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tbl>
      <w:tblPr>
        <w:tblW w:w="0" w:type="auto"/>
        <w:jc w:val="left"/>
        <w:tblInd w:w="1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32"/>
        <w:gridCol w:w="5256"/>
        <w:gridCol w:w="3350"/>
      </w:tblGrid>
      <w:tr>
        <w:trPr>
          <w:trHeight w:val="503" w:hRule="atLeast"/>
        </w:trPr>
        <w:tc>
          <w:tcPr>
            <w:tcW w:w="1032" w:type="dxa"/>
            <w:tcBorders>
              <w:bottom w:val="single" w:sz="4" w:space="0" w:color="000000"/>
            </w:tcBorders>
          </w:tcPr>
          <w:p>
            <w:pPr>
              <w:pStyle w:val="TableParagraph"/>
              <w:jc w:val="left"/>
              <w:rPr>
                <w:sz w:val="26"/>
              </w:rPr>
            </w:pPr>
          </w:p>
        </w:tc>
        <w:tc>
          <w:tcPr>
            <w:tcW w:w="5256" w:type="dxa"/>
            <w:tcBorders>
              <w:bottom w:val="single" w:sz="4" w:space="0" w:color="000000"/>
            </w:tcBorders>
          </w:tcPr>
          <w:p>
            <w:pPr>
              <w:pStyle w:val="TableParagraph"/>
              <w:spacing w:before="55"/>
              <w:ind w:left="101"/>
              <w:jc w:val="left"/>
              <w:rPr>
                <w:sz w:val="28"/>
              </w:rPr>
            </w:pPr>
            <w:r>
              <w:rPr>
                <w:sz w:val="28"/>
              </w:rPr>
              <w:t>International</w:t>
            </w:r>
            <w:r>
              <w:rPr>
                <w:spacing w:val="-11"/>
                <w:sz w:val="28"/>
              </w:rPr>
              <w:t> </w:t>
            </w:r>
            <w:r>
              <w:rPr>
                <w:sz w:val="28"/>
              </w:rPr>
              <w:t>Criminal</w:t>
            </w:r>
            <w:r>
              <w:rPr>
                <w:spacing w:val="-10"/>
                <w:sz w:val="28"/>
              </w:rPr>
              <w:t> </w:t>
            </w:r>
            <w:r>
              <w:rPr>
                <w:spacing w:val="-4"/>
                <w:sz w:val="28"/>
              </w:rPr>
              <w:t>Court</w:t>
            </w:r>
          </w:p>
        </w:tc>
        <w:tc>
          <w:tcPr>
            <w:tcW w:w="3350" w:type="dxa"/>
            <w:tcBorders>
              <w:bottom w:val="single" w:sz="4" w:space="0" w:color="000000"/>
            </w:tcBorders>
          </w:tcPr>
          <w:p>
            <w:pPr>
              <w:pStyle w:val="TableParagraph"/>
              <w:spacing w:line="442" w:lineRule="exact"/>
              <w:ind w:left="655"/>
              <w:jc w:val="left"/>
              <w:rPr>
                <w:sz w:val="24"/>
              </w:rPr>
            </w:pPr>
            <w:r>
              <w:rPr>
                <w:w w:val="95"/>
                <w:sz w:val="40"/>
              </w:rPr>
              <w:t>ICC-</w:t>
            </w:r>
            <w:r>
              <w:rPr>
                <w:spacing w:val="-2"/>
                <w:sz w:val="40"/>
              </w:rPr>
              <w:t>ASP</w:t>
            </w:r>
            <w:r>
              <w:rPr>
                <w:spacing w:val="-2"/>
                <w:sz w:val="24"/>
              </w:rPr>
              <w:t>/21/10</w:t>
            </w:r>
          </w:p>
        </w:tc>
      </w:tr>
      <w:tr>
        <w:trPr>
          <w:trHeight w:val="2006" w:hRule="atLeast"/>
        </w:trPr>
        <w:tc>
          <w:tcPr>
            <w:tcW w:w="1032" w:type="dxa"/>
            <w:tcBorders>
              <w:top w:val="single" w:sz="4" w:space="0" w:color="000000"/>
              <w:bottom w:val="single" w:sz="12" w:space="0" w:color="000000"/>
            </w:tcBorders>
          </w:tcPr>
          <w:p>
            <w:pPr>
              <w:pStyle w:val="TableParagraph"/>
              <w:spacing w:before="2" w:after="1"/>
              <w:jc w:val="left"/>
              <w:rPr>
                <w:sz w:val="10"/>
              </w:rPr>
            </w:pPr>
          </w:p>
          <w:p>
            <w:pPr>
              <w:pStyle w:val="TableParagraph"/>
              <w:jc w:val="left"/>
              <w:rPr>
                <w:sz w:val="20"/>
              </w:rPr>
            </w:pPr>
            <w:r>
              <w:rPr>
                <w:sz w:val="20"/>
              </w:rPr>
              <w:drawing>
                <wp:inline distT="0" distB="0" distL="0" distR="0">
                  <wp:extent cx="589788" cy="589788"/>
                  <wp:effectExtent l="0" t="0" r="0" b="0"/>
                  <wp:docPr id="1" name="image1.png" descr="icc"/>
                  <wp:cNvGraphicFramePr>
                    <a:graphicFrameLocks noChangeAspect="1"/>
                  </wp:cNvGraphicFramePr>
                  <a:graphic>
                    <a:graphicData uri="http://schemas.openxmlformats.org/drawingml/2006/picture">
                      <pic:pic>
                        <pic:nvPicPr>
                          <pic:cNvPr id="2" name="image1.png"/>
                          <pic:cNvPicPr/>
                        </pic:nvPicPr>
                        <pic:blipFill>
                          <a:blip r:embed="rId7" cstate="print"/>
                          <a:stretch>
                            <a:fillRect/>
                          </a:stretch>
                        </pic:blipFill>
                        <pic:spPr>
                          <a:xfrm>
                            <a:off x="0" y="0"/>
                            <a:ext cx="589788" cy="589788"/>
                          </a:xfrm>
                          <a:prstGeom prst="rect">
                            <a:avLst/>
                          </a:prstGeom>
                        </pic:spPr>
                      </pic:pic>
                    </a:graphicData>
                  </a:graphic>
                </wp:inline>
              </w:drawing>
            </w:r>
            <w:r>
              <w:rPr>
                <w:sz w:val="20"/>
              </w:rPr>
            </w:r>
          </w:p>
        </w:tc>
        <w:tc>
          <w:tcPr>
            <w:tcW w:w="5256" w:type="dxa"/>
            <w:tcBorders>
              <w:top w:val="single" w:sz="4" w:space="0" w:color="000000"/>
              <w:bottom w:val="single" w:sz="12" w:space="0" w:color="000000"/>
            </w:tcBorders>
          </w:tcPr>
          <w:p>
            <w:pPr>
              <w:pStyle w:val="TableParagraph"/>
              <w:spacing w:before="120"/>
              <w:ind w:left="101"/>
              <w:jc w:val="left"/>
              <w:rPr>
                <w:b/>
                <w:sz w:val="40"/>
              </w:rPr>
            </w:pPr>
            <w:r>
              <w:rPr>
                <w:b/>
                <w:sz w:val="40"/>
              </w:rPr>
              <w:t>Assembly</w:t>
            </w:r>
            <w:r>
              <w:rPr>
                <w:b/>
                <w:spacing w:val="-7"/>
                <w:sz w:val="40"/>
              </w:rPr>
              <w:t> </w:t>
            </w:r>
            <w:r>
              <w:rPr>
                <w:b/>
                <w:sz w:val="40"/>
              </w:rPr>
              <w:t>of</w:t>
            </w:r>
            <w:r>
              <w:rPr>
                <w:b/>
                <w:spacing w:val="-7"/>
                <w:sz w:val="40"/>
              </w:rPr>
              <w:t> </w:t>
            </w:r>
            <w:r>
              <w:rPr>
                <w:b/>
                <w:sz w:val="40"/>
              </w:rPr>
              <w:t>States</w:t>
            </w:r>
            <w:r>
              <w:rPr>
                <w:b/>
                <w:spacing w:val="-8"/>
                <w:sz w:val="40"/>
              </w:rPr>
              <w:t> </w:t>
            </w:r>
            <w:r>
              <w:rPr>
                <w:b/>
                <w:spacing w:val="-2"/>
                <w:sz w:val="40"/>
              </w:rPr>
              <w:t>Parties</w:t>
            </w:r>
          </w:p>
        </w:tc>
        <w:tc>
          <w:tcPr>
            <w:tcW w:w="3350" w:type="dxa"/>
            <w:tcBorders>
              <w:top w:val="single" w:sz="4" w:space="0" w:color="000000"/>
              <w:bottom w:val="single" w:sz="12" w:space="0" w:color="000000"/>
            </w:tcBorders>
          </w:tcPr>
          <w:p>
            <w:pPr>
              <w:pStyle w:val="TableParagraph"/>
              <w:spacing w:line="364" w:lineRule="auto" w:before="120"/>
              <w:ind w:left="655" w:right="1326"/>
              <w:jc w:val="left"/>
              <w:rPr>
                <w:sz w:val="20"/>
              </w:rPr>
            </w:pPr>
            <w:r>
              <w:rPr>
                <w:sz w:val="20"/>
              </w:rPr>
              <w:t>Distr.: General 19</w:t>
            </w:r>
            <w:r>
              <w:rPr>
                <w:spacing w:val="-5"/>
                <w:sz w:val="20"/>
              </w:rPr>
              <w:t> </w:t>
            </w:r>
            <w:r>
              <w:rPr>
                <w:sz w:val="20"/>
              </w:rPr>
              <w:t>August </w:t>
            </w:r>
            <w:r>
              <w:rPr>
                <w:spacing w:val="-4"/>
                <w:sz w:val="20"/>
              </w:rPr>
              <w:t>2022</w:t>
            </w:r>
          </w:p>
          <w:p>
            <w:pPr>
              <w:pStyle w:val="TableParagraph"/>
              <w:spacing w:before="3"/>
              <w:jc w:val="left"/>
              <w:rPr>
                <w:sz w:val="30"/>
              </w:rPr>
            </w:pPr>
          </w:p>
          <w:p>
            <w:pPr>
              <w:pStyle w:val="TableParagraph"/>
              <w:ind w:left="655"/>
              <w:jc w:val="left"/>
              <w:rPr>
                <w:sz w:val="20"/>
              </w:rPr>
            </w:pPr>
            <w:r>
              <w:rPr>
                <w:sz w:val="20"/>
              </w:rPr>
              <w:t>Original:</w:t>
            </w:r>
            <w:r>
              <w:rPr>
                <w:spacing w:val="-9"/>
                <w:sz w:val="20"/>
              </w:rPr>
              <w:t> </w:t>
            </w:r>
            <w:r>
              <w:rPr>
                <w:spacing w:val="-2"/>
                <w:sz w:val="20"/>
              </w:rPr>
              <w:t>English</w:t>
            </w:r>
          </w:p>
        </w:tc>
      </w:tr>
      <w:tr>
        <w:trPr>
          <w:trHeight w:val="701" w:hRule="atLeast"/>
        </w:trPr>
        <w:tc>
          <w:tcPr>
            <w:tcW w:w="6288" w:type="dxa"/>
            <w:gridSpan w:val="2"/>
            <w:tcBorders>
              <w:top w:val="single" w:sz="12" w:space="0" w:color="000000"/>
            </w:tcBorders>
          </w:tcPr>
          <w:p>
            <w:pPr>
              <w:pStyle w:val="TableParagraph"/>
              <w:spacing w:before="124"/>
              <w:jc w:val="left"/>
              <w:rPr>
                <w:b/>
                <w:sz w:val="20"/>
              </w:rPr>
            </w:pPr>
            <w:r>
              <w:rPr>
                <w:b/>
                <w:sz w:val="20"/>
              </w:rPr>
              <w:t>Twenty-first</w:t>
            </w:r>
            <w:r>
              <w:rPr>
                <w:b/>
                <w:spacing w:val="-6"/>
                <w:sz w:val="20"/>
              </w:rPr>
              <w:t> </w:t>
            </w:r>
            <w:r>
              <w:rPr>
                <w:b/>
                <w:spacing w:val="-2"/>
                <w:sz w:val="20"/>
              </w:rPr>
              <w:t>session</w:t>
            </w:r>
          </w:p>
          <w:p>
            <w:pPr>
              <w:pStyle w:val="TableParagraph"/>
              <w:spacing w:line="210" w:lineRule="exact" w:before="116"/>
              <w:jc w:val="left"/>
              <w:rPr>
                <w:sz w:val="20"/>
              </w:rPr>
            </w:pPr>
            <w:r>
              <w:rPr>
                <w:sz w:val="20"/>
              </w:rPr>
              <w:t>The</w:t>
            </w:r>
            <w:r>
              <w:rPr>
                <w:spacing w:val="-7"/>
                <w:sz w:val="20"/>
              </w:rPr>
              <w:t> </w:t>
            </w:r>
            <w:r>
              <w:rPr>
                <w:sz w:val="20"/>
              </w:rPr>
              <w:t>Hague,</w:t>
            </w:r>
            <w:r>
              <w:rPr>
                <w:spacing w:val="-1"/>
                <w:sz w:val="20"/>
              </w:rPr>
              <w:t> </w:t>
            </w:r>
            <w:r>
              <w:rPr>
                <w:sz w:val="20"/>
              </w:rPr>
              <w:t>5-10</w:t>
            </w:r>
            <w:r>
              <w:rPr>
                <w:spacing w:val="-3"/>
                <w:sz w:val="20"/>
              </w:rPr>
              <w:t> </w:t>
            </w:r>
            <w:r>
              <w:rPr>
                <w:sz w:val="20"/>
              </w:rPr>
              <w:t>December</w:t>
            </w:r>
            <w:r>
              <w:rPr>
                <w:spacing w:val="-8"/>
                <w:sz w:val="20"/>
              </w:rPr>
              <w:t> </w:t>
            </w:r>
            <w:r>
              <w:rPr>
                <w:spacing w:val="-4"/>
                <w:sz w:val="20"/>
              </w:rPr>
              <w:t>2022</w:t>
            </w:r>
          </w:p>
        </w:tc>
        <w:tc>
          <w:tcPr>
            <w:tcW w:w="3350" w:type="dxa"/>
            <w:tcBorders>
              <w:top w:val="single" w:sz="12" w:space="0" w:color="000000"/>
            </w:tcBorders>
          </w:tcPr>
          <w:p>
            <w:pPr>
              <w:pStyle w:val="TableParagraph"/>
              <w:jc w:val="left"/>
              <w:rPr>
                <w:sz w:val="26"/>
              </w:rPr>
            </w:pP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Title"/>
      </w:pPr>
      <w:r>
        <w:rPr/>
        <w:t>Proposed</w:t>
      </w:r>
      <w:r>
        <w:rPr>
          <w:spacing w:val="-9"/>
        </w:rPr>
        <w:t> </w:t>
      </w:r>
      <w:r>
        <w:rPr/>
        <w:t>Programme</w:t>
      </w:r>
      <w:r>
        <w:rPr>
          <w:spacing w:val="-7"/>
        </w:rPr>
        <w:t> </w:t>
      </w:r>
      <w:r>
        <w:rPr/>
        <w:t>Budget</w:t>
      </w:r>
      <w:r>
        <w:rPr>
          <w:spacing w:val="-6"/>
        </w:rPr>
        <w:t> </w:t>
      </w:r>
      <w:r>
        <w:rPr/>
        <w:t>for</w:t>
      </w:r>
      <w:r>
        <w:rPr>
          <w:spacing w:val="-8"/>
        </w:rPr>
        <w:t> </w:t>
      </w:r>
      <w:r>
        <w:rPr/>
        <w:t>2023 of the International Criminal Court</w:t>
      </w:r>
    </w:p>
    <w:p>
      <w:pPr>
        <w:spacing w:after="0"/>
        <w:sectPr>
          <w:footerReference w:type="default" r:id="rId5"/>
          <w:footerReference w:type="even" r:id="rId6"/>
          <w:type w:val="continuous"/>
          <w:pgSz w:w="11910" w:h="16840"/>
          <w:pgMar w:footer="940" w:header="0" w:top="1240" w:bottom="1140" w:left="20" w:right="20"/>
          <w:pgNumType w:start="1"/>
        </w:sectPr>
      </w:pPr>
    </w:p>
    <w:p>
      <w:pPr>
        <w:spacing w:before="122"/>
        <w:ind w:left="1252" w:right="0" w:firstLine="0"/>
        <w:jc w:val="left"/>
        <w:rPr>
          <w:i/>
          <w:sz w:val="28"/>
        </w:rPr>
      </w:pPr>
      <w:r>
        <w:rPr/>
        <w:pict>
          <v:shape style="position:absolute;margin-left:470.25pt;margin-top:9.952671pt;width:71.650pt;height:8.75pt;mso-position-horizontal-relative:page;mso-position-vertical-relative:paragraph;z-index:15728640" type="#_x0000_t202" id="docshape7"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8"/>
                    <w:gridCol w:w="935"/>
                  </w:tblGrid>
                  <w:tr>
                    <w:trPr>
                      <w:trHeight w:val="175" w:hRule="atLeast"/>
                    </w:trPr>
                    <w:tc>
                      <w:tcPr>
                        <w:tcW w:w="498" w:type="dxa"/>
                      </w:tcPr>
                      <w:p>
                        <w:pPr>
                          <w:pStyle w:val="TableParagraph"/>
                          <w:spacing w:line="155" w:lineRule="exact"/>
                          <w:ind w:left="50"/>
                          <w:jc w:val="left"/>
                          <w:rPr>
                            <w:i/>
                            <w:sz w:val="16"/>
                          </w:rPr>
                        </w:pPr>
                        <w:r>
                          <w:rPr>
                            <w:i/>
                            <w:spacing w:val="-4"/>
                            <w:sz w:val="16"/>
                          </w:rPr>
                          <w:t>Page</w:t>
                        </w:r>
                      </w:p>
                    </w:tc>
                    <w:tc>
                      <w:tcPr>
                        <w:tcW w:w="935" w:type="dxa"/>
                      </w:tcPr>
                      <w:p>
                        <w:pPr>
                          <w:pStyle w:val="TableParagraph"/>
                          <w:spacing w:line="155" w:lineRule="exact"/>
                          <w:ind w:left="118"/>
                          <w:jc w:val="left"/>
                          <w:rPr>
                            <w:i/>
                            <w:sz w:val="16"/>
                          </w:rPr>
                        </w:pPr>
                        <w:r>
                          <w:rPr>
                            <w:i/>
                            <w:spacing w:val="-2"/>
                            <w:sz w:val="16"/>
                          </w:rPr>
                          <w:t>Paragraphs</w:t>
                        </w:r>
                      </w:p>
                    </w:tc>
                  </w:tr>
                </w:tbl>
                <w:p>
                  <w:pPr>
                    <w:pStyle w:val="BodyText"/>
                  </w:pPr>
                </w:p>
              </w:txbxContent>
            </v:textbox>
            <w10:wrap type="none"/>
          </v:shape>
        </w:pict>
      </w:r>
      <w:r>
        <w:rPr>
          <w:i/>
          <w:spacing w:val="-2"/>
          <w:sz w:val="28"/>
        </w:rPr>
        <w:t>Contents</w:t>
      </w:r>
    </w:p>
    <w:sdt>
      <w:sdtPr>
        <w:docPartObj>
          <w:docPartGallery w:val="Table of Contents"/>
          <w:docPartUnique/>
        </w:docPartObj>
      </w:sdtPr>
      <w:sdtEndPr/>
      <w:sdtContent>
        <w:p>
          <w:pPr>
            <w:pStyle w:val="TOC1"/>
            <w:tabs>
              <w:tab w:pos="9612" w:val="right" w:leader="dot"/>
            </w:tabs>
            <w:spacing w:before="247"/>
            <w:ind w:left="1252" w:firstLine="0"/>
          </w:pPr>
          <w:hyperlink w:history="true" w:anchor="_bookmark0">
            <w:r>
              <w:rPr>
                <w:spacing w:val="-6"/>
              </w:rPr>
              <w:t>List</w:t>
            </w:r>
            <w:r>
              <w:rPr>
                <w:spacing w:val="-5"/>
              </w:rPr>
              <w:t> </w:t>
            </w:r>
            <w:r>
              <w:rPr>
                <w:spacing w:val="-6"/>
              </w:rPr>
              <w:t>of</w:t>
            </w:r>
            <w:r>
              <w:rPr>
                <w:spacing w:val="-9"/>
              </w:rPr>
              <w:t> </w:t>
            </w:r>
            <w:r>
              <w:rPr>
                <w:spacing w:val="-6"/>
              </w:rPr>
              <w:t>abbreviations and</w:t>
            </w:r>
            <w:r>
              <w:rPr>
                <w:spacing w:val="-3"/>
              </w:rPr>
              <w:t> </w:t>
            </w:r>
            <w:r>
              <w:rPr>
                <w:spacing w:val="-6"/>
              </w:rPr>
              <w:t>acronyms</w:t>
            </w:r>
            <w:r>
              <w:rPr/>
              <w:tab/>
            </w:r>
            <w:r>
              <w:rPr>
                <w:spacing w:val="-10"/>
              </w:rPr>
              <w:t>4</w:t>
            </w:r>
          </w:hyperlink>
        </w:p>
        <w:p>
          <w:pPr>
            <w:pStyle w:val="TOC1"/>
            <w:tabs>
              <w:tab w:pos="9612" w:val="right" w:leader="dot"/>
            </w:tabs>
            <w:spacing w:before="115"/>
            <w:ind w:left="1252" w:firstLine="0"/>
          </w:pPr>
          <w:hyperlink w:history="true" w:anchor="_bookmark1">
            <w:r>
              <w:rPr>
                <w:spacing w:val="-6"/>
              </w:rPr>
              <w:t>Foreword</w:t>
            </w:r>
            <w:r>
              <w:rPr>
                <w:spacing w:val="-7"/>
              </w:rPr>
              <w:t> </w:t>
            </w:r>
            <w:r>
              <w:rPr>
                <w:spacing w:val="-6"/>
              </w:rPr>
              <w:t>by</w:t>
            </w:r>
            <w:r>
              <w:rPr>
                <w:spacing w:val="-7"/>
              </w:rPr>
              <w:t> </w:t>
            </w:r>
            <w:r>
              <w:rPr>
                <w:spacing w:val="-6"/>
              </w:rPr>
              <w:t>the</w:t>
            </w:r>
            <w:r>
              <w:rPr>
                <w:spacing w:val="-5"/>
              </w:rPr>
              <w:t> </w:t>
            </w:r>
            <w:r>
              <w:rPr>
                <w:spacing w:val="-6"/>
              </w:rPr>
              <w:t>Principals</w:t>
            </w:r>
            <w:r>
              <w:rPr>
                <w:spacing w:val="-9"/>
              </w:rPr>
              <w:t> </w:t>
            </w:r>
            <w:r>
              <w:rPr>
                <w:spacing w:val="-6"/>
              </w:rPr>
              <w:t>of the</w:t>
            </w:r>
            <w:r>
              <w:rPr/>
              <w:t> </w:t>
            </w:r>
            <w:r>
              <w:rPr>
                <w:spacing w:val="-6"/>
              </w:rPr>
              <w:t>International Criminal</w:t>
            </w:r>
            <w:r>
              <w:rPr>
                <w:spacing w:val="-5"/>
              </w:rPr>
              <w:t> </w:t>
            </w:r>
            <w:r>
              <w:rPr>
                <w:spacing w:val="-6"/>
              </w:rPr>
              <w:t>Court</w:t>
            </w:r>
            <w:r>
              <w:rPr/>
              <w:tab/>
            </w:r>
            <w:r>
              <w:rPr>
                <w:spacing w:val="-10"/>
              </w:rPr>
              <w:t>6</w:t>
            </w:r>
          </w:hyperlink>
        </w:p>
        <w:p>
          <w:pPr>
            <w:pStyle w:val="TOC1"/>
            <w:numPr>
              <w:ilvl w:val="0"/>
              <w:numId w:val="1"/>
            </w:numPr>
            <w:tabs>
              <w:tab w:pos="1819" w:val="left" w:leader="none"/>
              <w:tab w:pos="1820" w:val="left" w:leader="none"/>
            </w:tabs>
            <w:spacing w:line="240" w:lineRule="auto" w:before="121" w:after="0"/>
            <w:ind w:left="1819" w:right="0" w:hanging="568"/>
            <w:jc w:val="left"/>
          </w:pPr>
          <w:hyperlink w:history="true" w:anchor="_bookmark2">
            <w:r>
              <w:rPr/>
              <w:t>Overview</w:t>
            </w:r>
            <w:r>
              <w:rPr>
                <w:spacing w:val="-5"/>
              </w:rPr>
              <w:t> </w:t>
            </w:r>
            <w:r>
              <w:rPr/>
              <w:t>of</w:t>
            </w:r>
            <w:r>
              <w:rPr>
                <w:spacing w:val="-7"/>
              </w:rPr>
              <w:t> </w:t>
            </w:r>
            <w:r>
              <w:rPr/>
              <w:t>the</w:t>
            </w:r>
            <w:r>
              <w:rPr>
                <w:spacing w:val="-6"/>
              </w:rPr>
              <w:t> </w:t>
            </w:r>
            <w:r>
              <w:rPr/>
              <w:t>Proposed</w:t>
            </w:r>
            <w:r>
              <w:rPr>
                <w:spacing w:val="-3"/>
              </w:rPr>
              <w:t> </w:t>
            </w:r>
            <w:r>
              <w:rPr/>
              <w:t>Programme</w:t>
            </w:r>
            <w:r>
              <w:rPr>
                <w:spacing w:val="-6"/>
              </w:rPr>
              <w:t> </w:t>
            </w:r>
            <w:r>
              <w:rPr/>
              <w:t>Budget</w:t>
            </w:r>
            <w:r>
              <w:rPr>
                <w:spacing w:val="-6"/>
              </w:rPr>
              <w:t> </w:t>
            </w:r>
            <w:r>
              <w:rPr/>
              <w:t>for</w:t>
            </w:r>
            <w:r>
              <w:rPr>
                <w:spacing w:val="-7"/>
              </w:rPr>
              <w:t> </w:t>
            </w:r>
            <w:r>
              <w:rPr>
                <w:spacing w:val="-4"/>
              </w:rPr>
              <w:t>2023,</w:t>
            </w:r>
          </w:hyperlink>
        </w:p>
        <w:p>
          <w:pPr>
            <w:pStyle w:val="TOC2"/>
            <w:tabs>
              <w:tab w:pos="9607" w:val="right" w:leader="dot"/>
            </w:tabs>
          </w:pPr>
          <w:r>
            <w:rPr/>
            <w:pict>
              <v:shape style="position:absolute;margin-left:501.480011pt;margin-top:1.603545pt;width:38.6pt;height:447.15pt;mso-position-horizontal-relative:page;mso-position-vertical-relative:paragraph;z-index:15729152" type="#_x0000_t202" id="docshape8"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2"/>
                      </w:tblGrid>
                      <w:tr>
                        <w:trPr>
                          <w:trHeight w:val="265" w:hRule="atLeast"/>
                        </w:trPr>
                        <w:tc>
                          <w:tcPr>
                            <w:tcW w:w="772" w:type="dxa"/>
                          </w:tcPr>
                          <w:p>
                            <w:pPr>
                              <w:pStyle w:val="TableParagraph"/>
                              <w:spacing w:line="223" w:lineRule="exact"/>
                              <w:ind w:left="50"/>
                              <w:jc w:val="left"/>
                              <w:rPr>
                                <w:sz w:val="20"/>
                              </w:rPr>
                            </w:pPr>
                            <w:hyperlink w:history="true" w:anchor="_bookmark4">
                              <w:r>
                                <w:rPr>
                                  <w:sz w:val="20"/>
                                </w:rPr>
                                <w:t>1</w:t>
                              </w:r>
                            </w:hyperlink>
                            <w:r>
                              <w:rPr>
                                <w:sz w:val="20"/>
                              </w:rPr>
                              <w:t>-</w:t>
                            </w:r>
                            <w:r>
                              <w:rPr>
                                <w:spacing w:val="-5"/>
                                <w:sz w:val="20"/>
                              </w:rPr>
                              <w:t>102</w:t>
                            </w:r>
                          </w:p>
                        </w:tc>
                      </w:tr>
                      <w:tr>
                        <w:trPr>
                          <w:trHeight w:val="328" w:hRule="atLeast"/>
                        </w:trPr>
                        <w:tc>
                          <w:tcPr>
                            <w:tcW w:w="772" w:type="dxa"/>
                          </w:tcPr>
                          <w:p>
                            <w:pPr>
                              <w:pStyle w:val="TableParagraph"/>
                              <w:spacing w:before="35"/>
                              <w:ind w:left="50"/>
                              <w:jc w:val="left"/>
                              <w:rPr>
                                <w:sz w:val="20"/>
                              </w:rPr>
                            </w:pPr>
                            <w:hyperlink w:history="true" w:anchor="_bookmark4">
                              <w:r>
                                <w:rPr>
                                  <w:sz w:val="20"/>
                                </w:rPr>
                                <w:t>1</w:t>
                              </w:r>
                            </w:hyperlink>
                            <w:r>
                              <w:rPr>
                                <w:sz w:val="20"/>
                              </w:rPr>
                              <w:t>-</w:t>
                            </w:r>
                            <w:r>
                              <w:rPr>
                                <w:spacing w:val="-5"/>
                                <w:sz w:val="20"/>
                              </w:rPr>
                              <w:t>10</w:t>
                            </w:r>
                          </w:p>
                        </w:tc>
                      </w:tr>
                      <w:tr>
                        <w:trPr>
                          <w:trHeight w:val="350" w:hRule="atLeast"/>
                        </w:trPr>
                        <w:tc>
                          <w:tcPr>
                            <w:tcW w:w="772" w:type="dxa"/>
                          </w:tcPr>
                          <w:p>
                            <w:pPr>
                              <w:pStyle w:val="TableParagraph"/>
                              <w:spacing w:before="56"/>
                              <w:ind w:left="50"/>
                              <w:jc w:val="left"/>
                              <w:rPr>
                                <w:sz w:val="20"/>
                              </w:rPr>
                            </w:pPr>
                            <w:hyperlink w:history="true" w:anchor="_bookmark6">
                              <w:r>
                                <w:rPr>
                                  <w:sz w:val="20"/>
                                </w:rPr>
                                <w:t>11</w:t>
                              </w:r>
                            </w:hyperlink>
                            <w:r>
                              <w:rPr>
                                <w:sz w:val="20"/>
                              </w:rPr>
                              <w:t>-</w:t>
                            </w:r>
                            <w:r>
                              <w:rPr>
                                <w:spacing w:val="-5"/>
                                <w:sz w:val="20"/>
                              </w:rPr>
                              <w:t>31</w:t>
                            </w:r>
                          </w:p>
                        </w:tc>
                      </w:tr>
                      <w:tr>
                        <w:trPr>
                          <w:trHeight w:val="350" w:hRule="atLeast"/>
                        </w:trPr>
                        <w:tc>
                          <w:tcPr>
                            <w:tcW w:w="772" w:type="dxa"/>
                          </w:tcPr>
                          <w:p>
                            <w:pPr>
                              <w:pStyle w:val="TableParagraph"/>
                              <w:spacing w:before="56"/>
                              <w:ind w:left="50"/>
                              <w:jc w:val="left"/>
                              <w:rPr>
                                <w:sz w:val="20"/>
                              </w:rPr>
                            </w:pPr>
                            <w:hyperlink w:history="true" w:anchor="_bookmark8">
                              <w:r>
                                <w:rPr>
                                  <w:sz w:val="20"/>
                                </w:rPr>
                                <w:t>32</w:t>
                              </w:r>
                            </w:hyperlink>
                            <w:r>
                              <w:rPr>
                                <w:sz w:val="20"/>
                              </w:rPr>
                              <w:t>-</w:t>
                            </w:r>
                            <w:r>
                              <w:rPr>
                                <w:spacing w:val="-5"/>
                                <w:sz w:val="20"/>
                              </w:rPr>
                              <w:t>95</w:t>
                            </w:r>
                          </w:p>
                        </w:tc>
                      </w:tr>
                      <w:tr>
                        <w:trPr>
                          <w:trHeight w:val="350" w:hRule="atLeast"/>
                        </w:trPr>
                        <w:tc>
                          <w:tcPr>
                            <w:tcW w:w="772" w:type="dxa"/>
                          </w:tcPr>
                          <w:p>
                            <w:pPr>
                              <w:pStyle w:val="TableParagraph"/>
                              <w:spacing w:before="56"/>
                              <w:ind w:left="50"/>
                              <w:jc w:val="left"/>
                              <w:rPr>
                                <w:sz w:val="20"/>
                              </w:rPr>
                            </w:pPr>
                            <w:hyperlink w:history="true" w:anchor="_bookmark10">
                              <w:r>
                                <w:rPr>
                                  <w:sz w:val="20"/>
                                </w:rPr>
                                <w:t>96</w:t>
                              </w:r>
                            </w:hyperlink>
                            <w:r>
                              <w:rPr>
                                <w:sz w:val="20"/>
                              </w:rPr>
                              <w:t>-</w:t>
                            </w:r>
                            <w:r>
                              <w:rPr>
                                <w:spacing w:val="-5"/>
                                <w:sz w:val="20"/>
                              </w:rPr>
                              <w:t>98</w:t>
                            </w:r>
                          </w:p>
                        </w:tc>
                      </w:tr>
                      <w:tr>
                        <w:trPr>
                          <w:trHeight w:val="350" w:hRule="atLeast"/>
                        </w:trPr>
                        <w:tc>
                          <w:tcPr>
                            <w:tcW w:w="772" w:type="dxa"/>
                          </w:tcPr>
                          <w:p>
                            <w:pPr>
                              <w:pStyle w:val="TableParagraph"/>
                              <w:spacing w:before="56"/>
                              <w:ind w:left="50"/>
                              <w:jc w:val="left"/>
                              <w:rPr>
                                <w:sz w:val="20"/>
                              </w:rPr>
                            </w:pPr>
                            <w:hyperlink w:history="true" w:anchor="_bookmark12">
                              <w:r>
                                <w:rPr>
                                  <w:sz w:val="20"/>
                                </w:rPr>
                                <w:t>99</w:t>
                              </w:r>
                            </w:hyperlink>
                            <w:r>
                              <w:rPr>
                                <w:sz w:val="20"/>
                              </w:rPr>
                              <w:t>-</w:t>
                            </w:r>
                            <w:r>
                              <w:rPr>
                                <w:spacing w:val="-5"/>
                                <w:sz w:val="20"/>
                              </w:rPr>
                              <w:t>102</w:t>
                            </w:r>
                          </w:p>
                        </w:tc>
                      </w:tr>
                      <w:tr>
                        <w:trPr>
                          <w:trHeight w:val="352" w:hRule="atLeast"/>
                        </w:trPr>
                        <w:tc>
                          <w:tcPr>
                            <w:tcW w:w="772" w:type="dxa"/>
                          </w:tcPr>
                          <w:p>
                            <w:pPr>
                              <w:pStyle w:val="TableParagraph"/>
                              <w:spacing w:before="56"/>
                              <w:ind w:left="50"/>
                              <w:jc w:val="left"/>
                              <w:rPr>
                                <w:sz w:val="20"/>
                              </w:rPr>
                            </w:pPr>
                            <w:hyperlink w:history="true" w:anchor="_bookmark15">
                              <w:r>
                                <w:rPr>
                                  <w:sz w:val="20"/>
                                </w:rPr>
                                <w:t>103</w:t>
                              </w:r>
                            </w:hyperlink>
                            <w:r>
                              <w:rPr>
                                <w:sz w:val="20"/>
                              </w:rPr>
                              <w:t>-</w:t>
                            </w:r>
                            <w:r>
                              <w:rPr>
                                <w:spacing w:val="-5"/>
                                <w:sz w:val="20"/>
                              </w:rPr>
                              <w:t>994</w:t>
                            </w:r>
                          </w:p>
                        </w:tc>
                      </w:tr>
                      <w:tr>
                        <w:trPr>
                          <w:trHeight w:val="352" w:hRule="atLeast"/>
                        </w:trPr>
                        <w:tc>
                          <w:tcPr>
                            <w:tcW w:w="772" w:type="dxa"/>
                          </w:tcPr>
                          <w:p>
                            <w:pPr>
                              <w:pStyle w:val="TableParagraph"/>
                              <w:spacing w:before="59"/>
                              <w:ind w:left="50"/>
                              <w:jc w:val="left"/>
                              <w:rPr>
                                <w:sz w:val="20"/>
                              </w:rPr>
                            </w:pPr>
                            <w:hyperlink w:history="true" w:anchor="_bookmark15">
                              <w:r>
                                <w:rPr>
                                  <w:sz w:val="20"/>
                                </w:rPr>
                                <w:t>103</w:t>
                              </w:r>
                            </w:hyperlink>
                            <w:r>
                              <w:rPr>
                                <w:sz w:val="20"/>
                              </w:rPr>
                              <w:t>-</w:t>
                            </w:r>
                            <w:r>
                              <w:rPr>
                                <w:spacing w:val="-5"/>
                                <w:sz w:val="20"/>
                              </w:rPr>
                              <w:t>107</w:t>
                            </w:r>
                          </w:p>
                        </w:tc>
                      </w:tr>
                      <w:tr>
                        <w:trPr>
                          <w:trHeight w:val="350" w:hRule="atLeast"/>
                        </w:trPr>
                        <w:tc>
                          <w:tcPr>
                            <w:tcW w:w="772" w:type="dxa"/>
                          </w:tcPr>
                          <w:p>
                            <w:pPr>
                              <w:pStyle w:val="TableParagraph"/>
                              <w:spacing w:before="56"/>
                              <w:ind w:left="50"/>
                              <w:jc w:val="left"/>
                              <w:rPr>
                                <w:sz w:val="20"/>
                              </w:rPr>
                            </w:pPr>
                            <w:hyperlink w:history="true" w:anchor="_bookmark17">
                              <w:r>
                                <w:rPr>
                                  <w:sz w:val="20"/>
                                </w:rPr>
                                <w:t>108</w:t>
                              </w:r>
                            </w:hyperlink>
                            <w:r>
                              <w:rPr>
                                <w:sz w:val="20"/>
                              </w:rPr>
                              <w:t>-</w:t>
                            </w:r>
                            <w:r>
                              <w:rPr>
                                <w:spacing w:val="-5"/>
                                <w:sz w:val="20"/>
                              </w:rPr>
                              <w:t>121</w:t>
                            </w:r>
                          </w:p>
                        </w:tc>
                      </w:tr>
                      <w:tr>
                        <w:trPr>
                          <w:trHeight w:val="350" w:hRule="atLeast"/>
                        </w:trPr>
                        <w:tc>
                          <w:tcPr>
                            <w:tcW w:w="772" w:type="dxa"/>
                          </w:tcPr>
                          <w:p>
                            <w:pPr>
                              <w:pStyle w:val="TableParagraph"/>
                              <w:spacing w:before="56"/>
                              <w:ind w:left="50"/>
                              <w:jc w:val="left"/>
                              <w:rPr>
                                <w:sz w:val="20"/>
                              </w:rPr>
                            </w:pPr>
                            <w:hyperlink w:history="true" w:anchor="_bookmark19">
                              <w:r>
                                <w:rPr>
                                  <w:sz w:val="20"/>
                                </w:rPr>
                                <w:t>122</w:t>
                              </w:r>
                            </w:hyperlink>
                            <w:r>
                              <w:rPr>
                                <w:sz w:val="20"/>
                              </w:rPr>
                              <w:t>-</w:t>
                            </w:r>
                            <w:r>
                              <w:rPr>
                                <w:spacing w:val="-5"/>
                                <w:sz w:val="20"/>
                              </w:rPr>
                              <w:t>160</w:t>
                            </w:r>
                          </w:p>
                        </w:tc>
                      </w:tr>
                      <w:tr>
                        <w:trPr>
                          <w:trHeight w:val="350" w:hRule="atLeast"/>
                        </w:trPr>
                        <w:tc>
                          <w:tcPr>
                            <w:tcW w:w="772" w:type="dxa"/>
                          </w:tcPr>
                          <w:p>
                            <w:pPr>
                              <w:pStyle w:val="TableParagraph"/>
                              <w:spacing w:before="57"/>
                              <w:ind w:left="50"/>
                              <w:jc w:val="left"/>
                              <w:rPr>
                                <w:sz w:val="20"/>
                              </w:rPr>
                            </w:pPr>
                            <w:hyperlink w:history="true" w:anchor="_bookmark22">
                              <w:r>
                                <w:rPr>
                                  <w:sz w:val="20"/>
                                </w:rPr>
                                <w:t>161</w:t>
                              </w:r>
                            </w:hyperlink>
                            <w:r>
                              <w:rPr>
                                <w:sz w:val="20"/>
                              </w:rPr>
                              <w:t>-</w:t>
                            </w:r>
                            <w:r>
                              <w:rPr>
                                <w:spacing w:val="-5"/>
                                <w:sz w:val="20"/>
                              </w:rPr>
                              <w:t>476</w:t>
                            </w:r>
                          </w:p>
                        </w:tc>
                      </w:tr>
                      <w:tr>
                        <w:trPr>
                          <w:trHeight w:val="350" w:hRule="atLeast"/>
                        </w:trPr>
                        <w:tc>
                          <w:tcPr>
                            <w:tcW w:w="772" w:type="dxa"/>
                          </w:tcPr>
                          <w:p>
                            <w:pPr>
                              <w:pStyle w:val="TableParagraph"/>
                              <w:spacing w:before="56"/>
                              <w:ind w:left="50"/>
                              <w:jc w:val="left"/>
                              <w:rPr>
                                <w:sz w:val="20"/>
                              </w:rPr>
                            </w:pPr>
                            <w:hyperlink w:history="true" w:anchor="_bookmark24">
                              <w:r>
                                <w:rPr>
                                  <w:sz w:val="20"/>
                                </w:rPr>
                                <w:t>216</w:t>
                              </w:r>
                            </w:hyperlink>
                            <w:r>
                              <w:rPr>
                                <w:sz w:val="20"/>
                              </w:rPr>
                              <w:t>-</w:t>
                            </w:r>
                            <w:r>
                              <w:rPr>
                                <w:spacing w:val="-5"/>
                                <w:sz w:val="20"/>
                              </w:rPr>
                              <w:t>305</w:t>
                            </w:r>
                          </w:p>
                        </w:tc>
                      </w:tr>
                      <w:tr>
                        <w:trPr>
                          <w:trHeight w:val="350" w:hRule="atLeast"/>
                        </w:trPr>
                        <w:tc>
                          <w:tcPr>
                            <w:tcW w:w="772" w:type="dxa"/>
                          </w:tcPr>
                          <w:p>
                            <w:pPr>
                              <w:pStyle w:val="TableParagraph"/>
                              <w:spacing w:before="56"/>
                              <w:ind w:left="50"/>
                              <w:jc w:val="left"/>
                              <w:rPr>
                                <w:sz w:val="20"/>
                              </w:rPr>
                            </w:pPr>
                            <w:hyperlink w:history="true" w:anchor="_bookmark26">
                              <w:r>
                                <w:rPr>
                                  <w:sz w:val="20"/>
                                </w:rPr>
                                <w:t>306</w:t>
                              </w:r>
                            </w:hyperlink>
                            <w:r>
                              <w:rPr>
                                <w:sz w:val="20"/>
                              </w:rPr>
                              <w:t>-</w:t>
                            </w:r>
                            <w:r>
                              <w:rPr>
                                <w:spacing w:val="-5"/>
                                <w:sz w:val="20"/>
                              </w:rPr>
                              <w:t>350</w:t>
                            </w:r>
                          </w:p>
                        </w:tc>
                      </w:tr>
                      <w:tr>
                        <w:trPr>
                          <w:trHeight w:val="331" w:hRule="atLeast"/>
                        </w:trPr>
                        <w:tc>
                          <w:tcPr>
                            <w:tcW w:w="772" w:type="dxa"/>
                          </w:tcPr>
                          <w:p>
                            <w:pPr>
                              <w:pStyle w:val="TableParagraph"/>
                              <w:spacing w:before="56"/>
                              <w:ind w:left="50"/>
                              <w:jc w:val="left"/>
                              <w:rPr>
                                <w:sz w:val="20"/>
                              </w:rPr>
                            </w:pPr>
                            <w:hyperlink w:history="true" w:anchor="_bookmark28">
                              <w:r>
                                <w:rPr>
                                  <w:sz w:val="20"/>
                                </w:rPr>
                                <w:t>351</w:t>
                              </w:r>
                            </w:hyperlink>
                            <w:r>
                              <w:rPr>
                                <w:sz w:val="20"/>
                              </w:rPr>
                              <w:t>-</w:t>
                            </w:r>
                            <w:r>
                              <w:rPr>
                                <w:spacing w:val="-5"/>
                                <w:sz w:val="20"/>
                              </w:rPr>
                              <w:t>388</w:t>
                            </w:r>
                          </w:p>
                        </w:tc>
                      </w:tr>
                      <w:tr>
                        <w:trPr>
                          <w:trHeight w:val="352" w:hRule="atLeast"/>
                        </w:trPr>
                        <w:tc>
                          <w:tcPr>
                            <w:tcW w:w="772" w:type="dxa"/>
                          </w:tcPr>
                          <w:p>
                            <w:pPr>
                              <w:pStyle w:val="TableParagraph"/>
                              <w:spacing w:before="37"/>
                              <w:ind w:left="50"/>
                              <w:jc w:val="left"/>
                              <w:rPr>
                                <w:sz w:val="20"/>
                              </w:rPr>
                            </w:pPr>
                            <w:hyperlink w:history="true" w:anchor="_bookmark30">
                              <w:r>
                                <w:rPr>
                                  <w:sz w:val="20"/>
                                </w:rPr>
                                <w:t>389</w:t>
                              </w:r>
                            </w:hyperlink>
                            <w:r>
                              <w:rPr>
                                <w:sz w:val="20"/>
                              </w:rPr>
                              <w:t>-</w:t>
                            </w:r>
                            <w:r>
                              <w:rPr>
                                <w:spacing w:val="-5"/>
                                <w:sz w:val="20"/>
                              </w:rPr>
                              <w:t>476</w:t>
                            </w:r>
                          </w:p>
                        </w:tc>
                      </w:tr>
                      <w:tr>
                        <w:trPr>
                          <w:trHeight w:val="372" w:hRule="atLeast"/>
                        </w:trPr>
                        <w:tc>
                          <w:tcPr>
                            <w:tcW w:w="772" w:type="dxa"/>
                          </w:tcPr>
                          <w:p>
                            <w:pPr>
                              <w:pStyle w:val="TableParagraph"/>
                              <w:spacing w:before="78"/>
                              <w:ind w:left="50"/>
                              <w:jc w:val="left"/>
                              <w:rPr>
                                <w:sz w:val="20"/>
                              </w:rPr>
                            </w:pPr>
                            <w:hyperlink w:history="true" w:anchor="_bookmark33">
                              <w:r>
                                <w:rPr>
                                  <w:sz w:val="20"/>
                                </w:rPr>
                                <w:t>477</w:t>
                              </w:r>
                            </w:hyperlink>
                            <w:r>
                              <w:rPr>
                                <w:sz w:val="20"/>
                              </w:rPr>
                              <w:t>-</w:t>
                            </w:r>
                            <w:r>
                              <w:rPr>
                                <w:spacing w:val="-5"/>
                                <w:sz w:val="20"/>
                              </w:rPr>
                              <w:t>801</w:t>
                            </w:r>
                          </w:p>
                        </w:tc>
                      </w:tr>
                      <w:tr>
                        <w:trPr>
                          <w:trHeight w:val="350" w:hRule="atLeast"/>
                        </w:trPr>
                        <w:tc>
                          <w:tcPr>
                            <w:tcW w:w="772" w:type="dxa"/>
                          </w:tcPr>
                          <w:p>
                            <w:pPr>
                              <w:pStyle w:val="TableParagraph"/>
                              <w:spacing w:before="56"/>
                              <w:ind w:left="50"/>
                              <w:jc w:val="left"/>
                              <w:rPr>
                                <w:sz w:val="20"/>
                              </w:rPr>
                            </w:pPr>
                            <w:hyperlink w:history="true" w:anchor="_bookmark35">
                              <w:r>
                                <w:rPr>
                                  <w:sz w:val="20"/>
                                </w:rPr>
                                <w:t>507</w:t>
                              </w:r>
                            </w:hyperlink>
                            <w:r>
                              <w:rPr>
                                <w:sz w:val="20"/>
                              </w:rPr>
                              <w:t>-</w:t>
                            </w:r>
                            <w:r>
                              <w:rPr>
                                <w:spacing w:val="-5"/>
                                <w:sz w:val="20"/>
                              </w:rPr>
                              <w:t>529</w:t>
                            </w:r>
                          </w:p>
                        </w:tc>
                      </w:tr>
                      <w:tr>
                        <w:trPr>
                          <w:trHeight w:val="350" w:hRule="atLeast"/>
                        </w:trPr>
                        <w:tc>
                          <w:tcPr>
                            <w:tcW w:w="772" w:type="dxa"/>
                          </w:tcPr>
                          <w:p>
                            <w:pPr>
                              <w:pStyle w:val="TableParagraph"/>
                              <w:spacing w:before="56"/>
                              <w:ind w:left="50"/>
                              <w:jc w:val="left"/>
                              <w:rPr>
                                <w:sz w:val="20"/>
                              </w:rPr>
                            </w:pPr>
                            <w:hyperlink w:history="true" w:anchor="_bookmark37">
                              <w:r>
                                <w:rPr>
                                  <w:sz w:val="20"/>
                                </w:rPr>
                                <w:t>530</w:t>
                              </w:r>
                            </w:hyperlink>
                            <w:r>
                              <w:rPr>
                                <w:sz w:val="20"/>
                              </w:rPr>
                              <w:t>-</w:t>
                            </w:r>
                            <w:r>
                              <w:rPr>
                                <w:spacing w:val="-5"/>
                                <w:sz w:val="20"/>
                              </w:rPr>
                              <w:t>582</w:t>
                            </w:r>
                          </w:p>
                        </w:tc>
                      </w:tr>
                      <w:tr>
                        <w:trPr>
                          <w:trHeight w:val="350" w:hRule="atLeast"/>
                        </w:trPr>
                        <w:tc>
                          <w:tcPr>
                            <w:tcW w:w="772" w:type="dxa"/>
                          </w:tcPr>
                          <w:p>
                            <w:pPr>
                              <w:pStyle w:val="TableParagraph"/>
                              <w:spacing w:before="56"/>
                              <w:ind w:left="50"/>
                              <w:jc w:val="left"/>
                              <w:rPr>
                                <w:sz w:val="20"/>
                              </w:rPr>
                            </w:pPr>
                            <w:hyperlink w:history="true" w:anchor="_bookmark39">
                              <w:r>
                                <w:rPr>
                                  <w:sz w:val="20"/>
                                </w:rPr>
                                <w:t>583</w:t>
                              </w:r>
                            </w:hyperlink>
                            <w:r>
                              <w:rPr>
                                <w:sz w:val="20"/>
                              </w:rPr>
                              <w:t>-</w:t>
                            </w:r>
                            <w:r>
                              <w:rPr>
                                <w:spacing w:val="-5"/>
                                <w:sz w:val="20"/>
                              </w:rPr>
                              <w:t>702</w:t>
                            </w:r>
                          </w:p>
                        </w:tc>
                      </w:tr>
                      <w:tr>
                        <w:trPr>
                          <w:trHeight w:val="350" w:hRule="atLeast"/>
                        </w:trPr>
                        <w:tc>
                          <w:tcPr>
                            <w:tcW w:w="772" w:type="dxa"/>
                          </w:tcPr>
                          <w:p>
                            <w:pPr>
                              <w:pStyle w:val="TableParagraph"/>
                              <w:spacing w:before="56"/>
                              <w:ind w:left="50"/>
                              <w:jc w:val="left"/>
                              <w:rPr>
                                <w:sz w:val="20"/>
                              </w:rPr>
                            </w:pPr>
                            <w:hyperlink w:history="true" w:anchor="_bookmark43">
                              <w:r>
                                <w:rPr>
                                  <w:sz w:val="20"/>
                                </w:rPr>
                                <w:t>703</w:t>
                              </w:r>
                            </w:hyperlink>
                            <w:r>
                              <w:rPr>
                                <w:sz w:val="20"/>
                              </w:rPr>
                              <w:t>-</w:t>
                            </w:r>
                            <w:r>
                              <w:rPr>
                                <w:spacing w:val="-5"/>
                                <w:sz w:val="20"/>
                              </w:rPr>
                              <w:t>801</w:t>
                            </w:r>
                          </w:p>
                        </w:tc>
                      </w:tr>
                      <w:tr>
                        <w:trPr>
                          <w:trHeight w:val="350" w:hRule="atLeast"/>
                        </w:trPr>
                        <w:tc>
                          <w:tcPr>
                            <w:tcW w:w="772" w:type="dxa"/>
                          </w:tcPr>
                          <w:p>
                            <w:pPr>
                              <w:pStyle w:val="TableParagraph"/>
                              <w:spacing w:before="56"/>
                              <w:ind w:left="50"/>
                              <w:jc w:val="left"/>
                              <w:rPr>
                                <w:sz w:val="20"/>
                              </w:rPr>
                            </w:pPr>
                            <w:hyperlink w:history="true" w:anchor="_bookmark50">
                              <w:r>
                                <w:rPr>
                                  <w:sz w:val="20"/>
                                </w:rPr>
                                <w:t>802</w:t>
                              </w:r>
                            </w:hyperlink>
                            <w:r>
                              <w:rPr>
                                <w:sz w:val="20"/>
                              </w:rPr>
                              <w:t>-</w:t>
                            </w:r>
                            <w:r>
                              <w:rPr>
                                <w:spacing w:val="-5"/>
                                <w:sz w:val="20"/>
                              </w:rPr>
                              <w:t>828</w:t>
                            </w:r>
                          </w:p>
                        </w:tc>
                      </w:tr>
                      <w:tr>
                        <w:trPr>
                          <w:trHeight w:val="350" w:hRule="atLeast"/>
                        </w:trPr>
                        <w:tc>
                          <w:tcPr>
                            <w:tcW w:w="772" w:type="dxa"/>
                          </w:tcPr>
                          <w:p>
                            <w:pPr>
                              <w:pStyle w:val="TableParagraph"/>
                              <w:spacing w:before="56"/>
                              <w:ind w:left="50"/>
                              <w:jc w:val="left"/>
                              <w:rPr>
                                <w:sz w:val="20"/>
                              </w:rPr>
                            </w:pPr>
                            <w:hyperlink w:history="true" w:anchor="_bookmark52">
                              <w:r>
                                <w:rPr>
                                  <w:sz w:val="20"/>
                                </w:rPr>
                                <w:t>829</w:t>
                              </w:r>
                            </w:hyperlink>
                            <w:r>
                              <w:rPr>
                                <w:sz w:val="20"/>
                              </w:rPr>
                              <w:t>-</w:t>
                            </w:r>
                            <w:r>
                              <w:rPr>
                                <w:spacing w:val="-5"/>
                                <w:sz w:val="20"/>
                              </w:rPr>
                              <w:t>835</w:t>
                            </w:r>
                          </w:p>
                        </w:tc>
                      </w:tr>
                      <w:tr>
                        <w:trPr>
                          <w:trHeight w:val="352" w:hRule="atLeast"/>
                        </w:trPr>
                        <w:tc>
                          <w:tcPr>
                            <w:tcW w:w="772" w:type="dxa"/>
                          </w:tcPr>
                          <w:p>
                            <w:pPr>
                              <w:pStyle w:val="TableParagraph"/>
                              <w:spacing w:before="56"/>
                              <w:ind w:left="50"/>
                              <w:jc w:val="left"/>
                              <w:rPr>
                                <w:sz w:val="20"/>
                              </w:rPr>
                            </w:pPr>
                            <w:hyperlink w:history="true" w:anchor="_bookmark54">
                              <w:r>
                                <w:rPr>
                                  <w:sz w:val="20"/>
                                </w:rPr>
                                <w:t>836</w:t>
                              </w:r>
                            </w:hyperlink>
                            <w:r>
                              <w:rPr>
                                <w:sz w:val="20"/>
                              </w:rPr>
                              <w:t>-</w:t>
                            </w:r>
                            <w:r>
                              <w:rPr>
                                <w:spacing w:val="-5"/>
                                <w:sz w:val="20"/>
                              </w:rPr>
                              <w:t>948</w:t>
                            </w:r>
                          </w:p>
                        </w:tc>
                      </w:tr>
                      <w:tr>
                        <w:trPr>
                          <w:trHeight w:val="352" w:hRule="atLeast"/>
                        </w:trPr>
                        <w:tc>
                          <w:tcPr>
                            <w:tcW w:w="772" w:type="dxa"/>
                          </w:tcPr>
                          <w:p>
                            <w:pPr>
                              <w:pStyle w:val="TableParagraph"/>
                              <w:spacing w:before="59"/>
                              <w:ind w:left="50"/>
                              <w:jc w:val="left"/>
                              <w:rPr>
                                <w:sz w:val="20"/>
                              </w:rPr>
                            </w:pPr>
                            <w:hyperlink w:history="true" w:anchor="_bookmark56">
                              <w:r>
                                <w:rPr>
                                  <w:sz w:val="20"/>
                                </w:rPr>
                                <w:t>949</w:t>
                              </w:r>
                            </w:hyperlink>
                            <w:r>
                              <w:rPr>
                                <w:sz w:val="20"/>
                              </w:rPr>
                              <w:t>-</w:t>
                            </w:r>
                            <w:r>
                              <w:rPr>
                                <w:spacing w:val="-5"/>
                                <w:sz w:val="20"/>
                              </w:rPr>
                              <w:t>954</w:t>
                            </w:r>
                          </w:p>
                        </w:tc>
                      </w:tr>
                      <w:tr>
                        <w:trPr>
                          <w:trHeight w:val="350" w:hRule="atLeast"/>
                        </w:trPr>
                        <w:tc>
                          <w:tcPr>
                            <w:tcW w:w="772" w:type="dxa"/>
                          </w:tcPr>
                          <w:p>
                            <w:pPr>
                              <w:pStyle w:val="TableParagraph"/>
                              <w:spacing w:before="56"/>
                              <w:ind w:left="50"/>
                              <w:jc w:val="left"/>
                              <w:rPr>
                                <w:sz w:val="20"/>
                              </w:rPr>
                            </w:pPr>
                            <w:hyperlink w:history="true" w:anchor="_bookmark58">
                              <w:r>
                                <w:rPr>
                                  <w:sz w:val="20"/>
                                </w:rPr>
                                <w:t>955</w:t>
                              </w:r>
                            </w:hyperlink>
                            <w:r>
                              <w:rPr>
                                <w:sz w:val="20"/>
                              </w:rPr>
                              <w:t>-</w:t>
                            </w:r>
                            <w:r>
                              <w:rPr>
                                <w:spacing w:val="-5"/>
                                <w:sz w:val="20"/>
                              </w:rPr>
                              <w:t>972</w:t>
                            </w:r>
                          </w:p>
                        </w:tc>
                      </w:tr>
                      <w:tr>
                        <w:trPr>
                          <w:trHeight w:val="287" w:hRule="atLeast"/>
                        </w:trPr>
                        <w:tc>
                          <w:tcPr>
                            <w:tcW w:w="772" w:type="dxa"/>
                          </w:tcPr>
                          <w:p>
                            <w:pPr>
                              <w:pStyle w:val="TableParagraph"/>
                              <w:spacing w:line="210" w:lineRule="exact" w:before="57"/>
                              <w:ind w:left="50"/>
                              <w:jc w:val="left"/>
                              <w:rPr>
                                <w:sz w:val="20"/>
                              </w:rPr>
                            </w:pPr>
                            <w:hyperlink w:history="true" w:anchor="_bookmark60">
                              <w:r>
                                <w:rPr>
                                  <w:sz w:val="20"/>
                                </w:rPr>
                                <w:t>973</w:t>
                              </w:r>
                            </w:hyperlink>
                            <w:hyperlink w:history="true" w:anchor="_bookmark61">
                              <w:r>
                                <w:rPr>
                                  <w:sz w:val="20"/>
                                </w:rPr>
                                <w:t>-</w:t>
                              </w:r>
                              <w:r>
                                <w:rPr>
                                  <w:spacing w:val="-5"/>
                                  <w:sz w:val="20"/>
                                </w:rPr>
                                <w:t>993</w:t>
                              </w:r>
                            </w:hyperlink>
                          </w:p>
                        </w:tc>
                      </w:tr>
                    </w:tbl>
                    <w:p>
                      <w:pPr>
                        <w:pStyle w:val="BodyText"/>
                      </w:pPr>
                    </w:p>
                  </w:txbxContent>
                </v:textbox>
                <w10:wrap type="none"/>
              </v:shape>
            </w:pict>
          </w:r>
          <w:hyperlink w:history="true" w:anchor="_bookmark2">
            <w:r>
              <w:rPr/>
              <w:t>budget</w:t>
            </w:r>
            <w:r>
              <w:rPr>
                <w:spacing w:val="-2"/>
              </w:rPr>
              <w:t> </w:t>
            </w:r>
            <w:r>
              <w:rPr/>
              <w:t>priorities</w:t>
            </w:r>
            <w:r>
              <w:rPr>
                <w:spacing w:val="-8"/>
              </w:rPr>
              <w:t> </w:t>
            </w:r>
            <w:r>
              <w:rPr/>
              <w:t>and</w:t>
            </w:r>
            <w:r>
              <w:rPr>
                <w:spacing w:val="-8"/>
              </w:rPr>
              <w:t> </w:t>
            </w:r>
            <w:r>
              <w:rPr/>
              <w:t>operating</w:t>
            </w:r>
            <w:r>
              <w:rPr>
                <w:spacing w:val="-7"/>
              </w:rPr>
              <w:t> </w:t>
            </w:r>
            <w:r>
              <w:rPr>
                <w:spacing w:val="-2"/>
              </w:rPr>
              <w:t>parameters</w:t>
            </w:r>
            <w:r>
              <w:rPr/>
              <w:tab/>
            </w:r>
            <w:r>
              <w:rPr>
                <w:spacing w:val="-10"/>
              </w:rPr>
              <w:t>7</w:t>
            </w:r>
          </w:hyperlink>
        </w:p>
        <w:p>
          <w:pPr>
            <w:pStyle w:val="TOC1"/>
            <w:numPr>
              <w:ilvl w:val="1"/>
              <w:numId w:val="1"/>
            </w:numPr>
            <w:tabs>
              <w:tab w:pos="1819" w:val="left" w:leader="none"/>
              <w:tab w:pos="1820" w:val="left" w:leader="none"/>
              <w:tab w:pos="9612" w:val="right" w:leader="dot"/>
            </w:tabs>
            <w:spacing w:line="240" w:lineRule="auto" w:before="120" w:after="0"/>
            <w:ind w:left="1819" w:right="0" w:hanging="568"/>
            <w:jc w:val="left"/>
          </w:pPr>
          <w:hyperlink w:history="true" w:anchor="_bookmark3">
            <w:r>
              <w:rPr>
                <w:spacing w:val="-2"/>
              </w:rPr>
              <w:t>Introduction</w:t>
            </w:r>
            <w:r>
              <w:rPr/>
              <w:tab/>
            </w:r>
            <w:r>
              <w:rPr>
                <w:spacing w:val="-10"/>
              </w:rPr>
              <w:t>7</w:t>
            </w:r>
          </w:hyperlink>
        </w:p>
        <w:p>
          <w:pPr>
            <w:pStyle w:val="TOC1"/>
            <w:numPr>
              <w:ilvl w:val="1"/>
              <w:numId w:val="1"/>
            </w:numPr>
            <w:tabs>
              <w:tab w:pos="1819" w:val="left" w:leader="none"/>
              <w:tab w:pos="1820" w:val="left" w:leader="none"/>
              <w:tab w:pos="9612" w:val="right" w:leader="dot"/>
            </w:tabs>
            <w:spacing w:line="240" w:lineRule="auto" w:before="121" w:after="0"/>
            <w:ind w:left="1819" w:right="0" w:hanging="568"/>
            <w:jc w:val="left"/>
          </w:pPr>
          <w:hyperlink w:history="true" w:anchor="_bookmark5">
            <w:r>
              <w:rPr>
                <w:spacing w:val="-6"/>
              </w:rPr>
              <w:t>High-level</w:t>
            </w:r>
            <w:r>
              <w:rPr>
                <w:spacing w:val="-9"/>
              </w:rPr>
              <w:t> </w:t>
            </w:r>
            <w:r>
              <w:rPr>
                <w:spacing w:val="-6"/>
              </w:rPr>
              <w:t>Court-wide</w:t>
            </w:r>
            <w:r>
              <w:rPr>
                <w:spacing w:val="-2"/>
              </w:rPr>
              <w:t> </w:t>
            </w:r>
            <w:r>
              <w:rPr>
                <w:spacing w:val="-6"/>
              </w:rPr>
              <w:t>strategic</w:t>
            </w:r>
            <w:r>
              <w:rPr>
                <w:spacing w:val="-5"/>
              </w:rPr>
              <w:t> </w:t>
            </w:r>
            <w:r>
              <w:rPr>
                <w:spacing w:val="-6"/>
              </w:rPr>
              <w:t>budget</w:t>
            </w:r>
            <w:r>
              <w:rPr>
                <w:spacing w:val="-7"/>
              </w:rPr>
              <w:t> </w:t>
            </w:r>
            <w:r>
              <w:rPr>
                <w:spacing w:val="-6"/>
              </w:rPr>
              <w:t>priorities</w:t>
            </w:r>
            <w:r>
              <w:rPr>
                <w:spacing w:val="-5"/>
              </w:rPr>
              <w:t> </w:t>
            </w:r>
            <w:r>
              <w:rPr>
                <w:spacing w:val="-6"/>
              </w:rPr>
              <w:t>for</w:t>
            </w:r>
            <w:r>
              <w:rPr>
                <w:spacing w:val="-7"/>
              </w:rPr>
              <w:t> </w:t>
            </w:r>
            <w:r>
              <w:rPr>
                <w:spacing w:val="-6"/>
              </w:rPr>
              <w:t>2023</w:t>
            </w:r>
            <w:r>
              <w:rPr/>
              <w:tab/>
            </w:r>
            <w:r>
              <w:rPr>
                <w:spacing w:val="-10"/>
              </w:rPr>
              <w:t>9</w:t>
            </w:r>
          </w:hyperlink>
        </w:p>
        <w:p>
          <w:pPr>
            <w:pStyle w:val="TOC1"/>
            <w:numPr>
              <w:ilvl w:val="1"/>
              <w:numId w:val="1"/>
            </w:numPr>
            <w:tabs>
              <w:tab w:pos="1819" w:val="left" w:leader="none"/>
              <w:tab w:pos="1820" w:val="left" w:leader="none"/>
              <w:tab w:pos="9607" w:val="right" w:leader="dot"/>
            </w:tabs>
            <w:spacing w:line="240" w:lineRule="auto" w:before="120" w:after="0"/>
            <w:ind w:left="1819" w:right="0" w:hanging="568"/>
            <w:jc w:val="left"/>
          </w:pPr>
          <w:hyperlink w:history="true" w:anchor="_bookmark7">
            <w:r>
              <w:rPr>
                <w:spacing w:val="-6"/>
              </w:rPr>
              <w:t>Overview</w:t>
            </w:r>
            <w:r>
              <w:rPr>
                <w:spacing w:val="-9"/>
              </w:rPr>
              <w:t> </w:t>
            </w:r>
            <w:r>
              <w:rPr>
                <w:spacing w:val="-6"/>
              </w:rPr>
              <w:t>of</w:t>
            </w:r>
            <w:r>
              <w:rPr>
                <w:spacing w:val="-5"/>
              </w:rPr>
              <w:t> </w:t>
            </w:r>
            <w:r>
              <w:rPr>
                <w:spacing w:val="-6"/>
              </w:rPr>
              <w:t>the</w:t>
            </w:r>
            <w:r>
              <w:rPr>
                <w:spacing w:val="-1"/>
              </w:rPr>
              <w:t> </w:t>
            </w:r>
            <w:r>
              <w:rPr>
                <w:spacing w:val="-6"/>
              </w:rPr>
              <w:t>situations</w:t>
            </w:r>
            <w:r>
              <w:rPr>
                <w:spacing w:val="-7"/>
              </w:rPr>
              <w:t> </w:t>
            </w:r>
            <w:r>
              <w:rPr>
                <w:spacing w:val="-6"/>
              </w:rPr>
              <w:t>and</w:t>
            </w:r>
            <w:r>
              <w:rPr>
                <w:spacing w:val="-4"/>
              </w:rPr>
              <w:t> </w:t>
            </w:r>
            <w:r>
              <w:rPr>
                <w:spacing w:val="-6"/>
              </w:rPr>
              <w:t>cases</w:t>
            </w:r>
            <w:r>
              <w:rPr>
                <w:spacing w:val="-7"/>
              </w:rPr>
              <w:t> </w:t>
            </w:r>
            <w:r>
              <w:rPr>
                <w:spacing w:val="-6"/>
              </w:rPr>
              <w:t>in</w:t>
            </w:r>
            <w:r>
              <w:rPr>
                <w:spacing w:val="-4"/>
              </w:rPr>
              <w:t> </w:t>
            </w:r>
            <w:r>
              <w:rPr>
                <w:spacing w:val="-6"/>
              </w:rPr>
              <w:t>2023</w:t>
            </w:r>
            <w:r>
              <w:rPr/>
              <w:tab/>
            </w:r>
            <w:r>
              <w:rPr>
                <w:spacing w:val="-5"/>
              </w:rPr>
              <w:t>12</w:t>
            </w:r>
          </w:hyperlink>
        </w:p>
        <w:p>
          <w:pPr>
            <w:pStyle w:val="TOC1"/>
            <w:numPr>
              <w:ilvl w:val="1"/>
              <w:numId w:val="1"/>
            </w:numPr>
            <w:tabs>
              <w:tab w:pos="1819" w:val="left" w:leader="none"/>
              <w:tab w:pos="1820" w:val="left" w:leader="none"/>
              <w:tab w:pos="9607" w:val="right" w:leader="dot"/>
            </w:tabs>
            <w:spacing w:line="240" w:lineRule="auto" w:before="120" w:after="0"/>
            <w:ind w:left="1819" w:right="0" w:hanging="568"/>
            <w:jc w:val="left"/>
          </w:pPr>
          <w:hyperlink w:history="true" w:anchor="_bookmark9">
            <w:r>
              <w:rPr>
                <w:spacing w:val="-2"/>
              </w:rPr>
              <w:t>Macroanalysis</w:t>
            </w:r>
            <w:r>
              <w:rPr/>
              <w:tab/>
            </w:r>
            <w:r>
              <w:rPr>
                <w:spacing w:val="-5"/>
              </w:rPr>
              <w:t>18</w:t>
            </w:r>
          </w:hyperlink>
        </w:p>
        <w:p>
          <w:pPr>
            <w:pStyle w:val="TOC1"/>
            <w:numPr>
              <w:ilvl w:val="1"/>
              <w:numId w:val="1"/>
            </w:numPr>
            <w:tabs>
              <w:tab w:pos="1819" w:val="left" w:leader="none"/>
              <w:tab w:pos="1820" w:val="left" w:leader="none"/>
              <w:tab w:pos="9607" w:val="right" w:leader="dot"/>
            </w:tabs>
            <w:spacing w:line="240" w:lineRule="auto" w:before="121" w:after="0"/>
            <w:ind w:left="1819" w:right="0" w:hanging="568"/>
            <w:jc w:val="left"/>
          </w:pPr>
          <w:hyperlink w:history="true" w:anchor="_bookmark11">
            <w:r>
              <w:rPr>
                <w:spacing w:val="-6"/>
              </w:rPr>
              <w:t>Savings and</w:t>
            </w:r>
            <w:r>
              <w:rPr>
                <w:spacing w:val="-2"/>
              </w:rPr>
              <w:t> </w:t>
            </w:r>
            <w:r>
              <w:rPr>
                <w:spacing w:val="-6"/>
              </w:rPr>
              <w:t>efficiencies</w:t>
            </w:r>
            <w:r>
              <w:rPr/>
              <w:tab/>
            </w:r>
            <w:r>
              <w:rPr>
                <w:spacing w:val="-5"/>
                <w:w w:val="95"/>
              </w:rPr>
              <w:t>19</w:t>
            </w:r>
          </w:hyperlink>
        </w:p>
        <w:p>
          <w:pPr>
            <w:pStyle w:val="TOC1"/>
            <w:numPr>
              <w:ilvl w:val="0"/>
              <w:numId w:val="1"/>
            </w:numPr>
            <w:tabs>
              <w:tab w:pos="1819" w:val="left" w:leader="none"/>
              <w:tab w:pos="1820" w:val="left" w:leader="none"/>
              <w:tab w:pos="9607" w:val="right" w:leader="dot"/>
            </w:tabs>
            <w:spacing w:line="240" w:lineRule="auto" w:before="121" w:after="0"/>
            <w:ind w:left="1819" w:right="0" w:hanging="568"/>
            <w:jc w:val="left"/>
          </w:pPr>
          <w:hyperlink w:history="true" w:anchor="_bookmark13">
            <w:r>
              <w:rPr>
                <w:spacing w:val="-6"/>
              </w:rPr>
              <w:t>Proposed</w:t>
            </w:r>
            <w:r>
              <w:rPr>
                <w:spacing w:val="-9"/>
              </w:rPr>
              <w:t> </w:t>
            </w:r>
            <w:r>
              <w:rPr>
                <w:spacing w:val="-6"/>
              </w:rPr>
              <w:t>Programme</w:t>
            </w:r>
            <w:r>
              <w:rPr>
                <w:spacing w:val="-4"/>
              </w:rPr>
              <w:t> </w:t>
            </w:r>
            <w:r>
              <w:rPr>
                <w:spacing w:val="-6"/>
              </w:rPr>
              <w:t>Budget for</w:t>
            </w:r>
            <w:r>
              <w:rPr/>
              <w:t> </w:t>
            </w:r>
            <w:r>
              <w:rPr>
                <w:spacing w:val="-6"/>
              </w:rPr>
              <w:t>2023</w:t>
            </w:r>
            <w:r>
              <w:rPr/>
              <w:tab/>
            </w:r>
            <w:r>
              <w:rPr>
                <w:spacing w:val="-5"/>
              </w:rPr>
              <w:t>22</w:t>
            </w:r>
          </w:hyperlink>
        </w:p>
        <w:p>
          <w:pPr>
            <w:pStyle w:val="TOC1"/>
            <w:numPr>
              <w:ilvl w:val="1"/>
              <w:numId w:val="1"/>
            </w:numPr>
            <w:tabs>
              <w:tab w:pos="1819" w:val="left" w:leader="none"/>
              <w:tab w:pos="1820" w:val="left" w:leader="none"/>
              <w:tab w:pos="9607" w:val="right" w:leader="dot"/>
            </w:tabs>
            <w:spacing w:line="240" w:lineRule="auto" w:before="120" w:after="0"/>
            <w:ind w:left="1819" w:right="0" w:hanging="568"/>
            <w:jc w:val="left"/>
          </w:pPr>
          <w:hyperlink w:history="true" w:anchor="_bookmark14">
            <w:r>
              <w:rPr>
                <w:spacing w:val="-6"/>
              </w:rPr>
              <w:t>Major Programme</w:t>
            </w:r>
            <w:r>
              <w:rPr>
                <w:spacing w:val="-3"/>
              </w:rPr>
              <w:t> </w:t>
            </w:r>
            <w:r>
              <w:rPr>
                <w:spacing w:val="-6"/>
              </w:rPr>
              <w:t>I:</w:t>
            </w:r>
            <w:r>
              <w:rPr>
                <w:spacing w:val="-9"/>
              </w:rPr>
              <w:t> </w:t>
            </w:r>
            <w:r>
              <w:rPr>
                <w:spacing w:val="-6"/>
              </w:rPr>
              <w:t>Judiciary</w:t>
            </w:r>
            <w:r>
              <w:rPr/>
              <w:tab/>
            </w:r>
            <w:r>
              <w:rPr>
                <w:spacing w:val="-5"/>
              </w:rPr>
              <w:t>22</w:t>
            </w:r>
          </w:hyperlink>
        </w:p>
        <w:p>
          <w:pPr>
            <w:pStyle w:val="TOC1"/>
            <w:numPr>
              <w:ilvl w:val="2"/>
              <w:numId w:val="1"/>
            </w:numPr>
            <w:tabs>
              <w:tab w:pos="1819" w:val="left" w:leader="none"/>
              <w:tab w:pos="1820" w:val="left" w:leader="none"/>
              <w:tab w:pos="9607" w:val="right" w:leader="dot"/>
            </w:tabs>
            <w:spacing w:line="240" w:lineRule="auto" w:before="121" w:after="0"/>
            <w:ind w:left="1819" w:right="0" w:hanging="568"/>
            <w:jc w:val="left"/>
          </w:pPr>
          <w:hyperlink w:history="true" w:anchor="_bookmark16">
            <w:r>
              <w:rPr>
                <w:spacing w:val="-6"/>
              </w:rPr>
              <w:t>Programme</w:t>
            </w:r>
            <w:r>
              <w:rPr>
                <w:spacing w:val="-5"/>
              </w:rPr>
              <w:t> </w:t>
            </w:r>
            <w:r>
              <w:rPr>
                <w:spacing w:val="-6"/>
              </w:rPr>
              <w:t>1100:</w:t>
            </w:r>
            <w:r>
              <w:rPr>
                <w:spacing w:val="-7"/>
              </w:rPr>
              <w:t> </w:t>
            </w:r>
            <w:r>
              <w:rPr>
                <w:spacing w:val="-6"/>
              </w:rPr>
              <w:t>The</w:t>
            </w:r>
            <w:r>
              <w:rPr>
                <w:spacing w:val="-4"/>
              </w:rPr>
              <w:t> </w:t>
            </w:r>
            <w:r>
              <w:rPr>
                <w:spacing w:val="-6"/>
              </w:rPr>
              <w:t>Presidency</w:t>
            </w:r>
            <w:r>
              <w:rPr/>
              <w:tab/>
            </w:r>
            <w:r>
              <w:rPr>
                <w:spacing w:val="-5"/>
              </w:rPr>
              <w:t>24</w:t>
            </w:r>
          </w:hyperlink>
        </w:p>
        <w:p>
          <w:pPr>
            <w:pStyle w:val="TOC1"/>
            <w:numPr>
              <w:ilvl w:val="2"/>
              <w:numId w:val="1"/>
            </w:numPr>
            <w:tabs>
              <w:tab w:pos="1819" w:val="left" w:leader="none"/>
              <w:tab w:pos="1820" w:val="left" w:leader="none"/>
              <w:tab w:pos="9607" w:val="right" w:leader="dot"/>
            </w:tabs>
            <w:spacing w:line="240" w:lineRule="auto" w:before="115" w:after="0"/>
            <w:ind w:left="1819" w:right="0" w:hanging="568"/>
            <w:jc w:val="left"/>
          </w:pPr>
          <w:hyperlink w:history="true" w:anchor="_bookmark18">
            <w:r>
              <w:rPr>
                <w:spacing w:val="-6"/>
              </w:rPr>
              <w:t>Programme</w:t>
            </w:r>
            <w:r>
              <w:rPr>
                <w:spacing w:val="-5"/>
              </w:rPr>
              <w:t> </w:t>
            </w:r>
            <w:r>
              <w:rPr>
                <w:spacing w:val="-6"/>
              </w:rPr>
              <w:t>1200:</w:t>
            </w:r>
            <w:r>
              <w:rPr>
                <w:spacing w:val="-5"/>
              </w:rPr>
              <w:t> </w:t>
            </w:r>
            <w:r>
              <w:rPr>
                <w:spacing w:val="-6"/>
              </w:rPr>
              <w:t>Chambers</w:t>
            </w:r>
            <w:r>
              <w:rPr/>
              <w:tab/>
            </w:r>
            <w:r>
              <w:rPr>
                <w:spacing w:val="-5"/>
              </w:rPr>
              <w:t>28</w:t>
            </w:r>
          </w:hyperlink>
        </w:p>
        <w:p>
          <w:pPr>
            <w:pStyle w:val="TOC1"/>
            <w:numPr>
              <w:ilvl w:val="1"/>
              <w:numId w:val="1"/>
            </w:numPr>
            <w:tabs>
              <w:tab w:pos="1819" w:val="left" w:leader="none"/>
              <w:tab w:pos="1820" w:val="left" w:leader="none"/>
              <w:tab w:pos="9607" w:val="right" w:leader="dot"/>
            </w:tabs>
            <w:spacing w:line="240" w:lineRule="auto" w:before="121" w:after="0"/>
            <w:ind w:left="1819" w:right="0" w:hanging="568"/>
            <w:jc w:val="left"/>
          </w:pPr>
          <w:hyperlink w:history="true" w:anchor="_bookmark21">
            <w:r>
              <w:rPr>
                <w:spacing w:val="-6"/>
              </w:rPr>
              <w:t>Major</w:t>
            </w:r>
            <w:r>
              <w:rPr>
                <w:spacing w:val="-9"/>
              </w:rPr>
              <w:t> </w:t>
            </w:r>
            <w:r>
              <w:rPr>
                <w:spacing w:val="-6"/>
              </w:rPr>
              <w:t>Programme</w:t>
            </w:r>
            <w:r>
              <w:rPr>
                <w:spacing w:val="-5"/>
              </w:rPr>
              <w:t> </w:t>
            </w:r>
            <w:r>
              <w:rPr>
                <w:spacing w:val="-6"/>
              </w:rPr>
              <w:t>II:</w:t>
            </w:r>
            <w:r>
              <w:rPr>
                <w:spacing w:val="-5"/>
              </w:rPr>
              <w:t> </w:t>
            </w:r>
            <w:r>
              <w:rPr>
                <w:spacing w:val="-6"/>
              </w:rPr>
              <w:t>Office</w:t>
            </w:r>
            <w:r>
              <w:rPr>
                <w:spacing w:val="-5"/>
              </w:rPr>
              <w:t> </w:t>
            </w:r>
            <w:r>
              <w:rPr>
                <w:spacing w:val="-6"/>
              </w:rPr>
              <w:t>of</w:t>
            </w:r>
            <w:r>
              <w:rPr>
                <w:spacing w:val="-7"/>
              </w:rPr>
              <w:t> </w:t>
            </w:r>
            <w:r>
              <w:rPr>
                <w:spacing w:val="-6"/>
              </w:rPr>
              <w:t>the</w:t>
            </w:r>
            <w:r>
              <w:rPr>
                <w:spacing w:val="1"/>
              </w:rPr>
              <w:t> </w:t>
            </w:r>
            <w:r>
              <w:rPr>
                <w:spacing w:val="-6"/>
              </w:rPr>
              <w:t>Prosecutor</w:t>
            </w:r>
            <w:r>
              <w:rPr/>
              <w:tab/>
            </w:r>
            <w:r>
              <w:rPr>
                <w:spacing w:val="-5"/>
              </w:rPr>
              <w:t>35</w:t>
            </w:r>
          </w:hyperlink>
        </w:p>
        <w:p>
          <w:pPr>
            <w:pStyle w:val="TOC1"/>
            <w:numPr>
              <w:ilvl w:val="2"/>
              <w:numId w:val="1"/>
            </w:numPr>
            <w:tabs>
              <w:tab w:pos="1819" w:val="left" w:leader="none"/>
              <w:tab w:pos="1820" w:val="left" w:leader="none"/>
              <w:tab w:pos="9607" w:val="right" w:leader="dot"/>
            </w:tabs>
            <w:spacing w:line="240" w:lineRule="auto" w:before="121" w:after="0"/>
            <w:ind w:left="1819" w:right="0" w:hanging="568"/>
            <w:jc w:val="left"/>
          </w:pPr>
          <w:hyperlink w:history="true" w:anchor="_bookmark23">
            <w:r>
              <w:rPr>
                <w:spacing w:val="-6"/>
              </w:rPr>
              <w:t>Programme</w:t>
            </w:r>
            <w:r>
              <w:rPr>
                <w:spacing w:val="-8"/>
              </w:rPr>
              <w:t> </w:t>
            </w:r>
            <w:r>
              <w:rPr>
                <w:spacing w:val="-6"/>
              </w:rPr>
              <w:t>A: Prosecutor</w:t>
            </w:r>
            <w:r>
              <w:rPr>
                <w:spacing w:val="-8"/>
              </w:rPr>
              <w:t> </w:t>
            </w:r>
            <w:r>
              <w:rPr>
                <w:spacing w:val="-6"/>
              </w:rPr>
              <w:t>Pillar</w:t>
            </w:r>
            <w:r>
              <w:rPr>
                <w:spacing w:val="-1"/>
              </w:rPr>
              <w:t> </w:t>
            </w:r>
            <w:r>
              <w:rPr>
                <w:spacing w:val="-6"/>
              </w:rPr>
              <w:t>–</w:t>
            </w:r>
            <w:r>
              <w:rPr>
                <w:spacing w:val="-7"/>
              </w:rPr>
              <w:t> </w:t>
            </w:r>
            <w:r>
              <w:rPr>
                <w:spacing w:val="-6"/>
              </w:rPr>
              <w:t>Programme</w:t>
            </w:r>
            <w:r>
              <w:rPr>
                <w:spacing w:val="-5"/>
              </w:rPr>
              <w:t> </w:t>
            </w:r>
            <w:r>
              <w:rPr>
                <w:spacing w:val="-6"/>
              </w:rPr>
              <w:t>2500</w:t>
            </w:r>
            <w:r>
              <w:rPr/>
              <w:tab/>
            </w:r>
            <w:r>
              <w:rPr>
                <w:spacing w:val="-5"/>
              </w:rPr>
              <w:t>45</w:t>
            </w:r>
          </w:hyperlink>
        </w:p>
        <w:p>
          <w:pPr>
            <w:pStyle w:val="TOC1"/>
            <w:numPr>
              <w:ilvl w:val="2"/>
              <w:numId w:val="1"/>
            </w:numPr>
            <w:tabs>
              <w:tab w:pos="1819" w:val="left" w:leader="none"/>
              <w:tab w:pos="1820" w:val="left" w:leader="none"/>
              <w:tab w:pos="9607" w:val="right" w:leader="dot"/>
            </w:tabs>
            <w:spacing w:line="240" w:lineRule="auto" w:before="120" w:after="0"/>
            <w:ind w:left="1819" w:right="0" w:hanging="568"/>
            <w:jc w:val="left"/>
          </w:pPr>
          <w:hyperlink w:history="true" w:anchor="_bookmark25">
            <w:r>
              <w:rPr>
                <w:spacing w:val="-6"/>
              </w:rPr>
              <w:t>Programme</w:t>
            </w:r>
            <w:r>
              <w:rPr>
                <w:spacing w:val="-9"/>
              </w:rPr>
              <w:t> </w:t>
            </w:r>
            <w:r>
              <w:rPr>
                <w:spacing w:val="-6"/>
              </w:rPr>
              <w:t>B1:</w:t>
            </w:r>
            <w:r>
              <w:rPr>
                <w:spacing w:val="-2"/>
              </w:rPr>
              <w:t> </w:t>
            </w:r>
            <w:r>
              <w:rPr>
                <w:spacing w:val="-6"/>
              </w:rPr>
              <w:t>Prosecution</w:t>
            </w:r>
            <w:r>
              <w:rPr>
                <w:spacing w:val="-8"/>
              </w:rPr>
              <w:t> </w:t>
            </w:r>
            <w:r>
              <w:rPr>
                <w:spacing w:val="-6"/>
              </w:rPr>
              <w:t>Pillar</w:t>
            </w:r>
            <w:r>
              <w:rPr>
                <w:spacing w:val="-2"/>
              </w:rPr>
              <w:t> </w:t>
            </w:r>
            <w:r>
              <w:rPr>
                <w:spacing w:val="-6"/>
              </w:rPr>
              <w:t>–</w:t>
            </w:r>
            <w:r>
              <w:rPr>
                <w:spacing w:val="-8"/>
              </w:rPr>
              <w:t> </w:t>
            </w:r>
            <w:r>
              <w:rPr>
                <w:spacing w:val="-6"/>
              </w:rPr>
              <w:t>Programme 2600</w:t>
            </w:r>
            <w:r>
              <w:rPr/>
              <w:tab/>
            </w:r>
            <w:r>
              <w:rPr>
                <w:spacing w:val="-5"/>
              </w:rPr>
              <w:t>60</w:t>
            </w:r>
          </w:hyperlink>
        </w:p>
        <w:p>
          <w:pPr>
            <w:pStyle w:val="TOC1"/>
            <w:numPr>
              <w:ilvl w:val="2"/>
              <w:numId w:val="1"/>
            </w:numPr>
            <w:tabs>
              <w:tab w:pos="1819" w:val="left" w:leader="none"/>
              <w:tab w:pos="1820" w:val="left" w:leader="none"/>
              <w:tab w:pos="9607" w:val="right" w:leader="dot"/>
            </w:tabs>
            <w:spacing w:line="240" w:lineRule="auto" w:before="120" w:after="0"/>
            <w:ind w:left="1819" w:right="0" w:hanging="568"/>
            <w:jc w:val="left"/>
          </w:pPr>
          <w:hyperlink w:history="true" w:anchor="_bookmark27">
            <w:r>
              <w:rPr>
                <w:spacing w:val="-6"/>
              </w:rPr>
              <w:t>Programme</w:t>
            </w:r>
            <w:r>
              <w:rPr>
                <w:spacing w:val="-9"/>
              </w:rPr>
              <w:t> </w:t>
            </w:r>
            <w:r>
              <w:rPr>
                <w:spacing w:val="-6"/>
              </w:rPr>
              <w:t>B2:</w:t>
            </w:r>
            <w:r>
              <w:rPr>
                <w:spacing w:val="-2"/>
              </w:rPr>
              <w:t> </w:t>
            </w:r>
            <w:r>
              <w:rPr>
                <w:spacing w:val="-6"/>
              </w:rPr>
              <w:t>Prosecution</w:t>
            </w:r>
            <w:r>
              <w:rPr>
                <w:spacing w:val="-8"/>
              </w:rPr>
              <w:t> </w:t>
            </w:r>
            <w:r>
              <w:rPr>
                <w:spacing w:val="-6"/>
              </w:rPr>
              <w:t>Pillar</w:t>
            </w:r>
            <w:r>
              <w:rPr>
                <w:spacing w:val="-2"/>
              </w:rPr>
              <w:t> </w:t>
            </w:r>
            <w:r>
              <w:rPr>
                <w:spacing w:val="-6"/>
              </w:rPr>
              <w:t>–</w:t>
            </w:r>
            <w:r>
              <w:rPr>
                <w:spacing w:val="-8"/>
              </w:rPr>
              <w:t> </w:t>
            </w:r>
            <w:r>
              <w:rPr>
                <w:spacing w:val="-6"/>
              </w:rPr>
              <w:t>Programme 2700</w:t>
            </w:r>
            <w:r>
              <w:rPr/>
              <w:tab/>
            </w:r>
            <w:r>
              <w:rPr>
                <w:spacing w:val="-5"/>
              </w:rPr>
              <w:t>70</w:t>
            </w:r>
          </w:hyperlink>
        </w:p>
        <w:p>
          <w:pPr>
            <w:pStyle w:val="TOC1"/>
            <w:numPr>
              <w:ilvl w:val="2"/>
              <w:numId w:val="1"/>
            </w:numPr>
            <w:tabs>
              <w:tab w:pos="1819" w:val="left" w:leader="none"/>
              <w:tab w:pos="1820" w:val="left" w:leader="none"/>
              <w:tab w:pos="9607" w:val="right" w:leader="dot"/>
            </w:tabs>
            <w:spacing w:line="240" w:lineRule="auto" w:before="121" w:after="0"/>
            <w:ind w:left="1819" w:right="0" w:hanging="568"/>
            <w:jc w:val="left"/>
          </w:pPr>
          <w:hyperlink w:history="true" w:anchor="_bookmark29">
            <w:r>
              <w:rPr>
                <w:spacing w:val="-6"/>
              </w:rPr>
              <w:t>Programme</w:t>
            </w:r>
            <w:r>
              <w:rPr>
                <w:spacing w:val="-8"/>
              </w:rPr>
              <w:t> </w:t>
            </w:r>
            <w:r>
              <w:rPr>
                <w:spacing w:val="-6"/>
              </w:rPr>
              <w:t>C:</w:t>
            </w:r>
            <w:r>
              <w:rPr>
                <w:spacing w:val="-7"/>
              </w:rPr>
              <w:t> </w:t>
            </w:r>
            <w:r>
              <w:rPr>
                <w:spacing w:val="-6"/>
              </w:rPr>
              <w:t>Integrated</w:t>
            </w:r>
            <w:r>
              <w:rPr>
                <w:spacing w:val="-3"/>
              </w:rPr>
              <w:t> </w:t>
            </w:r>
            <w:r>
              <w:rPr>
                <w:spacing w:val="-6"/>
              </w:rPr>
              <w:t>Services</w:t>
            </w:r>
            <w:r>
              <w:rPr>
                <w:spacing w:val="-4"/>
              </w:rPr>
              <w:t> </w:t>
            </w:r>
            <w:r>
              <w:rPr>
                <w:spacing w:val="-6"/>
              </w:rPr>
              <w:t>Pillar</w:t>
            </w:r>
            <w:r>
              <w:rPr>
                <w:spacing w:val="-7"/>
              </w:rPr>
              <w:t> </w:t>
            </w:r>
            <w:r>
              <w:rPr>
                <w:spacing w:val="-6"/>
              </w:rPr>
              <w:t>–</w:t>
            </w:r>
            <w:r>
              <w:rPr>
                <w:spacing w:val="-3"/>
              </w:rPr>
              <w:t> </w:t>
            </w:r>
            <w:r>
              <w:rPr>
                <w:spacing w:val="-6"/>
              </w:rPr>
              <w:t>Programme</w:t>
            </w:r>
            <w:r>
              <w:rPr>
                <w:spacing w:val="-5"/>
              </w:rPr>
              <w:t> </w:t>
            </w:r>
            <w:r>
              <w:rPr>
                <w:spacing w:val="-6"/>
              </w:rPr>
              <w:t>2800</w:t>
            </w:r>
            <w:r>
              <w:rPr/>
              <w:tab/>
            </w:r>
            <w:r>
              <w:rPr>
                <w:spacing w:val="-5"/>
              </w:rPr>
              <w:t>78</w:t>
            </w:r>
          </w:hyperlink>
        </w:p>
        <w:p>
          <w:pPr>
            <w:pStyle w:val="TOC1"/>
            <w:numPr>
              <w:ilvl w:val="1"/>
              <w:numId w:val="1"/>
            </w:numPr>
            <w:tabs>
              <w:tab w:pos="1819" w:val="left" w:leader="none"/>
              <w:tab w:pos="1820" w:val="left" w:leader="none"/>
              <w:tab w:pos="9607" w:val="right" w:leader="dot"/>
            </w:tabs>
            <w:spacing w:line="240" w:lineRule="auto" w:before="121" w:after="0"/>
            <w:ind w:left="1819" w:right="0" w:hanging="568"/>
            <w:jc w:val="left"/>
          </w:pPr>
          <w:hyperlink w:history="true" w:anchor="_bookmark32">
            <w:r>
              <w:rPr>
                <w:spacing w:val="-6"/>
              </w:rPr>
              <w:t>Major</w:t>
            </w:r>
            <w:r>
              <w:rPr>
                <w:spacing w:val="-7"/>
              </w:rPr>
              <w:t> </w:t>
            </w:r>
            <w:r>
              <w:rPr>
                <w:spacing w:val="-6"/>
              </w:rPr>
              <w:t>Programme</w:t>
            </w:r>
            <w:r>
              <w:rPr>
                <w:spacing w:val="-5"/>
              </w:rPr>
              <w:t> </w:t>
            </w:r>
            <w:r>
              <w:rPr>
                <w:spacing w:val="-6"/>
              </w:rPr>
              <w:t>III:</w:t>
            </w:r>
            <w:r>
              <w:rPr>
                <w:spacing w:val="-5"/>
              </w:rPr>
              <w:t> </w:t>
            </w:r>
            <w:r>
              <w:rPr>
                <w:spacing w:val="-6"/>
              </w:rPr>
              <w:t>Registry</w:t>
            </w:r>
            <w:r>
              <w:rPr/>
              <w:tab/>
            </w:r>
            <w:r>
              <w:rPr>
                <w:spacing w:val="-5"/>
                <w:w w:val="95"/>
              </w:rPr>
              <w:t>96</w:t>
            </w:r>
          </w:hyperlink>
        </w:p>
        <w:p>
          <w:pPr>
            <w:pStyle w:val="TOC1"/>
            <w:numPr>
              <w:ilvl w:val="2"/>
              <w:numId w:val="1"/>
            </w:numPr>
            <w:tabs>
              <w:tab w:pos="1819" w:val="left" w:leader="none"/>
              <w:tab w:pos="1820" w:val="left" w:leader="none"/>
              <w:tab w:pos="9612" w:val="right" w:leader="dot"/>
            </w:tabs>
            <w:spacing w:line="240" w:lineRule="auto" w:before="120" w:after="0"/>
            <w:ind w:left="1819" w:right="0" w:hanging="568"/>
            <w:jc w:val="left"/>
          </w:pPr>
          <w:hyperlink w:history="true" w:anchor="_bookmark34">
            <w:r>
              <w:rPr>
                <w:spacing w:val="-6"/>
              </w:rPr>
              <w:t>Programme</w:t>
            </w:r>
            <w:r>
              <w:rPr>
                <w:spacing w:val="-5"/>
              </w:rPr>
              <w:t> </w:t>
            </w:r>
            <w:r>
              <w:rPr>
                <w:spacing w:val="-6"/>
              </w:rPr>
              <w:t>3100:</w:t>
            </w:r>
            <w:r>
              <w:rPr>
                <w:spacing w:val="-5"/>
              </w:rPr>
              <w:t> </w:t>
            </w:r>
            <w:r>
              <w:rPr>
                <w:spacing w:val="-6"/>
              </w:rPr>
              <w:t>Office</w:t>
            </w:r>
            <w:r>
              <w:rPr>
                <w:spacing w:val="-2"/>
              </w:rPr>
              <w:t> </w:t>
            </w:r>
            <w:r>
              <w:rPr>
                <w:spacing w:val="-6"/>
              </w:rPr>
              <w:t>of</w:t>
            </w:r>
            <w:r>
              <w:rPr>
                <w:spacing w:val="-12"/>
              </w:rPr>
              <w:t> </w:t>
            </w:r>
            <w:r>
              <w:rPr>
                <w:spacing w:val="-6"/>
              </w:rPr>
              <w:t>the</w:t>
            </w:r>
            <w:r>
              <w:rPr>
                <w:spacing w:val="-2"/>
              </w:rPr>
              <w:t> </w:t>
            </w:r>
            <w:r>
              <w:rPr>
                <w:spacing w:val="-6"/>
                <w:w w:val="95"/>
              </w:rPr>
              <w:t>Registrar</w:t>
            </w:r>
            <w:r>
              <w:rPr/>
              <w:tab/>
            </w:r>
            <w:r>
              <w:rPr>
                <w:spacing w:val="-5"/>
              </w:rPr>
              <w:t>103</w:t>
            </w:r>
          </w:hyperlink>
        </w:p>
        <w:p>
          <w:pPr>
            <w:pStyle w:val="TOC1"/>
            <w:numPr>
              <w:ilvl w:val="2"/>
              <w:numId w:val="1"/>
            </w:numPr>
            <w:tabs>
              <w:tab w:pos="1819" w:val="left" w:leader="none"/>
              <w:tab w:pos="1820" w:val="left" w:leader="none"/>
              <w:tab w:pos="9612" w:val="right" w:leader="dot"/>
            </w:tabs>
            <w:spacing w:line="240" w:lineRule="auto" w:before="121" w:after="0"/>
            <w:ind w:left="1819" w:right="0" w:hanging="568"/>
            <w:jc w:val="left"/>
          </w:pPr>
          <w:hyperlink w:history="true" w:anchor="_bookmark36">
            <w:r>
              <w:rPr>
                <w:spacing w:val="-6"/>
              </w:rPr>
              <w:t>Programme</w:t>
            </w:r>
            <w:r>
              <w:rPr>
                <w:spacing w:val="-7"/>
              </w:rPr>
              <w:t> </w:t>
            </w:r>
            <w:r>
              <w:rPr>
                <w:spacing w:val="-6"/>
              </w:rPr>
              <w:t>3200:</w:t>
            </w:r>
            <w:r>
              <w:rPr>
                <w:spacing w:val="-5"/>
              </w:rPr>
              <w:t> </w:t>
            </w:r>
            <w:r>
              <w:rPr>
                <w:spacing w:val="-6"/>
              </w:rPr>
              <w:t>Division</w:t>
            </w:r>
            <w:r>
              <w:rPr>
                <w:spacing w:val="-7"/>
              </w:rPr>
              <w:t> </w:t>
            </w:r>
            <w:r>
              <w:rPr>
                <w:spacing w:val="-6"/>
              </w:rPr>
              <w:t>of</w:t>
            </w:r>
            <w:r>
              <w:rPr>
                <w:spacing w:val="-7"/>
              </w:rPr>
              <w:t> </w:t>
            </w:r>
            <w:r>
              <w:rPr>
                <w:spacing w:val="-6"/>
              </w:rPr>
              <w:t>Management</w:t>
            </w:r>
            <w:r>
              <w:rPr>
                <w:spacing w:val="-5"/>
              </w:rPr>
              <w:t> </w:t>
            </w:r>
            <w:r>
              <w:rPr>
                <w:spacing w:val="-6"/>
              </w:rPr>
              <w:t>Services</w:t>
            </w:r>
            <w:r>
              <w:rPr/>
              <w:tab/>
            </w:r>
            <w:r>
              <w:rPr>
                <w:spacing w:val="-5"/>
              </w:rPr>
              <w:t>107</w:t>
            </w:r>
          </w:hyperlink>
        </w:p>
        <w:p>
          <w:pPr>
            <w:pStyle w:val="TOC1"/>
            <w:numPr>
              <w:ilvl w:val="2"/>
              <w:numId w:val="1"/>
            </w:numPr>
            <w:tabs>
              <w:tab w:pos="1819" w:val="left" w:leader="none"/>
              <w:tab w:pos="1820" w:val="left" w:leader="none"/>
              <w:tab w:pos="9612" w:val="right" w:leader="dot"/>
            </w:tabs>
            <w:spacing w:line="240" w:lineRule="auto" w:before="120" w:after="0"/>
            <w:ind w:left="1819" w:right="0" w:hanging="568"/>
            <w:jc w:val="left"/>
          </w:pPr>
          <w:hyperlink w:history="true" w:anchor="_bookmark38">
            <w:r>
              <w:rPr>
                <w:spacing w:val="-6"/>
              </w:rPr>
              <w:t>Programme 3300:</w:t>
            </w:r>
            <w:r>
              <w:rPr>
                <w:spacing w:val="-4"/>
              </w:rPr>
              <w:t> </w:t>
            </w:r>
            <w:r>
              <w:rPr>
                <w:spacing w:val="-6"/>
              </w:rPr>
              <w:t>Division of</w:t>
            </w:r>
            <w:r>
              <w:rPr>
                <w:spacing w:val="-12"/>
              </w:rPr>
              <w:t> </w:t>
            </w:r>
            <w:r>
              <w:rPr>
                <w:spacing w:val="-6"/>
              </w:rPr>
              <w:t>Judicial</w:t>
            </w:r>
            <w:r>
              <w:rPr>
                <w:spacing w:val="2"/>
              </w:rPr>
              <w:t> </w:t>
            </w:r>
            <w:r>
              <w:rPr>
                <w:spacing w:val="-6"/>
              </w:rPr>
              <w:t>Services</w:t>
            </w:r>
            <w:r>
              <w:rPr/>
              <w:tab/>
            </w:r>
            <w:r>
              <w:rPr>
                <w:spacing w:val="-5"/>
              </w:rPr>
              <w:t>116</w:t>
            </w:r>
          </w:hyperlink>
        </w:p>
        <w:p>
          <w:pPr>
            <w:pStyle w:val="TOC1"/>
            <w:numPr>
              <w:ilvl w:val="2"/>
              <w:numId w:val="1"/>
            </w:numPr>
            <w:tabs>
              <w:tab w:pos="1819" w:val="left" w:leader="none"/>
              <w:tab w:pos="1820" w:val="left" w:leader="none"/>
              <w:tab w:pos="9612" w:val="right" w:leader="dot"/>
            </w:tabs>
            <w:spacing w:line="240" w:lineRule="auto" w:before="120" w:after="0"/>
            <w:ind w:left="1819" w:right="0" w:hanging="568"/>
            <w:jc w:val="left"/>
          </w:pPr>
          <w:hyperlink w:history="true" w:anchor="_bookmark42">
            <w:r>
              <w:rPr>
                <w:spacing w:val="-6"/>
              </w:rPr>
              <w:t>Programme</w:t>
            </w:r>
            <w:r>
              <w:rPr>
                <w:spacing w:val="-5"/>
              </w:rPr>
              <w:t> </w:t>
            </w:r>
            <w:r>
              <w:rPr>
                <w:spacing w:val="-6"/>
              </w:rPr>
              <w:t>3800:</w:t>
            </w:r>
            <w:r>
              <w:rPr>
                <w:spacing w:val="-4"/>
              </w:rPr>
              <w:t> </w:t>
            </w:r>
            <w:r>
              <w:rPr>
                <w:spacing w:val="-6"/>
              </w:rPr>
              <w:t>Division</w:t>
            </w:r>
            <w:r>
              <w:rPr>
                <w:spacing w:val="-5"/>
              </w:rPr>
              <w:t> </w:t>
            </w:r>
            <w:r>
              <w:rPr>
                <w:spacing w:val="-6"/>
              </w:rPr>
              <w:t>of</w:t>
            </w:r>
            <w:r>
              <w:rPr>
                <w:spacing w:val="-12"/>
              </w:rPr>
              <w:t> </w:t>
            </w:r>
            <w:r>
              <w:rPr>
                <w:spacing w:val="-6"/>
              </w:rPr>
              <w:t>External</w:t>
            </w:r>
            <w:r>
              <w:rPr>
                <w:spacing w:val="-3"/>
              </w:rPr>
              <w:t> </w:t>
            </w:r>
            <w:r>
              <w:rPr>
                <w:spacing w:val="-6"/>
              </w:rPr>
              <w:t>Operations</w:t>
            </w:r>
            <w:r>
              <w:rPr/>
              <w:tab/>
            </w:r>
            <w:r>
              <w:rPr>
                <w:spacing w:val="-5"/>
              </w:rPr>
              <w:t>131</w:t>
            </w:r>
          </w:hyperlink>
        </w:p>
        <w:p>
          <w:pPr>
            <w:pStyle w:val="TOC1"/>
            <w:numPr>
              <w:ilvl w:val="1"/>
              <w:numId w:val="1"/>
            </w:numPr>
            <w:tabs>
              <w:tab w:pos="1819" w:val="left" w:leader="none"/>
              <w:tab w:pos="1820" w:val="left" w:leader="none"/>
              <w:tab w:pos="9612" w:val="right" w:leader="dot"/>
            </w:tabs>
            <w:spacing w:line="240" w:lineRule="auto" w:before="121" w:after="0"/>
            <w:ind w:left="1819" w:right="0" w:hanging="568"/>
            <w:jc w:val="left"/>
          </w:pPr>
          <w:hyperlink w:history="true" w:anchor="_bookmark49">
            <w:r>
              <w:rPr>
                <w:spacing w:val="-6"/>
              </w:rPr>
              <w:t>Major</w:t>
            </w:r>
            <w:r>
              <w:rPr>
                <w:spacing w:val="-7"/>
              </w:rPr>
              <w:t> </w:t>
            </w:r>
            <w:r>
              <w:rPr>
                <w:spacing w:val="-6"/>
              </w:rPr>
              <w:t>Programme</w:t>
            </w:r>
            <w:r>
              <w:rPr>
                <w:spacing w:val="-4"/>
              </w:rPr>
              <w:t> </w:t>
            </w:r>
            <w:r>
              <w:rPr>
                <w:spacing w:val="-6"/>
              </w:rPr>
              <w:t>IV:</w:t>
            </w:r>
            <w:r>
              <w:rPr>
                <w:spacing w:val="-5"/>
              </w:rPr>
              <w:t> </w:t>
            </w:r>
            <w:r>
              <w:rPr>
                <w:spacing w:val="-6"/>
              </w:rPr>
              <w:t>Secretariat</w:t>
            </w:r>
            <w:r>
              <w:rPr>
                <w:spacing w:val="-5"/>
              </w:rPr>
              <w:t> </w:t>
            </w:r>
            <w:r>
              <w:rPr>
                <w:spacing w:val="-6"/>
              </w:rPr>
              <w:t>of the</w:t>
            </w:r>
            <w:r>
              <w:rPr>
                <w:spacing w:val="-4"/>
              </w:rPr>
              <w:t> </w:t>
            </w:r>
            <w:r>
              <w:rPr>
                <w:spacing w:val="-6"/>
              </w:rPr>
              <w:t>Assembly of</w:t>
            </w:r>
            <w:r>
              <w:rPr>
                <w:spacing w:val="-7"/>
              </w:rPr>
              <w:t> </w:t>
            </w:r>
            <w:r>
              <w:rPr>
                <w:spacing w:val="-6"/>
              </w:rPr>
              <w:t>States</w:t>
            </w:r>
            <w:r>
              <w:rPr>
                <w:spacing w:val="-2"/>
              </w:rPr>
              <w:t> </w:t>
            </w:r>
            <w:r>
              <w:rPr>
                <w:spacing w:val="-6"/>
              </w:rPr>
              <w:t>Parties</w:t>
            </w:r>
            <w:r>
              <w:rPr/>
              <w:tab/>
            </w:r>
            <w:r>
              <w:rPr>
                <w:spacing w:val="-5"/>
                <w:w w:val="95"/>
              </w:rPr>
              <w:t>153</w:t>
            </w:r>
          </w:hyperlink>
        </w:p>
        <w:p>
          <w:pPr>
            <w:pStyle w:val="TOC1"/>
            <w:numPr>
              <w:ilvl w:val="1"/>
              <w:numId w:val="1"/>
            </w:numPr>
            <w:tabs>
              <w:tab w:pos="1819" w:val="left" w:leader="none"/>
              <w:tab w:pos="1820" w:val="left" w:leader="none"/>
              <w:tab w:pos="9612" w:val="right" w:leader="dot"/>
            </w:tabs>
            <w:spacing w:line="240" w:lineRule="auto" w:before="116" w:after="0"/>
            <w:ind w:left="1819" w:right="0" w:hanging="568"/>
            <w:jc w:val="left"/>
          </w:pPr>
          <w:hyperlink w:history="true" w:anchor="_bookmark51">
            <w:r>
              <w:rPr>
                <w:spacing w:val="-6"/>
              </w:rPr>
              <w:t>Major</w:t>
            </w:r>
            <w:r>
              <w:rPr>
                <w:spacing w:val="-9"/>
              </w:rPr>
              <w:t> </w:t>
            </w:r>
            <w:r>
              <w:rPr>
                <w:spacing w:val="-6"/>
              </w:rPr>
              <w:t>Programme</w:t>
            </w:r>
            <w:r>
              <w:rPr>
                <w:spacing w:val="-5"/>
              </w:rPr>
              <w:t> </w:t>
            </w:r>
            <w:r>
              <w:rPr>
                <w:spacing w:val="-6"/>
              </w:rPr>
              <w:t>V:</w:t>
            </w:r>
            <w:r>
              <w:rPr>
                <w:spacing w:val="-5"/>
              </w:rPr>
              <w:t> </w:t>
            </w:r>
            <w:r>
              <w:rPr>
                <w:spacing w:val="-6"/>
              </w:rPr>
              <w:t>Premises</w:t>
            </w:r>
            <w:r>
              <w:rPr>
                <w:spacing w:val="-3"/>
              </w:rPr>
              <w:t> </w:t>
            </w:r>
            <w:r>
              <w:rPr>
                <w:spacing w:val="-6"/>
              </w:rPr>
              <w:t>of</w:t>
            </w:r>
            <w:r>
              <w:rPr>
                <w:spacing w:val="-7"/>
              </w:rPr>
              <w:t> </w:t>
            </w:r>
            <w:r>
              <w:rPr>
                <w:spacing w:val="-6"/>
              </w:rPr>
              <w:t>the</w:t>
            </w:r>
            <w:r>
              <w:rPr>
                <w:spacing w:val="-4"/>
              </w:rPr>
              <w:t> </w:t>
            </w:r>
            <w:r>
              <w:rPr>
                <w:spacing w:val="-6"/>
              </w:rPr>
              <w:t>Court</w:t>
            </w:r>
            <w:r>
              <w:rPr/>
              <w:tab/>
            </w:r>
            <w:r>
              <w:rPr>
                <w:spacing w:val="-5"/>
              </w:rPr>
              <w:t>163</w:t>
            </w:r>
          </w:hyperlink>
        </w:p>
        <w:p>
          <w:pPr>
            <w:pStyle w:val="TOC1"/>
            <w:numPr>
              <w:ilvl w:val="1"/>
              <w:numId w:val="1"/>
            </w:numPr>
            <w:tabs>
              <w:tab w:pos="1819" w:val="left" w:leader="none"/>
              <w:tab w:pos="1820" w:val="left" w:leader="none"/>
              <w:tab w:pos="9612" w:val="right" w:leader="dot"/>
            </w:tabs>
            <w:spacing w:line="240" w:lineRule="auto" w:before="120" w:after="0"/>
            <w:ind w:left="1819" w:right="0" w:hanging="568"/>
            <w:jc w:val="left"/>
          </w:pPr>
          <w:hyperlink w:history="true" w:anchor="_bookmark53">
            <w:r>
              <w:rPr>
                <w:spacing w:val="-6"/>
              </w:rPr>
              <w:t>Major</w:t>
            </w:r>
            <w:r>
              <w:rPr>
                <w:spacing w:val="-9"/>
              </w:rPr>
              <w:t> </w:t>
            </w:r>
            <w:r>
              <w:rPr>
                <w:spacing w:val="-6"/>
              </w:rPr>
              <w:t>Programme</w:t>
            </w:r>
            <w:r>
              <w:rPr>
                <w:spacing w:val="-3"/>
              </w:rPr>
              <w:t> </w:t>
            </w:r>
            <w:r>
              <w:rPr>
                <w:spacing w:val="-6"/>
              </w:rPr>
              <w:t>VI:</w:t>
            </w:r>
            <w:r>
              <w:rPr>
                <w:spacing w:val="-5"/>
              </w:rPr>
              <w:t> </w:t>
            </w:r>
            <w:r>
              <w:rPr>
                <w:spacing w:val="-6"/>
              </w:rPr>
              <w:t>Secretariat</w:t>
            </w:r>
            <w:r>
              <w:rPr>
                <w:spacing w:val="-5"/>
              </w:rPr>
              <w:t> </w:t>
            </w:r>
            <w:r>
              <w:rPr>
                <w:spacing w:val="-6"/>
              </w:rPr>
              <w:t>of the</w:t>
            </w:r>
            <w:r>
              <w:rPr>
                <w:spacing w:val="-4"/>
              </w:rPr>
              <w:t> </w:t>
            </w:r>
            <w:r>
              <w:rPr>
                <w:spacing w:val="-6"/>
              </w:rPr>
              <w:t>Trust</w:t>
            </w:r>
            <w:r>
              <w:rPr>
                <w:spacing w:val="-5"/>
              </w:rPr>
              <w:t> </w:t>
            </w:r>
            <w:r>
              <w:rPr>
                <w:spacing w:val="-6"/>
              </w:rPr>
              <w:t>Fund for Victims</w:t>
            </w:r>
            <w:r>
              <w:rPr/>
              <w:tab/>
            </w:r>
            <w:r>
              <w:rPr>
                <w:spacing w:val="-5"/>
              </w:rPr>
              <w:t>165</w:t>
            </w:r>
          </w:hyperlink>
        </w:p>
        <w:p>
          <w:pPr>
            <w:pStyle w:val="TOC1"/>
            <w:numPr>
              <w:ilvl w:val="1"/>
              <w:numId w:val="1"/>
            </w:numPr>
            <w:tabs>
              <w:tab w:pos="1819" w:val="left" w:leader="none"/>
              <w:tab w:pos="1820" w:val="left" w:leader="none"/>
              <w:tab w:pos="9612" w:val="right" w:leader="dot"/>
            </w:tabs>
            <w:spacing w:line="240" w:lineRule="auto" w:before="121" w:after="0"/>
            <w:ind w:left="1819" w:right="0" w:hanging="568"/>
            <w:jc w:val="left"/>
          </w:pPr>
          <w:hyperlink w:history="true" w:anchor="_bookmark55">
            <w:r>
              <w:rPr>
                <w:spacing w:val="-6"/>
              </w:rPr>
              <w:t>Major</w:t>
            </w:r>
            <w:r>
              <w:rPr>
                <w:spacing w:val="-8"/>
              </w:rPr>
              <w:t> </w:t>
            </w:r>
            <w:r>
              <w:rPr>
                <w:spacing w:val="-6"/>
              </w:rPr>
              <w:t>Programme VII-2:</w:t>
            </w:r>
            <w:r>
              <w:rPr>
                <w:spacing w:val="-2"/>
              </w:rPr>
              <w:t> </w:t>
            </w:r>
            <w:r>
              <w:rPr>
                <w:spacing w:val="-6"/>
              </w:rPr>
              <w:t>Permanent</w:t>
            </w:r>
            <w:r>
              <w:rPr>
                <w:spacing w:val="-1"/>
              </w:rPr>
              <w:t> </w:t>
            </w:r>
            <w:r>
              <w:rPr>
                <w:spacing w:val="-6"/>
              </w:rPr>
              <w:t>Premises</w:t>
            </w:r>
            <w:r>
              <w:rPr>
                <w:spacing w:val="-10"/>
              </w:rPr>
              <w:t> </w:t>
            </w:r>
            <w:r>
              <w:rPr>
                <w:spacing w:val="-6"/>
              </w:rPr>
              <w:t>Project –</w:t>
            </w:r>
            <w:r>
              <w:rPr>
                <w:spacing w:val="-8"/>
              </w:rPr>
              <w:t> </w:t>
            </w:r>
            <w:r>
              <w:rPr>
                <w:spacing w:val="-6"/>
              </w:rPr>
              <w:t>Host</w:t>
            </w:r>
            <w:r>
              <w:rPr>
                <w:spacing w:val="-7"/>
              </w:rPr>
              <w:t> </w:t>
            </w:r>
            <w:r>
              <w:rPr>
                <w:spacing w:val="-6"/>
              </w:rPr>
              <w:t>State</w:t>
            </w:r>
            <w:r>
              <w:rPr>
                <w:spacing w:val="-5"/>
              </w:rPr>
              <w:t> </w:t>
            </w:r>
            <w:r>
              <w:rPr>
                <w:spacing w:val="-6"/>
              </w:rPr>
              <w:t>Loan</w:t>
            </w:r>
            <w:r>
              <w:rPr/>
              <w:tab/>
            </w:r>
            <w:r>
              <w:rPr>
                <w:spacing w:val="-5"/>
              </w:rPr>
              <w:t>183</w:t>
            </w:r>
          </w:hyperlink>
        </w:p>
        <w:p>
          <w:pPr>
            <w:pStyle w:val="TOC1"/>
            <w:numPr>
              <w:ilvl w:val="1"/>
              <w:numId w:val="1"/>
            </w:numPr>
            <w:tabs>
              <w:tab w:pos="1819" w:val="left" w:leader="none"/>
              <w:tab w:pos="1820" w:val="left" w:leader="none"/>
              <w:tab w:pos="9612" w:val="right" w:leader="dot"/>
            </w:tabs>
            <w:spacing w:line="240" w:lineRule="auto" w:before="120" w:after="0"/>
            <w:ind w:left="1819" w:right="0" w:hanging="568"/>
            <w:jc w:val="left"/>
          </w:pPr>
          <w:hyperlink w:history="true" w:anchor="_bookmark57">
            <w:r>
              <w:rPr>
                <w:spacing w:val="-6"/>
              </w:rPr>
              <w:t>Major</w:t>
            </w:r>
            <w:r>
              <w:rPr>
                <w:spacing w:val="-10"/>
              </w:rPr>
              <w:t> </w:t>
            </w:r>
            <w:r>
              <w:rPr>
                <w:spacing w:val="-6"/>
              </w:rPr>
              <w:t>Programme</w:t>
            </w:r>
            <w:r>
              <w:rPr>
                <w:spacing w:val="-4"/>
              </w:rPr>
              <w:t> </w:t>
            </w:r>
            <w:r>
              <w:rPr>
                <w:spacing w:val="-6"/>
              </w:rPr>
              <w:t>VII-5: Independent Oversight</w:t>
            </w:r>
            <w:r>
              <w:rPr/>
              <w:t> </w:t>
            </w:r>
            <w:r>
              <w:rPr>
                <w:spacing w:val="-6"/>
              </w:rPr>
              <w:t>Mechanism</w:t>
            </w:r>
            <w:r>
              <w:rPr/>
              <w:tab/>
            </w:r>
            <w:r>
              <w:rPr>
                <w:spacing w:val="-5"/>
              </w:rPr>
              <w:t>184</w:t>
            </w:r>
          </w:hyperlink>
        </w:p>
        <w:p>
          <w:pPr>
            <w:pStyle w:val="TOC1"/>
            <w:numPr>
              <w:ilvl w:val="1"/>
              <w:numId w:val="1"/>
            </w:numPr>
            <w:tabs>
              <w:tab w:pos="1819" w:val="left" w:leader="none"/>
              <w:tab w:pos="1820" w:val="left" w:leader="none"/>
              <w:tab w:pos="9612" w:val="right" w:leader="dot"/>
            </w:tabs>
            <w:spacing w:line="240" w:lineRule="auto" w:before="121" w:after="0"/>
            <w:ind w:left="1819" w:right="0" w:hanging="568"/>
            <w:jc w:val="left"/>
          </w:pPr>
          <w:hyperlink w:history="true" w:anchor="_bookmark59">
            <w:r>
              <w:rPr>
                <w:spacing w:val="-6"/>
              </w:rPr>
              <w:t>Major</w:t>
            </w:r>
            <w:r>
              <w:rPr>
                <w:spacing w:val="-10"/>
              </w:rPr>
              <w:t> </w:t>
            </w:r>
            <w:r>
              <w:rPr>
                <w:spacing w:val="-6"/>
              </w:rPr>
              <w:t>Programme VII-6:</w:t>
            </w:r>
            <w:r>
              <w:rPr/>
              <w:t> </w:t>
            </w:r>
            <w:r>
              <w:rPr>
                <w:spacing w:val="-6"/>
              </w:rPr>
              <w:t>Office of</w:t>
            </w:r>
            <w:r>
              <w:rPr>
                <w:spacing w:val="-8"/>
              </w:rPr>
              <w:t> </w:t>
            </w:r>
            <w:r>
              <w:rPr>
                <w:spacing w:val="-6"/>
              </w:rPr>
              <w:t>Internal</w:t>
            </w:r>
            <w:r>
              <w:rPr/>
              <w:t> </w:t>
            </w:r>
            <w:r>
              <w:rPr>
                <w:spacing w:val="-6"/>
              </w:rPr>
              <w:t>Audit</w:t>
            </w:r>
            <w:r>
              <w:rPr/>
              <w:tab/>
            </w:r>
            <w:r>
              <w:rPr>
                <w:spacing w:val="-5"/>
              </w:rPr>
              <w:t>188</w:t>
            </w:r>
          </w:hyperlink>
        </w:p>
      </w:sdtContent>
    </w:sdt>
    <w:p>
      <w:pPr>
        <w:spacing w:after="0" w:line="240" w:lineRule="auto"/>
        <w:jc w:val="left"/>
        <w:sectPr>
          <w:headerReference w:type="even" r:id="rId8"/>
          <w:headerReference w:type="default" r:id="rId9"/>
          <w:pgSz w:w="11910" w:h="16840"/>
          <w:pgMar w:header="953" w:footer="940" w:top="1140" w:bottom="1140" w:left="20" w:right="20"/>
        </w:sectPr>
      </w:pPr>
    </w:p>
    <w:p>
      <w:pPr>
        <w:pStyle w:val="BodyText"/>
        <w:tabs>
          <w:tab w:pos="9612" w:val="right" w:leader="dot"/>
        </w:tabs>
        <w:spacing w:before="120"/>
        <w:ind w:left="1252"/>
      </w:pPr>
      <w:hyperlink w:history="true" w:anchor="_bookmark62">
        <w:r>
          <w:rPr>
            <w:spacing w:val="-2"/>
          </w:rPr>
          <w:t>Annexes</w:t>
        </w:r>
        <w:r>
          <w:rPr/>
          <w:tab/>
        </w:r>
        <w:r>
          <w:rPr>
            <w:spacing w:val="-5"/>
          </w:rPr>
          <w:t>192</w:t>
        </w:r>
      </w:hyperlink>
    </w:p>
    <w:p>
      <w:pPr>
        <w:pStyle w:val="ListParagraph"/>
        <w:numPr>
          <w:ilvl w:val="0"/>
          <w:numId w:val="2"/>
        </w:numPr>
        <w:tabs>
          <w:tab w:pos="1819" w:val="left" w:leader="none"/>
          <w:tab w:pos="1820" w:val="left" w:leader="none"/>
          <w:tab w:pos="9612" w:val="right" w:leader="dot"/>
        </w:tabs>
        <w:spacing w:line="240" w:lineRule="auto" w:before="121" w:after="0"/>
        <w:ind w:left="1819" w:right="0" w:hanging="568"/>
        <w:jc w:val="left"/>
        <w:rPr>
          <w:sz w:val="20"/>
        </w:rPr>
      </w:pPr>
      <w:hyperlink w:history="true" w:anchor="_bookmark63">
        <w:r>
          <w:rPr>
            <w:spacing w:val="-6"/>
            <w:sz w:val="20"/>
          </w:rPr>
          <w:t>Organizational</w:t>
        </w:r>
        <w:r>
          <w:rPr>
            <w:spacing w:val="-7"/>
            <w:sz w:val="20"/>
          </w:rPr>
          <w:t> </w:t>
        </w:r>
        <w:r>
          <w:rPr>
            <w:spacing w:val="-6"/>
            <w:sz w:val="20"/>
          </w:rPr>
          <w:t>structure</w:t>
        </w:r>
        <w:r>
          <w:rPr>
            <w:spacing w:val="-4"/>
            <w:sz w:val="20"/>
          </w:rPr>
          <w:t> </w:t>
        </w:r>
        <w:r>
          <w:rPr>
            <w:spacing w:val="-6"/>
            <w:sz w:val="20"/>
          </w:rPr>
          <w:t>of the</w:t>
        </w:r>
        <w:r>
          <w:rPr>
            <w:spacing w:val="-3"/>
            <w:sz w:val="20"/>
          </w:rPr>
          <w:t> </w:t>
        </w:r>
        <w:r>
          <w:rPr>
            <w:spacing w:val="-6"/>
            <w:sz w:val="20"/>
          </w:rPr>
          <w:t>Court</w:t>
        </w:r>
        <w:r>
          <w:rPr>
            <w:sz w:val="20"/>
          </w:rPr>
          <w:tab/>
        </w:r>
        <w:r>
          <w:rPr>
            <w:spacing w:val="-5"/>
            <w:sz w:val="20"/>
          </w:rPr>
          <w:t>192</w:t>
        </w:r>
      </w:hyperlink>
    </w:p>
    <w:p>
      <w:pPr>
        <w:pStyle w:val="ListParagraph"/>
        <w:numPr>
          <w:ilvl w:val="0"/>
          <w:numId w:val="2"/>
        </w:numPr>
        <w:tabs>
          <w:tab w:pos="1819" w:val="left" w:leader="none"/>
          <w:tab w:pos="1820" w:val="left" w:leader="none"/>
          <w:tab w:pos="9612" w:val="right" w:leader="dot"/>
        </w:tabs>
        <w:spacing w:line="240" w:lineRule="auto" w:before="120" w:after="0"/>
        <w:ind w:left="1819" w:right="0" w:hanging="568"/>
        <w:jc w:val="left"/>
        <w:rPr>
          <w:sz w:val="20"/>
        </w:rPr>
      </w:pPr>
      <w:hyperlink w:history="true" w:anchor="_bookmark64">
        <w:r>
          <w:rPr>
            <w:spacing w:val="-6"/>
            <w:sz w:val="20"/>
          </w:rPr>
          <w:t>Assumptions</w:t>
        </w:r>
        <w:r>
          <w:rPr>
            <w:spacing w:val="-10"/>
            <w:sz w:val="20"/>
          </w:rPr>
          <w:t> </w:t>
        </w:r>
        <w:r>
          <w:rPr>
            <w:spacing w:val="-6"/>
            <w:sz w:val="20"/>
          </w:rPr>
          <w:t>and parameters</w:t>
        </w:r>
        <w:r>
          <w:rPr>
            <w:spacing w:val="-8"/>
            <w:sz w:val="20"/>
          </w:rPr>
          <w:t> </w:t>
        </w:r>
        <w:r>
          <w:rPr>
            <w:spacing w:val="-6"/>
            <w:sz w:val="20"/>
          </w:rPr>
          <w:t>for the</w:t>
        </w:r>
        <w:r>
          <w:rPr>
            <w:spacing w:val="-3"/>
            <w:sz w:val="20"/>
          </w:rPr>
          <w:t> </w:t>
        </w:r>
        <w:r>
          <w:rPr>
            <w:spacing w:val="-6"/>
            <w:sz w:val="20"/>
          </w:rPr>
          <w:t>2023 Proposed</w:t>
        </w:r>
        <w:r>
          <w:rPr>
            <w:spacing w:val="-5"/>
            <w:sz w:val="20"/>
          </w:rPr>
          <w:t> </w:t>
        </w:r>
        <w:r>
          <w:rPr>
            <w:spacing w:val="-6"/>
            <w:sz w:val="20"/>
          </w:rPr>
          <w:t>Programme</w:t>
        </w:r>
        <w:r>
          <w:rPr>
            <w:spacing w:val="-3"/>
            <w:sz w:val="20"/>
          </w:rPr>
          <w:t> </w:t>
        </w:r>
        <w:r>
          <w:rPr>
            <w:spacing w:val="-6"/>
            <w:sz w:val="20"/>
          </w:rPr>
          <w:t>Budget</w:t>
        </w:r>
        <w:r>
          <w:rPr>
            <w:sz w:val="20"/>
          </w:rPr>
          <w:tab/>
        </w:r>
        <w:r>
          <w:rPr>
            <w:spacing w:val="-5"/>
            <w:sz w:val="20"/>
          </w:rPr>
          <w:t>193</w:t>
        </w:r>
      </w:hyperlink>
    </w:p>
    <w:p>
      <w:pPr>
        <w:pStyle w:val="ListParagraph"/>
        <w:numPr>
          <w:ilvl w:val="0"/>
          <w:numId w:val="2"/>
        </w:numPr>
        <w:tabs>
          <w:tab w:pos="1819" w:val="left" w:leader="none"/>
          <w:tab w:pos="1820" w:val="left" w:leader="none"/>
        </w:tabs>
        <w:spacing w:line="240" w:lineRule="auto" w:before="120" w:after="0"/>
        <w:ind w:left="1819" w:right="0" w:hanging="568"/>
        <w:jc w:val="left"/>
        <w:rPr>
          <w:sz w:val="20"/>
        </w:rPr>
      </w:pPr>
      <w:hyperlink w:history="true" w:anchor="_bookmark65">
        <w:r>
          <w:rPr>
            <w:spacing w:val="-6"/>
            <w:sz w:val="20"/>
          </w:rPr>
          <w:t>List</w:t>
        </w:r>
        <w:r>
          <w:rPr>
            <w:spacing w:val="-8"/>
            <w:sz w:val="20"/>
          </w:rPr>
          <w:t> </w:t>
        </w:r>
        <w:r>
          <w:rPr>
            <w:spacing w:val="-6"/>
            <w:sz w:val="20"/>
          </w:rPr>
          <w:t>of potential</w:t>
        </w:r>
        <w:r>
          <w:rPr>
            <w:spacing w:val="1"/>
            <w:sz w:val="20"/>
          </w:rPr>
          <w:t> </w:t>
        </w:r>
        <w:r>
          <w:rPr>
            <w:spacing w:val="-6"/>
            <w:sz w:val="20"/>
          </w:rPr>
          <w:t>developments</w:t>
        </w:r>
        <w:r>
          <w:rPr>
            <w:spacing w:val="-9"/>
            <w:sz w:val="20"/>
          </w:rPr>
          <w:t> </w:t>
        </w:r>
        <w:r>
          <w:rPr>
            <w:spacing w:val="-6"/>
            <w:sz w:val="20"/>
          </w:rPr>
          <w:t>which</w:t>
        </w:r>
        <w:r>
          <w:rPr>
            <w:spacing w:val="-12"/>
            <w:sz w:val="20"/>
          </w:rPr>
          <w:t> </w:t>
        </w:r>
        <w:r>
          <w:rPr>
            <w:spacing w:val="-6"/>
            <w:sz w:val="20"/>
          </w:rPr>
          <w:t>could</w:t>
        </w:r>
        <w:r>
          <w:rPr>
            <w:sz w:val="20"/>
          </w:rPr>
          <w:t> </w:t>
        </w:r>
        <w:r>
          <w:rPr>
            <w:spacing w:val="-6"/>
            <w:sz w:val="20"/>
          </w:rPr>
          <w:t>have</w:t>
        </w:r>
        <w:r>
          <w:rPr>
            <w:spacing w:val="-4"/>
            <w:sz w:val="20"/>
          </w:rPr>
          <w:t> </w:t>
        </w:r>
        <w:r>
          <w:rPr>
            <w:spacing w:val="-6"/>
            <w:sz w:val="20"/>
          </w:rPr>
          <w:t>an impact</w:t>
        </w:r>
      </w:hyperlink>
    </w:p>
    <w:p>
      <w:pPr>
        <w:pStyle w:val="BodyText"/>
        <w:tabs>
          <w:tab w:pos="9612" w:val="right" w:leader="dot"/>
        </w:tabs>
        <w:spacing w:before="1"/>
        <w:ind w:left="1819"/>
      </w:pPr>
      <w:hyperlink w:history="true" w:anchor="_bookmark65">
        <w:r>
          <w:rPr>
            <w:spacing w:val="-6"/>
          </w:rPr>
          <w:t>on</w:t>
        </w:r>
        <w:r>
          <w:rPr>
            <w:spacing w:val="-10"/>
          </w:rPr>
          <w:t> </w:t>
        </w:r>
        <w:r>
          <w:rPr>
            <w:spacing w:val="-6"/>
          </w:rPr>
          <w:t>the 2023</w:t>
        </w:r>
        <w:r>
          <w:rPr>
            <w:spacing w:val="-2"/>
          </w:rPr>
          <w:t> </w:t>
        </w:r>
        <w:r>
          <w:rPr>
            <w:spacing w:val="-6"/>
          </w:rPr>
          <w:t>Proposed</w:t>
        </w:r>
        <w:r>
          <w:rPr>
            <w:spacing w:val="-3"/>
          </w:rPr>
          <w:t> </w:t>
        </w:r>
        <w:r>
          <w:rPr>
            <w:spacing w:val="-6"/>
          </w:rPr>
          <w:t>Programme</w:t>
        </w:r>
        <w:r>
          <w:rPr>
            <w:spacing w:val="-5"/>
          </w:rPr>
          <w:t> </w:t>
        </w:r>
        <w:r>
          <w:rPr>
            <w:spacing w:val="-6"/>
          </w:rPr>
          <w:t>Budget</w:t>
        </w:r>
        <w:r>
          <w:rPr/>
          <w:tab/>
        </w:r>
        <w:r>
          <w:rPr>
            <w:spacing w:val="-5"/>
          </w:rPr>
          <w:t>195</w:t>
        </w:r>
      </w:hyperlink>
    </w:p>
    <w:p>
      <w:pPr>
        <w:pStyle w:val="ListParagraph"/>
        <w:numPr>
          <w:ilvl w:val="0"/>
          <w:numId w:val="2"/>
        </w:numPr>
        <w:tabs>
          <w:tab w:pos="1819" w:val="left" w:leader="none"/>
          <w:tab w:pos="1820" w:val="left" w:leader="none"/>
          <w:tab w:pos="9612" w:val="right" w:leader="dot"/>
        </w:tabs>
        <w:spacing w:line="240" w:lineRule="auto" w:before="121" w:after="0"/>
        <w:ind w:left="1819" w:right="0" w:hanging="568"/>
        <w:jc w:val="left"/>
        <w:rPr>
          <w:sz w:val="20"/>
        </w:rPr>
      </w:pPr>
      <w:hyperlink w:history="true" w:anchor="_bookmark66">
        <w:r>
          <w:rPr>
            <w:spacing w:val="-6"/>
            <w:sz w:val="20"/>
          </w:rPr>
          <w:t>Strategic</w:t>
        </w:r>
        <w:r>
          <w:rPr>
            <w:spacing w:val="-3"/>
            <w:sz w:val="20"/>
          </w:rPr>
          <w:t> </w:t>
        </w:r>
        <w:r>
          <w:rPr>
            <w:spacing w:val="-2"/>
            <w:sz w:val="20"/>
          </w:rPr>
          <w:t>Goals</w:t>
        </w:r>
        <w:r>
          <w:rPr>
            <w:sz w:val="20"/>
          </w:rPr>
          <w:tab/>
        </w:r>
        <w:r>
          <w:rPr>
            <w:spacing w:val="-5"/>
            <w:sz w:val="20"/>
          </w:rPr>
          <w:t>196</w:t>
        </w:r>
      </w:hyperlink>
    </w:p>
    <w:p>
      <w:pPr>
        <w:pStyle w:val="ListParagraph"/>
        <w:numPr>
          <w:ilvl w:val="1"/>
          <w:numId w:val="2"/>
        </w:numPr>
        <w:tabs>
          <w:tab w:pos="1819" w:val="left" w:leader="none"/>
          <w:tab w:pos="1820" w:val="left" w:leader="none"/>
        </w:tabs>
        <w:spacing w:line="240" w:lineRule="auto" w:before="120" w:after="0"/>
        <w:ind w:left="1819" w:right="0" w:hanging="568"/>
        <w:jc w:val="left"/>
        <w:rPr>
          <w:sz w:val="20"/>
        </w:rPr>
      </w:pPr>
      <w:hyperlink w:history="true" w:anchor="_bookmark67">
        <w:r>
          <w:rPr>
            <w:spacing w:val="-6"/>
            <w:sz w:val="20"/>
          </w:rPr>
          <w:t>List</w:t>
        </w:r>
        <w:r>
          <w:rPr>
            <w:spacing w:val="-7"/>
            <w:sz w:val="20"/>
          </w:rPr>
          <w:t> </w:t>
        </w:r>
        <w:r>
          <w:rPr>
            <w:spacing w:val="-6"/>
            <w:sz w:val="20"/>
          </w:rPr>
          <w:t>of</w:t>
        </w:r>
        <w:r>
          <w:rPr>
            <w:spacing w:val="-7"/>
            <w:sz w:val="20"/>
          </w:rPr>
          <w:t> </w:t>
        </w:r>
        <w:r>
          <w:rPr>
            <w:spacing w:val="-6"/>
            <w:sz w:val="20"/>
          </w:rPr>
          <w:t>strategic</w:t>
        </w:r>
        <w:r>
          <w:rPr>
            <w:spacing w:val="-3"/>
            <w:sz w:val="20"/>
          </w:rPr>
          <w:t> </w:t>
        </w:r>
        <w:r>
          <w:rPr>
            <w:spacing w:val="-6"/>
            <w:sz w:val="20"/>
          </w:rPr>
          <w:t>goals</w:t>
        </w:r>
        <w:r>
          <w:rPr>
            <w:spacing w:val="-9"/>
            <w:sz w:val="20"/>
          </w:rPr>
          <w:t> </w:t>
        </w:r>
        <w:r>
          <w:rPr>
            <w:spacing w:val="-6"/>
            <w:sz w:val="20"/>
          </w:rPr>
          <w:t>and performance</w:t>
        </w:r>
        <w:r>
          <w:rPr>
            <w:spacing w:val="-4"/>
            <w:sz w:val="20"/>
          </w:rPr>
          <w:t> </w:t>
        </w:r>
        <w:r>
          <w:rPr>
            <w:spacing w:val="-6"/>
            <w:sz w:val="20"/>
          </w:rPr>
          <w:t>indicators</w:t>
        </w:r>
        <w:r>
          <w:rPr>
            <w:spacing w:val="-8"/>
            <w:sz w:val="20"/>
          </w:rPr>
          <w:t> </w:t>
        </w:r>
        <w:r>
          <w:rPr>
            <w:spacing w:val="-6"/>
            <w:sz w:val="20"/>
          </w:rPr>
          <w:t>from</w:t>
        </w:r>
        <w:r>
          <w:rPr>
            <w:spacing w:val="-5"/>
            <w:sz w:val="20"/>
          </w:rPr>
          <w:t> </w:t>
        </w:r>
        <w:r>
          <w:rPr>
            <w:spacing w:val="-6"/>
            <w:sz w:val="20"/>
          </w:rPr>
          <w:t>the</w:t>
        </w:r>
        <w:r>
          <w:rPr>
            <w:spacing w:val="-4"/>
            <w:sz w:val="20"/>
          </w:rPr>
          <w:t> </w:t>
        </w:r>
        <w:r>
          <w:rPr>
            <w:spacing w:val="-6"/>
            <w:sz w:val="20"/>
          </w:rPr>
          <w:t>International</w:t>
        </w:r>
        <w:r>
          <w:rPr>
            <w:spacing w:val="-5"/>
            <w:sz w:val="20"/>
          </w:rPr>
          <w:t> </w:t>
        </w:r>
        <w:r>
          <w:rPr>
            <w:spacing w:val="-6"/>
            <w:sz w:val="20"/>
          </w:rPr>
          <w:t>Criminal</w:t>
        </w:r>
        <w:r>
          <w:rPr>
            <w:spacing w:val="-4"/>
            <w:sz w:val="20"/>
          </w:rPr>
          <w:t> </w:t>
        </w:r>
        <w:r>
          <w:rPr>
            <w:spacing w:val="-6"/>
            <w:sz w:val="20"/>
          </w:rPr>
          <w:t>Court</w:t>
        </w:r>
      </w:hyperlink>
    </w:p>
    <w:p>
      <w:pPr>
        <w:pStyle w:val="BodyText"/>
        <w:tabs>
          <w:tab w:pos="9612" w:val="right" w:leader="dot"/>
        </w:tabs>
        <w:spacing w:before="1"/>
        <w:ind w:left="1819"/>
      </w:pPr>
      <w:hyperlink w:history="true" w:anchor="_bookmark67">
        <w:r>
          <w:rPr>
            <w:spacing w:val="-6"/>
          </w:rPr>
          <w:t>Strategic</w:t>
        </w:r>
        <w:r>
          <w:rPr>
            <w:spacing w:val="-3"/>
          </w:rPr>
          <w:t> </w:t>
        </w:r>
        <w:r>
          <w:rPr>
            <w:spacing w:val="-6"/>
          </w:rPr>
          <w:t>Plan</w:t>
        </w:r>
        <w:r>
          <w:rPr>
            <w:spacing w:val="-4"/>
          </w:rPr>
          <w:t> </w:t>
        </w:r>
        <w:r>
          <w:rPr>
            <w:spacing w:val="-6"/>
          </w:rPr>
          <w:t>(2023-2025)</w:t>
        </w:r>
        <w:r>
          <w:rPr/>
          <w:tab/>
        </w:r>
        <w:r>
          <w:rPr>
            <w:spacing w:val="-5"/>
          </w:rPr>
          <w:t>196</w:t>
        </w:r>
      </w:hyperlink>
    </w:p>
    <w:p>
      <w:pPr>
        <w:pStyle w:val="ListParagraph"/>
        <w:numPr>
          <w:ilvl w:val="1"/>
          <w:numId w:val="2"/>
        </w:numPr>
        <w:tabs>
          <w:tab w:pos="1819" w:val="left" w:leader="none"/>
          <w:tab w:pos="1820" w:val="left" w:leader="none"/>
        </w:tabs>
        <w:spacing w:line="240" w:lineRule="auto" w:before="120" w:after="0"/>
        <w:ind w:left="1819" w:right="0" w:hanging="568"/>
        <w:jc w:val="left"/>
        <w:rPr>
          <w:sz w:val="20"/>
        </w:rPr>
      </w:pPr>
      <w:hyperlink w:history="true" w:anchor="_bookmark68">
        <w:r>
          <w:rPr>
            <w:sz w:val="20"/>
          </w:rPr>
          <w:t>Major</w:t>
        </w:r>
        <w:r>
          <w:rPr>
            <w:spacing w:val="-7"/>
            <w:sz w:val="20"/>
          </w:rPr>
          <w:t> </w:t>
        </w:r>
        <w:r>
          <w:rPr>
            <w:sz w:val="20"/>
          </w:rPr>
          <w:t>Programme</w:t>
        </w:r>
        <w:r>
          <w:rPr>
            <w:spacing w:val="-6"/>
            <w:sz w:val="20"/>
          </w:rPr>
          <w:t> </w:t>
        </w:r>
        <w:r>
          <w:rPr>
            <w:sz w:val="20"/>
          </w:rPr>
          <w:t>II: Office</w:t>
        </w:r>
        <w:r>
          <w:rPr>
            <w:spacing w:val="-5"/>
            <w:sz w:val="20"/>
          </w:rPr>
          <w:t> </w:t>
        </w:r>
        <w:r>
          <w:rPr>
            <w:sz w:val="20"/>
          </w:rPr>
          <w:t>of</w:t>
        </w:r>
        <w:r>
          <w:rPr>
            <w:spacing w:val="-7"/>
            <w:sz w:val="20"/>
          </w:rPr>
          <w:t> </w:t>
        </w:r>
        <w:r>
          <w:rPr>
            <w:sz w:val="20"/>
          </w:rPr>
          <w:t>the</w:t>
        </w:r>
        <w:r>
          <w:rPr>
            <w:spacing w:val="-5"/>
            <w:sz w:val="20"/>
          </w:rPr>
          <w:t> </w:t>
        </w:r>
        <w:r>
          <w:rPr>
            <w:sz w:val="20"/>
          </w:rPr>
          <w:t>Prosecutor</w:t>
        </w:r>
        <w:r>
          <w:rPr>
            <w:spacing w:val="-3"/>
            <w:sz w:val="20"/>
          </w:rPr>
          <w:t> </w:t>
        </w:r>
        <w:r>
          <w:rPr>
            <w:sz w:val="20"/>
          </w:rPr>
          <w:t>-</w:t>
        </w:r>
        <w:r>
          <w:rPr>
            <w:spacing w:val="-6"/>
            <w:sz w:val="20"/>
          </w:rPr>
          <w:t> </w:t>
        </w:r>
        <w:r>
          <w:rPr>
            <w:sz w:val="20"/>
          </w:rPr>
          <w:t>Expected</w:t>
        </w:r>
        <w:r>
          <w:rPr>
            <w:spacing w:val="-6"/>
            <w:sz w:val="20"/>
          </w:rPr>
          <w:t> </w:t>
        </w:r>
        <w:r>
          <w:rPr>
            <w:spacing w:val="-2"/>
            <w:sz w:val="20"/>
          </w:rPr>
          <w:t>results,</w:t>
        </w:r>
      </w:hyperlink>
    </w:p>
    <w:p>
      <w:pPr>
        <w:pStyle w:val="BodyText"/>
        <w:tabs>
          <w:tab w:pos="9612" w:val="right" w:leader="dot"/>
        </w:tabs>
        <w:spacing w:before="1"/>
        <w:ind w:left="1819"/>
      </w:pPr>
      <w:hyperlink w:history="true" w:anchor="_bookmark68">
        <w:r>
          <w:rPr/>
          <w:t>performance</w:t>
        </w:r>
        <w:r>
          <w:rPr>
            <w:spacing w:val="-5"/>
          </w:rPr>
          <w:t> </w:t>
        </w:r>
        <w:r>
          <w:rPr/>
          <w:t>indicators</w:t>
        </w:r>
        <w:r>
          <w:rPr>
            <w:spacing w:val="-8"/>
          </w:rPr>
          <w:t> </w:t>
        </w:r>
        <w:r>
          <w:rPr/>
          <w:t>and</w:t>
        </w:r>
        <w:r>
          <w:rPr>
            <w:spacing w:val="-7"/>
          </w:rPr>
          <w:t> </w:t>
        </w:r>
        <w:r>
          <w:rPr/>
          <w:t>targets</w:t>
        </w:r>
        <w:r>
          <w:rPr>
            <w:spacing w:val="-8"/>
          </w:rPr>
          <w:t> </w:t>
        </w:r>
        <w:r>
          <w:rPr/>
          <w:t>for</w:t>
        </w:r>
        <w:r>
          <w:rPr>
            <w:spacing w:val="-5"/>
          </w:rPr>
          <w:t> </w:t>
        </w:r>
        <w:r>
          <w:rPr>
            <w:spacing w:val="-4"/>
          </w:rPr>
          <w:t>2023</w:t>
        </w:r>
        <w:r>
          <w:rPr/>
          <w:tab/>
        </w:r>
        <w:r>
          <w:rPr>
            <w:spacing w:val="-5"/>
          </w:rPr>
          <w:t>199</w:t>
        </w:r>
      </w:hyperlink>
    </w:p>
    <w:p>
      <w:pPr>
        <w:pStyle w:val="ListParagraph"/>
        <w:numPr>
          <w:ilvl w:val="1"/>
          <w:numId w:val="2"/>
        </w:numPr>
        <w:tabs>
          <w:tab w:pos="1819" w:val="left" w:leader="none"/>
          <w:tab w:pos="1820" w:val="left" w:leader="none"/>
          <w:tab w:pos="9612" w:val="right" w:leader="dot"/>
        </w:tabs>
        <w:spacing w:line="240" w:lineRule="auto" w:before="120" w:after="0"/>
        <w:ind w:left="1819" w:right="0" w:hanging="568"/>
        <w:jc w:val="left"/>
        <w:rPr>
          <w:sz w:val="20"/>
        </w:rPr>
      </w:pPr>
      <w:hyperlink w:history="true" w:anchor="_bookmark69">
        <w:r>
          <w:rPr>
            <w:spacing w:val="-6"/>
            <w:sz w:val="20"/>
          </w:rPr>
          <w:t>Strategic</w:t>
        </w:r>
        <w:r>
          <w:rPr>
            <w:spacing w:val="-5"/>
            <w:sz w:val="20"/>
          </w:rPr>
          <w:t> </w:t>
        </w:r>
        <w:r>
          <w:rPr>
            <w:spacing w:val="-6"/>
            <w:sz w:val="20"/>
          </w:rPr>
          <w:t>goals</w:t>
        </w:r>
        <w:r>
          <w:rPr>
            <w:spacing w:val="-9"/>
            <w:sz w:val="20"/>
          </w:rPr>
          <w:t> </w:t>
        </w:r>
        <w:r>
          <w:rPr>
            <w:spacing w:val="-6"/>
            <w:sz w:val="20"/>
          </w:rPr>
          <w:t>and</w:t>
        </w:r>
        <w:r>
          <w:rPr>
            <w:spacing w:val="-7"/>
            <w:sz w:val="20"/>
          </w:rPr>
          <w:t> </w:t>
        </w:r>
        <w:r>
          <w:rPr>
            <w:spacing w:val="-6"/>
            <w:sz w:val="20"/>
          </w:rPr>
          <w:t>performance</w:t>
        </w:r>
        <w:r>
          <w:rPr>
            <w:spacing w:val="-11"/>
            <w:sz w:val="20"/>
          </w:rPr>
          <w:t> </w:t>
        </w:r>
        <w:r>
          <w:rPr>
            <w:spacing w:val="-6"/>
            <w:sz w:val="20"/>
          </w:rPr>
          <w:t>indicators</w:t>
        </w:r>
        <w:r>
          <w:rPr>
            <w:spacing w:val="-9"/>
            <w:sz w:val="20"/>
          </w:rPr>
          <w:t> </w:t>
        </w:r>
        <w:r>
          <w:rPr>
            <w:spacing w:val="-6"/>
            <w:sz w:val="20"/>
          </w:rPr>
          <w:t>from the</w:t>
        </w:r>
        <w:r>
          <w:rPr>
            <w:spacing w:val="-5"/>
            <w:sz w:val="20"/>
          </w:rPr>
          <w:t> </w:t>
        </w:r>
        <w:r>
          <w:rPr>
            <w:spacing w:val="-6"/>
            <w:sz w:val="20"/>
          </w:rPr>
          <w:t>Registry</w:t>
        </w:r>
        <w:r>
          <w:rPr>
            <w:spacing w:val="-1"/>
            <w:sz w:val="20"/>
          </w:rPr>
          <w:t> </w:t>
        </w:r>
        <w:r>
          <w:rPr>
            <w:spacing w:val="-6"/>
            <w:sz w:val="20"/>
          </w:rPr>
          <w:t>Strategic</w:t>
        </w:r>
        <w:r>
          <w:rPr>
            <w:sz w:val="20"/>
          </w:rPr>
          <w:t> </w:t>
        </w:r>
        <w:r>
          <w:rPr>
            <w:spacing w:val="-6"/>
            <w:sz w:val="20"/>
          </w:rPr>
          <w:t>Plan</w:t>
        </w:r>
        <w:r>
          <w:rPr>
            <w:spacing w:val="-1"/>
            <w:sz w:val="20"/>
          </w:rPr>
          <w:t> </w:t>
        </w:r>
        <w:r>
          <w:rPr>
            <w:spacing w:val="-6"/>
            <w:sz w:val="20"/>
          </w:rPr>
          <w:t>(2023-2025)</w:t>
        </w:r>
        <w:r>
          <w:rPr>
            <w:sz w:val="20"/>
          </w:rPr>
          <w:tab/>
        </w:r>
        <w:r>
          <w:rPr>
            <w:spacing w:val="-5"/>
            <w:sz w:val="20"/>
          </w:rPr>
          <w:t>203</w:t>
        </w:r>
      </w:hyperlink>
    </w:p>
    <w:p>
      <w:pPr>
        <w:pStyle w:val="ListParagraph"/>
        <w:numPr>
          <w:ilvl w:val="1"/>
          <w:numId w:val="2"/>
        </w:numPr>
        <w:tabs>
          <w:tab w:pos="1819" w:val="left" w:leader="none"/>
          <w:tab w:pos="1820" w:val="left" w:leader="none"/>
          <w:tab w:pos="9612" w:val="right" w:leader="dot"/>
        </w:tabs>
        <w:spacing w:line="240" w:lineRule="auto" w:before="116" w:after="0"/>
        <w:ind w:left="1819" w:right="0" w:hanging="568"/>
        <w:jc w:val="left"/>
        <w:rPr>
          <w:sz w:val="20"/>
        </w:rPr>
      </w:pPr>
      <w:hyperlink w:history="true" w:anchor="_bookmark70">
        <w:r>
          <w:rPr>
            <w:spacing w:val="-6"/>
            <w:sz w:val="20"/>
          </w:rPr>
          <w:t>Major Programme</w:t>
        </w:r>
        <w:r>
          <w:rPr>
            <w:spacing w:val="-3"/>
            <w:sz w:val="20"/>
          </w:rPr>
          <w:t> </w:t>
        </w:r>
        <w:r>
          <w:rPr>
            <w:spacing w:val="-6"/>
            <w:sz w:val="20"/>
          </w:rPr>
          <w:t>I:</w:t>
        </w:r>
        <w:r>
          <w:rPr>
            <w:spacing w:val="-9"/>
            <w:sz w:val="20"/>
          </w:rPr>
          <w:t> </w:t>
        </w:r>
        <w:r>
          <w:rPr>
            <w:spacing w:val="-6"/>
            <w:sz w:val="20"/>
          </w:rPr>
          <w:t>Judiciary</w:t>
        </w:r>
        <w:r>
          <w:rPr>
            <w:sz w:val="20"/>
          </w:rPr>
          <w:tab/>
        </w:r>
        <w:r>
          <w:rPr>
            <w:spacing w:val="-5"/>
            <w:sz w:val="20"/>
          </w:rPr>
          <w:t>205</w:t>
        </w:r>
      </w:hyperlink>
    </w:p>
    <w:p>
      <w:pPr>
        <w:pStyle w:val="ListParagraph"/>
        <w:numPr>
          <w:ilvl w:val="1"/>
          <w:numId w:val="2"/>
        </w:numPr>
        <w:tabs>
          <w:tab w:pos="1819" w:val="left" w:leader="none"/>
          <w:tab w:pos="1820" w:val="left" w:leader="none"/>
          <w:tab w:pos="9612" w:val="right" w:leader="dot"/>
        </w:tabs>
        <w:spacing w:line="240" w:lineRule="auto" w:before="120" w:after="0"/>
        <w:ind w:left="1819" w:right="0" w:hanging="568"/>
        <w:jc w:val="left"/>
        <w:rPr>
          <w:sz w:val="20"/>
        </w:rPr>
      </w:pPr>
      <w:hyperlink w:history="true" w:anchor="_bookmark71">
        <w:r>
          <w:rPr>
            <w:spacing w:val="-6"/>
            <w:sz w:val="20"/>
          </w:rPr>
          <w:t>Major</w:t>
        </w:r>
        <w:r>
          <w:rPr>
            <w:spacing w:val="-9"/>
            <w:sz w:val="20"/>
          </w:rPr>
          <w:t> </w:t>
        </w:r>
        <w:r>
          <w:rPr>
            <w:spacing w:val="-6"/>
            <w:sz w:val="20"/>
          </w:rPr>
          <w:t>Programme</w:t>
        </w:r>
        <w:r>
          <w:rPr>
            <w:spacing w:val="-4"/>
            <w:sz w:val="20"/>
          </w:rPr>
          <w:t> </w:t>
        </w:r>
        <w:r>
          <w:rPr>
            <w:spacing w:val="-6"/>
            <w:sz w:val="20"/>
          </w:rPr>
          <w:t>IV:</w:t>
        </w:r>
        <w:r>
          <w:rPr>
            <w:spacing w:val="-5"/>
            <w:sz w:val="20"/>
          </w:rPr>
          <w:t> </w:t>
        </w:r>
        <w:r>
          <w:rPr>
            <w:spacing w:val="-6"/>
            <w:sz w:val="20"/>
          </w:rPr>
          <w:t>Secretariat</w:t>
        </w:r>
        <w:r>
          <w:rPr>
            <w:spacing w:val="-5"/>
            <w:sz w:val="20"/>
          </w:rPr>
          <w:t> </w:t>
        </w:r>
        <w:r>
          <w:rPr>
            <w:spacing w:val="-6"/>
            <w:sz w:val="20"/>
          </w:rPr>
          <w:t>of the</w:t>
        </w:r>
        <w:r>
          <w:rPr>
            <w:spacing w:val="-4"/>
            <w:sz w:val="20"/>
          </w:rPr>
          <w:t> </w:t>
        </w:r>
        <w:r>
          <w:rPr>
            <w:spacing w:val="-6"/>
            <w:sz w:val="20"/>
          </w:rPr>
          <w:t>Assembly</w:t>
        </w:r>
        <w:r>
          <w:rPr>
            <w:spacing w:val="-7"/>
            <w:sz w:val="20"/>
          </w:rPr>
          <w:t> </w:t>
        </w:r>
        <w:r>
          <w:rPr>
            <w:spacing w:val="-6"/>
            <w:sz w:val="20"/>
          </w:rPr>
          <w:t>of</w:t>
        </w:r>
        <w:r>
          <w:rPr>
            <w:spacing w:val="-5"/>
            <w:sz w:val="20"/>
          </w:rPr>
          <w:t> </w:t>
        </w:r>
        <w:r>
          <w:rPr>
            <w:spacing w:val="-6"/>
            <w:sz w:val="20"/>
          </w:rPr>
          <w:t>States</w:t>
        </w:r>
        <w:r>
          <w:rPr>
            <w:spacing w:val="-2"/>
            <w:sz w:val="20"/>
          </w:rPr>
          <w:t> </w:t>
        </w:r>
        <w:r>
          <w:rPr>
            <w:spacing w:val="-6"/>
            <w:sz w:val="20"/>
          </w:rPr>
          <w:t>Parties</w:t>
        </w:r>
        <w:r>
          <w:rPr>
            <w:sz w:val="20"/>
          </w:rPr>
          <w:tab/>
        </w:r>
        <w:r>
          <w:rPr>
            <w:spacing w:val="-5"/>
            <w:sz w:val="20"/>
          </w:rPr>
          <w:t>207</w:t>
        </w:r>
      </w:hyperlink>
    </w:p>
    <w:p>
      <w:pPr>
        <w:pStyle w:val="ListParagraph"/>
        <w:numPr>
          <w:ilvl w:val="1"/>
          <w:numId w:val="2"/>
        </w:numPr>
        <w:tabs>
          <w:tab w:pos="1819" w:val="left" w:leader="none"/>
          <w:tab w:pos="1820" w:val="left" w:leader="none"/>
          <w:tab w:pos="9612" w:val="right" w:leader="dot"/>
        </w:tabs>
        <w:spacing w:line="240" w:lineRule="auto" w:before="121" w:after="0"/>
        <w:ind w:left="1819" w:right="0" w:hanging="568"/>
        <w:jc w:val="left"/>
        <w:rPr>
          <w:sz w:val="20"/>
        </w:rPr>
      </w:pPr>
      <w:hyperlink w:history="true" w:anchor="_bookmark72">
        <w:r>
          <w:rPr>
            <w:spacing w:val="-6"/>
            <w:sz w:val="20"/>
          </w:rPr>
          <w:t>Major</w:t>
        </w:r>
        <w:r>
          <w:rPr>
            <w:spacing w:val="-10"/>
            <w:sz w:val="20"/>
          </w:rPr>
          <w:t> </w:t>
        </w:r>
        <w:r>
          <w:rPr>
            <w:spacing w:val="-6"/>
            <w:sz w:val="20"/>
          </w:rPr>
          <w:t>Programme</w:t>
        </w:r>
        <w:r>
          <w:rPr>
            <w:spacing w:val="-4"/>
            <w:sz w:val="20"/>
          </w:rPr>
          <w:t> </w:t>
        </w:r>
        <w:r>
          <w:rPr>
            <w:spacing w:val="-6"/>
            <w:sz w:val="20"/>
          </w:rPr>
          <w:t>VII-5: Independent Oversight</w:t>
        </w:r>
        <w:r>
          <w:rPr>
            <w:sz w:val="20"/>
          </w:rPr>
          <w:t> </w:t>
        </w:r>
        <w:r>
          <w:rPr>
            <w:spacing w:val="-6"/>
            <w:sz w:val="20"/>
          </w:rPr>
          <w:t>Mechanism</w:t>
        </w:r>
        <w:r>
          <w:rPr>
            <w:sz w:val="20"/>
          </w:rPr>
          <w:tab/>
        </w:r>
        <w:r>
          <w:rPr>
            <w:spacing w:val="-5"/>
            <w:sz w:val="20"/>
          </w:rPr>
          <w:t>208</w:t>
        </w:r>
      </w:hyperlink>
    </w:p>
    <w:p>
      <w:pPr>
        <w:pStyle w:val="ListParagraph"/>
        <w:numPr>
          <w:ilvl w:val="1"/>
          <w:numId w:val="2"/>
        </w:numPr>
        <w:tabs>
          <w:tab w:pos="1819" w:val="left" w:leader="none"/>
          <w:tab w:pos="1820" w:val="left" w:leader="none"/>
          <w:tab w:pos="9612" w:val="right" w:leader="dot"/>
        </w:tabs>
        <w:spacing w:line="240" w:lineRule="auto" w:before="120" w:after="0"/>
        <w:ind w:left="1819" w:right="0" w:hanging="568"/>
        <w:jc w:val="left"/>
        <w:rPr>
          <w:sz w:val="20"/>
        </w:rPr>
      </w:pPr>
      <w:hyperlink w:history="true" w:anchor="_bookmark73">
        <w:r>
          <w:rPr>
            <w:spacing w:val="-6"/>
            <w:sz w:val="20"/>
          </w:rPr>
          <w:t>Major</w:t>
        </w:r>
        <w:r>
          <w:rPr>
            <w:spacing w:val="-10"/>
            <w:sz w:val="20"/>
          </w:rPr>
          <w:t> </w:t>
        </w:r>
        <w:r>
          <w:rPr>
            <w:spacing w:val="-6"/>
            <w:sz w:val="20"/>
          </w:rPr>
          <w:t>Programme VII-6:</w:t>
        </w:r>
        <w:r>
          <w:rPr>
            <w:sz w:val="20"/>
          </w:rPr>
          <w:t> </w:t>
        </w:r>
        <w:r>
          <w:rPr>
            <w:spacing w:val="-6"/>
            <w:sz w:val="20"/>
          </w:rPr>
          <w:t>Office of</w:t>
        </w:r>
        <w:r>
          <w:rPr>
            <w:spacing w:val="-8"/>
            <w:sz w:val="20"/>
          </w:rPr>
          <w:t> </w:t>
        </w:r>
        <w:r>
          <w:rPr>
            <w:spacing w:val="-6"/>
            <w:sz w:val="20"/>
          </w:rPr>
          <w:t>Internal</w:t>
        </w:r>
        <w:r>
          <w:rPr>
            <w:sz w:val="20"/>
          </w:rPr>
          <w:t> </w:t>
        </w:r>
        <w:r>
          <w:rPr>
            <w:spacing w:val="-6"/>
            <w:sz w:val="20"/>
          </w:rPr>
          <w:t>Audit</w:t>
        </w:r>
        <w:r>
          <w:rPr>
            <w:sz w:val="20"/>
          </w:rPr>
          <w:tab/>
        </w:r>
        <w:r>
          <w:rPr>
            <w:spacing w:val="-5"/>
            <w:sz w:val="20"/>
          </w:rPr>
          <w:t>209</w:t>
        </w:r>
      </w:hyperlink>
    </w:p>
    <w:p>
      <w:pPr>
        <w:pStyle w:val="ListParagraph"/>
        <w:numPr>
          <w:ilvl w:val="0"/>
          <w:numId w:val="2"/>
        </w:numPr>
        <w:tabs>
          <w:tab w:pos="1819" w:val="left" w:leader="none"/>
          <w:tab w:pos="1820" w:val="left" w:leader="none"/>
          <w:tab w:pos="9612" w:val="right" w:leader="dot"/>
        </w:tabs>
        <w:spacing w:line="240" w:lineRule="auto" w:before="121" w:after="0"/>
        <w:ind w:left="1819" w:right="0" w:hanging="568"/>
        <w:jc w:val="left"/>
        <w:rPr>
          <w:sz w:val="20"/>
        </w:rPr>
      </w:pPr>
      <w:hyperlink w:history="true" w:anchor="_bookmark74">
        <w:r>
          <w:rPr>
            <w:spacing w:val="-6"/>
            <w:sz w:val="20"/>
          </w:rPr>
          <w:t>Staffing</w:t>
        </w:r>
        <w:r>
          <w:rPr>
            <w:spacing w:val="-2"/>
            <w:sz w:val="20"/>
          </w:rPr>
          <w:t> </w:t>
        </w:r>
        <w:r>
          <w:rPr>
            <w:spacing w:val="-2"/>
            <w:w w:val="95"/>
            <w:sz w:val="20"/>
          </w:rPr>
          <w:t>information</w:t>
        </w:r>
        <w:r>
          <w:rPr>
            <w:sz w:val="20"/>
          </w:rPr>
          <w:tab/>
        </w:r>
        <w:r>
          <w:rPr>
            <w:spacing w:val="-5"/>
            <w:sz w:val="20"/>
          </w:rPr>
          <w:t>210</w:t>
        </w:r>
      </w:hyperlink>
    </w:p>
    <w:p>
      <w:pPr>
        <w:pStyle w:val="ListParagraph"/>
        <w:numPr>
          <w:ilvl w:val="1"/>
          <w:numId w:val="2"/>
        </w:numPr>
        <w:tabs>
          <w:tab w:pos="1819" w:val="left" w:leader="none"/>
          <w:tab w:pos="1820" w:val="left" w:leader="none"/>
          <w:tab w:pos="9612" w:val="right" w:leader="dot"/>
        </w:tabs>
        <w:spacing w:line="240" w:lineRule="auto" w:before="121" w:after="0"/>
        <w:ind w:left="1819" w:right="0" w:hanging="568"/>
        <w:jc w:val="left"/>
        <w:rPr>
          <w:sz w:val="20"/>
        </w:rPr>
      </w:pPr>
      <w:hyperlink w:history="true" w:anchor="_bookmark75">
        <w:r>
          <w:rPr>
            <w:spacing w:val="-6"/>
            <w:sz w:val="20"/>
          </w:rPr>
          <w:t>Proposed</w:t>
        </w:r>
        <w:r>
          <w:rPr>
            <w:spacing w:val="-9"/>
            <w:sz w:val="20"/>
          </w:rPr>
          <w:t> </w:t>
        </w:r>
        <w:r>
          <w:rPr>
            <w:spacing w:val="-6"/>
            <w:sz w:val="20"/>
          </w:rPr>
          <w:t>Court</w:t>
        </w:r>
        <w:r>
          <w:rPr>
            <w:spacing w:val="-5"/>
            <w:sz w:val="20"/>
          </w:rPr>
          <w:t> </w:t>
        </w:r>
        <w:r>
          <w:rPr>
            <w:spacing w:val="-6"/>
            <w:sz w:val="20"/>
          </w:rPr>
          <w:t>staffing in</w:t>
        </w:r>
        <w:r>
          <w:rPr>
            <w:spacing w:val="-7"/>
            <w:sz w:val="20"/>
          </w:rPr>
          <w:t> </w:t>
        </w:r>
        <w:r>
          <w:rPr>
            <w:spacing w:val="-6"/>
            <w:sz w:val="20"/>
          </w:rPr>
          <w:t>2023 by</w:t>
        </w:r>
        <w:r>
          <w:rPr>
            <w:spacing w:val="-1"/>
            <w:sz w:val="20"/>
          </w:rPr>
          <w:t> </w:t>
        </w:r>
        <w:r>
          <w:rPr>
            <w:spacing w:val="-6"/>
            <w:sz w:val="20"/>
          </w:rPr>
          <w:t>Major</w:t>
        </w:r>
        <w:r>
          <w:rPr>
            <w:sz w:val="20"/>
          </w:rPr>
          <w:t> </w:t>
        </w:r>
        <w:r>
          <w:rPr>
            <w:spacing w:val="-6"/>
            <w:sz w:val="20"/>
          </w:rPr>
          <w:t>Programme</w:t>
        </w:r>
        <w:r>
          <w:rPr>
            <w:sz w:val="20"/>
          </w:rPr>
          <w:tab/>
        </w:r>
        <w:r>
          <w:rPr>
            <w:spacing w:val="-5"/>
            <w:sz w:val="20"/>
          </w:rPr>
          <w:t>210</w:t>
        </w:r>
      </w:hyperlink>
    </w:p>
    <w:p>
      <w:pPr>
        <w:pStyle w:val="ListParagraph"/>
        <w:numPr>
          <w:ilvl w:val="1"/>
          <w:numId w:val="2"/>
        </w:numPr>
        <w:tabs>
          <w:tab w:pos="1819" w:val="left" w:leader="none"/>
          <w:tab w:pos="1820" w:val="left" w:leader="none"/>
          <w:tab w:pos="9612" w:val="right" w:leader="dot"/>
        </w:tabs>
        <w:spacing w:line="240" w:lineRule="auto" w:before="120" w:after="0"/>
        <w:ind w:left="1819" w:right="0" w:hanging="568"/>
        <w:jc w:val="left"/>
        <w:rPr>
          <w:sz w:val="20"/>
        </w:rPr>
      </w:pPr>
      <w:hyperlink w:history="true" w:anchor="_bookmark76">
        <w:r>
          <w:rPr>
            <w:spacing w:val="-6"/>
            <w:sz w:val="20"/>
          </w:rPr>
          <w:t>Changes</w:t>
        </w:r>
        <w:r>
          <w:rPr>
            <w:spacing w:val="-8"/>
            <w:sz w:val="20"/>
          </w:rPr>
          <w:t> </w:t>
        </w:r>
        <w:r>
          <w:rPr>
            <w:spacing w:val="-6"/>
            <w:sz w:val="20"/>
          </w:rPr>
          <w:t>to</w:t>
        </w:r>
        <w:r>
          <w:rPr>
            <w:spacing w:val="-5"/>
            <w:sz w:val="20"/>
          </w:rPr>
          <w:t> </w:t>
        </w:r>
        <w:r>
          <w:rPr>
            <w:spacing w:val="-6"/>
            <w:sz w:val="20"/>
          </w:rPr>
          <w:t>the</w:t>
        </w:r>
        <w:r>
          <w:rPr>
            <w:spacing w:val="-2"/>
            <w:sz w:val="20"/>
          </w:rPr>
          <w:t> </w:t>
        </w:r>
        <w:r>
          <w:rPr>
            <w:spacing w:val="-6"/>
            <w:sz w:val="20"/>
          </w:rPr>
          <w:t>staffing</w:t>
        </w:r>
        <w:r>
          <w:rPr>
            <w:spacing w:val="-5"/>
            <w:sz w:val="20"/>
          </w:rPr>
          <w:t> </w:t>
        </w:r>
        <w:r>
          <w:rPr>
            <w:spacing w:val="-6"/>
            <w:sz w:val="20"/>
          </w:rPr>
          <w:t>table</w:t>
        </w:r>
        <w:r>
          <w:rPr>
            <w:sz w:val="20"/>
          </w:rPr>
          <w:tab/>
        </w:r>
        <w:r>
          <w:rPr>
            <w:spacing w:val="-5"/>
            <w:sz w:val="20"/>
          </w:rPr>
          <w:t>211</w:t>
        </w:r>
      </w:hyperlink>
    </w:p>
    <w:p>
      <w:pPr>
        <w:pStyle w:val="ListParagraph"/>
        <w:numPr>
          <w:ilvl w:val="1"/>
          <w:numId w:val="2"/>
        </w:numPr>
        <w:tabs>
          <w:tab w:pos="1819" w:val="left" w:leader="none"/>
          <w:tab w:pos="1820" w:val="left" w:leader="none"/>
          <w:tab w:pos="9612" w:val="right" w:leader="dot"/>
        </w:tabs>
        <w:spacing w:line="240" w:lineRule="auto" w:before="121" w:after="0"/>
        <w:ind w:left="1819" w:right="0" w:hanging="568"/>
        <w:jc w:val="left"/>
        <w:rPr>
          <w:sz w:val="20"/>
        </w:rPr>
      </w:pPr>
      <w:hyperlink w:history="true" w:anchor="_bookmark77">
        <w:r>
          <w:rPr>
            <w:spacing w:val="-6"/>
            <w:sz w:val="20"/>
          </w:rPr>
          <w:t>List</w:t>
        </w:r>
        <w:r>
          <w:rPr>
            <w:spacing w:val="-5"/>
            <w:sz w:val="20"/>
          </w:rPr>
          <w:t> </w:t>
        </w:r>
        <w:r>
          <w:rPr>
            <w:spacing w:val="-6"/>
            <w:sz w:val="20"/>
          </w:rPr>
          <w:t>of</w:t>
        </w:r>
        <w:r>
          <w:rPr>
            <w:spacing w:val="-11"/>
            <w:sz w:val="20"/>
          </w:rPr>
          <w:t> </w:t>
        </w:r>
        <w:r>
          <w:rPr>
            <w:spacing w:val="-6"/>
            <w:sz w:val="20"/>
          </w:rPr>
          <w:t>conversions</w:t>
        </w:r>
        <w:r>
          <w:rPr>
            <w:spacing w:val="-3"/>
            <w:sz w:val="20"/>
          </w:rPr>
          <w:t> </w:t>
        </w:r>
        <w:r>
          <w:rPr>
            <w:spacing w:val="-6"/>
            <w:sz w:val="20"/>
          </w:rPr>
          <w:t>2023</w:t>
        </w:r>
        <w:r>
          <w:rPr>
            <w:spacing w:val="-5"/>
            <w:sz w:val="20"/>
          </w:rPr>
          <w:t> </w:t>
        </w:r>
        <w:r>
          <w:rPr>
            <w:spacing w:val="-6"/>
            <w:sz w:val="20"/>
          </w:rPr>
          <w:t>(GTA</w:t>
        </w:r>
        <w:r>
          <w:rPr>
            <w:spacing w:val="-8"/>
            <w:sz w:val="20"/>
          </w:rPr>
          <w:t> </w:t>
        </w:r>
        <w:r>
          <w:rPr>
            <w:spacing w:val="-6"/>
            <w:sz w:val="20"/>
          </w:rPr>
          <w:t>to Established</w:t>
        </w:r>
        <w:r>
          <w:rPr>
            <w:spacing w:val="1"/>
            <w:sz w:val="20"/>
          </w:rPr>
          <w:t> </w:t>
        </w:r>
        <w:r>
          <w:rPr>
            <w:spacing w:val="-6"/>
            <w:sz w:val="20"/>
          </w:rPr>
          <w:t>posts)</w:t>
        </w:r>
        <w:r>
          <w:rPr>
            <w:sz w:val="20"/>
          </w:rPr>
          <w:tab/>
        </w:r>
        <w:r>
          <w:rPr>
            <w:spacing w:val="-5"/>
            <w:sz w:val="20"/>
          </w:rPr>
          <w:t>212</w:t>
        </w:r>
      </w:hyperlink>
    </w:p>
    <w:p>
      <w:pPr>
        <w:pStyle w:val="ListParagraph"/>
        <w:numPr>
          <w:ilvl w:val="0"/>
          <w:numId w:val="2"/>
        </w:numPr>
        <w:tabs>
          <w:tab w:pos="1819" w:val="left" w:leader="none"/>
          <w:tab w:pos="1820" w:val="left" w:leader="none"/>
          <w:tab w:pos="9612" w:val="right" w:leader="dot"/>
        </w:tabs>
        <w:spacing w:line="240" w:lineRule="auto" w:before="120" w:after="0"/>
        <w:ind w:left="1819" w:right="0" w:hanging="568"/>
        <w:jc w:val="left"/>
        <w:rPr>
          <w:sz w:val="20"/>
        </w:rPr>
      </w:pPr>
      <w:hyperlink w:history="true" w:anchor="_bookmark78">
        <w:r>
          <w:rPr>
            <w:spacing w:val="-6"/>
            <w:sz w:val="20"/>
          </w:rPr>
          <w:t>Salaries</w:t>
        </w:r>
        <w:r>
          <w:rPr>
            <w:spacing w:val="-10"/>
            <w:sz w:val="20"/>
          </w:rPr>
          <w:t> </w:t>
        </w:r>
        <w:r>
          <w:rPr>
            <w:spacing w:val="-6"/>
            <w:sz w:val="20"/>
          </w:rPr>
          <w:t>and</w:t>
        </w:r>
        <w:r>
          <w:rPr>
            <w:spacing w:val="-5"/>
            <w:sz w:val="20"/>
          </w:rPr>
          <w:t> </w:t>
        </w:r>
        <w:r>
          <w:rPr>
            <w:spacing w:val="-6"/>
            <w:sz w:val="20"/>
          </w:rPr>
          <w:t>entitlements</w:t>
        </w:r>
        <w:r>
          <w:rPr>
            <w:spacing w:val="-2"/>
            <w:sz w:val="20"/>
          </w:rPr>
          <w:t> </w:t>
        </w:r>
        <w:r>
          <w:rPr>
            <w:spacing w:val="-6"/>
            <w:sz w:val="20"/>
          </w:rPr>
          <w:t>for</w:t>
        </w:r>
        <w:r>
          <w:rPr>
            <w:spacing w:val="-5"/>
            <w:sz w:val="20"/>
          </w:rPr>
          <w:t> </w:t>
        </w:r>
        <w:r>
          <w:rPr>
            <w:spacing w:val="-6"/>
            <w:sz w:val="20"/>
          </w:rPr>
          <w:t>2023</w:t>
        </w:r>
        <w:r>
          <w:rPr>
            <w:spacing w:val="-5"/>
            <w:sz w:val="20"/>
          </w:rPr>
          <w:t> </w:t>
        </w:r>
        <w:r>
          <w:rPr>
            <w:spacing w:val="-6"/>
            <w:sz w:val="20"/>
          </w:rPr>
          <w:t>(thousands</w:t>
        </w:r>
        <w:r>
          <w:rPr>
            <w:spacing w:val="-7"/>
            <w:sz w:val="20"/>
          </w:rPr>
          <w:t> </w:t>
        </w:r>
        <w:r>
          <w:rPr>
            <w:spacing w:val="-6"/>
            <w:sz w:val="20"/>
          </w:rPr>
          <w:t>of</w:t>
        </w:r>
        <w:r>
          <w:rPr>
            <w:spacing w:val="-5"/>
            <w:sz w:val="20"/>
          </w:rPr>
          <w:t> </w:t>
        </w:r>
        <w:r>
          <w:rPr>
            <w:spacing w:val="-6"/>
            <w:sz w:val="20"/>
          </w:rPr>
          <w:t>euros)</w:t>
        </w:r>
        <w:r>
          <w:rPr>
            <w:sz w:val="20"/>
          </w:rPr>
          <w:tab/>
        </w:r>
        <w:r>
          <w:rPr>
            <w:spacing w:val="-5"/>
            <w:sz w:val="20"/>
          </w:rPr>
          <w:t>213</w:t>
        </w:r>
      </w:hyperlink>
    </w:p>
    <w:p>
      <w:pPr>
        <w:pStyle w:val="ListParagraph"/>
        <w:numPr>
          <w:ilvl w:val="1"/>
          <w:numId w:val="2"/>
        </w:numPr>
        <w:tabs>
          <w:tab w:pos="1819" w:val="left" w:leader="none"/>
          <w:tab w:pos="1820" w:val="left" w:leader="none"/>
          <w:tab w:pos="9612" w:val="right" w:leader="dot"/>
        </w:tabs>
        <w:spacing w:line="240" w:lineRule="auto" w:before="121" w:after="0"/>
        <w:ind w:left="1819" w:right="0" w:hanging="568"/>
        <w:jc w:val="left"/>
        <w:rPr>
          <w:sz w:val="20"/>
        </w:rPr>
      </w:pPr>
      <w:hyperlink w:history="true" w:anchor="_bookmark79">
        <w:r>
          <w:rPr>
            <w:spacing w:val="-6"/>
            <w:sz w:val="20"/>
          </w:rPr>
          <w:t>Judges’ salaries</w:t>
        </w:r>
        <w:r>
          <w:rPr>
            <w:spacing w:val="-7"/>
            <w:sz w:val="20"/>
          </w:rPr>
          <w:t> </w:t>
        </w:r>
        <w:r>
          <w:rPr>
            <w:spacing w:val="-6"/>
            <w:sz w:val="20"/>
          </w:rPr>
          <w:t>and</w:t>
        </w:r>
        <w:r>
          <w:rPr>
            <w:spacing w:val="-3"/>
            <w:sz w:val="20"/>
          </w:rPr>
          <w:t> </w:t>
        </w:r>
        <w:r>
          <w:rPr>
            <w:spacing w:val="-6"/>
            <w:sz w:val="20"/>
          </w:rPr>
          <w:t>entitlements</w:t>
        </w:r>
        <w:r>
          <w:rPr>
            <w:spacing w:val="-7"/>
            <w:sz w:val="20"/>
          </w:rPr>
          <w:t> </w:t>
        </w:r>
        <w:r>
          <w:rPr>
            <w:spacing w:val="-6"/>
            <w:sz w:val="20"/>
          </w:rPr>
          <w:t>for</w:t>
        </w:r>
        <w:r>
          <w:rPr>
            <w:spacing w:val="-3"/>
            <w:sz w:val="20"/>
          </w:rPr>
          <w:t> </w:t>
        </w:r>
        <w:r>
          <w:rPr>
            <w:spacing w:val="-6"/>
            <w:sz w:val="20"/>
          </w:rPr>
          <w:t>2023</w:t>
        </w:r>
        <w:r>
          <w:rPr>
            <w:spacing w:val="-4"/>
            <w:sz w:val="20"/>
          </w:rPr>
          <w:t> </w:t>
        </w:r>
        <w:r>
          <w:rPr>
            <w:spacing w:val="-6"/>
            <w:sz w:val="20"/>
          </w:rPr>
          <w:t>(thousands</w:t>
        </w:r>
        <w:r>
          <w:rPr>
            <w:spacing w:val="-7"/>
            <w:sz w:val="20"/>
          </w:rPr>
          <w:t> </w:t>
        </w:r>
        <w:r>
          <w:rPr>
            <w:spacing w:val="-6"/>
            <w:sz w:val="20"/>
          </w:rPr>
          <w:t>of</w:t>
        </w:r>
        <w:r>
          <w:rPr>
            <w:spacing w:val="-9"/>
            <w:sz w:val="20"/>
          </w:rPr>
          <w:t> </w:t>
        </w:r>
        <w:r>
          <w:rPr>
            <w:spacing w:val="-6"/>
            <w:sz w:val="20"/>
          </w:rPr>
          <w:t>euros)</w:t>
        </w:r>
        <w:r>
          <w:rPr>
            <w:sz w:val="20"/>
          </w:rPr>
          <w:tab/>
        </w:r>
        <w:r>
          <w:rPr>
            <w:spacing w:val="-5"/>
            <w:sz w:val="20"/>
          </w:rPr>
          <w:t>213</w:t>
        </w:r>
      </w:hyperlink>
    </w:p>
    <w:p>
      <w:pPr>
        <w:pStyle w:val="ListParagraph"/>
        <w:numPr>
          <w:ilvl w:val="1"/>
          <w:numId w:val="2"/>
        </w:numPr>
        <w:tabs>
          <w:tab w:pos="1819" w:val="left" w:leader="none"/>
          <w:tab w:pos="1820" w:val="left" w:leader="none"/>
        </w:tabs>
        <w:spacing w:line="240" w:lineRule="auto" w:before="120" w:after="0"/>
        <w:ind w:left="1819" w:right="0" w:hanging="568"/>
        <w:jc w:val="left"/>
        <w:rPr>
          <w:sz w:val="20"/>
        </w:rPr>
      </w:pPr>
      <w:hyperlink w:history="true" w:anchor="_bookmark80">
        <w:r>
          <w:rPr>
            <w:sz w:val="20"/>
          </w:rPr>
          <w:t>Standard</w:t>
        </w:r>
        <w:r>
          <w:rPr>
            <w:spacing w:val="-13"/>
            <w:sz w:val="20"/>
          </w:rPr>
          <w:t> </w:t>
        </w:r>
        <w:r>
          <w:rPr>
            <w:sz w:val="20"/>
          </w:rPr>
          <w:t>salary</w:t>
        </w:r>
        <w:r>
          <w:rPr>
            <w:spacing w:val="-12"/>
            <w:sz w:val="20"/>
          </w:rPr>
          <w:t> </w:t>
        </w:r>
        <w:r>
          <w:rPr>
            <w:sz w:val="20"/>
          </w:rPr>
          <w:t>costs</w:t>
        </w:r>
        <w:r>
          <w:rPr>
            <w:spacing w:val="-9"/>
            <w:sz w:val="20"/>
          </w:rPr>
          <w:t> </w:t>
        </w:r>
        <w:r>
          <w:rPr>
            <w:sz w:val="20"/>
          </w:rPr>
          <w:t>for</w:t>
        </w:r>
        <w:r>
          <w:rPr>
            <w:spacing w:val="-8"/>
            <w:sz w:val="20"/>
          </w:rPr>
          <w:t> </w:t>
        </w:r>
        <w:r>
          <w:rPr>
            <w:sz w:val="20"/>
          </w:rPr>
          <w:t>2023</w:t>
        </w:r>
        <w:r>
          <w:rPr>
            <w:spacing w:val="-9"/>
            <w:sz w:val="20"/>
          </w:rPr>
          <w:t> </w:t>
        </w:r>
        <w:r>
          <w:rPr>
            <w:sz w:val="20"/>
          </w:rPr>
          <w:t>-</w:t>
        </w:r>
        <w:r>
          <w:rPr>
            <w:spacing w:val="-7"/>
            <w:sz w:val="20"/>
          </w:rPr>
          <w:t> </w:t>
        </w:r>
        <w:r>
          <w:rPr>
            <w:sz w:val="20"/>
          </w:rPr>
          <w:t>Professional</w:t>
        </w:r>
        <w:r>
          <w:rPr>
            <w:spacing w:val="-10"/>
            <w:sz w:val="20"/>
          </w:rPr>
          <w:t> </w:t>
        </w:r>
        <w:r>
          <w:rPr>
            <w:sz w:val="20"/>
          </w:rPr>
          <w:t>and</w:t>
        </w:r>
        <w:r>
          <w:rPr>
            <w:spacing w:val="-7"/>
            <w:sz w:val="20"/>
          </w:rPr>
          <w:t> </w:t>
        </w:r>
        <w:r>
          <w:rPr>
            <w:sz w:val="20"/>
          </w:rPr>
          <w:t>General</w:t>
        </w:r>
        <w:r>
          <w:rPr>
            <w:spacing w:val="-10"/>
            <w:sz w:val="20"/>
          </w:rPr>
          <w:t> </w:t>
        </w:r>
        <w:r>
          <w:rPr>
            <w:sz w:val="20"/>
          </w:rPr>
          <w:t>Service</w:t>
        </w:r>
        <w:r>
          <w:rPr>
            <w:spacing w:val="-5"/>
            <w:sz w:val="20"/>
          </w:rPr>
          <w:t> </w:t>
        </w:r>
        <w:r>
          <w:rPr>
            <w:spacing w:val="-2"/>
            <w:sz w:val="20"/>
          </w:rPr>
          <w:t>staff</w:t>
        </w:r>
      </w:hyperlink>
    </w:p>
    <w:p>
      <w:pPr>
        <w:pStyle w:val="BodyText"/>
        <w:tabs>
          <w:tab w:pos="9612" w:val="right" w:leader="dot"/>
        </w:tabs>
        <w:spacing w:before="1"/>
        <w:ind w:left="1819"/>
      </w:pPr>
      <w:hyperlink w:history="true" w:anchor="_bookmark80">
        <w:r>
          <w:rPr/>
          <w:t>at</w:t>
        </w:r>
        <w:r>
          <w:rPr>
            <w:spacing w:val="-8"/>
          </w:rPr>
          <w:t> </w:t>
        </w:r>
        <w:r>
          <w:rPr/>
          <w:t>Headquarters</w:t>
        </w:r>
        <w:r>
          <w:rPr>
            <w:spacing w:val="-4"/>
          </w:rPr>
          <w:t> </w:t>
        </w:r>
        <w:r>
          <w:rPr/>
          <w:t>(thousands</w:t>
        </w:r>
        <w:r>
          <w:rPr>
            <w:spacing w:val="-4"/>
          </w:rPr>
          <w:t> </w:t>
        </w:r>
        <w:r>
          <w:rPr/>
          <w:t>of</w:t>
        </w:r>
        <w:r>
          <w:rPr>
            <w:spacing w:val="-7"/>
          </w:rPr>
          <w:t> </w:t>
        </w:r>
        <w:r>
          <w:rPr>
            <w:spacing w:val="-2"/>
          </w:rPr>
          <w:t>euros)</w:t>
        </w:r>
        <w:r>
          <w:rPr/>
          <w:tab/>
        </w:r>
        <w:r>
          <w:rPr>
            <w:spacing w:val="-5"/>
          </w:rPr>
          <w:t>214</w:t>
        </w:r>
      </w:hyperlink>
    </w:p>
    <w:p>
      <w:pPr>
        <w:pStyle w:val="ListParagraph"/>
        <w:numPr>
          <w:ilvl w:val="0"/>
          <w:numId w:val="2"/>
        </w:numPr>
        <w:tabs>
          <w:tab w:pos="1819" w:val="left" w:leader="none"/>
          <w:tab w:pos="1820" w:val="left" w:leader="none"/>
          <w:tab w:pos="9612" w:val="right" w:leader="dot"/>
        </w:tabs>
        <w:spacing w:line="240" w:lineRule="auto" w:before="115" w:after="0"/>
        <w:ind w:left="1819" w:right="0" w:hanging="568"/>
        <w:jc w:val="left"/>
        <w:rPr>
          <w:sz w:val="20"/>
        </w:rPr>
      </w:pPr>
      <w:hyperlink w:history="true" w:anchor="_bookmark81">
        <w:r>
          <w:rPr>
            <w:spacing w:val="-6"/>
            <w:sz w:val="20"/>
          </w:rPr>
          <w:t>Proposed</w:t>
        </w:r>
        <w:r>
          <w:rPr>
            <w:spacing w:val="-7"/>
            <w:sz w:val="20"/>
          </w:rPr>
          <w:t> </w:t>
        </w:r>
        <w:r>
          <w:rPr>
            <w:spacing w:val="-6"/>
            <w:sz w:val="20"/>
          </w:rPr>
          <w:t>budget</w:t>
        </w:r>
        <w:r>
          <w:rPr>
            <w:spacing w:val="-5"/>
            <w:sz w:val="20"/>
          </w:rPr>
          <w:t> </w:t>
        </w:r>
        <w:r>
          <w:rPr>
            <w:spacing w:val="-6"/>
            <w:sz w:val="20"/>
          </w:rPr>
          <w:t>for 2023 for</w:t>
        </w:r>
        <w:r>
          <w:rPr>
            <w:spacing w:val="-7"/>
            <w:sz w:val="20"/>
          </w:rPr>
          <w:t> </w:t>
        </w:r>
        <w:r>
          <w:rPr>
            <w:spacing w:val="-6"/>
            <w:sz w:val="20"/>
          </w:rPr>
          <w:t>the</w:t>
        </w:r>
        <w:r>
          <w:rPr>
            <w:spacing w:val="-4"/>
            <w:sz w:val="20"/>
          </w:rPr>
          <w:t> </w:t>
        </w:r>
        <w:r>
          <w:rPr>
            <w:spacing w:val="-6"/>
            <w:sz w:val="20"/>
          </w:rPr>
          <w:t>African Union Liaison</w:t>
        </w:r>
        <w:r>
          <w:rPr>
            <w:spacing w:val="-1"/>
            <w:sz w:val="20"/>
          </w:rPr>
          <w:t> </w:t>
        </w:r>
        <w:r>
          <w:rPr>
            <w:spacing w:val="-6"/>
            <w:sz w:val="20"/>
          </w:rPr>
          <w:t>Office</w:t>
        </w:r>
        <w:r>
          <w:rPr>
            <w:spacing w:val="-3"/>
            <w:sz w:val="20"/>
          </w:rPr>
          <w:t> </w:t>
        </w:r>
        <w:r>
          <w:rPr>
            <w:spacing w:val="-6"/>
            <w:w w:val="95"/>
            <w:sz w:val="20"/>
          </w:rPr>
          <w:t>(AULO)</w:t>
        </w:r>
        <w:r>
          <w:rPr>
            <w:sz w:val="20"/>
          </w:rPr>
          <w:tab/>
        </w:r>
        <w:r>
          <w:rPr>
            <w:spacing w:val="-5"/>
            <w:sz w:val="20"/>
          </w:rPr>
          <w:t>215</w:t>
        </w:r>
      </w:hyperlink>
    </w:p>
    <w:p>
      <w:pPr>
        <w:pStyle w:val="ListParagraph"/>
        <w:numPr>
          <w:ilvl w:val="0"/>
          <w:numId w:val="2"/>
        </w:numPr>
        <w:tabs>
          <w:tab w:pos="1820" w:val="left" w:leader="none"/>
          <w:tab w:pos="9612" w:val="right" w:leader="dot"/>
        </w:tabs>
        <w:spacing w:line="240" w:lineRule="auto" w:before="121" w:after="0"/>
        <w:ind w:left="1819" w:right="0" w:hanging="568"/>
        <w:jc w:val="left"/>
        <w:rPr>
          <w:sz w:val="20"/>
        </w:rPr>
      </w:pPr>
      <w:hyperlink w:history="true" w:anchor="_bookmark82">
        <w:r>
          <w:rPr>
            <w:spacing w:val="-6"/>
            <w:sz w:val="20"/>
          </w:rPr>
          <w:t>2023 estimated</w:t>
        </w:r>
        <w:r>
          <w:rPr>
            <w:spacing w:val="-5"/>
            <w:sz w:val="20"/>
          </w:rPr>
          <w:t> </w:t>
        </w:r>
        <w:r>
          <w:rPr>
            <w:spacing w:val="-6"/>
            <w:sz w:val="20"/>
          </w:rPr>
          <w:t>income</w:t>
        </w:r>
        <w:r>
          <w:rPr>
            <w:spacing w:val="-2"/>
            <w:sz w:val="20"/>
          </w:rPr>
          <w:t> </w:t>
        </w:r>
        <w:r>
          <w:rPr>
            <w:spacing w:val="-6"/>
            <w:sz w:val="20"/>
          </w:rPr>
          <w:t>statements</w:t>
        </w:r>
        <w:r>
          <w:rPr>
            <w:sz w:val="20"/>
          </w:rPr>
          <w:tab/>
        </w:r>
        <w:r>
          <w:rPr>
            <w:spacing w:val="-5"/>
            <w:sz w:val="20"/>
          </w:rPr>
          <w:t>216</w:t>
        </w:r>
      </w:hyperlink>
    </w:p>
    <w:p>
      <w:pPr>
        <w:pStyle w:val="ListParagraph"/>
        <w:numPr>
          <w:ilvl w:val="0"/>
          <w:numId w:val="2"/>
        </w:numPr>
        <w:tabs>
          <w:tab w:pos="1819" w:val="left" w:leader="none"/>
          <w:tab w:pos="1820" w:val="left" w:leader="none"/>
          <w:tab w:pos="9612" w:val="right" w:leader="dot"/>
        </w:tabs>
        <w:spacing w:line="240" w:lineRule="auto" w:before="120" w:after="0"/>
        <w:ind w:left="1819" w:right="0" w:hanging="568"/>
        <w:jc w:val="left"/>
        <w:rPr>
          <w:sz w:val="20"/>
        </w:rPr>
      </w:pPr>
      <w:hyperlink w:history="true" w:anchor="_bookmark83">
        <w:r>
          <w:rPr>
            <w:spacing w:val="-5"/>
            <w:sz w:val="20"/>
          </w:rPr>
          <w:t>Information</w:t>
        </w:r>
        <w:r>
          <w:rPr>
            <w:spacing w:val="-17"/>
            <w:sz w:val="20"/>
          </w:rPr>
          <w:t> </w:t>
        </w:r>
        <w:r>
          <w:rPr>
            <w:spacing w:val="-2"/>
            <w:sz w:val="20"/>
          </w:rPr>
          <w:t>Technology</w:t>
        </w:r>
        <w:r>
          <w:rPr>
            <w:sz w:val="20"/>
          </w:rPr>
          <w:tab/>
        </w:r>
        <w:r>
          <w:rPr>
            <w:spacing w:val="-5"/>
            <w:sz w:val="20"/>
          </w:rPr>
          <w:t>217</w:t>
        </w:r>
      </w:hyperlink>
    </w:p>
    <w:p>
      <w:pPr>
        <w:pStyle w:val="ListParagraph"/>
        <w:numPr>
          <w:ilvl w:val="1"/>
          <w:numId w:val="2"/>
        </w:numPr>
        <w:tabs>
          <w:tab w:pos="1819" w:val="left" w:leader="none"/>
          <w:tab w:pos="1820" w:val="left" w:leader="none"/>
        </w:tabs>
        <w:spacing w:line="240" w:lineRule="auto" w:before="121" w:after="0"/>
        <w:ind w:left="1819" w:right="0" w:hanging="568"/>
        <w:jc w:val="left"/>
        <w:rPr>
          <w:sz w:val="20"/>
        </w:rPr>
      </w:pPr>
      <w:hyperlink w:history="true" w:anchor="_bookmark84">
        <w:r>
          <w:rPr>
            <w:sz w:val="20"/>
          </w:rPr>
          <w:t>Information</w:t>
        </w:r>
        <w:r>
          <w:rPr>
            <w:spacing w:val="-15"/>
            <w:sz w:val="20"/>
          </w:rPr>
          <w:t> </w:t>
        </w:r>
        <w:r>
          <w:rPr>
            <w:sz w:val="20"/>
          </w:rPr>
          <w:t>Technology</w:t>
        </w:r>
        <w:r>
          <w:rPr>
            <w:spacing w:val="-12"/>
            <w:sz w:val="20"/>
          </w:rPr>
          <w:t> </w:t>
        </w:r>
        <w:r>
          <w:rPr>
            <w:sz w:val="20"/>
          </w:rPr>
          <w:t>and</w:t>
        </w:r>
        <w:r>
          <w:rPr>
            <w:spacing w:val="-12"/>
            <w:sz w:val="20"/>
          </w:rPr>
          <w:t> </w:t>
        </w:r>
        <w:r>
          <w:rPr>
            <w:sz w:val="20"/>
          </w:rPr>
          <w:t>Information</w:t>
        </w:r>
        <w:r>
          <w:rPr>
            <w:spacing w:val="-8"/>
            <w:sz w:val="20"/>
          </w:rPr>
          <w:t> </w:t>
        </w:r>
        <w:r>
          <w:rPr>
            <w:sz w:val="20"/>
          </w:rPr>
          <w:t>Management</w:t>
        </w:r>
        <w:r>
          <w:rPr>
            <w:spacing w:val="-6"/>
            <w:sz w:val="20"/>
          </w:rPr>
          <w:t> </w:t>
        </w:r>
        <w:r>
          <w:rPr>
            <w:sz w:val="20"/>
          </w:rPr>
          <w:t>(IT/IM)</w:t>
        </w:r>
        <w:r>
          <w:rPr>
            <w:spacing w:val="-8"/>
            <w:sz w:val="20"/>
          </w:rPr>
          <w:t> </w:t>
        </w:r>
        <w:r>
          <w:rPr>
            <w:spacing w:val="-2"/>
            <w:sz w:val="20"/>
          </w:rPr>
          <w:t>Strategy</w:t>
        </w:r>
      </w:hyperlink>
    </w:p>
    <w:p>
      <w:pPr>
        <w:pStyle w:val="BodyText"/>
        <w:tabs>
          <w:tab w:pos="9612" w:val="right" w:leader="dot"/>
        </w:tabs>
        <w:ind w:left="1819"/>
      </w:pPr>
      <w:hyperlink w:history="true" w:anchor="_bookmark84">
        <w:r>
          <w:rPr/>
          <w:t>for</w:t>
        </w:r>
        <w:r>
          <w:rPr>
            <w:spacing w:val="-4"/>
          </w:rPr>
          <w:t> </w:t>
        </w:r>
        <w:r>
          <w:rPr/>
          <w:t>2023-2025</w:t>
        </w:r>
        <w:r>
          <w:rPr>
            <w:spacing w:val="-7"/>
          </w:rPr>
          <w:t> </w:t>
        </w:r>
        <w:r>
          <w:rPr/>
          <w:t>of</w:t>
        </w:r>
        <w:r>
          <w:rPr>
            <w:spacing w:val="-8"/>
          </w:rPr>
          <w:t> </w:t>
        </w:r>
        <w:r>
          <w:rPr/>
          <w:t>the</w:t>
        </w:r>
        <w:r>
          <w:rPr>
            <w:spacing w:val="-6"/>
          </w:rPr>
          <w:t> </w:t>
        </w:r>
        <w:r>
          <w:rPr/>
          <w:t>International</w:t>
        </w:r>
        <w:r>
          <w:rPr>
            <w:spacing w:val="-6"/>
          </w:rPr>
          <w:t> </w:t>
        </w:r>
        <w:r>
          <w:rPr/>
          <w:t>Criminal</w:t>
        </w:r>
        <w:r>
          <w:rPr>
            <w:spacing w:val="-5"/>
          </w:rPr>
          <w:t> </w:t>
        </w:r>
        <w:r>
          <w:rPr>
            <w:spacing w:val="-4"/>
          </w:rPr>
          <w:t>Court</w:t>
        </w:r>
        <w:r>
          <w:rPr/>
          <w:tab/>
        </w:r>
        <w:r>
          <w:rPr>
            <w:spacing w:val="-5"/>
          </w:rPr>
          <w:t>217</w:t>
        </w:r>
      </w:hyperlink>
    </w:p>
    <w:p>
      <w:pPr>
        <w:pStyle w:val="ListParagraph"/>
        <w:numPr>
          <w:ilvl w:val="1"/>
          <w:numId w:val="2"/>
        </w:numPr>
        <w:tabs>
          <w:tab w:pos="1819" w:val="left" w:leader="none"/>
          <w:tab w:pos="1820" w:val="left" w:leader="none"/>
          <w:tab w:pos="9612" w:val="right" w:leader="dot"/>
        </w:tabs>
        <w:spacing w:line="240" w:lineRule="auto" w:before="121" w:after="0"/>
        <w:ind w:left="1819" w:right="0" w:hanging="568"/>
        <w:jc w:val="left"/>
        <w:rPr>
          <w:sz w:val="20"/>
        </w:rPr>
      </w:pPr>
      <w:hyperlink w:history="true" w:anchor="_bookmark85">
        <w:r>
          <w:rPr>
            <w:spacing w:val="-6"/>
            <w:sz w:val="20"/>
          </w:rPr>
          <w:t>Court-wide</w:t>
        </w:r>
        <w:r>
          <w:rPr>
            <w:spacing w:val="-4"/>
            <w:sz w:val="20"/>
          </w:rPr>
          <w:t> </w:t>
        </w:r>
        <w:r>
          <w:rPr>
            <w:spacing w:val="-6"/>
            <w:sz w:val="20"/>
          </w:rPr>
          <w:t>Information</w:t>
        </w:r>
        <w:r>
          <w:rPr>
            <w:spacing w:val="-8"/>
            <w:sz w:val="20"/>
          </w:rPr>
          <w:t> </w:t>
        </w:r>
        <w:r>
          <w:rPr>
            <w:spacing w:val="-6"/>
            <w:sz w:val="20"/>
          </w:rPr>
          <w:t>Technology</w:t>
        </w:r>
        <w:r>
          <w:rPr>
            <w:spacing w:val="-8"/>
            <w:sz w:val="20"/>
          </w:rPr>
          <w:t> </w:t>
        </w:r>
        <w:r>
          <w:rPr>
            <w:spacing w:val="-6"/>
            <w:sz w:val="20"/>
          </w:rPr>
          <w:t>and</w:t>
        </w:r>
        <w:r>
          <w:rPr>
            <w:spacing w:val="-9"/>
            <w:sz w:val="20"/>
          </w:rPr>
          <w:t> </w:t>
        </w:r>
        <w:r>
          <w:rPr>
            <w:spacing w:val="-6"/>
            <w:sz w:val="20"/>
          </w:rPr>
          <w:t>Information</w:t>
        </w:r>
        <w:r>
          <w:rPr>
            <w:spacing w:val="-2"/>
            <w:sz w:val="20"/>
          </w:rPr>
          <w:t> </w:t>
        </w:r>
        <w:r>
          <w:rPr>
            <w:spacing w:val="-6"/>
            <w:sz w:val="20"/>
          </w:rPr>
          <w:t>Management</w:t>
        </w:r>
        <w:r>
          <w:rPr>
            <w:spacing w:val="-7"/>
            <w:sz w:val="20"/>
          </w:rPr>
          <w:t> </w:t>
        </w:r>
        <w:r>
          <w:rPr>
            <w:spacing w:val="-6"/>
            <w:sz w:val="20"/>
          </w:rPr>
          <w:t>(IT/IM)</w:t>
        </w:r>
        <w:r>
          <w:rPr>
            <w:spacing w:val="-8"/>
            <w:sz w:val="20"/>
          </w:rPr>
          <w:t> </w:t>
        </w:r>
        <w:r>
          <w:rPr>
            <w:spacing w:val="-6"/>
            <w:sz w:val="20"/>
          </w:rPr>
          <w:t>costs</w:t>
        </w:r>
        <w:r>
          <w:rPr>
            <w:sz w:val="20"/>
          </w:rPr>
          <w:tab/>
        </w:r>
        <w:r>
          <w:rPr>
            <w:spacing w:val="-5"/>
            <w:sz w:val="20"/>
          </w:rPr>
          <w:t>218</w:t>
        </w:r>
      </w:hyperlink>
    </w:p>
    <w:p>
      <w:pPr>
        <w:pStyle w:val="ListParagraph"/>
        <w:numPr>
          <w:ilvl w:val="0"/>
          <w:numId w:val="2"/>
        </w:numPr>
        <w:tabs>
          <w:tab w:pos="1819" w:val="left" w:leader="none"/>
          <w:tab w:pos="1820" w:val="left" w:leader="none"/>
          <w:tab w:pos="9612" w:val="right" w:leader="dot"/>
        </w:tabs>
        <w:spacing w:line="240" w:lineRule="auto" w:before="120" w:after="0"/>
        <w:ind w:left="1819" w:right="0" w:hanging="568"/>
        <w:jc w:val="left"/>
        <w:rPr>
          <w:sz w:val="20"/>
        </w:rPr>
      </w:pPr>
      <w:hyperlink w:history="true" w:anchor="_bookmark86">
        <w:r>
          <w:rPr>
            <w:spacing w:val="-6"/>
            <w:sz w:val="20"/>
          </w:rPr>
          <w:t>2023 Proposed</w:t>
        </w:r>
        <w:r>
          <w:rPr>
            <w:spacing w:val="-3"/>
            <w:sz w:val="20"/>
          </w:rPr>
          <w:t> </w:t>
        </w:r>
        <w:r>
          <w:rPr>
            <w:spacing w:val="-6"/>
            <w:sz w:val="20"/>
          </w:rPr>
          <w:t>Programme</w:t>
        </w:r>
        <w:r>
          <w:rPr>
            <w:spacing w:val="-7"/>
            <w:sz w:val="20"/>
          </w:rPr>
          <w:t> </w:t>
        </w:r>
        <w:r>
          <w:rPr>
            <w:spacing w:val="-6"/>
            <w:sz w:val="20"/>
          </w:rPr>
          <w:t>Budget</w:t>
        </w:r>
        <w:r>
          <w:rPr>
            <w:spacing w:val="-7"/>
            <w:sz w:val="20"/>
          </w:rPr>
          <w:t> </w:t>
        </w:r>
        <w:r>
          <w:rPr>
            <w:spacing w:val="-6"/>
            <w:sz w:val="20"/>
          </w:rPr>
          <w:t>baseline</w:t>
        </w:r>
        <w:r>
          <w:rPr>
            <w:sz w:val="20"/>
          </w:rPr>
          <w:tab/>
        </w:r>
        <w:r>
          <w:rPr>
            <w:spacing w:val="-5"/>
            <w:sz w:val="20"/>
          </w:rPr>
          <w:t>223</w:t>
        </w:r>
      </w:hyperlink>
    </w:p>
    <w:p>
      <w:pPr>
        <w:pStyle w:val="ListParagraph"/>
        <w:numPr>
          <w:ilvl w:val="0"/>
          <w:numId w:val="2"/>
        </w:numPr>
        <w:tabs>
          <w:tab w:pos="1819" w:val="left" w:leader="none"/>
          <w:tab w:pos="1820" w:val="left" w:leader="none"/>
          <w:tab w:pos="9612" w:val="right" w:leader="dot"/>
        </w:tabs>
        <w:spacing w:line="240" w:lineRule="auto" w:before="121" w:after="0"/>
        <w:ind w:left="1819" w:right="0" w:hanging="568"/>
        <w:jc w:val="left"/>
        <w:rPr>
          <w:sz w:val="20"/>
        </w:rPr>
      </w:pPr>
      <w:hyperlink w:history="true" w:anchor="_bookmark87">
        <w:r>
          <w:rPr>
            <w:spacing w:val="-6"/>
            <w:sz w:val="20"/>
          </w:rPr>
          <w:t>Strategic</w:t>
        </w:r>
        <w:r>
          <w:rPr>
            <w:spacing w:val="-4"/>
            <w:sz w:val="20"/>
          </w:rPr>
          <w:t> </w:t>
        </w:r>
        <w:r>
          <w:rPr>
            <w:spacing w:val="-6"/>
            <w:sz w:val="20"/>
          </w:rPr>
          <w:t>dynamic</w:t>
        </w:r>
        <w:r>
          <w:rPr>
            <w:spacing w:val="-2"/>
            <w:sz w:val="20"/>
          </w:rPr>
          <w:t> </w:t>
        </w:r>
        <w:r>
          <w:rPr>
            <w:spacing w:val="-6"/>
            <w:sz w:val="20"/>
          </w:rPr>
          <w:t>evolution</w:t>
        </w:r>
        <w:r>
          <w:rPr>
            <w:spacing w:val="-4"/>
            <w:sz w:val="20"/>
          </w:rPr>
          <w:t> </w:t>
        </w:r>
        <w:r>
          <w:rPr>
            <w:spacing w:val="-6"/>
            <w:sz w:val="20"/>
          </w:rPr>
          <w:t>of</w:t>
        </w:r>
        <w:r>
          <w:rPr>
            <w:spacing w:val="-10"/>
            <w:sz w:val="20"/>
          </w:rPr>
          <w:t> </w:t>
        </w:r>
        <w:r>
          <w:rPr>
            <w:spacing w:val="-6"/>
            <w:sz w:val="20"/>
          </w:rPr>
          <w:t>judicial</w:t>
        </w:r>
        <w:r>
          <w:rPr>
            <w:spacing w:val="-8"/>
            <w:sz w:val="20"/>
          </w:rPr>
          <w:t> </w:t>
        </w:r>
        <w:r>
          <w:rPr>
            <w:spacing w:val="-6"/>
            <w:sz w:val="20"/>
          </w:rPr>
          <w:t>activity</w:t>
        </w:r>
        <w:r>
          <w:rPr>
            <w:spacing w:val="-4"/>
            <w:sz w:val="20"/>
          </w:rPr>
          <w:t> </w:t>
        </w:r>
        <w:r>
          <w:rPr>
            <w:spacing w:val="-6"/>
            <w:sz w:val="20"/>
          </w:rPr>
          <w:t>by</w:t>
        </w:r>
        <w:r>
          <w:rPr>
            <w:spacing w:val="-4"/>
            <w:sz w:val="20"/>
          </w:rPr>
          <w:t> </w:t>
        </w:r>
        <w:r>
          <w:rPr>
            <w:spacing w:val="-6"/>
            <w:sz w:val="20"/>
          </w:rPr>
          <w:t>situation</w:t>
        </w:r>
        <w:r>
          <w:rPr>
            <w:sz w:val="20"/>
          </w:rPr>
          <w:tab/>
        </w:r>
        <w:r>
          <w:rPr>
            <w:spacing w:val="-5"/>
            <w:sz w:val="20"/>
          </w:rPr>
          <w:t>224</w:t>
        </w:r>
      </w:hyperlink>
    </w:p>
    <w:p>
      <w:pPr>
        <w:pStyle w:val="ListParagraph"/>
        <w:numPr>
          <w:ilvl w:val="0"/>
          <w:numId w:val="2"/>
        </w:numPr>
        <w:tabs>
          <w:tab w:pos="1819" w:val="left" w:leader="none"/>
          <w:tab w:pos="1820" w:val="left" w:leader="none"/>
          <w:tab w:pos="9612" w:val="right" w:leader="dot"/>
        </w:tabs>
        <w:spacing w:line="240" w:lineRule="auto" w:before="121" w:after="0"/>
        <w:ind w:left="1819" w:right="0" w:hanging="568"/>
        <w:jc w:val="left"/>
        <w:rPr>
          <w:sz w:val="20"/>
        </w:rPr>
      </w:pPr>
      <w:hyperlink w:history="true" w:anchor="_bookmark88">
        <w:r>
          <w:rPr>
            <w:spacing w:val="-2"/>
            <w:sz w:val="20"/>
          </w:rPr>
          <w:t>Budget</w:t>
        </w:r>
        <w:r>
          <w:rPr>
            <w:spacing w:val="-12"/>
            <w:sz w:val="20"/>
          </w:rPr>
          <w:t> </w:t>
        </w:r>
        <w:r>
          <w:rPr>
            <w:spacing w:val="-2"/>
            <w:sz w:val="20"/>
          </w:rPr>
          <w:t>allocation</w:t>
        </w:r>
        <w:r>
          <w:rPr>
            <w:spacing w:val="-9"/>
            <w:sz w:val="20"/>
          </w:rPr>
          <w:t> </w:t>
        </w:r>
        <w:r>
          <w:rPr>
            <w:spacing w:val="-2"/>
            <w:sz w:val="20"/>
          </w:rPr>
          <w:t>per</w:t>
        </w:r>
        <w:r>
          <w:rPr>
            <w:spacing w:val="-10"/>
            <w:sz w:val="20"/>
          </w:rPr>
          <w:t> </w:t>
        </w:r>
        <w:r>
          <w:rPr>
            <w:spacing w:val="-2"/>
            <w:sz w:val="20"/>
          </w:rPr>
          <w:t>active</w:t>
        </w:r>
        <w:r>
          <w:rPr>
            <w:spacing w:val="-9"/>
            <w:sz w:val="20"/>
          </w:rPr>
          <w:t> </w:t>
        </w:r>
        <w:r>
          <w:rPr>
            <w:spacing w:val="-2"/>
            <w:sz w:val="20"/>
          </w:rPr>
          <w:t>investigation</w:t>
        </w:r>
        <w:r>
          <w:rPr>
            <w:spacing w:val="-9"/>
            <w:sz w:val="20"/>
          </w:rPr>
          <w:t> </w:t>
        </w:r>
        <w:r>
          <w:rPr>
            <w:spacing w:val="-2"/>
            <w:sz w:val="20"/>
          </w:rPr>
          <w:t>in</w:t>
        </w:r>
        <w:r>
          <w:rPr>
            <w:spacing w:val="-6"/>
            <w:sz w:val="20"/>
          </w:rPr>
          <w:t> </w:t>
        </w:r>
        <w:r>
          <w:rPr>
            <w:spacing w:val="-2"/>
            <w:sz w:val="20"/>
          </w:rPr>
          <w:t>Major</w:t>
        </w:r>
        <w:r>
          <w:rPr>
            <w:spacing w:val="-6"/>
            <w:sz w:val="20"/>
          </w:rPr>
          <w:t> </w:t>
        </w:r>
        <w:r>
          <w:rPr>
            <w:spacing w:val="-2"/>
            <w:sz w:val="20"/>
          </w:rPr>
          <w:t>Programme</w:t>
        </w:r>
        <w:r>
          <w:rPr>
            <w:spacing w:val="-3"/>
            <w:sz w:val="20"/>
          </w:rPr>
          <w:t> </w:t>
        </w:r>
        <w:r>
          <w:rPr>
            <w:spacing w:val="-2"/>
            <w:sz w:val="20"/>
          </w:rPr>
          <w:t>II</w:t>
        </w:r>
        <w:r>
          <w:rPr>
            <w:spacing w:val="-10"/>
            <w:sz w:val="20"/>
          </w:rPr>
          <w:t> </w:t>
        </w:r>
        <w:r>
          <w:rPr>
            <w:spacing w:val="-2"/>
            <w:sz w:val="20"/>
          </w:rPr>
          <w:t>(in</w:t>
        </w:r>
        <w:r>
          <w:rPr>
            <w:spacing w:val="-9"/>
            <w:sz w:val="20"/>
          </w:rPr>
          <w:t> </w:t>
        </w:r>
        <w:r>
          <w:rPr>
            <w:spacing w:val="-2"/>
            <w:sz w:val="20"/>
          </w:rPr>
          <w:t>thousands</w:t>
        </w:r>
        <w:r>
          <w:rPr>
            <w:spacing w:val="-11"/>
            <w:sz w:val="20"/>
          </w:rPr>
          <w:t> </w:t>
        </w:r>
        <w:r>
          <w:rPr>
            <w:spacing w:val="-2"/>
            <w:sz w:val="20"/>
          </w:rPr>
          <w:t>of</w:t>
        </w:r>
        <w:r>
          <w:rPr>
            <w:spacing w:val="-9"/>
            <w:sz w:val="20"/>
          </w:rPr>
          <w:t> </w:t>
        </w:r>
        <w:r>
          <w:rPr>
            <w:spacing w:val="-2"/>
            <w:sz w:val="20"/>
          </w:rPr>
          <w:t>euros)</w:t>
        </w:r>
        <w:r>
          <w:rPr>
            <w:sz w:val="20"/>
          </w:rPr>
          <w:tab/>
        </w:r>
        <w:r>
          <w:rPr>
            <w:spacing w:val="-5"/>
            <w:sz w:val="20"/>
          </w:rPr>
          <w:t>225</w:t>
        </w:r>
      </w:hyperlink>
    </w:p>
    <w:p>
      <w:pPr>
        <w:pStyle w:val="ListParagraph"/>
        <w:numPr>
          <w:ilvl w:val="0"/>
          <w:numId w:val="2"/>
        </w:numPr>
        <w:tabs>
          <w:tab w:pos="1820" w:val="left" w:leader="none"/>
          <w:tab w:pos="9612" w:val="right" w:leader="dot"/>
        </w:tabs>
        <w:spacing w:line="240" w:lineRule="auto" w:before="120" w:after="0"/>
        <w:ind w:left="1819" w:right="0" w:hanging="568"/>
        <w:jc w:val="left"/>
        <w:rPr>
          <w:sz w:val="20"/>
        </w:rPr>
      </w:pPr>
      <w:hyperlink w:history="true" w:anchor="_bookmark89">
        <w:r>
          <w:rPr>
            <w:spacing w:val="-6"/>
            <w:sz w:val="20"/>
          </w:rPr>
          <w:t>Yearly</w:t>
        </w:r>
        <w:r>
          <w:rPr>
            <w:spacing w:val="-8"/>
            <w:sz w:val="20"/>
          </w:rPr>
          <w:t> </w:t>
        </w:r>
        <w:r>
          <w:rPr>
            <w:spacing w:val="-6"/>
            <w:sz w:val="20"/>
          </w:rPr>
          <w:t>increases</w:t>
        </w:r>
        <w:r>
          <w:rPr>
            <w:spacing w:val="-9"/>
            <w:sz w:val="20"/>
          </w:rPr>
          <w:t> </w:t>
        </w:r>
        <w:r>
          <w:rPr>
            <w:spacing w:val="-6"/>
            <w:sz w:val="20"/>
          </w:rPr>
          <w:t>in</w:t>
        </w:r>
        <w:r>
          <w:rPr>
            <w:sz w:val="20"/>
          </w:rPr>
          <w:t> </w:t>
        </w:r>
        <w:r>
          <w:rPr>
            <w:spacing w:val="-6"/>
            <w:sz w:val="20"/>
          </w:rPr>
          <w:t>Approved</w:t>
        </w:r>
        <w:r>
          <w:rPr>
            <w:spacing w:val="-5"/>
            <w:sz w:val="20"/>
          </w:rPr>
          <w:t> </w:t>
        </w:r>
        <w:r>
          <w:rPr>
            <w:spacing w:val="-6"/>
            <w:sz w:val="20"/>
          </w:rPr>
          <w:t>Programme</w:t>
        </w:r>
        <w:r>
          <w:rPr>
            <w:spacing w:val="1"/>
            <w:sz w:val="20"/>
          </w:rPr>
          <w:t> </w:t>
        </w:r>
        <w:r>
          <w:rPr>
            <w:spacing w:val="-6"/>
            <w:sz w:val="20"/>
          </w:rPr>
          <w:t>Budgets</w:t>
        </w:r>
        <w:r>
          <w:rPr>
            <w:spacing w:val="-9"/>
            <w:sz w:val="20"/>
          </w:rPr>
          <w:t> </w:t>
        </w:r>
        <w:r>
          <w:rPr>
            <w:spacing w:val="-6"/>
            <w:sz w:val="20"/>
          </w:rPr>
          <w:t>2016-2022</w:t>
        </w:r>
        <w:r>
          <w:rPr>
            <w:spacing w:val="-5"/>
            <w:sz w:val="20"/>
          </w:rPr>
          <w:t> </w:t>
        </w:r>
        <w:r>
          <w:rPr>
            <w:spacing w:val="-6"/>
            <w:sz w:val="20"/>
          </w:rPr>
          <w:t>(thousands</w:t>
        </w:r>
        <w:r>
          <w:rPr>
            <w:spacing w:val="-9"/>
            <w:sz w:val="20"/>
          </w:rPr>
          <w:t> </w:t>
        </w:r>
        <w:r>
          <w:rPr>
            <w:spacing w:val="-6"/>
            <w:sz w:val="20"/>
          </w:rPr>
          <w:t>of</w:t>
        </w:r>
        <w:r>
          <w:rPr>
            <w:spacing w:val="-5"/>
            <w:sz w:val="20"/>
          </w:rPr>
          <w:t> </w:t>
        </w:r>
        <w:r>
          <w:rPr>
            <w:spacing w:val="-6"/>
            <w:sz w:val="20"/>
          </w:rPr>
          <w:t>euros)</w:t>
        </w:r>
        <w:r>
          <w:rPr>
            <w:sz w:val="20"/>
          </w:rPr>
          <w:tab/>
        </w:r>
        <w:r>
          <w:rPr>
            <w:spacing w:val="-5"/>
            <w:sz w:val="20"/>
          </w:rPr>
          <w:t>226</w:t>
        </w:r>
      </w:hyperlink>
    </w:p>
    <w:p>
      <w:pPr>
        <w:pStyle w:val="ListParagraph"/>
        <w:numPr>
          <w:ilvl w:val="0"/>
          <w:numId w:val="2"/>
        </w:numPr>
        <w:tabs>
          <w:tab w:pos="1820" w:val="left" w:leader="none"/>
          <w:tab w:pos="9612" w:val="right" w:leader="dot"/>
        </w:tabs>
        <w:spacing w:line="240" w:lineRule="auto" w:before="120" w:after="0"/>
        <w:ind w:left="1819" w:right="0" w:hanging="568"/>
        <w:jc w:val="left"/>
        <w:rPr>
          <w:sz w:val="20"/>
        </w:rPr>
      </w:pPr>
      <w:hyperlink w:history="true" w:anchor="_bookmark90">
        <w:r>
          <w:rPr>
            <w:spacing w:val="-6"/>
            <w:sz w:val="20"/>
          </w:rPr>
          <w:t>Proposed capital</w:t>
        </w:r>
        <w:r>
          <w:rPr>
            <w:spacing w:val="-2"/>
            <w:sz w:val="20"/>
          </w:rPr>
          <w:t> </w:t>
        </w:r>
        <w:r>
          <w:rPr>
            <w:spacing w:val="-6"/>
            <w:sz w:val="20"/>
          </w:rPr>
          <w:t>investments (2023-2026)</w:t>
        </w:r>
        <w:r>
          <w:rPr>
            <w:sz w:val="20"/>
          </w:rPr>
          <w:tab/>
        </w:r>
        <w:r>
          <w:rPr>
            <w:spacing w:val="-5"/>
            <w:sz w:val="20"/>
          </w:rPr>
          <w:t>227</w:t>
        </w:r>
      </w:hyperlink>
    </w:p>
    <w:p>
      <w:pPr>
        <w:pStyle w:val="ListParagraph"/>
        <w:numPr>
          <w:ilvl w:val="0"/>
          <w:numId w:val="2"/>
        </w:numPr>
        <w:tabs>
          <w:tab w:pos="1819" w:val="left" w:leader="none"/>
          <w:tab w:pos="1820" w:val="left" w:leader="none"/>
        </w:tabs>
        <w:spacing w:line="240" w:lineRule="auto" w:before="116" w:after="0"/>
        <w:ind w:left="1819" w:right="0" w:hanging="568"/>
        <w:jc w:val="left"/>
        <w:rPr>
          <w:sz w:val="20"/>
        </w:rPr>
      </w:pPr>
      <w:hyperlink w:history="true" w:anchor="_bookmark91">
        <w:r>
          <w:rPr>
            <w:sz w:val="20"/>
          </w:rPr>
          <w:t>Maintenance,</w:t>
        </w:r>
        <w:r>
          <w:rPr>
            <w:spacing w:val="-7"/>
            <w:sz w:val="20"/>
          </w:rPr>
          <w:t> </w:t>
        </w:r>
        <w:r>
          <w:rPr>
            <w:sz w:val="20"/>
          </w:rPr>
          <w:t>operating</w:t>
        </w:r>
        <w:r>
          <w:rPr>
            <w:spacing w:val="-9"/>
            <w:sz w:val="20"/>
          </w:rPr>
          <w:t> </w:t>
        </w:r>
        <w:r>
          <w:rPr>
            <w:sz w:val="20"/>
          </w:rPr>
          <w:t>costs</w:t>
        </w:r>
        <w:r>
          <w:rPr>
            <w:spacing w:val="-9"/>
            <w:sz w:val="20"/>
          </w:rPr>
          <w:t> </w:t>
        </w:r>
        <w:r>
          <w:rPr>
            <w:sz w:val="20"/>
          </w:rPr>
          <w:t>and</w:t>
        </w:r>
        <w:r>
          <w:rPr>
            <w:spacing w:val="-13"/>
            <w:sz w:val="20"/>
          </w:rPr>
          <w:t> </w:t>
        </w:r>
        <w:r>
          <w:rPr>
            <w:sz w:val="20"/>
          </w:rPr>
          <w:t>mid-term</w:t>
        </w:r>
        <w:r>
          <w:rPr>
            <w:spacing w:val="-7"/>
            <w:sz w:val="20"/>
          </w:rPr>
          <w:t> </w:t>
        </w:r>
        <w:r>
          <w:rPr>
            <w:sz w:val="20"/>
          </w:rPr>
          <w:t>capital</w:t>
        </w:r>
        <w:r>
          <w:rPr>
            <w:spacing w:val="-2"/>
            <w:sz w:val="20"/>
          </w:rPr>
          <w:t> </w:t>
        </w:r>
        <w:r>
          <w:rPr>
            <w:sz w:val="20"/>
          </w:rPr>
          <w:t>replacement</w:t>
        </w:r>
        <w:r>
          <w:rPr>
            <w:spacing w:val="-7"/>
            <w:sz w:val="20"/>
          </w:rPr>
          <w:t> </w:t>
        </w:r>
        <w:r>
          <w:rPr>
            <w:spacing w:val="-4"/>
            <w:sz w:val="20"/>
          </w:rPr>
          <w:t>plan</w:t>
        </w:r>
      </w:hyperlink>
    </w:p>
    <w:p>
      <w:pPr>
        <w:pStyle w:val="BodyText"/>
        <w:tabs>
          <w:tab w:pos="9612" w:val="right" w:leader="dot"/>
        </w:tabs>
        <w:ind w:left="1819"/>
      </w:pPr>
      <w:hyperlink w:history="true" w:anchor="_bookmark91">
        <w:r>
          <w:rPr/>
          <w:t>for</w:t>
        </w:r>
        <w:r>
          <w:rPr>
            <w:spacing w:val="-3"/>
          </w:rPr>
          <w:t> </w:t>
        </w:r>
        <w:r>
          <w:rPr/>
          <w:t>the</w:t>
        </w:r>
        <w:r>
          <w:rPr>
            <w:spacing w:val="-5"/>
          </w:rPr>
          <w:t> </w:t>
        </w:r>
        <w:r>
          <w:rPr/>
          <w:t>Court’s</w:t>
        </w:r>
        <w:r>
          <w:rPr>
            <w:spacing w:val="-4"/>
          </w:rPr>
          <w:t> </w:t>
        </w:r>
        <w:r>
          <w:rPr/>
          <w:t>premises</w:t>
        </w:r>
        <w:r>
          <w:rPr>
            <w:spacing w:val="-8"/>
          </w:rPr>
          <w:t> </w:t>
        </w:r>
        <w:r>
          <w:rPr/>
          <w:t>in</w:t>
        </w:r>
        <w:r>
          <w:rPr>
            <w:spacing w:val="-7"/>
          </w:rPr>
          <w:t> </w:t>
        </w:r>
        <w:r>
          <w:rPr/>
          <w:t>2023</w:t>
        </w:r>
        <w:r>
          <w:rPr>
            <w:spacing w:val="-3"/>
          </w:rPr>
          <w:t> </w:t>
        </w:r>
        <w:r>
          <w:rPr/>
          <w:t>(thousands</w:t>
        </w:r>
        <w:r>
          <w:rPr>
            <w:spacing w:val="-3"/>
          </w:rPr>
          <w:t> </w:t>
        </w:r>
        <w:r>
          <w:rPr/>
          <w:t>of</w:t>
        </w:r>
        <w:r>
          <w:rPr>
            <w:spacing w:val="-7"/>
          </w:rPr>
          <w:t> </w:t>
        </w:r>
        <w:r>
          <w:rPr>
            <w:spacing w:val="-2"/>
          </w:rPr>
          <w:t>euros)</w:t>
        </w:r>
        <w:r>
          <w:rPr/>
          <w:tab/>
        </w:r>
        <w:r>
          <w:rPr>
            <w:spacing w:val="-5"/>
          </w:rPr>
          <w:t>229</w:t>
        </w:r>
      </w:hyperlink>
    </w:p>
    <w:p>
      <w:pPr>
        <w:pStyle w:val="ListParagraph"/>
        <w:numPr>
          <w:ilvl w:val="0"/>
          <w:numId w:val="2"/>
        </w:numPr>
        <w:tabs>
          <w:tab w:pos="1820" w:val="left" w:leader="none"/>
          <w:tab w:pos="9612" w:val="right" w:leader="dot"/>
        </w:tabs>
        <w:spacing w:line="240" w:lineRule="auto" w:before="121" w:after="0"/>
        <w:ind w:left="1819" w:right="0" w:hanging="568"/>
        <w:jc w:val="left"/>
        <w:rPr>
          <w:sz w:val="20"/>
        </w:rPr>
      </w:pPr>
      <w:hyperlink w:history="true" w:anchor="_bookmark92">
        <w:r>
          <w:rPr>
            <w:sz w:val="20"/>
          </w:rPr>
          <w:t>Savings</w:t>
        </w:r>
        <w:r>
          <w:rPr>
            <w:spacing w:val="-7"/>
            <w:sz w:val="20"/>
          </w:rPr>
          <w:t> </w:t>
        </w:r>
        <w:r>
          <w:rPr>
            <w:sz w:val="20"/>
          </w:rPr>
          <w:t>and</w:t>
        </w:r>
        <w:r>
          <w:rPr>
            <w:spacing w:val="-9"/>
            <w:sz w:val="20"/>
          </w:rPr>
          <w:t> </w:t>
        </w:r>
        <w:r>
          <w:rPr>
            <w:sz w:val="20"/>
          </w:rPr>
          <w:t>efficiencies</w:t>
        </w:r>
        <w:r>
          <w:rPr>
            <w:spacing w:val="-7"/>
            <w:sz w:val="20"/>
          </w:rPr>
          <w:t> </w:t>
        </w:r>
        <w:r>
          <w:rPr>
            <w:sz w:val="20"/>
          </w:rPr>
          <w:t>achieved</w:t>
        </w:r>
        <w:r>
          <w:rPr>
            <w:spacing w:val="-5"/>
            <w:sz w:val="20"/>
          </w:rPr>
          <w:t> </w:t>
        </w:r>
        <w:r>
          <w:rPr>
            <w:sz w:val="20"/>
          </w:rPr>
          <w:t>in</w:t>
        </w:r>
        <w:r>
          <w:rPr>
            <w:spacing w:val="-6"/>
            <w:sz w:val="20"/>
          </w:rPr>
          <w:t> </w:t>
        </w:r>
        <w:r>
          <w:rPr>
            <w:sz w:val="20"/>
          </w:rPr>
          <w:t>2022</w:t>
        </w:r>
        <w:r>
          <w:rPr>
            <w:spacing w:val="-5"/>
            <w:sz w:val="20"/>
          </w:rPr>
          <w:t> </w:t>
        </w:r>
        <w:r>
          <w:rPr>
            <w:sz w:val="20"/>
          </w:rPr>
          <w:t>and</w:t>
        </w:r>
        <w:r>
          <w:rPr>
            <w:spacing w:val="-6"/>
            <w:sz w:val="20"/>
          </w:rPr>
          <w:t> </w:t>
        </w:r>
        <w:r>
          <w:rPr>
            <w:sz w:val="20"/>
          </w:rPr>
          <w:t>estimates</w:t>
        </w:r>
        <w:r>
          <w:rPr>
            <w:spacing w:val="-6"/>
            <w:sz w:val="20"/>
          </w:rPr>
          <w:t> </w:t>
        </w:r>
        <w:r>
          <w:rPr>
            <w:sz w:val="20"/>
          </w:rPr>
          <w:t>for</w:t>
        </w:r>
        <w:r>
          <w:rPr>
            <w:spacing w:val="-9"/>
            <w:sz w:val="20"/>
          </w:rPr>
          <w:t> </w:t>
        </w:r>
        <w:r>
          <w:rPr>
            <w:spacing w:val="-4"/>
            <w:sz w:val="20"/>
          </w:rPr>
          <w:t>2023</w:t>
        </w:r>
        <w:r>
          <w:rPr>
            <w:sz w:val="20"/>
          </w:rPr>
          <w:tab/>
        </w:r>
        <w:r>
          <w:rPr>
            <w:spacing w:val="-5"/>
            <w:sz w:val="20"/>
          </w:rPr>
          <w:t>230</w:t>
        </w:r>
      </w:hyperlink>
    </w:p>
    <w:p>
      <w:pPr>
        <w:pStyle w:val="ListParagraph"/>
        <w:numPr>
          <w:ilvl w:val="0"/>
          <w:numId w:val="2"/>
        </w:numPr>
        <w:tabs>
          <w:tab w:pos="1820" w:val="left" w:leader="none"/>
          <w:tab w:pos="9612" w:val="right" w:leader="dot"/>
        </w:tabs>
        <w:spacing w:line="240" w:lineRule="auto" w:before="121" w:after="0"/>
        <w:ind w:left="1819" w:right="0" w:hanging="568"/>
        <w:jc w:val="left"/>
        <w:rPr>
          <w:sz w:val="20"/>
        </w:rPr>
      </w:pPr>
      <w:hyperlink w:history="true" w:anchor="_bookmark93">
        <w:r>
          <w:rPr>
            <w:sz w:val="20"/>
          </w:rPr>
          <w:t>ICC</w:t>
        </w:r>
        <w:r>
          <w:rPr>
            <w:spacing w:val="-8"/>
            <w:sz w:val="20"/>
          </w:rPr>
          <w:t> </w:t>
        </w:r>
        <w:r>
          <w:rPr>
            <w:sz w:val="20"/>
          </w:rPr>
          <w:t>Five-Year</w:t>
        </w:r>
        <w:r>
          <w:rPr>
            <w:spacing w:val="-11"/>
            <w:sz w:val="20"/>
          </w:rPr>
          <w:t> </w:t>
        </w:r>
        <w:r>
          <w:rPr>
            <w:sz w:val="20"/>
          </w:rPr>
          <w:t>Time-Series</w:t>
        </w:r>
        <w:r>
          <w:rPr>
            <w:spacing w:val="-12"/>
            <w:sz w:val="20"/>
          </w:rPr>
          <w:t> </w:t>
        </w:r>
        <w:r>
          <w:rPr>
            <w:sz w:val="20"/>
          </w:rPr>
          <w:t>Assumptions</w:t>
        </w:r>
        <w:r>
          <w:rPr>
            <w:spacing w:val="-12"/>
            <w:sz w:val="20"/>
          </w:rPr>
          <w:t> </w:t>
        </w:r>
        <w:r>
          <w:rPr>
            <w:sz w:val="20"/>
          </w:rPr>
          <w:t>and</w:t>
        </w:r>
        <w:r>
          <w:rPr>
            <w:spacing w:val="-7"/>
            <w:sz w:val="20"/>
          </w:rPr>
          <w:t> </w:t>
        </w:r>
        <w:r>
          <w:rPr>
            <w:sz w:val="20"/>
          </w:rPr>
          <w:t>Parameters:</w:t>
        </w:r>
        <w:r>
          <w:rPr>
            <w:spacing w:val="-5"/>
            <w:sz w:val="20"/>
          </w:rPr>
          <w:t> </w:t>
        </w:r>
        <w:r>
          <w:rPr>
            <w:sz w:val="20"/>
          </w:rPr>
          <w:t>2019-</w:t>
        </w:r>
        <w:r>
          <w:rPr>
            <w:spacing w:val="-4"/>
            <w:sz w:val="20"/>
          </w:rPr>
          <w:t>2023</w:t>
        </w:r>
        <w:r>
          <w:rPr>
            <w:sz w:val="20"/>
          </w:rPr>
          <w:tab/>
        </w:r>
        <w:r>
          <w:rPr>
            <w:spacing w:val="-5"/>
            <w:sz w:val="20"/>
          </w:rPr>
          <w:t>237</w:t>
        </w:r>
      </w:hyperlink>
    </w:p>
    <w:p>
      <w:pPr>
        <w:pStyle w:val="ListParagraph"/>
        <w:numPr>
          <w:ilvl w:val="0"/>
          <w:numId w:val="2"/>
        </w:numPr>
        <w:tabs>
          <w:tab w:pos="1820" w:val="left" w:leader="none"/>
          <w:tab w:pos="9612" w:val="right" w:leader="dot"/>
        </w:tabs>
        <w:spacing w:line="240" w:lineRule="auto" w:before="120" w:after="0"/>
        <w:ind w:left="1819" w:right="0" w:hanging="568"/>
        <w:jc w:val="left"/>
        <w:rPr>
          <w:sz w:val="20"/>
        </w:rPr>
      </w:pPr>
      <w:hyperlink w:history="true" w:anchor="_bookmark94">
        <w:r>
          <w:rPr>
            <w:sz w:val="20"/>
          </w:rPr>
          <w:t>Major</w:t>
        </w:r>
        <w:r>
          <w:rPr>
            <w:spacing w:val="-9"/>
            <w:sz w:val="20"/>
          </w:rPr>
          <w:t> </w:t>
        </w:r>
        <w:r>
          <w:rPr>
            <w:sz w:val="20"/>
          </w:rPr>
          <w:t>Programme</w:t>
        </w:r>
        <w:r>
          <w:rPr>
            <w:spacing w:val="-7"/>
            <w:sz w:val="20"/>
          </w:rPr>
          <w:t> </w:t>
        </w:r>
        <w:r>
          <w:rPr>
            <w:sz w:val="20"/>
          </w:rPr>
          <w:t>II:</w:t>
        </w:r>
        <w:r>
          <w:rPr>
            <w:spacing w:val="-2"/>
            <w:sz w:val="20"/>
          </w:rPr>
          <w:t> </w:t>
        </w:r>
        <w:r>
          <w:rPr>
            <w:sz w:val="20"/>
          </w:rPr>
          <w:t>Resource</w:t>
        </w:r>
        <w:r>
          <w:rPr>
            <w:spacing w:val="-7"/>
            <w:sz w:val="20"/>
          </w:rPr>
          <w:t> </w:t>
        </w:r>
        <w:r>
          <w:rPr>
            <w:sz w:val="20"/>
          </w:rPr>
          <w:t>Allocation</w:t>
        </w:r>
        <w:r>
          <w:rPr>
            <w:spacing w:val="-8"/>
            <w:sz w:val="20"/>
          </w:rPr>
          <w:t> </w:t>
        </w:r>
        <w:r>
          <w:rPr>
            <w:sz w:val="20"/>
          </w:rPr>
          <w:t>by</w:t>
        </w:r>
        <w:r>
          <w:rPr>
            <w:spacing w:val="-4"/>
            <w:sz w:val="20"/>
          </w:rPr>
          <w:t> </w:t>
        </w:r>
        <w:r>
          <w:rPr>
            <w:spacing w:val="-2"/>
            <w:sz w:val="20"/>
          </w:rPr>
          <w:t>Situation</w:t>
        </w:r>
        <w:r>
          <w:rPr>
            <w:sz w:val="20"/>
          </w:rPr>
          <w:tab/>
        </w:r>
        <w:r>
          <w:rPr>
            <w:spacing w:val="-5"/>
            <w:sz w:val="20"/>
          </w:rPr>
          <w:t>243</w:t>
        </w:r>
      </w:hyperlink>
    </w:p>
    <w:p>
      <w:pPr>
        <w:pStyle w:val="ListParagraph"/>
        <w:numPr>
          <w:ilvl w:val="0"/>
          <w:numId w:val="2"/>
        </w:numPr>
        <w:tabs>
          <w:tab w:pos="1820" w:val="left" w:leader="none"/>
        </w:tabs>
        <w:spacing w:line="240" w:lineRule="auto" w:before="121" w:after="0"/>
        <w:ind w:left="1819" w:right="0" w:hanging="568"/>
        <w:jc w:val="left"/>
        <w:rPr>
          <w:sz w:val="20"/>
        </w:rPr>
      </w:pPr>
      <w:hyperlink w:history="true" w:anchor="_bookmark95">
        <w:r>
          <w:rPr>
            <w:spacing w:val="-6"/>
            <w:sz w:val="20"/>
          </w:rPr>
          <w:t>Breakdown of Country</w:t>
        </w:r>
        <w:r>
          <w:rPr>
            <w:sz w:val="20"/>
          </w:rPr>
          <w:t> </w:t>
        </w:r>
        <w:r>
          <w:rPr>
            <w:spacing w:val="-6"/>
            <w:sz w:val="20"/>
          </w:rPr>
          <w:t>Offices</w:t>
        </w:r>
        <w:r>
          <w:rPr>
            <w:spacing w:val="-8"/>
            <w:sz w:val="20"/>
          </w:rPr>
          <w:t> </w:t>
        </w:r>
        <w:r>
          <w:rPr>
            <w:spacing w:val="-6"/>
            <w:sz w:val="20"/>
          </w:rPr>
          <w:t>costs</w:t>
        </w:r>
        <w:r>
          <w:rPr>
            <w:spacing w:val="-8"/>
            <w:sz w:val="20"/>
          </w:rPr>
          <w:t> </w:t>
        </w:r>
        <w:r>
          <w:rPr>
            <w:spacing w:val="-6"/>
            <w:sz w:val="20"/>
          </w:rPr>
          <w:t>in the</w:t>
        </w:r>
        <w:r>
          <w:rPr>
            <w:spacing w:val="-3"/>
            <w:sz w:val="20"/>
          </w:rPr>
          <w:t> </w:t>
        </w:r>
        <w:r>
          <w:rPr>
            <w:spacing w:val="-6"/>
            <w:sz w:val="20"/>
          </w:rPr>
          <w:t>Registry by</w:t>
        </w:r>
        <w:r>
          <w:rPr>
            <w:sz w:val="20"/>
          </w:rPr>
          <w:t> </w:t>
        </w:r>
        <w:r>
          <w:rPr>
            <w:spacing w:val="-6"/>
            <w:sz w:val="20"/>
          </w:rPr>
          <w:t>different</w:t>
        </w:r>
        <w:r>
          <w:rPr>
            <w:spacing w:val="-9"/>
            <w:sz w:val="20"/>
          </w:rPr>
          <w:t> </w:t>
        </w:r>
        <w:r>
          <w:rPr>
            <w:spacing w:val="-6"/>
            <w:sz w:val="20"/>
          </w:rPr>
          <w:t>stages</w:t>
        </w:r>
        <w:r>
          <w:rPr>
            <w:spacing w:val="-2"/>
            <w:sz w:val="20"/>
          </w:rPr>
          <w:t> </w:t>
        </w:r>
        <w:r>
          <w:rPr>
            <w:spacing w:val="-6"/>
            <w:sz w:val="20"/>
          </w:rPr>
          <w:t>of</w:t>
        </w:r>
        <w:r>
          <w:rPr>
            <w:spacing w:val="-11"/>
            <w:sz w:val="20"/>
          </w:rPr>
          <w:t> </w:t>
        </w:r>
        <w:r>
          <w:rPr>
            <w:spacing w:val="-6"/>
            <w:sz w:val="20"/>
          </w:rPr>
          <w:t>judicial</w:t>
        </w:r>
      </w:hyperlink>
    </w:p>
    <w:p>
      <w:pPr>
        <w:pStyle w:val="BodyText"/>
        <w:tabs>
          <w:tab w:pos="9612" w:val="right" w:leader="dot"/>
        </w:tabs>
        <w:ind w:left="1819"/>
      </w:pPr>
      <w:hyperlink w:history="true" w:anchor="_bookmark95">
        <w:r>
          <w:rPr>
            <w:spacing w:val="-6"/>
          </w:rPr>
          <w:t>and prosecutorial</w:t>
        </w:r>
        <w:r>
          <w:rPr>
            <w:spacing w:val="-3"/>
          </w:rPr>
          <w:t> </w:t>
        </w:r>
        <w:r>
          <w:rPr>
            <w:spacing w:val="-6"/>
          </w:rPr>
          <w:t>activities</w:t>
        </w:r>
        <w:r>
          <w:rPr/>
          <w:tab/>
        </w:r>
        <w:r>
          <w:rPr>
            <w:spacing w:val="-5"/>
          </w:rPr>
          <w:t>245</w:t>
        </w:r>
      </w:hyperlink>
    </w:p>
    <w:p>
      <w:pPr>
        <w:spacing w:after="0"/>
        <w:sectPr>
          <w:footerReference w:type="default" r:id="rId10"/>
          <w:footerReference w:type="even" r:id="rId11"/>
          <w:pgSz w:w="11910" w:h="16840"/>
          <w:pgMar w:footer="940" w:header="957" w:top="1140" w:bottom="1140" w:left="20" w:right="20"/>
          <w:pgNumType w:start="3"/>
        </w:sectPr>
      </w:pPr>
    </w:p>
    <w:p>
      <w:pPr>
        <w:pStyle w:val="BodyText"/>
        <w:spacing w:before="9"/>
        <w:rPr>
          <w:sz w:val="29"/>
        </w:rPr>
      </w:pPr>
    </w:p>
    <w:p>
      <w:pPr>
        <w:pStyle w:val="Heading1"/>
        <w:spacing w:before="0"/>
        <w:ind w:left="2246"/>
      </w:pPr>
      <w:bookmarkStart w:name="_bookmark0" w:id="1"/>
      <w:bookmarkEnd w:id="1"/>
      <w:r>
        <w:rPr>
          <w:b w:val="0"/>
        </w:rPr>
      </w:r>
      <w:r>
        <w:rPr/>
        <w:t>List</w:t>
      </w:r>
      <w:r>
        <w:rPr>
          <w:spacing w:val="-8"/>
        </w:rPr>
        <w:t> </w:t>
      </w:r>
      <w:r>
        <w:rPr/>
        <w:t>of</w:t>
      </w:r>
      <w:r>
        <w:rPr>
          <w:spacing w:val="-7"/>
        </w:rPr>
        <w:t> </w:t>
      </w:r>
      <w:r>
        <w:rPr/>
        <w:t>abbreviations</w:t>
      </w:r>
      <w:r>
        <w:rPr>
          <w:spacing w:val="-5"/>
        </w:rPr>
        <w:t> </w:t>
      </w:r>
      <w:r>
        <w:rPr/>
        <w:t>and</w:t>
      </w:r>
      <w:r>
        <w:rPr>
          <w:spacing w:val="-7"/>
        </w:rPr>
        <w:t> </w:t>
      </w:r>
      <w:r>
        <w:rPr>
          <w:spacing w:val="-2"/>
        </w:rPr>
        <w:t>acronyms</w:t>
      </w:r>
    </w:p>
    <w:p>
      <w:pPr>
        <w:pStyle w:val="BodyText"/>
        <w:rPr>
          <w:b/>
          <w:sz w:val="30"/>
        </w:rPr>
      </w:pPr>
    </w:p>
    <w:p>
      <w:pPr>
        <w:pStyle w:val="BodyText"/>
        <w:tabs>
          <w:tab w:pos="3379" w:val="left" w:leader="none"/>
        </w:tabs>
        <w:spacing w:line="261" w:lineRule="auto" w:before="238"/>
        <w:ind w:left="2246" w:right="5461"/>
      </w:pPr>
      <w:r>
        <w:rPr>
          <w:spacing w:val="-4"/>
        </w:rPr>
        <w:t>ACN</w:t>
      </w:r>
      <w:r>
        <w:rPr/>
        <w:tab/>
        <w:t>Advisory</w:t>
      </w:r>
      <w:r>
        <w:rPr>
          <w:spacing w:val="-11"/>
        </w:rPr>
        <w:t> </w:t>
      </w:r>
      <w:r>
        <w:rPr/>
        <w:t>Committee</w:t>
      </w:r>
      <w:r>
        <w:rPr>
          <w:spacing w:val="-9"/>
        </w:rPr>
        <w:t> </w:t>
      </w:r>
      <w:r>
        <w:rPr/>
        <w:t>on</w:t>
      </w:r>
      <w:r>
        <w:rPr>
          <w:spacing w:val="-9"/>
        </w:rPr>
        <w:t> </w:t>
      </w:r>
      <w:r>
        <w:rPr/>
        <w:t>Nominations </w:t>
      </w:r>
      <w:r>
        <w:rPr>
          <w:spacing w:val="-4"/>
        </w:rPr>
        <w:t>ASG</w:t>
      </w:r>
      <w:r>
        <w:rPr/>
        <w:tab/>
        <w:t>Assistant Secretary-General</w:t>
      </w:r>
    </w:p>
    <w:p>
      <w:pPr>
        <w:pStyle w:val="BodyText"/>
        <w:tabs>
          <w:tab w:pos="3379" w:val="left" w:leader="none"/>
        </w:tabs>
        <w:spacing w:line="261" w:lineRule="auto" w:before="3"/>
        <w:ind w:left="2246" w:right="6111"/>
      </w:pPr>
      <w:r>
        <w:rPr>
          <w:spacing w:val="-4"/>
        </w:rPr>
        <w:t>ASP</w:t>
      </w:r>
      <w:r>
        <w:rPr/>
        <w:tab/>
        <w:t>Assembly of States Parties </w:t>
      </w:r>
      <w:r>
        <w:rPr>
          <w:spacing w:val="-4"/>
        </w:rPr>
        <w:t>AULO</w:t>
      </w:r>
      <w:r>
        <w:rPr/>
        <w:tab/>
        <w:t>African</w:t>
      </w:r>
      <w:r>
        <w:rPr>
          <w:spacing w:val="-10"/>
        </w:rPr>
        <w:t> </w:t>
      </w:r>
      <w:r>
        <w:rPr/>
        <w:t>Union</w:t>
      </w:r>
      <w:r>
        <w:rPr>
          <w:spacing w:val="-13"/>
        </w:rPr>
        <w:t> </w:t>
      </w:r>
      <w:r>
        <w:rPr/>
        <w:t>Liaison</w:t>
      </w:r>
      <w:r>
        <w:rPr>
          <w:spacing w:val="-9"/>
        </w:rPr>
        <w:t> </w:t>
      </w:r>
      <w:r>
        <w:rPr/>
        <w:t>Office </w:t>
      </w:r>
      <w:r>
        <w:rPr>
          <w:spacing w:val="-6"/>
        </w:rPr>
        <w:t>AV</w:t>
      </w:r>
      <w:r>
        <w:rPr/>
        <w:tab/>
      </w:r>
      <w:r>
        <w:rPr>
          <w:spacing w:val="-2"/>
        </w:rPr>
        <w:t>Audio-visual</w:t>
      </w:r>
    </w:p>
    <w:p>
      <w:pPr>
        <w:pStyle w:val="BodyText"/>
        <w:tabs>
          <w:tab w:pos="3379" w:val="left" w:leader="none"/>
        </w:tabs>
        <w:spacing w:line="227" w:lineRule="exact"/>
        <w:ind w:left="2246"/>
      </w:pPr>
      <w:r>
        <w:rPr>
          <w:spacing w:val="-5"/>
        </w:rPr>
        <w:t>BCS</w:t>
      </w:r>
      <w:r>
        <w:rPr/>
        <w:tab/>
        <w:t>Budget</w:t>
      </w:r>
      <w:r>
        <w:rPr>
          <w:spacing w:val="-3"/>
        </w:rPr>
        <w:t> </w:t>
      </w:r>
      <w:r>
        <w:rPr/>
        <w:t>Control</w:t>
      </w:r>
      <w:r>
        <w:rPr>
          <w:spacing w:val="-7"/>
        </w:rPr>
        <w:t> </w:t>
      </w:r>
      <w:r>
        <w:rPr>
          <w:spacing w:val="-2"/>
        </w:rPr>
        <w:t>System</w:t>
      </w:r>
    </w:p>
    <w:p>
      <w:pPr>
        <w:pStyle w:val="BodyText"/>
        <w:tabs>
          <w:tab w:pos="3379" w:val="left" w:leader="none"/>
        </w:tabs>
        <w:spacing w:line="261" w:lineRule="auto" w:before="20"/>
        <w:ind w:left="2246" w:right="5498"/>
      </w:pPr>
      <w:r>
        <w:rPr>
          <w:spacing w:val="-4"/>
        </w:rPr>
        <w:t>BPC</w:t>
      </w:r>
      <w:r>
        <w:rPr/>
        <w:tab/>
        <w:t>Business</w:t>
      </w:r>
      <w:r>
        <w:rPr>
          <w:spacing w:val="-8"/>
        </w:rPr>
        <w:t> </w:t>
      </w:r>
      <w:r>
        <w:rPr/>
        <w:t>Planning</w:t>
      </w:r>
      <w:r>
        <w:rPr>
          <w:spacing w:val="-12"/>
        </w:rPr>
        <w:t> </w:t>
      </w:r>
      <w:r>
        <w:rPr/>
        <w:t>and</w:t>
      </w:r>
      <w:r>
        <w:rPr>
          <w:spacing w:val="-12"/>
        </w:rPr>
        <w:t> </w:t>
      </w:r>
      <w:r>
        <w:rPr/>
        <w:t>Consolidation </w:t>
      </w:r>
      <w:r>
        <w:rPr>
          <w:spacing w:val="-6"/>
        </w:rPr>
        <w:t>BS</w:t>
      </w:r>
      <w:r>
        <w:rPr/>
        <w:tab/>
        <w:t>Budget Section</w:t>
      </w:r>
    </w:p>
    <w:p>
      <w:pPr>
        <w:pStyle w:val="BodyText"/>
        <w:tabs>
          <w:tab w:pos="3379" w:val="left" w:leader="none"/>
        </w:tabs>
        <w:spacing w:line="261" w:lineRule="auto"/>
        <w:ind w:left="2246" w:right="5692"/>
      </w:pPr>
      <w:r>
        <w:rPr>
          <w:spacing w:val="-4"/>
        </w:rPr>
        <w:t>CAB</w:t>
      </w:r>
      <w:r>
        <w:rPr/>
        <w:tab/>
        <w:t>Classification Advisory Board </w:t>
      </w:r>
      <w:r>
        <w:rPr>
          <w:spacing w:val="-4"/>
        </w:rPr>
        <w:t>CAR</w:t>
      </w:r>
      <w:r>
        <w:rPr/>
        <w:tab/>
        <w:t>Central</w:t>
      </w:r>
      <w:r>
        <w:rPr>
          <w:spacing w:val="-8"/>
        </w:rPr>
        <w:t> </w:t>
      </w:r>
      <w:r>
        <w:rPr/>
        <w:t>African</w:t>
      </w:r>
      <w:r>
        <w:rPr>
          <w:spacing w:val="-10"/>
        </w:rPr>
        <w:t> </w:t>
      </w:r>
      <w:r>
        <w:rPr/>
        <w:t>Republic</w:t>
      </w:r>
      <w:r>
        <w:rPr>
          <w:spacing w:val="-8"/>
        </w:rPr>
        <w:t> </w:t>
      </w:r>
      <w:r>
        <w:rPr/>
        <w:t>(Bangui) </w:t>
      </w:r>
      <w:r>
        <w:rPr>
          <w:spacing w:val="-4"/>
        </w:rPr>
        <w:t>CBF</w:t>
      </w:r>
      <w:r>
        <w:rPr/>
        <w:tab/>
        <w:t>Committee</w:t>
      </w:r>
      <w:r>
        <w:rPr>
          <w:spacing w:val="-7"/>
        </w:rPr>
        <w:t> </w:t>
      </w:r>
      <w:r>
        <w:rPr/>
        <w:t>on</w:t>
      </w:r>
      <w:r>
        <w:rPr>
          <w:spacing w:val="-9"/>
        </w:rPr>
        <w:t> </w:t>
      </w:r>
      <w:r>
        <w:rPr/>
        <w:t>Budget</w:t>
      </w:r>
      <w:r>
        <w:rPr>
          <w:spacing w:val="-7"/>
        </w:rPr>
        <w:t> </w:t>
      </w:r>
      <w:r>
        <w:rPr/>
        <w:t>and</w:t>
      </w:r>
      <w:r>
        <w:rPr>
          <w:spacing w:val="-9"/>
        </w:rPr>
        <w:t> </w:t>
      </w:r>
      <w:r>
        <w:rPr/>
        <w:t>Finance </w:t>
      </w:r>
      <w:r>
        <w:rPr>
          <w:spacing w:val="-4"/>
        </w:rPr>
        <w:t>CIV</w:t>
      </w:r>
      <w:r>
        <w:rPr/>
        <w:tab/>
        <w:t>Côte d’Ivoire (Abidjan)</w:t>
      </w:r>
    </w:p>
    <w:p>
      <w:pPr>
        <w:pStyle w:val="BodyText"/>
        <w:tabs>
          <w:tab w:pos="3379" w:val="left" w:leader="none"/>
        </w:tabs>
        <w:spacing w:line="226" w:lineRule="exact"/>
        <w:ind w:left="2246"/>
      </w:pPr>
      <w:r>
        <w:rPr>
          <w:spacing w:val="-5"/>
        </w:rPr>
        <w:t>CMS</w:t>
      </w:r>
      <w:r>
        <w:rPr/>
        <w:tab/>
        <w:t>Court</w:t>
      </w:r>
      <w:r>
        <w:rPr>
          <w:spacing w:val="-7"/>
        </w:rPr>
        <w:t> </w:t>
      </w:r>
      <w:r>
        <w:rPr/>
        <w:t>Management</w:t>
      </w:r>
      <w:r>
        <w:rPr>
          <w:spacing w:val="-7"/>
        </w:rPr>
        <w:t> </w:t>
      </w:r>
      <w:r>
        <w:rPr>
          <w:spacing w:val="-2"/>
        </w:rPr>
        <w:t>Section</w:t>
      </w:r>
    </w:p>
    <w:p>
      <w:pPr>
        <w:pStyle w:val="BodyText"/>
        <w:tabs>
          <w:tab w:pos="3379" w:val="left" w:leader="none"/>
        </w:tabs>
        <w:spacing w:before="18"/>
        <w:ind w:left="2246"/>
      </w:pPr>
      <w:r>
        <w:rPr>
          <w:spacing w:val="-5"/>
        </w:rPr>
        <w:t>CMT</w:t>
      </w:r>
      <w:r>
        <w:rPr/>
        <w:tab/>
        <w:t>Crisis</w:t>
      </w:r>
      <w:r>
        <w:rPr>
          <w:spacing w:val="-8"/>
        </w:rPr>
        <w:t> </w:t>
      </w:r>
      <w:r>
        <w:rPr/>
        <w:t>Management</w:t>
      </w:r>
      <w:r>
        <w:rPr>
          <w:spacing w:val="-9"/>
        </w:rPr>
        <w:t> </w:t>
      </w:r>
      <w:r>
        <w:rPr>
          <w:spacing w:val="-4"/>
        </w:rPr>
        <w:t>Team</w:t>
      </w:r>
    </w:p>
    <w:p>
      <w:pPr>
        <w:pStyle w:val="BodyText"/>
        <w:tabs>
          <w:tab w:pos="3379" w:val="left" w:leader="none"/>
        </w:tabs>
        <w:spacing w:before="24"/>
        <w:ind w:left="2246"/>
      </w:pPr>
      <w:r>
        <w:rPr>
          <w:spacing w:val="-5"/>
        </w:rPr>
        <w:t>CO</w:t>
      </w:r>
      <w:r>
        <w:rPr/>
        <w:tab/>
        <w:t>Country</w:t>
      </w:r>
      <w:r>
        <w:rPr>
          <w:spacing w:val="-2"/>
        </w:rPr>
        <w:t> Offices</w:t>
      </w:r>
    </w:p>
    <w:p>
      <w:pPr>
        <w:pStyle w:val="BodyText"/>
        <w:tabs>
          <w:tab w:pos="3379" w:val="left" w:leader="none"/>
        </w:tabs>
        <w:spacing w:before="20"/>
        <w:ind w:left="2246"/>
      </w:pPr>
      <w:r>
        <w:rPr>
          <w:spacing w:val="-4"/>
        </w:rPr>
        <w:t>CoCo</w:t>
      </w:r>
      <w:r>
        <w:rPr/>
        <w:tab/>
        <w:t>Coordination</w:t>
      </w:r>
      <w:r>
        <w:rPr>
          <w:spacing w:val="-9"/>
        </w:rPr>
        <w:t> </w:t>
      </w:r>
      <w:r>
        <w:rPr>
          <w:spacing w:val="-2"/>
        </w:rPr>
        <w:t>Council</w:t>
      </w:r>
    </w:p>
    <w:p>
      <w:pPr>
        <w:pStyle w:val="BodyText"/>
        <w:tabs>
          <w:tab w:pos="3379" w:val="left" w:leader="none"/>
        </w:tabs>
        <w:spacing w:before="20"/>
        <w:ind w:left="2246"/>
      </w:pPr>
      <w:r>
        <w:rPr>
          <w:spacing w:val="-5"/>
        </w:rPr>
        <w:t>CSS</w:t>
      </w:r>
      <w:r>
        <w:rPr/>
        <w:tab/>
        <w:t>Counsel</w:t>
      </w:r>
      <w:r>
        <w:rPr>
          <w:spacing w:val="-5"/>
        </w:rPr>
        <w:t> </w:t>
      </w:r>
      <w:r>
        <w:rPr/>
        <w:t>Support</w:t>
      </w:r>
      <w:r>
        <w:rPr>
          <w:spacing w:val="-5"/>
        </w:rPr>
        <w:t> </w:t>
      </w:r>
      <w:r>
        <w:rPr>
          <w:spacing w:val="-2"/>
        </w:rPr>
        <w:t>Section</w:t>
      </w:r>
    </w:p>
    <w:p>
      <w:pPr>
        <w:pStyle w:val="BodyText"/>
        <w:tabs>
          <w:tab w:pos="3379" w:val="left" w:leader="none"/>
        </w:tabs>
        <w:spacing w:before="20"/>
        <w:ind w:left="2246"/>
      </w:pPr>
      <w:r>
        <w:rPr>
          <w:spacing w:val="-10"/>
        </w:rPr>
        <w:t>D</w:t>
      </w:r>
      <w:r>
        <w:rPr/>
        <w:tab/>
      </w:r>
      <w:r>
        <w:rPr>
          <w:spacing w:val="-2"/>
        </w:rPr>
        <w:t>Director</w:t>
      </w:r>
    </w:p>
    <w:p>
      <w:pPr>
        <w:pStyle w:val="BodyText"/>
        <w:tabs>
          <w:tab w:pos="3379" w:val="left" w:leader="none"/>
        </w:tabs>
        <w:spacing w:line="261" w:lineRule="auto" w:before="19"/>
        <w:ind w:left="2246" w:right="5751"/>
      </w:pPr>
      <w:r>
        <w:rPr>
          <w:spacing w:val="-4"/>
        </w:rPr>
        <w:t>DEO</w:t>
      </w:r>
      <w:r>
        <w:rPr/>
        <w:tab/>
        <w:t>Division of External Operations </w:t>
      </w:r>
      <w:r>
        <w:rPr>
          <w:spacing w:val="-4"/>
        </w:rPr>
        <w:t>DJS</w:t>
      </w:r>
      <w:r>
        <w:rPr/>
        <w:tab/>
        <w:t>Division of Judicial Services</w:t>
      </w:r>
      <w:r>
        <w:rPr>
          <w:spacing w:val="40"/>
        </w:rPr>
        <w:t> </w:t>
      </w:r>
      <w:r>
        <w:rPr>
          <w:spacing w:val="-4"/>
        </w:rPr>
        <w:t>DMS</w:t>
      </w:r>
      <w:r>
        <w:rPr/>
        <w:tab/>
        <w:t>Division</w:t>
      </w:r>
      <w:r>
        <w:rPr>
          <w:spacing w:val="-10"/>
        </w:rPr>
        <w:t> </w:t>
      </w:r>
      <w:r>
        <w:rPr/>
        <w:t>of</w:t>
      </w:r>
      <w:r>
        <w:rPr>
          <w:spacing w:val="-10"/>
        </w:rPr>
        <w:t> </w:t>
      </w:r>
      <w:r>
        <w:rPr/>
        <w:t>Management</w:t>
      </w:r>
      <w:r>
        <w:rPr>
          <w:spacing w:val="-8"/>
        </w:rPr>
        <w:t> </w:t>
      </w:r>
      <w:r>
        <w:rPr/>
        <w:t>Services</w:t>
      </w:r>
    </w:p>
    <w:p>
      <w:pPr>
        <w:pStyle w:val="BodyText"/>
        <w:tabs>
          <w:tab w:pos="3379" w:val="left" w:leader="none"/>
        </w:tabs>
        <w:spacing w:line="261" w:lineRule="auto"/>
        <w:ind w:left="2246" w:right="3902"/>
      </w:pPr>
      <w:r>
        <w:rPr>
          <w:spacing w:val="-4"/>
        </w:rPr>
        <w:t>DRC</w:t>
      </w:r>
      <w:r>
        <w:rPr/>
        <w:tab/>
        <w:t>Democratic Republic</w:t>
      </w:r>
      <w:r>
        <w:rPr>
          <w:spacing w:val="-5"/>
        </w:rPr>
        <w:t> </w:t>
      </w:r>
      <w:r>
        <w:rPr/>
        <w:t>of</w:t>
      </w:r>
      <w:r>
        <w:rPr>
          <w:spacing w:val="-7"/>
        </w:rPr>
        <w:t> </w:t>
      </w:r>
      <w:r>
        <w:rPr/>
        <w:t>the</w:t>
      </w:r>
      <w:r>
        <w:rPr>
          <w:spacing w:val="-5"/>
        </w:rPr>
        <w:t> </w:t>
      </w:r>
      <w:r>
        <w:rPr/>
        <w:t>Congo</w:t>
      </w:r>
      <w:r>
        <w:rPr>
          <w:spacing w:val="-7"/>
        </w:rPr>
        <w:t> </w:t>
      </w:r>
      <w:r>
        <w:rPr/>
        <w:t>(Kinshasa</w:t>
      </w:r>
      <w:r>
        <w:rPr>
          <w:spacing w:val="-5"/>
        </w:rPr>
        <w:t> </w:t>
      </w:r>
      <w:r>
        <w:rPr/>
        <w:t>and</w:t>
      </w:r>
      <w:r>
        <w:rPr>
          <w:spacing w:val="-7"/>
        </w:rPr>
        <w:t> </w:t>
      </w:r>
      <w:r>
        <w:rPr/>
        <w:t>Bunia) </w:t>
      </w:r>
      <w:r>
        <w:rPr>
          <w:spacing w:val="-4"/>
        </w:rPr>
        <w:t>DRS</w:t>
      </w:r>
      <w:r>
        <w:rPr/>
        <w:tab/>
        <w:t>Digital Recording System</w:t>
      </w:r>
    </w:p>
    <w:p>
      <w:pPr>
        <w:pStyle w:val="BodyText"/>
        <w:tabs>
          <w:tab w:pos="3379" w:val="left" w:leader="none"/>
        </w:tabs>
        <w:spacing w:line="228" w:lineRule="exact"/>
        <w:ind w:left="2246"/>
      </w:pPr>
      <w:r>
        <w:rPr>
          <w:spacing w:val="-5"/>
        </w:rPr>
        <w:t>DS</w:t>
      </w:r>
      <w:r>
        <w:rPr/>
        <w:tab/>
        <w:t>Detention</w:t>
      </w:r>
      <w:r>
        <w:rPr>
          <w:spacing w:val="-4"/>
        </w:rPr>
        <w:t> </w:t>
      </w:r>
      <w:r>
        <w:rPr>
          <w:spacing w:val="-2"/>
        </w:rPr>
        <w:t>Section</w:t>
      </w:r>
    </w:p>
    <w:p>
      <w:pPr>
        <w:pStyle w:val="BodyText"/>
        <w:tabs>
          <w:tab w:pos="3379" w:val="left" w:leader="none"/>
        </w:tabs>
        <w:spacing w:before="17"/>
        <w:ind w:left="2246"/>
      </w:pPr>
      <w:r>
        <w:rPr>
          <w:spacing w:val="-5"/>
        </w:rPr>
        <w:t>DSA</w:t>
      </w:r>
      <w:r>
        <w:rPr/>
        <w:tab/>
        <w:t>Daily</w:t>
      </w:r>
      <w:r>
        <w:rPr>
          <w:spacing w:val="-9"/>
        </w:rPr>
        <w:t> </w:t>
      </w:r>
      <w:r>
        <w:rPr/>
        <w:t>subsistence</w:t>
      </w:r>
      <w:r>
        <w:rPr>
          <w:spacing w:val="-6"/>
        </w:rPr>
        <w:t> </w:t>
      </w:r>
      <w:r>
        <w:rPr>
          <w:spacing w:val="-2"/>
        </w:rPr>
        <w:t>allowance</w:t>
      </w:r>
    </w:p>
    <w:p>
      <w:pPr>
        <w:pStyle w:val="BodyText"/>
        <w:tabs>
          <w:tab w:pos="3379" w:val="left" w:leader="none"/>
        </w:tabs>
        <w:spacing w:before="19"/>
        <w:ind w:left="2246"/>
      </w:pPr>
      <w:r>
        <w:rPr>
          <w:spacing w:val="-5"/>
        </w:rPr>
        <w:t>EO</w:t>
      </w:r>
      <w:r>
        <w:rPr/>
        <w:tab/>
        <w:t>External</w:t>
      </w:r>
      <w:r>
        <w:rPr>
          <w:spacing w:val="-2"/>
        </w:rPr>
        <w:t> Offices</w:t>
      </w:r>
    </w:p>
    <w:p>
      <w:pPr>
        <w:pStyle w:val="BodyText"/>
        <w:tabs>
          <w:tab w:pos="3379" w:val="left" w:leader="none"/>
        </w:tabs>
        <w:spacing w:line="266" w:lineRule="auto" w:before="20"/>
        <w:ind w:left="2246" w:right="5541"/>
      </w:pPr>
      <w:r>
        <w:rPr>
          <w:spacing w:val="-4"/>
        </w:rPr>
        <w:t>EOSS</w:t>
      </w:r>
      <w:r>
        <w:rPr/>
        <w:tab/>
        <w:t>External</w:t>
      </w:r>
      <w:r>
        <w:rPr>
          <w:spacing w:val="-8"/>
        </w:rPr>
        <w:t> </w:t>
      </w:r>
      <w:r>
        <w:rPr/>
        <w:t>Operations</w:t>
      </w:r>
      <w:r>
        <w:rPr>
          <w:spacing w:val="-10"/>
        </w:rPr>
        <w:t> </w:t>
      </w:r>
      <w:r>
        <w:rPr/>
        <w:t>Support</w:t>
      </w:r>
      <w:r>
        <w:rPr>
          <w:spacing w:val="-12"/>
        </w:rPr>
        <w:t> </w:t>
      </w:r>
      <w:r>
        <w:rPr/>
        <w:t>Section </w:t>
      </w:r>
      <w:r>
        <w:rPr>
          <w:spacing w:val="-6"/>
        </w:rPr>
        <w:t>FO</w:t>
      </w:r>
      <w:r>
        <w:rPr/>
        <w:tab/>
        <w:t>Field Office</w:t>
      </w:r>
    </w:p>
    <w:p>
      <w:pPr>
        <w:pStyle w:val="BodyText"/>
        <w:tabs>
          <w:tab w:pos="3379" w:val="left" w:leader="none"/>
        </w:tabs>
        <w:spacing w:line="223" w:lineRule="exact"/>
        <w:ind w:left="2246"/>
      </w:pPr>
      <w:r>
        <w:rPr>
          <w:spacing w:val="-5"/>
        </w:rPr>
        <w:t>FPC</w:t>
      </w:r>
      <w:r>
        <w:rPr/>
        <w:tab/>
        <w:t>Financial</w:t>
      </w:r>
      <w:r>
        <w:rPr>
          <w:spacing w:val="-7"/>
        </w:rPr>
        <w:t> </w:t>
      </w:r>
      <w:r>
        <w:rPr/>
        <w:t>Planning</w:t>
      </w:r>
      <w:r>
        <w:rPr>
          <w:spacing w:val="-10"/>
        </w:rPr>
        <w:t> </w:t>
      </w:r>
      <w:r>
        <w:rPr/>
        <w:t>and</w:t>
      </w:r>
      <w:r>
        <w:rPr>
          <w:spacing w:val="-6"/>
        </w:rPr>
        <w:t> </w:t>
      </w:r>
      <w:r>
        <w:rPr>
          <w:spacing w:val="-2"/>
        </w:rPr>
        <w:t>Control</w:t>
      </w:r>
    </w:p>
    <w:p>
      <w:pPr>
        <w:pStyle w:val="BodyText"/>
        <w:tabs>
          <w:tab w:pos="3379" w:val="left" w:leader="none"/>
        </w:tabs>
        <w:spacing w:before="20"/>
        <w:ind w:left="2246"/>
      </w:pPr>
      <w:r>
        <w:rPr>
          <w:spacing w:val="-5"/>
        </w:rPr>
        <w:t>FS</w:t>
      </w:r>
      <w:r>
        <w:rPr/>
        <w:tab/>
        <w:t>Finance</w:t>
      </w:r>
      <w:r>
        <w:rPr>
          <w:spacing w:val="-5"/>
        </w:rPr>
        <w:t> </w:t>
      </w:r>
      <w:r>
        <w:rPr>
          <w:spacing w:val="-2"/>
        </w:rPr>
        <w:t>Section</w:t>
      </w:r>
    </w:p>
    <w:p>
      <w:pPr>
        <w:pStyle w:val="BodyText"/>
        <w:tabs>
          <w:tab w:pos="3379" w:val="left" w:leader="none"/>
        </w:tabs>
        <w:spacing w:before="20"/>
        <w:ind w:left="2246"/>
      </w:pPr>
      <w:r>
        <w:rPr>
          <w:spacing w:val="-5"/>
        </w:rPr>
        <w:t>FSS</w:t>
      </w:r>
      <w:r>
        <w:rPr/>
        <w:tab/>
        <w:t>Forensic</w:t>
      </w:r>
      <w:r>
        <w:rPr>
          <w:spacing w:val="-5"/>
        </w:rPr>
        <w:t> </w:t>
      </w:r>
      <w:r>
        <w:rPr/>
        <w:t>Science</w:t>
      </w:r>
      <w:r>
        <w:rPr>
          <w:spacing w:val="-5"/>
        </w:rPr>
        <w:t> </w:t>
      </w:r>
      <w:r>
        <w:rPr>
          <w:spacing w:val="-2"/>
        </w:rPr>
        <w:t>Section</w:t>
      </w:r>
    </w:p>
    <w:p>
      <w:pPr>
        <w:pStyle w:val="BodyText"/>
        <w:tabs>
          <w:tab w:pos="3379" w:val="left" w:leader="none"/>
        </w:tabs>
        <w:spacing w:before="19"/>
        <w:ind w:left="2246"/>
      </w:pPr>
      <w:r>
        <w:rPr>
          <w:spacing w:val="-5"/>
        </w:rPr>
        <w:t>FTE</w:t>
      </w:r>
      <w:r>
        <w:rPr/>
        <w:tab/>
        <w:t>Full-time</w:t>
      </w:r>
      <w:r>
        <w:rPr>
          <w:spacing w:val="-8"/>
        </w:rPr>
        <w:t> </w:t>
      </w:r>
      <w:r>
        <w:rPr>
          <w:spacing w:val="-2"/>
        </w:rPr>
        <w:t>equivalent</w:t>
      </w:r>
    </w:p>
    <w:p>
      <w:pPr>
        <w:pStyle w:val="BodyText"/>
        <w:tabs>
          <w:tab w:pos="3379" w:val="left" w:leader="none"/>
        </w:tabs>
        <w:spacing w:before="20"/>
        <w:ind w:left="2246"/>
      </w:pPr>
      <w:r>
        <w:rPr>
          <w:spacing w:val="-5"/>
        </w:rPr>
        <w:t>GEO</w:t>
      </w:r>
      <w:r>
        <w:rPr/>
        <w:tab/>
      </w:r>
      <w:r>
        <w:rPr>
          <w:spacing w:val="-2"/>
        </w:rPr>
        <w:t>Georgia</w:t>
      </w:r>
    </w:p>
    <w:p>
      <w:pPr>
        <w:pStyle w:val="BodyText"/>
        <w:tabs>
          <w:tab w:pos="3379" w:val="left" w:leader="none"/>
        </w:tabs>
        <w:spacing w:line="261" w:lineRule="auto" w:before="19"/>
        <w:ind w:left="2246" w:right="4484"/>
      </w:pPr>
      <w:r>
        <w:rPr>
          <w:spacing w:val="-4"/>
        </w:rPr>
        <w:t>GRGB</w:t>
      </w:r>
      <w:r>
        <w:rPr/>
        <w:tab/>
        <w:t>Geographical</w:t>
      </w:r>
      <w:r>
        <w:rPr>
          <w:spacing w:val="-5"/>
        </w:rPr>
        <w:t> </w:t>
      </w:r>
      <w:r>
        <w:rPr/>
        <w:t>Representation</w:t>
      </w:r>
      <w:r>
        <w:rPr>
          <w:spacing w:val="-11"/>
        </w:rPr>
        <w:t> </w:t>
      </w:r>
      <w:r>
        <w:rPr/>
        <w:t>and</w:t>
      </w:r>
      <w:r>
        <w:rPr>
          <w:spacing w:val="-7"/>
        </w:rPr>
        <w:t> </w:t>
      </w:r>
      <w:r>
        <w:rPr/>
        <w:t>Gender</w:t>
      </w:r>
      <w:r>
        <w:rPr>
          <w:spacing w:val="-11"/>
        </w:rPr>
        <w:t> </w:t>
      </w:r>
      <w:r>
        <w:rPr/>
        <w:t>Balance </w:t>
      </w:r>
      <w:r>
        <w:rPr>
          <w:spacing w:val="-6"/>
        </w:rPr>
        <w:t>GS</w:t>
      </w:r>
      <w:r>
        <w:rPr/>
        <w:tab/>
        <w:t>General Service</w:t>
      </w:r>
    </w:p>
    <w:p>
      <w:pPr>
        <w:pStyle w:val="BodyText"/>
        <w:tabs>
          <w:tab w:pos="3379" w:val="left" w:leader="none"/>
        </w:tabs>
        <w:spacing w:line="261" w:lineRule="auto"/>
        <w:ind w:left="2246" w:right="5787"/>
      </w:pPr>
      <w:r>
        <w:rPr>
          <w:spacing w:val="-2"/>
        </w:rPr>
        <w:t>GS-OL</w:t>
      </w:r>
      <w:r>
        <w:rPr/>
        <w:tab/>
        <w:t>General Service (Other Level) </w:t>
      </w:r>
      <w:r>
        <w:rPr>
          <w:spacing w:val="-2"/>
        </w:rPr>
        <w:t>GS-PL</w:t>
      </w:r>
      <w:r>
        <w:rPr/>
        <w:tab/>
        <w:t>General</w:t>
      </w:r>
      <w:r>
        <w:rPr>
          <w:spacing w:val="-10"/>
        </w:rPr>
        <w:t> </w:t>
      </w:r>
      <w:r>
        <w:rPr/>
        <w:t>Service</w:t>
      </w:r>
      <w:r>
        <w:rPr>
          <w:spacing w:val="-10"/>
        </w:rPr>
        <w:t> </w:t>
      </w:r>
      <w:r>
        <w:rPr/>
        <w:t>(Principal</w:t>
      </w:r>
      <w:r>
        <w:rPr>
          <w:spacing w:val="-10"/>
        </w:rPr>
        <w:t> </w:t>
      </w:r>
      <w:r>
        <w:rPr/>
        <w:t>Level) </w:t>
      </w:r>
      <w:r>
        <w:rPr>
          <w:spacing w:val="-4"/>
        </w:rPr>
        <w:t>GSS</w:t>
      </w:r>
      <w:r>
        <w:rPr/>
        <w:tab/>
        <w:t>General Services Section</w:t>
      </w:r>
    </w:p>
    <w:p>
      <w:pPr>
        <w:pStyle w:val="BodyText"/>
        <w:tabs>
          <w:tab w:pos="3379" w:val="left" w:leader="none"/>
        </w:tabs>
        <w:spacing w:line="227" w:lineRule="exact"/>
        <w:ind w:left="2246"/>
      </w:pPr>
      <w:r>
        <w:rPr>
          <w:spacing w:val="-5"/>
        </w:rPr>
        <w:t>GTA</w:t>
      </w:r>
      <w:r>
        <w:rPr/>
        <w:tab/>
        <w:t>General</w:t>
      </w:r>
      <w:r>
        <w:rPr>
          <w:spacing w:val="-9"/>
        </w:rPr>
        <w:t> </w:t>
      </w:r>
      <w:r>
        <w:rPr/>
        <w:t>temporary</w:t>
      </w:r>
      <w:r>
        <w:rPr>
          <w:spacing w:val="-10"/>
        </w:rPr>
        <w:t> </w:t>
      </w:r>
      <w:r>
        <w:rPr>
          <w:spacing w:val="-2"/>
        </w:rPr>
        <w:t>assistance</w:t>
      </w:r>
    </w:p>
    <w:p>
      <w:pPr>
        <w:pStyle w:val="BodyText"/>
        <w:tabs>
          <w:tab w:pos="3379" w:val="left" w:leader="none"/>
        </w:tabs>
        <w:spacing w:before="18"/>
        <w:ind w:left="2246"/>
      </w:pPr>
      <w:r>
        <w:rPr>
          <w:spacing w:val="-5"/>
        </w:rPr>
        <w:t>HQ</w:t>
      </w:r>
      <w:r>
        <w:rPr/>
        <w:tab/>
      </w:r>
      <w:r>
        <w:rPr>
          <w:spacing w:val="-2"/>
        </w:rPr>
        <w:t>Headquarters</w:t>
      </w:r>
    </w:p>
    <w:p>
      <w:pPr>
        <w:pStyle w:val="BodyText"/>
        <w:tabs>
          <w:tab w:pos="3379" w:val="left" w:leader="none"/>
        </w:tabs>
        <w:spacing w:before="24"/>
        <w:ind w:left="2246"/>
      </w:pPr>
      <w:r>
        <w:rPr>
          <w:spacing w:val="-5"/>
        </w:rPr>
        <w:t>HR</w:t>
      </w:r>
      <w:r>
        <w:rPr/>
        <w:tab/>
        <w:t>Human</w:t>
      </w:r>
      <w:r>
        <w:rPr>
          <w:spacing w:val="-3"/>
        </w:rPr>
        <w:t> </w:t>
      </w:r>
      <w:r>
        <w:rPr>
          <w:spacing w:val="-2"/>
        </w:rPr>
        <w:t>resources</w:t>
      </w:r>
    </w:p>
    <w:p>
      <w:pPr>
        <w:pStyle w:val="BodyText"/>
        <w:tabs>
          <w:tab w:pos="3379" w:val="left" w:leader="none"/>
        </w:tabs>
        <w:spacing w:before="20"/>
        <w:ind w:left="2246"/>
      </w:pPr>
      <w:r>
        <w:rPr>
          <w:spacing w:val="-5"/>
        </w:rPr>
        <w:t>HRS</w:t>
      </w:r>
      <w:r>
        <w:rPr/>
        <w:tab/>
        <w:t>Human</w:t>
      </w:r>
      <w:r>
        <w:rPr>
          <w:spacing w:val="-8"/>
        </w:rPr>
        <w:t> </w:t>
      </w:r>
      <w:r>
        <w:rPr/>
        <w:t>Resources</w:t>
      </w:r>
      <w:r>
        <w:rPr>
          <w:spacing w:val="-3"/>
        </w:rPr>
        <w:t> </w:t>
      </w:r>
      <w:r>
        <w:rPr>
          <w:spacing w:val="-2"/>
        </w:rPr>
        <w:t>Section</w:t>
      </w:r>
    </w:p>
    <w:p>
      <w:pPr>
        <w:pStyle w:val="BodyText"/>
        <w:tabs>
          <w:tab w:pos="3379" w:val="left" w:leader="none"/>
        </w:tabs>
        <w:spacing w:before="20"/>
        <w:ind w:left="2246"/>
      </w:pPr>
      <w:r>
        <w:rPr>
          <w:spacing w:val="-5"/>
        </w:rPr>
        <w:t>IAS</w:t>
      </w:r>
      <w:r>
        <w:rPr/>
        <w:tab/>
        <w:t>Investigative</w:t>
      </w:r>
      <w:r>
        <w:rPr>
          <w:spacing w:val="-8"/>
        </w:rPr>
        <w:t> </w:t>
      </w:r>
      <w:r>
        <w:rPr/>
        <w:t>Analysis</w:t>
      </w:r>
      <w:r>
        <w:rPr>
          <w:spacing w:val="-9"/>
        </w:rPr>
        <w:t> </w:t>
      </w:r>
      <w:r>
        <w:rPr>
          <w:spacing w:val="-2"/>
        </w:rPr>
        <w:t>Section</w:t>
      </w:r>
    </w:p>
    <w:p>
      <w:pPr>
        <w:pStyle w:val="BodyText"/>
        <w:tabs>
          <w:tab w:pos="3379" w:val="left" w:leader="none"/>
        </w:tabs>
        <w:spacing w:before="20"/>
        <w:ind w:left="2246"/>
      </w:pPr>
      <w:r>
        <w:rPr>
          <w:spacing w:val="-5"/>
        </w:rPr>
        <w:t>IBA</w:t>
      </w:r>
      <w:r>
        <w:rPr/>
        <w:tab/>
        <w:t>International</w:t>
      </w:r>
      <w:r>
        <w:rPr>
          <w:spacing w:val="-8"/>
        </w:rPr>
        <w:t> </w:t>
      </w:r>
      <w:r>
        <w:rPr/>
        <w:t>Bar</w:t>
      </w:r>
      <w:r>
        <w:rPr>
          <w:spacing w:val="-4"/>
        </w:rPr>
        <w:t> </w:t>
      </w:r>
      <w:r>
        <w:rPr>
          <w:spacing w:val="-2"/>
        </w:rPr>
        <w:t>Association</w:t>
      </w:r>
    </w:p>
    <w:p>
      <w:pPr>
        <w:pStyle w:val="BodyText"/>
        <w:tabs>
          <w:tab w:pos="3379" w:val="left" w:leader="none"/>
        </w:tabs>
        <w:spacing w:before="19"/>
        <w:ind w:left="2246"/>
      </w:pPr>
      <w:r>
        <w:rPr>
          <w:spacing w:val="-5"/>
        </w:rPr>
        <w:t>ICC</w:t>
      </w:r>
      <w:r>
        <w:rPr/>
        <w:tab/>
        <w:t>International</w:t>
      </w:r>
      <w:r>
        <w:rPr>
          <w:spacing w:val="-13"/>
        </w:rPr>
        <w:t> </w:t>
      </w:r>
      <w:r>
        <w:rPr/>
        <w:t>Criminal</w:t>
      </w:r>
      <w:r>
        <w:rPr>
          <w:spacing w:val="-6"/>
        </w:rPr>
        <w:t> </w:t>
      </w:r>
      <w:r>
        <w:rPr>
          <w:spacing w:val="-2"/>
        </w:rPr>
        <w:t>Court</w:t>
      </w:r>
    </w:p>
    <w:p>
      <w:pPr>
        <w:pStyle w:val="BodyText"/>
        <w:tabs>
          <w:tab w:pos="3379" w:val="left" w:leader="none"/>
        </w:tabs>
        <w:spacing w:line="261" w:lineRule="auto" w:before="20"/>
        <w:ind w:left="2246" w:right="4339"/>
      </w:pPr>
      <w:r>
        <w:rPr>
          <w:spacing w:val="-2"/>
        </w:rPr>
        <w:t>ICCPP</w:t>
      </w:r>
      <w:r>
        <w:rPr/>
        <w:tab/>
        <w:t>International</w:t>
      </w:r>
      <w:r>
        <w:rPr>
          <w:spacing w:val="-10"/>
        </w:rPr>
        <w:t> </w:t>
      </w:r>
      <w:r>
        <w:rPr/>
        <w:t>Criminal</w:t>
      </w:r>
      <w:r>
        <w:rPr>
          <w:spacing w:val="-6"/>
        </w:rPr>
        <w:t> </w:t>
      </w:r>
      <w:r>
        <w:rPr/>
        <w:t>Court</w:t>
      </w:r>
      <w:r>
        <w:rPr>
          <w:spacing w:val="-10"/>
        </w:rPr>
        <w:t> </w:t>
      </w:r>
      <w:r>
        <w:rPr/>
        <w:t>Protection</w:t>
      </w:r>
      <w:r>
        <w:rPr>
          <w:spacing w:val="-8"/>
        </w:rPr>
        <w:t> </w:t>
      </w:r>
      <w:r>
        <w:rPr/>
        <w:t>Programme </w:t>
      </w:r>
      <w:r>
        <w:rPr>
          <w:spacing w:val="-4"/>
        </w:rPr>
        <w:t>ICS</w:t>
      </w:r>
      <w:r>
        <w:rPr/>
        <w:tab/>
        <w:t>International Cooperation Section</w:t>
      </w:r>
    </w:p>
    <w:p>
      <w:pPr>
        <w:pStyle w:val="BodyText"/>
        <w:tabs>
          <w:tab w:pos="3379" w:val="left" w:leader="none"/>
        </w:tabs>
        <w:spacing w:line="261" w:lineRule="auto"/>
        <w:ind w:left="2246" w:right="4830"/>
      </w:pPr>
      <w:r>
        <w:rPr>
          <w:spacing w:val="-4"/>
        </w:rPr>
        <w:t>ICT</w:t>
      </w:r>
      <w:r>
        <w:rPr/>
        <w:tab/>
        <w:t>Information</w:t>
      </w:r>
      <w:r>
        <w:rPr>
          <w:spacing w:val="-9"/>
        </w:rPr>
        <w:t> </w:t>
      </w:r>
      <w:r>
        <w:rPr/>
        <w:t>and</w:t>
      </w:r>
      <w:r>
        <w:rPr>
          <w:spacing w:val="-12"/>
        </w:rPr>
        <w:t> </w:t>
      </w:r>
      <w:r>
        <w:rPr/>
        <w:t>communication</w:t>
      </w:r>
      <w:r>
        <w:rPr>
          <w:spacing w:val="-9"/>
        </w:rPr>
        <w:t> </w:t>
      </w:r>
      <w:r>
        <w:rPr/>
        <w:t>technologies </w:t>
      </w:r>
      <w:r>
        <w:rPr>
          <w:spacing w:val="-4"/>
        </w:rPr>
        <w:t>IER</w:t>
      </w:r>
      <w:r>
        <w:rPr/>
        <w:tab/>
        <w:t>Independent Expert Review</w:t>
      </w:r>
    </w:p>
    <w:p>
      <w:pPr>
        <w:pStyle w:val="BodyText"/>
        <w:tabs>
          <w:tab w:pos="3379" w:val="left" w:leader="none"/>
        </w:tabs>
        <w:spacing w:line="228" w:lineRule="exact"/>
        <w:ind w:left="2246"/>
      </w:pPr>
      <w:r>
        <w:rPr>
          <w:spacing w:val="-5"/>
        </w:rPr>
        <w:t>IEU</w:t>
      </w:r>
      <w:r>
        <w:rPr/>
        <w:tab/>
        <w:t>Information</w:t>
      </w:r>
      <w:r>
        <w:rPr>
          <w:spacing w:val="-7"/>
        </w:rPr>
        <w:t> </w:t>
      </w:r>
      <w:r>
        <w:rPr/>
        <w:t>and</w:t>
      </w:r>
      <w:r>
        <w:rPr>
          <w:spacing w:val="-11"/>
        </w:rPr>
        <w:t> </w:t>
      </w:r>
      <w:r>
        <w:rPr/>
        <w:t>Evidence</w:t>
      </w:r>
      <w:r>
        <w:rPr>
          <w:spacing w:val="-4"/>
        </w:rPr>
        <w:t> Unit</w:t>
      </w:r>
    </w:p>
    <w:p>
      <w:pPr>
        <w:pStyle w:val="BodyText"/>
        <w:tabs>
          <w:tab w:pos="3379" w:val="left" w:leader="none"/>
        </w:tabs>
        <w:spacing w:before="18"/>
        <w:ind w:left="2246"/>
      </w:pPr>
      <w:r>
        <w:rPr>
          <w:spacing w:val="-5"/>
        </w:rPr>
        <w:t>IGO</w:t>
      </w:r>
      <w:r>
        <w:rPr/>
        <w:tab/>
      </w:r>
      <w:r>
        <w:rPr>
          <w:spacing w:val="-2"/>
        </w:rPr>
        <w:t>Intergovernmental</w:t>
      </w:r>
      <w:r>
        <w:rPr>
          <w:spacing w:val="20"/>
        </w:rPr>
        <w:t> </w:t>
      </w:r>
      <w:r>
        <w:rPr>
          <w:spacing w:val="-2"/>
        </w:rPr>
        <w:t>organization</w:t>
      </w:r>
    </w:p>
    <w:p>
      <w:pPr>
        <w:pStyle w:val="BodyText"/>
        <w:tabs>
          <w:tab w:pos="3379" w:val="left" w:leader="none"/>
        </w:tabs>
        <w:spacing w:before="19"/>
        <w:ind w:left="2246"/>
      </w:pPr>
      <w:r>
        <w:rPr>
          <w:spacing w:val="-2"/>
        </w:rPr>
        <w:t>IKEMS</w:t>
      </w:r>
      <w:r>
        <w:rPr/>
        <w:tab/>
        <w:t>Information,</w:t>
      </w:r>
      <w:r>
        <w:rPr>
          <w:spacing w:val="-8"/>
        </w:rPr>
        <w:t> </w:t>
      </w:r>
      <w:r>
        <w:rPr/>
        <w:t>Knowledge</w:t>
      </w:r>
      <w:r>
        <w:rPr>
          <w:spacing w:val="-10"/>
        </w:rPr>
        <w:t> </w:t>
      </w:r>
      <w:r>
        <w:rPr/>
        <w:t>and</w:t>
      </w:r>
      <w:r>
        <w:rPr>
          <w:spacing w:val="-12"/>
        </w:rPr>
        <w:t> </w:t>
      </w:r>
      <w:r>
        <w:rPr/>
        <w:t>Evidence</w:t>
      </w:r>
      <w:r>
        <w:rPr>
          <w:spacing w:val="-10"/>
        </w:rPr>
        <w:t> </w:t>
      </w:r>
      <w:r>
        <w:rPr/>
        <w:t>Management</w:t>
      </w:r>
      <w:r>
        <w:rPr>
          <w:spacing w:val="-9"/>
        </w:rPr>
        <w:t> </w:t>
      </w:r>
      <w:r>
        <w:rPr>
          <w:spacing w:val="-2"/>
        </w:rPr>
        <w:t>Section</w:t>
      </w:r>
    </w:p>
    <w:p>
      <w:pPr>
        <w:spacing w:after="0"/>
        <w:sectPr>
          <w:pgSz w:w="11910" w:h="16840"/>
          <w:pgMar w:header="953" w:footer="940" w:top="1140" w:bottom="1140" w:left="20" w:right="20"/>
        </w:sectPr>
      </w:pPr>
    </w:p>
    <w:p>
      <w:pPr>
        <w:pStyle w:val="BodyText"/>
        <w:spacing w:before="5"/>
        <w:rPr>
          <w:sz w:val="14"/>
        </w:rPr>
      </w:pPr>
    </w:p>
    <w:p>
      <w:pPr>
        <w:pStyle w:val="BodyText"/>
        <w:tabs>
          <w:tab w:pos="3379" w:val="left" w:leader="none"/>
        </w:tabs>
        <w:spacing w:line="264" w:lineRule="auto" w:before="93"/>
        <w:ind w:left="2246" w:right="5053"/>
        <w:jc w:val="both"/>
      </w:pPr>
      <w:r>
        <w:rPr>
          <w:spacing w:val="-4"/>
        </w:rPr>
        <w:t>IMSS</w:t>
      </w:r>
      <w:r>
        <w:rPr/>
        <w:tab/>
        <w:t>Information</w:t>
      </w:r>
      <w:r>
        <w:rPr>
          <w:spacing w:val="-12"/>
        </w:rPr>
        <w:t> </w:t>
      </w:r>
      <w:r>
        <w:rPr/>
        <w:t>Management</w:t>
      </w:r>
      <w:r>
        <w:rPr>
          <w:spacing w:val="-10"/>
        </w:rPr>
        <w:t> </w:t>
      </w:r>
      <w:r>
        <w:rPr/>
        <w:t>Services</w:t>
      </w:r>
      <w:r>
        <w:rPr>
          <w:spacing w:val="-8"/>
        </w:rPr>
        <w:t> </w:t>
      </w:r>
      <w:r>
        <w:rPr/>
        <w:t>Section INTERPOL</w:t>
      </w:r>
      <w:r>
        <w:rPr>
          <w:spacing w:val="40"/>
        </w:rPr>
        <w:t> </w:t>
      </w:r>
      <w:r>
        <w:rPr/>
        <w:t>International</w:t>
      </w:r>
      <w:r>
        <w:rPr>
          <w:spacing w:val="-6"/>
        </w:rPr>
        <w:t> </w:t>
      </w:r>
      <w:r>
        <w:rPr/>
        <w:t>Criminal</w:t>
      </w:r>
      <w:r>
        <w:rPr>
          <w:spacing w:val="-2"/>
        </w:rPr>
        <w:t> </w:t>
      </w:r>
      <w:r>
        <w:rPr/>
        <w:t>Police</w:t>
      </w:r>
      <w:r>
        <w:rPr>
          <w:spacing w:val="-6"/>
        </w:rPr>
        <w:t> </w:t>
      </w:r>
      <w:r>
        <w:rPr/>
        <w:t>Organization </w:t>
      </w:r>
      <w:r>
        <w:rPr>
          <w:spacing w:val="-4"/>
        </w:rPr>
        <w:t>IOM</w:t>
      </w:r>
      <w:r>
        <w:rPr/>
        <w:tab/>
        <w:t>Independent Oversight Mechanism</w:t>
      </w:r>
    </w:p>
    <w:p>
      <w:pPr>
        <w:pStyle w:val="BodyText"/>
        <w:tabs>
          <w:tab w:pos="3379" w:val="left" w:leader="none"/>
        </w:tabs>
        <w:spacing w:line="225" w:lineRule="exact"/>
        <w:ind w:left="2246"/>
        <w:jc w:val="both"/>
      </w:pPr>
      <w:r>
        <w:rPr>
          <w:spacing w:val="-5"/>
        </w:rPr>
        <w:t>IOP</w:t>
      </w:r>
      <w:r>
        <w:rPr/>
        <w:tab/>
        <w:t>Immediate</w:t>
      </w:r>
      <w:r>
        <w:rPr>
          <w:spacing w:val="-2"/>
        </w:rPr>
        <w:t> </w:t>
      </w:r>
      <w:r>
        <w:rPr/>
        <w:t>Office</w:t>
      </w:r>
      <w:r>
        <w:rPr>
          <w:spacing w:val="-7"/>
        </w:rPr>
        <w:t> </w:t>
      </w:r>
      <w:r>
        <w:rPr/>
        <w:t>of</w:t>
      </w:r>
      <w:r>
        <w:rPr>
          <w:spacing w:val="-8"/>
        </w:rPr>
        <w:t> </w:t>
      </w:r>
      <w:r>
        <w:rPr/>
        <w:t>the</w:t>
      </w:r>
      <w:r>
        <w:rPr>
          <w:spacing w:val="1"/>
        </w:rPr>
        <w:t> </w:t>
      </w:r>
      <w:r>
        <w:rPr>
          <w:spacing w:val="-2"/>
        </w:rPr>
        <w:t>Prosecutor</w:t>
      </w:r>
    </w:p>
    <w:p>
      <w:pPr>
        <w:pStyle w:val="BodyText"/>
        <w:tabs>
          <w:tab w:pos="3379" w:val="left" w:leader="none"/>
        </w:tabs>
        <w:spacing w:before="20"/>
        <w:ind w:left="2246"/>
        <w:jc w:val="both"/>
      </w:pPr>
      <w:r>
        <w:rPr>
          <w:spacing w:val="-5"/>
        </w:rPr>
        <w:t>IOR</w:t>
      </w:r>
      <w:r>
        <w:rPr/>
        <w:tab/>
        <w:t>Immediate</w:t>
      </w:r>
      <w:r>
        <w:rPr>
          <w:spacing w:val="-3"/>
        </w:rPr>
        <w:t> </w:t>
      </w:r>
      <w:r>
        <w:rPr/>
        <w:t>Office</w:t>
      </w:r>
      <w:r>
        <w:rPr>
          <w:spacing w:val="-6"/>
        </w:rPr>
        <w:t> </w:t>
      </w:r>
      <w:r>
        <w:rPr/>
        <w:t>of</w:t>
      </w:r>
      <w:r>
        <w:rPr>
          <w:spacing w:val="-8"/>
        </w:rPr>
        <w:t> </w:t>
      </w:r>
      <w:r>
        <w:rPr/>
        <w:t>the</w:t>
      </w:r>
      <w:r>
        <w:rPr>
          <w:spacing w:val="-2"/>
        </w:rPr>
        <w:t> Registrar</w:t>
      </w:r>
    </w:p>
    <w:p>
      <w:pPr>
        <w:pStyle w:val="BodyText"/>
        <w:tabs>
          <w:tab w:pos="3379" w:val="left" w:leader="none"/>
        </w:tabs>
        <w:spacing w:line="261" w:lineRule="auto" w:before="20"/>
        <w:ind w:left="2246" w:right="4514"/>
      </w:pPr>
      <w:r>
        <w:rPr>
          <w:spacing w:val="-2"/>
        </w:rPr>
        <w:t>IPSAS</w:t>
      </w:r>
      <w:r>
        <w:rPr/>
        <w:tab/>
        <w:t>International</w:t>
      </w:r>
      <w:r>
        <w:rPr>
          <w:spacing w:val="-8"/>
        </w:rPr>
        <w:t> </w:t>
      </w:r>
      <w:r>
        <w:rPr/>
        <w:t>Public</w:t>
      </w:r>
      <w:r>
        <w:rPr>
          <w:spacing w:val="-8"/>
        </w:rPr>
        <w:t> </w:t>
      </w:r>
      <w:r>
        <w:rPr/>
        <w:t>Sector</w:t>
      </w:r>
      <w:r>
        <w:rPr>
          <w:spacing w:val="-10"/>
        </w:rPr>
        <w:t> </w:t>
      </w:r>
      <w:r>
        <w:rPr/>
        <w:t>Accounting</w:t>
      </w:r>
      <w:r>
        <w:rPr>
          <w:spacing w:val="-5"/>
        </w:rPr>
        <w:t> </w:t>
      </w:r>
      <w:r>
        <w:rPr/>
        <w:t>Standards </w:t>
      </w:r>
      <w:r>
        <w:rPr>
          <w:spacing w:val="-4"/>
        </w:rPr>
        <w:t>IRS</w:t>
      </w:r>
      <w:r>
        <w:rPr/>
        <w:tab/>
        <w:t>Initial Response System</w:t>
      </w:r>
    </w:p>
    <w:p>
      <w:pPr>
        <w:pStyle w:val="BodyText"/>
        <w:tabs>
          <w:tab w:pos="3379" w:val="left" w:leader="none"/>
        </w:tabs>
        <w:spacing w:line="228" w:lineRule="exact"/>
        <w:ind w:left="2246"/>
      </w:pPr>
      <w:r>
        <w:rPr>
          <w:spacing w:val="-5"/>
        </w:rPr>
        <w:t>IT</w:t>
      </w:r>
      <w:r>
        <w:rPr/>
        <w:tab/>
        <w:t>Information</w:t>
      </w:r>
      <w:r>
        <w:rPr>
          <w:spacing w:val="-9"/>
        </w:rPr>
        <w:t> </w:t>
      </w:r>
      <w:r>
        <w:rPr>
          <w:spacing w:val="-2"/>
        </w:rPr>
        <w:t>technologies</w:t>
      </w:r>
    </w:p>
    <w:p>
      <w:pPr>
        <w:pStyle w:val="BodyText"/>
        <w:tabs>
          <w:tab w:pos="3379" w:val="left" w:leader="none"/>
        </w:tabs>
        <w:spacing w:line="261" w:lineRule="auto" w:before="20"/>
        <w:ind w:left="2246" w:right="3931"/>
      </w:pPr>
      <w:r>
        <w:rPr>
          <w:spacing w:val="-4"/>
        </w:rPr>
        <w:t>JCCD</w:t>
      </w:r>
      <w:r>
        <w:rPr/>
        <w:tab/>
        <w:t>Jurisdiction,</w:t>
      </w:r>
      <w:r>
        <w:rPr>
          <w:spacing w:val="-7"/>
        </w:rPr>
        <w:t> </w:t>
      </w:r>
      <w:r>
        <w:rPr/>
        <w:t>Complementarity</w:t>
      </w:r>
      <w:r>
        <w:rPr>
          <w:spacing w:val="-10"/>
        </w:rPr>
        <w:t> </w:t>
      </w:r>
      <w:r>
        <w:rPr/>
        <w:t>and</w:t>
      </w:r>
      <w:r>
        <w:rPr>
          <w:spacing w:val="-5"/>
        </w:rPr>
        <w:t> </w:t>
      </w:r>
      <w:r>
        <w:rPr/>
        <w:t>Cooperation</w:t>
      </w:r>
      <w:r>
        <w:rPr>
          <w:spacing w:val="-10"/>
        </w:rPr>
        <w:t> </w:t>
      </w:r>
      <w:r>
        <w:rPr/>
        <w:t>Division </w:t>
      </w:r>
      <w:r>
        <w:rPr>
          <w:spacing w:val="-4"/>
        </w:rPr>
        <w:t>KBU</w:t>
      </w:r>
      <w:r>
        <w:rPr/>
        <w:tab/>
        <w:t>Knowledge-Base Unit</w:t>
      </w:r>
    </w:p>
    <w:p>
      <w:pPr>
        <w:pStyle w:val="BodyText"/>
        <w:tabs>
          <w:tab w:pos="3379" w:val="left" w:leader="none"/>
        </w:tabs>
        <w:spacing w:line="228" w:lineRule="exact"/>
        <w:ind w:left="2246"/>
      </w:pPr>
      <w:r>
        <w:rPr>
          <w:spacing w:val="-5"/>
        </w:rPr>
        <w:t>KEN</w:t>
      </w:r>
      <w:r>
        <w:rPr/>
        <w:tab/>
        <w:t>Kenya</w:t>
      </w:r>
      <w:r>
        <w:rPr>
          <w:spacing w:val="-2"/>
        </w:rPr>
        <w:t> (Nairobi)</w:t>
      </w:r>
    </w:p>
    <w:p>
      <w:pPr>
        <w:pStyle w:val="BodyText"/>
        <w:tabs>
          <w:tab w:pos="3379" w:val="left" w:leader="none"/>
        </w:tabs>
        <w:spacing w:line="261" w:lineRule="auto" w:before="19"/>
        <w:ind w:left="2246" w:right="5816"/>
      </w:pPr>
      <w:r>
        <w:rPr>
          <w:spacing w:val="-4"/>
        </w:rPr>
        <w:t>LAS</w:t>
      </w:r>
      <w:r>
        <w:rPr/>
        <w:tab/>
        <w:t>Legal</w:t>
      </w:r>
      <w:r>
        <w:rPr>
          <w:spacing w:val="-9"/>
        </w:rPr>
        <w:t> </w:t>
      </w:r>
      <w:r>
        <w:rPr/>
        <w:t>Advisory</w:t>
      </w:r>
      <w:r>
        <w:rPr>
          <w:spacing w:val="-7"/>
        </w:rPr>
        <w:t> </w:t>
      </w:r>
      <w:r>
        <w:rPr/>
        <w:t>Section</w:t>
      </w:r>
      <w:r>
        <w:rPr>
          <w:spacing w:val="-11"/>
        </w:rPr>
        <w:t> </w:t>
      </w:r>
      <w:r>
        <w:rPr/>
        <w:t>(in</w:t>
      </w:r>
      <w:r>
        <w:rPr>
          <w:spacing w:val="-7"/>
        </w:rPr>
        <w:t> </w:t>
      </w:r>
      <w:r>
        <w:rPr/>
        <w:t>OTP) </w:t>
      </w:r>
      <w:r>
        <w:rPr>
          <w:spacing w:val="-4"/>
        </w:rPr>
        <w:t>LBY</w:t>
      </w:r>
      <w:r>
        <w:rPr/>
        <w:tab/>
      </w:r>
      <w:r>
        <w:rPr>
          <w:spacing w:val="-4"/>
        </w:rPr>
        <w:t>Libya</w:t>
      </w:r>
    </w:p>
    <w:p>
      <w:pPr>
        <w:pStyle w:val="BodyText"/>
        <w:tabs>
          <w:tab w:pos="3379" w:val="left" w:leader="none"/>
        </w:tabs>
        <w:spacing w:line="228" w:lineRule="exact"/>
        <w:ind w:left="2246"/>
      </w:pPr>
      <w:r>
        <w:rPr>
          <w:spacing w:val="-5"/>
        </w:rPr>
        <w:t>LO</w:t>
      </w:r>
      <w:r>
        <w:rPr/>
        <w:tab/>
        <w:t>Legal</w:t>
      </w:r>
      <w:r>
        <w:rPr>
          <w:spacing w:val="-3"/>
        </w:rPr>
        <w:t> </w:t>
      </w:r>
      <w:r>
        <w:rPr>
          <w:spacing w:val="-2"/>
        </w:rPr>
        <w:t>Office</w:t>
      </w:r>
    </w:p>
    <w:p>
      <w:pPr>
        <w:pStyle w:val="BodyText"/>
        <w:tabs>
          <w:tab w:pos="3379" w:val="left" w:leader="none"/>
        </w:tabs>
        <w:spacing w:line="261" w:lineRule="auto" w:before="25"/>
        <w:ind w:left="2246" w:right="5819"/>
      </w:pPr>
      <w:r>
        <w:rPr>
          <w:spacing w:val="-4"/>
        </w:rPr>
        <w:t>LRV</w:t>
      </w:r>
      <w:r>
        <w:rPr/>
        <w:tab/>
        <w:t>Legal</w:t>
      </w:r>
      <w:r>
        <w:rPr>
          <w:spacing w:val="-9"/>
        </w:rPr>
        <w:t> </w:t>
      </w:r>
      <w:r>
        <w:rPr/>
        <w:t>Representative</w:t>
      </w:r>
      <w:r>
        <w:rPr>
          <w:spacing w:val="-9"/>
        </w:rPr>
        <w:t> </w:t>
      </w:r>
      <w:r>
        <w:rPr/>
        <w:t>for</w:t>
      </w:r>
      <w:r>
        <w:rPr>
          <w:spacing w:val="-11"/>
        </w:rPr>
        <w:t> </w:t>
      </w:r>
      <w:r>
        <w:rPr/>
        <w:t>Victims </w:t>
      </w:r>
      <w:r>
        <w:rPr>
          <w:spacing w:val="-4"/>
        </w:rPr>
        <w:t>LSS</w:t>
      </w:r>
      <w:r>
        <w:rPr/>
        <w:tab/>
        <w:t>Language Services Section</w:t>
      </w:r>
    </w:p>
    <w:p>
      <w:pPr>
        <w:pStyle w:val="BodyText"/>
        <w:tabs>
          <w:tab w:pos="3379" w:val="left" w:leader="none"/>
        </w:tabs>
        <w:spacing w:line="228" w:lineRule="exact"/>
        <w:ind w:left="2246"/>
      </w:pPr>
      <w:r>
        <w:rPr>
          <w:spacing w:val="-5"/>
        </w:rPr>
        <w:t>LSU</w:t>
      </w:r>
      <w:r>
        <w:rPr/>
        <w:tab/>
        <w:t>Language</w:t>
      </w:r>
      <w:r>
        <w:rPr>
          <w:spacing w:val="-5"/>
        </w:rPr>
        <w:t> </w:t>
      </w:r>
      <w:r>
        <w:rPr/>
        <w:t>Services</w:t>
      </w:r>
      <w:r>
        <w:rPr>
          <w:spacing w:val="-10"/>
        </w:rPr>
        <w:t> </w:t>
      </w:r>
      <w:r>
        <w:rPr>
          <w:spacing w:val="-4"/>
        </w:rPr>
        <w:t>Unit</w:t>
      </w:r>
    </w:p>
    <w:p>
      <w:pPr>
        <w:pStyle w:val="BodyText"/>
        <w:tabs>
          <w:tab w:pos="3379" w:val="left" w:leader="none"/>
        </w:tabs>
        <w:spacing w:before="20"/>
        <w:ind w:left="2246"/>
      </w:pPr>
      <w:r>
        <w:rPr>
          <w:spacing w:val="-5"/>
        </w:rPr>
        <w:t>MIS</w:t>
      </w:r>
      <w:r>
        <w:rPr/>
        <w:tab/>
        <w:t>Management</w:t>
      </w:r>
      <w:r>
        <w:rPr>
          <w:spacing w:val="-10"/>
        </w:rPr>
        <w:t> </w:t>
      </w:r>
      <w:r>
        <w:rPr/>
        <w:t>information</w:t>
      </w:r>
      <w:r>
        <w:rPr>
          <w:spacing w:val="-10"/>
        </w:rPr>
        <w:t> </w:t>
      </w:r>
      <w:r>
        <w:rPr>
          <w:spacing w:val="-2"/>
        </w:rPr>
        <w:t>system</w:t>
      </w:r>
    </w:p>
    <w:p>
      <w:pPr>
        <w:pStyle w:val="BodyText"/>
        <w:tabs>
          <w:tab w:pos="3379" w:val="left" w:leader="none"/>
        </w:tabs>
        <w:spacing w:before="19"/>
        <w:ind w:left="2246"/>
      </w:pPr>
      <w:r>
        <w:rPr>
          <w:spacing w:val="-5"/>
        </w:rPr>
        <w:t>MLI</w:t>
      </w:r>
      <w:r>
        <w:rPr/>
        <w:tab/>
      </w:r>
      <w:r>
        <w:rPr>
          <w:spacing w:val="-4"/>
        </w:rPr>
        <w:t>Mali</w:t>
      </w:r>
    </w:p>
    <w:p>
      <w:pPr>
        <w:pStyle w:val="BodyText"/>
        <w:tabs>
          <w:tab w:pos="3379" w:val="left" w:leader="none"/>
        </w:tabs>
        <w:spacing w:before="20"/>
        <w:ind w:left="2246"/>
      </w:pPr>
      <w:r>
        <w:rPr>
          <w:spacing w:val="-5"/>
        </w:rPr>
        <w:t>NGO</w:t>
      </w:r>
      <w:r>
        <w:rPr/>
        <w:tab/>
      </w:r>
      <w:r>
        <w:rPr>
          <w:spacing w:val="-2"/>
        </w:rPr>
        <w:t>Non-governmental</w:t>
      </w:r>
      <w:r>
        <w:rPr>
          <w:spacing w:val="19"/>
        </w:rPr>
        <w:t> </w:t>
      </w:r>
      <w:r>
        <w:rPr>
          <w:spacing w:val="-2"/>
        </w:rPr>
        <w:t>organization</w:t>
      </w:r>
    </w:p>
    <w:p>
      <w:pPr>
        <w:pStyle w:val="BodyText"/>
        <w:tabs>
          <w:tab w:pos="3379" w:val="left" w:leader="none"/>
        </w:tabs>
        <w:spacing w:line="261" w:lineRule="auto" w:before="20"/>
        <w:ind w:left="2246" w:right="5158"/>
      </w:pPr>
      <w:r>
        <w:rPr>
          <w:spacing w:val="-4"/>
        </w:rPr>
        <w:t>NO-C</w:t>
      </w:r>
      <w:r>
        <w:rPr/>
        <w:tab/>
        <w:t>National</w:t>
      </w:r>
      <w:r>
        <w:rPr>
          <w:spacing w:val="-3"/>
        </w:rPr>
        <w:t> </w:t>
      </w:r>
      <w:r>
        <w:rPr/>
        <w:t>Professional</w:t>
      </w:r>
      <w:r>
        <w:rPr>
          <w:spacing w:val="-8"/>
        </w:rPr>
        <w:t> </w:t>
      </w:r>
      <w:r>
        <w:rPr/>
        <w:t>Officer</w:t>
      </w:r>
      <w:r>
        <w:rPr>
          <w:spacing w:val="-10"/>
        </w:rPr>
        <w:t> </w:t>
      </w:r>
      <w:r>
        <w:rPr/>
        <w:t>Category</w:t>
      </w:r>
      <w:r>
        <w:rPr>
          <w:spacing w:val="-10"/>
        </w:rPr>
        <w:t> </w:t>
      </w:r>
      <w:r>
        <w:rPr/>
        <w:t>C </w:t>
      </w:r>
      <w:r>
        <w:rPr>
          <w:spacing w:val="-4"/>
        </w:rPr>
        <w:t>NPO</w:t>
      </w:r>
      <w:r>
        <w:rPr/>
        <w:tab/>
        <w:t>National Professional Officers</w:t>
      </w:r>
    </w:p>
    <w:p>
      <w:pPr>
        <w:pStyle w:val="BodyText"/>
        <w:tabs>
          <w:tab w:pos="3379" w:val="left" w:leader="none"/>
        </w:tabs>
        <w:spacing w:line="261" w:lineRule="auto"/>
        <w:ind w:left="2246" w:right="3622"/>
      </w:pPr>
      <w:r>
        <w:rPr>
          <w:spacing w:val="-2"/>
        </w:rPr>
        <w:t>OD-DEO</w:t>
      </w:r>
      <w:r>
        <w:rPr/>
        <w:tab/>
        <w:t>Office of</w:t>
      </w:r>
      <w:r>
        <w:rPr>
          <w:spacing w:val="-10"/>
        </w:rPr>
        <w:t> </w:t>
      </w:r>
      <w:r>
        <w:rPr/>
        <w:t>the</w:t>
      </w:r>
      <w:r>
        <w:rPr>
          <w:spacing w:val="-4"/>
        </w:rPr>
        <w:t> </w:t>
      </w:r>
      <w:r>
        <w:rPr/>
        <w:t>Director</w:t>
      </w:r>
      <w:r>
        <w:rPr>
          <w:spacing w:val="-6"/>
        </w:rPr>
        <w:t> </w:t>
      </w:r>
      <w:r>
        <w:rPr/>
        <w:t>of</w:t>
      </w:r>
      <w:r>
        <w:rPr>
          <w:spacing w:val="-6"/>
        </w:rPr>
        <w:t> </w:t>
      </w:r>
      <w:r>
        <w:rPr/>
        <w:t>the Division</w:t>
      </w:r>
      <w:r>
        <w:rPr>
          <w:spacing w:val="-1"/>
        </w:rPr>
        <w:t> </w:t>
      </w:r>
      <w:r>
        <w:rPr/>
        <w:t>of</w:t>
      </w:r>
      <w:r>
        <w:rPr>
          <w:spacing w:val="-6"/>
        </w:rPr>
        <w:t> </w:t>
      </w:r>
      <w:r>
        <w:rPr/>
        <w:t>External</w:t>
      </w:r>
      <w:r>
        <w:rPr>
          <w:spacing w:val="-4"/>
        </w:rPr>
        <w:t> </w:t>
      </w:r>
      <w:r>
        <w:rPr/>
        <w:t>Operations </w:t>
      </w:r>
      <w:r>
        <w:rPr>
          <w:spacing w:val="-2"/>
        </w:rPr>
        <w:t>OD-DJS</w:t>
      </w:r>
      <w:r>
        <w:rPr/>
        <w:tab/>
        <w:t>Office of the Director of the Division of Judicial Services</w:t>
      </w:r>
    </w:p>
    <w:p>
      <w:pPr>
        <w:pStyle w:val="BodyText"/>
        <w:tabs>
          <w:tab w:pos="3379" w:val="left" w:leader="none"/>
        </w:tabs>
        <w:spacing w:line="261" w:lineRule="auto"/>
        <w:ind w:left="2246" w:right="3456"/>
      </w:pPr>
      <w:r>
        <w:rPr>
          <w:spacing w:val="-2"/>
        </w:rPr>
        <w:t>OD-DMS</w:t>
      </w:r>
      <w:r>
        <w:rPr/>
        <w:tab/>
        <w:t>Office of</w:t>
      </w:r>
      <w:r>
        <w:rPr>
          <w:spacing w:val="-11"/>
        </w:rPr>
        <w:t> </w:t>
      </w:r>
      <w:r>
        <w:rPr/>
        <w:t>the</w:t>
      </w:r>
      <w:r>
        <w:rPr>
          <w:spacing w:val="-5"/>
        </w:rPr>
        <w:t> </w:t>
      </w:r>
      <w:r>
        <w:rPr/>
        <w:t>Director</w:t>
      </w:r>
      <w:r>
        <w:rPr>
          <w:spacing w:val="-7"/>
        </w:rPr>
        <w:t> </w:t>
      </w:r>
      <w:r>
        <w:rPr/>
        <w:t>of</w:t>
      </w:r>
      <w:r>
        <w:rPr>
          <w:spacing w:val="-7"/>
        </w:rPr>
        <w:t> </w:t>
      </w:r>
      <w:r>
        <w:rPr/>
        <w:t>the Division</w:t>
      </w:r>
      <w:r>
        <w:rPr>
          <w:spacing w:val="-2"/>
        </w:rPr>
        <w:t> </w:t>
      </w:r>
      <w:r>
        <w:rPr/>
        <w:t>of</w:t>
      </w:r>
      <w:r>
        <w:rPr>
          <w:spacing w:val="-2"/>
        </w:rPr>
        <w:t> </w:t>
      </w:r>
      <w:r>
        <w:rPr/>
        <w:t>Management Services </w:t>
      </w:r>
      <w:r>
        <w:rPr>
          <w:spacing w:val="-4"/>
        </w:rPr>
        <w:t>OEA</w:t>
      </w:r>
      <w:r>
        <w:rPr/>
        <w:tab/>
        <w:t>Office of External Affairs</w:t>
      </w:r>
    </w:p>
    <w:p>
      <w:pPr>
        <w:pStyle w:val="BodyText"/>
        <w:tabs>
          <w:tab w:pos="3379" w:val="left" w:leader="none"/>
        </w:tabs>
        <w:spacing w:line="228" w:lineRule="exact"/>
        <w:ind w:left="2246"/>
      </w:pPr>
      <w:r>
        <w:rPr>
          <w:spacing w:val="-5"/>
        </w:rPr>
        <w:t>OIA</w:t>
      </w:r>
      <w:r>
        <w:rPr/>
        <w:tab/>
        <w:t>Office</w:t>
      </w:r>
      <w:r>
        <w:rPr>
          <w:spacing w:val="-4"/>
        </w:rPr>
        <w:t> </w:t>
      </w:r>
      <w:r>
        <w:rPr/>
        <w:t>of</w:t>
      </w:r>
      <w:r>
        <w:rPr>
          <w:spacing w:val="-8"/>
        </w:rPr>
        <w:t> </w:t>
      </w:r>
      <w:r>
        <w:rPr/>
        <w:t>Internal</w:t>
      </w:r>
      <w:r>
        <w:rPr>
          <w:spacing w:val="-1"/>
        </w:rPr>
        <w:t> </w:t>
      </w:r>
      <w:r>
        <w:rPr>
          <w:spacing w:val="-2"/>
        </w:rPr>
        <w:t>Audit</w:t>
      </w:r>
    </w:p>
    <w:p>
      <w:pPr>
        <w:pStyle w:val="BodyText"/>
        <w:tabs>
          <w:tab w:pos="3379" w:val="left" w:leader="none"/>
        </w:tabs>
        <w:spacing w:line="261" w:lineRule="auto" w:before="20"/>
        <w:ind w:left="2246" w:right="5193"/>
      </w:pPr>
      <w:r>
        <w:rPr>
          <w:spacing w:val="-4"/>
        </w:rPr>
        <w:t>OPCD</w:t>
      </w:r>
      <w:r>
        <w:rPr/>
        <w:tab/>
        <w:t>Office</w:t>
      </w:r>
      <w:r>
        <w:rPr>
          <w:spacing w:val="-3"/>
        </w:rPr>
        <w:t> </w:t>
      </w:r>
      <w:r>
        <w:rPr/>
        <w:t>of</w:t>
      </w:r>
      <w:r>
        <w:rPr>
          <w:spacing w:val="-9"/>
        </w:rPr>
        <w:t> </w:t>
      </w:r>
      <w:r>
        <w:rPr/>
        <w:t>Public</w:t>
      </w:r>
      <w:r>
        <w:rPr>
          <w:spacing w:val="-3"/>
        </w:rPr>
        <w:t> </w:t>
      </w:r>
      <w:r>
        <w:rPr/>
        <w:t>Counsel</w:t>
      </w:r>
      <w:r>
        <w:rPr>
          <w:spacing w:val="-3"/>
        </w:rPr>
        <w:t> </w:t>
      </w:r>
      <w:r>
        <w:rPr/>
        <w:t>for</w:t>
      </w:r>
      <w:r>
        <w:rPr>
          <w:spacing w:val="-9"/>
        </w:rPr>
        <w:t> </w:t>
      </w:r>
      <w:r>
        <w:rPr/>
        <w:t>the</w:t>
      </w:r>
      <w:r>
        <w:rPr>
          <w:spacing w:val="-7"/>
        </w:rPr>
        <w:t> </w:t>
      </w:r>
      <w:r>
        <w:rPr/>
        <w:t>Defence </w:t>
      </w:r>
      <w:r>
        <w:rPr>
          <w:spacing w:val="-4"/>
        </w:rPr>
        <w:t>OPCV</w:t>
      </w:r>
      <w:r>
        <w:rPr/>
        <w:tab/>
        <w:t>Office of Public Counsel for Victims </w:t>
      </w:r>
      <w:r>
        <w:rPr>
          <w:spacing w:val="-4"/>
        </w:rPr>
        <w:t>OTP</w:t>
      </w:r>
      <w:r>
        <w:rPr/>
        <w:tab/>
        <w:t>Office of the Prosecutor</w:t>
      </w:r>
    </w:p>
    <w:p>
      <w:pPr>
        <w:pStyle w:val="BodyText"/>
        <w:tabs>
          <w:tab w:pos="3379" w:val="left" w:leader="none"/>
        </w:tabs>
        <w:spacing w:line="227" w:lineRule="exact"/>
        <w:ind w:left="2246"/>
      </w:pPr>
      <w:r>
        <w:rPr>
          <w:spacing w:val="-10"/>
        </w:rPr>
        <w:t>P</w:t>
      </w:r>
      <w:r>
        <w:rPr/>
        <w:tab/>
      </w:r>
      <w:r>
        <w:rPr>
          <w:spacing w:val="-2"/>
        </w:rPr>
        <w:t>Professional</w:t>
      </w:r>
    </w:p>
    <w:p>
      <w:pPr>
        <w:pStyle w:val="BodyText"/>
        <w:tabs>
          <w:tab w:pos="3379" w:val="left" w:leader="none"/>
        </w:tabs>
        <w:spacing w:line="261" w:lineRule="auto" w:before="20"/>
        <w:ind w:left="2246" w:right="5193"/>
      </w:pPr>
      <w:r>
        <w:rPr>
          <w:spacing w:val="-4"/>
        </w:rPr>
        <w:t>PIOS</w:t>
      </w:r>
      <w:r>
        <w:rPr/>
        <w:tab/>
        <w:t>Public</w:t>
      </w:r>
      <w:r>
        <w:rPr>
          <w:spacing w:val="-4"/>
        </w:rPr>
        <w:t> </w:t>
      </w:r>
      <w:r>
        <w:rPr/>
        <w:t>Information</w:t>
      </w:r>
      <w:r>
        <w:rPr>
          <w:spacing w:val="-10"/>
        </w:rPr>
        <w:t> </w:t>
      </w:r>
      <w:r>
        <w:rPr/>
        <w:t>and</w:t>
      </w:r>
      <w:r>
        <w:rPr>
          <w:spacing w:val="-6"/>
        </w:rPr>
        <w:t> </w:t>
      </w:r>
      <w:r>
        <w:rPr/>
        <w:t>Outreach</w:t>
      </w:r>
      <w:r>
        <w:rPr>
          <w:spacing w:val="-10"/>
        </w:rPr>
        <w:t> </w:t>
      </w:r>
      <w:r>
        <w:rPr/>
        <w:t>Section </w:t>
      </w:r>
      <w:r>
        <w:rPr>
          <w:spacing w:val="-4"/>
        </w:rPr>
        <w:t>RMT</w:t>
      </w:r>
      <w:r>
        <w:rPr/>
        <w:tab/>
        <w:t>Registry Management Team</w:t>
      </w:r>
    </w:p>
    <w:p>
      <w:pPr>
        <w:pStyle w:val="BodyText"/>
        <w:tabs>
          <w:tab w:pos="3379" w:val="left" w:leader="none"/>
        </w:tabs>
        <w:spacing w:line="228" w:lineRule="exact"/>
        <w:ind w:left="2246"/>
      </w:pPr>
      <w:r>
        <w:rPr>
          <w:spacing w:val="-5"/>
        </w:rPr>
        <w:t>RSM</w:t>
      </w:r>
      <w:r>
        <w:rPr/>
        <w:tab/>
        <w:t>Residual</w:t>
      </w:r>
      <w:r>
        <w:rPr>
          <w:spacing w:val="-7"/>
        </w:rPr>
        <w:t> </w:t>
      </w:r>
      <w:r>
        <w:rPr/>
        <w:t>Security</w:t>
      </w:r>
      <w:r>
        <w:rPr>
          <w:spacing w:val="-8"/>
        </w:rPr>
        <w:t> </w:t>
      </w:r>
      <w:r>
        <w:rPr>
          <w:spacing w:val="-2"/>
        </w:rPr>
        <w:t>Measures</w:t>
      </w:r>
    </w:p>
    <w:p>
      <w:pPr>
        <w:pStyle w:val="BodyText"/>
        <w:tabs>
          <w:tab w:pos="3379" w:val="left" w:leader="none"/>
        </w:tabs>
        <w:spacing w:line="261" w:lineRule="auto" w:before="19"/>
        <w:ind w:left="2246" w:right="5466"/>
      </w:pPr>
      <w:r>
        <w:rPr>
          <w:spacing w:val="-4"/>
        </w:rPr>
        <w:t>SAP</w:t>
      </w:r>
      <w:r>
        <w:rPr/>
        <w:tab/>
        <w:t>Enterprise</w:t>
      </w:r>
      <w:r>
        <w:rPr>
          <w:spacing w:val="-12"/>
        </w:rPr>
        <w:t> </w:t>
      </w:r>
      <w:r>
        <w:rPr/>
        <w:t>Resource</w:t>
      </w:r>
      <w:r>
        <w:rPr>
          <w:spacing w:val="-12"/>
        </w:rPr>
        <w:t> </w:t>
      </w:r>
      <w:r>
        <w:rPr/>
        <w:t>Planning</w:t>
      </w:r>
      <w:r>
        <w:rPr>
          <w:spacing w:val="-9"/>
        </w:rPr>
        <w:t> </w:t>
      </w:r>
      <w:r>
        <w:rPr/>
        <w:t>System </w:t>
      </w:r>
      <w:r>
        <w:rPr>
          <w:spacing w:val="-4"/>
        </w:rPr>
        <w:t>SAS</w:t>
      </w:r>
      <w:r>
        <w:rPr/>
        <w:tab/>
        <w:t>Situation Analysis Section</w:t>
      </w:r>
    </w:p>
    <w:p>
      <w:pPr>
        <w:pStyle w:val="BodyText"/>
        <w:tabs>
          <w:tab w:pos="3379" w:val="left" w:leader="none"/>
        </w:tabs>
        <w:spacing w:line="228" w:lineRule="exact"/>
        <w:ind w:left="2246"/>
      </w:pPr>
      <w:r>
        <w:rPr>
          <w:spacing w:val="-5"/>
        </w:rPr>
        <w:t>SG</w:t>
      </w:r>
      <w:r>
        <w:rPr/>
        <w:tab/>
        <w:t>Strategic</w:t>
      </w:r>
      <w:r>
        <w:rPr>
          <w:spacing w:val="-10"/>
        </w:rPr>
        <w:t> </w:t>
      </w:r>
      <w:r>
        <w:rPr>
          <w:spacing w:val="-4"/>
        </w:rPr>
        <w:t>goal</w:t>
      </w:r>
    </w:p>
    <w:p>
      <w:pPr>
        <w:pStyle w:val="BodyText"/>
        <w:tabs>
          <w:tab w:pos="3379" w:val="left" w:leader="none"/>
        </w:tabs>
        <w:spacing w:before="20"/>
        <w:ind w:left="2246"/>
      </w:pPr>
      <w:r>
        <w:rPr>
          <w:spacing w:val="-5"/>
        </w:rPr>
        <w:t>SO</w:t>
      </w:r>
      <w:r>
        <w:rPr/>
        <w:tab/>
        <w:t>Strategic</w:t>
      </w:r>
      <w:r>
        <w:rPr>
          <w:spacing w:val="-8"/>
        </w:rPr>
        <w:t> </w:t>
      </w:r>
      <w:r>
        <w:rPr>
          <w:spacing w:val="-2"/>
        </w:rPr>
        <w:t>objective</w:t>
      </w:r>
    </w:p>
    <w:p>
      <w:pPr>
        <w:pStyle w:val="BodyText"/>
        <w:tabs>
          <w:tab w:pos="3379" w:val="left" w:leader="none"/>
        </w:tabs>
        <w:spacing w:before="20"/>
        <w:ind w:left="2246"/>
      </w:pPr>
      <w:r>
        <w:rPr>
          <w:spacing w:val="-5"/>
        </w:rPr>
        <w:t>SS</w:t>
      </w:r>
      <w:r>
        <w:rPr/>
        <w:tab/>
        <w:t>Services</w:t>
      </w:r>
      <w:r>
        <w:rPr>
          <w:spacing w:val="-2"/>
        </w:rPr>
        <w:t> Section</w:t>
      </w:r>
    </w:p>
    <w:p>
      <w:pPr>
        <w:pStyle w:val="BodyText"/>
        <w:tabs>
          <w:tab w:pos="3379" w:val="left" w:leader="none"/>
        </w:tabs>
        <w:spacing w:before="24"/>
        <w:ind w:left="2246"/>
      </w:pPr>
      <w:r>
        <w:rPr>
          <w:spacing w:val="-5"/>
        </w:rPr>
        <w:t>SSS</w:t>
      </w:r>
      <w:r>
        <w:rPr/>
        <w:tab/>
        <w:t>Security</w:t>
      </w:r>
      <w:r>
        <w:rPr>
          <w:spacing w:val="-8"/>
        </w:rPr>
        <w:t> </w:t>
      </w:r>
      <w:r>
        <w:rPr/>
        <w:t>and</w:t>
      </w:r>
      <w:r>
        <w:rPr>
          <w:spacing w:val="-2"/>
        </w:rPr>
        <w:t> </w:t>
      </w:r>
      <w:r>
        <w:rPr/>
        <w:t>Safety</w:t>
      </w:r>
      <w:r>
        <w:rPr>
          <w:spacing w:val="-3"/>
        </w:rPr>
        <w:t> </w:t>
      </w:r>
      <w:r>
        <w:rPr>
          <w:spacing w:val="-2"/>
        </w:rPr>
        <w:t>Section</w:t>
      </w:r>
    </w:p>
    <w:p>
      <w:pPr>
        <w:pStyle w:val="BodyText"/>
        <w:tabs>
          <w:tab w:pos="3379" w:val="left" w:leader="none"/>
        </w:tabs>
        <w:spacing w:before="20"/>
        <w:ind w:left="2246"/>
      </w:pPr>
      <w:r>
        <w:rPr>
          <w:spacing w:val="-5"/>
        </w:rPr>
        <w:t>SUD</w:t>
      </w:r>
      <w:r>
        <w:rPr/>
        <w:tab/>
        <w:t>Darfur,</w:t>
      </w:r>
      <w:r>
        <w:rPr>
          <w:spacing w:val="-4"/>
        </w:rPr>
        <w:t> Sudan</w:t>
      </w:r>
    </w:p>
    <w:p>
      <w:pPr>
        <w:pStyle w:val="BodyText"/>
        <w:tabs>
          <w:tab w:pos="3379" w:val="left" w:leader="none"/>
        </w:tabs>
        <w:spacing w:before="20"/>
        <w:ind w:left="2246"/>
      </w:pPr>
      <w:r>
        <w:rPr>
          <w:spacing w:val="-5"/>
        </w:rPr>
        <w:t>TFV</w:t>
      </w:r>
      <w:r>
        <w:rPr/>
        <w:tab/>
        <w:t>Trust</w:t>
      </w:r>
      <w:r>
        <w:rPr>
          <w:spacing w:val="-3"/>
        </w:rPr>
        <w:t> </w:t>
      </w:r>
      <w:r>
        <w:rPr/>
        <w:t>Fund</w:t>
      </w:r>
      <w:r>
        <w:rPr>
          <w:spacing w:val="-4"/>
        </w:rPr>
        <w:t> </w:t>
      </w:r>
      <w:r>
        <w:rPr/>
        <w:t>for</w:t>
      </w:r>
      <w:r>
        <w:rPr>
          <w:spacing w:val="-3"/>
        </w:rPr>
        <w:t> </w:t>
      </w:r>
      <w:r>
        <w:rPr>
          <w:spacing w:val="-2"/>
        </w:rPr>
        <w:t>Victims</w:t>
      </w:r>
    </w:p>
    <w:p>
      <w:pPr>
        <w:pStyle w:val="BodyText"/>
        <w:tabs>
          <w:tab w:pos="3379" w:val="left" w:leader="none"/>
        </w:tabs>
        <w:spacing w:before="19"/>
        <w:ind w:left="2246"/>
      </w:pPr>
      <w:r>
        <w:rPr>
          <w:spacing w:val="-5"/>
        </w:rPr>
        <w:t>UGA</w:t>
      </w:r>
      <w:r>
        <w:rPr/>
        <w:tab/>
        <w:t>Uganda</w:t>
      </w:r>
      <w:r>
        <w:rPr>
          <w:spacing w:val="-2"/>
        </w:rPr>
        <w:t> (Kampala)</w:t>
      </w:r>
    </w:p>
    <w:p>
      <w:pPr>
        <w:pStyle w:val="BodyText"/>
        <w:tabs>
          <w:tab w:pos="3379" w:val="left" w:leader="none"/>
        </w:tabs>
        <w:spacing w:before="20"/>
        <w:ind w:left="2246"/>
      </w:pPr>
      <w:r>
        <w:rPr>
          <w:spacing w:val="-4"/>
        </w:rPr>
        <w:t>UNCS</w:t>
      </w:r>
      <w:r>
        <w:rPr/>
        <w:tab/>
        <w:t>United</w:t>
      </w:r>
      <w:r>
        <w:rPr>
          <w:spacing w:val="-5"/>
        </w:rPr>
        <w:t> </w:t>
      </w:r>
      <w:r>
        <w:rPr/>
        <w:t>Nations</w:t>
      </w:r>
      <w:r>
        <w:rPr>
          <w:spacing w:val="-6"/>
        </w:rPr>
        <w:t> </w:t>
      </w:r>
      <w:r>
        <w:rPr/>
        <w:t>Common</w:t>
      </w:r>
      <w:r>
        <w:rPr>
          <w:spacing w:val="-9"/>
        </w:rPr>
        <w:t> </w:t>
      </w:r>
      <w:r>
        <w:rPr>
          <w:spacing w:val="-2"/>
        </w:rPr>
        <w:t>System</w:t>
      </w:r>
    </w:p>
    <w:p>
      <w:pPr>
        <w:pStyle w:val="BodyText"/>
        <w:tabs>
          <w:tab w:pos="3379" w:val="left" w:leader="none"/>
        </w:tabs>
        <w:spacing w:line="261" w:lineRule="auto" w:before="20"/>
        <w:ind w:left="2246" w:right="4439"/>
      </w:pPr>
      <w:r>
        <w:rPr>
          <w:spacing w:val="-2"/>
        </w:rPr>
        <w:t>UNDSS</w:t>
      </w:r>
      <w:r>
        <w:rPr/>
        <w:tab/>
        <w:t>United</w:t>
      </w:r>
      <w:r>
        <w:rPr>
          <w:spacing w:val="-4"/>
        </w:rPr>
        <w:t> </w:t>
      </w:r>
      <w:r>
        <w:rPr/>
        <w:t>Nations</w:t>
      </w:r>
      <w:r>
        <w:rPr>
          <w:spacing w:val="-5"/>
        </w:rPr>
        <w:t> </w:t>
      </w:r>
      <w:r>
        <w:rPr/>
        <w:t>Department</w:t>
      </w:r>
      <w:r>
        <w:rPr>
          <w:spacing w:val="-2"/>
        </w:rPr>
        <w:t> </w:t>
      </w:r>
      <w:r>
        <w:rPr/>
        <w:t>of</w:t>
      </w:r>
      <w:r>
        <w:rPr>
          <w:spacing w:val="-8"/>
        </w:rPr>
        <w:t> </w:t>
      </w:r>
      <w:r>
        <w:rPr/>
        <w:t>Safety</w:t>
      </w:r>
      <w:r>
        <w:rPr>
          <w:spacing w:val="-8"/>
        </w:rPr>
        <w:t> </w:t>
      </w:r>
      <w:r>
        <w:rPr/>
        <w:t>and</w:t>
      </w:r>
      <w:r>
        <w:rPr>
          <w:spacing w:val="-8"/>
        </w:rPr>
        <w:t> </w:t>
      </w:r>
      <w:r>
        <w:rPr/>
        <w:t>Security </w:t>
      </w:r>
      <w:r>
        <w:rPr>
          <w:spacing w:val="-2"/>
        </w:rPr>
        <w:t>UNJSPF</w:t>
      </w:r>
      <w:r>
        <w:rPr/>
        <w:tab/>
        <w:t>United Nations Joint Staff Pension Fund</w:t>
      </w:r>
    </w:p>
    <w:p>
      <w:pPr>
        <w:pStyle w:val="BodyText"/>
        <w:tabs>
          <w:tab w:pos="3379" w:val="left" w:leader="none"/>
        </w:tabs>
        <w:spacing w:line="228" w:lineRule="exact"/>
        <w:ind w:left="2246"/>
      </w:pPr>
      <w:r>
        <w:rPr>
          <w:spacing w:val="-5"/>
        </w:rPr>
        <w:t>USG</w:t>
      </w:r>
      <w:r>
        <w:rPr/>
        <w:tab/>
      </w:r>
      <w:r>
        <w:rPr>
          <w:spacing w:val="-2"/>
        </w:rPr>
        <w:t>Under-Secretary-General</w:t>
      </w:r>
    </w:p>
    <w:p>
      <w:pPr>
        <w:pStyle w:val="BodyText"/>
        <w:tabs>
          <w:tab w:pos="3379" w:val="left" w:leader="none"/>
        </w:tabs>
        <w:spacing w:line="261" w:lineRule="auto" w:before="20"/>
        <w:ind w:left="2246" w:right="4780"/>
      </w:pPr>
      <w:r>
        <w:rPr>
          <w:spacing w:val="-4"/>
        </w:rPr>
        <w:t>VAMS</w:t>
      </w:r>
      <w:r>
        <w:rPr/>
        <w:tab/>
        <w:t>Victims Application Management System </w:t>
      </w:r>
      <w:r>
        <w:rPr>
          <w:spacing w:val="-4"/>
        </w:rPr>
        <w:t>VPRS</w:t>
      </w:r>
      <w:r>
        <w:rPr/>
        <w:tab/>
        <w:t>Victims</w:t>
      </w:r>
      <w:r>
        <w:rPr>
          <w:spacing w:val="-9"/>
        </w:rPr>
        <w:t> </w:t>
      </w:r>
      <w:r>
        <w:rPr/>
        <w:t>Participation</w:t>
      </w:r>
      <w:r>
        <w:rPr>
          <w:spacing w:val="-8"/>
        </w:rPr>
        <w:t> </w:t>
      </w:r>
      <w:r>
        <w:rPr/>
        <w:t>and</w:t>
      </w:r>
      <w:r>
        <w:rPr>
          <w:spacing w:val="-8"/>
        </w:rPr>
        <w:t> </w:t>
      </w:r>
      <w:r>
        <w:rPr/>
        <w:t>Reparations</w:t>
      </w:r>
      <w:r>
        <w:rPr>
          <w:spacing w:val="-5"/>
        </w:rPr>
        <w:t> </w:t>
      </w:r>
      <w:r>
        <w:rPr/>
        <w:t>Section </w:t>
      </w:r>
      <w:r>
        <w:rPr>
          <w:spacing w:val="-4"/>
        </w:rPr>
        <w:t>VTC</w:t>
      </w:r>
      <w:r>
        <w:rPr/>
        <w:tab/>
        <w:t>Video teleconferencing</w:t>
      </w:r>
    </w:p>
    <w:p>
      <w:pPr>
        <w:pStyle w:val="BodyText"/>
        <w:tabs>
          <w:tab w:pos="3379" w:val="left" w:leader="none"/>
        </w:tabs>
        <w:spacing w:line="261" w:lineRule="auto"/>
        <w:ind w:left="2246" w:right="6026"/>
      </w:pPr>
      <w:r>
        <w:rPr>
          <w:spacing w:val="-4"/>
        </w:rPr>
        <w:t>VWS</w:t>
      </w:r>
      <w:r>
        <w:rPr/>
        <w:tab/>
        <w:t>Victims</w:t>
      </w:r>
      <w:r>
        <w:rPr>
          <w:spacing w:val="-13"/>
        </w:rPr>
        <w:t> </w:t>
      </w:r>
      <w:r>
        <w:rPr/>
        <w:t>and</w:t>
      </w:r>
      <w:r>
        <w:rPr>
          <w:spacing w:val="-12"/>
        </w:rPr>
        <w:t> </w:t>
      </w:r>
      <w:r>
        <w:rPr/>
        <w:t>Witnesses</w:t>
      </w:r>
      <w:r>
        <w:rPr>
          <w:spacing w:val="-13"/>
        </w:rPr>
        <w:t> </w:t>
      </w:r>
      <w:r>
        <w:rPr/>
        <w:t>Section </w:t>
      </w:r>
      <w:r>
        <w:rPr>
          <w:spacing w:val="-4"/>
        </w:rPr>
        <w:t>WCF</w:t>
      </w:r>
      <w:r>
        <w:rPr/>
        <w:tab/>
        <w:t>Working Capital Fund</w:t>
      </w:r>
    </w:p>
    <w:p>
      <w:pPr>
        <w:spacing w:after="0" w:line="261" w:lineRule="auto"/>
        <w:sectPr>
          <w:pgSz w:w="11910" w:h="16840"/>
          <w:pgMar w:header="957" w:footer="940" w:top="1140" w:bottom="1140" w:left="20" w:right="20"/>
        </w:sectPr>
      </w:pPr>
    </w:p>
    <w:p>
      <w:pPr>
        <w:pStyle w:val="BodyText"/>
        <w:spacing w:before="1"/>
        <w:rPr>
          <w:sz w:val="15"/>
        </w:rPr>
      </w:pPr>
    </w:p>
    <w:p>
      <w:pPr>
        <w:pStyle w:val="Heading1"/>
        <w:spacing w:before="87"/>
        <w:ind w:left="2246"/>
      </w:pPr>
      <w:bookmarkStart w:name="_bookmark1" w:id="2"/>
      <w:bookmarkEnd w:id="2"/>
      <w:r>
        <w:rPr>
          <w:b w:val="0"/>
        </w:rPr>
      </w:r>
      <w:r>
        <w:rPr>
          <w:w w:val="95"/>
        </w:rPr>
        <w:t>Foreword</w:t>
      </w:r>
      <w:r>
        <w:rPr>
          <w:spacing w:val="2"/>
        </w:rPr>
        <w:t> </w:t>
      </w:r>
      <w:r>
        <w:rPr>
          <w:w w:val="95"/>
        </w:rPr>
        <w:t>by</w:t>
      </w:r>
      <w:r>
        <w:rPr>
          <w:spacing w:val="3"/>
        </w:rPr>
        <w:t> </w:t>
      </w:r>
      <w:r>
        <w:rPr>
          <w:w w:val="95"/>
        </w:rPr>
        <w:t>the</w:t>
      </w:r>
      <w:r>
        <w:rPr>
          <w:spacing w:val="7"/>
        </w:rPr>
        <w:t> </w:t>
      </w:r>
      <w:r>
        <w:rPr>
          <w:w w:val="95"/>
        </w:rPr>
        <w:t>Principals</w:t>
      </w:r>
      <w:r>
        <w:rPr>
          <w:spacing w:val="6"/>
        </w:rPr>
        <w:t> </w:t>
      </w:r>
      <w:r>
        <w:rPr>
          <w:w w:val="95"/>
        </w:rPr>
        <w:t>of</w:t>
      </w:r>
      <w:r>
        <w:rPr>
          <w:spacing w:val="2"/>
        </w:rPr>
        <w:t> </w:t>
      </w:r>
      <w:r>
        <w:rPr>
          <w:w w:val="95"/>
        </w:rPr>
        <w:t>the</w:t>
      </w:r>
      <w:r>
        <w:rPr>
          <w:spacing w:val="-1"/>
        </w:rPr>
        <w:t> </w:t>
      </w:r>
      <w:r>
        <w:rPr>
          <w:w w:val="95"/>
        </w:rPr>
        <w:t>International</w:t>
      </w:r>
      <w:r>
        <w:rPr>
          <w:spacing w:val="4"/>
        </w:rPr>
        <w:t> </w:t>
      </w:r>
      <w:r>
        <w:rPr>
          <w:w w:val="95"/>
        </w:rPr>
        <w:t>Criminal</w:t>
      </w:r>
      <w:r>
        <w:rPr>
          <w:spacing w:val="3"/>
        </w:rPr>
        <w:t> </w:t>
      </w:r>
      <w:r>
        <w:rPr>
          <w:spacing w:val="-2"/>
          <w:w w:val="95"/>
        </w:rPr>
        <w:t>Court</w:t>
      </w:r>
    </w:p>
    <w:p>
      <w:pPr>
        <w:pStyle w:val="BodyText"/>
        <w:spacing w:line="470" w:lineRule="atLeast" w:before="3"/>
        <w:ind w:left="2813" w:right="2195" w:firstLine="3717"/>
      </w:pPr>
      <w:r>
        <w:rPr/>
        <w:t>The</w:t>
      </w:r>
      <w:r>
        <w:rPr>
          <w:spacing w:val="-8"/>
        </w:rPr>
        <w:t> </w:t>
      </w:r>
      <w:r>
        <w:rPr/>
        <w:t>Hague,</w:t>
      </w:r>
      <w:r>
        <w:rPr>
          <w:spacing w:val="-4"/>
        </w:rPr>
        <w:t> </w:t>
      </w:r>
      <w:r>
        <w:rPr/>
        <w:t>Netherlands,</w:t>
      </w:r>
      <w:r>
        <w:rPr>
          <w:spacing w:val="-4"/>
        </w:rPr>
        <w:t> </w:t>
      </w:r>
      <w:r>
        <w:rPr/>
        <w:t>28</w:t>
      </w:r>
      <w:r>
        <w:rPr>
          <w:spacing w:val="-13"/>
        </w:rPr>
        <w:t> </w:t>
      </w:r>
      <w:r>
        <w:rPr/>
        <w:t>July</w:t>
      </w:r>
      <w:r>
        <w:rPr>
          <w:spacing w:val="-5"/>
        </w:rPr>
        <w:t> </w:t>
      </w:r>
      <w:r>
        <w:rPr/>
        <w:t>2022 We</w:t>
      </w:r>
      <w:r>
        <w:rPr>
          <w:spacing w:val="56"/>
        </w:rPr>
        <w:t> </w:t>
      </w:r>
      <w:r>
        <w:rPr/>
        <w:t>are</w:t>
      </w:r>
      <w:r>
        <w:rPr>
          <w:spacing w:val="57"/>
        </w:rPr>
        <w:t> </w:t>
      </w:r>
      <w:r>
        <w:rPr/>
        <w:t>pleased</w:t>
      </w:r>
      <w:r>
        <w:rPr>
          <w:spacing w:val="55"/>
        </w:rPr>
        <w:t> </w:t>
      </w:r>
      <w:r>
        <w:rPr/>
        <w:t>to</w:t>
      </w:r>
      <w:r>
        <w:rPr>
          <w:spacing w:val="56"/>
        </w:rPr>
        <w:t> </w:t>
      </w:r>
      <w:r>
        <w:rPr/>
        <w:t>present</w:t>
      </w:r>
      <w:r>
        <w:rPr>
          <w:spacing w:val="56"/>
        </w:rPr>
        <w:t> </w:t>
      </w:r>
      <w:r>
        <w:rPr/>
        <w:t>the</w:t>
      </w:r>
      <w:r>
        <w:rPr>
          <w:spacing w:val="61"/>
        </w:rPr>
        <w:t> </w:t>
      </w:r>
      <w:r>
        <w:rPr/>
        <w:t>Proposed</w:t>
      </w:r>
      <w:r>
        <w:rPr>
          <w:spacing w:val="56"/>
        </w:rPr>
        <w:t> </w:t>
      </w:r>
      <w:r>
        <w:rPr/>
        <w:t>Programme</w:t>
      </w:r>
      <w:r>
        <w:rPr>
          <w:spacing w:val="56"/>
        </w:rPr>
        <w:t> </w:t>
      </w:r>
      <w:r>
        <w:rPr/>
        <w:t>Budget</w:t>
      </w:r>
      <w:r>
        <w:rPr>
          <w:spacing w:val="57"/>
        </w:rPr>
        <w:t> </w:t>
      </w:r>
      <w:r>
        <w:rPr/>
        <w:t>for</w:t>
      </w:r>
      <w:r>
        <w:rPr>
          <w:spacing w:val="55"/>
        </w:rPr>
        <w:t> </w:t>
      </w:r>
      <w:r>
        <w:rPr/>
        <w:t>2023</w:t>
      </w:r>
      <w:r>
        <w:rPr>
          <w:spacing w:val="56"/>
        </w:rPr>
        <w:t> </w:t>
      </w:r>
      <w:r>
        <w:rPr/>
        <w:t>for</w:t>
      </w:r>
      <w:r>
        <w:rPr>
          <w:spacing w:val="56"/>
        </w:rPr>
        <w:t> </w:t>
      </w:r>
      <w:r>
        <w:rPr>
          <w:spacing w:val="-5"/>
        </w:rPr>
        <w:t>the</w:t>
      </w:r>
    </w:p>
    <w:p>
      <w:pPr>
        <w:pStyle w:val="BodyText"/>
        <w:spacing w:before="1"/>
        <w:ind w:left="2246"/>
      </w:pPr>
      <w:r>
        <w:rPr/>
        <w:t>consideration</w:t>
      </w:r>
      <w:r>
        <w:rPr>
          <w:spacing w:val="-3"/>
        </w:rPr>
        <w:t> </w:t>
      </w:r>
      <w:r>
        <w:rPr/>
        <w:t>of</w:t>
      </w:r>
      <w:r>
        <w:rPr>
          <w:spacing w:val="-8"/>
        </w:rPr>
        <w:t> </w:t>
      </w:r>
      <w:r>
        <w:rPr/>
        <w:t>the</w:t>
      </w:r>
      <w:r>
        <w:rPr>
          <w:spacing w:val="-5"/>
        </w:rPr>
        <w:t> </w:t>
      </w:r>
      <w:r>
        <w:rPr/>
        <w:t>Assembly</w:t>
      </w:r>
      <w:r>
        <w:rPr>
          <w:spacing w:val="-8"/>
        </w:rPr>
        <w:t> </w:t>
      </w:r>
      <w:r>
        <w:rPr/>
        <w:t>of</w:t>
      </w:r>
      <w:r>
        <w:rPr>
          <w:spacing w:val="-7"/>
        </w:rPr>
        <w:t> </w:t>
      </w:r>
      <w:r>
        <w:rPr/>
        <w:t>States</w:t>
      </w:r>
      <w:r>
        <w:rPr>
          <w:spacing w:val="-8"/>
        </w:rPr>
        <w:t> </w:t>
      </w:r>
      <w:r>
        <w:rPr/>
        <w:t>Parties</w:t>
      </w:r>
      <w:r>
        <w:rPr>
          <w:spacing w:val="-8"/>
        </w:rPr>
        <w:t> </w:t>
      </w:r>
      <w:r>
        <w:rPr/>
        <w:t>(“the</w:t>
      </w:r>
      <w:r>
        <w:rPr>
          <w:spacing w:val="-1"/>
        </w:rPr>
        <w:t> </w:t>
      </w:r>
      <w:r>
        <w:rPr>
          <w:spacing w:val="-2"/>
        </w:rPr>
        <w:t>Assembly”).</w:t>
      </w:r>
    </w:p>
    <w:p>
      <w:pPr>
        <w:pStyle w:val="BodyText"/>
        <w:spacing w:before="120"/>
        <w:ind w:left="2246" w:right="2240" w:firstLine="566"/>
        <w:jc w:val="both"/>
      </w:pPr>
      <w:r>
        <w:rPr/>
        <w:t>The</w:t>
      </w:r>
      <w:r>
        <w:rPr>
          <w:spacing w:val="-10"/>
        </w:rPr>
        <w:t> </w:t>
      </w:r>
      <w:r>
        <w:rPr/>
        <w:t>organs</w:t>
      </w:r>
      <w:r>
        <w:rPr>
          <w:spacing w:val="-11"/>
        </w:rPr>
        <w:t> </w:t>
      </w:r>
      <w:r>
        <w:rPr/>
        <w:t>of</w:t>
      </w:r>
      <w:r>
        <w:rPr>
          <w:spacing w:val="-9"/>
        </w:rPr>
        <w:t> </w:t>
      </w:r>
      <w:r>
        <w:rPr/>
        <w:t>the</w:t>
      </w:r>
      <w:r>
        <w:rPr>
          <w:spacing w:val="-8"/>
        </w:rPr>
        <w:t> </w:t>
      </w:r>
      <w:r>
        <w:rPr/>
        <w:t>International</w:t>
      </w:r>
      <w:r>
        <w:rPr>
          <w:spacing w:val="-8"/>
        </w:rPr>
        <w:t> </w:t>
      </w:r>
      <w:r>
        <w:rPr/>
        <w:t>Criminal</w:t>
      </w:r>
      <w:r>
        <w:rPr>
          <w:spacing w:val="-8"/>
        </w:rPr>
        <w:t> </w:t>
      </w:r>
      <w:r>
        <w:rPr/>
        <w:t>Court</w:t>
      </w:r>
      <w:r>
        <w:rPr>
          <w:spacing w:val="-8"/>
        </w:rPr>
        <w:t> </w:t>
      </w:r>
      <w:r>
        <w:rPr/>
        <w:t>(“the</w:t>
      </w:r>
      <w:r>
        <w:rPr>
          <w:spacing w:val="-8"/>
        </w:rPr>
        <w:t> </w:t>
      </w:r>
      <w:r>
        <w:rPr/>
        <w:t>Court”)</w:t>
      </w:r>
      <w:r>
        <w:rPr>
          <w:spacing w:val="-13"/>
        </w:rPr>
        <w:t> </w:t>
      </w:r>
      <w:r>
        <w:rPr/>
        <w:t>have</w:t>
      </w:r>
      <w:r>
        <w:rPr>
          <w:spacing w:val="-7"/>
        </w:rPr>
        <w:t> </w:t>
      </w:r>
      <w:r>
        <w:rPr/>
        <w:t>worked</w:t>
      </w:r>
      <w:r>
        <w:rPr>
          <w:spacing w:val="-13"/>
        </w:rPr>
        <w:t> </w:t>
      </w:r>
      <w:r>
        <w:rPr/>
        <w:t>closely</w:t>
      </w:r>
      <w:r>
        <w:rPr>
          <w:spacing w:val="-12"/>
        </w:rPr>
        <w:t> </w:t>
      </w:r>
      <w:r>
        <w:rPr/>
        <w:t>and concertedly to compile and present the leanest possible, carefully reflected budget request, while</w:t>
      </w:r>
      <w:r>
        <w:rPr>
          <w:spacing w:val="-11"/>
        </w:rPr>
        <w:t> </w:t>
      </w:r>
      <w:r>
        <w:rPr/>
        <w:t>also</w:t>
      </w:r>
      <w:r>
        <w:rPr>
          <w:spacing w:val="-8"/>
        </w:rPr>
        <w:t> </w:t>
      </w:r>
      <w:r>
        <w:rPr/>
        <w:t>providing</w:t>
      </w:r>
      <w:r>
        <w:rPr>
          <w:spacing w:val="-8"/>
        </w:rPr>
        <w:t> </w:t>
      </w:r>
      <w:r>
        <w:rPr/>
        <w:t>a</w:t>
      </w:r>
      <w:r>
        <w:rPr>
          <w:spacing w:val="-11"/>
        </w:rPr>
        <w:t> </w:t>
      </w:r>
      <w:r>
        <w:rPr/>
        <w:t>coherent,</w:t>
      </w:r>
      <w:r>
        <w:rPr>
          <w:spacing w:val="-6"/>
        </w:rPr>
        <w:t> </w:t>
      </w:r>
      <w:r>
        <w:rPr/>
        <w:t>detailed</w:t>
      </w:r>
      <w:r>
        <w:rPr>
          <w:spacing w:val="-8"/>
        </w:rPr>
        <w:t> </w:t>
      </w:r>
      <w:r>
        <w:rPr/>
        <w:t>and</w:t>
      </w:r>
      <w:r>
        <w:rPr>
          <w:spacing w:val="-8"/>
        </w:rPr>
        <w:t> </w:t>
      </w:r>
      <w:r>
        <w:rPr/>
        <w:t>self-explanatory</w:t>
      </w:r>
      <w:r>
        <w:rPr>
          <w:spacing w:val="-8"/>
        </w:rPr>
        <w:t> </w:t>
      </w:r>
      <w:r>
        <w:rPr/>
        <w:t>budget</w:t>
      </w:r>
      <w:r>
        <w:rPr>
          <w:spacing w:val="-7"/>
        </w:rPr>
        <w:t> </w:t>
      </w:r>
      <w:r>
        <w:rPr/>
        <w:t>document.</w:t>
      </w:r>
      <w:r>
        <w:rPr>
          <w:spacing w:val="-6"/>
        </w:rPr>
        <w:t> </w:t>
      </w:r>
      <w:r>
        <w:rPr/>
        <w:t>In</w:t>
      </w:r>
      <w:r>
        <w:rPr>
          <w:spacing w:val="-8"/>
        </w:rPr>
        <w:t> </w:t>
      </w:r>
      <w:r>
        <w:rPr/>
        <w:t>doing</w:t>
      </w:r>
      <w:r>
        <w:rPr>
          <w:spacing w:val="-4"/>
        </w:rPr>
        <w:t> </w:t>
      </w:r>
      <w:r>
        <w:rPr/>
        <w:t>so, the organs have built on continued efforts to hone the budget process by engaging in active dialogue and coordination from the outset of the budget planning cycle.</w:t>
      </w:r>
    </w:p>
    <w:p>
      <w:pPr>
        <w:pStyle w:val="BodyText"/>
        <w:spacing w:before="123"/>
        <w:ind w:left="2246" w:right="2240" w:firstLine="566"/>
        <w:jc w:val="both"/>
      </w:pPr>
      <w:r>
        <w:rPr/>
        <w:t>In 2023,</w:t>
      </w:r>
      <w:r>
        <w:rPr>
          <w:spacing w:val="-2"/>
        </w:rPr>
        <w:t> </w:t>
      </w:r>
      <w:r>
        <w:rPr/>
        <w:t>the</w:t>
      </w:r>
      <w:r>
        <w:rPr>
          <w:spacing w:val="-3"/>
        </w:rPr>
        <w:t> </w:t>
      </w:r>
      <w:r>
        <w:rPr/>
        <w:t>Court</w:t>
      </w:r>
      <w:r>
        <w:rPr>
          <w:spacing w:val="-3"/>
        </w:rPr>
        <w:t> </w:t>
      </w:r>
      <w:r>
        <w:rPr/>
        <w:t>will</w:t>
      </w:r>
      <w:r>
        <w:rPr>
          <w:spacing w:val="-3"/>
        </w:rPr>
        <w:t> </w:t>
      </w:r>
      <w:r>
        <w:rPr/>
        <w:t>face</w:t>
      </w:r>
      <w:r>
        <w:rPr>
          <w:spacing w:val="-3"/>
        </w:rPr>
        <w:t> </w:t>
      </w:r>
      <w:r>
        <w:rPr/>
        <w:t>an</w:t>
      </w:r>
      <w:r>
        <w:rPr>
          <w:spacing w:val="-9"/>
        </w:rPr>
        <w:t> </w:t>
      </w:r>
      <w:r>
        <w:rPr/>
        <w:t>unprecedented</w:t>
      </w:r>
      <w:r>
        <w:rPr>
          <w:spacing w:val="-5"/>
        </w:rPr>
        <w:t> </w:t>
      </w:r>
      <w:r>
        <w:rPr/>
        <w:t>workload,</w:t>
      </w:r>
      <w:r>
        <w:rPr>
          <w:spacing w:val="-2"/>
        </w:rPr>
        <w:t> </w:t>
      </w:r>
      <w:r>
        <w:rPr/>
        <w:t>in</w:t>
      </w:r>
      <w:r>
        <w:rPr>
          <w:spacing w:val="-9"/>
        </w:rPr>
        <w:t> </w:t>
      </w:r>
      <w:r>
        <w:rPr/>
        <w:t>terms</w:t>
      </w:r>
      <w:r>
        <w:rPr>
          <w:spacing w:val="-6"/>
        </w:rPr>
        <w:t> </w:t>
      </w:r>
      <w:r>
        <w:rPr/>
        <w:t>of</w:t>
      </w:r>
      <w:r>
        <w:rPr>
          <w:spacing w:val="-5"/>
        </w:rPr>
        <w:t> </w:t>
      </w:r>
      <w:r>
        <w:rPr/>
        <w:t>both</w:t>
      </w:r>
      <w:r>
        <w:rPr>
          <w:spacing w:val="-5"/>
        </w:rPr>
        <w:t> </w:t>
      </w:r>
      <w:r>
        <w:rPr/>
        <w:t>volume</w:t>
      </w:r>
      <w:r>
        <w:rPr>
          <w:spacing w:val="-3"/>
        </w:rPr>
        <w:t> </w:t>
      </w:r>
      <w:r>
        <w:rPr/>
        <w:t>and complexity,</w:t>
      </w:r>
      <w:r>
        <w:rPr>
          <w:spacing w:val="22"/>
        </w:rPr>
        <w:t> </w:t>
      </w:r>
      <w:r>
        <w:rPr/>
        <w:t>with</w:t>
      </w:r>
      <w:r>
        <w:rPr>
          <w:spacing w:val="19"/>
        </w:rPr>
        <w:t> </w:t>
      </w:r>
      <w:r>
        <w:rPr/>
        <w:t>operations in</w:t>
      </w:r>
      <w:r>
        <w:rPr>
          <w:spacing w:val="19"/>
        </w:rPr>
        <w:t> </w:t>
      </w:r>
      <w:r>
        <w:rPr/>
        <w:t>16</w:t>
      </w:r>
      <w:r>
        <w:rPr>
          <w:spacing w:val="19"/>
        </w:rPr>
        <w:t> </w:t>
      </w:r>
      <w:r>
        <w:rPr/>
        <w:t>situations before the Court,</w:t>
      </w:r>
      <w:r>
        <w:rPr>
          <w:spacing w:val="22"/>
        </w:rPr>
        <w:t> </w:t>
      </w:r>
      <w:r>
        <w:rPr/>
        <w:t>simultaneous trial</w:t>
      </w:r>
      <w:r>
        <w:rPr>
          <w:spacing w:val="21"/>
        </w:rPr>
        <w:t> </w:t>
      </w:r>
      <w:r>
        <w:rPr/>
        <w:t>hearings in 3</w:t>
      </w:r>
      <w:r>
        <w:rPr>
          <w:spacing w:val="-3"/>
        </w:rPr>
        <w:t> </w:t>
      </w:r>
      <w:r>
        <w:rPr/>
        <w:t>courtrooms</w:t>
      </w:r>
      <w:r>
        <w:rPr>
          <w:spacing w:val="-5"/>
        </w:rPr>
        <w:t> </w:t>
      </w:r>
      <w:r>
        <w:rPr/>
        <w:t>in 3</w:t>
      </w:r>
      <w:r>
        <w:rPr>
          <w:spacing w:val="-4"/>
        </w:rPr>
        <w:t> </w:t>
      </w:r>
      <w:r>
        <w:rPr/>
        <w:t>cases, 6</w:t>
      </w:r>
      <w:r>
        <w:rPr>
          <w:spacing w:val="-4"/>
        </w:rPr>
        <w:t> </w:t>
      </w:r>
      <w:r>
        <w:rPr/>
        <w:t>cases</w:t>
      </w:r>
      <w:r>
        <w:rPr>
          <w:spacing w:val="-5"/>
        </w:rPr>
        <w:t> </w:t>
      </w:r>
      <w:r>
        <w:rPr/>
        <w:t>in (pre)-trial, ongoing reparations proceedings in 5 cases and</w:t>
      </w:r>
      <w:r>
        <w:rPr>
          <w:spacing w:val="-13"/>
        </w:rPr>
        <w:t> </w:t>
      </w:r>
      <w:r>
        <w:rPr/>
        <w:t>at</w:t>
      </w:r>
      <w:r>
        <w:rPr>
          <w:spacing w:val="-12"/>
        </w:rPr>
        <w:t> </w:t>
      </w:r>
      <w:r>
        <w:rPr/>
        <w:t>least</w:t>
      </w:r>
      <w:r>
        <w:rPr>
          <w:spacing w:val="-10"/>
        </w:rPr>
        <w:t> </w:t>
      </w:r>
      <w:r>
        <w:rPr/>
        <w:t>10</w:t>
      </w:r>
      <w:r>
        <w:rPr>
          <w:spacing w:val="-9"/>
        </w:rPr>
        <w:t> </w:t>
      </w:r>
      <w:r>
        <w:rPr/>
        <w:t>investigations.</w:t>
      </w:r>
      <w:r>
        <w:rPr>
          <w:spacing w:val="-12"/>
        </w:rPr>
        <w:t> </w:t>
      </w:r>
      <w:r>
        <w:rPr/>
        <w:t>These</w:t>
      </w:r>
      <w:r>
        <w:rPr>
          <w:spacing w:val="-8"/>
        </w:rPr>
        <w:t> </w:t>
      </w:r>
      <w:r>
        <w:rPr/>
        <w:t>factors,</w:t>
      </w:r>
      <w:r>
        <w:rPr>
          <w:spacing w:val="-12"/>
        </w:rPr>
        <w:t> </w:t>
      </w:r>
      <w:r>
        <w:rPr/>
        <w:t>combined</w:t>
      </w:r>
      <w:r>
        <w:rPr>
          <w:spacing w:val="-13"/>
        </w:rPr>
        <w:t> </w:t>
      </w:r>
      <w:r>
        <w:rPr/>
        <w:t>with</w:t>
      </w:r>
      <w:r>
        <w:rPr>
          <w:spacing w:val="-9"/>
        </w:rPr>
        <w:t> </w:t>
      </w:r>
      <w:r>
        <w:rPr/>
        <w:t>worldwide</w:t>
      </w:r>
      <w:r>
        <w:rPr>
          <w:spacing w:val="-13"/>
        </w:rPr>
        <w:t> </w:t>
      </w:r>
      <w:r>
        <w:rPr/>
        <w:t>inflationary</w:t>
      </w:r>
      <w:r>
        <w:rPr>
          <w:spacing w:val="-9"/>
        </w:rPr>
        <w:t> </w:t>
      </w:r>
      <w:r>
        <w:rPr/>
        <w:t>pressures and increases in the price indices for goods, utilities and services, have led the Court to propose a total budget of €175,327.4 thousand, representing an increase for 2023 of approximately €24,057.5 thousand, or 15.9 per cent, over the approved budget for 2022.</w:t>
      </w:r>
    </w:p>
    <w:p>
      <w:pPr>
        <w:pStyle w:val="BodyText"/>
        <w:spacing w:before="119"/>
        <w:ind w:left="2246" w:right="2239" w:firstLine="566"/>
        <w:jc w:val="both"/>
      </w:pPr>
      <w:r>
        <w:rPr/>
        <w:t>The</w:t>
      </w:r>
      <w:r>
        <w:rPr>
          <w:spacing w:val="-6"/>
        </w:rPr>
        <w:t> </w:t>
      </w:r>
      <w:r>
        <w:rPr/>
        <w:t>significant</w:t>
      </w:r>
      <w:r>
        <w:rPr>
          <w:spacing w:val="-6"/>
        </w:rPr>
        <w:t> </w:t>
      </w:r>
      <w:r>
        <w:rPr/>
        <w:t>increase</w:t>
      </w:r>
      <w:r>
        <w:rPr>
          <w:spacing w:val="-6"/>
        </w:rPr>
        <w:t> </w:t>
      </w:r>
      <w:r>
        <w:rPr/>
        <w:t>in</w:t>
      </w:r>
      <w:r>
        <w:rPr>
          <w:spacing w:val="-7"/>
        </w:rPr>
        <w:t> </w:t>
      </w:r>
      <w:r>
        <w:rPr/>
        <w:t>the</w:t>
      </w:r>
      <w:r>
        <w:rPr>
          <w:spacing w:val="-1"/>
        </w:rPr>
        <w:t> </w:t>
      </w:r>
      <w:r>
        <w:rPr/>
        <w:t>Court’s</w:t>
      </w:r>
      <w:r>
        <w:rPr>
          <w:spacing w:val="-9"/>
        </w:rPr>
        <w:t> </w:t>
      </w:r>
      <w:r>
        <w:rPr/>
        <w:t>activities</w:t>
      </w:r>
      <w:r>
        <w:rPr>
          <w:spacing w:val="-9"/>
        </w:rPr>
        <w:t> </w:t>
      </w:r>
      <w:r>
        <w:rPr/>
        <w:t>in</w:t>
      </w:r>
      <w:r>
        <w:rPr>
          <w:spacing w:val="-7"/>
        </w:rPr>
        <w:t> </w:t>
      </w:r>
      <w:r>
        <w:rPr/>
        <w:t>2023</w:t>
      </w:r>
      <w:r>
        <w:rPr>
          <w:spacing w:val="-7"/>
        </w:rPr>
        <w:t> </w:t>
      </w:r>
      <w:r>
        <w:rPr/>
        <w:t>is</w:t>
      </w:r>
      <w:r>
        <w:rPr>
          <w:spacing w:val="-9"/>
        </w:rPr>
        <w:t> </w:t>
      </w:r>
      <w:r>
        <w:rPr/>
        <w:t>indicative</w:t>
      </w:r>
      <w:r>
        <w:rPr>
          <w:spacing w:val="-6"/>
        </w:rPr>
        <w:t> </w:t>
      </w:r>
      <w:r>
        <w:rPr/>
        <w:t>of</w:t>
      </w:r>
      <w:r>
        <w:rPr>
          <w:spacing w:val="-7"/>
        </w:rPr>
        <w:t> </w:t>
      </w:r>
      <w:r>
        <w:rPr/>
        <w:t>the</w:t>
      </w:r>
      <w:r>
        <w:rPr>
          <w:spacing w:val="-6"/>
        </w:rPr>
        <w:t> </w:t>
      </w:r>
      <w:r>
        <w:rPr/>
        <w:t>continued importance of the Court’s unique mandate, as entrusted by the States Parties. The Court is greatly appreciative of the strong support – not least political and financial – that the States Parties have offered in the course of 2022.</w:t>
      </w:r>
    </w:p>
    <w:p>
      <w:pPr>
        <w:pStyle w:val="BodyText"/>
        <w:spacing w:before="121"/>
        <w:ind w:left="2246" w:right="2242" w:firstLine="566"/>
        <w:jc w:val="both"/>
      </w:pPr>
      <w:r>
        <w:rPr/>
        <w:t>The Court</w:t>
      </w:r>
      <w:r>
        <w:rPr>
          <w:spacing w:val="-2"/>
        </w:rPr>
        <w:t> </w:t>
      </w:r>
      <w:r>
        <w:rPr/>
        <w:t>is fully aware of the ongoing pressures</w:t>
      </w:r>
      <w:r>
        <w:rPr>
          <w:spacing w:val="-5"/>
        </w:rPr>
        <w:t> </w:t>
      </w:r>
      <w:r>
        <w:rPr/>
        <w:t>and economic challenges faced by States Parties, many of which are still recovering from the global financial impact of the COVID-19 pandemic. Every effort has been made to reprioritize resources and to achieve savings, efficiencies and reductions in costs that could decrease the Court’s overall budget </w:t>
      </w:r>
      <w:r>
        <w:rPr>
          <w:spacing w:val="-2"/>
        </w:rPr>
        <w:t>request.</w:t>
      </w:r>
    </w:p>
    <w:p>
      <w:pPr>
        <w:pStyle w:val="BodyText"/>
        <w:spacing w:before="118"/>
        <w:ind w:left="2246" w:right="2243" w:firstLine="566"/>
        <w:jc w:val="both"/>
      </w:pPr>
      <w:r>
        <w:rPr/>
        <w:t>This</w:t>
      </w:r>
      <w:r>
        <w:rPr>
          <w:spacing w:val="-5"/>
        </w:rPr>
        <w:t> </w:t>
      </w:r>
      <w:r>
        <w:rPr/>
        <w:t>budget</w:t>
      </w:r>
      <w:r>
        <w:rPr>
          <w:spacing w:val="-2"/>
        </w:rPr>
        <w:t> </w:t>
      </w:r>
      <w:r>
        <w:rPr/>
        <w:t>document represents</w:t>
      </w:r>
      <w:r>
        <w:rPr>
          <w:spacing w:val="-5"/>
        </w:rPr>
        <w:t> </w:t>
      </w:r>
      <w:r>
        <w:rPr/>
        <w:t>the</w:t>
      </w:r>
      <w:r>
        <w:rPr>
          <w:spacing w:val="-2"/>
        </w:rPr>
        <w:t> </w:t>
      </w:r>
      <w:r>
        <w:rPr/>
        <w:t>vision</w:t>
      </w:r>
      <w:r>
        <w:rPr>
          <w:spacing w:val="-4"/>
        </w:rPr>
        <w:t> </w:t>
      </w:r>
      <w:r>
        <w:rPr/>
        <w:t>and</w:t>
      </w:r>
      <w:r>
        <w:rPr>
          <w:spacing w:val="-4"/>
        </w:rPr>
        <w:t> </w:t>
      </w:r>
      <w:r>
        <w:rPr/>
        <w:t>plans of</w:t>
      </w:r>
      <w:r>
        <w:rPr>
          <w:spacing w:val="-8"/>
        </w:rPr>
        <w:t> </w:t>
      </w:r>
      <w:r>
        <w:rPr/>
        <w:t>the</w:t>
      </w:r>
      <w:r>
        <w:rPr>
          <w:spacing w:val="-7"/>
        </w:rPr>
        <w:t> </w:t>
      </w:r>
      <w:r>
        <w:rPr/>
        <w:t>Court</w:t>
      </w:r>
      <w:r>
        <w:rPr>
          <w:spacing w:val="-2"/>
        </w:rPr>
        <w:t> </w:t>
      </w:r>
      <w:r>
        <w:rPr/>
        <w:t>and</w:t>
      </w:r>
      <w:r>
        <w:rPr>
          <w:spacing w:val="-4"/>
        </w:rPr>
        <w:t> </w:t>
      </w:r>
      <w:r>
        <w:rPr/>
        <w:t>its</w:t>
      </w:r>
      <w:r>
        <w:rPr>
          <w:spacing w:val="-5"/>
        </w:rPr>
        <w:t> </w:t>
      </w:r>
      <w:r>
        <w:rPr/>
        <w:t>leadership. The priorities set out in the Court-wide and organ-specific strategic plans for the period 2023-2025</w:t>
      </w:r>
      <w:r>
        <w:rPr>
          <w:spacing w:val="-13"/>
        </w:rPr>
        <w:t> </w:t>
      </w:r>
      <w:r>
        <w:rPr/>
        <w:t>are</w:t>
      </w:r>
      <w:r>
        <w:rPr>
          <w:spacing w:val="-12"/>
        </w:rPr>
        <w:t> </w:t>
      </w:r>
      <w:r>
        <w:rPr/>
        <w:t>a</w:t>
      </w:r>
      <w:r>
        <w:rPr>
          <w:spacing w:val="-13"/>
        </w:rPr>
        <w:t> </w:t>
      </w:r>
      <w:r>
        <w:rPr/>
        <w:t>testament</w:t>
      </w:r>
      <w:r>
        <w:rPr>
          <w:spacing w:val="-12"/>
        </w:rPr>
        <w:t> </w:t>
      </w:r>
      <w:r>
        <w:rPr/>
        <w:t>to</w:t>
      </w:r>
      <w:r>
        <w:rPr>
          <w:spacing w:val="-13"/>
        </w:rPr>
        <w:t> </w:t>
      </w:r>
      <w:r>
        <w:rPr/>
        <w:t>the</w:t>
      </w:r>
      <w:r>
        <w:rPr>
          <w:spacing w:val="-11"/>
        </w:rPr>
        <w:t> </w:t>
      </w:r>
      <w:r>
        <w:rPr/>
        <w:t>Court’s</w:t>
      </w:r>
      <w:r>
        <w:rPr>
          <w:spacing w:val="-13"/>
        </w:rPr>
        <w:t> </w:t>
      </w:r>
      <w:r>
        <w:rPr/>
        <w:t>reinforced</w:t>
      </w:r>
      <w:r>
        <w:rPr>
          <w:spacing w:val="-12"/>
        </w:rPr>
        <w:t> </w:t>
      </w:r>
      <w:r>
        <w:rPr/>
        <w:t>commitment</w:t>
      </w:r>
      <w:r>
        <w:rPr>
          <w:spacing w:val="-11"/>
        </w:rPr>
        <w:t> </w:t>
      </w:r>
      <w:r>
        <w:rPr/>
        <w:t>to</w:t>
      </w:r>
      <w:r>
        <w:rPr>
          <w:spacing w:val="-13"/>
        </w:rPr>
        <w:t> </w:t>
      </w:r>
      <w:r>
        <w:rPr/>
        <w:t>enhancing</w:t>
      </w:r>
      <w:r>
        <w:rPr>
          <w:spacing w:val="-12"/>
        </w:rPr>
        <w:t> </w:t>
      </w:r>
      <w:r>
        <w:rPr/>
        <w:t>its</w:t>
      </w:r>
      <w:r>
        <w:rPr>
          <w:spacing w:val="-13"/>
        </w:rPr>
        <w:t> </w:t>
      </w:r>
      <w:r>
        <w:rPr/>
        <w:t>functioning and performance through a disciplined budget that adequately meets the operational and resource needs</w:t>
      </w:r>
      <w:r>
        <w:rPr>
          <w:spacing w:val="-5"/>
        </w:rPr>
        <w:t> </w:t>
      </w:r>
      <w:r>
        <w:rPr/>
        <w:t>of the Court. An</w:t>
      </w:r>
      <w:r>
        <w:rPr>
          <w:spacing w:val="-4"/>
        </w:rPr>
        <w:t> </w:t>
      </w:r>
      <w:r>
        <w:rPr/>
        <w:t>integral part of the strategic</w:t>
      </w:r>
      <w:r>
        <w:rPr>
          <w:spacing w:val="-2"/>
        </w:rPr>
        <w:t> </w:t>
      </w:r>
      <w:r>
        <w:rPr/>
        <w:t>plans</w:t>
      </w:r>
      <w:r>
        <w:rPr>
          <w:spacing w:val="-5"/>
        </w:rPr>
        <w:t> </w:t>
      </w:r>
      <w:r>
        <w:rPr/>
        <w:t>is formed</w:t>
      </w:r>
      <w:r>
        <w:rPr>
          <w:spacing w:val="-4"/>
        </w:rPr>
        <w:t> </w:t>
      </w:r>
      <w:r>
        <w:rPr/>
        <w:t>by the findings and recommendations of the Independent Expert Review. We are fully committed to the review process and to implementing the relevant recommendations, in close consultation with and with guidance from the States Parties.</w:t>
      </w:r>
    </w:p>
    <w:p>
      <w:pPr>
        <w:pStyle w:val="BodyText"/>
        <w:spacing w:before="124"/>
        <w:ind w:left="2246" w:right="2240" w:firstLine="566"/>
        <w:jc w:val="both"/>
      </w:pPr>
      <w:r>
        <w:rPr/>
        <w:t>We</w:t>
      </w:r>
      <w:r>
        <w:rPr>
          <w:spacing w:val="-13"/>
        </w:rPr>
        <w:t> </w:t>
      </w:r>
      <w:r>
        <w:rPr/>
        <w:t>believe</w:t>
      </w:r>
      <w:r>
        <w:rPr>
          <w:spacing w:val="-12"/>
        </w:rPr>
        <w:t> </w:t>
      </w:r>
      <w:r>
        <w:rPr/>
        <w:t>that</w:t>
      </w:r>
      <w:r>
        <w:rPr>
          <w:spacing w:val="-13"/>
        </w:rPr>
        <w:t> </w:t>
      </w:r>
      <w:r>
        <w:rPr/>
        <w:t>the</w:t>
      </w:r>
      <w:r>
        <w:rPr>
          <w:spacing w:val="-12"/>
        </w:rPr>
        <w:t> </w:t>
      </w:r>
      <w:r>
        <w:rPr/>
        <w:t>requested</w:t>
      </w:r>
      <w:r>
        <w:rPr>
          <w:spacing w:val="-13"/>
        </w:rPr>
        <w:t> </w:t>
      </w:r>
      <w:r>
        <w:rPr/>
        <w:t>funds</w:t>
      </w:r>
      <w:r>
        <w:rPr>
          <w:spacing w:val="-12"/>
        </w:rPr>
        <w:t> </w:t>
      </w:r>
      <w:r>
        <w:rPr/>
        <w:t>are</w:t>
      </w:r>
      <w:r>
        <w:rPr>
          <w:spacing w:val="-13"/>
        </w:rPr>
        <w:t> </w:t>
      </w:r>
      <w:r>
        <w:rPr/>
        <w:t>not</w:t>
      </w:r>
      <w:r>
        <w:rPr>
          <w:spacing w:val="-12"/>
        </w:rPr>
        <w:t> </w:t>
      </w:r>
      <w:r>
        <w:rPr/>
        <w:t>only</w:t>
      </w:r>
      <w:r>
        <w:rPr>
          <w:spacing w:val="-13"/>
        </w:rPr>
        <w:t> </w:t>
      </w:r>
      <w:r>
        <w:rPr/>
        <w:t>necessary</w:t>
      </w:r>
      <w:r>
        <w:rPr>
          <w:spacing w:val="-12"/>
        </w:rPr>
        <w:t> </w:t>
      </w:r>
      <w:r>
        <w:rPr/>
        <w:t>for</w:t>
      </w:r>
      <w:r>
        <w:rPr>
          <w:spacing w:val="-13"/>
        </w:rPr>
        <w:t> </w:t>
      </w:r>
      <w:r>
        <w:rPr/>
        <w:t>the</w:t>
      </w:r>
      <w:r>
        <w:rPr>
          <w:spacing w:val="-12"/>
        </w:rPr>
        <w:t> </w:t>
      </w:r>
      <w:r>
        <w:rPr/>
        <w:t>Court</w:t>
      </w:r>
      <w:r>
        <w:rPr>
          <w:spacing w:val="-13"/>
        </w:rPr>
        <w:t> </w:t>
      </w:r>
      <w:r>
        <w:rPr/>
        <w:t>to</w:t>
      </w:r>
      <w:r>
        <w:rPr>
          <w:spacing w:val="-12"/>
        </w:rPr>
        <w:t> </w:t>
      </w:r>
      <w:r>
        <w:rPr/>
        <w:t>do</w:t>
      </w:r>
      <w:r>
        <w:rPr>
          <w:spacing w:val="-13"/>
        </w:rPr>
        <w:t> </w:t>
      </w:r>
      <w:r>
        <w:rPr/>
        <w:t>the</w:t>
      </w:r>
      <w:r>
        <w:rPr>
          <w:spacing w:val="-12"/>
        </w:rPr>
        <w:t> </w:t>
      </w:r>
      <w:r>
        <w:rPr/>
        <w:t>work required of it in 2023 but that they will also contribute to increasing the sustainability and efficiency</w:t>
      </w:r>
      <w:r>
        <w:rPr>
          <w:spacing w:val="-1"/>
        </w:rPr>
        <w:t> </w:t>
      </w:r>
      <w:r>
        <w:rPr/>
        <w:t>of</w:t>
      </w:r>
      <w:r>
        <w:rPr>
          <w:spacing w:val="-1"/>
        </w:rPr>
        <w:t> </w:t>
      </w:r>
      <w:r>
        <w:rPr/>
        <w:t>the Court’s</w:t>
      </w:r>
      <w:r>
        <w:rPr>
          <w:spacing w:val="-6"/>
        </w:rPr>
        <w:t> </w:t>
      </w:r>
      <w:r>
        <w:rPr/>
        <w:t>functioning</w:t>
      </w:r>
      <w:r>
        <w:rPr>
          <w:spacing w:val="-1"/>
        </w:rPr>
        <w:t> </w:t>
      </w:r>
      <w:r>
        <w:rPr/>
        <w:t>in</w:t>
      </w:r>
      <w:r>
        <w:rPr>
          <w:spacing w:val="-5"/>
        </w:rPr>
        <w:t> </w:t>
      </w:r>
      <w:r>
        <w:rPr/>
        <w:t>the future,</w:t>
      </w:r>
      <w:r>
        <w:rPr>
          <w:spacing w:val="-3"/>
        </w:rPr>
        <w:t> </w:t>
      </w:r>
      <w:r>
        <w:rPr/>
        <w:t>mainly</w:t>
      </w:r>
      <w:r>
        <w:rPr>
          <w:spacing w:val="-2"/>
        </w:rPr>
        <w:t> </w:t>
      </w:r>
      <w:r>
        <w:rPr/>
        <w:t>through</w:t>
      </w:r>
      <w:r>
        <w:rPr>
          <w:spacing w:val="-5"/>
        </w:rPr>
        <w:t> </w:t>
      </w:r>
      <w:r>
        <w:rPr/>
        <w:t>more</w:t>
      </w:r>
      <w:r>
        <w:rPr>
          <w:spacing w:val="-3"/>
        </w:rPr>
        <w:t> </w:t>
      </w:r>
      <w:r>
        <w:rPr/>
        <w:t>expeditious</w:t>
      </w:r>
      <w:r>
        <w:rPr>
          <w:spacing w:val="-6"/>
        </w:rPr>
        <w:t> </w:t>
      </w:r>
      <w:r>
        <w:rPr/>
        <w:t>judicial proceedings and enhanced fair trial safeguards; more effective and focused preliminary examinations, investigations and prosecutions; enhanced impact on the ground; and a more </w:t>
      </w:r>
      <w:r>
        <w:rPr>
          <w:spacing w:val="-2"/>
        </w:rPr>
        <w:t>secure</w:t>
      </w:r>
      <w:r>
        <w:rPr>
          <w:spacing w:val="-11"/>
        </w:rPr>
        <w:t> </w:t>
      </w:r>
      <w:r>
        <w:rPr>
          <w:spacing w:val="-2"/>
        </w:rPr>
        <w:t>information</w:t>
      </w:r>
      <w:r>
        <w:rPr>
          <w:spacing w:val="-10"/>
        </w:rPr>
        <w:t> </w:t>
      </w:r>
      <w:r>
        <w:rPr>
          <w:spacing w:val="-2"/>
        </w:rPr>
        <w:t>environment</w:t>
      </w:r>
      <w:r>
        <w:rPr>
          <w:spacing w:val="-11"/>
        </w:rPr>
        <w:t> </w:t>
      </w:r>
      <w:r>
        <w:rPr>
          <w:spacing w:val="-2"/>
        </w:rPr>
        <w:t>for</w:t>
      </w:r>
      <w:r>
        <w:rPr>
          <w:spacing w:val="-10"/>
        </w:rPr>
        <w:t> </w:t>
      </w:r>
      <w:r>
        <w:rPr>
          <w:spacing w:val="-2"/>
        </w:rPr>
        <w:t>the</w:t>
      </w:r>
      <w:r>
        <w:rPr>
          <w:spacing w:val="-9"/>
        </w:rPr>
        <w:t> </w:t>
      </w:r>
      <w:r>
        <w:rPr>
          <w:spacing w:val="-2"/>
        </w:rPr>
        <w:t>Court’s</w:t>
      </w:r>
      <w:r>
        <w:rPr>
          <w:spacing w:val="-11"/>
        </w:rPr>
        <w:t> </w:t>
      </w:r>
      <w:r>
        <w:rPr>
          <w:spacing w:val="-2"/>
        </w:rPr>
        <w:t>operations.</w:t>
      </w:r>
      <w:r>
        <w:rPr>
          <w:spacing w:val="-9"/>
        </w:rPr>
        <w:t> </w:t>
      </w:r>
      <w:r>
        <w:rPr>
          <w:spacing w:val="-2"/>
        </w:rPr>
        <w:t>In</w:t>
      </w:r>
      <w:r>
        <w:rPr>
          <w:spacing w:val="-11"/>
        </w:rPr>
        <w:t> </w:t>
      </w:r>
      <w:r>
        <w:rPr>
          <w:spacing w:val="-2"/>
        </w:rPr>
        <w:t>essence,</w:t>
      </w:r>
      <w:r>
        <w:rPr>
          <w:spacing w:val="-9"/>
        </w:rPr>
        <w:t> </w:t>
      </w:r>
      <w:r>
        <w:rPr>
          <w:spacing w:val="-2"/>
        </w:rPr>
        <w:t>achieving</w:t>
      </w:r>
      <w:r>
        <w:rPr>
          <w:spacing w:val="-6"/>
        </w:rPr>
        <w:t> </w:t>
      </w:r>
      <w:r>
        <w:rPr>
          <w:spacing w:val="-2"/>
        </w:rPr>
        <w:t>such</w:t>
      </w:r>
      <w:r>
        <w:rPr>
          <w:spacing w:val="-11"/>
        </w:rPr>
        <w:t> </w:t>
      </w:r>
      <w:r>
        <w:rPr>
          <w:spacing w:val="-2"/>
        </w:rPr>
        <w:t>capacity </w:t>
      </w:r>
      <w:r>
        <w:rPr/>
        <w:t>goes to the core of the Court’s statutory duty towards the victims, survivors and affected communities</w:t>
      </w:r>
      <w:r>
        <w:rPr>
          <w:spacing w:val="-6"/>
        </w:rPr>
        <w:t> </w:t>
      </w:r>
      <w:r>
        <w:rPr/>
        <w:t>who</w:t>
      </w:r>
      <w:r>
        <w:rPr>
          <w:spacing w:val="-4"/>
        </w:rPr>
        <w:t> </w:t>
      </w:r>
      <w:r>
        <w:rPr/>
        <w:t>continue</w:t>
      </w:r>
      <w:r>
        <w:rPr>
          <w:spacing w:val="-2"/>
        </w:rPr>
        <w:t> </w:t>
      </w:r>
      <w:r>
        <w:rPr/>
        <w:t>to</w:t>
      </w:r>
      <w:r>
        <w:rPr>
          <w:spacing w:val="-4"/>
        </w:rPr>
        <w:t> </w:t>
      </w:r>
      <w:r>
        <w:rPr/>
        <w:t>look</w:t>
      </w:r>
      <w:r>
        <w:rPr>
          <w:spacing w:val="-4"/>
        </w:rPr>
        <w:t> </w:t>
      </w:r>
      <w:r>
        <w:rPr/>
        <w:t>to</w:t>
      </w:r>
      <w:r>
        <w:rPr>
          <w:spacing w:val="-4"/>
        </w:rPr>
        <w:t> </w:t>
      </w:r>
      <w:r>
        <w:rPr/>
        <w:t>our</w:t>
      </w:r>
      <w:r>
        <w:rPr>
          <w:spacing w:val="-4"/>
        </w:rPr>
        <w:t> </w:t>
      </w:r>
      <w:r>
        <w:rPr/>
        <w:t>organization with</w:t>
      </w:r>
      <w:r>
        <w:rPr>
          <w:spacing w:val="-4"/>
        </w:rPr>
        <w:t> </w:t>
      </w:r>
      <w:r>
        <w:rPr/>
        <w:t>hope and</w:t>
      </w:r>
      <w:r>
        <w:rPr>
          <w:spacing w:val="-4"/>
        </w:rPr>
        <w:t> </w:t>
      </w:r>
      <w:r>
        <w:rPr/>
        <w:t>expectation.</w:t>
      </w:r>
    </w:p>
    <w:p>
      <w:pPr>
        <w:pStyle w:val="BodyText"/>
        <w:spacing w:before="119"/>
        <w:ind w:left="2246" w:right="2241" w:firstLine="566"/>
        <w:jc w:val="both"/>
      </w:pPr>
      <w:r>
        <w:rPr/>
        <w:t>We</w:t>
      </w:r>
      <w:r>
        <w:rPr>
          <w:spacing w:val="-3"/>
        </w:rPr>
        <w:t> </w:t>
      </w:r>
      <w:r>
        <w:rPr/>
        <w:t>hope that</w:t>
      </w:r>
      <w:r>
        <w:rPr>
          <w:spacing w:val="-3"/>
        </w:rPr>
        <w:t> </w:t>
      </w:r>
      <w:r>
        <w:rPr/>
        <w:t>the</w:t>
      </w:r>
      <w:r>
        <w:rPr>
          <w:spacing w:val="-3"/>
        </w:rPr>
        <w:t> </w:t>
      </w:r>
      <w:r>
        <w:rPr/>
        <w:t>carefully formulated Proposed Programme</w:t>
      </w:r>
      <w:r>
        <w:rPr>
          <w:spacing w:val="-3"/>
        </w:rPr>
        <w:t> </w:t>
      </w:r>
      <w:r>
        <w:rPr/>
        <w:t>Budget for</w:t>
      </w:r>
      <w:r>
        <w:rPr>
          <w:spacing w:val="-5"/>
        </w:rPr>
        <w:t> </w:t>
      </w:r>
      <w:r>
        <w:rPr/>
        <w:t>2023</w:t>
      </w:r>
      <w:r>
        <w:rPr>
          <w:spacing w:val="-5"/>
        </w:rPr>
        <w:t> </w:t>
      </w:r>
      <w:r>
        <w:rPr/>
        <w:t>will be received with the Assembly’s understanding and approval. The Court remains available to engage in dialogue with the States Parties and the Assembly on its proposal, in our joint commitment</w:t>
      </w:r>
      <w:r>
        <w:rPr>
          <w:spacing w:val="-3"/>
        </w:rPr>
        <w:t> </w:t>
      </w:r>
      <w:r>
        <w:rPr/>
        <w:t>to the Rome Statute system of international</w:t>
      </w:r>
      <w:r>
        <w:rPr>
          <w:spacing w:val="-3"/>
        </w:rPr>
        <w:t> </w:t>
      </w:r>
      <w:r>
        <w:rPr/>
        <w:t>criminal justice. We thank you for your consideration.</w:t>
      </w:r>
    </w:p>
    <w:p>
      <w:pPr>
        <w:pStyle w:val="BodyText"/>
        <w:spacing w:before="8"/>
        <w:rPr>
          <w:sz w:val="21"/>
        </w:rPr>
      </w:pPr>
    </w:p>
    <w:tbl>
      <w:tblPr>
        <w:tblW w:w="0" w:type="auto"/>
        <w:jc w:val="left"/>
        <w:tblInd w:w="2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05"/>
        <w:gridCol w:w="3369"/>
        <w:gridCol w:w="1797"/>
      </w:tblGrid>
      <w:tr>
        <w:trPr>
          <w:trHeight w:val="344" w:hRule="atLeast"/>
        </w:trPr>
        <w:tc>
          <w:tcPr>
            <w:tcW w:w="2205" w:type="dxa"/>
          </w:tcPr>
          <w:p>
            <w:pPr>
              <w:pStyle w:val="TableParagraph"/>
              <w:spacing w:line="223" w:lineRule="exact"/>
              <w:ind w:left="50"/>
              <w:jc w:val="left"/>
              <w:rPr>
                <w:sz w:val="20"/>
              </w:rPr>
            </w:pPr>
            <w:r>
              <w:rPr>
                <w:sz w:val="20"/>
              </w:rPr>
              <w:t>Yours</w:t>
            </w:r>
            <w:r>
              <w:rPr>
                <w:spacing w:val="-1"/>
                <w:sz w:val="20"/>
              </w:rPr>
              <w:t> </w:t>
            </w:r>
            <w:r>
              <w:rPr>
                <w:spacing w:val="-2"/>
                <w:sz w:val="20"/>
              </w:rPr>
              <w:t>faithfully,</w:t>
            </w:r>
          </w:p>
        </w:tc>
        <w:tc>
          <w:tcPr>
            <w:tcW w:w="3369" w:type="dxa"/>
          </w:tcPr>
          <w:p>
            <w:pPr>
              <w:pStyle w:val="TableParagraph"/>
              <w:jc w:val="left"/>
              <w:rPr>
                <w:sz w:val="20"/>
              </w:rPr>
            </w:pPr>
          </w:p>
        </w:tc>
        <w:tc>
          <w:tcPr>
            <w:tcW w:w="1797" w:type="dxa"/>
          </w:tcPr>
          <w:p>
            <w:pPr>
              <w:pStyle w:val="TableParagraph"/>
              <w:jc w:val="left"/>
              <w:rPr>
                <w:sz w:val="20"/>
              </w:rPr>
            </w:pPr>
          </w:p>
        </w:tc>
      </w:tr>
      <w:tr>
        <w:trPr>
          <w:trHeight w:val="468" w:hRule="atLeast"/>
        </w:trPr>
        <w:tc>
          <w:tcPr>
            <w:tcW w:w="2205" w:type="dxa"/>
          </w:tcPr>
          <w:p>
            <w:pPr>
              <w:pStyle w:val="TableParagraph"/>
              <w:spacing w:before="114"/>
              <w:ind w:left="102"/>
              <w:jc w:val="left"/>
              <w:rPr>
                <w:i/>
                <w:sz w:val="20"/>
              </w:rPr>
            </w:pPr>
            <w:r>
              <w:rPr>
                <w:i/>
                <w:spacing w:val="-2"/>
                <w:sz w:val="20"/>
              </w:rPr>
              <w:t>[Signed]</w:t>
            </w:r>
          </w:p>
        </w:tc>
        <w:tc>
          <w:tcPr>
            <w:tcW w:w="3369" w:type="dxa"/>
          </w:tcPr>
          <w:p>
            <w:pPr>
              <w:pStyle w:val="TableParagraph"/>
              <w:spacing w:before="114"/>
              <w:ind w:left="822"/>
              <w:jc w:val="left"/>
              <w:rPr>
                <w:i/>
                <w:sz w:val="20"/>
              </w:rPr>
            </w:pPr>
            <w:r>
              <w:rPr>
                <w:i/>
                <w:spacing w:val="-2"/>
                <w:sz w:val="20"/>
              </w:rPr>
              <w:t>[Signed]</w:t>
            </w:r>
          </w:p>
        </w:tc>
        <w:tc>
          <w:tcPr>
            <w:tcW w:w="1797" w:type="dxa"/>
          </w:tcPr>
          <w:p>
            <w:pPr>
              <w:pStyle w:val="TableParagraph"/>
              <w:spacing w:before="114"/>
              <w:ind w:left="713"/>
              <w:jc w:val="left"/>
              <w:rPr>
                <w:i/>
                <w:sz w:val="20"/>
              </w:rPr>
            </w:pPr>
            <w:r>
              <w:rPr>
                <w:i/>
                <w:spacing w:val="-2"/>
                <w:sz w:val="20"/>
              </w:rPr>
              <w:t>[Signed]</w:t>
            </w:r>
          </w:p>
        </w:tc>
      </w:tr>
      <w:tr>
        <w:trPr>
          <w:trHeight w:val="577" w:hRule="atLeast"/>
        </w:trPr>
        <w:tc>
          <w:tcPr>
            <w:tcW w:w="2205" w:type="dxa"/>
          </w:tcPr>
          <w:p>
            <w:pPr>
              <w:pStyle w:val="TableParagraph"/>
              <w:spacing w:line="230" w:lineRule="atLeast" w:before="97"/>
              <w:ind w:left="50" w:right="133"/>
              <w:jc w:val="left"/>
              <w:rPr>
                <w:sz w:val="20"/>
              </w:rPr>
            </w:pPr>
            <w:r>
              <w:rPr>
                <w:sz w:val="20"/>
              </w:rPr>
              <w:t>Piotr</w:t>
            </w:r>
            <w:r>
              <w:rPr>
                <w:spacing w:val="-13"/>
                <w:sz w:val="20"/>
              </w:rPr>
              <w:t> </w:t>
            </w:r>
            <w:r>
              <w:rPr>
                <w:sz w:val="20"/>
              </w:rPr>
              <w:t>Hofmański </w:t>
            </w:r>
            <w:r>
              <w:rPr>
                <w:spacing w:val="-2"/>
                <w:sz w:val="20"/>
              </w:rPr>
              <w:t>President</w:t>
            </w:r>
          </w:p>
        </w:tc>
        <w:tc>
          <w:tcPr>
            <w:tcW w:w="3369" w:type="dxa"/>
          </w:tcPr>
          <w:p>
            <w:pPr>
              <w:pStyle w:val="TableParagraph"/>
              <w:spacing w:line="230" w:lineRule="atLeast" w:before="97"/>
              <w:ind w:left="822"/>
              <w:jc w:val="left"/>
              <w:rPr>
                <w:sz w:val="20"/>
              </w:rPr>
            </w:pPr>
            <w:r>
              <w:rPr>
                <w:sz w:val="20"/>
              </w:rPr>
              <w:t>Karim</w:t>
            </w:r>
            <w:r>
              <w:rPr>
                <w:spacing w:val="-5"/>
                <w:sz w:val="20"/>
              </w:rPr>
              <w:t> </w:t>
            </w:r>
            <w:r>
              <w:rPr>
                <w:sz w:val="20"/>
              </w:rPr>
              <w:t>A.</w:t>
            </w:r>
            <w:r>
              <w:rPr>
                <w:spacing w:val="-4"/>
                <w:sz w:val="20"/>
              </w:rPr>
              <w:t> </w:t>
            </w:r>
            <w:r>
              <w:rPr>
                <w:sz w:val="20"/>
              </w:rPr>
              <w:t>A.</w:t>
            </w:r>
            <w:r>
              <w:rPr>
                <w:spacing w:val="-4"/>
                <w:sz w:val="20"/>
              </w:rPr>
              <w:t> </w:t>
            </w:r>
            <w:r>
              <w:rPr>
                <w:sz w:val="20"/>
              </w:rPr>
              <w:t>Khan</w:t>
            </w:r>
            <w:r>
              <w:rPr>
                <w:spacing w:val="-6"/>
                <w:sz w:val="20"/>
              </w:rPr>
              <w:t> </w:t>
            </w:r>
            <w:r>
              <w:rPr>
                <w:sz w:val="20"/>
              </w:rPr>
              <w:t>QC </w:t>
            </w:r>
            <w:r>
              <w:rPr>
                <w:spacing w:val="-2"/>
                <w:sz w:val="20"/>
              </w:rPr>
              <w:t>Prosecutor</w:t>
            </w:r>
          </w:p>
        </w:tc>
        <w:tc>
          <w:tcPr>
            <w:tcW w:w="1797" w:type="dxa"/>
          </w:tcPr>
          <w:p>
            <w:pPr>
              <w:pStyle w:val="TableParagraph"/>
              <w:spacing w:line="230" w:lineRule="atLeast" w:before="97"/>
              <w:ind w:left="713"/>
              <w:jc w:val="left"/>
              <w:rPr>
                <w:sz w:val="20"/>
              </w:rPr>
            </w:pPr>
            <w:r>
              <w:rPr>
                <w:sz w:val="20"/>
              </w:rPr>
              <w:t>Peter</w:t>
            </w:r>
            <w:r>
              <w:rPr>
                <w:spacing w:val="40"/>
                <w:sz w:val="20"/>
              </w:rPr>
              <w:t> </w:t>
            </w:r>
            <w:r>
              <w:rPr>
                <w:sz w:val="20"/>
              </w:rPr>
              <w:t>Lewis </w:t>
            </w:r>
            <w:r>
              <w:rPr>
                <w:spacing w:val="-2"/>
                <w:sz w:val="20"/>
              </w:rPr>
              <w:t>Registrar</w:t>
            </w:r>
          </w:p>
        </w:tc>
      </w:tr>
    </w:tbl>
    <w:p>
      <w:pPr>
        <w:spacing w:after="0" w:line="230" w:lineRule="atLeast"/>
        <w:jc w:val="left"/>
        <w:rPr>
          <w:sz w:val="20"/>
        </w:rPr>
        <w:sectPr>
          <w:pgSz w:w="11910" w:h="16840"/>
          <w:pgMar w:header="953" w:footer="940" w:top="1140" w:bottom="1140" w:left="20" w:right="20"/>
        </w:sectPr>
      </w:pPr>
    </w:p>
    <w:p>
      <w:pPr>
        <w:pStyle w:val="BodyText"/>
        <w:spacing w:before="9"/>
        <w:rPr>
          <w:sz w:val="9"/>
        </w:rPr>
      </w:pPr>
    </w:p>
    <w:p>
      <w:pPr>
        <w:pStyle w:val="Heading1"/>
        <w:numPr>
          <w:ilvl w:val="0"/>
          <w:numId w:val="3"/>
        </w:numPr>
        <w:tabs>
          <w:tab w:pos="2246" w:val="left" w:leader="none"/>
          <w:tab w:pos="2247" w:val="left" w:leader="none"/>
        </w:tabs>
        <w:spacing w:line="240" w:lineRule="auto" w:before="87" w:after="0"/>
        <w:ind w:left="2246" w:right="2254" w:hanging="606"/>
        <w:jc w:val="left"/>
      </w:pPr>
      <w:bookmarkStart w:name="_bookmark2" w:id="3"/>
      <w:bookmarkEnd w:id="3"/>
      <w:r>
        <w:rPr/>
        <w:t>Ove</w:t>
      </w:r>
      <w:r>
        <w:rPr/>
        <w:t>rview</w:t>
      </w:r>
      <w:r>
        <w:rPr>
          <w:spacing w:val="80"/>
        </w:rPr>
        <w:t> </w:t>
      </w:r>
      <w:r>
        <w:rPr/>
        <w:t>of</w:t>
      </w:r>
      <w:r>
        <w:rPr>
          <w:spacing w:val="80"/>
        </w:rPr>
        <w:t> </w:t>
      </w:r>
      <w:r>
        <w:rPr/>
        <w:t>the</w:t>
      </w:r>
      <w:r>
        <w:rPr>
          <w:spacing w:val="80"/>
        </w:rPr>
        <w:t> </w:t>
      </w:r>
      <w:r>
        <w:rPr/>
        <w:t>Proposed</w:t>
      </w:r>
      <w:r>
        <w:rPr>
          <w:spacing w:val="80"/>
        </w:rPr>
        <w:t> </w:t>
      </w:r>
      <w:r>
        <w:rPr/>
        <w:t>Programme</w:t>
      </w:r>
      <w:r>
        <w:rPr>
          <w:spacing w:val="80"/>
        </w:rPr>
        <w:t> </w:t>
      </w:r>
      <w:r>
        <w:rPr/>
        <w:t>Budget</w:t>
      </w:r>
      <w:r>
        <w:rPr>
          <w:spacing w:val="80"/>
        </w:rPr>
        <w:t> </w:t>
      </w:r>
      <w:r>
        <w:rPr/>
        <w:t>for</w:t>
      </w:r>
      <w:r>
        <w:rPr>
          <w:spacing w:val="80"/>
        </w:rPr>
        <w:t> </w:t>
      </w:r>
      <w:r>
        <w:rPr/>
        <w:t>2023, budget priorities and operating parameters</w:t>
      </w:r>
    </w:p>
    <w:p>
      <w:pPr>
        <w:pStyle w:val="Heading2"/>
        <w:numPr>
          <w:ilvl w:val="1"/>
          <w:numId w:val="3"/>
        </w:numPr>
        <w:tabs>
          <w:tab w:pos="2246" w:val="left" w:leader="none"/>
          <w:tab w:pos="2247" w:val="left" w:leader="none"/>
        </w:tabs>
        <w:spacing w:line="240" w:lineRule="auto" w:before="243" w:after="0"/>
        <w:ind w:left="2246" w:right="0" w:hanging="568"/>
        <w:jc w:val="left"/>
      </w:pPr>
      <w:bookmarkStart w:name="_bookmark3" w:id="4"/>
      <w:bookmarkEnd w:id="4"/>
      <w:r>
        <w:rPr>
          <w:spacing w:val="-2"/>
        </w:rPr>
        <w:t>I</w:t>
      </w:r>
      <w:r>
        <w:rPr>
          <w:spacing w:val="-2"/>
        </w:rPr>
        <w:t>ntroduction</w:t>
      </w:r>
    </w:p>
    <w:p>
      <w:pPr>
        <w:pStyle w:val="BodyText"/>
        <w:rPr>
          <w:b/>
          <w:sz w:val="21"/>
        </w:rPr>
      </w:pPr>
    </w:p>
    <w:p>
      <w:pPr>
        <w:pStyle w:val="ListParagraph"/>
        <w:numPr>
          <w:ilvl w:val="2"/>
          <w:numId w:val="3"/>
        </w:numPr>
        <w:tabs>
          <w:tab w:pos="2966" w:val="left" w:leader="none"/>
          <w:tab w:pos="2967" w:val="left" w:leader="none"/>
        </w:tabs>
        <w:spacing w:line="240" w:lineRule="auto" w:before="0" w:after="0"/>
        <w:ind w:left="2246" w:right="2238" w:firstLine="0"/>
        <w:jc w:val="both"/>
        <w:rPr>
          <w:sz w:val="20"/>
        </w:rPr>
      </w:pPr>
      <w:bookmarkStart w:name="_bookmark4" w:id="5"/>
      <w:bookmarkEnd w:id="5"/>
      <w:r>
        <w:rPr>
          <w:sz w:val="20"/>
        </w:rPr>
        <w:t>T</w:t>
      </w:r>
      <w:r>
        <w:rPr>
          <w:sz w:val="20"/>
        </w:rPr>
        <w:t>he</w:t>
      </w:r>
      <w:r>
        <w:rPr>
          <w:spacing w:val="-2"/>
          <w:sz w:val="20"/>
        </w:rPr>
        <w:t> </w:t>
      </w:r>
      <w:r>
        <w:rPr>
          <w:sz w:val="20"/>
        </w:rPr>
        <w:t>International</w:t>
      </w:r>
      <w:r>
        <w:rPr>
          <w:spacing w:val="-2"/>
          <w:sz w:val="20"/>
        </w:rPr>
        <w:t> </w:t>
      </w:r>
      <w:r>
        <w:rPr>
          <w:sz w:val="20"/>
        </w:rPr>
        <w:t>Criminal</w:t>
      </w:r>
      <w:r>
        <w:rPr>
          <w:spacing w:val="-2"/>
          <w:sz w:val="20"/>
        </w:rPr>
        <w:t> </w:t>
      </w:r>
      <w:r>
        <w:rPr>
          <w:sz w:val="20"/>
        </w:rPr>
        <w:t>Court</w:t>
      </w:r>
      <w:r>
        <w:rPr>
          <w:spacing w:val="-2"/>
          <w:sz w:val="20"/>
        </w:rPr>
        <w:t> </w:t>
      </w:r>
      <w:r>
        <w:rPr>
          <w:sz w:val="20"/>
        </w:rPr>
        <w:t>(“the</w:t>
      </w:r>
      <w:r>
        <w:rPr>
          <w:spacing w:val="-7"/>
          <w:sz w:val="20"/>
        </w:rPr>
        <w:t> </w:t>
      </w:r>
      <w:r>
        <w:rPr>
          <w:sz w:val="20"/>
        </w:rPr>
        <w:t>Court”)</w:t>
      </w:r>
      <w:r>
        <w:rPr>
          <w:spacing w:val="-4"/>
          <w:sz w:val="20"/>
        </w:rPr>
        <w:t> </w:t>
      </w:r>
      <w:r>
        <w:rPr>
          <w:sz w:val="20"/>
        </w:rPr>
        <w:t>was</w:t>
      </w:r>
      <w:r>
        <w:rPr>
          <w:spacing w:val="-5"/>
          <w:sz w:val="20"/>
        </w:rPr>
        <w:t> </w:t>
      </w:r>
      <w:r>
        <w:rPr>
          <w:sz w:val="20"/>
        </w:rPr>
        <w:t>established</w:t>
      </w:r>
      <w:r>
        <w:rPr>
          <w:spacing w:val="-4"/>
          <w:sz w:val="20"/>
        </w:rPr>
        <w:t> </w:t>
      </w:r>
      <w:r>
        <w:rPr>
          <w:sz w:val="20"/>
        </w:rPr>
        <w:t>20</w:t>
      </w:r>
      <w:r>
        <w:rPr>
          <w:spacing w:val="-4"/>
          <w:sz w:val="20"/>
        </w:rPr>
        <w:t> </w:t>
      </w:r>
      <w:r>
        <w:rPr>
          <w:sz w:val="20"/>
        </w:rPr>
        <w:t>years</w:t>
      </w:r>
      <w:r>
        <w:rPr>
          <w:spacing w:val="-5"/>
          <w:sz w:val="20"/>
        </w:rPr>
        <w:t> </w:t>
      </w:r>
      <w:r>
        <w:rPr>
          <w:sz w:val="20"/>
        </w:rPr>
        <w:t>ago</w:t>
      </w:r>
      <w:r>
        <w:rPr>
          <w:spacing w:val="-8"/>
          <w:sz w:val="20"/>
        </w:rPr>
        <w:t> </w:t>
      </w:r>
      <w:r>
        <w:rPr>
          <w:sz w:val="20"/>
        </w:rPr>
        <w:t>by</w:t>
      </w:r>
      <w:r>
        <w:rPr>
          <w:spacing w:val="-4"/>
          <w:sz w:val="20"/>
        </w:rPr>
        <w:t> </w:t>
      </w:r>
      <w:r>
        <w:rPr>
          <w:sz w:val="20"/>
        </w:rPr>
        <w:t>the Rome Statute – adopted 24 years ago – as the only independent, permanent international court with jurisdiction over the most serious crimes of international concern. The Court’s jurisdiction is complementary to that of domestic criminal courts, meaning that it acts only when</w:t>
      </w:r>
      <w:r>
        <w:rPr>
          <w:spacing w:val="-4"/>
          <w:sz w:val="20"/>
        </w:rPr>
        <w:t> </w:t>
      </w:r>
      <w:r>
        <w:rPr>
          <w:sz w:val="20"/>
        </w:rPr>
        <w:t>a</w:t>
      </w:r>
      <w:r>
        <w:rPr>
          <w:spacing w:val="-2"/>
          <w:sz w:val="20"/>
        </w:rPr>
        <w:t> </w:t>
      </w:r>
      <w:r>
        <w:rPr>
          <w:sz w:val="20"/>
        </w:rPr>
        <w:t>State</w:t>
      </w:r>
      <w:r>
        <w:rPr>
          <w:spacing w:val="-2"/>
          <w:sz w:val="20"/>
        </w:rPr>
        <w:t> </w:t>
      </w:r>
      <w:r>
        <w:rPr>
          <w:sz w:val="20"/>
        </w:rPr>
        <w:t>is</w:t>
      </w:r>
      <w:r>
        <w:rPr>
          <w:spacing w:val="-5"/>
          <w:sz w:val="20"/>
        </w:rPr>
        <w:t> </w:t>
      </w:r>
      <w:r>
        <w:rPr>
          <w:sz w:val="20"/>
        </w:rPr>
        <w:t>unwilling</w:t>
      </w:r>
      <w:r>
        <w:rPr>
          <w:spacing w:val="-4"/>
          <w:sz w:val="20"/>
        </w:rPr>
        <w:t> </w:t>
      </w:r>
      <w:r>
        <w:rPr>
          <w:sz w:val="20"/>
        </w:rPr>
        <w:t>or</w:t>
      </w:r>
      <w:r>
        <w:rPr>
          <w:spacing w:val="-4"/>
          <w:sz w:val="20"/>
        </w:rPr>
        <w:t> </w:t>
      </w:r>
      <w:r>
        <w:rPr>
          <w:sz w:val="20"/>
        </w:rPr>
        <w:t>unable</w:t>
      </w:r>
      <w:r>
        <w:rPr>
          <w:spacing w:val="-2"/>
          <w:sz w:val="20"/>
        </w:rPr>
        <w:t> </w:t>
      </w:r>
      <w:r>
        <w:rPr>
          <w:sz w:val="20"/>
        </w:rPr>
        <w:t>genuinely</w:t>
      </w:r>
      <w:r>
        <w:rPr>
          <w:spacing w:val="-8"/>
          <w:sz w:val="20"/>
        </w:rPr>
        <w:t> </w:t>
      </w:r>
      <w:r>
        <w:rPr>
          <w:sz w:val="20"/>
        </w:rPr>
        <w:t>to exercise</w:t>
      </w:r>
      <w:r>
        <w:rPr>
          <w:spacing w:val="-2"/>
          <w:sz w:val="20"/>
        </w:rPr>
        <w:t> </w:t>
      </w:r>
      <w:r>
        <w:rPr>
          <w:sz w:val="20"/>
        </w:rPr>
        <w:t>its</w:t>
      </w:r>
      <w:r>
        <w:rPr>
          <w:spacing w:val="-5"/>
          <w:sz w:val="20"/>
        </w:rPr>
        <w:t> </w:t>
      </w:r>
      <w:r>
        <w:rPr>
          <w:sz w:val="20"/>
        </w:rPr>
        <w:t>primary</w:t>
      </w:r>
      <w:r>
        <w:rPr>
          <w:spacing w:val="-4"/>
          <w:sz w:val="20"/>
        </w:rPr>
        <w:t> </w:t>
      </w:r>
      <w:r>
        <w:rPr>
          <w:sz w:val="20"/>
        </w:rPr>
        <w:t>jurisdiction</w:t>
      </w:r>
      <w:r>
        <w:rPr>
          <w:spacing w:val="-4"/>
          <w:sz w:val="20"/>
        </w:rPr>
        <w:t> </w:t>
      </w:r>
      <w:r>
        <w:rPr>
          <w:sz w:val="20"/>
        </w:rPr>
        <w:t>over</w:t>
      </w:r>
      <w:r>
        <w:rPr>
          <w:spacing w:val="-4"/>
          <w:sz w:val="20"/>
        </w:rPr>
        <w:t> </w:t>
      </w:r>
      <w:r>
        <w:rPr>
          <w:sz w:val="20"/>
        </w:rPr>
        <w:t>Rome Statute crimes.</w:t>
      </w:r>
    </w:p>
    <w:p>
      <w:pPr>
        <w:pStyle w:val="ListParagraph"/>
        <w:numPr>
          <w:ilvl w:val="2"/>
          <w:numId w:val="3"/>
        </w:numPr>
        <w:tabs>
          <w:tab w:pos="2966" w:val="left" w:leader="none"/>
          <w:tab w:pos="2967" w:val="left" w:leader="none"/>
        </w:tabs>
        <w:spacing w:line="240" w:lineRule="auto" w:before="118" w:after="0"/>
        <w:ind w:left="2246" w:right="2240" w:firstLine="0"/>
        <w:jc w:val="both"/>
        <w:rPr>
          <w:sz w:val="20"/>
        </w:rPr>
      </w:pPr>
      <w:r>
        <w:rPr>
          <w:sz w:val="20"/>
        </w:rPr>
        <w:t>Unlike domestic courts of law, the Court performs various functions and activities which</w:t>
      </w:r>
      <w:r>
        <w:rPr>
          <w:spacing w:val="72"/>
          <w:sz w:val="20"/>
        </w:rPr>
        <w:t> </w:t>
      </w:r>
      <w:r>
        <w:rPr>
          <w:sz w:val="20"/>
        </w:rPr>
        <w:t>in</w:t>
      </w:r>
      <w:r>
        <w:rPr>
          <w:spacing w:val="77"/>
          <w:sz w:val="20"/>
        </w:rPr>
        <w:t> </w:t>
      </w:r>
      <w:r>
        <w:rPr>
          <w:sz w:val="20"/>
        </w:rPr>
        <w:t>national</w:t>
      </w:r>
      <w:r>
        <w:rPr>
          <w:spacing w:val="80"/>
          <w:sz w:val="20"/>
        </w:rPr>
        <w:t> </w:t>
      </w:r>
      <w:r>
        <w:rPr>
          <w:sz w:val="20"/>
        </w:rPr>
        <w:t>systems</w:t>
      </w:r>
      <w:r>
        <w:rPr>
          <w:spacing w:val="75"/>
          <w:sz w:val="20"/>
        </w:rPr>
        <w:t> </w:t>
      </w:r>
      <w:r>
        <w:rPr>
          <w:sz w:val="20"/>
        </w:rPr>
        <w:t>are</w:t>
      </w:r>
      <w:r>
        <w:rPr>
          <w:spacing w:val="79"/>
          <w:sz w:val="20"/>
        </w:rPr>
        <w:t> </w:t>
      </w:r>
      <w:r>
        <w:rPr>
          <w:sz w:val="20"/>
        </w:rPr>
        <w:t>handled</w:t>
      </w:r>
      <w:r>
        <w:rPr>
          <w:spacing w:val="77"/>
          <w:sz w:val="20"/>
        </w:rPr>
        <w:t> </w:t>
      </w:r>
      <w:r>
        <w:rPr>
          <w:sz w:val="20"/>
        </w:rPr>
        <w:t>by</w:t>
      </w:r>
      <w:r>
        <w:rPr>
          <w:spacing w:val="77"/>
          <w:sz w:val="20"/>
        </w:rPr>
        <w:t> </w:t>
      </w:r>
      <w:r>
        <w:rPr>
          <w:sz w:val="20"/>
        </w:rPr>
        <w:t>separate</w:t>
      </w:r>
      <w:r>
        <w:rPr>
          <w:spacing w:val="79"/>
          <w:sz w:val="20"/>
        </w:rPr>
        <w:t> </w:t>
      </w:r>
      <w:r>
        <w:rPr>
          <w:sz w:val="20"/>
        </w:rPr>
        <w:t>offices,</w:t>
      </w:r>
      <w:r>
        <w:rPr>
          <w:spacing w:val="75"/>
          <w:sz w:val="20"/>
        </w:rPr>
        <w:t> </w:t>
      </w:r>
      <w:r>
        <w:rPr>
          <w:sz w:val="20"/>
        </w:rPr>
        <w:t>ministries</w:t>
      </w:r>
      <w:r>
        <w:rPr>
          <w:spacing w:val="75"/>
          <w:sz w:val="20"/>
        </w:rPr>
        <w:t> </w:t>
      </w:r>
      <w:r>
        <w:rPr>
          <w:sz w:val="20"/>
        </w:rPr>
        <w:t>or</w:t>
      </w:r>
      <w:r>
        <w:rPr>
          <w:spacing w:val="77"/>
          <w:sz w:val="20"/>
        </w:rPr>
        <w:t> </w:t>
      </w:r>
      <w:r>
        <w:rPr>
          <w:sz w:val="20"/>
        </w:rPr>
        <w:t>agencies. The</w:t>
      </w:r>
      <w:r>
        <w:rPr>
          <w:spacing w:val="-2"/>
          <w:sz w:val="20"/>
        </w:rPr>
        <w:t> </w:t>
      </w:r>
      <w:r>
        <w:rPr>
          <w:sz w:val="20"/>
        </w:rPr>
        <w:t>functions and activities of the Court include conducting preliminary examinations, investigations, prosecutions and trials; providing protection for victims and witnesses; managing the courtrooms, which encompasses the provision of interpretation, translation, transcription and security services; overseeing participation, reparations and assistance for victims; guaranteeing legal aid and the rights of the Defence; providing general public information, ensuring the publicity of the proceedings,</w:t>
      </w:r>
      <w:r>
        <w:rPr>
          <w:spacing w:val="-1"/>
          <w:sz w:val="20"/>
        </w:rPr>
        <w:t> </w:t>
      </w:r>
      <w:r>
        <w:rPr>
          <w:sz w:val="20"/>
        </w:rPr>
        <w:t>and outreach</w:t>
      </w:r>
      <w:r>
        <w:rPr>
          <w:spacing w:val="-4"/>
          <w:sz w:val="20"/>
        </w:rPr>
        <w:t> </w:t>
      </w:r>
      <w:r>
        <w:rPr>
          <w:sz w:val="20"/>
        </w:rPr>
        <w:t>to victims and affected communities;</w:t>
      </w:r>
      <w:r>
        <w:rPr>
          <w:spacing w:val="-13"/>
          <w:sz w:val="20"/>
        </w:rPr>
        <w:t> </w:t>
      </w:r>
      <w:r>
        <w:rPr>
          <w:sz w:val="20"/>
        </w:rPr>
        <w:t>running</w:t>
      </w:r>
      <w:r>
        <w:rPr>
          <w:spacing w:val="-9"/>
          <w:sz w:val="20"/>
        </w:rPr>
        <w:t> </w:t>
      </w:r>
      <w:r>
        <w:rPr>
          <w:sz w:val="20"/>
        </w:rPr>
        <w:t>the</w:t>
      </w:r>
      <w:r>
        <w:rPr>
          <w:spacing w:val="-8"/>
          <w:sz w:val="20"/>
        </w:rPr>
        <w:t> </w:t>
      </w:r>
      <w:r>
        <w:rPr>
          <w:sz w:val="20"/>
        </w:rPr>
        <w:t>Detention</w:t>
      </w:r>
      <w:r>
        <w:rPr>
          <w:spacing w:val="-13"/>
          <w:sz w:val="20"/>
        </w:rPr>
        <w:t> </w:t>
      </w:r>
      <w:r>
        <w:rPr>
          <w:sz w:val="20"/>
        </w:rPr>
        <w:t>Centre;</w:t>
      </w:r>
      <w:r>
        <w:rPr>
          <w:spacing w:val="-7"/>
          <w:sz w:val="20"/>
        </w:rPr>
        <w:t> </w:t>
      </w:r>
      <w:r>
        <w:rPr>
          <w:sz w:val="20"/>
        </w:rPr>
        <w:t>and managing</w:t>
      </w:r>
      <w:r>
        <w:rPr>
          <w:spacing w:val="-13"/>
          <w:sz w:val="20"/>
        </w:rPr>
        <w:t> </w:t>
      </w:r>
      <w:r>
        <w:rPr>
          <w:sz w:val="20"/>
        </w:rPr>
        <w:t>all</w:t>
      </w:r>
      <w:r>
        <w:rPr>
          <w:spacing w:val="-12"/>
          <w:sz w:val="20"/>
        </w:rPr>
        <w:t> </w:t>
      </w:r>
      <w:r>
        <w:rPr>
          <w:sz w:val="20"/>
        </w:rPr>
        <w:t>Court</w:t>
      </w:r>
      <w:r>
        <w:rPr>
          <w:spacing w:val="-13"/>
          <w:sz w:val="20"/>
        </w:rPr>
        <w:t> </w:t>
      </w:r>
      <w:r>
        <w:rPr>
          <w:sz w:val="20"/>
        </w:rPr>
        <w:t>premises</w:t>
      </w:r>
      <w:r>
        <w:rPr>
          <w:spacing w:val="-10"/>
          <w:sz w:val="20"/>
        </w:rPr>
        <w:t> </w:t>
      </w:r>
      <w:r>
        <w:rPr>
          <w:sz w:val="20"/>
        </w:rPr>
        <w:t>and</w:t>
      </w:r>
      <w:r>
        <w:rPr>
          <w:spacing w:val="-9"/>
          <w:sz w:val="20"/>
        </w:rPr>
        <w:t> </w:t>
      </w:r>
      <w:r>
        <w:rPr>
          <w:sz w:val="20"/>
        </w:rPr>
        <w:t>operations at Headquarters and at the external offices, including in the situation countries.</w:t>
      </w:r>
    </w:p>
    <w:p>
      <w:pPr>
        <w:pStyle w:val="ListParagraph"/>
        <w:numPr>
          <w:ilvl w:val="2"/>
          <w:numId w:val="3"/>
        </w:numPr>
        <w:tabs>
          <w:tab w:pos="2966" w:val="left" w:leader="none"/>
          <w:tab w:pos="2967" w:val="left" w:leader="none"/>
        </w:tabs>
        <w:spacing w:line="240" w:lineRule="auto" w:before="120" w:after="0"/>
        <w:ind w:left="2246" w:right="2235" w:firstLine="0"/>
        <w:jc w:val="both"/>
        <w:rPr>
          <w:sz w:val="20"/>
        </w:rPr>
      </w:pPr>
      <w:r>
        <w:rPr>
          <w:sz w:val="20"/>
        </w:rPr>
        <w:t>In 2023, the Court expects</w:t>
      </w:r>
      <w:r>
        <w:rPr>
          <w:spacing w:val="-2"/>
          <w:sz w:val="20"/>
        </w:rPr>
        <w:t> </w:t>
      </w:r>
      <w:r>
        <w:rPr>
          <w:sz w:val="20"/>
        </w:rPr>
        <w:t>to operate in 16</w:t>
      </w:r>
      <w:r>
        <w:rPr>
          <w:spacing w:val="-5"/>
          <w:sz w:val="20"/>
        </w:rPr>
        <w:t> </w:t>
      </w:r>
      <w:r>
        <w:rPr>
          <w:sz w:val="20"/>
        </w:rPr>
        <w:t>“situations”, geographically designated as follows: Afghanistan, Bangladesh/Myanmar, Burundi, the Central African Republic (CAR) II, Côte d’Ivoire (CIV), Darfur (Sudan), the Democratic Republic of the Congo (DRC), Georgia, Kenya, Libya, Mali, Palestine, Philippines, Uganda, Ukraine and Venezuela</w:t>
      </w:r>
      <w:r>
        <w:rPr>
          <w:spacing w:val="-1"/>
          <w:sz w:val="20"/>
        </w:rPr>
        <w:t> </w:t>
      </w:r>
      <w:r>
        <w:rPr>
          <w:sz w:val="20"/>
        </w:rPr>
        <w:t>I. These situations are currently the subject of investigations and/or cases at different phases of judicial proceedings (pre-trial, trial, appeals or reparations).</w:t>
      </w:r>
    </w:p>
    <w:p>
      <w:pPr>
        <w:pStyle w:val="ListParagraph"/>
        <w:numPr>
          <w:ilvl w:val="2"/>
          <w:numId w:val="3"/>
        </w:numPr>
        <w:tabs>
          <w:tab w:pos="2966" w:val="left" w:leader="none"/>
          <w:tab w:pos="2967" w:val="left" w:leader="none"/>
        </w:tabs>
        <w:spacing w:line="240" w:lineRule="auto" w:before="123" w:after="0"/>
        <w:ind w:left="2246" w:right="2238" w:firstLine="0"/>
        <w:jc w:val="both"/>
        <w:rPr>
          <w:sz w:val="20"/>
        </w:rPr>
      </w:pPr>
      <w:r>
        <w:rPr>
          <w:sz w:val="20"/>
        </w:rPr>
        <w:t>The</w:t>
      </w:r>
      <w:r>
        <w:rPr>
          <w:spacing w:val="-3"/>
          <w:sz w:val="20"/>
        </w:rPr>
        <w:t> </w:t>
      </w:r>
      <w:r>
        <w:rPr>
          <w:sz w:val="20"/>
        </w:rPr>
        <w:t>Office</w:t>
      </w:r>
      <w:r>
        <w:rPr>
          <w:spacing w:val="-3"/>
          <w:sz w:val="20"/>
        </w:rPr>
        <w:t> </w:t>
      </w:r>
      <w:r>
        <w:rPr>
          <w:sz w:val="20"/>
        </w:rPr>
        <w:t>of</w:t>
      </w:r>
      <w:r>
        <w:rPr>
          <w:spacing w:val="-5"/>
          <w:sz w:val="20"/>
        </w:rPr>
        <w:t> </w:t>
      </w:r>
      <w:r>
        <w:rPr>
          <w:sz w:val="20"/>
        </w:rPr>
        <w:t>the Prosecutor (OTP) will</w:t>
      </w:r>
      <w:r>
        <w:rPr>
          <w:spacing w:val="-3"/>
          <w:sz w:val="20"/>
        </w:rPr>
        <w:t> </w:t>
      </w:r>
      <w:r>
        <w:rPr>
          <w:sz w:val="20"/>
        </w:rPr>
        <w:t>continue</w:t>
      </w:r>
      <w:r>
        <w:rPr>
          <w:spacing w:val="-3"/>
          <w:sz w:val="20"/>
        </w:rPr>
        <w:t> </w:t>
      </w:r>
      <w:r>
        <w:rPr>
          <w:sz w:val="20"/>
        </w:rPr>
        <w:t>to ensure</w:t>
      </w:r>
      <w:r>
        <w:rPr>
          <w:spacing w:val="-3"/>
          <w:sz w:val="20"/>
        </w:rPr>
        <w:t> </w:t>
      </w:r>
      <w:r>
        <w:rPr>
          <w:sz w:val="20"/>
        </w:rPr>
        <w:t>that</w:t>
      </w:r>
      <w:r>
        <w:rPr>
          <w:spacing w:val="-3"/>
          <w:sz w:val="20"/>
        </w:rPr>
        <w:t> </w:t>
      </w:r>
      <w:r>
        <w:rPr>
          <w:sz w:val="20"/>
        </w:rPr>
        <w:t>adequate resources are allocated to situations with cases in pre-trial and trial proceedings, specifically CAR II, Darfur</w:t>
      </w:r>
      <w:r>
        <w:rPr>
          <w:spacing w:val="-8"/>
          <w:sz w:val="20"/>
        </w:rPr>
        <w:t> </w:t>
      </w:r>
      <w:r>
        <w:rPr>
          <w:sz w:val="20"/>
        </w:rPr>
        <w:t>(Sudan),</w:t>
      </w:r>
      <w:r>
        <w:rPr>
          <w:spacing w:val="-6"/>
          <w:sz w:val="20"/>
        </w:rPr>
        <w:t> </w:t>
      </w:r>
      <w:r>
        <w:rPr>
          <w:sz w:val="20"/>
        </w:rPr>
        <w:t>Mali</w:t>
      </w:r>
      <w:r>
        <w:rPr>
          <w:spacing w:val="-7"/>
          <w:sz w:val="20"/>
        </w:rPr>
        <w:t> </w:t>
      </w:r>
      <w:r>
        <w:rPr>
          <w:sz w:val="20"/>
        </w:rPr>
        <w:t>and</w:t>
      </w:r>
      <w:r>
        <w:rPr>
          <w:spacing w:val="-8"/>
          <w:sz w:val="20"/>
        </w:rPr>
        <w:t> </w:t>
      </w:r>
      <w:r>
        <w:rPr>
          <w:sz w:val="20"/>
        </w:rPr>
        <w:t>Kenya</w:t>
      </w:r>
      <w:r>
        <w:rPr>
          <w:spacing w:val="-2"/>
          <w:sz w:val="20"/>
        </w:rPr>
        <w:t> </w:t>
      </w:r>
      <w:r>
        <w:rPr>
          <w:sz w:val="20"/>
        </w:rPr>
        <w:t>(article</w:t>
      </w:r>
      <w:r>
        <w:rPr>
          <w:spacing w:val="-7"/>
          <w:sz w:val="20"/>
        </w:rPr>
        <w:t> </w:t>
      </w:r>
      <w:r>
        <w:rPr>
          <w:sz w:val="20"/>
        </w:rPr>
        <w:t>70).</w:t>
      </w:r>
      <w:r>
        <w:rPr>
          <w:spacing w:val="-1"/>
          <w:sz w:val="20"/>
        </w:rPr>
        <w:t> </w:t>
      </w:r>
      <w:r>
        <w:rPr>
          <w:sz w:val="20"/>
        </w:rPr>
        <w:t>Additionally,</w:t>
      </w:r>
      <w:r>
        <w:rPr>
          <w:spacing w:val="-6"/>
          <w:sz w:val="20"/>
        </w:rPr>
        <w:t> </w:t>
      </w:r>
      <w:r>
        <w:rPr>
          <w:sz w:val="20"/>
        </w:rPr>
        <w:t>the</w:t>
      </w:r>
      <w:r>
        <w:rPr>
          <w:spacing w:val="-2"/>
          <w:sz w:val="20"/>
        </w:rPr>
        <w:t> </w:t>
      </w:r>
      <w:r>
        <w:rPr>
          <w:sz w:val="20"/>
        </w:rPr>
        <w:t>OTP</w:t>
      </w:r>
      <w:r>
        <w:rPr>
          <w:spacing w:val="-10"/>
          <w:sz w:val="20"/>
        </w:rPr>
        <w:t> </w:t>
      </w:r>
      <w:r>
        <w:rPr>
          <w:sz w:val="20"/>
        </w:rPr>
        <w:t>will</w:t>
      </w:r>
      <w:r>
        <w:rPr>
          <w:spacing w:val="-7"/>
          <w:sz w:val="20"/>
        </w:rPr>
        <w:t> </w:t>
      </w:r>
      <w:r>
        <w:rPr>
          <w:sz w:val="20"/>
        </w:rPr>
        <w:t>continue</w:t>
      </w:r>
      <w:r>
        <w:rPr>
          <w:spacing w:val="-7"/>
          <w:sz w:val="20"/>
        </w:rPr>
        <w:t> </w:t>
      </w:r>
      <w:r>
        <w:rPr>
          <w:sz w:val="20"/>
        </w:rPr>
        <w:t>its</w:t>
      </w:r>
      <w:r>
        <w:rPr>
          <w:spacing w:val="-5"/>
          <w:sz w:val="20"/>
        </w:rPr>
        <w:t> </w:t>
      </w:r>
      <w:r>
        <w:rPr>
          <w:sz w:val="20"/>
        </w:rPr>
        <w:t>work</w:t>
      </w:r>
      <w:r>
        <w:rPr>
          <w:spacing w:val="-8"/>
          <w:sz w:val="20"/>
        </w:rPr>
        <w:t> </w:t>
      </w:r>
      <w:r>
        <w:rPr>
          <w:sz w:val="20"/>
        </w:rPr>
        <w:t>in conducting investigations across situations while remaining seized of three situations under preliminary examination: Guinea, Nigeria and Venezuela II.</w:t>
      </w:r>
    </w:p>
    <w:p>
      <w:pPr>
        <w:pStyle w:val="ListParagraph"/>
        <w:numPr>
          <w:ilvl w:val="2"/>
          <w:numId w:val="3"/>
        </w:numPr>
        <w:tabs>
          <w:tab w:pos="2966" w:val="left" w:leader="none"/>
          <w:tab w:pos="2967" w:val="left" w:leader="none"/>
        </w:tabs>
        <w:spacing w:line="240" w:lineRule="auto" w:before="117" w:after="0"/>
        <w:ind w:left="2246" w:right="2235" w:firstLine="0"/>
        <w:jc w:val="both"/>
        <w:rPr>
          <w:sz w:val="20"/>
        </w:rPr>
      </w:pPr>
      <w:r>
        <w:rPr>
          <w:sz w:val="20"/>
        </w:rPr>
        <w:t>The Court has prepared its Proposed Programme Budget for 2023 by focusing on the resources that are crucial to enable the Court to appropriately respond to the increasing demands for justice and accountability in a greater number of situations of conflict and widespread violence worldwide. The efforts of the Court to implement its mandate, in cooperation with States Parties and other stakeholders, have concretely translated into a significant increase in the level of courtroom and investigative, as well as reparations activities. Given the complex circumstances faced by the Court, it has had to carefully consider ways of enhancing and sustaining its long-term capacity to deliver on its mandate, while</w:t>
      </w:r>
      <w:r>
        <w:rPr>
          <w:spacing w:val="-7"/>
          <w:sz w:val="20"/>
        </w:rPr>
        <w:t> </w:t>
      </w:r>
      <w:r>
        <w:rPr>
          <w:sz w:val="20"/>
        </w:rPr>
        <w:t>being</w:t>
      </w:r>
      <w:r>
        <w:rPr>
          <w:spacing w:val="-8"/>
          <w:sz w:val="20"/>
        </w:rPr>
        <w:t> </w:t>
      </w:r>
      <w:r>
        <w:rPr>
          <w:sz w:val="20"/>
        </w:rPr>
        <w:t>mindful</w:t>
      </w:r>
      <w:r>
        <w:rPr>
          <w:spacing w:val="-7"/>
          <w:sz w:val="20"/>
        </w:rPr>
        <w:t> </w:t>
      </w:r>
      <w:r>
        <w:rPr>
          <w:sz w:val="20"/>
        </w:rPr>
        <w:t>of</w:t>
      </w:r>
      <w:r>
        <w:rPr>
          <w:spacing w:val="-4"/>
          <w:sz w:val="20"/>
        </w:rPr>
        <w:t> </w:t>
      </w:r>
      <w:r>
        <w:rPr>
          <w:sz w:val="20"/>
        </w:rPr>
        <w:t>the</w:t>
      </w:r>
      <w:r>
        <w:rPr>
          <w:spacing w:val="-2"/>
          <w:sz w:val="20"/>
        </w:rPr>
        <w:t> </w:t>
      </w:r>
      <w:r>
        <w:rPr>
          <w:sz w:val="20"/>
        </w:rPr>
        <w:t>financial</w:t>
      </w:r>
      <w:r>
        <w:rPr>
          <w:spacing w:val="-7"/>
          <w:sz w:val="20"/>
        </w:rPr>
        <w:t> </w:t>
      </w:r>
      <w:r>
        <w:rPr>
          <w:sz w:val="20"/>
        </w:rPr>
        <w:t>constraints</w:t>
      </w:r>
      <w:r>
        <w:rPr>
          <w:spacing w:val="-5"/>
          <w:sz w:val="20"/>
        </w:rPr>
        <w:t> </w:t>
      </w:r>
      <w:r>
        <w:rPr>
          <w:sz w:val="20"/>
        </w:rPr>
        <w:t>of</w:t>
      </w:r>
      <w:r>
        <w:rPr>
          <w:spacing w:val="-4"/>
          <w:sz w:val="20"/>
        </w:rPr>
        <w:t> </w:t>
      </w:r>
      <w:r>
        <w:rPr>
          <w:sz w:val="20"/>
        </w:rPr>
        <w:t>States</w:t>
      </w:r>
      <w:r>
        <w:rPr>
          <w:spacing w:val="-5"/>
          <w:sz w:val="20"/>
        </w:rPr>
        <w:t> </w:t>
      </w:r>
      <w:r>
        <w:rPr>
          <w:sz w:val="20"/>
        </w:rPr>
        <w:t>Parties.</w:t>
      </w:r>
      <w:r>
        <w:rPr>
          <w:spacing w:val="-1"/>
          <w:sz w:val="20"/>
        </w:rPr>
        <w:t> </w:t>
      </w:r>
      <w:r>
        <w:rPr>
          <w:sz w:val="20"/>
        </w:rPr>
        <w:t>Accordingly,</w:t>
      </w:r>
      <w:r>
        <w:rPr>
          <w:spacing w:val="-1"/>
          <w:sz w:val="20"/>
        </w:rPr>
        <w:t> </w:t>
      </w:r>
      <w:r>
        <w:rPr>
          <w:sz w:val="20"/>
        </w:rPr>
        <w:t>the</w:t>
      </w:r>
      <w:r>
        <w:rPr>
          <w:spacing w:val="-2"/>
          <w:sz w:val="20"/>
        </w:rPr>
        <w:t> </w:t>
      </w:r>
      <w:r>
        <w:rPr>
          <w:sz w:val="20"/>
        </w:rPr>
        <w:t>Court</w:t>
      </w:r>
      <w:r>
        <w:rPr>
          <w:spacing w:val="-7"/>
          <w:sz w:val="20"/>
        </w:rPr>
        <w:t> </w:t>
      </w:r>
      <w:r>
        <w:rPr>
          <w:sz w:val="20"/>
        </w:rPr>
        <w:t>has diligently</w:t>
      </w:r>
      <w:r>
        <w:rPr>
          <w:spacing w:val="-13"/>
          <w:sz w:val="20"/>
        </w:rPr>
        <w:t> </w:t>
      </w:r>
      <w:r>
        <w:rPr>
          <w:sz w:val="20"/>
        </w:rPr>
        <w:t>prepared</w:t>
      </w:r>
      <w:r>
        <w:rPr>
          <w:spacing w:val="-12"/>
          <w:sz w:val="20"/>
        </w:rPr>
        <w:t> </w:t>
      </w:r>
      <w:r>
        <w:rPr>
          <w:sz w:val="20"/>
        </w:rPr>
        <w:t>its</w:t>
      </w:r>
      <w:r>
        <w:rPr>
          <w:spacing w:val="-13"/>
          <w:sz w:val="20"/>
        </w:rPr>
        <w:t> </w:t>
      </w:r>
      <w:r>
        <w:rPr>
          <w:sz w:val="20"/>
        </w:rPr>
        <w:t>budget</w:t>
      </w:r>
      <w:r>
        <w:rPr>
          <w:spacing w:val="-12"/>
          <w:sz w:val="20"/>
        </w:rPr>
        <w:t> </w:t>
      </w:r>
      <w:r>
        <w:rPr>
          <w:sz w:val="20"/>
        </w:rPr>
        <w:t>proposal,</w:t>
      </w:r>
      <w:r>
        <w:rPr>
          <w:spacing w:val="-13"/>
          <w:sz w:val="20"/>
        </w:rPr>
        <w:t> </w:t>
      </w:r>
      <w:r>
        <w:rPr>
          <w:sz w:val="20"/>
        </w:rPr>
        <w:t>ensuring</w:t>
      </w:r>
      <w:r>
        <w:rPr>
          <w:spacing w:val="-12"/>
          <w:sz w:val="20"/>
        </w:rPr>
        <w:t> </w:t>
      </w:r>
      <w:r>
        <w:rPr>
          <w:sz w:val="20"/>
        </w:rPr>
        <w:t>that</w:t>
      </w:r>
      <w:r>
        <w:rPr>
          <w:spacing w:val="-13"/>
          <w:sz w:val="20"/>
        </w:rPr>
        <w:t> </w:t>
      </w:r>
      <w:r>
        <w:rPr>
          <w:sz w:val="20"/>
        </w:rPr>
        <w:t>additional</w:t>
      </w:r>
      <w:r>
        <w:rPr>
          <w:spacing w:val="-12"/>
          <w:sz w:val="20"/>
        </w:rPr>
        <w:t> </w:t>
      </w:r>
      <w:r>
        <w:rPr>
          <w:sz w:val="20"/>
        </w:rPr>
        <w:t>funds</w:t>
      </w:r>
      <w:r>
        <w:rPr>
          <w:spacing w:val="-13"/>
          <w:sz w:val="20"/>
        </w:rPr>
        <w:t> </w:t>
      </w:r>
      <w:r>
        <w:rPr>
          <w:sz w:val="20"/>
        </w:rPr>
        <w:t>are</w:t>
      </w:r>
      <w:r>
        <w:rPr>
          <w:spacing w:val="-12"/>
          <w:sz w:val="20"/>
        </w:rPr>
        <w:t> </w:t>
      </w:r>
      <w:r>
        <w:rPr>
          <w:sz w:val="20"/>
        </w:rPr>
        <w:t>requested</w:t>
      </w:r>
      <w:r>
        <w:rPr>
          <w:spacing w:val="-13"/>
          <w:sz w:val="20"/>
        </w:rPr>
        <w:t> </w:t>
      </w:r>
      <w:r>
        <w:rPr>
          <w:sz w:val="20"/>
        </w:rPr>
        <w:t>only</w:t>
      </w:r>
      <w:r>
        <w:rPr>
          <w:spacing w:val="-12"/>
          <w:sz w:val="20"/>
        </w:rPr>
        <w:t> </w:t>
      </w:r>
      <w:r>
        <w:rPr>
          <w:sz w:val="20"/>
        </w:rPr>
        <w:t>after all possible steps and efforts have been undertaken to contain the additional requirements through the reduction and reprioritization of resources, as well as through the identification of savings and efficiencies.</w:t>
      </w:r>
      <w:r>
        <w:rPr>
          <w:sz w:val="20"/>
          <w:vertAlign w:val="superscript"/>
        </w:rPr>
        <w:t>1</w:t>
      </w:r>
    </w:p>
    <w:p>
      <w:pPr>
        <w:pStyle w:val="ListParagraph"/>
        <w:numPr>
          <w:ilvl w:val="2"/>
          <w:numId w:val="3"/>
        </w:numPr>
        <w:tabs>
          <w:tab w:pos="2966" w:val="left" w:leader="none"/>
          <w:tab w:pos="2967" w:val="left" w:leader="none"/>
        </w:tabs>
        <w:spacing w:line="240" w:lineRule="auto" w:before="122" w:after="0"/>
        <w:ind w:left="2246" w:right="2237" w:firstLine="0"/>
        <w:jc w:val="both"/>
        <w:rPr>
          <w:sz w:val="20"/>
        </w:rPr>
      </w:pPr>
      <w:r>
        <w:rPr>
          <w:sz w:val="20"/>
        </w:rPr>
        <w:t>The Court is proposing a total budget of </w:t>
      </w:r>
      <w:r>
        <w:rPr>
          <w:b/>
          <w:sz w:val="20"/>
        </w:rPr>
        <w:t>€175,327.4 thousand</w:t>
      </w:r>
      <w:r>
        <w:rPr>
          <w:sz w:val="20"/>
        </w:rPr>
        <w:t>, representing an increase</w:t>
      </w:r>
      <w:r>
        <w:rPr>
          <w:spacing w:val="-8"/>
          <w:sz w:val="20"/>
        </w:rPr>
        <w:t> </w:t>
      </w:r>
      <w:r>
        <w:rPr>
          <w:sz w:val="20"/>
        </w:rPr>
        <w:t>for</w:t>
      </w:r>
      <w:r>
        <w:rPr>
          <w:spacing w:val="-9"/>
          <w:sz w:val="20"/>
        </w:rPr>
        <w:t> </w:t>
      </w:r>
      <w:r>
        <w:rPr>
          <w:sz w:val="20"/>
        </w:rPr>
        <w:t>2023</w:t>
      </w:r>
      <w:r>
        <w:rPr>
          <w:spacing w:val="-9"/>
          <w:sz w:val="20"/>
        </w:rPr>
        <w:t> </w:t>
      </w:r>
      <w:r>
        <w:rPr>
          <w:sz w:val="20"/>
        </w:rPr>
        <w:t>of</w:t>
      </w:r>
      <w:r>
        <w:rPr>
          <w:spacing w:val="-9"/>
          <w:sz w:val="20"/>
        </w:rPr>
        <w:t> </w:t>
      </w:r>
      <w:r>
        <w:rPr>
          <w:sz w:val="20"/>
        </w:rPr>
        <w:t>approximately</w:t>
      </w:r>
      <w:r>
        <w:rPr>
          <w:spacing w:val="-6"/>
          <w:sz w:val="20"/>
        </w:rPr>
        <w:t> </w:t>
      </w:r>
      <w:r>
        <w:rPr>
          <w:b/>
          <w:sz w:val="20"/>
        </w:rPr>
        <w:t>€24,057.5</w:t>
      </w:r>
      <w:r>
        <w:rPr>
          <w:b/>
          <w:spacing w:val="-9"/>
          <w:sz w:val="20"/>
        </w:rPr>
        <w:t> </w:t>
      </w:r>
      <w:r>
        <w:rPr>
          <w:b/>
          <w:sz w:val="20"/>
        </w:rPr>
        <w:t>thousand</w:t>
      </w:r>
      <w:r>
        <w:rPr>
          <w:sz w:val="20"/>
        </w:rPr>
        <w:t>,</w:t>
      </w:r>
      <w:r>
        <w:rPr>
          <w:spacing w:val="-12"/>
          <w:sz w:val="20"/>
        </w:rPr>
        <w:t> </w:t>
      </w:r>
      <w:r>
        <w:rPr>
          <w:sz w:val="20"/>
        </w:rPr>
        <w:t>or</w:t>
      </w:r>
      <w:r>
        <w:rPr>
          <w:spacing w:val="-9"/>
          <w:sz w:val="20"/>
        </w:rPr>
        <w:t> </w:t>
      </w:r>
      <w:r>
        <w:rPr>
          <w:b/>
          <w:sz w:val="20"/>
        </w:rPr>
        <w:t>15.9</w:t>
      </w:r>
      <w:r>
        <w:rPr>
          <w:b/>
          <w:spacing w:val="-9"/>
          <w:sz w:val="20"/>
        </w:rPr>
        <w:t> </w:t>
      </w:r>
      <w:r>
        <w:rPr>
          <w:b/>
          <w:sz w:val="20"/>
        </w:rPr>
        <w:t>per</w:t>
      </w:r>
      <w:r>
        <w:rPr>
          <w:b/>
          <w:spacing w:val="-8"/>
          <w:sz w:val="20"/>
        </w:rPr>
        <w:t> </w:t>
      </w:r>
      <w:r>
        <w:rPr>
          <w:b/>
          <w:sz w:val="20"/>
        </w:rPr>
        <w:t>cent</w:t>
      </w:r>
      <w:r>
        <w:rPr>
          <w:sz w:val="20"/>
        </w:rPr>
        <w:t>,</w:t>
      </w:r>
      <w:r>
        <w:rPr>
          <w:spacing w:val="-7"/>
          <w:sz w:val="20"/>
        </w:rPr>
        <w:t> </w:t>
      </w:r>
      <w:r>
        <w:rPr>
          <w:sz w:val="20"/>
        </w:rPr>
        <w:t>over</w:t>
      </w:r>
      <w:r>
        <w:rPr>
          <w:spacing w:val="-9"/>
          <w:sz w:val="20"/>
        </w:rPr>
        <w:t> </w:t>
      </w:r>
      <w:r>
        <w:rPr>
          <w:sz w:val="20"/>
        </w:rPr>
        <w:t>the</w:t>
      </w:r>
      <w:r>
        <w:rPr>
          <w:spacing w:val="-12"/>
          <w:sz w:val="20"/>
        </w:rPr>
        <w:t> </w:t>
      </w:r>
      <w:r>
        <w:rPr>
          <w:sz w:val="20"/>
        </w:rPr>
        <w:t>approved budget for 2022. On the recommendation of the Committee on Budget and Finance (“the Committee”) at its twenty-fifth session,</w:t>
      </w:r>
      <w:r>
        <w:rPr>
          <w:sz w:val="20"/>
          <w:vertAlign w:val="superscript"/>
        </w:rPr>
        <w:t>2</w:t>
      </w:r>
      <w:r>
        <w:rPr>
          <w:sz w:val="20"/>
          <w:vertAlign w:val="baseline"/>
        </w:rPr>
        <w:t> the figures for the proposed regular budget are presented</w:t>
      </w:r>
      <w:r>
        <w:rPr>
          <w:spacing w:val="-13"/>
          <w:sz w:val="20"/>
          <w:vertAlign w:val="baseline"/>
        </w:rPr>
        <w:t> </w:t>
      </w:r>
      <w:r>
        <w:rPr>
          <w:sz w:val="20"/>
          <w:vertAlign w:val="baseline"/>
        </w:rPr>
        <w:t>separately</w:t>
      </w:r>
      <w:r>
        <w:rPr>
          <w:spacing w:val="-12"/>
          <w:sz w:val="20"/>
          <w:vertAlign w:val="baseline"/>
        </w:rPr>
        <w:t> </w:t>
      </w:r>
      <w:r>
        <w:rPr>
          <w:sz w:val="20"/>
          <w:vertAlign w:val="baseline"/>
        </w:rPr>
        <w:t>from</w:t>
      </w:r>
      <w:r>
        <w:rPr>
          <w:spacing w:val="-13"/>
          <w:sz w:val="20"/>
          <w:vertAlign w:val="baseline"/>
        </w:rPr>
        <w:t> </w:t>
      </w:r>
      <w:r>
        <w:rPr>
          <w:sz w:val="20"/>
          <w:vertAlign w:val="baseline"/>
        </w:rPr>
        <w:t>interest</w:t>
      </w:r>
      <w:r>
        <w:rPr>
          <w:spacing w:val="-12"/>
          <w:sz w:val="20"/>
          <w:vertAlign w:val="baseline"/>
        </w:rPr>
        <w:t> </w:t>
      </w:r>
      <w:r>
        <w:rPr>
          <w:sz w:val="20"/>
          <w:vertAlign w:val="baseline"/>
        </w:rPr>
        <w:t>on</w:t>
      </w:r>
      <w:r>
        <w:rPr>
          <w:spacing w:val="-13"/>
          <w:sz w:val="20"/>
          <w:vertAlign w:val="baseline"/>
        </w:rPr>
        <w:t> </w:t>
      </w:r>
      <w:r>
        <w:rPr>
          <w:sz w:val="20"/>
          <w:vertAlign w:val="baseline"/>
        </w:rPr>
        <w:t>the</w:t>
      </w:r>
      <w:r>
        <w:rPr>
          <w:spacing w:val="-12"/>
          <w:sz w:val="20"/>
          <w:vertAlign w:val="baseline"/>
        </w:rPr>
        <w:t> </w:t>
      </w:r>
      <w:r>
        <w:rPr>
          <w:sz w:val="20"/>
          <w:vertAlign w:val="baseline"/>
        </w:rPr>
        <w:t>Host</w:t>
      </w:r>
      <w:r>
        <w:rPr>
          <w:spacing w:val="-13"/>
          <w:sz w:val="20"/>
          <w:vertAlign w:val="baseline"/>
        </w:rPr>
        <w:t> </w:t>
      </w:r>
      <w:r>
        <w:rPr>
          <w:sz w:val="20"/>
          <w:vertAlign w:val="baseline"/>
        </w:rPr>
        <w:t>State</w:t>
      </w:r>
      <w:r>
        <w:rPr>
          <w:spacing w:val="-12"/>
          <w:sz w:val="20"/>
          <w:vertAlign w:val="baseline"/>
        </w:rPr>
        <w:t> </w:t>
      </w:r>
      <w:r>
        <w:rPr>
          <w:sz w:val="20"/>
          <w:vertAlign w:val="baseline"/>
        </w:rPr>
        <w:t>Loan</w:t>
      </w:r>
      <w:r>
        <w:rPr>
          <w:spacing w:val="-13"/>
          <w:sz w:val="20"/>
          <w:vertAlign w:val="baseline"/>
        </w:rPr>
        <w:t> </w:t>
      </w:r>
      <w:r>
        <w:rPr>
          <w:sz w:val="20"/>
          <w:vertAlign w:val="baseline"/>
        </w:rPr>
        <w:t>for</w:t>
      </w:r>
      <w:r>
        <w:rPr>
          <w:spacing w:val="-12"/>
          <w:sz w:val="20"/>
          <w:vertAlign w:val="baseline"/>
        </w:rPr>
        <w:t> </w:t>
      </w:r>
      <w:r>
        <w:rPr>
          <w:sz w:val="20"/>
          <w:vertAlign w:val="baseline"/>
        </w:rPr>
        <w:t>the</w:t>
      </w:r>
      <w:r>
        <w:rPr>
          <w:spacing w:val="-13"/>
          <w:sz w:val="20"/>
          <w:vertAlign w:val="baseline"/>
        </w:rPr>
        <w:t> </w:t>
      </w:r>
      <w:r>
        <w:rPr>
          <w:sz w:val="20"/>
          <w:vertAlign w:val="baseline"/>
        </w:rPr>
        <w:t>Court’s</w:t>
      </w:r>
      <w:r>
        <w:rPr>
          <w:spacing w:val="-12"/>
          <w:sz w:val="20"/>
          <w:vertAlign w:val="baseline"/>
        </w:rPr>
        <w:t> </w:t>
      </w:r>
      <w:r>
        <w:rPr>
          <w:sz w:val="20"/>
          <w:vertAlign w:val="baseline"/>
        </w:rPr>
        <w:t>permanent</w:t>
      </w:r>
      <w:r>
        <w:rPr>
          <w:spacing w:val="-13"/>
          <w:sz w:val="20"/>
          <w:vertAlign w:val="baseline"/>
        </w:rPr>
        <w:t> </w:t>
      </w:r>
      <w:r>
        <w:rPr>
          <w:sz w:val="20"/>
          <w:vertAlign w:val="baseline"/>
        </w:rPr>
        <w:t>premises. As suggested by the Committee, this is to improve transparency and allow a comparative assessment of the resources needed for the Court’s activities</w:t>
      </w:r>
      <w:r>
        <w:rPr>
          <w:spacing w:val="-1"/>
          <w:sz w:val="20"/>
          <w:vertAlign w:val="baseline"/>
        </w:rPr>
        <w:t> </w:t>
      </w:r>
      <w:r>
        <w:rPr>
          <w:sz w:val="20"/>
          <w:vertAlign w:val="baseline"/>
        </w:rPr>
        <w:t>in 2023. Including the interest and</w:t>
      </w:r>
      <w:r>
        <w:rPr>
          <w:spacing w:val="-13"/>
          <w:sz w:val="20"/>
          <w:vertAlign w:val="baseline"/>
        </w:rPr>
        <w:t> </w:t>
      </w:r>
      <w:r>
        <w:rPr>
          <w:sz w:val="20"/>
          <w:vertAlign w:val="baseline"/>
        </w:rPr>
        <w:t>capital</w:t>
      </w:r>
      <w:r>
        <w:rPr>
          <w:spacing w:val="-12"/>
          <w:sz w:val="20"/>
          <w:vertAlign w:val="baseline"/>
        </w:rPr>
        <w:t> </w:t>
      </w:r>
      <w:r>
        <w:rPr>
          <w:sz w:val="20"/>
          <w:vertAlign w:val="baseline"/>
        </w:rPr>
        <w:t>repayment</w:t>
      </w:r>
      <w:r>
        <w:rPr>
          <w:spacing w:val="-13"/>
          <w:sz w:val="20"/>
          <w:vertAlign w:val="baseline"/>
        </w:rPr>
        <w:t> </w:t>
      </w:r>
      <w:r>
        <w:rPr>
          <w:sz w:val="20"/>
          <w:vertAlign w:val="baseline"/>
        </w:rPr>
        <w:t>under</w:t>
      </w:r>
      <w:r>
        <w:rPr>
          <w:spacing w:val="-12"/>
          <w:sz w:val="20"/>
          <w:vertAlign w:val="baseline"/>
        </w:rPr>
        <w:t> </w:t>
      </w:r>
      <w:r>
        <w:rPr>
          <w:sz w:val="20"/>
          <w:vertAlign w:val="baseline"/>
        </w:rPr>
        <w:t>the</w:t>
      </w:r>
      <w:r>
        <w:rPr>
          <w:spacing w:val="-13"/>
          <w:sz w:val="20"/>
          <w:vertAlign w:val="baseline"/>
        </w:rPr>
        <w:t> </w:t>
      </w:r>
      <w:r>
        <w:rPr>
          <w:sz w:val="20"/>
          <w:vertAlign w:val="baseline"/>
        </w:rPr>
        <w:t>Host</w:t>
      </w:r>
      <w:r>
        <w:rPr>
          <w:spacing w:val="-12"/>
          <w:sz w:val="20"/>
          <w:vertAlign w:val="baseline"/>
        </w:rPr>
        <w:t> </w:t>
      </w:r>
      <w:r>
        <w:rPr>
          <w:sz w:val="20"/>
          <w:vertAlign w:val="baseline"/>
        </w:rPr>
        <w:t>State</w:t>
      </w:r>
      <w:r>
        <w:rPr>
          <w:spacing w:val="-15"/>
          <w:sz w:val="20"/>
          <w:vertAlign w:val="baseline"/>
        </w:rPr>
        <w:t> </w:t>
      </w:r>
      <w:r>
        <w:rPr>
          <w:sz w:val="20"/>
          <w:vertAlign w:val="baseline"/>
        </w:rPr>
        <w:t>Loan</w:t>
      </w:r>
      <w:r>
        <w:rPr>
          <w:spacing w:val="-13"/>
          <w:sz w:val="20"/>
          <w:vertAlign w:val="baseline"/>
        </w:rPr>
        <w:t> </w:t>
      </w:r>
      <w:r>
        <w:rPr>
          <w:sz w:val="20"/>
          <w:vertAlign w:val="baseline"/>
        </w:rPr>
        <w:t>in</w:t>
      </w:r>
      <w:r>
        <w:rPr>
          <w:spacing w:val="-12"/>
          <w:sz w:val="20"/>
          <w:vertAlign w:val="baseline"/>
        </w:rPr>
        <w:t> </w:t>
      </w:r>
      <w:r>
        <w:rPr>
          <w:sz w:val="20"/>
          <w:vertAlign w:val="baseline"/>
        </w:rPr>
        <w:t>respect</w:t>
      </w:r>
      <w:r>
        <w:rPr>
          <w:spacing w:val="-13"/>
          <w:sz w:val="20"/>
          <w:vertAlign w:val="baseline"/>
        </w:rPr>
        <w:t> </w:t>
      </w:r>
      <w:r>
        <w:rPr>
          <w:sz w:val="20"/>
          <w:vertAlign w:val="baseline"/>
        </w:rPr>
        <w:t>of</w:t>
      </w:r>
      <w:r>
        <w:rPr>
          <w:spacing w:val="-17"/>
          <w:sz w:val="20"/>
          <w:vertAlign w:val="baseline"/>
        </w:rPr>
        <w:t> </w:t>
      </w:r>
      <w:r>
        <w:rPr>
          <w:sz w:val="20"/>
          <w:vertAlign w:val="baseline"/>
        </w:rPr>
        <w:t>the</w:t>
      </w:r>
      <w:r>
        <w:rPr>
          <w:spacing w:val="-12"/>
          <w:sz w:val="20"/>
          <w:vertAlign w:val="baseline"/>
        </w:rPr>
        <w:t> </w:t>
      </w:r>
      <w:r>
        <w:rPr>
          <w:sz w:val="20"/>
          <w:vertAlign w:val="baseline"/>
        </w:rPr>
        <w:t>Permanent</w:t>
      </w:r>
      <w:r>
        <w:rPr>
          <w:spacing w:val="-13"/>
          <w:sz w:val="20"/>
          <w:vertAlign w:val="baseline"/>
        </w:rPr>
        <w:t> </w:t>
      </w:r>
      <w:r>
        <w:rPr>
          <w:sz w:val="20"/>
          <w:vertAlign w:val="baseline"/>
        </w:rPr>
        <w:t>Premises</w:t>
      </w:r>
      <w:r>
        <w:rPr>
          <w:spacing w:val="-12"/>
          <w:sz w:val="20"/>
          <w:vertAlign w:val="baseline"/>
        </w:rPr>
        <w:t> </w:t>
      </w:r>
      <w:r>
        <w:rPr>
          <w:sz w:val="20"/>
          <w:vertAlign w:val="baseline"/>
        </w:rPr>
        <w:t>Project</w:t>
      </w:r>
    </w:p>
    <w:p>
      <w:pPr>
        <w:pStyle w:val="BodyText"/>
        <w:rPr>
          <w:sz w:val="27"/>
        </w:rPr>
      </w:pPr>
      <w:r>
        <w:rPr/>
        <w:pict>
          <v:rect style="position:absolute;margin-left:113.330002pt;margin-top:16.742266pt;width:144.050pt;height:.47998pt;mso-position-horizontal-relative:page;mso-position-vertical-relative:paragraph;z-index:-15727616;mso-wrap-distance-left:0;mso-wrap-distance-right:0" id="docshape13" filled="true" fillcolor="#000000" stroked="false">
            <v:fill type="solid"/>
            <w10:wrap type="topAndBottom"/>
          </v:rect>
        </w:pict>
      </w:r>
    </w:p>
    <w:p>
      <w:pPr>
        <w:spacing w:line="240" w:lineRule="auto" w:before="86"/>
        <w:ind w:left="2246" w:right="2249" w:firstLine="0"/>
        <w:jc w:val="both"/>
        <w:rPr>
          <w:sz w:val="16"/>
        </w:rPr>
      </w:pPr>
      <w:r>
        <w:rPr>
          <w:position w:val="5"/>
          <w:sz w:val="10"/>
        </w:rPr>
        <w:t>1</w:t>
      </w:r>
      <w:r>
        <w:rPr>
          <w:spacing w:val="40"/>
          <w:position w:val="5"/>
          <w:sz w:val="10"/>
        </w:rPr>
        <w:t> </w:t>
      </w:r>
      <w:r>
        <w:rPr>
          <w:i/>
          <w:sz w:val="16"/>
        </w:rPr>
        <w:t>Official Records of the Assembly of States Parties to the Rome Statute of the International Criminal Court,</w:t>
      </w:r>
      <w:r>
        <w:rPr>
          <w:i/>
          <w:spacing w:val="40"/>
          <w:sz w:val="16"/>
        </w:rPr>
        <w:t> </w:t>
      </w:r>
      <w:r>
        <w:rPr>
          <w:i/>
          <w:sz w:val="16"/>
        </w:rPr>
        <w:t>Seventeenth</w:t>
      </w:r>
      <w:r>
        <w:rPr>
          <w:i/>
          <w:spacing w:val="33"/>
          <w:sz w:val="16"/>
        </w:rPr>
        <w:t> </w:t>
      </w:r>
      <w:r>
        <w:rPr>
          <w:i/>
          <w:sz w:val="16"/>
        </w:rPr>
        <w:t>session,</w:t>
      </w:r>
      <w:r>
        <w:rPr>
          <w:i/>
          <w:spacing w:val="29"/>
          <w:sz w:val="16"/>
        </w:rPr>
        <w:t> </w:t>
      </w:r>
      <w:r>
        <w:rPr>
          <w:i/>
          <w:sz w:val="16"/>
        </w:rPr>
        <w:t>The</w:t>
      </w:r>
      <w:r>
        <w:rPr>
          <w:i/>
          <w:spacing w:val="32"/>
          <w:sz w:val="16"/>
        </w:rPr>
        <w:t> </w:t>
      </w:r>
      <w:r>
        <w:rPr>
          <w:i/>
          <w:sz w:val="16"/>
        </w:rPr>
        <w:t>Hague,</w:t>
      </w:r>
      <w:r>
        <w:rPr>
          <w:i/>
          <w:spacing w:val="29"/>
          <w:sz w:val="16"/>
        </w:rPr>
        <w:t> </w:t>
      </w:r>
      <w:r>
        <w:rPr>
          <w:i/>
          <w:sz w:val="16"/>
        </w:rPr>
        <w:t>5-12</w:t>
      </w:r>
      <w:r>
        <w:rPr>
          <w:i/>
          <w:spacing w:val="33"/>
          <w:sz w:val="16"/>
        </w:rPr>
        <w:t> </w:t>
      </w:r>
      <w:r>
        <w:rPr>
          <w:i/>
          <w:sz w:val="16"/>
        </w:rPr>
        <w:t>December</w:t>
      </w:r>
      <w:r>
        <w:rPr>
          <w:i/>
          <w:spacing w:val="33"/>
          <w:sz w:val="16"/>
        </w:rPr>
        <w:t> </w:t>
      </w:r>
      <w:r>
        <w:rPr>
          <w:i/>
          <w:sz w:val="16"/>
        </w:rPr>
        <w:t>2018</w:t>
      </w:r>
      <w:r>
        <w:rPr>
          <w:i/>
          <w:spacing w:val="33"/>
          <w:sz w:val="16"/>
        </w:rPr>
        <w:t> </w:t>
      </w:r>
      <w:r>
        <w:rPr>
          <w:sz w:val="16"/>
        </w:rPr>
        <w:t>(ICC-ASP/17/20),</w:t>
      </w:r>
      <w:r>
        <w:rPr>
          <w:spacing w:val="29"/>
          <w:sz w:val="16"/>
        </w:rPr>
        <w:t> </w:t>
      </w:r>
      <w:r>
        <w:rPr>
          <w:sz w:val="16"/>
        </w:rPr>
        <w:t>vol.</w:t>
      </w:r>
      <w:r>
        <w:rPr>
          <w:spacing w:val="36"/>
          <w:sz w:val="16"/>
        </w:rPr>
        <w:t> </w:t>
      </w:r>
      <w:r>
        <w:rPr>
          <w:sz w:val="16"/>
        </w:rPr>
        <w:t>I,</w:t>
      </w:r>
      <w:r>
        <w:rPr>
          <w:spacing w:val="34"/>
          <w:sz w:val="16"/>
        </w:rPr>
        <w:t> </w:t>
      </w:r>
      <w:r>
        <w:rPr>
          <w:sz w:val="16"/>
        </w:rPr>
        <w:t>part</w:t>
      </w:r>
      <w:r>
        <w:rPr>
          <w:spacing w:val="34"/>
          <w:sz w:val="16"/>
        </w:rPr>
        <w:t> </w:t>
      </w:r>
      <w:r>
        <w:rPr>
          <w:sz w:val="16"/>
        </w:rPr>
        <w:t>III,</w:t>
      </w:r>
      <w:r>
        <w:rPr>
          <w:spacing w:val="34"/>
          <w:sz w:val="16"/>
        </w:rPr>
        <w:t> </w:t>
      </w:r>
      <w:r>
        <w:rPr>
          <w:sz w:val="16"/>
        </w:rPr>
        <w:t>ICC-ASP/17/Res.4,</w:t>
      </w:r>
      <w:r>
        <w:rPr>
          <w:spacing w:val="40"/>
          <w:sz w:val="16"/>
        </w:rPr>
        <w:t> </w:t>
      </w:r>
      <w:r>
        <w:rPr>
          <w:sz w:val="16"/>
        </w:rPr>
        <w:t>para.</w:t>
      </w:r>
      <w:r>
        <w:rPr>
          <w:spacing w:val="-7"/>
          <w:sz w:val="16"/>
        </w:rPr>
        <w:t> </w:t>
      </w:r>
      <w:r>
        <w:rPr>
          <w:sz w:val="16"/>
        </w:rPr>
        <w:t>K.1.</w:t>
      </w:r>
    </w:p>
    <w:p>
      <w:pPr>
        <w:spacing w:before="0"/>
        <w:ind w:left="2246" w:right="0" w:firstLine="0"/>
        <w:jc w:val="both"/>
        <w:rPr>
          <w:sz w:val="16"/>
        </w:rPr>
      </w:pPr>
      <w:r>
        <w:rPr>
          <w:position w:val="5"/>
          <w:sz w:val="10"/>
        </w:rPr>
        <w:t>2</w:t>
      </w:r>
      <w:r>
        <w:rPr>
          <w:spacing w:val="13"/>
          <w:position w:val="5"/>
          <w:sz w:val="10"/>
        </w:rPr>
        <w:t> </w:t>
      </w:r>
      <w:r>
        <w:rPr>
          <w:i/>
          <w:sz w:val="16"/>
        </w:rPr>
        <w:t>Official Records</w:t>
      </w:r>
      <w:r>
        <w:rPr>
          <w:i/>
          <w:spacing w:val="-2"/>
          <w:sz w:val="16"/>
        </w:rPr>
        <w:t> </w:t>
      </w:r>
      <w:r>
        <w:rPr>
          <w:i/>
          <w:sz w:val="16"/>
        </w:rPr>
        <w:t>…</w:t>
      </w:r>
      <w:r>
        <w:rPr>
          <w:i/>
          <w:spacing w:val="-6"/>
          <w:sz w:val="16"/>
        </w:rPr>
        <w:t> </w:t>
      </w:r>
      <w:r>
        <w:rPr>
          <w:i/>
          <w:sz w:val="16"/>
        </w:rPr>
        <w:t>Fourteenth</w:t>
      </w:r>
      <w:r>
        <w:rPr>
          <w:i/>
          <w:spacing w:val="-2"/>
          <w:sz w:val="16"/>
        </w:rPr>
        <w:t> </w:t>
      </w:r>
      <w:r>
        <w:rPr>
          <w:i/>
          <w:sz w:val="16"/>
        </w:rPr>
        <w:t>session</w:t>
      </w:r>
      <w:r>
        <w:rPr>
          <w:i/>
          <w:spacing w:val="1"/>
          <w:sz w:val="16"/>
        </w:rPr>
        <w:t> </w:t>
      </w:r>
      <w:r>
        <w:rPr>
          <w:i/>
          <w:sz w:val="16"/>
        </w:rPr>
        <w:t>…</w:t>
      </w:r>
      <w:r>
        <w:rPr>
          <w:i/>
          <w:spacing w:val="32"/>
          <w:sz w:val="16"/>
        </w:rPr>
        <w:t> </w:t>
      </w:r>
      <w:r>
        <w:rPr>
          <w:i/>
          <w:sz w:val="16"/>
        </w:rPr>
        <w:t>2015</w:t>
      </w:r>
      <w:r>
        <w:rPr>
          <w:i/>
          <w:spacing w:val="-1"/>
          <w:sz w:val="16"/>
        </w:rPr>
        <w:t> </w:t>
      </w:r>
      <w:r>
        <w:rPr>
          <w:sz w:val="16"/>
        </w:rPr>
        <w:t>(ICC-ASP/14/20),</w:t>
      </w:r>
      <w:r>
        <w:rPr>
          <w:spacing w:val="-5"/>
          <w:sz w:val="16"/>
        </w:rPr>
        <w:t> </w:t>
      </w:r>
      <w:r>
        <w:rPr>
          <w:sz w:val="16"/>
        </w:rPr>
        <w:t>vol.</w:t>
      </w:r>
      <w:r>
        <w:rPr>
          <w:spacing w:val="-1"/>
          <w:sz w:val="16"/>
        </w:rPr>
        <w:t> </w:t>
      </w:r>
      <w:r>
        <w:rPr>
          <w:sz w:val="16"/>
        </w:rPr>
        <w:t>II,</w:t>
      </w:r>
      <w:r>
        <w:rPr>
          <w:spacing w:val="-4"/>
          <w:sz w:val="16"/>
        </w:rPr>
        <w:t> </w:t>
      </w:r>
      <w:r>
        <w:rPr>
          <w:sz w:val="16"/>
        </w:rPr>
        <w:t>part</w:t>
      </w:r>
      <w:r>
        <w:rPr>
          <w:spacing w:val="-5"/>
          <w:sz w:val="16"/>
        </w:rPr>
        <w:t> </w:t>
      </w:r>
      <w:r>
        <w:rPr>
          <w:sz w:val="16"/>
        </w:rPr>
        <w:t>B.3,</w:t>
      </w:r>
      <w:r>
        <w:rPr>
          <w:spacing w:val="-5"/>
          <w:sz w:val="16"/>
        </w:rPr>
        <w:t> </w:t>
      </w:r>
      <w:r>
        <w:rPr>
          <w:sz w:val="16"/>
        </w:rPr>
        <w:t>para.</w:t>
      </w:r>
      <w:r>
        <w:rPr>
          <w:spacing w:val="-4"/>
          <w:sz w:val="16"/>
        </w:rPr>
        <w:t> </w:t>
      </w:r>
      <w:r>
        <w:rPr>
          <w:spacing w:val="-5"/>
          <w:sz w:val="16"/>
        </w:rPr>
        <w:t>12.</w:t>
      </w:r>
    </w:p>
    <w:p>
      <w:pPr>
        <w:spacing w:after="0"/>
        <w:jc w:val="both"/>
        <w:rPr>
          <w:sz w:val="16"/>
        </w:rPr>
        <w:sectPr>
          <w:pgSz w:w="11910" w:h="16840"/>
          <w:pgMar w:header="957" w:footer="940" w:top="1140" w:bottom="1140" w:left="20" w:right="20"/>
        </w:sectPr>
      </w:pPr>
    </w:p>
    <w:p>
      <w:pPr>
        <w:pStyle w:val="BodyText"/>
        <w:spacing w:before="124"/>
        <w:ind w:left="2246" w:right="2195"/>
      </w:pPr>
      <w:r>
        <w:rPr/>
        <w:t>of</w:t>
      </w:r>
      <w:r>
        <w:rPr>
          <w:spacing w:val="80"/>
        </w:rPr>
        <w:t> </w:t>
      </w:r>
      <w:r>
        <w:rPr/>
        <w:t>€3,585.1</w:t>
      </w:r>
      <w:r>
        <w:rPr>
          <w:spacing w:val="76"/>
        </w:rPr>
        <w:t> </w:t>
      </w:r>
      <w:r>
        <w:rPr/>
        <w:t>thousand,</w:t>
      </w:r>
      <w:r>
        <w:rPr>
          <w:spacing w:val="78"/>
        </w:rPr>
        <w:t> </w:t>
      </w:r>
      <w:r>
        <w:rPr/>
        <w:t>the</w:t>
      </w:r>
      <w:r>
        <w:rPr>
          <w:spacing w:val="78"/>
        </w:rPr>
        <w:t> </w:t>
      </w:r>
      <w:r>
        <w:rPr/>
        <w:t>Court’s</w:t>
      </w:r>
      <w:r>
        <w:rPr>
          <w:spacing w:val="79"/>
        </w:rPr>
        <w:t> </w:t>
      </w:r>
      <w:r>
        <w:rPr/>
        <w:t>Proposed</w:t>
      </w:r>
      <w:r>
        <w:rPr>
          <w:spacing w:val="76"/>
        </w:rPr>
        <w:t> </w:t>
      </w:r>
      <w:r>
        <w:rPr/>
        <w:t>Programme</w:t>
      </w:r>
      <w:r>
        <w:rPr>
          <w:spacing w:val="80"/>
        </w:rPr>
        <w:t> </w:t>
      </w:r>
      <w:r>
        <w:rPr/>
        <w:t>Budget</w:t>
      </w:r>
      <w:r>
        <w:rPr>
          <w:spacing w:val="80"/>
        </w:rPr>
        <w:t> </w:t>
      </w:r>
      <w:r>
        <w:rPr/>
        <w:t>for</w:t>
      </w:r>
      <w:r>
        <w:rPr>
          <w:spacing w:val="80"/>
        </w:rPr>
        <w:t> </w:t>
      </w:r>
      <w:r>
        <w:rPr/>
        <w:t>2023</w:t>
      </w:r>
      <w:r>
        <w:rPr>
          <w:spacing w:val="76"/>
        </w:rPr>
        <w:t> </w:t>
      </w:r>
      <w:r>
        <w:rPr/>
        <w:t>amounts to €178,912.5 thousand, or an increase of 15.5 per cent.</w:t>
      </w:r>
    </w:p>
    <w:p>
      <w:pPr>
        <w:pStyle w:val="ListParagraph"/>
        <w:numPr>
          <w:ilvl w:val="2"/>
          <w:numId w:val="3"/>
        </w:numPr>
        <w:tabs>
          <w:tab w:pos="2966" w:val="left" w:leader="none"/>
          <w:tab w:pos="2967" w:val="left" w:leader="none"/>
        </w:tabs>
        <w:spacing w:line="240" w:lineRule="auto" w:before="121" w:after="0"/>
        <w:ind w:left="2246" w:right="2237" w:firstLine="0"/>
        <w:jc w:val="both"/>
        <w:rPr>
          <w:sz w:val="20"/>
        </w:rPr>
      </w:pPr>
      <w:r>
        <w:rPr>
          <w:sz w:val="20"/>
        </w:rPr>
        <w:t>The</w:t>
      </w:r>
      <w:r>
        <w:rPr>
          <w:spacing w:val="40"/>
          <w:sz w:val="20"/>
        </w:rPr>
        <w:t> </w:t>
      </w:r>
      <w:r>
        <w:rPr>
          <w:sz w:val="20"/>
        </w:rPr>
        <w:t>proposed</w:t>
      </w:r>
      <w:r>
        <w:rPr>
          <w:spacing w:val="40"/>
          <w:sz w:val="20"/>
        </w:rPr>
        <w:t> </w:t>
      </w:r>
      <w:r>
        <w:rPr>
          <w:sz w:val="20"/>
        </w:rPr>
        <w:t>budget</w:t>
      </w:r>
      <w:r>
        <w:rPr>
          <w:spacing w:val="40"/>
          <w:sz w:val="20"/>
        </w:rPr>
        <w:t> </w:t>
      </w:r>
      <w:r>
        <w:rPr>
          <w:sz w:val="20"/>
        </w:rPr>
        <w:t>also</w:t>
      </w:r>
      <w:r>
        <w:rPr>
          <w:spacing w:val="40"/>
          <w:sz w:val="20"/>
        </w:rPr>
        <w:t> </w:t>
      </w:r>
      <w:r>
        <w:rPr>
          <w:sz w:val="20"/>
        </w:rPr>
        <w:t>factors</w:t>
      </w:r>
      <w:r>
        <w:rPr>
          <w:spacing w:val="40"/>
          <w:sz w:val="20"/>
        </w:rPr>
        <w:t> </w:t>
      </w:r>
      <w:r>
        <w:rPr>
          <w:sz w:val="20"/>
        </w:rPr>
        <w:t>in</w:t>
      </w:r>
      <w:r>
        <w:rPr>
          <w:spacing w:val="40"/>
          <w:sz w:val="20"/>
        </w:rPr>
        <w:t> </w:t>
      </w:r>
      <w:r>
        <w:rPr>
          <w:sz w:val="20"/>
        </w:rPr>
        <w:t>the</w:t>
      </w:r>
      <w:r>
        <w:rPr>
          <w:spacing w:val="40"/>
          <w:sz w:val="20"/>
        </w:rPr>
        <w:t> </w:t>
      </w:r>
      <w:r>
        <w:rPr>
          <w:sz w:val="20"/>
        </w:rPr>
        <w:t>priorities</w:t>
      </w:r>
      <w:r>
        <w:rPr>
          <w:spacing w:val="40"/>
          <w:sz w:val="20"/>
        </w:rPr>
        <w:t> </w:t>
      </w:r>
      <w:r>
        <w:rPr>
          <w:sz w:val="20"/>
        </w:rPr>
        <w:t>set</w:t>
      </w:r>
      <w:r>
        <w:rPr>
          <w:spacing w:val="40"/>
          <w:sz w:val="20"/>
        </w:rPr>
        <w:t> </w:t>
      </w:r>
      <w:r>
        <w:rPr>
          <w:sz w:val="20"/>
        </w:rPr>
        <w:t>in</w:t>
      </w:r>
      <w:r>
        <w:rPr>
          <w:spacing w:val="40"/>
          <w:sz w:val="20"/>
        </w:rPr>
        <w:t> </w:t>
      </w:r>
      <w:r>
        <w:rPr>
          <w:sz w:val="20"/>
        </w:rPr>
        <w:t>the</w:t>
      </w:r>
      <w:r>
        <w:rPr>
          <w:spacing w:val="40"/>
          <w:sz w:val="20"/>
        </w:rPr>
        <w:t> </w:t>
      </w:r>
      <w:r>
        <w:rPr>
          <w:sz w:val="20"/>
        </w:rPr>
        <w:t>Court-wide</w:t>
      </w:r>
      <w:r>
        <w:rPr>
          <w:spacing w:val="40"/>
          <w:sz w:val="20"/>
        </w:rPr>
        <w:t> </w:t>
      </w:r>
      <w:r>
        <w:rPr>
          <w:sz w:val="20"/>
        </w:rPr>
        <w:t>and organ-specific strategic plans for the period 2023-2025. Accordingly, the proposed budget for 2023 has been carefully assessed against the plans of and the unprecedented workload facing the Court, including the vision of the Court’s leadership; the Court’s goals and stakeholder expectations – including those of victims and affected communities of atrocity crimes – regarding its overall performance and effective discharge of its mandate; the complexity</w:t>
      </w:r>
      <w:r>
        <w:rPr>
          <w:spacing w:val="-13"/>
          <w:sz w:val="20"/>
        </w:rPr>
        <w:t> </w:t>
      </w:r>
      <w:r>
        <w:rPr>
          <w:sz w:val="20"/>
        </w:rPr>
        <w:t>of</w:t>
      </w:r>
      <w:r>
        <w:rPr>
          <w:spacing w:val="-12"/>
          <w:sz w:val="20"/>
        </w:rPr>
        <w:t> </w:t>
      </w:r>
      <w:r>
        <w:rPr>
          <w:sz w:val="20"/>
        </w:rPr>
        <w:t>the</w:t>
      </w:r>
      <w:r>
        <w:rPr>
          <w:spacing w:val="-13"/>
          <w:sz w:val="20"/>
        </w:rPr>
        <w:t> </w:t>
      </w:r>
      <w:r>
        <w:rPr>
          <w:sz w:val="20"/>
        </w:rPr>
        <w:t>Court’s</w:t>
      </w:r>
      <w:r>
        <w:rPr>
          <w:spacing w:val="-12"/>
          <w:sz w:val="20"/>
        </w:rPr>
        <w:t> </w:t>
      </w:r>
      <w:r>
        <w:rPr>
          <w:sz w:val="20"/>
        </w:rPr>
        <w:t>operating</w:t>
      </w:r>
      <w:r>
        <w:rPr>
          <w:spacing w:val="-13"/>
          <w:sz w:val="20"/>
        </w:rPr>
        <w:t> </w:t>
      </w:r>
      <w:r>
        <w:rPr>
          <w:sz w:val="20"/>
        </w:rPr>
        <w:t>environments</w:t>
      </w:r>
      <w:r>
        <w:rPr>
          <w:spacing w:val="-12"/>
          <w:sz w:val="20"/>
        </w:rPr>
        <w:t> </w:t>
      </w:r>
      <w:r>
        <w:rPr>
          <w:sz w:val="20"/>
        </w:rPr>
        <w:t>(involving</w:t>
      </w:r>
      <w:r>
        <w:rPr>
          <w:spacing w:val="-13"/>
          <w:sz w:val="20"/>
        </w:rPr>
        <w:t> </w:t>
      </w:r>
      <w:r>
        <w:rPr>
          <w:sz w:val="20"/>
        </w:rPr>
        <w:t>matters</w:t>
      </w:r>
      <w:r>
        <w:rPr>
          <w:spacing w:val="-12"/>
          <w:sz w:val="20"/>
        </w:rPr>
        <w:t> </w:t>
      </w:r>
      <w:r>
        <w:rPr>
          <w:sz w:val="20"/>
        </w:rPr>
        <w:t>of</w:t>
      </w:r>
      <w:r>
        <w:rPr>
          <w:spacing w:val="-13"/>
          <w:sz w:val="20"/>
        </w:rPr>
        <w:t> </w:t>
      </w:r>
      <w:r>
        <w:rPr>
          <w:sz w:val="20"/>
        </w:rPr>
        <w:t>security,</w:t>
      </w:r>
      <w:r>
        <w:rPr>
          <w:spacing w:val="-11"/>
          <w:sz w:val="20"/>
        </w:rPr>
        <w:t> </w:t>
      </w:r>
      <w:r>
        <w:rPr>
          <w:sz w:val="20"/>
        </w:rPr>
        <w:t>cooperation and</w:t>
      </w:r>
      <w:r>
        <w:rPr>
          <w:spacing w:val="-8"/>
          <w:sz w:val="20"/>
        </w:rPr>
        <w:t> </w:t>
      </w:r>
      <w:r>
        <w:rPr>
          <w:sz w:val="20"/>
        </w:rPr>
        <w:t>political</w:t>
      </w:r>
      <w:r>
        <w:rPr>
          <w:spacing w:val="-7"/>
          <w:sz w:val="20"/>
        </w:rPr>
        <w:t> </w:t>
      </w:r>
      <w:r>
        <w:rPr>
          <w:sz w:val="20"/>
        </w:rPr>
        <w:t>support);</w:t>
      </w:r>
      <w:r>
        <w:rPr>
          <w:spacing w:val="-7"/>
          <w:sz w:val="20"/>
        </w:rPr>
        <w:t> </w:t>
      </w:r>
      <w:r>
        <w:rPr>
          <w:sz w:val="20"/>
        </w:rPr>
        <w:t>and</w:t>
      </w:r>
      <w:r>
        <w:rPr>
          <w:spacing w:val="-8"/>
          <w:sz w:val="20"/>
        </w:rPr>
        <w:t> </w:t>
      </w:r>
      <w:r>
        <w:rPr>
          <w:sz w:val="20"/>
        </w:rPr>
        <w:t>the</w:t>
      </w:r>
      <w:r>
        <w:rPr>
          <w:spacing w:val="-7"/>
          <w:sz w:val="20"/>
        </w:rPr>
        <w:t> </w:t>
      </w:r>
      <w:r>
        <w:rPr>
          <w:sz w:val="20"/>
        </w:rPr>
        <w:t>significant</w:t>
      </w:r>
      <w:r>
        <w:rPr>
          <w:spacing w:val="-7"/>
          <w:sz w:val="20"/>
        </w:rPr>
        <w:t> </w:t>
      </w:r>
      <w:r>
        <w:rPr>
          <w:sz w:val="20"/>
        </w:rPr>
        <w:t>and</w:t>
      </w:r>
      <w:r>
        <w:rPr>
          <w:spacing w:val="-8"/>
          <w:sz w:val="20"/>
        </w:rPr>
        <w:t> </w:t>
      </w:r>
      <w:r>
        <w:rPr>
          <w:sz w:val="20"/>
        </w:rPr>
        <w:t>increasing</w:t>
      </w:r>
      <w:r>
        <w:rPr>
          <w:spacing w:val="-8"/>
          <w:sz w:val="20"/>
        </w:rPr>
        <w:t> </w:t>
      </w:r>
      <w:r>
        <w:rPr>
          <w:sz w:val="20"/>
        </w:rPr>
        <w:t>volume</w:t>
      </w:r>
      <w:r>
        <w:rPr>
          <w:spacing w:val="-7"/>
          <w:sz w:val="20"/>
        </w:rPr>
        <w:t> </w:t>
      </w:r>
      <w:r>
        <w:rPr>
          <w:sz w:val="20"/>
        </w:rPr>
        <w:t>of</w:t>
      </w:r>
      <w:r>
        <w:rPr>
          <w:spacing w:val="-8"/>
          <w:sz w:val="20"/>
        </w:rPr>
        <w:t> </w:t>
      </w:r>
      <w:r>
        <w:rPr>
          <w:sz w:val="20"/>
        </w:rPr>
        <w:t>demands</w:t>
      </w:r>
      <w:r>
        <w:rPr>
          <w:spacing w:val="-5"/>
          <w:sz w:val="20"/>
        </w:rPr>
        <w:t> </w:t>
      </w:r>
      <w:r>
        <w:rPr>
          <w:sz w:val="20"/>
        </w:rPr>
        <w:t>for</w:t>
      </w:r>
      <w:r>
        <w:rPr>
          <w:spacing w:val="-8"/>
          <w:sz w:val="20"/>
        </w:rPr>
        <w:t> </w:t>
      </w:r>
      <w:r>
        <w:rPr>
          <w:sz w:val="20"/>
        </w:rPr>
        <w:t>intervention by the Court. The Court believes that the requested funds will contribute to increasing tangible results and long-term efficiencies, mainly through more expeditious judicial proceedings and enhanced fair-trial safeguards; more effective and focused preliminary examinations, investigations and prosecutions; enhanced impact on the ground; and a more secure information environment for the Court’s operations.</w:t>
      </w:r>
    </w:p>
    <w:p>
      <w:pPr>
        <w:pStyle w:val="ListParagraph"/>
        <w:numPr>
          <w:ilvl w:val="2"/>
          <w:numId w:val="3"/>
        </w:numPr>
        <w:tabs>
          <w:tab w:pos="2966" w:val="left" w:leader="none"/>
          <w:tab w:pos="2967" w:val="left" w:leader="none"/>
        </w:tabs>
        <w:spacing w:line="240" w:lineRule="auto" w:before="122" w:after="0"/>
        <w:ind w:left="2246" w:right="2242" w:firstLine="0"/>
        <w:jc w:val="both"/>
        <w:rPr>
          <w:sz w:val="20"/>
        </w:rPr>
      </w:pPr>
      <w:r>
        <w:rPr>
          <w:sz w:val="20"/>
        </w:rPr>
        <w:t>The impact of the substantial additional requirements to support developments in prosecutorial and</w:t>
      </w:r>
      <w:r>
        <w:rPr>
          <w:spacing w:val="-4"/>
          <w:sz w:val="20"/>
        </w:rPr>
        <w:t> </w:t>
      </w:r>
      <w:r>
        <w:rPr>
          <w:sz w:val="20"/>
        </w:rPr>
        <w:t>judicial activities will result</w:t>
      </w:r>
      <w:r>
        <w:rPr>
          <w:spacing w:val="-2"/>
          <w:sz w:val="20"/>
        </w:rPr>
        <w:t> </w:t>
      </w:r>
      <w:r>
        <w:rPr>
          <w:sz w:val="20"/>
        </w:rPr>
        <w:t>in</w:t>
      </w:r>
      <w:r>
        <w:rPr>
          <w:spacing w:val="-4"/>
          <w:sz w:val="20"/>
        </w:rPr>
        <w:t> </w:t>
      </w:r>
      <w:r>
        <w:rPr>
          <w:sz w:val="20"/>
        </w:rPr>
        <w:t>an increase</w:t>
      </w:r>
      <w:r>
        <w:rPr>
          <w:spacing w:val="-7"/>
          <w:sz w:val="20"/>
        </w:rPr>
        <w:t> </w:t>
      </w:r>
      <w:r>
        <w:rPr>
          <w:sz w:val="20"/>
        </w:rPr>
        <w:t>to the budget for 2023 over</w:t>
      </w:r>
      <w:r>
        <w:rPr>
          <w:spacing w:val="-4"/>
          <w:sz w:val="20"/>
        </w:rPr>
        <w:t> </w:t>
      </w:r>
      <w:r>
        <w:rPr>
          <w:sz w:val="20"/>
        </w:rPr>
        <w:t>the budget for 2022. The budget increase presented is based on a sound assessment of the operational needs of the Court, as well as the result of careful efforts to absorb new costs where</w:t>
      </w:r>
      <w:r>
        <w:rPr>
          <w:spacing w:val="-5"/>
          <w:sz w:val="20"/>
        </w:rPr>
        <w:t> </w:t>
      </w:r>
      <w:r>
        <w:rPr>
          <w:sz w:val="20"/>
        </w:rPr>
        <w:t>possible</w:t>
      </w:r>
      <w:r>
        <w:rPr>
          <w:spacing w:val="-5"/>
          <w:sz w:val="20"/>
        </w:rPr>
        <w:t> </w:t>
      </w:r>
      <w:r>
        <w:rPr>
          <w:sz w:val="20"/>
        </w:rPr>
        <w:t>through</w:t>
      </w:r>
      <w:r>
        <w:rPr>
          <w:spacing w:val="-7"/>
          <w:sz w:val="20"/>
        </w:rPr>
        <w:t> </w:t>
      </w:r>
      <w:r>
        <w:rPr>
          <w:sz w:val="20"/>
        </w:rPr>
        <w:t>reprioritization,</w:t>
      </w:r>
      <w:r>
        <w:rPr>
          <w:spacing w:val="-1"/>
          <w:sz w:val="20"/>
        </w:rPr>
        <w:t> </w:t>
      </w:r>
      <w:r>
        <w:rPr>
          <w:sz w:val="20"/>
        </w:rPr>
        <w:t>redeployments,</w:t>
      </w:r>
      <w:r>
        <w:rPr>
          <w:spacing w:val="-3"/>
          <w:sz w:val="20"/>
        </w:rPr>
        <w:t> </w:t>
      </w:r>
      <w:r>
        <w:rPr>
          <w:sz w:val="20"/>
        </w:rPr>
        <w:t>reductions,</w:t>
      </w:r>
      <w:r>
        <w:rPr>
          <w:spacing w:val="-4"/>
          <w:sz w:val="20"/>
        </w:rPr>
        <w:t> </w:t>
      </w:r>
      <w:r>
        <w:rPr>
          <w:sz w:val="20"/>
        </w:rPr>
        <w:t>savings</w:t>
      </w:r>
      <w:r>
        <w:rPr>
          <w:spacing w:val="-13"/>
          <w:sz w:val="20"/>
        </w:rPr>
        <w:t> </w:t>
      </w:r>
      <w:r>
        <w:rPr>
          <w:sz w:val="20"/>
        </w:rPr>
        <w:t>and</w:t>
      </w:r>
      <w:r>
        <w:rPr>
          <w:spacing w:val="-10"/>
          <w:sz w:val="20"/>
        </w:rPr>
        <w:t> </w:t>
      </w:r>
      <w:r>
        <w:rPr>
          <w:sz w:val="20"/>
        </w:rPr>
        <w:t>efficiencies, including as a result of multiple improvement exercises.</w:t>
      </w:r>
    </w:p>
    <w:p>
      <w:pPr>
        <w:pStyle w:val="ListParagraph"/>
        <w:numPr>
          <w:ilvl w:val="2"/>
          <w:numId w:val="3"/>
        </w:numPr>
        <w:tabs>
          <w:tab w:pos="2966" w:val="left" w:leader="none"/>
          <w:tab w:pos="2967" w:val="left" w:leader="none"/>
        </w:tabs>
        <w:spacing w:line="240" w:lineRule="auto" w:before="123" w:after="0"/>
        <w:ind w:left="2246" w:right="2241" w:firstLine="0"/>
        <w:jc w:val="both"/>
        <w:rPr>
          <w:sz w:val="20"/>
        </w:rPr>
      </w:pPr>
      <w:r>
        <w:rPr>
          <w:sz w:val="20"/>
        </w:rPr>
        <w:t>The Court is constantly evaluating its internal processes as part of its commitment to continuous improvement, to leverage the current global reality to its advantage and to evaluate the suitability of some of its structures and working methods in the new environment. In the light of the increasing workload of the Court (seen in a greater volume of judicial and prosecutorial activities), the Court needs to retain and reinforce its existing capabilities for the future. States’ investment in the Court’s capabilities over the years have allowed</w:t>
      </w:r>
      <w:r>
        <w:rPr>
          <w:spacing w:val="-13"/>
          <w:sz w:val="20"/>
        </w:rPr>
        <w:t> </w:t>
      </w:r>
      <w:r>
        <w:rPr>
          <w:sz w:val="20"/>
        </w:rPr>
        <w:t>the</w:t>
      </w:r>
      <w:r>
        <w:rPr>
          <w:spacing w:val="-12"/>
          <w:sz w:val="20"/>
        </w:rPr>
        <w:t> </w:t>
      </w:r>
      <w:r>
        <w:rPr>
          <w:sz w:val="20"/>
        </w:rPr>
        <w:t>Court</w:t>
      </w:r>
      <w:r>
        <w:rPr>
          <w:spacing w:val="-8"/>
          <w:sz w:val="20"/>
        </w:rPr>
        <w:t> </w:t>
      </w:r>
      <w:r>
        <w:rPr>
          <w:sz w:val="20"/>
        </w:rPr>
        <w:t>to</w:t>
      </w:r>
      <w:r>
        <w:rPr>
          <w:spacing w:val="-13"/>
          <w:sz w:val="20"/>
        </w:rPr>
        <w:t> </w:t>
      </w:r>
      <w:r>
        <w:rPr>
          <w:sz w:val="20"/>
        </w:rPr>
        <w:t>show</w:t>
      </w:r>
      <w:r>
        <w:rPr>
          <w:spacing w:val="-10"/>
          <w:sz w:val="20"/>
        </w:rPr>
        <w:t> </w:t>
      </w:r>
      <w:r>
        <w:rPr>
          <w:sz w:val="20"/>
        </w:rPr>
        <w:t>resilience,</w:t>
      </w:r>
      <w:r>
        <w:rPr>
          <w:spacing w:val="-7"/>
          <w:sz w:val="20"/>
        </w:rPr>
        <w:t> </w:t>
      </w:r>
      <w:r>
        <w:rPr>
          <w:sz w:val="20"/>
        </w:rPr>
        <w:t>flexibility,</w:t>
      </w:r>
      <w:r>
        <w:rPr>
          <w:spacing w:val="-7"/>
          <w:sz w:val="20"/>
        </w:rPr>
        <w:t> </w:t>
      </w:r>
      <w:r>
        <w:rPr>
          <w:sz w:val="20"/>
        </w:rPr>
        <w:t>readiness</w:t>
      </w:r>
      <w:r>
        <w:rPr>
          <w:spacing w:val="-11"/>
          <w:sz w:val="20"/>
        </w:rPr>
        <w:t> </w:t>
      </w:r>
      <w:r>
        <w:rPr>
          <w:sz w:val="20"/>
        </w:rPr>
        <w:t>and</w:t>
      </w:r>
      <w:r>
        <w:rPr>
          <w:spacing w:val="-9"/>
          <w:sz w:val="20"/>
        </w:rPr>
        <w:t> </w:t>
      </w:r>
      <w:r>
        <w:rPr>
          <w:sz w:val="20"/>
        </w:rPr>
        <w:t>adaptability</w:t>
      </w:r>
      <w:r>
        <w:rPr>
          <w:spacing w:val="-9"/>
          <w:sz w:val="20"/>
        </w:rPr>
        <w:t> </w:t>
      </w:r>
      <w:r>
        <w:rPr>
          <w:sz w:val="20"/>
        </w:rPr>
        <w:t>in</w:t>
      </w:r>
      <w:r>
        <w:rPr>
          <w:spacing w:val="-13"/>
          <w:sz w:val="20"/>
        </w:rPr>
        <w:t> </w:t>
      </w:r>
      <w:r>
        <w:rPr>
          <w:sz w:val="20"/>
        </w:rPr>
        <w:t>the</w:t>
      </w:r>
      <w:r>
        <w:rPr>
          <w:spacing w:val="-7"/>
          <w:sz w:val="20"/>
        </w:rPr>
        <w:t> </w:t>
      </w:r>
      <w:r>
        <w:rPr>
          <w:sz w:val="20"/>
        </w:rPr>
        <w:t>face</w:t>
      </w:r>
      <w:r>
        <w:rPr>
          <w:spacing w:val="-12"/>
          <w:sz w:val="20"/>
        </w:rPr>
        <w:t> </w:t>
      </w:r>
      <w:r>
        <w:rPr>
          <w:sz w:val="20"/>
        </w:rPr>
        <w:t>of</w:t>
      </w:r>
      <w:r>
        <w:rPr>
          <w:spacing w:val="-9"/>
          <w:sz w:val="20"/>
        </w:rPr>
        <w:t> </w:t>
      </w:r>
      <w:r>
        <w:rPr>
          <w:sz w:val="20"/>
        </w:rPr>
        <w:t>new challenges and ever-increasing demands on its mandate and activities.</w:t>
      </w:r>
    </w:p>
    <w:p>
      <w:pPr>
        <w:pStyle w:val="ListParagraph"/>
        <w:numPr>
          <w:ilvl w:val="2"/>
          <w:numId w:val="3"/>
        </w:numPr>
        <w:tabs>
          <w:tab w:pos="2967" w:val="left" w:leader="none"/>
        </w:tabs>
        <w:spacing w:line="240" w:lineRule="auto" w:before="119" w:after="0"/>
        <w:ind w:left="2246" w:right="2242" w:firstLine="0"/>
        <w:jc w:val="both"/>
        <w:rPr>
          <w:sz w:val="20"/>
        </w:rPr>
      </w:pPr>
      <w:r>
        <w:rPr>
          <w:sz w:val="20"/>
        </w:rPr>
        <w:t>In all, the Proposed Programme Budget for 2023 puts forward the budgetary requirements</w:t>
      </w:r>
      <w:r>
        <w:rPr>
          <w:spacing w:val="-5"/>
          <w:sz w:val="20"/>
        </w:rPr>
        <w:t> </w:t>
      </w:r>
      <w:r>
        <w:rPr>
          <w:sz w:val="20"/>
        </w:rPr>
        <w:t>that</w:t>
      </w:r>
      <w:r>
        <w:rPr>
          <w:spacing w:val="-3"/>
          <w:sz w:val="20"/>
        </w:rPr>
        <w:t> </w:t>
      </w:r>
      <w:r>
        <w:rPr>
          <w:sz w:val="20"/>
        </w:rPr>
        <w:t>are</w:t>
      </w:r>
      <w:r>
        <w:rPr>
          <w:spacing w:val="-7"/>
          <w:sz w:val="20"/>
        </w:rPr>
        <w:t> </w:t>
      </w:r>
      <w:r>
        <w:rPr>
          <w:sz w:val="20"/>
        </w:rPr>
        <w:t>necessary</w:t>
      </w:r>
      <w:r>
        <w:rPr>
          <w:spacing w:val="-8"/>
          <w:sz w:val="20"/>
        </w:rPr>
        <w:t> </w:t>
      </w:r>
      <w:r>
        <w:rPr>
          <w:sz w:val="20"/>
        </w:rPr>
        <w:t>to</w:t>
      </w:r>
      <w:r>
        <w:rPr>
          <w:spacing w:val="-4"/>
          <w:sz w:val="20"/>
        </w:rPr>
        <w:t> </w:t>
      </w:r>
      <w:r>
        <w:rPr>
          <w:sz w:val="20"/>
        </w:rPr>
        <w:t>respond</w:t>
      </w:r>
      <w:r>
        <w:rPr>
          <w:spacing w:val="-8"/>
          <w:sz w:val="20"/>
        </w:rPr>
        <w:t> </w:t>
      </w:r>
      <w:r>
        <w:rPr>
          <w:sz w:val="20"/>
        </w:rPr>
        <w:t>to</w:t>
      </w:r>
      <w:r>
        <w:rPr>
          <w:spacing w:val="-8"/>
          <w:sz w:val="20"/>
        </w:rPr>
        <w:t> </w:t>
      </w:r>
      <w:r>
        <w:rPr>
          <w:sz w:val="20"/>
        </w:rPr>
        <w:t>a</w:t>
      </w:r>
      <w:r>
        <w:rPr>
          <w:spacing w:val="-7"/>
          <w:sz w:val="20"/>
        </w:rPr>
        <w:t> </w:t>
      </w:r>
      <w:r>
        <w:rPr>
          <w:sz w:val="20"/>
        </w:rPr>
        <w:t>number</w:t>
      </w:r>
      <w:r>
        <w:rPr>
          <w:spacing w:val="-8"/>
          <w:sz w:val="20"/>
        </w:rPr>
        <w:t> </w:t>
      </w:r>
      <w:r>
        <w:rPr>
          <w:sz w:val="20"/>
        </w:rPr>
        <w:t>of</w:t>
      </w:r>
      <w:r>
        <w:rPr>
          <w:spacing w:val="-8"/>
          <w:sz w:val="20"/>
        </w:rPr>
        <w:t> </w:t>
      </w:r>
      <w:r>
        <w:rPr>
          <w:sz w:val="20"/>
        </w:rPr>
        <w:t>positive</w:t>
      </w:r>
      <w:r>
        <w:rPr>
          <w:spacing w:val="-7"/>
          <w:sz w:val="20"/>
        </w:rPr>
        <w:t> </w:t>
      </w:r>
      <w:r>
        <w:rPr>
          <w:sz w:val="20"/>
        </w:rPr>
        <w:t>operational</w:t>
      </w:r>
      <w:r>
        <w:rPr>
          <w:spacing w:val="-7"/>
          <w:sz w:val="20"/>
        </w:rPr>
        <w:t> </w:t>
      </w:r>
      <w:r>
        <w:rPr>
          <w:sz w:val="20"/>
        </w:rPr>
        <w:t>developments for the Court as a whole. It reflects a thoroughly considered budget proposal prepared with due regard for responsible and disciplined budget planning and the necessary resource requirements of the Court to effectively undertake its mandate under the Rome Statute.</w:t>
      </w:r>
    </w:p>
    <w:p>
      <w:pPr>
        <w:pStyle w:val="BodyText"/>
        <w:spacing w:before="7"/>
      </w:pPr>
    </w:p>
    <w:p>
      <w:pPr>
        <w:spacing w:before="1"/>
        <w:ind w:left="2246" w:right="0" w:firstLine="0"/>
        <w:jc w:val="left"/>
        <w:rPr>
          <w:b/>
          <w:sz w:val="20"/>
        </w:rPr>
      </w:pPr>
      <w:r>
        <w:rPr>
          <w:b/>
          <w:sz w:val="20"/>
        </w:rPr>
        <w:t>Table</w:t>
      </w:r>
      <w:r>
        <w:rPr>
          <w:b/>
          <w:spacing w:val="-5"/>
          <w:sz w:val="20"/>
        </w:rPr>
        <w:t> </w:t>
      </w:r>
      <w:r>
        <w:rPr>
          <w:b/>
          <w:sz w:val="20"/>
        </w:rPr>
        <w:t>1:</w:t>
      </w:r>
      <w:r>
        <w:rPr>
          <w:b/>
          <w:spacing w:val="-7"/>
          <w:sz w:val="20"/>
        </w:rPr>
        <w:t> </w:t>
      </w:r>
      <w:r>
        <w:rPr>
          <w:b/>
          <w:sz w:val="20"/>
        </w:rPr>
        <w:t>Overview</w:t>
      </w:r>
      <w:r>
        <w:rPr>
          <w:b/>
          <w:spacing w:val="-3"/>
          <w:sz w:val="20"/>
        </w:rPr>
        <w:t> </w:t>
      </w:r>
      <w:r>
        <w:rPr>
          <w:b/>
          <w:sz w:val="20"/>
        </w:rPr>
        <w:t>of</w:t>
      </w:r>
      <w:r>
        <w:rPr>
          <w:b/>
          <w:spacing w:val="-7"/>
          <w:sz w:val="20"/>
        </w:rPr>
        <w:t> </w:t>
      </w:r>
      <w:r>
        <w:rPr>
          <w:b/>
          <w:sz w:val="20"/>
        </w:rPr>
        <w:t>the</w:t>
      </w:r>
      <w:r>
        <w:rPr>
          <w:b/>
          <w:spacing w:val="-5"/>
          <w:sz w:val="20"/>
        </w:rPr>
        <w:t> </w:t>
      </w:r>
      <w:r>
        <w:rPr>
          <w:b/>
          <w:sz w:val="20"/>
        </w:rPr>
        <w:t>Proposed</w:t>
      </w:r>
      <w:r>
        <w:rPr>
          <w:b/>
          <w:spacing w:val="-8"/>
          <w:sz w:val="20"/>
        </w:rPr>
        <w:t> </w:t>
      </w:r>
      <w:r>
        <w:rPr>
          <w:b/>
          <w:sz w:val="20"/>
        </w:rPr>
        <w:t>Programme</w:t>
      </w:r>
      <w:r>
        <w:rPr>
          <w:b/>
          <w:spacing w:val="-4"/>
          <w:sz w:val="20"/>
        </w:rPr>
        <w:t> </w:t>
      </w:r>
      <w:r>
        <w:rPr>
          <w:b/>
          <w:sz w:val="20"/>
        </w:rPr>
        <w:t>Budget</w:t>
      </w:r>
      <w:r>
        <w:rPr>
          <w:b/>
          <w:spacing w:val="-7"/>
          <w:sz w:val="20"/>
        </w:rPr>
        <w:t> </w:t>
      </w:r>
      <w:r>
        <w:rPr>
          <w:b/>
          <w:sz w:val="20"/>
        </w:rPr>
        <w:t>for </w:t>
      </w:r>
      <w:r>
        <w:rPr>
          <w:b/>
          <w:spacing w:val="-4"/>
          <w:sz w:val="20"/>
        </w:rPr>
        <w:t>2023</w:t>
      </w:r>
    </w:p>
    <w:tbl>
      <w:tblPr>
        <w:tblW w:w="0" w:type="auto"/>
        <w:jc w:val="left"/>
        <w:tblInd w:w="18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18"/>
        <w:gridCol w:w="1808"/>
        <w:gridCol w:w="636"/>
        <w:gridCol w:w="883"/>
        <w:gridCol w:w="1709"/>
        <w:gridCol w:w="487"/>
        <w:gridCol w:w="1633"/>
      </w:tblGrid>
      <w:tr>
        <w:trPr>
          <w:trHeight w:val="350" w:hRule="atLeast"/>
        </w:trPr>
        <w:tc>
          <w:tcPr>
            <w:tcW w:w="2726" w:type="dxa"/>
            <w:gridSpan w:val="2"/>
            <w:tcBorders>
              <w:top w:val="single" w:sz="4" w:space="0" w:color="000000"/>
            </w:tcBorders>
          </w:tcPr>
          <w:p>
            <w:pPr>
              <w:pStyle w:val="TableParagraph"/>
              <w:jc w:val="left"/>
              <w:rPr>
                <w:sz w:val="18"/>
              </w:rPr>
            </w:pPr>
          </w:p>
        </w:tc>
        <w:tc>
          <w:tcPr>
            <w:tcW w:w="1519" w:type="dxa"/>
            <w:gridSpan w:val="2"/>
            <w:vMerge w:val="restart"/>
            <w:tcBorders>
              <w:top w:val="single" w:sz="4" w:space="0" w:color="000000"/>
              <w:bottom w:val="single" w:sz="4" w:space="0" w:color="000000"/>
            </w:tcBorders>
          </w:tcPr>
          <w:p>
            <w:pPr>
              <w:pStyle w:val="TableParagraph"/>
              <w:spacing w:line="207" w:lineRule="exact"/>
              <w:ind w:right="27"/>
              <w:rPr>
                <w:sz w:val="18"/>
              </w:rPr>
            </w:pPr>
            <w:r>
              <w:rPr>
                <w:spacing w:val="-4"/>
                <w:sz w:val="18"/>
              </w:rPr>
              <w:t>2022</w:t>
            </w:r>
          </w:p>
          <w:p>
            <w:pPr>
              <w:pStyle w:val="TableParagraph"/>
              <w:spacing w:line="206" w:lineRule="exact"/>
              <w:ind w:left="15" w:right="30" w:firstLine="182"/>
              <w:rPr>
                <w:sz w:val="18"/>
              </w:rPr>
            </w:pPr>
            <w:r>
              <w:rPr>
                <w:sz w:val="18"/>
              </w:rPr>
              <w:t>Approved</w:t>
            </w:r>
            <w:r>
              <w:rPr>
                <w:spacing w:val="-12"/>
                <w:sz w:val="18"/>
              </w:rPr>
              <w:t> </w:t>
            </w:r>
            <w:r>
              <w:rPr>
                <w:sz w:val="18"/>
              </w:rPr>
              <w:t>Budget (thousands</w:t>
            </w:r>
            <w:r>
              <w:rPr>
                <w:spacing w:val="-2"/>
                <w:sz w:val="18"/>
              </w:rPr>
              <w:t> </w:t>
            </w:r>
            <w:r>
              <w:rPr>
                <w:sz w:val="18"/>
              </w:rPr>
              <w:t>of</w:t>
            </w:r>
            <w:r>
              <w:rPr>
                <w:spacing w:val="-4"/>
                <w:sz w:val="18"/>
              </w:rPr>
              <w:t> </w:t>
            </w:r>
            <w:r>
              <w:rPr>
                <w:spacing w:val="-2"/>
                <w:sz w:val="18"/>
              </w:rPr>
              <w:t>euros)</w:t>
            </w:r>
          </w:p>
        </w:tc>
        <w:tc>
          <w:tcPr>
            <w:tcW w:w="2196" w:type="dxa"/>
            <w:gridSpan w:val="2"/>
            <w:tcBorders>
              <w:top w:val="single" w:sz="4" w:space="0" w:color="000000"/>
            </w:tcBorders>
          </w:tcPr>
          <w:p>
            <w:pPr>
              <w:pStyle w:val="TableParagraph"/>
              <w:tabs>
                <w:tab w:pos="388" w:val="left" w:leader="none"/>
                <w:tab w:pos="2088" w:val="left" w:leader="none"/>
              </w:tabs>
              <w:spacing w:before="67"/>
              <w:ind w:left="23"/>
              <w:jc w:val="left"/>
              <w:rPr>
                <w:sz w:val="18"/>
              </w:rPr>
            </w:pPr>
            <w:r>
              <w:rPr>
                <w:sz w:val="18"/>
                <w:u w:val="single"/>
              </w:rPr>
              <w:tab/>
              <w:t>Resource</w:t>
            </w:r>
            <w:r>
              <w:rPr>
                <w:spacing w:val="-2"/>
                <w:sz w:val="18"/>
                <w:u w:val="single"/>
              </w:rPr>
              <w:t> Changes</w:t>
            </w:r>
            <w:r>
              <w:rPr>
                <w:sz w:val="18"/>
                <w:u w:val="single"/>
              </w:rPr>
              <w:tab/>
            </w:r>
          </w:p>
        </w:tc>
        <w:tc>
          <w:tcPr>
            <w:tcW w:w="1633" w:type="dxa"/>
            <w:vMerge w:val="restart"/>
            <w:tcBorders>
              <w:top w:val="single" w:sz="4" w:space="0" w:color="000000"/>
              <w:bottom w:val="single" w:sz="4" w:space="0" w:color="000000"/>
            </w:tcBorders>
          </w:tcPr>
          <w:p>
            <w:pPr>
              <w:pStyle w:val="TableParagraph"/>
              <w:spacing w:line="207" w:lineRule="exact"/>
              <w:ind w:right="53"/>
              <w:rPr>
                <w:sz w:val="18"/>
              </w:rPr>
            </w:pPr>
            <w:r>
              <w:rPr>
                <w:spacing w:val="-2"/>
                <w:sz w:val="18"/>
              </w:rPr>
              <w:t>Proposed</w:t>
            </w:r>
          </w:p>
          <w:p>
            <w:pPr>
              <w:pStyle w:val="TableParagraph"/>
              <w:spacing w:line="206" w:lineRule="exact"/>
              <w:ind w:left="103" w:right="55" w:firstLine="542"/>
              <w:rPr>
                <w:sz w:val="18"/>
              </w:rPr>
            </w:pPr>
            <w:r>
              <w:rPr>
                <w:sz w:val="18"/>
              </w:rPr>
              <w:t>2023</w:t>
            </w:r>
            <w:r>
              <w:rPr>
                <w:spacing w:val="-12"/>
                <w:sz w:val="18"/>
              </w:rPr>
              <w:t> </w:t>
            </w:r>
            <w:r>
              <w:rPr>
                <w:sz w:val="18"/>
              </w:rPr>
              <w:t>Budget (thousands</w:t>
            </w:r>
            <w:r>
              <w:rPr>
                <w:spacing w:val="-2"/>
                <w:sz w:val="18"/>
              </w:rPr>
              <w:t> </w:t>
            </w:r>
            <w:r>
              <w:rPr>
                <w:sz w:val="18"/>
              </w:rPr>
              <w:t>of</w:t>
            </w:r>
            <w:r>
              <w:rPr>
                <w:spacing w:val="-4"/>
                <w:sz w:val="18"/>
              </w:rPr>
              <w:t> </w:t>
            </w:r>
            <w:r>
              <w:rPr>
                <w:spacing w:val="-2"/>
                <w:sz w:val="18"/>
              </w:rPr>
              <w:t>euros)</w:t>
            </w:r>
          </w:p>
        </w:tc>
      </w:tr>
      <w:tr>
        <w:trPr>
          <w:trHeight w:val="263" w:hRule="atLeast"/>
        </w:trPr>
        <w:tc>
          <w:tcPr>
            <w:tcW w:w="2726" w:type="dxa"/>
            <w:gridSpan w:val="2"/>
            <w:tcBorders>
              <w:bottom w:val="single" w:sz="4" w:space="0" w:color="000000"/>
            </w:tcBorders>
          </w:tcPr>
          <w:p>
            <w:pPr>
              <w:pStyle w:val="TableParagraph"/>
              <w:spacing w:line="186" w:lineRule="exact" w:before="57"/>
              <w:ind w:left="72"/>
              <w:jc w:val="left"/>
              <w:rPr>
                <w:b/>
                <w:sz w:val="18"/>
              </w:rPr>
            </w:pPr>
            <w:r>
              <w:rPr>
                <w:b/>
                <w:sz w:val="18"/>
              </w:rPr>
              <w:t>Programme</w:t>
            </w:r>
            <w:r>
              <w:rPr>
                <w:b/>
                <w:spacing w:val="-7"/>
                <w:sz w:val="18"/>
              </w:rPr>
              <w:t> </w:t>
            </w:r>
            <w:r>
              <w:rPr>
                <w:b/>
                <w:sz w:val="18"/>
              </w:rPr>
              <w:t>Budget</w:t>
            </w:r>
            <w:r>
              <w:rPr>
                <w:b/>
                <w:spacing w:val="-1"/>
                <w:sz w:val="18"/>
              </w:rPr>
              <w:t> </w:t>
            </w:r>
            <w:r>
              <w:rPr>
                <w:b/>
                <w:spacing w:val="-4"/>
                <w:sz w:val="18"/>
              </w:rPr>
              <w:t>2023</w:t>
            </w:r>
          </w:p>
        </w:tc>
        <w:tc>
          <w:tcPr>
            <w:tcW w:w="1519" w:type="dxa"/>
            <w:gridSpan w:val="2"/>
            <w:vMerge/>
            <w:tcBorders>
              <w:top w:val="nil"/>
              <w:bottom w:val="single" w:sz="4" w:space="0" w:color="000000"/>
            </w:tcBorders>
          </w:tcPr>
          <w:p>
            <w:pPr>
              <w:rPr>
                <w:sz w:val="2"/>
                <w:szCs w:val="2"/>
              </w:rPr>
            </w:pPr>
          </w:p>
        </w:tc>
        <w:tc>
          <w:tcPr>
            <w:tcW w:w="1709" w:type="dxa"/>
            <w:tcBorders>
              <w:bottom w:val="single" w:sz="4" w:space="0" w:color="000000"/>
            </w:tcBorders>
          </w:tcPr>
          <w:p>
            <w:pPr>
              <w:pStyle w:val="TableParagraph"/>
              <w:spacing w:line="186" w:lineRule="exact" w:before="57"/>
              <w:ind w:right="643"/>
              <w:rPr>
                <w:sz w:val="18"/>
              </w:rPr>
            </w:pPr>
            <w:r>
              <w:rPr>
                <w:spacing w:val="-2"/>
                <w:sz w:val="18"/>
              </w:rPr>
              <w:t>Amount</w:t>
            </w:r>
          </w:p>
        </w:tc>
        <w:tc>
          <w:tcPr>
            <w:tcW w:w="487" w:type="dxa"/>
            <w:tcBorders>
              <w:bottom w:val="single" w:sz="4" w:space="0" w:color="000000"/>
            </w:tcBorders>
          </w:tcPr>
          <w:p>
            <w:pPr>
              <w:pStyle w:val="TableParagraph"/>
              <w:spacing w:line="186" w:lineRule="exact" w:before="57"/>
              <w:ind w:right="155"/>
              <w:rPr>
                <w:sz w:val="18"/>
              </w:rPr>
            </w:pPr>
            <w:r>
              <w:rPr>
                <w:w w:val="101"/>
                <w:sz w:val="18"/>
              </w:rPr>
              <w:t>%</w:t>
            </w:r>
          </w:p>
        </w:tc>
        <w:tc>
          <w:tcPr>
            <w:tcW w:w="1633" w:type="dxa"/>
            <w:vMerge/>
            <w:tcBorders>
              <w:top w:val="nil"/>
              <w:bottom w:val="single" w:sz="4" w:space="0" w:color="000000"/>
            </w:tcBorders>
          </w:tcPr>
          <w:p>
            <w:pPr>
              <w:rPr>
                <w:sz w:val="2"/>
                <w:szCs w:val="2"/>
              </w:rPr>
            </w:pPr>
          </w:p>
        </w:tc>
      </w:tr>
      <w:tr>
        <w:trPr>
          <w:trHeight w:val="340" w:hRule="atLeast"/>
        </w:trPr>
        <w:tc>
          <w:tcPr>
            <w:tcW w:w="918" w:type="dxa"/>
            <w:tcBorders>
              <w:top w:val="single" w:sz="4" w:space="0" w:color="000000"/>
              <w:bottom w:val="single" w:sz="4" w:space="0" w:color="000000"/>
            </w:tcBorders>
          </w:tcPr>
          <w:p>
            <w:pPr>
              <w:pStyle w:val="TableParagraph"/>
              <w:spacing w:before="67"/>
              <w:ind w:left="72"/>
              <w:jc w:val="left"/>
              <w:rPr>
                <w:sz w:val="18"/>
              </w:rPr>
            </w:pPr>
            <w:r>
              <w:rPr>
                <w:sz w:val="18"/>
              </w:rPr>
              <w:t>MP</w:t>
            </w:r>
            <w:r>
              <w:rPr>
                <w:spacing w:val="4"/>
                <w:sz w:val="18"/>
              </w:rPr>
              <w:t> </w:t>
            </w:r>
            <w:r>
              <w:rPr>
                <w:spacing w:val="-10"/>
                <w:sz w:val="18"/>
              </w:rPr>
              <w:t>I</w:t>
            </w:r>
          </w:p>
        </w:tc>
        <w:tc>
          <w:tcPr>
            <w:tcW w:w="1808" w:type="dxa"/>
            <w:tcBorders>
              <w:top w:val="single" w:sz="4" w:space="0" w:color="000000"/>
              <w:bottom w:val="single" w:sz="4" w:space="0" w:color="000000"/>
            </w:tcBorders>
          </w:tcPr>
          <w:p>
            <w:pPr>
              <w:pStyle w:val="TableParagraph"/>
              <w:spacing w:before="67"/>
              <w:ind w:left="56"/>
              <w:jc w:val="left"/>
              <w:rPr>
                <w:sz w:val="18"/>
              </w:rPr>
            </w:pPr>
            <w:r>
              <w:rPr>
                <w:spacing w:val="-2"/>
                <w:sz w:val="18"/>
              </w:rPr>
              <w:t>Judiciary</w:t>
            </w:r>
          </w:p>
        </w:tc>
        <w:tc>
          <w:tcPr>
            <w:tcW w:w="636" w:type="dxa"/>
            <w:tcBorders>
              <w:top w:val="single" w:sz="4" w:space="0" w:color="000000"/>
              <w:bottom w:val="single" w:sz="4" w:space="0" w:color="000000"/>
            </w:tcBorders>
          </w:tcPr>
          <w:p>
            <w:pPr>
              <w:pStyle w:val="TableParagraph"/>
              <w:jc w:val="left"/>
              <w:rPr>
                <w:sz w:val="18"/>
              </w:rPr>
            </w:pPr>
          </w:p>
        </w:tc>
        <w:tc>
          <w:tcPr>
            <w:tcW w:w="883" w:type="dxa"/>
            <w:tcBorders>
              <w:top w:val="single" w:sz="4" w:space="0" w:color="000000"/>
              <w:bottom w:val="single" w:sz="4" w:space="0" w:color="000000"/>
            </w:tcBorders>
          </w:tcPr>
          <w:p>
            <w:pPr>
              <w:pStyle w:val="TableParagraph"/>
              <w:spacing w:before="67"/>
              <w:ind w:right="22"/>
              <w:rPr>
                <w:sz w:val="18"/>
              </w:rPr>
            </w:pPr>
            <w:r>
              <w:rPr>
                <w:spacing w:val="-2"/>
                <w:sz w:val="18"/>
              </w:rPr>
              <w:t>12,385.7</w:t>
            </w:r>
          </w:p>
        </w:tc>
        <w:tc>
          <w:tcPr>
            <w:tcW w:w="1709" w:type="dxa"/>
            <w:tcBorders>
              <w:top w:val="single" w:sz="4" w:space="0" w:color="000000"/>
              <w:bottom w:val="single" w:sz="4" w:space="0" w:color="000000"/>
            </w:tcBorders>
          </w:tcPr>
          <w:p>
            <w:pPr>
              <w:pStyle w:val="TableParagraph"/>
              <w:spacing w:before="67"/>
              <w:ind w:right="641"/>
              <w:rPr>
                <w:sz w:val="18"/>
              </w:rPr>
            </w:pPr>
            <w:r>
              <w:rPr>
                <w:spacing w:val="-2"/>
                <w:sz w:val="18"/>
              </w:rPr>
              <w:t>1,614.4</w:t>
            </w:r>
          </w:p>
        </w:tc>
        <w:tc>
          <w:tcPr>
            <w:tcW w:w="487" w:type="dxa"/>
            <w:tcBorders>
              <w:top w:val="single" w:sz="4" w:space="0" w:color="000000"/>
              <w:bottom w:val="single" w:sz="4" w:space="0" w:color="000000"/>
            </w:tcBorders>
          </w:tcPr>
          <w:p>
            <w:pPr>
              <w:pStyle w:val="TableParagraph"/>
              <w:spacing w:before="67"/>
              <w:ind w:left="-19" w:right="153"/>
              <w:rPr>
                <w:sz w:val="18"/>
              </w:rPr>
            </w:pPr>
            <w:r>
              <w:rPr>
                <w:spacing w:val="-4"/>
                <w:sz w:val="18"/>
              </w:rPr>
              <w:t>13.0</w:t>
            </w:r>
          </w:p>
        </w:tc>
        <w:tc>
          <w:tcPr>
            <w:tcW w:w="1633" w:type="dxa"/>
            <w:tcBorders>
              <w:top w:val="single" w:sz="4" w:space="0" w:color="000000"/>
              <w:bottom w:val="single" w:sz="4" w:space="0" w:color="000000"/>
            </w:tcBorders>
          </w:tcPr>
          <w:p>
            <w:pPr>
              <w:pStyle w:val="TableParagraph"/>
              <w:spacing w:before="67"/>
              <w:ind w:right="53"/>
              <w:rPr>
                <w:sz w:val="18"/>
              </w:rPr>
            </w:pPr>
            <w:r>
              <w:rPr>
                <w:spacing w:val="-2"/>
                <w:sz w:val="18"/>
              </w:rPr>
              <w:t>14,000.1</w:t>
            </w:r>
          </w:p>
        </w:tc>
      </w:tr>
      <w:tr>
        <w:trPr>
          <w:trHeight w:val="338" w:hRule="atLeast"/>
        </w:trPr>
        <w:tc>
          <w:tcPr>
            <w:tcW w:w="918" w:type="dxa"/>
            <w:tcBorders>
              <w:top w:val="single" w:sz="4" w:space="0" w:color="000000"/>
              <w:bottom w:val="single" w:sz="6" w:space="0" w:color="000000"/>
            </w:tcBorders>
          </w:tcPr>
          <w:p>
            <w:pPr>
              <w:pStyle w:val="TableParagraph"/>
              <w:spacing w:before="67"/>
              <w:ind w:left="72"/>
              <w:jc w:val="left"/>
              <w:rPr>
                <w:sz w:val="18"/>
              </w:rPr>
            </w:pPr>
            <w:r>
              <w:rPr>
                <w:sz w:val="18"/>
              </w:rPr>
              <w:t>MP</w:t>
            </w:r>
            <w:r>
              <w:rPr>
                <w:spacing w:val="4"/>
                <w:sz w:val="18"/>
              </w:rPr>
              <w:t> </w:t>
            </w:r>
            <w:r>
              <w:rPr>
                <w:spacing w:val="-5"/>
                <w:sz w:val="18"/>
              </w:rPr>
              <w:t>II</w:t>
            </w:r>
          </w:p>
        </w:tc>
        <w:tc>
          <w:tcPr>
            <w:tcW w:w="1808" w:type="dxa"/>
            <w:tcBorders>
              <w:top w:val="single" w:sz="4" w:space="0" w:color="000000"/>
              <w:bottom w:val="single" w:sz="6" w:space="0" w:color="000000"/>
            </w:tcBorders>
          </w:tcPr>
          <w:p>
            <w:pPr>
              <w:pStyle w:val="TableParagraph"/>
              <w:spacing w:before="67"/>
              <w:ind w:left="56"/>
              <w:jc w:val="left"/>
              <w:rPr>
                <w:sz w:val="18"/>
              </w:rPr>
            </w:pPr>
            <w:r>
              <w:rPr>
                <w:sz w:val="18"/>
              </w:rPr>
              <w:t>Office</w:t>
            </w:r>
            <w:r>
              <w:rPr>
                <w:spacing w:val="-2"/>
                <w:sz w:val="18"/>
              </w:rPr>
              <w:t> </w:t>
            </w:r>
            <w:r>
              <w:rPr>
                <w:sz w:val="18"/>
              </w:rPr>
              <w:t>of</w:t>
            </w:r>
            <w:r>
              <w:rPr>
                <w:spacing w:val="-1"/>
                <w:sz w:val="18"/>
              </w:rPr>
              <w:t> </w:t>
            </w:r>
            <w:r>
              <w:rPr>
                <w:sz w:val="18"/>
              </w:rPr>
              <w:t>the </w:t>
            </w:r>
            <w:r>
              <w:rPr>
                <w:spacing w:val="-2"/>
                <w:sz w:val="18"/>
              </w:rPr>
              <w:t>Prosecutor</w:t>
            </w:r>
          </w:p>
        </w:tc>
        <w:tc>
          <w:tcPr>
            <w:tcW w:w="636" w:type="dxa"/>
            <w:tcBorders>
              <w:top w:val="single" w:sz="4" w:space="0" w:color="000000"/>
              <w:bottom w:val="single" w:sz="6" w:space="0" w:color="000000"/>
            </w:tcBorders>
          </w:tcPr>
          <w:p>
            <w:pPr>
              <w:pStyle w:val="TableParagraph"/>
              <w:jc w:val="left"/>
              <w:rPr>
                <w:sz w:val="18"/>
              </w:rPr>
            </w:pPr>
          </w:p>
        </w:tc>
        <w:tc>
          <w:tcPr>
            <w:tcW w:w="883" w:type="dxa"/>
            <w:tcBorders>
              <w:top w:val="single" w:sz="4" w:space="0" w:color="000000"/>
              <w:bottom w:val="single" w:sz="6" w:space="0" w:color="000000"/>
            </w:tcBorders>
          </w:tcPr>
          <w:p>
            <w:pPr>
              <w:pStyle w:val="TableParagraph"/>
              <w:spacing w:before="67"/>
              <w:ind w:right="22"/>
              <w:rPr>
                <w:sz w:val="18"/>
              </w:rPr>
            </w:pPr>
            <w:r>
              <w:rPr>
                <w:spacing w:val="-2"/>
                <w:sz w:val="18"/>
              </w:rPr>
              <w:t>49,546.4</w:t>
            </w:r>
          </w:p>
        </w:tc>
        <w:tc>
          <w:tcPr>
            <w:tcW w:w="1709" w:type="dxa"/>
            <w:tcBorders>
              <w:top w:val="single" w:sz="4" w:space="0" w:color="000000"/>
              <w:bottom w:val="single" w:sz="6" w:space="0" w:color="000000"/>
            </w:tcBorders>
          </w:tcPr>
          <w:p>
            <w:pPr>
              <w:pStyle w:val="TableParagraph"/>
              <w:spacing w:before="67"/>
              <w:ind w:right="641"/>
              <w:rPr>
                <w:sz w:val="18"/>
              </w:rPr>
            </w:pPr>
            <w:r>
              <w:rPr>
                <w:spacing w:val="-2"/>
                <w:sz w:val="18"/>
              </w:rPr>
              <w:t>9,791.8</w:t>
            </w:r>
          </w:p>
        </w:tc>
        <w:tc>
          <w:tcPr>
            <w:tcW w:w="487" w:type="dxa"/>
            <w:tcBorders>
              <w:top w:val="single" w:sz="4" w:space="0" w:color="000000"/>
              <w:bottom w:val="single" w:sz="6" w:space="0" w:color="000000"/>
            </w:tcBorders>
          </w:tcPr>
          <w:p>
            <w:pPr>
              <w:pStyle w:val="TableParagraph"/>
              <w:spacing w:before="67"/>
              <w:ind w:left="-19" w:right="153"/>
              <w:rPr>
                <w:sz w:val="18"/>
              </w:rPr>
            </w:pPr>
            <w:r>
              <w:rPr>
                <w:spacing w:val="-4"/>
                <w:sz w:val="18"/>
              </w:rPr>
              <w:t>19.8</w:t>
            </w:r>
          </w:p>
        </w:tc>
        <w:tc>
          <w:tcPr>
            <w:tcW w:w="1633" w:type="dxa"/>
            <w:tcBorders>
              <w:top w:val="single" w:sz="4" w:space="0" w:color="000000"/>
              <w:bottom w:val="single" w:sz="6" w:space="0" w:color="000000"/>
            </w:tcBorders>
          </w:tcPr>
          <w:p>
            <w:pPr>
              <w:pStyle w:val="TableParagraph"/>
              <w:spacing w:before="67"/>
              <w:ind w:right="53"/>
              <w:rPr>
                <w:sz w:val="18"/>
              </w:rPr>
            </w:pPr>
            <w:r>
              <w:rPr>
                <w:spacing w:val="-2"/>
                <w:sz w:val="18"/>
              </w:rPr>
              <w:t>59,338.2</w:t>
            </w:r>
          </w:p>
        </w:tc>
      </w:tr>
      <w:tr>
        <w:trPr>
          <w:trHeight w:val="338" w:hRule="atLeast"/>
        </w:trPr>
        <w:tc>
          <w:tcPr>
            <w:tcW w:w="918" w:type="dxa"/>
            <w:tcBorders>
              <w:top w:val="single" w:sz="6" w:space="0" w:color="000000"/>
              <w:bottom w:val="single" w:sz="4" w:space="0" w:color="000000"/>
            </w:tcBorders>
          </w:tcPr>
          <w:p>
            <w:pPr>
              <w:pStyle w:val="TableParagraph"/>
              <w:spacing w:before="64"/>
              <w:ind w:left="72"/>
              <w:jc w:val="left"/>
              <w:rPr>
                <w:sz w:val="18"/>
              </w:rPr>
            </w:pPr>
            <w:r>
              <w:rPr>
                <w:sz w:val="18"/>
              </w:rPr>
              <w:t>MP</w:t>
            </w:r>
            <w:r>
              <w:rPr>
                <w:spacing w:val="4"/>
                <w:sz w:val="18"/>
              </w:rPr>
              <w:t> </w:t>
            </w:r>
            <w:r>
              <w:rPr>
                <w:spacing w:val="-5"/>
                <w:sz w:val="18"/>
              </w:rPr>
              <w:t>III</w:t>
            </w:r>
          </w:p>
        </w:tc>
        <w:tc>
          <w:tcPr>
            <w:tcW w:w="1808" w:type="dxa"/>
            <w:tcBorders>
              <w:top w:val="single" w:sz="6" w:space="0" w:color="000000"/>
              <w:bottom w:val="single" w:sz="4" w:space="0" w:color="000000"/>
            </w:tcBorders>
          </w:tcPr>
          <w:p>
            <w:pPr>
              <w:pStyle w:val="TableParagraph"/>
              <w:spacing w:before="64"/>
              <w:ind w:left="56"/>
              <w:jc w:val="left"/>
              <w:rPr>
                <w:sz w:val="18"/>
              </w:rPr>
            </w:pPr>
            <w:r>
              <w:rPr>
                <w:spacing w:val="-2"/>
                <w:sz w:val="18"/>
              </w:rPr>
              <w:t>Registry</w:t>
            </w:r>
          </w:p>
        </w:tc>
        <w:tc>
          <w:tcPr>
            <w:tcW w:w="636" w:type="dxa"/>
            <w:tcBorders>
              <w:top w:val="single" w:sz="6" w:space="0" w:color="000000"/>
              <w:bottom w:val="single" w:sz="4" w:space="0" w:color="000000"/>
            </w:tcBorders>
          </w:tcPr>
          <w:p>
            <w:pPr>
              <w:pStyle w:val="TableParagraph"/>
              <w:jc w:val="left"/>
              <w:rPr>
                <w:sz w:val="18"/>
              </w:rPr>
            </w:pPr>
          </w:p>
        </w:tc>
        <w:tc>
          <w:tcPr>
            <w:tcW w:w="883" w:type="dxa"/>
            <w:tcBorders>
              <w:top w:val="single" w:sz="6" w:space="0" w:color="000000"/>
              <w:bottom w:val="single" w:sz="4" w:space="0" w:color="000000"/>
            </w:tcBorders>
          </w:tcPr>
          <w:p>
            <w:pPr>
              <w:pStyle w:val="TableParagraph"/>
              <w:spacing w:before="64"/>
              <w:ind w:right="22"/>
              <w:rPr>
                <w:sz w:val="18"/>
              </w:rPr>
            </w:pPr>
            <w:r>
              <w:rPr>
                <w:spacing w:val="-2"/>
                <w:sz w:val="18"/>
              </w:rPr>
              <w:t>79,219.2</w:t>
            </w:r>
          </w:p>
        </w:tc>
        <w:tc>
          <w:tcPr>
            <w:tcW w:w="1709" w:type="dxa"/>
            <w:tcBorders>
              <w:top w:val="single" w:sz="6" w:space="0" w:color="000000"/>
              <w:bottom w:val="single" w:sz="4" w:space="0" w:color="000000"/>
            </w:tcBorders>
          </w:tcPr>
          <w:p>
            <w:pPr>
              <w:pStyle w:val="TableParagraph"/>
              <w:spacing w:before="64"/>
              <w:ind w:right="641"/>
              <w:rPr>
                <w:sz w:val="18"/>
              </w:rPr>
            </w:pPr>
            <w:r>
              <w:rPr>
                <w:spacing w:val="-2"/>
                <w:sz w:val="18"/>
              </w:rPr>
              <w:t>11,187.9</w:t>
            </w:r>
          </w:p>
        </w:tc>
        <w:tc>
          <w:tcPr>
            <w:tcW w:w="487" w:type="dxa"/>
            <w:tcBorders>
              <w:top w:val="single" w:sz="6" w:space="0" w:color="000000"/>
              <w:bottom w:val="single" w:sz="4" w:space="0" w:color="000000"/>
            </w:tcBorders>
          </w:tcPr>
          <w:p>
            <w:pPr>
              <w:pStyle w:val="TableParagraph"/>
              <w:spacing w:before="64"/>
              <w:ind w:left="-19" w:right="153"/>
              <w:rPr>
                <w:sz w:val="18"/>
              </w:rPr>
            </w:pPr>
            <w:r>
              <w:rPr>
                <w:spacing w:val="-4"/>
                <w:sz w:val="18"/>
              </w:rPr>
              <w:t>14.1</w:t>
            </w:r>
          </w:p>
        </w:tc>
        <w:tc>
          <w:tcPr>
            <w:tcW w:w="1633" w:type="dxa"/>
            <w:tcBorders>
              <w:top w:val="single" w:sz="6" w:space="0" w:color="000000"/>
              <w:bottom w:val="single" w:sz="4" w:space="0" w:color="000000"/>
            </w:tcBorders>
          </w:tcPr>
          <w:p>
            <w:pPr>
              <w:pStyle w:val="TableParagraph"/>
              <w:spacing w:before="64"/>
              <w:ind w:right="53"/>
              <w:rPr>
                <w:sz w:val="18"/>
              </w:rPr>
            </w:pPr>
            <w:r>
              <w:rPr>
                <w:spacing w:val="-2"/>
                <w:sz w:val="18"/>
              </w:rPr>
              <w:t>90,407.1</w:t>
            </w:r>
          </w:p>
        </w:tc>
      </w:tr>
      <w:tr>
        <w:trPr>
          <w:trHeight w:val="412" w:hRule="atLeast"/>
        </w:trPr>
        <w:tc>
          <w:tcPr>
            <w:tcW w:w="918" w:type="dxa"/>
            <w:tcBorders>
              <w:top w:val="single" w:sz="4" w:space="0" w:color="000000"/>
              <w:bottom w:val="single" w:sz="4" w:space="0" w:color="000000"/>
            </w:tcBorders>
          </w:tcPr>
          <w:p>
            <w:pPr>
              <w:pStyle w:val="TableParagraph"/>
              <w:spacing w:before="100"/>
              <w:ind w:left="72"/>
              <w:jc w:val="left"/>
              <w:rPr>
                <w:sz w:val="18"/>
              </w:rPr>
            </w:pPr>
            <w:r>
              <w:rPr>
                <w:sz w:val="18"/>
              </w:rPr>
              <w:t>MP</w:t>
            </w:r>
            <w:r>
              <w:rPr>
                <w:spacing w:val="4"/>
                <w:sz w:val="18"/>
              </w:rPr>
              <w:t> </w:t>
            </w:r>
            <w:r>
              <w:rPr>
                <w:spacing w:val="-5"/>
                <w:sz w:val="18"/>
              </w:rPr>
              <w:t>IV</w:t>
            </w:r>
          </w:p>
        </w:tc>
        <w:tc>
          <w:tcPr>
            <w:tcW w:w="2444" w:type="dxa"/>
            <w:gridSpan w:val="2"/>
            <w:tcBorders>
              <w:top w:val="single" w:sz="4" w:space="0" w:color="000000"/>
              <w:bottom w:val="single" w:sz="4" w:space="0" w:color="000000"/>
            </w:tcBorders>
          </w:tcPr>
          <w:p>
            <w:pPr>
              <w:pStyle w:val="TableParagraph"/>
              <w:spacing w:line="206" w:lineRule="exact"/>
              <w:ind w:left="56" w:right="297"/>
              <w:jc w:val="left"/>
              <w:rPr>
                <w:sz w:val="18"/>
              </w:rPr>
            </w:pPr>
            <w:r>
              <w:rPr>
                <w:sz w:val="18"/>
              </w:rPr>
              <w:t>Secretariat</w:t>
            </w:r>
            <w:r>
              <w:rPr>
                <w:spacing w:val="-12"/>
                <w:sz w:val="18"/>
              </w:rPr>
              <w:t> </w:t>
            </w:r>
            <w:r>
              <w:rPr>
                <w:sz w:val="18"/>
              </w:rPr>
              <w:t>of</w:t>
            </w:r>
            <w:r>
              <w:rPr>
                <w:spacing w:val="-11"/>
                <w:sz w:val="18"/>
              </w:rPr>
              <w:t> </w:t>
            </w:r>
            <w:r>
              <w:rPr>
                <w:sz w:val="18"/>
              </w:rPr>
              <w:t>the</w:t>
            </w:r>
            <w:r>
              <w:rPr>
                <w:spacing w:val="-11"/>
                <w:sz w:val="18"/>
              </w:rPr>
              <w:t> </w:t>
            </w:r>
            <w:r>
              <w:rPr>
                <w:sz w:val="18"/>
              </w:rPr>
              <w:t>Assembly of States Parties</w:t>
            </w:r>
          </w:p>
        </w:tc>
        <w:tc>
          <w:tcPr>
            <w:tcW w:w="883" w:type="dxa"/>
            <w:tcBorders>
              <w:top w:val="single" w:sz="4" w:space="0" w:color="000000"/>
              <w:bottom w:val="single" w:sz="4" w:space="0" w:color="000000"/>
            </w:tcBorders>
          </w:tcPr>
          <w:p>
            <w:pPr>
              <w:pStyle w:val="TableParagraph"/>
              <w:spacing w:before="100"/>
              <w:ind w:right="22"/>
              <w:rPr>
                <w:sz w:val="18"/>
              </w:rPr>
            </w:pPr>
            <w:r>
              <w:rPr>
                <w:spacing w:val="-2"/>
                <w:sz w:val="18"/>
              </w:rPr>
              <w:t>3,025.6</w:t>
            </w:r>
          </w:p>
        </w:tc>
        <w:tc>
          <w:tcPr>
            <w:tcW w:w="1709" w:type="dxa"/>
            <w:tcBorders>
              <w:top w:val="single" w:sz="4" w:space="0" w:color="000000"/>
              <w:bottom w:val="single" w:sz="4" w:space="0" w:color="000000"/>
            </w:tcBorders>
          </w:tcPr>
          <w:p>
            <w:pPr>
              <w:pStyle w:val="TableParagraph"/>
              <w:spacing w:before="100"/>
              <w:ind w:right="643"/>
              <w:rPr>
                <w:sz w:val="18"/>
              </w:rPr>
            </w:pPr>
            <w:r>
              <w:rPr>
                <w:spacing w:val="-2"/>
                <w:sz w:val="18"/>
              </w:rPr>
              <w:t>(13.8)</w:t>
            </w:r>
          </w:p>
        </w:tc>
        <w:tc>
          <w:tcPr>
            <w:tcW w:w="487" w:type="dxa"/>
            <w:tcBorders>
              <w:top w:val="single" w:sz="4" w:space="0" w:color="000000"/>
              <w:bottom w:val="single" w:sz="4" w:space="0" w:color="000000"/>
            </w:tcBorders>
          </w:tcPr>
          <w:p>
            <w:pPr>
              <w:pStyle w:val="TableParagraph"/>
              <w:spacing w:before="100"/>
              <w:ind w:left="-19" w:right="155"/>
              <w:rPr>
                <w:sz w:val="18"/>
              </w:rPr>
            </w:pPr>
            <w:r>
              <w:rPr>
                <w:spacing w:val="-2"/>
                <w:sz w:val="18"/>
              </w:rPr>
              <w:t>(0.5)</w:t>
            </w:r>
          </w:p>
        </w:tc>
        <w:tc>
          <w:tcPr>
            <w:tcW w:w="1633" w:type="dxa"/>
            <w:tcBorders>
              <w:top w:val="single" w:sz="4" w:space="0" w:color="000000"/>
              <w:bottom w:val="single" w:sz="4" w:space="0" w:color="000000"/>
            </w:tcBorders>
          </w:tcPr>
          <w:p>
            <w:pPr>
              <w:pStyle w:val="TableParagraph"/>
              <w:spacing w:before="100"/>
              <w:ind w:right="53"/>
              <w:rPr>
                <w:sz w:val="18"/>
              </w:rPr>
            </w:pPr>
            <w:r>
              <w:rPr>
                <w:spacing w:val="-2"/>
                <w:sz w:val="18"/>
              </w:rPr>
              <w:t>3,011.8</w:t>
            </w:r>
          </w:p>
        </w:tc>
      </w:tr>
      <w:tr>
        <w:trPr>
          <w:trHeight w:val="340" w:hRule="atLeast"/>
        </w:trPr>
        <w:tc>
          <w:tcPr>
            <w:tcW w:w="918" w:type="dxa"/>
            <w:tcBorders>
              <w:top w:val="single" w:sz="4" w:space="0" w:color="000000"/>
              <w:bottom w:val="single" w:sz="4" w:space="0" w:color="000000"/>
            </w:tcBorders>
          </w:tcPr>
          <w:p>
            <w:pPr>
              <w:pStyle w:val="TableParagraph"/>
              <w:spacing w:before="67"/>
              <w:ind w:left="72"/>
              <w:jc w:val="left"/>
              <w:rPr>
                <w:sz w:val="18"/>
              </w:rPr>
            </w:pPr>
            <w:r>
              <w:rPr>
                <w:sz w:val="18"/>
              </w:rPr>
              <w:t>MP</w:t>
            </w:r>
            <w:r>
              <w:rPr>
                <w:spacing w:val="4"/>
                <w:sz w:val="18"/>
              </w:rPr>
              <w:t> </w:t>
            </w:r>
            <w:r>
              <w:rPr>
                <w:spacing w:val="-10"/>
                <w:sz w:val="18"/>
              </w:rPr>
              <w:t>V</w:t>
            </w:r>
          </w:p>
        </w:tc>
        <w:tc>
          <w:tcPr>
            <w:tcW w:w="1808" w:type="dxa"/>
            <w:tcBorders>
              <w:top w:val="single" w:sz="4" w:space="0" w:color="000000"/>
              <w:bottom w:val="single" w:sz="4" w:space="0" w:color="000000"/>
            </w:tcBorders>
          </w:tcPr>
          <w:p>
            <w:pPr>
              <w:pStyle w:val="TableParagraph"/>
              <w:spacing w:before="67"/>
              <w:ind w:left="56"/>
              <w:jc w:val="left"/>
              <w:rPr>
                <w:sz w:val="18"/>
              </w:rPr>
            </w:pPr>
            <w:r>
              <w:rPr>
                <w:spacing w:val="-2"/>
                <w:sz w:val="18"/>
              </w:rPr>
              <w:t>Premises</w:t>
            </w:r>
          </w:p>
        </w:tc>
        <w:tc>
          <w:tcPr>
            <w:tcW w:w="636" w:type="dxa"/>
            <w:tcBorders>
              <w:top w:val="single" w:sz="4" w:space="0" w:color="000000"/>
              <w:bottom w:val="single" w:sz="4" w:space="0" w:color="000000"/>
            </w:tcBorders>
          </w:tcPr>
          <w:p>
            <w:pPr>
              <w:pStyle w:val="TableParagraph"/>
              <w:jc w:val="left"/>
              <w:rPr>
                <w:sz w:val="18"/>
              </w:rPr>
            </w:pPr>
          </w:p>
        </w:tc>
        <w:tc>
          <w:tcPr>
            <w:tcW w:w="883" w:type="dxa"/>
            <w:tcBorders>
              <w:top w:val="single" w:sz="4" w:space="0" w:color="000000"/>
              <w:bottom w:val="single" w:sz="4" w:space="0" w:color="000000"/>
            </w:tcBorders>
          </w:tcPr>
          <w:p>
            <w:pPr>
              <w:pStyle w:val="TableParagraph"/>
              <w:spacing w:before="67"/>
              <w:ind w:right="22"/>
              <w:rPr>
                <w:sz w:val="18"/>
              </w:rPr>
            </w:pPr>
            <w:r>
              <w:rPr>
                <w:spacing w:val="-2"/>
                <w:sz w:val="18"/>
              </w:rPr>
              <w:t>2,270.0</w:t>
            </w:r>
          </w:p>
        </w:tc>
        <w:tc>
          <w:tcPr>
            <w:tcW w:w="1709" w:type="dxa"/>
            <w:tcBorders>
              <w:top w:val="single" w:sz="4" w:space="0" w:color="000000"/>
              <w:bottom w:val="single" w:sz="4" w:space="0" w:color="000000"/>
            </w:tcBorders>
          </w:tcPr>
          <w:p>
            <w:pPr>
              <w:pStyle w:val="TableParagraph"/>
              <w:spacing w:before="67"/>
              <w:ind w:right="641"/>
              <w:rPr>
                <w:sz w:val="18"/>
              </w:rPr>
            </w:pPr>
            <w:r>
              <w:rPr>
                <w:spacing w:val="-2"/>
                <w:sz w:val="18"/>
              </w:rPr>
              <w:t>267.0</w:t>
            </w:r>
          </w:p>
        </w:tc>
        <w:tc>
          <w:tcPr>
            <w:tcW w:w="487" w:type="dxa"/>
            <w:tcBorders>
              <w:top w:val="single" w:sz="4" w:space="0" w:color="000000"/>
              <w:bottom w:val="single" w:sz="4" w:space="0" w:color="000000"/>
            </w:tcBorders>
          </w:tcPr>
          <w:p>
            <w:pPr>
              <w:pStyle w:val="TableParagraph"/>
              <w:spacing w:before="67"/>
              <w:ind w:left="-19" w:right="153"/>
              <w:rPr>
                <w:sz w:val="18"/>
              </w:rPr>
            </w:pPr>
            <w:r>
              <w:rPr>
                <w:spacing w:val="-4"/>
                <w:sz w:val="18"/>
              </w:rPr>
              <w:t>11.8</w:t>
            </w:r>
          </w:p>
        </w:tc>
        <w:tc>
          <w:tcPr>
            <w:tcW w:w="1633" w:type="dxa"/>
            <w:tcBorders>
              <w:top w:val="single" w:sz="4" w:space="0" w:color="000000"/>
              <w:bottom w:val="single" w:sz="4" w:space="0" w:color="000000"/>
            </w:tcBorders>
          </w:tcPr>
          <w:p>
            <w:pPr>
              <w:pStyle w:val="TableParagraph"/>
              <w:spacing w:before="67"/>
              <w:ind w:right="53"/>
              <w:rPr>
                <w:sz w:val="18"/>
              </w:rPr>
            </w:pPr>
            <w:r>
              <w:rPr>
                <w:spacing w:val="-2"/>
                <w:sz w:val="18"/>
              </w:rPr>
              <w:t>2,537.0</w:t>
            </w:r>
          </w:p>
        </w:tc>
      </w:tr>
      <w:tr>
        <w:trPr>
          <w:trHeight w:val="412" w:hRule="atLeast"/>
        </w:trPr>
        <w:tc>
          <w:tcPr>
            <w:tcW w:w="918" w:type="dxa"/>
            <w:tcBorders>
              <w:top w:val="single" w:sz="4" w:space="0" w:color="000000"/>
              <w:bottom w:val="single" w:sz="4" w:space="0" w:color="000000"/>
            </w:tcBorders>
          </w:tcPr>
          <w:p>
            <w:pPr>
              <w:pStyle w:val="TableParagraph"/>
              <w:spacing w:before="100"/>
              <w:ind w:left="72"/>
              <w:jc w:val="left"/>
              <w:rPr>
                <w:sz w:val="18"/>
              </w:rPr>
            </w:pPr>
            <w:r>
              <w:rPr>
                <w:sz w:val="18"/>
              </w:rPr>
              <w:t>MP</w:t>
            </w:r>
            <w:r>
              <w:rPr>
                <w:spacing w:val="4"/>
                <w:sz w:val="18"/>
              </w:rPr>
              <w:t> </w:t>
            </w:r>
            <w:r>
              <w:rPr>
                <w:spacing w:val="-5"/>
                <w:sz w:val="18"/>
              </w:rPr>
              <w:t>VI</w:t>
            </w:r>
          </w:p>
        </w:tc>
        <w:tc>
          <w:tcPr>
            <w:tcW w:w="2444" w:type="dxa"/>
            <w:gridSpan w:val="2"/>
            <w:tcBorders>
              <w:top w:val="single" w:sz="4" w:space="0" w:color="000000"/>
              <w:bottom w:val="single" w:sz="4" w:space="0" w:color="000000"/>
            </w:tcBorders>
          </w:tcPr>
          <w:p>
            <w:pPr>
              <w:pStyle w:val="TableParagraph"/>
              <w:spacing w:line="206" w:lineRule="exact"/>
              <w:ind w:left="56" w:right="297"/>
              <w:jc w:val="left"/>
              <w:rPr>
                <w:sz w:val="18"/>
              </w:rPr>
            </w:pPr>
            <w:r>
              <w:rPr>
                <w:sz w:val="18"/>
              </w:rPr>
              <w:t>Secretariat</w:t>
            </w:r>
            <w:r>
              <w:rPr>
                <w:spacing w:val="-9"/>
                <w:sz w:val="18"/>
              </w:rPr>
              <w:t> </w:t>
            </w:r>
            <w:r>
              <w:rPr>
                <w:sz w:val="18"/>
              </w:rPr>
              <w:t>of</w:t>
            </w:r>
            <w:r>
              <w:rPr>
                <w:spacing w:val="-10"/>
                <w:sz w:val="18"/>
              </w:rPr>
              <w:t> </w:t>
            </w:r>
            <w:r>
              <w:rPr>
                <w:sz w:val="18"/>
              </w:rPr>
              <w:t>the</w:t>
            </w:r>
            <w:r>
              <w:rPr>
                <w:spacing w:val="-10"/>
                <w:sz w:val="18"/>
              </w:rPr>
              <w:t> </w:t>
            </w:r>
            <w:r>
              <w:rPr>
                <w:sz w:val="18"/>
              </w:rPr>
              <w:t>Trust</w:t>
            </w:r>
            <w:r>
              <w:rPr>
                <w:spacing w:val="-9"/>
                <w:sz w:val="18"/>
              </w:rPr>
              <w:t> </w:t>
            </w:r>
            <w:r>
              <w:rPr>
                <w:sz w:val="18"/>
              </w:rPr>
              <w:t>Fund for Victims</w:t>
            </w:r>
          </w:p>
        </w:tc>
        <w:tc>
          <w:tcPr>
            <w:tcW w:w="883" w:type="dxa"/>
            <w:tcBorders>
              <w:top w:val="single" w:sz="4" w:space="0" w:color="000000"/>
              <w:bottom w:val="single" w:sz="4" w:space="0" w:color="000000"/>
            </w:tcBorders>
          </w:tcPr>
          <w:p>
            <w:pPr>
              <w:pStyle w:val="TableParagraph"/>
              <w:spacing w:before="100"/>
              <w:ind w:right="22"/>
              <w:rPr>
                <w:sz w:val="18"/>
              </w:rPr>
            </w:pPr>
            <w:r>
              <w:rPr>
                <w:spacing w:val="-2"/>
                <w:sz w:val="18"/>
              </w:rPr>
              <w:t>3,227.2</w:t>
            </w:r>
          </w:p>
        </w:tc>
        <w:tc>
          <w:tcPr>
            <w:tcW w:w="1709" w:type="dxa"/>
            <w:tcBorders>
              <w:top w:val="single" w:sz="4" w:space="0" w:color="000000"/>
              <w:bottom w:val="single" w:sz="4" w:space="0" w:color="000000"/>
            </w:tcBorders>
          </w:tcPr>
          <w:p>
            <w:pPr>
              <w:pStyle w:val="TableParagraph"/>
              <w:spacing w:before="100"/>
              <w:ind w:right="641"/>
              <w:rPr>
                <w:sz w:val="18"/>
              </w:rPr>
            </w:pPr>
            <w:r>
              <w:rPr>
                <w:spacing w:val="-2"/>
                <w:sz w:val="18"/>
              </w:rPr>
              <w:t>1,073.1</w:t>
            </w:r>
          </w:p>
        </w:tc>
        <w:tc>
          <w:tcPr>
            <w:tcW w:w="487" w:type="dxa"/>
            <w:tcBorders>
              <w:top w:val="single" w:sz="4" w:space="0" w:color="000000"/>
              <w:bottom w:val="single" w:sz="4" w:space="0" w:color="000000"/>
            </w:tcBorders>
          </w:tcPr>
          <w:p>
            <w:pPr>
              <w:pStyle w:val="TableParagraph"/>
              <w:spacing w:before="100"/>
              <w:ind w:left="-19" w:right="153"/>
              <w:rPr>
                <w:sz w:val="18"/>
              </w:rPr>
            </w:pPr>
            <w:r>
              <w:rPr>
                <w:spacing w:val="-4"/>
                <w:sz w:val="18"/>
              </w:rPr>
              <w:t>33.3</w:t>
            </w:r>
          </w:p>
        </w:tc>
        <w:tc>
          <w:tcPr>
            <w:tcW w:w="1633" w:type="dxa"/>
            <w:tcBorders>
              <w:top w:val="single" w:sz="4" w:space="0" w:color="000000"/>
              <w:bottom w:val="single" w:sz="4" w:space="0" w:color="000000"/>
            </w:tcBorders>
          </w:tcPr>
          <w:p>
            <w:pPr>
              <w:pStyle w:val="TableParagraph"/>
              <w:spacing w:before="100"/>
              <w:ind w:right="53"/>
              <w:rPr>
                <w:sz w:val="18"/>
              </w:rPr>
            </w:pPr>
            <w:r>
              <w:rPr>
                <w:spacing w:val="-2"/>
                <w:sz w:val="18"/>
              </w:rPr>
              <w:t>4,300.3</w:t>
            </w:r>
          </w:p>
        </w:tc>
      </w:tr>
      <w:tr>
        <w:trPr>
          <w:trHeight w:val="412" w:hRule="atLeast"/>
        </w:trPr>
        <w:tc>
          <w:tcPr>
            <w:tcW w:w="918" w:type="dxa"/>
            <w:tcBorders>
              <w:top w:val="single" w:sz="4" w:space="0" w:color="000000"/>
              <w:bottom w:val="single" w:sz="4" w:space="0" w:color="000000"/>
            </w:tcBorders>
          </w:tcPr>
          <w:p>
            <w:pPr>
              <w:pStyle w:val="TableParagraph"/>
              <w:spacing w:before="105"/>
              <w:ind w:left="72"/>
              <w:jc w:val="left"/>
              <w:rPr>
                <w:sz w:val="18"/>
              </w:rPr>
            </w:pPr>
            <w:r>
              <w:rPr>
                <w:sz w:val="18"/>
              </w:rPr>
              <w:t>MP</w:t>
            </w:r>
            <w:r>
              <w:rPr>
                <w:spacing w:val="-1"/>
                <w:sz w:val="18"/>
              </w:rPr>
              <w:t> </w:t>
            </w:r>
            <w:r>
              <w:rPr>
                <w:sz w:val="18"/>
              </w:rPr>
              <w:t>VII-</w:t>
            </w:r>
            <w:r>
              <w:rPr>
                <w:spacing w:val="-10"/>
                <w:sz w:val="18"/>
              </w:rPr>
              <w:t>5</w:t>
            </w:r>
          </w:p>
        </w:tc>
        <w:tc>
          <w:tcPr>
            <w:tcW w:w="1808" w:type="dxa"/>
            <w:tcBorders>
              <w:top w:val="single" w:sz="4" w:space="0" w:color="000000"/>
              <w:bottom w:val="single" w:sz="4" w:space="0" w:color="000000"/>
            </w:tcBorders>
          </w:tcPr>
          <w:p>
            <w:pPr>
              <w:pStyle w:val="TableParagraph"/>
              <w:spacing w:line="206" w:lineRule="exact"/>
              <w:ind w:left="56" w:right="99"/>
              <w:jc w:val="left"/>
              <w:rPr>
                <w:sz w:val="18"/>
              </w:rPr>
            </w:pPr>
            <w:r>
              <w:rPr>
                <w:sz w:val="18"/>
              </w:rPr>
              <w:t>Independent</w:t>
            </w:r>
            <w:r>
              <w:rPr>
                <w:spacing w:val="-12"/>
                <w:sz w:val="18"/>
              </w:rPr>
              <w:t> </w:t>
            </w:r>
            <w:r>
              <w:rPr>
                <w:sz w:val="18"/>
              </w:rPr>
              <w:t>Oversight </w:t>
            </w:r>
            <w:r>
              <w:rPr>
                <w:spacing w:val="-2"/>
                <w:sz w:val="18"/>
              </w:rPr>
              <w:t>Mechanism</w:t>
            </w:r>
          </w:p>
        </w:tc>
        <w:tc>
          <w:tcPr>
            <w:tcW w:w="636" w:type="dxa"/>
            <w:tcBorders>
              <w:top w:val="single" w:sz="4" w:space="0" w:color="000000"/>
              <w:bottom w:val="single" w:sz="4" w:space="0" w:color="000000"/>
            </w:tcBorders>
          </w:tcPr>
          <w:p>
            <w:pPr>
              <w:pStyle w:val="TableParagraph"/>
              <w:jc w:val="left"/>
              <w:rPr>
                <w:sz w:val="18"/>
              </w:rPr>
            </w:pPr>
          </w:p>
        </w:tc>
        <w:tc>
          <w:tcPr>
            <w:tcW w:w="883" w:type="dxa"/>
            <w:tcBorders>
              <w:top w:val="single" w:sz="4" w:space="0" w:color="000000"/>
              <w:bottom w:val="single" w:sz="4" w:space="0" w:color="000000"/>
            </w:tcBorders>
          </w:tcPr>
          <w:p>
            <w:pPr>
              <w:pStyle w:val="TableParagraph"/>
              <w:spacing w:before="105"/>
              <w:ind w:right="22"/>
              <w:rPr>
                <w:sz w:val="18"/>
              </w:rPr>
            </w:pPr>
            <w:r>
              <w:rPr>
                <w:spacing w:val="-2"/>
                <w:sz w:val="18"/>
              </w:rPr>
              <w:t>820.8</w:t>
            </w:r>
          </w:p>
        </w:tc>
        <w:tc>
          <w:tcPr>
            <w:tcW w:w="1709" w:type="dxa"/>
            <w:tcBorders>
              <w:top w:val="single" w:sz="4" w:space="0" w:color="000000"/>
              <w:bottom w:val="single" w:sz="4" w:space="0" w:color="000000"/>
            </w:tcBorders>
          </w:tcPr>
          <w:p>
            <w:pPr>
              <w:pStyle w:val="TableParagraph"/>
              <w:spacing w:before="105"/>
              <w:ind w:right="641"/>
              <w:rPr>
                <w:sz w:val="18"/>
              </w:rPr>
            </w:pPr>
            <w:r>
              <w:rPr>
                <w:spacing w:val="-2"/>
                <w:sz w:val="18"/>
              </w:rPr>
              <w:t>117.2</w:t>
            </w:r>
          </w:p>
        </w:tc>
        <w:tc>
          <w:tcPr>
            <w:tcW w:w="487" w:type="dxa"/>
            <w:tcBorders>
              <w:top w:val="single" w:sz="4" w:space="0" w:color="000000"/>
              <w:bottom w:val="single" w:sz="4" w:space="0" w:color="000000"/>
            </w:tcBorders>
          </w:tcPr>
          <w:p>
            <w:pPr>
              <w:pStyle w:val="TableParagraph"/>
              <w:spacing w:before="105"/>
              <w:ind w:left="-19" w:right="153"/>
              <w:rPr>
                <w:sz w:val="18"/>
              </w:rPr>
            </w:pPr>
            <w:r>
              <w:rPr>
                <w:spacing w:val="-4"/>
                <w:sz w:val="18"/>
              </w:rPr>
              <w:t>14.3</w:t>
            </w:r>
          </w:p>
        </w:tc>
        <w:tc>
          <w:tcPr>
            <w:tcW w:w="1633" w:type="dxa"/>
            <w:tcBorders>
              <w:top w:val="single" w:sz="4" w:space="0" w:color="000000"/>
              <w:bottom w:val="single" w:sz="4" w:space="0" w:color="000000"/>
            </w:tcBorders>
          </w:tcPr>
          <w:p>
            <w:pPr>
              <w:pStyle w:val="TableParagraph"/>
              <w:spacing w:before="105"/>
              <w:ind w:right="53"/>
              <w:rPr>
                <w:sz w:val="18"/>
              </w:rPr>
            </w:pPr>
            <w:r>
              <w:rPr>
                <w:spacing w:val="-2"/>
                <w:sz w:val="18"/>
              </w:rPr>
              <w:t>938.0</w:t>
            </w:r>
          </w:p>
        </w:tc>
      </w:tr>
      <w:tr>
        <w:trPr>
          <w:trHeight w:val="340" w:hRule="atLeast"/>
        </w:trPr>
        <w:tc>
          <w:tcPr>
            <w:tcW w:w="918" w:type="dxa"/>
            <w:tcBorders>
              <w:top w:val="single" w:sz="4" w:space="0" w:color="000000"/>
              <w:bottom w:val="single" w:sz="4" w:space="0" w:color="000000"/>
            </w:tcBorders>
          </w:tcPr>
          <w:p>
            <w:pPr>
              <w:pStyle w:val="TableParagraph"/>
              <w:spacing w:before="67"/>
              <w:ind w:left="72"/>
              <w:jc w:val="left"/>
              <w:rPr>
                <w:sz w:val="18"/>
              </w:rPr>
            </w:pPr>
            <w:r>
              <w:rPr>
                <w:sz w:val="18"/>
              </w:rPr>
              <w:t>MP</w:t>
            </w:r>
            <w:r>
              <w:rPr>
                <w:spacing w:val="-1"/>
                <w:sz w:val="18"/>
              </w:rPr>
              <w:t> </w:t>
            </w:r>
            <w:r>
              <w:rPr>
                <w:sz w:val="18"/>
              </w:rPr>
              <w:t>VII-</w:t>
            </w:r>
            <w:r>
              <w:rPr>
                <w:spacing w:val="-10"/>
                <w:sz w:val="18"/>
              </w:rPr>
              <w:t>6</w:t>
            </w:r>
          </w:p>
        </w:tc>
        <w:tc>
          <w:tcPr>
            <w:tcW w:w="1808" w:type="dxa"/>
            <w:tcBorders>
              <w:top w:val="single" w:sz="4" w:space="0" w:color="000000"/>
              <w:bottom w:val="single" w:sz="4" w:space="0" w:color="000000"/>
            </w:tcBorders>
          </w:tcPr>
          <w:p>
            <w:pPr>
              <w:pStyle w:val="TableParagraph"/>
              <w:spacing w:before="67"/>
              <w:ind w:left="56"/>
              <w:jc w:val="left"/>
              <w:rPr>
                <w:sz w:val="18"/>
              </w:rPr>
            </w:pPr>
            <w:r>
              <w:rPr>
                <w:sz w:val="18"/>
              </w:rPr>
              <w:t>Office</w:t>
            </w:r>
            <w:r>
              <w:rPr>
                <w:spacing w:val="-7"/>
                <w:sz w:val="18"/>
              </w:rPr>
              <w:t> </w:t>
            </w:r>
            <w:r>
              <w:rPr>
                <w:sz w:val="18"/>
              </w:rPr>
              <w:t>of</w:t>
            </w:r>
            <w:r>
              <w:rPr>
                <w:spacing w:val="-1"/>
                <w:sz w:val="18"/>
              </w:rPr>
              <w:t> </w:t>
            </w:r>
            <w:r>
              <w:rPr>
                <w:sz w:val="18"/>
              </w:rPr>
              <w:t>Internal</w:t>
            </w:r>
            <w:r>
              <w:rPr>
                <w:spacing w:val="-1"/>
                <w:sz w:val="18"/>
              </w:rPr>
              <w:t> </w:t>
            </w:r>
            <w:r>
              <w:rPr>
                <w:spacing w:val="-4"/>
                <w:sz w:val="18"/>
              </w:rPr>
              <w:t>Audit</w:t>
            </w:r>
          </w:p>
        </w:tc>
        <w:tc>
          <w:tcPr>
            <w:tcW w:w="636" w:type="dxa"/>
            <w:tcBorders>
              <w:top w:val="single" w:sz="4" w:space="0" w:color="000000"/>
              <w:bottom w:val="single" w:sz="4" w:space="0" w:color="000000"/>
            </w:tcBorders>
          </w:tcPr>
          <w:p>
            <w:pPr>
              <w:pStyle w:val="TableParagraph"/>
              <w:jc w:val="left"/>
              <w:rPr>
                <w:sz w:val="18"/>
              </w:rPr>
            </w:pPr>
          </w:p>
        </w:tc>
        <w:tc>
          <w:tcPr>
            <w:tcW w:w="883" w:type="dxa"/>
            <w:tcBorders>
              <w:top w:val="single" w:sz="4" w:space="0" w:color="000000"/>
              <w:bottom w:val="single" w:sz="4" w:space="0" w:color="000000"/>
            </w:tcBorders>
          </w:tcPr>
          <w:p>
            <w:pPr>
              <w:pStyle w:val="TableParagraph"/>
              <w:spacing w:before="67"/>
              <w:ind w:right="22"/>
              <w:rPr>
                <w:sz w:val="18"/>
              </w:rPr>
            </w:pPr>
            <w:r>
              <w:rPr>
                <w:spacing w:val="-2"/>
                <w:sz w:val="18"/>
              </w:rPr>
              <w:t>775.0</w:t>
            </w:r>
          </w:p>
        </w:tc>
        <w:tc>
          <w:tcPr>
            <w:tcW w:w="1709" w:type="dxa"/>
            <w:tcBorders>
              <w:top w:val="single" w:sz="4" w:space="0" w:color="000000"/>
              <w:bottom w:val="single" w:sz="4" w:space="0" w:color="000000"/>
            </w:tcBorders>
          </w:tcPr>
          <w:p>
            <w:pPr>
              <w:pStyle w:val="TableParagraph"/>
              <w:spacing w:before="67"/>
              <w:ind w:right="641"/>
              <w:rPr>
                <w:sz w:val="18"/>
              </w:rPr>
            </w:pPr>
            <w:r>
              <w:rPr>
                <w:spacing w:val="-4"/>
                <w:sz w:val="18"/>
              </w:rPr>
              <w:t>19.9</w:t>
            </w:r>
          </w:p>
        </w:tc>
        <w:tc>
          <w:tcPr>
            <w:tcW w:w="487" w:type="dxa"/>
            <w:tcBorders>
              <w:top w:val="single" w:sz="4" w:space="0" w:color="000000"/>
              <w:bottom w:val="single" w:sz="4" w:space="0" w:color="000000"/>
            </w:tcBorders>
          </w:tcPr>
          <w:p>
            <w:pPr>
              <w:pStyle w:val="TableParagraph"/>
              <w:spacing w:before="67"/>
              <w:ind w:left="-19" w:right="153"/>
              <w:rPr>
                <w:sz w:val="18"/>
              </w:rPr>
            </w:pPr>
            <w:r>
              <w:rPr>
                <w:spacing w:val="-5"/>
                <w:sz w:val="18"/>
              </w:rPr>
              <w:t>2.6</w:t>
            </w:r>
          </w:p>
        </w:tc>
        <w:tc>
          <w:tcPr>
            <w:tcW w:w="1633" w:type="dxa"/>
            <w:tcBorders>
              <w:top w:val="single" w:sz="4" w:space="0" w:color="000000"/>
              <w:bottom w:val="single" w:sz="4" w:space="0" w:color="000000"/>
            </w:tcBorders>
          </w:tcPr>
          <w:p>
            <w:pPr>
              <w:pStyle w:val="TableParagraph"/>
              <w:spacing w:before="67"/>
              <w:ind w:right="53"/>
              <w:rPr>
                <w:sz w:val="18"/>
              </w:rPr>
            </w:pPr>
            <w:r>
              <w:rPr>
                <w:spacing w:val="-2"/>
                <w:sz w:val="18"/>
              </w:rPr>
              <w:t>794.9</w:t>
            </w:r>
          </w:p>
        </w:tc>
      </w:tr>
      <w:tr>
        <w:trPr>
          <w:trHeight w:val="340" w:hRule="atLeast"/>
        </w:trPr>
        <w:tc>
          <w:tcPr>
            <w:tcW w:w="918" w:type="dxa"/>
            <w:tcBorders>
              <w:top w:val="single" w:sz="4" w:space="0" w:color="000000"/>
              <w:bottom w:val="single" w:sz="4" w:space="0" w:color="000000"/>
            </w:tcBorders>
          </w:tcPr>
          <w:p>
            <w:pPr>
              <w:pStyle w:val="TableParagraph"/>
              <w:spacing w:before="67"/>
              <w:ind w:left="72"/>
              <w:jc w:val="left"/>
              <w:rPr>
                <w:i/>
                <w:sz w:val="18"/>
              </w:rPr>
            </w:pPr>
            <w:r>
              <w:rPr>
                <w:i/>
                <w:spacing w:val="-2"/>
                <w:sz w:val="18"/>
              </w:rPr>
              <w:t>Subtotal</w:t>
            </w:r>
          </w:p>
        </w:tc>
        <w:tc>
          <w:tcPr>
            <w:tcW w:w="1808" w:type="dxa"/>
            <w:tcBorders>
              <w:top w:val="single" w:sz="4" w:space="0" w:color="000000"/>
              <w:bottom w:val="single" w:sz="4" w:space="0" w:color="000000"/>
            </w:tcBorders>
          </w:tcPr>
          <w:p>
            <w:pPr>
              <w:pStyle w:val="TableParagraph"/>
              <w:jc w:val="left"/>
              <w:rPr>
                <w:sz w:val="18"/>
              </w:rPr>
            </w:pPr>
          </w:p>
        </w:tc>
        <w:tc>
          <w:tcPr>
            <w:tcW w:w="636" w:type="dxa"/>
            <w:tcBorders>
              <w:top w:val="single" w:sz="4" w:space="0" w:color="000000"/>
              <w:bottom w:val="single" w:sz="4" w:space="0" w:color="000000"/>
            </w:tcBorders>
          </w:tcPr>
          <w:p>
            <w:pPr>
              <w:pStyle w:val="TableParagraph"/>
              <w:jc w:val="left"/>
              <w:rPr>
                <w:sz w:val="18"/>
              </w:rPr>
            </w:pPr>
          </w:p>
        </w:tc>
        <w:tc>
          <w:tcPr>
            <w:tcW w:w="883" w:type="dxa"/>
            <w:tcBorders>
              <w:top w:val="single" w:sz="4" w:space="0" w:color="000000"/>
              <w:bottom w:val="single" w:sz="4" w:space="0" w:color="000000"/>
            </w:tcBorders>
          </w:tcPr>
          <w:p>
            <w:pPr>
              <w:pStyle w:val="TableParagraph"/>
              <w:spacing w:before="67"/>
              <w:ind w:right="22"/>
              <w:rPr>
                <w:i/>
                <w:sz w:val="18"/>
              </w:rPr>
            </w:pPr>
            <w:r>
              <w:rPr>
                <w:i/>
                <w:spacing w:val="-2"/>
                <w:sz w:val="18"/>
              </w:rPr>
              <w:t>151,269.9</w:t>
            </w:r>
          </w:p>
        </w:tc>
        <w:tc>
          <w:tcPr>
            <w:tcW w:w="1709" w:type="dxa"/>
            <w:tcBorders>
              <w:top w:val="single" w:sz="4" w:space="0" w:color="000000"/>
              <w:bottom w:val="single" w:sz="4" w:space="0" w:color="000000"/>
            </w:tcBorders>
          </w:tcPr>
          <w:p>
            <w:pPr>
              <w:pStyle w:val="TableParagraph"/>
              <w:spacing w:before="67"/>
              <w:ind w:right="641"/>
              <w:rPr>
                <w:i/>
                <w:sz w:val="18"/>
              </w:rPr>
            </w:pPr>
            <w:r>
              <w:rPr>
                <w:i/>
                <w:spacing w:val="-2"/>
                <w:sz w:val="18"/>
              </w:rPr>
              <w:t>24,057.5</w:t>
            </w:r>
          </w:p>
        </w:tc>
        <w:tc>
          <w:tcPr>
            <w:tcW w:w="487" w:type="dxa"/>
            <w:tcBorders>
              <w:top w:val="single" w:sz="4" w:space="0" w:color="000000"/>
              <w:bottom w:val="single" w:sz="4" w:space="0" w:color="000000"/>
            </w:tcBorders>
          </w:tcPr>
          <w:p>
            <w:pPr>
              <w:pStyle w:val="TableParagraph"/>
              <w:spacing w:before="67"/>
              <w:ind w:left="-19" w:right="153"/>
              <w:rPr>
                <w:i/>
                <w:sz w:val="18"/>
              </w:rPr>
            </w:pPr>
            <w:r>
              <w:rPr>
                <w:i/>
                <w:spacing w:val="-4"/>
                <w:sz w:val="18"/>
              </w:rPr>
              <w:t>15.9</w:t>
            </w:r>
          </w:p>
        </w:tc>
        <w:tc>
          <w:tcPr>
            <w:tcW w:w="1633" w:type="dxa"/>
            <w:tcBorders>
              <w:top w:val="single" w:sz="4" w:space="0" w:color="000000"/>
              <w:bottom w:val="single" w:sz="4" w:space="0" w:color="000000"/>
            </w:tcBorders>
          </w:tcPr>
          <w:p>
            <w:pPr>
              <w:pStyle w:val="TableParagraph"/>
              <w:spacing w:before="67"/>
              <w:ind w:right="53"/>
              <w:rPr>
                <w:i/>
                <w:sz w:val="18"/>
              </w:rPr>
            </w:pPr>
            <w:r>
              <w:rPr>
                <w:i/>
                <w:spacing w:val="-2"/>
                <w:sz w:val="18"/>
              </w:rPr>
              <w:t>175,327.4</w:t>
            </w:r>
          </w:p>
        </w:tc>
      </w:tr>
      <w:tr>
        <w:trPr>
          <w:trHeight w:val="340" w:hRule="atLeast"/>
        </w:trPr>
        <w:tc>
          <w:tcPr>
            <w:tcW w:w="918" w:type="dxa"/>
            <w:tcBorders>
              <w:top w:val="single" w:sz="4" w:space="0" w:color="000000"/>
              <w:bottom w:val="single" w:sz="4" w:space="0" w:color="000000"/>
            </w:tcBorders>
          </w:tcPr>
          <w:p>
            <w:pPr>
              <w:pStyle w:val="TableParagraph"/>
              <w:spacing w:before="67"/>
              <w:ind w:left="72"/>
              <w:jc w:val="left"/>
              <w:rPr>
                <w:sz w:val="18"/>
              </w:rPr>
            </w:pPr>
            <w:r>
              <w:rPr>
                <w:sz w:val="18"/>
              </w:rPr>
              <w:t>MP</w:t>
            </w:r>
            <w:r>
              <w:rPr>
                <w:spacing w:val="-1"/>
                <w:sz w:val="18"/>
              </w:rPr>
              <w:t> </w:t>
            </w:r>
            <w:r>
              <w:rPr>
                <w:sz w:val="18"/>
              </w:rPr>
              <w:t>VII-</w:t>
            </w:r>
            <w:r>
              <w:rPr>
                <w:spacing w:val="-10"/>
                <w:sz w:val="18"/>
              </w:rPr>
              <w:t>2</w:t>
            </w:r>
          </w:p>
        </w:tc>
        <w:tc>
          <w:tcPr>
            <w:tcW w:w="1808" w:type="dxa"/>
            <w:tcBorders>
              <w:top w:val="single" w:sz="4" w:space="0" w:color="000000"/>
              <w:bottom w:val="single" w:sz="4" w:space="0" w:color="000000"/>
            </w:tcBorders>
          </w:tcPr>
          <w:p>
            <w:pPr>
              <w:pStyle w:val="TableParagraph"/>
              <w:spacing w:before="67"/>
              <w:ind w:left="56"/>
              <w:jc w:val="left"/>
              <w:rPr>
                <w:sz w:val="18"/>
              </w:rPr>
            </w:pPr>
            <w:r>
              <w:rPr>
                <w:sz w:val="18"/>
              </w:rPr>
              <w:t>Host</w:t>
            </w:r>
            <w:r>
              <w:rPr>
                <w:spacing w:val="-4"/>
                <w:sz w:val="18"/>
              </w:rPr>
              <w:t> </w:t>
            </w:r>
            <w:r>
              <w:rPr>
                <w:sz w:val="18"/>
              </w:rPr>
              <w:t>State</w:t>
            </w:r>
            <w:r>
              <w:rPr>
                <w:spacing w:val="-3"/>
                <w:sz w:val="18"/>
              </w:rPr>
              <w:t> </w:t>
            </w:r>
            <w:r>
              <w:rPr>
                <w:spacing w:val="-4"/>
                <w:sz w:val="18"/>
              </w:rPr>
              <w:t>Loan</w:t>
            </w:r>
          </w:p>
        </w:tc>
        <w:tc>
          <w:tcPr>
            <w:tcW w:w="636" w:type="dxa"/>
            <w:tcBorders>
              <w:top w:val="single" w:sz="4" w:space="0" w:color="000000"/>
              <w:bottom w:val="single" w:sz="4" w:space="0" w:color="000000"/>
            </w:tcBorders>
          </w:tcPr>
          <w:p>
            <w:pPr>
              <w:pStyle w:val="TableParagraph"/>
              <w:jc w:val="left"/>
              <w:rPr>
                <w:sz w:val="18"/>
              </w:rPr>
            </w:pPr>
          </w:p>
        </w:tc>
        <w:tc>
          <w:tcPr>
            <w:tcW w:w="883" w:type="dxa"/>
            <w:tcBorders>
              <w:top w:val="single" w:sz="4" w:space="0" w:color="000000"/>
              <w:bottom w:val="single" w:sz="4" w:space="0" w:color="000000"/>
            </w:tcBorders>
          </w:tcPr>
          <w:p>
            <w:pPr>
              <w:pStyle w:val="TableParagraph"/>
              <w:spacing w:before="67"/>
              <w:ind w:right="22"/>
              <w:rPr>
                <w:sz w:val="18"/>
              </w:rPr>
            </w:pPr>
            <w:r>
              <w:rPr>
                <w:spacing w:val="-2"/>
                <w:sz w:val="18"/>
              </w:rPr>
              <w:t>3,585.1</w:t>
            </w:r>
          </w:p>
        </w:tc>
        <w:tc>
          <w:tcPr>
            <w:tcW w:w="1709" w:type="dxa"/>
            <w:tcBorders>
              <w:top w:val="single" w:sz="4" w:space="0" w:color="000000"/>
              <w:bottom w:val="single" w:sz="4" w:space="0" w:color="000000"/>
            </w:tcBorders>
          </w:tcPr>
          <w:p>
            <w:pPr>
              <w:pStyle w:val="TableParagraph"/>
              <w:spacing w:before="67"/>
              <w:ind w:right="643"/>
              <w:rPr>
                <w:sz w:val="18"/>
              </w:rPr>
            </w:pPr>
            <w:r>
              <w:rPr>
                <w:w w:val="101"/>
                <w:sz w:val="18"/>
              </w:rPr>
              <w:t>-</w:t>
            </w:r>
          </w:p>
        </w:tc>
        <w:tc>
          <w:tcPr>
            <w:tcW w:w="487" w:type="dxa"/>
            <w:tcBorders>
              <w:top w:val="single" w:sz="4" w:space="0" w:color="000000"/>
              <w:bottom w:val="single" w:sz="4" w:space="0" w:color="000000"/>
            </w:tcBorders>
          </w:tcPr>
          <w:p>
            <w:pPr>
              <w:pStyle w:val="TableParagraph"/>
              <w:spacing w:before="67"/>
              <w:ind w:right="155"/>
              <w:rPr>
                <w:sz w:val="18"/>
              </w:rPr>
            </w:pPr>
            <w:r>
              <w:rPr>
                <w:w w:val="101"/>
                <w:sz w:val="18"/>
              </w:rPr>
              <w:t>-</w:t>
            </w:r>
          </w:p>
        </w:tc>
        <w:tc>
          <w:tcPr>
            <w:tcW w:w="1633" w:type="dxa"/>
            <w:tcBorders>
              <w:top w:val="single" w:sz="4" w:space="0" w:color="000000"/>
              <w:bottom w:val="single" w:sz="4" w:space="0" w:color="000000"/>
            </w:tcBorders>
          </w:tcPr>
          <w:p>
            <w:pPr>
              <w:pStyle w:val="TableParagraph"/>
              <w:spacing w:before="67"/>
              <w:ind w:right="53"/>
              <w:rPr>
                <w:sz w:val="18"/>
              </w:rPr>
            </w:pPr>
            <w:r>
              <w:rPr>
                <w:spacing w:val="-2"/>
                <w:sz w:val="18"/>
              </w:rPr>
              <w:t>3,585.1</w:t>
            </w:r>
          </w:p>
        </w:tc>
      </w:tr>
      <w:tr>
        <w:trPr>
          <w:trHeight w:val="340" w:hRule="atLeast"/>
        </w:trPr>
        <w:tc>
          <w:tcPr>
            <w:tcW w:w="918" w:type="dxa"/>
            <w:tcBorders>
              <w:top w:val="single" w:sz="4" w:space="0" w:color="000000"/>
              <w:bottom w:val="single" w:sz="4" w:space="0" w:color="000000"/>
            </w:tcBorders>
          </w:tcPr>
          <w:p>
            <w:pPr>
              <w:pStyle w:val="TableParagraph"/>
              <w:spacing w:before="67"/>
              <w:ind w:left="72"/>
              <w:jc w:val="left"/>
              <w:rPr>
                <w:b/>
                <w:sz w:val="18"/>
              </w:rPr>
            </w:pPr>
            <w:r>
              <w:rPr>
                <w:b/>
                <w:sz w:val="18"/>
              </w:rPr>
              <w:t>Total</w:t>
            </w:r>
            <w:r>
              <w:rPr>
                <w:b/>
                <w:spacing w:val="-2"/>
                <w:sz w:val="18"/>
              </w:rPr>
              <w:t> </w:t>
            </w:r>
            <w:r>
              <w:rPr>
                <w:b/>
                <w:spacing w:val="-5"/>
                <w:sz w:val="18"/>
              </w:rPr>
              <w:t>ICC</w:t>
            </w:r>
          </w:p>
        </w:tc>
        <w:tc>
          <w:tcPr>
            <w:tcW w:w="1808" w:type="dxa"/>
            <w:tcBorders>
              <w:top w:val="single" w:sz="4" w:space="0" w:color="000000"/>
              <w:bottom w:val="single" w:sz="4" w:space="0" w:color="000000"/>
            </w:tcBorders>
          </w:tcPr>
          <w:p>
            <w:pPr>
              <w:pStyle w:val="TableParagraph"/>
              <w:jc w:val="left"/>
              <w:rPr>
                <w:sz w:val="18"/>
              </w:rPr>
            </w:pPr>
          </w:p>
        </w:tc>
        <w:tc>
          <w:tcPr>
            <w:tcW w:w="636" w:type="dxa"/>
            <w:tcBorders>
              <w:top w:val="single" w:sz="4" w:space="0" w:color="000000"/>
              <w:bottom w:val="single" w:sz="4" w:space="0" w:color="000000"/>
            </w:tcBorders>
          </w:tcPr>
          <w:p>
            <w:pPr>
              <w:pStyle w:val="TableParagraph"/>
              <w:jc w:val="left"/>
              <w:rPr>
                <w:sz w:val="18"/>
              </w:rPr>
            </w:pPr>
          </w:p>
        </w:tc>
        <w:tc>
          <w:tcPr>
            <w:tcW w:w="883" w:type="dxa"/>
            <w:tcBorders>
              <w:top w:val="single" w:sz="4" w:space="0" w:color="000000"/>
              <w:bottom w:val="single" w:sz="4" w:space="0" w:color="000000"/>
            </w:tcBorders>
          </w:tcPr>
          <w:p>
            <w:pPr>
              <w:pStyle w:val="TableParagraph"/>
              <w:spacing w:before="67"/>
              <w:ind w:right="22"/>
              <w:rPr>
                <w:b/>
                <w:sz w:val="18"/>
              </w:rPr>
            </w:pPr>
            <w:r>
              <w:rPr>
                <w:b/>
                <w:spacing w:val="-2"/>
                <w:sz w:val="18"/>
              </w:rPr>
              <w:t>154,855.0</w:t>
            </w:r>
          </w:p>
        </w:tc>
        <w:tc>
          <w:tcPr>
            <w:tcW w:w="1709" w:type="dxa"/>
            <w:tcBorders>
              <w:top w:val="single" w:sz="4" w:space="0" w:color="000000"/>
              <w:bottom w:val="single" w:sz="4" w:space="0" w:color="000000"/>
            </w:tcBorders>
          </w:tcPr>
          <w:p>
            <w:pPr>
              <w:pStyle w:val="TableParagraph"/>
              <w:spacing w:before="67"/>
              <w:ind w:right="641"/>
              <w:rPr>
                <w:b/>
                <w:sz w:val="18"/>
              </w:rPr>
            </w:pPr>
            <w:r>
              <w:rPr>
                <w:b/>
                <w:spacing w:val="-2"/>
                <w:sz w:val="18"/>
              </w:rPr>
              <w:t>24,057.5</w:t>
            </w:r>
          </w:p>
        </w:tc>
        <w:tc>
          <w:tcPr>
            <w:tcW w:w="487" w:type="dxa"/>
            <w:tcBorders>
              <w:top w:val="single" w:sz="4" w:space="0" w:color="000000"/>
              <w:bottom w:val="single" w:sz="4" w:space="0" w:color="000000"/>
            </w:tcBorders>
          </w:tcPr>
          <w:p>
            <w:pPr>
              <w:pStyle w:val="TableParagraph"/>
              <w:spacing w:before="67"/>
              <w:ind w:left="-19" w:right="153"/>
              <w:rPr>
                <w:b/>
                <w:sz w:val="18"/>
              </w:rPr>
            </w:pPr>
            <w:r>
              <w:rPr>
                <w:b/>
                <w:spacing w:val="-4"/>
                <w:sz w:val="18"/>
              </w:rPr>
              <w:t>15.5</w:t>
            </w:r>
          </w:p>
        </w:tc>
        <w:tc>
          <w:tcPr>
            <w:tcW w:w="1633" w:type="dxa"/>
            <w:tcBorders>
              <w:top w:val="single" w:sz="4" w:space="0" w:color="000000"/>
              <w:bottom w:val="single" w:sz="4" w:space="0" w:color="000000"/>
            </w:tcBorders>
          </w:tcPr>
          <w:p>
            <w:pPr>
              <w:pStyle w:val="TableParagraph"/>
              <w:spacing w:before="67"/>
              <w:ind w:right="53"/>
              <w:rPr>
                <w:b/>
                <w:sz w:val="18"/>
              </w:rPr>
            </w:pPr>
            <w:r>
              <w:rPr>
                <w:b/>
                <w:spacing w:val="-2"/>
                <w:sz w:val="18"/>
              </w:rPr>
              <w:t>178,912.5</w:t>
            </w:r>
          </w:p>
        </w:tc>
      </w:tr>
    </w:tbl>
    <w:p>
      <w:pPr>
        <w:spacing w:after="0"/>
        <w:rPr>
          <w:sz w:val="18"/>
        </w:rPr>
        <w:sectPr>
          <w:pgSz w:w="11910" w:h="16840"/>
          <w:pgMar w:header="953" w:footer="940" w:top="1140" w:bottom="1140" w:left="20" w:right="20"/>
        </w:sectPr>
      </w:pPr>
    </w:p>
    <w:p>
      <w:pPr>
        <w:pStyle w:val="Heading2"/>
        <w:numPr>
          <w:ilvl w:val="1"/>
          <w:numId w:val="3"/>
        </w:numPr>
        <w:tabs>
          <w:tab w:pos="2246" w:val="left" w:leader="none"/>
          <w:tab w:pos="2247" w:val="left" w:leader="none"/>
        </w:tabs>
        <w:spacing w:line="240" w:lineRule="auto" w:before="121" w:after="0"/>
        <w:ind w:left="2246" w:right="0" w:hanging="568"/>
        <w:jc w:val="left"/>
      </w:pPr>
      <w:bookmarkStart w:name="_bookmark5" w:id="6"/>
      <w:bookmarkEnd w:id="6"/>
      <w:r>
        <w:rPr/>
        <w:t>Hi</w:t>
      </w:r>
      <w:r>
        <w:rPr/>
        <w:t>gh-level</w:t>
      </w:r>
      <w:r>
        <w:rPr>
          <w:spacing w:val="-7"/>
        </w:rPr>
        <w:t> </w:t>
      </w:r>
      <w:r>
        <w:rPr/>
        <w:t>Court-wide</w:t>
      </w:r>
      <w:r>
        <w:rPr>
          <w:spacing w:val="-6"/>
        </w:rPr>
        <w:t> </w:t>
      </w:r>
      <w:r>
        <w:rPr/>
        <w:t>strategic</w:t>
      </w:r>
      <w:r>
        <w:rPr>
          <w:spacing w:val="-12"/>
        </w:rPr>
        <w:t> </w:t>
      </w:r>
      <w:r>
        <w:rPr/>
        <w:t>budget</w:t>
      </w:r>
      <w:r>
        <w:rPr>
          <w:spacing w:val="-8"/>
        </w:rPr>
        <w:t> </w:t>
      </w:r>
      <w:r>
        <w:rPr/>
        <w:t>priorities</w:t>
      </w:r>
      <w:r>
        <w:rPr>
          <w:spacing w:val="-8"/>
        </w:rPr>
        <w:t> </w:t>
      </w:r>
      <w:r>
        <w:rPr/>
        <w:t>for</w:t>
      </w:r>
      <w:r>
        <w:rPr>
          <w:spacing w:val="-6"/>
        </w:rPr>
        <w:t> </w:t>
      </w:r>
      <w:r>
        <w:rPr>
          <w:spacing w:val="-4"/>
        </w:rPr>
        <w:t>2023</w:t>
      </w:r>
    </w:p>
    <w:p>
      <w:pPr>
        <w:pStyle w:val="BodyText"/>
        <w:rPr>
          <w:b/>
          <w:sz w:val="21"/>
        </w:rPr>
      </w:pPr>
    </w:p>
    <w:p>
      <w:pPr>
        <w:pStyle w:val="ListParagraph"/>
        <w:numPr>
          <w:ilvl w:val="0"/>
          <w:numId w:val="4"/>
        </w:numPr>
        <w:tabs>
          <w:tab w:pos="2967" w:val="left" w:leader="none"/>
        </w:tabs>
        <w:spacing w:line="240" w:lineRule="auto" w:before="0" w:after="0"/>
        <w:ind w:left="2246" w:right="2245" w:firstLine="0"/>
        <w:jc w:val="both"/>
        <w:rPr>
          <w:sz w:val="20"/>
        </w:rPr>
      </w:pPr>
      <w:bookmarkStart w:name="_bookmark6" w:id="7"/>
      <w:bookmarkEnd w:id="7"/>
      <w:r>
        <w:rPr>
          <w:sz w:val="20"/>
        </w:rPr>
        <w:t>T</w:t>
      </w:r>
      <w:r>
        <w:rPr>
          <w:sz w:val="20"/>
        </w:rPr>
        <w:t>he</w:t>
      </w:r>
      <w:r>
        <w:rPr>
          <w:spacing w:val="-13"/>
          <w:sz w:val="20"/>
        </w:rPr>
        <w:t> </w:t>
      </w:r>
      <w:r>
        <w:rPr>
          <w:sz w:val="20"/>
        </w:rPr>
        <w:t>Court’s</w:t>
      </w:r>
      <w:r>
        <w:rPr>
          <w:spacing w:val="-12"/>
          <w:sz w:val="20"/>
        </w:rPr>
        <w:t> </w:t>
      </w:r>
      <w:r>
        <w:rPr>
          <w:sz w:val="20"/>
        </w:rPr>
        <w:t>Principals,</w:t>
      </w:r>
      <w:r>
        <w:rPr>
          <w:spacing w:val="-13"/>
          <w:sz w:val="20"/>
        </w:rPr>
        <w:t> </w:t>
      </w:r>
      <w:r>
        <w:rPr>
          <w:sz w:val="20"/>
        </w:rPr>
        <w:t>through</w:t>
      </w:r>
      <w:r>
        <w:rPr>
          <w:spacing w:val="-12"/>
          <w:sz w:val="20"/>
        </w:rPr>
        <w:t> </w:t>
      </w:r>
      <w:r>
        <w:rPr>
          <w:sz w:val="20"/>
        </w:rPr>
        <w:t>the</w:t>
      </w:r>
      <w:r>
        <w:rPr>
          <w:spacing w:val="-13"/>
          <w:sz w:val="20"/>
        </w:rPr>
        <w:t> </w:t>
      </w:r>
      <w:r>
        <w:rPr>
          <w:sz w:val="20"/>
        </w:rPr>
        <w:t>Coordination</w:t>
      </w:r>
      <w:r>
        <w:rPr>
          <w:spacing w:val="-12"/>
          <w:sz w:val="20"/>
        </w:rPr>
        <w:t> </w:t>
      </w:r>
      <w:r>
        <w:rPr>
          <w:sz w:val="20"/>
        </w:rPr>
        <w:t>Council</w:t>
      </w:r>
      <w:r>
        <w:rPr>
          <w:spacing w:val="-13"/>
          <w:sz w:val="20"/>
        </w:rPr>
        <w:t> </w:t>
      </w:r>
      <w:r>
        <w:rPr>
          <w:sz w:val="20"/>
        </w:rPr>
        <w:t>(“CoCo”),</w:t>
      </w:r>
      <w:r>
        <w:rPr>
          <w:spacing w:val="-12"/>
          <w:sz w:val="20"/>
        </w:rPr>
        <w:t> </w:t>
      </w:r>
      <w:r>
        <w:rPr>
          <w:sz w:val="20"/>
        </w:rPr>
        <w:t>have</w:t>
      </w:r>
      <w:r>
        <w:rPr>
          <w:spacing w:val="-13"/>
          <w:sz w:val="20"/>
        </w:rPr>
        <w:t> </w:t>
      </w:r>
      <w:r>
        <w:rPr>
          <w:sz w:val="20"/>
        </w:rPr>
        <w:t>identified a number of strategic budget priorities for the Court’s activities in 2023. It is important to note</w:t>
      </w:r>
      <w:r>
        <w:rPr>
          <w:spacing w:val="-12"/>
          <w:sz w:val="20"/>
        </w:rPr>
        <w:t> </w:t>
      </w:r>
      <w:r>
        <w:rPr>
          <w:sz w:val="20"/>
        </w:rPr>
        <w:t>that</w:t>
      </w:r>
      <w:r>
        <w:rPr>
          <w:spacing w:val="-12"/>
          <w:sz w:val="20"/>
        </w:rPr>
        <w:t> </w:t>
      </w:r>
      <w:r>
        <w:rPr>
          <w:sz w:val="20"/>
        </w:rPr>
        <w:t>these</w:t>
      </w:r>
      <w:r>
        <w:rPr>
          <w:spacing w:val="-7"/>
          <w:sz w:val="20"/>
        </w:rPr>
        <w:t> </w:t>
      </w:r>
      <w:r>
        <w:rPr>
          <w:sz w:val="20"/>
        </w:rPr>
        <w:t>priorities</w:t>
      </w:r>
      <w:r>
        <w:rPr>
          <w:spacing w:val="-10"/>
          <w:sz w:val="20"/>
        </w:rPr>
        <w:t> </w:t>
      </w:r>
      <w:r>
        <w:rPr>
          <w:sz w:val="20"/>
        </w:rPr>
        <w:t>and</w:t>
      </w:r>
      <w:r>
        <w:rPr>
          <w:spacing w:val="-13"/>
          <w:sz w:val="20"/>
        </w:rPr>
        <w:t> </w:t>
      </w:r>
      <w:r>
        <w:rPr>
          <w:sz w:val="20"/>
        </w:rPr>
        <w:t>activities</w:t>
      </w:r>
      <w:r>
        <w:rPr>
          <w:spacing w:val="-9"/>
          <w:sz w:val="20"/>
        </w:rPr>
        <w:t> </w:t>
      </w:r>
      <w:r>
        <w:rPr>
          <w:sz w:val="20"/>
        </w:rPr>
        <w:t>reflect</w:t>
      </w:r>
      <w:r>
        <w:rPr>
          <w:spacing w:val="-7"/>
          <w:sz w:val="20"/>
        </w:rPr>
        <w:t> </w:t>
      </w:r>
      <w:r>
        <w:rPr>
          <w:sz w:val="20"/>
        </w:rPr>
        <w:t>what</w:t>
      </w:r>
      <w:r>
        <w:rPr>
          <w:spacing w:val="-12"/>
          <w:sz w:val="20"/>
        </w:rPr>
        <w:t> </w:t>
      </w:r>
      <w:r>
        <w:rPr>
          <w:sz w:val="20"/>
        </w:rPr>
        <w:t>can</w:t>
      </w:r>
      <w:r>
        <w:rPr>
          <w:spacing w:val="-8"/>
          <w:sz w:val="20"/>
        </w:rPr>
        <w:t> </w:t>
      </w:r>
      <w:r>
        <w:rPr>
          <w:sz w:val="20"/>
        </w:rPr>
        <w:t>reasonably</w:t>
      </w:r>
      <w:r>
        <w:rPr>
          <w:spacing w:val="-13"/>
          <w:sz w:val="20"/>
        </w:rPr>
        <w:t> </w:t>
      </w:r>
      <w:r>
        <w:rPr>
          <w:sz w:val="20"/>
        </w:rPr>
        <w:t>be</w:t>
      </w:r>
      <w:r>
        <w:rPr>
          <w:spacing w:val="-7"/>
          <w:sz w:val="20"/>
        </w:rPr>
        <w:t> </w:t>
      </w:r>
      <w:r>
        <w:rPr>
          <w:sz w:val="20"/>
        </w:rPr>
        <w:t>planned</w:t>
      </w:r>
      <w:r>
        <w:rPr>
          <w:spacing w:val="-13"/>
          <w:sz w:val="20"/>
        </w:rPr>
        <w:t> </w:t>
      </w:r>
      <w:r>
        <w:rPr>
          <w:sz w:val="20"/>
        </w:rPr>
        <w:t>and</w:t>
      </w:r>
      <w:r>
        <w:rPr>
          <w:spacing w:val="-12"/>
          <w:sz w:val="20"/>
        </w:rPr>
        <w:t> </w:t>
      </w:r>
      <w:r>
        <w:rPr>
          <w:sz w:val="20"/>
        </w:rPr>
        <w:t>anticipated for</w:t>
      </w:r>
      <w:r>
        <w:rPr>
          <w:spacing w:val="-9"/>
          <w:sz w:val="20"/>
        </w:rPr>
        <w:t> </w:t>
      </w:r>
      <w:r>
        <w:rPr>
          <w:sz w:val="20"/>
        </w:rPr>
        <w:t>2023</w:t>
      </w:r>
      <w:r>
        <w:rPr>
          <w:spacing w:val="-13"/>
          <w:sz w:val="20"/>
        </w:rPr>
        <w:t> </w:t>
      </w:r>
      <w:r>
        <w:rPr>
          <w:sz w:val="20"/>
        </w:rPr>
        <w:t>at</w:t>
      </w:r>
      <w:r>
        <w:rPr>
          <w:spacing w:val="-12"/>
          <w:sz w:val="20"/>
        </w:rPr>
        <w:t> </w:t>
      </w:r>
      <w:r>
        <w:rPr>
          <w:sz w:val="20"/>
        </w:rPr>
        <w:t>the</w:t>
      </w:r>
      <w:r>
        <w:rPr>
          <w:spacing w:val="-7"/>
          <w:sz w:val="20"/>
        </w:rPr>
        <w:t> </w:t>
      </w:r>
      <w:r>
        <w:rPr>
          <w:sz w:val="20"/>
        </w:rPr>
        <w:t>time</w:t>
      </w:r>
      <w:r>
        <w:rPr>
          <w:spacing w:val="-7"/>
          <w:sz w:val="20"/>
        </w:rPr>
        <w:t> </w:t>
      </w:r>
      <w:r>
        <w:rPr>
          <w:sz w:val="20"/>
        </w:rPr>
        <w:t>of</w:t>
      </w:r>
      <w:r>
        <w:rPr>
          <w:spacing w:val="-8"/>
          <w:sz w:val="20"/>
        </w:rPr>
        <w:t> </w:t>
      </w:r>
      <w:r>
        <w:rPr>
          <w:sz w:val="20"/>
        </w:rPr>
        <w:t>writing</w:t>
      </w:r>
      <w:r>
        <w:rPr>
          <w:spacing w:val="-8"/>
          <w:sz w:val="20"/>
        </w:rPr>
        <w:t> </w:t>
      </w:r>
      <w:r>
        <w:rPr>
          <w:sz w:val="20"/>
        </w:rPr>
        <w:t>of</w:t>
      </w:r>
      <w:r>
        <w:rPr>
          <w:spacing w:val="-8"/>
          <w:sz w:val="20"/>
        </w:rPr>
        <w:t> </w:t>
      </w:r>
      <w:r>
        <w:rPr>
          <w:sz w:val="20"/>
        </w:rPr>
        <w:t>this</w:t>
      </w:r>
      <w:r>
        <w:rPr>
          <w:spacing w:val="-10"/>
          <w:sz w:val="20"/>
        </w:rPr>
        <w:t> </w:t>
      </w:r>
      <w:r>
        <w:rPr>
          <w:sz w:val="20"/>
        </w:rPr>
        <w:t>document,</w:t>
      </w:r>
      <w:r>
        <w:rPr>
          <w:spacing w:val="-11"/>
          <w:sz w:val="20"/>
        </w:rPr>
        <w:t> </w:t>
      </w:r>
      <w:r>
        <w:rPr>
          <w:sz w:val="20"/>
        </w:rPr>
        <w:t>taking</w:t>
      </w:r>
      <w:r>
        <w:rPr>
          <w:spacing w:val="-13"/>
          <w:sz w:val="20"/>
        </w:rPr>
        <w:t> </w:t>
      </w:r>
      <w:r>
        <w:rPr>
          <w:sz w:val="20"/>
        </w:rPr>
        <w:t>into</w:t>
      </w:r>
      <w:r>
        <w:rPr>
          <w:spacing w:val="-12"/>
          <w:sz w:val="20"/>
        </w:rPr>
        <w:t> </w:t>
      </w:r>
      <w:r>
        <w:rPr>
          <w:sz w:val="20"/>
        </w:rPr>
        <w:t>account</w:t>
      </w:r>
      <w:r>
        <w:rPr>
          <w:spacing w:val="-12"/>
          <w:sz w:val="20"/>
        </w:rPr>
        <w:t> </w:t>
      </w:r>
      <w:r>
        <w:rPr>
          <w:sz w:val="20"/>
        </w:rPr>
        <w:t>the</w:t>
      </w:r>
      <w:r>
        <w:rPr>
          <w:spacing w:val="-7"/>
          <w:sz w:val="20"/>
        </w:rPr>
        <w:t> </w:t>
      </w:r>
      <w:r>
        <w:rPr>
          <w:sz w:val="20"/>
        </w:rPr>
        <w:t>degree</w:t>
      </w:r>
      <w:r>
        <w:rPr>
          <w:spacing w:val="-7"/>
          <w:sz w:val="20"/>
        </w:rPr>
        <w:t> </w:t>
      </w:r>
      <w:r>
        <w:rPr>
          <w:sz w:val="20"/>
        </w:rPr>
        <w:t>of</w:t>
      </w:r>
      <w:r>
        <w:rPr>
          <w:spacing w:val="-13"/>
          <w:sz w:val="20"/>
        </w:rPr>
        <w:t> </w:t>
      </w:r>
      <w:r>
        <w:rPr>
          <w:sz w:val="20"/>
        </w:rPr>
        <w:t>uncertainty intrinsic to the judicial nature of the Court’s mandate. Accordingly, the projections may subsequently be affected by the realities and continuously evolving context of the judicial and prosecutorial work of the Court.</w:t>
      </w:r>
    </w:p>
    <w:p>
      <w:pPr>
        <w:pStyle w:val="ListParagraph"/>
        <w:numPr>
          <w:ilvl w:val="0"/>
          <w:numId w:val="4"/>
        </w:numPr>
        <w:tabs>
          <w:tab w:pos="2967" w:val="left" w:leader="none"/>
        </w:tabs>
        <w:spacing w:line="240" w:lineRule="auto" w:before="119" w:after="0"/>
        <w:ind w:left="2246" w:right="2239" w:firstLine="0"/>
        <w:jc w:val="both"/>
        <w:rPr>
          <w:sz w:val="20"/>
        </w:rPr>
      </w:pPr>
      <w:r>
        <w:rPr>
          <w:sz w:val="20"/>
        </w:rPr>
        <w:t>In formulating the budget priorities and main cost drivers, the Court’s Principals have relied on the new cycle of the Court-wide Strategic Plan for 2023-2025, which builds on the previous plan to ensure continuity and consistency between the corporate planning cycles of the Court: strategic planning, risk management and budget planning. The goals of the strategic plan constitute the cornerstone of the Court’s planning approach and feature prominently in its budget planning for 2023. The planning is complemented by the distinct strategic</w:t>
      </w:r>
      <w:r>
        <w:rPr>
          <w:spacing w:val="-3"/>
          <w:sz w:val="20"/>
        </w:rPr>
        <w:t> </w:t>
      </w:r>
      <w:r>
        <w:rPr>
          <w:sz w:val="20"/>
        </w:rPr>
        <w:t>plans</w:t>
      </w:r>
      <w:r>
        <w:rPr>
          <w:spacing w:val="-1"/>
          <w:sz w:val="20"/>
        </w:rPr>
        <w:t> </w:t>
      </w:r>
      <w:r>
        <w:rPr>
          <w:sz w:val="20"/>
        </w:rPr>
        <w:t>for</w:t>
      </w:r>
      <w:r>
        <w:rPr>
          <w:spacing w:val="-5"/>
          <w:sz w:val="20"/>
        </w:rPr>
        <w:t> </w:t>
      </w:r>
      <w:r>
        <w:rPr>
          <w:sz w:val="20"/>
        </w:rPr>
        <w:t>the same period for the</w:t>
      </w:r>
      <w:r>
        <w:rPr>
          <w:spacing w:val="-3"/>
          <w:sz w:val="20"/>
        </w:rPr>
        <w:t> </w:t>
      </w:r>
      <w:r>
        <w:rPr>
          <w:sz w:val="20"/>
        </w:rPr>
        <w:t>OTP,</w:t>
      </w:r>
      <w:r>
        <w:rPr>
          <w:spacing w:val="-2"/>
          <w:sz w:val="20"/>
        </w:rPr>
        <w:t> </w:t>
      </w:r>
      <w:r>
        <w:rPr>
          <w:sz w:val="20"/>
        </w:rPr>
        <w:t>the</w:t>
      </w:r>
      <w:r>
        <w:rPr>
          <w:spacing w:val="-3"/>
          <w:sz w:val="20"/>
        </w:rPr>
        <w:t> </w:t>
      </w:r>
      <w:r>
        <w:rPr>
          <w:sz w:val="20"/>
        </w:rPr>
        <w:t>Registry</w:t>
      </w:r>
      <w:r>
        <w:rPr>
          <w:spacing w:val="-8"/>
          <w:sz w:val="20"/>
        </w:rPr>
        <w:t> </w:t>
      </w:r>
      <w:r>
        <w:rPr>
          <w:sz w:val="20"/>
        </w:rPr>
        <w:t>and</w:t>
      </w:r>
      <w:r>
        <w:rPr>
          <w:spacing w:val="-5"/>
          <w:sz w:val="20"/>
        </w:rPr>
        <w:t> </w:t>
      </w:r>
      <w:r>
        <w:rPr>
          <w:sz w:val="20"/>
        </w:rPr>
        <w:t>the</w:t>
      </w:r>
      <w:r>
        <w:rPr>
          <w:spacing w:val="-3"/>
          <w:sz w:val="20"/>
        </w:rPr>
        <w:t> </w:t>
      </w:r>
      <w:r>
        <w:rPr>
          <w:sz w:val="20"/>
        </w:rPr>
        <w:t>Trust Fund for Victims (TFV), and further informed by the vision, strategic direction and independent judgment of the Court’s leadership.</w:t>
      </w:r>
    </w:p>
    <w:p>
      <w:pPr>
        <w:pStyle w:val="ListParagraph"/>
        <w:numPr>
          <w:ilvl w:val="0"/>
          <w:numId w:val="4"/>
        </w:numPr>
        <w:tabs>
          <w:tab w:pos="2967" w:val="left" w:leader="none"/>
        </w:tabs>
        <w:spacing w:line="240" w:lineRule="auto" w:before="119" w:after="0"/>
        <w:ind w:left="2246" w:right="2240" w:firstLine="0"/>
        <w:jc w:val="both"/>
        <w:rPr>
          <w:sz w:val="20"/>
        </w:rPr>
      </w:pPr>
      <w:r>
        <w:rPr>
          <w:sz w:val="20"/>
        </w:rPr>
        <w:t>The Court’s overriding objective is to achieve an effective, efficient and universal system of international criminal justice, under the Rome Statute, in which to independently conduct</w:t>
      </w:r>
      <w:r>
        <w:rPr>
          <w:spacing w:val="-2"/>
          <w:sz w:val="20"/>
        </w:rPr>
        <w:t> </w:t>
      </w:r>
      <w:r>
        <w:rPr>
          <w:sz w:val="20"/>
        </w:rPr>
        <w:t>fair</w:t>
      </w:r>
      <w:r>
        <w:rPr>
          <w:spacing w:val="-8"/>
          <w:sz w:val="20"/>
        </w:rPr>
        <w:t> </w:t>
      </w:r>
      <w:r>
        <w:rPr>
          <w:sz w:val="20"/>
        </w:rPr>
        <w:t>and</w:t>
      </w:r>
      <w:r>
        <w:rPr>
          <w:spacing w:val="-4"/>
          <w:sz w:val="20"/>
        </w:rPr>
        <w:t> </w:t>
      </w:r>
      <w:r>
        <w:rPr>
          <w:sz w:val="20"/>
        </w:rPr>
        <w:t>expeditious</w:t>
      </w:r>
      <w:r>
        <w:rPr>
          <w:spacing w:val="-5"/>
          <w:sz w:val="20"/>
        </w:rPr>
        <w:t> </w:t>
      </w:r>
      <w:r>
        <w:rPr>
          <w:sz w:val="20"/>
        </w:rPr>
        <w:t>investigations</w:t>
      </w:r>
      <w:r>
        <w:rPr>
          <w:spacing w:val="-10"/>
          <w:sz w:val="20"/>
        </w:rPr>
        <w:t> </w:t>
      </w:r>
      <w:r>
        <w:rPr>
          <w:sz w:val="20"/>
        </w:rPr>
        <w:t>and</w:t>
      </w:r>
      <w:r>
        <w:rPr>
          <w:spacing w:val="-4"/>
          <w:sz w:val="20"/>
        </w:rPr>
        <w:t> </w:t>
      </w:r>
      <w:r>
        <w:rPr>
          <w:sz w:val="20"/>
        </w:rPr>
        <w:t>trials when</w:t>
      </w:r>
      <w:r>
        <w:rPr>
          <w:spacing w:val="-4"/>
          <w:sz w:val="20"/>
        </w:rPr>
        <w:t> </w:t>
      </w:r>
      <w:r>
        <w:rPr>
          <w:sz w:val="20"/>
        </w:rPr>
        <w:t>national</w:t>
      </w:r>
      <w:r>
        <w:rPr>
          <w:spacing w:val="-2"/>
          <w:sz w:val="20"/>
        </w:rPr>
        <w:t> </w:t>
      </w:r>
      <w:r>
        <w:rPr>
          <w:sz w:val="20"/>
        </w:rPr>
        <w:t>authorities</w:t>
      </w:r>
      <w:r>
        <w:rPr>
          <w:spacing w:val="-5"/>
          <w:sz w:val="20"/>
        </w:rPr>
        <w:t> </w:t>
      </w:r>
      <w:r>
        <w:rPr>
          <w:sz w:val="20"/>
        </w:rPr>
        <w:t>are</w:t>
      </w:r>
      <w:r>
        <w:rPr>
          <w:spacing w:val="-2"/>
          <w:sz w:val="20"/>
        </w:rPr>
        <w:t> </w:t>
      </w:r>
      <w:r>
        <w:rPr>
          <w:sz w:val="20"/>
        </w:rPr>
        <w:t>unable</w:t>
      </w:r>
      <w:r>
        <w:rPr>
          <w:spacing w:val="-2"/>
          <w:sz w:val="20"/>
        </w:rPr>
        <w:t> </w:t>
      </w:r>
      <w:r>
        <w:rPr>
          <w:sz w:val="20"/>
        </w:rPr>
        <w:t>or unwilling to genuinely do so. The three main strategic areas which encompass all Court activities and are reflected in the respective strategic plans of each organ, continue to be judicial and prosecutorial performance; cooperation and complementarity; and organizational performance.</w:t>
      </w:r>
    </w:p>
    <w:p>
      <w:pPr>
        <w:pStyle w:val="ListParagraph"/>
        <w:numPr>
          <w:ilvl w:val="0"/>
          <w:numId w:val="4"/>
        </w:numPr>
        <w:tabs>
          <w:tab w:pos="2967" w:val="left" w:leader="none"/>
        </w:tabs>
        <w:spacing w:line="240" w:lineRule="auto" w:before="124" w:after="0"/>
        <w:ind w:left="2246" w:right="2246" w:firstLine="0"/>
        <w:jc w:val="both"/>
        <w:rPr>
          <w:sz w:val="20"/>
        </w:rPr>
      </w:pPr>
      <w:r>
        <w:rPr>
          <w:sz w:val="20"/>
        </w:rPr>
        <w:t>As a direct consequence of the Court’s overarching strategic objectives, the following</w:t>
      </w:r>
      <w:r>
        <w:rPr>
          <w:spacing w:val="-13"/>
          <w:sz w:val="20"/>
        </w:rPr>
        <w:t> </w:t>
      </w:r>
      <w:r>
        <w:rPr>
          <w:sz w:val="20"/>
        </w:rPr>
        <w:t>areas</w:t>
      </w:r>
      <w:r>
        <w:rPr>
          <w:spacing w:val="-12"/>
          <w:sz w:val="20"/>
        </w:rPr>
        <w:t> </w:t>
      </w:r>
      <w:r>
        <w:rPr>
          <w:sz w:val="20"/>
        </w:rPr>
        <w:t>have</w:t>
      </w:r>
      <w:r>
        <w:rPr>
          <w:spacing w:val="-13"/>
          <w:sz w:val="20"/>
        </w:rPr>
        <w:t> </w:t>
      </w:r>
      <w:r>
        <w:rPr>
          <w:sz w:val="20"/>
        </w:rPr>
        <w:t>been</w:t>
      </w:r>
      <w:r>
        <w:rPr>
          <w:spacing w:val="-12"/>
          <w:sz w:val="20"/>
        </w:rPr>
        <w:t> </w:t>
      </w:r>
      <w:r>
        <w:rPr>
          <w:sz w:val="20"/>
        </w:rPr>
        <w:t>identified</w:t>
      </w:r>
      <w:r>
        <w:rPr>
          <w:spacing w:val="-13"/>
          <w:sz w:val="20"/>
        </w:rPr>
        <w:t> </w:t>
      </w:r>
      <w:r>
        <w:rPr>
          <w:sz w:val="20"/>
        </w:rPr>
        <w:t>as</w:t>
      </w:r>
      <w:r>
        <w:rPr>
          <w:spacing w:val="-12"/>
          <w:sz w:val="20"/>
        </w:rPr>
        <w:t> </w:t>
      </w:r>
      <w:r>
        <w:rPr>
          <w:sz w:val="20"/>
        </w:rPr>
        <w:t>underpinning</w:t>
      </w:r>
      <w:r>
        <w:rPr>
          <w:spacing w:val="-13"/>
          <w:sz w:val="20"/>
        </w:rPr>
        <w:t> </w:t>
      </w:r>
      <w:r>
        <w:rPr>
          <w:sz w:val="20"/>
        </w:rPr>
        <w:t>the</w:t>
      </w:r>
      <w:r>
        <w:rPr>
          <w:spacing w:val="-12"/>
          <w:sz w:val="20"/>
        </w:rPr>
        <w:t> </w:t>
      </w:r>
      <w:r>
        <w:rPr>
          <w:sz w:val="20"/>
        </w:rPr>
        <w:t>prioritization</w:t>
      </w:r>
      <w:r>
        <w:rPr>
          <w:spacing w:val="-13"/>
          <w:sz w:val="20"/>
        </w:rPr>
        <w:t> </w:t>
      </w:r>
      <w:r>
        <w:rPr>
          <w:sz w:val="20"/>
        </w:rPr>
        <w:t>of</w:t>
      </w:r>
      <w:r>
        <w:rPr>
          <w:spacing w:val="-12"/>
          <w:sz w:val="20"/>
        </w:rPr>
        <w:t> </w:t>
      </w:r>
      <w:r>
        <w:rPr>
          <w:sz w:val="20"/>
        </w:rPr>
        <w:t>resource</w:t>
      </w:r>
      <w:r>
        <w:rPr>
          <w:spacing w:val="-13"/>
          <w:sz w:val="20"/>
        </w:rPr>
        <w:t> </w:t>
      </w:r>
      <w:r>
        <w:rPr>
          <w:sz w:val="20"/>
        </w:rPr>
        <w:t>allocations and requirements for 2023, with a view to ensuring the Court’s ability to deliver on its </w:t>
      </w:r>
      <w:r>
        <w:rPr>
          <w:spacing w:val="-2"/>
          <w:sz w:val="20"/>
        </w:rPr>
        <w:t>mandate:</w:t>
      </w:r>
    </w:p>
    <w:p>
      <w:pPr>
        <w:pStyle w:val="BodyText"/>
        <w:rPr>
          <w:sz w:val="21"/>
        </w:rPr>
      </w:pPr>
    </w:p>
    <w:p>
      <w:pPr>
        <w:pStyle w:val="Heading3"/>
        <w:numPr>
          <w:ilvl w:val="2"/>
          <w:numId w:val="3"/>
        </w:numPr>
        <w:tabs>
          <w:tab w:pos="2246" w:val="left" w:leader="none"/>
          <w:tab w:pos="2247" w:val="left" w:leader="none"/>
        </w:tabs>
        <w:spacing w:line="240" w:lineRule="auto" w:before="0" w:after="0"/>
        <w:ind w:left="2246" w:right="0" w:hanging="568"/>
        <w:jc w:val="left"/>
      </w:pPr>
      <w:r>
        <w:rPr/>
        <w:t>Conduct</w:t>
      </w:r>
      <w:r>
        <w:rPr>
          <w:spacing w:val="-5"/>
        </w:rPr>
        <w:t> </w:t>
      </w:r>
      <w:r>
        <w:rPr/>
        <w:t>and</w:t>
      </w:r>
      <w:r>
        <w:rPr>
          <w:spacing w:val="-4"/>
        </w:rPr>
        <w:t> </w:t>
      </w:r>
      <w:r>
        <w:rPr/>
        <w:t>support</w:t>
      </w:r>
      <w:r>
        <w:rPr>
          <w:spacing w:val="-9"/>
        </w:rPr>
        <w:t> </w:t>
      </w:r>
      <w:r>
        <w:rPr/>
        <w:t>fair</w:t>
      </w:r>
      <w:r>
        <w:rPr>
          <w:spacing w:val="-7"/>
        </w:rPr>
        <w:t> </w:t>
      </w:r>
      <w:r>
        <w:rPr/>
        <w:t>and</w:t>
      </w:r>
      <w:r>
        <w:rPr>
          <w:spacing w:val="-9"/>
        </w:rPr>
        <w:t> </w:t>
      </w:r>
      <w:r>
        <w:rPr/>
        <w:t>expeditious</w:t>
      </w:r>
      <w:r>
        <w:rPr>
          <w:spacing w:val="-5"/>
        </w:rPr>
        <w:t> </w:t>
      </w:r>
      <w:r>
        <w:rPr/>
        <w:t>judicial</w:t>
      </w:r>
      <w:r>
        <w:rPr>
          <w:spacing w:val="-6"/>
        </w:rPr>
        <w:t> </w:t>
      </w:r>
      <w:r>
        <w:rPr>
          <w:spacing w:val="-2"/>
        </w:rPr>
        <w:t>proceedings</w:t>
      </w:r>
    </w:p>
    <w:p>
      <w:pPr>
        <w:pStyle w:val="BodyText"/>
        <w:spacing w:before="6"/>
        <w:rPr>
          <w:b/>
        </w:rPr>
      </w:pPr>
    </w:p>
    <w:p>
      <w:pPr>
        <w:pStyle w:val="ListParagraph"/>
        <w:numPr>
          <w:ilvl w:val="0"/>
          <w:numId w:val="4"/>
        </w:numPr>
        <w:tabs>
          <w:tab w:pos="2967" w:val="left" w:leader="none"/>
        </w:tabs>
        <w:spacing w:line="240" w:lineRule="auto" w:before="0" w:after="0"/>
        <w:ind w:left="2246" w:right="2246" w:firstLine="0"/>
        <w:jc w:val="both"/>
        <w:rPr>
          <w:sz w:val="20"/>
        </w:rPr>
      </w:pPr>
      <w:r>
        <w:rPr>
          <w:sz w:val="20"/>
        </w:rPr>
        <w:t>The</w:t>
      </w:r>
      <w:r>
        <w:rPr>
          <w:spacing w:val="-13"/>
          <w:sz w:val="20"/>
        </w:rPr>
        <w:t> </w:t>
      </w:r>
      <w:r>
        <w:rPr>
          <w:sz w:val="20"/>
        </w:rPr>
        <w:t>conduct</w:t>
      </w:r>
      <w:r>
        <w:rPr>
          <w:spacing w:val="-10"/>
          <w:sz w:val="20"/>
        </w:rPr>
        <w:t> </w:t>
      </w:r>
      <w:r>
        <w:rPr>
          <w:sz w:val="20"/>
        </w:rPr>
        <w:t>of</w:t>
      </w:r>
      <w:r>
        <w:rPr>
          <w:spacing w:val="-13"/>
          <w:sz w:val="20"/>
        </w:rPr>
        <w:t> </w:t>
      </w:r>
      <w:r>
        <w:rPr>
          <w:sz w:val="20"/>
        </w:rPr>
        <w:t>fair</w:t>
      </w:r>
      <w:r>
        <w:rPr>
          <w:spacing w:val="-9"/>
          <w:sz w:val="20"/>
        </w:rPr>
        <w:t> </w:t>
      </w:r>
      <w:r>
        <w:rPr>
          <w:sz w:val="20"/>
        </w:rPr>
        <w:t>and</w:t>
      </w:r>
      <w:r>
        <w:rPr>
          <w:spacing w:val="-13"/>
          <w:sz w:val="20"/>
        </w:rPr>
        <w:t> </w:t>
      </w:r>
      <w:r>
        <w:rPr>
          <w:sz w:val="20"/>
        </w:rPr>
        <w:t>expeditious</w:t>
      </w:r>
      <w:r>
        <w:rPr>
          <w:spacing w:val="-11"/>
          <w:sz w:val="20"/>
        </w:rPr>
        <w:t> </w:t>
      </w:r>
      <w:r>
        <w:rPr>
          <w:sz w:val="20"/>
        </w:rPr>
        <w:t>pre-trial,</w:t>
      </w:r>
      <w:r>
        <w:rPr>
          <w:spacing w:val="-7"/>
          <w:sz w:val="20"/>
        </w:rPr>
        <w:t> </w:t>
      </w:r>
      <w:r>
        <w:rPr>
          <w:sz w:val="20"/>
        </w:rPr>
        <w:t>trial</w:t>
      </w:r>
      <w:r>
        <w:rPr>
          <w:spacing w:val="-13"/>
          <w:sz w:val="20"/>
        </w:rPr>
        <w:t> </w:t>
      </w:r>
      <w:r>
        <w:rPr>
          <w:sz w:val="20"/>
        </w:rPr>
        <w:t>and</w:t>
      </w:r>
      <w:r>
        <w:rPr>
          <w:spacing w:val="-12"/>
          <w:sz w:val="20"/>
        </w:rPr>
        <w:t> </w:t>
      </w:r>
      <w:r>
        <w:rPr>
          <w:sz w:val="20"/>
        </w:rPr>
        <w:t>appeal</w:t>
      </w:r>
      <w:r>
        <w:rPr>
          <w:spacing w:val="-13"/>
          <w:sz w:val="20"/>
        </w:rPr>
        <w:t> </w:t>
      </w:r>
      <w:r>
        <w:rPr>
          <w:sz w:val="20"/>
        </w:rPr>
        <w:t>proceedings</w:t>
      </w:r>
      <w:r>
        <w:rPr>
          <w:spacing w:val="-11"/>
          <w:sz w:val="20"/>
        </w:rPr>
        <w:t> </w:t>
      </w:r>
      <w:r>
        <w:rPr>
          <w:sz w:val="20"/>
        </w:rPr>
        <w:t>before</w:t>
      </w:r>
      <w:r>
        <w:rPr>
          <w:spacing w:val="-8"/>
          <w:sz w:val="20"/>
        </w:rPr>
        <w:t> </w:t>
      </w:r>
      <w:r>
        <w:rPr>
          <w:sz w:val="20"/>
        </w:rPr>
        <w:t>the Chambers is at the core of the Court’s mandate.</w:t>
      </w:r>
    </w:p>
    <w:p>
      <w:pPr>
        <w:pStyle w:val="ListParagraph"/>
        <w:numPr>
          <w:ilvl w:val="0"/>
          <w:numId w:val="4"/>
        </w:numPr>
        <w:tabs>
          <w:tab w:pos="2967" w:val="left" w:leader="none"/>
        </w:tabs>
        <w:spacing w:line="240" w:lineRule="auto" w:before="121" w:after="0"/>
        <w:ind w:left="2246" w:right="2240" w:firstLine="0"/>
        <w:jc w:val="both"/>
        <w:rPr>
          <w:sz w:val="20"/>
        </w:rPr>
      </w:pPr>
      <w:r>
        <w:rPr>
          <w:sz w:val="20"/>
        </w:rPr>
        <w:t>In 2023, the resources needed to run and support trial hearings and the corresponding</w:t>
      </w:r>
      <w:r>
        <w:rPr>
          <w:spacing w:val="-2"/>
          <w:sz w:val="20"/>
        </w:rPr>
        <w:t> </w:t>
      </w:r>
      <w:r>
        <w:rPr>
          <w:sz w:val="20"/>
        </w:rPr>
        <w:t>workload</w:t>
      </w:r>
      <w:r>
        <w:rPr>
          <w:spacing w:val="-2"/>
          <w:sz w:val="20"/>
        </w:rPr>
        <w:t> </w:t>
      </w:r>
      <w:r>
        <w:rPr>
          <w:sz w:val="20"/>
        </w:rPr>
        <w:t>will</w:t>
      </w:r>
      <w:r>
        <w:rPr>
          <w:spacing w:val="-5"/>
          <w:sz w:val="20"/>
        </w:rPr>
        <w:t> </w:t>
      </w:r>
      <w:r>
        <w:rPr>
          <w:sz w:val="20"/>
        </w:rPr>
        <w:t>increase</w:t>
      </w:r>
      <w:r>
        <w:rPr>
          <w:spacing w:val="-5"/>
          <w:sz w:val="20"/>
        </w:rPr>
        <w:t> </w:t>
      </w:r>
      <w:r>
        <w:rPr>
          <w:sz w:val="20"/>
        </w:rPr>
        <w:t>significantly</w:t>
      </w:r>
      <w:r>
        <w:rPr>
          <w:spacing w:val="-2"/>
          <w:sz w:val="20"/>
        </w:rPr>
        <w:t> </w:t>
      </w:r>
      <w:r>
        <w:rPr>
          <w:sz w:val="20"/>
        </w:rPr>
        <w:t>with</w:t>
      </w:r>
      <w:r>
        <w:rPr>
          <w:spacing w:val="-7"/>
          <w:sz w:val="20"/>
        </w:rPr>
        <w:t> </w:t>
      </w:r>
      <w:r>
        <w:rPr>
          <w:sz w:val="20"/>
        </w:rPr>
        <w:t>three cases, (</w:t>
      </w:r>
      <w:r>
        <w:rPr>
          <w:i/>
          <w:sz w:val="20"/>
        </w:rPr>
        <w:t>Abd-Al-Rahman,</w:t>
      </w:r>
      <w:r>
        <w:rPr>
          <w:i/>
          <w:spacing w:val="-4"/>
          <w:sz w:val="20"/>
        </w:rPr>
        <w:t> </w:t>
      </w:r>
      <w:r>
        <w:rPr>
          <w:i/>
          <w:sz w:val="20"/>
        </w:rPr>
        <w:t>Said</w:t>
      </w:r>
      <w:r>
        <w:rPr>
          <w:sz w:val="20"/>
        </w:rPr>
        <w:t>, and </w:t>
      </w:r>
      <w:r>
        <w:rPr>
          <w:i/>
          <w:sz w:val="20"/>
        </w:rPr>
        <w:t>Yekatom and Ngaïssona</w:t>
      </w:r>
      <w:r>
        <w:rPr>
          <w:sz w:val="20"/>
        </w:rPr>
        <w:t>), ongoing in the courtroom throughout the year, and two cases (</w:t>
      </w:r>
      <w:r>
        <w:rPr>
          <w:i/>
          <w:sz w:val="20"/>
        </w:rPr>
        <w:t>Al Hassan </w:t>
      </w:r>
      <w:r>
        <w:rPr>
          <w:sz w:val="20"/>
        </w:rPr>
        <w:t>and </w:t>
      </w:r>
      <w:r>
        <w:rPr>
          <w:i/>
          <w:sz w:val="20"/>
        </w:rPr>
        <w:t>Gicheru</w:t>
      </w:r>
      <w:r>
        <w:rPr>
          <w:sz w:val="20"/>
        </w:rPr>
        <w:t>) expected to be at the deliberations stage. In order to avoid costly medium- and</w:t>
      </w:r>
      <w:r>
        <w:rPr>
          <w:spacing w:val="-3"/>
          <w:sz w:val="20"/>
        </w:rPr>
        <w:t> </w:t>
      </w:r>
      <w:r>
        <w:rPr>
          <w:sz w:val="20"/>
        </w:rPr>
        <w:t>long-term</w:t>
      </w:r>
      <w:r>
        <w:rPr>
          <w:spacing w:val="-1"/>
          <w:sz w:val="20"/>
        </w:rPr>
        <w:t> </w:t>
      </w:r>
      <w:r>
        <w:rPr>
          <w:sz w:val="20"/>
        </w:rPr>
        <w:t>inefficiencies, as well as</w:t>
      </w:r>
      <w:r>
        <w:rPr>
          <w:spacing w:val="-4"/>
          <w:sz w:val="20"/>
        </w:rPr>
        <w:t> </w:t>
      </w:r>
      <w:r>
        <w:rPr>
          <w:sz w:val="20"/>
        </w:rPr>
        <w:t>to ensure fair and</w:t>
      </w:r>
      <w:r>
        <w:rPr>
          <w:spacing w:val="-3"/>
          <w:sz w:val="20"/>
        </w:rPr>
        <w:t> </w:t>
      </w:r>
      <w:r>
        <w:rPr>
          <w:sz w:val="20"/>
        </w:rPr>
        <w:t>expeditious proceedings as mandated by the Rome Statute, the simultaneous use of the three courtrooms with the corresponding support capacity is required in 2023.</w:t>
      </w:r>
    </w:p>
    <w:p>
      <w:pPr>
        <w:pStyle w:val="ListParagraph"/>
        <w:numPr>
          <w:ilvl w:val="0"/>
          <w:numId w:val="4"/>
        </w:numPr>
        <w:tabs>
          <w:tab w:pos="2967" w:val="left" w:leader="none"/>
        </w:tabs>
        <w:spacing w:line="240" w:lineRule="auto" w:before="124" w:after="0"/>
        <w:ind w:left="2246" w:right="2243" w:firstLine="0"/>
        <w:jc w:val="both"/>
        <w:rPr>
          <w:sz w:val="20"/>
        </w:rPr>
      </w:pPr>
      <w:r>
        <w:rPr>
          <w:sz w:val="20"/>
        </w:rPr>
        <w:t>In comparison to most domestic proceedings, those of the Court are exceptionally complex in terms of the cases presented and the procedural rules to be followed. The sheer number of witnesses, volume of evidence and number of languages involved, coupled with the need for security on the ground and cooperation from national jurisdictions, make trials resource-intensive and often lengthy. Delays affecting part of one trial can affect other aspects</w:t>
      </w:r>
      <w:r>
        <w:rPr>
          <w:spacing w:val="-1"/>
          <w:sz w:val="20"/>
        </w:rPr>
        <w:t> </w:t>
      </w:r>
      <w:r>
        <w:rPr>
          <w:sz w:val="20"/>
        </w:rPr>
        <w:t>of</w:t>
      </w:r>
      <w:r>
        <w:rPr>
          <w:spacing w:val="-4"/>
          <w:sz w:val="20"/>
        </w:rPr>
        <w:t> </w:t>
      </w:r>
      <w:r>
        <w:rPr>
          <w:sz w:val="20"/>
        </w:rPr>
        <w:t>the Court’s</w:t>
      </w:r>
      <w:r>
        <w:rPr>
          <w:spacing w:val="-5"/>
          <w:sz w:val="20"/>
        </w:rPr>
        <w:t> </w:t>
      </w:r>
      <w:r>
        <w:rPr>
          <w:sz w:val="20"/>
        </w:rPr>
        <w:t>operations and budget</w:t>
      </w:r>
      <w:r>
        <w:rPr>
          <w:spacing w:val="-1"/>
          <w:sz w:val="20"/>
        </w:rPr>
        <w:t> </w:t>
      </w:r>
      <w:r>
        <w:rPr>
          <w:sz w:val="20"/>
        </w:rPr>
        <w:t>– such</w:t>
      </w:r>
      <w:r>
        <w:rPr>
          <w:spacing w:val="-4"/>
          <w:sz w:val="20"/>
        </w:rPr>
        <w:t> </w:t>
      </w:r>
      <w:r>
        <w:rPr>
          <w:sz w:val="20"/>
        </w:rPr>
        <w:t>as detention,</w:t>
      </w:r>
      <w:r>
        <w:rPr>
          <w:spacing w:val="-1"/>
          <w:sz w:val="20"/>
        </w:rPr>
        <w:t> </w:t>
      </w:r>
      <w:r>
        <w:rPr>
          <w:sz w:val="20"/>
        </w:rPr>
        <w:t>legal</w:t>
      </w:r>
      <w:r>
        <w:rPr>
          <w:spacing w:val="-2"/>
          <w:sz w:val="20"/>
        </w:rPr>
        <w:t> </w:t>
      </w:r>
      <w:r>
        <w:rPr>
          <w:sz w:val="20"/>
        </w:rPr>
        <w:t>aid, or witness costs. Efficiency is therefore crucial, and the Court continues to work tirelessly to expedite </w:t>
      </w:r>
      <w:r>
        <w:rPr>
          <w:spacing w:val="-2"/>
          <w:sz w:val="20"/>
        </w:rPr>
        <w:t>proceedings.</w:t>
      </w:r>
    </w:p>
    <w:p>
      <w:pPr>
        <w:pStyle w:val="ListParagraph"/>
        <w:numPr>
          <w:ilvl w:val="0"/>
          <w:numId w:val="4"/>
        </w:numPr>
        <w:tabs>
          <w:tab w:pos="2967" w:val="left" w:leader="none"/>
        </w:tabs>
        <w:spacing w:line="240" w:lineRule="auto" w:before="119" w:after="0"/>
        <w:ind w:left="2246" w:right="2238" w:firstLine="0"/>
        <w:jc w:val="both"/>
        <w:rPr>
          <w:sz w:val="20"/>
        </w:rPr>
      </w:pPr>
      <w:r>
        <w:rPr>
          <w:sz w:val="20"/>
        </w:rPr>
        <w:t>At the pre-trial level, the confirmation hearing is scheduled to take place in the </w:t>
      </w:r>
      <w:r>
        <w:rPr>
          <w:i/>
          <w:sz w:val="20"/>
        </w:rPr>
        <w:t>Mokom </w:t>
      </w:r>
      <w:r>
        <w:rPr>
          <w:sz w:val="20"/>
        </w:rPr>
        <w:t>case in January 2023. If the charges are confirmed, trial preparations could commence in 2023, triggering additional resource requirements. In addition, if any of the persons</w:t>
      </w:r>
      <w:r>
        <w:rPr>
          <w:spacing w:val="-10"/>
          <w:sz w:val="20"/>
        </w:rPr>
        <w:t> </w:t>
      </w:r>
      <w:r>
        <w:rPr>
          <w:sz w:val="20"/>
        </w:rPr>
        <w:t>for</w:t>
      </w:r>
      <w:r>
        <w:rPr>
          <w:spacing w:val="-8"/>
          <w:sz w:val="20"/>
        </w:rPr>
        <w:t> </w:t>
      </w:r>
      <w:r>
        <w:rPr>
          <w:sz w:val="20"/>
        </w:rPr>
        <w:t>whom</w:t>
      </w:r>
      <w:r>
        <w:rPr>
          <w:spacing w:val="-2"/>
          <w:sz w:val="20"/>
        </w:rPr>
        <w:t> </w:t>
      </w:r>
      <w:r>
        <w:rPr>
          <w:sz w:val="20"/>
        </w:rPr>
        <w:t>warrants</w:t>
      </w:r>
      <w:r>
        <w:rPr>
          <w:spacing w:val="-10"/>
          <w:sz w:val="20"/>
        </w:rPr>
        <w:t> </w:t>
      </w:r>
      <w:r>
        <w:rPr>
          <w:sz w:val="20"/>
        </w:rPr>
        <w:t>of</w:t>
      </w:r>
      <w:r>
        <w:rPr>
          <w:spacing w:val="-8"/>
          <w:sz w:val="20"/>
        </w:rPr>
        <w:t> </w:t>
      </w:r>
      <w:r>
        <w:rPr>
          <w:sz w:val="20"/>
        </w:rPr>
        <w:t>arrest</w:t>
      </w:r>
      <w:r>
        <w:rPr>
          <w:spacing w:val="-7"/>
          <w:sz w:val="20"/>
        </w:rPr>
        <w:t> </w:t>
      </w:r>
      <w:r>
        <w:rPr>
          <w:sz w:val="20"/>
        </w:rPr>
        <w:t>have</w:t>
      </w:r>
      <w:r>
        <w:rPr>
          <w:spacing w:val="-7"/>
          <w:sz w:val="20"/>
        </w:rPr>
        <w:t> </w:t>
      </w:r>
      <w:r>
        <w:rPr>
          <w:sz w:val="20"/>
        </w:rPr>
        <w:t>been</w:t>
      </w:r>
      <w:r>
        <w:rPr>
          <w:spacing w:val="-8"/>
          <w:sz w:val="20"/>
        </w:rPr>
        <w:t> </w:t>
      </w:r>
      <w:r>
        <w:rPr>
          <w:sz w:val="20"/>
        </w:rPr>
        <w:t>issued</w:t>
      </w:r>
      <w:r>
        <w:rPr>
          <w:spacing w:val="-8"/>
          <w:sz w:val="20"/>
        </w:rPr>
        <w:t> </w:t>
      </w:r>
      <w:r>
        <w:rPr>
          <w:sz w:val="20"/>
        </w:rPr>
        <w:t>by</w:t>
      </w:r>
      <w:r>
        <w:rPr>
          <w:spacing w:val="-8"/>
          <w:sz w:val="20"/>
        </w:rPr>
        <w:t> </w:t>
      </w:r>
      <w:r>
        <w:rPr>
          <w:sz w:val="20"/>
        </w:rPr>
        <w:t>the</w:t>
      </w:r>
      <w:r>
        <w:rPr>
          <w:spacing w:val="-7"/>
          <w:sz w:val="20"/>
        </w:rPr>
        <w:t> </w:t>
      </w:r>
      <w:r>
        <w:rPr>
          <w:sz w:val="20"/>
        </w:rPr>
        <w:t>Pre-Trial</w:t>
      </w:r>
      <w:r>
        <w:rPr>
          <w:spacing w:val="-7"/>
          <w:sz w:val="20"/>
        </w:rPr>
        <w:t> </w:t>
      </w:r>
      <w:r>
        <w:rPr>
          <w:sz w:val="20"/>
        </w:rPr>
        <w:t>Chambers</w:t>
      </w:r>
      <w:r>
        <w:rPr>
          <w:spacing w:val="-10"/>
          <w:sz w:val="20"/>
        </w:rPr>
        <w:t> </w:t>
      </w:r>
      <w:r>
        <w:rPr>
          <w:sz w:val="20"/>
        </w:rPr>
        <w:t>are</w:t>
      </w:r>
      <w:r>
        <w:rPr>
          <w:spacing w:val="-11"/>
          <w:sz w:val="20"/>
        </w:rPr>
        <w:t> </w:t>
      </w:r>
      <w:r>
        <w:rPr>
          <w:sz w:val="20"/>
        </w:rPr>
        <w:t>arrested and</w:t>
      </w:r>
      <w:r>
        <w:rPr>
          <w:spacing w:val="-4"/>
          <w:sz w:val="20"/>
        </w:rPr>
        <w:t> </w:t>
      </w:r>
      <w:r>
        <w:rPr>
          <w:sz w:val="20"/>
        </w:rPr>
        <w:t>surrendered</w:t>
      </w:r>
      <w:r>
        <w:rPr>
          <w:spacing w:val="-8"/>
          <w:sz w:val="20"/>
        </w:rPr>
        <w:t> </w:t>
      </w:r>
      <w:r>
        <w:rPr>
          <w:sz w:val="20"/>
        </w:rPr>
        <w:t>to</w:t>
      </w:r>
      <w:r>
        <w:rPr>
          <w:spacing w:val="-4"/>
          <w:sz w:val="20"/>
        </w:rPr>
        <w:t> </w:t>
      </w:r>
      <w:r>
        <w:rPr>
          <w:sz w:val="20"/>
        </w:rPr>
        <w:t>the</w:t>
      </w:r>
      <w:r>
        <w:rPr>
          <w:spacing w:val="-2"/>
          <w:sz w:val="20"/>
        </w:rPr>
        <w:t> </w:t>
      </w:r>
      <w:r>
        <w:rPr>
          <w:sz w:val="20"/>
        </w:rPr>
        <w:t>Court</w:t>
      </w:r>
      <w:r>
        <w:rPr>
          <w:spacing w:val="-7"/>
          <w:sz w:val="20"/>
        </w:rPr>
        <w:t> </w:t>
      </w:r>
      <w:r>
        <w:rPr>
          <w:sz w:val="20"/>
        </w:rPr>
        <w:t>on</w:t>
      </w:r>
      <w:r>
        <w:rPr>
          <w:spacing w:val="-4"/>
          <w:sz w:val="20"/>
        </w:rPr>
        <w:t> </w:t>
      </w:r>
      <w:r>
        <w:rPr>
          <w:sz w:val="20"/>
        </w:rPr>
        <w:t>short</w:t>
      </w:r>
      <w:r>
        <w:rPr>
          <w:spacing w:val="-7"/>
          <w:sz w:val="20"/>
        </w:rPr>
        <w:t> </w:t>
      </w:r>
      <w:r>
        <w:rPr>
          <w:sz w:val="20"/>
        </w:rPr>
        <w:t>notice</w:t>
      </w:r>
      <w:r>
        <w:rPr>
          <w:spacing w:val="-2"/>
          <w:sz w:val="20"/>
        </w:rPr>
        <w:t> </w:t>
      </w:r>
      <w:r>
        <w:rPr>
          <w:sz w:val="20"/>
        </w:rPr>
        <w:t>(as</w:t>
      </w:r>
      <w:r>
        <w:rPr>
          <w:spacing w:val="-5"/>
          <w:sz w:val="20"/>
        </w:rPr>
        <w:t> </w:t>
      </w:r>
      <w:r>
        <w:rPr>
          <w:sz w:val="20"/>
        </w:rPr>
        <w:t>has</w:t>
      </w:r>
      <w:r>
        <w:rPr>
          <w:spacing w:val="-5"/>
          <w:sz w:val="20"/>
        </w:rPr>
        <w:t> </w:t>
      </w:r>
      <w:r>
        <w:rPr>
          <w:sz w:val="20"/>
        </w:rPr>
        <w:t>happened</w:t>
      </w:r>
      <w:r>
        <w:rPr>
          <w:spacing w:val="-4"/>
          <w:sz w:val="20"/>
        </w:rPr>
        <w:t> </w:t>
      </w:r>
      <w:r>
        <w:rPr>
          <w:sz w:val="20"/>
        </w:rPr>
        <w:t>in</w:t>
      </w:r>
      <w:r>
        <w:rPr>
          <w:spacing w:val="-4"/>
          <w:sz w:val="20"/>
        </w:rPr>
        <w:t> </w:t>
      </w:r>
      <w:r>
        <w:rPr>
          <w:sz w:val="20"/>
        </w:rPr>
        <w:t>the</w:t>
      </w:r>
      <w:r>
        <w:rPr>
          <w:spacing w:val="-2"/>
          <w:sz w:val="20"/>
        </w:rPr>
        <w:t> </w:t>
      </w:r>
      <w:r>
        <w:rPr>
          <w:sz w:val="20"/>
        </w:rPr>
        <w:t>past),</w:t>
      </w:r>
      <w:r>
        <w:rPr>
          <w:spacing w:val="-1"/>
          <w:sz w:val="20"/>
        </w:rPr>
        <w:t> </w:t>
      </w:r>
      <w:r>
        <w:rPr>
          <w:sz w:val="20"/>
        </w:rPr>
        <w:t>this</w:t>
      </w:r>
      <w:r>
        <w:rPr>
          <w:spacing w:val="-5"/>
          <w:sz w:val="20"/>
        </w:rPr>
        <w:t> </w:t>
      </w:r>
      <w:r>
        <w:rPr>
          <w:sz w:val="20"/>
        </w:rPr>
        <w:t>would</w:t>
      </w:r>
      <w:r>
        <w:rPr>
          <w:spacing w:val="-8"/>
          <w:sz w:val="20"/>
        </w:rPr>
        <w:t> </w:t>
      </w:r>
      <w:r>
        <w:rPr>
          <w:sz w:val="20"/>
        </w:rPr>
        <w:t>lead</w:t>
      </w:r>
      <w:r>
        <w:rPr>
          <w:spacing w:val="-8"/>
          <w:sz w:val="20"/>
        </w:rPr>
        <w:t> </w:t>
      </w:r>
      <w:r>
        <w:rPr>
          <w:sz w:val="20"/>
        </w:rPr>
        <w:t>to an increase in activity at the pre-trial level and a potential concomitant increase in the level of required resources. Importantly, the OTP’s new investigations have generated a considerable increase in the workload of the Pre-Trial Division and are expected to lead to even greater demands on the judges in 2023.</w:t>
      </w:r>
    </w:p>
    <w:p>
      <w:pPr>
        <w:spacing w:after="0" w:line="240" w:lineRule="auto"/>
        <w:jc w:val="both"/>
        <w:rPr>
          <w:sz w:val="20"/>
        </w:rPr>
        <w:sectPr>
          <w:pgSz w:w="11910" w:h="16840"/>
          <w:pgMar w:header="957" w:footer="940" w:top="1140" w:bottom="1140" w:left="20" w:right="20"/>
        </w:sectPr>
      </w:pPr>
    </w:p>
    <w:p>
      <w:pPr>
        <w:pStyle w:val="ListParagraph"/>
        <w:numPr>
          <w:ilvl w:val="0"/>
          <w:numId w:val="4"/>
        </w:numPr>
        <w:tabs>
          <w:tab w:pos="2967" w:val="left" w:leader="none"/>
        </w:tabs>
        <w:spacing w:line="240" w:lineRule="auto" w:before="124" w:after="0"/>
        <w:ind w:left="2246" w:right="2242" w:firstLine="0"/>
        <w:jc w:val="both"/>
        <w:rPr>
          <w:sz w:val="20"/>
        </w:rPr>
      </w:pPr>
      <w:r>
        <w:rPr>
          <w:sz w:val="20"/>
        </w:rPr>
        <w:t>In</w:t>
      </w:r>
      <w:r>
        <w:rPr>
          <w:spacing w:val="-7"/>
          <w:sz w:val="20"/>
        </w:rPr>
        <w:t> </w:t>
      </w:r>
      <w:r>
        <w:rPr>
          <w:sz w:val="20"/>
        </w:rPr>
        <w:t>2023,</w:t>
      </w:r>
      <w:r>
        <w:rPr>
          <w:spacing w:val="-4"/>
          <w:sz w:val="20"/>
        </w:rPr>
        <w:t> </w:t>
      </w:r>
      <w:r>
        <w:rPr>
          <w:sz w:val="20"/>
        </w:rPr>
        <w:t>reparations</w:t>
      </w:r>
      <w:r>
        <w:rPr>
          <w:spacing w:val="-8"/>
          <w:sz w:val="20"/>
        </w:rPr>
        <w:t> </w:t>
      </w:r>
      <w:r>
        <w:rPr>
          <w:sz w:val="20"/>
        </w:rPr>
        <w:t>proceedings</w:t>
      </w:r>
      <w:r>
        <w:rPr>
          <w:spacing w:val="-8"/>
          <w:sz w:val="20"/>
        </w:rPr>
        <w:t> </w:t>
      </w:r>
      <w:r>
        <w:rPr>
          <w:sz w:val="20"/>
        </w:rPr>
        <w:t>will</w:t>
      </w:r>
      <w:r>
        <w:rPr>
          <w:spacing w:val="-5"/>
          <w:sz w:val="20"/>
        </w:rPr>
        <w:t> </w:t>
      </w:r>
      <w:r>
        <w:rPr>
          <w:sz w:val="20"/>
        </w:rPr>
        <w:t>be</w:t>
      </w:r>
      <w:r>
        <w:rPr>
          <w:spacing w:val="-5"/>
          <w:sz w:val="20"/>
        </w:rPr>
        <w:t> </w:t>
      </w:r>
      <w:r>
        <w:rPr>
          <w:sz w:val="20"/>
        </w:rPr>
        <w:t>ongoing</w:t>
      </w:r>
      <w:r>
        <w:rPr>
          <w:spacing w:val="-7"/>
          <w:sz w:val="20"/>
        </w:rPr>
        <w:t> </w:t>
      </w:r>
      <w:r>
        <w:rPr>
          <w:sz w:val="20"/>
        </w:rPr>
        <w:t>in</w:t>
      </w:r>
      <w:r>
        <w:rPr>
          <w:spacing w:val="-10"/>
          <w:sz w:val="20"/>
        </w:rPr>
        <w:t> </w:t>
      </w:r>
      <w:r>
        <w:rPr>
          <w:sz w:val="20"/>
        </w:rPr>
        <w:t>five</w:t>
      </w:r>
      <w:r>
        <w:rPr>
          <w:spacing w:val="-5"/>
          <w:sz w:val="20"/>
        </w:rPr>
        <w:t> </w:t>
      </w:r>
      <w:r>
        <w:rPr>
          <w:sz w:val="20"/>
        </w:rPr>
        <w:t>cases.</w:t>
      </w:r>
      <w:r>
        <w:rPr>
          <w:spacing w:val="-4"/>
          <w:sz w:val="20"/>
        </w:rPr>
        <w:t> </w:t>
      </w:r>
      <w:r>
        <w:rPr>
          <w:sz w:val="20"/>
        </w:rPr>
        <w:t>The</w:t>
      </w:r>
      <w:r>
        <w:rPr>
          <w:spacing w:val="-5"/>
          <w:sz w:val="20"/>
        </w:rPr>
        <w:t> </w:t>
      </w:r>
      <w:r>
        <w:rPr>
          <w:sz w:val="20"/>
        </w:rPr>
        <w:t>implementation of reparations, administered by the TFV, is expected to continue in the </w:t>
      </w:r>
      <w:r>
        <w:rPr>
          <w:i/>
          <w:sz w:val="20"/>
        </w:rPr>
        <w:t>Lubanga, Katanga,</w:t>
      </w:r>
      <w:r>
        <w:rPr>
          <w:i/>
          <w:sz w:val="20"/>
        </w:rPr>
        <w:t> Al Mahdi</w:t>
      </w:r>
      <w:r>
        <w:rPr>
          <w:i/>
          <w:spacing w:val="-1"/>
          <w:sz w:val="20"/>
        </w:rPr>
        <w:t> </w:t>
      </w:r>
      <w:r>
        <w:rPr>
          <w:sz w:val="20"/>
        </w:rPr>
        <w:t>and</w:t>
      </w:r>
      <w:r>
        <w:rPr>
          <w:spacing w:val="-3"/>
          <w:sz w:val="20"/>
        </w:rPr>
        <w:t> </w:t>
      </w:r>
      <w:r>
        <w:rPr>
          <w:i/>
          <w:sz w:val="20"/>
        </w:rPr>
        <w:t>Ntaganda</w:t>
      </w:r>
      <w:r>
        <w:rPr>
          <w:i/>
          <w:spacing w:val="-3"/>
          <w:sz w:val="20"/>
        </w:rPr>
        <w:t> </w:t>
      </w:r>
      <w:r>
        <w:rPr>
          <w:sz w:val="20"/>
        </w:rPr>
        <w:t>cases and</w:t>
      </w:r>
      <w:r>
        <w:rPr>
          <w:spacing w:val="-4"/>
          <w:sz w:val="20"/>
        </w:rPr>
        <w:t> </w:t>
      </w:r>
      <w:r>
        <w:rPr>
          <w:sz w:val="20"/>
        </w:rPr>
        <w:t>to start in</w:t>
      </w:r>
      <w:r>
        <w:rPr>
          <w:spacing w:val="-4"/>
          <w:sz w:val="20"/>
        </w:rPr>
        <w:t> </w:t>
      </w:r>
      <w:r>
        <w:rPr>
          <w:sz w:val="20"/>
        </w:rPr>
        <w:t>the </w:t>
      </w:r>
      <w:r>
        <w:rPr>
          <w:i/>
          <w:sz w:val="20"/>
        </w:rPr>
        <w:t>Ongwen</w:t>
      </w:r>
      <w:r>
        <w:rPr>
          <w:i/>
          <w:spacing w:val="-3"/>
          <w:sz w:val="20"/>
        </w:rPr>
        <w:t> </w:t>
      </w:r>
      <w:r>
        <w:rPr>
          <w:sz w:val="20"/>
        </w:rPr>
        <w:t>case. Should</w:t>
      </w:r>
      <w:r>
        <w:rPr>
          <w:spacing w:val="-4"/>
          <w:sz w:val="20"/>
        </w:rPr>
        <w:t> </w:t>
      </w:r>
      <w:r>
        <w:rPr>
          <w:sz w:val="20"/>
        </w:rPr>
        <w:t>there be</w:t>
      </w:r>
      <w:r>
        <w:rPr>
          <w:spacing w:val="-2"/>
          <w:sz w:val="20"/>
        </w:rPr>
        <w:t> </w:t>
      </w:r>
      <w:r>
        <w:rPr>
          <w:sz w:val="20"/>
        </w:rPr>
        <w:t>a conviction in the </w:t>
      </w:r>
      <w:r>
        <w:rPr>
          <w:i/>
          <w:sz w:val="20"/>
        </w:rPr>
        <w:t>Al Hassan </w:t>
      </w:r>
      <w:r>
        <w:rPr>
          <w:sz w:val="20"/>
        </w:rPr>
        <w:t>case, sentencing and reparation proceedings will follow.</w:t>
      </w:r>
    </w:p>
    <w:p>
      <w:pPr>
        <w:pStyle w:val="ListParagraph"/>
        <w:numPr>
          <w:ilvl w:val="0"/>
          <w:numId w:val="4"/>
        </w:numPr>
        <w:tabs>
          <w:tab w:pos="2967" w:val="left" w:leader="none"/>
        </w:tabs>
        <w:spacing w:line="240" w:lineRule="auto" w:before="122" w:after="0"/>
        <w:ind w:left="2246" w:right="2237" w:firstLine="0"/>
        <w:jc w:val="both"/>
        <w:rPr>
          <w:sz w:val="20"/>
        </w:rPr>
      </w:pPr>
      <w:r>
        <w:rPr>
          <w:sz w:val="20"/>
        </w:rPr>
        <w:t>It is anticipated that the Appeals Chamber will be seized of a number of interlocutory</w:t>
      </w:r>
      <w:r>
        <w:rPr>
          <w:spacing w:val="-4"/>
          <w:sz w:val="20"/>
        </w:rPr>
        <w:t> </w:t>
      </w:r>
      <w:r>
        <w:rPr>
          <w:sz w:val="20"/>
        </w:rPr>
        <w:t>appeals in pending</w:t>
      </w:r>
      <w:r>
        <w:rPr>
          <w:spacing w:val="-4"/>
          <w:sz w:val="20"/>
        </w:rPr>
        <w:t> </w:t>
      </w:r>
      <w:r>
        <w:rPr>
          <w:sz w:val="20"/>
        </w:rPr>
        <w:t>situations</w:t>
      </w:r>
      <w:r>
        <w:rPr>
          <w:spacing w:val="-5"/>
          <w:sz w:val="20"/>
        </w:rPr>
        <w:t> </w:t>
      </w:r>
      <w:r>
        <w:rPr>
          <w:sz w:val="20"/>
        </w:rPr>
        <w:t>and</w:t>
      </w:r>
      <w:r>
        <w:rPr>
          <w:spacing w:val="-4"/>
          <w:sz w:val="20"/>
        </w:rPr>
        <w:t> </w:t>
      </w:r>
      <w:r>
        <w:rPr>
          <w:sz w:val="20"/>
        </w:rPr>
        <w:t>cases. Other</w:t>
      </w:r>
      <w:r>
        <w:rPr>
          <w:spacing w:val="-4"/>
          <w:sz w:val="20"/>
        </w:rPr>
        <w:t> </w:t>
      </w:r>
      <w:r>
        <w:rPr>
          <w:sz w:val="20"/>
        </w:rPr>
        <w:t>final</w:t>
      </w:r>
      <w:r>
        <w:rPr>
          <w:spacing w:val="-2"/>
          <w:sz w:val="20"/>
        </w:rPr>
        <w:t> </w:t>
      </w:r>
      <w:r>
        <w:rPr>
          <w:sz w:val="20"/>
        </w:rPr>
        <w:t>appeals</w:t>
      </w:r>
      <w:r>
        <w:rPr>
          <w:spacing w:val="-5"/>
          <w:sz w:val="20"/>
        </w:rPr>
        <w:t> </w:t>
      </w:r>
      <w:r>
        <w:rPr>
          <w:sz w:val="20"/>
        </w:rPr>
        <w:t>may</w:t>
      </w:r>
      <w:r>
        <w:rPr>
          <w:spacing w:val="-4"/>
          <w:sz w:val="20"/>
        </w:rPr>
        <w:t> </w:t>
      </w:r>
      <w:r>
        <w:rPr>
          <w:sz w:val="20"/>
        </w:rPr>
        <w:t>reach,</w:t>
      </w:r>
      <w:r>
        <w:rPr>
          <w:spacing w:val="-1"/>
          <w:sz w:val="20"/>
        </w:rPr>
        <w:t> </w:t>
      </w:r>
      <w:r>
        <w:rPr>
          <w:sz w:val="20"/>
        </w:rPr>
        <w:t>or</w:t>
      </w:r>
      <w:r>
        <w:rPr>
          <w:spacing w:val="-4"/>
          <w:sz w:val="20"/>
        </w:rPr>
        <w:t> </w:t>
      </w:r>
      <w:r>
        <w:rPr>
          <w:sz w:val="20"/>
        </w:rPr>
        <w:t>may be pending before the Appeals Chamber arising from the </w:t>
      </w:r>
      <w:r>
        <w:rPr>
          <w:i/>
          <w:sz w:val="20"/>
        </w:rPr>
        <w:t>Al Hassan </w:t>
      </w:r>
      <w:r>
        <w:rPr>
          <w:sz w:val="20"/>
        </w:rPr>
        <w:t>and </w:t>
      </w:r>
      <w:r>
        <w:rPr>
          <w:i/>
          <w:sz w:val="20"/>
        </w:rPr>
        <w:t>Gicheru </w:t>
      </w:r>
      <w:r>
        <w:rPr>
          <w:sz w:val="20"/>
        </w:rPr>
        <w:t>cases. Depending on when the </w:t>
      </w:r>
      <w:r>
        <w:rPr>
          <w:i/>
          <w:sz w:val="20"/>
        </w:rPr>
        <w:t>Ongwen </w:t>
      </w:r>
      <w:r>
        <w:rPr>
          <w:sz w:val="20"/>
        </w:rPr>
        <w:t>reparations order is handed down, there may be corresponding appeals that extend into 2023. Additionally, depending on developments in the other judicial divisions, notably in the Pre-Trial Division in relation to current or recent events, there may be a steady stream of appeals reaching the Appeals Division.</w:t>
      </w:r>
    </w:p>
    <w:p>
      <w:pPr>
        <w:pStyle w:val="ListParagraph"/>
        <w:numPr>
          <w:ilvl w:val="0"/>
          <w:numId w:val="4"/>
        </w:numPr>
        <w:tabs>
          <w:tab w:pos="2967" w:val="left" w:leader="none"/>
        </w:tabs>
        <w:spacing w:line="240" w:lineRule="auto" w:before="119" w:after="0"/>
        <w:ind w:left="2246" w:right="2238" w:firstLine="0"/>
        <w:jc w:val="both"/>
        <w:rPr>
          <w:sz w:val="20"/>
        </w:rPr>
      </w:pPr>
      <w:r>
        <w:rPr>
          <w:sz w:val="20"/>
        </w:rPr>
        <w:t>It</w:t>
      </w:r>
      <w:r>
        <w:rPr>
          <w:spacing w:val="-8"/>
          <w:sz w:val="20"/>
        </w:rPr>
        <w:t> </w:t>
      </w:r>
      <w:r>
        <w:rPr>
          <w:sz w:val="20"/>
        </w:rPr>
        <w:t>is</w:t>
      </w:r>
      <w:r>
        <w:rPr>
          <w:spacing w:val="-6"/>
          <w:sz w:val="20"/>
        </w:rPr>
        <w:t> </w:t>
      </w:r>
      <w:r>
        <w:rPr>
          <w:sz w:val="20"/>
        </w:rPr>
        <w:t>foreseen</w:t>
      </w:r>
      <w:r>
        <w:rPr>
          <w:spacing w:val="-8"/>
          <w:sz w:val="20"/>
        </w:rPr>
        <w:t> </w:t>
      </w:r>
      <w:r>
        <w:rPr>
          <w:sz w:val="20"/>
        </w:rPr>
        <w:t>that</w:t>
      </w:r>
      <w:r>
        <w:rPr>
          <w:spacing w:val="-8"/>
          <w:sz w:val="20"/>
        </w:rPr>
        <w:t> </w:t>
      </w:r>
      <w:r>
        <w:rPr>
          <w:sz w:val="20"/>
        </w:rPr>
        <w:t>at</w:t>
      </w:r>
      <w:r>
        <w:rPr>
          <w:spacing w:val="-8"/>
          <w:sz w:val="20"/>
        </w:rPr>
        <w:t> </w:t>
      </w:r>
      <w:r>
        <w:rPr>
          <w:sz w:val="20"/>
        </w:rPr>
        <w:t>least</w:t>
      </w:r>
      <w:r>
        <w:rPr>
          <w:spacing w:val="-8"/>
          <w:sz w:val="20"/>
        </w:rPr>
        <w:t> </w:t>
      </w:r>
      <w:r>
        <w:rPr>
          <w:sz w:val="20"/>
        </w:rPr>
        <w:t>seven</w:t>
      </w:r>
      <w:r>
        <w:rPr>
          <w:spacing w:val="-7"/>
          <w:sz w:val="20"/>
        </w:rPr>
        <w:t> </w:t>
      </w:r>
      <w:r>
        <w:rPr>
          <w:sz w:val="20"/>
        </w:rPr>
        <w:t>persons</w:t>
      </w:r>
      <w:r>
        <w:rPr>
          <w:spacing w:val="-10"/>
          <w:sz w:val="20"/>
        </w:rPr>
        <w:t> </w:t>
      </w:r>
      <w:r>
        <w:rPr>
          <w:sz w:val="20"/>
        </w:rPr>
        <w:t>will</w:t>
      </w:r>
      <w:r>
        <w:rPr>
          <w:spacing w:val="-8"/>
          <w:sz w:val="20"/>
        </w:rPr>
        <w:t> </w:t>
      </w:r>
      <w:r>
        <w:rPr>
          <w:sz w:val="20"/>
        </w:rPr>
        <w:t>remain</w:t>
      </w:r>
      <w:r>
        <w:rPr>
          <w:spacing w:val="-8"/>
          <w:sz w:val="20"/>
        </w:rPr>
        <w:t> </w:t>
      </w:r>
      <w:r>
        <w:rPr>
          <w:sz w:val="20"/>
        </w:rPr>
        <w:t>in</w:t>
      </w:r>
      <w:r>
        <w:rPr>
          <w:spacing w:val="-8"/>
          <w:sz w:val="20"/>
        </w:rPr>
        <w:t> </w:t>
      </w:r>
      <w:r>
        <w:rPr>
          <w:sz w:val="20"/>
        </w:rPr>
        <w:t>detention</w:t>
      </w:r>
      <w:r>
        <w:rPr>
          <w:spacing w:val="-2"/>
          <w:sz w:val="20"/>
        </w:rPr>
        <w:t> </w:t>
      </w:r>
      <w:r>
        <w:rPr>
          <w:sz w:val="20"/>
        </w:rPr>
        <w:t>in</w:t>
      </w:r>
      <w:r>
        <w:rPr>
          <w:spacing w:val="-5"/>
          <w:sz w:val="20"/>
        </w:rPr>
        <w:t> </w:t>
      </w:r>
      <w:r>
        <w:rPr>
          <w:sz w:val="20"/>
        </w:rPr>
        <w:t>2023.</w:t>
      </w:r>
      <w:r>
        <w:rPr>
          <w:spacing w:val="-11"/>
          <w:sz w:val="20"/>
        </w:rPr>
        <w:t> </w:t>
      </w:r>
      <w:r>
        <w:rPr>
          <w:sz w:val="20"/>
        </w:rPr>
        <w:t>Therefore, two cell-blocks of</w:t>
      </w:r>
      <w:r>
        <w:rPr>
          <w:spacing w:val="-3"/>
          <w:sz w:val="20"/>
        </w:rPr>
        <w:t> </w:t>
      </w:r>
      <w:r>
        <w:rPr>
          <w:sz w:val="20"/>
        </w:rPr>
        <w:t>six</w:t>
      </w:r>
      <w:r>
        <w:rPr>
          <w:spacing w:val="-3"/>
          <w:sz w:val="20"/>
        </w:rPr>
        <w:t> </w:t>
      </w:r>
      <w:r>
        <w:rPr>
          <w:sz w:val="20"/>
        </w:rPr>
        <w:t>cells will</w:t>
      </w:r>
      <w:r>
        <w:rPr>
          <w:spacing w:val="-1"/>
          <w:sz w:val="20"/>
        </w:rPr>
        <w:t> </w:t>
      </w:r>
      <w:r>
        <w:rPr>
          <w:sz w:val="20"/>
        </w:rPr>
        <w:t>be required, that is, an additional</w:t>
      </w:r>
      <w:r>
        <w:rPr>
          <w:spacing w:val="-1"/>
          <w:sz w:val="20"/>
        </w:rPr>
        <w:t> </w:t>
      </w:r>
      <w:r>
        <w:rPr>
          <w:sz w:val="20"/>
        </w:rPr>
        <w:t>block of</w:t>
      </w:r>
      <w:r>
        <w:rPr>
          <w:spacing w:val="-3"/>
          <w:sz w:val="20"/>
        </w:rPr>
        <w:t> </w:t>
      </w:r>
      <w:r>
        <w:rPr>
          <w:sz w:val="20"/>
        </w:rPr>
        <w:t>six</w:t>
      </w:r>
      <w:r>
        <w:rPr>
          <w:spacing w:val="-3"/>
          <w:sz w:val="20"/>
        </w:rPr>
        <w:t> </w:t>
      </w:r>
      <w:r>
        <w:rPr>
          <w:sz w:val="20"/>
        </w:rPr>
        <w:t>cells over</w:t>
      </w:r>
      <w:r>
        <w:rPr>
          <w:spacing w:val="-3"/>
          <w:sz w:val="20"/>
        </w:rPr>
        <w:t> </w:t>
      </w:r>
      <w:r>
        <w:rPr>
          <w:sz w:val="20"/>
        </w:rPr>
        <w:t>and above</w:t>
      </w:r>
      <w:r>
        <w:rPr>
          <w:spacing w:val="-2"/>
          <w:sz w:val="20"/>
        </w:rPr>
        <w:t> </w:t>
      </w:r>
      <w:r>
        <w:rPr>
          <w:sz w:val="20"/>
        </w:rPr>
        <w:t>the</w:t>
      </w:r>
      <w:r>
        <w:rPr>
          <w:spacing w:val="-2"/>
          <w:sz w:val="20"/>
        </w:rPr>
        <w:t> </w:t>
      </w:r>
      <w:r>
        <w:rPr>
          <w:sz w:val="20"/>
        </w:rPr>
        <w:t>one block</w:t>
      </w:r>
      <w:r>
        <w:rPr>
          <w:spacing w:val="-3"/>
          <w:sz w:val="20"/>
        </w:rPr>
        <w:t> </w:t>
      </w:r>
      <w:r>
        <w:rPr>
          <w:sz w:val="20"/>
        </w:rPr>
        <w:t>budgeted</w:t>
      </w:r>
      <w:r>
        <w:rPr>
          <w:spacing w:val="-3"/>
          <w:sz w:val="20"/>
        </w:rPr>
        <w:t> </w:t>
      </w:r>
      <w:r>
        <w:rPr>
          <w:sz w:val="20"/>
        </w:rPr>
        <w:t>for</w:t>
      </w:r>
      <w:r>
        <w:rPr>
          <w:spacing w:val="-8"/>
          <w:sz w:val="20"/>
        </w:rPr>
        <w:t> </w:t>
      </w:r>
      <w:r>
        <w:rPr>
          <w:sz w:val="20"/>
        </w:rPr>
        <w:t>in</w:t>
      </w:r>
      <w:r>
        <w:rPr>
          <w:spacing w:val="-4"/>
          <w:sz w:val="20"/>
        </w:rPr>
        <w:t> </w:t>
      </w:r>
      <w:r>
        <w:rPr>
          <w:sz w:val="20"/>
        </w:rPr>
        <w:t>2022.</w:t>
      </w:r>
      <w:r>
        <w:rPr>
          <w:spacing w:val="-1"/>
          <w:sz w:val="20"/>
        </w:rPr>
        <w:t> </w:t>
      </w:r>
      <w:r>
        <w:rPr>
          <w:sz w:val="20"/>
        </w:rPr>
        <w:t>Up</w:t>
      </w:r>
      <w:r>
        <w:rPr>
          <w:spacing w:val="-4"/>
          <w:sz w:val="20"/>
        </w:rPr>
        <w:t> </w:t>
      </w:r>
      <w:r>
        <w:rPr>
          <w:sz w:val="20"/>
        </w:rPr>
        <w:t>to</w:t>
      </w:r>
      <w:r>
        <w:rPr>
          <w:spacing w:val="-8"/>
          <w:sz w:val="20"/>
        </w:rPr>
        <w:t> </w:t>
      </w:r>
      <w:r>
        <w:rPr>
          <w:sz w:val="20"/>
        </w:rPr>
        <w:t>eleven</w:t>
      </w:r>
      <w:r>
        <w:rPr>
          <w:spacing w:val="-2"/>
          <w:sz w:val="20"/>
        </w:rPr>
        <w:t> </w:t>
      </w:r>
      <w:r>
        <w:rPr>
          <w:sz w:val="20"/>
        </w:rPr>
        <w:t>defence</w:t>
      </w:r>
      <w:r>
        <w:rPr>
          <w:spacing w:val="-7"/>
          <w:sz w:val="20"/>
        </w:rPr>
        <w:t> </w:t>
      </w:r>
      <w:r>
        <w:rPr>
          <w:sz w:val="20"/>
        </w:rPr>
        <w:t>teams</w:t>
      </w:r>
      <w:r>
        <w:rPr>
          <w:spacing w:val="-5"/>
          <w:sz w:val="20"/>
        </w:rPr>
        <w:t> </w:t>
      </w:r>
      <w:r>
        <w:rPr>
          <w:sz w:val="20"/>
        </w:rPr>
        <w:t>and</w:t>
      </w:r>
      <w:r>
        <w:rPr>
          <w:spacing w:val="-4"/>
          <w:sz w:val="20"/>
        </w:rPr>
        <w:t> </w:t>
      </w:r>
      <w:r>
        <w:rPr>
          <w:sz w:val="20"/>
        </w:rPr>
        <w:t>up</w:t>
      </w:r>
      <w:r>
        <w:rPr>
          <w:spacing w:val="-4"/>
          <w:sz w:val="20"/>
        </w:rPr>
        <w:t> </w:t>
      </w:r>
      <w:r>
        <w:rPr>
          <w:sz w:val="20"/>
        </w:rPr>
        <w:t>to</w:t>
      </w:r>
      <w:r>
        <w:rPr>
          <w:spacing w:val="-6"/>
          <w:sz w:val="20"/>
        </w:rPr>
        <w:t> </w:t>
      </w:r>
      <w:r>
        <w:rPr>
          <w:sz w:val="20"/>
        </w:rPr>
        <w:t>eight</w:t>
      </w:r>
      <w:r>
        <w:rPr>
          <w:spacing w:val="-1"/>
          <w:sz w:val="20"/>
        </w:rPr>
        <w:t> </w:t>
      </w:r>
      <w:r>
        <w:rPr>
          <w:sz w:val="20"/>
        </w:rPr>
        <w:t>teams of</w:t>
      </w:r>
      <w:r>
        <w:rPr>
          <w:spacing w:val="-13"/>
          <w:sz w:val="20"/>
        </w:rPr>
        <w:t> </w:t>
      </w:r>
      <w:r>
        <w:rPr>
          <w:sz w:val="20"/>
        </w:rPr>
        <w:t>legal</w:t>
      </w:r>
      <w:r>
        <w:rPr>
          <w:spacing w:val="-12"/>
          <w:sz w:val="20"/>
        </w:rPr>
        <w:t> </w:t>
      </w:r>
      <w:r>
        <w:rPr>
          <w:sz w:val="20"/>
        </w:rPr>
        <w:t>representatives</w:t>
      </w:r>
      <w:r>
        <w:rPr>
          <w:spacing w:val="-13"/>
          <w:sz w:val="20"/>
        </w:rPr>
        <w:t> </w:t>
      </w:r>
      <w:r>
        <w:rPr>
          <w:sz w:val="20"/>
        </w:rPr>
        <w:t>of</w:t>
      </w:r>
      <w:r>
        <w:rPr>
          <w:spacing w:val="-12"/>
          <w:sz w:val="20"/>
        </w:rPr>
        <w:t> </w:t>
      </w:r>
      <w:r>
        <w:rPr>
          <w:sz w:val="20"/>
        </w:rPr>
        <w:t>victims</w:t>
      </w:r>
      <w:r>
        <w:rPr>
          <w:spacing w:val="-13"/>
          <w:sz w:val="20"/>
        </w:rPr>
        <w:t> </w:t>
      </w:r>
      <w:r>
        <w:rPr>
          <w:sz w:val="20"/>
        </w:rPr>
        <w:t>will</w:t>
      </w:r>
      <w:r>
        <w:rPr>
          <w:spacing w:val="-12"/>
          <w:sz w:val="20"/>
        </w:rPr>
        <w:t> </w:t>
      </w:r>
      <w:r>
        <w:rPr>
          <w:sz w:val="20"/>
        </w:rPr>
        <w:t>need</w:t>
      </w:r>
      <w:r>
        <w:rPr>
          <w:spacing w:val="-13"/>
          <w:sz w:val="20"/>
        </w:rPr>
        <w:t> </w:t>
      </w:r>
      <w:r>
        <w:rPr>
          <w:sz w:val="20"/>
        </w:rPr>
        <w:t>to</w:t>
      </w:r>
      <w:r>
        <w:rPr>
          <w:spacing w:val="-12"/>
          <w:sz w:val="20"/>
        </w:rPr>
        <w:t> </w:t>
      </w:r>
      <w:r>
        <w:rPr>
          <w:sz w:val="20"/>
        </w:rPr>
        <w:t>be</w:t>
      </w:r>
      <w:r>
        <w:rPr>
          <w:spacing w:val="-13"/>
          <w:sz w:val="20"/>
        </w:rPr>
        <w:t> </w:t>
      </w:r>
      <w:r>
        <w:rPr>
          <w:sz w:val="20"/>
        </w:rPr>
        <w:t>financed</w:t>
      </w:r>
      <w:r>
        <w:rPr>
          <w:spacing w:val="-12"/>
          <w:sz w:val="20"/>
        </w:rPr>
        <w:t> </w:t>
      </w:r>
      <w:r>
        <w:rPr>
          <w:sz w:val="20"/>
        </w:rPr>
        <w:t>by</w:t>
      </w:r>
      <w:r>
        <w:rPr>
          <w:spacing w:val="-13"/>
          <w:sz w:val="20"/>
        </w:rPr>
        <w:t> </w:t>
      </w:r>
      <w:r>
        <w:rPr>
          <w:sz w:val="20"/>
        </w:rPr>
        <w:t>legal</w:t>
      </w:r>
      <w:r>
        <w:rPr>
          <w:spacing w:val="-12"/>
          <w:sz w:val="20"/>
        </w:rPr>
        <w:t> </w:t>
      </w:r>
      <w:r>
        <w:rPr>
          <w:sz w:val="20"/>
        </w:rPr>
        <w:t>aid</w:t>
      </w:r>
      <w:r>
        <w:rPr>
          <w:spacing w:val="-13"/>
          <w:sz w:val="20"/>
        </w:rPr>
        <w:t> </w:t>
      </w:r>
      <w:r>
        <w:rPr>
          <w:sz w:val="20"/>
        </w:rPr>
        <w:t>in</w:t>
      </w:r>
      <w:r>
        <w:rPr>
          <w:spacing w:val="-12"/>
          <w:sz w:val="20"/>
        </w:rPr>
        <w:t> </w:t>
      </w:r>
      <w:r>
        <w:rPr>
          <w:sz w:val="20"/>
        </w:rPr>
        <w:t>2023,</w:t>
      </w:r>
      <w:r>
        <w:rPr>
          <w:spacing w:val="-13"/>
          <w:sz w:val="20"/>
        </w:rPr>
        <w:t> </w:t>
      </w:r>
      <w:r>
        <w:rPr>
          <w:sz w:val="20"/>
        </w:rPr>
        <w:t>in</w:t>
      </w:r>
      <w:r>
        <w:rPr>
          <w:spacing w:val="-12"/>
          <w:sz w:val="20"/>
        </w:rPr>
        <w:t> </w:t>
      </w:r>
      <w:r>
        <w:rPr>
          <w:sz w:val="20"/>
        </w:rPr>
        <w:t>compliance with the existing legal aid framework and, as enshrined in the Rome Statute, the Rules of Procedure</w:t>
      </w:r>
      <w:r>
        <w:rPr>
          <w:spacing w:val="-3"/>
          <w:sz w:val="20"/>
        </w:rPr>
        <w:t> </w:t>
      </w:r>
      <w:r>
        <w:rPr>
          <w:sz w:val="20"/>
        </w:rPr>
        <w:t>and Evidence and the Regulations</w:t>
      </w:r>
      <w:r>
        <w:rPr>
          <w:spacing w:val="-1"/>
          <w:sz w:val="20"/>
        </w:rPr>
        <w:t> </w:t>
      </w:r>
      <w:r>
        <w:rPr>
          <w:sz w:val="20"/>
        </w:rPr>
        <w:t>of the Court. Judicial</w:t>
      </w:r>
      <w:r>
        <w:rPr>
          <w:spacing w:val="-3"/>
          <w:sz w:val="20"/>
        </w:rPr>
        <w:t> </w:t>
      </w:r>
      <w:r>
        <w:rPr>
          <w:sz w:val="20"/>
        </w:rPr>
        <w:t>developments, including the confirmation of charges in the </w:t>
      </w:r>
      <w:r>
        <w:rPr>
          <w:i/>
          <w:sz w:val="20"/>
        </w:rPr>
        <w:t>Said </w:t>
      </w:r>
      <w:r>
        <w:rPr>
          <w:sz w:val="20"/>
        </w:rPr>
        <w:t>case and the transfer of Mr Mokom to the Court’s custody, have automatically increased these costs. In order to improve transparency of the Court’s budget baseline comparisons, it should be noted that trial activities in the </w:t>
      </w:r>
      <w:r>
        <w:rPr>
          <w:i/>
          <w:sz w:val="20"/>
        </w:rPr>
        <w:t>Said </w:t>
      </w:r>
      <w:r>
        <w:rPr>
          <w:sz w:val="20"/>
        </w:rPr>
        <w:t>case were</w:t>
      </w:r>
      <w:r>
        <w:rPr>
          <w:spacing w:val="-8"/>
          <w:sz w:val="20"/>
        </w:rPr>
        <w:t> </w:t>
      </w:r>
      <w:r>
        <w:rPr>
          <w:sz w:val="20"/>
        </w:rPr>
        <w:t>not</w:t>
      </w:r>
      <w:r>
        <w:rPr>
          <w:spacing w:val="-4"/>
          <w:sz w:val="20"/>
        </w:rPr>
        <w:t> </w:t>
      </w:r>
      <w:r>
        <w:rPr>
          <w:sz w:val="20"/>
        </w:rPr>
        <w:t>budgeted</w:t>
      </w:r>
      <w:r>
        <w:rPr>
          <w:spacing w:val="-6"/>
          <w:sz w:val="20"/>
        </w:rPr>
        <w:t> </w:t>
      </w:r>
      <w:r>
        <w:rPr>
          <w:sz w:val="20"/>
        </w:rPr>
        <w:t>for</w:t>
      </w:r>
      <w:r>
        <w:rPr>
          <w:spacing w:val="-9"/>
          <w:sz w:val="20"/>
        </w:rPr>
        <w:t> </w:t>
      </w:r>
      <w:r>
        <w:rPr>
          <w:sz w:val="20"/>
        </w:rPr>
        <w:t>2022,</w:t>
      </w:r>
      <w:r>
        <w:rPr>
          <w:spacing w:val="-7"/>
          <w:sz w:val="20"/>
        </w:rPr>
        <w:t> </w:t>
      </w:r>
      <w:r>
        <w:rPr>
          <w:sz w:val="20"/>
        </w:rPr>
        <w:t>given</w:t>
      </w:r>
      <w:r>
        <w:rPr>
          <w:spacing w:val="-9"/>
          <w:sz w:val="20"/>
        </w:rPr>
        <w:t> </w:t>
      </w:r>
      <w:r>
        <w:rPr>
          <w:sz w:val="20"/>
        </w:rPr>
        <w:t>that</w:t>
      </w:r>
      <w:r>
        <w:rPr>
          <w:spacing w:val="-8"/>
          <w:sz w:val="20"/>
        </w:rPr>
        <w:t> </w:t>
      </w:r>
      <w:r>
        <w:rPr>
          <w:sz w:val="20"/>
        </w:rPr>
        <w:t>the</w:t>
      </w:r>
      <w:r>
        <w:rPr>
          <w:spacing w:val="-8"/>
          <w:sz w:val="20"/>
        </w:rPr>
        <w:t> </w:t>
      </w:r>
      <w:r>
        <w:rPr>
          <w:sz w:val="20"/>
        </w:rPr>
        <w:t>Pre-Trial</w:t>
      </w:r>
      <w:r>
        <w:rPr>
          <w:spacing w:val="-8"/>
          <w:sz w:val="20"/>
        </w:rPr>
        <w:t> </w:t>
      </w:r>
      <w:r>
        <w:rPr>
          <w:sz w:val="20"/>
        </w:rPr>
        <w:t>Chamber’s</w:t>
      </w:r>
      <w:r>
        <w:rPr>
          <w:spacing w:val="-7"/>
          <w:sz w:val="20"/>
        </w:rPr>
        <w:t> </w:t>
      </w:r>
      <w:r>
        <w:rPr>
          <w:sz w:val="20"/>
        </w:rPr>
        <w:t>decision</w:t>
      </w:r>
      <w:r>
        <w:rPr>
          <w:spacing w:val="-9"/>
          <w:sz w:val="20"/>
        </w:rPr>
        <w:t> </w:t>
      </w:r>
      <w:r>
        <w:rPr>
          <w:sz w:val="20"/>
        </w:rPr>
        <w:t>on</w:t>
      </w:r>
      <w:r>
        <w:rPr>
          <w:spacing w:val="-9"/>
          <w:sz w:val="20"/>
        </w:rPr>
        <w:t> </w:t>
      </w:r>
      <w:r>
        <w:rPr>
          <w:sz w:val="20"/>
        </w:rPr>
        <w:t>the</w:t>
      </w:r>
      <w:r>
        <w:rPr>
          <w:spacing w:val="-8"/>
          <w:sz w:val="20"/>
        </w:rPr>
        <w:t> </w:t>
      </w:r>
      <w:r>
        <w:rPr>
          <w:sz w:val="20"/>
        </w:rPr>
        <w:t>confirmation of</w:t>
      </w:r>
      <w:r>
        <w:rPr>
          <w:spacing w:val="-13"/>
          <w:sz w:val="20"/>
        </w:rPr>
        <w:t> </w:t>
      </w:r>
      <w:r>
        <w:rPr>
          <w:sz w:val="20"/>
        </w:rPr>
        <w:t>the</w:t>
      </w:r>
      <w:r>
        <w:rPr>
          <w:spacing w:val="-12"/>
          <w:sz w:val="20"/>
        </w:rPr>
        <w:t> </w:t>
      </w:r>
      <w:r>
        <w:rPr>
          <w:sz w:val="20"/>
        </w:rPr>
        <w:t>charges</w:t>
      </w:r>
      <w:r>
        <w:rPr>
          <w:spacing w:val="-13"/>
          <w:sz w:val="20"/>
        </w:rPr>
        <w:t> </w:t>
      </w:r>
      <w:r>
        <w:rPr>
          <w:sz w:val="20"/>
        </w:rPr>
        <w:t>was</w:t>
      </w:r>
      <w:r>
        <w:rPr>
          <w:spacing w:val="-12"/>
          <w:sz w:val="20"/>
        </w:rPr>
        <w:t> </w:t>
      </w:r>
      <w:r>
        <w:rPr>
          <w:sz w:val="20"/>
        </w:rPr>
        <w:t>issued</w:t>
      </w:r>
      <w:r>
        <w:rPr>
          <w:spacing w:val="-13"/>
          <w:sz w:val="20"/>
        </w:rPr>
        <w:t> </w:t>
      </w:r>
      <w:r>
        <w:rPr>
          <w:sz w:val="20"/>
        </w:rPr>
        <w:t>at</w:t>
      </w:r>
      <w:r>
        <w:rPr>
          <w:spacing w:val="-12"/>
          <w:sz w:val="20"/>
        </w:rPr>
        <w:t> </w:t>
      </w:r>
      <w:r>
        <w:rPr>
          <w:sz w:val="20"/>
        </w:rPr>
        <w:t>the</w:t>
      </w:r>
      <w:r>
        <w:rPr>
          <w:spacing w:val="-13"/>
          <w:sz w:val="20"/>
        </w:rPr>
        <w:t> </w:t>
      </w:r>
      <w:r>
        <w:rPr>
          <w:sz w:val="20"/>
        </w:rPr>
        <w:t>end</w:t>
      </w:r>
      <w:r>
        <w:rPr>
          <w:spacing w:val="-12"/>
          <w:sz w:val="20"/>
        </w:rPr>
        <w:t> </w:t>
      </w:r>
      <w:r>
        <w:rPr>
          <w:sz w:val="20"/>
        </w:rPr>
        <w:t>of</w:t>
      </w:r>
      <w:r>
        <w:rPr>
          <w:spacing w:val="-13"/>
          <w:sz w:val="20"/>
        </w:rPr>
        <w:t> </w:t>
      </w:r>
      <w:r>
        <w:rPr>
          <w:sz w:val="20"/>
        </w:rPr>
        <w:t>2021</w:t>
      </w:r>
      <w:r>
        <w:rPr>
          <w:spacing w:val="-12"/>
          <w:sz w:val="20"/>
        </w:rPr>
        <w:t> </w:t>
      </w:r>
      <w:r>
        <w:rPr>
          <w:sz w:val="20"/>
        </w:rPr>
        <w:t>after</w:t>
      </w:r>
      <w:r>
        <w:rPr>
          <w:spacing w:val="-13"/>
          <w:sz w:val="20"/>
        </w:rPr>
        <w:t> </w:t>
      </w:r>
      <w:r>
        <w:rPr>
          <w:sz w:val="20"/>
        </w:rPr>
        <w:t>the</w:t>
      </w:r>
      <w:r>
        <w:rPr>
          <w:spacing w:val="-12"/>
          <w:sz w:val="20"/>
        </w:rPr>
        <w:t> </w:t>
      </w:r>
      <w:r>
        <w:rPr>
          <w:sz w:val="20"/>
        </w:rPr>
        <w:t>approval</w:t>
      </w:r>
      <w:r>
        <w:rPr>
          <w:spacing w:val="-13"/>
          <w:sz w:val="20"/>
        </w:rPr>
        <w:t> </w:t>
      </w:r>
      <w:r>
        <w:rPr>
          <w:sz w:val="20"/>
        </w:rPr>
        <w:t>of</w:t>
      </w:r>
      <w:r>
        <w:rPr>
          <w:spacing w:val="-12"/>
          <w:sz w:val="20"/>
        </w:rPr>
        <w:t> </w:t>
      </w:r>
      <w:r>
        <w:rPr>
          <w:sz w:val="20"/>
        </w:rPr>
        <w:t>the</w:t>
      </w:r>
      <w:r>
        <w:rPr>
          <w:spacing w:val="-13"/>
          <w:sz w:val="20"/>
        </w:rPr>
        <w:t> </w:t>
      </w:r>
      <w:r>
        <w:rPr>
          <w:sz w:val="20"/>
        </w:rPr>
        <w:t>2022</w:t>
      </w:r>
      <w:r>
        <w:rPr>
          <w:spacing w:val="-12"/>
          <w:sz w:val="20"/>
        </w:rPr>
        <w:t> </w:t>
      </w:r>
      <w:r>
        <w:rPr>
          <w:sz w:val="20"/>
        </w:rPr>
        <w:t>programme</w:t>
      </w:r>
      <w:r>
        <w:rPr>
          <w:spacing w:val="-13"/>
          <w:sz w:val="20"/>
        </w:rPr>
        <w:t> </w:t>
      </w:r>
      <w:r>
        <w:rPr>
          <w:sz w:val="20"/>
        </w:rPr>
        <w:t>budget. They now, however, form part of the Court’s judicial assumptions.</w:t>
      </w:r>
    </w:p>
    <w:p>
      <w:pPr>
        <w:pStyle w:val="BodyText"/>
        <w:spacing w:before="11"/>
      </w:pPr>
    </w:p>
    <w:p>
      <w:pPr>
        <w:pStyle w:val="Heading3"/>
        <w:numPr>
          <w:ilvl w:val="2"/>
          <w:numId w:val="3"/>
        </w:numPr>
        <w:tabs>
          <w:tab w:pos="2246" w:val="left" w:leader="none"/>
          <w:tab w:pos="2247" w:val="left" w:leader="none"/>
        </w:tabs>
        <w:spacing w:line="240" w:lineRule="auto" w:before="0" w:after="0"/>
        <w:ind w:left="2246" w:right="2238" w:hanging="567"/>
        <w:jc w:val="left"/>
      </w:pPr>
      <w:r>
        <w:rPr/>
        <w:t>Conduct</w:t>
      </w:r>
      <w:r>
        <w:rPr>
          <w:spacing w:val="80"/>
        </w:rPr>
        <w:t> </w:t>
      </w:r>
      <w:r>
        <w:rPr/>
        <w:t>investigations</w:t>
      </w:r>
      <w:r>
        <w:rPr>
          <w:spacing w:val="80"/>
        </w:rPr>
        <w:t> </w:t>
      </w:r>
      <w:r>
        <w:rPr/>
        <w:t>across</w:t>
      </w:r>
      <w:r>
        <w:rPr>
          <w:spacing w:val="80"/>
        </w:rPr>
        <w:t> </w:t>
      </w:r>
      <w:r>
        <w:rPr/>
        <w:t>situations,</w:t>
      </w:r>
      <w:r>
        <w:rPr>
          <w:spacing w:val="80"/>
        </w:rPr>
        <w:t> </w:t>
      </w:r>
      <w:r>
        <w:rPr/>
        <w:t>support</w:t>
      </w:r>
      <w:r>
        <w:rPr>
          <w:spacing w:val="80"/>
        </w:rPr>
        <w:t> </w:t>
      </w:r>
      <w:r>
        <w:rPr/>
        <w:t>six</w:t>
      </w:r>
      <w:r>
        <w:rPr>
          <w:spacing w:val="80"/>
        </w:rPr>
        <w:t> </w:t>
      </w:r>
      <w:r>
        <w:rPr/>
        <w:t>cases</w:t>
      </w:r>
      <w:r>
        <w:rPr>
          <w:spacing w:val="80"/>
        </w:rPr>
        <w:t> </w:t>
      </w:r>
      <w:r>
        <w:rPr/>
        <w:t>in</w:t>
      </w:r>
      <w:r>
        <w:rPr>
          <w:spacing w:val="80"/>
        </w:rPr>
        <w:t> </w:t>
      </w:r>
      <w:r>
        <w:rPr/>
        <w:t>(pre-)trial,</w:t>
      </w:r>
      <w:r>
        <w:rPr>
          <w:spacing w:val="80"/>
        </w:rPr>
        <w:t> </w:t>
      </w:r>
      <w:r>
        <w:rPr/>
        <w:t>and reparations</w:t>
      </w:r>
      <w:r>
        <w:rPr>
          <w:spacing w:val="-2"/>
        </w:rPr>
        <w:t> </w:t>
      </w:r>
      <w:r>
        <w:rPr/>
        <w:t>proceedings</w:t>
      </w:r>
      <w:r>
        <w:rPr>
          <w:spacing w:val="-2"/>
        </w:rPr>
        <w:t> </w:t>
      </w:r>
      <w:r>
        <w:rPr/>
        <w:t>in at</w:t>
      </w:r>
      <w:r>
        <w:rPr>
          <w:spacing w:val="-1"/>
        </w:rPr>
        <w:t> </w:t>
      </w:r>
      <w:r>
        <w:rPr/>
        <w:t>least</w:t>
      </w:r>
      <w:r>
        <w:rPr>
          <w:spacing w:val="-1"/>
        </w:rPr>
        <w:t> </w:t>
      </w:r>
      <w:r>
        <w:rPr/>
        <w:t>five cases, including through operations</w:t>
      </w:r>
      <w:r>
        <w:rPr>
          <w:spacing w:val="-2"/>
        </w:rPr>
        <w:t> </w:t>
      </w:r>
      <w:r>
        <w:rPr/>
        <w:t>in the field</w:t>
      </w:r>
    </w:p>
    <w:p>
      <w:pPr>
        <w:pStyle w:val="BodyText"/>
        <w:rPr>
          <w:b/>
          <w:sz w:val="21"/>
        </w:rPr>
      </w:pPr>
    </w:p>
    <w:p>
      <w:pPr>
        <w:pStyle w:val="ListParagraph"/>
        <w:numPr>
          <w:ilvl w:val="0"/>
          <w:numId w:val="4"/>
        </w:numPr>
        <w:tabs>
          <w:tab w:pos="2967" w:val="left" w:leader="none"/>
        </w:tabs>
        <w:spacing w:line="240" w:lineRule="auto" w:before="0" w:after="0"/>
        <w:ind w:left="2246" w:right="2235" w:firstLine="0"/>
        <w:jc w:val="both"/>
        <w:rPr>
          <w:sz w:val="20"/>
        </w:rPr>
      </w:pPr>
      <w:r>
        <w:rPr>
          <w:sz w:val="20"/>
        </w:rPr>
        <w:t>Article</w:t>
      </w:r>
      <w:r>
        <w:rPr>
          <w:spacing w:val="-3"/>
          <w:sz w:val="20"/>
        </w:rPr>
        <w:t> </w:t>
      </w:r>
      <w:r>
        <w:rPr>
          <w:sz w:val="20"/>
        </w:rPr>
        <w:t>53 of the Rome Statute</w:t>
      </w:r>
      <w:r>
        <w:rPr>
          <w:spacing w:val="-3"/>
          <w:sz w:val="20"/>
        </w:rPr>
        <w:t> </w:t>
      </w:r>
      <w:r>
        <w:rPr>
          <w:sz w:val="20"/>
        </w:rPr>
        <w:t>mandates</w:t>
      </w:r>
      <w:r>
        <w:rPr>
          <w:spacing w:val="-6"/>
          <w:sz w:val="20"/>
        </w:rPr>
        <w:t> </w:t>
      </w:r>
      <w:r>
        <w:rPr>
          <w:sz w:val="20"/>
        </w:rPr>
        <w:t>the Prosecutor to initiate investigations</w:t>
      </w:r>
      <w:r>
        <w:rPr>
          <w:spacing w:val="-1"/>
          <w:sz w:val="20"/>
        </w:rPr>
        <w:t> </w:t>
      </w:r>
      <w:r>
        <w:rPr>
          <w:sz w:val="20"/>
        </w:rPr>
        <w:t>in situations where he or she determines that there is a reasonable basis on which to proceed. The jurisdiction of the Court covers the most serious crimes of concern to the international community, and its operations often</w:t>
      </w:r>
      <w:r>
        <w:rPr>
          <w:spacing w:val="-3"/>
          <w:sz w:val="20"/>
        </w:rPr>
        <w:t> </w:t>
      </w:r>
      <w:r>
        <w:rPr>
          <w:sz w:val="20"/>
        </w:rPr>
        <w:t>take place</w:t>
      </w:r>
      <w:r>
        <w:rPr>
          <w:spacing w:val="-1"/>
          <w:sz w:val="20"/>
        </w:rPr>
        <w:t> </w:t>
      </w:r>
      <w:r>
        <w:rPr>
          <w:sz w:val="20"/>
        </w:rPr>
        <w:t>in very</w:t>
      </w:r>
      <w:r>
        <w:rPr>
          <w:spacing w:val="-3"/>
          <w:sz w:val="20"/>
        </w:rPr>
        <w:t> </w:t>
      </w:r>
      <w:r>
        <w:rPr>
          <w:sz w:val="20"/>
        </w:rPr>
        <w:t>challenging security</w:t>
      </w:r>
      <w:r>
        <w:rPr>
          <w:spacing w:val="-3"/>
          <w:sz w:val="20"/>
        </w:rPr>
        <w:t> </w:t>
      </w:r>
      <w:r>
        <w:rPr>
          <w:sz w:val="20"/>
        </w:rPr>
        <w:t>and</w:t>
      </w:r>
      <w:r>
        <w:rPr>
          <w:spacing w:val="-3"/>
          <w:sz w:val="20"/>
        </w:rPr>
        <w:t> </w:t>
      </w:r>
      <w:r>
        <w:rPr>
          <w:sz w:val="20"/>
        </w:rPr>
        <w:t>cooperation </w:t>
      </w:r>
      <w:r>
        <w:rPr>
          <w:spacing w:val="-2"/>
          <w:sz w:val="20"/>
        </w:rPr>
        <w:t>environments.</w:t>
      </w:r>
    </w:p>
    <w:p>
      <w:pPr>
        <w:pStyle w:val="ListParagraph"/>
        <w:numPr>
          <w:ilvl w:val="0"/>
          <w:numId w:val="4"/>
        </w:numPr>
        <w:tabs>
          <w:tab w:pos="2967" w:val="left" w:leader="none"/>
        </w:tabs>
        <w:spacing w:line="240" w:lineRule="auto" w:before="122" w:after="0"/>
        <w:ind w:left="2246" w:right="2240" w:firstLine="0"/>
        <w:jc w:val="both"/>
        <w:rPr>
          <w:sz w:val="20"/>
        </w:rPr>
      </w:pPr>
      <w:r>
        <w:rPr>
          <w:sz w:val="20"/>
        </w:rPr>
        <w:t>On the basis</w:t>
      </w:r>
      <w:r>
        <w:rPr>
          <w:spacing w:val="-1"/>
          <w:sz w:val="20"/>
        </w:rPr>
        <w:t> </w:t>
      </w:r>
      <w:r>
        <w:rPr>
          <w:sz w:val="20"/>
        </w:rPr>
        <w:t>of</w:t>
      </w:r>
      <w:r>
        <w:rPr>
          <w:spacing w:val="-4"/>
          <w:sz w:val="20"/>
        </w:rPr>
        <w:t> </w:t>
      </w:r>
      <w:r>
        <w:rPr>
          <w:sz w:val="20"/>
        </w:rPr>
        <w:t>current activities</w:t>
      </w:r>
      <w:r>
        <w:rPr>
          <w:spacing w:val="-1"/>
          <w:sz w:val="20"/>
        </w:rPr>
        <w:t> </w:t>
      </w:r>
      <w:r>
        <w:rPr>
          <w:sz w:val="20"/>
        </w:rPr>
        <w:t>in</w:t>
      </w:r>
      <w:r>
        <w:rPr>
          <w:spacing w:val="-4"/>
          <w:sz w:val="20"/>
        </w:rPr>
        <w:t> </w:t>
      </w:r>
      <w:r>
        <w:rPr>
          <w:sz w:val="20"/>
        </w:rPr>
        <w:t>2022,</w:t>
      </w:r>
      <w:r>
        <w:rPr>
          <w:spacing w:val="-2"/>
          <w:sz w:val="20"/>
        </w:rPr>
        <w:t> </w:t>
      </w:r>
      <w:r>
        <w:rPr>
          <w:sz w:val="20"/>
        </w:rPr>
        <w:t>the</w:t>
      </w:r>
      <w:r>
        <w:rPr>
          <w:spacing w:val="-3"/>
          <w:sz w:val="20"/>
        </w:rPr>
        <w:t> </w:t>
      </w:r>
      <w:r>
        <w:rPr>
          <w:sz w:val="20"/>
        </w:rPr>
        <w:t>OTP</w:t>
      </w:r>
      <w:r>
        <w:rPr>
          <w:spacing w:val="-1"/>
          <w:sz w:val="20"/>
        </w:rPr>
        <w:t> </w:t>
      </w:r>
      <w:r>
        <w:rPr>
          <w:sz w:val="20"/>
        </w:rPr>
        <w:t>will continue</w:t>
      </w:r>
      <w:r>
        <w:rPr>
          <w:spacing w:val="-3"/>
          <w:sz w:val="20"/>
        </w:rPr>
        <w:t> </w:t>
      </w:r>
      <w:r>
        <w:rPr>
          <w:sz w:val="20"/>
        </w:rPr>
        <w:t>to</w:t>
      </w:r>
      <w:r>
        <w:rPr>
          <w:spacing w:val="-4"/>
          <w:sz w:val="20"/>
        </w:rPr>
        <w:t> </w:t>
      </w:r>
      <w:r>
        <w:rPr>
          <w:sz w:val="20"/>
        </w:rPr>
        <w:t>take forward</w:t>
      </w:r>
      <w:r>
        <w:rPr>
          <w:spacing w:val="-4"/>
          <w:sz w:val="20"/>
        </w:rPr>
        <w:t> </w:t>
      </w:r>
      <w:r>
        <w:rPr>
          <w:sz w:val="20"/>
        </w:rPr>
        <w:t>its work in relation to those situations with cases in pre-trial and trial proceedings, namely Darfur</w:t>
      </w:r>
      <w:r>
        <w:rPr>
          <w:spacing w:val="-5"/>
          <w:sz w:val="20"/>
        </w:rPr>
        <w:t> </w:t>
      </w:r>
      <w:r>
        <w:rPr>
          <w:sz w:val="20"/>
        </w:rPr>
        <w:t>(Sudan), Mali,</w:t>
      </w:r>
      <w:r>
        <w:rPr>
          <w:spacing w:val="-3"/>
          <w:sz w:val="20"/>
        </w:rPr>
        <w:t> </w:t>
      </w:r>
      <w:r>
        <w:rPr>
          <w:sz w:val="20"/>
        </w:rPr>
        <w:t>CAR</w:t>
      </w:r>
      <w:r>
        <w:rPr>
          <w:spacing w:val="-5"/>
          <w:sz w:val="20"/>
        </w:rPr>
        <w:t> </w:t>
      </w:r>
      <w:r>
        <w:rPr>
          <w:sz w:val="20"/>
        </w:rPr>
        <w:t>II.a</w:t>
      </w:r>
      <w:r>
        <w:rPr>
          <w:spacing w:val="-4"/>
          <w:sz w:val="20"/>
        </w:rPr>
        <w:t> </w:t>
      </w:r>
      <w:r>
        <w:rPr>
          <w:sz w:val="20"/>
        </w:rPr>
        <w:t>and</w:t>
      </w:r>
      <w:r>
        <w:rPr>
          <w:spacing w:val="-5"/>
          <w:sz w:val="20"/>
        </w:rPr>
        <w:t> </w:t>
      </w:r>
      <w:r>
        <w:rPr>
          <w:sz w:val="20"/>
        </w:rPr>
        <w:t>CAR</w:t>
      </w:r>
      <w:r>
        <w:rPr>
          <w:spacing w:val="-6"/>
          <w:sz w:val="20"/>
        </w:rPr>
        <w:t> </w:t>
      </w:r>
      <w:r>
        <w:rPr>
          <w:sz w:val="20"/>
        </w:rPr>
        <w:t>II.b</w:t>
      </w:r>
      <w:r>
        <w:rPr>
          <w:spacing w:val="-9"/>
          <w:sz w:val="20"/>
        </w:rPr>
        <w:t> </w:t>
      </w:r>
      <w:r>
        <w:rPr>
          <w:sz w:val="20"/>
        </w:rPr>
        <w:t>and</w:t>
      </w:r>
      <w:r>
        <w:rPr>
          <w:spacing w:val="-5"/>
          <w:sz w:val="20"/>
        </w:rPr>
        <w:t> </w:t>
      </w:r>
      <w:r>
        <w:rPr>
          <w:sz w:val="20"/>
        </w:rPr>
        <w:t>Kenya</w:t>
      </w:r>
      <w:r>
        <w:rPr>
          <w:spacing w:val="-4"/>
          <w:sz w:val="20"/>
        </w:rPr>
        <w:t> </w:t>
      </w:r>
      <w:r>
        <w:rPr>
          <w:sz w:val="20"/>
        </w:rPr>
        <w:t>(article</w:t>
      </w:r>
      <w:r>
        <w:rPr>
          <w:spacing w:val="-4"/>
          <w:sz w:val="20"/>
        </w:rPr>
        <w:t> </w:t>
      </w:r>
      <w:r>
        <w:rPr>
          <w:sz w:val="20"/>
        </w:rPr>
        <w:t>70). Additionally,</w:t>
      </w:r>
      <w:r>
        <w:rPr>
          <w:spacing w:val="-3"/>
          <w:sz w:val="20"/>
        </w:rPr>
        <w:t> </w:t>
      </w:r>
      <w:r>
        <w:rPr>
          <w:sz w:val="20"/>
        </w:rPr>
        <w:t>the OTP will be conducting investigations across situations. Investigations are often the most resource-intensive activity conducted by the OTP. As reflected in the proposed budget, particular</w:t>
      </w:r>
      <w:r>
        <w:rPr>
          <w:spacing w:val="-4"/>
          <w:sz w:val="20"/>
        </w:rPr>
        <w:t> </w:t>
      </w:r>
      <w:r>
        <w:rPr>
          <w:sz w:val="20"/>
        </w:rPr>
        <w:t>focus and</w:t>
      </w:r>
      <w:r>
        <w:rPr>
          <w:spacing w:val="-4"/>
          <w:sz w:val="20"/>
        </w:rPr>
        <w:t> </w:t>
      </w:r>
      <w:r>
        <w:rPr>
          <w:sz w:val="20"/>
        </w:rPr>
        <w:t>consequent</w:t>
      </w:r>
      <w:r>
        <w:rPr>
          <w:spacing w:val="-2"/>
          <w:sz w:val="20"/>
        </w:rPr>
        <w:t> </w:t>
      </w:r>
      <w:r>
        <w:rPr>
          <w:sz w:val="20"/>
        </w:rPr>
        <w:t>allocation of</w:t>
      </w:r>
      <w:r>
        <w:rPr>
          <w:spacing w:val="-4"/>
          <w:sz w:val="20"/>
        </w:rPr>
        <w:t> </w:t>
      </w:r>
      <w:r>
        <w:rPr>
          <w:sz w:val="20"/>
        </w:rPr>
        <w:t>resources are needed to ensure</w:t>
      </w:r>
      <w:r>
        <w:rPr>
          <w:spacing w:val="-2"/>
          <w:sz w:val="20"/>
        </w:rPr>
        <w:t> </w:t>
      </w:r>
      <w:r>
        <w:rPr>
          <w:sz w:val="20"/>
        </w:rPr>
        <w:t>that the OTP is able to seize critical investigative opportunities in line with its priorities.</w:t>
      </w:r>
    </w:p>
    <w:p>
      <w:pPr>
        <w:pStyle w:val="ListParagraph"/>
        <w:numPr>
          <w:ilvl w:val="0"/>
          <w:numId w:val="4"/>
        </w:numPr>
        <w:tabs>
          <w:tab w:pos="2967" w:val="left" w:leader="none"/>
        </w:tabs>
        <w:spacing w:line="240" w:lineRule="auto" w:before="118" w:after="0"/>
        <w:ind w:left="2246" w:right="2240" w:firstLine="0"/>
        <w:jc w:val="both"/>
        <w:rPr>
          <w:sz w:val="20"/>
        </w:rPr>
      </w:pPr>
      <w:r>
        <w:rPr>
          <w:sz w:val="20"/>
        </w:rPr>
        <w:t>The</w:t>
      </w:r>
      <w:r>
        <w:rPr>
          <w:spacing w:val="-3"/>
          <w:sz w:val="20"/>
        </w:rPr>
        <w:t> </w:t>
      </w:r>
      <w:r>
        <w:rPr>
          <w:sz w:val="20"/>
        </w:rPr>
        <w:t>OTP</w:t>
      </w:r>
      <w:r>
        <w:rPr>
          <w:spacing w:val="-6"/>
          <w:sz w:val="20"/>
        </w:rPr>
        <w:t> </w:t>
      </w:r>
      <w:r>
        <w:rPr>
          <w:sz w:val="20"/>
        </w:rPr>
        <w:t>does</w:t>
      </w:r>
      <w:r>
        <w:rPr>
          <w:spacing w:val="-6"/>
          <w:sz w:val="20"/>
        </w:rPr>
        <w:t> </w:t>
      </w:r>
      <w:r>
        <w:rPr>
          <w:sz w:val="20"/>
        </w:rPr>
        <w:t>not</w:t>
      </w:r>
      <w:r>
        <w:rPr>
          <w:spacing w:val="-3"/>
          <w:sz w:val="20"/>
        </w:rPr>
        <w:t> </w:t>
      </w:r>
      <w:r>
        <w:rPr>
          <w:sz w:val="20"/>
        </w:rPr>
        <w:t>presently</w:t>
      </w:r>
      <w:r>
        <w:rPr>
          <w:spacing w:val="-5"/>
          <w:sz w:val="20"/>
        </w:rPr>
        <w:t> </w:t>
      </w:r>
      <w:r>
        <w:rPr>
          <w:sz w:val="20"/>
        </w:rPr>
        <w:t>benefit</w:t>
      </w:r>
      <w:r>
        <w:rPr>
          <w:spacing w:val="-3"/>
          <w:sz w:val="20"/>
        </w:rPr>
        <w:t> </w:t>
      </w:r>
      <w:r>
        <w:rPr>
          <w:sz w:val="20"/>
        </w:rPr>
        <w:t>from</w:t>
      </w:r>
      <w:r>
        <w:rPr>
          <w:spacing w:val="-3"/>
          <w:sz w:val="20"/>
        </w:rPr>
        <w:t> </w:t>
      </w:r>
      <w:r>
        <w:rPr>
          <w:sz w:val="20"/>
        </w:rPr>
        <w:t>sufficient</w:t>
      </w:r>
      <w:r>
        <w:rPr>
          <w:spacing w:val="-3"/>
          <w:sz w:val="20"/>
        </w:rPr>
        <w:t> </w:t>
      </w:r>
      <w:r>
        <w:rPr>
          <w:sz w:val="20"/>
        </w:rPr>
        <w:t>resources</w:t>
      </w:r>
      <w:r>
        <w:rPr>
          <w:spacing w:val="-11"/>
          <w:sz w:val="20"/>
        </w:rPr>
        <w:t> </w:t>
      </w:r>
      <w:r>
        <w:rPr>
          <w:sz w:val="20"/>
        </w:rPr>
        <w:t>in</w:t>
      </w:r>
      <w:r>
        <w:rPr>
          <w:spacing w:val="-5"/>
          <w:sz w:val="20"/>
        </w:rPr>
        <w:t> </w:t>
      </w:r>
      <w:r>
        <w:rPr>
          <w:sz w:val="20"/>
        </w:rPr>
        <w:t>order</w:t>
      </w:r>
      <w:r>
        <w:rPr>
          <w:spacing w:val="-9"/>
          <w:sz w:val="20"/>
        </w:rPr>
        <w:t> </w:t>
      </w:r>
      <w:r>
        <w:rPr>
          <w:sz w:val="20"/>
        </w:rPr>
        <w:t>to</w:t>
      </w:r>
      <w:r>
        <w:rPr>
          <w:spacing w:val="-9"/>
          <w:sz w:val="20"/>
        </w:rPr>
        <w:t> </w:t>
      </w:r>
      <w:r>
        <w:rPr>
          <w:sz w:val="20"/>
        </w:rPr>
        <w:t>effectively discharge</w:t>
      </w:r>
      <w:r>
        <w:rPr>
          <w:spacing w:val="-12"/>
          <w:sz w:val="20"/>
        </w:rPr>
        <w:t> </w:t>
      </w:r>
      <w:r>
        <w:rPr>
          <w:sz w:val="20"/>
        </w:rPr>
        <w:t>its</w:t>
      </w:r>
      <w:r>
        <w:rPr>
          <w:spacing w:val="-10"/>
          <w:sz w:val="20"/>
        </w:rPr>
        <w:t> </w:t>
      </w:r>
      <w:r>
        <w:rPr>
          <w:sz w:val="20"/>
        </w:rPr>
        <w:t>mandate</w:t>
      </w:r>
      <w:r>
        <w:rPr>
          <w:spacing w:val="-7"/>
          <w:sz w:val="20"/>
        </w:rPr>
        <w:t> </w:t>
      </w:r>
      <w:r>
        <w:rPr>
          <w:sz w:val="20"/>
        </w:rPr>
        <w:t>with</w:t>
      </w:r>
      <w:r>
        <w:rPr>
          <w:spacing w:val="-13"/>
          <w:sz w:val="20"/>
        </w:rPr>
        <w:t> </w:t>
      </w:r>
      <w:r>
        <w:rPr>
          <w:sz w:val="20"/>
        </w:rPr>
        <w:t>respect</w:t>
      </w:r>
      <w:r>
        <w:rPr>
          <w:spacing w:val="-11"/>
          <w:sz w:val="20"/>
        </w:rPr>
        <w:t> </w:t>
      </w:r>
      <w:r>
        <w:rPr>
          <w:sz w:val="20"/>
        </w:rPr>
        <w:t>to</w:t>
      </w:r>
      <w:r>
        <w:rPr>
          <w:spacing w:val="-13"/>
          <w:sz w:val="20"/>
        </w:rPr>
        <w:t> </w:t>
      </w:r>
      <w:r>
        <w:rPr>
          <w:sz w:val="20"/>
        </w:rPr>
        <w:t>the</w:t>
      </w:r>
      <w:r>
        <w:rPr>
          <w:spacing w:val="-6"/>
          <w:sz w:val="20"/>
        </w:rPr>
        <w:t> </w:t>
      </w:r>
      <w:r>
        <w:rPr>
          <w:sz w:val="20"/>
        </w:rPr>
        <w:t>range</w:t>
      </w:r>
      <w:r>
        <w:rPr>
          <w:spacing w:val="-7"/>
          <w:sz w:val="20"/>
        </w:rPr>
        <w:t> </w:t>
      </w:r>
      <w:r>
        <w:rPr>
          <w:sz w:val="20"/>
        </w:rPr>
        <w:t>of</w:t>
      </w:r>
      <w:r>
        <w:rPr>
          <w:spacing w:val="-8"/>
          <w:sz w:val="20"/>
        </w:rPr>
        <w:t> </w:t>
      </w:r>
      <w:r>
        <w:rPr>
          <w:sz w:val="20"/>
        </w:rPr>
        <w:t>situations</w:t>
      </w:r>
      <w:r>
        <w:rPr>
          <w:spacing w:val="-13"/>
          <w:sz w:val="20"/>
        </w:rPr>
        <w:t> </w:t>
      </w:r>
      <w:r>
        <w:rPr>
          <w:sz w:val="20"/>
        </w:rPr>
        <w:t>in</w:t>
      </w:r>
      <w:r>
        <w:rPr>
          <w:spacing w:val="-12"/>
          <w:sz w:val="20"/>
        </w:rPr>
        <w:t> </w:t>
      </w:r>
      <w:r>
        <w:rPr>
          <w:sz w:val="20"/>
        </w:rPr>
        <w:t>relation</w:t>
      </w:r>
      <w:r>
        <w:rPr>
          <w:spacing w:val="-13"/>
          <w:sz w:val="20"/>
        </w:rPr>
        <w:t> </w:t>
      </w:r>
      <w:r>
        <w:rPr>
          <w:sz w:val="20"/>
        </w:rPr>
        <w:t>to</w:t>
      </w:r>
      <w:r>
        <w:rPr>
          <w:spacing w:val="-12"/>
          <w:sz w:val="20"/>
        </w:rPr>
        <w:t> </w:t>
      </w:r>
      <w:r>
        <w:rPr>
          <w:sz w:val="20"/>
        </w:rPr>
        <w:t>which</w:t>
      </w:r>
      <w:r>
        <w:rPr>
          <w:spacing w:val="-13"/>
          <w:sz w:val="20"/>
        </w:rPr>
        <w:t> </w:t>
      </w:r>
      <w:r>
        <w:rPr>
          <w:sz w:val="20"/>
        </w:rPr>
        <w:t>it</w:t>
      </w:r>
      <w:r>
        <w:rPr>
          <w:spacing w:val="-11"/>
          <w:sz w:val="20"/>
        </w:rPr>
        <w:t> </w:t>
      </w:r>
      <w:r>
        <w:rPr>
          <w:sz w:val="20"/>
        </w:rPr>
        <w:t>is</w:t>
      </w:r>
      <w:r>
        <w:rPr>
          <w:spacing w:val="-10"/>
          <w:sz w:val="20"/>
        </w:rPr>
        <w:t> </w:t>
      </w:r>
      <w:r>
        <w:rPr>
          <w:sz w:val="20"/>
        </w:rPr>
        <w:t>currently engaged. The Office has sought to address this through prioritisation of resources and identifying efficiencies in working modalities wherever possible in order to increase the speed, efficiency and</w:t>
      </w:r>
      <w:r>
        <w:rPr>
          <w:spacing w:val="-3"/>
          <w:sz w:val="20"/>
        </w:rPr>
        <w:t> </w:t>
      </w:r>
      <w:r>
        <w:rPr>
          <w:sz w:val="20"/>
        </w:rPr>
        <w:t>effectiveness of operations. While prioritisation is essential in</w:t>
      </w:r>
      <w:r>
        <w:rPr>
          <w:spacing w:val="-3"/>
          <w:sz w:val="20"/>
        </w:rPr>
        <w:t> </w:t>
      </w:r>
      <w:r>
        <w:rPr>
          <w:sz w:val="20"/>
        </w:rPr>
        <w:t>light of current resource limitations,</w:t>
      </w:r>
      <w:r>
        <w:rPr>
          <w:spacing w:val="-1"/>
          <w:sz w:val="20"/>
        </w:rPr>
        <w:t> </w:t>
      </w:r>
      <w:r>
        <w:rPr>
          <w:sz w:val="20"/>
        </w:rPr>
        <w:t>all situations will</w:t>
      </w:r>
      <w:r>
        <w:rPr>
          <w:spacing w:val="-2"/>
          <w:sz w:val="20"/>
        </w:rPr>
        <w:t> </w:t>
      </w:r>
      <w:r>
        <w:rPr>
          <w:sz w:val="20"/>
        </w:rPr>
        <w:t>continue</w:t>
      </w:r>
      <w:r>
        <w:rPr>
          <w:spacing w:val="-2"/>
          <w:sz w:val="20"/>
        </w:rPr>
        <w:t> </w:t>
      </w:r>
      <w:r>
        <w:rPr>
          <w:sz w:val="20"/>
        </w:rPr>
        <w:t>to be</w:t>
      </w:r>
      <w:r>
        <w:rPr>
          <w:spacing w:val="-2"/>
          <w:sz w:val="20"/>
        </w:rPr>
        <w:t> </w:t>
      </w:r>
      <w:r>
        <w:rPr>
          <w:sz w:val="20"/>
        </w:rPr>
        <w:t>monitored in</w:t>
      </w:r>
      <w:r>
        <w:rPr>
          <w:spacing w:val="-4"/>
          <w:sz w:val="20"/>
        </w:rPr>
        <w:t> </w:t>
      </w:r>
      <w:r>
        <w:rPr>
          <w:sz w:val="20"/>
        </w:rPr>
        <w:t>order to</w:t>
      </w:r>
      <w:r>
        <w:rPr>
          <w:spacing w:val="-4"/>
          <w:sz w:val="20"/>
        </w:rPr>
        <w:t> </w:t>
      </w:r>
      <w:r>
        <w:rPr>
          <w:sz w:val="20"/>
        </w:rPr>
        <w:t>identify, for</w:t>
      </w:r>
      <w:r>
        <w:rPr>
          <w:spacing w:val="-2"/>
          <w:sz w:val="20"/>
        </w:rPr>
        <w:t> </w:t>
      </w:r>
      <w:r>
        <w:rPr>
          <w:sz w:val="20"/>
        </w:rPr>
        <w:t>example,</w:t>
      </w:r>
      <w:r>
        <w:rPr>
          <w:spacing w:val="-5"/>
          <w:sz w:val="20"/>
        </w:rPr>
        <w:t> </w:t>
      </w:r>
      <w:r>
        <w:rPr>
          <w:sz w:val="20"/>
        </w:rPr>
        <w:t>new</w:t>
      </w:r>
      <w:r>
        <w:rPr>
          <w:spacing w:val="-9"/>
          <w:sz w:val="20"/>
        </w:rPr>
        <w:t> </w:t>
      </w:r>
      <w:r>
        <w:rPr>
          <w:sz w:val="20"/>
        </w:rPr>
        <w:t>leads</w:t>
      </w:r>
      <w:r>
        <w:rPr>
          <w:spacing w:val="-9"/>
          <w:sz w:val="20"/>
        </w:rPr>
        <w:t> </w:t>
      </w:r>
      <w:r>
        <w:rPr>
          <w:sz w:val="20"/>
        </w:rPr>
        <w:t>or</w:t>
      </w:r>
      <w:r>
        <w:rPr>
          <w:spacing w:val="-7"/>
          <w:sz w:val="20"/>
        </w:rPr>
        <w:t> </w:t>
      </w:r>
      <w:r>
        <w:rPr>
          <w:sz w:val="20"/>
        </w:rPr>
        <w:t>prospects</w:t>
      </w:r>
      <w:r>
        <w:rPr>
          <w:spacing w:val="-9"/>
          <w:sz w:val="20"/>
        </w:rPr>
        <w:t> </w:t>
      </w:r>
      <w:r>
        <w:rPr>
          <w:sz w:val="20"/>
        </w:rPr>
        <w:t>of</w:t>
      </w:r>
      <w:r>
        <w:rPr>
          <w:spacing w:val="-7"/>
          <w:sz w:val="20"/>
        </w:rPr>
        <w:t> </w:t>
      </w:r>
      <w:r>
        <w:rPr>
          <w:sz w:val="20"/>
        </w:rPr>
        <w:t>arrest</w:t>
      </w:r>
      <w:r>
        <w:rPr>
          <w:spacing w:val="-1"/>
          <w:sz w:val="20"/>
        </w:rPr>
        <w:t> </w:t>
      </w:r>
      <w:r>
        <w:rPr>
          <w:sz w:val="20"/>
        </w:rPr>
        <w:t>or</w:t>
      </w:r>
      <w:r>
        <w:rPr>
          <w:spacing w:val="-7"/>
          <w:sz w:val="20"/>
        </w:rPr>
        <w:t> </w:t>
      </w:r>
      <w:r>
        <w:rPr>
          <w:sz w:val="20"/>
        </w:rPr>
        <w:t>to</w:t>
      </w:r>
      <w:r>
        <w:rPr>
          <w:spacing w:val="-7"/>
          <w:sz w:val="20"/>
        </w:rPr>
        <w:t> </w:t>
      </w:r>
      <w:r>
        <w:rPr>
          <w:sz w:val="20"/>
        </w:rPr>
        <w:t>continue</w:t>
      </w:r>
      <w:r>
        <w:rPr>
          <w:spacing w:val="-6"/>
          <w:sz w:val="20"/>
        </w:rPr>
        <w:t> </w:t>
      </w:r>
      <w:r>
        <w:rPr>
          <w:sz w:val="20"/>
        </w:rPr>
        <w:t>engaging</w:t>
      </w:r>
      <w:r>
        <w:rPr>
          <w:spacing w:val="-3"/>
          <w:sz w:val="20"/>
        </w:rPr>
        <w:t> </w:t>
      </w:r>
      <w:r>
        <w:rPr>
          <w:sz w:val="20"/>
        </w:rPr>
        <w:t>with</w:t>
      </w:r>
      <w:r>
        <w:rPr>
          <w:spacing w:val="-7"/>
          <w:sz w:val="20"/>
        </w:rPr>
        <w:t> </w:t>
      </w:r>
      <w:r>
        <w:rPr>
          <w:sz w:val="20"/>
        </w:rPr>
        <w:t>witnesses</w:t>
      </w:r>
      <w:r>
        <w:rPr>
          <w:spacing w:val="-9"/>
          <w:sz w:val="20"/>
        </w:rPr>
        <w:t> </w:t>
      </w:r>
      <w:r>
        <w:rPr>
          <w:sz w:val="20"/>
        </w:rPr>
        <w:t>in</w:t>
      </w:r>
      <w:r>
        <w:rPr>
          <w:spacing w:val="-7"/>
          <w:sz w:val="20"/>
        </w:rPr>
        <w:t> </w:t>
      </w:r>
      <w:r>
        <w:rPr>
          <w:sz w:val="20"/>
        </w:rPr>
        <w:t>cases pending arrests. The Prosecutor will continue to assess on an ongoing basis how best to organize the Office’s work throughout 2023.</w:t>
      </w:r>
    </w:p>
    <w:p>
      <w:pPr>
        <w:pStyle w:val="ListParagraph"/>
        <w:numPr>
          <w:ilvl w:val="0"/>
          <w:numId w:val="4"/>
        </w:numPr>
        <w:tabs>
          <w:tab w:pos="2967" w:val="left" w:leader="none"/>
        </w:tabs>
        <w:spacing w:line="240" w:lineRule="auto" w:before="120" w:after="0"/>
        <w:ind w:left="2246" w:right="2241" w:firstLine="0"/>
        <w:jc w:val="both"/>
        <w:rPr>
          <w:sz w:val="20"/>
        </w:rPr>
      </w:pPr>
      <w:r>
        <w:rPr>
          <w:sz w:val="20"/>
        </w:rPr>
        <w:t>While prioritisation can be used to address some of the resource limitations presently</w:t>
      </w:r>
      <w:r>
        <w:rPr>
          <w:spacing w:val="-8"/>
          <w:sz w:val="20"/>
        </w:rPr>
        <w:t> </w:t>
      </w:r>
      <w:r>
        <w:rPr>
          <w:sz w:val="20"/>
        </w:rPr>
        <w:t>faced</w:t>
      </w:r>
      <w:r>
        <w:rPr>
          <w:spacing w:val="-8"/>
          <w:sz w:val="20"/>
        </w:rPr>
        <w:t> </w:t>
      </w:r>
      <w:r>
        <w:rPr>
          <w:sz w:val="20"/>
        </w:rPr>
        <w:t>by</w:t>
      </w:r>
      <w:r>
        <w:rPr>
          <w:spacing w:val="-4"/>
          <w:sz w:val="20"/>
        </w:rPr>
        <w:t> </w:t>
      </w:r>
      <w:r>
        <w:rPr>
          <w:sz w:val="20"/>
        </w:rPr>
        <w:t>OTP,</w:t>
      </w:r>
      <w:r>
        <w:rPr>
          <w:spacing w:val="-6"/>
          <w:sz w:val="20"/>
        </w:rPr>
        <w:t> </w:t>
      </w:r>
      <w:r>
        <w:rPr>
          <w:sz w:val="20"/>
        </w:rPr>
        <w:t>for</w:t>
      </w:r>
      <w:r>
        <w:rPr>
          <w:spacing w:val="-8"/>
          <w:sz w:val="20"/>
        </w:rPr>
        <w:t> </w:t>
      </w:r>
      <w:r>
        <w:rPr>
          <w:sz w:val="20"/>
        </w:rPr>
        <w:t>the</w:t>
      </w:r>
      <w:r>
        <w:rPr>
          <w:spacing w:val="-2"/>
          <w:sz w:val="20"/>
        </w:rPr>
        <w:t> </w:t>
      </w:r>
      <w:r>
        <w:rPr>
          <w:sz w:val="20"/>
        </w:rPr>
        <w:t>mid-</w:t>
      </w:r>
      <w:r>
        <w:rPr>
          <w:spacing w:val="-8"/>
          <w:sz w:val="20"/>
        </w:rPr>
        <w:t> </w:t>
      </w:r>
      <w:r>
        <w:rPr>
          <w:sz w:val="20"/>
        </w:rPr>
        <w:t>and</w:t>
      </w:r>
      <w:r>
        <w:rPr>
          <w:spacing w:val="-8"/>
          <w:sz w:val="20"/>
        </w:rPr>
        <w:t> </w:t>
      </w:r>
      <w:r>
        <w:rPr>
          <w:sz w:val="20"/>
        </w:rPr>
        <w:t>long-term</w:t>
      </w:r>
      <w:r>
        <w:rPr>
          <w:spacing w:val="-7"/>
          <w:sz w:val="20"/>
        </w:rPr>
        <w:t> </w:t>
      </w:r>
      <w:r>
        <w:rPr>
          <w:sz w:val="20"/>
        </w:rPr>
        <w:t>efficiency</w:t>
      </w:r>
      <w:r>
        <w:rPr>
          <w:spacing w:val="-4"/>
          <w:sz w:val="20"/>
        </w:rPr>
        <w:t> </w:t>
      </w:r>
      <w:r>
        <w:rPr>
          <w:sz w:val="20"/>
        </w:rPr>
        <w:t>and</w:t>
      </w:r>
      <w:r>
        <w:rPr>
          <w:spacing w:val="-8"/>
          <w:sz w:val="20"/>
        </w:rPr>
        <w:t> </w:t>
      </w:r>
      <w:r>
        <w:rPr>
          <w:sz w:val="20"/>
        </w:rPr>
        <w:t>viability</w:t>
      </w:r>
      <w:r>
        <w:rPr>
          <w:spacing w:val="-4"/>
          <w:sz w:val="20"/>
        </w:rPr>
        <w:t> </w:t>
      </w:r>
      <w:r>
        <w:rPr>
          <w:sz w:val="20"/>
        </w:rPr>
        <w:t>of</w:t>
      </w:r>
      <w:r>
        <w:rPr>
          <w:spacing w:val="-8"/>
          <w:sz w:val="20"/>
        </w:rPr>
        <w:t> </w:t>
      </w:r>
      <w:r>
        <w:rPr>
          <w:sz w:val="20"/>
        </w:rPr>
        <w:t>its</w:t>
      </w:r>
      <w:r>
        <w:rPr>
          <w:spacing w:val="-5"/>
          <w:sz w:val="20"/>
        </w:rPr>
        <w:t> </w:t>
      </w:r>
      <w:r>
        <w:rPr>
          <w:sz w:val="20"/>
        </w:rPr>
        <w:t>operations, it</w:t>
      </w:r>
      <w:r>
        <w:rPr>
          <w:spacing w:val="-7"/>
          <w:sz w:val="20"/>
        </w:rPr>
        <w:t> </w:t>
      </w:r>
      <w:r>
        <w:rPr>
          <w:sz w:val="20"/>
        </w:rPr>
        <w:t>is</w:t>
      </w:r>
      <w:r>
        <w:rPr>
          <w:spacing w:val="-10"/>
          <w:sz w:val="20"/>
        </w:rPr>
        <w:t> </w:t>
      </w:r>
      <w:r>
        <w:rPr>
          <w:sz w:val="20"/>
        </w:rPr>
        <w:t>critical</w:t>
      </w:r>
      <w:r>
        <w:rPr>
          <w:spacing w:val="-12"/>
          <w:sz w:val="20"/>
        </w:rPr>
        <w:t> </w:t>
      </w:r>
      <w:r>
        <w:rPr>
          <w:sz w:val="20"/>
        </w:rPr>
        <w:t>that</w:t>
      </w:r>
      <w:r>
        <w:rPr>
          <w:spacing w:val="-7"/>
          <w:sz w:val="20"/>
        </w:rPr>
        <w:t> </w:t>
      </w:r>
      <w:r>
        <w:rPr>
          <w:sz w:val="20"/>
        </w:rPr>
        <w:t>the</w:t>
      </w:r>
      <w:r>
        <w:rPr>
          <w:spacing w:val="-7"/>
          <w:sz w:val="20"/>
        </w:rPr>
        <w:t> </w:t>
      </w:r>
      <w:r>
        <w:rPr>
          <w:sz w:val="20"/>
        </w:rPr>
        <w:t>Office</w:t>
      </w:r>
      <w:r>
        <w:rPr>
          <w:spacing w:val="-11"/>
          <w:sz w:val="20"/>
        </w:rPr>
        <w:t> </w:t>
      </w:r>
      <w:r>
        <w:rPr>
          <w:sz w:val="20"/>
        </w:rPr>
        <w:t>is</w:t>
      </w:r>
      <w:r>
        <w:rPr>
          <w:spacing w:val="-10"/>
          <w:sz w:val="20"/>
        </w:rPr>
        <w:t> </w:t>
      </w:r>
      <w:r>
        <w:rPr>
          <w:sz w:val="20"/>
        </w:rPr>
        <w:t>able</w:t>
      </w:r>
      <w:r>
        <w:rPr>
          <w:spacing w:val="-7"/>
          <w:sz w:val="20"/>
        </w:rPr>
        <w:t> </w:t>
      </w:r>
      <w:r>
        <w:rPr>
          <w:sz w:val="20"/>
        </w:rPr>
        <w:t>to</w:t>
      </w:r>
      <w:r>
        <w:rPr>
          <w:spacing w:val="-4"/>
          <w:sz w:val="20"/>
        </w:rPr>
        <w:t> </w:t>
      </w:r>
      <w:r>
        <w:rPr>
          <w:sz w:val="20"/>
        </w:rPr>
        <w:t>strengthen</w:t>
      </w:r>
      <w:r>
        <w:rPr>
          <w:spacing w:val="-8"/>
          <w:sz w:val="20"/>
        </w:rPr>
        <w:t> </w:t>
      </w:r>
      <w:r>
        <w:rPr>
          <w:sz w:val="20"/>
        </w:rPr>
        <w:t>its</w:t>
      </w:r>
      <w:r>
        <w:rPr>
          <w:spacing w:val="-5"/>
          <w:sz w:val="20"/>
        </w:rPr>
        <w:t> </w:t>
      </w:r>
      <w:r>
        <w:rPr>
          <w:sz w:val="20"/>
        </w:rPr>
        <w:t>staff</w:t>
      </w:r>
      <w:r>
        <w:rPr>
          <w:spacing w:val="-13"/>
          <w:sz w:val="20"/>
        </w:rPr>
        <w:t> </w:t>
      </w:r>
      <w:r>
        <w:rPr>
          <w:sz w:val="20"/>
        </w:rPr>
        <w:t>capacity. In</w:t>
      </w:r>
      <w:r>
        <w:rPr>
          <w:spacing w:val="-13"/>
          <w:sz w:val="20"/>
        </w:rPr>
        <w:t> </w:t>
      </w:r>
      <w:r>
        <w:rPr>
          <w:sz w:val="20"/>
        </w:rPr>
        <w:t>this</w:t>
      </w:r>
      <w:r>
        <w:rPr>
          <w:spacing w:val="-10"/>
          <w:sz w:val="20"/>
        </w:rPr>
        <w:t> </w:t>
      </w:r>
      <w:r>
        <w:rPr>
          <w:sz w:val="20"/>
        </w:rPr>
        <w:t>regard,</w:t>
      </w:r>
      <w:r>
        <w:rPr>
          <w:spacing w:val="-11"/>
          <w:sz w:val="20"/>
        </w:rPr>
        <w:t> </w:t>
      </w:r>
      <w:r>
        <w:rPr>
          <w:sz w:val="20"/>
        </w:rPr>
        <w:t>the</w:t>
      </w:r>
      <w:r>
        <w:rPr>
          <w:spacing w:val="-7"/>
          <w:sz w:val="20"/>
        </w:rPr>
        <w:t> </w:t>
      </w:r>
      <w:r>
        <w:rPr>
          <w:sz w:val="20"/>
        </w:rPr>
        <w:t>OTP</w:t>
      </w:r>
      <w:r>
        <w:rPr>
          <w:spacing w:val="-10"/>
          <w:sz w:val="20"/>
        </w:rPr>
        <w:t> </w:t>
      </w:r>
      <w:r>
        <w:rPr>
          <w:sz w:val="20"/>
        </w:rPr>
        <w:t>have proposed</w:t>
      </w:r>
      <w:r>
        <w:rPr>
          <w:spacing w:val="-4"/>
          <w:sz w:val="20"/>
        </w:rPr>
        <w:t> </w:t>
      </w:r>
      <w:r>
        <w:rPr>
          <w:sz w:val="20"/>
        </w:rPr>
        <w:t>a series of</w:t>
      </w:r>
      <w:r>
        <w:rPr>
          <w:spacing w:val="-4"/>
          <w:sz w:val="20"/>
        </w:rPr>
        <w:t> </w:t>
      </w:r>
      <w:r>
        <w:rPr>
          <w:sz w:val="20"/>
        </w:rPr>
        <w:t>targeted additions</w:t>
      </w:r>
      <w:r>
        <w:rPr>
          <w:spacing w:val="-5"/>
          <w:sz w:val="20"/>
        </w:rPr>
        <w:t> </w:t>
      </w:r>
      <w:r>
        <w:rPr>
          <w:sz w:val="20"/>
        </w:rPr>
        <w:t>to its staffing requirements, focusing in particular</w:t>
      </w:r>
      <w:r>
        <w:rPr>
          <w:spacing w:val="-4"/>
          <w:sz w:val="20"/>
        </w:rPr>
        <w:t> </w:t>
      </w:r>
      <w:r>
        <w:rPr>
          <w:sz w:val="20"/>
        </w:rPr>
        <w:t>on strengthening capacity with respect to analysis, forensics, the investigation of sexual and gender-based</w:t>
      </w:r>
      <w:r>
        <w:rPr>
          <w:spacing w:val="-4"/>
          <w:sz w:val="20"/>
        </w:rPr>
        <w:t> </w:t>
      </w:r>
      <w:r>
        <w:rPr>
          <w:sz w:val="20"/>
        </w:rPr>
        <w:t>crimes</w:t>
      </w:r>
      <w:r>
        <w:rPr>
          <w:spacing w:val="-5"/>
          <w:sz w:val="20"/>
        </w:rPr>
        <w:t> </w:t>
      </w:r>
      <w:r>
        <w:rPr>
          <w:sz w:val="20"/>
        </w:rPr>
        <w:t>and</w:t>
      </w:r>
      <w:r>
        <w:rPr>
          <w:spacing w:val="-1"/>
          <w:sz w:val="20"/>
        </w:rPr>
        <w:t> </w:t>
      </w:r>
      <w:r>
        <w:rPr>
          <w:sz w:val="20"/>
        </w:rPr>
        <w:t>eDiscovery.</w:t>
      </w:r>
      <w:r>
        <w:rPr>
          <w:spacing w:val="-1"/>
          <w:sz w:val="20"/>
        </w:rPr>
        <w:t> </w:t>
      </w:r>
      <w:r>
        <w:rPr>
          <w:sz w:val="20"/>
        </w:rPr>
        <w:t>These</w:t>
      </w:r>
      <w:r>
        <w:rPr>
          <w:spacing w:val="-2"/>
          <w:sz w:val="20"/>
        </w:rPr>
        <w:t> </w:t>
      </w:r>
      <w:r>
        <w:rPr>
          <w:sz w:val="20"/>
        </w:rPr>
        <w:t>additional</w:t>
      </w:r>
      <w:r>
        <w:rPr>
          <w:spacing w:val="-2"/>
          <w:sz w:val="20"/>
        </w:rPr>
        <w:t> </w:t>
      </w:r>
      <w:r>
        <w:rPr>
          <w:sz w:val="20"/>
        </w:rPr>
        <w:t>staffing requirements</w:t>
      </w:r>
      <w:r>
        <w:rPr>
          <w:spacing w:val="-5"/>
          <w:sz w:val="20"/>
        </w:rPr>
        <w:t> </w:t>
      </w:r>
      <w:r>
        <w:rPr>
          <w:sz w:val="20"/>
        </w:rPr>
        <w:t>also</w:t>
      </w:r>
      <w:r>
        <w:rPr>
          <w:spacing w:val="-4"/>
          <w:sz w:val="20"/>
        </w:rPr>
        <w:t> </w:t>
      </w:r>
      <w:r>
        <w:rPr>
          <w:sz w:val="20"/>
        </w:rPr>
        <w:t>reflect</w:t>
      </w:r>
      <w:r>
        <w:rPr>
          <w:spacing w:val="-2"/>
          <w:sz w:val="20"/>
        </w:rPr>
        <w:t> </w:t>
      </w:r>
      <w:r>
        <w:rPr>
          <w:sz w:val="20"/>
        </w:rPr>
        <w:t>the overall strategic priority of the Office to have investigators, analysts and other operational staff</w:t>
      </w:r>
      <w:r>
        <w:rPr>
          <w:spacing w:val="-7"/>
          <w:sz w:val="20"/>
        </w:rPr>
        <w:t> </w:t>
      </w:r>
      <w:r>
        <w:rPr>
          <w:sz w:val="20"/>
        </w:rPr>
        <w:t>located</w:t>
      </w:r>
      <w:r>
        <w:rPr>
          <w:spacing w:val="-7"/>
          <w:sz w:val="20"/>
        </w:rPr>
        <w:t> </w:t>
      </w:r>
      <w:r>
        <w:rPr>
          <w:sz w:val="20"/>
        </w:rPr>
        <w:t>close</w:t>
      </w:r>
      <w:r>
        <w:rPr>
          <w:spacing w:val="-6"/>
          <w:sz w:val="20"/>
        </w:rPr>
        <w:t> </w:t>
      </w:r>
      <w:r>
        <w:rPr>
          <w:sz w:val="20"/>
        </w:rPr>
        <w:t>to</w:t>
      </w:r>
      <w:r>
        <w:rPr>
          <w:spacing w:val="-7"/>
          <w:sz w:val="20"/>
        </w:rPr>
        <w:t> </w:t>
      </w:r>
      <w:r>
        <w:rPr>
          <w:sz w:val="20"/>
        </w:rPr>
        <w:t>or</w:t>
      </w:r>
      <w:r>
        <w:rPr>
          <w:spacing w:val="-3"/>
          <w:sz w:val="20"/>
        </w:rPr>
        <w:t> </w:t>
      </w:r>
      <w:r>
        <w:rPr>
          <w:sz w:val="20"/>
        </w:rPr>
        <w:t>in</w:t>
      </w:r>
      <w:r>
        <w:rPr>
          <w:spacing w:val="-7"/>
          <w:sz w:val="20"/>
        </w:rPr>
        <w:t> </w:t>
      </w:r>
      <w:r>
        <w:rPr>
          <w:sz w:val="20"/>
        </w:rPr>
        <w:t>situation</w:t>
      </w:r>
      <w:r>
        <w:rPr>
          <w:spacing w:val="-7"/>
          <w:sz w:val="20"/>
        </w:rPr>
        <w:t> </w:t>
      </w:r>
      <w:r>
        <w:rPr>
          <w:sz w:val="20"/>
        </w:rPr>
        <w:t>countries</w:t>
      </w:r>
      <w:r>
        <w:rPr>
          <w:spacing w:val="-4"/>
          <w:sz w:val="20"/>
        </w:rPr>
        <w:t> </w:t>
      </w:r>
      <w:r>
        <w:rPr>
          <w:sz w:val="20"/>
        </w:rPr>
        <w:t>so</w:t>
      </w:r>
      <w:r>
        <w:rPr>
          <w:spacing w:val="-3"/>
          <w:sz w:val="20"/>
        </w:rPr>
        <w:t> </w:t>
      </w:r>
      <w:r>
        <w:rPr>
          <w:sz w:val="20"/>
        </w:rPr>
        <w:t>as</w:t>
      </w:r>
      <w:r>
        <w:rPr>
          <w:spacing w:val="-9"/>
          <w:sz w:val="20"/>
        </w:rPr>
        <w:t> </w:t>
      </w:r>
      <w:r>
        <w:rPr>
          <w:sz w:val="20"/>
        </w:rPr>
        <w:t>to</w:t>
      </w:r>
      <w:r>
        <w:rPr>
          <w:spacing w:val="-7"/>
          <w:sz w:val="20"/>
        </w:rPr>
        <w:t> </w:t>
      </w:r>
      <w:r>
        <w:rPr>
          <w:sz w:val="20"/>
        </w:rPr>
        <w:t>maximise</w:t>
      </w:r>
      <w:r>
        <w:rPr>
          <w:spacing w:val="-1"/>
          <w:sz w:val="20"/>
        </w:rPr>
        <w:t> </w:t>
      </w:r>
      <w:r>
        <w:rPr>
          <w:sz w:val="20"/>
        </w:rPr>
        <w:t>the</w:t>
      </w:r>
      <w:r>
        <w:rPr>
          <w:spacing w:val="-1"/>
          <w:sz w:val="20"/>
        </w:rPr>
        <w:t> </w:t>
      </w:r>
      <w:r>
        <w:rPr>
          <w:sz w:val="20"/>
        </w:rPr>
        <w:t>impact</w:t>
      </w:r>
      <w:r>
        <w:rPr>
          <w:spacing w:val="-6"/>
          <w:sz w:val="20"/>
        </w:rPr>
        <w:t> </w:t>
      </w:r>
      <w:r>
        <w:rPr>
          <w:sz w:val="20"/>
        </w:rPr>
        <w:t>of</w:t>
      </w:r>
      <w:r>
        <w:rPr>
          <w:spacing w:val="-3"/>
          <w:sz w:val="20"/>
        </w:rPr>
        <w:t> </w:t>
      </w:r>
      <w:r>
        <w:rPr>
          <w:sz w:val="20"/>
        </w:rPr>
        <w:t>their</w:t>
      </w:r>
      <w:r>
        <w:rPr>
          <w:spacing w:val="-3"/>
          <w:sz w:val="20"/>
        </w:rPr>
        <w:t> </w:t>
      </w:r>
      <w:r>
        <w:rPr>
          <w:sz w:val="20"/>
        </w:rPr>
        <w:t>activities. The details of OTP planning are explained in the budget proposal for Major Programme II.</w:t>
      </w:r>
    </w:p>
    <w:p>
      <w:pPr>
        <w:spacing w:after="0" w:line="240" w:lineRule="auto"/>
        <w:jc w:val="both"/>
        <w:rPr>
          <w:sz w:val="20"/>
        </w:rPr>
        <w:sectPr>
          <w:pgSz w:w="11910" w:h="16840"/>
          <w:pgMar w:header="953" w:footer="940" w:top="1140" w:bottom="1140" w:left="20" w:right="20"/>
        </w:sectPr>
      </w:pPr>
    </w:p>
    <w:p>
      <w:pPr>
        <w:pStyle w:val="ListParagraph"/>
        <w:numPr>
          <w:ilvl w:val="0"/>
          <w:numId w:val="4"/>
        </w:numPr>
        <w:tabs>
          <w:tab w:pos="2967" w:val="left" w:leader="none"/>
        </w:tabs>
        <w:spacing w:line="240" w:lineRule="auto" w:before="120" w:after="0"/>
        <w:ind w:left="2246" w:right="2242" w:firstLine="0"/>
        <w:jc w:val="both"/>
        <w:rPr>
          <w:sz w:val="20"/>
        </w:rPr>
      </w:pPr>
      <w:r>
        <w:rPr>
          <w:sz w:val="20"/>
        </w:rPr>
        <w:t>The</w:t>
      </w:r>
      <w:r>
        <w:rPr>
          <w:spacing w:val="-13"/>
          <w:sz w:val="20"/>
        </w:rPr>
        <w:t> </w:t>
      </w:r>
      <w:r>
        <w:rPr>
          <w:sz w:val="20"/>
        </w:rPr>
        <w:t>OTP</w:t>
      </w:r>
      <w:r>
        <w:rPr>
          <w:spacing w:val="-12"/>
          <w:sz w:val="20"/>
        </w:rPr>
        <w:t> </w:t>
      </w:r>
      <w:r>
        <w:rPr>
          <w:sz w:val="20"/>
        </w:rPr>
        <w:t>is</w:t>
      </w:r>
      <w:r>
        <w:rPr>
          <w:spacing w:val="-13"/>
          <w:sz w:val="20"/>
        </w:rPr>
        <w:t> </w:t>
      </w:r>
      <w:r>
        <w:rPr>
          <w:sz w:val="20"/>
        </w:rPr>
        <w:t>currently</w:t>
      </w:r>
      <w:r>
        <w:rPr>
          <w:spacing w:val="-12"/>
          <w:sz w:val="20"/>
        </w:rPr>
        <w:t> </w:t>
      </w:r>
      <w:r>
        <w:rPr>
          <w:sz w:val="20"/>
        </w:rPr>
        <w:t>seized</w:t>
      </w:r>
      <w:r>
        <w:rPr>
          <w:spacing w:val="-13"/>
          <w:sz w:val="20"/>
        </w:rPr>
        <w:t> </w:t>
      </w:r>
      <w:r>
        <w:rPr>
          <w:sz w:val="20"/>
        </w:rPr>
        <w:t>of</w:t>
      </w:r>
      <w:r>
        <w:rPr>
          <w:spacing w:val="-12"/>
          <w:sz w:val="20"/>
        </w:rPr>
        <w:t> </w:t>
      </w:r>
      <w:r>
        <w:rPr>
          <w:sz w:val="20"/>
        </w:rPr>
        <w:t>preliminary</w:t>
      </w:r>
      <w:r>
        <w:rPr>
          <w:spacing w:val="-13"/>
          <w:sz w:val="20"/>
        </w:rPr>
        <w:t> </w:t>
      </w:r>
      <w:r>
        <w:rPr>
          <w:sz w:val="20"/>
        </w:rPr>
        <w:t>examinations</w:t>
      </w:r>
      <w:r>
        <w:rPr>
          <w:spacing w:val="-12"/>
          <w:sz w:val="20"/>
        </w:rPr>
        <w:t> </w:t>
      </w:r>
      <w:r>
        <w:rPr>
          <w:sz w:val="20"/>
        </w:rPr>
        <w:t>in</w:t>
      </w:r>
      <w:r>
        <w:rPr>
          <w:spacing w:val="-13"/>
          <w:sz w:val="20"/>
        </w:rPr>
        <w:t> </w:t>
      </w:r>
      <w:r>
        <w:rPr>
          <w:sz w:val="20"/>
        </w:rPr>
        <w:t>three</w:t>
      </w:r>
      <w:r>
        <w:rPr>
          <w:spacing w:val="-12"/>
          <w:sz w:val="20"/>
        </w:rPr>
        <w:t> </w:t>
      </w:r>
      <w:r>
        <w:rPr>
          <w:sz w:val="20"/>
        </w:rPr>
        <w:t>situations:</w:t>
      </w:r>
      <w:r>
        <w:rPr>
          <w:spacing w:val="-13"/>
          <w:sz w:val="20"/>
        </w:rPr>
        <w:t> </w:t>
      </w:r>
      <w:r>
        <w:rPr>
          <w:sz w:val="20"/>
        </w:rPr>
        <w:t>Guinea, Nigeria, and Venezuela II. The preliminary examination in</w:t>
      </w:r>
      <w:r>
        <w:rPr>
          <w:spacing w:val="-5"/>
          <w:sz w:val="20"/>
        </w:rPr>
        <w:t> </w:t>
      </w:r>
      <w:r>
        <w:rPr>
          <w:sz w:val="20"/>
        </w:rPr>
        <w:t>the situation</w:t>
      </w:r>
      <w:r>
        <w:rPr>
          <w:spacing w:val="-5"/>
          <w:sz w:val="20"/>
        </w:rPr>
        <w:t> </w:t>
      </w:r>
      <w:r>
        <w:rPr>
          <w:sz w:val="20"/>
        </w:rPr>
        <w:t>in Nigeria has</w:t>
      </w:r>
      <w:r>
        <w:rPr>
          <w:spacing w:val="-1"/>
          <w:sz w:val="20"/>
        </w:rPr>
        <w:t> </w:t>
      </w:r>
      <w:r>
        <w:rPr>
          <w:sz w:val="20"/>
        </w:rPr>
        <w:t>been completed.</w:t>
      </w:r>
      <w:r>
        <w:rPr>
          <w:spacing w:val="-1"/>
          <w:sz w:val="20"/>
        </w:rPr>
        <w:t> </w:t>
      </w:r>
      <w:r>
        <w:rPr>
          <w:sz w:val="20"/>
        </w:rPr>
        <w:t>The</w:t>
      </w:r>
      <w:r>
        <w:rPr>
          <w:spacing w:val="-2"/>
          <w:sz w:val="20"/>
        </w:rPr>
        <w:t> </w:t>
      </w:r>
      <w:r>
        <w:rPr>
          <w:sz w:val="20"/>
        </w:rPr>
        <w:t>remaining preliminary</w:t>
      </w:r>
      <w:r>
        <w:rPr>
          <w:spacing w:val="-4"/>
          <w:sz w:val="20"/>
        </w:rPr>
        <w:t> </w:t>
      </w:r>
      <w:r>
        <w:rPr>
          <w:sz w:val="20"/>
        </w:rPr>
        <w:t>examinations</w:t>
      </w:r>
      <w:r>
        <w:rPr>
          <w:spacing w:val="-5"/>
          <w:sz w:val="20"/>
        </w:rPr>
        <w:t> </w:t>
      </w:r>
      <w:r>
        <w:rPr>
          <w:sz w:val="20"/>
        </w:rPr>
        <w:t>are</w:t>
      </w:r>
      <w:r>
        <w:rPr>
          <w:spacing w:val="-2"/>
          <w:sz w:val="20"/>
        </w:rPr>
        <w:t> </w:t>
      </w:r>
      <w:r>
        <w:rPr>
          <w:sz w:val="20"/>
        </w:rPr>
        <w:t>in</w:t>
      </w:r>
      <w:r>
        <w:rPr>
          <w:spacing w:val="-4"/>
          <w:sz w:val="20"/>
        </w:rPr>
        <w:t> </w:t>
      </w:r>
      <w:r>
        <w:rPr>
          <w:sz w:val="20"/>
        </w:rPr>
        <w:t>advanced</w:t>
      </w:r>
      <w:r>
        <w:rPr>
          <w:spacing w:val="-4"/>
          <w:sz w:val="20"/>
        </w:rPr>
        <w:t> </w:t>
      </w:r>
      <w:r>
        <w:rPr>
          <w:sz w:val="20"/>
        </w:rPr>
        <w:t>stages</w:t>
      </w:r>
      <w:r>
        <w:rPr>
          <w:spacing w:val="-5"/>
          <w:sz w:val="20"/>
        </w:rPr>
        <w:t> </w:t>
      </w:r>
      <w:r>
        <w:rPr>
          <w:sz w:val="20"/>
        </w:rPr>
        <w:t>of</w:t>
      </w:r>
      <w:r>
        <w:rPr>
          <w:spacing w:val="-4"/>
          <w:sz w:val="20"/>
        </w:rPr>
        <w:t> </w:t>
      </w:r>
      <w:r>
        <w:rPr>
          <w:sz w:val="20"/>
        </w:rPr>
        <w:t>analysis.</w:t>
      </w:r>
      <w:r>
        <w:rPr>
          <w:spacing w:val="-1"/>
          <w:sz w:val="20"/>
        </w:rPr>
        <w:t> </w:t>
      </w:r>
      <w:r>
        <w:rPr>
          <w:sz w:val="20"/>
        </w:rPr>
        <w:t>The Prosecutor</w:t>
      </w:r>
      <w:r>
        <w:rPr>
          <w:spacing w:val="-3"/>
          <w:sz w:val="20"/>
        </w:rPr>
        <w:t> </w:t>
      </w:r>
      <w:r>
        <w:rPr>
          <w:sz w:val="20"/>
        </w:rPr>
        <w:t>is</w:t>
      </w:r>
      <w:r>
        <w:rPr>
          <w:spacing w:val="-4"/>
          <w:sz w:val="20"/>
        </w:rPr>
        <w:t> </w:t>
      </w:r>
      <w:r>
        <w:rPr>
          <w:sz w:val="20"/>
        </w:rPr>
        <w:t>conducting</w:t>
      </w:r>
      <w:r>
        <w:rPr>
          <w:spacing w:val="-3"/>
          <w:sz w:val="20"/>
        </w:rPr>
        <w:t> </w:t>
      </w:r>
      <w:r>
        <w:rPr>
          <w:sz w:val="20"/>
        </w:rPr>
        <w:t>a</w:t>
      </w:r>
      <w:r>
        <w:rPr>
          <w:spacing w:val="-1"/>
          <w:sz w:val="20"/>
        </w:rPr>
        <w:t> </w:t>
      </w:r>
      <w:r>
        <w:rPr>
          <w:sz w:val="20"/>
        </w:rPr>
        <w:t>comprehensive</w:t>
      </w:r>
      <w:r>
        <w:rPr>
          <w:spacing w:val="-1"/>
          <w:sz w:val="20"/>
        </w:rPr>
        <w:t> </w:t>
      </w:r>
      <w:r>
        <w:rPr>
          <w:sz w:val="20"/>
        </w:rPr>
        <w:t>review</w:t>
      </w:r>
      <w:r>
        <w:rPr>
          <w:spacing w:val="-4"/>
          <w:sz w:val="20"/>
        </w:rPr>
        <w:t> </w:t>
      </w:r>
      <w:r>
        <w:rPr>
          <w:sz w:val="20"/>
        </w:rPr>
        <w:t>of</w:t>
      </w:r>
      <w:r>
        <w:rPr>
          <w:spacing w:val="-3"/>
          <w:sz w:val="20"/>
        </w:rPr>
        <w:t> </w:t>
      </w:r>
      <w:r>
        <w:rPr>
          <w:sz w:val="20"/>
        </w:rPr>
        <w:t>all</w:t>
      </w:r>
      <w:r>
        <w:rPr>
          <w:spacing w:val="-1"/>
          <w:sz w:val="20"/>
        </w:rPr>
        <w:t> </w:t>
      </w:r>
      <w:r>
        <w:rPr>
          <w:sz w:val="20"/>
        </w:rPr>
        <w:t>preliminary</w:t>
      </w:r>
      <w:r>
        <w:rPr>
          <w:spacing w:val="-3"/>
          <w:sz w:val="20"/>
        </w:rPr>
        <w:t> </w:t>
      </w:r>
      <w:r>
        <w:rPr>
          <w:sz w:val="20"/>
        </w:rPr>
        <w:t>examinations as</w:t>
      </w:r>
      <w:r>
        <w:rPr>
          <w:spacing w:val="-4"/>
          <w:sz w:val="20"/>
        </w:rPr>
        <w:t> </w:t>
      </w:r>
      <w:r>
        <w:rPr>
          <w:sz w:val="20"/>
        </w:rPr>
        <w:t>well</w:t>
      </w:r>
      <w:r>
        <w:rPr>
          <w:spacing w:val="-1"/>
          <w:sz w:val="20"/>
        </w:rPr>
        <w:t> </w:t>
      </w:r>
      <w:r>
        <w:rPr>
          <w:sz w:val="20"/>
        </w:rPr>
        <w:t>as of</w:t>
      </w:r>
      <w:r>
        <w:rPr>
          <w:spacing w:val="-5"/>
          <w:sz w:val="20"/>
        </w:rPr>
        <w:t> </w:t>
      </w:r>
      <w:r>
        <w:rPr>
          <w:sz w:val="20"/>
        </w:rPr>
        <w:t>the</w:t>
      </w:r>
      <w:r>
        <w:rPr>
          <w:spacing w:val="-3"/>
          <w:sz w:val="20"/>
        </w:rPr>
        <w:t> </w:t>
      </w:r>
      <w:r>
        <w:rPr>
          <w:sz w:val="20"/>
        </w:rPr>
        <w:t>Office’s</w:t>
      </w:r>
      <w:r>
        <w:rPr>
          <w:spacing w:val="-6"/>
          <w:sz w:val="20"/>
        </w:rPr>
        <w:t> </w:t>
      </w:r>
      <w:r>
        <w:rPr>
          <w:sz w:val="20"/>
        </w:rPr>
        <w:t>overall</w:t>
      </w:r>
      <w:r>
        <w:rPr>
          <w:spacing w:val="-8"/>
          <w:sz w:val="20"/>
        </w:rPr>
        <w:t> </w:t>
      </w:r>
      <w:r>
        <w:rPr>
          <w:sz w:val="20"/>
        </w:rPr>
        <w:t>policy</w:t>
      </w:r>
      <w:r>
        <w:rPr>
          <w:spacing w:val="-5"/>
          <w:sz w:val="20"/>
        </w:rPr>
        <w:t> </w:t>
      </w:r>
      <w:r>
        <w:rPr>
          <w:sz w:val="20"/>
        </w:rPr>
        <w:t>on</w:t>
      </w:r>
      <w:r>
        <w:rPr>
          <w:spacing w:val="-5"/>
          <w:sz w:val="20"/>
        </w:rPr>
        <w:t> </w:t>
      </w:r>
      <w:r>
        <w:rPr>
          <w:sz w:val="20"/>
        </w:rPr>
        <w:t>preliminary</w:t>
      </w:r>
      <w:r>
        <w:rPr>
          <w:spacing w:val="-9"/>
          <w:sz w:val="20"/>
        </w:rPr>
        <w:t> </w:t>
      </w:r>
      <w:r>
        <w:rPr>
          <w:sz w:val="20"/>
        </w:rPr>
        <w:t>examinations.</w:t>
      </w:r>
      <w:r>
        <w:rPr>
          <w:spacing w:val="-2"/>
          <w:sz w:val="20"/>
        </w:rPr>
        <w:t> </w:t>
      </w:r>
      <w:r>
        <w:rPr>
          <w:sz w:val="20"/>
        </w:rPr>
        <w:t>This</w:t>
      </w:r>
      <w:r>
        <w:rPr>
          <w:spacing w:val="-6"/>
          <w:sz w:val="20"/>
        </w:rPr>
        <w:t> </w:t>
      </w:r>
      <w:r>
        <w:rPr>
          <w:sz w:val="20"/>
        </w:rPr>
        <w:t>review</w:t>
      </w:r>
      <w:r>
        <w:rPr>
          <w:spacing w:val="-6"/>
          <w:sz w:val="20"/>
        </w:rPr>
        <w:t> </w:t>
      </w:r>
      <w:r>
        <w:rPr>
          <w:sz w:val="20"/>
        </w:rPr>
        <w:t>will</w:t>
      </w:r>
      <w:r>
        <w:rPr>
          <w:spacing w:val="-3"/>
          <w:sz w:val="20"/>
        </w:rPr>
        <w:t> </w:t>
      </w:r>
      <w:r>
        <w:rPr>
          <w:sz w:val="20"/>
        </w:rPr>
        <w:t>guide</w:t>
      </w:r>
      <w:r>
        <w:rPr>
          <w:spacing w:val="-3"/>
          <w:sz w:val="20"/>
        </w:rPr>
        <w:t> </w:t>
      </w:r>
      <w:r>
        <w:rPr>
          <w:sz w:val="20"/>
        </w:rPr>
        <w:t>the</w:t>
      </w:r>
      <w:r>
        <w:rPr>
          <w:spacing w:val="-3"/>
          <w:sz w:val="20"/>
        </w:rPr>
        <w:t> </w:t>
      </w:r>
      <w:r>
        <w:rPr>
          <w:sz w:val="20"/>
        </w:rPr>
        <w:t>future conduct by the Office of preliminary examinations. The OTP has continued to</w:t>
      </w:r>
      <w:r>
        <w:rPr>
          <w:spacing w:val="-4"/>
          <w:sz w:val="20"/>
        </w:rPr>
        <w:t> </w:t>
      </w:r>
      <w:r>
        <w:rPr>
          <w:sz w:val="20"/>
        </w:rPr>
        <w:t>make efforts to optimize its internal processes and enhance synergies between preliminary examinations and investigations, including by improving integration across the OTP’s pillars to ensure greater continuity and a smoother transition from the preliminary examination stage to the investigation stage, should that be warranted.</w:t>
      </w:r>
    </w:p>
    <w:p>
      <w:pPr>
        <w:pStyle w:val="ListParagraph"/>
        <w:numPr>
          <w:ilvl w:val="0"/>
          <w:numId w:val="4"/>
        </w:numPr>
        <w:tabs>
          <w:tab w:pos="2967" w:val="left" w:leader="none"/>
        </w:tabs>
        <w:spacing w:line="240" w:lineRule="auto" w:before="120" w:after="0"/>
        <w:ind w:left="2246" w:right="2236" w:firstLine="0"/>
        <w:jc w:val="both"/>
        <w:rPr>
          <w:sz w:val="20"/>
        </w:rPr>
      </w:pPr>
      <w:r>
        <w:rPr>
          <w:sz w:val="20"/>
        </w:rPr>
        <w:t>The Registry continues to provide the Court with support in administrative and operational matters both at Headquarters</w:t>
      </w:r>
      <w:r>
        <w:rPr>
          <w:spacing w:val="-2"/>
          <w:sz w:val="20"/>
        </w:rPr>
        <w:t> </w:t>
      </w:r>
      <w:r>
        <w:rPr>
          <w:sz w:val="20"/>
        </w:rPr>
        <w:t>and in</w:t>
      </w:r>
      <w:r>
        <w:rPr>
          <w:spacing w:val="-2"/>
          <w:sz w:val="20"/>
        </w:rPr>
        <w:t> </w:t>
      </w:r>
      <w:r>
        <w:rPr>
          <w:sz w:val="20"/>
        </w:rPr>
        <w:t>the</w:t>
      </w:r>
      <w:r>
        <w:rPr>
          <w:spacing w:val="-1"/>
          <w:sz w:val="20"/>
        </w:rPr>
        <w:t> </w:t>
      </w:r>
      <w:r>
        <w:rPr>
          <w:sz w:val="20"/>
        </w:rPr>
        <w:t>country</w:t>
      </w:r>
      <w:r>
        <w:rPr>
          <w:spacing w:val="-2"/>
          <w:sz w:val="20"/>
        </w:rPr>
        <w:t> </w:t>
      </w:r>
      <w:r>
        <w:rPr>
          <w:sz w:val="20"/>
        </w:rPr>
        <w:t>offices. In 2023, the Registry is expected to provide operational support to facilitate the simultaneous trial activities in the </w:t>
      </w:r>
      <w:r>
        <w:rPr>
          <w:i/>
          <w:sz w:val="20"/>
        </w:rPr>
        <w:t>Yekatom and Ngaïssona</w:t>
      </w:r>
      <w:r>
        <w:rPr>
          <w:sz w:val="20"/>
        </w:rPr>
        <w:t>, </w:t>
      </w:r>
      <w:r>
        <w:rPr>
          <w:i/>
          <w:sz w:val="20"/>
        </w:rPr>
        <w:t>Said </w:t>
      </w:r>
      <w:r>
        <w:rPr>
          <w:sz w:val="20"/>
        </w:rPr>
        <w:t>and </w:t>
      </w:r>
      <w:r>
        <w:rPr>
          <w:i/>
          <w:color w:val="1F1F1E"/>
          <w:sz w:val="20"/>
        </w:rPr>
        <w:t>Abd-Al-Rahman </w:t>
      </w:r>
      <w:r>
        <w:rPr>
          <w:color w:val="1F1F1E"/>
          <w:sz w:val="20"/>
        </w:rPr>
        <w:t>cases, in the pre-trial activities in the </w:t>
      </w:r>
      <w:r>
        <w:rPr>
          <w:i/>
          <w:color w:val="1F1F1E"/>
          <w:sz w:val="20"/>
        </w:rPr>
        <w:t>Mokom </w:t>
      </w:r>
      <w:r>
        <w:rPr>
          <w:color w:val="1F1F1E"/>
          <w:sz w:val="20"/>
        </w:rPr>
        <w:t>case, as well as to the activities in the situations currently under investigation. Following close coordination with the OTP</w:t>
      </w:r>
      <w:r>
        <w:rPr>
          <w:color w:val="1F1F1E"/>
          <w:spacing w:val="-1"/>
          <w:sz w:val="20"/>
        </w:rPr>
        <w:t> </w:t>
      </w:r>
      <w:r>
        <w:rPr>
          <w:color w:val="1F1F1E"/>
          <w:sz w:val="20"/>
        </w:rPr>
        <w:t>and in order to meet the OTP’s requirement for support</w:t>
      </w:r>
      <w:r>
        <w:rPr>
          <w:color w:val="1F1F1E"/>
          <w:spacing w:val="-8"/>
          <w:sz w:val="20"/>
        </w:rPr>
        <w:t> </w:t>
      </w:r>
      <w:r>
        <w:rPr>
          <w:color w:val="1F1F1E"/>
          <w:sz w:val="20"/>
        </w:rPr>
        <w:t>to</w:t>
      </w:r>
      <w:r>
        <w:rPr>
          <w:color w:val="1F1F1E"/>
          <w:spacing w:val="-9"/>
          <w:sz w:val="20"/>
        </w:rPr>
        <w:t> </w:t>
      </w:r>
      <w:r>
        <w:rPr>
          <w:color w:val="1F1F1E"/>
          <w:sz w:val="20"/>
        </w:rPr>
        <w:t>its</w:t>
      </w:r>
      <w:r>
        <w:rPr>
          <w:color w:val="1F1F1E"/>
          <w:spacing w:val="-11"/>
          <w:sz w:val="20"/>
        </w:rPr>
        <w:t> </w:t>
      </w:r>
      <w:r>
        <w:rPr>
          <w:color w:val="1F1F1E"/>
          <w:sz w:val="20"/>
        </w:rPr>
        <w:t>intensive</w:t>
      </w:r>
      <w:r>
        <w:rPr>
          <w:color w:val="1F1F1E"/>
          <w:spacing w:val="-7"/>
          <w:sz w:val="20"/>
        </w:rPr>
        <w:t> </w:t>
      </w:r>
      <w:r>
        <w:rPr>
          <w:color w:val="1F1F1E"/>
          <w:sz w:val="20"/>
        </w:rPr>
        <w:t>investigations,</w:t>
      </w:r>
      <w:r>
        <w:rPr>
          <w:color w:val="1F1F1E"/>
          <w:spacing w:val="-5"/>
          <w:sz w:val="20"/>
        </w:rPr>
        <w:t> </w:t>
      </w:r>
      <w:r>
        <w:rPr>
          <w:color w:val="1F1F1E"/>
          <w:sz w:val="20"/>
        </w:rPr>
        <w:t>the</w:t>
      </w:r>
      <w:r>
        <w:rPr>
          <w:color w:val="1F1F1E"/>
          <w:spacing w:val="-3"/>
          <w:sz w:val="20"/>
        </w:rPr>
        <w:t> </w:t>
      </w:r>
      <w:r>
        <w:rPr>
          <w:color w:val="1F1F1E"/>
          <w:sz w:val="20"/>
        </w:rPr>
        <w:t>Registry</w:t>
      </w:r>
      <w:r>
        <w:rPr>
          <w:color w:val="1F1F1E"/>
          <w:spacing w:val="-4"/>
          <w:sz w:val="20"/>
        </w:rPr>
        <w:t> </w:t>
      </w:r>
      <w:r>
        <w:rPr>
          <w:color w:val="1F1F1E"/>
          <w:sz w:val="20"/>
        </w:rPr>
        <w:t>will</w:t>
      </w:r>
      <w:r>
        <w:rPr>
          <w:color w:val="1F1F1E"/>
          <w:spacing w:val="-7"/>
          <w:sz w:val="20"/>
        </w:rPr>
        <w:t> </w:t>
      </w:r>
      <w:r>
        <w:rPr>
          <w:color w:val="1F1F1E"/>
          <w:sz w:val="20"/>
        </w:rPr>
        <w:t>establish</w:t>
      </w:r>
      <w:r>
        <w:rPr>
          <w:color w:val="1F1F1E"/>
          <w:spacing w:val="-4"/>
          <w:sz w:val="20"/>
        </w:rPr>
        <w:t> </w:t>
      </w:r>
      <w:r>
        <w:rPr>
          <w:color w:val="1F1F1E"/>
          <w:sz w:val="20"/>
        </w:rPr>
        <w:t>a</w:t>
      </w:r>
      <w:r>
        <w:rPr>
          <w:color w:val="1F1F1E"/>
          <w:spacing w:val="-8"/>
          <w:sz w:val="20"/>
        </w:rPr>
        <w:t> </w:t>
      </w:r>
      <w:r>
        <w:rPr>
          <w:color w:val="1F1F1E"/>
          <w:sz w:val="20"/>
        </w:rPr>
        <w:t>country</w:t>
      </w:r>
      <w:r>
        <w:rPr>
          <w:color w:val="1F1F1E"/>
          <w:spacing w:val="-4"/>
          <w:sz w:val="20"/>
        </w:rPr>
        <w:t> </w:t>
      </w:r>
      <w:r>
        <w:rPr>
          <w:color w:val="1F1F1E"/>
          <w:sz w:val="20"/>
        </w:rPr>
        <w:t>office</w:t>
      </w:r>
      <w:r>
        <w:rPr>
          <w:color w:val="1F1F1E"/>
          <w:spacing w:val="-8"/>
          <w:sz w:val="20"/>
        </w:rPr>
        <w:t> </w:t>
      </w:r>
      <w:r>
        <w:rPr>
          <w:color w:val="1F1F1E"/>
          <w:sz w:val="20"/>
        </w:rPr>
        <w:t>in</w:t>
      </w:r>
      <w:r>
        <w:rPr>
          <w:color w:val="1F1F1E"/>
          <w:spacing w:val="-9"/>
          <w:sz w:val="20"/>
        </w:rPr>
        <w:t> </w:t>
      </w:r>
      <w:r>
        <w:rPr>
          <w:color w:val="1F1F1E"/>
          <w:sz w:val="20"/>
        </w:rPr>
        <w:t>Ukraine. Similarly, to provide</w:t>
      </w:r>
      <w:r>
        <w:rPr>
          <w:color w:val="1F1F1E"/>
          <w:spacing w:val="-2"/>
          <w:sz w:val="20"/>
        </w:rPr>
        <w:t> </w:t>
      </w:r>
      <w:r>
        <w:rPr>
          <w:color w:val="1F1F1E"/>
          <w:sz w:val="20"/>
        </w:rPr>
        <w:t>more</w:t>
      </w:r>
      <w:r>
        <w:rPr>
          <w:color w:val="1F1F1E"/>
          <w:spacing w:val="-1"/>
          <w:sz w:val="20"/>
        </w:rPr>
        <w:t> </w:t>
      </w:r>
      <w:r>
        <w:rPr>
          <w:color w:val="1F1F1E"/>
          <w:sz w:val="20"/>
        </w:rPr>
        <w:t>effective</w:t>
      </w:r>
      <w:r>
        <w:rPr>
          <w:color w:val="1F1F1E"/>
          <w:spacing w:val="-1"/>
          <w:sz w:val="20"/>
        </w:rPr>
        <w:t> </w:t>
      </w:r>
      <w:r>
        <w:rPr>
          <w:color w:val="1F1F1E"/>
          <w:sz w:val="20"/>
        </w:rPr>
        <w:t>support</w:t>
      </w:r>
      <w:r>
        <w:rPr>
          <w:color w:val="1F1F1E"/>
          <w:spacing w:val="-2"/>
          <w:sz w:val="20"/>
        </w:rPr>
        <w:t> </w:t>
      </w:r>
      <w:r>
        <w:rPr>
          <w:color w:val="1F1F1E"/>
          <w:sz w:val="20"/>
        </w:rPr>
        <w:t>to</w:t>
      </w:r>
      <w:r>
        <w:rPr>
          <w:color w:val="1F1F1E"/>
          <w:spacing w:val="-3"/>
          <w:sz w:val="20"/>
        </w:rPr>
        <w:t> </w:t>
      </w:r>
      <w:r>
        <w:rPr>
          <w:color w:val="1F1F1E"/>
          <w:sz w:val="20"/>
        </w:rPr>
        <w:t>the</w:t>
      </w:r>
      <w:r>
        <w:rPr>
          <w:color w:val="1F1F1E"/>
          <w:spacing w:val="-2"/>
          <w:sz w:val="20"/>
        </w:rPr>
        <w:t> </w:t>
      </w:r>
      <w:r>
        <w:rPr>
          <w:color w:val="1F1F1E"/>
          <w:sz w:val="20"/>
        </w:rPr>
        <w:t>ongoing</w:t>
      </w:r>
      <w:r>
        <w:rPr>
          <w:color w:val="1F1F1E"/>
          <w:spacing w:val="-3"/>
          <w:sz w:val="20"/>
        </w:rPr>
        <w:t> </w:t>
      </w:r>
      <w:r>
        <w:rPr>
          <w:color w:val="1F1F1E"/>
          <w:sz w:val="20"/>
        </w:rPr>
        <w:t>trial</w:t>
      </w:r>
      <w:r>
        <w:rPr>
          <w:color w:val="1F1F1E"/>
          <w:spacing w:val="-1"/>
          <w:sz w:val="20"/>
        </w:rPr>
        <w:t> </w:t>
      </w:r>
      <w:r>
        <w:rPr>
          <w:color w:val="1F1F1E"/>
          <w:sz w:val="20"/>
        </w:rPr>
        <w:t>in</w:t>
      </w:r>
      <w:r>
        <w:rPr>
          <w:color w:val="1F1F1E"/>
          <w:spacing w:val="-3"/>
          <w:sz w:val="20"/>
        </w:rPr>
        <w:t> </w:t>
      </w:r>
      <w:r>
        <w:rPr>
          <w:color w:val="1F1F1E"/>
          <w:sz w:val="20"/>
        </w:rPr>
        <w:t>the</w:t>
      </w:r>
      <w:r>
        <w:rPr>
          <w:color w:val="1F1F1E"/>
          <w:spacing w:val="-1"/>
          <w:sz w:val="20"/>
        </w:rPr>
        <w:t> </w:t>
      </w:r>
      <w:r>
        <w:rPr>
          <w:i/>
          <w:color w:val="1F1F1E"/>
          <w:sz w:val="20"/>
        </w:rPr>
        <w:t>Abd</w:t>
      </w:r>
      <w:r>
        <w:rPr>
          <w:i/>
          <w:color w:val="1F1F1E"/>
          <w:spacing w:val="-3"/>
          <w:sz w:val="20"/>
        </w:rPr>
        <w:t> </w:t>
      </w:r>
      <w:r>
        <w:rPr>
          <w:i/>
          <w:color w:val="1F1F1E"/>
          <w:sz w:val="20"/>
        </w:rPr>
        <w:t>Al</w:t>
      </w:r>
      <w:r>
        <w:rPr>
          <w:i/>
          <w:color w:val="1F1F1E"/>
          <w:spacing w:val="-2"/>
          <w:sz w:val="20"/>
        </w:rPr>
        <w:t> </w:t>
      </w:r>
      <w:r>
        <w:rPr>
          <w:i/>
          <w:color w:val="1F1F1E"/>
          <w:sz w:val="20"/>
        </w:rPr>
        <w:t>Rahman</w:t>
      </w:r>
      <w:r>
        <w:rPr>
          <w:i/>
          <w:color w:val="1F1F1E"/>
          <w:spacing w:val="-3"/>
          <w:sz w:val="20"/>
        </w:rPr>
        <w:t> </w:t>
      </w:r>
      <w:r>
        <w:rPr>
          <w:color w:val="1F1F1E"/>
          <w:sz w:val="20"/>
        </w:rPr>
        <w:t>case, the Registry will establish a new country office in Sudan. In this context, the Registry will downsize the country offices in the DRC (Kinshasa), Côte d’Ivoire and Georgia as well as prioritize</w:t>
      </w:r>
      <w:r>
        <w:rPr>
          <w:color w:val="1F1F1E"/>
          <w:spacing w:val="-10"/>
          <w:sz w:val="20"/>
        </w:rPr>
        <w:t> </w:t>
      </w:r>
      <w:r>
        <w:rPr>
          <w:color w:val="1F1F1E"/>
          <w:sz w:val="20"/>
        </w:rPr>
        <w:t>its</w:t>
      </w:r>
      <w:r>
        <w:rPr>
          <w:color w:val="1F1F1E"/>
          <w:spacing w:val="-10"/>
          <w:sz w:val="20"/>
        </w:rPr>
        <w:t> </w:t>
      </w:r>
      <w:r>
        <w:rPr>
          <w:color w:val="1F1F1E"/>
          <w:sz w:val="20"/>
        </w:rPr>
        <w:t>resources</w:t>
      </w:r>
      <w:r>
        <w:rPr>
          <w:color w:val="1F1F1E"/>
          <w:spacing w:val="-9"/>
          <w:sz w:val="20"/>
        </w:rPr>
        <w:t> </w:t>
      </w:r>
      <w:r>
        <w:rPr>
          <w:color w:val="1F1F1E"/>
          <w:sz w:val="20"/>
        </w:rPr>
        <w:t>in</w:t>
      </w:r>
      <w:r>
        <w:rPr>
          <w:color w:val="1F1F1E"/>
          <w:spacing w:val="-8"/>
          <w:sz w:val="20"/>
        </w:rPr>
        <w:t> </w:t>
      </w:r>
      <w:r>
        <w:rPr>
          <w:color w:val="1F1F1E"/>
          <w:sz w:val="20"/>
        </w:rPr>
        <w:t>the</w:t>
      </w:r>
      <w:r>
        <w:rPr>
          <w:color w:val="1F1F1E"/>
          <w:spacing w:val="-6"/>
          <w:sz w:val="20"/>
        </w:rPr>
        <w:t> </w:t>
      </w:r>
      <w:r>
        <w:rPr>
          <w:color w:val="1F1F1E"/>
          <w:sz w:val="20"/>
        </w:rPr>
        <w:t>country</w:t>
      </w:r>
      <w:r>
        <w:rPr>
          <w:color w:val="1F1F1E"/>
          <w:spacing w:val="-8"/>
          <w:sz w:val="20"/>
        </w:rPr>
        <w:t> </w:t>
      </w:r>
      <w:r>
        <w:rPr>
          <w:color w:val="1F1F1E"/>
          <w:sz w:val="20"/>
        </w:rPr>
        <w:t>offices</w:t>
      </w:r>
      <w:r>
        <w:rPr>
          <w:color w:val="1F1F1E"/>
          <w:spacing w:val="-9"/>
          <w:sz w:val="20"/>
        </w:rPr>
        <w:t> </w:t>
      </w:r>
      <w:r>
        <w:rPr>
          <w:color w:val="1F1F1E"/>
          <w:sz w:val="20"/>
        </w:rPr>
        <w:t>in</w:t>
      </w:r>
      <w:r>
        <w:rPr>
          <w:color w:val="1F1F1E"/>
          <w:spacing w:val="-8"/>
          <w:sz w:val="20"/>
        </w:rPr>
        <w:t> </w:t>
      </w:r>
      <w:r>
        <w:rPr>
          <w:color w:val="1F1F1E"/>
          <w:sz w:val="20"/>
        </w:rPr>
        <w:t>Uganda</w:t>
      </w:r>
      <w:r>
        <w:rPr>
          <w:color w:val="1F1F1E"/>
          <w:spacing w:val="-11"/>
          <w:sz w:val="20"/>
        </w:rPr>
        <w:t> </w:t>
      </w:r>
      <w:r>
        <w:rPr>
          <w:color w:val="1F1F1E"/>
          <w:sz w:val="20"/>
        </w:rPr>
        <w:t>and</w:t>
      </w:r>
      <w:r>
        <w:rPr>
          <w:color w:val="1F1F1E"/>
          <w:spacing w:val="-8"/>
          <w:sz w:val="20"/>
        </w:rPr>
        <w:t> </w:t>
      </w:r>
      <w:r>
        <w:rPr>
          <w:color w:val="1F1F1E"/>
          <w:sz w:val="20"/>
        </w:rPr>
        <w:t>Bunia.</w:t>
      </w:r>
      <w:r>
        <w:rPr>
          <w:color w:val="1F1F1E"/>
          <w:spacing w:val="-6"/>
          <w:sz w:val="20"/>
        </w:rPr>
        <w:t> </w:t>
      </w:r>
      <w:r>
        <w:rPr>
          <w:color w:val="1F1F1E"/>
          <w:sz w:val="20"/>
        </w:rPr>
        <w:t>Furthermore,</w:t>
      </w:r>
      <w:r>
        <w:rPr>
          <w:color w:val="1F1F1E"/>
          <w:spacing w:val="-5"/>
          <w:sz w:val="20"/>
        </w:rPr>
        <w:t> </w:t>
      </w:r>
      <w:r>
        <w:rPr>
          <w:color w:val="1F1F1E"/>
          <w:sz w:val="20"/>
        </w:rPr>
        <w:t>the</w:t>
      </w:r>
      <w:r>
        <w:rPr>
          <w:color w:val="1F1F1E"/>
          <w:spacing w:val="-7"/>
          <w:sz w:val="20"/>
        </w:rPr>
        <w:t> </w:t>
      </w:r>
      <w:r>
        <w:rPr>
          <w:color w:val="1F1F1E"/>
          <w:sz w:val="20"/>
        </w:rPr>
        <w:t>Registry is required to provide protection and/or support to an increased number of witnesses, in particular</w:t>
      </w:r>
      <w:r>
        <w:rPr>
          <w:color w:val="1F1F1E"/>
          <w:spacing w:val="-7"/>
          <w:sz w:val="20"/>
        </w:rPr>
        <w:t> </w:t>
      </w:r>
      <w:r>
        <w:rPr>
          <w:color w:val="1F1F1E"/>
          <w:sz w:val="20"/>
        </w:rPr>
        <w:t>in</w:t>
      </w:r>
      <w:r>
        <w:rPr>
          <w:color w:val="1F1F1E"/>
          <w:spacing w:val="-7"/>
          <w:sz w:val="20"/>
        </w:rPr>
        <w:t> </w:t>
      </w:r>
      <w:r>
        <w:rPr>
          <w:color w:val="1F1F1E"/>
          <w:sz w:val="20"/>
        </w:rPr>
        <w:t>relation</w:t>
      </w:r>
      <w:r>
        <w:rPr>
          <w:color w:val="1F1F1E"/>
          <w:spacing w:val="-7"/>
          <w:sz w:val="20"/>
        </w:rPr>
        <w:t> </w:t>
      </w:r>
      <w:r>
        <w:rPr>
          <w:color w:val="1F1F1E"/>
          <w:sz w:val="20"/>
        </w:rPr>
        <w:t>to</w:t>
      </w:r>
      <w:r>
        <w:rPr>
          <w:color w:val="1F1F1E"/>
          <w:spacing w:val="-7"/>
          <w:sz w:val="20"/>
        </w:rPr>
        <w:t> </w:t>
      </w:r>
      <w:r>
        <w:rPr>
          <w:color w:val="1F1F1E"/>
          <w:sz w:val="20"/>
        </w:rPr>
        <w:t>new</w:t>
      </w:r>
      <w:r>
        <w:rPr>
          <w:color w:val="1F1F1E"/>
          <w:spacing w:val="-9"/>
          <w:sz w:val="20"/>
        </w:rPr>
        <w:t> </w:t>
      </w:r>
      <w:r>
        <w:rPr>
          <w:color w:val="1F1F1E"/>
          <w:sz w:val="20"/>
        </w:rPr>
        <w:t>referrals</w:t>
      </w:r>
      <w:r>
        <w:rPr>
          <w:color w:val="1F1F1E"/>
          <w:spacing w:val="-4"/>
          <w:sz w:val="20"/>
        </w:rPr>
        <w:t> </w:t>
      </w:r>
      <w:r>
        <w:rPr>
          <w:color w:val="1F1F1E"/>
          <w:sz w:val="20"/>
        </w:rPr>
        <w:t>for</w:t>
      </w:r>
      <w:r>
        <w:rPr>
          <w:color w:val="1F1F1E"/>
          <w:spacing w:val="-3"/>
          <w:sz w:val="20"/>
        </w:rPr>
        <w:t> </w:t>
      </w:r>
      <w:r>
        <w:rPr>
          <w:color w:val="1F1F1E"/>
          <w:sz w:val="20"/>
        </w:rPr>
        <w:t>witness</w:t>
      </w:r>
      <w:r>
        <w:rPr>
          <w:color w:val="1F1F1E"/>
          <w:spacing w:val="-4"/>
          <w:sz w:val="20"/>
        </w:rPr>
        <w:t> </w:t>
      </w:r>
      <w:r>
        <w:rPr>
          <w:color w:val="1F1F1E"/>
          <w:sz w:val="20"/>
        </w:rPr>
        <w:t>protection</w:t>
      </w:r>
      <w:r>
        <w:rPr>
          <w:color w:val="1F1F1E"/>
          <w:spacing w:val="-7"/>
          <w:sz w:val="20"/>
        </w:rPr>
        <w:t> </w:t>
      </w:r>
      <w:r>
        <w:rPr>
          <w:color w:val="1F1F1E"/>
          <w:sz w:val="20"/>
        </w:rPr>
        <w:t>in</w:t>
      </w:r>
      <w:r>
        <w:rPr>
          <w:color w:val="1F1F1E"/>
          <w:spacing w:val="-7"/>
          <w:sz w:val="20"/>
        </w:rPr>
        <w:t> </w:t>
      </w:r>
      <w:r>
        <w:rPr>
          <w:color w:val="1F1F1E"/>
          <w:sz w:val="20"/>
        </w:rPr>
        <w:t>the</w:t>
      </w:r>
      <w:r>
        <w:rPr>
          <w:color w:val="1F1F1E"/>
          <w:spacing w:val="-6"/>
          <w:sz w:val="20"/>
        </w:rPr>
        <w:t> </w:t>
      </w:r>
      <w:r>
        <w:rPr>
          <w:color w:val="1F1F1E"/>
          <w:sz w:val="20"/>
        </w:rPr>
        <w:t>situations</w:t>
      </w:r>
      <w:r>
        <w:rPr>
          <w:color w:val="1F1F1E"/>
          <w:spacing w:val="-9"/>
          <w:sz w:val="20"/>
        </w:rPr>
        <w:t> </w:t>
      </w:r>
      <w:r>
        <w:rPr>
          <w:color w:val="1F1F1E"/>
          <w:sz w:val="20"/>
        </w:rPr>
        <w:t>in</w:t>
      </w:r>
      <w:r>
        <w:rPr>
          <w:color w:val="1F1F1E"/>
          <w:spacing w:val="-3"/>
          <w:sz w:val="20"/>
        </w:rPr>
        <w:t> </w:t>
      </w:r>
      <w:r>
        <w:rPr>
          <w:color w:val="1F1F1E"/>
          <w:sz w:val="20"/>
        </w:rPr>
        <w:t>Sudan,</w:t>
      </w:r>
      <w:r>
        <w:rPr>
          <w:color w:val="1F1F1E"/>
          <w:spacing w:val="-5"/>
          <w:sz w:val="20"/>
        </w:rPr>
        <w:t> </w:t>
      </w:r>
      <w:r>
        <w:rPr>
          <w:color w:val="1F1F1E"/>
          <w:sz w:val="20"/>
        </w:rPr>
        <w:t>Libya, </w:t>
      </w:r>
      <w:r>
        <w:rPr>
          <w:sz w:val="20"/>
        </w:rPr>
        <w:t>Burundi,</w:t>
      </w:r>
      <w:r>
        <w:rPr>
          <w:spacing w:val="-7"/>
          <w:sz w:val="20"/>
        </w:rPr>
        <w:t> </w:t>
      </w:r>
      <w:r>
        <w:rPr>
          <w:color w:val="1F1F1E"/>
          <w:sz w:val="20"/>
        </w:rPr>
        <w:t>Afghanistan,</w:t>
      </w:r>
      <w:r>
        <w:rPr>
          <w:color w:val="1F1F1E"/>
          <w:spacing w:val="-8"/>
          <w:sz w:val="20"/>
        </w:rPr>
        <w:t> </w:t>
      </w:r>
      <w:r>
        <w:rPr>
          <w:color w:val="1F1F1E"/>
          <w:sz w:val="20"/>
        </w:rPr>
        <w:t>the</w:t>
      </w:r>
      <w:r>
        <w:rPr>
          <w:color w:val="1F1F1E"/>
          <w:spacing w:val="-9"/>
          <w:sz w:val="20"/>
        </w:rPr>
        <w:t> </w:t>
      </w:r>
      <w:r>
        <w:rPr>
          <w:color w:val="1F1F1E"/>
          <w:sz w:val="20"/>
        </w:rPr>
        <w:t>Philippines,</w:t>
      </w:r>
      <w:r>
        <w:rPr>
          <w:color w:val="1F1F1E"/>
          <w:spacing w:val="-5"/>
          <w:sz w:val="20"/>
        </w:rPr>
        <w:t> </w:t>
      </w:r>
      <w:r>
        <w:rPr>
          <w:color w:val="1F1F1E"/>
          <w:sz w:val="20"/>
        </w:rPr>
        <w:t>Bangladesh/Myanmar</w:t>
      </w:r>
      <w:r>
        <w:rPr>
          <w:color w:val="1F1F1E"/>
          <w:spacing w:val="-13"/>
          <w:sz w:val="20"/>
        </w:rPr>
        <w:t> </w:t>
      </w:r>
      <w:r>
        <w:rPr>
          <w:color w:val="1F1F1E"/>
          <w:sz w:val="20"/>
        </w:rPr>
        <w:t>and</w:t>
      </w:r>
      <w:r>
        <w:rPr>
          <w:color w:val="1F1F1E"/>
          <w:spacing w:val="-9"/>
          <w:sz w:val="20"/>
        </w:rPr>
        <w:t> </w:t>
      </w:r>
      <w:r>
        <w:rPr>
          <w:color w:val="1F1F1E"/>
          <w:sz w:val="20"/>
        </w:rPr>
        <w:t>Ukraine.</w:t>
      </w:r>
      <w:r>
        <w:rPr>
          <w:color w:val="1F1F1E"/>
          <w:spacing w:val="-13"/>
          <w:sz w:val="20"/>
        </w:rPr>
        <w:t> </w:t>
      </w:r>
      <w:r>
        <w:rPr>
          <w:color w:val="1F1F1E"/>
          <w:sz w:val="20"/>
        </w:rPr>
        <w:t>The</w:t>
      </w:r>
      <w:r>
        <w:rPr>
          <w:color w:val="1F1F1E"/>
          <w:spacing w:val="-8"/>
          <w:sz w:val="20"/>
        </w:rPr>
        <w:t> </w:t>
      </w:r>
      <w:r>
        <w:rPr>
          <w:color w:val="1F1F1E"/>
          <w:sz w:val="20"/>
        </w:rPr>
        <w:t>Registry</w:t>
      </w:r>
      <w:r>
        <w:rPr>
          <w:color w:val="1F1F1E"/>
          <w:spacing w:val="-10"/>
          <w:sz w:val="20"/>
        </w:rPr>
        <w:t> </w:t>
      </w:r>
      <w:r>
        <w:rPr>
          <w:color w:val="1F1F1E"/>
          <w:sz w:val="20"/>
        </w:rPr>
        <w:t>will also provide support for the ongoing reparations proceedings, including support to the TFV in the implementation of reparations.</w:t>
      </w:r>
    </w:p>
    <w:p>
      <w:pPr>
        <w:pStyle w:val="ListParagraph"/>
        <w:numPr>
          <w:ilvl w:val="0"/>
          <w:numId w:val="4"/>
        </w:numPr>
        <w:tabs>
          <w:tab w:pos="2967" w:val="left" w:leader="none"/>
        </w:tabs>
        <w:spacing w:line="240" w:lineRule="auto" w:before="123" w:after="0"/>
        <w:ind w:left="2246" w:right="2240" w:firstLine="0"/>
        <w:jc w:val="both"/>
        <w:rPr>
          <w:sz w:val="20"/>
        </w:rPr>
      </w:pPr>
      <w:r>
        <w:rPr>
          <w:color w:val="1F1F1E"/>
          <w:sz w:val="20"/>
        </w:rPr>
        <w:t>The TFV continues to implement Court-ordered reparations in 2023. The start of implementation in the </w:t>
      </w:r>
      <w:r>
        <w:rPr>
          <w:i/>
          <w:color w:val="1F1F1E"/>
          <w:sz w:val="20"/>
        </w:rPr>
        <w:t>Ongwen </w:t>
      </w:r>
      <w:r>
        <w:rPr>
          <w:color w:val="1F1F1E"/>
          <w:sz w:val="20"/>
        </w:rPr>
        <w:t>case is subject to the Trial Chamber issuing an order for reparations.</w:t>
      </w:r>
      <w:r>
        <w:rPr>
          <w:color w:val="1F1F1E"/>
          <w:spacing w:val="-9"/>
          <w:sz w:val="20"/>
        </w:rPr>
        <w:t> </w:t>
      </w:r>
      <w:r>
        <w:rPr>
          <w:color w:val="1F1F1E"/>
          <w:sz w:val="20"/>
        </w:rPr>
        <w:t>The</w:t>
      </w:r>
      <w:r>
        <w:rPr>
          <w:color w:val="1F1F1E"/>
          <w:spacing w:val="-12"/>
          <w:sz w:val="20"/>
        </w:rPr>
        <w:t> </w:t>
      </w:r>
      <w:r>
        <w:rPr>
          <w:color w:val="1F1F1E"/>
          <w:sz w:val="20"/>
        </w:rPr>
        <w:t>TFV</w:t>
      </w:r>
      <w:r>
        <w:rPr>
          <w:color w:val="1F1F1E"/>
          <w:spacing w:val="-11"/>
          <w:sz w:val="20"/>
        </w:rPr>
        <w:t> </w:t>
      </w:r>
      <w:r>
        <w:rPr>
          <w:color w:val="1F1F1E"/>
          <w:sz w:val="20"/>
        </w:rPr>
        <w:t>situation-related</w:t>
      </w:r>
      <w:r>
        <w:rPr>
          <w:color w:val="1F1F1E"/>
          <w:spacing w:val="-13"/>
          <w:sz w:val="20"/>
        </w:rPr>
        <w:t> </w:t>
      </w:r>
      <w:r>
        <w:rPr>
          <w:color w:val="1F1F1E"/>
          <w:sz w:val="20"/>
        </w:rPr>
        <w:t>rehabilitation</w:t>
      </w:r>
      <w:r>
        <w:rPr>
          <w:color w:val="1F1F1E"/>
          <w:spacing w:val="-9"/>
          <w:sz w:val="20"/>
        </w:rPr>
        <w:t> </w:t>
      </w:r>
      <w:r>
        <w:rPr>
          <w:color w:val="1F1F1E"/>
          <w:sz w:val="20"/>
        </w:rPr>
        <w:t>programmes</w:t>
      </w:r>
      <w:r>
        <w:rPr>
          <w:color w:val="1F1F1E"/>
          <w:spacing w:val="-11"/>
          <w:sz w:val="20"/>
        </w:rPr>
        <w:t> </w:t>
      </w:r>
      <w:r>
        <w:rPr>
          <w:color w:val="1F1F1E"/>
          <w:sz w:val="20"/>
        </w:rPr>
        <w:t>will</w:t>
      </w:r>
      <w:r>
        <w:rPr>
          <w:color w:val="1F1F1E"/>
          <w:spacing w:val="-13"/>
          <w:sz w:val="20"/>
        </w:rPr>
        <w:t> </w:t>
      </w:r>
      <w:r>
        <w:rPr>
          <w:color w:val="1F1F1E"/>
          <w:sz w:val="20"/>
        </w:rPr>
        <w:t>be</w:t>
      </w:r>
      <w:r>
        <w:rPr>
          <w:color w:val="1F1F1E"/>
          <w:spacing w:val="-8"/>
          <w:sz w:val="20"/>
        </w:rPr>
        <w:t> </w:t>
      </w:r>
      <w:r>
        <w:rPr>
          <w:color w:val="1F1F1E"/>
          <w:sz w:val="20"/>
        </w:rPr>
        <w:t>carried</w:t>
      </w:r>
      <w:r>
        <w:rPr>
          <w:color w:val="1F1F1E"/>
          <w:spacing w:val="-13"/>
          <w:sz w:val="20"/>
        </w:rPr>
        <w:t> </w:t>
      </w:r>
      <w:r>
        <w:rPr>
          <w:color w:val="1F1F1E"/>
          <w:sz w:val="20"/>
        </w:rPr>
        <w:t>out</w:t>
      </w:r>
      <w:r>
        <w:rPr>
          <w:color w:val="1F1F1E"/>
          <w:spacing w:val="-12"/>
          <w:sz w:val="20"/>
        </w:rPr>
        <w:t> </w:t>
      </w:r>
      <w:r>
        <w:rPr>
          <w:color w:val="1F1F1E"/>
          <w:sz w:val="20"/>
        </w:rPr>
        <w:t>in</w:t>
      </w:r>
      <w:r>
        <w:rPr>
          <w:color w:val="1F1F1E"/>
          <w:spacing w:val="-13"/>
          <w:sz w:val="20"/>
        </w:rPr>
        <w:t> </w:t>
      </w:r>
      <w:r>
        <w:rPr>
          <w:color w:val="1F1F1E"/>
          <w:sz w:val="20"/>
        </w:rPr>
        <w:t>seven situation countries in 2023 to redress</w:t>
      </w:r>
      <w:r>
        <w:rPr>
          <w:color w:val="1F1F1E"/>
          <w:spacing w:val="-1"/>
          <w:sz w:val="20"/>
        </w:rPr>
        <w:t> </w:t>
      </w:r>
      <w:r>
        <w:rPr>
          <w:color w:val="1F1F1E"/>
          <w:sz w:val="20"/>
        </w:rPr>
        <w:t>the harm of victims, including in the Court’s situation countries where prosecutions ended without convictions. In 2023, the TFV will focus on raising</w:t>
      </w:r>
      <w:r>
        <w:rPr>
          <w:color w:val="1F1F1E"/>
          <w:spacing w:val="-10"/>
          <w:sz w:val="20"/>
        </w:rPr>
        <w:t> </w:t>
      </w:r>
      <w:r>
        <w:rPr>
          <w:color w:val="1F1F1E"/>
          <w:sz w:val="20"/>
        </w:rPr>
        <w:t>awareness</w:t>
      </w:r>
      <w:r>
        <w:rPr>
          <w:color w:val="1F1F1E"/>
          <w:spacing w:val="-10"/>
          <w:sz w:val="20"/>
        </w:rPr>
        <w:t> </w:t>
      </w:r>
      <w:r>
        <w:rPr>
          <w:color w:val="1F1F1E"/>
          <w:sz w:val="20"/>
        </w:rPr>
        <w:t>of</w:t>
      </w:r>
      <w:r>
        <w:rPr>
          <w:color w:val="1F1F1E"/>
          <w:spacing w:val="-13"/>
          <w:sz w:val="20"/>
        </w:rPr>
        <w:t> </w:t>
      </w:r>
      <w:r>
        <w:rPr>
          <w:color w:val="1F1F1E"/>
          <w:sz w:val="20"/>
        </w:rPr>
        <w:t>its</w:t>
      </w:r>
      <w:r>
        <w:rPr>
          <w:color w:val="1F1F1E"/>
          <w:spacing w:val="-10"/>
          <w:sz w:val="20"/>
        </w:rPr>
        <w:t> </w:t>
      </w:r>
      <w:r>
        <w:rPr>
          <w:color w:val="1F1F1E"/>
          <w:sz w:val="20"/>
        </w:rPr>
        <w:t>activities</w:t>
      </w:r>
      <w:r>
        <w:rPr>
          <w:color w:val="1F1F1E"/>
          <w:spacing w:val="-10"/>
          <w:sz w:val="20"/>
        </w:rPr>
        <w:t> </w:t>
      </w:r>
      <w:r>
        <w:rPr>
          <w:color w:val="1F1F1E"/>
          <w:sz w:val="20"/>
        </w:rPr>
        <w:t>and</w:t>
      </w:r>
      <w:r>
        <w:rPr>
          <w:color w:val="1F1F1E"/>
          <w:spacing w:val="-8"/>
          <w:sz w:val="20"/>
        </w:rPr>
        <w:t> </w:t>
      </w:r>
      <w:r>
        <w:rPr>
          <w:color w:val="1F1F1E"/>
          <w:sz w:val="20"/>
        </w:rPr>
        <w:t>results,</w:t>
      </w:r>
      <w:r>
        <w:rPr>
          <w:color w:val="1F1F1E"/>
          <w:spacing w:val="-11"/>
          <w:sz w:val="20"/>
        </w:rPr>
        <w:t> </w:t>
      </w:r>
      <w:r>
        <w:rPr>
          <w:color w:val="1F1F1E"/>
          <w:sz w:val="20"/>
        </w:rPr>
        <w:t>and</w:t>
      </w:r>
      <w:r>
        <w:rPr>
          <w:color w:val="1F1F1E"/>
          <w:spacing w:val="-13"/>
          <w:sz w:val="20"/>
        </w:rPr>
        <w:t> </w:t>
      </w:r>
      <w:r>
        <w:rPr>
          <w:color w:val="1F1F1E"/>
          <w:sz w:val="20"/>
        </w:rPr>
        <w:t>strengthening</w:t>
      </w:r>
      <w:r>
        <w:rPr>
          <w:color w:val="1F1F1E"/>
          <w:spacing w:val="-8"/>
          <w:sz w:val="20"/>
        </w:rPr>
        <w:t> </w:t>
      </w:r>
      <w:r>
        <w:rPr>
          <w:color w:val="1F1F1E"/>
          <w:sz w:val="20"/>
        </w:rPr>
        <w:t>its</w:t>
      </w:r>
      <w:r>
        <w:rPr>
          <w:color w:val="1F1F1E"/>
          <w:spacing w:val="-13"/>
          <w:sz w:val="20"/>
        </w:rPr>
        <w:t> </w:t>
      </w:r>
      <w:r>
        <w:rPr>
          <w:color w:val="1F1F1E"/>
          <w:sz w:val="20"/>
        </w:rPr>
        <w:t>expertise</w:t>
      </w:r>
      <w:r>
        <w:rPr>
          <w:color w:val="1F1F1E"/>
          <w:spacing w:val="-7"/>
          <w:sz w:val="20"/>
        </w:rPr>
        <w:t> </w:t>
      </w:r>
      <w:r>
        <w:rPr>
          <w:color w:val="1F1F1E"/>
          <w:sz w:val="20"/>
        </w:rPr>
        <w:t>in</w:t>
      </w:r>
      <w:r>
        <w:rPr>
          <w:color w:val="1F1F1E"/>
          <w:spacing w:val="-8"/>
          <w:sz w:val="20"/>
        </w:rPr>
        <w:t> </w:t>
      </w:r>
      <w:r>
        <w:rPr>
          <w:color w:val="1F1F1E"/>
          <w:sz w:val="20"/>
        </w:rPr>
        <w:t>implementing reparations with a view of sharpening its profile to increase revenue. In addition, particular focus will be placed on</w:t>
      </w:r>
      <w:r>
        <w:rPr>
          <w:color w:val="1F1F1E"/>
          <w:spacing w:val="-1"/>
          <w:sz w:val="20"/>
        </w:rPr>
        <w:t> </w:t>
      </w:r>
      <w:r>
        <w:rPr>
          <w:color w:val="1F1F1E"/>
          <w:sz w:val="20"/>
        </w:rPr>
        <w:t>the acquisition</w:t>
      </w:r>
      <w:r>
        <w:rPr>
          <w:color w:val="1F1F1E"/>
          <w:spacing w:val="-1"/>
          <w:sz w:val="20"/>
        </w:rPr>
        <w:t> </w:t>
      </w:r>
      <w:r>
        <w:rPr>
          <w:color w:val="1F1F1E"/>
          <w:sz w:val="20"/>
        </w:rPr>
        <w:t>processes</w:t>
      </w:r>
      <w:r>
        <w:rPr>
          <w:color w:val="1F1F1E"/>
          <w:spacing w:val="-2"/>
          <w:sz w:val="20"/>
        </w:rPr>
        <w:t> </w:t>
      </w:r>
      <w:r>
        <w:rPr>
          <w:color w:val="1F1F1E"/>
          <w:sz w:val="20"/>
        </w:rPr>
        <w:t>leading</w:t>
      </w:r>
      <w:r>
        <w:rPr>
          <w:color w:val="1F1F1E"/>
          <w:spacing w:val="-1"/>
          <w:sz w:val="20"/>
        </w:rPr>
        <w:t> </w:t>
      </w:r>
      <w:r>
        <w:rPr>
          <w:color w:val="1F1F1E"/>
          <w:sz w:val="20"/>
        </w:rPr>
        <w:t>to</w:t>
      </w:r>
      <w:r>
        <w:rPr>
          <w:color w:val="1F1F1E"/>
          <w:spacing w:val="-6"/>
          <w:sz w:val="20"/>
        </w:rPr>
        <w:t> </w:t>
      </w:r>
      <w:r>
        <w:rPr>
          <w:color w:val="1F1F1E"/>
          <w:sz w:val="20"/>
        </w:rPr>
        <w:t>multi-annual donor</w:t>
      </w:r>
      <w:r>
        <w:rPr>
          <w:color w:val="1F1F1E"/>
          <w:spacing w:val="-1"/>
          <w:sz w:val="20"/>
        </w:rPr>
        <w:t> </w:t>
      </w:r>
      <w:r>
        <w:rPr>
          <w:color w:val="1F1F1E"/>
          <w:sz w:val="20"/>
        </w:rPr>
        <w:t>agreements.</w:t>
      </w:r>
    </w:p>
    <w:p>
      <w:pPr>
        <w:pStyle w:val="BodyText"/>
        <w:spacing w:before="9"/>
      </w:pPr>
    </w:p>
    <w:p>
      <w:pPr>
        <w:pStyle w:val="Heading3"/>
        <w:numPr>
          <w:ilvl w:val="2"/>
          <w:numId w:val="3"/>
        </w:numPr>
        <w:tabs>
          <w:tab w:pos="2246" w:val="left" w:leader="none"/>
          <w:tab w:pos="2247" w:val="left" w:leader="none"/>
        </w:tabs>
        <w:spacing w:line="240" w:lineRule="auto" w:before="0" w:after="0"/>
        <w:ind w:left="2246" w:right="0" w:hanging="568"/>
        <w:jc w:val="left"/>
      </w:pPr>
      <w:r>
        <w:rPr/>
        <w:t>Increases</w:t>
      </w:r>
      <w:r>
        <w:rPr>
          <w:spacing w:val="-2"/>
        </w:rPr>
        <w:t> </w:t>
      </w:r>
      <w:r>
        <w:rPr/>
        <w:t>as</w:t>
      </w:r>
      <w:r>
        <w:rPr>
          <w:spacing w:val="-6"/>
        </w:rPr>
        <w:t> </w:t>
      </w:r>
      <w:r>
        <w:rPr/>
        <w:t>a</w:t>
      </w:r>
      <w:r>
        <w:rPr>
          <w:spacing w:val="-6"/>
        </w:rPr>
        <w:t> </w:t>
      </w:r>
      <w:r>
        <w:rPr/>
        <w:t>result</w:t>
      </w:r>
      <w:r>
        <w:rPr>
          <w:spacing w:val="-5"/>
        </w:rPr>
        <w:t> </w:t>
      </w:r>
      <w:r>
        <w:rPr/>
        <w:t>of</w:t>
      </w:r>
      <w:r>
        <w:rPr>
          <w:spacing w:val="-5"/>
        </w:rPr>
        <w:t> </w:t>
      </w:r>
      <w:r>
        <w:rPr/>
        <w:t>other</w:t>
      </w:r>
      <w:r>
        <w:rPr>
          <w:spacing w:val="-3"/>
        </w:rPr>
        <w:t> </w:t>
      </w:r>
      <w:r>
        <w:rPr>
          <w:spacing w:val="-2"/>
        </w:rPr>
        <w:t>requirements</w:t>
      </w:r>
    </w:p>
    <w:p>
      <w:pPr>
        <w:pStyle w:val="BodyText"/>
        <w:spacing w:before="11"/>
        <w:rPr>
          <w:b/>
        </w:rPr>
      </w:pPr>
    </w:p>
    <w:p>
      <w:pPr>
        <w:pStyle w:val="ListParagraph"/>
        <w:numPr>
          <w:ilvl w:val="0"/>
          <w:numId w:val="4"/>
        </w:numPr>
        <w:tabs>
          <w:tab w:pos="2967" w:val="left" w:leader="none"/>
        </w:tabs>
        <w:spacing w:line="240" w:lineRule="auto" w:before="0" w:after="0"/>
        <w:ind w:left="2246" w:right="2239" w:firstLine="0"/>
        <w:jc w:val="both"/>
        <w:rPr>
          <w:sz w:val="20"/>
        </w:rPr>
      </w:pPr>
      <w:r>
        <w:rPr>
          <w:sz w:val="20"/>
        </w:rPr>
        <w:t>The Court’s Major Programmes do not operate in isolation and some Court-wide budgetary elements also have an impact on the level of resources required per Programme. In</w:t>
      </w:r>
      <w:r>
        <w:rPr>
          <w:spacing w:val="-8"/>
          <w:sz w:val="20"/>
        </w:rPr>
        <w:t> </w:t>
      </w:r>
      <w:r>
        <w:rPr>
          <w:sz w:val="20"/>
        </w:rPr>
        <w:t>addition</w:t>
      </w:r>
      <w:r>
        <w:rPr>
          <w:spacing w:val="-8"/>
          <w:sz w:val="20"/>
        </w:rPr>
        <w:t> </w:t>
      </w:r>
      <w:r>
        <w:rPr>
          <w:sz w:val="20"/>
        </w:rPr>
        <w:t>to</w:t>
      </w:r>
      <w:r>
        <w:rPr>
          <w:spacing w:val="-13"/>
          <w:sz w:val="20"/>
        </w:rPr>
        <w:t> </w:t>
      </w:r>
      <w:r>
        <w:rPr>
          <w:sz w:val="20"/>
        </w:rPr>
        <w:t>the</w:t>
      </w:r>
      <w:r>
        <w:rPr>
          <w:spacing w:val="-10"/>
          <w:sz w:val="20"/>
        </w:rPr>
        <w:t> </w:t>
      </w:r>
      <w:r>
        <w:rPr>
          <w:sz w:val="20"/>
        </w:rPr>
        <w:t>anticipated</w:t>
      </w:r>
      <w:r>
        <w:rPr>
          <w:spacing w:val="-13"/>
          <w:sz w:val="20"/>
        </w:rPr>
        <w:t> </w:t>
      </w:r>
      <w:r>
        <w:rPr>
          <w:sz w:val="20"/>
        </w:rPr>
        <w:t>increase</w:t>
      </w:r>
      <w:r>
        <w:rPr>
          <w:spacing w:val="-7"/>
          <w:sz w:val="20"/>
        </w:rPr>
        <w:t> </w:t>
      </w:r>
      <w:r>
        <w:rPr>
          <w:sz w:val="20"/>
        </w:rPr>
        <w:t>in</w:t>
      </w:r>
      <w:r>
        <w:rPr>
          <w:spacing w:val="-13"/>
          <w:sz w:val="20"/>
        </w:rPr>
        <w:t> </w:t>
      </w:r>
      <w:r>
        <w:rPr>
          <w:sz w:val="20"/>
        </w:rPr>
        <w:t>judicial</w:t>
      </w:r>
      <w:r>
        <w:rPr>
          <w:spacing w:val="-11"/>
          <w:sz w:val="20"/>
        </w:rPr>
        <w:t> </w:t>
      </w:r>
      <w:r>
        <w:rPr>
          <w:sz w:val="20"/>
        </w:rPr>
        <w:t>and</w:t>
      </w:r>
      <w:r>
        <w:rPr>
          <w:spacing w:val="-13"/>
          <w:sz w:val="20"/>
        </w:rPr>
        <w:t> </w:t>
      </w:r>
      <w:r>
        <w:rPr>
          <w:sz w:val="20"/>
        </w:rPr>
        <w:t>investigative</w:t>
      </w:r>
      <w:r>
        <w:rPr>
          <w:spacing w:val="-7"/>
          <w:sz w:val="20"/>
        </w:rPr>
        <w:t> </w:t>
      </w:r>
      <w:r>
        <w:rPr>
          <w:sz w:val="20"/>
        </w:rPr>
        <w:t>activities,</w:t>
      </w:r>
      <w:r>
        <w:rPr>
          <w:spacing w:val="-6"/>
          <w:sz w:val="20"/>
        </w:rPr>
        <w:t> </w:t>
      </w:r>
      <w:r>
        <w:rPr>
          <w:sz w:val="20"/>
        </w:rPr>
        <w:t>the </w:t>
      </w:r>
      <w:r>
        <w:rPr>
          <w:b/>
          <w:sz w:val="20"/>
        </w:rPr>
        <w:t>inflationary pressures </w:t>
      </w:r>
      <w:r>
        <w:rPr>
          <w:sz w:val="20"/>
        </w:rPr>
        <w:t>faced worldwide mean that the increase is needed with a view to the recovery of capacity to sustain operations. In particular, unavoidable worldwide inflationary pressures have resulted in increases in the price indices for goods, utilities and services for which the Registry is the Court-wide service provider and has contracts in place. Similarly, increases in United Nations Common System entitlements have resulted in additional </w:t>
      </w:r>
      <w:r>
        <w:rPr>
          <w:b/>
          <w:sz w:val="20"/>
        </w:rPr>
        <w:t>staff costs </w:t>
      </w:r>
      <w:r>
        <w:rPr>
          <w:sz w:val="20"/>
        </w:rPr>
        <w:t>for the Court in the last years.</w:t>
      </w:r>
    </w:p>
    <w:p>
      <w:pPr>
        <w:pStyle w:val="ListParagraph"/>
        <w:numPr>
          <w:ilvl w:val="0"/>
          <w:numId w:val="4"/>
        </w:numPr>
        <w:tabs>
          <w:tab w:pos="2967" w:val="left" w:leader="none"/>
        </w:tabs>
        <w:spacing w:line="240" w:lineRule="auto" w:before="124" w:after="0"/>
        <w:ind w:left="2246" w:right="2238" w:firstLine="0"/>
        <w:jc w:val="both"/>
        <w:rPr>
          <w:sz w:val="20"/>
        </w:rPr>
      </w:pPr>
      <w:r>
        <w:rPr>
          <w:sz w:val="20"/>
        </w:rPr>
        <w:t>The</w:t>
      </w:r>
      <w:r>
        <w:rPr>
          <w:spacing w:val="40"/>
          <w:sz w:val="20"/>
        </w:rPr>
        <w:t> </w:t>
      </w:r>
      <w:r>
        <w:rPr>
          <w:sz w:val="20"/>
        </w:rPr>
        <w:t>Court</w:t>
      </w:r>
      <w:r>
        <w:rPr>
          <w:spacing w:val="40"/>
          <w:sz w:val="20"/>
        </w:rPr>
        <w:t> </w:t>
      </w:r>
      <w:r>
        <w:rPr>
          <w:sz w:val="20"/>
        </w:rPr>
        <w:t>presented</w:t>
      </w:r>
      <w:r>
        <w:rPr>
          <w:spacing w:val="40"/>
          <w:sz w:val="20"/>
        </w:rPr>
        <w:t> </w:t>
      </w:r>
      <w:r>
        <w:rPr>
          <w:sz w:val="20"/>
        </w:rPr>
        <w:t>medium-term</w:t>
      </w:r>
      <w:r>
        <w:rPr>
          <w:spacing w:val="40"/>
          <w:sz w:val="20"/>
        </w:rPr>
        <w:t> </w:t>
      </w:r>
      <w:r>
        <w:rPr>
          <w:sz w:val="20"/>
        </w:rPr>
        <w:t>and</w:t>
      </w:r>
      <w:r>
        <w:rPr>
          <w:spacing w:val="40"/>
          <w:sz w:val="20"/>
        </w:rPr>
        <w:t> </w:t>
      </w:r>
      <w:r>
        <w:rPr>
          <w:sz w:val="20"/>
        </w:rPr>
        <w:t>long-term</w:t>
      </w:r>
      <w:r>
        <w:rPr>
          <w:spacing w:val="40"/>
          <w:sz w:val="20"/>
        </w:rPr>
        <w:t> </w:t>
      </w:r>
      <w:r>
        <w:rPr>
          <w:b/>
          <w:sz w:val="20"/>
        </w:rPr>
        <w:t>capital</w:t>
      </w:r>
      <w:r>
        <w:rPr>
          <w:b/>
          <w:spacing w:val="40"/>
          <w:sz w:val="20"/>
        </w:rPr>
        <w:t> </w:t>
      </w:r>
      <w:r>
        <w:rPr>
          <w:b/>
          <w:sz w:val="20"/>
        </w:rPr>
        <w:t>replacement</w:t>
      </w:r>
      <w:r>
        <w:rPr>
          <w:b/>
          <w:spacing w:val="40"/>
          <w:sz w:val="20"/>
        </w:rPr>
        <w:t> </w:t>
      </w:r>
      <w:r>
        <w:rPr>
          <w:sz w:val="20"/>
        </w:rPr>
        <w:t>plans</w:t>
      </w:r>
      <w:r>
        <w:rPr>
          <w:spacing w:val="40"/>
          <w:sz w:val="20"/>
        </w:rPr>
        <w:t> </w:t>
      </w:r>
      <w:r>
        <w:rPr>
          <w:sz w:val="20"/>
        </w:rPr>
        <w:t>in 2021.</w:t>
      </w:r>
      <w:r>
        <w:rPr>
          <w:spacing w:val="-1"/>
          <w:sz w:val="20"/>
        </w:rPr>
        <w:t> </w:t>
      </w:r>
      <w:r>
        <w:rPr>
          <w:sz w:val="20"/>
        </w:rPr>
        <w:t>After</w:t>
      </w:r>
      <w:r>
        <w:rPr>
          <w:spacing w:val="-4"/>
          <w:sz w:val="20"/>
        </w:rPr>
        <w:t> </w:t>
      </w:r>
      <w:r>
        <w:rPr>
          <w:sz w:val="20"/>
        </w:rPr>
        <w:t>review</w:t>
      </w:r>
      <w:r>
        <w:rPr>
          <w:spacing w:val="-5"/>
          <w:sz w:val="20"/>
        </w:rPr>
        <w:t> </w:t>
      </w:r>
      <w:r>
        <w:rPr>
          <w:sz w:val="20"/>
        </w:rPr>
        <w:t>by</w:t>
      </w:r>
      <w:r>
        <w:rPr>
          <w:spacing w:val="-4"/>
          <w:sz w:val="20"/>
        </w:rPr>
        <w:t> </w:t>
      </w:r>
      <w:r>
        <w:rPr>
          <w:sz w:val="20"/>
        </w:rPr>
        <w:t>the</w:t>
      </w:r>
      <w:r>
        <w:rPr>
          <w:spacing w:val="-2"/>
          <w:sz w:val="20"/>
        </w:rPr>
        <w:t> </w:t>
      </w:r>
      <w:r>
        <w:rPr>
          <w:sz w:val="20"/>
        </w:rPr>
        <w:t>Committee,</w:t>
      </w:r>
      <w:r>
        <w:rPr>
          <w:spacing w:val="-1"/>
          <w:sz w:val="20"/>
        </w:rPr>
        <w:t> </w:t>
      </w:r>
      <w:r>
        <w:rPr>
          <w:sz w:val="20"/>
        </w:rPr>
        <w:t>it</w:t>
      </w:r>
      <w:r>
        <w:rPr>
          <w:spacing w:val="-2"/>
          <w:sz w:val="20"/>
        </w:rPr>
        <w:t> </w:t>
      </w:r>
      <w:r>
        <w:rPr>
          <w:sz w:val="20"/>
        </w:rPr>
        <w:t>recommended</w:t>
      </w:r>
      <w:r>
        <w:rPr>
          <w:spacing w:val="-4"/>
          <w:sz w:val="20"/>
        </w:rPr>
        <w:t> </w:t>
      </w:r>
      <w:r>
        <w:rPr>
          <w:sz w:val="20"/>
        </w:rPr>
        <w:t>that</w:t>
      </w:r>
      <w:r>
        <w:rPr>
          <w:spacing w:val="-2"/>
          <w:sz w:val="20"/>
        </w:rPr>
        <w:t> </w:t>
      </w:r>
      <w:r>
        <w:rPr>
          <w:sz w:val="20"/>
        </w:rPr>
        <w:t>they</w:t>
      </w:r>
      <w:r>
        <w:rPr>
          <w:spacing w:val="-4"/>
          <w:sz w:val="20"/>
        </w:rPr>
        <w:t> </w:t>
      </w:r>
      <w:r>
        <w:rPr>
          <w:sz w:val="20"/>
        </w:rPr>
        <w:t>be</w:t>
      </w:r>
      <w:r>
        <w:rPr>
          <w:spacing w:val="-2"/>
          <w:sz w:val="20"/>
        </w:rPr>
        <w:t> </w:t>
      </w:r>
      <w:r>
        <w:rPr>
          <w:sz w:val="20"/>
        </w:rPr>
        <w:t>reassessed</w:t>
      </w:r>
      <w:r>
        <w:rPr>
          <w:spacing w:val="-4"/>
          <w:sz w:val="20"/>
        </w:rPr>
        <w:t> </w:t>
      </w:r>
      <w:r>
        <w:rPr>
          <w:sz w:val="20"/>
        </w:rPr>
        <w:t>in</w:t>
      </w:r>
      <w:r>
        <w:rPr>
          <w:spacing w:val="-8"/>
          <w:sz w:val="20"/>
        </w:rPr>
        <w:t> </w:t>
      </w:r>
      <w:r>
        <w:rPr>
          <w:sz w:val="20"/>
        </w:rPr>
        <w:t>the</w:t>
      </w:r>
      <w:r>
        <w:rPr>
          <w:spacing w:val="-7"/>
          <w:sz w:val="20"/>
        </w:rPr>
        <w:t> </w:t>
      </w:r>
      <w:r>
        <w:rPr>
          <w:sz w:val="20"/>
        </w:rPr>
        <w:t>light of budgetary appropriations for 2021, taking into account the need to minimize operational risks for the Court and giving priority to maintenance over replacement whenever economically sensible. For 2022, the Court updated the plan reflecting the minimum, but necessary</w:t>
      </w:r>
      <w:r>
        <w:rPr>
          <w:spacing w:val="-3"/>
          <w:sz w:val="20"/>
        </w:rPr>
        <w:t> </w:t>
      </w:r>
      <w:r>
        <w:rPr>
          <w:sz w:val="20"/>
        </w:rPr>
        <w:t>investments. Taking</w:t>
      </w:r>
      <w:r>
        <w:rPr>
          <w:spacing w:val="-3"/>
          <w:sz w:val="20"/>
        </w:rPr>
        <w:t> </w:t>
      </w:r>
      <w:r>
        <w:rPr>
          <w:sz w:val="20"/>
        </w:rPr>
        <w:t>into</w:t>
      </w:r>
      <w:r>
        <w:rPr>
          <w:spacing w:val="-3"/>
          <w:sz w:val="20"/>
        </w:rPr>
        <w:t> </w:t>
      </w:r>
      <w:r>
        <w:rPr>
          <w:sz w:val="20"/>
        </w:rPr>
        <w:t>consideration</w:t>
      </w:r>
      <w:r>
        <w:rPr>
          <w:spacing w:val="-3"/>
          <w:sz w:val="20"/>
        </w:rPr>
        <w:t> </w:t>
      </w:r>
      <w:r>
        <w:rPr>
          <w:sz w:val="20"/>
        </w:rPr>
        <w:t>inflation, a</w:t>
      </w:r>
      <w:r>
        <w:rPr>
          <w:spacing w:val="-1"/>
          <w:sz w:val="20"/>
        </w:rPr>
        <w:t> </w:t>
      </w:r>
      <w:r>
        <w:rPr>
          <w:sz w:val="20"/>
        </w:rPr>
        <w:t>similar</w:t>
      </w:r>
      <w:r>
        <w:rPr>
          <w:spacing w:val="-3"/>
          <w:sz w:val="20"/>
        </w:rPr>
        <w:t> </w:t>
      </w:r>
      <w:r>
        <w:rPr>
          <w:sz w:val="20"/>
        </w:rPr>
        <w:t>plan has been prepared for the 2023 Proposed Programme Budget in compliance with States’ request to focus on minimum necessary investments.</w:t>
      </w:r>
    </w:p>
    <w:p>
      <w:pPr>
        <w:pStyle w:val="ListParagraph"/>
        <w:numPr>
          <w:ilvl w:val="0"/>
          <w:numId w:val="4"/>
        </w:numPr>
        <w:tabs>
          <w:tab w:pos="2967" w:val="left" w:leader="none"/>
        </w:tabs>
        <w:spacing w:line="240" w:lineRule="auto" w:before="119" w:after="0"/>
        <w:ind w:left="2246" w:right="2241" w:firstLine="0"/>
        <w:jc w:val="both"/>
        <w:rPr>
          <w:sz w:val="20"/>
        </w:rPr>
      </w:pPr>
      <w:r>
        <w:rPr>
          <w:sz w:val="20"/>
        </w:rPr>
        <w:t>Investments</w:t>
      </w:r>
      <w:r>
        <w:rPr>
          <w:spacing w:val="-1"/>
          <w:sz w:val="20"/>
        </w:rPr>
        <w:t> </w:t>
      </w:r>
      <w:r>
        <w:rPr>
          <w:sz w:val="20"/>
        </w:rPr>
        <w:t>in</w:t>
      </w:r>
      <w:r>
        <w:rPr>
          <w:spacing w:val="-3"/>
          <w:sz w:val="20"/>
        </w:rPr>
        <w:t> </w:t>
      </w:r>
      <w:r>
        <w:rPr>
          <w:b/>
          <w:sz w:val="20"/>
        </w:rPr>
        <w:t>technology improvement </w:t>
      </w:r>
      <w:r>
        <w:rPr>
          <w:sz w:val="20"/>
        </w:rPr>
        <w:t>projects</w:t>
      </w:r>
      <w:r>
        <w:rPr>
          <w:spacing w:val="-1"/>
          <w:sz w:val="20"/>
        </w:rPr>
        <w:t> </w:t>
      </w:r>
      <w:r>
        <w:rPr>
          <w:sz w:val="20"/>
        </w:rPr>
        <w:t>were</w:t>
      </w:r>
      <w:r>
        <w:rPr>
          <w:spacing w:val="-3"/>
          <w:sz w:val="20"/>
        </w:rPr>
        <w:t> </w:t>
      </w:r>
      <w:r>
        <w:rPr>
          <w:sz w:val="20"/>
        </w:rPr>
        <w:t>limited in</w:t>
      </w:r>
      <w:r>
        <w:rPr>
          <w:spacing w:val="-5"/>
          <w:sz w:val="20"/>
        </w:rPr>
        <w:t> </w:t>
      </w:r>
      <w:r>
        <w:rPr>
          <w:sz w:val="20"/>
        </w:rPr>
        <w:t>2022</w:t>
      </w:r>
      <w:r>
        <w:rPr>
          <w:spacing w:val="-5"/>
          <w:sz w:val="20"/>
        </w:rPr>
        <w:t> </w:t>
      </w:r>
      <w:r>
        <w:rPr>
          <w:sz w:val="20"/>
        </w:rPr>
        <w:t>because of the end of the five-year cycle of the previous IT/IM strategy and because the Court’s requested</w:t>
      </w:r>
      <w:r>
        <w:rPr>
          <w:spacing w:val="-13"/>
          <w:sz w:val="20"/>
        </w:rPr>
        <w:t> </w:t>
      </w:r>
      <w:r>
        <w:rPr>
          <w:sz w:val="20"/>
        </w:rPr>
        <w:t>capital</w:t>
      </w:r>
      <w:r>
        <w:rPr>
          <w:spacing w:val="-12"/>
          <w:sz w:val="20"/>
        </w:rPr>
        <w:t> </w:t>
      </w:r>
      <w:r>
        <w:rPr>
          <w:sz w:val="20"/>
        </w:rPr>
        <w:t>replacements</w:t>
      </w:r>
      <w:r>
        <w:rPr>
          <w:spacing w:val="-13"/>
          <w:sz w:val="20"/>
        </w:rPr>
        <w:t> </w:t>
      </w:r>
      <w:r>
        <w:rPr>
          <w:sz w:val="20"/>
        </w:rPr>
        <w:t>for</w:t>
      </w:r>
      <w:r>
        <w:rPr>
          <w:spacing w:val="-12"/>
          <w:sz w:val="20"/>
        </w:rPr>
        <w:t> </w:t>
      </w:r>
      <w:r>
        <w:rPr>
          <w:sz w:val="20"/>
        </w:rPr>
        <w:t>IT</w:t>
      </w:r>
      <w:r>
        <w:rPr>
          <w:spacing w:val="-13"/>
          <w:sz w:val="20"/>
        </w:rPr>
        <w:t> </w:t>
      </w:r>
      <w:r>
        <w:rPr>
          <w:sz w:val="20"/>
        </w:rPr>
        <w:t>infrastructure</w:t>
      </w:r>
      <w:r>
        <w:rPr>
          <w:spacing w:val="-12"/>
          <w:sz w:val="20"/>
        </w:rPr>
        <w:t> </w:t>
      </w:r>
      <w:r>
        <w:rPr>
          <w:sz w:val="20"/>
        </w:rPr>
        <w:t>in</w:t>
      </w:r>
      <w:r>
        <w:rPr>
          <w:spacing w:val="-13"/>
          <w:sz w:val="20"/>
        </w:rPr>
        <w:t> </w:t>
      </w:r>
      <w:r>
        <w:rPr>
          <w:sz w:val="20"/>
        </w:rPr>
        <w:t>the</w:t>
      </w:r>
      <w:r>
        <w:rPr>
          <w:spacing w:val="-12"/>
          <w:sz w:val="20"/>
        </w:rPr>
        <w:t> </w:t>
      </w:r>
      <w:r>
        <w:rPr>
          <w:sz w:val="20"/>
        </w:rPr>
        <w:t>courtroom,</w:t>
      </w:r>
      <w:r>
        <w:rPr>
          <w:spacing w:val="-13"/>
          <w:sz w:val="20"/>
        </w:rPr>
        <w:t> </w:t>
      </w:r>
      <w:r>
        <w:rPr>
          <w:sz w:val="20"/>
        </w:rPr>
        <w:t>data</w:t>
      </w:r>
      <w:r>
        <w:rPr>
          <w:spacing w:val="-12"/>
          <w:sz w:val="20"/>
        </w:rPr>
        <w:t> </w:t>
      </w:r>
      <w:r>
        <w:rPr>
          <w:sz w:val="20"/>
        </w:rPr>
        <w:t>centre</w:t>
      </w:r>
      <w:r>
        <w:rPr>
          <w:spacing w:val="-13"/>
          <w:sz w:val="20"/>
        </w:rPr>
        <w:t> </w:t>
      </w:r>
      <w:r>
        <w:rPr>
          <w:sz w:val="20"/>
        </w:rPr>
        <w:t>and</w:t>
      </w:r>
      <w:r>
        <w:rPr>
          <w:spacing w:val="-12"/>
          <w:sz w:val="20"/>
        </w:rPr>
        <w:t> </w:t>
      </w:r>
      <w:r>
        <w:rPr>
          <w:sz w:val="20"/>
        </w:rPr>
        <w:t>network were not made. In 2023, the Court will require funding for the 2022 unfunded capital replacements</w:t>
      </w:r>
      <w:r>
        <w:rPr>
          <w:spacing w:val="-10"/>
          <w:sz w:val="20"/>
        </w:rPr>
        <w:t> </w:t>
      </w:r>
      <w:r>
        <w:rPr>
          <w:sz w:val="20"/>
        </w:rPr>
        <w:t>and</w:t>
      </w:r>
      <w:r>
        <w:rPr>
          <w:spacing w:val="-5"/>
          <w:sz w:val="20"/>
        </w:rPr>
        <w:t> </w:t>
      </w:r>
      <w:r>
        <w:rPr>
          <w:sz w:val="20"/>
        </w:rPr>
        <w:t>the</w:t>
      </w:r>
      <w:r>
        <w:rPr>
          <w:spacing w:val="-3"/>
          <w:sz w:val="20"/>
        </w:rPr>
        <w:t> </w:t>
      </w:r>
      <w:r>
        <w:rPr>
          <w:sz w:val="20"/>
        </w:rPr>
        <w:t>projected</w:t>
      </w:r>
      <w:r>
        <w:rPr>
          <w:spacing w:val="-5"/>
          <w:sz w:val="20"/>
        </w:rPr>
        <w:t> </w:t>
      </w:r>
      <w:r>
        <w:rPr>
          <w:sz w:val="20"/>
        </w:rPr>
        <w:t>2023</w:t>
      </w:r>
      <w:r>
        <w:rPr>
          <w:spacing w:val="-5"/>
          <w:sz w:val="20"/>
        </w:rPr>
        <w:t> </w:t>
      </w:r>
      <w:r>
        <w:rPr>
          <w:sz w:val="20"/>
        </w:rPr>
        <w:t>capital</w:t>
      </w:r>
      <w:r>
        <w:rPr>
          <w:spacing w:val="-3"/>
          <w:sz w:val="20"/>
        </w:rPr>
        <w:t> </w:t>
      </w:r>
      <w:r>
        <w:rPr>
          <w:sz w:val="20"/>
        </w:rPr>
        <w:t>replacements</w:t>
      </w:r>
      <w:r>
        <w:rPr>
          <w:spacing w:val="-6"/>
          <w:sz w:val="20"/>
        </w:rPr>
        <w:t> </w:t>
      </w:r>
      <w:r>
        <w:rPr>
          <w:sz w:val="20"/>
        </w:rPr>
        <w:t>for</w:t>
      </w:r>
      <w:r>
        <w:rPr>
          <w:spacing w:val="-5"/>
          <w:sz w:val="20"/>
        </w:rPr>
        <w:t> </w:t>
      </w:r>
      <w:r>
        <w:rPr>
          <w:sz w:val="20"/>
        </w:rPr>
        <w:t>the</w:t>
      </w:r>
      <w:r>
        <w:rPr>
          <w:spacing w:val="-8"/>
          <w:sz w:val="20"/>
        </w:rPr>
        <w:t> </w:t>
      </w:r>
      <w:r>
        <w:rPr>
          <w:sz w:val="20"/>
        </w:rPr>
        <w:t>courtroom,</w:t>
      </w:r>
      <w:r>
        <w:rPr>
          <w:spacing w:val="-2"/>
          <w:sz w:val="20"/>
        </w:rPr>
        <w:t> </w:t>
      </w:r>
      <w:r>
        <w:rPr>
          <w:sz w:val="20"/>
        </w:rPr>
        <w:t>data</w:t>
      </w:r>
      <w:r>
        <w:rPr>
          <w:spacing w:val="-3"/>
          <w:sz w:val="20"/>
        </w:rPr>
        <w:t> </w:t>
      </w:r>
      <w:r>
        <w:rPr>
          <w:sz w:val="20"/>
        </w:rPr>
        <w:t>centre</w:t>
      </w:r>
      <w:r>
        <w:rPr>
          <w:spacing w:val="-3"/>
          <w:sz w:val="20"/>
        </w:rPr>
        <w:t> </w:t>
      </w:r>
      <w:r>
        <w:rPr>
          <w:sz w:val="20"/>
        </w:rPr>
        <w:t>and</w:t>
      </w:r>
    </w:p>
    <w:p>
      <w:pPr>
        <w:spacing w:after="0" w:line="240" w:lineRule="auto"/>
        <w:jc w:val="both"/>
        <w:rPr>
          <w:sz w:val="20"/>
        </w:rPr>
        <w:sectPr>
          <w:pgSz w:w="11910" w:h="16840"/>
          <w:pgMar w:header="957" w:footer="940" w:top="1140" w:bottom="1140" w:left="20" w:right="20"/>
        </w:sectPr>
      </w:pPr>
    </w:p>
    <w:p>
      <w:pPr>
        <w:pStyle w:val="BodyText"/>
        <w:spacing w:before="124"/>
        <w:ind w:left="2246" w:right="2246"/>
        <w:jc w:val="both"/>
      </w:pPr>
      <w:r>
        <w:rPr/>
        <w:t>network</w:t>
      </w:r>
      <w:r>
        <w:rPr>
          <w:spacing w:val="-3"/>
        </w:rPr>
        <w:t> </w:t>
      </w:r>
      <w:r>
        <w:rPr/>
        <w:t>–</w:t>
      </w:r>
      <w:r>
        <w:rPr>
          <w:spacing w:val="-4"/>
        </w:rPr>
        <w:t> </w:t>
      </w:r>
      <w:r>
        <w:rPr/>
        <w:t>all essential</w:t>
      </w:r>
      <w:r>
        <w:rPr>
          <w:spacing w:val="-3"/>
        </w:rPr>
        <w:t> </w:t>
      </w:r>
      <w:r>
        <w:rPr/>
        <w:t>to</w:t>
      </w:r>
      <w:r>
        <w:rPr>
          <w:spacing w:val="-5"/>
        </w:rPr>
        <w:t> </w:t>
      </w:r>
      <w:r>
        <w:rPr/>
        <w:t>the Court’s</w:t>
      </w:r>
      <w:r>
        <w:rPr>
          <w:spacing w:val="-1"/>
        </w:rPr>
        <w:t> </w:t>
      </w:r>
      <w:r>
        <w:rPr/>
        <w:t>daily operations.</w:t>
      </w:r>
      <w:r>
        <w:rPr>
          <w:spacing w:val="-2"/>
        </w:rPr>
        <w:t> </w:t>
      </w:r>
      <w:r>
        <w:rPr/>
        <w:t>The Court’s</w:t>
      </w:r>
      <w:r>
        <w:rPr>
          <w:spacing w:val="-1"/>
        </w:rPr>
        <w:t> </w:t>
      </w:r>
      <w:r>
        <w:rPr/>
        <w:t>next</w:t>
      </w:r>
      <w:r>
        <w:rPr>
          <w:spacing w:val="-3"/>
        </w:rPr>
        <w:t> </w:t>
      </w:r>
      <w:r>
        <w:rPr/>
        <w:t>IT/IM</w:t>
      </w:r>
      <w:r>
        <w:rPr>
          <w:spacing w:val="-1"/>
        </w:rPr>
        <w:t> </w:t>
      </w:r>
      <w:r>
        <w:rPr/>
        <w:t>Strategy will run</w:t>
      </w:r>
      <w:r>
        <w:rPr>
          <w:spacing w:val="-13"/>
        </w:rPr>
        <w:t> </w:t>
      </w:r>
      <w:r>
        <w:rPr/>
        <w:t>from</w:t>
      </w:r>
      <w:r>
        <w:rPr>
          <w:spacing w:val="-12"/>
        </w:rPr>
        <w:t> </w:t>
      </w:r>
      <w:r>
        <w:rPr/>
        <w:t>2023</w:t>
      </w:r>
      <w:r>
        <w:rPr>
          <w:spacing w:val="-13"/>
        </w:rPr>
        <w:t> </w:t>
      </w:r>
      <w:r>
        <w:rPr/>
        <w:t>–</w:t>
      </w:r>
      <w:r>
        <w:rPr>
          <w:spacing w:val="-12"/>
        </w:rPr>
        <w:t> </w:t>
      </w:r>
      <w:r>
        <w:rPr/>
        <w:t>2025,</w:t>
      </w:r>
      <w:r>
        <w:rPr>
          <w:spacing w:val="-13"/>
        </w:rPr>
        <w:t> </w:t>
      </w:r>
      <w:r>
        <w:rPr/>
        <w:t>supporting</w:t>
      </w:r>
      <w:r>
        <w:rPr>
          <w:spacing w:val="-12"/>
        </w:rPr>
        <w:t> </w:t>
      </w:r>
      <w:r>
        <w:rPr/>
        <w:t>the</w:t>
      </w:r>
      <w:r>
        <w:rPr>
          <w:spacing w:val="-13"/>
        </w:rPr>
        <w:t> </w:t>
      </w:r>
      <w:r>
        <w:rPr/>
        <w:t>Court’s</w:t>
      </w:r>
      <w:r>
        <w:rPr>
          <w:spacing w:val="-12"/>
        </w:rPr>
        <w:t> </w:t>
      </w:r>
      <w:r>
        <w:rPr/>
        <w:t>overall</w:t>
      </w:r>
      <w:r>
        <w:rPr>
          <w:spacing w:val="-13"/>
        </w:rPr>
        <w:t> </w:t>
      </w:r>
      <w:r>
        <w:rPr/>
        <w:t>strategy</w:t>
      </w:r>
      <w:r>
        <w:rPr>
          <w:spacing w:val="-12"/>
        </w:rPr>
        <w:t> </w:t>
      </w:r>
      <w:r>
        <w:rPr/>
        <w:t>with</w:t>
      </w:r>
      <w:r>
        <w:rPr>
          <w:spacing w:val="-13"/>
        </w:rPr>
        <w:t> </w:t>
      </w:r>
      <w:r>
        <w:rPr/>
        <w:t>key</w:t>
      </w:r>
      <w:r>
        <w:rPr>
          <w:spacing w:val="-12"/>
        </w:rPr>
        <w:t> </w:t>
      </w:r>
      <w:r>
        <w:rPr/>
        <w:t>focus</w:t>
      </w:r>
      <w:r>
        <w:rPr>
          <w:spacing w:val="-13"/>
        </w:rPr>
        <w:t> </w:t>
      </w:r>
      <w:r>
        <w:rPr/>
        <w:t>areas</w:t>
      </w:r>
      <w:r>
        <w:rPr>
          <w:spacing w:val="-12"/>
        </w:rPr>
        <w:t> </w:t>
      </w:r>
      <w:r>
        <w:rPr/>
        <w:t>on</w:t>
      </w:r>
      <w:r>
        <w:rPr>
          <w:spacing w:val="-13"/>
        </w:rPr>
        <w:t> </w:t>
      </w:r>
      <w:r>
        <w:rPr/>
        <w:t>judicial technologies, consolidating and optimizing IT infrastructure and services, transitioning the Court to leverage cloud-based technologies, and enhancing related information security capabilities.</w:t>
      </w:r>
      <w:r>
        <w:rPr>
          <w:spacing w:val="-2"/>
        </w:rPr>
        <w:t> </w:t>
      </w:r>
      <w:r>
        <w:rPr/>
        <w:t>The operational</w:t>
      </w:r>
      <w:r>
        <w:rPr>
          <w:spacing w:val="-3"/>
        </w:rPr>
        <w:t> </w:t>
      </w:r>
      <w:r>
        <w:rPr/>
        <w:t>costs</w:t>
      </w:r>
      <w:r>
        <w:rPr>
          <w:spacing w:val="-6"/>
        </w:rPr>
        <w:t> </w:t>
      </w:r>
      <w:r>
        <w:rPr/>
        <w:t>and</w:t>
      </w:r>
      <w:r>
        <w:rPr>
          <w:spacing w:val="-5"/>
        </w:rPr>
        <w:t> </w:t>
      </w:r>
      <w:r>
        <w:rPr/>
        <w:t>strategic</w:t>
      </w:r>
      <w:r>
        <w:rPr>
          <w:spacing w:val="-3"/>
        </w:rPr>
        <w:t> </w:t>
      </w:r>
      <w:r>
        <w:rPr/>
        <w:t>capital</w:t>
      </w:r>
      <w:r>
        <w:rPr>
          <w:spacing w:val="-3"/>
        </w:rPr>
        <w:t> </w:t>
      </w:r>
      <w:r>
        <w:rPr/>
        <w:t>investments</w:t>
      </w:r>
      <w:r>
        <w:rPr>
          <w:spacing w:val="-1"/>
        </w:rPr>
        <w:t> </w:t>
      </w:r>
      <w:r>
        <w:rPr/>
        <w:t>will</w:t>
      </w:r>
      <w:r>
        <w:rPr>
          <w:spacing w:val="-3"/>
        </w:rPr>
        <w:t> </w:t>
      </w:r>
      <w:r>
        <w:rPr/>
        <w:t>be</w:t>
      </w:r>
      <w:r>
        <w:rPr>
          <w:spacing w:val="-3"/>
        </w:rPr>
        <w:t> </w:t>
      </w:r>
      <w:r>
        <w:rPr/>
        <w:t>requested</w:t>
      </w:r>
      <w:r>
        <w:rPr>
          <w:spacing w:val="-5"/>
        </w:rPr>
        <w:t> </w:t>
      </w:r>
      <w:r>
        <w:rPr/>
        <w:t>during the annual budget proposal. Further details are provided in Annex IX.</w:t>
      </w:r>
    </w:p>
    <w:p>
      <w:pPr>
        <w:pStyle w:val="BodyText"/>
        <w:spacing w:before="3"/>
        <w:rPr>
          <w:sz w:val="21"/>
        </w:rPr>
      </w:pPr>
    </w:p>
    <w:p>
      <w:pPr>
        <w:pStyle w:val="Heading2"/>
        <w:numPr>
          <w:ilvl w:val="1"/>
          <w:numId w:val="3"/>
        </w:numPr>
        <w:tabs>
          <w:tab w:pos="2246" w:val="left" w:leader="none"/>
          <w:tab w:pos="2247" w:val="left" w:leader="none"/>
        </w:tabs>
        <w:spacing w:line="240" w:lineRule="auto" w:before="0" w:after="0"/>
        <w:ind w:left="2246" w:right="0" w:hanging="568"/>
        <w:jc w:val="left"/>
      </w:pPr>
      <w:bookmarkStart w:name="_bookmark7" w:id="8"/>
      <w:bookmarkEnd w:id="8"/>
      <w:r>
        <w:rPr/>
        <w:t>Ove</w:t>
      </w:r>
      <w:r>
        <w:rPr/>
        <w:t>rview</w:t>
      </w:r>
      <w:r>
        <w:rPr>
          <w:spacing w:val="-4"/>
        </w:rPr>
        <w:t> </w:t>
      </w:r>
      <w:r>
        <w:rPr/>
        <w:t>of</w:t>
      </w:r>
      <w:r>
        <w:rPr>
          <w:spacing w:val="-2"/>
        </w:rPr>
        <w:t> </w:t>
      </w:r>
      <w:r>
        <w:rPr/>
        <w:t>the</w:t>
      </w:r>
      <w:r>
        <w:rPr>
          <w:spacing w:val="-8"/>
        </w:rPr>
        <w:t> </w:t>
      </w:r>
      <w:r>
        <w:rPr/>
        <w:t>situations</w:t>
      </w:r>
      <w:r>
        <w:rPr>
          <w:spacing w:val="-5"/>
        </w:rPr>
        <w:t> </w:t>
      </w:r>
      <w:r>
        <w:rPr/>
        <w:t>and</w:t>
      </w:r>
      <w:r>
        <w:rPr>
          <w:spacing w:val="-6"/>
        </w:rPr>
        <w:t> </w:t>
      </w:r>
      <w:r>
        <w:rPr/>
        <w:t>cases</w:t>
      </w:r>
      <w:r>
        <w:rPr>
          <w:spacing w:val="-5"/>
        </w:rPr>
        <w:t> </w:t>
      </w:r>
      <w:r>
        <w:rPr/>
        <w:t>in</w:t>
      </w:r>
      <w:r>
        <w:rPr>
          <w:spacing w:val="-2"/>
        </w:rPr>
        <w:t> </w:t>
      </w:r>
      <w:r>
        <w:rPr>
          <w:spacing w:val="-4"/>
        </w:rPr>
        <w:t>2023</w:t>
      </w:r>
    </w:p>
    <w:p>
      <w:pPr>
        <w:pStyle w:val="BodyText"/>
        <w:spacing w:before="6"/>
        <w:rPr>
          <w:b/>
        </w:rPr>
      </w:pPr>
    </w:p>
    <w:p>
      <w:pPr>
        <w:spacing w:before="1"/>
        <w:ind w:left="2246" w:right="0" w:firstLine="0"/>
        <w:jc w:val="both"/>
        <w:rPr>
          <w:i/>
          <w:sz w:val="20"/>
        </w:rPr>
      </w:pPr>
      <w:r>
        <w:rPr>
          <w:i/>
          <w:sz w:val="20"/>
        </w:rPr>
        <w:t>Situation</w:t>
      </w:r>
      <w:r>
        <w:rPr>
          <w:i/>
          <w:spacing w:val="-6"/>
          <w:sz w:val="20"/>
        </w:rPr>
        <w:t> </w:t>
      </w:r>
      <w:r>
        <w:rPr>
          <w:i/>
          <w:sz w:val="20"/>
        </w:rPr>
        <w:t>in</w:t>
      </w:r>
      <w:r>
        <w:rPr>
          <w:i/>
          <w:spacing w:val="-6"/>
          <w:sz w:val="20"/>
        </w:rPr>
        <w:t> </w:t>
      </w:r>
      <w:r>
        <w:rPr>
          <w:i/>
          <w:sz w:val="20"/>
        </w:rPr>
        <w:t>the</w:t>
      </w:r>
      <w:r>
        <w:rPr>
          <w:i/>
          <w:spacing w:val="-4"/>
          <w:sz w:val="20"/>
        </w:rPr>
        <w:t> </w:t>
      </w:r>
      <w:r>
        <w:rPr>
          <w:i/>
          <w:sz w:val="20"/>
        </w:rPr>
        <w:t>Islamic</w:t>
      </w:r>
      <w:r>
        <w:rPr>
          <w:i/>
          <w:spacing w:val="-9"/>
          <w:sz w:val="20"/>
        </w:rPr>
        <w:t> </w:t>
      </w:r>
      <w:r>
        <w:rPr>
          <w:i/>
          <w:sz w:val="20"/>
        </w:rPr>
        <w:t>Republic</w:t>
      </w:r>
      <w:r>
        <w:rPr>
          <w:i/>
          <w:spacing w:val="-4"/>
          <w:sz w:val="20"/>
        </w:rPr>
        <w:t> </w:t>
      </w:r>
      <w:r>
        <w:rPr>
          <w:i/>
          <w:sz w:val="20"/>
        </w:rPr>
        <w:t>of</w:t>
      </w:r>
      <w:r>
        <w:rPr>
          <w:i/>
          <w:spacing w:val="-3"/>
          <w:sz w:val="20"/>
        </w:rPr>
        <w:t> </w:t>
      </w:r>
      <w:r>
        <w:rPr>
          <w:i/>
          <w:spacing w:val="-2"/>
          <w:sz w:val="20"/>
        </w:rPr>
        <w:t>Afghanistan</w:t>
      </w:r>
    </w:p>
    <w:p>
      <w:pPr>
        <w:pStyle w:val="BodyText"/>
        <w:spacing w:before="10"/>
        <w:rPr>
          <w:i/>
        </w:rPr>
      </w:pPr>
    </w:p>
    <w:p>
      <w:pPr>
        <w:pStyle w:val="ListParagraph"/>
        <w:numPr>
          <w:ilvl w:val="0"/>
          <w:numId w:val="4"/>
        </w:numPr>
        <w:tabs>
          <w:tab w:pos="2967" w:val="left" w:leader="none"/>
        </w:tabs>
        <w:spacing w:line="240" w:lineRule="auto" w:before="0" w:after="0"/>
        <w:ind w:left="2246" w:right="2244" w:firstLine="0"/>
        <w:jc w:val="both"/>
        <w:rPr>
          <w:sz w:val="20"/>
        </w:rPr>
      </w:pPr>
      <w:bookmarkStart w:name="_bookmark8" w:id="9"/>
      <w:bookmarkEnd w:id="9"/>
      <w:r>
        <w:rPr>
          <w:sz w:val="20"/>
        </w:rPr>
        <w:t>O</w:t>
      </w:r>
      <w:r>
        <w:rPr>
          <w:sz w:val="20"/>
        </w:rPr>
        <w:t>n</w:t>
      </w:r>
      <w:r>
        <w:rPr>
          <w:spacing w:val="-5"/>
          <w:sz w:val="20"/>
        </w:rPr>
        <w:t> </w:t>
      </w:r>
      <w:r>
        <w:rPr>
          <w:sz w:val="20"/>
        </w:rPr>
        <w:t>5</w:t>
      </w:r>
      <w:r>
        <w:rPr>
          <w:spacing w:val="-5"/>
          <w:sz w:val="20"/>
        </w:rPr>
        <w:t> </w:t>
      </w:r>
      <w:r>
        <w:rPr>
          <w:sz w:val="20"/>
        </w:rPr>
        <w:t>March</w:t>
      </w:r>
      <w:r>
        <w:rPr>
          <w:spacing w:val="-5"/>
          <w:sz w:val="20"/>
        </w:rPr>
        <w:t> </w:t>
      </w:r>
      <w:r>
        <w:rPr>
          <w:sz w:val="20"/>
        </w:rPr>
        <w:t>2020,</w:t>
      </w:r>
      <w:r>
        <w:rPr>
          <w:spacing w:val="-7"/>
          <w:sz w:val="20"/>
        </w:rPr>
        <w:t> </w:t>
      </w:r>
      <w:r>
        <w:rPr>
          <w:sz w:val="20"/>
        </w:rPr>
        <w:t>the</w:t>
      </w:r>
      <w:r>
        <w:rPr>
          <w:spacing w:val="-3"/>
          <w:sz w:val="20"/>
        </w:rPr>
        <w:t> </w:t>
      </w:r>
      <w:r>
        <w:rPr>
          <w:sz w:val="20"/>
        </w:rPr>
        <w:t>Appeals</w:t>
      </w:r>
      <w:r>
        <w:rPr>
          <w:spacing w:val="-11"/>
          <w:sz w:val="20"/>
        </w:rPr>
        <w:t> </w:t>
      </w:r>
      <w:r>
        <w:rPr>
          <w:sz w:val="20"/>
        </w:rPr>
        <w:t>Chamber</w:t>
      </w:r>
      <w:r>
        <w:rPr>
          <w:spacing w:val="-9"/>
          <w:sz w:val="20"/>
        </w:rPr>
        <w:t> </w:t>
      </w:r>
      <w:r>
        <w:rPr>
          <w:sz w:val="20"/>
        </w:rPr>
        <w:t>authorized</w:t>
      </w:r>
      <w:r>
        <w:rPr>
          <w:spacing w:val="-9"/>
          <w:sz w:val="20"/>
        </w:rPr>
        <w:t> </w:t>
      </w:r>
      <w:r>
        <w:rPr>
          <w:sz w:val="20"/>
        </w:rPr>
        <w:t>the</w:t>
      </w:r>
      <w:r>
        <w:rPr>
          <w:spacing w:val="-8"/>
          <w:sz w:val="20"/>
        </w:rPr>
        <w:t> </w:t>
      </w:r>
      <w:r>
        <w:rPr>
          <w:sz w:val="20"/>
        </w:rPr>
        <w:t>Prosecutor</w:t>
      </w:r>
      <w:r>
        <w:rPr>
          <w:spacing w:val="-9"/>
          <w:sz w:val="20"/>
        </w:rPr>
        <w:t> </w:t>
      </w:r>
      <w:r>
        <w:rPr>
          <w:sz w:val="20"/>
        </w:rPr>
        <w:t>to</w:t>
      </w:r>
      <w:r>
        <w:rPr>
          <w:spacing w:val="-9"/>
          <w:sz w:val="20"/>
        </w:rPr>
        <w:t> </w:t>
      </w:r>
      <w:r>
        <w:rPr>
          <w:sz w:val="20"/>
        </w:rPr>
        <w:t>commence</w:t>
      </w:r>
      <w:r>
        <w:rPr>
          <w:spacing w:val="-8"/>
          <w:sz w:val="20"/>
        </w:rPr>
        <w:t> </w:t>
      </w:r>
      <w:r>
        <w:rPr>
          <w:sz w:val="20"/>
        </w:rPr>
        <w:t>an investigation</w:t>
      </w:r>
      <w:r>
        <w:rPr>
          <w:spacing w:val="-13"/>
          <w:sz w:val="20"/>
        </w:rPr>
        <w:t> </w:t>
      </w:r>
      <w:r>
        <w:rPr>
          <w:sz w:val="20"/>
        </w:rPr>
        <w:t>into</w:t>
      </w:r>
      <w:r>
        <w:rPr>
          <w:spacing w:val="-12"/>
          <w:sz w:val="20"/>
        </w:rPr>
        <w:t> </w:t>
      </w:r>
      <w:r>
        <w:rPr>
          <w:sz w:val="20"/>
        </w:rPr>
        <w:t>alleged</w:t>
      </w:r>
      <w:r>
        <w:rPr>
          <w:spacing w:val="-13"/>
          <w:sz w:val="20"/>
        </w:rPr>
        <w:t> </w:t>
      </w:r>
      <w:r>
        <w:rPr>
          <w:sz w:val="20"/>
        </w:rPr>
        <w:t>crimes</w:t>
      </w:r>
      <w:r>
        <w:rPr>
          <w:spacing w:val="-12"/>
          <w:sz w:val="20"/>
        </w:rPr>
        <w:t> </w:t>
      </w:r>
      <w:r>
        <w:rPr>
          <w:sz w:val="20"/>
        </w:rPr>
        <w:t>under</w:t>
      </w:r>
      <w:r>
        <w:rPr>
          <w:spacing w:val="-13"/>
          <w:sz w:val="20"/>
        </w:rPr>
        <w:t> </w:t>
      </w:r>
      <w:r>
        <w:rPr>
          <w:sz w:val="20"/>
        </w:rPr>
        <w:t>the</w:t>
      </w:r>
      <w:r>
        <w:rPr>
          <w:spacing w:val="-12"/>
          <w:sz w:val="20"/>
        </w:rPr>
        <w:t> </w:t>
      </w:r>
      <w:r>
        <w:rPr>
          <w:sz w:val="20"/>
        </w:rPr>
        <w:t>jurisdiction</w:t>
      </w:r>
      <w:r>
        <w:rPr>
          <w:spacing w:val="-13"/>
          <w:sz w:val="20"/>
        </w:rPr>
        <w:t> </w:t>
      </w:r>
      <w:r>
        <w:rPr>
          <w:sz w:val="20"/>
        </w:rPr>
        <w:t>of</w:t>
      </w:r>
      <w:r>
        <w:rPr>
          <w:spacing w:val="-12"/>
          <w:sz w:val="20"/>
        </w:rPr>
        <w:t> </w:t>
      </w:r>
      <w:r>
        <w:rPr>
          <w:sz w:val="20"/>
        </w:rPr>
        <w:t>the</w:t>
      </w:r>
      <w:r>
        <w:rPr>
          <w:spacing w:val="-13"/>
          <w:sz w:val="20"/>
        </w:rPr>
        <w:t> </w:t>
      </w:r>
      <w:r>
        <w:rPr>
          <w:sz w:val="20"/>
        </w:rPr>
        <w:t>Court,</w:t>
      </w:r>
      <w:r>
        <w:rPr>
          <w:spacing w:val="-12"/>
          <w:sz w:val="20"/>
        </w:rPr>
        <w:t> </w:t>
      </w:r>
      <w:r>
        <w:rPr>
          <w:sz w:val="20"/>
        </w:rPr>
        <w:t>in</w:t>
      </w:r>
      <w:r>
        <w:rPr>
          <w:spacing w:val="-13"/>
          <w:sz w:val="20"/>
        </w:rPr>
        <w:t> </w:t>
      </w:r>
      <w:r>
        <w:rPr>
          <w:sz w:val="20"/>
        </w:rPr>
        <w:t>relation</w:t>
      </w:r>
      <w:r>
        <w:rPr>
          <w:spacing w:val="-12"/>
          <w:sz w:val="20"/>
        </w:rPr>
        <w:t> </w:t>
      </w:r>
      <w:r>
        <w:rPr>
          <w:sz w:val="20"/>
        </w:rPr>
        <w:t>to</w:t>
      </w:r>
      <w:r>
        <w:rPr>
          <w:spacing w:val="-13"/>
          <w:sz w:val="20"/>
        </w:rPr>
        <w:t> </w:t>
      </w:r>
      <w:r>
        <w:rPr>
          <w:sz w:val="20"/>
        </w:rPr>
        <w:t>the</w:t>
      </w:r>
      <w:r>
        <w:rPr>
          <w:spacing w:val="-12"/>
          <w:sz w:val="20"/>
        </w:rPr>
        <w:t> </w:t>
      </w:r>
      <w:r>
        <w:rPr>
          <w:sz w:val="20"/>
        </w:rPr>
        <w:t>situation in the Islamic Republic of Afghanistan.</w:t>
      </w:r>
    </w:p>
    <w:p>
      <w:pPr>
        <w:pStyle w:val="ListParagraph"/>
        <w:numPr>
          <w:ilvl w:val="0"/>
          <w:numId w:val="4"/>
        </w:numPr>
        <w:tabs>
          <w:tab w:pos="2967" w:val="left" w:leader="none"/>
        </w:tabs>
        <w:spacing w:line="240" w:lineRule="auto" w:before="122" w:after="0"/>
        <w:ind w:left="2246" w:right="2236" w:firstLine="0"/>
        <w:jc w:val="both"/>
        <w:rPr>
          <w:sz w:val="20"/>
        </w:rPr>
      </w:pPr>
      <w:r>
        <w:rPr>
          <w:sz w:val="20"/>
        </w:rPr>
        <w:t>On</w:t>
      </w:r>
      <w:r>
        <w:rPr>
          <w:spacing w:val="-13"/>
          <w:sz w:val="20"/>
        </w:rPr>
        <w:t> </w:t>
      </w:r>
      <w:r>
        <w:rPr>
          <w:sz w:val="20"/>
        </w:rPr>
        <w:t>27</w:t>
      </w:r>
      <w:r>
        <w:rPr>
          <w:spacing w:val="-12"/>
          <w:sz w:val="20"/>
        </w:rPr>
        <w:t> </w:t>
      </w:r>
      <w:r>
        <w:rPr>
          <w:sz w:val="20"/>
        </w:rPr>
        <w:t>September</w:t>
      </w:r>
      <w:r>
        <w:rPr>
          <w:spacing w:val="-13"/>
          <w:sz w:val="20"/>
        </w:rPr>
        <w:t> </w:t>
      </w:r>
      <w:r>
        <w:rPr>
          <w:sz w:val="20"/>
        </w:rPr>
        <w:t>2021,</w:t>
      </w:r>
      <w:r>
        <w:rPr>
          <w:spacing w:val="-12"/>
          <w:sz w:val="20"/>
        </w:rPr>
        <w:t> </w:t>
      </w:r>
      <w:r>
        <w:rPr>
          <w:sz w:val="20"/>
        </w:rPr>
        <w:t>following</w:t>
      </w:r>
      <w:r>
        <w:rPr>
          <w:spacing w:val="-13"/>
          <w:sz w:val="20"/>
        </w:rPr>
        <w:t> </w:t>
      </w:r>
      <w:r>
        <w:rPr>
          <w:sz w:val="20"/>
        </w:rPr>
        <w:t>the</w:t>
      </w:r>
      <w:r>
        <w:rPr>
          <w:spacing w:val="-12"/>
          <w:sz w:val="20"/>
        </w:rPr>
        <w:t> </w:t>
      </w:r>
      <w:r>
        <w:rPr>
          <w:i/>
          <w:sz w:val="20"/>
        </w:rPr>
        <w:t>de</w:t>
      </w:r>
      <w:r>
        <w:rPr>
          <w:i/>
          <w:spacing w:val="-13"/>
          <w:sz w:val="20"/>
        </w:rPr>
        <w:t> </w:t>
      </w:r>
      <w:r>
        <w:rPr>
          <w:i/>
          <w:sz w:val="20"/>
        </w:rPr>
        <w:t>facto</w:t>
      </w:r>
      <w:r>
        <w:rPr>
          <w:i/>
          <w:spacing w:val="-12"/>
          <w:sz w:val="20"/>
        </w:rPr>
        <w:t> </w:t>
      </w:r>
      <w:r>
        <w:rPr>
          <w:sz w:val="20"/>
        </w:rPr>
        <w:t>change</w:t>
      </w:r>
      <w:r>
        <w:rPr>
          <w:spacing w:val="-13"/>
          <w:sz w:val="20"/>
        </w:rPr>
        <w:t> </w:t>
      </w:r>
      <w:r>
        <w:rPr>
          <w:sz w:val="20"/>
        </w:rPr>
        <w:t>in</w:t>
      </w:r>
      <w:r>
        <w:rPr>
          <w:spacing w:val="-12"/>
          <w:sz w:val="20"/>
        </w:rPr>
        <w:t> </w:t>
      </w:r>
      <w:r>
        <w:rPr>
          <w:sz w:val="20"/>
        </w:rPr>
        <w:t>government,</w:t>
      </w:r>
      <w:r>
        <w:rPr>
          <w:spacing w:val="-13"/>
          <w:sz w:val="20"/>
        </w:rPr>
        <w:t> </w:t>
      </w:r>
      <w:r>
        <w:rPr>
          <w:sz w:val="20"/>
        </w:rPr>
        <w:t>the</w:t>
      </w:r>
      <w:r>
        <w:rPr>
          <w:spacing w:val="-12"/>
          <w:sz w:val="20"/>
        </w:rPr>
        <w:t> </w:t>
      </w:r>
      <w:r>
        <w:rPr>
          <w:sz w:val="20"/>
        </w:rPr>
        <w:t>Prosecutor filed an application in which he sought authorization from Pre-Trial Chamber II to resume the OTP’s investigation in the situation in Afghanistan, notwithstanding the former government’s</w:t>
      </w:r>
      <w:r>
        <w:rPr>
          <w:spacing w:val="-13"/>
          <w:sz w:val="20"/>
        </w:rPr>
        <w:t> </w:t>
      </w:r>
      <w:r>
        <w:rPr>
          <w:sz w:val="20"/>
        </w:rPr>
        <w:t>deferral</w:t>
      </w:r>
      <w:r>
        <w:rPr>
          <w:spacing w:val="-12"/>
          <w:sz w:val="20"/>
        </w:rPr>
        <w:t> </w:t>
      </w:r>
      <w:r>
        <w:rPr>
          <w:sz w:val="20"/>
        </w:rPr>
        <w:t>request</w:t>
      </w:r>
      <w:r>
        <w:rPr>
          <w:spacing w:val="-13"/>
          <w:sz w:val="20"/>
        </w:rPr>
        <w:t> </w:t>
      </w:r>
      <w:r>
        <w:rPr>
          <w:sz w:val="20"/>
        </w:rPr>
        <w:t>of</w:t>
      </w:r>
      <w:r>
        <w:rPr>
          <w:spacing w:val="-12"/>
          <w:sz w:val="20"/>
        </w:rPr>
        <w:t> </w:t>
      </w:r>
      <w:r>
        <w:rPr>
          <w:sz w:val="20"/>
        </w:rPr>
        <w:t>26</w:t>
      </w:r>
      <w:r>
        <w:rPr>
          <w:spacing w:val="-10"/>
          <w:sz w:val="20"/>
        </w:rPr>
        <w:t> </w:t>
      </w:r>
      <w:r>
        <w:rPr>
          <w:sz w:val="20"/>
        </w:rPr>
        <w:t>March</w:t>
      </w:r>
      <w:r>
        <w:rPr>
          <w:spacing w:val="-8"/>
          <w:sz w:val="20"/>
        </w:rPr>
        <w:t> </w:t>
      </w:r>
      <w:r>
        <w:rPr>
          <w:sz w:val="20"/>
        </w:rPr>
        <w:t>2020.</w:t>
      </w:r>
      <w:r>
        <w:rPr>
          <w:spacing w:val="-11"/>
          <w:sz w:val="20"/>
        </w:rPr>
        <w:t> </w:t>
      </w:r>
      <w:r>
        <w:rPr>
          <w:sz w:val="20"/>
        </w:rPr>
        <w:t>The</w:t>
      </w:r>
      <w:r>
        <w:rPr>
          <w:spacing w:val="-11"/>
          <w:sz w:val="20"/>
        </w:rPr>
        <w:t> </w:t>
      </w:r>
      <w:r>
        <w:rPr>
          <w:sz w:val="20"/>
        </w:rPr>
        <w:t>application</w:t>
      </w:r>
      <w:r>
        <w:rPr>
          <w:spacing w:val="-13"/>
          <w:sz w:val="20"/>
        </w:rPr>
        <w:t> </w:t>
      </w:r>
      <w:r>
        <w:rPr>
          <w:sz w:val="20"/>
        </w:rPr>
        <w:t>and</w:t>
      </w:r>
      <w:r>
        <w:rPr>
          <w:spacing w:val="-12"/>
          <w:sz w:val="20"/>
        </w:rPr>
        <w:t> </w:t>
      </w:r>
      <w:r>
        <w:rPr>
          <w:sz w:val="20"/>
        </w:rPr>
        <w:t>the</w:t>
      </w:r>
      <w:r>
        <w:rPr>
          <w:spacing w:val="-7"/>
          <w:sz w:val="20"/>
        </w:rPr>
        <w:t> </w:t>
      </w:r>
      <w:r>
        <w:rPr>
          <w:sz w:val="20"/>
        </w:rPr>
        <w:t>related</w:t>
      </w:r>
      <w:r>
        <w:rPr>
          <w:spacing w:val="-13"/>
          <w:sz w:val="20"/>
        </w:rPr>
        <w:t> </w:t>
      </w:r>
      <w:r>
        <w:rPr>
          <w:sz w:val="20"/>
        </w:rPr>
        <w:t>proceedings are currently pending before the Pre-Trial Chamber.</w:t>
      </w:r>
    </w:p>
    <w:p>
      <w:pPr>
        <w:pStyle w:val="ListParagraph"/>
        <w:numPr>
          <w:ilvl w:val="0"/>
          <w:numId w:val="4"/>
        </w:numPr>
        <w:tabs>
          <w:tab w:pos="2967" w:val="left" w:leader="none"/>
        </w:tabs>
        <w:spacing w:line="240" w:lineRule="auto" w:before="122" w:after="0"/>
        <w:ind w:left="2246" w:right="2240" w:firstLine="0"/>
        <w:jc w:val="both"/>
        <w:rPr>
          <w:sz w:val="20"/>
        </w:rPr>
      </w:pPr>
      <w:r>
        <w:rPr>
          <w:sz w:val="20"/>
        </w:rPr>
        <w:t>The OTP has continued to prepare the foundation for the commencement of investigative activities, if authorized by the Pre-Trial Chamber. This preparatory work includes the identification, analysis and management of risks, assessment of security and logistical issues, and where appropriate, preservation of evidence. The Prosecutor has confirmed</w:t>
      </w:r>
      <w:r>
        <w:rPr>
          <w:spacing w:val="-9"/>
          <w:sz w:val="20"/>
        </w:rPr>
        <w:t> </w:t>
      </w:r>
      <w:r>
        <w:rPr>
          <w:sz w:val="20"/>
        </w:rPr>
        <w:t>that,</w:t>
      </w:r>
      <w:r>
        <w:rPr>
          <w:spacing w:val="-8"/>
          <w:sz w:val="20"/>
        </w:rPr>
        <w:t> </w:t>
      </w:r>
      <w:r>
        <w:rPr>
          <w:sz w:val="20"/>
        </w:rPr>
        <w:t>if</w:t>
      </w:r>
      <w:r>
        <w:rPr>
          <w:spacing w:val="-9"/>
          <w:sz w:val="20"/>
        </w:rPr>
        <w:t> </w:t>
      </w:r>
      <w:r>
        <w:rPr>
          <w:sz w:val="20"/>
        </w:rPr>
        <w:t>authorization</w:t>
      </w:r>
      <w:r>
        <w:rPr>
          <w:spacing w:val="-9"/>
          <w:sz w:val="20"/>
        </w:rPr>
        <w:t> </w:t>
      </w:r>
      <w:r>
        <w:rPr>
          <w:sz w:val="20"/>
        </w:rPr>
        <w:t>is</w:t>
      </w:r>
      <w:r>
        <w:rPr>
          <w:spacing w:val="-11"/>
          <w:sz w:val="20"/>
        </w:rPr>
        <w:t> </w:t>
      </w:r>
      <w:r>
        <w:rPr>
          <w:sz w:val="20"/>
        </w:rPr>
        <w:t>granted,</w:t>
      </w:r>
      <w:r>
        <w:rPr>
          <w:spacing w:val="-8"/>
          <w:sz w:val="20"/>
        </w:rPr>
        <w:t> </w:t>
      </w:r>
      <w:r>
        <w:rPr>
          <w:sz w:val="20"/>
        </w:rPr>
        <w:t>taking</w:t>
      </w:r>
      <w:r>
        <w:rPr>
          <w:spacing w:val="-9"/>
          <w:sz w:val="20"/>
        </w:rPr>
        <w:t> </w:t>
      </w:r>
      <w:r>
        <w:rPr>
          <w:sz w:val="20"/>
        </w:rPr>
        <w:t>into</w:t>
      </w:r>
      <w:r>
        <w:rPr>
          <w:spacing w:val="-9"/>
          <w:sz w:val="20"/>
        </w:rPr>
        <w:t> </w:t>
      </w:r>
      <w:r>
        <w:rPr>
          <w:sz w:val="20"/>
        </w:rPr>
        <w:t>account</w:t>
      </w:r>
      <w:r>
        <w:rPr>
          <w:spacing w:val="-8"/>
          <w:sz w:val="20"/>
        </w:rPr>
        <w:t> </w:t>
      </w:r>
      <w:r>
        <w:rPr>
          <w:sz w:val="20"/>
        </w:rPr>
        <w:t>the</w:t>
      </w:r>
      <w:r>
        <w:rPr>
          <w:spacing w:val="-12"/>
          <w:sz w:val="20"/>
        </w:rPr>
        <w:t> </w:t>
      </w:r>
      <w:r>
        <w:rPr>
          <w:sz w:val="20"/>
        </w:rPr>
        <w:t>limited</w:t>
      </w:r>
      <w:r>
        <w:rPr>
          <w:spacing w:val="-9"/>
          <w:sz w:val="20"/>
        </w:rPr>
        <w:t> </w:t>
      </w:r>
      <w:r>
        <w:rPr>
          <w:sz w:val="20"/>
        </w:rPr>
        <w:t>resources</w:t>
      </w:r>
      <w:r>
        <w:rPr>
          <w:spacing w:val="-11"/>
          <w:sz w:val="20"/>
        </w:rPr>
        <w:t> </w:t>
      </w:r>
      <w:r>
        <w:rPr>
          <w:sz w:val="20"/>
        </w:rPr>
        <w:t>available to the OTP, as well as the relative gravity of the alleged crimes, the OTP will focus on the investigation of crimes allegedly committed by the Taliban and the Islamic State-Khorasan Province (“IS-K”).</w:t>
      </w:r>
    </w:p>
    <w:p>
      <w:pPr>
        <w:pStyle w:val="BodyText"/>
        <w:spacing w:before="9"/>
      </w:pPr>
    </w:p>
    <w:p>
      <w:pPr>
        <w:spacing w:before="0"/>
        <w:ind w:left="2246" w:right="0" w:firstLine="0"/>
        <w:jc w:val="both"/>
        <w:rPr>
          <w:i/>
          <w:sz w:val="20"/>
        </w:rPr>
      </w:pPr>
      <w:r>
        <w:rPr>
          <w:i/>
          <w:sz w:val="20"/>
        </w:rPr>
        <w:t>Situation</w:t>
      </w:r>
      <w:r>
        <w:rPr>
          <w:i/>
          <w:spacing w:val="-5"/>
          <w:sz w:val="20"/>
        </w:rPr>
        <w:t> </w:t>
      </w:r>
      <w:r>
        <w:rPr>
          <w:i/>
          <w:sz w:val="20"/>
        </w:rPr>
        <w:t>in</w:t>
      </w:r>
      <w:r>
        <w:rPr>
          <w:i/>
          <w:spacing w:val="-5"/>
          <w:sz w:val="20"/>
        </w:rPr>
        <w:t> </w:t>
      </w:r>
      <w:r>
        <w:rPr>
          <w:i/>
          <w:sz w:val="20"/>
        </w:rPr>
        <w:t>the</w:t>
      </w:r>
      <w:r>
        <w:rPr>
          <w:i/>
          <w:spacing w:val="-8"/>
          <w:sz w:val="20"/>
        </w:rPr>
        <w:t> </w:t>
      </w:r>
      <w:r>
        <w:rPr>
          <w:i/>
          <w:sz w:val="20"/>
        </w:rPr>
        <w:t>Republic</w:t>
      </w:r>
      <w:r>
        <w:rPr>
          <w:i/>
          <w:spacing w:val="-3"/>
          <w:sz w:val="20"/>
        </w:rPr>
        <w:t> </w:t>
      </w:r>
      <w:r>
        <w:rPr>
          <w:i/>
          <w:sz w:val="20"/>
        </w:rPr>
        <w:t>of</w:t>
      </w:r>
      <w:r>
        <w:rPr>
          <w:i/>
          <w:spacing w:val="-3"/>
          <w:sz w:val="20"/>
        </w:rPr>
        <w:t> </w:t>
      </w:r>
      <w:r>
        <w:rPr>
          <w:i/>
          <w:spacing w:val="-2"/>
          <w:sz w:val="20"/>
        </w:rPr>
        <w:t>Burundi</w:t>
      </w:r>
    </w:p>
    <w:p>
      <w:pPr>
        <w:pStyle w:val="BodyText"/>
        <w:spacing w:before="11"/>
        <w:rPr>
          <w:i/>
        </w:rPr>
      </w:pPr>
    </w:p>
    <w:p>
      <w:pPr>
        <w:pStyle w:val="ListParagraph"/>
        <w:numPr>
          <w:ilvl w:val="0"/>
          <w:numId w:val="4"/>
        </w:numPr>
        <w:tabs>
          <w:tab w:pos="2967" w:val="left" w:leader="none"/>
        </w:tabs>
        <w:spacing w:line="240" w:lineRule="auto" w:before="0" w:after="0"/>
        <w:ind w:left="2246" w:right="2240" w:firstLine="0"/>
        <w:jc w:val="both"/>
        <w:rPr>
          <w:sz w:val="20"/>
        </w:rPr>
      </w:pPr>
      <w:r>
        <w:rPr>
          <w:sz w:val="20"/>
        </w:rPr>
        <w:t>On 9 November 2017, Pre-Trial Chamber III authorized the Prosecutor to open an investigation into crimes against humanity within the jurisdiction of the Court allegedly committed</w:t>
      </w:r>
      <w:r>
        <w:rPr>
          <w:spacing w:val="37"/>
          <w:sz w:val="20"/>
        </w:rPr>
        <w:t> </w:t>
      </w:r>
      <w:r>
        <w:rPr>
          <w:sz w:val="20"/>
        </w:rPr>
        <w:t>in</w:t>
      </w:r>
      <w:r>
        <w:rPr>
          <w:spacing w:val="34"/>
          <w:sz w:val="20"/>
        </w:rPr>
        <w:t> </w:t>
      </w:r>
      <w:r>
        <w:rPr>
          <w:sz w:val="20"/>
        </w:rPr>
        <w:t>Burundi</w:t>
      </w:r>
      <w:r>
        <w:rPr>
          <w:spacing w:val="39"/>
          <w:sz w:val="20"/>
        </w:rPr>
        <w:t> </w:t>
      </w:r>
      <w:r>
        <w:rPr>
          <w:sz w:val="20"/>
        </w:rPr>
        <w:t>or</w:t>
      </w:r>
      <w:r>
        <w:rPr>
          <w:spacing w:val="38"/>
          <w:sz w:val="20"/>
        </w:rPr>
        <w:t> </w:t>
      </w:r>
      <w:r>
        <w:rPr>
          <w:sz w:val="20"/>
        </w:rPr>
        <w:t>by</w:t>
      </w:r>
      <w:r>
        <w:rPr>
          <w:spacing w:val="37"/>
          <w:sz w:val="20"/>
        </w:rPr>
        <w:t> </w:t>
      </w:r>
      <w:r>
        <w:rPr>
          <w:sz w:val="20"/>
        </w:rPr>
        <w:t>nationals</w:t>
      </w:r>
      <w:r>
        <w:rPr>
          <w:spacing w:val="36"/>
          <w:sz w:val="20"/>
        </w:rPr>
        <w:t> </w:t>
      </w:r>
      <w:r>
        <w:rPr>
          <w:sz w:val="20"/>
        </w:rPr>
        <w:t>of</w:t>
      </w:r>
      <w:r>
        <w:rPr>
          <w:spacing w:val="38"/>
          <w:sz w:val="20"/>
        </w:rPr>
        <w:t> </w:t>
      </w:r>
      <w:r>
        <w:rPr>
          <w:sz w:val="20"/>
        </w:rPr>
        <w:t>Burundi</w:t>
      </w:r>
      <w:r>
        <w:rPr>
          <w:spacing w:val="39"/>
          <w:sz w:val="20"/>
        </w:rPr>
        <w:t> </w:t>
      </w:r>
      <w:r>
        <w:rPr>
          <w:sz w:val="20"/>
        </w:rPr>
        <w:t>outside</w:t>
      </w:r>
      <w:r>
        <w:rPr>
          <w:spacing w:val="39"/>
          <w:sz w:val="20"/>
        </w:rPr>
        <w:t> </w:t>
      </w:r>
      <w:r>
        <w:rPr>
          <w:sz w:val="20"/>
        </w:rPr>
        <w:t>Burundi</w:t>
      </w:r>
      <w:r>
        <w:rPr>
          <w:spacing w:val="39"/>
          <w:sz w:val="20"/>
        </w:rPr>
        <w:t> </w:t>
      </w:r>
      <w:r>
        <w:rPr>
          <w:sz w:val="20"/>
        </w:rPr>
        <w:t>from</w:t>
      </w:r>
      <w:r>
        <w:rPr>
          <w:spacing w:val="39"/>
          <w:sz w:val="20"/>
        </w:rPr>
        <w:t> </w:t>
      </w:r>
      <w:r>
        <w:rPr>
          <w:sz w:val="20"/>
        </w:rPr>
        <w:t>26 April</w:t>
      </w:r>
      <w:r>
        <w:rPr>
          <w:spacing w:val="39"/>
          <w:sz w:val="20"/>
        </w:rPr>
        <w:t> </w:t>
      </w:r>
      <w:r>
        <w:rPr>
          <w:sz w:val="20"/>
        </w:rPr>
        <w:t>2015 to</w:t>
      </w:r>
      <w:r>
        <w:rPr>
          <w:spacing w:val="-3"/>
          <w:sz w:val="20"/>
        </w:rPr>
        <w:t> </w:t>
      </w:r>
      <w:r>
        <w:rPr>
          <w:sz w:val="20"/>
        </w:rPr>
        <w:t>26</w:t>
      </w:r>
      <w:r>
        <w:rPr>
          <w:spacing w:val="-1"/>
          <w:sz w:val="20"/>
        </w:rPr>
        <w:t> </w:t>
      </w:r>
      <w:r>
        <w:rPr>
          <w:sz w:val="20"/>
        </w:rPr>
        <w:t>October</w:t>
      </w:r>
      <w:r>
        <w:rPr>
          <w:spacing w:val="-13"/>
          <w:sz w:val="20"/>
        </w:rPr>
        <w:t> </w:t>
      </w:r>
      <w:r>
        <w:rPr>
          <w:sz w:val="20"/>
        </w:rPr>
        <w:t>2017,</w:t>
      </w:r>
      <w:r>
        <w:rPr>
          <w:spacing w:val="-12"/>
          <w:sz w:val="20"/>
        </w:rPr>
        <w:t> </w:t>
      </w:r>
      <w:r>
        <w:rPr>
          <w:sz w:val="20"/>
        </w:rPr>
        <w:t>the</w:t>
      </w:r>
      <w:r>
        <w:rPr>
          <w:spacing w:val="-12"/>
          <w:sz w:val="20"/>
        </w:rPr>
        <w:t> </w:t>
      </w:r>
      <w:r>
        <w:rPr>
          <w:sz w:val="20"/>
        </w:rPr>
        <w:t>day</w:t>
      </w:r>
      <w:r>
        <w:rPr>
          <w:spacing w:val="-9"/>
          <w:sz w:val="20"/>
        </w:rPr>
        <w:t> </w:t>
      </w:r>
      <w:r>
        <w:rPr>
          <w:sz w:val="20"/>
        </w:rPr>
        <w:t>before</w:t>
      </w:r>
      <w:r>
        <w:rPr>
          <w:spacing w:val="-8"/>
          <w:sz w:val="20"/>
        </w:rPr>
        <w:t> </w:t>
      </w:r>
      <w:r>
        <w:rPr>
          <w:sz w:val="20"/>
        </w:rPr>
        <w:t>the</w:t>
      </w:r>
      <w:r>
        <w:rPr>
          <w:spacing w:val="-12"/>
          <w:sz w:val="20"/>
        </w:rPr>
        <w:t> </w:t>
      </w:r>
      <w:r>
        <w:rPr>
          <w:sz w:val="20"/>
        </w:rPr>
        <w:t>withdrawal</w:t>
      </w:r>
      <w:r>
        <w:rPr>
          <w:spacing w:val="-13"/>
          <w:sz w:val="20"/>
        </w:rPr>
        <w:t> </w:t>
      </w:r>
      <w:r>
        <w:rPr>
          <w:sz w:val="20"/>
        </w:rPr>
        <w:t>of</w:t>
      </w:r>
      <w:r>
        <w:rPr>
          <w:spacing w:val="-12"/>
          <w:sz w:val="20"/>
        </w:rPr>
        <w:t> </w:t>
      </w:r>
      <w:r>
        <w:rPr>
          <w:sz w:val="20"/>
        </w:rPr>
        <w:t>Burundi</w:t>
      </w:r>
      <w:r>
        <w:rPr>
          <w:spacing w:val="-13"/>
          <w:sz w:val="20"/>
        </w:rPr>
        <w:t> </w:t>
      </w:r>
      <w:r>
        <w:rPr>
          <w:sz w:val="20"/>
        </w:rPr>
        <w:t>from</w:t>
      </w:r>
      <w:r>
        <w:rPr>
          <w:spacing w:val="-12"/>
          <w:sz w:val="20"/>
        </w:rPr>
        <w:t> </w:t>
      </w:r>
      <w:r>
        <w:rPr>
          <w:sz w:val="20"/>
        </w:rPr>
        <w:t>the</w:t>
      </w:r>
      <w:r>
        <w:rPr>
          <w:spacing w:val="-13"/>
          <w:sz w:val="20"/>
        </w:rPr>
        <w:t> </w:t>
      </w:r>
      <w:r>
        <w:rPr>
          <w:sz w:val="20"/>
        </w:rPr>
        <w:t>Rome</w:t>
      </w:r>
      <w:r>
        <w:rPr>
          <w:spacing w:val="-8"/>
          <w:sz w:val="20"/>
        </w:rPr>
        <w:t> </w:t>
      </w:r>
      <w:r>
        <w:rPr>
          <w:sz w:val="20"/>
        </w:rPr>
        <w:t>Statute</w:t>
      </w:r>
      <w:r>
        <w:rPr>
          <w:spacing w:val="-8"/>
          <w:sz w:val="20"/>
        </w:rPr>
        <w:t> </w:t>
      </w:r>
      <w:r>
        <w:rPr>
          <w:sz w:val="20"/>
        </w:rPr>
        <w:t>became effective on 27 October 2017.</w:t>
      </w:r>
    </w:p>
    <w:p>
      <w:pPr>
        <w:pStyle w:val="ListParagraph"/>
        <w:numPr>
          <w:ilvl w:val="0"/>
          <w:numId w:val="4"/>
        </w:numPr>
        <w:tabs>
          <w:tab w:pos="2967" w:val="left" w:leader="none"/>
        </w:tabs>
        <w:spacing w:line="240" w:lineRule="auto" w:before="118" w:after="0"/>
        <w:ind w:left="2246" w:right="2242" w:firstLine="0"/>
        <w:jc w:val="both"/>
        <w:rPr>
          <w:sz w:val="20"/>
        </w:rPr>
      </w:pPr>
      <w:r>
        <w:rPr>
          <w:sz w:val="20"/>
        </w:rPr>
        <w:t>In 2023, the OTP intends to finalize its investigative activities in the situation, including</w:t>
      </w:r>
      <w:r>
        <w:rPr>
          <w:spacing w:val="-4"/>
          <w:sz w:val="20"/>
        </w:rPr>
        <w:t> </w:t>
      </w:r>
      <w:r>
        <w:rPr>
          <w:sz w:val="20"/>
        </w:rPr>
        <w:t>through</w:t>
      </w:r>
      <w:r>
        <w:rPr>
          <w:spacing w:val="-4"/>
          <w:sz w:val="20"/>
        </w:rPr>
        <w:t> </w:t>
      </w:r>
      <w:r>
        <w:rPr>
          <w:sz w:val="20"/>
        </w:rPr>
        <w:t>the</w:t>
      </w:r>
      <w:r>
        <w:rPr>
          <w:spacing w:val="-7"/>
          <w:sz w:val="20"/>
        </w:rPr>
        <w:t> </w:t>
      </w:r>
      <w:r>
        <w:rPr>
          <w:sz w:val="20"/>
        </w:rPr>
        <w:t>conduct</w:t>
      </w:r>
      <w:r>
        <w:rPr>
          <w:spacing w:val="-2"/>
          <w:sz w:val="20"/>
        </w:rPr>
        <w:t> </w:t>
      </w:r>
      <w:r>
        <w:rPr>
          <w:sz w:val="20"/>
        </w:rPr>
        <w:t>of</w:t>
      </w:r>
      <w:r>
        <w:rPr>
          <w:spacing w:val="-4"/>
          <w:sz w:val="20"/>
        </w:rPr>
        <w:t> </w:t>
      </w:r>
      <w:r>
        <w:rPr>
          <w:sz w:val="20"/>
        </w:rPr>
        <w:t>missions</w:t>
      </w:r>
      <w:r>
        <w:rPr>
          <w:spacing w:val="-5"/>
          <w:sz w:val="20"/>
        </w:rPr>
        <w:t> </w:t>
      </w:r>
      <w:r>
        <w:rPr>
          <w:sz w:val="20"/>
        </w:rPr>
        <w:t>to</w:t>
      </w:r>
      <w:r>
        <w:rPr>
          <w:spacing w:val="-8"/>
          <w:sz w:val="20"/>
        </w:rPr>
        <w:t> </w:t>
      </w:r>
      <w:r>
        <w:rPr>
          <w:sz w:val="20"/>
        </w:rPr>
        <w:t>a</w:t>
      </w:r>
      <w:r>
        <w:rPr>
          <w:spacing w:val="-2"/>
          <w:sz w:val="20"/>
        </w:rPr>
        <w:t> </w:t>
      </w:r>
      <w:r>
        <w:rPr>
          <w:sz w:val="20"/>
        </w:rPr>
        <w:t>number</w:t>
      </w:r>
      <w:r>
        <w:rPr>
          <w:spacing w:val="-4"/>
          <w:sz w:val="20"/>
        </w:rPr>
        <w:t> </w:t>
      </w:r>
      <w:r>
        <w:rPr>
          <w:sz w:val="20"/>
        </w:rPr>
        <w:t>of</w:t>
      </w:r>
      <w:r>
        <w:rPr>
          <w:spacing w:val="-4"/>
          <w:sz w:val="20"/>
        </w:rPr>
        <w:t> </w:t>
      </w:r>
      <w:r>
        <w:rPr>
          <w:sz w:val="20"/>
        </w:rPr>
        <w:t>countries and</w:t>
      </w:r>
      <w:r>
        <w:rPr>
          <w:spacing w:val="-8"/>
          <w:sz w:val="20"/>
        </w:rPr>
        <w:t> </w:t>
      </w:r>
      <w:r>
        <w:rPr>
          <w:sz w:val="20"/>
        </w:rPr>
        <w:t>continuing</w:t>
      </w:r>
      <w:r>
        <w:rPr>
          <w:spacing w:val="-8"/>
          <w:sz w:val="20"/>
        </w:rPr>
        <w:t> </w:t>
      </w:r>
      <w:r>
        <w:rPr>
          <w:sz w:val="20"/>
        </w:rPr>
        <w:t>efforts</w:t>
      </w:r>
      <w:r>
        <w:rPr>
          <w:spacing w:val="-5"/>
          <w:sz w:val="20"/>
        </w:rPr>
        <w:t> </w:t>
      </w:r>
      <w:r>
        <w:rPr>
          <w:sz w:val="20"/>
        </w:rPr>
        <w:t>to maintain and build cooperation networks in the region in support of the investigation.</w:t>
      </w:r>
    </w:p>
    <w:p>
      <w:pPr>
        <w:pStyle w:val="BodyText"/>
        <w:spacing w:before="11"/>
      </w:pPr>
    </w:p>
    <w:p>
      <w:pPr>
        <w:spacing w:before="0"/>
        <w:ind w:left="2246" w:right="0" w:firstLine="0"/>
        <w:jc w:val="both"/>
        <w:rPr>
          <w:i/>
          <w:sz w:val="20"/>
        </w:rPr>
      </w:pPr>
      <w:r>
        <w:rPr>
          <w:i/>
          <w:sz w:val="20"/>
        </w:rPr>
        <w:t>Situation</w:t>
      </w:r>
      <w:r>
        <w:rPr>
          <w:i/>
          <w:spacing w:val="-7"/>
          <w:sz w:val="20"/>
        </w:rPr>
        <w:t> </w:t>
      </w:r>
      <w:r>
        <w:rPr>
          <w:i/>
          <w:sz w:val="20"/>
        </w:rPr>
        <w:t>in</w:t>
      </w:r>
      <w:r>
        <w:rPr>
          <w:i/>
          <w:spacing w:val="-7"/>
          <w:sz w:val="20"/>
        </w:rPr>
        <w:t> </w:t>
      </w:r>
      <w:r>
        <w:rPr>
          <w:i/>
          <w:sz w:val="20"/>
        </w:rPr>
        <w:t>the</w:t>
      </w:r>
      <w:r>
        <w:rPr>
          <w:i/>
          <w:spacing w:val="-5"/>
          <w:sz w:val="20"/>
        </w:rPr>
        <w:t> </w:t>
      </w:r>
      <w:r>
        <w:rPr>
          <w:i/>
          <w:sz w:val="20"/>
        </w:rPr>
        <w:t>Central</w:t>
      </w:r>
      <w:r>
        <w:rPr>
          <w:i/>
          <w:spacing w:val="-5"/>
          <w:sz w:val="20"/>
        </w:rPr>
        <w:t> </w:t>
      </w:r>
      <w:r>
        <w:rPr>
          <w:i/>
          <w:sz w:val="20"/>
        </w:rPr>
        <w:t>African</w:t>
      </w:r>
      <w:r>
        <w:rPr>
          <w:i/>
          <w:spacing w:val="-7"/>
          <w:sz w:val="20"/>
        </w:rPr>
        <w:t> </w:t>
      </w:r>
      <w:r>
        <w:rPr>
          <w:i/>
          <w:sz w:val="20"/>
        </w:rPr>
        <w:t>Republic</w:t>
      </w:r>
      <w:r>
        <w:rPr>
          <w:i/>
          <w:spacing w:val="-5"/>
          <w:sz w:val="20"/>
        </w:rPr>
        <w:t> </w:t>
      </w:r>
      <w:r>
        <w:rPr>
          <w:i/>
          <w:sz w:val="20"/>
        </w:rPr>
        <w:t>II.a</w:t>
      </w:r>
      <w:r>
        <w:rPr>
          <w:i/>
          <w:spacing w:val="-6"/>
          <w:sz w:val="20"/>
        </w:rPr>
        <w:t> </w:t>
      </w:r>
      <w:r>
        <w:rPr>
          <w:i/>
          <w:sz w:val="20"/>
        </w:rPr>
        <w:t>and</w:t>
      </w:r>
      <w:r>
        <w:rPr>
          <w:i/>
          <w:spacing w:val="-2"/>
          <w:sz w:val="20"/>
        </w:rPr>
        <w:t> </w:t>
      </w:r>
      <w:r>
        <w:rPr>
          <w:i/>
          <w:spacing w:val="-4"/>
          <w:sz w:val="20"/>
        </w:rPr>
        <w:t>II.b</w:t>
      </w:r>
    </w:p>
    <w:p>
      <w:pPr>
        <w:pStyle w:val="BodyText"/>
        <w:spacing w:before="10"/>
        <w:rPr>
          <w:i/>
        </w:rPr>
      </w:pPr>
    </w:p>
    <w:p>
      <w:pPr>
        <w:pStyle w:val="ListParagraph"/>
        <w:numPr>
          <w:ilvl w:val="0"/>
          <w:numId w:val="4"/>
        </w:numPr>
        <w:tabs>
          <w:tab w:pos="2967" w:val="left" w:leader="none"/>
        </w:tabs>
        <w:spacing w:line="240" w:lineRule="auto" w:before="0" w:after="0"/>
        <w:ind w:left="2246" w:right="2249" w:firstLine="0"/>
        <w:jc w:val="both"/>
        <w:rPr>
          <w:sz w:val="20"/>
        </w:rPr>
      </w:pPr>
      <w:r>
        <w:rPr>
          <w:sz w:val="20"/>
        </w:rPr>
        <w:t>On 30 May 2014, the Central African Republic (CAR) referred to the Court the situation in its territory since 1 August 2012.</w:t>
      </w:r>
    </w:p>
    <w:p>
      <w:pPr>
        <w:pStyle w:val="ListParagraph"/>
        <w:numPr>
          <w:ilvl w:val="0"/>
          <w:numId w:val="4"/>
        </w:numPr>
        <w:tabs>
          <w:tab w:pos="2967" w:val="left" w:leader="none"/>
        </w:tabs>
        <w:spacing w:line="240" w:lineRule="auto" w:before="122" w:after="0"/>
        <w:ind w:left="2246" w:right="2243" w:firstLine="0"/>
        <w:jc w:val="both"/>
        <w:rPr>
          <w:sz w:val="20"/>
        </w:rPr>
      </w:pPr>
      <w:r>
        <w:rPr>
          <w:sz w:val="20"/>
        </w:rPr>
        <w:t>Investigations in the CAR II situation focus on crimes allegedly committed during renewed violence in the country from 2012 onwards, with a focus on the crimes allegedly committed by</w:t>
      </w:r>
      <w:r>
        <w:rPr>
          <w:spacing w:val="-5"/>
          <w:sz w:val="20"/>
        </w:rPr>
        <w:t> </w:t>
      </w:r>
      <w:r>
        <w:rPr>
          <w:sz w:val="20"/>
        </w:rPr>
        <w:t>the different parties</w:t>
      </w:r>
      <w:r>
        <w:rPr>
          <w:spacing w:val="-6"/>
          <w:sz w:val="20"/>
        </w:rPr>
        <w:t> </w:t>
      </w:r>
      <w:r>
        <w:rPr>
          <w:sz w:val="20"/>
        </w:rPr>
        <w:t>to the</w:t>
      </w:r>
      <w:r>
        <w:rPr>
          <w:spacing w:val="-3"/>
          <w:sz w:val="20"/>
        </w:rPr>
        <w:t> </w:t>
      </w:r>
      <w:r>
        <w:rPr>
          <w:sz w:val="20"/>
        </w:rPr>
        <w:t>conflict, including by (groups</w:t>
      </w:r>
      <w:r>
        <w:rPr>
          <w:spacing w:val="-6"/>
          <w:sz w:val="20"/>
        </w:rPr>
        <w:t> </w:t>
      </w:r>
      <w:r>
        <w:rPr>
          <w:sz w:val="20"/>
        </w:rPr>
        <w:t>linked</w:t>
      </w:r>
      <w:r>
        <w:rPr>
          <w:spacing w:val="-5"/>
          <w:sz w:val="20"/>
        </w:rPr>
        <w:t> </w:t>
      </w:r>
      <w:r>
        <w:rPr>
          <w:sz w:val="20"/>
        </w:rPr>
        <w:t>to)</w:t>
      </w:r>
      <w:r>
        <w:rPr>
          <w:spacing w:val="-5"/>
          <w:sz w:val="20"/>
        </w:rPr>
        <w:t> </w:t>
      </w:r>
      <w:r>
        <w:rPr>
          <w:sz w:val="20"/>
        </w:rPr>
        <w:t>the Séléka (CAR II.a) and (groups linked to) the anti-Balaka (CAR II.b).</w:t>
      </w:r>
    </w:p>
    <w:p>
      <w:pPr>
        <w:pStyle w:val="ListParagraph"/>
        <w:numPr>
          <w:ilvl w:val="0"/>
          <w:numId w:val="4"/>
        </w:numPr>
        <w:tabs>
          <w:tab w:pos="2967" w:val="left" w:leader="none"/>
        </w:tabs>
        <w:spacing w:line="240" w:lineRule="auto" w:before="117" w:after="0"/>
        <w:ind w:left="2246" w:right="2237" w:firstLine="0"/>
        <w:jc w:val="both"/>
        <w:rPr>
          <w:sz w:val="20"/>
        </w:rPr>
      </w:pPr>
      <w:r>
        <w:rPr>
          <w:sz w:val="20"/>
        </w:rPr>
        <w:t>In</w:t>
      </w:r>
      <w:r>
        <w:rPr>
          <w:spacing w:val="-13"/>
          <w:sz w:val="20"/>
        </w:rPr>
        <w:t> </w:t>
      </w:r>
      <w:r>
        <w:rPr>
          <w:sz w:val="20"/>
        </w:rPr>
        <w:t>relation</w:t>
      </w:r>
      <w:r>
        <w:rPr>
          <w:spacing w:val="-12"/>
          <w:sz w:val="20"/>
        </w:rPr>
        <w:t> </w:t>
      </w:r>
      <w:r>
        <w:rPr>
          <w:sz w:val="20"/>
        </w:rPr>
        <w:t>to</w:t>
      </w:r>
      <w:r>
        <w:rPr>
          <w:spacing w:val="-13"/>
          <w:sz w:val="20"/>
        </w:rPr>
        <w:t> </w:t>
      </w:r>
      <w:r>
        <w:rPr>
          <w:sz w:val="20"/>
        </w:rPr>
        <w:t>the</w:t>
      </w:r>
      <w:r>
        <w:rPr>
          <w:spacing w:val="-12"/>
          <w:sz w:val="20"/>
        </w:rPr>
        <w:t> </w:t>
      </w:r>
      <w:r>
        <w:rPr>
          <w:sz w:val="20"/>
        </w:rPr>
        <w:t>latter,</w:t>
      </w:r>
      <w:r>
        <w:rPr>
          <w:spacing w:val="-13"/>
          <w:sz w:val="20"/>
        </w:rPr>
        <w:t> </w:t>
      </w:r>
      <w:r>
        <w:rPr>
          <w:sz w:val="20"/>
        </w:rPr>
        <w:t>following</w:t>
      </w:r>
      <w:r>
        <w:rPr>
          <w:spacing w:val="-12"/>
          <w:sz w:val="20"/>
        </w:rPr>
        <w:t> </w:t>
      </w:r>
      <w:r>
        <w:rPr>
          <w:sz w:val="20"/>
        </w:rPr>
        <w:t>investigative</w:t>
      </w:r>
      <w:r>
        <w:rPr>
          <w:spacing w:val="-13"/>
          <w:sz w:val="20"/>
        </w:rPr>
        <w:t> </w:t>
      </w:r>
      <w:r>
        <w:rPr>
          <w:sz w:val="20"/>
        </w:rPr>
        <w:t>and</w:t>
      </w:r>
      <w:r>
        <w:rPr>
          <w:spacing w:val="-12"/>
          <w:sz w:val="20"/>
        </w:rPr>
        <w:t> </w:t>
      </w:r>
      <w:r>
        <w:rPr>
          <w:sz w:val="20"/>
        </w:rPr>
        <w:t>cooperation</w:t>
      </w:r>
      <w:r>
        <w:rPr>
          <w:spacing w:val="-10"/>
          <w:sz w:val="20"/>
        </w:rPr>
        <w:t> </w:t>
      </w:r>
      <w:r>
        <w:rPr>
          <w:sz w:val="20"/>
        </w:rPr>
        <w:t>efforts,</w:t>
      </w:r>
      <w:r>
        <w:rPr>
          <w:spacing w:val="-11"/>
          <w:sz w:val="20"/>
        </w:rPr>
        <w:t> </w:t>
      </w:r>
      <w:r>
        <w:rPr>
          <w:sz w:val="20"/>
        </w:rPr>
        <w:t>two</w:t>
      </w:r>
      <w:r>
        <w:rPr>
          <w:spacing w:val="-13"/>
          <w:sz w:val="20"/>
        </w:rPr>
        <w:t> </w:t>
      </w:r>
      <w:r>
        <w:rPr>
          <w:sz w:val="20"/>
        </w:rPr>
        <w:t>suspects were</w:t>
      </w:r>
      <w:r>
        <w:rPr>
          <w:spacing w:val="40"/>
          <w:sz w:val="20"/>
        </w:rPr>
        <w:t> </w:t>
      </w:r>
      <w:r>
        <w:rPr>
          <w:sz w:val="20"/>
        </w:rPr>
        <w:t>apprehended</w:t>
      </w:r>
      <w:r>
        <w:rPr>
          <w:spacing w:val="40"/>
          <w:sz w:val="20"/>
        </w:rPr>
        <w:t> </w:t>
      </w:r>
      <w:r>
        <w:rPr>
          <w:sz w:val="20"/>
        </w:rPr>
        <w:t>in</w:t>
      </w:r>
      <w:r>
        <w:rPr>
          <w:spacing w:val="40"/>
          <w:sz w:val="20"/>
        </w:rPr>
        <w:t> </w:t>
      </w:r>
      <w:r>
        <w:rPr>
          <w:sz w:val="20"/>
        </w:rPr>
        <w:t>2018:</w:t>
      </w:r>
      <w:r>
        <w:rPr>
          <w:spacing w:val="40"/>
          <w:sz w:val="20"/>
        </w:rPr>
        <w:t> </w:t>
      </w:r>
      <w:r>
        <w:rPr>
          <w:sz w:val="20"/>
        </w:rPr>
        <w:t>Mr</w:t>
      </w:r>
      <w:r>
        <w:rPr>
          <w:spacing w:val="40"/>
          <w:sz w:val="20"/>
        </w:rPr>
        <w:t> </w:t>
      </w:r>
      <w:r>
        <w:rPr>
          <w:sz w:val="20"/>
        </w:rPr>
        <w:t>Alfred</w:t>
      </w:r>
      <w:r>
        <w:rPr>
          <w:spacing w:val="40"/>
          <w:sz w:val="20"/>
        </w:rPr>
        <w:t> </w:t>
      </w:r>
      <w:r>
        <w:rPr>
          <w:sz w:val="20"/>
        </w:rPr>
        <w:t>Yekatom</w:t>
      </w:r>
      <w:r>
        <w:rPr>
          <w:spacing w:val="40"/>
          <w:sz w:val="20"/>
        </w:rPr>
        <w:t> </w:t>
      </w:r>
      <w:r>
        <w:rPr>
          <w:sz w:val="20"/>
        </w:rPr>
        <w:t>and</w:t>
      </w:r>
      <w:r>
        <w:rPr>
          <w:spacing w:val="40"/>
          <w:sz w:val="20"/>
        </w:rPr>
        <w:t> </w:t>
      </w:r>
      <w:r>
        <w:rPr>
          <w:sz w:val="20"/>
        </w:rPr>
        <w:t>Mr</w:t>
      </w:r>
      <w:r>
        <w:rPr>
          <w:spacing w:val="40"/>
          <w:sz w:val="20"/>
        </w:rPr>
        <w:t> </w:t>
      </w:r>
      <w:r>
        <w:rPr>
          <w:sz w:val="20"/>
        </w:rPr>
        <w:t>Patrice-Edouard</w:t>
      </w:r>
      <w:r>
        <w:rPr>
          <w:spacing w:val="40"/>
          <w:sz w:val="20"/>
        </w:rPr>
        <w:t> </w:t>
      </w:r>
      <w:r>
        <w:rPr>
          <w:sz w:val="20"/>
        </w:rPr>
        <w:t>Ngaïssona. On 11</w:t>
      </w:r>
      <w:r>
        <w:rPr>
          <w:spacing w:val="-3"/>
          <w:sz w:val="20"/>
        </w:rPr>
        <w:t> </w:t>
      </w:r>
      <w:r>
        <w:rPr>
          <w:sz w:val="20"/>
        </w:rPr>
        <w:t>December 2019, Pre-Trial Chamber II partially confirmed the charges of war crimes and</w:t>
      </w:r>
      <w:r>
        <w:rPr>
          <w:spacing w:val="35"/>
          <w:sz w:val="20"/>
        </w:rPr>
        <w:t> </w:t>
      </w:r>
      <w:r>
        <w:rPr>
          <w:sz w:val="20"/>
        </w:rPr>
        <w:t>crimes</w:t>
      </w:r>
      <w:r>
        <w:rPr>
          <w:spacing w:val="33"/>
          <w:sz w:val="20"/>
        </w:rPr>
        <w:t> </w:t>
      </w:r>
      <w:r>
        <w:rPr>
          <w:sz w:val="20"/>
        </w:rPr>
        <w:t>against</w:t>
      </w:r>
      <w:r>
        <w:rPr>
          <w:spacing w:val="36"/>
          <w:sz w:val="20"/>
        </w:rPr>
        <w:t> </w:t>
      </w:r>
      <w:r>
        <w:rPr>
          <w:sz w:val="20"/>
        </w:rPr>
        <w:t>humanity</w:t>
      </w:r>
      <w:r>
        <w:rPr>
          <w:spacing w:val="35"/>
          <w:sz w:val="20"/>
        </w:rPr>
        <w:t> </w:t>
      </w:r>
      <w:r>
        <w:rPr>
          <w:sz w:val="20"/>
        </w:rPr>
        <w:t>against</w:t>
      </w:r>
      <w:r>
        <w:rPr>
          <w:spacing w:val="36"/>
          <w:sz w:val="20"/>
        </w:rPr>
        <w:t> </w:t>
      </w:r>
      <w:r>
        <w:rPr>
          <w:sz w:val="20"/>
        </w:rPr>
        <w:t>both</w:t>
      </w:r>
      <w:r>
        <w:rPr>
          <w:spacing w:val="35"/>
          <w:sz w:val="20"/>
        </w:rPr>
        <w:t> </w:t>
      </w:r>
      <w:r>
        <w:rPr>
          <w:sz w:val="20"/>
        </w:rPr>
        <w:t>individuals</w:t>
      </w:r>
      <w:r>
        <w:rPr>
          <w:spacing w:val="33"/>
          <w:sz w:val="20"/>
        </w:rPr>
        <w:t> </w:t>
      </w:r>
      <w:r>
        <w:rPr>
          <w:sz w:val="20"/>
        </w:rPr>
        <w:t>and committed</w:t>
      </w:r>
      <w:r>
        <w:rPr>
          <w:spacing w:val="35"/>
          <w:sz w:val="20"/>
        </w:rPr>
        <w:t> </w:t>
      </w:r>
      <w:r>
        <w:rPr>
          <w:sz w:val="20"/>
        </w:rPr>
        <w:t>them</w:t>
      </w:r>
      <w:r>
        <w:rPr>
          <w:spacing w:val="36"/>
          <w:sz w:val="20"/>
        </w:rPr>
        <w:t> </w:t>
      </w:r>
      <w:r>
        <w:rPr>
          <w:sz w:val="20"/>
        </w:rPr>
        <w:t>to trial.</w:t>
      </w:r>
      <w:r>
        <w:rPr>
          <w:spacing w:val="32"/>
          <w:sz w:val="20"/>
        </w:rPr>
        <w:t> </w:t>
      </w:r>
      <w:r>
        <w:rPr>
          <w:sz w:val="20"/>
        </w:rPr>
        <w:t>The trial</w:t>
      </w:r>
      <w:r>
        <w:rPr>
          <w:spacing w:val="-1"/>
          <w:sz w:val="20"/>
        </w:rPr>
        <w:t> </w:t>
      </w:r>
      <w:r>
        <w:rPr>
          <w:sz w:val="20"/>
        </w:rPr>
        <w:t>opened on 16 February 2021 before Trial Chamber V and is expected to continue throughout 2023. In relation to CAR II.b, a warrant of arrest for Mr Maxime Jeoffroy Eli Mokom Gawaka was issued under seal on 10 December 2018 for war crimes and crimes against humanity allegedly committed in various locations in the CAR, including Bangui, Bossangoa,</w:t>
      </w:r>
      <w:r>
        <w:rPr>
          <w:spacing w:val="-8"/>
          <w:sz w:val="20"/>
        </w:rPr>
        <w:t> </w:t>
      </w:r>
      <w:r>
        <w:rPr>
          <w:sz w:val="20"/>
        </w:rPr>
        <w:t>the</w:t>
      </w:r>
      <w:r>
        <w:rPr>
          <w:spacing w:val="-9"/>
          <w:sz w:val="20"/>
        </w:rPr>
        <w:t> </w:t>
      </w:r>
      <w:r>
        <w:rPr>
          <w:sz w:val="20"/>
        </w:rPr>
        <w:t>Lobaye</w:t>
      </w:r>
      <w:r>
        <w:rPr>
          <w:spacing w:val="-4"/>
          <w:sz w:val="20"/>
        </w:rPr>
        <w:t> </w:t>
      </w:r>
      <w:r>
        <w:rPr>
          <w:sz w:val="20"/>
        </w:rPr>
        <w:t>Prefecture,</w:t>
      </w:r>
      <w:r>
        <w:rPr>
          <w:spacing w:val="-3"/>
          <w:sz w:val="20"/>
        </w:rPr>
        <w:t> </w:t>
      </w:r>
      <w:r>
        <w:rPr>
          <w:sz w:val="20"/>
        </w:rPr>
        <w:t>Yaloké,</w:t>
      </w:r>
      <w:r>
        <w:rPr>
          <w:spacing w:val="-3"/>
          <w:sz w:val="20"/>
        </w:rPr>
        <w:t> </w:t>
      </w:r>
      <w:r>
        <w:rPr>
          <w:sz w:val="20"/>
        </w:rPr>
        <w:t>Gaga,</w:t>
      </w:r>
      <w:r>
        <w:rPr>
          <w:spacing w:val="-8"/>
          <w:sz w:val="20"/>
        </w:rPr>
        <w:t> </w:t>
      </w:r>
      <w:r>
        <w:rPr>
          <w:sz w:val="20"/>
        </w:rPr>
        <w:t>Bossemptélé,</w:t>
      </w:r>
      <w:r>
        <w:rPr>
          <w:spacing w:val="-3"/>
          <w:sz w:val="20"/>
        </w:rPr>
        <w:t> </w:t>
      </w:r>
      <w:r>
        <w:rPr>
          <w:sz w:val="20"/>
        </w:rPr>
        <w:t>Boda,</w:t>
      </w:r>
      <w:r>
        <w:rPr>
          <w:spacing w:val="-8"/>
          <w:sz w:val="20"/>
        </w:rPr>
        <w:t> </w:t>
      </w:r>
      <w:r>
        <w:rPr>
          <w:sz w:val="20"/>
        </w:rPr>
        <w:t>Carnot</w:t>
      </w:r>
      <w:r>
        <w:rPr>
          <w:spacing w:val="-9"/>
          <w:sz w:val="20"/>
        </w:rPr>
        <w:t> </w:t>
      </w:r>
      <w:r>
        <w:rPr>
          <w:sz w:val="20"/>
        </w:rPr>
        <w:t>and</w:t>
      </w:r>
      <w:r>
        <w:rPr>
          <w:spacing w:val="-9"/>
          <w:sz w:val="20"/>
        </w:rPr>
        <w:t> </w:t>
      </w:r>
      <w:r>
        <w:rPr>
          <w:sz w:val="20"/>
        </w:rPr>
        <w:t>Berberati, between</w:t>
      </w:r>
      <w:r>
        <w:rPr>
          <w:spacing w:val="-8"/>
          <w:sz w:val="20"/>
        </w:rPr>
        <w:t> </w:t>
      </w:r>
      <w:r>
        <w:rPr>
          <w:sz w:val="20"/>
        </w:rPr>
        <w:t>at</w:t>
      </w:r>
      <w:r>
        <w:rPr>
          <w:spacing w:val="-7"/>
          <w:sz w:val="20"/>
        </w:rPr>
        <w:t> </w:t>
      </w:r>
      <w:r>
        <w:rPr>
          <w:sz w:val="20"/>
        </w:rPr>
        <w:t>least</w:t>
      </w:r>
      <w:r>
        <w:rPr>
          <w:spacing w:val="-2"/>
          <w:sz w:val="20"/>
        </w:rPr>
        <w:t> </w:t>
      </w:r>
      <w:r>
        <w:rPr>
          <w:sz w:val="20"/>
        </w:rPr>
        <w:t>5</w:t>
      </w:r>
      <w:r>
        <w:rPr>
          <w:spacing w:val="-4"/>
          <w:sz w:val="20"/>
        </w:rPr>
        <w:t> </w:t>
      </w:r>
      <w:r>
        <w:rPr>
          <w:sz w:val="20"/>
        </w:rPr>
        <w:t>December</w:t>
      </w:r>
      <w:r>
        <w:rPr>
          <w:spacing w:val="-8"/>
          <w:sz w:val="20"/>
        </w:rPr>
        <w:t> </w:t>
      </w:r>
      <w:r>
        <w:rPr>
          <w:sz w:val="20"/>
        </w:rPr>
        <w:t>2013</w:t>
      </w:r>
      <w:r>
        <w:rPr>
          <w:spacing w:val="-8"/>
          <w:sz w:val="20"/>
        </w:rPr>
        <w:t> </w:t>
      </w:r>
      <w:r>
        <w:rPr>
          <w:sz w:val="20"/>
        </w:rPr>
        <w:t>and</w:t>
      </w:r>
      <w:r>
        <w:rPr>
          <w:spacing w:val="-8"/>
          <w:sz w:val="20"/>
        </w:rPr>
        <w:t> </w:t>
      </w:r>
      <w:r>
        <w:rPr>
          <w:sz w:val="20"/>
        </w:rPr>
        <w:t>at</w:t>
      </w:r>
      <w:r>
        <w:rPr>
          <w:spacing w:val="-7"/>
          <w:sz w:val="20"/>
        </w:rPr>
        <w:t> </w:t>
      </w:r>
      <w:r>
        <w:rPr>
          <w:sz w:val="20"/>
        </w:rPr>
        <w:t>least</w:t>
      </w:r>
      <w:r>
        <w:rPr>
          <w:spacing w:val="-2"/>
          <w:sz w:val="20"/>
        </w:rPr>
        <w:t> </w:t>
      </w:r>
      <w:r>
        <w:rPr>
          <w:sz w:val="20"/>
        </w:rPr>
        <w:t>December</w:t>
      </w:r>
      <w:r>
        <w:rPr>
          <w:spacing w:val="-4"/>
          <w:sz w:val="20"/>
        </w:rPr>
        <w:t> </w:t>
      </w:r>
      <w:r>
        <w:rPr>
          <w:sz w:val="20"/>
        </w:rPr>
        <w:t>2014.</w:t>
      </w:r>
      <w:r>
        <w:rPr>
          <w:spacing w:val="-1"/>
          <w:sz w:val="20"/>
        </w:rPr>
        <w:t> </w:t>
      </w:r>
      <w:r>
        <w:rPr>
          <w:sz w:val="20"/>
        </w:rPr>
        <w:t>Mr Mokom</w:t>
      </w:r>
      <w:r>
        <w:rPr>
          <w:spacing w:val="-2"/>
          <w:sz w:val="20"/>
        </w:rPr>
        <w:t> </w:t>
      </w:r>
      <w:r>
        <w:rPr>
          <w:sz w:val="20"/>
        </w:rPr>
        <w:t>was</w:t>
      </w:r>
      <w:r>
        <w:rPr>
          <w:spacing w:val="-5"/>
          <w:sz w:val="20"/>
        </w:rPr>
        <w:t> </w:t>
      </w:r>
      <w:r>
        <w:rPr>
          <w:sz w:val="20"/>
        </w:rPr>
        <w:t>surrendered to the Court on 14 March 2022.</w:t>
      </w:r>
    </w:p>
    <w:p>
      <w:pPr>
        <w:spacing w:after="0" w:line="240" w:lineRule="auto"/>
        <w:jc w:val="both"/>
        <w:rPr>
          <w:sz w:val="20"/>
        </w:rPr>
        <w:sectPr>
          <w:pgSz w:w="11910" w:h="16840"/>
          <w:pgMar w:header="953" w:footer="940" w:top="1140" w:bottom="1140" w:left="20" w:right="20"/>
        </w:sectPr>
      </w:pPr>
    </w:p>
    <w:p>
      <w:pPr>
        <w:pStyle w:val="ListParagraph"/>
        <w:numPr>
          <w:ilvl w:val="0"/>
          <w:numId w:val="4"/>
        </w:numPr>
        <w:tabs>
          <w:tab w:pos="2967" w:val="left" w:leader="none"/>
        </w:tabs>
        <w:spacing w:line="240" w:lineRule="auto" w:before="120" w:after="0"/>
        <w:ind w:left="2246" w:right="2245" w:firstLine="0"/>
        <w:jc w:val="both"/>
        <w:rPr>
          <w:sz w:val="20"/>
        </w:rPr>
      </w:pPr>
      <w:r>
        <w:rPr>
          <w:sz w:val="20"/>
        </w:rPr>
        <w:t>On 22 March 2022, Mr Maxime Jeoffroy Eli Mokom Gawaka made his first appearance before Pre-Trial Chamber II. The opening of the confirmation hearing is scheduled for 31 January 2023.</w:t>
      </w:r>
    </w:p>
    <w:p>
      <w:pPr>
        <w:pStyle w:val="ListParagraph"/>
        <w:numPr>
          <w:ilvl w:val="0"/>
          <w:numId w:val="4"/>
        </w:numPr>
        <w:tabs>
          <w:tab w:pos="2967" w:val="left" w:leader="none"/>
        </w:tabs>
        <w:spacing w:line="240" w:lineRule="auto" w:before="121" w:after="0"/>
        <w:ind w:left="2246" w:right="2239" w:firstLine="0"/>
        <w:jc w:val="both"/>
        <w:rPr>
          <w:sz w:val="20"/>
        </w:rPr>
      </w:pPr>
      <w:r>
        <w:rPr>
          <w:sz w:val="20"/>
        </w:rPr>
        <w:t>In</w:t>
      </w:r>
      <w:r>
        <w:rPr>
          <w:spacing w:val="-5"/>
          <w:sz w:val="20"/>
        </w:rPr>
        <w:t> </w:t>
      </w:r>
      <w:r>
        <w:rPr>
          <w:sz w:val="20"/>
        </w:rPr>
        <w:t>relation</w:t>
      </w:r>
      <w:r>
        <w:rPr>
          <w:spacing w:val="-9"/>
          <w:sz w:val="20"/>
        </w:rPr>
        <w:t> </w:t>
      </w:r>
      <w:r>
        <w:rPr>
          <w:sz w:val="20"/>
        </w:rPr>
        <w:t>to</w:t>
      </w:r>
      <w:r>
        <w:rPr>
          <w:spacing w:val="-9"/>
          <w:sz w:val="20"/>
        </w:rPr>
        <w:t> </w:t>
      </w:r>
      <w:r>
        <w:rPr>
          <w:sz w:val="20"/>
        </w:rPr>
        <w:t>CAR</w:t>
      </w:r>
      <w:r>
        <w:rPr>
          <w:spacing w:val="-5"/>
          <w:sz w:val="20"/>
        </w:rPr>
        <w:t> </w:t>
      </w:r>
      <w:r>
        <w:rPr>
          <w:sz w:val="20"/>
        </w:rPr>
        <w:t>II.a,</w:t>
      </w:r>
      <w:r>
        <w:rPr>
          <w:spacing w:val="-7"/>
          <w:sz w:val="20"/>
        </w:rPr>
        <w:t> </w:t>
      </w:r>
      <w:r>
        <w:rPr>
          <w:sz w:val="20"/>
        </w:rPr>
        <w:t>the</w:t>
      </w:r>
      <w:r>
        <w:rPr>
          <w:spacing w:val="-3"/>
          <w:sz w:val="20"/>
        </w:rPr>
        <w:t> </w:t>
      </w:r>
      <w:r>
        <w:rPr>
          <w:sz w:val="20"/>
        </w:rPr>
        <w:t>warrant</w:t>
      </w:r>
      <w:r>
        <w:rPr>
          <w:spacing w:val="-8"/>
          <w:sz w:val="20"/>
        </w:rPr>
        <w:t> </w:t>
      </w:r>
      <w:r>
        <w:rPr>
          <w:sz w:val="20"/>
        </w:rPr>
        <w:t>of</w:t>
      </w:r>
      <w:r>
        <w:rPr>
          <w:spacing w:val="-9"/>
          <w:sz w:val="20"/>
        </w:rPr>
        <w:t> </w:t>
      </w:r>
      <w:r>
        <w:rPr>
          <w:sz w:val="20"/>
        </w:rPr>
        <w:t>arrest</w:t>
      </w:r>
      <w:r>
        <w:rPr>
          <w:spacing w:val="-8"/>
          <w:sz w:val="20"/>
        </w:rPr>
        <w:t> </w:t>
      </w:r>
      <w:r>
        <w:rPr>
          <w:sz w:val="20"/>
        </w:rPr>
        <w:t>for</w:t>
      </w:r>
      <w:r>
        <w:rPr>
          <w:spacing w:val="-9"/>
          <w:sz w:val="20"/>
        </w:rPr>
        <w:t> </w:t>
      </w:r>
      <w:r>
        <w:rPr>
          <w:sz w:val="20"/>
        </w:rPr>
        <w:t>Mr</w:t>
      </w:r>
      <w:r>
        <w:rPr>
          <w:spacing w:val="-5"/>
          <w:sz w:val="20"/>
        </w:rPr>
        <w:t> </w:t>
      </w:r>
      <w:r>
        <w:rPr>
          <w:sz w:val="20"/>
        </w:rPr>
        <w:t>Mahamat</w:t>
      </w:r>
      <w:r>
        <w:rPr>
          <w:spacing w:val="-8"/>
          <w:sz w:val="20"/>
        </w:rPr>
        <w:t> </w:t>
      </w:r>
      <w:r>
        <w:rPr>
          <w:sz w:val="20"/>
        </w:rPr>
        <w:t>Said</w:t>
      </w:r>
      <w:r>
        <w:rPr>
          <w:spacing w:val="-5"/>
          <w:sz w:val="20"/>
        </w:rPr>
        <w:t> </w:t>
      </w:r>
      <w:r>
        <w:rPr>
          <w:sz w:val="20"/>
        </w:rPr>
        <w:t>Abdel</w:t>
      </w:r>
      <w:r>
        <w:rPr>
          <w:spacing w:val="-3"/>
          <w:sz w:val="20"/>
        </w:rPr>
        <w:t> </w:t>
      </w:r>
      <w:r>
        <w:rPr>
          <w:sz w:val="20"/>
        </w:rPr>
        <w:t>Kani,</w:t>
      </w:r>
      <w:r>
        <w:rPr>
          <w:spacing w:val="-7"/>
          <w:sz w:val="20"/>
        </w:rPr>
        <w:t> </w:t>
      </w:r>
      <w:r>
        <w:rPr>
          <w:sz w:val="20"/>
        </w:rPr>
        <w:t>also known</w:t>
      </w:r>
      <w:r>
        <w:rPr>
          <w:spacing w:val="40"/>
          <w:sz w:val="20"/>
        </w:rPr>
        <w:t> </w:t>
      </w:r>
      <w:r>
        <w:rPr>
          <w:sz w:val="20"/>
        </w:rPr>
        <w:t>as</w:t>
      </w:r>
      <w:r>
        <w:rPr>
          <w:spacing w:val="40"/>
          <w:sz w:val="20"/>
        </w:rPr>
        <w:t> </w:t>
      </w:r>
      <w:r>
        <w:rPr>
          <w:sz w:val="20"/>
        </w:rPr>
        <w:t>“Mahamat</w:t>
      </w:r>
      <w:r>
        <w:rPr>
          <w:spacing w:val="40"/>
          <w:sz w:val="20"/>
        </w:rPr>
        <w:t> </w:t>
      </w:r>
      <w:r>
        <w:rPr>
          <w:sz w:val="20"/>
        </w:rPr>
        <w:t>Said</w:t>
      </w:r>
      <w:r>
        <w:rPr>
          <w:spacing w:val="40"/>
          <w:sz w:val="20"/>
        </w:rPr>
        <w:t> </w:t>
      </w:r>
      <w:r>
        <w:rPr>
          <w:sz w:val="20"/>
        </w:rPr>
        <w:t>Abdel</w:t>
      </w:r>
      <w:r>
        <w:rPr>
          <w:spacing w:val="40"/>
          <w:sz w:val="20"/>
        </w:rPr>
        <w:t> </w:t>
      </w:r>
      <w:r>
        <w:rPr>
          <w:sz w:val="20"/>
        </w:rPr>
        <w:t>Kani”</w:t>
      </w:r>
      <w:r>
        <w:rPr>
          <w:spacing w:val="40"/>
          <w:sz w:val="20"/>
        </w:rPr>
        <w:t> </w:t>
      </w:r>
      <w:r>
        <w:rPr>
          <w:sz w:val="20"/>
        </w:rPr>
        <w:t>and</w:t>
      </w:r>
      <w:r>
        <w:rPr>
          <w:spacing w:val="40"/>
          <w:sz w:val="20"/>
        </w:rPr>
        <w:t> </w:t>
      </w:r>
      <w:r>
        <w:rPr>
          <w:sz w:val="20"/>
        </w:rPr>
        <w:t>“Mahamat</w:t>
      </w:r>
      <w:r>
        <w:rPr>
          <w:spacing w:val="40"/>
          <w:sz w:val="20"/>
        </w:rPr>
        <w:t> </w:t>
      </w:r>
      <w:r>
        <w:rPr>
          <w:sz w:val="20"/>
        </w:rPr>
        <w:t>Saïd</w:t>
      </w:r>
      <w:r>
        <w:rPr>
          <w:spacing w:val="40"/>
          <w:sz w:val="20"/>
        </w:rPr>
        <w:t> </w:t>
      </w:r>
      <w:r>
        <w:rPr>
          <w:sz w:val="20"/>
        </w:rPr>
        <w:t>Abdelkani”</w:t>
      </w:r>
      <w:r>
        <w:rPr>
          <w:spacing w:val="40"/>
          <w:sz w:val="20"/>
        </w:rPr>
        <w:t> </w:t>
      </w:r>
      <w:r>
        <w:rPr>
          <w:sz w:val="20"/>
        </w:rPr>
        <w:t>(“Mr</w:t>
      </w:r>
      <w:r>
        <w:rPr>
          <w:spacing w:val="40"/>
          <w:sz w:val="20"/>
        </w:rPr>
        <w:t> </w:t>
      </w:r>
      <w:r>
        <w:rPr>
          <w:sz w:val="20"/>
        </w:rPr>
        <w:t>Said”), was issued under seal on 7 January 2019 for war crimes and crimes against humanity allegedly committed in Bangui, CAR in 2013. Mr Said was surrendered to the Court on 24 January 2021. On 9 December 2021, Pre-Trial Chamber II partially </w:t>
      </w:r>
      <w:hyperlink r:id="rId12">
        <w:r>
          <w:rPr>
            <w:sz w:val="20"/>
          </w:rPr>
          <w:t>confirmed</w:t>
        </w:r>
      </w:hyperlink>
      <w:r>
        <w:rPr>
          <w:sz w:val="20"/>
        </w:rPr>
        <w:t> the charges brought</w:t>
      </w:r>
      <w:r>
        <w:rPr>
          <w:spacing w:val="40"/>
          <w:sz w:val="20"/>
        </w:rPr>
        <w:t> </w:t>
      </w:r>
      <w:r>
        <w:rPr>
          <w:sz w:val="20"/>
        </w:rPr>
        <w:t>by</w:t>
      </w:r>
      <w:r>
        <w:rPr>
          <w:spacing w:val="40"/>
          <w:sz w:val="20"/>
        </w:rPr>
        <w:t> </w:t>
      </w:r>
      <w:r>
        <w:rPr>
          <w:sz w:val="20"/>
        </w:rPr>
        <w:t>the</w:t>
      </w:r>
      <w:r>
        <w:rPr>
          <w:spacing w:val="40"/>
          <w:sz w:val="20"/>
        </w:rPr>
        <w:t> </w:t>
      </w:r>
      <w:r>
        <w:rPr>
          <w:sz w:val="20"/>
        </w:rPr>
        <w:t>Prosecutor</w:t>
      </w:r>
      <w:r>
        <w:rPr>
          <w:spacing w:val="40"/>
          <w:sz w:val="20"/>
        </w:rPr>
        <w:t> </w:t>
      </w:r>
      <w:r>
        <w:rPr>
          <w:sz w:val="20"/>
        </w:rPr>
        <w:t>and</w:t>
      </w:r>
      <w:r>
        <w:rPr>
          <w:spacing w:val="40"/>
          <w:sz w:val="20"/>
        </w:rPr>
        <w:t> </w:t>
      </w:r>
      <w:r>
        <w:rPr>
          <w:sz w:val="20"/>
        </w:rPr>
        <w:t>committed</w:t>
      </w:r>
      <w:r>
        <w:rPr>
          <w:spacing w:val="40"/>
          <w:sz w:val="20"/>
        </w:rPr>
        <w:t> </w:t>
      </w:r>
      <w:r>
        <w:rPr>
          <w:sz w:val="20"/>
        </w:rPr>
        <w:t>him</w:t>
      </w:r>
      <w:r>
        <w:rPr>
          <w:spacing w:val="40"/>
          <w:sz w:val="20"/>
        </w:rPr>
        <w:t> </w:t>
      </w:r>
      <w:r>
        <w:rPr>
          <w:sz w:val="20"/>
        </w:rPr>
        <w:t>to</w:t>
      </w:r>
      <w:r>
        <w:rPr>
          <w:spacing w:val="40"/>
          <w:sz w:val="20"/>
        </w:rPr>
        <w:t> </w:t>
      </w:r>
      <w:r>
        <w:rPr>
          <w:sz w:val="20"/>
        </w:rPr>
        <w:t>trial.</w:t>
      </w:r>
      <w:r>
        <w:rPr>
          <w:spacing w:val="40"/>
          <w:sz w:val="20"/>
        </w:rPr>
        <w:t> </w:t>
      </w:r>
      <w:r>
        <w:rPr>
          <w:sz w:val="20"/>
        </w:rPr>
        <w:t>The</w:t>
      </w:r>
      <w:r>
        <w:rPr>
          <w:spacing w:val="40"/>
          <w:sz w:val="20"/>
        </w:rPr>
        <w:t> </w:t>
      </w:r>
      <w:r>
        <w:rPr>
          <w:sz w:val="20"/>
        </w:rPr>
        <w:t>trial</w:t>
      </w:r>
      <w:r>
        <w:rPr>
          <w:spacing w:val="40"/>
          <w:sz w:val="20"/>
        </w:rPr>
        <w:t> </w:t>
      </w:r>
      <w:r>
        <w:rPr>
          <w:sz w:val="20"/>
        </w:rPr>
        <w:t>is</w:t>
      </w:r>
      <w:r>
        <w:rPr>
          <w:spacing w:val="40"/>
          <w:sz w:val="20"/>
        </w:rPr>
        <w:t> </w:t>
      </w:r>
      <w:r>
        <w:rPr>
          <w:sz w:val="20"/>
        </w:rPr>
        <w:t>scheduled</w:t>
      </w:r>
      <w:r>
        <w:rPr>
          <w:spacing w:val="40"/>
          <w:sz w:val="20"/>
        </w:rPr>
        <w:t> </w:t>
      </w:r>
      <w:r>
        <w:rPr>
          <w:sz w:val="20"/>
        </w:rPr>
        <w:t>to</w:t>
      </w:r>
      <w:r>
        <w:rPr>
          <w:spacing w:val="40"/>
          <w:sz w:val="20"/>
        </w:rPr>
        <w:t> </w:t>
      </w:r>
      <w:r>
        <w:rPr>
          <w:sz w:val="20"/>
        </w:rPr>
        <w:t>open on 26 September 2022 before Trial Chamber VI.</w:t>
      </w:r>
    </w:p>
    <w:p>
      <w:pPr>
        <w:pStyle w:val="ListParagraph"/>
        <w:numPr>
          <w:ilvl w:val="0"/>
          <w:numId w:val="4"/>
        </w:numPr>
        <w:tabs>
          <w:tab w:pos="2967" w:val="left" w:leader="none"/>
        </w:tabs>
        <w:spacing w:line="240" w:lineRule="auto" w:before="119" w:after="0"/>
        <w:ind w:left="2246" w:right="2240" w:firstLine="0"/>
        <w:jc w:val="both"/>
        <w:rPr>
          <w:sz w:val="20"/>
        </w:rPr>
      </w:pPr>
      <w:r>
        <w:rPr>
          <w:sz w:val="20"/>
        </w:rPr>
        <w:t>Investigative activities in support of the CAR II.a and CAR II.b cases – including missions to the situation country – will continue in 2023 with a view to finalizing investigative activities. The OTP will also work with the local authorities and the Special Criminal Court in the Central African Republic as part of its efforts to encourage accountability efforts at the national level.</w:t>
      </w:r>
    </w:p>
    <w:p>
      <w:pPr>
        <w:pStyle w:val="ListParagraph"/>
        <w:numPr>
          <w:ilvl w:val="0"/>
          <w:numId w:val="4"/>
        </w:numPr>
        <w:tabs>
          <w:tab w:pos="2967" w:val="left" w:leader="none"/>
        </w:tabs>
        <w:spacing w:line="240" w:lineRule="auto" w:before="123" w:after="0"/>
        <w:ind w:left="2246" w:right="2243" w:firstLine="0"/>
        <w:jc w:val="both"/>
        <w:rPr>
          <w:sz w:val="20"/>
        </w:rPr>
      </w:pPr>
      <w:r>
        <w:rPr>
          <w:sz w:val="20"/>
        </w:rPr>
        <w:t>The TFV’s assistance activities started in 2020 to address the harm suffered by victims in both the CAR I and the CAR II situations.</w:t>
      </w:r>
    </w:p>
    <w:p>
      <w:pPr>
        <w:pStyle w:val="BodyText"/>
        <w:spacing w:before="10"/>
      </w:pPr>
    </w:p>
    <w:p>
      <w:pPr>
        <w:spacing w:before="1"/>
        <w:ind w:left="2246" w:right="0" w:firstLine="0"/>
        <w:jc w:val="left"/>
        <w:rPr>
          <w:i/>
          <w:sz w:val="20"/>
        </w:rPr>
      </w:pPr>
      <w:r>
        <w:rPr>
          <w:i/>
          <w:sz w:val="20"/>
        </w:rPr>
        <w:t>Situation</w:t>
      </w:r>
      <w:r>
        <w:rPr>
          <w:i/>
          <w:spacing w:val="-6"/>
          <w:sz w:val="20"/>
        </w:rPr>
        <w:t> </w:t>
      </w:r>
      <w:r>
        <w:rPr>
          <w:i/>
          <w:sz w:val="20"/>
        </w:rPr>
        <w:t>in</w:t>
      </w:r>
      <w:r>
        <w:rPr>
          <w:i/>
          <w:spacing w:val="-5"/>
          <w:sz w:val="20"/>
        </w:rPr>
        <w:t> </w:t>
      </w:r>
      <w:r>
        <w:rPr>
          <w:i/>
          <w:sz w:val="20"/>
        </w:rPr>
        <w:t>the</w:t>
      </w:r>
      <w:r>
        <w:rPr>
          <w:i/>
          <w:spacing w:val="-8"/>
          <w:sz w:val="20"/>
        </w:rPr>
        <w:t> </w:t>
      </w:r>
      <w:r>
        <w:rPr>
          <w:i/>
          <w:sz w:val="20"/>
        </w:rPr>
        <w:t>Republic</w:t>
      </w:r>
      <w:r>
        <w:rPr>
          <w:i/>
          <w:spacing w:val="-4"/>
          <w:sz w:val="20"/>
        </w:rPr>
        <w:t> </w:t>
      </w:r>
      <w:r>
        <w:rPr>
          <w:i/>
          <w:sz w:val="20"/>
        </w:rPr>
        <w:t>of</w:t>
      </w:r>
      <w:r>
        <w:rPr>
          <w:i/>
          <w:spacing w:val="-3"/>
          <w:sz w:val="20"/>
        </w:rPr>
        <w:t> </w:t>
      </w:r>
      <w:r>
        <w:rPr>
          <w:i/>
          <w:sz w:val="20"/>
        </w:rPr>
        <w:t>Côte</w:t>
      </w:r>
      <w:r>
        <w:rPr>
          <w:i/>
          <w:spacing w:val="-3"/>
          <w:sz w:val="20"/>
        </w:rPr>
        <w:t> </w:t>
      </w:r>
      <w:r>
        <w:rPr>
          <w:i/>
          <w:spacing w:val="-2"/>
          <w:sz w:val="20"/>
        </w:rPr>
        <w:t>d’Ivoire</w:t>
      </w:r>
    </w:p>
    <w:p>
      <w:pPr>
        <w:pStyle w:val="BodyText"/>
        <w:spacing w:before="10"/>
        <w:rPr>
          <w:i/>
        </w:rPr>
      </w:pPr>
    </w:p>
    <w:p>
      <w:pPr>
        <w:pStyle w:val="ListParagraph"/>
        <w:numPr>
          <w:ilvl w:val="0"/>
          <w:numId w:val="4"/>
        </w:numPr>
        <w:tabs>
          <w:tab w:pos="2967" w:val="left" w:leader="none"/>
        </w:tabs>
        <w:spacing w:line="240" w:lineRule="auto" w:before="1" w:after="0"/>
        <w:ind w:left="2246" w:right="2243" w:firstLine="0"/>
        <w:jc w:val="both"/>
        <w:rPr>
          <w:sz w:val="20"/>
        </w:rPr>
      </w:pPr>
      <w:r>
        <w:rPr>
          <w:sz w:val="20"/>
        </w:rPr>
        <w:t>On</w:t>
      </w:r>
      <w:r>
        <w:rPr>
          <w:spacing w:val="-1"/>
          <w:sz w:val="20"/>
        </w:rPr>
        <w:t> </w:t>
      </w:r>
      <w:r>
        <w:rPr>
          <w:sz w:val="20"/>
        </w:rPr>
        <w:t>3</w:t>
      </w:r>
      <w:r>
        <w:rPr>
          <w:spacing w:val="-6"/>
          <w:sz w:val="20"/>
        </w:rPr>
        <w:t> </w:t>
      </w:r>
      <w:r>
        <w:rPr>
          <w:sz w:val="20"/>
        </w:rPr>
        <w:t>October</w:t>
      </w:r>
      <w:r>
        <w:rPr>
          <w:spacing w:val="-1"/>
          <w:sz w:val="20"/>
        </w:rPr>
        <w:t> </w:t>
      </w:r>
      <w:r>
        <w:rPr>
          <w:sz w:val="20"/>
        </w:rPr>
        <w:t>2011, Pre-Trial</w:t>
      </w:r>
      <w:r>
        <w:rPr>
          <w:spacing w:val="-4"/>
          <w:sz w:val="20"/>
        </w:rPr>
        <w:t> </w:t>
      </w:r>
      <w:r>
        <w:rPr>
          <w:sz w:val="20"/>
        </w:rPr>
        <w:t>Chamber</w:t>
      </w:r>
      <w:r>
        <w:rPr>
          <w:spacing w:val="-6"/>
          <w:sz w:val="20"/>
        </w:rPr>
        <w:t> </w:t>
      </w:r>
      <w:r>
        <w:rPr>
          <w:sz w:val="20"/>
        </w:rPr>
        <w:t>III</w:t>
      </w:r>
      <w:r>
        <w:rPr>
          <w:spacing w:val="-6"/>
          <w:sz w:val="20"/>
        </w:rPr>
        <w:t> </w:t>
      </w:r>
      <w:r>
        <w:rPr>
          <w:sz w:val="20"/>
        </w:rPr>
        <w:t>granted</w:t>
      </w:r>
      <w:r>
        <w:rPr>
          <w:spacing w:val="-6"/>
          <w:sz w:val="20"/>
        </w:rPr>
        <w:t> </w:t>
      </w:r>
      <w:r>
        <w:rPr>
          <w:sz w:val="20"/>
        </w:rPr>
        <w:t>the</w:t>
      </w:r>
      <w:r>
        <w:rPr>
          <w:spacing w:val="-4"/>
          <w:sz w:val="20"/>
        </w:rPr>
        <w:t> </w:t>
      </w:r>
      <w:r>
        <w:rPr>
          <w:sz w:val="20"/>
        </w:rPr>
        <w:t>Prosecutor’s</w:t>
      </w:r>
      <w:r>
        <w:rPr>
          <w:spacing w:val="-2"/>
          <w:sz w:val="20"/>
        </w:rPr>
        <w:t> </w:t>
      </w:r>
      <w:r>
        <w:rPr>
          <w:sz w:val="20"/>
        </w:rPr>
        <w:t>request</w:t>
      </w:r>
      <w:r>
        <w:rPr>
          <w:spacing w:val="-4"/>
          <w:sz w:val="20"/>
        </w:rPr>
        <w:t> </w:t>
      </w:r>
      <w:r>
        <w:rPr>
          <w:sz w:val="20"/>
        </w:rPr>
        <w:t>to</w:t>
      </w:r>
      <w:r>
        <w:rPr>
          <w:spacing w:val="-6"/>
          <w:sz w:val="20"/>
        </w:rPr>
        <w:t> </w:t>
      </w:r>
      <w:r>
        <w:rPr>
          <w:sz w:val="20"/>
        </w:rPr>
        <w:t>open an</w:t>
      </w:r>
      <w:r>
        <w:rPr>
          <w:spacing w:val="-9"/>
          <w:sz w:val="20"/>
        </w:rPr>
        <w:t> </w:t>
      </w:r>
      <w:r>
        <w:rPr>
          <w:sz w:val="20"/>
        </w:rPr>
        <w:t>investigation</w:t>
      </w:r>
      <w:r>
        <w:rPr>
          <w:spacing w:val="-7"/>
          <w:sz w:val="20"/>
        </w:rPr>
        <w:t> </w:t>
      </w:r>
      <w:r>
        <w:rPr>
          <w:i/>
          <w:sz w:val="20"/>
        </w:rPr>
        <w:t>proprio</w:t>
      </w:r>
      <w:r>
        <w:rPr>
          <w:i/>
          <w:spacing w:val="-9"/>
          <w:sz w:val="20"/>
        </w:rPr>
        <w:t> </w:t>
      </w:r>
      <w:r>
        <w:rPr>
          <w:i/>
          <w:sz w:val="20"/>
        </w:rPr>
        <w:t>motu</w:t>
      </w:r>
      <w:r>
        <w:rPr>
          <w:i/>
          <w:spacing w:val="-8"/>
          <w:sz w:val="20"/>
        </w:rPr>
        <w:t> </w:t>
      </w:r>
      <w:r>
        <w:rPr>
          <w:sz w:val="20"/>
        </w:rPr>
        <w:t>in</w:t>
      </w:r>
      <w:r>
        <w:rPr>
          <w:spacing w:val="-9"/>
          <w:sz w:val="20"/>
        </w:rPr>
        <w:t> </w:t>
      </w:r>
      <w:r>
        <w:rPr>
          <w:sz w:val="20"/>
        </w:rPr>
        <w:t>the</w:t>
      </w:r>
      <w:r>
        <w:rPr>
          <w:spacing w:val="-8"/>
          <w:sz w:val="20"/>
        </w:rPr>
        <w:t> </w:t>
      </w:r>
      <w:r>
        <w:rPr>
          <w:sz w:val="20"/>
        </w:rPr>
        <w:t>situation</w:t>
      </w:r>
      <w:r>
        <w:rPr>
          <w:spacing w:val="-9"/>
          <w:sz w:val="20"/>
        </w:rPr>
        <w:t> </w:t>
      </w:r>
      <w:r>
        <w:rPr>
          <w:sz w:val="20"/>
        </w:rPr>
        <w:t>in</w:t>
      </w:r>
      <w:r>
        <w:rPr>
          <w:spacing w:val="-9"/>
          <w:sz w:val="20"/>
        </w:rPr>
        <w:t> </w:t>
      </w:r>
      <w:r>
        <w:rPr>
          <w:sz w:val="20"/>
        </w:rPr>
        <w:t>Côte</w:t>
      </w:r>
      <w:r>
        <w:rPr>
          <w:spacing w:val="-3"/>
          <w:sz w:val="20"/>
        </w:rPr>
        <w:t> </w:t>
      </w:r>
      <w:r>
        <w:rPr>
          <w:sz w:val="20"/>
        </w:rPr>
        <w:t>d’Ivoire,</w:t>
      </w:r>
      <w:r>
        <w:rPr>
          <w:spacing w:val="-2"/>
          <w:sz w:val="20"/>
        </w:rPr>
        <w:t> </w:t>
      </w:r>
      <w:r>
        <w:rPr>
          <w:sz w:val="20"/>
        </w:rPr>
        <w:t>with</w:t>
      </w:r>
      <w:r>
        <w:rPr>
          <w:spacing w:val="-9"/>
          <w:sz w:val="20"/>
        </w:rPr>
        <w:t> </w:t>
      </w:r>
      <w:r>
        <w:rPr>
          <w:sz w:val="20"/>
        </w:rPr>
        <w:t>respect</w:t>
      </w:r>
      <w:r>
        <w:rPr>
          <w:spacing w:val="-8"/>
          <w:sz w:val="20"/>
        </w:rPr>
        <w:t> </w:t>
      </w:r>
      <w:r>
        <w:rPr>
          <w:sz w:val="20"/>
        </w:rPr>
        <w:t>to</w:t>
      </w:r>
      <w:r>
        <w:rPr>
          <w:spacing w:val="-9"/>
          <w:sz w:val="20"/>
        </w:rPr>
        <w:t> </w:t>
      </w:r>
      <w:r>
        <w:rPr>
          <w:sz w:val="20"/>
        </w:rPr>
        <w:t>alleged</w:t>
      </w:r>
      <w:r>
        <w:rPr>
          <w:spacing w:val="-9"/>
          <w:sz w:val="20"/>
        </w:rPr>
        <w:t> </w:t>
      </w:r>
      <w:r>
        <w:rPr>
          <w:sz w:val="20"/>
        </w:rPr>
        <w:t>crimes within the jurisdiction of the Court committed since 28 November 2010, as well as with regard</w:t>
      </w:r>
      <w:r>
        <w:rPr>
          <w:spacing w:val="40"/>
          <w:sz w:val="20"/>
        </w:rPr>
        <w:t> </w:t>
      </w:r>
      <w:r>
        <w:rPr>
          <w:sz w:val="20"/>
        </w:rPr>
        <w:t>to</w:t>
      </w:r>
      <w:r>
        <w:rPr>
          <w:spacing w:val="40"/>
          <w:sz w:val="20"/>
        </w:rPr>
        <w:t> </w:t>
      </w:r>
      <w:r>
        <w:rPr>
          <w:sz w:val="20"/>
        </w:rPr>
        <w:t>crimes</w:t>
      </w:r>
      <w:r>
        <w:rPr>
          <w:spacing w:val="40"/>
          <w:sz w:val="20"/>
        </w:rPr>
        <w:t> </w:t>
      </w:r>
      <w:r>
        <w:rPr>
          <w:sz w:val="20"/>
        </w:rPr>
        <w:t>that</w:t>
      </w:r>
      <w:r>
        <w:rPr>
          <w:spacing w:val="40"/>
          <w:sz w:val="20"/>
        </w:rPr>
        <w:t> </w:t>
      </w:r>
      <w:r>
        <w:rPr>
          <w:sz w:val="20"/>
        </w:rPr>
        <w:t>may</w:t>
      </w:r>
      <w:r>
        <w:rPr>
          <w:spacing w:val="40"/>
          <w:sz w:val="20"/>
        </w:rPr>
        <w:t> </w:t>
      </w:r>
      <w:r>
        <w:rPr>
          <w:sz w:val="20"/>
        </w:rPr>
        <w:t>be</w:t>
      </w:r>
      <w:r>
        <w:rPr>
          <w:spacing w:val="40"/>
          <w:sz w:val="20"/>
        </w:rPr>
        <w:t> </w:t>
      </w:r>
      <w:r>
        <w:rPr>
          <w:sz w:val="20"/>
        </w:rPr>
        <w:t>committed</w:t>
      </w:r>
      <w:r>
        <w:rPr>
          <w:spacing w:val="40"/>
          <w:sz w:val="20"/>
        </w:rPr>
        <w:t> </w:t>
      </w:r>
      <w:r>
        <w:rPr>
          <w:sz w:val="20"/>
        </w:rPr>
        <w:t>in</w:t>
      </w:r>
      <w:r>
        <w:rPr>
          <w:spacing w:val="40"/>
          <w:sz w:val="20"/>
        </w:rPr>
        <w:t> </w:t>
      </w:r>
      <w:r>
        <w:rPr>
          <w:sz w:val="20"/>
        </w:rPr>
        <w:t>the</w:t>
      </w:r>
      <w:r>
        <w:rPr>
          <w:spacing w:val="40"/>
          <w:sz w:val="20"/>
        </w:rPr>
        <w:t> </w:t>
      </w:r>
      <w:r>
        <w:rPr>
          <w:sz w:val="20"/>
        </w:rPr>
        <w:t>future</w:t>
      </w:r>
      <w:r>
        <w:rPr>
          <w:spacing w:val="40"/>
          <w:sz w:val="20"/>
        </w:rPr>
        <w:t> </w:t>
      </w:r>
      <w:r>
        <w:rPr>
          <w:sz w:val="20"/>
        </w:rPr>
        <w:t>in</w:t>
      </w:r>
      <w:r>
        <w:rPr>
          <w:spacing w:val="40"/>
          <w:sz w:val="20"/>
        </w:rPr>
        <w:t> </w:t>
      </w:r>
      <w:r>
        <w:rPr>
          <w:sz w:val="20"/>
        </w:rPr>
        <w:t>the</w:t>
      </w:r>
      <w:r>
        <w:rPr>
          <w:spacing w:val="40"/>
          <w:sz w:val="20"/>
        </w:rPr>
        <w:t> </w:t>
      </w:r>
      <w:r>
        <w:rPr>
          <w:sz w:val="20"/>
        </w:rPr>
        <w:t>context</w:t>
      </w:r>
      <w:r>
        <w:rPr>
          <w:spacing w:val="40"/>
          <w:sz w:val="20"/>
        </w:rPr>
        <w:t> </w:t>
      </w:r>
      <w:r>
        <w:rPr>
          <w:sz w:val="20"/>
        </w:rPr>
        <w:t>of</w:t>
      </w:r>
      <w:r>
        <w:rPr>
          <w:spacing w:val="40"/>
          <w:sz w:val="20"/>
        </w:rPr>
        <w:t> </w:t>
      </w:r>
      <w:r>
        <w:rPr>
          <w:sz w:val="20"/>
        </w:rPr>
        <w:t>this</w:t>
      </w:r>
      <w:r>
        <w:rPr>
          <w:spacing w:val="40"/>
          <w:sz w:val="20"/>
        </w:rPr>
        <w:t> </w:t>
      </w:r>
      <w:r>
        <w:rPr>
          <w:sz w:val="20"/>
        </w:rPr>
        <w:t>situation. On 22</w:t>
      </w:r>
      <w:r>
        <w:rPr>
          <w:spacing w:val="-3"/>
          <w:sz w:val="20"/>
        </w:rPr>
        <w:t> </w:t>
      </w:r>
      <w:r>
        <w:rPr>
          <w:sz w:val="20"/>
        </w:rPr>
        <w:t>February 2012, Pre-Trial Chamber III decided to expand its authorization for the investigation</w:t>
      </w:r>
      <w:r>
        <w:rPr>
          <w:spacing w:val="-5"/>
          <w:sz w:val="20"/>
        </w:rPr>
        <w:t> </w:t>
      </w:r>
      <w:r>
        <w:rPr>
          <w:sz w:val="20"/>
        </w:rPr>
        <w:t>in</w:t>
      </w:r>
      <w:r>
        <w:rPr>
          <w:spacing w:val="-5"/>
          <w:sz w:val="20"/>
        </w:rPr>
        <w:t> </w:t>
      </w:r>
      <w:r>
        <w:rPr>
          <w:sz w:val="20"/>
        </w:rPr>
        <w:t>Côte</w:t>
      </w:r>
      <w:r>
        <w:rPr>
          <w:spacing w:val="-3"/>
          <w:sz w:val="20"/>
        </w:rPr>
        <w:t> </w:t>
      </w:r>
      <w:r>
        <w:rPr>
          <w:sz w:val="20"/>
        </w:rPr>
        <w:t>d’Ivoire</w:t>
      </w:r>
      <w:r>
        <w:rPr>
          <w:spacing w:val="-3"/>
          <w:sz w:val="20"/>
        </w:rPr>
        <w:t> </w:t>
      </w:r>
      <w:r>
        <w:rPr>
          <w:sz w:val="20"/>
        </w:rPr>
        <w:t>to</w:t>
      </w:r>
      <w:r>
        <w:rPr>
          <w:spacing w:val="-5"/>
          <w:sz w:val="20"/>
        </w:rPr>
        <w:t> </w:t>
      </w:r>
      <w:r>
        <w:rPr>
          <w:sz w:val="20"/>
        </w:rPr>
        <w:t>include</w:t>
      </w:r>
      <w:r>
        <w:rPr>
          <w:spacing w:val="-8"/>
          <w:sz w:val="20"/>
        </w:rPr>
        <w:t> </w:t>
      </w:r>
      <w:r>
        <w:rPr>
          <w:sz w:val="20"/>
        </w:rPr>
        <w:t>crimes</w:t>
      </w:r>
      <w:r>
        <w:rPr>
          <w:spacing w:val="-6"/>
          <w:sz w:val="20"/>
        </w:rPr>
        <w:t> </w:t>
      </w:r>
      <w:r>
        <w:rPr>
          <w:sz w:val="20"/>
        </w:rPr>
        <w:t>within</w:t>
      </w:r>
      <w:r>
        <w:rPr>
          <w:spacing w:val="-5"/>
          <w:sz w:val="20"/>
        </w:rPr>
        <w:t> </w:t>
      </w:r>
      <w:r>
        <w:rPr>
          <w:sz w:val="20"/>
        </w:rPr>
        <w:t>the</w:t>
      </w:r>
      <w:r>
        <w:rPr>
          <w:spacing w:val="-8"/>
          <w:sz w:val="20"/>
        </w:rPr>
        <w:t> </w:t>
      </w:r>
      <w:r>
        <w:rPr>
          <w:sz w:val="20"/>
        </w:rPr>
        <w:t>jurisdiction</w:t>
      </w:r>
      <w:r>
        <w:rPr>
          <w:spacing w:val="-5"/>
          <w:sz w:val="20"/>
        </w:rPr>
        <w:t> </w:t>
      </w:r>
      <w:r>
        <w:rPr>
          <w:sz w:val="20"/>
        </w:rPr>
        <w:t>of</w:t>
      </w:r>
      <w:r>
        <w:rPr>
          <w:spacing w:val="-5"/>
          <w:sz w:val="20"/>
        </w:rPr>
        <w:t> </w:t>
      </w:r>
      <w:r>
        <w:rPr>
          <w:sz w:val="20"/>
        </w:rPr>
        <w:t>the</w:t>
      </w:r>
      <w:r>
        <w:rPr>
          <w:spacing w:val="-8"/>
          <w:sz w:val="20"/>
        </w:rPr>
        <w:t> </w:t>
      </w:r>
      <w:r>
        <w:rPr>
          <w:sz w:val="20"/>
        </w:rPr>
        <w:t>Court</w:t>
      </w:r>
      <w:r>
        <w:rPr>
          <w:spacing w:val="-8"/>
          <w:sz w:val="20"/>
        </w:rPr>
        <w:t> </w:t>
      </w:r>
      <w:r>
        <w:rPr>
          <w:sz w:val="20"/>
        </w:rPr>
        <w:t>allegedly committed between 19 September 2002 and 28 November 2010.</w:t>
      </w:r>
    </w:p>
    <w:p>
      <w:pPr>
        <w:pStyle w:val="ListParagraph"/>
        <w:numPr>
          <w:ilvl w:val="0"/>
          <w:numId w:val="4"/>
        </w:numPr>
        <w:tabs>
          <w:tab w:pos="2967" w:val="left" w:leader="none"/>
        </w:tabs>
        <w:spacing w:line="240" w:lineRule="auto" w:before="118" w:after="0"/>
        <w:ind w:left="2246" w:right="2242" w:firstLine="0"/>
        <w:jc w:val="both"/>
        <w:rPr>
          <w:sz w:val="20"/>
        </w:rPr>
      </w:pPr>
      <w:r>
        <w:rPr>
          <w:sz w:val="20"/>
        </w:rPr>
        <w:t>The OTP currently anticipates that it will continue with a view to finalizing its investigative</w:t>
      </w:r>
      <w:r>
        <w:rPr>
          <w:spacing w:val="-13"/>
          <w:sz w:val="20"/>
        </w:rPr>
        <w:t> </w:t>
      </w:r>
      <w:r>
        <w:rPr>
          <w:sz w:val="20"/>
        </w:rPr>
        <w:t>activities</w:t>
      </w:r>
      <w:r>
        <w:rPr>
          <w:spacing w:val="-12"/>
          <w:sz w:val="20"/>
        </w:rPr>
        <w:t> </w:t>
      </w:r>
      <w:r>
        <w:rPr>
          <w:sz w:val="20"/>
        </w:rPr>
        <w:t>in</w:t>
      </w:r>
      <w:r>
        <w:rPr>
          <w:spacing w:val="-13"/>
          <w:sz w:val="20"/>
        </w:rPr>
        <w:t> </w:t>
      </w:r>
      <w:r>
        <w:rPr>
          <w:sz w:val="20"/>
        </w:rPr>
        <w:t>2023</w:t>
      </w:r>
      <w:r>
        <w:rPr>
          <w:spacing w:val="-12"/>
          <w:sz w:val="20"/>
        </w:rPr>
        <w:t> </w:t>
      </w:r>
      <w:r>
        <w:rPr>
          <w:sz w:val="20"/>
        </w:rPr>
        <w:t>in</w:t>
      </w:r>
      <w:r>
        <w:rPr>
          <w:spacing w:val="-13"/>
          <w:sz w:val="20"/>
        </w:rPr>
        <w:t> </w:t>
      </w:r>
      <w:r>
        <w:rPr>
          <w:sz w:val="20"/>
        </w:rPr>
        <w:t>relation</w:t>
      </w:r>
      <w:r>
        <w:rPr>
          <w:spacing w:val="-12"/>
          <w:sz w:val="20"/>
        </w:rPr>
        <w:t> </w:t>
      </w:r>
      <w:r>
        <w:rPr>
          <w:sz w:val="20"/>
        </w:rPr>
        <w:t>to</w:t>
      </w:r>
      <w:r>
        <w:rPr>
          <w:spacing w:val="-13"/>
          <w:sz w:val="20"/>
        </w:rPr>
        <w:t> </w:t>
      </w:r>
      <w:r>
        <w:rPr>
          <w:sz w:val="20"/>
        </w:rPr>
        <w:t>those</w:t>
      </w:r>
      <w:r>
        <w:rPr>
          <w:spacing w:val="-12"/>
          <w:sz w:val="20"/>
        </w:rPr>
        <w:t> </w:t>
      </w:r>
      <w:r>
        <w:rPr>
          <w:sz w:val="20"/>
        </w:rPr>
        <w:t>crimes</w:t>
      </w:r>
      <w:r>
        <w:rPr>
          <w:spacing w:val="-13"/>
          <w:sz w:val="20"/>
        </w:rPr>
        <w:t> </w:t>
      </w:r>
      <w:r>
        <w:rPr>
          <w:sz w:val="20"/>
        </w:rPr>
        <w:t>committed</w:t>
      </w:r>
      <w:r>
        <w:rPr>
          <w:spacing w:val="-9"/>
          <w:sz w:val="20"/>
        </w:rPr>
        <w:t> </w:t>
      </w:r>
      <w:r>
        <w:rPr>
          <w:sz w:val="20"/>
        </w:rPr>
        <w:t>during</w:t>
      </w:r>
      <w:r>
        <w:rPr>
          <w:spacing w:val="-13"/>
          <w:sz w:val="20"/>
        </w:rPr>
        <w:t> </w:t>
      </w:r>
      <w:r>
        <w:rPr>
          <w:sz w:val="20"/>
        </w:rPr>
        <w:t>the</w:t>
      </w:r>
      <w:r>
        <w:rPr>
          <w:spacing w:val="-11"/>
          <w:sz w:val="20"/>
        </w:rPr>
        <w:t> </w:t>
      </w:r>
      <w:r>
        <w:rPr>
          <w:sz w:val="20"/>
        </w:rPr>
        <w:t>post-electoral violence by pro-Ouattara forces (CIV</w:t>
      </w:r>
      <w:r>
        <w:rPr>
          <w:spacing w:val="-3"/>
          <w:sz w:val="20"/>
        </w:rPr>
        <w:t> </w:t>
      </w:r>
      <w:r>
        <w:rPr>
          <w:sz w:val="20"/>
        </w:rPr>
        <w:t>II). The Office expects that in 2023, it will be able to make a decision in relation to potential prosecutions.</w:t>
      </w:r>
    </w:p>
    <w:p>
      <w:pPr>
        <w:pStyle w:val="ListParagraph"/>
        <w:numPr>
          <w:ilvl w:val="0"/>
          <w:numId w:val="4"/>
        </w:numPr>
        <w:tabs>
          <w:tab w:pos="2967" w:val="left" w:leader="none"/>
        </w:tabs>
        <w:spacing w:line="240" w:lineRule="auto" w:before="122" w:after="0"/>
        <w:ind w:left="2246" w:right="2246" w:firstLine="0"/>
        <w:jc w:val="both"/>
        <w:rPr>
          <w:sz w:val="20"/>
        </w:rPr>
      </w:pPr>
      <w:r>
        <w:rPr>
          <w:sz w:val="20"/>
        </w:rPr>
        <w:t>As part of its assistance mandate, the TFV’s rehabilitation programme, with three implementing</w:t>
      </w:r>
      <w:r>
        <w:rPr>
          <w:spacing w:val="-8"/>
          <w:sz w:val="20"/>
        </w:rPr>
        <w:t> </w:t>
      </w:r>
      <w:r>
        <w:rPr>
          <w:sz w:val="20"/>
        </w:rPr>
        <w:t>partners,</w:t>
      </w:r>
      <w:r>
        <w:rPr>
          <w:spacing w:val="-6"/>
          <w:sz w:val="20"/>
        </w:rPr>
        <w:t> </w:t>
      </w:r>
      <w:r>
        <w:rPr>
          <w:sz w:val="20"/>
        </w:rPr>
        <w:t>continues</w:t>
      </w:r>
      <w:r>
        <w:rPr>
          <w:spacing w:val="-10"/>
          <w:sz w:val="20"/>
        </w:rPr>
        <w:t> </w:t>
      </w:r>
      <w:r>
        <w:rPr>
          <w:sz w:val="20"/>
        </w:rPr>
        <w:t>into</w:t>
      </w:r>
      <w:r>
        <w:rPr>
          <w:spacing w:val="-8"/>
          <w:sz w:val="20"/>
        </w:rPr>
        <w:t> </w:t>
      </w:r>
      <w:r>
        <w:rPr>
          <w:sz w:val="20"/>
        </w:rPr>
        <w:t>its</w:t>
      </w:r>
      <w:r>
        <w:rPr>
          <w:spacing w:val="-10"/>
          <w:sz w:val="20"/>
        </w:rPr>
        <w:t> </w:t>
      </w:r>
      <w:r>
        <w:rPr>
          <w:sz w:val="20"/>
        </w:rPr>
        <w:t>third</w:t>
      </w:r>
      <w:r>
        <w:rPr>
          <w:spacing w:val="-8"/>
          <w:sz w:val="20"/>
        </w:rPr>
        <w:t> </w:t>
      </w:r>
      <w:r>
        <w:rPr>
          <w:sz w:val="20"/>
        </w:rPr>
        <w:t>year</w:t>
      </w:r>
      <w:r>
        <w:rPr>
          <w:spacing w:val="-8"/>
          <w:sz w:val="20"/>
        </w:rPr>
        <w:t> </w:t>
      </w:r>
      <w:r>
        <w:rPr>
          <w:sz w:val="20"/>
        </w:rPr>
        <w:t>by</w:t>
      </w:r>
      <w:r>
        <w:rPr>
          <w:spacing w:val="-8"/>
          <w:sz w:val="20"/>
        </w:rPr>
        <w:t> </w:t>
      </w:r>
      <w:r>
        <w:rPr>
          <w:sz w:val="20"/>
        </w:rPr>
        <w:t>providing</w:t>
      </w:r>
      <w:r>
        <w:rPr>
          <w:spacing w:val="-8"/>
          <w:sz w:val="20"/>
        </w:rPr>
        <w:t> </w:t>
      </w:r>
      <w:r>
        <w:rPr>
          <w:sz w:val="20"/>
        </w:rPr>
        <w:t>rehabilitation</w:t>
      </w:r>
      <w:r>
        <w:rPr>
          <w:spacing w:val="-13"/>
          <w:sz w:val="20"/>
        </w:rPr>
        <w:t> </w:t>
      </w:r>
      <w:r>
        <w:rPr>
          <w:sz w:val="20"/>
        </w:rPr>
        <w:t>to</w:t>
      </w:r>
      <w:r>
        <w:rPr>
          <w:spacing w:val="-8"/>
          <w:sz w:val="20"/>
        </w:rPr>
        <w:t> </w:t>
      </w:r>
      <w:r>
        <w:rPr>
          <w:sz w:val="20"/>
        </w:rPr>
        <w:t>address</w:t>
      </w:r>
      <w:r>
        <w:rPr>
          <w:spacing w:val="-10"/>
          <w:sz w:val="20"/>
        </w:rPr>
        <w:t> </w:t>
      </w:r>
      <w:r>
        <w:rPr>
          <w:sz w:val="20"/>
        </w:rPr>
        <w:t>the harm suffered by victims in the context of a situation within the jurisdiction of the Court.</w:t>
      </w:r>
    </w:p>
    <w:p>
      <w:pPr>
        <w:pStyle w:val="BodyText"/>
        <w:rPr>
          <w:sz w:val="21"/>
        </w:rPr>
      </w:pPr>
    </w:p>
    <w:p>
      <w:pPr>
        <w:spacing w:before="0"/>
        <w:ind w:left="2246" w:right="0" w:firstLine="0"/>
        <w:jc w:val="left"/>
        <w:rPr>
          <w:i/>
          <w:sz w:val="20"/>
        </w:rPr>
      </w:pPr>
      <w:r>
        <w:rPr>
          <w:i/>
          <w:sz w:val="20"/>
        </w:rPr>
        <w:t>Situation</w:t>
      </w:r>
      <w:r>
        <w:rPr>
          <w:i/>
          <w:spacing w:val="-7"/>
          <w:sz w:val="20"/>
        </w:rPr>
        <w:t> </w:t>
      </w:r>
      <w:r>
        <w:rPr>
          <w:i/>
          <w:sz w:val="20"/>
        </w:rPr>
        <w:t>in</w:t>
      </w:r>
      <w:r>
        <w:rPr>
          <w:i/>
          <w:spacing w:val="-2"/>
          <w:sz w:val="20"/>
        </w:rPr>
        <w:t> </w:t>
      </w:r>
      <w:r>
        <w:rPr>
          <w:i/>
          <w:sz w:val="20"/>
        </w:rPr>
        <w:t>Darfur</w:t>
      </w:r>
      <w:r>
        <w:rPr>
          <w:i/>
          <w:spacing w:val="-3"/>
          <w:sz w:val="20"/>
        </w:rPr>
        <w:t> </w:t>
      </w:r>
      <w:r>
        <w:rPr>
          <w:i/>
          <w:spacing w:val="-2"/>
          <w:sz w:val="20"/>
        </w:rPr>
        <w:t>(Sudan)</w:t>
      </w:r>
    </w:p>
    <w:p>
      <w:pPr>
        <w:pStyle w:val="BodyText"/>
        <w:spacing w:before="5"/>
        <w:rPr>
          <w:i/>
        </w:rPr>
      </w:pPr>
    </w:p>
    <w:p>
      <w:pPr>
        <w:pStyle w:val="ListParagraph"/>
        <w:numPr>
          <w:ilvl w:val="0"/>
          <w:numId w:val="4"/>
        </w:numPr>
        <w:tabs>
          <w:tab w:pos="2967" w:val="left" w:leader="none"/>
        </w:tabs>
        <w:spacing w:line="240" w:lineRule="auto" w:before="1" w:after="0"/>
        <w:ind w:left="2246" w:right="2246" w:firstLine="0"/>
        <w:jc w:val="both"/>
        <w:rPr>
          <w:sz w:val="20"/>
        </w:rPr>
      </w:pPr>
      <w:r>
        <w:rPr>
          <w:sz w:val="20"/>
        </w:rPr>
        <w:t>Pursuant</w:t>
      </w:r>
      <w:r>
        <w:rPr>
          <w:spacing w:val="-8"/>
          <w:sz w:val="20"/>
        </w:rPr>
        <w:t> </w:t>
      </w:r>
      <w:r>
        <w:rPr>
          <w:sz w:val="20"/>
        </w:rPr>
        <w:t>to</w:t>
      </w:r>
      <w:r>
        <w:rPr>
          <w:spacing w:val="-9"/>
          <w:sz w:val="20"/>
        </w:rPr>
        <w:t> </w:t>
      </w:r>
      <w:r>
        <w:rPr>
          <w:sz w:val="20"/>
        </w:rPr>
        <w:t>resolution</w:t>
      </w:r>
      <w:r>
        <w:rPr>
          <w:spacing w:val="-9"/>
          <w:sz w:val="20"/>
        </w:rPr>
        <w:t> </w:t>
      </w:r>
      <w:r>
        <w:rPr>
          <w:sz w:val="20"/>
        </w:rPr>
        <w:t>1593</w:t>
      </w:r>
      <w:r>
        <w:rPr>
          <w:spacing w:val="-9"/>
          <w:sz w:val="20"/>
        </w:rPr>
        <w:t> </w:t>
      </w:r>
      <w:r>
        <w:rPr>
          <w:sz w:val="20"/>
        </w:rPr>
        <w:t>of</w:t>
      </w:r>
      <w:r>
        <w:rPr>
          <w:spacing w:val="-9"/>
          <w:sz w:val="20"/>
        </w:rPr>
        <w:t> </w:t>
      </w:r>
      <w:r>
        <w:rPr>
          <w:sz w:val="20"/>
        </w:rPr>
        <w:t>31</w:t>
      </w:r>
      <w:r>
        <w:rPr>
          <w:spacing w:val="-9"/>
          <w:sz w:val="20"/>
        </w:rPr>
        <w:t> </w:t>
      </w:r>
      <w:r>
        <w:rPr>
          <w:sz w:val="20"/>
        </w:rPr>
        <w:t>March</w:t>
      </w:r>
      <w:r>
        <w:rPr>
          <w:spacing w:val="-9"/>
          <w:sz w:val="20"/>
        </w:rPr>
        <w:t> </w:t>
      </w:r>
      <w:r>
        <w:rPr>
          <w:sz w:val="20"/>
        </w:rPr>
        <w:t>2005,</w:t>
      </w:r>
      <w:r>
        <w:rPr>
          <w:spacing w:val="-7"/>
          <w:sz w:val="20"/>
        </w:rPr>
        <w:t> </w:t>
      </w:r>
      <w:r>
        <w:rPr>
          <w:sz w:val="20"/>
        </w:rPr>
        <w:t>the</w:t>
      </w:r>
      <w:r>
        <w:rPr>
          <w:spacing w:val="-8"/>
          <w:sz w:val="20"/>
        </w:rPr>
        <w:t> </w:t>
      </w:r>
      <w:r>
        <w:rPr>
          <w:sz w:val="20"/>
        </w:rPr>
        <w:t>United</w:t>
      </w:r>
      <w:r>
        <w:rPr>
          <w:spacing w:val="-5"/>
          <w:sz w:val="20"/>
        </w:rPr>
        <w:t> </w:t>
      </w:r>
      <w:r>
        <w:rPr>
          <w:sz w:val="20"/>
        </w:rPr>
        <w:t>Nations</w:t>
      </w:r>
      <w:r>
        <w:rPr>
          <w:spacing w:val="-11"/>
          <w:sz w:val="20"/>
        </w:rPr>
        <w:t> </w:t>
      </w:r>
      <w:r>
        <w:rPr>
          <w:sz w:val="20"/>
        </w:rPr>
        <w:t>Security</w:t>
      </w:r>
      <w:r>
        <w:rPr>
          <w:spacing w:val="-5"/>
          <w:sz w:val="20"/>
        </w:rPr>
        <w:t> </w:t>
      </w:r>
      <w:r>
        <w:rPr>
          <w:sz w:val="20"/>
        </w:rPr>
        <w:t>Council referred to the Court the situation in Darfur. Investigations were opened in June 2005.</w:t>
      </w:r>
    </w:p>
    <w:p>
      <w:pPr>
        <w:pStyle w:val="ListParagraph"/>
        <w:numPr>
          <w:ilvl w:val="0"/>
          <w:numId w:val="4"/>
        </w:numPr>
        <w:tabs>
          <w:tab w:pos="2967" w:val="left" w:leader="none"/>
        </w:tabs>
        <w:spacing w:line="240" w:lineRule="auto" w:before="120" w:after="0"/>
        <w:ind w:left="2246" w:right="2238" w:firstLine="0"/>
        <w:jc w:val="both"/>
        <w:rPr>
          <w:sz w:val="20"/>
        </w:rPr>
      </w:pPr>
      <w:r>
        <w:rPr>
          <w:sz w:val="20"/>
        </w:rPr>
        <w:t>Taking into account developments on the ground since August 2021, the OTP has been working to further advance cooperation for its investigations, create the conditions for a</w:t>
      </w:r>
      <w:r>
        <w:rPr>
          <w:spacing w:val="-3"/>
          <w:sz w:val="20"/>
        </w:rPr>
        <w:t> </w:t>
      </w:r>
      <w:r>
        <w:rPr>
          <w:sz w:val="20"/>
        </w:rPr>
        <w:t>continuous</w:t>
      </w:r>
      <w:r>
        <w:rPr>
          <w:spacing w:val="-11"/>
          <w:sz w:val="20"/>
        </w:rPr>
        <w:t> </w:t>
      </w:r>
      <w:r>
        <w:rPr>
          <w:sz w:val="20"/>
        </w:rPr>
        <w:t>presence</w:t>
      </w:r>
      <w:r>
        <w:rPr>
          <w:spacing w:val="-3"/>
          <w:sz w:val="20"/>
        </w:rPr>
        <w:t> </w:t>
      </w:r>
      <w:r>
        <w:rPr>
          <w:sz w:val="20"/>
        </w:rPr>
        <w:t>of</w:t>
      </w:r>
      <w:r>
        <w:rPr>
          <w:spacing w:val="-5"/>
          <w:sz w:val="20"/>
        </w:rPr>
        <w:t> </w:t>
      </w:r>
      <w:r>
        <w:rPr>
          <w:sz w:val="20"/>
        </w:rPr>
        <w:t>its</w:t>
      </w:r>
      <w:r>
        <w:rPr>
          <w:spacing w:val="-6"/>
          <w:sz w:val="20"/>
        </w:rPr>
        <w:t> </w:t>
      </w:r>
      <w:r>
        <w:rPr>
          <w:sz w:val="20"/>
        </w:rPr>
        <w:t>staff</w:t>
      </w:r>
      <w:r>
        <w:rPr>
          <w:spacing w:val="-9"/>
          <w:sz w:val="20"/>
        </w:rPr>
        <w:t> </w:t>
      </w:r>
      <w:r>
        <w:rPr>
          <w:sz w:val="20"/>
        </w:rPr>
        <w:t>in</w:t>
      </w:r>
      <w:r>
        <w:rPr>
          <w:spacing w:val="-5"/>
          <w:sz w:val="20"/>
        </w:rPr>
        <w:t> </w:t>
      </w:r>
      <w:r>
        <w:rPr>
          <w:sz w:val="20"/>
        </w:rPr>
        <w:t>Sudan,</w:t>
      </w:r>
      <w:r>
        <w:rPr>
          <w:spacing w:val="-7"/>
          <w:sz w:val="20"/>
        </w:rPr>
        <w:t> </w:t>
      </w:r>
      <w:r>
        <w:rPr>
          <w:sz w:val="20"/>
        </w:rPr>
        <w:t>and</w:t>
      </w:r>
      <w:r>
        <w:rPr>
          <w:spacing w:val="-9"/>
          <w:sz w:val="20"/>
        </w:rPr>
        <w:t> </w:t>
      </w:r>
      <w:r>
        <w:rPr>
          <w:sz w:val="20"/>
        </w:rPr>
        <w:t>advance</w:t>
      </w:r>
      <w:r>
        <w:rPr>
          <w:spacing w:val="-8"/>
          <w:sz w:val="20"/>
        </w:rPr>
        <w:t> </w:t>
      </w:r>
      <w:r>
        <w:rPr>
          <w:sz w:val="20"/>
        </w:rPr>
        <w:t>investigations</w:t>
      </w:r>
      <w:r>
        <w:rPr>
          <w:spacing w:val="-6"/>
          <w:sz w:val="20"/>
        </w:rPr>
        <w:t> </w:t>
      </w:r>
      <w:r>
        <w:rPr>
          <w:sz w:val="20"/>
        </w:rPr>
        <w:t>in</w:t>
      </w:r>
      <w:r>
        <w:rPr>
          <w:spacing w:val="-5"/>
          <w:sz w:val="20"/>
        </w:rPr>
        <w:t> </w:t>
      </w:r>
      <w:r>
        <w:rPr>
          <w:sz w:val="20"/>
        </w:rPr>
        <w:t>relation</w:t>
      </w:r>
      <w:r>
        <w:rPr>
          <w:spacing w:val="-9"/>
          <w:sz w:val="20"/>
        </w:rPr>
        <w:t> </w:t>
      </w:r>
      <w:r>
        <w:rPr>
          <w:sz w:val="20"/>
        </w:rPr>
        <w:t>to</w:t>
      </w:r>
      <w:r>
        <w:rPr>
          <w:spacing w:val="-5"/>
          <w:sz w:val="20"/>
        </w:rPr>
        <w:t> </w:t>
      </w:r>
      <w:r>
        <w:rPr>
          <w:sz w:val="20"/>
        </w:rPr>
        <w:t>suspects who remain at large.</w:t>
      </w:r>
    </w:p>
    <w:p>
      <w:pPr>
        <w:pStyle w:val="ListParagraph"/>
        <w:numPr>
          <w:ilvl w:val="0"/>
          <w:numId w:val="4"/>
        </w:numPr>
        <w:tabs>
          <w:tab w:pos="2967" w:val="left" w:leader="none"/>
        </w:tabs>
        <w:spacing w:line="240" w:lineRule="auto" w:before="123" w:after="0"/>
        <w:ind w:left="2246" w:right="2240" w:firstLine="0"/>
        <w:jc w:val="both"/>
        <w:rPr>
          <w:sz w:val="20"/>
        </w:rPr>
      </w:pPr>
      <w:r>
        <w:rPr>
          <w:sz w:val="20"/>
        </w:rPr>
        <w:t>Mr</w:t>
      </w:r>
      <w:r>
        <w:rPr>
          <w:spacing w:val="28"/>
          <w:sz w:val="20"/>
        </w:rPr>
        <w:t> </w:t>
      </w:r>
      <w:r>
        <w:rPr>
          <w:sz w:val="20"/>
        </w:rPr>
        <w:t>Ali</w:t>
      </w:r>
      <w:r>
        <w:rPr>
          <w:spacing w:val="29"/>
          <w:sz w:val="20"/>
        </w:rPr>
        <w:t> </w:t>
      </w:r>
      <w:r>
        <w:rPr>
          <w:sz w:val="20"/>
        </w:rPr>
        <w:t>Muhammad</w:t>
      </w:r>
      <w:r>
        <w:rPr>
          <w:spacing w:val="28"/>
          <w:sz w:val="20"/>
        </w:rPr>
        <w:t> </w:t>
      </w:r>
      <w:r>
        <w:rPr>
          <w:sz w:val="20"/>
        </w:rPr>
        <w:t>Ali Abd-Al-Rahman was transferred to</w:t>
      </w:r>
      <w:r>
        <w:rPr>
          <w:spacing w:val="28"/>
          <w:sz w:val="20"/>
        </w:rPr>
        <w:t> </w:t>
      </w:r>
      <w:r>
        <w:rPr>
          <w:sz w:val="20"/>
        </w:rPr>
        <w:t>the Court’s custody on 9</w:t>
      </w:r>
      <w:r>
        <w:rPr>
          <w:spacing w:val="-3"/>
          <w:sz w:val="20"/>
        </w:rPr>
        <w:t> </w:t>
      </w:r>
      <w:r>
        <w:rPr>
          <w:sz w:val="20"/>
        </w:rPr>
        <w:t>June 2020, after voluntarily surrendering in the CAR. He made his initial appearance on</w:t>
      </w:r>
      <w:r>
        <w:rPr>
          <w:spacing w:val="-1"/>
          <w:sz w:val="20"/>
        </w:rPr>
        <w:t> </w:t>
      </w:r>
      <w:r>
        <w:rPr>
          <w:sz w:val="20"/>
        </w:rPr>
        <w:t>15</w:t>
      </w:r>
      <w:r>
        <w:rPr>
          <w:spacing w:val="-4"/>
          <w:sz w:val="20"/>
        </w:rPr>
        <w:t> </w:t>
      </w:r>
      <w:r>
        <w:rPr>
          <w:sz w:val="20"/>
        </w:rPr>
        <w:t>June 2020. According</w:t>
      </w:r>
      <w:r>
        <w:rPr>
          <w:spacing w:val="-1"/>
          <w:sz w:val="20"/>
        </w:rPr>
        <w:t> </w:t>
      </w:r>
      <w:r>
        <w:rPr>
          <w:sz w:val="20"/>
        </w:rPr>
        <w:t>to</w:t>
      </w:r>
      <w:r>
        <w:rPr>
          <w:spacing w:val="-1"/>
          <w:sz w:val="20"/>
        </w:rPr>
        <w:t> </w:t>
      </w:r>
      <w:r>
        <w:rPr>
          <w:sz w:val="20"/>
        </w:rPr>
        <w:t>the Document Containing</w:t>
      </w:r>
      <w:r>
        <w:rPr>
          <w:spacing w:val="-1"/>
          <w:sz w:val="20"/>
        </w:rPr>
        <w:t> </w:t>
      </w:r>
      <w:r>
        <w:rPr>
          <w:sz w:val="20"/>
        </w:rPr>
        <w:t>the Charges, Mr</w:t>
      </w:r>
      <w:r>
        <w:rPr>
          <w:spacing w:val="-1"/>
          <w:sz w:val="20"/>
        </w:rPr>
        <w:t> </w:t>
      </w:r>
      <w:r>
        <w:rPr>
          <w:sz w:val="20"/>
        </w:rPr>
        <w:t>Abd-Al-Rahman is suspected of thirty-one (31) counts of war crimes and crimes against humanity allegedly committed</w:t>
      </w:r>
      <w:r>
        <w:rPr>
          <w:spacing w:val="-6"/>
          <w:sz w:val="20"/>
        </w:rPr>
        <w:t> </w:t>
      </w:r>
      <w:r>
        <w:rPr>
          <w:sz w:val="20"/>
        </w:rPr>
        <w:t>between</w:t>
      </w:r>
      <w:r>
        <w:rPr>
          <w:spacing w:val="-6"/>
          <w:sz w:val="20"/>
        </w:rPr>
        <w:t> </w:t>
      </w:r>
      <w:r>
        <w:rPr>
          <w:sz w:val="20"/>
        </w:rPr>
        <w:t>August</w:t>
      </w:r>
      <w:r>
        <w:rPr>
          <w:spacing w:val="-4"/>
          <w:sz w:val="20"/>
        </w:rPr>
        <w:t> </w:t>
      </w:r>
      <w:r>
        <w:rPr>
          <w:sz w:val="20"/>
        </w:rPr>
        <w:t>2003</w:t>
      </w:r>
      <w:r>
        <w:rPr>
          <w:spacing w:val="-6"/>
          <w:sz w:val="20"/>
        </w:rPr>
        <w:t> </w:t>
      </w:r>
      <w:r>
        <w:rPr>
          <w:sz w:val="20"/>
        </w:rPr>
        <w:t>and</w:t>
      </w:r>
      <w:r>
        <w:rPr>
          <w:spacing w:val="-6"/>
          <w:sz w:val="20"/>
        </w:rPr>
        <w:t> </w:t>
      </w:r>
      <w:r>
        <w:rPr>
          <w:sz w:val="20"/>
        </w:rPr>
        <w:t>at</w:t>
      </w:r>
      <w:r>
        <w:rPr>
          <w:spacing w:val="-4"/>
          <w:sz w:val="20"/>
        </w:rPr>
        <w:t> </w:t>
      </w:r>
      <w:r>
        <w:rPr>
          <w:sz w:val="20"/>
        </w:rPr>
        <w:t>least</w:t>
      </w:r>
      <w:r>
        <w:rPr>
          <w:spacing w:val="-4"/>
          <w:sz w:val="20"/>
        </w:rPr>
        <w:t> </w:t>
      </w:r>
      <w:r>
        <w:rPr>
          <w:sz w:val="20"/>
        </w:rPr>
        <w:t>April</w:t>
      </w:r>
      <w:r>
        <w:rPr>
          <w:spacing w:val="-4"/>
          <w:sz w:val="20"/>
        </w:rPr>
        <w:t> </w:t>
      </w:r>
      <w:r>
        <w:rPr>
          <w:sz w:val="20"/>
        </w:rPr>
        <w:t>2004</w:t>
      </w:r>
      <w:r>
        <w:rPr>
          <w:spacing w:val="-6"/>
          <w:sz w:val="20"/>
        </w:rPr>
        <w:t> </w:t>
      </w:r>
      <w:r>
        <w:rPr>
          <w:sz w:val="20"/>
        </w:rPr>
        <w:t>in</w:t>
      </w:r>
      <w:r>
        <w:rPr>
          <w:spacing w:val="-6"/>
          <w:sz w:val="20"/>
        </w:rPr>
        <w:t> </w:t>
      </w:r>
      <w:r>
        <w:rPr>
          <w:sz w:val="20"/>
        </w:rPr>
        <w:t>Darfur,</w:t>
      </w:r>
      <w:r>
        <w:rPr>
          <w:spacing w:val="-4"/>
          <w:sz w:val="20"/>
        </w:rPr>
        <w:t> </w:t>
      </w:r>
      <w:r>
        <w:rPr>
          <w:sz w:val="20"/>
        </w:rPr>
        <w:t>Sudan.</w:t>
      </w:r>
      <w:r>
        <w:rPr>
          <w:spacing w:val="-3"/>
          <w:sz w:val="20"/>
        </w:rPr>
        <w:t> </w:t>
      </w:r>
      <w:hyperlink r:id="rId13">
        <w:r>
          <w:rPr>
            <w:sz w:val="20"/>
          </w:rPr>
          <w:t>The</w:t>
        </w:r>
        <w:r>
          <w:rPr>
            <w:spacing w:val="-4"/>
            <w:sz w:val="20"/>
          </w:rPr>
          <w:t> </w:t>
        </w:r>
        <w:r>
          <w:rPr>
            <w:sz w:val="20"/>
          </w:rPr>
          <w:t>confirmation</w:t>
        </w:r>
      </w:hyperlink>
      <w:r>
        <w:rPr>
          <w:sz w:val="20"/>
        </w:rPr>
        <w:t> hearing</w:t>
      </w:r>
      <w:r>
        <w:rPr>
          <w:spacing w:val="-13"/>
          <w:sz w:val="20"/>
        </w:rPr>
        <w:t> </w:t>
      </w:r>
      <w:r>
        <w:rPr>
          <w:sz w:val="20"/>
        </w:rPr>
        <w:t>took</w:t>
      </w:r>
      <w:r>
        <w:rPr>
          <w:spacing w:val="-7"/>
          <w:sz w:val="20"/>
        </w:rPr>
        <w:t> </w:t>
      </w:r>
      <w:r>
        <w:rPr>
          <w:sz w:val="20"/>
        </w:rPr>
        <w:t>place</w:t>
      </w:r>
      <w:r>
        <w:rPr>
          <w:spacing w:val="-7"/>
          <w:sz w:val="20"/>
        </w:rPr>
        <w:t> </w:t>
      </w:r>
      <w:r>
        <w:rPr>
          <w:sz w:val="20"/>
        </w:rPr>
        <w:t>from</w:t>
      </w:r>
      <w:r>
        <w:rPr>
          <w:spacing w:val="-12"/>
          <w:sz w:val="20"/>
        </w:rPr>
        <w:t> </w:t>
      </w:r>
      <w:r>
        <w:rPr>
          <w:sz w:val="20"/>
        </w:rPr>
        <w:t>24</w:t>
      </w:r>
      <w:r>
        <w:rPr>
          <w:spacing w:val="-8"/>
          <w:sz w:val="20"/>
        </w:rPr>
        <w:t> </w:t>
      </w:r>
      <w:r>
        <w:rPr>
          <w:sz w:val="20"/>
        </w:rPr>
        <w:t>to</w:t>
      </w:r>
      <w:r>
        <w:rPr>
          <w:spacing w:val="-13"/>
          <w:sz w:val="20"/>
        </w:rPr>
        <w:t> </w:t>
      </w:r>
      <w:r>
        <w:rPr>
          <w:sz w:val="20"/>
        </w:rPr>
        <w:t>26</w:t>
      </w:r>
      <w:r>
        <w:rPr>
          <w:spacing w:val="-7"/>
          <w:sz w:val="20"/>
        </w:rPr>
        <w:t> </w:t>
      </w:r>
      <w:r>
        <w:rPr>
          <w:sz w:val="20"/>
        </w:rPr>
        <w:t>May</w:t>
      </w:r>
      <w:r>
        <w:rPr>
          <w:spacing w:val="-13"/>
          <w:sz w:val="20"/>
        </w:rPr>
        <w:t> </w:t>
      </w:r>
      <w:r>
        <w:rPr>
          <w:sz w:val="20"/>
        </w:rPr>
        <w:t>2021.</w:t>
      </w:r>
      <w:r>
        <w:rPr>
          <w:spacing w:val="-5"/>
          <w:sz w:val="20"/>
        </w:rPr>
        <w:t> </w:t>
      </w:r>
      <w:r>
        <w:rPr>
          <w:sz w:val="20"/>
        </w:rPr>
        <w:t>On</w:t>
      </w:r>
      <w:r>
        <w:rPr>
          <w:spacing w:val="-8"/>
          <w:sz w:val="20"/>
        </w:rPr>
        <w:t> </w:t>
      </w:r>
      <w:r>
        <w:rPr>
          <w:sz w:val="20"/>
        </w:rPr>
        <w:t>9</w:t>
      </w:r>
      <w:r>
        <w:rPr>
          <w:spacing w:val="-13"/>
          <w:sz w:val="20"/>
        </w:rPr>
        <w:t> </w:t>
      </w:r>
      <w:r>
        <w:rPr>
          <w:sz w:val="20"/>
        </w:rPr>
        <w:t>July</w:t>
      </w:r>
      <w:r>
        <w:rPr>
          <w:spacing w:val="-7"/>
          <w:sz w:val="20"/>
        </w:rPr>
        <w:t> </w:t>
      </w:r>
      <w:r>
        <w:rPr>
          <w:sz w:val="20"/>
        </w:rPr>
        <w:t>2021,</w:t>
      </w:r>
      <w:r>
        <w:rPr>
          <w:spacing w:val="-11"/>
          <w:sz w:val="20"/>
        </w:rPr>
        <w:t> </w:t>
      </w:r>
      <w:r>
        <w:rPr>
          <w:sz w:val="20"/>
        </w:rPr>
        <w:t>Pre-Trial</w:t>
      </w:r>
      <w:r>
        <w:rPr>
          <w:spacing w:val="-7"/>
          <w:sz w:val="20"/>
        </w:rPr>
        <w:t> </w:t>
      </w:r>
      <w:r>
        <w:rPr>
          <w:sz w:val="20"/>
        </w:rPr>
        <w:t>Chamber</w:t>
      </w:r>
      <w:r>
        <w:rPr>
          <w:spacing w:val="-2"/>
          <w:sz w:val="20"/>
        </w:rPr>
        <w:t> </w:t>
      </w:r>
      <w:r>
        <w:rPr>
          <w:sz w:val="20"/>
        </w:rPr>
        <w:t>II</w:t>
      </w:r>
      <w:r>
        <w:rPr>
          <w:spacing w:val="-8"/>
          <w:sz w:val="20"/>
        </w:rPr>
        <w:t> </w:t>
      </w:r>
      <w:hyperlink r:id="rId14">
        <w:r>
          <w:rPr>
            <w:sz w:val="20"/>
          </w:rPr>
          <w:t>confirmed</w:t>
        </w:r>
      </w:hyperlink>
      <w:r>
        <w:rPr>
          <w:sz w:val="20"/>
        </w:rPr>
        <w:t> all the charges of war crimes and crimes against humanity brought against Ali Muhammad Abd-Al-Rahman and committed him to trial. On 5 April 2022, the trial in this case opened before Trial Chamber I and is currently ongoing. This represents the first trial before the Court stemming from a referral of a situation from the United Nations Security Council.</w:t>
      </w:r>
    </w:p>
    <w:p>
      <w:pPr>
        <w:pStyle w:val="ListParagraph"/>
        <w:numPr>
          <w:ilvl w:val="0"/>
          <w:numId w:val="4"/>
        </w:numPr>
        <w:tabs>
          <w:tab w:pos="2967" w:val="left" w:leader="none"/>
        </w:tabs>
        <w:spacing w:line="240" w:lineRule="auto" w:before="120" w:after="0"/>
        <w:ind w:left="2246" w:right="2245" w:firstLine="0"/>
        <w:jc w:val="both"/>
        <w:rPr>
          <w:sz w:val="20"/>
        </w:rPr>
      </w:pPr>
      <w:r>
        <w:rPr>
          <w:sz w:val="20"/>
        </w:rPr>
        <w:t>The OTP will continue</w:t>
      </w:r>
      <w:r>
        <w:rPr>
          <w:spacing w:val="-2"/>
          <w:sz w:val="20"/>
        </w:rPr>
        <w:t> </w:t>
      </w:r>
      <w:r>
        <w:rPr>
          <w:sz w:val="20"/>
        </w:rPr>
        <w:t>to ensure</w:t>
      </w:r>
      <w:r>
        <w:rPr>
          <w:spacing w:val="-2"/>
          <w:sz w:val="20"/>
        </w:rPr>
        <w:t> </w:t>
      </w:r>
      <w:r>
        <w:rPr>
          <w:sz w:val="20"/>
        </w:rPr>
        <w:t>adequate resources are</w:t>
      </w:r>
      <w:r>
        <w:rPr>
          <w:spacing w:val="-2"/>
          <w:sz w:val="20"/>
        </w:rPr>
        <w:t> </w:t>
      </w:r>
      <w:r>
        <w:rPr>
          <w:sz w:val="20"/>
        </w:rPr>
        <w:t>allocated</w:t>
      </w:r>
      <w:r>
        <w:rPr>
          <w:spacing w:val="-4"/>
          <w:sz w:val="20"/>
        </w:rPr>
        <w:t> </w:t>
      </w:r>
      <w:r>
        <w:rPr>
          <w:sz w:val="20"/>
        </w:rPr>
        <w:t>in relation to</w:t>
      </w:r>
      <w:r>
        <w:rPr>
          <w:spacing w:val="-4"/>
          <w:sz w:val="20"/>
        </w:rPr>
        <w:t> </w:t>
      </w:r>
      <w:r>
        <w:rPr>
          <w:sz w:val="20"/>
        </w:rPr>
        <w:t>the proceedings concerning Mr Abd-Al-Rahman while also continuing to take forward investigations in relation to the</w:t>
      </w:r>
      <w:r>
        <w:rPr>
          <w:spacing w:val="17"/>
          <w:sz w:val="20"/>
        </w:rPr>
        <w:t> </w:t>
      </w:r>
      <w:r>
        <w:rPr>
          <w:sz w:val="20"/>
        </w:rPr>
        <w:t>situation.</w:t>
      </w:r>
      <w:r>
        <w:rPr>
          <w:spacing w:val="18"/>
          <w:sz w:val="20"/>
        </w:rPr>
        <w:t> </w:t>
      </w:r>
      <w:r>
        <w:rPr>
          <w:sz w:val="20"/>
        </w:rPr>
        <w:t>The</w:t>
      </w:r>
      <w:r>
        <w:rPr>
          <w:spacing w:val="17"/>
          <w:sz w:val="20"/>
        </w:rPr>
        <w:t> </w:t>
      </w:r>
      <w:r>
        <w:rPr>
          <w:sz w:val="20"/>
        </w:rPr>
        <w:t>Prosecutor</w:t>
      </w:r>
      <w:r>
        <w:rPr>
          <w:spacing w:val="16"/>
          <w:sz w:val="20"/>
        </w:rPr>
        <w:t> </w:t>
      </w:r>
      <w:r>
        <w:rPr>
          <w:sz w:val="20"/>
        </w:rPr>
        <w:t>will also continue to address the</w:t>
      </w:r>
    </w:p>
    <w:p>
      <w:pPr>
        <w:spacing w:after="0" w:line="240" w:lineRule="auto"/>
        <w:jc w:val="both"/>
        <w:rPr>
          <w:sz w:val="20"/>
        </w:rPr>
        <w:sectPr>
          <w:pgSz w:w="11910" w:h="16840"/>
          <w:pgMar w:header="957" w:footer="940" w:top="1140" w:bottom="1140" w:left="20" w:right="20"/>
        </w:sectPr>
      </w:pPr>
    </w:p>
    <w:p>
      <w:pPr>
        <w:pStyle w:val="BodyText"/>
        <w:spacing w:before="124"/>
        <w:ind w:left="2246" w:right="2195"/>
      </w:pPr>
      <w:r>
        <w:rPr/>
        <w:t>United</w:t>
      </w:r>
      <w:r>
        <w:rPr>
          <w:spacing w:val="34"/>
        </w:rPr>
        <w:t> </w:t>
      </w:r>
      <w:r>
        <w:rPr/>
        <w:t>Nations</w:t>
      </w:r>
      <w:r>
        <w:rPr>
          <w:spacing w:val="32"/>
        </w:rPr>
        <w:t> </w:t>
      </w:r>
      <w:r>
        <w:rPr/>
        <w:t>Security</w:t>
      </w:r>
      <w:r>
        <w:rPr>
          <w:spacing w:val="29"/>
        </w:rPr>
        <w:t> </w:t>
      </w:r>
      <w:r>
        <w:rPr/>
        <w:t>Council</w:t>
      </w:r>
      <w:r>
        <w:rPr>
          <w:spacing w:val="30"/>
        </w:rPr>
        <w:t> </w:t>
      </w:r>
      <w:r>
        <w:rPr/>
        <w:t>every</w:t>
      </w:r>
      <w:r>
        <w:rPr>
          <w:spacing w:val="34"/>
        </w:rPr>
        <w:t> </w:t>
      </w:r>
      <w:r>
        <w:rPr/>
        <w:t>six</w:t>
      </w:r>
      <w:r>
        <w:rPr>
          <w:spacing w:val="29"/>
        </w:rPr>
        <w:t> </w:t>
      </w:r>
      <w:r>
        <w:rPr/>
        <w:t>months</w:t>
      </w:r>
      <w:r>
        <w:rPr>
          <w:spacing w:val="27"/>
        </w:rPr>
        <w:t> </w:t>
      </w:r>
      <w:r>
        <w:rPr/>
        <w:t>in</w:t>
      </w:r>
      <w:r>
        <w:rPr>
          <w:spacing w:val="29"/>
        </w:rPr>
        <w:t> </w:t>
      </w:r>
      <w:r>
        <w:rPr/>
        <w:t>accordance</w:t>
      </w:r>
      <w:r>
        <w:rPr>
          <w:spacing w:val="31"/>
        </w:rPr>
        <w:t> </w:t>
      </w:r>
      <w:r>
        <w:rPr/>
        <w:t>with</w:t>
      </w:r>
      <w:r>
        <w:rPr>
          <w:spacing w:val="34"/>
        </w:rPr>
        <w:t> </w:t>
      </w:r>
      <w:r>
        <w:rPr/>
        <w:t>Security</w:t>
      </w:r>
      <w:r>
        <w:rPr>
          <w:spacing w:val="29"/>
        </w:rPr>
        <w:t> </w:t>
      </w:r>
      <w:r>
        <w:rPr/>
        <w:t>Council resolution 1593 (2005).</w:t>
      </w:r>
    </w:p>
    <w:p>
      <w:pPr>
        <w:pStyle w:val="BodyText"/>
        <w:spacing w:before="11"/>
      </w:pPr>
    </w:p>
    <w:p>
      <w:pPr>
        <w:spacing w:before="0"/>
        <w:ind w:left="2246" w:right="0" w:firstLine="0"/>
        <w:jc w:val="left"/>
        <w:rPr>
          <w:i/>
          <w:sz w:val="20"/>
        </w:rPr>
      </w:pPr>
      <w:r>
        <w:rPr>
          <w:i/>
          <w:sz w:val="20"/>
        </w:rPr>
        <w:t>Situation</w:t>
      </w:r>
      <w:r>
        <w:rPr>
          <w:i/>
          <w:spacing w:val="-7"/>
          <w:sz w:val="20"/>
        </w:rPr>
        <w:t> </w:t>
      </w:r>
      <w:r>
        <w:rPr>
          <w:i/>
          <w:sz w:val="20"/>
        </w:rPr>
        <w:t>in</w:t>
      </w:r>
      <w:r>
        <w:rPr>
          <w:i/>
          <w:spacing w:val="-7"/>
          <w:sz w:val="20"/>
        </w:rPr>
        <w:t> </w:t>
      </w:r>
      <w:r>
        <w:rPr>
          <w:i/>
          <w:sz w:val="20"/>
        </w:rPr>
        <w:t>the</w:t>
      </w:r>
      <w:r>
        <w:rPr>
          <w:i/>
          <w:spacing w:val="-5"/>
          <w:sz w:val="20"/>
        </w:rPr>
        <w:t> </w:t>
      </w:r>
      <w:r>
        <w:rPr>
          <w:i/>
          <w:sz w:val="20"/>
        </w:rPr>
        <w:t>Democratic</w:t>
      </w:r>
      <w:r>
        <w:rPr>
          <w:i/>
          <w:spacing w:val="-5"/>
          <w:sz w:val="20"/>
        </w:rPr>
        <w:t> </w:t>
      </w:r>
      <w:r>
        <w:rPr>
          <w:i/>
          <w:sz w:val="20"/>
        </w:rPr>
        <w:t>Republic</w:t>
      </w:r>
      <w:r>
        <w:rPr>
          <w:i/>
          <w:spacing w:val="-5"/>
          <w:sz w:val="20"/>
        </w:rPr>
        <w:t> </w:t>
      </w:r>
      <w:r>
        <w:rPr>
          <w:i/>
          <w:sz w:val="20"/>
        </w:rPr>
        <w:t>of</w:t>
      </w:r>
      <w:r>
        <w:rPr>
          <w:i/>
          <w:spacing w:val="-5"/>
          <w:sz w:val="20"/>
        </w:rPr>
        <w:t> </w:t>
      </w:r>
      <w:r>
        <w:rPr>
          <w:i/>
          <w:sz w:val="20"/>
        </w:rPr>
        <w:t>the</w:t>
      </w:r>
      <w:r>
        <w:rPr>
          <w:i/>
          <w:spacing w:val="-5"/>
          <w:sz w:val="20"/>
        </w:rPr>
        <w:t> </w:t>
      </w:r>
      <w:r>
        <w:rPr>
          <w:i/>
          <w:sz w:val="20"/>
        </w:rPr>
        <w:t>Congo</w:t>
      </w:r>
      <w:r>
        <w:rPr>
          <w:i/>
          <w:spacing w:val="-6"/>
          <w:sz w:val="20"/>
        </w:rPr>
        <w:t> </w:t>
      </w:r>
      <w:r>
        <w:rPr>
          <w:i/>
          <w:spacing w:val="-4"/>
          <w:sz w:val="20"/>
        </w:rPr>
        <w:t>(DRC)</w:t>
      </w:r>
    </w:p>
    <w:p>
      <w:pPr>
        <w:pStyle w:val="BodyText"/>
        <w:rPr>
          <w:i/>
          <w:sz w:val="21"/>
        </w:rPr>
      </w:pPr>
    </w:p>
    <w:p>
      <w:pPr>
        <w:pStyle w:val="ListParagraph"/>
        <w:numPr>
          <w:ilvl w:val="0"/>
          <w:numId w:val="4"/>
        </w:numPr>
        <w:tabs>
          <w:tab w:pos="2967" w:val="left" w:leader="none"/>
        </w:tabs>
        <w:spacing w:line="240" w:lineRule="auto" w:before="0" w:after="0"/>
        <w:ind w:left="2246" w:right="2241" w:firstLine="0"/>
        <w:jc w:val="both"/>
        <w:rPr>
          <w:sz w:val="20"/>
        </w:rPr>
      </w:pPr>
      <w:r>
        <w:rPr>
          <w:sz w:val="20"/>
        </w:rPr>
        <w:t>On 3 March 2004, the Government of the DRC referred to the Court the situation prevailing on</w:t>
      </w:r>
      <w:r>
        <w:rPr>
          <w:spacing w:val="-3"/>
          <w:sz w:val="20"/>
        </w:rPr>
        <w:t> </w:t>
      </w:r>
      <w:r>
        <w:rPr>
          <w:sz w:val="20"/>
        </w:rPr>
        <w:t>its</w:t>
      </w:r>
      <w:r>
        <w:rPr>
          <w:spacing w:val="-4"/>
          <w:sz w:val="20"/>
        </w:rPr>
        <w:t> </w:t>
      </w:r>
      <w:r>
        <w:rPr>
          <w:sz w:val="20"/>
        </w:rPr>
        <w:t>territory since 1</w:t>
      </w:r>
      <w:r>
        <w:rPr>
          <w:spacing w:val="-3"/>
          <w:sz w:val="20"/>
        </w:rPr>
        <w:t> </w:t>
      </w:r>
      <w:r>
        <w:rPr>
          <w:sz w:val="20"/>
        </w:rPr>
        <w:t>July 2002. The</w:t>
      </w:r>
      <w:r>
        <w:rPr>
          <w:spacing w:val="-1"/>
          <w:sz w:val="20"/>
        </w:rPr>
        <w:t> </w:t>
      </w:r>
      <w:r>
        <w:rPr>
          <w:sz w:val="20"/>
        </w:rPr>
        <w:t>investigations in the situation have led to</w:t>
      </w:r>
      <w:r>
        <w:rPr>
          <w:spacing w:val="-3"/>
          <w:sz w:val="20"/>
        </w:rPr>
        <w:t> </w:t>
      </w:r>
      <w:r>
        <w:rPr>
          <w:sz w:val="20"/>
        </w:rPr>
        <w:t>a number of cases, which have involved charges including the crimes against humanity of murder, rape and sexual slavery; and the war crimes of murder, directing attacks against a civilian</w:t>
      </w:r>
      <w:r>
        <w:rPr>
          <w:spacing w:val="-13"/>
          <w:sz w:val="20"/>
        </w:rPr>
        <w:t> </w:t>
      </w:r>
      <w:r>
        <w:rPr>
          <w:sz w:val="20"/>
        </w:rPr>
        <w:t>population,</w:t>
      </w:r>
      <w:r>
        <w:rPr>
          <w:spacing w:val="-12"/>
          <w:sz w:val="20"/>
        </w:rPr>
        <w:t> </w:t>
      </w:r>
      <w:r>
        <w:rPr>
          <w:sz w:val="20"/>
        </w:rPr>
        <w:t>rape</w:t>
      </w:r>
      <w:r>
        <w:rPr>
          <w:spacing w:val="-13"/>
          <w:sz w:val="20"/>
        </w:rPr>
        <w:t> </w:t>
      </w:r>
      <w:r>
        <w:rPr>
          <w:sz w:val="20"/>
        </w:rPr>
        <w:t>and</w:t>
      </w:r>
      <w:r>
        <w:rPr>
          <w:spacing w:val="-12"/>
          <w:sz w:val="20"/>
        </w:rPr>
        <w:t> </w:t>
      </w:r>
      <w:r>
        <w:rPr>
          <w:sz w:val="20"/>
        </w:rPr>
        <w:t>sexual</w:t>
      </w:r>
      <w:r>
        <w:rPr>
          <w:spacing w:val="-13"/>
          <w:sz w:val="20"/>
        </w:rPr>
        <w:t> </w:t>
      </w:r>
      <w:r>
        <w:rPr>
          <w:sz w:val="20"/>
        </w:rPr>
        <w:t>slavery,</w:t>
      </w:r>
      <w:r>
        <w:rPr>
          <w:spacing w:val="-12"/>
          <w:sz w:val="20"/>
        </w:rPr>
        <w:t> </w:t>
      </w:r>
      <w:r>
        <w:rPr>
          <w:sz w:val="20"/>
        </w:rPr>
        <w:t>pillaging,</w:t>
      </w:r>
      <w:r>
        <w:rPr>
          <w:spacing w:val="-13"/>
          <w:sz w:val="20"/>
        </w:rPr>
        <w:t> </w:t>
      </w:r>
      <w:r>
        <w:rPr>
          <w:sz w:val="20"/>
        </w:rPr>
        <w:t>and</w:t>
      </w:r>
      <w:r>
        <w:rPr>
          <w:spacing w:val="-12"/>
          <w:sz w:val="20"/>
        </w:rPr>
        <w:t> </w:t>
      </w:r>
      <w:r>
        <w:rPr>
          <w:sz w:val="20"/>
        </w:rPr>
        <w:t>enlisting</w:t>
      </w:r>
      <w:r>
        <w:rPr>
          <w:spacing w:val="-13"/>
          <w:sz w:val="20"/>
        </w:rPr>
        <w:t> </w:t>
      </w:r>
      <w:r>
        <w:rPr>
          <w:sz w:val="20"/>
        </w:rPr>
        <w:t>and</w:t>
      </w:r>
      <w:r>
        <w:rPr>
          <w:spacing w:val="-12"/>
          <w:sz w:val="20"/>
        </w:rPr>
        <w:t> </w:t>
      </w:r>
      <w:r>
        <w:rPr>
          <w:sz w:val="20"/>
        </w:rPr>
        <w:t>conscripting</w:t>
      </w:r>
      <w:r>
        <w:rPr>
          <w:spacing w:val="-13"/>
          <w:sz w:val="20"/>
        </w:rPr>
        <w:t> </w:t>
      </w:r>
      <w:r>
        <w:rPr>
          <w:sz w:val="20"/>
        </w:rPr>
        <w:t>children into armed conflict.</w:t>
      </w:r>
    </w:p>
    <w:p>
      <w:pPr>
        <w:pStyle w:val="ListParagraph"/>
        <w:numPr>
          <w:ilvl w:val="0"/>
          <w:numId w:val="4"/>
        </w:numPr>
        <w:tabs>
          <w:tab w:pos="2967" w:val="left" w:leader="none"/>
        </w:tabs>
        <w:spacing w:line="240" w:lineRule="auto" w:before="122" w:after="0"/>
        <w:ind w:left="2246" w:right="2236" w:firstLine="0"/>
        <w:jc w:val="both"/>
        <w:rPr>
          <w:sz w:val="20"/>
        </w:rPr>
      </w:pPr>
      <w:r>
        <w:rPr>
          <w:sz w:val="20"/>
        </w:rPr>
        <w:t>In</w:t>
      </w:r>
      <w:r>
        <w:rPr>
          <w:spacing w:val="-13"/>
          <w:sz w:val="20"/>
        </w:rPr>
        <w:t> </w:t>
      </w:r>
      <w:r>
        <w:rPr>
          <w:sz w:val="20"/>
        </w:rPr>
        <w:t>relation</w:t>
      </w:r>
      <w:r>
        <w:rPr>
          <w:spacing w:val="-12"/>
          <w:sz w:val="20"/>
        </w:rPr>
        <w:t> </w:t>
      </w:r>
      <w:r>
        <w:rPr>
          <w:sz w:val="20"/>
        </w:rPr>
        <w:t>to</w:t>
      </w:r>
      <w:r>
        <w:rPr>
          <w:spacing w:val="-13"/>
          <w:sz w:val="20"/>
        </w:rPr>
        <w:t> </w:t>
      </w:r>
      <w:r>
        <w:rPr>
          <w:sz w:val="20"/>
        </w:rPr>
        <w:t>the</w:t>
      </w:r>
      <w:r>
        <w:rPr>
          <w:spacing w:val="-12"/>
          <w:sz w:val="20"/>
        </w:rPr>
        <w:t> </w:t>
      </w:r>
      <w:r>
        <w:rPr>
          <w:i/>
          <w:sz w:val="20"/>
        </w:rPr>
        <w:t>Ntaganda</w:t>
      </w:r>
      <w:r>
        <w:rPr>
          <w:i/>
          <w:spacing w:val="-13"/>
          <w:sz w:val="20"/>
        </w:rPr>
        <w:t> </w:t>
      </w:r>
      <w:r>
        <w:rPr>
          <w:sz w:val="20"/>
        </w:rPr>
        <w:t>case,</w:t>
      </w:r>
      <w:r>
        <w:rPr>
          <w:spacing w:val="-12"/>
          <w:sz w:val="20"/>
        </w:rPr>
        <w:t> </w:t>
      </w:r>
      <w:r>
        <w:rPr>
          <w:sz w:val="20"/>
        </w:rPr>
        <w:t>on</w:t>
      </w:r>
      <w:r>
        <w:rPr>
          <w:spacing w:val="-13"/>
          <w:sz w:val="20"/>
        </w:rPr>
        <w:t> </w:t>
      </w:r>
      <w:r>
        <w:rPr>
          <w:sz w:val="20"/>
        </w:rPr>
        <w:t>30</w:t>
      </w:r>
      <w:r>
        <w:rPr>
          <w:spacing w:val="-12"/>
          <w:sz w:val="20"/>
        </w:rPr>
        <w:t> </w:t>
      </w:r>
      <w:r>
        <w:rPr>
          <w:sz w:val="20"/>
        </w:rPr>
        <w:t>March</w:t>
      </w:r>
      <w:r>
        <w:rPr>
          <w:spacing w:val="-13"/>
          <w:sz w:val="20"/>
        </w:rPr>
        <w:t> </w:t>
      </w:r>
      <w:r>
        <w:rPr>
          <w:sz w:val="20"/>
        </w:rPr>
        <w:t>2021</w:t>
      </w:r>
      <w:r>
        <w:rPr>
          <w:spacing w:val="-12"/>
          <w:sz w:val="20"/>
        </w:rPr>
        <w:t> </w:t>
      </w:r>
      <w:r>
        <w:rPr>
          <w:sz w:val="20"/>
        </w:rPr>
        <w:t>the</w:t>
      </w:r>
      <w:r>
        <w:rPr>
          <w:spacing w:val="-13"/>
          <w:sz w:val="20"/>
        </w:rPr>
        <w:t> </w:t>
      </w:r>
      <w:r>
        <w:rPr>
          <w:sz w:val="20"/>
        </w:rPr>
        <w:t>Appeals</w:t>
      </w:r>
      <w:r>
        <w:rPr>
          <w:spacing w:val="-10"/>
          <w:sz w:val="20"/>
        </w:rPr>
        <w:t> </w:t>
      </w:r>
      <w:r>
        <w:rPr>
          <w:sz w:val="20"/>
        </w:rPr>
        <w:t>Chamber</w:t>
      </w:r>
      <w:r>
        <w:rPr>
          <w:spacing w:val="-13"/>
          <w:sz w:val="20"/>
        </w:rPr>
        <w:t> </w:t>
      </w:r>
      <w:r>
        <w:rPr>
          <w:sz w:val="20"/>
        </w:rPr>
        <w:t>confirmed Trial Chamber VI’s decisions on</w:t>
      </w:r>
      <w:r>
        <w:rPr>
          <w:spacing w:val="-4"/>
          <w:sz w:val="20"/>
        </w:rPr>
        <w:t> </w:t>
      </w:r>
      <w:r>
        <w:rPr>
          <w:sz w:val="20"/>
        </w:rPr>
        <w:t>conviction and sentence finding Mr Ntaganda guilty of 18 counts of war crimes and crimes against humanity and sentencing him to 30 years of imprisonment. On 8 March 2021, Trial Chamber VI delivered its Order on Reparations, to be made to victims through the TFV. The Chamber ordered the TFV to prepare a draft implementation plan for its approval, clearly specifying the objectives, outcomes and activities</w:t>
      </w:r>
      <w:r>
        <w:rPr>
          <w:spacing w:val="-9"/>
          <w:sz w:val="20"/>
        </w:rPr>
        <w:t> </w:t>
      </w:r>
      <w:r>
        <w:rPr>
          <w:sz w:val="20"/>
        </w:rPr>
        <w:t>identified</w:t>
      </w:r>
      <w:r>
        <w:rPr>
          <w:spacing w:val="-7"/>
          <w:sz w:val="20"/>
        </w:rPr>
        <w:t> </w:t>
      </w:r>
      <w:r>
        <w:rPr>
          <w:sz w:val="20"/>
        </w:rPr>
        <w:t>as</w:t>
      </w:r>
      <w:r>
        <w:rPr>
          <w:spacing w:val="-9"/>
          <w:sz w:val="20"/>
        </w:rPr>
        <w:t> </w:t>
      </w:r>
      <w:r>
        <w:rPr>
          <w:sz w:val="20"/>
        </w:rPr>
        <w:t>necessary</w:t>
      </w:r>
      <w:r>
        <w:rPr>
          <w:spacing w:val="-7"/>
          <w:sz w:val="20"/>
        </w:rPr>
        <w:t> </w:t>
      </w:r>
      <w:r>
        <w:rPr>
          <w:sz w:val="20"/>
        </w:rPr>
        <w:t>to</w:t>
      </w:r>
      <w:r>
        <w:rPr>
          <w:spacing w:val="-12"/>
          <w:sz w:val="20"/>
        </w:rPr>
        <w:t> </w:t>
      </w:r>
      <w:r>
        <w:rPr>
          <w:sz w:val="20"/>
        </w:rPr>
        <w:t>give</w:t>
      </w:r>
      <w:r>
        <w:rPr>
          <w:spacing w:val="-6"/>
          <w:sz w:val="20"/>
        </w:rPr>
        <w:t> </w:t>
      </w:r>
      <w:r>
        <w:rPr>
          <w:sz w:val="20"/>
        </w:rPr>
        <w:t>effect</w:t>
      </w:r>
      <w:r>
        <w:rPr>
          <w:spacing w:val="-6"/>
          <w:sz w:val="20"/>
        </w:rPr>
        <w:t> </w:t>
      </w:r>
      <w:r>
        <w:rPr>
          <w:sz w:val="20"/>
        </w:rPr>
        <w:t>to</w:t>
      </w:r>
      <w:r>
        <w:rPr>
          <w:spacing w:val="-12"/>
          <w:sz w:val="20"/>
        </w:rPr>
        <w:t> </w:t>
      </w:r>
      <w:r>
        <w:rPr>
          <w:sz w:val="20"/>
        </w:rPr>
        <w:t>the</w:t>
      </w:r>
      <w:r>
        <w:rPr>
          <w:spacing w:val="-6"/>
          <w:sz w:val="20"/>
        </w:rPr>
        <w:t> </w:t>
      </w:r>
      <w:r>
        <w:rPr>
          <w:sz w:val="20"/>
        </w:rPr>
        <w:t>Order.</w:t>
      </w:r>
      <w:r>
        <w:rPr>
          <w:spacing w:val="-5"/>
          <w:sz w:val="20"/>
        </w:rPr>
        <w:t> </w:t>
      </w:r>
      <w:r>
        <w:rPr>
          <w:sz w:val="20"/>
        </w:rPr>
        <w:t>The</w:t>
      </w:r>
      <w:r>
        <w:rPr>
          <w:spacing w:val="-6"/>
          <w:sz w:val="20"/>
        </w:rPr>
        <w:t> </w:t>
      </w:r>
      <w:r>
        <w:rPr>
          <w:sz w:val="20"/>
        </w:rPr>
        <w:t>TFV</w:t>
      </w:r>
      <w:r>
        <w:rPr>
          <w:spacing w:val="-9"/>
          <w:sz w:val="20"/>
        </w:rPr>
        <w:t> </w:t>
      </w:r>
      <w:r>
        <w:rPr>
          <w:sz w:val="20"/>
        </w:rPr>
        <w:t>expects</w:t>
      </w:r>
      <w:r>
        <w:rPr>
          <w:spacing w:val="-9"/>
          <w:sz w:val="20"/>
        </w:rPr>
        <w:t> </w:t>
      </w:r>
      <w:r>
        <w:rPr>
          <w:sz w:val="20"/>
        </w:rPr>
        <w:t>to</w:t>
      </w:r>
      <w:r>
        <w:rPr>
          <w:spacing w:val="-12"/>
          <w:sz w:val="20"/>
        </w:rPr>
        <w:t> </w:t>
      </w:r>
      <w:r>
        <w:rPr>
          <w:sz w:val="20"/>
        </w:rPr>
        <w:t>conclude</w:t>
      </w:r>
      <w:r>
        <w:rPr>
          <w:spacing w:val="-6"/>
          <w:sz w:val="20"/>
        </w:rPr>
        <w:t> </w:t>
      </w:r>
      <w:r>
        <w:rPr>
          <w:sz w:val="20"/>
        </w:rPr>
        <w:t>the implementation of reparations in </w:t>
      </w:r>
      <w:r>
        <w:rPr>
          <w:i/>
          <w:sz w:val="20"/>
        </w:rPr>
        <w:t>Katanga </w:t>
      </w:r>
      <w:r>
        <w:rPr>
          <w:sz w:val="20"/>
        </w:rPr>
        <w:t>in early 2023.</w:t>
      </w:r>
    </w:p>
    <w:p>
      <w:pPr>
        <w:pStyle w:val="ListParagraph"/>
        <w:numPr>
          <w:ilvl w:val="0"/>
          <w:numId w:val="4"/>
        </w:numPr>
        <w:tabs>
          <w:tab w:pos="2967" w:val="left" w:leader="none"/>
        </w:tabs>
        <w:spacing w:line="240" w:lineRule="auto" w:before="119" w:after="0"/>
        <w:ind w:left="2246" w:right="2245" w:firstLine="0"/>
        <w:jc w:val="both"/>
        <w:rPr>
          <w:sz w:val="20"/>
        </w:rPr>
      </w:pPr>
      <w:r>
        <w:rPr>
          <w:sz w:val="20"/>
        </w:rPr>
        <w:t>The OTP has continued to monitor and receive information on the situation in the DRC, including allegations of serious crimes committed recently, and it will continue to closely</w:t>
      </w:r>
      <w:r>
        <w:rPr>
          <w:spacing w:val="-8"/>
          <w:sz w:val="20"/>
        </w:rPr>
        <w:t> </w:t>
      </w:r>
      <w:r>
        <w:rPr>
          <w:sz w:val="20"/>
        </w:rPr>
        <w:t>follow</w:t>
      </w:r>
      <w:r>
        <w:rPr>
          <w:spacing w:val="-5"/>
          <w:sz w:val="20"/>
        </w:rPr>
        <w:t> </w:t>
      </w:r>
      <w:r>
        <w:rPr>
          <w:sz w:val="20"/>
        </w:rPr>
        <w:t>developments</w:t>
      </w:r>
      <w:r>
        <w:rPr>
          <w:spacing w:val="-10"/>
          <w:sz w:val="20"/>
        </w:rPr>
        <w:t> </w:t>
      </w:r>
      <w:r>
        <w:rPr>
          <w:sz w:val="20"/>
        </w:rPr>
        <w:t>and</w:t>
      </w:r>
      <w:r>
        <w:rPr>
          <w:spacing w:val="-8"/>
          <w:sz w:val="20"/>
        </w:rPr>
        <w:t> </w:t>
      </w:r>
      <w:r>
        <w:rPr>
          <w:sz w:val="20"/>
        </w:rPr>
        <w:t>to</w:t>
      </w:r>
      <w:r>
        <w:rPr>
          <w:spacing w:val="-5"/>
          <w:sz w:val="20"/>
        </w:rPr>
        <w:t> </w:t>
      </w:r>
      <w:r>
        <w:rPr>
          <w:sz w:val="20"/>
        </w:rPr>
        <w:t>encourage</w:t>
      </w:r>
      <w:r>
        <w:rPr>
          <w:spacing w:val="-7"/>
          <w:sz w:val="20"/>
        </w:rPr>
        <w:t> </w:t>
      </w:r>
      <w:r>
        <w:rPr>
          <w:sz w:val="20"/>
        </w:rPr>
        <w:t>and</w:t>
      </w:r>
      <w:r>
        <w:rPr>
          <w:spacing w:val="-8"/>
          <w:sz w:val="20"/>
        </w:rPr>
        <w:t> </w:t>
      </w:r>
      <w:r>
        <w:rPr>
          <w:sz w:val="20"/>
        </w:rPr>
        <w:t>assess</w:t>
      </w:r>
      <w:r>
        <w:rPr>
          <w:spacing w:val="-5"/>
          <w:sz w:val="20"/>
        </w:rPr>
        <w:t> </w:t>
      </w:r>
      <w:r>
        <w:rPr>
          <w:sz w:val="20"/>
        </w:rPr>
        <w:t>the</w:t>
      </w:r>
      <w:r>
        <w:rPr>
          <w:spacing w:val="-11"/>
          <w:sz w:val="20"/>
        </w:rPr>
        <w:t> </w:t>
      </w:r>
      <w:r>
        <w:rPr>
          <w:sz w:val="20"/>
        </w:rPr>
        <w:t>measures</w:t>
      </w:r>
      <w:r>
        <w:rPr>
          <w:spacing w:val="-10"/>
          <w:sz w:val="20"/>
        </w:rPr>
        <w:t> </w:t>
      </w:r>
      <w:r>
        <w:rPr>
          <w:sz w:val="20"/>
        </w:rPr>
        <w:t>taken</w:t>
      </w:r>
      <w:r>
        <w:rPr>
          <w:spacing w:val="-8"/>
          <w:sz w:val="20"/>
        </w:rPr>
        <w:t> </w:t>
      </w:r>
      <w:r>
        <w:rPr>
          <w:sz w:val="20"/>
        </w:rPr>
        <w:t>at</w:t>
      </w:r>
      <w:r>
        <w:rPr>
          <w:spacing w:val="-7"/>
          <w:sz w:val="20"/>
        </w:rPr>
        <w:t> </w:t>
      </w:r>
      <w:r>
        <w:rPr>
          <w:sz w:val="20"/>
        </w:rPr>
        <w:t>the</w:t>
      </w:r>
      <w:r>
        <w:rPr>
          <w:spacing w:val="-7"/>
          <w:sz w:val="20"/>
        </w:rPr>
        <w:t> </w:t>
      </w:r>
      <w:r>
        <w:rPr>
          <w:sz w:val="20"/>
        </w:rPr>
        <w:t>domestic level to address them.</w:t>
      </w:r>
    </w:p>
    <w:p>
      <w:pPr>
        <w:pStyle w:val="ListParagraph"/>
        <w:numPr>
          <w:ilvl w:val="0"/>
          <w:numId w:val="4"/>
        </w:numPr>
        <w:tabs>
          <w:tab w:pos="2967" w:val="left" w:leader="none"/>
        </w:tabs>
        <w:spacing w:line="237" w:lineRule="auto" w:before="124" w:after="0"/>
        <w:ind w:left="2246" w:right="2242" w:firstLine="0"/>
        <w:jc w:val="both"/>
        <w:rPr>
          <w:sz w:val="20"/>
        </w:rPr>
      </w:pPr>
      <w:r>
        <w:rPr>
          <w:sz w:val="20"/>
        </w:rPr>
        <w:t>Through its partners, the TFV will continue to provide rehabilitation measures in the context of its assistance mandate to address the harm suffered by victims in a situation within the jurisdiction of the Court, in particular in the provinces of North and South Kivu and in Ituri.</w:t>
      </w:r>
    </w:p>
    <w:p>
      <w:pPr>
        <w:pStyle w:val="BodyText"/>
        <w:spacing w:before="3"/>
        <w:rPr>
          <w:sz w:val="21"/>
        </w:rPr>
      </w:pPr>
    </w:p>
    <w:p>
      <w:pPr>
        <w:spacing w:before="0"/>
        <w:ind w:left="2246" w:right="0" w:firstLine="0"/>
        <w:jc w:val="left"/>
        <w:rPr>
          <w:i/>
          <w:sz w:val="20"/>
        </w:rPr>
      </w:pPr>
      <w:r>
        <w:rPr>
          <w:i/>
          <w:sz w:val="20"/>
        </w:rPr>
        <w:t>Situation</w:t>
      </w:r>
      <w:r>
        <w:rPr>
          <w:i/>
          <w:spacing w:val="-6"/>
          <w:sz w:val="20"/>
        </w:rPr>
        <w:t> </w:t>
      </w:r>
      <w:r>
        <w:rPr>
          <w:i/>
          <w:sz w:val="20"/>
        </w:rPr>
        <w:t>in </w:t>
      </w:r>
      <w:r>
        <w:rPr>
          <w:i/>
          <w:spacing w:val="-2"/>
          <w:sz w:val="20"/>
        </w:rPr>
        <w:t>Georgia</w:t>
      </w:r>
    </w:p>
    <w:p>
      <w:pPr>
        <w:pStyle w:val="BodyText"/>
        <w:spacing w:before="11"/>
        <w:rPr>
          <w:i/>
        </w:rPr>
      </w:pPr>
    </w:p>
    <w:p>
      <w:pPr>
        <w:pStyle w:val="ListParagraph"/>
        <w:numPr>
          <w:ilvl w:val="0"/>
          <w:numId w:val="4"/>
        </w:numPr>
        <w:tabs>
          <w:tab w:pos="2967" w:val="left" w:leader="none"/>
        </w:tabs>
        <w:spacing w:line="240" w:lineRule="auto" w:before="0" w:after="0"/>
        <w:ind w:left="2246" w:right="2245" w:firstLine="0"/>
        <w:jc w:val="both"/>
        <w:rPr>
          <w:sz w:val="20"/>
        </w:rPr>
      </w:pPr>
      <w:r>
        <w:rPr>
          <w:sz w:val="20"/>
        </w:rPr>
        <w:t>On</w:t>
      </w:r>
      <w:r>
        <w:rPr>
          <w:spacing w:val="-13"/>
          <w:sz w:val="20"/>
        </w:rPr>
        <w:t> </w:t>
      </w:r>
      <w:r>
        <w:rPr>
          <w:sz w:val="20"/>
        </w:rPr>
        <w:t>27</w:t>
      </w:r>
      <w:r>
        <w:rPr>
          <w:spacing w:val="-12"/>
          <w:sz w:val="20"/>
        </w:rPr>
        <w:t> </w:t>
      </w:r>
      <w:r>
        <w:rPr>
          <w:sz w:val="20"/>
        </w:rPr>
        <w:t>January</w:t>
      </w:r>
      <w:r>
        <w:rPr>
          <w:spacing w:val="-13"/>
          <w:sz w:val="20"/>
        </w:rPr>
        <w:t> </w:t>
      </w:r>
      <w:r>
        <w:rPr>
          <w:sz w:val="20"/>
        </w:rPr>
        <w:t>2016,</w:t>
      </w:r>
      <w:r>
        <w:rPr>
          <w:spacing w:val="-12"/>
          <w:sz w:val="20"/>
        </w:rPr>
        <w:t> </w:t>
      </w:r>
      <w:r>
        <w:rPr>
          <w:sz w:val="20"/>
        </w:rPr>
        <w:t>following</w:t>
      </w:r>
      <w:r>
        <w:rPr>
          <w:spacing w:val="-13"/>
          <w:sz w:val="20"/>
        </w:rPr>
        <w:t> </w:t>
      </w:r>
      <w:r>
        <w:rPr>
          <w:sz w:val="20"/>
        </w:rPr>
        <w:t>a</w:t>
      </w:r>
      <w:r>
        <w:rPr>
          <w:spacing w:val="-12"/>
          <w:sz w:val="20"/>
        </w:rPr>
        <w:t> </w:t>
      </w:r>
      <w:r>
        <w:rPr>
          <w:sz w:val="20"/>
        </w:rPr>
        <w:t>preliminary</w:t>
      </w:r>
      <w:r>
        <w:rPr>
          <w:spacing w:val="-13"/>
          <w:sz w:val="20"/>
        </w:rPr>
        <w:t> </w:t>
      </w:r>
      <w:r>
        <w:rPr>
          <w:sz w:val="20"/>
        </w:rPr>
        <w:t>examination</w:t>
      </w:r>
      <w:r>
        <w:rPr>
          <w:spacing w:val="-12"/>
          <w:sz w:val="20"/>
        </w:rPr>
        <w:t> </w:t>
      </w:r>
      <w:r>
        <w:rPr>
          <w:sz w:val="20"/>
        </w:rPr>
        <w:t>of</w:t>
      </w:r>
      <w:r>
        <w:rPr>
          <w:spacing w:val="-13"/>
          <w:sz w:val="20"/>
        </w:rPr>
        <w:t> </w:t>
      </w:r>
      <w:r>
        <w:rPr>
          <w:sz w:val="20"/>
        </w:rPr>
        <w:t>the</w:t>
      </w:r>
      <w:r>
        <w:rPr>
          <w:spacing w:val="-12"/>
          <w:sz w:val="20"/>
        </w:rPr>
        <w:t> </w:t>
      </w:r>
      <w:r>
        <w:rPr>
          <w:sz w:val="20"/>
        </w:rPr>
        <w:t>situation</w:t>
      </w:r>
      <w:r>
        <w:rPr>
          <w:spacing w:val="-13"/>
          <w:sz w:val="20"/>
        </w:rPr>
        <w:t> </w:t>
      </w:r>
      <w:r>
        <w:rPr>
          <w:sz w:val="20"/>
        </w:rPr>
        <w:t>prevailing in Georgia since 2008, and in the absence of effective proceedings at the national level,</w:t>
      </w:r>
      <w:r>
        <w:rPr>
          <w:spacing w:val="80"/>
          <w:sz w:val="20"/>
        </w:rPr>
        <w:t> </w:t>
      </w:r>
      <w:r>
        <w:rPr>
          <w:sz w:val="20"/>
        </w:rPr>
        <w:t>Pre-Trial</w:t>
      </w:r>
      <w:r>
        <w:rPr>
          <w:spacing w:val="-3"/>
          <w:sz w:val="20"/>
        </w:rPr>
        <w:t> </w:t>
      </w:r>
      <w:r>
        <w:rPr>
          <w:sz w:val="20"/>
        </w:rPr>
        <w:t>Chamber</w:t>
      </w:r>
      <w:r>
        <w:rPr>
          <w:spacing w:val="-5"/>
          <w:sz w:val="20"/>
        </w:rPr>
        <w:t> </w:t>
      </w:r>
      <w:r>
        <w:rPr>
          <w:sz w:val="20"/>
        </w:rPr>
        <w:t>I</w:t>
      </w:r>
      <w:r>
        <w:rPr>
          <w:spacing w:val="-5"/>
          <w:sz w:val="20"/>
        </w:rPr>
        <w:t> </w:t>
      </w:r>
      <w:r>
        <w:rPr>
          <w:sz w:val="20"/>
        </w:rPr>
        <w:t>granted</w:t>
      </w:r>
      <w:r>
        <w:rPr>
          <w:spacing w:val="-5"/>
          <w:sz w:val="20"/>
        </w:rPr>
        <w:t> </w:t>
      </w:r>
      <w:r>
        <w:rPr>
          <w:sz w:val="20"/>
        </w:rPr>
        <w:t>the</w:t>
      </w:r>
      <w:r>
        <w:rPr>
          <w:spacing w:val="-3"/>
          <w:sz w:val="20"/>
        </w:rPr>
        <w:t> </w:t>
      </w:r>
      <w:r>
        <w:rPr>
          <w:sz w:val="20"/>
        </w:rPr>
        <w:t>Prosecutor</w:t>
      </w:r>
      <w:r>
        <w:rPr>
          <w:spacing w:val="-5"/>
          <w:sz w:val="20"/>
        </w:rPr>
        <w:t> </w:t>
      </w:r>
      <w:r>
        <w:rPr>
          <w:sz w:val="20"/>
        </w:rPr>
        <w:t>authorization</w:t>
      </w:r>
      <w:r>
        <w:rPr>
          <w:spacing w:val="-5"/>
          <w:sz w:val="20"/>
        </w:rPr>
        <w:t> </w:t>
      </w:r>
      <w:r>
        <w:rPr>
          <w:sz w:val="20"/>
        </w:rPr>
        <w:t>to</w:t>
      </w:r>
      <w:r>
        <w:rPr>
          <w:spacing w:val="-8"/>
          <w:sz w:val="20"/>
        </w:rPr>
        <w:t> </w:t>
      </w:r>
      <w:r>
        <w:rPr>
          <w:sz w:val="20"/>
        </w:rPr>
        <w:t>commence</w:t>
      </w:r>
      <w:r>
        <w:rPr>
          <w:spacing w:val="-3"/>
          <w:sz w:val="20"/>
        </w:rPr>
        <w:t> </w:t>
      </w:r>
      <w:r>
        <w:rPr>
          <w:sz w:val="20"/>
        </w:rPr>
        <w:t>an</w:t>
      </w:r>
      <w:r>
        <w:rPr>
          <w:spacing w:val="-5"/>
          <w:sz w:val="20"/>
        </w:rPr>
        <w:t> </w:t>
      </w:r>
      <w:r>
        <w:rPr>
          <w:sz w:val="20"/>
        </w:rPr>
        <w:t>investigation</w:t>
      </w:r>
      <w:r>
        <w:rPr>
          <w:spacing w:val="-5"/>
          <w:sz w:val="20"/>
        </w:rPr>
        <w:t> </w:t>
      </w:r>
      <w:r>
        <w:rPr>
          <w:sz w:val="20"/>
        </w:rPr>
        <w:t>into the</w:t>
      </w:r>
      <w:r>
        <w:rPr>
          <w:spacing w:val="-2"/>
          <w:sz w:val="20"/>
        </w:rPr>
        <w:t> </w:t>
      </w:r>
      <w:r>
        <w:rPr>
          <w:sz w:val="20"/>
        </w:rPr>
        <w:t>situation</w:t>
      </w:r>
      <w:r>
        <w:rPr>
          <w:spacing w:val="-4"/>
          <w:sz w:val="20"/>
        </w:rPr>
        <w:t> </w:t>
      </w:r>
      <w:r>
        <w:rPr>
          <w:sz w:val="20"/>
        </w:rPr>
        <w:t>in Georgia</w:t>
      </w:r>
      <w:r>
        <w:rPr>
          <w:spacing w:val="-2"/>
          <w:sz w:val="20"/>
        </w:rPr>
        <w:t> </w:t>
      </w:r>
      <w:r>
        <w:rPr>
          <w:sz w:val="20"/>
        </w:rPr>
        <w:t>in</w:t>
      </w:r>
      <w:r>
        <w:rPr>
          <w:spacing w:val="-4"/>
          <w:sz w:val="20"/>
        </w:rPr>
        <w:t> </w:t>
      </w:r>
      <w:r>
        <w:rPr>
          <w:sz w:val="20"/>
        </w:rPr>
        <w:t>relation</w:t>
      </w:r>
      <w:r>
        <w:rPr>
          <w:spacing w:val="-4"/>
          <w:sz w:val="20"/>
        </w:rPr>
        <w:t> </w:t>
      </w:r>
      <w:r>
        <w:rPr>
          <w:sz w:val="20"/>
        </w:rPr>
        <w:t>to</w:t>
      </w:r>
      <w:r>
        <w:rPr>
          <w:spacing w:val="-4"/>
          <w:sz w:val="20"/>
        </w:rPr>
        <w:t> </w:t>
      </w:r>
      <w:r>
        <w:rPr>
          <w:sz w:val="20"/>
        </w:rPr>
        <w:t>crimes</w:t>
      </w:r>
      <w:r>
        <w:rPr>
          <w:spacing w:val="-1"/>
          <w:sz w:val="20"/>
        </w:rPr>
        <w:t> </w:t>
      </w:r>
      <w:r>
        <w:rPr>
          <w:sz w:val="20"/>
        </w:rPr>
        <w:t>falling within</w:t>
      </w:r>
      <w:r>
        <w:rPr>
          <w:spacing w:val="-4"/>
          <w:sz w:val="20"/>
        </w:rPr>
        <w:t> </w:t>
      </w:r>
      <w:r>
        <w:rPr>
          <w:sz w:val="20"/>
        </w:rPr>
        <w:t>the Court’s</w:t>
      </w:r>
      <w:r>
        <w:rPr>
          <w:spacing w:val="-5"/>
          <w:sz w:val="20"/>
        </w:rPr>
        <w:t> </w:t>
      </w:r>
      <w:r>
        <w:rPr>
          <w:sz w:val="20"/>
        </w:rPr>
        <w:t>jurisdiction</w:t>
      </w:r>
      <w:r>
        <w:rPr>
          <w:spacing w:val="-4"/>
          <w:sz w:val="20"/>
        </w:rPr>
        <w:t> </w:t>
      </w:r>
      <w:r>
        <w:rPr>
          <w:sz w:val="20"/>
        </w:rPr>
        <w:t>allegedly committed in and around South Ossetia between 1 July and 10 October 2008.</w:t>
      </w:r>
    </w:p>
    <w:p>
      <w:pPr>
        <w:pStyle w:val="ListParagraph"/>
        <w:numPr>
          <w:ilvl w:val="0"/>
          <w:numId w:val="4"/>
        </w:numPr>
        <w:tabs>
          <w:tab w:pos="2967" w:val="left" w:leader="none"/>
        </w:tabs>
        <w:spacing w:line="240" w:lineRule="auto" w:before="122" w:after="0"/>
        <w:ind w:left="2246" w:right="2245" w:firstLine="0"/>
        <w:jc w:val="both"/>
        <w:rPr>
          <w:sz w:val="20"/>
        </w:rPr>
      </w:pPr>
      <w:r>
        <w:rPr>
          <w:sz w:val="20"/>
        </w:rPr>
        <w:t>The</w:t>
      </w:r>
      <w:r>
        <w:rPr>
          <w:spacing w:val="22"/>
          <w:sz w:val="20"/>
        </w:rPr>
        <w:t> </w:t>
      </w:r>
      <w:r>
        <w:rPr>
          <w:sz w:val="20"/>
        </w:rPr>
        <w:t>investigation</w:t>
      </w:r>
      <w:r>
        <w:rPr>
          <w:spacing w:val="25"/>
          <w:sz w:val="20"/>
        </w:rPr>
        <w:t> </w:t>
      </w:r>
      <w:r>
        <w:rPr>
          <w:sz w:val="20"/>
        </w:rPr>
        <w:t>led</w:t>
      </w:r>
      <w:r>
        <w:rPr>
          <w:spacing w:val="25"/>
          <w:sz w:val="20"/>
        </w:rPr>
        <w:t> </w:t>
      </w:r>
      <w:r>
        <w:rPr>
          <w:sz w:val="20"/>
        </w:rPr>
        <w:t>the</w:t>
      </w:r>
      <w:r>
        <w:rPr>
          <w:spacing w:val="27"/>
          <w:sz w:val="20"/>
        </w:rPr>
        <w:t> </w:t>
      </w:r>
      <w:r>
        <w:rPr>
          <w:sz w:val="20"/>
        </w:rPr>
        <w:t>Prosecutor to</w:t>
      </w:r>
      <w:r>
        <w:rPr>
          <w:spacing w:val="25"/>
          <w:sz w:val="20"/>
        </w:rPr>
        <w:t> </w:t>
      </w:r>
      <w:r>
        <w:rPr>
          <w:sz w:val="20"/>
        </w:rPr>
        <w:t>file</w:t>
      </w:r>
      <w:r>
        <w:rPr>
          <w:spacing w:val="22"/>
          <w:sz w:val="20"/>
        </w:rPr>
        <w:t> </w:t>
      </w:r>
      <w:r>
        <w:rPr>
          <w:sz w:val="20"/>
        </w:rPr>
        <w:t>an</w:t>
      </w:r>
      <w:r>
        <w:rPr>
          <w:spacing w:val="25"/>
          <w:sz w:val="20"/>
        </w:rPr>
        <w:t> </w:t>
      </w:r>
      <w:r>
        <w:rPr>
          <w:sz w:val="20"/>
        </w:rPr>
        <w:t>application</w:t>
      </w:r>
      <w:r>
        <w:rPr>
          <w:spacing w:val="25"/>
          <w:sz w:val="20"/>
        </w:rPr>
        <w:t> </w:t>
      </w:r>
      <w:r>
        <w:rPr>
          <w:sz w:val="20"/>
        </w:rPr>
        <w:t>for</w:t>
      </w:r>
      <w:r>
        <w:rPr>
          <w:spacing w:val="30"/>
          <w:sz w:val="20"/>
        </w:rPr>
        <w:t> </w:t>
      </w:r>
      <w:r>
        <w:rPr>
          <w:sz w:val="20"/>
        </w:rPr>
        <w:t>warrants</w:t>
      </w:r>
      <w:r>
        <w:rPr>
          <w:spacing w:val="24"/>
          <w:sz w:val="20"/>
        </w:rPr>
        <w:t> </w:t>
      </w:r>
      <w:r>
        <w:rPr>
          <w:sz w:val="20"/>
        </w:rPr>
        <w:t>of</w:t>
      </w:r>
      <w:r>
        <w:rPr>
          <w:spacing w:val="25"/>
          <w:sz w:val="20"/>
        </w:rPr>
        <w:t> </w:t>
      </w:r>
      <w:r>
        <w:rPr>
          <w:sz w:val="20"/>
        </w:rPr>
        <w:t>arrest on 10</w:t>
      </w:r>
      <w:r>
        <w:rPr>
          <w:spacing w:val="-3"/>
          <w:sz w:val="20"/>
        </w:rPr>
        <w:t> </w:t>
      </w:r>
      <w:r>
        <w:rPr>
          <w:sz w:val="20"/>
        </w:rPr>
        <w:t>March 2022 for three individuals for the alleged commission of war crimes. On 30 June 2022, Pre-Trial Chamber I</w:t>
      </w:r>
      <w:r>
        <w:rPr>
          <w:spacing w:val="-4"/>
          <w:sz w:val="20"/>
        </w:rPr>
        <w:t> </w:t>
      </w:r>
      <w:r>
        <w:rPr>
          <w:sz w:val="20"/>
        </w:rPr>
        <w:t>issued</w:t>
      </w:r>
      <w:r>
        <w:rPr>
          <w:spacing w:val="-4"/>
          <w:sz w:val="20"/>
        </w:rPr>
        <w:t> </w:t>
      </w:r>
      <w:r>
        <w:rPr>
          <w:sz w:val="20"/>
        </w:rPr>
        <w:t>the</w:t>
      </w:r>
      <w:r>
        <w:rPr>
          <w:spacing w:val="-2"/>
          <w:sz w:val="20"/>
        </w:rPr>
        <w:t> </w:t>
      </w:r>
      <w:r>
        <w:rPr>
          <w:sz w:val="20"/>
        </w:rPr>
        <w:t>public</w:t>
      </w:r>
      <w:r>
        <w:rPr>
          <w:spacing w:val="-2"/>
          <w:sz w:val="20"/>
        </w:rPr>
        <w:t> </w:t>
      </w:r>
      <w:r>
        <w:rPr>
          <w:sz w:val="20"/>
        </w:rPr>
        <w:t>redacted</w:t>
      </w:r>
      <w:r>
        <w:rPr>
          <w:spacing w:val="-4"/>
          <w:sz w:val="20"/>
        </w:rPr>
        <w:t> </w:t>
      </w:r>
      <w:r>
        <w:rPr>
          <w:sz w:val="20"/>
        </w:rPr>
        <w:t>versions of</w:t>
      </w:r>
      <w:r>
        <w:rPr>
          <w:spacing w:val="-4"/>
          <w:sz w:val="20"/>
        </w:rPr>
        <w:t> </w:t>
      </w:r>
      <w:r>
        <w:rPr>
          <w:sz w:val="20"/>
        </w:rPr>
        <w:t>the warrants of arrest for Mr Mikhail Mayramovich Mindzaev, Mr Gamlet Guchmazov and Mr David Georgiyevich Sanakoev.</w:t>
      </w:r>
    </w:p>
    <w:p>
      <w:pPr>
        <w:pStyle w:val="ListParagraph"/>
        <w:numPr>
          <w:ilvl w:val="0"/>
          <w:numId w:val="4"/>
        </w:numPr>
        <w:tabs>
          <w:tab w:pos="2967" w:val="left" w:leader="none"/>
        </w:tabs>
        <w:spacing w:line="240" w:lineRule="auto" w:before="118" w:after="0"/>
        <w:ind w:left="2246" w:right="2245" w:firstLine="0"/>
        <w:jc w:val="both"/>
        <w:rPr>
          <w:sz w:val="20"/>
        </w:rPr>
      </w:pPr>
      <w:r>
        <w:rPr>
          <w:sz w:val="20"/>
        </w:rPr>
        <w:t>In 2023, the OTP anticipates reducing resources in relation to the situation in Georgia, placing focus on effective action with respect to existing arrest warrants.</w:t>
      </w:r>
    </w:p>
    <w:p>
      <w:pPr>
        <w:pStyle w:val="ListParagraph"/>
        <w:numPr>
          <w:ilvl w:val="0"/>
          <w:numId w:val="4"/>
        </w:numPr>
        <w:tabs>
          <w:tab w:pos="2967" w:val="left" w:leader="none"/>
        </w:tabs>
        <w:spacing w:line="240" w:lineRule="auto" w:before="121" w:after="0"/>
        <w:ind w:left="2246" w:right="2244" w:firstLine="0"/>
        <w:jc w:val="both"/>
        <w:rPr>
          <w:sz w:val="20"/>
        </w:rPr>
      </w:pPr>
      <w:r>
        <w:rPr>
          <w:sz w:val="20"/>
        </w:rPr>
        <w:t>By 2023,</w:t>
      </w:r>
      <w:r>
        <w:rPr>
          <w:spacing w:val="-1"/>
          <w:sz w:val="20"/>
        </w:rPr>
        <w:t> </w:t>
      </w:r>
      <w:r>
        <w:rPr>
          <w:sz w:val="20"/>
        </w:rPr>
        <w:t>the</w:t>
      </w:r>
      <w:r>
        <w:rPr>
          <w:spacing w:val="-2"/>
          <w:sz w:val="20"/>
        </w:rPr>
        <w:t> </w:t>
      </w:r>
      <w:r>
        <w:rPr>
          <w:sz w:val="20"/>
        </w:rPr>
        <w:t>TFV will</w:t>
      </w:r>
      <w:r>
        <w:rPr>
          <w:spacing w:val="-2"/>
          <w:sz w:val="20"/>
        </w:rPr>
        <w:t> </w:t>
      </w:r>
      <w:r>
        <w:rPr>
          <w:sz w:val="20"/>
        </w:rPr>
        <w:t>be</w:t>
      </w:r>
      <w:r>
        <w:rPr>
          <w:spacing w:val="-2"/>
          <w:sz w:val="20"/>
        </w:rPr>
        <w:t> </w:t>
      </w:r>
      <w:r>
        <w:rPr>
          <w:sz w:val="20"/>
        </w:rPr>
        <w:t>implementing, in</w:t>
      </w:r>
      <w:r>
        <w:rPr>
          <w:spacing w:val="-4"/>
          <w:sz w:val="20"/>
        </w:rPr>
        <w:t> </w:t>
      </w:r>
      <w:r>
        <w:rPr>
          <w:sz w:val="20"/>
        </w:rPr>
        <w:t>the context</w:t>
      </w:r>
      <w:r>
        <w:rPr>
          <w:spacing w:val="-2"/>
          <w:sz w:val="20"/>
        </w:rPr>
        <w:t> </w:t>
      </w:r>
      <w:r>
        <w:rPr>
          <w:sz w:val="20"/>
        </w:rPr>
        <w:t>of its</w:t>
      </w:r>
      <w:r>
        <w:rPr>
          <w:spacing w:val="-5"/>
          <w:sz w:val="20"/>
        </w:rPr>
        <w:t> </w:t>
      </w:r>
      <w:r>
        <w:rPr>
          <w:sz w:val="20"/>
        </w:rPr>
        <w:t>assistance mandate,</w:t>
      </w:r>
      <w:r>
        <w:rPr>
          <w:spacing w:val="-1"/>
          <w:sz w:val="20"/>
        </w:rPr>
        <w:t> </w:t>
      </w:r>
      <w:r>
        <w:rPr>
          <w:sz w:val="20"/>
        </w:rPr>
        <w:t>a programme</w:t>
      </w:r>
      <w:r>
        <w:rPr>
          <w:spacing w:val="-2"/>
          <w:sz w:val="20"/>
        </w:rPr>
        <w:t> </w:t>
      </w:r>
      <w:r>
        <w:rPr>
          <w:sz w:val="20"/>
        </w:rPr>
        <w:t>providing</w:t>
      </w:r>
      <w:r>
        <w:rPr>
          <w:spacing w:val="-8"/>
          <w:sz w:val="20"/>
        </w:rPr>
        <w:t> </w:t>
      </w:r>
      <w:r>
        <w:rPr>
          <w:sz w:val="20"/>
        </w:rPr>
        <w:t>rehabilitation</w:t>
      </w:r>
      <w:r>
        <w:rPr>
          <w:spacing w:val="-8"/>
          <w:sz w:val="20"/>
        </w:rPr>
        <w:t> </w:t>
      </w:r>
      <w:r>
        <w:rPr>
          <w:sz w:val="20"/>
        </w:rPr>
        <w:t>to</w:t>
      </w:r>
      <w:r>
        <w:rPr>
          <w:spacing w:val="-8"/>
          <w:sz w:val="20"/>
        </w:rPr>
        <w:t> </w:t>
      </w:r>
      <w:r>
        <w:rPr>
          <w:sz w:val="20"/>
        </w:rPr>
        <w:t>victims</w:t>
      </w:r>
      <w:r>
        <w:rPr>
          <w:spacing w:val="-5"/>
          <w:sz w:val="20"/>
        </w:rPr>
        <w:t> </w:t>
      </w:r>
      <w:r>
        <w:rPr>
          <w:sz w:val="20"/>
        </w:rPr>
        <w:t>of</w:t>
      </w:r>
      <w:r>
        <w:rPr>
          <w:spacing w:val="-8"/>
          <w:sz w:val="20"/>
        </w:rPr>
        <w:t> </w:t>
      </w:r>
      <w:r>
        <w:rPr>
          <w:sz w:val="20"/>
        </w:rPr>
        <w:t>the</w:t>
      </w:r>
      <w:r>
        <w:rPr>
          <w:spacing w:val="-7"/>
          <w:sz w:val="20"/>
        </w:rPr>
        <w:t> </w:t>
      </w:r>
      <w:r>
        <w:rPr>
          <w:sz w:val="20"/>
        </w:rPr>
        <w:t>crimes</w:t>
      </w:r>
      <w:r>
        <w:rPr>
          <w:spacing w:val="-5"/>
          <w:sz w:val="20"/>
        </w:rPr>
        <w:t> </w:t>
      </w:r>
      <w:r>
        <w:rPr>
          <w:sz w:val="20"/>
        </w:rPr>
        <w:t>falling</w:t>
      </w:r>
      <w:r>
        <w:rPr>
          <w:spacing w:val="-4"/>
          <w:sz w:val="20"/>
        </w:rPr>
        <w:t> </w:t>
      </w:r>
      <w:r>
        <w:rPr>
          <w:sz w:val="20"/>
        </w:rPr>
        <w:t>within</w:t>
      </w:r>
      <w:r>
        <w:rPr>
          <w:spacing w:val="-8"/>
          <w:sz w:val="20"/>
        </w:rPr>
        <w:t> </w:t>
      </w:r>
      <w:r>
        <w:rPr>
          <w:sz w:val="20"/>
        </w:rPr>
        <w:t>the</w:t>
      </w:r>
      <w:r>
        <w:rPr>
          <w:spacing w:val="-7"/>
          <w:sz w:val="20"/>
        </w:rPr>
        <w:t> </w:t>
      </w:r>
      <w:r>
        <w:rPr>
          <w:sz w:val="20"/>
        </w:rPr>
        <w:t>jurisdiction</w:t>
      </w:r>
      <w:r>
        <w:rPr>
          <w:spacing w:val="-4"/>
          <w:sz w:val="20"/>
        </w:rPr>
        <w:t> </w:t>
      </w:r>
      <w:r>
        <w:rPr>
          <w:sz w:val="20"/>
        </w:rPr>
        <w:t>of the Court.</w:t>
      </w:r>
    </w:p>
    <w:p>
      <w:pPr>
        <w:pStyle w:val="BodyText"/>
        <w:rPr>
          <w:sz w:val="21"/>
        </w:rPr>
      </w:pPr>
    </w:p>
    <w:p>
      <w:pPr>
        <w:spacing w:before="0"/>
        <w:ind w:left="2246" w:right="0" w:firstLine="0"/>
        <w:jc w:val="left"/>
        <w:rPr>
          <w:i/>
          <w:sz w:val="20"/>
        </w:rPr>
      </w:pPr>
      <w:r>
        <w:rPr>
          <w:i/>
          <w:sz w:val="20"/>
        </w:rPr>
        <w:t>Situation</w:t>
      </w:r>
      <w:r>
        <w:rPr>
          <w:i/>
          <w:spacing w:val="-5"/>
          <w:sz w:val="20"/>
        </w:rPr>
        <w:t> </w:t>
      </w:r>
      <w:r>
        <w:rPr>
          <w:i/>
          <w:sz w:val="20"/>
        </w:rPr>
        <w:t>in</w:t>
      </w:r>
      <w:r>
        <w:rPr>
          <w:i/>
          <w:spacing w:val="-5"/>
          <w:sz w:val="20"/>
        </w:rPr>
        <w:t> </w:t>
      </w:r>
      <w:r>
        <w:rPr>
          <w:i/>
          <w:sz w:val="20"/>
        </w:rPr>
        <w:t>the</w:t>
      </w:r>
      <w:r>
        <w:rPr>
          <w:i/>
          <w:spacing w:val="-8"/>
          <w:sz w:val="20"/>
        </w:rPr>
        <w:t> </w:t>
      </w:r>
      <w:r>
        <w:rPr>
          <w:i/>
          <w:sz w:val="20"/>
        </w:rPr>
        <w:t>Republic</w:t>
      </w:r>
      <w:r>
        <w:rPr>
          <w:i/>
          <w:spacing w:val="-3"/>
          <w:sz w:val="20"/>
        </w:rPr>
        <w:t> </w:t>
      </w:r>
      <w:r>
        <w:rPr>
          <w:i/>
          <w:sz w:val="20"/>
        </w:rPr>
        <w:t>of</w:t>
      </w:r>
      <w:r>
        <w:rPr>
          <w:i/>
          <w:spacing w:val="-3"/>
          <w:sz w:val="20"/>
        </w:rPr>
        <w:t> </w:t>
      </w:r>
      <w:r>
        <w:rPr>
          <w:i/>
          <w:spacing w:val="-2"/>
          <w:sz w:val="20"/>
        </w:rPr>
        <w:t>Kenya</w:t>
      </w:r>
    </w:p>
    <w:p>
      <w:pPr>
        <w:pStyle w:val="BodyText"/>
        <w:spacing w:before="11"/>
        <w:rPr>
          <w:i/>
        </w:rPr>
      </w:pPr>
    </w:p>
    <w:p>
      <w:pPr>
        <w:pStyle w:val="ListParagraph"/>
        <w:numPr>
          <w:ilvl w:val="0"/>
          <w:numId w:val="4"/>
        </w:numPr>
        <w:tabs>
          <w:tab w:pos="2967" w:val="left" w:leader="none"/>
        </w:tabs>
        <w:spacing w:line="240" w:lineRule="auto" w:before="0" w:after="0"/>
        <w:ind w:left="2246" w:right="2242" w:firstLine="0"/>
        <w:jc w:val="both"/>
        <w:rPr>
          <w:sz w:val="20"/>
        </w:rPr>
      </w:pPr>
      <w:r>
        <w:rPr>
          <w:sz w:val="20"/>
        </w:rPr>
        <w:t>On 31 March 2010, Pre-Trial Chamber II authorized the Prosecutor to open an investigation </w:t>
      </w:r>
      <w:r>
        <w:rPr>
          <w:i/>
          <w:sz w:val="20"/>
        </w:rPr>
        <w:t>proprio motu </w:t>
      </w:r>
      <w:r>
        <w:rPr>
          <w:sz w:val="20"/>
        </w:rPr>
        <w:t>into the situation in the Republic of Kenya involving crimes against humanity within the jurisdiction of the Court allegedly committed between 2005</w:t>
      </w:r>
      <w:r>
        <w:rPr>
          <w:spacing w:val="40"/>
          <w:sz w:val="20"/>
        </w:rPr>
        <w:t> </w:t>
      </w:r>
      <w:r>
        <w:rPr>
          <w:sz w:val="20"/>
        </w:rPr>
        <w:t>and 2009.</w:t>
      </w:r>
    </w:p>
    <w:p>
      <w:pPr>
        <w:pStyle w:val="ListParagraph"/>
        <w:numPr>
          <w:ilvl w:val="0"/>
          <w:numId w:val="4"/>
        </w:numPr>
        <w:tabs>
          <w:tab w:pos="2967" w:val="left" w:leader="none"/>
        </w:tabs>
        <w:spacing w:line="240" w:lineRule="auto" w:before="117" w:after="0"/>
        <w:ind w:left="2246" w:right="2242" w:firstLine="0"/>
        <w:jc w:val="both"/>
        <w:rPr>
          <w:sz w:val="20"/>
        </w:rPr>
      </w:pPr>
      <w:r>
        <w:rPr>
          <w:sz w:val="20"/>
        </w:rPr>
        <w:t>In recent years, the Office has encouraged the surrender of individuals subject to warrants of arrest relating to article 70 offences against the administration of justice. As a result, Mr Gicheru, a lawyer formerly based in Kenya, surrendered to the authorities of the Netherlands</w:t>
      </w:r>
      <w:r>
        <w:rPr>
          <w:spacing w:val="40"/>
          <w:sz w:val="20"/>
        </w:rPr>
        <w:t> </w:t>
      </w:r>
      <w:r>
        <w:rPr>
          <w:sz w:val="20"/>
        </w:rPr>
        <w:t>on</w:t>
      </w:r>
      <w:r>
        <w:rPr>
          <w:spacing w:val="40"/>
          <w:sz w:val="20"/>
        </w:rPr>
        <w:t> </w:t>
      </w:r>
      <w:r>
        <w:rPr>
          <w:sz w:val="20"/>
        </w:rPr>
        <w:t>2</w:t>
      </w:r>
      <w:r>
        <w:rPr>
          <w:spacing w:val="40"/>
          <w:sz w:val="20"/>
        </w:rPr>
        <w:t> </w:t>
      </w:r>
      <w:r>
        <w:rPr>
          <w:sz w:val="20"/>
        </w:rPr>
        <w:t>November</w:t>
      </w:r>
      <w:r>
        <w:rPr>
          <w:spacing w:val="40"/>
          <w:sz w:val="20"/>
        </w:rPr>
        <w:t> </w:t>
      </w:r>
      <w:r>
        <w:rPr>
          <w:sz w:val="20"/>
        </w:rPr>
        <w:t>2020</w:t>
      </w:r>
      <w:r>
        <w:rPr>
          <w:spacing w:val="40"/>
          <w:sz w:val="20"/>
        </w:rPr>
        <w:t> </w:t>
      </w:r>
      <w:r>
        <w:rPr>
          <w:sz w:val="20"/>
        </w:rPr>
        <w:t>and</w:t>
      </w:r>
      <w:r>
        <w:rPr>
          <w:spacing w:val="40"/>
          <w:sz w:val="20"/>
        </w:rPr>
        <w:t> </w:t>
      </w:r>
      <w:r>
        <w:rPr>
          <w:sz w:val="20"/>
        </w:rPr>
        <w:t>was</w:t>
      </w:r>
      <w:r>
        <w:rPr>
          <w:spacing w:val="40"/>
          <w:sz w:val="20"/>
        </w:rPr>
        <w:t> </w:t>
      </w:r>
      <w:r>
        <w:rPr>
          <w:sz w:val="20"/>
        </w:rPr>
        <w:t>surrendered</w:t>
      </w:r>
      <w:r>
        <w:rPr>
          <w:spacing w:val="40"/>
          <w:sz w:val="20"/>
        </w:rPr>
        <w:t> </w:t>
      </w:r>
      <w:r>
        <w:rPr>
          <w:sz w:val="20"/>
        </w:rPr>
        <w:t>to</w:t>
      </w:r>
      <w:r>
        <w:rPr>
          <w:spacing w:val="40"/>
          <w:sz w:val="20"/>
        </w:rPr>
        <w:t> </w:t>
      </w:r>
      <w:r>
        <w:rPr>
          <w:sz w:val="20"/>
        </w:rPr>
        <w:t>the</w:t>
      </w:r>
      <w:r>
        <w:rPr>
          <w:spacing w:val="40"/>
          <w:sz w:val="20"/>
        </w:rPr>
        <w:t> </w:t>
      </w:r>
      <w:r>
        <w:rPr>
          <w:sz w:val="20"/>
        </w:rPr>
        <w:t>custody</w:t>
      </w:r>
      <w:r>
        <w:rPr>
          <w:spacing w:val="40"/>
          <w:sz w:val="20"/>
        </w:rPr>
        <w:t> </w:t>
      </w:r>
      <w:r>
        <w:rPr>
          <w:sz w:val="20"/>
        </w:rPr>
        <w:t>of</w:t>
      </w:r>
      <w:r>
        <w:rPr>
          <w:spacing w:val="40"/>
          <w:sz w:val="20"/>
        </w:rPr>
        <w:t> </w:t>
      </w:r>
      <w:r>
        <w:rPr>
          <w:sz w:val="20"/>
        </w:rPr>
        <w:t>the</w:t>
      </w:r>
      <w:r>
        <w:rPr>
          <w:spacing w:val="40"/>
          <w:sz w:val="20"/>
        </w:rPr>
        <w:t> </w:t>
      </w:r>
      <w:r>
        <w:rPr>
          <w:sz w:val="20"/>
        </w:rPr>
        <w:t>Court</w:t>
      </w:r>
      <w:r>
        <w:rPr>
          <w:spacing w:val="80"/>
          <w:sz w:val="20"/>
        </w:rPr>
        <w:t> </w:t>
      </w:r>
      <w:r>
        <w:rPr>
          <w:sz w:val="20"/>
        </w:rPr>
        <w:t>on 3</w:t>
      </w:r>
      <w:r>
        <w:rPr>
          <w:spacing w:val="-4"/>
          <w:sz w:val="20"/>
        </w:rPr>
        <w:t> </w:t>
      </w:r>
      <w:r>
        <w:rPr>
          <w:sz w:val="20"/>
        </w:rPr>
        <w:t>November</w:t>
      </w:r>
      <w:r>
        <w:rPr>
          <w:spacing w:val="-9"/>
          <w:sz w:val="20"/>
        </w:rPr>
        <w:t> </w:t>
      </w:r>
      <w:r>
        <w:rPr>
          <w:sz w:val="20"/>
        </w:rPr>
        <w:t>2020,</w:t>
      </w:r>
      <w:r>
        <w:rPr>
          <w:spacing w:val="-2"/>
          <w:sz w:val="20"/>
        </w:rPr>
        <w:t> </w:t>
      </w:r>
      <w:r>
        <w:rPr>
          <w:sz w:val="20"/>
        </w:rPr>
        <w:t>pursuant</w:t>
      </w:r>
      <w:r>
        <w:rPr>
          <w:spacing w:val="-8"/>
          <w:sz w:val="20"/>
        </w:rPr>
        <w:t> </w:t>
      </w:r>
      <w:r>
        <w:rPr>
          <w:sz w:val="20"/>
        </w:rPr>
        <w:t>to</w:t>
      </w:r>
      <w:r>
        <w:rPr>
          <w:spacing w:val="-9"/>
          <w:sz w:val="20"/>
        </w:rPr>
        <w:t> </w:t>
      </w:r>
      <w:r>
        <w:rPr>
          <w:sz w:val="20"/>
        </w:rPr>
        <w:t>a</w:t>
      </w:r>
      <w:r>
        <w:rPr>
          <w:spacing w:val="-8"/>
          <w:sz w:val="20"/>
        </w:rPr>
        <w:t> </w:t>
      </w:r>
      <w:r>
        <w:rPr>
          <w:sz w:val="20"/>
        </w:rPr>
        <w:t>warrant</w:t>
      </w:r>
      <w:r>
        <w:rPr>
          <w:spacing w:val="-8"/>
          <w:sz w:val="20"/>
        </w:rPr>
        <w:t> </w:t>
      </w:r>
      <w:r>
        <w:rPr>
          <w:sz w:val="20"/>
        </w:rPr>
        <w:t>of</w:t>
      </w:r>
      <w:r>
        <w:rPr>
          <w:spacing w:val="-9"/>
          <w:sz w:val="20"/>
        </w:rPr>
        <w:t> </w:t>
      </w:r>
      <w:r>
        <w:rPr>
          <w:sz w:val="20"/>
        </w:rPr>
        <w:t>arrest</w:t>
      </w:r>
      <w:r>
        <w:rPr>
          <w:spacing w:val="-8"/>
          <w:sz w:val="20"/>
        </w:rPr>
        <w:t> </w:t>
      </w:r>
      <w:r>
        <w:rPr>
          <w:sz w:val="20"/>
        </w:rPr>
        <w:t>issued</w:t>
      </w:r>
      <w:r>
        <w:rPr>
          <w:spacing w:val="-9"/>
          <w:sz w:val="20"/>
        </w:rPr>
        <w:t> </w:t>
      </w:r>
      <w:r>
        <w:rPr>
          <w:sz w:val="20"/>
        </w:rPr>
        <w:t>by</w:t>
      </w:r>
      <w:r>
        <w:rPr>
          <w:spacing w:val="-5"/>
          <w:sz w:val="20"/>
        </w:rPr>
        <w:t> </w:t>
      </w:r>
      <w:r>
        <w:rPr>
          <w:sz w:val="20"/>
        </w:rPr>
        <w:t>the</w:t>
      </w:r>
      <w:r>
        <w:rPr>
          <w:spacing w:val="-8"/>
          <w:sz w:val="20"/>
        </w:rPr>
        <w:t> </w:t>
      </w:r>
      <w:r>
        <w:rPr>
          <w:sz w:val="20"/>
        </w:rPr>
        <w:t>Court</w:t>
      </w:r>
      <w:r>
        <w:rPr>
          <w:spacing w:val="-3"/>
          <w:sz w:val="20"/>
        </w:rPr>
        <w:t> </w:t>
      </w:r>
      <w:r>
        <w:rPr>
          <w:sz w:val="20"/>
        </w:rPr>
        <w:t>for</w:t>
      </w:r>
      <w:r>
        <w:rPr>
          <w:spacing w:val="-9"/>
          <w:sz w:val="20"/>
        </w:rPr>
        <w:t> </w:t>
      </w:r>
      <w:r>
        <w:rPr>
          <w:sz w:val="20"/>
        </w:rPr>
        <w:t>alleged</w:t>
      </w:r>
      <w:r>
        <w:rPr>
          <w:spacing w:val="-9"/>
          <w:sz w:val="20"/>
        </w:rPr>
        <w:t> </w:t>
      </w:r>
      <w:r>
        <w:rPr>
          <w:sz w:val="20"/>
        </w:rPr>
        <w:t>offences against the administration of justice.</w:t>
      </w:r>
    </w:p>
    <w:p>
      <w:pPr>
        <w:spacing w:after="0" w:line="240" w:lineRule="auto"/>
        <w:jc w:val="both"/>
        <w:rPr>
          <w:sz w:val="20"/>
        </w:rPr>
        <w:sectPr>
          <w:pgSz w:w="11910" w:h="16840"/>
          <w:pgMar w:header="953" w:footer="940" w:top="1140" w:bottom="1140" w:left="20" w:right="20"/>
        </w:sectPr>
      </w:pPr>
    </w:p>
    <w:p>
      <w:pPr>
        <w:pStyle w:val="ListParagraph"/>
        <w:numPr>
          <w:ilvl w:val="0"/>
          <w:numId w:val="4"/>
        </w:numPr>
        <w:tabs>
          <w:tab w:pos="2967" w:val="left" w:leader="none"/>
        </w:tabs>
        <w:spacing w:line="240" w:lineRule="auto" w:before="120" w:after="0"/>
        <w:ind w:left="2246" w:right="2245" w:firstLine="0"/>
        <w:jc w:val="both"/>
        <w:rPr>
          <w:sz w:val="20"/>
        </w:rPr>
      </w:pPr>
      <w:r>
        <w:rPr>
          <w:sz w:val="20"/>
        </w:rPr>
        <w:t>On 15 July 2021, Pre-Trial Chamber A</w:t>
      </w:r>
      <w:r>
        <w:rPr>
          <w:spacing w:val="-1"/>
          <w:sz w:val="20"/>
        </w:rPr>
        <w:t> </w:t>
      </w:r>
      <w:r>
        <w:rPr>
          <w:sz w:val="20"/>
        </w:rPr>
        <w:t>confirmed the charges against Mr Gicheru and committed</w:t>
      </w:r>
      <w:r>
        <w:rPr>
          <w:spacing w:val="40"/>
          <w:sz w:val="20"/>
        </w:rPr>
        <w:t> </w:t>
      </w:r>
      <w:r>
        <w:rPr>
          <w:sz w:val="20"/>
        </w:rPr>
        <w:t>him</w:t>
      </w:r>
      <w:r>
        <w:rPr>
          <w:spacing w:val="40"/>
          <w:sz w:val="20"/>
        </w:rPr>
        <w:t> </w:t>
      </w:r>
      <w:r>
        <w:rPr>
          <w:sz w:val="20"/>
        </w:rPr>
        <w:t>to trial</w:t>
      </w:r>
      <w:r>
        <w:rPr>
          <w:spacing w:val="40"/>
          <w:sz w:val="20"/>
        </w:rPr>
        <w:t> </w:t>
      </w:r>
      <w:r>
        <w:rPr>
          <w:sz w:val="20"/>
        </w:rPr>
        <w:t>and on</w:t>
      </w:r>
      <w:r>
        <w:rPr>
          <w:spacing w:val="40"/>
          <w:sz w:val="20"/>
        </w:rPr>
        <w:t> </w:t>
      </w:r>
      <w:r>
        <w:rPr>
          <w:sz w:val="20"/>
        </w:rPr>
        <w:t>15</w:t>
      </w:r>
      <w:r>
        <w:rPr>
          <w:spacing w:val="40"/>
          <w:sz w:val="20"/>
        </w:rPr>
        <w:t> </w:t>
      </w:r>
      <w:r>
        <w:rPr>
          <w:sz w:val="20"/>
        </w:rPr>
        <w:t>February</w:t>
      </w:r>
      <w:r>
        <w:rPr>
          <w:spacing w:val="40"/>
          <w:sz w:val="20"/>
        </w:rPr>
        <w:t> </w:t>
      </w:r>
      <w:r>
        <w:rPr>
          <w:sz w:val="20"/>
        </w:rPr>
        <w:t>2022,</w:t>
      </w:r>
      <w:r>
        <w:rPr>
          <w:spacing w:val="40"/>
          <w:sz w:val="20"/>
        </w:rPr>
        <w:t> </w:t>
      </w:r>
      <w:r>
        <w:rPr>
          <w:sz w:val="20"/>
        </w:rPr>
        <w:t>the</w:t>
      </w:r>
      <w:r>
        <w:rPr>
          <w:spacing w:val="40"/>
          <w:sz w:val="20"/>
        </w:rPr>
        <w:t> </w:t>
      </w:r>
      <w:r>
        <w:rPr>
          <w:sz w:val="20"/>
        </w:rPr>
        <w:t>trial</w:t>
      </w:r>
      <w:r>
        <w:rPr>
          <w:spacing w:val="40"/>
          <w:sz w:val="20"/>
        </w:rPr>
        <w:t> </w:t>
      </w:r>
      <w:r>
        <w:rPr>
          <w:sz w:val="20"/>
        </w:rPr>
        <w:t>opened</w:t>
      </w:r>
      <w:r>
        <w:rPr>
          <w:spacing w:val="40"/>
          <w:sz w:val="20"/>
        </w:rPr>
        <w:t> </w:t>
      </w:r>
      <w:r>
        <w:rPr>
          <w:sz w:val="20"/>
        </w:rPr>
        <w:t>before</w:t>
      </w:r>
      <w:r>
        <w:rPr>
          <w:spacing w:val="40"/>
          <w:sz w:val="20"/>
        </w:rPr>
        <w:t> </w:t>
      </w:r>
      <w:r>
        <w:rPr>
          <w:sz w:val="20"/>
        </w:rPr>
        <w:t>Trial Chamber III. Closing statements were heard on 27 June 2022.</w:t>
      </w:r>
    </w:p>
    <w:p>
      <w:pPr>
        <w:pStyle w:val="ListParagraph"/>
        <w:numPr>
          <w:ilvl w:val="0"/>
          <w:numId w:val="4"/>
        </w:numPr>
        <w:tabs>
          <w:tab w:pos="2967" w:val="left" w:leader="none"/>
        </w:tabs>
        <w:spacing w:line="240" w:lineRule="auto" w:before="121" w:after="0"/>
        <w:ind w:left="2246" w:right="2239" w:firstLine="0"/>
        <w:jc w:val="both"/>
        <w:rPr>
          <w:sz w:val="20"/>
        </w:rPr>
      </w:pPr>
      <w:r>
        <w:rPr>
          <w:sz w:val="20"/>
        </w:rPr>
        <w:t>In</w:t>
      </w:r>
      <w:r>
        <w:rPr>
          <w:spacing w:val="-5"/>
          <w:sz w:val="20"/>
        </w:rPr>
        <w:t> </w:t>
      </w:r>
      <w:r>
        <w:rPr>
          <w:sz w:val="20"/>
        </w:rPr>
        <w:t>2023,</w:t>
      </w:r>
      <w:r>
        <w:rPr>
          <w:spacing w:val="-2"/>
          <w:sz w:val="20"/>
        </w:rPr>
        <w:t> </w:t>
      </w:r>
      <w:r>
        <w:rPr>
          <w:sz w:val="20"/>
        </w:rPr>
        <w:t>the</w:t>
      </w:r>
      <w:r>
        <w:rPr>
          <w:spacing w:val="-3"/>
          <w:sz w:val="20"/>
        </w:rPr>
        <w:t> </w:t>
      </w:r>
      <w:r>
        <w:rPr>
          <w:sz w:val="20"/>
        </w:rPr>
        <w:t>OTP</w:t>
      </w:r>
      <w:r>
        <w:rPr>
          <w:spacing w:val="-6"/>
          <w:sz w:val="20"/>
        </w:rPr>
        <w:t> </w:t>
      </w:r>
      <w:r>
        <w:rPr>
          <w:sz w:val="20"/>
        </w:rPr>
        <w:t>anticipates</w:t>
      </w:r>
      <w:r>
        <w:rPr>
          <w:spacing w:val="-6"/>
          <w:sz w:val="20"/>
        </w:rPr>
        <w:t> </w:t>
      </w:r>
      <w:r>
        <w:rPr>
          <w:sz w:val="20"/>
        </w:rPr>
        <w:t>reducing</w:t>
      </w:r>
      <w:r>
        <w:rPr>
          <w:spacing w:val="-9"/>
          <w:sz w:val="20"/>
        </w:rPr>
        <w:t> </w:t>
      </w:r>
      <w:r>
        <w:rPr>
          <w:sz w:val="20"/>
        </w:rPr>
        <w:t>resources</w:t>
      </w:r>
      <w:r>
        <w:rPr>
          <w:spacing w:val="-11"/>
          <w:sz w:val="20"/>
        </w:rPr>
        <w:t> </w:t>
      </w:r>
      <w:r>
        <w:rPr>
          <w:sz w:val="20"/>
        </w:rPr>
        <w:t>allocated</w:t>
      </w:r>
      <w:r>
        <w:rPr>
          <w:spacing w:val="-9"/>
          <w:sz w:val="20"/>
        </w:rPr>
        <w:t> </w:t>
      </w:r>
      <w:r>
        <w:rPr>
          <w:sz w:val="20"/>
        </w:rPr>
        <w:t>to</w:t>
      </w:r>
      <w:r>
        <w:rPr>
          <w:spacing w:val="-5"/>
          <w:sz w:val="20"/>
        </w:rPr>
        <w:t> </w:t>
      </w:r>
      <w:r>
        <w:rPr>
          <w:sz w:val="20"/>
        </w:rPr>
        <w:t>the</w:t>
      </w:r>
      <w:r>
        <w:rPr>
          <w:spacing w:val="-3"/>
          <w:sz w:val="20"/>
        </w:rPr>
        <w:t> </w:t>
      </w:r>
      <w:r>
        <w:rPr>
          <w:sz w:val="20"/>
        </w:rPr>
        <w:t>situation</w:t>
      </w:r>
      <w:r>
        <w:rPr>
          <w:spacing w:val="-9"/>
          <w:sz w:val="20"/>
        </w:rPr>
        <w:t> </w:t>
      </w:r>
      <w:r>
        <w:rPr>
          <w:sz w:val="20"/>
        </w:rPr>
        <w:t>in</w:t>
      </w:r>
      <w:r>
        <w:rPr>
          <w:spacing w:val="-5"/>
          <w:sz w:val="20"/>
        </w:rPr>
        <w:t> </w:t>
      </w:r>
      <w:r>
        <w:rPr>
          <w:sz w:val="20"/>
        </w:rPr>
        <w:t>Kenya, placing</w:t>
      </w:r>
      <w:r>
        <w:rPr>
          <w:spacing w:val="-12"/>
          <w:sz w:val="20"/>
        </w:rPr>
        <w:t> </w:t>
      </w:r>
      <w:r>
        <w:rPr>
          <w:sz w:val="20"/>
        </w:rPr>
        <w:t>focus</w:t>
      </w:r>
      <w:r>
        <w:rPr>
          <w:spacing w:val="-9"/>
          <w:sz w:val="20"/>
        </w:rPr>
        <w:t> </w:t>
      </w:r>
      <w:r>
        <w:rPr>
          <w:sz w:val="20"/>
        </w:rPr>
        <w:t>on</w:t>
      </w:r>
      <w:r>
        <w:rPr>
          <w:spacing w:val="-12"/>
          <w:sz w:val="20"/>
        </w:rPr>
        <w:t> </w:t>
      </w:r>
      <w:r>
        <w:rPr>
          <w:sz w:val="20"/>
        </w:rPr>
        <w:t>effective</w:t>
      </w:r>
      <w:r>
        <w:rPr>
          <w:spacing w:val="-10"/>
          <w:sz w:val="20"/>
        </w:rPr>
        <w:t> </w:t>
      </w:r>
      <w:r>
        <w:rPr>
          <w:sz w:val="20"/>
        </w:rPr>
        <w:t>support</w:t>
      </w:r>
      <w:r>
        <w:rPr>
          <w:spacing w:val="-6"/>
          <w:sz w:val="20"/>
        </w:rPr>
        <w:t> </w:t>
      </w:r>
      <w:r>
        <w:rPr>
          <w:sz w:val="20"/>
        </w:rPr>
        <w:t>for</w:t>
      </w:r>
      <w:r>
        <w:rPr>
          <w:spacing w:val="-12"/>
          <w:sz w:val="20"/>
        </w:rPr>
        <w:t> </w:t>
      </w:r>
      <w:r>
        <w:rPr>
          <w:sz w:val="20"/>
        </w:rPr>
        <w:t>the</w:t>
      </w:r>
      <w:r>
        <w:rPr>
          <w:spacing w:val="-6"/>
          <w:sz w:val="20"/>
        </w:rPr>
        <w:t> </w:t>
      </w:r>
      <w:r>
        <w:rPr>
          <w:sz w:val="20"/>
        </w:rPr>
        <w:t>remaining</w:t>
      </w:r>
      <w:r>
        <w:rPr>
          <w:spacing w:val="-7"/>
          <w:sz w:val="20"/>
        </w:rPr>
        <w:t> </w:t>
      </w:r>
      <w:r>
        <w:rPr>
          <w:sz w:val="20"/>
        </w:rPr>
        <w:t>stages</w:t>
      </w:r>
      <w:r>
        <w:rPr>
          <w:spacing w:val="-14"/>
          <w:sz w:val="20"/>
        </w:rPr>
        <w:t> </w:t>
      </w:r>
      <w:r>
        <w:rPr>
          <w:sz w:val="20"/>
        </w:rPr>
        <w:t>of</w:t>
      </w:r>
      <w:r>
        <w:rPr>
          <w:spacing w:val="-12"/>
          <w:sz w:val="20"/>
        </w:rPr>
        <w:t> </w:t>
      </w:r>
      <w:r>
        <w:rPr>
          <w:sz w:val="20"/>
        </w:rPr>
        <w:t>the</w:t>
      </w:r>
      <w:r>
        <w:rPr>
          <w:spacing w:val="-11"/>
          <w:sz w:val="20"/>
        </w:rPr>
        <w:t> </w:t>
      </w:r>
      <w:r>
        <w:rPr>
          <w:sz w:val="20"/>
        </w:rPr>
        <w:t>trial</w:t>
      </w:r>
      <w:r>
        <w:rPr>
          <w:spacing w:val="-11"/>
          <w:sz w:val="20"/>
        </w:rPr>
        <w:t> </w:t>
      </w:r>
      <w:r>
        <w:rPr>
          <w:sz w:val="20"/>
        </w:rPr>
        <w:t>relating</w:t>
      </w:r>
      <w:r>
        <w:rPr>
          <w:spacing w:val="-12"/>
          <w:sz w:val="20"/>
        </w:rPr>
        <w:t> </w:t>
      </w:r>
      <w:r>
        <w:rPr>
          <w:sz w:val="20"/>
        </w:rPr>
        <w:t>to</w:t>
      </w:r>
      <w:r>
        <w:rPr>
          <w:spacing w:val="-7"/>
          <w:sz w:val="20"/>
        </w:rPr>
        <w:t> </w:t>
      </w:r>
      <w:r>
        <w:rPr>
          <w:sz w:val="20"/>
        </w:rPr>
        <w:t>Mr</w:t>
      </w:r>
      <w:r>
        <w:rPr>
          <w:spacing w:val="-7"/>
          <w:sz w:val="20"/>
        </w:rPr>
        <w:t> </w:t>
      </w:r>
      <w:r>
        <w:rPr>
          <w:sz w:val="20"/>
        </w:rPr>
        <w:t>Gicheru.</w:t>
      </w:r>
    </w:p>
    <w:p>
      <w:pPr>
        <w:pStyle w:val="ListParagraph"/>
        <w:numPr>
          <w:ilvl w:val="0"/>
          <w:numId w:val="4"/>
        </w:numPr>
        <w:tabs>
          <w:tab w:pos="2967" w:val="left" w:leader="none"/>
        </w:tabs>
        <w:spacing w:line="240" w:lineRule="auto" w:before="122" w:after="0"/>
        <w:ind w:left="2246" w:right="2242" w:firstLine="0"/>
        <w:jc w:val="both"/>
        <w:rPr>
          <w:sz w:val="20"/>
        </w:rPr>
      </w:pPr>
      <w:r>
        <w:rPr>
          <w:sz w:val="20"/>
        </w:rPr>
        <w:t>By 2023,</w:t>
      </w:r>
      <w:r>
        <w:rPr>
          <w:spacing w:val="-1"/>
          <w:sz w:val="20"/>
        </w:rPr>
        <w:t> </w:t>
      </w:r>
      <w:r>
        <w:rPr>
          <w:sz w:val="20"/>
        </w:rPr>
        <w:t>the</w:t>
      </w:r>
      <w:r>
        <w:rPr>
          <w:spacing w:val="-2"/>
          <w:sz w:val="20"/>
        </w:rPr>
        <w:t> </w:t>
      </w:r>
      <w:r>
        <w:rPr>
          <w:sz w:val="20"/>
        </w:rPr>
        <w:t>TFV will</w:t>
      </w:r>
      <w:r>
        <w:rPr>
          <w:spacing w:val="-2"/>
          <w:sz w:val="20"/>
        </w:rPr>
        <w:t> </w:t>
      </w:r>
      <w:r>
        <w:rPr>
          <w:sz w:val="20"/>
        </w:rPr>
        <w:t>be</w:t>
      </w:r>
      <w:r>
        <w:rPr>
          <w:spacing w:val="-2"/>
          <w:sz w:val="20"/>
        </w:rPr>
        <w:t> </w:t>
      </w:r>
      <w:r>
        <w:rPr>
          <w:sz w:val="20"/>
        </w:rPr>
        <w:t>implementing, in</w:t>
      </w:r>
      <w:r>
        <w:rPr>
          <w:spacing w:val="-4"/>
          <w:sz w:val="20"/>
        </w:rPr>
        <w:t> </w:t>
      </w:r>
      <w:r>
        <w:rPr>
          <w:sz w:val="20"/>
        </w:rPr>
        <w:t>the context</w:t>
      </w:r>
      <w:r>
        <w:rPr>
          <w:spacing w:val="-2"/>
          <w:sz w:val="20"/>
        </w:rPr>
        <w:t> </w:t>
      </w:r>
      <w:r>
        <w:rPr>
          <w:sz w:val="20"/>
        </w:rPr>
        <w:t>of its</w:t>
      </w:r>
      <w:r>
        <w:rPr>
          <w:spacing w:val="-5"/>
          <w:sz w:val="20"/>
        </w:rPr>
        <w:t> </w:t>
      </w:r>
      <w:r>
        <w:rPr>
          <w:sz w:val="20"/>
        </w:rPr>
        <w:t>assistance mandate,</w:t>
      </w:r>
      <w:r>
        <w:rPr>
          <w:spacing w:val="-1"/>
          <w:sz w:val="20"/>
        </w:rPr>
        <w:t> </w:t>
      </w:r>
      <w:r>
        <w:rPr>
          <w:sz w:val="20"/>
        </w:rPr>
        <w:t>a programme providing rehabilitation to address the harm suffered by victims of sexual and gender-based crimes in the context of a situation within the jurisdiction of the Court.</w:t>
      </w:r>
    </w:p>
    <w:p>
      <w:pPr>
        <w:pStyle w:val="BodyText"/>
        <w:spacing w:before="11"/>
      </w:pPr>
    </w:p>
    <w:p>
      <w:pPr>
        <w:spacing w:before="0"/>
        <w:ind w:left="2246" w:right="0" w:firstLine="0"/>
        <w:jc w:val="left"/>
        <w:rPr>
          <w:i/>
          <w:sz w:val="20"/>
        </w:rPr>
      </w:pPr>
      <w:r>
        <w:rPr>
          <w:i/>
          <w:sz w:val="20"/>
        </w:rPr>
        <w:t>Situation</w:t>
      </w:r>
      <w:r>
        <w:rPr>
          <w:i/>
          <w:spacing w:val="-9"/>
          <w:sz w:val="20"/>
        </w:rPr>
        <w:t> </w:t>
      </w:r>
      <w:r>
        <w:rPr>
          <w:i/>
          <w:sz w:val="20"/>
        </w:rPr>
        <w:t>in</w:t>
      </w:r>
      <w:r>
        <w:rPr>
          <w:i/>
          <w:spacing w:val="-6"/>
          <w:sz w:val="20"/>
        </w:rPr>
        <w:t> </w:t>
      </w:r>
      <w:r>
        <w:rPr>
          <w:i/>
          <w:sz w:val="20"/>
        </w:rPr>
        <w:t>the</w:t>
      </w:r>
      <w:r>
        <w:rPr>
          <w:i/>
          <w:spacing w:val="-4"/>
          <w:sz w:val="20"/>
        </w:rPr>
        <w:t> </w:t>
      </w:r>
      <w:r>
        <w:rPr>
          <w:i/>
          <w:sz w:val="20"/>
        </w:rPr>
        <w:t>State of</w:t>
      </w:r>
      <w:r>
        <w:rPr>
          <w:i/>
          <w:spacing w:val="1"/>
          <w:sz w:val="20"/>
        </w:rPr>
        <w:t> </w:t>
      </w:r>
      <w:r>
        <w:rPr>
          <w:i/>
          <w:spacing w:val="-4"/>
          <w:sz w:val="20"/>
        </w:rPr>
        <w:t>Libya</w:t>
      </w:r>
    </w:p>
    <w:p>
      <w:pPr>
        <w:pStyle w:val="BodyText"/>
        <w:spacing w:before="10"/>
        <w:rPr>
          <w:i/>
        </w:rPr>
      </w:pPr>
    </w:p>
    <w:p>
      <w:pPr>
        <w:pStyle w:val="ListParagraph"/>
        <w:numPr>
          <w:ilvl w:val="0"/>
          <w:numId w:val="4"/>
        </w:numPr>
        <w:tabs>
          <w:tab w:pos="2967" w:val="left" w:leader="none"/>
        </w:tabs>
        <w:spacing w:line="240" w:lineRule="auto" w:before="1" w:after="0"/>
        <w:ind w:left="2246" w:right="2245" w:firstLine="0"/>
        <w:jc w:val="both"/>
        <w:rPr>
          <w:sz w:val="20"/>
        </w:rPr>
      </w:pPr>
      <w:r>
        <w:rPr>
          <w:sz w:val="20"/>
        </w:rPr>
        <w:t>Pursuant to resolution 1970 of 26 February 2011, the United Nations Security Council referred to the Prosecutor the situation in Libya as of 15 February 2011. On 3 March</w:t>
      </w:r>
      <w:r>
        <w:rPr>
          <w:spacing w:val="-12"/>
          <w:sz w:val="20"/>
        </w:rPr>
        <w:t> </w:t>
      </w:r>
      <w:r>
        <w:rPr>
          <w:sz w:val="20"/>
        </w:rPr>
        <w:t>2011,</w:t>
      </w:r>
      <w:r>
        <w:rPr>
          <w:spacing w:val="-11"/>
          <w:sz w:val="20"/>
        </w:rPr>
        <w:t> </w:t>
      </w:r>
      <w:r>
        <w:rPr>
          <w:sz w:val="20"/>
        </w:rPr>
        <w:t>the</w:t>
      </w:r>
      <w:r>
        <w:rPr>
          <w:spacing w:val="-11"/>
          <w:sz w:val="20"/>
        </w:rPr>
        <w:t> </w:t>
      </w:r>
      <w:r>
        <w:rPr>
          <w:sz w:val="20"/>
        </w:rPr>
        <w:t>OTP</w:t>
      </w:r>
      <w:r>
        <w:rPr>
          <w:spacing w:val="-13"/>
          <w:sz w:val="20"/>
        </w:rPr>
        <w:t> </w:t>
      </w:r>
      <w:r>
        <w:rPr>
          <w:sz w:val="20"/>
        </w:rPr>
        <w:t>opened</w:t>
      </w:r>
      <w:r>
        <w:rPr>
          <w:spacing w:val="-12"/>
          <w:sz w:val="20"/>
        </w:rPr>
        <w:t> </w:t>
      </w:r>
      <w:r>
        <w:rPr>
          <w:sz w:val="20"/>
        </w:rPr>
        <w:t>an</w:t>
      </w:r>
      <w:r>
        <w:rPr>
          <w:spacing w:val="-13"/>
          <w:sz w:val="20"/>
        </w:rPr>
        <w:t> </w:t>
      </w:r>
      <w:r>
        <w:rPr>
          <w:sz w:val="20"/>
        </w:rPr>
        <w:t>investigation</w:t>
      </w:r>
      <w:r>
        <w:rPr>
          <w:spacing w:val="-12"/>
          <w:sz w:val="20"/>
        </w:rPr>
        <w:t> </w:t>
      </w:r>
      <w:r>
        <w:rPr>
          <w:sz w:val="20"/>
        </w:rPr>
        <w:t>into</w:t>
      </w:r>
      <w:r>
        <w:rPr>
          <w:spacing w:val="-13"/>
          <w:sz w:val="20"/>
        </w:rPr>
        <w:t> </w:t>
      </w:r>
      <w:r>
        <w:rPr>
          <w:sz w:val="20"/>
        </w:rPr>
        <w:t>the</w:t>
      </w:r>
      <w:r>
        <w:rPr>
          <w:spacing w:val="-7"/>
          <w:sz w:val="20"/>
        </w:rPr>
        <w:t> </w:t>
      </w:r>
      <w:r>
        <w:rPr>
          <w:sz w:val="20"/>
        </w:rPr>
        <w:t>situation</w:t>
      </w:r>
      <w:r>
        <w:rPr>
          <w:spacing w:val="-8"/>
          <w:sz w:val="20"/>
        </w:rPr>
        <w:t> </w:t>
      </w:r>
      <w:r>
        <w:rPr>
          <w:sz w:val="20"/>
        </w:rPr>
        <w:t>in</w:t>
      </w:r>
      <w:r>
        <w:rPr>
          <w:spacing w:val="-13"/>
          <w:sz w:val="20"/>
        </w:rPr>
        <w:t> </w:t>
      </w:r>
      <w:r>
        <w:rPr>
          <w:sz w:val="20"/>
        </w:rPr>
        <w:t>Libya</w:t>
      </w:r>
      <w:r>
        <w:rPr>
          <w:spacing w:val="-11"/>
          <w:sz w:val="20"/>
        </w:rPr>
        <w:t> </w:t>
      </w:r>
      <w:r>
        <w:rPr>
          <w:sz w:val="20"/>
        </w:rPr>
        <w:t>in</w:t>
      </w:r>
      <w:r>
        <w:rPr>
          <w:spacing w:val="-13"/>
          <w:sz w:val="20"/>
        </w:rPr>
        <w:t> </w:t>
      </w:r>
      <w:r>
        <w:rPr>
          <w:sz w:val="20"/>
        </w:rPr>
        <w:t>relation</w:t>
      </w:r>
      <w:r>
        <w:rPr>
          <w:spacing w:val="-12"/>
          <w:sz w:val="20"/>
        </w:rPr>
        <w:t> </w:t>
      </w:r>
      <w:r>
        <w:rPr>
          <w:sz w:val="20"/>
        </w:rPr>
        <w:t>to</w:t>
      </w:r>
      <w:r>
        <w:rPr>
          <w:spacing w:val="-13"/>
          <w:sz w:val="20"/>
        </w:rPr>
        <w:t> </w:t>
      </w:r>
      <w:r>
        <w:rPr>
          <w:sz w:val="20"/>
        </w:rPr>
        <w:t>alleged crimes within the jurisdiction of the Court allegedly committed since 15 February 2011.</w:t>
      </w:r>
    </w:p>
    <w:p>
      <w:pPr>
        <w:pStyle w:val="ListParagraph"/>
        <w:numPr>
          <w:ilvl w:val="0"/>
          <w:numId w:val="4"/>
        </w:numPr>
        <w:tabs>
          <w:tab w:pos="2967" w:val="left" w:leader="none"/>
        </w:tabs>
        <w:spacing w:line="240" w:lineRule="auto" w:before="117" w:after="0"/>
        <w:ind w:left="2246" w:right="2243" w:firstLine="0"/>
        <w:jc w:val="both"/>
        <w:rPr>
          <w:sz w:val="20"/>
        </w:rPr>
      </w:pPr>
      <w:r>
        <w:rPr>
          <w:sz w:val="20"/>
        </w:rPr>
        <w:t>The</w:t>
      </w:r>
      <w:r>
        <w:rPr>
          <w:spacing w:val="-9"/>
          <w:sz w:val="20"/>
        </w:rPr>
        <w:t> </w:t>
      </w:r>
      <w:r>
        <w:rPr>
          <w:sz w:val="20"/>
        </w:rPr>
        <w:t>investigation</w:t>
      </w:r>
      <w:r>
        <w:rPr>
          <w:spacing w:val="-6"/>
          <w:sz w:val="20"/>
        </w:rPr>
        <w:t> </w:t>
      </w:r>
      <w:r>
        <w:rPr>
          <w:sz w:val="20"/>
        </w:rPr>
        <w:t>has</w:t>
      </w:r>
      <w:r>
        <w:rPr>
          <w:spacing w:val="-12"/>
          <w:sz w:val="20"/>
        </w:rPr>
        <w:t> </w:t>
      </w:r>
      <w:r>
        <w:rPr>
          <w:sz w:val="20"/>
        </w:rPr>
        <w:t>thus</w:t>
      </w:r>
      <w:r>
        <w:rPr>
          <w:spacing w:val="-12"/>
          <w:sz w:val="20"/>
        </w:rPr>
        <w:t> </w:t>
      </w:r>
      <w:r>
        <w:rPr>
          <w:sz w:val="20"/>
        </w:rPr>
        <w:t>far</w:t>
      </w:r>
      <w:r>
        <w:rPr>
          <w:spacing w:val="-10"/>
          <w:sz w:val="20"/>
        </w:rPr>
        <w:t> </w:t>
      </w:r>
      <w:r>
        <w:rPr>
          <w:sz w:val="20"/>
        </w:rPr>
        <w:t>produced</w:t>
      </w:r>
      <w:r>
        <w:rPr>
          <w:spacing w:val="-10"/>
          <w:sz w:val="20"/>
        </w:rPr>
        <w:t> </w:t>
      </w:r>
      <w:r>
        <w:rPr>
          <w:sz w:val="20"/>
        </w:rPr>
        <w:t>three</w:t>
      </w:r>
      <w:r>
        <w:rPr>
          <w:spacing w:val="-9"/>
          <w:sz w:val="20"/>
        </w:rPr>
        <w:t> </w:t>
      </w:r>
      <w:r>
        <w:rPr>
          <w:sz w:val="20"/>
        </w:rPr>
        <w:t>cases,</w:t>
      </w:r>
      <w:r>
        <w:rPr>
          <w:spacing w:val="-8"/>
          <w:sz w:val="20"/>
        </w:rPr>
        <w:t> </w:t>
      </w:r>
      <w:r>
        <w:rPr>
          <w:sz w:val="20"/>
        </w:rPr>
        <w:t>originally</w:t>
      </w:r>
      <w:r>
        <w:rPr>
          <w:spacing w:val="-6"/>
          <w:sz w:val="20"/>
        </w:rPr>
        <w:t> </w:t>
      </w:r>
      <w:r>
        <w:rPr>
          <w:sz w:val="20"/>
        </w:rPr>
        <w:t>against</w:t>
      </w:r>
      <w:r>
        <w:rPr>
          <w:spacing w:val="-4"/>
          <w:sz w:val="20"/>
        </w:rPr>
        <w:t> </w:t>
      </w:r>
      <w:r>
        <w:rPr>
          <w:sz w:val="20"/>
        </w:rPr>
        <w:t>five</w:t>
      </w:r>
      <w:r>
        <w:rPr>
          <w:spacing w:val="-4"/>
          <w:sz w:val="20"/>
        </w:rPr>
        <w:t> </w:t>
      </w:r>
      <w:r>
        <w:rPr>
          <w:sz w:val="20"/>
        </w:rPr>
        <w:t>suspects, involving charges for alleged crimes against humanity and war crimes. Warrants of arrest remain to be executed for suspects in the situation in Libya.</w:t>
      </w:r>
    </w:p>
    <w:p>
      <w:pPr>
        <w:pStyle w:val="ListParagraph"/>
        <w:numPr>
          <w:ilvl w:val="0"/>
          <w:numId w:val="4"/>
        </w:numPr>
        <w:tabs>
          <w:tab w:pos="2967" w:val="left" w:leader="none"/>
        </w:tabs>
        <w:spacing w:line="240" w:lineRule="auto" w:before="121" w:after="0"/>
        <w:ind w:left="2246" w:right="2244" w:firstLine="0"/>
        <w:jc w:val="both"/>
        <w:rPr>
          <w:sz w:val="20"/>
        </w:rPr>
      </w:pPr>
      <w:r>
        <w:rPr>
          <w:sz w:val="20"/>
        </w:rPr>
        <w:t>Despite the challenging security and political situation in Libya, the OTP has continued</w:t>
      </w:r>
      <w:r>
        <w:rPr>
          <w:spacing w:val="-3"/>
          <w:sz w:val="20"/>
        </w:rPr>
        <w:t> </w:t>
      </w:r>
      <w:r>
        <w:rPr>
          <w:sz w:val="20"/>
        </w:rPr>
        <w:t>to</w:t>
      </w:r>
      <w:r>
        <w:rPr>
          <w:spacing w:val="-3"/>
          <w:sz w:val="20"/>
        </w:rPr>
        <w:t> </w:t>
      </w:r>
      <w:r>
        <w:rPr>
          <w:sz w:val="20"/>
        </w:rPr>
        <w:t>make</w:t>
      </w:r>
      <w:r>
        <w:rPr>
          <w:spacing w:val="-1"/>
          <w:sz w:val="20"/>
        </w:rPr>
        <w:t> </w:t>
      </w:r>
      <w:r>
        <w:rPr>
          <w:sz w:val="20"/>
        </w:rPr>
        <w:t>progress</w:t>
      </w:r>
      <w:r>
        <w:rPr>
          <w:spacing w:val="-4"/>
          <w:sz w:val="20"/>
        </w:rPr>
        <w:t> </w:t>
      </w:r>
      <w:r>
        <w:rPr>
          <w:sz w:val="20"/>
        </w:rPr>
        <w:t>in</w:t>
      </w:r>
      <w:r>
        <w:rPr>
          <w:spacing w:val="-3"/>
          <w:sz w:val="20"/>
        </w:rPr>
        <w:t> </w:t>
      </w:r>
      <w:r>
        <w:rPr>
          <w:sz w:val="20"/>
        </w:rPr>
        <w:t>the</w:t>
      </w:r>
      <w:r>
        <w:rPr>
          <w:spacing w:val="-1"/>
          <w:sz w:val="20"/>
        </w:rPr>
        <w:t> </w:t>
      </w:r>
      <w:r>
        <w:rPr>
          <w:sz w:val="20"/>
        </w:rPr>
        <w:t>existing</w:t>
      </w:r>
      <w:r>
        <w:rPr>
          <w:spacing w:val="-3"/>
          <w:sz w:val="20"/>
        </w:rPr>
        <w:t> </w:t>
      </w:r>
      <w:r>
        <w:rPr>
          <w:sz w:val="20"/>
        </w:rPr>
        <w:t>and</w:t>
      </w:r>
      <w:r>
        <w:rPr>
          <w:spacing w:val="-3"/>
          <w:sz w:val="20"/>
        </w:rPr>
        <w:t> </w:t>
      </w:r>
      <w:r>
        <w:rPr>
          <w:sz w:val="20"/>
        </w:rPr>
        <w:t>potential</w:t>
      </w:r>
      <w:r>
        <w:rPr>
          <w:spacing w:val="-1"/>
          <w:sz w:val="20"/>
        </w:rPr>
        <w:t> </w:t>
      </w:r>
      <w:r>
        <w:rPr>
          <w:sz w:val="20"/>
        </w:rPr>
        <w:t>new</w:t>
      </w:r>
      <w:r>
        <w:rPr>
          <w:spacing w:val="-4"/>
          <w:sz w:val="20"/>
        </w:rPr>
        <w:t> </w:t>
      </w:r>
      <w:r>
        <w:rPr>
          <w:sz w:val="20"/>
        </w:rPr>
        <w:t>cases, and</w:t>
      </w:r>
      <w:r>
        <w:rPr>
          <w:spacing w:val="-3"/>
          <w:sz w:val="20"/>
        </w:rPr>
        <w:t> </w:t>
      </w:r>
      <w:r>
        <w:rPr>
          <w:sz w:val="20"/>
        </w:rPr>
        <w:t>continues</w:t>
      </w:r>
      <w:r>
        <w:rPr>
          <w:spacing w:val="-4"/>
          <w:sz w:val="20"/>
        </w:rPr>
        <w:t> </w:t>
      </w:r>
      <w:r>
        <w:rPr>
          <w:sz w:val="20"/>
        </w:rPr>
        <w:t>to</w:t>
      </w:r>
      <w:r>
        <w:rPr>
          <w:spacing w:val="-7"/>
          <w:sz w:val="20"/>
        </w:rPr>
        <w:t> </w:t>
      </w:r>
      <w:r>
        <w:rPr>
          <w:sz w:val="20"/>
        </w:rPr>
        <w:t>collect, receive and process evidence concerning alleged crimes.</w:t>
      </w:r>
    </w:p>
    <w:p>
      <w:pPr>
        <w:pStyle w:val="ListParagraph"/>
        <w:numPr>
          <w:ilvl w:val="0"/>
          <w:numId w:val="4"/>
        </w:numPr>
        <w:tabs>
          <w:tab w:pos="2967" w:val="left" w:leader="none"/>
        </w:tabs>
        <w:spacing w:line="240" w:lineRule="auto" w:before="122" w:after="0"/>
        <w:ind w:left="2246" w:right="2241" w:firstLine="0"/>
        <w:jc w:val="both"/>
        <w:rPr>
          <w:sz w:val="20"/>
        </w:rPr>
      </w:pPr>
      <w:r>
        <w:rPr>
          <w:sz w:val="20"/>
        </w:rPr>
        <w:t>The OTP is conducting two active investigations in relation to allegations of continued crimes committed by armed groups in Libya. In parallel, the OTP continues to cooperate with other States and organizations, focusing on crimes committed against </w:t>
      </w:r>
      <w:r>
        <w:rPr>
          <w:spacing w:val="-2"/>
          <w:sz w:val="20"/>
        </w:rPr>
        <w:t>migrants.</w:t>
      </w:r>
    </w:p>
    <w:p>
      <w:pPr>
        <w:pStyle w:val="ListParagraph"/>
        <w:numPr>
          <w:ilvl w:val="0"/>
          <w:numId w:val="4"/>
        </w:numPr>
        <w:tabs>
          <w:tab w:pos="2967" w:val="left" w:leader="none"/>
        </w:tabs>
        <w:spacing w:line="240" w:lineRule="auto" w:before="117" w:after="0"/>
        <w:ind w:left="2246" w:right="2244" w:firstLine="0"/>
        <w:jc w:val="both"/>
        <w:rPr>
          <w:sz w:val="20"/>
        </w:rPr>
      </w:pPr>
      <w:r>
        <w:rPr>
          <w:sz w:val="20"/>
        </w:rPr>
        <w:t>In</w:t>
      </w:r>
      <w:r>
        <w:rPr>
          <w:spacing w:val="-6"/>
          <w:sz w:val="20"/>
        </w:rPr>
        <w:t> </w:t>
      </w:r>
      <w:r>
        <w:rPr>
          <w:sz w:val="20"/>
        </w:rPr>
        <w:t>April</w:t>
      </w:r>
      <w:r>
        <w:rPr>
          <w:spacing w:val="-8"/>
          <w:sz w:val="20"/>
        </w:rPr>
        <w:t> </w:t>
      </w:r>
      <w:r>
        <w:rPr>
          <w:sz w:val="20"/>
        </w:rPr>
        <w:t>2022</w:t>
      </w:r>
      <w:r>
        <w:rPr>
          <w:spacing w:val="-9"/>
          <w:sz w:val="20"/>
        </w:rPr>
        <w:t> </w:t>
      </w:r>
      <w:r>
        <w:rPr>
          <w:sz w:val="20"/>
        </w:rPr>
        <w:t>the</w:t>
      </w:r>
      <w:r>
        <w:rPr>
          <w:spacing w:val="-3"/>
          <w:sz w:val="20"/>
        </w:rPr>
        <w:t> </w:t>
      </w:r>
      <w:r>
        <w:rPr>
          <w:sz w:val="20"/>
        </w:rPr>
        <w:t>Prosecutor</w:t>
      </w:r>
      <w:r>
        <w:rPr>
          <w:spacing w:val="-9"/>
          <w:sz w:val="20"/>
        </w:rPr>
        <w:t> </w:t>
      </w:r>
      <w:r>
        <w:rPr>
          <w:sz w:val="20"/>
        </w:rPr>
        <w:t>outlined</w:t>
      </w:r>
      <w:r>
        <w:rPr>
          <w:spacing w:val="-13"/>
          <w:sz w:val="20"/>
        </w:rPr>
        <w:t> </w:t>
      </w:r>
      <w:r>
        <w:rPr>
          <w:sz w:val="20"/>
        </w:rPr>
        <w:t>a</w:t>
      </w:r>
      <w:r>
        <w:rPr>
          <w:spacing w:val="-8"/>
          <w:sz w:val="20"/>
        </w:rPr>
        <w:t> </w:t>
      </w:r>
      <w:r>
        <w:rPr>
          <w:sz w:val="20"/>
        </w:rPr>
        <w:t>renewed</w:t>
      </w:r>
      <w:r>
        <w:rPr>
          <w:spacing w:val="-9"/>
          <w:sz w:val="20"/>
        </w:rPr>
        <w:t> </w:t>
      </w:r>
      <w:r>
        <w:rPr>
          <w:sz w:val="20"/>
        </w:rPr>
        <w:t>strategy</w:t>
      </w:r>
      <w:r>
        <w:rPr>
          <w:spacing w:val="-9"/>
          <w:sz w:val="20"/>
        </w:rPr>
        <w:t> </w:t>
      </w:r>
      <w:r>
        <w:rPr>
          <w:sz w:val="20"/>
        </w:rPr>
        <w:t>for</w:t>
      </w:r>
      <w:r>
        <w:rPr>
          <w:spacing w:val="-9"/>
          <w:sz w:val="20"/>
        </w:rPr>
        <w:t> </w:t>
      </w:r>
      <w:r>
        <w:rPr>
          <w:sz w:val="20"/>
        </w:rPr>
        <w:t>action</w:t>
      </w:r>
      <w:r>
        <w:rPr>
          <w:spacing w:val="-9"/>
          <w:sz w:val="20"/>
        </w:rPr>
        <w:t> </w:t>
      </w:r>
      <w:r>
        <w:rPr>
          <w:sz w:val="20"/>
        </w:rPr>
        <w:t>in</w:t>
      </w:r>
      <w:r>
        <w:rPr>
          <w:spacing w:val="-9"/>
          <w:sz w:val="20"/>
        </w:rPr>
        <w:t> </w:t>
      </w:r>
      <w:r>
        <w:rPr>
          <w:sz w:val="20"/>
        </w:rPr>
        <w:t>relation</w:t>
      </w:r>
      <w:r>
        <w:rPr>
          <w:spacing w:val="-9"/>
          <w:sz w:val="20"/>
        </w:rPr>
        <w:t> </w:t>
      </w:r>
      <w:r>
        <w:rPr>
          <w:sz w:val="20"/>
        </w:rPr>
        <w:t>to</w:t>
      </w:r>
      <w:r>
        <w:rPr>
          <w:spacing w:val="-9"/>
          <w:sz w:val="20"/>
        </w:rPr>
        <w:t> </w:t>
      </w:r>
      <w:r>
        <w:rPr>
          <w:sz w:val="20"/>
        </w:rPr>
        <w:t>the Libya</w:t>
      </w:r>
      <w:r>
        <w:rPr>
          <w:spacing w:val="-13"/>
          <w:sz w:val="20"/>
        </w:rPr>
        <w:t> </w:t>
      </w:r>
      <w:r>
        <w:rPr>
          <w:sz w:val="20"/>
        </w:rPr>
        <w:t>situation</w:t>
      </w:r>
      <w:r>
        <w:rPr>
          <w:spacing w:val="-12"/>
          <w:sz w:val="20"/>
        </w:rPr>
        <w:t> </w:t>
      </w:r>
      <w:r>
        <w:rPr>
          <w:sz w:val="20"/>
        </w:rPr>
        <w:t>in</w:t>
      </w:r>
      <w:r>
        <w:rPr>
          <w:spacing w:val="-13"/>
          <w:sz w:val="20"/>
        </w:rPr>
        <w:t> </w:t>
      </w:r>
      <w:r>
        <w:rPr>
          <w:sz w:val="20"/>
        </w:rPr>
        <w:t>his</w:t>
      </w:r>
      <w:r>
        <w:rPr>
          <w:spacing w:val="-12"/>
          <w:sz w:val="20"/>
        </w:rPr>
        <w:t> </w:t>
      </w:r>
      <w:r>
        <w:rPr>
          <w:sz w:val="20"/>
        </w:rPr>
        <w:t>23</w:t>
      </w:r>
      <w:r>
        <w:rPr>
          <w:sz w:val="20"/>
          <w:vertAlign w:val="superscript"/>
        </w:rPr>
        <w:t>rd</w:t>
      </w:r>
      <w:r>
        <w:rPr>
          <w:spacing w:val="-13"/>
          <w:sz w:val="20"/>
          <w:vertAlign w:val="baseline"/>
        </w:rPr>
        <w:t> </w:t>
      </w:r>
      <w:r>
        <w:rPr>
          <w:sz w:val="20"/>
          <w:vertAlign w:val="baseline"/>
        </w:rPr>
        <w:t>report</w:t>
      </w:r>
      <w:r>
        <w:rPr>
          <w:spacing w:val="-12"/>
          <w:sz w:val="20"/>
          <w:vertAlign w:val="baseline"/>
        </w:rPr>
        <w:t> </w:t>
      </w:r>
      <w:r>
        <w:rPr>
          <w:sz w:val="20"/>
          <w:vertAlign w:val="baseline"/>
        </w:rPr>
        <w:t>to</w:t>
      </w:r>
      <w:r>
        <w:rPr>
          <w:spacing w:val="-13"/>
          <w:sz w:val="20"/>
          <w:vertAlign w:val="baseline"/>
        </w:rPr>
        <w:t> </w:t>
      </w:r>
      <w:r>
        <w:rPr>
          <w:sz w:val="20"/>
          <w:vertAlign w:val="baseline"/>
        </w:rPr>
        <w:t>the</w:t>
      </w:r>
      <w:r>
        <w:rPr>
          <w:spacing w:val="-12"/>
          <w:sz w:val="20"/>
          <w:vertAlign w:val="baseline"/>
        </w:rPr>
        <w:t> </w:t>
      </w:r>
      <w:r>
        <w:rPr>
          <w:sz w:val="20"/>
          <w:vertAlign w:val="baseline"/>
        </w:rPr>
        <w:t>United</w:t>
      </w:r>
      <w:r>
        <w:rPr>
          <w:spacing w:val="-13"/>
          <w:sz w:val="20"/>
          <w:vertAlign w:val="baseline"/>
        </w:rPr>
        <w:t> </w:t>
      </w:r>
      <w:r>
        <w:rPr>
          <w:sz w:val="20"/>
          <w:vertAlign w:val="baseline"/>
        </w:rPr>
        <w:t>Nations</w:t>
      </w:r>
      <w:r>
        <w:rPr>
          <w:spacing w:val="-12"/>
          <w:sz w:val="20"/>
          <w:vertAlign w:val="baseline"/>
        </w:rPr>
        <w:t> </w:t>
      </w:r>
      <w:r>
        <w:rPr>
          <w:sz w:val="20"/>
          <w:vertAlign w:val="baseline"/>
        </w:rPr>
        <w:t>Security</w:t>
      </w:r>
      <w:r>
        <w:rPr>
          <w:spacing w:val="-13"/>
          <w:sz w:val="20"/>
          <w:vertAlign w:val="baseline"/>
        </w:rPr>
        <w:t> </w:t>
      </w:r>
      <w:r>
        <w:rPr>
          <w:sz w:val="20"/>
          <w:vertAlign w:val="baseline"/>
        </w:rPr>
        <w:t>Council</w:t>
      </w:r>
      <w:r>
        <w:rPr>
          <w:spacing w:val="-12"/>
          <w:sz w:val="20"/>
          <w:vertAlign w:val="baseline"/>
        </w:rPr>
        <w:t> </w:t>
      </w:r>
      <w:r>
        <w:rPr>
          <w:sz w:val="20"/>
          <w:vertAlign w:val="baseline"/>
        </w:rPr>
        <w:t>pursuant</w:t>
      </w:r>
      <w:r>
        <w:rPr>
          <w:spacing w:val="-13"/>
          <w:sz w:val="20"/>
          <w:vertAlign w:val="baseline"/>
        </w:rPr>
        <w:t> </w:t>
      </w:r>
      <w:r>
        <w:rPr>
          <w:sz w:val="20"/>
          <w:vertAlign w:val="baseline"/>
        </w:rPr>
        <w:t>to</w:t>
      </w:r>
      <w:r>
        <w:rPr>
          <w:spacing w:val="-12"/>
          <w:sz w:val="20"/>
          <w:vertAlign w:val="baseline"/>
        </w:rPr>
        <w:t> </w:t>
      </w:r>
      <w:r>
        <w:rPr>
          <w:sz w:val="20"/>
          <w:vertAlign w:val="baseline"/>
        </w:rPr>
        <w:t>resolution 1970</w:t>
      </w:r>
      <w:r>
        <w:rPr>
          <w:spacing w:val="-5"/>
          <w:sz w:val="20"/>
          <w:vertAlign w:val="baseline"/>
        </w:rPr>
        <w:t> </w:t>
      </w:r>
      <w:r>
        <w:rPr>
          <w:sz w:val="20"/>
          <w:vertAlign w:val="baseline"/>
        </w:rPr>
        <w:t>(2011).</w:t>
      </w:r>
      <w:r>
        <w:rPr>
          <w:spacing w:val="-2"/>
          <w:sz w:val="20"/>
          <w:vertAlign w:val="baseline"/>
        </w:rPr>
        <w:t> </w:t>
      </w:r>
      <w:r>
        <w:rPr>
          <w:sz w:val="20"/>
          <w:vertAlign w:val="baseline"/>
        </w:rPr>
        <w:t>The</w:t>
      </w:r>
      <w:r>
        <w:rPr>
          <w:spacing w:val="-3"/>
          <w:sz w:val="20"/>
          <w:vertAlign w:val="baseline"/>
        </w:rPr>
        <w:t> </w:t>
      </w:r>
      <w:r>
        <w:rPr>
          <w:sz w:val="20"/>
          <w:vertAlign w:val="baseline"/>
        </w:rPr>
        <w:t>Prosecutor</w:t>
      </w:r>
      <w:r>
        <w:rPr>
          <w:spacing w:val="-5"/>
          <w:sz w:val="20"/>
          <w:vertAlign w:val="baseline"/>
        </w:rPr>
        <w:t> </w:t>
      </w:r>
      <w:r>
        <w:rPr>
          <w:sz w:val="20"/>
          <w:vertAlign w:val="baseline"/>
        </w:rPr>
        <w:t>confirmed</w:t>
      </w:r>
      <w:r>
        <w:rPr>
          <w:spacing w:val="-5"/>
          <w:sz w:val="20"/>
          <w:vertAlign w:val="baseline"/>
        </w:rPr>
        <w:t> </w:t>
      </w:r>
      <w:r>
        <w:rPr>
          <w:sz w:val="20"/>
          <w:vertAlign w:val="baseline"/>
        </w:rPr>
        <w:t>that</w:t>
      </w:r>
      <w:r>
        <w:rPr>
          <w:spacing w:val="-3"/>
          <w:sz w:val="20"/>
          <w:vertAlign w:val="baseline"/>
        </w:rPr>
        <w:t> </w:t>
      </w:r>
      <w:r>
        <w:rPr>
          <w:sz w:val="20"/>
          <w:vertAlign w:val="baseline"/>
        </w:rPr>
        <w:t>the</w:t>
      </w:r>
      <w:r>
        <w:rPr>
          <w:spacing w:val="-3"/>
          <w:sz w:val="20"/>
          <w:vertAlign w:val="baseline"/>
        </w:rPr>
        <w:t> </w:t>
      </w:r>
      <w:r>
        <w:rPr>
          <w:sz w:val="20"/>
          <w:vertAlign w:val="baseline"/>
        </w:rPr>
        <w:t>OTP</w:t>
      </w:r>
      <w:r>
        <w:rPr>
          <w:spacing w:val="-6"/>
          <w:sz w:val="20"/>
          <w:vertAlign w:val="baseline"/>
        </w:rPr>
        <w:t> </w:t>
      </w:r>
      <w:r>
        <w:rPr>
          <w:sz w:val="20"/>
          <w:vertAlign w:val="baseline"/>
        </w:rPr>
        <w:t>considers</w:t>
      </w:r>
      <w:r>
        <w:rPr>
          <w:spacing w:val="-1"/>
          <w:sz w:val="20"/>
          <w:vertAlign w:val="baseline"/>
        </w:rPr>
        <w:t> </w:t>
      </w:r>
      <w:r>
        <w:rPr>
          <w:sz w:val="20"/>
          <w:vertAlign w:val="baseline"/>
        </w:rPr>
        <w:t>the</w:t>
      </w:r>
      <w:r>
        <w:rPr>
          <w:spacing w:val="-3"/>
          <w:sz w:val="20"/>
          <w:vertAlign w:val="baseline"/>
        </w:rPr>
        <w:t> </w:t>
      </w:r>
      <w:r>
        <w:rPr>
          <w:sz w:val="20"/>
          <w:vertAlign w:val="baseline"/>
        </w:rPr>
        <w:t>investigation</w:t>
      </w:r>
      <w:r>
        <w:rPr>
          <w:spacing w:val="-5"/>
          <w:sz w:val="20"/>
          <w:vertAlign w:val="baseline"/>
        </w:rPr>
        <w:t> </w:t>
      </w:r>
      <w:r>
        <w:rPr>
          <w:sz w:val="20"/>
          <w:vertAlign w:val="baseline"/>
        </w:rPr>
        <w:t>phase</w:t>
      </w:r>
      <w:r>
        <w:rPr>
          <w:spacing w:val="-3"/>
          <w:sz w:val="20"/>
          <w:vertAlign w:val="baseline"/>
        </w:rPr>
        <w:t> </w:t>
      </w:r>
      <w:r>
        <w:rPr>
          <w:sz w:val="20"/>
          <w:vertAlign w:val="baseline"/>
        </w:rPr>
        <w:t>of</w:t>
      </w:r>
      <w:r>
        <w:rPr>
          <w:spacing w:val="-5"/>
          <w:sz w:val="20"/>
          <w:vertAlign w:val="baseline"/>
        </w:rPr>
        <w:t> </w:t>
      </w:r>
      <w:r>
        <w:rPr>
          <w:sz w:val="20"/>
          <w:vertAlign w:val="baseline"/>
        </w:rPr>
        <w:t>its work</w:t>
      </w:r>
      <w:r>
        <w:rPr>
          <w:spacing w:val="-8"/>
          <w:sz w:val="20"/>
          <w:vertAlign w:val="baseline"/>
        </w:rPr>
        <w:t> </w:t>
      </w:r>
      <w:r>
        <w:rPr>
          <w:sz w:val="20"/>
          <w:vertAlign w:val="baseline"/>
        </w:rPr>
        <w:t>in</w:t>
      </w:r>
      <w:r>
        <w:rPr>
          <w:spacing w:val="-12"/>
          <w:sz w:val="20"/>
          <w:vertAlign w:val="baseline"/>
        </w:rPr>
        <w:t> </w:t>
      </w:r>
      <w:r>
        <w:rPr>
          <w:sz w:val="20"/>
          <w:vertAlign w:val="baseline"/>
        </w:rPr>
        <w:t>relation</w:t>
      </w:r>
      <w:r>
        <w:rPr>
          <w:spacing w:val="-12"/>
          <w:sz w:val="20"/>
          <w:vertAlign w:val="baseline"/>
        </w:rPr>
        <w:t> </w:t>
      </w:r>
      <w:r>
        <w:rPr>
          <w:sz w:val="20"/>
          <w:vertAlign w:val="baseline"/>
        </w:rPr>
        <w:t>to</w:t>
      </w:r>
      <w:r>
        <w:rPr>
          <w:spacing w:val="-12"/>
          <w:sz w:val="20"/>
          <w:vertAlign w:val="baseline"/>
        </w:rPr>
        <w:t> </w:t>
      </w:r>
      <w:r>
        <w:rPr>
          <w:sz w:val="20"/>
          <w:vertAlign w:val="baseline"/>
        </w:rPr>
        <w:t>crimes</w:t>
      </w:r>
      <w:r>
        <w:rPr>
          <w:spacing w:val="-13"/>
          <w:sz w:val="20"/>
          <w:vertAlign w:val="baseline"/>
        </w:rPr>
        <w:t> </w:t>
      </w:r>
      <w:r>
        <w:rPr>
          <w:sz w:val="20"/>
          <w:vertAlign w:val="baseline"/>
        </w:rPr>
        <w:t>committed</w:t>
      </w:r>
      <w:r>
        <w:rPr>
          <w:spacing w:val="-11"/>
          <w:sz w:val="20"/>
          <w:vertAlign w:val="baseline"/>
        </w:rPr>
        <w:t> </w:t>
      </w:r>
      <w:r>
        <w:rPr>
          <w:sz w:val="20"/>
          <w:vertAlign w:val="baseline"/>
        </w:rPr>
        <w:t>in</w:t>
      </w:r>
      <w:r>
        <w:rPr>
          <w:spacing w:val="-7"/>
          <w:sz w:val="20"/>
          <w:vertAlign w:val="baseline"/>
        </w:rPr>
        <w:t> </w:t>
      </w:r>
      <w:r>
        <w:rPr>
          <w:sz w:val="20"/>
          <w:vertAlign w:val="baseline"/>
        </w:rPr>
        <w:t>2011</w:t>
      </w:r>
      <w:r>
        <w:rPr>
          <w:spacing w:val="-12"/>
          <w:sz w:val="20"/>
          <w:vertAlign w:val="baseline"/>
        </w:rPr>
        <w:t> </w:t>
      </w:r>
      <w:r>
        <w:rPr>
          <w:sz w:val="20"/>
          <w:vertAlign w:val="baseline"/>
        </w:rPr>
        <w:t>to</w:t>
      </w:r>
      <w:r>
        <w:rPr>
          <w:spacing w:val="-7"/>
          <w:sz w:val="20"/>
          <w:vertAlign w:val="baseline"/>
        </w:rPr>
        <w:t> </w:t>
      </w:r>
      <w:r>
        <w:rPr>
          <w:sz w:val="20"/>
          <w:vertAlign w:val="baseline"/>
        </w:rPr>
        <w:t>be</w:t>
      </w:r>
      <w:r>
        <w:rPr>
          <w:spacing w:val="-11"/>
          <w:sz w:val="20"/>
          <w:vertAlign w:val="baseline"/>
        </w:rPr>
        <w:t> </w:t>
      </w:r>
      <w:r>
        <w:rPr>
          <w:sz w:val="20"/>
          <w:vertAlign w:val="baseline"/>
        </w:rPr>
        <w:t>completed</w:t>
      </w:r>
      <w:r>
        <w:rPr>
          <w:spacing w:val="-12"/>
          <w:sz w:val="20"/>
          <w:vertAlign w:val="baseline"/>
        </w:rPr>
        <w:t> </w:t>
      </w:r>
      <w:r>
        <w:rPr>
          <w:sz w:val="20"/>
          <w:vertAlign w:val="baseline"/>
        </w:rPr>
        <w:t>and</w:t>
      </w:r>
      <w:r>
        <w:rPr>
          <w:spacing w:val="-12"/>
          <w:sz w:val="20"/>
          <w:vertAlign w:val="baseline"/>
        </w:rPr>
        <w:t> </w:t>
      </w:r>
      <w:r>
        <w:rPr>
          <w:sz w:val="20"/>
          <w:vertAlign w:val="baseline"/>
        </w:rPr>
        <w:t>it</w:t>
      </w:r>
      <w:r>
        <w:rPr>
          <w:spacing w:val="-11"/>
          <w:sz w:val="20"/>
          <w:vertAlign w:val="baseline"/>
        </w:rPr>
        <w:t> </w:t>
      </w:r>
      <w:r>
        <w:rPr>
          <w:sz w:val="20"/>
          <w:vertAlign w:val="baseline"/>
        </w:rPr>
        <w:t>does</w:t>
      </w:r>
      <w:r>
        <w:rPr>
          <w:spacing w:val="-13"/>
          <w:sz w:val="20"/>
          <w:vertAlign w:val="baseline"/>
        </w:rPr>
        <w:t> </w:t>
      </w:r>
      <w:r>
        <w:rPr>
          <w:sz w:val="20"/>
          <w:vertAlign w:val="baseline"/>
        </w:rPr>
        <w:t>not</w:t>
      </w:r>
      <w:r>
        <w:rPr>
          <w:spacing w:val="-10"/>
          <w:sz w:val="20"/>
          <w:vertAlign w:val="baseline"/>
        </w:rPr>
        <w:t> </w:t>
      </w:r>
      <w:r>
        <w:rPr>
          <w:sz w:val="20"/>
          <w:vertAlign w:val="baseline"/>
        </w:rPr>
        <w:t>intend</w:t>
      </w:r>
      <w:r>
        <w:rPr>
          <w:spacing w:val="-12"/>
          <w:sz w:val="20"/>
          <w:vertAlign w:val="baseline"/>
        </w:rPr>
        <w:t> </w:t>
      </w:r>
      <w:r>
        <w:rPr>
          <w:sz w:val="20"/>
          <w:vertAlign w:val="baseline"/>
        </w:rPr>
        <w:t>to</w:t>
      </w:r>
      <w:r>
        <w:rPr>
          <w:spacing w:val="-12"/>
          <w:sz w:val="20"/>
          <w:vertAlign w:val="baseline"/>
        </w:rPr>
        <w:t> </w:t>
      </w:r>
      <w:r>
        <w:rPr>
          <w:sz w:val="20"/>
          <w:vertAlign w:val="baseline"/>
        </w:rPr>
        <w:t>pursue new cases. The Prosecutor further confirmed that under appropriate operational and cooperation conditions, ongoing and planned investigative activities should lead to the collection of sufficient evidence for the OTP to seek further warrants of arrest.</w:t>
      </w:r>
    </w:p>
    <w:p>
      <w:pPr>
        <w:pStyle w:val="ListParagraph"/>
        <w:numPr>
          <w:ilvl w:val="0"/>
          <w:numId w:val="4"/>
        </w:numPr>
        <w:tabs>
          <w:tab w:pos="2967" w:val="left" w:leader="none"/>
        </w:tabs>
        <w:spacing w:line="240" w:lineRule="auto" w:before="124" w:after="0"/>
        <w:ind w:left="2246" w:right="2245" w:firstLine="0"/>
        <w:jc w:val="both"/>
        <w:rPr>
          <w:sz w:val="20"/>
        </w:rPr>
      </w:pPr>
      <w:r>
        <w:rPr>
          <w:sz w:val="20"/>
        </w:rPr>
        <w:t>In 2023, the OTP will continue its</w:t>
      </w:r>
      <w:r>
        <w:rPr>
          <w:spacing w:val="-1"/>
          <w:sz w:val="20"/>
        </w:rPr>
        <w:t> </w:t>
      </w:r>
      <w:r>
        <w:rPr>
          <w:sz w:val="20"/>
        </w:rPr>
        <w:t>investigations</w:t>
      </w:r>
      <w:r>
        <w:rPr>
          <w:spacing w:val="-1"/>
          <w:sz w:val="20"/>
        </w:rPr>
        <w:t> </w:t>
      </w:r>
      <w:r>
        <w:rPr>
          <w:sz w:val="20"/>
        </w:rPr>
        <w:t>with a view to meeting</w:t>
      </w:r>
      <w:r>
        <w:rPr>
          <w:spacing w:val="-5"/>
          <w:sz w:val="20"/>
        </w:rPr>
        <w:t> </w:t>
      </w:r>
      <w:r>
        <w:rPr>
          <w:sz w:val="20"/>
        </w:rPr>
        <w:t>identified benchmarks</w:t>
      </w:r>
      <w:r>
        <w:rPr>
          <w:spacing w:val="-6"/>
          <w:sz w:val="20"/>
        </w:rPr>
        <w:t> </w:t>
      </w:r>
      <w:r>
        <w:rPr>
          <w:sz w:val="20"/>
        </w:rPr>
        <w:t>set</w:t>
      </w:r>
      <w:r>
        <w:rPr>
          <w:spacing w:val="-8"/>
          <w:sz w:val="20"/>
        </w:rPr>
        <w:t> </w:t>
      </w:r>
      <w:r>
        <w:rPr>
          <w:sz w:val="20"/>
        </w:rPr>
        <w:t>out</w:t>
      </w:r>
      <w:r>
        <w:rPr>
          <w:spacing w:val="-8"/>
          <w:sz w:val="20"/>
        </w:rPr>
        <w:t> </w:t>
      </w:r>
      <w:r>
        <w:rPr>
          <w:sz w:val="20"/>
        </w:rPr>
        <w:t>in</w:t>
      </w:r>
      <w:r>
        <w:rPr>
          <w:spacing w:val="-9"/>
          <w:sz w:val="20"/>
        </w:rPr>
        <w:t> </w:t>
      </w:r>
      <w:r>
        <w:rPr>
          <w:sz w:val="20"/>
        </w:rPr>
        <w:t>the</w:t>
      </w:r>
      <w:r>
        <w:rPr>
          <w:spacing w:val="-8"/>
          <w:sz w:val="20"/>
        </w:rPr>
        <w:t> </w:t>
      </w:r>
      <w:r>
        <w:rPr>
          <w:sz w:val="20"/>
        </w:rPr>
        <w:t>most</w:t>
      </w:r>
      <w:r>
        <w:rPr>
          <w:spacing w:val="-8"/>
          <w:sz w:val="20"/>
        </w:rPr>
        <w:t> </w:t>
      </w:r>
      <w:r>
        <w:rPr>
          <w:sz w:val="20"/>
        </w:rPr>
        <w:t>recent</w:t>
      </w:r>
      <w:r>
        <w:rPr>
          <w:spacing w:val="-8"/>
          <w:sz w:val="20"/>
        </w:rPr>
        <w:t> </w:t>
      </w:r>
      <w:r>
        <w:rPr>
          <w:sz w:val="20"/>
        </w:rPr>
        <w:t>report</w:t>
      </w:r>
      <w:r>
        <w:rPr>
          <w:spacing w:val="-8"/>
          <w:sz w:val="20"/>
        </w:rPr>
        <w:t> </w:t>
      </w:r>
      <w:r>
        <w:rPr>
          <w:sz w:val="20"/>
        </w:rPr>
        <w:t>of</w:t>
      </w:r>
      <w:r>
        <w:rPr>
          <w:spacing w:val="-9"/>
          <w:sz w:val="20"/>
        </w:rPr>
        <w:t> </w:t>
      </w:r>
      <w:r>
        <w:rPr>
          <w:sz w:val="20"/>
        </w:rPr>
        <w:t>the</w:t>
      </w:r>
      <w:r>
        <w:rPr>
          <w:spacing w:val="-8"/>
          <w:sz w:val="20"/>
        </w:rPr>
        <w:t> </w:t>
      </w:r>
      <w:r>
        <w:rPr>
          <w:sz w:val="20"/>
        </w:rPr>
        <w:t>Prosecutor</w:t>
      </w:r>
      <w:r>
        <w:rPr>
          <w:spacing w:val="-9"/>
          <w:sz w:val="20"/>
        </w:rPr>
        <w:t> </w:t>
      </w:r>
      <w:r>
        <w:rPr>
          <w:sz w:val="20"/>
        </w:rPr>
        <w:t>to</w:t>
      </w:r>
      <w:r>
        <w:rPr>
          <w:spacing w:val="-9"/>
          <w:sz w:val="20"/>
        </w:rPr>
        <w:t> </w:t>
      </w:r>
      <w:r>
        <w:rPr>
          <w:sz w:val="20"/>
        </w:rPr>
        <w:t>the</w:t>
      </w:r>
      <w:r>
        <w:rPr>
          <w:spacing w:val="-8"/>
          <w:sz w:val="20"/>
        </w:rPr>
        <w:t> </w:t>
      </w:r>
      <w:r>
        <w:rPr>
          <w:sz w:val="20"/>
        </w:rPr>
        <w:t>United</w:t>
      </w:r>
      <w:r>
        <w:rPr>
          <w:spacing w:val="-9"/>
          <w:sz w:val="20"/>
        </w:rPr>
        <w:t> </w:t>
      </w:r>
      <w:r>
        <w:rPr>
          <w:sz w:val="20"/>
        </w:rPr>
        <w:t>Nations</w:t>
      </w:r>
      <w:r>
        <w:rPr>
          <w:spacing w:val="-6"/>
          <w:sz w:val="20"/>
        </w:rPr>
        <w:t> </w:t>
      </w:r>
      <w:r>
        <w:rPr>
          <w:sz w:val="20"/>
        </w:rPr>
        <w:t>Security </w:t>
      </w:r>
      <w:r>
        <w:rPr>
          <w:spacing w:val="-2"/>
          <w:sz w:val="20"/>
        </w:rPr>
        <w:t>Council.</w:t>
      </w:r>
    </w:p>
    <w:p>
      <w:pPr>
        <w:pStyle w:val="BodyText"/>
        <w:spacing w:before="11"/>
      </w:pPr>
    </w:p>
    <w:p>
      <w:pPr>
        <w:spacing w:before="0"/>
        <w:ind w:left="2246" w:right="0" w:firstLine="0"/>
        <w:jc w:val="left"/>
        <w:rPr>
          <w:i/>
          <w:sz w:val="20"/>
        </w:rPr>
      </w:pPr>
      <w:r>
        <w:rPr>
          <w:i/>
          <w:sz w:val="20"/>
        </w:rPr>
        <w:t>Situation</w:t>
      </w:r>
      <w:r>
        <w:rPr>
          <w:i/>
          <w:spacing w:val="-5"/>
          <w:sz w:val="20"/>
        </w:rPr>
        <w:t> </w:t>
      </w:r>
      <w:r>
        <w:rPr>
          <w:i/>
          <w:sz w:val="20"/>
        </w:rPr>
        <w:t>in</w:t>
      </w:r>
      <w:r>
        <w:rPr>
          <w:i/>
          <w:spacing w:val="-5"/>
          <w:sz w:val="20"/>
        </w:rPr>
        <w:t> </w:t>
      </w:r>
      <w:r>
        <w:rPr>
          <w:i/>
          <w:sz w:val="20"/>
        </w:rPr>
        <w:t>the</w:t>
      </w:r>
      <w:r>
        <w:rPr>
          <w:i/>
          <w:spacing w:val="-8"/>
          <w:sz w:val="20"/>
        </w:rPr>
        <w:t> </w:t>
      </w:r>
      <w:r>
        <w:rPr>
          <w:i/>
          <w:sz w:val="20"/>
        </w:rPr>
        <w:t>Republic</w:t>
      </w:r>
      <w:r>
        <w:rPr>
          <w:i/>
          <w:spacing w:val="-3"/>
          <w:sz w:val="20"/>
        </w:rPr>
        <w:t> </w:t>
      </w:r>
      <w:r>
        <w:rPr>
          <w:i/>
          <w:sz w:val="20"/>
        </w:rPr>
        <w:t>of</w:t>
      </w:r>
      <w:r>
        <w:rPr>
          <w:i/>
          <w:spacing w:val="-2"/>
          <w:sz w:val="20"/>
        </w:rPr>
        <w:t> </w:t>
      </w:r>
      <w:r>
        <w:rPr>
          <w:i/>
          <w:spacing w:val="-4"/>
          <w:sz w:val="20"/>
        </w:rPr>
        <w:t>Mali</w:t>
      </w:r>
    </w:p>
    <w:p>
      <w:pPr>
        <w:pStyle w:val="BodyText"/>
        <w:spacing w:before="5"/>
        <w:rPr>
          <w:i/>
        </w:rPr>
      </w:pPr>
    </w:p>
    <w:p>
      <w:pPr>
        <w:pStyle w:val="ListParagraph"/>
        <w:numPr>
          <w:ilvl w:val="0"/>
          <w:numId w:val="4"/>
        </w:numPr>
        <w:tabs>
          <w:tab w:pos="2967" w:val="left" w:leader="none"/>
        </w:tabs>
        <w:spacing w:line="240" w:lineRule="auto" w:before="1" w:after="0"/>
        <w:ind w:left="2246" w:right="2240" w:firstLine="0"/>
        <w:jc w:val="both"/>
        <w:rPr>
          <w:sz w:val="20"/>
        </w:rPr>
      </w:pPr>
      <w:r>
        <w:rPr>
          <w:sz w:val="20"/>
        </w:rPr>
        <w:t>On 13 July 2012, the Government of Mali referred to the Court the situation prevailing</w:t>
      </w:r>
      <w:r>
        <w:rPr>
          <w:spacing w:val="-7"/>
          <w:sz w:val="20"/>
        </w:rPr>
        <w:t> </w:t>
      </w:r>
      <w:r>
        <w:rPr>
          <w:sz w:val="20"/>
        </w:rPr>
        <w:t>on</w:t>
      </w:r>
      <w:r>
        <w:rPr>
          <w:spacing w:val="-7"/>
          <w:sz w:val="20"/>
        </w:rPr>
        <w:t> </w:t>
      </w:r>
      <w:r>
        <w:rPr>
          <w:sz w:val="20"/>
        </w:rPr>
        <w:t>its</w:t>
      </w:r>
      <w:r>
        <w:rPr>
          <w:spacing w:val="-9"/>
          <w:sz w:val="20"/>
        </w:rPr>
        <w:t> </w:t>
      </w:r>
      <w:r>
        <w:rPr>
          <w:sz w:val="20"/>
        </w:rPr>
        <w:t>territory</w:t>
      </w:r>
      <w:r>
        <w:rPr>
          <w:spacing w:val="-7"/>
          <w:sz w:val="20"/>
        </w:rPr>
        <w:t> </w:t>
      </w:r>
      <w:r>
        <w:rPr>
          <w:sz w:val="20"/>
        </w:rPr>
        <w:t>since</w:t>
      </w:r>
      <w:r>
        <w:rPr>
          <w:spacing w:val="-10"/>
          <w:sz w:val="20"/>
        </w:rPr>
        <w:t> </w:t>
      </w:r>
      <w:r>
        <w:rPr>
          <w:sz w:val="20"/>
        </w:rPr>
        <w:t>January</w:t>
      </w:r>
      <w:r>
        <w:rPr>
          <w:spacing w:val="-7"/>
          <w:sz w:val="20"/>
        </w:rPr>
        <w:t> </w:t>
      </w:r>
      <w:r>
        <w:rPr>
          <w:sz w:val="20"/>
        </w:rPr>
        <w:t>2012.</w:t>
      </w:r>
      <w:r>
        <w:rPr>
          <w:spacing w:val="-5"/>
          <w:sz w:val="20"/>
        </w:rPr>
        <w:t> </w:t>
      </w:r>
      <w:r>
        <w:rPr>
          <w:sz w:val="20"/>
        </w:rPr>
        <w:t>After</w:t>
      </w:r>
      <w:r>
        <w:rPr>
          <w:spacing w:val="-7"/>
          <w:sz w:val="20"/>
        </w:rPr>
        <w:t> </w:t>
      </w:r>
      <w:r>
        <w:rPr>
          <w:sz w:val="20"/>
        </w:rPr>
        <w:t>conducting</w:t>
      </w:r>
      <w:r>
        <w:rPr>
          <w:spacing w:val="-3"/>
          <w:sz w:val="20"/>
        </w:rPr>
        <w:t> </w:t>
      </w:r>
      <w:r>
        <w:rPr>
          <w:sz w:val="20"/>
        </w:rPr>
        <w:t>a</w:t>
      </w:r>
      <w:r>
        <w:rPr>
          <w:spacing w:val="-6"/>
          <w:sz w:val="20"/>
        </w:rPr>
        <w:t> </w:t>
      </w:r>
      <w:r>
        <w:rPr>
          <w:sz w:val="20"/>
        </w:rPr>
        <w:t>preliminary</w:t>
      </w:r>
      <w:r>
        <w:rPr>
          <w:spacing w:val="-7"/>
          <w:sz w:val="20"/>
        </w:rPr>
        <w:t> </w:t>
      </w:r>
      <w:r>
        <w:rPr>
          <w:sz w:val="20"/>
        </w:rPr>
        <w:t>examination</w:t>
      </w:r>
      <w:r>
        <w:rPr>
          <w:spacing w:val="-7"/>
          <w:sz w:val="20"/>
        </w:rPr>
        <w:t> </w:t>
      </w:r>
      <w:r>
        <w:rPr>
          <w:sz w:val="20"/>
        </w:rPr>
        <w:t>of the situation, the OTP opened an investigation on 16 January 2013 into alleged crimes committed on the territory of Mali since January 2012.</w:t>
      </w:r>
    </w:p>
    <w:p>
      <w:pPr>
        <w:pStyle w:val="ListParagraph"/>
        <w:numPr>
          <w:ilvl w:val="0"/>
          <w:numId w:val="4"/>
        </w:numPr>
        <w:tabs>
          <w:tab w:pos="2967" w:val="left" w:leader="none"/>
        </w:tabs>
        <w:spacing w:line="240" w:lineRule="auto" w:before="122" w:after="0"/>
        <w:ind w:left="2246" w:right="2240" w:firstLine="0"/>
        <w:jc w:val="both"/>
        <w:rPr>
          <w:sz w:val="20"/>
        </w:rPr>
      </w:pPr>
      <w:r>
        <w:rPr>
          <w:sz w:val="20"/>
        </w:rPr>
        <w:t>Mr Al</w:t>
      </w:r>
      <w:r>
        <w:rPr>
          <w:spacing w:val="-3"/>
          <w:sz w:val="20"/>
        </w:rPr>
        <w:t> </w:t>
      </w:r>
      <w:r>
        <w:rPr>
          <w:sz w:val="20"/>
        </w:rPr>
        <w:t>Hassan</w:t>
      </w:r>
      <w:r>
        <w:rPr>
          <w:spacing w:val="-5"/>
          <w:sz w:val="20"/>
        </w:rPr>
        <w:t> </w:t>
      </w:r>
      <w:r>
        <w:rPr>
          <w:sz w:val="20"/>
        </w:rPr>
        <w:t>Ag</w:t>
      </w:r>
      <w:r>
        <w:rPr>
          <w:spacing w:val="-5"/>
          <w:sz w:val="20"/>
        </w:rPr>
        <w:t> </w:t>
      </w:r>
      <w:r>
        <w:rPr>
          <w:sz w:val="20"/>
        </w:rPr>
        <w:t>Abdoul</w:t>
      </w:r>
      <w:r>
        <w:rPr>
          <w:spacing w:val="-3"/>
          <w:sz w:val="20"/>
        </w:rPr>
        <w:t> </w:t>
      </w:r>
      <w:r>
        <w:rPr>
          <w:sz w:val="20"/>
        </w:rPr>
        <w:t>Aziz</w:t>
      </w:r>
      <w:r>
        <w:rPr>
          <w:spacing w:val="-3"/>
          <w:sz w:val="20"/>
        </w:rPr>
        <w:t> </w:t>
      </w:r>
      <w:r>
        <w:rPr>
          <w:sz w:val="20"/>
        </w:rPr>
        <w:t>Ag</w:t>
      </w:r>
      <w:r>
        <w:rPr>
          <w:spacing w:val="-5"/>
          <w:sz w:val="20"/>
        </w:rPr>
        <w:t> </w:t>
      </w:r>
      <w:r>
        <w:rPr>
          <w:sz w:val="20"/>
        </w:rPr>
        <w:t>Mohamed</w:t>
      </w:r>
      <w:r>
        <w:rPr>
          <w:spacing w:val="-5"/>
          <w:sz w:val="20"/>
        </w:rPr>
        <w:t> </w:t>
      </w:r>
      <w:r>
        <w:rPr>
          <w:sz w:val="20"/>
        </w:rPr>
        <w:t>Ag</w:t>
      </w:r>
      <w:r>
        <w:rPr>
          <w:spacing w:val="-5"/>
          <w:sz w:val="20"/>
        </w:rPr>
        <w:t> </w:t>
      </w:r>
      <w:r>
        <w:rPr>
          <w:sz w:val="20"/>
        </w:rPr>
        <w:t>Mahmoud</w:t>
      </w:r>
      <w:r>
        <w:rPr>
          <w:spacing w:val="-9"/>
          <w:sz w:val="20"/>
        </w:rPr>
        <w:t> </w:t>
      </w:r>
      <w:r>
        <w:rPr>
          <w:sz w:val="20"/>
        </w:rPr>
        <w:t>was</w:t>
      </w:r>
      <w:r>
        <w:rPr>
          <w:spacing w:val="-1"/>
          <w:sz w:val="20"/>
        </w:rPr>
        <w:t> </w:t>
      </w:r>
      <w:r>
        <w:rPr>
          <w:sz w:val="20"/>
        </w:rPr>
        <w:t>surrendered</w:t>
      </w:r>
      <w:r>
        <w:rPr>
          <w:spacing w:val="-5"/>
          <w:sz w:val="20"/>
        </w:rPr>
        <w:t> </w:t>
      </w:r>
      <w:r>
        <w:rPr>
          <w:sz w:val="20"/>
        </w:rPr>
        <w:t>to</w:t>
      </w:r>
      <w:r>
        <w:rPr>
          <w:spacing w:val="-5"/>
          <w:sz w:val="20"/>
        </w:rPr>
        <w:t> </w:t>
      </w:r>
      <w:r>
        <w:rPr>
          <w:sz w:val="20"/>
        </w:rPr>
        <w:t>the Court on 31 March 2018 and is now in the Court’s custody. The confirmation hearing took place from 8 to 17 July 2019. The trial opened on 14 July 2020 and is currently ongoing. It is expected to continue in 2023.</w:t>
      </w:r>
    </w:p>
    <w:p>
      <w:pPr>
        <w:pStyle w:val="ListParagraph"/>
        <w:numPr>
          <w:ilvl w:val="0"/>
          <w:numId w:val="4"/>
        </w:numPr>
        <w:tabs>
          <w:tab w:pos="2967" w:val="left" w:leader="none"/>
        </w:tabs>
        <w:spacing w:line="240" w:lineRule="auto" w:before="122" w:after="0"/>
        <w:ind w:left="2246" w:right="2238" w:firstLine="0"/>
        <w:jc w:val="both"/>
        <w:rPr>
          <w:sz w:val="20"/>
        </w:rPr>
      </w:pPr>
      <w:r>
        <w:rPr>
          <w:sz w:val="20"/>
        </w:rPr>
        <w:t>The OTP continues to consider that further work is required in Mali if domestic authorities are to take on the full burden of investigation and prosecution of crimes falling within the jurisdiction of the Court. However, in a continued effort to prioritize the use of resources, the</w:t>
      </w:r>
      <w:r>
        <w:rPr>
          <w:spacing w:val="-1"/>
          <w:sz w:val="20"/>
        </w:rPr>
        <w:t> </w:t>
      </w:r>
      <w:r>
        <w:rPr>
          <w:sz w:val="20"/>
        </w:rPr>
        <w:t>OTP</w:t>
      </w:r>
      <w:r>
        <w:rPr>
          <w:spacing w:val="-4"/>
          <w:sz w:val="20"/>
        </w:rPr>
        <w:t> </w:t>
      </w:r>
      <w:r>
        <w:rPr>
          <w:sz w:val="20"/>
        </w:rPr>
        <w:t>considers</w:t>
      </w:r>
      <w:r>
        <w:rPr>
          <w:spacing w:val="-4"/>
          <w:sz w:val="20"/>
        </w:rPr>
        <w:t> </w:t>
      </w:r>
      <w:r>
        <w:rPr>
          <w:sz w:val="20"/>
        </w:rPr>
        <w:t>that</w:t>
      </w:r>
      <w:r>
        <w:rPr>
          <w:spacing w:val="-1"/>
          <w:sz w:val="20"/>
        </w:rPr>
        <w:t> </w:t>
      </w:r>
      <w:r>
        <w:rPr>
          <w:sz w:val="20"/>
        </w:rPr>
        <w:t>it</w:t>
      </w:r>
      <w:r>
        <w:rPr>
          <w:spacing w:val="-1"/>
          <w:sz w:val="20"/>
        </w:rPr>
        <w:t> </w:t>
      </w:r>
      <w:r>
        <w:rPr>
          <w:sz w:val="20"/>
        </w:rPr>
        <w:t>will</w:t>
      </w:r>
      <w:r>
        <w:rPr>
          <w:spacing w:val="-1"/>
          <w:sz w:val="20"/>
        </w:rPr>
        <w:t> </w:t>
      </w:r>
      <w:r>
        <w:rPr>
          <w:sz w:val="20"/>
        </w:rPr>
        <w:t>have</w:t>
      </w:r>
      <w:r>
        <w:rPr>
          <w:spacing w:val="-6"/>
          <w:sz w:val="20"/>
        </w:rPr>
        <w:t> </w:t>
      </w:r>
      <w:r>
        <w:rPr>
          <w:sz w:val="20"/>
        </w:rPr>
        <w:t>to</w:t>
      </w:r>
      <w:r>
        <w:rPr>
          <w:spacing w:val="-3"/>
          <w:sz w:val="20"/>
        </w:rPr>
        <w:t> </w:t>
      </w:r>
      <w:r>
        <w:rPr>
          <w:sz w:val="20"/>
        </w:rPr>
        <w:t>limit</w:t>
      </w:r>
      <w:r>
        <w:rPr>
          <w:spacing w:val="-1"/>
          <w:sz w:val="20"/>
        </w:rPr>
        <w:t> </w:t>
      </w:r>
      <w:r>
        <w:rPr>
          <w:sz w:val="20"/>
        </w:rPr>
        <w:t>its</w:t>
      </w:r>
      <w:r>
        <w:rPr>
          <w:spacing w:val="-4"/>
          <w:sz w:val="20"/>
        </w:rPr>
        <w:t> </w:t>
      </w:r>
      <w:r>
        <w:rPr>
          <w:sz w:val="20"/>
        </w:rPr>
        <w:t>activities</w:t>
      </w:r>
      <w:r>
        <w:rPr>
          <w:spacing w:val="-4"/>
          <w:sz w:val="20"/>
        </w:rPr>
        <w:t> </w:t>
      </w:r>
      <w:r>
        <w:rPr>
          <w:sz w:val="20"/>
        </w:rPr>
        <w:t>in</w:t>
      </w:r>
      <w:r>
        <w:rPr>
          <w:spacing w:val="-3"/>
          <w:sz w:val="20"/>
        </w:rPr>
        <w:t> </w:t>
      </w:r>
      <w:r>
        <w:rPr>
          <w:sz w:val="20"/>
        </w:rPr>
        <w:t>relation</w:t>
      </w:r>
      <w:r>
        <w:rPr>
          <w:spacing w:val="-3"/>
          <w:sz w:val="20"/>
        </w:rPr>
        <w:t> </w:t>
      </w:r>
      <w:r>
        <w:rPr>
          <w:sz w:val="20"/>
        </w:rPr>
        <w:t>to</w:t>
      </w:r>
      <w:r>
        <w:rPr>
          <w:spacing w:val="-3"/>
          <w:sz w:val="20"/>
        </w:rPr>
        <w:t> </w:t>
      </w:r>
      <w:r>
        <w:rPr>
          <w:sz w:val="20"/>
        </w:rPr>
        <w:t>the</w:t>
      </w:r>
      <w:r>
        <w:rPr>
          <w:spacing w:val="-1"/>
          <w:sz w:val="20"/>
        </w:rPr>
        <w:t> </w:t>
      </w:r>
      <w:r>
        <w:rPr>
          <w:sz w:val="20"/>
        </w:rPr>
        <w:t>situation in Mali to trial support in 2023 and residual investigations.</w:t>
      </w:r>
    </w:p>
    <w:p>
      <w:pPr>
        <w:pStyle w:val="ListParagraph"/>
        <w:numPr>
          <w:ilvl w:val="0"/>
          <w:numId w:val="4"/>
        </w:numPr>
        <w:tabs>
          <w:tab w:pos="2967" w:val="left" w:leader="none"/>
        </w:tabs>
        <w:spacing w:line="240" w:lineRule="auto" w:before="117" w:after="0"/>
        <w:ind w:left="2246" w:right="2249" w:firstLine="0"/>
        <w:jc w:val="both"/>
        <w:rPr>
          <w:sz w:val="20"/>
        </w:rPr>
      </w:pPr>
      <w:r>
        <w:rPr>
          <w:sz w:val="20"/>
        </w:rPr>
        <w:t>In 2022,</w:t>
      </w:r>
      <w:r>
        <w:rPr>
          <w:spacing w:val="-7"/>
          <w:sz w:val="20"/>
        </w:rPr>
        <w:t> </w:t>
      </w:r>
      <w:r>
        <w:rPr>
          <w:sz w:val="20"/>
        </w:rPr>
        <w:t>the</w:t>
      </w:r>
      <w:r>
        <w:rPr>
          <w:spacing w:val="-8"/>
          <w:sz w:val="20"/>
        </w:rPr>
        <w:t> </w:t>
      </w:r>
      <w:r>
        <w:rPr>
          <w:sz w:val="20"/>
        </w:rPr>
        <w:t>TFV</w:t>
      </w:r>
      <w:r>
        <w:rPr>
          <w:spacing w:val="-6"/>
          <w:sz w:val="20"/>
        </w:rPr>
        <w:t> </w:t>
      </w:r>
      <w:r>
        <w:rPr>
          <w:sz w:val="20"/>
        </w:rPr>
        <w:t>is</w:t>
      </w:r>
      <w:r>
        <w:rPr>
          <w:spacing w:val="-6"/>
          <w:sz w:val="20"/>
        </w:rPr>
        <w:t> </w:t>
      </w:r>
      <w:r>
        <w:rPr>
          <w:sz w:val="20"/>
        </w:rPr>
        <w:t>starting</w:t>
      </w:r>
      <w:r>
        <w:rPr>
          <w:spacing w:val="-5"/>
          <w:sz w:val="20"/>
        </w:rPr>
        <w:t> </w:t>
      </w:r>
      <w:r>
        <w:rPr>
          <w:sz w:val="20"/>
        </w:rPr>
        <w:t>a</w:t>
      </w:r>
      <w:r>
        <w:rPr>
          <w:spacing w:val="-3"/>
          <w:sz w:val="20"/>
        </w:rPr>
        <w:t> </w:t>
      </w:r>
      <w:r>
        <w:rPr>
          <w:sz w:val="20"/>
        </w:rPr>
        <w:t>programme</w:t>
      </w:r>
      <w:r>
        <w:rPr>
          <w:spacing w:val="-3"/>
          <w:sz w:val="20"/>
        </w:rPr>
        <w:t> </w:t>
      </w:r>
      <w:r>
        <w:rPr>
          <w:sz w:val="20"/>
        </w:rPr>
        <w:t>to</w:t>
      </w:r>
      <w:r>
        <w:rPr>
          <w:spacing w:val="-9"/>
          <w:sz w:val="20"/>
        </w:rPr>
        <w:t> </w:t>
      </w:r>
      <w:r>
        <w:rPr>
          <w:sz w:val="20"/>
        </w:rPr>
        <w:t>provide</w:t>
      </w:r>
      <w:r>
        <w:rPr>
          <w:spacing w:val="-3"/>
          <w:sz w:val="20"/>
        </w:rPr>
        <w:t> </w:t>
      </w:r>
      <w:r>
        <w:rPr>
          <w:sz w:val="20"/>
        </w:rPr>
        <w:t>rehabilitation</w:t>
      </w:r>
      <w:r>
        <w:rPr>
          <w:spacing w:val="-5"/>
          <w:sz w:val="20"/>
        </w:rPr>
        <w:t> </w:t>
      </w:r>
      <w:r>
        <w:rPr>
          <w:sz w:val="20"/>
        </w:rPr>
        <w:t>to</w:t>
      </w:r>
      <w:r>
        <w:rPr>
          <w:spacing w:val="-5"/>
          <w:sz w:val="20"/>
        </w:rPr>
        <w:t> </w:t>
      </w:r>
      <w:r>
        <w:rPr>
          <w:sz w:val="20"/>
        </w:rPr>
        <w:t>victims</w:t>
      </w:r>
      <w:r>
        <w:rPr>
          <w:spacing w:val="-1"/>
          <w:sz w:val="20"/>
        </w:rPr>
        <w:t> </w:t>
      </w:r>
      <w:r>
        <w:rPr>
          <w:sz w:val="20"/>
        </w:rPr>
        <w:t>of</w:t>
      </w:r>
      <w:r>
        <w:rPr>
          <w:spacing w:val="-5"/>
          <w:sz w:val="20"/>
        </w:rPr>
        <w:t> </w:t>
      </w:r>
      <w:r>
        <w:rPr>
          <w:sz w:val="20"/>
        </w:rPr>
        <w:t>the crimes</w:t>
      </w:r>
      <w:r>
        <w:rPr>
          <w:spacing w:val="-12"/>
          <w:sz w:val="20"/>
        </w:rPr>
        <w:t> </w:t>
      </w:r>
      <w:r>
        <w:rPr>
          <w:sz w:val="20"/>
        </w:rPr>
        <w:t>falling</w:t>
      </w:r>
      <w:r>
        <w:rPr>
          <w:spacing w:val="-9"/>
          <w:sz w:val="20"/>
        </w:rPr>
        <w:t> </w:t>
      </w:r>
      <w:r>
        <w:rPr>
          <w:sz w:val="20"/>
        </w:rPr>
        <w:t>within</w:t>
      </w:r>
      <w:r>
        <w:rPr>
          <w:spacing w:val="-9"/>
          <w:sz w:val="20"/>
        </w:rPr>
        <w:t> </w:t>
      </w:r>
      <w:r>
        <w:rPr>
          <w:sz w:val="20"/>
        </w:rPr>
        <w:t>the</w:t>
      </w:r>
      <w:r>
        <w:rPr>
          <w:spacing w:val="-8"/>
          <w:sz w:val="20"/>
        </w:rPr>
        <w:t> </w:t>
      </w:r>
      <w:r>
        <w:rPr>
          <w:sz w:val="20"/>
        </w:rPr>
        <w:t>jurisdiction</w:t>
      </w:r>
      <w:r>
        <w:rPr>
          <w:spacing w:val="-9"/>
          <w:sz w:val="20"/>
        </w:rPr>
        <w:t> </w:t>
      </w:r>
      <w:r>
        <w:rPr>
          <w:sz w:val="20"/>
        </w:rPr>
        <w:t>of</w:t>
      </w:r>
      <w:r>
        <w:rPr>
          <w:spacing w:val="-13"/>
          <w:sz w:val="20"/>
        </w:rPr>
        <w:t> </w:t>
      </w:r>
      <w:r>
        <w:rPr>
          <w:sz w:val="20"/>
        </w:rPr>
        <w:t>the</w:t>
      </w:r>
      <w:r>
        <w:rPr>
          <w:spacing w:val="-11"/>
          <w:sz w:val="20"/>
        </w:rPr>
        <w:t> </w:t>
      </w:r>
      <w:r>
        <w:rPr>
          <w:sz w:val="20"/>
        </w:rPr>
        <w:t>Court,</w:t>
      </w:r>
      <w:r>
        <w:rPr>
          <w:spacing w:val="-7"/>
          <w:sz w:val="20"/>
        </w:rPr>
        <w:t> </w:t>
      </w:r>
      <w:r>
        <w:rPr>
          <w:sz w:val="20"/>
        </w:rPr>
        <w:t>in</w:t>
      </w:r>
      <w:r>
        <w:rPr>
          <w:spacing w:val="-9"/>
          <w:sz w:val="20"/>
        </w:rPr>
        <w:t> </w:t>
      </w:r>
      <w:r>
        <w:rPr>
          <w:sz w:val="20"/>
        </w:rPr>
        <w:t>particular</w:t>
      </w:r>
      <w:r>
        <w:rPr>
          <w:spacing w:val="-9"/>
          <w:sz w:val="20"/>
        </w:rPr>
        <w:t> </w:t>
      </w:r>
      <w:r>
        <w:rPr>
          <w:sz w:val="20"/>
        </w:rPr>
        <w:t>in</w:t>
      </w:r>
      <w:r>
        <w:rPr>
          <w:spacing w:val="-9"/>
          <w:sz w:val="20"/>
        </w:rPr>
        <w:t> </w:t>
      </w:r>
      <w:r>
        <w:rPr>
          <w:sz w:val="20"/>
        </w:rPr>
        <w:t>and</w:t>
      </w:r>
      <w:r>
        <w:rPr>
          <w:spacing w:val="-9"/>
          <w:sz w:val="20"/>
        </w:rPr>
        <w:t> </w:t>
      </w:r>
      <w:r>
        <w:rPr>
          <w:sz w:val="20"/>
        </w:rPr>
        <w:t>around</w:t>
      </w:r>
      <w:r>
        <w:rPr>
          <w:spacing w:val="-9"/>
          <w:sz w:val="20"/>
        </w:rPr>
        <w:t> </w:t>
      </w:r>
      <w:r>
        <w:rPr>
          <w:sz w:val="20"/>
        </w:rPr>
        <w:t>Gao</w:t>
      </w:r>
      <w:r>
        <w:rPr>
          <w:spacing w:val="-13"/>
          <w:sz w:val="20"/>
        </w:rPr>
        <w:t> </w:t>
      </w:r>
      <w:r>
        <w:rPr>
          <w:sz w:val="20"/>
        </w:rPr>
        <w:t>and</w:t>
      </w:r>
      <w:r>
        <w:rPr>
          <w:spacing w:val="-8"/>
          <w:sz w:val="20"/>
        </w:rPr>
        <w:t> </w:t>
      </w:r>
      <w:r>
        <w:rPr>
          <w:sz w:val="20"/>
        </w:rPr>
        <w:t>Mopti, </w:t>
      </w:r>
      <w:r>
        <w:rPr>
          <w:spacing w:val="-2"/>
          <w:sz w:val="20"/>
        </w:rPr>
        <w:t>Mali.</w:t>
      </w:r>
    </w:p>
    <w:p>
      <w:pPr>
        <w:pStyle w:val="ListParagraph"/>
        <w:numPr>
          <w:ilvl w:val="0"/>
          <w:numId w:val="4"/>
        </w:numPr>
        <w:tabs>
          <w:tab w:pos="2967" w:val="left" w:leader="none"/>
        </w:tabs>
        <w:spacing w:line="240" w:lineRule="auto" w:before="122" w:after="0"/>
        <w:ind w:left="2246" w:right="2245" w:firstLine="0"/>
        <w:jc w:val="both"/>
        <w:rPr>
          <w:sz w:val="20"/>
        </w:rPr>
      </w:pPr>
      <w:r>
        <w:rPr>
          <w:sz w:val="20"/>
        </w:rPr>
        <w:t>In the </w:t>
      </w:r>
      <w:r>
        <w:rPr>
          <w:i/>
          <w:sz w:val="20"/>
        </w:rPr>
        <w:t>Al Mahdi </w:t>
      </w:r>
      <w:r>
        <w:rPr>
          <w:sz w:val="20"/>
        </w:rPr>
        <w:t>case, in line with the Trial Chamber’s Order for Reparations, the TFV expects to complete the delivery of individual and symbolic reparations in 2022, and</w:t>
      </w:r>
    </w:p>
    <w:p>
      <w:pPr>
        <w:spacing w:after="0" w:line="240" w:lineRule="auto"/>
        <w:jc w:val="both"/>
        <w:rPr>
          <w:sz w:val="20"/>
        </w:rPr>
        <w:sectPr>
          <w:pgSz w:w="11910" w:h="16840"/>
          <w:pgMar w:header="957" w:footer="940" w:top="1140" w:bottom="1140" w:left="20" w:right="20"/>
        </w:sectPr>
      </w:pPr>
    </w:p>
    <w:p>
      <w:pPr>
        <w:pStyle w:val="BodyText"/>
        <w:spacing w:before="124"/>
        <w:ind w:left="2246" w:right="2195"/>
      </w:pPr>
      <w:r>
        <w:rPr/>
        <w:t>continue in</w:t>
      </w:r>
      <w:r>
        <w:rPr>
          <w:spacing w:val="-4"/>
        </w:rPr>
        <w:t> </w:t>
      </w:r>
      <w:r>
        <w:rPr/>
        <w:t>2023</w:t>
      </w:r>
      <w:r>
        <w:rPr>
          <w:spacing w:val="-4"/>
        </w:rPr>
        <w:t> </w:t>
      </w:r>
      <w:r>
        <w:rPr/>
        <w:t>with</w:t>
      </w:r>
      <w:r>
        <w:rPr>
          <w:spacing w:val="-5"/>
        </w:rPr>
        <w:t> </w:t>
      </w:r>
      <w:r>
        <w:rPr/>
        <w:t>the implementation of</w:t>
      </w:r>
      <w:r>
        <w:rPr>
          <w:spacing w:val="-4"/>
        </w:rPr>
        <w:t> </w:t>
      </w:r>
      <w:r>
        <w:rPr/>
        <w:t>collective</w:t>
      </w:r>
      <w:r>
        <w:rPr>
          <w:spacing w:val="-3"/>
        </w:rPr>
        <w:t> </w:t>
      </w:r>
      <w:r>
        <w:rPr/>
        <w:t>reparations</w:t>
      </w:r>
      <w:r>
        <w:rPr>
          <w:spacing w:val="-1"/>
        </w:rPr>
        <w:t> </w:t>
      </w:r>
      <w:r>
        <w:rPr/>
        <w:t>awards</w:t>
      </w:r>
      <w:r>
        <w:rPr>
          <w:spacing w:val="-1"/>
        </w:rPr>
        <w:t> </w:t>
      </w:r>
      <w:r>
        <w:rPr/>
        <w:t>for</w:t>
      </w:r>
      <w:r>
        <w:rPr>
          <w:spacing w:val="-4"/>
        </w:rPr>
        <w:t> </w:t>
      </w:r>
      <w:r>
        <w:rPr/>
        <w:t>the benefit</w:t>
      </w:r>
      <w:r>
        <w:rPr>
          <w:spacing w:val="-3"/>
        </w:rPr>
        <w:t> </w:t>
      </w:r>
      <w:r>
        <w:rPr/>
        <w:t>of the community of Timbuktu.</w:t>
      </w:r>
    </w:p>
    <w:p>
      <w:pPr>
        <w:pStyle w:val="BodyText"/>
        <w:spacing w:before="11"/>
      </w:pPr>
    </w:p>
    <w:p>
      <w:pPr>
        <w:spacing w:before="0"/>
        <w:ind w:left="2246" w:right="0" w:firstLine="0"/>
        <w:jc w:val="left"/>
        <w:rPr>
          <w:i/>
          <w:sz w:val="20"/>
        </w:rPr>
      </w:pPr>
      <w:r>
        <w:rPr>
          <w:i/>
          <w:sz w:val="20"/>
        </w:rPr>
        <w:t>Situation</w:t>
      </w:r>
      <w:r>
        <w:rPr>
          <w:i/>
          <w:spacing w:val="-8"/>
          <w:sz w:val="20"/>
        </w:rPr>
        <w:t> </w:t>
      </w:r>
      <w:r>
        <w:rPr>
          <w:i/>
          <w:sz w:val="20"/>
        </w:rPr>
        <w:t>in</w:t>
      </w:r>
      <w:r>
        <w:rPr>
          <w:i/>
          <w:spacing w:val="-8"/>
          <w:sz w:val="20"/>
        </w:rPr>
        <w:t> </w:t>
      </w:r>
      <w:r>
        <w:rPr>
          <w:i/>
          <w:sz w:val="20"/>
        </w:rPr>
        <w:t>People’s</w:t>
      </w:r>
      <w:r>
        <w:rPr>
          <w:i/>
          <w:spacing w:val="-9"/>
          <w:sz w:val="20"/>
        </w:rPr>
        <w:t> </w:t>
      </w:r>
      <w:r>
        <w:rPr>
          <w:i/>
          <w:sz w:val="20"/>
        </w:rPr>
        <w:t>Republic</w:t>
      </w:r>
      <w:r>
        <w:rPr>
          <w:i/>
          <w:spacing w:val="-6"/>
          <w:sz w:val="20"/>
        </w:rPr>
        <w:t> </w:t>
      </w:r>
      <w:r>
        <w:rPr>
          <w:i/>
          <w:sz w:val="20"/>
        </w:rPr>
        <w:t>of</w:t>
      </w:r>
      <w:r>
        <w:rPr>
          <w:i/>
          <w:spacing w:val="-6"/>
          <w:sz w:val="20"/>
        </w:rPr>
        <w:t> </w:t>
      </w:r>
      <w:r>
        <w:rPr>
          <w:i/>
          <w:sz w:val="20"/>
        </w:rPr>
        <w:t>Bangladesh/Republic</w:t>
      </w:r>
      <w:r>
        <w:rPr>
          <w:i/>
          <w:spacing w:val="-1"/>
          <w:sz w:val="20"/>
        </w:rPr>
        <w:t> </w:t>
      </w:r>
      <w:r>
        <w:rPr>
          <w:i/>
          <w:sz w:val="20"/>
        </w:rPr>
        <w:t>of</w:t>
      </w:r>
      <w:r>
        <w:rPr>
          <w:i/>
          <w:spacing w:val="-6"/>
          <w:sz w:val="20"/>
        </w:rPr>
        <w:t> </w:t>
      </w:r>
      <w:r>
        <w:rPr>
          <w:i/>
          <w:sz w:val="20"/>
        </w:rPr>
        <w:t>the</w:t>
      </w:r>
      <w:r>
        <w:rPr>
          <w:i/>
          <w:spacing w:val="-6"/>
          <w:sz w:val="20"/>
        </w:rPr>
        <w:t> </w:t>
      </w:r>
      <w:r>
        <w:rPr>
          <w:i/>
          <w:sz w:val="20"/>
        </w:rPr>
        <w:t>Union</w:t>
      </w:r>
      <w:r>
        <w:rPr>
          <w:i/>
          <w:spacing w:val="-8"/>
          <w:sz w:val="20"/>
        </w:rPr>
        <w:t> </w:t>
      </w:r>
      <w:r>
        <w:rPr>
          <w:i/>
          <w:sz w:val="20"/>
        </w:rPr>
        <w:t>of</w:t>
      </w:r>
      <w:r>
        <w:rPr>
          <w:i/>
          <w:spacing w:val="-1"/>
          <w:sz w:val="20"/>
        </w:rPr>
        <w:t> </w:t>
      </w:r>
      <w:r>
        <w:rPr>
          <w:i/>
          <w:spacing w:val="-2"/>
          <w:sz w:val="20"/>
        </w:rPr>
        <w:t>Myanmar</w:t>
      </w:r>
    </w:p>
    <w:p>
      <w:pPr>
        <w:pStyle w:val="BodyText"/>
        <w:rPr>
          <w:i/>
          <w:sz w:val="21"/>
        </w:rPr>
      </w:pPr>
    </w:p>
    <w:p>
      <w:pPr>
        <w:pStyle w:val="ListParagraph"/>
        <w:numPr>
          <w:ilvl w:val="0"/>
          <w:numId w:val="4"/>
        </w:numPr>
        <w:tabs>
          <w:tab w:pos="3020" w:val="left" w:leader="none"/>
        </w:tabs>
        <w:spacing w:line="240" w:lineRule="auto" w:before="0" w:after="0"/>
        <w:ind w:left="2246" w:right="2243" w:firstLine="0"/>
        <w:jc w:val="both"/>
        <w:rPr>
          <w:sz w:val="20"/>
        </w:rPr>
      </w:pPr>
      <w:r>
        <w:rPr>
          <w:sz w:val="20"/>
        </w:rPr>
        <w:t>On</w:t>
      </w:r>
      <w:r>
        <w:rPr>
          <w:spacing w:val="-13"/>
          <w:sz w:val="20"/>
        </w:rPr>
        <w:t> </w:t>
      </w:r>
      <w:r>
        <w:rPr>
          <w:sz w:val="20"/>
        </w:rPr>
        <w:t>14</w:t>
      </w:r>
      <w:r>
        <w:rPr>
          <w:spacing w:val="-9"/>
          <w:sz w:val="20"/>
        </w:rPr>
        <w:t> </w:t>
      </w:r>
      <w:r>
        <w:rPr>
          <w:sz w:val="20"/>
        </w:rPr>
        <w:t>November</w:t>
      </w:r>
      <w:r>
        <w:rPr>
          <w:spacing w:val="-10"/>
          <w:sz w:val="20"/>
        </w:rPr>
        <w:t> </w:t>
      </w:r>
      <w:r>
        <w:rPr>
          <w:sz w:val="20"/>
        </w:rPr>
        <w:t>2019,</w:t>
      </w:r>
      <w:r>
        <w:rPr>
          <w:spacing w:val="-8"/>
          <w:sz w:val="20"/>
        </w:rPr>
        <w:t> </w:t>
      </w:r>
      <w:r>
        <w:rPr>
          <w:sz w:val="20"/>
        </w:rPr>
        <w:t>Pre-Trial</w:t>
      </w:r>
      <w:r>
        <w:rPr>
          <w:spacing w:val="-9"/>
          <w:sz w:val="20"/>
        </w:rPr>
        <w:t> </w:t>
      </w:r>
      <w:r>
        <w:rPr>
          <w:sz w:val="20"/>
        </w:rPr>
        <w:t>Chamber</w:t>
      </w:r>
      <w:r>
        <w:rPr>
          <w:spacing w:val="-13"/>
          <w:sz w:val="20"/>
        </w:rPr>
        <w:t> </w:t>
      </w:r>
      <w:r>
        <w:rPr>
          <w:sz w:val="20"/>
        </w:rPr>
        <w:t>III</w:t>
      </w:r>
      <w:r>
        <w:rPr>
          <w:spacing w:val="-9"/>
          <w:sz w:val="20"/>
        </w:rPr>
        <w:t> </w:t>
      </w:r>
      <w:r>
        <w:rPr>
          <w:sz w:val="20"/>
        </w:rPr>
        <w:t>authorized</w:t>
      </w:r>
      <w:r>
        <w:rPr>
          <w:spacing w:val="-10"/>
          <w:sz w:val="20"/>
        </w:rPr>
        <w:t> </w:t>
      </w:r>
      <w:r>
        <w:rPr>
          <w:sz w:val="20"/>
        </w:rPr>
        <w:t>the</w:t>
      </w:r>
      <w:r>
        <w:rPr>
          <w:spacing w:val="-9"/>
          <w:sz w:val="20"/>
        </w:rPr>
        <w:t> </w:t>
      </w:r>
      <w:r>
        <w:rPr>
          <w:sz w:val="20"/>
        </w:rPr>
        <w:t>Prosecutor</w:t>
      </w:r>
      <w:r>
        <w:rPr>
          <w:spacing w:val="-10"/>
          <w:sz w:val="20"/>
        </w:rPr>
        <w:t> </w:t>
      </w:r>
      <w:r>
        <w:rPr>
          <w:sz w:val="20"/>
        </w:rPr>
        <w:t>to</w:t>
      </w:r>
      <w:r>
        <w:rPr>
          <w:spacing w:val="-13"/>
          <w:sz w:val="20"/>
        </w:rPr>
        <w:t> </w:t>
      </w:r>
      <w:r>
        <w:rPr>
          <w:sz w:val="20"/>
        </w:rPr>
        <w:t>proceed with an investigation into the alleged crimes within the Court’s jurisdiction in the situation in the People’s Republic of Bangladesh/Republic of the Union of Myanmar. This authorization followed the Prosecutor’s request on 4 July 2019 to open an investigation.</w:t>
      </w:r>
    </w:p>
    <w:p>
      <w:pPr>
        <w:pStyle w:val="ListParagraph"/>
        <w:numPr>
          <w:ilvl w:val="0"/>
          <w:numId w:val="4"/>
        </w:numPr>
        <w:tabs>
          <w:tab w:pos="2967" w:val="left" w:leader="none"/>
        </w:tabs>
        <w:spacing w:line="240" w:lineRule="auto" w:before="121" w:after="0"/>
        <w:ind w:left="2246" w:right="2246" w:firstLine="0"/>
        <w:jc w:val="both"/>
        <w:rPr>
          <w:sz w:val="20"/>
        </w:rPr>
      </w:pPr>
      <w:r>
        <w:rPr>
          <w:sz w:val="20"/>
        </w:rPr>
        <w:t>Since the investigation was opened in January 2020, the OTP has conducted a significant number of missions in order to engage with relevant government ministries, UN agencies, civil society partners and the diplomatic community. In addition, the OTP has conducted several outreach activities with affected communities, and advanced operational and logistical issues to facilitate investigative activities in the Rohingya camps in </w:t>
      </w:r>
      <w:r>
        <w:rPr>
          <w:spacing w:val="-2"/>
          <w:sz w:val="20"/>
        </w:rPr>
        <w:t>Bangladesh.</w:t>
      </w:r>
    </w:p>
    <w:p>
      <w:pPr>
        <w:pStyle w:val="ListParagraph"/>
        <w:numPr>
          <w:ilvl w:val="0"/>
          <w:numId w:val="4"/>
        </w:numPr>
        <w:tabs>
          <w:tab w:pos="2967" w:val="left" w:leader="none"/>
        </w:tabs>
        <w:spacing w:line="240" w:lineRule="auto" w:before="119" w:after="0"/>
        <w:ind w:left="2246" w:right="2242" w:firstLine="0"/>
        <w:jc w:val="both"/>
        <w:rPr>
          <w:sz w:val="20"/>
        </w:rPr>
      </w:pPr>
      <w:r>
        <w:rPr>
          <w:sz w:val="20"/>
        </w:rPr>
        <w:t>In spite of the safety and security situation, the OTP has managed to conduct a number of missions in 2021 and 2022, making significant progress in the collection of evidence. This included a visit by the Prosecutor to Bangladesh in February 2022. In</w:t>
      </w:r>
      <w:r>
        <w:rPr>
          <w:spacing w:val="-4"/>
          <w:sz w:val="20"/>
        </w:rPr>
        <w:t> </w:t>
      </w:r>
      <w:r>
        <w:rPr>
          <w:sz w:val="20"/>
        </w:rPr>
        <w:t>2023, the OTP will continue its investigative activities in relation to this situation.</w:t>
      </w:r>
    </w:p>
    <w:p>
      <w:pPr>
        <w:pStyle w:val="BodyText"/>
        <w:rPr>
          <w:sz w:val="21"/>
        </w:rPr>
      </w:pPr>
    </w:p>
    <w:p>
      <w:pPr>
        <w:spacing w:before="0"/>
        <w:ind w:left="2246" w:right="0" w:firstLine="0"/>
        <w:jc w:val="left"/>
        <w:rPr>
          <w:i/>
          <w:sz w:val="20"/>
        </w:rPr>
      </w:pPr>
      <w:r>
        <w:rPr>
          <w:i/>
          <w:sz w:val="20"/>
        </w:rPr>
        <w:t>Situation</w:t>
      </w:r>
      <w:r>
        <w:rPr>
          <w:i/>
          <w:spacing w:val="-7"/>
          <w:sz w:val="20"/>
        </w:rPr>
        <w:t> </w:t>
      </w:r>
      <w:r>
        <w:rPr>
          <w:i/>
          <w:sz w:val="20"/>
        </w:rPr>
        <w:t>in</w:t>
      </w:r>
      <w:r>
        <w:rPr>
          <w:i/>
          <w:spacing w:val="-6"/>
          <w:sz w:val="20"/>
        </w:rPr>
        <w:t> </w:t>
      </w:r>
      <w:r>
        <w:rPr>
          <w:i/>
          <w:sz w:val="20"/>
        </w:rPr>
        <w:t>the</w:t>
      </w:r>
      <w:r>
        <w:rPr>
          <w:i/>
          <w:spacing w:val="-4"/>
          <w:sz w:val="20"/>
        </w:rPr>
        <w:t> </w:t>
      </w:r>
      <w:r>
        <w:rPr>
          <w:i/>
          <w:sz w:val="20"/>
        </w:rPr>
        <w:t>State of</w:t>
      </w:r>
      <w:r>
        <w:rPr>
          <w:i/>
          <w:spacing w:val="-4"/>
          <w:sz w:val="20"/>
        </w:rPr>
        <w:t> </w:t>
      </w:r>
      <w:r>
        <w:rPr>
          <w:i/>
          <w:spacing w:val="-2"/>
          <w:sz w:val="20"/>
        </w:rPr>
        <w:t>Palestine</w:t>
      </w:r>
    </w:p>
    <w:p>
      <w:pPr>
        <w:pStyle w:val="BodyText"/>
        <w:spacing w:before="11"/>
        <w:rPr>
          <w:i/>
        </w:rPr>
      </w:pPr>
    </w:p>
    <w:p>
      <w:pPr>
        <w:pStyle w:val="ListParagraph"/>
        <w:numPr>
          <w:ilvl w:val="0"/>
          <w:numId w:val="4"/>
        </w:numPr>
        <w:tabs>
          <w:tab w:pos="2967" w:val="left" w:leader="none"/>
        </w:tabs>
        <w:spacing w:line="240" w:lineRule="auto" w:before="0" w:after="0"/>
        <w:ind w:left="2246" w:right="2243" w:firstLine="0"/>
        <w:jc w:val="both"/>
        <w:rPr>
          <w:sz w:val="20"/>
        </w:rPr>
      </w:pPr>
      <w:r>
        <w:rPr>
          <w:sz w:val="20"/>
        </w:rPr>
        <w:t>On</w:t>
      </w:r>
      <w:r>
        <w:rPr>
          <w:spacing w:val="40"/>
          <w:sz w:val="20"/>
        </w:rPr>
        <w:t> </w:t>
      </w:r>
      <w:r>
        <w:rPr>
          <w:sz w:val="20"/>
        </w:rPr>
        <w:t>1</w:t>
      </w:r>
      <w:r>
        <w:rPr>
          <w:spacing w:val="40"/>
          <w:sz w:val="20"/>
        </w:rPr>
        <w:t> </w:t>
      </w:r>
      <w:r>
        <w:rPr>
          <w:sz w:val="20"/>
        </w:rPr>
        <w:t>January</w:t>
      </w:r>
      <w:r>
        <w:rPr>
          <w:spacing w:val="40"/>
          <w:sz w:val="20"/>
        </w:rPr>
        <w:t> </w:t>
      </w:r>
      <w:r>
        <w:rPr>
          <w:sz w:val="20"/>
        </w:rPr>
        <w:t>2015,</w:t>
      </w:r>
      <w:r>
        <w:rPr>
          <w:spacing w:val="40"/>
          <w:sz w:val="20"/>
        </w:rPr>
        <w:t> </w:t>
      </w:r>
      <w:r>
        <w:rPr>
          <w:sz w:val="20"/>
        </w:rPr>
        <w:t>the</w:t>
      </w:r>
      <w:r>
        <w:rPr>
          <w:spacing w:val="40"/>
          <w:sz w:val="20"/>
        </w:rPr>
        <w:t> </w:t>
      </w:r>
      <w:r>
        <w:rPr>
          <w:sz w:val="20"/>
        </w:rPr>
        <w:t>Palestinian</w:t>
      </w:r>
      <w:r>
        <w:rPr>
          <w:spacing w:val="40"/>
          <w:sz w:val="20"/>
        </w:rPr>
        <w:t> </w:t>
      </w:r>
      <w:r>
        <w:rPr>
          <w:sz w:val="20"/>
        </w:rPr>
        <w:t>Government</w:t>
      </w:r>
      <w:r>
        <w:rPr>
          <w:spacing w:val="40"/>
          <w:sz w:val="20"/>
        </w:rPr>
        <w:t> </w:t>
      </w:r>
      <w:r>
        <w:rPr>
          <w:sz w:val="20"/>
        </w:rPr>
        <w:t>lodged</w:t>
      </w:r>
      <w:r>
        <w:rPr>
          <w:spacing w:val="40"/>
          <w:sz w:val="20"/>
        </w:rPr>
        <w:t> </w:t>
      </w:r>
      <w:r>
        <w:rPr>
          <w:sz w:val="20"/>
        </w:rPr>
        <w:t>a</w:t>
      </w:r>
      <w:r>
        <w:rPr>
          <w:spacing w:val="40"/>
          <w:sz w:val="20"/>
        </w:rPr>
        <w:t> </w:t>
      </w:r>
      <w:r>
        <w:rPr>
          <w:sz w:val="20"/>
        </w:rPr>
        <w:t>declaration</w:t>
      </w:r>
      <w:r>
        <w:rPr>
          <w:spacing w:val="40"/>
          <w:sz w:val="20"/>
        </w:rPr>
        <w:t> </w:t>
      </w:r>
      <w:r>
        <w:rPr>
          <w:sz w:val="20"/>
        </w:rPr>
        <w:t>under article</w:t>
      </w:r>
      <w:r>
        <w:rPr>
          <w:spacing w:val="-2"/>
          <w:sz w:val="20"/>
        </w:rPr>
        <w:t> </w:t>
      </w:r>
      <w:r>
        <w:rPr>
          <w:sz w:val="20"/>
        </w:rPr>
        <w:t>12(3) of the Rome Statute</w:t>
      </w:r>
      <w:r>
        <w:rPr>
          <w:spacing w:val="-3"/>
          <w:sz w:val="20"/>
        </w:rPr>
        <w:t> </w:t>
      </w:r>
      <w:r>
        <w:rPr>
          <w:sz w:val="20"/>
        </w:rPr>
        <w:t>accepting the jurisdiction of the Court over</w:t>
      </w:r>
      <w:r>
        <w:rPr>
          <w:spacing w:val="-5"/>
          <w:sz w:val="20"/>
        </w:rPr>
        <w:t> </w:t>
      </w:r>
      <w:r>
        <w:rPr>
          <w:sz w:val="20"/>
        </w:rPr>
        <w:t>alleged crimes committed</w:t>
      </w:r>
      <w:r>
        <w:rPr>
          <w:spacing w:val="80"/>
          <w:sz w:val="20"/>
        </w:rPr>
        <w:t> </w:t>
      </w:r>
      <w:r>
        <w:rPr>
          <w:sz w:val="20"/>
        </w:rPr>
        <w:t>“in</w:t>
      </w:r>
      <w:r>
        <w:rPr>
          <w:spacing w:val="80"/>
          <w:sz w:val="20"/>
        </w:rPr>
        <w:t> </w:t>
      </w:r>
      <w:r>
        <w:rPr>
          <w:sz w:val="20"/>
        </w:rPr>
        <w:t>the</w:t>
      </w:r>
      <w:r>
        <w:rPr>
          <w:spacing w:val="80"/>
          <w:sz w:val="20"/>
        </w:rPr>
        <w:t> </w:t>
      </w:r>
      <w:r>
        <w:rPr>
          <w:sz w:val="20"/>
        </w:rPr>
        <w:t>occupied</w:t>
      </w:r>
      <w:r>
        <w:rPr>
          <w:spacing w:val="80"/>
          <w:sz w:val="20"/>
        </w:rPr>
        <w:t> </w:t>
      </w:r>
      <w:r>
        <w:rPr>
          <w:sz w:val="20"/>
        </w:rPr>
        <w:t>Palestinian</w:t>
      </w:r>
      <w:r>
        <w:rPr>
          <w:spacing w:val="80"/>
          <w:sz w:val="20"/>
        </w:rPr>
        <w:t> </w:t>
      </w:r>
      <w:r>
        <w:rPr>
          <w:sz w:val="20"/>
        </w:rPr>
        <w:t>territory,</w:t>
      </w:r>
      <w:r>
        <w:rPr>
          <w:spacing w:val="80"/>
          <w:sz w:val="20"/>
        </w:rPr>
        <w:t> </w:t>
      </w:r>
      <w:r>
        <w:rPr>
          <w:sz w:val="20"/>
        </w:rPr>
        <w:t>including</w:t>
      </w:r>
      <w:r>
        <w:rPr>
          <w:spacing w:val="80"/>
          <w:sz w:val="20"/>
        </w:rPr>
        <w:t> </w:t>
      </w:r>
      <w:r>
        <w:rPr>
          <w:sz w:val="20"/>
        </w:rPr>
        <w:t>East</w:t>
      </w:r>
      <w:r>
        <w:rPr>
          <w:spacing w:val="80"/>
          <w:sz w:val="20"/>
        </w:rPr>
        <w:t> </w:t>
      </w:r>
      <w:r>
        <w:rPr>
          <w:sz w:val="20"/>
        </w:rPr>
        <w:t>Jerusalem,</w:t>
      </w:r>
      <w:r>
        <w:rPr>
          <w:spacing w:val="80"/>
          <w:sz w:val="20"/>
        </w:rPr>
        <w:t> </w:t>
      </w:r>
      <w:r>
        <w:rPr>
          <w:sz w:val="20"/>
        </w:rPr>
        <w:t>since June</w:t>
      </w:r>
      <w:r>
        <w:rPr>
          <w:spacing w:val="-13"/>
          <w:sz w:val="20"/>
        </w:rPr>
        <w:t> </w:t>
      </w:r>
      <w:r>
        <w:rPr>
          <w:sz w:val="20"/>
        </w:rPr>
        <w:t>13,</w:t>
      </w:r>
      <w:r>
        <w:rPr>
          <w:spacing w:val="-12"/>
          <w:sz w:val="20"/>
        </w:rPr>
        <w:t> </w:t>
      </w:r>
      <w:r>
        <w:rPr>
          <w:sz w:val="20"/>
        </w:rPr>
        <w:t>2014”.</w:t>
      </w:r>
      <w:r>
        <w:rPr>
          <w:spacing w:val="-13"/>
          <w:sz w:val="20"/>
        </w:rPr>
        <w:t> </w:t>
      </w:r>
      <w:r>
        <w:rPr>
          <w:sz w:val="20"/>
        </w:rPr>
        <w:t>On</w:t>
      </w:r>
      <w:r>
        <w:rPr>
          <w:spacing w:val="-12"/>
          <w:sz w:val="20"/>
        </w:rPr>
        <w:t> </w:t>
      </w:r>
      <w:r>
        <w:rPr>
          <w:sz w:val="20"/>
        </w:rPr>
        <w:t>2</w:t>
      </w:r>
      <w:r>
        <w:rPr>
          <w:spacing w:val="-13"/>
          <w:sz w:val="20"/>
        </w:rPr>
        <w:t> </w:t>
      </w:r>
      <w:r>
        <w:rPr>
          <w:sz w:val="20"/>
        </w:rPr>
        <w:t>January</w:t>
      </w:r>
      <w:r>
        <w:rPr>
          <w:spacing w:val="-12"/>
          <w:sz w:val="20"/>
        </w:rPr>
        <w:t> </w:t>
      </w:r>
      <w:r>
        <w:rPr>
          <w:sz w:val="20"/>
        </w:rPr>
        <w:t>2015,</w:t>
      </w:r>
      <w:r>
        <w:rPr>
          <w:spacing w:val="-13"/>
          <w:sz w:val="20"/>
        </w:rPr>
        <w:t> </w:t>
      </w:r>
      <w:r>
        <w:rPr>
          <w:sz w:val="20"/>
        </w:rPr>
        <w:t>the</w:t>
      </w:r>
      <w:r>
        <w:rPr>
          <w:spacing w:val="-12"/>
          <w:sz w:val="20"/>
        </w:rPr>
        <w:t> </w:t>
      </w:r>
      <w:r>
        <w:rPr>
          <w:sz w:val="20"/>
        </w:rPr>
        <w:t>Government</w:t>
      </w:r>
      <w:r>
        <w:rPr>
          <w:spacing w:val="-13"/>
          <w:sz w:val="20"/>
        </w:rPr>
        <w:t> </w:t>
      </w:r>
      <w:r>
        <w:rPr>
          <w:sz w:val="20"/>
        </w:rPr>
        <w:t>of</w:t>
      </w:r>
      <w:r>
        <w:rPr>
          <w:spacing w:val="-12"/>
          <w:sz w:val="20"/>
        </w:rPr>
        <w:t> </w:t>
      </w:r>
      <w:r>
        <w:rPr>
          <w:sz w:val="20"/>
        </w:rPr>
        <w:t>Palestine</w:t>
      </w:r>
      <w:r>
        <w:rPr>
          <w:spacing w:val="-13"/>
          <w:sz w:val="20"/>
        </w:rPr>
        <w:t> </w:t>
      </w:r>
      <w:r>
        <w:rPr>
          <w:sz w:val="20"/>
        </w:rPr>
        <w:t>acceded</w:t>
      </w:r>
      <w:r>
        <w:rPr>
          <w:spacing w:val="-12"/>
          <w:sz w:val="20"/>
        </w:rPr>
        <w:t> </w:t>
      </w:r>
      <w:r>
        <w:rPr>
          <w:sz w:val="20"/>
        </w:rPr>
        <w:t>to</w:t>
      </w:r>
      <w:r>
        <w:rPr>
          <w:spacing w:val="-13"/>
          <w:sz w:val="20"/>
        </w:rPr>
        <w:t> </w:t>
      </w:r>
      <w:r>
        <w:rPr>
          <w:sz w:val="20"/>
        </w:rPr>
        <w:t>the</w:t>
      </w:r>
      <w:r>
        <w:rPr>
          <w:spacing w:val="-12"/>
          <w:sz w:val="20"/>
        </w:rPr>
        <w:t> </w:t>
      </w:r>
      <w:r>
        <w:rPr>
          <w:sz w:val="20"/>
        </w:rPr>
        <w:t>Rome</w:t>
      </w:r>
      <w:r>
        <w:rPr>
          <w:spacing w:val="-13"/>
          <w:sz w:val="20"/>
        </w:rPr>
        <w:t> </w:t>
      </w:r>
      <w:r>
        <w:rPr>
          <w:sz w:val="20"/>
        </w:rPr>
        <w:t>Statute by depositing</w:t>
      </w:r>
      <w:r>
        <w:rPr>
          <w:spacing w:val="-5"/>
          <w:sz w:val="20"/>
        </w:rPr>
        <w:t> </w:t>
      </w:r>
      <w:r>
        <w:rPr>
          <w:sz w:val="20"/>
        </w:rPr>
        <w:t>its</w:t>
      </w:r>
      <w:r>
        <w:rPr>
          <w:spacing w:val="-1"/>
          <w:sz w:val="20"/>
        </w:rPr>
        <w:t> </w:t>
      </w:r>
      <w:r>
        <w:rPr>
          <w:sz w:val="20"/>
        </w:rPr>
        <w:t>instrument of</w:t>
      </w:r>
      <w:r>
        <w:rPr>
          <w:spacing w:val="-5"/>
          <w:sz w:val="20"/>
        </w:rPr>
        <w:t> </w:t>
      </w:r>
      <w:r>
        <w:rPr>
          <w:sz w:val="20"/>
        </w:rPr>
        <w:t>accession with</w:t>
      </w:r>
      <w:r>
        <w:rPr>
          <w:spacing w:val="-5"/>
          <w:sz w:val="20"/>
        </w:rPr>
        <w:t> </w:t>
      </w:r>
      <w:r>
        <w:rPr>
          <w:sz w:val="20"/>
        </w:rPr>
        <w:t>the</w:t>
      </w:r>
      <w:r>
        <w:rPr>
          <w:spacing w:val="-3"/>
          <w:sz w:val="20"/>
        </w:rPr>
        <w:t> </w:t>
      </w:r>
      <w:r>
        <w:rPr>
          <w:sz w:val="20"/>
        </w:rPr>
        <w:t>UN</w:t>
      </w:r>
      <w:r>
        <w:rPr>
          <w:spacing w:val="-1"/>
          <w:sz w:val="20"/>
        </w:rPr>
        <w:t> </w:t>
      </w:r>
      <w:r>
        <w:rPr>
          <w:sz w:val="20"/>
        </w:rPr>
        <w:t>Secretary-General. The</w:t>
      </w:r>
      <w:r>
        <w:rPr>
          <w:spacing w:val="-3"/>
          <w:sz w:val="20"/>
        </w:rPr>
        <w:t> </w:t>
      </w:r>
      <w:r>
        <w:rPr>
          <w:sz w:val="20"/>
        </w:rPr>
        <w:t>Rome Statute entered into force for Palestine on 1 April 2015.</w:t>
      </w:r>
    </w:p>
    <w:p>
      <w:pPr>
        <w:pStyle w:val="ListParagraph"/>
        <w:numPr>
          <w:ilvl w:val="0"/>
          <w:numId w:val="4"/>
        </w:numPr>
        <w:tabs>
          <w:tab w:pos="2967" w:val="left" w:leader="none"/>
        </w:tabs>
        <w:spacing w:line="240" w:lineRule="auto" w:before="118" w:after="0"/>
        <w:ind w:left="2246" w:right="2242" w:firstLine="0"/>
        <w:jc w:val="both"/>
        <w:rPr>
          <w:sz w:val="20"/>
        </w:rPr>
      </w:pPr>
      <w:r>
        <w:rPr>
          <w:sz w:val="20"/>
        </w:rPr>
        <w:t>On</w:t>
      </w:r>
      <w:r>
        <w:rPr>
          <w:spacing w:val="-13"/>
          <w:sz w:val="20"/>
        </w:rPr>
        <w:t> </w:t>
      </w:r>
      <w:r>
        <w:rPr>
          <w:sz w:val="20"/>
        </w:rPr>
        <w:t>3</w:t>
      </w:r>
      <w:r>
        <w:rPr>
          <w:spacing w:val="-12"/>
          <w:sz w:val="20"/>
        </w:rPr>
        <w:t> </w:t>
      </w:r>
      <w:r>
        <w:rPr>
          <w:sz w:val="20"/>
        </w:rPr>
        <w:t>March</w:t>
      </w:r>
      <w:r>
        <w:rPr>
          <w:spacing w:val="-13"/>
          <w:sz w:val="20"/>
        </w:rPr>
        <w:t> </w:t>
      </w:r>
      <w:r>
        <w:rPr>
          <w:sz w:val="20"/>
        </w:rPr>
        <w:t>2021,</w:t>
      </w:r>
      <w:r>
        <w:rPr>
          <w:spacing w:val="-12"/>
          <w:sz w:val="20"/>
        </w:rPr>
        <w:t> </w:t>
      </w:r>
      <w:r>
        <w:rPr>
          <w:sz w:val="20"/>
        </w:rPr>
        <w:t>the</w:t>
      </w:r>
      <w:r>
        <w:rPr>
          <w:spacing w:val="-13"/>
          <w:sz w:val="20"/>
        </w:rPr>
        <w:t> </w:t>
      </w:r>
      <w:r>
        <w:rPr>
          <w:sz w:val="20"/>
        </w:rPr>
        <w:t>former</w:t>
      </w:r>
      <w:r>
        <w:rPr>
          <w:spacing w:val="-12"/>
          <w:sz w:val="20"/>
        </w:rPr>
        <w:t> </w:t>
      </w:r>
      <w:r>
        <w:rPr>
          <w:sz w:val="20"/>
        </w:rPr>
        <w:t>Prosecutor</w:t>
      </w:r>
      <w:r>
        <w:rPr>
          <w:spacing w:val="-13"/>
          <w:sz w:val="20"/>
        </w:rPr>
        <w:t> </w:t>
      </w:r>
      <w:hyperlink r:id="rId15">
        <w:r>
          <w:rPr>
            <w:sz w:val="20"/>
          </w:rPr>
          <w:t>announced</w:t>
        </w:r>
      </w:hyperlink>
      <w:r>
        <w:rPr>
          <w:spacing w:val="-6"/>
          <w:sz w:val="20"/>
        </w:rPr>
        <w:t> </w:t>
      </w:r>
      <w:r>
        <w:rPr>
          <w:sz w:val="20"/>
        </w:rPr>
        <w:t>the</w:t>
      </w:r>
      <w:r>
        <w:rPr>
          <w:spacing w:val="-11"/>
          <w:sz w:val="20"/>
        </w:rPr>
        <w:t> </w:t>
      </w:r>
      <w:r>
        <w:rPr>
          <w:sz w:val="20"/>
        </w:rPr>
        <w:t>opening</w:t>
      </w:r>
      <w:r>
        <w:rPr>
          <w:spacing w:val="-9"/>
          <w:sz w:val="20"/>
        </w:rPr>
        <w:t> </w:t>
      </w:r>
      <w:r>
        <w:rPr>
          <w:sz w:val="20"/>
        </w:rPr>
        <w:t>of</w:t>
      </w:r>
      <w:r>
        <w:rPr>
          <w:spacing w:val="-13"/>
          <w:sz w:val="20"/>
        </w:rPr>
        <w:t> </w:t>
      </w:r>
      <w:r>
        <w:rPr>
          <w:sz w:val="20"/>
        </w:rPr>
        <w:t>the</w:t>
      </w:r>
      <w:r>
        <w:rPr>
          <w:spacing w:val="-12"/>
          <w:sz w:val="20"/>
        </w:rPr>
        <w:t> </w:t>
      </w:r>
      <w:r>
        <w:rPr>
          <w:sz w:val="20"/>
        </w:rPr>
        <w:t>investigation into</w:t>
      </w:r>
      <w:r>
        <w:rPr>
          <w:spacing w:val="21"/>
          <w:sz w:val="20"/>
        </w:rPr>
        <w:t> </w:t>
      </w:r>
      <w:r>
        <w:rPr>
          <w:sz w:val="20"/>
        </w:rPr>
        <w:t>the</w:t>
      </w:r>
      <w:r>
        <w:rPr>
          <w:spacing w:val="28"/>
          <w:sz w:val="20"/>
        </w:rPr>
        <w:t> </w:t>
      </w:r>
      <w:r>
        <w:rPr>
          <w:sz w:val="20"/>
        </w:rPr>
        <w:t>Situation</w:t>
      </w:r>
      <w:r>
        <w:rPr>
          <w:spacing w:val="21"/>
          <w:sz w:val="20"/>
        </w:rPr>
        <w:t> </w:t>
      </w:r>
      <w:r>
        <w:rPr>
          <w:sz w:val="20"/>
        </w:rPr>
        <w:t>in</w:t>
      </w:r>
      <w:r>
        <w:rPr>
          <w:spacing w:val="21"/>
          <w:sz w:val="20"/>
        </w:rPr>
        <w:t> </w:t>
      </w:r>
      <w:r>
        <w:rPr>
          <w:sz w:val="20"/>
        </w:rPr>
        <w:t>the</w:t>
      </w:r>
      <w:r>
        <w:rPr>
          <w:spacing w:val="23"/>
          <w:sz w:val="20"/>
        </w:rPr>
        <w:t> </w:t>
      </w:r>
      <w:r>
        <w:rPr>
          <w:sz w:val="20"/>
        </w:rPr>
        <w:t>State</w:t>
      </w:r>
      <w:r>
        <w:rPr>
          <w:spacing w:val="23"/>
          <w:sz w:val="20"/>
        </w:rPr>
        <w:t> </w:t>
      </w:r>
      <w:r>
        <w:rPr>
          <w:sz w:val="20"/>
        </w:rPr>
        <w:t>of</w:t>
      </w:r>
      <w:r>
        <w:rPr>
          <w:spacing w:val="26"/>
          <w:sz w:val="20"/>
        </w:rPr>
        <w:t> </w:t>
      </w:r>
      <w:r>
        <w:rPr>
          <w:sz w:val="20"/>
        </w:rPr>
        <w:t>Palestine.</w:t>
      </w:r>
      <w:r>
        <w:rPr>
          <w:spacing w:val="23"/>
          <w:sz w:val="20"/>
        </w:rPr>
        <w:t> </w:t>
      </w:r>
      <w:r>
        <w:rPr>
          <w:sz w:val="20"/>
        </w:rPr>
        <w:t>This</w:t>
      </w:r>
      <w:r>
        <w:rPr>
          <w:spacing w:val="25"/>
          <w:sz w:val="20"/>
        </w:rPr>
        <w:t> </w:t>
      </w:r>
      <w:r>
        <w:rPr>
          <w:sz w:val="20"/>
        </w:rPr>
        <w:t>followed Pre-Trial</w:t>
      </w:r>
      <w:r>
        <w:rPr>
          <w:spacing w:val="28"/>
          <w:sz w:val="20"/>
        </w:rPr>
        <w:t> </w:t>
      </w:r>
      <w:r>
        <w:rPr>
          <w:sz w:val="20"/>
        </w:rPr>
        <w:t>Chamber</w:t>
      </w:r>
      <w:r>
        <w:rPr>
          <w:spacing w:val="26"/>
          <w:sz w:val="20"/>
        </w:rPr>
        <w:t> </w:t>
      </w:r>
      <w:r>
        <w:rPr>
          <w:sz w:val="20"/>
        </w:rPr>
        <w:t>I's</w:t>
      </w:r>
      <w:r>
        <w:rPr>
          <w:spacing w:val="25"/>
          <w:sz w:val="20"/>
        </w:rPr>
        <w:t> </w:t>
      </w:r>
      <w:r>
        <w:rPr>
          <w:sz w:val="20"/>
        </w:rPr>
        <w:t>decision on</w:t>
      </w:r>
      <w:r>
        <w:rPr>
          <w:spacing w:val="-7"/>
          <w:sz w:val="20"/>
        </w:rPr>
        <w:t> </w:t>
      </w:r>
      <w:r>
        <w:rPr>
          <w:sz w:val="20"/>
        </w:rPr>
        <w:t>5</w:t>
      </w:r>
      <w:r>
        <w:rPr>
          <w:spacing w:val="-3"/>
          <w:sz w:val="20"/>
        </w:rPr>
        <w:t> </w:t>
      </w:r>
      <w:r>
        <w:rPr>
          <w:sz w:val="20"/>
        </w:rPr>
        <w:t>February</w:t>
      </w:r>
      <w:r>
        <w:rPr>
          <w:spacing w:val="-13"/>
          <w:sz w:val="20"/>
        </w:rPr>
        <w:t> </w:t>
      </w:r>
      <w:r>
        <w:rPr>
          <w:sz w:val="20"/>
        </w:rPr>
        <w:t>2021</w:t>
      </w:r>
      <w:r>
        <w:rPr>
          <w:spacing w:val="-12"/>
          <w:sz w:val="20"/>
        </w:rPr>
        <w:t> </w:t>
      </w:r>
      <w:r>
        <w:rPr>
          <w:sz w:val="20"/>
        </w:rPr>
        <w:t>that</w:t>
      </w:r>
      <w:r>
        <w:rPr>
          <w:spacing w:val="-12"/>
          <w:sz w:val="20"/>
        </w:rPr>
        <w:t> </w:t>
      </w:r>
      <w:r>
        <w:rPr>
          <w:sz w:val="20"/>
        </w:rPr>
        <w:t>the</w:t>
      </w:r>
      <w:r>
        <w:rPr>
          <w:spacing w:val="-7"/>
          <w:sz w:val="20"/>
        </w:rPr>
        <w:t> </w:t>
      </w:r>
      <w:r>
        <w:rPr>
          <w:sz w:val="20"/>
        </w:rPr>
        <w:t>Court</w:t>
      </w:r>
      <w:r>
        <w:rPr>
          <w:spacing w:val="-12"/>
          <w:sz w:val="20"/>
        </w:rPr>
        <w:t> </w:t>
      </w:r>
      <w:r>
        <w:rPr>
          <w:sz w:val="20"/>
        </w:rPr>
        <w:t>could</w:t>
      </w:r>
      <w:r>
        <w:rPr>
          <w:spacing w:val="-13"/>
          <w:sz w:val="20"/>
        </w:rPr>
        <w:t> </w:t>
      </w:r>
      <w:r>
        <w:rPr>
          <w:sz w:val="20"/>
        </w:rPr>
        <w:t>exercise</w:t>
      </w:r>
      <w:r>
        <w:rPr>
          <w:spacing w:val="-12"/>
          <w:sz w:val="20"/>
        </w:rPr>
        <w:t> </w:t>
      </w:r>
      <w:r>
        <w:rPr>
          <w:sz w:val="20"/>
        </w:rPr>
        <w:t>its</w:t>
      </w:r>
      <w:r>
        <w:rPr>
          <w:spacing w:val="-13"/>
          <w:sz w:val="20"/>
        </w:rPr>
        <w:t> </w:t>
      </w:r>
      <w:r>
        <w:rPr>
          <w:sz w:val="20"/>
        </w:rPr>
        <w:t>criminal</w:t>
      </w:r>
      <w:r>
        <w:rPr>
          <w:spacing w:val="-12"/>
          <w:sz w:val="20"/>
        </w:rPr>
        <w:t> </w:t>
      </w:r>
      <w:r>
        <w:rPr>
          <w:sz w:val="20"/>
        </w:rPr>
        <w:t>jurisdiction</w:t>
      </w:r>
      <w:r>
        <w:rPr>
          <w:spacing w:val="-13"/>
          <w:sz w:val="20"/>
        </w:rPr>
        <w:t> </w:t>
      </w:r>
      <w:r>
        <w:rPr>
          <w:sz w:val="20"/>
        </w:rPr>
        <w:t>in</w:t>
      </w:r>
      <w:r>
        <w:rPr>
          <w:spacing w:val="-12"/>
          <w:sz w:val="20"/>
        </w:rPr>
        <w:t> </w:t>
      </w:r>
      <w:r>
        <w:rPr>
          <w:sz w:val="20"/>
        </w:rPr>
        <w:t>the</w:t>
      </w:r>
      <w:r>
        <w:rPr>
          <w:spacing w:val="-7"/>
          <w:sz w:val="20"/>
        </w:rPr>
        <w:t> </w:t>
      </w:r>
      <w:r>
        <w:rPr>
          <w:sz w:val="20"/>
        </w:rPr>
        <w:t>Situation</w:t>
      </w:r>
      <w:r>
        <w:rPr>
          <w:spacing w:val="-13"/>
          <w:sz w:val="20"/>
        </w:rPr>
        <w:t> </w:t>
      </w:r>
      <w:r>
        <w:rPr>
          <w:sz w:val="20"/>
        </w:rPr>
        <w:t>and, by</w:t>
      </w:r>
      <w:r>
        <w:rPr>
          <w:spacing w:val="-5"/>
          <w:sz w:val="20"/>
        </w:rPr>
        <w:t> </w:t>
      </w:r>
      <w:r>
        <w:rPr>
          <w:sz w:val="20"/>
        </w:rPr>
        <w:t>majority,</w:t>
      </w:r>
      <w:r>
        <w:rPr>
          <w:spacing w:val="-2"/>
          <w:sz w:val="20"/>
        </w:rPr>
        <w:t> </w:t>
      </w:r>
      <w:r>
        <w:rPr>
          <w:sz w:val="20"/>
        </w:rPr>
        <w:t>that</w:t>
      </w:r>
      <w:r>
        <w:rPr>
          <w:spacing w:val="-3"/>
          <w:sz w:val="20"/>
        </w:rPr>
        <w:t> </w:t>
      </w:r>
      <w:r>
        <w:rPr>
          <w:sz w:val="20"/>
        </w:rPr>
        <w:t>the</w:t>
      </w:r>
      <w:r>
        <w:rPr>
          <w:spacing w:val="-3"/>
          <w:sz w:val="20"/>
        </w:rPr>
        <w:t> </w:t>
      </w:r>
      <w:r>
        <w:rPr>
          <w:sz w:val="20"/>
        </w:rPr>
        <w:t>territorial</w:t>
      </w:r>
      <w:r>
        <w:rPr>
          <w:spacing w:val="-3"/>
          <w:sz w:val="20"/>
        </w:rPr>
        <w:t> </w:t>
      </w:r>
      <w:r>
        <w:rPr>
          <w:sz w:val="20"/>
        </w:rPr>
        <w:t>scope</w:t>
      </w:r>
      <w:r>
        <w:rPr>
          <w:spacing w:val="-3"/>
          <w:sz w:val="20"/>
        </w:rPr>
        <w:t> </w:t>
      </w:r>
      <w:r>
        <w:rPr>
          <w:sz w:val="20"/>
        </w:rPr>
        <w:t>of</w:t>
      </w:r>
      <w:r>
        <w:rPr>
          <w:spacing w:val="-5"/>
          <w:sz w:val="20"/>
        </w:rPr>
        <w:t> </w:t>
      </w:r>
      <w:r>
        <w:rPr>
          <w:sz w:val="20"/>
        </w:rPr>
        <w:t>this</w:t>
      </w:r>
      <w:r>
        <w:rPr>
          <w:spacing w:val="-6"/>
          <w:sz w:val="20"/>
        </w:rPr>
        <w:t> </w:t>
      </w:r>
      <w:r>
        <w:rPr>
          <w:sz w:val="20"/>
        </w:rPr>
        <w:t>jurisdiction</w:t>
      </w:r>
      <w:r>
        <w:rPr>
          <w:spacing w:val="-5"/>
          <w:sz w:val="20"/>
        </w:rPr>
        <w:t> </w:t>
      </w:r>
      <w:r>
        <w:rPr>
          <w:sz w:val="20"/>
        </w:rPr>
        <w:t>extends</w:t>
      </w:r>
      <w:r>
        <w:rPr>
          <w:spacing w:val="-1"/>
          <w:sz w:val="20"/>
        </w:rPr>
        <w:t> </w:t>
      </w:r>
      <w:r>
        <w:rPr>
          <w:sz w:val="20"/>
        </w:rPr>
        <w:t>to</w:t>
      </w:r>
      <w:r>
        <w:rPr>
          <w:spacing w:val="-5"/>
          <w:sz w:val="20"/>
        </w:rPr>
        <w:t> </w:t>
      </w:r>
      <w:r>
        <w:rPr>
          <w:sz w:val="20"/>
        </w:rPr>
        <w:t>Gaza</w:t>
      </w:r>
      <w:r>
        <w:rPr>
          <w:spacing w:val="-3"/>
          <w:sz w:val="20"/>
        </w:rPr>
        <w:t> </w:t>
      </w:r>
      <w:r>
        <w:rPr>
          <w:sz w:val="20"/>
        </w:rPr>
        <w:t>and</w:t>
      </w:r>
      <w:r>
        <w:rPr>
          <w:spacing w:val="-5"/>
          <w:sz w:val="20"/>
        </w:rPr>
        <w:t> </w:t>
      </w:r>
      <w:r>
        <w:rPr>
          <w:sz w:val="20"/>
        </w:rPr>
        <w:t>the</w:t>
      </w:r>
      <w:r>
        <w:rPr>
          <w:spacing w:val="-3"/>
          <w:sz w:val="20"/>
        </w:rPr>
        <w:t> </w:t>
      </w:r>
      <w:r>
        <w:rPr>
          <w:sz w:val="20"/>
        </w:rPr>
        <w:t>West</w:t>
      </w:r>
      <w:r>
        <w:rPr>
          <w:spacing w:val="-3"/>
          <w:sz w:val="20"/>
        </w:rPr>
        <w:t> </w:t>
      </w:r>
      <w:r>
        <w:rPr>
          <w:sz w:val="20"/>
        </w:rPr>
        <w:t>Bank, including East Jerusalem.</w:t>
      </w:r>
    </w:p>
    <w:p>
      <w:pPr>
        <w:pStyle w:val="ListParagraph"/>
        <w:numPr>
          <w:ilvl w:val="0"/>
          <w:numId w:val="4"/>
        </w:numPr>
        <w:tabs>
          <w:tab w:pos="2967" w:val="left" w:leader="none"/>
        </w:tabs>
        <w:spacing w:line="240" w:lineRule="auto" w:before="122" w:after="0"/>
        <w:ind w:left="2246" w:right="2250" w:firstLine="0"/>
        <w:jc w:val="both"/>
        <w:rPr>
          <w:sz w:val="20"/>
        </w:rPr>
      </w:pPr>
      <w:r>
        <w:rPr>
          <w:sz w:val="20"/>
        </w:rPr>
        <w:t>In</w:t>
      </w:r>
      <w:r>
        <w:rPr>
          <w:spacing w:val="-13"/>
          <w:sz w:val="20"/>
        </w:rPr>
        <w:t> </w:t>
      </w:r>
      <w:r>
        <w:rPr>
          <w:sz w:val="20"/>
        </w:rPr>
        <w:t>2023,</w:t>
      </w:r>
      <w:r>
        <w:rPr>
          <w:spacing w:val="-12"/>
          <w:sz w:val="20"/>
        </w:rPr>
        <w:t> </w:t>
      </w:r>
      <w:r>
        <w:rPr>
          <w:sz w:val="20"/>
        </w:rPr>
        <w:t>the</w:t>
      </w:r>
      <w:r>
        <w:rPr>
          <w:spacing w:val="-13"/>
          <w:sz w:val="20"/>
        </w:rPr>
        <w:t> </w:t>
      </w:r>
      <w:r>
        <w:rPr>
          <w:sz w:val="20"/>
        </w:rPr>
        <w:t>OTP</w:t>
      </w:r>
      <w:r>
        <w:rPr>
          <w:spacing w:val="-11"/>
          <w:sz w:val="20"/>
        </w:rPr>
        <w:t> </w:t>
      </w:r>
      <w:r>
        <w:rPr>
          <w:sz w:val="20"/>
        </w:rPr>
        <w:t>will</w:t>
      </w:r>
      <w:r>
        <w:rPr>
          <w:spacing w:val="-13"/>
          <w:sz w:val="20"/>
        </w:rPr>
        <w:t> </w:t>
      </w:r>
      <w:r>
        <w:rPr>
          <w:sz w:val="20"/>
        </w:rPr>
        <w:t>continue</w:t>
      </w:r>
      <w:r>
        <w:rPr>
          <w:spacing w:val="-12"/>
          <w:sz w:val="20"/>
        </w:rPr>
        <w:t> </w:t>
      </w:r>
      <w:r>
        <w:rPr>
          <w:sz w:val="20"/>
        </w:rPr>
        <w:t>its</w:t>
      </w:r>
      <w:r>
        <w:rPr>
          <w:spacing w:val="-12"/>
          <w:sz w:val="20"/>
        </w:rPr>
        <w:t> </w:t>
      </w:r>
      <w:r>
        <w:rPr>
          <w:sz w:val="20"/>
        </w:rPr>
        <w:t>investigative</w:t>
      </w:r>
      <w:r>
        <w:rPr>
          <w:spacing w:val="-13"/>
          <w:sz w:val="20"/>
        </w:rPr>
        <w:t> </w:t>
      </w:r>
      <w:r>
        <w:rPr>
          <w:sz w:val="20"/>
        </w:rPr>
        <w:t>activities</w:t>
      </w:r>
      <w:r>
        <w:rPr>
          <w:spacing w:val="-11"/>
          <w:sz w:val="20"/>
        </w:rPr>
        <w:t> </w:t>
      </w:r>
      <w:r>
        <w:rPr>
          <w:sz w:val="20"/>
        </w:rPr>
        <w:t>in</w:t>
      </w:r>
      <w:r>
        <w:rPr>
          <w:spacing w:val="-13"/>
          <w:sz w:val="20"/>
        </w:rPr>
        <w:t> </w:t>
      </w:r>
      <w:r>
        <w:rPr>
          <w:sz w:val="20"/>
        </w:rPr>
        <w:t>relation</w:t>
      </w:r>
      <w:r>
        <w:rPr>
          <w:spacing w:val="-12"/>
          <w:sz w:val="20"/>
        </w:rPr>
        <w:t> </w:t>
      </w:r>
      <w:r>
        <w:rPr>
          <w:sz w:val="20"/>
        </w:rPr>
        <w:t>to</w:t>
      </w:r>
      <w:r>
        <w:rPr>
          <w:spacing w:val="-13"/>
          <w:sz w:val="20"/>
        </w:rPr>
        <w:t> </w:t>
      </w:r>
      <w:r>
        <w:rPr>
          <w:sz w:val="20"/>
        </w:rPr>
        <w:t>this</w:t>
      </w:r>
      <w:r>
        <w:rPr>
          <w:spacing w:val="-12"/>
          <w:sz w:val="20"/>
        </w:rPr>
        <w:t> </w:t>
      </w:r>
      <w:r>
        <w:rPr>
          <w:sz w:val="20"/>
        </w:rPr>
        <w:t>situation, and also extend its cooperation network with a variety of relevant stakeholders.</w:t>
      </w:r>
    </w:p>
    <w:p>
      <w:pPr>
        <w:pStyle w:val="BodyText"/>
        <w:rPr>
          <w:sz w:val="21"/>
        </w:rPr>
      </w:pPr>
    </w:p>
    <w:p>
      <w:pPr>
        <w:spacing w:before="0"/>
        <w:ind w:left="2246" w:right="0" w:firstLine="0"/>
        <w:jc w:val="left"/>
        <w:rPr>
          <w:i/>
          <w:sz w:val="20"/>
        </w:rPr>
      </w:pPr>
      <w:r>
        <w:rPr>
          <w:i/>
          <w:sz w:val="20"/>
        </w:rPr>
        <w:t>Situation</w:t>
      </w:r>
      <w:r>
        <w:rPr>
          <w:i/>
          <w:spacing w:val="-6"/>
          <w:sz w:val="20"/>
        </w:rPr>
        <w:t> </w:t>
      </w:r>
      <w:r>
        <w:rPr>
          <w:i/>
          <w:sz w:val="20"/>
        </w:rPr>
        <w:t>in</w:t>
      </w:r>
      <w:r>
        <w:rPr>
          <w:i/>
          <w:spacing w:val="-5"/>
          <w:sz w:val="20"/>
        </w:rPr>
        <w:t> </w:t>
      </w:r>
      <w:r>
        <w:rPr>
          <w:i/>
          <w:sz w:val="20"/>
        </w:rPr>
        <w:t>the</w:t>
      </w:r>
      <w:r>
        <w:rPr>
          <w:i/>
          <w:spacing w:val="-8"/>
          <w:sz w:val="20"/>
        </w:rPr>
        <w:t> </w:t>
      </w:r>
      <w:r>
        <w:rPr>
          <w:i/>
          <w:sz w:val="20"/>
        </w:rPr>
        <w:t>Republic</w:t>
      </w:r>
      <w:r>
        <w:rPr>
          <w:i/>
          <w:spacing w:val="-4"/>
          <w:sz w:val="20"/>
        </w:rPr>
        <w:t> </w:t>
      </w:r>
      <w:r>
        <w:rPr>
          <w:i/>
          <w:sz w:val="20"/>
        </w:rPr>
        <w:t>of</w:t>
      </w:r>
      <w:r>
        <w:rPr>
          <w:i/>
          <w:spacing w:val="-3"/>
          <w:sz w:val="20"/>
        </w:rPr>
        <w:t> </w:t>
      </w:r>
      <w:r>
        <w:rPr>
          <w:i/>
          <w:sz w:val="20"/>
        </w:rPr>
        <w:t>the</w:t>
      </w:r>
      <w:r>
        <w:rPr>
          <w:i/>
          <w:spacing w:val="-3"/>
          <w:sz w:val="20"/>
        </w:rPr>
        <w:t> </w:t>
      </w:r>
      <w:r>
        <w:rPr>
          <w:i/>
          <w:spacing w:val="-2"/>
          <w:sz w:val="20"/>
        </w:rPr>
        <w:t>Philippines</w:t>
      </w:r>
    </w:p>
    <w:p>
      <w:pPr>
        <w:pStyle w:val="BodyText"/>
        <w:spacing w:before="10"/>
        <w:rPr>
          <w:i/>
        </w:rPr>
      </w:pPr>
    </w:p>
    <w:p>
      <w:pPr>
        <w:pStyle w:val="ListParagraph"/>
        <w:numPr>
          <w:ilvl w:val="0"/>
          <w:numId w:val="4"/>
        </w:numPr>
        <w:tabs>
          <w:tab w:pos="2967" w:val="left" w:leader="none"/>
        </w:tabs>
        <w:spacing w:line="240" w:lineRule="auto" w:before="0" w:after="0"/>
        <w:ind w:left="2246" w:right="2242" w:firstLine="0"/>
        <w:jc w:val="both"/>
        <w:rPr>
          <w:sz w:val="20"/>
        </w:rPr>
      </w:pPr>
      <w:r>
        <w:rPr>
          <w:sz w:val="20"/>
        </w:rPr>
        <w:t>On</w:t>
      </w:r>
      <w:r>
        <w:rPr>
          <w:spacing w:val="-13"/>
          <w:sz w:val="20"/>
        </w:rPr>
        <w:t> </w:t>
      </w:r>
      <w:r>
        <w:rPr>
          <w:sz w:val="20"/>
        </w:rPr>
        <w:t>15</w:t>
      </w:r>
      <w:r>
        <w:rPr>
          <w:spacing w:val="-12"/>
          <w:sz w:val="20"/>
        </w:rPr>
        <w:t> </w:t>
      </w:r>
      <w:r>
        <w:rPr>
          <w:sz w:val="20"/>
        </w:rPr>
        <w:t>September</w:t>
      </w:r>
      <w:r>
        <w:rPr>
          <w:spacing w:val="-13"/>
          <w:sz w:val="20"/>
        </w:rPr>
        <w:t> </w:t>
      </w:r>
      <w:r>
        <w:rPr>
          <w:sz w:val="20"/>
        </w:rPr>
        <w:t>2021,</w:t>
      </w:r>
      <w:r>
        <w:rPr>
          <w:spacing w:val="-12"/>
          <w:sz w:val="20"/>
        </w:rPr>
        <w:t> </w:t>
      </w:r>
      <w:r>
        <w:rPr>
          <w:sz w:val="20"/>
        </w:rPr>
        <w:t>Pre-Trial</w:t>
      </w:r>
      <w:r>
        <w:rPr>
          <w:spacing w:val="-13"/>
          <w:sz w:val="20"/>
        </w:rPr>
        <w:t> </w:t>
      </w:r>
      <w:r>
        <w:rPr>
          <w:sz w:val="20"/>
        </w:rPr>
        <w:t>Chamber</w:t>
      </w:r>
      <w:r>
        <w:rPr>
          <w:spacing w:val="-12"/>
          <w:sz w:val="20"/>
        </w:rPr>
        <w:t> </w:t>
      </w:r>
      <w:r>
        <w:rPr>
          <w:sz w:val="20"/>
        </w:rPr>
        <w:t>I</w:t>
      </w:r>
      <w:r>
        <w:rPr>
          <w:spacing w:val="-13"/>
          <w:sz w:val="20"/>
        </w:rPr>
        <w:t> </w:t>
      </w:r>
      <w:r>
        <w:rPr>
          <w:sz w:val="20"/>
        </w:rPr>
        <w:t>authorized</w:t>
      </w:r>
      <w:r>
        <w:rPr>
          <w:spacing w:val="-12"/>
          <w:sz w:val="20"/>
        </w:rPr>
        <w:t> </w:t>
      </w:r>
      <w:r>
        <w:rPr>
          <w:sz w:val="20"/>
        </w:rPr>
        <w:t>the</w:t>
      </w:r>
      <w:r>
        <w:rPr>
          <w:spacing w:val="-13"/>
          <w:sz w:val="20"/>
        </w:rPr>
        <w:t> </w:t>
      </w:r>
      <w:r>
        <w:rPr>
          <w:sz w:val="20"/>
        </w:rPr>
        <w:t>Prosecutor</w:t>
      </w:r>
      <w:r>
        <w:rPr>
          <w:spacing w:val="-12"/>
          <w:sz w:val="20"/>
        </w:rPr>
        <w:t> </w:t>
      </w:r>
      <w:r>
        <w:rPr>
          <w:sz w:val="20"/>
        </w:rPr>
        <w:t>to</w:t>
      </w:r>
      <w:r>
        <w:rPr>
          <w:spacing w:val="-13"/>
          <w:sz w:val="20"/>
        </w:rPr>
        <w:t> </w:t>
      </w:r>
      <w:r>
        <w:rPr>
          <w:sz w:val="20"/>
        </w:rPr>
        <w:t>commence an investigation into crimes within the jurisdiction of the Court allegedly committed on the territory</w:t>
      </w:r>
      <w:r>
        <w:rPr>
          <w:spacing w:val="40"/>
          <w:sz w:val="20"/>
        </w:rPr>
        <w:t> </w:t>
      </w:r>
      <w:r>
        <w:rPr>
          <w:sz w:val="20"/>
        </w:rPr>
        <w:t>of</w:t>
      </w:r>
      <w:r>
        <w:rPr>
          <w:spacing w:val="40"/>
          <w:sz w:val="20"/>
        </w:rPr>
        <w:t> </w:t>
      </w:r>
      <w:r>
        <w:rPr>
          <w:sz w:val="20"/>
        </w:rPr>
        <w:t>the</w:t>
      </w:r>
      <w:r>
        <w:rPr>
          <w:spacing w:val="40"/>
          <w:sz w:val="20"/>
        </w:rPr>
        <w:t> </w:t>
      </w:r>
      <w:r>
        <w:rPr>
          <w:sz w:val="20"/>
        </w:rPr>
        <w:t>Republic</w:t>
      </w:r>
      <w:r>
        <w:rPr>
          <w:spacing w:val="40"/>
          <w:sz w:val="20"/>
        </w:rPr>
        <w:t> </w:t>
      </w:r>
      <w:r>
        <w:rPr>
          <w:sz w:val="20"/>
        </w:rPr>
        <w:t>of</w:t>
      </w:r>
      <w:r>
        <w:rPr>
          <w:spacing w:val="39"/>
          <w:sz w:val="20"/>
        </w:rPr>
        <w:t> </w:t>
      </w:r>
      <w:r>
        <w:rPr>
          <w:sz w:val="20"/>
        </w:rPr>
        <w:t>the</w:t>
      </w:r>
      <w:r>
        <w:rPr>
          <w:spacing w:val="40"/>
          <w:sz w:val="20"/>
        </w:rPr>
        <w:t> </w:t>
      </w:r>
      <w:r>
        <w:rPr>
          <w:sz w:val="20"/>
        </w:rPr>
        <w:t>Philippines</w:t>
      </w:r>
      <w:r>
        <w:rPr>
          <w:spacing w:val="40"/>
          <w:sz w:val="20"/>
        </w:rPr>
        <w:t> </w:t>
      </w:r>
      <w:r>
        <w:rPr>
          <w:sz w:val="20"/>
        </w:rPr>
        <w:t>(“Philippines”)</w:t>
      </w:r>
      <w:r>
        <w:rPr>
          <w:spacing w:val="40"/>
          <w:sz w:val="20"/>
        </w:rPr>
        <w:t> </w:t>
      </w:r>
      <w:r>
        <w:rPr>
          <w:sz w:val="20"/>
        </w:rPr>
        <w:t>between</w:t>
      </w:r>
      <w:r>
        <w:rPr>
          <w:spacing w:val="38"/>
          <w:sz w:val="20"/>
        </w:rPr>
        <w:t> </w:t>
      </w:r>
      <w:r>
        <w:rPr>
          <w:sz w:val="20"/>
        </w:rPr>
        <w:t>1</w:t>
      </w:r>
      <w:r>
        <w:rPr>
          <w:spacing w:val="40"/>
          <w:sz w:val="20"/>
        </w:rPr>
        <w:t> </w:t>
      </w:r>
      <w:r>
        <w:rPr>
          <w:sz w:val="20"/>
        </w:rPr>
        <w:t>November</w:t>
      </w:r>
      <w:r>
        <w:rPr>
          <w:spacing w:val="40"/>
          <w:sz w:val="20"/>
        </w:rPr>
        <w:t> </w:t>
      </w:r>
      <w:r>
        <w:rPr>
          <w:sz w:val="20"/>
        </w:rPr>
        <w:t>2011 and 16 March 2019, in the context of the so-called “war on drugs” campaign.</w:t>
      </w:r>
    </w:p>
    <w:p>
      <w:pPr>
        <w:pStyle w:val="ListParagraph"/>
        <w:numPr>
          <w:ilvl w:val="0"/>
          <w:numId w:val="4"/>
        </w:numPr>
        <w:tabs>
          <w:tab w:pos="2967" w:val="left" w:leader="none"/>
        </w:tabs>
        <w:spacing w:line="240" w:lineRule="auto" w:before="118" w:after="0"/>
        <w:ind w:left="2246" w:right="2242" w:firstLine="0"/>
        <w:jc w:val="both"/>
        <w:rPr>
          <w:sz w:val="20"/>
        </w:rPr>
      </w:pPr>
      <w:r>
        <w:rPr>
          <w:sz w:val="20"/>
        </w:rPr>
        <w:t>On</w:t>
      </w:r>
      <w:r>
        <w:rPr>
          <w:spacing w:val="40"/>
          <w:sz w:val="20"/>
        </w:rPr>
        <w:t> </w:t>
      </w:r>
      <w:r>
        <w:rPr>
          <w:sz w:val="20"/>
        </w:rPr>
        <w:t>18</w:t>
      </w:r>
      <w:r>
        <w:rPr>
          <w:spacing w:val="40"/>
          <w:sz w:val="20"/>
        </w:rPr>
        <w:t> </w:t>
      </w:r>
      <w:r>
        <w:rPr>
          <w:sz w:val="20"/>
        </w:rPr>
        <w:t>November</w:t>
      </w:r>
      <w:r>
        <w:rPr>
          <w:spacing w:val="40"/>
          <w:sz w:val="20"/>
        </w:rPr>
        <w:t> </w:t>
      </w:r>
      <w:r>
        <w:rPr>
          <w:sz w:val="20"/>
        </w:rPr>
        <w:t>2021,</w:t>
      </w:r>
      <w:r>
        <w:rPr>
          <w:spacing w:val="40"/>
          <w:sz w:val="20"/>
        </w:rPr>
        <w:t> </w:t>
      </w:r>
      <w:r>
        <w:rPr>
          <w:sz w:val="20"/>
        </w:rPr>
        <w:t>the</w:t>
      </w:r>
      <w:r>
        <w:rPr>
          <w:spacing w:val="40"/>
          <w:sz w:val="20"/>
        </w:rPr>
        <w:t> </w:t>
      </w:r>
      <w:r>
        <w:rPr>
          <w:sz w:val="20"/>
        </w:rPr>
        <w:t>Prosecutor</w:t>
      </w:r>
      <w:r>
        <w:rPr>
          <w:spacing w:val="40"/>
          <w:sz w:val="20"/>
        </w:rPr>
        <w:t> </w:t>
      </w:r>
      <w:r>
        <w:rPr>
          <w:sz w:val="20"/>
        </w:rPr>
        <w:t>informed</w:t>
      </w:r>
      <w:r>
        <w:rPr>
          <w:spacing w:val="40"/>
          <w:sz w:val="20"/>
        </w:rPr>
        <w:t> </w:t>
      </w:r>
      <w:r>
        <w:rPr>
          <w:sz w:val="20"/>
        </w:rPr>
        <w:t>the</w:t>
      </w:r>
      <w:r>
        <w:rPr>
          <w:spacing w:val="40"/>
          <w:sz w:val="20"/>
        </w:rPr>
        <w:t> </w:t>
      </w:r>
      <w:r>
        <w:rPr>
          <w:sz w:val="20"/>
        </w:rPr>
        <w:t>Pre-Trial</w:t>
      </w:r>
      <w:r>
        <w:rPr>
          <w:spacing w:val="40"/>
          <w:sz w:val="20"/>
        </w:rPr>
        <w:t> </w:t>
      </w:r>
      <w:r>
        <w:rPr>
          <w:sz w:val="20"/>
        </w:rPr>
        <w:t>Chamber</w:t>
      </w:r>
      <w:r>
        <w:rPr>
          <w:spacing w:val="40"/>
          <w:sz w:val="20"/>
        </w:rPr>
        <w:t> </w:t>
      </w:r>
      <w:r>
        <w:rPr>
          <w:sz w:val="20"/>
        </w:rPr>
        <w:t>that on 10</w:t>
      </w:r>
      <w:r>
        <w:rPr>
          <w:spacing w:val="-3"/>
          <w:sz w:val="20"/>
        </w:rPr>
        <w:t> </w:t>
      </w:r>
      <w:r>
        <w:rPr>
          <w:sz w:val="20"/>
        </w:rPr>
        <w:t>November 2021, the Philippines had requested that he defer to the Philippines’ “investigations and proceedings” relating to its nationals or others within its jurisdiction “with respect to the alleged crimes against humanity of murder under Article 7(1)(a) of the Statute ‘committed throughout the Philippines between 1 July 2016 and 16 March 2019 in the</w:t>
      </w:r>
      <w:r>
        <w:rPr>
          <w:spacing w:val="40"/>
          <w:sz w:val="20"/>
        </w:rPr>
        <w:t> </w:t>
      </w:r>
      <w:r>
        <w:rPr>
          <w:sz w:val="20"/>
        </w:rPr>
        <w:t>context</w:t>
      </w:r>
      <w:r>
        <w:rPr>
          <w:spacing w:val="40"/>
          <w:sz w:val="20"/>
        </w:rPr>
        <w:t> </w:t>
      </w:r>
      <w:r>
        <w:rPr>
          <w:sz w:val="20"/>
        </w:rPr>
        <w:t>of the</w:t>
      </w:r>
      <w:r>
        <w:rPr>
          <w:spacing w:val="40"/>
          <w:sz w:val="20"/>
        </w:rPr>
        <w:t> </w:t>
      </w:r>
      <w:r>
        <w:rPr>
          <w:sz w:val="20"/>
        </w:rPr>
        <w:t>so-called</w:t>
      </w:r>
      <w:r>
        <w:rPr>
          <w:spacing w:val="40"/>
          <w:sz w:val="20"/>
        </w:rPr>
        <w:t> </w:t>
      </w:r>
      <w:r>
        <w:rPr>
          <w:sz w:val="20"/>
        </w:rPr>
        <w:t>“war</w:t>
      </w:r>
      <w:r>
        <w:rPr>
          <w:spacing w:val="40"/>
          <w:sz w:val="20"/>
        </w:rPr>
        <w:t> </w:t>
      </w:r>
      <w:r>
        <w:rPr>
          <w:sz w:val="20"/>
        </w:rPr>
        <w:t>on</w:t>
      </w:r>
      <w:r>
        <w:rPr>
          <w:spacing w:val="40"/>
          <w:sz w:val="20"/>
        </w:rPr>
        <w:t> </w:t>
      </w:r>
      <w:r>
        <w:rPr>
          <w:sz w:val="20"/>
        </w:rPr>
        <w:t>drugs”</w:t>
      </w:r>
      <w:r>
        <w:rPr>
          <w:spacing w:val="40"/>
          <w:sz w:val="20"/>
        </w:rPr>
        <w:t> </w:t>
      </w:r>
      <w:r>
        <w:rPr>
          <w:sz w:val="20"/>
        </w:rPr>
        <w:t>campaign,</w:t>
      </w:r>
      <w:r>
        <w:rPr>
          <w:spacing w:val="40"/>
          <w:sz w:val="20"/>
        </w:rPr>
        <w:t> </w:t>
      </w:r>
      <w:r>
        <w:rPr>
          <w:sz w:val="20"/>
        </w:rPr>
        <w:t>as</w:t>
      </w:r>
      <w:r>
        <w:rPr>
          <w:spacing w:val="40"/>
          <w:sz w:val="20"/>
        </w:rPr>
        <w:t> </w:t>
      </w:r>
      <w:r>
        <w:rPr>
          <w:sz w:val="20"/>
        </w:rPr>
        <w:t>well as</w:t>
      </w:r>
      <w:r>
        <w:rPr>
          <w:spacing w:val="40"/>
          <w:sz w:val="20"/>
        </w:rPr>
        <w:t> </w:t>
      </w:r>
      <w:r>
        <w:rPr>
          <w:sz w:val="20"/>
        </w:rPr>
        <w:t>in</w:t>
      </w:r>
      <w:r>
        <w:rPr>
          <w:spacing w:val="40"/>
          <w:sz w:val="20"/>
        </w:rPr>
        <w:t> </w:t>
      </w:r>
      <w:r>
        <w:rPr>
          <w:sz w:val="20"/>
        </w:rPr>
        <w:t>the</w:t>
      </w:r>
      <w:r>
        <w:rPr>
          <w:spacing w:val="40"/>
          <w:sz w:val="20"/>
        </w:rPr>
        <w:t> </w:t>
      </w:r>
      <w:r>
        <w:rPr>
          <w:sz w:val="20"/>
        </w:rPr>
        <w:t>Davao</w:t>
      </w:r>
      <w:r>
        <w:rPr>
          <w:spacing w:val="40"/>
          <w:sz w:val="20"/>
        </w:rPr>
        <w:t> </w:t>
      </w:r>
      <w:r>
        <w:rPr>
          <w:sz w:val="20"/>
        </w:rPr>
        <w:t>area between 1 November 2011 and 30 June 2016’”.</w:t>
      </w:r>
    </w:p>
    <w:p>
      <w:pPr>
        <w:pStyle w:val="ListParagraph"/>
        <w:numPr>
          <w:ilvl w:val="0"/>
          <w:numId w:val="4"/>
        </w:numPr>
        <w:tabs>
          <w:tab w:pos="2967" w:val="left" w:leader="none"/>
        </w:tabs>
        <w:spacing w:line="237" w:lineRule="auto" w:before="125" w:after="0"/>
        <w:ind w:left="2246" w:right="2241" w:firstLine="0"/>
        <w:jc w:val="both"/>
        <w:rPr>
          <w:sz w:val="20"/>
        </w:rPr>
      </w:pPr>
      <w:r>
        <w:rPr>
          <w:sz w:val="20"/>
        </w:rPr>
        <w:t>On 24 June 2022, the Prosecutor filed </w:t>
      </w:r>
      <w:hyperlink r:id="rId16">
        <w:r>
          <w:rPr>
            <w:sz w:val="20"/>
          </w:rPr>
          <w:t>an application</w:t>
        </w:r>
      </w:hyperlink>
      <w:r>
        <w:rPr>
          <w:sz w:val="20"/>
        </w:rPr>
        <w:t> before Pre-Trial Chamber I seeking authorization for the OTP to resume its investigation in the situation in the Philippines. The conclusion of this process and the outcome of any related judicial proceedings will inform the activities of the OTP in relation to this situation in 2023.</w:t>
      </w:r>
    </w:p>
    <w:p>
      <w:pPr>
        <w:spacing w:after="0" w:line="237" w:lineRule="auto"/>
        <w:jc w:val="both"/>
        <w:rPr>
          <w:sz w:val="20"/>
        </w:rPr>
        <w:sectPr>
          <w:pgSz w:w="11910" w:h="16840"/>
          <w:pgMar w:header="953" w:footer="940" w:top="1140" w:bottom="1140" w:left="20" w:right="20"/>
        </w:sectPr>
      </w:pPr>
    </w:p>
    <w:p>
      <w:pPr>
        <w:spacing w:before="120"/>
        <w:ind w:left="2246" w:right="0" w:firstLine="0"/>
        <w:jc w:val="left"/>
        <w:rPr>
          <w:i/>
          <w:sz w:val="20"/>
        </w:rPr>
      </w:pPr>
      <w:r>
        <w:rPr>
          <w:i/>
          <w:sz w:val="20"/>
        </w:rPr>
        <w:t>Situation</w:t>
      </w:r>
      <w:r>
        <w:rPr>
          <w:i/>
          <w:spacing w:val="-5"/>
          <w:sz w:val="20"/>
        </w:rPr>
        <w:t> </w:t>
      </w:r>
      <w:r>
        <w:rPr>
          <w:i/>
          <w:sz w:val="20"/>
        </w:rPr>
        <w:t>in</w:t>
      </w:r>
      <w:r>
        <w:rPr>
          <w:i/>
          <w:spacing w:val="-5"/>
          <w:sz w:val="20"/>
        </w:rPr>
        <w:t> </w:t>
      </w:r>
      <w:r>
        <w:rPr>
          <w:i/>
          <w:sz w:val="20"/>
        </w:rPr>
        <w:t>the</w:t>
      </w:r>
      <w:r>
        <w:rPr>
          <w:i/>
          <w:spacing w:val="-6"/>
          <w:sz w:val="20"/>
        </w:rPr>
        <w:t> </w:t>
      </w:r>
      <w:r>
        <w:rPr>
          <w:i/>
          <w:sz w:val="20"/>
        </w:rPr>
        <w:t>Republic</w:t>
      </w:r>
      <w:r>
        <w:rPr>
          <w:i/>
          <w:spacing w:val="-3"/>
          <w:sz w:val="20"/>
        </w:rPr>
        <w:t> </w:t>
      </w:r>
      <w:r>
        <w:rPr>
          <w:i/>
          <w:sz w:val="20"/>
        </w:rPr>
        <w:t>of</w:t>
      </w:r>
      <w:r>
        <w:rPr>
          <w:i/>
          <w:spacing w:val="-3"/>
          <w:sz w:val="20"/>
        </w:rPr>
        <w:t> </w:t>
      </w:r>
      <w:r>
        <w:rPr>
          <w:i/>
          <w:spacing w:val="-2"/>
          <w:sz w:val="20"/>
        </w:rPr>
        <w:t>Uganda</w:t>
      </w:r>
    </w:p>
    <w:p>
      <w:pPr>
        <w:pStyle w:val="BodyText"/>
        <w:spacing w:before="10"/>
        <w:rPr>
          <w:i/>
        </w:rPr>
      </w:pPr>
    </w:p>
    <w:p>
      <w:pPr>
        <w:pStyle w:val="ListParagraph"/>
        <w:numPr>
          <w:ilvl w:val="0"/>
          <w:numId w:val="4"/>
        </w:numPr>
        <w:tabs>
          <w:tab w:pos="2967" w:val="left" w:leader="none"/>
        </w:tabs>
        <w:spacing w:line="240" w:lineRule="auto" w:before="1" w:after="0"/>
        <w:ind w:left="2246" w:right="2244" w:firstLine="0"/>
        <w:jc w:val="both"/>
        <w:rPr>
          <w:sz w:val="20"/>
        </w:rPr>
      </w:pPr>
      <w:r>
        <w:rPr>
          <w:sz w:val="20"/>
        </w:rPr>
        <w:t>On 16 December 2003, the Government of Uganda referred to the Court the situation</w:t>
      </w:r>
      <w:r>
        <w:rPr>
          <w:spacing w:val="-5"/>
          <w:sz w:val="20"/>
        </w:rPr>
        <w:t> </w:t>
      </w:r>
      <w:r>
        <w:rPr>
          <w:sz w:val="20"/>
        </w:rPr>
        <w:t>prevailing</w:t>
      </w:r>
      <w:r>
        <w:rPr>
          <w:spacing w:val="-9"/>
          <w:sz w:val="20"/>
        </w:rPr>
        <w:t> </w:t>
      </w:r>
      <w:r>
        <w:rPr>
          <w:sz w:val="20"/>
        </w:rPr>
        <w:t>on</w:t>
      </w:r>
      <w:r>
        <w:rPr>
          <w:spacing w:val="-8"/>
          <w:sz w:val="20"/>
        </w:rPr>
        <w:t> </w:t>
      </w:r>
      <w:r>
        <w:rPr>
          <w:sz w:val="20"/>
        </w:rPr>
        <w:t>its</w:t>
      </w:r>
      <w:r>
        <w:rPr>
          <w:spacing w:val="-11"/>
          <w:sz w:val="20"/>
        </w:rPr>
        <w:t> </w:t>
      </w:r>
      <w:r>
        <w:rPr>
          <w:sz w:val="20"/>
        </w:rPr>
        <w:t>territory</w:t>
      </w:r>
      <w:r>
        <w:rPr>
          <w:spacing w:val="-9"/>
          <w:sz w:val="20"/>
        </w:rPr>
        <w:t> </w:t>
      </w:r>
      <w:r>
        <w:rPr>
          <w:sz w:val="20"/>
        </w:rPr>
        <w:t>since</w:t>
      </w:r>
      <w:r>
        <w:rPr>
          <w:spacing w:val="-8"/>
          <w:sz w:val="20"/>
        </w:rPr>
        <w:t> </w:t>
      </w:r>
      <w:r>
        <w:rPr>
          <w:sz w:val="20"/>
        </w:rPr>
        <w:t>1</w:t>
      </w:r>
      <w:r>
        <w:rPr>
          <w:spacing w:val="-9"/>
          <w:sz w:val="20"/>
        </w:rPr>
        <w:t> </w:t>
      </w:r>
      <w:r>
        <w:rPr>
          <w:sz w:val="20"/>
        </w:rPr>
        <w:t>July</w:t>
      </w:r>
      <w:r>
        <w:rPr>
          <w:spacing w:val="-5"/>
          <w:sz w:val="20"/>
        </w:rPr>
        <w:t> </w:t>
      </w:r>
      <w:r>
        <w:rPr>
          <w:sz w:val="20"/>
        </w:rPr>
        <w:t>2002</w:t>
      </w:r>
      <w:r>
        <w:rPr>
          <w:spacing w:val="-9"/>
          <w:sz w:val="20"/>
        </w:rPr>
        <w:t> </w:t>
      </w:r>
      <w:r>
        <w:rPr>
          <w:sz w:val="20"/>
        </w:rPr>
        <w:t>concerning</w:t>
      </w:r>
      <w:r>
        <w:rPr>
          <w:spacing w:val="-5"/>
          <w:sz w:val="20"/>
        </w:rPr>
        <w:t> </w:t>
      </w:r>
      <w:r>
        <w:rPr>
          <w:sz w:val="20"/>
        </w:rPr>
        <w:t>the</w:t>
      </w:r>
      <w:r>
        <w:rPr>
          <w:spacing w:val="-8"/>
          <w:sz w:val="20"/>
        </w:rPr>
        <w:t> </w:t>
      </w:r>
      <w:r>
        <w:rPr>
          <w:sz w:val="20"/>
        </w:rPr>
        <w:t>Lord’s</w:t>
      </w:r>
      <w:r>
        <w:rPr>
          <w:spacing w:val="-6"/>
          <w:sz w:val="20"/>
        </w:rPr>
        <w:t> </w:t>
      </w:r>
      <w:r>
        <w:rPr>
          <w:sz w:val="20"/>
        </w:rPr>
        <w:t>Resistance</w:t>
      </w:r>
      <w:r>
        <w:rPr>
          <w:spacing w:val="-3"/>
          <w:sz w:val="20"/>
        </w:rPr>
        <w:t> </w:t>
      </w:r>
      <w:r>
        <w:rPr>
          <w:sz w:val="20"/>
        </w:rPr>
        <w:t>Army </w:t>
      </w:r>
      <w:r>
        <w:rPr>
          <w:spacing w:val="-2"/>
          <w:sz w:val="20"/>
        </w:rPr>
        <w:t>(LRA).</w:t>
      </w:r>
    </w:p>
    <w:p>
      <w:pPr>
        <w:pStyle w:val="ListParagraph"/>
        <w:numPr>
          <w:ilvl w:val="0"/>
          <w:numId w:val="4"/>
        </w:numPr>
        <w:tabs>
          <w:tab w:pos="2967" w:val="left" w:leader="none"/>
        </w:tabs>
        <w:spacing w:line="240" w:lineRule="auto" w:before="121" w:after="0"/>
        <w:ind w:left="2246" w:right="2243" w:firstLine="0"/>
        <w:jc w:val="both"/>
        <w:rPr>
          <w:sz w:val="20"/>
        </w:rPr>
      </w:pPr>
      <w:r>
        <w:rPr>
          <w:sz w:val="20"/>
        </w:rPr>
        <w:t>On 29 July 2004, the OTP opened an extended investigation into the situation concerning Northern Uganda, with a focus on alleged war crimes and crimes against humanity, irrespective of the perpetrator. On 8 July 2005, Pre-Trial Chamber II issued warrants</w:t>
      </w:r>
      <w:r>
        <w:rPr>
          <w:spacing w:val="-1"/>
          <w:sz w:val="20"/>
        </w:rPr>
        <w:t> </w:t>
      </w:r>
      <w:r>
        <w:rPr>
          <w:sz w:val="20"/>
        </w:rPr>
        <w:t>of</w:t>
      </w:r>
      <w:r>
        <w:rPr>
          <w:spacing w:val="-5"/>
          <w:sz w:val="20"/>
        </w:rPr>
        <w:t> </w:t>
      </w:r>
      <w:r>
        <w:rPr>
          <w:sz w:val="20"/>
        </w:rPr>
        <w:t>arrest under seal for</w:t>
      </w:r>
      <w:r>
        <w:rPr>
          <w:spacing w:val="-5"/>
          <w:sz w:val="20"/>
        </w:rPr>
        <w:t> </w:t>
      </w:r>
      <w:r>
        <w:rPr>
          <w:sz w:val="20"/>
        </w:rPr>
        <w:t>top</w:t>
      </w:r>
      <w:r>
        <w:rPr>
          <w:spacing w:val="-5"/>
          <w:sz w:val="20"/>
        </w:rPr>
        <w:t> </w:t>
      </w:r>
      <w:r>
        <w:rPr>
          <w:sz w:val="20"/>
        </w:rPr>
        <w:t>LRA</w:t>
      </w:r>
      <w:r>
        <w:rPr>
          <w:spacing w:val="-6"/>
          <w:sz w:val="20"/>
        </w:rPr>
        <w:t> </w:t>
      </w:r>
      <w:r>
        <w:rPr>
          <w:sz w:val="20"/>
        </w:rPr>
        <w:t>commanders,</w:t>
      </w:r>
      <w:r>
        <w:rPr>
          <w:spacing w:val="-2"/>
          <w:sz w:val="20"/>
        </w:rPr>
        <w:t> </w:t>
      </w:r>
      <w:r>
        <w:rPr>
          <w:sz w:val="20"/>
        </w:rPr>
        <w:t>namely,</w:t>
      </w:r>
      <w:r>
        <w:rPr>
          <w:spacing w:val="-2"/>
          <w:sz w:val="20"/>
        </w:rPr>
        <w:t> </w:t>
      </w:r>
      <w:r>
        <w:rPr>
          <w:sz w:val="20"/>
        </w:rPr>
        <w:t>Joseph Kony, Vincent Otti, Raska Lukwiya, Okot Odhiambo and Dominic Ongwen, on charges of crimes against humanity</w:t>
      </w:r>
      <w:r>
        <w:rPr>
          <w:spacing w:val="-5"/>
          <w:sz w:val="20"/>
        </w:rPr>
        <w:t> </w:t>
      </w:r>
      <w:r>
        <w:rPr>
          <w:sz w:val="20"/>
        </w:rPr>
        <w:t>and</w:t>
      </w:r>
      <w:r>
        <w:rPr>
          <w:spacing w:val="-5"/>
          <w:sz w:val="20"/>
        </w:rPr>
        <w:t> </w:t>
      </w:r>
      <w:r>
        <w:rPr>
          <w:sz w:val="20"/>
        </w:rPr>
        <w:t>war</w:t>
      </w:r>
      <w:r>
        <w:rPr>
          <w:spacing w:val="-9"/>
          <w:sz w:val="20"/>
        </w:rPr>
        <w:t> </w:t>
      </w:r>
      <w:r>
        <w:rPr>
          <w:sz w:val="20"/>
        </w:rPr>
        <w:t>crimes.</w:t>
      </w:r>
      <w:r>
        <w:rPr>
          <w:spacing w:val="-7"/>
          <w:sz w:val="20"/>
        </w:rPr>
        <w:t> </w:t>
      </w:r>
      <w:r>
        <w:rPr>
          <w:sz w:val="20"/>
        </w:rPr>
        <w:t>The</w:t>
      </w:r>
      <w:r>
        <w:rPr>
          <w:spacing w:val="-8"/>
          <w:sz w:val="20"/>
        </w:rPr>
        <w:t> </w:t>
      </w:r>
      <w:r>
        <w:rPr>
          <w:sz w:val="20"/>
        </w:rPr>
        <w:t>Chamber</w:t>
      </w:r>
      <w:r>
        <w:rPr>
          <w:spacing w:val="-1"/>
          <w:sz w:val="20"/>
        </w:rPr>
        <w:t> </w:t>
      </w:r>
      <w:r>
        <w:rPr>
          <w:sz w:val="20"/>
        </w:rPr>
        <w:t>terminated</w:t>
      </w:r>
      <w:r>
        <w:rPr>
          <w:spacing w:val="-5"/>
          <w:sz w:val="20"/>
        </w:rPr>
        <w:t> </w:t>
      </w:r>
      <w:r>
        <w:rPr>
          <w:sz w:val="20"/>
        </w:rPr>
        <w:t>proceedings</w:t>
      </w:r>
      <w:r>
        <w:rPr>
          <w:spacing w:val="-6"/>
          <w:sz w:val="20"/>
        </w:rPr>
        <w:t> </w:t>
      </w:r>
      <w:r>
        <w:rPr>
          <w:sz w:val="20"/>
        </w:rPr>
        <w:t>against</w:t>
      </w:r>
      <w:r>
        <w:rPr>
          <w:spacing w:val="-8"/>
          <w:sz w:val="20"/>
        </w:rPr>
        <w:t> </w:t>
      </w:r>
      <w:r>
        <w:rPr>
          <w:sz w:val="20"/>
        </w:rPr>
        <w:t>Raska</w:t>
      </w:r>
      <w:r>
        <w:rPr>
          <w:spacing w:val="-3"/>
          <w:sz w:val="20"/>
        </w:rPr>
        <w:t> </w:t>
      </w:r>
      <w:r>
        <w:rPr>
          <w:sz w:val="20"/>
        </w:rPr>
        <w:t>Lukwiya</w:t>
      </w:r>
      <w:r>
        <w:rPr>
          <w:spacing w:val="-3"/>
          <w:sz w:val="20"/>
        </w:rPr>
        <w:t> </w:t>
      </w:r>
      <w:r>
        <w:rPr>
          <w:sz w:val="20"/>
        </w:rPr>
        <w:t>and Okot Odhiambo following their deaths. The warrants of arrest for Mr Kony and Mr Otti remain unexecuted.</w:t>
      </w:r>
    </w:p>
    <w:p>
      <w:pPr>
        <w:pStyle w:val="ListParagraph"/>
        <w:numPr>
          <w:ilvl w:val="0"/>
          <w:numId w:val="4"/>
        </w:numPr>
        <w:tabs>
          <w:tab w:pos="2967" w:val="left" w:leader="none"/>
        </w:tabs>
        <w:spacing w:line="240" w:lineRule="auto" w:before="119" w:after="0"/>
        <w:ind w:left="2246" w:right="2241" w:firstLine="0"/>
        <w:jc w:val="both"/>
        <w:rPr>
          <w:sz w:val="20"/>
        </w:rPr>
      </w:pPr>
      <w:r>
        <w:rPr>
          <w:sz w:val="20"/>
        </w:rPr>
        <w:t>On 6 May 2021, Trial Chamber IX sentenced Mr Ongwen to 25 years of imprisonment,</w:t>
      </w:r>
      <w:r>
        <w:rPr>
          <w:spacing w:val="-6"/>
          <w:sz w:val="20"/>
        </w:rPr>
        <w:t> </w:t>
      </w:r>
      <w:r>
        <w:rPr>
          <w:sz w:val="20"/>
        </w:rPr>
        <w:t>following</w:t>
      </w:r>
      <w:r>
        <w:rPr>
          <w:spacing w:val="-8"/>
          <w:sz w:val="20"/>
        </w:rPr>
        <w:t> </w:t>
      </w:r>
      <w:r>
        <w:rPr>
          <w:sz w:val="20"/>
        </w:rPr>
        <w:t>the</w:t>
      </w:r>
      <w:r>
        <w:rPr>
          <w:spacing w:val="-7"/>
          <w:sz w:val="20"/>
        </w:rPr>
        <w:t> </w:t>
      </w:r>
      <w:r>
        <w:rPr>
          <w:sz w:val="20"/>
        </w:rPr>
        <w:t>trial</w:t>
      </w:r>
      <w:r>
        <w:rPr>
          <w:spacing w:val="-7"/>
          <w:sz w:val="20"/>
        </w:rPr>
        <w:t> </w:t>
      </w:r>
      <w:r>
        <w:rPr>
          <w:sz w:val="20"/>
        </w:rPr>
        <w:t>judgment</w:t>
      </w:r>
      <w:r>
        <w:rPr>
          <w:spacing w:val="-7"/>
          <w:sz w:val="20"/>
        </w:rPr>
        <w:t> </w:t>
      </w:r>
      <w:r>
        <w:rPr>
          <w:sz w:val="20"/>
        </w:rPr>
        <w:t>in</w:t>
      </w:r>
      <w:r>
        <w:rPr>
          <w:spacing w:val="-8"/>
          <w:sz w:val="20"/>
        </w:rPr>
        <w:t> </w:t>
      </w:r>
      <w:r>
        <w:rPr>
          <w:sz w:val="20"/>
        </w:rPr>
        <w:t>which</w:t>
      </w:r>
      <w:r>
        <w:rPr>
          <w:spacing w:val="-8"/>
          <w:sz w:val="20"/>
        </w:rPr>
        <w:t> </w:t>
      </w:r>
      <w:r>
        <w:rPr>
          <w:sz w:val="20"/>
        </w:rPr>
        <w:t>the</w:t>
      </w:r>
      <w:r>
        <w:rPr>
          <w:spacing w:val="-7"/>
          <w:sz w:val="20"/>
        </w:rPr>
        <w:t> </w:t>
      </w:r>
      <w:r>
        <w:rPr>
          <w:sz w:val="20"/>
        </w:rPr>
        <w:t>Chamber</w:t>
      </w:r>
      <w:r>
        <w:rPr>
          <w:spacing w:val="-8"/>
          <w:sz w:val="20"/>
        </w:rPr>
        <w:t> </w:t>
      </w:r>
      <w:r>
        <w:rPr>
          <w:sz w:val="20"/>
        </w:rPr>
        <w:t>found</w:t>
      </w:r>
      <w:r>
        <w:rPr>
          <w:spacing w:val="-8"/>
          <w:sz w:val="20"/>
        </w:rPr>
        <w:t> </w:t>
      </w:r>
      <w:r>
        <w:rPr>
          <w:sz w:val="20"/>
        </w:rPr>
        <w:t>him</w:t>
      </w:r>
      <w:r>
        <w:rPr>
          <w:spacing w:val="-2"/>
          <w:sz w:val="20"/>
        </w:rPr>
        <w:t> </w:t>
      </w:r>
      <w:r>
        <w:rPr>
          <w:sz w:val="20"/>
        </w:rPr>
        <w:t>guilty</w:t>
      </w:r>
      <w:r>
        <w:rPr>
          <w:spacing w:val="-8"/>
          <w:sz w:val="20"/>
        </w:rPr>
        <w:t> </w:t>
      </w:r>
      <w:r>
        <w:rPr>
          <w:sz w:val="20"/>
        </w:rPr>
        <w:t>of</w:t>
      </w:r>
      <w:r>
        <w:rPr>
          <w:spacing w:val="-8"/>
          <w:sz w:val="20"/>
        </w:rPr>
        <w:t> </w:t>
      </w:r>
      <w:r>
        <w:rPr>
          <w:sz w:val="20"/>
        </w:rPr>
        <w:t>a</w:t>
      </w:r>
      <w:r>
        <w:rPr>
          <w:spacing w:val="-7"/>
          <w:sz w:val="20"/>
        </w:rPr>
        <w:t> </w:t>
      </w:r>
      <w:r>
        <w:rPr>
          <w:sz w:val="20"/>
        </w:rPr>
        <w:t>total of</w:t>
      </w:r>
      <w:r>
        <w:rPr>
          <w:spacing w:val="-5"/>
          <w:sz w:val="20"/>
        </w:rPr>
        <w:t> </w:t>
      </w:r>
      <w:r>
        <w:rPr>
          <w:sz w:val="20"/>
        </w:rPr>
        <w:t>61</w:t>
      </w:r>
      <w:r>
        <w:rPr>
          <w:spacing w:val="-9"/>
          <w:sz w:val="20"/>
        </w:rPr>
        <w:t> </w:t>
      </w:r>
      <w:r>
        <w:rPr>
          <w:sz w:val="20"/>
        </w:rPr>
        <w:t>crimes.</w:t>
      </w:r>
      <w:r>
        <w:rPr>
          <w:spacing w:val="-7"/>
          <w:sz w:val="20"/>
        </w:rPr>
        <w:t> </w:t>
      </w:r>
      <w:r>
        <w:rPr>
          <w:sz w:val="20"/>
        </w:rPr>
        <w:t>Appellate</w:t>
      </w:r>
      <w:r>
        <w:rPr>
          <w:spacing w:val="-8"/>
          <w:sz w:val="20"/>
        </w:rPr>
        <w:t> </w:t>
      </w:r>
      <w:r>
        <w:rPr>
          <w:sz w:val="20"/>
        </w:rPr>
        <w:t>and</w:t>
      </w:r>
      <w:r>
        <w:rPr>
          <w:spacing w:val="-5"/>
          <w:sz w:val="20"/>
        </w:rPr>
        <w:t> </w:t>
      </w:r>
      <w:r>
        <w:rPr>
          <w:sz w:val="20"/>
        </w:rPr>
        <w:t>reparations</w:t>
      </w:r>
      <w:r>
        <w:rPr>
          <w:spacing w:val="-11"/>
          <w:sz w:val="20"/>
        </w:rPr>
        <w:t> </w:t>
      </w:r>
      <w:r>
        <w:rPr>
          <w:sz w:val="20"/>
        </w:rPr>
        <w:t>proceedings</w:t>
      </w:r>
      <w:r>
        <w:rPr>
          <w:spacing w:val="-11"/>
          <w:sz w:val="20"/>
        </w:rPr>
        <w:t> </w:t>
      </w:r>
      <w:r>
        <w:rPr>
          <w:sz w:val="20"/>
        </w:rPr>
        <w:t>may</w:t>
      </w:r>
      <w:r>
        <w:rPr>
          <w:spacing w:val="-9"/>
          <w:sz w:val="20"/>
        </w:rPr>
        <w:t> </w:t>
      </w:r>
      <w:r>
        <w:rPr>
          <w:sz w:val="20"/>
        </w:rPr>
        <w:t>continue</w:t>
      </w:r>
      <w:r>
        <w:rPr>
          <w:spacing w:val="-8"/>
          <w:sz w:val="20"/>
        </w:rPr>
        <w:t> </w:t>
      </w:r>
      <w:r>
        <w:rPr>
          <w:sz w:val="20"/>
        </w:rPr>
        <w:t>into</w:t>
      </w:r>
      <w:r>
        <w:rPr>
          <w:spacing w:val="-5"/>
          <w:sz w:val="20"/>
        </w:rPr>
        <w:t> </w:t>
      </w:r>
      <w:r>
        <w:rPr>
          <w:sz w:val="20"/>
        </w:rPr>
        <w:t>2023,</w:t>
      </w:r>
      <w:r>
        <w:rPr>
          <w:spacing w:val="-12"/>
          <w:sz w:val="20"/>
        </w:rPr>
        <w:t> </w:t>
      </w:r>
      <w:r>
        <w:rPr>
          <w:sz w:val="20"/>
        </w:rPr>
        <w:t>likely</w:t>
      </w:r>
      <w:r>
        <w:rPr>
          <w:spacing w:val="-9"/>
          <w:sz w:val="20"/>
        </w:rPr>
        <w:t> </w:t>
      </w:r>
      <w:r>
        <w:rPr>
          <w:sz w:val="20"/>
        </w:rPr>
        <w:t>followed by the implementation of reparations activities by the TFV.</w:t>
      </w:r>
    </w:p>
    <w:p>
      <w:pPr>
        <w:pStyle w:val="ListParagraph"/>
        <w:numPr>
          <w:ilvl w:val="0"/>
          <w:numId w:val="4"/>
        </w:numPr>
        <w:tabs>
          <w:tab w:pos="2967" w:val="left" w:leader="none"/>
        </w:tabs>
        <w:spacing w:line="240" w:lineRule="auto" w:before="122" w:after="0"/>
        <w:ind w:left="2246" w:right="2246" w:firstLine="0"/>
        <w:jc w:val="both"/>
        <w:rPr>
          <w:sz w:val="20"/>
        </w:rPr>
      </w:pPr>
      <w:r>
        <w:rPr>
          <w:sz w:val="20"/>
        </w:rPr>
        <w:t>In 2023, the OTP will</w:t>
      </w:r>
      <w:r>
        <w:rPr>
          <w:spacing w:val="-2"/>
          <w:sz w:val="20"/>
        </w:rPr>
        <w:t> </w:t>
      </w:r>
      <w:r>
        <w:rPr>
          <w:sz w:val="20"/>
        </w:rPr>
        <w:t>prioritize actions aimed at facilitating</w:t>
      </w:r>
      <w:r>
        <w:rPr>
          <w:spacing w:val="-4"/>
          <w:sz w:val="20"/>
        </w:rPr>
        <w:t> </w:t>
      </w:r>
      <w:r>
        <w:rPr>
          <w:sz w:val="20"/>
        </w:rPr>
        <w:t>trials in</w:t>
      </w:r>
      <w:r>
        <w:rPr>
          <w:spacing w:val="-4"/>
          <w:sz w:val="20"/>
        </w:rPr>
        <w:t> </w:t>
      </w:r>
      <w:r>
        <w:rPr>
          <w:sz w:val="20"/>
        </w:rPr>
        <w:t>relation</w:t>
      </w:r>
      <w:r>
        <w:rPr>
          <w:spacing w:val="-4"/>
          <w:sz w:val="20"/>
        </w:rPr>
        <w:t> </w:t>
      </w:r>
      <w:r>
        <w:rPr>
          <w:sz w:val="20"/>
        </w:rPr>
        <w:t>to the individuals subject to outstanding arrest warrants.</w:t>
      </w:r>
    </w:p>
    <w:p>
      <w:pPr>
        <w:pStyle w:val="ListParagraph"/>
        <w:numPr>
          <w:ilvl w:val="0"/>
          <w:numId w:val="4"/>
        </w:numPr>
        <w:tabs>
          <w:tab w:pos="2967" w:val="left" w:leader="none"/>
        </w:tabs>
        <w:spacing w:line="240" w:lineRule="auto" w:before="122" w:after="0"/>
        <w:ind w:left="2246" w:right="2243" w:firstLine="0"/>
        <w:jc w:val="both"/>
        <w:rPr>
          <w:sz w:val="20"/>
        </w:rPr>
      </w:pPr>
      <w:r>
        <w:rPr>
          <w:sz w:val="20"/>
        </w:rPr>
        <w:t>In the context of its assistance mandate, the TFV will continue in 2023 with its rehabilitation programme providing, in particular, remedial surgery and prostheses, as well as psychosocial support and trauma-based counselling to victims in Northern Uganda.</w:t>
      </w:r>
    </w:p>
    <w:p>
      <w:pPr>
        <w:pStyle w:val="BodyText"/>
        <w:spacing w:before="11"/>
      </w:pPr>
    </w:p>
    <w:p>
      <w:pPr>
        <w:spacing w:before="0"/>
        <w:ind w:left="2246" w:right="0" w:firstLine="0"/>
        <w:jc w:val="left"/>
        <w:rPr>
          <w:i/>
          <w:sz w:val="20"/>
        </w:rPr>
      </w:pPr>
      <w:r>
        <w:rPr>
          <w:i/>
          <w:sz w:val="20"/>
        </w:rPr>
        <w:t>Situation</w:t>
      </w:r>
      <w:r>
        <w:rPr>
          <w:i/>
          <w:spacing w:val="-6"/>
          <w:sz w:val="20"/>
        </w:rPr>
        <w:t> </w:t>
      </w:r>
      <w:r>
        <w:rPr>
          <w:i/>
          <w:sz w:val="20"/>
        </w:rPr>
        <w:t>in </w:t>
      </w:r>
      <w:r>
        <w:rPr>
          <w:i/>
          <w:spacing w:val="-2"/>
          <w:sz w:val="20"/>
        </w:rPr>
        <w:t>Ukraine</w:t>
      </w:r>
    </w:p>
    <w:p>
      <w:pPr>
        <w:pStyle w:val="BodyText"/>
        <w:spacing w:before="5"/>
        <w:rPr>
          <w:i/>
        </w:rPr>
      </w:pPr>
    </w:p>
    <w:p>
      <w:pPr>
        <w:pStyle w:val="ListParagraph"/>
        <w:numPr>
          <w:ilvl w:val="0"/>
          <w:numId w:val="4"/>
        </w:numPr>
        <w:tabs>
          <w:tab w:pos="2967" w:val="left" w:leader="none"/>
        </w:tabs>
        <w:spacing w:line="240" w:lineRule="auto" w:before="0" w:after="0"/>
        <w:ind w:left="2246" w:right="2241" w:firstLine="0"/>
        <w:jc w:val="both"/>
        <w:rPr>
          <w:sz w:val="20"/>
        </w:rPr>
      </w:pPr>
      <w:r>
        <w:rPr>
          <w:sz w:val="20"/>
        </w:rPr>
        <w:t>On 28 February 2022, the Prosecutor announced that he would seek authorization to</w:t>
      </w:r>
      <w:r>
        <w:rPr>
          <w:spacing w:val="-5"/>
          <w:sz w:val="20"/>
        </w:rPr>
        <w:t> </w:t>
      </w:r>
      <w:r>
        <w:rPr>
          <w:sz w:val="20"/>
        </w:rPr>
        <w:t>open</w:t>
      </w:r>
      <w:r>
        <w:rPr>
          <w:spacing w:val="-9"/>
          <w:sz w:val="20"/>
        </w:rPr>
        <w:t> </w:t>
      </w:r>
      <w:r>
        <w:rPr>
          <w:sz w:val="20"/>
        </w:rPr>
        <w:t>an</w:t>
      </w:r>
      <w:r>
        <w:rPr>
          <w:spacing w:val="-9"/>
          <w:sz w:val="20"/>
        </w:rPr>
        <w:t> </w:t>
      </w:r>
      <w:r>
        <w:rPr>
          <w:sz w:val="20"/>
        </w:rPr>
        <w:t>investigation</w:t>
      </w:r>
      <w:r>
        <w:rPr>
          <w:spacing w:val="-9"/>
          <w:sz w:val="20"/>
        </w:rPr>
        <w:t> </w:t>
      </w:r>
      <w:r>
        <w:rPr>
          <w:sz w:val="20"/>
        </w:rPr>
        <w:t>into</w:t>
      </w:r>
      <w:r>
        <w:rPr>
          <w:spacing w:val="-9"/>
          <w:sz w:val="20"/>
        </w:rPr>
        <w:t> </w:t>
      </w:r>
      <w:r>
        <w:rPr>
          <w:sz w:val="20"/>
        </w:rPr>
        <w:t>the</w:t>
      </w:r>
      <w:r>
        <w:rPr>
          <w:spacing w:val="-8"/>
          <w:sz w:val="20"/>
        </w:rPr>
        <w:t> </w:t>
      </w:r>
      <w:r>
        <w:rPr>
          <w:sz w:val="20"/>
        </w:rPr>
        <w:t>situation</w:t>
      </w:r>
      <w:r>
        <w:rPr>
          <w:spacing w:val="-9"/>
          <w:sz w:val="20"/>
        </w:rPr>
        <w:t> </w:t>
      </w:r>
      <w:r>
        <w:rPr>
          <w:sz w:val="20"/>
        </w:rPr>
        <w:t>in</w:t>
      </w:r>
      <w:r>
        <w:rPr>
          <w:spacing w:val="-5"/>
          <w:sz w:val="20"/>
        </w:rPr>
        <w:t> </w:t>
      </w:r>
      <w:r>
        <w:rPr>
          <w:sz w:val="20"/>
        </w:rPr>
        <w:t>Ukraine,</w:t>
      </w:r>
      <w:r>
        <w:rPr>
          <w:spacing w:val="-2"/>
          <w:sz w:val="20"/>
        </w:rPr>
        <w:t> </w:t>
      </w:r>
      <w:r>
        <w:rPr>
          <w:sz w:val="20"/>
        </w:rPr>
        <w:t>based</w:t>
      </w:r>
      <w:r>
        <w:rPr>
          <w:spacing w:val="-9"/>
          <w:sz w:val="20"/>
        </w:rPr>
        <w:t> </w:t>
      </w:r>
      <w:r>
        <w:rPr>
          <w:sz w:val="20"/>
        </w:rPr>
        <w:t>on</w:t>
      </w:r>
      <w:r>
        <w:rPr>
          <w:spacing w:val="-5"/>
          <w:sz w:val="20"/>
        </w:rPr>
        <w:t> </w:t>
      </w:r>
      <w:r>
        <w:rPr>
          <w:sz w:val="20"/>
        </w:rPr>
        <w:t>the</w:t>
      </w:r>
      <w:r>
        <w:rPr>
          <w:spacing w:val="-3"/>
          <w:sz w:val="20"/>
        </w:rPr>
        <w:t> </w:t>
      </w:r>
      <w:r>
        <w:rPr>
          <w:sz w:val="20"/>
        </w:rPr>
        <w:t>OTP’s</w:t>
      </w:r>
      <w:r>
        <w:rPr>
          <w:spacing w:val="-11"/>
          <w:sz w:val="20"/>
        </w:rPr>
        <w:t> </w:t>
      </w:r>
      <w:r>
        <w:rPr>
          <w:sz w:val="20"/>
        </w:rPr>
        <w:t>earlier</w:t>
      </w:r>
      <w:r>
        <w:rPr>
          <w:spacing w:val="-9"/>
          <w:sz w:val="20"/>
        </w:rPr>
        <w:t> </w:t>
      </w:r>
      <w:r>
        <w:rPr>
          <w:sz w:val="20"/>
        </w:rPr>
        <w:t>conclusions arising from its preliminary examination, and encompassing</w:t>
      </w:r>
      <w:r>
        <w:rPr>
          <w:spacing w:val="-4"/>
          <w:sz w:val="20"/>
        </w:rPr>
        <w:t> </w:t>
      </w:r>
      <w:r>
        <w:rPr>
          <w:sz w:val="20"/>
        </w:rPr>
        <w:t>any new alleged</w:t>
      </w:r>
      <w:r>
        <w:rPr>
          <w:spacing w:val="-4"/>
          <w:sz w:val="20"/>
        </w:rPr>
        <w:t> </w:t>
      </w:r>
      <w:r>
        <w:rPr>
          <w:sz w:val="20"/>
        </w:rPr>
        <w:t>crimes falling within the jurisdiction of the Court.</w:t>
      </w:r>
    </w:p>
    <w:p>
      <w:pPr>
        <w:pStyle w:val="ListParagraph"/>
        <w:numPr>
          <w:ilvl w:val="0"/>
          <w:numId w:val="4"/>
        </w:numPr>
        <w:tabs>
          <w:tab w:pos="2967" w:val="left" w:leader="none"/>
        </w:tabs>
        <w:spacing w:line="240" w:lineRule="auto" w:before="123" w:after="0"/>
        <w:ind w:left="2246" w:right="2244" w:firstLine="0"/>
        <w:jc w:val="both"/>
        <w:rPr>
          <w:sz w:val="20"/>
        </w:rPr>
      </w:pPr>
      <w:r>
        <w:rPr>
          <w:sz w:val="20"/>
        </w:rPr>
        <w:t>On 2 March 2022, the Prosecutor announced that he had proceeded to open an investigation on</w:t>
      </w:r>
      <w:r>
        <w:rPr>
          <w:spacing w:val="-5"/>
          <w:sz w:val="20"/>
        </w:rPr>
        <w:t> </w:t>
      </w:r>
      <w:r>
        <w:rPr>
          <w:sz w:val="20"/>
        </w:rPr>
        <w:t>the</w:t>
      </w:r>
      <w:r>
        <w:rPr>
          <w:spacing w:val="-3"/>
          <w:sz w:val="20"/>
        </w:rPr>
        <w:t> </w:t>
      </w:r>
      <w:r>
        <w:rPr>
          <w:sz w:val="20"/>
        </w:rPr>
        <w:t>basis</w:t>
      </w:r>
      <w:r>
        <w:rPr>
          <w:spacing w:val="-1"/>
          <w:sz w:val="20"/>
        </w:rPr>
        <w:t> </w:t>
      </w:r>
      <w:r>
        <w:rPr>
          <w:sz w:val="20"/>
        </w:rPr>
        <w:t>of</w:t>
      </w:r>
      <w:r>
        <w:rPr>
          <w:spacing w:val="-5"/>
          <w:sz w:val="20"/>
        </w:rPr>
        <w:t> </w:t>
      </w:r>
      <w:r>
        <w:rPr>
          <w:sz w:val="20"/>
        </w:rPr>
        <w:t>referrals</w:t>
      </w:r>
      <w:r>
        <w:rPr>
          <w:spacing w:val="-6"/>
          <w:sz w:val="20"/>
        </w:rPr>
        <w:t> </w:t>
      </w:r>
      <w:r>
        <w:rPr>
          <w:sz w:val="20"/>
        </w:rPr>
        <w:t>by</w:t>
      </w:r>
      <w:r>
        <w:rPr>
          <w:spacing w:val="-5"/>
          <w:sz w:val="20"/>
        </w:rPr>
        <w:t> </w:t>
      </w:r>
      <w:r>
        <w:rPr>
          <w:sz w:val="20"/>
        </w:rPr>
        <w:t>39 States</w:t>
      </w:r>
      <w:r>
        <w:rPr>
          <w:spacing w:val="-1"/>
          <w:sz w:val="20"/>
        </w:rPr>
        <w:t> </w:t>
      </w:r>
      <w:r>
        <w:rPr>
          <w:sz w:val="20"/>
        </w:rPr>
        <w:t>Parties.</w:t>
      </w:r>
      <w:r>
        <w:rPr>
          <w:spacing w:val="-2"/>
          <w:sz w:val="20"/>
        </w:rPr>
        <w:t> </w:t>
      </w:r>
      <w:r>
        <w:rPr>
          <w:sz w:val="20"/>
        </w:rPr>
        <w:t>The number of referrals</w:t>
      </w:r>
      <w:r>
        <w:rPr>
          <w:spacing w:val="-1"/>
          <w:sz w:val="20"/>
        </w:rPr>
        <w:t> </w:t>
      </w:r>
      <w:r>
        <w:rPr>
          <w:sz w:val="20"/>
        </w:rPr>
        <w:t>has</w:t>
      </w:r>
      <w:r>
        <w:rPr>
          <w:spacing w:val="-1"/>
          <w:sz w:val="20"/>
        </w:rPr>
        <w:t> </w:t>
      </w:r>
      <w:r>
        <w:rPr>
          <w:sz w:val="20"/>
        </w:rPr>
        <w:t>since increased to 43 States Parties. In accordance with the overall jurisdictional parameters conferred through these referrals, and without prejudice to the ultimate focus of the investigation,</w:t>
      </w:r>
      <w:r>
        <w:rPr>
          <w:spacing w:val="-6"/>
          <w:sz w:val="20"/>
        </w:rPr>
        <w:t> </w:t>
      </w:r>
      <w:r>
        <w:rPr>
          <w:sz w:val="20"/>
        </w:rPr>
        <w:t>the</w:t>
      </w:r>
      <w:r>
        <w:rPr>
          <w:spacing w:val="-2"/>
          <w:sz w:val="20"/>
        </w:rPr>
        <w:t> </w:t>
      </w:r>
      <w:r>
        <w:rPr>
          <w:sz w:val="20"/>
        </w:rPr>
        <w:t>scope</w:t>
      </w:r>
      <w:r>
        <w:rPr>
          <w:spacing w:val="-2"/>
          <w:sz w:val="20"/>
        </w:rPr>
        <w:t> </w:t>
      </w:r>
      <w:r>
        <w:rPr>
          <w:sz w:val="20"/>
        </w:rPr>
        <w:t>of</w:t>
      </w:r>
      <w:r>
        <w:rPr>
          <w:spacing w:val="-8"/>
          <w:sz w:val="20"/>
        </w:rPr>
        <w:t> </w:t>
      </w:r>
      <w:r>
        <w:rPr>
          <w:sz w:val="20"/>
        </w:rPr>
        <w:t>the</w:t>
      </w:r>
      <w:r>
        <w:rPr>
          <w:spacing w:val="-2"/>
          <w:sz w:val="20"/>
        </w:rPr>
        <w:t> </w:t>
      </w:r>
      <w:r>
        <w:rPr>
          <w:sz w:val="20"/>
        </w:rPr>
        <w:t>situation</w:t>
      </w:r>
      <w:r>
        <w:rPr>
          <w:spacing w:val="-4"/>
          <w:sz w:val="20"/>
        </w:rPr>
        <w:t> </w:t>
      </w:r>
      <w:r>
        <w:rPr>
          <w:sz w:val="20"/>
        </w:rPr>
        <w:t>encompasses</w:t>
      </w:r>
      <w:r>
        <w:rPr>
          <w:spacing w:val="-10"/>
          <w:sz w:val="20"/>
        </w:rPr>
        <w:t> </w:t>
      </w:r>
      <w:r>
        <w:rPr>
          <w:sz w:val="20"/>
        </w:rPr>
        <w:t>any</w:t>
      </w:r>
      <w:r>
        <w:rPr>
          <w:spacing w:val="-4"/>
          <w:sz w:val="20"/>
        </w:rPr>
        <w:t> </w:t>
      </w:r>
      <w:r>
        <w:rPr>
          <w:sz w:val="20"/>
        </w:rPr>
        <w:t>past</w:t>
      </w:r>
      <w:r>
        <w:rPr>
          <w:spacing w:val="-2"/>
          <w:sz w:val="20"/>
        </w:rPr>
        <w:t> </w:t>
      </w:r>
      <w:r>
        <w:rPr>
          <w:sz w:val="20"/>
        </w:rPr>
        <w:t>and</w:t>
      </w:r>
      <w:r>
        <w:rPr>
          <w:spacing w:val="-4"/>
          <w:sz w:val="20"/>
        </w:rPr>
        <w:t> </w:t>
      </w:r>
      <w:r>
        <w:rPr>
          <w:sz w:val="20"/>
        </w:rPr>
        <w:t>present</w:t>
      </w:r>
      <w:r>
        <w:rPr>
          <w:spacing w:val="-2"/>
          <w:sz w:val="20"/>
        </w:rPr>
        <w:t> </w:t>
      </w:r>
      <w:r>
        <w:rPr>
          <w:sz w:val="20"/>
        </w:rPr>
        <w:t>allegations</w:t>
      </w:r>
      <w:r>
        <w:rPr>
          <w:spacing w:val="-5"/>
          <w:sz w:val="20"/>
        </w:rPr>
        <w:t> </w:t>
      </w:r>
      <w:r>
        <w:rPr>
          <w:sz w:val="20"/>
        </w:rPr>
        <w:t>of</w:t>
      </w:r>
      <w:r>
        <w:rPr>
          <w:spacing w:val="-4"/>
          <w:sz w:val="20"/>
        </w:rPr>
        <w:t> </w:t>
      </w:r>
      <w:r>
        <w:rPr>
          <w:sz w:val="20"/>
        </w:rPr>
        <w:t>war crimes, crimes against humanity or genocide committed on any part of the territory of Ukraine by any person from 21 November 2013 onwards.</w:t>
      </w:r>
    </w:p>
    <w:p>
      <w:pPr>
        <w:pStyle w:val="ListParagraph"/>
        <w:numPr>
          <w:ilvl w:val="0"/>
          <w:numId w:val="4"/>
        </w:numPr>
        <w:tabs>
          <w:tab w:pos="2967" w:val="left" w:leader="none"/>
        </w:tabs>
        <w:spacing w:line="240" w:lineRule="auto" w:before="118" w:after="0"/>
        <w:ind w:left="2246" w:right="2245" w:firstLine="0"/>
        <w:jc w:val="both"/>
        <w:rPr>
          <w:sz w:val="20"/>
        </w:rPr>
      </w:pPr>
      <w:r>
        <w:rPr>
          <w:sz w:val="20"/>
        </w:rPr>
        <w:t>The</w:t>
      </w:r>
      <w:r>
        <w:rPr>
          <w:spacing w:val="-7"/>
          <w:sz w:val="20"/>
        </w:rPr>
        <w:t> </w:t>
      </w:r>
      <w:r>
        <w:rPr>
          <w:sz w:val="20"/>
        </w:rPr>
        <w:t>OTP</w:t>
      </w:r>
      <w:r>
        <w:rPr>
          <w:spacing w:val="-10"/>
          <w:sz w:val="20"/>
        </w:rPr>
        <w:t> </w:t>
      </w:r>
      <w:r>
        <w:rPr>
          <w:sz w:val="20"/>
        </w:rPr>
        <w:t>is</w:t>
      </w:r>
      <w:r>
        <w:rPr>
          <w:spacing w:val="-5"/>
          <w:sz w:val="20"/>
        </w:rPr>
        <w:t> </w:t>
      </w:r>
      <w:r>
        <w:rPr>
          <w:sz w:val="20"/>
        </w:rPr>
        <w:t>currently</w:t>
      </w:r>
      <w:r>
        <w:rPr>
          <w:spacing w:val="-8"/>
          <w:sz w:val="20"/>
        </w:rPr>
        <w:t> </w:t>
      </w:r>
      <w:r>
        <w:rPr>
          <w:sz w:val="20"/>
        </w:rPr>
        <w:t>actively</w:t>
      </w:r>
      <w:r>
        <w:rPr>
          <w:spacing w:val="-4"/>
          <w:sz w:val="20"/>
        </w:rPr>
        <w:t> </w:t>
      </w:r>
      <w:r>
        <w:rPr>
          <w:sz w:val="20"/>
        </w:rPr>
        <w:t>deploying</w:t>
      </w:r>
      <w:r>
        <w:rPr>
          <w:spacing w:val="-4"/>
          <w:sz w:val="20"/>
        </w:rPr>
        <w:t> </w:t>
      </w:r>
      <w:r>
        <w:rPr>
          <w:sz w:val="20"/>
        </w:rPr>
        <w:t>to</w:t>
      </w:r>
      <w:r>
        <w:rPr>
          <w:spacing w:val="-4"/>
          <w:sz w:val="20"/>
        </w:rPr>
        <w:t> </w:t>
      </w:r>
      <w:r>
        <w:rPr>
          <w:sz w:val="20"/>
        </w:rPr>
        <w:t>Ukraine</w:t>
      </w:r>
      <w:r>
        <w:rPr>
          <w:spacing w:val="-7"/>
          <w:sz w:val="20"/>
        </w:rPr>
        <w:t> </w:t>
      </w:r>
      <w:r>
        <w:rPr>
          <w:sz w:val="20"/>
        </w:rPr>
        <w:t>and</w:t>
      </w:r>
      <w:r>
        <w:rPr>
          <w:spacing w:val="-8"/>
          <w:sz w:val="20"/>
        </w:rPr>
        <w:t> </w:t>
      </w:r>
      <w:r>
        <w:rPr>
          <w:sz w:val="20"/>
        </w:rPr>
        <w:t>the</w:t>
      </w:r>
      <w:r>
        <w:rPr>
          <w:spacing w:val="-7"/>
          <w:sz w:val="20"/>
        </w:rPr>
        <w:t> </w:t>
      </w:r>
      <w:r>
        <w:rPr>
          <w:sz w:val="20"/>
        </w:rPr>
        <w:t>region,</w:t>
      </w:r>
      <w:r>
        <w:rPr>
          <w:spacing w:val="-6"/>
          <w:sz w:val="20"/>
        </w:rPr>
        <w:t> </w:t>
      </w:r>
      <w:r>
        <w:rPr>
          <w:sz w:val="20"/>
        </w:rPr>
        <w:t>and</w:t>
      </w:r>
      <w:r>
        <w:rPr>
          <w:spacing w:val="-8"/>
          <w:sz w:val="20"/>
        </w:rPr>
        <w:t> </w:t>
      </w:r>
      <w:r>
        <w:rPr>
          <w:sz w:val="20"/>
        </w:rPr>
        <w:t>engaging</w:t>
      </w:r>
      <w:r>
        <w:rPr>
          <w:spacing w:val="-8"/>
          <w:sz w:val="20"/>
        </w:rPr>
        <w:t> </w:t>
      </w:r>
      <w:r>
        <w:rPr>
          <w:sz w:val="20"/>
        </w:rPr>
        <w:t>in cooperation and coordination efforts with a variety of domestic and international stakeholders, including States Parties and international and regional organizations. These efforts will be strengthened going forward.</w:t>
      </w:r>
    </w:p>
    <w:p>
      <w:pPr>
        <w:pStyle w:val="ListParagraph"/>
        <w:numPr>
          <w:ilvl w:val="0"/>
          <w:numId w:val="4"/>
        </w:numPr>
        <w:tabs>
          <w:tab w:pos="2967" w:val="left" w:leader="none"/>
        </w:tabs>
        <w:spacing w:line="240" w:lineRule="auto" w:before="122" w:after="0"/>
        <w:ind w:left="2246" w:right="2240" w:firstLine="0"/>
        <w:jc w:val="both"/>
        <w:rPr>
          <w:sz w:val="20"/>
        </w:rPr>
      </w:pPr>
      <w:r>
        <w:rPr>
          <w:sz w:val="20"/>
        </w:rPr>
        <w:t>In</w:t>
      </w:r>
      <w:r>
        <w:rPr>
          <w:spacing w:val="-4"/>
          <w:sz w:val="20"/>
        </w:rPr>
        <w:t> </w:t>
      </w:r>
      <w:r>
        <w:rPr>
          <w:sz w:val="20"/>
        </w:rPr>
        <w:t>2023,</w:t>
      </w:r>
      <w:r>
        <w:rPr>
          <w:spacing w:val="-11"/>
          <w:sz w:val="20"/>
        </w:rPr>
        <w:t> </w:t>
      </w:r>
      <w:r>
        <w:rPr>
          <w:sz w:val="20"/>
        </w:rPr>
        <w:t>the</w:t>
      </w:r>
      <w:r>
        <w:rPr>
          <w:spacing w:val="-7"/>
          <w:sz w:val="20"/>
        </w:rPr>
        <w:t> </w:t>
      </w:r>
      <w:r>
        <w:rPr>
          <w:sz w:val="20"/>
        </w:rPr>
        <w:t>OTP</w:t>
      </w:r>
      <w:r>
        <w:rPr>
          <w:spacing w:val="-10"/>
          <w:sz w:val="20"/>
        </w:rPr>
        <w:t> </w:t>
      </w:r>
      <w:r>
        <w:rPr>
          <w:sz w:val="20"/>
        </w:rPr>
        <w:t>will</w:t>
      </w:r>
      <w:r>
        <w:rPr>
          <w:spacing w:val="-7"/>
          <w:sz w:val="20"/>
        </w:rPr>
        <w:t> </w:t>
      </w:r>
      <w:r>
        <w:rPr>
          <w:sz w:val="20"/>
        </w:rPr>
        <w:t>seek</w:t>
      </w:r>
      <w:r>
        <w:rPr>
          <w:spacing w:val="-8"/>
          <w:sz w:val="20"/>
        </w:rPr>
        <w:t> </w:t>
      </w:r>
      <w:r>
        <w:rPr>
          <w:sz w:val="20"/>
        </w:rPr>
        <w:t>to</w:t>
      </w:r>
      <w:r>
        <w:rPr>
          <w:spacing w:val="-8"/>
          <w:sz w:val="20"/>
        </w:rPr>
        <w:t> </w:t>
      </w:r>
      <w:r>
        <w:rPr>
          <w:sz w:val="20"/>
        </w:rPr>
        <w:t>strengthen</w:t>
      </w:r>
      <w:r>
        <w:rPr>
          <w:spacing w:val="-13"/>
          <w:sz w:val="20"/>
        </w:rPr>
        <w:t> </w:t>
      </w:r>
      <w:r>
        <w:rPr>
          <w:sz w:val="20"/>
        </w:rPr>
        <w:t>its</w:t>
      </w:r>
      <w:r>
        <w:rPr>
          <w:spacing w:val="-9"/>
          <w:sz w:val="20"/>
        </w:rPr>
        <w:t> </w:t>
      </w:r>
      <w:r>
        <w:rPr>
          <w:sz w:val="20"/>
        </w:rPr>
        <w:t>investigative</w:t>
      </w:r>
      <w:r>
        <w:rPr>
          <w:spacing w:val="-7"/>
          <w:sz w:val="20"/>
        </w:rPr>
        <w:t> </w:t>
      </w:r>
      <w:r>
        <w:rPr>
          <w:sz w:val="20"/>
        </w:rPr>
        <w:t>activities</w:t>
      </w:r>
      <w:r>
        <w:rPr>
          <w:spacing w:val="-10"/>
          <w:sz w:val="20"/>
        </w:rPr>
        <w:t> </w:t>
      </w:r>
      <w:r>
        <w:rPr>
          <w:sz w:val="20"/>
        </w:rPr>
        <w:t>in</w:t>
      </w:r>
      <w:r>
        <w:rPr>
          <w:spacing w:val="-8"/>
          <w:sz w:val="20"/>
        </w:rPr>
        <w:t> </w:t>
      </w:r>
      <w:r>
        <w:rPr>
          <w:sz w:val="20"/>
        </w:rPr>
        <w:t>relation</w:t>
      </w:r>
      <w:r>
        <w:rPr>
          <w:spacing w:val="-8"/>
          <w:sz w:val="20"/>
        </w:rPr>
        <w:t> </w:t>
      </w:r>
      <w:r>
        <w:rPr>
          <w:sz w:val="20"/>
        </w:rPr>
        <w:t>to</w:t>
      </w:r>
      <w:r>
        <w:rPr>
          <w:spacing w:val="-13"/>
          <w:sz w:val="20"/>
        </w:rPr>
        <w:t> </w:t>
      </w:r>
      <w:r>
        <w:rPr>
          <w:sz w:val="20"/>
        </w:rPr>
        <w:t>this situation, including through the establishment of a field presence. This will be crucial in supporting rapid and effective responses to evidence-collection opportunities and the deepening of partnerships with national authorities, civil society organisations and other relevant actors.</w:t>
      </w:r>
    </w:p>
    <w:p>
      <w:pPr>
        <w:pStyle w:val="BodyText"/>
        <w:spacing w:before="1"/>
        <w:rPr>
          <w:sz w:val="21"/>
        </w:rPr>
      </w:pPr>
    </w:p>
    <w:p>
      <w:pPr>
        <w:spacing w:before="0"/>
        <w:ind w:left="2246" w:right="0" w:firstLine="0"/>
        <w:jc w:val="left"/>
        <w:rPr>
          <w:i/>
          <w:sz w:val="20"/>
        </w:rPr>
      </w:pPr>
      <w:r>
        <w:rPr>
          <w:i/>
          <w:sz w:val="20"/>
        </w:rPr>
        <w:t>Situation</w:t>
      </w:r>
      <w:r>
        <w:rPr>
          <w:i/>
          <w:spacing w:val="-7"/>
          <w:sz w:val="20"/>
        </w:rPr>
        <w:t> </w:t>
      </w:r>
      <w:r>
        <w:rPr>
          <w:i/>
          <w:sz w:val="20"/>
        </w:rPr>
        <w:t>in</w:t>
      </w:r>
      <w:r>
        <w:rPr>
          <w:i/>
          <w:spacing w:val="-7"/>
          <w:sz w:val="20"/>
        </w:rPr>
        <w:t> </w:t>
      </w:r>
      <w:r>
        <w:rPr>
          <w:i/>
          <w:sz w:val="20"/>
        </w:rPr>
        <w:t>the</w:t>
      </w:r>
      <w:r>
        <w:rPr>
          <w:i/>
          <w:spacing w:val="-10"/>
          <w:sz w:val="20"/>
        </w:rPr>
        <w:t> </w:t>
      </w:r>
      <w:r>
        <w:rPr>
          <w:i/>
          <w:sz w:val="20"/>
        </w:rPr>
        <w:t>Bolivarian</w:t>
      </w:r>
      <w:r>
        <w:rPr>
          <w:i/>
          <w:spacing w:val="-7"/>
          <w:sz w:val="20"/>
        </w:rPr>
        <w:t> </w:t>
      </w:r>
      <w:r>
        <w:rPr>
          <w:i/>
          <w:sz w:val="20"/>
        </w:rPr>
        <w:t>Republic</w:t>
      </w:r>
      <w:r>
        <w:rPr>
          <w:i/>
          <w:spacing w:val="-5"/>
          <w:sz w:val="20"/>
        </w:rPr>
        <w:t> </w:t>
      </w:r>
      <w:r>
        <w:rPr>
          <w:i/>
          <w:sz w:val="20"/>
        </w:rPr>
        <w:t>of</w:t>
      </w:r>
      <w:r>
        <w:rPr>
          <w:i/>
          <w:spacing w:val="-6"/>
          <w:sz w:val="20"/>
        </w:rPr>
        <w:t> </w:t>
      </w:r>
      <w:r>
        <w:rPr>
          <w:i/>
          <w:sz w:val="20"/>
        </w:rPr>
        <w:t>Venezuela</w:t>
      </w:r>
      <w:r>
        <w:rPr>
          <w:i/>
          <w:spacing w:val="-6"/>
          <w:sz w:val="20"/>
        </w:rPr>
        <w:t> </w:t>
      </w:r>
      <w:r>
        <w:rPr>
          <w:i/>
          <w:spacing w:val="-10"/>
          <w:sz w:val="20"/>
        </w:rPr>
        <w:t>I</w:t>
      </w:r>
    </w:p>
    <w:p>
      <w:pPr>
        <w:pStyle w:val="BodyText"/>
        <w:spacing w:before="11"/>
        <w:rPr>
          <w:i/>
        </w:rPr>
      </w:pPr>
    </w:p>
    <w:p>
      <w:pPr>
        <w:pStyle w:val="ListParagraph"/>
        <w:numPr>
          <w:ilvl w:val="0"/>
          <w:numId w:val="4"/>
        </w:numPr>
        <w:tabs>
          <w:tab w:pos="2967" w:val="left" w:leader="none"/>
        </w:tabs>
        <w:spacing w:line="240" w:lineRule="auto" w:before="0" w:after="0"/>
        <w:ind w:left="2246" w:right="2235" w:firstLine="0"/>
        <w:jc w:val="both"/>
        <w:rPr>
          <w:sz w:val="20"/>
        </w:rPr>
      </w:pPr>
      <w:r>
        <w:rPr>
          <w:sz w:val="20"/>
        </w:rPr>
        <w:t>On 3 November 2021, the Prosecutor announced that the preliminary examination in Venezuela had been concluded with a decision to proceed with investigations. The Prosecutor’s announcement was coupled with the joint signing of a Memorandum of Understanding (MoU) with the Government of Venezuela, setting the stage for sustained dialogue and cooperation in relation to the situation. Since then, the OTP has sought to explore means and modalities to continue its engagement with the Venezuelan authorities while progressing its investigation.</w:t>
      </w:r>
    </w:p>
    <w:p>
      <w:pPr>
        <w:spacing w:after="0" w:line="240" w:lineRule="auto"/>
        <w:jc w:val="both"/>
        <w:rPr>
          <w:sz w:val="20"/>
        </w:rPr>
        <w:sectPr>
          <w:pgSz w:w="11910" w:h="16840"/>
          <w:pgMar w:header="957" w:footer="940" w:top="1140" w:bottom="1140" w:left="20" w:right="20"/>
        </w:sectPr>
      </w:pPr>
    </w:p>
    <w:p>
      <w:pPr>
        <w:pStyle w:val="ListParagraph"/>
        <w:numPr>
          <w:ilvl w:val="0"/>
          <w:numId w:val="4"/>
        </w:numPr>
        <w:tabs>
          <w:tab w:pos="2967" w:val="left" w:leader="none"/>
        </w:tabs>
        <w:spacing w:line="240" w:lineRule="auto" w:before="124" w:after="0"/>
        <w:ind w:left="2246" w:right="2239" w:firstLine="0"/>
        <w:jc w:val="both"/>
        <w:rPr>
          <w:sz w:val="20"/>
        </w:rPr>
      </w:pPr>
      <w:r>
        <w:rPr>
          <w:sz w:val="20"/>
        </w:rPr>
        <w:t>In</w:t>
      </w:r>
      <w:r>
        <w:rPr>
          <w:spacing w:val="-5"/>
          <w:sz w:val="20"/>
        </w:rPr>
        <w:t> </w:t>
      </w:r>
      <w:r>
        <w:rPr>
          <w:sz w:val="20"/>
        </w:rPr>
        <w:t>2023,</w:t>
      </w:r>
      <w:r>
        <w:rPr>
          <w:spacing w:val="-11"/>
          <w:sz w:val="20"/>
        </w:rPr>
        <w:t> </w:t>
      </w:r>
      <w:r>
        <w:rPr>
          <w:sz w:val="20"/>
        </w:rPr>
        <w:t>the</w:t>
      </w:r>
      <w:r>
        <w:rPr>
          <w:spacing w:val="-7"/>
          <w:sz w:val="20"/>
        </w:rPr>
        <w:t> </w:t>
      </w:r>
      <w:r>
        <w:rPr>
          <w:sz w:val="20"/>
        </w:rPr>
        <w:t>OTP</w:t>
      </w:r>
      <w:r>
        <w:rPr>
          <w:spacing w:val="-6"/>
          <w:sz w:val="20"/>
        </w:rPr>
        <w:t> </w:t>
      </w:r>
      <w:r>
        <w:rPr>
          <w:sz w:val="20"/>
        </w:rPr>
        <w:t>will</w:t>
      </w:r>
      <w:r>
        <w:rPr>
          <w:spacing w:val="-12"/>
          <w:sz w:val="20"/>
        </w:rPr>
        <w:t> </w:t>
      </w:r>
      <w:r>
        <w:rPr>
          <w:sz w:val="20"/>
        </w:rPr>
        <w:t>continue</w:t>
      </w:r>
      <w:r>
        <w:rPr>
          <w:spacing w:val="-7"/>
          <w:sz w:val="20"/>
        </w:rPr>
        <w:t> </w:t>
      </w:r>
      <w:r>
        <w:rPr>
          <w:sz w:val="20"/>
        </w:rPr>
        <w:t>to</w:t>
      </w:r>
      <w:r>
        <w:rPr>
          <w:spacing w:val="-6"/>
          <w:sz w:val="20"/>
        </w:rPr>
        <w:t> </w:t>
      </w:r>
      <w:r>
        <w:rPr>
          <w:sz w:val="20"/>
        </w:rPr>
        <w:t>strengthen</w:t>
      </w:r>
      <w:r>
        <w:rPr>
          <w:spacing w:val="-13"/>
          <w:sz w:val="20"/>
        </w:rPr>
        <w:t> </w:t>
      </w:r>
      <w:r>
        <w:rPr>
          <w:sz w:val="20"/>
        </w:rPr>
        <w:t>these</w:t>
      </w:r>
      <w:r>
        <w:rPr>
          <w:spacing w:val="-7"/>
          <w:sz w:val="20"/>
        </w:rPr>
        <w:t> </w:t>
      </w:r>
      <w:r>
        <w:rPr>
          <w:sz w:val="20"/>
        </w:rPr>
        <w:t>efforts,</w:t>
      </w:r>
      <w:r>
        <w:rPr>
          <w:spacing w:val="-11"/>
          <w:sz w:val="20"/>
        </w:rPr>
        <w:t> </w:t>
      </w:r>
      <w:r>
        <w:rPr>
          <w:sz w:val="20"/>
        </w:rPr>
        <w:t>including</w:t>
      </w:r>
      <w:r>
        <w:rPr>
          <w:spacing w:val="-8"/>
          <w:sz w:val="20"/>
        </w:rPr>
        <w:t> </w:t>
      </w:r>
      <w:r>
        <w:rPr>
          <w:sz w:val="20"/>
        </w:rPr>
        <w:t>by</w:t>
      </w:r>
      <w:r>
        <w:rPr>
          <w:spacing w:val="-8"/>
          <w:sz w:val="20"/>
        </w:rPr>
        <w:t> </w:t>
      </w:r>
      <w:r>
        <w:rPr>
          <w:sz w:val="20"/>
        </w:rPr>
        <w:t>establishing an office in Caracas in support of the cooperation with the Venezuelan authorities and facilitation of technical assistance under the framework of the MoU.</w:t>
      </w:r>
    </w:p>
    <w:p>
      <w:pPr>
        <w:pStyle w:val="ListParagraph"/>
        <w:numPr>
          <w:ilvl w:val="0"/>
          <w:numId w:val="4"/>
        </w:numPr>
        <w:tabs>
          <w:tab w:pos="2967" w:val="left" w:leader="none"/>
        </w:tabs>
        <w:spacing w:line="240" w:lineRule="auto" w:before="122" w:after="0"/>
        <w:ind w:left="2246" w:right="2242" w:firstLine="0"/>
        <w:jc w:val="both"/>
        <w:rPr>
          <w:sz w:val="20"/>
        </w:rPr>
      </w:pPr>
      <w:r>
        <w:rPr>
          <w:sz w:val="20"/>
        </w:rPr>
        <w:t>On</w:t>
      </w:r>
      <w:r>
        <w:rPr>
          <w:spacing w:val="80"/>
          <w:w w:val="150"/>
          <w:sz w:val="20"/>
        </w:rPr>
        <w:t> </w:t>
      </w:r>
      <w:r>
        <w:rPr>
          <w:sz w:val="20"/>
        </w:rPr>
        <w:t>20</w:t>
      </w:r>
      <w:r>
        <w:rPr>
          <w:spacing w:val="80"/>
          <w:w w:val="150"/>
          <w:sz w:val="20"/>
        </w:rPr>
        <w:t> </w:t>
      </w:r>
      <w:r>
        <w:rPr>
          <w:sz w:val="20"/>
        </w:rPr>
        <w:t>April</w:t>
      </w:r>
      <w:r>
        <w:rPr>
          <w:spacing w:val="80"/>
          <w:w w:val="150"/>
          <w:sz w:val="20"/>
        </w:rPr>
        <w:t> </w:t>
      </w:r>
      <w:r>
        <w:rPr>
          <w:sz w:val="20"/>
        </w:rPr>
        <w:t>2022,</w:t>
      </w:r>
      <w:r>
        <w:rPr>
          <w:spacing w:val="80"/>
          <w:w w:val="150"/>
          <w:sz w:val="20"/>
        </w:rPr>
        <w:t> </w:t>
      </w:r>
      <w:r>
        <w:rPr>
          <w:sz w:val="20"/>
        </w:rPr>
        <w:t>the</w:t>
      </w:r>
      <w:r>
        <w:rPr>
          <w:spacing w:val="80"/>
          <w:w w:val="150"/>
          <w:sz w:val="20"/>
        </w:rPr>
        <w:t> </w:t>
      </w:r>
      <w:r>
        <w:rPr>
          <w:sz w:val="20"/>
        </w:rPr>
        <w:t>Prosecutor</w:t>
      </w:r>
      <w:r>
        <w:rPr>
          <w:spacing w:val="80"/>
          <w:w w:val="150"/>
          <w:sz w:val="20"/>
        </w:rPr>
        <w:t> </w:t>
      </w:r>
      <w:r>
        <w:rPr>
          <w:sz w:val="20"/>
        </w:rPr>
        <w:t>notified</w:t>
      </w:r>
      <w:r>
        <w:rPr>
          <w:spacing w:val="80"/>
          <w:w w:val="150"/>
          <w:sz w:val="20"/>
        </w:rPr>
        <w:t> </w:t>
      </w:r>
      <w:r>
        <w:rPr>
          <w:sz w:val="20"/>
        </w:rPr>
        <w:t>the</w:t>
      </w:r>
      <w:r>
        <w:rPr>
          <w:spacing w:val="80"/>
          <w:w w:val="150"/>
          <w:sz w:val="20"/>
        </w:rPr>
        <w:t> </w:t>
      </w:r>
      <w:r>
        <w:rPr>
          <w:sz w:val="20"/>
        </w:rPr>
        <w:t>Pre-Trial</w:t>
      </w:r>
      <w:r>
        <w:rPr>
          <w:spacing w:val="80"/>
          <w:w w:val="150"/>
          <w:sz w:val="20"/>
        </w:rPr>
        <w:t> </w:t>
      </w:r>
      <w:r>
        <w:rPr>
          <w:sz w:val="20"/>
        </w:rPr>
        <w:t>Chamber</w:t>
      </w:r>
      <w:r>
        <w:rPr>
          <w:spacing w:val="80"/>
          <w:sz w:val="20"/>
        </w:rPr>
        <w:t> </w:t>
      </w:r>
      <w:r>
        <w:rPr>
          <w:sz w:val="20"/>
        </w:rPr>
        <w:t>that on</w:t>
      </w:r>
      <w:r>
        <w:rPr>
          <w:spacing w:val="-2"/>
          <w:sz w:val="20"/>
        </w:rPr>
        <w:t> </w:t>
      </w:r>
      <w:r>
        <w:rPr>
          <w:sz w:val="20"/>
        </w:rPr>
        <w:t>16</w:t>
      </w:r>
      <w:r>
        <w:rPr>
          <w:spacing w:val="-5"/>
          <w:sz w:val="20"/>
        </w:rPr>
        <w:t> </w:t>
      </w:r>
      <w:r>
        <w:rPr>
          <w:sz w:val="20"/>
        </w:rPr>
        <w:t>April</w:t>
      </w:r>
      <w:r>
        <w:rPr>
          <w:spacing w:val="-3"/>
          <w:sz w:val="20"/>
        </w:rPr>
        <w:t> </w:t>
      </w:r>
      <w:r>
        <w:rPr>
          <w:sz w:val="20"/>
        </w:rPr>
        <w:t>2021,</w:t>
      </w:r>
      <w:r>
        <w:rPr>
          <w:spacing w:val="-8"/>
          <w:sz w:val="20"/>
        </w:rPr>
        <w:t> </w:t>
      </w:r>
      <w:r>
        <w:rPr>
          <w:sz w:val="20"/>
        </w:rPr>
        <w:t>the</w:t>
      </w:r>
      <w:r>
        <w:rPr>
          <w:spacing w:val="-9"/>
          <w:sz w:val="20"/>
        </w:rPr>
        <w:t> </w:t>
      </w:r>
      <w:r>
        <w:rPr>
          <w:sz w:val="20"/>
        </w:rPr>
        <w:t>Government</w:t>
      </w:r>
      <w:r>
        <w:rPr>
          <w:spacing w:val="-13"/>
          <w:sz w:val="20"/>
        </w:rPr>
        <w:t> </w:t>
      </w:r>
      <w:r>
        <w:rPr>
          <w:sz w:val="20"/>
        </w:rPr>
        <w:t>of</w:t>
      </w:r>
      <w:r>
        <w:rPr>
          <w:spacing w:val="-9"/>
          <w:sz w:val="20"/>
        </w:rPr>
        <w:t> </w:t>
      </w:r>
      <w:r>
        <w:rPr>
          <w:sz w:val="20"/>
        </w:rPr>
        <w:t>Venezuela</w:t>
      </w:r>
      <w:r>
        <w:rPr>
          <w:spacing w:val="-13"/>
          <w:sz w:val="20"/>
        </w:rPr>
        <w:t> </w:t>
      </w:r>
      <w:r>
        <w:rPr>
          <w:sz w:val="20"/>
        </w:rPr>
        <w:t>had</w:t>
      </w:r>
      <w:r>
        <w:rPr>
          <w:spacing w:val="-11"/>
          <w:sz w:val="20"/>
        </w:rPr>
        <w:t> </w:t>
      </w:r>
      <w:r>
        <w:rPr>
          <w:sz w:val="20"/>
        </w:rPr>
        <w:t>requested</w:t>
      </w:r>
      <w:r>
        <w:rPr>
          <w:spacing w:val="-10"/>
          <w:sz w:val="20"/>
        </w:rPr>
        <w:t> </w:t>
      </w:r>
      <w:r>
        <w:rPr>
          <w:sz w:val="20"/>
        </w:rPr>
        <w:t>that</w:t>
      </w:r>
      <w:r>
        <w:rPr>
          <w:spacing w:val="-9"/>
          <w:sz w:val="20"/>
        </w:rPr>
        <w:t> </w:t>
      </w:r>
      <w:r>
        <w:rPr>
          <w:sz w:val="20"/>
        </w:rPr>
        <w:t>he</w:t>
      </w:r>
      <w:r>
        <w:rPr>
          <w:spacing w:val="-9"/>
          <w:sz w:val="20"/>
        </w:rPr>
        <w:t> </w:t>
      </w:r>
      <w:r>
        <w:rPr>
          <w:sz w:val="20"/>
        </w:rPr>
        <w:t>defer</w:t>
      </w:r>
      <w:r>
        <w:rPr>
          <w:spacing w:val="-10"/>
          <w:sz w:val="20"/>
        </w:rPr>
        <w:t> </w:t>
      </w:r>
      <w:r>
        <w:rPr>
          <w:sz w:val="20"/>
        </w:rPr>
        <w:t>the</w:t>
      </w:r>
      <w:r>
        <w:rPr>
          <w:spacing w:val="-13"/>
          <w:sz w:val="20"/>
        </w:rPr>
        <w:t> </w:t>
      </w:r>
      <w:r>
        <w:rPr>
          <w:sz w:val="20"/>
        </w:rPr>
        <w:t>investigation “in favour of the actions carried out by the appropriate national authorities of Venezuela”. The Prosecutor further informed the Pre-Trial Chamber of his intention to seek its authorization</w:t>
      </w:r>
      <w:r>
        <w:rPr>
          <w:spacing w:val="-4"/>
          <w:sz w:val="20"/>
        </w:rPr>
        <w:t> </w:t>
      </w:r>
      <w:r>
        <w:rPr>
          <w:sz w:val="20"/>
        </w:rPr>
        <w:t>to resume</w:t>
      </w:r>
      <w:r>
        <w:rPr>
          <w:spacing w:val="-2"/>
          <w:sz w:val="20"/>
        </w:rPr>
        <w:t> </w:t>
      </w:r>
      <w:r>
        <w:rPr>
          <w:sz w:val="20"/>
        </w:rPr>
        <w:t>its investigation.</w:t>
      </w:r>
      <w:r>
        <w:rPr>
          <w:spacing w:val="-1"/>
          <w:sz w:val="20"/>
        </w:rPr>
        <w:t> </w:t>
      </w:r>
      <w:r>
        <w:rPr>
          <w:sz w:val="20"/>
        </w:rPr>
        <w:t>The outcome of</w:t>
      </w:r>
      <w:r>
        <w:rPr>
          <w:spacing w:val="-4"/>
          <w:sz w:val="20"/>
        </w:rPr>
        <w:t> </w:t>
      </w:r>
      <w:r>
        <w:rPr>
          <w:sz w:val="20"/>
        </w:rPr>
        <w:t>article</w:t>
      </w:r>
      <w:r>
        <w:rPr>
          <w:spacing w:val="-2"/>
          <w:sz w:val="20"/>
        </w:rPr>
        <w:t> </w:t>
      </w:r>
      <w:r>
        <w:rPr>
          <w:sz w:val="20"/>
        </w:rPr>
        <w:t>18 proceedings will</w:t>
      </w:r>
      <w:r>
        <w:rPr>
          <w:spacing w:val="-2"/>
          <w:sz w:val="20"/>
        </w:rPr>
        <w:t> </w:t>
      </w:r>
      <w:r>
        <w:rPr>
          <w:sz w:val="20"/>
        </w:rPr>
        <w:t>inform the investigative activities of the OTP in 2023.</w:t>
      </w:r>
    </w:p>
    <w:p>
      <w:pPr>
        <w:pStyle w:val="BodyText"/>
        <w:spacing w:before="2"/>
        <w:rPr>
          <w:sz w:val="21"/>
        </w:rPr>
      </w:pPr>
    </w:p>
    <w:p>
      <w:pPr>
        <w:pStyle w:val="Heading2"/>
        <w:numPr>
          <w:ilvl w:val="1"/>
          <w:numId w:val="3"/>
        </w:numPr>
        <w:tabs>
          <w:tab w:pos="2246" w:val="left" w:leader="none"/>
          <w:tab w:pos="2247" w:val="left" w:leader="none"/>
        </w:tabs>
        <w:spacing w:line="240" w:lineRule="auto" w:before="0" w:after="0"/>
        <w:ind w:left="2246" w:right="0" w:hanging="568"/>
        <w:jc w:val="left"/>
      </w:pPr>
      <w:bookmarkStart w:name="_bookmark9" w:id="10"/>
      <w:bookmarkEnd w:id="10"/>
      <w:r>
        <w:rPr>
          <w:spacing w:val="-2"/>
        </w:rPr>
        <w:t>M</w:t>
      </w:r>
      <w:r>
        <w:rPr>
          <w:spacing w:val="-2"/>
        </w:rPr>
        <w:t>acroanalysis</w:t>
      </w:r>
    </w:p>
    <w:p>
      <w:pPr>
        <w:pStyle w:val="BodyText"/>
        <w:spacing w:before="7"/>
        <w:rPr>
          <w:b/>
        </w:rPr>
      </w:pPr>
    </w:p>
    <w:p>
      <w:pPr>
        <w:pStyle w:val="ListParagraph"/>
        <w:numPr>
          <w:ilvl w:val="0"/>
          <w:numId w:val="4"/>
        </w:numPr>
        <w:tabs>
          <w:tab w:pos="2967" w:val="left" w:leader="none"/>
        </w:tabs>
        <w:spacing w:line="240" w:lineRule="auto" w:before="0" w:after="0"/>
        <w:ind w:left="2246" w:right="2240" w:firstLine="0"/>
        <w:jc w:val="both"/>
        <w:rPr>
          <w:sz w:val="20"/>
        </w:rPr>
      </w:pPr>
      <w:bookmarkStart w:name="_bookmark10" w:id="11"/>
      <w:bookmarkEnd w:id="11"/>
      <w:r>
        <w:rPr>
          <w:sz w:val="20"/>
        </w:rPr>
        <w:t>T</w:t>
      </w:r>
      <w:r>
        <w:rPr>
          <w:sz w:val="20"/>
        </w:rPr>
        <w:t>he</w:t>
      </w:r>
      <w:r>
        <w:rPr>
          <w:spacing w:val="-13"/>
          <w:sz w:val="20"/>
        </w:rPr>
        <w:t> </w:t>
      </w:r>
      <w:r>
        <w:rPr>
          <w:sz w:val="20"/>
        </w:rPr>
        <w:t>following</w:t>
      </w:r>
      <w:r>
        <w:rPr>
          <w:spacing w:val="-12"/>
          <w:sz w:val="20"/>
        </w:rPr>
        <w:t> </w:t>
      </w:r>
      <w:r>
        <w:rPr>
          <w:sz w:val="20"/>
        </w:rPr>
        <w:t>chart</w:t>
      </w:r>
      <w:r>
        <w:rPr>
          <w:spacing w:val="-13"/>
          <w:sz w:val="20"/>
        </w:rPr>
        <w:t> </w:t>
      </w:r>
      <w:r>
        <w:rPr>
          <w:sz w:val="20"/>
        </w:rPr>
        <w:t>breaks</w:t>
      </w:r>
      <w:r>
        <w:rPr>
          <w:spacing w:val="-12"/>
          <w:sz w:val="20"/>
        </w:rPr>
        <w:t> </w:t>
      </w:r>
      <w:r>
        <w:rPr>
          <w:sz w:val="20"/>
        </w:rPr>
        <w:t>down</w:t>
      </w:r>
      <w:r>
        <w:rPr>
          <w:spacing w:val="-9"/>
          <w:sz w:val="20"/>
        </w:rPr>
        <w:t> </w:t>
      </w:r>
      <w:r>
        <w:rPr>
          <w:sz w:val="20"/>
        </w:rPr>
        <w:t>the</w:t>
      </w:r>
      <w:r>
        <w:rPr>
          <w:spacing w:val="-8"/>
          <w:sz w:val="20"/>
        </w:rPr>
        <w:t> </w:t>
      </w:r>
      <w:r>
        <w:rPr>
          <w:sz w:val="20"/>
        </w:rPr>
        <w:t>Court’s</w:t>
      </w:r>
      <w:r>
        <w:rPr>
          <w:spacing w:val="-11"/>
          <w:sz w:val="20"/>
        </w:rPr>
        <w:t> </w:t>
      </w:r>
      <w:r>
        <w:rPr>
          <w:sz w:val="20"/>
        </w:rPr>
        <w:t>Proposed</w:t>
      </w:r>
      <w:r>
        <w:rPr>
          <w:spacing w:val="-13"/>
          <w:sz w:val="20"/>
        </w:rPr>
        <w:t> </w:t>
      </w:r>
      <w:r>
        <w:rPr>
          <w:sz w:val="20"/>
        </w:rPr>
        <w:t>Programme</w:t>
      </w:r>
      <w:r>
        <w:rPr>
          <w:spacing w:val="-7"/>
          <w:sz w:val="20"/>
        </w:rPr>
        <w:t> </w:t>
      </w:r>
      <w:r>
        <w:rPr>
          <w:sz w:val="20"/>
        </w:rPr>
        <w:t>Budget</w:t>
      </w:r>
      <w:r>
        <w:rPr>
          <w:spacing w:val="-8"/>
          <w:sz w:val="20"/>
        </w:rPr>
        <w:t> </w:t>
      </w:r>
      <w:r>
        <w:rPr>
          <w:sz w:val="20"/>
        </w:rPr>
        <w:t>for</w:t>
      </w:r>
      <w:r>
        <w:rPr>
          <w:spacing w:val="-13"/>
          <w:sz w:val="20"/>
        </w:rPr>
        <w:t> </w:t>
      </w:r>
      <w:r>
        <w:rPr>
          <w:sz w:val="20"/>
        </w:rPr>
        <w:t>2023 by activity. The operations of the Court under “Judicial, Prosecutorial and Investigative Activities” are the main drivers of the Court’s Proposed Programme Budget for 2023, amounting to 80.7 per cent of the total budget. “Other Activities” (19.3 per cent) comprise administrative functions (11.3 per cent), governance (5.1 per cent) and maintenance costs related</w:t>
      </w:r>
      <w:r>
        <w:rPr>
          <w:spacing w:val="-4"/>
          <w:sz w:val="20"/>
        </w:rPr>
        <w:t> </w:t>
      </w:r>
      <w:r>
        <w:rPr>
          <w:sz w:val="20"/>
        </w:rPr>
        <w:t>to</w:t>
      </w:r>
      <w:r>
        <w:rPr>
          <w:spacing w:val="-4"/>
          <w:sz w:val="20"/>
        </w:rPr>
        <w:t> </w:t>
      </w:r>
      <w:r>
        <w:rPr>
          <w:sz w:val="20"/>
        </w:rPr>
        <w:t>the</w:t>
      </w:r>
      <w:r>
        <w:rPr>
          <w:spacing w:val="-2"/>
          <w:sz w:val="20"/>
        </w:rPr>
        <w:t> </w:t>
      </w:r>
      <w:r>
        <w:rPr>
          <w:sz w:val="20"/>
        </w:rPr>
        <w:t>premises</w:t>
      </w:r>
      <w:r>
        <w:rPr>
          <w:spacing w:val="-5"/>
          <w:sz w:val="20"/>
        </w:rPr>
        <w:t> </w:t>
      </w:r>
      <w:r>
        <w:rPr>
          <w:sz w:val="20"/>
        </w:rPr>
        <w:t>(2.9</w:t>
      </w:r>
      <w:r>
        <w:rPr>
          <w:spacing w:val="-8"/>
          <w:sz w:val="20"/>
        </w:rPr>
        <w:t> </w:t>
      </w:r>
      <w:r>
        <w:rPr>
          <w:sz w:val="20"/>
        </w:rPr>
        <w:t>per</w:t>
      </w:r>
      <w:r>
        <w:rPr>
          <w:spacing w:val="-8"/>
          <w:sz w:val="20"/>
        </w:rPr>
        <w:t> </w:t>
      </w:r>
      <w:r>
        <w:rPr>
          <w:sz w:val="20"/>
        </w:rPr>
        <w:t>cent).</w:t>
      </w:r>
      <w:r>
        <w:rPr>
          <w:spacing w:val="-6"/>
          <w:sz w:val="20"/>
        </w:rPr>
        <w:t> </w:t>
      </w:r>
      <w:r>
        <w:rPr>
          <w:sz w:val="20"/>
        </w:rPr>
        <w:t>Estimates</w:t>
      </w:r>
      <w:r>
        <w:rPr>
          <w:spacing w:val="-5"/>
          <w:sz w:val="20"/>
        </w:rPr>
        <w:t> </w:t>
      </w:r>
      <w:r>
        <w:rPr>
          <w:sz w:val="20"/>
        </w:rPr>
        <w:t>related</w:t>
      </w:r>
      <w:r>
        <w:rPr>
          <w:spacing w:val="-8"/>
          <w:sz w:val="20"/>
        </w:rPr>
        <w:t> </w:t>
      </w:r>
      <w:r>
        <w:rPr>
          <w:sz w:val="20"/>
        </w:rPr>
        <w:t>to</w:t>
      </w:r>
      <w:r>
        <w:rPr>
          <w:spacing w:val="-8"/>
          <w:sz w:val="20"/>
        </w:rPr>
        <w:t> </w:t>
      </w:r>
      <w:r>
        <w:rPr>
          <w:sz w:val="20"/>
        </w:rPr>
        <w:t>the</w:t>
      </w:r>
      <w:r>
        <w:rPr>
          <w:spacing w:val="-7"/>
          <w:sz w:val="20"/>
        </w:rPr>
        <w:t> </w:t>
      </w:r>
      <w:r>
        <w:rPr>
          <w:sz w:val="20"/>
        </w:rPr>
        <w:t>interest</w:t>
      </w:r>
      <w:r>
        <w:rPr>
          <w:spacing w:val="-2"/>
          <w:sz w:val="20"/>
        </w:rPr>
        <w:t> </w:t>
      </w:r>
      <w:r>
        <w:rPr>
          <w:sz w:val="20"/>
        </w:rPr>
        <w:t>on</w:t>
      </w:r>
      <w:r>
        <w:rPr>
          <w:spacing w:val="-8"/>
          <w:sz w:val="20"/>
        </w:rPr>
        <w:t> </w:t>
      </w:r>
      <w:r>
        <w:rPr>
          <w:sz w:val="20"/>
        </w:rPr>
        <w:t>the</w:t>
      </w:r>
      <w:r>
        <w:rPr>
          <w:spacing w:val="-2"/>
          <w:sz w:val="20"/>
        </w:rPr>
        <w:t> </w:t>
      </w:r>
      <w:r>
        <w:rPr>
          <w:sz w:val="20"/>
        </w:rPr>
        <w:t>Host</w:t>
      </w:r>
      <w:r>
        <w:rPr>
          <w:spacing w:val="-2"/>
          <w:sz w:val="20"/>
        </w:rPr>
        <w:t> </w:t>
      </w:r>
      <w:r>
        <w:rPr>
          <w:sz w:val="20"/>
        </w:rPr>
        <w:t>State</w:t>
      </w:r>
      <w:r>
        <w:rPr>
          <w:spacing w:val="-7"/>
          <w:sz w:val="20"/>
        </w:rPr>
        <w:t> </w:t>
      </w:r>
      <w:r>
        <w:rPr>
          <w:sz w:val="20"/>
        </w:rPr>
        <w:t>Loan for the permanent premises are excluded from the macroanalysis.</w:t>
      </w:r>
    </w:p>
    <w:p>
      <w:pPr>
        <w:pStyle w:val="BodyText"/>
        <w:spacing w:before="2"/>
        <w:rPr>
          <w:sz w:val="21"/>
        </w:rPr>
      </w:pPr>
    </w:p>
    <w:p>
      <w:pPr>
        <w:pStyle w:val="Heading3"/>
        <w:numPr>
          <w:ilvl w:val="2"/>
          <w:numId w:val="3"/>
        </w:numPr>
        <w:tabs>
          <w:tab w:pos="2246" w:val="left" w:leader="none"/>
          <w:tab w:pos="2247" w:val="left" w:leader="none"/>
        </w:tabs>
        <w:spacing w:line="240" w:lineRule="auto" w:before="0" w:after="0"/>
        <w:ind w:left="2246" w:right="0" w:hanging="568"/>
        <w:jc w:val="left"/>
      </w:pPr>
      <w:r>
        <w:rPr/>
        <w:t>Judicial,</w:t>
      </w:r>
      <w:r>
        <w:rPr>
          <w:spacing w:val="-13"/>
        </w:rPr>
        <w:t> </w:t>
      </w:r>
      <w:r>
        <w:rPr/>
        <w:t>Prosecutorial</w:t>
      </w:r>
      <w:r>
        <w:rPr>
          <w:spacing w:val="-4"/>
        </w:rPr>
        <w:t> </w:t>
      </w:r>
      <w:r>
        <w:rPr/>
        <w:t>and</w:t>
      </w:r>
      <w:r>
        <w:rPr>
          <w:spacing w:val="-12"/>
        </w:rPr>
        <w:t> </w:t>
      </w:r>
      <w:r>
        <w:rPr/>
        <w:t>Investigative</w:t>
      </w:r>
      <w:r>
        <w:rPr>
          <w:spacing w:val="-4"/>
        </w:rPr>
        <w:t> </w:t>
      </w:r>
      <w:r>
        <w:rPr>
          <w:spacing w:val="-2"/>
        </w:rPr>
        <w:t>Activities</w:t>
      </w:r>
    </w:p>
    <w:p>
      <w:pPr>
        <w:pStyle w:val="BodyText"/>
        <w:spacing w:before="6"/>
        <w:rPr>
          <w:b/>
        </w:rPr>
      </w:pPr>
    </w:p>
    <w:p>
      <w:pPr>
        <w:pStyle w:val="ListParagraph"/>
        <w:numPr>
          <w:ilvl w:val="0"/>
          <w:numId w:val="4"/>
        </w:numPr>
        <w:tabs>
          <w:tab w:pos="2967" w:val="left" w:leader="none"/>
        </w:tabs>
        <w:spacing w:line="240" w:lineRule="auto" w:before="0" w:after="0"/>
        <w:ind w:left="2246" w:right="2241" w:firstLine="0"/>
        <w:jc w:val="both"/>
        <w:rPr>
          <w:sz w:val="20"/>
        </w:rPr>
      </w:pPr>
      <w:r>
        <w:rPr>
          <w:sz w:val="20"/>
        </w:rPr>
        <w:t>Under this category, resources related to “Judicial and Prosecutorial Activities” (49.5 per cent) include, among other items, support to victims and witnesses, legal aid, information</w:t>
      </w:r>
      <w:r>
        <w:rPr>
          <w:spacing w:val="-9"/>
          <w:sz w:val="20"/>
        </w:rPr>
        <w:t> </w:t>
      </w:r>
      <w:r>
        <w:rPr>
          <w:sz w:val="20"/>
        </w:rPr>
        <w:t>technology,</w:t>
      </w:r>
      <w:r>
        <w:rPr>
          <w:spacing w:val="-2"/>
          <w:sz w:val="20"/>
        </w:rPr>
        <w:t> </w:t>
      </w:r>
      <w:r>
        <w:rPr>
          <w:sz w:val="20"/>
        </w:rPr>
        <w:t>language</w:t>
      </w:r>
      <w:r>
        <w:rPr>
          <w:spacing w:val="-3"/>
          <w:sz w:val="20"/>
        </w:rPr>
        <w:t> </w:t>
      </w:r>
      <w:r>
        <w:rPr>
          <w:sz w:val="20"/>
        </w:rPr>
        <w:t>services</w:t>
      </w:r>
      <w:r>
        <w:rPr>
          <w:spacing w:val="-6"/>
          <w:sz w:val="20"/>
        </w:rPr>
        <w:t> </w:t>
      </w:r>
      <w:r>
        <w:rPr>
          <w:sz w:val="20"/>
        </w:rPr>
        <w:t>and</w:t>
      </w:r>
      <w:r>
        <w:rPr>
          <w:spacing w:val="-5"/>
          <w:sz w:val="20"/>
        </w:rPr>
        <w:t> </w:t>
      </w:r>
      <w:r>
        <w:rPr>
          <w:sz w:val="20"/>
        </w:rPr>
        <w:t>support</w:t>
      </w:r>
      <w:r>
        <w:rPr>
          <w:spacing w:val="-8"/>
          <w:sz w:val="20"/>
        </w:rPr>
        <w:t> </w:t>
      </w:r>
      <w:r>
        <w:rPr>
          <w:sz w:val="20"/>
        </w:rPr>
        <w:t>for</w:t>
      </w:r>
      <w:r>
        <w:rPr>
          <w:spacing w:val="-5"/>
          <w:sz w:val="20"/>
        </w:rPr>
        <w:t> </w:t>
      </w:r>
      <w:r>
        <w:rPr>
          <w:sz w:val="20"/>
        </w:rPr>
        <w:t>reparations</w:t>
      </w:r>
      <w:r>
        <w:rPr>
          <w:spacing w:val="-6"/>
          <w:sz w:val="20"/>
        </w:rPr>
        <w:t> </w:t>
      </w:r>
      <w:r>
        <w:rPr>
          <w:sz w:val="20"/>
        </w:rPr>
        <w:t>activities</w:t>
      </w:r>
      <w:r>
        <w:rPr>
          <w:spacing w:val="-6"/>
          <w:sz w:val="20"/>
        </w:rPr>
        <w:t> </w:t>
      </w:r>
      <w:r>
        <w:rPr>
          <w:sz w:val="20"/>
        </w:rPr>
        <w:t>provided</w:t>
      </w:r>
      <w:r>
        <w:rPr>
          <w:spacing w:val="-5"/>
          <w:sz w:val="20"/>
        </w:rPr>
        <w:t> </w:t>
      </w:r>
      <w:r>
        <w:rPr>
          <w:sz w:val="20"/>
        </w:rPr>
        <w:t>by the Registry. These resources are required for the conduct and support of judicial proceedings.</w:t>
      </w:r>
      <w:r>
        <w:rPr>
          <w:spacing w:val="-13"/>
          <w:sz w:val="20"/>
        </w:rPr>
        <w:t> </w:t>
      </w:r>
      <w:r>
        <w:rPr>
          <w:sz w:val="20"/>
        </w:rPr>
        <w:t>Activities</w:t>
      </w:r>
      <w:r>
        <w:rPr>
          <w:spacing w:val="-12"/>
          <w:sz w:val="20"/>
        </w:rPr>
        <w:t> </w:t>
      </w:r>
      <w:r>
        <w:rPr>
          <w:sz w:val="20"/>
        </w:rPr>
        <w:t>under</w:t>
      </w:r>
      <w:r>
        <w:rPr>
          <w:spacing w:val="-13"/>
          <w:sz w:val="20"/>
        </w:rPr>
        <w:t> </w:t>
      </w:r>
      <w:r>
        <w:rPr>
          <w:sz w:val="20"/>
        </w:rPr>
        <w:t>“Investigations</w:t>
      </w:r>
      <w:r>
        <w:rPr>
          <w:spacing w:val="-12"/>
          <w:sz w:val="20"/>
        </w:rPr>
        <w:t> </w:t>
      </w:r>
      <w:r>
        <w:rPr>
          <w:sz w:val="20"/>
        </w:rPr>
        <w:t>(Including</w:t>
      </w:r>
      <w:r>
        <w:rPr>
          <w:spacing w:val="-13"/>
          <w:sz w:val="20"/>
        </w:rPr>
        <w:t> </w:t>
      </w:r>
      <w:r>
        <w:rPr>
          <w:sz w:val="20"/>
        </w:rPr>
        <w:t>Field)”</w:t>
      </w:r>
      <w:r>
        <w:rPr>
          <w:spacing w:val="-12"/>
          <w:sz w:val="20"/>
        </w:rPr>
        <w:t> </w:t>
      </w:r>
      <w:r>
        <w:rPr>
          <w:sz w:val="20"/>
        </w:rPr>
        <w:t>are</w:t>
      </w:r>
      <w:r>
        <w:rPr>
          <w:spacing w:val="-13"/>
          <w:sz w:val="20"/>
        </w:rPr>
        <w:t> </w:t>
      </w:r>
      <w:r>
        <w:rPr>
          <w:sz w:val="20"/>
        </w:rPr>
        <w:t>estimated</w:t>
      </w:r>
      <w:r>
        <w:rPr>
          <w:spacing w:val="-12"/>
          <w:sz w:val="20"/>
        </w:rPr>
        <w:t> </w:t>
      </w:r>
      <w:r>
        <w:rPr>
          <w:sz w:val="20"/>
        </w:rPr>
        <w:t>at</w:t>
      </w:r>
      <w:r>
        <w:rPr>
          <w:spacing w:val="-13"/>
          <w:sz w:val="20"/>
        </w:rPr>
        <w:t> </w:t>
      </w:r>
      <w:r>
        <w:rPr>
          <w:sz w:val="20"/>
        </w:rPr>
        <w:t>28.7</w:t>
      </w:r>
      <w:r>
        <w:rPr>
          <w:spacing w:val="-12"/>
          <w:sz w:val="20"/>
        </w:rPr>
        <w:t> </w:t>
      </w:r>
      <w:r>
        <w:rPr>
          <w:sz w:val="20"/>
        </w:rPr>
        <w:t>per</w:t>
      </w:r>
      <w:r>
        <w:rPr>
          <w:spacing w:val="-13"/>
          <w:sz w:val="20"/>
        </w:rPr>
        <w:t> </w:t>
      </w:r>
      <w:r>
        <w:rPr>
          <w:sz w:val="20"/>
        </w:rPr>
        <w:t>cent and</w:t>
      </w:r>
      <w:r>
        <w:rPr>
          <w:spacing w:val="-4"/>
          <w:sz w:val="20"/>
        </w:rPr>
        <w:t> </w:t>
      </w:r>
      <w:r>
        <w:rPr>
          <w:sz w:val="20"/>
        </w:rPr>
        <w:t>relate</w:t>
      </w:r>
      <w:r>
        <w:rPr>
          <w:spacing w:val="-2"/>
          <w:sz w:val="20"/>
        </w:rPr>
        <w:t> </w:t>
      </w:r>
      <w:r>
        <w:rPr>
          <w:sz w:val="20"/>
        </w:rPr>
        <w:t>to</w:t>
      </w:r>
      <w:r>
        <w:rPr>
          <w:spacing w:val="-4"/>
          <w:sz w:val="20"/>
        </w:rPr>
        <w:t> </w:t>
      </w:r>
      <w:r>
        <w:rPr>
          <w:sz w:val="20"/>
        </w:rPr>
        <w:t>the</w:t>
      </w:r>
      <w:r>
        <w:rPr>
          <w:spacing w:val="-7"/>
          <w:sz w:val="20"/>
        </w:rPr>
        <w:t> </w:t>
      </w:r>
      <w:r>
        <w:rPr>
          <w:sz w:val="20"/>
        </w:rPr>
        <w:t>active</w:t>
      </w:r>
      <w:r>
        <w:rPr>
          <w:spacing w:val="-7"/>
          <w:sz w:val="20"/>
        </w:rPr>
        <w:t> </w:t>
      </w:r>
      <w:r>
        <w:rPr>
          <w:sz w:val="20"/>
        </w:rPr>
        <w:t>investigations</w:t>
      </w:r>
      <w:r>
        <w:rPr>
          <w:spacing w:val="-5"/>
          <w:sz w:val="20"/>
        </w:rPr>
        <w:t> </w:t>
      </w:r>
      <w:r>
        <w:rPr>
          <w:sz w:val="20"/>
        </w:rPr>
        <w:t>to</w:t>
      </w:r>
      <w:r>
        <w:rPr>
          <w:spacing w:val="-4"/>
          <w:sz w:val="20"/>
        </w:rPr>
        <w:t> </w:t>
      </w:r>
      <w:r>
        <w:rPr>
          <w:sz w:val="20"/>
        </w:rPr>
        <w:t>be</w:t>
      </w:r>
      <w:r>
        <w:rPr>
          <w:spacing w:val="-2"/>
          <w:sz w:val="20"/>
        </w:rPr>
        <w:t> </w:t>
      </w:r>
      <w:r>
        <w:rPr>
          <w:sz w:val="20"/>
        </w:rPr>
        <w:t>carried</w:t>
      </w:r>
      <w:r>
        <w:rPr>
          <w:spacing w:val="-8"/>
          <w:sz w:val="20"/>
        </w:rPr>
        <w:t> </w:t>
      </w:r>
      <w:r>
        <w:rPr>
          <w:sz w:val="20"/>
        </w:rPr>
        <w:t>out</w:t>
      </w:r>
      <w:r>
        <w:rPr>
          <w:spacing w:val="-7"/>
          <w:sz w:val="20"/>
        </w:rPr>
        <w:t> </w:t>
      </w:r>
      <w:r>
        <w:rPr>
          <w:sz w:val="20"/>
        </w:rPr>
        <w:t>by</w:t>
      </w:r>
      <w:r>
        <w:rPr>
          <w:spacing w:val="-8"/>
          <w:sz w:val="20"/>
        </w:rPr>
        <w:t> </w:t>
      </w:r>
      <w:r>
        <w:rPr>
          <w:sz w:val="20"/>
        </w:rPr>
        <w:t>the</w:t>
      </w:r>
      <w:r>
        <w:rPr>
          <w:spacing w:val="-11"/>
          <w:sz w:val="20"/>
        </w:rPr>
        <w:t> </w:t>
      </w:r>
      <w:r>
        <w:rPr>
          <w:sz w:val="20"/>
        </w:rPr>
        <w:t>OTP,</w:t>
      </w:r>
      <w:r>
        <w:rPr>
          <w:spacing w:val="-6"/>
          <w:sz w:val="20"/>
        </w:rPr>
        <w:t> </w:t>
      </w:r>
      <w:r>
        <w:rPr>
          <w:sz w:val="20"/>
        </w:rPr>
        <w:t>including</w:t>
      </w:r>
      <w:r>
        <w:rPr>
          <w:spacing w:val="-8"/>
          <w:sz w:val="20"/>
        </w:rPr>
        <w:t> </w:t>
      </w:r>
      <w:r>
        <w:rPr>
          <w:sz w:val="20"/>
        </w:rPr>
        <w:t>activities</w:t>
      </w:r>
      <w:r>
        <w:rPr>
          <w:spacing w:val="-5"/>
          <w:sz w:val="20"/>
        </w:rPr>
        <w:t> </w:t>
      </w:r>
      <w:r>
        <w:rPr>
          <w:sz w:val="20"/>
        </w:rPr>
        <w:t>in</w:t>
      </w:r>
      <w:r>
        <w:rPr>
          <w:spacing w:val="-4"/>
          <w:sz w:val="20"/>
        </w:rPr>
        <w:t> </w:t>
      </w:r>
      <w:r>
        <w:rPr>
          <w:sz w:val="20"/>
        </w:rPr>
        <w:t>the field. The remaining activities, under “Secretariat of the Trust Fund for Victims” (2.4 per cent), relate to the enhancement of that body’s organizational capacity to ensure that it can implement its mandate and activities, including during the implementation stage of reparations proceedings.</w:t>
      </w:r>
    </w:p>
    <w:p>
      <w:pPr>
        <w:pStyle w:val="BodyText"/>
        <w:spacing w:before="10"/>
        <w:rPr>
          <w:sz w:val="7"/>
        </w:rPr>
      </w:pPr>
      <w:r>
        <w:rPr/>
        <w:pict>
          <v:group style="position:absolute;margin-left:113.150002pt;margin-top:5.748379pt;width:369pt;height:211.9pt;mso-position-horizontal-relative:page;mso-position-vertical-relative:paragraph;z-index:-15727104;mso-wrap-distance-left:0;mso-wrap-distance-right:0" id="docshapegroup14" coordorigin="2263,115" coordsize="7380,4238">
            <v:shape style="position:absolute;left:5953;top:1812;width:1630;height:1129" id="docshape15" coordorigin="5953,1812" coordsize="1630,1129" path="m7527,1812l5953,2234,7422,2941,7454,2870,7482,2798,7507,2724,7529,2650,7547,2576,7561,2500,7572,2424,7579,2348,7582,2271,7582,2194,7579,2117,7571,2040,7560,1964,7546,1888,7527,1812xe" filled="true" fillcolor="#787878" stroked="false">
              <v:path arrowok="t"/>
              <v:fill type="solid"/>
            </v:shape>
            <v:shape style="position:absolute;left:5953;top:2233;width:1469;height:962" id="docshape16" coordorigin="5953,2234" coordsize="1469,962" path="m5953,2234l7269,3195,7311,3134,7351,3071,7388,3007,7422,2941,5953,2234xe" filled="true" fillcolor="#8b8b8b" stroked="false">
              <v:path arrowok="t"/>
              <v:fill type="solid"/>
            </v:shape>
            <v:shape style="position:absolute;left:5953;top:2233;width:1316;height:1152" id="docshape17" coordorigin="5953,2234" coordsize="1316,1152" path="m5953,2234l7106,3386,7150,3340,7191,3294,7231,3245,7269,3195,5953,2234xe" filled="true" fillcolor="#9d9d9d" stroked="false">
              <v:path arrowok="t"/>
              <v:fill type="solid"/>
            </v:shape>
            <v:shape style="position:absolute;left:4565;top:2233;width:2541;height:1630" id="docshape18" coordorigin="4566,2234" coordsize="2541,1630" path="m5953,2234l4566,3089,4607,3153,4652,3215,4699,3275,4749,3332,4801,3387,4857,3440,4914,3490,4973,3537,5034,3580,5096,3621,5160,3658,5225,3692,5291,3724,5358,3752,5426,3776,5494,3798,5564,3817,5634,3832,5705,3845,5776,3854,5847,3860,5918,3863,5990,3863,6061,3860,6133,3854,6204,3844,6274,3832,6344,3816,6414,3798,6483,3776,6551,3751,6617,3723,6683,3691,6748,3657,6812,3620,6874,3579,6934,3535,6993,3489,7051,3439,7106,3386,5953,2234xe" filled="true" fillcolor="#b0b0b0" stroked="false">
              <v:path arrowok="t"/>
              <v:fill type="solid"/>
            </v:shape>
            <v:shape style="position:absolute;left:4323;top:604;width:2990;height:2486" id="docshape19" coordorigin="4323,604" coordsize="2990,2486" path="m5991,605l5920,604,5850,607,5779,613,5709,622,5639,634,5569,650,5500,668,5431,690,5363,715,5295,743,5228,774,5163,809,5098,847,5033,889,4972,933,4913,979,4856,1028,4802,1079,4751,1133,4703,1188,4657,1245,4615,1303,4575,1364,4538,1426,4503,1489,4472,1554,4443,1619,4418,1686,4395,1754,4376,1823,4359,1893,4346,1963,4336,2034,4328,2105,4324,2177,4323,2248,4325,2320,4331,2392,4339,2464,4351,2536,4366,2607,4385,2678,4406,2749,4431,2818,4460,2888,4492,2956,4527,3023,4566,3089,5953,2234,7312,1335,7269,1273,7224,1214,7177,1158,7127,1104,7076,1052,7023,1004,6967,958,6910,915,6852,874,6792,836,6730,801,6668,769,6604,740,6539,713,6473,689,6406,668,6338,650,6269,635,6200,623,6131,614,6061,608,5991,605xe" filled="true" fillcolor="#c5c5c5" stroked="false">
              <v:path arrowok="t"/>
              <v:fill type="solid"/>
            </v:shape>
            <v:shape style="position:absolute;left:5953;top:1334;width:1575;height:900" id="docshape20" coordorigin="5953,1335" coordsize="1575,900" path="m7312,1335l5953,2234,7527,1812,7506,1740,7482,1669,7454,1599,7423,1531,7389,1464,7352,1398,7312,1335xe" filled="true" fillcolor="#d7d7d7" stroked="false">
              <v:path arrowok="t"/>
              <v:fill type="solid"/>
            </v:shape>
            <v:rect style="position:absolute;left:2268;top:119;width:7370;height:4228" id="docshape21" filled="false" stroked="true" strokeweight=".5pt" strokecolor="#888888">
              <v:stroke dashstyle="solid"/>
            </v:rect>
            <v:shape style="position:absolute;left:2577;top:467;width:1537;height:915" type="#_x0000_t202" id="docshape22" filled="false" stroked="false">
              <v:textbox inset="0,0,0,0">
                <w:txbxContent>
                  <w:p>
                    <w:pPr>
                      <w:spacing w:line="240" w:lineRule="auto" w:before="0"/>
                      <w:ind w:left="0" w:right="13" w:firstLine="0"/>
                      <w:jc w:val="left"/>
                      <w:rPr>
                        <w:b/>
                        <w:sz w:val="20"/>
                      </w:rPr>
                    </w:pPr>
                    <w:r>
                      <w:rPr>
                        <w:b/>
                        <w:spacing w:val="-2"/>
                        <w:sz w:val="20"/>
                      </w:rPr>
                      <w:t>Judicial, </w:t>
                    </w:r>
                    <w:r>
                      <w:rPr>
                        <w:b/>
                        <w:sz w:val="20"/>
                      </w:rPr>
                      <w:t>Prosecutorial</w:t>
                    </w:r>
                    <w:r>
                      <w:rPr>
                        <w:b/>
                        <w:spacing w:val="-13"/>
                        <w:sz w:val="20"/>
                      </w:rPr>
                      <w:t> </w:t>
                    </w:r>
                    <w:r>
                      <w:rPr>
                        <w:b/>
                        <w:sz w:val="20"/>
                      </w:rPr>
                      <w:t>and </w:t>
                    </w:r>
                    <w:r>
                      <w:rPr>
                        <w:b/>
                        <w:spacing w:val="-2"/>
                        <w:sz w:val="20"/>
                      </w:rPr>
                      <w:t>Investigative </w:t>
                    </w:r>
                    <w:r>
                      <w:rPr>
                        <w:b/>
                        <w:sz w:val="20"/>
                      </w:rPr>
                      <w:t>Activities:</w:t>
                    </w:r>
                    <w:r>
                      <w:rPr>
                        <w:b/>
                        <w:spacing w:val="-5"/>
                        <w:sz w:val="20"/>
                      </w:rPr>
                      <w:t> </w:t>
                    </w:r>
                    <w:r>
                      <w:rPr>
                        <w:b/>
                        <w:sz w:val="20"/>
                      </w:rPr>
                      <w:t>80.7%</w:t>
                    </w:r>
                  </w:p>
                </w:txbxContent>
              </v:textbox>
              <w10:wrap type="none"/>
            </v:shape>
            <v:shape style="position:absolute;left:5462;top:269;width:965;height:240" type="#_x0000_t202" id="docshape23" filled="false" stroked="false">
              <v:textbox inset="0,0,0,0">
                <w:txbxContent>
                  <w:p>
                    <w:pPr>
                      <w:spacing w:line="238" w:lineRule="exact" w:before="0"/>
                      <w:ind w:left="0" w:right="0" w:firstLine="0"/>
                      <w:jc w:val="left"/>
                      <w:rPr>
                        <w:b/>
                        <w:sz w:val="21"/>
                      </w:rPr>
                    </w:pPr>
                    <w:r>
                      <w:rPr>
                        <w:b/>
                        <w:sz w:val="21"/>
                      </w:rPr>
                      <w:t>2023</w:t>
                    </w:r>
                    <w:r>
                      <w:rPr>
                        <w:b/>
                        <w:spacing w:val="63"/>
                        <w:sz w:val="21"/>
                      </w:rPr>
                      <w:t> </w:t>
                    </w:r>
                    <w:r>
                      <w:rPr>
                        <w:b/>
                        <w:spacing w:val="-5"/>
                        <w:sz w:val="21"/>
                      </w:rPr>
                      <w:t>PPB</w:t>
                    </w:r>
                  </w:p>
                </w:txbxContent>
              </v:textbox>
              <w10:wrap type="none"/>
            </v:shape>
            <v:shape style="position:absolute;left:7515;top:458;width:1454;height:454" type="#_x0000_t202" id="docshape24" filled="false" stroked="false">
              <v:textbox inset="0,0,0,0">
                <w:txbxContent>
                  <w:p>
                    <w:pPr>
                      <w:spacing w:line="240" w:lineRule="auto" w:before="0"/>
                      <w:ind w:left="0" w:right="0" w:firstLine="0"/>
                      <w:jc w:val="left"/>
                      <w:rPr>
                        <w:b/>
                        <w:sz w:val="20"/>
                      </w:rPr>
                    </w:pPr>
                    <w:r>
                      <w:rPr>
                        <w:b/>
                        <w:sz w:val="20"/>
                      </w:rPr>
                      <w:t>Other</w:t>
                    </w:r>
                    <w:r>
                      <w:rPr>
                        <w:b/>
                        <w:spacing w:val="-13"/>
                        <w:sz w:val="20"/>
                      </w:rPr>
                      <w:t> </w:t>
                    </w:r>
                    <w:r>
                      <w:rPr>
                        <w:b/>
                        <w:sz w:val="20"/>
                      </w:rPr>
                      <w:t>Activities: </w:t>
                    </w:r>
                    <w:r>
                      <w:rPr>
                        <w:b/>
                        <w:spacing w:val="-2"/>
                        <w:sz w:val="20"/>
                      </w:rPr>
                      <w:t>19.3%</w:t>
                    </w:r>
                  </w:p>
                </w:txbxContent>
              </v:textbox>
              <w10:wrap type="none"/>
            </v:shape>
            <v:shape style="position:absolute;left:4510;top:1343;width:1286;height:615" type="#_x0000_t202" id="docshape25" filled="false" stroked="false">
              <v:textbox inset="0,0,0,0">
                <w:txbxContent>
                  <w:p>
                    <w:pPr>
                      <w:spacing w:line="240" w:lineRule="auto" w:before="0"/>
                      <w:ind w:left="-1" w:right="18" w:firstLine="4"/>
                      <w:jc w:val="center"/>
                      <w:rPr>
                        <w:sz w:val="18"/>
                      </w:rPr>
                    </w:pPr>
                    <w:r>
                      <w:rPr>
                        <w:sz w:val="18"/>
                      </w:rPr>
                      <w:t>Judicial</w:t>
                    </w:r>
                    <w:r>
                      <w:rPr>
                        <w:spacing w:val="-12"/>
                        <w:sz w:val="18"/>
                      </w:rPr>
                      <w:t> </w:t>
                    </w:r>
                    <w:r>
                      <w:rPr>
                        <w:sz w:val="18"/>
                      </w:rPr>
                      <w:t>and </w:t>
                    </w:r>
                    <w:r>
                      <w:rPr>
                        <w:spacing w:val="-2"/>
                        <w:sz w:val="18"/>
                      </w:rPr>
                      <w:t>Prosecutorial </w:t>
                    </w:r>
                    <w:r>
                      <w:rPr>
                        <w:sz w:val="18"/>
                      </w:rPr>
                      <w:t>Activities,</w:t>
                    </w:r>
                    <w:r>
                      <w:rPr>
                        <w:spacing w:val="-12"/>
                        <w:sz w:val="18"/>
                      </w:rPr>
                      <w:t> </w:t>
                    </w:r>
                    <w:r>
                      <w:rPr>
                        <w:sz w:val="18"/>
                      </w:rPr>
                      <w:t>49.5%</w:t>
                    </w:r>
                  </w:p>
                </w:txbxContent>
              </v:textbox>
              <w10:wrap type="none"/>
            </v:shape>
            <v:shape style="position:absolute;left:7468;top:1448;width:1363;height:202" type="#_x0000_t202" id="docshape26" filled="false" stroked="false">
              <v:textbox inset="0,0,0,0">
                <w:txbxContent>
                  <w:p>
                    <w:pPr>
                      <w:spacing w:line="201" w:lineRule="exact" w:before="0"/>
                      <w:ind w:left="0" w:right="0" w:firstLine="0"/>
                      <w:jc w:val="left"/>
                      <w:rPr>
                        <w:sz w:val="18"/>
                      </w:rPr>
                    </w:pPr>
                    <w:r>
                      <w:rPr>
                        <w:sz w:val="18"/>
                      </w:rPr>
                      <w:t>Governance,</w:t>
                    </w:r>
                    <w:r>
                      <w:rPr>
                        <w:spacing w:val="-6"/>
                        <w:sz w:val="18"/>
                      </w:rPr>
                      <w:t> </w:t>
                    </w:r>
                    <w:r>
                      <w:rPr>
                        <w:spacing w:val="-4"/>
                        <w:sz w:val="18"/>
                      </w:rPr>
                      <w:t>5.1%</w:t>
                    </w:r>
                  </w:p>
                </w:txbxContent>
              </v:textbox>
              <w10:wrap type="none"/>
            </v:shape>
            <v:shape style="position:absolute;left:7601;top:2183;width:1286;height:409" type="#_x0000_t202" id="docshape27" filled="false" stroked="false">
              <v:textbox inset="0,0,0,0">
                <w:txbxContent>
                  <w:p>
                    <w:pPr>
                      <w:spacing w:line="240" w:lineRule="auto" w:before="0"/>
                      <w:ind w:left="0" w:right="0" w:firstLine="86"/>
                      <w:jc w:val="left"/>
                      <w:rPr>
                        <w:sz w:val="18"/>
                      </w:rPr>
                    </w:pPr>
                    <w:r>
                      <w:rPr>
                        <w:spacing w:val="-2"/>
                        <w:sz w:val="18"/>
                      </w:rPr>
                      <w:t>Administrative </w:t>
                    </w:r>
                    <w:r>
                      <w:rPr>
                        <w:sz w:val="18"/>
                      </w:rPr>
                      <w:t>Activities,</w:t>
                    </w:r>
                    <w:r>
                      <w:rPr>
                        <w:spacing w:val="-7"/>
                        <w:sz w:val="18"/>
                      </w:rPr>
                      <w:t> </w:t>
                    </w:r>
                    <w:r>
                      <w:rPr>
                        <w:spacing w:val="-2"/>
                        <w:sz w:val="18"/>
                      </w:rPr>
                      <w:t>11.3%</w:t>
                    </w:r>
                  </w:p>
                </w:txbxContent>
              </v:textbox>
              <w10:wrap type="none"/>
            </v:shape>
            <v:shape style="position:absolute;left:5123;top:3114;width:1305;height:615" type="#_x0000_t202" id="docshape28" filled="false" stroked="false">
              <v:textbox inset="0,0,0,0">
                <w:txbxContent>
                  <w:p>
                    <w:pPr>
                      <w:spacing w:line="240" w:lineRule="auto" w:before="0"/>
                      <w:ind w:left="-1" w:right="18" w:firstLine="6"/>
                      <w:jc w:val="center"/>
                      <w:rPr>
                        <w:sz w:val="18"/>
                      </w:rPr>
                    </w:pPr>
                    <w:r>
                      <w:rPr>
                        <w:spacing w:val="-2"/>
                        <w:sz w:val="18"/>
                      </w:rPr>
                      <w:t>Investigations </w:t>
                    </w:r>
                    <w:r>
                      <w:rPr>
                        <w:sz w:val="18"/>
                      </w:rPr>
                      <w:t>(Including</w:t>
                    </w:r>
                    <w:r>
                      <w:rPr>
                        <w:spacing w:val="-12"/>
                        <w:sz w:val="18"/>
                      </w:rPr>
                      <w:t> </w:t>
                    </w:r>
                    <w:r>
                      <w:rPr>
                        <w:sz w:val="18"/>
                      </w:rPr>
                      <w:t>Field), </w:t>
                    </w:r>
                    <w:r>
                      <w:rPr>
                        <w:spacing w:val="-2"/>
                        <w:sz w:val="18"/>
                      </w:rPr>
                      <w:t>28.7%</w:t>
                    </w:r>
                  </w:p>
                </w:txbxContent>
              </v:textbox>
              <w10:wrap type="none"/>
            </v:shape>
            <v:shape style="position:absolute;left:7203;top:3098;width:1317;height:871" type="#_x0000_t202" id="docshape29" filled="false" stroked="false">
              <v:textbox inset="0,0,0,0">
                <w:txbxContent>
                  <w:p>
                    <w:pPr>
                      <w:spacing w:line="201" w:lineRule="exact" w:before="0"/>
                      <w:ind w:left="175" w:right="0" w:firstLine="0"/>
                      <w:jc w:val="left"/>
                      <w:rPr>
                        <w:sz w:val="18"/>
                      </w:rPr>
                    </w:pPr>
                    <w:r>
                      <w:rPr>
                        <w:sz w:val="18"/>
                      </w:rPr>
                      <w:t>Premises,</w:t>
                    </w:r>
                    <w:r>
                      <w:rPr>
                        <w:spacing w:val="-8"/>
                        <w:sz w:val="18"/>
                      </w:rPr>
                      <w:t> </w:t>
                    </w:r>
                    <w:r>
                      <w:rPr>
                        <w:spacing w:val="-4"/>
                        <w:sz w:val="18"/>
                      </w:rPr>
                      <w:t>2.9%</w:t>
                    </w:r>
                  </w:p>
                  <w:p>
                    <w:pPr>
                      <w:spacing w:before="47"/>
                      <w:ind w:left="91" w:right="0" w:hanging="92"/>
                      <w:jc w:val="left"/>
                      <w:rPr>
                        <w:sz w:val="18"/>
                      </w:rPr>
                    </w:pPr>
                    <w:r>
                      <w:rPr>
                        <w:sz w:val="18"/>
                      </w:rPr>
                      <w:t>Secretariat</w:t>
                    </w:r>
                    <w:r>
                      <w:rPr>
                        <w:spacing w:val="-15"/>
                        <w:sz w:val="18"/>
                      </w:rPr>
                      <w:t> </w:t>
                    </w:r>
                    <w:r>
                      <w:rPr>
                        <w:sz w:val="18"/>
                      </w:rPr>
                      <w:t>of</w:t>
                    </w:r>
                    <w:r>
                      <w:rPr>
                        <w:spacing w:val="-12"/>
                        <w:sz w:val="18"/>
                      </w:rPr>
                      <w:t> </w:t>
                    </w:r>
                    <w:r>
                      <w:rPr>
                        <w:sz w:val="18"/>
                      </w:rPr>
                      <w:t>the Trust Fund for Victims,</w:t>
                    </w:r>
                    <w:r>
                      <w:rPr>
                        <w:spacing w:val="-12"/>
                        <w:sz w:val="18"/>
                      </w:rPr>
                      <w:t> </w:t>
                    </w:r>
                    <w:r>
                      <w:rPr>
                        <w:sz w:val="18"/>
                      </w:rPr>
                      <w:t>2.4%</w:t>
                    </w:r>
                  </w:p>
                </w:txbxContent>
              </v:textbox>
              <w10:wrap type="none"/>
            </v:shape>
            <v:shape style="position:absolute;left:2450;top:4151;width:1751;height:176" type="#_x0000_t202" id="docshape30" filled="false" stroked="false">
              <v:textbox inset="0,0,0,0">
                <w:txbxContent>
                  <w:p>
                    <w:pPr>
                      <w:spacing w:line="175" w:lineRule="exact" w:before="0"/>
                      <w:ind w:left="0" w:right="0" w:firstLine="0"/>
                      <w:jc w:val="left"/>
                      <w:rPr>
                        <w:i/>
                        <w:sz w:val="16"/>
                      </w:rPr>
                    </w:pPr>
                    <w:r>
                      <w:rPr>
                        <w:i/>
                        <w:sz w:val="16"/>
                      </w:rPr>
                      <w:t>*Excludes</w:t>
                    </w:r>
                    <w:r>
                      <w:rPr>
                        <w:i/>
                        <w:spacing w:val="-8"/>
                        <w:sz w:val="16"/>
                      </w:rPr>
                      <w:t> </w:t>
                    </w:r>
                    <w:r>
                      <w:rPr>
                        <w:i/>
                        <w:sz w:val="16"/>
                      </w:rPr>
                      <w:t>Host</w:t>
                    </w:r>
                    <w:r>
                      <w:rPr>
                        <w:i/>
                        <w:spacing w:val="1"/>
                        <w:sz w:val="16"/>
                      </w:rPr>
                      <w:t> </w:t>
                    </w:r>
                    <w:r>
                      <w:rPr>
                        <w:i/>
                        <w:sz w:val="16"/>
                      </w:rPr>
                      <w:t>State </w:t>
                    </w:r>
                    <w:r>
                      <w:rPr>
                        <w:i/>
                        <w:spacing w:val="-4"/>
                        <w:sz w:val="16"/>
                      </w:rPr>
                      <w:t>Loan</w:t>
                    </w:r>
                  </w:p>
                </w:txbxContent>
              </v:textbox>
              <w10:wrap type="none"/>
            </v:shape>
            <w10:wrap type="topAndBottom"/>
          </v:group>
        </w:pict>
      </w:r>
    </w:p>
    <w:p>
      <w:pPr>
        <w:pStyle w:val="BodyText"/>
        <w:spacing w:before="8"/>
        <w:rPr>
          <w:sz w:val="22"/>
        </w:rPr>
      </w:pPr>
    </w:p>
    <w:p>
      <w:pPr>
        <w:pStyle w:val="Heading3"/>
        <w:numPr>
          <w:ilvl w:val="2"/>
          <w:numId w:val="3"/>
        </w:numPr>
        <w:tabs>
          <w:tab w:pos="2246" w:val="left" w:leader="none"/>
          <w:tab w:pos="2247" w:val="left" w:leader="none"/>
        </w:tabs>
        <w:spacing w:line="240" w:lineRule="auto" w:before="0" w:after="0"/>
        <w:ind w:left="2246" w:right="0" w:hanging="568"/>
        <w:jc w:val="left"/>
      </w:pPr>
      <w:r>
        <w:rPr/>
        <w:t>Other</w:t>
      </w:r>
      <w:r>
        <w:rPr>
          <w:spacing w:val="-2"/>
        </w:rPr>
        <w:t> Activities</w:t>
      </w:r>
    </w:p>
    <w:p>
      <w:pPr>
        <w:pStyle w:val="BodyText"/>
        <w:spacing w:before="5"/>
        <w:rPr>
          <w:b/>
        </w:rPr>
      </w:pPr>
    </w:p>
    <w:p>
      <w:pPr>
        <w:pStyle w:val="ListParagraph"/>
        <w:numPr>
          <w:ilvl w:val="0"/>
          <w:numId w:val="4"/>
        </w:numPr>
        <w:tabs>
          <w:tab w:pos="2967" w:val="left" w:leader="none"/>
        </w:tabs>
        <w:spacing w:line="240" w:lineRule="auto" w:before="1" w:after="0"/>
        <w:ind w:left="2246" w:right="2239" w:firstLine="0"/>
        <w:jc w:val="both"/>
        <w:rPr>
          <w:sz w:val="20"/>
        </w:rPr>
      </w:pPr>
      <w:r>
        <w:rPr>
          <w:sz w:val="20"/>
        </w:rPr>
        <w:t>The</w:t>
      </w:r>
      <w:r>
        <w:rPr>
          <w:spacing w:val="-4"/>
          <w:sz w:val="20"/>
        </w:rPr>
        <w:t> </w:t>
      </w:r>
      <w:r>
        <w:rPr>
          <w:sz w:val="20"/>
        </w:rPr>
        <w:t>activities</w:t>
      </w:r>
      <w:r>
        <w:rPr>
          <w:spacing w:val="-2"/>
          <w:sz w:val="20"/>
        </w:rPr>
        <w:t> </w:t>
      </w:r>
      <w:r>
        <w:rPr>
          <w:sz w:val="20"/>
        </w:rPr>
        <w:t>under</w:t>
      </w:r>
      <w:r>
        <w:rPr>
          <w:spacing w:val="-6"/>
          <w:sz w:val="20"/>
        </w:rPr>
        <w:t> </w:t>
      </w:r>
      <w:r>
        <w:rPr>
          <w:sz w:val="20"/>
        </w:rPr>
        <w:t>this</w:t>
      </w:r>
      <w:r>
        <w:rPr>
          <w:spacing w:val="-7"/>
          <w:sz w:val="20"/>
        </w:rPr>
        <w:t> </w:t>
      </w:r>
      <w:r>
        <w:rPr>
          <w:sz w:val="20"/>
        </w:rPr>
        <w:t>category</w:t>
      </w:r>
      <w:r>
        <w:rPr>
          <w:spacing w:val="-6"/>
          <w:sz w:val="20"/>
        </w:rPr>
        <w:t> </w:t>
      </w:r>
      <w:r>
        <w:rPr>
          <w:sz w:val="20"/>
        </w:rPr>
        <w:t>include</w:t>
      </w:r>
      <w:r>
        <w:rPr>
          <w:spacing w:val="-4"/>
          <w:sz w:val="20"/>
        </w:rPr>
        <w:t> </w:t>
      </w:r>
      <w:r>
        <w:rPr>
          <w:sz w:val="20"/>
        </w:rPr>
        <w:t>administrative</w:t>
      </w:r>
      <w:r>
        <w:rPr>
          <w:spacing w:val="-4"/>
          <w:sz w:val="20"/>
        </w:rPr>
        <w:t> </w:t>
      </w:r>
      <w:r>
        <w:rPr>
          <w:sz w:val="20"/>
        </w:rPr>
        <w:t>functions, governance</w:t>
      </w:r>
      <w:r>
        <w:rPr>
          <w:spacing w:val="-4"/>
          <w:sz w:val="20"/>
        </w:rPr>
        <w:t> </w:t>
      </w:r>
      <w:r>
        <w:rPr>
          <w:sz w:val="20"/>
        </w:rPr>
        <w:t>and maintenance</w:t>
      </w:r>
      <w:r>
        <w:rPr>
          <w:spacing w:val="-3"/>
          <w:sz w:val="20"/>
        </w:rPr>
        <w:t> </w:t>
      </w:r>
      <w:r>
        <w:rPr>
          <w:sz w:val="20"/>
        </w:rPr>
        <w:t>costs</w:t>
      </w:r>
      <w:r>
        <w:rPr>
          <w:spacing w:val="-6"/>
          <w:sz w:val="20"/>
        </w:rPr>
        <w:t> </w:t>
      </w:r>
      <w:r>
        <w:rPr>
          <w:sz w:val="20"/>
        </w:rPr>
        <w:t>related</w:t>
      </w:r>
      <w:r>
        <w:rPr>
          <w:spacing w:val="-8"/>
          <w:sz w:val="20"/>
        </w:rPr>
        <w:t> </w:t>
      </w:r>
      <w:r>
        <w:rPr>
          <w:sz w:val="20"/>
        </w:rPr>
        <w:t>to</w:t>
      </w:r>
      <w:r>
        <w:rPr>
          <w:spacing w:val="-5"/>
          <w:sz w:val="20"/>
        </w:rPr>
        <w:t> </w:t>
      </w:r>
      <w:r>
        <w:rPr>
          <w:sz w:val="20"/>
        </w:rPr>
        <w:t>the</w:t>
      </w:r>
      <w:r>
        <w:rPr>
          <w:spacing w:val="-3"/>
          <w:sz w:val="20"/>
        </w:rPr>
        <w:t> </w:t>
      </w:r>
      <w:r>
        <w:rPr>
          <w:sz w:val="20"/>
        </w:rPr>
        <w:t>premises.</w:t>
      </w:r>
      <w:r>
        <w:rPr>
          <w:spacing w:val="-2"/>
          <w:sz w:val="20"/>
        </w:rPr>
        <w:t> </w:t>
      </w:r>
      <w:r>
        <w:rPr>
          <w:sz w:val="20"/>
        </w:rPr>
        <w:t>The</w:t>
      </w:r>
      <w:r>
        <w:rPr>
          <w:spacing w:val="-3"/>
          <w:sz w:val="20"/>
        </w:rPr>
        <w:t> </w:t>
      </w:r>
      <w:r>
        <w:rPr>
          <w:sz w:val="20"/>
        </w:rPr>
        <w:t>Secretariat of</w:t>
      </w:r>
      <w:r>
        <w:rPr>
          <w:spacing w:val="-5"/>
          <w:sz w:val="20"/>
        </w:rPr>
        <w:t> </w:t>
      </w:r>
      <w:r>
        <w:rPr>
          <w:sz w:val="20"/>
        </w:rPr>
        <w:t>the</w:t>
      </w:r>
      <w:r>
        <w:rPr>
          <w:spacing w:val="-3"/>
          <w:sz w:val="20"/>
        </w:rPr>
        <w:t> </w:t>
      </w:r>
      <w:r>
        <w:rPr>
          <w:sz w:val="20"/>
        </w:rPr>
        <w:t>Assembly</w:t>
      </w:r>
      <w:r>
        <w:rPr>
          <w:spacing w:val="-5"/>
          <w:sz w:val="20"/>
        </w:rPr>
        <w:t> </w:t>
      </w:r>
      <w:r>
        <w:rPr>
          <w:sz w:val="20"/>
        </w:rPr>
        <w:t>of</w:t>
      </w:r>
      <w:r>
        <w:rPr>
          <w:spacing w:val="-5"/>
          <w:sz w:val="20"/>
        </w:rPr>
        <w:t> </w:t>
      </w:r>
      <w:r>
        <w:rPr>
          <w:sz w:val="20"/>
        </w:rPr>
        <w:t>States</w:t>
      </w:r>
      <w:r>
        <w:rPr>
          <w:spacing w:val="-1"/>
          <w:sz w:val="20"/>
        </w:rPr>
        <w:t> </w:t>
      </w:r>
      <w:r>
        <w:rPr>
          <w:sz w:val="20"/>
        </w:rPr>
        <w:t>Parties, the Independent Oversight Mechanism, the Office of Internal Audit and a small part of the Registry (e.g. the Court’s Liaison Office to the United Nations in New York and the funds related to the Gender Equality Focal Point and the ombudsperson) are grouped under </w:t>
      </w:r>
      <w:r>
        <w:rPr>
          <w:spacing w:val="-2"/>
          <w:sz w:val="20"/>
        </w:rPr>
        <w:t>“Governance”.</w:t>
      </w:r>
    </w:p>
    <w:p>
      <w:pPr>
        <w:spacing w:after="0" w:line="240" w:lineRule="auto"/>
        <w:jc w:val="both"/>
        <w:rPr>
          <w:sz w:val="20"/>
        </w:rPr>
        <w:sectPr>
          <w:pgSz w:w="11910" w:h="16840"/>
          <w:pgMar w:header="953" w:footer="940" w:top="1140" w:bottom="1140" w:left="20" w:right="20"/>
        </w:sectPr>
      </w:pPr>
    </w:p>
    <w:p>
      <w:pPr>
        <w:pStyle w:val="Heading2"/>
        <w:numPr>
          <w:ilvl w:val="1"/>
          <w:numId w:val="3"/>
        </w:numPr>
        <w:tabs>
          <w:tab w:pos="2246" w:val="left" w:leader="none"/>
          <w:tab w:pos="2247" w:val="left" w:leader="none"/>
        </w:tabs>
        <w:spacing w:line="240" w:lineRule="auto" w:before="121" w:after="0"/>
        <w:ind w:left="2246" w:right="0" w:hanging="568"/>
        <w:jc w:val="left"/>
      </w:pPr>
      <w:bookmarkStart w:name="_bookmark11" w:id="12"/>
      <w:bookmarkEnd w:id="12"/>
      <w:r>
        <w:rPr/>
        <w:t>S</w:t>
      </w:r>
      <w:r>
        <w:rPr/>
        <w:t>avings</w:t>
      </w:r>
      <w:r>
        <w:rPr>
          <w:spacing w:val="-6"/>
        </w:rPr>
        <w:t> </w:t>
      </w:r>
      <w:r>
        <w:rPr/>
        <w:t>and</w:t>
      </w:r>
      <w:r>
        <w:rPr>
          <w:spacing w:val="-3"/>
        </w:rPr>
        <w:t> </w:t>
      </w:r>
      <w:r>
        <w:rPr>
          <w:spacing w:val="-2"/>
        </w:rPr>
        <w:t>efficiencies</w:t>
      </w:r>
    </w:p>
    <w:p>
      <w:pPr>
        <w:pStyle w:val="BodyText"/>
        <w:rPr>
          <w:b/>
          <w:sz w:val="21"/>
        </w:rPr>
      </w:pPr>
    </w:p>
    <w:p>
      <w:pPr>
        <w:pStyle w:val="ListParagraph"/>
        <w:numPr>
          <w:ilvl w:val="0"/>
          <w:numId w:val="4"/>
        </w:numPr>
        <w:tabs>
          <w:tab w:pos="2967" w:val="left" w:leader="none"/>
        </w:tabs>
        <w:spacing w:line="240" w:lineRule="auto" w:before="0" w:after="0"/>
        <w:ind w:left="2246" w:right="2243" w:firstLine="0"/>
        <w:jc w:val="both"/>
        <w:rPr>
          <w:sz w:val="20"/>
        </w:rPr>
      </w:pPr>
      <w:bookmarkStart w:name="_bookmark12" w:id="13"/>
      <w:bookmarkEnd w:id="13"/>
      <w:r>
        <w:rPr>
          <w:sz w:val="20"/>
        </w:rPr>
        <w:t>S</w:t>
      </w:r>
      <w:r>
        <w:rPr>
          <w:sz w:val="20"/>
        </w:rPr>
        <w:t>ince</w:t>
      </w:r>
      <w:r>
        <w:rPr>
          <w:spacing w:val="-11"/>
          <w:sz w:val="20"/>
        </w:rPr>
        <w:t> </w:t>
      </w:r>
      <w:r>
        <w:rPr>
          <w:sz w:val="20"/>
        </w:rPr>
        <w:t>its</w:t>
      </w:r>
      <w:r>
        <w:rPr>
          <w:spacing w:val="-10"/>
          <w:sz w:val="20"/>
        </w:rPr>
        <w:t> </w:t>
      </w:r>
      <w:r>
        <w:rPr>
          <w:sz w:val="20"/>
        </w:rPr>
        <w:t>fifteenth</w:t>
      </w:r>
      <w:r>
        <w:rPr>
          <w:spacing w:val="-8"/>
          <w:sz w:val="20"/>
        </w:rPr>
        <w:t> </w:t>
      </w:r>
      <w:r>
        <w:rPr>
          <w:sz w:val="20"/>
        </w:rPr>
        <w:t>session</w:t>
      </w:r>
      <w:r>
        <w:rPr>
          <w:spacing w:val="-8"/>
          <w:sz w:val="20"/>
        </w:rPr>
        <w:t> </w:t>
      </w:r>
      <w:r>
        <w:rPr>
          <w:sz w:val="20"/>
        </w:rPr>
        <w:t>in</w:t>
      </w:r>
      <w:r>
        <w:rPr>
          <w:spacing w:val="-8"/>
          <w:sz w:val="20"/>
        </w:rPr>
        <w:t> </w:t>
      </w:r>
      <w:r>
        <w:rPr>
          <w:sz w:val="20"/>
        </w:rPr>
        <w:t>November</w:t>
      </w:r>
      <w:r>
        <w:rPr>
          <w:spacing w:val="-8"/>
          <w:sz w:val="20"/>
        </w:rPr>
        <w:t> </w:t>
      </w:r>
      <w:r>
        <w:rPr>
          <w:sz w:val="20"/>
        </w:rPr>
        <w:t>2016,</w:t>
      </w:r>
      <w:r>
        <w:rPr>
          <w:spacing w:val="-6"/>
          <w:sz w:val="20"/>
        </w:rPr>
        <w:t> </w:t>
      </w:r>
      <w:r>
        <w:rPr>
          <w:sz w:val="20"/>
        </w:rPr>
        <w:t>the</w:t>
      </w:r>
      <w:r>
        <w:rPr>
          <w:spacing w:val="-7"/>
          <w:sz w:val="20"/>
        </w:rPr>
        <w:t> </w:t>
      </w:r>
      <w:r>
        <w:rPr>
          <w:sz w:val="20"/>
        </w:rPr>
        <w:t>Assembly</w:t>
      </w:r>
      <w:r>
        <w:rPr>
          <w:spacing w:val="-8"/>
          <w:sz w:val="20"/>
        </w:rPr>
        <w:t> </w:t>
      </w:r>
      <w:r>
        <w:rPr>
          <w:sz w:val="20"/>
        </w:rPr>
        <w:t>has</w:t>
      </w:r>
      <w:r>
        <w:rPr>
          <w:spacing w:val="-5"/>
          <w:sz w:val="20"/>
        </w:rPr>
        <w:t> </w:t>
      </w:r>
      <w:r>
        <w:rPr>
          <w:sz w:val="20"/>
        </w:rPr>
        <w:t>requested</w:t>
      </w:r>
      <w:r>
        <w:rPr>
          <w:spacing w:val="-13"/>
          <w:sz w:val="20"/>
        </w:rPr>
        <w:t> </w:t>
      </w:r>
      <w:r>
        <w:rPr>
          <w:sz w:val="20"/>
        </w:rPr>
        <w:t>the</w:t>
      </w:r>
      <w:r>
        <w:rPr>
          <w:spacing w:val="-7"/>
          <w:sz w:val="20"/>
        </w:rPr>
        <w:t> </w:t>
      </w:r>
      <w:r>
        <w:rPr>
          <w:sz w:val="20"/>
        </w:rPr>
        <w:t>Court to present a sustainable budget proposal for the following year in which proposed increases are requested only after all</w:t>
      </w:r>
      <w:r>
        <w:rPr>
          <w:spacing w:val="-2"/>
          <w:sz w:val="20"/>
        </w:rPr>
        <w:t> </w:t>
      </w:r>
      <w:r>
        <w:rPr>
          <w:sz w:val="20"/>
        </w:rPr>
        <w:t>possible steps have been taken to</w:t>
      </w:r>
      <w:r>
        <w:rPr>
          <w:spacing w:val="-8"/>
          <w:sz w:val="20"/>
        </w:rPr>
        <w:t> </w:t>
      </w:r>
      <w:r>
        <w:rPr>
          <w:sz w:val="20"/>
        </w:rPr>
        <w:t>finance</w:t>
      </w:r>
      <w:r>
        <w:rPr>
          <w:spacing w:val="-2"/>
          <w:sz w:val="20"/>
        </w:rPr>
        <w:t> </w:t>
      </w:r>
      <w:r>
        <w:rPr>
          <w:sz w:val="20"/>
        </w:rPr>
        <w:t>such</w:t>
      </w:r>
      <w:r>
        <w:rPr>
          <w:spacing w:val="-4"/>
          <w:sz w:val="20"/>
        </w:rPr>
        <w:t> </w:t>
      </w:r>
      <w:r>
        <w:rPr>
          <w:sz w:val="20"/>
        </w:rPr>
        <w:t>increases through savings and efficiencies.</w:t>
      </w:r>
      <w:r>
        <w:rPr>
          <w:sz w:val="20"/>
          <w:vertAlign w:val="superscript"/>
        </w:rPr>
        <w:t>3</w:t>
      </w:r>
      <w:r>
        <w:rPr>
          <w:sz w:val="20"/>
          <w:vertAlign w:val="baseline"/>
        </w:rPr>
        <w:t> In addition, the Assembly has also requested the Court to present an annex to the programme budget with detailed information about the savings and efficiencies</w:t>
      </w:r>
      <w:r>
        <w:rPr>
          <w:spacing w:val="-10"/>
          <w:sz w:val="20"/>
          <w:vertAlign w:val="baseline"/>
        </w:rPr>
        <w:t> </w:t>
      </w:r>
      <w:r>
        <w:rPr>
          <w:sz w:val="20"/>
          <w:vertAlign w:val="baseline"/>
        </w:rPr>
        <w:t>achieved</w:t>
      </w:r>
      <w:r>
        <w:rPr>
          <w:spacing w:val="-8"/>
          <w:sz w:val="20"/>
          <w:vertAlign w:val="baseline"/>
        </w:rPr>
        <w:t> </w:t>
      </w:r>
      <w:r>
        <w:rPr>
          <w:sz w:val="20"/>
          <w:vertAlign w:val="baseline"/>
        </w:rPr>
        <w:t>in</w:t>
      </w:r>
      <w:r>
        <w:rPr>
          <w:spacing w:val="-8"/>
          <w:sz w:val="20"/>
          <w:vertAlign w:val="baseline"/>
        </w:rPr>
        <w:t> </w:t>
      </w:r>
      <w:r>
        <w:rPr>
          <w:sz w:val="20"/>
          <w:vertAlign w:val="baseline"/>
        </w:rPr>
        <w:t>the</w:t>
      </w:r>
      <w:r>
        <w:rPr>
          <w:spacing w:val="-7"/>
          <w:sz w:val="20"/>
          <w:vertAlign w:val="baseline"/>
        </w:rPr>
        <w:t> </w:t>
      </w:r>
      <w:r>
        <w:rPr>
          <w:sz w:val="20"/>
          <w:vertAlign w:val="baseline"/>
        </w:rPr>
        <w:t>current</w:t>
      </w:r>
      <w:r>
        <w:rPr>
          <w:spacing w:val="-7"/>
          <w:sz w:val="20"/>
          <w:vertAlign w:val="baseline"/>
        </w:rPr>
        <w:t> </w:t>
      </w:r>
      <w:r>
        <w:rPr>
          <w:sz w:val="20"/>
          <w:vertAlign w:val="baseline"/>
        </w:rPr>
        <w:t>year</w:t>
      </w:r>
      <w:r>
        <w:rPr>
          <w:spacing w:val="-8"/>
          <w:sz w:val="20"/>
          <w:vertAlign w:val="baseline"/>
        </w:rPr>
        <w:t> </w:t>
      </w:r>
      <w:r>
        <w:rPr>
          <w:sz w:val="20"/>
          <w:vertAlign w:val="baseline"/>
        </w:rPr>
        <w:t>and</w:t>
      </w:r>
      <w:r>
        <w:rPr>
          <w:spacing w:val="-8"/>
          <w:sz w:val="20"/>
          <w:vertAlign w:val="baseline"/>
        </w:rPr>
        <w:t> </w:t>
      </w:r>
      <w:r>
        <w:rPr>
          <w:sz w:val="20"/>
          <w:vertAlign w:val="baseline"/>
        </w:rPr>
        <w:t>estimates</w:t>
      </w:r>
      <w:r>
        <w:rPr>
          <w:spacing w:val="-5"/>
          <w:sz w:val="20"/>
          <w:vertAlign w:val="baseline"/>
        </w:rPr>
        <w:t> </w:t>
      </w:r>
      <w:r>
        <w:rPr>
          <w:sz w:val="20"/>
          <w:vertAlign w:val="baseline"/>
        </w:rPr>
        <w:t>for</w:t>
      </w:r>
      <w:r>
        <w:rPr>
          <w:spacing w:val="-4"/>
          <w:sz w:val="20"/>
          <w:vertAlign w:val="baseline"/>
        </w:rPr>
        <w:t> </w:t>
      </w:r>
      <w:r>
        <w:rPr>
          <w:sz w:val="20"/>
          <w:vertAlign w:val="baseline"/>
        </w:rPr>
        <w:t>the</w:t>
      </w:r>
      <w:r>
        <w:rPr>
          <w:spacing w:val="-11"/>
          <w:sz w:val="20"/>
          <w:vertAlign w:val="baseline"/>
        </w:rPr>
        <w:t> </w:t>
      </w:r>
      <w:r>
        <w:rPr>
          <w:sz w:val="20"/>
          <w:vertAlign w:val="baseline"/>
        </w:rPr>
        <w:t>following</w:t>
      </w:r>
      <w:r>
        <w:rPr>
          <w:spacing w:val="-8"/>
          <w:sz w:val="20"/>
          <w:vertAlign w:val="baseline"/>
        </w:rPr>
        <w:t> </w:t>
      </w:r>
      <w:r>
        <w:rPr>
          <w:sz w:val="20"/>
          <w:vertAlign w:val="baseline"/>
        </w:rPr>
        <w:t>year.</w:t>
      </w:r>
      <w:r>
        <w:rPr>
          <w:sz w:val="20"/>
          <w:vertAlign w:val="superscript"/>
        </w:rPr>
        <w:t>4</w:t>
      </w:r>
      <w:r>
        <w:rPr>
          <w:spacing w:val="-1"/>
          <w:sz w:val="20"/>
          <w:vertAlign w:val="baseline"/>
        </w:rPr>
        <w:t> </w:t>
      </w:r>
      <w:r>
        <w:rPr>
          <w:sz w:val="20"/>
          <w:vertAlign w:val="baseline"/>
        </w:rPr>
        <w:t>Subsequently, savings and efficiencies were reported in the programme budgets since the 2018 edition.</w:t>
      </w:r>
      <w:r>
        <w:rPr>
          <w:sz w:val="20"/>
          <w:vertAlign w:val="superscript"/>
        </w:rPr>
        <w:t>5</w:t>
      </w:r>
    </w:p>
    <w:p>
      <w:pPr>
        <w:pStyle w:val="ListParagraph"/>
        <w:numPr>
          <w:ilvl w:val="0"/>
          <w:numId w:val="4"/>
        </w:numPr>
        <w:tabs>
          <w:tab w:pos="2967" w:val="left" w:leader="none"/>
        </w:tabs>
        <w:spacing w:line="240" w:lineRule="auto" w:before="119" w:after="0"/>
        <w:ind w:left="2246" w:right="2236" w:firstLine="0"/>
        <w:jc w:val="both"/>
        <w:rPr>
          <w:sz w:val="20"/>
        </w:rPr>
      </w:pPr>
      <w:r>
        <w:rPr>
          <w:sz w:val="20"/>
        </w:rPr>
        <w:t>At its twentieth session in December 2021, the Assembly renewed its request for the Court to present proposed increases above the level of the 2022 approved budget only when necessary</w:t>
      </w:r>
      <w:r>
        <w:rPr>
          <w:spacing w:val="-3"/>
          <w:sz w:val="20"/>
        </w:rPr>
        <w:t> </w:t>
      </w:r>
      <w:r>
        <w:rPr>
          <w:sz w:val="20"/>
        </w:rPr>
        <w:t>for</w:t>
      </w:r>
      <w:r>
        <w:rPr>
          <w:spacing w:val="-2"/>
          <w:sz w:val="20"/>
        </w:rPr>
        <w:t> </w:t>
      </w:r>
      <w:r>
        <w:rPr>
          <w:sz w:val="20"/>
        </w:rPr>
        <w:t>the</w:t>
      </w:r>
      <w:r>
        <w:rPr>
          <w:spacing w:val="-1"/>
          <w:sz w:val="20"/>
        </w:rPr>
        <w:t> </w:t>
      </w:r>
      <w:r>
        <w:rPr>
          <w:sz w:val="20"/>
        </w:rPr>
        <w:t>purpose of</w:t>
      </w:r>
      <w:r>
        <w:rPr>
          <w:spacing w:val="-3"/>
          <w:sz w:val="20"/>
        </w:rPr>
        <w:t> </w:t>
      </w:r>
      <w:r>
        <w:rPr>
          <w:sz w:val="20"/>
        </w:rPr>
        <w:t>mandated</w:t>
      </w:r>
      <w:r>
        <w:rPr>
          <w:spacing w:val="-3"/>
          <w:sz w:val="20"/>
        </w:rPr>
        <w:t> </w:t>
      </w:r>
      <w:r>
        <w:rPr>
          <w:sz w:val="20"/>
        </w:rPr>
        <w:t>activities</w:t>
      </w:r>
      <w:r>
        <w:rPr>
          <w:spacing w:val="-4"/>
          <w:sz w:val="20"/>
        </w:rPr>
        <w:t> </w:t>
      </w:r>
      <w:r>
        <w:rPr>
          <w:sz w:val="20"/>
        </w:rPr>
        <w:t>and</w:t>
      </w:r>
      <w:r>
        <w:rPr>
          <w:spacing w:val="-3"/>
          <w:sz w:val="20"/>
        </w:rPr>
        <w:t> </w:t>
      </w:r>
      <w:r>
        <w:rPr>
          <w:sz w:val="20"/>
        </w:rPr>
        <w:t>after</w:t>
      </w:r>
      <w:r>
        <w:rPr>
          <w:spacing w:val="-3"/>
          <w:sz w:val="20"/>
        </w:rPr>
        <w:t> </w:t>
      </w:r>
      <w:r>
        <w:rPr>
          <w:sz w:val="20"/>
        </w:rPr>
        <w:t>all possible steps have</w:t>
      </w:r>
      <w:r>
        <w:rPr>
          <w:spacing w:val="-1"/>
          <w:sz w:val="20"/>
        </w:rPr>
        <w:t> </w:t>
      </w:r>
      <w:r>
        <w:rPr>
          <w:sz w:val="20"/>
        </w:rPr>
        <w:t>been taken to finance such increases through savings and efficiencies.</w:t>
      </w:r>
      <w:r>
        <w:rPr>
          <w:sz w:val="20"/>
          <w:vertAlign w:val="superscript"/>
        </w:rPr>
        <w:t>6</w:t>
      </w:r>
      <w:r>
        <w:rPr>
          <w:sz w:val="20"/>
          <w:vertAlign w:val="baseline"/>
        </w:rPr>
        <w:t> The following four categories</w:t>
      </w:r>
      <w:r>
        <w:rPr>
          <w:spacing w:val="-13"/>
          <w:sz w:val="20"/>
          <w:vertAlign w:val="baseline"/>
        </w:rPr>
        <w:t> </w:t>
      </w:r>
      <w:r>
        <w:rPr>
          <w:sz w:val="20"/>
          <w:vertAlign w:val="baseline"/>
        </w:rPr>
        <w:t>to</w:t>
      </w:r>
      <w:r>
        <w:rPr>
          <w:spacing w:val="-12"/>
          <w:sz w:val="20"/>
          <w:vertAlign w:val="baseline"/>
        </w:rPr>
        <w:t> </w:t>
      </w:r>
      <w:r>
        <w:rPr>
          <w:sz w:val="20"/>
          <w:vertAlign w:val="baseline"/>
        </w:rPr>
        <w:t>be</w:t>
      </w:r>
      <w:r>
        <w:rPr>
          <w:spacing w:val="-13"/>
          <w:sz w:val="20"/>
          <w:vertAlign w:val="baseline"/>
        </w:rPr>
        <w:t> </w:t>
      </w:r>
      <w:r>
        <w:rPr>
          <w:sz w:val="20"/>
          <w:vertAlign w:val="baseline"/>
        </w:rPr>
        <w:t>employed</w:t>
      </w:r>
      <w:r>
        <w:rPr>
          <w:spacing w:val="-12"/>
          <w:sz w:val="20"/>
          <w:vertAlign w:val="baseline"/>
        </w:rPr>
        <w:t> </w:t>
      </w:r>
      <w:r>
        <w:rPr>
          <w:sz w:val="20"/>
          <w:vertAlign w:val="baseline"/>
        </w:rPr>
        <w:t>in</w:t>
      </w:r>
      <w:r>
        <w:rPr>
          <w:spacing w:val="-13"/>
          <w:sz w:val="20"/>
          <w:vertAlign w:val="baseline"/>
        </w:rPr>
        <w:t> </w:t>
      </w:r>
      <w:r>
        <w:rPr>
          <w:sz w:val="20"/>
          <w:vertAlign w:val="baseline"/>
        </w:rPr>
        <w:t>the</w:t>
      </w:r>
      <w:r>
        <w:rPr>
          <w:spacing w:val="-12"/>
          <w:sz w:val="20"/>
          <w:vertAlign w:val="baseline"/>
        </w:rPr>
        <w:t> </w:t>
      </w:r>
      <w:r>
        <w:rPr>
          <w:sz w:val="20"/>
          <w:vertAlign w:val="baseline"/>
        </w:rPr>
        <w:t>savings</w:t>
      </w:r>
      <w:r>
        <w:rPr>
          <w:spacing w:val="-13"/>
          <w:sz w:val="20"/>
          <w:vertAlign w:val="baseline"/>
        </w:rPr>
        <w:t> </w:t>
      </w:r>
      <w:r>
        <w:rPr>
          <w:sz w:val="20"/>
          <w:vertAlign w:val="baseline"/>
        </w:rPr>
        <w:t>and</w:t>
      </w:r>
      <w:r>
        <w:rPr>
          <w:spacing w:val="-12"/>
          <w:sz w:val="20"/>
          <w:vertAlign w:val="baseline"/>
        </w:rPr>
        <w:t> </w:t>
      </w:r>
      <w:r>
        <w:rPr>
          <w:sz w:val="20"/>
          <w:vertAlign w:val="baseline"/>
        </w:rPr>
        <w:t>efficiencies</w:t>
      </w:r>
      <w:r>
        <w:rPr>
          <w:spacing w:val="-13"/>
          <w:sz w:val="20"/>
          <w:vertAlign w:val="baseline"/>
        </w:rPr>
        <w:t> </w:t>
      </w:r>
      <w:r>
        <w:rPr>
          <w:sz w:val="20"/>
          <w:vertAlign w:val="baseline"/>
        </w:rPr>
        <w:t>report</w:t>
      </w:r>
      <w:r>
        <w:rPr>
          <w:spacing w:val="-10"/>
          <w:sz w:val="20"/>
          <w:vertAlign w:val="baseline"/>
        </w:rPr>
        <w:t> </w:t>
      </w:r>
      <w:r>
        <w:rPr>
          <w:sz w:val="20"/>
          <w:vertAlign w:val="baseline"/>
        </w:rPr>
        <w:t>were</w:t>
      </w:r>
      <w:r>
        <w:rPr>
          <w:spacing w:val="-13"/>
          <w:sz w:val="20"/>
          <w:vertAlign w:val="baseline"/>
        </w:rPr>
        <w:t> </w:t>
      </w:r>
      <w:r>
        <w:rPr>
          <w:sz w:val="20"/>
          <w:vertAlign w:val="baseline"/>
        </w:rPr>
        <w:t>agreed</w:t>
      </w:r>
      <w:r>
        <w:rPr>
          <w:spacing w:val="-12"/>
          <w:sz w:val="20"/>
          <w:vertAlign w:val="baseline"/>
        </w:rPr>
        <w:t> </w:t>
      </w:r>
      <w:r>
        <w:rPr>
          <w:sz w:val="20"/>
          <w:vertAlign w:val="baseline"/>
        </w:rPr>
        <w:t>in</w:t>
      </w:r>
      <w:r>
        <w:rPr>
          <w:spacing w:val="-12"/>
          <w:sz w:val="20"/>
          <w:vertAlign w:val="baseline"/>
        </w:rPr>
        <w:t> </w:t>
      </w:r>
      <w:r>
        <w:rPr>
          <w:sz w:val="20"/>
          <w:vertAlign w:val="baseline"/>
        </w:rPr>
        <w:t>previous</w:t>
      </w:r>
      <w:r>
        <w:rPr>
          <w:spacing w:val="-12"/>
          <w:sz w:val="20"/>
          <w:vertAlign w:val="baseline"/>
        </w:rPr>
        <w:t> </w:t>
      </w:r>
      <w:r>
        <w:rPr>
          <w:sz w:val="20"/>
          <w:vertAlign w:val="baseline"/>
        </w:rPr>
        <w:t>years and continue to be used:</w:t>
      </w:r>
    </w:p>
    <w:p>
      <w:pPr>
        <w:pStyle w:val="ListParagraph"/>
        <w:numPr>
          <w:ilvl w:val="1"/>
          <w:numId w:val="4"/>
        </w:numPr>
        <w:tabs>
          <w:tab w:pos="3686" w:val="left" w:leader="none"/>
          <w:tab w:pos="3687" w:val="left" w:leader="none"/>
        </w:tabs>
        <w:spacing w:line="240" w:lineRule="auto" w:before="123" w:after="0"/>
        <w:ind w:left="2957" w:right="2242" w:firstLine="0"/>
        <w:jc w:val="both"/>
        <w:rPr>
          <w:sz w:val="20"/>
        </w:rPr>
      </w:pPr>
      <w:r>
        <w:rPr>
          <w:i/>
          <w:sz w:val="20"/>
        </w:rPr>
        <w:t>Savings </w:t>
      </w:r>
      <w:r>
        <w:rPr>
          <w:sz w:val="20"/>
        </w:rPr>
        <w:t>(two subcategories): (i) costs incurred in the previous/current financial period and no longer appearing in the following programme budget, resulting in a reduction in the baseline; and (ii) increases in costs avoided through newly</w:t>
      </w:r>
      <w:r>
        <w:rPr>
          <w:spacing w:val="-6"/>
          <w:sz w:val="20"/>
        </w:rPr>
        <w:t> </w:t>
      </w:r>
      <w:r>
        <w:rPr>
          <w:sz w:val="20"/>
        </w:rPr>
        <w:t>introduced</w:t>
      </w:r>
      <w:r>
        <w:rPr>
          <w:spacing w:val="-6"/>
          <w:sz w:val="20"/>
        </w:rPr>
        <w:t> </w:t>
      </w:r>
      <w:r>
        <w:rPr>
          <w:sz w:val="20"/>
        </w:rPr>
        <w:t>policies,</w:t>
      </w:r>
      <w:r>
        <w:rPr>
          <w:spacing w:val="-3"/>
          <w:sz w:val="20"/>
        </w:rPr>
        <w:t> </w:t>
      </w:r>
      <w:r>
        <w:rPr>
          <w:sz w:val="20"/>
        </w:rPr>
        <w:t>procedures</w:t>
      </w:r>
      <w:r>
        <w:rPr>
          <w:spacing w:val="-2"/>
          <w:sz w:val="20"/>
        </w:rPr>
        <w:t> </w:t>
      </w:r>
      <w:r>
        <w:rPr>
          <w:sz w:val="20"/>
        </w:rPr>
        <w:t>and/or</w:t>
      </w:r>
      <w:r>
        <w:rPr>
          <w:spacing w:val="-1"/>
          <w:sz w:val="20"/>
        </w:rPr>
        <w:t> </w:t>
      </w:r>
      <w:r>
        <w:rPr>
          <w:sz w:val="20"/>
        </w:rPr>
        <w:t>negotiations</w:t>
      </w:r>
      <w:r>
        <w:rPr>
          <w:spacing w:val="-2"/>
          <w:sz w:val="20"/>
        </w:rPr>
        <w:t> </w:t>
      </w:r>
      <w:r>
        <w:rPr>
          <w:sz w:val="20"/>
        </w:rPr>
        <w:t>with suppliers</w:t>
      </w:r>
      <w:r>
        <w:rPr>
          <w:spacing w:val="-2"/>
          <w:sz w:val="20"/>
        </w:rPr>
        <w:t> </w:t>
      </w:r>
      <w:r>
        <w:rPr>
          <w:sz w:val="20"/>
        </w:rPr>
        <w:t>or</w:t>
      </w:r>
      <w:r>
        <w:rPr>
          <w:spacing w:val="-1"/>
          <w:sz w:val="20"/>
        </w:rPr>
        <w:t> </w:t>
      </w:r>
      <w:r>
        <w:rPr>
          <w:sz w:val="20"/>
        </w:rPr>
        <w:t>service providers, resulting in the same baseline;</w:t>
      </w:r>
    </w:p>
    <w:p>
      <w:pPr>
        <w:pStyle w:val="ListParagraph"/>
        <w:numPr>
          <w:ilvl w:val="1"/>
          <w:numId w:val="4"/>
        </w:numPr>
        <w:tabs>
          <w:tab w:pos="3686" w:val="left" w:leader="none"/>
          <w:tab w:pos="3687" w:val="left" w:leader="none"/>
        </w:tabs>
        <w:spacing w:line="240" w:lineRule="auto" w:before="118" w:after="0"/>
        <w:ind w:left="2957" w:right="2243" w:firstLine="0"/>
        <w:jc w:val="both"/>
        <w:rPr>
          <w:sz w:val="20"/>
        </w:rPr>
      </w:pPr>
      <w:r>
        <w:rPr>
          <w:i/>
          <w:sz w:val="20"/>
        </w:rPr>
        <w:t>Efficiencies</w:t>
      </w:r>
      <w:r>
        <w:rPr>
          <w:sz w:val="20"/>
        </w:rPr>
        <w:t>: activities which limit or avoid requests for additional resources and/or provide increased productivity, resulting in the same baseline but avoiding any increase in costs;</w:t>
      </w:r>
    </w:p>
    <w:p>
      <w:pPr>
        <w:pStyle w:val="ListParagraph"/>
        <w:numPr>
          <w:ilvl w:val="1"/>
          <w:numId w:val="4"/>
        </w:numPr>
        <w:tabs>
          <w:tab w:pos="3686" w:val="left" w:leader="none"/>
          <w:tab w:pos="3687" w:val="left" w:leader="none"/>
        </w:tabs>
        <w:spacing w:line="240" w:lineRule="auto" w:before="121" w:after="0"/>
        <w:ind w:left="2957" w:right="2240" w:firstLine="0"/>
        <w:jc w:val="both"/>
        <w:rPr>
          <w:sz w:val="20"/>
        </w:rPr>
      </w:pPr>
      <w:r>
        <w:rPr>
          <w:i/>
          <w:sz w:val="20"/>
        </w:rPr>
        <w:t>Non-recurrent costs</w:t>
      </w:r>
      <w:r>
        <w:rPr>
          <w:sz w:val="20"/>
        </w:rPr>
        <w:t>: one-off decreases in resource requirements due to non-continuation of activities, resulting in a reduction in the baseline; and</w:t>
      </w:r>
    </w:p>
    <w:p>
      <w:pPr>
        <w:pStyle w:val="ListParagraph"/>
        <w:numPr>
          <w:ilvl w:val="1"/>
          <w:numId w:val="4"/>
        </w:numPr>
        <w:tabs>
          <w:tab w:pos="3686" w:val="left" w:leader="none"/>
          <w:tab w:pos="3687" w:val="left" w:leader="none"/>
        </w:tabs>
        <w:spacing w:line="240" w:lineRule="auto" w:before="121" w:after="0"/>
        <w:ind w:left="2957" w:right="2245" w:firstLine="0"/>
        <w:jc w:val="both"/>
        <w:rPr>
          <w:sz w:val="20"/>
        </w:rPr>
      </w:pPr>
      <w:r>
        <w:rPr>
          <w:i/>
          <w:sz w:val="20"/>
        </w:rPr>
        <w:t>Additional cost reductions</w:t>
      </w:r>
      <w:r>
        <w:rPr>
          <w:sz w:val="20"/>
        </w:rPr>
        <w:t>: workload-related changes resulting in a reduction in the baseline.</w:t>
      </w:r>
    </w:p>
    <w:p>
      <w:pPr>
        <w:pStyle w:val="ListParagraph"/>
        <w:numPr>
          <w:ilvl w:val="0"/>
          <w:numId w:val="4"/>
        </w:numPr>
        <w:tabs>
          <w:tab w:pos="2967" w:val="left" w:leader="none"/>
        </w:tabs>
        <w:spacing w:line="240" w:lineRule="auto" w:before="121" w:after="0"/>
        <w:ind w:left="2246" w:right="2236" w:firstLine="0"/>
        <w:jc w:val="both"/>
        <w:rPr>
          <w:sz w:val="20"/>
        </w:rPr>
      </w:pPr>
      <w:r>
        <w:rPr>
          <w:sz w:val="20"/>
        </w:rPr>
        <w:t>One of the Court’s main strategic goals remains the promotion of a culture of </w:t>
      </w:r>
      <w:r>
        <w:rPr>
          <w:spacing w:val="-2"/>
          <w:sz w:val="20"/>
        </w:rPr>
        <w:t>continuous</w:t>
      </w:r>
      <w:r>
        <w:rPr>
          <w:spacing w:val="-11"/>
          <w:sz w:val="20"/>
        </w:rPr>
        <w:t> </w:t>
      </w:r>
      <w:r>
        <w:rPr>
          <w:spacing w:val="-2"/>
          <w:sz w:val="20"/>
        </w:rPr>
        <w:t>improvement</w:t>
      </w:r>
      <w:r>
        <w:rPr>
          <w:spacing w:val="-10"/>
          <w:sz w:val="20"/>
        </w:rPr>
        <w:t> </w:t>
      </w:r>
      <w:r>
        <w:rPr>
          <w:spacing w:val="-2"/>
          <w:sz w:val="20"/>
        </w:rPr>
        <w:t>with</w:t>
      </w:r>
      <w:r>
        <w:rPr>
          <w:spacing w:val="-11"/>
          <w:sz w:val="20"/>
        </w:rPr>
        <w:t> </w:t>
      </w:r>
      <w:r>
        <w:rPr>
          <w:spacing w:val="-2"/>
          <w:sz w:val="20"/>
        </w:rPr>
        <w:t>a</w:t>
      </w:r>
      <w:r>
        <w:rPr>
          <w:spacing w:val="-10"/>
          <w:sz w:val="20"/>
        </w:rPr>
        <w:t> </w:t>
      </w:r>
      <w:r>
        <w:rPr>
          <w:spacing w:val="-2"/>
          <w:sz w:val="20"/>
        </w:rPr>
        <w:t>view</w:t>
      </w:r>
      <w:r>
        <w:rPr>
          <w:spacing w:val="-11"/>
          <w:sz w:val="20"/>
        </w:rPr>
        <w:t> </w:t>
      </w:r>
      <w:r>
        <w:rPr>
          <w:spacing w:val="-2"/>
          <w:sz w:val="20"/>
        </w:rPr>
        <w:t>to</w:t>
      </w:r>
      <w:r>
        <w:rPr>
          <w:spacing w:val="-10"/>
          <w:sz w:val="20"/>
        </w:rPr>
        <w:t> </w:t>
      </w:r>
      <w:r>
        <w:rPr>
          <w:spacing w:val="-2"/>
          <w:sz w:val="20"/>
        </w:rPr>
        <w:t>engaging</w:t>
      </w:r>
      <w:r>
        <w:rPr>
          <w:spacing w:val="-9"/>
          <w:sz w:val="20"/>
        </w:rPr>
        <w:t> </w:t>
      </w:r>
      <w:r>
        <w:rPr>
          <w:spacing w:val="-2"/>
          <w:sz w:val="20"/>
        </w:rPr>
        <w:t>staff</w:t>
      </w:r>
      <w:r>
        <w:rPr>
          <w:spacing w:val="-10"/>
          <w:sz w:val="20"/>
        </w:rPr>
        <w:t> </w:t>
      </w:r>
      <w:r>
        <w:rPr>
          <w:spacing w:val="-2"/>
          <w:sz w:val="20"/>
        </w:rPr>
        <w:t>in</w:t>
      </w:r>
      <w:r>
        <w:rPr>
          <w:spacing w:val="-11"/>
          <w:sz w:val="20"/>
        </w:rPr>
        <w:t> </w:t>
      </w:r>
      <w:r>
        <w:rPr>
          <w:spacing w:val="-2"/>
          <w:sz w:val="20"/>
        </w:rPr>
        <w:t>the</w:t>
      </w:r>
      <w:r>
        <w:rPr>
          <w:spacing w:val="-8"/>
          <w:sz w:val="20"/>
        </w:rPr>
        <w:t> </w:t>
      </w:r>
      <w:r>
        <w:rPr>
          <w:spacing w:val="-2"/>
          <w:sz w:val="20"/>
        </w:rPr>
        <w:t>identification</w:t>
      </w:r>
      <w:r>
        <w:rPr>
          <w:spacing w:val="-11"/>
          <w:sz w:val="20"/>
        </w:rPr>
        <w:t> </w:t>
      </w:r>
      <w:r>
        <w:rPr>
          <w:spacing w:val="-2"/>
          <w:sz w:val="20"/>
        </w:rPr>
        <w:t>and</w:t>
      </w:r>
      <w:r>
        <w:rPr>
          <w:spacing w:val="-10"/>
          <w:sz w:val="20"/>
        </w:rPr>
        <w:t> </w:t>
      </w:r>
      <w:r>
        <w:rPr>
          <w:spacing w:val="-2"/>
          <w:sz w:val="20"/>
        </w:rPr>
        <w:t>implementation </w:t>
      </w:r>
      <w:r>
        <w:rPr>
          <w:sz w:val="20"/>
        </w:rPr>
        <w:t>of savings and efficiencies. Consequently, as indicated in last year’s proposed budget document</w:t>
      </w:r>
      <w:r>
        <w:rPr>
          <w:sz w:val="20"/>
          <w:vertAlign w:val="superscript"/>
        </w:rPr>
        <w:t>7</w:t>
      </w:r>
      <w:r>
        <w:rPr>
          <w:sz w:val="20"/>
          <w:vertAlign w:val="baseline"/>
        </w:rPr>
        <w:t> and noted by the Assembly,</w:t>
      </w:r>
      <w:r>
        <w:rPr>
          <w:sz w:val="20"/>
          <w:vertAlign w:val="superscript"/>
        </w:rPr>
        <w:t>8</w:t>
      </w:r>
      <w:r>
        <w:rPr>
          <w:sz w:val="20"/>
          <w:vertAlign w:val="baseline"/>
        </w:rPr>
        <w:t> it becomes increasingly difficult to differentiate between</w:t>
      </w:r>
      <w:r>
        <w:rPr>
          <w:spacing w:val="-13"/>
          <w:sz w:val="20"/>
          <w:vertAlign w:val="baseline"/>
        </w:rPr>
        <w:t> </w:t>
      </w:r>
      <w:r>
        <w:rPr>
          <w:sz w:val="20"/>
          <w:vertAlign w:val="baseline"/>
        </w:rPr>
        <w:t>“savings</w:t>
      </w:r>
      <w:r>
        <w:rPr>
          <w:spacing w:val="-12"/>
          <w:sz w:val="20"/>
          <w:vertAlign w:val="baseline"/>
        </w:rPr>
        <w:t> </w:t>
      </w:r>
      <w:r>
        <w:rPr>
          <w:sz w:val="20"/>
          <w:vertAlign w:val="baseline"/>
        </w:rPr>
        <w:t>and</w:t>
      </w:r>
      <w:r>
        <w:rPr>
          <w:spacing w:val="-13"/>
          <w:sz w:val="20"/>
          <w:vertAlign w:val="baseline"/>
        </w:rPr>
        <w:t> </w:t>
      </w:r>
      <w:r>
        <w:rPr>
          <w:sz w:val="20"/>
          <w:vertAlign w:val="baseline"/>
        </w:rPr>
        <w:t>efficiencies”</w:t>
      </w:r>
      <w:r>
        <w:rPr>
          <w:spacing w:val="-12"/>
          <w:sz w:val="20"/>
          <w:vertAlign w:val="baseline"/>
        </w:rPr>
        <w:t> </w:t>
      </w:r>
      <w:r>
        <w:rPr>
          <w:sz w:val="20"/>
          <w:vertAlign w:val="baseline"/>
        </w:rPr>
        <w:t>initiatives</w:t>
      </w:r>
      <w:r>
        <w:rPr>
          <w:spacing w:val="-13"/>
          <w:sz w:val="20"/>
          <w:vertAlign w:val="baseline"/>
        </w:rPr>
        <w:t> </w:t>
      </w:r>
      <w:r>
        <w:rPr>
          <w:sz w:val="20"/>
          <w:vertAlign w:val="baseline"/>
        </w:rPr>
        <w:t>to</w:t>
      </w:r>
      <w:r>
        <w:rPr>
          <w:spacing w:val="-12"/>
          <w:sz w:val="20"/>
          <w:vertAlign w:val="baseline"/>
        </w:rPr>
        <w:t> </w:t>
      </w:r>
      <w:r>
        <w:rPr>
          <w:sz w:val="20"/>
          <w:vertAlign w:val="baseline"/>
        </w:rPr>
        <w:t>be</w:t>
      </w:r>
      <w:r>
        <w:rPr>
          <w:spacing w:val="-13"/>
          <w:sz w:val="20"/>
          <w:vertAlign w:val="baseline"/>
        </w:rPr>
        <w:t> </w:t>
      </w:r>
      <w:r>
        <w:rPr>
          <w:sz w:val="20"/>
          <w:vertAlign w:val="baseline"/>
        </w:rPr>
        <w:t>reported</w:t>
      </w:r>
      <w:r>
        <w:rPr>
          <w:spacing w:val="-12"/>
          <w:sz w:val="20"/>
          <w:vertAlign w:val="baseline"/>
        </w:rPr>
        <w:t> </w:t>
      </w:r>
      <w:r>
        <w:rPr>
          <w:sz w:val="20"/>
          <w:vertAlign w:val="baseline"/>
        </w:rPr>
        <w:t>as</w:t>
      </w:r>
      <w:r>
        <w:rPr>
          <w:spacing w:val="-13"/>
          <w:sz w:val="20"/>
          <w:vertAlign w:val="baseline"/>
        </w:rPr>
        <w:t> </w:t>
      </w:r>
      <w:r>
        <w:rPr>
          <w:sz w:val="20"/>
          <w:vertAlign w:val="baseline"/>
        </w:rPr>
        <w:t>one-off</w:t>
      </w:r>
      <w:r>
        <w:rPr>
          <w:spacing w:val="-12"/>
          <w:sz w:val="20"/>
          <w:vertAlign w:val="baseline"/>
        </w:rPr>
        <w:t> </w:t>
      </w:r>
      <w:r>
        <w:rPr>
          <w:sz w:val="20"/>
          <w:vertAlign w:val="baseline"/>
        </w:rPr>
        <w:t>efforts</w:t>
      </w:r>
      <w:r>
        <w:rPr>
          <w:spacing w:val="-13"/>
          <w:sz w:val="20"/>
          <w:vertAlign w:val="baseline"/>
        </w:rPr>
        <w:t> </w:t>
      </w:r>
      <w:r>
        <w:rPr>
          <w:sz w:val="20"/>
          <w:vertAlign w:val="baseline"/>
        </w:rPr>
        <w:t>in</w:t>
      </w:r>
      <w:r>
        <w:rPr>
          <w:spacing w:val="-12"/>
          <w:sz w:val="20"/>
          <w:vertAlign w:val="baseline"/>
        </w:rPr>
        <w:t> </w:t>
      </w:r>
      <w:r>
        <w:rPr>
          <w:sz w:val="20"/>
          <w:vertAlign w:val="baseline"/>
        </w:rPr>
        <w:t>the</w:t>
      </w:r>
      <w:r>
        <w:rPr>
          <w:spacing w:val="-13"/>
          <w:sz w:val="20"/>
          <w:vertAlign w:val="baseline"/>
        </w:rPr>
        <w:t> </w:t>
      </w:r>
      <w:r>
        <w:rPr>
          <w:sz w:val="20"/>
          <w:vertAlign w:val="baseline"/>
        </w:rPr>
        <w:t>proposed </w:t>
      </w:r>
      <w:r>
        <w:rPr>
          <w:spacing w:val="-2"/>
          <w:sz w:val="20"/>
          <w:vertAlign w:val="baseline"/>
        </w:rPr>
        <w:t>budget annex</w:t>
      </w:r>
      <w:r>
        <w:rPr>
          <w:spacing w:val="-3"/>
          <w:sz w:val="20"/>
          <w:vertAlign w:val="baseline"/>
        </w:rPr>
        <w:t> </w:t>
      </w:r>
      <w:r>
        <w:rPr>
          <w:spacing w:val="-2"/>
          <w:sz w:val="20"/>
          <w:vertAlign w:val="baseline"/>
        </w:rPr>
        <w:t>and</w:t>
      </w:r>
      <w:r>
        <w:rPr>
          <w:spacing w:val="-3"/>
          <w:sz w:val="20"/>
          <w:vertAlign w:val="baseline"/>
        </w:rPr>
        <w:t> </w:t>
      </w:r>
      <w:r>
        <w:rPr>
          <w:spacing w:val="-2"/>
          <w:sz w:val="20"/>
          <w:vertAlign w:val="baseline"/>
        </w:rPr>
        <w:t>structural good</w:t>
      </w:r>
      <w:r>
        <w:rPr>
          <w:spacing w:val="-3"/>
          <w:sz w:val="20"/>
          <w:vertAlign w:val="baseline"/>
        </w:rPr>
        <w:t> </w:t>
      </w:r>
      <w:r>
        <w:rPr>
          <w:spacing w:val="-2"/>
          <w:sz w:val="20"/>
          <w:vertAlign w:val="baseline"/>
        </w:rPr>
        <w:t>managerial practices</w:t>
      </w:r>
      <w:r>
        <w:rPr>
          <w:spacing w:val="-4"/>
          <w:sz w:val="20"/>
          <w:vertAlign w:val="baseline"/>
        </w:rPr>
        <w:t> </w:t>
      </w:r>
      <w:r>
        <w:rPr>
          <w:spacing w:val="-2"/>
          <w:sz w:val="20"/>
          <w:vertAlign w:val="baseline"/>
        </w:rPr>
        <w:t>leading</w:t>
      </w:r>
      <w:r>
        <w:rPr>
          <w:spacing w:val="-3"/>
          <w:sz w:val="20"/>
          <w:vertAlign w:val="baseline"/>
        </w:rPr>
        <w:t> </w:t>
      </w:r>
      <w:r>
        <w:rPr>
          <w:spacing w:val="-2"/>
          <w:sz w:val="20"/>
          <w:vertAlign w:val="baseline"/>
        </w:rPr>
        <w:t>to</w:t>
      </w:r>
      <w:r>
        <w:rPr>
          <w:spacing w:val="-3"/>
          <w:sz w:val="20"/>
          <w:vertAlign w:val="baseline"/>
        </w:rPr>
        <w:t> </w:t>
      </w:r>
      <w:r>
        <w:rPr>
          <w:spacing w:val="-2"/>
          <w:sz w:val="20"/>
          <w:vertAlign w:val="baseline"/>
        </w:rPr>
        <w:t>long-term improvements</w:t>
      </w:r>
      <w:r>
        <w:rPr>
          <w:spacing w:val="-4"/>
          <w:sz w:val="20"/>
          <w:vertAlign w:val="baseline"/>
        </w:rPr>
        <w:t> </w:t>
      </w:r>
      <w:r>
        <w:rPr>
          <w:spacing w:val="-2"/>
          <w:sz w:val="20"/>
          <w:vertAlign w:val="baseline"/>
        </w:rPr>
        <w:t>for </w:t>
      </w:r>
      <w:r>
        <w:rPr>
          <w:sz w:val="20"/>
          <w:vertAlign w:val="baseline"/>
        </w:rPr>
        <w:t>the</w:t>
      </w:r>
      <w:r>
        <w:rPr>
          <w:spacing w:val="-10"/>
          <w:sz w:val="20"/>
          <w:vertAlign w:val="baseline"/>
        </w:rPr>
        <w:t> </w:t>
      </w:r>
      <w:r>
        <w:rPr>
          <w:sz w:val="20"/>
          <w:vertAlign w:val="baseline"/>
        </w:rPr>
        <w:t>Court.</w:t>
      </w:r>
      <w:r>
        <w:rPr>
          <w:spacing w:val="-9"/>
          <w:sz w:val="20"/>
          <w:vertAlign w:val="baseline"/>
        </w:rPr>
        <w:t> </w:t>
      </w:r>
      <w:r>
        <w:rPr>
          <w:sz w:val="20"/>
          <w:vertAlign w:val="baseline"/>
        </w:rPr>
        <w:t>This</w:t>
      </w:r>
      <w:r>
        <w:rPr>
          <w:spacing w:val="-13"/>
          <w:sz w:val="20"/>
          <w:vertAlign w:val="baseline"/>
        </w:rPr>
        <w:t> </w:t>
      </w:r>
      <w:r>
        <w:rPr>
          <w:sz w:val="20"/>
          <w:vertAlign w:val="baseline"/>
        </w:rPr>
        <w:t>year’s</w:t>
      </w:r>
      <w:r>
        <w:rPr>
          <w:spacing w:val="-8"/>
          <w:sz w:val="20"/>
          <w:vertAlign w:val="baseline"/>
        </w:rPr>
        <w:t> </w:t>
      </w:r>
      <w:r>
        <w:rPr>
          <w:sz w:val="20"/>
          <w:vertAlign w:val="baseline"/>
        </w:rPr>
        <w:t>efforts</w:t>
      </w:r>
      <w:r>
        <w:rPr>
          <w:spacing w:val="-9"/>
          <w:sz w:val="20"/>
          <w:vertAlign w:val="baseline"/>
        </w:rPr>
        <w:t> </w:t>
      </w:r>
      <w:r>
        <w:rPr>
          <w:sz w:val="20"/>
          <w:vertAlign w:val="baseline"/>
        </w:rPr>
        <w:t>have</w:t>
      </w:r>
      <w:r>
        <w:rPr>
          <w:spacing w:val="-10"/>
          <w:sz w:val="20"/>
          <w:vertAlign w:val="baseline"/>
        </w:rPr>
        <w:t> </w:t>
      </w:r>
      <w:r>
        <w:rPr>
          <w:sz w:val="20"/>
          <w:vertAlign w:val="baseline"/>
        </w:rPr>
        <w:t>nonetheless</w:t>
      </w:r>
      <w:r>
        <w:rPr>
          <w:spacing w:val="-13"/>
          <w:sz w:val="20"/>
          <w:vertAlign w:val="baseline"/>
        </w:rPr>
        <w:t> </w:t>
      </w:r>
      <w:r>
        <w:rPr>
          <w:sz w:val="20"/>
          <w:vertAlign w:val="baseline"/>
        </w:rPr>
        <w:t>been</w:t>
      </w:r>
      <w:r>
        <w:rPr>
          <w:spacing w:val="-11"/>
          <w:sz w:val="20"/>
          <w:vertAlign w:val="baseline"/>
        </w:rPr>
        <w:t> </w:t>
      </w:r>
      <w:r>
        <w:rPr>
          <w:sz w:val="20"/>
          <w:vertAlign w:val="baseline"/>
        </w:rPr>
        <w:t>affected</w:t>
      </w:r>
      <w:r>
        <w:rPr>
          <w:spacing w:val="-12"/>
          <w:sz w:val="20"/>
          <w:vertAlign w:val="baseline"/>
        </w:rPr>
        <w:t> </w:t>
      </w:r>
      <w:r>
        <w:rPr>
          <w:sz w:val="20"/>
          <w:vertAlign w:val="baseline"/>
        </w:rPr>
        <w:t>by</w:t>
      </w:r>
      <w:r>
        <w:rPr>
          <w:spacing w:val="-12"/>
          <w:sz w:val="20"/>
          <w:vertAlign w:val="baseline"/>
        </w:rPr>
        <w:t> </w:t>
      </w:r>
      <w:r>
        <w:rPr>
          <w:sz w:val="20"/>
          <w:vertAlign w:val="baseline"/>
        </w:rPr>
        <w:t>the</w:t>
      </w:r>
      <w:r>
        <w:rPr>
          <w:spacing w:val="-6"/>
          <w:sz w:val="20"/>
          <w:vertAlign w:val="baseline"/>
        </w:rPr>
        <w:t> </w:t>
      </w:r>
      <w:r>
        <w:rPr>
          <w:sz w:val="20"/>
          <w:vertAlign w:val="baseline"/>
        </w:rPr>
        <w:t>wide-ranging</w:t>
      </w:r>
      <w:r>
        <w:rPr>
          <w:spacing w:val="-8"/>
          <w:sz w:val="20"/>
          <w:vertAlign w:val="baseline"/>
        </w:rPr>
        <w:t> </w:t>
      </w:r>
      <w:r>
        <w:rPr>
          <w:sz w:val="20"/>
          <w:vertAlign w:val="baseline"/>
        </w:rPr>
        <w:t>variation</w:t>
      </w:r>
      <w:r>
        <w:rPr>
          <w:spacing w:val="-12"/>
          <w:sz w:val="20"/>
          <w:vertAlign w:val="baseline"/>
        </w:rPr>
        <w:t> </w:t>
      </w:r>
      <w:r>
        <w:rPr>
          <w:sz w:val="20"/>
          <w:vertAlign w:val="baseline"/>
        </w:rPr>
        <w:t>in the</w:t>
      </w:r>
      <w:r>
        <w:rPr>
          <w:spacing w:val="-5"/>
          <w:sz w:val="20"/>
          <w:vertAlign w:val="baseline"/>
        </w:rPr>
        <w:t> </w:t>
      </w:r>
      <w:r>
        <w:rPr>
          <w:sz w:val="20"/>
          <w:vertAlign w:val="baseline"/>
        </w:rPr>
        <w:t>workload</w:t>
      </w:r>
      <w:r>
        <w:rPr>
          <w:spacing w:val="-7"/>
          <w:sz w:val="20"/>
          <w:vertAlign w:val="baseline"/>
        </w:rPr>
        <w:t> </w:t>
      </w:r>
      <w:r>
        <w:rPr>
          <w:sz w:val="20"/>
          <w:vertAlign w:val="baseline"/>
        </w:rPr>
        <w:t>in</w:t>
      </w:r>
      <w:r>
        <w:rPr>
          <w:spacing w:val="-3"/>
          <w:sz w:val="20"/>
          <w:vertAlign w:val="baseline"/>
        </w:rPr>
        <w:t> </w:t>
      </w:r>
      <w:r>
        <w:rPr>
          <w:sz w:val="20"/>
          <w:vertAlign w:val="baseline"/>
        </w:rPr>
        <w:t>different</w:t>
      </w:r>
      <w:r>
        <w:rPr>
          <w:spacing w:val="-1"/>
          <w:sz w:val="20"/>
          <w:vertAlign w:val="baseline"/>
        </w:rPr>
        <w:t> </w:t>
      </w:r>
      <w:r>
        <w:rPr>
          <w:sz w:val="20"/>
          <w:vertAlign w:val="baseline"/>
        </w:rPr>
        <w:t>situations</w:t>
      </w:r>
      <w:r>
        <w:rPr>
          <w:spacing w:val="-8"/>
          <w:sz w:val="20"/>
          <w:vertAlign w:val="baseline"/>
        </w:rPr>
        <w:t> </w:t>
      </w:r>
      <w:r>
        <w:rPr>
          <w:sz w:val="20"/>
          <w:vertAlign w:val="baseline"/>
        </w:rPr>
        <w:t>and</w:t>
      </w:r>
      <w:r>
        <w:rPr>
          <w:spacing w:val="-7"/>
          <w:sz w:val="20"/>
          <w:vertAlign w:val="baseline"/>
        </w:rPr>
        <w:t> </w:t>
      </w:r>
      <w:r>
        <w:rPr>
          <w:sz w:val="20"/>
          <w:vertAlign w:val="baseline"/>
        </w:rPr>
        <w:t>cases</w:t>
      </w:r>
      <w:r>
        <w:rPr>
          <w:spacing w:val="-8"/>
          <w:sz w:val="20"/>
          <w:vertAlign w:val="baseline"/>
        </w:rPr>
        <w:t> </w:t>
      </w:r>
      <w:r>
        <w:rPr>
          <w:sz w:val="20"/>
          <w:vertAlign w:val="baseline"/>
        </w:rPr>
        <w:t>before</w:t>
      </w:r>
      <w:r>
        <w:rPr>
          <w:spacing w:val="-5"/>
          <w:sz w:val="20"/>
          <w:vertAlign w:val="baseline"/>
        </w:rPr>
        <w:t> </w:t>
      </w:r>
      <w:r>
        <w:rPr>
          <w:sz w:val="20"/>
          <w:vertAlign w:val="baseline"/>
        </w:rPr>
        <w:t>the</w:t>
      </w:r>
      <w:r>
        <w:rPr>
          <w:spacing w:val="-5"/>
          <w:sz w:val="20"/>
          <w:vertAlign w:val="baseline"/>
        </w:rPr>
        <w:t> </w:t>
      </w:r>
      <w:r>
        <w:rPr>
          <w:sz w:val="20"/>
          <w:vertAlign w:val="baseline"/>
        </w:rPr>
        <w:t>Court.</w:t>
      </w:r>
      <w:r>
        <w:rPr>
          <w:spacing w:val="-4"/>
          <w:sz w:val="20"/>
          <w:vertAlign w:val="baseline"/>
        </w:rPr>
        <w:t> </w:t>
      </w:r>
      <w:r>
        <w:rPr>
          <w:sz w:val="20"/>
          <w:vertAlign w:val="baseline"/>
        </w:rPr>
        <w:t>The</w:t>
      </w:r>
      <w:r>
        <w:rPr>
          <w:spacing w:val="-5"/>
          <w:sz w:val="20"/>
          <w:vertAlign w:val="baseline"/>
        </w:rPr>
        <w:t> </w:t>
      </w:r>
      <w:r>
        <w:rPr>
          <w:sz w:val="20"/>
          <w:vertAlign w:val="baseline"/>
        </w:rPr>
        <w:t>Court</w:t>
      </w:r>
      <w:r>
        <w:rPr>
          <w:spacing w:val="-5"/>
          <w:sz w:val="20"/>
          <w:vertAlign w:val="baseline"/>
        </w:rPr>
        <w:t> </w:t>
      </w:r>
      <w:r>
        <w:rPr>
          <w:sz w:val="20"/>
          <w:vertAlign w:val="baseline"/>
        </w:rPr>
        <w:t>closely</w:t>
      </w:r>
      <w:r>
        <w:rPr>
          <w:spacing w:val="-3"/>
          <w:sz w:val="20"/>
          <w:vertAlign w:val="baseline"/>
        </w:rPr>
        <w:t> </w:t>
      </w:r>
      <w:r>
        <w:rPr>
          <w:sz w:val="20"/>
          <w:vertAlign w:val="baseline"/>
        </w:rPr>
        <w:t>follows</w:t>
      </w:r>
      <w:r>
        <w:rPr>
          <w:spacing w:val="-8"/>
          <w:sz w:val="20"/>
          <w:vertAlign w:val="baseline"/>
        </w:rPr>
        <w:t> </w:t>
      </w:r>
      <w:r>
        <w:rPr>
          <w:sz w:val="20"/>
          <w:vertAlign w:val="baseline"/>
        </w:rPr>
        <w:t>all </w:t>
      </w:r>
      <w:r>
        <w:rPr>
          <w:spacing w:val="-2"/>
          <w:sz w:val="20"/>
          <w:vertAlign w:val="baseline"/>
        </w:rPr>
        <w:t>judicial</w:t>
      </w:r>
      <w:r>
        <w:rPr>
          <w:spacing w:val="-11"/>
          <w:sz w:val="20"/>
          <w:vertAlign w:val="baseline"/>
        </w:rPr>
        <w:t> </w:t>
      </w:r>
      <w:r>
        <w:rPr>
          <w:spacing w:val="-2"/>
          <w:sz w:val="20"/>
          <w:vertAlign w:val="baseline"/>
        </w:rPr>
        <w:t>and</w:t>
      </w:r>
      <w:r>
        <w:rPr>
          <w:spacing w:val="-10"/>
          <w:sz w:val="20"/>
          <w:vertAlign w:val="baseline"/>
        </w:rPr>
        <w:t> </w:t>
      </w:r>
      <w:r>
        <w:rPr>
          <w:spacing w:val="-2"/>
          <w:sz w:val="20"/>
          <w:vertAlign w:val="baseline"/>
        </w:rPr>
        <w:t>investigatory</w:t>
      </w:r>
      <w:r>
        <w:rPr>
          <w:spacing w:val="-11"/>
          <w:sz w:val="20"/>
          <w:vertAlign w:val="baseline"/>
        </w:rPr>
        <w:t> </w:t>
      </w:r>
      <w:r>
        <w:rPr>
          <w:spacing w:val="-2"/>
          <w:sz w:val="20"/>
          <w:vertAlign w:val="baseline"/>
        </w:rPr>
        <w:t>developments</w:t>
      </w:r>
      <w:r>
        <w:rPr>
          <w:spacing w:val="-10"/>
          <w:sz w:val="20"/>
          <w:vertAlign w:val="baseline"/>
        </w:rPr>
        <w:t> </w:t>
      </w:r>
      <w:r>
        <w:rPr>
          <w:spacing w:val="-2"/>
          <w:sz w:val="20"/>
          <w:vertAlign w:val="baseline"/>
        </w:rPr>
        <w:t>so</w:t>
      </w:r>
      <w:r>
        <w:rPr>
          <w:spacing w:val="-11"/>
          <w:sz w:val="20"/>
          <w:vertAlign w:val="baseline"/>
        </w:rPr>
        <w:t> </w:t>
      </w:r>
      <w:r>
        <w:rPr>
          <w:spacing w:val="-2"/>
          <w:sz w:val="20"/>
          <w:vertAlign w:val="baseline"/>
        </w:rPr>
        <w:t>as</w:t>
      </w:r>
      <w:r>
        <w:rPr>
          <w:spacing w:val="-10"/>
          <w:sz w:val="20"/>
          <w:vertAlign w:val="baseline"/>
        </w:rPr>
        <w:t> </w:t>
      </w:r>
      <w:r>
        <w:rPr>
          <w:spacing w:val="-2"/>
          <w:sz w:val="20"/>
          <w:vertAlign w:val="baseline"/>
        </w:rPr>
        <w:t>to</w:t>
      </w:r>
      <w:r>
        <w:rPr>
          <w:spacing w:val="-11"/>
          <w:sz w:val="20"/>
          <w:vertAlign w:val="baseline"/>
        </w:rPr>
        <w:t> </w:t>
      </w:r>
      <w:r>
        <w:rPr>
          <w:spacing w:val="-2"/>
          <w:sz w:val="20"/>
          <w:vertAlign w:val="baseline"/>
        </w:rPr>
        <w:t>be</w:t>
      </w:r>
      <w:r>
        <w:rPr>
          <w:spacing w:val="-10"/>
          <w:sz w:val="20"/>
          <w:vertAlign w:val="baseline"/>
        </w:rPr>
        <w:t> </w:t>
      </w:r>
      <w:r>
        <w:rPr>
          <w:spacing w:val="-2"/>
          <w:sz w:val="20"/>
          <w:vertAlign w:val="baseline"/>
        </w:rPr>
        <w:t>able</w:t>
      </w:r>
      <w:r>
        <w:rPr>
          <w:spacing w:val="-11"/>
          <w:sz w:val="20"/>
          <w:vertAlign w:val="baseline"/>
        </w:rPr>
        <w:t> </w:t>
      </w:r>
      <w:r>
        <w:rPr>
          <w:spacing w:val="-2"/>
          <w:sz w:val="20"/>
          <w:vertAlign w:val="baseline"/>
        </w:rPr>
        <w:t>to</w:t>
      </w:r>
      <w:r>
        <w:rPr>
          <w:spacing w:val="-10"/>
          <w:sz w:val="20"/>
          <w:vertAlign w:val="baseline"/>
        </w:rPr>
        <w:t> </w:t>
      </w:r>
      <w:r>
        <w:rPr>
          <w:spacing w:val="-2"/>
          <w:sz w:val="20"/>
          <w:vertAlign w:val="baseline"/>
        </w:rPr>
        <w:t>take</w:t>
      </w:r>
      <w:r>
        <w:rPr>
          <w:spacing w:val="-10"/>
          <w:sz w:val="20"/>
          <w:vertAlign w:val="baseline"/>
        </w:rPr>
        <w:t> </w:t>
      </w:r>
      <w:r>
        <w:rPr>
          <w:spacing w:val="-2"/>
          <w:sz w:val="20"/>
          <w:vertAlign w:val="baseline"/>
        </w:rPr>
        <w:t>advantage</w:t>
      </w:r>
      <w:r>
        <w:rPr>
          <w:spacing w:val="-8"/>
          <w:sz w:val="20"/>
          <w:vertAlign w:val="baseline"/>
        </w:rPr>
        <w:t> </w:t>
      </w:r>
      <w:r>
        <w:rPr>
          <w:spacing w:val="-2"/>
          <w:sz w:val="20"/>
          <w:vertAlign w:val="baseline"/>
        </w:rPr>
        <w:t>of</w:t>
      </w:r>
      <w:r>
        <w:rPr>
          <w:spacing w:val="-11"/>
          <w:sz w:val="20"/>
          <w:vertAlign w:val="baseline"/>
        </w:rPr>
        <w:t> </w:t>
      </w:r>
      <w:r>
        <w:rPr>
          <w:spacing w:val="-2"/>
          <w:sz w:val="20"/>
          <w:vertAlign w:val="baseline"/>
        </w:rPr>
        <w:t>its</w:t>
      </w:r>
      <w:r>
        <w:rPr>
          <w:spacing w:val="-10"/>
          <w:sz w:val="20"/>
          <w:vertAlign w:val="baseline"/>
        </w:rPr>
        <w:t> </w:t>
      </w:r>
      <w:r>
        <w:rPr>
          <w:spacing w:val="-2"/>
          <w:sz w:val="20"/>
          <w:vertAlign w:val="baseline"/>
        </w:rPr>
        <w:t>inner</w:t>
      </w:r>
      <w:r>
        <w:rPr>
          <w:spacing w:val="-11"/>
          <w:sz w:val="20"/>
          <w:vertAlign w:val="baseline"/>
        </w:rPr>
        <w:t> </w:t>
      </w:r>
      <w:r>
        <w:rPr>
          <w:spacing w:val="-2"/>
          <w:sz w:val="20"/>
          <w:vertAlign w:val="baseline"/>
        </w:rPr>
        <w:t>flexibility </w:t>
      </w:r>
      <w:r>
        <w:rPr>
          <w:sz w:val="20"/>
          <w:vertAlign w:val="baseline"/>
        </w:rPr>
        <w:t>to redeploy resources when possible or abolish and cancel others when they are no longer required</w:t>
      </w:r>
      <w:r>
        <w:rPr>
          <w:spacing w:val="-6"/>
          <w:sz w:val="20"/>
          <w:vertAlign w:val="baseline"/>
        </w:rPr>
        <w:t> </w:t>
      </w:r>
      <w:r>
        <w:rPr>
          <w:sz w:val="20"/>
          <w:vertAlign w:val="baseline"/>
        </w:rPr>
        <w:t>and</w:t>
      </w:r>
      <w:r>
        <w:rPr>
          <w:spacing w:val="-6"/>
          <w:sz w:val="20"/>
          <w:vertAlign w:val="baseline"/>
        </w:rPr>
        <w:t> </w:t>
      </w:r>
      <w:r>
        <w:rPr>
          <w:sz w:val="20"/>
          <w:vertAlign w:val="baseline"/>
        </w:rPr>
        <w:t>redeployment</w:t>
      </w:r>
      <w:r>
        <w:rPr>
          <w:spacing w:val="-9"/>
          <w:sz w:val="20"/>
          <w:vertAlign w:val="baseline"/>
        </w:rPr>
        <w:t> </w:t>
      </w:r>
      <w:r>
        <w:rPr>
          <w:sz w:val="20"/>
          <w:vertAlign w:val="baseline"/>
        </w:rPr>
        <w:t>is</w:t>
      </w:r>
      <w:r>
        <w:rPr>
          <w:spacing w:val="-11"/>
          <w:sz w:val="20"/>
          <w:vertAlign w:val="baseline"/>
        </w:rPr>
        <w:t> </w:t>
      </w:r>
      <w:r>
        <w:rPr>
          <w:sz w:val="20"/>
          <w:vertAlign w:val="baseline"/>
        </w:rPr>
        <w:t>not</w:t>
      </w:r>
      <w:r>
        <w:rPr>
          <w:spacing w:val="-9"/>
          <w:sz w:val="20"/>
          <w:vertAlign w:val="baseline"/>
        </w:rPr>
        <w:t> </w:t>
      </w:r>
      <w:r>
        <w:rPr>
          <w:sz w:val="20"/>
          <w:vertAlign w:val="baseline"/>
        </w:rPr>
        <w:t>an</w:t>
      </w:r>
      <w:r>
        <w:rPr>
          <w:spacing w:val="-10"/>
          <w:sz w:val="20"/>
          <w:vertAlign w:val="baseline"/>
        </w:rPr>
        <w:t> </w:t>
      </w:r>
      <w:r>
        <w:rPr>
          <w:sz w:val="20"/>
          <w:vertAlign w:val="baseline"/>
        </w:rPr>
        <w:t>option.</w:t>
      </w:r>
      <w:r>
        <w:rPr>
          <w:spacing w:val="-8"/>
          <w:sz w:val="20"/>
          <w:vertAlign w:val="baseline"/>
        </w:rPr>
        <w:t> </w:t>
      </w:r>
      <w:r>
        <w:rPr>
          <w:sz w:val="20"/>
          <w:vertAlign w:val="baseline"/>
        </w:rPr>
        <w:t>This</w:t>
      </w:r>
      <w:r>
        <w:rPr>
          <w:spacing w:val="-8"/>
          <w:sz w:val="20"/>
          <w:vertAlign w:val="baseline"/>
        </w:rPr>
        <w:t> </w:t>
      </w:r>
      <w:r>
        <w:rPr>
          <w:sz w:val="20"/>
          <w:vertAlign w:val="baseline"/>
        </w:rPr>
        <w:t>is</w:t>
      </w:r>
      <w:r>
        <w:rPr>
          <w:spacing w:val="-7"/>
          <w:sz w:val="20"/>
          <w:vertAlign w:val="baseline"/>
        </w:rPr>
        <w:t> </w:t>
      </w:r>
      <w:r>
        <w:rPr>
          <w:sz w:val="20"/>
          <w:vertAlign w:val="baseline"/>
        </w:rPr>
        <w:t>reflected</w:t>
      </w:r>
      <w:r>
        <w:rPr>
          <w:spacing w:val="-6"/>
          <w:sz w:val="20"/>
          <w:vertAlign w:val="baseline"/>
        </w:rPr>
        <w:t> </w:t>
      </w:r>
      <w:r>
        <w:rPr>
          <w:sz w:val="20"/>
          <w:vertAlign w:val="baseline"/>
        </w:rPr>
        <w:t>in</w:t>
      </w:r>
      <w:r>
        <w:rPr>
          <w:spacing w:val="-6"/>
          <w:sz w:val="20"/>
          <w:vertAlign w:val="baseline"/>
        </w:rPr>
        <w:t> </w:t>
      </w:r>
      <w:r>
        <w:rPr>
          <w:sz w:val="20"/>
          <w:vertAlign w:val="baseline"/>
        </w:rPr>
        <w:t>a</w:t>
      </w:r>
      <w:r>
        <w:rPr>
          <w:spacing w:val="-9"/>
          <w:sz w:val="20"/>
          <w:vertAlign w:val="baseline"/>
        </w:rPr>
        <w:t> </w:t>
      </w:r>
      <w:r>
        <w:rPr>
          <w:sz w:val="20"/>
          <w:vertAlign w:val="baseline"/>
        </w:rPr>
        <w:t>higher</w:t>
      </w:r>
      <w:r>
        <w:rPr>
          <w:spacing w:val="-10"/>
          <w:sz w:val="20"/>
          <w:vertAlign w:val="baseline"/>
        </w:rPr>
        <w:t> </w:t>
      </w:r>
      <w:r>
        <w:rPr>
          <w:sz w:val="20"/>
          <w:vertAlign w:val="baseline"/>
        </w:rPr>
        <w:t>than</w:t>
      </w:r>
      <w:r>
        <w:rPr>
          <w:spacing w:val="-10"/>
          <w:sz w:val="20"/>
          <w:vertAlign w:val="baseline"/>
        </w:rPr>
        <w:t> </w:t>
      </w:r>
      <w:r>
        <w:rPr>
          <w:sz w:val="20"/>
          <w:vertAlign w:val="baseline"/>
        </w:rPr>
        <w:t>usual</w:t>
      </w:r>
      <w:r>
        <w:rPr>
          <w:spacing w:val="-9"/>
          <w:sz w:val="20"/>
          <w:vertAlign w:val="baseline"/>
        </w:rPr>
        <w:t> </w:t>
      </w:r>
      <w:r>
        <w:rPr>
          <w:sz w:val="20"/>
          <w:vertAlign w:val="baseline"/>
        </w:rPr>
        <w:t>amount</w:t>
      </w:r>
      <w:r>
        <w:rPr>
          <w:spacing w:val="-5"/>
          <w:sz w:val="20"/>
          <w:vertAlign w:val="baseline"/>
        </w:rPr>
        <w:t> </w:t>
      </w:r>
      <w:r>
        <w:rPr>
          <w:sz w:val="20"/>
          <w:vertAlign w:val="baseline"/>
        </w:rPr>
        <w:t>of efficiencies</w:t>
      </w:r>
      <w:r>
        <w:rPr>
          <w:spacing w:val="-3"/>
          <w:sz w:val="20"/>
          <w:vertAlign w:val="baseline"/>
        </w:rPr>
        <w:t> </w:t>
      </w:r>
      <w:r>
        <w:rPr>
          <w:sz w:val="20"/>
          <w:vertAlign w:val="baseline"/>
        </w:rPr>
        <w:t>and savings</w:t>
      </w:r>
      <w:r>
        <w:rPr>
          <w:spacing w:val="-3"/>
          <w:sz w:val="20"/>
          <w:vertAlign w:val="baseline"/>
        </w:rPr>
        <w:t> </w:t>
      </w:r>
      <w:r>
        <w:rPr>
          <w:sz w:val="20"/>
          <w:vertAlign w:val="baseline"/>
        </w:rPr>
        <w:t>related</w:t>
      </w:r>
      <w:r>
        <w:rPr>
          <w:spacing w:val="-1"/>
          <w:sz w:val="20"/>
          <w:vertAlign w:val="baseline"/>
        </w:rPr>
        <w:t> </w:t>
      </w:r>
      <w:r>
        <w:rPr>
          <w:sz w:val="20"/>
          <w:vertAlign w:val="baseline"/>
        </w:rPr>
        <w:t>to</w:t>
      </w:r>
      <w:r>
        <w:rPr>
          <w:spacing w:val="-1"/>
          <w:sz w:val="20"/>
          <w:vertAlign w:val="baseline"/>
        </w:rPr>
        <w:t> </w:t>
      </w:r>
      <w:r>
        <w:rPr>
          <w:sz w:val="20"/>
          <w:vertAlign w:val="baseline"/>
        </w:rPr>
        <w:t>categories</w:t>
      </w:r>
      <w:r>
        <w:rPr>
          <w:spacing w:val="-3"/>
          <w:sz w:val="20"/>
          <w:vertAlign w:val="baseline"/>
        </w:rPr>
        <w:t> </w:t>
      </w:r>
      <w:r>
        <w:rPr>
          <w:sz w:val="20"/>
          <w:vertAlign w:val="baseline"/>
        </w:rPr>
        <w:t>c. and</w:t>
      </w:r>
      <w:r>
        <w:rPr>
          <w:spacing w:val="-1"/>
          <w:sz w:val="20"/>
          <w:vertAlign w:val="baseline"/>
        </w:rPr>
        <w:t> </w:t>
      </w:r>
      <w:r>
        <w:rPr>
          <w:sz w:val="20"/>
          <w:vertAlign w:val="baseline"/>
        </w:rPr>
        <w:t>d. listed</w:t>
      </w:r>
      <w:r>
        <w:rPr>
          <w:spacing w:val="-1"/>
          <w:sz w:val="20"/>
          <w:vertAlign w:val="baseline"/>
        </w:rPr>
        <w:t> </w:t>
      </w:r>
      <w:r>
        <w:rPr>
          <w:sz w:val="20"/>
          <w:vertAlign w:val="baseline"/>
        </w:rPr>
        <w:t>above.</w:t>
      </w:r>
    </w:p>
    <w:p>
      <w:pPr>
        <w:pStyle w:val="ListParagraph"/>
        <w:numPr>
          <w:ilvl w:val="0"/>
          <w:numId w:val="4"/>
        </w:numPr>
        <w:tabs>
          <w:tab w:pos="2967" w:val="left" w:leader="none"/>
        </w:tabs>
        <w:spacing w:line="259" w:lineRule="auto" w:before="121" w:after="0"/>
        <w:ind w:left="2246" w:right="2238" w:firstLine="0"/>
        <w:jc w:val="both"/>
        <w:rPr>
          <w:sz w:val="20"/>
        </w:rPr>
      </w:pPr>
      <w:r>
        <w:rPr>
          <w:sz w:val="20"/>
        </w:rPr>
        <w:t>Accordingly,</w:t>
      </w:r>
      <w:r>
        <w:rPr>
          <w:spacing w:val="-1"/>
          <w:sz w:val="20"/>
        </w:rPr>
        <w:t> </w:t>
      </w:r>
      <w:r>
        <w:rPr>
          <w:sz w:val="20"/>
        </w:rPr>
        <w:t>Table 2 below summarizes savings and</w:t>
      </w:r>
      <w:r>
        <w:rPr>
          <w:spacing w:val="-4"/>
          <w:sz w:val="20"/>
        </w:rPr>
        <w:t> </w:t>
      </w:r>
      <w:r>
        <w:rPr>
          <w:sz w:val="20"/>
        </w:rPr>
        <w:t>efficiencies achieved</w:t>
      </w:r>
      <w:r>
        <w:rPr>
          <w:spacing w:val="-4"/>
          <w:sz w:val="20"/>
        </w:rPr>
        <w:t> </w:t>
      </w:r>
      <w:r>
        <w:rPr>
          <w:sz w:val="20"/>
        </w:rPr>
        <w:t>in 2022 and in preparation for the 2023 Proposed Programme Budget, according to the agreed categories</w:t>
      </w:r>
      <w:r>
        <w:rPr>
          <w:spacing w:val="-13"/>
          <w:sz w:val="20"/>
        </w:rPr>
        <w:t> </w:t>
      </w:r>
      <w:r>
        <w:rPr>
          <w:sz w:val="20"/>
        </w:rPr>
        <w:t>above.</w:t>
      </w:r>
      <w:r>
        <w:rPr>
          <w:spacing w:val="-12"/>
          <w:sz w:val="20"/>
        </w:rPr>
        <w:t> </w:t>
      </w:r>
      <w:r>
        <w:rPr>
          <w:sz w:val="20"/>
        </w:rPr>
        <w:t>All</w:t>
      </w:r>
      <w:r>
        <w:rPr>
          <w:spacing w:val="-13"/>
          <w:sz w:val="20"/>
        </w:rPr>
        <w:t> </w:t>
      </w:r>
      <w:r>
        <w:rPr>
          <w:sz w:val="20"/>
        </w:rPr>
        <w:t>initiatives</w:t>
      </w:r>
      <w:r>
        <w:rPr>
          <w:spacing w:val="-12"/>
          <w:sz w:val="20"/>
        </w:rPr>
        <w:t> </w:t>
      </w:r>
      <w:r>
        <w:rPr>
          <w:sz w:val="20"/>
        </w:rPr>
        <w:t>are</w:t>
      </w:r>
      <w:r>
        <w:rPr>
          <w:spacing w:val="-13"/>
          <w:sz w:val="20"/>
        </w:rPr>
        <w:t> </w:t>
      </w:r>
      <w:r>
        <w:rPr>
          <w:sz w:val="20"/>
        </w:rPr>
        <w:t>described</w:t>
      </w:r>
      <w:r>
        <w:rPr>
          <w:spacing w:val="-12"/>
          <w:sz w:val="20"/>
        </w:rPr>
        <w:t> </w:t>
      </w:r>
      <w:r>
        <w:rPr>
          <w:sz w:val="20"/>
        </w:rPr>
        <w:t>in</w:t>
      </w:r>
      <w:r>
        <w:rPr>
          <w:spacing w:val="-13"/>
          <w:sz w:val="20"/>
        </w:rPr>
        <w:t> </w:t>
      </w:r>
      <w:r>
        <w:rPr>
          <w:sz w:val="20"/>
        </w:rPr>
        <w:t>detail</w:t>
      </w:r>
      <w:r>
        <w:rPr>
          <w:spacing w:val="-12"/>
          <w:sz w:val="20"/>
        </w:rPr>
        <w:t> </w:t>
      </w:r>
      <w:r>
        <w:rPr>
          <w:sz w:val="20"/>
        </w:rPr>
        <w:t>in</w:t>
      </w:r>
      <w:r>
        <w:rPr>
          <w:spacing w:val="-13"/>
          <w:sz w:val="20"/>
        </w:rPr>
        <w:t> </w:t>
      </w:r>
      <w:r>
        <w:rPr>
          <w:sz w:val="20"/>
        </w:rPr>
        <w:t>Annex</w:t>
      </w:r>
      <w:r>
        <w:rPr>
          <w:spacing w:val="-12"/>
          <w:sz w:val="20"/>
        </w:rPr>
        <w:t> </w:t>
      </w:r>
      <w:r>
        <w:rPr>
          <w:sz w:val="20"/>
        </w:rPr>
        <w:t>XVI.</w:t>
      </w:r>
      <w:r>
        <w:rPr>
          <w:spacing w:val="-13"/>
          <w:sz w:val="20"/>
        </w:rPr>
        <w:t> </w:t>
      </w:r>
      <w:r>
        <w:rPr>
          <w:sz w:val="20"/>
        </w:rPr>
        <w:t>The</w:t>
      </w:r>
      <w:r>
        <w:rPr>
          <w:spacing w:val="-12"/>
          <w:sz w:val="20"/>
        </w:rPr>
        <w:t> </w:t>
      </w:r>
      <w:r>
        <w:rPr>
          <w:sz w:val="20"/>
        </w:rPr>
        <w:t>Court</w:t>
      </w:r>
      <w:r>
        <w:rPr>
          <w:spacing w:val="-13"/>
          <w:sz w:val="20"/>
        </w:rPr>
        <w:t> </w:t>
      </w:r>
      <w:r>
        <w:rPr>
          <w:sz w:val="20"/>
        </w:rPr>
        <w:t>has</w:t>
      </w:r>
      <w:r>
        <w:rPr>
          <w:spacing w:val="-12"/>
          <w:sz w:val="20"/>
        </w:rPr>
        <w:t> </w:t>
      </w:r>
      <w:r>
        <w:rPr>
          <w:sz w:val="20"/>
        </w:rPr>
        <w:t>achieved organization-wide</w:t>
      </w:r>
      <w:r>
        <w:rPr>
          <w:spacing w:val="-8"/>
          <w:sz w:val="20"/>
        </w:rPr>
        <w:t> </w:t>
      </w:r>
      <w:r>
        <w:rPr>
          <w:sz w:val="20"/>
        </w:rPr>
        <w:t>savings</w:t>
      </w:r>
      <w:r>
        <w:rPr>
          <w:spacing w:val="-9"/>
          <w:sz w:val="20"/>
        </w:rPr>
        <w:t> </w:t>
      </w:r>
      <w:r>
        <w:rPr>
          <w:sz w:val="20"/>
        </w:rPr>
        <w:t>and</w:t>
      </w:r>
      <w:r>
        <w:rPr>
          <w:spacing w:val="-12"/>
          <w:sz w:val="20"/>
        </w:rPr>
        <w:t> </w:t>
      </w:r>
      <w:r>
        <w:rPr>
          <w:sz w:val="20"/>
        </w:rPr>
        <w:t>efficiencies</w:t>
      </w:r>
      <w:r>
        <w:rPr>
          <w:spacing w:val="-13"/>
          <w:sz w:val="20"/>
        </w:rPr>
        <w:t> </w:t>
      </w:r>
      <w:r>
        <w:rPr>
          <w:sz w:val="20"/>
        </w:rPr>
        <w:t>in</w:t>
      </w:r>
      <w:r>
        <w:rPr>
          <w:spacing w:val="-12"/>
          <w:sz w:val="20"/>
        </w:rPr>
        <w:t> </w:t>
      </w:r>
      <w:r>
        <w:rPr>
          <w:sz w:val="20"/>
        </w:rPr>
        <w:t>the</w:t>
      </w:r>
      <w:r>
        <w:rPr>
          <w:spacing w:val="-11"/>
          <w:sz w:val="20"/>
        </w:rPr>
        <w:t> </w:t>
      </w:r>
      <w:r>
        <w:rPr>
          <w:sz w:val="20"/>
        </w:rPr>
        <w:t>amount</w:t>
      </w:r>
      <w:r>
        <w:rPr>
          <w:spacing w:val="-11"/>
          <w:sz w:val="20"/>
        </w:rPr>
        <w:t> </w:t>
      </w:r>
      <w:r>
        <w:rPr>
          <w:sz w:val="20"/>
        </w:rPr>
        <w:t>of</w:t>
      </w:r>
      <w:r>
        <w:rPr>
          <w:spacing w:val="-7"/>
          <w:sz w:val="20"/>
        </w:rPr>
        <w:t> </w:t>
      </w:r>
      <w:r>
        <w:rPr>
          <w:sz w:val="20"/>
        </w:rPr>
        <w:t>€2,212.7</w:t>
      </w:r>
      <w:r>
        <w:rPr>
          <w:spacing w:val="-12"/>
          <w:sz w:val="20"/>
        </w:rPr>
        <w:t> </w:t>
      </w:r>
      <w:r>
        <w:rPr>
          <w:sz w:val="20"/>
        </w:rPr>
        <w:t>thousand</w:t>
      </w:r>
      <w:r>
        <w:rPr>
          <w:spacing w:val="-12"/>
          <w:sz w:val="20"/>
        </w:rPr>
        <w:t> </w:t>
      </w:r>
      <w:r>
        <w:rPr>
          <w:sz w:val="20"/>
        </w:rPr>
        <w:t>(1.4</w:t>
      </w:r>
      <w:r>
        <w:rPr>
          <w:spacing w:val="-12"/>
          <w:sz w:val="20"/>
        </w:rPr>
        <w:t> </w:t>
      </w:r>
      <w:r>
        <w:rPr>
          <w:sz w:val="20"/>
        </w:rPr>
        <w:t>per</w:t>
      </w:r>
      <w:r>
        <w:rPr>
          <w:spacing w:val="-12"/>
          <w:sz w:val="20"/>
        </w:rPr>
        <w:t> </w:t>
      </w:r>
      <w:r>
        <w:rPr>
          <w:sz w:val="20"/>
        </w:rPr>
        <w:t>cent). This is calculated by (1) taking the sum-total of 2023 reductions in the baseline and 2022 costs avoided as a result of savings and efficiencies, and (2) dividing that sum by the 2022 programme budget (excluding the Host State Loan). In total, the Court’s reduction to the baseline, including savings</w:t>
      </w:r>
      <w:r>
        <w:rPr>
          <w:spacing w:val="-4"/>
          <w:sz w:val="20"/>
        </w:rPr>
        <w:t> </w:t>
      </w:r>
      <w:r>
        <w:rPr>
          <w:sz w:val="20"/>
        </w:rPr>
        <w:t>indicated</w:t>
      </w:r>
      <w:r>
        <w:rPr>
          <w:spacing w:val="-3"/>
          <w:sz w:val="20"/>
        </w:rPr>
        <w:t> </w:t>
      </w:r>
      <w:r>
        <w:rPr>
          <w:sz w:val="20"/>
        </w:rPr>
        <w:t>earlier but</w:t>
      </w:r>
      <w:r>
        <w:rPr>
          <w:spacing w:val="-1"/>
          <w:sz w:val="20"/>
        </w:rPr>
        <w:t> </w:t>
      </w:r>
      <w:r>
        <w:rPr>
          <w:sz w:val="20"/>
        </w:rPr>
        <w:t>also</w:t>
      </w:r>
      <w:r>
        <w:rPr>
          <w:spacing w:val="-3"/>
          <w:sz w:val="20"/>
        </w:rPr>
        <w:t> </w:t>
      </w:r>
      <w:r>
        <w:rPr>
          <w:sz w:val="20"/>
        </w:rPr>
        <w:t>taking</w:t>
      </w:r>
      <w:r>
        <w:rPr>
          <w:spacing w:val="-3"/>
          <w:sz w:val="20"/>
        </w:rPr>
        <w:t> </w:t>
      </w:r>
      <w:r>
        <w:rPr>
          <w:sz w:val="20"/>
        </w:rPr>
        <w:t>into</w:t>
      </w:r>
      <w:r>
        <w:rPr>
          <w:spacing w:val="-3"/>
          <w:sz w:val="20"/>
        </w:rPr>
        <w:t> </w:t>
      </w:r>
      <w:r>
        <w:rPr>
          <w:sz w:val="20"/>
        </w:rPr>
        <w:t>account</w:t>
      </w:r>
      <w:r>
        <w:rPr>
          <w:spacing w:val="-1"/>
          <w:sz w:val="20"/>
        </w:rPr>
        <w:t> </w:t>
      </w:r>
      <w:r>
        <w:rPr>
          <w:sz w:val="20"/>
        </w:rPr>
        <w:t>non-recurrent costs and additional cost reductions, amounts to €1,537.5 thousand.</w:t>
      </w:r>
    </w:p>
    <w:p>
      <w:pPr>
        <w:pStyle w:val="BodyText"/>
      </w:pPr>
    </w:p>
    <w:p>
      <w:pPr>
        <w:pStyle w:val="BodyText"/>
        <w:spacing w:before="7"/>
        <w:rPr>
          <w:sz w:val="15"/>
        </w:rPr>
      </w:pPr>
      <w:r>
        <w:rPr/>
        <w:pict>
          <v:rect style="position:absolute;margin-left:113.330002pt;margin-top:10.193759pt;width:144.050pt;height:.48004pt;mso-position-horizontal-relative:page;mso-position-vertical-relative:paragraph;z-index:-15726592;mso-wrap-distance-left:0;mso-wrap-distance-right:0" id="docshape31" filled="true" fillcolor="#000000" stroked="false">
            <v:fill type="solid"/>
            <w10:wrap type="topAndBottom"/>
          </v:rect>
        </w:pict>
      </w:r>
    </w:p>
    <w:p>
      <w:pPr>
        <w:spacing w:line="183" w:lineRule="exact" w:before="86"/>
        <w:ind w:left="2246" w:right="0" w:firstLine="0"/>
        <w:jc w:val="both"/>
        <w:rPr>
          <w:sz w:val="16"/>
        </w:rPr>
      </w:pPr>
      <w:r>
        <w:rPr>
          <w:position w:val="5"/>
          <w:sz w:val="10"/>
        </w:rPr>
        <w:t>3</w:t>
      </w:r>
      <w:r>
        <w:rPr>
          <w:spacing w:val="12"/>
          <w:position w:val="5"/>
          <w:sz w:val="10"/>
        </w:rPr>
        <w:t> </w:t>
      </w:r>
      <w:r>
        <w:rPr>
          <w:i/>
          <w:sz w:val="16"/>
        </w:rPr>
        <w:t>Official Records</w:t>
      </w:r>
      <w:r>
        <w:rPr>
          <w:i/>
          <w:spacing w:val="-4"/>
          <w:sz w:val="16"/>
        </w:rPr>
        <w:t> </w:t>
      </w:r>
      <w:r>
        <w:rPr>
          <w:i/>
          <w:sz w:val="16"/>
        </w:rPr>
        <w:t>…</w:t>
      </w:r>
      <w:r>
        <w:rPr>
          <w:i/>
          <w:spacing w:val="-6"/>
          <w:sz w:val="16"/>
        </w:rPr>
        <w:t> </w:t>
      </w:r>
      <w:r>
        <w:rPr>
          <w:i/>
          <w:sz w:val="16"/>
        </w:rPr>
        <w:t>Fifteenth</w:t>
      </w:r>
      <w:r>
        <w:rPr>
          <w:i/>
          <w:spacing w:val="-2"/>
          <w:sz w:val="16"/>
        </w:rPr>
        <w:t> </w:t>
      </w:r>
      <w:r>
        <w:rPr>
          <w:i/>
          <w:sz w:val="16"/>
        </w:rPr>
        <w:t>session</w:t>
      </w:r>
      <w:r>
        <w:rPr>
          <w:i/>
          <w:spacing w:val="-2"/>
          <w:sz w:val="16"/>
        </w:rPr>
        <w:t> </w:t>
      </w:r>
      <w:r>
        <w:rPr>
          <w:i/>
          <w:sz w:val="16"/>
        </w:rPr>
        <w:t>…</w:t>
      </w:r>
      <w:r>
        <w:rPr>
          <w:i/>
          <w:spacing w:val="-6"/>
          <w:sz w:val="16"/>
        </w:rPr>
        <w:t> </w:t>
      </w:r>
      <w:r>
        <w:rPr>
          <w:i/>
          <w:sz w:val="16"/>
        </w:rPr>
        <w:t>2016</w:t>
      </w:r>
      <w:r>
        <w:rPr>
          <w:i/>
          <w:spacing w:val="3"/>
          <w:sz w:val="16"/>
        </w:rPr>
        <w:t> </w:t>
      </w:r>
      <w:r>
        <w:rPr>
          <w:sz w:val="16"/>
        </w:rPr>
        <w:t>(ICC-ASP/15/20),</w:t>
      </w:r>
      <w:r>
        <w:rPr>
          <w:spacing w:val="-5"/>
          <w:sz w:val="16"/>
        </w:rPr>
        <w:t> </w:t>
      </w:r>
      <w:r>
        <w:rPr>
          <w:sz w:val="16"/>
        </w:rPr>
        <w:t>vol.</w:t>
      </w:r>
      <w:r>
        <w:rPr>
          <w:spacing w:val="-5"/>
          <w:sz w:val="16"/>
        </w:rPr>
        <w:t> </w:t>
      </w:r>
      <w:r>
        <w:rPr>
          <w:sz w:val="16"/>
        </w:rPr>
        <w:t>I,</w:t>
      </w:r>
      <w:r>
        <w:rPr>
          <w:spacing w:val="-5"/>
          <w:sz w:val="16"/>
        </w:rPr>
        <w:t> </w:t>
      </w:r>
      <w:r>
        <w:rPr>
          <w:sz w:val="16"/>
        </w:rPr>
        <w:t>part</w:t>
      </w:r>
      <w:r>
        <w:rPr>
          <w:spacing w:val="-1"/>
          <w:sz w:val="16"/>
        </w:rPr>
        <w:t> </w:t>
      </w:r>
      <w:r>
        <w:rPr>
          <w:sz w:val="16"/>
        </w:rPr>
        <w:t>III,</w:t>
      </w:r>
      <w:r>
        <w:rPr>
          <w:spacing w:val="-5"/>
          <w:sz w:val="16"/>
        </w:rPr>
        <w:t> </w:t>
      </w:r>
      <w:r>
        <w:rPr>
          <w:sz w:val="16"/>
        </w:rPr>
        <w:t>ICC-ASP/15/Res.1,</w:t>
      </w:r>
      <w:r>
        <w:rPr>
          <w:spacing w:val="-5"/>
          <w:sz w:val="16"/>
        </w:rPr>
        <w:t> </w:t>
      </w:r>
      <w:r>
        <w:rPr>
          <w:sz w:val="16"/>
        </w:rPr>
        <w:t>para.</w:t>
      </w:r>
      <w:r>
        <w:rPr>
          <w:spacing w:val="-1"/>
          <w:sz w:val="16"/>
        </w:rPr>
        <w:t> </w:t>
      </w:r>
      <w:r>
        <w:rPr>
          <w:spacing w:val="-4"/>
          <w:sz w:val="16"/>
        </w:rPr>
        <w:t>L.1.</w:t>
      </w:r>
    </w:p>
    <w:p>
      <w:pPr>
        <w:spacing w:line="182" w:lineRule="exact" w:before="0"/>
        <w:ind w:left="2246" w:right="0" w:firstLine="0"/>
        <w:jc w:val="both"/>
        <w:rPr>
          <w:sz w:val="16"/>
        </w:rPr>
      </w:pPr>
      <w:r>
        <w:rPr>
          <w:position w:val="5"/>
          <w:sz w:val="10"/>
        </w:rPr>
        <w:t>4</w:t>
      </w:r>
      <w:r>
        <w:rPr>
          <w:spacing w:val="12"/>
          <w:position w:val="5"/>
          <w:sz w:val="10"/>
        </w:rPr>
        <w:t> </w:t>
      </w:r>
      <w:r>
        <w:rPr>
          <w:i/>
          <w:sz w:val="16"/>
        </w:rPr>
        <w:t>Official Records</w:t>
      </w:r>
      <w:r>
        <w:rPr>
          <w:i/>
          <w:spacing w:val="-4"/>
          <w:sz w:val="16"/>
        </w:rPr>
        <w:t> </w:t>
      </w:r>
      <w:r>
        <w:rPr>
          <w:i/>
          <w:sz w:val="16"/>
        </w:rPr>
        <w:t>…</w:t>
      </w:r>
      <w:r>
        <w:rPr>
          <w:i/>
          <w:spacing w:val="-6"/>
          <w:sz w:val="16"/>
        </w:rPr>
        <w:t> </w:t>
      </w:r>
      <w:r>
        <w:rPr>
          <w:i/>
          <w:sz w:val="16"/>
        </w:rPr>
        <w:t>Fifteenth</w:t>
      </w:r>
      <w:r>
        <w:rPr>
          <w:i/>
          <w:spacing w:val="-2"/>
          <w:sz w:val="16"/>
        </w:rPr>
        <w:t> </w:t>
      </w:r>
      <w:r>
        <w:rPr>
          <w:i/>
          <w:sz w:val="16"/>
        </w:rPr>
        <w:t>session</w:t>
      </w:r>
      <w:r>
        <w:rPr>
          <w:i/>
          <w:spacing w:val="-2"/>
          <w:sz w:val="16"/>
        </w:rPr>
        <w:t> </w:t>
      </w:r>
      <w:r>
        <w:rPr>
          <w:i/>
          <w:sz w:val="16"/>
        </w:rPr>
        <w:t>…</w:t>
      </w:r>
      <w:r>
        <w:rPr>
          <w:i/>
          <w:spacing w:val="-6"/>
          <w:sz w:val="16"/>
        </w:rPr>
        <w:t> </w:t>
      </w:r>
      <w:r>
        <w:rPr>
          <w:i/>
          <w:sz w:val="16"/>
        </w:rPr>
        <w:t>2016</w:t>
      </w:r>
      <w:r>
        <w:rPr>
          <w:i/>
          <w:spacing w:val="3"/>
          <w:sz w:val="16"/>
        </w:rPr>
        <w:t> </w:t>
      </w:r>
      <w:r>
        <w:rPr>
          <w:sz w:val="16"/>
        </w:rPr>
        <w:t>(ICC-ASP/15/20),</w:t>
      </w:r>
      <w:r>
        <w:rPr>
          <w:spacing w:val="-5"/>
          <w:sz w:val="16"/>
        </w:rPr>
        <w:t> </w:t>
      </w:r>
      <w:r>
        <w:rPr>
          <w:sz w:val="16"/>
        </w:rPr>
        <w:t>vol.</w:t>
      </w:r>
      <w:r>
        <w:rPr>
          <w:spacing w:val="-5"/>
          <w:sz w:val="16"/>
        </w:rPr>
        <w:t> </w:t>
      </w:r>
      <w:r>
        <w:rPr>
          <w:sz w:val="16"/>
        </w:rPr>
        <w:t>I,</w:t>
      </w:r>
      <w:r>
        <w:rPr>
          <w:spacing w:val="-5"/>
          <w:sz w:val="16"/>
        </w:rPr>
        <w:t> </w:t>
      </w:r>
      <w:r>
        <w:rPr>
          <w:sz w:val="16"/>
        </w:rPr>
        <w:t>part</w:t>
      </w:r>
      <w:r>
        <w:rPr>
          <w:spacing w:val="-1"/>
          <w:sz w:val="16"/>
        </w:rPr>
        <w:t> </w:t>
      </w:r>
      <w:r>
        <w:rPr>
          <w:sz w:val="16"/>
        </w:rPr>
        <w:t>III,</w:t>
      </w:r>
      <w:r>
        <w:rPr>
          <w:spacing w:val="-5"/>
          <w:sz w:val="16"/>
        </w:rPr>
        <w:t> </w:t>
      </w:r>
      <w:r>
        <w:rPr>
          <w:sz w:val="16"/>
        </w:rPr>
        <w:t>ICC-ASP/15/Res.1,</w:t>
      </w:r>
      <w:r>
        <w:rPr>
          <w:spacing w:val="-5"/>
          <w:sz w:val="16"/>
        </w:rPr>
        <w:t> </w:t>
      </w:r>
      <w:r>
        <w:rPr>
          <w:sz w:val="16"/>
        </w:rPr>
        <w:t>para.</w:t>
      </w:r>
      <w:r>
        <w:rPr>
          <w:spacing w:val="-1"/>
          <w:sz w:val="16"/>
        </w:rPr>
        <w:t> </w:t>
      </w:r>
      <w:r>
        <w:rPr>
          <w:spacing w:val="-4"/>
          <w:sz w:val="16"/>
        </w:rPr>
        <w:t>L.2.</w:t>
      </w:r>
    </w:p>
    <w:p>
      <w:pPr>
        <w:spacing w:line="240" w:lineRule="auto" w:before="0"/>
        <w:ind w:left="2246" w:right="2244" w:firstLine="0"/>
        <w:jc w:val="both"/>
        <w:rPr>
          <w:sz w:val="16"/>
        </w:rPr>
      </w:pPr>
      <w:r>
        <w:rPr>
          <w:position w:val="5"/>
          <w:sz w:val="10"/>
        </w:rPr>
        <w:t>5</w:t>
      </w:r>
      <w:r>
        <w:rPr>
          <w:spacing w:val="10"/>
          <w:position w:val="5"/>
          <w:sz w:val="10"/>
        </w:rPr>
        <w:t> </w:t>
      </w:r>
      <w:r>
        <w:rPr>
          <w:i/>
          <w:sz w:val="16"/>
        </w:rPr>
        <w:t>Official</w:t>
      </w:r>
      <w:r>
        <w:rPr>
          <w:i/>
          <w:spacing w:val="-4"/>
          <w:sz w:val="16"/>
        </w:rPr>
        <w:t> </w:t>
      </w:r>
      <w:r>
        <w:rPr>
          <w:i/>
          <w:sz w:val="16"/>
        </w:rPr>
        <w:t>Records</w:t>
      </w:r>
      <w:r>
        <w:rPr>
          <w:i/>
          <w:spacing w:val="-7"/>
          <w:sz w:val="16"/>
        </w:rPr>
        <w:t> </w:t>
      </w:r>
      <w:r>
        <w:rPr>
          <w:i/>
          <w:sz w:val="16"/>
        </w:rPr>
        <w:t>…</w:t>
      </w:r>
      <w:r>
        <w:rPr>
          <w:i/>
          <w:spacing w:val="-5"/>
          <w:sz w:val="16"/>
        </w:rPr>
        <w:t> </w:t>
      </w:r>
      <w:r>
        <w:rPr>
          <w:i/>
          <w:sz w:val="16"/>
        </w:rPr>
        <w:t>Sixteenth</w:t>
      </w:r>
      <w:r>
        <w:rPr>
          <w:i/>
          <w:spacing w:val="-6"/>
          <w:sz w:val="16"/>
        </w:rPr>
        <w:t> </w:t>
      </w:r>
      <w:r>
        <w:rPr>
          <w:i/>
          <w:sz w:val="16"/>
        </w:rPr>
        <w:t>session</w:t>
      </w:r>
      <w:r>
        <w:rPr>
          <w:i/>
          <w:spacing w:val="-1"/>
          <w:sz w:val="16"/>
        </w:rPr>
        <w:t> </w:t>
      </w:r>
      <w:r>
        <w:rPr>
          <w:i/>
          <w:sz w:val="16"/>
        </w:rPr>
        <w:t>…</w:t>
      </w:r>
      <w:r>
        <w:rPr>
          <w:i/>
          <w:spacing w:val="-1"/>
          <w:sz w:val="16"/>
        </w:rPr>
        <w:t> </w:t>
      </w:r>
      <w:r>
        <w:rPr>
          <w:i/>
          <w:sz w:val="16"/>
        </w:rPr>
        <w:t>2017</w:t>
      </w:r>
      <w:r>
        <w:rPr>
          <w:i/>
          <w:spacing w:val="-5"/>
          <w:sz w:val="16"/>
        </w:rPr>
        <w:t> </w:t>
      </w:r>
      <w:r>
        <w:rPr>
          <w:sz w:val="16"/>
        </w:rPr>
        <w:t>(ICC-ASP/16/20),</w:t>
      </w:r>
      <w:r>
        <w:rPr>
          <w:spacing w:val="-9"/>
          <w:sz w:val="16"/>
        </w:rPr>
        <w:t> </w:t>
      </w:r>
      <w:r>
        <w:rPr>
          <w:sz w:val="16"/>
        </w:rPr>
        <w:t>vol.</w:t>
      </w:r>
      <w:r>
        <w:rPr>
          <w:spacing w:val="-3"/>
          <w:sz w:val="16"/>
        </w:rPr>
        <w:t> </w:t>
      </w:r>
      <w:r>
        <w:rPr>
          <w:sz w:val="16"/>
        </w:rPr>
        <w:t>II,</w:t>
      </w:r>
      <w:r>
        <w:rPr>
          <w:spacing w:val="-9"/>
          <w:sz w:val="16"/>
        </w:rPr>
        <w:t> </w:t>
      </w:r>
      <w:r>
        <w:rPr>
          <w:sz w:val="16"/>
        </w:rPr>
        <w:t>part</w:t>
      </w:r>
      <w:r>
        <w:rPr>
          <w:spacing w:val="-3"/>
          <w:sz w:val="16"/>
        </w:rPr>
        <w:t> </w:t>
      </w:r>
      <w:r>
        <w:rPr>
          <w:sz w:val="16"/>
        </w:rPr>
        <w:t>A,</w:t>
      </w:r>
      <w:r>
        <w:rPr>
          <w:spacing w:val="-4"/>
          <w:sz w:val="16"/>
        </w:rPr>
        <w:t> </w:t>
      </w:r>
      <w:r>
        <w:rPr>
          <w:sz w:val="16"/>
        </w:rPr>
        <w:t>paras.</w:t>
      </w:r>
      <w:r>
        <w:rPr>
          <w:spacing w:val="-3"/>
          <w:sz w:val="16"/>
        </w:rPr>
        <w:t> </w:t>
      </w:r>
      <w:r>
        <w:rPr>
          <w:sz w:val="16"/>
        </w:rPr>
        <w:t>38-51</w:t>
      </w:r>
      <w:r>
        <w:rPr>
          <w:spacing w:val="-6"/>
          <w:sz w:val="16"/>
        </w:rPr>
        <w:t> </w:t>
      </w:r>
      <w:r>
        <w:rPr>
          <w:sz w:val="16"/>
        </w:rPr>
        <w:t>and</w:t>
      </w:r>
      <w:r>
        <w:rPr>
          <w:spacing w:val="-6"/>
          <w:sz w:val="16"/>
        </w:rPr>
        <w:t> </w:t>
      </w:r>
      <w:r>
        <w:rPr>
          <w:sz w:val="16"/>
        </w:rPr>
        <w:t>annex</w:t>
      </w:r>
      <w:r>
        <w:rPr>
          <w:spacing w:val="-6"/>
          <w:sz w:val="16"/>
        </w:rPr>
        <w:t> </w:t>
      </w:r>
      <w:r>
        <w:rPr>
          <w:sz w:val="16"/>
        </w:rPr>
        <w:t>X;</w:t>
      </w:r>
      <w:r>
        <w:rPr>
          <w:spacing w:val="-6"/>
          <w:sz w:val="16"/>
        </w:rPr>
        <w:t> </w:t>
      </w:r>
      <w:r>
        <w:rPr>
          <w:i/>
          <w:sz w:val="16"/>
        </w:rPr>
        <w:t>Official</w:t>
      </w:r>
      <w:r>
        <w:rPr>
          <w:i/>
          <w:spacing w:val="40"/>
          <w:sz w:val="16"/>
        </w:rPr>
        <w:t> </w:t>
      </w:r>
      <w:r>
        <w:rPr>
          <w:i/>
          <w:sz w:val="16"/>
        </w:rPr>
        <w:t>Records … Seventeenth session … 2018 </w:t>
      </w:r>
      <w:r>
        <w:rPr>
          <w:sz w:val="16"/>
        </w:rPr>
        <w:t>(ICC-ASP/17/20), vol. II, part A, paras. 35-41 </w:t>
      </w:r>
      <w:r>
        <w:rPr>
          <w:i/>
          <w:sz w:val="16"/>
        </w:rPr>
        <w:t>Official Records …</w:t>
      </w:r>
      <w:r>
        <w:rPr>
          <w:i/>
          <w:spacing w:val="40"/>
          <w:sz w:val="16"/>
        </w:rPr>
        <w:t> </w:t>
      </w:r>
      <w:r>
        <w:rPr>
          <w:i/>
          <w:sz w:val="16"/>
        </w:rPr>
        <w:t>Eighteenth</w:t>
      </w:r>
      <w:r>
        <w:rPr>
          <w:i/>
          <w:spacing w:val="-6"/>
          <w:sz w:val="16"/>
        </w:rPr>
        <w:t> </w:t>
      </w:r>
      <w:r>
        <w:rPr>
          <w:i/>
          <w:sz w:val="16"/>
        </w:rPr>
        <w:t>session</w:t>
      </w:r>
      <w:r>
        <w:rPr>
          <w:i/>
          <w:spacing w:val="-4"/>
          <w:sz w:val="16"/>
        </w:rPr>
        <w:t> </w:t>
      </w:r>
      <w:r>
        <w:rPr>
          <w:i/>
          <w:sz w:val="16"/>
        </w:rPr>
        <w:t>…</w:t>
      </w:r>
      <w:r>
        <w:rPr>
          <w:i/>
          <w:spacing w:val="-10"/>
          <w:sz w:val="16"/>
        </w:rPr>
        <w:t> </w:t>
      </w:r>
      <w:r>
        <w:rPr>
          <w:i/>
          <w:sz w:val="16"/>
        </w:rPr>
        <w:t>2019</w:t>
      </w:r>
      <w:r>
        <w:rPr>
          <w:i/>
          <w:spacing w:val="-5"/>
          <w:sz w:val="16"/>
        </w:rPr>
        <w:t> </w:t>
      </w:r>
      <w:r>
        <w:rPr>
          <w:sz w:val="16"/>
        </w:rPr>
        <w:t>(ICC-ASP/18/20,</w:t>
      </w:r>
      <w:r>
        <w:rPr>
          <w:spacing w:val="-8"/>
          <w:sz w:val="16"/>
        </w:rPr>
        <w:t> </w:t>
      </w:r>
      <w:r>
        <w:rPr>
          <w:sz w:val="16"/>
        </w:rPr>
        <w:t>vol.</w:t>
      </w:r>
      <w:r>
        <w:rPr>
          <w:spacing w:val="-4"/>
          <w:sz w:val="16"/>
        </w:rPr>
        <w:t> </w:t>
      </w:r>
      <w:r>
        <w:rPr>
          <w:sz w:val="16"/>
        </w:rPr>
        <w:t>II,</w:t>
      </w:r>
      <w:r>
        <w:rPr>
          <w:spacing w:val="-4"/>
          <w:sz w:val="16"/>
        </w:rPr>
        <w:t> </w:t>
      </w:r>
      <w:r>
        <w:rPr>
          <w:sz w:val="16"/>
        </w:rPr>
        <w:t>part</w:t>
      </w:r>
      <w:r>
        <w:rPr>
          <w:spacing w:val="-9"/>
          <w:sz w:val="16"/>
        </w:rPr>
        <w:t> </w:t>
      </w:r>
      <w:r>
        <w:rPr>
          <w:sz w:val="16"/>
        </w:rPr>
        <w:t>A),</w:t>
      </w:r>
      <w:r>
        <w:rPr>
          <w:spacing w:val="-4"/>
          <w:sz w:val="16"/>
        </w:rPr>
        <w:t> </w:t>
      </w:r>
      <w:r>
        <w:rPr>
          <w:sz w:val="16"/>
        </w:rPr>
        <w:t>paras.</w:t>
      </w:r>
      <w:r>
        <w:rPr>
          <w:spacing w:val="-9"/>
          <w:sz w:val="16"/>
        </w:rPr>
        <w:t> </w:t>
      </w:r>
      <w:r>
        <w:rPr>
          <w:sz w:val="16"/>
        </w:rPr>
        <w:t>31-36,</w:t>
      </w:r>
      <w:r>
        <w:rPr>
          <w:spacing w:val="-9"/>
          <w:sz w:val="16"/>
        </w:rPr>
        <w:t> </w:t>
      </w:r>
      <w:r>
        <w:rPr>
          <w:i/>
          <w:sz w:val="16"/>
        </w:rPr>
        <w:t>Official</w:t>
      </w:r>
      <w:r>
        <w:rPr>
          <w:i/>
          <w:spacing w:val="-9"/>
          <w:sz w:val="16"/>
        </w:rPr>
        <w:t> </w:t>
      </w:r>
      <w:r>
        <w:rPr>
          <w:i/>
          <w:sz w:val="16"/>
        </w:rPr>
        <w:t>records</w:t>
      </w:r>
      <w:r>
        <w:rPr>
          <w:i/>
          <w:spacing w:val="-7"/>
          <w:sz w:val="16"/>
        </w:rPr>
        <w:t> </w:t>
      </w:r>
      <w:r>
        <w:rPr>
          <w:i/>
          <w:sz w:val="16"/>
        </w:rPr>
        <w:t>…</w:t>
      </w:r>
      <w:r>
        <w:rPr>
          <w:i/>
          <w:spacing w:val="-3"/>
          <w:sz w:val="16"/>
        </w:rPr>
        <w:t> </w:t>
      </w:r>
      <w:r>
        <w:rPr>
          <w:i/>
          <w:sz w:val="16"/>
        </w:rPr>
        <w:t>Nineteenth</w:t>
      </w:r>
      <w:r>
        <w:rPr>
          <w:i/>
          <w:spacing w:val="-6"/>
          <w:sz w:val="16"/>
        </w:rPr>
        <w:t> </w:t>
      </w:r>
      <w:r>
        <w:rPr>
          <w:i/>
          <w:sz w:val="16"/>
        </w:rPr>
        <w:t>session</w:t>
      </w:r>
      <w:r>
        <w:rPr>
          <w:i/>
          <w:spacing w:val="-6"/>
          <w:sz w:val="16"/>
        </w:rPr>
        <w:t> </w:t>
      </w:r>
      <w:r>
        <w:rPr>
          <w:i/>
          <w:sz w:val="16"/>
        </w:rPr>
        <w:t>…</w:t>
      </w:r>
      <w:r>
        <w:rPr>
          <w:i/>
          <w:spacing w:val="40"/>
          <w:sz w:val="16"/>
        </w:rPr>
        <w:t> </w:t>
      </w:r>
      <w:r>
        <w:rPr>
          <w:i/>
          <w:sz w:val="16"/>
        </w:rPr>
        <w:t>2020 </w:t>
      </w:r>
      <w:r>
        <w:rPr>
          <w:sz w:val="16"/>
        </w:rPr>
        <w:t>(ICC-ASP/19/20), vol. II, part A, paras. 34-38 and ICC-ASP/20/10, paras. 34-38.</w:t>
      </w:r>
    </w:p>
    <w:p>
      <w:pPr>
        <w:spacing w:line="183" w:lineRule="exact" w:before="3"/>
        <w:ind w:left="2246" w:right="0" w:firstLine="0"/>
        <w:jc w:val="left"/>
        <w:rPr>
          <w:sz w:val="16"/>
        </w:rPr>
      </w:pPr>
      <w:r>
        <w:rPr>
          <w:position w:val="5"/>
          <w:sz w:val="10"/>
        </w:rPr>
        <w:t>6</w:t>
      </w:r>
      <w:r>
        <w:rPr>
          <w:spacing w:val="12"/>
          <w:position w:val="5"/>
          <w:sz w:val="10"/>
        </w:rPr>
        <w:t> </w:t>
      </w:r>
      <w:r>
        <w:rPr>
          <w:i/>
          <w:sz w:val="16"/>
        </w:rPr>
        <w:t>Official</w:t>
      </w:r>
      <w:r>
        <w:rPr>
          <w:i/>
          <w:spacing w:val="-1"/>
          <w:sz w:val="16"/>
        </w:rPr>
        <w:t> </w:t>
      </w:r>
      <w:r>
        <w:rPr>
          <w:i/>
          <w:sz w:val="16"/>
        </w:rPr>
        <w:t>Records</w:t>
      </w:r>
      <w:r>
        <w:rPr>
          <w:i/>
          <w:spacing w:val="-5"/>
          <w:sz w:val="16"/>
        </w:rPr>
        <w:t> </w:t>
      </w:r>
      <w:r>
        <w:rPr>
          <w:i/>
          <w:sz w:val="16"/>
        </w:rPr>
        <w:t>…</w:t>
      </w:r>
      <w:r>
        <w:rPr>
          <w:i/>
          <w:spacing w:val="1"/>
          <w:sz w:val="16"/>
        </w:rPr>
        <w:t> </w:t>
      </w:r>
      <w:r>
        <w:rPr>
          <w:i/>
          <w:sz w:val="16"/>
        </w:rPr>
        <w:t>Twentieth</w:t>
      </w:r>
      <w:r>
        <w:rPr>
          <w:i/>
          <w:spacing w:val="-2"/>
          <w:sz w:val="16"/>
        </w:rPr>
        <w:t> </w:t>
      </w:r>
      <w:r>
        <w:rPr>
          <w:i/>
          <w:sz w:val="16"/>
        </w:rPr>
        <w:t>session</w:t>
      </w:r>
      <w:r>
        <w:rPr>
          <w:i/>
          <w:spacing w:val="-3"/>
          <w:sz w:val="16"/>
        </w:rPr>
        <w:t> </w:t>
      </w:r>
      <w:r>
        <w:rPr>
          <w:i/>
          <w:sz w:val="16"/>
        </w:rPr>
        <w:t>…</w:t>
      </w:r>
      <w:r>
        <w:rPr>
          <w:i/>
          <w:spacing w:val="-5"/>
          <w:sz w:val="16"/>
        </w:rPr>
        <w:t> </w:t>
      </w:r>
      <w:r>
        <w:rPr>
          <w:i/>
          <w:sz w:val="16"/>
        </w:rPr>
        <w:t>2020</w:t>
      </w:r>
      <w:r>
        <w:rPr>
          <w:i/>
          <w:spacing w:val="-2"/>
          <w:sz w:val="16"/>
        </w:rPr>
        <w:t> </w:t>
      </w:r>
      <w:r>
        <w:rPr>
          <w:sz w:val="16"/>
        </w:rPr>
        <w:t>(ICC-ASP/20/20),</w:t>
      </w:r>
      <w:r>
        <w:rPr>
          <w:spacing w:val="-6"/>
          <w:sz w:val="16"/>
        </w:rPr>
        <w:t> </w:t>
      </w:r>
      <w:r>
        <w:rPr>
          <w:sz w:val="16"/>
        </w:rPr>
        <w:t>vol.</w:t>
      </w:r>
      <w:r>
        <w:rPr>
          <w:spacing w:val="-4"/>
          <w:sz w:val="16"/>
        </w:rPr>
        <w:t> </w:t>
      </w:r>
      <w:r>
        <w:rPr>
          <w:sz w:val="16"/>
        </w:rPr>
        <w:t>I,</w:t>
      </w:r>
      <w:r>
        <w:rPr>
          <w:spacing w:val="-6"/>
          <w:sz w:val="16"/>
        </w:rPr>
        <w:t> </w:t>
      </w:r>
      <w:r>
        <w:rPr>
          <w:sz w:val="16"/>
        </w:rPr>
        <w:t>part III,</w:t>
      </w:r>
      <w:r>
        <w:rPr>
          <w:spacing w:val="-6"/>
          <w:sz w:val="16"/>
        </w:rPr>
        <w:t> </w:t>
      </w:r>
      <w:r>
        <w:rPr>
          <w:sz w:val="16"/>
        </w:rPr>
        <w:t>ICC-ASP/19/Res.1,</w:t>
      </w:r>
      <w:r>
        <w:rPr>
          <w:spacing w:val="-2"/>
          <w:sz w:val="16"/>
        </w:rPr>
        <w:t> </w:t>
      </w:r>
      <w:r>
        <w:rPr>
          <w:sz w:val="16"/>
        </w:rPr>
        <w:t>para.</w:t>
      </w:r>
      <w:r>
        <w:rPr>
          <w:spacing w:val="-3"/>
          <w:sz w:val="16"/>
        </w:rPr>
        <w:t> </w:t>
      </w:r>
      <w:r>
        <w:rPr>
          <w:spacing w:val="-4"/>
          <w:sz w:val="16"/>
        </w:rPr>
        <w:t>K.1.</w:t>
      </w:r>
    </w:p>
    <w:p>
      <w:pPr>
        <w:spacing w:line="182" w:lineRule="exact" w:before="0"/>
        <w:ind w:left="2246" w:right="0" w:firstLine="0"/>
        <w:jc w:val="left"/>
        <w:rPr>
          <w:sz w:val="16"/>
        </w:rPr>
      </w:pPr>
      <w:r>
        <w:rPr>
          <w:position w:val="5"/>
          <w:sz w:val="10"/>
        </w:rPr>
        <w:t>7</w:t>
      </w:r>
      <w:r>
        <w:rPr>
          <w:spacing w:val="12"/>
          <w:position w:val="5"/>
          <w:sz w:val="10"/>
        </w:rPr>
        <w:t> </w:t>
      </w:r>
      <w:r>
        <w:rPr>
          <w:sz w:val="16"/>
        </w:rPr>
        <w:t>ICC-ASP/20/10,</w:t>
      </w:r>
      <w:r>
        <w:rPr>
          <w:spacing w:val="-5"/>
          <w:sz w:val="16"/>
        </w:rPr>
        <w:t> </w:t>
      </w:r>
      <w:r>
        <w:rPr>
          <w:sz w:val="16"/>
        </w:rPr>
        <w:t>para.</w:t>
      </w:r>
      <w:r>
        <w:rPr>
          <w:spacing w:val="-5"/>
          <w:sz w:val="16"/>
        </w:rPr>
        <w:t> 36.</w:t>
      </w:r>
    </w:p>
    <w:p>
      <w:pPr>
        <w:spacing w:line="183" w:lineRule="exact" w:before="0"/>
        <w:ind w:left="2246" w:right="0" w:firstLine="0"/>
        <w:jc w:val="left"/>
        <w:rPr>
          <w:sz w:val="16"/>
        </w:rPr>
      </w:pPr>
      <w:r>
        <w:rPr>
          <w:position w:val="5"/>
          <w:sz w:val="10"/>
        </w:rPr>
        <w:t>8</w:t>
      </w:r>
      <w:r>
        <w:rPr>
          <w:spacing w:val="12"/>
          <w:position w:val="5"/>
          <w:sz w:val="10"/>
        </w:rPr>
        <w:t> </w:t>
      </w:r>
      <w:r>
        <w:rPr>
          <w:i/>
          <w:sz w:val="16"/>
        </w:rPr>
        <w:t>Official</w:t>
      </w:r>
      <w:r>
        <w:rPr>
          <w:i/>
          <w:spacing w:val="-1"/>
          <w:sz w:val="16"/>
        </w:rPr>
        <w:t> </w:t>
      </w:r>
      <w:r>
        <w:rPr>
          <w:i/>
          <w:sz w:val="16"/>
        </w:rPr>
        <w:t>Records</w:t>
      </w:r>
      <w:r>
        <w:rPr>
          <w:i/>
          <w:spacing w:val="-5"/>
          <w:sz w:val="16"/>
        </w:rPr>
        <w:t> </w:t>
      </w:r>
      <w:r>
        <w:rPr>
          <w:i/>
          <w:sz w:val="16"/>
        </w:rPr>
        <w:t>…</w:t>
      </w:r>
      <w:r>
        <w:rPr>
          <w:i/>
          <w:spacing w:val="1"/>
          <w:sz w:val="16"/>
        </w:rPr>
        <w:t> </w:t>
      </w:r>
      <w:r>
        <w:rPr>
          <w:i/>
          <w:sz w:val="16"/>
        </w:rPr>
        <w:t>Twentieth</w:t>
      </w:r>
      <w:r>
        <w:rPr>
          <w:i/>
          <w:spacing w:val="-2"/>
          <w:sz w:val="16"/>
        </w:rPr>
        <w:t> </w:t>
      </w:r>
      <w:r>
        <w:rPr>
          <w:i/>
          <w:sz w:val="16"/>
        </w:rPr>
        <w:t>session</w:t>
      </w:r>
      <w:r>
        <w:rPr>
          <w:i/>
          <w:spacing w:val="-3"/>
          <w:sz w:val="16"/>
        </w:rPr>
        <w:t> </w:t>
      </w:r>
      <w:r>
        <w:rPr>
          <w:i/>
          <w:sz w:val="16"/>
        </w:rPr>
        <w:t>…</w:t>
      </w:r>
      <w:r>
        <w:rPr>
          <w:i/>
          <w:spacing w:val="-5"/>
          <w:sz w:val="16"/>
        </w:rPr>
        <w:t> </w:t>
      </w:r>
      <w:r>
        <w:rPr>
          <w:i/>
          <w:sz w:val="16"/>
        </w:rPr>
        <w:t>2020</w:t>
      </w:r>
      <w:r>
        <w:rPr>
          <w:i/>
          <w:spacing w:val="-2"/>
          <w:sz w:val="16"/>
        </w:rPr>
        <w:t> </w:t>
      </w:r>
      <w:r>
        <w:rPr>
          <w:sz w:val="16"/>
        </w:rPr>
        <w:t>(ICC-ASP/20/20),</w:t>
      </w:r>
      <w:r>
        <w:rPr>
          <w:spacing w:val="-6"/>
          <w:sz w:val="16"/>
        </w:rPr>
        <w:t> </w:t>
      </w:r>
      <w:r>
        <w:rPr>
          <w:sz w:val="16"/>
        </w:rPr>
        <w:t>vol.</w:t>
      </w:r>
      <w:r>
        <w:rPr>
          <w:spacing w:val="-4"/>
          <w:sz w:val="16"/>
        </w:rPr>
        <w:t> </w:t>
      </w:r>
      <w:r>
        <w:rPr>
          <w:sz w:val="16"/>
        </w:rPr>
        <w:t>I,</w:t>
      </w:r>
      <w:r>
        <w:rPr>
          <w:spacing w:val="-6"/>
          <w:sz w:val="16"/>
        </w:rPr>
        <w:t> </w:t>
      </w:r>
      <w:r>
        <w:rPr>
          <w:sz w:val="16"/>
        </w:rPr>
        <w:t>part III,</w:t>
      </w:r>
      <w:r>
        <w:rPr>
          <w:spacing w:val="-6"/>
          <w:sz w:val="16"/>
        </w:rPr>
        <w:t> </w:t>
      </w:r>
      <w:r>
        <w:rPr>
          <w:sz w:val="16"/>
        </w:rPr>
        <w:t>ICC-ASP/19/Res.1,</w:t>
      </w:r>
      <w:r>
        <w:rPr>
          <w:spacing w:val="-2"/>
          <w:sz w:val="16"/>
        </w:rPr>
        <w:t> </w:t>
      </w:r>
      <w:r>
        <w:rPr>
          <w:sz w:val="16"/>
        </w:rPr>
        <w:t>para.</w:t>
      </w:r>
      <w:r>
        <w:rPr>
          <w:spacing w:val="-3"/>
          <w:sz w:val="16"/>
        </w:rPr>
        <w:t> </w:t>
      </w:r>
      <w:r>
        <w:rPr>
          <w:spacing w:val="-4"/>
          <w:sz w:val="16"/>
        </w:rPr>
        <w:t>K.6.</w:t>
      </w:r>
    </w:p>
    <w:p>
      <w:pPr>
        <w:spacing w:after="0" w:line="183" w:lineRule="exact"/>
        <w:jc w:val="left"/>
        <w:rPr>
          <w:sz w:val="16"/>
        </w:rPr>
        <w:sectPr>
          <w:pgSz w:w="11910" w:h="16840"/>
          <w:pgMar w:header="957" w:footer="940" w:top="1140" w:bottom="1140" w:left="20" w:right="20"/>
        </w:sectPr>
      </w:pPr>
    </w:p>
    <w:p>
      <w:pPr>
        <w:spacing w:before="124"/>
        <w:ind w:left="2246" w:right="0" w:firstLine="0"/>
        <w:jc w:val="left"/>
        <w:rPr>
          <w:b/>
          <w:sz w:val="20"/>
        </w:rPr>
      </w:pPr>
      <w:r>
        <w:rPr/>
        <w:pict>
          <v:shape style="position:absolute;margin-left:191.350006pt;margin-top:66.895912pt;width:333.3pt;height:.5pt;mso-position-horizontal-relative:page;mso-position-vertical-relative:paragraph;z-index:-43842560" id="docshape32" coordorigin="3827,1338" coordsize="6666,10" path="m7664,1338l7654,1338,7654,1338,5969,1338,5959,1338,3827,1338,3827,1348,5959,1348,5969,1348,7654,1348,7654,1348,7664,1348,7664,1338xm8927,1338l7664,1338,7664,1348,8927,1348,8927,1338xm10492,1338l8937,1338,8927,1338,8927,1348,8937,1348,10492,1348,10492,1338xe" filled="true" fillcolor="#000000" stroked="false">
            <v:path arrowok="t"/>
            <v:fill type="solid"/>
            <w10:wrap type="none"/>
          </v:shape>
        </w:pict>
      </w:r>
      <w:r>
        <w:rPr/>
        <w:pict>
          <v:shape style="position:absolute;margin-left:191.350006pt;margin-top:177.169952pt;width:333.3pt;height:.5pt;mso-position-horizontal-relative:page;mso-position-vertical-relative:page;z-index:-43842048" id="docshape33" coordorigin="3827,3543" coordsize="6666,10" path="m7664,3543l7654,3543,7654,3543,5969,3543,5959,3543,3827,3543,3827,3553,5959,3553,5969,3553,7654,3553,7654,3553,7664,3553,7664,3543xm8927,3543l7664,3543,7664,3553,8927,3553,8927,3543xm10492,3543l8937,3543,8927,3543,8927,3553,8937,3553,10492,3553,10492,3543xe" filled="true" fillcolor="#000000" stroked="false">
            <v:path arrowok="t"/>
            <v:fill type="solid"/>
            <w10:wrap type="none"/>
          </v:shape>
        </w:pict>
      </w:r>
      <w:r>
        <w:rPr>
          <w:b/>
          <w:sz w:val="20"/>
        </w:rPr>
        <w:t>Table</w:t>
      </w:r>
      <w:r>
        <w:rPr>
          <w:b/>
          <w:spacing w:val="-6"/>
          <w:sz w:val="20"/>
        </w:rPr>
        <w:t> </w:t>
      </w:r>
      <w:r>
        <w:rPr>
          <w:b/>
          <w:sz w:val="20"/>
        </w:rPr>
        <w:t>2:</w:t>
      </w:r>
      <w:r>
        <w:rPr>
          <w:b/>
          <w:spacing w:val="-7"/>
          <w:sz w:val="20"/>
        </w:rPr>
        <w:t> </w:t>
      </w:r>
      <w:r>
        <w:rPr>
          <w:b/>
          <w:sz w:val="20"/>
        </w:rPr>
        <w:t>Total</w:t>
      </w:r>
      <w:r>
        <w:rPr>
          <w:b/>
          <w:spacing w:val="-1"/>
          <w:sz w:val="20"/>
        </w:rPr>
        <w:t> </w:t>
      </w:r>
      <w:r>
        <w:rPr>
          <w:b/>
          <w:sz w:val="20"/>
        </w:rPr>
        <w:t>savings</w:t>
      </w:r>
      <w:r>
        <w:rPr>
          <w:b/>
          <w:spacing w:val="-4"/>
          <w:sz w:val="20"/>
        </w:rPr>
        <w:t> </w:t>
      </w:r>
      <w:r>
        <w:rPr>
          <w:b/>
          <w:sz w:val="20"/>
        </w:rPr>
        <w:t>and</w:t>
      </w:r>
      <w:r>
        <w:rPr>
          <w:b/>
          <w:spacing w:val="-8"/>
          <w:sz w:val="20"/>
        </w:rPr>
        <w:t> </w:t>
      </w:r>
      <w:r>
        <w:rPr>
          <w:b/>
          <w:sz w:val="20"/>
        </w:rPr>
        <w:t>efficiencies</w:t>
      </w:r>
      <w:r>
        <w:rPr>
          <w:b/>
          <w:spacing w:val="-3"/>
          <w:sz w:val="20"/>
        </w:rPr>
        <w:t> </w:t>
      </w:r>
      <w:r>
        <w:rPr>
          <w:b/>
          <w:sz w:val="20"/>
        </w:rPr>
        <w:t>for</w:t>
      </w:r>
      <w:r>
        <w:rPr>
          <w:b/>
          <w:spacing w:val="-1"/>
          <w:sz w:val="20"/>
        </w:rPr>
        <w:t> </w:t>
      </w:r>
      <w:r>
        <w:rPr>
          <w:b/>
          <w:sz w:val="20"/>
        </w:rPr>
        <w:t>2023</w:t>
      </w:r>
      <w:r>
        <w:rPr>
          <w:b/>
          <w:spacing w:val="-7"/>
          <w:sz w:val="20"/>
        </w:rPr>
        <w:t> </w:t>
      </w:r>
      <w:r>
        <w:rPr>
          <w:b/>
          <w:sz w:val="20"/>
        </w:rPr>
        <w:t>(thousands</w:t>
      </w:r>
      <w:r>
        <w:rPr>
          <w:b/>
          <w:spacing w:val="-3"/>
          <w:sz w:val="20"/>
        </w:rPr>
        <w:t> </w:t>
      </w:r>
      <w:r>
        <w:rPr>
          <w:b/>
          <w:sz w:val="20"/>
        </w:rPr>
        <w:t>of</w:t>
      </w:r>
      <w:r>
        <w:rPr>
          <w:b/>
          <w:spacing w:val="-7"/>
          <w:sz w:val="20"/>
        </w:rPr>
        <w:t> </w:t>
      </w:r>
      <w:r>
        <w:rPr>
          <w:b/>
          <w:spacing w:val="-2"/>
          <w:sz w:val="20"/>
        </w:rPr>
        <w:t>euros)</w:t>
      </w:r>
    </w:p>
    <w:tbl>
      <w:tblPr>
        <w:tblW w:w="0" w:type="auto"/>
        <w:jc w:val="left"/>
        <w:tblInd w:w="1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72"/>
        <w:gridCol w:w="1395"/>
        <w:gridCol w:w="1773"/>
        <w:gridCol w:w="1227"/>
        <w:gridCol w:w="1565"/>
      </w:tblGrid>
      <w:tr>
        <w:trPr>
          <w:trHeight w:val="623" w:hRule="atLeast"/>
        </w:trPr>
        <w:tc>
          <w:tcPr>
            <w:tcW w:w="3272" w:type="dxa"/>
            <w:tcBorders>
              <w:top w:val="single" w:sz="4" w:space="0" w:color="000000"/>
              <w:bottom w:val="single" w:sz="4" w:space="0" w:color="000000"/>
            </w:tcBorders>
          </w:tcPr>
          <w:p>
            <w:pPr>
              <w:pStyle w:val="TableParagraph"/>
              <w:spacing w:before="3"/>
              <w:jc w:val="left"/>
              <w:rPr>
                <w:b/>
                <w:sz w:val="18"/>
              </w:rPr>
            </w:pPr>
          </w:p>
          <w:p>
            <w:pPr>
              <w:pStyle w:val="TableParagraph"/>
              <w:spacing w:before="1"/>
              <w:ind w:left="614"/>
              <w:jc w:val="left"/>
              <w:rPr>
                <w:i/>
                <w:sz w:val="18"/>
              </w:rPr>
            </w:pPr>
            <w:r>
              <w:rPr>
                <w:i/>
                <w:sz w:val="18"/>
              </w:rPr>
              <w:t>Major</w:t>
            </w:r>
            <w:r>
              <w:rPr>
                <w:i/>
                <w:spacing w:val="-1"/>
                <w:sz w:val="18"/>
              </w:rPr>
              <w:t> </w:t>
            </w:r>
            <w:r>
              <w:rPr>
                <w:i/>
                <w:spacing w:val="-2"/>
                <w:sz w:val="18"/>
              </w:rPr>
              <w:t>Programme</w:t>
            </w:r>
          </w:p>
        </w:tc>
        <w:tc>
          <w:tcPr>
            <w:tcW w:w="1395" w:type="dxa"/>
            <w:tcBorders>
              <w:top w:val="single" w:sz="4" w:space="0" w:color="000000"/>
              <w:bottom w:val="single" w:sz="4" w:space="0" w:color="000000"/>
            </w:tcBorders>
          </w:tcPr>
          <w:p>
            <w:pPr>
              <w:pStyle w:val="TableParagraph"/>
              <w:spacing w:before="3"/>
              <w:jc w:val="left"/>
              <w:rPr>
                <w:b/>
                <w:sz w:val="18"/>
              </w:rPr>
            </w:pPr>
          </w:p>
          <w:p>
            <w:pPr>
              <w:pStyle w:val="TableParagraph"/>
              <w:spacing w:before="1"/>
              <w:ind w:left="22"/>
              <w:jc w:val="left"/>
              <w:rPr>
                <w:i/>
                <w:sz w:val="18"/>
              </w:rPr>
            </w:pPr>
            <w:r>
              <w:rPr>
                <w:i/>
                <w:spacing w:val="-2"/>
                <w:sz w:val="18"/>
              </w:rPr>
              <w:t>Category</w:t>
            </w:r>
          </w:p>
        </w:tc>
        <w:tc>
          <w:tcPr>
            <w:tcW w:w="1773" w:type="dxa"/>
            <w:tcBorders>
              <w:top w:val="single" w:sz="4" w:space="0" w:color="000000"/>
              <w:bottom w:val="single" w:sz="4" w:space="0" w:color="000000"/>
            </w:tcBorders>
          </w:tcPr>
          <w:p>
            <w:pPr>
              <w:pStyle w:val="TableParagraph"/>
              <w:spacing w:line="206" w:lineRule="exact"/>
              <w:ind w:left="158" w:right="168"/>
              <w:jc w:val="center"/>
              <w:rPr>
                <w:i/>
                <w:sz w:val="18"/>
              </w:rPr>
            </w:pPr>
            <w:r>
              <w:rPr>
                <w:i/>
                <w:sz w:val="18"/>
              </w:rPr>
              <w:t>2022</w:t>
            </w:r>
            <w:r>
              <w:rPr>
                <w:i/>
                <w:spacing w:val="-12"/>
                <w:sz w:val="18"/>
              </w:rPr>
              <w:t> </w:t>
            </w:r>
            <w:r>
              <w:rPr>
                <w:i/>
                <w:sz w:val="18"/>
              </w:rPr>
              <w:t>Costs</w:t>
            </w:r>
            <w:r>
              <w:rPr>
                <w:i/>
                <w:spacing w:val="-11"/>
                <w:sz w:val="18"/>
              </w:rPr>
              <w:t> </w:t>
            </w:r>
            <w:r>
              <w:rPr>
                <w:i/>
                <w:sz w:val="18"/>
              </w:rPr>
              <w:t>Avoided</w:t>
            </w:r>
            <w:r>
              <w:rPr>
                <w:i/>
                <w:sz w:val="18"/>
              </w:rPr>
              <w:t> </w:t>
            </w:r>
            <w:r>
              <w:rPr>
                <w:i/>
                <w:spacing w:val="-2"/>
                <w:sz w:val="18"/>
              </w:rPr>
              <w:t>(Baseline Maintained)</w:t>
            </w:r>
          </w:p>
        </w:tc>
        <w:tc>
          <w:tcPr>
            <w:tcW w:w="1227" w:type="dxa"/>
            <w:tcBorders>
              <w:top w:val="single" w:sz="4" w:space="0" w:color="000000"/>
              <w:bottom w:val="single" w:sz="4" w:space="0" w:color="000000"/>
            </w:tcBorders>
          </w:tcPr>
          <w:p>
            <w:pPr>
              <w:pStyle w:val="TableParagraph"/>
              <w:spacing w:line="207" w:lineRule="exact" w:before="105"/>
              <w:ind w:left="162" w:right="206"/>
              <w:jc w:val="center"/>
              <w:rPr>
                <w:i/>
                <w:sz w:val="18"/>
              </w:rPr>
            </w:pPr>
            <w:r>
              <w:rPr>
                <w:i/>
                <w:spacing w:val="-4"/>
                <w:sz w:val="18"/>
              </w:rPr>
              <w:t>2022</w:t>
            </w:r>
          </w:p>
          <w:p>
            <w:pPr>
              <w:pStyle w:val="TableParagraph"/>
              <w:spacing w:line="207" w:lineRule="exact"/>
              <w:ind w:left="162" w:right="209"/>
              <w:jc w:val="center"/>
              <w:rPr>
                <w:i/>
                <w:sz w:val="18"/>
              </w:rPr>
            </w:pPr>
            <w:r>
              <w:rPr>
                <w:i/>
                <w:spacing w:val="-2"/>
                <w:sz w:val="18"/>
              </w:rPr>
              <w:t>Efficiencies</w:t>
            </w:r>
          </w:p>
        </w:tc>
        <w:tc>
          <w:tcPr>
            <w:tcW w:w="1565" w:type="dxa"/>
            <w:tcBorders>
              <w:top w:val="single" w:sz="4" w:space="0" w:color="000000"/>
              <w:bottom w:val="single" w:sz="4" w:space="0" w:color="000000"/>
            </w:tcBorders>
          </w:tcPr>
          <w:p>
            <w:pPr>
              <w:pStyle w:val="TableParagraph"/>
              <w:spacing w:before="105"/>
              <w:ind w:left="376" w:right="210" w:hanging="164"/>
              <w:jc w:val="left"/>
              <w:rPr>
                <w:i/>
                <w:sz w:val="18"/>
              </w:rPr>
            </w:pPr>
            <w:r>
              <w:rPr>
                <w:i/>
                <w:sz w:val="18"/>
              </w:rPr>
              <w:t>2023</w:t>
            </w:r>
            <w:r>
              <w:rPr>
                <w:i/>
                <w:spacing w:val="-12"/>
                <w:sz w:val="18"/>
              </w:rPr>
              <w:t> </w:t>
            </w:r>
            <w:r>
              <w:rPr>
                <w:i/>
                <w:sz w:val="18"/>
              </w:rPr>
              <w:t>Reduction</w:t>
            </w:r>
            <w:r>
              <w:rPr>
                <w:i/>
                <w:sz w:val="18"/>
              </w:rPr>
              <w:t> in Baseline</w:t>
            </w:r>
          </w:p>
        </w:tc>
      </w:tr>
      <w:tr>
        <w:trPr>
          <w:trHeight w:val="262" w:hRule="atLeast"/>
        </w:trPr>
        <w:tc>
          <w:tcPr>
            <w:tcW w:w="4667" w:type="dxa"/>
            <w:gridSpan w:val="2"/>
            <w:tcBorders>
              <w:top w:val="single" w:sz="4" w:space="0" w:color="000000"/>
            </w:tcBorders>
          </w:tcPr>
          <w:p>
            <w:pPr>
              <w:pStyle w:val="TableParagraph"/>
              <w:spacing w:line="175" w:lineRule="exact" w:before="67"/>
              <w:ind w:left="2674"/>
              <w:jc w:val="left"/>
              <w:rPr>
                <w:sz w:val="18"/>
              </w:rPr>
            </w:pPr>
            <w:r>
              <w:rPr>
                <w:spacing w:val="-2"/>
                <w:sz w:val="18"/>
              </w:rPr>
              <w:t>Efficiencies</w:t>
            </w:r>
          </w:p>
        </w:tc>
        <w:tc>
          <w:tcPr>
            <w:tcW w:w="1773" w:type="dxa"/>
            <w:tcBorders>
              <w:top w:val="single" w:sz="4" w:space="0" w:color="000000"/>
            </w:tcBorders>
          </w:tcPr>
          <w:p>
            <w:pPr>
              <w:pStyle w:val="TableParagraph"/>
              <w:spacing w:line="175" w:lineRule="exact" w:before="67"/>
              <w:ind w:right="432"/>
              <w:rPr>
                <w:sz w:val="18"/>
              </w:rPr>
            </w:pPr>
            <w:r>
              <w:rPr>
                <w:w w:val="101"/>
                <w:sz w:val="18"/>
              </w:rPr>
              <w:t>-</w:t>
            </w:r>
          </w:p>
        </w:tc>
        <w:tc>
          <w:tcPr>
            <w:tcW w:w="1227" w:type="dxa"/>
            <w:tcBorders>
              <w:top w:val="single" w:sz="4" w:space="0" w:color="000000"/>
            </w:tcBorders>
          </w:tcPr>
          <w:p>
            <w:pPr>
              <w:pStyle w:val="TableParagraph"/>
              <w:spacing w:line="175" w:lineRule="exact" w:before="67"/>
              <w:ind w:right="385"/>
              <w:rPr>
                <w:sz w:val="18"/>
              </w:rPr>
            </w:pPr>
            <w:r>
              <w:rPr>
                <w:spacing w:val="-4"/>
                <w:sz w:val="18"/>
              </w:rPr>
              <w:t>92.2</w:t>
            </w:r>
          </w:p>
        </w:tc>
        <w:tc>
          <w:tcPr>
            <w:tcW w:w="1565" w:type="dxa"/>
            <w:tcBorders>
              <w:top w:val="single" w:sz="4" w:space="0" w:color="000000"/>
            </w:tcBorders>
          </w:tcPr>
          <w:p>
            <w:pPr>
              <w:pStyle w:val="TableParagraph"/>
              <w:spacing w:line="175" w:lineRule="exact" w:before="67"/>
              <w:ind w:right="386"/>
              <w:rPr>
                <w:sz w:val="18"/>
              </w:rPr>
            </w:pPr>
            <w:r>
              <w:rPr>
                <w:w w:val="101"/>
                <w:sz w:val="18"/>
              </w:rPr>
              <w:t>-</w:t>
            </w:r>
          </w:p>
        </w:tc>
      </w:tr>
      <w:tr>
        <w:trPr>
          <w:trHeight w:val="175" w:hRule="atLeast"/>
        </w:trPr>
        <w:tc>
          <w:tcPr>
            <w:tcW w:w="3272" w:type="dxa"/>
          </w:tcPr>
          <w:p>
            <w:pPr>
              <w:pStyle w:val="TableParagraph"/>
              <w:spacing w:line="155" w:lineRule="exact"/>
              <w:ind w:left="124"/>
              <w:jc w:val="left"/>
              <w:rPr>
                <w:sz w:val="18"/>
              </w:rPr>
            </w:pPr>
            <w:r>
              <w:rPr>
                <w:sz w:val="18"/>
              </w:rPr>
              <w:t>MP II</w:t>
            </w:r>
            <w:r>
              <w:rPr>
                <w:spacing w:val="-6"/>
                <w:sz w:val="18"/>
              </w:rPr>
              <w:t> </w:t>
            </w:r>
            <w:r>
              <w:rPr>
                <w:sz w:val="18"/>
              </w:rPr>
              <w:t>-</w:t>
            </w:r>
            <w:r>
              <w:rPr>
                <w:spacing w:val="2"/>
                <w:sz w:val="18"/>
              </w:rPr>
              <w:t> </w:t>
            </w:r>
            <w:r>
              <w:rPr>
                <w:sz w:val="18"/>
              </w:rPr>
              <w:t>Office</w:t>
            </w:r>
            <w:r>
              <w:rPr>
                <w:spacing w:val="-4"/>
                <w:sz w:val="18"/>
              </w:rPr>
              <w:t> </w:t>
            </w:r>
            <w:r>
              <w:rPr>
                <w:sz w:val="18"/>
              </w:rPr>
              <w:t>of</w:t>
            </w:r>
            <w:r>
              <w:rPr>
                <w:spacing w:val="-2"/>
                <w:sz w:val="18"/>
              </w:rPr>
              <w:t> </w:t>
            </w:r>
            <w:r>
              <w:rPr>
                <w:sz w:val="18"/>
              </w:rPr>
              <w:t>the</w:t>
            </w:r>
            <w:r>
              <w:rPr>
                <w:spacing w:val="1"/>
                <w:sz w:val="18"/>
              </w:rPr>
              <w:t> </w:t>
            </w:r>
            <w:r>
              <w:rPr>
                <w:spacing w:val="-2"/>
                <w:sz w:val="18"/>
              </w:rPr>
              <w:t>Prosecutor</w:t>
            </w:r>
          </w:p>
        </w:tc>
        <w:tc>
          <w:tcPr>
            <w:tcW w:w="1395" w:type="dxa"/>
          </w:tcPr>
          <w:p>
            <w:pPr>
              <w:pStyle w:val="TableParagraph"/>
              <w:jc w:val="left"/>
              <w:rPr>
                <w:sz w:val="10"/>
              </w:rPr>
            </w:pPr>
          </w:p>
        </w:tc>
        <w:tc>
          <w:tcPr>
            <w:tcW w:w="1773" w:type="dxa"/>
          </w:tcPr>
          <w:p>
            <w:pPr>
              <w:pStyle w:val="TableParagraph"/>
              <w:jc w:val="left"/>
              <w:rPr>
                <w:sz w:val="10"/>
              </w:rPr>
            </w:pPr>
          </w:p>
        </w:tc>
        <w:tc>
          <w:tcPr>
            <w:tcW w:w="1227" w:type="dxa"/>
          </w:tcPr>
          <w:p>
            <w:pPr>
              <w:pStyle w:val="TableParagraph"/>
              <w:jc w:val="left"/>
              <w:rPr>
                <w:sz w:val="10"/>
              </w:rPr>
            </w:pPr>
          </w:p>
        </w:tc>
        <w:tc>
          <w:tcPr>
            <w:tcW w:w="1565" w:type="dxa"/>
          </w:tcPr>
          <w:p>
            <w:pPr>
              <w:pStyle w:val="TableParagraph"/>
              <w:jc w:val="left"/>
              <w:rPr>
                <w:sz w:val="10"/>
              </w:rPr>
            </w:pPr>
          </w:p>
        </w:tc>
      </w:tr>
      <w:tr>
        <w:trPr>
          <w:trHeight w:val="253" w:hRule="atLeast"/>
        </w:trPr>
        <w:tc>
          <w:tcPr>
            <w:tcW w:w="3272" w:type="dxa"/>
            <w:tcBorders>
              <w:bottom w:val="single" w:sz="4" w:space="0" w:color="000000"/>
            </w:tcBorders>
          </w:tcPr>
          <w:p>
            <w:pPr>
              <w:pStyle w:val="TableParagraph"/>
              <w:spacing w:line="187" w:lineRule="exact"/>
              <w:ind w:right="20"/>
              <w:rPr>
                <w:sz w:val="18"/>
              </w:rPr>
            </w:pPr>
            <w:r>
              <w:rPr>
                <w:spacing w:val="-2"/>
                <w:sz w:val="18"/>
              </w:rPr>
              <w:t>Savings</w:t>
            </w:r>
          </w:p>
        </w:tc>
        <w:tc>
          <w:tcPr>
            <w:tcW w:w="1395" w:type="dxa"/>
            <w:tcBorders>
              <w:bottom w:val="single" w:sz="4" w:space="0" w:color="000000"/>
            </w:tcBorders>
          </w:tcPr>
          <w:p>
            <w:pPr>
              <w:pStyle w:val="TableParagraph"/>
              <w:jc w:val="left"/>
              <w:rPr>
                <w:sz w:val="18"/>
              </w:rPr>
            </w:pPr>
          </w:p>
        </w:tc>
        <w:tc>
          <w:tcPr>
            <w:tcW w:w="1773" w:type="dxa"/>
            <w:tcBorders>
              <w:bottom w:val="single" w:sz="4" w:space="0" w:color="000000"/>
            </w:tcBorders>
          </w:tcPr>
          <w:p>
            <w:pPr>
              <w:pStyle w:val="TableParagraph"/>
              <w:spacing w:line="187" w:lineRule="exact"/>
              <w:ind w:right="430"/>
              <w:rPr>
                <w:sz w:val="18"/>
              </w:rPr>
            </w:pPr>
            <w:r>
              <w:rPr>
                <w:spacing w:val="-2"/>
                <w:sz w:val="18"/>
              </w:rPr>
              <w:t>350.0</w:t>
            </w:r>
          </w:p>
        </w:tc>
        <w:tc>
          <w:tcPr>
            <w:tcW w:w="1227" w:type="dxa"/>
            <w:tcBorders>
              <w:bottom w:val="single" w:sz="4" w:space="0" w:color="000000"/>
            </w:tcBorders>
          </w:tcPr>
          <w:p>
            <w:pPr>
              <w:pStyle w:val="TableParagraph"/>
              <w:spacing w:line="187" w:lineRule="exact"/>
              <w:ind w:right="386"/>
              <w:rPr>
                <w:sz w:val="18"/>
              </w:rPr>
            </w:pPr>
            <w:r>
              <w:rPr>
                <w:w w:val="101"/>
                <w:sz w:val="18"/>
              </w:rPr>
              <w:t>-</w:t>
            </w:r>
          </w:p>
        </w:tc>
        <w:tc>
          <w:tcPr>
            <w:tcW w:w="1565" w:type="dxa"/>
            <w:tcBorders>
              <w:bottom w:val="single" w:sz="4" w:space="0" w:color="000000"/>
            </w:tcBorders>
          </w:tcPr>
          <w:p>
            <w:pPr>
              <w:pStyle w:val="TableParagraph"/>
              <w:spacing w:line="187" w:lineRule="exact"/>
              <w:ind w:right="385"/>
              <w:rPr>
                <w:sz w:val="18"/>
              </w:rPr>
            </w:pPr>
            <w:r>
              <w:rPr>
                <w:spacing w:val="-2"/>
                <w:sz w:val="18"/>
              </w:rPr>
              <w:t>316.1</w:t>
            </w:r>
          </w:p>
        </w:tc>
      </w:tr>
      <w:tr>
        <w:trPr>
          <w:trHeight w:val="340" w:hRule="atLeast"/>
        </w:trPr>
        <w:tc>
          <w:tcPr>
            <w:tcW w:w="4667" w:type="dxa"/>
            <w:gridSpan w:val="2"/>
            <w:tcBorders>
              <w:top w:val="single" w:sz="4" w:space="0" w:color="000000"/>
            </w:tcBorders>
          </w:tcPr>
          <w:p>
            <w:pPr>
              <w:pStyle w:val="TableParagraph"/>
              <w:spacing w:before="67"/>
              <w:ind w:left="2674"/>
              <w:jc w:val="left"/>
              <w:rPr>
                <w:sz w:val="18"/>
              </w:rPr>
            </w:pPr>
            <w:r>
              <w:rPr>
                <w:sz w:val="18"/>
              </w:rPr>
              <w:t>Additional</w:t>
            </w:r>
            <w:r>
              <w:rPr>
                <w:spacing w:val="-4"/>
                <w:sz w:val="18"/>
              </w:rPr>
              <w:t> </w:t>
            </w:r>
            <w:r>
              <w:rPr>
                <w:sz w:val="18"/>
              </w:rPr>
              <w:t>cost</w:t>
            </w:r>
            <w:r>
              <w:rPr>
                <w:spacing w:val="-3"/>
                <w:sz w:val="18"/>
              </w:rPr>
              <w:t> </w:t>
            </w:r>
            <w:r>
              <w:rPr>
                <w:spacing w:val="-2"/>
                <w:sz w:val="18"/>
              </w:rPr>
              <w:t>reduction</w:t>
            </w:r>
          </w:p>
        </w:tc>
        <w:tc>
          <w:tcPr>
            <w:tcW w:w="1773" w:type="dxa"/>
            <w:tcBorders>
              <w:top w:val="single" w:sz="4" w:space="0" w:color="000000"/>
              <w:bottom w:val="single" w:sz="4" w:space="0" w:color="000000"/>
            </w:tcBorders>
          </w:tcPr>
          <w:p>
            <w:pPr>
              <w:pStyle w:val="TableParagraph"/>
              <w:spacing w:before="67"/>
              <w:ind w:right="432"/>
              <w:rPr>
                <w:sz w:val="18"/>
              </w:rPr>
            </w:pPr>
            <w:r>
              <w:rPr>
                <w:w w:val="101"/>
                <w:sz w:val="18"/>
              </w:rPr>
              <w:t>-</w:t>
            </w:r>
          </w:p>
        </w:tc>
        <w:tc>
          <w:tcPr>
            <w:tcW w:w="1227" w:type="dxa"/>
            <w:tcBorders>
              <w:top w:val="single" w:sz="4" w:space="0" w:color="000000"/>
              <w:bottom w:val="single" w:sz="4" w:space="0" w:color="000000"/>
            </w:tcBorders>
          </w:tcPr>
          <w:p>
            <w:pPr>
              <w:pStyle w:val="TableParagraph"/>
              <w:spacing w:before="67"/>
              <w:ind w:right="386"/>
              <w:rPr>
                <w:sz w:val="18"/>
              </w:rPr>
            </w:pPr>
            <w:r>
              <w:rPr>
                <w:w w:val="101"/>
                <w:sz w:val="18"/>
              </w:rPr>
              <w:t>-</w:t>
            </w:r>
          </w:p>
        </w:tc>
        <w:tc>
          <w:tcPr>
            <w:tcW w:w="1565" w:type="dxa"/>
            <w:tcBorders>
              <w:top w:val="single" w:sz="4" w:space="0" w:color="000000"/>
              <w:bottom w:val="single" w:sz="4" w:space="0" w:color="000000"/>
            </w:tcBorders>
          </w:tcPr>
          <w:p>
            <w:pPr>
              <w:pStyle w:val="TableParagraph"/>
              <w:spacing w:before="67"/>
              <w:ind w:right="385"/>
              <w:rPr>
                <w:sz w:val="18"/>
              </w:rPr>
            </w:pPr>
            <w:r>
              <w:rPr>
                <w:spacing w:val="-2"/>
                <w:sz w:val="18"/>
              </w:rPr>
              <w:t>588.3</w:t>
            </w:r>
          </w:p>
        </w:tc>
      </w:tr>
      <w:tr>
        <w:trPr>
          <w:trHeight w:val="262" w:hRule="atLeast"/>
        </w:trPr>
        <w:tc>
          <w:tcPr>
            <w:tcW w:w="4667" w:type="dxa"/>
            <w:gridSpan w:val="2"/>
            <w:tcBorders>
              <w:top w:val="single" w:sz="4" w:space="0" w:color="000000"/>
            </w:tcBorders>
          </w:tcPr>
          <w:p>
            <w:pPr>
              <w:pStyle w:val="TableParagraph"/>
              <w:spacing w:line="175" w:lineRule="exact" w:before="67"/>
              <w:ind w:left="2674"/>
              <w:jc w:val="left"/>
              <w:rPr>
                <w:sz w:val="18"/>
              </w:rPr>
            </w:pPr>
            <w:r>
              <w:rPr>
                <w:spacing w:val="-2"/>
                <w:sz w:val="18"/>
              </w:rPr>
              <w:t>Efficiencies</w:t>
            </w:r>
          </w:p>
        </w:tc>
        <w:tc>
          <w:tcPr>
            <w:tcW w:w="1773" w:type="dxa"/>
            <w:tcBorders>
              <w:top w:val="single" w:sz="4" w:space="0" w:color="000000"/>
            </w:tcBorders>
          </w:tcPr>
          <w:p>
            <w:pPr>
              <w:pStyle w:val="TableParagraph"/>
              <w:spacing w:line="175" w:lineRule="exact" w:before="67"/>
              <w:ind w:right="432"/>
              <w:rPr>
                <w:sz w:val="18"/>
              </w:rPr>
            </w:pPr>
            <w:r>
              <w:rPr>
                <w:w w:val="101"/>
                <w:sz w:val="18"/>
              </w:rPr>
              <w:t>-</w:t>
            </w:r>
          </w:p>
        </w:tc>
        <w:tc>
          <w:tcPr>
            <w:tcW w:w="1227" w:type="dxa"/>
            <w:tcBorders>
              <w:top w:val="single" w:sz="4" w:space="0" w:color="000000"/>
            </w:tcBorders>
          </w:tcPr>
          <w:p>
            <w:pPr>
              <w:pStyle w:val="TableParagraph"/>
              <w:spacing w:line="175" w:lineRule="exact" w:before="67"/>
              <w:ind w:right="385"/>
              <w:rPr>
                <w:sz w:val="18"/>
              </w:rPr>
            </w:pPr>
            <w:r>
              <w:rPr>
                <w:spacing w:val="-4"/>
                <w:sz w:val="18"/>
              </w:rPr>
              <w:t>25.2</w:t>
            </w:r>
          </w:p>
        </w:tc>
        <w:tc>
          <w:tcPr>
            <w:tcW w:w="1565" w:type="dxa"/>
            <w:tcBorders>
              <w:top w:val="single" w:sz="4" w:space="0" w:color="000000"/>
            </w:tcBorders>
          </w:tcPr>
          <w:p>
            <w:pPr>
              <w:pStyle w:val="TableParagraph"/>
              <w:spacing w:line="175" w:lineRule="exact" w:before="67"/>
              <w:ind w:right="386"/>
              <w:rPr>
                <w:sz w:val="18"/>
              </w:rPr>
            </w:pPr>
            <w:r>
              <w:rPr>
                <w:w w:val="101"/>
                <w:sz w:val="18"/>
              </w:rPr>
              <w:t>-</w:t>
            </w:r>
          </w:p>
        </w:tc>
      </w:tr>
      <w:tr>
        <w:trPr>
          <w:trHeight w:val="175" w:hRule="atLeast"/>
        </w:trPr>
        <w:tc>
          <w:tcPr>
            <w:tcW w:w="3272" w:type="dxa"/>
          </w:tcPr>
          <w:p>
            <w:pPr>
              <w:pStyle w:val="TableParagraph"/>
              <w:spacing w:line="155" w:lineRule="exact"/>
              <w:ind w:left="124"/>
              <w:jc w:val="left"/>
              <w:rPr>
                <w:sz w:val="18"/>
              </w:rPr>
            </w:pPr>
            <w:r>
              <w:rPr>
                <w:sz w:val="18"/>
              </w:rPr>
              <w:t>MP</w:t>
            </w:r>
            <w:r>
              <w:rPr>
                <w:spacing w:val="-2"/>
                <w:sz w:val="18"/>
              </w:rPr>
              <w:t> </w:t>
            </w:r>
            <w:r>
              <w:rPr>
                <w:sz w:val="18"/>
              </w:rPr>
              <w:t>III</w:t>
            </w:r>
            <w:r>
              <w:rPr>
                <w:spacing w:val="-1"/>
                <w:sz w:val="18"/>
              </w:rPr>
              <w:t> </w:t>
            </w:r>
            <w:r>
              <w:rPr>
                <w:sz w:val="18"/>
              </w:rPr>
              <w:t>-</w:t>
            </w:r>
            <w:r>
              <w:rPr>
                <w:spacing w:val="-1"/>
                <w:sz w:val="18"/>
              </w:rPr>
              <w:t> </w:t>
            </w:r>
            <w:r>
              <w:rPr>
                <w:spacing w:val="-2"/>
                <w:sz w:val="18"/>
              </w:rPr>
              <w:t>Registry</w:t>
            </w:r>
          </w:p>
        </w:tc>
        <w:tc>
          <w:tcPr>
            <w:tcW w:w="1395" w:type="dxa"/>
          </w:tcPr>
          <w:p>
            <w:pPr>
              <w:pStyle w:val="TableParagraph"/>
              <w:jc w:val="left"/>
              <w:rPr>
                <w:sz w:val="10"/>
              </w:rPr>
            </w:pPr>
          </w:p>
        </w:tc>
        <w:tc>
          <w:tcPr>
            <w:tcW w:w="1773" w:type="dxa"/>
          </w:tcPr>
          <w:p>
            <w:pPr>
              <w:pStyle w:val="TableParagraph"/>
              <w:jc w:val="left"/>
              <w:rPr>
                <w:sz w:val="10"/>
              </w:rPr>
            </w:pPr>
          </w:p>
        </w:tc>
        <w:tc>
          <w:tcPr>
            <w:tcW w:w="1227" w:type="dxa"/>
          </w:tcPr>
          <w:p>
            <w:pPr>
              <w:pStyle w:val="TableParagraph"/>
              <w:jc w:val="left"/>
              <w:rPr>
                <w:sz w:val="10"/>
              </w:rPr>
            </w:pPr>
          </w:p>
        </w:tc>
        <w:tc>
          <w:tcPr>
            <w:tcW w:w="1565" w:type="dxa"/>
          </w:tcPr>
          <w:p>
            <w:pPr>
              <w:pStyle w:val="TableParagraph"/>
              <w:jc w:val="left"/>
              <w:rPr>
                <w:sz w:val="10"/>
              </w:rPr>
            </w:pPr>
          </w:p>
        </w:tc>
      </w:tr>
      <w:tr>
        <w:trPr>
          <w:trHeight w:val="253" w:hRule="atLeast"/>
        </w:trPr>
        <w:tc>
          <w:tcPr>
            <w:tcW w:w="3272" w:type="dxa"/>
            <w:tcBorders>
              <w:bottom w:val="single" w:sz="4" w:space="0" w:color="000000"/>
            </w:tcBorders>
          </w:tcPr>
          <w:p>
            <w:pPr>
              <w:pStyle w:val="TableParagraph"/>
              <w:spacing w:line="187" w:lineRule="exact"/>
              <w:ind w:right="20"/>
              <w:rPr>
                <w:sz w:val="18"/>
              </w:rPr>
            </w:pPr>
            <w:r>
              <w:rPr>
                <w:spacing w:val="-2"/>
                <w:sz w:val="18"/>
              </w:rPr>
              <w:t>Savings</w:t>
            </w:r>
          </w:p>
        </w:tc>
        <w:tc>
          <w:tcPr>
            <w:tcW w:w="1395" w:type="dxa"/>
            <w:tcBorders>
              <w:bottom w:val="single" w:sz="4" w:space="0" w:color="000000"/>
            </w:tcBorders>
          </w:tcPr>
          <w:p>
            <w:pPr>
              <w:pStyle w:val="TableParagraph"/>
              <w:jc w:val="left"/>
              <w:rPr>
                <w:sz w:val="18"/>
              </w:rPr>
            </w:pPr>
          </w:p>
        </w:tc>
        <w:tc>
          <w:tcPr>
            <w:tcW w:w="1773" w:type="dxa"/>
            <w:tcBorders>
              <w:bottom w:val="single" w:sz="4" w:space="0" w:color="000000"/>
            </w:tcBorders>
          </w:tcPr>
          <w:p>
            <w:pPr>
              <w:pStyle w:val="TableParagraph"/>
              <w:spacing w:line="187" w:lineRule="exact"/>
              <w:ind w:right="430"/>
              <w:rPr>
                <w:sz w:val="18"/>
              </w:rPr>
            </w:pPr>
            <w:r>
              <w:rPr>
                <w:spacing w:val="-2"/>
                <w:sz w:val="18"/>
              </w:rPr>
              <w:t>207.8</w:t>
            </w:r>
          </w:p>
        </w:tc>
        <w:tc>
          <w:tcPr>
            <w:tcW w:w="1227" w:type="dxa"/>
            <w:tcBorders>
              <w:bottom w:val="single" w:sz="4" w:space="0" w:color="000000"/>
            </w:tcBorders>
          </w:tcPr>
          <w:p>
            <w:pPr>
              <w:pStyle w:val="TableParagraph"/>
              <w:spacing w:line="187" w:lineRule="exact"/>
              <w:ind w:right="386"/>
              <w:rPr>
                <w:sz w:val="18"/>
              </w:rPr>
            </w:pPr>
            <w:r>
              <w:rPr>
                <w:w w:val="101"/>
                <w:sz w:val="18"/>
              </w:rPr>
              <w:t>-</w:t>
            </w:r>
          </w:p>
        </w:tc>
        <w:tc>
          <w:tcPr>
            <w:tcW w:w="1565" w:type="dxa"/>
            <w:tcBorders>
              <w:bottom w:val="single" w:sz="4" w:space="0" w:color="000000"/>
            </w:tcBorders>
          </w:tcPr>
          <w:p>
            <w:pPr>
              <w:pStyle w:val="TableParagraph"/>
              <w:spacing w:line="187" w:lineRule="exact"/>
              <w:ind w:right="385"/>
              <w:rPr>
                <w:sz w:val="18"/>
              </w:rPr>
            </w:pPr>
            <w:r>
              <w:rPr>
                <w:spacing w:val="-2"/>
                <w:sz w:val="18"/>
              </w:rPr>
              <w:t>280.5</w:t>
            </w:r>
          </w:p>
        </w:tc>
      </w:tr>
      <w:tr>
        <w:trPr>
          <w:trHeight w:val="340" w:hRule="atLeast"/>
        </w:trPr>
        <w:tc>
          <w:tcPr>
            <w:tcW w:w="4667" w:type="dxa"/>
            <w:gridSpan w:val="2"/>
            <w:tcBorders>
              <w:bottom w:val="single" w:sz="4" w:space="0" w:color="000000"/>
            </w:tcBorders>
          </w:tcPr>
          <w:p>
            <w:pPr>
              <w:pStyle w:val="TableParagraph"/>
              <w:spacing w:before="67"/>
              <w:ind w:left="2674"/>
              <w:jc w:val="left"/>
              <w:rPr>
                <w:sz w:val="18"/>
              </w:rPr>
            </w:pPr>
            <w:r>
              <w:rPr>
                <w:sz w:val="18"/>
              </w:rPr>
              <w:t>Non-recurrent</w:t>
            </w:r>
            <w:r>
              <w:rPr>
                <w:spacing w:val="-8"/>
                <w:sz w:val="18"/>
              </w:rPr>
              <w:t> </w:t>
            </w:r>
            <w:r>
              <w:rPr>
                <w:spacing w:val="-2"/>
                <w:sz w:val="18"/>
              </w:rPr>
              <w:t>costs</w:t>
            </w:r>
          </w:p>
        </w:tc>
        <w:tc>
          <w:tcPr>
            <w:tcW w:w="1773" w:type="dxa"/>
            <w:tcBorders>
              <w:top w:val="single" w:sz="4" w:space="0" w:color="000000"/>
              <w:bottom w:val="single" w:sz="4" w:space="0" w:color="000000"/>
            </w:tcBorders>
          </w:tcPr>
          <w:p>
            <w:pPr>
              <w:pStyle w:val="TableParagraph"/>
              <w:spacing w:before="67"/>
              <w:ind w:right="432"/>
              <w:rPr>
                <w:sz w:val="18"/>
              </w:rPr>
            </w:pPr>
            <w:r>
              <w:rPr>
                <w:w w:val="101"/>
                <w:sz w:val="18"/>
              </w:rPr>
              <w:t>-</w:t>
            </w:r>
          </w:p>
        </w:tc>
        <w:tc>
          <w:tcPr>
            <w:tcW w:w="1227" w:type="dxa"/>
            <w:tcBorders>
              <w:top w:val="single" w:sz="4" w:space="0" w:color="000000"/>
              <w:bottom w:val="single" w:sz="4" w:space="0" w:color="000000"/>
            </w:tcBorders>
          </w:tcPr>
          <w:p>
            <w:pPr>
              <w:pStyle w:val="TableParagraph"/>
              <w:spacing w:before="67"/>
              <w:ind w:right="386"/>
              <w:rPr>
                <w:sz w:val="18"/>
              </w:rPr>
            </w:pPr>
            <w:r>
              <w:rPr>
                <w:w w:val="101"/>
                <w:sz w:val="18"/>
              </w:rPr>
              <w:t>-</w:t>
            </w:r>
          </w:p>
        </w:tc>
        <w:tc>
          <w:tcPr>
            <w:tcW w:w="1565" w:type="dxa"/>
            <w:tcBorders>
              <w:top w:val="single" w:sz="4" w:space="0" w:color="000000"/>
              <w:bottom w:val="single" w:sz="4" w:space="0" w:color="000000"/>
            </w:tcBorders>
          </w:tcPr>
          <w:p>
            <w:pPr>
              <w:pStyle w:val="TableParagraph"/>
              <w:spacing w:before="67"/>
              <w:ind w:right="385"/>
              <w:rPr>
                <w:sz w:val="18"/>
              </w:rPr>
            </w:pPr>
            <w:r>
              <w:rPr>
                <w:spacing w:val="-2"/>
                <w:sz w:val="18"/>
              </w:rPr>
              <w:t>352.7</w:t>
            </w:r>
          </w:p>
        </w:tc>
      </w:tr>
      <w:tr>
        <w:trPr>
          <w:trHeight w:val="340" w:hRule="atLeast"/>
        </w:trPr>
        <w:tc>
          <w:tcPr>
            <w:tcW w:w="3272" w:type="dxa"/>
            <w:tcBorders>
              <w:top w:val="single" w:sz="4" w:space="0" w:color="000000"/>
              <w:bottom w:val="single" w:sz="4" w:space="0" w:color="000000"/>
            </w:tcBorders>
          </w:tcPr>
          <w:p>
            <w:pPr>
              <w:pStyle w:val="TableParagraph"/>
              <w:spacing w:before="67"/>
              <w:ind w:left="124"/>
              <w:jc w:val="left"/>
              <w:rPr>
                <w:b/>
                <w:sz w:val="18"/>
              </w:rPr>
            </w:pPr>
            <w:r>
              <w:rPr>
                <w:b/>
                <w:sz w:val="18"/>
              </w:rPr>
              <w:t>Court-wide</w:t>
            </w:r>
            <w:r>
              <w:rPr>
                <w:b/>
                <w:spacing w:val="-1"/>
                <w:sz w:val="18"/>
              </w:rPr>
              <w:t> </w:t>
            </w:r>
            <w:r>
              <w:rPr>
                <w:b/>
                <w:spacing w:val="-2"/>
                <w:sz w:val="18"/>
              </w:rPr>
              <w:t>Total</w:t>
            </w:r>
          </w:p>
        </w:tc>
        <w:tc>
          <w:tcPr>
            <w:tcW w:w="1395" w:type="dxa"/>
            <w:tcBorders>
              <w:top w:val="single" w:sz="4" w:space="0" w:color="000000"/>
              <w:bottom w:val="single" w:sz="4" w:space="0" w:color="000000"/>
            </w:tcBorders>
          </w:tcPr>
          <w:p>
            <w:pPr>
              <w:pStyle w:val="TableParagraph"/>
              <w:jc w:val="left"/>
              <w:rPr>
                <w:sz w:val="18"/>
              </w:rPr>
            </w:pPr>
          </w:p>
        </w:tc>
        <w:tc>
          <w:tcPr>
            <w:tcW w:w="1773" w:type="dxa"/>
            <w:tcBorders>
              <w:top w:val="single" w:sz="4" w:space="0" w:color="000000"/>
              <w:bottom w:val="single" w:sz="4" w:space="0" w:color="000000"/>
            </w:tcBorders>
          </w:tcPr>
          <w:p>
            <w:pPr>
              <w:pStyle w:val="TableParagraph"/>
              <w:spacing w:before="67"/>
              <w:ind w:right="430"/>
              <w:rPr>
                <w:b/>
                <w:sz w:val="18"/>
              </w:rPr>
            </w:pPr>
            <w:r>
              <w:rPr>
                <w:b/>
                <w:spacing w:val="-2"/>
                <w:sz w:val="18"/>
              </w:rPr>
              <w:t>557.8</w:t>
            </w:r>
          </w:p>
        </w:tc>
        <w:tc>
          <w:tcPr>
            <w:tcW w:w="1227" w:type="dxa"/>
            <w:tcBorders>
              <w:top w:val="single" w:sz="4" w:space="0" w:color="000000"/>
              <w:bottom w:val="single" w:sz="4" w:space="0" w:color="000000"/>
            </w:tcBorders>
          </w:tcPr>
          <w:p>
            <w:pPr>
              <w:pStyle w:val="TableParagraph"/>
              <w:spacing w:before="67"/>
              <w:ind w:right="385"/>
              <w:rPr>
                <w:b/>
                <w:sz w:val="18"/>
              </w:rPr>
            </w:pPr>
            <w:r>
              <w:rPr>
                <w:b/>
                <w:spacing w:val="-2"/>
                <w:sz w:val="18"/>
              </w:rPr>
              <w:t>117.4</w:t>
            </w:r>
          </w:p>
        </w:tc>
        <w:tc>
          <w:tcPr>
            <w:tcW w:w="1565" w:type="dxa"/>
            <w:tcBorders>
              <w:top w:val="single" w:sz="4" w:space="0" w:color="000000"/>
              <w:bottom w:val="single" w:sz="4" w:space="0" w:color="000000"/>
            </w:tcBorders>
          </w:tcPr>
          <w:p>
            <w:pPr>
              <w:pStyle w:val="TableParagraph"/>
              <w:spacing w:before="67"/>
              <w:ind w:right="385"/>
              <w:rPr>
                <w:b/>
                <w:sz w:val="18"/>
              </w:rPr>
            </w:pPr>
            <w:r>
              <w:rPr>
                <w:b/>
                <w:spacing w:val="-2"/>
                <w:sz w:val="18"/>
              </w:rPr>
              <w:t>1,537.5</w:t>
            </w:r>
          </w:p>
        </w:tc>
      </w:tr>
    </w:tbl>
    <w:p>
      <w:pPr>
        <w:spacing w:after="0"/>
        <w:rPr>
          <w:sz w:val="18"/>
        </w:rPr>
        <w:sectPr>
          <w:pgSz w:w="11910" w:h="16840"/>
          <w:pgMar w:header="953" w:footer="940" w:top="1140" w:bottom="1140" w:left="20" w:right="20"/>
        </w:sectPr>
      </w:pPr>
    </w:p>
    <w:p>
      <w:pPr>
        <w:spacing w:before="120"/>
        <w:ind w:left="2246" w:right="0" w:firstLine="0"/>
        <w:jc w:val="left"/>
        <w:rPr>
          <w:b/>
          <w:sz w:val="20"/>
        </w:rPr>
      </w:pPr>
      <w:r>
        <w:rPr>
          <w:b/>
          <w:sz w:val="20"/>
        </w:rPr>
        <w:t>Table</w:t>
      </w:r>
      <w:r>
        <w:rPr>
          <w:b/>
          <w:spacing w:val="-5"/>
          <w:sz w:val="20"/>
        </w:rPr>
        <w:t> </w:t>
      </w:r>
      <w:r>
        <w:rPr>
          <w:b/>
          <w:sz w:val="20"/>
        </w:rPr>
        <w:t>3:</w:t>
      </w:r>
      <w:r>
        <w:rPr>
          <w:b/>
          <w:spacing w:val="-7"/>
          <w:sz w:val="20"/>
        </w:rPr>
        <w:t> </w:t>
      </w:r>
      <w:r>
        <w:rPr>
          <w:b/>
          <w:sz w:val="20"/>
        </w:rPr>
        <w:t>Total Court:</w:t>
      </w:r>
      <w:r>
        <w:rPr>
          <w:b/>
          <w:spacing w:val="-6"/>
          <w:sz w:val="20"/>
        </w:rPr>
        <w:t> </w:t>
      </w:r>
      <w:r>
        <w:rPr>
          <w:b/>
          <w:sz w:val="20"/>
        </w:rPr>
        <w:t>Proposed</w:t>
      </w:r>
      <w:r>
        <w:rPr>
          <w:b/>
          <w:spacing w:val="-7"/>
          <w:sz w:val="20"/>
        </w:rPr>
        <w:t> </w:t>
      </w:r>
      <w:r>
        <w:rPr>
          <w:b/>
          <w:sz w:val="20"/>
        </w:rPr>
        <w:t>budget</w:t>
      </w:r>
      <w:r>
        <w:rPr>
          <w:b/>
          <w:spacing w:val="-7"/>
          <w:sz w:val="20"/>
        </w:rPr>
        <w:t> </w:t>
      </w:r>
      <w:r>
        <w:rPr>
          <w:b/>
          <w:sz w:val="20"/>
        </w:rPr>
        <w:t>for</w:t>
      </w:r>
      <w:r>
        <w:rPr>
          <w:b/>
          <w:spacing w:val="-4"/>
          <w:sz w:val="20"/>
        </w:rPr>
        <w:t> 2023</w:t>
      </w:r>
    </w:p>
    <w:tbl>
      <w:tblPr>
        <w:tblW w:w="0" w:type="auto"/>
        <w:jc w:val="left"/>
        <w:tblInd w:w="1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75"/>
        <w:gridCol w:w="1216"/>
        <w:gridCol w:w="826"/>
        <w:gridCol w:w="1128"/>
        <w:gridCol w:w="1079"/>
        <w:gridCol w:w="1157"/>
        <w:gridCol w:w="716"/>
        <w:gridCol w:w="1055"/>
      </w:tblGrid>
      <w:tr>
        <w:trPr>
          <w:trHeight w:val="310" w:hRule="atLeast"/>
        </w:trPr>
        <w:tc>
          <w:tcPr>
            <w:tcW w:w="5645" w:type="dxa"/>
            <w:gridSpan w:val="4"/>
            <w:tcBorders>
              <w:top w:val="single" w:sz="4" w:space="0" w:color="000000"/>
            </w:tcBorders>
          </w:tcPr>
          <w:p>
            <w:pPr>
              <w:pStyle w:val="TableParagraph"/>
              <w:tabs>
                <w:tab w:pos="2782" w:val="left" w:leader="none"/>
                <w:tab w:pos="5644" w:val="left" w:leader="none"/>
              </w:tabs>
              <w:spacing w:line="180" w:lineRule="exact" w:before="110"/>
              <w:ind w:left="2475"/>
              <w:jc w:val="left"/>
              <w:rPr>
                <w:sz w:val="16"/>
              </w:rPr>
            </w:pPr>
            <w:r>
              <w:rPr>
                <w:sz w:val="16"/>
                <w:u w:val="single"/>
              </w:rPr>
              <w:tab/>
              <w:t>2021</w:t>
            </w:r>
            <w:r>
              <w:rPr>
                <w:spacing w:val="-3"/>
                <w:sz w:val="16"/>
                <w:u w:val="single"/>
              </w:rPr>
              <w:t> </w:t>
            </w:r>
            <w:r>
              <w:rPr>
                <w:sz w:val="16"/>
                <w:u w:val="single"/>
              </w:rPr>
              <w:t>Expenditures</w:t>
            </w:r>
            <w:r>
              <w:rPr>
                <w:spacing w:val="-4"/>
                <w:sz w:val="16"/>
                <w:u w:val="single"/>
              </w:rPr>
              <w:t> </w:t>
            </w:r>
            <w:r>
              <w:rPr>
                <w:sz w:val="16"/>
                <w:u w:val="single"/>
              </w:rPr>
              <w:t>(thousands</w:t>
            </w:r>
            <w:r>
              <w:rPr>
                <w:spacing w:val="-4"/>
                <w:sz w:val="16"/>
                <w:u w:val="single"/>
              </w:rPr>
              <w:t> </w:t>
            </w:r>
            <w:r>
              <w:rPr>
                <w:sz w:val="16"/>
                <w:u w:val="single"/>
              </w:rPr>
              <w:t>of</w:t>
            </w:r>
            <w:r>
              <w:rPr>
                <w:spacing w:val="-4"/>
                <w:sz w:val="16"/>
                <w:u w:val="single"/>
              </w:rPr>
              <w:t> </w:t>
            </w:r>
            <w:r>
              <w:rPr>
                <w:spacing w:val="-2"/>
                <w:sz w:val="16"/>
                <w:u w:val="single"/>
              </w:rPr>
              <w:t>euros)</w:t>
            </w:r>
            <w:r>
              <w:rPr>
                <w:sz w:val="16"/>
                <w:u w:val="single"/>
              </w:rPr>
              <w:tab/>
            </w:r>
          </w:p>
        </w:tc>
        <w:tc>
          <w:tcPr>
            <w:tcW w:w="1079" w:type="dxa"/>
            <w:vMerge w:val="restart"/>
            <w:tcBorders>
              <w:top w:val="single" w:sz="4" w:space="0" w:color="000000"/>
              <w:bottom w:val="single" w:sz="12" w:space="0" w:color="000000"/>
            </w:tcBorders>
          </w:tcPr>
          <w:p>
            <w:pPr>
              <w:pStyle w:val="TableParagraph"/>
              <w:spacing w:line="183" w:lineRule="exact" w:before="139"/>
              <w:ind w:left="228" w:right="175"/>
              <w:jc w:val="center"/>
              <w:rPr>
                <w:sz w:val="16"/>
              </w:rPr>
            </w:pPr>
            <w:r>
              <w:rPr>
                <w:spacing w:val="-4"/>
                <w:sz w:val="16"/>
              </w:rPr>
              <w:t>2022</w:t>
            </w:r>
          </w:p>
          <w:p>
            <w:pPr>
              <w:pStyle w:val="TableParagraph"/>
              <w:spacing w:line="183" w:lineRule="exact"/>
              <w:ind w:left="228" w:right="179"/>
              <w:jc w:val="center"/>
              <w:rPr>
                <w:sz w:val="16"/>
              </w:rPr>
            </w:pPr>
            <w:r>
              <w:rPr>
                <w:spacing w:val="-2"/>
                <w:sz w:val="16"/>
              </w:rPr>
              <w:t>Approved</w:t>
            </w:r>
          </w:p>
          <w:p>
            <w:pPr>
              <w:pStyle w:val="TableParagraph"/>
              <w:spacing w:line="172" w:lineRule="exact" w:before="3"/>
              <w:ind w:left="228" w:right="170"/>
              <w:jc w:val="center"/>
              <w:rPr>
                <w:sz w:val="16"/>
              </w:rPr>
            </w:pPr>
            <w:r>
              <w:rPr>
                <w:spacing w:val="-2"/>
                <w:sz w:val="16"/>
              </w:rPr>
              <w:t>Budget</w:t>
            </w:r>
          </w:p>
        </w:tc>
        <w:tc>
          <w:tcPr>
            <w:tcW w:w="1873" w:type="dxa"/>
            <w:gridSpan w:val="2"/>
            <w:tcBorders>
              <w:top w:val="single" w:sz="4" w:space="0" w:color="000000"/>
            </w:tcBorders>
          </w:tcPr>
          <w:p>
            <w:pPr>
              <w:pStyle w:val="TableParagraph"/>
              <w:tabs>
                <w:tab w:pos="327" w:val="left" w:leader="none"/>
                <w:tab w:pos="1796" w:val="left" w:leader="none"/>
              </w:tabs>
              <w:spacing w:line="180" w:lineRule="exact" w:before="110"/>
              <w:ind w:left="54"/>
              <w:jc w:val="left"/>
              <w:rPr>
                <w:sz w:val="16"/>
              </w:rPr>
            </w:pPr>
            <w:r>
              <w:rPr>
                <w:sz w:val="16"/>
                <w:u w:val="single"/>
              </w:rPr>
              <w:tab/>
              <w:t>Resource</w:t>
            </w:r>
            <w:r>
              <w:rPr>
                <w:spacing w:val="-2"/>
                <w:sz w:val="16"/>
                <w:u w:val="single"/>
              </w:rPr>
              <w:t> Changes</w:t>
            </w:r>
            <w:r>
              <w:rPr>
                <w:sz w:val="16"/>
                <w:u w:val="single"/>
              </w:rPr>
              <w:tab/>
            </w:r>
          </w:p>
        </w:tc>
        <w:tc>
          <w:tcPr>
            <w:tcW w:w="1055" w:type="dxa"/>
            <w:tcBorders>
              <w:top w:val="single" w:sz="4" w:space="0" w:color="000000"/>
            </w:tcBorders>
          </w:tcPr>
          <w:p>
            <w:pPr>
              <w:pStyle w:val="TableParagraph"/>
              <w:jc w:val="left"/>
              <w:rPr>
                <w:sz w:val="14"/>
              </w:rPr>
            </w:pPr>
          </w:p>
        </w:tc>
      </w:tr>
      <w:tr>
        <w:trPr>
          <w:trHeight w:val="359" w:hRule="atLeast"/>
        </w:trPr>
        <w:tc>
          <w:tcPr>
            <w:tcW w:w="2475" w:type="dxa"/>
            <w:tcBorders>
              <w:bottom w:val="single" w:sz="12" w:space="0" w:color="000000"/>
            </w:tcBorders>
          </w:tcPr>
          <w:p>
            <w:pPr>
              <w:pStyle w:val="TableParagraph"/>
              <w:spacing w:before="7"/>
              <w:jc w:val="left"/>
              <w:rPr>
                <w:b/>
                <w:sz w:val="14"/>
              </w:rPr>
            </w:pPr>
          </w:p>
          <w:p>
            <w:pPr>
              <w:pStyle w:val="TableParagraph"/>
              <w:spacing w:line="172" w:lineRule="exact"/>
              <w:ind w:left="117"/>
              <w:jc w:val="left"/>
              <w:rPr>
                <w:b/>
                <w:sz w:val="16"/>
              </w:rPr>
            </w:pPr>
            <w:r>
              <w:rPr>
                <w:b/>
                <w:spacing w:val="-5"/>
                <w:sz w:val="16"/>
              </w:rPr>
              <w:t>ICC</w:t>
            </w:r>
          </w:p>
        </w:tc>
        <w:tc>
          <w:tcPr>
            <w:tcW w:w="1216" w:type="dxa"/>
            <w:tcBorders>
              <w:bottom w:val="single" w:sz="12" w:space="0" w:color="000000"/>
            </w:tcBorders>
          </w:tcPr>
          <w:p>
            <w:pPr>
              <w:pStyle w:val="TableParagraph"/>
              <w:spacing w:before="7"/>
              <w:jc w:val="left"/>
              <w:rPr>
                <w:b/>
                <w:sz w:val="14"/>
              </w:rPr>
            </w:pPr>
          </w:p>
          <w:p>
            <w:pPr>
              <w:pStyle w:val="TableParagraph"/>
              <w:spacing w:line="172" w:lineRule="exact"/>
              <w:ind w:left="393"/>
              <w:jc w:val="left"/>
              <w:rPr>
                <w:sz w:val="16"/>
              </w:rPr>
            </w:pPr>
            <w:r>
              <w:rPr>
                <w:spacing w:val="-2"/>
                <w:sz w:val="16"/>
              </w:rPr>
              <w:t>Total</w:t>
            </w:r>
          </w:p>
        </w:tc>
        <w:tc>
          <w:tcPr>
            <w:tcW w:w="826" w:type="dxa"/>
            <w:tcBorders>
              <w:bottom w:val="single" w:sz="12" w:space="0" w:color="000000"/>
            </w:tcBorders>
          </w:tcPr>
          <w:p>
            <w:pPr>
              <w:pStyle w:val="TableParagraph"/>
              <w:spacing w:line="165" w:lineRule="exact"/>
              <w:ind w:left="191"/>
              <w:jc w:val="left"/>
              <w:rPr>
                <w:sz w:val="16"/>
              </w:rPr>
            </w:pPr>
            <w:r>
              <w:rPr>
                <w:spacing w:val="-2"/>
                <w:sz w:val="16"/>
              </w:rPr>
              <w:t>Cont.</w:t>
            </w:r>
          </w:p>
          <w:p>
            <w:pPr>
              <w:pStyle w:val="TableParagraph"/>
              <w:spacing w:line="172" w:lineRule="exact" w:before="3"/>
              <w:ind w:left="200"/>
              <w:jc w:val="left"/>
              <w:rPr>
                <w:sz w:val="16"/>
              </w:rPr>
            </w:pPr>
            <w:r>
              <w:rPr>
                <w:spacing w:val="-4"/>
                <w:sz w:val="16"/>
              </w:rPr>
              <w:t>Fund</w:t>
            </w:r>
          </w:p>
        </w:tc>
        <w:tc>
          <w:tcPr>
            <w:tcW w:w="1128" w:type="dxa"/>
            <w:tcBorders>
              <w:bottom w:val="single" w:sz="12" w:space="0" w:color="000000"/>
            </w:tcBorders>
          </w:tcPr>
          <w:p>
            <w:pPr>
              <w:pStyle w:val="TableParagraph"/>
              <w:spacing w:before="7"/>
              <w:jc w:val="left"/>
              <w:rPr>
                <w:b/>
                <w:sz w:val="14"/>
              </w:rPr>
            </w:pPr>
          </w:p>
          <w:p>
            <w:pPr>
              <w:pStyle w:val="TableParagraph"/>
              <w:spacing w:line="172" w:lineRule="exact"/>
              <w:ind w:right="117"/>
              <w:rPr>
                <w:sz w:val="16"/>
              </w:rPr>
            </w:pPr>
            <w:r>
              <w:rPr>
                <w:sz w:val="16"/>
              </w:rPr>
              <w:t>Total</w:t>
            </w:r>
            <w:r>
              <w:rPr>
                <w:spacing w:val="-7"/>
                <w:sz w:val="16"/>
              </w:rPr>
              <w:t> </w:t>
            </w:r>
            <w:r>
              <w:rPr>
                <w:sz w:val="16"/>
              </w:rPr>
              <w:t>Incl.</w:t>
            </w:r>
            <w:r>
              <w:rPr>
                <w:spacing w:val="-6"/>
                <w:sz w:val="16"/>
              </w:rPr>
              <w:t> </w:t>
            </w:r>
            <w:r>
              <w:rPr>
                <w:spacing w:val="-5"/>
                <w:sz w:val="16"/>
              </w:rPr>
              <w:t>CF</w:t>
            </w:r>
          </w:p>
        </w:tc>
        <w:tc>
          <w:tcPr>
            <w:tcW w:w="1079" w:type="dxa"/>
            <w:vMerge/>
            <w:tcBorders>
              <w:top w:val="nil"/>
              <w:bottom w:val="single" w:sz="12" w:space="0" w:color="000000"/>
            </w:tcBorders>
          </w:tcPr>
          <w:p>
            <w:pPr>
              <w:rPr>
                <w:sz w:val="2"/>
                <w:szCs w:val="2"/>
              </w:rPr>
            </w:pPr>
          </w:p>
        </w:tc>
        <w:tc>
          <w:tcPr>
            <w:tcW w:w="1157" w:type="dxa"/>
            <w:tcBorders>
              <w:bottom w:val="single" w:sz="12" w:space="0" w:color="000000"/>
            </w:tcBorders>
          </w:tcPr>
          <w:p>
            <w:pPr>
              <w:pStyle w:val="TableParagraph"/>
              <w:spacing w:before="7"/>
              <w:jc w:val="left"/>
              <w:rPr>
                <w:b/>
                <w:sz w:val="14"/>
              </w:rPr>
            </w:pPr>
          </w:p>
          <w:p>
            <w:pPr>
              <w:pStyle w:val="TableParagraph"/>
              <w:spacing w:line="172" w:lineRule="exact"/>
              <w:ind w:right="222"/>
              <w:rPr>
                <w:sz w:val="16"/>
              </w:rPr>
            </w:pPr>
            <w:r>
              <w:rPr>
                <w:spacing w:val="-2"/>
                <w:sz w:val="16"/>
              </w:rPr>
              <w:t>Amount</w:t>
            </w:r>
          </w:p>
        </w:tc>
        <w:tc>
          <w:tcPr>
            <w:tcW w:w="716" w:type="dxa"/>
            <w:tcBorders>
              <w:bottom w:val="single" w:sz="12" w:space="0" w:color="000000"/>
            </w:tcBorders>
          </w:tcPr>
          <w:p>
            <w:pPr>
              <w:pStyle w:val="TableParagraph"/>
              <w:spacing w:before="7"/>
              <w:jc w:val="left"/>
              <w:rPr>
                <w:b/>
                <w:sz w:val="14"/>
              </w:rPr>
            </w:pPr>
          </w:p>
          <w:p>
            <w:pPr>
              <w:pStyle w:val="TableParagraph"/>
              <w:spacing w:line="172" w:lineRule="exact"/>
              <w:ind w:right="186"/>
              <w:rPr>
                <w:sz w:val="16"/>
              </w:rPr>
            </w:pPr>
            <w:r>
              <w:rPr>
                <w:w w:val="98"/>
                <w:sz w:val="16"/>
              </w:rPr>
              <w:t>%</w:t>
            </w:r>
          </w:p>
        </w:tc>
        <w:tc>
          <w:tcPr>
            <w:tcW w:w="1055" w:type="dxa"/>
            <w:tcBorders>
              <w:bottom w:val="single" w:sz="12" w:space="0" w:color="000000"/>
            </w:tcBorders>
          </w:tcPr>
          <w:p>
            <w:pPr>
              <w:pStyle w:val="TableParagraph"/>
              <w:spacing w:line="165" w:lineRule="exact"/>
              <w:ind w:left="51" w:right="141"/>
              <w:jc w:val="center"/>
              <w:rPr>
                <w:sz w:val="16"/>
              </w:rPr>
            </w:pPr>
            <w:r>
              <w:rPr>
                <w:spacing w:val="-2"/>
                <w:sz w:val="16"/>
              </w:rPr>
              <w:t>Proposed</w:t>
            </w:r>
          </w:p>
          <w:p>
            <w:pPr>
              <w:pStyle w:val="TableParagraph"/>
              <w:spacing w:line="172" w:lineRule="exact" w:before="3"/>
              <w:ind w:left="59" w:right="141"/>
              <w:jc w:val="center"/>
              <w:rPr>
                <w:sz w:val="16"/>
              </w:rPr>
            </w:pPr>
            <w:r>
              <w:rPr>
                <w:sz w:val="16"/>
              </w:rPr>
              <w:t>2023</w:t>
            </w:r>
            <w:r>
              <w:rPr>
                <w:spacing w:val="2"/>
                <w:sz w:val="16"/>
              </w:rPr>
              <w:t> </w:t>
            </w:r>
            <w:r>
              <w:rPr>
                <w:spacing w:val="-2"/>
                <w:sz w:val="16"/>
              </w:rPr>
              <w:t>Budget</w:t>
            </w:r>
          </w:p>
        </w:tc>
      </w:tr>
      <w:tr>
        <w:trPr>
          <w:trHeight w:val="224" w:hRule="atLeast"/>
        </w:trPr>
        <w:tc>
          <w:tcPr>
            <w:tcW w:w="2475" w:type="dxa"/>
            <w:tcBorders>
              <w:top w:val="single" w:sz="12" w:space="0" w:color="000000"/>
              <w:bottom w:val="single" w:sz="4" w:space="0" w:color="000000"/>
            </w:tcBorders>
          </w:tcPr>
          <w:p>
            <w:pPr>
              <w:pStyle w:val="TableParagraph"/>
              <w:spacing w:before="13"/>
              <w:ind w:left="117"/>
              <w:jc w:val="left"/>
              <w:rPr>
                <w:i/>
                <w:sz w:val="16"/>
              </w:rPr>
            </w:pPr>
            <w:r>
              <w:rPr>
                <w:i/>
                <w:spacing w:val="-2"/>
                <w:sz w:val="16"/>
              </w:rPr>
              <w:t>Judges</w:t>
            </w:r>
          </w:p>
        </w:tc>
        <w:tc>
          <w:tcPr>
            <w:tcW w:w="1216" w:type="dxa"/>
            <w:tcBorders>
              <w:top w:val="single" w:sz="12" w:space="0" w:color="000000"/>
              <w:bottom w:val="single" w:sz="4" w:space="0" w:color="000000"/>
            </w:tcBorders>
          </w:tcPr>
          <w:p>
            <w:pPr>
              <w:pStyle w:val="TableParagraph"/>
              <w:spacing w:before="13"/>
              <w:ind w:right="189"/>
              <w:rPr>
                <w:i/>
                <w:sz w:val="16"/>
              </w:rPr>
            </w:pPr>
            <w:r>
              <w:rPr>
                <w:i/>
                <w:spacing w:val="-2"/>
                <w:sz w:val="16"/>
              </w:rPr>
              <w:t>3,988.6</w:t>
            </w:r>
          </w:p>
        </w:tc>
        <w:tc>
          <w:tcPr>
            <w:tcW w:w="826" w:type="dxa"/>
            <w:tcBorders>
              <w:top w:val="single" w:sz="12" w:space="0" w:color="000000"/>
              <w:bottom w:val="single" w:sz="4" w:space="0" w:color="000000"/>
            </w:tcBorders>
          </w:tcPr>
          <w:p>
            <w:pPr>
              <w:pStyle w:val="TableParagraph"/>
              <w:spacing w:before="13"/>
              <w:ind w:right="109"/>
              <w:rPr>
                <w:i/>
                <w:sz w:val="16"/>
              </w:rPr>
            </w:pPr>
            <w:r>
              <w:rPr>
                <w:i/>
                <w:w w:val="98"/>
                <w:sz w:val="16"/>
              </w:rPr>
              <w:t>-</w:t>
            </w:r>
          </w:p>
        </w:tc>
        <w:tc>
          <w:tcPr>
            <w:tcW w:w="1128" w:type="dxa"/>
            <w:tcBorders>
              <w:top w:val="single" w:sz="12" w:space="0" w:color="000000"/>
              <w:bottom w:val="single" w:sz="4" w:space="0" w:color="000000"/>
            </w:tcBorders>
          </w:tcPr>
          <w:p>
            <w:pPr>
              <w:pStyle w:val="TableParagraph"/>
              <w:spacing w:before="13"/>
              <w:ind w:right="102"/>
              <w:rPr>
                <w:i/>
                <w:sz w:val="16"/>
              </w:rPr>
            </w:pPr>
            <w:r>
              <w:rPr>
                <w:i/>
                <w:spacing w:val="-2"/>
                <w:sz w:val="16"/>
              </w:rPr>
              <w:t>3,988.6</w:t>
            </w:r>
          </w:p>
        </w:tc>
        <w:tc>
          <w:tcPr>
            <w:tcW w:w="1079" w:type="dxa"/>
            <w:tcBorders>
              <w:top w:val="single" w:sz="12" w:space="0" w:color="000000"/>
              <w:bottom w:val="single" w:sz="4" w:space="0" w:color="000000"/>
            </w:tcBorders>
          </w:tcPr>
          <w:p>
            <w:pPr>
              <w:pStyle w:val="TableParagraph"/>
              <w:spacing w:before="13"/>
              <w:ind w:right="53"/>
              <w:rPr>
                <w:i/>
                <w:sz w:val="16"/>
              </w:rPr>
            </w:pPr>
            <w:r>
              <w:rPr>
                <w:i/>
                <w:spacing w:val="-2"/>
                <w:sz w:val="16"/>
              </w:rPr>
              <w:t>5,076.1</w:t>
            </w:r>
          </w:p>
        </w:tc>
        <w:tc>
          <w:tcPr>
            <w:tcW w:w="1157" w:type="dxa"/>
            <w:tcBorders>
              <w:top w:val="single" w:sz="12" w:space="0" w:color="000000"/>
              <w:bottom w:val="single" w:sz="4" w:space="0" w:color="000000"/>
            </w:tcBorders>
          </w:tcPr>
          <w:p>
            <w:pPr>
              <w:pStyle w:val="TableParagraph"/>
              <w:spacing w:before="13"/>
              <w:ind w:right="225"/>
              <w:rPr>
                <w:i/>
                <w:sz w:val="16"/>
              </w:rPr>
            </w:pPr>
            <w:r>
              <w:rPr>
                <w:i/>
                <w:spacing w:val="-2"/>
                <w:sz w:val="16"/>
              </w:rPr>
              <w:t>163.1</w:t>
            </w:r>
          </w:p>
        </w:tc>
        <w:tc>
          <w:tcPr>
            <w:tcW w:w="716" w:type="dxa"/>
            <w:tcBorders>
              <w:top w:val="single" w:sz="12" w:space="0" w:color="000000"/>
              <w:bottom w:val="single" w:sz="4" w:space="0" w:color="000000"/>
            </w:tcBorders>
          </w:tcPr>
          <w:p>
            <w:pPr>
              <w:pStyle w:val="TableParagraph"/>
              <w:spacing w:before="13"/>
              <w:ind w:right="187"/>
              <w:rPr>
                <w:i/>
                <w:sz w:val="16"/>
              </w:rPr>
            </w:pPr>
            <w:r>
              <w:rPr>
                <w:i/>
                <w:spacing w:val="-5"/>
                <w:sz w:val="16"/>
              </w:rPr>
              <w:t>3.2</w:t>
            </w:r>
          </w:p>
        </w:tc>
        <w:tc>
          <w:tcPr>
            <w:tcW w:w="1055" w:type="dxa"/>
            <w:tcBorders>
              <w:top w:val="single" w:sz="12" w:space="0" w:color="000000"/>
              <w:bottom w:val="single" w:sz="4" w:space="0" w:color="000000"/>
            </w:tcBorders>
          </w:tcPr>
          <w:p>
            <w:pPr>
              <w:pStyle w:val="TableParagraph"/>
              <w:spacing w:before="13"/>
              <w:ind w:right="109"/>
              <w:rPr>
                <w:i/>
                <w:sz w:val="16"/>
              </w:rPr>
            </w:pPr>
            <w:r>
              <w:rPr>
                <w:i/>
                <w:spacing w:val="-2"/>
                <w:sz w:val="16"/>
              </w:rPr>
              <w:t>5,239.2</w:t>
            </w:r>
          </w:p>
        </w:tc>
      </w:tr>
      <w:tr>
        <w:trPr>
          <w:trHeight w:val="232" w:hRule="atLeast"/>
        </w:trPr>
        <w:tc>
          <w:tcPr>
            <w:tcW w:w="2475" w:type="dxa"/>
            <w:tcBorders>
              <w:top w:val="single" w:sz="4" w:space="0" w:color="000000"/>
            </w:tcBorders>
          </w:tcPr>
          <w:p>
            <w:pPr>
              <w:pStyle w:val="TableParagraph"/>
              <w:spacing w:before="14"/>
              <w:ind w:left="117"/>
              <w:jc w:val="left"/>
              <w:rPr>
                <w:sz w:val="16"/>
              </w:rPr>
            </w:pPr>
            <w:r>
              <w:rPr>
                <w:w w:val="95"/>
                <w:sz w:val="16"/>
              </w:rPr>
              <w:t>Professional</w:t>
            </w:r>
            <w:r>
              <w:rPr>
                <w:spacing w:val="28"/>
                <w:sz w:val="16"/>
              </w:rPr>
              <w:t> </w:t>
            </w:r>
            <w:r>
              <w:rPr>
                <w:spacing w:val="-2"/>
                <w:sz w:val="16"/>
              </w:rPr>
              <w:t>staff</w:t>
            </w:r>
          </w:p>
        </w:tc>
        <w:tc>
          <w:tcPr>
            <w:tcW w:w="1216" w:type="dxa"/>
            <w:tcBorders>
              <w:top w:val="single" w:sz="4" w:space="0" w:color="000000"/>
            </w:tcBorders>
            <w:shd w:val="clear" w:color="auto" w:fill="D9D9D9"/>
          </w:tcPr>
          <w:p>
            <w:pPr>
              <w:pStyle w:val="TableParagraph"/>
              <w:jc w:val="left"/>
              <w:rPr>
                <w:sz w:val="14"/>
              </w:rPr>
            </w:pPr>
          </w:p>
        </w:tc>
        <w:tc>
          <w:tcPr>
            <w:tcW w:w="826" w:type="dxa"/>
            <w:tcBorders>
              <w:top w:val="single" w:sz="4" w:space="0" w:color="000000"/>
            </w:tcBorders>
            <w:shd w:val="clear" w:color="auto" w:fill="D9D9D9"/>
          </w:tcPr>
          <w:p>
            <w:pPr>
              <w:pStyle w:val="TableParagraph"/>
              <w:jc w:val="left"/>
              <w:rPr>
                <w:sz w:val="14"/>
              </w:rPr>
            </w:pPr>
          </w:p>
        </w:tc>
        <w:tc>
          <w:tcPr>
            <w:tcW w:w="1128" w:type="dxa"/>
            <w:tcBorders>
              <w:top w:val="single" w:sz="4" w:space="0" w:color="000000"/>
            </w:tcBorders>
            <w:shd w:val="clear" w:color="auto" w:fill="D9D9D9"/>
          </w:tcPr>
          <w:p>
            <w:pPr>
              <w:pStyle w:val="TableParagraph"/>
              <w:jc w:val="left"/>
              <w:rPr>
                <w:sz w:val="14"/>
              </w:rPr>
            </w:pPr>
          </w:p>
        </w:tc>
        <w:tc>
          <w:tcPr>
            <w:tcW w:w="1079" w:type="dxa"/>
            <w:tcBorders>
              <w:top w:val="single" w:sz="4" w:space="0" w:color="000000"/>
            </w:tcBorders>
          </w:tcPr>
          <w:p>
            <w:pPr>
              <w:pStyle w:val="TableParagraph"/>
              <w:spacing w:before="14"/>
              <w:ind w:right="53"/>
              <w:rPr>
                <w:sz w:val="16"/>
              </w:rPr>
            </w:pPr>
            <w:r>
              <w:rPr>
                <w:spacing w:val="-2"/>
                <w:sz w:val="16"/>
              </w:rPr>
              <w:t>65,576.2</w:t>
            </w:r>
          </w:p>
        </w:tc>
        <w:tc>
          <w:tcPr>
            <w:tcW w:w="1157" w:type="dxa"/>
            <w:tcBorders>
              <w:top w:val="single" w:sz="4" w:space="0" w:color="000000"/>
            </w:tcBorders>
          </w:tcPr>
          <w:p>
            <w:pPr>
              <w:pStyle w:val="TableParagraph"/>
              <w:spacing w:before="14"/>
              <w:ind w:right="225"/>
              <w:rPr>
                <w:sz w:val="16"/>
              </w:rPr>
            </w:pPr>
            <w:r>
              <w:rPr>
                <w:spacing w:val="-2"/>
                <w:sz w:val="16"/>
              </w:rPr>
              <w:t>4,961.4</w:t>
            </w:r>
          </w:p>
        </w:tc>
        <w:tc>
          <w:tcPr>
            <w:tcW w:w="716" w:type="dxa"/>
            <w:tcBorders>
              <w:top w:val="single" w:sz="4" w:space="0" w:color="000000"/>
            </w:tcBorders>
          </w:tcPr>
          <w:p>
            <w:pPr>
              <w:pStyle w:val="TableParagraph"/>
              <w:spacing w:before="14"/>
              <w:ind w:right="187"/>
              <w:rPr>
                <w:sz w:val="16"/>
              </w:rPr>
            </w:pPr>
            <w:r>
              <w:rPr>
                <w:spacing w:val="-5"/>
                <w:sz w:val="16"/>
              </w:rPr>
              <w:t>7.6</w:t>
            </w:r>
          </w:p>
        </w:tc>
        <w:tc>
          <w:tcPr>
            <w:tcW w:w="1055" w:type="dxa"/>
            <w:tcBorders>
              <w:top w:val="single" w:sz="4" w:space="0" w:color="000000"/>
            </w:tcBorders>
          </w:tcPr>
          <w:p>
            <w:pPr>
              <w:pStyle w:val="TableParagraph"/>
              <w:spacing w:before="14"/>
              <w:ind w:right="109"/>
              <w:rPr>
                <w:sz w:val="16"/>
              </w:rPr>
            </w:pPr>
            <w:r>
              <w:rPr>
                <w:spacing w:val="-2"/>
                <w:sz w:val="16"/>
              </w:rPr>
              <w:t>70,537.6</w:t>
            </w:r>
          </w:p>
        </w:tc>
      </w:tr>
      <w:tr>
        <w:trPr>
          <w:trHeight w:val="223" w:hRule="atLeast"/>
        </w:trPr>
        <w:tc>
          <w:tcPr>
            <w:tcW w:w="2475" w:type="dxa"/>
            <w:tcBorders>
              <w:bottom w:val="single" w:sz="4" w:space="0" w:color="000000"/>
            </w:tcBorders>
          </w:tcPr>
          <w:p>
            <w:pPr>
              <w:pStyle w:val="TableParagraph"/>
              <w:spacing w:before="7"/>
              <w:ind w:left="117"/>
              <w:jc w:val="left"/>
              <w:rPr>
                <w:sz w:val="16"/>
              </w:rPr>
            </w:pPr>
            <w:r>
              <w:rPr>
                <w:sz w:val="16"/>
              </w:rPr>
              <w:t>General</w:t>
            </w:r>
            <w:r>
              <w:rPr>
                <w:spacing w:val="-6"/>
                <w:sz w:val="16"/>
              </w:rPr>
              <w:t> </w:t>
            </w:r>
            <w:r>
              <w:rPr>
                <w:sz w:val="16"/>
              </w:rPr>
              <w:t>Service</w:t>
            </w:r>
            <w:r>
              <w:rPr>
                <w:spacing w:val="-4"/>
                <w:sz w:val="16"/>
              </w:rPr>
              <w:t> staff</w:t>
            </w:r>
          </w:p>
        </w:tc>
        <w:tc>
          <w:tcPr>
            <w:tcW w:w="1216" w:type="dxa"/>
            <w:tcBorders>
              <w:bottom w:val="single" w:sz="4" w:space="0" w:color="000000"/>
            </w:tcBorders>
            <w:shd w:val="clear" w:color="auto" w:fill="D9D9D9"/>
          </w:tcPr>
          <w:p>
            <w:pPr>
              <w:pStyle w:val="TableParagraph"/>
              <w:jc w:val="left"/>
              <w:rPr>
                <w:sz w:val="14"/>
              </w:rPr>
            </w:pPr>
          </w:p>
        </w:tc>
        <w:tc>
          <w:tcPr>
            <w:tcW w:w="826" w:type="dxa"/>
            <w:tcBorders>
              <w:bottom w:val="single" w:sz="4" w:space="0" w:color="000000"/>
            </w:tcBorders>
            <w:shd w:val="clear" w:color="auto" w:fill="D9D9D9"/>
          </w:tcPr>
          <w:p>
            <w:pPr>
              <w:pStyle w:val="TableParagraph"/>
              <w:jc w:val="left"/>
              <w:rPr>
                <w:sz w:val="14"/>
              </w:rPr>
            </w:pPr>
          </w:p>
        </w:tc>
        <w:tc>
          <w:tcPr>
            <w:tcW w:w="1128" w:type="dxa"/>
            <w:tcBorders>
              <w:bottom w:val="single" w:sz="4" w:space="0" w:color="000000"/>
            </w:tcBorders>
            <w:shd w:val="clear" w:color="auto" w:fill="D9D9D9"/>
          </w:tcPr>
          <w:p>
            <w:pPr>
              <w:pStyle w:val="TableParagraph"/>
              <w:jc w:val="left"/>
              <w:rPr>
                <w:sz w:val="14"/>
              </w:rPr>
            </w:pPr>
          </w:p>
        </w:tc>
        <w:tc>
          <w:tcPr>
            <w:tcW w:w="1079" w:type="dxa"/>
            <w:tcBorders>
              <w:bottom w:val="single" w:sz="4" w:space="0" w:color="000000"/>
            </w:tcBorders>
          </w:tcPr>
          <w:p>
            <w:pPr>
              <w:pStyle w:val="TableParagraph"/>
              <w:spacing w:before="7"/>
              <w:ind w:right="53"/>
              <w:rPr>
                <w:sz w:val="16"/>
              </w:rPr>
            </w:pPr>
            <w:r>
              <w:rPr>
                <w:spacing w:val="-2"/>
                <w:sz w:val="16"/>
              </w:rPr>
              <w:t>25,438.0</w:t>
            </w:r>
          </w:p>
        </w:tc>
        <w:tc>
          <w:tcPr>
            <w:tcW w:w="1157" w:type="dxa"/>
            <w:tcBorders>
              <w:bottom w:val="single" w:sz="4" w:space="0" w:color="000000"/>
            </w:tcBorders>
          </w:tcPr>
          <w:p>
            <w:pPr>
              <w:pStyle w:val="TableParagraph"/>
              <w:spacing w:before="7"/>
              <w:ind w:right="225"/>
              <w:rPr>
                <w:sz w:val="16"/>
              </w:rPr>
            </w:pPr>
            <w:r>
              <w:rPr>
                <w:spacing w:val="-2"/>
                <w:sz w:val="16"/>
              </w:rPr>
              <w:t>802.5</w:t>
            </w:r>
          </w:p>
        </w:tc>
        <w:tc>
          <w:tcPr>
            <w:tcW w:w="716" w:type="dxa"/>
            <w:tcBorders>
              <w:bottom w:val="single" w:sz="4" w:space="0" w:color="000000"/>
            </w:tcBorders>
          </w:tcPr>
          <w:p>
            <w:pPr>
              <w:pStyle w:val="TableParagraph"/>
              <w:spacing w:before="7"/>
              <w:ind w:right="187"/>
              <w:rPr>
                <w:sz w:val="16"/>
              </w:rPr>
            </w:pPr>
            <w:r>
              <w:rPr>
                <w:spacing w:val="-5"/>
                <w:sz w:val="16"/>
              </w:rPr>
              <w:t>3.2</w:t>
            </w:r>
          </w:p>
        </w:tc>
        <w:tc>
          <w:tcPr>
            <w:tcW w:w="1055" w:type="dxa"/>
            <w:tcBorders>
              <w:bottom w:val="single" w:sz="4" w:space="0" w:color="000000"/>
            </w:tcBorders>
          </w:tcPr>
          <w:p>
            <w:pPr>
              <w:pStyle w:val="TableParagraph"/>
              <w:spacing w:before="7"/>
              <w:ind w:right="109"/>
              <w:rPr>
                <w:sz w:val="16"/>
              </w:rPr>
            </w:pPr>
            <w:r>
              <w:rPr>
                <w:spacing w:val="-2"/>
                <w:sz w:val="16"/>
              </w:rPr>
              <w:t>26,240.5</w:t>
            </w:r>
          </w:p>
        </w:tc>
      </w:tr>
      <w:tr>
        <w:trPr>
          <w:trHeight w:val="225" w:hRule="atLeast"/>
        </w:trPr>
        <w:tc>
          <w:tcPr>
            <w:tcW w:w="2475" w:type="dxa"/>
            <w:tcBorders>
              <w:top w:val="single" w:sz="4" w:space="0" w:color="000000"/>
              <w:bottom w:val="single" w:sz="4" w:space="0" w:color="000000"/>
            </w:tcBorders>
          </w:tcPr>
          <w:p>
            <w:pPr>
              <w:pStyle w:val="TableParagraph"/>
              <w:spacing w:before="14"/>
              <w:ind w:right="104"/>
              <w:rPr>
                <w:i/>
                <w:sz w:val="16"/>
              </w:rPr>
            </w:pPr>
            <w:r>
              <w:rPr>
                <w:i/>
                <w:sz w:val="16"/>
              </w:rPr>
              <w:t>Subtotal</w:t>
            </w:r>
            <w:r>
              <w:rPr>
                <w:i/>
                <w:spacing w:val="-1"/>
                <w:sz w:val="16"/>
              </w:rPr>
              <w:t> </w:t>
            </w:r>
            <w:r>
              <w:rPr>
                <w:i/>
                <w:spacing w:val="-2"/>
                <w:sz w:val="16"/>
              </w:rPr>
              <w:t>staff</w:t>
            </w:r>
          </w:p>
        </w:tc>
        <w:tc>
          <w:tcPr>
            <w:tcW w:w="1216" w:type="dxa"/>
            <w:tcBorders>
              <w:top w:val="single" w:sz="4" w:space="0" w:color="000000"/>
              <w:bottom w:val="single" w:sz="4" w:space="0" w:color="000000"/>
            </w:tcBorders>
          </w:tcPr>
          <w:p>
            <w:pPr>
              <w:pStyle w:val="TableParagraph"/>
              <w:spacing w:before="14"/>
              <w:ind w:right="189"/>
              <w:rPr>
                <w:i/>
                <w:sz w:val="16"/>
              </w:rPr>
            </w:pPr>
            <w:r>
              <w:rPr>
                <w:i/>
                <w:spacing w:val="-2"/>
                <w:sz w:val="16"/>
              </w:rPr>
              <w:t>88,668.9</w:t>
            </w:r>
          </w:p>
        </w:tc>
        <w:tc>
          <w:tcPr>
            <w:tcW w:w="826" w:type="dxa"/>
            <w:tcBorders>
              <w:top w:val="single" w:sz="4" w:space="0" w:color="000000"/>
              <w:bottom w:val="single" w:sz="4" w:space="0" w:color="000000"/>
            </w:tcBorders>
          </w:tcPr>
          <w:p>
            <w:pPr>
              <w:pStyle w:val="TableParagraph"/>
              <w:spacing w:before="14"/>
              <w:ind w:right="109"/>
              <w:rPr>
                <w:i/>
                <w:sz w:val="16"/>
              </w:rPr>
            </w:pPr>
            <w:r>
              <w:rPr>
                <w:i/>
                <w:w w:val="98"/>
                <w:sz w:val="16"/>
              </w:rPr>
              <w:t>-</w:t>
            </w:r>
          </w:p>
        </w:tc>
        <w:tc>
          <w:tcPr>
            <w:tcW w:w="1128" w:type="dxa"/>
            <w:tcBorders>
              <w:top w:val="single" w:sz="4" w:space="0" w:color="000000"/>
              <w:bottom w:val="single" w:sz="4" w:space="0" w:color="000000"/>
            </w:tcBorders>
          </w:tcPr>
          <w:p>
            <w:pPr>
              <w:pStyle w:val="TableParagraph"/>
              <w:spacing w:before="14"/>
              <w:ind w:right="102"/>
              <w:rPr>
                <w:i/>
                <w:sz w:val="16"/>
              </w:rPr>
            </w:pPr>
            <w:r>
              <w:rPr>
                <w:i/>
                <w:spacing w:val="-2"/>
                <w:sz w:val="16"/>
              </w:rPr>
              <w:t>88,668.9</w:t>
            </w:r>
          </w:p>
        </w:tc>
        <w:tc>
          <w:tcPr>
            <w:tcW w:w="1079" w:type="dxa"/>
            <w:tcBorders>
              <w:top w:val="single" w:sz="4" w:space="0" w:color="000000"/>
              <w:bottom w:val="single" w:sz="4" w:space="0" w:color="000000"/>
            </w:tcBorders>
          </w:tcPr>
          <w:p>
            <w:pPr>
              <w:pStyle w:val="TableParagraph"/>
              <w:spacing w:before="14"/>
              <w:ind w:right="53"/>
              <w:rPr>
                <w:i/>
                <w:sz w:val="16"/>
              </w:rPr>
            </w:pPr>
            <w:r>
              <w:rPr>
                <w:i/>
                <w:spacing w:val="-2"/>
                <w:sz w:val="16"/>
              </w:rPr>
              <w:t>91,014.2</w:t>
            </w:r>
          </w:p>
        </w:tc>
        <w:tc>
          <w:tcPr>
            <w:tcW w:w="1157" w:type="dxa"/>
            <w:tcBorders>
              <w:top w:val="single" w:sz="4" w:space="0" w:color="000000"/>
              <w:bottom w:val="single" w:sz="4" w:space="0" w:color="000000"/>
            </w:tcBorders>
          </w:tcPr>
          <w:p>
            <w:pPr>
              <w:pStyle w:val="TableParagraph"/>
              <w:spacing w:before="14"/>
              <w:ind w:right="225"/>
              <w:rPr>
                <w:i/>
                <w:sz w:val="16"/>
              </w:rPr>
            </w:pPr>
            <w:r>
              <w:rPr>
                <w:i/>
                <w:spacing w:val="-2"/>
                <w:sz w:val="16"/>
              </w:rPr>
              <w:t>5,763.9</w:t>
            </w:r>
          </w:p>
        </w:tc>
        <w:tc>
          <w:tcPr>
            <w:tcW w:w="716" w:type="dxa"/>
            <w:tcBorders>
              <w:top w:val="single" w:sz="4" w:space="0" w:color="000000"/>
              <w:bottom w:val="single" w:sz="4" w:space="0" w:color="000000"/>
            </w:tcBorders>
          </w:tcPr>
          <w:p>
            <w:pPr>
              <w:pStyle w:val="TableParagraph"/>
              <w:spacing w:before="14"/>
              <w:ind w:right="187"/>
              <w:rPr>
                <w:i/>
                <w:sz w:val="16"/>
              </w:rPr>
            </w:pPr>
            <w:r>
              <w:rPr>
                <w:i/>
                <w:spacing w:val="-5"/>
                <w:sz w:val="16"/>
              </w:rPr>
              <w:t>6.3</w:t>
            </w:r>
          </w:p>
        </w:tc>
        <w:tc>
          <w:tcPr>
            <w:tcW w:w="1055" w:type="dxa"/>
            <w:tcBorders>
              <w:top w:val="single" w:sz="4" w:space="0" w:color="000000"/>
              <w:bottom w:val="single" w:sz="4" w:space="0" w:color="000000"/>
            </w:tcBorders>
          </w:tcPr>
          <w:p>
            <w:pPr>
              <w:pStyle w:val="TableParagraph"/>
              <w:spacing w:before="14"/>
              <w:ind w:right="109"/>
              <w:rPr>
                <w:i/>
                <w:sz w:val="16"/>
              </w:rPr>
            </w:pPr>
            <w:r>
              <w:rPr>
                <w:i/>
                <w:spacing w:val="-2"/>
                <w:sz w:val="16"/>
              </w:rPr>
              <w:t>96,778.1</w:t>
            </w:r>
          </w:p>
        </w:tc>
      </w:tr>
      <w:tr>
        <w:trPr>
          <w:trHeight w:val="231" w:hRule="atLeast"/>
        </w:trPr>
        <w:tc>
          <w:tcPr>
            <w:tcW w:w="2475" w:type="dxa"/>
            <w:tcBorders>
              <w:top w:val="single" w:sz="4" w:space="0" w:color="000000"/>
            </w:tcBorders>
          </w:tcPr>
          <w:p>
            <w:pPr>
              <w:pStyle w:val="TableParagraph"/>
              <w:spacing w:before="14"/>
              <w:ind w:left="117"/>
              <w:jc w:val="left"/>
              <w:rPr>
                <w:sz w:val="16"/>
              </w:rPr>
            </w:pPr>
            <w:r>
              <w:rPr>
                <w:sz w:val="16"/>
              </w:rPr>
              <w:t>General</w:t>
            </w:r>
            <w:r>
              <w:rPr>
                <w:spacing w:val="-4"/>
                <w:sz w:val="16"/>
              </w:rPr>
              <w:t> </w:t>
            </w:r>
            <w:r>
              <w:rPr>
                <w:sz w:val="16"/>
              </w:rPr>
              <w:t>temporary</w:t>
            </w:r>
            <w:r>
              <w:rPr>
                <w:spacing w:val="-1"/>
                <w:sz w:val="16"/>
              </w:rPr>
              <w:t> </w:t>
            </w:r>
            <w:r>
              <w:rPr>
                <w:spacing w:val="-2"/>
                <w:sz w:val="16"/>
              </w:rPr>
              <w:t>assistance</w:t>
            </w:r>
          </w:p>
        </w:tc>
        <w:tc>
          <w:tcPr>
            <w:tcW w:w="1216" w:type="dxa"/>
            <w:tcBorders>
              <w:top w:val="single" w:sz="4" w:space="0" w:color="000000"/>
            </w:tcBorders>
          </w:tcPr>
          <w:p>
            <w:pPr>
              <w:pStyle w:val="TableParagraph"/>
              <w:spacing w:before="14"/>
              <w:ind w:right="189"/>
              <w:rPr>
                <w:sz w:val="16"/>
              </w:rPr>
            </w:pPr>
            <w:r>
              <w:rPr>
                <w:spacing w:val="-2"/>
                <w:sz w:val="16"/>
              </w:rPr>
              <w:t>19,079.3</w:t>
            </w:r>
          </w:p>
        </w:tc>
        <w:tc>
          <w:tcPr>
            <w:tcW w:w="826" w:type="dxa"/>
            <w:tcBorders>
              <w:top w:val="single" w:sz="4" w:space="0" w:color="000000"/>
            </w:tcBorders>
          </w:tcPr>
          <w:p>
            <w:pPr>
              <w:pStyle w:val="TableParagraph"/>
              <w:spacing w:before="14"/>
              <w:ind w:right="107"/>
              <w:rPr>
                <w:sz w:val="16"/>
              </w:rPr>
            </w:pPr>
            <w:r>
              <w:rPr>
                <w:spacing w:val="-4"/>
                <w:sz w:val="16"/>
              </w:rPr>
              <w:t>42.3</w:t>
            </w:r>
          </w:p>
        </w:tc>
        <w:tc>
          <w:tcPr>
            <w:tcW w:w="1128" w:type="dxa"/>
            <w:tcBorders>
              <w:top w:val="single" w:sz="4" w:space="0" w:color="000000"/>
            </w:tcBorders>
          </w:tcPr>
          <w:p>
            <w:pPr>
              <w:pStyle w:val="TableParagraph"/>
              <w:spacing w:before="14"/>
              <w:ind w:right="102"/>
              <w:rPr>
                <w:sz w:val="16"/>
              </w:rPr>
            </w:pPr>
            <w:r>
              <w:rPr>
                <w:spacing w:val="-2"/>
                <w:sz w:val="16"/>
              </w:rPr>
              <w:t>19,121.5</w:t>
            </w:r>
          </w:p>
        </w:tc>
        <w:tc>
          <w:tcPr>
            <w:tcW w:w="1079" w:type="dxa"/>
            <w:tcBorders>
              <w:top w:val="single" w:sz="4" w:space="0" w:color="000000"/>
            </w:tcBorders>
          </w:tcPr>
          <w:p>
            <w:pPr>
              <w:pStyle w:val="TableParagraph"/>
              <w:spacing w:before="14"/>
              <w:ind w:right="53"/>
              <w:rPr>
                <w:sz w:val="16"/>
              </w:rPr>
            </w:pPr>
            <w:r>
              <w:rPr>
                <w:spacing w:val="-2"/>
                <w:sz w:val="16"/>
              </w:rPr>
              <w:t>21,806.1</w:t>
            </w:r>
          </w:p>
        </w:tc>
        <w:tc>
          <w:tcPr>
            <w:tcW w:w="1157" w:type="dxa"/>
            <w:tcBorders>
              <w:top w:val="single" w:sz="4" w:space="0" w:color="000000"/>
            </w:tcBorders>
          </w:tcPr>
          <w:p>
            <w:pPr>
              <w:pStyle w:val="TableParagraph"/>
              <w:spacing w:before="14"/>
              <w:ind w:right="225"/>
              <w:rPr>
                <w:sz w:val="16"/>
              </w:rPr>
            </w:pPr>
            <w:r>
              <w:rPr>
                <w:spacing w:val="-2"/>
                <w:sz w:val="16"/>
              </w:rPr>
              <w:t>10,959.9</w:t>
            </w:r>
          </w:p>
        </w:tc>
        <w:tc>
          <w:tcPr>
            <w:tcW w:w="716" w:type="dxa"/>
            <w:tcBorders>
              <w:top w:val="single" w:sz="4" w:space="0" w:color="000000"/>
            </w:tcBorders>
          </w:tcPr>
          <w:p>
            <w:pPr>
              <w:pStyle w:val="TableParagraph"/>
              <w:spacing w:before="14"/>
              <w:ind w:right="182"/>
              <w:rPr>
                <w:sz w:val="16"/>
              </w:rPr>
            </w:pPr>
            <w:r>
              <w:rPr>
                <w:spacing w:val="-4"/>
                <w:sz w:val="16"/>
              </w:rPr>
              <w:t>50.3</w:t>
            </w:r>
          </w:p>
        </w:tc>
        <w:tc>
          <w:tcPr>
            <w:tcW w:w="1055" w:type="dxa"/>
            <w:tcBorders>
              <w:top w:val="single" w:sz="4" w:space="0" w:color="000000"/>
            </w:tcBorders>
          </w:tcPr>
          <w:p>
            <w:pPr>
              <w:pStyle w:val="TableParagraph"/>
              <w:spacing w:before="14"/>
              <w:ind w:right="109"/>
              <w:rPr>
                <w:sz w:val="16"/>
              </w:rPr>
            </w:pPr>
            <w:r>
              <w:rPr>
                <w:spacing w:val="-2"/>
                <w:sz w:val="16"/>
              </w:rPr>
              <w:t>32,766.0</w:t>
            </w:r>
          </w:p>
        </w:tc>
      </w:tr>
      <w:tr>
        <w:trPr>
          <w:trHeight w:val="227" w:hRule="atLeast"/>
        </w:trPr>
        <w:tc>
          <w:tcPr>
            <w:tcW w:w="2475" w:type="dxa"/>
          </w:tcPr>
          <w:p>
            <w:pPr>
              <w:pStyle w:val="TableParagraph"/>
              <w:spacing w:before="7"/>
              <w:ind w:left="117"/>
              <w:jc w:val="left"/>
              <w:rPr>
                <w:sz w:val="16"/>
              </w:rPr>
            </w:pPr>
            <w:r>
              <w:rPr>
                <w:sz w:val="16"/>
              </w:rPr>
              <w:t>Temporary</w:t>
            </w:r>
            <w:r>
              <w:rPr>
                <w:spacing w:val="-3"/>
                <w:sz w:val="16"/>
              </w:rPr>
              <w:t> </w:t>
            </w:r>
            <w:r>
              <w:rPr>
                <w:sz w:val="16"/>
              </w:rPr>
              <w:t>assistance</w:t>
            </w:r>
            <w:r>
              <w:rPr>
                <w:spacing w:val="-4"/>
                <w:sz w:val="16"/>
              </w:rPr>
              <w:t> </w:t>
            </w:r>
            <w:r>
              <w:rPr>
                <w:sz w:val="16"/>
              </w:rPr>
              <w:t>for</w:t>
            </w:r>
            <w:r>
              <w:rPr>
                <w:spacing w:val="-5"/>
                <w:sz w:val="16"/>
              </w:rPr>
              <w:t> </w:t>
            </w:r>
            <w:r>
              <w:rPr>
                <w:spacing w:val="-2"/>
                <w:sz w:val="16"/>
              </w:rPr>
              <w:t>meetings</w:t>
            </w:r>
          </w:p>
        </w:tc>
        <w:tc>
          <w:tcPr>
            <w:tcW w:w="1216" w:type="dxa"/>
          </w:tcPr>
          <w:p>
            <w:pPr>
              <w:pStyle w:val="TableParagraph"/>
              <w:spacing w:before="7"/>
              <w:ind w:right="189"/>
              <w:rPr>
                <w:sz w:val="16"/>
              </w:rPr>
            </w:pPr>
            <w:r>
              <w:rPr>
                <w:spacing w:val="-2"/>
                <w:sz w:val="16"/>
              </w:rPr>
              <w:t>1,072.0</w:t>
            </w:r>
          </w:p>
        </w:tc>
        <w:tc>
          <w:tcPr>
            <w:tcW w:w="826" w:type="dxa"/>
          </w:tcPr>
          <w:p>
            <w:pPr>
              <w:pStyle w:val="TableParagraph"/>
              <w:spacing w:before="7"/>
              <w:ind w:right="109"/>
              <w:rPr>
                <w:sz w:val="16"/>
              </w:rPr>
            </w:pPr>
            <w:r>
              <w:rPr>
                <w:w w:val="98"/>
                <w:sz w:val="16"/>
              </w:rPr>
              <w:t>-</w:t>
            </w:r>
          </w:p>
        </w:tc>
        <w:tc>
          <w:tcPr>
            <w:tcW w:w="1128" w:type="dxa"/>
          </w:tcPr>
          <w:p>
            <w:pPr>
              <w:pStyle w:val="TableParagraph"/>
              <w:spacing w:before="7"/>
              <w:ind w:right="102"/>
              <w:rPr>
                <w:sz w:val="16"/>
              </w:rPr>
            </w:pPr>
            <w:r>
              <w:rPr>
                <w:spacing w:val="-2"/>
                <w:sz w:val="16"/>
              </w:rPr>
              <w:t>1,072.0</w:t>
            </w:r>
          </w:p>
        </w:tc>
        <w:tc>
          <w:tcPr>
            <w:tcW w:w="1079" w:type="dxa"/>
          </w:tcPr>
          <w:p>
            <w:pPr>
              <w:pStyle w:val="TableParagraph"/>
              <w:spacing w:before="7"/>
              <w:ind w:right="53"/>
              <w:rPr>
                <w:sz w:val="16"/>
              </w:rPr>
            </w:pPr>
            <w:r>
              <w:rPr>
                <w:spacing w:val="-2"/>
                <w:sz w:val="16"/>
              </w:rPr>
              <w:t>894.9</w:t>
            </w:r>
          </w:p>
        </w:tc>
        <w:tc>
          <w:tcPr>
            <w:tcW w:w="1157" w:type="dxa"/>
          </w:tcPr>
          <w:p>
            <w:pPr>
              <w:pStyle w:val="TableParagraph"/>
              <w:spacing w:before="7"/>
              <w:ind w:right="225"/>
              <w:rPr>
                <w:sz w:val="16"/>
              </w:rPr>
            </w:pPr>
            <w:r>
              <w:rPr>
                <w:spacing w:val="-2"/>
                <w:sz w:val="16"/>
              </w:rPr>
              <w:t>749.1</w:t>
            </w:r>
          </w:p>
        </w:tc>
        <w:tc>
          <w:tcPr>
            <w:tcW w:w="716" w:type="dxa"/>
          </w:tcPr>
          <w:p>
            <w:pPr>
              <w:pStyle w:val="TableParagraph"/>
              <w:spacing w:before="7"/>
              <w:ind w:right="182"/>
              <w:rPr>
                <w:sz w:val="16"/>
              </w:rPr>
            </w:pPr>
            <w:r>
              <w:rPr>
                <w:spacing w:val="-4"/>
                <w:sz w:val="16"/>
              </w:rPr>
              <w:t>83.7</w:t>
            </w:r>
          </w:p>
        </w:tc>
        <w:tc>
          <w:tcPr>
            <w:tcW w:w="1055" w:type="dxa"/>
          </w:tcPr>
          <w:p>
            <w:pPr>
              <w:pStyle w:val="TableParagraph"/>
              <w:spacing w:before="7"/>
              <w:ind w:right="109"/>
              <w:rPr>
                <w:sz w:val="16"/>
              </w:rPr>
            </w:pPr>
            <w:r>
              <w:rPr>
                <w:spacing w:val="-2"/>
                <w:sz w:val="16"/>
              </w:rPr>
              <w:t>1,644.0</w:t>
            </w:r>
          </w:p>
        </w:tc>
      </w:tr>
      <w:tr>
        <w:trPr>
          <w:trHeight w:val="221" w:hRule="atLeast"/>
        </w:trPr>
        <w:tc>
          <w:tcPr>
            <w:tcW w:w="2475" w:type="dxa"/>
            <w:tcBorders>
              <w:bottom w:val="single" w:sz="4" w:space="0" w:color="000000"/>
            </w:tcBorders>
          </w:tcPr>
          <w:p>
            <w:pPr>
              <w:pStyle w:val="TableParagraph"/>
              <w:spacing w:before="10"/>
              <w:ind w:left="117"/>
              <w:jc w:val="left"/>
              <w:rPr>
                <w:sz w:val="16"/>
              </w:rPr>
            </w:pPr>
            <w:r>
              <w:rPr>
                <w:spacing w:val="-2"/>
                <w:sz w:val="16"/>
              </w:rPr>
              <w:t>Overtime</w:t>
            </w:r>
          </w:p>
        </w:tc>
        <w:tc>
          <w:tcPr>
            <w:tcW w:w="1216" w:type="dxa"/>
            <w:tcBorders>
              <w:bottom w:val="single" w:sz="4" w:space="0" w:color="000000"/>
            </w:tcBorders>
          </w:tcPr>
          <w:p>
            <w:pPr>
              <w:pStyle w:val="TableParagraph"/>
              <w:spacing w:before="10"/>
              <w:ind w:right="188"/>
              <w:rPr>
                <w:sz w:val="16"/>
              </w:rPr>
            </w:pPr>
            <w:r>
              <w:rPr>
                <w:spacing w:val="-2"/>
                <w:sz w:val="16"/>
              </w:rPr>
              <w:t>218.0</w:t>
            </w:r>
          </w:p>
        </w:tc>
        <w:tc>
          <w:tcPr>
            <w:tcW w:w="826" w:type="dxa"/>
            <w:tcBorders>
              <w:bottom w:val="single" w:sz="4" w:space="0" w:color="000000"/>
            </w:tcBorders>
          </w:tcPr>
          <w:p>
            <w:pPr>
              <w:pStyle w:val="TableParagraph"/>
              <w:spacing w:before="10"/>
              <w:ind w:right="109"/>
              <w:rPr>
                <w:sz w:val="16"/>
              </w:rPr>
            </w:pPr>
            <w:r>
              <w:rPr>
                <w:w w:val="98"/>
                <w:sz w:val="16"/>
              </w:rPr>
              <w:t>-</w:t>
            </w:r>
          </w:p>
        </w:tc>
        <w:tc>
          <w:tcPr>
            <w:tcW w:w="1128" w:type="dxa"/>
            <w:tcBorders>
              <w:bottom w:val="single" w:sz="4" w:space="0" w:color="000000"/>
            </w:tcBorders>
          </w:tcPr>
          <w:p>
            <w:pPr>
              <w:pStyle w:val="TableParagraph"/>
              <w:spacing w:before="10"/>
              <w:ind w:right="102"/>
              <w:rPr>
                <w:sz w:val="16"/>
              </w:rPr>
            </w:pPr>
            <w:r>
              <w:rPr>
                <w:spacing w:val="-2"/>
                <w:sz w:val="16"/>
              </w:rPr>
              <w:t>218.0</w:t>
            </w:r>
          </w:p>
        </w:tc>
        <w:tc>
          <w:tcPr>
            <w:tcW w:w="1079" w:type="dxa"/>
            <w:tcBorders>
              <w:bottom w:val="single" w:sz="4" w:space="0" w:color="000000"/>
            </w:tcBorders>
          </w:tcPr>
          <w:p>
            <w:pPr>
              <w:pStyle w:val="TableParagraph"/>
              <w:spacing w:before="10"/>
              <w:ind w:right="53"/>
              <w:rPr>
                <w:sz w:val="16"/>
              </w:rPr>
            </w:pPr>
            <w:r>
              <w:rPr>
                <w:spacing w:val="-2"/>
                <w:sz w:val="16"/>
              </w:rPr>
              <w:t>343.7</w:t>
            </w:r>
          </w:p>
        </w:tc>
        <w:tc>
          <w:tcPr>
            <w:tcW w:w="1157" w:type="dxa"/>
            <w:tcBorders>
              <w:bottom w:val="single" w:sz="4" w:space="0" w:color="000000"/>
            </w:tcBorders>
          </w:tcPr>
          <w:p>
            <w:pPr>
              <w:pStyle w:val="TableParagraph"/>
              <w:spacing w:before="10"/>
              <w:ind w:right="225"/>
              <w:rPr>
                <w:sz w:val="16"/>
              </w:rPr>
            </w:pPr>
            <w:r>
              <w:rPr>
                <w:spacing w:val="-4"/>
                <w:sz w:val="16"/>
              </w:rPr>
              <w:t>11.0</w:t>
            </w:r>
          </w:p>
        </w:tc>
        <w:tc>
          <w:tcPr>
            <w:tcW w:w="716" w:type="dxa"/>
            <w:tcBorders>
              <w:bottom w:val="single" w:sz="4" w:space="0" w:color="000000"/>
            </w:tcBorders>
          </w:tcPr>
          <w:p>
            <w:pPr>
              <w:pStyle w:val="TableParagraph"/>
              <w:spacing w:before="10"/>
              <w:ind w:right="187"/>
              <w:rPr>
                <w:sz w:val="16"/>
              </w:rPr>
            </w:pPr>
            <w:r>
              <w:rPr>
                <w:spacing w:val="-5"/>
                <w:sz w:val="16"/>
              </w:rPr>
              <w:t>3.2</w:t>
            </w:r>
          </w:p>
        </w:tc>
        <w:tc>
          <w:tcPr>
            <w:tcW w:w="1055" w:type="dxa"/>
            <w:tcBorders>
              <w:bottom w:val="single" w:sz="4" w:space="0" w:color="000000"/>
            </w:tcBorders>
          </w:tcPr>
          <w:p>
            <w:pPr>
              <w:pStyle w:val="TableParagraph"/>
              <w:spacing w:before="10"/>
              <w:ind w:right="109"/>
              <w:rPr>
                <w:sz w:val="16"/>
              </w:rPr>
            </w:pPr>
            <w:r>
              <w:rPr>
                <w:spacing w:val="-2"/>
                <w:sz w:val="16"/>
              </w:rPr>
              <w:t>354.7</w:t>
            </w:r>
          </w:p>
        </w:tc>
      </w:tr>
      <w:tr>
        <w:trPr>
          <w:trHeight w:val="230" w:hRule="atLeast"/>
        </w:trPr>
        <w:tc>
          <w:tcPr>
            <w:tcW w:w="2475" w:type="dxa"/>
            <w:tcBorders>
              <w:top w:val="single" w:sz="4" w:space="0" w:color="000000"/>
              <w:bottom w:val="single" w:sz="4" w:space="0" w:color="000000"/>
            </w:tcBorders>
          </w:tcPr>
          <w:p>
            <w:pPr>
              <w:pStyle w:val="TableParagraph"/>
              <w:spacing w:before="14"/>
              <w:ind w:right="104"/>
              <w:rPr>
                <w:i/>
                <w:sz w:val="16"/>
              </w:rPr>
            </w:pPr>
            <w:r>
              <w:rPr>
                <w:i/>
                <w:sz w:val="16"/>
              </w:rPr>
              <w:t>Subtotal</w:t>
            </w:r>
            <w:r>
              <w:rPr>
                <w:i/>
                <w:spacing w:val="-2"/>
                <w:sz w:val="16"/>
              </w:rPr>
              <w:t> </w:t>
            </w:r>
            <w:r>
              <w:rPr>
                <w:i/>
                <w:sz w:val="16"/>
              </w:rPr>
              <w:t>other</w:t>
            </w:r>
            <w:r>
              <w:rPr>
                <w:i/>
                <w:spacing w:val="-1"/>
                <w:sz w:val="16"/>
              </w:rPr>
              <w:t> </w:t>
            </w:r>
            <w:r>
              <w:rPr>
                <w:i/>
                <w:spacing w:val="-2"/>
                <w:sz w:val="16"/>
              </w:rPr>
              <w:t>staff</w:t>
            </w:r>
          </w:p>
        </w:tc>
        <w:tc>
          <w:tcPr>
            <w:tcW w:w="1216" w:type="dxa"/>
            <w:tcBorders>
              <w:top w:val="single" w:sz="4" w:space="0" w:color="000000"/>
              <w:bottom w:val="single" w:sz="4" w:space="0" w:color="000000"/>
            </w:tcBorders>
          </w:tcPr>
          <w:p>
            <w:pPr>
              <w:pStyle w:val="TableParagraph"/>
              <w:spacing w:before="14"/>
              <w:ind w:right="189"/>
              <w:rPr>
                <w:i/>
                <w:sz w:val="16"/>
              </w:rPr>
            </w:pPr>
            <w:r>
              <w:rPr>
                <w:i/>
                <w:spacing w:val="-2"/>
                <w:sz w:val="16"/>
              </w:rPr>
              <w:t>20,369.2</w:t>
            </w:r>
          </w:p>
        </w:tc>
        <w:tc>
          <w:tcPr>
            <w:tcW w:w="826" w:type="dxa"/>
            <w:tcBorders>
              <w:top w:val="single" w:sz="4" w:space="0" w:color="000000"/>
              <w:bottom w:val="single" w:sz="4" w:space="0" w:color="000000"/>
            </w:tcBorders>
          </w:tcPr>
          <w:p>
            <w:pPr>
              <w:pStyle w:val="TableParagraph"/>
              <w:spacing w:before="14"/>
              <w:ind w:right="107"/>
              <w:rPr>
                <w:i/>
                <w:sz w:val="16"/>
              </w:rPr>
            </w:pPr>
            <w:r>
              <w:rPr>
                <w:i/>
                <w:spacing w:val="-4"/>
                <w:sz w:val="16"/>
              </w:rPr>
              <w:t>42.3</w:t>
            </w:r>
          </w:p>
        </w:tc>
        <w:tc>
          <w:tcPr>
            <w:tcW w:w="1128" w:type="dxa"/>
            <w:tcBorders>
              <w:top w:val="single" w:sz="4" w:space="0" w:color="000000"/>
              <w:bottom w:val="single" w:sz="4" w:space="0" w:color="000000"/>
            </w:tcBorders>
          </w:tcPr>
          <w:p>
            <w:pPr>
              <w:pStyle w:val="TableParagraph"/>
              <w:spacing w:before="14"/>
              <w:ind w:right="102"/>
              <w:rPr>
                <w:i/>
                <w:sz w:val="16"/>
              </w:rPr>
            </w:pPr>
            <w:r>
              <w:rPr>
                <w:i/>
                <w:spacing w:val="-2"/>
                <w:sz w:val="16"/>
              </w:rPr>
              <w:t>20,411.5</w:t>
            </w:r>
          </w:p>
        </w:tc>
        <w:tc>
          <w:tcPr>
            <w:tcW w:w="1079" w:type="dxa"/>
            <w:tcBorders>
              <w:top w:val="single" w:sz="4" w:space="0" w:color="000000"/>
              <w:bottom w:val="single" w:sz="4" w:space="0" w:color="000000"/>
            </w:tcBorders>
          </w:tcPr>
          <w:p>
            <w:pPr>
              <w:pStyle w:val="TableParagraph"/>
              <w:spacing w:before="14"/>
              <w:ind w:right="53"/>
              <w:rPr>
                <w:i/>
                <w:sz w:val="16"/>
              </w:rPr>
            </w:pPr>
            <w:r>
              <w:rPr>
                <w:i/>
                <w:spacing w:val="-2"/>
                <w:sz w:val="16"/>
              </w:rPr>
              <w:t>23,044.7</w:t>
            </w:r>
          </w:p>
        </w:tc>
        <w:tc>
          <w:tcPr>
            <w:tcW w:w="1157" w:type="dxa"/>
            <w:tcBorders>
              <w:top w:val="single" w:sz="4" w:space="0" w:color="000000"/>
              <w:bottom w:val="single" w:sz="4" w:space="0" w:color="000000"/>
            </w:tcBorders>
          </w:tcPr>
          <w:p>
            <w:pPr>
              <w:pStyle w:val="TableParagraph"/>
              <w:spacing w:before="14"/>
              <w:ind w:right="225"/>
              <w:rPr>
                <w:i/>
                <w:sz w:val="16"/>
              </w:rPr>
            </w:pPr>
            <w:r>
              <w:rPr>
                <w:i/>
                <w:spacing w:val="-2"/>
                <w:sz w:val="16"/>
              </w:rPr>
              <w:t>11,720.0</w:t>
            </w:r>
          </w:p>
        </w:tc>
        <w:tc>
          <w:tcPr>
            <w:tcW w:w="716" w:type="dxa"/>
            <w:tcBorders>
              <w:top w:val="single" w:sz="4" w:space="0" w:color="000000"/>
              <w:bottom w:val="single" w:sz="4" w:space="0" w:color="000000"/>
            </w:tcBorders>
          </w:tcPr>
          <w:p>
            <w:pPr>
              <w:pStyle w:val="TableParagraph"/>
              <w:spacing w:before="14"/>
              <w:ind w:right="182"/>
              <w:rPr>
                <w:i/>
                <w:sz w:val="16"/>
              </w:rPr>
            </w:pPr>
            <w:r>
              <w:rPr>
                <w:i/>
                <w:spacing w:val="-4"/>
                <w:sz w:val="16"/>
              </w:rPr>
              <w:t>50.9</w:t>
            </w:r>
          </w:p>
        </w:tc>
        <w:tc>
          <w:tcPr>
            <w:tcW w:w="1055" w:type="dxa"/>
            <w:tcBorders>
              <w:top w:val="single" w:sz="4" w:space="0" w:color="000000"/>
              <w:bottom w:val="single" w:sz="4" w:space="0" w:color="000000"/>
            </w:tcBorders>
          </w:tcPr>
          <w:p>
            <w:pPr>
              <w:pStyle w:val="TableParagraph"/>
              <w:spacing w:before="14"/>
              <w:ind w:right="109"/>
              <w:rPr>
                <w:i/>
                <w:sz w:val="16"/>
              </w:rPr>
            </w:pPr>
            <w:r>
              <w:rPr>
                <w:i/>
                <w:spacing w:val="-2"/>
                <w:sz w:val="16"/>
              </w:rPr>
              <w:t>34,764.7</w:t>
            </w:r>
          </w:p>
        </w:tc>
      </w:tr>
      <w:tr>
        <w:trPr>
          <w:trHeight w:val="229" w:hRule="atLeast"/>
        </w:trPr>
        <w:tc>
          <w:tcPr>
            <w:tcW w:w="2475" w:type="dxa"/>
            <w:tcBorders>
              <w:top w:val="single" w:sz="4" w:space="0" w:color="000000"/>
            </w:tcBorders>
          </w:tcPr>
          <w:p>
            <w:pPr>
              <w:pStyle w:val="TableParagraph"/>
              <w:spacing w:before="9"/>
              <w:ind w:left="117"/>
              <w:jc w:val="left"/>
              <w:rPr>
                <w:sz w:val="16"/>
              </w:rPr>
            </w:pPr>
            <w:r>
              <w:rPr>
                <w:spacing w:val="-2"/>
                <w:sz w:val="16"/>
              </w:rPr>
              <w:t>Travel</w:t>
            </w:r>
          </w:p>
        </w:tc>
        <w:tc>
          <w:tcPr>
            <w:tcW w:w="1216" w:type="dxa"/>
            <w:tcBorders>
              <w:top w:val="single" w:sz="4" w:space="0" w:color="000000"/>
            </w:tcBorders>
          </w:tcPr>
          <w:p>
            <w:pPr>
              <w:pStyle w:val="TableParagraph"/>
              <w:spacing w:before="9"/>
              <w:ind w:right="189"/>
              <w:rPr>
                <w:sz w:val="16"/>
              </w:rPr>
            </w:pPr>
            <w:r>
              <w:rPr>
                <w:spacing w:val="-2"/>
                <w:sz w:val="16"/>
              </w:rPr>
              <w:t>2,064.9</w:t>
            </w:r>
          </w:p>
        </w:tc>
        <w:tc>
          <w:tcPr>
            <w:tcW w:w="826" w:type="dxa"/>
            <w:tcBorders>
              <w:top w:val="single" w:sz="4" w:space="0" w:color="000000"/>
            </w:tcBorders>
          </w:tcPr>
          <w:p>
            <w:pPr>
              <w:pStyle w:val="TableParagraph"/>
              <w:spacing w:before="9"/>
              <w:ind w:right="107"/>
              <w:rPr>
                <w:sz w:val="16"/>
              </w:rPr>
            </w:pPr>
            <w:r>
              <w:rPr>
                <w:spacing w:val="-2"/>
                <w:sz w:val="16"/>
              </w:rPr>
              <w:t>303.4</w:t>
            </w:r>
          </w:p>
        </w:tc>
        <w:tc>
          <w:tcPr>
            <w:tcW w:w="1128" w:type="dxa"/>
            <w:tcBorders>
              <w:top w:val="single" w:sz="4" w:space="0" w:color="000000"/>
            </w:tcBorders>
          </w:tcPr>
          <w:p>
            <w:pPr>
              <w:pStyle w:val="TableParagraph"/>
              <w:spacing w:before="9"/>
              <w:ind w:right="102"/>
              <w:rPr>
                <w:sz w:val="16"/>
              </w:rPr>
            </w:pPr>
            <w:r>
              <w:rPr>
                <w:spacing w:val="-2"/>
                <w:sz w:val="16"/>
              </w:rPr>
              <w:t>2,368.3</w:t>
            </w:r>
          </w:p>
        </w:tc>
        <w:tc>
          <w:tcPr>
            <w:tcW w:w="1079" w:type="dxa"/>
            <w:tcBorders>
              <w:top w:val="single" w:sz="4" w:space="0" w:color="000000"/>
            </w:tcBorders>
          </w:tcPr>
          <w:p>
            <w:pPr>
              <w:pStyle w:val="TableParagraph"/>
              <w:spacing w:before="9"/>
              <w:ind w:right="53"/>
              <w:rPr>
                <w:sz w:val="16"/>
              </w:rPr>
            </w:pPr>
            <w:r>
              <w:rPr>
                <w:spacing w:val="-2"/>
                <w:sz w:val="16"/>
              </w:rPr>
              <w:t>4,119.4</w:t>
            </w:r>
          </w:p>
        </w:tc>
        <w:tc>
          <w:tcPr>
            <w:tcW w:w="1157" w:type="dxa"/>
            <w:tcBorders>
              <w:top w:val="single" w:sz="4" w:space="0" w:color="000000"/>
            </w:tcBorders>
          </w:tcPr>
          <w:p>
            <w:pPr>
              <w:pStyle w:val="TableParagraph"/>
              <w:spacing w:before="9"/>
              <w:ind w:right="225"/>
              <w:rPr>
                <w:sz w:val="16"/>
              </w:rPr>
            </w:pPr>
            <w:r>
              <w:rPr>
                <w:spacing w:val="-2"/>
                <w:sz w:val="16"/>
              </w:rPr>
              <w:t>1,756.3</w:t>
            </w:r>
          </w:p>
        </w:tc>
        <w:tc>
          <w:tcPr>
            <w:tcW w:w="716" w:type="dxa"/>
            <w:tcBorders>
              <w:top w:val="single" w:sz="4" w:space="0" w:color="000000"/>
            </w:tcBorders>
          </w:tcPr>
          <w:p>
            <w:pPr>
              <w:pStyle w:val="TableParagraph"/>
              <w:spacing w:before="9"/>
              <w:ind w:right="182"/>
              <w:rPr>
                <w:sz w:val="16"/>
              </w:rPr>
            </w:pPr>
            <w:r>
              <w:rPr>
                <w:spacing w:val="-4"/>
                <w:sz w:val="16"/>
              </w:rPr>
              <w:t>42.6</w:t>
            </w:r>
          </w:p>
        </w:tc>
        <w:tc>
          <w:tcPr>
            <w:tcW w:w="1055" w:type="dxa"/>
            <w:tcBorders>
              <w:top w:val="single" w:sz="4" w:space="0" w:color="000000"/>
            </w:tcBorders>
          </w:tcPr>
          <w:p>
            <w:pPr>
              <w:pStyle w:val="TableParagraph"/>
              <w:spacing w:before="9"/>
              <w:ind w:right="109"/>
              <w:rPr>
                <w:sz w:val="16"/>
              </w:rPr>
            </w:pPr>
            <w:r>
              <w:rPr>
                <w:spacing w:val="-2"/>
                <w:sz w:val="16"/>
              </w:rPr>
              <w:t>5,875.7</w:t>
            </w:r>
          </w:p>
        </w:tc>
      </w:tr>
      <w:tr>
        <w:trPr>
          <w:trHeight w:val="228" w:hRule="atLeast"/>
        </w:trPr>
        <w:tc>
          <w:tcPr>
            <w:tcW w:w="2475" w:type="dxa"/>
          </w:tcPr>
          <w:p>
            <w:pPr>
              <w:pStyle w:val="TableParagraph"/>
              <w:spacing w:before="10"/>
              <w:ind w:left="117"/>
              <w:jc w:val="left"/>
              <w:rPr>
                <w:sz w:val="16"/>
              </w:rPr>
            </w:pPr>
            <w:r>
              <w:rPr>
                <w:spacing w:val="-2"/>
                <w:sz w:val="16"/>
              </w:rPr>
              <w:t>Hospitality</w:t>
            </w:r>
          </w:p>
        </w:tc>
        <w:tc>
          <w:tcPr>
            <w:tcW w:w="1216" w:type="dxa"/>
          </w:tcPr>
          <w:p>
            <w:pPr>
              <w:pStyle w:val="TableParagraph"/>
              <w:spacing w:before="10"/>
              <w:ind w:right="193"/>
              <w:rPr>
                <w:sz w:val="16"/>
              </w:rPr>
            </w:pPr>
            <w:r>
              <w:rPr>
                <w:spacing w:val="-5"/>
                <w:sz w:val="16"/>
              </w:rPr>
              <w:t>7.6</w:t>
            </w:r>
          </w:p>
        </w:tc>
        <w:tc>
          <w:tcPr>
            <w:tcW w:w="826" w:type="dxa"/>
          </w:tcPr>
          <w:p>
            <w:pPr>
              <w:pStyle w:val="TableParagraph"/>
              <w:spacing w:before="10"/>
              <w:ind w:right="109"/>
              <w:rPr>
                <w:sz w:val="16"/>
              </w:rPr>
            </w:pPr>
            <w:r>
              <w:rPr>
                <w:w w:val="98"/>
                <w:sz w:val="16"/>
              </w:rPr>
              <w:t>-</w:t>
            </w:r>
          </w:p>
        </w:tc>
        <w:tc>
          <w:tcPr>
            <w:tcW w:w="1128" w:type="dxa"/>
          </w:tcPr>
          <w:p>
            <w:pPr>
              <w:pStyle w:val="TableParagraph"/>
              <w:spacing w:before="10"/>
              <w:ind w:right="106"/>
              <w:rPr>
                <w:sz w:val="16"/>
              </w:rPr>
            </w:pPr>
            <w:r>
              <w:rPr>
                <w:spacing w:val="-5"/>
                <w:sz w:val="16"/>
              </w:rPr>
              <w:t>7.6</w:t>
            </w:r>
          </w:p>
        </w:tc>
        <w:tc>
          <w:tcPr>
            <w:tcW w:w="1079" w:type="dxa"/>
          </w:tcPr>
          <w:p>
            <w:pPr>
              <w:pStyle w:val="TableParagraph"/>
              <w:spacing w:before="10"/>
              <w:ind w:right="52"/>
              <w:rPr>
                <w:sz w:val="16"/>
              </w:rPr>
            </w:pPr>
            <w:r>
              <w:rPr>
                <w:spacing w:val="-4"/>
                <w:sz w:val="16"/>
              </w:rPr>
              <w:t>28.0</w:t>
            </w:r>
          </w:p>
        </w:tc>
        <w:tc>
          <w:tcPr>
            <w:tcW w:w="1157" w:type="dxa"/>
          </w:tcPr>
          <w:p>
            <w:pPr>
              <w:pStyle w:val="TableParagraph"/>
              <w:spacing w:before="10"/>
              <w:ind w:right="225"/>
              <w:rPr>
                <w:sz w:val="16"/>
              </w:rPr>
            </w:pPr>
            <w:r>
              <w:rPr>
                <w:spacing w:val="-4"/>
                <w:sz w:val="16"/>
              </w:rPr>
              <w:t>10.0</w:t>
            </w:r>
          </w:p>
        </w:tc>
        <w:tc>
          <w:tcPr>
            <w:tcW w:w="716" w:type="dxa"/>
          </w:tcPr>
          <w:p>
            <w:pPr>
              <w:pStyle w:val="TableParagraph"/>
              <w:spacing w:before="10"/>
              <w:ind w:right="182"/>
              <w:rPr>
                <w:sz w:val="16"/>
              </w:rPr>
            </w:pPr>
            <w:r>
              <w:rPr>
                <w:spacing w:val="-4"/>
                <w:sz w:val="16"/>
              </w:rPr>
              <w:t>35.7</w:t>
            </w:r>
          </w:p>
        </w:tc>
        <w:tc>
          <w:tcPr>
            <w:tcW w:w="1055" w:type="dxa"/>
          </w:tcPr>
          <w:p>
            <w:pPr>
              <w:pStyle w:val="TableParagraph"/>
              <w:spacing w:before="10"/>
              <w:ind w:right="108"/>
              <w:rPr>
                <w:sz w:val="16"/>
              </w:rPr>
            </w:pPr>
            <w:r>
              <w:rPr>
                <w:spacing w:val="-4"/>
                <w:sz w:val="16"/>
              </w:rPr>
              <w:t>38.0</w:t>
            </w:r>
          </w:p>
        </w:tc>
      </w:tr>
      <w:tr>
        <w:trPr>
          <w:trHeight w:val="225" w:hRule="atLeast"/>
        </w:trPr>
        <w:tc>
          <w:tcPr>
            <w:tcW w:w="2475" w:type="dxa"/>
          </w:tcPr>
          <w:p>
            <w:pPr>
              <w:pStyle w:val="TableParagraph"/>
              <w:spacing w:before="7"/>
              <w:ind w:left="117"/>
              <w:jc w:val="left"/>
              <w:rPr>
                <w:sz w:val="16"/>
              </w:rPr>
            </w:pPr>
            <w:r>
              <w:rPr>
                <w:w w:val="95"/>
                <w:sz w:val="16"/>
              </w:rPr>
              <w:t>Contractual</w:t>
            </w:r>
            <w:r>
              <w:rPr>
                <w:spacing w:val="33"/>
                <w:sz w:val="16"/>
              </w:rPr>
              <w:t> </w:t>
            </w:r>
            <w:r>
              <w:rPr>
                <w:spacing w:val="-2"/>
                <w:sz w:val="16"/>
              </w:rPr>
              <w:t>services</w:t>
            </w:r>
          </w:p>
        </w:tc>
        <w:tc>
          <w:tcPr>
            <w:tcW w:w="1216" w:type="dxa"/>
          </w:tcPr>
          <w:p>
            <w:pPr>
              <w:pStyle w:val="TableParagraph"/>
              <w:spacing w:before="7"/>
              <w:ind w:right="189"/>
              <w:rPr>
                <w:sz w:val="16"/>
              </w:rPr>
            </w:pPr>
            <w:r>
              <w:rPr>
                <w:spacing w:val="-2"/>
                <w:sz w:val="16"/>
              </w:rPr>
              <w:t>3,887.8</w:t>
            </w:r>
          </w:p>
        </w:tc>
        <w:tc>
          <w:tcPr>
            <w:tcW w:w="826" w:type="dxa"/>
          </w:tcPr>
          <w:p>
            <w:pPr>
              <w:pStyle w:val="TableParagraph"/>
              <w:spacing w:before="7"/>
              <w:ind w:right="107"/>
              <w:rPr>
                <w:sz w:val="16"/>
              </w:rPr>
            </w:pPr>
            <w:r>
              <w:rPr>
                <w:spacing w:val="-2"/>
                <w:sz w:val="16"/>
              </w:rPr>
              <w:t>294.3</w:t>
            </w:r>
          </w:p>
        </w:tc>
        <w:tc>
          <w:tcPr>
            <w:tcW w:w="1128" w:type="dxa"/>
          </w:tcPr>
          <w:p>
            <w:pPr>
              <w:pStyle w:val="TableParagraph"/>
              <w:spacing w:before="7"/>
              <w:ind w:right="102"/>
              <w:rPr>
                <w:sz w:val="16"/>
              </w:rPr>
            </w:pPr>
            <w:r>
              <w:rPr>
                <w:spacing w:val="-2"/>
                <w:sz w:val="16"/>
              </w:rPr>
              <w:t>4,182.0</w:t>
            </w:r>
          </w:p>
        </w:tc>
        <w:tc>
          <w:tcPr>
            <w:tcW w:w="1079" w:type="dxa"/>
          </w:tcPr>
          <w:p>
            <w:pPr>
              <w:pStyle w:val="TableParagraph"/>
              <w:spacing w:before="7"/>
              <w:ind w:right="53"/>
              <w:rPr>
                <w:sz w:val="16"/>
              </w:rPr>
            </w:pPr>
            <w:r>
              <w:rPr>
                <w:spacing w:val="-2"/>
                <w:sz w:val="16"/>
              </w:rPr>
              <w:t>3,324.3</w:t>
            </w:r>
          </w:p>
        </w:tc>
        <w:tc>
          <w:tcPr>
            <w:tcW w:w="1157" w:type="dxa"/>
          </w:tcPr>
          <w:p>
            <w:pPr>
              <w:pStyle w:val="TableParagraph"/>
              <w:spacing w:before="7"/>
              <w:ind w:right="225"/>
              <w:rPr>
                <w:sz w:val="16"/>
              </w:rPr>
            </w:pPr>
            <w:r>
              <w:rPr>
                <w:spacing w:val="-2"/>
                <w:sz w:val="16"/>
              </w:rPr>
              <w:t>588.7</w:t>
            </w:r>
          </w:p>
        </w:tc>
        <w:tc>
          <w:tcPr>
            <w:tcW w:w="716" w:type="dxa"/>
          </w:tcPr>
          <w:p>
            <w:pPr>
              <w:pStyle w:val="TableParagraph"/>
              <w:spacing w:before="7"/>
              <w:ind w:right="182"/>
              <w:rPr>
                <w:sz w:val="16"/>
              </w:rPr>
            </w:pPr>
            <w:r>
              <w:rPr>
                <w:spacing w:val="-4"/>
                <w:sz w:val="16"/>
              </w:rPr>
              <w:t>17.7</w:t>
            </w:r>
          </w:p>
        </w:tc>
        <w:tc>
          <w:tcPr>
            <w:tcW w:w="1055" w:type="dxa"/>
          </w:tcPr>
          <w:p>
            <w:pPr>
              <w:pStyle w:val="TableParagraph"/>
              <w:spacing w:before="7"/>
              <w:ind w:right="109"/>
              <w:rPr>
                <w:sz w:val="16"/>
              </w:rPr>
            </w:pPr>
            <w:r>
              <w:rPr>
                <w:spacing w:val="-2"/>
                <w:sz w:val="16"/>
              </w:rPr>
              <w:t>3,913.0</w:t>
            </w:r>
          </w:p>
        </w:tc>
      </w:tr>
      <w:tr>
        <w:trPr>
          <w:trHeight w:val="228" w:hRule="atLeast"/>
        </w:trPr>
        <w:tc>
          <w:tcPr>
            <w:tcW w:w="2475" w:type="dxa"/>
          </w:tcPr>
          <w:p>
            <w:pPr>
              <w:pStyle w:val="TableParagraph"/>
              <w:spacing w:before="7"/>
              <w:ind w:left="117"/>
              <w:jc w:val="left"/>
              <w:rPr>
                <w:sz w:val="16"/>
              </w:rPr>
            </w:pPr>
            <w:r>
              <w:rPr>
                <w:spacing w:val="-2"/>
                <w:sz w:val="16"/>
              </w:rPr>
              <w:t>Training</w:t>
            </w:r>
          </w:p>
        </w:tc>
        <w:tc>
          <w:tcPr>
            <w:tcW w:w="1216" w:type="dxa"/>
          </w:tcPr>
          <w:p>
            <w:pPr>
              <w:pStyle w:val="TableParagraph"/>
              <w:spacing w:before="7"/>
              <w:ind w:right="188"/>
              <w:rPr>
                <w:sz w:val="16"/>
              </w:rPr>
            </w:pPr>
            <w:r>
              <w:rPr>
                <w:spacing w:val="-2"/>
                <w:sz w:val="16"/>
              </w:rPr>
              <w:t>360.0</w:t>
            </w:r>
          </w:p>
        </w:tc>
        <w:tc>
          <w:tcPr>
            <w:tcW w:w="826" w:type="dxa"/>
          </w:tcPr>
          <w:p>
            <w:pPr>
              <w:pStyle w:val="TableParagraph"/>
              <w:spacing w:before="7"/>
              <w:ind w:right="109"/>
              <w:rPr>
                <w:sz w:val="16"/>
              </w:rPr>
            </w:pPr>
            <w:r>
              <w:rPr>
                <w:w w:val="98"/>
                <w:sz w:val="16"/>
              </w:rPr>
              <w:t>-</w:t>
            </w:r>
          </w:p>
        </w:tc>
        <w:tc>
          <w:tcPr>
            <w:tcW w:w="1128" w:type="dxa"/>
          </w:tcPr>
          <w:p>
            <w:pPr>
              <w:pStyle w:val="TableParagraph"/>
              <w:spacing w:before="7"/>
              <w:ind w:right="102"/>
              <w:rPr>
                <w:sz w:val="16"/>
              </w:rPr>
            </w:pPr>
            <w:r>
              <w:rPr>
                <w:spacing w:val="-2"/>
                <w:sz w:val="16"/>
              </w:rPr>
              <w:t>360.0</w:t>
            </w:r>
          </w:p>
        </w:tc>
        <w:tc>
          <w:tcPr>
            <w:tcW w:w="1079" w:type="dxa"/>
          </w:tcPr>
          <w:p>
            <w:pPr>
              <w:pStyle w:val="TableParagraph"/>
              <w:spacing w:before="7"/>
              <w:ind w:right="53"/>
              <w:rPr>
                <w:sz w:val="16"/>
              </w:rPr>
            </w:pPr>
            <w:r>
              <w:rPr>
                <w:spacing w:val="-2"/>
                <w:sz w:val="16"/>
              </w:rPr>
              <w:t>659.1</w:t>
            </w:r>
          </w:p>
        </w:tc>
        <w:tc>
          <w:tcPr>
            <w:tcW w:w="1157" w:type="dxa"/>
          </w:tcPr>
          <w:p>
            <w:pPr>
              <w:pStyle w:val="TableParagraph"/>
              <w:spacing w:before="7"/>
              <w:ind w:right="225"/>
              <w:rPr>
                <w:sz w:val="16"/>
              </w:rPr>
            </w:pPr>
            <w:r>
              <w:rPr>
                <w:spacing w:val="-4"/>
                <w:sz w:val="16"/>
              </w:rPr>
              <w:t>35.6</w:t>
            </w:r>
          </w:p>
        </w:tc>
        <w:tc>
          <w:tcPr>
            <w:tcW w:w="716" w:type="dxa"/>
          </w:tcPr>
          <w:p>
            <w:pPr>
              <w:pStyle w:val="TableParagraph"/>
              <w:spacing w:before="7"/>
              <w:ind w:right="187"/>
              <w:rPr>
                <w:sz w:val="16"/>
              </w:rPr>
            </w:pPr>
            <w:r>
              <w:rPr>
                <w:spacing w:val="-5"/>
                <w:sz w:val="16"/>
              </w:rPr>
              <w:t>5.4</w:t>
            </w:r>
          </w:p>
        </w:tc>
        <w:tc>
          <w:tcPr>
            <w:tcW w:w="1055" w:type="dxa"/>
          </w:tcPr>
          <w:p>
            <w:pPr>
              <w:pStyle w:val="TableParagraph"/>
              <w:spacing w:before="7"/>
              <w:ind w:right="109"/>
              <w:rPr>
                <w:sz w:val="16"/>
              </w:rPr>
            </w:pPr>
            <w:r>
              <w:rPr>
                <w:spacing w:val="-2"/>
                <w:sz w:val="16"/>
              </w:rPr>
              <w:t>694.7</w:t>
            </w:r>
          </w:p>
        </w:tc>
      </w:tr>
      <w:tr>
        <w:trPr>
          <w:trHeight w:val="227" w:hRule="atLeast"/>
        </w:trPr>
        <w:tc>
          <w:tcPr>
            <w:tcW w:w="2475" w:type="dxa"/>
          </w:tcPr>
          <w:p>
            <w:pPr>
              <w:pStyle w:val="TableParagraph"/>
              <w:spacing w:before="10"/>
              <w:ind w:left="117"/>
              <w:jc w:val="left"/>
              <w:rPr>
                <w:sz w:val="16"/>
              </w:rPr>
            </w:pPr>
            <w:r>
              <w:rPr>
                <w:spacing w:val="-2"/>
                <w:sz w:val="16"/>
              </w:rPr>
              <w:t>Consultants</w:t>
            </w:r>
          </w:p>
        </w:tc>
        <w:tc>
          <w:tcPr>
            <w:tcW w:w="1216" w:type="dxa"/>
          </w:tcPr>
          <w:p>
            <w:pPr>
              <w:pStyle w:val="TableParagraph"/>
              <w:spacing w:before="10"/>
              <w:ind w:right="188"/>
              <w:rPr>
                <w:sz w:val="16"/>
              </w:rPr>
            </w:pPr>
            <w:r>
              <w:rPr>
                <w:spacing w:val="-2"/>
                <w:sz w:val="16"/>
              </w:rPr>
              <w:t>859.9</w:t>
            </w:r>
          </w:p>
        </w:tc>
        <w:tc>
          <w:tcPr>
            <w:tcW w:w="826" w:type="dxa"/>
          </w:tcPr>
          <w:p>
            <w:pPr>
              <w:pStyle w:val="TableParagraph"/>
              <w:spacing w:before="10"/>
              <w:ind w:right="107"/>
              <w:rPr>
                <w:sz w:val="16"/>
              </w:rPr>
            </w:pPr>
            <w:r>
              <w:rPr>
                <w:spacing w:val="-4"/>
                <w:sz w:val="16"/>
              </w:rPr>
              <w:t>74.5</w:t>
            </w:r>
          </w:p>
        </w:tc>
        <w:tc>
          <w:tcPr>
            <w:tcW w:w="1128" w:type="dxa"/>
          </w:tcPr>
          <w:p>
            <w:pPr>
              <w:pStyle w:val="TableParagraph"/>
              <w:spacing w:before="10"/>
              <w:ind w:right="102"/>
              <w:rPr>
                <w:sz w:val="16"/>
              </w:rPr>
            </w:pPr>
            <w:r>
              <w:rPr>
                <w:spacing w:val="-2"/>
                <w:sz w:val="16"/>
              </w:rPr>
              <w:t>934.4</w:t>
            </w:r>
          </w:p>
        </w:tc>
        <w:tc>
          <w:tcPr>
            <w:tcW w:w="1079" w:type="dxa"/>
          </w:tcPr>
          <w:p>
            <w:pPr>
              <w:pStyle w:val="TableParagraph"/>
              <w:spacing w:before="10"/>
              <w:ind w:right="53"/>
              <w:rPr>
                <w:sz w:val="16"/>
              </w:rPr>
            </w:pPr>
            <w:r>
              <w:rPr>
                <w:spacing w:val="-2"/>
                <w:sz w:val="16"/>
              </w:rPr>
              <w:t>720.7</w:t>
            </w:r>
          </w:p>
        </w:tc>
        <w:tc>
          <w:tcPr>
            <w:tcW w:w="1157" w:type="dxa"/>
          </w:tcPr>
          <w:p>
            <w:pPr>
              <w:pStyle w:val="TableParagraph"/>
              <w:spacing w:before="10"/>
              <w:ind w:right="225"/>
              <w:rPr>
                <w:sz w:val="16"/>
              </w:rPr>
            </w:pPr>
            <w:r>
              <w:rPr>
                <w:spacing w:val="-2"/>
                <w:sz w:val="16"/>
              </w:rPr>
              <w:t>549.8</w:t>
            </w:r>
          </w:p>
        </w:tc>
        <w:tc>
          <w:tcPr>
            <w:tcW w:w="716" w:type="dxa"/>
          </w:tcPr>
          <w:p>
            <w:pPr>
              <w:pStyle w:val="TableParagraph"/>
              <w:spacing w:before="10"/>
              <w:ind w:right="182"/>
              <w:rPr>
                <w:sz w:val="16"/>
              </w:rPr>
            </w:pPr>
            <w:r>
              <w:rPr>
                <w:spacing w:val="-4"/>
                <w:sz w:val="16"/>
              </w:rPr>
              <w:t>76.3</w:t>
            </w:r>
          </w:p>
        </w:tc>
        <w:tc>
          <w:tcPr>
            <w:tcW w:w="1055" w:type="dxa"/>
          </w:tcPr>
          <w:p>
            <w:pPr>
              <w:pStyle w:val="TableParagraph"/>
              <w:spacing w:before="10"/>
              <w:ind w:right="109"/>
              <w:rPr>
                <w:sz w:val="16"/>
              </w:rPr>
            </w:pPr>
            <w:r>
              <w:rPr>
                <w:spacing w:val="-2"/>
                <w:sz w:val="16"/>
              </w:rPr>
              <w:t>1,270.5</w:t>
            </w:r>
          </w:p>
        </w:tc>
      </w:tr>
      <w:tr>
        <w:trPr>
          <w:trHeight w:val="225" w:hRule="atLeast"/>
        </w:trPr>
        <w:tc>
          <w:tcPr>
            <w:tcW w:w="2475" w:type="dxa"/>
          </w:tcPr>
          <w:p>
            <w:pPr>
              <w:pStyle w:val="TableParagraph"/>
              <w:spacing w:before="7"/>
              <w:ind w:left="117"/>
              <w:jc w:val="left"/>
              <w:rPr>
                <w:sz w:val="16"/>
              </w:rPr>
            </w:pPr>
            <w:r>
              <w:rPr>
                <w:sz w:val="16"/>
              </w:rPr>
              <w:t>Counsel</w:t>
            </w:r>
            <w:r>
              <w:rPr>
                <w:spacing w:val="-4"/>
                <w:sz w:val="16"/>
              </w:rPr>
              <w:t> </w:t>
            </w:r>
            <w:r>
              <w:rPr>
                <w:sz w:val="16"/>
              </w:rPr>
              <w:t>for</w:t>
            </w:r>
            <w:r>
              <w:rPr>
                <w:spacing w:val="-2"/>
                <w:sz w:val="16"/>
              </w:rPr>
              <w:t> defence</w:t>
            </w:r>
          </w:p>
        </w:tc>
        <w:tc>
          <w:tcPr>
            <w:tcW w:w="1216" w:type="dxa"/>
          </w:tcPr>
          <w:p>
            <w:pPr>
              <w:pStyle w:val="TableParagraph"/>
              <w:spacing w:before="7"/>
              <w:ind w:right="189"/>
              <w:rPr>
                <w:sz w:val="16"/>
              </w:rPr>
            </w:pPr>
            <w:r>
              <w:rPr>
                <w:spacing w:val="-2"/>
                <w:sz w:val="16"/>
              </w:rPr>
              <w:t>3,913.0</w:t>
            </w:r>
          </w:p>
        </w:tc>
        <w:tc>
          <w:tcPr>
            <w:tcW w:w="826" w:type="dxa"/>
          </w:tcPr>
          <w:p>
            <w:pPr>
              <w:pStyle w:val="TableParagraph"/>
              <w:spacing w:before="7"/>
              <w:ind w:right="107"/>
              <w:rPr>
                <w:sz w:val="16"/>
              </w:rPr>
            </w:pPr>
            <w:r>
              <w:rPr>
                <w:spacing w:val="-2"/>
                <w:sz w:val="16"/>
              </w:rPr>
              <w:t>624.6</w:t>
            </w:r>
          </w:p>
        </w:tc>
        <w:tc>
          <w:tcPr>
            <w:tcW w:w="1128" w:type="dxa"/>
          </w:tcPr>
          <w:p>
            <w:pPr>
              <w:pStyle w:val="TableParagraph"/>
              <w:spacing w:before="7"/>
              <w:ind w:right="102"/>
              <w:rPr>
                <w:sz w:val="16"/>
              </w:rPr>
            </w:pPr>
            <w:r>
              <w:rPr>
                <w:spacing w:val="-2"/>
                <w:sz w:val="16"/>
              </w:rPr>
              <w:t>4,537.6</w:t>
            </w:r>
          </w:p>
        </w:tc>
        <w:tc>
          <w:tcPr>
            <w:tcW w:w="1079" w:type="dxa"/>
          </w:tcPr>
          <w:p>
            <w:pPr>
              <w:pStyle w:val="TableParagraph"/>
              <w:spacing w:before="7"/>
              <w:ind w:right="53"/>
              <w:rPr>
                <w:sz w:val="16"/>
              </w:rPr>
            </w:pPr>
            <w:r>
              <w:rPr>
                <w:spacing w:val="-2"/>
                <w:sz w:val="16"/>
              </w:rPr>
              <w:t>5,196.7</w:t>
            </w:r>
          </w:p>
        </w:tc>
        <w:tc>
          <w:tcPr>
            <w:tcW w:w="1157" w:type="dxa"/>
          </w:tcPr>
          <w:p>
            <w:pPr>
              <w:pStyle w:val="TableParagraph"/>
              <w:spacing w:before="7"/>
              <w:ind w:right="227"/>
              <w:rPr>
                <w:sz w:val="16"/>
              </w:rPr>
            </w:pPr>
            <w:r>
              <w:rPr>
                <w:spacing w:val="-2"/>
                <w:sz w:val="16"/>
              </w:rPr>
              <w:t>(7.3)</w:t>
            </w:r>
          </w:p>
        </w:tc>
        <w:tc>
          <w:tcPr>
            <w:tcW w:w="716" w:type="dxa"/>
          </w:tcPr>
          <w:p>
            <w:pPr>
              <w:pStyle w:val="TableParagraph"/>
              <w:spacing w:before="7"/>
              <w:ind w:right="185"/>
              <w:rPr>
                <w:sz w:val="16"/>
              </w:rPr>
            </w:pPr>
            <w:r>
              <w:rPr>
                <w:spacing w:val="-2"/>
                <w:sz w:val="16"/>
              </w:rPr>
              <w:t>(0.1)</w:t>
            </w:r>
          </w:p>
        </w:tc>
        <w:tc>
          <w:tcPr>
            <w:tcW w:w="1055" w:type="dxa"/>
          </w:tcPr>
          <w:p>
            <w:pPr>
              <w:pStyle w:val="TableParagraph"/>
              <w:spacing w:before="7"/>
              <w:ind w:right="109"/>
              <w:rPr>
                <w:sz w:val="16"/>
              </w:rPr>
            </w:pPr>
            <w:r>
              <w:rPr>
                <w:spacing w:val="-2"/>
                <w:sz w:val="16"/>
              </w:rPr>
              <w:t>5,189.4</w:t>
            </w:r>
          </w:p>
        </w:tc>
      </w:tr>
      <w:tr>
        <w:trPr>
          <w:trHeight w:val="225" w:hRule="atLeast"/>
        </w:trPr>
        <w:tc>
          <w:tcPr>
            <w:tcW w:w="2475" w:type="dxa"/>
          </w:tcPr>
          <w:p>
            <w:pPr>
              <w:pStyle w:val="TableParagraph"/>
              <w:spacing w:before="7"/>
              <w:ind w:left="117"/>
              <w:jc w:val="left"/>
              <w:rPr>
                <w:sz w:val="16"/>
              </w:rPr>
            </w:pPr>
            <w:r>
              <w:rPr>
                <w:sz w:val="16"/>
              </w:rPr>
              <w:t>Counsel</w:t>
            </w:r>
            <w:r>
              <w:rPr>
                <w:spacing w:val="-4"/>
                <w:sz w:val="16"/>
              </w:rPr>
              <w:t> </w:t>
            </w:r>
            <w:r>
              <w:rPr>
                <w:sz w:val="16"/>
              </w:rPr>
              <w:t>for</w:t>
            </w:r>
            <w:r>
              <w:rPr>
                <w:spacing w:val="-2"/>
                <w:sz w:val="16"/>
              </w:rPr>
              <w:t> victims</w:t>
            </w:r>
          </w:p>
        </w:tc>
        <w:tc>
          <w:tcPr>
            <w:tcW w:w="1216" w:type="dxa"/>
          </w:tcPr>
          <w:p>
            <w:pPr>
              <w:pStyle w:val="TableParagraph"/>
              <w:spacing w:before="7"/>
              <w:ind w:right="189"/>
              <w:rPr>
                <w:sz w:val="16"/>
              </w:rPr>
            </w:pPr>
            <w:r>
              <w:rPr>
                <w:spacing w:val="-2"/>
                <w:sz w:val="16"/>
              </w:rPr>
              <w:t>1,531.7</w:t>
            </w:r>
          </w:p>
        </w:tc>
        <w:tc>
          <w:tcPr>
            <w:tcW w:w="826" w:type="dxa"/>
          </w:tcPr>
          <w:p>
            <w:pPr>
              <w:pStyle w:val="TableParagraph"/>
              <w:spacing w:before="7"/>
              <w:ind w:right="109"/>
              <w:rPr>
                <w:sz w:val="16"/>
              </w:rPr>
            </w:pPr>
            <w:r>
              <w:rPr>
                <w:w w:val="98"/>
                <w:sz w:val="16"/>
              </w:rPr>
              <w:t>-</w:t>
            </w:r>
          </w:p>
        </w:tc>
        <w:tc>
          <w:tcPr>
            <w:tcW w:w="1128" w:type="dxa"/>
          </w:tcPr>
          <w:p>
            <w:pPr>
              <w:pStyle w:val="TableParagraph"/>
              <w:spacing w:before="7"/>
              <w:ind w:right="102"/>
              <w:rPr>
                <w:sz w:val="16"/>
              </w:rPr>
            </w:pPr>
            <w:r>
              <w:rPr>
                <w:spacing w:val="-2"/>
                <w:sz w:val="16"/>
              </w:rPr>
              <w:t>1,531.7</w:t>
            </w:r>
          </w:p>
        </w:tc>
        <w:tc>
          <w:tcPr>
            <w:tcW w:w="1079" w:type="dxa"/>
          </w:tcPr>
          <w:p>
            <w:pPr>
              <w:pStyle w:val="TableParagraph"/>
              <w:spacing w:before="7"/>
              <w:ind w:right="53"/>
              <w:rPr>
                <w:sz w:val="16"/>
              </w:rPr>
            </w:pPr>
            <w:r>
              <w:rPr>
                <w:spacing w:val="-2"/>
                <w:sz w:val="16"/>
              </w:rPr>
              <w:t>1,906.6</w:t>
            </w:r>
          </w:p>
        </w:tc>
        <w:tc>
          <w:tcPr>
            <w:tcW w:w="1157" w:type="dxa"/>
          </w:tcPr>
          <w:p>
            <w:pPr>
              <w:pStyle w:val="TableParagraph"/>
              <w:spacing w:before="7"/>
              <w:ind w:right="225"/>
              <w:rPr>
                <w:sz w:val="16"/>
              </w:rPr>
            </w:pPr>
            <w:r>
              <w:rPr>
                <w:spacing w:val="-2"/>
                <w:sz w:val="16"/>
              </w:rPr>
              <w:t>431.4</w:t>
            </w:r>
          </w:p>
        </w:tc>
        <w:tc>
          <w:tcPr>
            <w:tcW w:w="716" w:type="dxa"/>
          </w:tcPr>
          <w:p>
            <w:pPr>
              <w:pStyle w:val="TableParagraph"/>
              <w:spacing w:before="7"/>
              <w:ind w:right="182"/>
              <w:rPr>
                <w:sz w:val="16"/>
              </w:rPr>
            </w:pPr>
            <w:r>
              <w:rPr>
                <w:spacing w:val="-4"/>
                <w:sz w:val="16"/>
              </w:rPr>
              <w:t>22.6</w:t>
            </w:r>
          </w:p>
        </w:tc>
        <w:tc>
          <w:tcPr>
            <w:tcW w:w="1055" w:type="dxa"/>
          </w:tcPr>
          <w:p>
            <w:pPr>
              <w:pStyle w:val="TableParagraph"/>
              <w:spacing w:before="7"/>
              <w:ind w:right="109"/>
              <w:rPr>
                <w:sz w:val="16"/>
              </w:rPr>
            </w:pPr>
            <w:r>
              <w:rPr>
                <w:spacing w:val="-2"/>
                <w:sz w:val="16"/>
              </w:rPr>
              <w:t>2,338.0</w:t>
            </w:r>
          </w:p>
        </w:tc>
      </w:tr>
      <w:tr>
        <w:trPr>
          <w:trHeight w:val="227" w:hRule="atLeast"/>
        </w:trPr>
        <w:tc>
          <w:tcPr>
            <w:tcW w:w="2475" w:type="dxa"/>
          </w:tcPr>
          <w:p>
            <w:pPr>
              <w:pStyle w:val="TableParagraph"/>
              <w:spacing w:before="7"/>
              <w:ind w:left="117"/>
              <w:jc w:val="left"/>
              <w:rPr>
                <w:sz w:val="16"/>
              </w:rPr>
            </w:pPr>
            <w:r>
              <w:rPr>
                <w:sz w:val="16"/>
              </w:rPr>
              <w:t>General</w:t>
            </w:r>
            <w:r>
              <w:rPr>
                <w:spacing w:val="-4"/>
                <w:sz w:val="16"/>
              </w:rPr>
              <w:t> </w:t>
            </w:r>
            <w:r>
              <w:rPr>
                <w:sz w:val="16"/>
              </w:rPr>
              <w:t>operating</w:t>
            </w:r>
            <w:r>
              <w:rPr>
                <w:spacing w:val="-1"/>
                <w:sz w:val="16"/>
              </w:rPr>
              <w:t> </w:t>
            </w:r>
            <w:r>
              <w:rPr>
                <w:spacing w:val="-2"/>
                <w:sz w:val="16"/>
              </w:rPr>
              <w:t>expenses</w:t>
            </w:r>
          </w:p>
        </w:tc>
        <w:tc>
          <w:tcPr>
            <w:tcW w:w="1216" w:type="dxa"/>
          </w:tcPr>
          <w:p>
            <w:pPr>
              <w:pStyle w:val="TableParagraph"/>
              <w:spacing w:before="7"/>
              <w:ind w:right="189"/>
              <w:rPr>
                <w:sz w:val="16"/>
              </w:rPr>
            </w:pPr>
            <w:r>
              <w:rPr>
                <w:spacing w:val="-2"/>
                <w:sz w:val="16"/>
              </w:rPr>
              <w:t>13,747.1</w:t>
            </w:r>
          </w:p>
        </w:tc>
        <w:tc>
          <w:tcPr>
            <w:tcW w:w="826" w:type="dxa"/>
          </w:tcPr>
          <w:p>
            <w:pPr>
              <w:pStyle w:val="TableParagraph"/>
              <w:spacing w:before="7"/>
              <w:ind w:right="107"/>
              <w:rPr>
                <w:sz w:val="16"/>
              </w:rPr>
            </w:pPr>
            <w:r>
              <w:rPr>
                <w:spacing w:val="-2"/>
                <w:sz w:val="16"/>
              </w:rPr>
              <w:t>856.4</w:t>
            </w:r>
          </w:p>
        </w:tc>
        <w:tc>
          <w:tcPr>
            <w:tcW w:w="1128" w:type="dxa"/>
          </w:tcPr>
          <w:p>
            <w:pPr>
              <w:pStyle w:val="TableParagraph"/>
              <w:spacing w:before="7"/>
              <w:ind w:right="102"/>
              <w:rPr>
                <w:sz w:val="16"/>
              </w:rPr>
            </w:pPr>
            <w:r>
              <w:rPr>
                <w:spacing w:val="-2"/>
                <w:sz w:val="16"/>
              </w:rPr>
              <w:t>14,603.6</w:t>
            </w:r>
          </w:p>
        </w:tc>
        <w:tc>
          <w:tcPr>
            <w:tcW w:w="1079" w:type="dxa"/>
          </w:tcPr>
          <w:p>
            <w:pPr>
              <w:pStyle w:val="TableParagraph"/>
              <w:spacing w:before="7"/>
              <w:ind w:right="53"/>
              <w:rPr>
                <w:sz w:val="16"/>
              </w:rPr>
            </w:pPr>
            <w:r>
              <w:rPr>
                <w:spacing w:val="-2"/>
                <w:sz w:val="16"/>
              </w:rPr>
              <w:t>14,280.9</w:t>
            </w:r>
          </w:p>
        </w:tc>
        <w:tc>
          <w:tcPr>
            <w:tcW w:w="1157" w:type="dxa"/>
          </w:tcPr>
          <w:p>
            <w:pPr>
              <w:pStyle w:val="TableParagraph"/>
              <w:spacing w:before="7"/>
              <w:ind w:right="225"/>
              <w:rPr>
                <w:sz w:val="16"/>
              </w:rPr>
            </w:pPr>
            <w:r>
              <w:rPr>
                <w:spacing w:val="-2"/>
                <w:sz w:val="16"/>
              </w:rPr>
              <w:t>2,349.0</w:t>
            </w:r>
          </w:p>
        </w:tc>
        <w:tc>
          <w:tcPr>
            <w:tcW w:w="716" w:type="dxa"/>
          </w:tcPr>
          <w:p>
            <w:pPr>
              <w:pStyle w:val="TableParagraph"/>
              <w:spacing w:before="7"/>
              <w:ind w:right="182"/>
              <w:rPr>
                <w:sz w:val="16"/>
              </w:rPr>
            </w:pPr>
            <w:r>
              <w:rPr>
                <w:spacing w:val="-4"/>
                <w:sz w:val="16"/>
              </w:rPr>
              <w:t>16.4</w:t>
            </w:r>
          </w:p>
        </w:tc>
        <w:tc>
          <w:tcPr>
            <w:tcW w:w="1055" w:type="dxa"/>
          </w:tcPr>
          <w:p>
            <w:pPr>
              <w:pStyle w:val="TableParagraph"/>
              <w:spacing w:before="7"/>
              <w:ind w:right="109"/>
              <w:rPr>
                <w:sz w:val="16"/>
              </w:rPr>
            </w:pPr>
            <w:r>
              <w:rPr>
                <w:spacing w:val="-2"/>
                <w:sz w:val="16"/>
              </w:rPr>
              <w:t>16,629.9</w:t>
            </w:r>
          </w:p>
        </w:tc>
      </w:tr>
      <w:tr>
        <w:trPr>
          <w:trHeight w:val="228" w:hRule="atLeast"/>
        </w:trPr>
        <w:tc>
          <w:tcPr>
            <w:tcW w:w="2475" w:type="dxa"/>
          </w:tcPr>
          <w:p>
            <w:pPr>
              <w:pStyle w:val="TableParagraph"/>
              <w:spacing w:before="10"/>
              <w:ind w:left="117"/>
              <w:jc w:val="left"/>
              <w:rPr>
                <w:sz w:val="16"/>
              </w:rPr>
            </w:pPr>
            <w:r>
              <w:rPr>
                <w:sz w:val="16"/>
              </w:rPr>
              <w:t>Supplies</w:t>
            </w:r>
            <w:r>
              <w:rPr>
                <w:spacing w:val="-4"/>
                <w:sz w:val="16"/>
              </w:rPr>
              <w:t> </w:t>
            </w:r>
            <w:r>
              <w:rPr>
                <w:sz w:val="16"/>
              </w:rPr>
              <w:t>and</w:t>
            </w:r>
            <w:r>
              <w:rPr>
                <w:spacing w:val="-2"/>
                <w:sz w:val="16"/>
              </w:rPr>
              <w:t> materials</w:t>
            </w:r>
          </w:p>
        </w:tc>
        <w:tc>
          <w:tcPr>
            <w:tcW w:w="1216" w:type="dxa"/>
          </w:tcPr>
          <w:p>
            <w:pPr>
              <w:pStyle w:val="TableParagraph"/>
              <w:spacing w:before="10"/>
              <w:ind w:right="188"/>
              <w:rPr>
                <w:sz w:val="16"/>
              </w:rPr>
            </w:pPr>
            <w:r>
              <w:rPr>
                <w:spacing w:val="-2"/>
                <w:sz w:val="16"/>
              </w:rPr>
              <w:t>909.3</w:t>
            </w:r>
          </w:p>
        </w:tc>
        <w:tc>
          <w:tcPr>
            <w:tcW w:w="826" w:type="dxa"/>
          </w:tcPr>
          <w:p>
            <w:pPr>
              <w:pStyle w:val="TableParagraph"/>
              <w:spacing w:before="10"/>
              <w:ind w:right="111"/>
              <w:rPr>
                <w:sz w:val="16"/>
              </w:rPr>
            </w:pPr>
            <w:r>
              <w:rPr>
                <w:spacing w:val="-5"/>
                <w:sz w:val="16"/>
              </w:rPr>
              <w:t>4.3</w:t>
            </w:r>
          </w:p>
        </w:tc>
        <w:tc>
          <w:tcPr>
            <w:tcW w:w="1128" w:type="dxa"/>
          </w:tcPr>
          <w:p>
            <w:pPr>
              <w:pStyle w:val="TableParagraph"/>
              <w:spacing w:before="10"/>
              <w:ind w:right="102"/>
              <w:rPr>
                <w:sz w:val="16"/>
              </w:rPr>
            </w:pPr>
            <w:r>
              <w:rPr>
                <w:spacing w:val="-2"/>
                <w:sz w:val="16"/>
              </w:rPr>
              <w:t>913.6</w:t>
            </w:r>
          </w:p>
        </w:tc>
        <w:tc>
          <w:tcPr>
            <w:tcW w:w="1079" w:type="dxa"/>
          </w:tcPr>
          <w:p>
            <w:pPr>
              <w:pStyle w:val="TableParagraph"/>
              <w:spacing w:before="10"/>
              <w:ind w:right="53"/>
              <w:rPr>
                <w:sz w:val="16"/>
              </w:rPr>
            </w:pPr>
            <w:r>
              <w:rPr>
                <w:spacing w:val="-2"/>
                <w:sz w:val="16"/>
              </w:rPr>
              <w:t>1,097.2</w:t>
            </w:r>
          </w:p>
        </w:tc>
        <w:tc>
          <w:tcPr>
            <w:tcW w:w="1157" w:type="dxa"/>
          </w:tcPr>
          <w:p>
            <w:pPr>
              <w:pStyle w:val="TableParagraph"/>
              <w:spacing w:before="10"/>
              <w:ind w:right="229"/>
              <w:rPr>
                <w:sz w:val="16"/>
              </w:rPr>
            </w:pPr>
            <w:r>
              <w:rPr>
                <w:spacing w:val="-2"/>
                <w:sz w:val="16"/>
              </w:rPr>
              <w:t>(25.4)</w:t>
            </w:r>
          </w:p>
        </w:tc>
        <w:tc>
          <w:tcPr>
            <w:tcW w:w="716" w:type="dxa"/>
          </w:tcPr>
          <w:p>
            <w:pPr>
              <w:pStyle w:val="TableParagraph"/>
              <w:spacing w:before="10"/>
              <w:ind w:right="185"/>
              <w:rPr>
                <w:sz w:val="16"/>
              </w:rPr>
            </w:pPr>
            <w:r>
              <w:rPr>
                <w:spacing w:val="-2"/>
                <w:sz w:val="16"/>
              </w:rPr>
              <w:t>(2.3)</w:t>
            </w:r>
          </w:p>
        </w:tc>
        <w:tc>
          <w:tcPr>
            <w:tcW w:w="1055" w:type="dxa"/>
          </w:tcPr>
          <w:p>
            <w:pPr>
              <w:pStyle w:val="TableParagraph"/>
              <w:spacing w:before="10"/>
              <w:ind w:right="109"/>
              <w:rPr>
                <w:sz w:val="16"/>
              </w:rPr>
            </w:pPr>
            <w:r>
              <w:rPr>
                <w:spacing w:val="-2"/>
                <w:sz w:val="16"/>
              </w:rPr>
              <w:t>1,071.8</w:t>
            </w:r>
          </w:p>
        </w:tc>
      </w:tr>
      <w:tr>
        <w:trPr>
          <w:trHeight w:val="223" w:hRule="atLeast"/>
        </w:trPr>
        <w:tc>
          <w:tcPr>
            <w:tcW w:w="2475" w:type="dxa"/>
            <w:tcBorders>
              <w:bottom w:val="single" w:sz="4" w:space="0" w:color="000000"/>
            </w:tcBorders>
          </w:tcPr>
          <w:p>
            <w:pPr>
              <w:pStyle w:val="TableParagraph"/>
              <w:spacing w:before="8"/>
              <w:ind w:left="117"/>
              <w:jc w:val="left"/>
              <w:rPr>
                <w:sz w:val="16"/>
              </w:rPr>
            </w:pPr>
            <w:r>
              <w:rPr>
                <w:sz w:val="16"/>
              </w:rPr>
              <w:t>Furniture</w:t>
            </w:r>
            <w:r>
              <w:rPr>
                <w:spacing w:val="-4"/>
                <w:sz w:val="16"/>
              </w:rPr>
              <w:t> </w:t>
            </w:r>
            <w:r>
              <w:rPr>
                <w:sz w:val="16"/>
              </w:rPr>
              <w:t>and</w:t>
            </w:r>
            <w:r>
              <w:rPr>
                <w:spacing w:val="-2"/>
                <w:sz w:val="16"/>
              </w:rPr>
              <w:t> equipment</w:t>
            </w:r>
          </w:p>
        </w:tc>
        <w:tc>
          <w:tcPr>
            <w:tcW w:w="1216" w:type="dxa"/>
            <w:tcBorders>
              <w:bottom w:val="single" w:sz="4" w:space="0" w:color="000000"/>
            </w:tcBorders>
          </w:tcPr>
          <w:p>
            <w:pPr>
              <w:pStyle w:val="TableParagraph"/>
              <w:spacing w:before="8"/>
              <w:ind w:right="188"/>
              <w:rPr>
                <w:sz w:val="16"/>
              </w:rPr>
            </w:pPr>
            <w:r>
              <w:rPr>
                <w:spacing w:val="-2"/>
                <w:sz w:val="16"/>
              </w:rPr>
              <w:t>560.8</w:t>
            </w:r>
          </w:p>
        </w:tc>
        <w:tc>
          <w:tcPr>
            <w:tcW w:w="826" w:type="dxa"/>
            <w:tcBorders>
              <w:bottom w:val="single" w:sz="4" w:space="0" w:color="000000"/>
            </w:tcBorders>
          </w:tcPr>
          <w:p>
            <w:pPr>
              <w:pStyle w:val="TableParagraph"/>
              <w:spacing w:before="8"/>
              <w:ind w:right="109"/>
              <w:rPr>
                <w:sz w:val="16"/>
              </w:rPr>
            </w:pPr>
            <w:r>
              <w:rPr>
                <w:w w:val="98"/>
                <w:sz w:val="16"/>
              </w:rPr>
              <w:t>-</w:t>
            </w:r>
          </w:p>
        </w:tc>
        <w:tc>
          <w:tcPr>
            <w:tcW w:w="1128" w:type="dxa"/>
            <w:tcBorders>
              <w:bottom w:val="single" w:sz="4" w:space="0" w:color="000000"/>
            </w:tcBorders>
          </w:tcPr>
          <w:p>
            <w:pPr>
              <w:pStyle w:val="TableParagraph"/>
              <w:spacing w:before="8"/>
              <w:ind w:right="102"/>
              <w:rPr>
                <w:sz w:val="16"/>
              </w:rPr>
            </w:pPr>
            <w:r>
              <w:rPr>
                <w:spacing w:val="-2"/>
                <w:sz w:val="16"/>
              </w:rPr>
              <w:t>560.8</w:t>
            </w:r>
          </w:p>
        </w:tc>
        <w:tc>
          <w:tcPr>
            <w:tcW w:w="1079" w:type="dxa"/>
            <w:tcBorders>
              <w:bottom w:val="single" w:sz="4" w:space="0" w:color="000000"/>
            </w:tcBorders>
          </w:tcPr>
          <w:p>
            <w:pPr>
              <w:pStyle w:val="TableParagraph"/>
              <w:spacing w:before="8"/>
              <w:ind w:right="53"/>
              <w:rPr>
                <w:sz w:val="16"/>
              </w:rPr>
            </w:pPr>
            <w:r>
              <w:rPr>
                <w:spacing w:val="-2"/>
                <w:sz w:val="16"/>
              </w:rPr>
              <w:t>802.0</w:t>
            </w:r>
          </w:p>
        </w:tc>
        <w:tc>
          <w:tcPr>
            <w:tcW w:w="1157" w:type="dxa"/>
            <w:tcBorders>
              <w:bottom w:val="single" w:sz="4" w:space="0" w:color="000000"/>
            </w:tcBorders>
          </w:tcPr>
          <w:p>
            <w:pPr>
              <w:pStyle w:val="TableParagraph"/>
              <w:spacing w:before="8"/>
              <w:ind w:right="225"/>
              <w:rPr>
                <w:sz w:val="16"/>
              </w:rPr>
            </w:pPr>
            <w:r>
              <w:rPr>
                <w:spacing w:val="-2"/>
                <w:sz w:val="16"/>
              </w:rPr>
              <w:t>722.4</w:t>
            </w:r>
          </w:p>
        </w:tc>
        <w:tc>
          <w:tcPr>
            <w:tcW w:w="716" w:type="dxa"/>
            <w:tcBorders>
              <w:bottom w:val="single" w:sz="4" w:space="0" w:color="000000"/>
            </w:tcBorders>
          </w:tcPr>
          <w:p>
            <w:pPr>
              <w:pStyle w:val="TableParagraph"/>
              <w:spacing w:before="8"/>
              <w:ind w:right="182"/>
              <w:rPr>
                <w:sz w:val="16"/>
              </w:rPr>
            </w:pPr>
            <w:r>
              <w:rPr>
                <w:spacing w:val="-4"/>
                <w:sz w:val="16"/>
              </w:rPr>
              <w:t>90.1</w:t>
            </w:r>
          </w:p>
        </w:tc>
        <w:tc>
          <w:tcPr>
            <w:tcW w:w="1055" w:type="dxa"/>
            <w:tcBorders>
              <w:bottom w:val="single" w:sz="4" w:space="0" w:color="000000"/>
            </w:tcBorders>
          </w:tcPr>
          <w:p>
            <w:pPr>
              <w:pStyle w:val="TableParagraph"/>
              <w:spacing w:before="8"/>
              <w:ind w:right="109"/>
              <w:rPr>
                <w:sz w:val="16"/>
              </w:rPr>
            </w:pPr>
            <w:r>
              <w:rPr>
                <w:spacing w:val="-2"/>
                <w:sz w:val="16"/>
              </w:rPr>
              <w:t>1,524.4</w:t>
            </w:r>
          </w:p>
        </w:tc>
      </w:tr>
      <w:tr>
        <w:trPr>
          <w:trHeight w:val="225" w:hRule="atLeast"/>
        </w:trPr>
        <w:tc>
          <w:tcPr>
            <w:tcW w:w="2475" w:type="dxa"/>
            <w:tcBorders>
              <w:top w:val="single" w:sz="4" w:space="0" w:color="000000"/>
              <w:bottom w:val="single" w:sz="4" w:space="0" w:color="000000"/>
            </w:tcBorders>
          </w:tcPr>
          <w:p>
            <w:pPr>
              <w:pStyle w:val="TableParagraph"/>
              <w:spacing w:before="9"/>
              <w:ind w:right="102"/>
              <w:rPr>
                <w:i/>
                <w:sz w:val="16"/>
              </w:rPr>
            </w:pPr>
            <w:r>
              <w:rPr>
                <w:i/>
                <w:w w:val="95"/>
                <w:sz w:val="16"/>
              </w:rPr>
              <w:t>Subtotal</w:t>
            </w:r>
            <w:r>
              <w:rPr>
                <w:i/>
                <w:spacing w:val="40"/>
                <w:sz w:val="16"/>
              </w:rPr>
              <w:t> </w:t>
            </w:r>
            <w:r>
              <w:rPr>
                <w:i/>
                <w:w w:val="95"/>
                <w:sz w:val="16"/>
              </w:rPr>
              <w:t>non-</w:t>
            </w:r>
            <w:r>
              <w:rPr>
                <w:i/>
                <w:spacing w:val="-4"/>
                <w:w w:val="95"/>
                <w:sz w:val="16"/>
              </w:rPr>
              <w:t>staff</w:t>
            </w:r>
          </w:p>
        </w:tc>
        <w:tc>
          <w:tcPr>
            <w:tcW w:w="1216" w:type="dxa"/>
            <w:tcBorders>
              <w:top w:val="single" w:sz="4" w:space="0" w:color="000000"/>
              <w:bottom w:val="single" w:sz="4" w:space="0" w:color="000000"/>
            </w:tcBorders>
          </w:tcPr>
          <w:p>
            <w:pPr>
              <w:pStyle w:val="TableParagraph"/>
              <w:spacing w:before="9"/>
              <w:ind w:right="189"/>
              <w:rPr>
                <w:i/>
                <w:sz w:val="16"/>
              </w:rPr>
            </w:pPr>
            <w:r>
              <w:rPr>
                <w:i/>
                <w:spacing w:val="-2"/>
                <w:sz w:val="16"/>
              </w:rPr>
              <w:t>27,842.1</w:t>
            </w:r>
          </w:p>
        </w:tc>
        <w:tc>
          <w:tcPr>
            <w:tcW w:w="826" w:type="dxa"/>
            <w:tcBorders>
              <w:top w:val="single" w:sz="4" w:space="0" w:color="000000"/>
              <w:bottom w:val="single" w:sz="4" w:space="0" w:color="000000"/>
            </w:tcBorders>
          </w:tcPr>
          <w:p>
            <w:pPr>
              <w:pStyle w:val="TableParagraph"/>
              <w:spacing w:before="9"/>
              <w:ind w:right="107"/>
              <w:rPr>
                <w:i/>
                <w:sz w:val="16"/>
              </w:rPr>
            </w:pPr>
            <w:r>
              <w:rPr>
                <w:i/>
                <w:spacing w:val="-2"/>
                <w:sz w:val="16"/>
              </w:rPr>
              <w:t>2,157.6</w:t>
            </w:r>
          </w:p>
        </w:tc>
        <w:tc>
          <w:tcPr>
            <w:tcW w:w="1128" w:type="dxa"/>
            <w:tcBorders>
              <w:top w:val="single" w:sz="4" w:space="0" w:color="000000"/>
              <w:bottom w:val="single" w:sz="4" w:space="0" w:color="000000"/>
            </w:tcBorders>
          </w:tcPr>
          <w:p>
            <w:pPr>
              <w:pStyle w:val="TableParagraph"/>
              <w:spacing w:before="9"/>
              <w:ind w:right="102"/>
              <w:rPr>
                <w:i/>
                <w:sz w:val="16"/>
              </w:rPr>
            </w:pPr>
            <w:r>
              <w:rPr>
                <w:i/>
                <w:spacing w:val="-2"/>
                <w:sz w:val="16"/>
              </w:rPr>
              <w:t>29,999.6</w:t>
            </w:r>
          </w:p>
        </w:tc>
        <w:tc>
          <w:tcPr>
            <w:tcW w:w="1079" w:type="dxa"/>
            <w:tcBorders>
              <w:top w:val="single" w:sz="4" w:space="0" w:color="000000"/>
              <w:bottom w:val="single" w:sz="4" w:space="0" w:color="000000"/>
            </w:tcBorders>
          </w:tcPr>
          <w:p>
            <w:pPr>
              <w:pStyle w:val="TableParagraph"/>
              <w:spacing w:before="9"/>
              <w:ind w:right="53"/>
              <w:rPr>
                <w:i/>
                <w:sz w:val="16"/>
              </w:rPr>
            </w:pPr>
            <w:r>
              <w:rPr>
                <w:i/>
                <w:spacing w:val="-2"/>
                <w:sz w:val="16"/>
              </w:rPr>
              <w:t>32,134.9</w:t>
            </w:r>
          </w:p>
        </w:tc>
        <w:tc>
          <w:tcPr>
            <w:tcW w:w="1157" w:type="dxa"/>
            <w:tcBorders>
              <w:top w:val="single" w:sz="4" w:space="0" w:color="000000"/>
              <w:bottom w:val="single" w:sz="4" w:space="0" w:color="000000"/>
            </w:tcBorders>
          </w:tcPr>
          <w:p>
            <w:pPr>
              <w:pStyle w:val="TableParagraph"/>
              <w:spacing w:before="9"/>
              <w:ind w:right="225"/>
              <w:rPr>
                <w:i/>
                <w:sz w:val="16"/>
              </w:rPr>
            </w:pPr>
            <w:r>
              <w:rPr>
                <w:i/>
                <w:spacing w:val="-2"/>
                <w:sz w:val="16"/>
              </w:rPr>
              <w:t>6,410.5</w:t>
            </w:r>
          </w:p>
        </w:tc>
        <w:tc>
          <w:tcPr>
            <w:tcW w:w="716" w:type="dxa"/>
            <w:tcBorders>
              <w:top w:val="single" w:sz="4" w:space="0" w:color="000000"/>
              <w:bottom w:val="single" w:sz="4" w:space="0" w:color="000000"/>
            </w:tcBorders>
          </w:tcPr>
          <w:p>
            <w:pPr>
              <w:pStyle w:val="TableParagraph"/>
              <w:spacing w:before="9"/>
              <w:ind w:right="182"/>
              <w:rPr>
                <w:i/>
                <w:sz w:val="16"/>
              </w:rPr>
            </w:pPr>
            <w:r>
              <w:rPr>
                <w:i/>
                <w:spacing w:val="-4"/>
                <w:sz w:val="16"/>
              </w:rPr>
              <w:t>19.9</w:t>
            </w:r>
          </w:p>
        </w:tc>
        <w:tc>
          <w:tcPr>
            <w:tcW w:w="1055" w:type="dxa"/>
            <w:tcBorders>
              <w:top w:val="single" w:sz="4" w:space="0" w:color="000000"/>
              <w:bottom w:val="single" w:sz="4" w:space="0" w:color="000000"/>
            </w:tcBorders>
          </w:tcPr>
          <w:p>
            <w:pPr>
              <w:pStyle w:val="TableParagraph"/>
              <w:spacing w:before="9"/>
              <w:ind w:right="109"/>
              <w:rPr>
                <w:i/>
                <w:sz w:val="16"/>
              </w:rPr>
            </w:pPr>
            <w:r>
              <w:rPr>
                <w:i/>
                <w:spacing w:val="-2"/>
                <w:sz w:val="16"/>
              </w:rPr>
              <w:t>38,545.4</w:t>
            </w:r>
          </w:p>
        </w:tc>
      </w:tr>
      <w:tr>
        <w:trPr>
          <w:trHeight w:val="229" w:hRule="atLeast"/>
        </w:trPr>
        <w:tc>
          <w:tcPr>
            <w:tcW w:w="2475" w:type="dxa"/>
            <w:tcBorders>
              <w:top w:val="single" w:sz="4" w:space="0" w:color="000000"/>
              <w:bottom w:val="single" w:sz="12" w:space="0" w:color="000000"/>
            </w:tcBorders>
          </w:tcPr>
          <w:p>
            <w:pPr>
              <w:pStyle w:val="TableParagraph"/>
              <w:spacing w:before="14"/>
              <w:ind w:left="117"/>
              <w:jc w:val="left"/>
              <w:rPr>
                <w:b/>
                <w:sz w:val="16"/>
              </w:rPr>
            </w:pPr>
            <w:r>
              <w:rPr>
                <w:b/>
                <w:spacing w:val="-2"/>
                <w:sz w:val="16"/>
              </w:rPr>
              <w:t>Total</w:t>
            </w:r>
          </w:p>
        </w:tc>
        <w:tc>
          <w:tcPr>
            <w:tcW w:w="1216" w:type="dxa"/>
            <w:tcBorders>
              <w:top w:val="single" w:sz="4" w:space="0" w:color="000000"/>
              <w:bottom w:val="single" w:sz="12" w:space="0" w:color="000000"/>
            </w:tcBorders>
          </w:tcPr>
          <w:p>
            <w:pPr>
              <w:pStyle w:val="TableParagraph"/>
              <w:spacing w:before="14"/>
              <w:ind w:right="189"/>
              <w:rPr>
                <w:b/>
                <w:sz w:val="16"/>
              </w:rPr>
            </w:pPr>
            <w:r>
              <w:rPr>
                <w:b/>
                <w:spacing w:val="-2"/>
                <w:sz w:val="16"/>
              </w:rPr>
              <w:t>140,868.7</w:t>
            </w:r>
          </w:p>
        </w:tc>
        <w:tc>
          <w:tcPr>
            <w:tcW w:w="826" w:type="dxa"/>
            <w:tcBorders>
              <w:top w:val="single" w:sz="4" w:space="0" w:color="000000"/>
              <w:bottom w:val="single" w:sz="12" w:space="0" w:color="000000"/>
            </w:tcBorders>
          </w:tcPr>
          <w:p>
            <w:pPr>
              <w:pStyle w:val="TableParagraph"/>
              <w:spacing w:before="14"/>
              <w:ind w:right="107"/>
              <w:rPr>
                <w:b/>
                <w:sz w:val="16"/>
              </w:rPr>
            </w:pPr>
            <w:r>
              <w:rPr>
                <w:b/>
                <w:spacing w:val="-2"/>
                <w:sz w:val="16"/>
              </w:rPr>
              <w:t>2,199.9</w:t>
            </w:r>
          </w:p>
        </w:tc>
        <w:tc>
          <w:tcPr>
            <w:tcW w:w="1128" w:type="dxa"/>
            <w:tcBorders>
              <w:top w:val="single" w:sz="4" w:space="0" w:color="000000"/>
              <w:bottom w:val="single" w:sz="12" w:space="0" w:color="000000"/>
            </w:tcBorders>
          </w:tcPr>
          <w:p>
            <w:pPr>
              <w:pStyle w:val="TableParagraph"/>
              <w:spacing w:before="14"/>
              <w:ind w:right="102"/>
              <w:rPr>
                <w:b/>
                <w:sz w:val="16"/>
              </w:rPr>
            </w:pPr>
            <w:r>
              <w:rPr>
                <w:b/>
                <w:spacing w:val="-2"/>
                <w:sz w:val="16"/>
              </w:rPr>
              <w:t>143,068.6</w:t>
            </w:r>
          </w:p>
        </w:tc>
        <w:tc>
          <w:tcPr>
            <w:tcW w:w="1079" w:type="dxa"/>
            <w:tcBorders>
              <w:top w:val="single" w:sz="4" w:space="0" w:color="000000"/>
              <w:bottom w:val="single" w:sz="12" w:space="0" w:color="000000"/>
            </w:tcBorders>
          </w:tcPr>
          <w:p>
            <w:pPr>
              <w:pStyle w:val="TableParagraph"/>
              <w:spacing w:before="14"/>
              <w:ind w:right="53"/>
              <w:rPr>
                <w:b/>
                <w:sz w:val="16"/>
              </w:rPr>
            </w:pPr>
            <w:r>
              <w:rPr>
                <w:b/>
                <w:spacing w:val="-2"/>
                <w:sz w:val="16"/>
              </w:rPr>
              <w:t>151,269.9</w:t>
            </w:r>
          </w:p>
        </w:tc>
        <w:tc>
          <w:tcPr>
            <w:tcW w:w="1157" w:type="dxa"/>
            <w:tcBorders>
              <w:top w:val="single" w:sz="4" w:space="0" w:color="000000"/>
              <w:bottom w:val="single" w:sz="12" w:space="0" w:color="000000"/>
            </w:tcBorders>
          </w:tcPr>
          <w:p>
            <w:pPr>
              <w:pStyle w:val="TableParagraph"/>
              <w:spacing w:before="14"/>
              <w:ind w:right="225"/>
              <w:rPr>
                <w:b/>
                <w:sz w:val="16"/>
              </w:rPr>
            </w:pPr>
            <w:r>
              <w:rPr>
                <w:b/>
                <w:spacing w:val="-2"/>
                <w:sz w:val="16"/>
              </w:rPr>
              <w:t>24,057.5</w:t>
            </w:r>
          </w:p>
        </w:tc>
        <w:tc>
          <w:tcPr>
            <w:tcW w:w="716" w:type="dxa"/>
            <w:tcBorders>
              <w:top w:val="single" w:sz="4" w:space="0" w:color="000000"/>
              <w:bottom w:val="single" w:sz="12" w:space="0" w:color="000000"/>
            </w:tcBorders>
          </w:tcPr>
          <w:p>
            <w:pPr>
              <w:pStyle w:val="TableParagraph"/>
              <w:spacing w:before="14"/>
              <w:ind w:right="182"/>
              <w:rPr>
                <w:b/>
                <w:sz w:val="16"/>
              </w:rPr>
            </w:pPr>
            <w:r>
              <w:rPr>
                <w:b/>
                <w:spacing w:val="-4"/>
                <w:sz w:val="16"/>
              </w:rPr>
              <w:t>15.9</w:t>
            </w:r>
          </w:p>
        </w:tc>
        <w:tc>
          <w:tcPr>
            <w:tcW w:w="1055" w:type="dxa"/>
            <w:tcBorders>
              <w:top w:val="single" w:sz="4" w:space="0" w:color="000000"/>
              <w:bottom w:val="single" w:sz="12" w:space="0" w:color="000000"/>
            </w:tcBorders>
          </w:tcPr>
          <w:p>
            <w:pPr>
              <w:pStyle w:val="TableParagraph"/>
              <w:spacing w:before="14"/>
              <w:ind w:right="110"/>
              <w:rPr>
                <w:b/>
                <w:sz w:val="16"/>
              </w:rPr>
            </w:pPr>
            <w:r>
              <w:rPr>
                <w:b/>
                <w:spacing w:val="-2"/>
                <w:sz w:val="16"/>
              </w:rPr>
              <w:t>175,327.4</w:t>
            </w:r>
          </w:p>
        </w:tc>
      </w:tr>
      <w:tr>
        <w:trPr>
          <w:trHeight w:val="224" w:hRule="atLeast"/>
        </w:trPr>
        <w:tc>
          <w:tcPr>
            <w:tcW w:w="2475" w:type="dxa"/>
            <w:tcBorders>
              <w:top w:val="single" w:sz="12" w:space="0" w:color="000000"/>
              <w:bottom w:val="single" w:sz="4" w:space="0" w:color="000000"/>
            </w:tcBorders>
          </w:tcPr>
          <w:p>
            <w:pPr>
              <w:pStyle w:val="TableParagraph"/>
              <w:spacing w:before="9"/>
              <w:ind w:left="117"/>
              <w:jc w:val="left"/>
              <w:rPr>
                <w:i/>
                <w:sz w:val="16"/>
              </w:rPr>
            </w:pPr>
            <w:r>
              <w:rPr>
                <w:i/>
                <w:sz w:val="16"/>
              </w:rPr>
              <w:t>Host</w:t>
            </w:r>
            <w:r>
              <w:rPr>
                <w:i/>
                <w:spacing w:val="-5"/>
                <w:sz w:val="16"/>
              </w:rPr>
              <w:t> </w:t>
            </w:r>
            <w:r>
              <w:rPr>
                <w:i/>
                <w:sz w:val="16"/>
              </w:rPr>
              <w:t>State</w:t>
            </w:r>
            <w:r>
              <w:rPr>
                <w:i/>
                <w:spacing w:val="-3"/>
                <w:sz w:val="16"/>
              </w:rPr>
              <w:t> </w:t>
            </w:r>
            <w:r>
              <w:rPr>
                <w:i/>
                <w:spacing w:val="-4"/>
                <w:sz w:val="16"/>
              </w:rPr>
              <w:t>Loan</w:t>
            </w:r>
          </w:p>
        </w:tc>
        <w:tc>
          <w:tcPr>
            <w:tcW w:w="1216" w:type="dxa"/>
            <w:tcBorders>
              <w:top w:val="single" w:sz="12" w:space="0" w:color="000000"/>
              <w:bottom w:val="single" w:sz="4" w:space="0" w:color="000000"/>
            </w:tcBorders>
          </w:tcPr>
          <w:p>
            <w:pPr>
              <w:pStyle w:val="TableParagraph"/>
              <w:spacing w:before="9"/>
              <w:ind w:right="189"/>
              <w:rPr>
                <w:i/>
                <w:sz w:val="16"/>
              </w:rPr>
            </w:pPr>
            <w:r>
              <w:rPr>
                <w:i/>
                <w:spacing w:val="-2"/>
                <w:sz w:val="16"/>
              </w:rPr>
              <w:t>3,585.1</w:t>
            </w:r>
          </w:p>
        </w:tc>
        <w:tc>
          <w:tcPr>
            <w:tcW w:w="826" w:type="dxa"/>
            <w:tcBorders>
              <w:top w:val="single" w:sz="12" w:space="0" w:color="000000"/>
              <w:bottom w:val="single" w:sz="4" w:space="0" w:color="000000"/>
            </w:tcBorders>
          </w:tcPr>
          <w:p>
            <w:pPr>
              <w:pStyle w:val="TableParagraph"/>
              <w:spacing w:before="9"/>
              <w:ind w:right="109"/>
              <w:rPr>
                <w:i/>
                <w:sz w:val="16"/>
              </w:rPr>
            </w:pPr>
            <w:r>
              <w:rPr>
                <w:i/>
                <w:w w:val="98"/>
                <w:sz w:val="16"/>
              </w:rPr>
              <w:t>-</w:t>
            </w:r>
          </w:p>
        </w:tc>
        <w:tc>
          <w:tcPr>
            <w:tcW w:w="1128" w:type="dxa"/>
            <w:tcBorders>
              <w:top w:val="single" w:sz="12" w:space="0" w:color="000000"/>
              <w:bottom w:val="single" w:sz="4" w:space="0" w:color="000000"/>
            </w:tcBorders>
          </w:tcPr>
          <w:p>
            <w:pPr>
              <w:pStyle w:val="TableParagraph"/>
              <w:spacing w:before="9"/>
              <w:ind w:right="102"/>
              <w:rPr>
                <w:i/>
                <w:sz w:val="16"/>
              </w:rPr>
            </w:pPr>
            <w:r>
              <w:rPr>
                <w:i/>
                <w:spacing w:val="-2"/>
                <w:sz w:val="16"/>
              </w:rPr>
              <w:t>3,585.1</w:t>
            </w:r>
          </w:p>
        </w:tc>
        <w:tc>
          <w:tcPr>
            <w:tcW w:w="1079" w:type="dxa"/>
            <w:tcBorders>
              <w:top w:val="single" w:sz="12" w:space="0" w:color="000000"/>
              <w:bottom w:val="single" w:sz="4" w:space="0" w:color="000000"/>
            </w:tcBorders>
          </w:tcPr>
          <w:p>
            <w:pPr>
              <w:pStyle w:val="TableParagraph"/>
              <w:spacing w:before="9"/>
              <w:ind w:right="53"/>
              <w:rPr>
                <w:i/>
                <w:sz w:val="16"/>
              </w:rPr>
            </w:pPr>
            <w:r>
              <w:rPr>
                <w:i/>
                <w:spacing w:val="-2"/>
                <w:sz w:val="16"/>
              </w:rPr>
              <w:t>3,585.1</w:t>
            </w:r>
          </w:p>
        </w:tc>
        <w:tc>
          <w:tcPr>
            <w:tcW w:w="1157" w:type="dxa"/>
            <w:tcBorders>
              <w:top w:val="single" w:sz="12" w:space="0" w:color="000000"/>
              <w:bottom w:val="single" w:sz="4" w:space="0" w:color="000000"/>
            </w:tcBorders>
          </w:tcPr>
          <w:p>
            <w:pPr>
              <w:pStyle w:val="TableParagraph"/>
              <w:spacing w:before="9"/>
              <w:ind w:right="227"/>
              <w:rPr>
                <w:i/>
                <w:sz w:val="16"/>
              </w:rPr>
            </w:pPr>
            <w:r>
              <w:rPr>
                <w:i/>
                <w:w w:val="98"/>
                <w:sz w:val="16"/>
              </w:rPr>
              <w:t>-</w:t>
            </w:r>
          </w:p>
        </w:tc>
        <w:tc>
          <w:tcPr>
            <w:tcW w:w="716" w:type="dxa"/>
            <w:tcBorders>
              <w:top w:val="single" w:sz="12" w:space="0" w:color="000000"/>
              <w:bottom w:val="single" w:sz="4" w:space="0" w:color="000000"/>
            </w:tcBorders>
          </w:tcPr>
          <w:p>
            <w:pPr>
              <w:pStyle w:val="TableParagraph"/>
              <w:spacing w:before="9"/>
              <w:ind w:right="184"/>
              <w:rPr>
                <w:i/>
                <w:sz w:val="16"/>
              </w:rPr>
            </w:pPr>
            <w:r>
              <w:rPr>
                <w:i/>
                <w:w w:val="98"/>
                <w:sz w:val="16"/>
              </w:rPr>
              <w:t>-</w:t>
            </w:r>
          </w:p>
        </w:tc>
        <w:tc>
          <w:tcPr>
            <w:tcW w:w="1055" w:type="dxa"/>
            <w:tcBorders>
              <w:top w:val="single" w:sz="12" w:space="0" w:color="000000"/>
              <w:bottom w:val="single" w:sz="4" w:space="0" w:color="000000"/>
            </w:tcBorders>
          </w:tcPr>
          <w:p>
            <w:pPr>
              <w:pStyle w:val="TableParagraph"/>
              <w:spacing w:before="9"/>
              <w:ind w:right="109"/>
              <w:rPr>
                <w:i/>
                <w:sz w:val="16"/>
              </w:rPr>
            </w:pPr>
            <w:r>
              <w:rPr>
                <w:i/>
                <w:spacing w:val="-2"/>
                <w:sz w:val="16"/>
              </w:rPr>
              <w:t>3,585.1</w:t>
            </w:r>
          </w:p>
        </w:tc>
      </w:tr>
      <w:tr>
        <w:trPr>
          <w:trHeight w:val="229" w:hRule="atLeast"/>
        </w:trPr>
        <w:tc>
          <w:tcPr>
            <w:tcW w:w="2475" w:type="dxa"/>
            <w:tcBorders>
              <w:top w:val="single" w:sz="4" w:space="0" w:color="000000"/>
              <w:bottom w:val="single" w:sz="12" w:space="0" w:color="000000"/>
            </w:tcBorders>
          </w:tcPr>
          <w:p>
            <w:pPr>
              <w:pStyle w:val="TableParagraph"/>
              <w:spacing w:before="14"/>
              <w:ind w:left="117"/>
              <w:jc w:val="left"/>
              <w:rPr>
                <w:b/>
                <w:sz w:val="16"/>
              </w:rPr>
            </w:pPr>
            <w:r>
              <w:rPr>
                <w:b/>
                <w:sz w:val="16"/>
              </w:rPr>
              <w:t>Total</w:t>
            </w:r>
            <w:r>
              <w:rPr>
                <w:b/>
                <w:spacing w:val="-8"/>
                <w:sz w:val="16"/>
              </w:rPr>
              <w:t> </w:t>
            </w:r>
            <w:r>
              <w:rPr>
                <w:b/>
                <w:sz w:val="16"/>
              </w:rPr>
              <w:t>Including</w:t>
            </w:r>
            <w:r>
              <w:rPr>
                <w:b/>
                <w:spacing w:val="-5"/>
                <w:sz w:val="16"/>
              </w:rPr>
              <w:t> </w:t>
            </w:r>
            <w:r>
              <w:rPr>
                <w:b/>
                <w:sz w:val="16"/>
              </w:rPr>
              <w:t>Host</w:t>
            </w:r>
            <w:r>
              <w:rPr>
                <w:b/>
                <w:spacing w:val="-6"/>
                <w:sz w:val="16"/>
              </w:rPr>
              <w:t> </w:t>
            </w:r>
            <w:r>
              <w:rPr>
                <w:b/>
                <w:sz w:val="16"/>
              </w:rPr>
              <w:t>State</w:t>
            </w:r>
            <w:r>
              <w:rPr>
                <w:b/>
                <w:spacing w:val="-6"/>
                <w:sz w:val="16"/>
              </w:rPr>
              <w:t> </w:t>
            </w:r>
            <w:r>
              <w:rPr>
                <w:b/>
                <w:spacing w:val="-4"/>
                <w:sz w:val="16"/>
              </w:rPr>
              <w:t>Loan</w:t>
            </w:r>
          </w:p>
        </w:tc>
        <w:tc>
          <w:tcPr>
            <w:tcW w:w="1216" w:type="dxa"/>
            <w:tcBorders>
              <w:top w:val="single" w:sz="4" w:space="0" w:color="000000"/>
              <w:bottom w:val="single" w:sz="12" w:space="0" w:color="000000"/>
            </w:tcBorders>
          </w:tcPr>
          <w:p>
            <w:pPr>
              <w:pStyle w:val="TableParagraph"/>
              <w:spacing w:before="14"/>
              <w:ind w:right="189"/>
              <w:rPr>
                <w:b/>
                <w:sz w:val="16"/>
              </w:rPr>
            </w:pPr>
            <w:r>
              <w:rPr>
                <w:b/>
                <w:spacing w:val="-2"/>
                <w:sz w:val="16"/>
              </w:rPr>
              <w:t>144,453.9</w:t>
            </w:r>
          </w:p>
        </w:tc>
        <w:tc>
          <w:tcPr>
            <w:tcW w:w="826" w:type="dxa"/>
            <w:tcBorders>
              <w:top w:val="single" w:sz="4" w:space="0" w:color="000000"/>
              <w:bottom w:val="single" w:sz="12" w:space="0" w:color="000000"/>
            </w:tcBorders>
          </w:tcPr>
          <w:p>
            <w:pPr>
              <w:pStyle w:val="TableParagraph"/>
              <w:spacing w:before="14"/>
              <w:ind w:right="107"/>
              <w:rPr>
                <w:b/>
                <w:sz w:val="16"/>
              </w:rPr>
            </w:pPr>
            <w:r>
              <w:rPr>
                <w:b/>
                <w:spacing w:val="-2"/>
                <w:sz w:val="16"/>
              </w:rPr>
              <w:t>2,199.9</w:t>
            </w:r>
          </w:p>
        </w:tc>
        <w:tc>
          <w:tcPr>
            <w:tcW w:w="1128" w:type="dxa"/>
            <w:tcBorders>
              <w:top w:val="single" w:sz="4" w:space="0" w:color="000000"/>
              <w:bottom w:val="single" w:sz="12" w:space="0" w:color="000000"/>
            </w:tcBorders>
          </w:tcPr>
          <w:p>
            <w:pPr>
              <w:pStyle w:val="TableParagraph"/>
              <w:spacing w:before="14"/>
              <w:ind w:right="102"/>
              <w:rPr>
                <w:b/>
                <w:sz w:val="16"/>
              </w:rPr>
            </w:pPr>
            <w:r>
              <w:rPr>
                <w:b/>
                <w:spacing w:val="-2"/>
                <w:sz w:val="16"/>
              </w:rPr>
              <w:t>146,653.7</w:t>
            </w:r>
          </w:p>
        </w:tc>
        <w:tc>
          <w:tcPr>
            <w:tcW w:w="1079" w:type="dxa"/>
            <w:tcBorders>
              <w:top w:val="single" w:sz="4" w:space="0" w:color="000000"/>
              <w:bottom w:val="single" w:sz="12" w:space="0" w:color="000000"/>
            </w:tcBorders>
          </w:tcPr>
          <w:p>
            <w:pPr>
              <w:pStyle w:val="TableParagraph"/>
              <w:spacing w:before="14"/>
              <w:ind w:right="53"/>
              <w:rPr>
                <w:b/>
                <w:sz w:val="16"/>
              </w:rPr>
            </w:pPr>
            <w:r>
              <w:rPr>
                <w:b/>
                <w:spacing w:val="-2"/>
                <w:sz w:val="16"/>
              </w:rPr>
              <w:t>154,855.0</w:t>
            </w:r>
          </w:p>
        </w:tc>
        <w:tc>
          <w:tcPr>
            <w:tcW w:w="1157" w:type="dxa"/>
            <w:tcBorders>
              <w:top w:val="single" w:sz="4" w:space="0" w:color="000000"/>
              <w:bottom w:val="single" w:sz="12" w:space="0" w:color="000000"/>
            </w:tcBorders>
          </w:tcPr>
          <w:p>
            <w:pPr>
              <w:pStyle w:val="TableParagraph"/>
              <w:spacing w:before="14"/>
              <w:ind w:right="225"/>
              <w:rPr>
                <w:b/>
                <w:sz w:val="16"/>
              </w:rPr>
            </w:pPr>
            <w:r>
              <w:rPr>
                <w:b/>
                <w:spacing w:val="-2"/>
                <w:sz w:val="16"/>
              </w:rPr>
              <w:t>24,057.5</w:t>
            </w:r>
          </w:p>
        </w:tc>
        <w:tc>
          <w:tcPr>
            <w:tcW w:w="716" w:type="dxa"/>
            <w:tcBorders>
              <w:top w:val="single" w:sz="4" w:space="0" w:color="000000"/>
              <w:bottom w:val="single" w:sz="12" w:space="0" w:color="000000"/>
            </w:tcBorders>
          </w:tcPr>
          <w:p>
            <w:pPr>
              <w:pStyle w:val="TableParagraph"/>
              <w:spacing w:before="14"/>
              <w:ind w:right="182"/>
              <w:rPr>
                <w:b/>
                <w:sz w:val="16"/>
              </w:rPr>
            </w:pPr>
            <w:r>
              <w:rPr>
                <w:b/>
                <w:spacing w:val="-4"/>
                <w:sz w:val="16"/>
              </w:rPr>
              <w:t>15.5</w:t>
            </w:r>
          </w:p>
        </w:tc>
        <w:tc>
          <w:tcPr>
            <w:tcW w:w="1055" w:type="dxa"/>
            <w:tcBorders>
              <w:top w:val="single" w:sz="4" w:space="0" w:color="000000"/>
              <w:bottom w:val="single" w:sz="12" w:space="0" w:color="000000"/>
            </w:tcBorders>
          </w:tcPr>
          <w:p>
            <w:pPr>
              <w:pStyle w:val="TableParagraph"/>
              <w:spacing w:before="14"/>
              <w:ind w:right="110"/>
              <w:rPr>
                <w:b/>
                <w:sz w:val="16"/>
              </w:rPr>
            </w:pPr>
            <w:r>
              <w:rPr>
                <w:b/>
                <w:spacing w:val="-2"/>
                <w:sz w:val="16"/>
              </w:rPr>
              <w:t>178,912.5</w:t>
            </w:r>
          </w:p>
        </w:tc>
      </w:tr>
    </w:tbl>
    <w:p>
      <w:pPr>
        <w:pStyle w:val="BodyText"/>
        <w:rPr>
          <w:b/>
          <w:sz w:val="22"/>
        </w:rPr>
      </w:pPr>
    </w:p>
    <w:p>
      <w:pPr>
        <w:spacing w:before="0"/>
        <w:ind w:left="2246" w:right="0" w:firstLine="0"/>
        <w:jc w:val="left"/>
        <w:rPr>
          <w:b/>
          <w:sz w:val="20"/>
        </w:rPr>
      </w:pPr>
      <w:r>
        <w:rPr>
          <w:b/>
          <w:sz w:val="20"/>
        </w:rPr>
        <w:t>Table</w:t>
      </w:r>
      <w:r>
        <w:rPr>
          <w:b/>
          <w:spacing w:val="-5"/>
          <w:sz w:val="20"/>
        </w:rPr>
        <w:t> </w:t>
      </w:r>
      <w:r>
        <w:rPr>
          <w:b/>
          <w:sz w:val="20"/>
        </w:rPr>
        <w:t>4:</w:t>
      </w:r>
      <w:r>
        <w:rPr>
          <w:b/>
          <w:spacing w:val="-7"/>
          <w:sz w:val="20"/>
        </w:rPr>
        <w:t> </w:t>
      </w:r>
      <w:r>
        <w:rPr>
          <w:b/>
          <w:sz w:val="20"/>
        </w:rPr>
        <w:t>Total</w:t>
      </w:r>
      <w:r>
        <w:rPr>
          <w:b/>
          <w:spacing w:val="-1"/>
          <w:sz w:val="20"/>
        </w:rPr>
        <w:t> </w:t>
      </w:r>
      <w:r>
        <w:rPr>
          <w:b/>
          <w:sz w:val="20"/>
        </w:rPr>
        <w:t>Court:</w:t>
      </w:r>
      <w:r>
        <w:rPr>
          <w:b/>
          <w:spacing w:val="-7"/>
          <w:sz w:val="20"/>
        </w:rPr>
        <w:t> </w:t>
      </w:r>
      <w:r>
        <w:rPr>
          <w:b/>
          <w:sz w:val="20"/>
        </w:rPr>
        <w:t>Proposed</w:t>
      </w:r>
      <w:r>
        <w:rPr>
          <w:b/>
          <w:spacing w:val="-7"/>
          <w:sz w:val="20"/>
        </w:rPr>
        <w:t> </w:t>
      </w:r>
      <w:r>
        <w:rPr>
          <w:b/>
          <w:sz w:val="20"/>
        </w:rPr>
        <w:t>staffing</w:t>
      </w:r>
      <w:r>
        <w:rPr>
          <w:b/>
          <w:spacing w:val="-7"/>
          <w:sz w:val="20"/>
        </w:rPr>
        <w:t> </w:t>
      </w:r>
      <w:r>
        <w:rPr>
          <w:b/>
          <w:sz w:val="20"/>
        </w:rPr>
        <w:t>for </w:t>
      </w:r>
      <w:r>
        <w:rPr>
          <w:b/>
          <w:spacing w:val="-4"/>
          <w:sz w:val="20"/>
        </w:rPr>
        <w:t>2023</w:t>
      </w:r>
    </w:p>
    <w:tbl>
      <w:tblPr>
        <w:tblW w:w="0" w:type="auto"/>
        <w:jc w:val="left"/>
        <w:tblInd w:w="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6"/>
        <w:gridCol w:w="678"/>
        <w:gridCol w:w="607"/>
        <w:gridCol w:w="548"/>
        <w:gridCol w:w="571"/>
        <w:gridCol w:w="539"/>
        <w:gridCol w:w="590"/>
        <w:gridCol w:w="667"/>
        <w:gridCol w:w="667"/>
        <w:gridCol w:w="535"/>
        <w:gridCol w:w="792"/>
        <w:gridCol w:w="567"/>
        <w:gridCol w:w="580"/>
        <w:gridCol w:w="561"/>
        <w:gridCol w:w="775"/>
        <w:gridCol w:w="558"/>
      </w:tblGrid>
      <w:tr>
        <w:trPr>
          <w:trHeight w:val="480" w:hRule="atLeast"/>
        </w:trPr>
        <w:tc>
          <w:tcPr>
            <w:tcW w:w="1186" w:type="dxa"/>
            <w:tcBorders>
              <w:top w:val="single" w:sz="4" w:space="0" w:color="000000"/>
              <w:bottom w:val="single" w:sz="4" w:space="0" w:color="000000"/>
            </w:tcBorders>
          </w:tcPr>
          <w:p>
            <w:pPr>
              <w:pStyle w:val="TableParagraph"/>
              <w:jc w:val="left"/>
              <w:rPr>
                <w:b/>
                <w:sz w:val="14"/>
              </w:rPr>
            </w:pPr>
          </w:p>
          <w:p>
            <w:pPr>
              <w:pStyle w:val="TableParagraph"/>
              <w:spacing w:before="1"/>
              <w:jc w:val="left"/>
              <w:rPr>
                <w:b/>
                <w:sz w:val="13"/>
              </w:rPr>
            </w:pPr>
          </w:p>
          <w:p>
            <w:pPr>
              <w:pStyle w:val="TableParagraph"/>
              <w:spacing w:line="148" w:lineRule="exact"/>
              <w:ind w:left="67"/>
              <w:jc w:val="left"/>
              <w:rPr>
                <w:sz w:val="14"/>
              </w:rPr>
            </w:pPr>
            <w:r>
              <w:rPr>
                <w:spacing w:val="-5"/>
                <w:sz w:val="14"/>
              </w:rPr>
              <w:t>ICC</w:t>
            </w:r>
          </w:p>
        </w:tc>
        <w:tc>
          <w:tcPr>
            <w:tcW w:w="678" w:type="dxa"/>
            <w:tcBorders>
              <w:top w:val="single" w:sz="4" w:space="0" w:color="000000"/>
              <w:bottom w:val="single" w:sz="4" w:space="0" w:color="000000"/>
            </w:tcBorders>
          </w:tcPr>
          <w:p>
            <w:pPr>
              <w:pStyle w:val="TableParagraph"/>
              <w:jc w:val="left"/>
              <w:rPr>
                <w:b/>
                <w:sz w:val="14"/>
              </w:rPr>
            </w:pPr>
          </w:p>
          <w:p>
            <w:pPr>
              <w:pStyle w:val="TableParagraph"/>
              <w:spacing w:before="1"/>
              <w:jc w:val="left"/>
              <w:rPr>
                <w:b/>
                <w:sz w:val="13"/>
              </w:rPr>
            </w:pPr>
          </w:p>
          <w:p>
            <w:pPr>
              <w:pStyle w:val="TableParagraph"/>
              <w:spacing w:line="148" w:lineRule="exact"/>
              <w:ind w:right="152"/>
              <w:rPr>
                <w:sz w:val="14"/>
              </w:rPr>
            </w:pPr>
            <w:r>
              <w:rPr>
                <w:spacing w:val="-5"/>
                <w:sz w:val="14"/>
              </w:rPr>
              <w:t>USG</w:t>
            </w:r>
          </w:p>
        </w:tc>
        <w:tc>
          <w:tcPr>
            <w:tcW w:w="607" w:type="dxa"/>
            <w:tcBorders>
              <w:top w:val="single" w:sz="4" w:space="0" w:color="000000"/>
              <w:bottom w:val="single" w:sz="4" w:space="0" w:color="000000"/>
            </w:tcBorders>
          </w:tcPr>
          <w:p>
            <w:pPr>
              <w:pStyle w:val="TableParagraph"/>
              <w:jc w:val="left"/>
              <w:rPr>
                <w:b/>
                <w:sz w:val="14"/>
              </w:rPr>
            </w:pPr>
          </w:p>
          <w:p>
            <w:pPr>
              <w:pStyle w:val="TableParagraph"/>
              <w:spacing w:before="1"/>
              <w:jc w:val="left"/>
              <w:rPr>
                <w:b/>
                <w:sz w:val="13"/>
              </w:rPr>
            </w:pPr>
          </w:p>
          <w:p>
            <w:pPr>
              <w:pStyle w:val="TableParagraph"/>
              <w:spacing w:line="148" w:lineRule="exact"/>
              <w:ind w:right="169"/>
              <w:rPr>
                <w:sz w:val="14"/>
              </w:rPr>
            </w:pPr>
            <w:r>
              <w:rPr>
                <w:spacing w:val="-5"/>
                <w:sz w:val="14"/>
              </w:rPr>
              <w:t>ASG</w:t>
            </w:r>
          </w:p>
        </w:tc>
        <w:tc>
          <w:tcPr>
            <w:tcW w:w="548" w:type="dxa"/>
            <w:tcBorders>
              <w:top w:val="single" w:sz="4" w:space="0" w:color="000000"/>
              <w:bottom w:val="single" w:sz="4" w:space="0" w:color="000000"/>
            </w:tcBorders>
          </w:tcPr>
          <w:p>
            <w:pPr>
              <w:pStyle w:val="TableParagraph"/>
              <w:jc w:val="left"/>
              <w:rPr>
                <w:b/>
                <w:sz w:val="14"/>
              </w:rPr>
            </w:pPr>
          </w:p>
          <w:p>
            <w:pPr>
              <w:pStyle w:val="TableParagraph"/>
              <w:spacing w:before="1"/>
              <w:jc w:val="left"/>
              <w:rPr>
                <w:b/>
                <w:sz w:val="13"/>
              </w:rPr>
            </w:pPr>
          </w:p>
          <w:p>
            <w:pPr>
              <w:pStyle w:val="TableParagraph"/>
              <w:spacing w:line="148" w:lineRule="exact"/>
              <w:ind w:right="152"/>
              <w:rPr>
                <w:sz w:val="14"/>
              </w:rPr>
            </w:pPr>
            <w:r>
              <w:rPr>
                <w:w w:val="95"/>
                <w:sz w:val="14"/>
              </w:rPr>
              <w:t>D-</w:t>
            </w:r>
            <w:r>
              <w:rPr>
                <w:spacing w:val="-10"/>
                <w:sz w:val="14"/>
              </w:rPr>
              <w:t>2</w:t>
            </w:r>
          </w:p>
        </w:tc>
        <w:tc>
          <w:tcPr>
            <w:tcW w:w="571" w:type="dxa"/>
            <w:tcBorders>
              <w:top w:val="single" w:sz="4" w:space="0" w:color="000000"/>
              <w:bottom w:val="single" w:sz="4" w:space="0" w:color="000000"/>
            </w:tcBorders>
          </w:tcPr>
          <w:p>
            <w:pPr>
              <w:pStyle w:val="TableParagraph"/>
              <w:jc w:val="left"/>
              <w:rPr>
                <w:b/>
                <w:sz w:val="14"/>
              </w:rPr>
            </w:pPr>
          </w:p>
          <w:p>
            <w:pPr>
              <w:pStyle w:val="TableParagraph"/>
              <w:spacing w:before="1"/>
              <w:jc w:val="left"/>
              <w:rPr>
                <w:b/>
                <w:sz w:val="13"/>
              </w:rPr>
            </w:pPr>
          </w:p>
          <w:p>
            <w:pPr>
              <w:pStyle w:val="TableParagraph"/>
              <w:spacing w:line="148" w:lineRule="exact"/>
              <w:ind w:right="162"/>
              <w:rPr>
                <w:sz w:val="14"/>
              </w:rPr>
            </w:pPr>
            <w:r>
              <w:rPr>
                <w:w w:val="95"/>
                <w:sz w:val="14"/>
              </w:rPr>
              <w:t>D-</w:t>
            </w:r>
            <w:r>
              <w:rPr>
                <w:spacing w:val="-10"/>
                <w:sz w:val="14"/>
              </w:rPr>
              <w:t>1</w:t>
            </w:r>
          </w:p>
        </w:tc>
        <w:tc>
          <w:tcPr>
            <w:tcW w:w="539" w:type="dxa"/>
            <w:tcBorders>
              <w:top w:val="single" w:sz="4" w:space="0" w:color="000000"/>
              <w:bottom w:val="single" w:sz="4" w:space="0" w:color="000000"/>
            </w:tcBorders>
          </w:tcPr>
          <w:p>
            <w:pPr>
              <w:pStyle w:val="TableParagraph"/>
              <w:jc w:val="left"/>
              <w:rPr>
                <w:b/>
                <w:sz w:val="14"/>
              </w:rPr>
            </w:pPr>
          </w:p>
          <w:p>
            <w:pPr>
              <w:pStyle w:val="TableParagraph"/>
              <w:spacing w:before="1"/>
              <w:jc w:val="left"/>
              <w:rPr>
                <w:b/>
                <w:sz w:val="13"/>
              </w:rPr>
            </w:pPr>
          </w:p>
          <w:p>
            <w:pPr>
              <w:pStyle w:val="TableParagraph"/>
              <w:spacing w:line="148" w:lineRule="exact"/>
              <w:ind w:left="157" w:right="66"/>
              <w:jc w:val="center"/>
              <w:rPr>
                <w:sz w:val="14"/>
              </w:rPr>
            </w:pPr>
            <w:r>
              <w:rPr>
                <w:w w:val="95"/>
                <w:sz w:val="14"/>
              </w:rPr>
              <w:t>P-</w:t>
            </w:r>
            <w:r>
              <w:rPr>
                <w:spacing w:val="-10"/>
                <w:sz w:val="14"/>
              </w:rPr>
              <w:t>5</w:t>
            </w:r>
          </w:p>
        </w:tc>
        <w:tc>
          <w:tcPr>
            <w:tcW w:w="590" w:type="dxa"/>
            <w:tcBorders>
              <w:top w:val="single" w:sz="4" w:space="0" w:color="000000"/>
              <w:bottom w:val="single" w:sz="4" w:space="0" w:color="000000"/>
            </w:tcBorders>
          </w:tcPr>
          <w:p>
            <w:pPr>
              <w:pStyle w:val="TableParagraph"/>
              <w:jc w:val="left"/>
              <w:rPr>
                <w:b/>
                <w:sz w:val="14"/>
              </w:rPr>
            </w:pPr>
          </w:p>
          <w:p>
            <w:pPr>
              <w:pStyle w:val="TableParagraph"/>
              <w:spacing w:before="1"/>
              <w:jc w:val="left"/>
              <w:rPr>
                <w:b/>
                <w:sz w:val="13"/>
              </w:rPr>
            </w:pPr>
          </w:p>
          <w:p>
            <w:pPr>
              <w:pStyle w:val="TableParagraph"/>
              <w:spacing w:line="148" w:lineRule="exact"/>
              <w:ind w:right="129"/>
              <w:rPr>
                <w:sz w:val="14"/>
              </w:rPr>
            </w:pPr>
            <w:r>
              <w:rPr>
                <w:w w:val="95"/>
                <w:sz w:val="14"/>
              </w:rPr>
              <w:t>P-</w:t>
            </w:r>
            <w:r>
              <w:rPr>
                <w:spacing w:val="-10"/>
                <w:sz w:val="14"/>
              </w:rPr>
              <w:t>4</w:t>
            </w:r>
          </w:p>
        </w:tc>
        <w:tc>
          <w:tcPr>
            <w:tcW w:w="667" w:type="dxa"/>
            <w:tcBorders>
              <w:top w:val="single" w:sz="4" w:space="0" w:color="000000"/>
              <w:bottom w:val="single" w:sz="4" w:space="0" w:color="000000"/>
            </w:tcBorders>
          </w:tcPr>
          <w:p>
            <w:pPr>
              <w:pStyle w:val="TableParagraph"/>
              <w:jc w:val="left"/>
              <w:rPr>
                <w:b/>
                <w:sz w:val="14"/>
              </w:rPr>
            </w:pPr>
          </w:p>
          <w:p>
            <w:pPr>
              <w:pStyle w:val="TableParagraph"/>
              <w:spacing w:before="1"/>
              <w:jc w:val="left"/>
              <w:rPr>
                <w:b/>
                <w:sz w:val="13"/>
              </w:rPr>
            </w:pPr>
          </w:p>
          <w:p>
            <w:pPr>
              <w:pStyle w:val="TableParagraph"/>
              <w:spacing w:line="148" w:lineRule="exact"/>
              <w:ind w:right="200"/>
              <w:rPr>
                <w:sz w:val="14"/>
              </w:rPr>
            </w:pPr>
            <w:r>
              <w:rPr>
                <w:w w:val="95"/>
                <w:sz w:val="14"/>
              </w:rPr>
              <w:t>P-</w:t>
            </w:r>
            <w:r>
              <w:rPr>
                <w:spacing w:val="-10"/>
                <w:sz w:val="14"/>
              </w:rPr>
              <w:t>3</w:t>
            </w:r>
          </w:p>
        </w:tc>
        <w:tc>
          <w:tcPr>
            <w:tcW w:w="667" w:type="dxa"/>
            <w:tcBorders>
              <w:top w:val="single" w:sz="4" w:space="0" w:color="000000"/>
              <w:bottom w:val="single" w:sz="4" w:space="0" w:color="000000"/>
            </w:tcBorders>
          </w:tcPr>
          <w:p>
            <w:pPr>
              <w:pStyle w:val="TableParagraph"/>
              <w:jc w:val="left"/>
              <w:rPr>
                <w:b/>
                <w:sz w:val="14"/>
              </w:rPr>
            </w:pPr>
          </w:p>
          <w:p>
            <w:pPr>
              <w:pStyle w:val="TableParagraph"/>
              <w:spacing w:before="1"/>
              <w:jc w:val="left"/>
              <w:rPr>
                <w:b/>
                <w:sz w:val="13"/>
              </w:rPr>
            </w:pPr>
          </w:p>
          <w:p>
            <w:pPr>
              <w:pStyle w:val="TableParagraph"/>
              <w:spacing w:line="148" w:lineRule="exact"/>
              <w:ind w:right="127"/>
              <w:rPr>
                <w:sz w:val="14"/>
              </w:rPr>
            </w:pPr>
            <w:r>
              <w:rPr>
                <w:w w:val="95"/>
                <w:sz w:val="14"/>
              </w:rPr>
              <w:t>P-</w:t>
            </w:r>
            <w:r>
              <w:rPr>
                <w:spacing w:val="-10"/>
                <w:sz w:val="14"/>
              </w:rPr>
              <w:t>2</w:t>
            </w:r>
          </w:p>
        </w:tc>
        <w:tc>
          <w:tcPr>
            <w:tcW w:w="535" w:type="dxa"/>
            <w:tcBorders>
              <w:top w:val="single" w:sz="4" w:space="0" w:color="000000"/>
              <w:bottom w:val="single" w:sz="4" w:space="0" w:color="000000"/>
            </w:tcBorders>
          </w:tcPr>
          <w:p>
            <w:pPr>
              <w:pStyle w:val="TableParagraph"/>
              <w:jc w:val="left"/>
              <w:rPr>
                <w:b/>
                <w:sz w:val="14"/>
              </w:rPr>
            </w:pPr>
          </w:p>
          <w:p>
            <w:pPr>
              <w:pStyle w:val="TableParagraph"/>
              <w:spacing w:before="1"/>
              <w:jc w:val="left"/>
              <w:rPr>
                <w:b/>
                <w:sz w:val="13"/>
              </w:rPr>
            </w:pPr>
          </w:p>
          <w:p>
            <w:pPr>
              <w:pStyle w:val="TableParagraph"/>
              <w:spacing w:line="148" w:lineRule="exact"/>
              <w:ind w:right="67"/>
              <w:rPr>
                <w:sz w:val="14"/>
              </w:rPr>
            </w:pPr>
            <w:r>
              <w:rPr>
                <w:w w:val="95"/>
                <w:sz w:val="14"/>
              </w:rPr>
              <w:t>P-</w:t>
            </w:r>
            <w:r>
              <w:rPr>
                <w:spacing w:val="-10"/>
                <w:sz w:val="14"/>
              </w:rPr>
              <w:t>1</w:t>
            </w:r>
          </w:p>
        </w:tc>
        <w:tc>
          <w:tcPr>
            <w:tcW w:w="792" w:type="dxa"/>
            <w:tcBorders>
              <w:top w:val="single" w:sz="4" w:space="0" w:color="000000"/>
              <w:bottom w:val="single" w:sz="4" w:space="0" w:color="000000"/>
            </w:tcBorders>
          </w:tcPr>
          <w:p>
            <w:pPr>
              <w:pStyle w:val="TableParagraph"/>
              <w:spacing w:line="151" w:lineRule="exact"/>
              <w:ind w:left="370"/>
              <w:jc w:val="left"/>
              <w:rPr>
                <w:i/>
                <w:sz w:val="14"/>
              </w:rPr>
            </w:pPr>
            <w:r>
              <w:rPr>
                <w:i/>
                <w:spacing w:val="-2"/>
                <w:sz w:val="14"/>
              </w:rPr>
              <w:t>Total</w:t>
            </w:r>
          </w:p>
          <w:p>
            <w:pPr>
              <w:pStyle w:val="TableParagraph"/>
              <w:spacing w:line="158" w:lineRule="exact"/>
              <w:ind w:left="71" w:right="115" w:firstLine="201"/>
              <w:jc w:val="left"/>
              <w:rPr>
                <w:i/>
                <w:sz w:val="14"/>
              </w:rPr>
            </w:pPr>
            <w:r>
              <w:rPr>
                <w:i/>
                <w:spacing w:val="-2"/>
                <w:sz w:val="14"/>
              </w:rPr>
              <w:t>P-Staff</w:t>
            </w:r>
            <w:r>
              <w:rPr>
                <w:i/>
                <w:spacing w:val="40"/>
                <w:sz w:val="14"/>
              </w:rPr>
              <w:t> </w:t>
            </w:r>
            <w:r>
              <w:rPr>
                <w:i/>
                <w:sz w:val="14"/>
              </w:rPr>
              <w:t>and</w:t>
            </w:r>
            <w:r>
              <w:rPr>
                <w:i/>
                <w:spacing w:val="1"/>
                <w:sz w:val="14"/>
              </w:rPr>
              <w:t> </w:t>
            </w:r>
            <w:r>
              <w:rPr>
                <w:i/>
                <w:spacing w:val="-2"/>
                <w:sz w:val="14"/>
              </w:rPr>
              <w:t>Above</w:t>
            </w:r>
          </w:p>
        </w:tc>
        <w:tc>
          <w:tcPr>
            <w:tcW w:w="567" w:type="dxa"/>
            <w:tcBorders>
              <w:top w:val="single" w:sz="4" w:space="0" w:color="000000"/>
              <w:bottom w:val="single" w:sz="4" w:space="0" w:color="000000"/>
            </w:tcBorders>
          </w:tcPr>
          <w:p>
            <w:pPr>
              <w:pStyle w:val="TableParagraph"/>
              <w:jc w:val="left"/>
              <w:rPr>
                <w:b/>
                <w:sz w:val="14"/>
              </w:rPr>
            </w:pPr>
          </w:p>
          <w:p>
            <w:pPr>
              <w:pStyle w:val="TableParagraph"/>
              <w:spacing w:before="1"/>
              <w:jc w:val="left"/>
              <w:rPr>
                <w:b/>
                <w:sz w:val="13"/>
              </w:rPr>
            </w:pPr>
          </w:p>
          <w:p>
            <w:pPr>
              <w:pStyle w:val="TableParagraph"/>
              <w:spacing w:line="148" w:lineRule="exact"/>
              <w:ind w:right="92"/>
              <w:rPr>
                <w:sz w:val="14"/>
              </w:rPr>
            </w:pPr>
            <w:r>
              <w:rPr>
                <w:w w:val="95"/>
                <w:sz w:val="14"/>
              </w:rPr>
              <w:t>NO-</w:t>
            </w:r>
            <w:r>
              <w:rPr>
                <w:spacing w:val="-10"/>
                <w:sz w:val="14"/>
              </w:rPr>
              <w:t>C</w:t>
            </w:r>
          </w:p>
        </w:tc>
        <w:tc>
          <w:tcPr>
            <w:tcW w:w="580" w:type="dxa"/>
            <w:tcBorders>
              <w:top w:val="single" w:sz="4" w:space="0" w:color="000000"/>
              <w:bottom w:val="single" w:sz="4" w:space="0" w:color="000000"/>
            </w:tcBorders>
          </w:tcPr>
          <w:p>
            <w:pPr>
              <w:pStyle w:val="TableParagraph"/>
              <w:jc w:val="left"/>
              <w:rPr>
                <w:b/>
                <w:sz w:val="14"/>
              </w:rPr>
            </w:pPr>
          </w:p>
          <w:p>
            <w:pPr>
              <w:pStyle w:val="TableParagraph"/>
              <w:spacing w:before="1"/>
              <w:jc w:val="left"/>
              <w:rPr>
                <w:b/>
                <w:sz w:val="13"/>
              </w:rPr>
            </w:pPr>
          </w:p>
          <w:p>
            <w:pPr>
              <w:pStyle w:val="TableParagraph"/>
              <w:spacing w:line="148" w:lineRule="exact"/>
              <w:ind w:right="85"/>
              <w:rPr>
                <w:sz w:val="14"/>
              </w:rPr>
            </w:pPr>
            <w:r>
              <w:rPr>
                <w:w w:val="95"/>
                <w:sz w:val="14"/>
              </w:rPr>
              <w:t>GS-</w:t>
            </w:r>
            <w:r>
              <w:rPr>
                <w:spacing w:val="-5"/>
                <w:sz w:val="14"/>
              </w:rPr>
              <w:t>PL</w:t>
            </w:r>
          </w:p>
        </w:tc>
        <w:tc>
          <w:tcPr>
            <w:tcW w:w="561" w:type="dxa"/>
            <w:tcBorders>
              <w:top w:val="single" w:sz="4" w:space="0" w:color="000000"/>
              <w:bottom w:val="single" w:sz="4" w:space="0" w:color="000000"/>
            </w:tcBorders>
          </w:tcPr>
          <w:p>
            <w:pPr>
              <w:pStyle w:val="TableParagraph"/>
              <w:jc w:val="left"/>
              <w:rPr>
                <w:b/>
                <w:sz w:val="14"/>
              </w:rPr>
            </w:pPr>
          </w:p>
          <w:p>
            <w:pPr>
              <w:pStyle w:val="TableParagraph"/>
              <w:spacing w:before="1"/>
              <w:jc w:val="left"/>
              <w:rPr>
                <w:b/>
                <w:sz w:val="13"/>
              </w:rPr>
            </w:pPr>
          </w:p>
          <w:p>
            <w:pPr>
              <w:pStyle w:val="TableParagraph"/>
              <w:spacing w:line="148" w:lineRule="exact"/>
              <w:ind w:right="54"/>
              <w:rPr>
                <w:sz w:val="14"/>
              </w:rPr>
            </w:pPr>
            <w:r>
              <w:rPr>
                <w:w w:val="95"/>
                <w:sz w:val="14"/>
              </w:rPr>
              <w:t>GS-</w:t>
            </w:r>
            <w:r>
              <w:rPr>
                <w:spacing w:val="-5"/>
                <w:sz w:val="14"/>
              </w:rPr>
              <w:t>OL</w:t>
            </w:r>
          </w:p>
        </w:tc>
        <w:tc>
          <w:tcPr>
            <w:tcW w:w="775" w:type="dxa"/>
            <w:tcBorders>
              <w:top w:val="single" w:sz="4" w:space="0" w:color="000000"/>
              <w:bottom w:val="single" w:sz="4" w:space="0" w:color="000000"/>
            </w:tcBorders>
          </w:tcPr>
          <w:p>
            <w:pPr>
              <w:pStyle w:val="TableParagraph"/>
              <w:spacing w:line="151" w:lineRule="exact"/>
              <w:ind w:left="386"/>
              <w:jc w:val="left"/>
              <w:rPr>
                <w:i/>
                <w:sz w:val="14"/>
              </w:rPr>
            </w:pPr>
            <w:r>
              <w:rPr>
                <w:i/>
                <w:spacing w:val="-2"/>
                <w:sz w:val="14"/>
              </w:rPr>
              <w:t>Total</w:t>
            </w:r>
          </w:p>
          <w:p>
            <w:pPr>
              <w:pStyle w:val="TableParagraph"/>
              <w:spacing w:line="158" w:lineRule="exact"/>
              <w:ind w:left="64" w:right="86" w:firstLine="197"/>
              <w:jc w:val="left"/>
              <w:rPr>
                <w:i/>
                <w:sz w:val="14"/>
              </w:rPr>
            </w:pPr>
            <w:r>
              <w:rPr>
                <w:i/>
                <w:sz w:val="14"/>
              </w:rPr>
              <w:t>GS</w:t>
            </w:r>
            <w:r>
              <w:rPr>
                <w:i/>
                <w:spacing w:val="-9"/>
                <w:sz w:val="14"/>
              </w:rPr>
              <w:t> </w:t>
            </w:r>
            <w:r>
              <w:rPr>
                <w:i/>
                <w:sz w:val="14"/>
              </w:rPr>
              <w:t>and</w:t>
            </w:r>
            <w:r>
              <w:rPr>
                <w:i/>
                <w:spacing w:val="40"/>
                <w:sz w:val="14"/>
              </w:rPr>
              <w:t> </w:t>
            </w:r>
            <w:r>
              <w:rPr>
                <w:i/>
                <w:sz w:val="14"/>
              </w:rPr>
              <w:t>Other</w:t>
            </w:r>
            <w:r>
              <w:rPr>
                <w:i/>
                <w:spacing w:val="-5"/>
                <w:sz w:val="14"/>
              </w:rPr>
              <w:t> </w:t>
            </w:r>
            <w:r>
              <w:rPr>
                <w:i/>
                <w:spacing w:val="-2"/>
                <w:sz w:val="14"/>
              </w:rPr>
              <w:t>Staff</w:t>
            </w:r>
          </w:p>
        </w:tc>
        <w:tc>
          <w:tcPr>
            <w:tcW w:w="558" w:type="dxa"/>
            <w:tcBorders>
              <w:top w:val="single" w:sz="4" w:space="0" w:color="000000"/>
              <w:bottom w:val="single" w:sz="4" w:space="0" w:color="000000"/>
            </w:tcBorders>
          </w:tcPr>
          <w:p>
            <w:pPr>
              <w:pStyle w:val="TableParagraph"/>
              <w:spacing w:before="6"/>
              <w:jc w:val="left"/>
              <w:rPr>
                <w:b/>
                <w:sz w:val="12"/>
              </w:rPr>
            </w:pPr>
          </w:p>
          <w:p>
            <w:pPr>
              <w:pStyle w:val="TableParagraph"/>
              <w:spacing w:line="158" w:lineRule="exact"/>
              <w:ind w:left="220" w:hanging="34"/>
              <w:jc w:val="left"/>
              <w:rPr>
                <w:b/>
                <w:sz w:val="14"/>
              </w:rPr>
            </w:pPr>
            <w:r>
              <w:rPr>
                <w:b/>
                <w:spacing w:val="-4"/>
                <w:sz w:val="14"/>
              </w:rPr>
              <w:t>Total</w:t>
            </w:r>
            <w:r>
              <w:rPr>
                <w:b/>
                <w:spacing w:val="40"/>
                <w:sz w:val="14"/>
              </w:rPr>
              <w:t> </w:t>
            </w:r>
            <w:r>
              <w:rPr>
                <w:b/>
                <w:spacing w:val="-4"/>
                <w:sz w:val="14"/>
              </w:rPr>
              <w:t>Staff</w:t>
            </w:r>
          </w:p>
        </w:tc>
      </w:tr>
      <w:tr>
        <w:trPr>
          <w:trHeight w:val="233" w:hRule="atLeast"/>
        </w:trPr>
        <w:tc>
          <w:tcPr>
            <w:tcW w:w="1186" w:type="dxa"/>
            <w:tcBorders>
              <w:top w:val="single" w:sz="4" w:space="0" w:color="000000"/>
            </w:tcBorders>
          </w:tcPr>
          <w:p>
            <w:pPr>
              <w:pStyle w:val="TableParagraph"/>
              <w:spacing w:before="28"/>
              <w:ind w:left="67"/>
              <w:jc w:val="left"/>
              <w:rPr>
                <w:b/>
                <w:sz w:val="14"/>
              </w:rPr>
            </w:pPr>
            <w:r>
              <w:rPr>
                <w:b/>
                <w:spacing w:val="-2"/>
                <w:sz w:val="14"/>
              </w:rPr>
              <w:t>Established</w:t>
            </w:r>
            <w:r>
              <w:rPr>
                <w:b/>
                <w:spacing w:val="11"/>
                <w:sz w:val="14"/>
              </w:rPr>
              <w:t> </w:t>
            </w:r>
            <w:r>
              <w:rPr>
                <w:b/>
                <w:spacing w:val="-2"/>
                <w:sz w:val="14"/>
              </w:rPr>
              <w:t>Posts</w:t>
            </w:r>
          </w:p>
        </w:tc>
        <w:tc>
          <w:tcPr>
            <w:tcW w:w="678" w:type="dxa"/>
            <w:tcBorders>
              <w:top w:val="single" w:sz="4" w:space="0" w:color="000000"/>
            </w:tcBorders>
          </w:tcPr>
          <w:p>
            <w:pPr>
              <w:pStyle w:val="TableParagraph"/>
              <w:jc w:val="left"/>
              <w:rPr>
                <w:sz w:val="14"/>
              </w:rPr>
            </w:pPr>
          </w:p>
        </w:tc>
        <w:tc>
          <w:tcPr>
            <w:tcW w:w="607" w:type="dxa"/>
            <w:tcBorders>
              <w:top w:val="single" w:sz="4" w:space="0" w:color="000000"/>
            </w:tcBorders>
          </w:tcPr>
          <w:p>
            <w:pPr>
              <w:pStyle w:val="TableParagraph"/>
              <w:jc w:val="left"/>
              <w:rPr>
                <w:sz w:val="14"/>
              </w:rPr>
            </w:pPr>
          </w:p>
        </w:tc>
        <w:tc>
          <w:tcPr>
            <w:tcW w:w="548" w:type="dxa"/>
            <w:tcBorders>
              <w:top w:val="single" w:sz="4" w:space="0" w:color="000000"/>
            </w:tcBorders>
          </w:tcPr>
          <w:p>
            <w:pPr>
              <w:pStyle w:val="TableParagraph"/>
              <w:jc w:val="left"/>
              <w:rPr>
                <w:sz w:val="14"/>
              </w:rPr>
            </w:pPr>
          </w:p>
        </w:tc>
        <w:tc>
          <w:tcPr>
            <w:tcW w:w="571" w:type="dxa"/>
            <w:tcBorders>
              <w:top w:val="single" w:sz="4" w:space="0" w:color="000000"/>
            </w:tcBorders>
          </w:tcPr>
          <w:p>
            <w:pPr>
              <w:pStyle w:val="TableParagraph"/>
              <w:jc w:val="left"/>
              <w:rPr>
                <w:sz w:val="14"/>
              </w:rPr>
            </w:pPr>
          </w:p>
        </w:tc>
        <w:tc>
          <w:tcPr>
            <w:tcW w:w="539" w:type="dxa"/>
            <w:tcBorders>
              <w:top w:val="single" w:sz="4" w:space="0" w:color="000000"/>
            </w:tcBorders>
          </w:tcPr>
          <w:p>
            <w:pPr>
              <w:pStyle w:val="TableParagraph"/>
              <w:jc w:val="left"/>
              <w:rPr>
                <w:sz w:val="14"/>
              </w:rPr>
            </w:pPr>
          </w:p>
        </w:tc>
        <w:tc>
          <w:tcPr>
            <w:tcW w:w="590" w:type="dxa"/>
            <w:tcBorders>
              <w:top w:val="single" w:sz="4" w:space="0" w:color="000000"/>
            </w:tcBorders>
          </w:tcPr>
          <w:p>
            <w:pPr>
              <w:pStyle w:val="TableParagraph"/>
              <w:jc w:val="left"/>
              <w:rPr>
                <w:sz w:val="14"/>
              </w:rPr>
            </w:pPr>
          </w:p>
        </w:tc>
        <w:tc>
          <w:tcPr>
            <w:tcW w:w="667" w:type="dxa"/>
            <w:tcBorders>
              <w:top w:val="single" w:sz="4" w:space="0" w:color="000000"/>
            </w:tcBorders>
          </w:tcPr>
          <w:p>
            <w:pPr>
              <w:pStyle w:val="TableParagraph"/>
              <w:jc w:val="left"/>
              <w:rPr>
                <w:sz w:val="14"/>
              </w:rPr>
            </w:pPr>
          </w:p>
        </w:tc>
        <w:tc>
          <w:tcPr>
            <w:tcW w:w="667" w:type="dxa"/>
            <w:tcBorders>
              <w:top w:val="single" w:sz="4" w:space="0" w:color="000000"/>
            </w:tcBorders>
          </w:tcPr>
          <w:p>
            <w:pPr>
              <w:pStyle w:val="TableParagraph"/>
              <w:jc w:val="left"/>
              <w:rPr>
                <w:sz w:val="14"/>
              </w:rPr>
            </w:pPr>
          </w:p>
        </w:tc>
        <w:tc>
          <w:tcPr>
            <w:tcW w:w="535" w:type="dxa"/>
            <w:tcBorders>
              <w:top w:val="single" w:sz="4" w:space="0" w:color="000000"/>
            </w:tcBorders>
          </w:tcPr>
          <w:p>
            <w:pPr>
              <w:pStyle w:val="TableParagraph"/>
              <w:jc w:val="left"/>
              <w:rPr>
                <w:sz w:val="14"/>
              </w:rPr>
            </w:pPr>
          </w:p>
        </w:tc>
        <w:tc>
          <w:tcPr>
            <w:tcW w:w="792" w:type="dxa"/>
            <w:tcBorders>
              <w:top w:val="single" w:sz="4" w:space="0" w:color="000000"/>
            </w:tcBorders>
          </w:tcPr>
          <w:p>
            <w:pPr>
              <w:pStyle w:val="TableParagraph"/>
              <w:jc w:val="left"/>
              <w:rPr>
                <w:sz w:val="14"/>
              </w:rPr>
            </w:pPr>
          </w:p>
        </w:tc>
        <w:tc>
          <w:tcPr>
            <w:tcW w:w="567" w:type="dxa"/>
            <w:tcBorders>
              <w:top w:val="single" w:sz="4" w:space="0" w:color="000000"/>
            </w:tcBorders>
          </w:tcPr>
          <w:p>
            <w:pPr>
              <w:pStyle w:val="TableParagraph"/>
              <w:jc w:val="left"/>
              <w:rPr>
                <w:sz w:val="14"/>
              </w:rPr>
            </w:pPr>
          </w:p>
        </w:tc>
        <w:tc>
          <w:tcPr>
            <w:tcW w:w="580" w:type="dxa"/>
            <w:tcBorders>
              <w:top w:val="single" w:sz="4" w:space="0" w:color="000000"/>
            </w:tcBorders>
          </w:tcPr>
          <w:p>
            <w:pPr>
              <w:pStyle w:val="TableParagraph"/>
              <w:jc w:val="left"/>
              <w:rPr>
                <w:sz w:val="14"/>
              </w:rPr>
            </w:pPr>
          </w:p>
        </w:tc>
        <w:tc>
          <w:tcPr>
            <w:tcW w:w="561" w:type="dxa"/>
            <w:tcBorders>
              <w:top w:val="single" w:sz="4" w:space="0" w:color="000000"/>
            </w:tcBorders>
          </w:tcPr>
          <w:p>
            <w:pPr>
              <w:pStyle w:val="TableParagraph"/>
              <w:jc w:val="left"/>
              <w:rPr>
                <w:sz w:val="14"/>
              </w:rPr>
            </w:pPr>
          </w:p>
        </w:tc>
        <w:tc>
          <w:tcPr>
            <w:tcW w:w="775" w:type="dxa"/>
            <w:tcBorders>
              <w:top w:val="single" w:sz="4" w:space="0" w:color="000000"/>
            </w:tcBorders>
          </w:tcPr>
          <w:p>
            <w:pPr>
              <w:pStyle w:val="TableParagraph"/>
              <w:jc w:val="left"/>
              <w:rPr>
                <w:sz w:val="14"/>
              </w:rPr>
            </w:pPr>
          </w:p>
        </w:tc>
        <w:tc>
          <w:tcPr>
            <w:tcW w:w="558" w:type="dxa"/>
            <w:tcBorders>
              <w:top w:val="single" w:sz="4" w:space="0" w:color="000000"/>
            </w:tcBorders>
          </w:tcPr>
          <w:p>
            <w:pPr>
              <w:pStyle w:val="TableParagraph"/>
              <w:jc w:val="left"/>
              <w:rPr>
                <w:sz w:val="14"/>
              </w:rPr>
            </w:pPr>
          </w:p>
        </w:tc>
      </w:tr>
      <w:tr>
        <w:trPr>
          <w:trHeight w:val="221" w:hRule="atLeast"/>
        </w:trPr>
        <w:tc>
          <w:tcPr>
            <w:tcW w:w="1186" w:type="dxa"/>
            <w:tcBorders>
              <w:bottom w:val="single" w:sz="12" w:space="0" w:color="000000"/>
            </w:tcBorders>
          </w:tcPr>
          <w:p>
            <w:pPr>
              <w:pStyle w:val="TableParagraph"/>
              <w:spacing w:before="20"/>
              <w:ind w:left="67"/>
              <w:jc w:val="left"/>
              <w:rPr>
                <w:sz w:val="14"/>
              </w:rPr>
            </w:pPr>
            <w:r>
              <w:rPr>
                <w:w w:val="95"/>
                <w:sz w:val="14"/>
              </w:rPr>
              <w:t>Approved</w:t>
            </w:r>
            <w:r>
              <w:rPr>
                <w:spacing w:val="22"/>
                <w:sz w:val="14"/>
              </w:rPr>
              <w:t> </w:t>
            </w:r>
            <w:r>
              <w:rPr>
                <w:spacing w:val="-4"/>
                <w:sz w:val="14"/>
              </w:rPr>
              <w:t>2022</w:t>
            </w:r>
          </w:p>
        </w:tc>
        <w:tc>
          <w:tcPr>
            <w:tcW w:w="678" w:type="dxa"/>
            <w:tcBorders>
              <w:bottom w:val="single" w:sz="12" w:space="0" w:color="000000"/>
            </w:tcBorders>
          </w:tcPr>
          <w:p>
            <w:pPr>
              <w:pStyle w:val="TableParagraph"/>
              <w:spacing w:before="20"/>
              <w:ind w:right="155"/>
              <w:rPr>
                <w:sz w:val="14"/>
              </w:rPr>
            </w:pPr>
            <w:r>
              <w:rPr>
                <w:w w:val="99"/>
                <w:sz w:val="14"/>
              </w:rPr>
              <w:t>1</w:t>
            </w:r>
          </w:p>
        </w:tc>
        <w:tc>
          <w:tcPr>
            <w:tcW w:w="607" w:type="dxa"/>
            <w:tcBorders>
              <w:bottom w:val="single" w:sz="12" w:space="0" w:color="000000"/>
            </w:tcBorders>
          </w:tcPr>
          <w:p>
            <w:pPr>
              <w:pStyle w:val="TableParagraph"/>
              <w:spacing w:before="20"/>
              <w:ind w:right="171"/>
              <w:rPr>
                <w:sz w:val="14"/>
              </w:rPr>
            </w:pPr>
            <w:r>
              <w:rPr>
                <w:w w:val="99"/>
                <w:sz w:val="14"/>
              </w:rPr>
              <w:t>3</w:t>
            </w:r>
          </w:p>
        </w:tc>
        <w:tc>
          <w:tcPr>
            <w:tcW w:w="548" w:type="dxa"/>
            <w:tcBorders>
              <w:bottom w:val="single" w:sz="12" w:space="0" w:color="000000"/>
            </w:tcBorders>
          </w:tcPr>
          <w:p>
            <w:pPr>
              <w:pStyle w:val="TableParagraph"/>
              <w:spacing w:before="20"/>
              <w:ind w:right="156"/>
              <w:rPr>
                <w:sz w:val="14"/>
              </w:rPr>
            </w:pPr>
            <w:r>
              <w:rPr>
                <w:w w:val="99"/>
                <w:sz w:val="14"/>
              </w:rPr>
              <w:t>-</w:t>
            </w:r>
          </w:p>
        </w:tc>
        <w:tc>
          <w:tcPr>
            <w:tcW w:w="571" w:type="dxa"/>
            <w:tcBorders>
              <w:bottom w:val="single" w:sz="12" w:space="0" w:color="000000"/>
            </w:tcBorders>
          </w:tcPr>
          <w:p>
            <w:pPr>
              <w:pStyle w:val="TableParagraph"/>
              <w:spacing w:before="20"/>
              <w:ind w:right="167"/>
              <w:rPr>
                <w:sz w:val="14"/>
              </w:rPr>
            </w:pPr>
            <w:r>
              <w:rPr>
                <w:w w:val="99"/>
                <w:sz w:val="14"/>
              </w:rPr>
              <w:t>9</w:t>
            </w:r>
          </w:p>
        </w:tc>
        <w:tc>
          <w:tcPr>
            <w:tcW w:w="539" w:type="dxa"/>
            <w:tcBorders>
              <w:bottom w:val="single" w:sz="12" w:space="0" w:color="000000"/>
            </w:tcBorders>
          </w:tcPr>
          <w:p>
            <w:pPr>
              <w:pStyle w:val="TableParagraph"/>
              <w:spacing w:before="20"/>
              <w:ind w:left="157" w:right="1"/>
              <w:jc w:val="center"/>
              <w:rPr>
                <w:sz w:val="14"/>
              </w:rPr>
            </w:pPr>
            <w:r>
              <w:rPr>
                <w:spacing w:val="-5"/>
                <w:sz w:val="14"/>
              </w:rPr>
              <w:t>45</w:t>
            </w:r>
          </w:p>
        </w:tc>
        <w:tc>
          <w:tcPr>
            <w:tcW w:w="590" w:type="dxa"/>
            <w:tcBorders>
              <w:bottom w:val="single" w:sz="12" w:space="0" w:color="000000"/>
            </w:tcBorders>
          </w:tcPr>
          <w:p>
            <w:pPr>
              <w:pStyle w:val="TableParagraph"/>
              <w:spacing w:before="20"/>
              <w:ind w:right="121"/>
              <w:rPr>
                <w:sz w:val="14"/>
              </w:rPr>
            </w:pPr>
            <w:r>
              <w:rPr>
                <w:spacing w:val="-5"/>
                <w:sz w:val="14"/>
              </w:rPr>
              <w:t>91</w:t>
            </w:r>
          </w:p>
        </w:tc>
        <w:tc>
          <w:tcPr>
            <w:tcW w:w="667" w:type="dxa"/>
            <w:tcBorders>
              <w:bottom w:val="single" w:sz="12" w:space="0" w:color="000000"/>
            </w:tcBorders>
          </w:tcPr>
          <w:p>
            <w:pPr>
              <w:pStyle w:val="TableParagraph"/>
              <w:spacing w:before="20"/>
              <w:ind w:right="193"/>
              <w:rPr>
                <w:sz w:val="14"/>
              </w:rPr>
            </w:pPr>
            <w:r>
              <w:rPr>
                <w:spacing w:val="-5"/>
                <w:sz w:val="14"/>
              </w:rPr>
              <w:t>188</w:t>
            </w:r>
          </w:p>
        </w:tc>
        <w:tc>
          <w:tcPr>
            <w:tcW w:w="667" w:type="dxa"/>
            <w:tcBorders>
              <w:bottom w:val="single" w:sz="12" w:space="0" w:color="000000"/>
            </w:tcBorders>
          </w:tcPr>
          <w:p>
            <w:pPr>
              <w:pStyle w:val="TableParagraph"/>
              <w:spacing w:before="20"/>
              <w:ind w:right="121"/>
              <w:rPr>
                <w:sz w:val="14"/>
              </w:rPr>
            </w:pPr>
            <w:r>
              <w:rPr>
                <w:spacing w:val="-5"/>
                <w:sz w:val="14"/>
              </w:rPr>
              <w:t>185</w:t>
            </w:r>
          </w:p>
        </w:tc>
        <w:tc>
          <w:tcPr>
            <w:tcW w:w="535" w:type="dxa"/>
            <w:tcBorders>
              <w:bottom w:val="single" w:sz="12" w:space="0" w:color="000000"/>
            </w:tcBorders>
          </w:tcPr>
          <w:p>
            <w:pPr>
              <w:pStyle w:val="TableParagraph"/>
              <w:spacing w:before="20"/>
              <w:ind w:right="60"/>
              <w:rPr>
                <w:sz w:val="14"/>
              </w:rPr>
            </w:pPr>
            <w:r>
              <w:rPr>
                <w:spacing w:val="-5"/>
                <w:sz w:val="14"/>
              </w:rPr>
              <w:t>29</w:t>
            </w:r>
          </w:p>
        </w:tc>
        <w:tc>
          <w:tcPr>
            <w:tcW w:w="792" w:type="dxa"/>
            <w:tcBorders>
              <w:bottom w:val="single" w:sz="12" w:space="0" w:color="000000"/>
            </w:tcBorders>
          </w:tcPr>
          <w:p>
            <w:pPr>
              <w:pStyle w:val="TableParagraph"/>
              <w:spacing w:before="20"/>
              <w:ind w:right="117"/>
              <w:rPr>
                <w:i/>
                <w:sz w:val="14"/>
              </w:rPr>
            </w:pPr>
            <w:r>
              <w:rPr>
                <w:i/>
                <w:spacing w:val="-5"/>
                <w:sz w:val="14"/>
              </w:rPr>
              <w:t>551</w:t>
            </w:r>
          </w:p>
        </w:tc>
        <w:tc>
          <w:tcPr>
            <w:tcW w:w="567" w:type="dxa"/>
            <w:tcBorders>
              <w:bottom w:val="single" w:sz="12" w:space="0" w:color="000000"/>
            </w:tcBorders>
          </w:tcPr>
          <w:p>
            <w:pPr>
              <w:pStyle w:val="TableParagraph"/>
              <w:spacing w:before="20"/>
              <w:ind w:right="95"/>
              <w:rPr>
                <w:sz w:val="14"/>
              </w:rPr>
            </w:pPr>
            <w:r>
              <w:rPr>
                <w:w w:val="99"/>
                <w:sz w:val="14"/>
              </w:rPr>
              <w:t>-</w:t>
            </w:r>
          </w:p>
        </w:tc>
        <w:tc>
          <w:tcPr>
            <w:tcW w:w="580" w:type="dxa"/>
            <w:tcBorders>
              <w:bottom w:val="single" w:sz="12" w:space="0" w:color="000000"/>
            </w:tcBorders>
          </w:tcPr>
          <w:p>
            <w:pPr>
              <w:pStyle w:val="TableParagraph"/>
              <w:spacing w:before="20"/>
              <w:ind w:right="78"/>
              <w:rPr>
                <w:sz w:val="14"/>
              </w:rPr>
            </w:pPr>
            <w:r>
              <w:rPr>
                <w:spacing w:val="-5"/>
                <w:sz w:val="14"/>
              </w:rPr>
              <w:t>19</w:t>
            </w:r>
          </w:p>
        </w:tc>
        <w:tc>
          <w:tcPr>
            <w:tcW w:w="561" w:type="dxa"/>
            <w:tcBorders>
              <w:bottom w:val="single" w:sz="12" w:space="0" w:color="000000"/>
            </w:tcBorders>
          </w:tcPr>
          <w:p>
            <w:pPr>
              <w:pStyle w:val="TableParagraph"/>
              <w:spacing w:before="20"/>
              <w:ind w:right="49"/>
              <w:rPr>
                <w:sz w:val="14"/>
              </w:rPr>
            </w:pPr>
            <w:r>
              <w:rPr>
                <w:spacing w:val="-5"/>
                <w:sz w:val="14"/>
              </w:rPr>
              <w:t>406</w:t>
            </w:r>
          </w:p>
        </w:tc>
        <w:tc>
          <w:tcPr>
            <w:tcW w:w="775" w:type="dxa"/>
            <w:tcBorders>
              <w:bottom w:val="single" w:sz="12" w:space="0" w:color="000000"/>
            </w:tcBorders>
          </w:tcPr>
          <w:p>
            <w:pPr>
              <w:pStyle w:val="TableParagraph"/>
              <w:spacing w:before="20"/>
              <w:ind w:right="84"/>
              <w:rPr>
                <w:i/>
                <w:sz w:val="14"/>
              </w:rPr>
            </w:pPr>
            <w:r>
              <w:rPr>
                <w:i/>
                <w:spacing w:val="-5"/>
                <w:sz w:val="14"/>
              </w:rPr>
              <w:t>425</w:t>
            </w:r>
          </w:p>
        </w:tc>
        <w:tc>
          <w:tcPr>
            <w:tcW w:w="558" w:type="dxa"/>
            <w:tcBorders>
              <w:bottom w:val="single" w:sz="12" w:space="0" w:color="000000"/>
            </w:tcBorders>
          </w:tcPr>
          <w:p>
            <w:pPr>
              <w:pStyle w:val="TableParagraph"/>
              <w:spacing w:before="20"/>
              <w:ind w:right="42"/>
              <w:rPr>
                <w:b/>
                <w:sz w:val="14"/>
              </w:rPr>
            </w:pPr>
            <w:r>
              <w:rPr>
                <w:b/>
                <w:spacing w:val="-5"/>
                <w:sz w:val="14"/>
              </w:rPr>
              <w:t>976</w:t>
            </w:r>
          </w:p>
        </w:tc>
      </w:tr>
      <w:tr>
        <w:trPr>
          <w:trHeight w:val="229" w:hRule="atLeast"/>
        </w:trPr>
        <w:tc>
          <w:tcPr>
            <w:tcW w:w="1186" w:type="dxa"/>
            <w:tcBorders>
              <w:top w:val="single" w:sz="12" w:space="0" w:color="000000"/>
              <w:bottom w:val="single" w:sz="4" w:space="0" w:color="000000"/>
            </w:tcBorders>
          </w:tcPr>
          <w:p>
            <w:pPr>
              <w:pStyle w:val="TableParagraph"/>
              <w:spacing w:before="27"/>
              <w:ind w:left="67"/>
              <w:jc w:val="left"/>
              <w:rPr>
                <w:sz w:val="14"/>
              </w:rPr>
            </w:pPr>
            <w:r>
              <w:rPr>
                <w:spacing w:val="-5"/>
                <w:sz w:val="14"/>
              </w:rPr>
              <w:t>New</w:t>
            </w:r>
          </w:p>
        </w:tc>
        <w:tc>
          <w:tcPr>
            <w:tcW w:w="678" w:type="dxa"/>
            <w:tcBorders>
              <w:top w:val="single" w:sz="12" w:space="0" w:color="000000"/>
              <w:bottom w:val="single" w:sz="4" w:space="0" w:color="000000"/>
            </w:tcBorders>
          </w:tcPr>
          <w:p>
            <w:pPr>
              <w:pStyle w:val="TableParagraph"/>
              <w:spacing w:before="27"/>
              <w:ind w:right="154"/>
              <w:rPr>
                <w:sz w:val="14"/>
              </w:rPr>
            </w:pPr>
            <w:r>
              <w:rPr>
                <w:w w:val="99"/>
                <w:sz w:val="14"/>
              </w:rPr>
              <w:t>-</w:t>
            </w:r>
          </w:p>
        </w:tc>
        <w:tc>
          <w:tcPr>
            <w:tcW w:w="607" w:type="dxa"/>
            <w:tcBorders>
              <w:top w:val="single" w:sz="12" w:space="0" w:color="000000"/>
              <w:bottom w:val="single" w:sz="4" w:space="0" w:color="000000"/>
            </w:tcBorders>
          </w:tcPr>
          <w:p>
            <w:pPr>
              <w:pStyle w:val="TableParagraph"/>
              <w:spacing w:before="27"/>
              <w:ind w:right="170"/>
              <w:rPr>
                <w:sz w:val="14"/>
              </w:rPr>
            </w:pPr>
            <w:r>
              <w:rPr>
                <w:w w:val="99"/>
                <w:sz w:val="14"/>
              </w:rPr>
              <w:t>-</w:t>
            </w:r>
          </w:p>
        </w:tc>
        <w:tc>
          <w:tcPr>
            <w:tcW w:w="548" w:type="dxa"/>
            <w:tcBorders>
              <w:top w:val="single" w:sz="12" w:space="0" w:color="000000"/>
              <w:bottom w:val="single" w:sz="4" w:space="0" w:color="000000"/>
            </w:tcBorders>
          </w:tcPr>
          <w:p>
            <w:pPr>
              <w:pStyle w:val="TableParagraph"/>
              <w:spacing w:before="27"/>
              <w:ind w:right="156"/>
              <w:rPr>
                <w:sz w:val="14"/>
              </w:rPr>
            </w:pPr>
            <w:r>
              <w:rPr>
                <w:w w:val="99"/>
                <w:sz w:val="14"/>
              </w:rPr>
              <w:t>-</w:t>
            </w:r>
          </w:p>
        </w:tc>
        <w:tc>
          <w:tcPr>
            <w:tcW w:w="571" w:type="dxa"/>
            <w:tcBorders>
              <w:top w:val="single" w:sz="12" w:space="0" w:color="000000"/>
              <w:bottom w:val="single" w:sz="4" w:space="0" w:color="000000"/>
            </w:tcBorders>
          </w:tcPr>
          <w:p>
            <w:pPr>
              <w:pStyle w:val="TableParagraph"/>
              <w:spacing w:before="27"/>
              <w:ind w:right="166"/>
              <w:rPr>
                <w:sz w:val="14"/>
              </w:rPr>
            </w:pPr>
            <w:r>
              <w:rPr>
                <w:w w:val="99"/>
                <w:sz w:val="14"/>
              </w:rPr>
              <w:t>-</w:t>
            </w:r>
          </w:p>
        </w:tc>
        <w:tc>
          <w:tcPr>
            <w:tcW w:w="539" w:type="dxa"/>
            <w:tcBorders>
              <w:top w:val="single" w:sz="12" w:space="0" w:color="000000"/>
              <w:bottom w:val="single" w:sz="4" w:space="0" w:color="000000"/>
            </w:tcBorders>
          </w:tcPr>
          <w:p>
            <w:pPr>
              <w:pStyle w:val="TableParagraph"/>
              <w:spacing w:before="27"/>
              <w:ind w:left="240"/>
              <w:jc w:val="center"/>
              <w:rPr>
                <w:sz w:val="14"/>
              </w:rPr>
            </w:pPr>
            <w:r>
              <w:rPr>
                <w:w w:val="99"/>
                <w:sz w:val="14"/>
              </w:rPr>
              <w:t>-</w:t>
            </w:r>
          </w:p>
        </w:tc>
        <w:tc>
          <w:tcPr>
            <w:tcW w:w="590" w:type="dxa"/>
            <w:tcBorders>
              <w:top w:val="single" w:sz="12" w:space="0" w:color="000000"/>
              <w:bottom w:val="single" w:sz="4" w:space="0" w:color="000000"/>
            </w:tcBorders>
          </w:tcPr>
          <w:p>
            <w:pPr>
              <w:pStyle w:val="TableParagraph"/>
              <w:spacing w:before="27"/>
              <w:ind w:right="129"/>
              <w:rPr>
                <w:sz w:val="14"/>
              </w:rPr>
            </w:pPr>
            <w:r>
              <w:rPr>
                <w:w w:val="99"/>
                <w:sz w:val="14"/>
              </w:rPr>
              <w:t>3</w:t>
            </w:r>
          </w:p>
        </w:tc>
        <w:tc>
          <w:tcPr>
            <w:tcW w:w="667" w:type="dxa"/>
            <w:tcBorders>
              <w:top w:val="single" w:sz="12" w:space="0" w:color="000000"/>
              <w:bottom w:val="single" w:sz="4" w:space="0" w:color="000000"/>
            </w:tcBorders>
          </w:tcPr>
          <w:p>
            <w:pPr>
              <w:pStyle w:val="TableParagraph"/>
              <w:spacing w:before="27"/>
              <w:ind w:right="200"/>
              <w:rPr>
                <w:sz w:val="14"/>
              </w:rPr>
            </w:pPr>
            <w:r>
              <w:rPr>
                <w:w w:val="99"/>
                <w:sz w:val="14"/>
              </w:rPr>
              <w:t>8</w:t>
            </w:r>
          </w:p>
        </w:tc>
        <w:tc>
          <w:tcPr>
            <w:tcW w:w="667" w:type="dxa"/>
            <w:tcBorders>
              <w:top w:val="single" w:sz="12" w:space="0" w:color="000000"/>
              <w:bottom w:val="single" w:sz="4" w:space="0" w:color="000000"/>
            </w:tcBorders>
          </w:tcPr>
          <w:p>
            <w:pPr>
              <w:pStyle w:val="TableParagraph"/>
              <w:spacing w:before="27"/>
              <w:ind w:right="120"/>
              <w:rPr>
                <w:sz w:val="14"/>
              </w:rPr>
            </w:pPr>
            <w:r>
              <w:rPr>
                <w:spacing w:val="-5"/>
                <w:sz w:val="14"/>
              </w:rPr>
              <w:t>13</w:t>
            </w:r>
          </w:p>
        </w:tc>
        <w:tc>
          <w:tcPr>
            <w:tcW w:w="535" w:type="dxa"/>
            <w:tcBorders>
              <w:top w:val="single" w:sz="12" w:space="0" w:color="000000"/>
              <w:bottom w:val="single" w:sz="4" w:space="0" w:color="000000"/>
            </w:tcBorders>
          </w:tcPr>
          <w:p>
            <w:pPr>
              <w:pStyle w:val="TableParagraph"/>
              <w:spacing w:before="27"/>
              <w:ind w:right="67"/>
              <w:rPr>
                <w:sz w:val="14"/>
              </w:rPr>
            </w:pPr>
            <w:r>
              <w:rPr>
                <w:w w:val="99"/>
                <w:sz w:val="14"/>
              </w:rPr>
              <w:t>1</w:t>
            </w:r>
          </w:p>
        </w:tc>
        <w:tc>
          <w:tcPr>
            <w:tcW w:w="792" w:type="dxa"/>
            <w:tcBorders>
              <w:top w:val="single" w:sz="12" w:space="0" w:color="000000"/>
              <w:bottom w:val="single" w:sz="4" w:space="0" w:color="000000"/>
            </w:tcBorders>
          </w:tcPr>
          <w:p>
            <w:pPr>
              <w:pStyle w:val="TableParagraph"/>
              <w:spacing w:before="27"/>
              <w:ind w:right="117"/>
              <w:rPr>
                <w:i/>
                <w:sz w:val="14"/>
              </w:rPr>
            </w:pPr>
            <w:r>
              <w:rPr>
                <w:i/>
                <w:spacing w:val="-5"/>
                <w:sz w:val="14"/>
              </w:rPr>
              <w:t>25</w:t>
            </w:r>
          </w:p>
        </w:tc>
        <w:tc>
          <w:tcPr>
            <w:tcW w:w="567" w:type="dxa"/>
            <w:tcBorders>
              <w:top w:val="single" w:sz="12" w:space="0" w:color="000000"/>
              <w:bottom w:val="single" w:sz="4" w:space="0" w:color="000000"/>
            </w:tcBorders>
          </w:tcPr>
          <w:p>
            <w:pPr>
              <w:pStyle w:val="TableParagraph"/>
              <w:spacing w:before="27"/>
              <w:ind w:right="95"/>
              <w:rPr>
                <w:sz w:val="14"/>
              </w:rPr>
            </w:pPr>
            <w:r>
              <w:rPr>
                <w:w w:val="99"/>
                <w:sz w:val="14"/>
              </w:rPr>
              <w:t>-</w:t>
            </w:r>
          </w:p>
        </w:tc>
        <w:tc>
          <w:tcPr>
            <w:tcW w:w="580" w:type="dxa"/>
            <w:tcBorders>
              <w:top w:val="single" w:sz="12" w:space="0" w:color="000000"/>
              <w:bottom w:val="single" w:sz="4" w:space="0" w:color="000000"/>
            </w:tcBorders>
          </w:tcPr>
          <w:p>
            <w:pPr>
              <w:pStyle w:val="TableParagraph"/>
              <w:spacing w:before="27"/>
              <w:ind w:right="84"/>
              <w:rPr>
                <w:sz w:val="14"/>
              </w:rPr>
            </w:pPr>
            <w:r>
              <w:rPr>
                <w:w w:val="99"/>
                <w:sz w:val="14"/>
              </w:rPr>
              <w:t>-</w:t>
            </w:r>
          </w:p>
        </w:tc>
        <w:tc>
          <w:tcPr>
            <w:tcW w:w="561" w:type="dxa"/>
            <w:tcBorders>
              <w:top w:val="single" w:sz="12" w:space="0" w:color="000000"/>
              <w:bottom w:val="single" w:sz="4" w:space="0" w:color="000000"/>
            </w:tcBorders>
          </w:tcPr>
          <w:p>
            <w:pPr>
              <w:pStyle w:val="TableParagraph"/>
              <w:spacing w:before="27"/>
              <w:ind w:right="56"/>
              <w:rPr>
                <w:sz w:val="14"/>
              </w:rPr>
            </w:pPr>
            <w:r>
              <w:rPr>
                <w:w w:val="99"/>
                <w:sz w:val="14"/>
              </w:rPr>
              <w:t>8</w:t>
            </w:r>
          </w:p>
        </w:tc>
        <w:tc>
          <w:tcPr>
            <w:tcW w:w="775" w:type="dxa"/>
            <w:tcBorders>
              <w:top w:val="single" w:sz="12" w:space="0" w:color="000000"/>
              <w:bottom w:val="single" w:sz="4" w:space="0" w:color="000000"/>
            </w:tcBorders>
          </w:tcPr>
          <w:p>
            <w:pPr>
              <w:pStyle w:val="TableParagraph"/>
              <w:spacing w:before="27"/>
              <w:ind w:right="91"/>
              <w:rPr>
                <w:i/>
                <w:sz w:val="14"/>
              </w:rPr>
            </w:pPr>
            <w:r>
              <w:rPr>
                <w:i/>
                <w:w w:val="99"/>
                <w:sz w:val="14"/>
              </w:rPr>
              <w:t>8</w:t>
            </w:r>
          </w:p>
        </w:tc>
        <w:tc>
          <w:tcPr>
            <w:tcW w:w="558" w:type="dxa"/>
            <w:tcBorders>
              <w:top w:val="single" w:sz="12" w:space="0" w:color="000000"/>
              <w:bottom w:val="single" w:sz="4" w:space="0" w:color="000000"/>
            </w:tcBorders>
          </w:tcPr>
          <w:p>
            <w:pPr>
              <w:pStyle w:val="TableParagraph"/>
              <w:spacing w:before="27"/>
              <w:ind w:right="42"/>
              <w:rPr>
                <w:b/>
                <w:sz w:val="14"/>
              </w:rPr>
            </w:pPr>
            <w:r>
              <w:rPr>
                <w:b/>
                <w:spacing w:val="-5"/>
                <w:sz w:val="14"/>
              </w:rPr>
              <w:t>33</w:t>
            </w:r>
          </w:p>
        </w:tc>
      </w:tr>
      <w:tr>
        <w:trPr>
          <w:trHeight w:val="225" w:hRule="atLeast"/>
        </w:trPr>
        <w:tc>
          <w:tcPr>
            <w:tcW w:w="1186" w:type="dxa"/>
            <w:tcBorders>
              <w:top w:val="single" w:sz="4" w:space="0" w:color="000000"/>
              <w:bottom w:val="single" w:sz="4" w:space="0" w:color="000000"/>
            </w:tcBorders>
          </w:tcPr>
          <w:p>
            <w:pPr>
              <w:pStyle w:val="TableParagraph"/>
              <w:spacing w:before="23"/>
              <w:ind w:left="67"/>
              <w:jc w:val="left"/>
              <w:rPr>
                <w:sz w:val="14"/>
              </w:rPr>
            </w:pPr>
            <w:r>
              <w:rPr>
                <w:spacing w:val="-2"/>
                <w:sz w:val="14"/>
              </w:rPr>
              <w:t>Redeployed</w:t>
            </w:r>
          </w:p>
        </w:tc>
        <w:tc>
          <w:tcPr>
            <w:tcW w:w="678" w:type="dxa"/>
            <w:tcBorders>
              <w:top w:val="single" w:sz="4" w:space="0" w:color="000000"/>
              <w:bottom w:val="single" w:sz="4" w:space="0" w:color="000000"/>
            </w:tcBorders>
          </w:tcPr>
          <w:p>
            <w:pPr>
              <w:pStyle w:val="TableParagraph"/>
              <w:spacing w:before="23"/>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3"/>
              <w:ind w:right="170"/>
              <w:rPr>
                <w:sz w:val="14"/>
              </w:rPr>
            </w:pPr>
            <w:r>
              <w:rPr>
                <w:w w:val="99"/>
                <w:sz w:val="14"/>
              </w:rPr>
              <w:t>-</w:t>
            </w:r>
          </w:p>
        </w:tc>
        <w:tc>
          <w:tcPr>
            <w:tcW w:w="548" w:type="dxa"/>
            <w:tcBorders>
              <w:top w:val="single" w:sz="4" w:space="0" w:color="000000"/>
              <w:bottom w:val="single" w:sz="4" w:space="0" w:color="000000"/>
            </w:tcBorders>
          </w:tcPr>
          <w:p>
            <w:pPr>
              <w:pStyle w:val="TableParagraph"/>
              <w:spacing w:before="23"/>
              <w:ind w:right="156"/>
              <w:rPr>
                <w:sz w:val="14"/>
              </w:rPr>
            </w:pPr>
            <w:r>
              <w:rPr>
                <w:w w:val="99"/>
                <w:sz w:val="14"/>
              </w:rPr>
              <w:t>-</w:t>
            </w:r>
          </w:p>
        </w:tc>
        <w:tc>
          <w:tcPr>
            <w:tcW w:w="571" w:type="dxa"/>
            <w:tcBorders>
              <w:top w:val="single" w:sz="4" w:space="0" w:color="000000"/>
              <w:bottom w:val="single" w:sz="4" w:space="0" w:color="000000"/>
            </w:tcBorders>
          </w:tcPr>
          <w:p>
            <w:pPr>
              <w:pStyle w:val="TableParagraph"/>
              <w:spacing w:before="23"/>
              <w:ind w:right="166"/>
              <w:rPr>
                <w:sz w:val="14"/>
              </w:rPr>
            </w:pPr>
            <w:r>
              <w:rPr>
                <w:w w:val="99"/>
                <w:sz w:val="14"/>
              </w:rPr>
              <w:t>-</w:t>
            </w:r>
          </w:p>
        </w:tc>
        <w:tc>
          <w:tcPr>
            <w:tcW w:w="539" w:type="dxa"/>
            <w:tcBorders>
              <w:top w:val="single" w:sz="4" w:space="0" w:color="000000"/>
              <w:bottom w:val="single" w:sz="4" w:space="0" w:color="000000"/>
            </w:tcBorders>
          </w:tcPr>
          <w:p>
            <w:pPr>
              <w:pStyle w:val="TableParagraph"/>
              <w:spacing w:before="23"/>
              <w:ind w:left="240"/>
              <w:jc w:val="center"/>
              <w:rPr>
                <w:sz w:val="14"/>
              </w:rPr>
            </w:pPr>
            <w:r>
              <w:rPr>
                <w:w w:val="99"/>
                <w:sz w:val="14"/>
              </w:rPr>
              <w:t>-</w:t>
            </w:r>
          </w:p>
        </w:tc>
        <w:tc>
          <w:tcPr>
            <w:tcW w:w="590" w:type="dxa"/>
            <w:tcBorders>
              <w:top w:val="single" w:sz="4" w:space="0" w:color="000000"/>
              <w:bottom w:val="single" w:sz="4" w:space="0" w:color="000000"/>
            </w:tcBorders>
          </w:tcPr>
          <w:p>
            <w:pPr>
              <w:pStyle w:val="TableParagraph"/>
              <w:spacing w:before="23"/>
              <w:ind w:right="128"/>
              <w:rPr>
                <w:sz w:val="14"/>
              </w:rPr>
            </w:pPr>
            <w:r>
              <w:rPr>
                <w:w w:val="99"/>
                <w:sz w:val="14"/>
              </w:rPr>
              <w:t>-</w:t>
            </w:r>
          </w:p>
        </w:tc>
        <w:tc>
          <w:tcPr>
            <w:tcW w:w="667" w:type="dxa"/>
            <w:tcBorders>
              <w:top w:val="single" w:sz="4" w:space="0" w:color="000000"/>
              <w:bottom w:val="single" w:sz="4" w:space="0" w:color="000000"/>
            </w:tcBorders>
          </w:tcPr>
          <w:p>
            <w:pPr>
              <w:pStyle w:val="TableParagraph"/>
              <w:spacing w:before="23"/>
              <w:ind w:right="199"/>
              <w:rPr>
                <w:sz w:val="14"/>
              </w:rPr>
            </w:pPr>
            <w:r>
              <w:rPr>
                <w:w w:val="99"/>
                <w:sz w:val="14"/>
              </w:rPr>
              <w:t>-</w:t>
            </w:r>
          </w:p>
        </w:tc>
        <w:tc>
          <w:tcPr>
            <w:tcW w:w="667" w:type="dxa"/>
            <w:tcBorders>
              <w:top w:val="single" w:sz="4" w:space="0" w:color="000000"/>
              <w:bottom w:val="single" w:sz="4" w:space="0" w:color="000000"/>
            </w:tcBorders>
          </w:tcPr>
          <w:p>
            <w:pPr>
              <w:pStyle w:val="TableParagraph"/>
              <w:spacing w:before="23"/>
              <w:ind w:right="127"/>
              <w:rPr>
                <w:sz w:val="14"/>
              </w:rPr>
            </w:pPr>
            <w:r>
              <w:rPr>
                <w:w w:val="99"/>
                <w:sz w:val="14"/>
              </w:rPr>
              <w:t>-</w:t>
            </w:r>
          </w:p>
        </w:tc>
        <w:tc>
          <w:tcPr>
            <w:tcW w:w="535" w:type="dxa"/>
            <w:tcBorders>
              <w:top w:val="single" w:sz="4" w:space="0" w:color="000000"/>
              <w:bottom w:val="single" w:sz="4" w:space="0" w:color="000000"/>
            </w:tcBorders>
          </w:tcPr>
          <w:p>
            <w:pPr>
              <w:pStyle w:val="TableParagraph"/>
              <w:spacing w:before="23"/>
              <w:ind w:right="67"/>
              <w:rPr>
                <w:sz w:val="14"/>
              </w:rPr>
            </w:pPr>
            <w:r>
              <w:rPr>
                <w:w w:val="99"/>
                <w:sz w:val="14"/>
              </w:rPr>
              <w:t>1</w:t>
            </w:r>
          </w:p>
        </w:tc>
        <w:tc>
          <w:tcPr>
            <w:tcW w:w="792" w:type="dxa"/>
            <w:tcBorders>
              <w:top w:val="single" w:sz="4" w:space="0" w:color="000000"/>
              <w:bottom w:val="single" w:sz="4" w:space="0" w:color="000000"/>
            </w:tcBorders>
          </w:tcPr>
          <w:p>
            <w:pPr>
              <w:pStyle w:val="TableParagraph"/>
              <w:spacing w:before="23"/>
              <w:ind w:right="124"/>
              <w:rPr>
                <w:i/>
                <w:sz w:val="14"/>
              </w:rPr>
            </w:pPr>
            <w:r>
              <w:rPr>
                <w:i/>
                <w:w w:val="99"/>
                <w:sz w:val="14"/>
              </w:rPr>
              <w:t>1</w:t>
            </w:r>
          </w:p>
        </w:tc>
        <w:tc>
          <w:tcPr>
            <w:tcW w:w="567" w:type="dxa"/>
            <w:tcBorders>
              <w:top w:val="single" w:sz="4" w:space="0" w:color="000000"/>
              <w:bottom w:val="single" w:sz="4" w:space="0" w:color="000000"/>
            </w:tcBorders>
          </w:tcPr>
          <w:p>
            <w:pPr>
              <w:pStyle w:val="TableParagraph"/>
              <w:spacing w:before="23"/>
              <w:ind w:right="95"/>
              <w:rPr>
                <w:sz w:val="14"/>
              </w:rPr>
            </w:pPr>
            <w:r>
              <w:rPr>
                <w:w w:val="99"/>
                <w:sz w:val="14"/>
              </w:rPr>
              <w:t>-</w:t>
            </w:r>
          </w:p>
        </w:tc>
        <w:tc>
          <w:tcPr>
            <w:tcW w:w="580" w:type="dxa"/>
            <w:tcBorders>
              <w:top w:val="single" w:sz="4" w:space="0" w:color="000000"/>
              <w:bottom w:val="single" w:sz="4" w:space="0" w:color="000000"/>
            </w:tcBorders>
          </w:tcPr>
          <w:p>
            <w:pPr>
              <w:pStyle w:val="TableParagraph"/>
              <w:spacing w:before="23"/>
              <w:ind w:right="84"/>
              <w:rPr>
                <w:sz w:val="14"/>
              </w:rPr>
            </w:pPr>
            <w:r>
              <w:rPr>
                <w:w w:val="99"/>
                <w:sz w:val="14"/>
              </w:rPr>
              <w:t>-</w:t>
            </w:r>
          </w:p>
        </w:tc>
        <w:tc>
          <w:tcPr>
            <w:tcW w:w="561" w:type="dxa"/>
            <w:tcBorders>
              <w:top w:val="single" w:sz="4" w:space="0" w:color="000000"/>
              <w:bottom w:val="single" w:sz="4" w:space="0" w:color="000000"/>
            </w:tcBorders>
          </w:tcPr>
          <w:p>
            <w:pPr>
              <w:pStyle w:val="TableParagraph"/>
              <w:spacing w:before="23"/>
              <w:ind w:right="55"/>
              <w:rPr>
                <w:sz w:val="14"/>
              </w:rPr>
            </w:pPr>
            <w:r>
              <w:rPr>
                <w:w w:val="99"/>
                <w:sz w:val="14"/>
              </w:rPr>
              <w:t>-</w:t>
            </w:r>
          </w:p>
        </w:tc>
        <w:tc>
          <w:tcPr>
            <w:tcW w:w="775" w:type="dxa"/>
            <w:tcBorders>
              <w:top w:val="single" w:sz="4" w:space="0" w:color="000000"/>
              <w:bottom w:val="single" w:sz="4" w:space="0" w:color="000000"/>
            </w:tcBorders>
          </w:tcPr>
          <w:p>
            <w:pPr>
              <w:pStyle w:val="TableParagraph"/>
              <w:spacing w:before="23"/>
              <w:ind w:right="90"/>
              <w:rPr>
                <w:i/>
                <w:sz w:val="14"/>
              </w:rPr>
            </w:pPr>
            <w:r>
              <w:rPr>
                <w:i/>
                <w:w w:val="99"/>
                <w:sz w:val="14"/>
              </w:rPr>
              <w:t>-</w:t>
            </w:r>
          </w:p>
        </w:tc>
        <w:tc>
          <w:tcPr>
            <w:tcW w:w="558" w:type="dxa"/>
            <w:tcBorders>
              <w:top w:val="single" w:sz="4" w:space="0" w:color="000000"/>
              <w:bottom w:val="single" w:sz="4" w:space="0" w:color="000000"/>
            </w:tcBorders>
          </w:tcPr>
          <w:p>
            <w:pPr>
              <w:pStyle w:val="TableParagraph"/>
              <w:spacing w:before="23"/>
              <w:ind w:right="49"/>
              <w:rPr>
                <w:b/>
                <w:sz w:val="14"/>
              </w:rPr>
            </w:pPr>
            <w:r>
              <w:rPr>
                <w:b/>
                <w:w w:val="99"/>
                <w:sz w:val="14"/>
              </w:rPr>
              <w:t>1</w:t>
            </w:r>
          </w:p>
        </w:tc>
      </w:tr>
      <w:tr>
        <w:trPr>
          <w:trHeight w:val="225" w:hRule="atLeast"/>
        </w:trPr>
        <w:tc>
          <w:tcPr>
            <w:tcW w:w="1186" w:type="dxa"/>
            <w:tcBorders>
              <w:top w:val="single" w:sz="4" w:space="0" w:color="000000"/>
              <w:bottom w:val="single" w:sz="4" w:space="0" w:color="000000"/>
            </w:tcBorders>
          </w:tcPr>
          <w:p>
            <w:pPr>
              <w:pStyle w:val="TableParagraph"/>
              <w:spacing w:before="23"/>
              <w:ind w:left="67"/>
              <w:jc w:val="left"/>
              <w:rPr>
                <w:sz w:val="14"/>
              </w:rPr>
            </w:pPr>
            <w:r>
              <w:rPr>
                <w:spacing w:val="-2"/>
                <w:sz w:val="14"/>
              </w:rPr>
              <w:t>Reclassified</w:t>
            </w:r>
          </w:p>
        </w:tc>
        <w:tc>
          <w:tcPr>
            <w:tcW w:w="678" w:type="dxa"/>
            <w:tcBorders>
              <w:top w:val="single" w:sz="4" w:space="0" w:color="000000"/>
              <w:bottom w:val="single" w:sz="4" w:space="0" w:color="000000"/>
            </w:tcBorders>
          </w:tcPr>
          <w:p>
            <w:pPr>
              <w:pStyle w:val="TableParagraph"/>
              <w:spacing w:before="23"/>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3"/>
              <w:ind w:right="170"/>
              <w:rPr>
                <w:sz w:val="14"/>
              </w:rPr>
            </w:pPr>
            <w:r>
              <w:rPr>
                <w:w w:val="99"/>
                <w:sz w:val="14"/>
              </w:rPr>
              <w:t>-</w:t>
            </w:r>
          </w:p>
        </w:tc>
        <w:tc>
          <w:tcPr>
            <w:tcW w:w="548" w:type="dxa"/>
            <w:tcBorders>
              <w:top w:val="single" w:sz="4" w:space="0" w:color="000000"/>
              <w:bottom w:val="single" w:sz="4" w:space="0" w:color="000000"/>
            </w:tcBorders>
          </w:tcPr>
          <w:p>
            <w:pPr>
              <w:pStyle w:val="TableParagraph"/>
              <w:spacing w:before="23"/>
              <w:ind w:right="156"/>
              <w:rPr>
                <w:sz w:val="14"/>
              </w:rPr>
            </w:pPr>
            <w:r>
              <w:rPr>
                <w:w w:val="99"/>
                <w:sz w:val="14"/>
              </w:rPr>
              <w:t>-</w:t>
            </w:r>
          </w:p>
        </w:tc>
        <w:tc>
          <w:tcPr>
            <w:tcW w:w="571" w:type="dxa"/>
            <w:tcBorders>
              <w:top w:val="single" w:sz="4" w:space="0" w:color="000000"/>
              <w:bottom w:val="single" w:sz="4" w:space="0" w:color="000000"/>
            </w:tcBorders>
          </w:tcPr>
          <w:p>
            <w:pPr>
              <w:pStyle w:val="TableParagraph"/>
              <w:spacing w:before="23"/>
              <w:ind w:right="166"/>
              <w:rPr>
                <w:sz w:val="14"/>
              </w:rPr>
            </w:pPr>
            <w:r>
              <w:rPr>
                <w:w w:val="99"/>
                <w:sz w:val="14"/>
              </w:rPr>
              <w:t>-</w:t>
            </w:r>
          </w:p>
        </w:tc>
        <w:tc>
          <w:tcPr>
            <w:tcW w:w="539" w:type="dxa"/>
            <w:tcBorders>
              <w:top w:val="single" w:sz="4" w:space="0" w:color="000000"/>
              <w:bottom w:val="single" w:sz="4" w:space="0" w:color="000000"/>
            </w:tcBorders>
          </w:tcPr>
          <w:p>
            <w:pPr>
              <w:pStyle w:val="TableParagraph"/>
              <w:spacing w:before="23"/>
              <w:ind w:left="240"/>
              <w:jc w:val="center"/>
              <w:rPr>
                <w:sz w:val="14"/>
              </w:rPr>
            </w:pPr>
            <w:r>
              <w:rPr>
                <w:w w:val="99"/>
                <w:sz w:val="14"/>
              </w:rPr>
              <w:t>-</w:t>
            </w:r>
          </w:p>
        </w:tc>
        <w:tc>
          <w:tcPr>
            <w:tcW w:w="590" w:type="dxa"/>
            <w:tcBorders>
              <w:top w:val="single" w:sz="4" w:space="0" w:color="000000"/>
              <w:bottom w:val="single" w:sz="4" w:space="0" w:color="000000"/>
            </w:tcBorders>
          </w:tcPr>
          <w:p>
            <w:pPr>
              <w:pStyle w:val="TableParagraph"/>
              <w:spacing w:before="23"/>
              <w:ind w:right="128"/>
              <w:rPr>
                <w:sz w:val="14"/>
              </w:rPr>
            </w:pPr>
            <w:r>
              <w:rPr>
                <w:w w:val="99"/>
                <w:sz w:val="14"/>
              </w:rPr>
              <w:t>-</w:t>
            </w:r>
          </w:p>
        </w:tc>
        <w:tc>
          <w:tcPr>
            <w:tcW w:w="667" w:type="dxa"/>
            <w:tcBorders>
              <w:top w:val="single" w:sz="4" w:space="0" w:color="000000"/>
              <w:bottom w:val="single" w:sz="4" w:space="0" w:color="000000"/>
            </w:tcBorders>
          </w:tcPr>
          <w:p>
            <w:pPr>
              <w:pStyle w:val="TableParagraph"/>
              <w:spacing w:before="23"/>
              <w:ind w:right="199"/>
              <w:rPr>
                <w:sz w:val="14"/>
              </w:rPr>
            </w:pPr>
            <w:r>
              <w:rPr>
                <w:w w:val="99"/>
                <w:sz w:val="14"/>
              </w:rPr>
              <w:t>-</w:t>
            </w:r>
          </w:p>
        </w:tc>
        <w:tc>
          <w:tcPr>
            <w:tcW w:w="667" w:type="dxa"/>
            <w:tcBorders>
              <w:top w:val="single" w:sz="4" w:space="0" w:color="000000"/>
              <w:bottom w:val="single" w:sz="4" w:space="0" w:color="000000"/>
            </w:tcBorders>
          </w:tcPr>
          <w:p>
            <w:pPr>
              <w:pStyle w:val="TableParagraph"/>
              <w:spacing w:before="23"/>
              <w:ind w:right="127"/>
              <w:rPr>
                <w:sz w:val="14"/>
              </w:rPr>
            </w:pPr>
            <w:r>
              <w:rPr>
                <w:w w:val="99"/>
                <w:sz w:val="14"/>
              </w:rPr>
              <w:t>-</w:t>
            </w:r>
          </w:p>
        </w:tc>
        <w:tc>
          <w:tcPr>
            <w:tcW w:w="535" w:type="dxa"/>
            <w:tcBorders>
              <w:top w:val="single" w:sz="4" w:space="0" w:color="000000"/>
              <w:bottom w:val="single" w:sz="4" w:space="0" w:color="000000"/>
            </w:tcBorders>
          </w:tcPr>
          <w:p>
            <w:pPr>
              <w:pStyle w:val="TableParagraph"/>
              <w:spacing w:before="23"/>
              <w:ind w:right="66"/>
              <w:rPr>
                <w:sz w:val="14"/>
              </w:rPr>
            </w:pPr>
            <w:r>
              <w:rPr>
                <w:w w:val="99"/>
                <w:sz w:val="14"/>
              </w:rPr>
              <w:t>-</w:t>
            </w:r>
          </w:p>
        </w:tc>
        <w:tc>
          <w:tcPr>
            <w:tcW w:w="792" w:type="dxa"/>
            <w:tcBorders>
              <w:top w:val="single" w:sz="4" w:space="0" w:color="000000"/>
              <w:bottom w:val="single" w:sz="4" w:space="0" w:color="000000"/>
            </w:tcBorders>
          </w:tcPr>
          <w:p>
            <w:pPr>
              <w:pStyle w:val="TableParagraph"/>
              <w:spacing w:before="23"/>
              <w:ind w:right="123"/>
              <w:rPr>
                <w:i/>
                <w:sz w:val="14"/>
              </w:rPr>
            </w:pPr>
            <w:r>
              <w:rPr>
                <w:i/>
                <w:w w:val="99"/>
                <w:sz w:val="14"/>
              </w:rPr>
              <w:t>-</w:t>
            </w:r>
          </w:p>
        </w:tc>
        <w:tc>
          <w:tcPr>
            <w:tcW w:w="567" w:type="dxa"/>
            <w:tcBorders>
              <w:top w:val="single" w:sz="4" w:space="0" w:color="000000"/>
              <w:bottom w:val="single" w:sz="4" w:space="0" w:color="000000"/>
            </w:tcBorders>
          </w:tcPr>
          <w:p>
            <w:pPr>
              <w:pStyle w:val="TableParagraph"/>
              <w:spacing w:before="23"/>
              <w:ind w:right="95"/>
              <w:rPr>
                <w:sz w:val="14"/>
              </w:rPr>
            </w:pPr>
            <w:r>
              <w:rPr>
                <w:w w:val="99"/>
                <w:sz w:val="14"/>
              </w:rPr>
              <w:t>-</w:t>
            </w:r>
          </w:p>
        </w:tc>
        <w:tc>
          <w:tcPr>
            <w:tcW w:w="580" w:type="dxa"/>
            <w:tcBorders>
              <w:top w:val="single" w:sz="4" w:space="0" w:color="000000"/>
              <w:bottom w:val="single" w:sz="4" w:space="0" w:color="000000"/>
            </w:tcBorders>
          </w:tcPr>
          <w:p>
            <w:pPr>
              <w:pStyle w:val="TableParagraph"/>
              <w:spacing w:before="23"/>
              <w:ind w:right="84"/>
              <w:rPr>
                <w:sz w:val="14"/>
              </w:rPr>
            </w:pPr>
            <w:r>
              <w:rPr>
                <w:w w:val="99"/>
                <w:sz w:val="14"/>
              </w:rPr>
              <w:t>-</w:t>
            </w:r>
          </w:p>
        </w:tc>
        <w:tc>
          <w:tcPr>
            <w:tcW w:w="561" w:type="dxa"/>
            <w:tcBorders>
              <w:top w:val="single" w:sz="4" w:space="0" w:color="000000"/>
              <w:bottom w:val="single" w:sz="4" w:space="0" w:color="000000"/>
            </w:tcBorders>
          </w:tcPr>
          <w:p>
            <w:pPr>
              <w:pStyle w:val="TableParagraph"/>
              <w:spacing w:before="23"/>
              <w:ind w:right="55"/>
              <w:rPr>
                <w:sz w:val="14"/>
              </w:rPr>
            </w:pPr>
            <w:r>
              <w:rPr>
                <w:w w:val="99"/>
                <w:sz w:val="14"/>
              </w:rPr>
              <w:t>-</w:t>
            </w:r>
          </w:p>
        </w:tc>
        <w:tc>
          <w:tcPr>
            <w:tcW w:w="775" w:type="dxa"/>
            <w:tcBorders>
              <w:top w:val="single" w:sz="4" w:space="0" w:color="000000"/>
              <w:bottom w:val="single" w:sz="4" w:space="0" w:color="000000"/>
            </w:tcBorders>
          </w:tcPr>
          <w:p>
            <w:pPr>
              <w:pStyle w:val="TableParagraph"/>
              <w:spacing w:before="23"/>
              <w:ind w:right="90"/>
              <w:rPr>
                <w:i/>
                <w:sz w:val="14"/>
              </w:rPr>
            </w:pPr>
            <w:r>
              <w:rPr>
                <w:i/>
                <w:w w:val="99"/>
                <w:sz w:val="14"/>
              </w:rPr>
              <w:t>-</w:t>
            </w:r>
          </w:p>
        </w:tc>
        <w:tc>
          <w:tcPr>
            <w:tcW w:w="558" w:type="dxa"/>
            <w:tcBorders>
              <w:top w:val="single" w:sz="4" w:space="0" w:color="000000"/>
              <w:bottom w:val="single" w:sz="4" w:space="0" w:color="000000"/>
            </w:tcBorders>
          </w:tcPr>
          <w:p>
            <w:pPr>
              <w:pStyle w:val="TableParagraph"/>
              <w:spacing w:before="23"/>
              <w:ind w:right="48"/>
              <w:rPr>
                <w:b/>
                <w:sz w:val="14"/>
              </w:rPr>
            </w:pPr>
            <w:r>
              <w:rPr>
                <w:b/>
                <w:w w:val="99"/>
                <w:sz w:val="14"/>
              </w:rPr>
              <w:t>-</w:t>
            </w:r>
          </w:p>
        </w:tc>
      </w:tr>
      <w:tr>
        <w:trPr>
          <w:trHeight w:val="230" w:hRule="atLeast"/>
        </w:trPr>
        <w:tc>
          <w:tcPr>
            <w:tcW w:w="1186" w:type="dxa"/>
            <w:tcBorders>
              <w:top w:val="single" w:sz="4" w:space="0" w:color="000000"/>
              <w:bottom w:val="single" w:sz="4" w:space="0" w:color="000000"/>
            </w:tcBorders>
          </w:tcPr>
          <w:p>
            <w:pPr>
              <w:pStyle w:val="TableParagraph"/>
              <w:spacing w:before="28"/>
              <w:ind w:left="67"/>
              <w:jc w:val="left"/>
              <w:rPr>
                <w:sz w:val="14"/>
              </w:rPr>
            </w:pPr>
            <w:r>
              <w:rPr>
                <w:spacing w:val="-2"/>
                <w:sz w:val="14"/>
              </w:rPr>
              <w:t>Returned</w:t>
            </w:r>
          </w:p>
        </w:tc>
        <w:tc>
          <w:tcPr>
            <w:tcW w:w="678" w:type="dxa"/>
            <w:tcBorders>
              <w:top w:val="single" w:sz="4" w:space="0" w:color="000000"/>
              <w:bottom w:val="single" w:sz="4" w:space="0" w:color="000000"/>
            </w:tcBorders>
          </w:tcPr>
          <w:p>
            <w:pPr>
              <w:pStyle w:val="TableParagraph"/>
              <w:spacing w:before="28"/>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8"/>
              <w:ind w:right="170"/>
              <w:rPr>
                <w:sz w:val="14"/>
              </w:rPr>
            </w:pPr>
            <w:r>
              <w:rPr>
                <w:w w:val="99"/>
                <w:sz w:val="14"/>
              </w:rPr>
              <w:t>-</w:t>
            </w:r>
          </w:p>
        </w:tc>
        <w:tc>
          <w:tcPr>
            <w:tcW w:w="548" w:type="dxa"/>
            <w:tcBorders>
              <w:top w:val="single" w:sz="4" w:space="0" w:color="000000"/>
              <w:bottom w:val="single" w:sz="4" w:space="0" w:color="000000"/>
            </w:tcBorders>
          </w:tcPr>
          <w:p>
            <w:pPr>
              <w:pStyle w:val="TableParagraph"/>
              <w:spacing w:before="28"/>
              <w:ind w:right="156"/>
              <w:rPr>
                <w:sz w:val="14"/>
              </w:rPr>
            </w:pPr>
            <w:r>
              <w:rPr>
                <w:w w:val="99"/>
                <w:sz w:val="14"/>
              </w:rPr>
              <w:t>-</w:t>
            </w:r>
          </w:p>
        </w:tc>
        <w:tc>
          <w:tcPr>
            <w:tcW w:w="571" w:type="dxa"/>
            <w:tcBorders>
              <w:top w:val="single" w:sz="4" w:space="0" w:color="000000"/>
              <w:bottom w:val="single" w:sz="4" w:space="0" w:color="000000"/>
            </w:tcBorders>
          </w:tcPr>
          <w:p>
            <w:pPr>
              <w:pStyle w:val="TableParagraph"/>
              <w:spacing w:before="28"/>
              <w:ind w:right="166"/>
              <w:rPr>
                <w:sz w:val="14"/>
              </w:rPr>
            </w:pPr>
            <w:r>
              <w:rPr>
                <w:w w:val="99"/>
                <w:sz w:val="14"/>
              </w:rPr>
              <w:t>-</w:t>
            </w:r>
          </w:p>
        </w:tc>
        <w:tc>
          <w:tcPr>
            <w:tcW w:w="539" w:type="dxa"/>
            <w:tcBorders>
              <w:top w:val="single" w:sz="4" w:space="0" w:color="000000"/>
              <w:bottom w:val="single" w:sz="4" w:space="0" w:color="000000"/>
            </w:tcBorders>
          </w:tcPr>
          <w:p>
            <w:pPr>
              <w:pStyle w:val="TableParagraph"/>
              <w:spacing w:before="28"/>
              <w:ind w:left="157" w:right="27"/>
              <w:jc w:val="center"/>
              <w:rPr>
                <w:sz w:val="14"/>
              </w:rPr>
            </w:pPr>
            <w:r>
              <w:rPr>
                <w:spacing w:val="-5"/>
                <w:sz w:val="14"/>
              </w:rPr>
              <w:t>(1)</w:t>
            </w:r>
          </w:p>
        </w:tc>
        <w:tc>
          <w:tcPr>
            <w:tcW w:w="590" w:type="dxa"/>
            <w:tcBorders>
              <w:top w:val="single" w:sz="4" w:space="0" w:color="000000"/>
              <w:bottom w:val="single" w:sz="4" w:space="0" w:color="000000"/>
            </w:tcBorders>
          </w:tcPr>
          <w:p>
            <w:pPr>
              <w:pStyle w:val="TableParagraph"/>
              <w:spacing w:before="28"/>
              <w:ind w:right="128"/>
              <w:rPr>
                <w:sz w:val="14"/>
              </w:rPr>
            </w:pPr>
            <w:r>
              <w:rPr>
                <w:w w:val="99"/>
                <w:sz w:val="14"/>
              </w:rPr>
              <w:t>-</w:t>
            </w:r>
          </w:p>
        </w:tc>
        <w:tc>
          <w:tcPr>
            <w:tcW w:w="667" w:type="dxa"/>
            <w:tcBorders>
              <w:top w:val="single" w:sz="4" w:space="0" w:color="000000"/>
              <w:bottom w:val="single" w:sz="4" w:space="0" w:color="000000"/>
            </w:tcBorders>
          </w:tcPr>
          <w:p>
            <w:pPr>
              <w:pStyle w:val="TableParagraph"/>
              <w:spacing w:before="28"/>
              <w:ind w:right="195"/>
              <w:rPr>
                <w:sz w:val="14"/>
              </w:rPr>
            </w:pPr>
            <w:r>
              <w:rPr>
                <w:spacing w:val="-5"/>
                <w:sz w:val="14"/>
              </w:rPr>
              <w:t>(2)</w:t>
            </w:r>
          </w:p>
        </w:tc>
        <w:tc>
          <w:tcPr>
            <w:tcW w:w="667" w:type="dxa"/>
            <w:tcBorders>
              <w:top w:val="single" w:sz="4" w:space="0" w:color="000000"/>
              <w:bottom w:val="single" w:sz="4" w:space="0" w:color="000000"/>
            </w:tcBorders>
          </w:tcPr>
          <w:p>
            <w:pPr>
              <w:pStyle w:val="TableParagraph"/>
              <w:spacing w:before="28"/>
              <w:ind w:right="127"/>
              <w:rPr>
                <w:sz w:val="14"/>
              </w:rPr>
            </w:pPr>
            <w:r>
              <w:rPr>
                <w:w w:val="99"/>
                <w:sz w:val="14"/>
              </w:rPr>
              <w:t>-</w:t>
            </w:r>
          </w:p>
        </w:tc>
        <w:tc>
          <w:tcPr>
            <w:tcW w:w="535" w:type="dxa"/>
            <w:tcBorders>
              <w:top w:val="single" w:sz="4" w:space="0" w:color="000000"/>
              <w:bottom w:val="single" w:sz="4" w:space="0" w:color="000000"/>
            </w:tcBorders>
          </w:tcPr>
          <w:p>
            <w:pPr>
              <w:pStyle w:val="TableParagraph"/>
              <w:spacing w:before="28"/>
              <w:ind w:right="66"/>
              <w:rPr>
                <w:sz w:val="14"/>
              </w:rPr>
            </w:pPr>
            <w:r>
              <w:rPr>
                <w:w w:val="99"/>
                <w:sz w:val="14"/>
              </w:rPr>
              <w:t>-</w:t>
            </w:r>
          </w:p>
        </w:tc>
        <w:tc>
          <w:tcPr>
            <w:tcW w:w="792" w:type="dxa"/>
            <w:tcBorders>
              <w:top w:val="single" w:sz="4" w:space="0" w:color="000000"/>
              <w:bottom w:val="single" w:sz="4" w:space="0" w:color="000000"/>
            </w:tcBorders>
          </w:tcPr>
          <w:p>
            <w:pPr>
              <w:pStyle w:val="TableParagraph"/>
              <w:spacing w:before="28"/>
              <w:ind w:right="119"/>
              <w:rPr>
                <w:i/>
                <w:sz w:val="14"/>
              </w:rPr>
            </w:pPr>
            <w:r>
              <w:rPr>
                <w:i/>
                <w:spacing w:val="-5"/>
                <w:sz w:val="14"/>
              </w:rPr>
              <w:t>(3)</w:t>
            </w:r>
          </w:p>
        </w:tc>
        <w:tc>
          <w:tcPr>
            <w:tcW w:w="567" w:type="dxa"/>
            <w:tcBorders>
              <w:top w:val="single" w:sz="4" w:space="0" w:color="000000"/>
              <w:bottom w:val="single" w:sz="4" w:space="0" w:color="000000"/>
            </w:tcBorders>
          </w:tcPr>
          <w:p>
            <w:pPr>
              <w:pStyle w:val="TableParagraph"/>
              <w:spacing w:before="28"/>
              <w:ind w:right="95"/>
              <w:rPr>
                <w:sz w:val="14"/>
              </w:rPr>
            </w:pPr>
            <w:r>
              <w:rPr>
                <w:w w:val="99"/>
                <w:sz w:val="14"/>
              </w:rPr>
              <w:t>-</w:t>
            </w:r>
          </w:p>
        </w:tc>
        <w:tc>
          <w:tcPr>
            <w:tcW w:w="580" w:type="dxa"/>
            <w:tcBorders>
              <w:top w:val="single" w:sz="4" w:space="0" w:color="000000"/>
              <w:bottom w:val="single" w:sz="4" w:space="0" w:color="000000"/>
            </w:tcBorders>
          </w:tcPr>
          <w:p>
            <w:pPr>
              <w:pStyle w:val="TableParagraph"/>
              <w:spacing w:before="28"/>
              <w:ind w:right="80"/>
              <w:rPr>
                <w:sz w:val="14"/>
              </w:rPr>
            </w:pPr>
            <w:r>
              <w:rPr>
                <w:spacing w:val="-5"/>
                <w:sz w:val="14"/>
              </w:rPr>
              <w:t>(1)</w:t>
            </w:r>
          </w:p>
        </w:tc>
        <w:tc>
          <w:tcPr>
            <w:tcW w:w="561" w:type="dxa"/>
            <w:tcBorders>
              <w:top w:val="single" w:sz="4" w:space="0" w:color="000000"/>
              <w:bottom w:val="single" w:sz="4" w:space="0" w:color="000000"/>
            </w:tcBorders>
          </w:tcPr>
          <w:p>
            <w:pPr>
              <w:pStyle w:val="TableParagraph"/>
              <w:spacing w:before="28"/>
              <w:ind w:right="51"/>
              <w:rPr>
                <w:sz w:val="14"/>
              </w:rPr>
            </w:pPr>
            <w:r>
              <w:rPr>
                <w:spacing w:val="-4"/>
                <w:sz w:val="14"/>
              </w:rPr>
              <w:t>(18)</w:t>
            </w:r>
          </w:p>
        </w:tc>
        <w:tc>
          <w:tcPr>
            <w:tcW w:w="775" w:type="dxa"/>
            <w:tcBorders>
              <w:top w:val="single" w:sz="4" w:space="0" w:color="000000"/>
              <w:bottom w:val="single" w:sz="4" w:space="0" w:color="000000"/>
            </w:tcBorders>
          </w:tcPr>
          <w:p>
            <w:pPr>
              <w:pStyle w:val="TableParagraph"/>
              <w:spacing w:before="28"/>
              <w:ind w:right="86"/>
              <w:rPr>
                <w:i/>
                <w:sz w:val="14"/>
              </w:rPr>
            </w:pPr>
            <w:r>
              <w:rPr>
                <w:i/>
                <w:spacing w:val="-4"/>
                <w:sz w:val="14"/>
              </w:rPr>
              <w:t>(19)</w:t>
            </w:r>
          </w:p>
        </w:tc>
        <w:tc>
          <w:tcPr>
            <w:tcW w:w="558" w:type="dxa"/>
            <w:tcBorders>
              <w:top w:val="single" w:sz="4" w:space="0" w:color="000000"/>
              <w:bottom w:val="single" w:sz="4" w:space="0" w:color="000000"/>
            </w:tcBorders>
          </w:tcPr>
          <w:p>
            <w:pPr>
              <w:pStyle w:val="TableParagraph"/>
              <w:spacing w:before="28"/>
              <w:ind w:right="44"/>
              <w:rPr>
                <w:b/>
                <w:sz w:val="14"/>
              </w:rPr>
            </w:pPr>
            <w:r>
              <w:rPr>
                <w:b/>
                <w:spacing w:val="-4"/>
                <w:sz w:val="14"/>
              </w:rPr>
              <w:t>(22)</w:t>
            </w:r>
          </w:p>
        </w:tc>
      </w:tr>
      <w:tr>
        <w:trPr>
          <w:trHeight w:val="224" w:hRule="atLeast"/>
        </w:trPr>
        <w:tc>
          <w:tcPr>
            <w:tcW w:w="1186" w:type="dxa"/>
            <w:tcBorders>
              <w:top w:val="single" w:sz="4" w:space="0" w:color="000000"/>
              <w:bottom w:val="single" w:sz="12" w:space="0" w:color="000000"/>
            </w:tcBorders>
          </w:tcPr>
          <w:p>
            <w:pPr>
              <w:pStyle w:val="TableParagraph"/>
              <w:spacing w:before="23"/>
              <w:ind w:left="67"/>
              <w:jc w:val="left"/>
              <w:rPr>
                <w:b/>
                <w:sz w:val="14"/>
              </w:rPr>
            </w:pPr>
            <w:r>
              <w:rPr>
                <w:b/>
                <w:sz w:val="14"/>
              </w:rPr>
              <w:t>Proposed</w:t>
            </w:r>
            <w:r>
              <w:rPr>
                <w:b/>
                <w:spacing w:val="-6"/>
                <w:sz w:val="14"/>
              </w:rPr>
              <w:t> </w:t>
            </w:r>
            <w:r>
              <w:rPr>
                <w:b/>
                <w:spacing w:val="-4"/>
                <w:sz w:val="14"/>
              </w:rPr>
              <w:t>2023</w:t>
            </w:r>
          </w:p>
        </w:tc>
        <w:tc>
          <w:tcPr>
            <w:tcW w:w="678" w:type="dxa"/>
            <w:tcBorders>
              <w:top w:val="single" w:sz="4" w:space="0" w:color="000000"/>
              <w:bottom w:val="single" w:sz="12" w:space="0" w:color="000000"/>
            </w:tcBorders>
          </w:tcPr>
          <w:p>
            <w:pPr>
              <w:pStyle w:val="TableParagraph"/>
              <w:spacing w:before="23"/>
              <w:ind w:right="155"/>
              <w:rPr>
                <w:b/>
                <w:sz w:val="14"/>
              </w:rPr>
            </w:pPr>
            <w:r>
              <w:rPr>
                <w:b/>
                <w:w w:val="99"/>
                <w:sz w:val="14"/>
              </w:rPr>
              <w:t>1</w:t>
            </w:r>
          </w:p>
        </w:tc>
        <w:tc>
          <w:tcPr>
            <w:tcW w:w="607" w:type="dxa"/>
            <w:tcBorders>
              <w:top w:val="single" w:sz="4" w:space="0" w:color="000000"/>
              <w:bottom w:val="single" w:sz="12" w:space="0" w:color="000000"/>
            </w:tcBorders>
          </w:tcPr>
          <w:p>
            <w:pPr>
              <w:pStyle w:val="TableParagraph"/>
              <w:spacing w:before="23"/>
              <w:ind w:right="171"/>
              <w:rPr>
                <w:b/>
                <w:sz w:val="14"/>
              </w:rPr>
            </w:pPr>
            <w:r>
              <w:rPr>
                <w:b/>
                <w:w w:val="99"/>
                <w:sz w:val="14"/>
              </w:rPr>
              <w:t>3</w:t>
            </w:r>
          </w:p>
        </w:tc>
        <w:tc>
          <w:tcPr>
            <w:tcW w:w="548" w:type="dxa"/>
            <w:tcBorders>
              <w:top w:val="single" w:sz="4" w:space="0" w:color="000000"/>
              <w:bottom w:val="single" w:sz="12" w:space="0" w:color="000000"/>
            </w:tcBorders>
          </w:tcPr>
          <w:p>
            <w:pPr>
              <w:pStyle w:val="TableParagraph"/>
              <w:spacing w:before="23"/>
              <w:ind w:right="156"/>
              <w:rPr>
                <w:b/>
                <w:sz w:val="14"/>
              </w:rPr>
            </w:pPr>
            <w:r>
              <w:rPr>
                <w:b/>
                <w:w w:val="99"/>
                <w:sz w:val="14"/>
              </w:rPr>
              <w:t>-</w:t>
            </w:r>
          </w:p>
        </w:tc>
        <w:tc>
          <w:tcPr>
            <w:tcW w:w="571" w:type="dxa"/>
            <w:tcBorders>
              <w:top w:val="single" w:sz="4" w:space="0" w:color="000000"/>
              <w:bottom w:val="single" w:sz="12" w:space="0" w:color="000000"/>
            </w:tcBorders>
          </w:tcPr>
          <w:p>
            <w:pPr>
              <w:pStyle w:val="TableParagraph"/>
              <w:spacing w:before="23"/>
              <w:ind w:right="167"/>
              <w:rPr>
                <w:b/>
                <w:sz w:val="14"/>
              </w:rPr>
            </w:pPr>
            <w:r>
              <w:rPr>
                <w:b/>
                <w:w w:val="99"/>
                <w:sz w:val="14"/>
              </w:rPr>
              <w:t>9</w:t>
            </w:r>
          </w:p>
        </w:tc>
        <w:tc>
          <w:tcPr>
            <w:tcW w:w="539" w:type="dxa"/>
            <w:tcBorders>
              <w:top w:val="single" w:sz="4" w:space="0" w:color="000000"/>
              <w:bottom w:val="single" w:sz="12" w:space="0" w:color="000000"/>
            </w:tcBorders>
          </w:tcPr>
          <w:p>
            <w:pPr>
              <w:pStyle w:val="TableParagraph"/>
              <w:spacing w:before="23"/>
              <w:ind w:left="157" w:right="1"/>
              <w:jc w:val="center"/>
              <w:rPr>
                <w:b/>
                <w:sz w:val="14"/>
              </w:rPr>
            </w:pPr>
            <w:r>
              <w:rPr>
                <w:b/>
                <w:spacing w:val="-5"/>
                <w:sz w:val="14"/>
              </w:rPr>
              <w:t>44</w:t>
            </w:r>
          </w:p>
        </w:tc>
        <w:tc>
          <w:tcPr>
            <w:tcW w:w="590" w:type="dxa"/>
            <w:tcBorders>
              <w:top w:val="single" w:sz="4" w:space="0" w:color="000000"/>
              <w:bottom w:val="single" w:sz="12" w:space="0" w:color="000000"/>
            </w:tcBorders>
          </w:tcPr>
          <w:p>
            <w:pPr>
              <w:pStyle w:val="TableParagraph"/>
              <w:spacing w:before="23"/>
              <w:ind w:right="121"/>
              <w:rPr>
                <w:b/>
                <w:sz w:val="14"/>
              </w:rPr>
            </w:pPr>
            <w:r>
              <w:rPr>
                <w:b/>
                <w:spacing w:val="-5"/>
                <w:sz w:val="14"/>
              </w:rPr>
              <w:t>94</w:t>
            </w:r>
          </w:p>
        </w:tc>
        <w:tc>
          <w:tcPr>
            <w:tcW w:w="667" w:type="dxa"/>
            <w:tcBorders>
              <w:top w:val="single" w:sz="4" w:space="0" w:color="000000"/>
              <w:bottom w:val="single" w:sz="12" w:space="0" w:color="000000"/>
            </w:tcBorders>
          </w:tcPr>
          <w:p>
            <w:pPr>
              <w:pStyle w:val="TableParagraph"/>
              <w:spacing w:before="23"/>
              <w:ind w:right="193"/>
              <w:rPr>
                <w:b/>
                <w:sz w:val="14"/>
              </w:rPr>
            </w:pPr>
            <w:r>
              <w:rPr>
                <w:b/>
                <w:spacing w:val="-5"/>
                <w:sz w:val="14"/>
              </w:rPr>
              <w:t>194</w:t>
            </w:r>
          </w:p>
        </w:tc>
        <w:tc>
          <w:tcPr>
            <w:tcW w:w="667" w:type="dxa"/>
            <w:tcBorders>
              <w:top w:val="single" w:sz="4" w:space="0" w:color="000000"/>
              <w:bottom w:val="single" w:sz="12" w:space="0" w:color="000000"/>
            </w:tcBorders>
          </w:tcPr>
          <w:p>
            <w:pPr>
              <w:pStyle w:val="TableParagraph"/>
              <w:spacing w:before="23"/>
              <w:ind w:right="121"/>
              <w:rPr>
                <w:b/>
                <w:sz w:val="14"/>
              </w:rPr>
            </w:pPr>
            <w:r>
              <w:rPr>
                <w:b/>
                <w:spacing w:val="-5"/>
                <w:sz w:val="14"/>
              </w:rPr>
              <w:t>198</w:t>
            </w:r>
          </w:p>
        </w:tc>
        <w:tc>
          <w:tcPr>
            <w:tcW w:w="535" w:type="dxa"/>
            <w:tcBorders>
              <w:top w:val="single" w:sz="4" w:space="0" w:color="000000"/>
              <w:bottom w:val="single" w:sz="12" w:space="0" w:color="000000"/>
            </w:tcBorders>
          </w:tcPr>
          <w:p>
            <w:pPr>
              <w:pStyle w:val="TableParagraph"/>
              <w:spacing w:before="23"/>
              <w:ind w:right="60"/>
              <w:rPr>
                <w:b/>
                <w:sz w:val="14"/>
              </w:rPr>
            </w:pPr>
            <w:r>
              <w:rPr>
                <w:b/>
                <w:spacing w:val="-5"/>
                <w:sz w:val="14"/>
              </w:rPr>
              <w:t>31</w:t>
            </w:r>
          </w:p>
        </w:tc>
        <w:tc>
          <w:tcPr>
            <w:tcW w:w="792" w:type="dxa"/>
            <w:tcBorders>
              <w:top w:val="single" w:sz="4" w:space="0" w:color="000000"/>
              <w:bottom w:val="single" w:sz="12" w:space="0" w:color="000000"/>
            </w:tcBorders>
          </w:tcPr>
          <w:p>
            <w:pPr>
              <w:pStyle w:val="TableParagraph"/>
              <w:spacing w:before="23"/>
              <w:ind w:right="117"/>
              <w:rPr>
                <w:b/>
                <w:i/>
                <w:sz w:val="14"/>
              </w:rPr>
            </w:pPr>
            <w:r>
              <w:rPr>
                <w:b/>
                <w:i/>
                <w:spacing w:val="-5"/>
                <w:sz w:val="14"/>
              </w:rPr>
              <w:t>574</w:t>
            </w:r>
          </w:p>
        </w:tc>
        <w:tc>
          <w:tcPr>
            <w:tcW w:w="567" w:type="dxa"/>
            <w:tcBorders>
              <w:top w:val="single" w:sz="4" w:space="0" w:color="000000"/>
              <w:bottom w:val="single" w:sz="12" w:space="0" w:color="000000"/>
            </w:tcBorders>
          </w:tcPr>
          <w:p>
            <w:pPr>
              <w:pStyle w:val="TableParagraph"/>
              <w:spacing w:before="23"/>
              <w:ind w:right="95"/>
              <w:rPr>
                <w:b/>
                <w:sz w:val="14"/>
              </w:rPr>
            </w:pPr>
            <w:r>
              <w:rPr>
                <w:b/>
                <w:w w:val="99"/>
                <w:sz w:val="14"/>
              </w:rPr>
              <w:t>-</w:t>
            </w:r>
          </w:p>
        </w:tc>
        <w:tc>
          <w:tcPr>
            <w:tcW w:w="580" w:type="dxa"/>
            <w:tcBorders>
              <w:top w:val="single" w:sz="4" w:space="0" w:color="000000"/>
              <w:bottom w:val="single" w:sz="12" w:space="0" w:color="000000"/>
            </w:tcBorders>
          </w:tcPr>
          <w:p>
            <w:pPr>
              <w:pStyle w:val="TableParagraph"/>
              <w:spacing w:before="23"/>
              <w:ind w:right="78"/>
              <w:rPr>
                <w:b/>
                <w:sz w:val="14"/>
              </w:rPr>
            </w:pPr>
            <w:r>
              <w:rPr>
                <w:b/>
                <w:spacing w:val="-5"/>
                <w:sz w:val="14"/>
              </w:rPr>
              <w:t>18</w:t>
            </w:r>
          </w:p>
        </w:tc>
        <w:tc>
          <w:tcPr>
            <w:tcW w:w="561" w:type="dxa"/>
            <w:tcBorders>
              <w:top w:val="single" w:sz="4" w:space="0" w:color="000000"/>
              <w:bottom w:val="single" w:sz="12" w:space="0" w:color="000000"/>
            </w:tcBorders>
          </w:tcPr>
          <w:p>
            <w:pPr>
              <w:pStyle w:val="TableParagraph"/>
              <w:spacing w:before="23"/>
              <w:ind w:right="49"/>
              <w:rPr>
                <w:b/>
                <w:sz w:val="14"/>
              </w:rPr>
            </w:pPr>
            <w:r>
              <w:rPr>
                <w:b/>
                <w:spacing w:val="-5"/>
                <w:sz w:val="14"/>
              </w:rPr>
              <w:t>396</w:t>
            </w:r>
          </w:p>
        </w:tc>
        <w:tc>
          <w:tcPr>
            <w:tcW w:w="775" w:type="dxa"/>
            <w:tcBorders>
              <w:top w:val="single" w:sz="4" w:space="0" w:color="000000"/>
              <w:bottom w:val="single" w:sz="12" w:space="0" w:color="000000"/>
            </w:tcBorders>
          </w:tcPr>
          <w:p>
            <w:pPr>
              <w:pStyle w:val="TableParagraph"/>
              <w:spacing w:before="23"/>
              <w:ind w:right="84"/>
              <w:rPr>
                <w:b/>
                <w:i/>
                <w:sz w:val="14"/>
              </w:rPr>
            </w:pPr>
            <w:r>
              <w:rPr>
                <w:b/>
                <w:i/>
                <w:spacing w:val="-5"/>
                <w:sz w:val="14"/>
              </w:rPr>
              <w:t>414</w:t>
            </w:r>
          </w:p>
        </w:tc>
        <w:tc>
          <w:tcPr>
            <w:tcW w:w="558" w:type="dxa"/>
            <w:tcBorders>
              <w:top w:val="single" w:sz="4" w:space="0" w:color="000000"/>
              <w:bottom w:val="single" w:sz="12" w:space="0" w:color="000000"/>
            </w:tcBorders>
          </w:tcPr>
          <w:p>
            <w:pPr>
              <w:pStyle w:val="TableParagraph"/>
              <w:spacing w:before="23"/>
              <w:ind w:right="42"/>
              <w:rPr>
                <w:b/>
                <w:sz w:val="14"/>
              </w:rPr>
            </w:pPr>
            <w:r>
              <w:rPr>
                <w:b/>
                <w:spacing w:val="-5"/>
                <w:sz w:val="14"/>
              </w:rPr>
              <w:t>988</w:t>
            </w:r>
          </w:p>
        </w:tc>
      </w:tr>
      <w:tr>
        <w:trPr>
          <w:trHeight w:val="571" w:hRule="atLeast"/>
        </w:trPr>
        <w:tc>
          <w:tcPr>
            <w:tcW w:w="1186" w:type="dxa"/>
            <w:tcBorders>
              <w:top w:val="single" w:sz="12" w:space="0" w:color="000000"/>
            </w:tcBorders>
          </w:tcPr>
          <w:p>
            <w:pPr>
              <w:pStyle w:val="TableParagraph"/>
              <w:spacing w:before="1"/>
              <w:jc w:val="left"/>
              <w:rPr>
                <w:b/>
                <w:sz w:val="19"/>
              </w:rPr>
            </w:pPr>
          </w:p>
          <w:p>
            <w:pPr>
              <w:pStyle w:val="TableParagraph"/>
              <w:spacing w:line="242" w:lineRule="auto"/>
              <w:ind w:left="67" w:right="232"/>
              <w:jc w:val="left"/>
              <w:rPr>
                <w:b/>
                <w:sz w:val="14"/>
              </w:rPr>
            </w:pPr>
            <w:r>
              <w:rPr>
                <w:b/>
                <w:sz w:val="14"/>
              </w:rPr>
              <w:t>GTA</w:t>
            </w:r>
            <w:r>
              <w:rPr>
                <w:b/>
                <w:spacing w:val="-9"/>
                <w:sz w:val="14"/>
              </w:rPr>
              <w:t> </w:t>
            </w:r>
            <w:r>
              <w:rPr>
                <w:b/>
                <w:sz w:val="14"/>
              </w:rPr>
              <w:t>Positions</w:t>
            </w:r>
            <w:r>
              <w:rPr>
                <w:b/>
                <w:spacing w:val="40"/>
                <w:sz w:val="14"/>
              </w:rPr>
              <w:t> </w:t>
            </w:r>
            <w:r>
              <w:rPr>
                <w:b/>
                <w:spacing w:val="-2"/>
                <w:sz w:val="14"/>
              </w:rPr>
              <w:t>(FTE)</w:t>
            </w:r>
          </w:p>
        </w:tc>
        <w:tc>
          <w:tcPr>
            <w:tcW w:w="678" w:type="dxa"/>
            <w:tcBorders>
              <w:top w:val="single" w:sz="12" w:space="0" w:color="000000"/>
            </w:tcBorders>
          </w:tcPr>
          <w:p>
            <w:pPr>
              <w:pStyle w:val="TableParagraph"/>
              <w:jc w:val="left"/>
              <w:rPr>
                <w:sz w:val="14"/>
              </w:rPr>
            </w:pPr>
          </w:p>
        </w:tc>
        <w:tc>
          <w:tcPr>
            <w:tcW w:w="607" w:type="dxa"/>
            <w:tcBorders>
              <w:top w:val="single" w:sz="12" w:space="0" w:color="000000"/>
            </w:tcBorders>
          </w:tcPr>
          <w:p>
            <w:pPr>
              <w:pStyle w:val="TableParagraph"/>
              <w:jc w:val="left"/>
              <w:rPr>
                <w:sz w:val="14"/>
              </w:rPr>
            </w:pPr>
          </w:p>
        </w:tc>
        <w:tc>
          <w:tcPr>
            <w:tcW w:w="548" w:type="dxa"/>
            <w:tcBorders>
              <w:top w:val="single" w:sz="12" w:space="0" w:color="000000"/>
            </w:tcBorders>
          </w:tcPr>
          <w:p>
            <w:pPr>
              <w:pStyle w:val="TableParagraph"/>
              <w:jc w:val="left"/>
              <w:rPr>
                <w:sz w:val="14"/>
              </w:rPr>
            </w:pPr>
          </w:p>
        </w:tc>
        <w:tc>
          <w:tcPr>
            <w:tcW w:w="571" w:type="dxa"/>
            <w:tcBorders>
              <w:top w:val="single" w:sz="12" w:space="0" w:color="000000"/>
            </w:tcBorders>
          </w:tcPr>
          <w:p>
            <w:pPr>
              <w:pStyle w:val="TableParagraph"/>
              <w:jc w:val="left"/>
              <w:rPr>
                <w:sz w:val="14"/>
              </w:rPr>
            </w:pPr>
          </w:p>
        </w:tc>
        <w:tc>
          <w:tcPr>
            <w:tcW w:w="539" w:type="dxa"/>
            <w:tcBorders>
              <w:top w:val="single" w:sz="12" w:space="0" w:color="000000"/>
            </w:tcBorders>
          </w:tcPr>
          <w:p>
            <w:pPr>
              <w:pStyle w:val="TableParagraph"/>
              <w:jc w:val="left"/>
              <w:rPr>
                <w:sz w:val="14"/>
              </w:rPr>
            </w:pPr>
          </w:p>
        </w:tc>
        <w:tc>
          <w:tcPr>
            <w:tcW w:w="590" w:type="dxa"/>
            <w:tcBorders>
              <w:top w:val="single" w:sz="12" w:space="0" w:color="000000"/>
            </w:tcBorders>
          </w:tcPr>
          <w:p>
            <w:pPr>
              <w:pStyle w:val="TableParagraph"/>
              <w:jc w:val="left"/>
              <w:rPr>
                <w:sz w:val="14"/>
              </w:rPr>
            </w:pPr>
          </w:p>
        </w:tc>
        <w:tc>
          <w:tcPr>
            <w:tcW w:w="667" w:type="dxa"/>
            <w:tcBorders>
              <w:top w:val="single" w:sz="12" w:space="0" w:color="000000"/>
            </w:tcBorders>
          </w:tcPr>
          <w:p>
            <w:pPr>
              <w:pStyle w:val="TableParagraph"/>
              <w:jc w:val="left"/>
              <w:rPr>
                <w:sz w:val="14"/>
              </w:rPr>
            </w:pPr>
          </w:p>
        </w:tc>
        <w:tc>
          <w:tcPr>
            <w:tcW w:w="667" w:type="dxa"/>
            <w:tcBorders>
              <w:top w:val="single" w:sz="12" w:space="0" w:color="000000"/>
            </w:tcBorders>
          </w:tcPr>
          <w:p>
            <w:pPr>
              <w:pStyle w:val="TableParagraph"/>
              <w:jc w:val="left"/>
              <w:rPr>
                <w:sz w:val="14"/>
              </w:rPr>
            </w:pPr>
          </w:p>
        </w:tc>
        <w:tc>
          <w:tcPr>
            <w:tcW w:w="535" w:type="dxa"/>
            <w:tcBorders>
              <w:top w:val="single" w:sz="12" w:space="0" w:color="000000"/>
            </w:tcBorders>
          </w:tcPr>
          <w:p>
            <w:pPr>
              <w:pStyle w:val="TableParagraph"/>
              <w:jc w:val="left"/>
              <w:rPr>
                <w:sz w:val="14"/>
              </w:rPr>
            </w:pPr>
          </w:p>
        </w:tc>
        <w:tc>
          <w:tcPr>
            <w:tcW w:w="792" w:type="dxa"/>
            <w:tcBorders>
              <w:top w:val="single" w:sz="12" w:space="0" w:color="000000"/>
            </w:tcBorders>
          </w:tcPr>
          <w:p>
            <w:pPr>
              <w:pStyle w:val="TableParagraph"/>
              <w:jc w:val="left"/>
              <w:rPr>
                <w:sz w:val="14"/>
              </w:rPr>
            </w:pPr>
          </w:p>
        </w:tc>
        <w:tc>
          <w:tcPr>
            <w:tcW w:w="567" w:type="dxa"/>
            <w:tcBorders>
              <w:top w:val="single" w:sz="12" w:space="0" w:color="000000"/>
            </w:tcBorders>
          </w:tcPr>
          <w:p>
            <w:pPr>
              <w:pStyle w:val="TableParagraph"/>
              <w:jc w:val="left"/>
              <w:rPr>
                <w:sz w:val="14"/>
              </w:rPr>
            </w:pPr>
          </w:p>
        </w:tc>
        <w:tc>
          <w:tcPr>
            <w:tcW w:w="580" w:type="dxa"/>
            <w:tcBorders>
              <w:top w:val="single" w:sz="12" w:space="0" w:color="000000"/>
            </w:tcBorders>
          </w:tcPr>
          <w:p>
            <w:pPr>
              <w:pStyle w:val="TableParagraph"/>
              <w:jc w:val="left"/>
              <w:rPr>
                <w:sz w:val="14"/>
              </w:rPr>
            </w:pPr>
          </w:p>
        </w:tc>
        <w:tc>
          <w:tcPr>
            <w:tcW w:w="561" w:type="dxa"/>
            <w:tcBorders>
              <w:top w:val="single" w:sz="12" w:space="0" w:color="000000"/>
            </w:tcBorders>
          </w:tcPr>
          <w:p>
            <w:pPr>
              <w:pStyle w:val="TableParagraph"/>
              <w:jc w:val="left"/>
              <w:rPr>
                <w:sz w:val="14"/>
              </w:rPr>
            </w:pPr>
          </w:p>
        </w:tc>
        <w:tc>
          <w:tcPr>
            <w:tcW w:w="775" w:type="dxa"/>
            <w:tcBorders>
              <w:top w:val="single" w:sz="12" w:space="0" w:color="000000"/>
            </w:tcBorders>
          </w:tcPr>
          <w:p>
            <w:pPr>
              <w:pStyle w:val="TableParagraph"/>
              <w:jc w:val="left"/>
              <w:rPr>
                <w:sz w:val="14"/>
              </w:rPr>
            </w:pPr>
          </w:p>
        </w:tc>
        <w:tc>
          <w:tcPr>
            <w:tcW w:w="558" w:type="dxa"/>
            <w:tcBorders>
              <w:top w:val="single" w:sz="12" w:space="0" w:color="000000"/>
            </w:tcBorders>
          </w:tcPr>
          <w:p>
            <w:pPr>
              <w:pStyle w:val="TableParagraph"/>
              <w:jc w:val="left"/>
              <w:rPr>
                <w:sz w:val="14"/>
              </w:rPr>
            </w:pPr>
          </w:p>
        </w:tc>
      </w:tr>
      <w:tr>
        <w:trPr>
          <w:trHeight w:val="204" w:hRule="atLeast"/>
        </w:trPr>
        <w:tc>
          <w:tcPr>
            <w:tcW w:w="1186" w:type="dxa"/>
            <w:tcBorders>
              <w:bottom w:val="single" w:sz="12" w:space="0" w:color="000000"/>
            </w:tcBorders>
          </w:tcPr>
          <w:p>
            <w:pPr>
              <w:pStyle w:val="TableParagraph"/>
              <w:spacing w:before="3"/>
              <w:ind w:left="67"/>
              <w:jc w:val="left"/>
              <w:rPr>
                <w:sz w:val="14"/>
              </w:rPr>
            </w:pPr>
            <w:r>
              <w:rPr>
                <w:w w:val="95"/>
                <w:sz w:val="14"/>
              </w:rPr>
              <w:t>Approved</w:t>
            </w:r>
            <w:r>
              <w:rPr>
                <w:spacing w:val="22"/>
                <w:sz w:val="14"/>
              </w:rPr>
              <w:t> </w:t>
            </w:r>
            <w:r>
              <w:rPr>
                <w:spacing w:val="-4"/>
                <w:sz w:val="14"/>
              </w:rPr>
              <w:t>2022</w:t>
            </w:r>
          </w:p>
        </w:tc>
        <w:tc>
          <w:tcPr>
            <w:tcW w:w="678" w:type="dxa"/>
            <w:tcBorders>
              <w:bottom w:val="single" w:sz="12" w:space="0" w:color="000000"/>
            </w:tcBorders>
          </w:tcPr>
          <w:p>
            <w:pPr>
              <w:pStyle w:val="TableParagraph"/>
              <w:spacing w:before="3"/>
              <w:ind w:right="154"/>
              <w:rPr>
                <w:sz w:val="14"/>
              </w:rPr>
            </w:pPr>
            <w:r>
              <w:rPr>
                <w:w w:val="99"/>
                <w:sz w:val="14"/>
              </w:rPr>
              <w:t>-</w:t>
            </w:r>
          </w:p>
        </w:tc>
        <w:tc>
          <w:tcPr>
            <w:tcW w:w="607" w:type="dxa"/>
            <w:tcBorders>
              <w:bottom w:val="single" w:sz="12" w:space="0" w:color="000000"/>
            </w:tcBorders>
          </w:tcPr>
          <w:p>
            <w:pPr>
              <w:pStyle w:val="TableParagraph"/>
              <w:spacing w:before="3"/>
              <w:ind w:right="170"/>
              <w:rPr>
                <w:sz w:val="14"/>
              </w:rPr>
            </w:pPr>
            <w:r>
              <w:rPr>
                <w:w w:val="99"/>
                <w:sz w:val="14"/>
              </w:rPr>
              <w:t>-</w:t>
            </w:r>
          </w:p>
        </w:tc>
        <w:tc>
          <w:tcPr>
            <w:tcW w:w="548" w:type="dxa"/>
            <w:tcBorders>
              <w:bottom w:val="single" w:sz="12" w:space="0" w:color="000000"/>
            </w:tcBorders>
          </w:tcPr>
          <w:p>
            <w:pPr>
              <w:pStyle w:val="TableParagraph"/>
              <w:spacing w:before="3"/>
              <w:ind w:right="156"/>
              <w:rPr>
                <w:sz w:val="14"/>
              </w:rPr>
            </w:pPr>
            <w:r>
              <w:rPr>
                <w:w w:val="99"/>
                <w:sz w:val="14"/>
              </w:rPr>
              <w:t>-</w:t>
            </w:r>
          </w:p>
        </w:tc>
        <w:tc>
          <w:tcPr>
            <w:tcW w:w="571" w:type="dxa"/>
            <w:tcBorders>
              <w:bottom w:val="single" w:sz="12" w:space="0" w:color="000000"/>
            </w:tcBorders>
          </w:tcPr>
          <w:p>
            <w:pPr>
              <w:pStyle w:val="TableParagraph"/>
              <w:spacing w:before="3"/>
              <w:ind w:right="166"/>
              <w:rPr>
                <w:sz w:val="14"/>
              </w:rPr>
            </w:pPr>
            <w:r>
              <w:rPr>
                <w:w w:val="99"/>
                <w:sz w:val="14"/>
              </w:rPr>
              <w:t>-</w:t>
            </w:r>
          </w:p>
        </w:tc>
        <w:tc>
          <w:tcPr>
            <w:tcW w:w="539" w:type="dxa"/>
            <w:tcBorders>
              <w:bottom w:val="single" w:sz="12" w:space="0" w:color="000000"/>
            </w:tcBorders>
          </w:tcPr>
          <w:p>
            <w:pPr>
              <w:pStyle w:val="TableParagraph"/>
              <w:spacing w:before="3"/>
              <w:ind w:left="153" w:right="106"/>
              <w:jc w:val="center"/>
              <w:rPr>
                <w:sz w:val="14"/>
              </w:rPr>
            </w:pPr>
            <w:r>
              <w:rPr>
                <w:spacing w:val="-4"/>
                <w:sz w:val="14"/>
              </w:rPr>
              <w:t>1.04</w:t>
            </w:r>
          </w:p>
        </w:tc>
        <w:tc>
          <w:tcPr>
            <w:tcW w:w="590" w:type="dxa"/>
            <w:tcBorders>
              <w:bottom w:val="single" w:sz="12" w:space="0" w:color="000000"/>
            </w:tcBorders>
          </w:tcPr>
          <w:p>
            <w:pPr>
              <w:pStyle w:val="TableParagraph"/>
              <w:spacing w:before="3"/>
              <w:ind w:right="124"/>
              <w:rPr>
                <w:sz w:val="14"/>
              </w:rPr>
            </w:pPr>
            <w:r>
              <w:rPr>
                <w:spacing w:val="-2"/>
                <w:sz w:val="14"/>
              </w:rPr>
              <w:t>10.79</w:t>
            </w:r>
          </w:p>
        </w:tc>
        <w:tc>
          <w:tcPr>
            <w:tcW w:w="667" w:type="dxa"/>
            <w:tcBorders>
              <w:bottom w:val="single" w:sz="12" w:space="0" w:color="000000"/>
            </w:tcBorders>
          </w:tcPr>
          <w:p>
            <w:pPr>
              <w:pStyle w:val="TableParagraph"/>
              <w:spacing w:before="3"/>
              <w:ind w:right="196"/>
              <w:rPr>
                <w:sz w:val="14"/>
              </w:rPr>
            </w:pPr>
            <w:r>
              <w:rPr>
                <w:spacing w:val="-2"/>
                <w:sz w:val="14"/>
              </w:rPr>
              <w:t>52.34</w:t>
            </w:r>
          </w:p>
        </w:tc>
        <w:tc>
          <w:tcPr>
            <w:tcW w:w="667" w:type="dxa"/>
            <w:tcBorders>
              <w:bottom w:val="single" w:sz="12" w:space="0" w:color="000000"/>
            </w:tcBorders>
          </w:tcPr>
          <w:p>
            <w:pPr>
              <w:pStyle w:val="TableParagraph"/>
              <w:spacing w:before="3"/>
              <w:ind w:right="124"/>
              <w:rPr>
                <w:sz w:val="14"/>
              </w:rPr>
            </w:pPr>
            <w:r>
              <w:rPr>
                <w:spacing w:val="-2"/>
                <w:sz w:val="14"/>
              </w:rPr>
              <w:t>67.30</w:t>
            </w:r>
          </w:p>
        </w:tc>
        <w:tc>
          <w:tcPr>
            <w:tcW w:w="535" w:type="dxa"/>
            <w:tcBorders>
              <w:bottom w:val="single" w:sz="12" w:space="0" w:color="000000"/>
            </w:tcBorders>
          </w:tcPr>
          <w:p>
            <w:pPr>
              <w:pStyle w:val="TableParagraph"/>
              <w:spacing w:before="3"/>
              <w:ind w:right="63"/>
              <w:rPr>
                <w:sz w:val="14"/>
              </w:rPr>
            </w:pPr>
            <w:r>
              <w:rPr>
                <w:spacing w:val="-2"/>
                <w:sz w:val="14"/>
              </w:rPr>
              <w:t>10.00</w:t>
            </w:r>
          </w:p>
        </w:tc>
        <w:tc>
          <w:tcPr>
            <w:tcW w:w="792" w:type="dxa"/>
            <w:tcBorders>
              <w:bottom w:val="single" w:sz="12" w:space="0" w:color="000000"/>
            </w:tcBorders>
          </w:tcPr>
          <w:p>
            <w:pPr>
              <w:pStyle w:val="TableParagraph"/>
              <w:spacing w:before="3"/>
              <w:ind w:right="121"/>
              <w:rPr>
                <w:i/>
                <w:sz w:val="14"/>
              </w:rPr>
            </w:pPr>
            <w:r>
              <w:rPr>
                <w:i/>
                <w:spacing w:val="-2"/>
                <w:sz w:val="14"/>
              </w:rPr>
              <w:t>141.47</w:t>
            </w:r>
          </w:p>
        </w:tc>
        <w:tc>
          <w:tcPr>
            <w:tcW w:w="567" w:type="dxa"/>
            <w:tcBorders>
              <w:bottom w:val="single" w:sz="12" w:space="0" w:color="000000"/>
            </w:tcBorders>
          </w:tcPr>
          <w:p>
            <w:pPr>
              <w:pStyle w:val="TableParagraph"/>
              <w:spacing w:before="3"/>
              <w:ind w:right="95"/>
              <w:rPr>
                <w:sz w:val="14"/>
              </w:rPr>
            </w:pPr>
            <w:r>
              <w:rPr>
                <w:w w:val="99"/>
                <w:sz w:val="14"/>
              </w:rPr>
              <w:t>-</w:t>
            </w:r>
          </w:p>
        </w:tc>
        <w:tc>
          <w:tcPr>
            <w:tcW w:w="580" w:type="dxa"/>
            <w:tcBorders>
              <w:bottom w:val="single" w:sz="12" w:space="0" w:color="000000"/>
            </w:tcBorders>
          </w:tcPr>
          <w:p>
            <w:pPr>
              <w:pStyle w:val="TableParagraph"/>
              <w:spacing w:before="3"/>
              <w:ind w:right="81"/>
              <w:rPr>
                <w:sz w:val="14"/>
              </w:rPr>
            </w:pPr>
            <w:r>
              <w:rPr>
                <w:spacing w:val="-2"/>
                <w:sz w:val="14"/>
              </w:rPr>
              <w:t>11.59</w:t>
            </w:r>
          </w:p>
        </w:tc>
        <w:tc>
          <w:tcPr>
            <w:tcW w:w="561" w:type="dxa"/>
            <w:tcBorders>
              <w:bottom w:val="single" w:sz="12" w:space="0" w:color="000000"/>
            </w:tcBorders>
          </w:tcPr>
          <w:p>
            <w:pPr>
              <w:pStyle w:val="TableParagraph"/>
              <w:spacing w:before="3"/>
              <w:ind w:right="52"/>
              <w:rPr>
                <w:sz w:val="14"/>
              </w:rPr>
            </w:pPr>
            <w:r>
              <w:rPr>
                <w:spacing w:val="-2"/>
                <w:sz w:val="14"/>
              </w:rPr>
              <w:t>71.35</w:t>
            </w:r>
          </w:p>
        </w:tc>
        <w:tc>
          <w:tcPr>
            <w:tcW w:w="775" w:type="dxa"/>
            <w:tcBorders>
              <w:bottom w:val="single" w:sz="12" w:space="0" w:color="000000"/>
            </w:tcBorders>
          </w:tcPr>
          <w:p>
            <w:pPr>
              <w:pStyle w:val="TableParagraph"/>
              <w:spacing w:before="3"/>
              <w:ind w:right="87"/>
              <w:rPr>
                <w:i/>
                <w:sz w:val="14"/>
              </w:rPr>
            </w:pPr>
            <w:r>
              <w:rPr>
                <w:i/>
                <w:spacing w:val="-2"/>
                <w:sz w:val="14"/>
              </w:rPr>
              <w:t>82.94</w:t>
            </w:r>
          </w:p>
        </w:tc>
        <w:tc>
          <w:tcPr>
            <w:tcW w:w="558" w:type="dxa"/>
            <w:tcBorders>
              <w:bottom w:val="single" w:sz="12" w:space="0" w:color="000000"/>
            </w:tcBorders>
          </w:tcPr>
          <w:p>
            <w:pPr>
              <w:pStyle w:val="TableParagraph"/>
              <w:spacing w:before="3"/>
              <w:ind w:right="45"/>
              <w:rPr>
                <w:b/>
                <w:sz w:val="14"/>
              </w:rPr>
            </w:pPr>
            <w:r>
              <w:rPr>
                <w:b/>
                <w:spacing w:val="-2"/>
                <w:sz w:val="14"/>
              </w:rPr>
              <w:t>224.41</w:t>
            </w:r>
          </w:p>
        </w:tc>
      </w:tr>
      <w:tr>
        <w:trPr>
          <w:trHeight w:val="224" w:hRule="atLeast"/>
        </w:trPr>
        <w:tc>
          <w:tcPr>
            <w:tcW w:w="1186" w:type="dxa"/>
            <w:tcBorders>
              <w:top w:val="single" w:sz="12" w:space="0" w:color="000000"/>
              <w:bottom w:val="single" w:sz="4" w:space="0" w:color="000000"/>
            </w:tcBorders>
          </w:tcPr>
          <w:p>
            <w:pPr>
              <w:pStyle w:val="TableParagraph"/>
              <w:spacing w:before="27"/>
              <w:ind w:left="67"/>
              <w:jc w:val="left"/>
              <w:rPr>
                <w:sz w:val="14"/>
              </w:rPr>
            </w:pPr>
            <w:r>
              <w:rPr>
                <w:spacing w:val="-2"/>
                <w:sz w:val="14"/>
              </w:rPr>
              <w:t>Continued</w:t>
            </w:r>
          </w:p>
        </w:tc>
        <w:tc>
          <w:tcPr>
            <w:tcW w:w="678" w:type="dxa"/>
            <w:tcBorders>
              <w:top w:val="single" w:sz="12" w:space="0" w:color="000000"/>
              <w:bottom w:val="single" w:sz="4" w:space="0" w:color="000000"/>
            </w:tcBorders>
          </w:tcPr>
          <w:p>
            <w:pPr>
              <w:pStyle w:val="TableParagraph"/>
              <w:spacing w:before="27"/>
              <w:ind w:right="154"/>
              <w:rPr>
                <w:sz w:val="14"/>
              </w:rPr>
            </w:pPr>
            <w:r>
              <w:rPr>
                <w:w w:val="99"/>
                <w:sz w:val="14"/>
              </w:rPr>
              <w:t>-</w:t>
            </w:r>
          </w:p>
        </w:tc>
        <w:tc>
          <w:tcPr>
            <w:tcW w:w="607" w:type="dxa"/>
            <w:tcBorders>
              <w:top w:val="single" w:sz="12" w:space="0" w:color="000000"/>
              <w:bottom w:val="single" w:sz="4" w:space="0" w:color="000000"/>
            </w:tcBorders>
          </w:tcPr>
          <w:p>
            <w:pPr>
              <w:pStyle w:val="TableParagraph"/>
              <w:spacing w:before="27"/>
              <w:ind w:right="170"/>
              <w:rPr>
                <w:sz w:val="14"/>
              </w:rPr>
            </w:pPr>
            <w:r>
              <w:rPr>
                <w:w w:val="99"/>
                <w:sz w:val="14"/>
              </w:rPr>
              <w:t>-</w:t>
            </w:r>
          </w:p>
        </w:tc>
        <w:tc>
          <w:tcPr>
            <w:tcW w:w="548" w:type="dxa"/>
            <w:tcBorders>
              <w:top w:val="single" w:sz="12" w:space="0" w:color="000000"/>
              <w:bottom w:val="single" w:sz="4" w:space="0" w:color="000000"/>
            </w:tcBorders>
          </w:tcPr>
          <w:p>
            <w:pPr>
              <w:pStyle w:val="TableParagraph"/>
              <w:spacing w:before="27"/>
              <w:ind w:right="156"/>
              <w:rPr>
                <w:sz w:val="14"/>
              </w:rPr>
            </w:pPr>
            <w:r>
              <w:rPr>
                <w:w w:val="99"/>
                <w:sz w:val="14"/>
              </w:rPr>
              <w:t>-</w:t>
            </w:r>
          </w:p>
        </w:tc>
        <w:tc>
          <w:tcPr>
            <w:tcW w:w="571" w:type="dxa"/>
            <w:tcBorders>
              <w:top w:val="single" w:sz="12" w:space="0" w:color="000000"/>
              <w:bottom w:val="single" w:sz="4" w:space="0" w:color="000000"/>
            </w:tcBorders>
          </w:tcPr>
          <w:p>
            <w:pPr>
              <w:pStyle w:val="TableParagraph"/>
              <w:spacing w:before="27"/>
              <w:ind w:right="166"/>
              <w:rPr>
                <w:sz w:val="14"/>
              </w:rPr>
            </w:pPr>
            <w:r>
              <w:rPr>
                <w:w w:val="99"/>
                <w:sz w:val="14"/>
              </w:rPr>
              <w:t>-</w:t>
            </w:r>
          </w:p>
        </w:tc>
        <w:tc>
          <w:tcPr>
            <w:tcW w:w="539" w:type="dxa"/>
            <w:tcBorders>
              <w:top w:val="single" w:sz="12" w:space="0" w:color="000000"/>
              <w:bottom w:val="single" w:sz="4" w:space="0" w:color="000000"/>
            </w:tcBorders>
          </w:tcPr>
          <w:p>
            <w:pPr>
              <w:pStyle w:val="TableParagraph"/>
              <w:spacing w:before="27"/>
              <w:ind w:left="153" w:right="106"/>
              <w:jc w:val="center"/>
              <w:rPr>
                <w:sz w:val="14"/>
              </w:rPr>
            </w:pPr>
            <w:r>
              <w:rPr>
                <w:spacing w:val="-4"/>
                <w:sz w:val="14"/>
              </w:rPr>
              <w:t>1.04</w:t>
            </w:r>
          </w:p>
        </w:tc>
        <w:tc>
          <w:tcPr>
            <w:tcW w:w="590" w:type="dxa"/>
            <w:tcBorders>
              <w:top w:val="single" w:sz="12" w:space="0" w:color="000000"/>
              <w:bottom w:val="single" w:sz="4" w:space="0" w:color="000000"/>
            </w:tcBorders>
          </w:tcPr>
          <w:p>
            <w:pPr>
              <w:pStyle w:val="TableParagraph"/>
              <w:spacing w:before="27"/>
              <w:ind w:right="124"/>
              <w:rPr>
                <w:sz w:val="14"/>
              </w:rPr>
            </w:pPr>
            <w:r>
              <w:rPr>
                <w:spacing w:val="-2"/>
                <w:sz w:val="14"/>
              </w:rPr>
              <w:t>11.04</w:t>
            </w:r>
          </w:p>
        </w:tc>
        <w:tc>
          <w:tcPr>
            <w:tcW w:w="667" w:type="dxa"/>
            <w:tcBorders>
              <w:top w:val="single" w:sz="12" w:space="0" w:color="000000"/>
              <w:bottom w:val="single" w:sz="4" w:space="0" w:color="000000"/>
            </w:tcBorders>
          </w:tcPr>
          <w:p>
            <w:pPr>
              <w:pStyle w:val="TableParagraph"/>
              <w:spacing w:before="27"/>
              <w:ind w:right="196"/>
              <w:rPr>
                <w:sz w:val="14"/>
              </w:rPr>
            </w:pPr>
            <w:r>
              <w:rPr>
                <w:spacing w:val="-2"/>
                <w:sz w:val="14"/>
              </w:rPr>
              <w:t>52.58</w:t>
            </w:r>
          </w:p>
        </w:tc>
        <w:tc>
          <w:tcPr>
            <w:tcW w:w="667" w:type="dxa"/>
            <w:tcBorders>
              <w:top w:val="single" w:sz="12" w:space="0" w:color="000000"/>
              <w:bottom w:val="single" w:sz="4" w:space="0" w:color="000000"/>
            </w:tcBorders>
          </w:tcPr>
          <w:p>
            <w:pPr>
              <w:pStyle w:val="TableParagraph"/>
              <w:spacing w:before="27"/>
              <w:ind w:right="124"/>
              <w:rPr>
                <w:sz w:val="14"/>
              </w:rPr>
            </w:pPr>
            <w:r>
              <w:rPr>
                <w:spacing w:val="-2"/>
                <w:sz w:val="14"/>
              </w:rPr>
              <w:t>71.99</w:t>
            </w:r>
          </w:p>
        </w:tc>
        <w:tc>
          <w:tcPr>
            <w:tcW w:w="535" w:type="dxa"/>
            <w:tcBorders>
              <w:top w:val="single" w:sz="12" w:space="0" w:color="000000"/>
              <w:bottom w:val="single" w:sz="4" w:space="0" w:color="000000"/>
            </w:tcBorders>
          </w:tcPr>
          <w:p>
            <w:pPr>
              <w:pStyle w:val="TableParagraph"/>
              <w:spacing w:before="27"/>
              <w:ind w:right="63"/>
              <w:rPr>
                <w:sz w:val="14"/>
              </w:rPr>
            </w:pPr>
            <w:r>
              <w:rPr>
                <w:spacing w:val="-2"/>
                <w:sz w:val="14"/>
              </w:rPr>
              <w:t>10.00</w:t>
            </w:r>
          </w:p>
        </w:tc>
        <w:tc>
          <w:tcPr>
            <w:tcW w:w="792" w:type="dxa"/>
            <w:tcBorders>
              <w:top w:val="single" w:sz="12" w:space="0" w:color="000000"/>
              <w:bottom w:val="single" w:sz="4" w:space="0" w:color="000000"/>
            </w:tcBorders>
          </w:tcPr>
          <w:p>
            <w:pPr>
              <w:pStyle w:val="TableParagraph"/>
              <w:spacing w:before="27"/>
              <w:ind w:right="121"/>
              <w:rPr>
                <w:i/>
                <w:sz w:val="14"/>
              </w:rPr>
            </w:pPr>
            <w:r>
              <w:rPr>
                <w:i/>
                <w:spacing w:val="-2"/>
                <w:sz w:val="14"/>
              </w:rPr>
              <w:t>146.66</w:t>
            </w:r>
          </w:p>
        </w:tc>
        <w:tc>
          <w:tcPr>
            <w:tcW w:w="567" w:type="dxa"/>
            <w:tcBorders>
              <w:top w:val="single" w:sz="12" w:space="0" w:color="000000"/>
              <w:bottom w:val="single" w:sz="4" w:space="0" w:color="000000"/>
            </w:tcBorders>
          </w:tcPr>
          <w:p>
            <w:pPr>
              <w:pStyle w:val="TableParagraph"/>
              <w:spacing w:before="27"/>
              <w:ind w:right="95"/>
              <w:rPr>
                <w:sz w:val="14"/>
              </w:rPr>
            </w:pPr>
            <w:r>
              <w:rPr>
                <w:w w:val="99"/>
                <w:sz w:val="14"/>
              </w:rPr>
              <w:t>-</w:t>
            </w:r>
          </w:p>
        </w:tc>
        <w:tc>
          <w:tcPr>
            <w:tcW w:w="580" w:type="dxa"/>
            <w:tcBorders>
              <w:top w:val="single" w:sz="12" w:space="0" w:color="000000"/>
              <w:bottom w:val="single" w:sz="4" w:space="0" w:color="000000"/>
            </w:tcBorders>
          </w:tcPr>
          <w:p>
            <w:pPr>
              <w:pStyle w:val="TableParagraph"/>
              <w:spacing w:before="27"/>
              <w:ind w:right="81"/>
              <w:rPr>
                <w:sz w:val="14"/>
              </w:rPr>
            </w:pPr>
            <w:r>
              <w:rPr>
                <w:spacing w:val="-4"/>
                <w:sz w:val="14"/>
              </w:rPr>
              <w:t>6.50</w:t>
            </w:r>
          </w:p>
        </w:tc>
        <w:tc>
          <w:tcPr>
            <w:tcW w:w="561" w:type="dxa"/>
            <w:tcBorders>
              <w:top w:val="single" w:sz="12" w:space="0" w:color="000000"/>
              <w:bottom w:val="single" w:sz="4" w:space="0" w:color="000000"/>
            </w:tcBorders>
          </w:tcPr>
          <w:p>
            <w:pPr>
              <w:pStyle w:val="TableParagraph"/>
              <w:spacing w:before="27"/>
              <w:ind w:right="52"/>
              <w:rPr>
                <w:sz w:val="14"/>
              </w:rPr>
            </w:pPr>
            <w:r>
              <w:rPr>
                <w:spacing w:val="-2"/>
                <w:sz w:val="14"/>
              </w:rPr>
              <w:t>71.74</w:t>
            </w:r>
          </w:p>
        </w:tc>
        <w:tc>
          <w:tcPr>
            <w:tcW w:w="775" w:type="dxa"/>
            <w:tcBorders>
              <w:top w:val="single" w:sz="12" w:space="0" w:color="000000"/>
              <w:bottom w:val="single" w:sz="4" w:space="0" w:color="000000"/>
            </w:tcBorders>
          </w:tcPr>
          <w:p>
            <w:pPr>
              <w:pStyle w:val="TableParagraph"/>
              <w:spacing w:before="27"/>
              <w:ind w:right="87"/>
              <w:rPr>
                <w:i/>
                <w:sz w:val="14"/>
              </w:rPr>
            </w:pPr>
            <w:r>
              <w:rPr>
                <w:i/>
                <w:spacing w:val="-2"/>
                <w:sz w:val="14"/>
              </w:rPr>
              <w:t>78.24</w:t>
            </w:r>
          </w:p>
        </w:tc>
        <w:tc>
          <w:tcPr>
            <w:tcW w:w="558" w:type="dxa"/>
            <w:tcBorders>
              <w:top w:val="single" w:sz="12" w:space="0" w:color="000000"/>
              <w:bottom w:val="single" w:sz="4" w:space="0" w:color="000000"/>
            </w:tcBorders>
          </w:tcPr>
          <w:p>
            <w:pPr>
              <w:pStyle w:val="TableParagraph"/>
              <w:spacing w:before="27"/>
              <w:ind w:right="45"/>
              <w:rPr>
                <w:b/>
                <w:sz w:val="14"/>
              </w:rPr>
            </w:pPr>
            <w:r>
              <w:rPr>
                <w:b/>
                <w:spacing w:val="-2"/>
                <w:sz w:val="14"/>
              </w:rPr>
              <w:t>224.90</w:t>
            </w:r>
          </w:p>
        </w:tc>
      </w:tr>
      <w:tr>
        <w:trPr>
          <w:trHeight w:val="230" w:hRule="atLeast"/>
        </w:trPr>
        <w:tc>
          <w:tcPr>
            <w:tcW w:w="1186" w:type="dxa"/>
            <w:tcBorders>
              <w:top w:val="single" w:sz="4" w:space="0" w:color="000000"/>
              <w:bottom w:val="single" w:sz="4" w:space="0" w:color="000000"/>
            </w:tcBorders>
          </w:tcPr>
          <w:p>
            <w:pPr>
              <w:pStyle w:val="TableParagraph"/>
              <w:spacing w:before="28"/>
              <w:ind w:left="67"/>
              <w:jc w:val="left"/>
              <w:rPr>
                <w:sz w:val="14"/>
              </w:rPr>
            </w:pPr>
            <w:r>
              <w:rPr>
                <w:spacing w:val="-5"/>
                <w:sz w:val="14"/>
              </w:rPr>
              <w:t>New</w:t>
            </w:r>
          </w:p>
        </w:tc>
        <w:tc>
          <w:tcPr>
            <w:tcW w:w="678" w:type="dxa"/>
            <w:tcBorders>
              <w:top w:val="single" w:sz="4" w:space="0" w:color="000000"/>
              <w:bottom w:val="single" w:sz="4" w:space="0" w:color="000000"/>
            </w:tcBorders>
          </w:tcPr>
          <w:p>
            <w:pPr>
              <w:pStyle w:val="TableParagraph"/>
              <w:spacing w:before="28"/>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8"/>
              <w:ind w:right="170"/>
              <w:rPr>
                <w:sz w:val="14"/>
              </w:rPr>
            </w:pPr>
            <w:r>
              <w:rPr>
                <w:w w:val="99"/>
                <w:sz w:val="14"/>
              </w:rPr>
              <w:t>-</w:t>
            </w:r>
          </w:p>
        </w:tc>
        <w:tc>
          <w:tcPr>
            <w:tcW w:w="548" w:type="dxa"/>
            <w:tcBorders>
              <w:top w:val="single" w:sz="4" w:space="0" w:color="000000"/>
              <w:bottom w:val="single" w:sz="4" w:space="0" w:color="000000"/>
            </w:tcBorders>
          </w:tcPr>
          <w:p>
            <w:pPr>
              <w:pStyle w:val="TableParagraph"/>
              <w:spacing w:before="28"/>
              <w:ind w:right="156"/>
              <w:rPr>
                <w:sz w:val="14"/>
              </w:rPr>
            </w:pPr>
            <w:r>
              <w:rPr>
                <w:w w:val="99"/>
                <w:sz w:val="14"/>
              </w:rPr>
              <w:t>-</w:t>
            </w:r>
          </w:p>
        </w:tc>
        <w:tc>
          <w:tcPr>
            <w:tcW w:w="571" w:type="dxa"/>
            <w:tcBorders>
              <w:top w:val="single" w:sz="4" w:space="0" w:color="000000"/>
              <w:bottom w:val="single" w:sz="4" w:space="0" w:color="000000"/>
            </w:tcBorders>
          </w:tcPr>
          <w:p>
            <w:pPr>
              <w:pStyle w:val="TableParagraph"/>
              <w:spacing w:before="28"/>
              <w:ind w:right="162"/>
              <w:rPr>
                <w:sz w:val="14"/>
              </w:rPr>
            </w:pPr>
            <w:r>
              <w:rPr>
                <w:spacing w:val="-4"/>
                <w:sz w:val="14"/>
              </w:rPr>
              <w:t>0.50</w:t>
            </w:r>
          </w:p>
        </w:tc>
        <w:tc>
          <w:tcPr>
            <w:tcW w:w="539" w:type="dxa"/>
            <w:tcBorders>
              <w:top w:val="single" w:sz="4" w:space="0" w:color="000000"/>
              <w:bottom w:val="single" w:sz="4" w:space="0" w:color="000000"/>
            </w:tcBorders>
          </w:tcPr>
          <w:p>
            <w:pPr>
              <w:pStyle w:val="TableParagraph"/>
              <w:spacing w:before="28"/>
              <w:ind w:left="153" w:right="106"/>
              <w:jc w:val="center"/>
              <w:rPr>
                <w:sz w:val="14"/>
              </w:rPr>
            </w:pPr>
            <w:r>
              <w:rPr>
                <w:spacing w:val="-4"/>
                <w:sz w:val="14"/>
              </w:rPr>
              <w:t>2.25</w:t>
            </w:r>
          </w:p>
        </w:tc>
        <w:tc>
          <w:tcPr>
            <w:tcW w:w="590" w:type="dxa"/>
            <w:tcBorders>
              <w:top w:val="single" w:sz="4" w:space="0" w:color="000000"/>
              <w:bottom w:val="single" w:sz="4" w:space="0" w:color="000000"/>
            </w:tcBorders>
          </w:tcPr>
          <w:p>
            <w:pPr>
              <w:pStyle w:val="TableParagraph"/>
              <w:spacing w:before="28"/>
              <w:ind w:right="124"/>
              <w:rPr>
                <w:sz w:val="14"/>
              </w:rPr>
            </w:pPr>
            <w:r>
              <w:rPr>
                <w:spacing w:val="-4"/>
                <w:sz w:val="14"/>
              </w:rPr>
              <w:t>3.25</w:t>
            </w:r>
          </w:p>
        </w:tc>
        <w:tc>
          <w:tcPr>
            <w:tcW w:w="667" w:type="dxa"/>
            <w:tcBorders>
              <w:top w:val="single" w:sz="4" w:space="0" w:color="000000"/>
              <w:bottom w:val="single" w:sz="4" w:space="0" w:color="000000"/>
            </w:tcBorders>
          </w:tcPr>
          <w:p>
            <w:pPr>
              <w:pStyle w:val="TableParagraph"/>
              <w:spacing w:before="28"/>
              <w:ind w:right="196"/>
              <w:rPr>
                <w:sz w:val="14"/>
              </w:rPr>
            </w:pPr>
            <w:r>
              <w:rPr>
                <w:spacing w:val="-2"/>
                <w:sz w:val="14"/>
              </w:rPr>
              <w:t>15.25</w:t>
            </w:r>
          </w:p>
        </w:tc>
        <w:tc>
          <w:tcPr>
            <w:tcW w:w="667" w:type="dxa"/>
            <w:tcBorders>
              <w:top w:val="single" w:sz="4" w:space="0" w:color="000000"/>
              <w:bottom w:val="single" w:sz="4" w:space="0" w:color="000000"/>
            </w:tcBorders>
          </w:tcPr>
          <w:p>
            <w:pPr>
              <w:pStyle w:val="TableParagraph"/>
              <w:spacing w:before="28"/>
              <w:ind w:right="124"/>
              <w:rPr>
                <w:sz w:val="14"/>
              </w:rPr>
            </w:pPr>
            <w:r>
              <w:rPr>
                <w:spacing w:val="-2"/>
                <w:sz w:val="14"/>
              </w:rPr>
              <w:t>29.25</w:t>
            </w:r>
          </w:p>
        </w:tc>
        <w:tc>
          <w:tcPr>
            <w:tcW w:w="535" w:type="dxa"/>
            <w:tcBorders>
              <w:top w:val="single" w:sz="4" w:space="0" w:color="000000"/>
              <w:bottom w:val="single" w:sz="4" w:space="0" w:color="000000"/>
            </w:tcBorders>
          </w:tcPr>
          <w:p>
            <w:pPr>
              <w:pStyle w:val="TableParagraph"/>
              <w:spacing w:before="28"/>
              <w:ind w:right="63"/>
              <w:rPr>
                <w:sz w:val="14"/>
              </w:rPr>
            </w:pPr>
            <w:r>
              <w:rPr>
                <w:spacing w:val="-2"/>
                <w:sz w:val="14"/>
              </w:rPr>
              <w:t>10.25</w:t>
            </w:r>
          </w:p>
        </w:tc>
        <w:tc>
          <w:tcPr>
            <w:tcW w:w="792" w:type="dxa"/>
            <w:tcBorders>
              <w:top w:val="single" w:sz="4" w:space="0" w:color="000000"/>
              <w:bottom w:val="single" w:sz="4" w:space="0" w:color="000000"/>
            </w:tcBorders>
          </w:tcPr>
          <w:p>
            <w:pPr>
              <w:pStyle w:val="TableParagraph"/>
              <w:spacing w:before="28"/>
              <w:ind w:right="121"/>
              <w:rPr>
                <w:i/>
                <w:sz w:val="14"/>
              </w:rPr>
            </w:pPr>
            <w:r>
              <w:rPr>
                <w:i/>
                <w:spacing w:val="-2"/>
                <w:sz w:val="14"/>
              </w:rPr>
              <w:t>60.75</w:t>
            </w:r>
          </w:p>
        </w:tc>
        <w:tc>
          <w:tcPr>
            <w:tcW w:w="567" w:type="dxa"/>
            <w:tcBorders>
              <w:top w:val="single" w:sz="4" w:space="0" w:color="000000"/>
              <w:bottom w:val="single" w:sz="4" w:space="0" w:color="000000"/>
            </w:tcBorders>
          </w:tcPr>
          <w:p>
            <w:pPr>
              <w:pStyle w:val="TableParagraph"/>
              <w:spacing w:before="28"/>
              <w:ind w:right="92"/>
              <w:rPr>
                <w:sz w:val="14"/>
              </w:rPr>
            </w:pPr>
            <w:r>
              <w:rPr>
                <w:spacing w:val="-4"/>
                <w:sz w:val="14"/>
              </w:rPr>
              <w:t>6.75</w:t>
            </w:r>
          </w:p>
        </w:tc>
        <w:tc>
          <w:tcPr>
            <w:tcW w:w="580" w:type="dxa"/>
            <w:tcBorders>
              <w:top w:val="single" w:sz="4" w:space="0" w:color="000000"/>
              <w:bottom w:val="single" w:sz="4" w:space="0" w:color="000000"/>
            </w:tcBorders>
          </w:tcPr>
          <w:p>
            <w:pPr>
              <w:pStyle w:val="TableParagraph"/>
              <w:spacing w:before="28"/>
              <w:ind w:right="81"/>
              <w:rPr>
                <w:sz w:val="14"/>
              </w:rPr>
            </w:pPr>
            <w:r>
              <w:rPr>
                <w:spacing w:val="-4"/>
                <w:sz w:val="14"/>
              </w:rPr>
              <w:t>9.67</w:t>
            </w:r>
          </w:p>
        </w:tc>
        <w:tc>
          <w:tcPr>
            <w:tcW w:w="561" w:type="dxa"/>
            <w:tcBorders>
              <w:top w:val="single" w:sz="4" w:space="0" w:color="000000"/>
              <w:bottom w:val="single" w:sz="4" w:space="0" w:color="000000"/>
            </w:tcBorders>
          </w:tcPr>
          <w:p>
            <w:pPr>
              <w:pStyle w:val="TableParagraph"/>
              <w:spacing w:before="28"/>
              <w:ind w:right="52"/>
              <w:rPr>
                <w:sz w:val="14"/>
              </w:rPr>
            </w:pPr>
            <w:r>
              <w:rPr>
                <w:spacing w:val="-2"/>
                <w:sz w:val="14"/>
              </w:rPr>
              <w:t>40.08</w:t>
            </w:r>
          </w:p>
        </w:tc>
        <w:tc>
          <w:tcPr>
            <w:tcW w:w="775" w:type="dxa"/>
            <w:tcBorders>
              <w:top w:val="single" w:sz="4" w:space="0" w:color="000000"/>
              <w:bottom w:val="single" w:sz="4" w:space="0" w:color="000000"/>
            </w:tcBorders>
          </w:tcPr>
          <w:p>
            <w:pPr>
              <w:pStyle w:val="TableParagraph"/>
              <w:spacing w:before="28"/>
              <w:ind w:right="87"/>
              <w:rPr>
                <w:i/>
                <w:sz w:val="14"/>
              </w:rPr>
            </w:pPr>
            <w:r>
              <w:rPr>
                <w:i/>
                <w:spacing w:val="-2"/>
                <w:sz w:val="14"/>
              </w:rPr>
              <w:t>56.50</w:t>
            </w:r>
          </w:p>
        </w:tc>
        <w:tc>
          <w:tcPr>
            <w:tcW w:w="558" w:type="dxa"/>
            <w:tcBorders>
              <w:top w:val="single" w:sz="4" w:space="0" w:color="000000"/>
              <w:bottom w:val="single" w:sz="4" w:space="0" w:color="000000"/>
            </w:tcBorders>
          </w:tcPr>
          <w:p>
            <w:pPr>
              <w:pStyle w:val="TableParagraph"/>
              <w:spacing w:before="28"/>
              <w:ind w:right="45"/>
              <w:rPr>
                <w:b/>
                <w:sz w:val="14"/>
              </w:rPr>
            </w:pPr>
            <w:r>
              <w:rPr>
                <w:b/>
                <w:spacing w:val="-2"/>
                <w:sz w:val="14"/>
              </w:rPr>
              <w:t>117.25</w:t>
            </w:r>
          </w:p>
        </w:tc>
      </w:tr>
      <w:tr>
        <w:trPr>
          <w:trHeight w:val="225" w:hRule="atLeast"/>
        </w:trPr>
        <w:tc>
          <w:tcPr>
            <w:tcW w:w="1186" w:type="dxa"/>
            <w:tcBorders>
              <w:top w:val="single" w:sz="4" w:space="0" w:color="000000"/>
              <w:bottom w:val="single" w:sz="4" w:space="0" w:color="000000"/>
            </w:tcBorders>
          </w:tcPr>
          <w:p>
            <w:pPr>
              <w:pStyle w:val="TableParagraph"/>
              <w:spacing w:before="24"/>
              <w:ind w:left="67"/>
              <w:jc w:val="left"/>
              <w:rPr>
                <w:sz w:val="14"/>
              </w:rPr>
            </w:pPr>
            <w:r>
              <w:rPr>
                <w:spacing w:val="-2"/>
                <w:sz w:val="14"/>
              </w:rPr>
              <w:t>Redeployed</w:t>
            </w:r>
          </w:p>
        </w:tc>
        <w:tc>
          <w:tcPr>
            <w:tcW w:w="678" w:type="dxa"/>
            <w:tcBorders>
              <w:top w:val="single" w:sz="4" w:space="0" w:color="000000"/>
              <w:bottom w:val="single" w:sz="4" w:space="0" w:color="000000"/>
            </w:tcBorders>
          </w:tcPr>
          <w:p>
            <w:pPr>
              <w:pStyle w:val="TableParagraph"/>
              <w:spacing w:before="24"/>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4"/>
              <w:ind w:right="170"/>
              <w:rPr>
                <w:sz w:val="14"/>
              </w:rPr>
            </w:pPr>
            <w:r>
              <w:rPr>
                <w:w w:val="99"/>
                <w:sz w:val="14"/>
              </w:rPr>
              <w:t>-</w:t>
            </w:r>
          </w:p>
        </w:tc>
        <w:tc>
          <w:tcPr>
            <w:tcW w:w="548" w:type="dxa"/>
            <w:tcBorders>
              <w:top w:val="single" w:sz="4" w:space="0" w:color="000000"/>
              <w:bottom w:val="single" w:sz="4" w:space="0" w:color="000000"/>
            </w:tcBorders>
          </w:tcPr>
          <w:p>
            <w:pPr>
              <w:pStyle w:val="TableParagraph"/>
              <w:spacing w:before="24"/>
              <w:ind w:right="156"/>
              <w:rPr>
                <w:sz w:val="14"/>
              </w:rPr>
            </w:pPr>
            <w:r>
              <w:rPr>
                <w:w w:val="99"/>
                <w:sz w:val="14"/>
              </w:rPr>
              <w:t>-</w:t>
            </w:r>
          </w:p>
        </w:tc>
        <w:tc>
          <w:tcPr>
            <w:tcW w:w="571" w:type="dxa"/>
            <w:tcBorders>
              <w:top w:val="single" w:sz="4" w:space="0" w:color="000000"/>
              <w:bottom w:val="single" w:sz="4" w:space="0" w:color="000000"/>
            </w:tcBorders>
          </w:tcPr>
          <w:p>
            <w:pPr>
              <w:pStyle w:val="TableParagraph"/>
              <w:spacing w:before="24"/>
              <w:ind w:right="166"/>
              <w:rPr>
                <w:sz w:val="14"/>
              </w:rPr>
            </w:pPr>
            <w:r>
              <w:rPr>
                <w:w w:val="99"/>
                <w:sz w:val="14"/>
              </w:rPr>
              <w:t>-</w:t>
            </w:r>
          </w:p>
        </w:tc>
        <w:tc>
          <w:tcPr>
            <w:tcW w:w="539" w:type="dxa"/>
            <w:tcBorders>
              <w:top w:val="single" w:sz="4" w:space="0" w:color="000000"/>
              <w:bottom w:val="single" w:sz="4" w:space="0" w:color="000000"/>
            </w:tcBorders>
          </w:tcPr>
          <w:p>
            <w:pPr>
              <w:pStyle w:val="TableParagraph"/>
              <w:spacing w:before="24"/>
              <w:ind w:left="240"/>
              <w:jc w:val="center"/>
              <w:rPr>
                <w:sz w:val="14"/>
              </w:rPr>
            </w:pPr>
            <w:r>
              <w:rPr>
                <w:w w:val="99"/>
                <w:sz w:val="14"/>
              </w:rPr>
              <w:t>-</w:t>
            </w:r>
          </w:p>
        </w:tc>
        <w:tc>
          <w:tcPr>
            <w:tcW w:w="590" w:type="dxa"/>
            <w:tcBorders>
              <w:top w:val="single" w:sz="4" w:space="0" w:color="000000"/>
              <w:bottom w:val="single" w:sz="4" w:space="0" w:color="000000"/>
            </w:tcBorders>
          </w:tcPr>
          <w:p>
            <w:pPr>
              <w:pStyle w:val="TableParagraph"/>
              <w:spacing w:before="24"/>
              <w:ind w:right="128"/>
              <w:rPr>
                <w:sz w:val="14"/>
              </w:rPr>
            </w:pPr>
            <w:r>
              <w:rPr>
                <w:w w:val="99"/>
                <w:sz w:val="14"/>
              </w:rPr>
              <w:t>-</w:t>
            </w:r>
          </w:p>
        </w:tc>
        <w:tc>
          <w:tcPr>
            <w:tcW w:w="667" w:type="dxa"/>
            <w:tcBorders>
              <w:top w:val="single" w:sz="4" w:space="0" w:color="000000"/>
              <w:bottom w:val="single" w:sz="4" w:space="0" w:color="000000"/>
            </w:tcBorders>
          </w:tcPr>
          <w:p>
            <w:pPr>
              <w:pStyle w:val="TableParagraph"/>
              <w:spacing w:before="24"/>
              <w:ind w:right="199"/>
              <w:rPr>
                <w:sz w:val="14"/>
              </w:rPr>
            </w:pPr>
            <w:r>
              <w:rPr>
                <w:w w:val="99"/>
                <w:sz w:val="14"/>
              </w:rPr>
              <w:t>-</w:t>
            </w:r>
          </w:p>
        </w:tc>
        <w:tc>
          <w:tcPr>
            <w:tcW w:w="667" w:type="dxa"/>
            <w:tcBorders>
              <w:top w:val="single" w:sz="4" w:space="0" w:color="000000"/>
              <w:bottom w:val="single" w:sz="4" w:space="0" w:color="000000"/>
            </w:tcBorders>
          </w:tcPr>
          <w:p>
            <w:pPr>
              <w:pStyle w:val="TableParagraph"/>
              <w:spacing w:before="24"/>
              <w:ind w:right="127"/>
              <w:rPr>
                <w:sz w:val="14"/>
              </w:rPr>
            </w:pPr>
            <w:r>
              <w:rPr>
                <w:w w:val="99"/>
                <w:sz w:val="14"/>
              </w:rPr>
              <w:t>-</w:t>
            </w:r>
          </w:p>
        </w:tc>
        <w:tc>
          <w:tcPr>
            <w:tcW w:w="535" w:type="dxa"/>
            <w:tcBorders>
              <w:top w:val="single" w:sz="4" w:space="0" w:color="000000"/>
              <w:bottom w:val="single" w:sz="4" w:space="0" w:color="000000"/>
            </w:tcBorders>
          </w:tcPr>
          <w:p>
            <w:pPr>
              <w:pStyle w:val="TableParagraph"/>
              <w:spacing w:before="24"/>
              <w:ind w:right="66"/>
              <w:rPr>
                <w:sz w:val="14"/>
              </w:rPr>
            </w:pPr>
            <w:r>
              <w:rPr>
                <w:w w:val="99"/>
                <w:sz w:val="14"/>
              </w:rPr>
              <w:t>-</w:t>
            </w:r>
          </w:p>
        </w:tc>
        <w:tc>
          <w:tcPr>
            <w:tcW w:w="792" w:type="dxa"/>
            <w:tcBorders>
              <w:top w:val="single" w:sz="4" w:space="0" w:color="000000"/>
              <w:bottom w:val="single" w:sz="4" w:space="0" w:color="000000"/>
            </w:tcBorders>
          </w:tcPr>
          <w:p>
            <w:pPr>
              <w:pStyle w:val="TableParagraph"/>
              <w:spacing w:before="24"/>
              <w:ind w:right="123"/>
              <w:rPr>
                <w:i/>
                <w:sz w:val="14"/>
              </w:rPr>
            </w:pPr>
            <w:r>
              <w:rPr>
                <w:i/>
                <w:w w:val="99"/>
                <w:sz w:val="14"/>
              </w:rPr>
              <w:t>-</w:t>
            </w:r>
          </w:p>
        </w:tc>
        <w:tc>
          <w:tcPr>
            <w:tcW w:w="567" w:type="dxa"/>
            <w:tcBorders>
              <w:top w:val="single" w:sz="4" w:space="0" w:color="000000"/>
              <w:bottom w:val="single" w:sz="4" w:space="0" w:color="000000"/>
            </w:tcBorders>
          </w:tcPr>
          <w:p>
            <w:pPr>
              <w:pStyle w:val="TableParagraph"/>
              <w:spacing w:before="24"/>
              <w:ind w:right="95"/>
              <w:rPr>
                <w:sz w:val="14"/>
              </w:rPr>
            </w:pPr>
            <w:r>
              <w:rPr>
                <w:w w:val="99"/>
                <w:sz w:val="14"/>
              </w:rPr>
              <w:t>-</w:t>
            </w:r>
          </w:p>
        </w:tc>
        <w:tc>
          <w:tcPr>
            <w:tcW w:w="580" w:type="dxa"/>
            <w:tcBorders>
              <w:top w:val="single" w:sz="4" w:space="0" w:color="000000"/>
              <w:bottom w:val="single" w:sz="4" w:space="0" w:color="000000"/>
            </w:tcBorders>
          </w:tcPr>
          <w:p>
            <w:pPr>
              <w:pStyle w:val="TableParagraph"/>
              <w:spacing w:before="24"/>
              <w:ind w:right="84"/>
              <w:rPr>
                <w:sz w:val="14"/>
              </w:rPr>
            </w:pPr>
            <w:r>
              <w:rPr>
                <w:w w:val="99"/>
                <w:sz w:val="14"/>
              </w:rPr>
              <w:t>-</w:t>
            </w:r>
          </w:p>
        </w:tc>
        <w:tc>
          <w:tcPr>
            <w:tcW w:w="561" w:type="dxa"/>
            <w:tcBorders>
              <w:top w:val="single" w:sz="4" w:space="0" w:color="000000"/>
              <w:bottom w:val="single" w:sz="4" w:space="0" w:color="000000"/>
            </w:tcBorders>
          </w:tcPr>
          <w:p>
            <w:pPr>
              <w:pStyle w:val="TableParagraph"/>
              <w:spacing w:before="24"/>
              <w:ind w:right="51"/>
              <w:rPr>
                <w:sz w:val="14"/>
              </w:rPr>
            </w:pPr>
            <w:r>
              <w:rPr>
                <w:spacing w:val="-4"/>
                <w:sz w:val="14"/>
              </w:rPr>
              <w:t>0.25</w:t>
            </w:r>
          </w:p>
        </w:tc>
        <w:tc>
          <w:tcPr>
            <w:tcW w:w="775" w:type="dxa"/>
            <w:tcBorders>
              <w:top w:val="single" w:sz="4" w:space="0" w:color="000000"/>
              <w:bottom w:val="single" w:sz="4" w:space="0" w:color="000000"/>
            </w:tcBorders>
          </w:tcPr>
          <w:p>
            <w:pPr>
              <w:pStyle w:val="TableParagraph"/>
              <w:spacing w:before="24"/>
              <w:ind w:right="87"/>
              <w:rPr>
                <w:i/>
                <w:sz w:val="14"/>
              </w:rPr>
            </w:pPr>
            <w:r>
              <w:rPr>
                <w:i/>
                <w:spacing w:val="-4"/>
                <w:sz w:val="14"/>
              </w:rPr>
              <w:t>0.25</w:t>
            </w:r>
          </w:p>
        </w:tc>
        <w:tc>
          <w:tcPr>
            <w:tcW w:w="558" w:type="dxa"/>
            <w:tcBorders>
              <w:top w:val="single" w:sz="4" w:space="0" w:color="000000"/>
              <w:bottom w:val="single" w:sz="4" w:space="0" w:color="000000"/>
            </w:tcBorders>
          </w:tcPr>
          <w:p>
            <w:pPr>
              <w:pStyle w:val="TableParagraph"/>
              <w:spacing w:before="24"/>
              <w:ind w:right="45"/>
              <w:rPr>
                <w:b/>
                <w:sz w:val="14"/>
              </w:rPr>
            </w:pPr>
            <w:r>
              <w:rPr>
                <w:b/>
                <w:spacing w:val="-4"/>
                <w:sz w:val="14"/>
              </w:rPr>
              <w:t>0.25</w:t>
            </w:r>
          </w:p>
        </w:tc>
      </w:tr>
      <w:tr>
        <w:trPr>
          <w:trHeight w:val="229" w:hRule="atLeast"/>
        </w:trPr>
        <w:tc>
          <w:tcPr>
            <w:tcW w:w="1186" w:type="dxa"/>
            <w:tcBorders>
              <w:top w:val="single" w:sz="4" w:space="0" w:color="000000"/>
              <w:bottom w:val="single" w:sz="4" w:space="0" w:color="000000"/>
            </w:tcBorders>
          </w:tcPr>
          <w:p>
            <w:pPr>
              <w:pStyle w:val="TableParagraph"/>
              <w:spacing w:before="28"/>
              <w:ind w:left="67"/>
              <w:jc w:val="left"/>
              <w:rPr>
                <w:sz w:val="14"/>
              </w:rPr>
            </w:pPr>
            <w:r>
              <w:rPr>
                <w:spacing w:val="-2"/>
                <w:sz w:val="14"/>
              </w:rPr>
              <w:t>Reclassified</w:t>
            </w:r>
          </w:p>
        </w:tc>
        <w:tc>
          <w:tcPr>
            <w:tcW w:w="678" w:type="dxa"/>
            <w:tcBorders>
              <w:top w:val="single" w:sz="4" w:space="0" w:color="000000"/>
              <w:bottom w:val="single" w:sz="4" w:space="0" w:color="000000"/>
            </w:tcBorders>
          </w:tcPr>
          <w:p>
            <w:pPr>
              <w:pStyle w:val="TableParagraph"/>
              <w:spacing w:before="28"/>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8"/>
              <w:ind w:right="170"/>
              <w:rPr>
                <w:sz w:val="14"/>
              </w:rPr>
            </w:pPr>
            <w:r>
              <w:rPr>
                <w:w w:val="99"/>
                <w:sz w:val="14"/>
              </w:rPr>
              <w:t>-</w:t>
            </w:r>
          </w:p>
        </w:tc>
        <w:tc>
          <w:tcPr>
            <w:tcW w:w="548" w:type="dxa"/>
            <w:tcBorders>
              <w:top w:val="single" w:sz="4" w:space="0" w:color="000000"/>
              <w:bottom w:val="single" w:sz="4" w:space="0" w:color="000000"/>
            </w:tcBorders>
          </w:tcPr>
          <w:p>
            <w:pPr>
              <w:pStyle w:val="TableParagraph"/>
              <w:spacing w:before="28"/>
              <w:ind w:right="156"/>
              <w:rPr>
                <w:sz w:val="14"/>
              </w:rPr>
            </w:pPr>
            <w:r>
              <w:rPr>
                <w:w w:val="99"/>
                <w:sz w:val="14"/>
              </w:rPr>
              <w:t>-</w:t>
            </w:r>
          </w:p>
        </w:tc>
        <w:tc>
          <w:tcPr>
            <w:tcW w:w="571" w:type="dxa"/>
            <w:tcBorders>
              <w:top w:val="single" w:sz="4" w:space="0" w:color="000000"/>
              <w:bottom w:val="single" w:sz="4" w:space="0" w:color="000000"/>
            </w:tcBorders>
          </w:tcPr>
          <w:p>
            <w:pPr>
              <w:pStyle w:val="TableParagraph"/>
              <w:spacing w:before="28"/>
              <w:ind w:right="166"/>
              <w:rPr>
                <w:sz w:val="14"/>
              </w:rPr>
            </w:pPr>
            <w:r>
              <w:rPr>
                <w:w w:val="99"/>
                <w:sz w:val="14"/>
              </w:rPr>
              <w:t>-</w:t>
            </w:r>
          </w:p>
        </w:tc>
        <w:tc>
          <w:tcPr>
            <w:tcW w:w="539" w:type="dxa"/>
            <w:tcBorders>
              <w:top w:val="single" w:sz="4" w:space="0" w:color="000000"/>
              <w:bottom w:val="single" w:sz="4" w:space="0" w:color="000000"/>
            </w:tcBorders>
          </w:tcPr>
          <w:p>
            <w:pPr>
              <w:pStyle w:val="TableParagraph"/>
              <w:spacing w:before="28"/>
              <w:ind w:left="240"/>
              <w:jc w:val="center"/>
              <w:rPr>
                <w:sz w:val="14"/>
              </w:rPr>
            </w:pPr>
            <w:r>
              <w:rPr>
                <w:w w:val="99"/>
                <w:sz w:val="14"/>
              </w:rPr>
              <w:t>-</w:t>
            </w:r>
          </w:p>
        </w:tc>
        <w:tc>
          <w:tcPr>
            <w:tcW w:w="590" w:type="dxa"/>
            <w:tcBorders>
              <w:top w:val="single" w:sz="4" w:space="0" w:color="000000"/>
              <w:bottom w:val="single" w:sz="4" w:space="0" w:color="000000"/>
            </w:tcBorders>
          </w:tcPr>
          <w:p>
            <w:pPr>
              <w:pStyle w:val="TableParagraph"/>
              <w:spacing w:before="28"/>
              <w:ind w:right="128"/>
              <w:rPr>
                <w:sz w:val="14"/>
              </w:rPr>
            </w:pPr>
            <w:r>
              <w:rPr>
                <w:w w:val="99"/>
                <w:sz w:val="14"/>
              </w:rPr>
              <w:t>-</w:t>
            </w:r>
          </w:p>
        </w:tc>
        <w:tc>
          <w:tcPr>
            <w:tcW w:w="667" w:type="dxa"/>
            <w:tcBorders>
              <w:top w:val="single" w:sz="4" w:space="0" w:color="000000"/>
              <w:bottom w:val="single" w:sz="4" w:space="0" w:color="000000"/>
            </w:tcBorders>
          </w:tcPr>
          <w:p>
            <w:pPr>
              <w:pStyle w:val="TableParagraph"/>
              <w:spacing w:before="28"/>
              <w:ind w:right="199"/>
              <w:rPr>
                <w:sz w:val="14"/>
              </w:rPr>
            </w:pPr>
            <w:r>
              <w:rPr>
                <w:w w:val="99"/>
                <w:sz w:val="14"/>
              </w:rPr>
              <w:t>-</w:t>
            </w:r>
          </w:p>
        </w:tc>
        <w:tc>
          <w:tcPr>
            <w:tcW w:w="667" w:type="dxa"/>
            <w:tcBorders>
              <w:top w:val="single" w:sz="4" w:space="0" w:color="000000"/>
              <w:bottom w:val="single" w:sz="4" w:space="0" w:color="000000"/>
            </w:tcBorders>
          </w:tcPr>
          <w:p>
            <w:pPr>
              <w:pStyle w:val="TableParagraph"/>
              <w:spacing w:before="28"/>
              <w:ind w:right="127"/>
              <w:rPr>
                <w:sz w:val="14"/>
              </w:rPr>
            </w:pPr>
            <w:r>
              <w:rPr>
                <w:w w:val="99"/>
                <w:sz w:val="14"/>
              </w:rPr>
              <w:t>-</w:t>
            </w:r>
          </w:p>
        </w:tc>
        <w:tc>
          <w:tcPr>
            <w:tcW w:w="535" w:type="dxa"/>
            <w:tcBorders>
              <w:top w:val="single" w:sz="4" w:space="0" w:color="000000"/>
              <w:bottom w:val="single" w:sz="4" w:space="0" w:color="000000"/>
            </w:tcBorders>
          </w:tcPr>
          <w:p>
            <w:pPr>
              <w:pStyle w:val="TableParagraph"/>
              <w:spacing w:before="28"/>
              <w:ind w:right="66"/>
              <w:rPr>
                <w:sz w:val="14"/>
              </w:rPr>
            </w:pPr>
            <w:r>
              <w:rPr>
                <w:w w:val="99"/>
                <w:sz w:val="14"/>
              </w:rPr>
              <w:t>-</w:t>
            </w:r>
          </w:p>
        </w:tc>
        <w:tc>
          <w:tcPr>
            <w:tcW w:w="792" w:type="dxa"/>
            <w:tcBorders>
              <w:top w:val="single" w:sz="4" w:space="0" w:color="000000"/>
              <w:bottom w:val="single" w:sz="4" w:space="0" w:color="000000"/>
            </w:tcBorders>
          </w:tcPr>
          <w:p>
            <w:pPr>
              <w:pStyle w:val="TableParagraph"/>
              <w:spacing w:before="28"/>
              <w:ind w:right="123"/>
              <w:rPr>
                <w:i/>
                <w:sz w:val="14"/>
              </w:rPr>
            </w:pPr>
            <w:r>
              <w:rPr>
                <w:i/>
                <w:w w:val="99"/>
                <w:sz w:val="14"/>
              </w:rPr>
              <w:t>-</w:t>
            </w:r>
          </w:p>
        </w:tc>
        <w:tc>
          <w:tcPr>
            <w:tcW w:w="567" w:type="dxa"/>
            <w:tcBorders>
              <w:top w:val="single" w:sz="4" w:space="0" w:color="000000"/>
              <w:bottom w:val="single" w:sz="4" w:space="0" w:color="000000"/>
            </w:tcBorders>
          </w:tcPr>
          <w:p>
            <w:pPr>
              <w:pStyle w:val="TableParagraph"/>
              <w:spacing w:before="28"/>
              <w:ind w:right="95"/>
              <w:rPr>
                <w:sz w:val="14"/>
              </w:rPr>
            </w:pPr>
            <w:r>
              <w:rPr>
                <w:w w:val="99"/>
                <w:sz w:val="14"/>
              </w:rPr>
              <w:t>-</w:t>
            </w:r>
          </w:p>
        </w:tc>
        <w:tc>
          <w:tcPr>
            <w:tcW w:w="580" w:type="dxa"/>
            <w:tcBorders>
              <w:top w:val="single" w:sz="4" w:space="0" w:color="000000"/>
              <w:bottom w:val="single" w:sz="4" w:space="0" w:color="000000"/>
            </w:tcBorders>
          </w:tcPr>
          <w:p>
            <w:pPr>
              <w:pStyle w:val="TableParagraph"/>
              <w:spacing w:before="28"/>
              <w:ind w:right="84"/>
              <w:rPr>
                <w:sz w:val="14"/>
              </w:rPr>
            </w:pPr>
            <w:r>
              <w:rPr>
                <w:w w:val="99"/>
                <w:sz w:val="14"/>
              </w:rPr>
              <w:t>-</w:t>
            </w:r>
          </w:p>
        </w:tc>
        <w:tc>
          <w:tcPr>
            <w:tcW w:w="561" w:type="dxa"/>
            <w:tcBorders>
              <w:top w:val="single" w:sz="4" w:space="0" w:color="000000"/>
              <w:bottom w:val="single" w:sz="4" w:space="0" w:color="000000"/>
            </w:tcBorders>
          </w:tcPr>
          <w:p>
            <w:pPr>
              <w:pStyle w:val="TableParagraph"/>
              <w:spacing w:before="28"/>
              <w:ind w:right="55"/>
              <w:rPr>
                <w:sz w:val="14"/>
              </w:rPr>
            </w:pPr>
            <w:r>
              <w:rPr>
                <w:w w:val="99"/>
                <w:sz w:val="14"/>
              </w:rPr>
              <w:t>-</w:t>
            </w:r>
          </w:p>
        </w:tc>
        <w:tc>
          <w:tcPr>
            <w:tcW w:w="775" w:type="dxa"/>
            <w:tcBorders>
              <w:top w:val="single" w:sz="4" w:space="0" w:color="000000"/>
              <w:bottom w:val="single" w:sz="4" w:space="0" w:color="000000"/>
            </w:tcBorders>
          </w:tcPr>
          <w:p>
            <w:pPr>
              <w:pStyle w:val="TableParagraph"/>
              <w:spacing w:before="28"/>
              <w:ind w:right="90"/>
              <w:rPr>
                <w:i/>
                <w:sz w:val="14"/>
              </w:rPr>
            </w:pPr>
            <w:r>
              <w:rPr>
                <w:i/>
                <w:w w:val="99"/>
                <w:sz w:val="14"/>
              </w:rPr>
              <w:t>-</w:t>
            </w:r>
          </w:p>
        </w:tc>
        <w:tc>
          <w:tcPr>
            <w:tcW w:w="558" w:type="dxa"/>
            <w:tcBorders>
              <w:top w:val="single" w:sz="4" w:space="0" w:color="000000"/>
              <w:bottom w:val="single" w:sz="4" w:space="0" w:color="000000"/>
            </w:tcBorders>
          </w:tcPr>
          <w:p>
            <w:pPr>
              <w:pStyle w:val="TableParagraph"/>
              <w:spacing w:before="28"/>
              <w:ind w:right="48"/>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3"/>
              <w:ind w:left="67"/>
              <w:jc w:val="left"/>
              <w:rPr>
                <w:sz w:val="14"/>
              </w:rPr>
            </w:pPr>
            <w:r>
              <w:rPr>
                <w:spacing w:val="-2"/>
                <w:sz w:val="14"/>
              </w:rPr>
              <w:t>Converted</w:t>
            </w:r>
          </w:p>
        </w:tc>
        <w:tc>
          <w:tcPr>
            <w:tcW w:w="678" w:type="dxa"/>
            <w:tcBorders>
              <w:top w:val="single" w:sz="4" w:space="0" w:color="000000"/>
              <w:bottom w:val="single" w:sz="4" w:space="0" w:color="000000"/>
            </w:tcBorders>
          </w:tcPr>
          <w:p>
            <w:pPr>
              <w:pStyle w:val="TableParagraph"/>
              <w:spacing w:before="23"/>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3"/>
              <w:ind w:right="170"/>
              <w:rPr>
                <w:sz w:val="14"/>
              </w:rPr>
            </w:pPr>
            <w:r>
              <w:rPr>
                <w:w w:val="99"/>
                <w:sz w:val="14"/>
              </w:rPr>
              <w:t>-</w:t>
            </w:r>
          </w:p>
        </w:tc>
        <w:tc>
          <w:tcPr>
            <w:tcW w:w="548" w:type="dxa"/>
            <w:tcBorders>
              <w:top w:val="single" w:sz="4" w:space="0" w:color="000000"/>
              <w:bottom w:val="single" w:sz="4" w:space="0" w:color="000000"/>
            </w:tcBorders>
          </w:tcPr>
          <w:p>
            <w:pPr>
              <w:pStyle w:val="TableParagraph"/>
              <w:spacing w:before="23"/>
              <w:ind w:right="156"/>
              <w:rPr>
                <w:sz w:val="14"/>
              </w:rPr>
            </w:pPr>
            <w:r>
              <w:rPr>
                <w:w w:val="99"/>
                <w:sz w:val="14"/>
              </w:rPr>
              <w:t>-</w:t>
            </w:r>
          </w:p>
        </w:tc>
        <w:tc>
          <w:tcPr>
            <w:tcW w:w="571" w:type="dxa"/>
            <w:tcBorders>
              <w:top w:val="single" w:sz="4" w:space="0" w:color="000000"/>
              <w:bottom w:val="single" w:sz="4" w:space="0" w:color="000000"/>
            </w:tcBorders>
          </w:tcPr>
          <w:p>
            <w:pPr>
              <w:pStyle w:val="TableParagraph"/>
              <w:spacing w:before="23"/>
              <w:ind w:right="166"/>
              <w:rPr>
                <w:sz w:val="14"/>
              </w:rPr>
            </w:pPr>
            <w:r>
              <w:rPr>
                <w:w w:val="99"/>
                <w:sz w:val="14"/>
              </w:rPr>
              <w:t>-</w:t>
            </w:r>
          </w:p>
        </w:tc>
        <w:tc>
          <w:tcPr>
            <w:tcW w:w="539" w:type="dxa"/>
            <w:tcBorders>
              <w:top w:val="single" w:sz="4" w:space="0" w:color="000000"/>
              <w:bottom w:val="single" w:sz="4" w:space="0" w:color="000000"/>
            </w:tcBorders>
          </w:tcPr>
          <w:p>
            <w:pPr>
              <w:pStyle w:val="TableParagraph"/>
              <w:spacing w:before="23"/>
              <w:ind w:left="240"/>
              <w:jc w:val="center"/>
              <w:rPr>
                <w:sz w:val="14"/>
              </w:rPr>
            </w:pPr>
            <w:r>
              <w:rPr>
                <w:w w:val="99"/>
                <w:sz w:val="14"/>
              </w:rPr>
              <w:t>-</w:t>
            </w:r>
          </w:p>
        </w:tc>
        <w:tc>
          <w:tcPr>
            <w:tcW w:w="590" w:type="dxa"/>
            <w:tcBorders>
              <w:top w:val="single" w:sz="4" w:space="0" w:color="000000"/>
              <w:bottom w:val="single" w:sz="4" w:space="0" w:color="000000"/>
            </w:tcBorders>
          </w:tcPr>
          <w:p>
            <w:pPr>
              <w:pStyle w:val="TableParagraph"/>
              <w:spacing w:before="23"/>
              <w:ind w:right="124"/>
              <w:rPr>
                <w:sz w:val="14"/>
              </w:rPr>
            </w:pPr>
            <w:r>
              <w:rPr>
                <w:spacing w:val="-2"/>
                <w:sz w:val="14"/>
              </w:rPr>
              <w:t>(2.00)</w:t>
            </w:r>
          </w:p>
        </w:tc>
        <w:tc>
          <w:tcPr>
            <w:tcW w:w="667" w:type="dxa"/>
            <w:tcBorders>
              <w:top w:val="single" w:sz="4" w:space="0" w:color="000000"/>
              <w:bottom w:val="single" w:sz="4" w:space="0" w:color="000000"/>
            </w:tcBorders>
          </w:tcPr>
          <w:p>
            <w:pPr>
              <w:pStyle w:val="TableParagraph"/>
              <w:spacing w:before="23"/>
              <w:ind w:right="195"/>
              <w:rPr>
                <w:sz w:val="14"/>
              </w:rPr>
            </w:pPr>
            <w:r>
              <w:rPr>
                <w:spacing w:val="-2"/>
                <w:sz w:val="14"/>
              </w:rPr>
              <w:t>(3.00)</w:t>
            </w:r>
          </w:p>
        </w:tc>
        <w:tc>
          <w:tcPr>
            <w:tcW w:w="667" w:type="dxa"/>
            <w:tcBorders>
              <w:top w:val="single" w:sz="4" w:space="0" w:color="000000"/>
              <w:bottom w:val="single" w:sz="4" w:space="0" w:color="000000"/>
            </w:tcBorders>
          </w:tcPr>
          <w:p>
            <w:pPr>
              <w:pStyle w:val="TableParagraph"/>
              <w:spacing w:before="23"/>
              <w:ind w:right="123"/>
              <w:rPr>
                <w:sz w:val="14"/>
              </w:rPr>
            </w:pPr>
            <w:r>
              <w:rPr>
                <w:spacing w:val="-2"/>
                <w:sz w:val="14"/>
              </w:rPr>
              <w:t>(7.00)</w:t>
            </w:r>
          </w:p>
        </w:tc>
        <w:tc>
          <w:tcPr>
            <w:tcW w:w="535" w:type="dxa"/>
            <w:tcBorders>
              <w:top w:val="single" w:sz="4" w:space="0" w:color="000000"/>
              <w:bottom w:val="single" w:sz="4" w:space="0" w:color="000000"/>
            </w:tcBorders>
          </w:tcPr>
          <w:p>
            <w:pPr>
              <w:pStyle w:val="TableParagraph"/>
              <w:spacing w:before="23"/>
              <w:ind w:right="62"/>
              <w:rPr>
                <w:sz w:val="14"/>
              </w:rPr>
            </w:pPr>
            <w:r>
              <w:rPr>
                <w:spacing w:val="-2"/>
                <w:sz w:val="14"/>
              </w:rPr>
              <w:t>(1.00)</w:t>
            </w:r>
          </w:p>
        </w:tc>
        <w:tc>
          <w:tcPr>
            <w:tcW w:w="792" w:type="dxa"/>
            <w:tcBorders>
              <w:top w:val="single" w:sz="4" w:space="0" w:color="000000"/>
              <w:bottom w:val="single" w:sz="4" w:space="0" w:color="000000"/>
            </w:tcBorders>
          </w:tcPr>
          <w:p>
            <w:pPr>
              <w:pStyle w:val="TableParagraph"/>
              <w:spacing w:before="23"/>
              <w:ind w:right="120"/>
              <w:rPr>
                <w:i/>
                <w:sz w:val="14"/>
              </w:rPr>
            </w:pPr>
            <w:r>
              <w:rPr>
                <w:i/>
                <w:spacing w:val="-2"/>
                <w:sz w:val="14"/>
              </w:rPr>
              <w:t>(13.00)</w:t>
            </w:r>
          </w:p>
        </w:tc>
        <w:tc>
          <w:tcPr>
            <w:tcW w:w="567" w:type="dxa"/>
            <w:tcBorders>
              <w:top w:val="single" w:sz="4" w:space="0" w:color="000000"/>
              <w:bottom w:val="single" w:sz="4" w:space="0" w:color="000000"/>
            </w:tcBorders>
          </w:tcPr>
          <w:p>
            <w:pPr>
              <w:pStyle w:val="TableParagraph"/>
              <w:spacing w:before="23"/>
              <w:ind w:right="95"/>
              <w:rPr>
                <w:sz w:val="14"/>
              </w:rPr>
            </w:pPr>
            <w:r>
              <w:rPr>
                <w:w w:val="99"/>
                <w:sz w:val="14"/>
              </w:rPr>
              <w:t>-</w:t>
            </w:r>
          </w:p>
        </w:tc>
        <w:tc>
          <w:tcPr>
            <w:tcW w:w="580" w:type="dxa"/>
            <w:tcBorders>
              <w:top w:val="single" w:sz="4" w:space="0" w:color="000000"/>
              <w:bottom w:val="single" w:sz="4" w:space="0" w:color="000000"/>
            </w:tcBorders>
          </w:tcPr>
          <w:p>
            <w:pPr>
              <w:pStyle w:val="TableParagraph"/>
              <w:spacing w:before="23"/>
              <w:ind w:right="84"/>
              <w:rPr>
                <w:sz w:val="14"/>
              </w:rPr>
            </w:pPr>
            <w:r>
              <w:rPr>
                <w:w w:val="99"/>
                <w:sz w:val="14"/>
              </w:rPr>
              <w:t>-</w:t>
            </w:r>
          </w:p>
        </w:tc>
        <w:tc>
          <w:tcPr>
            <w:tcW w:w="561" w:type="dxa"/>
            <w:tcBorders>
              <w:top w:val="single" w:sz="4" w:space="0" w:color="000000"/>
              <w:bottom w:val="single" w:sz="4" w:space="0" w:color="000000"/>
            </w:tcBorders>
          </w:tcPr>
          <w:p>
            <w:pPr>
              <w:pStyle w:val="TableParagraph"/>
              <w:spacing w:before="23"/>
              <w:ind w:right="51"/>
              <w:rPr>
                <w:sz w:val="14"/>
              </w:rPr>
            </w:pPr>
            <w:r>
              <w:rPr>
                <w:spacing w:val="-2"/>
                <w:sz w:val="14"/>
              </w:rPr>
              <w:t>(4.00)</w:t>
            </w:r>
          </w:p>
        </w:tc>
        <w:tc>
          <w:tcPr>
            <w:tcW w:w="775" w:type="dxa"/>
            <w:tcBorders>
              <w:top w:val="single" w:sz="4" w:space="0" w:color="000000"/>
              <w:bottom w:val="single" w:sz="4" w:space="0" w:color="000000"/>
            </w:tcBorders>
          </w:tcPr>
          <w:p>
            <w:pPr>
              <w:pStyle w:val="TableParagraph"/>
              <w:spacing w:before="23"/>
              <w:ind w:right="86"/>
              <w:rPr>
                <w:i/>
                <w:sz w:val="14"/>
              </w:rPr>
            </w:pPr>
            <w:r>
              <w:rPr>
                <w:i/>
                <w:spacing w:val="-2"/>
                <w:sz w:val="14"/>
              </w:rPr>
              <w:t>(4.00)</w:t>
            </w:r>
          </w:p>
        </w:tc>
        <w:tc>
          <w:tcPr>
            <w:tcW w:w="558" w:type="dxa"/>
            <w:tcBorders>
              <w:top w:val="single" w:sz="4" w:space="0" w:color="000000"/>
              <w:bottom w:val="single" w:sz="4" w:space="0" w:color="000000"/>
            </w:tcBorders>
          </w:tcPr>
          <w:p>
            <w:pPr>
              <w:pStyle w:val="TableParagraph"/>
              <w:spacing w:before="23"/>
              <w:ind w:right="44"/>
              <w:rPr>
                <w:b/>
                <w:sz w:val="14"/>
              </w:rPr>
            </w:pPr>
            <w:r>
              <w:rPr>
                <w:b/>
                <w:spacing w:val="-2"/>
                <w:sz w:val="14"/>
              </w:rPr>
              <w:t>(17.00)</w:t>
            </w:r>
          </w:p>
        </w:tc>
      </w:tr>
      <w:tr>
        <w:trPr>
          <w:trHeight w:val="229" w:hRule="atLeast"/>
        </w:trPr>
        <w:tc>
          <w:tcPr>
            <w:tcW w:w="1186" w:type="dxa"/>
            <w:tcBorders>
              <w:top w:val="single" w:sz="4" w:space="0" w:color="000000"/>
              <w:bottom w:val="single" w:sz="12" w:space="0" w:color="000000"/>
            </w:tcBorders>
          </w:tcPr>
          <w:p>
            <w:pPr>
              <w:pStyle w:val="TableParagraph"/>
              <w:spacing w:before="23"/>
              <w:ind w:left="67"/>
              <w:jc w:val="left"/>
              <w:rPr>
                <w:b/>
                <w:sz w:val="14"/>
              </w:rPr>
            </w:pPr>
            <w:r>
              <w:rPr>
                <w:b/>
                <w:sz w:val="14"/>
              </w:rPr>
              <w:t>Proposed</w:t>
            </w:r>
            <w:r>
              <w:rPr>
                <w:b/>
                <w:spacing w:val="-6"/>
                <w:sz w:val="14"/>
              </w:rPr>
              <w:t> </w:t>
            </w:r>
            <w:r>
              <w:rPr>
                <w:b/>
                <w:spacing w:val="-4"/>
                <w:sz w:val="14"/>
              </w:rPr>
              <w:t>2023</w:t>
            </w:r>
          </w:p>
        </w:tc>
        <w:tc>
          <w:tcPr>
            <w:tcW w:w="678" w:type="dxa"/>
            <w:tcBorders>
              <w:top w:val="single" w:sz="4" w:space="0" w:color="000000"/>
              <w:bottom w:val="single" w:sz="12" w:space="0" w:color="000000"/>
            </w:tcBorders>
          </w:tcPr>
          <w:p>
            <w:pPr>
              <w:pStyle w:val="TableParagraph"/>
              <w:spacing w:before="23"/>
              <w:ind w:right="154"/>
              <w:rPr>
                <w:b/>
                <w:sz w:val="14"/>
              </w:rPr>
            </w:pPr>
            <w:r>
              <w:rPr>
                <w:b/>
                <w:w w:val="99"/>
                <w:sz w:val="14"/>
              </w:rPr>
              <w:t>-</w:t>
            </w:r>
          </w:p>
        </w:tc>
        <w:tc>
          <w:tcPr>
            <w:tcW w:w="607" w:type="dxa"/>
            <w:tcBorders>
              <w:top w:val="single" w:sz="4" w:space="0" w:color="000000"/>
              <w:bottom w:val="single" w:sz="12" w:space="0" w:color="000000"/>
            </w:tcBorders>
          </w:tcPr>
          <w:p>
            <w:pPr>
              <w:pStyle w:val="TableParagraph"/>
              <w:spacing w:before="23"/>
              <w:ind w:right="170"/>
              <w:rPr>
                <w:b/>
                <w:sz w:val="14"/>
              </w:rPr>
            </w:pPr>
            <w:r>
              <w:rPr>
                <w:b/>
                <w:w w:val="99"/>
                <w:sz w:val="14"/>
              </w:rPr>
              <w:t>-</w:t>
            </w:r>
          </w:p>
        </w:tc>
        <w:tc>
          <w:tcPr>
            <w:tcW w:w="548" w:type="dxa"/>
            <w:tcBorders>
              <w:top w:val="single" w:sz="4" w:space="0" w:color="000000"/>
              <w:bottom w:val="single" w:sz="12" w:space="0" w:color="000000"/>
            </w:tcBorders>
          </w:tcPr>
          <w:p>
            <w:pPr>
              <w:pStyle w:val="TableParagraph"/>
              <w:spacing w:before="23"/>
              <w:ind w:right="156"/>
              <w:rPr>
                <w:b/>
                <w:sz w:val="14"/>
              </w:rPr>
            </w:pPr>
            <w:r>
              <w:rPr>
                <w:b/>
                <w:w w:val="99"/>
                <w:sz w:val="14"/>
              </w:rPr>
              <w:t>-</w:t>
            </w:r>
          </w:p>
        </w:tc>
        <w:tc>
          <w:tcPr>
            <w:tcW w:w="571" w:type="dxa"/>
            <w:tcBorders>
              <w:top w:val="single" w:sz="4" w:space="0" w:color="000000"/>
              <w:bottom w:val="single" w:sz="12" w:space="0" w:color="000000"/>
            </w:tcBorders>
          </w:tcPr>
          <w:p>
            <w:pPr>
              <w:pStyle w:val="TableParagraph"/>
              <w:spacing w:before="23"/>
              <w:ind w:right="162"/>
              <w:rPr>
                <w:b/>
                <w:sz w:val="14"/>
              </w:rPr>
            </w:pPr>
            <w:r>
              <w:rPr>
                <w:b/>
                <w:spacing w:val="-4"/>
                <w:sz w:val="14"/>
              </w:rPr>
              <w:t>0.50</w:t>
            </w:r>
          </w:p>
        </w:tc>
        <w:tc>
          <w:tcPr>
            <w:tcW w:w="539" w:type="dxa"/>
            <w:tcBorders>
              <w:top w:val="single" w:sz="4" w:space="0" w:color="000000"/>
              <w:bottom w:val="single" w:sz="12" w:space="0" w:color="000000"/>
            </w:tcBorders>
          </w:tcPr>
          <w:p>
            <w:pPr>
              <w:pStyle w:val="TableParagraph"/>
              <w:spacing w:before="23"/>
              <w:ind w:left="153" w:right="106"/>
              <w:jc w:val="center"/>
              <w:rPr>
                <w:b/>
                <w:sz w:val="14"/>
              </w:rPr>
            </w:pPr>
            <w:r>
              <w:rPr>
                <w:b/>
                <w:spacing w:val="-4"/>
                <w:sz w:val="14"/>
              </w:rPr>
              <w:t>3.29</w:t>
            </w:r>
          </w:p>
        </w:tc>
        <w:tc>
          <w:tcPr>
            <w:tcW w:w="590" w:type="dxa"/>
            <w:tcBorders>
              <w:top w:val="single" w:sz="4" w:space="0" w:color="000000"/>
              <w:bottom w:val="single" w:sz="12" w:space="0" w:color="000000"/>
            </w:tcBorders>
          </w:tcPr>
          <w:p>
            <w:pPr>
              <w:pStyle w:val="TableParagraph"/>
              <w:spacing w:before="23"/>
              <w:ind w:right="124"/>
              <w:rPr>
                <w:b/>
                <w:sz w:val="14"/>
              </w:rPr>
            </w:pPr>
            <w:r>
              <w:rPr>
                <w:b/>
                <w:spacing w:val="-2"/>
                <w:sz w:val="14"/>
              </w:rPr>
              <w:t>12.29</w:t>
            </w:r>
          </w:p>
        </w:tc>
        <w:tc>
          <w:tcPr>
            <w:tcW w:w="667" w:type="dxa"/>
            <w:tcBorders>
              <w:top w:val="single" w:sz="4" w:space="0" w:color="000000"/>
              <w:bottom w:val="single" w:sz="12" w:space="0" w:color="000000"/>
            </w:tcBorders>
          </w:tcPr>
          <w:p>
            <w:pPr>
              <w:pStyle w:val="TableParagraph"/>
              <w:spacing w:before="23"/>
              <w:ind w:right="196"/>
              <w:rPr>
                <w:b/>
                <w:sz w:val="14"/>
              </w:rPr>
            </w:pPr>
            <w:r>
              <w:rPr>
                <w:b/>
                <w:spacing w:val="-2"/>
                <w:sz w:val="14"/>
              </w:rPr>
              <w:t>64.83</w:t>
            </w:r>
          </w:p>
        </w:tc>
        <w:tc>
          <w:tcPr>
            <w:tcW w:w="667" w:type="dxa"/>
            <w:tcBorders>
              <w:top w:val="single" w:sz="4" w:space="0" w:color="000000"/>
              <w:bottom w:val="single" w:sz="12" w:space="0" w:color="000000"/>
            </w:tcBorders>
          </w:tcPr>
          <w:p>
            <w:pPr>
              <w:pStyle w:val="TableParagraph"/>
              <w:spacing w:before="23"/>
              <w:ind w:right="124"/>
              <w:rPr>
                <w:b/>
                <w:sz w:val="14"/>
              </w:rPr>
            </w:pPr>
            <w:r>
              <w:rPr>
                <w:b/>
                <w:spacing w:val="-2"/>
                <w:sz w:val="14"/>
              </w:rPr>
              <w:t>94.24</w:t>
            </w:r>
          </w:p>
        </w:tc>
        <w:tc>
          <w:tcPr>
            <w:tcW w:w="535" w:type="dxa"/>
            <w:tcBorders>
              <w:top w:val="single" w:sz="4" w:space="0" w:color="000000"/>
              <w:bottom w:val="single" w:sz="12" w:space="0" w:color="000000"/>
            </w:tcBorders>
          </w:tcPr>
          <w:p>
            <w:pPr>
              <w:pStyle w:val="TableParagraph"/>
              <w:spacing w:before="23"/>
              <w:ind w:right="63"/>
              <w:rPr>
                <w:b/>
                <w:sz w:val="14"/>
              </w:rPr>
            </w:pPr>
            <w:r>
              <w:rPr>
                <w:b/>
                <w:spacing w:val="-2"/>
                <w:sz w:val="14"/>
              </w:rPr>
              <w:t>19.25</w:t>
            </w:r>
          </w:p>
        </w:tc>
        <w:tc>
          <w:tcPr>
            <w:tcW w:w="792" w:type="dxa"/>
            <w:tcBorders>
              <w:top w:val="single" w:sz="4" w:space="0" w:color="000000"/>
              <w:bottom w:val="single" w:sz="12" w:space="0" w:color="000000"/>
            </w:tcBorders>
          </w:tcPr>
          <w:p>
            <w:pPr>
              <w:pStyle w:val="TableParagraph"/>
              <w:spacing w:before="23"/>
              <w:ind w:right="121"/>
              <w:rPr>
                <w:b/>
                <w:i/>
                <w:sz w:val="14"/>
              </w:rPr>
            </w:pPr>
            <w:r>
              <w:rPr>
                <w:b/>
                <w:i/>
                <w:spacing w:val="-2"/>
                <w:sz w:val="14"/>
              </w:rPr>
              <w:t>194.41</w:t>
            </w:r>
          </w:p>
        </w:tc>
        <w:tc>
          <w:tcPr>
            <w:tcW w:w="567" w:type="dxa"/>
            <w:tcBorders>
              <w:top w:val="single" w:sz="4" w:space="0" w:color="000000"/>
              <w:bottom w:val="single" w:sz="12" w:space="0" w:color="000000"/>
            </w:tcBorders>
          </w:tcPr>
          <w:p>
            <w:pPr>
              <w:pStyle w:val="TableParagraph"/>
              <w:spacing w:before="23"/>
              <w:ind w:right="92"/>
              <w:rPr>
                <w:b/>
                <w:sz w:val="14"/>
              </w:rPr>
            </w:pPr>
            <w:r>
              <w:rPr>
                <w:b/>
                <w:spacing w:val="-4"/>
                <w:sz w:val="14"/>
              </w:rPr>
              <w:t>6.75</w:t>
            </w:r>
          </w:p>
        </w:tc>
        <w:tc>
          <w:tcPr>
            <w:tcW w:w="580" w:type="dxa"/>
            <w:tcBorders>
              <w:top w:val="single" w:sz="4" w:space="0" w:color="000000"/>
              <w:bottom w:val="single" w:sz="12" w:space="0" w:color="000000"/>
            </w:tcBorders>
          </w:tcPr>
          <w:p>
            <w:pPr>
              <w:pStyle w:val="TableParagraph"/>
              <w:spacing w:before="23"/>
              <w:ind w:right="81"/>
              <w:rPr>
                <w:b/>
                <w:sz w:val="14"/>
              </w:rPr>
            </w:pPr>
            <w:r>
              <w:rPr>
                <w:b/>
                <w:spacing w:val="-2"/>
                <w:sz w:val="14"/>
              </w:rPr>
              <w:t>16.17</w:t>
            </w:r>
          </w:p>
        </w:tc>
        <w:tc>
          <w:tcPr>
            <w:tcW w:w="561" w:type="dxa"/>
            <w:tcBorders>
              <w:top w:val="single" w:sz="4" w:space="0" w:color="000000"/>
              <w:bottom w:val="single" w:sz="12" w:space="0" w:color="000000"/>
            </w:tcBorders>
          </w:tcPr>
          <w:p>
            <w:pPr>
              <w:pStyle w:val="TableParagraph"/>
              <w:spacing w:before="23"/>
              <w:ind w:right="52"/>
              <w:rPr>
                <w:b/>
                <w:sz w:val="14"/>
              </w:rPr>
            </w:pPr>
            <w:r>
              <w:rPr>
                <w:b/>
                <w:spacing w:val="-2"/>
                <w:sz w:val="14"/>
              </w:rPr>
              <w:t>108.08</w:t>
            </w:r>
          </w:p>
        </w:tc>
        <w:tc>
          <w:tcPr>
            <w:tcW w:w="775" w:type="dxa"/>
            <w:tcBorders>
              <w:top w:val="single" w:sz="4" w:space="0" w:color="000000"/>
              <w:bottom w:val="single" w:sz="12" w:space="0" w:color="000000"/>
            </w:tcBorders>
          </w:tcPr>
          <w:p>
            <w:pPr>
              <w:pStyle w:val="TableParagraph"/>
              <w:spacing w:before="23"/>
              <w:ind w:right="87"/>
              <w:rPr>
                <w:b/>
                <w:i/>
                <w:sz w:val="14"/>
              </w:rPr>
            </w:pPr>
            <w:r>
              <w:rPr>
                <w:b/>
                <w:i/>
                <w:spacing w:val="-2"/>
                <w:sz w:val="14"/>
              </w:rPr>
              <w:t>131.00</w:t>
            </w:r>
          </w:p>
        </w:tc>
        <w:tc>
          <w:tcPr>
            <w:tcW w:w="558" w:type="dxa"/>
            <w:tcBorders>
              <w:top w:val="single" w:sz="4" w:space="0" w:color="000000"/>
              <w:bottom w:val="single" w:sz="12" w:space="0" w:color="000000"/>
            </w:tcBorders>
          </w:tcPr>
          <w:p>
            <w:pPr>
              <w:pStyle w:val="TableParagraph"/>
              <w:spacing w:before="23"/>
              <w:ind w:right="45"/>
              <w:rPr>
                <w:b/>
                <w:sz w:val="14"/>
              </w:rPr>
            </w:pPr>
            <w:r>
              <w:rPr>
                <w:b/>
                <w:spacing w:val="-2"/>
                <w:sz w:val="14"/>
              </w:rPr>
              <w:t>325.41</w:t>
            </w:r>
          </w:p>
        </w:tc>
      </w:tr>
    </w:tbl>
    <w:p>
      <w:pPr>
        <w:spacing w:after="0"/>
        <w:rPr>
          <w:sz w:val="14"/>
        </w:rPr>
        <w:sectPr>
          <w:pgSz w:w="11910" w:h="16840"/>
          <w:pgMar w:header="957" w:footer="940" w:top="1140" w:bottom="1140" w:left="20" w:right="20"/>
        </w:sectPr>
      </w:pPr>
    </w:p>
    <w:p>
      <w:pPr>
        <w:pStyle w:val="Heading1"/>
        <w:numPr>
          <w:ilvl w:val="0"/>
          <w:numId w:val="3"/>
        </w:numPr>
        <w:tabs>
          <w:tab w:pos="2246" w:val="left" w:leader="none"/>
          <w:tab w:pos="2247" w:val="left" w:leader="none"/>
        </w:tabs>
        <w:spacing w:line="240" w:lineRule="auto" w:before="126" w:after="0"/>
        <w:ind w:left="2246" w:right="0" w:hanging="717"/>
        <w:jc w:val="left"/>
      </w:pPr>
      <w:bookmarkStart w:name="_bookmark13" w:id="14"/>
      <w:bookmarkEnd w:id="14"/>
      <w:r>
        <w:rPr/>
        <w:t>P</w:t>
      </w:r>
      <w:r>
        <w:rPr/>
        <w:t>roposed</w:t>
      </w:r>
      <w:r>
        <w:rPr>
          <w:spacing w:val="-7"/>
        </w:rPr>
        <w:t> </w:t>
      </w:r>
      <w:r>
        <w:rPr/>
        <w:t>Programme</w:t>
      </w:r>
      <w:r>
        <w:rPr>
          <w:spacing w:val="-9"/>
        </w:rPr>
        <w:t> </w:t>
      </w:r>
      <w:r>
        <w:rPr/>
        <w:t>Budget</w:t>
      </w:r>
      <w:r>
        <w:rPr>
          <w:spacing w:val="-10"/>
        </w:rPr>
        <w:t> </w:t>
      </w:r>
      <w:r>
        <w:rPr/>
        <w:t>for</w:t>
      </w:r>
      <w:r>
        <w:rPr>
          <w:spacing w:val="-9"/>
        </w:rPr>
        <w:t> </w:t>
      </w:r>
      <w:r>
        <w:rPr>
          <w:spacing w:val="-4"/>
        </w:rPr>
        <w:t>2023</w:t>
      </w:r>
    </w:p>
    <w:p>
      <w:pPr>
        <w:pStyle w:val="Heading2"/>
        <w:numPr>
          <w:ilvl w:val="1"/>
          <w:numId w:val="3"/>
        </w:numPr>
        <w:tabs>
          <w:tab w:pos="2967" w:val="left" w:leader="none"/>
        </w:tabs>
        <w:spacing w:line="240" w:lineRule="auto" w:before="244" w:after="0"/>
        <w:ind w:left="2967" w:right="0" w:hanging="361"/>
        <w:jc w:val="left"/>
      </w:pPr>
      <w:bookmarkStart w:name="_bookmark14" w:id="15"/>
      <w:bookmarkEnd w:id="15"/>
      <w:r>
        <w:rPr/>
        <w:t>M</w:t>
      </w:r>
      <w:r>
        <w:rPr/>
        <w:t>ajor</w:t>
      </w:r>
      <w:r>
        <w:rPr>
          <w:spacing w:val="-1"/>
        </w:rPr>
        <w:t> </w:t>
      </w:r>
      <w:r>
        <w:rPr/>
        <w:t>Programme</w:t>
      </w:r>
      <w:r>
        <w:rPr>
          <w:spacing w:val="-5"/>
        </w:rPr>
        <w:t> </w:t>
      </w:r>
      <w:r>
        <w:rPr/>
        <w:t>I:</w:t>
      </w:r>
      <w:r>
        <w:rPr>
          <w:spacing w:val="1"/>
        </w:rPr>
        <w:t> </w:t>
      </w:r>
      <w:r>
        <w:rPr>
          <w:spacing w:val="-2"/>
        </w:rPr>
        <w:t>Judiciary</w:t>
      </w:r>
    </w:p>
    <w:p>
      <w:pPr>
        <w:pStyle w:val="BodyText"/>
        <w:rPr>
          <w:b/>
          <w:sz w:val="21"/>
        </w:rPr>
      </w:pPr>
      <w:r>
        <w:rPr/>
        <w:pict>
          <v:group style="position:absolute;margin-left:114.843063pt;margin-top:13.355817pt;width:273.05pt;height:120.9pt;mso-position-horizontal-relative:page;mso-position-vertical-relative:paragraph;z-index:-15725056;mso-wrap-distance-left:0;mso-wrap-distance-right:0" id="docshapegroup34" coordorigin="2297,267" coordsize="5461,2418">
            <v:rect style="position:absolute;left:6205;top:1802;width:1550;height:880" id="docshape35" filled="true" fillcolor="#cdcdcd" stroked="false">
              <v:fill opacity="32639f" type="solid"/>
            </v:rect>
            <v:shape style="position:absolute;left:6205;top:1802;width:1550;height:880" id="docshape36" coordorigin="6205,1802" coordsize="1550,880" path="m6205,2681l6205,2681m7754,2681l7754,2681,6205,2681m7754,1802l7754,1802,7754,2681e" filled="false" stroked="true" strokeweight=".285604pt" strokecolor="#cdcdcd">
              <v:path arrowok="t"/>
              <v:stroke dashstyle="solid"/>
            </v:shape>
            <v:shape style="position:absolute;left:6172;top:1769;width:1550;height:880" type="#_x0000_t75" id="docshape37" stroked="false">
              <v:imagedata r:id="rId17" o:title=""/>
            </v:shape>
            <v:shape style="position:absolute;left:6172;top:1769;width:1550;height:880" id="docshape38" coordorigin="6172,1769" coordsize="1550,880" path="m6172,2648l6172,1769,7721,1769,7721,2648,6172,2648m6213,2607l6213,1811,7681,1811,7681,2607,6213,2607e" filled="false" stroked="true" strokeweight=".285604pt" strokecolor="#404040">
              <v:path arrowok="t"/>
              <v:stroke dashstyle="solid"/>
            </v:shape>
            <v:shape style="position:absolute;left:5010;top:1439;width:1937;height:330" id="docshape39" coordorigin="5011,1440" coordsize="1937,330" path="m5011,1440l5011,1526,6947,1526,6947,1769e" filled="false" stroked="true" strokeweight="1.146132pt" strokecolor="#404040">
              <v:path arrowok="t"/>
              <v:stroke dashstyle="solid"/>
            </v:shape>
            <v:rect style="position:absolute;left:2332;top:1862;width:1550;height:780" id="docshape40" filled="true" fillcolor="#cdcdcd" stroked="false">
              <v:fill opacity="32639f" type="solid"/>
            </v:rect>
            <v:shape style="position:absolute;left:2299;top:1829;width:1550;height:780" type="#_x0000_t75" id="docshape41" stroked="false">
              <v:imagedata r:id="rId18" o:title=""/>
            </v:shape>
            <v:shape style="position:absolute;left:3074;top:1439;width:1937;height:390" id="docshape42" coordorigin="3074,1440" coordsize="1937,390" path="m5011,1440l5011,1526,3074,1526,3074,1830e" filled="false" stroked="true" strokeweight="1.146046pt" strokecolor="#404040">
              <v:path arrowok="t"/>
              <v:stroke dashstyle="solid"/>
            </v:shape>
            <v:shape style="position:absolute;left:6175;top:1822;width:1524;height:799" type="#_x0000_t202" id="docshape43" filled="false" stroked="false">
              <v:textbox inset="0,0,0,0">
                <w:txbxContent>
                  <w:p>
                    <w:pPr>
                      <w:spacing w:line="240" w:lineRule="auto" w:before="8"/>
                      <w:rPr>
                        <w:b/>
                        <w:sz w:val="23"/>
                      </w:rPr>
                    </w:pPr>
                  </w:p>
                  <w:p>
                    <w:pPr>
                      <w:spacing w:line="254" w:lineRule="auto" w:before="1"/>
                      <w:ind w:left="589" w:right="50" w:hanging="223"/>
                      <w:jc w:val="left"/>
                      <w:rPr>
                        <w:b/>
                        <w:sz w:val="18"/>
                      </w:rPr>
                    </w:pPr>
                    <w:r>
                      <w:rPr>
                        <w:b/>
                        <w:spacing w:val="-2"/>
                        <w:sz w:val="18"/>
                      </w:rPr>
                      <w:t>Chambers </w:t>
                    </w:r>
                    <w:r>
                      <w:rPr>
                        <w:b/>
                        <w:spacing w:val="-4"/>
                        <w:sz w:val="18"/>
                      </w:rPr>
                      <w:t>1200</w:t>
                    </w:r>
                  </w:p>
                </w:txbxContent>
              </v:textbox>
              <w10:wrap type="none"/>
            </v:shape>
            <v:shape style="position:absolute;left:2319;top:1819;width:1531;height:779" type="#_x0000_t202" id="docshape44" filled="false" stroked="true" strokeweight="2.221020pt" strokecolor="#404040">
              <v:textbox inset="0,0,0,0">
                <w:txbxContent>
                  <w:p>
                    <w:pPr>
                      <w:spacing w:line="240" w:lineRule="auto" w:before="0"/>
                      <w:rPr>
                        <w:b/>
                        <w:sz w:val="23"/>
                      </w:rPr>
                    </w:pPr>
                  </w:p>
                  <w:p>
                    <w:pPr>
                      <w:spacing w:line="254" w:lineRule="auto" w:before="0"/>
                      <w:ind w:left="550" w:right="35" w:hanging="243"/>
                      <w:jc w:val="left"/>
                      <w:rPr>
                        <w:b/>
                        <w:sz w:val="18"/>
                      </w:rPr>
                    </w:pPr>
                    <w:r>
                      <w:rPr>
                        <w:b/>
                        <w:spacing w:val="-2"/>
                        <w:sz w:val="18"/>
                      </w:rPr>
                      <w:t>Presidency </w:t>
                    </w:r>
                    <w:r>
                      <w:rPr>
                        <w:b/>
                        <w:spacing w:val="-4"/>
                        <w:sz w:val="18"/>
                      </w:rPr>
                      <w:t>1100</w:t>
                    </w:r>
                  </w:p>
                </w:txbxContent>
              </v:textbox>
              <v:stroke linestyle="thinThin" dashstyle="solid"/>
              <w10:wrap type="none"/>
            </v:shape>
            <v:shape style="position:absolute;left:3849;top:290;width:2323;height:1129" type="#_x0000_t202" id="docshape45" filled="false" stroked="true" strokeweight="2.334868pt" strokecolor="#404040">
              <v:textbox inset="0,0,0,0">
                <w:txbxContent>
                  <w:p>
                    <w:pPr>
                      <w:spacing w:line="240" w:lineRule="auto" w:before="4"/>
                      <w:rPr>
                        <w:b/>
                        <w:sz w:val="22"/>
                      </w:rPr>
                    </w:pPr>
                  </w:p>
                  <w:p>
                    <w:pPr>
                      <w:spacing w:line="249" w:lineRule="auto" w:before="0"/>
                      <w:ind w:left="676" w:right="135" w:hanging="531"/>
                      <w:jc w:val="left"/>
                      <w:rPr>
                        <w:b/>
                        <w:sz w:val="23"/>
                      </w:rPr>
                    </w:pPr>
                    <w:r>
                      <w:rPr>
                        <w:b/>
                        <w:sz w:val="23"/>
                      </w:rPr>
                      <w:t>Major</w:t>
                    </w:r>
                    <w:r>
                      <w:rPr>
                        <w:b/>
                        <w:spacing w:val="-15"/>
                        <w:sz w:val="23"/>
                      </w:rPr>
                      <w:t> </w:t>
                    </w:r>
                    <w:r>
                      <w:rPr>
                        <w:b/>
                        <w:sz w:val="23"/>
                      </w:rPr>
                      <w:t>Programme</w:t>
                    </w:r>
                    <w:r>
                      <w:rPr>
                        <w:b/>
                        <w:spacing w:val="-14"/>
                        <w:sz w:val="23"/>
                      </w:rPr>
                      <w:t> </w:t>
                    </w:r>
                    <w:r>
                      <w:rPr>
                        <w:b/>
                        <w:sz w:val="23"/>
                      </w:rPr>
                      <w:t>I </w:t>
                    </w:r>
                    <w:r>
                      <w:rPr>
                        <w:b/>
                        <w:spacing w:val="-2"/>
                        <w:sz w:val="23"/>
                      </w:rPr>
                      <w:t>Judiciary</w:t>
                    </w:r>
                  </w:p>
                </w:txbxContent>
              </v:textbox>
              <v:stroke linestyle="thinThin" dashstyle="solid"/>
              <w10:wrap type="none"/>
            </v:shape>
            <w10:wrap type="topAndBottom"/>
          </v:group>
        </w:pict>
      </w:r>
    </w:p>
    <w:p>
      <w:pPr>
        <w:pStyle w:val="BodyText"/>
        <w:rPr>
          <w:b/>
        </w:rPr>
      </w:pPr>
    </w:p>
    <w:p>
      <w:pPr>
        <w:pStyle w:val="BodyText"/>
        <w:spacing w:before="9"/>
        <w:rPr>
          <w:b/>
          <w:sz w:val="23"/>
        </w:rPr>
      </w:pPr>
    </w:p>
    <w:p>
      <w:pPr>
        <w:pStyle w:val="Heading3"/>
        <w:spacing w:before="93"/>
      </w:pPr>
      <w:r>
        <w:rPr>
          <w:spacing w:val="-2"/>
        </w:rPr>
        <w:t>Introduction</w:t>
      </w:r>
    </w:p>
    <w:p>
      <w:pPr>
        <w:pStyle w:val="BodyText"/>
        <w:spacing w:before="10"/>
        <w:rPr>
          <w:b/>
        </w:rPr>
      </w:pPr>
    </w:p>
    <w:p>
      <w:pPr>
        <w:pStyle w:val="ListParagraph"/>
        <w:numPr>
          <w:ilvl w:val="0"/>
          <w:numId w:val="4"/>
        </w:numPr>
        <w:tabs>
          <w:tab w:pos="2967" w:val="left" w:leader="none"/>
        </w:tabs>
        <w:spacing w:line="240" w:lineRule="auto" w:before="0" w:after="0"/>
        <w:ind w:left="2967" w:right="0" w:hanging="721"/>
        <w:jc w:val="both"/>
        <w:rPr>
          <w:sz w:val="20"/>
        </w:rPr>
      </w:pPr>
      <w:bookmarkStart w:name="_bookmark15" w:id="16"/>
      <w:bookmarkEnd w:id="16"/>
      <w:r>
        <w:rPr>
          <w:sz w:val="20"/>
        </w:rPr>
        <w:t>M</w:t>
      </w:r>
      <w:r>
        <w:rPr>
          <w:sz w:val="20"/>
        </w:rPr>
        <w:t>ajor</w:t>
      </w:r>
      <w:r>
        <w:rPr>
          <w:spacing w:val="-9"/>
          <w:sz w:val="20"/>
        </w:rPr>
        <w:t> </w:t>
      </w:r>
      <w:r>
        <w:rPr>
          <w:sz w:val="20"/>
        </w:rPr>
        <w:t>Programme</w:t>
      </w:r>
      <w:r>
        <w:rPr>
          <w:spacing w:val="-4"/>
          <w:sz w:val="20"/>
        </w:rPr>
        <w:t> </w:t>
      </w:r>
      <w:r>
        <w:rPr>
          <w:sz w:val="20"/>
        </w:rPr>
        <w:t>I</w:t>
      </w:r>
      <w:r>
        <w:rPr>
          <w:spacing w:val="-6"/>
          <w:sz w:val="20"/>
        </w:rPr>
        <w:t> </w:t>
      </w:r>
      <w:r>
        <w:rPr>
          <w:sz w:val="20"/>
        </w:rPr>
        <w:t>is</w:t>
      </w:r>
      <w:r>
        <w:rPr>
          <w:spacing w:val="-7"/>
          <w:sz w:val="20"/>
        </w:rPr>
        <w:t> </w:t>
      </w:r>
      <w:r>
        <w:rPr>
          <w:sz w:val="20"/>
        </w:rPr>
        <w:t>composed</w:t>
      </w:r>
      <w:r>
        <w:rPr>
          <w:spacing w:val="-2"/>
          <w:sz w:val="20"/>
        </w:rPr>
        <w:t> </w:t>
      </w:r>
      <w:r>
        <w:rPr>
          <w:sz w:val="20"/>
        </w:rPr>
        <w:t>of</w:t>
      </w:r>
      <w:r>
        <w:rPr>
          <w:spacing w:val="-6"/>
          <w:sz w:val="20"/>
        </w:rPr>
        <w:t> </w:t>
      </w:r>
      <w:r>
        <w:rPr>
          <w:sz w:val="20"/>
        </w:rPr>
        <w:t>the</w:t>
      </w:r>
      <w:r>
        <w:rPr>
          <w:spacing w:val="-4"/>
          <w:sz w:val="20"/>
        </w:rPr>
        <w:t> </w:t>
      </w:r>
      <w:r>
        <w:rPr>
          <w:sz w:val="20"/>
        </w:rPr>
        <w:t>Presidency</w:t>
      </w:r>
      <w:r>
        <w:rPr>
          <w:spacing w:val="-7"/>
          <w:sz w:val="20"/>
        </w:rPr>
        <w:t> </w:t>
      </w:r>
      <w:r>
        <w:rPr>
          <w:sz w:val="20"/>
        </w:rPr>
        <w:t>and</w:t>
      </w:r>
      <w:r>
        <w:rPr>
          <w:spacing w:val="-6"/>
          <w:sz w:val="20"/>
        </w:rPr>
        <w:t> </w:t>
      </w:r>
      <w:r>
        <w:rPr>
          <w:sz w:val="20"/>
        </w:rPr>
        <w:t>the</w:t>
      </w:r>
      <w:r>
        <w:rPr>
          <w:spacing w:val="2"/>
          <w:sz w:val="20"/>
        </w:rPr>
        <w:t> </w:t>
      </w:r>
      <w:r>
        <w:rPr>
          <w:spacing w:val="-2"/>
          <w:sz w:val="20"/>
        </w:rPr>
        <w:t>Chambers.</w:t>
      </w:r>
    </w:p>
    <w:p>
      <w:pPr>
        <w:pStyle w:val="ListParagraph"/>
        <w:numPr>
          <w:ilvl w:val="0"/>
          <w:numId w:val="4"/>
        </w:numPr>
        <w:tabs>
          <w:tab w:pos="2967" w:val="left" w:leader="none"/>
        </w:tabs>
        <w:spacing w:line="240" w:lineRule="auto" w:before="121" w:after="0"/>
        <w:ind w:left="2246" w:right="2241" w:firstLine="0"/>
        <w:jc w:val="both"/>
        <w:rPr>
          <w:sz w:val="20"/>
        </w:rPr>
      </w:pPr>
      <w:r>
        <w:rPr>
          <w:sz w:val="20"/>
        </w:rPr>
        <w:t>The Presidency’s three primary areas</w:t>
      </w:r>
      <w:r>
        <w:rPr>
          <w:spacing w:val="-1"/>
          <w:sz w:val="20"/>
        </w:rPr>
        <w:t> </w:t>
      </w:r>
      <w:r>
        <w:rPr>
          <w:sz w:val="20"/>
        </w:rPr>
        <w:t>of responsibility are: legal, external relations and administrative. The primary responsibility of Chambers is to conduct judicial proceedings. In 2023, the Chambers will be managing a changing workload arising from developments</w:t>
      </w:r>
      <w:r>
        <w:rPr>
          <w:spacing w:val="-1"/>
          <w:sz w:val="20"/>
        </w:rPr>
        <w:t> </w:t>
      </w:r>
      <w:r>
        <w:rPr>
          <w:sz w:val="20"/>
        </w:rPr>
        <w:t>that</w:t>
      </w:r>
      <w:r>
        <w:rPr>
          <w:spacing w:val="-3"/>
          <w:sz w:val="20"/>
        </w:rPr>
        <w:t> </w:t>
      </w:r>
      <w:r>
        <w:rPr>
          <w:sz w:val="20"/>
        </w:rPr>
        <w:t>occurred</w:t>
      </w:r>
      <w:r>
        <w:rPr>
          <w:spacing w:val="-5"/>
          <w:sz w:val="20"/>
        </w:rPr>
        <w:t> </w:t>
      </w:r>
      <w:r>
        <w:rPr>
          <w:sz w:val="20"/>
        </w:rPr>
        <w:t>in 2021</w:t>
      </w:r>
      <w:r>
        <w:rPr>
          <w:spacing w:val="-5"/>
          <w:sz w:val="20"/>
        </w:rPr>
        <w:t> </w:t>
      </w:r>
      <w:r>
        <w:rPr>
          <w:sz w:val="20"/>
        </w:rPr>
        <w:t>and 2022,</w:t>
      </w:r>
      <w:r>
        <w:rPr>
          <w:spacing w:val="-2"/>
          <w:sz w:val="20"/>
        </w:rPr>
        <w:t> </w:t>
      </w:r>
      <w:r>
        <w:rPr>
          <w:sz w:val="20"/>
        </w:rPr>
        <w:t>including</w:t>
      </w:r>
      <w:r>
        <w:rPr>
          <w:spacing w:val="-5"/>
          <w:sz w:val="20"/>
        </w:rPr>
        <w:t> </w:t>
      </w:r>
      <w:r>
        <w:rPr>
          <w:sz w:val="20"/>
        </w:rPr>
        <w:t>(potential) trial preparations, trials, reparations proceedings, several final and interlocutory appeals, and other situations and cases at the pre-trial level. The Judiciary will continue its efforts to enhance the efficiency and</w:t>
      </w:r>
      <w:r>
        <w:rPr>
          <w:spacing w:val="-8"/>
          <w:sz w:val="20"/>
        </w:rPr>
        <w:t> </w:t>
      </w:r>
      <w:r>
        <w:rPr>
          <w:sz w:val="20"/>
        </w:rPr>
        <w:t>consistency</w:t>
      </w:r>
      <w:r>
        <w:rPr>
          <w:spacing w:val="-8"/>
          <w:sz w:val="20"/>
        </w:rPr>
        <w:t> </w:t>
      </w:r>
      <w:r>
        <w:rPr>
          <w:sz w:val="20"/>
        </w:rPr>
        <w:t>of</w:t>
      </w:r>
      <w:r>
        <w:rPr>
          <w:spacing w:val="-8"/>
          <w:sz w:val="20"/>
        </w:rPr>
        <w:t> </w:t>
      </w:r>
      <w:r>
        <w:rPr>
          <w:sz w:val="20"/>
        </w:rPr>
        <w:t>proceedings</w:t>
      </w:r>
      <w:r>
        <w:rPr>
          <w:spacing w:val="-10"/>
          <w:sz w:val="20"/>
        </w:rPr>
        <w:t> </w:t>
      </w:r>
      <w:r>
        <w:rPr>
          <w:sz w:val="20"/>
        </w:rPr>
        <w:t>before</w:t>
      </w:r>
      <w:r>
        <w:rPr>
          <w:spacing w:val="-7"/>
          <w:sz w:val="20"/>
        </w:rPr>
        <w:t> </w:t>
      </w:r>
      <w:r>
        <w:rPr>
          <w:sz w:val="20"/>
        </w:rPr>
        <w:t>the</w:t>
      </w:r>
      <w:r>
        <w:rPr>
          <w:spacing w:val="-7"/>
          <w:sz w:val="20"/>
        </w:rPr>
        <w:t> </w:t>
      </w:r>
      <w:r>
        <w:rPr>
          <w:sz w:val="20"/>
        </w:rPr>
        <w:t>Court,</w:t>
      </w:r>
      <w:r>
        <w:rPr>
          <w:spacing w:val="-6"/>
          <w:sz w:val="20"/>
        </w:rPr>
        <w:t> </w:t>
      </w:r>
      <w:r>
        <w:rPr>
          <w:sz w:val="20"/>
        </w:rPr>
        <w:t>strengthen</w:t>
      </w:r>
      <w:r>
        <w:rPr>
          <w:spacing w:val="-8"/>
          <w:sz w:val="20"/>
        </w:rPr>
        <w:t> </w:t>
      </w:r>
      <w:r>
        <w:rPr>
          <w:sz w:val="20"/>
        </w:rPr>
        <w:t>the</w:t>
      </w:r>
      <w:r>
        <w:rPr>
          <w:spacing w:val="-7"/>
          <w:sz w:val="20"/>
        </w:rPr>
        <w:t> </w:t>
      </w:r>
      <w:r>
        <w:rPr>
          <w:sz w:val="20"/>
        </w:rPr>
        <w:t>cooperation</w:t>
      </w:r>
      <w:r>
        <w:rPr>
          <w:spacing w:val="-4"/>
          <w:sz w:val="20"/>
        </w:rPr>
        <w:t> </w:t>
      </w:r>
      <w:r>
        <w:rPr>
          <w:sz w:val="20"/>
        </w:rPr>
        <w:t>of</w:t>
      </w:r>
      <w:r>
        <w:rPr>
          <w:spacing w:val="-8"/>
          <w:sz w:val="20"/>
        </w:rPr>
        <w:t> </w:t>
      </w:r>
      <w:r>
        <w:rPr>
          <w:sz w:val="20"/>
        </w:rPr>
        <w:t>States</w:t>
      </w:r>
      <w:r>
        <w:rPr>
          <w:spacing w:val="-5"/>
          <w:sz w:val="20"/>
        </w:rPr>
        <w:t> </w:t>
      </w:r>
      <w:r>
        <w:rPr>
          <w:sz w:val="20"/>
        </w:rPr>
        <w:t>Parties and</w:t>
      </w:r>
      <w:r>
        <w:rPr>
          <w:spacing w:val="-3"/>
          <w:sz w:val="20"/>
        </w:rPr>
        <w:t> </w:t>
      </w:r>
      <w:r>
        <w:rPr>
          <w:sz w:val="20"/>
        </w:rPr>
        <w:t>use</w:t>
      </w:r>
      <w:r>
        <w:rPr>
          <w:spacing w:val="-6"/>
          <w:sz w:val="20"/>
        </w:rPr>
        <w:t> </w:t>
      </w:r>
      <w:r>
        <w:rPr>
          <w:sz w:val="20"/>
        </w:rPr>
        <w:t>the</w:t>
      </w:r>
      <w:r>
        <w:rPr>
          <w:spacing w:val="-6"/>
          <w:sz w:val="20"/>
        </w:rPr>
        <w:t> </w:t>
      </w:r>
      <w:r>
        <w:rPr>
          <w:sz w:val="20"/>
        </w:rPr>
        <w:t>available</w:t>
      </w:r>
      <w:r>
        <w:rPr>
          <w:spacing w:val="-1"/>
          <w:sz w:val="20"/>
        </w:rPr>
        <w:t> </w:t>
      </w:r>
      <w:r>
        <w:rPr>
          <w:sz w:val="20"/>
        </w:rPr>
        <w:t>resources</w:t>
      </w:r>
      <w:r>
        <w:rPr>
          <w:spacing w:val="-4"/>
          <w:sz w:val="20"/>
        </w:rPr>
        <w:t> </w:t>
      </w:r>
      <w:r>
        <w:rPr>
          <w:sz w:val="20"/>
        </w:rPr>
        <w:t>flexibly</w:t>
      </w:r>
      <w:r>
        <w:rPr>
          <w:spacing w:val="-3"/>
          <w:sz w:val="20"/>
        </w:rPr>
        <w:t> </w:t>
      </w:r>
      <w:r>
        <w:rPr>
          <w:sz w:val="20"/>
        </w:rPr>
        <w:t>and</w:t>
      </w:r>
      <w:r>
        <w:rPr>
          <w:spacing w:val="-3"/>
          <w:sz w:val="20"/>
        </w:rPr>
        <w:t> </w:t>
      </w:r>
      <w:r>
        <w:rPr>
          <w:sz w:val="20"/>
        </w:rPr>
        <w:t>in</w:t>
      </w:r>
      <w:r>
        <w:rPr>
          <w:spacing w:val="-7"/>
          <w:sz w:val="20"/>
        </w:rPr>
        <w:t> </w:t>
      </w:r>
      <w:r>
        <w:rPr>
          <w:sz w:val="20"/>
        </w:rPr>
        <w:t>the</w:t>
      </w:r>
      <w:r>
        <w:rPr>
          <w:spacing w:val="-6"/>
          <w:sz w:val="20"/>
        </w:rPr>
        <w:t> </w:t>
      </w:r>
      <w:r>
        <w:rPr>
          <w:sz w:val="20"/>
        </w:rPr>
        <w:t>most</w:t>
      </w:r>
      <w:r>
        <w:rPr>
          <w:spacing w:val="-6"/>
          <w:sz w:val="20"/>
        </w:rPr>
        <w:t> </w:t>
      </w:r>
      <w:r>
        <w:rPr>
          <w:sz w:val="20"/>
        </w:rPr>
        <w:t>efficient</w:t>
      </w:r>
      <w:r>
        <w:rPr>
          <w:spacing w:val="-1"/>
          <w:sz w:val="20"/>
        </w:rPr>
        <w:t> </w:t>
      </w:r>
      <w:r>
        <w:rPr>
          <w:sz w:val="20"/>
        </w:rPr>
        <w:t>way. In</w:t>
      </w:r>
      <w:r>
        <w:rPr>
          <w:spacing w:val="-7"/>
          <w:sz w:val="20"/>
        </w:rPr>
        <w:t> </w:t>
      </w:r>
      <w:r>
        <w:rPr>
          <w:sz w:val="20"/>
        </w:rPr>
        <w:t>this</w:t>
      </w:r>
      <w:r>
        <w:rPr>
          <w:spacing w:val="-4"/>
          <w:sz w:val="20"/>
        </w:rPr>
        <w:t> </w:t>
      </w:r>
      <w:r>
        <w:rPr>
          <w:sz w:val="20"/>
        </w:rPr>
        <w:t>regard,</w:t>
      </w:r>
      <w:r>
        <w:rPr>
          <w:spacing w:val="-5"/>
          <w:sz w:val="20"/>
        </w:rPr>
        <w:t> </w:t>
      </w:r>
      <w:r>
        <w:rPr>
          <w:sz w:val="20"/>
        </w:rPr>
        <w:t>in</w:t>
      </w:r>
      <w:r>
        <w:rPr>
          <w:spacing w:val="-3"/>
          <w:sz w:val="20"/>
        </w:rPr>
        <w:t> </w:t>
      </w:r>
      <w:r>
        <w:rPr>
          <w:sz w:val="20"/>
        </w:rPr>
        <w:t>2023 work</w:t>
      </w:r>
      <w:r>
        <w:rPr>
          <w:spacing w:val="-5"/>
          <w:sz w:val="20"/>
        </w:rPr>
        <w:t> </w:t>
      </w:r>
      <w:r>
        <w:rPr>
          <w:sz w:val="20"/>
        </w:rPr>
        <w:t>will</w:t>
      </w:r>
      <w:r>
        <w:rPr>
          <w:spacing w:val="-7"/>
          <w:sz w:val="20"/>
        </w:rPr>
        <w:t> </w:t>
      </w:r>
      <w:r>
        <w:rPr>
          <w:sz w:val="20"/>
        </w:rPr>
        <w:t>continue</w:t>
      </w:r>
      <w:r>
        <w:rPr>
          <w:spacing w:val="-7"/>
          <w:sz w:val="20"/>
        </w:rPr>
        <w:t> </w:t>
      </w:r>
      <w:r>
        <w:rPr>
          <w:sz w:val="20"/>
        </w:rPr>
        <w:t>on</w:t>
      </w:r>
      <w:r>
        <w:rPr>
          <w:spacing w:val="-8"/>
          <w:sz w:val="20"/>
        </w:rPr>
        <w:t> </w:t>
      </w:r>
      <w:r>
        <w:rPr>
          <w:sz w:val="20"/>
        </w:rPr>
        <w:t>the</w:t>
      </w:r>
      <w:r>
        <w:rPr>
          <w:spacing w:val="-7"/>
          <w:sz w:val="20"/>
        </w:rPr>
        <w:t> </w:t>
      </w:r>
      <w:r>
        <w:rPr>
          <w:sz w:val="20"/>
        </w:rPr>
        <w:t>assessment</w:t>
      </w:r>
      <w:r>
        <w:rPr>
          <w:spacing w:val="-7"/>
          <w:sz w:val="20"/>
        </w:rPr>
        <w:t> </w:t>
      </w:r>
      <w:r>
        <w:rPr>
          <w:sz w:val="20"/>
        </w:rPr>
        <w:t>and</w:t>
      </w:r>
      <w:r>
        <w:rPr>
          <w:spacing w:val="-8"/>
          <w:sz w:val="20"/>
        </w:rPr>
        <w:t> </w:t>
      </w:r>
      <w:r>
        <w:rPr>
          <w:sz w:val="20"/>
        </w:rPr>
        <w:t>implementation</w:t>
      </w:r>
      <w:r>
        <w:rPr>
          <w:spacing w:val="-8"/>
          <w:sz w:val="20"/>
        </w:rPr>
        <w:t> </w:t>
      </w:r>
      <w:r>
        <w:rPr>
          <w:sz w:val="20"/>
        </w:rPr>
        <w:t>of</w:t>
      </w:r>
      <w:r>
        <w:rPr>
          <w:spacing w:val="-13"/>
          <w:sz w:val="20"/>
        </w:rPr>
        <w:t> </w:t>
      </w:r>
      <w:r>
        <w:rPr>
          <w:sz w:val="20"/>
        </w:rPr>
        <w:t>the</w:t>
      </w:r>
      <w:r>
        <w:rPr>
          <w:spacing w:val="-7"/>
          <w:sz w:val="20"/>
        </w:rPr>
        <w:t> </w:t>
      </w:r>
      <w:r>
        <w:rPr>
          <w:sz w:val="20"/>
        </w:rPr>
        <w:t>Independent</w:t>
      </w:r>
      <w:r>
        <w:rPr>
          <w:spacing w:val="-7"/>
          <w:sz w:val="20"/>
        </w:rPr>
        <w:t> </w:t>
      </w:r>
      <w:r>
        <w:rPr>
          <w:sz w:val="20"/>
        </w:rPr>
        <w:t>Expert</w:t>
      </w:r>
      <w:r>
        <w:rPr>
          <w:spacing w:val="-7"/>
          <w:sz w:val="20"/>
        </w:rPr>
        <w:t> </w:t>
      </w:r>
      <w:r>
        <w:rPr>
          <w:sz w:val="20"/>
        </w:rPr>
        <w:t>Review (IER) on both Court-wide and Judiciary-specific recommendations.</w:t>
      </w:r>
    </w:p>
    <w:p>
      <w:pPr>
        <w:pStyle w:val="ListParagraph"/>
        <w:numPr>
          <w:ilvl w:val="0"/>
          <w:numId w:val="4"/>
        </w:numPr>
        <w:tabs>
          <w:tab w:pos="2967" w:val="left" w:leader="none"/>
        </w:tabs>
        <w:spacing w:line="240" w:lineRule="auto" w:before="120" w:after="0"/>
        <w:ind w:left="2246" w:right="2235" w:firstLine="0"/>
        <w:jc w:val="both"/>
        <w:rPr>
          <w:sz w:val="20"/>
        </w:rPr>
      </w:pPr>
      <w:r>
        <w:rPr>
          <w:sz w:val="20"/>
        </w:rPr>
        <w:t>The</w:t>
      </w:r>
      <w:r>
        <w:rPr>
          <w:spacing w:val="-7"/>
          <w:sz w:val="20"/>
        </w:rPr>
        <w:t> </w:t>
      </w:r>
      <w:r>
        <w:rPr>
          <w:sz w:val="20"/>
        </w:rPr>
        <w:t>budget</w:t>
      </w:r>
      <w:r>
        <w:rPr>
          <w:spacing w:val="-7"/>
          <w:sz w:val="20"/>
        </w:rPr>
        <w:t> </w:t>
      </w:r>
      <w:r>
        <w:rPr>
          <w:sz w:val="20"/>
        </w:rPr>
        <w:t>for</w:t>
      </w:r>
      <w:r>
        <w:rPr>
          <w:spacing w:val="-8"/>
          <w:sz w:val="20"/>
        </w:rPr>
        <w:t> </w:t>
      </w:r>
      <w:r>
        <w:rPr>
          <w:sz w:val="20"/>
        </w:rPr>
        <w:t>Major</w:t>
      </w:r>
      <w:r>
        <w:rPr>
          <w:spacing w:val="-4"/>
          <w:sz w:val="20"/>
        </w:rPr>
        <w:t> </w:t>
      </w:r>
      <w:r>
        <w:rPr>
          <w:sz w:val="20"/>
        </w:rPr>
        <w:t>Programme</w:t>
      </w:r>
      <w:r>
        <w:rPr>
          <w:spacing w:val="-2"/>
          <w:sz w:val="20"/>
        </w:rPr>
        <w:t> </w:t>
      </w:r>
      <w:r>
        <w:rPr>
          <w:sz w:val="20"/>
        </w:rPr>
        <w:t>I</w:t>
      </w:r>
      <w:r>
        <w:rPr>
          <w:spacing w:val="-8"/>
          <w:sz w:val="20"/>
        </w:rPr>
        <w:t> </w:t>
      </w:r>
      <w:r>
        <w:rPr>
          <w:sz w:val="20"/>
        </w:rPr>
        <w:t>is</w:t>
      </w:r>
      <w:r>
        <w:rPr>
          <w:spacing w:val="-10"/>
          <w:sz w:val="20"/>
        </w:rPr>
        <w:t> </w:t>
      </w:r>
      <w:r>
        <w:rPr>
          <w:sz w:val="20"/>
        </w:rPr>
        <w:t>based</w:t>
      </w:r>
      <w:r>
        <w:rPr>
          <w:spacing w:val="-4"/>
          <w:sz w:val="20"/>
        </w:rPr>
        <w:t> </w:t>
      </w:r>
      <w:r>
        <w:rPr>
          <w:sz w:val="20"/>
        </w:rPr>
        <w:t>on</w:t>
      </w:r>
      <w:r>
        <w:rPr>
          <w:spacing w:val="-8"/>
          <w:sz w:val="20"/>
        </w:rPr>
        <w:t> </w:t>
      </w:r>
      <w:r>
        <w:rPr>
          <w:sz w:val="20"/>
        </w:rPr>
        <w:t>the</w:t>
      </w:r>
      <w:r>
        <w:rPr>
          <w:spacing w:val="-7"/>
          <w:sz w:val="20"/>
        </w:rPr>
        <w:t> </w:t>
      </w:r>
      <w:r>
        <w:rPr>
          <w:sz w:val="20"/>
        </w:rPr>
        <w:t>judicial</w:t>
      </w:r>
      <w:r>
        <w:rPr>
          <w:spacing w:val="-2"/>
          <w:sz w:val="20"/>
        </w:rPr>
        <w:t> </w:t>
      </w:r>
      <w:r>
        <w:rPr>
          <w:sz w:val="20"/>
        </w:rPr>
        <w:t>activities</w:t>
      </w:r>
      <w:r>
        <w:rPr>
          <w:spacing w:val="-5"/>
          <w:sz w:val="20"/>
        </w:rPr>
        <w:t> </w:t>
      </w:r>
      <w:r>
        <w:rPr>
          <w:sz w:val="20"/>
        </w:rPr>
        <w:t>required</w:t>
      </w:r>
      <w:r>
        <w:rPr>
          <w:spacing w:val="-8"/>
          <w:sz w:val="20"/>
        </w:rPr>
        <w:t> </w:t>
      </w:r>
      <w:r>
        <w:rPr>
          <w:sz w:val="20"/>
        </w:rPr>
        <w:t>under the Court’s budget assumptions for 2023, which were determined as part of an inter-organ </w:t>
      </w:r>
      <w:r>
        <w:rPr>
          <w:spacing w:val="-2"/>
          <w:sz w:val="20"/>
        </w:rPr>
        <w:t>effort.</w:t>
      </w:r>
    </w:p>
    <w:p>
      <w:pPr>
        <w:pStyle w:val="ListParagraph"/>
        <w:numPr>
          <w:ilvl w:val="0"/>
          <w:numId w:val="4"/>
        </w:numPr>
        <w:tabs>
          <w:tab w:pos="2967" w:val="left" w:leader="none"/>
        </w:tabs>
        <w:spacing w:line="240" w:lineRule="auto" w:before="117" w:after="0"/>
        <w:ind w:left="2246" w:right="2239" w:firstLine="0"/>
        <w:jc w:val="both"/>
        <w:rPr>
          <w:sz w:val="20"/>
        </w:rPr>
      </w:pPr>
      <w:r>
        <w:rPr>
          <w:sz w:val="20"/>
        </w:rPr>
        <w:t>Major Programme I has prepared its budget for 2023 mindful of the consequences of the COVID-19 pandemic and, in particular, its impact on global economies. To demonstrate</w:t>
      </w:r>
      <w:r>
        <w:rPr>
          <w:spacing w:val="-2"/>
          <w:sz w:val="20"/>
        </w:rPr>
        <w:t> </w:t>
      </w:r>
      <w:r>
        <w:rPr>
          <w:sz w:val="20"/>
        </w:rPr>
        <w:t>the sensitivity of</w:t>
      </w:r>
      <w:r>
        <w:rPr>
          <w:spacing w:val="-4"/>
          <w:sz w:val="20"/>
        </w:rPr>
        <w:t> </w:t>
      </w:r>
      <w:r>
        <w:rPr>
          <w:sz w:val="20"/>
        </w:rPr>
        <w:t>Major Programme I</w:t>
      </w:r>
      <w:r>
        <w:rPr>
          <w:spacing w:val="-4"/>
          <w:sz w:val="20"/>
        </w:rPr>
        <w:t> </w:t>
      </w:r>
      <w:r>
        <w:rPr>
          <w:sz w:val="20"/>
        </w:rPr>
        <w:t>to</w:t>
      </w:r>
      <w:r>
        <w:rPr>
          <w:spacing w:val="-4"/>
          <w:sz w:val="20"/>
        </w:rPr>
        <w:t> </w:t>
      </w:r>
      <w:r>
        <w:rPr>
          <w:sz w:val="20"/>
        </w:rPr>
        <w:t>this reality, this budget aims</w:t>
      </w:r>
      <w:r>
        <w:rPr>
          <w:spacing w:val="-5"/>
          <w:sz w:val="20"/>
        </w:rPr>
        <w:t> </w:t>
      </w:r>
      <w:r>
        <w:rPr>
          <w:sz w:val="20"/>
        </w:rPr>
        <w:t>to present only</w:t>
      </w:r>
      <w:r>
        <w:rPr>
          <w:spacing w:val="-13"/>
          <w:sz w:val="20"/>
        </w:rPr>
        <w:t> </w:t>
      </w:r>
      <w:r>
        <w:rPr>
          <w:sz w:val="20"/>
        </w:rPr>
        <w:t>the</w:t>
      </w:r>
      <w:r>
        <w:rPr>
          <w:spacing w:val="-12"/>
          <w:sz w:val="20"/>
        </w:rPr>
        <w:t> </w:t>
      </w:r>
      <w:r>
        <w:rPr>
          <w:sz w:val="20"/>
        </w:rPr>
        <w:t>bare</w:t>
      </w:r>
      <w:r>
        <w:rPr>
          <w:spacing w:val="-13"/>
          <w:sz w:val="20"/>
        </w:rPr>
        <w:t> </w:t>
      </w:r>
      <w:r>
        <w:rPr>
          <w:sz w:val="20"/>
        </w:rPr>
        <w:t>minimum</w:t>
      </w:r>
      <w:r>
        <w:rPr>
          <w:spacing w:val="-12"/>
          <w:sz w:val="20"/>
        </w:rPr>
        <w:t> </w:t>
      </w:r>
      <w:r>
        <w:rPr>
          <w:sz w:val="20"/>
        </w:rPr>
        <w:t>of</w:t>
      </w:r>
      <w:r>
        <w:rPr>
          <w:spacing w:val="-12"/>
          <w:sz w:val="20"/>
        </w:rPr>
        <w:t> </w:t>
      </w:r>
      <w:r>
        <w:rPr>
          <w:sz w:val="20"/>
        </w:rPr>
        <w:t>what</w:t>
      </w:r>
      <w:r>
        <w:rPr>
          <w:spacing w:val="-12"/>
          <w:sz w:val="20"/>
        </w:rPr>
        <w:t> </w:t>
      </w:r>
      <w:r>
        <w:rPr>
          <w:sz w:val="20"/>
        </w:rPr>
        <w:t>is</w:t>
      </w:r>
      <w:r>
        <w:rPr>
          <w:spacing w:val="-13"/>
          <w:sz w:val="20"/>
        </w:rPr>
        <w:t> </w:t>
      </w:r>
      <w:r>
        <w:rPr>
          <w:sz w:val="20"/>
        </w:rPr>
        <w:t>needed,</w:t>
      </w:r>
      <w:r>
        <w:rPr>
          <w:spacing w:val="-11"/>
          <w:sz w:val="20"/>
        </w:rPr>
        <w:t> </w:t>
      </w:r>
      <w:r>
        <w:rPr>
          <w:sz w:val="20"/>
        </w:rPr>
        <w:t>implementing</w:t>
      </w:r>
      <w:r>
        <w:rPr>
          <w:spacing w:val="-13"/>
          <w:sz w:val="20"/>
        </w:rPr>
        <w:t> </w:t>
      </w:r>
      <w:r>
        <w:rPr>
          <w:sz w:val="20"/>
        </w:rPr>
        <w:t>all</w:t>
      </w:r>
      <w:r>
        <w:rPr>
          <w:spacing w:val="-12"/>
          <w:sz w:val="20"/>
        </w:rPr>
        <w:t> </w:t>
      </w:r>
      <w:r>
        <w:rPr>
          <w:sz w:val="20"/>
        </w:rPr>
        <w:t>possible</w:t>
      </w:r>
      <w:r>
        <w:rPr>
          <w:spacing w:val="-12"/>
          <w:sz w:val="20"/>
        </w:rPr>
        <w:t> </w:t>
      </w:r>
      <w:r>
        <w:rPr>
          <w:sz w:val="20"/>
        </w:rPr>
        <w:t>savings</w:t>
      </w:r>
      <w:r>
        <w:rPr>
          <w:spacing w:val="-13"/>
          <w:sz w:val="20"/>
        </w:rPr>
        <w:t> </w:t>
      </w:r>
      <w:r>
        <w:rPr>
          <w:sz w:val="20"/>
        </w:rPr>
        <w:t>and</w:t>
      </w:r>
      <w:r>
        <w:rPr>
          <w:spacing w:val="-12"/>
          <w:sz w:val="20"/>
        </w:rPr>
        <w:t> </w:t>
      </w:r>
      <w:r>
        <w:rPr>
          <w:sz w:val="20"/>
        </w:rPr>
        <w:t>efficiencies, resulting</w:t>
      </w:r>
      <w:r>
        <w:rPr>
          <w:spacing w:val="-13"/>
          <w:sz w:val="20"/>
        </w:rPr>
        <w:t> </w:t>
      </w:r>
      <w:r>
        <w:rPr>
          <w:sz w:val="20"/>
        </w:rPr>
        <w:t>in</w:t>
      </w:r>
      <w:r>
        <w:rPr>
          <w:spacing w:val="-12"/>
          <w:sz w:val="20"/>
        </w:rPr>
        <w:t> </w:t>
      </w:r>
      <w:r>
        <w:rPr>
          <w:sz w:val="20"/>
        </w:rPr>
        <w:t>an</w:t>
      </w:r>
      <w:r>
        <w:rPr>
          <w:spacing w:val="-13"/>
          <w:sz w:val="20"/>
        </w:rPr>
        <w:t> </w:t>
      </w:r>
      <w:r>
        <w:rPr>
          <w:sz w:val="20"/>
        </w:rPr>
        <w:t>increase</w:t>
      </w:r>
      <w:r>
        <w:rPr>
          <w:spacing w:val="-12"/>
          <w:sz w:val="20"/>
        </w:rPr>
        <w:t> </w:t>
      </w:r>
      <w:r>
        <w:rPr>
          <w:sz w:val="20"/>
        </w:rPr>
        <w:t>of</w:t>
      </w:r>
      <w:r>
        <w:rPr>
          <w:spacing w:val="-13"/>
          <w:sz w:val="20"/>
        </w:rPr>
        <w:t> </w:t>
      </w:r>
      <w:r>
        <w:rPr>
          <w:sz w:val="20"/>
        </w:rPr>
        <w:t>€1,614.4</w:t>
      </w:r>
      <w:r>
        <w:rPr>
          <w:spacing w:val="-12"/>
          <w:sz w:val="20"/>
        </w:rPr>
        <w:t> </w:t>
      </w:r>
      <w:r>
        <w:rPr>
          <w:sz w:val="20"/>
        </w:rPr>
        <w:t>thousand</w:t>
      </w:r>
      <w:r>
        <w:rPr>
          <w:spacing w:val="-13"/>
          <w:sz w:val="20"/>
        </w:rPr>
        <w:t> </w:t>
      </w:r>
      <w:r>
        <w:rPr>
          <w:sz w:val="20"/>
        </w:rPr>
        <w:t>as</w:t>
      </w:r>
      <w:r>
        <w:rPr>
          <w:spacing w:val="-12"/>
          <w:sz w:val="20"/>
        </w:rPr>
        <w:t> </w:t>
      </w:r>
      <w:r>
        <w:rPr>
          <w:sz w:val="20"/>
        </w:rPr>
        <w:t>compared</w:t>
      </w:r>
      <w:r>
        <w:rPr>
          <w:spacing w:val="-13"/>
          <w:sz w:val="20"/>
        </w:rPr>
        <w:t> </w:t>
      </w:r>
      <w:r>
        <w:rPr>
          <w:sz w:val="20"/>
        </w:rPr>
        <w:t>with</w:t>
      </w:r>
      <w:r>
        <w:rPr>
          <w:spacing w:val="-10"/>
          <w:sz w:val="20"/>
        </w:rPr>
        <w:t> </w:t>
      </w:r>
      <w:r>
        <w:rPr>
          <w:sz w:val="20"/>
        </w:rPr>
        <w:t>the</w:t>
      </w:r>
      <w:r>
        <w:rPr>
          <w:spacing w:val="-11"/>
          <w:sz w:val="20"/>
        </w:rPr>
        <w:t> </w:t>
      </w:r>
      <w:r>
        <w:rPr>
          <w:sz w:val="20"/>
        </w:rPr>
        <w:t>approved</w:t>
      </w:r>
      <w:r>
        <w:rPr>
          <w:spacing w:val="-13"/>
          <w:sz w:val="20"/>
        </w:rPr>
        <w:t> </w:t>
      </w:r>
      <w:r>
        <w:rPr>
          <w:sz w:val="20"/>
        </w:rPr>
        <w:t>budget</w:t>
      </w:r>
      <w:r>
        <w:rPr>
          <w:spacing w:val="-11"/>
          <w:sz w:val="20"/>
        </w:rPr>
        <w:t> </w:t>
      </w:r>
      <w:r>
        <w:rPr>
          <w:sz w:val="20"/>
        </w:rPr>
        <w:t>for</w:t>
      </w:r>
      <w:r>
        <w:rPr>
          <w:spacing w:val="-13"/>
          <w:sz w:val="20"/>
        </w:rPr>
        <w:t> </w:t>
      </w:r>
      <w:r>
        <w:rPr>
          <w:sz w:val="20"/>
        </w:rPr>
        <w:t>2022. It is important to recall in this regard, and in line with the Court’s budget practices, that the priorities and assumptions on which this proposal is built reflect what can reasonably be anticipated for 2023 at the time of writing of this document. In the light of the usual challenges presented by the uncertainty of judicial proceedings, the resources that will actually</w:t>
      </w:r>
      <w:r>
        <w:rPr>
          <w:spacing w:val="-3"/>
          <w:sz w:val="20"/>
        </w:rPr>
        <w:t> </w:t>
      </w:r>
      <w:r>
        <w:rPr>
          <w:sz w:val="20"/>
        </w:rPr>
        <w:t>be</w:t>
      </w:r>
      <w:r>
        <w:rPr>
          <w:spacing w:val="-1"/>
          <w:sz w:val="20"/>
        </w:rPr>
        <w:t> </w:t>
      </w:r>
      <w:r>
        <w:rPr>
          <w:sz w:val="20"/>
        </w:rPr>
        <w:t>required</w:t>
      </w:r>
      <w:r>
        <w:rPr>
          <w:spacing w:val="-3"/>
          <w:sz w:val="20"/>
        </w:rPr>
        <w:t> </w:t>
      </w:r>
      <w:r>
        <w:rPr>
          <w:sz w:val="20"/>
        </w:rPr>
        <w:t>may</w:t>
      </w:r>
      <w:r>
        <w:rPr>
          <w:spacing w:val="-3"/>
          <w:sz w:val="20"/>
        </w:rPr>
        <w:t> </w:t>
      </w:r>
      <w:r>
        <w:rPr>
          <w:sz w:val="20"/>
        </w:rPr>
        <w:t>subsequently</w:t>
      </w:r>
      <w:r>
        <w:rPr>
          <w:spacing w:val="-3"/>
          <w:sz w:val="20"/>
        </w:rPr>
        <w:t> </w:t>
      </w:r>
      <w:r>
        <w:rPr>
          <w:sz w:val="20"/>
        </w:rPr>
        <w:t>be</w:t>
      </w:r>
      <w:r>
        <w:rPr>
          <w:spacing w:val="-1"/>
          <w:sz w:val="20"/>
        </w:rPr>
        <w:t> </w:t>
      </w:r>
      <w:r>
        <w:rPr>
          <w:sz w:val="20"/>
        </w:rPr>
        <w:t>affected</w:t>
      </w:r>
      <w:r>
        <w:rPr>
          <w:spacing w:val="-3"/>
          <w:sz w:val="20"/>
        </w:rPr>
        <w:t> </w:t>
      </w:r>
      <w:r>
        <w:rPr>
          <w:sz w:val="20"/>
        </w:rPr>
        <w:t>by</w:t>
      </w:r>
      <w:r>
        <w:rPr>
          <w:spacing w:val="-7"/>
          <w:sz w:val="20"/>
        </w:rPr>
        <w:t> </w:t>
      </w:r>
      <w:r>
        <w:rPr>
          <w:sz w:val="20"/>
        </w:rPr>
        <w:t>the</w:t>
      </w:r>
      <w:r>
        <w:rPr>
          <w:spacing w:val="-1"/>
          <w:sz w:val="20"/>
        </w:rPr>
        <w:t> </w:t>
      </w:r>
      <w:r>
        <w:rPr>
          <w:sz w:val="20"/>
        </w:rPr>
        <w:t>realities</w:t>
      </w:r>
      <w:r>
        <w:rPr>
          <w:spacing w:val="-4"/>
          <w:sz w:val="20"/>
        </w:rPr>
        <w:t> </w:t>
      </w:r>
      <w:r>
        <w:rPr>
          <w:sz w:val="20"/>
        </w:rPr>
        <w:t>of</w:t>
      </w:r>
      <w:r>
        <w:rPr>
          <w:spacing w:val="-3"/>
          <w:sz w:val="20"/>
        </w:rPr>
        <w:t> </w:t>
      </w:r>
      <w:r>
        <w:rPr>
          <w:sz w:val="20"/>
        </w:rPr>
        <w:t>the</w:t>
      </w:r>
      <w:r>
        <w:rPr>
          <w:spacing w:val="-1"/>
          <w:sz w:val="20"/>
        </w:rPr>
        <w:t> </w:t>
      </w:r>
      <w:r>
        <w:rPr>
          <w:sz w:val="20"/>
        </w:rPr>
        <w:t>Court’s</w:t>
      </w:r>
      <w:r>
        <w:rPr>
          <w:spacing w:val="-4"/>
          <w:sz w:val="20"/>
        </w:rPr>
        <w:t> </w:t>
      </w:r>
      <w:r>
        <w:rPr>
          <w:sz w:val="20"/>
        </w:rPr>
        <w:t>judicial</w:t>
      </w:r>
      <w:r>
        <w:rPr>
          <w:spacing w:val="-6"/>
          <w:sz w:val="20"/>
        </w:rPr>
        <w:t> </w:t>
      </w:r>
      <w:r>
        <w:rPr>
          <w:sz w:val="20"/>
        </w:rPr>
        <w:t>and prosecutorial work. Accordingly, given OTP’s increased number of investigative activities in 2022-23, it is likely that the Pre-Trial Division may be seized of a higher number of </w:t>
      </w:r>
      <w:r>
        <w:rPr>
          <w:spacing w:val="-2"/>
          <w:sz w:val="20"/>
        </w:rPr>
        <w:t>requests.</w:t>
      </w:r>
    </w:p>
    <w:p>
      <w:pPr>
        <w:pStyle w:val="ListParagraph"/>
        <w:numPr>
          <w:ilvl w:val="0"/>
          <w:numId w:val="4"/>
        </w:numPr>
        <w:tabs>
          <w:tab w:pos="2967" w:val="left" w:leader="none"/>
        </w:tabs>
        <w:spacing w:line="240" w:lineRule="auto" w:before="121" w:after="0"/>
        <w:ind w:left="2246" w:right="2242" w:firstLine="0"/>
        <w:jc w:val="both"/>
        <w:rPr>
          <w:sz w:val="20"/>
        </w:rPr>
      </w:pPr>
      <w:r>
        <w:rPr>
          <w:sz w:val="20"/>
        </w:rPr>
        <w:t>The need for the Presidency and the Chambers to discharge their respective mandates</w:t>
      </w:r>
      <w:r>
        <w:rPr>
          <w:spacing w:val="-10"/>
          <w:sz w:val="20"/>
        </w:rPr>
        <w:t> </w:t>
      </w:r>
      <w:r>
        <w:rPr>
          <w:sz w:val="20"/>
        </w:rPr>
        <w:t>in</w:t>
      </w:r>
      <w:r>
        <w:rPr>
          <w:spacing w:val="-4"/>
          <w:sz w:val="20"/>
        </w:rPr>
        <w:t> </w:t>
      </w:r>
      <w:r>
        <w:rPr>
          <w:sz w:val="20"/>
        </w:rPr>
        <w:t>full</w:t>
      </w:r>
      <w:r>
        <w:rPr>
          <w:spacing w:val="-7"/>
          <w:sz w:val="20"/>
        </w:rPr>
        <w:t> </w:t>
      </w:r>
      <w:r>
        <w:rPr>
          <w:sz w:val="20"/>
        </w:rPr>
        <w:t>is</w:t>
      </w:r>
      <w:r>
        <w:rPr>
          <w:spacing w:val="-10"/>
          <w:sz w:val="20"/>
        </w:rPr>
        <w:t> </w:t>
      </w:r>
      <w:r>
        <w:rPr>
          <w:sz w:val="20"/>
        </w:rPr>
        <w:t>paramount;</w:t>
      </w:r>
      <w:r>
        <w:rPr>
          <w:spacing w:val="-7"/>
          <w:sz w:val="20"/>
        </w:rPr>
        <w:t> </w:t>
      </w:r>
      <w:r>
        <w:rPr>
          <w:sz w:val="20"/>
        </w:rPr>
        <w:t>therefore</w:t>
      </w:r>
      <w:r>
        <w:rPr>
          <w:spacing w:val="-7"/>
          <w:sz w:val="20"/>
        </w:rPr>
        <w:t> </w:t>
      </w:r>
      <w:r>
        <w:rPr>
          <w:sz w:val="20"/>
        </w:rPr>
        <w:t>the</w:t>
      </w:r>
      <w:r>
        <w:rPr>
          <w:spacing w:val="-2"/>
          <w:sz w:val="20"/>
        </w:rPr>
        <w:t> </w:t>
      </w:r>
      <w:r>
        <w:rPr>
          <w:sz w:val="20"/>
        </w:rPr>
        <w:t>resources</w:t>
      </w:r>
      <w:r>
        <w:rPr>
          <w:spacing w:val="-5"/>
          <w:sz w:val="20"/>
        </w:rPr>
        <w:t> </w:t>
      </w:r>
      <w:r>
        <w:rPr>
          <w:sz w:val="20"/>
        </w:rPr>
        <w:t>requested</w:t>
      </w:r>
      <w:r>
        <w:rPr>
          <w:spacing w:val="-8"/>
          <w:sz w:val="20"/>
        </w:rPr>
        <w:t> </w:t>
      </w:r>
      <w:r>
        <w:rPr>
          <w:sz w:val="20"/>
        </w:rPr>
        <w:t>are</w:t>
      </w:r>
      <w:r>
        <w:rPr>
          <w:spacing w:val="-7"/>
          <w:sz w:val="20"/>
        </w:rPr>
        <w:t> </w:t>
      </w:r>
      <w:r>
        <w:rPr>
          <w:sz w:val="20"/>
        </w:rPr>
        <w:t>crucial</w:t>
      </w:r>
      <w:r>
        <w:rPr>
          <w:spacing w:val="-7"/>
          <w:sz w:val="20"/>
        </w:rPr>
        <w:t> </w:t>
      </w:r>
      <w:r>
        <w:rPr>
          <w:sz w:val="20"/>
        </w:rPr>
        <w:t>to</w:t>
      </w:r>
      <w:r>
        <w:rPr>
          <w:spacing w:val="-8"/>
          <w:sz w:val="20"/>
        </w:rPr>
        <w:t> </w:t>
      </w:r>
      <w:r>
        <w:rPr>
          <w:sz w:val="20"/>
        </w:rPr>
        <w:t>ensure</w:t>
      </w:r>
      <w:r>
        <w:rPr>
          <w:spacing w:val="-7"/>
          <w:sz w:val="20"/>
        </w:rPr>
        <w:t> </w:t>
      </w:r>
      <w:r>
        <w:rPr>
          <w:sz w:val="20"/>
        </w:rPr>
        <w:t>that</w:t>
      </w:r>
      <w:r>
        <w:rPr>
          <w:spacing w:val="-7"/>
          <w:sz w:val="20"/>
        </w:rPr>
        <w:t> </w:t>
      </w:r>
      <w:r>
        <w:rPr>
          <w:sz w:val="20"/>
        </w:rPr>
        <w:t>the essential operations of the</w:t>
      </w:r>
      <w:r>
        <w:rPr>
          <w:spacing w:val="-2"/>
          <w:sz w:val="20"/>
        </w:rPr>
        <w:t> </w:t>
      </w:r>
      <w:r>
        <w:rPr>
          <w:sz w:val="20"/>
        </w:rPr>
        <w:t>Judiciary, including the conduct of fair and expeditious pre-trial, trial and appeal proceedings before the Chambers, proceed without unnecessary delay in accordance with the Rome Statute.</w:t>
      </w:r>
    </w:p>
    <w:p>
      <w:pPr>
        <w:spacing w:after="0" w:line="240" w:lineRule="auto"/>
        <w:jc w:val="both"/>
        <w:rPr>
          <w:sz w:val="20"/>
        </w:rPr>
        <w:sectPr>
          <w:pgSz w:w="11910" w:h="16840"/>
          <w:pgMar w:header="953" w:footer="940" w:top="1140" w:bottom="1140" w:left="20" w:right="20"/>
        </w:sectPr>
      </w:pPr>
    </w:p>
    <w:p>
      <w:pPr>
        <w:spacing w:before="120"/>
        <w:ind w:left="2246" w:right="0" w:firstLine="0"/>
        <w:jc w:val="left"/>
        <w:rPr>
          <w:b/>
          <w:sz w:val="20"/>
        </w:rPr>
      </w:pPr>
      <w:r>
        <w:rPr>
          <w:b/>
          <w:sz w:val="20"/>
        </w:rPr>
        <w:t>Table</w:t>
      </w:r>
      <w:r>
        <w:rPr>
          <w:b/>
          <w:spacing w:val="-6"/>
          <w:sz w:val="20"/>
        </w:rPr>
        <w:t> </w:t>
      </w:r>
      <w:r>
        <w:rPr>
          <w:b/>
          <w:sz w:val="20"/>
        </w:rPr>
        <w:t>5:</w:t>
      </w:r>
      <w:r>
        <w:rPr>
          <w:b/>
          <w:spacing w:val="-7"/>
          <w:sz w:val="20"/>
        </w:rPr>
        <w:t> </w:t>
      </w:r>
      <w:r>
        <w:rPr>
          <w:b/>
          <w:sz w:val="20"/>
        </w:rPr>
        <w:t>Major</w:t>
      </w:r>
      <w:r>
        <w:rPr>
          <w:b/>
          <w:spacing w:val="-6"/>
          <w:sz w:val="20"/>
        </w:rPr>
        <w:t> </w:t>
      </w:r>
      <w:r>
        <w:rPr>
          <w:b/>
          <w:sz w:val="20"/>
        </w:rPr>
        <w:t>Programme</w:t>
      </w:r>
      <w:r>
        <w:rPr>
          <w:b/>
          <w:spacing w:val="-5"/>
          <w:sz w:val="20"/>
        </w:rPr>
        <w:t> </w:t>
      </w:r>
      <w:r>
        <w:rPr>
          <w:b/>
          <w:sz w:val="20"/>
        </w:rPr>
        <w:t>I:</w:t>
      </w:r>
      <w:r>
        <w:rPr>
          <w:b/>
          <w:spacing w:val="-7"/>
          <w:sz w:val="20"/>
        </w:rPr>
        <w:t> </w:t>
      </w:r>
      <w:r>
        <w:rPr>
          <w:b/>
          <w:sz w:val="20"/>
        </w:rPr>
        <w:t>Proposed</w:t>
      </w:r>
      <w:r>
        <w:rPr>
          <w:b/>
          <w:spacing w:val="-4"/>
          <w:sz w:val="20"/>
        </w:rPr>
        <w:t> </w:t>
      </w:r>
      <w:r>
        <w:rPr>
          <w:b/>
          <w:sz w:val="20"/>
        </w:rPr>
        <w:t>budget</w:t>
      </w:r>
      <w:r>
        <w:rPr>
          <w:b/>
          <w:spacing w:val="-7"/>
          <w:sz w:val="20"/>
        </w:rPr>
        <w:t> </w:t>
      </w:r>
      <w:r>
        <w:rPr>
          <w:b/>
          <w:sz w:val="20"/>
        </w:rPr>
        <w:t>for</w:t>
      </w:r>
      <w:r>
        <w:rPr>
          <w:b/>
          <w:spacing w:val="-5"/>
          <w:sz w:val="20"/>
        </w:rPr>
        <w:t> </w:t>
      </w:r>
      <w:r>
        <w:rPr>
          <w:b/>
          <w:spacing w:val="-4"/>
          <w:sz w:val="20"/>
        </w:rPr>
        <w:t>2023</w:t>
      </w:r>
    </w:p>
    <w:tbl>
      <w:tblPr>
        <w:tblW w:w="0" w:type="auto"/>
        <w:jc w:val="left"/>
        <w:tblInd w:w="1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75"/>
        <w:gridCol w:w="1211"/>
        <w:gridCol w:w="827"/>
        <w:gridCol w:w="1131"/>
        <w:gridCol w:w="1079"/>
        <w:gridCol w:w="1171"/>
        <w:gridCol w:w="701"/>
        <w:gridCol w:w="1054"/>
      </w:tblGrid>
      <w:tr>
        <w:trPr>
          <w:trHeight w:val="310" w:hRule="atLeast"/>
        </w:trPr>
        <w:tc>
          <w:tcPr>
            <w:tcW w:w="5644" w:type="dxa"/>
            <w:gridSpan w:val="4"/>
            <w:tcBorders>
              <w:top w:val="single" w:sz="4" w:space="0" w:color="000000"/>
            </w:tcBorders>
          </w:tcPr>
          <w:p>
            <w:pPr>
              <w:pStyle w:val="TableParagraph"/>
              <w:tabs>
                <w:tab w:pos="2782" w:val="left" w:leader="none"/>
                <w:tab w:pos="5644" w:val="left" w:leader="none"/>
              </w:tabs>
              <w:spacing w:line="180" w:lineRule="exact" w:before="110"/>
              <w:ind w:left="2475" w:right="-15"/>
              <w:jc w:val="left"/>
              <w:rPr>
                <w:sz w:val="16"/>
              </w:rPr>
            </w:pPr>
            <w:r>
              <w:rPr>
                <w:sz w:val="16"/>
                <w:u w:val="single"/>
              </w:rPr>
              <w:tab/>
              <w:t>2021</w:t>
            </w:r>
            <w:r>
              <w:rPr>
                <w:spacing w:val="-3"/>
                <w:sz w:val="16"/>
                <w:u w:val="single"/>
              </w:rPr>
              <w:t> </w:t>
            </w:r>
            <w:r>
              <w:rPr>
                <w:sz w:val="16"/>
                <w:u w:val="single"/>
              </w:rPr>
              <w:t>Expenditures</w:t>
            </w:r>
            <w:r>
              <w:rPr>
                <w:spacing w:val="-4"/>
                <w:sz w:val="16"/>
                <w:u w:val="single"/>
              </w:rPr>
              <w:t> </w:t>
            </w:r>
            <w:r>
              <w:rPr>
                <w:sz w:val="16"/>
                <w:u w:val="single"/>
              </w:rPr>
              <w:t>(thousands</w:t>
            </w:r>
            <w:r>
              <w:rPr>
                <w:spacing w:val="-4"/>
                <w:sz w:val="16"/>
                <w:u w:val="single"/>
              </w:rPr>
              <w:t> </w:t>
            </w:r>
            <w:r>
              <w:rPr>
                <w:sz w:val="16"/>
                <w:u w:val="single"/>
              </w:rPr>
              <w:t>of</w:t>
            </w:r>
            <w:r>
              <w:rPr>
                <w:spacing w:val="-4"/>
                <w:sz w:val="16"/>
                <w:u w:val="single"/>
              </w:rPr>
              <w:t> </w:t>
            </w:r>
            <w:r>
              <w:rPr>
                <w:spacing w:val="-2"/>
                <w:sz w:val="16"/>
                <w:u w:val="single"/>
              </w:rPr>
              <w:t>euros)</w:t>
            </w:r>
            <w:r>
              <w:rPr>
                <w:sz w:val="16"/>
                <w:u w:val="single"/>
              </w:rPr>
              <w:tab/>
            </w:r>
          </w:p>
        </w:tc>
        <w:tc>
          <w:tcPr>
            <w:tcW w:w="1079" w:type="dxa"/>
            <w:vMerge w:val="restart"/>
            <w:tcBorders>
              <w:top w:val="single" w:sz="4" w:space="0" w:color="000000"/>
              <w:bottom w:val="single" w:sz="12" w:space="0" w:color="000000"/>
            </w:tcBorders>
          </w:tcPr>
          <w:p>
            <w:pPr>
              <w:pStyle w:val="TableParagraph"/>
              <w:spacing w:line="183" w:lineRule="exact" w:before="139"/>
              <w:ind w:left="228" w:right="183"/>
              <w:jc w:val="center"/>
              <w:rPr>
                <w:sz w:val="16"/>
              </w:rPr>
            </w:pPr>
            <w:r>
              <w:rPr>
                <w:spacing w:val="-4"/>
                <w:sz w:val="16"/>
              </w:rPr>
              <w:t>2022</w:t>
            </w:r>
          </w:p>
          <w:p>
            <w:pPr>
              <w:pStyle w:val="TableParagraph"/>
              <w:spacing w:line="183" w:lineRule="exact"/>
              <w:ind w:left="225" w:right="183"/>
              <w:jc w:val="center"/>
              <w:rPr>
                <w:sz w:val="16"/>
              </w:rPr>
            </w:pPr>
            <w:r>
              <w:rPr>
                <w:spacing w:val="-2"/>
                <w:sz w:val="16"/>
              </w:rPr>
              <w:t>Approved</w:t>
            </w:r>
          </w:p>
          <w:p>
            <w:pPr>
              <w:pStyle w:val="TableParagraph"/>
              <w:spacing w:line="172" w:lineRule="exact" w:before="3"/>
              <w:ind w:left="228" w:right="178"/>
              <w:jc w:val="center"/>
              <w:rPr>
                <w:sz w:val="16"/>
              </w:rPr>
            </w:pPr>
            <w:r>
              <w:rPr>
                <w:spacing w:val="-2"/>
                <w:sz w:val="16"/>
              </w:rPr>
              <w:t>Budget</w:t>
            </w:r>
          </w:p>
        </w:tc>
        <w:tc>
          <w:tcPr>
            <w:tcW w:w="1872" w:type="dxa"/>
            <w:gridSpan w:val="2"/>
            <w:tcBorders>
              <w:top w:val="single" w:sz="4" w:space="0" w:color="000000"/>
            </w:tcBorders>
          </w:tcPr>
          <w:p>
            <w:pPr>
              <w:pStyle w:val="TableParagraph"/>
              <w:tabs>
                <w:tab w:pos="328" w:val="left" w:leader="none"/>
                <w:tab w:pos="1797" w:val="left" w:leader="none"/>
              </w:tabs>
              <w:spacing w:line="180" w:lineRule="exact" w:before="110"/>
              <w:ind w:left="55"/>
              <w:jc w:val="left"/>
              <w:rPr>
                <w:sz w:val="16"/>
              </w:rPr>
            </w:pPr>
            <w:r>
              <w:rPr>
                <w:sz w:val="16"/>
                <w:u w:val="single"/>
              </w:rPr>
              <w:tab/>
              <w:t>Resource</w:t>
            </w:r>
            <w:r>
              <w:rPr>
                <w:spacing w:val="-2"/>
                <w:sz w:val="16"/>
                <w:u w:val="single"/>
              </w:rPr>
              <w:t> Changes</w:t>
            </w:r>
            <w:r>
              <w:rPr>
                <w:sz w:val="16"/>
                <w:u w:val="single"/>
              </w:rPr>
              <w:tab/>
            </w:r>
          </w:p>
        </w:tc>
        <w:tc>
          <w:tcPr>
            <w:tcW w:w="1054" w:type="dxa"/>
            <w:tcBorders>
              <w:top w:val="single" w:sz="4" w:space="0" w:color="000000"/>
            </w:tcBorders>
          </w:tcPr>
          <w:p>
            <w:pPr>
              <w:pStyle w:val="TableParagraph"/>
              <w:jc w:val="left"/>
              <w:rPr>
                <w:sz w:val="14"/>
              </w:rPr>
            </w:pPr>
          </w:p>
        </w:tc>
      </w:tr>
      <w:tr>
        <w:trPr>
          <w:trHeight w:val="359" w:hRule="atLeast"/>
        </w:trPr>
        <w:tc>
          <w:tcPr>
            <w:tcW w:w="2475" w:type="dxa"/>
            <w:tcBorders>
              <w:bottom w:val="single" w:sz="12" w:space="0" w:color="000000"/>
            </w:tcBorders>
          </w:tcPr>
          <w:p>
            <w:pPr>
              <w:pStyle w:val="TableParagraph"/>
              <w:spacing w:line="165" w:lineRule="exact"/>
              <w:ind w:left="117"/>
              <w:jc w:val="left"/>
              <w:rPr>
                <w:b/>
                <w:sz w:val="16"/>
              </w:rPr>
            </w:pPr>
            <w:r>
              <w:rPr>
                <w:b/>
                <w:sz w:val="16"/>
              </w:rPr>
              <w:t>Major</w:t>
            </w:r>
            <w:r>
              <w:rPr>
                <w:b/>
                <w:spacing w:val="-3"/>
                <w:sz w:val="16"/>
              </w:rPr>
              <w:t> </w:t>
            </w:r>
            <w:r>
              <w:rPr>
                <w:b/>
                <w:sz w:val="16"/>
              </w:rPr>
              <w:t>Programme</w:t>
            </w:r>
            <w:r>
              <w:rPr>
                <w:b/>
                <w:spacing w:val="-3"/>
                <w:sz w:val="16"/>
              </w:rPr>
              <w:t> </w:t>
            </w:r>
            <w:r>
              <w:rPr>
                <w:b/>
                <w:spacing w:val="-10"/>
                <w:sz w:val="16"/>
              </w:rPr>
              <w:t>I</w:t>
            </w:r>
          </w:p>
          <w:p>
            <w:pPr>
              <w:pStyle w:val="TableParagraph"/>
              <w:spacing w:line="172" w:lineRule="exact" w:before="3"/>
              <w:ind w:left="117"/>
              <w:jc w:val="left"/>
              <w:rPr>
                <w:b/>
                <w:sz w:val="16"/>
              </w:rPr>
            </w:pPr>
            <w:r>
              <w:rPr>
                <w:b/>
                <w:spacing w:val="-2"/>
                <w:sz w:val="16"/>
              </w:rPr>
              <w:t>Judiciary</w:t>
            </w:r>
          </w:p>
        </w:tc>
        <w:tc>
          <w:tcPr>
            <w:tcW w:w="1211" w:type="dxa"/>
            <w:tcBorders>
              <w:bottom w:val="single" w:sz="12" w:space="0" w:color="000000"/>
            </w:tcBorders>
          </w:tcPr>
          <w:p>
            <w:pPr>
              <w:pStyle w:val="TableParagraph"/>
              <w:spacing w:before="7"/>
              <w:jc w:val="left"/>
              <w:rPr>
                <w:b/>
                <w:sz w:val="14"/>
              </w:rPr>
            </w:pPr>
          </w:p>
          <w:p>
            <w:pPr>
              <w:pStyle w:val="TableParagraph"/>
              <w:spacing w:line="172" w:lineRule="exact"/>
              <w:ind w:left="393"/>
              <w:jc w:val="left"/>
              <w:rPr>
                <w:sz w:val="16"/>
              </w:rPr>
            </w:pPr>
            <w:r>
              <w:rPr>
                <w:spacing w:val="-2"/>
                <w:sz w:val="16"/>
              </w:rPr>
              <w:t>Total</w:t>
            </w:r>
          </w:p>
        </w:tc>
        <w:tc>
          <w:tcPr>
            <w:tcW w:w="827" w:type="dxa"/>
            <w:tcBorders>
              <w:bottom w:val="single" w:sz="12" w:space="0" w:color="000000"/>
            </w:tcBorders>
          </w:tcPr>
          <w:p>
            <w:pPr>
              <w:pStyle w:val="TableParagraph"/>
              <w:spacing w:line="165" w:lineRule="exact"/>
              <w:ind w:left="191"/>
              <w:jc w:val="left"/>
              <w:rPr>
                <w:sz w:val="16"/>
              </w:rPr>
            </w:pPr>
            <w:r>
              <w:rPr>
                <w:spacing w:val="-2"/>
                <w:sz w:val="16"/>
              </w:rPr>
              <w:t>Cont.</w:t>
            </w:r>
          </w:p>
          <w:p>
            <w:pPr>
              <w:pStyle w:val="TableParagraph"/>
              <w:spacing w:line="172" w:lineRule="exact" w:before="3"/>
              <w:ind w:left="201"/>
              <w:jc w:val="left"/>
              <w:rPr>
                <w:sz w:val="16"/>
              </w:rPr>
            </w:pPr>
            <w:r>
              <w:rPr>
                <w:spacing w:val="-4"/>
                <w:sz w:val="16"/>
              </w:rPr>
              <w:t>Fund</w:t>
            </w:r>
          </w:p>
        </w:tc>
        <w:tc>
          <w:tcPr>
            <w:tcW w:w="1131" w:type="dxa"/>
            <w:tcBorders>
              <w:bottom w:val="single" w:sz="12" w:space="0" w:color="000000"/>
            </w:tcBorders>
          </w:tcPr>
          <w:p>
            <w:pPr>
              <w:pStyle w:val="TableParagraph"/>
              <w:spacing w:before="7"/>
              <w:jc w:val="left"/>
              <w:rPr>
                <w:b/>
                <w:sz w:val="14"/>
              </w:rPr>
            </w:pPr>
          </w:p>
          <w:p>
            <w:pPr>
              <w:pStyle w:val="TableParagraph"/>
              <w:spacing w:line="172" w:lineRule="exact"/>
              <w:ind w:right="116"/>
              <w:rPr>
                <w:sz w:val="16"/>
              </w:rPr>
            </w:pPr>
            <w:r>
              <w:rPr>
                <w:sz w:val="16"/>
              </w:rPr>
              <w:t>Total</w:t>
            </w:r>
            <w:r>
              <w:rPr>
                <w:spacing w:val="-7"/>
                <w:sz w:val="16"/>
              </w:rPr>
              <w:t> </w:t>
            </w:r>
            <w:r>
              <w:rPr>
                <w:sz w:val="16"/>
              </w:rPr>
              <w:t>Incl.</w:t>
            </w:r>
            <w:r>
              <w:rPr>
                <w:spacing w:val="-6"/>
                <w:sz w:val="16"/>
              </w:rPr>
              <w:t> </w:t>
            </w:r>
            <w:r>
              <w:rPr>
                <w:spacing w:val="-5"/>
                <w:sz w:val="16"/>
              </w:rPr>
              <w:t>CF</w:t>
            </w:r>
          </w:p>
        </w:tc>
        <w:tc>
          <w:tcPr>
            <w:tcW w:w="1079" w:type="dxa"/>
            <w:vMerge/>
            <w:tcBorders>
              <w:top w:val="nil"/>
              <w:bottom w:val="single" w:sz="12" w:space="0" w:color="000000"/>
            </w:tcBorders>
          </w:tcPr>
          <w:p>
            <w:pPr>
              <w:rPr>
                <w:sz w:val="2"/>
                <w:szCs w:val="2"/>
              </w:rPr>
            </w:pPr>
          </w:p>
        </w:tc>
        <w:tc>
          <w:tcPr>
            <w:tcW w:w="1171" w:type="dxa"/>
            <w:tcBorders>
              <w:bottom w:val="single" w:sz="12" w:space="0" w:color="000000"/>
            </w:tcBorders>
          </w:tcPr>
          <w:p>
            <w:pPr>
              <w:pStyle w:val="TableParagraph"/>
              <w:spacing w:before="7"/>
              <w:jc w:val="left"/>
              <w:rPr>
                <w:b/>
                <w:sz w:val="14"/>
              </w:rPr>
            </w:pPr>
          </w:p>
          <w:p>
            <w:pPr>
              <w:pStyle w:val="TableParagraph"/>
              <w:spacing w:line="172" w:lineRule="exact"/>
              <w:ind w:right="235"/>
              <w:rPr>
                <w:sz w:val="16"/>
              </w:rPr>
            </w:pPr>
            <w:r>
              <w:rPr>
                <w:spacing w:val="-2"/>
                <w:sz w:val="16"/>
              </w:rPr>
              <w:t>Amount</w:t>
            </w:r>
          </w:p>
        </w:tc>
        <w:tc>
          <w:tcPr>
            <w:tcW w:w="701" w:type="dxa"/>
            <w:tcBorders>
              <w:bottom w:val="single" w:sz="12" w:space="0" w:color="000000"/>
            </w:tcBorders>
          </w:tcPr>
          <w:p>
            <w:pPr>
              <w:pStyle w:val="TableParagraph"/>
              <w:spacing w:before="7"/>
              <w:jc w:val="left"/>
              <w:rPr>
                <w:b/>
                <w:sz w:val="14"/>
              </w:rPr>
            </w:pPr>
          </w:p>
          <w:p>
            <w:pPr>
              <w:pStyle w:val="TableParagraph"/>
              <w:spacing w:line="172" w:lineRule="exact"/>
              <w:ind w:right="184"/>
              <w:rPr>
                <w:sz w:val="16"/>
              </w:rPr>
            </w:pPr>
            <w:r>
              <w:rPr>
                <w:w w:val="98"/>
                <w:sz w:val="16"/>
              </w:rPr>
              <w:t>%</w:t>
            </w:r>
          </w:p>
        </w:tc>
        <w:tc>
          <w:tcPr>
            <w:tcW w:w="1054" w:type="dxa"/>
            <w:tcBorders>
              <w:bottom w:val="single" w:sz="12" w:space="0" w:color="000000"/>
            </w:tcBorders>
          </w:tcPr>
          <w:p>
            <w:pPr>
              <w:pStyle w:val="TableParagraph"/>
              <w:spacing w:line="165" w:lineRule="exact"/>
              <w:ind w:left="54" w:right="139"/>
              <w:jc w:val="center"/>
              <w:rPr>
                <w:sz w:val="16"/>
              </w:rPr>
            </w:pPr>
            <w:r>
              <w:rPr>
                <w:spacing w:val="-2"/>
                <w:sz w:val="16"/>
              </w:rPr>
              <w:t>Proposed</w:t>
            </w:r>
          </w:p>
          <w:p>
            <w:pPr>
              <w:pStyle w:val="TableParagraph"/>
              <w:spacing w:line="172" w:lineRule="exact" w:before="3"/>
              <w:ind w:left="61" w:right="138"/>
              <w:jc w:val="center"/>
              <w:rPr>
                <w:sz w:val="16"/>
              </w:rPr>
            </w:pPr>
            <w:r>
              <w:rPr>
                <w:sz w:val="16"/>
              </w:rPr>
              <w:t>2023</w:t>
            </w:r>
            <w:r>
              <w:rPr>
                <w:spacing w:val="2"/>
                <w:sz w:val="16"/>
              </w:rPr>
              <w:t> </w:t>
            </w:r>
            <w:r>
              <w:rPr>
                <w:spacing w:val="-2"/>
                <w:sz w:val="16"/>
              </w:rPr>
              <w:t>Budget</w:t>
            </w:r>
          </w:p>
        </w:tc>
      </w:tr>
      <w:tr>
        <w:trPr>
          <w:trHeight w:val="224" w:hRule="atLeast"/>
        </w:trPr>
        <w:tc>
          <w:tcPr>
            <w:tcW w:w="2475" w:type="dxa"/>
            <w:tcBorders>
              <w:top w:val="single" w:sz="12" w:space="0" w:color="000000"/>
              <w:bottom w:val="single" w:sz="4" w:space="0" w:color="000000"/>
            </w:tcBorders>
          </w:tcPr>
          <w:p>
            <w:pPr>
              <w:pStyle w:val="TableParagraph"/>
              <w:spacing w:before="13"/>
              <w:ind w:left="117"/>
              <w:jc w:val="left"/>
              <w:rPr>
                <w:i/>
                <w:sz w:val="16"/>
              </w:rPr>
            </w:pPr>
            <w:r>
              <w:rPr>
                <w:i/>
                <w:spacing w:val="-2"/>
                <w:sz w:val="16"/>
              </w:rPr>
              <w:t>Judges</w:t>
            </w:r>
          </w:p>
        </w:tc>
        <w:tc>
          <w:tcPr>
            <w:tcW w:w="1211" w:type="dxa"/>
            <w:tcBorders>
              <w:top w:val="single" w:sz="12" w:space="0" w:color="000000"/>
              <w:bottom w:val="single" w:sz="4" w:space="0" w:color="000000"/>
            </w:tcBorders>
          </w:tcPr>
          <w:p>
            <w:pPr>
              <w:pStyle w:val="TableParagraph"/>
              <w:spacing w:before="13"/>
              <w:ind w:right="188"/>
              <w:rPr>
                <w:i/>
                <w:sz w:val="16"/>
              </w:rPr>
            </w:pPr>
            <w:r>
              <w:rPr>
                <w:i/>
                <w:spacing w:val="-2"/>
                <w:sz w:val="16"/>
              </w:rPr>
              <w:t>3,988.6</w:t>
            </w:r>
          </w:p>
        </w:tc>
        <w:tc>
          <w:tcPr>
            <w:tcW w:w="827" w:type="dxa"/>
            <w:tcBorders>
              <w:top w:val="single" w:sz="12" w:space="0" w:color="000000"/>
              <w:bottom w:val="single" w:sz="4" w:space="0" w:color="000000"/>
            </w:tcBorders>
          </w:tcPr>
          <w:p>
            <w:pPr>
              <w:pStyle w:val="TableParagraph"/>
              <w:spacing w:before="13"/>
              <w:ind w:right="109"/>
              <w:rPr>
                <w:i/>
                <w:sz w:val="16"/>
              </w:rPr>
            </w:pPr>
            <w:r>
              <w:rPr>
                <w:i/>
                <w:w w:val="98"/>
                <w:sz w:val="16"/>
              </w:rPr>
              <w:t>-</w:t>
            </w:r>
          </w:p>
        </w:tc>
        <w:tc>
          <w:tcPr>
            <w:tcW w:w="1131" w:type="dxa"/>
            <w:tcBorders>
              <w:top w:val="single" w:sz="12" w:space="0" w:color="000000"/>
              <w:bottom w:val="single" w:sz="4" w:space="0" w:color="000000"/>
            </w:tcBorders>
          </w:tcPr>
          <w:p>
            <w:pPr>
              <w:pStyle w:val="TableParagraph"/>
              <w:spacing w:before="13"/>
              <w:ind w:right="101"/>
              <w:rPr>
                <w:i/>
                <w:sz w:val="16"/>
              </w:rPr>
            </w:pPr>
            <w:r>
              <w:rPr>
                <w:i/>
                <w:spacing w:val="-2"/>
                <w:sz w:val="16"/>
              </w:rPr>
              <w:t>3,988.6</w:t>
            </w:r>
          </w:p>
        </w:tc>
        <w:tc>
          <w:tcPr>
            <w:tcW w:w="1079" w:type="dxa"/>
            <w:tcBorders>
              <w:top w:val="single" w:sz="12" w:space="0" w:color="000000"/>
              <w:bottom w:val="single" w:sz="4" w:space="0" w:color="000000"/>
            </w:tcBorders>
          </w:tcPr>
          <w:p>
            <w:pPr>
              <w:pStyle w:val="TableParagraph"/>
              <w:spacing w:before="13"/>
              <w:ind w:right="52"/>
              <w:rPr>
                <w:i/>
                <w:sz w:val="16"/>
              </w:rPr>
            </w:pPr>
            <w:r>
              <w:rPr>
                <w:i/>
                <w:spacing w:val="-2"/>
                <w:sz w:val="16"/>
              </w:rPr>
              <w:t>5,076.1</w:t>
            </w:r>
          </w:p>
        </w:tc>
        <w:tc>
          <w:tcPr>
            <w:tcW w:w="1171" w:type="dxa"/>
            <w:tcBorders>
              <w:top w:val="single" w:sz="12" w:space="0" w:color="000000"/>
              <w:bottom w:val="single" w:sz="4" w:space="0" w:color="000000"/>
            </w:tcBorders>
          </w:tcPr>
          <w:p>
            <w:pPr>
              <w:pStyle w:val="TableParagraph"/>
              <w:spacing w:before="13"/>
              <w:ind w:right="238"/>
              <w:rPr>
                <w:i/>
                <w:sz w:val="16"/>
              </w:rPr>
            </w:pPr>
            <w:r>
              <w:rPr>
                <w:i/>
                <w:spacing w:val="-2"/>
                <w:sz w:val="16"/>
              </w:rPr>
              <w:t>163.1</w:t>
            </w:r>
          </w:p>
        </w:tc>
        <w:tc>
          <w:tcPr>
            <w:tcW w:w="701" w:type="dxa"/>
            <w:tcBorders>
              <w:top w:val="single" w:sz="12" w:space="0" w:color="000000"/>
              <w:bottom w:val="single" w:sz="4" w:space="0" w:color="000000"/>
            </w:tcBorders>
          </w:tcPr>
          <w:p>
            <w:pPr>
              <w:pStyle w:val="TableParagraph"/>
              <w:spacing w:before="13"/>
              <w:ind w:right="185"/>
              <w:rPr>
                <w:i/>
                <w:sz w:val="16"/>
              </w:rPr>
            </w:pPr>
            <w:r>
              <w:rPr>
                <w:i/>
                <w:spacing w:val="-5"/>
                <w:sz w:val="16"/>
              </w:rPr>
              <w:t>3.2</w:t>
            </w:r>
          </w:p>
        </w:tc>
        <w:tc>
          <w:tcPr>
            <w:tcW w:w="1054" w:type="dxa"/>
            <w:tcBorders>
              <w:top w:val="single" w:sz="12" w:space="0" w:color="000000"/>
              <w:bottom w:val="single" w:sz="4" w:space="0" w:color="000000"/>
            </w:tcBorders>
          </w:tcPr>
          <w:p>
            <w:pPr>
              <w:pStyle w:val="TableParagraph"/>
              <w:spacing w:before="13"/>
              <w:ind w:right="106"/>
              <w:rPr>
                <w:i/>
                <w:sz w:val="16"/>
              </w:rPr>
            </w:pPr>
            <w:r>
              <w:rPr>
                <w:i/>
                <w:spacing w:val="-2"/>
                <w:sz w:val="16"/>
              </w:rPr>
              <w:t>5,239.2</w:t>
            </w:r>
          </w:p>
        </w:tc>
      </w:tr>
      <w:tr>
        <w:trPr>
          <w:trHeight w:val="232" w:hRule="atLeast"/>
        </w:trPr>
        <w:tc>
          <w:tcPr>
            <w:tcW w:w="2475" w:type="dxa"/>
            <w:tcBorders>
              <w:top w:val="single" w:sz="4" w:space="0" w:color="000000"/>
            </w:tcBorders>
          </w:tcPr>
          <w:p>
            <w:pPr>
              <w:pStyle w:val="TableParagraph"/>
              <w:spacing w:before="14"/>
              <w:ind w:left="117"/>
              <w:jc w:val="left"/>
              <w:rPr>
                <w:sz w:val="16"/>
              </w:rPr>
            </w:pPr>
            <w:r>
              <w:rPr>
                <w:w w:val="95"/>
                <w:sz w:val="16"/>
              </w:rPr>
              <w:t>Professional</w:t>
            </w:r>
            <w:r>
              <w:rPr>
                <w:spacing w:val="28"/>
                <w:sz w:val="16"/>
              </w:rPr>
              <w:t> </w:t>
            </w:r>
            <w:r>
              <w:rPr>
                <w:spacing w:val="-2"/>
                <w:sz w:val="16"/>
              </w:rPr>
              <w:t>staff</w:t>
            </w:r>
          </w:p>
        </w:tc>
        <w:tc>
          <w:tcPr>
            <w:tcW w:w="1211" w:type="dxa"/>
            <w:tcBorders>
              <w:top w:val="single" w:sz="4" w:space="0" w:color="000000"/>
            </w:tcBorders>
            <w:shd w:val="clear" w:color="auto" w:fill="D9D9D9"/>
          </w:tcPr>
          <w:p>
            <w:pPr>
              <w:pStyle w:val="TableParagraph"/>
              <w:jc w:val="left"/>
              <w:rPr>
                <w:sz w:val="14"/>
              </w:rPr>
            </w:pPr>
          </w:p>
        </w:tc>
        <w:tc>
          <w:tcPr>
            <w:tcW w:w="827" w:type="dxa"/>
            <w:tcBorders>
              <w:top w:val="single" w:sz="4" w:space="0" w:color="000000"/>
            </w:tcBorders>
            <w:shd w:val="clear" w:color="auto" w:fill="D9D9D9"/>
          </w:tcPr>
          <w:p>
            <w:pPr>
              <w:pStyle w:val="TableParagraph"/>
              <w:jc w:val="left"/>
              <w:rPr>
                <w:sz w:val="14"/>
              </w:rPr>
            </w:pPr>
          </w:p>
        </w:tc>
        <w:tc>
          <w:tcPr>
            <w:tcW w:w="1131" w:type="dxa"/>
            <w:tcBorders>
              <w:top w:val="single" w:sz="4" w:space="0" w:color="000000"/>
            </w:tcBorders>
            <w:shd w:val="clear" w:color="auto" w:fill="D9D9D9"/>
          </w:tcPr>
          <w:p>
            <w:pPr>
              <w:pStyle w:val="TableParagraph"/>
              <w:jc w:val="left"/>
              <w:rPr>
                <w:sz w:val="14"/>
              </w:rPr>
            </w:pPr>
          </w:p>
        </w:tc>
        <w:tc>
          <w:tcPr>
            <w:tcW w:w="1079" w:type="dxa"/>
            <w:tcBorders>
              <w:top w:val="single" w:sz="4" w:space="0" w:color="000000"/>
            </w:tcBorders>
          </w:tcPr>
          <w:p>
            <w:pPr>
              <w:pStyle w:val="TableParagraph"/>
              <w:spacing w:before="14"/>
              <w:ind w:right="52"/>
              <w:rPr>
                <w:sz w:val="16"/>
              </w:rPr>
            </w:pPr>
            <w:r>
              <w:rPr>
                <w:spacing w:val="-2"/>
                <w:sz w:val="16"/>
              </w:rPr>
              <w:t>4,831.2</w:t>
            </w:r>
          </w:p>
        </w:tc>
        <w:tc>
          <w:tcPr>
            <w:tcW w:w="1171" w:type="dxa"/>
            <w:tcBorders>
              <w:top w:val="single" w:sz="4" w:space="0" w:color="000000"/>
            </w:tcBorders>
          </w:tcPr>
          <w:p>
            <w:pPr>
              <w:pStyle w:val="TableParagraph"/>
              <w:spacing w:before="14"/>
              <w:ind w:right="238"/>
              <w:rPr>
                <w:sz w:val="16"/>
              </w:rPr>
            </w:pPr>
            <w:r>
              <w:rPr>
                <w:spacing w:val="-2"/>
                <w:sz w:val="16"/>
              </w:rPr>
              <w:t>154.5</w:t>
            </w:r>
          </w:p>
        </w:tc>
        <w:tc>
          <w:tcPr>
            <w:tcW w:w="701" w:type="dxa"/>
            <w:tcBorders>
              <w:top w:val="single" w:sz="4" w:space="0" w:color="000000"/>
            </w:tcBorders>
          </w:tcPr>
          <w:p>
            <w:pPr>
              <w:pStyle w:val="TableParagraph"/>
              <w:spacing w:before="14"/>
              <w:ind w:right="185"/>
              <w:rPr>
                <w:sz w:val="16"/>
              </w:rPr>
            </w:pPr>
            <w:r>
              <w:rPr>
                <w:spacing w:val="-5"/>
                <w:sz w:val="16"/>
              </w:rPr>
              <w:t>3.2</w:t>
            </w:r>
          </w:p>
        </w:tc>
        <w:tc>
          <w:tcPr>
            <w:tcW w:w="1054" w:type="dxa"/>
            <w:tcBorders>
              <w:top w:val="single" w:sz="4" w:space="0" w:color="000000"/>
            </w:tcBorders>
          </w:tcPr>
          <w:p>
            <w:pPr>
              <w:pStyle w:val="TableParagraph"/>
              <w:spacing w:before="14"/>
              <w:ind w:right="106"/>
              <w:rPr>
                <w:sz w:val="16"/>
              </w:rPr>
            </w:pPr>
            <w:r>
              <w:rPr>
                <w:spacing w:val="-2"/>
                <w:sz w:val="16"/>
              </w:rPr>
              <w:t>4,985.7</w:t>
            </w:r>
          </w:p>
        </w:tc>
      </w:tr>
      <w:tr>
        <w:trPr>
          <w:trHeight w:val="223" w:hRule="atLeast"/>
        </w:trPr>
        <w:tc>
          <w:tcPr>
            <w:tcW w:w="2475" w:type="dxa"/>
            <w:tcBorders>
              <w:bottom w:val="single" w:sz="4" w:space="0" w:color="000000"/>
            </w:tcBorders>
          </w:tcPr>
          <w:p>
            <w:pPr>
              <w:pStyle w:val="TableParagraph"/>
              <w:spacing w:before="7"/>
              <w:ind w:left="117"/>
              <w:jc w:val="left"/>
              <w:rPr>
                <w:sz w:val="16"/>
              </w:rPr>
            </w:pPr>
            <w:r>
              <w:rPr>
                <w:sz w:val="16"/>
              </w:rPr>
              <w:t>General</w:t>
            </w:r>
            <w:r>
              <w:rPr>
                <w:spacing w:val="-6"/>
                <w:sz w:val="16"/>
              </w:rPr>
              <w:t> </w:t>
            </w:r>
            <w:r>
              <w:rPr>
                <w:sz w:val="16"/>
              </w:rPr>
              <w:t>Service</w:t>
            </w:r>
            <w:r>
              <w:rPr>
                <w:spacing w:val="-4"/>
                <w:sz w:val="16"/>
              </w:rPr>
              <w:t> staff</w:t>
            </w:r>
          </w:p>
        </w:tc>
        <w:tc>
          <w:tcPr>
            <w:tcW w:w="1211" w:type="dxa"/>
            <w:tcBorders>
              <w:bottom w:val="single" w:sz="4" w:space="0" w:color="000000"/>
            </w:tcBorders>
            <w:shd w:val="clear" w:color="auto" w:fill="D9D9D9"/>
          </w:tcPr>
          <w:p>
            <w:pPr>
              <w:pStyle w:val="TableParagraph"/>
              <w:jc w:val="left"/>
              <w:rPr>
                <w:sz w:val="14"/>
              </w:rPr>
            </w:pPr>
          </w:p>
        </w:tc>
        <w:tc>
          <w:tcPr>
            <w:tcW w:w="827" w:type="dxa"/>
            <w:tcBorders>
              <w:bottom w:val="single" w:sz="4" w:space="0" w:color="000000"/>
            </w:tcBorders>
            <w:shd w:val="clear" w:color="auto" w:fill="D9D9D9"/>
          </w:tcPr>
          <w:p>
            <w:pPr>
              <w:pStyle w:val="TableParagraph"/>
              <w:jc w:val="left"/>
              <w:rPr>
                <w:sz w:val="14"/>
              </w:rPr>
            </w:pPr>
          </w:p>
        </w:tc>
        <w:tc>
          <w:tcPr>
            <w:tcW w:w="1131" w:type="dxa"/>
            <w:tcBorders>
              <w:bottom w:val="single" w:sz="4" w:space="0" w:color="000000"/>
            </w:tcBorders>
            <w:shd w:val="clear" w:color="auto" w:fill="D9D9D9"/>
          </w:tcPr>
          <w:p>
            <w:pPr>
              <w:pStyle w:val="TableParagraph"/>
              <w:jc w:val="left"/>
              <w:rPr>
                <w:sz w:val="14"/>
              </w:rPr>
            </w:pPr>
          </w:p>
        </w:tc>
        <w:tc>
          <w:tcPr>
            <w:tcW w:w="1079" w:type="dxa"/>
            <w:tcBorders>
              <w:bottom w:val="single" w:sz="4" w:space="0" w:color="000000"/>
            </w:tcBorders>
          </w:tcPr>
          <w:p>
            <w:pPr>
              <w:pStyle w:val="TableParagraph"/>
              <w:spacing w:before="7"/>
              <w:ind w:right="52"/>
              <w:rPr>
                <w:sz w:val="16"/>
              </w:rPr>
            </w:pPr>
            <w:r>
              <w:rPr>
                <w:spacing w:val="-2"/>
                <w:sz w:val="16"/>
              </w:rPr>
              <w:t>901.0</w:t>
            </w:r>
          </w:p>
        </w:tc>
        <w:tc>
          <w:tcPr>
            <w:tcW w:w="1171" w:type="dxa"/>
            <w:tcBorders>
              <w:bottom w:val="single" w:sz="4" w:space="0" w:color="000000"/>
            </w:tcBorders>
          </w:tcPr>
          <w:p>
            <w:pPr>
              <w:pStyle w:val="TableParagraph"/>
              <w:spacing w:before="7"/>
              <w:ind w:right="238"/>
              <w:rPr>
                <w:sz w:val="16"/>
              </w:rPr>
            </w:pPr>
            <w:r>
              <w:rPr>
                <w:spacing w:val="-4"/>
                <w:sz w:val="16"/>
              </w:rPr>
              <w:t>19.6</w:t>
            </w:r>
          </w:p>
        </w:tc>
        <w:tc>
          <w:tcPr>
            <w:tcW w:w="701" w:type="dxa"/>
            <w:tcBorders>
              <w:bottom w:val="single" w:sz="4" w:space="0" w:color="000000"/>
            </w:tcBorders>
          </w:tcPr>
          <w:p>
            <w:pPr>
              <w:pStyle w:val="TableParagraph"/>
              <w:spacing w:before="7"/>
              <w:ind w:right="185"/>
              <w:rPr>
                <w:sz w:val="16"/>
              </w:rPr>
            </w:pPr>
            <w:r>
              <w:rPr>
                <w:spacing w:val="-5"/>
                <w:sz w:val="16"/>
              </w:rPr>
              <w:t>2.2</w:t>
            </w:r>
          </w:p>
        </w:tc>
        <w:tc>
          <w:tcPr>
            <w:tcW w:w="1054" w:type="dxa"/>
            <w:tcBorders>
              <w:bottom w:val="single" w:sz="4" w:space="0" w:color="000000"/>
            </w:tcBorders>
          </w:tcPr>
          <w:p>
            <w:pPr>
              <w:pStyle w:val="TableParagraph"/>
              <w:spacing w:before="7"/>
              <w:ind w:right="106"/>
              <w:rPr>
                <w:sz w:val="16"/>
              </w:rPr>
            </w:pPr>
            <w:r>
              <w:rPr>
                <w:spacing w:val="-2"/>
                <w:sz w:val="16"/>
              </w:rPr>
              <w:t>920.6</w:t>
            </w:r>
          </w:p>
        </w:tc>
      </w:tr>
      <w:tr>
        <w:trPr>
          <w:trHeight w:val="225" w:hRule="atLeast"/>
        </w:trPr>
        <w:tc>
          <w:tcPr>
            <w:tcW w:w="2475" w:type="dxa"/>
            <w:tcBorders>
              <w:top w:val="single" w:sz="4" w:space="0" w:color="000000"/>
              <w:bottom w:val="single" w:sz="4" w:space="0" w:color="000000"/>
            </w:tcBorders>
          </w:tcPr>
          <w:p>
            <w:pPr>
              <w:pStyle w:val="TableParagraph"/>
              <w:spacing w:before="14"/>
              <w:ind w:right="104"/>
              <w:rPr>
                <w:i/>
                <w:sz w:val="16"/>
              </w:rPr>
            </w:pPr>
            <w:r>
              <w:rPr>
                <w:i/>
                <w:sz w:val="16"/>
              </w:rPr>
              <w:t>Subtotal</w:t>
            </w:r>
            <w:r>
              <w:rPr>
                <w:i/>
                <w:spacing w:val="-1"/>
                <w:sz w:val="16"/>
              </w:rPr>
              <w:t> </w:t>
            </w:r>
            <w:r>
              <w:rPr>
                <w:i/>
                <w:spacing w:val="-2"/>
                <w:sz w:val="16"/>
              </w:rPr>
              <w:t>staff</w:t>
            </w:r>
          </w:p>
        </w:tc>
        <w:tc>
          <w:tcPr>
            <w:tcW w:w="1211" w:type="dxa"/>
            <w:tcBorders>
              <w:top w:val="single" w:sz="4" w:space="0" w:color="000000"/>
              <w:bottom w:val="single" w:sz="4" w:space="0" w:color="000000"/>
            </w:tcBorders>
          </w:tcPr>
          <w:p>
            <w:pPr>
              <w:pStyle w:val="TableParagraph"/>
              <w:spacing w:before="14"/>
              <w:ind w:right="188"/>
              <w:rPr>
                <w:i/>
                <w:sz w:val="16"/>
              </w:rPr>
            </w:pPr>
            <w:r>
              <w:rPr>
                <w:i/>
                <w:spacing w:val="-2"/>
                <w:sz w:val="16"/>
              </w:rPr>
              <w:t>5,423.5</w:t>
            </w:r>
          </w:p>
        </w:tc>
        <w:tc>
          <w:tcPr>
            <w:tcW w:w="827" w:type="dxa"/>
            <w:tcBorders>
              <w:top w:val="single" w:sz="4" w:space="0" w:color="000000"/>
              <w:bottom w:val="single" w:sz="4" w:space="0" w:color="000000"/>
            </w:tcBorders>
          </w:tcPr>
          <w:p>
            <w:pPr>
              <w:pStyle w:val="TableParagraph"/>
              <w:spacing w:before="14"/>
              <w:ind w:right="109"/>
              <w:rPr>
                <w:i/>
                <w:sz w:val="16"/>
              </w:rPr>
            </w:pPr>
            <w:r>
              <w:rPr>
                <w:i/>
                <w:w w:val="98"/>
                <w:sz w:val="16"/>
              </w:rPr>
              <w:t>-</w:t>
            </w:r>
          </w:p>
        </w:tc>
        <w:tc>
          <w:tcPr>
            <w:tcW w:w="1131" w:type="dxa"/>
            <w:tcBorders>
              <w:top w:val="single" w:sz="4" w:space="0" w:color="000000"/>
              <w:bottom w:val="single" w:sz="4" w:space="0" w:color="000000"/>
            </w:tcBorders>
          </w:tcPr>
          <w:p>
            <w:pPr>
              <w:pStyle w:val="TableParagraph"/>
              <w:spacing w:before="14"/>
              <w:ind w:right="101"/>
              <w:rPr>
                <w:i/>
                <w:sz w:val="16"/>
              </w:rPr>
            </w:pPr>
            <w:r>
              <w:rPr>
                <w:i/>
                <w:spacing w:val="-2"/>
                <w:sz w:val="16"/>
              </w:rPr>
              <w:t>5,423.5</w:t>
            </w:r>
          </w:p>
        </w:tc>
        <w:tc>
          <w:tcPr>
            <w:tcW w:w="1079" w:type="dxa"/>
            <w:tcBorders>
              <w:top w:val="single" w:sz="4" w:space="0" w:color="000000"/>
              <w:bottom w:val="single" w:sz="4" w:space="0" w:color="000000"/>
            </w:tcBorders>
          </w:tcPr>
          <w:p>
            <w:pPr>
              <w:pStyle w:val="TableParagraph"/>
              <w:spacing w:before="14"/>
              <w:ind w:right="52"/>
              <w:rPr>
                <w:i/>
                <w:sz w:val="16"/>
              </w:rPr>
            </w:pPr>
            <w:r>
              <w:rPr>
                <w:i/>
                <w:spacing w:val="-2"/>
                <w:sz w:val="16"/>
              </w:rPr>
              <w:t>5,732.2</w:t>
            </w:r>
          </w:p>
        </w:tc>
        <w:tc>
          <w:tcPr>
            <w:tcW w:w="1171" w:type="dxa"/>
            <w:tcBorders>
              <w:top w:val="single" w:sz="4" w:space="0" w:color="000000"/>
              <w:bottom w:val="single" w:sz="4" w:space="0" w:color="000000"/>
            </w:tcBorders>
          </w:tcPr>
          <w:p>
            <w:pPr>
              <w:pStyle w:val="TableParagraph"/>
              <w:spacing w:before="14"/>
              <w:ind w:right="238"/>
              <w:rPr>
                <w:i/>
                <w:sz w:val="16"/>
              </w:rPr>
            </w:pPr>
            <w:r>
              <w:rPr>
                <w:i/>
                <w:spacing w:val="-2"/>
                <w:sz w:val="16"/>
              </w:rPr>
              <w:t>174.1</w:t>
            </w:r>
          </w:p>
        </w:tc>
        <w:tc>
          <w:tcPr>
            <w:tcW w:w="701" w:type="dxa"/>
            <w:tcBorders>
              <w:top w:val="single" w:sz="4" w:space="0" w:color="000000"/>
              <w:bottom w:val="single" w:sz="4" w:space="0" w:color="000000"/>
            </w:tcBorders>
          </w:tcPr>
          <w:p>
            <w:pPr>
              <w:pStyle w:val="TableParagraph"/>
              <w:spacing w:before="14"/>
              <w:ind w:right="185"/>
              <w:rPr>
                <w:i/>
                <w:sz w:val="16"/>
              </w:rPr>
            </w:pPr>
            <w:r>
              <w:rPr>
                <w:i/>
                <w:spacing w:val="-5"/>
                <w:sz w:val="16"/>
              </w:rPr>
              <w:t>3.0</w:t>
            </w:r>
          </w:p>
        </w:tc>
        <w:tc>
          <w:tcPr>
            <w:tcW w:w="1054" w:type="dxa"/>
            <w:tcBorders>
              <w:top w:val="single" w:sz="4" w:space="0" w:color="000000"/>
              <w:bottom w:val="single" w:sz="4" w:space="0" w:color="000000"/>
            </w:tcBorders>
          </w:tcPr>
          <w:p>
            <w:pPr>
              <w:pStyle w:val="TableParagraph"/>
              <w:spacing w:before="14"/>
              <w:ind w:right="106"/>
              <w:rPr>
                <w:i/>
                <w:sz w:val="16"/>
              </w:rPr>
            </w:pPr>
            <w:r>
              <w:rPr>
                <w:i/>
                <w:spacing w:val="-2"/>
                <w:sz w:val="16"/>
              </w:rPr>
              <w:t>5,906.3</w:t>
            </w:r>
          </w:p>
        </w:tc>
      </w:tr>
      <w:tr>
        <w:trPr>
          <w:trHeight w:val="231" w:hRule="atLeast"/>
        </w:trPr>
        <w:tc>
          <w:tcPr>
            <w:tcW w:w="2475" w:type="dxa"/>
            <w:tcBorders>
              <w:top w:val="single" w:sz="4" w:space="0" w:color="000000"/>
            </w:tcBorders>
          </w:tcPr>
          <w:p>
            <w:pPr>
              <w:pStyle w:val="TableParagraph"/>
              <w:spacing w:before="14"/>
              <w:ind w:left="117"/>
              <w:jc w:val="left"/>
              <w:rPr>
                <w:sz w:val="16"/>
              </w:rPr>
            </w:pPr>
            <w:r>
              <w:rPr>
                <w:sz w:val="16"/>
              </w:rPr>
              <w:t>General</w:t>
            </w:r>
            <w:r>
              <w:rPr>
                <w:spacing w:val="-4"/>
                <w:sz w:val="16"/>
              </w:rPr>
              <w:t> </w:t>
            </w:r>
            <w:r>
              <w:rPr>
                <w:sz w:val="16"/>
              </w:rPr>
              <w:t>temporary</w:t>
            </w:r>
            <w:r>
              <w:rPr>
                <w:spacing w:val="-1"/>
                <w:sz w:val="16"/>
              </w:rPr>
              <w:t> </w:t>
            </w:r>
            <w:r>
              <w:rPr>
                <w:spacing w:val="-2"/>
                <w:sz w:val="16"/>
              </w:rPr>
              <w:t>assistance</w:t>
            </w:r>
          </w:p>
        </w:tc>
        <w:tc>
          <w:tcPr>
            <w:tcW w:w="1211" w:type="dxa"/>
            <w:tcBorders>
              <w:top w:val="single" w:sz="4" w:space="0" w:color="000000"/>
            </w:tcBorders>
          </w:tcPr>
          <w:p>
            <w:pPr>
              <w:pStyle w:val="TableParagraph"/>
              <w:spacing w:before="14"/>
              <w:ind w:right="188"/>
              <w:rPr>
                <w:sz w:val="16"/>
              </w:rPr>
            </w:pPr>
            <w:r>
              <w:rPr>
                <w:spacing w:val="-2"/>
                <w:sz w:val="16"/>
              </w:rPr>
              <w:t>1,566.5</w:t>
            </w:r>
          </w:p>
        </w:tc>
        <w:tc>
          <w:tcPr>
            <w:tcW w:w="827" w:type="dxa"/>
            <w:tcBorders>
              <w:top w:val="single" w:sz="4" w:space="0" w:color="000000"/>
            </w:tcBorders>
          </w:tcPr>
          <w:p>
            <w:pPr>
              <w:pStyle w:val="TableParagraph"/>
              <w:spacing w:before="14"/>
              <w:ind w:right="109"/>
              <w:rPr>
                <w:sz w:val="16"/>
              </w:rPr>
            </w:pPr>
            <w:r>
              <w:rPr>
                <w:w w:val="98"/>
                <w:sz w:val="16"/>
              </w:rPr>
              <w:t>-</w:t>
            </w:r>
          </w:p>
        </w:tc>
        <w:tc>
          <w:tcPr>
            <w:tcW w:w="1131" w:type="dxa"/>
            <w:tcBorders>
              <w:top w:val="single" w:sz="4" w:space="0" w:color="000000"/>
            </w:tcBorders>
          </w:tcPr>
          <w:p>
            <w:pPr>
              <w:pStyle w:val="TableParagraph"/>
              <w:spacing w:before="14"/>
              <w:ind w:right="101"/>
              <w:rPr>
                <w:sz w:val="16"/>
              </w:rPr>
            </w:pPr>
            <w:r>
              <w:rPr>
                <w:spacing w:val="-2"/>
                <w:sz w:val="16"/>
              </w:rPr>
              <w:t>1,566.5</w:t>
            </w:r>
          </w:p>
        </w:tc>
        <w:tc>
          <w:tcPr>
            <w:tcW w:w="1079" w:type="dxa"/>
            <w:tcBorders>
              <w:top w:val="single" w:sz="4" w:space="0" w:color="000000"/>
            </w:tcBorders>
          </w:tcPr>
          <w:p>
            <w:pPr>
              <w:pStyle w:val="TableParagraph"/>
              <w:spacing w:before="14"/>
              <w:ind w:right="52"/>
              <w:rPr>
                <w:sz w:val="16"/>
              </w:rPr>
            </w:pPr>
            <w:r>
              <w:rPr>
                <w:spacing w:val="-2"/>
                <w:sz w:val="16"/>
              </w:rPr>
              <w:t>1,458.4</w:t>
            </w:r>
          </w:p>
        </w:tc>
        <w:tc>
          <w:tcPr>
            <w:tcW w:w="1171" w:type="dxa"/>
            <w:tcBorders>
              <w:top w:val="single" w:sz="4" w:space="0" w:color="000000"/>
            </w:tcBorders>
          </w:tcPr>
          <w:p>
            <w:pPr>
              <w:pStyle w:val="TableParagraph"/>
              <w:spacing w:before="14"/>
              <w:ind w:right="238"/>
              <w:rPr>
                <w:sz w:val="16"/>
              </w:rPr>
            </w:pPr>
            <w:r>
              <w:rPr>
                <w:spacing w:val="-2"/>
                <w:sz w:val="16"/>
              </w:rPr>
              <w:t>1,277.2</w:t>
            </w:r>
          </w:p>
        </w:tc>
        <w:tc>
          <w:tcPr>
            <w:tcW w:w="701" w:type="dxa"/>
            <w:tcBorders>
              <w:top w:val="single" w:sz="4" w:space="0" w:color="000000"/>
            </w:tcBorders>
          </w:tcPr>
          <w:p>
            <w:pPr>
              <w:pStyle w:val="TableParagraph"/>
              <w:spacing w:before="14"/>
              <w:ind w:right="180"/>
              <w:rPr>
                <w:sz w:val="16"/>
              </w:rPr>
            </w:pPr>
            <w:r>
              <w:rPr>
                <w:spacing w:val="-4"/>
                <w:sz w:val="16"/>
              </w:rPr>
              <w:t>87.6</w:t>
            </w:r>
          </w:p>
        </w:tc>
        <w:tc>
          <w:tcPr>
            <w:tcW w:w="1054" w:type="dxa"/>
            <w:tcBorders>
              <w:top w:val="single" w:sz="4" w:space="0" w:color="000000"/>
            </w:tcBorders>
          </w:tcPr>
          <w:p>
            <w:pPr>
              <w:pStyle w:val="TableParagraph"/>
              <w:spacing w:before="14"/>
              <w:ind w:right="106"/>
              <w:rPr>
                <w:sz w:val="16"/>
              </w:rPr>
            </w:pPr>
            <w:r>
              <w:rPr>
                <w:spacing w:val="-2"/>
                <w:sz w:val="16"/>
              </w:rPr>
              <w:t>2,735.6</w:t>
            </w:r>
          </w:p>
        </w:tc>
      </w:tr>
      <w:tr>
        <w:trPr>
          <w:trHeight w:val="227" w:hRule="atLeast"/>
        </w:trPr>
        <w:tc>
          <w:tcPr>
            <w:tcW w:w="2475" w:type="dxa"/>
          </w:tcPr>
          <w:p>
            <w:pPr>
              <w:pStyle w:val="TableParagraph"/>
              <w:spacing w:before="7"/>
              <w:ind w:right="117"/>
              <w:rPr>
                <w:sz w:val="16"/>
              </w:rPr>
            </w:pPr>
            <w:r>
              <w:rPr>
                <w:sz w:val="16"/>
              </w:rPr>
              <w:t>Temporary</w:t>
            </w:r>
            <w:r>
              <w:rPr>
                <w:spacing w:val="-3"/>
                <w:sz w:val="16"/>
              </w:rPr>
              <w:t> </w:t>
            </w:r>
            <w:r>
              <w:rPr>
                <w:sz w:val="16"/>
              </w:rPr>
              <w:t>assistance</w:t>
            </w:r>
            <w:r>
              <w:rPr>
                <w:spacing w:val="-4"/>
                <w:sz w:val="16"/>
              </w:rPr>
              <w:t> </w:t>
            </w:r>
            <w:r>
              <w:rPr>
                <w:sz w:val="16"/>
              </w:rPr>
              <w:t>for</w:t>
            </w:r>
            <w:r>
              <w:rPr>
                <w:spacing w:val="-5"/>
                <w:sz w:val="16"/>
              </w:rPr>
              <w:t> </w:t>
            </w:r>
            <w:r>
              <w:rPr>
                <w:spacing w:val="-2"/>
                <w:sz w:val="16"/>
              </w:rPr>
              <w:t>meetings</w:t>
            </w:r>
          </w:p>
        </w:tc>
        <w:tc>
          <w:tcPr>
            <w:tcW w:w="1211" w:type="dxa"/>
          </w:tcPr>
          <w:p>
            <w:pPr>
              <w:pStyle w:val="TableParagraph"/>
              <w:spacing w:before="7"/>
              <w:ind w:right="193"/>
              <w:rPr>
                <w:sz w:val="16"/>
              </w:rPr>
            </w:pPr>
            <w:r>
              <w:rPr>
                <w:spacing w:val="-5"/>
                <w:sz w:val="16"/>
              </w:rPr>
              <w:t>1.4</w:t>
            </w:r>
          </w:p>
        </w:tc>
        <w:tc>
          <w:tcPr>
            <w:tcW w:w="827" w:type="dxa"/>
          </w:tcPr>
          <w:p>
            <w:pPr>
              <w:pStyle w:val="TableParagraph"/>
              <w:spacing w:before="7"/>
              <w:ind w:right="109"/>
              <w:rPr>
                <w:sz w:val="16"/>
              </w:rPr>
            </w:pPr>
            <w:r>
              <w:rPr>
                <w:w w:val="98"/>
                <w:sz w:val="16"/>
              </w:rPr>
              <w:t>-</w:t>
            </w:r>
          </w:p>
        </w:tc>
        <w:tc>
          <w:tcPr>
            <w:tcW w:w="1131" w:type="dxa"/>
          </w:tcPr>
          <w:p>
            <w:pPr>
              <w:pStyle w:val="TableParagraph"/>
              <w:spacing w:before="7"/>
              <w:ind w:right="105"/>
              <w:rPr>
                <w:sz w:val="16"/>
              </w:rPr>
            </w:pPr>
            <w:r>
              <w:rPr>
                <w:spacing w:val="-5"/>
                <w:sz w:val="16"/>
              </w:rPr>
              <w:t>1.4</w:t>
            </w:r>
          </w:p>
        </w:tc>
        <w:tc>
          <w:tcPr>
            <w:tcW w:w="1079" w:type="dxa"/>
          </w:tcPr>
          <w:p>
            <w:pPr>
              <w:pStyle w:val="TableParagraph"/>
              <w:spacing w:before="7"/>
              <w:ind w:right="53"/>
              <w:rPr>
                <w:sz w:val="16"/>
              </w:rPr>
            </w:pPr>
            <w:r>
              <w:rPr>
                <w:w w:val="98"/>
                <w:sz w:val="16"/>
              </w:rPr>
              <w:t>-</w:t>
            </w:r>
          </w:p>
        </w:tc>
        <w:tc>
          <w:tcPr>
            <w:tcW w:w="1171" w:type="dxa"/>
          </w:tcPr>
          <w:p>
            <w:pPr>
              <w:pStyle w:val="TableParagraph"/>
              <w:spacing w:before="7"/>
              <w:ind w:right="240"/>
              <w:rPr>
                <w:sz w:val="16"/>
              </w:rPr>
            </w:pPr>
            <w:r>
              <w:rPr>
                <w:w w:val="98"/>
                <w:sz w:val="16"/>
              </w:rPr>
              <w:t>-</w:t>
            </w:r>
          </w:p>
        </w:tc>
        <w:tc>
          <w:tcPr>
            <w:tcW w:w="701" w:type="dxa"/>
          </w:tcPr>
          <w:p>
            <w:pPr>
              <w:pStyle w:val="TableParagraph"/>
              <w:spacing w:before="7"/>
              <w:ind w:right="182"/>
              <w:rPr>
                <w:sz w:val="16"/>
              </w:rPr>
            </w:pPr>
            <w:r>
              <w:rPr>
                <w:w w:val="98"/>
                <w:sz w:val="16"/>
              </w:rPr>
              <w:t>-</w:t>
            </w:r>
          </w:p>
        </w:tc>
        <w:tc>
          <w:tcPr>
            <w:tcW w:w="1054" w:type="dxa"/>
          </w:tcPr>
          <w:p>
            <w:pPr>
              <w:pStyle w:val="TableParagraph"/>
              <w:spacing w:before="7"/>
              <w:ind w:right="107"/>
              <w:rPr>
                <w:sz w:val="16"/>
              </w:rPr>
            </w:pPr>
            <w:r>
              <w:rPr>
                <w:w w:val="98"/>
                <w:sz w:val="16"/>
              </w:rPr>
              <w:t>-</w:t>
            </w:r>
          </w:p>
        </w:tc>
      </w:tr>
      <w:tr>
        <w:trPr>
          <w:trHeight w:val="221" w:hRule="atLeast"/>
        </w:trPr>
        <w:tc>
          <w:tcPr>
            <w:tcW w:w="2475" w:type="dxa"/>
            <w:tcBorders>
              <w:bottom w:val="single" w:sz="4" w:space="0" w:color="000000"/>
            </w:tcBorders>
          </w:tcPr>
          <w:p>
            <w:pPr>
              <w:pStyle w:val="TableParagraph"/>
              <w:spacing w:before="10"/>
              <w:ind w:left="117"/>
              <w:jc w:val="left"/>
              <w:rPr>
                <w:sz w:val="16"/>
              </w:rPr>
            </w:pPr>
            <w:r>
              <w:rPr>
                <w:spacing w:val="-2"/>
                <w:sz w:val="16"/>
              </w:rPr>
              <w:t>Overtime</w:t>
            </w:r>
          </w:p>
        </w:tc>
        <w:tc>
          <w:tcPr>
            <w:tcW w:w="1211" w:type="dxa"/>
            <w:tcBorders>
              <w:bottom w:val="single" w:sz="4" w:space="0" w:color="000000"/>
            </w:tcBorders>
          </w:tcPr>
          <w:p>
            <w:pPr>
              <w:pStyle w:val="TableParagraph"/>
              <w:spacing w:before="10"/>
              <w:ind w:right="190"/>
              <w:rPr>
                <w:sz w:val="16"/>
              </w:rPr>
            </w:pPr>
            <w:r>
              <w:rPr>
                <w:w w:val="98"/>
                <w:sz w:val="16"/>
              </w:rPr>
              <w:t>-</w:t>
            </w:r>
          </w:p>
        </w:tc>
        <w:tc>
          <w:tcPr>
            <w:tcW w:w="827" w:type="dxa"/>
            <w:tcBorders>
              <w:bottom w:val="single" w:sz="4" w:space="0" w:color="000000"/>
            </w:tcBorders>
          </w:tcPr>
          <w:p>
            <w:pPr>
              <w:pStyle w:val="TableParagraph"/>
              <w:spacing w:before="10"/>
              <w:ind w:right="109"/>
              <w:rPr>
                <w:sz w:val="16"/>
              </w:rPr>
            </w:pPr>
            <w:r>
              <w:rPr>
                <w:w w:val="98"/>
                <w:sz w:val="16"/>
              </w:rPr>
              <w:t>-</w:t>
            </w:r>
          </w:p>
        </w:tc>
        <w:tc>
          <w:tcPr>
            <w:tcW w:w="1131" w:type="dxa"/>
            <w:tcBorders>
              <w:bottom w:val="single" w:sz="4" w:space="0" w:color="000000"/>
            </w:tcBorders>
          </w:tcPr>
          <w:p>
            <w:pPr>
              <w:pStyle w:val="TableParagraph"/>
              <w:spacing w:before="10"/>
              <w:ind w:right="102"/>
              <w:rPr>
                <w:sz w:val="16"/>
              </w:rPr>
            </w:pPr>
            <w:r>
              <w:rPr>
                <w:w w:val="98"/>
                <w:sz w:val="16"/>
              </w:rPr>
              <w:t>-</w:t>
            </w:r>
          </w:p>
        </w:tc>
        <w:tc>
          <w:tcPr>
            <w:tcW w:w="1079" w:type="dxa"/>
            <w:tcBorders>
              <w:bottom w:val="single" w:sz="4" w:space="0" w:color="000000"/>
            </w:tcBorders>
          </w:tcPr>
          <w:p>
            <w:pPr>
              <w:pStyle w:val="TableParagraph"/>
              <w:spacing w:before="10"/>
              <w:ind w:right="53"/>
              <w:rPr>
                <w:sz w:val="16"/>
              </w:rPr>
            </w:pPr>
            <w:r>
              <w:rPr>
                <w:w w:val="98"/>
                <w:sz w:val="16"/>
              </w:rPr>
              <w:t>-</w:t>
            </w:r>
          </w:p>
        </w:tc>
        <w:tc>
          <w:tcPr>
            <w:tcW w:w="1171" w:type="dxa"/>
            <w:tcBorders>
              <w:bottom w:val="single" w:sz="4" w:space="0" w:color="000000"/>
            </w:tcBorders>
          </w:tcPr>
          <w:p>
            <w:pPr>
              <w:pStyle w:val="TableParagraph"/>
              <w:spacing w:before="10"/>
              <w:ind w:right="240"/>
              <w:rPr>
                <w:sz w:val="16"/>
              </w:rPr>
            </w:pPr>
            <w:r>
              <w:rPr>
                <w:w w:val="98"/>
                <w:sz w:val="16"/>
              </w:rPr>
              <w:t>-</w:t>
            </w:r>
          </w:p>
        </w:tc>
        <w:tc>
          <w:tcPr>
            <w:tcW w:w="701" w:type="dxa"/>
            <w:tcBorders>
              <w:bottom w:val="single" w:sz="4" w:space="0" w:color="000000"/>
            </w:tcBorders>
          </w:tcPr>
          <w:p>
            <w:pPr>
              <w:pStyle w:val="TableParagraph"/>
              <w:spacing w:before="10"/>
              <w:ind w:right="182"/>
              <w:rPr>
                <w:sz w:val="16"/>
              </w:rPr>
            </w:pPr>
            <w:r>
              <w:rPr>
                <w:w w:val="98"/>
                <w:sz w:val="16"/>
              </w:rPr>
              <w:t>-</w:t>
            </w:r>
          </w:p>
        </w:tc>
        <w:tc>
          <w:tcPr>
            <w:tcW w:w="1054" w:type="dxa"/>
            <w:tcBorders>
              <w:bottom w:val="single" w:sz="4" w:space="0" w:color="000000"/>
            </w:tcBorders>
          </w:tcPr>
          <w:p>
            <w:pPr>
              <w:pStyle w:val="TableParagraph"/>
              <w:spacing w:before="10"/>
              <w:ind w:right="107"/>
              <w:rPr>
                <w:sz w:val="16"/>
              </w:rPr>
            </w:pPr>
            <w:r>
              <w:rPr>
                <w:w w:val="98"/>
                <w:sz w:val="16"/>
              </w:rPr>
              <w:t>-</w:t>
            </w:r>
          </w:p>
        </w:tc>
      </w:tr>
      <w:tr>
        <w:trPr>
          <w:trHeight w:val="230" w:hRule="atLeast"/>
        </w:trPr>
        <w:tc>
          <w:tcPr>
            <w:tcW w:w="2475" w:type="dxa"/>
            <w:tcBorders>
              <w:top w:val="single" w:sz="4" w:space="0" w:color="000000"/>
              <w:bottom w:val="single" w:sz="4" w:space="0" w:color="000000"/>
            </w:tcBorders>
          </w:tcPr>
          <w:p>
            <w:pPr>
              <w:pStyle w:val="TableParagraph"/>
              <w:spacing w:before="14"/>
              <w:ind w:right="104"/>
              <w:rPr>
                <w:i/>
                <w:sz w:val="16"/>
              </w:rPr>
            </w:pPr>
            <w:r>
              <w:rPr>
                <w:i/>
                <w:sz w:val="16"/>
              </w:rPr>
              <w:t>Subtotal</w:t>
            </w:r>
            <w:r>
              <w:rPr>
                <w:i/>
                <w:spacing w:val="-2"/>
                <w:sz w:val="16"/>
              </w:rPr>
              <w:t> </w:t>
            </w:r>
            <w:r>
              <w:rPr>
                <w:i/>
                <w:sz w:val="16"/>
              </w:rPr>
              <w:t>other</w:t>
            </w:r>
            <w:r>
              <w:rPr>
                <w:i/>
                <w:spacing w:val="-1"/>
                <w:sz w:val="16"/>
              </w:rPr>
              <w:t> </w:t>
            </w:r>
            <w:r>
              <w:rPr>
                <w:i/>
                <w:spacing w:val="-2"/>
                <w:sz w:val="16"/>
              </w:rPr>
              <w:t>staff</w:t>
            </w:r>
          </w:p>
        </w:tc>
        <w:tc>
          <w:tcPr>
            <w:tcW w:w="1211" w:type="dxa"/>
            <w:tcBorders>
              <w:top w:val="single" w:sz="4" w:space="0" w:color="000000"/>
              <w:bottom w:val="single" w:sz="4" w:space="0" w:color="000000"/>
            </w:tcBorders>
          </w:tcPr>
          <w:p>
            <w:pPr>
              <w:pStyle w:val="TableParagraph"/>
              <w:spacing w:before="14"/>
              <w:ind w:right="188"/>
              <w:rPr>
                <w:i/>
                <w:sz w:val="16"/>
              </w:rPr>
            </w:pPr>
            <w:r>
              <w:rPr>
                <w:i/>
                <w:spacing w:val="-2"/>
                <w:sz w:val="16"/>
              </w:rPr>
              <w:t>1,567.9</w:t>
            </w:r>
          </w:p>
        </w:tc>
        <w:tc>
          <w:tcPr>
            <w:tcW w:w="827" w:type="dxa"/>
            <w:tcBorders>
              <w:top w:val="single" w:sz="4" w:space="0" w:color="000000"/>
              <w:bottom w:val="single" w:sz="4" w:space="0" w:color="000000"/>
            </w:tcBorders>
          </w:tcPr>
          <w:p>
            <w:pPr>
              <w:pStyle w:val="TableParagraph"/>
              <w:spacing w:before="14"/>
              <w:ind w:right="109"/>
              <w:rPr>
                <w:i/>
                <w:sz w:val="16"/>
              </w:rPr>
            </w:pPr>
            <w:r>
              <w:rPr>
                <w:i/>
                <w:w w:val="98"/>
                <w:sz w:val="16"/>
              </w:rPr>
              <w:t>-</w:t>
            </w:r>
          </w:p>
        </w:tc>
        <w:tc>
          <w:tcPr>
            <w:tcW w:w="1131" w:type="dxa"/>
            <w:tcBorders>
              <w:top w:val="single" w:sz="4" w:space="0" w:color="000000"/>
              <w:bottom w:val="single" w:sz="4" w:space="0" w:color="000000"/>
            </w:tcBorders>
          </w:tcPr>
          <w:p>
            <w:pPr>
              <w:pStyle w:val="TableParagraph"/>
              <w:spacing w:before="14"/>
              <w:ind w:right="101"/>
              <w:rPr>
                <w:i/>
                <w:sz w:val="16"/>
              </w:rPr>
            </w:pPr>
            <w:r>
              <w:rPr>
                <w:i/>
                <w:spacing w:val="-2"/>
                <w:sz w:val="16"/>
              </w:rPr>
              <w:t>1,567.9</w:t>
            </w:r>
          </w:p>
        </w:tc>
        <w:tc>
          <w:tcPr>
            <w:tcW w:w="1079" w:type="dxa"/>
            <w:tcBorders>
              <w:top w:val="single" w:sz="4" w:space="0" w:color="000000"/>
              <w:bottom w:val="single" w:sz="4" w:space="0" w:color="000000"/>
            </w:tcBorders>
          </w:tcPr>
          <w:p>
            <w:pPr>
              <w:pStyle w:val="TableParagraph"/>
              <w:spacing w:before="14"/>
              <w:ind w:right="52"/>
              <w:rPr>
                <w:i/>
                <w:sz w:val="16"/>
              </w:rPr>
            </w:pPr>
            <w:r>
              <w:rPr>
                <w:i/>
                <w:spacing w:val="-2"/>
                <w:sz w:val="16"/>
              </w:rPr>
              <w:t>1,458.4</w:t>
            </w:r>
          </w:p>
        </w:tc>
        <w:tc>
          <w:tcPr>
            <w:tcW w:w="1171" w:type="dxa"/>
            <w:tcBorders>
              <w:top w:val="single" w:sz="4" w:space="0" w:color="000000"/>
              <w:bottom w:val="single" w:sz="4" w:space="0" w:color="000000"/>
            </w:tcBorders>
          </w:tcPr>
          <w:p>
            <w:pPr>
              <w:pStyle w:val="TableParagraph"/>
              <w:spacing w:before="14"/>
              <w:ind w:right="238"/>
              <w:rPr>
                <w:i/>
                <w:sz w:val="16"/>
              </w:rPr>
            </w:pPr>
            <w:r>
              <w:rPr>
                <w:i/>
                <w:spacing w:val="-2"/>
                <w:sz w:val="16"/>
              </w:rPr>
              <w:t>1,277.2</w:t>
            </w:r>
          </w:p>
        </w:tc>
        <w:tc>
          <w:tcPr>
            <w:tcW w:w="701" w:type="dxa"/>
            <w:tcBorders>
              <w:top w:val="single" w:sz="4" w:space="0" w:color="000000"/>
              <w:bottom w:val="single" w:sz="4" w:space="0" w:color="000000"/>
            </w:tcBorders>
          </w:tcPr>
          <w:p>
            <w:pPr>
              <w:pStyle w:val="TableParagraph"/>
              <w:spacing w:before="14"/>
              <w:ind w:right="180"/>
              <w:rPr>
                <w:i/>
                <w:sz w:val="16"/>
              </w:rPr>
            </w:pPr>
            <w:r>
              <w:rPr>
                <w:i/>
                <w:spacing w:val="-4"/>
                <w:sz w:val="16"/>
              </w:rPr>
              <w:t>87.6</w:t>
            </w:r>
          </w:p>
        </w:tc>
        <w:tc>
          <w:tcPr>
            <w:tcW w:w="1054" w:type="dxa"/>
            <w:tcBorders>
              <w:top w:val="single" w:sz="4" w:space="0" w:color="000000"/>
              <w:bottom w:val="single" w:sz="4" w:space="0" w:color="000000"/>
            </w:tcBorders>
          </w:tcPr>
          <w:p>
            <w:pPr>
              <w:pStyle w:val="TableParagraph"/>
              <w:spacing w:before="14"/>
              <w:ind w:right="106"/>
              <w:rPr>
                <w:i/>
                <w:sz w:val="16"/>
              </w:rPr>
            </w:pPr>
            <w:r>
              <w:rPr>
                <w:i/>
                <w:spacing w:val="-2"/>
                <w:sz w:val="16"/>
              </w:rPr>
              <w:t>2,735.6</w:t>
            </w:r>
          </w:p>
        </w:tc>
      </w:tr>
      <w:tr>
        <w:trPr>
          <w:trHeight w:val="229" w:hRule="atLeast"/>
        </w:trPr>
        <w:tc>
          <w:tcPr>
            <w:tcW w:w="2475" w:type="dxa"/>
            <w:tcBorders>
              <w:top w:val="single" w:sz="4" w:space="0" w:color="000000"/>
            </w:tcBorders>
          </w:tcPr>
          <w:p>
            <w:pPr>
              <w:pStyle w:val="TableParagraph"/>
              <w:spacing w:before="9"/>
              <w:ind w:left="117"/>
              <w:jc w:val="left"/>
              <w:rPr>
                <w:sz w:val="16"/>
              </w:rPr>
            </w:pPr>
            <w:r>
              <w:rPr>
                <w:spacing w:val="-2"/>
                <w:sz w:val="16"/>
              </w:rPr>
              <w:t>Travel</w:t>
            </w:r>
          </w:p>
        </w:tc>
        <w:tc>
          <w:tcPr>
            <w:tcW w:w="1211" w:type="dxa"/>
            <w:tcBorders>
              <w:top w:val="single" w:sz="4" w:space="0" w:color="000000"/>
            </w:tcBorders>
          </w:tcPr>
          <w:p>
            <w:pPr>
              <w:pStyle w:val="TableParagraph"/>
              <w:spacing w:before="9"/>
              <w:ind w:right="188"/>
              <w:rPr>
                <w:sz w:val="16"/>
              </w:rPr>
            </w:pPr>
            <w:r>
              <w:rPr>
                <w:spacing w:val="-4"/>
                <w:sz w:val="16"/>
              </w:rPr>
              <w:t>29.7</w:t>
            </w:r>
          </w:p>
        </w:tc>
        <w:tc>
          <w:tcPr>
            <w:tcW w:w="827" w:type="dxa"/>
            <w:tcBorders>
              <w:top w:val="single" w:sz="4" w:space="0" w:color="000000"/>
            </w:tcBorders>
          </w:tcPr>
          <w:p>
            <w:pPr>
              <w:pStyle w:val="TableParagraph"/>
              <w:spacing w:before="9"/>
              <w:ind w:right="109"/>
              <w:rPr>
                <w:sz w:val="16"/>
              </w:rPr>
            </w:pPr>
            <w:r>
              <w:rPr>
                <w:w w:val="98"/>
                <w:sz w:val="16"/>
              </w:rPr>
              <w:t>-</w:t>
            </w:r>
          </w:p>
        </w:tc>
        <w:tc>
          <w:tcPr>
            <w:tcW w:w="1131" w:type="dxa"/>
            <w:tcBorders>
              <w:top w:val="single" w:sz="4" w:space="0" w:color="000000"/>
            </w:tcBorders>
          </w:tcPr>
          <w:p>
            <w:pPr>
              <w:pStyle w:val="TableParagraph"/>
              <w:spacing w:before="9"/>
              <w:ind w:right="101"/>
              <w:rPr>
                <w:sz w:val="16"/>
              </w:rPr>
            </w:pPr>
            <w:r>
              <w:rPr>
                <w:spacing w:val="-4"/>
                <w:sz w:val="16"/>
              </w:rPr>
              <w:t>29.7</w:t>
            </w:r>
          </w:p>
        </w:tc>
        <w:tc>
          <w:tcPr>
            <w:tcW w:w="1079" w:type="dxa"/>
            <w:tcBorders>
              <w:top w:val="single" w:sz="4" w:space="0" w:color="000000"/>
            </w:tcBorders>
          </w:tcPr>
          <w:p>
            <w:pPr>
              <w:pStyle w:val="TableParagraph"/>
              <w:spacing w:before="9"/>
              <w:ind w:right="51"/>
              <w:rPr>
                <w:sz w:val="16"/>
              </w:rPr>
            </w:pPr>
            <w:r>
              <w:rPr>
                <w:spacing w:val="-4"/>
                <w:sz w:val="16"/>
              </w:rPr>
              <w:t>75.2</w:t>
            </w:r>
          </w:p>
        </w:tc>
        <w:tc>
          <w:tcPr>
            <w:tcW w:w="1171" w:type="dxa"/>
            <w:tcBorders>
              <w:top w:val="single" w:sz="4" w:space="0" w:color="000000"/>
            </w:tcBorders>
          </w:tcPr>
          <w:p>
            <w:pPr>
              <w:pStyle w:val="TableParagraph"/>
              <w:spacing w:before="9"/>
              <w:ind w:right="240"/>
              <w:rPr>
                <w:sz w:val="16"/>
              </w:rPr>
            </w:pPr>
            <w:r>
              <w:rPr>
                <w:w w:val="98"/>
                <w:sz w:val="16"/>
              </w:rPr>
              <w:t>-</w:t>
            </w:r>
          </w:p>
        </w:tc>
        <w:tc>
          <w:tcPr>
            <w:tcW w:w="701" w:type="dxa"/>
            <w:tcBorders>
              <w:top w:val="single" w:sz="4" w:space="0" w:color="000000"/>
            </w:tcBorders>
          </w:tcPr>
          <w:p>
            <w:pPr>
              <w:pStyle w:val="TableParagraph"/>
              <w:spacing w:before="9"/>
              <w:ind w:right="182"/>
              <w:rPr>
                <w:sz w:val="16"/>
              </w:rPr>
            </w:pPr>
            <w:r>
              <w:rPr>
                <w:w w:val="98"/>
                <w:sz w:val="16"/>
              </w:rPr>
              <w:t>-</w:t>
            </w:r>
          </w:p>
        </w:tc>
        <w:tc>
          <w:tcPr>
            <w:tcW w:w="1054" w:type="dxa"/>
            <w:tcBorders>
              <w:top w:val="single" w:sz="4" w:space="0" w:color="000000"/>
            </w:tcBorders>
          </w:tcPr>
          <w:p>
            <w:pPr>
              <w:pStyle w:val="TableParagraph"/>
              <w:spacing w:before="9"/>
              <w:ind w:right="105"/>
              <w:rPr>
                <w:sz w:val="16"/>
              </w:rPr>
            </w:pPr>
            <w:r>
              <w:rPr>
                <w:spacing w:val="-4"/>
                <w:sz w:val="16"/>
              </w:rPr>
              <w:t>75.2</w:t>
            </w:r>
          </w:p>
        </w:tc>
      </w:tr>
      <w:tr>
        <w:trPr>
          <w:trHeight w:val="228" w:hRule="atLeast"/>
        </w:trPr>
        <w:tc>
          <w:tcPr>
            <w:tcW w:w="2475" w:type="dxa"/>
          </w:tcPr>
          <w:p>
            <w:pPr>
              <w:pStyle w:val="TableParagraph"/>
              <w:spacing w:before="10"/>
              <w:ind w:left="117"/>
              <w:jc w:val="left"/>
              <w:rPr>
                <w:sz w:val="16"/>
              </w:rPr>
            </w:pPr>
            <w:r>
              <w:rPr>
                <w:spacing w:val="-2"/>
                <w:sz w:val="16"/>
              </w:rPr>
              <w:t>Hospitality</w:t>
            </w:r>
          </w:p>
        </w:tc>
        <w:tc>
          <w:tcPr>
            <w:tcW w:w="1211" w:type="dxa"/>
          </w:tcPr>
          <w:p>
            <w:pPr>
              <w:pStyle w:val="TableParagraph"/>
              <w:spacing w:before="10"/>
              <w:ind w:right="193"/>
              <w:rPr>
                <w:sz w:val="16"/>
              </w:rPr>
            </w:pPr>
            <w:r>
              <w:rPr>
                <w:spacing w:val="-5"/>
                <w:sz w:val="16"/>
              </w:rPr>
              <w:t>3.0</w:t>
            </w:r>
          </w:p>
        </w:tc>
        <w:tc>
          <w:tcPr>
            <w:tcW w:w="827" w:type="dxa"/>
          </w:tcPr>
          <w:p>
            <w:pPr>
              <w:pStyle w:val="TableParagraph"/>
              <w:spacing w:before="10"/>
              <w:ind w:right="109"/>
              <w:rPr>
                <w:sz w:val="16"/>
              </w:rPr>
            </w:pPr>
            <w:r>
              <w:rPr>
                <w:w w:val="98"/>
                <w:sz w:val="16"/>
              </w:rPr>
              <w:t>-</w:t>
            </w:r>
          </w:p>
        </w:tc>
        <w:tc>
          <w:tcPr>
            <w:tcW w:w="1131" w:type="dxa"/>
          </w:tcPr>
          <w:p>
            <w:pPr>
              <w:pStyle w:val="TableParagraph"/>
              <w:spacing w:before="10"/>
              <w:ind w:right="105"/>
              <w:rPr>
                <w:sz w:val="16"/>
              </w:rPr>
            </w:pPr>
            <w:r>
              <w:rPr>
                <w:spacing w:val="-5"/>
                <w:sz w:val="16"/>
              </w:rPr>
              <w:t>3.0</w:t>
            </w:r>
          </w:p>
        </w:tc>
        <w:tc>
          <w:tcPr>
            <w:tcW w:w="1079" w:type="dxa"/>
          </w:tcPr>
          <w:p>
            <w:pPr>
              <w:pStyle w:val="TableParagraph"/>
              <w:spacing w:before="10"/>
              <w:ind w:right="51"/>
              <w:rPr>
                <w:sz w:val="16"/>
              </w:rPr>
            </w:pPr>
            <w:r>
              <w:rPr>
                <w:spacing w:val="-4"/>
                <w:sz w:val="16"/>
              </w:rPr>
              <w:t>11.0</w:t>
            </w:r>
          </w:p>
        </w:tc>
        <w:tc>
          <w:tcPr>
            <w:tcW w:w="1171" w:type="dxa"/>
          </w:tcPr>
          <w:p>
            <w:pPr>
              <w:pStyle w:val="TableParagraph"/>
              <w:spacing w:before="10"/>
              <w:ind w:right="240"/>
              <w:rPr>
                <w:sz w:val="16"/>
              </w:rPr>
            </w:pPr>
            <w:r>
              <w:rPr>
                <w:w w:val="98"/>
                <w:sz w:val="16"/>
              </w:rPr>
              <w:t>-</w:t>
            </w:r>
          </w:p>
        </w:tc>
        <w:tc>
          <w:tcPr>
            <w:tcW w:w="701" w:type="dxa"/>
          </w:tcPr>
          <w:p>
            <w:pPr>
              <w:pStyle w:val="TableParagraph"/>
              <w:spacing w:before="10"/>
              <w:ind w:right="182"/>
              <w:rPr>
                <w:sz w:val="16"/>
              </w:rPr>
            </w:pPr>
            <w:r>
              <w:rPr>
                <w:w w:val="98"/>
                <w:sz w:val="16"/>
              </w:rPr>
              <w:t>-</w:t>
            </w:r>
          </w:p>
        </w:tc>
        <w:tc>
          <w:tcPr>
            <w:tcW w:w="1054" w:type="dxa"/>
          </w:tcPr>
          <w:p>
            <w:pPr>
              <w:pStyle w:val="TableParagraph"/>
              <w:spacing w:before="10"/>
              <w:ind w:right="105"/>
              <w:rPr>
                <w:sz w:val="16"/>
              </w:rPr>
            </w:pPr>
            <w:r>
              <w:rPr>
                <w:spacing w:val="-4"/>
                <w:sz w:val="16"/>
              </w:rPr>
              <w:t>11.0</w:t>
            </w:r>
          </w:p>
        </w:tc>
      </w:tr>
      <w:tr>
        <w:trPr>
          <w:trHeight w:val="225" w:hRule="atLeast"/>
        </w:trPr>
        <w:tc>
          <w:tcPr>
            <w:tcW w:w="2475" w:type="dxa"/>
          </w:tcPr>
          <w:p>
            <w:pPr>
              <w:pStyle w:val="TableParagraph"/>
              <w:spacing w:before="7"/>
              <w:ind w:left="117"/>
              <w:jc w:val="left"/>
              <w:rPr>
                <w:sz w:val="16"/>
              </w:rPr>
            </w:pPr>
            <w:r>
              <w:rPr>
                <w:w w:val="95"/>
                <w:sz w:val="16"/>
              </w:rPr>
              <w:t>Contractual</w:t>
            </w:r>
            <w:r>
              <w:rPr>
                <w:spacing w:val="33"/>
                <w:sz w:val="16"/>
              </w:rPr>
              <w:t> </w:t>
            </w:r>
            <w:r>
              <w:rPr>
                <w:spacing w:val="-2"/>
                <w:sz w:val="16"/>
              </w:rPr>
              <w:t>services</w:t>
            </w:r>
          </w:p>
        </w:tc>
        <w:tc>
          <w:tcPr>
            <w:tcW w:w="1211" w:type="dxa"/>
          </w:tcPr>
          <w:p>
            <w:pPr>
              <w:pStyle w:val="TableParagraph"/>
              <w:spacing w:before="7"/>
              <w:ind w:right="193"/>
              <w:rPr>
                <w:sz w:val="16"/>
              </w:rPr>
            </w:pPr>
            <w:r>
              <w:rPr>
                <w:spacing w:val="-5"/>
                <w:sz w:val="16"/>
              </w:rPr>
              <w:t>3.3</w:t>
            </w:r>
          </w:p>
        </w:tc>
        <w:tc>
          <w:tcPr>
            <w:tcW w:w="827" w:type="dxa"/>
          </w:tcPr>
          <w:p>
            <w:pPr>
              <w:pStyle w:val="TableParagraph"/>
              <w:spacing w:before="7"/>
              <w:ind w:right="109"/>
              <w:rPr>
                <w:sz w:val="16"/>
              </w:rPr>
            </w:pPr>
            <w:r>
              <w:rPr>
                <w:w w:val="98"/>
                <w:sz w:val="16"/>
              </w:rPr>
              <w:t>-</w:t>
            </w:r>
          </w:p>
        </w:tc>
        <w:tc>
          <w:tcPr>
            <w:tcW w:w="1131" w:type="dxa"/>
          </w:tcPr>
          <w:p>
            <w:pPr>
              <w:pStyle w:val="TableParagraph"/>
              <w:spacing w:before="7"/>
              <w:ind w:right="105"/>
              <w:rPr>
                <w:sz w:val="16"/>
              </w:rPr>
            </w:pPr>
            <w:r>
              <w:rPr>
                <w:spacing w:val="-5"/>
                <w:sz w:val="16"/>
              </w:rPr>
              <w:t>3.3</w:t>
            </w:r>
          </w:p>
        </w:tc>
        <w:tc>
          <w:tcPr>
            <w:tcW w:w="1079" w:type="dxa"/>
          </w:tcPr>
          <w:p>
            <w:pPr>
              <w:pStyle w:val="TableParagraph"/>
              <w:spacing w:before="7"/>
              <w:ind w:right="53"/>
              <w:rPr>
                <w:sz w:val="16"/>
              </w:rPr>
            </w:pPr>
            <w:r>
              <w:rPr>
                <w:w w:val="98"/>
                <w:sz w:val="16"/>
              </w:rPr>
              <w:t>-</w:t>
            </w:r>
          </w:p>
        </w:tc>
        <w:tc>
          <w:tcPr>
            <w:tcW w:w="1171" w:type="dxa"/>
          </w:tcPr>
          <w:p>
            <w:pPr>
              <w:pStyle w:val="TableParagraph"/>
              <w:spacing w:before="7"/>
              <w:ind w:right="240"/>
              <w:rPr>
                <w:sz w:val="16"/>
              </w:rPr>
            </w:pPr>
            <w:r>
              <w:rPr>
                <w:w w:val="98"/>
                <w:sz w:val="16"/>
              </w:rPr>
              <w:t>-</w:t>
            </w:r>
          </w:p>
        </w:tc>
        <w:tc>
          <w:tcPr>
            <w:tcW w:w="701" w:type="dxa"/>
          </w:tcPr>
          <w:p>
            <w:pPr>
              <w:pStyle w:val="TableParagraph"/>
              <w:spacing w:before="7"/>
              <w:ind w:right="182"/>
              <w:rPr>
                <w:sz w:val="16"/>
              </w:rPr>
            </w:pPr>
            <w:r>
              <w:rPr>
                <w:w w:val="98"/>
                <w:sz w:val="16"/>
              </w:rPr>
              <w:t>-</w:t>
            </w:r>
          </w:p>
        </w:tc>
        <w:tc>
          <w:tcPr>
            <w:tcW w:w="1054" w:type="dxa"/>
          </w:tcPr>
          <w:p>
            <w:pPr>
              <w:pStyle w:val="TableParagraph"/>
              <w:spacing w:before="7"/>
              <w:ind w:right="107"/>
              <w:rPr>
                <w:sz w:val="16"/>
              </w:rPr>
            </w:pPr>
            <w:r>
              <w:rPr>
                <w:w w:val="98"/>
                <w:sz w:val="16"/>
              </w:rPr>
              <w:t>-</w:t>
            </w:r>
          </w:p>
        </w:tc>
      </w:tr>
      <w:tr>
        <w:trPr>
          <w:trHeight w:val="228" w:hRule="atLeast"/>
        </w:trPr>
        <w:tc>
          <w:tcPr>
            <w:tcW w:w="2475" w:type="dxa"/>
          </w:tcPr>
          <w:p>
            <w:pPr>
              <w:pStyle w:val="TableParagraph"/>
              <w:spacing w:before="7"/>
              <w:ind w:left="117"/>
              <w:jc w:val="left"/>
              <w:rPr>
                <w:sz w:val="16"/>
              </w:rPr>
            </w:pPr>
            <w:r>
              <w:rPr>
                <w:spacing w:val="-2"/>
                <w:sz w:val="16"/>
              </w:rPr>
              <w:t>Training</w:t>
            </w:r>
          </w:p>
        </w:tc>
        <w:tc>
          <w:tcPr>
            <w:tcW w:w="1211" w:type="dxa"/>
          </w:tcPr>
          <w:p>
            <w:pPr>
              <w:pStyle w:val="TableParagraph"/>
              <w:spacing w:before="7"/>
              <w:ind w:right="193"/>
              <w:rPr>
                <w:sz w:val="16"/>
              </w:rPr>
            </w:pPr>
            <w:r>
              <w:rPr>
                <w:spacing w:val="-5"/>
                <w:sz w:val="16"/>
              </w:rPr>
              <w:t>3.8</w:t>
            </w:r>
          </w:p>
        </w:tc>
        <w:tc>
          <w:tcPr>
            <w:tcW w:w="827" w:type="dxa"/>
          </w:tcPr>
          <w:p>
            <w:pPr>
              <w:pStyle w:val="TableParagraph"/>
              <w:spacing w:before="7"/>
              <w:ind w:right="109"/>
              <w:rPr>
                <w:sz w:val="16"/>
              </w:rPr>
            </w:pPr>
            <w:r>
              <w:rPr>
                <w:w w:val="98"/>
                <w:sz w:val="16"/>
              </w:rPr>
              <w:t>-</w:t>
            </w:r>
          </w:p>
        </w:tc>
        <w:tc>
          <w:tcPr>
            <w:tcW w:w="1131" w:type="dxa"/>
          </w:tcPr>
          <w:p>
            <w:pPr>
              <w:pStyle w:val="TableParagraph"/>
              <w:spacing w:before="7"/>
              <w:ind w:right="105"/>
              <w:rPr>
                <w:sz w:val="16"/>
              </w:rPr>
            </w:pPr>
            <w:r>
              <w:rPr>
                <w:spacing w:val="-5"/>
                <w:sz w:val="16"/>
              </w:rPr>
              <w:t>3.8</w:t>
            </w:r>
          </w:p>
        </w:tc>
        <w:tc>
          <w:tcPr>
            <w:tcW w:w="1079" w:type="dxa"/>
          </w:tcPr>
          <w:p>
            <w:pPr>
              <w:pStyle w:val="TableParagraph"/>
              <w:spacing w:before="7"/>
              <w:ind w:right="51"/>
              <w:rPr>
                <w:sz w:val="16"/>
              </w:rPr>
            </w:pPr>
            <w:r>
              <w:rPr>
                <w:spacing w:val="-4"/>
                <w:sz w:val="16"/>
              </w:rPr>
              <w:t>27.8</w:t>
            </w:r>
          </w:p>
        </w:tc>
        <w:tc>
          <w:tcPr>
            <w:tcW w:w="1171" w:type="dxa"/>
          </w:tcPr>
          <w:p>
            <w:pPr>
              <w:pStyle w:val="TableParagraph"/>
              <w:spacing w:before="7"/>
              <w:ind w:right="240"/>
              <w:rPr>
                <w:sz w:val="16"/>
              </w:rPr>
            </w:pPr>
            <w:r>
              <w:rPr>
                <w:w w:val="98"/>
                <w:sz w:val="16"/>
              </w:rPr>
              <w:t>-</w:t>
            </w:r>
          </w:p>
        </w:tc>
        <w:tc>
          <w:tcPr>
            <w:tcW w:w="701" w:type="dxa"/>
          </w:tcPr>
          <w:p>
            <w:pPr>
              <w:pStyle w:val="TableParagraph"/>
              <w:spacing w:before="7"/>
              <w:ind w:right="182"/>
              <w:rPr>
                <w:sz w:val="16"/>
              </w:rPr>
            </w:pPr>
            <w:r>
              <w:rPr>
                <w:w w:val="98"/>
                <w:sz w:val="16"/>
              </w:rPr>
              <w:t>-</w:t>
            </w:r>
          </w:p>
        </w:tc>
        <w:tc>
          <w:tcPr>
            <w:tcW w:w="1054" w:type="dxa"/>
          </w:tcPr>
          <w:p>
            <w:pPr>
              <w:pStyle w:val="TableParagraph"/>
              <w:spacing w:before="7"/>
              <w:ind w:right="105"/>
              <w:rPr>
                <w:sz w:val="16"/>
              </w:rPr>
            </w:pPr>
            <w:r>
              <w:rPr>
                <w:spacing w:val="-4"/>
                <w:sz w:val="16"/>
              </w:rPr>
              <w:t>27.8</w:t>
            </w:r>
          </w:p>
        </w:tc>
      </w:tr>
      <w:tr>
        <w:trPr>
          <w:trHeight w:val="227" w:hRule="atLeast"/>
        </w:trPr>
        <w:tc>
          <w:tcPr>
            <w:tcW w:w="2475" w:type="dxa"/>
          </w:tcPr>
          <w:p>
            <w:pPr>
              <w:pStyle w:val="TableParagraph"/>
              <w:spacing w:before="10"/>
              <w:ind w:left="117"/>
              <w:jc w:val="left"/>
              <w:rPr>
                <w:sz w:val="16"/>
              </w:rPr>
            </w:pPr>
            <w:r>
              <w:rPr>
                <w:spacing w:val="-2"/>
                <w:sz w:val="16"/>
              </w:rPr>
              <w:t>Consultants</w:t>
            </w:r>
          </w:p>
        </w:tc>
        <w:tc>
          <w:tcPr>
            <w:tcW w:w="1211" w:type="dxa"/>
          </w:tcPr>
          <w:p>
            <w:pPr>
              <w:pStyle w:val="TableParagraph"/>
              <w:spacing w:before="10"/>
              <w:ind w:right="190"/>
              <w:rPr>
                <w:sz w:val="16"/>
              </w:rPr>
            </w:pPr>
            <w:r>
              <w:rPr>
                <w:w w:val="98"/>
                <w:sz w:val="16"/>
              </w:rPr>
              <w:t>-</w:t>
            </w:r>
          </w:p>
        </w:tc>
        <w:tc>
          <w:tcPr>
            <w:tcW w:w="827" w:type="dxa"/>
          </w:tcPr>
          <w:p>
            <w:pPr>
              <w:pStyle w:val="TableParagraph"/>
              <w:spacing w:before="10"/>
              <w:ind w:right="109"/>
              <w:rPr>
                <w:sz w:val="16"/>
              </w:rPr>
            </w:pPr>
            <w:r>
              <w:rPr>
                <w:w w:val="98"/>
                <w:sz w:val="16"/>
              </w:rPr>
              <w:t>-</w:t>
            </w:r>
          </w:p>
        </w:tc>
        <w:tc>
          <w:tcPr>
            <w:tcW w:w="1131" w:type="dxa"/>
          </w:tcPr>
          <w:p>
            <w:pPr>
              <w:pStyle w:val="TableParagraph"/>
              <w:spacing w:before="10"/>
              <w:ind w:right="102"/>
              <w:rPr>
                <w:sz w:val="16"/>
              </w:rPr>
            </w:pPr>
            <w:r>
              <w:rPr>
                <w:w w:val="98"/>
                <w:sz w:val="16"/>
              </w:rPr>
              <w:t>-</w:t>
            </w:r>
          </w:p>
        </w:tc>
        <w:tc>
          <w:tcPr>
            <w:tcW w:w="1079" w:type="dxa"/>
          </w:tcPr>
          <w:p>
            <w:pPr>
              <w:pStyle w:val="TableParagraph"/>
              <w:spacing w:before="10"/>
              <w:ind w:right="56"/>
              <w:rPr>
                <w:sz w:val="16"/>
              </w:rPr>
            </w:pPr>
            <w:r>
              <w:rPr>
                <w:spacing w:val="-5"/>
                <w:sz w:val="16"/>
              </w:rPr>
              <w:t>5.0</w:t>
            </w:r>
          </w:p>
        </w:tc>
        <w:tc>
          <w:tcPr>
            <w:tcW w:w="1171" w:type="dxa"/>
          </w:tcPr>
          <w:p>
            <w:pPr>
              <w:pStyle w:val="TableParagraph"/>
              <w:spacing w:before="10"/>
              <w:ind w:right="240"/>
              <w:rPr>
                <w:sz w:val="16"/>
              </w:rPr>
            </w:pPr>
            <w:r>
              <w:rPr>
                <w:w w:val="98"/>
                <w:sz w:val="16"/>
              </w:rPr>
              <w:t>-</w:t>
            </w:r>
          </w:p>
        </w:tc>
        <w:tc>
          <w:tcPr>
            <w:tcW w:w="701" w:type="dxa"/>
          </w:tcPr>
          <w:p>
            <w:pPr>
              <w:pStyle w:val="TableParagraph"/>
              <w:spacing w:before="10"/>
              <w:ind w:right="182"/>
              <w:rPr>
                <w:sz w:val="16"/>
              </w:rPr>
            </w:pPr>
            <w:r>
              <w:rPr>
                <w:w w:val="98"/>
                <w:sz w:val="16"/>
              </w:rPr>
              <w:t>-</w:t>
            </w:r>
          </w:p>
        </w:tc>
        <w:tc>
          <w:tcPr>
            <w:tcW w:w="1054" w:type="dxa"/>
          </w:tcPr>
          <w:p>
            <w:pPr>
              <w:pStyle w:val="TableParagraph"/>
              <w:spacing w:before="10"/>
              <w:ind w:right="110"/>
              <w:rPr>
                <w:sz w:val="16"/>
              </w:rPr>
            </w:pPr>
            <w:r>
              <w:rPr>
                <w:spacing w:val="-5"/>
                <w:sz w:val="16"/>
              </w:rPr>
              <w:t>5.0</w:t>
            </w:r>
          </w:p>
        </w:tc>
      </w:tr>
      <w:tr>
        <w:trPr>
          <w:trHeight w:val="225" w:hRule="atLeast"/>
        </w:trPr>
        <w:tc>
          <w:tcPr>
            <w:tcW w:w="2475" w:type="dxa"/>
          </w:tcPr>
          <w:p>
            <w:pPr>
              <w:pStyle w:val="TableParagraph"/>
              <w:spacing w:before="7"/>
              <w:ind w:left="117"/>
              <w:jc w:val="left"/>
              <w:rPr>
                <w:sz w:val="16"/>
              </w:rPr>
            </w:pPr>
            <w:r>
              <w:rPr>
                <w:sz w:val="16"/>
              </w:rPr>
              <w:t>General</w:t>
            </w:r>
            <w:r>
              <w:rPr>
                <w:spacing w:val="-4"/>
                <w:sz w:val="16"/>
              </w:rPr>
              <w:t> </w:t>
            </w:r>
            <w:r>
              <w:rPr>
                <w:sz w:val="16"/>
              </w:rPr>
              <w:t>operating</w:t>
            </w:r>
            <w:r>
              <w:rPr>
                <w:spacing w:val="-1"/>
                <w:sz w:val="16"/>
              </w:rPr>
              <w:t> </w:t>
            </w:r>
            <w:r>
              <w:rPr>
                <w:spacing w:val="-2"/>
                <w:sz w:val="16"/>
              </w:rPr>
              <w:t>expenses</w:t>
            </w:r>
          </w:p>
        </w:tc>
        <w:tc>
          <w:tcPr>
            <w:tcW w:w="1211" w:type="dxa"/>
          </w:tcPr>
          <w:p>
            <w:pPr>
              <w:pStyle w:val="TableParagraph"/>
              <w:spacing w:before="7"/>
              <w:ind w:right="193"/>
              <w:rPr>
                <w:sz w:val="16"/>
              </w:rPr>
            </w:pPr>
            <w:r>
              <w:rPr>
                <w:spacing w:val="-5"/>
                <w:sz w:val="16"/>
              </w:rPr>
              <w:t>0.0</w:t>
            </w:r>
          </w:p>
        </w:tc>
        <w:tc>
          <w:tcPr>
            <w:tcW w:w="827" w:type="dxa"/>
          </w:tcPr>
          <w:p>
            <w:pPr>
              <w:pStyle w:val="TableParagraph"/>
              <w:spacing w:before="7"/>
              <w:ind w:right="109"/>
              <w:rPr>
                <w:sz w:val="16"/>
              </w:rPr>
            </w:pPr>
            <w:r>
              <w:rPr>
                <w:w w:val="98"/>
                <w:sz w:val="16"/>
              </w:rPr>
              <w:t>-</w:t>
            </w:r>
          </w:p>
        </w:tc>
        <w:tc>
          <w:tcPr>
            <w:tcW w:w="1131" w:type="dxa"/>
          </w:tcPr>
          <w:p>
            <w:pPr>
              <w:pStyle w:val="TableParagraph"/>
              <w:spacing w:before="7"/>
              <w:ind w:right="105"/>
              <w:rPr>
                <w:sz w:val="16"/>
              </w:rPr>
            </w:pPr>
            <w:r>
              <w:rPr>
                <w:spacing w:val="-5"/>
                <w:sz w:val="16"/>
              </w:rPr>
              <w:t>0.0</w:t>
            </w:r>
          </w:p>
        </w:tc>
        <w:tc>
          <w:tcPr>
            <w:tcW w:w="1079" w:type="dxa"/>
          </w:tcPr>
          <w:p>
            <w:pPr>
              <w:pStyle w:val="TableParagraph"/>
              <w:spacing w:before="7"/>
              <w:ind w:right="53"/>
              <w:rPr>
                <w:sz w:val="16"/>
              </w:rPr>
            </w:pPr>
            <w:r>
              <w:rPr>
                <w:w w:val="98"/>
                <w:sz w:val="16"/>
              </w:rPr>
              <w:t>-</w:t>
            </w:r>
          </w:p>
        </w:tc>
        <w:tc>
          <w:tcPr>
            <w:tcW w:w="1171" w:type="dxa"/>
          </w:tcPr>
          <w:p>
            <w:pPr>
              <w:pStyle w:val="TableParagraph"/>
              <w:spacing w:before="7"/>
              <w:ind w:right="240"/>
              <w:rPr>
                <w:sz w:val="16"/>
              </w:rPr>
            </w:pPr>
            <w:r>
              <w:rPr>
                <w:w w:val="98"/>
                <w:sz w:val="16"/>
              </w:rPr>
              <w:t>-</w:t>
            </w:r>
          </w:p>
        </w:tc>
        <w:tc>
          <w:tcPr>
            <w:tcW w:w="701" w:type="dxa"/>
          </w:tcPr>
          <w:p>
            <w:pPr>
              <w:pStyle w:val="TableParagraph"/>
              <w:spacing w:before="7"/>
              <w:ind w:right="182"/>
              <w:rPr>
                <w:sz w:val="16"/>
              </w:rPr>
            </w:pPr>
            <w:r>
              <w:rPr>
                <w:w w:val="98"/>
                <w:sz w:val="16"/>
              </w:rPr>
              <w:t>-</w:t>
            </w:r>
          </w:p>
        </w:tc>
        <w:tc>
          <w:tcPr>
            <w:tcW w:w="1054" w:type="dxa"/>
          </w:tcPr>
          <w:p>
            <w:pPr>
              <w:pStyle w:val="TableParagraph"/>
              <w:spacing w:before="7"/>
              <w:ind w:right="107"/>
              <w:rPr>
                <w:sz w:val="16"/>
              </w:rPr>
            </w:pPr>
            <w:r>
              <w:rPr>
                <w:w w:val="98"/>
                <w:sz w:val="16"/>
              </w:rPr>
              <w:t>-</w:t>
            </w:r>
          </w:p>
        </w:tc>
      </w:tr>
      <w:tr>
        <w:trPr>
          <w:trHeight w:val="225" w:hRule="atLeast"/>
        </w:trPr>
        <w:tc>
          <w:tcPr>
            <w:tcW w:w="2475" w:type="dxa"/>
          </w:tcPr>
          <w:p>
            <w:pPr>
              <w:pStyle w:val="TableParagraph"/>
              <w:spacing w:before="7"/>
              <w:ind w:left="117"/>
              <w:jc w:val="left"/>
              <w:rPr>
                <w:sz w:val="16"/>
              </w:rPr>
            </w:pPr>
            <w:r>
              <w:rPr>
                <w:sz w:val="16"/>
              </w:rPr>
              <w:t>Supplies</w:t>
            </w:r>
            <w:r>
              <w:rPr>
                <w:spacing w:val="-4"/>
                <w:sz w:val="16"/>
              </w:rPr>
              <w:t> </w:t>
            </w:r>
            <w:r>
              <w:rPr>
                <w:sz w:val="16"/>
              </w:rPr>
              <w:t>and</w:t>
            </w:r>
            <w:r>
              <w:rPr>
                <w:spacing w:val="-2"/>
                <w:sz w:val="16"/>
              </w:rPr>
              <w:t> materials</w:t>
            </w:r>
          </w:p>
        </w:tc>
        <w:tc>
          <w:tcPr>
            <w:tcW w:w="1211" w:type="dxa"/>
          </w:tcPr>
          <w:p>
            <w:pPr>
              <w:pStyle w:val="TableParagraph"/>
              <w:spacing w:before="7"/>
              <w:ind w:right="190"/>
              <w:rPr>
                <w:sz w:val="16"/>
              </w:rPr>
            </w:pPr>
            <w:r>
              <w:rPr>
                <w:w w:val="98"/>
                <w:sz w:val="16"/>
              </w:rPr>
              <w:t>-</w:t>
            </w:r>
          </w:p>
        </w:tc>
        <w:tc>
          <w:tcPr>
            <w:tcW w:w="827" w:type="dxa"/>
          </w:tcPr>
          <w:p>
            <w:pPr>
              <w:pStyle w:val="TableParagraph"/>
              <w:spacing w:before="7"/>
              <w:ind w:right="109"/>
              <w:rPr>
                <w:sz w:val="16"/>
              </w:rPr>
            </w:pPr>
            <w:r>
              <w:rPr>
                <w:w w:val="98"/>
                <w:sz w:val="16"/>
              </w:rPr>
              <w:t>-</w:t>
            </w:r>
          </w:p>
        </w:tc>
        <w:tc>
          <w:tcPr>
            <w:tcW w:w="1131" w:type="dxa"/>
          </w:tcPr>
          <w:p>
            <w:pPr>
              <w:pStyle w:val="TableParagraph"/>
              <w:spacing w:before="7"/>
              <w:ind w:right="102"/>
              <w:rPr>
                <w:sz w:val="16"/>
              </w:rPr>
            </w:pPr>
            <w:r>
              <w:rPr>
                <w:w w:val="98"/>
                <w:sz w:val="16"/>
              </w:rPr>
              <w:t>-</w:t>
            </w:r>
          </w:p>
        </w:tc>
        <w:tc>
          <w:tcPr>
            <w:tcW w:w="1079" w:type="dxa"/>
          </w:tcPr>
          <w:p>
            <w:pPr>
              <w:pStyle w:val="TableParagraph"/>
              <w:spacing w:before="7"/>
              <w:ind w:right="53"/>
              <w:rPr>
                <w:sz w:val="16"/>
              </w:rPr>
            </w:pPr>
            <w:r>
              <w:rPr>
                <w:w w:val="98"/>
                <w:sz w:val="16"/>
              </w:rPr>
              <w:t>-</w:t>
            </w:r>
          </w:p>
        </w:tc>
        <w:tc>
          <w:tcPr>
            <w:tcW w:w="1171" w:type="dxa"/>
          </w:tcPr>
          <w:p>
            <w:pPr>
              <w:pStyle w:val="TableParagraph"/>
              <w:spacing w:before="7"/>
              <w:ind w:right="240"/>
              <w:rPr>
                <w:sz w:val="16"/>
              </w:rPr>
            </w:pPr>
            <w:r>
              <w:rPr>
                <w:w w:val="98"/>
                <w:sz w:val="16"/>
              </w:rPr>
              <w:t>-</w:t>
            </w:r>
          </w:p>
        </w:tc>
        <w:tc>
          <w:tcPr>
            <w:tcW w:w="701" w:type="dxa"/>
          </w:tcPr>
          <w:p>
            <w:pPr>
              <w:pStyle w:val="TableParagraph"/>
              <w:spacing w:before="7"/>
              <w:ind w:right="182"/>
              <w:rPr>
                <w:sz w:val="16"/>
              </w:rPr>
            </w:pPr>
            <w:r>
              <w:rPr>
                <w:w w:val="98"/>
                <w:sz w:val="16"/>
              </w:rPr>
              <w:t>-</w:t>
            </w:r>
          </w:p>
        </w:tc>
        <w:tc>
          <w:tcPr>
            <w:tcW w:w="1054" w:type="dxa"/>
          </w:tcPr>
          <w:p>
            <w:pPr>
              <w:pStyle w:val="TableParagraph"/>
              <w:spacing w:before="7"/>
              <w:ind w:right="107"/>
              <w:rPr>
                <w:sz w:val="16"/>
              </w:rPr>
            </w:pPr>
            <w:r>
              <w:rPr>
                <w:w w:val="98"/>
                <w:sz w:val="16"/>
              </w:rPr>
              <w:t>-</w:t>
            </w:r>
          </w:p>
        </w:tc>
      </w:tr>
      <w:tr>
        <w:trPr>
          <w:trHeight w:val="223" w:hRule="atLeast"/>
        </w:trPr>
        <w:tc>
          <w:tcPr>
            <w:tcW w:w="2475" w:type="dxa"/>
            <w:tcBorders>
              <w:bottom w:val="single" w:sz="4" w:space="0" w:color="000000"/>
            </w:tcBorders>
          </w:tcPr>
          <w:p>
            <w:pPr>
              <w:pStyle w:val="TableParagraph"/>
              <w:spacing w:before="7"/>
              <w:ind w:left="117"/>
              <w:jc w:val="left"/>
              <w:rPr>
                <w:sz w:val="16"/>
              </w:rPr>
            </w:pPr>
            <w:r>
              <w:rPr>
                <w:sz w:val="16"/>
              </w:rPr>
              <w:t>Furniture</w:t>
            </w:r>
            <w:r>
              <w:rPr>
                <w:spacing w:val="-4"/>
                <w:sz w:val="16"/>
              </w:rPr>
              <w:t> </w:t>
            </w:r>
            <w:r>
              <w:rPr>
                <w:sz w:val="16"/>
              </w:rPr>
              <w:t>and</w:t>
            </w:r>
            <w:r>
              <w:rPr>
                <w:spacing w:val="-2"/>
                <w:sz w:val="16"/>
              </w:rPr>
              <w:t> equipment</w:t>
            </w:r>
          </w:p>
        </w:tc>
        <w:tc>
          <w:tcPr>
            <w:tcW w:w="1211" w:type="dxa"/>
            <w:tcBorders>
              <w:bottom w:val="single" w:sz="4" w:space="0" w:color="000000"/>
            </w:tcBorders>
          </w:tcPr>
          <w:p>
            <w:pPr>
              <w:pStyle w:val="TableParagraph"/>
              <w:spacing w:before="7"/>
              <w:ind w:right="190"/>
              <w:rPr>
                <w:sz w:val="16"/>
              </w:rPr>
            </w:pPr>
            <w:r>
              <w:rPr>
                <w:w w:val="98"/>
                <w:sz w:val="16"/>
              </w:rPr>
              <w:t>-</w:t>
            </w:r>
          </w:p>
        </w:tc>
        <w:tc>
          <w:tcPr>
            <w:tcW w:w="827" w:type="dxa"/>
            <w:tcBorders>
              <w:bottom w:val="single" w:sz="4" w:space="0" w:color="000000"/>
            </w:tcBorders>
          </w:tcPr>
          <w:p>
            <w:pPr>
              <w:pStyle w:val="TableParagraph"/>
              <w:spacing w:before="7"/>
              <w:ind w:right="109"/>
              <w:rPr>
                <w:sz w:val="16"/>
              </w:rPr>
            </w:pPr>
            <w:r>
              <w:rPr>
                <w:w w:val="98"/>
                <w:sz w:val="16"/>
              </w:rPr>
              <w:t>-</w:t>
            </w:r>
          </w:p>
        </w:tc>
        <w:tc>
          <w:tcPr>
            <w:tcW w:w="1131" w:type="dxa"/>
            <w:tcBorders>
              <w:bottom w:val="single" w:sz="4" w:space="0" w:color="000000"/>
            </w:tcBorders>
          </w:tcPr>
          <w:p>
            <w:pPr>
              <w:pStyle w:val="TableParagraph"/>
              <w:spacing w:before="7"/>
              <w:ind w:right="102"/>
              <w:rPr>
                <w:sz w:val="16"/>
              </w:rPr>
            </w:pPr>
            <w:r>
              <w:rPr>
                <w:w w:val="98"/>
                <w:sz w:val="16"/>
              </w:rPr>
              <w:t>-</w:t>
            </w:r>
          </w:p>
        </w:tc>
        <w:tc>
          <w:tcPr>
            <w:tcW w:w="1079" w:type="dxa"/>
            <w:tcBorders>
              <w:bottom w:val="single" w:sz="4" w:space="0" w:color="000000"/>
            </w:tcBorders>
          </w:tcPr>
          <w:p>
            <w:pPr>
              <w:pStyle w:val="TableParagraph"/>
              <w:spacing w:before="7"/>
              <w:ind w:right="53"/>
              <w:rPr>
                <w:sz w:val="16"/>
              </w:rPr>
            </w:pPr>
            <w:r>
              <w:rPr>
                <w:w w:val="98"/>
                <w:sz w:val="16"/>
              </w:rPr>
              <w:t>-</w:t>
            </w:r>
          </w:p>
        </w:tc>
        <w:tc>
          <w:tcPr>
            <w:tcW w:w="1171" w:type="dxa"/>
            <w:tcBorders>
              <w:bottom w:val="single" w:sz="4" w:space="0" w:color="000000"/>
            </w:tcBorders>
          </w:tcPr>
          <w:p>
            <w:pPr>
              <w:pStyle w:val="TableParagraph"/>
              <w:spacing w:before="7"/>
              <w:ind w:right="240"/>
              <w:rPr>
                <w:sz w:val="16"/>
              </w:rPr>
            </w:pPr>
            <w:r>
              <w:rPr>
                <w:w w:val="98"/>
                <w:sz w:val="16"/>
              </w:rPr>
              <w:t>-</w:t>
            </w:r>
          </w:p>
        </w:tc>
        <w:tc>
          <w:tcPr>
            <w:tcW w:w="701" w:type="dxa"/>
            <w:tcBorders>
              <w:bottom w:val="single" w:sz="4" w:space="0" w:color="000000"/>
            </w:tcBorders>
          </w:tcPr>
          <w:p>
            <w:pPr>
              <w:pStyle w:val="TableParagraph"/>
              <w:spacing w:before="7"/>
              <w:ind w:right="182"/>
              <w:rPr>
                <w:sz w:val="16"/>
              </w:rPr>
            </w:pPr>
            <w:r>
              <w:rPr>
                <w:w w:val="98"/>
                <w:sz w:val="16"/>
              </w:rPr>
              <w:t>-</w:t>
            </w:r>
          </w:p>
        </w:tc>
        <w:tc>
          <w:tcPr>
            <w:tcW w:w="1054" w:type="dxa"/>
            <w:tcBorders>
              <w:bottom w:val="single" w:sz="4" w:space="0" w:color="000000"/>
            </w:tcBorders>
          </w:tcPr>
          <w:p>
            <w:pPr>
              <w:pStyle w:val="TableParagraph"/>
              <w:spacing w:before="7"/>
              <w:ind w:right="107"/>
              <w:rPr>
                <w:sz w:val="16"/>
              </w:rPr>
            </w:pPr>
            <w:r>
              <w:rPr>
                <w:w w:val="98"/>
                <w:sz w:val="16"/>
              </w:rPr>
              <w:t>-</w:t>
            </w:r>
          </w:p>
        </w:tc>
      </w:tr>
      <w:tr>
        <w:trPr>
          <w:trHeight w:val="230" w:hRule="atLeast"/>
        </w:trPr>
        <w:tc>
          <w:tcPr>
            <w:tcW w:w="2475" w:type="dxa"/>
            <w:tcBorders>
              <w:top w:val="single" w:sz="4" w:space="0" w:color="000000"/>
              <w:bottom w:val="single" w:sz="4" w:space="0" w:color="000000"/>
            </w:tcBorders>
          </w:tcPr>
          <w:p>
            <w:pPr>
              <w:pStyle w:val="TableParagraph"/>
              <w:spacing w:before="14"/>
              <w:ind w:right="102"/>
              <w:rPr>
                <w:i/>
                <w:sz w:val="16"/>
              </w:rPr>
            </w:pPr>
            <w:r>
              <w:rPr>
                <w:i/>
                <w:w w:val="95"/>
                <w:sz w:val="16"/>
              </w:rPr>
              <w:t>Subtotal</w:t>
            </w:r>
            <w:r>
              <w:rPr>
                <w:i/>
                <w:spacing w:val="40"/>
                <w:sz w:val="16"/>
              </w:rPr>
              <w:t> </w:t>
            </w:r>
            <w:r>
              <w:rPr>
                <w:i/>
                <w:w w:val="95"/>
                <w:sz w:val="16"/>
              </w:rPr>
              <w:t>non-</w:t>
            </w:r>
            <w:r>
              <w:rPr>
                <w:i/>
                <w:spacing w:val="-4"/>
                <w:w w:val="95"/>
                <w:sz w:val="16"/>
              </w:rPr>
              <w:t>staff</w:t>
            </w:r>
          </w:p>
        </w:tc>
        <w:tc>
          <w:tcPr>
            <w:tcW w:w="1211" w:type="dxa"/>
            <w:tcBorders>
              <w:top w:val="single" w:sz="4" w:space="0" w:color="000000"/>
              <w:bottom w:val="single" w:sz="4" w:space="0" w:color="000000"/>
            </w:tcBorders>
          </w:tcPr>
          <w:p>
            <w:pPr>
              <w:pStyle w:val="TableParagraph"/>
              <w:spacing w:before="14"/>
              <w:ind w:right="188"/>
              <w:rPr>
                <w:i/>
                <w:sz w:val="16"/>
              </w:rPr>
            </w:pPr>
            <w:r>
              <w:rPr>
                <w:i/>
                <w:spacing w:val="-4"/>
                <w:sz w:val="16"/>
              </w:rPr>
              <w:t>39.8</w:t>
            </w:r>
          </w:p>
        </w:tc>
        <w:tc>
          <w:tcPr>
            <w:tcW w:w="827" w:type="dxa"/>
            <w:tcBorders>
              <w:top w:val="single" w:sz="4" w:space="0" w:color="000000"/>
              <w:bottom w:val="single" w:sz="4" w:space="0" w:color="000000"/>
            </w:tcBorders>
          </w:tcPr>
          <w:p>
            <w:pPr>
              <w:pStyle w:val="TableParagraph"/>
              <w:spacing w:before="14"/>
              <w:ind w:right="109"/>
              <w:rPr>
                <w:i/>
                <w:sz w:val="16"/>
              </w:rPr>
            </w:pPr>
            <w:r>
              <w:rPr>
                <w:i/>
                <w:w w:val="98"/>
                <w:sz w:val="16"/>
              </w:rPr>
              <w:t>-</w:t>
            </w:r>
          </w:p>
        </w:tc>
        <w:tc>
          <w:tcPr>
            <w:tcW w:w="1131" w:type="dxa"/>
            <w:tcBorders>
              <w:top w:val="single" w:sz="4" w:space="0" w:color="000000"/>
              <w:bottom w:val="single" w:sz="4" w:space="0" w:color="000000"/>
            </w:tcBorders>
          </w:tcPr>
          <w:p>
            <w:pPr>
              <w:pStyle w:val="TableParagraph"/>
              <w:spacing w:before="14"/>
              <w:ind w:right="101"/>
              <w:rPr>
                <w:i/>
                <w:sz w:val="16"/>
              </w:rPr>
            </w:pPr>
            <w:r>
              <w:rPr>
                <w:i/>
                <w:spacing w:val="-4"/>
                <w:sz w:val="16"/>
              </w:rPr>
              <w:t>39.8</w:t>
            </w:r>
          </w:p>
        </w:tc>
        <w:tc>
          <w:tcPr>
            <w:tcW w:w="1079" w:type="dxa"/>
            <w:tcBorders>
              <w:top w:val="single" w:sz="4" w:space="0" w:color="000000"/>
              <w:bottom w:val="single" w:sz="4" w:space="0" w:color="000000"/>
            </w:tcBorders>
          </w:tcPr>
          <w:p>
            <w:pPr>
              <w:pStyle w:val="TableParagraph"/>
              <w:spacing w:before="14"/>
              <w:ind w:right="52"/>
              <w:rPr>
                <w:i/>
                <w:sz w:val="16"/>
              </w:rPr>
            </w:pPr>
            <w:r>
              <w:rPr>
                <w:i/>
                <w:spacing w:val="-2"/>
                <w:sz w:val="16"/>
              </w:rPr>
              <w:t>119.0</w:t>
            </w:r>
          </w:p>
        </w:tc>
        <w:tc>
          <w:tcPr>
            <w:tcW w:w="1171" w:type="dxa"/>
            <w:tcBorders>
              <w:top w:val="single" w:sz="4" w:space="0" w:color="000000"/>
              <w:bottom w:val="single" w:sz="4" w:space="0" w:color="000000"/>
            </w:tcBorders>
          </w:tcPr>
          <w:p>
            <w:pPr>
              <w:pStyle w:val="TableParagraph"/>
              <w:spacing w:before="14"/>
              <w:ind w:right="240"/>
              <w:rPr>
                <w:i/>
                <w:sz w:val="16"/>
              </w:rPr>
            </w:pPr>
            <w:r>
              <w:rPr>
                <w:i/>
                <w:w w:val="98"/>
                <w:sz w:val="16"/>
              </w:rPr>
              <w:t>-</w:t>
            </w:r>
          </w:p>
        </w:tc>
        <w:tc>
          <w:tcPr>
            <w:tcW w:w="701" w:type="dxa"/>
            <w:tcBorders>
              <w:top w:val="single" w:sz="4" w:space="0" w:color="000000"/>
              <w:bottom w:val="single" w:sz="4" w:space="0" w:color="000000"/>
            </w:tcBorders>
          </w:tcPr>
          <w:p>
            <w:pPr>
              <w:pStyle w:val="TableParagraph"/>
              <w:spacing w:before="14"/>
              <w:ind w:right="182"/>
              <w:rPr>
                <w:i/>
                <w:sz w:val="16"/>
              </w:rPr>
            </w:pPr>
            <w:r>
              <w:rPr>
                <w:i/>
                <w:w w:val="98"/>
                <w:sz w:val="16"/>
              </w:rPr>
              <w:t>-</w:t>
            </w:r>
          </w:p>
        </w:tc>
        <w:tc>
          <w:tcPr>
            <w:tcW w:w="1054" w:type="dxa"/>
            <w:tcBorders>
              <w:top w:val="single" w:sz="4" w:space="0" w:color="000000"/>
              <w:bottom w:val="single" w:sz="4" w:space="0" w:color="000000"/>
            </w:tcBorders>
          </w:tcPr>
          <w:p>
            <w:pPr>
              <w:pStyle w:val="TableParagraph"/>
              <w:spacing w:before="14"/>
              <w:ind w:right="106"/>
              <w:rPr>
                <w:i/>
                <w:sz w:val="16"/>
              </w:rPr>
            </w:pPr>
            <w:r>
              <w:rPr>
                <w:i/>
                <w:spacing w:val="-2"/>
                <w:sz w:val="16"/>
              </w:rPr>
              <w:t>119.0</w:t>
            </w:r>
          </w:p>
        </w:tc>
      </w:tr>
      <w:tr>
        <w:trPr>
          <w:trHeight w:val="224" w:hRule="atLeast"/>
        </w:trPr>
        <w:tc>
          <w:tcPr>
            <w:tcW w:w="2475" w:type="dxa"/>
            <w:tcBorders>
              <w:top w:val="single" w:sz="4" w:space="0" w:color="000000"/>
              <w:bottom w:val="single" w:sz="12" w:space="0" w:color="000000"/>
            </w:tcBorders>
          </w:tcPr>
          <w:p>
            <w:pPr>
              <w:pStyle w:val="TableParagraph"/>
              <w:spacing w:before="9"/>
              <w:ind w:left="117"/>
              <w:jc w:val="left"/>
              <w:rPr>
                <w:b/>
                <w:sz w:val="16"/>
              </w:rPr>
            </w:pPr>
            <w:r>
              <w:rPr>
                <w:b/>
                <w:spacing w:val="-2"/>
                <w:sz w:val="16"/>
              </w:rPr>
              <w:t>Total</w:t>
            </w:r>
          </w:p>
        </w:tc>
        <w:tc>
          <w:tcPr>
            <w:tcW w:w="1211" w:type="dxa"/>
            <w:tcBorders>
              <w:top w:val="single" w:sz="4" w:space="0" w:color="000000"/>
              <w:bottom w:val="single" w:sz="12" w:space="0" w:color="000000"/>
            </w:tcBorders>
          </w:tcPr>
          <w:p>
            <w:pPr>
              <w:pStyle w:val="TableParagraph"/>
              <w:spacing w:before="9"/>
              <w:ind w:right="189"/>
              <w:rPr>
                <w:b/>
                <w:sz w:val="16"/>
              </w:rPr>
            </w:pPr>
            <w:r>
              <w:rPr>
                <w:b/>
                <w:spacing w:val="-2"/>
                <w:sz w:val="16"/>
              </w:rPr>
              <w:t>11,019.9</w:t>
            </w:r>
          </w:p>
        </w:tc>
        <w:tc>
          <w:tcPr>
            <w:tcW w:w="827" w:type="dxa"/>
            <w:tcBorders>
              <w:top w:val="single" w:sz="4" w:space="0" w:color="000000"/>
              <w:bottom w:val="single" w:sz="12" w:space="0" w:color="000000"/>
            </w:tcBorders>
          </w:tcPr>
          <w:p>
            <w:pPr>
              <w:pStyle w:val="TableParagraph"/>
              <w:spacing w:before="9"/>
              <w:ind w:right="109"/>
              <w:rPr>
                <w:b/>
                <w:sz w:val="16"/>
              </w:rPr>
            </w:pPr>
            <w:r>
              <w:rPr>
                <w:b/>
                <w:w w:val="98"/>
                <w:sz w:val="16"/>
              </w:rPr>
              <w:t>-</w:t>
            </w:r>
          </w:p>
        </w:tc>
        <w:tc>
          <w:tcPr>
            <w:tcW w:w="1131" w:type="dxa"/>
            <w:tcBorders>
              <w:top w:val="single" w:sz="4" w:space="0" w:color="000000"/>
              <w:bottom w:val="single" w:sz="12" w:space="0" w:color="000000"/>
            </w:tcBorders>
          </w:tcPr>
          <w:p>
            <w:pPr>
              <w:pStyle w:val="TableParagraph"/>
              <w:spacing w:before="9"/>
              <w:ind w:right="101"/>
              <w:rPr>
                <w:b/>
                <w:sz w:val="16"/>
              </w:rPr>
            </w:pPr>
            <w:r>
              <w:rPr>
                <w:b/>
                <w:spacing w:val="-2"/>
                <w:sz w:val="16"/>
              </w:rPr>
              <w:t>11,019.9</w:t>
            </w:r>
          </w:p>
        </w:tc>
        <w:tc>
          <w:tcPr>
            <w:tcW w:w="1079" w:type="dxa"/>
            <w:tcBorders>
              <w:top w:val="single" w:sz="4" w:space="0" w:color="000000"/>
              <w:bottom w:val="single" w:sz="12" w:space="0" w:color="000000"/>
            </w:tcBorders>
          </w:tcPr>
          <w:p>
            <w:pPr>
              <w:pStyle w:val="TableParagraph"/>
              <w:spacing w:before="9"/>
              <w:ind w:right="52"/>
              <w:rPr>
                <w:b/>
                <w:sz w:val="16"/>
              </w:rPr>
            </w:pPr>
            <w:r>
              <w:rPr>
                <w:b/>
                <w:spacing w:val="-2"/>
                <w:sz w:val="16"/>
              </w:rPr>
              <w:t>12,385.7</w:t>
            </w:r>
          </w:p>
        </w:tc>
        <w:tc>
          <w:tcPr>
            <w:tcW w:w="1171" w:type="dxa"/>
            <w:tcBorders>
              <w:top w:val="single" w:sz="4" w:space="0" w:color="000000"/>
              <w:bottom w:val="single" w:sz="12" w:space="0" w:color="000000"/>
            </w:tcBorders>
          </w:tcPr>
          <w:p>
            <w:pPr>
              <w:pStyle w:val="TableParagraph"/>
              <w:spacing w:before="9"/>
              <w:ind w:right="238"/>
              <w:rPr>
                <w:b/>
                <w:sz w:val="16"/>
              </w:rPr>
            </w:pPr>
            <w:r>
              <w:rPr>
                <w:b/>
                <w:spacing w:val="-2"/>
                <w:sz w:val="16"/>
              </w:rPr>
              <w:t>1,614.4</w:t>
            </w:r>
          </w:p>
        </w:tc>
        <w:tc>
          <w:tcPr>
            <w:tcW w:w="701" w:type="dxa"/>
            <w:tcBorders>
              <w:top w:val="single" w:sz="4" w:space="0" w:color="000000"/>
              <w:bottom w:val="single" w:sz="12" w:space="0" w:color="000000"/>
            </w:tcBorders>
          </w:tcPr>
          <w:p>
            <w:pPr>
              <w:pStyle w:val="TableParagraph"/>
              <w:spacing w:before="9"/>
              <w:ind w:right="180"/>
              <w:rPr>
                <w:b/>
                <w:sz w:val="16"/>
              </w:rPr>
            </w:pPr>
            <w:r>
              <w:rPr>
                <w:b/>
                <w:spacing w:val="-4"/>
                <w:sz w:val="16"/>
              </w:rPr>
              <w:t>13.0</w:t>
            </w:r>
          </w:p>
        </w:tc>
        <w:tc>
          <w:tcPr>
            <w:tcW w:w="1054" w:type="dxa"/>
            <w:tcBorders>
              <w:top w:val="single" w:sz="4" w:space="0" w:color="000000"/>
              <w:bottom w:val="single" w:sz="12" w:space="0" w:color="000000"/>
            </w:tcBorders>
          </w:tcPr>
          <w:p>
            <w:pPr>
              <w:pStyle w:val="TableParagraph"/>
              <w:spacing w:before="9"/>
              <w:ind w:right="106"/>
              <w:rPr>
                <w:b/>
                <w:sz w:val="16"/>
              </w:rPr>
            </w:pPr>
            <w:r>
              <w:rPr>
                <w:b/>
                <w:spacing w:val="-2"/>
                <w:sz w:val="16"/>
              </w:rPr>
              <w:t>14,000.1</w:t>
            </w:r>
          </w:p>
        </w:tc>
      </w:tr>
    </w:tbl>
    <w:p>
      <w:pPr>
        <w:pStyle w:val="BodyText"/>
        <w:spacing w:before="9"/>
        <w:rPr>
          <w:b/>
          <w:sz w:val="21"/>
        </w:rPr>
      </w:pPr>
    </w:p>
    <w:p>
      <w:pPr>
        <w:spacing w:before="1"/>
        <w:ind w:left="2246" w:right="0" w:firstLine="0"/>
        <w:jc w:val="left"/>
        <w:rPr>
          <w:b/>
          <w:sz w:val="20"/>
        </w:rPr>
      </w:pPr>
      <w:r>
        <w:rPr>
          <w:b/>
          <w:sz w:val="20"/>
        </w:rPr>
        <w:t>Table</w:t>
      </w:r>
      <w:r>
        <w:rPr>
          <w:b/>
          <w:spacing w:val="-6"/>
          <w:sz w:val="20"/>
        </w:rPr>
        <w:t> </w:t>
      </w:r>
      <w:r>
        <w:rPr>
          <w:b/>
          <w:sz w:val="20"/>
        </w:rPr>
        <w:t>6:</w:t>
      </w:r>
      <w:r>
        <w:rPr>
          <w:b/>
          <w:spacing w:val="-7"/>
          <w:sz w:val="20"/>
        </w:rPr>
        <w:t> </w:t>
      </w:r>
      <w:r>
        <w:rPr>
          <w:b/>
          <w:sz w:val="20"/>
        </w:rPr>
        <w:t>Major</w:t>
      </w:r>
      <w:r>
        <w:rPr>
          <w:b/>
          <w:spacing w:val="-5"/>
          <w:sz w:val="20"/>
        </w:rPr>
        <w:t> </w:t>
      </w:r>
      <w:r>
        <w:rPr>
          <w:b/>
          <w:sz w:val="20"/>
        </w:rPr>
        <w:t>Programme</w:t>
      </w:r>
      <w:r>
        <w:rPr>
          <w:b/>
          <w:spacing w:val="-5"/>
          <w:sz w:val="20"/>
        </w:rPr>
        <w:t> </w:t>
      </w:r>
      <w:r>
        <w:rPr>
          <w:b/>
          <w:sz w:val="20"/>
        </w:rPr>
        <w:t>I:</w:t>
      </w:r>
      <w:r>
        <w:rPr>
          <w:b/>
          <w:spacing w:val="-7"/>
          <w:sz w:val="20"/>
        </w:rPr>
        <w:t> </w:t>
      </w:r>
      <w:r>
        <w:rPr>
          <w:b/>
          <w:sz w:val="20"/>
        </w:rPr>
        <w:t>Proposed</w:t>
      </w:r>
      <w:r>
        <w:rPr>
          <w:b/>
          <w:spacing w:val="-3"/>
          <w:sz w:val="20"/>
        </w:rPr>
        <w:t> </w:t>
      </w:r>
      <w:r>
        <w:rPr>
          <w:b/>
          <w:sz w:val="20"/>
        </w:rPr>
        <w:t>staffing</w:t>
      </w:r>
      <w:r>
        <w:rPr>
          <w:b/>
          <w:spacing w:val="-7"/>
          <w:sz w:val="20"/>
        </w:rPr>
        <w:t> </w:t>
      </w:r>
      <w:r>
        <w:rPr>
          <w:b/>
          <w:sz w:val="20"/>
        </w:rPr>
        <w:t>for</w:t>
      </w:r>
      <w:r>
        <w:rPr>
          <w:b/>
          <w:spacing w:val="-5"/>
          <w:sz w:val="20"/>
        </w:rPr>
        <w:t> </w:t>
      </w:r>
      <w:r>
        <w:rPr>
          <w:b/>
          <w:spacing w:val="-4"/>
          <w:sz w:val="20"/>
        </w:rPr>
        <w:t>2023</w:t>
      </w:r>
    </w:p>
    <w:tbl>
      <w:tblPr>
        <w:tblW w:w="0" w:type="auto"/>
        <w:jc w:val="left"/>
        <w:tblInd w:w="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6"/>
        <w:gridCol w:w="678"/>
        <w:gridCol w:w="607"/>
        <w:gridCol w:w="563"/>
        <w:gridCol w:w="581"/>
        <w:gridCol w:w="581"/>
        <w:gridCol w:w="566"/>
        <w:gridCol w:w="634"/>
        <w:gridCol w:w="727"/>
        <w:gridCol w:w="462"/>
        <w:gridCol w:w="795"/>
        <w:gridCol w:w="566"/>
        <w:gridCol w:w="576"/>
        <w:gridCol w:w="564"/>
        <w:gridCol w:w="818"/>
        <w:gridCol w:w="515"/>
      </w:tblGrid>
      <w:tr>
        <w:trPr>
          <w:trHeight w:val="484" w:hRule="atLeast"/>
        </w:trPr>
        <w:tc>
          <w:tcPr>
            <w:tcW w:w="1186"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ind w:left="67"/>
              <w:jc w:val="left"/>
              <w:rPr>
                <w:sz w:val="14"/>
              </w:rPr>
            </w:pPr>
            <w:r>
              <w:rPr>
                <w:w w:val="99"/>
                <w:sz w:val="14"/>
              </w:rPr>
              <w:t>I</w:t>
            </w:r>
          </w:p>
        </w:tc>
        <w:tc>
          <w:tcPr>
            <w:tcW w:w="678"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ind w:right="152"/>
              <w:rPr>
                <w:sz w:val="14"/>
              </w:rPr>
            </w:pPr>
            <w:r>
              <w:rPr>
                <w:spacing w:val="-5"/>
                <w:sz w:val="14"/>
              </w:rPr>
              <w:t>USG</w:t>
            </w:r>
          </w:p>
        </w:tc>
        <w:tc>
          <w:tcPr>
            <w:tcW w:w="607"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ind w:right="169"/>
              <w:rPr>
                <w:sz w:val="14"/>
              </w:rPr>
            </w:pPr>
            <w:r>
              <w:rPr>
                <w:spacing w:val="-5"/>
                <w:sz w:val="14"/>
              </w:rPr>
              <w:t>ASG</w:t>
            </w:r>
          </w:p>
        </w:tc>
        <w:tc>
          <w:tcPr>
            <w:tcW w:w="563"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ind w:right="167"/>
              <w:rPr>
                <w:sz w:val="14"/>
              </w:rPr>
            </w:pPr>
            <w:r>
              <w:rPr>
                <w:w w:val="95"/>
                <w:sz w:val="14"/>
              </w:rPr>
              <w:t>D-</w:t>
            </w:r>
            <w:r>
              <w:rPr>
                <w:spacing w:val="-10"/>
                <w:sz w:val="14"/>
              </w:rPr>
              <w:t>2</w:t>
            </w:r>
          </w:p>
        </w:tc>
        <w:tc>
          <w:tcPr>
            <w:tcW w:w="581"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ind w:right="187"/>
              <w:rPr>
                <w:sz w:val="14"/>
              </w:rPr>
            </w:pPr>
            <w:r>
              <w:rPr>
                <w:w w:val="95"/>
                <w:sz w:val="14"/>
              </w:rPr>
              <w:t>D-</w:t>
            </w:r>
            <w:r>
              <w:rPr>
                <w:spacing w:val="-10"/>
                <w:sz w:val="14"/>
              </w:rPr>
              <w:t>1</w:t>
            </w:r>
          </w:p>
        </w:tc>
        <w:tc>
          <w:tcPr>
            <w:tcW w:w="581"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ind w:left="17" w:right="17"/>
              <w:jc w:val="center"/>
              <w:rPr>
                <w:sz w:val="14"/>
              </w:rPr>
            </w:pPr>
            <w:r>
              <w:rPr>
                <w:w w:val="95"/>
                <w:sz w:val="14"/>
              </w:rPr>
              <w:t>P-</w:t>
            </w:r>
            <w:r>
              <w:rPr>
                <w:spacing w:val="-10"/>
                <w:sz w:val="14"/>
              </w:rPr>
              <w:t>5</w:t>
            </w:r>
          </w:p>
        </w:tc>
        <w:tc>
          <w:tcPr>
            <w:tcW w:w="566"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ind w:right="172"/>
              <w:rPr>
                <w:sz w:val="14"/>
              </w:rPr>
            </w:pPr>
            <w:r>
              <w:rPr>
                <w:w w:val="95"/>
                <w:sz w:val="14"/>
              </w:rPr>
              <w:t>P-</w:t>
            </w:r>
            <w:r>
              <w:rPr>
                <w:spacing w:val="-10"/>
                <w:sz w:val="14"/>
              </w:rPr>
              <w:t>4</w:t>
            </w:r>
          </w:p>
        </w:tc>
        <w:tc>
          <w:tcPr>
            <w:tcW w:w="634"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ind w:right="210"/>
              <w:rPr>
                <w:sz w:val="14"/>
              </w:rPr>
            </w:pPr>
            <w:r>
              <w:rPr>
                <w:w w:val="95"/>
                <w:sz w:val="14"/>
              </w:rPr>
              <w:t>P-</w:t>
            </w:r>
            <w:r>
              <w:rPr>
                <w:spacing w:val="-10"/>
                <w:sz w:val="14"/>
              </w:rPr>
              <w:t>3</w:t>
            </w:r>
          </w:p>
        </w:tc>
        <w:tc>
          <w:tcPr>
            <w:tcW w:w="727"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ind w:right="197"/>
              <w:rPr>
                <w:sz w:val="14"/>
              </w:rPr>
            </w:pPr>
            <w:r>
              <w:rPr>
                <w:w w:val="95"/>
                <w:sz w:val="14"/>
              </w:rPr>
              <w:t>P-</w:t>
            </w:r>
            <w:r>
              <w:rPr>
                <w:spacing w:val="-10"/>
                <w:sz w:val="14"/>
              </w:rPr>
              <w:t>2</w:t>
            </w:r>
          </w:p>
        </w:tc>
        <w:tc>
          <w:tcPr>
            <w:tcW w:w="462"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ind w:right="64"/>
              <w:rPr>
                <w:sz w:val="14"/>
              </w:rPr>
            </w:pPr>
            <w:r>
              <w:rPr>
                <w:w w:val="95"/>
                <w:sz w:val="14"/>
              </w:rPr>
              <w:t>P-</w:t>
            </w:r>
            <w:r>
              <w:rPr>
                <w:spacing w:val="-10"/>
                <w:sz w:val="14"/>
              </w:rPr>
              <w:t>1</w:t>
            </w:r>
          </w:p>
        </w:tc>
        <w:tc>
          <w:tcPr>
            <w:tcW w:w="795" w:type="dxa"/>
            <w:tcBorders>
              <w:top w:val="single" w:sz="4" w:space="0" w:color="000000"/>
              <w:bottom w:val="single" w:sz="4" w:space="0" w:color="000000"/>
            </w:tcBorders>
          </w:tcPr>
          <w:p>
            <w:pPr>
              <w:pStyle w:val="TableParagraph"/>
              <w:spacing w:line="235" w:lineRule="auto"/>
              <w:ind w:left="276" w:right="122" w:firstLine="96"/>
              <w:rPr>
                <w:i/>
                <w:sz w:val="14"/>
              </w:rPr>
            </w:pPr>
            <w:r>
              <w:rPr>
                <w:i/>
                <w:spacing w:val="-2"/>
                <w:sz w:val="14"/>
              </w:rPr>
              <w:t>Total</w:t>
            </w:r>
            <w:r>
              <w:rPr>
                <w:i/>
                <w:spacing w:val="40"/>
                <w:sz w:val="14"/>
              </w:rPr>
              <w:t> </w:t>
            </w:r>
            <w:r>
              <w:rPr>
                <w:i/>
                <w:w w:val="95"/>
                <w:sz w:val="14"/>
              </w:rPr>
              <w:t>P-</w:t>
            </w:r>
            <w:r>
              <w:rPr>
                <w:i/>
                <w:spacing w:val="-4"/>
                <w:sz w:val="14"/>
              </w:rPr>
              <w:t>Staff</w:t>
            </w:r>
          </w:p>
          <w:p>
            <w:pPr>
              <w:pStyle w:val="TableParagraph"/>
              <w:spacing w:line="149" w:lineRule="exact"/>
              <w:ind w:right="119"/>
              <w:rPr>
                <w:i/>
                <w:sz w:val="14"/>
              </w:rPr>
            </w:pPr>
            <w:r>
              <w:rPr>
                <w:i/>
                <w:sz w:val="14"/>
              </w:rPr>
              <w:t>and</w:t>
            </w:r>
            <w:r>
              <w:rPr>
                <w:i/>
                <w:spacing w:val="1"/>
                <w:sz w:val="14"/>
              </w:rPr>
              <w:t> </w:t>
            </w:r>
            <w:r>
              <w:rPr>
                <w:i/>
                <w:spacing w:val="-2"/>
                <w:sz w:val="14"/>
              </w:rPr>
              <w:t>Above</w:t>
            </w:r>
          </w:p>
        </w:tc>
        <w:tc>
          <w:tcPr>
            <w:tcW w:w="566"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ind w:right="91"/>
              <w:rPr>
                <w:sz w:val="14"/>
              </w:rPr>
            </w:pPr>
            <w:r>
              <w:rPr>
                <w:w w:val="95"/>
                <w:sz w:val="14"/>
              </w:rPr>
              <w:t>NO-</w:t>
            </w:r>
            <w:r>
              <w:rPr>
                <w:spacing w:val="-10"/>
                <w:sz w:val="14"/>
              </w:rPr>
              <w:t>C</w:t>
            </w:r>
          </w:p>
        </w:tc>
        <w:tc>
          <w:tcPr>
            <w:tcW w:w="576"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ind w:right="80"/>
              <w:rPr>
                <w:sz w:val="14"/>
              </w:rPr>
            </w:pPr>
            <w:r>
              <w:rPr>
                <w:w w:val="95"/>
                <w:sz w:val="14"/>
              </w:rPr>
              <w:t>GS-</w:t>
            </w:r>
            <w:r>
              <w:rPr>
                <w:spacing w:val="-5"/>
                <w:sz w:val="14"/>
              </w:rPr>
              <w:t>PL</w:t>
            </w:r>
          </w:p>
        </w:tc>
        <w:tc>
          <w:tcPr>
            <w:tcW w:w="564"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ind w:right="52"/>
              <w:rPr>
                <w:sz w:val="14"/>
              </w:rPr>
            </w:pPr>
            <w:r>
              <w:rPr>
                <w:w w:val="95"/>
                <w:sz w:val="14"/>
              </w:rPr>
              <w:t>GS-</w:t>
            </w:r>
            <w:r>
              <w:rPr>
                <w:spacing w:val="-5"/>
                <w:sz w:val="14"/>
              </w:rPr>
              <w:t>OL</w:t>
            </w:r>
          </w:p>
        </w:tc>
        <w:tc>
          <w:tcPr>
            <w:tcW w:w="818" w:type="dxa"/>
            <w:tcBorders>
              <w:top w:val="single" w:sz="4" w:space="0" w:color="000000"/>
              <w:bottom w:val="single" w:sz="4" w:space="0" w:color="000000"/>
            </w:tcBorders>
          </w:tcPr>
          <w:p>
            <w:pPr>
              <w:pStyle w:val="TableParagraph"/>
              <w:spacing w:line="235" w:lineRule="auto"/>
              <w:ind w:left="263" w:right="125" w:firstLine="124"/>
              <w:jc w:val="left"/>
              <w:rPr>
                <w:i/>
                <w:sz w:val="14"/>
              </w:rPr>
            </w:pPr>
            <w:r>
              <w:rPr>
                <w:i/>
                <w:spacing w:val="-2"/>
                <w:sz w:val="14"/>
              </w:rPr>
              <w:t>Total</w:t>
            </w:r>
            <w:r>
              <w:rPr>
                <w:i/>
                <w:spacing w:val="40"/>
                <w:sz w:val="14"/>
              </w:rPr>
              <w:t> </w:t>
            </w:r>
            <w:r>
              <w:rPr>
                <w:i/>
                <w:sz w:val="14"/>
              </w:rPr>
              <w:t>GS</w:t>
            </w:r>
            <w:r>
              <w:rPr>
                <w:i/>
                <w:spacing w:val="-1"/>
                <w:sz w:val="14"/>
              </w:rPr>
              <w:t> </w:t>
            </w:r>
            <w:r>
              <w:rPr>
                <w:i/>
                <w:spacing w:val="-5"/>
                <w:sz w:val="14"/>
              </w:rPr>
              <w:t>and</w:t>
            </w:r>
          </w:p>
          <w:p>
            <w:pPr>
              <w:pStyle w:val="TableParagraph"/>
              <w:spacing w:line="149" w:lineRule="exact"/>
              <w:ind w:left="66"/>
              <w:jc w:val="left"/>
              <w:rPr>
                <w:i/>
                <w:sz w:val="14"/>
              </w:rPr>
            </w:pPr>
            <w:r>
              <w:rPr>
                <w:i/>
                <w:sz w:val="14"/>
              </w:rPr>
              <w:t>Other</w:t>
            </w:r>
            <w:r>
              <w:rPr>
                <w:i/>
                <w:spacing w:val="-5"/>
                <w:sz w:val="14"/>
              </w:rPr>
              <w:t> </w:t>
            </w:r>
            <w:r>
              <w:rPr>
                <w:i/>
                <w:spacing w:val="-2"/>
                <w:sz w:val="14"/>
              </w:rPr>
              <w:t>Staff</w:t>
            </w:r>
          </w:p>
        </w:tc>
        <w:tc>
          <w:tcPr>
            <w:tcW w:w="515" w:type="dxa"/>
            <w:tcBorders>
              <w:top w:val="single" w:sz="4" w:space="0" w:color="000000"/>
              <w:bottom w:val="single" w:sz="4" w:space="0" w:color="000000"/>
            </w:tcBorders>
          </w:tcPr>
          <w:p>
            <w:pPr>
              <w:pStyle w:val="TableParagraph"/>
              <w:spacing w:before="4"/>
              <w:jc w:val="left"/>
              <w:rPr>
                <w:b/>
                <w:sz w:val="12"/>
              </w:rPr>
            </w:pPr>
          </w:p>
          <w:p>
            <w:pPr>
              <w:pStyle w:val="TableParagraph"/>
              <w:spacing w:line="160" w:lineRule="atLeast"/>
              <w:ind w:left="179" w:hanging="34"/>
              <w:jc w:val="left"/>
              <w:rPr>
                <w:b/>
                <w:sz w:val="14"/>
              </w:rPr>
            </w:pPr>
            <w:r>
              <w:rPr>
                <w:b/>
                <w:spacing w:val="-4"/>
                <w:sz w:val="14"/>
              </w:rPr>
              <w:t>Total</w:t>
            </w:r>
            <w:r>
              <w:rPr>
                <w:b/>
                <w:spacing w:val="40"/>
                <w:sz w:val="14"/>
              </w:rPr>
              <w:t> </w:t>
            </w:r>
            <w:r>
              <w:rPr>
                <w:b/>
                <w:spacing w:val="-4"/>
                <w:sz w:val="14"/>
              </w:rPr>
              <w:t>Staff</w:t>
            </w:r>
          </w:p>
        </w:tc>
      </w:tr>
      <w:tr>
        <w:trPr>
          <w:trHeight w:val="231" w:hRule="atLeast"/>
        </w:trPr>
        <w:tc>
          <w:tcPr>
            <w:tcW w:w="1186" w:type="dxa"/>
            <w:tcBorders>
              <w:top w:val="single" w:sz="4" w:space="0" w:color="000000"/>
            </w:tcBorders>
          </w:tcPr>
          <w:p>
            <w:pPr>
              <w:pStyle w:val="TableParagraph"/>
              <w:spacing w:before="22"/>
              <w:ind w:left="67"/>
              <w:jc w:val="left"/>
              <w:rPr>
                <w:b/>
                <w:sz w:val="14"/>
              </w:rPr>
            </w:pPr>
            <w:r>
              <w:rPr>
                <w:b/>
                <w:spacing w:val="-2"/>
                <w:sz w:val="14"/>
              </w:rPr>
              <w:t>Established</w:t>
            </w:r>
            <w:r>
              <w:rPr>
                <w:b/>
                <w:spacing w:val="11"/>
                <w:sz w:val="14"/>
              </w:rPr>
              <w:t> </w:t>
            </w:r>
            <w:r>
              <w:rPr>
                <w:b/>
                <w:spacing w:val="-2"/>
                <w:sz w:val="14"/>
              </w:rPr>
              <w:t>Posts</w:t>
            </w:r>
          </w:p>
        </w:tc>
        <w:tc>
          <w:tcPr>
            <w:tcW w:w="678" w:type="dxa"/>
            <w:tcBorders>
              <w:top w:val="single" w:sz="4" w:space="0" w:color="000000"/>
            </w:tcBorders>
          </w:tcPr>
          <w:p>
            <w:pPr>
              <w:pStyle w:val="TableParagraph"/>
              <w:jc w:val="left"/>
              <w:rPr>
                <w:sz w:val="14"/>
              </w:rPr>
            </w:pPr>
          </w:p>
        </w:tc>
        <w:tc>
          <w:tcPr>
            <w:tcW w:w="607" w:type="dxa"/>
            <w:tcBorders>
              <w:top w:val="single" w:sz="4" w:space="0" w:color="000000"/>
            </w:tcBorders>
          </w:tcPr>
          <w:p>
            <w:pPr>
              <w:pStyle w:val="TableParagraph"/>
              <w:jc w:val="left"/>
              <w:rPr>
                <w:sz w:val="14"/>
              </w:rPr>
            </w:pPr>
          </w:p>
        </w:tc>
        <w:tc>
          <w:tcPr>
            <w:tcW w:w="563" w:type="dxa"/>
            <w:tcBorders>
              <w:top w:val="single" w:sz="4" w:space="0" w:color="000000"/>
            </w:tcBorders>
          </w:tcPr>
          <w:p>
            <w:pPr>
              <w:pStyle w:val="TableParagraph"/>
              <w:jc w:val="left"/>
              <w:rPr>
                <w:sz w:val="14"/>
              </w:rPr>
            </w:pPr>
          </w:p>
        </w:tc>
        <w:tc>
          <w:tcPr>
            <w:tcW w:w="581" w:type="dxa"/>
            <w:tcBorders>
              <w:top w:val="single" w:sz="4" w:space="0" w:color="000000"/>
            </w:tcBorders>
          </w:tcPr>
          <w:p>
            <w:pPr>
              <w:pStyle w:val="TableParagraph"/>
              <w:jc w:val="left"/>
              <w:rPr>
                <w:sz w:val="14"/>
              </w:rPr>
            </w:pPr>
          </w:p>
        </w:tc>
        <w:tc>
          <w:tcPr>
            <w:tcW w:w="581" w:type="dxa"/>
            <w:tcBorders>
              <w:top w:val="single" w:sz="4" w:space="0" w:color="000000"/>
            </w:tcBorders>
          </w:tcPr>
          <w:p>
            <w:pPr>
              <w:pStyle w:val="TableParagraph"/>
              <w:jc w:val="left"/>
              <w:rPr>
                <w:sz w:val="14"/>
              </w:rPr>
            </w:pPr>
          </w:p>
        </w:tc>
        <w:tc>
          <w:tcPr>
            <w:tcW w:w="566" w:type="dxa"/>
            <w:tcBorders>
              <w:top w:val="single" w:sz="4" w:space="0" w:color="000000"/>
            </w:tcBorders>
          </w:tcPr>
          <w:p>
            <w:pPr>
              <w:pStyle w:val="TableParagraph"/>
              <w:jc w:val="left"/>
              <w:rPr>
                <w:sz w:val="14"/>
              </w:rPr>
            </w:pPr>
          </w:p>
        </w:tc>
        <w:tc>
          <w:tcPr>
            <w:tcW w:w="634" w:type="dxa"/>
            <w:tcBorders>
              <w:top w:val="single" w:sz="4" w:space="0" w:color="000000"/>
            </w:tcBorders>
          </w:tcPr>
          <w:p>
            <w:pPr>
              <w:pStyle w:val="TableParagraph"/>
              <w:jc w:val="left"/>
              <w:rPr>
                <w:sz w:val="14"/>
              </w:rPr>
            </w:pPr>
          </w:p>
        </w:tc>
        <w:tc>
          <w:tcPr>
            <w:tcW w:w="727" w:type="dxa"/>
            <w:tcBorders>
              <w:top w:val="single" w:sz="4" w:space="0" w:color="000000"/>
            </w:tcBorders>
          </w:tcPr>
          <w:p>
            <w:pPr>
              <w:pStyle w:val="TableParagraph"/>
              <w:jc w:val="left"/>
              <w:rPr>
                <w:sz w:val="14"/>
              </w:rPr>
            </w:pPr>
          </w:p>
        </w:tc>
        <w:tc>
          <w:tcPr>
            <w:tcW w:w="462" w:type="dxa"/>
            <w:tcBorders>
              <w:top w:val="single" w:sz="4" w:space="0" w:color="000000"/>
            </w:tcBorders>
          </w:tcPr>
          <w:p>
            <w:pPr>
              <w:pStyle w:val="TableParagraph"/>
              <w:jc w:val="left"/>
              <w:rPr>
                <w:sz w:val="14"/>
              </w:rPr>
            </w:pPr>
          </w:p>
        </w:tc>
        <w:tc>
          <w:tcPr>
            <w:tcW w:w="795" w:type="dxa"/>
            <w:tcBorders>
              <w:top w:val="single" w:sz="4" w:space="0" w:color="000000"/>
            </w:tcBorders>
          </w:tcPr>
          <w:p>
            <w:pPr>
              <w:pStyle w:val="TableParagraph"/>
              <w:jc w:val="left"/>
              <w:rPr>
                <w:sz w:val="14"/>
              </w:rPr>
            </w:pPr>
          </w:p>
        </w:tc>
        <w:tc>
          <w:tcPr>
            <w:tcW w:w="566" w:type="dxa"/>
            <w:tcBorders>
              <w:top w:val="single" w:sz="4" w:space="0" w:color="000000"/>
            </w:tcBorders>
          </w:tcPr>
          <w:p>
            <w:pPr>
              <w:pStyle w:val="TableParagraph"/>
              <w:jc w:val="left"/>
              <w:rPr>
                <w:sz w:val="14"/>
              </w:rPr>
            </w:pPr>
          </w:p>
        </w:tc>
        <w:tc>
          <w:tcPr>
            <w:tcW w:w="576" w:type="dxa"/>
            <w:tcBorders>
              <w:top w:val="single" w:sz="4" w:space="0" w:color="000000"/>
            </w:tcBorders>
          </w:tcPr>
          <w:p>
            <w:pPr>
              <w:pStyle w:val="TableParagraph"/>
              <w:jc w:val="left"/>
              <w:rPr>
                <w:sz w:val="14"/>
              </w:rPr>
            </w:pPr>
          </w:p>
        </w:tc>
        <w:tc>
          <w:tcPr>
            <w:tcW w:w="564" w:type="dxa"/>
            <w:tcBorders>
              <w:top w:val="single" w:sz="4" w:space="0" w:color="000000"/>
            </w:tcBorders>
          </w:tcPr>
          <w:p>
            <w:pPr>
              <w:pStyle w:val="TableParagraph"/>
              <w:jc w:val="left"/>
              <w:rPr>
                <w:sz w:val="14"/>
              </w:rPr>
            </w:pPr>
          </w:p>
        </w:tc>
        <w:tc>
          <w:tcPr>
            <w:tcW w:w="818" w:type="dxa"/>
            <w:tcBorders>
              <w:top w:val="single" w:sz="4" w:space="0" w:color="000000"/>
            </w:tcBorders>
          </w:tcPr>
          <w:p>
            <w:pPr>
              <w:pStyle w:val="TableParagraph"/>
              <w:jc w:val="left"/>
              <w:rPr>
                <w:sz w:val="14"/>
              </w:rPr>
            </w:pPr>
          </w:p>
        </w:tc>
        <w:tc>
          <w:tcPr>
            <w:tcW w:w="515" w:type="dxa"/>
            <w:tcBorders>
              <w:top w:val="single" w:sz="4" w:space="0" w:color="000000"/>
            </w:tcBorders>
          </w:tcPr>
          <w:p>
            <w:pPr>
              <w:pStyle w:val="TableParagraph"/>
              <w:jc w:val="left"/>
              <w:rPr>
                <w:sz w:val="14"/>
              </w:rPr>
            </w:pPr>
          </w:p>
        </w:tc>
      </w:tr>
      <w:tr>
        <w:trPr>
          <w:trHeight w:val="219" w:hRule="atLeast"/>
        </w:trPr>
        <w:tc>
          <w:tcPr>
            <w:tcW w:w="1186" w:type="dxa"/>
            <w:tcBorders>
              <w:bottom w:val="single" w:sz="12" w:space="0" w:color="000000"/>
            </w:tcBorders>
          </w:tcPr>
          <w:p>
            <w:pPr>
              <w:pStyle w:val="TableParagraph"/>
              <w:spacing w:before="21"/>
              <w:ind w:left="67"/>
              <w:jc w:val="left"/>
              <w:rPr>
                <w:sz w:val="14"/>
              </w:rPr>
            </w:pPr>
            <w:r>
              <w:rPr>
                <w:w w:val="95"/>
                <w:sz w:val="14"/>
              </w:rPr>
              <w:t>Approved</w:t>
            </w:r>
            <w:r>
              <w:rPr>
                <w:spacing w:val="22"/>
                <w:sz w:val="14"/>
              </w:rPr>
              <w:t> </w:t>
            </w:r>
            <w:r>
              <w:rPr>
                <w:spacing w:val="-4"/>
                <w:sz w:val="14"/>
              </w:rPr>
              <w:t>2022</w:t>
            </w:r>
          </w:p>
        </w:tc>
        <w:tc>
          <w:tcPr>
            <w:tcW w:w="678" w:type="dxa"/>
            <w:tcBorders>
              <w:bottom w:val="single" w:sz="12" w:space="0" w:color="000000"/>
            </w:tcBorders>
          </w:tcPr>
          <w:p>
            <w:pPr>
              <w:pStyle w:val="TableParagraph"/>
              <w:spacing w:before="21"/>
              <w:ind w:right="154"/>
              <w:rPr>
                <w:sz w:val="14"/>
              </w:rPr>
            </w:pPr>
            <w:r>
              <w:rPr>
                <w:w w:val="99"/>
                <w:sz w:val="14"/>
              </w:rPr>
              <w:t>-</w:t>
            </w:r>
          </w:p>
        </w:tc>
        <w:tc>
          <w:tcPr>
            <w:tcW w:w="607" w:type="dxa"/>
            <w:tcBorders>
              <w:bottom w:val="single" w:sz="12" w:space="0" w:color="000000"/>
            </w:tcBorders>
          </w:tcPr>
          <w:p>
            <w:pPr>
              <w:pStyle w:val="TableParagraph"/>
              <w:spacing w:before="21"/>
              <w:ind w:right="170"/>
              <w:rPr>
                <w:sz w:val="14"/>
              </w:rPr>
            </w:pPr>
            <w:r>
              <w:rPr>
                <w:w w:val="99"/>
                <w:sz w:val="14"/>
              </w:rPr>
              <w:t>-</w:t>
            </w:r>
          </w:p>
        </w:tc>
        <w:tc>
          <w:tcPr>
            <w:tcW w:w="563" w:type="dxa"/>
            <w:tcBorders>
              <w:bottom w:val="single" w:sz="12" w:space="0" w:color="000000"/>
            </w:tcBorders>
          </w:tcPr>
          <w:p>
            <w:pPr>
              <w:pStyle w:val="TableParagraph"/>
              <w:spacing w:before="21"/>
              <w:ind w:right="171"/>
              <w:rPr>
                <w:sz w:val="14"/>
              </w:rPr>
            </w:pPr>
            <w:r>
              <w:rPr>
                <w:w w:val="99"/>
                <w:sz w:val="14"/>
              </w:rPr>
              <w:t>-</w:t>
            </w:r>
          </w:p>
        </w:tc>
        <w:tc>
          <w:tcPr>
            <w:tcW w:w="581" w:type="dxa"/>
            <w:tcBorders>
              <w:bottom w:val="single" w:sz="12" w:space="0" w:color="000000"/>
            </w:tcBorders>
          </w:tcPr>
          <w:p>
            <w:pPr>
              <w:pStyle w:val="TableParagraph"/>
              <w:spacing w:before="21"/>
              <w:ind w:right="191"/>
              <w:rPr>
                <w:sz w:val="14"/>
              </w:rPr>
            </w:pPr>
            <w:r>
              <w:rPr>
                <w:w w:val="99"/>
                <w:sz w:val="14"/>
              </w:rPr>
              <w:t>-</w:t>
            </w:r>
          </w:p>
        </w:tc>
        <w:tc>
          <w:tcPr>
            <w:tcW w:w="581" w:type="dxa"/>
            <w:tcBorders>
              <w:bottom w:val="single" w:sz="12" w:space="0" w:color="000000"/>
            </w:tcBorders>
          </w:tcPr>
          <w:p>
            <w:pPr>
              <w:pStyle w:val="TableParagraph"/>
              <w:spacing w:before="21"/>
              <w:ind w:left="124"/>
              <w:jc w:val="center"/>
              <w:rPr>
                <w:sz w:val="14"/>
              </w:rPr>
            </w:pPr>
            <w:r>
              <w:rPr>
                <w:w w:val="99"/>
                <w:sz w:val="14"/>
              </w:rPr>
              <w:t>3</w:t>
            </w:r>
          </w:p>
        </w:tc>
        <w:tc>
          <w:tcPr>
            <w:tcW w:w="566" w:type="dxa"/>
            <w:tcBorders>
              <w:bottom w:val="single" w:sz="12" w:space="0" w:color="000000"/>
            </w:tcBorders>
          </w:tcPr>
          <w:p>
            <w:pPr>
              <w:pStyle w:val="TableParagraph"/>
              <w:spacing w:before="21"/>
              <w:ind w:right="172"/>
              <w:rPr>
                <w:sz w:val="14"/>
              </w:rPr>
            </w:pPr>
            <w:r>
              <w:rPr>
                <w:w w:val="99"/>
                <w:sz w:val="14"/>
              </w:rPr>
              <w:t>3</w:t>
            </w:r>
          </w:p>
        </w:tc>
        <w:tc>
          <w:tcPr>
            <w:tcW w:w="634" w:type="dxa"/>
            <w:tcBorders>
              <w:bottom w:val="single" w:sz="12" w:space="0" w:color="000000"/>
            </w:tcBorders>
          </w:tcPr>
          <w:p>
            <w:pPr>
              <w:pStyle w:val="TableParagraph"/>
              <w:spacing w:before="21"/>
              <w:ind w:right="203"/>
              <w:rPr>
                <w:sz w:val="14"/>
              </w:rPr>
            </w:pPr>
            <w:r>
              <w:rPr>
                <w:spacing w:val="-5"/>
                <w:sz w:val="14"/>
              </w:rPr>
              <w:t>21</w:t>
            </w:r>
          </w:p>
        </w:tc>
        <w:tc>
          <w:tcPr>
            <w:tcW w:w="727" w:type="dxa"/>
            <w:tcBorders>
              <w:bottom w:val="single" w:sz="12" w:space="0" w:color="000000"/>
            </w:tcBorders>
          </w:tcPr>
          <w:p>
            <w:pPr>
              <w:pStyle w:val="TableParagraph"/>
              <w:spacing w:before="21"/>
              <w:ind w:right="190"/>
              <w:rPr>
                <w:sz w:val="14"/>
              </w:rPr>
            </w:pPr>
            <w:r>
              <w:rPr>
                <w:spacing w:val="-5"/>
                <w:sz w:val="14"/>
              </w:rPr>
              <w:t>12</w:t>
            </w:r>
          </w:p>
        </w:tc>
        <w:tc>
          <w:tcPr>
            <w:tcW w:w="462" w:type="dxa"/>
            <w:tcBorders>
              <w:bottom w:val="single" w:sz="12" w:space="0" w:color="000000"/>
            </w:tcBorders>
          </w:tcPr>
          <w:p>
            <w:pPr>
              <w:pStyle w:val="TableParagraph"/>
              <w:spacing w:before="21"/>
              <w:ind w:right="63"/>
              <w:rPr>
                <w:sz w:val="14"/>
              </w:rPr>
            </w:pPr>
            <w:r>
              <w:rPr>
                <w:w w:val="99"/>
                <w:sz w:val="14"/>
              </w:rPr>
              <w:t>-</w:t>
            </w:r>
          </w:p>
        </w:tc>
        <w:tc>
          <w:tcPr>
            <w:tcW w:w="795" w:type="dxa"/>
            <w:tcBorders>
              <w:bottom w:val="single" w:sz="12" w:space="0" w:color="000000"/>
            </w:tcBorders>
          </w:tcPr>
          <w:p>
            <w:pPr>
              <w:pStyle w:val="TableParagraph"/>
              <w:spacing w:before="21"/>
              <w:ind w:right="117"/>
              <w:rPr>
                <w:i/>
                <w:sz w:val="14"/>
              </w:rPr>
            </w:pPr>
            <w:r>
              <w:rPr>
                <w:i/>
                <w:spacing w:val="-5"/>
                <w:sz w:val="14"/>
              </w:rPr>
              <w:t>39</w:t>
            </w:r>
          </w:p>
        </w:tc>
        <w:tc>
          <w:tcPr>
            <w:tcW w:w="566" w:type="dxa"/>
            <w:tcBorders>
              <w:bottom w:val="single" w:sz="12" w:space="0" w:color="000000"/>
            </w:tcBorders>
          </w:tcPr>
          <w:p>
            <w:pPr>
              <w:pStyle w:val="TableParagraph"/>
              <w:spacing w:before="21"/>
              <w:ind w:right="94"/>
              <w:rPr>
                <w:sz w:val="14"/>
              </w:rPr>
            </w:pPr>
            <w:r>
              <w:rPr>
                <w:w w:val="99"/>
                <w:sz w:val="14"/>
              </w:rPr>
              <w:t>-</w:t>
            </w:r>
          </w:p>
        </w:tc>
        <w:tc>
          <w:tcPr>
            <w:tcW w:w="576" w:type="dxa"/>
            <w:tcBorders>
              <w:bottom w:val="single" w:sz="12" w:space="0" w:color="000000"/>
            </w:tcBorders>
          </w:tcPr>
          <w:p>
            <w:pPr>
              <w:pStyle w:val="TableParagraph"/>
              <w:spacing w:before="21"/>
              <w:ind w:right="80"/>
              <w:rPr>
                <w:sz w:val="14"/>
              </w:rPr>
            </w:pPr>
            <w:r>
              <w:rPr>
                <w:w w:val="99"/>
                <w:sz w:val="14"/>
              </w:rPr>
              <w:t>1</w:t>
            </w:r>
          </w:p>
        </w:tc>
        <w:tc>
          <w:tcPr>
            <w:tcW w:w="564" w:type="dxa"/>
            <w:tcBorders>
              <w:bottom w:val="single" w:sz="12" w:space="0" w:color="000000"/>
            </w:tcBorders>
          </w:tcPr>
          <w:p>
            <w:pPr>
              <w:pStyle w:val="TableParagraph"/>
              <w:spacing w:before="21"/>
              <w:ind w:right="47"/>
              <w:rPr>
                <w:sz w:val="14"/>
              </w:rPr>
            </w:pPr>
            <w:r>
              <w:rPr>
                <w:spacing w:val="-5"/>
                <w:sz w:val="14"/>
              </w:rPr>
              <w:t>11</w:t>
            </w:r>
          </w:p>
        </w:tc>
        <w:tc>
          <w:tcPr>
            <w:tcW w:w="818" w:type="dxa"/>
            <w:tcBorders>
              <w:bottom w:val="single" w:sz="12" w:space="0" w:color="000000"/>
            </w:tcBorders>
          </w:tcPr>
          <w:p>
            <w:pPr>
              <w:pStyle w:val="TableParagraph"/>
              <w:spacing w:before="21"/>
              <w:ind w:right="125"/>
              <w:rPr>
                <w:i/>
                <w:sz w:val="14"/>
              </w:rPr>
            </w:pPr>
            <w:r>
              <w:rPr>
                <w:i/>
                <w:spacing w:val="-5"/>
                <w:sz w:val="14"/>
              </w:rPr>
              <w:t>12</w:t>
            </w:r>
          </w:p>
        </w:tc>
        <w:tc>
          <w:tcPr>
            <w:tcW w:w="515" w:type="dxa"/>
            <w:tcBorders>
              <w:bottom w:val="single" w:sz="12" w:space="0" w:color="000000"/>
            </w:tcBorders>
          </w:tcPr>
          <w:p>
            <w:pPr>
              <w:pStyle w:val="TableParagraph"/>
              <w:spacing w:before="21"/>
              <w:ind w:right="40"/>
              <w:rPr>
                <w:b/>
                <w:sz w:val="14"/>
              </w:rPr>
            </w:pPr>
            <w:r>
              <w:rPr>
                <w:b/>
                <w:spacing w:val="-5"/>
                <w:sz w:val="14"/>
              </w:rPr>
              <w:t>51</w:t>
            </w:r>
          </w:p>
        </w:tc>
      </w:tr>
      <w:tr>
        <w:trPr>
          <w:trHeight w:val="229" w:hRule="atLeast"/>
        </w:trPr>
        <w:tc>
          <w:tcPr>
            <w:tcW w:w="1186" w:type="dxa"/>
            <w:tcBorders>
              <w:top w:val="single" w:sz="12" w:space="0" w:color="000000"/>
              <w:bottom w:val="single" w:sz="4" w:space="0" w:color="000000"/>
            </w:tcBorders>
          </w:tcPr>
          <w:p>
            <w:pPr>
              <w:pStyle w:val="TableParagraph"/>
              <w:spacing w:before="27"/>
              <w:ind w:left="67"/>
              <w:jc w:val="left"/>
              <w:rPr>
                <w:sz w:val="14"/>
              </w:rPr>
            </w:pPr>
            <w:r>
              <w:rPr>
                <w:spacing w:val="-5"/>
                <w:sz w:val="14"/>
              </w:rPr>
              <w:t>New</w:t>
            </w:r>
          </w:p>
        </w:tc>
        <w:tc>
          <w:tcPr>
            <w:tcW w:w="678" w:type="dxa"/>
            <w:tcBorders>
              <w:top w:val="single" w:sz="12" w:space="0" w:color="000000"/>
              <w:bottom w:val="single" w:sz="4" w:space="0" w:color="000000"/>
            </w:tcBorders>
          </w:tcPr>
          <w:p>
            <w:pPr>
              <w:pStyle w:val="TableParagraph"/>
              <w:spacing w:before="27"/>
              <w:ind w:right="154"/>
              <w:rPr>
                <w:sz w:val="14"/>
              </w:rPr>
            </w:pPr>
            <w:r>
              <w:rPr>
                <w:w w:val="99"/>
                <w:sz w:val="14"/>
              </w:rPr>
              <w:t>-</w:t>
            </w:r>
          </w:p>
        </w:tc>
        <w:tc>
          <w:tcPr>
            <w:tcW w:w="607" w:type="dxa"/>
            <w:tcBorders>
              <w:top w:val="single" w:sz="12" w:space="0" w:color="000000"/>
              <w:bottom w:val="single" w:sz="4" w:space="0" w:color="000000"/>
            </w:tcBorders>
          </w:tcPr>
          <w:p>
            <w:pPr>
              <w:pStyle w:val="TableParagraph"/>
              <w:spacing w:before="27"/>
              <w:ind w:right="170"/>
              <w:rPr>
                <w:sz w:val="14"/>
              </w:rPr>
            </w:pPr>
            <w:r>
              <w:rPr>
                <w:w w:val="99"/>
                <w:sz w:val="14"/>
              </w:rPr>
              <w:t>-</w:t>
            </w:r>
          </w:p>
        </w:tc>
        <w:tc>
          <w:tcPr>
            <w:tcW w:w="563" w:type="dxa"/>
            <w:tcBorders>
              <w:top w:val="single" w:sz="12" w:space="0" w:color="000000"/>
              <w:bottom w:val="single" w:sz="4" w:space="0" w:color="000000"/>
            </w:tcBorders>
          </w:tcPr>
          <w:p>
            <w:pPr>
              <w:pStyle w:val="TableParagraph"/>
              <w:spacing w:before="27"/>
              <w:ind w:right="171"/>
              <w:rPr>
                <w:sz w:val="14"/>
              </w:rPr>
            </w:pPr>
            <w:r>
              <w:rPr>
                <w:w w:val="99"/>
                <w:sz w:val="14"/>
              </w:rPr>
              <w:t>-</w:t>
            </w:r>
          </w:p>
        </w:tc>
        <w:tc>
          <w:tcPr>
            <w:tcW w:w="581" w:type="dxa"/>
            <w:tcBorders>
              <w:top w:val="single" w:sz="12" w:space="0" w:color="000000"/>
              <w:bottom w:val="single" w:sz="4" w:space="0" w:color="000000"/>
            </w:tcBorders>
          </w:tcPr>
          <w:p>
            <w:pPr>
              <w:pStyle w:val="TableParagraph"/>
              <w:spacing w:before="27"/>
              <w:ind w:right="191"/>
              <w:rPr>
                <w:sz w:val="14"/>
              </w:rPr>
            </w:pPr>
            <w:r>
              <w:rPr>
                <w:w w:val="99"/>
                <w:sz w:val="14"/>
              </w:rPr>
              <w:t>-</w:t>
            </w:r>
          </w:p>
        </w:tc>
        <w:tc>
          <w:tcPr>
            <w:tcW w:w="581" w:type="dxa"/>
            <w:tcBorders>
              <w:top w:val="single" w:sz="12" w:space="0" w:color="000000"/>
              <w:bottom w:val="single" w:sz="4" w:space="0" w:color="000000"/>
            </w:tcBorders>
          </w:tcPr>
          <w:p>
            <w:pPr>
              <w:pStyle w:val="TableParagraph"/>
              <w:spacing w:before="27"/>
              <w:ind w:left="148"/>
              <w:jc w:val="center"/>
              <w:rPr>
                <w:sz w:val="14"/>
              </w:rPr>
            </w:pPr>
            <w:r>
              <w:rPr>
                <w:w w:val="99"/>
                <w:sz w:val="14"/>
              </w:rPr>
              <w:t>-</w:t>
            </w:r>
          </w:p>
        </w:tc>
        <w:tc>
          <w:tcPr>
            <w:tcW w:w="566" w:type="dxa"/>
            <w:tcBorders>
              <w:top w:val="single" w:sz="12" w:space="0" w:color="000000"/>
              <w:bottom w:val="single" w:sz="4" w:space="0" w:color="000000"/>
            </w:tcBorders>
          </w:tcPr>
          <w:p>
            <w:pPr>
              <w:pStyle w:val="TableParagraph"/>
              <w:spacing w:before="27"/>
              <w:ind w:right="171"/>
              <w:rPr>
                <w:sz w:val="14"/>
              </w:rPr>
            </w:pPr>
            <w:r>
              <w:rPr>
                <w:w w:val="99"/>
                <w:sz w:val="14"/>
              </w:rPr>
              <w:t>-</w:t>
            </w:r>
          </w:p>
        </w:tc>
        <w:tc>
          <w:tcPr>
            <w:tcW w:w="634" w:type="dxa"/>
            <w:tcBorders>
              <w:top w:val="single" w:sz="12" w:space="0" w:color="000000"/>
              <w:bottom w:val="single" w:sz="4" w:space="0" w:color="000000"/>
            </w:tcBorders>
          </w:tcPr>
          <w:p>
            <w:pPr>
              <w:pStyle w:val="TableParagraph"/>
              <w:spacing w:before="27"/>
              <w:ind w:right="209"/>
              <w:rPr>
                <w:sz w:val="14"/>
              </w:rPr>
            </w:pPr>
            <w:r>
              <w:rPr>
                <w:w w:val="99"/>
                <w:sz w:val="14"/>
              </w:rPr>
              <w:t>-</w:t>
            </w:r>
          </w:p>
        </w:tc>
        <w:tc>
          <w:tcPr>
            <w:tcW w:w="727" w:type="dxa"/>
            <w:tcBorders>
              <w:top w:val="single" w:sz="12" w:space="0" w:color="000000"/>
              <w:bottom w:val="single" w:sz="4" w:space="0" w:color="000000"/>
            </w:tcBorders>
          </w:tcPr>
          <w:p>
            <w:pPr>
              <w:pStyle w:val="TableParagraph"/>
              <w:spacing w:before="27"/>
              <w:ind w:right="197"/>
              <w:rPr>
                <w:sz w:val="14"/>
              </w:rPr>
            </w:pPr>
            <w:r>
              <w:rPr>
                <w:w w:val="99"/>
                <w:sz w:val="14"/>
              </w:rPr>
              <w:t>-</w:t>
            </w:r>
          </w:p>
        </w:tc>
        <w:tc>
          <w:tcPr>
            <w:tcW w:w="462" w:type="dxa"/>
            <w:tcBorders>
              <w:top w:val="single" w:sz="12" w:space="0" w:color="000000"/>
              <w:bottom w:val="single" w:sz="4" w:space="0" w:color="000000"/>
            </w:tcBorders>
          </w:tcPr>
          <w:p>
            <w:pPr>
              <w:pStyle w:val="TableParagraph"/>
              <w:spacing w:before="27"/>
              <w:ind w:right="63"/>
              <w:rPr>
                <w:sz w:val="14"/>
              </w:rPr>
            </w:pPr>
            <w:r>
              <w:rPr>
                <w:w w:val="99"/>
                <w:sz w:val="14"/>
              </w:rPr>
              <w:t>-</w:t>
            </w:r>
          </w:p>
        </w:tc>
        <w:tc>
          <w:tcPr>
            <w:tcW w:w="795" w:type="dxa"/>
            <w:tcBorders>
              <w:top w:val="single" w:sz="12" w:space="0" w:color="000000"/>
              <w:bottom w:val="single" w:sz="4" w:space="0" w:color="000000"/>
            </w:tcBorders>
          </w:tcPr>
          <w:p>
            <w:pPr>
              <w:pStyle w:val="TableParagraph"/>
              <w:spacing w:before="27"/>
              <w:ind w:right="123"/>
              <w:rPr>
                <w:i/>
                <w:sz w:val="14"/>
              </w:rPr>
            </w:pPr>
            <w:r>
              <w:rPr>
                <w:i/>
                <w:w w:val="99"/>
                <w:sz w:val="14"/>
              </w:rPr>
              <w:t>-</w:t>
            </w:r>
          </w:p>
        </w:tc>
        <w:tc>
          <w:tcPr>
            <w:tcW w:w="566" w:type="dxa"/>
            <w:tcBorders>
              <w:top w:val="single" w:sz="12" w:space="0" w:color="000000"/>
              <w:bottom w:val="single" w:sz="4" w:space="0" w:color="000000"/>
            </w:tcBorders>
          </w:tcPr>
          <w:p>
            <w:pPr>
              <w:pStyle w:val="TableParagraph"/>
              <w:spacing w:before="27"/>
              <w:ind w:right="94"/>
              <w:rPr>
                <w:sz w:val="14"/>
              </w:rPr>
            </w:pPr>
            <w:r>
              <w:rPr>
                <w:w w:val="99"/>
                <w:sz w:val="14"/>
              </w:rPr>
              <w:t>-</w:t>
            </w:r>
          </w:p>
        </w:tc>
        <w:tc>
          <w:tcPr>
            <w:tcW w:w="576" w:type="dxa"/>
            <w:tcBorders>
              <w:top w:val="single" w:sz="12" w:space="0" w:color="000000"/>
              <w:bottom w:val="single" w:sz="4" w:space="0" w:color="000000"/>
            </w:tcBorders>
          </w:tcPr>
          <w:p>
            <w:pPr>
              <w:pStyle w:val="TableParagraph"/>
              <w:spacing w:before="27"/>
              <w:ind w:right="79"/>
              <w:rPr>
                <w:sz w:val="14"/>
              </w:rPr>
            </w:pPr>
            <w:r>
              <w:rPr>
                <w:w w:val="99"/>
                <w:sz w:val="14"/>
              </w:rPr>
              <w:t>-</w:t>
            </w:r>
          </w:p>
        </w:tc>
        <w:tc>
          <w:tcPr>
            <w:tcW w:w="564" w:type="dxa"/>
            <w:tcBorders>
              <w:top w:val="single" w:sz="12" w:space="0" w:color="000000"/>
              <w:bottom w:val="single" w:sz="4" w:space="0" w:color="000000"/>
            </w:tcBorders>
          </w:tcPr>
          <w:p>
            <w:pPr>
              <w:pStyle w:val="TableParagraph"/>
              <w:spacing w:before="27"/>
              <w:ind w:right="53"/>
              <w:rPr>
                <w:sz w:val="14"/>
              </w:rPr>
            </w:pPr>
            <w:r>
              <w:rPr>
                <w:w w:val="99"/>
                <w:sz w:val="14"/>
              </w:rPr>
              <w:t>-</w:t>
            </w:r>
          </w:p>
        </w:tc>
        <w:tc>
          <w:tcPr>
            <w:tcW w:w="818" w:type="dxa"/>
            <w:tcBorders>
              <w:top w:val="single" w:sz="12" w:space="0" w:color="000000"/>
              <w:bottom w:val="single" w:sz="4" w:space="0" w:color="000000"/>
            </w:tcBorders>
          </w:tcPr>
          <w:p>
            <w:pPr>
              <w:pStyle w:val="TableParagraph"/>
              <w:spacing w:before="27"/>
              <w:ind w:right="131"/>
              <w:rPr>
                <w:i/>
                <w:sz w:val="14"/>
              </w:rPr>
            </w:pPr>
            <w:r>
              <w:rPr>
                <w:i/>
                <w:w w:val="99"/>
                <w:sz w:val="14"/>
              </w:rPr>
              <w:t>-</w:t>
            </w:r>
          </w:p>
        </w:tc>
        <w:tc>
          <w:tcPr>
            <w:tcW w:w="515" w:type="dxa"/>
            <w:tcBorders>
              <w:top w:val="single" w:sz="12" w:space="0" w:color="000000"/>
              <w:bottom w:val="single" w:sz="4" w:space="0" w:color="000000"/>
            </w:tcBorders>
          </w:tcPr>
          <w:p>
            <w:pPr>
              <w:pStyle w:val="TableParagraph"/>
              <w:spacing w:before="27"/>
              <w:ind w:right="46"/>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7"/>
              <w:ind w:left="67"/>
              <w:jc w:val="left"/>
              <w:rPr>
                <w:sz w:val="14"/>
              </w:rPr>
            </w:pPr>
            <w:r>
              <w:rPr>
                <w:spacing w:val="-2"/>
                <w:sz w:val="14"/>
              </w:rPr>
              <w:t>Redeployed</w:t>
            </w:r>
          </w:p>
        </w:tc>
        <w:tc>
          <w:tcPr>
            <w:tcW w:w="678" w:type="dxa"/>
            <w:tcBorders>
              <w:top w:val="single" w:sz="4" w:space="0" w:color="000000"/>
              <w:bottom w:val="single" w:sz="4" w:space="0" w:color="000000"/>
            </w:tcBorders>
          </w:tcPr>
          <w:p>
            <w:pPr>
              <w:pStyle w:val="TableParagraph"/>
              <w:spacing w:before="27"/>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7"/>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7"/>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7"/>
              <w:ind w:right="191"/>
              <w:rPr>
                <w:sz w:val="14"/>
              </w:rPr>
            </w:pPr>
            <w:r>
              <w:rPr>
                <w:w w:val="99"/>
                <w:sz w:val="14"/>
              </w:rPr>
              <w:t>-</w:t>
            </w:r>
          </w:p>
        </w:tc>
        <w:tc>
          <w:tcPr>
            <w:tcW w:w="581" w:type="dxa"/>
            <w:tcBorders>
              <w:top w:val="single" w:sz="4" w:space="0" w:color="000000"/>
              <w:bottom w:val="single" w:sz="4" w:space="0" w:color="000000"/>
            </w:tcBorders>
          </w:tcPr>
          <w:p>
            <w:pPr>
              <w:pStyle w:val="TableParagraph"/>
              <w:spacing w:before="27"/>
              <w:ind w:left="148"/>
              <w:jc w:val="center"/>
              <w:rPr>
                <w:sz w:val="14"/>
              </w:rPr>
            </w:pPr>
            <w:r>
              <w:rPr>
                <w:w w:val="99"/>
                <w:sz w:val="14"/>
              </w:rPr>
              <w:t>-</w:t>
            </w:r>
          </w:p>
        </w:tc>
        <w:tc>
          <w:tcPr>
            <w:tcW w:w="566" w:type="dxa"/>
            <w:tcBorders>
              <w:top w:val="single" w:sz="4" w:space="0" w:color="000000"/>
              <w:bottom w:val="single" w:sz="4" w:space="0" w:color="000000"/>
            </w:tcBorders>
          </w:tcPr>
          <w:p>
            <w:pPr>
              <w:pStyle w:val="TableParagraph"/>
              <w:spacing w:before="27"/>
              <w:ind w:right="171"/>
              <w:rPr>
                <w:sz w:val="14"/>
              </w:rPr>
            </w:pPr>
            <w:r>
              <w:rPr>
                <w:w w:val="99"/>
                <w:sz w:val="14"/>
              </w:rPr>
              <w:t>-</w:t>
            </w:r>
          </w:p>
        </w:tc>
        <w:tc>
          <w:tcPr>
            <w:tcW w:w="634" w:type="dxa"/>
            <w:tcBorders>
              <w:top w:val="single" w:sz="4" w:space="0" w:color="000000"/>
              <w:bottom w:val="single" w:sz="4" w:space="0" w:color="000000"/>
            </w:tcBorders>
          </w:tcPr>
          <w:p>
            <w:pPr>
              <w:pStyle w:val="TableParagraph"/>
              <w:spacing w:before="27"/>
              <w:ind w:right="209"/>
              <w:rPr>
                <w:sz w:val="14"/>
              </w:rPr>
            </w:pPr>
            <w:r>
              <w:rPr>
                <w:w w:val="99"/>
                <w:sz w:val="14"/>
              </w:rPr>
              <w:t>-</w:t>
            </w:r>
          </w:p>
        </w:tc>
        <w:tc>
          <w:tcPr>
            <w:tcW w:w="727" w:type="dxa"/>
            <w:tcBorders>
              <w:top w:val="single" w:sz="4" w:space="0" w:color="000000"/>
              <w:bottom w:val="single" w:sz="4" w:space="0" w:color="000000"/>
            </w:tcBorders>
          </w:tcPr>
          <w:p>
            <w:pPr>
              <w:pStyle w:val="TableParagraph"/>
              <w:spacing w:before="27"/>
              <w:ind w:right="197"/>
              <w:rPr>
                <w:sz w:val="14"/>
              </w:rPr>
            </w:pPr>
            <w:r>
              <w:rPr>
                <w:w w:val="99"/>
                <w:sz w:val="14"/>
              </w:rPr>
              <w:t>-</w:t>
            </w:r>
          </w:p>
        </w:tc>
        <w:tc>
          <w:tcPr>
            <w:tcW w:w="462" w:type="dxa"/>
            <w:tcBorders>
              <w:top w:val="single" w:sz="4" w:space="0" w:color="000000"/>
              <w:bottom w:val="single" w:sz="4" w:space="0" w:color="000000"/>
            </w:tcBorders>
          </w:tcPr>
          <w:p>
            <w:pPr>
              <w:pStyle w:val="TableParagraph"/>
              <w:spacing w:before="27"/>
              <w:ind w:right="63"/>
              <w:rPr>
                <w:sz w:val="14"/>
              </w:rPr>
            </w:pPr>
            <w:r>
              <w:rPr>
                <w:w w:val="99"/>
                <w:sz w:val="14"/>
              </w:rPr>
              <w:t>-</w:t>
            </w:r>
          </w:p>
        </w:tc>
        <w:tc>
          <w:tcPr>
            <w:tcW w:w="795" w:type="dxa"/>
            <w:tcBorders>
              <w:top w:val="single" w:sz="4" w:space="0" w:color="000000"/>
              <w:bottom w:val="single" w:sz="4" w:space="0" w:color="000000"/>
            </w:tcBorders>
          </w:tcPr>
          <w:p>
            <w:pPr>
              <w:pStyle w:val="TableParagraph"/>
              <w:spacing w:before="27"/>
              <w:ind w:right="123"/>
              <w:rPr>
                <w:i/>
                <w:sz w:val="14"/>
              </w:rPr>
            </w:pPr>
            <w:r>
              <w:rPr>
                <w:i/>
                <w:w w:val="99"/>
                <w:sz w:val="14"/>
              </w:rPr>
              <w:t>-</w:t>
            </w:r>
          </w:p>
        </w:tc>
        <w:tc>
          <w:tcPr>
            <w:tcW w:w="566" w:type="dxa"/>
            <w:tcBorders>
              <w:top w:val="single" w:sz="4" w:space="0" w:color="000000"/>
              <w:bottom w:val="single" w:sz="4" w:space="0" w:color="000000"/>
            </w:tcBorders>
          </w:tcPr>
          <w:p>
            <w:pPr>
              <w:pStyle w:val="TableParagraph"/>
              <w:spacing w:before="27"/>
              <w:ind w:right="94"/>
              <w:rPr>
                <w:sz w:val="14"/>
              </w:rPr>
            </w:pPr>
            <w:r>
              <w:rPr>
                <w:w w:val="99"/>
                <w:sz w:val="14"/>
              </w:rPr>
              <w:t>-</w:t>
            </w:r>
          </w:p>
        </w:tc>
        <w:tc>
          <w:tcPr>
            <w:tcW w:w="576" w:type="dxa"/>
            <w:tcBorders>
              <w:top w:val="single" w:sz="4" w:space="0" w:color="000000"/>
              <w:bottom w:val="single" w:sz="4" w:space="0" w:color="000000"/>
            </w:tcBorders>
          </w:tcPr>
          <w:p>
            <w:pPr>
              <w:pStyle w:val="TableParagraph"/>
              <w:spacing w:before="27"/>
              <w:ind w:right="79"/>
              <w:rPr>
                <w:sz w:val="14"/>
              </w:rPr>
            </w:pPr>
            <w:r>
              <w:rPr>
                <w:w w:val="99"/>
                <w:sz w:val="14"/>
              </w:rPr>
              <w:t>-</w:t>
            </w:r>
          </w:p>
        </w:tc>
        <w:tc>
          <w:tcPr>
            <w:tcW w:w="564" w:type="dxa"/>
            <w:tcBorders>
              <w:top w:val="single" w:sz="4" w:space="0" w:color="000000"/>
              <w:bottom w:val="single" w:sz="4" w:space="0" w:color="000000"/>
            </w:tcBorders>
          </w:tcPr>
          <w:p>
            <w:pPr>
              <w:pStyle w:val="TableParagraph"/>
              <w:spacing w:before="27"/>
              <w:ind w:right="53"/>
              <w:rPr>
                <w:sz w:val="14"/>
              </w:rPr>
            </w:pPr>
            <w:r>
              <w:rPr>
                <w:w w:val="99"/>
                <w:sz w:val="14"/>
              </w:rPr>
              <w:t>-</w:t>
            </w:r>
          </w:p>
        </w:tc>
        <w:tc>
          <w:tcPr>
            <w:tcW w:w="818" w:type="dxa"/>
            <w:tcBorders>
              <w:top w:val="single" w:sz="4" w:space="0" w:color="000000"/>
              <w:bottom w:val="single" w:sz="4" w:space="0" w:color="000000"/>
            </w:tcBorders>
          </w:tcPr>
          <w:p>
            <w:pPr>
              <w:pStyle w:val="TableParagraph"/>
              <w:spacing w:before="27"/>
              <w:ind w:right="131"/>
              <w:rPr>
                <w:i/>
                <w:sz w:val="14"/>
              </w:rPr>
            </w:pPr>
            <w:r>
              <w:rPr>
                <w:i/>
                <w:w w:val="99"/>
                <w:sz w:val="14"/>
              </w:rPr>
              <w:t>-</w:t>
            </w:r>
          </w:p>
        </w:tc>
        <w:tc>
          <w:tcPr>
            <w:tcW w:w="515" w:type="dxa"/>
            <w:tcBorders>
              <w:top w:val="single" w:sz="4" w:space="0" w:color="000000"/>
              <w:bottom w:val="single" w:sz="4" w:space="0" w:color="000000"/>
            </w:tcBorders>
          </w:tcPr>
          <w:p>
            <w:pPr>
              <w:pStyle w:val="TableParagraph"/>
              <w:spacing w:before="27"/>
              <w:ind w:right="46"/>
              <w:rPr>
                <w:b/>
                <w:sz w:val="14"/>
              </w:rPr>
            </w:pPr>
            <w:r>
              <w:rPr>
                <w:b/>
                <w:w w:val="99"/>
                <w:sz w:val="14"/>
              </w:rPr>
              <w:t>-</w:t>
            </w:r>
          </w:p>
        </w:tc>
      </w:tr>
      <w:tr>
        <w:trPr>
          <w:trHeight w:val="230" w:hRule="atLeast"/>
        </w:trPr>
        <w:tc>
          <w:tcPr>
            <w:tcW w:w="1186" w:type="dxa"/>
            <w:tcBorders>
              <w:top w:val="single" w:sz="4" w:space="0" w:color="000000"/>
              <w:bottom w:val="single" w:sz="4" w:space="0" w:color="000000"/>
            </w:tcBorders>
          </w:tcPr>
          <w:p>
            <w:pPr>
              <w:pStyle w:val="TableParagraph"/>
              <w:spacing w:before="27"/>
              <w:ind w:left="67"/>
              <w:jc w:val="left"/>
              <w:rPr>
                <w:sz w:val="14"/>
              </w:rPr>
            </w:pPr>
            <w:r>
              <w:rPr>
                <w:spacing w:val="-2"/>
                <w:sz w:val="14"/>
              </w:rPr>
              <w:t>Reclassified</w:t>
            </w:r>
          </w:p>
        </w:tc>
        <w:tc>
          <w:tcPr>
            <w:tcW w:w="678" w:type="dxa"/>
            <w:tcBorders>
              <w:top w:val="single" w:sz="4" w:space="0" w:color="000000"/>
              <w:bottom w:val="single" w:sz="4" w:space="0" w:color="000000"/>
            </w:tcBorders>
          </w:tcPr>
          <w:p>
            <w:pPr>
              <w:pStyle w:val="TableParagraph"/>
              <w:spacing w:before="27"/>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7"/>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7"/>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7"/>
              <w:ind w:right="191"/>
              <w:rPr>
                <w:sz w:val="14"/>
              </w:rPr>
            </w:pPr>
            <w:r>
              <w:rPr>
                <w:w w:val="99"/>
                <w:sz w:val="14"/>
              </w:rPr>
              <w:t>-</w:t>
            </w:r>
          </w:p>
        </w:tc>
        <w:tc>
          <w:tcPr>
            <w:tcW w:w="581" w:type="dxa"/>
            <w:tcBorders>
              <w:top w:val="single" w:sz="4" w:space="0" w:color="000000"/>
              <w:bottom w:val="single" w:sz="4" w:space="0" w:color="000000"/>
            </w:tcBorders>
          </w:tcPr>
          <w:p>
            <w:pPr>
              <w:pStyle w:val="TableParagraph"/>
              <w:spacing w:before="27"/>
              <w:ind w:left="148"/>
              <w:jc w:val="center"/>
              <w:rPr>
                <w:sz w:val="14"/>
              </w:rPr>
            </w:pPr>
            <w:r>
              <w:rPr>
                <w:w w:val="99"/>
                <w:sz w:val="14"/>
              </w:rPr>
              <w:t>-</w:t>
            </w:r>
          </w:p>
        </w:tc>
        <w:tc>
          <w:tcPr>
            <w:tcW w:w="566" w:type="dxa"/>
            <w:tcBorders>
              <w:top w:val="single" w:sz="4" w:space="0" w:color="000000"/>
              <w:bottom w:val="single" w:sz="4" w:space="0" w:color="000000"/>
            </w:tcBorders>
          </w:tcPr>
          <w:p>
            <w:pPr>
              <w:pStyle w:val="TableParagraph"/>
              <w:spacing w:before="27"/>
              <w:ind w:right="171"/>
              <w:rPr>
                <w:sz w:val="14"/>
              </w:rPr>
            </w:pPr>
            <w:r>
              <w:rPr>
                <w:w w:val="99"/>
                <w:sz w:val="14"/>
              </w:rPr>
              <w:t>-</w:t>
            </w:r>
          </w:p>
        </w:tc>
        <w:tc>
          <w:tcPr>
            <w:tcW w:w="634" w:type="dxa"/>
            <w:tcBorders>
              <w:top w:val="single" w:sz="4" w:space="0" w:color="000000"/>
              <w:bottom w:val="single" w:sz="4" w:space="0" w:color="000000"/>
            </w:tcBorders>
          </w:tcPr>
          <w:p>
            <w:pPr>
              <w:pStyle w:val="TableParagraph"/>
              <w:spacing w:before="27"/>
              <w:ind w:right="209"/>
              <w:rPr>
                <w:sz w:val="14"/>
              </w:rPr>
            </w:pPr>
            <w:r>
              <w:rPr>
                <w:w w:val="99"/>
                <w:sz w:val="14"/>
              </w:rPr>
              <w:t>-</w:t>
            </w:r>
          </w:p>
        </w:tc>
        <w:tc>
          <w:tcPr>
            <w:tcW w:w="727" w:type="dxa"/>
            <w:tcBorders>
              <w:top w:val="single" w:sz="4" w:space="0" w:color="000000"/>
              <w:bottom w:val="single" w:sz="4" w:space="0" w:color="000000"/>
            </w:tcBorders>
          </w:tcPr>
          <w:p>
            <w:pPr>
              <w:pStyle w:val="TableParagraph"/>
              <w:spacing w:before="27"/>
              <w:ind w:right="197"/>
              <w:rPr>
                <w:sz w:val="14"/>
              </w:rPr>
            </w:pPr>
            <w:r>
              <w:rPr>
                <w:w w:val="99"/>
                <w:sz w:val="14"/>
              </w:rPr>
              <w:t>-</w:t>
            </w:r>
          </w:p>
        </w:tc>
        <w:tc>
          <w:tcPr>
            <w:tcW w:w="462" w:type="dxa"/>
            <w:tcBorders>
              <w:top w:val="single" w:sz="4" w:space="0" w:color="000000"/>
              <w:bottom w:val="single" w:sz="4" w:space="0" w:color="000000"/>
            </w:tcBorders>
          </w:tcPr>
          <w:p>
            <w:pPr>
              <w:pStyle w:val="TableParagraph"/>
              <w:spacing w:before="27"/>
              <w:ind w:right="63"/>
              <w:rPr>
                <w:sz w:val="14"/>
              </w:rPr>
            </w:pPr>
            <w:r>
              <w:rPr>
                <w:w w:val="99"/>
                <w:sz w:val="14"/>
              </w:rPr>
              <w:t>-</w:t>
            </w:r>
          </w:p>
        </w:tc>
        <w:tc>
          <w:tcPr>
            <w:tcW w:w="795" w:type="dxa"/>
            <w:tcBorders>
              <w:top w:val="single" w:sz="4" w:space="0" w:color="000000"/>
              <w:bottom w:val="single" w:sz="4" w:space="0" w:color="000000"/>
            </w:tcBorders>
          </w:tcPr>
          <w:p>
            <w:pPr>
              <w:pStyle w:val="TableParagraph"/>
              <w:spacing w:before="27"/>
              <w:ind w:right="123"/>
              <w:rPr>
                <w:i/>
                <w:sz w:val="14"/>
              </w:rPr>
            </w:pPr>
            <w:r>
              <w:rPr>
                <w:i/>
                <w:w w:val="99"/>
                <w:sz w:val="14"/>
              </w:rPr>
              <w:t>-</w:t>
            </w:r>
          </w:p>
        </w:tc>
        <w:tc>
          <w:tcPr>
            <w:tcW w:w="566" w:type="dxa"/>
            <w:tcBorders>
              <w:top w:val="single" w:sz="4" w:space="0" w:color="000000"/>
              <w:bottom w:val="single" w:sz="4" w:space="0" w:color="000000"/>
            </w:tcBorders>
          </w:tcPr>
          <w:p>
            <w:pPr>
              <w:pStyle w:val="TableParagraph"/>
              <w:spacing w:before="27"/>
              <w:ind w:right="94"/>
              <w:rPr>
                <w:sz w:val="14"/>
              </w:rPr>
            </w:pPr>
            <w:r>
              <w:rPr>
                <w:w w:val="99"/>
                <w:sz w:val="14"/>
              </w:rPr>
              <w:t>-</w:t>
            </w:r>
          </w:p>
        </w:tc>
        <w:tc>
          <w:tcPr>
            <w:tcW w:w="576" w:type="dxa"/>
            <w:tcBorders>
              <w:top w:val="single" w:sz="4" w:space="0" w:color="000000"/>
              <w:bottom w:val="single" w:sz="4" w:space="0" w:color="000000"/>
            </w:tcBorders>
          </w:tcPr>
          <w:p>
            <w:pPr>
              <w:pStyle w:val="TableParagraph"/>
              <w:spacing w:before="27"/>
              <w:ind w:right="79"/>
              <w:rPr>
                <w:sz w:val="14"/>
              </w:rPr>
            </w:pPr>
            <w:r>
              <w:rPr>
                <w:w w:val="99"/>
                <w:sz w:val="14"/>
              </w:rPr>
              <w:t>-</w:t>
            </w:r>
          </w:p>
        </w:tc>
        <w:tc>
          <w:tcPr>
            <w:tcW w:w="564" w:type="dxa"/>
            <w:tcBorders>
              <w:top w:val="single" w:sz="4" w:space="0" w:color="000000"/>
              <w:bottom w:val="single" w:sz="4" w:space="0" w:color="000000"/>
            </w:tcBorders>
          </w:tcPr>
          <w:p>
            <w:pPr>
              <w:pStyle w:val="TableParagraph"/>
              <w:spacing w:before="27"/>
              <w:ind w:right="53"/>
              <w:rPr>
                <w:sz w:val="14"/>
              </w:rPr>
            </w:pPr>
            <w:r>
              <w:rPr>
                <w:w w:val="99"/>
                <w:sz w:val="14"/>
              </w:rPr>
              <w:t>-</w:t>
            </w:r>
          </w:p>
        </w:tc>
        <w:tc>
          <w:tcPr>
            <w:tcW w:w="818" w:type="dxa"/>
            <w:tcBorders>
              <w:top w:val="single" w:sz="4" w:space="0" w:color="000000"/>
              <w:bottom w:val="single" w:sz="4" w:space="0" w:color="000000"/>
            </w:tcBorders>
          </w:tcPr>
          <w:p>
            <w:pPr>
              <w:pStyle w:val="TableParagraph"/>
              <w:spacing w:before="27"/>
              <w:ind w:right="131"/>
              <w:rPr>
                <w:i/>
                <w:sz w:val="14"/>
              </w:rPr>
            </w:pPr>
            <w:r>
              <w:rPr>
                <w:i/>
                <w:w w:val="99"/>
                <w:sz w:val="14"/>
              </w:rPr>
              <w:t>-</w:t>
            </w:r>
          </w:p>
        </w:tc>
        <w:tc>
          <w:tcPr>
            <w:tcW w:w="515" w:type="dxa"/>
            <w:tcBorders>
              <w:top w:val="single" w:sz="4" w:space="0" w:color="000000"/>
              <w:bottom w:val="single" w:sz="4" w:space="0" w:color="000000"/>
            </w:tcBorders>
          </w:tcPr>
          <w:p>
            <w:pPr>
              <w:pStyle w:val="TableParagraph"/>
              <w:spacing w:before="27"/>
              <w:ind w:right="46"/>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2"/>
              <w:ind w:left="67"/>
              <w:jc w:val="left"/>
              <w:rPr>
                <w:sz w:val="14"/>
              </w:rPr>
            </w:pPr>
            <w:r>
              <w:rPr>
                <w:spacing w:val="-2"/>
                <w:sz w:val="14"/>
              </w:rPr>
              <w:t>Returned</w:t>
            </w:r>
          </w:p>
        </w:tc>
        <w:tc>
          <w:tcPr>
            <w:tcW w:w="678" w:type="dxa"/>
            <w:tcBorders>
              <w:top w:val="single" w:sz="4" w:space="0" w:color="000000"/>
              <w:bottom w:val="single" w:sz="4" w:space="0" w:color="000000"/>
            </w:tcBorders>
          </w:tcPr>
          <w:p>
            <w:pPr>
              <w:pStyle w:val="TableParagraph"/>
              <w:spacing w:before="22"/>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2"/>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2"/>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2"/>
              <w:ind w:right="191"/>
              <w:rPr>
                <w:sz w:val="14"/>
              </w:rPr>
            </w:pPr>
            <w:r>
              <w:rPr>
                <w:w w:val="99"/>
                <w:sz w:val="14"/>
              </w:rPr>
              <w:t>-</w:t>
            </w:r>
          </w:p>
        </w:tc>
        <w:tc>
          <w:tcPr>
            <w:tcW w:w="581" w:type="dxa"/>
            <w:tcBorders>
              <w:top w:val="single" w:sz="4" w:space="0" w:color="000000"/>
              <w:bottom w:val="single" w:sz="4" w:space="0" w:color="000000"/>
            </w:tcBorders>
          </w:tcPr>
          <w:p>
            <w:pPr>
              <w:pStyle w:val="TableParagraph"/>
              <w:spacing w:before="22"/>
              <w:ind w:left="148"/>
              <w:jc w:val="center"/>
              <w:rPr>
                <w:sz w:val="14"/>
              </w:rPr>
            </w:pPr>
            <w:r>
              <w:rPr>
                <w:w w:val="99"/>
                <w:sz w:val="14"/>
              </w:rPr>
              <w:t>-</w:t>
            </w:r>
          </w:p>
        </w:tc>
        <w:tc>
          <w:tcPr>
            <w:tcW w:w="566" w:type="dxa"/>
            <w:tcBorders>
              <w:top w:val="single" w:sz="4" w:space="0" w:color="000000"/>
              <w:bottom w:val="single" w:sz="4" w:space="0" w:color="000000"/>
            </w:tcBorders>
          </w:tcPr>
          <w:p>
            <w:pPr>
              <w:pStyle w:val="TableParagraph"/>
              <w:spacing w:before="22"/>
              <w:ind w:right="171"/>
              <w:rPr>
                <w:sz w:val="14"/>
              </w:rPr>
            </w:pPr>
            <w:r>
              <w:rPr>
                <w:w w:val="99"/>
                <w:sz w:val="14"/>
              </w:rPr>
              <w:t>-</w:t>
            </w:r>
          </w:p>
        </w:tc>
        <w:tc>
          <w:tcPr>
            <w:tcW w:w="634" w:type="dxa"/>
            <w:tcBorders>
              <w:top w:val="single" w:sz="4" w:space="0" w:color="000000"/>
              <w:bottom w:val="single" w:sz="4" w:space="0" w:color="000000"/>
            </w:tcBorders>
          </w:tcPr>
          <w:p>
            <w:pPr>
              <w:pStyle w:val="TableParagraph"/>
              <w:spacing w:before="22"/>
              <w:ind w:right="209"/>
              <w:rPr>
                <w:sz w:val="14"/>
              </w:rPr>
            </w:pPr>
            <w:r>
              <w:rPr>
                <w:w w:val="99"/>
                <w:sz w:val="14"/>
              </w:rPr>
              <w:t>-</w:t>
            </w:r>
          </w:p>
        </w:tc>
        <w:tc>
          <w:tcPr>
            <w:tcW w:w="727" w:type="dxa"/>
            <w:tcBorders>
              <w:top w:val="single" w:sz="4" w:space="0" w:color="000000"/>
              <w:bottom w:val="single" w:sz="4" w:space="0" w:color="000000"/>
            </w:tcBorders>
          </w:tcPr>
          <w:p>
            <w:pPr>
              <w:pStyle w:val="TableParagraph"/>
              <w:spacing w:before="22"/>
              <w:ind w:right="197"/>
              <w:rPr>
                <w:sz w:val="14"/>
              </w:rPr>
            </w:pPr>
            <w:r>
              <w:rPr>
                <w:w w:val="99"/>
                <w:sz w:val="14"/>
              </w:rPr>
              <w:t>-</w:t>
            </w:r>
          </w:p>
        </w:tc>
        <w:tc>
          <w:tcPr>
            <w:tcW w:w="462" w:type="dxa"/>
            <w:tcBorders>
              <w:top w:val="single" w:sz="4" w:space="0" w:color="000000"/>
              <w:bottom w:val="single" w:sz="4" w:space="0" w:color="000000"/>
            </w:tcBorders>
          </w:tcPr>
          <w:p>
            <w:pPr>
              <w:pStyle w:val="TableParagraph"/>
              <w:spacing w:before="22"/>
              <w:ind w:right="63"/>
              <w:rPr>
                <w:sz w:val="14"/>
              </w:rPr>
            </w:pPr>
            <w:r>
              <w:rPr>
                <w:w w:val="99"/>
                <w:sz w:val="14"/>
              </w:rPr>
              <w:t>-</w:t>
            </w:r>
          </w:p>
        </w:tc>
        <w:tc>
          <w:tcPr>
            <w:tcW w:w="795" w:type="dxa"/>
            <w:tcBorders>
              <w:top w:val="single" w:sz="4" w:space="0" w:color="000000"/>
              <w:bottom w:val="single" w:sz="4" w:space="0" w:color="000000"/>
            </w:tcBorders>
          </w:tcPr>
          <w:p>
            <w:pPr>
              <w:pStyle w:val="TableParagraph"/>
              <w:spacing w:before="22"/>
              <w:ind w:right="123"/>
              <w:rPr>
                <w:i/>
                <w:sz w:val="14"/>
              </w:rPr>
            </w:pPr>
            <w:r>
              <w:rPr>
                <w:i/>
                <w:w w:val="99"/>
                <w:sz w:val="14"/>
              </w:rPr>
              <w:t>-</w:t>
            </w:r>
          </w:p>
        </w:tc>
        <w:tc>
          <w:tcPr>
            <w:tcW w:w="566" w:type="dxa"/>
            <w:tcBorders>
              <w:top w:val="single" w:sz="4" w:space="0" w:color="000000"/>
              <w:bottom w:val="single" w:sz="4" w:space="0" w:color="000000"/>
            </w:tcBorders>
          </w:tcPr>
          <w:p>
            <w:pPr>
              <w:pStyle w:val="TableParagraph"/>
              <w:spacing w:before="22"/>
              <w:ind w:right="94"/>
              <w:rPr>
                <w:sz w:val="14"/>
              </w:rPr>
            </w:pPr>
            <w:r>
              <w:rPr>
                <w:w w:val="99"/>
                <w:sz w:val="14"/>
              </w:rPr>
              <w:t>-</w:t>
            </w:r>
          </w:p>
        </w:tc>
        <w:tc>
          <w:tcPr>
            <w:tcW w:w="576" w:type="dxa"/>
            <w:tcBorders>
              <w:top w:val="single" w:sz="4" w:space="0" w:color="000000"/>
              <w:bottom w:val="single" w:sz="4" w:space="0" w:color="000000"/>
            </w:tcBorders>
          </w:tcPr>
          <w:p>
            <w:pPr>
              <w:pStyle w:val="TableParagraph"/>
              <w:spacing w:before="22"/>
              <w:ind w:right="79"/>
              <w:rPr>
                <w:sz w:val="14"/>
              </w:rPr>
            </w:pPr>
            <w:r>
              <w:rPr>
                <w:w w:val="99"/>
                <w:sz w:val="14"/>
              </w:rPr>
              <w:t>-</w:t>
            </w:r>
          </w:p>
        </w:tc>
        <w:tc>
          <w:tcPr>
            <w:tcW w:w="564" w:type="dxa"/>
            <w:tcBorders>
              <w:top w:val="single" w:sz="4" w:space="0" w:color="000000"/>
              <w:bottom w:val="single" w:sz="4" w:space="0" w:color="000000"/>
            </w:tcBorders>
          </w:tcPr>
          <w:p>
            <w:pPr>
              <w:pStyle w:val="TableParagraph"/>
              <w:spacing w:before="22"/>
              <w:ind w:right="53"/>
              <w:rPr>
                <w:sz w:val="14"/>
              </w:rPr>
            </w:pPr>
            <w:r>
              <w:rPr>
                <w:w w:val="99"/>
                <w:sz w:val="14"/>
              </w:rPr>
              <w:t>-</w:t>
            </w:r>
          </w:p>
        </w:tc>
        <w:tc>
          <w:tcPr>
            <w:tcW w:w="818" w:type="dxa"/>
            <w:tcBorders>
              <w:top w:val="single" w:sz="4" w:space="0" w:color="000000"/>
              <w:bottom w:val="single" w:sz="4" w:space="0" w:color="000000"/>
            </w:tcBorders>
          </w:tcPr>
          <w:p>
            <w:pPr>
              <w:pStyle w:val="TableParagraph"/>
              <w:spacing w:before="22"/>
              <w:ind w:right="131"/>
              <w:rPr>
                <w:i/>
                <w:sz w:val="14"/>
              </w:rPr>
            </w:pPr>
            <w:r>
              <w:rPr>
                <w:i/>
                <w:w w:val="99"/>
                <w:sz w:val="14"/>
              </w:rPr>
              <w:t>-</w:t>
            </w:r>
          </w:p>
        </w:tc>
        <w:tc>
          <w:tcPr>
            <w:tcW w:w="515" w:type="dxa"/>
            <w:tcBorders>
              <w:top w:val="single" w:sz="4" w:space="0" w:color="000000"/>
              <w:bottom w:val="single" w:sz="4" w:space="0" w:color="000000"/>
            </w:tcBorders>
          </w:tcPr>
          <w:p>
            <w:pPr>
              <w:pStyle w:val="TableParagraph"/>
              <w:spacing w:before="22"/>
              <w:ind w:right="46"/>
              <w:rPr>
                <w:b/>
                <w:sz w:val="14"/>
              </w:rPr>
            </w:pPr>
            <w:r>
              <w:rPr>
                <w:b/>
                <w:w w:val="99"/>
                <w:sz w:val="14"/>
              </w:rPr>
              <w:t>-</w:t>
            </w:r>
          </w:p>
        </w:tc>
      </w:tr>
      <w:tr>
        <w:trPr>
          <w:trHeight w:val="229" w:hRule="atLeast"/>
        </w:trPr>
        <w:tc>
          <w:tcPr>
            <w:tcW w:w="1186" w:type="dxa"/>
            <w:tcBorders>
              <w:top w:val="single" w:sz="4" w:space="0" w:color="000000"/>
              <w:bottom w:val="single" w:sz="12" w:space="0" w:color="000000"/>
            </w:tcBorders>
          </w:tcPr>
          <w:p>
            <w:pPr>
              <w:pStyle w:val="TableParagraph"/>
              <w:spacing w:before="27"/>
              <w:ind w:left="67"/>
              <w:jc w:val="left"/>
              <w:rPr>
                <w:b/>
                <w:sz w:val="14"/>
              </w:rPr>
            </w:pPr>
            <w:r>
              <w:rPr>
                <w:b/>
                <w:sz w:val="14"/>
              </w:rPr>
              <w:t>Proposed</w:t>
            </w:r>
            <w:r>
              <w:rPr>
                <w:b/>
                <w:spacing w:val="-6"/>
                <w:sz w:val="14"/>
              </w:rPr>
              <w:t> </w:t>
            </w:r>
            <w:r>
              <w:rPr>
                <w:b/>
                <w:spacing w:val="-4"/>
                <w:sz w:val="14"/>
              </w:rPr>
              <w:t>2023</w:t>
            </w:r>
          </w:p>
        </w:tc>
        <w:tc>
          <w:tcPr>
            <w:tcW w:w="678" w:type="dxa"/>
            <w:tcBorders>
              <w:top w:val="single" w:sz="4" w:space="0" w:color="000000"/>
              <w:bottom w:val="single" w:sz="12" w:space="0" w:color="000000"/>
            </w:tcBorders>
          </w:tcPr>
          <w:p>
            <w:pPr>
              <w:pStyle w:val="TableParagraph"/>
              <w:spacing w:before="27"/>
              <w:ind w:right="154"/>
              <w:rPr>
                <w:b/>
                <w:sz w:val="14"/>
              </w:rPr>
            </w:pPr>
            <w:r>
              <w:rPr>
                <w:b/>
                <w:w w:val="99"/>
                <w:sz w:val="14"/>
              </w:rPr>
              <w:t>-</w:t>
            </w:r>
          </w:p>
        </w:tc>
        <w:tc>
          <w:tcPr>
            <w:tcW w:w="607" w:type="dxa"/>
            <w:tcBorders>
              <w:top w:val="single" w:sz="4" w:space="0" w:color="000000"/>
              <w:bottom w:val="single" w:sz="12" w:space="0" w:color="000000"/>
            </w:tcBorders>
          </w:tcPr>
          <w:p>
            <w:pPr>
              <w:pStyle w:val="TableParagraph"/>
              <w:spacing w:before="27"/>
              <w:ind w:right="170"/>
              <w:rPr>
                <w:b/>
                <w:sz w:val="14"/>
              </w:rPr>
            </w:pPr>
            <w:r>
              <w:rPr>
                <w:b/>
                <w:w w:val="99"/>
                <w:sz w:val="14"/>
              </w:rPr>
              <w:t>-</w:t>
            </w:r>
          </w:p>
        </w:tc>
        <w:tc>
          <w:tcPr>
            <w:tcW w:w="563" w:type="dxa"/>
            <w:tcBorders>
              <w:top w:val="single" w:sz="4" w:space="0" w:color="000000"/>
              <w:bottom w:val="single" w:sz="12" w:space="0" w:color="000000"/>
            </w:tcBorders>
          </w:tcPr>
          <w:p>
            <w:pPr>
              <w:pStyle w:val="TableParagraph"/>
              <w:spacing w:before="27"/>
              <w:ind w:right="171"/>
              <w:rPr>
                <w:b/>
                <w:sz w:val="14"/>
              </w:rPr>
            </w:pPr>
            <w:r>
              <w:rPr>
                <w:b/>
                <w:w w:val="99"/>
                <w:sz w:val="14"/>
              </w:rPr>
              <w:t>-</w:t>
            </w:r>
          </w:p>
        </w:tc>
        <w:tc>
          <w:tcPr>
            <w:tcW w:w="581" w:type="dxa"/>
            <w:tcBorders>
              <w:top w:val="single" w:sz="4" w:space="0" w:color="000000"/>
              <w:bottom w:val="single" w:sz="12" w:space="0" w:color="000000"/>
            </w:tcBorders>
          </w:tcPr>
          <w:p>
            <w:pPr>
              <w:pStyle w:val="TableParagraph"/>
              <w:spacing w:before="27"/>
              <w:ind w:right="191"/>
              <w:rPr>
                <w:b/>
                <w:sz w:val="14"/>
              </w:rPr>
            </w:pPr>
            <w:r>
              <w:rPr>
                <w:b/>
                <w:w w:val="99"/>
                <w:sz w:val="14"/>
              </w:rPr>
              <w:t>-</w:t>
            </w:r>
          </w:p>
        </w:tc>
        <w:tc>
          <w:tcPr>
            <w:tcW w:w="581" w:type="dxa"/>
            <w:tcBorders>
              <w:top w:val="single" w:sz="4" w:space="0" w:color="000000"/>
              <w:bottom w:val="single" w:sz="12" w:space="0" w:color="000000"/>
            </w:tcBorders>
          </w:tcPr>
          <w:p>
            <w:pPr>
              <w:pStyle w:val="TableParagraph"/>
              <w:spacing w:before="27"/>
              <w:ind w:left="124"/>
              <w:jc w:val="center"/>
              <w:rPr>
                <w:b/>
                <w:sz w:val="14"/>
              </w:rPr>
            </w:pPr>
            <w:r>
              <w:rPr>
                <w:b/>
                <w:w w:val="99"/>
                <w:sz w:val="14"/>
              </w:rPr>
              <w:t>3</w:t>
            </w:r>
          </w:p>
        </w:tc>
        <w:tc>
          <w:tcPr>
            <w:tcW w:w="566" w:type="dxa"/>
            <w:tcBorders>
              <w:top w:val="single" w:sz="4" w:space="0" w:color="000000"/>
              <w:bottom w:val="single" w:sz="12" w:space="0" w:color="000000"/>
            </w:tcBorders>
          </w:tcPr>
          <w:p>
            <w:pPr>
              <w:pStyle w:val="TableParagraph"/>
              <w:spacing w:before="27"/>
              <w:ind w:right="172"/>
              <w:rPr>
                <w:b/>
                <w:sz w:val="14"/>
              </w:rPr>
            </w:pPr>
            <w:r>
              <w:rPr>
                <w:b/>
                <w:w w:val="99"/>
                <w:sz w:val="14"/>
              </w:rPr>
              <w:t>3</w:t>
            </w:r>
          </w:p>
        </w:tc>
        <w:tc>
          <w:tcPr>
            <w:tcW w:w="634" w:type="dxa"/>
            <w:tcBorders>
              <w:top w:val="single" w:sz="4" w:space="0" w:color="000000"/>
              <w:bottom w:val="single" w:sz="12" w:space="0" w:color="000000"/>
            </w:tcBorders>
          </w:tcPr>
          <w:p>
            <w:pPr>
              <w:pStyle w:val="TableParagraph"/>
              <w:spacing w:before="27"/>
              <w:ind w:right="203"/>
              <w:rPr>
                <w:b/>
                <w:sz w:val="14"/>
              </w:rPr>
            </w:pPr>
            <w:r>
              <w:rPr>
                <w:b/>
                <w:spacing w:val="-5"/>
                <w:sz w:val="14"/>
              </w:rPr>
              <w:t>21</w:t>
            </w:r>
          </w:p>
        </w:tc>
        <w:tc>
          <w:tcPr>
            <w:tcW w:w="727" w:type="dxa"/>
            <w:tcBorders>
              <w:top w:val="single" w:sz="4" w:space="0" w:color="000000"/>
              <w:bottom w:val="single" w:sz="12" w:space="0" w:color="000000"/>
            </w:tcBorders>
          </w:tcPr>
          <w:p>
            <w:pPr>
              <w:pStyle w:val="TableParagraph"/>
              <w:spacing w:before="27"/>
              <w:ind w:right="190"/>
              <w:rPr>
                <w:b/>
                <w:sz w:val="14"/>
              </w:rPr>
            </w:pPr>
            <w:r>
              <w:rPr>
                <w:b/>
                <w:spacing w:val="-5"/>
                <w:sz w:val="14"/>
              </w:rPr>
              <w:t>12</w:t>
            </w:r>
          </w:p>
        </w:tc>
        <w:tc>
          <w:tcPr>
            <w:tcW w:w="462" w:type="dxa"/>
            <w:tcBorders>
              <w:top w:val="single" w:sz="4" w:space="0" w:color="000000"/>
              <w:bottom w:val="single" w:sz="12" w:space="0" w:color="000000"/>
            </w:tcBorders>
          </w:tcPr>
          <w:p>
            <w:pPr>
              <w:pStyle w:val="TableParagraph"/>
              <w:spacing w:before="27"/>
              <w:ind w:right="63"/>
              <w:rPr>
                <w:b/>
                <w:sz w:val="14"/>
              </w:rPr>
            </w:pPr>
            <w:r>
              <w:rPr>
                <w:b/>
                <w:w w:val="99"/>
                <w:sz w:val="14"/>
              </w:rPr>
              <w:t>-</w:t>
            </w:r>
          </w:p>
        </w:tc>
        <w:tc>
          <w:tcPr>
            <w:tcW w:w="795" w:type="dxa"/>
            <w:tcBorders>
              <w:top w:val="single" w:sz="4" w:space="0" w:color="000000"/>
              <w:bottom w:val="single" w:sz="12" w:space="0" w:color="000000"/>
            </w:tcBorders>
          </w:tcPr>
          <w:p>
            <w:pPr>
              <w:pStyle w:val="TableParagraph"/>
              <w:spacing w:before="27"/>
              <w:ind w:right="117"/>
              <w:rPr>
                <w:b/>
                <w:i/>
                <w:sz w:val="14"/>
              </w:rPr>
            </w:pPr>
            <w:r>
              <w:rPr>
                <w:b/>
                <w:i/>
                <w:spacing w:val="-5"/>
                <w:sz w:val="14"/>
              </w:rPr>
              <w:t>39</w:t>
            </w:r>
          </w:p>
        </w:tc>
        <w:tc>
          <w:tcPr>
            <w:tcW w:w="566" w:type="dxa"/>
            <w:tcBorders>
              <w:top w:val="single" w:sz="4" w:space="0" w:color="000000"/>
              <w:bottom w:val="single" w:sz="12" w:space="0" w:color="000000"/>
            </w:tcBorders>
          </w:tcPr>
          <w:p>
            <w:pPr>
              <w:pStyle w:val="TableParagraph"/>
              <w:spacing w:before="27"/>
              <w:ind w:right="94"/>
              <w:rPr>
                <w:b/>
                <w:sz w:val="14"/>
              </w:rPr>
            </w:pPr>
            <w:r>
              <w:rPr>
                <w:b/>
                <w:w w:val="99"/>
                <w:sz w:val="14"/>
              </w:rPr>
              <w:t>-</w:t>
            </w:r>
          </w:p>
        </w:tc>
        <w:tc>
          <w:tcPr>
            <w:tcW w:w="576" w:type="dxa"/>
            <w:tcBorders>
              <w:top w:val="single" w:sz="4" w:space="0" w:color="000000"/>
              <w:bottom w:val="single" w:sz="12" w:space="0" w:color="000000"/>
            </w:tcBorders>
          </w:tcPr>
          <w:p>
            <w:pPr>
              <w:pStyle w:val="TableParagraph"/>
              <w:spacing w:before="27"/>
              <w:ind w:right="80"/>
              <w:rPr>
                <w:b/>
                <w:sz w:val="14"/>
              </w:rPr>
            </w:pPr>
            <w:r>
              <w:rPr>
                <w:b/>
                <w:w w:val="99"/>
                <w:sz w:val="14"/>
              </w:rPr>
              <w:t>1</w:t>
            </w:r>
          </w:p>
        </w:tc>
        <w:tc>
          <w:tcPr>
            <w:tcW w:w="564" w:type="dxa"/>
            <w:tcBorders>
              <w:top w:val="single" w:sz="4" w:space="0" w:color="000000"/>
              <w:bottom w:val="single" w:sz="12" w:space="0" w:color="000000"/>
            </w:tcBorders>
          </w:tcPr>
          <w:p>
            <w:pPr>
              <w:pStyle w:val="TableParagraph"/>
              <w:spacing w:before="27"/>
              <w:ind w:right="47"/>
              <w:rPr>
                <w:b/>
                <w:sz w:val="14"/>
              </w:rPr>
            </w:pPr>
            <w:r>
              <w:rPr>
                <w:b/>
                <w:spacing w:val="-5"/>
                <w:sz w:val="14"/>
              </w:rPr>
              <w:t>11</w:t>
            </w:r>
          </w:p>
        </w:tc>
        <w:tc>
          <w:tcPr>
            <w:tcW w:w="818" w:type="dxa"/>
            <w:tcBorders>
              <w:top w:val="single" w:sz="4" w:space="0" w:color="000000"/>
              <w:bottom w:val="single" w:sz="12" w:space="0" w:color="000000"/>
            </w:tcBorders>
          </w:tcPr>
          <w:p>
            <w:pPr>
              <w:pStyle w:val="TableParagraph"/>
              <w:spacing w:before="27"/>
              <w:ind w:right="125"/>
              <w:rPr>
                <w:b/>
                <w:i/>
                <w:sz w:val="14"/>
              </w:rPr>
            </w:pPr>
            <w:r>
              <w:rPr>
                <w:b/>
                <w:i/>
                <w:spacing w:val="-5"/>
                <w:sz w:val="14"/>
              </w:rPr>
              <w:t>12</w:t>
            </w:r>
          </w:p>
        </w:tc>
        <w:tc>
          <w:tcPr>
            <w:tcW w:w="515" w:type="dxa"/>
            <w:tcBorders>
              <w:top w:val="single" w:sz="4" w:space="0" w:color="000000"/>
              <w:bottom w:val="single" w:sz="12" w:space="0" w:color="000000"/>
            </w:tcBorders>
          </w:tcPr>
          <w:p>
            <w:pPr>
              <w:pStyle w:val="TableParagraph"/>
              <w:spacing w:before="27"/>
              <w:ind w:right="40"/>
              <w:rPr>
                <w:b/>
                <w:sz w:val="14"/>
              </w:rPr>
            </w:pPr>
            <w:r>
              <w:rPr>
                <w:b/>
                <w:spacing w:val="-5"/>
                <w:sz w:val="14"/>
              </w:rPr>
              <w:t>51</w:t>
            </w:r>
          </w:p>
        </w:tc>
      </w:tr>
      <w:tr>
        <w:trPr>
          <w:trHeight w:val="569" w:hRule="atLeast"/>
        </w:trPr>
        <w:tc>
          <w:tcPr>
            <w:tcW w:w="1186" w:type="dxa"/>
            <w:tcBorders>
              <w:top w:val="single" w:sz="12" w:space="0" w:color="000000"/>
            </w:tcBorders>
          </w:tcPr>
          <w:p>
            <w:pPr>
              <w:pStyle w:val="TableParagraph"/>
              <w:spacing w:before="2"/>
              <w:jc w:val="left"/>
              <w:rPr>
                <w:b/>
                <w:sz w:val="19"/>
              </w:rPr>
            </w:pPr>
          </w:p>
          <w:p>
            <w:pPr>
              <w:pStyle w:val="TableParagraph"/>
              <w:spacing w:line="235" w:lineRule="auto" w:before="1"/>
              <w:ind w:left="67" w:right="232"/>
              <w:jc w:val="left"/>
              <w:rPr>
                <w:b/>
                <w:sz w:val="14"/>
              </w:rPr>
            </w:pPr>
            <w:r>
              <w:rPr>
                <w:b/>
                <w:sz w:val="14"/>
              </w:rPr>
              <w:t>GTA</w:t>
            </w:r>
            <w:r>
              <w:rPr>
                <w:b/>
                <w:spacing w:val="-9"/>
                <w:sz w:val="14"/>
              </w:rPr>
              <w:t> </w:t>
            </w:r>
            <w:r>
              <w:rPr>
                <w:b/>
                <w:sz w:val="14"/>
              </w:rPr>
              <w:t>Positions</w:t>
            </w:r>
            <w:r>
              <w:rPr>
                <w:b/>
                <w:spacing w:val="40"/>
                <w:sz w:val="14"/>
              </w:rPr>
              <w:t> </w:t>
            </w:r>
            <w:r>
              <w:rPr>
                <w:b/>
                <w:spacing w:val="-2"/>
                <w:sz w:val="14"/>
              </w:rPr>
              <w:t>(FTE)</w:t>
            </w:r>
          </w:p>
        </w:tc>
        <w:tc>
          <w:tcPr>
            <w:tcW w:w="678" w:type="dxa"/>
            <w:tcBorders>
              <w:top w:val="single" w:sz="12" w:space="0" w:color="000000"/>
            </w:tcBorders>
          </w:tcPr>
          <w:p>
            <w:pPr>
              <w:pStyle w:val="TableParagraph"/>
              <w:jc w:val="left"/>
              <w:rPr>
                <w:sz w:val="14"/>
              </w:rPr>
            </w:pPr>
          </w:p>
        </w:tc>
        <w:tc>
          <w:tcPr>
            <w:tcW w:w="607" w:type="dxa"/>
            <w:tcBorders>
              <w:top w:val="single" w:sz="12" w:space="0" w:color="000000"/>
            </w:tcBorders>
          </w:tcPr>
          <w:p>
            <w:pPr>
              <w:pStyle w:val="TableParagraph"/>
              <w:jc w:val="left"/>
              <w:rPr>
                <w:sz w:val="14"/>
              </w:rPr>
            </w:pPr>
          </w:p>
        </w:tc>
        <w:tc>
          <w:tcPr>
            <w:tcW w:w="563" w:type="dxa"/>
            <w:tcBorders>
              <w:top w:val="single" w:sz="12" w:space="0" w:color="000000"/>
            </w:tcBorders>
          </w:tcPr>
          <w:p>
            <w:pPr>
              <w:pStyle w:val="TableParagraph"/>
              <w:jc w:val="left"/>
              <w:rPr>
                <w:sz w:val="14"/>
              </w:rPr>
            </w:pPr>
          </w:p>
        </w:tc>
        <w:tc>
          <w:tcPr>
            <w:tcW w:w="581" w:type="dxa"/>
            <w:tcBorders>
              <w:top w:val="single" w:sz="12" w:space="0" w:color="000000"/>
            </w:tcBorders>
          </w:tcPr>
          <w:p>
            <w:pPr>
              <w:pStyle w:val="TableParagraph"/>
              <w:jc w:val="left"/>
              <w:rPr>
                <w:sz w:val="14"/>
              </w:rPr>
            </w:pPr>
          </w:p>
        </w:tc>
        <w:tc>
          <w:tcPr>
            <w:tcW w:w="581" w:type="dxa"/>
            <w:tcBorders>
              <w:top w:val="single" w:sz="12" w:space="0" w:color="000000"/>
            </w:tcBorders>
          </w:tcPr>
          <w:p>
            <w:pPr>
              <w:pStyle w:val="TableParagraph"/>
              <w:jc w:val="left"/>
              <w:rPr>
                <w:sz w:val="14"/>
              </w:rPr>
            </w:pPr>
          </w:p>
        </w:tc>
        <w:tc>
          <w:tcPr>
            <w:tcW w:w="566" w:type="dxa"/>
            <w:tcBorders>
              <w:top w:val="single" w:sz="12" w:space="0" w:color="000000"/>
            </w:tcBorders>
          </w:tcPr>
          <w:p>
            <w:pPr>
              <w:pStyle w:val="TableParagraph"/>
              <w:jc w:val="left"/>
              <w:rPr>
                <w:sz w:val="14"/>
              </w:rPr>
            </w:pPr>
          </w:p>
        </w:tc>
        <w:tc>
          <w:tcPr>
            <w:tcW w:w="634" w:type="dxa"/>
            <w:tcBorders>
              <w:top w:val="single" w:sz="12" w:space="0" w:color="000000"/>
            </w:tcBorders>
          </w:tcPr>
          <w:p>
            <w:pPr>
              <w:pStyle w:val="TableParagraph"/>
              <w:jc w:val="left"/>
              <w:rPr>
                <w:sz w:val="14"/>
              </w:rPr>
            </w:pPr>
          </w:p>
        </w:tc>
        <w:tc>
          <w:tcPr>
            <w:tcW w:w="727" w:type="dxa"/>
            <w:tcBorders>
              <w:top w:val="single" w:sz="12" w:space="0" w:color="000000"/>
            </w:tcBorders>
          </w:tcPr>
          <w:p>
            <w:pPr>
              <w:pStyle w:val="TableParagraph"/>
              <w:jc w:val="left"/>
              <w:rPr>
                <w:sz w:val="14"/>
              </w:rPr>
            </w:pPr>
          </w:p>
        </w:tc>
        <w:tc>
          <w:tcPr>
            <w:tcW w:w="462" w:type="dxa"/>
            <w:tcBorders>
              <w:top w:val="single" w:sz="12" w:space="0" w:color="000000"/>
            </w:tcBorders>
          </w:tcPr>
          <w:p>
            <w:pPr>
              <w:pStyle w:val="TableParagraph"/>
              <w:jc w:val="left"/>
              <w:rPr>
                <w:sz w:val="14"/>
              </w:rPr>
            </w:pPr>
          </w:p>
        </w:tc>
        <w:tc>
          <w:tcPr>
            <w:tcW w:w="795" w:type="dxa"/>
            <w:tcBorders>
              <w:top w:val="single" w:sz="12" w:space="0" w:color="000000"/>
            </w:tcBorders>
          </w:tcPr>
          <w:p>
            <w:pPr>
              <w:pStyle w:val="TableParagraph"/>
              <w:jc w:val="left"/>
              <w:rPr>
                <w:sz w:val="14"/>
              </w:rPr>
            </w:pPr>
          </w:p>
        </w:tc>
        <w:tc>
          <w:tcPr>
            <w:tcW w:w="566" w:type="dxa"/>
            <w:tcBorders>
              <w:top w:val="single" w:sz="12" w:space="0" w:color="000000"/>
            </w:tcBorders>
          </w:tcPr>
          <w:p>
            <w:pPr>
              <w:pStyle w:val="TableParagraph"/>
              <w:jc w:val="left"/>
              <w:rPr>
                <w:sz w:val="14"/>
              </w:rPr>
            </w:pPr>
          </w:p>
        </w:tc>
        <w:tc>
          <w:tcPr>
            <w:tcW w:w="576" w:type="dxa"/>
            <w:tcBorders>
              <w:top w:val="single" w:sz="12" w:space="0" w:color="000000"/>
            </w:tcBorders>
          </w:tcPr>
          <w:p>
            <w:pPr>
              <w:pStyle w:val="TableParagraph"/>
              <w:jc w:val="left"/>
              <w:rPr>
                <w:sz w:val="14"/>
              </w:rPr>
            </w:pPr>
          </w:p>
        </w:tc>
        <w:tc>
          <w:tcPr>
            <w:tcW w:w="564" w:type="dxa"/>
            <w:tcBorders>
              <w:top w:val="single" w:sz="12" w:space="0" w:color="000000"/>
            </w:tcBorders>
          </w:tcPr>
          <w:p>
            <w:pPr>
              <w:pStyle w:val="TableParagraph"/>
              <w:jc w:val="left"/>
              <w:rPr>
                <w:sz w:val="14"/>
              </w:rPr>
            </w:pPr>
          </w:p>
        </w:tc>
        <w:tc>
          <w:tcPr>
            <w:tcW w:w="818" w:type="dxa"/>
            <w:tcBorders>
              <w:top w:val="single" w:sz="12" w:space="0" w:color="000000"/>
            </w:tcBorders>
          </w:tcPr>
          <w:p>
            <w:pPr>
              <w:pStyle w:val="TableParagraph"/>
              <w:jc w:val="left"/>
              <w:rPr>
                <w:sz w:val="14"/>
              </w:rPr>
            </w:pPr>
          </w:p>
        </w:tc>
        <w:tc>
          <w:tcPr>
            <w:tcW w:w="515" w:type="dxa"/>
            <w:tcBorders>
              <w:top w:val="single" w:sz="12" w:space="0" w:color="000000"/>
            </w:tcBorders>
          </w:tcPr>
          <w:p>
            <w:pPr>
              <w:pStyle w:val="TableParagraph"/>
              <w:jc w:val="left"/>
              <w:rPr>
                <w:sz w:val="14"/>
              </w:rPr>
            </w:pPr>
          </w:p>
        </w:tc>
      </w:tr>
      <w:tr>
        <w:trPr>
          <w:trHeight w:val="202" w:hRule="atLeast"/>
        </w:trPr>
        <w:tc>
          <w:tcPr>
            <w:tcW w:w="1186" w:type="dxa"/>
            <w:tcBorders>
              <w:bottom w:val="single" w:sz="12" w:space="0" w:color="000000"/>
            </w:tcBorders>
          </w:tcPr>
          <w:p>
            <w:pPr>
              <w:pStyle w:val="TableParagraph"/>
              <w:spacing w:before="5"/>
              <w:ind w:left="67"/>
              <w:jc w:val="left"/>
              <w:rPr>
                <w:sz w:val="14"/>
              </w:rPr>
            </w:pPr>
            <w:r>
              <w:rPr>
                <w:w w:val="95"/>
                <w:sz w:val="14"/>
              </w:rPr>
              <w:t>Approved</w:t>
            </w:r>
            <w:r>
              <w:rPr>
                <w:spacing w:val="22"/>
                <w:sz w:val="14"/>
              </w:rPr>
              <w:t> </w:t>
            </w:r>
            <w:r>
              <w:rPr>
                <w:spacing w:val="-4"/>
                <w:sz w:val="14"/>
              </w:rPr>
              <w:t>2022</w:t>
            </w:r>
          </w:p>
        </w:tc>
        <w:tc>
          <w:tcPr>
            <w:tcW w:w="678" w:type="dxa"/>
            <w:tcBorders>
              <w:bottom w:val="single" w:sz="12" w:space="0" w:color="000000"/>
            </w:tcBorders>
          </w:tcPr>
          <w:p>
            <w:pPr>
              <w:pStyle w:val="TableParagraph"/>
              <w:spacing w:before="5"/>
              <w:ind w:right="154"/>
              <w:rPr>
                <w:sz w:val="14"/>
              </w:rPr>
            </w:pPr>
            <w:r>
              <w:rPr>
                <w:w w:val="99"/>
                <w:sz w:val="14"/>
              </w:rPr>
              <w:t>-</w:t>
            </w:r>
          </w:p>
        </w:tc>
        <w:tc>
          <w:tcPr>
            <w:tcW w:w="607" w:type="dxa"/>
            <w:tcBorders>
              <w:bottom w:val="single" w:sz="12" w:space="0" w:color="000000"/>
            </w:tcBorders>
          </w:tcPr>
          <w:p>
            <w:pPr>
              <w:pStyle w:val="TableParagraph"/>
              <w:spacing w:before="5"/>
              <w:ind w:right="170"/>
              <w:rPr>
                <w:sz w:val="14"/>
              </w:rPr>
            </w:pPr>
            <w:r>
              <w:rPr>
                <w:w w:val="99"/>
                <w:sz w:val="14"/>
              </w:rPr>
              <w:t>-</w:t>
            </w:r>
          </w:p>
        </w:tc>
        <w:tc>
          <w:tcPr>
            <w:tcW w:w="563" w:type="dxa"/>
            <w:tcBorders>
              <w:bottom w:val="single" w:sz="12" w:space="0" w:color="000000"/>
            </w:tcBorders>
          </w:tcPr>
          <w:p>
            <w:pPr>
              <w:pStyle w:val="TableParagraph"/>
              <w:spacing w:before="5"/>
              <w:ind w:right="171"/>
              <w:rPr>
                <w:sz w:val="14"/>
              </w:rPr>
            </w:pPr>
            <w:r>
              <w:rPr>
                <w:w w:val="99"/>
                <w:sz w:val="14"/>
              </w:rPr>
              <w:t>-</w:t>
            </w:r>
          </w:p>
        </w:tc>
        <w:tc>
          <w:tcPr>
            <w:tcW w:w="581" w:type="dxa"/>
            <w:tcBorders>
              <w:bottom w:val="single" w:sz="12" w:space="0" w:color="000000"/>
            </w:tcBorders>
          </w:tcPr>
          <w:p>
            <w:pPr>
              <w:pStyle w:val="TableParagraph"/>
              <w:spacing w:before="5"/>
              <w:ind w:right="191"/>
              <w:rPr>
                <w:sz w:val="14"/>
              </w:rPr>
            </w:pPr>
            <w:r>
              <w:rPr>
                <w:w w:val="99"/>
                <w:sz w:val="14"/>
              </w:rPr>
              <w:t>-</w:t>
            </w:r>
          </w:p>
        </w:tc>
        <w:tc>
          <w:tcPr>
            <w:tcW w:w="581" w:type="dxa"/>
            <w:tcBorders>
              <w:bottom w:val="single" w:sz="12" w:space="0" w:color="000000"/>
            </w:tcBorders>
          </w:tcPr>
          <w:p>
            <w:pPr>
              <w:pStyle w:val="TableParagraph"/>
              <w:spacing w:before="5"/>
              <w:ind w:left="148"/>
              <w:jc w:val="center"/>
              <w:rPr>
                <w:sz w:val="14"/>
              </w:rPr>
            </w:pPr>
            <w:r>
              <w:rPr>
                <w:w w:val="99"/>
                <w:sz w:val="14"/>
              </w:rPr>
              <w:t>-</w:t>
            </w:r>
          </w:p>
        </w:tc>
        <w:tc>
          <w:tcPr>
            <w:tcW w:w="566" w:type="dxa"/>
            <w:tcBorders>
              <w:bottom w:val="single" w:sz="12" w:space="0" w:color="000000"/>
            </w:tcBorders>
          </w:tcPr>
          <w:p>
            <w:pPr>
              <w:pStyle w:val="TableParagraph"/>
              <w:spacing w:before="5"/>
              <w:ind w:right="171"/>
              <w:rPr>
                <w:sz w:val="14"/>
              </w:rPr>
            </w:pPr>
            <w:r>
              <w:rPr>
                <w:w w:val="99"/>
                <w:sz w:val="14"/>
              </w:rPr>
              <w:t>-</w:t>
            </w:r>
          </w:p>
        </w:tc>
        <w:tc>
          <w:tcPr>
            <w:tcW w:w="634" w:type="dxa"/>
            <w:tcBorders>
              <w:bottom w:val="single" w:sz="12" w:space="0" w:color="000000"/>
            </w:tcBorders>
          </w:tcPr>
          <w:p>
            <w:pPr>
              <w:pStyle w:val="TableParagraph"/>
              <w:spacing w:before="5"/>
              <w:ind w:right="206"/>
              <w:rPr>
                <w:sz w:val="14"/>
              </w:rPr>
            </w:pPr>
            <w:r>
              <w:rPr>
                <w:spacing w:val="-4"/>
                <w:sz w:val="14"/>
              </w:rPr>
              <w:t>4.58</w:t>
            </w:r>
          </w:p>
        </w:tc>
        <w:tc>
          <w:tcPr>
            <w:tcW w:w="727" w:type="dxa"/>
            <w:tcBorders>
              <w:bottom w:val="single" w:sz="12" w:space="0" w:color="000000"/>
            </w:tcBorders>
          </w:tcPr>
          <w:p>
            <w:pPr>
              <w:pStyle w:val="TableParagraph"/>
              <w:spacing w:before="5"/>
              <w:ind w:right="193"/>
              <w:rPr>
                <w:sz w:val="14"/>
              </w:rPr>
            </w:pPr>
            <w:r>
              <w:rPr>
                <w:spacing w:val="-4"/>
                <w:sz w:val="14"/>
              </w:rPr>
              <w:t>8.00</w:t>
            </w:r>
          </w:p>
        </w:tc>
        <w:tc>
          <w:tcPr>
            <w:tcW w:w="462" w:type="dxa"/>
            <w:tcBorders>
              <w:bottom w:val="single" w:sz="12" w:space="0" w:color="000000"/>
            </w:tcBorders>
          </w:tcPr>
          <w:p>
            <w:pPr>
              <w:pStyle w:val="TableParagraph"/>
              <w:spacing w:before="5"/>
              <w:ind w:right="63"/>
              <w:rPr>
                <w:sz w:val="14"/>
              </w:rPr>
            </w:pPr>
            <w:r>
              <w:rPr>
                <w:w w:val="99"/>
                <w:sz w:val="14"/>
              </w:rPr>
              <w:t>-</w:t>
            </w:r>
          </w:p>
        </w:tc>
        <w:tc>
          <w:tcPr>
            <w:tcW w:w="795" w:type="dxa"/>
            <w:tcBorders>
              <w:bottom w:val="single" w:sz="12" w:space="0" w:color="000000"/>
            </w:tcBorders>
          </w:tcPr>
          <w:p>
            <w:pPr>
              <w:pStyle w:val="TableParagraph"/>
              <w:spacing w:before="5"/>
              <w:ind w:right="121"/>
              <w:rPr>
                <w:i/>
                <w:sz w:val="14"/>
              </w:rPr>
            </w:pPr>
            <w:r>
              <w:rPr>
                <w:i/>
                <w:spacing w:val="-2"/>
                <w:sz w:val="14"/>
              </w:rPr>
              <w:t>12.58</w:t>
            </w:r>
          </w:p>
        </w:tc>
        <w:tc>
          <w:tcPr>
            <w:tcW w:w="566" w:type="dxa"/>
            <w:tcBorders>
              <w:bottom w:val="single" w:sz="12" w:space="0" w:color="000000"/>
            </w:tcBorders>
          </w:tcPr>
          <w:p>
            <w:pPr>
              <w:pStyle w:val="TableParagraph"/>
              <w:spacing w:before="5"/>
              <w:ind w:right="94"/>
              <w:rPr>
                <w:sz w:val="14"/>
              </w:rPr>
            </w:pPr>
            <w:r>
              <w:rPr>
                <w:w w:val="99"/>
                <w:sz w:val="14"/>
              </w:rPr>
              <w:t>-</w:t>
            </w:r>
          </w:p>
        </w:tc>
        <w:tc>
          <w:tcPr>
            <w:tcW w:w="576" w:type="dxa"/>
            <w:tcBorders>
              <w:bottom w:val="single" w:sz="12" w:space="0" w:color="000000"/>
            </w:tcBorders>
          </w:tcPr>
          <w:p>
            <w:pPr>
              <w:pStyle w:val="TableParagraph"/>
              <w:spacing w:before="5"/>
              <w:ind w:right="79"/>
              <w:rPr>
                <w:sz w:val="14"/>
              </w:rPr>
            </w:pPr>
            <w:r>
              <w:rPr>
                <w:w w:val="99"/>
                <w:sz w:val="14"/>
              </w:rPr>
              <w:t>-</w:t>
            </w:r>
          </w:p>
        </w:tc>
        <w:tc>
          <w:tcPr>
            <w:tcW w:w="564" w:type="dxa"/>
            <w:tcBorders>
              <w:bottom w:val="single" w:sz="12" w:space="0" w:color="000000"/>
            </w:tcBorders>
          </w:tcPr>
          <w:p>
            <w:pPr>
              <w:pStyle w:val="TableParagraph"/>
              <w:spacing w:before="5"/>
              <w:ind w:right="53"/>
              <w:rPr>
                <w:sz w:val="14"/>
              </w:rPr>
            </w:pPr>
            <w:r>
              <w:rPr>
                <w:w w:val="99"/>
                <w:sz w:val="14"/>
              </w:rPr>
              <w:t>-</w:t>
            </w:r>
          </w:p>
        </w:tc>
        <w:tc>
          <w:tcPr>
            <w:tcW w:w="818" w:type="dxa"/>
            <w:tcBorders>
              <w:bottom w:val="single" w:sz="12" w:space="0" w:color="000000"/>
            </w:tcBorders>
          </w:tcPr>
          <w:p>
            <w:pPr>
              <w:pStyle w:val="TableParagraph"/>
              <w:spacing w:before="5"/>
              <w:ind w:right="131"/>
              <w:rPr>
                <w:i/>
                <w:sz w:val="14"/>
              </w:rPr>
            </w:pPr>
            <w:r>
              <w:rPr>
                <w:i/>
                <w:w w:val="99"/>
                <w:sz w:val="14"/>
              </w:rPr>
              <w:t>-</w:t>
            </w:r>
          </w:p>
        </w:tc>
        <w:tc>
          <w:tcPr>
            <w:tcW w:w="515" w:type="dxa"/>
            <w:tcBorders>
              <w:bottom w:val="single" w:sz="12" w:space="0" w:color="000000"/>
            </w:tcBorders>
          </w:tcPr>
          <w:p>
            <w:pPr>
              <w:pStyle w:val="TableParagraph"/>
              <w:spacing w:before="5"/>
              <w:ind w:right="43"/>
              <w:rPr>
                <w:b/>
                <w:sz w:val="14"/>
              </w:rPr>
            </w:pPr>
            <w:r>
              <w:rPr>
                <w:b/>
                <w:spacing w:val="-2"/>
                <w:sz w:val="14"/>
              </w:rPr>
              <w:t>12.58</w:t>
            </w:r>
          </w:p>
        </w:tc>
      </w:tr>
      <w:tr>
        <w:trPr>
          <w:trHeight w:val="229" w:hRule="atLeast"/>
        </w:trPr>
        <w:tc>
          <w:tcPr>
            <w:tcW w:w="1186" w:type="dxa"/>
            <w:tcBorders>
              <w:top w:val="single" w:sz="12" w:space="0" w:color="000000"/>
              <w:bottom w:val="single" w:sz="4" w:space="0" w:color="000000"/>
            </w:tcBorders>
          </w:tcPr>
          <w:p>
            <w:pPr>
              <w:pStyle w:val="TableParagraph"/>
              <w:spacing w:before="27"/>
              <w:ind w:left="67"/>
              <w:jc w:val="left"/>
              <w:rPr>
                <w:sz w:val="14"/>
              </w:rPr>
            </w:pPr>
            <w:r>
              <w:rPr>
                <w:spacing w:val="-2"/>
                <w:sz w:val="14"/>
              </w:rPr>
              <w:t>Continued</w:t>
            </w:r>
          </w:p>
        </w:tc>
        <w:tc>
          <w:tcPr>
            <w:tcW w:w="678" w:type="dxa"/>
            <w:tcBorders>
              <w:top w:val="single" w:sz="12" w:space="0" w:color="000000"/>
              <w:bottom w:val="single" w:sz="4" w:space="0" w:color="000000"/>
            </w:tcBorders>
          </w:tcPr>
          <w:p>
            <w:pPr>
              <w:pStyle w:val="TableParagraph"/>
              <w:spacing w:before="27"/>
              <w:ind w:right="154"/>
              <w:rPr>
                <w:sz w:val="14"/>
              </w:rPr>
            </w:pPr>
            <w:r>
              <w:rPr>
                <w:w w:val="99"/>
                <w:sz w:val="14"/>
              </w:rPr>
              <w:t>-</w:t>
            </w:r>
          </w:p>
        </w:tc>
        <w:tc>
          <w:tcPr>
            <w:tcW w:w="607" w:type="dxa"/>
            <w:tcBorders>
              <w:top w:val="single" w:sz="12" w:space="0" w:color="000000"/>
              <w:bottom w:val="single" w:sz="4" w:space="0" w:color="000000"/>
            </w:tcBorders>
          </w:tcPr>
          <w:p>
            <w:pPr>
              <w:pStyle w:val="TableParagraph"/>
              <w:spacing w:before="27"/>
              <w:ind w:right="170"/>
              <w:rPr>
                <w:sz w:val="14"/>
              </w:rPr>
            </w:pPr>
            <w:r>
              <w:rPr>
                <w:w w:val="99"/>
                <w:sz w:val="14"/>
              </w:rPr>
              <w:t>-</w:t>
            </w:r>
          </w:p>
        </w:tc>
        <w:tc>
          <w:tcPr>
            <w:tcW w:w="563" w:type="dxa"/>
            <w:tcBorders>
              <w:top w:val="single" w:sz="12" w:space="0" w:color="000000"/>
              <w:bottom w:val="single" w:sz="4" w:space="0" w:color="000000"/>
            </w:tcBorders>
          </w:tcPr>
          <w:p>
            <w:pPr>
              <w:pStyle w:val="TableParagraph"/>
              <w:spacing w:before="27"/>
              <w:ind w:right="171"/>
              <w:rPr>
                <w:sz w:val="14"/>
              </w:rPr>
            </w:pPr>
            <w:r>
              <w:rPr>
                <w:w w:val="99"/>
                <w:sz w:val="14"/>
              </w:rPr>
              <w:t>-</w:t>
            </w:r>
          </w:p>
        </w:tc>
        <w:tc>
          <w:tcPr>
            <w:tcW w:w="581" w:type="dxa"/>
            <w:tcBorders>
              <w:top w:val="single" w:sz="12" w:space="0" w:color="000000"/>
              <w:bottom w:val="single" w:sz="4" w:space="0" w:color="000000"/>
            </w:tcBorders>
          </w:tcPr>
          <w:p>
            <w:pPr>
              <w:pStyle w:val="TableParagraph"/>
              <w:spacing w:before="27"/>
              <w:ind w:right="191"/>
              <w:rPr>
                <w:sz w:val="14"/>
              </w:rPr>
            </w:pPr>
            <w:r>
              <w:rPr>
                <w:w w:val="99"/>
                <w:sz w:val="14"/>
              </w:rPr>
              <w:t>-</w:t>
            </w:r>
          </w:p>
        </w:tc>
        <w:tc>
          <w:tcPr>
            <w:tcW w:w="581" w:type="dxa"/>
            <w:tcBorders>
              <w:top w:val="single" w:sz="12" w:space="0" w:color="000000"/>
              <w:bottom w:val="single" w:sz="4" w:space="0" w:color="000000"/>
            </w:tcBorders>
          </w:tcPr>
          <w:p>
            <w:pPr>
              <w:pStyle w:val="TableParagraph"/>
              <w:spacing w:before="27"/>
              <w:ind w:left="148"/>
              <w:jc w:val="center"/>
              <w:rPr>
                <w:sz w:val="14"/>
              </w:rPr>
            </w:pPr>
            <w:r>
              <w:rPr>
                <w:w w:val="99"/>
                <w:sz w:val="14"/>
              </w:rPr>
              <w:t>-</w:t>
            </w:r>
          </w:p>
        </w:tc>
        <w:tc>
          <w:tcPr>
            <w:tcW w:w="566" w:type="dxa"/>
            <w:tcBorders>
              <w:top w:val="single" w:sz="12" w:space="0" w:color="000000"/>
              <w:bottom w:val="single" w:sz="4" w:space="0" w:color="000000"/>
            </w:tcBorders>
          </w:tcPr>
          <w:p>
            <w:pPr>
              <w:pStyle w:val="TableParagraph"/>
              <w:spacing w:before="27"/>
              <w:ind w:right="171"/>
              <w:rPr>
                <w:sz w:val="14"/>
              </w:rPr>
            </w:pPr>
            <w:r>
              <w:rPr>
                <w:w w:val="99"/>
                <w:sz w:val="14"/>
              </w:rPr>
              <w:t>-</w:t>
            </w:r>
          </w:p>
        </w:tc>
        <w:tc>
          <w:tcPr>
            <w:tcW w:w="634" w:type="dxa"/>
            <w:tcBorders>
              <w:top w:val="single" w:sz="12" w:space="0" w:color="000000"/>
              <w:bottom w:val="single" w:sz="4" w:space="0" w:color="000000"/>
            </w:tcBorders>
          </w:tcPr>
          <w:p>
            <w:pPr>
              <w:pStyle w:val="TableParagraph"/>
              <w:spacing w:before="27"/>
              <w:ind w:right="206"/>
              <w:rPr>
                <w:sz w:val="14"/>
              </w:rPr>
            </w:pPr>
            <w:r>
              <w:rPr>
                <w:spacing w:val="-4"/>
                <w:sz w:val="14"/>
              </w:rPr>
              <w:t>5.00</w:t>
            </w:r>
          </w:p>
        </w:tc>
        <w:tc>
          <w:tcPr>
            <w:tcW w:w="727" w:type="dxa"/>
            <w:tcBorders>
              <w:top w:val="single" w:sz="12" w:space="0" w:color="000000"/>
              <w:bottom w:val="single" w:sz="4" w:space="0" w:color="000000"/>
            </w:tcBorders>
          </w:tcPr>
          <w:p>
            <w:pPr>
              <w:pStyle w:val="TableParagraph"/>
              <w:spacing w:before="27"/>
              <w:ind w:right="193"/>
              <w:rPr>
                <w:sz w:val="14"/>
              </w:rPr>
            </w:pPr>
            <w:r>
              <w:rPr>
                <w:spacing w:val="-4"/>
                <w:sz w:val="14"/>
              </w:rPr>
              <w:t>8.00</w:t>
            </w:r>
          </w:p>
        </w:tc>
        <w:tc>
          <w:tcPr>
            <w:tcW w:w="462" w:type="dxa"/>
            <w:tcBorders>
              <w:top w:val="single" w:sz="12" w:space="0" w:color="000000"/>
              <w:bottom w:val="single" w:sz="4" w:space="0" w:color="000000"/>
            </w:tcBorders>
          </w:tcPr>
          <w:p>
            <w:pPr>
              <w:pStyle w:val="TableParagraph"/>
              <w:spacing w:before="27"/>
              <w:ind w:right="63"/>
              <w:rPr>
                <w:sz w:val="14"/>
              </w:rPr>
            </w:pPr>
            <w:r>
              <w:rPr>
                <w:w w:val="99"/>
                <w:sz w:val="14"/>
              </w:rPr>
              <w:t>-</w:t>
            </w:r>
          </w:p>
        </w:tc>
        <w:tc>
          <w:tcPr>
            <w:tcW w:w="795" w:type="dxa"/>
            <w:tcBorders>
              <w:top w:val="single" w:sz="12" w:space="0" w:color="000000"/>
              <w:bottom w:val="single" w:sz="4" w:space="0" w:color="000000"/>
            </w:tcBorders>
          </w:tcPr>
          <w:p>
            <w:pPr>
              <w:pStyle w:val="TableParagraph"/>
              <w:spacing w:before="27"/>
              <w:ind w:right="121"/>
              <w:rPr>
                <w:i/>
                <w:sz w:val="14"/>
              </w:rPr>
            </w:pPr>
            <w:r>
              <w:rPr>
                <w:i/>
                <w:spacing w:val="-2"/>
                <w:sz w:val="14"/>
              </w:rPr>
              <w:t>13.00</w:t>
            </w:r>
          </w:p>
        </w:tc>
        <w:tc>
          <w:tcPr>
            <w:tcW w:w="566" w:type="dxa"/>
            <w:tcBorders>
              <w:top w:val="single" w:sz="12" w:space="0" w:color="000000"/>
              <w:bottom w:val="single" w:sz="4" w:space="0" w:color="000000"/>
            </w:tcBorders>
          </w:tcPr>
          <w:p>
            <w:pPr>
              <w:pStyle w:val="TableParagraph"/>
              <w:spacing w:before="27"/>
              <w:ind w:right="94"/>
              <w:rPr>
                <w:sz w:val="14"/>
              </w:rPr>
            </w:pPr>
            <w:r>
              <w:rPr>
                <w:w w:val="99"/>
                <w:sz w:val="14"/>
              </w:rPr>
              <w:t>-</w:t>
            </w:r>
          </w:p>
        </w:tc>
        <w:tc>
          <w:tcPr>
            <w:tcW w:w="576" w:type="dxa"/>
            <w:tcBorders>
              <w:top w:val="single" w:sz="12" w:space="0" w:color="000000"/>
              <w:bottom w:val="single" w:sz="4" w:space="0" w:color="000000"/>
            </w:tcBorders>
          </w:tcPr>
          <w:p>
            <w:pPr>
              <w:pStyle w:val="TableParagraph"/>
              <w:spacing w:before="27"/>
              <w:ind w:right="79"/>
              <w:rPr>
                <w:sz w:val="14"/>
              </w:rPr>
            </w:pPr>
            <w:r>
              <w:rPr>
                <w:w w:val="99"/>
                <w:sz w:val="14"/>
              </w:rPr>
              <w:t>-</w:t>
            </w:r>
          </w:p>
        </w:tc>
        <w:tc>
          <w:tcPr>
            <w:tcW w:w="564" w:type="dxa"/>
            <w:tcBorders>
              <w:top w:val="single" w:sz="12" w:space="0" w:color="000000"/>
              <w:bottom w:val="single" w:sz="4" w:space="0" w:color="000000"/>
            </w:tcBorders>
          </w:tcPr>
          <w:p>
            <w:pPr>
              <w:pStyle w:val="TableParagraph"/>
              <w:spacing w:before="27"/>
              <w:ind w:right="53"/>
              <w:rPr>
                <w:sz w:val="14"/>
              </w:rPr>
            </w:pPr>
            <w:r>
              <w:rPr>
                <w:w w:val="99"/>
                <w:sz w:val="14"/>
              </w:rPr>
              <w:t>-</w:t>
            </w:r>
          </w:p>
        </w:tc>
        <w:tc>
          <w:tcPr>
            <w:tcW w:w="818" w:type="dxa"/>
            <w:tcBorders>
              <w:top w:val="single" w:sz="12" w:space="0" w:color="000000"/>
              <w:bottom w:val="single" w:sz="4" w:space="0" w:color="000000"/>
            </w:tcBorders>
          </w:tcPr>
          <w:p>
            <w:pPr>
              <w:pStyle w:val="TableParagraph"/>
              <w:spacing w:before="27"/>
              <w:ind w:right="131"/>
              <w:rPr>
                <w:i/>
                <w:sz w:val="14"/>
              </w:rPr>
            </w:pPr>
            <w:r>
              <w:rPr>
                <w:i/>
                <w:w w:val="99"/>
                <w:sz w:val="14"/>
              </w:rPr>
              <w:t>-</w:t>
            </w:r>
          </w:p>
        </w:tc>
        <w:tc>
          <w:tcPr>
            <w:tcW w:w="515" w:type="dxa"/>
            <w:tcBorders>
              <w:top w:val="single" w:sz="12" w:space="0" w:color="000000"/>
              <w:bottom w:val="single" w:sz="4" w:space="0" w:color="000000"/>
            </w:tcBorders>
          </w:tcPr>
          <w:p>
            <w:pPr>
              <w:pStyle w:val="TableParagraph"/>
              <w:spacing w:before="27"/>
              <w:ind w:right="43"/>
              <w:rPr>
                <w:b/>
                <w:sz w:val="14"/>
              </w:rPr>
            </w:pPr>
            <w:r>
              <w:rPr>
                <w:b/>
                <w:spacing w:val="-2"/>
                <w:sz w:val="14"/>
              </w:rPr>
              <w:t>13.00</w:t>
            </w:r>
          </w:p>
        </w:tc>
      </w:tr>
      <w:tr>
        <w:trPr>
          <w:trHeight w:val="225" w:hRule="atLeast"/>
        </w:trPr>
        <w:tc>
          <w:tcPr>
            <w:tcW w:w="1186" w:type="dxa"/>
            <w:tcBorders>
              <w:top w:val="single" w:sz="4" w:space="0" w:color="000000"/>
              <w:bottom w:val="single" w:sz="4" w:space="0" w:color="000000"/>
            </w:tcBorders>
          </w:tcPr>
          <w:p>
            <w:pPr>
              <w:pStyle w:val="TableParagraph"/>
              <w:spacing w:before="22"/>
              <w:ind w:left="67"/>
              <w:jc w:val="left"/>
              <w:rPr>
                <w:sz w:val="14"/>
              </w:rPr>
            </w:pPr>
            <w:r>
              <w:rPr>
                <w:spacing w:val="-5"/>
                <w:sz w:val="14"/>
              </w:rPr>
              <w:t>New</w:t>
            </w:r>
          </w:p>
        </w:tc>
        <w:tc>
          <w:tcPr>
            <w:tcW w:w="678" w:type="dxa"/>
            <w:tcBorders>
              <w:top w:val="single" w:sz="4" w:space="0" w:color="000000"/>
              <w:bottom w:val="single" w:sz="4" w:space="0" w:color="000000"/>
            </w:tcBorders>
          </w:tcPr>
          <w:p>
            <w:pPr>
              <w:pStyle w:val="TableParagraph"/>
              <w:spacing w:before="22"/>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2"/>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2"/>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2"/>
              <w:ind w:right="191"/>
              <w:rPr>
                <w:sz w:val="14"/>
              </w:rPr>
            </w:pPr>
            <w:r>
              <w:rPr>
                <w:w w:val="99"/>
                <w:sz w:val="14"/>
              </w:rPr>
              <w:t>-</w:t>
            </w:r>
          </w:p>
        </w:tc>
        <w:tc>
          <w:tcPr>
            <w:tcW w:w="581" w:type="dxa"/>
            <w:tcBorders>
              <w:top w:val="single" w:sz="4" w:space="0" w:color="000000"/>
              <w:bottom w:val="single" w:sz="4" w:space="0" w:color="000000"/>
            </w:tcBorders>
          </w:tcPr>
          <w:p>
            <w:pPr>
              <w:pStyle w:val="TableParagraph"/>
              <w:spacing w:before="22"/>
              <w:ind w:left="148"/>
              <w:jc w:val="center"/>
              <w:rPr>
                <w:sz w:val="14"/>
              </w:rPr>
            </w:pPr>
            <w:r>
              <w:rPr>
                <w:w w:val="99"/>
                <w:sz w:val="14"/>
              </w:rPr>
              <w:t>-</w:t>
            </w:r>
          </w:p>
        </w:tc>
        <w:tc>
          <w:tcPr>
            <w:tcW w:w="566" w:type="dxa"/>
            <w:tcBorders>
              <w:top w:val="single" w:sz="4" w:space="0" w:color="000000"/>
              <w:bottom w:val="single" w:sz="4" w:space="0" w:color="000000"/>
            </w:tcBorders>
          </w:tcPr>
          <w:p>
            <w:pPr>
              <w:pStyle w:val="TableParagraph"/>
              <w:spacing w:before="22"/>
              <w:ind w:right="171"/>
              <w:rPr>
                <w:sz w:val="14"/>
              </w:rPr>
            </w:pPr>
            <w:r>
              <w:rPr>
                <w:w w:val="99"/>
                <w:sz w:val="14"/>
              </w:rPr>
              <w:t>-</w:t>
            </w:r>
          </w:p>
        </w:tc>
        <w:tc>
          <w:tcPr>
            <w:tcW w:w="634" w:type="dxa"/>
            <w:tcBorders>
              <w:top w:val="single" w:sz="4" w:space="0" w:color="000000"/>
              <w:bottom w:val="single" w:sz="4" w:space="0" w:color="000000"/>
            </w:tcBorders>
          </w:tcPr>
          <w:p>
            <w:pPr>
              <w:pStyle w:val="TableParagraph"/>
              <w:spacing w:before="22"/>
              <w:ind w:right="209"/>
              <w:rPr>
                <w:sz w:val="14"/>
              </w:rPr>
            </w:pPr>
            <w:r>
              <w:rPr>
                <w:w w:val="99"/>
                <w:sz w:val="14"/>
              </w:rPr>
              <w:t>-</w:t>
            </w:r>
          </w:p>
        </w:tc>
        <w:tc>
          <w:tcPr>
            <w:tcW w:w="727" w:type="dxa"/>
            <w:tcBorders>
              <w:top w:val="single" w:sz="4" w:space="0" w:color="000000"/>
              <w:bottom w:val="single" w:sz="4" w:space="0" w:color="000000"/>
            </w:tcBorders>
          </w:tcPr>
          <w:p>
            <w:pPr>
              <w:pStyle w:val="TableParagraph"/>
              <w:spacing w:before="22"/>
              <w:ind w:right="194"/>
              <w:rPr>
                <w:sz w:val="14"/>
              </w:rPr>
            </w:pPr>
            <w:r>
              <w:rPr>
                <w:spacing w:val="-2"/>
                <w:sz w:val="14"/>
              </w:rPr>
              <w:t>11.00</w:t>
            </w:r>
          </w:p>
        </w:tc>
        <w:tc>
          <w:tcPr>
            <w:tcW w:w="462" w:type="dxa"/>
            <w:tcBorders>
              <w:top w:val="single" w:sz="4" w:space="0" w:color="000000"/>
              <w:bottom w:val="single" w:sz="4" w:space="0" w:color="000000"/>
            </w:tcBorders>
          </w:tcPr>
          <w:p>
            <w:pPr>
              <w:pStyle w:val="TableParagraph"/>
              <w:spacing w:before="22"/>
              <w:ind w:right="63"/>
              <w:rPr>
                <w:sz w:val="14"/>
              </w:rPr>
            </w:pPr>
            <w:r>
              <w:rPr>
                <w:w w:val="99"/>
                <w:sz w:val="14"/>
              </w:rPr>
              <w:t>-</w:t>
            </w:r>
          </w:p>
        </w:tc>
        <w:tc>
          <w:tcPr>
            <w:tcW w:w="795" w:type="dxa"/>
            <w:tcBorders>
              <w:top w:val="single" w:sz="4" w:space="0" w:color="000000"/>
              <w:bottom w:val="single" w:sz="4" w:space="0" w:color="000000"/>
            </w:tcBorders>
          </w:tcPr>
          <w:p>
            <w:pPr>
              <w:pStyle w:val="TableParagraph"/>
              <w:spacing w:before="22"/>
              <w:ind w:right="121"/>
              <w:rPr>
                <w:i/>
                <w:sz w:val="14"/>
              </w:rPr>
            </w:pPr>
            <w:r>
              <w:rPr>
                <w:i/>
                <w:spacing w:val="-2"/>
                <w:sz w:val="14"/>
              </w:rPr>
              <w:t>11.00</w:t>
            </w:r>
          </w:p>
        </w:tc>
        <w:tc>
          <w:tcPr>
            <w:tcW w:w="566" w:type="dxa"/>
            <w:tcBorders>
              <w:top w:val="single" w:sz="4" w:space="0" w:color="000000"/>
              <w:bottom w:val="single" w:sz="4" w:space="0" w:color="000000"/>
            </w:tcBorders>
          </w:tcPr>
          <w:p>
            <w:pPr>
              <w:pStyle w:val="TableParagraph"/>
              <w:spacing w:before="22"/>
              <w:ind w:right="94"/>
              <w:rPr>
                <w:sz w:val="14"/>
              </w:rPr>
            </w:pPr>
            <w:r>
              <w:rPr>
                <w:w w:val="99"/>
                <w:sz w:val="14"/>
              </w:rPr>
              <w:t>-</w:t>
            </w:r>
          </w:p>
        </w:tc>
        <w:tc>
          <w:tcPr>
            <w:tcW w:w="576" w:type="dxa"/>
            <w:tcBorders>
              <w:top w:val="single" w:sz="4" w:space="0" w:color="000000"/>
              <w:bottom w:val="single" w:sz="4" w:space="0" w:color="000000"/>
            </w:tcBorders>
          </w:tcPr>
          <w:p>
            <w:pPr>
              <w:pStyle w:val="TableParagraph"/>
              <w:spacing w:before="22"/>
              <w:ind w:right="79"/>
              <w:rPr>
                <w:sz w:val="14"/>
              </w:rPr>
            </w:pPr>
            <w:r>
              <w:rPr>
                <w:w w:val="99"/>
                <w:sz w:val="14"/>
              </w:rPr>
              <w:t>-</w:t>
            </w:r>
          </w:p>
        </w:tc>
        <w:tc>
          <w:tcPr>
            <w:tcW w:w="564" w:type="dxa"/>
            <w:tcBorders>
              <w:top w:val="single" w:sz="4" w:space="0" w:color="000000"/>
              <w:bottom w:val="single" w:sz="4" w:space="0" w:color="000000"/>
            </w:tcBorders>
          </w:tcPr>
          <w:p>
            <w:pPr>
              <w:pStyle w:val="TableParagraph"/>
              <w:spacing w:before="22"/>
              <w:ind w:right="53"/>
              <w:rPr>
                <w:sz w:val="14"/>
              </w:rPr>
            </w:pPr>
            <w:r>
              <w:rPr>
                <w:w w:val="99"/>
                <w:sz w:val="14"/>
              </w:rPr>
              <w:t>-</w:t>
            </w:r>
          </w:p>
        </w:tc>
        <w:tc>
          <w:tcPr>
            <w:tcW w:w="818" w:type="dxa"/>
            <w:tcBorders>
              <w:top w:val="single" w:sz="4" w:space="0" w:color="000000"/>
              <w:bottom w:val="single" w:sz="4" w:space="0" w:color="000000"/>
            </w:tcBorders>
          </w:tcPr>
          <w:p>
            <w:pPr>
              <w:pStyle w:val="TableParagraph"/>
              <w:spacing w:before="22"/>
              <w:ind w:right="131"/>
              <w:rPr>
                <w:i/>
                <w:sz w:val="14"/>
              </w:rPr>
            </w:pPr>
            <w:r>
              <w:rPr>
                <w:i/>
                <w:w w:val="99"/>
                <w:sz w:val="14"/>
              </w:rPr>
              <w:t>-</w:t>
            </w:r>
          </w:p>
        </w:tc>
        <w:tc>
          <w:tcPr>
            <w:tcW w:w="515" w:type="dxa"/>
            <w:tcBorders>
              <w:top w:val="single" w:sz="4" w:space="0" w:color="000000"/>
              <w:bottom w:val="single" w:sz="4" w:space="0" w:color="000000"/>
            </w:tcBorders>
          </w:tcPr>
          <w:p>
            <w:pPr>
              <w:pStyle w:val="TableParagraph"/>
              <w:spacing w:before="22"/>
              <w:ind w:right="43"/>
              <w:rPr>
                <w:b/>
                <w:sz w:val="14"/>
              </w:rPr>
            </w:pPr>
            <w:r>
              <w:rPr>
                <w:b/>
                <w:spacing w:val="-2"/>
                <w:sz w:val="14"/>
              </w:rPr>
              <w:t>11.00</w:t>
            </w:r>
          </w:p>
        </w:tc>
      </w:tr>
      <w:tr>
        <w:trPr>
          <w:trHeight w:val="230" w:hRule="atLeast"/>
        </w:trPr>
        <w:tc>
          <w:tcPr>
            <w:tcW w:w="1186" w:type="dxa"/>
            <w:tcBorders>
              <w:top w:val="single" w:sz="4" w:space="0" w:color="000000"/>
              <w:bottom w:val="single" w:sz="4" w:space="0" w:color="000000"/>
            </w:tcBorders>
          </w:tcPr>
          <w:p>
            <w:pPr>
              <w:pStyle w:val="TableParagraph"/>
              <w:spacing w:before="27"/>
              <w:ind w:left="67"/>
              <w:jc w:val="left"/>
              <w:rPr>
                <w:sz w:val="14"/>
              </w:rPr>
            </w:pPr>
            <w:r>
              <w:rPr>
                <w:spacing w:val="-2"/>
                <w:sz w:val="14"/>
              </w:rPr>
              <w:t>Redeployed</w:t>
            </w:r>
          </w:p>
        </w:tc>
        <w:tc>
          <w:tcPr>
            <w:tcW w:w="678" w:type="dxa"/>
            <w:tcBorders>
              <w:top w:val="single" w:sz="4" w:space="0" w:color="000000"/>
              <w:bottom w:val="single" w:sz="4" w:space="0" w:color="000000"/>
            </w:tcBorders>
          </w:tcPr>
          <w:p>
            <w:pPr>
              <w:pStyle w:val="TableParagraph"/>
              <w:spacing w:before="27"/>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7"/>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7"/>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7"/>
              <w:ind w:right="191"/>
              <w:rPr>
                <w:sz w:val="14"/>
              </w:rPr>
            </w:pPr>
            <w:r>
              <w:rPr>
                <w:w w:val="99"/>
                <w:sz w:val="14"/>
              </w:rPr>
              <w:t>-</w:t>
            </w:r>
          </w:p>
        </w:tc>
        <w:tc>
          <w:tcPr>
            <w:tcW w:w="581" w:type="dxa"/>
            <w:tcBorders>
              <w:top w:val="single" w:sz="4" w:space="0" w:color="000000"/>
              <w:bottom w:val="single" w:sz="4" w:space="0" w:color="000000"/>
            </w:tcBorders>
          </w:tcPr>
          <w:p>
            <w:pPr>
              <w:pStyle w:val="TableParagraph"/>
              <w:spacing w:before="27"/>
              <w:ind w:left="148"/>
              <w:jc w:val="center"/>
              <w:rPr>
                <w:sz w:val="14"/>
              </w:rPr>
            </w:pPr>
            <w:r>
              <w:rPr>
                <w:w w:val="99"/>
                <w:sz w:val="14"/>
              </w:rPr>
              <w:t>-</w:t>
            </w:r>
          </w:p>
        </w:tc>
        <w:tc>
          <w:tcPr>
            <w:tcW w:w="566" w:type="dxa"/>
            <w:tcBorders>
              <w:top w:val="single" w:sz="4" w:space="0" w:color="000000"/>
              <w:bottom w:val="single" w:sz="4" w:space="0" w:color="000000"/>
            </w:tcBorders>
          </w:tcPr>
          <w:p>
            <w:pPr>
              <w:pStyle w:val="TableParagraph"/>
              <w:spacing w:before="27"/>
              <w:ind w:right="171"/>
              <w:rPr>
                <w:sz w:val="14"/>
              </w:rPr>
            </w:pPr>
            <w:r>
              <w:rPr>
                <w:w w:val="99"/>
                <w:sz w:val="14"/>
              </w:rPr>
              <w:t>-</w:t>
            </w:r>
          </w:p>
        </w:tc>
        <w:tc>
          <w:tcPr>
            <w:tcW w:w="634" w:type="dxa"/>
            <w:tcBorders>
              <w:top w:val="single" w:sz="4" w:space="0" w:color="000000"/>
              <w:bottom w:val="single" w:sz="4" w:space="0" w:color="000000"/>
            </w:tcBorders>
          </w:tcPr>
          <w:p>
            <w:pPr>
              <w:pStyle w:val="TableParagraph"/>
              <w:spacing w:before="27"/>
              <w:ind w:right="209"/>
              <w:rPr>
                <w:sz w:val="14"/>
              </w:rPr>
            </w:pPr>
            <w:r>
              <w:rPr>
                <w:w w:val="99"/>
                <w:sz w:val="14"/>
              </w:rPr>
              <w:t>-</w:t>
            </w:r>
          </w:p>
        </w:tc>
        <w:tc>
          <w:tcPr>
            <w:tcW w:w="727" w:type="dxa"/>
            <w:tcBorders>
              <w:top w:val="single" w:sz="4" w:space="0" w:color="000000"/>
              <w:bottom w:val="single" w:sz="4" w:space="0" w:color="000000"/>
            </w:tcBorders>
          </w:tcPr>
          <w:p>
            <w:pPr>
              <w:pStyle w:val="TableParagraph"/>
              <w:spacing w:before="27"/>
              <w:ind w:right="197"/>
              <w:rPr>
                <w:sz w:val="14"/>
              </w:rPr>
            </w:pPr>
            <w:r>
              <w:rPr>
                <w:w w:val="99"/>
                <w:sz w:val="14"/>
              </w:rPr>
              <w:t>-</w:t>
            </w:r>
          </w:p>
        </w:tc>
        <w:tc>
          <w:tcPr>
            <w:tcW w:w="462" w:type="dxa"/>
            <w:tcBorders>
              <w:top w:val="single" w:sz="4" w:space="0" w:color="000000"/>
              <w:bottom w:val="single" w:sz="4" w:space="0" w:color="000000"/>
            </w:tcBorders>
          </w:tcPr>
          <w:p>
            <w:pPr>
              <w:pStyle w:val="TableParagraph"/>
              <w:spacing w:before="27"/>
              <w:ind w:right="63"/>
              <w:rPr>
                <w:sz w:val="14"/>
              </w:rPr>
            </w:pPr>
            <w:r>
              <w:rPr>
                <w:w w:val="99"/>
                <w:sz w:val="14"/>
              </w:rPr>
              <w:t>-</w:t>
            </w:r>
          </w:p>
        </w:tc>
        <w:tc>
          <w:tcPr>
            <w:tcW w:w="795" w:type="dxa"/>
            <w:tcBorders>
              <w:top w:val="single" w:sz="4" w:space="0" w:color="000000"/>
              <w:bottom w:val="single" w:sz="4" w:space="0" w:color="000000"/>
            </w:tcBorders>
          </w:tcPr>
          <w:p>
            <w:pPr>
              <w:pStyle w:val="TableParagraph"/>
              <w:spacing w:before="27"/>
              <w:ind w:right="123"/>
              <w:rPr>
                <w:i/>
                <w:sz w:val="14"/>
              </w:rPr>
            </w:pPr>
            <w:r>
              <w:rPr>
                <w:i/>
                <w:w w:val="99"/>
                <w:sz w:val="14"/>
              </w:rPr>
              <w:t>-</w:t>
            </w:r>
          </w:p>
        </w:tc>
        <w:tc>
          <w:tcPr>
            <w:tcW w:w="566" w:type="dxa"/>
            <w:tcBorders>
              <w:top w:val="single" w:sz="4" w:space="0" w:color="000000"/>
              <w:bottom w:val="single" w:sz="4" w:space="0" w:color="000000"/>
            </w:tcBorders>
          </w:tcPr>
          <w:p>
            <w:pPr>
              <w:pStyle w:val="TableParagraph"/>
              <w:spacing w:before="27"/>
              <w:ind w:right="94"/>
              <w:rPr>
                <w:sz w:val="14"/>
              </w:rPr>
            </w:pPr>
            <w:r>
              <w:rPr>
                <w:w w:val="99"/>
                <w:sz w:val="14"/>
              </w:rPr>
              <w:t>-</w:t>
            </w:r>
          </w:p>
        </w:tc>
        <w:tc>
          <w:tcPr>
            <w:tcW w:w="576" w:type="dxa"/>
            <w:tcBorders>
              <w:top w:val="single" w:sz="4" w:space="0" w:color="000000"/>
              <w:bottom w:val="single" w:sz="4" w:space="0" w:color="000000"/>
            </w:tcBorders>
          </w:tcPr>
          <w:p>
            <w:pPr>
              <w:pStyle w:val="TableParagraph"/>
              <w:spacing w:before="27"/>
              <w:ind w:right="79"/>
              <w:rPr>
                <w:sz w:val="14"/>
              </w:rPr>
            </w:pPr>
            <w:r>
              <w:rPr>
                <w:w w:val="99"/>
                <w:sz w:val="14"/>
              </w:rPr>
              <w:t>-</w:t>
            </w:r>
          </w:p>
        </w:tc>
        <w:tc>
          <w:tcPr>
            <w:tcW w:w="564" w:type="dxa"/>
            <w:tcBorders>
              <w:top w:val="single" w:sz="4" w:space="0" w:color="000000"/>
              <w:bottom w:val="single" w:sz="4" w:space="0" w:color="000000"/>
            </w:tcBorders>
          </w:tcPr>
          <w:p>
            <w:pPr>
              <w:pStyle w:val="TableParagraph"/>
              <w:spacing w:before="27"/>
              <w:ind w:right="53"/>
              <w:rPr>
                <w:sz w:val="14"/>
              </w:rPr>
            </w:pPr>
            <w:r>
              <w:rPr>
                <w:w w:val="99"/>
                <w:sz w:val="14"/>
              </w:rPr>
              <w:t>-</w:t>
            </w:r>
          </w:p>
        </w:tc>
        <w:tc>
          <w:tcPr>
            <w:tcW w:w="818" w:type="dxa"/>
            <w:tcBorders>
              <w:top w:val="single" w:sz="4" w:space="0" w:color="000000"/>
              <w:bottom w:val="single" w:sz="4" w:space="0" w:color="000000"/>
            </w:tcBorders>
          </w:tcPr>
          <w:p>
            <w:pPr>
              <w:pStyle w:val="TableParagraph"/>
              <w:spacing w:before="27"/>
              <w:ind w:right="131"/>
              <w:rPr>
                <w:i/>
                <w:sz w:val="14"/>
              </w:rPr>
            </w:pPr>
            <w:r>
              <w:rPr>
                <w:i/>
                <w:w w:val="99"/>
                <w:sz w:val="14"/>
              </w:rPr>
              <w:t>-</w:t>
            </w:r>
          </w:p>
        </w:tc>
        <w:tc>
          <w:tcPr>
            <w:tcW w:w="515" w:type="dxa"/>
            <w:tcBorders>
              <w:top w:val="single" w:sz="4" w:space="0" w:color="000000"/>
              <w:bottom w:val="single" w:sz="4" w:space="0" w:color="000000"/>
            </w:tcBorders>
          </w:tcPr>
          <w:p>
            <w:pPr>
              <w:pStyle w:val="TableParagraph"/>
              <w:spacing w:before="27"/>
              <w:ind w:right="46"/>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2"/>
              <w:ind w:left="67"/>
              <w:jc w:val="left"/>
              <w:rPr>
                <w:sz w:val="14"/>
              </w:rPr>
            </w:pPr>
            <w:r>
              <w:rPr>
                <w:spacing w:val="-2"/>
                <w:sz w:val="14"/>
              </w:rPr>
              <w:t>Reclassified</w:t>
            </w:r>
          </w:p>
        </w:tc>
        <w:tc>
          <w:tcPr>
            <w:tcW w:w="678" w:type="dxa"/>
            <w:tcBorders>
              <w:top w:val="single" w:sz="4" w:space="0" w:color="000000"/>
              <w:bottom w:val="single" w:sz="4" w:space="0" w:color="000000"/>
            </w:tcBorders>
          </w:tcPr>
          <w:p>
            <w:pPr>
              <w:pStyle w:val="TableParagraph"/>
              <w:spacing w:before="22"/>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2"/>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2"/>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2"/>
              <w:ind w:right="191"/>
              <w:rPr>
                <w:sz w:val="14"/>
              </w:rPr>
            </w:pPr>
            <w:r>
              <w:rPr>
                <w:w w:val="99"/>
                <w:sz w:val="14"/>
              </w:rPr>
              <w:t>-</w:t>
            </w:r>
          </w:p>
        </w:tc>
        <w:tc>
          <w:tcPr>
            <w:tcW w:w="581" w:type="dxa"/>
            <w:tcBorders>
              <w:top w:val="single" w:sz="4" w:space="0" w:color="000000"/>
              <w:bottom w:val="single" w:sz="4" w:space="0" w:color="000000"/>
            </w:tcBorders>
          </w:tcPr>
          <w:p>
            <w:pPr>
              <w:pStyle w:val="TableParagraph"/>
              <w:spacing w:before="22"/>
              <w:ind w:left="148"/>
              <w:jc w:val="center"/>
              <w:rPr>
                <w:sz w:val="14"/>
              </w:rPr>
            </w:pPr>
            <w:r>
              <w:rPr>
                <w:w w:val="99"/>
                <w:sz w:val="14"/>
              </w:rPr>
              <w:t>-</w:t>
            </w:r>
          </w:p>
        </w:tc>
        <w:tc>
          <w:tcPr>
            <w:tcW w:w="566" w:type="dxa"/>
            <w:tcBorders>
              <w:top w:val="single" w:sz="4" w:space="0" w:color="000000"/>
              <w:bottom w:val="single" w:sz="4" w:space="0" w:color="000000"/>
            </w:tcBorders>
          </w:tcPr>
          <w:p>
            <w:pPr>
              <w:pStyle w:val="TableParagraph"/>
              <w:spacing w:before="22"/>
              <w:ind w:right="171"/>
              <w:rPr>
                <w:sz w:val="14"/>
              </w:rPr>
            </w:pPr>
            <w:r>
              <w:rPr>
                <w:w w:val="99"/>
                <w:sz w:val="14"/>
              </w:rPr>
              <w:t>-</w:t>
            </w:r>
          </w:p>
        </w:tc>
        <w:tc>
          <w:tcPr>
            <w:tcW w:w="634" w:type="dxa"/>
            <w:tcBorders>
              <w:top w:val="single" w:sz="4" w:space="0" w:color="000000"/>
              <w:bottom w:val="single" w:sz="4" w:space="0" w:color="000000"/>
            </w:tcBorders>
          </w:tcPr>
          <w:p>
            <w:pPr>
              <w:pStyle w:val="TableParagraph"/>
              <w:spacing w:before="22"/>
              <w:ind w:right="209"/>
              <w:rPr>
                <w:sz w:val="14"/>
              </w:rPr>
            </w:pPr>
            <w:r>
              <w:rPr>
                <w:w w:val="99"/>
                <w:sz w:val="14"/>
              </w:rPr>
              <w:t>-</w:t>
            </w:r>
          </w:p>
        </w:tc>
        <w:tc>
          <w:tcPr>
            <w:tcW w:w="727" w:type="dxa"/>
            <w:tcBorders>
              <w:top w:val="single" w:sz="4" w:space="0" w:color="000000"/>
              <w:bottom w:val="single" w:sz="4" w:space="0" w:color="000000"/>
            </w:tcBorders>
          </w:tcPr>
          <w:p>
            <w:pPr>
              <w:pStyle w:val="TableParagraph"/>
              <w:spacing w:before="22"/>
              <w:ind w:right="197"/>
              <w:rPr>
                <w:sz w:val="14"/>
              </w:rPr>
            </w:pPr>
            <w:r>
              <w:rPr>
                <w:w w:val="99"/>
                <w:sz w:val="14"/>
              </w:rPr>
              <w:t>-</w:t>
            </w:r>
          </w:p>
        </w:tc>
        <w:tc>
          <w:tcPr>
            <w:tcW w:w="462" w:type="dxa"/>
            <w:tcBorders>
              <w:top w:val="single" w:sz="4" w:space="0" w:color="000000"/>
              <w:bottom w:val="single" w:sz="4" w:space="0" w:color="000000"/>
            </w:tcBorders>
          </w:tcPr>
          <w:p>
            <w:pPr>
              <w:pStyle w:val="TableParagraph"/>
              <w:spacing w:before="22"/>
              <w:ind w:right="63"/>
              <w:rPr>
                <w:sz w:val="14"/>
              </w:rPr>
            </w:pPr>
            <w:r>
              <w:rPr>
                <w:w w:val="99"/>
                <w:sz w:val="14"/>
              </w:rPr>
              <w:t>-</w:t>
            </w:r>
          </w:p>
        </w:tc>
        <w:tc>
          <w:tcPr>
            <w:tcW w:w="795" w:type="dxa"/>
            <w:tcBorders>
              <w:top w:val="single" w:sz="4" w:space="0" w:color="000000"/>
              <w:bottom w:val="single" w:sz="4" w:space="0" w:color="000000"/>
            </w:tcBorders>
          </w:tcPr>
          <w:p>
            <w:pPr>
              <w:pStyle w:val="TableParagraph"/>
              <w:spacing w:before="22"/>
              <w:ind w:right="123"/>
              <w:rPr>
                <w:i/>
                <w:sz w:val="14"/>
              </w:rPr>
            </w:pPr>
            <w:r>
              <w:rPr>
                <w:i/>
                <w:w w:val="99"/>
                <w:sz w:val="14"/>
              </w:rPr>
              <w:t>-</w:t>
            </w:r>
          </w:p>
        </w:tc>
        <w:tc>
          <w:tcPr>
            <w:tcW w:w="566" w:type="dxa"/>
            <w:tcBorders>
              <w:top w:val="single" w:sz="4" w:space="0" w:color="000000"/>
              <w:bottom w:val="single" w:sz="4" w:space="0" w:color="000000"/>
            </w:tcBorders>
          </w:tcPr>
          <w:p>
            <w:pPr>
              <w:pStyle w:val="TableParagraph"/>
              <w:spacing w:before="22"/>
              <w:ind w:right="94"/>
              <w:rPr>
                <w:sz w:val="14"/>
              </w:rPr>
            </w:pPr>
            <w:r>
              <w:rPr>
                <w:w w:val="99"/>
                <w:sz w:val="14"/>
              </w:rPr>
              <w:t>-</w:t>
            </w:r>
          </w:p>
        </w:tc>
        <w:tc>
          <w:tcPr>
            <w:tcW w:w="576" w:type="dxa"/>
            <w:tcBorders>
              <w:top w:val="single" w:sz="4" w:space="0" w:color="000000"/>
              <w:bottom w:val="single" w:sz="4" w:space="0" w:color="000000"/>
            </w:tcBorders>
          </w:tcPr>
          <w:p>
            <w:pPr>
              <w:pStyle w:val="TableParagraph"/>
              <w:spacing w:before="22"/>
              <w:ind w:right="79"/>
              <w:rPr>
                <w:sz w:val="14"/>
              </w:rPr>
            </w:pPr>
            <w:r>
              <w:rPr>
                <w:w w:val="99"/>
                <w:sz w:val="14"/>
              </w:rPr>
              <w:t>-</w:t>
            </w:r>
          </w:p>
        </w:tc>
        <w:tc>
          <w:tcPr>
            <w:tcW w:w="564" w:type="dxa"/>
            <w:tcBorders>
              <w:top w:val="single" w:sz="4" w:space="0" w:color="000000"/>
              <w:bottom w:val="single" w:sz="4" w:space="0" w:color="000000"/>
            </w:tcBorders>
          </w:tcPr>
          <w:p>
            <w:pPr>
              <w:pStyle w:val="TableParagraph"/>
              <w:spacing w:before="22"/>
              <w:ind w:right="53"/>
              <w:rPr>
                <w:sz w:val="14"/>
              </w:rPr>
            </w:pPr>
            <w:r>
              <w:rPr>
                <w:w w:val="99"/>
                <w:sz w:val="14"/>
              </w:rPr>
              <w:t>-</w:t>
            </w:r>
          </w:p>
        </w:tc>
        <w:tc>
          <w:tcPr>
            <w:tcW w:w="818" w:type="dxa"/>
            <w:tcBorders>
              <w:top w:val="single" w:sz="4" w:space="0" w:color="000000"/>
              <w:bottom w:val="single" w:sz="4" w:space="0" w:color="000000"/>
            </w:tcBorders>
          </w:tcPr>
          <w:p>
            <w:pPr>
              <w:pStyle w:val="TableParagraph"/>
              <w:spacing w:before="22"/>
              <w:ind w:right="131"/>
              <w:rPr>
                <w:i/>
                <w:sz w:val="14"/>
              </w:rPr>
            </w:pPr>
            <w:r>
              <w:rPr>
                <w:i/>
                <w:w w:val="99"/>
                <w:sz w:val="14"/>
              </w:rPr>
              <w:t>-</w:t>
            </w:r>
          </w:p>
        </w:tc>
        <w:tc>
          <w:tcPr>
            <w:tcW w:w="515" w:type="dxa"/>
            <w:tcBorders>
              <w:top w:val="single" w:sz="4" w:space="0" w:color="000000"/>
              <w:bottom w:val="single" w:sz="4" w:space="0" w:color="000000"/>
            </w:tcBorders>
          </w:tcPr>
          <w:p>
            <w:pPr>
              <w:pStyle w:val="TableParagraph"/>
              <w:spacing w:before="22"/>
              <w:ind w:right="46"/>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7"/>
              <w:ind w:left="67"/>
              <w:jc w:val="left"/>
              <w:rPr>
                <w:sz w:val="14"/>
              </w:rPr>
            </w:pPr>
            <w:r>
              <w:rPr>
                <w:spacing w:val="-2"/>
                <w:sz w:val="14"/>
              </w:rPr>
              <w:t>Converted</w:t>
            </w:r>
          </w:p>
        </w:tc>
        <w:tc>
          <w:tcPr>
            <w:tcW w:w="678" w:type="dxa"/>
            <w:tcBorders>
              <w:top w:val="single" w:sz="4" w:space="0" w:color="000000"/>
              <w:bottom w:val="single" w:sz="4" w:space="0" w:color="000000"/>
            </w:tcBorders>
          </w:tcPr>
          <w:p>
            <w:pPr>
              <w:pStyle w:val="TableParagraph"/>
              <w:spacing w:before="27"/>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7"/>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7"/>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7"/>
              <w:ind w:right="191"/>
              <w:rPr>
                <w:sz w:val="14"/>
              </w:rPr>
            </w:pPr>
            <w:r>
              <w:rPr>
                <w:w w:val="99"/>
                <w:sz w:val="14"/>
              </w:rPr>
              <w:t>-</w:t>
            </w:r>
          </w:p>
        </w:tc>
        <w:tc>
          <w:tcPr>
            <w:tcW w:w="581" w:type="dxa"/>
            <w:tcBorders>
              <w:top w:val="single" w:sz="4" w:space="0" w:color="000000"/>
              <w:bottom w:val="single" w:sz="4" w:space="0" w:color="000000"/>
            </w:tcBorders>
          </w:tcPr>
          <w:p>
            <w:pPr>
              <w:pStyle w:val="TableParagraph"/>
              <w:spacing w:before="27"/>
              <w:ind w:left="148"/>
              <w:jc w:val="center"/>
              <w:rPr>
                <w:sz w:val="14"/>
              </w:rPr>
            </w:pPr>
            <w:r>
              <w:rPr>
                <w:w w:val="99"/>
                <w:sz w:val="14"/>
              </w:rPr>
              <w:t>-</w:t>
            </w:r>
          </w:p>
        </w:tc>
        <w:tc>
          <w:tcPr>
            <w:tcW w:w="566" w:type="dxa"/>
            <w:tcBorders>
              <w:top w:val="single" w:sz="4" w:space="0" w:color="000000"/>
              <w:bottom w:val="single" w:sz="4" w:space="0" w:color="000000"/>
            </w:tcBorders>
          </w:tcPr>
          <w:p>
            <w:pPr>
              <w:pStyle w:val="TableParagraph"/>
              <w:spacing w:before="27"/>
              <w:ind w:right="171"/>
              <w:rPr>
                <w:sz w:val="14"/>
              </w:rPr>
            </w:pPr>
            <w:r>
              <w:rPr>
                <w:w w:val="99"/>
                <w:sz w:val="14"/>
              </w:rPr>
              <w:t>-</w:t>
            </w:r>
          </w:p>
        </w:tc>
        <w:tc>
          <w:tcPr>
            <w:tcW w:w="634" w:type="dxa"/>
            <w:tcBorders>
              <w:top w:val="single" w:sz="4" w:space="0" w:color="000000"/>
              <w:bottom w:val="single" w:sz="4" w:space="0" w:color="000000"/>
            </w:tcBorders>
          </w:tcPr>
          <w:p>
            <w:pPr>
              <w:pStyle w:val="TableParagraph"/>
              <w:spacing w:before="27"/>
              <w:ind w:right="209"/>
              <w:rPr>
                <w:sz w:val="14"/>
              </w:rPr>
            </w:pPr>
            <w:r>
              <w:rPr>
                <w:w w:val="99"/>
                <w:sz w:val="14"/>
              </w:rPr>
              <w:t>-</w:t>
            </w:r>
          </w:p>
        </w:tc>
        <w:tc>
          <w:tcPr>
            <w:tcW w:w="727" w:type="dxa"/>
            <w:tcBorders>
              <w:top w:val="single" w:sz="4" w:space="0" w:color="000000"/>
              <w:bottom w:val="single" w:sz="4" w:space="0" w:color="000000"/>
            </w:tcBorders>
          </w:tcPr>
          <w:p>
            <w:pPr>
              <w:pStyle w:val="TableParagraph"/>
              <w:spacing w:before="27"/>
              <w:ind w:right="197"/>
              <w:rPr>
                <w:sz w:val="14"/>
              </w:rPr>
            </w:pPr>
            <w:r>
              <w:rPr>
                <w:w w:val="99"/>
                <w:sz w:val="14"/>
              </w:rPr>
              <w:t>-</w:t>
            </w:r>
          </w:p>
        </w:tc>
        <w:tc>
          <w:tcPr>
            <w:tcW w:w="462" w:type="dxa"/>
            <w:tcBorders>
              <w:top w:val="single" w:sz="4" w:space="0" w:color="000000"/>
              <w:bottom w:val="single" w:sz="4" w:space="0" w:color="000000"/>
            </w:tcBorders>
          </w:tcPr>
          <w:p>
            <w:pPr>
              <w:pStyle w:val="TableParagraph"/>
              <w:spacing w:before="27"/>
              <w:ind w:right="63"/>
              <w:rPr>
                <w:sz w:val="14"/>
              </w:rPr>
            </w:pPr>
            <w:r>
              <w:rPr>
                <w:w w:val="99"/>
                <w:sz w:val="14"/>
              </w:rPr>
              <w:t>-</w:t>
            </w:r>
          </w:p>
        </w:tc>
        <w:tc>
          <w:tcPr>
            <w:tcW w:w="795" w:type="dxa"/>
            <w:tcBorders>
              <w:top w:val="single" w:sz="4" w:space="0" w:color="000000"/>
              <w:bottom w:val="single" w:sz="4" w:space="0" w:color="000000"/>
            </w:tcBorders>
          </w:tcPr>
          <w:p>
            <w:pPr>
              <w:pStyle w:val="TableParagraph"/>
              <w:spacing w:before="27"/>
              <w:ind w:right="123"/>
              <w:rPr>
                <w:i/>
                <w:sz w:val="14"/>
              </w:rPr>
            </w:pPr>
            <w:r>
              <w:rPr>
                <w:i/>
                <w:w w:val="99"/>
                <w:sz w:val="14"/>
              </w:rPr>
              <w:t>-</w:t>
            </w:r>
          </w:p>
        </w:tc>
        <w:tc>
          <w:tcPr>
            <w:tcW w:w="566" w:type="dxa"/>
            <w:tcBorders>
              <w:top w:val="single" w:sz="4" w:space="0" w:color="000000"/>
              <w:bottom w:val="single" w:sz="4" w:space="0" w:color="000000"/>
            </w:tcBorders>
          </w:tcPr>
          <w:p>
            <w:pPr>
              <w:pStyle w:val="TableParagraph"/>
              <w:spacing w:before="27"/>
              <w:ind w:right="94"/>
              <w:rPr>
                <w:sz w:val="14"/>
              </w:rPr>
            </w:pPr>
            <w:r>
              <w:rPr>
                <w:w w:val="99"/>
                <w:sz w:val="14"/>
              </w:rPr>
              <w:t>-</w:t>
            </w:r>
          </w:p>
        </w:tc>
        <w:tc>
          <w:tcPr>
            <w:tcW w:w="576" w:type="dxa"/>
            <w:tcBorders>
              <w:top w:val="single" w:sz="4" w:space="0" w:color="000000"/>
              <w:bottom w:val="single" w:sz="4" w:space="0" w:color="000000"/>
            </w:tcBorders>
          </w:tcPr>
          <w:p>
            <w:pPr>
              <w:pStyle w:val="TableParagraph"/>
              <w:spacing w:before="27"/>
              <w:ind w:right="79"/>
              <w:rPr>
                <w:sz w:val="14"/>
              </w:rPr>
            </w:pPr>
            <w:r>
              <w:rPr>
                <w:w w:val="99"/>
                <w:sz w:val="14"/>
              </w:rPr>
              <w:t>-</w:t>
            </w:r>
          </w:p>
        </w:tc>
        <w:tc>
          <w:tcPr>
            <w:tcW w:w="564" w:type="dxa"/>
            <w:tcBorders>
              <w:top w:val="single" w:sz="4" w:space="0" w:color="000000"/>
              <w:bottom w:val="single" w:sz="4" w:space="0" w:color="000000"/>
            </w:tcBorders>
          </w:tcPr>
          <w:p>
            <w:pPr>
              <w:pStyle w:val="TableParagraph"/>
              <w:spacing w:before="27"/>
              <w:ind w:right="53"/>
              <w:rPr>
                <w:sz w:val="14"/>
              </w:rPr>
            </w:pPr>
            <w:r>
              <w:rPr>
                <w:w w:val="99"/>
                <w:sz w:val="14"/>
              </w:rPr>
              <w:t>-</w:t>
            </w:r>
          </w:p>
        </w:tc>
        <w:tc>
          <w:tcPr>
            <w:tcW w:w="818" w:type="dxa"/>
            <w:tcBorders>
              <w:top w:val="single" w:sz="4" w:space="0" w:color="000000"/>
              <w:bottom w:val="single" w:sz="4" w:space="0" w:color="000000"/>
            </w:tcBorders>
          </w:tcPr>
          <w:p>
            <w:pPr>
              <w:pStyle w:val="TableParagraph"/>
              <w:spacing w:before="27"/>
              <w:ind w:right="131"/>
              <w:rPr>
                <w:i/>
                <w:sz w:val="14"/>
              </w:rPr>
            </w:pPr>
            <w:r>
              <w:rPr>
                <w:i/>
                <w:w w:val="99"/>
                <w:sz w:val="14"/>
              </w:rPr>
              <w:t>-</w:t>
            </w:r>
          </w:p>
        </w:tc>
        <w:tc>
          <w:tcPr>
            <w:tcW w:w="515" w:type="dxa"/>
            <w:tcBorders>
              <w:top w:val="single" w:sz="4" w:space="0" w:color="000000"/>
              <w:bottom w:val="single" w:sz="4" w:space="0" w:color="000000"/>
            </w:tcBorders>
          </w:tcPr>
          <w:p>
            <w:pPr>
              <w:pStyle w:val="TableParagraph"/>
              <w:spacing w:before="27"/>
              <w:ind w:right="46"/>
              <w:rPr>
                <w:b/>
                <w:sz w:val="14"/>
              </w:rPr>
            </w:pPr>
            <w:r>
              <w:rPr>
                <w:b/>
                <w:w w:val="99"/>
                <w:sz w:val="14"/>
              </w:rPr>
              <w:t>-</w:t>
            </w:r>
          </w:p>
        </w:tc>
      </w:tr>
      <w:tr>
        <w:trPr>
          <w:trHeight w:val="229" w:hRule="atLeast"/>
        </w:trPr>
        <w:tc>
          <w:tcPr>
            <w:tcW w:w="1186" w:type="dxa"/>
            <w:tcBorders>
              <w:top w:val="single" w:sz="4" w:space="0" w:color="000000"/>
              <w:bottom w:val="single" w:sz="12" w:space="0" w:color="000000"/>
            </w:tcBorders>
          </w:tcPr>
          <w:p>
            <w:pPr>
              <w:pStyle w:val="TableParagraph"/>
              <w:spacing w:before="27"/>
              <w:ind w:left="67"/>
              <w:jc w:val="left"/>
              <w:rPr>
                <w:b/>
                <w:sz w:val="14"/>
              </w:rPr>
            </w:pPr>
            <w:r>
              <w:rPr>
                <w:b/>
                <w:sz w:val="14"/>
              </w:rPr>
              <w:t>Proposed</w:t>
            </w:r>
            <w:r>
              <w:rPr>
                <w:b/>
                <w:spacing w:val="-6"/>
                <w:sz w:val="14"/>
              </w:rPr>
              <w:t> </w:t>
            </w:r>
            <w:r>
              <w:rPr>
                <w:b/>
                <w:spacing w:val="-4"/>
                <w:sz w:val="14"/>
              </w:rPr>
              <w:t>2023</w:t>
            </w:r>
          </w:p>
        </w:tc>
        <w:tc>
          <w:tcPr>
            <w:tcW w:w="678" w:type="dxa"/>
            <w:tcBorders>
              <w:top w:val="single" w:sz="4" w:space="0" w:color="000000"/>
              <w:bottom w:val="single" w:sz="12" w:space="0" w:color="000000"/>
            </w:tcBorders>
          </w:tcPr>
          <w:p>
            <w:pPr>
              <w:pStyle w:val="TableParagraph"/>
              <w:spacing w:before="27"/>
              <w:ind w:right="154"/>
              <w:rPr>
                <w:b/>
                <w:sz w:val="14"/>
              </w:rPr>
            </w:pPr>
            <w:r>
              <w:rPr>
                <w:b/>
                <w:w w:val="99"/>
                <w:sz w:val="14"/>
              </w:rPr>
              <w:t>-</w:t>
            </w:r>
          </w:p>
        </w:tc>
        <w:tc>
          <w:tcPr>
            <w:tcW w:w="607" w:type="dxa"/>
            <w:tcBorders>
              <w:top w:val="single" w:sz="4" w:space="0" w:color="000000"/>
              <w:bottom w:val="single" w:sz="12" w:space="0" w:color="000000"/>
            </w:tcBorders>
          </w:tcPr>
          <w:p>
            <w:pPr>
              <w:pStyle w:val="TableParagraph"/>
              <w:spacing w:before="27"/>
              <w:ind w:right="170"/>
              <w:rPr>
                <w:b/>
                <w:sz w:val="14"/>
              </w:rPr>
            </w:pPr>
            <w:r>
              <w:rPr>
                <w:b/>
                <w:w w:val="99"/>
                <w:sz w:val="14"/>
              </w:rPr>
              <w:t>-</w:t>
            </w:r>
          </w:p>
        </w:tc>
        <w:tc>
          <w:tcPr>
            <w:tcW w:w="563" w:type="dxa"/>
            <w:tcBorders>
              <w:top w:val="single" w:sz="4" w:space="0" w:color="000000"/>
              <w:bottom w:val="single" w:sz="12" w:space="0" w:color="000000"/>
            </w:tcBorders>
          </w:tcPr>
          <w:p>
            <w:pPr>
              <w:pStyle w:val="TableParagraph"/>
              <w:spacing w:before="27"/>
              <w:ind w:right="171"/>
              <w:rPr>
                <w:b/>
                <w:sz w:val="14"/>
              </w:rPr>
            </w:pPr>
            <w:r>
              <w:rPr>
                <w:b/>
                <w:w w:val="99"/>
                <w:sz w:val="14"/>
              </w:rPr>
              <w:t>-</w:t>
            </w:r>
          </w:p>
        </w:tc>
        <w:tc>
          <w:tcPr>
            <w:tcW w:w="581" w:type="dxa"/>
            <w:tcBorders>
              <w:top w:val="single" w:sz="4" w:space="0" w:color="000000"/>
              <w:bottom w:val="single" w:sz="12" w:space="0" w:color="000000"/>
            </w:tcBorders>
          </w:tcPr>
          <w:p>
            <w:pPr>
              <w:pStyle w:val="TableParagraph"/>
              <w:spacing w:before="27"/>
              <w:ind w:right="191"/>
              <w:rPr>
                <w:b/>
                <w:sz w:val="14"/>
              </w:rPr>
            </w:pPr>
            <w:r>
              <w:rPr>
                <w:b/>
                <w:w w:val="99"/>
                <w:sz w:val="14"/>
              </w:rPr>
              <w:t>-</w:t>
            </w:r>
          </w:p>
        </w:tc>
        <w:tc>
          <w:tcPr>
            <w:tcW w:w="581" w:type="dxa"/>
            <w:tcBorders>
              <w:top w:val="single" w:sz="4" w:space="0" w:color="000000"/>
              <w:bottom w:val="single" w:sz="12" w:space="0" w:color="000000"/>
            </w:tcBorders>
          </w:tcPr>
          <w:p>
            <w:pPr>
              <w:pStyle w:val="TableParagraph"/>
              <w:spacing w:before="27"/>
              <w:ind w:left="148"/>
              <w:jc w:val="center"/>
              <w:rPr>
                <w:b/>
                <w:sz w:val="14"/>
              </w:rPr>
            </w:pPr>
            <w:r>
              <w:rPr>
                <w:b/>
                <w:w w:val="99"/>
                <w:sz w:val="14"/>
              </w:rPr>
              <w:t>-</w:t>
            </w:r>
          </w:p>
        </w:tc>
        <w:tc>
          <w:tcPr>
            <w:tcW w:w="566" w:type="dxa"/>
            <w:tcBorders>
              <w:top w:val="single" w:sz="4" w:space="0" w:color="000000"/>
              <w:bottom w:val="single" w:sz="12" w:space="0" w:color="000000"/>
            </w:tcBorders>
          </w:tcPr>
          <w:p>
            <w:pPr>
              <w:pStyle w:val="TableParagraph"/>
              <w:spacing w:before="27"/>
              <w:ind w:right="171"/>
              <w:rPr>
                <w:b/>
                <w:sz w:val="14"/>
              </w:rPr>
            </w:pPr>
            <w:r>
              <w:rPr>
                <w:b/>
                <w:w w:val="99"/>
                <w:sz w:val="14"/>
              </w:rPr>
              <w:t>-</w:t>
            </w:r>
          </w:p>
        </w:tc>
        <w:tc>
          <w:tcPr>
            <w:tcW w:w="634" w:type="dxa"/>
            <w:tcBorders>
              <w:top w:val="single" w:sz="4" w:space="0" w:color="000000"/>
              <w:bottom w:val="single" w:sz="12" w:space="0" w:color="000000"/>
            </w:tcBorders>
          </w:tcPr>
          <w:p>
            <w:pPr>
              <w:pStyle w:val="TableParagraph"/>
              <w:spacing w:before="27"/>
              <w:ind w:right="206"/>
              <w:rPr>
                <w:b/>
                <w:sz w:val="14"/>
              </w:rPr>
            </w:pPr>
            <w:r>
              <w:rPr>
                <w:b/>
                <w:spacing w:val="-4"/>
                <w:sz w:val="14"/>
              </w:rPr>
              <w:t>5.00</w:t>
            </w:r>
          </w:p>
        </w:tc>
        <w:tc>
          <w:tcPr>
            <w:tcW w:w="727" w:type="dxa"/>
            <w:tcBorders>
              <w:top w:val="single" w:sz="4" w:space="0" w:color="000000"/>
              <w:bottom w:val="single" w:sz="12" w:space="0" w:color="000000"/>
            </w:tcBorders>
          </w:tcPr>
          <w:p>
            <w:pPr>
              <w:pStyle w:val="TableParagraph"/>
              <w:spacing w:before="27"/>
              <w:ind w:right="194"/>
              <w:rPr>
                <w:b/>
                <w:sz w:val="14"/>
              </w:rPr>
            </w:pPr>
            <w:r>
              <w:rPr>
                <w:b/>
                <w:spacing w:val="-2"/>
                <w:sz w:val="14"/>
              </w:rPr>
              <w:t>19.00</w:t>
            </w:r>
          </w:p>
        </w:tc>
        <w:tc>
          <w:tcPr>
            <w:tcW w:w="462" w:type="dxa"/>
            <w:tcBorders>
              <w:top w:val="single" w:sz="4" w:space="0" w:color="000000"/>
              <w:bottom w:val="single" w:sz="12" w:space="0" w:color="000000"/>
            </w:tcBorders>
          </w:tcPr>
          <w:p>
            <w:pPr>
              <w:pStyle w:val="TableParagraph"/>
              <w:spacing w:before="27"/>
              <w:ind w:right="63"/>
              <w:rPr>
                <w:b/>
                <w:sz w:val="14"/>
              </w:rPr>
            </w:pPr>
            <w:r>
              <w:rPr>
                <w:b/>
                <w:w w:val="99"/>
                <w:sz w:val="14"/>
              </w:rPr>
              <w:t>-</w:t>
            </w:r>
          </w:p>
        </w:tc>
        <w:tc>
          <w:tcPr>
            <w:tcW w:w="795" w:type="dxa"/>
            <w:tcBorders>
              <w:top w:val="single" w:sz="4" w:space="0" w:color="000000"/>
              <w:bottom w:val="single" w:sz="12" w:space="0" w:color="000000"/>
            </w:tcBorders>
          </w:tcPr>
          <w:p>
            <w:pPr>
              <w:pStyle w:val="TableParagraph"/>
              <w:spacing w:before="27"/>
              <w:ind w:right="121"/>
              <w:rPr>
                <w:b/>
                <w:i/>
                <w:sz w:val="14"/>
              </w:rPr>
            </w:pPr>
            <w:r>
              <w:rPr>
                <w:b/>
                <w:i/>
                <w:spacing w:val="-2"/>
                <w:sz w:val="14"/>
              </w:rPr>
              <w:t>24.00</w:t>
            </w:r>
          </w:p>
        </w:tc>
        <w:tc>
          <w:tcPr>
            <w:tcW w:w="566" w:type="dxa"/>
            <w:tcBorders>
              <w:top w:val="single" w:sz="4" w:space="0" w:color="000000"/>
              <w:bottom w:val="single" w:sz="12" w:space="0" w:color="000000"/>
            </w:tcBorders>
          </w:tcPr>
          <w:p>
            <w:pPr>
              <w:pStyle w:val="TableParagraph"/>
              <w:spacing w:before="27"/>
              <w:ind w:right="94"/>
              <w:rPr>
                <w:b/>
                <w:sz w:val="14"/>
              </w:rPr>
            </w:pPr>
            <w:r>
              <w:rPr>
                <w:b/>
                <w:w w:val="99"/>
                <w:sz w:val="14"/>
              </w:rPr>
              <w:t>-</w:t>
            </w:r>
          </w:p>
        </w:tc>
        <w:tc>
          <w:tcPr>
            <w:tcW w:w="576" w:type="dxa"/>
            <w:tcBorders>
              <w:top w:val="single" w:sz="4" w:space="0" w:color="000000"/>
              <w:bottom w:val="single" w:sz="12" w:space="0" w:color="000000"/>
            </w:tcBorders>
          </w:tcPr>
          <w:p>
            <w:pPr>
              <w:pStyle w:val="TableParagraph"/>
              <w:spacing w:before="27"/>
              <w:ind w:right="79"/>
              <w:rPr>
                <w:b/>
                <w:sz w:val="14"/>
              </w:rPr>
            </w:pPr>
            <w:r>
              <w:rPr>
                <w:b/>
                <w:w w:val="99"/>
                <w:sz w:val="14"/>
              </w:rPr>
              <w:t>-</w:t>
            </w:r>
          </w:p>
        </w:tc>
        <w:tc>
          <w:tcPr>
            <w:tcW w:w="564" w:type="dxa"/>
            <w:tcBorders>
              <w:top w:val="single" w:sz="4" w:space="0" w:color="000000"/>
              <w:bottom w:val="single" w:sz="12" w:space="0" w:color="000000"/>
            </w:tcBorders>
          </w:tcPr>
          <w:p>
            <w:pPr>
              <w:pStyle w:val="TableParagraph"/>
              <w:spacing w:before="27"/>
              <w:ind w:right="53"/>
              <w:rPr>
                <w:b/>
                <w:sz w:val="14"/>
              </w:rPr>
            </w:pPr>
            <w:r>
              <w:rPr>
                <w:b/>
                <w:w w:val="99"/>
                <w:sz w:val="14"/>
              </w:rPr>
              <w:t>-</w:t>
            </w:r>
          </w:p>
        </w:tc>
        <w:tc>
          <w:tcPr>
            <w:tcW w:w="818" w:type="dxa"/>
            <w:tcBorders>
              <w:top w:val="single" w:sz="4" w:space="0" w:color="000000"/>
              <w:bottom w:val="single" w:sz="12" w:space="0" w:color="000000"/>
            </w:tcBorders>
          </w:tcPr>
          <w:p>
            <w:pPr>
              <w:pStyle w:val="TableParagraph"/>
              <w:spacing w:before="27"/>
              <w:ind w:right="131"/>
              <w:rPr>
                <w:b/>
                <w:i/>
                <w:sz w:val="14"/>
              </w:rPr>
            </w:pPr>
            <w:r>
              <w:rPr>
                <w:b/>
                <w:i/>
                <w:w w:val="99"/>
                <w:sz w:val="14"/>
              </w:rPr>
              <w:t>-</w:t>
            </w:r>
          </w:p>
        </w:tc>
        <w:tc>
          <w:tcPr>
            <w:tcW w:w="515" w:type="dxa"/>
            <w:tcBorders>
              <w:top w:val="single" w:sz="4" w:space="0" w:color="000000"/>
              <w:bottom w:val="single" w:sz="12" w:space="0" w:color="000000"/>
            </w:tcBorders>
          </w:tcPr>
          <w:p>
            <w:pPr>
              <w:pStyle w:val="TableParagraph"/>
              <w:spacing w:before="27"/>
              <w:ind w:right="43"/>
              <w:rPr>
                <w:b/>
                <w:sz w:val="14"/>
              </w:rPr>
            </w:pPr>
            <w:r>
              <w:rPr>
                <w:b/>
                <w:spacing w:val="-2"/>
                <w:sz w:val="14"/>
              </w:rPr>
              <w:t>24.00</w:t>
            </w:r>
          </w:p>
        </w:tc>
      </w:tr>
    </w:tbl>
    <w:p>
      <w:pPr>
        <w:spacing w:after="0"/>
        <w:rPr>
          <w:sz w:val="14"/>
        </w:rPr>
        <w:sectPr>
          <w:pgSz w:w="11910" w:h="16840"/>
          <w:pgMar w:header="957" w:footer="940" w:top="1140" w:bottom="1140" w:left="20" w:right="20"/>
        </w:sectPr>
      </w:pPr>
    </w:p>
    <w:p>
      <w:pPr>
        <w:pStyle w:val="ListParagraph"/>
        <w:numPr>
          <w:ilvl w:val="0"/>
          <w:numId w:val="5"/>
        </w:numPr>
        <w:tabs>
          <w:tab w:pos="2246" w:val="left" w:leader="none"/>
          <w:tab w:pos="2247" w:val="left" w:leader="none"/>
        </w:tabs>
        <w:spacing w:line="491" w:lineRule="auto" w:before="124" w:after="0"/>
        <w:ind w:left="2246" w:right="6709" w:hanging="567"/>
        <w:jc w:val="left"/>
        <w:rPr>
          <w:b/>
          <w:sz w:val="20"/>
        </w:rPr>
      </w:pPr>
      <w:bookmarkStart w:name="_bookmark16" w:id="17"/>
      <w:bookmarkEnd w:id="17"/>
      <w:r>
        <w:rPr>
          <w:b/>
          <w:sz w:val="20"/>
        </w:rPr>
        <w:t>P</w:t>
      </w:r>
      <w:r>
        <w:rPr>
          <w:b/>
          <w:sz w:val="20"/>
        </w:rPr>
        <w:t>rogramme</w:t>
      </w:r>
      <w:r>
        <w:rPr>
          <w:b/>
          <w:spacing w:val="-11"/>
          <w:sz w:val="20"/>
        </w:rPr>
        <w:t> </w:t>
      </w:r>
      <w:r>
        <w:rPr>
          <w:b/>
          <w:sz w:val="20"/>
        </w:rPr>
        <w:t>1100:</w:t>
      </w:r>
      <w:r>
        <w:rPr>
          <w:b/>
          <w:spacing w:val="-9"/>
          <w:sz w:val="20"/>
        </w:rPr>
        <w:t> </w:t>
      </w:r>
      <w:r>
        <w:rPr>
          <w:b/>
          <w:sz w:val="20"/>
        </w:rPr>
        <w:t>The</w:t>
      </w:r>
      <w:r>
        <w:rPr>
          <w:b/>
          <w:spacing w:val="-11"/>
          <w:sz w:val="20"/>
        </w:rPr>
        <w:t> </w:t>
      </w:r>
      <w:r>
        <w:rPr>
          <w:b/>
          <w:sz w:val="20"/>
        </w:rPr>
        <w:t>Presidency </w:t>
      </w:r>
      <w:r>
        <w:rPr>
          <w:b/>
          <w:spacing w:val="-2"/>
          <w:sz w:val="20"/>
        </w:rPr>
        <w:t>Introduction</w:t>
      </w:r>
    </w:p>
    <w:p>
      <w:pPr>
        <w:pStyle w:val="ListParagraph"/>
        <w:numPr>
          <w:ilvl w:val="0"/>
          <w:numId w:val="4"/>
        </w:numPr>
        <w:tabs>
          <w:tab w:pos="2966" w:val="left" w:leader="none"/>
          <w:tab w:pos="2967" w:val="left" w:leader="none"/>
        </w:tabs>
        <w:spacing w:line="240" w:lineRule="auto" w:before="0" w:after="0"/>
        <w:ind w:left="2246" w:right="2247" w:firstLine="0"/>
        <w:jc w:val="left"/>
        <w:rPr>
          <w:sz w:val="20"/>
        </w:rPr>
      </w:pPr>
      <w:bookmarkStart w:name="_bookmark17" w:id="18"/>
      <w:bookmarkEnd w:id="18"/>
      <w:r>
        <w:rPr>
          <w:sz w:val="20"/>
        </w:rPr>
        <w:t>T</w:t>
      </w:r>
      <w:r>
        <w:rPr>
          <w:sz w:val="20"/>
        </w:rPr>
        <w:t>he Presidency’s strategic priorities, grouped according to its three primary areas of responsibility, are as follows:</w:t>
      </w:r>
    </w:p>
    <w:p>
      <w:pPr>
        <w:pStyle w:val="ListParagraph"/>
        <w:numPr>
          <w:ilvl w:val="1"/>
          <w:numId w:val="4"/>
        </w:numPr>
        <w:tabs>
          <w:tab w:pos="3686" w:val="left" w:leader="none"/>
          <w:tab w:pos="3687" w:val="left" w:leader="none"/>
        </w:tabs>
        <w:spacing w:line="240" w:lineRule="auto" w:before="120" w:after="0"/>
        <w:ind w:left="2957" w:right="2239" w:firstLine="0"/>
        <w:jc w:val="both"/>
        <w:rPr>
          <w:sz w:val="20"/>
        </w:rPr>
      </w:pPr>
      <w:r>
        <w:rPr>
          <w:sz w:val="20"/>
        </w:rPr>
        <w:t>Legal:</w:t>
      </w:r>
      <w:r>
        <w:rPr>
          <w:spacing w:val="-2"/>
          <w:sz w:val="20"/>
        </w:rPr>
        <w:t> </w:t>
      </w:r>
      <w:r>
        <w:rPr>
          <w:sz w:val="20"/>
        </w:rPr>
        <w:t>to</w:t>
      </w:r>
      <w:r>
        <w:rPr>
          <w:spacing w:val="-4"/>
          <w:sz w:val="20"/>
        </w:rPr>
        <w:t> </w:t>
      </w:r>
      <w:r>
        <w:rPr>
          <w:sz w:val="20"/>
        </w:rPr>
        <w:t>carry out</w:t>
      </w:r>
      <w:r>
        <w:rPr>
          <w:spacing w:val="-2"/>
          <w:sz w:val="20"/>
        </w:rPr>
        <w:t> </w:t>
      </w:r>
      <w:r>
        <w:rPr>
          <w:sz w:val="20"/>
        </w:rPr>
        <w:t>its</w:t>
      </w:r>
      <w:r>
        <w:rPr>
          <w:spacing w:val="-5"/>
          <w:sz w:val="20"/>
        </w:rPr>
        <w:t> </w:t>
      </w:r>
      <w:r>
        <w:rPr>
          <w:sz w:val="20"/>
        </w:rPr>
        <w:t>legal</w:t>
      </w:r>
      <w:r>
        <w:rPr>
          <w:spacing w:val="-2"/>
          <w:sz w:val="20"/>
        </w:rPr>
        <w:t> </w:t>
      </w:r>
      <w:r>
        <w:rPr>
          <w:sz w:val="20"/>
        </w:rPr>
        <w:t>and</w:t>
      </w:r>
      <w:r>
        <w:rPr>
          <w:spacing w:val="-4"/>
          <w:sz w:val="20"/>
        </w:rPr>
        <w:t> </w:t>
      </w:r>
      <w:r>
        <w:rPr>
          <w:sz w:val="20"/>
        </w:rPr>
        <w:t>judicial functions</w:t>
      </w:r>
      <w:r>
        <w:rPr>
          <w:spacing w:val="-5"/>
          <w:sz w:val="20"/>
        </w:rPr>
        <w:t> </w:t>
      </w:r>
      <w:r>
        <w:rPr>
          <w:sz w:val="20"/>
        </w:rPr>
        <w:t>under</w:t>
      </w:r>
      <w:r>
        <w:rPr>
          <w:spacing w:val="-4"/>
          <w:sz w:val="20"/>
        </w:rPr>
        <w:t> </w:t>
      </w:r>
      <w:r>
        <w:rPr>
          <w:sz w:val="20"/>
        </w:rPr>
        <w:t>the</w:t>
      </w:r>
      <w:r>
        <w:rPr>
          <w:spacing w:val="-7"/>
          <w:sz w:val="20"/>
        </w:rPr>
        <w:t> </w:t>
      </w:r>
      <w:r>
        <w:rPr>
          <w:sz w:val="20"/>
        </w:rPr>
        <w:t>Rome</w:t>
      </w:r>
      <w:r>
        <w:rPr>
          <w:spacing w:val="-2"/>
          <w:sz w:val="20"/>
        </w:rPr>
        <w:t> </w:t>
      </w:r>
      <w:r>
        <w:rPr>
          <w:sz w:val="20"/>
        </w:rPr>
        <w:t>Statute, pursuant</w:t>
      </w:r>
      <w:r>
        <w:rPr>
          <w:spacing w:val="80"/>
          <w:sz w:val="20"/>
        </w:rPr>
        <w:t> </w:t>
      </w:r>
      <w:r>
        <w:rPr>
          <w:sz w:val="20"/>
        </w:rPr>
        <w:t>to</w:t>
      </w:r>
      <w:r>
        <w:rPr>
          <w:spacing w:val="80"/>
          <w:sz w:val="20"/>
        </w:rPr>
        <w:t> </w:t>
      </w:r>
      <w:r>
        <w:rPr>
          <w:sz w:val="20"/>
        </w:rPr>
        <w:t>its</w:t>
      </w:r>
      <w:r>
        <w:rPr>
          <w:spacing w:val="80"/>
          <w:sz w:val="20"/>
        </w:rPr>
        <w:t> </w:t>
      </w:r>
      <w:r>
        <w:rPr>
          <w:sz w:val="20"/>
        </w:rPr>
        <w:t>responsibility</w:t>
      </w:r>
      <w:r>
        <w:rPr>
          <w:spacing w:val="80"/>
          <w:sz w:val="20"/>
        </w:rPr>
        <w:t> </w:t>
      </w:r>
      <w:r>
        <w:rPr>
          <w:sz w:val="20"/>
        </w:rPr>
        <w:t>for</w:t>
      </w:r>
      <w:r>
        <w:rPr>
          <w:spacing w:val="80"/>
          <w:sz w:val="20"/>
        </w:rPr>
        <w:t> </w:t>
      </w:r>
      <w:r>
        <w:rPr>
          <w:sz w:val="20"/>
        </w:rPr>
        <w:t>the</w:t>
      </w:r>
      <w:r>
        <w:rPr>
          <w:spacing w:val="80"/>
          <w:sz w:val="20"/>
        </w:rPr>
        <w:t> </w:t>
      </w:r>
      <w:r>
        <w:rPr>
          <w:sz w:val="20"/>
        </w:rPr>
        <w:t>proper</w:t>
      </w:r>
      <w:r>
        <w:rPr>
          <w:spacing w:val="80"/>
          <w:sz w:val="20"/>
        </w:rPr>
        <w:t> </w:t>
      </w:r>
      <w:r>
        <w:rPr>
          <w:sz w:val="20"/>
        </w:rPr>
        <w:t>administration</w:t>
      </w:r>
      <w:r>
        <w:rPr>
          <w:spacing w:val="80"/>
          <w:sz w:val="20"/>
        </w:rPr>
        <w:t> </w:t>
      </w:r>
      <w:r>
        <w:rPr>
          <w:sz w:val="20"/>
        </w:rPr>
        <w:t>of</w:t>
      </w:r>
      <w:r>
        <w:rPr>
          <w:spacing w:val="80"/>
          <w:sz w:val="20"/>
        </w:rPr>
        <w:t> </w:t>
      </w:r>
      <w:r>
        <w:rPr>
          <w:sz w:val="20"/>
        </w:rPr>
        <w:t>the</w:t>
      </w:r>
      <w:r>
        <w:rPr>
          <w:spacing w:val="80"/>
          <w:sz w:val="20"/>
        </w:rPr>
        <w:t> </w:t>
      </w:r>
      <w:r>
        <w:rPr>
          <w:sz w:val="20"/>
        </w:rPr>
        <w:t>Court. This</w:t>
      </w:r>
      <w:r>
        <w:rPr>
          <w:spacing w:val="-6"/>
          <w:sz w:val="20"/>
        </w:rPr>
        <w:t> </w:t>
      </w:r>
      <w:r>
        <w:rPr>
          <w:sz w:val="20"/>
        </w:rPr>
        <w:t>includes</w:t>
      </w:r>
      <w:r>
        <w:rPr>
          <w:spacing w:val="-2"/>
          <w:sz w:val="20"/>
        </w:rPr>
        <w:t> </w:t>
      </w:r>
      <w:r>
        <w:rPr>
          <w:sz w:val="20"/>
        </w:rPr>
        <w:t>the preparation</w:t>
      </w:r>
      <w:r>
        <w:rPr>
          <w:spacing w:val="-1"/>
          <w:sz w:val="20"/>
        </w:rPr>
        <w:t> </w:t>
      </w:r>
      <w:r>
        <w:rPr>
          <w:sz w:val="20"/>
        </w:rPr>
        <w:t>and</w:t>
      </w:r>
      <w:r>
        <w:rPr>
          <w:spacing w:val="-1"/>
          <w:sz w:val="20"/>
        </w:rPr>
        <w:t> </w:t>
      </w:r>
      <w:r>
        <w:rPr>
          <w:sz w:val="20"/>
        </w:rPr>
        <w:t>approval</w:t>
      </w:r>
      <w:r>
        <w:rPr>
          <w:spacing w:val="-3"/>
          <w:sz w:val="20"/>
        </w:rPr>
        <w:t> </w:t>
      </w:r>
      <w:r>
        <w:rPr>
          <w:sz w:val="20"/>
        </w:rPr>
        <w:t>of</w:t>
      </w:r>
      <w:r>
        <w:rPr>
          <w:spacing w:val="-1"/>
          <w:sz w:val="20"/>
        </w:rPr>
        <w:t> </w:t>
      </w:r>
      <w:r>
        <w:rPr>
          <w:sz w:val="20"/>
        </w:rPr>
        <w:t>Court-wide</w:t>
      </w:r>
      <w:r>
        <w:rPr>
          <w:spacing w:val="-3"/>
          <w:sz w:val="20"/>
        </w:rPr>
        <w:t> </w:t>
      </w:r>
      <w:r>
        <w:rPr>
          <w:sz w:val="20"/>
        </w:rPr>
        <w:t>administrative</w:t>
      </w:r>
      <w:r>
        <w:rPr>
          <w:spacing w:val="-3"/>
          <w:sz w:val="20"/>
        </w:rPr>
        <w:t> </w:t>
      </w:r>
      <w:r>
        <w:rPr>
          <w:sz w:val="20"/>
        </w:rPr>
        <w:t>issuances; judicial</w:t>
      </w:r>
      <w:r>
        <w:rPr>
          <w:spacing w:val="-2"/>
          <w:sz w:val="20"/>
        </w:rPr>
        <w:t> </w:t>
      </w:r>
      <w:r>
        <w:rPr>
          <w:sz w:val="20"/>
        </w:rPr>
        <w:t>review</w:t>
      </w:r>
      <w:r>
        <w:rPr>
          <w:spacing w:val="-5"/>
          <w:sz w:val="20"/>
        </w:rPr>
        <w:t> </w:t>
      </w:r>
      <w:r>
        <w:rPr>
          <w:sz w:val="20"/>
        </w:rPr>
        <w:t>of</w:t>
      </w:r>
      <w:r>
        <w:rPr>
          <w:spacing w:val="-8"/>
          <w:sz w:val="20"/>
        </w:rPr>
        <w:t> </w:t>
      </w:r>
      <w:r>
        <w:rPr>
          <w:sz w:val="20"/>
        </w:rPr>
        <w:t>certain</w:t>
      </w:r>
      <w:r>
        <w:rPr>
          <w:spacing w:val="-8"/>
          <w:sz w:val="20"/>
        </w:rPr>
        <w:t> </w:t>
      </w:r>
      <w:r>
        <w:rPr>
          <w:sz w:val="20"/>
        </w:rPr>
        <w:t>decisions</w:t>
      </w:r>
      <w:r>
        <w:rPr>
          <w:spacing w:val="-5"/>
          <w:sz w:val="20"/>
        </w:rPr>
        <w:t> </w:t>
      </w:r>
      <w:r>
        <w:rPr>
          <w:sz w:val="20"/>
        </w:rPr>
        <w:t>of</w:t>
      </w:r>
      <w:r>
        <w:rPr>
          <w:spacing w:val="-4"/>
          <w:sz w:val="20"/>
        </w:rPr>
        <w:t> </w:t>
      </w:r>
      <w:r>
        <w:rPr>
          <w:sz w:val="20"/>
        </w:rPr>
        <w:t>the</w:t>
      </w:r>
      <w:r>
        <w:rPr>
          <w:spacing w:val="-7"/>
          <w:sz w:val="20"/>
        </w:rPr>
        <w:t> </w:t>
      </w:r>
      <w:r>
        <w:rPr>
          <w:sz w:val="20"/>
        </w:rPr>
        <w:t>Registrar;</w:t>
      </w:r>
      <w:r>
        <w:rPr>
          <w:spacing w:val="-7"/>
          <w:sz w:val="20"/>
        </w:rPr>
        <w:t> </w:t>
      </w:r>
      <w:r>
        <w:rPr>
          <w:sz w:val="20"/>
        </w:rPr>
        <w:t>timely</w:t>
      </w:r>
      <w:r>
        <w:rPr>
          <w:spacing w:val="-8"/>
          <w:sz w:val="20"/>
        </w:rPr>
        <w:t> </w:t>
      </w:r>
      <w:r>
        <w:rPr>
          <w:sz w:val="20"/>
        </w:rPr>
        <w:t>assignment</w:t>
      </w:r>
      <w:r>
        <w:rPr>
          <w:spacing w:val="-7"/>
          <w:sz w:val="20"/>
        </w:rPr>
        <w:t> </w:t>
      </w:r>
      <w:r>
        <w:rPr>
          <w:sz w:val="20"/>
        </w:rPr>
        <w:t>of</w:t>
      </w:r>
      <w:r>
        <w:rPr>
          <w:spacing w:val="-4"/>
          <w:sz w:val="20"/>
        </w:rPr>
        <w:t> </w:t>
      </w:r>
      <w:r>
        <w:rPr>
          <w:sz w:val="20"/>
        </w:rPr>
        <w:t>situations and constitution of</w:t>
      </w:r>
      <w:r>
        <w:rPr>
          <w:spacing w:val="-1"/>
          <w:sz w:val="20"/>
        </w:rPr>
        <w:t> </w:t>
      </w:r>
      <w:r>
        <w:rPr>
          <w:sz w:val="20"/>
        </w:rPr>
        <w:t>Chambers;</w:t>
      </w:r>
      <w:r>
        <w:rPr>
          <w:sz w:val="20"/>
          <w:vertAlign w:val="superscript"/>
        </w:rPr>
        <w:t>9</w:t>
      </w:r>
      <w:r>
        <w:rPr>
          <w:sz w:val="20"/>
          <w:vertAlign w:val="baseline"/>
        </w:rPr>
        <w:t> procedural and substantive coordination of judges’ plenary sessions, retreats and meetings;</w:t>
      </w:r>
      <w:r>
        <w:rPr>
          <w:spacing w:val="-2"/>
          <w:sz w:val="20"/>
          <w:vertAlign w:val="baseline"/>
        </w:rPr>
        <w:t> </w:t>
      </w:r>
      <w:r>
        <w:rPr>
          <w:sz w:val="20"/>
          <w:vertAlign w:val="baseline"/>
        </w:rPr>
        <w:t>and international</w:t>
      </w:r>
      <w:r>
        <w:rPr>
          <w:spacing w:val="-2"/>
          <w:sz w:val="20"/>
          <w:vertAlign w:val="baseline"/>
        </w:rPr>
        <w:t> </w:t>
      </w:r>
      <w:r>
        <w:rPr>
          <w:sz w:val="20"/>
          <w:vertAlign w:val="baseline"/>
        </w:rPr>
        <w:t>cooperation, in particular with regard to enforcement responsibilities under Part X of the Rome Statute, including the negotiation and conclusion of Court-wide cooperation agreements with States and the enforcement of sentences of imprisonment and fines.</w:t>
      </w:r>
      <w:r>
        <w:rPr>
          <w:sz w:val="20"/>
          <w:vertAlign w:val="superscript"/>
        </w:rPr>
        <w:t>10</w:t>
      </w:r>
    </w:p>
    <w:p>
      <w:pPr>
        <w:pStyle w:val="ListParagraph"/>
        <w:numPr>
          <w:ilvl w:val="1"/>
          <w:numId w:val="4"/>
        </w:numPr>
        <w:tabs>
          <w:tab w:pos="3686" w:val="left" w:leader="none"/>
          <w:tab w:pos="3687" w:val="left" w:leader="none"/>
        </w:tabs>
        <w:spacing w:line="240" w:lineRule="auto" w:before="119" w:after="0"/>
        <w:ind w:left="2957" w:right="2237" w:firstLine="0"/>
        <w:jc w:val="both"/>
        <w:rPr>
          <w:sz w:val="20"/>
        </w:rPr>
      </w:pPr>
      <w:r>
        <w:rPr>
          <w:sz w:val="20"/>
        </w:rPr>
        <w:t>External relations: to build and maintain relations with States, the Assembly of States Parties (“the Assembly”) and its subsidiary organs, intergovernmental organizations,</w:t>
      </w:r>
      <w:r>
        <w:rPr>
          <w:spacing w:val="-4"/>
          <w:sz w:val="20"/>
        </w:rPr>
        <w:t> </w:t>
      </w:r>
      <w:r>
        <w:rPr>
          <w:sz w:val="20"/>
        </w:rPr>
        <w:t>international and</w:t>
      </w:r>
      <w:r>
        <w:rPr>
          <w:spacing w:val="-2"/>
          <w:sz w:val="20"/>
        </w:rPr>
        <w:t> </w:t>
      </w:r>
      <w:r>
        <w:rPr>
          <w:sz w:val="20"/>
        </w:rPr>
        <w:t>regional courts</w:t>
      </w:r>
      <w:r>
        <w:rPr>
          <w:spacing w:val="-3"/>
          <w:sz w:val="20"/>
        </w:rPr>
        <w:t> </w:t>
      </w:r>
      <w:r>
        <w:rPr>
          <w:sz w:val="20"/>
        </w:rPr>
        <w:t>and</w:t>
      </w:r>
      <w:r>
        <w:rPr>
          <w:spacing w:val="-7"/>
          <w:sz w:val="20"/>
        </w:rPr>
        <w:t> </w:t>
      </w:r>
      <w:r>
        <w:rPr>
          <w:sz w:val="20"/>
        </w:rPr>
        <w:t>civil society in order</w:t>
      </w:r>
      <w:r>
        <w:rPr>
          <w:spacing w:val="-1"/>
          <w:sz w:val="20"/>
        </w:rPr>
        <w:t> </w:t>
      </w:r>
      <w:r>
        <w:rPr>
          <w:sz w:val="20"/>
        </w:rPr>
        <w:t>to</w:t>
      </w:r>
      <w:r>
        <w:rPr>
          <w:spacing w:val="-1"/>
          <w:sz w:val="20"/>
        </w:rPr>
        <w:t> </w:t>
      </w:r>
      <w:r>
        <w:rPr>
          <w:sz w:val="20"/>
        </w:rPr>
        <w:t>enhance cooperation with, awareness of</w:t>
      </w:r>
      <w:r>
        <w:rPr>
          <w:spacing w:val="-1"/>
          <w:sz w:val="20"/>
        </w:rPr>
        <w:t> </w:t>
      </w:r>
      <w:r>
        <w:rPr>
          <w:sz w:val="20"/>
        </w:rPr>
        <w:t>and support for</w:t>
      </w:r>
      <w:r>
        <w:rPr>
          <w:spacing w:val="-1"/>
          <w:sz w:val="20"/>
        </w:rPr>
        <w:t> </w:t>
      </w:r>
      <w:r>
        <w:rPr>
          <w:sz w:val="20"/>
        </w:rPr>
        <w:t>the Court.</w:t>
      </w:r>
      <w:r>
        <w:rPr>
          <w:sz w:val="20"/>
          <w:vertAlign w:val="superscript"/>
        </w:rPr>
        <w:t>11</w:t>
      </w:r>
      <w:r>
        <w:rPr>
          <w:sz w:val="20"/>
          <w:vertAlign w:val="baseline"/>
        </w:rPr>
        <w:t> As the public face of the Court, the President (or the Vice-Presidents, on his or her behalf) engages with senior representatives of such entities and delivers speeches, gives interviews and issues public statements on pertinent issues concerning the Court. The Presidency also leads the inter-organ coordination of Court-wide external relations matters and steers the Court’s efforts to promote the universal ratification of the Rome Statute.</w:t>
      </w:r>
    </w:p>
    <w:p>
      <w:pPr>
        <w:pStyle w:val="ListParagraph"/>
        <w:numPr>
          <w:ilvl w:val="1"/>
          <w:numId w:val="4"/>
        </w:numPr>
        <w:tabs>
          <w:tab w:pos="3686" w:val="left" w:leader="none"/>
          <w:tab w:pos="3687" w:val="left" w:leader="none"/>
        </w:tabs>
        <w:spacing w:line="240" w:lineRule="auto" w:before="120" w:after="0"/>
        <w:ind w:left="2957" w:right="2242" w:firstLine="0"/>
        <w:jc w:val="both"/>
        <w:rPr>
          <w:sz w:val="20"/>
        </w:rPr>
      </w:pPr>
      <w:r>
        <w:rPr>
          <w:sz w:val="20"/>
        </w:rPr>
        <w:t>Administrative: as part of the Presidency’s overall responsibility for the proper administration of the Court (with the exception of the Office of the Prosecutor), to</w:t>
      </w:r>
      <w:r>
        <w:rPr>
          <w:spacing w:val="-2"/>
          <w:sz w:val="20"/>
        </w:rPr>
        <w:t> </w:t>
      </w:r>
      <w:r>
        <w:rPr>
          <w:sz w:val="20"/>
        </w:rPr>
        <w:t>contribute actively to the governance of the Court, under the Presidency’s own strategic leadership; to interact with various oversight bodies on matters</w:t>
      </w:r>
      <w:r>
        <w:rPr>
          <w:spacing w:val="-2"/>
          <w:sz w:val="20"/>
        </w:rPr>
        <w:t> </w:t>
      </w:r>
      <w:r>
        <w:rPr>
          <w:sz w:val="20"/>
        </w:rPr>
        <w:t>related</w:t>
      </w:r>
      <w:r>
        <w:rPr>
          <w:spacing w:val="-5"/>
          <w:sz w:val="20"/>
        </w:rPr>
        <w:t> </w:t>
      </w:r>
      <w:r>
        <w:rPr>
          <w:sz w:val="20"/>
        </w:rPr>
        <w:t>to</w:t>
      </w:r>
      <w:r>
        <w:rPr>
          <w:spacing w:val="-5"/>
          <w:sz w:val="20"/>
        </w:rPr>
        <w:t> </w:t>
      </w:r>
      <w:r>
        <w:rPr>
          <w:sz w:val="20"/>
        </w:rPr>
        <w:t>the</w:t>
      </w:r>
      <w:r>
        <w:rPr>
          <w:spacing w:val="-4"/>
          <w:sz w:val="20"/>
        </w:rPr>
        <w:t> </w:t>
      </w:r>
      <w:r>
        <w:rPr>
          <w:sz w:val="20"/>
        </w:rPr>
        <w:t>supervision</w:t>
      </w:r>
      <w:r>
        <w:rPr>
          <w:spacing w:val="-9"/>
          <w:sz w:val="20"/>
        </w:rPr>
        <w:t> </w:t>
      </w:r>
      <w:r>
        <w:rPr>
          <w:sz w:val="20"/>
        </w:rPr>
        <w:t>of</w:t>
      </w:r>
      <w:r>
        <w:rPr>
          <w:spacing w:val="-5"/>
          <w:sz w:val="20"/>
        </w:rPr>
        <w:t> </w:t>
      </w:r>
      <w:r>
        <w:rPr>
          <w:sz w:val="20"/>
        </w:rPr>
        <w:t>the</w:t>
      </w:r>
      <w:r>
        <w:rPr>
          <w:spacing w:val="-4"/>
          <w:sz w:val="20"/>
        </w:rPr>
        <w:t> </w:t>
      </w:r>
      <w:r>
        <w:rPr>
          <w:sz w:val="20"/>
        </w:rPr>
        <w:t>Court’s</w:t>
      </w:r>
      <w:r>
        <w:rPr>
          <w:spacing w:val="-6"/>
          <w:sz w:val="20"/>
        </w:rPr>
        <w:t> </w:t>
      </w:r>
      <w:r>
        <w:rPr>
          <w:sz w:val="20"/>
        </w:rPr>
        <w:t>administration</w:t>
      </w:r>
      <w:r>
        <w:rPr>
          <w:spacing w:val="-1"/>
          <w:sz w:val="20"/>
        </w:rPr>
        <w:t> </w:t>
      </w:r>
      <w:r>
        <w:rPr>
          <w:sz w:val="20"/>
        </w:rPr>
        <w:t>by</w:t>
      </w:r>
      <w:r>
        <w:rPr>
          <w:spacing w:val="-9"/>
          <w:sz w:val="20"/>
        </w:rPr>
        <w:t> </w:t>
      </w:r>
      <w:r>
        <w:rPr>
          <w:sz w:val="20"/>
        </w:rPr>
        <w:t>the Assembly,</w:t>
      </w:r>
      <w:r>
        <w:rPr>
          <w:spacing w:val="-7"/>
          <w:sz w:val="20"/>
        </w:rPr>
        <w:t> </w:t>
      </w:r>
      <w:r>
        <w:rPr>
          <w:sz w:val="20"/>
        </w:rPr>
        <w:t>as provided by the Rome Statute; to discharge the administrative functions of the Judiciary; and to coordinate on Court-wide matters of common concern, including both external and internal governance matters, budget matters, oversight mechanisms, risk management and strategic planning.</w:t>
      </w:r>
    </w:p>
    <w:p>
      <w:pPr>
        <w:pStyle w:val="BodyText"/>
        <w:spacing w:before="3"/>
        <w:rPr>
          <w:sz w:val="21"/>
        </w:rPr>
      </w:pPr>
    </w:p>
    <w:p>
      <w:pPr>
        <w:spacing w:before="0"/>
        <w:ind w:left="2246" w:right="0" w:firstLine="0"/>
        <w:jc w:val="left"/>
        <w:rPr>
          <w:i/>
          <w:sz w:val="20"/>
        </w:rPr>
      </w:pPr>
      <w:r>
        <w:rPr>
          <w:i/>
          <w:sz w:val="20"/>
        </w:rPr>
        <w:t>Presidency’s</w:t>
      </w:r>
      <w:r>
        <w:rPr>
          <w:i/>
          <w:spacing w:val="-12"/>
          <w:sz w:val="20"/>
        </w:rPr>
        <w:t> </w:t>
      </w:r>
      <w:r>
        <w:rPr>
          <w:i/>
          <w:spacing w:val="-2"/>
          <w:sz w:val="20"/>
        </w:rPr>
        <w:t>objectives</w:t>
      </w:r>
    </w:p>
    <w:p>
      <w:pPr>
        <w:pStyle w:val="BodyText"/>
        <w:spacing w:before="10"/>
        <w:rPr>
          <w:i/>
        </w:rPr>
      </w:pPr>
    </w:p>
    <w:p>
      <w:pPr>
        <w:pStyle w:val="ListParagraph"/>
        <w:numPr>
          <w:ilvl w:val="0"/>
          <w:numId w:val="4"/>
        </w:numPr>
        <w:tabs>
          <w:tab w:pos="2966" w:val="left" w:leader="none"/>
          <w:tab w:pos="2967" w:val="left" w:leader="none"/>
        </w:tabs>
        <w:spacing w:line="240" w:lineRule="auto" w:before="1" w:after="0"/>
        <w:ind w:left="2967" w:right="0" w:hanging="721"/>
        <w:jc w:val="left"/>
        <w:rPr>
          <w:sz w:val="20"/>
        </w:rPr>
      </w:pPr>
      <w:r>
        <w:rPr>
          <w:sz w:val="20"/>
        </w:rPr>
        <w:t>The</w:t>
      </w:r>
      <w:r>
        <w:rPr>
          <w:spacing w:val="-9"/>
          <w:sz w:val="20"/>
        </w:rPr>
        <w:t> </w:t>
      </w:r>
      <w:r>
        <w:rPr>
          <w:sz w:val="20"/>
        </w:rPr>
        <w:t>Presidency’s</w:t>
      </w:r>
      <w:r>
        <w:rPr>
          <w:spacing w:val="-10"/>
          <w:sz w:val="20"/>
        </w:rPr>
        <w:t> </w:t>
      </w:r>
      <w:r>
        <w:rPr>
          <w:sz w:val="20"/>
        </w:rPr>
        <w:t>objectives</w:t>
      </w:r>
      <w:r>
        <w:rPr>
          <w:spacing w:val="-9"/>
          <w:sz w:val="20"/>
        </w:rPr>
        <w:t> </w:t>
      </w:r>
      <w:r>
        <w:rPr>
          <w:spacing w:val="-4"/>
          <w:sz w:val="20"/>
        </w:rPr>
        <w:t>are:</w:t>
      </w:r>
    </w:p>
    <w:p>
      <w:pPr>
        <w:pStyle w:val="ListParagraph"/>
        <w:numPr>
          <w:ilvl w:val="1"/>
          <w:numId w:val="4"/>
        </w:numPr>
        <w:tabs>
          <w:tab w:pos="3686" w:val="left" w:leader="none"/>
          <w:tab w:pos="3687" w:val="left" w:leader="none"/>
        </w:tabs>
        <w:spacing w:line="240" w:lineRule="auto" w:before="115" w:after="0"/>
        <w:ind w:left="2957" w:right="2248" w:firstLine="0"/>
        <w:jc w:val="both"/>
        <w:rPr>
          <w:sz w:val="20"/>
        </w:rPr>
      </w:pPr>
      <w:r>
        <w:rPr>
          <w:sz w:val="20"/>
        </w:rPr>
        <w:t>within its areas of responsibility, to contribute to supporting Chambers in the efficient conduct of pre-trial, trial and appeal proceedings;</w:t>
      </w:r>
    </w:p>
    <w:p>
      <w:pPr>
        <w:pStyle w:val="ListParagraph"/>
        <w:numPr>
          <w:ilvl w:val="1"/>
          <w:numId w:val="4"/>
        </w:numPr>
        <w:tabs>
          <w:tab w:pos="3686" w:val="left" w:leader="none"/>
          <w:tab w:pos="3687" w:val="left" w:leader="none"/>
        </w:tabs>
        <w:spacing w:line="240" w:lineRule="auto" w:before="121" w:after="0"/>
        <w:ind w:left="2957" w:right="2238" w:firstLine="0"/>
        <w:jc w:val="both"/>
        <w:rPr>
          <w:sz w:val="20"/>
        </w:rPr>
      </w:pPr>
      <w:r>
        <w:rPr>
          <w:sz w:val="20"/>
        </w:rPr>
        <w:t>to engage in</w:t>
      </w:r>
      <w:r>
        <w:rPr>
          <w:spacing w:val="-4"/>
          <w:sz w:val="20"/>
        </w:rPr>
        <w:t> </w:t>
      </w:r>
      <w:r>
        <w:rPr>
          <w:sz w:val="20"/>
        </w:rPr>
        <w:t>effective</w:t>
      </w:r>
      <w:r>
        <w:rPr>
          <w:spacing w:val="-2"/>
          <w:sz w:val="20"/>
        </w:rPr>
        <w:t> </w:t>
      </w:r>
      <w:r>
        <w:rPr>
          <w:sz w:val="20"/>
        </w:rPr>
        <w:t>Court-wide efforts on</w:t>
      </w:r>
      <w:r>
        <w:rPr>
          <w:spacing w:val="-4"/>
          <w:sz w:val="20"/>
        </w:rPr>
        <w:t> </w:t>
      </w:r>
      <w:r>
        <w:rPr>
          <w:sz w:val="20"/>
        </w:rPr>
        <w:t>international cooperation and discharge all its responsibilities related to the enforcement of sentences of imprisonment and fines, as provided under Part X of the Rome Statute;</w:t>
      </w:r>
    </w:p>
    <w:p>
      <w:pPr>
        <w:pStyle w:val="ListParagraph"/>
        <w:numPr>
          <w:ilvl w:val="1"/>
          <w:numId w:val="4"/>
        </w:numPr>
        <w:tabs>
          <w:tab w:pos="3686" w:val="left" w:leader="none"/>
          <w:tab w:pos="3687" w:val="left" w:leader="none"/>
        </w:tabs>
        <w:spacing w:line="240" w:lineRule="auto" w:before="122" w:after="0"/>
        <w:ind w:left="2957" w:right="2243" w:firstLine="0"/>
        <w:jc w:val="both"/>
        <w:rPr>
          <w:sz w:val="20"/>
        </w:rPr>
      </w:pPr>
      <w:r>
        <w:rPr>
          <w:sz w:val="20"/>
        </w:rPr>
        <w:t>to</w:t>
      </w:r>
      <w:r>
        <w:rPr>
          <w:spacing w:val="-9"/>
          <w:sz w:val="20"/>
        </w:rPr>
        <w:t> </w:t>
      </w:r>
      <w:r>
        <w:rPr>
          <w:sz w:val="20"/>
        </w:rPr>
        <w:t>advance</w:t>
      </w:r>
      <w:r>
        <w:rPr>
          <w:spacing w:val="-8"/>
          <w:sz w:val="20"/>
        </w:rPr>
        <w:t> </w:t>
      </w:r>
      <w:r>
        <w:rPr>
          <w:sz w:val="20"/>
        </w:rPr>
        <w:t>the</w:t>
      </w:r>
      <w:r>
        <w:rPr>
          <w:spacing w:val="-8"/>
          <w:sz w:val="20"/>
        </w:rPr>
        <w:t> </w:t>
      </w:r>
      <w:r>
        <w:rPr>
          <w:sz w:val="20"/>
        </w:rPr>
        <w:t>review</w:t>
      </w:r>
      <w:r>
        <w:rPr>
          <w:spacing w:val="-11"/>
          <w:sz w:val="20"/>
        </w:rPr>
        <w:t> </w:t>
      </w:r>
      <w:r>
        <w:rPr>
          <w:sz w:val="20"/>
        </w:rPr>
        <w:t>of</w:t>
      </w:r>
      <w:r>
        <w:rPr>
          <w:spacing w:val="-9"/>
          <w:sz w:val="20"/>
        </w:rPr>
        <w:t> </w:t>
      </w:r>
      <w:r>
        <w:rPr>
          <w:sz w:val="20"/>
        </w:rPr>
        <w:t>judicial</w:t>
      </w:r>
      <w:r>
        <w:rPr>
          <w:spacing w:val="-8"/>
          <w:sz w:val="20"/>
        </w:rPr>
        <w:t> </w:t>
      </w:r>
      <w:r>
        <w:rPr>
          <w:sz w:val="20"/>
        </w:rPr>
        <w:t>processes</w:t>
      </w:r>
      <w:r>
        <w:rPr>
          <w:spacing w:val="-7"/>
          <w:sz w:val="20"/>
        </w:rPr>
        <w:t> </w:t>
      </w:r>
      <w:r>
        <w:rPr>
          <w:sz w:val="20"/>
        </w:rPr>
        <w:t>–</w:t>
      </w:r>
      <w:r>
        <w:rPr>
          <w:spacing w:val="-9"/>
          <w:sz w:val="20"/>
        </w:rPr>
        <w:t> </w:t>
      </w:r>
      <w:r>
        <w:rPr>
          <w:sz w:val="20"/>
        </w:rPr>
        <w:t>focusing</w:t>
      </w:r>
      <w:r>
        <w:rPr>
          <w:spacing w:val="-9"/>
          <w:sz w:val="20"/>
        </w:rPr>
        <w:t> </w:t>
      </w:r>
      <w:r>
        <w:rPr>
          <w:sz w:val="20"/>
        </w:rPr>
        <w:t>on</w:t>
      </w:r>
      <w:r>
        <w:rPr>
          <w:spacing w:val="-5"/>
          <w:sz w:val="20"/>
        </w:rPr>
        <w:t> </w:t>
      </w:r>
      <w:r>
        <w:rPr>
          <w:sz w:val="20"/>
        </w:rPr>
        <w:t>procedures</w:t>
      </w:r>
      <w:r>
        <w:rPr>
          <w:spacing w:val="-11"/>
          <w:sz w:val="20"/>
        </w:rPr>
        <w:t> </w:t>
      </w:r>
      <w:r>
        <w:rPr>
          <w:sz w:val="20"/>
        </w:rPr>
        <w:t>in</w:t>
      </w:r>
      <w:r>
        <w:rPr>
          <w:spacing w:val="-9"/>
          <w:sz w:val="20"/>
        </w:rPr>
        <w:t> </w:t>
      </w:r>
      <w:r>
        <w:rPr>
          <w:sz w:val="20"/>
        </w:rPr>
        <w:t>the trial preparation and hearing stages, victim processes and the conclusion of trials and appeals – and consulting States Parties, participants and other stakeholders, as </w:t>
      </w:r>
      <w:r>
        <w:rPr>
          <w:spacing w:val="-2"/>
          <w:sz w:val="20"/>
        </w:rPr>
        <w:t>appropriate;</w:t>
      </w:r>
    </w:p>
    <w:p>
      <w:pPr>
        <w:pStyle w:val="BodyText"/>
      </w:pPr>
    </w:p>
    <w:p>
      <w:pPr>
        <w:pStyle w:val="BodyText"/>
        <w:spacing w:before="11"/>
        <w:rPr>
          <w:sz w:val="13"/>
        </w:rPr>
      </w:pPr>
      <w:r>
        <w:rPr/>
        <w:pict>
          <v:rect style="position:absolute;margin-left:113.330002pt;margin-top:9.228877pt;width:144.050pt;height:.47998pt;mso-position-horizontal-relative:page;mso-position-vertical-relative:paragraph;z-index:-15724544;mso-wrap-distance-left:0;mso-wrap-distance-right:0" id="docshape46" filled="true" fillcolor="#000000" stroked="false">
            <v:fill type="solid"/>
            <w10:wrap type="topAndBottom"/>
          </v:rect>
        </w:pict>
      </w:r>
    </w:p>
    <w:p>
      <w:pPr>
        <w:spacing w:line="240" w:lineRule="auto" w:before="86"/>
        <w:ind w:left="2246" w:right="2246" w:firstLine="0"/>
        <w:jc w:val="both"/>
        <w:rPr>
          <w:sz w:val="16"/>
        </w:rPr>
      </w:pPr>
      <w:r>
        <w:rPr>
          <w:position w:val="5"/>
          <w:sz w:val="10"/>
        </w:rPr>
        <w:t>9</w:t>
      </w:r>
      <w:r>
        <w:rPr>
          <w:spacing w:val="22"/>
          <w:position w:val="5"/>
          <w:sz w:val="10"/>
        </w:rPr>
        <w:t> </w:t>
      </w:r>
      <w:r>
        <w:rPr>
          <w:sz w:val="16"/>
        </w:rPr>
        <w:t>In line with Strategic Goal 1 of the Court-wide Strategic Plan for 2023-2025: “Increase the expeditiousness and</w:t>
      </w:r>
      <w:r>
        <w:rPr>
          <w:spacing w:val="40"/>
          <w:sz w:val="16"/>
        </w:rPr>
        <w:t> </w:t>
      </w:r>
      <w:r>
        <w:rPr>
          <w:sz w:val="16"/>
        </w:rPr>
        <w:t>efficiency of the Court’s core activities of preliminary examinations, investigations, trials and reparations, while</w:t>
      </w:r>
      <w:r>
        <w:rPr>
          <w:spacing w:val="40"/>
          <w:sz w:val="16"/>
        </w:rPr>
        <w:t> </w:t>
      </w:r>
      <w:r>
        <w:rPr>
          <w:sz w:val="16"/>
        </w:rPr>
        <w:t>preserving the</w:t>
      </w:r>
      <w:r>
        <w:rPr>
          <w:spacing w:val="-1"/>
          <w:sz w:val="16"/>
        </w:rPr>
        <w:t> </w:t>
      </w:r>
      <w:r>
        <w:rPr>
          <w:sz w:val="16"/>
        </w:rPr>
        <w:t>independence,</w:t>
      </w:r>
      <w:r>
        <w:rPr>
          <w:spacing w:val="-3"/>
          <w:sz w:val="16"/>
        </w:rPr>
        <w:t> </w:t>
      </w:r>
      <w:r>
        <w:rPr>
          <w:sz w:val="16"/>
        </w:rPr>
        <w:t>fairness</w:t>
      </w:r>
      <w:r>
        <w:rPr>
          <w:spacing w:val="-2"/>
          <w:sz w:val="16"/>
        </w:rPr>
        <w:t> </w:t>
      </w:r>
      <w:r>
        <w:rPr>
          <w:sz w:val="16"/>
        </w:rPr>
        <w:t>and highest</w:t>
      </w:r>
      <w:r>
        <w:rPr>
          <w:spacing w:val="-3"/>
          <w:sz w:val="16"/>
        </w:rPr>
        <w:t> </w:t>
      </w:r>
      <w:r>
        <w:rPr>
          <w:sz w:val="16"/>
        </w:rPr>
        <w:t>legal</w:t>
      </w:r>
      <w:r>
        <w:rPr>
          <w:spacing w:val="-3"/>
          <w:sz w:val="16"/>
        </w:rPr>
        <w:t> </w:t>
      </w:r>
      <w:r>
        <w:rPr>
          <w:sz w:val="16"/>
        </w:rPr>
        <w:t>standards</w:t>
      </w:r>
      <w:r>
        <w:rPr>
          <w:spacing w:val="-2"/>
          <w:sz w:val="16"/>
        </w:rPr>
        <w:t> </w:t>
      </w:r>
      <w:r>
        <w:rPr>
          <w:sz w:val="16"/>
        </w:rPr>
        <w:t>and quality of</w:t>
      </w:r>
      <w:r>
        <w:rPr>
          <w:spacing w:val="-2"/>
          <w:sz w:val="16"/>
        </w:rPr>
        <w:t> </w:t>
      </w:r>
      <w:r>
        <w:rPr>
          <w:sz w:val="16"/>
        </w:rPr>
        <w:t>its proceedings,</w:t>
      </w:r>
      <w:r>
        <w:rPr>
          <w:spacing w:val="-3"/>
          <w:sz w:val="16"/>
        </w:rPr>
        <w:t> </w:t>
      </w:r>
      <w:r>
        <w:rPr>
          <w:sz w:val="16"/>
        </w:rPr>
        <w:t>and protecting the</w:t>
      </w:r>
      <w:r>
        <w:rPr>
          <w:spacing w:val="40"/>
          <w:sz w:val="16"/>
        </w:rPr>
        <w:t> </w:t>
      </w:r>
      <w:r>
        <w:rPr>
          <w:sz w:val="16"/>
        </w:rPr>
        <w:t>safety and well-being of the persons involved, in particular victims and witnesses”.</w:t>
      </w:r>
    </w:p>
    <w:p>
      <w:pPr>
        <w:spacing w:line="240" w:lineRule="auto" w:before="0"/>
        <w:ind w:left="2246" w:right="2245" w:firstLine="0"/>
        <w:jc w:val="both"/>
        <w:rPr>
          <w:sz w:val="16"/>
        </w:rPr>
      </w:pPr>
      <w:r>
        <w:rPr>
          <w:position w:val="5"/>
          <w:sz w:val="10"/>
        </w:rPr>
        <w:t>10</w:t>
      </w:r>
      <w:r>
        <w:rPr>
          <w:spacing w:val="-1"/>
          <w:position w:val="5"/>
          <w:sz w:val="10"/>
        </w:rPr>
        <w:t> </w:t>
      </w:r>
      <w:r>
        <w:rPr>
          <w:sz w:val="16"/>
        </w:rPr>
        <w:t>In</w:t>
      </w:r>
      <w:r>
        <w:rPr>
          <w:spacing w:val="-3"/>
          <w:sz w:val="16"/>
        </w:rPr>
        <w:t> </w:t>
      </w:r>
      <w:r>
        <w:rPr>
          <w:sz w:val="16"/>
        </w:rPr>
        <w:t>line</w:t>
      </w:r>
      <w:r>
        <w:rPr>
          <w:spacing w:val="-4"/>
          <w:sz w:val="16"/>
        </w:rPr>
        <w:t> </w:t>
      </w:r>
      <w:r>
        <w:rPr>
          <w:sz w:val="16"/>
        </w:rPr>
        <w:t>with</w:t>
      </w:r>
      <w:r>
        <w:rPr>
          <w:spacing w:val="-2"/>
          <w:sz w:val="16"/>
        </w:rPr>
        <w:t> </w:t>
      </w:r>
      <w:r>
        <w:rPr>
          <w:sz w:val="16"/>
        </w:rPr>
        <w:t>Strategic</w:t>
      </w:r>
      <w:r>
        <w:rPr>
          <w:spacing w:val="-4"/>
          <w:sz w:val="16"/>
        </w:rPr>
        <w:t> </w:t>
      </w:r>
      <w:r>
        <w:rPr>
          <w:sz w:val="16"/>
        </w:rPr>
        <w:t>Goal</w:t>
      </w:r>
      <w:r>
        <w:rPr>
          <w:spacing w:val="-6"/>
          <w:sz w:val="16"/>
        </w:rPr>
        <w:t> </w:t>
      </w:r>
      <w:r>
        <w:rPr>
          <w:sz w:val="16"/>
        </w:rPr>
        <w:t>4</w:t>
      </w:r>
      <w:r>
        <w:rPr>
          <w:spacing w:val="-3"/>
          <w:sz w:val="16"/>
        </w:rPr>
        <w:t> </w:t>
      </w:r>
      <w:r>
        <w:rPr>
          <w:sz w:val="16"/>
        </w:rPr>
        <w:t>of</w:t>
      </w:r>
      <w:r>
        <w:rPr>
          <w:spacing w:val="-5"/>
          <w:sz w:val="16"/>
        </w:rPr>
        <w:t> </w:t>
      </w:r>
      <w:r>
        <w:rPr>
          <w:sz w:val="16"/>
        </w:rPr>
        <w:t>the</w:t>
      </w:r>
      <w:r>
        <w:rPr>
          <w:spacing w:val="-4"/>
          <w:sz w:val="16"/>
        </w:rPr>
        <w:t> </w:t>
      </w:r>
      <w:r>
        <w:rPr>
          <w:sz w:val="16"/>
        </w:rPr>
        <w:t>Court-wide</w:t>
      </w:r>
      <w:r>
        <w:rPr>
          <w:spacing w:val="-4"/>
          <w:sz w:val="16"/>
        </w:rPr>
        <w:t> </w:t>
      </w:r>
      <w:r>
        <w:rPr>
          <w:sz w:val="16"/>
        </w:rPr>
        <w:t>Strategic</w:t>
      </w:r>
      <w:r>
        <w:rPr>
          <w:spacing w:val="-4"/>
          <w:sz w:val="16"/>
        </w:rPr>
        <w:t> </w:t>
      </w:r>
      <w:r>
        <w:rPr>
          <w:sz w:val="16"/>
        </w:rPr>
        <w:t>Plan</w:t>
      </w:r>
      <w:r>
        <w:rPr>
          <w:spacing w:val="-3"/>
          <w:sz w:val="16"/>
        </w:rPr>
        <w:t> </w:t>
      </w:r>
      <w:r>
        <w:rPr>
          <w:sz w:val="16"/>
        </w:rPr>
        <w:t>for</w:t>
      </w:r>
      <w:r>
        <w:rPr>
          <w:spacing w:val="-5"/>
          <w:sz w:val="16"/>
        </w:rPr>
        <w:t> </w:t>
      </w:r>
      <w:r>
        <w:rPr>
          <w:sz w:val="16"/>
        </w:rPr>
        <w:t>2023-2025:</w:t>
      </w:r>
      <w:r>
        <w:rPr>
          <w:spacing w:val="-6"/>
          <w:sz w:val="16"/>
        </w:rPr>
        <w:t> </w:t>
      </w:r>
      <w:r>
        <w:rPr>
          <w:sz w:val="16"/>
        </w:rPr>
        <w:t>“Further</w:t>
      </w:r>
      <w:r>
        <w:rPr>
          <w:spacing w:val="-5"/>
          <w:sz w:val="16"/>
        </w:rPr>
        <w:t> </w:t>
      </w:r>
      <w:r>
        <w:rPr>
          <w:sz w:val="16"/>
        </w:rPr>
        <w:t>foster</w:t>
      </w:r>
      <w:r>
        <w:rPr>
          <w:spacing w:val="-5"/>
          <w:sz w:val="16"/>
        </w:rPr>
        <w:t> </w:t>
      </w:r>
      <w:r>
        <w:rPr>
          <w:sz w:val="16"/>
        </w:rPr>
        <w:t>political</w:t>
      </w:r>
      <w:r>
        <w:rPr>
          <w:spacing w:val="-6"/>
          <w:sz w:val="16"/>
        </w:rPr>
        <w:t> </w:t>
      </w:r>
      <w:r>
        <w:rPr>
          <w:sz w:val="16"/>
        </w:rPr>
        <w:t>support</w:t>
      </w:r>
      <w:r>
        <w:rPr>
          <w:spacing w:val="-6"/>
          <w:sz w:val="16"/>
        </w:rPr>
        <w:t> </w:t>
      </w:r>
      <w:r>
        <w:rPr>
          <w:sz w:val="16"/>
        </w:rPr>
        <w:t>and</w:t>
      </w:r>
      <w:r>
        <w:rPr>
          <w:spacing w:val="40"/>
          <w:sz w:val="16"/>
        </w:rPr>
        <w:t> </w:t>
      </w:r>
      <w:r>
        <w:rPr>
          <w:sz w:val="16"/>
        </w:rPr>
        <w:t>develop the modalities of cooperation and operational support for all parties as regards preliminary examinations,</w:t>
      </w:r>
      <w:r>
        <w:rPr>
          <w:spacing w:val="40"/>
          <w:sz w:val="16"/>
        </w:rPr>
        <w:t> </w:t>
      </w:r>
      <w:r>
        <w:rPr>
          <w:sz w:val="16"/>
        </w:rPr>
        <w:t>investigations, protection of witnesses, implementation of arrest warrants and judicial proceedings”.</w:t>
      </w:r>
    </w:p>
    <w:p>
      <w:pPr>
        <w:spacing w:line="240" w:lineRule="auto" w:before="0"/>
        <w:ind w:left="2246" w:right="2239" w:firstLine="0"/>
        <w:jc w:val="both"/>
        <w:rPr>
          <w:sz w:val="16"/>
        </w:rPr>
      </w:pPr>
      <w:r>
        <w:rPr>
          <w:position w:val="5"/>
          <w:sz w:val="10"/>
        </w:rPr>
        <w:t>11</w:t>
      </w:r>
      <w:r>
        <w:rPr>
          <w:spacing w:val="23"/>
          <w:position w:val="5"/>
          <w:sz w:val="10"/>
        </w:rPr>
        <w:t> </w:t>
      </w:r>
      <w:r>
        <w:rPr>
          <w:sz w:val="16"/>
        </w:rPr>
        <w:t>In line with Strategic Goal 4 (see above) and Strategic Goal 5 of the Court-wide Strategic Plan for 2023-2025:</w:t>
      </w:r>
      <w:r>
        <w:rPr>
          <w:spacing w:val="40"/>
          <w:sz w:val="16"/>
        </w:rPr>
        <w:t> </w:t>
      </w:r>
      <w:r>
        <w:rPr>
          <w:sz w:val="16"/>
        </w:rPr>
        <w:t>“Discuss and devise with States and other stakeholders new strategies to increase the ability of the Rome Statute</w:t>
      </w:r>
      <w:r>
        <w:rPr>
          <w:spacing w:val="40"/>
          <w:sz w:val="16"/>
        </w:rPr>
        <w:t> </w:t>
      </w:r>
      <w:r>
        <w:rPr>
          <w:sz w:val="16"/>
        </w:rPr>
        <w:t>System to address the shared responsibility to close the impunity gap, including through encouraging domestic</w:t>
      </w:r>
      <w:r>
        <w:rPr>
          <w:spacing w:val="40"/>
          <w:sz w:val="16"/>
        </w:rPr>
        <w:t> </w:t>
      </w:r>
      <w:r>
        <w:rPr>
          <w:sz w:val="16"/>
        </w:rPr>
        <w:t>implementation of</w:t>
      </w:r>
      <w:r>
        <w:rPr>
          <w:spacing w:val="-2"/>
          <w:sz w:val="16"/>
        </w:rPr>
        <w:t> </w:t>
      </w:r>
      <w:r>
        <w:rPr>
          <w:sz w:val="16"/>
        </w:rPr>
        <w:t>the</w:t>
      </w:r>
      <w:r>
        <w:rPr>
          <w:spacing w:val="-1"/>
          <w:sz w:val="16"/>
        </w:rPr>
        <w:t> </w:t>
      </w:r>
      <w:r>
        <w:rPr>
          <w:sz w:val="16"/>
        </w:rPr>
        <w:t>Rome</w:t>
      </w:r>
      <w:r>
        <w:rPr>
          <w:spacing w:val="-1"/>
          <w:sz w:val="16"/>
        </w:rPr>
        <w:t> </w:t>
      </w:r>
      <w:r>
        <w:rPr>
          <w:sz w:val="16"/>
        </w:rPr>
        <w:t>Statute</w:t>
      </w:r>
      <w:r>
        <w:rPr>
          <w:spacing w:val="-1"/>
          <w:sz w:val="16"/>
        </w:rPr>
        <w:t> </w:t>
      </w:r>
      <w:r>
        <w:rPr>
          <w:sz w:val="16"/>
        </w:rPr>
        <w:t>and other</w:t>
      </w:r>
      <w:r>
        <w:rPr>
          <w:spacing w:val="-2"/>
          <w:sz w:val="16"/>
        </w:rPr>
        <w:t> </w:t>
      </w:r>
      <w:r>
        <w:rPr>
          <w:sz w:val="16"/>
        </w:rPr>
        <w:t>measures</w:t>
      </w:r>
      <w:r>
        <w:rPr>
          <w:spacing w:val="-2"/>
          <w:sz w:val="16"/>
        </w:rPr>
        <w:t> </w:t>
      </w:r>
      <w:r>
        <w:rPr>
          <w:sz w:val="16"/>
        </w:rPr>
        <w:t>of</w:t>
      </w:r>
      <w:r>
        <w:rPr>
          <w:spacing w:val="-2"/>
          <w:sz w:val="16"/>
        </w:rPr>
        <w:t> </w:t>
      </w:r>
      <w:r>
        <w:rPr>
          <w:sz w:val="16"/>
        </w:rPr>
        <w:t>complementarity by States Parties</w:t>
      </w:r>
      <w:r>
        <w:rPr>
          <w:spacing w:val="-2"/>
          <w:sz w:val="16"/>
        </w:rPr>
        <w:t> </w:t>
      </w:r>
      <w:r>
        <w:rPr>
          <w:sz w:val="16"/>
        </w:rPr>
        <w:t>(including providing</w:t>
      </w:r>
      <w:r>
        <w:rPr>
          <w:spacing w:val="40"/>
          <w:sz w:val="16"/>
        </w:rPr>
        <w:t> </w:t>
      </w:r>
      <w:r>
        <w:rPr>
          <w:sz w:val="16"/>
        </w:rPr>
        <w:t>support and assistance to victims)”.</w:t>
      </w:r>
    </w:p>
    <w:p>
      <w:pPr>
        <w:spacing w:after="0" w:line="240" w:lineRule="auto"/>
        <w:jc w:val="both"/>
        <w:rPr>
          <w:sz w:val="16"/>
        </w:rPr>
        <w:sectPr>
          <w:pgSz w:w="11910" w:h="16840"/>
          <w:pgMar w:header="953" w:footer="940" w:top="1140" w:bottom="1140" w:left="20" w:right="20"/>
        </w:sectPr>
      </w:pPr>
    </w:p>
    <w:p>
      <w:pPr>
        <w:pStyle w:val="ListParagraph"/>
        <w:numPr>
          <w:ilvl w:val="1"/>
          <w:numId w:val="4"/>
        </w:numPr>
        <w:tabs>
          <w:tab w:pos="3686" w:val="left" w:leader="none"/>
          <w:tab w:pos="3687" w:val="left" w:leader="none"/>
        </w:tabs>
        <w:spacing w:line="240" w:lineRule="auto" w:before="120" w:after="0"/>
        <w:ind w:left="2957" w:right="2250" w:firstLine="0"/>
        <w:jc w:val="both"/>
        <w:rPr>
          <w:sz w:val="20"/>
        </w:rPr>
      </w:pPr>
      <w:r>
        <w:rPr>
          <w:sz w:val="20"/>
        </w:rPr>
        <w:t>together with the other organs, to further improve dialogue between the Court, the Assembly and its subsidiary bodies;</w:t>
      </w:r>
    </w:p>
    <w:p>
      <w:pPr>
        <w:pStyle w:val="ListParagraph"/>
        <w:numPr>
          <w:ilvl w:val="1"/>
          <w:numId w:val="4"/>
        </w:numPr>
        <w:tabs>
          <w:tab w:pos="3686" w:val="left" w:leader="none"/>
          <w:tab w:pos="3687" w:val="left" w:leader="none"/>
        </w:tabs>
        <w:spacing w:line="240" w:lineRule="auto" w:before="121" w:after="0"/>
        <w:ind w:left="2957" w:right="2236" w:firstLine="0"/>
        <w:jc w:val="both"/>
        <w:rPr>
          <w:sz w:val="20"/>
        </w:rPr>
      </w:pPr>
      <w:r>
        <w:rPr>
          <w:sz w:val="20"/>
        </w:rPr>
        <w:t>to build trust in the Court among States, international and regional organizations, NGOs and other key partners and stakeholders; to encourage effective cooperation with the Court; to use all opportunities to highlight and underscore to non-States Parties the benefits of joining the Court; and to conclude relevant agreements with States;</w:t>
      </w:r>
    </w:p>
    <w:p>
      <w:pPr>
        <w:pStyle w:val="ListParagraph"/>
        <w:numPr>
          <w:ilvl w:val="1"/>
          <w:numId w:val="4"/>
        </w:numPr>
        <w:tabs>
          <w:tab w:pos="3686" w:val="left" w:leader="none"/>
          <w:tab w:pos="3687" w:val="left" w:leader="none"/>
        </w:tabs>
        <w:spacing w:line="240" w:lineRule="auto" w:before="123" w:after="0"/>
        <w:ind w:left="2957" w:right="2242" w:firstLine="0"/>
        <w:jc w:val="both"/>
        <w:rPr>
          <w:sz w:val="20"/>
        </w:rPr>
      </w:pPr>
      <w:r>
        <w:rPr>
          <w:sz w:val="20"/>
        </w:rPr>
        <w:t>to ensure effective resource management, including by identifying and implementing further efficiency measures and improving the management of staff performance; and to operate in line with appropriate performance indicators for judicial processes and relevant judicial support;</w:t>
      </w:r>
    </w:p>
    <w:p>
      <w:pPr>
        <w:pStyle w:val="ListParagraph"/>
        <w:numPr>
          <w:ilvl w:val="1"/>
          <w:numId w:val="4"/>
        </w:numPr>
        <w:tabs>
          <w:tab w:pos="3686" w:val="left" w:leader="none"/>
          <w:tab w:pos="3687" w:val="left" w:leader="none"/>
        </w:tabs>
        <w:spacing w:line="240" w:lineRule="auto" w:before="117" w:after="0"/>
        <w:ind w:left="3687" w:right="0" w:hanging="730"/>
        <w:jc w:val="both"/>
        <w:rPr>
          <w:sz w:val="20"/>
        </w:rPr>
      </w:pPr>
      <w:r>
        <w:rPr>
          <w:spacing w:val="-6"/>
          <w:sz w:val="20"/>
        </w:rPr>
        <w:t>to</w:t>
      </w:r>
      <w:r>
        <w:rPr>
          <w:sz w:val="20"/>
        </w:rPr>
        <w:t> </w:t>
      </w:r>
      <w:r>
        <w:rPr>
          <w:spacing w:val="-6"/>
          <w:sz w:val="20"/>
        </w:rPr>
        <w:t>further</w:t>
      </w:r>
      <w:r>
        <w:rPr>
          <w:spacing w:val="2"/>
          <w:sz w:val="20"/>
        </w:rPr>
        <w:t> </w:t>
      </w:r>
      <w:r>
        <w:rPr>
          <w:spacing w:val="-6"/>
          <w:sz w:val="20"/>
        </w:rPr>
        <w:t>improve</w:t>
      </w:r>
      <w:r>
        <w:rPr>
          <w:spacing w:val="-2"/>
          <w:sz w:val="20"/>
        </w:rPr>
        <w:t> </w:t>
      </w:r>
      <w:r>
        <w:rPr>
          <w:spacing w:val="-6"/>
          <w:sz w:val="20"/>
        </w:rPr>
        <w:t>the</w:t>
      </w:r>
      <w:r>
        <w:rPr>
          <w:spacing w:val="3"/>
          <w:sz w:val="20"/>
        </w:rPr>
        <w:t> </w:t>
      </w:r>
      <w:r>
        <w:rPr>
          <w:spacing w:val="-6"/>
          <w:sz w:val="20"/>
        </w:rPr>
        <w:t>Court’s</w:t>
      </w:r>
      <w:r>
        <w:rPr>
          <w:sz w:val="20"/>
        </w:rPr>
        <w:t> </w:t>
      </w:r>
      <w:r>
        <w:rPr>
          <w:spacing w:val="-6"/>
          <w:sz w:val="20"/>
        </w:rPr>
        <w:t>budget</w:t>
      </w:r>
      <w:r>
        <w:rPr>
          <w:spacing w:val="3"/>
          <w:sz w:val="20"/>
        </w:rPr>
        <w:t> </w:t>
      </w:r>
      <w:r>
        <w:rPr>
          <w:spacing w:val="-6"/>
          <w:sz w:val="20"/>
        </w:rPr>
        <w:t>processes</w:t>
      </w:r>
      <w:r>
        <w:rPr>
          <w:sz w:val="20"/>
        </w:rPr>
        <w:t> </w:t>
      </w:r>
      <w:r>
        <w:rPr>
          <w:spacing w:val="-6"/>
          <w:sz w:val="20"/>
        </w:rPr>
        <w:t>as</w:t>
      </w:r>
      <w:r>
        <w:rPr>
          <w:spacing w:val="-7"/>
          <w:sz w:val="20"/>
        </w:rPr>
        <w:t> </w:t>
      </w:r>
      <w:r>
        <w:rPr>
          <w:spacing w:val="-6"/>
          <w:sz w:val="20"/>
        </w:rPr>
        <w:t>part</w:t>
      </w:r>
      <w:r>
        <w:rPr>
          <w:spacing w:val="-2"/>
          <w:sz w:val="20"/>
        </w:rPr>
        <w:t> </w:t>
      </w:r>
      <w:r>
        <w:rPr>
          <w:spacing w:val="-6"/>
          <w:sz w:val="20"/>
        </w:rPr>
        <w:t>of</w:t>
      </w:r>
      <w:r>
        <w:rPr>
          <w:spacing w:val="-4"/>
          <w:sz w:val="20"/>
        </w:rPr>
        <w:t> </w:t>
      </w:r>
      <w:r>
        <w:rPr>
          <w:spacing w:val="-6"/>
          <w:sz w:val="20"/>
        </w:rPr>
        <w:t>a</w:t>
      </w:r>
      <w:r>
        <w:rPr>
          <w:spacing w:val="-2"/>
          <w:sz w:val="20"/>
        </w:rPr>
        <w:t> </w:t>
      </w:r>
      <w:r>
        <w:rPr>
          <w:spacing w:val="-6"/>
          <w:sz w:val="20"/>
        </w:rPr>
        <w:t>Court-wide</w:t>
      </w:r>
      <w:r>
        <w:rPr>
          <w:spacing w:val="-1"/>
          <w:sz w:val="20"/>
        </w:rPr>
        <w:t> </w:t>
      </w:r>
      <w:r>
        <w:rPr>
          <w:spacing w:val="-6"/>
          <w:sz w:val="20"/>
        </w:rPr>
        <w:t>effort;</w:t>
      </w:r>
    </w:p>
    <w:p>
      <w:pPr>
        <w:pStyle w:val="ListParagraph"/>
        <w:numPr>
          <w:ilvl w:val="1"/>
          <w:numId w:val="4"/>
        </w:numPr>
        <w:tabs>
          <w:tab w:pos="3686" w:val="left" w:leader="none"/>
          <w:tab w:pos="3687" w:val="left" w:leader="none"/>
        </w:tabs>
        <w:spacing w:line="240" w:lineRule="auto" w:before="120" w:after="0"/>
        <w:ind w:left="3687" w:right="0" w:hanging="730"/>
        <w:jc w:val="both"/>
        <w:rPr>
          <w:sz w:val="20"/>
        </w:rPr>
      </w:pPr>
      <w:r>
        <w:rPr>
          <w:sz w:val="20"/>
        </w:rPr>
        <w:t>to</w:t>
      </w:r>
      <w:r>
        <w:rPr>
          <w:spacing w:val="-9"/>
          <w:sz w:val="20"/>
        </w:rPr>
        <w:t> </w:t>
      </w:r>
      <w:r>
        <w:rPr>
          <w:sz w:val="20"/>
        </w:rPr>
        <w:t>ensure</w:t>
      </w:r>
      <w:r>
        <w:rPr>
          <w:spacing w:val="-9"/>
          <w:sz w:val="20"/>
        </w:rPr>
        <w:t> </w:t>
      </w:r>
      <w:r>
        <w:rPr>
          <w:sz w:val="20"/>
        </w:rPr>
        <w:t>effective</w:t>
      </w:r>
      <w:r>
        <w:rPr>
          <w:spacing w:val="-4"/>
          <w:sz w:val="20"/>
        </w:rPr>
        <w:t> </w:t>
      </w:r>
      <w:r>
        <w:rPr>
          <w:sz w:val="20"/>
        </w:rPr>
        <w:t>risk</w:t>
      </w:r>
      <w:r>
        <w:rPr>
          <w:spacing w:val="-10"/>
          <w:sz w:val="20"/>
        </w:rPr>
        <w:t> </w:t>
      </w:r>
      <w:r>
        <w:rPr>
          <w:sz w:val="20"/>
        </w:rPr>
        <w:t>management;</w:t>
      </w:r>
      <w:r>
        <w:rPr>
          <w:spacing w:val="-4"/>
          <w:sz w:val="20"/>
        </w:rPr>
        <w:t> </w:t>
      </w:r>
      <w:r>
        <w:rPr>
          <w:spacing w:val="-5"/>
          <w:sz w:val="20"/>
        </w:rPr>
        <w:t>and</w:t>
      </w:r>
    </w:p>
    <w:p>
      <w:pPr>
        <w:pStyle w:val="ListParagraph"/>
        <w:numPr>
          <w:ilvl w:val="1"/>
          <w:numId w:val="4"/>
        </w:numPr>
        <w:tabs>
          <w:tab w:pos="3686" w:val="left" w:leader="none"/>
          <w:tab w:pos="3687" w:val="left" w:leader="none"/>
        </w:tabs>
        <w:spacing w:line="240" w:lineRule="auto" w:before="121" w:after="0"/>
        <w:ind w:left="2957" w:right="2237" w:firstLine="0"/>
        <w:jc w:val="both"/>
        <w:rPr>
          <w:sz w:val="20"/>
        </w:rPr>
      </w:pPr>
      <w:r>
        <w:rPr>
          <w:sz w:val="20"/>
        </w:rPr>
        <w:t>to</w:t>
      </w:r>
      <w:r>
        <w:rPr>
          <w:spacing w:val="-6"/>
          <w:sz w:val="20"/>
        </w:rPr>
        <w:t> </w:t>
      </w:r>
      <w:r>
        <w:rPr>
          <w:sz w:val="20"/>
        </w:rPr>
        <w:t>fully</w:t>
      </w:r>
      <w:r>
        <w:rPr>
          <w:spacing w:val="-9"/>
          <w:sz w:val="20"/>
        </w:rPr>
        <w:t> </w:t>
      </w:r>
      <w:r>
        <w:rPr>
          <w:sz w:val="20"/>
        </w:rPr>
        <w:t>integrate</w:t>
      </w:r>
      <w:r>
        <w:rPr>
          <w:spacing w:val="-9"/>
          <w:sz w:val="20"/>
        </w:rPr>
        <w:t> </w:t>
      </w:r>
      <w:r>
        <w:rPr>
          <w:sz w:val="20"/>
        </w:rPr>
        <w:t>the</w:t>
      </w:r>
      <w:r>
        <w:rPr>
          <w:spacing w:val="-9"/>
          <w:sz w:val="20"/>
        </w:rPr>
        <w:t> </w:t>
      </w:r>
      <w:r>
        <w:rPr>
          <w:sz w:val="20"/>
        </w:rPr>
        <w:t>relevant</w:t>
      </w:r>
      <w:r>
        <w:rPr>
          <w:spacing w:val="-9"/>
          <w:sz w:val="20"/>
        </w:rPr>
        <w:t> </w:t>
      </w:r>
      <w:r>
        <w:rPr>
          <w:sz w:val="20"/>
        </w:rPr>
        <w:t>strategic</w:t>
      </w:r>
      <w:r>
        <w:rPr>
          <w:spacing w:val="-4"/>
          <w:sz w:val="20"/>
        </w:rPr>
        <w:t> </w:t>
      </w:r>
      <w:r>
        <w:rPr>
          <w:sz w:val="20"/>
        </w:rPr>
        <w:t>goals</w:t>
      </w:r>
      <w:r>
        <w:rPr>
          <w:spacing w:val="-7"/>
          <w:sz w:val="20"/>
        </w:rPr>
        <w:t> </w:t>
      </w:r>
      <w:r>
        <w:rPr>
          <w:sz w:val="20"/>
        </w:rPr>
        <w:t>from</w:t>
      </w:r>
      <w:r>
        <w:rPr>
          <w:spacing w:val="-9"/>
          <w:sz w:val="20"/>
        </w:rPr>
        <w:t> </w:t>
      </w:r>
      <w:r>
        <w:rPr>
          <w:sz w:val="20"/>
        </w:rPr>
        <w:t>the</w:t>
      </w:r>
      <w:r>
        <w:rPr>
          <w:spacing w:val="-4"/>
          <w:sz w:val="20"/>
        </w:rPr>
        <w:t> </w:t>
      </w:r>
      <w:r>
        <w:rPr>
          <w:sz w:val="20"/>
        </w:rPr>
        <w:t>Court-wide</w:t>
      </w:r>
      <w:r>
        <w:rPr>
          <w:spacing w:val="-9"/>
          <w:sz w:val="20"/>
        </w:rPr>
        <w:t> </w:t>
      </w:r>
      <w:r>
        <w:rPr>
          <w:sz w:val="20"/>
        </w:rPr>
        <w:t>Strategic Plan for 2023-2025 into the functioning of the Presidency, in particular goals 1, 4 and 5 on cooperation and complementarity and goals 6 to 9 on organizational </w:t>
      </w:r>
      <w:r>
        <w:rPr>
          <w:spacing w:val="-2"/>
          <w:sz w:val="20"/>
        </w:rPr>
        <w:t>performance.</w:t>
      </w:r>
    </w:p>
    <w:p>
      <w:pPr>
        <w:pStyle w:val="BodyText"/>
        <w:rPr>
          <w:sz w:val="21"/>
        </w:rPr>
      </w:pPr>
    </w:p>
    <w:p>
      <w:pPr>
        <w:spacing w:before="1"/>
        <w:ind w:left="2246" w:right="0" w:firstLine="0"/>
        <w:jc w:val="left"/>
        <w:rPr>
          <w:i/>
          <w:sz w:val="20"/>
        </w:rPr>
      </w:pPr>
      <w:r>
        <w:rPr>
          <w:i/>
          <w:sz w:val="20"/>
        </w:rPr>
        <w:t>Judicial</w:t>
      </w:r>
      <w:r>
        <w:rPr>
          <w:i/>
          <w:spacing w:val="-6"/>
          <w:sz w:val="20"/>
        </w:rPr>
        <w:t> </w:t>
      </w:r>
      <w:r>
        <w:rPr>
          <w:i/>
          <w:sz w:val="20"/>
        </w:rPr>
        <w:t>priorities</w:t>
      </w:r>
      <w:r>
        <w:rPr>
          <w:i/>
          <w:spacing w:val="-2"/>
          <w:sz w:val="20"/>
        </w:rPr>
        <w:t> </w:t>
      </w:r>
      <w:r>
        <w:rPr>
          <w:i/>
          <w:sz w:val="20"/>
        </w:rPr>
        <w:t>–</w:t>
      </w:r>
      <w:r>
        <w:rPr>
          <w:i/>
          <w:spacing w:val="-7"/>
          <w:sz w:val="20"/>
        </w:rPr>
        <w:t> </w:t>
      </w:r>
      <w:r>
        <w:rPr>
          <w:i/>
          <w:sz w:val="20"/>
        </w:rPr>
        <w:t>cooperation</w:t>
      </w:r>
      <w:r>
        <w:rPr>
          <w:i/>
          <w:spacing w:val="-7"/>
          <w:sz w:val="20"/>
        </w:rPr>
        <w:t> </w:t>
      </w:r>
      <w:r>
        <w:rPr>
          <w:i/>
          <w:sz w:val="20"/>
        </w:rPr>
        <w:t>and</w:t>
      </w:r>
      <w:r>
        <w:rPr>
          <w:i/>
          <w:spacing w:val="-7"/>
          <w:sz w:val="20"/>
        </w:rPr>
        <w:t> </w:t>
      </w:r>
      <w:r>
        <w:rPr>
          <w:i/>
          <w:spacing w:val="-2"/>
          <w:sz w:val="20"/>
        </w:rPr>
        <w:t>transparency</w:t>
      </w:r>
    </w:p>
    <w:p>
      <w:pPr>
        <w:pStyle w:val="BodyText"/>
        <w:spacing w:before="10"/>
        <w:rPr>
          <w:i/>
        </w:rPr>
      </w:pPr>
    </w:p>
    <w:p>
      <w:pPr>
        <w:pStyle w:val="ListParagraph"/>
        <w:numPr>
          <w:ilvl w:val="0"/>
          <w:numId w:val="4"/>
        </w:numPr>
        <w:tabs>
          <w:tab w:pos="2967" w:val="left" w:leader="none"/>
        </w:tabs>
        <w:spacing w:line="240" w:lineRule="auto" w:before="0" w:after="0"/>
        <w:ind w:left="2246" w:right="2243" w:firstLine="0"/>
        <w:jc w:val="both"/>
        <w:rPr>
          <w:sz w:val="20"/>
        </w:rPr>
      </w:pPr>
      <w:r>
        <w:rPr>
          <w:sz w:val="20"/>
        </w:rPr>
        <w:t>The</w:t>
      </w:r>
      <w:r>
        <w:rPr>
          <w:spacing w:val="-3"/>
          <w:sz w:val="20"/>
        </w:rPr>
        <w:t> </w:t>
      </w:r>
      <w:r>
        <w:rPr>
          <w:sz w:val="20"/>
        </w:rPr>
        <w:t>Presidency</w:t>
      </w:r>
      <w:r>
        <w:rPr>
          <w:spacing w:val="-5"/>
          <w:sz w:val="20"/>
        </w:rPr>
        <w:t> </w:t>
      </w:r>
      <w:r>
        <w:rPr>
          <w:sz w:val="20"/>
        </w:rPr>
        <w:t>will</w:t>
      </w:r>
      <w:r>
        <w:rPr>
          <w:spacing w:val="-8"/>
          <w:sz w:val="20"/>
        </w:rPr>
        <w:t> </w:t>
      </w:r>
      <w:r>
        <w:rPr>
          <w:sz w:val="20"/>
        </w:rPr>
        <w:t>continue</w:t>
      </w:r>
      <w:r>
        <w:rPr>
          <w:spacing w:val="-3"/>
          <w:sz w:val="20"/>
        </w:rPr>
        <w:t> </w:t>
      </w:r>
      <w:r>
        <w:rPr>
          <w:sz w:val="20"/>
        </w:rPr>
        <w:t>working</w:t>
      </w:r>
      <w:r>
        <w:rPr>
          <w:spacing w:val="-9"/>
          <w:sz w:val="20"/>
        </w:rPr>
        <w:t> </w:t>
      </w:r>
      <w:r>
        <w:rPr>
          <w:sz w:val="20"/>
        </w:rPr>
        <w:t>to</w:t>
      </w:r>
      <w:r>
        <w:rPr>
          <w:spacing w:val="-5"/>
          <w:sz w:val="20"/>
        </w:rPr>
        <w:t> </w:t>
      </w:r>
      <w:r>
        <w:rPr>
          <w:sz w:val="20"/>
        </w:rPr>
        <w:t>enhance</w:t>
      </w:r>
      <w:r>
        <w:rPr>
          <w:spacing w:val="-8"/>
          <w:sz w:val="20"/>
        </w:rPr>
        <w:t> </w:t>
      </w:r>
      <w:r>
        <w:rPr>
          <w:sz w:val="20"/>
        </w:rPr>
        <w:t>and</w:t>
      </w:r>
      <w:r>
        <w:rPr>
          <w:spacing w:val="-5"/>
          <w:sz w:val="20"/>
        </w:rPr>
        <w:t> </w:t>
      </w:r>
      <w:r>
        <w:rPr>
          <w:sz w:val="20"/>
        </w:rPr>
        <w:t>encourage</w:t>
      </w:r>
      <w:r>
        <w:rPr>
          <w:spacing w:val="-8"/>
          <w:sz w:val="20"/>
        </w:rPr>
        <w:t> </w:t>
      </w:r>
      <w:r>
        <w:rPr>
          <w:sz w:val="20"/>
        </w:rPr>
        <w:t>the</w:t>
      </w:r>
      <w:r>
        <w:rPr>
          <w:spacing w:val="-8"/>
          <w:sz w:val="20"/>
        </w:rPr>
        <w:t> </w:t>
      </w:r>
      <w:r>
        <w:rPr>
          <w:sz w:val="20"/>
        </w:rPr>
        <w:t>cooperation</w:t>
      </w:r>
      <w:r>
        <w:rPr>
          <w:spacing w:val="-5"/>
          <w:sz w:val="20"/>
        </w:rPr>
        <w:t> </w:t>
      </w:r>
      <w:r>
        <w:rPr>
          <w:sz w:val="20"/>
        </w:rPr>
        <w:t>of States Parties with the Court. Robust and effective State support is essential to the effective discharge of the Court’s mandate. States give weight and effect to the Court’s work by implementing its decisions (for example, executing warrants of arrest), providing financial and</w:t>
      </w:r>
      <w:r>
        <w:rPr>
          <w:spacing w:val="-5"/>
          <w:sz w:val="20"/>
        </w:rPr>
        <w:t> </w:t>
      </w:r>
      <w:r>
        <w:rPr>
          <w:sz w:val="20"/>
        </w:rPr>
        <w:t>logistical support</w:t>
      </w:r>
      <w:r>
        <w:rPr>
          <w:spacing w:val="-3"/>
          <w:sz w:val="20"/>
        </w:rPr>
        <w:t> </w:t>
      </w:r>
      <w:r>
        <w:rPr>
          <w:sz w:val="20"/>
        </w:rPr>
        <w:t>and</w:t>
      </w:r>
      <w:r>
        <w:rPr>
          <w:spacing w:val="-5"/>
          <w:sz w:val="20"/>
        </w:rPr>
        <w:t> </w:t>
      </w:r>
      <w:r>
        <w:rPr>
          <w:sz w:val="20"/>
        </w:rPr>
        <w:t>enforcing sentences.</w:t>
      </w:r>
      <w:r>
        <w:rPr>
          <w:spacing w:val="-2"/>
          <w:sz w:val="20"/>
        </w:rPr>
        <w:t> </w:t>
      </w:r>
      <w:r>
        <w:rPr>
          <w:sz w:val="20"/>
        </w:rPr>
        <w:t>The</w:t>
      </w:r>
      <w:r>
        <w:rPr>
          <w:spacing w:val="-3"/>
          <w:sz w:val="20"/>
        </w:rPr>
        <w:t> </w:t>
      </w:r>
      <w:r>
        <w:rPr>
          <w:sz w:val="20"/>
        </w:rPr>
        <w:t>Presidency will</w:t>
      </w:r>
      <w:r>
        <w:rPr>
          <w:spacing w:val="-3"/>
          <w:sz w:val="20"/>
        </w:rPr>
        <w:t> </w:t>
      </w:r>
      <w:r>
        <w:rPr>
          <w:sz w:val="20"/>
        </w:rPr>
        <w:t>refocus</w:t>
      </w:r>
      <w:r>
        <w:rPr>
          <w:spacing w:val="-6"/>
          <w:sz w:val="20"/>
        </w:rPr>
        <w:t> </w:t>
      </w:r>
      <w:r>
        <w:rPr>
          <w:sz w:val="20"/>
        </w:rPr>
        <w:t>efforts</w:t>
      </w:r>
      <w:r>
        <w:rPr>
          <w:spacing w:val="-1"/>
          <w:sz w:val="20"/>
        </w:rPr>
        <w:t> </w:t>
      </w:r>
      <w:r>
        <w:rPr>
          <w:sz w:val="20"/>
        </w:rPr>
        <w:t>to</w:t>
      </w:r>
      <w:r>
        <w:rPr>
          <w:spacing w:val="-5"/>
          <w:sz w:val="20"/>
        </w:rPr>
        <w:t> </w:t>
      </w:r>
      <w:r>
        <w:rPr>
          <w:sz w:val="20"/>
        </w:rPr>
        <w:t>fortify its</w:t>
      </w:r>
      <w:r>
        <w:rPr>
          <w:spacing w:val="-12"/>
          <w:sz w:val="20"/>
        </w:rPr>
        <w:t> </w:t>
      </w:r>
      <w:r>
        <w:rPr>
          <w:sz w:val="20"/>
        </w:rPr>
        <w:t>relationships</w:t>
      </w:r>
      <w:r>
        <w:rPr>
          <w:spacing w:val="-9"/>
          <w:sz w:val="20"/>
        </w:rPr>
        <w:t> </w:t>
      </w:r>
      <w:r>
        <w:rPr>
          <w:sz w:val="20"/>
        </w:rPr>
        <w:t>with</w:t>
      </w:r>
      <w:r>
        <w:rPr>
          <w:spacing w:val="-13"/>
          <w:sz w:val="20"/>
        </w:rPr>
        <w:t> </w:t>
      </w:r>
      <w:r>
        <w:rPr>
          <w:sz w:val="20"/>
        </w:rPr>
        <w:t>States</w:t>
      </w:r>
      <w:r>
        <w:rPr>
          <w:spacing w:val="-9"/>
          <w:sz w:val="20"/>
        </w:rPr>
        <w:t> </w:t>
      </w:r>
      <w:r>
        <w:rPr>
          <w:sz w:val="20"/>
        </w:rPr>
        <w:t>Parties,</w:t>
      </w:r>
      <w:r>
        <w:rPr>
          <w:spacing w:val="-11"/>
          <w:sz w:val="20"/>
        </w:rPr>
        <w:t> </w:t>
      </w:r>
      <w:r>
        <w:rPr>
          <w:sz w:val="20"/>
        </w:rPr>
        <w:t>in</w:t>
      </w:r>
      <w:r>
        <w:rPr>
          <w:spacing w:val="-8"/>
          <w:sz w:val="20"/>
        </w:rPr>
        <w:t> </w:t>
      </w:r>
      <w:r>
        <w:rPr>
          <w:sz w:val="20"/>
        </w:rPr>
        <w:t>pursuit</w:t>
      </w:r>
      <w:r>
        <w:rPr>
          <w:spacing w:val="-12"/>
          <w:sz w:val="20"/>
        </w:rPr>
        <w:t> </w:t>
      </w:r>
      <w:r>
        <w:rPr>
          <w:sz w:val="20"/>
        </w:rPr>
        <w:t>of</w:t>
      </w:r>
      <w:r>
        <w:rPr>
          <w:spacing w:val="-13"/>
          <w:sz w:val="20"/>
        </w:rPr>
        <w:t> </w:t>
      </w:r>
      <w:r>
        <w:rPr>
          <w:sz w:val="20"/>
        </w:rPr>
        <w:t>the</w:t>
      </w:r>
      <w:r>
        <w:rPr>
          <w:spacing w:val="-6"/>
          <w:sz w:val="20"/>
        </w:rPr>
        <w:t> </w:t>
      </w:r>
      <w:r>
        <w:rPr>
          <w:sz w:val="20"/>
        </w:rPr>
        <w:t>Court’s</w:t>
      </w:r>
      <w:r>
        <w:rPr>
          <w:spacing w:val="-13"/>
          <w:sz w:val="20"/>
        </w:rPr>
        <w:t> </w:t>
      </w:r>
      <w:r>
        <w:rPr>
          <w:sz w:val="20"/>
        </w:rPr>
        <w:t>mandate</w:t>
      </w:r>
      <w:r>
        <w:rPr>
          <w:spacing w:val="-11"/>
          <w:sz w:val="20"/>
        </w:rPr>
        <w:t> </w:t>
      </w:r>
      <w:r>
        <w:rPr>
          <w:sz w:val="20"/>
        </w:rPr>
        <w:t>to</w:t>
      </w:r>
      <w:r>
        <w:rPr>
          <w:spacing w:val="-8"/>
          <w:sz w:val="20"/>
        </w:rPr>
        <w:t> </w:t>
      </w:r>
      <w:r>
        <w:rPr>
          <w:sz w:val="20"/>
        </w:rPr>
        <w:t>hold</w:t>
      </w:r>
      <w:r>
        <w:rPr>
          <w:spacing w:val="-13"/>
          <w:sz w:val="20"/>
        </w:rPr>
        <w:t> </w:t>
      </w:r>
      <w:r>
        <w:rPr>
          <w:sz w:val="20"/>
        </w:rPr>
        <w:t>to</w:t>
      </w:r>
      <w:r>
        <w:rPr>
          <w:spacing w:val="-12"/>
          <w:sz w:val="20"/>
        </w:rPr>
        <w:t> </w:t>
      </w:r>
      <w:r>
        <w:rPr>
          <w:sz w:val="20"/>
        </w:rPr>
        <w:t>account</w:t>
      </w:r>
      <w:r>
        <w:rPr>
          <w:spacing w:val="-12"/>
          <w:sz w:val="20"/>
        </w:rPr>
        <w:t> </w:t>
      </w:r>
      <w:r>
        <w:rPr>
          <w:sz w:val="20"/>
        </w:rPr>
        <w:t>those who</w:t>
      </w:r>
      <w:r>
        <w:rPr>
          <w:spacing w:val="-7"/>
          <w:sz w:val="20"/>
        </w:rPr>
        <w:t> </w:t>
      </w:r>
      <w:r>
        <w:rPr>
          <w:sz w:val="20"/>
        </w:rPr>
        <w:t>commit</w:t>
      </w:r>
      <w:r>
        <w:rPr>
          <w:spacing w:val="-6"/>
          <w:sz w:val="20"/>
        </w:rPr>
        <w:t> </w:t>
      </w:r>
      <w:r>
        <w:rPr>
          <w:sz w:val="20"/>
        </w:rPr>
        <w:t>the</w:t>
      </w:r>
      <w:r>
        <w:rPr>
          <w:spacing w:val="-6"/>
          <w:sz w:val="20"/>
        </w:rPr>
        <w:t> </w:t>
      </w:r>
      <w:r>
        <w:rPr>
          <w:sz w:val="20"/>
        </w:rPr>
        <w:t>most</w:t>
      </w:r>
      <w:r>
        <w:rPr>
          <w:spacing w:val="-6"/>
          <w:sz w:val="20"/>
        </w:rPr>
        <w:t> </w:t>
      </w:r>
      <w:r>
        <w:rPr>
          <w:sz w:val="20"/>
        </w:rPr>
        <w:t>serious</w:t>
      </w:r>
      <w:r>
        <w:rPr>
          <w:spacing w:val="-9"/>
          <w:sz w:val="20"/>
        </w:rPr>
        <w:t> </w:t>
      </w:r>
      <w:r>
        <w:rPr>
          <w:sz w:val="20"/>
        </w:rPr>
        <w:t>crimes</w:t>
      </w:r>
      <w:r>
        <w:rPr>
          <w:spacing w:val="-9"/>
          <w:sz w:val="20"/>
        </w:rPr>
        <w:t> </w:t>
      </w:r>
      <w:r>
        <w:rPr>
          <w:sz w:val="20"/>
        </w:rPr>
        <w:t>of</w:t>
      </w:r>
      <w:r>
        <w:rPr>
          <w:spacing w:val="-7"/>
          <w:sz w:val="20"/>
        </w:rPr>
        <w:t> </w:t>
      </w:r>
      <w:r>
        <w:rPr>
          <w:sz w:val="20"/>
        </w:rPr>
        <w:t>concern.</w:t>
      </w:r>
      <w:r>
        <w:rPr>
          <w:spacing w:val="-5"/>
          <w:sz w:val="20"/>
        </w:rPr>
        <w:t> </w:t>
      </w:r>
      <w:r>
        <w:rPr>
          <w:sz w:val="20"/>
        </w:rPr>
        <w:t>A</w:t>
      </w:r>
      <w:r>
        <w:rPr>
          <w:spacing w:val="-9"/>
          <w:sz w:val="20"/>
        </w:rPr>
        <w:t> </w:t>
      </w:r>
      <w:r>
        <w:rPr>
          <w:sz w:val="20"/>
        </w:rPr>
        <w:t>key</w:t>
      </w:r>
      <w:r>
        <w:rPr>
          <w:spacing w:val="-7"/>
          <w:sz w:val="20"/>
        </w:rPr>
        <w:t> </w:t>
      </w:r>
      <w:r>
        <w:rPr>
          <w:sz w:val="20"/>
        </w:rPr>
        <w:t>component</w:t>
      </w:r>
      <w:r>
        <w:rPr>
          <w:spacing w:val="-6"/>
          <w:sz w:val="20"/>
        </w:rPr>
        <w:t> </w:t>
      </w:r>
      <w:r>
        <w:rPr>
          <w:sz w:val="20"/>
        </w:rPr>
        <w:t>of</w:t>
      </w:r>
      <w:r>
        <w:rPr>
          <w:spacing w:val="-12"/>
          <w:sz w:val="20"/>
        </w:rPr>
        <w:t> </w:t>
      </w:r>
      <w:r>
        <w:rPr>
          <w:sz w:val="20"/>
        </w:rPr>
        <w:t>this</w:t>
      </w:r>
      <w:r>
        <w:rPr>
          <w:spacing w:val="-9"/>
          <w:sz w:val="20"/>
        </w:rPr>
        <w:t> </w:t>
      </w:r>
      <w:r>
        <w:rPr>
          <w:sz w:val="20"/>
        </w:rPr>
        <w:t>will</w:t>
      </w:r>
      <w:r>
        <w:rPr>
          <w:spacing w:val="-6"/>
          <w:sz w:val="20"/>
        </w:rPr>
        <w:t> </w:t>
      </w:r>
      <w:r>
        <w:rPr>
          <w:sz w:val="20"/>
        </w:rPr>
        <w:t>be</w:t>
      </w:r>
      <w:r>
        <w:rPr>
          <w:spacing w:val="-10"/>
          <w:sz w:val="20"/>
        </w:rPr>
        <w:t> </w:t>
      </w:r>
      <w:r>
        <w:rPr>
          <w:sz w:val="20"/>
        </w:rPr>
        <w:t>to</w:t>
      </w:r>
      <w:r>
        <w:rPr>
          <w:spacing w:val="-7"/>
          <w:sz w:val="20"/>
        </w:rPr>
        <w:t> </w:t>
      </w:r>
      <w:r>
        <w:rPr>
          <w:sz w:val="20"/>
        </w:rPr>
        <w:t>continue close,</w:t>
      </w:r>
      <w:r>
        <w:rPr>
          <w:spacing w:val="-2"/>
          <w:sz w:val="20"/>
        </w:rPr>
        <w:t> </w:t>
      </w:r>
      <w:r>
        <w:rPr>
          <w:sz w:val="20"/>
        </w:rPr>
        <w:t>attentive engagement</w:t>
      </w:r>
      <w:r>
        <w:rPr>
          <w:spacing w:val="-3"/>
          <w:sz w:val="20"/>
        </w:rPr>
        <w:t> </w:t>
      </w:r>
      <w:r>
        <w:rPr>
          <w:sz w:val="20"/>
        </w:rPr>
        <w:t>in</w:t>
      </w:r>
      <w:r>
        <w:rPr>
          <w:spacing w:val="-5"/>
          <w:sz w:val="20"/>
        </w:rPr>
        <w:t> </w:t>
      </w:r>
      <w:r>
        <w:rPr>
          <w:sz w:val="20"/>
        </w:rPr>
        <w:t>the Court’s</w:t>
      </w:r>
      <w:r>
        <w:rPr>
          <w:spacing w:val="-1"/>
          <w:sz w:val="20"/>
        </w:rPr>
        <w:t> </w:t>
      </w:r>
      <w:r>
        <w:rPr>
          <w:sz w:val="20"/>
        </w:rPr>
        <w:t>response to</w:t>
      </w:r>
      <w:r>
        <w:rPr>
          <w:spacing w:val="-5"/>
          <w:sz w:val="20"/>
        </w:rPr>
        <w:t> </w:t>
      </w:r>
      <w:r>
        <w:rPr>
          <w:sz w:val="20"/>
        </w:rPr>
        <w:t>the</w:t>
      </w:r>
      <w:r>
        <w:rPr>
          <w:spacing w:val="-3"/>
          <w:sz w:val="20"/>
        </w:rPr>
        <w:t> </w:t>
      </w:r>
      <w:r>
        <w:rPr>
          <w:sz w:val="20"/>
        </w:rPr>
        <w:t>IER process.</w:t>
      </w:r>
      <w:r>
        <w:rPr>
          <w:spacing w:val="-1"/>
          <w:sz w:val="20"/>
        </w:rPr>
        <w:t> </w:t>
      </w:r>
      <w:r>
        <w:rPr>
          <w:sz w:val="20"/>
        </w:rPr>
        <w:t>The Presidency will spearhead</w:t>
      </w:r>
      <w:r>
        <w:rPr>
          <w:spacing w:val="-4"/>
          <w:sz w:val="20"/>
        </w:rPr>
        <w:t> </w:t>
      </w:r>
      <w:r>
        <w:rPr>
          <w:sz w:val="20"/>
        </w:rPr>
        <w:t>efforts, rooted in</w:t>
      </w:r>
      <w:r>
        <w:rPr>
          <w:spacing w:val="-4"/>
          <w:sz w:val="20"/>
        </w:rPr>
        <w:t> </w:t>
      </w:r>
      <w:r>
        <w:rPr>
          <w:sz w:val="20"/>
        </w:rPr>
        <w:t>the Court’s</w:t>
      </w:r>
      <w:r>
        <w:rPr>
          <w:spacing w:val="-5"/>
          <w:sz w:val="20"/>
        </w:rPr>
        <w:t> </w:t>
      </w:r>
      <w:r>
        <w:rPr>
          <w:sz w:val="20"/>
        </w:rPr>
        <w:t>standards</w:t>
      </w:r>
      <w:r>
        <w:rPr>
          <w:spacing w:val="-5"/>
          <w:sz w:val="20"/>
        </w:rPr>
        <w:t> </w:t>
      </w:r>
      <w:r>
        <w:rPr>
          <w:sz w:val="20"/>
        </w:rPr>
        <w:t>of</w:t>
      </w:r>
      <w:r>
        <w:rPr>
          <w:spacing w:val="-4"/>
          <w:sz w:val="20"/>
        </w:rPr>
        <w:t> </w:t>
      </w:r>
      <w:r>
        <w:rPr>
          <w:sz w:val="20"/>
        </w:rPr>
        <w:t>ethical</w:t>
      </w:r>
      <w:r>
        <w:rPr>
          <w:spacing w:val="-2"/>
          <w:sz w:val="20"/>
        </w:rPr>
        <w:t> </w:t>
      </w:r>
      <w:r>
        <w:rPr>
          <w:sz w:val="20"/>
        </w:rPr>
        <w:t>conduct,</w:t>
      </w:r>
      <w:r>
        <w:rPr>
          <w:spacing w:val="-1"/>
          <w:sz w:val="20"/>
        </w:rPr>
        <w:t> </w:t>
      </w:r>
      <w:r>
        <w:rPr>
          <w:sz w:val="20"/>
        </w:rPr>
        <w:t>to</w:t>
      </w:r>
      <w:r>
        <w:rPr>
          <w:spacing w:val="-4"/>
          <w:sz w:val="20"/>
        </w:rPr>
        <w:t> </w:t>
      </w:r>
      <w:r>
        <w:rPr>
          <w:sz w:val="20"/>
        </w:rPr>
        <w:t>promote a</w:t>
      </w:r>
      <w:r>
        <w:rPr>
          <w:spacing w:val="-2"/>
          <w:sz w:val="20"/>
        </w:rPr>
        <w:t> </w:t>
      </w:r>
      <w:r>
        <w:rPr>
          <w:sz w:val="20"/>
        </w:rPr>
        <w:t>culture</w:t>
      </w:r>
      <w:r>
        <w:rPr>
          <w:spacing w:val="-2"/>
          <w:sz w:val="20"/>
        </w:rPr>
        <w:t> </w:t>
      </w:r>
      <w:r>
        <w:rPr>
          <w:sz w:val="20"/>
        </w:rPr>
        <w:t>of fiscal responsibility, transparency and accountability that inspires trust in the Judiciary and in the Court as a whole, both internally and externally. These efforts will aim to provide States</w:t>
      </w:r>
      <w:r>
        <w:rPr>
          <w:spacing w:val="-6"/>
          <w:sz w:val="20"/>
        </w:rPr>
        <w:t> </w:t>
      </w:r>
      <w:r>
        <w:rPr>
          <w:sz w:val="20"/>
        </w:rPr>
        <w:t>Parties,</w:t>
      </w:r>
      <w:r>
        <w:rPr>
          <w:spacing w:val="-7"/>
          <w:sz w:val="20"/>
        </w:rPr>
        <w:t> </w:t>
      </w:r>
      <w:r>
        <w:rPr>
          <w:sz w:val="20"/>
        </w:rPr>
        <w:t>the</w:t>
      </w:r>
      <w:r>
        <w:rPr>
          <w:spacing w:val="-3"/>
          <w:sz w:val="20"/>
        </w:rPr>
        <w:t> </w:t>
      </w:r>
      <w:r>
        <w:rPr>
          <w:sz w:val="20"/>
        </w:rPr>
        <w:t>public</w:t>
      </w:r>
      <w:r>
        <w:rPr>
          <w:spacing w:val="-8"/>
          <w:sz w:val="20"/>
        </w:rPr>
        <w:t> </w:t>
      </w:r>
      <w:r>
        <w:rPr>
          <w:sz w:val="20"/>
        </w:rPr>
        <w:t>and</w:t>
      </w:r>
      <w:r>
        <w:rPr>
          <w:spacing w:val="-9"/>
          <w:sz w:val="20"/>
        </w:rPr>
        <w:t> </w:t>
      </w:r>
      <w:r>
        <w:rPr>
          <w:sz w:val="20"/>
        </w:rPr>
        <w:t>other</w:t>
      </w:r>
      <w:r>
        <w:rPr>
          <w:spacing w:val="-9"/>
          <w:sz w:val="20"/>
        </w:rPr>
        <w:t> </w:t>
      </w:r>
      <w:r>
        <w:rPr>
          <w:sz w:val="20"/>
        </w:rPr>
        <w:t>key</w:t>
      </w:r>
      <w:r>
        <w:rPr>
          <w:spacing w:val="-9"/>
          <w:sz w:val="20"/>
        </w:rPr>
        <w:t> </w:t>
      </w:r>
      <w:r>
        <w:rPr>
          <w:sz w:val="20"/>
        </w:rPr>
        <w:t>partners</w:t>
      </w:r>
      <w:r>
        <w:rPr>
          <w:spacing w:val="-11"/>
          <w:sz w:val="20"/>
        </w:rPr>
        <w:t> </w:t>
      </w:r>
      <w:r>
        <w:rPr>
          <w:sz w:val="20"/>
        </w:rPr>
        <w:t>and</w:t>
      </w:r>
      <w:r>
        <w:rPr>
          <w:spacing w:val="-5"/>
          <w:sz w:val="20"/>
        </w:rPr>
        <w:t> </w:t>
      </w:r>
      <w:r>
        <w:rPr>
          <w:sz w:val="20"/>
        </w:rPr>
        <w:t>stakeholders</w:t>
      </w:r>
      <w:r>
        <w:rPr>
          <w:spacing w:val="-6"/>
          <w:sz w:val="20"/>
        </w:rPr>
        <w:t> </w:t>
      </w:r>
      <w:r>
        <w:rPr>
          <w:sz w:val="20"/>
        </w:rPr>
        <w:t>with</w:t>
      </w:r>
      <w:r>
        <w:rPr>
          <w:spacing w:val="-9"/>
          <w:sz w:val="20"/>
        </w:rPr>
        <w:t> </w:t>
      </w:r>
      <w:r>
        <w:rPr>
          <w:sz w:val="20"/>
        </w:rPr>
        <w:t>the</w:t>
      </w:r>
      <w:r>
        <w:rPr>
          <w:spacing w:val="-3"/>
          <w:sz w:val="20"/>
        </w:rPr>
        <w:t> </w:t>
      </w:r>
      <w:r>
        <w:rPr>
          <w:sz w:val="20"/>
        </w:rPr>
        <w:t>full</w:t>
      </w:r>
      <w:r>
        <w:rPr>
          <w:spacing w:val="-8"/>
          <w:sz w:val="20"/>
        </w:rPr>
        <w:t> </w:t>
      </w:r>
      <w:r>
        <w:rPr>
          <w:sz w:val="20"/>
        </w:rPr>
        <w:t>picture</w:t>
      </w:r>
      <w:r>
        <w:rPr>
          <w:spacing w:val="-3"/>
          <w:sz w:val="20"/>
        </w:rPr>
        <w:t> </w:t>
      </w:r>
      <w:r>
        <w:rPr>
          <w:sz w:val="20"/>
        </w:rPr>
        <w:t>of</w:t>
      </w:r>
      <w:r>
        <w:rPr>
          <w:spacing w:val="-5"/>
          <w:sz w:val="20"/>
        </w:rPr>
        <w:t> </w:t>
      </w:r>
      <w:r>
        <w:rPr>
          <w:sz w:val="20"/>
        </w:rPr>
        <w:t>how the Court operates – subject to the necessary confidentiality considerations.</w:t>
      </w:r>
    </w:p>
    <w:p>
      <w:pPr>
        <w:pStyle w:val="BodyText"/>
        <w:rPr>
          <w:sz w:val="21"/>
        </w:rPr>
      </w:pPr>
    </w:p>
    <w:p>
      <w:pPr>
        <w:spacing w:before="0"/>
        <w:ind w:left="2246" w:right="0" w:firstLine="0"/>
        <w:jc w:val="left"/>
        <w:rPr>
          <w:i/>
          <w:sz w:val="20"/>
        </w:rPr>
      </w:pPr>
      <w:r>
        <w:rPr>
          <w:i/>
          <w:sz w:val="20"/>
        </w:rPr>
        <w:t>Judicial</w:t>
      </w:r>
      <w:r>
        <w:rPr>
          <w:i/>
          <w:spacing w:val="-8"/>
          <w:sz w:val="20"/>
        </w:rPr>
        <w:t> </w:t>
      </w:r>
      <w:r>
        <w:rPr>
          <w:i/>
          <w:sz w:val="20"/>
        </w:rPr>
        <w:t>priorities</w:t>
      </w:r>
      <w:r>
        <w:rPr>
          <w:i/>
          <w:spacing w:val="-3"/>
          <w:sz w:val="20"/>
        </w:rPr>
        <w:t> </w:t>
      </w:r>
      <w:r>
        <w:rPr>
          <w:i/>
          <w:sz w:val="20"/>
        </w:rPr>
        <w:t>–</w:t>
      </w:r>
      <w:r>
        <w:rPr>
          <w:i/>
          <w:spacing w:val="-9"/>
          <w:sz w:val="20"/>
        </w:rPr>
        <w:t> </w:t>
      </w:r>
      <w:r>
        <w:rPr>
          <w:i/>
          <w:sz w:val="20"/>
        </w:rPr>
        <w:t>delivering</w:t>
      </w:r>
      <w:r>
        <w:rPr>
          <w:i/>
          <w:spacing w:val="-8"/>
          <w:sz w:val="20"/>
        </w:rPr>
        <w:t> </w:t>
      </w:r>
      <w:r>
        <w:rPr>
          <w:i/>
          <w:spacing w:val="-2"/>
          <w:sz w:val="20"/>
        </w:rPr>
        <w:t>justice</w:t>
      </w:r>
    </w:p>
    <w:p>
      <w:pPr>
        <w:pStyle w:val="BodyText"/>
        <w:spacing w:before="10"/>
        <w:rPr>
          <w:i/>
        </w:rPr>
      </w:pPr>
    </w:p>
    <w:p>
      <w:pPr>
        <w:pStyle w:val="ListParagraph"/>
        <w:numPr>
          <w:ilvl w:val="0"/>
          <w:numId w:val="4"/>
        </w:numPr>
        <w:tabs>
          <w:tab w:pos="2967" w:val="left" w:leader="none"/>
        </w:tabs>
        <w:spacing w:line="240" w:lineRule="auto" w:before="0" w:after="0"/>
        <w:ind w:left="2246" w:right="2244" w:firstLine="0"/>
        <w:jc w:val="both"/>
        <w:rPr>
          <w:sz w:val="20"/>
        </w:rPr>
      </w:pPr>
      <w:r>
        <w:rPr>
          <w:sz w:val="20"/>
        </w:rPr>
        <w:t>The</w:t>
      </w:r>
      <w:r>
        <w:rPr>
          <w:spacing w:val="-2"/>
          <w:sz w:val="20"/>
        </w:rPr>
        <w:t> </w:t>
      </w:r>
      <w:r>
        <w:rPr>
          <w:sz w:val="20"/>
        </w:rPr>
        <w:t>Judiciary forecasts a high workload</w:t>
      </w:r>
      <w:r>
        <w:rPr>
          <w:spacing w:val="-4"/>
          <w:sz w:val="20"/>
        </w:rPr>
        <w:t> </w:t>
      </w:r>
      <w:r>
        <w:rPr>
          <w:sz w:val="20"/>
        </w:rPr>
        <w:t>in 2023. The main judicial priority for the Presidency will be to focus on the effective and efficient use of resources to ensure that it delivers on its core mandate expeditiously and expediently. This will entail continuing the flexible</w:t>
      </w:r>
      <w:r>
        <w:rPr>
          <w:spacing w:val="-13"/>
          <w:sz w:val="20"/>
        </w:rPr>
        <w:t> </w:t>
      </w:r>
      <w:r>
        <w:rPr>
          <w:sz w:val="20"/>
        </w:rPr>
        <w:t>use</w:t>
      </w:r>
      <w:r>
        <w:rPr>
          <w:spacing w:val="-12"/>
          <w:sz w:val="20"/>
        </w:rPr>
        <w:t> </w:t>
      </w:r>
      <w:r>
        <w:rPr>
          <w:sz w:val="20"/>
        </w:rPr>
        <w:t>of</w:t>
      </w:r>
      <w:r>
        <w:rPr>
          <w:spacing w:val="-13"/>
          <w:sz w:val="20"/>
        </w:rPr>
        <w:t> </w:t>
      </w:r>
      <w:r>
        <w:rPr>
          <w:sz w:val="20"/>
        </w:rPr>
        <w:t>resources</w:t>
      </w:r>
      <w:r>
        <w:rPr>
          <w:spacing w:val="-12"/>
          <w:sz w:val="20"/>
        </w:rPr>
        <w:t> </w:t>
      </w:r>
      <w:r>
        <w:rPr>
          <w:sz w:val="20"/>
        </w:rPr>
        <w:t>to</w:t>
      </w:r>
      <w:r>
        <w:rPr>
          <w:spacing w:val="-13"/>
          <w:sz w:val="20"/>
        </w:rPr>
        <w:t> </w:t>
      </w:r>
      <w:r>
        <w:rPr>
          <w:sz w:val="20"/>
        </w:rPr>
        <w:t>facilitate</w:t>
      </w:r>
      <w:r>
        <w:rPr>
          <w:spacing w:val="-12"/>
          <w:sz w:val="20"/>
        </w:rPr>
        <w:t> </w:t>
      </w:r>
      <w:r>
        <w:rPr>
          <w:sz w:val="20"/>
        </w:rPr>
        <w:t>the</w:t>
      </w:r>
      <w:r>
        <w:rPr>
          <w:spacing w:val="-13"/>
          <w:sz w:val="20"/>
        </w:rPr>
        <w:t> </w:t>
      </w:r>
      <w:r>
        <w:rPr>
          <w:sz w:val="20"/>
        </w:rPr>
        <w:t>smooth</w:t>
      </w:r>
      <w:r>
        <w:rPr>
          <w:spacing w:val="-12"/>
          <w:sz w:val="20"/>
        </w:rPr>
        <w:t> </w:t>
      </w:r>
      <w:r>
        <w:rPr>
          <w:sz w:val="20"/>
        </w:rPr>
        <w:t>conduct</w:t>
      </w:r>
      <w:r>
        <w:rPr>
          <w:spacing w:val="-13"/>
          <w:sz w:val="20"/>
        </w:rPr>
        <w:t> </w:t>
      </w:r>
      <w:r>
        <w:rPr>
          <w:sz w:val="20"/>
        </w:rPr>
        <w:t>of</w:t>
      </w:r>
      <w:r>
        <w:rPr>
          <w:spacing w:val="-12"/>
          <w:sz w:val="20"/>
        </w:rPr>
        <w:t> </w:t>
      </w:r>
      <w:r>
        <w:rPr>
          <w:sz w:val="20"/>
        </w:rPr>
        <w:t>pre-trial</w:t>
      </w:r>
      <w:r>
        <w:rPr>
          <w:spacing w:val="-13"/>
          <w:sz w:val="20"/>
        </w:rPr>
        <w:t> </w:t>
      </w:r>
      <w:r>
        <w:rPr>
          <w:sz w:val="20"/>
        </w:rPr>
        <w:t>activities,</w:t>
      </w:r>
      <w:r>
        <w:rPr>
          <w:spacing w:val="-12"/>
          <w:sz w:val="20"/>
        </w:rPr>
        <w:t> </w:t>
      </w:r>
      <w:r>
        <w:rPr>
          <w:sz w:val="20"/>
        </w:rPr>
        <w:t>trial</w:t>
      </w:r>
      <w:r>
        <w:rPr>
          <w:spacing w:val="-13"/>
          <w:sz w:val="20"/>
        </w:rPr>
        <w:t> </w:t>
      </w:r>
      <w:r>
        <w:rPr>
          <w:sz w:val="20"/>
        </w:rPr>
        <w:t>and</w:t>
      </w:r>
      <w:r>
        <w:rPr>
          <w:spacing w:val="-12"/>
          <w:sz w:val="20"/>
        </w:rPr>
        <w:t> </w:t>
      </w:r>
      <w:r>
        <w:rPr>
          <w:sz w:val="20"/>
        </w:rPr>
        <w:t>appeal proceedings and the discharge of the Presidency’s important responsibility to ensure the proper administration of the Court. A key component of this process will be the annual judicial retreats organized by the Presidency. These retreats provide the ideal forum to concentrate</w:t>
      </w:r>
      <w:r>
        <w:rPr>
          <w:spacing w:val="-2"/>
          <w:sz w:val="20"/>
        </w:rPr>
        <w:t> </w:t>
      </w:r>
      <w:r>
        <w:rPr>
          <w:sz w:val="20"/>
        </w:rPr>
        <w:t>efforts</w:t>
      </w:r>
      <w:r>
        <w:rPr>
          <w:spacing w:val="-1"/>
          <w:sz w:val="20"/>
        </w:rPr>
        <w:t> </w:t>
      </w:r>
      <w:r>
        <w:rPr>
          <w:sz w:val="20"/>
        </w:rPr>
        <w:t>to refine</w:t>
      </w:r>
      <w:r>
        <w:rPr>
          <w:spacing w:val="-2"/>
          <w:sz w:val="20"/>
        </w:rPr>
        <w:t> </w:t>
      </w:r>
      <w:r>
        <w:rPr>
          <w:sz w:val="20"/>
        </w:rPr>
        <w:t>and set out</w:t>
      </w:r>
      <w:r>
        <w:rPr>
          <w:spacing w:val="-2"/>
          <w:sz w:val="20"/>
        </w:rPr>
        <w:t> </w:t>
      </w:r>
      <w:r>
        <w:rPr>
          <w:sz w:val="20"/>
        </w:rPr>
        <w:t>new</w:t>
      </w:r>
      <w:r>
        <w:rPr>
          <w:spacing w:val="-5"/>
          <w:sz w:val="20"/>
        </w:rPr>
        <w:t> </w:t>
      </w:r>
      <w:r>
        <w:rPr>
          <w:sz w:val="20"/>
        </w:rPr>
        <w:t>best</w:t>
      </w:r>
      <w:r>
        <w:rPr>
          <w:spacing w:val="-2"/>
          <w:sz w:val="20"/>
        </w:rPr>
        <w:t> </w:t>
      </w:r>
      <w:r>
        <w:rPr>
          <w:sz w:val="20"/>
        </w:rPr>
        <w:t>practices</w:t>
      </w:r>
      <w:r>
        <w:rPr>
          <w:spacing w:val="-1"/>
          <w:sz w:val="20"/>
        </w:rPr>
        <w:t> </w:t>
      </w:r>
      <w:r>
        <w:rPr>
          <w:sz w:val="20"/>
        </w:rPr>
        <w:t>to</w:t>
      </w:r>
      <w:r>
        <w:rPr>
          <w:spacing w:val="-4"/>
          <w:sz w:val="20"/>
        </w:rPr>
        <w:t> </w:t>
      </w:r>
      <w:r>
        <w:rPr>
          <w:sz w:val="20"/>
        </w:rPr>
        <w:t>improve</w:t>
      </w:r>
      <w:r>
        <w:rPr>
          <w:spacing w:val="-2"/>
          <w:sz w:val="20"/>
        </w:rPr>
        <w:t> </w:t>
      </w:r>
      <w:r>
        <w:rPr>
          <w:sz w:val="20"/>
        </w:rPr>
        <w:t>the</w:t>
      </w:r>
      <w:r>
        <w:rPr>
          <w:spacing w:val="-2"/>
          <w:sz w:val="20"/>
        </w:rPr>
        <w:t> </w:t>
      </w:r>
      <w:r>
        <w:rPr>
          <w:sz w:val="20"/>
        </w:rPr>
        <w:t>Judiciary’s ability to carry out its core mandate.</w:t>
      </w:r>
    </w:p>
    <w:p>
      <w:pPr>
        <w:pStyle w:val="BodyText"/>
        <w:spacing w:before="10"/>
      </w:pPr>
    </w:p>
    <w:p>
      <w:pPr>
        <w:pStyle w:val="Heading3"/>
        <w:tabs>
          <w:tab w:pos="8076" w:val="left" w:leader="none"/>
        </w:tabs>
      </w:pPr>
      <w:r>
        <w:rPr/>
        <w:t>Budget</w:t>
      </w:r>
      <w:r>
        <w:rPr>
          <w:spacing w:val="-6"/>
        </w:rPr>
        <w:t> </w:t>
      </w:r>
      <w:r>
        <w:rPr>
          <w:spacing w:val="-2"/>
        </w:rPr>
        <w:t>resources</w:t>
      </w:r>
      <w:r>
        <w:rPr/>
        <w:tab/>
        <w:t>€1,383.0</w:t>
      </w:r>
      <w:r>
        <w:rPr>
          <w:spacing w:val="-6"/>
        </w:rPr>
        <w:t> </w:t>
      </w:r>
      <w:r>
        <w:rPr>
          <w:spacing w:val="-2"/>
        </w:rPr>
        <w:t>thousand</w:t>
      </w:r>
    </w:p>
    <w:p>
      <w:pPr>
        <w:pStyle w:val="BodyText"/>
        <w:spacing w:before="11"/>
        <w:rPr>
          <w:b/>
        </w:rPr>
      </w:pPr>
    </w:p>
    <w:p>
      <w:pPr>
        <w:pStyle w:val="ListParagraph"/>
        <w:numPr>
          <w:ilvl w:val="0"/>
          <w:numId w:val="4"/>
        </w:numPr>
        <w:tabs>
          <w:tab w:pos="2967" w:val="left" w:leader="none"/>
        </w:tabs>
        <w:spacing w:line="240" w:lineRule="auto" w:before="0" w:after="0"/>
        <w:ind w:left="2246" w:right="2246" w:firstLine="0"/>
        <w:jc w:val="both"/>
        <w:rPr>
          <w:sz w:val="20"/>
        </w:rPr>
      </w:pPr>
      <w:r>
        <w:rPr>
          <w:sz w:val="20"/>
        </w:rPr>
        <w:t>The requested amount has</w:t>
      </w:r>
      <w:r>
        <w:rPr>
          <w:spacing w:val="-1"/>
          <w:sz w:val="20"/>
        </w:rPr>
        <w:t> </w:t>
      </w:r>
      <w:r>
        <w:rPr>
          <w:sz w:val="20"/>
        </w:rPr>
        <w:t>increased by €37.7 thousand (2.8</w:t>
      </w:r>
      <w:r>
        <w:rPr>
          <w:spacing w:val="-4"/>
          <w:sz w:val="20"/>
        </w:rPr>
        <w:t> </w:t>
      </w:r>
      <w:r>
        <w:rPr>
          <w:sz w:val="20"/>
        </w:rPr>
        <w:t>per cent) as</w:t>
      </w:r>
      <w:r>
        <w:rPr>
          <w:spacing w:val="-1"/>
          <w:sz w:val="20"/>
        </w:rPr>
        <w:t> </w:t>
      </w:r>
      <w:r>
        <w:rPr>
          <w:sz w:val="20"/>
        </w:rPr>
        <w:t>compared with the 2022 Approved Programme Budget. This increase is due to increases in staff entitlements linked to the</w:t>
      </w:r>
      <w:r>
        <w:rPr>
          <w:spacing w:val="17"/>
          <w:sz w:val="20"/>
        </w:rPr>
        <w:t> </w:t>
      </w:r>
      <w:r>
        <w:rPr>
          <w:sz w:val="20"/>
        </w:rPr>
        <w:t>UNCS. The</w:t>
      </w:r>
      <w:r>
        <w:rPr>
          <w:spacing w:val="18"/>
          <w:sz w:val="20"/>
        </w:rPr>
        <w:t> </w:t>
      </w:r>
      <w:r>
        <w:rPr>
          <w:sz w:val="20"/>
        </w:rPr>
        <w:t>requested number of posts remains identical to that</w:t>
      </w:r>
      <w:r>
        <w:rPr>
          <w:spacing w:val="40"/>
          <w:sz w:val="20"/>
        </w:rPr>
        <w:t> </w:t>
      </w:r>
      <w:r>
        <w:rPr>
          <w:sz w:val="20"/>
        </w:rPr>
        <w:t>in 2022, as does the funding level for non-staff costs.</w:t>
      </w:r>
    </w:p>
    <w:p>
      <w:pPr>
        <w:spacing w:after="0" w:line="240" w:lineRule="auto"/>
        <w:jc w:val="both"/>
        <w:rPr>
          <w:sz w:val="20"/>
        </w:rPr>
        <w:sectPr>
          <w:pgSz w:w="11910" w:h="16840"/>
          <w:pgMar w:header="957" w:footer="940" w:top="1140" w:bottom="1140" w:left="20" w:right="20"/>
        </w:sectPr>
      </w:pPr>
    </w:p>
    <w:p>
      <w:pPr>
        <w:tabs>
          <w:tab w:pos="6140" w:val="left" w:leader="none"/>
        </w:tabs>
        <w:spacing w:before="124"/>
        <w:ind w:left="3" w:right="0" w:firstLine="0"/>
        <w:jc w:val="center"/>
        <w:rPr>
          <w:i/>
          <w:sz w:val="20"/>
        </w:rPr>
      </w:pPr>
      <w:r>
        <w:rPr>
          <w:i/>
          <w:sz w:val="20"/>
        </w:rPr>
        <w:t>Presidency</w:t>
      </w:r>
      <w:r>
        <w:rPr>
          <w:i/>
          <w:spacing w:val="-10"/>
          <w:sz w:val="20"/>
        </w:rPr>
        <w:t> </w:t>
      </w:r>
      <w:r>
        <w:rPr>
          <w:i/>
          <w:spacing w:val="-2"/>
          <w:sz w:val="20"/>
        </w:rPr>
        <w:t>allowances</w:t>
      </w:r>
      <w:r>
        <w:rPr>
          <w:i/>
          <w:sz w:val="20"/>
        </w:rPr>
        <w:tab/>
        <w:t>€28.0</w:t>
      </w:r>
      <w:r>
        <w:rPr>
          <w:i/>
          <w:spacing w:val="-3"/>
          <w:sz w:val="20"/>
        </w:rPr>
        <w:t> </w:t>
      </w:r>
      <w:r>
        <w:rPr>
          <w:i/>
          <w:spacing w:val="-2"/>
          <w:sz w:val="20"/>
        </w:rPr>
        <w:t>thousand</w:t>
      </w:r>
    </w:p>
    <w:p>
      <w:pPr>
        <w:pStyle w:val="BodyText"/>
        <w:spacing w:before="11"/>
        <w:rPr>
          <w:i/>
        </w:rPr>
      </w:pPr>
    </w:p>
    <w:p>
      <w:pPr>
        <w:pStyle w:val="ListParagraph"/>
        <w:numPr>
          <w:ilvl w:val="0"/>
          <w:numId w:val="4"/>
        </w:numPr>
        <w:tabs>
          <w:tab w:pos="2967" w:val="left" w:leader="none"/>
        </w:tabs>
        <w:spacing w:line="240" w:lineRule="auto" w:before="0" w:after="0"/>
        <w:ind w:left="2246" w:right="2236" w:firstLine="0"/>
        <w:jc w:val="both"/>
        <w:rPr>
          <w:sz w:val="20"/>
        </w:rPr>
      </w:pPr>
      <w:r>
        <w:rPr>
          <w:sz w:val="20"/>
        </w:rPr>
        <w:t>The Proposed Programme Budget for 2023 includes €28.0 thousand to cover the special allowance of the President</w:t>
      </w:r>
      <w:r>
        <w:rPr>
          <w:sz w:val="20"/>
          <w:vertAlign w:val="superscript"/>
        </w:rPr>
        <w:t>12</w:t>
      </w:r>
      <w:r>
        <w:rPr>
          <w:sz w:val="20"/>
          <w:vertAlign w:val="baseline"/>
        </w:rPr>
        <w:t> and that of the First or Second Vice-President when acting</w:t>
      </w:r>
      <w:r>
        <w:rPr>
          <w:spacing w:val="-13"/>
          <w:sz w:val="20"/>
          <w:vertAlign w:val="baseline"/>
        </w:rPr>
        <w:t> </w:t>
      </w:r>
      <w:r>
        <w:rPr>
          <w:sz w:val="20"/>
          <w:vertAlign w:val="baseline"/>
        </w:rPr>
        <w:t>as</w:t>
      </w:r>
      <w:r>
        <w:rPr>
          <w:spacing w:val="-12"/>
          <w:sz w:val="20"/>
          <w:vertAlign w:val="baseline"/>
        </w:rPr>
        <w:t> </w:t>
      </w:r>
      <w:r>
        <w:rPr>
          <w:sz w:val="20"/>
          <w:vertAlign w:val="baseline"/>
        </w:rPr>
        <w:t>President.</w:t>
      </w:r>
      <w:r>
        <w:rPr>
          <w:sz w:val="20"/>
          <w:vertAlign w:val="superscript"/>
        </w:rPr>
        <w:t>13</w:t>
      </w:r>
      <w:r>
        <w:rPr>
          <w:spacing w:val="-13"/>
          <w:sz w:val="20"/>
          <w:vertAlign w:val="baseline"/>
        </w:rPr>
        <w:t> </w:t>
      </w:r>
      <w:r>
        <w:rPr>
          <w:sz w:val="20"/>
          <w:vertAlign w:val="baseline"/>
        </w:rPr>
        <w:t>The</w:t>
      </w:r>
      <w:r>
        <w:rPr>
          <w:spacing w:val="-12"/>
          <w:sz w:val="20"/>
          <w:vertAlign w:val="baseline"/>
        </w:rPr>
        <w:t> </w:t>
      </w:r>
      <w:r>
        <w:rPr>
          <w:sz w:val="20"/>
          <w:vertAlign w:val="baseline"/>
        </w:rPr>
        <w:t>regular</w:t>
      </w:r>
      <w:r>
        <w:rPr>
          <w:spacing w:val="-13"/>
          <w:sz w:val="20"/>
          <w:vertAlign w:val="baseline"/>
        </w:rPr>
        <w:t> </w:t>
      </w:r>
      <w:r>
        <w:rPr>
          <w:sz w:val="20"/>
          <w:vertAlign w:val="baseline"/>
        </w:rPr>
        <w:t>remuneration</w:t>
      </w:r>
      <w:r>
        <w:rPr>
          <w:spacing w:val="-12"/>
          <w:sz w:val="20"/>
          <w:vertAlign w:val="baseline"/>
        </w:rPr>
        <w:t> </w:t>
      </w:r>
      <w:r>
        <w:rPr>
          <w:sz w:val="20"/>
          <w:vertAlign w:val="baseline"/>
        </w:rPr>
        <w:t>of</w:t>
      </w:r>
      <w:r>
        <w:rPr>
          <w:spacing w:val="-13"/>
          <w:sz w:val="20"/>
          <w:vertAlign w:val="baseline"/>
        </w:rPr>
        <w:t> </w:t>
      </w:r>
      <w:r>
        <w:rPr>
          <w:sz w:val="20"/>
          <w:vertAlign w:val="baseline"/>
        </w:rPr>
        <w:t>the</w:t>
      </w:r>
      <w:r>
        <w:rPr>
          <w:spacing w:val="-12"/>
          <w:sz w:val="20"/>
          <w:vertAlign w:val="baseline"/>
        </w:rPr>
        <w:t> </w:t>
      </w:r>
      <w:r>
        <w:rPr>
          <w:sz w:val="20"/>
          <w:vertAlign w:val="baseline"/>
        </w:rPr>
        <w:t>Presidency’s</w:t>
      </w:r>
      <w:r>
        <w:rPr>
          <w:spacing w:val="-13"/>
          <w:sz w:val="20"/>
          <w:vertAlign w:val="baseline"/>
        </w:rPr>
        <w:t> </w:t>
      </w:r>
      <w:r>
        <w:rPr>
          <w:sz w:val="20"/>
          <w:vertAlign w:val="baseline"/>
        </w:rPr>
        <w:t>three</w:t>
      </w:r>
      <w:r>
        <w:rPr>
          <w:spacing w:val="-12"/>
          <w:sz w:val="20"/>
          <w:vertAlign w:val="baseline"/>
        </w:rPr>
        <w:t> </w:t>
      </w:r>
      <w:r>
        <w:rPr>
          <w:sz w:val="20"/>
          <w:vertAlign w:val="baseline"/>
        </w:rPr>
        <w:t>members</w:t>
      </w:r>
      <w:r>
        <w:rPr>
          <w:spacing w:val="-13"/>
          <w:sz w:val="20"/>
          <w:vertAlign w:val="baseline"/>
        </w:rPr>
        <w:t> </w:t>
      </w:r>
      <w:r>
        <w:rPr>
          <w:sz w:val="20"/>
          <w:vertAlign w:val="baseline"/>
        </w:rPr>
        <w:t>is</w:t>
      </w:r>
      <w:r>
        <w:rPr>
          <w:spacing w:val="-12"/>
          <w:sz w:val="20"/>
          <w:vertAlign w:val="baseline"/>
        </w:rPr>
        <w:t> </w:t>
      </w:r>
      <w:r>
        <w:rPr>
          <w:sz w:val="20"/>
          <w:vertAlign w:val="baseline"/>
        </w:rPr>
        <w:t>included in Sub-programme 1200.</w:t>
      </w:r>
    </w:p>
    <w:p>
      <w:pPr>
        <w:pStyle w:val="BodyText"/>
        <w:rPr>
          <w:sz w:val="21"/>
        </w:rPr>
      </w:pPr>
    </w:p>
    <w:p>
      <w:pPr>
        <w:pStyle w:val="Heading3"/>
        <w:tabs>
          <w:tab w:pos="5830" w:val="left" w:leader="none"/>
        </w:tabs>
        <w:spacing w:before="1"/>
        <w:ind w:left="0"/>
        <w:jc w:val="center"/>
      </w:pPr>
      <w:r>
        <w:rPr/>
        <w:t>Staff</w:t>
      </w:r>
      <w:r>
        <w:rPr>
          <w:spacing w:val="-2"/>
        </w:rPr>
        <w:t> resources</w:t>
      </w:r>
      <w:r>
        <w:rPr/>
        <w:tab/>
        <w:t>€1,257.5</w:t>
      </w:r>
      <w:r>
        <w:rPr>
          <w:spacing w:val="-6"/>
        </w:rPr>
        <w:t> </w:t>
      </w:r>
      <w:r>
        <w:rPr>
          <w:spacing w:val="-2"/>
        </w:rPr>
        <w:t>thousand</w:t>
      </w:r>
    </w:p>
    <w:p>
      <w:pPr>
        <w:pStyle w:val="BodyText"/>
        <w:spacing w:before="10"/>
        <w:rPr>
          <w:b/>
        </w:rPr>
      </w:pPr>
    </w:p>
    <w:p>
      <w:pPr>
        <w:pStyle w:val="ListParagraph"/>
        <w:numPr>
          <w:ilvl w:val="0"/>
          <w:numId w:val="4"/>
        </w:numPr>
        <w:tabs>
          <w:tab w:pos="2967" w:val="left" w:leader="none"/>
        </w:tabs>
        <w:spacing w:line="240" w:lineRule="auto" w:before="0" w:after="0"/>
        <w:ind w:left="2246" w:right="2242" w:firstLine="0"/>
        <w:jc w:val="both"/>
        <w:rPr>
          <w:sz w:val="20"/>
        </w:rPr>
      </w:pPr>
      <w:r>
        <w:rPr>
          <w:sz w:val="20"/>
        </w:rPr>
        <w:t>The</w:t>
      </w:r>
      <w:r>
        <w:rPr>
          <w:spacing w:val="40"/>
          <w:sz w:val="20"/>
        </w:rPr>
        <w:t> </w:t>
      </w:r>
      <w:r>
        <w:rPr>
          <w:sz w:val="20"/>
        </w:rPr>
        <w:t>amount</w:t>
      </w:r>
      <w:r>
        <w:rPr>
          <w:spacing w:val="40"/>
          <w:sz w:val="20"/>
        </w:rPr>
        <w:t> </w:t>
      </w:r>
      <w:r>
        <w:rPr>
          <w:sz w:val="20"/>
        </w:rPr>
        <w:t>requested</w:t>
      </w:r>
      <w:r>
        <w:rPr>
          <w:spacing w:val="40"/>
          <w:sz w:val="20"/>
        </w:rPr>
        <w:t> </w:t>
      </w:r>
      <w:r>
        <w:rPr>
          <w:sz w:val="20"/>
        </w:rPr>
        <w:t>for</w:t>
      </w:r>
      <w:r>
        <w:rPr>
          <w:spacing w:val="40"/>
          <w:sz w:val="20"/>
        </w:rPr>
        <w:t> </w:t>
      </w:r>
      <w:r>
        <w:rPr>
          <w:sz w:val="20"/>
        </w:rPr>
        <w:t>established</w:t>
      </w:r>
      <w:r>
        <w:rPr>
          <w:spacing w:val="40"/>
          <w:sz w:val="20"/>
        </w:rPr>
        <w:t> </w:t>
      </w:r>
      <w:r>
        <w:rPr>
          <w:sz w:val="20"/>
        </w:rPr>
        <w:t>posts</w:t>
      </w:r>
      <w:r>
        <w:rPr>
          <w:spacing w:val="40"/>
          <w:sz w:val="20"/>
        </w:rPr>
        <w:t> </w:t>
      </w:r>
      <w:r>
        <w:rPr>
          <w:sz w:val="20"/>
        </w:rPr>
        <w:t>has</w:t>
      </w:r>
      <w:r>
        <w:rPr>
          <w:spacing w:val="40"/>
          <w:sz w:val="20"/>
        </w:rPr>
        <w:t> </w:t>
      </w:r>
      <w:r>
        <w:rPr>
          <w:sz w:val="20"/>
        </w:rPr>
        <w:t>increased</w:t>
      </w:r>
      <w:r>
        <w:rPr>
          <w:spacing w:val="40"/>
          <w:sz w:val="20"/>
        </w:rPr>
        <w:t> </w:t>
      </w:r>
      <w:r>
        <w:rPr>
          <w:sz w:val="20"/>
        </w:rPr>
        <w:t>by</w:t>
      </w:r>
      <w:r>
        <w:rPr>
          <w:spacing w:val="40"/>
          <w:sz w:val="20"/>
        </w:rPr>
        <w:t> </w:t>
      </w:r>
      <w:r>
        <w:rPr>
          <w:sz w:val="20"/>
        </w:rPr>
        <w:t>€37.7</w:t>
      </w:r>
      <w:r>
        <w:rPr>
          <w:spacing w:val="40"/>
          <w:sz w:val="20"/>
        </w:rPr>
        <w:t> </w:t>
      </w:r>
      <w:r>
        <w:rPr>
          <w:sz w:val="20"/>
        </w:rPr>
        <w:t>thousand (3.1 per cent). The Presidency comprises 11 established posts, all of which are recurrent.</w:t>
      </w:r>
    </w:p>
    <w:p>
      <w:pPr>
        <w:pStyle w:val="BodyText"/>
        <w:spacing w:before="11"/>
      </w:pPr>
    </w:p>
    <w:p>
      <w:pPr>
        <w:tabs>
          <w:tab w:pos="5890" w:val="left" w:leader="none"/>
        </w:tabs>
        <w:spacing w:before="0"/>
        <w:ind w:left="3" w:right="0" w:firstLine="0"/>
        <w:jc w:val="center"/>
        <w:rPr>
          <w:i/>
          <w:sz w:val="20"/>
        </w:rPr>
      </w:pPr>
      <w:r>
        <w:rPr>
          <w:i/>
          <w:sz w:val="20"/>
        </w:rPr>
        <w:t>Established</w:t>
      </w:r>
      <w:r>
        <w:rPr>
          <w:i/>
          <w:spacing w:val="-8"/>
          <w:sz w:val="20"/>
        </w:rPr>
        <w:t> </w:t>
      </w:r>
      <w:r>
        <w:rPr>
          <w:i/>
          <w:sz w:val="20"/>
        </w:rPr>
        <w:t>posts:</w:t>
      </w:r>
      <w:r>
        <w:rPr>
          <w:i/>
          <w:spacing w:val="-11"/>
          <w:sz w:val="20"/>
        </w:rPr>
        <w:t> </w:t>
      </w:r>
      <w:r>
        <w:rPr>
          <w:i/>
          <w:sz w:val="20"/>
        </w:rPr>
        <w:t>Professional</w:t>
      </w:r>
      <w:r>
        <w:rPr>
          <w:i/>
          <w:spacing w:val="-6"/>
          <w:sz w:val="20"/>
        </w:rPr>
        <w:t> </w:t>
      </w:r>
      <w:r>
        <w:rPr>
          <w:i/>
          <w:sz w:val="20"/>
        </w:rPr>
        <w:t>and</w:t>
      </w:r>
      <w:r>
        <w:rPr>
          <w:i/>
          <w:spacing w:val="-8"/>
          <w:sz w:val="20"/>
        </w:rPr>
        <w:t> </w:t>
      </w:r>
      <w:r>
        <w:rPr>
          <w:i/>
          <w:sz w:val="20"/>
        </w:rPr>
        <w:t>General</w:t>
      </w:r>
      <w:r>
        <w:rPr>
          <w:i/>
          <w:spacing w:val="-9"/>
          <w:sz w:val="20"/>
        </w:rPr>
        <w:t> </w:t>
      </w:r>
      <w:r>
        <w:rPr>
          <w:i/>
          <w:spacing w:val="-2"/>
          <w:sz w:val="20"/>
        </w:rPr>
        <w:t>Service</w:t>
      </w:r>
      <w:r>
        <w:rPr>
          <w:i/>
          <w:sz w:val="20"/>
        </w:rPr>
        <w:tab/>
        <w:t>€1,257.5</w:t>
      </w:r>
      <w:r>
        <w:rPr>
          <w:i/>
          <w:spacing w:val="-4"/>
          <w:sz w:val="20"/>
        </w:rPr>
        <w:t> </w:t>
      </w:r>
      <w:r>
        <w:rPr>
          <w:i/>
          <w:spacing w:val="-2"/>
          <w:sz w:val="20"/>
        </w:rPr>
        <w:t>thousand</w:t>
      </w:r>
    </w:p>
    <w:p>
      <w:pPr>
        <w:pStyle w:val="BodyText"/>
        <w:spacing w:before="11"/>
        <w:rPr>
          <w:i/>
        </w:rPr>
      </w:pPr>
    </w:p>
    <w:p>
      <w:pPr>
        <w:pStyle w:val="ListParagraph"/>
        <w:numPr>
          <w:ilvl w:val="0"/>
          <w:numId w:val="4"/>
        </w:numPr>
        <w:tabs>
          <w:tab w:pos="2967" w:val="left" w:leader="none"/>
        </w:tabs>
        <w:spacing w:line="240" w:lineRule="auto" w:before="0" w:after="0"/>
        <w:ind w:left="2246" w:right="2238" w:firstLine="0"/>
        <w:jc w:val="both"/>
        <w:rPr>
          <w:sz w:val="20"/>
        </w:rPr>
      </w:pPr>
      <w:r>
        <w:rPr>
          <w:sz w:val="20"/>
        </w:rPr>
        <w:t>The</w:t>
      </w:r>
      <w:r>
        <w:rPr>
          <w:spacing w:val="-2"/>
          <w:sz w:val="20"/>
        </w:rPr>
        <w:t> </w:t>
      </w:r>
      <w:r>
        <w:rPr>
          <w:sz w:val="20"/>
        </w:rPr>
        <w:t>Presidency</w:t>
      </w:r>
      <w:r>
        <w:rPr>
          <w:spacing w:val="-4"/>
          <w:sz w:val="20"/>
        </w:rPr>
        <w:t> </w:t>
      </w:r>
      <w:r>
        <w:rPr>
          <w:sz w:val="20"/>
        </w:rPr>
        <w:t>support</w:t>
      </w:r>
      <w:r>
        <w:rPr>
          <w:spacing w:val="-2"/>
          <w:sz w:val="20"/>
        </w:rPr>
        <w:t> </w:t>
      </w:r>
      <w:r>
        <w:rPr>
          <w:sz w:val="20"/>
        </w:rPr>
        <w:t>staff</w:t>
      </w:r>
      <w:r>
        <w:rPr>
          <w:spacing w:val="-4"/>
          <w:sz w:val="20"/>
        </w:rPr>
        <w:t> </w:t>
      </w:r>
      <w:r>
        <w:rPr>
          <w:sz w:val="20"/>
        </w:rPr>
        <w:t>is</w:t>
      </w:r>
      <w:r>
        <w:rPr>
          <w:spacing w:val="-5"/>
          <w:sz w:val="20"/>
        </w:rPr>
        <w:t> </w:t>
      </w:r>
      <w:r>
        <w:rPr>
          <w:sz w:val="20"/>
        </w:rPr>
        <w:t>led</w:t>
      </w:r>
      <w:r>
        <w:rPr>
          <w:spacing w:val="-4"/>
          <w:sz w:val="20"/>
        </w:rPr>
        <w:t> </w:t>
      </w:r>
      <w:r>
        <w:rPr>
          <w:sz w:val="20"/>
        </w:rPr>
        <w:t>by</w:t>
      </w:r>
      <w:r>
        <w:rPr>
          <w:spacing w:val="-8"/>
          <w:sz w:val="20"/>
        </w:rPr>
        <w:t> </w:t>
      </w:r>
      <w:r>
        <w:rPr>
          <w:sz w:val="20"/>
        </w:rPr>
        <w:t>a</w:t>
      </w:r>
      <w:r>
        <w:rPr>
          <w:spacing w:val="-2"/>
          <w:sz w:val="20"/>
        </w:rPr>
        <w:t> </w:t>
      </w:r>
      <w:r>
        <w:rPr>
          <w:sz w:val="20"/>
        </w:rPr>
        <w:t>Chef</w:t>
      </w:r>
      <w:r>
        <w:rPr>
          <w:spacing w:val="-4"/>
          <w:sz w:val="20"/>
        </w:rPr>
        <w:t> </w:t>
      </w:r>
      <w:r>
        <w:rPr>
          <w:sz w:val="20"/>
        </w:rPr>
        <w:t>de</w:t>
      </w:r>
      <w:r>
        <w:rPr>
          <w:spacing w:val="-2"/>
          <w:sz w:val="20"/>
        </w:rPr>
        <w:t> </w:t>
      </w:r>
      <w:r>
        <w:rPr>
          <w:sz w:val="20"/>
        </w:rPr>
        <w:t>Cabinet</w:t>
      </w:r>
      <w:r>
        <w:rPr>
          <w:spacing w:val="-2"/>
          <w:sz w:val="20"/>
        </w:rPr>
        <w:t> </w:t>
      </w:r>
      <w:r>
        <w:rPr>
          <w:sz w:val="20"/>
        </w:rPr>
        <w:t>to</w:t>
      </w:r>
      <w:r>
        <w:rPr>
          <w:spacing w:val="-4"/>
          <w:sz w:val="20"/>
        </w:rPr>
        <w:t> </w:t>
      </w:r>
      <w:r>
        <w:rPr>
          <w:sz w:val="20"/>
        </w:rPr>
        <w:t>the President</w:t>
      </w:r>
      <w:r>
        <w:rPr>
          <w:spacing w:val="-2"/>
          <w:sz w:val="20"/>
        </w:rPr>
        <w:t> </w:t>
      </w:r>
      <w:r>
        <w:rPr>
          <w:sz w:val="20"/>
        </w:rPr>
        <w:t>(P-5)</w:t>
      </w:r>
      <w:r>
        <w:rPr>
          <w:spacing w:val="-4"/>
          <w:sz w:val="20"/>
        </w:rPr>
        <w:t> </w:t>
      </w:r>
      <w:r>
        <w:rPr>
          <w:sz w:val="20"/>
        </w:rPr>
        <w:t>who is responsible for staff management, strategic planning and guidance, and for representing the Presidency at working, strategic and senior levels at inter-organ and external meetings. The</w:t>
      </w:r>
      <w:r>
        <w:rPr>
          <w:spacing w:val="-2"/>
          <w:sz w:val="20"/>
        </w:rPr>
        <w:t> </w:t>
      </w:r>
      <w:r>
        <w:rPr>
          <w:sz w:val="20"/>
        </w:rPr>
        <w:t>current</w:t>
      </w:r>
      <w:r>
        <w:rPr>
          <w:spacing w:val="-2"/>
          <w:sz w:val="20"/>
        </w:rPr>
        <w:t> </w:t>
      </w:r>
      <w:r>
        <w:rPr>
          <w:sz w:val="20"/>
        </w:rPr>
        <w:t>structure</w:t>
      </w:r>
      <w:r>
        <w:rPr>
          <w:spacing w:val="-2"/>
          <w:sz w:val="20"/>
        </w:rPr>
        <w:t> </w:t>
      </w:r>
      <w:r>
        <w:rPr>
          <w:sz w:val="20"/>
        </w:rPr>
        <w:t>also</w:t>
      </w:r>
      <w:r>
        <w:rPr>
          <w:spacing w:val="-4"/>
          <w:sz w:val="20"/>
        </w:rPr>
        <w:t> </w:t>
      </w:r>
      <w:r>
        <w:rPr>
          <w:sz w:val="20"/>
        </w:rPr>
        <w:t>includes the Head,</w:t>
      </w:r>
      <w:r>
        <w:rPr>
          <w:spacing w:val="-1"/>
          <w:sz w:val="20"/>
        </w:rPr>
        <w:t> </w:t>
      </w:r>
      <w:r>
        <w:rPr>
          <w:sz w:val="20"/>
        </w:rPr>
        <w:t>Legal</w:t>
      </w:r>
      <w:r>
        <w:rPr>
          <w:spacing w:val="-2"/>
          <w:sz w:val="20"/>
        </w:rPr>
        <w:t> </w:t>
      </w:r>
      <w:r>
        <w:rPr>
          <w:sz w:val="20"/>
        </w:rPr>
        <w:t>and</w:t>
      </w:r>
      <w:r>
        <w:rPr>
          <w:spacing w:val="-4"/>
          <w:sz w:val="20"/>
        </w:rPr>
        <w:t> </w:t>
      </w:r>
      <w:r>
        <w:rPr>
          <w:sz w:val="20"/>
        </w:rPr>
        <w:t>Enforcement Unit (P-4), whose unit includes</w:t>
      </w:r>
      <w:r>
        <w:rPr>
          <w:spacing w:val="-5"/>
          <w:sz w:val="20"/>
        </w:rPr>
        <w:t> </w:t>
      </w:r>
      <w:r>
        <w:rPr>
          <w:sz w:val="20"/>
        </w:rPr>
        <w:t>one</w:t>
      </w:r>
      <w:r>
        <w:rPr>
          <w:spacing w:val="-2"/>
          <w:sz w:val="20"/>
        </w:rPr>
        <w:t> </w:t>
      </w:r>
      <w:r>
        <w:rPr>
          <w:sz w:val="20"/>
        </w:rPr>
        <w:t>Legal Officer (P-3)</w:t>
      </w:r>
      <w:r>
        <w:rPr>
          <w:spacing w:val="-4"/>
          <w:sz w:val="20"/>
        </w:rPr>
        <w:t> </w:t>
      </w:r>
      <w:r>
        <w:rPr>
          <w:sz w:val="20"/>
        </w:rPr>
        <w:t>and</w:t>
      </w:r>
      <w:r>
        <w:rPr>
          <w:spacing w:val="-4"/>
          <w:sz w:val="20"/>
        </w:rPr>
        <w:t> </w:t>
      </w:r>
      <w:r>
        <w:rPr>
          <w:sz w:val="20"/>
        </w:rPr>
        <w:t>one</w:t>
      </w:r>
      <w:r>
        <w:rPr>
          <w:spacing w:val="-2"/>
          <w:sz w:val="20"/>
        </w:rPr>
        <w:t> </w:t>
      </w:r>
      <w:r>
        <w:rPr>
          <w:sz w:val="20"/>
        </w:rPr>
        <w:t>Associate Legal Officer (P-2)</w:t>
      </w:r>
      <w:r>
        <w:rPr>
          <w:spacing w:val="-4"/>
          <w:sz w:val="20"/>
        </w:rPr>
        <w:t> </w:t>
      </w:r>
      <w:r>
        <w:rPr>
          <w:sz w:val="20"/>
        </w:rPr>
        <w:t>who are responsible for coordinating and providing substantive legal support to the Presidency. The external relations functions of the Presidency are currently performed by one External Relations Adviser (P-3) and one Administrative Assistant (External Relations) (GS-OL). The administrative functions of the Presidency are performed by one Policy and Administration Adviser (P-3) and one Associate Administrative Officer (P-2). The remaining Presidency staff is composed of one Personal Assistant to the President (GS-PL), one Administrative Coordinator to the Judiciary (GS-OL) and one Administrative Assistant (GS-OL) assigned to the Chef de Cabinet who provide wide-ranging administrative and logistical support.</w:t>
      </w:r>
    </w:p>
    <w:p>
      <w:pPr>
        <w:pStyle w:val="BodyText"/>
        <w:rPr>
          <w:sz w:val="21"/>
        </w:rPr>
      </w:pPr>
    </w:p>
    <w:p>
      <w:pPr>
        <w:pStyle w:val="Heading3"/>
        <w:tabs>
          <w:tab w:pos="6080" w:val="left" w:leader="none"/>
        </w:tabs>
        <w:ind w:left="1"/>
        <w:jc w:val="center"/>
      </w:pPr>
      <w:r>
        <w:rPr/>
        <w:t>Non-staff</w:t>
      </w:r>
      <w:r>
        <w:rPr>
          <w:spacing w:val="-4"/>
        </w:rPr>
        <w:t> </w:t>
      </w:r>
      <w:r>
        <w:rPr>
          <w:spacing w:val="-2"/>
        </w:rPr>
        <w:t>resources</w:t>
      </w:r>
      <w:r>
        <w:rPr/>
        <w:tab/>
        <w:t>€97.5</w:t>
      </w:r>
      <w:r>
        <w:rPr>
          <w:spacing w:val="-3"/>
        </w:rPr>
        <w:t> </w:t>
      </w:r>
      <w:r>
        <w:rPr>
          <w:spacing w:val="-2"/>
        </w:rPr>
        <w:t>thousand</w:t>
      </w:r>
    </w:p>
    <w:p>
      <w:pPr>
        <w:pStyle w:val="BodyText"/>
        <w:spacing w:before="5"/>
        <w:rPr>
          <w:b/>
        </w:rPr>
      </w:pPr>
    </w:p>
    <w:p>
      <w:pPr>
        <w:pStyle w:val="ListParagraph"/>
        <w:numPr>
          <w:ilvl w:val="0"/>
          <w:numId w:val="4"/>
        </w:numPr>
        <w:tabs>
          <w:tab w:pos="2967" w:val="left" w:leader="none"/>
        </w:tabs>
        <w:spacing w:line="240" w:lineRule="auto" w:before="1" w:after="0"/>
        <w:ind w:left="2246" w:right="2246" w:firstLine="0"/>
        <w:jc w:val="both"/>
        <w:rPr>
          <w:sz w:val="20"/>
        </w:rPr>
      </w:pPr>
      <w:r>
        <w:rPr>
          <w:sz w:val="20"/>
        </w:rPr>
        <w:t>Non-staff resources are required for travel, hospitality, training and consultants. The proposed amount remains the same as that approved for 2022.</w:t>
      </w:r>
    </w:p>
    <w:p>
      <w:pPr>
        <w:pStyle w:val="BodyText"/>
        <w:spacing w:before="10"/>
      </w:pPr>
    </w:p>
    <w:p>
      <w:pPr>
        <w:tabs>
          <w:tab w:pos="6141" w:val="left" w:leader="none"/>
        </w:tabs>
        <w:spacing w:before="0"/>
        <w:ind w:left="4" w:right="0" w:firstLine="0"/>
        <w:jc w:val="center"/>
        <w:rPr>
          <w:i/>
          <w:sz w:val="20"/>
        </w:rPr>
      </w:pPr>
      <w:r>
        <w:rPr>
          <w:i/>
          <w:spacing w:val="-2"/>
          <w:sz w:val="20"/>
        </w:rPr>
        <w:t>Travel</w:t>
      </w:r>
      <w:r>
        <w:rPr>
          <w:i/>
          <w:sz w:val="20"/>
        </w:rPr>
        <w:tab/>
        <w:t>€75.2</w:t>
      </w:r>
      <w:r>
        <w:rPr>
          <w:i/>
          <w:spacing w:val="-3"/>
          <w:sz w:val="20"/>
        </w:rPr>
        <w:t> </w:t>
      </w:r>
      <w:r>
        <w:rPr>
          <w:i/>
          <w:spacing w:val="-2"/>
          <w:sz w:val="20"/>
        </w:rPr>
        <w:t>thousand</w:t>
      </w:r>
    </w:p>
    <w:p>
      <w:pPr>
        <w:pStyle w:val="BodyText"/>
        <w:spacing w:before="11"/>
        <w:rPr>
          <w:i/>
        </w:rPr>
      </w:pPr>
    </w:p>
    <w:p>
      <w:pPr>
        <w:pStyle w:val="ListParagraph"/>
        <w:numPr>
          <w:ilvl w:val="0"/>
          <w:numId w:val="4"/>
        </w:numPr>
        <w:tabs>
          <w:tab w:pos="2967" w:val="left" w:leader="none"/>
        </w:tabs>
        <w:spacing w:line="240" w:lineRule="auto" w:before="0" w:after="0"/>
        <w:ind w:left="2246" w:right="2242" w:firstLine="0"/>
        <w:jc w:val="both"/>
        <w:rPr>
          <w:sz w:val="20"/>
        </w:rPr>
      </w:pPr>
      <w:r>
        <w:rPr>
          <w:sz w:val="20"/>
        </w:rPr>
        <w:t>The requested amount remains the same as that approved for 2022. In 2023, the President (or the Vice-Presidents, on his behalf) will continue working to build confidence in the Court, which requires travel to engage with States, civil society, professional associations and other stakeholders. The President also travels annually to the seat of the United Nations to present the Court’s annual report to the General Assembly.</w:t>
      </w:r>
    </w:p>
    <w:p>
      <w:pPr>
        <w:pStyle w:val="ListParagraph"/>
        <w:numPr>
          <w:ilvl w:val="0"/>
          <w:numId w:val="4"/>
        </w:numPr>
        <w:tabs>
          <w:tab w:pos="2967" w:val="left" w:leader="none"/>
        </w:tabs>
        <w:spacing w:line="240" w:lineRule="auto" w:before="122" w:after="0"/>
        <w:ind w:left="2246" w:right="2240" w:firstLine="0"/>
        <w:jc w:val="both"/>
        <w:rPr>
          <w:sz w:val="20"/>
        </w:rPr>
      </w:pPr>
      <w:r>
        <w:rPr>
          <w:sz w:val="20"/>
        </w:rPr>
        <w:t>The Presidency’s travel funds are required for all official travel by judges and by staff</w:t>
      </w:r>
      <w:r>
        <w:rPr>
          <w:spacing w:val="-4"/>
          <w:sz w:val="20"/>
        </w:rPr>
        <w:t> </w:t>
      </w:r>
      <w:r>
        <w:rPr>
          <w:sz w:val="20"/>
        </w:rPr>
        <w:t>of</w:t>
      </w:r>
      <w:r>
        <w:rPr>
          <w:spacing w:val="-8"/>
          <w:sz w:val="20"/>
        </w:rPr>
        <w:t> </w:t>
      </w:r>
      <w:r>
        <w:rPr>
          <w:sz w:val="20"/>
        </w:rPr>
        <w:t>the</w:t>
      </w:r>
      <w:r>
        <w:rPr>
          <w:spacing w:val="-2"/>
          <w:sz w:val="20"/>
        </w:rPr>
        <w:t> </w:t>
      </w:r>
      <w:r>
        <w:rPr>
          <w:sz w:val="20"/>
        </w:rPr>
        <w:t>Presidency</w:t>
      </w:r>
      <w:r>
        <w:rPr>
          <w:spacing w:val="-4"/>
          <w:sz w:val="20"/>
        </w:rPr>
        <w:t> </w:t>
      </w:r>
      <w:r>
        <w:rPr>
          <w:sz w:val="20"/>
        </w:rPr>
        <w:t>and</w:t>
      </w:r>
      <w:r>
        <w:rPr>
          <w:spacing w:val="-4"/>
          <w:sz w:val="20"/>
        </w:rPr>
        <w:t> </w:t>
      </w:r>
      <w:r>
        <w:rPr>
          <w:sz w:val="20"/>
        </w:rPr>
        <w:t>Chambers,</w:t>
      </w:r>
      <w:r>
        <w:rPr>
          <w:spacing w:val="-6"/>
          <w:sz w:val="20"/>
        </w:rPr>
        <w:t> </w:t>
      </w:r>
      <w:r>
        <w:rPr>
          <w:sz w:val="20"/>
        </w:rPr>
        <w:t>including</w:t>
      </w:r>
      <w:r>
        <w:rPr>
          <w:spacing w:val="-8"/>
          <w:sz w:val="20"/>
        </w:rPr>
        <w:t> </w:t>
      </w:r>
      <w:r>
        <w:rPr>
          <w:sz w:val="20"/>
        </w:rPr>
        <w:t>the</w:t>
      </w:r>
      <w:r>
        <w:rPr>
          <w:spacing w:val="-2"/>
          <w:sz w:val="20"/>
        </w:rPr>
        <w:t> </w:t>
      </w:r>
      <w:r>
        <w:rPr>
          <w:sz w:val="20"/>
        </w:rPr>
        <w:t>President,</w:t>
      </w:r>
      <w:r>
        <w:rPr>
          <w:spacing w:val="-6"/>
          <w:sz w:val="20"/>
        </w:rPr>
        <w:t> </w:t>
      </w:r>
      <w:r>
        <w:rPr>
          <w:sz w:val="20"/>
        </w:rPr>
        <w:t>the</w:t>
      </w:r>
      <w:r>
        <w:rPr>
          <w:spacing w:val="-2"/>
          <w:sz w:val="20"/>
        </w:rPr>
        <w:t> </w:t>
      </w:r>
      <w:r>
        <w:rPr>
          <w:sz w:val="20"/>
        </w:rPr>
        <w:t>Vice-Presidents</w:t>
      </w:r>
      <w:r>
        <w:rPr>
          <w:spacing w:val="-5"/>
          <w:sz w:val="20"/>
        </w:rPr>
        <w:t> </w:t>
      </w:r>
      <w:r>
        <w:rPr>
          <w:sz w:val="20"/>
        </w:rPr>
        <w:t>and</w:t>
      </w:r>
      <w:r>
        <w:rPr>
          <w:spacing w:val="-8"/>
          <w:sz w:val="20"/>
        </w:rPr>
        <w:t> </w:t>
      </w:r>
      <w:r>
        <w:rPr>
          <w:sz w:val="20"/>
        </w:rPr>
        <w:t>other judges, to represent the Court at important external events. These funds also cover two judicial retreats, the costs associated with the opening of the judicial year and a limited amount of necessary travel by Presidency and Chambers staff to support the Presidency’s external role or to provide expert contributions to external events where funding from the organizers is unavailable. These costs are recurrent.</w:t>
      </w:r>
    </w:p>
    <w:p>
      <w:pPr>
        <w:pStyle w:val="BodyText"/>
        <w:spacing w:before="9"/>
      </w:pPr>
    </w:p>
    <w:p>
      <w:pPr>
        <w:tabs>
          <w:tab w:pos="6145" w:val="left" w:leader="none"/>
        </w:tabs>
        <w:spacing w:before="0"/>
        <w:ind w:left="4" w:right="0" w:firstLine="0"/>
        <w:jc w:val="center"/>
        <w:rPr>
          <w:i/>
          <w:sz w:val="20"/>
        </w:rPr>
      </w:pPr>
      <w:r>
        <w:rPr>
          <w:i/>
          <w:spacing w:val="-2"/>
          <w:sz w:val="20"/>
        </w:rPr>
        <w:t>Hospitality</w:t>
      </w:r>
      <w:r>
        <w:rPr>
          <w:i/>
          <w:sz w:val="20"/>
        </w:rPr>
        <w:tab/>
        <w:t>€10.0</w:t>
      </w:r>
      <w:r>
        <w:rPr>
          <w:i/>
          <w:spacing w:val="-8"/>
          <w:sz w:val="20"/>
        </w:rPr>
        <w:t> </w:t>
      </w:r>
      <w:r>
        <w:rPr>
          <w:i/>
          <w:spacing w:val="-2"/>
          <w:sz w:val="20"/>
        </w:rPr>
        <w:t>thousand</w:t>
      </w:r>
    </w:p>
    <w:p>
      <w:pPr>
        <w:pStyle w:val="BodyText"/>
        <w:spacing w:before="11"/>
        <w:rPr>
          <w:i/>
        </w:rPr>
      </w:pPr>
    </w:p>
    <w:p>
      <w:pPr>
        <w:pStyle w:val="ListParagraph"/>
        <w:numPr>
          <w:ilvl w:val="0"/>
          <w:numId w:val="4"/>
        </w:numPr>
        <w:tabs>
          <w:tab w:pos="2967" w:val="left" w:leader="none"/>
        </w:tabs>
        <w:spacing w:line="240" w:lineRule="auto" w:before="0" w:after="0"/>
        <w:ind w:left="2246" w:right="2242" w:firstLine="0"/>
        <w:jc w:val="both"/>
        <w:rPr>
          <w:sz w:val="20"/>
        </w:rPr>
      </w:pPr>
      <w:r>
        <w:rPr>
          <w:sz w:val="20"/>
        </w:rPr>
        <w:t>The requested amount remains unchanged and is required for goodwill and hospitality</w:t>
      </w:r>
      <w:r>
        <w:rPr>
          <w:spacing w:val="-8"/>
          <w:sz w:val="20"/>
        </w:rPr>
        <w:t> </w:t>
      </w:r>
      <w:r>
        <w:rPr>
          <w:sz w:val="20"/>
        </w:rPr>
        <w:t>costs</w:t>
      </w:r>
      <w:r>
        <w:rPr>
          <w:spacing w:val="-10"/>
          <w:sz w:val="20"/>
        </w:rPr>
        <w:t> </w:t>
      </w:r>
      <w:r>
        <w:rPr>
          <w:sz w:val="20"/>
        </w:rPr>
        <w:t>associated</w:t>
      </w:r>
      <w:r>
        <w:rPr>
          <w:spacing w:val="-4"/>
          <w:sz w:val="20"/>
        </w:rPr>
        <w:t> </w:t>
      </w:r>
      <w:r>
        <w:rPr>
          <w:sz w:val="20"/>
        </w:rPr>
        <w:t>with</w:t>
      </w:r>
      <w:r>
        <w:rPr>
          <w:spacing w:val="-8"/>
          <w:sz w:val="20"/>
        </w:rPr>
        <w:t> </w:t>
      </w:r>
      <w:r>
        <w:rPr>
          <w:sz w:val="20"/>
        </w:rPr>
        <w:t>visits</w:t>
      </w:r>
      <w:r>
        <w:rPr>
          <w:spacing w:val="-5"/>
          <w:sz w:val="20"/>
        </w:rPr>
        <w:t> </w:t>
      </w:r>
      <w:r>
        <w:rPr>
          <w:sz w:val="20"/>
        </w:rPr>
        <w:t>by</w:t>
      </w:r>
      <w:r>
        <w:rPr>
          <w:spacing w:val="-4"/>
          <w:sz w:val="20"/>
        </w:rPr>
        <w:t> </w:t>
      </w:r>
      <w:r>
        <w:rPr>
          <w:sz w:val="20"/>
        </w:rPr>
        <w:t>Heads</w:t>
      </w:r>
      <w:r>
        <w:rPr>
          <w:spacing w:val="-10"/>
          <w:sz w:val="20"/>
        </w:rPr>
        <w:t> </w:t>
      </w:r>
      <w:r>
        <w:rPr>
          <w:sz w:val="20"/>
        </w:rPr>
        <w:t>of</w:t>
      </w:r>
      <w:r>
        <w:rPr>
          <w:spacing w:val="-4"/>
          <w:sz w:val="20"/>
        </w:rPr>
        <w:t> </w:t>
      </w:r>
      <w:r>
        <w:rPr>
          <w:sz w:val="20"/>
        </w:rPr>
        <w:t>State</w:t>
      </w:r>
      <w:r>
        <w:rPr>
          <w:spacing w:val="-2"/>
          <w:sz w:val="20"/>
        </w:rPr>
        <w:t> </w:t>
      </w:r>
      <w:r>
        <w:rPr>
          <w:sz w:val="20"/>
        </w:rPr>
        <w:t>or</w:t>
      </w:r>
      <w:r>
        <w:rPr>
          <w:spacing w:val="-4"/>
          <w:sz w:val="20"/>
        </w:rPr>
        <w:t> </w:t>
      </w:r>
      <w:r>
        <w:rPr>
          <w:sz w:val="20"/>
        </w:rPr>
        <w:t>Government,</w:t>
      </w:r>
      <w:r>
        <w:rPr>
          <w:spacing w:val="-6"/>
          <w:sz w:val="20"/>
        </w:rPr>
        <w:t> </w:t>
      </w:r>
      <w:r>
        <w:rPr>
          <w:sz w:val="20"/>
        </w:rPr>
        <w:t>ministers</w:t>
      </w:r>
      <w:r>
        <w:rPr>
          <w:spacing w:val="-10"/>
          <w:sz w:val="20"/>
        </w:rPr>
        <w:t> </w:t>
      </w:r>
      <w:r>
        <w:rPr>
          <w:sz w:val="20"/>
        </w:rPr>
        <w:t>and</w:t>
      </w:r>
      <w:r>
        <w:rPr>
          <w:spacing w:val="-4"/>
          <w:sz w:val="20"/>
        </w:rPr>
        <w:t> </w:t>
      </w:r>
      <w:r>
        <w:rPr>
          <w:sz w:val="20"/>
        </w:rPr>
        <w:t>other senior representatives of States (including ambassadors) and intergovernmental organizations</w:t>
      </w:r>
      <w:r>
        <w:rPr>
          <w:spacing w:val="-13"/>
          <w:sz w:val="20"/>
        </w:rPr>
        <w:t> </w:t>
      </w:r>
      <w:r>
        <w:rPr>
          <w:sz w:val="20"/>
        </w:rPr>
        <w:t>to</w:t>
      </w:r>
      <w:r>
        <w:rPr>
          <w:spacing w:val="-12"/>
          <w:sz w:val="20"/>
        </w:rPr>
        <w:t> </w:t>
      </w:r>
      <w:r>
        <w:rPr>
          <w:sz w:val="20"/>
        </w:rPr>
        <w:t>meet</w:t>
      </w:r>
      <w:r>
        <w:rPr>
          <w:spacing w:val="-13"/>
          <w:sz w:val="20"/>
        </w:rPr>
        <w:t> </w:t>
      </w:r>
      <w:r>
        <w:rPr>
          <w:sz w:val="20"/>
        </w:rPr>
        <w:t>with</w:t>
      </w:r>
      <w:r>
        <w:rPr>
          <w:spacing w:val="-12"/>
          <w:sz w:val="20"/>
        </w:rPr>
        <w:t> </w:t>
      </w:r>
      <w:r>
        <w:rPr>
          <w:sz w:val="20"/>
        </w:rPr>
        <w:t>the</w:t>
      </w:r>
      <w:r>
        <w:rPr>
          <w:spacing w:val="-13"/>
          <w:sz w:val="20"/>
        </w:rPr>
        <w:t> </w:t>
      </w:r>
      <w:r>
        <w:rPr>
          <w:sz w:val="20"/>
        </w:rPr>
        <w:t>President</w:t>
      </w:r>
      <w:r>
        <w:rPr>
          <w:spacing w:val="-12"/>
          <w:sz w:val="20"/>
        </w:rPr>
        <w:t> </w:t>
      </w:r>
      <w:r>
        <w:rPr>
          <w:sz w:val="20"/>
        </w:rPr>
        <w:t>or</w:t>
      </w:r>
      <w:r>
        <w:rPr>
          <w:spacing w:val="-13"/>
          <w:sz w:val="20"/>
        </w:rPr>
        <w:t> </w:t>
      </w:r>
      <w:r>
        <w:rPr>
          <w:sz w:val="20"/>
        </w:rPr>
        <w:t>the</w:t>
      </w:r>
      <w:r>
        <w:rPr>
          <w:spacing w:val="-12"/>
          <w:sz w:val="20"/>
        </w:rPr>
        <w:t> </w:t>
      </w:r>
      <w:r>
        <w:rPr>
          <w:sz w:val="20"/>
        </w:rPr>
        <w:t>Vice-Presidents.</w:t>
      </w:r>
      <w:r>
        <w:rPr>
          <w:spacing w:val="-13"/>
          <w:sz w:val="20"/>
        </w:rPr>
        <w:t> </w:t>
      </w:r>
      <w:r>
        <w:rPr>
          <w:sz w:val="20"/>
        </w:rPr>
        <w:t>The</w:t>
      </w:r>
      <w:r>
        <w:rPr>
          <w:spacing w:val="-7"/>
          <w:sz w:val="20"/>
        </w:rPr>
        <w:t> </w:t>
      </w:r>
      <w:r>
        <w:rPr>
          <w:sz w:val="20"/>
        </w:rPr>
        <w:t>hospitality</w:t>
      </w:r>
      <w:r>
        <w:rPr>
          <w:spacing w:val="-12"/>
          <w:sz w:val="20"/>
        </w:rPr>
        <w:t> </w:t>
      </w:r>
      <w:r>
        <w:rPr>
          <w:sz w:val="20"/>
        </w:rPr>
        <w:t>budget</w:t>
      </w:r>
      <w:r>
        <w:rPr>
          <w:spacing w:val="-13"/>
          <w:sz w:val="20"/>
        </w:rPr>
        <w:t> </w:t>
      </w:r>
      <w:r>
        <w:rPr>
          <w:sz w:val="20"/>
        </w:rPr>
        <w:t>is</w:t>
      </w:r>
      <w:r>
        <w:rPr>
          <w:spacing w:val="-12"/>
          <w:sz w:val="20"/>
        </w:rPr>
        <w:t> </w:t>
      </w:r>
      <w:r>
        <w:rPr>
          <w:sz w:val="20"/>
        </w:rPr>
        <w:t>also used to cover</w:t>
      </w:r>
      <w:r>
        <w:rPr>
          <w:spacing w:val="16"/>
          <w:sz w:val="20"/>
        </w:rPr>
        <w:t> </w:t>
      </w:r>
      <w:r>
        <w:rPr>
          <w:sz w:val="20"/>
        </w:rPr>
        <w:t>the</w:t>
      </w:r>
      <w:r>
        <w:rPr>
          <w:spacing w:val="17"/>
          <w:sz w:val="20"/>
        </w:rPr>
        <w:t> </w:t>
      </w:r>
      <w:r>
        <w:rPr>
          <w:sz w:val="20"/>
        </w:rPr>
        <w:t>Judiciary’s contributions</w:t>
      </w:r>
      <w:r>
        <w:rPr>
          <w:spacing w:val="19"/>
          <w:sz w:val="20"/>
        </w:rPr>
        <w:t> </w:t>
      </w:r>
      <w:r>
        <w:rPr>
          <w:sz w:val="20"/>
        </w:rPr>
        <w:t>to Court events,</w:t>
      </w:r>
      <w:r>
        <w:rPr>
          <w:spacing w:val="18"/>
          <w:sz w:val="20"/>
        </w:rPr>
        <w:t> </w:t>
      </w:r>
      <w:r>
        <w:rPr>
          <w:sz w:val="20"/>
        </w:rPr>
        <w:t>such as Diplomatic</w:t>
      </w:r>
      <w:r>
        <w:rPr>
          <w:spacing w:val="17"/>
          <w:sz w:val="20"/>
        </w:rPr>
        <w:t> </w:t>
      </w:r>
      <w:r>
        <w:rPr>
          <w:sz w:val="20"/>
        </w:rPr>
        <w:t>Briefings,</w:t>
      </w:r>
    </w:p>
    <w:p>
      <w:pPr>
        <w:pStyle w:val="BodyText"/>
      </w:pPr>
    </w:p>
    <w:p>
      <w:pPr>
        <w:pStyle w:val="BodyText"/>
        <w:spacing w:before="8"/>
        <w:rPr>
          <w:sz w:val="27"/>
        </w:rPr>
      </w:pPr>
      <w:r>
        <w:rPr/>
        <w:pict>
          <v:rect style="position:absolute;margin-left:113.330002pt;margin-top:17.151642pt;width:144.050pt;height:.47998pt;mso-position-horizontal-relative:page;mso-position-vertical-relative:paragraph;z-index:-15724032;mso-wrap-distance-left:0;mso-wrap-distance-right:0" id="docshape47" filled="true" fillcolor="#000000" stroked="false">
            <v:fill type="solid"/>
            <w10:wrap type="topAndBottom"/>
          </v:rect>
        </w:pict>
      </w:r>
    </w:p>
    <w:p>
      <w:pPr>
        <w:spacing w:line="240" w:lineRule="auto" w:before="86"/>
        <w:ind w:left="2246" w:right="2245" w:firstLine="0"/>
        <w:jc w:val="both"/>
        <w:rPr>
          <w:sz w:val="16"/>
        </w:rPr>
      </w:pPr>
      <w:r>
        <w:rPr>
          <w:position w:val="5"/>
          <w:sz w:val="10"/>
        </w:rPr>
        <w:t>12</w:t>
      </w:r>
      <w:r>
        <w:rPr>
          <w:spacing w:val="37"/>
          <w:position w:val="5"/>
          <w:sz w:val="10"/>
        </w:rPr>
        <w:t> </w:t>
      </w:r>
      <w:r>
        <w:rPr>
          <w:sz w:val="16"/>
        </w:rPr>
        <w:t>Official Records of the Assembly of States Parties to the Rome Statute of the International Criminal Court,</w:t>
      </w:r>
      <w:r>
        <w:rPr>
          <w:spacing w:val="40"/>
          <w:sz w:val="16"/>
        </w:rPr>
        <w:t> </w:t>
      </w:r>
      <w:r>
        <w:rPr>
          <w:sz w:val="16"/>
        </w:rPr>
        <w:t>Nineteenth session, The Hague, 14-16 December 2020 (ICC-ASP/19/20), vol. I, part III, ICC-ASP/19/Res.3,</w:t>
      </w:r>
      <w:r>
        <w:rPr>
          <w:spacing w:val="40"/>
          <w:sz w:val="16"/>
        </w:rPr>
        <w:t> </w:t>
      </w:r>
      <w:r>
        <w:rPr>
          <w:sz w:val="16"/>
        </w:rPr>
        <w:t>Annex I, para.1.</w:t>
      </w:r>
    </w:p>
    <w:p>
      <w:pPr>
        <w:spacing w:before="0"/>
        <w:ind w:left="2246" w:right="0" w:firstLine="0"/>
        <w:jc w:val="both"/>
        <w:rPr>
          <w:sz w:val="16"/>
        </w:rPr>
      </w:pPr>
      <w:r>
        <w:rPr>
          <w:position w:val="5"/>
          <w:sz w:val="10"/>
        </w:rPr>
        <w:t>13</w:t>
      </w:r>
      <w:r>
        <w:rPr>
          <w:spacing w:val="13"/>
          <w:position w:val="5"/>
          <w:sz w:val="10"/>
        </w:rPr>
        <w:t> </w:t>
      </w:r>
      <w:r>
        <w:rPr>
          <w:sz w:val="16"/>
        </w:rPr>
        <w:t>Ibid.,</w:t>
      </w:r>
      <w:r>
        <w:rPr>
          <w:spacing w:val="-3"/>
          <w:sz w:val="16"/>
        </w:rPr>
        <w:t> </w:t>
      </w:r>
      <w:r>
        <w:rPr>
          <w:sz w:val="16"/>
        </w:rPr>
        <w:t>para.</w:t>
      </w:r>
      <w:r>
        <w:rPr>
          <w:spacing w:val="-4"/>
          <w:sz w:val="16"/>
        </w:rPr>
        <w:t> </w:t>
      </w:r>
      <w:r>
        <w:rPr>
          <w:spacing w:val="-5"/>
          <w:sz w:val="16"/>
        </w:rPr>
        <w:t>2.</w:t>
      </w:r>
    </w:p>
    <w:p>
      <w:pPr>
        <w:spacing w:after="0"/>
        <w:jc w:val="both"/>
        <w:rPr>
          <w:sz w:val="16"/>
        </w:rPr>
        <w:sectPr>
          <w:pgSz w:w="11910" w:h="16840"/>
          <w:pgMar w:header="953" w:footer="940" w:top="1140" w:bottom="1140" w:left="20" w:right="20"/>
        </w:sectPr>
      </w:pPr>
    </w:p>
    <w:p>
      <w:pPr>
        <w:pStyle w:val="BodyText"/>
        <w:spacing w:before="120"/>
        <w:ind w:left="2246" w:right="2195"/>
      </w:pPr>
      <w:r>
        <w:rPr/>
        <w:t>the</w:t>
      </w:r>
      <w:r>
        <w:rPr>
          <w:spacing w:val="-2"/>
        </w:rPr>
        <w:t> </w:t>
      </w:r>
      <w:r>
        <w:rPr/>
        <w:t>NGO Roundtable and welcome and signing ceremonies,</w:t>
      </w:r>
      <w:r>
        <w:rPr>
          <w:spacing w:val="-1"/>
        </w:rPr>
        <w:t> </w:t>
      </w:r>
      <w:r>
        <w:rPr/>
        <w:t>which are jointly funded by all organs. These costs are recurrent.</w:t>
      </w:r>
    </w:p>
    <w:p>
      <w:pPr>
        <w:pStyle w:val="BodyText"/>
        <w:spacing w:before="11"/>
      </w:pPr>
    </w:p>
    <w:p>
      <w:pPr>
        <w:tabs>
          <w:tab w:pos="8484" w:val="left" w:leader="none"/>
        </w:tabs>
        <w:spacing w:before="0"/>
        <w:ind w:left="2246" w:right="0" w:firstLine="0"/>
        <w:jc w:val="left"/>
        <w:rPr>
          <w:i/>
          <w:sz w:val="20"/>
        </w:rPr>
      </w:pPr>
      <w:r>
        <w:rPr>
          <w:i/>
          <w:spacing w:val="-2"/>
          <w:sz w:val="20"/>
        </w:rPr>
        <w:t>Training</w:t>
      </w:r>
      <w:r>
        <w:rPr>
          <w:i/>
          <w:sz w:val="20"/>
        </w:rPr>
        <w:tab/>
        <w:t>€7.3</w:t>
      </w:r>
      <w:r>
        <w:rPr>
          <w:i/>
          <w:spacing w:val="-3"/>
          <w:sz w:val="20"/>
        </w:rPr>
        <w:t> </w:t>
      </w:r>
      <w:r>
        <w:rPr>
          <w:i/>
          <w:spacing w:val="-2"/>
          <w:sz w:val="20"/>
        </w:rPr>
        <w:t>thousand</w:t>
      </w:r>
    </w:p>
    <w:p>
      <w:pPr>
        <w:pStyle w:val="BodyText"/>
        <w:spacing w:before="11"/>
        <w:rPr>
          <w:i/>
        </w:rPr>
      </w:pPr>
    </w:p>
    <w:p>
      <w:pPr>
        <w:pStyle w:val="ListParagraph"/>
        <w:numPr>
          <w:ilvl w:val="0"/>
          <w:numId w:val="4"/>
        </w:numPr>
        <w:tabs>
          <w:tab w:pos="2967" w:val="left" w:leader="none"/>
        </w:tabs>
        <w:spacing w:line="240" w:lineRule="auto" w:before="0" w:after="0"/>
        <w:ind w:left="2246" w:right="2241" w:firstLine="0"/>
        <w:jc w:val="both"/>
        <w:rPr>
          <w:sz w:val="20"/>
        </w:rPr>
      </w:pPr>
      <w:r>
        <w:rPr>
          <w:sz w:val="20"/>
        </w:rPr>
        <w:t>The</w:t>
      </w:r>
      <w:r>
        <w:rPr>
          <w:spacing w:val="-3"/>
          <w:sz w:val="20"/>
        </w:rPr>
        <w:t> </w:t>
      </w:r>
      <w:r>
        <w:rPr>
          <w:sz w:val="20"/>
        </w:rPr>
        <w:t>requested</w:t>
      </w:r>
      <w:r>
        <w:rPr>
          <w:spacing w:val="-5"/>
          <w:sz w:val="20"/>
        </w:rPr>
        <w:t> </w:t>
      </w:r>
      <w:r>
        <w:rPr>
          <w:sz w:val="20"/>
        </w:rPr>
        <w:t>amount remains</w:t>
      </w:r>
      <w:r>
        <w:rPr>
          <w:spacing w:val="-1"/>
          <w:sz w:val="20"/>
        </w:rPr>
        <w:t> </w:t>
      </w:r>
      <w:r>
        <w:rPr>
          <w:sz w:val="20"/>
        </w:rPr>
        <w:t>the</w:t>
      </w:r>
      <w:r>
        <w:rPr>
          <w:spacing w:val="-3"/>
          <w:sz w:val="20"/>
        </w:rPr>
        <w:t> </w:t>
      </w:r>
      <w:r>
        <w:rPr>
          <w:sz w:val="20"/>
        </w:rPr>
        <w:t>same</w:t>
      </w:r>
      <w:r>
        <w:rPr>
          <w:spacing w:val="-3"/>
          <w:sz w:val="20"/>
        </w:rPr>
        <w:t> </w:t>
      </w:r>
      <w:r>
        <w:rPr>
          <w:sz w:val="20"/>
        </w:rPr>
        <w:t>as</w:t>
      </w:r>
      <w:r>
        <w:rPr>
          <w:spacing w:val="-6"/>
          <w:sz w:val="20"/>
        </w:rPr>
        <w:t> </w:t>
      </w:r>
      <w:r>
        <w:rPr>
          <w:sz w:val="20"/>
        </w:rPr>
        <w:t>that</w:t>
      </w:r>
      <w:r>
        <w:rPr>
          <w:spacing w:val="-3"/>
          <w:sz w:val="20"/>
        </w:rPr>
        <w:t> </w:t>
      </w:r>
      <w:r>
        <w:rPr>
          <w:sz w:val="20"/>
        </w:rPr>
        <w:t>approved</w:t>
      </w:r>
      <w:r>
        <w:rPr>
          <w:spacing w:val="-5"/>
          <w:sz w:val="20"/>
        </w:rPr>
        <w:t> </w:t>
      </w:r>
      <w:r>
        <w:rPr>
          <w:sz w:val="20"/>
        </w:rPr>
        <w:t>for</w:t>
      </w:r>
      <w:r>
        <w:rPr>
          <w:spacing w:val="-9"/>
          <w:sz w:val="20"/>
        </w:rPr>
        <w:t> </w:t>
      </w:r>
      <w:r>
        <w:rPr>
          <w:sz w:val="20"/>
        </w:rPr>
        <w:t>2022.</w:t>
      </w:r>
      <w:r>
        <w:rPr>
          <w:spacing w:val="-2"/>
          <w:sz w:val="20"/>
        </w:rPr>
        <w:t> </w:t>
      </w:r>
      <w:r>
        <w:rPr>
          <w:sz w:val="20"/>
        </w:rPr>
        <w:t>The Presidency continues</w:t>
      </w:r>
      <w:r>
        <w:rPr>
          <w:spacing w:val="-10"/>
          <w:sz w:val="20"/>
        </w:rPr>
        <w:t> </w:t>
      </w:r>
      <w:r>
        <w:rPr>
          <w:sz w:val="20"/>
        </w:rPr>
        <w:t>to</w:t>
      </w:r>
      <w:r>
        <w:rPr>
          <w:spacing w:val="-13"/>
          <w:sz w:val="20"/>
        </w:rPr>
        <w:t> </w:t>
      </w:r>
      <w:r>
        <w:rPr>
          <w:sz w:val="20"/>
        </w:rPr>
        <w:t>require</w:t>
      </w:r>
      <w:r>
        <w:rPr>
          <w:spacing w:val="-11"/>
          <w:sz w:val="20"/>
        </w:rPr>
        <w:t> </w:t>
      </w:r>
      <w:r>
        <w:rPr>
          <w:sz w:val="20"/>
        </w:rPr>
        <w:t>this</w:t>
      </w:r>
      <w:r>
        <w:rPr>
          <w:spacing w:val="-10"/>
          <w:sz w:val="20"/>
        </w:rPr>
        <w:t> </w:t>
      </w:r>
      <w:r>
        <w:rPr>
          <w:sz w:val="20"/>
        </w:rPr>
        <w:t>budget</w:t>
      </w:r>
      <w:r>
        <w:rPr>
          <w:spacing w:val="-12"/>
          <w:sz w:val="20"/>
        </w:rPr>
        <w:t> </w:t>
      </w:r>
      <w:r>
        <w:rPr>
          <w:sz w:val="20"/>
        </w:rPr>
        <w:t>item</w:t>
      </w:r>
      <w:r>
        <w:rPr>
          <w:spacing w:val="-12"/>
          <w:sz w:val="20"/>
        </w:rPr>
        <w:t> </w:t>
      </w:r>
      <w:r>
        <w:rPr>
          <w:sz w:val="20"/>
        </w:rPr>
        <w:t>in</w:t>
      </w:r>
      <w:r>
        <w:rPr>
          <w:spacing w:val="-13"/>
          <w:sz w:val="20"/>
        </w:rPr>
        <w:t> </w:t>
      </w:r>
      <w:r>
        <w:rPr>
          <w:sz w:val="20"/>
        </w:rPr>
        <w:t>2023,</w:t>
      </w:r>
      <w:r>
        <w:rPr>
          <w:spacing w:val="-10"/>
          <w:sz w:val="20"/>
        </w:rPr>
        <w:t> </w:t>
      </w:r>
      <w:r>
        <w:rPr>
          <w:sz w:val="20"/>
        </w:rPr>
        <w:t>mainly</w:t>
      </w:r>
      <w:r>
        <w:rPr>
          <w:spacing w:val="-13"/>
          <w:sz w:val="20"/>
        </w:rPr>
        <w:t> </w:t>
      </w:r>
      <w:r>
        <w:rPr>
          <w:sz w:val="20"/>
        </w:rPr>
        <w:t>to</w:t>
      </w:r>
      <w:r>
        <w:rPr>
          <w:spacing w:val="-12"/>
          <w:sz w:val="20"/>
        </w:rPr>
        <w:t> </w:t>
      </w:r>
      <w:r>
        <w:rPr>
          <w:sz w:val="20"/>
        </w:rPr>
        <w:t>provide</w:t>
      </w:r>
      <w:r>
        <w:rPr>
          <w:spacing w:val="-7"/>
          <w:sz w:val="20"/>
        </w:rPr>
        <w:t> </w:t>
      </w:r>
      <w:r>
        <w:rPr>
          <w:sz w:val="20"/>
        </w:rPr>
        <w:t>its</w:t>
      </w:r>
      <w:r>
        <w:rPr>
          <w:spacing w:val="-10"/>
          <w:sz w:val="20"/>
        </w:rPr>
        <w:t> </w:t>
      </w:r>
      <w:r>
        <w:rPr>
          <w:sz w:val="20"/>
        </w:rPr>
        <w:t>staff</w:t>
      </w:r>
      <w:r>
        <w:rPr>
          <w:spacing w:val="-8"/>
          <w:sz w:val="20"/>
        </w:rPr>
        <w:t> </w:t>
      </w:r>
      <w:r>
        <w:rPr>
          <w:sz w:val="20"/>
        </w:rPr>
        <w:t>with</w:t>
      </w:r>
      <w:r>
        <w:rPr>
          <w:spacing w:val="-13"/>
          <w:sz w:val="20"/>
        </w:rPr>
        <w:t> </w:t>
      </w:r>
      <w:r>
        <w:rPr>
          <w:sz w:val="20"/>
        </w:rPr>
        <w:t>specific</w:t>
      </w:r>
      <w:r>
        <w:rPr>
          <w:spacing w:val="-10"/>
          <w:sz w:val="20"/>
        </w:rPr>
        <w:t> </w:t>
      </w:r>
      <w:r>
        <w:rPr>
          <w:sz w:val="20"/>
        </w:rPr>
        <w:t>training relevant to their legal and external relations functions and in the areas of management and, to a lesser extent, language skills. These costs are recurrent.</w:t>
      </w:r>
    </w:p>
    <w:p>
      <w:pPr>
        <w:pStyle w:val="BodyText"/>
        <w:rPr>
          <w:sz w:val="21"/>
        </w:rPr>
      </w:pPr>
    </w:p>
    <w:p>
      <w:pPr>
        <w:tabs>
          <w:tab w:pos="8484" w:val="left" w:leader="none"/>
        </w:tabs>
        <w:spacing w:before="0"/>
        <w:ind w:left="2246" w:right="0" w:firstLine="0"/>
        <w:jc w:val="left"/>
        <w:rPr>
          <w:i/>
          <w:sz w:val="20"/>
        </w:rPr>
      </w:pPr>
      <w:r>
        <w:rPr>
          <w:i/>
          <w:spacing w:val="-2"/>
          <w:sz w:val="20"/>
        </w:rPr>
        <w:t>Consultants</w:t>
      </w:r>
      <w:r>
        <w:rPr>
          <w:i/>
          <w:sz w:val="20"/>
        </w:rPr>
        <w:tab/>
        <w:t>€5.0</w:t>
      </w:r>
      <w:r>
        <w:rPr>
          <w:i/>
          <w:spacing w:val="-8"/>
          <w:sz w:val="20"/>
        </w:rPr>
        <w:t> </w:t>
      </w:r>
      <w:r>
        <w:rPr>
          <w:i/>
          <w:spacing w:val="-2"/>
          <w:sz w:val="20"/>
        </w:rPr>
        <w:t>thousand</w:t>
      </w:r>
    </w:p>
    <w:p>
      <w:pPr>
        <w:pStyle w:val="BodyText"/>
        <w:spacing w:before="11"/>
        <w:rPr>
          <w:i/>
        </w:rPr>
      </w:pPr>
    </w:p>
    <w:p>
      <w:pPr>
        <w:pStyle w:val="ListParagraph"/>
        <w:numPr>
          <w:ilvl w:val="0"/>
          <w:numId w:val="4"/>
        </w:numPr>
        <w:tabs>
          <w:tab w:pos="2967" w:val="left" w:leader="none"/>
        </w:tabs>
        <w:spacing w:line="240" w:lineRule="auto" w:before="0" w:after="0"/>
        <w:ind w:left="2246" w:right="2242" w:firstLine="0"/>
        <w:jc w:val="both"/>
        <w:rPr>
          <w:sz w:val="20"/>
        </w:rPr>
      </w:pPr>
      <w:r>
        <w:rPr>
          <w:sz w:val="20"/>
        </w:rPr>
        <w:t>The</w:t>
      </w:r>
      <w:r>
        <w:rPr>
          <w:spacing w:val="-7"/>
          <w:sz w:val="20"/>
        </w:rPr>
        <w:t> </w:t>
      </w:r>
      <w:r>
        <w:rPr>
          <w:sz w:val="20"/>
        </w:rPr>
        <w:t>requested</w:t>
      </w:r>
      <w:r>
        <w:rPr>
          <w:spacing w:val="-8"/>
          <w:sz w:val="20"/>
        </w:rPr>
        <w:t> </w:t>
      </w:r>
      <w:r>
        <w:rPr>
          <w:sz w:val="20"/>
        </w:rPr>
        <w:t>amount</w:t>
      </w:r>
      <w:r>
        <w:rPr>
          <w:spacing w:val="-3"/>
          <w:sz w:val="20"/>
        </w:rPr>
        <w:t> </w:t>
      </w:r>
      <w:r>
        <w:rPr>
          <w:sz w:val="20"/>
        </w:rPr>
        <w:t>remains</w:t>
      </w:r>
      <w:r>
        <w:rPr>
          <w:spacing w:val="-10"/>
          <w:sz w:val="20"/>
        </w:rPr>
        <w:t> </w:t>
      </w:r>
      <w:r>
        <w:rPr>
          <w:sz w:val="20"/>
        </w:rPr>
        <w:t>unchanged</w:t>
      </w:r>
      <w:r>
        <w:rPr>
          <w:spacing w:val="-8"/>
          <w:sz w:val="20"/>
        </w:rPr>
        <w:t> </w:t>
      </w:r>
      <w:r>
        <w:rPr>
          <w:sz w:val="20"/>
        </w:rPr>
        <w:t>from</w:t>
      </w:r>
      <w:r>
        <w:rPr>
          <w:spacing w:val="-7"/>
          <w:sz w:val="20"/>
        </w:rPr>
        <w:t> </w:t>
      </w:r>
      <w:r>
        <w:rPr>
          <w:sz w:val="20"/>
        </w:rPr>
        <w:t>the</w:t>
      </w:r>
      <w:r>
        <w:rPr>
          <w:spacing w:val="-7"/>
          <w:sz w:val="20"/>
        </w:rPr>
        <w:t> </w:t>
      </w:r>
      <w:r>
        <w:rPr>
          <w:sz w:val="20"/>
        </w:rPr>
        <w:t>amount</w:t>
      </w:r>
      <w:r>
        <w:rPr>
          <w:spacing w:val="-7"/>
          <w:sz w:val="20"/>
        </w:rPr>
        <w:t> </w:t>
      </w:r>
      <w:r>
        <w:rPr>
          <w:sz w:val="20"/>
        </w:rPr>
        <w:t>approved</w:t>
      </w:r>
      <w:r>
        <w:rPr>
          <w:spacing w:val="-8"/>
          <w:sz w:val="20"/>
        </w:rPr>
        <w:t> </w:t>
      </w:r>
      <w:r>
        <w:rPr>
          <w:sz w:val="20"/>
        </w:rPr>
        <w:t>for</w:t>
      </w:r>
      <w:r>
        <w:rPr>
          <w:spacing w:val="-8"/>
          <w:sz w:val="20"/>
        </w:rPr>
        <w:t> </w:t>
      </w:r>
      <w:r>
        <w:rPr>
          <w:sz w:val="20"/>
        </w:rPr>
        <w:t>2022.</w:t>
      </w:r>
      <w:r>
        <w:rPr>
          <w:spacing w:val="-6"/>
          <w:sz w:val="20"/>
        </w:rPr>
        <w:t> </w:t>
      </w:r>
      <w:r>
        <w:rPr>
          <w:sz w:val="20"/>
        </w:rPr>
        <w:t>The resources</w:t>
      </w:r>
      <w:r>
        <w:rPr>
          <w:spacing w:val="-10"/>
          <w:sz w:val="20"/>
        </w:rPr>
        <w:t> </w:t>
      </w:r>
      <w:r>
        <w:rPr>
          <w:sz w:val="20"/>
        </w:rPr>
        <w:t>are</w:t>
      </w:r>
      <w:r>
        <w:rPr>
          <w:spacing w:val="-7"/>
          <w:sz w:val="20"/>
        </w:rPr>
        <w:t> </w:t>
      </w:r>
      <w:r>
        <w:rPr>
          <w:sz w:val="20"/>
        </w:rPr>
        <w:t>required</w:t>
      </w:r>
      <w:r>
        <w:rPr>
          <w:spacing w:val="-8"/>
          <w:sz w:val="20"/>
        </w:rPr>
        <w:t> </w:t>
      </w:r>
      <w:r>
        <w:rPr>
          <w:sz w:val="20"/>
        </w:rPr>
        <w:t>to</w:t>
      </w:r>
      <w:r>
        <w:rPr>
          <w:spacing w:val="-8"/>
          <w:sz w:val="20"/>
        </w:rPr>
        <w:t> </w:t>
      </w:r>
      <w:r>
        <w:rPr>
          <w:sz w:val="20"/>
        </w:rPr>
        <w:t>cover</w:t>
      </w:r>
      <w:r>
        <w:rPr>
          <w:spacing w:val="-13"/>
          <w:sz w:val="20"/>
        </w:rPr>
        <w:t> </w:t>
      </w:r>
      <w:r>
        <w:rPr>
          <w:sz w:val="20"/>
        </w:rPr>
        <w:t>the</w:t>
      </w:r>
      <w:r>
        <w:rPr>
          <w:spacing w:val="-10"/>
          <w:sz w:val="20"/>
        </w:rPr>
        <w:t> </w:t>
      </w:r>
      <w:r>
        <w:rPr>
          <w:sz w:val="20"/>
        </w:rPr>
        <w:t>costs</w:t>
      </w:r>
      <w:r>
        <w:rPr>
          <w:spacing w:val="-10"/>
          <w:sz w:val="20"/>
        </w:rPr>
        <w:t> </w:t>
      </w:r>
      <w:r>
        <w:rPr>
          <w:sz w:val="20"/>
        </w:rPr>
        <w:t>of</w:t>
      </w:r>
      <w:r>
        <w:rPr>
          <w:spacing w:val="-8"/>
          <w:sz w:val="20"/>
        </w:rPr>
        <w:t> </w:t>
      </w:r>
      <w:r>
        <w:rPr>
          <w:sz w:val="20"/>
        </w:rPr>
        <w:t>external</w:t>
      </w:r>
      <w:r>
        <w:rPr>
          <w:spacing w:val="-7"/>
          <w:sz w:val="20"/>
        </w:rPr>
        <w:t> </w:t>
      </w:r>
      <w:r>
        <w:rPr>
          <w:sz w:val="20"/>
        </w:rPr>
        <w:t>consultants’</w:t>
      </w:r>
      <w:r>
        <w:rPr>
          <w:spacing w:val="-8"/>
          <w:sz w:val="20"/>
        </w:rPr>
        <w:t> </w:t>
      </w:r>
      <w:r>
        <w:rPr>
          <w:sz w:val="20"/>
        </w:rPr>
        <w:t>advice</w:t>
      </w:r>
      <w:r>
        <w:rPr>
          <w:spacing w:val="-7"/>
          <w:sz w:val="20"/>
        </w:rPr>
        <w:t> </w:t>
      </w:r>
      <w:r>
        <w:rPr>
          <w:sz w:val="20"/>
        </w:rPr>
        <w:t>on</w:t>
      </w:r>
      <w:r>
        <w:rPr>
          <w:spacing w:val="-8"/>
          <w:sz w:val="20"/>
        </w:rPr>
        <w:t> </w:t>
      </w:r>
      <w:r>
        <w:rPr>
          <w:sz w:val="20"/>
        </w:rPr>
        <w:t>matters</w:t>
      </w:r>
      <w:r>
        <w:rPr>
          <w:spacing w:val="-10"/>
          <w:sz w:val="20"/>
        </w:rPr>
        <w:t> </w:t>
      </w:r>
      <w:r>
        <w:rPr>
          <w:sz w:val="20"/>
        </w:rPr>
        <w:t>within</w:t>
      </w:r>
      <w:r>
        <w:rPr>
          <w:spacing w:val="-8"/>
          <w:sz w:val="20"/>
        </w:rPr>
        <w:t> </w:t>
      </w:r>
      <w:r>
        <w:rPr>
          <w:sz w:val="20"/>
        </w:rPr>
        <w:t>the mandate of the Judiciary, including enforcement-related matters. These costs are recurrent.</w:t>
      </w:r>
    </w:p>
    <w:p>
      <w:pPr>
        <w:pStyle w:val="BodyText"/>
        <w:spacing w:before="5"/>
        <w:rPr>
          <w:sz w:val="12"/>
        </w:rPr>
      </w:pPr>
    </w:p>
    <w:p>
      <w:pPr>
        <w:spacing w:after="0"/>
        <w:rPr>
          <w:sz w:val="12"/>
        </w:rPr>
        <w:sectPr>
          <w:pgSz w:w="11910" w:h="16840"/>
          <w:pgMar w:header="957" w:footer="940" w:top="1140" w:bottom="1140" w:left="20" w:right="20"/>
        </w:sectPr>
      </w:pPr>
    </w:p>
    <w:p>
      <w:pPr>
        <w:pStyle w:val="Heading3"/>
        <w:spacing w:before="94"/>
      </w:pPr>
      <w:r>
        <w:rPr/>
        <w:pict>
          <v:shape style="position:absolute;margin-left:56.664001pt;margin-top:16.195892pt;width:482.15pt;height:.5pt;mso-position-horizontal-relative:page;mso-position-vertical-relative:paragraph;z-index:15733760" id="docshape48" coordorigin="1133,324" coordsize="9643,10" path="m3597,324l3587,324,3587,324,1133,324,1133,334,3587,334,3587,334,3597,334,3597,324xm6867,324l6857,324,3597,324,3597,334,6857,334,6867,334,6867,324xm7966,324l6867,324,6867,334,7966,334,7966,324xm10775,324l9681,324,9671,324,9671,324,7976,324,7967,324,7967,334,7976,334,9671,334,9671,334,9681,334,10775,334,10775,324xe" filled="true" fillcolor="#000000" stroked="false">
            <v:path arrowok="t"/>
            <v:fill type="solid"/>
            <w10:wrap type="none"/>
          </v:shape>
        </w:pict>
      </w:r>
      <w:r>
        <w:rPr/>
        <w:t>Table</w:t>
      </w:r>
      <w:r>
        <w:rPr>
          <w:spacing w:val="-7"/>
        </w:rPr>
        <w:t> </w:t>
      </w:r>
      <w:r>
        <w:rPr/>
        <w:t>7:</w:t>
      </w:r>
      <w:r>
        <w:rPr>
          <w:spacing w:val="-7"/>
        </w:rPr>
        <w:t> </w:t>
      </w:r>
      <w:r>
        <w:rPr/>
        <w:t>Programme</w:t>
      </w:r>
      <w:r>
        <w:rPr>
          <w:spacing w:val="-4"/>
        </w:rPr>
        <w:t> </w:t>
      </w:r>
      <w:r>
        <w:rPr/>
        <w:t>1100:</w:t>
      </w:r>
      <w:r>
        <w:rPr>
          <w:spacing w:val="-7"/>
        </w:rPr>
        <w:t> </w:t>
      </w:r>
      <w:r>
        <w:rPr/>
        <w:t>Proposed</w:t>
      </w:r>
      <w:r>
        <w:rPr>
          <w:spacing w:val="-7"/>
        </w:rPr>
        <w:t> </w:t>
      </w:r>
      <w:r>
        <w:rPr/>
        <w:t>staffing</w:t>
      </w:r>
      <w:r>
        <w:rPr>
          <w:spacing w:val="-7"/>
        </w:rPr>
        <w:t> </w:t>
      </w:r>
      <w:r>
        <w:rPr/>
        <w:t>for</w:t>
      </w:r>
      <w:r>
        <w:rPr>
          <w:spacing w:val="-4"/>
        </w:rPr>
        <w:t> 2023</w:t>
      </w:r>
    </w:p>
    <w:p>
      <w:pPr>
        <w:tabs>
          <w:tab w:pos="3922" w:val="left" w:leader="none"/>
          <w:tab w:pos="6837" w:val="left" w:leader="none"/>
          <w:tab w:pos="7552" w:val="right" w:leader="none"/>
        </w:tabs>
        <w:spacing w:before="109"/>
        <w:ind w:left="3567" w:right="0" w:firstLine="0"/>
        <w:jc w:val="left"/>
        <w:rPr>
          <w:sz w:val="16"/>
        </w:rPr>
      </w:pPr>
      <w:r>
        <w:rPr/>
        <w:pict>
          <v:shape style="position:absolute;margin-left:56.664001pt;margin-top:80.668755pt;width:482.15pt;height:.5pt;mso-position-horizontal-relative:page;mso-position-vertical-relative:paragraph;z-index:-43839488" id="docshape49" coordorigin="1133,1613" coordsize="9643,10" path="m3597,1613l3587,1613,3587,1613,1133,1613,1133,1623,3587,1623,3587,1623,3597,1623,3597,1613xm4677,1613l3597,1613,3597,1623,4677,1623,4677,1613xm6867,1613l6857,1613,6857,1613,5772,1613,5762,1613,5762,1613,4687,1613,4677,1613,4677,1623,4687,1623,5762,1623,5762,1623,5772,1623,6857,1623,6857,1623,6867,1623,6867,1613xm7966,1613l6867,1613,6867,1623,7966,1623,7966,1613xm9671,1613l8937,1613,8927,1613,8927,1613,7976,1613,7967,1613,7967,1623,7976,1623,8927,1623,8927,1623,8937,1623,9671,1623,9671,1613xm10775,1613l9681,1613,9671,1613,9671,1623,9681,1623,10775,1623,10775,1613xe" filled="true" fillcolor="#000000" stroked="false">
            <v:path arrowok="t"/>
            <v:fill type="solid"/>
            <w10:wrap type="none"/>
          </v:shape>
        </w:pict>
      </w:r>
      <w:r>
        <w:rPr/>
        <w:pict>
          <v:shape style="position:absolute;margin-left:56.664001pt;margin-top:115.229752pt;width:482.15pt;height:.5pt;mso-position-horizontal-relative:page;mso-position-vertical-relative:paragraph;z-index:-43838976" id="docshape50" coordorigin="1133,2305" coordsize="9643,10" path="m3597,2305l3587,2305,3587,2305,1133,2305,1133,2314,3587,2314,3587,2314,3597,2314,3597,2305xm4677,2305l3597,2305,3597,2314,4677,2314,4677,2305xm6867,2305l6857,2305,6857,2305,5772,2305,5762,2305,5762,2305,4687,2305,4677,2305,4677,2314,4687,2314,5762,2314,5762,2314,5772,2314,6857,2314,6857,2314,6867,2314,6867,2305xm7966,2305l6867,2305,6867,2314,7966,2314,7966,2305xm9671,2305l8937,2305,8927,2305,8927,2305,7976,2305,7967,2305,7967,2314,7976,2314,8927,2314,8927,2314,8937,2314,9671,2314,9671,2305xm10775,2305l9681,2305,9671,2305,9671,2314,9681,2314,10775,2314,10775,2305xe" filled="true" fillcolor="#000000" stroked="false">
            <v:path arrowok="t"/>
            <v:fill type="solid"/>
            <w10:wrap type="none"/>
          </v:shape>
        </w:pict>
      </w:r>
      <w:r>
        <w:rPr/>
        <w:pict>
          <v:shape style="position:absolute;margin-left:56.664001pt;margin-top:45.628796pt;width:482.15pt;height:23.7pt;mso-position-horizontal-relative:page;mso-position-vertical-relative:paragraph;z-index:15737344" type="#_x0000_t202" id="docshape51"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54"/>
                    <w:gridCol w:w="3271"/>
                    <w:gridCol w:w="1341"/>
                    <w:gridCol w:w="894"/>
                    <w:gridCol w:w="846"/>
                    <w:gridCol w:w="840"/>
                  </w:tblGrid>
                  <w:tr>
                    <w:trPr>
                      <w:trHeight w:val="226" w:hRule="atLeast"/>
                    </w:trPr>
                    <w:tc>
                      <w:tcPr>
                        <w:tcW w:w="2454" w:type="dxa"/>
                        <w:tcBorders>
                          <w:top w:val="single" w:sz="4" w:space="0" w:color="000000"/>
                        </w:tcBorders>
                      </w:tcPr>
                      <w:p>
                        <w:pPr>
                          <w:pStyle w:val="TableParagraph"/>
                          <w:spacing w:line="184" w:lineRule="exact" w:before="23"/>
                          <w:ind w:left="110"/>
                          <w:jc w:val="left"/>
                          <w:rPr>
                            <w:sz w:val="16"/>
                          </w:rPr>
                        </w:pPr>
                        <w:r>
                          <w:rPr>
                            <w:w w:val="95"/>
                            <w:sz w:val="16"/>
                          </w:rPr>
                          <w:t>Professional</w:t>
                        </w:r>
                        <w:r>
                          <w:rPr>
                            <w:spacing w:val="28"/>
                            <w:sz w:val="16"/>
                          </w:rPr>
                          <w:t> </w:t>
                        </w:r>
                        <w:r>
                          <w:rPr>
                            <w:spacing w:val="-2"/>
                            <w:sz w:val="16"/>
                          </w:rPr>
                          <w:t>staff</w:t>
                        </w:r>
                      </w:p>
                    </w:tc>
                    <w:tc>
                      <w:tcPr>
                        <w:tcW w:w="3271" w:type="dxa"/>
                        <w:vMerge w:val="restart"/>
                        <w:tcBorders>
                          <w:top w:val="single" w:sz="4" w:space="0" w:color="000000"/>
                          <w:bottom w:val="single" w:sz="4" w:space="0" w:color="000000"/>
                        </w:tcBorders>
                        <w:shd w:val="clear" w:color="auto" w:fill="D9D9D9"/>
                      </w:tcPr>
                      <w:p>
                        <w:pPr>
                          <w:pStyle w:val="TableParagraph"/>
                          <w:jc w:val="left"/>
                          <w:rPr>
                            <w:sz w:val="16"/>
                          </w:rPr>
                        </w:pPr>
                      </w:p>
                    </w:tc>
                    <w:tc>
                      <w:tcPr>
                        <w:tcW w:w="1341" w:type="dxa"/>
                        <w:tcBorders>
                          <w:top w:val="single" w:sz="4" w:space="0" w:color="000000"/>
                        </w:tcBorders>
                      </w:tcPr>
                      <w:p>
                        <w:pPr>
                          <w:pStyle w:val="TableParagraph"/>
                          <w:spacing w:line="184" w:lineRule="exact" w:before="23"/>
                          <w:ind w:right="339"/>
                          <w:rPr>
                            <w:sz w:val="16"/>
                          </w:rPr>
                        </w:pPr>
                        <w:r>
                          <w:rPr>
                            <w:spacing w:val="-2"/>
                            <w:sz w:val="16"/>
                          </w:rPr>
                          <w:t>905.2</w:t>
                        </w:r>
                      </w:p>
                    </w:tc>
                    <w:tc>
                      <w:tcPr>
                        <w:tcW w:w="894" w:type="dxa"/>
                        <w:tcBorders>
                          <w:top w:val="single" w:sz="4" w:space="0" w:color="000000"/>
                        </w:tcBorders>
                      </w:tcPr>
                      <w:p>
                        <w:pPr>
                          <w:pStyle w:val="TableParagraph"/>
                          <w:spacing w:line="184" w:lineRule="exact" w:before="23"/>
                          <w:ind w:right="273"/>
                          <w:rPr>
                            <w:sz w:val="16"/>
                          </w:rPr>
                        </w:pPr>
                        <w:r>
                          <w:rPr>
                            <w:spacing w:val="-4"/>
                            <w:sz w:val="16"/>
                          </w:rPr>
                          <w:t>30.9</w:t>
                        </w:r>
                      </w:p>
                    </w:tc>
                    <w:tc>
                      <w:tcPr>
                        <w:tcW w:w="846" w:type="dxa"/>
                        <w:tcBorders>
                          <w:top w:val="single" w:sz="4" w:space="0" w:color="000000"/>
                        </w:tcBorders>
                      </w:tcPr>
                      <w:p>
                        <w:pPr>
                          <w:pStyle w:val="TableParagraph"/>
                          <w:spacing w:line="184" w:lineRule="exact" w:before="23"/>
                          <w:ind w:left="270"/>
                          <w:jc w:val="left"/>
                          <w:rPr>
                            <w:sz w:val="16"/>
                          </w:rPr>
                        </w:pPr>
                        <w:r>
                          <w:rPr>
                            <w:spacing w:val="-5"/>
                            <w:sz w:val="16"/>
                          </w:rPr>
                          <w:t>3.4</w:t>
                        </w:r>
                      </w:p>
                    </w:tc>
                    <w:tc>
                      <w:tcPr>
                        <w:tcW w:w="840" w:type="dxa"/>
                        <w:tcBorders>
                          <w:top w:val="single" w:sz="4" w:space="0" w:color="000000"/>
                        </w:tcBorders>
                      </w:tcPr>
                      <w:p>
                        <w:pPr>
                          <w:pStyle w:val="TableParagraph"/>
                          <w:spacing w:line="184" w:lineRule="exact" w:before="23"/>
                          <w:ind w:right="105"/>
                          <w:rPr>
                            <w:sz w:val="16"/>
                          </w:rPr>
                        </w:pPr>
                        <w:r>
                          <w:rPr>
                            <w:spacing w:val="-2"/>
                            <w:sz w:val="16"/>
                          </w:rPr>
                          <w:t>936.1</w:t>
                        </w:r>
                      </w:p>
                    </w:tc>
                  </w:tr>
                  <w:tr>
                    <w:trPr>
                      <w:trHeight w:val="218" w:hRule="atLeast"/>
                    </w:trPr>
                    <w:tc>
                      <w:tcPr>
                        <w:tcW w:w="2454" w:type="dxa"/>
                        <w:tcBorders>
                          <w:bottom w:val="single" w:sz="4" w:space="0" w:color="000000"/>
                        </w:tcBorders>
                      </w:tcPr>
                      <w:p>
                        <w:pPr>
                          <w:pStyle w:val="TableParagraph"/>
                          <w:spacing w:before="12"/>
                          <w:ind w:left="110"/>
                          <w:jc w:val="left"/>
                          <w:rPr>
                            <w:sz w:val="16"/>
                          </w:rPr>
                        </w:pPr>
                        <w:r>
                          <w:rPr>
                            <w:sz w:val="16"/>
                          </w:rPr>
                          <w:t>General</w:t>
                        </w:r>
                        <w:r>
                          <w:rPr>
                            <w:spacing w:val="-6"/>
                            <w:sz w:val="16"/>
                          </w:rPr>
                          <w:t> </w:t>
                        </w:r>
                        <w:r>
                          <w:rPr>
                            <w:sz w:val="16"/>
                          </w:rPr>
                          <w:t>Service</w:t>
                        </w:r>
                        <w:r>
                          <w:rPr>
                            <w:spacing w:val="-4"/>
                            <w:sz w:val="16"/>
                          </w:rPr>
                          <w:t> staff</w:t>
                        </w:r>
                      </w:p>
                    </w:tc>
                    <w:tc>
                      <w:tcPr>
                        <w:tcW w:w="3271" w:type="dxa"/>
                        <w:vMerge/>
                        <w:tcBorders>
                          <w:top w:val="nil"/>
                          <w:bottom w:val="single" w:sz="4" w:space="0" w:color="000000"/>
                        </w:tcBorders>
                        <w:shd w:val="clear" w:color="auto" w:fill="D9D9D9"/>
                      </w:tcPr>
                      <w:p>
                        <w:pPr>
                          <w:rPr>
                            <w:sz w:val="2"/>
                            <w:szCs w:val="2"/>
                          </w:rPr>
                        </w:pPr>
                      </w:p>
                    </w:tc>
                    <w:tc>
                      <w:tcPr>
                        <w:tcW w:w="1341" w:type="dxa"/>
                        <w:tcBorders>
                          <w:bottom w:val="single" w:sz="4" w:space="0" w:color="000000"/>
                        </w:tcBorders>
                      </w:tcPr>
                      <w:p>
                        <w:pPr>
                          <w:pStyle w:val="TableParagraph"/>
                          <w:spacing w:before="12"/>
                          <w:ind w:right="339"/>
                          <w:rPr>
                            <w:sz w:val="16"/>
                          </w:rPr>
                        </w:pPr>
                        <w:r>
                          <w:rPr>
                            <w:spacing w:val="-2"/>
                            <w:sz w:val="16"/>
                          </w:rPr>
                          <w:t>314.6</w:t>
                        </w:r>
                      </w:p>
                    </w:tc>
                    <w:tc>
                      <w:tcPr>
                        <w:tcW w:w="894" w:type="dxa"/>
                        <w:tcBorders>
                          <w:bottom w:val="single" w:sz="4" w:space="0" w:color="000000"/>
                        </w:tcBorders>
                      </w:tcPr>
                      <w:p>
                        <w:pPr>
                          <w:pStyle w:val="TableParagraph"/>
                          <w:spacing w:before="12"/>
                          <w:ind w:right="277"/>
                          <w:rPr>
                            <w:sz w:val="16"/>
                          </w:rPr>
                        </w:pPr>
                        <w:r>
                          <w:rPr>
                            <w:spacing w:val="-5"/>
                            <w:sz w:val="16"/>
                          </w:rPr>
                          <w:t>6.8</w:t>
                        </w:r>
                      </w:p>
                    </w:tc>
                    <w:tc>
                      <w:tcPr>
                        <w:tcW w:w="846" w:type="dxa"/>
                        <w:tcBorders>
                          <w:bottom w:val="single" w:sz="4" w:space="0" w:color="000000"/>
                        </w:tcBorders>
                      </w:tcPr>
                      <w:p>
                        <w:pPr>
                          <w:pStyle w:val="TableParagraph"/>
                          <w:spacing w:before="12"/>
                          <w:ind w:left="270"/>
                          <w:jc w:val="left"/>
                          <w:rPr>
                            <w:sz w:val="16"/>
                          </w:rPr>
                        </w:pPr>
                        <w:r>
                          <w:rPr>
                            <w:spacing w:val="-5"/>
                            <w:sz w:val="16"/>
                          </w:rPr>
                          <w:t>2.2</w:t>
                        </w:r>
                      </w:p>
                    </w:tc>
                    <w:tc>
                      <w:tcPr>
                        <w:tcW w:w="840" w:type="dxa"/>
                        <w:tcBorders>
                          <w:bottom w:val="single" w:sz="4" w:space="0" w:color="000000"/>
                        </w:tcBorders>
                      </w:tcPr>
                      <w:p>
                        <w:pPr>
                          <w:pStyle w:val="TableParagraph"/>
                          <w:spacing w:before="12"/>
                          <w:ind w:right="105"/>
                          <w:rPr>
                            <w:sz w:val="16"/>
                          </w:rPr>
                        </w:pPr>
                        <w:r>
                          <w:rPr>
                            <w:spacing w:val="-2"/>
                            <w:sz w:val="16"/>
                          </w:rPr>
                          <w:t>321.4</w:t>
                        </w:r>
                      </w:p>
                    </w:tc>
                  </w:tr>
                </w:tbl>
                <w:p>
                  <w:pPr>
                    <w:pStyle w:val="BodyText"/>
                  </w:pPr>
                </w:p>
              </w:txbxContent>
            </v:textbox>
            <w10:wrap type="none"/>
          </v:shape>
        </w:pict>
      </w:r>
      <w:r>
        <w:rPr>
          <w:sz w:val="16"/>
          <w:u w:val="single"/>
        </w:rPr>
        <w:tab/>
        <w:t>2021</w:t>
      </w:r>
      <w:r>
        <w:rPr>
          <w:spacing w:val="-3"/>
          <w:sz w:val="16"/>
          <w:u w:val="single"/>
        </w:rPr>
        <w:t> </w:t>
      </w:r>
      <w:r>
        <w:rPr>
          <w:sz w:val="16"/>
          <w:u w:val="single"/>
        </w:rPr>
        <w:t>Expenditures</w:t>
      </w:r>
      <w:r>
        <w:rPr>
          <w:spacing w:val="-4"/>
          <w:sz w:val="16"/>
          <w:u w:val="single"/>
        </w:rPr>
        <w:t> </w:t>
      </w:r>
      <w:r>
        <w:rPr>
          <w:sz w:val="16"/>
          <w:u w:val="single"/>
        </w:rPr>
        <w:t>(thousands</w:t>
      </w:r>
      <w:r>
        <w:rPr>
          <w:spacing w:val="-4"/>
          <w:sz w:val="16"/>
          <w:u w:val="single"/>
        </w:rPr>
        <w:t> </w:t>
      </w:r>
      <w:r>
        <w:rPr>
          <w:sz w:val="16"/>
          <w:u w:val="single"/>
        </w:rPr>
        <w:t>of</w:t>
      </w:r>
      <w:r>
        <w:rPr>
          <w:spacing w:val="-4"/>
          <w:sz w:val="16"/>
          <w:u w:val="single"/>
        </w:rPr>
        <w:t> </w:t>
      </w:r>
      <w:r>
        <w:rPr>
          <w:spacing w:val="-2"/>
          <w:sz w:val="16"/>
          <w:u w:val="single"/>
        </w:rPr>
        <w:t>euros)</w:t>
      </w:r>
      <w:r>
        <w:rPr>
          <w:sz w:val="16"/>
          <w:u w:val="single"/>
        </w:rPr>
        <w:tab/>
      </w:r>
      <w:r>
        <w:rPr>
          <w:sz w:val="16"/>
        </w:rPr>
        <w:tab/>
      </w:r>
      <w:r>
        <w:rPr>
          <w:spacing w:val="-4"/>
          <w:position w:val="2"/>
          <w:sz w:val="16"/>
        </w:rPr>
        <w:t>2022</w:t>
      </w:r>
    </w:p>
    <w:p>
      <w:pPr>
        <w:tabs>
          <w:tab w:pos="608" w:val="left" w:leader="none"/>
          <w:tab w:pos="2058" w:val="left" w:leader="none"/>
        </w:tabs>
        <w:spacing w:before="453"/>
        <w:ind w:left="354" w:right="0" w:firstLine="0"/>
        <w:jc w:val="left"/>
        <w:rPr>
          <w:sz w:val="16"/>
        </w:rPr>
      </w:pPr>
      <w:r>
        <w:rPr/>
        <w:br w:type="column"/>
      </w:r>
      <w:r>
        <w:rPr>
          <w:sz w:val="16"/>
          <w:u w:val="single"/>
        </w:rPr>
        <w:tab/>
        <w:t>Resource</w:t>
      </w:r>
      <w:r>
        <w:rPr>
          <w:spacing w:val="-2"/>
          <w:sz w:val="16"/>
          <w:u w:val="single"/>
        </w:rPr>
        <w:t> Changes</w:t>
      </w:r>
      <w:r>
        <w:rPr>
          <w:sz w:val="16"/>
          <w:u w:val="single"/>
        </w:rPr>
        <w:tab/>
      </w:r>
    </w:p>
    <w:p>
      <w:pPr>
        <w:spacing w:after="0"/>
        <w:jc w:val="left"/>
        <w:rPr>
          <w:sz w:val="16"/>
        </w:rPr>
        <w:sectPr>
          <w:type w:val="continuous"/>
          <w:pgSz w:w="11910" w:h="16840"/>
          <w:pgMar w:header="953" w:footer="940" w:top="1240" w:bottom="1140" w:left="20" w:right="20"/>
          <w:cols w:num="2" w:equalWidth="0">
            <w:col w:w="7553" w:space="40"/>
            <w:col w:w="4277"/>
          </w:cols>
        </w:sectPr>
      </w:pPr>
    </w:p>
    <w:tbl>
      <w:tblPr>
        <w:tblW w:w="0" w:type="auto"/>
        <w:jc w:val="left"/>
        <w:tblInd w:w="1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54"/>
        <w:gridCol w:w="1127"/>
        <w:gridCol w:w="876"/>
        <w:gridCol w:w="1330"/>
        <w:gridCol w:w="1156"/>
        <w:gridCol w:w="1018"/>
        <w:gridCol w:w="596"/>
        <w:gridCol w:w="1088"/>
      </w:tblGrid>
      <w:tr>
        <w:trPr>
          <w:trHeight w:val="361" w:hRule="atLeast"/>
        </w:trPr>
        <w:tc>
          <w:tcPr>
            <w:tcW w:w="2454" w:type="dxa"/>
            <w:tcBorders>
              <w:bottom w:val="single" w:sz="12" w:space="0" w:color="000000"/>
            </w:tcBorders>
          </w:tcPr>
          <w:p>
            <w:pPr>
              <w:pStyle w:val="TableParagraph"/>
              <w:spacing w:line="158" w:lineRule="exact"/>
              <w:ind w:left="110"/>
              <w:jc w:val="left"/>
              <w:rPr>
                <w:b/>
                <w:sz w:val="16"/>
              </w:rPr>
            </w:pPr>
            <w:r>
              <w:rPr>
                <w:b/>
                <w:spacing w:val="-4"/>
                <w:sz w:val="16"/>
              </w:rPr>
              <w:t>1100</w:t>
            </w:r>
          </w:p>
          <w:p>
            <w:pPr>
              <w:pStyle w:val="TableParagraph"/>
              <w:spacing w:line="180" w:lineRule="exact" w:before="3"/>
              <w:ind w:left="110"/>
              <w:jc w:val="left"/>
              <w:rPr>
                <w:b/>
                <w:sz w:val="16"/>
              </w:rPr>
            </w:pPr>
            <w:r>
              <w:rPr>
                <w:b/>
                <w:sz w:val="16"/>
              </w:rPr>
              <w:t>The</w:t>
            </w:r>
            <w:r>
              <w:rPr>
                <w:b/>
                <w:spacing w:val="-8"/>
                <w:sz w:val="16"/>
              </w:rPr>
              <w:t> </w:t>
            </w:r>
            <w:r>
              <w:rPr>
                <w:b/>
                <w:spacing w:val="-2"/>
                <w:sz w:val="16"/>
              </w:rPr>
              <w:t>Presidency</w:t>
            </w:r>
          </w:p>
        </w:tc>
        <w:tc>
          <w:tcPr>
            <w:tcW w:w="1127" w:type="dxa"/>
            <w:tcBorders>
              <w:bottom w:val="single" w:sz="12" w:space="0" w:color="000000"/>
            </w:tcBorders>
          </w:tcPr>
          <w:p>
            <w:pPr>
              <w:pStyle w:val="TableParagraph"/>
              <w:spacing w:line="180" w:lineRule="exact" w:before="161"/>
              <w:ind w:left="374"/>
              <w:jc w:val="left"/>
              <w:rPr>
                <w:sz w:val="16"/>
              </w:rPr>
            </w:pPr>
            <w:r>
              <w:rPr>
                <w:spacing w:val="-2"/>
                <w:sz w:val="16"/>
              </w:rPr>
              <w:t>Total</w:t>
            </w:r>
          </w:p>
        </w:tc>
        <w:tc>
          <w:tcPr>
            <w:tcW w:w="876" w:type="dxa"/>
            <w:tcBorders>
              <w:bottom w:val="single" w:sz="12" w:space="0" w:color="000000"/>
            </w:tcBorders>
          </w:tcPr>
          <w:p>
            <w:pPr>
              <w:pStyle w:val="TableParagraph"/>
              <w:spacing w:line="180" w:lineRule="exact" w:before="161"/>
              <w:ind w:left="145"/>
              <w:jc w:val="left"/>
              <w:rPr>
                <w:sz w:val="16"/>
              </w:rPr>
            </w:pPr>
            <w:r>
              <w:rPr>
                <w:sz w:val="16"/>
              </w:rPr>
              <w:t>Cont.</w:t>
            </w:r>
            <w:r>
              <w:rPr>
                <w:spacing w:val="-4"/>
                <w:sz w:val="16"/>
              </w:rPr>
              <w:t> Fund</w:t>
            </w:r>
          </w:p>
        </w:tc>
        <w:tc>
          <w:tcPr>
            <w:tcW w:w="1330" w:type="dxa"/>
            <w:tcBorders>
              <w:bottom w:val="single" w:sz="12" w:space="0" w:color="000000"/>
            </w:tcBorders>
          </w:tcPr>
          <w:p>
            <w:pPr>
              <w:pStyle w:val="TableParagraph"/>
              <w:spacing w:line="180" w:lineRule="exact" w:before="161"/>
              <w:ind w:left="282"/>
              <w:jc w:val="left"/>
              <w:rPr>
                <w:sz w:val="16"/>
              </w:rPr>
            </w:pPr>
            <w:r>
              <w:rPr>
                <w:spacing w:val="-2"/>
                <w:sz w:val="16"/>
              </w:rPr>
              <w:t>Total</w:t>
            </w:r>
            <w:r>
              <w:rPr>
                <w:spacing w:val="-4"/>
                <w:sz w:val="16"/>
              </w:rPr>
              <w:t> </w:t>
            </w:r>
            <w:r>
              <w:rPr>
                <w:spacing w:val="-2"/>
                <w:sz w:val="16"/>
              </w:rPr>
              <w:t>Incl.</w:t>
            </w:r>
            <w:r>
              <w:rPr>
                <w:spacing w:val="-4"/>
                <w:sz w:val="16"/>
              </w:rPr>
              <w:t> </w:t>
            </w:r>
            <w:r>
              <w:rPr>
                <w:spacing w:val="-5"/>
                <w:sz w:val="16"/>
              </w:rPr>
              <w:t>CF</w:t>
            </w:r>
          </w:p>
        </w:tc>
        <w:tc>
          <w:tcPr>
            <w:tcW w:w="1156" w:type="dxa"/>
            <w:tcBorders>
              <w:bottom w:val="single" w:sz="12" w:space="0" w:color="000000"/>
            </w:tcBorders>
          </w:tcPr>
          <w:p>
            <w:pPr>
              <w:pStyle w:val="TableParagraph"/>
              <w:spacing w:line="158" w:lineRule="exact"/>
              <w:ind w:left="167"/>
              <w:jc w:val="left"/>
              <w:rPr>
                <w:sz w:val="16"/>
              </w:rPr>
            </w:pPr>
            <w:r>
              <w:rPr>
                <w:spacing w:val="-2"/>
                <w:sz w:val="16"/>
              </w:rPr>
              <w:t>Approved</w:t>
            </w:r>
          </w:p>
          <w:p>
            <w:pPr>
              <w:pStyle w:val="TableParagraph"/>
              <w:spacing w:line="180" w:lineRule="exact" w:before="3"/>
              <w:ind w:left="258"/>
              <w:jc w:val="left"/>
              <w:rPr>
                <w:sz w:val="16"/>
              </w:rPr>
            </w:pPr>
            <w:r>
              <w:rPr>
                <w:spacing w:val="-2"/>
                <w:sz w:val="16"/>
              </w:rPr>
              <w:t>Budget</w:t>
            </w:r>
          </w:p>
        </w:tc>
        <w:tc>
          <w:tcPr>
            <w:tcW w:w="1018" w:type="dxa"/>
            <w:tcBorders>
              <w:bottom w:val="single" w:sz="12" w:space="0" w:color="000000"/>
            </w:tcBorders>
          </w:tcPr>
          <w:p>
            <w:pPr>
              <w:pStyle w:val="TableParagraph"/>
              <w:spacing w:line="180" w:lineRule="exact" w:before="161"/>
              <w:ind w:right="271"/>
              <w:rPr>
                <w:sz w:val="16"/>
              </w:rPr>
            </w:pPr>
            <w:r>
              <w:rPr>
                <w:spacing w:val="-2"/>
                <w:sz w:val="16"/>
              </w:rPr>
              <w:t>Amount</w:t>
            </w:r>
          </w:p>
        </w:tc>
        <w:tc>
          <w:tcPr>
            <w:tcW w:w="596" w:type="dxa"/>
            <w:tcBorders>
              <w:bottom w:val="single" w:sz="12" w:space="0" w:color="000000"/>
            </w:tcBorders>
          </w:tcPr>
          <w:p>
            <w:pPr>
              <w:pStyle w:val="TableParagraph"/>
              <w:spacing w:line="180" w:lineRule="exact" w:before="161"/>
              <w:ind w:right="125"/>
              <w:rPr>
                <w:sz w:val="16"/>
              </w:rPr>
            </w:pPr>
            <w:r>
              <w:rPr>
                <w:w w:val="98"/>
                <w:sz w:val="16"/>
              </w:rPr>
              <w:t>%</w:t>
            </w:r>
          </w:p>
        </w:tc>
        <w:tc>
          <w:tcPr>
            <w:tcW w:w="1088" w:type="dxa"/>
            <w:tcBorders>
              <w:bottom w:val="single" w:sz="12" w:space="0" w:color="000000"/>
            </w:tcBorders>
          </w:tcPr>
          <w:p>
            <w:pPr>
              <w:pStyle w:val="TableParagraph"/>
              <w:spacing w:line="158" w:lineRule="exact"/>
              <w:ind w:left="107" w:right="126"/>
              <w:jc w:val="center"/>
              <w:rPr>
                <w:sz w:val="16"/>
              </w:rPr>
            </w:pPr>
            <w:r>
              <w:rPr>
                <w:spacing w:val="-2"/>
                <w:sz w:val="16"/>
              </w:rPr>
              <w:t>Proposed</w:t>
            </w:r>
          </w:p>
          <w:p>
            <w:pPr>
              <w:pStyle w:val="TableParagraph"/>
              <w:spacing w:line="180" w:lineRule="exact" w:before="3"/>
              <w:ind w:left="107" w:right="127"/>
              <w:jc w:val="center"/>
              <w:rPr>
                <w:sz w:val="16"/>
              </w:rPr>
            </w:pPr>
            <w:r>
              <w:rPr>
                <w:sz w:val="16"/>
              </w:rPr>
              <w:t>2023</w:t>
            </w:r>
            <w:r>
              <w:rPr>
                <w:spacing w:val="2"/>
                <w:sz w:val="16"/>
              </w:rPr>
              <w:t> </w:t>
            </w:r>
            <w:r>
              <w:rPr>
                <w:spacing w:val="-2"/>
                <w:sz w:val="16"/>
              </w:rPr>
              <w:t>Budget</w:t>
            </w:r>
          </w:p>
        </w:tc>
      </w:tr>
      <w:tr>
        <w:trPr>
          <w:trHeight w:val="230" w:hRule="atLeast"/>
        </w:trPr>
        <w:tc>
          <w:tcPr>
            <w:tcW w:w="3581" w:type="dxa"/>
            <w:gridSpan w:val="2"/>
          </w:tcPr>
          <w:p>
            <w:pPr>
              <w:pStyle w:val="TableParagraph"/>
              <w:tabs>
                <w:tab w:pos="3380" w:val="left" w:leader="none"/>
              </w:tabs>
              <w:spacing w:before="5"/>
              <w:ind w:left="110"/>
              <w:jc w:val="left"/>
              <w:rPr>
                <w:i/>
                <w:sz w:val="16"/>
              </w:rPr>
            </w:pPr>
            <w:r>
              <w:rPr>
                <w:i/>
                <w:spacing w:val="-2"/>
                <w:sz w:val="16"/>
              </w:rPr>
              <w:t>Judges</w:t>
            </w:r>
            <w:r>
              <w:rPr>
                <w:i/>
                <w:sz w:val="16"/>
              </w:rPr>
              <w:tab/>
            </w:r>
            <w:r>
              <w:rPr>
                <w:i/>
                <w:spacing w:val="-10"/>
                <w:sz w:val="16"/>
              </w:rPr>
              <w:t>-</w:t>
            </w:r>
          </w:p>
        </w:tc>
        <w:tc>
          <w:tcPr>
            <w:tcW w:w="2206" w:type="dxa"/>
            <w:gridSpan w:val="2"/>
          </w:tcPr>
          <w:p>
            <w:pPr>
              <w:pStyle w:val="TableParagraph"/>
              <w:tabs>
                <w:tab w:pos="1979" w:val="left" w:leader="none"/>
              </w:tabs>
              <w:spacing w:before="5"/>
              <w:ind w:left="889"/>
              <w:jc w:val="left"/>
              <w:rPr>
                <w:i/>
                <w:sz w:val="16"/>
              </w:rPr>
            </w:pPr>
            <w:r>
              <w:rPr>
                <w:i/>
                <w:spacing w:val="-10"/>
                <w:sz w:val="16"/>
              </w:rPr>
              <w:t>-</w:t>
            </w:r>
            <w:r>
              <w:rPr>
                <w:i/>
                <w:sz w:val="16"/>
              </w:rPr>
              <w:tab/>
            </w:r>
            <w:r>
              <w:rPr>
                <w:i/>
                <w:spacing w:val="-10"/>
                <w:sz w:val="16"/>
              </w:rPr>
              <w:t>-</w:t>
            </w:r>
          </w:p>
        </w:tc>
        <w:tc>
          <w:tcPr>
            <w:tcW w:w="1156" w:type="dxa"/>
          </w:tcPr>
          <w:p>
            <w:pPr>
              <w:pStyle w:val="TableParagraph"/>
              <w:spacing w:before="5"/>
              <w:ind w:right="216"/>
              <w:rPr>
                <w:i/>
                <w:sz w:val="16"/>
              </w:rPr>
            </w:pPr>
            <w:r>
              <w:rPr>
                <w:i/>
                <w:spacing w:val="-4"/>
                <w:sz w:val="16"/>
              </w:rPr>
              <w:t>28.0</w:t>
            </w:r>
          </w:p>
        </w:tc>
        <w:tc>
          <w:tcPr>
            <w:tcW w:w="1018" w:type="dxa"/>
          </w:tcPr>
          <w:p>
            <w:pPr>
              <w:pStyle w:val="TableParagraph"/>
              <w:spacing w:before="5"/>
              <w:ind w:right="276"/>
              <w:rPr>
                <w:i/>
                <w:sz w:val="16"/>
              </w:rPr>
            </w:pPr>
            <w:r>
              <w:rPr>
                <w:i/>
                <w:w w:val="98"/>
                <w:sz w:val="16"/>
              </w:rPr>
              <w:t>-</w:t>
            </w:r>
          </w:p>
        </w:tc>
        <w:tc>
          <w:tcPr>
            <w:tcW w:w="596" w:type="dxa"/>
          </w:tcPr>
          <w:p>
            <w:pPr>
              <w:pStyle w:val="TableParagraph"/>
              <w:spacing w:before="5"/>
              <w:ind w:right="122"/>
              <w:rPr>
                <w:i/>
                <w:sz w:val="16"/>
              </w:rPr>
            </w:pPr>
            <w:r>
              <w:rPr>
                <w:i/>
                <w:w w:val="98"/>
                <w:sz w:val="16"/>
              </w:rPr>
              <w:t>-</w:t>
            </w:r>
          </w:p>
        </w:tc>
        <w:tc>
          <w:tcPr>
            <w:tcW w:w="1088" w:type="dxa"/>
          </w:tcPr>
          <w:p>
            <w:pPr>
              <w:pStyle w:val="TableParagraph"/>
              <w:spacing w:before="5"/>
              <w:ind w:right="104"/>
              <w:rPr>
                <w:i/>
                <w:sz w:val="16"/>
              </w:rPr>
            </w:pPr>
            <w:r>
              <w:rPr>
                <w:i/>
                <w:spacing w:val="-4"/>
                <w:sz w:val="16"/>
              </w:rPr>
              <w:t>28.0</w:t>
            </w:r>
          </w:p>
        </w:tc>
      </w:tr>
      <w:tr>
        <w:trPr>
          <w:trHeight w:val="465" w:hRule="atLeast"/>
        </w:trPr>
        <w:tc>
          <w:tcPr>
            <w:tcW w:w="3581" w:type="dxa"/>
            <w:gridSpan w:val="2"/>
          </w:tcPr>
          <w:p>
            <w:pPr>
              <w:pStyle w:val="TableParagraph"/>
              <w:jc w:val="left"/>
              <w:rPr>
                <w:sz w:val="16"/>
              </w:rPr>
            </w:pPr>
          </w:p>
        </w:tc>
        <w:tc>
          <w:tcPr>
            <w:tcW w:w="2206" w:type="dxa"/>
            <w:gridSpan w:val="2"/>
          </w:tcPr>
          <w:p>
            <w:pPr>
              <w:pStyle w:val="TableParagraph"/>
              <w:jc w:val="left"/>
              <w:rPr>
                <w:sz w:val="16"/>
              </w:rPr>
            </w:pPr>
          </w:p>
        </w:tc>
        <w:tc>
          <w:tcPr>
            <w:tcW w:w="1156" w:type="dxa"/>
          </w:tcPr>
          <w:p>
            <w:pPr>
              <w:pStyle w:val="TableParagraph"/>
              <w:jc w:val="left"/>
              <w:rPr>
                <w:sz w:val="16"/>
              </w:rPr>
            </w:pPr>
          </w:p>
        </w:tc>
        <w:tc>
          <w:tcPr>
            <w:tcW w:w="1018" w:type="dxa"/>
          </w:tcPr>
          <w:p>
            <w:pPr>
              <w:pStyle w:val="TableParagraph"/>
              <w:jc w:val="left"/>
              <w:rPr>
                <w:sz w:val="16"/>
              </w:rPr>
            </w:pPr>
          </w:p>
        </w:tc>
        <w:tc>
          <w:tcPr>
            <w:tcW w:w="596" w:type="dxa"/>
          </w:tcPr>
          <w:p>
            <w:pPr>
              <w:pStyle w:val="TableParagraph"/>
              <w:jc w:val="left"/>
              <w:rPr>
                <w:sz w:val="16"/>
              </w:rPr>
            </w:pPr>
          </w:p>
        </w:tc>
        <w:tc>
          <w:tcPr>
            <w:tcW w:w="1088" w:type="dxa"/>
          </w:tcPr>
          <w:p>
            <w:pPr>
              <w:pStyle w:val="TableParagraph"/>
              <w:jc w:val="left"/>
              <w:rPr>
                <w:sz w:val="16"/>
              </w:rPr>
            </w:pPr>
          </w:p>
        </w:tc>
      </w:tr>
      <w:tr>
        <w:trPr>
          <w:trHeight w:val="235" w:hRule="atLeast"/>
        </w:trPr>
        <w:tc>
          <w:tcPr>
            <w:tcW w:w="3581" w:type="dxa"/>
            <w:gridSpan w:val="2"/>
          </w:tcPr>
          <w:p>
            <w:pPr>
              <w:pStyle w:val="TableParagraph"/>
              <w:tabs>
                <w:tab w:pos="3435" w:val="right" w:leader="none"/>
              </w:tabs>
              <w:spacing w:before="10"/>
              <w:ind w:left="1498"/>
              <w:jc w:val="left"/>
              <w:rPr>
                <w:i/>
                <w:sz w:val="16"/>
              </w:rPr>
            </w:pPr>
            <w:r>
              <w:rPr>
                <w:i/>
                <w:sz w:val="16"/>
              </w:rPr>
              <w:t>Subtotal</w:t>
            </w:r>
            <w:r>
              <w:rPr>
                <w:i/>
                <w:spacing w:val="-1"/>
                <w:sz w:val="16"/>
              </w:rPr>
              <w:t> </w:t>
            </w:r>
            <w:r>
              <w:rPr>
                <w:i/>
                <w:spacing w:val="-4"/>
                <w:w w:val="95"/>
                <w:sz w:val="16"/>
              </w:rPr>
              <w:t>staff</w:t>
            </w:r>
            <w:r>
              <w:rPr>
                <w:i/>
                <w:sz w:val="16"/>
              </w:rPr>
              <w:tab/>
            </w:r>
            <w:r>
              <w:rPr>
                <w:i/>
                <w:spacing w:val="-2"/>
                <w:w w:val="95"/>
                <w:sz w:val="16"/>
              </w:rPr>
              <w:t>852.5</w:t>
            </w:r>
          </w:p>
        </w:tc>
        <w:tc>
          <w:tcPr>
            <w:tcW w:w="2206" w:type="dxa"/>
            <w:gridSpan w:val="2"/>
          </w:tcPr>
          <w:p>
            <w:pPr>
              <w:pStyle w:val="TableParagraph"/>
              <w:tabs>
                <w:tab w:pos="1672" w:val="left" w:leader="none"/>
              </w:tabs>
              <w:spacing w:before="10"/>
              <w:ind w:left="889"/>
              <w:jc w:val="left"/>
              <w:rPr>
                <w:i/>
                <w:sz w:val="16"/>
              </w:rPr>
            </w:pPr>
            <w:r>
              <w:rPr>
                <w:i/>
                <w:spacing w:val="-10"/>
                <w:sz w:val="16"/>
              </w:rPr>
              <w:t>-</w:t>
            </w:r>
            <w:r>
              <w:rPr>
                <w:i/>
                <w:sz w:val="16"/>
              </w:rPr>
              <w:tab/>
            </w:r>
            <w:r>
              <w:rPr>
                <w:i/>
                <w:spacing w:val="-2"/>
                <w:sz w:val="16"/>
              </w:rPr>
              <w:t>852.5</w:t>
            </w:r>
          </w:p>
        </w:tc>
        <w:tc>
          <w:tcPr>
            <w:tcW w:w="1156" w:type="dxa"/>
          </w:tcPr>
          <w:p>
            <w:pPr>
              <w:pStyle w:val="TableParagraph"/>
              <w:spacing w:before="10"/>
              <w:ind w:right="217"/>
              <w:rPr>
                <w:i/>
                <w:sz w:val="16"/>
              </w:rPr>
            </w:pPr>
            <w:r>
              <w:rPr>
                <w:i/>
                <w:spacing w:val="-2"/>
                <w:sz w:val="16"/>
              </w:rPr>
              <w:t>1,219.8</w:t>
            </w:r>
          </w:p>
        </w:tc>
        <w:tc>
          <w:tcPr>
            <w:tcW w:w="1018" w:type="dxa"/>
          </w:tcPr>
          <w:p>
            <w:pPr>
              <w:pStyle w:val="TableParagraph"/>
              <w:spacing w:before="10"/>
              <w:ind w:right="274"/>
              <w:rPr>
                <w:i/>
                <w:sz w:val="16"/>
              </w:rPr>
            </w:pPr>
            <w:r>
              <w:rPr>
                <w:i/>
                <w:spacing w:val="-4"/>
                <w:sz w:val="16"/>
              </w:rPr>
              <w:t>37.7</w:t>
            </w:r>
          </w:p>
        </w:tc>
        <w:tc>
          <w:tcPr>
            <w:tcW w:w="596" w:type="dxa"/>
          </w:tcPr>
          <w:p>
            <w:pPr>
              <w:pStyle w:val="TableParagraph"/>
              <w:spacing w:before="10"/>
              <w:ind w:right="125"/>
              <w:rPr>
                <w:i/>
                <w:sz w:val="16"/>
              </w:rPr>
            </w:pPr>
            <w:r>
              <w:rPr>
                <w:i/>
                <w:spacing w:val="-5"/>
                <w:sz w:val="16"/>
              </w:rPr>
              <w:t>3.1</w:t>
            </w:r>
          </w:p>
        </w:tc>
        <w:tc>
          <w:tcPr>
            <w:tcW w:w="1088" w:type="dxa"/>
          </w:tcPr>
          <w:p>
            <w:pPr>
              <w:pStyle w:val="TableParagraph"/>
              <w:spacing w:before="10"/>
              <w:ind w:right="104"/>
              <w:rPr>
                <w:i/>
                <w:sz w:val="16"/>
              </w:rPr>
            </w:pPr>
            <w:r>
              <w:rPr>
                <w:i/>
                <w:spacing w:val="-2"/>
                <w:sz w:val="16"/>
              </w:rPr>
              <w:t>1,257.5</w:t>
            </w:r>
          </w:p>
        </w:tc>
      </w:tr>
      <w:tr>
        <w:trPr>
          <w:trHeight w:val="236" w:hRule="atLeast"/>
        </w:trPr>
        <w:tc>
          <w:tcPr>
            <w:tcW w:w="3581" w:type="dxa"/>
            <w:gridSpan w:val="2"/>
          </w:tcPr>
          <w:p>
            <w:pPr>
              <w:pStyle w:val="TableParagraph"/>
              <w:tabs>
                <w:tab w:pos="3435" w:val="right" w:leader="none"/>
              </w:tabs>
              <w:spacing w:before="10"/>
              <w:ind w:left="110"/>
              <w:jc w:val="left"/>
              <w:rPr>
                <w:sz w:val="16"/>
              </w:rPr>
            </w:pPr>
            <w:r>
              <w:rPr>
                <w:sz w:val="16"/>
              </w:rPr>
              <w:t>General</w:t>
            </w:r>
            <w:r>
              <w:rPr>
                <w:spacing w:val="-4"/>
                <w:sz w:val="16"/>
              </w:rPr>
              <w:t> </w:t>
            </w:r>
            <w:r>
              <w:rPr>
                <w:sz w:val="16"/>
              </w:rPr>
              <w:t>temporary</w:t>
            </w:r>
            <w:r>
              <w:rPr>
                <w:spacing w:val="-1"/>
                <w:sz w:val="16"/>
              </w:rPr>
              <w:t> </w:t>
            </w:r>
            <w:r>
              <w:rPr>
                <w:spacing w:val="-2"/>
                <w:sz w:val="16"/>
              </w:rPr>
              <w:t>assistance</w:t>
            </w:r>
            <w:r>
              <w:rPr>
                <w:sz w:val="16"/>
              </w:rPr>
              <w:tab/>
            </w:r>
            <w:r>
              <w:rPr>
                <w:spacing w:val="-2"/>
                <w:w w:val="95"/>
                <w:sz w:val="16"/>
              </w:rPr>
              <w:t>196.9</w:t>
            </w:r>
          </w:p>
        </w:tc>
        <w:tc>
          <w:tcPr>
            <w:tcW w:w="2206" w:type="dxa"/>
            <w:gridSpan w:val="2"/>
          </w:tcPr>
          <w:p>
            <w:pPr>
              <w:pStyle w:val="TableParagraph"/>
              <w:tabs>
                <w:tab w:pos="1672" w:val="left" w:leader="none"/>
              </w:tabs>
              <w:spacing w:before="10"/>
              <w:ind w:left="889"/>
              <w:jc w:val="left"/>
              <w:rPr>
                <w:sz w:val="16"/>
              </w:rPr>
            </w:pPr>
            <w:r>
              <w:rPr>
                <w:spacing w:val="-10"/>
                <w:sz w:val="16"/>
              </w:rPr>
              <w:t>-</w:t>
            </w:r>
            <w:r>
              <w:rPr>
                <w:sz w:val="16"/>
              </w:rPr>
              <w:tab/>
            </w:r>
            <w:r>
              <w:rPr>
                <w:spacing w:val="-2"/>
                <w:sz w:val="16"/>
              </w:rPr>
              <w:t>196.9</w:t>
            </w:r>
          </w:p>
        </w:tc>
        <w:tc>
          <w:tcPr>
            <w:tcW w:w="1156" w:type="dxa"/>
          </w:tcPr>
          <w:p>
            <w:pPr>
              <w:pStyle w:val="TableParagraph"/>
              <w:spacing w:before="10"/>
              <w:ind w:right="218"/>
              <w:rPr>
                <w:sz w:val="16"/>
              </w:rPr>
            </w:pPr>
            <w:r>
              <w:rPr>
                <w:w w:val="98"/>
                <w:sz w:val="16"/>
              </w:rPr>
              <w:t>-</w:t>
            </w:r>
          </w:p>
        </w:tc>
        <w:tc>
          <w:tcPr>
            <w:tcW w:w="1018" w:type="dxa"/>
          </w:tcPr>
          <w:p>
            <w:pPr>
              <w:pStyle w:val="TableParagraph"/>
              <w:spacing w:before="10"/>
              <w:ind w:right="276"/>
              <w:rPr>
                <w:sz w:val="16"/>
              </w:rPr>
            </w:pPr>
            <w:r>
              <w:rPr>
                <w:w w:val="98"/>
                <w:sz w:val="16"/>
              </w:rPr>
              <w:t>-</w:t>
            </w:r>
          </w:p>
        </w:tc>
        <w:tc>
          <w:tcPr>
            <w:tcW w:w="596" w:type="dxa"/>
          </w:tcPr>
          <w:p>
            <w:pPr>
              <w:pStyle w:val="TableParagraph"/>
              <w:spacing w:before="10"/>
              <w:ind w:right="122"/>
              <w:rPr>
                <w:sz w:val="16"/>
              </w:rPr>
            </w:pPr>
            <w:r>
              <w:rPr>
                <w:w w:val="98"/>
                <w:sz w:val="16"/>
              </w:rPr>
              <w:t>-</w:t>
            </w:r>
          </w:p>
        </w:tc>
        <w:tc>
          <w:tcPr>
            <w:tcW w:w="1088" w:type="dxa"/>
          </w:tcPr>
          <w:p>
            <w:pPr>
              <w:pStyle w:val="TableParagraph"/>
              <w:spacing w:before="10"/>
              <w:ind w:right="106"/>
              <w:rPr>
                <w:sz w:val="16"/>
              </w:rPr>
            </w:pPr>
            <w:r>
              <w:rPr>
                <w:w w:val="98"/>
                <w:sz w:val="16"/>
              </w:rPr>
              <w:t>-</w:t>
            </w:r>
          </w:p>
        </w:tc>
      </w:tr>
      <w:tr>
        <w:trPr>
          <w:trHeight w:val="228" w:hRule="atLeast"/>
        </w:trPr>
        <w:tc>
          <w:tcPr>
            <w:tcW w:w="3581" w:type="dxa"/>
            <w:gridSpan w:val="2"/>
          </w:tcPr>
          <w:p>
            <w:pPr>
              <w:pStyle w:val="TableParagraph"/>
              <w:tabs>
                <w:tab w:pos="3430" w:val="right" w:leader="none"/>
              </w:tabs>
              <w:spacing w:line="183" w:lineRule="exact"/>
              <w:ind w:left="110"/>
              <w:jc w:val="left"/>
              <w:rPr>
                <w:sz w:val="16"/>
              </w:rPr>
            </w:pPr>
            <w:r>
              <w:rPr>
                <w:sz w:val="16"/>
              </w:rPr>
              <w:t>Temporary</w:t>
            </w:r>
            <w:r>
              <w:rPr>
                <w:spacing w:val="-3"/>
                <w:sz w:val="16"/>
              </w:rPr>
              <w:t> </w:t>
            </w:r>
            <w:r>
              <w:rPr>
                <w:sz w:val="16"/>
              </w:rPr>
              <w:t>assistance</w:t>
            </w:r>
            <w:r>
              <w:rPr>
                <w:spacing w:val="-4"/>
                <w:sz w:val="16"/>
              </w:rPr>
              <w:t> </w:t>
            </w:r>
            <w:r>
              <w:rPr>
                <w:sz w:val="16"/>
              </w:rPr>
              <w:t>for</w:t>
            </w:r>
            <w:r>
              <w:rPr>
                <w:spacing w:val="-5"/>
                <w:sz w:val="16"/>
              </w:rPr>
              <w:t> </w:t>
            </w:r>
            <w:r>
              <w:rPr>
                <w:spacing w:val="-2"/>
                <w:sz w:val="16"/>
              </w:rPr>
              <w:t>meetings</w:t>
            </w:r>
            <w:r>
              <w:rPr>
                <w:sz w:val="16"/>
              </w:rPr>
              <w:tab/>
            </w:r>
            <w:r>
              <w:rPr>
                <w:spacing w:val="-5"/>
                <w:sz w:val="16"/>
              </w:rPr>
              <w:t>1.4</w:t>
            </w:r>
          </w:p>
        </w:tc>
        <w:tc>
          <w:tcPr>
            <w:tcW w:w="2206" w:type="dxa"/>
            <w:gridSpan w:val="2"/>
          </w:tcPr>
          <w:p>
            <w:pPr>
              <w:pStyle w:val="TableParagraph"/>
              <w:tabs>
                <w:tab w:pos="1830" w:val="left" w:leader="none"/>
              </w:tabs>
              <w:spacing w:line="183" w:lineRule="exact"/>
              <w:ind w:left="889"/>
              <w:jc w:val="left"/>
              <w:rPr>
                <w:sz w:val="16"/>
              </w:rPr>
            </w:pPr>
            <w:r>
              <w:rPr>
                <w:spacing w:val="-10"/>
                <w:sz w:val="16"/>
              </w:rPr>
              <w:t>-</w:t>
            </w:r>
            <w:r>
              <w:rPr>
                <w:sz w:val="16"/>
              </w:rPr>
              <w:tab/>
            </w:r>
            <w:r>
              <w:rPr>
                <w:spacing w:val="-5"/>
                <w:sz w:val="16"/>
              </w:rPr>
              <w:t>1.4</w:t>
            </w:r>
          </w:p>
        </w:tc>
        <w:tc>
          <w:tcPr>
            <w:tcW w:w="1156" w:type="dxa"/>
          </w:tcPr>
          <w:p>
            <w:pPr>
              <w:pStyle w:val="TableParagraph"/>
              <w:spacing w:line="183" w:lineRule="exact"/>
              <w:ind w:right="218"/>
              <w:rPr>
                <w:sz w:val="16"/>
              </w:rPr>
            </w:pPr>
            <w:r>
              <w:rPr>
                <w:w w:val="98"/>
                <w:sz w:val="16"/>
              </w:rPr>
              <w:t>-</w:t>
            </w:r>
          </w:p>
        </w:tc>
        <w:tc>
          <w:tcPr>
            <w:tcW w:w="1018" w:type="dxa"/>
          </w:tcPr>
          <w:p>
            <w:pPr>
              <w:pStyle w:val="TableParagraph"/>
              <w:spacing w:line="183" w:lineRule="exact"/>
              <w:ind w:right="276"/>
              <w:rPr>
                <w:sz w:val="16"/>
              </w:rPr>
            </w:pPr>
            <w:r>
              <w:rPr>
                <w:w w:val="98"/>
                <w:sz w:val="16"/>
              </w:rPr>
              <w:t>-</w:t>
            </w:r>
          </w:p>
        </w:tc>
        <w:tc>
          <w:tcPr>
            <w:tcW w:w="596" w:type="dxa"/>
          </w:tcPr>
          <w:p>
            <w:pPr>
              <w:pStyle w:val="TableParagraph"/>
              <w:spacing w:line="183" w:lineRule="exact"/>
              <w:ind w:right="122"/>
              <w:rPr>
                <w:sz w:val="16"/>
              </w:rPr>
            </w:pPr>
            <w:r>
              <w:rPr>
                <w:w w:val="98"/>
                <w:sz w:val="16"/>
              </w:rPr>
              <w:t>-</w:t>
            </w:r>
          </w:p>
        </w:tc>
        <w:tc>
          <w:tcPr>
            <w:tcW w:w="1088" w:type="dxa"/>
          </w:tcPr>
          <w:p>
            <w:pPr>
              <w:pStyle w:val="TableParagraph"/>
              <w:spacing w:line="183" w:lineRule="exact"/>
              <w:ind w:right="106"/>
              <w:rPr>
                <w:sz w:val="16"/>
              </w:rPr>
            </w:pPr>
            <w:r>
              <w:rPr>
                <w:w w:val="98"/>
                <w:sz w:val="16"/>
              </w:rPr>
              <w:t>-</w:t>
            </w:r>
          </w:p>
        </w:tc>
      </w:tr>
      <w:tr>
        <w:trPr>
          <w:trHeight w:val="226" w:hRule="atLeast"/>
        </w:trPr>
        <w:tc>
          <w:tcPr>
            <w:tcW w:w="3581" w:type="dxa"/>
            <w:gridSpan w:val="2"/>
          </w:tcPr>
          <w:p>
            <w:pPr>
              <w:pStyle w:val="TableParagraph"/>
              <w:tabs>
                <w:tab w:pos="3380" w:val="left" w:leader="none"/>
              </w:tabs>
              <w:spacing w:before="1"/>
              <w:ind w:left="110"/>
              <w:jc w:val="left"/>
              <w:rPr>
                <w:sz w:val="16"/>
              </w:rPr>
            </w:pPr>
            <w:r>
              <w:rPr>
                <w:spacing w:val="-2"/>
                <w:sz w:val="16"/>
              </w:rPr>
              <w:t>Overtime</w:t>
            </w:r>
            <w:r>
              <w:rPr>
                <w:sz w:val="16"/>
              </w:rPr>
              <w:tab/>
            </w:r>
            <w:r>
              <w:rPr>
                <w:spacing w:val="-10"/>
                <w:sz w:val="16"/>
              </w:rPr>
              <w:t>-</w:t>
            </w:r>
          </w:p>
        </w:tc>
        <w:tc>
          <w:tcPr>
            <w:tcW w:w="2206" w:type="dxa"/>
            <w:gridSpan w:val="2"/>
          </w:tcPr>
          <w:p>
            <w:pPr>
              <w:pStyle w:val="TableParagraph"/>
              <w:tabs>
                <w:tab w:pos="1979" w:val="left" w:leader="none"/>
              </w:tabs>
              <w:spacing w:before="1"/>
              <w:ind w:left="889"/>
              <w:jc w:val="left"/>
              <w:rPr>
                <w:sz w:val="16"/>
              </w:rPr>
            </w:pPr>
            <w:r>
              <w:rPr>
                <w:spacing w:val="-10"/>
                <w:sz w:val="16"/>
              </w:rPr>
              <w:t>-</w:t>
            </w:r>
            <w:r>
              <w:rPr>
                <w:sz w:val="16"/>
              </w:rPr>
              <w:tab/>
            </w:r>
            <w:r>
              <w:rPr>
                <w:spacing w:val="-10"/>
                <w:sz w:val="16"/>
              </w:rPr>
              <w:t>-</w:t>
            </w:r>
          </w:p>
        </w:tc>
        <w:tc>
          <w:tcPr>
            <w:tcW w:w="1156" w:type="dxa"/>
          </w:tcPr>
          <w:p>
            <w:pPr>
              <w:pStyle w:val="TableParagraph"/>
              <w:spacing w:before="1"/>
              <w:ind w:right="218"/>
              <w:rPr>
                <w:sz w:val="16"/>
              </w:rPr>
            </w:pPr>
            <w:r>
              <w:rPr>
                <w:w w:val="98"/>
                <w:sz w:val="16"/>
              </w:rPr>
              <w:t>-</w:t>
            </w:r>
          </w:p>
        </w:tc>
        <w:tc>
          <w:tcPr>
            <w:tcW w:w="1018" w:type="dxa"/>
          </w:tcPr>
          <w:p>
            <w:pPr>
              <w:pStyle w:val="TableParagraph"/>
              <w:spacing w:before="1"/>
              <w:ind w:right="276"/>
              <w:rPr>
                <w:sz w:val="16"/>
              </w:rPr>
            </w:pPr>
            <w:r>
              <w:rPr>
                <w:w w:val="98"/>
                <w:sz w:val="16"/>
              </w:rPr>
              <w:t>-</w:t>
            </w:r>
          </w:p>
        </w:tc>
        <w:tc>
          <w:tcPr>
            <w:tcW w:w="596" w:type="dxa"/>
          </w:tcPr>
          <w:p>
            <w:pPr>
              <w:pStyle w:val="TableParagraph"/>
              <w:spacing w:before="1"/>
              <w:ind w:right="122"/>
              <w:rPr>
                <w:sz w:val="16"/>
              </w:rPr>
            </w:pPr>
            <w:r>
              <w:rPr>
                <w:w w:val="98"/>
                <w:sz w:val="16"/>
              </w:rPr>
              <w:t>-</w:t>
            </w:r>
          </w:p>
        </w:tc>
        <w:tc>
          <w:tcPr>
            <w:tcW w:w="1088" w:type="dxa"/>
          </w:tcPr>
          <w:p>
            <w:pPr>
              <w:pStyle w:val="TableParagraph"/>
              <w:spacing w:before="1"/>
              <w:ind w:right="106"/>
              <w:rPr>
                <w:sz w:val="16"/>
              </w:rPr>
            </w:pPr>
            <w:r>
              <w:rPr>
                <w:w w:val="98"/>
                <w:sz w:val="16"/>
              </w:rPr>
              <w:t>-</w:t>
            </w:r>
          </w:p>
        </w:tc>
      </w:tr>
      <w:tr>
        <w:trPr>
          <w:trHeight w:val="240" w:hRule="atLeast"/>
        </w:trPr>
        <w:tc>
          <w:tcPr>
            <w:tcW w:w="3581" w:type="dxa"/>
            <w:gridSpan w:val="2"/>
          </w:tcPr>
          <w:p>
            <w:pPr>
              <w:pStyle w:val="TableParagraph"/>
              <w:tabs>
                <w:tab w:pos="3435" w:val="right" w:leader="none"/>
              </w:tabs>
              <w:spacing w:before="10"/>
              <w:ind w:left="1118"/>
              <w:jc w:val="left"/>
              <w:rPr>
                <w:i/>
                <w:sz w:val="16"/>
              </w:rPr>
            </w:pPr>
            <w:r>
              <w:rPr>
                <w:i/>
                <w:sz w:val="16"/>
              </w:rPr>
              <w:t>Subtotal</w:t>
            </w:r>
            <w:r>
              <w:rPr>
                <w:i/>
                <w:spacing w:val="-2"/>
                <w:sz w:val="16"/>
              </w:rPr>
              <w:t> </w:t>
            </w:r>
            <w:r>
              <w:rPr>
                <w:i/>
                <w:sz w:val="16"/>
              </w:rPr>
              <w:t>other</w:t>
            </w:r>
            <w:r>
              <w:rPr>
                <w:i/>
                <w:spacing w:val="-1"/>
                <w:sz w:val="16"/>
              </w:rPr>
              <w:t> </w:t>
            </w:r>
            <w:r>
              <w:rPr>
                <w:i/>
                <w:spacing w:val="-4"/>
                <w:w w:val="95"/>
                <w:sz w:val="16"/>
              </w:rPr>
              <w:t>staff</w:t>
            </w:r>
            <w:r>
              <w:rPr>
                <w:i/>
                <w:sz w:val="16"/>
              </w:rPr>
              <w:tab/>
            </w:r>
            <w:r>
              <w:rPr>
                <w:i/>
                <w:spacing w:val="-2"/>
                <w:sz w:val="16"/>
              </w:rPr>
              <w:t>198.4</w:t>
            </w:r>
          </w:p>
        </w:tc>
        <w:tc>
          <w:tcPr>
            <w:tcW w:w="2206" w:type="dxa"/>
            <w:gridSpan w:val="2"/>
          </w:tcPr>
          <w:p>
            <w:pPr>
              <w:pStyle w:val="TableParagraph"/>
              <w:tabs>
                <w:tab w:pos="1672" w:val="left" w:leader="none"/>
              </w:tabs>
              <w:spacing w:before="10"/>
              <w:ind w:left="889"/>
              <w:jc w:val="left"/>
              <w:rPr>
                <w:i/>
                <w:sz w:val="16"/>
              </w:rPr>
            </w:pPr>
            <w:r>
              <w:rPr>
                <w:i/>
                <w:spacing w:val="-10"/>
                <w:sz w:val="16"/>
              </w:rPr>
              <w:t>-</w:t>
            </w:r>
            <w:r>
              <w:rPr>
                <w:i/>
                <w:sz w:val="16"/>
              </w:rPr>
              <w:tab/>
            </w:r>
            <w:r>
              <w:rPr>
                <w:i/>
                <w:spacing w:val="-2"/>
                <w:sz w:val="16"/>
              </w:rPr>
              <w:t>198.4</w:t>
            </w:r>
          </w:p>
        </w:tc>
        <w:tc>
          <w:tcPr>
            <w:tcW w:w="1156" w:type="dxa"/>
          </w:tcPr>
          <w:p>
            <w:pPr>
              <w:pStyle w:val="TableParagraph"/>
              <w:spacing w:before="10"/>
              <w:ind w:right="218"/>
              <w:rPr>
                <w:i/>
                <w:sz w:val="16"/>
              </w:rPr>
            </w:pPr>
            <w:r>
              <w:rPr>
                <w:i/>
                <w:w w:val="98"/>
                <w:sz w:val="16"/>
              </w:rPr>
              <w:t>-</w:t>
            </w:r>
          </w:p>
        </w:tc>
        <w:tc>
          <w:tcPr>
            <w:tcW w:w="1018" w:type="dxa"/>
          </w:tcPr>
          <w:p>
            <w:pPr>
              <w:pStyle w:val="TableParagraph"/>
              <w:spacing w:before="10"/>
              <w:ind w:right="276"/>
              <w:rPr>
                <w:i/>
                <w:sz w:val="16"/>
              </w:rPr>
            </w:pPr>
            <w:r>
              <w:rPr>
                <w:i/>
                <w:w w:val="98"/>
                <w:sz w:val="16"/>
              </w:rPr>
              <w:t>-</w:t>
            </w:r>
          </w:p>
        </w:tc>
        <w:tc>
          <w:tcPr>
            <w:tcW w:w="596" w:type="dxa"/>
          </w:tcPr>
          <w:p>
            <w:pPr>
              <w:pStyle w:val="TableParagraph"/>
              <w:spacing w:before="10"/>
              <w:ind w:right="122"/>
              <w:rPr>
                <w:i/>
                <w:sz w:val="16"/>
              </w:rPr>
            </w:pPr>
            <w:r>
              <w:rPr>
                <w:i/>
                <w:w w:val="98"/>
                <w:sz w:val="16"/>
              </w:rPr>
              <w:t>-</w:t>
            </w:r>
          </w:p>
        </w:tc>
        <w:tc>
          <w:tcPr>
            <w:tcW w:w="1088" w:type="dxa"/>
          </w:tcPr>
          <w:p>
            <w:pPr>
              <w:pStyle w:val="TableParagraph"/>
              <w:spacing w:before="10"/>
              <w:ind w:right="106"/>
              <w:rPr>
                <w:i/>
                <w:sz w:val="16"/>
              </w:rPr>
            </w:pPr>
            <w:r>
              <w:rPr>
                <w:i/>
                <w:w w:val="98"/>
                <w:sz w:val="16"/>
              </w:rPr>
              <w:t>-</w:t>
            </w:r>
          </w:p>
        </w:tc>
      </w:tr>
      <w:tr>
        <w:trPr>
          <w:trHeight w:val="234" w:hRule="atLeast"/>
        </w:trPr>
        <w:tc>
          <w:tcPr>
            <w:tcW w:w="3581" w:type="dxa"/>
            <w:gridSpan w:val="2"/>
          </w:tcPr>
          <w:p>
            <w:pPr>
              <w:pStyle w:val="TableParagraph"/>
              <w:tabs>
                <w:tab w:pos="3155" w:val="left" w:leader="none"/>
              </w:tabs>
              <w:spacing w:before="6"/>
              <w:ind w:left="110"/>
              <w:jc w:val="left"/>
              <w:rPr>
                <w:sz w:val="16"/>
              </w:rPr>
            </w:pPr>
            <w:r>
              <w:rPr>
                <w:spacing w:val="-2"/>
                <w:sz w:val="16"/>
              </w:rPr>
              <w:t>Travel</w:t>
            </w:r>
            <w:r>
              <w:rPr>
                <w:sz w:val="16"/>
              </w:rPr>
              <w:tab/>
            </w:r>
            <w:r>
              <w:rPr>
                <w:spacing w:val="-4"/>
                <w:sz w:val="16"/>
              </w:rPr>
              <w:t>10.0</w:t>
            </w:r>
          </w:p>
        </w:tc>
        <w:tc>
          <w:tcPr>
            <w:tcW w:w="2206" w:type="dxa"/>
            <w:gridSpan w:val="2"/>
          </w:tcPr>
          <w:p>
            <w:pPr>
              <w:pStyle w:val="TableParagraph"/>
              <w:tabs>
                <w:tab w:pos="1753" w:val="left" w:leader="none"/>
              </w:tabs>
              <w:spacing w:before="6"/>
              <w:ind w:left="889"/>
              <w:jc w:val="left"/>
              <w:rPr>
                <w:sz w:val="16"/>
              </w:rPr>
            </w:pPr>
            <w:r>
              <w:rPr>
                <w:spacing w:val="-10"/>
                <w:sz w:val="16"/>
              </w:rPr>
              <w:t>-</w:t>
            </w:r>
            <w:r>
              <w:rPr>
                <w:sz w:val="16"/>
              </w:rPr>
              <w:tab/>
            </w:r>
            <w:r>
              <w:rPr>
                <w:spacing w:val="-4"/>
                <w:sz w:val="16"/>
              </w:rPr>
              <w:t>10.0</w:t>
            </w:r>
          </w:p>
        </w:tc>
        <w:tc>
          <w:tcPr>
            <w:tcW w:w="1156" w:type="dxa"/>
          </w:tcPr>
          <w:p>
            <w:pPr>
              <w:pStyle w:val="TableParagraph"/>
              <w:spacing w:before="6"/>
              <w:ind w:right="216"/>
              <w:rPr>
                <w:sz w:val="16"/>
              </w:rPr>
            </w:pPr>
            <w:r>
              <w:rPr>
                <w:spacing w:val="-4"/>
                <w:sz w:val="16"/>
              </w:rPr>
              <w:t>75.2</w:t>
            </w:r>
          </w:p>
        </w:tc>
        <w:tc>
          <w:tcPr>
            <w:tcW w:w="1018" w:type="dxa"/>
          </w:tcPr>
          <w:p>
            <w:pPr>
              <w:pStyle w:val="TableParagraph"/>
              <w:spacing w:before="6"/>
              <w:ind w:right="276"/>
              <w:rPr>
                <w:sz w:val="16"/>
              </w:rPr>
            </w:pPr>
            <w:r>
              <w:rPr>
                <w:w w:val="98"/>
                <w:sz w:val="16"/>
              </w:rPr>
              <w:t>-</w:t>
            </w:r>
          </w:p>
        </w:tc>
        <w:tc>
          <w:tcPr>
            <w:tcW w:w="596" w:type="dxa"/>
          </w:tcPr>
          <w:p>
            <w:pPr>
              <w:pStyle w:val="TableParagraph"/>
              <w:spacing w:before="6"/>
              <w:ind w:right="122"/>
              <w:rPr>
                <w:sz w:val="16"/>
              </w:rPr>
            </w:pPr>
            <w:r>
              <w:rPr>
                <w:w w:val="98"/>
                <w:sz w:val="16"/>
              </w:rPr>
              <w:t>-</w:t>
            </w:r>
          </w:p>
        </w:tc>
        <w:tc>
          <w:tcPr>
            <w:tcW w:w="1088" w:type="dxa"/>
          </w:tcPr>
          <w:p>
            <w:pPr>
              <w:pStyle w:val="TableParagraph"/>
              <w:spacing w:before="6"/>
              <w:ind w:right="104"/>
              <w:rPr>
                <w:sz w:val="16"/>
              </w:rPr>
            </w:pPr>
            <w:r>
              <w:rPr>
                <w:spacing w:val="-4"/>
                <w:sz w:val="16"/>
              </w:rPr>
              <w:t>75.2</w:t>
            </w:r>
          </w:p>
        </w:tc>
      </w:tr>
      <w:tr>
        <w:trPr>
          <w:trHeight w:val="227" w:hRule="atLeast"/>
        </w:trPr>
        <w:tc>
          <w:tcPr>
            <w:tcW w:w="3581" w:type="dxa"/>
            <w:gridSpan w:val="2"/>
          </w:tcPr>
          <w:p>
            <w:pPr>
              <w:pStyle w:val="TableParagraph"/>
              <w:tabs>
                <w:tab w:pos="3231" w:val="left" w:leader="none"/>
              </w:tabs>
              <w:spacing w:before="1"/>
              <w:ind w:left="110"/>
              <w:jc w:val="left"/>
              <w:rPr>
                <w:sz w:val="16"/>
              </w:rPr>
            </w:pPr>
            <w:r>
              <w:rPr>
                <w:spacing w:val="-2"/>
                <w:sz w:val="16"/>
              </w:rPr>
              <w:t>Hospitality</w:t>
            </w:r>
            <w:r>
              <w:rPr>
                <w:sz w:val="16"/>
              </w:rPr>
              <w:tab/>
            </w:r>
            <w:r>
              <w:rPr>
                <w:spacing w:val="-5"/>
                <w:sz w:val="16"/>
              </w:rPr>
              <w:t>3.0</w:t>
            </w:r>
          </w:p>
        </w:tc>
        <w:tc>
          <w:tcPr>
            <w:tcW w:w="2206" w:type="dxa"/>
            <w:gridSpan w:val="2"/>
          </w:tcPr>
          <w:p>
            <w:pPr>
              <w:pStyle w:val="TableParagraph"/>
              <w:tabs>
                <w:tab w:pos="1830" w:val="left" w:leader="none"/>
              </w:tabs>
              <w:spacing w:before="1"/>
              <w:ind w:left="889"/>
              <w:jc w:val="left"/>
              <w:rPr>
                <w:sz w:val="16"/>
              </w:rPr>
            </w:pPr>
            <w:r>
              <w:rPr>
                <w:spacing w:val="-10"/>
                <w:sz w:val="16"/>
              </w:rPr>
              <w:t>-</w:t>
            </w:r>
            <w:r>
              <w:rPr>
                <w:sz w:val="16"/>
              </w:rPr>
              <w:tab/>
            </w:r>
            <w:r>
              <w:rPr>
                <w:spacing w:val="-5"/>
                <w:sz w:val="16"/>
              </w:rPr>
              <w:t>3.0</w:t>
            </w:r>
          </w:p>
        </w:tc>
        <w:tc>
          <w:tcPr>
            <w:tcW w:w="1156" w:type="dxa"/>
          </w:tcPr>
          <w:p>
            <w:pPr>
              <w:pStyle w:val="TableParagraph"/>
              <w:spacing w:before="1"/>
              <w:ind w:right="216"/>
              <w:rPr>
                <w:sz w:val="16"/>
              </w:rPr>
            </w:pPr>
            <w:r>
              <w:rPr>
                <w:spacing w:val="-4"/>
                <w:sz w:val="16"/>
              </w:rPr>
              <w:t>10.0</w:t>
            </w:r>
          </w:p>
        </w:tc>
        <w:tc>
          <w:tcPr>
            <w:tcW w:w="1018" w:type="dxa"/>
          </w:tcPr>
          <w:p>
            <w:pPr>
              <w:pStyle w:val="TableParagraph"/>
              <w:spacing w:before="1"/>
              <w:ind w:right="276"/>
              <w:rPr>
                <w:sz w:val="16"/>
              </w:rPr>
            </w:pPr>
            <w:r>
              <w:rPr>
                <w:w w:val="98"/>
                <w:sz w:val="16"/>
              </w:rPr>
              <w:t>-</w:t>
            </w:r>
          </w:p>
        </w:tc>
        <w:tc>
          <w:tcPr>
            <w:tcW w:w="596" w:type="dxa"/>
          </w:tcPr>
          <w:p>
            <w:pPr>
              <w:pStyle w:val="TableParagraph"/>
              <w:spacing w:before="1"/>
              <w:ind w:right="122"/>
              <w:rPr>
                <w:sz w:val="16"/>
              </w:rPr>
            </w:pPr>
            <w:r>
              <w:rPr>
                <w:w w:val="98"/>
                <w:sz w:val="16"/>
              </w:rPr>
              <w:t>-</w:t>
            </w:r>
          </w:p>
        </w:tc>
        <w:tc>
          <w:tcPr>
            <w:tcW w:w="1088" w:type="dxa"/>
          </w:tcPr>
          <w:p>
            <w:pPr>
              <w:pStyle w:val="TableParagraph"/>
              <w:spacing w:before="1"/>
              <w:ind w:right="104"/>
              <w:rPr>
                <w:sz w:val="16"/>
              </w:rPr>
            </w:pPr>
            <w:r>
              <w:rPr>
                <w:spacing w:val="-4"/>
                <w:sz w:val="16"/>
              </w:rPr>
              <w:t>10.0</w:t>
            </w:r>
          </w:p>
        </w:tc>
      </w:tr>
      <w:tr>
        <w:trPr>
          <w:trHeight w:val="225" w:hRule="atLeast"/>
        </w:trPr>
        <w:tc>
          <w:tcPr>
            <w:tcW w:w="3581" w:type="dxa"/>
            <w:gridSpan w:val="2"/>
          </w:tcPr>
          <w:p>
            <w:pPr>
              <w:pStyle w:val="TableParagraph"/>
              <w:tabs>
                <w:tab w:pos="3231" w:val="left" w:leader="none"/>
              </w:tabs>
              <w:spacing w:line="183" w:lineRule="exact"/>
              <w:ind w:left="110"/>
              <w:jc w:val="left"/>
              <w:rPr>
                <w:sz w:val="16"/>
              </w:rPr>
            </w:pPr>
            <w:r>
              <w:rPr>
                <w:w w:val="95"/>
                <w:sz w:val="16"/>
              </w:rPr>
              <w:t>Contractual</w:t>
            </w:r>
            <w:r>
              <w:rPr>
                <w:spacing w:val="33"/>
                <w:sz w:val="16"/>
              </w:rPr>
              <w:t> </w:t>
            </w:r>
            <w:r>
              <w:rPr>
                <w:spacing w:val="-2"/>
                <w:sz w:val="16"/>
              </w:rPr>
              <w:t>services</w:t>
            </w:r>
            <w:r>
              <w:rPr>
                <w:sz w:val="16"/>
              </w:rPr>
              <w:tab/>
            </w:r>
            <w:r>
              <w:rPr>
                <w:spacing w:val="-5"/>
                <w:sz w:val="16"/>
              </w:rPr>
              <w:t>3.0</w:t>
            </w:r>
          </w:p>
        </w:tc>
        <w:tc>
          <w:tcPr>
            <w:tcW w:w="2206" w:type="dxa"/>
            <w:gridSpan w:val="2"/>
          </w:tcPr>
          <w:p>
            <w:pPr>
              <w:pStyle w:val="TableParagraph"/>
              <w:tabs>
                <w:tab w:pos="1830" w:val="left" w:leader="none"/>
              </w:tabs>
              <w:spacing w:line="183" w:lineRule="exact"/>
              <w:ind w:left="889"/>
              <w:jc w:val="left"/>
              <w:rPr>
                <w:sz w:val="16"/>
              </w:rPr>
            </w:pPr>
            <w:r>
              <w:rPr>
                <w:spacing w:val="-10"/>
                <w:sz w:val="16"/>
              </w:rPr>
              <w:t>-</w:t>
            </w:r>
            <w:r>
              <w:rPr>
                <w:sz w:val="16"/>
              </w:rPr>
              <w:tab/>
            </w:r>
            <w:r>
              <w:rPr>
                <w:spacing w:val="-5"/>
                <w:sz w:val="16"/>
              </w:rPr>
              <w:t>3.0</w:t>
            </w:r>
          </w:p>
        </w:tc>
        <w:tc>
          <w:tcPr>
            <w:tcW w:w="1156" w:type="dxa"/>
          </w:tcPr>
          <w:p>
            <w:pPr>
              <w:pStyle w:val="TableParagraph"/>
              <w:spacing w:line="183" w:lineRule="exact"/>
              <w:ind w:right="218"/>
              <w:rPr>
                <w:sz w:val="16"/>
              </w:rPr>
            </w:pPr>
            <w:r>
              <w:rPr>
                <w:w w:val="98"/>
                <w:sz w:val="16"/>
              </w:rPr>
              <w:t>-</w:t>
            </w:r>
          </w:p>
        </w:tc>
        <w:tc>
          <w:tcPr>
            <w:tcW w:w="1018" w:type="dxa"/>
          </w:tcPr>
          <w:p>
            <w:pPr>
              <w:pStyle w:val="TableParagraph"/>
              <w:spacing w:line="183" w:lineRule="exact"/>
              <w:ind w:right="276"/>
              <w:rPr>
                <w:sz w:val="16"/>
              </w:rPr>
            </w:pPr>
            <w:r>
              <w:rPr>
                <w:w w:val="98"/>
                <w:sz w:val="16"/>
              </w:rPr>
              <w:t>-</w:t>
            </w:r>
          </w:p>
        </w:tc>
        <w:tc>
          <w:tcPr>
            <w:tcW w:w="596" w:type="dxa"/>
          </w:tcPr>
          <w:p>
            <w:pPr>
              <w:pStyle w:val="TableParagraph"/>
              <w:spacing w:line="183" w:lineRule="exact"/>
              <w:ind w:right="122"/>
              <w:rPr>
                <w:sz w:val="16"/>
              </w:rPr>
            </w:pPr>
            <w:r>
              <w:rPr>
                <w:w w:val="98"/>
                <w:sz w:val="16"/>
              </w:rPr>
              <w:t>-</w:t>
            </w:r>
          </w:p>
        </w:tc>
        <w:tc>
          <w:tcPr>
            <w:tcW w:w="1088" w:type="dxa"/>
          </w:tcPr>
          <w:p>
            <w:pPr>
              <w:pStyle w:val="TableParagraph"/>
              <w:spacing w:line="183" w:lineRule="exact"/>
              <w:ind w:right="106"/>
              <w:rPr>
                <w:sz w:val="16"/>
              </w:rPr>
            </w:pPr>
            <w:r>
              <w:rPr>
                <w:w w:val="98"/>
                <w:sz w:val="16"/>
              </w:rPr>
              <w:t>-</w:t>
            </w:r>
          </w:p>
        </w:tc>
      </w:tr>
      <w:tr>
        <w:trPr>
          <w:trHeight w:val="228" w:hRule="atLeast"/>
        </w:trPr>
        <w:tc>
          <w:tcPr>
            <w:tcW w:w="3581" w:type="dxa"/>
            <w:gridSpan w:val="2"/>
          </w:tcPr>
          <w:p>
            <w:pPr>
              <w:pStyle w:val="TableParagraph"/>
              <w:tabs>
                <w:tab w:pos="3430" w:val="right" w:leader="none"/>
              </w:tabs>
              <w:spacing w:line="183" w:lineRule="exact"/>
              <w:ind w:left="110"/>
              <w:jc w:val="left"/>
              <w:rPr>
                <w:sz w:val="16"/>
              </w:rPr>
            </w:pPr>
            <w:r>
              <w:rPr>
                <w:spacing w:val="-2"/>
                <w:sz w:val="16"/>
              </w:rPr>
              <w:t>Training</w:t>
            </w:r>
            <w:r>
              <w:rPr>
                <w:sz w:val="16"/>
              </w:rPr>
              <w:tab/>
            </w:r>
            <w:r>
              <w:rPr>
                <w:spacing w:val="-5"/>
                <w:sz w:val="16"/>
              </w:rPr>
              <w:t>2.7</w:t>
            </w:r>
          </w:p>
        </w:tc>
        <w:tc>
          <w:tcPr>
            <w:tcW w:w="2206" w:type="dxa"/>
            <w:gridSpan w:val="2"/>
          </w:tcPr>
          <w:p>
            <w:pPr>
              <w:pStyle w:val="TableParagraph"/>
              <w:tabs>
                <w:tab w:pos="1830" w:val="left" w:leader="none"/>
              </w:tabs>
              <w:spacing w:line="183" w:lineRule="exact"/>
              <w:ind w:left="889"/>
              <w:jc w:val="left"/>
              <w:rPr>
                <w:sz w:val="16"/>
              </w:rPr>
            </w:pPr>
            <w:r>
              <w:rPr>
                <w:spacing w:val="-10"/>
                <w:sz w:val="16"/>
              </w:rPr>
              <w:t>-</w:t>
            </w:r>
            <w:r>
              <w:rPr>
                <w:sz w:val="16"/>
              </w:rPr>
              <w:tab/>
            </w:r>
            <w:r>
              <w:rPr>
                <w:spacing w:val="-5"/>
                <w:sz w:val="16"/>
              </w:rPr>
              <w:t>2.7</w:t>
            </w:r>
          </w:p>
        </w:tc>
        <w:tc>
          <w:tcPr>
            <w:tcW w:w="1156" w:type="dxa"/>
          </w:tcPr>
          <w:p>
            <w:pPr>
              <w:pStyle w:val="TableParagraph"/>
              <w:spacing w:line="183" w:lineRule="exact"/>
              <w:ind w:right="221"/>
              <w:rPr>
                <w:sz w:val="16"/>
              </w:rPr>
            </w:pPr>
            <w:r>
              <w:rPr>
                <w:spacing w:val="-5"/>
                <w:sz w:val="16"/>
              </w:rPr>
              <w:t>7.3</w:t>
            </w:r>
          </w:p>
        </w:tc>
        <w:tc>
          <w:tcPr>
            <w:tcW w:w="1018" w:type="dxa"/>
          </w:tcPr>
          <w:p>
            <w:pPr>
              <w:pStyle w:val="TableParagraph"/>
              <w:spacing w:line="183" w:lineRule="exact"/>
              <w:ind w:right="276"/>
              <w:rPr>
                <w:sz w:val="16"/>
              </w:rPr>
            </w:pPr>
            <w:r>
              <w:rPr>
                <w:w w:val="98"/>
                <w:sz w:val="16"/>
              </w:rPr>
              <w:t>-</w:t>
            </w:r>
          </w:p>
        </w:tc>
        <w:tc>
          <w:tcPr>
            <w:tcW w:w="596" w:type="dxa"/>
          </w:tcPr>
          <w:p>
            <w:pPr>
              <w:pStyle w:val="TableParagraph"/>
              <w:spacing w:line="183" w:lineRule="exact"/>
              <w:ind w:right="122"/>
              <w:rPr>
                <w:sz w:val="16"/>
              </w:rPr>
            </w:pPr>
            <w:r>
              <w:rPr>
                <w:w w:val="98"/>
                <w:sz w:val="16"/>
              </w:rPr>
              <w:t>-</w:t>
            </w:r>
          </w:p>
        </w:tc>
        <w:tc>
          <w:tcPr>
            <w:tcW w:w="1088" w:type="dxa"/>
          </w:tcPr>
          <w:p>
            <w:pPr>
              <w:pStyle w:val="TableParagraph"/>
              <w:spacing w:line="183" w:lineRule="exact"/>
              <w:ind w:right="108"/>
              <w:rPr>
                <w:sz w:val="16"/>
              </w:rPr>
            </w:pPr>
            <w:r>
              <w:rPr>
                <w:spacing w:val="-5"/>
                <w:sz w:val="16"/>
              </w:rPr>
              <w:t>7.3</w:t>
            </w:r>
          </w:p>
        </w:tc>
      </w:tr>
      <w:tr>
        <w:trPr>
          <w:trHeight w:val="227" w:hRule="atLeast"/>
        </w:trPr>
        <w:tc>
          <w:tcPr>
            <w:tcW w:w="3581" w:type="dxa"/>
            <w:gridSpan w:val="2"/>
          </w:tcPr>
          <w:p>
            <w:pPr>
              <w:pStyle w:val="TableParagraph"/>
              <w:tabs>
                <w:tab w:pos="3380" w:val="left" w:leader="none"/>
              </w:tabs>
              <w:spacing w:before="1"/>
              <w:ind w:left="110"/>
              <w:jc w:val="left"/>
              <w:rPr>
                <w:sz w:val="16"/>
              </w:rPr>
            </w:pPr>
            <w:r>
              <w:rPr>
                <w:spacing w:val="-2"/>
                <w:sz w:val="16"/>
              </w:rPr>
              <w:t>Consultants</w:t>
            </w:r>
            <w:r>
              <w:rPr>
                <w:sz w:val="16"/>
              </w:rPr>
              <w:tab/>
            </w:r>
            <w:r>
              <w:rPr>
                <w:spacing w:val="-10"/>
                <w:sz w:val="16"/>
              </w:rPr>
              <w:t>-</w:t>
            </w:r>
          </w:p>
        </w:tc>
        <w:tc>
          <w:tcPr>
            <w:tcW w:w="2206" w:type="dxa"/>
            <w:gridSpan w:val="2"/>
          </w:tcPr>
          <w:p>
            <w:pPr>
              <w:pStyle w:val="TableParagraph"/>
              <w:tabs>
                <w:tab w:pos="1979" w:val="left" w:leader="none"/>
              </w:tabs>
              <w:spacing w:before="1"/>
              <w:ind w:left="889"/>
              <w:jc w:val="left"/>
              <w:rPr>
                <w:sz w:val="16"/>
              </w:rPr>
            </w:pPr>
            <w:r>
              <w:rPr>
                <w:spacing w:val="-10"/>
                <w:sz w:val="16"/>
              </w:rPr>
              <w:t>-</w:t>
            </w:r>
            <w:r>
              <w:rPr>
                <w:sz w:val="16"/>
              </w:rPr>
              <w:tab/>
            </w:r>
            <w:r>
              <w:rPr>
                <w:spacing w:val="-10"/>
                <w:sz w:val="16"/>
              </w:rPr>
              <w:t>-</w:t>
            </w:r>
          </w:p>
        </w:tc>
        <w:tc>
          <w:tcPr>
            <w:tcW w:w="1156" w:type="dxa"/>
          </w:tcPr>
          <w:p>
            <w:pPr>
              <w:pStyle w:val="TableParagraph"/>
              <w:spacing w:before="1"/>
              <w:ind w:right="221"/>
              <w:rPr>
                <w:sz w:val="16"/>
              </w:rPr>
            </w:pPr>
            <w:r>
              <w:rPr>
                <w:spacing w:val="-5"/>
                <w:sz w:val="16"/>
              </w:rPr>
              <w:t>5.0</w:t>
            </w:r>
          </w:p>
        </w:tc>
        <w:tc>
          <w:tcPr>
            <w:tcW w:w="1018" w:type="dxa"/>
          </w:tcPr>
          <w:p>
            <w:pPr>
              <w:pStyle w:val="TableParagraph"/>
              <w:spacing w:before="1"/>
              <w:ind w:right="276"/>
              <w:rPr>
                <w:sz w:val="16"/>
              </w:rPr>
            </w:pPr>
            <w:r>
              <w:rPr>
                <w:w w:val="98"/>
                <w:sz w:val="16"/>
              </w:rPr>
              <w:t>-</w:t>
            </w:r>
          </w:p>
        </w:tc>
        <w:tc>
          <w:tcPr>
            <w:tcW w:w="596" w:type="dxa"/>
          </w:tcPr>
          <w:p>
            <w:pPr>
              <w:pStyle w:val="TableParagraph"/>
              <w:spacing w:before="1"/>
              <w:ind w:right="122"/>
              <w:rPr>
                <w:sz w:val="16"/>
              </w:rPr>
            </w:pPr>
            <w:r>
              <w:rPr>
                <w:w w:val="98"/>
                <w:sz w:val="16"/>
              </w:rPr>
              <w:t>-</w:t>
            </w:r>
          </w:p>
        </w:tc>
        <w:tc>
          <w:tcPr>
            <w:tcW w:w="1088" w:type="dxa"/>
          </w:tcPr>
          <w:p>
            <w:pPr>
              <w:pStyle w:val="TableParagraph"/>
              <w:spacing w:before="1"/>
              <w:ind w:right="108"/>
              <w:rPr>
                <w:sz w:val="16"/>
              </w:rPr>
            </w:pPr>
            <w:r>
              <w:rPr>
                <w:spacing w:val="-5"/>
                <w:sz w:val="16"/>
              </w:rPr>
              <w:t>5.0</w:t>
            </w:r>
          </w:p>
        </w:tc>
      </w:tr>
      <w:tr>
        <w:trPr>
          <w:trHeight w:val="225" w:hRule="atLeast"/>
        </w:trPr>
        <w:tc>
          <w:tcPr>
            <w:tcW w:w="3581" w:type="dxa"/>
            <w:gridSpan w:val="2"/>
          </w:tcPr>
          <w:p>
            <w:pPr>
              <w:pStyle w:val="TableParagraph"/>
              <w:tabs>
                <w:tab w:pos="3231" w:val="left" w:leader="none"/>
              </w:tabs>
              <w:spacing w:line="183" w:lineRule="exact"/>
              <w:ind w:left="110"/>
              <w:jc w:val="left"/>
              <w:rPr>
                <w:sz w:val="16"/>
              </w:rPr>
            </w:pPr>
            <w:r>
              <w:rPr>
                <w:sz w:val="16"/>
              </w:rPr>
              <w:t>General</w:t>
            </w:r>
            <w:r>
              <w:rPr>
                <w:spacing w:val="-4"/>
                <w:sz w:val="16"/>
              </w:rPr>
              <w:t> </w:t>
            </w:r>
            <w:r>
              <w:rPr>
                <w:sz w:val="16"/>
              </w:rPr>
              <w:t>operating</w:t>
            </w:r>
            <w:r>
              <w:rPr>
                <w:spacing w:val="-1"/>
                <w:sz w:val="16"/>
              </w:rPr>
              <w:t> </w:t>
            </w:r>
            <w:r>
              <w:rPr>
                <w:spacing w:val="-2"/>
                <w:sz w:val="16"/>
              </w:rPr>
              <w:t>expenses</w:t>
            </w:r>
            <w:r>
              <w:rPr>
                <w:sz w:val="16"/>
              </w:rPr>
              <w:tab/>
            </w:r>
            <w:r>
              <w:rPr>
                <w:spacing w:val="-5"/>
                <w:sz w:val="16"/>
              </w:rPr>
              <w:t>0.0</w:t>
            </w:r>
          </w:p>
        </w:tc>
        <w:tc>
          <w:tcPr>
            <w:tcW w:w="2206" w:type="dxa"/>
            <w:gridSpan w:val="2"/>
          </w:tcPr>
          <w:p>
            <w:pPr>
              <w:pStyle w:val="TableParagraph"/>
              <w:tabs>
                <w:tab w:pos="1830" w:val="left" w:leader="none"/>
              </w:tabs>
              <w:spacing w:line="183" w:lineRule="exact"/>
              <w:ind w:left="889"/>
              <w:jc w:val="left"/>
              <w:rPr>
                <w:sz w:val="16"/>
              </w:rPr>
            </w:pPr>
            <w:r>
              <w:rPr>
                <w:spacing w:val="-10"/>
                <w:sz w:val="16"/>
              </w:rPr>
              <w:t>-</w:t>
            </w:r>
            <w:r>
              <w:rPr>
                <w:sz w:val="16"/>
              </w:rPr>
              <w:tab/>
            </w:r>
            <w:r>
              <w:rPr>
                <w:spacing w:val="-5"/>
                <w:sz w:val="16"/>
              </w:rPr>
              <w:t>0.0</w:t>
            </w:r>
          </w:p>
        </w:tc>
        <w:tc>
          <w:tcPr>
            <w:tcW w:w="1156" w:type="dxa"/>
          </w:tcPr>
          <w:p>
            <w:pPr>
              <w:pStyle w:val="TableParagraph"/>
              <w:spacing w:line="183" w:lineRule="exact"/>
              <w:ind w:right="218"/>
              <w:rPr>
                <w:sz w:val="16"/>
              </w:rPr>
            </w:pPr>
            <w:r>
              <w:rPr>
                <w:w w:val="98"/>
                <w:sz w:val="16"/>
              </w:rPr>
              <w:t>-</w:t>
            </w:r>
          </w:p>
        </w:tc>
        <w:tc>
          <w:tcPr>
            <w:tcW w:w="1018" w:type="dxa"/>
          </w:tcPr>
          <w:p>
            <w:pPr>
              <w:pStyle w:val="TableParagraph"/>
              <w:spacing w:line="183" w:lineRule="exact"/>
              <w:ind w:right="276"/>
              <w:rPr>
                <w:sz w:val="16"/>
              </w:rPr>
            </w:pPr>
            <w:r>
              <w:rPr>
                <w:w w:val="98"/>
                <w:sz w:val="16"/>
              </w:rPr>
              <w:t>-</w:t>
            </w:r>
          </w:p>
        </w:tc>
        <w:tc>
          <w:tcPr>
            <w:tcW w:w="596" w:type="dxa"/>
          </w:tcPr>
          <w:p>
            <w:pPr>
              <w:pStyle w:val="TableParagraph"/>
              <w:spacing w:line="183" w:lineRule="exact"/>
              <w:ind w:right="122"/>
              <w:rPr>
                <w:sz w:val="16"/>
              </w:rPr>
            </w:pPr>
            <w:r>
              <w:rPr>
                <w:w w:val="98"/>
                <w:sz w:val="16"/>
              </w:rPr>
              <w:t>-</w:t>
            </w:r>
          </w:p>
        </w:tc>
        <w:tc>
          <w:tcPr>
            <w:tcW w:w="1088" w:type="dxa"/>
          </w:tcPr>
          <w:p>
            <w:pPr>
              <w:pStyle w:val="TableParagraph"/>
              <w:spacing w:line="183" w:lineRule="exact"/>
              <w:ind w:right="106"/>
              <w:rPr>
                <w:sz w:val="16"/>
              </w:rPr>
            </w:pPr>
            <w:r>
              <w:rPr>
                <w:w w:val="98"/>
                <w:sz w:val="16"/>
              </w:rPr>
              <w:t>-</w:t>
            </w:r>
          </w:p>
        </w:tc>
      </w:tr>
      <w:tr>
        <w:trPr>
          <w:trHeight w:val="225" w:hRule="atLeast"/>
        </w:trPr>
        <w:tc>
          <w:tcPr>
            <w:tcW w:w="3581" w:type="dxa"/>
            <w:gridSpan w:val="2"/>
          </w:tcPr>
          <w:p>
            <w:pPr>
              <w:pStyle w:val="TableParagraph"/>
              <w:tabs>
                <w:tab w:pos="3380" w:val="left" w:leader="none"/>
              </w:tabs>
              <w:spacing w:line="183" w:lineRule="exact"/>
              <w:ind w:left="110"/>
              <w:jc w:val="left"/>
              <w:rPr>
                <w:sz w:val="16"/>
              </w:rPr>
            </w:pPr>
            <w:r>
              <w:rPr>
                <w:sz w:val="16"/>
              </w:rPr>
              <w:t>Supplies</w:t>
            </w:r>
            <w:r>
              <w:rPr>
                <w:spacing w:val="-4"/>
                <w:sz w:val="16"/>
              </w:rPr>
              <w:t> </w:t>
            </w:r>
            <w:r>
              <w:rPr>
                <w:sz w:val="16"/>
              </w:rPr>
              <w:t>and</w:t>
            </w:r>
            <w:r>
              <w:rPr>
                <w:spacing w:val="-2"/>
                <w:sz w:val="16"/>
              </w:rPr>
              <w:t> materials</w:t>
            </w:r>
            <w:r>
              <w:rPr>
                <w:sz w:val="16"/>
              </w:rPr>
              <w:tab/>
            </w:r>
            <w:r>
              <w:rPr>
                <w:spacing w:val="-10"/>
                <w:sz w:val="16"/>
              </w:rPr>
              <w:t>-</w:t>
            </w:r>
          </w:p>
        </w:tc>
        <w:tc>
          <w:tcPr>
            <w:tcW w:w="2206" w:type="dxa"/>
            <w:gridSpan w:val="2"/>
          </w:tcPr>
          <w:p>
            <w:pPr>
              <w:pStyle w:val="TableParagraph"/>
              <w:tabs>
                <w:tab w:pos="1979" w:val="left" w:leader="none"/>
              </w:tabs>
              <w:spacing w:line="183" w:lineRule="exact"/>
              <w:ind w:left="889"/>
              <w:jc w:val="left"/>
              <w:rPr>
                <w:sz w:val="16"/>
              </w:rPr>
            </w:pPr>
            <w:r>
              <w:rPr>
                <w:spacing w:val="-10"/>
                <w:sz w:val="16"/>
              </w:rPr>
              <w:t>-</w:t>
            </w:r>
            <w:r>
              <w:rPr>
                <w:sz w:val="16"/>
              </w:rPr>
              <w:tab/>
            </w:r>
            <w:r>
              <w:rPr>
                <w:spacing w:val="-10"/>
                <w:sz w:val="16"/>
              </w:rPr>
              <w:t>-</w:t>
            </w:r>
          </w:p>
        </w:tc>
        <w:tc>
          <w:tcPr>
            <w:tcW w:w="1156" w:type="dxa"/>
          </w:tcPr>
          <w:p>
            <w:pPr>
              <w:pStyle w:val="TableParagraph"/>
              <w:spacing w:line="183" w:lineRule="exact"/>
              <w:ind w:right="218"/>
              <w:rPr>
                <w:sz w:val="16"/>
              </w:rPr>
            </w:pPr>
            <w:r>
              <w:rPr>
                <w:w w:val="98"/>
                <w:sz w:val="16"/>
              </w:rPr>
              <w:t>-</w:t>
            </w:r>
          </w:p>
        </w:tc>
        <w:tc>
          <w:tcPr>
            <w:tcW w:w="1018" w:type="dxa"/>
          </w:tcPr>
          <w:p>
            <w:pPr>
              <w:pStyle w:val="TableParagraph"/>
              <w:spacing w:line="183" w:lineRule="exact"/>
              <w:ind w:right="276"/>
              <w:rPr>
                <w:sz w:val="16"/>
              </w:rPr>
            </w:pPr>
            <w:r>
              <w:rPr>
                <w:w w:val="98"/>
                <w:sz w:val="16"/>
              </w:rPr>
              <w:t>-</w:t>
            </w:r>
          </w:p>
        </w:tc>
        <w:tc>
          <w:tcPr>
            <w:tcW w:w="596" w:type="dxa"/>
          </w:tcPr>
          <w:p>
            <w:pPr>
              <w:pStyle w:val="TableParagraph"/>
              <w:spacing w:line="183" w:lineRule="exact"/>
              <w:ind w:right="122"/>
              <w:rPr>
                <w:sz w:val="16"/>
              </w:rPr>
            </w:pPr>
            <w:r>
              <w:rPr>
                <w:w w:val="98"/>
                <w:sz w:val="16"/>
              </w:rPr>
              <w:t>-</w:t>
            </w:r>
          </w:p>
        </w:tc>
        <w:tc>
          <w:tcPr>
            <w:tcW w:w="1088" w:type="dxa"/>
          </w:tcPr>
          <w:p>
            <w:pPr>
              <w:pStyle w:val="TableParagraph"/>
              <w:spacing w:line="183" w:lineRule="exact"/>
              <w:ind w:right="106"/>
              <w:rPr>
                <w:sz w:val="16"/>
              </w:rPr>
            </w:pPr>
            <w:r>
              <w:rPr>
                <w:w w:val="98"/>
                <w:sz w:val="16"/>
              </w:rPr>
              <w:t>-</w:t>
            </w:r>
          </w:p>
        </w:tc>
      </w:tr>
      <w:tr>
        <w:trPr>
          <w:trHeight w:val="228" w:hRule="atLeast"/>
        </w:trPr>
        <w:tc>
          <w:tcPr>
            <w:tcW w:w="3581" w:type="dxa"/>
            <w:gridSpan w:val="2"/>
          </w:tcPr>
          <w:p>
            <w:pPr>
              <w:pStyle w:val="TableParagraph"/>
              <w:tabs>
                <w:tab w:pos="3380" w:val="left" w:leader="none"/>
              </w:tabs>
              <w:spacing w:line="183" w:lineRule="exact"/>
              <w:ind w:left="110"/>
              <w:jc w:val="left"/>
              <w:rPr>
                <w:sz w:val="16"/>
              </w:rPr>
            </w:pPr>
            <w:r>
              <w:rPr>
                <w:sz w:val="16"/>
              </w:rPr>
              <w:t>Furniture</w:t>
            </w:r>
            <w:r>
              <w:rPr>
                <w:spacing w:val="-4"/>
                <w:sz w:val="16"/>
              </w:rPr>
              <w:t> </w:t>
            </w:r>
            <w:r>
              <w:rPr>
                <w:sz w:val="16"/>
              </w:rPr>
              <w:t>and</w:t>
            </w:r>
            <w:r>
              <w:rPr>
                <w:spacing w:val="-2"/>
                <w:sz w:val="16"/>
              </w:rPr>
              <w:t> equipment</w:t>
            </w:r>
            <w:r>
              <w:rPr>
                <w:sz w:val="16"/>
              </w:rPr>
              <w:tab/>
            </w:r>
            <w:r>
              <w:rPr>
                <w:spacing w:val="-10"/>
                <w:sz w:val="16"/>
              </w:rPr>
              <w:t>-</w:t>
            </w:r>
          </w:p>
        </w:tc>
        <w:tc>
          <w:tcPr>
            <w:tcW w:w="2206" w:type="dxa"/>
            <w:gridSpan w:val="2"/>
          </w:tcPr>
          <w:p>
            <w:pPr>
              <w:pStyle w:val="TableParagraph"/>
              <w:tabs>
                <w:tab w:pos="1979" w:val="left" w:leader="none"/>
              </w:tabs>
              <w:spacing w:line="183" w:lineRule="exact"/>
              <w:ind w:left="889"/>
              <w:jc w:val="left"/>
              <w:rPr>
                <w:sz w:val="16"/>
              </w:rPr>
            </w:pPr>
            <w:r>
              <w:rPr>
                <w:spacing w:val="-10"/>
                <w:sz w:val="16"/>
              </w:rPr>
              <w:t>-</w:t>
            </w:r>
            <w:r>
              <w:rPr>
                <w:sz w:val="16"/>
              </w:rPr>
              <w:tab/>
            </w:r>
            <w:r>
              <w:rPr>
                <w:spacing w:val="-10"/>
                <w:sz w:val="16"/>
              </w:rPr>
              <w:t>-</w:t>
            </w:r>
          </w:p>
        </w:tc>
        <w:tc>
          <w:tcPr>
            <w:tcW w:w="1156" w:type="dxa"/>
          </w:tcPr>
          <w:p>
            <w:pPr>
              <w:pStyle w:val="TableParagraph"/>
              <w:spacing w:line="183" w:lineRule="exact"/>
              <w:ind w:right="218"/>
              <w:rPr>
                <w:sz w:val="16"/>
              </w:rPr>
            </w:pPr>
            <w:r>
              <w:rPr>
                <w:w w:val="98"/>
                <w:sz w:val="16"/>
              </w:rPr>
              <w:t>-</w:t>
            </w:r>
          </w:p>
        </w:tc>
        <w:tc>
          <w:tcPr>
            <w:tcW w:w="1018" w:type="dxa"/>
          </w:tcPr>
          <w:p>
            <w:pPr>
              <w:pStyle w:val="TableParagraph"/>
              <w:spacing w:line="183" w:lineRule="exact"/>
              <w:ind w:right="276"/>
              <w:rPr>
                <w:sz w:val="16"/>
              </w:rPr>
            </w:pPr>
            <w:r>
              <w:rPr>
                <w:w w:val="98"/>
                <w:sz w:val="16"/>
              </w:rPr>
              <w:t>-</w:t>
            </w:r>
          </w:p>
        </w:tc>
        <w:tc>
          <w:tcPr>
            <w:tcW w:w="596" w:type="dxa"/>
          </w:tcPr>
          <w:p>
            <w:pPr>
              <w:pStyle w:val="TableParagraph"/>
              <w:spacing w:line="183" w:lineRule="exact"/>
              <w:ind w:right="122"/>
              <w:rPr>
                <w:sz w:val="16"/>
              </w:rPr>
            </w:pPr>
            <w:r>
              <w:rPr>
                <w:w w:val="98"/>
                <w:sz w:val="16"/>
              </w:rPr>
              <w:t>-</w:t>
            </w:r>
          </w:p>
        </w:tc>
        <w:tc>
          <w:tcPr>
            <w:tcW w:w="1088" w:type="dxa"/>
          </w:tcPr>
          <w:p>
            <w:pPr>
              <w:pStyle w:val="TableParagraph"/>
              <w:spacing w:line="183" w:lineRule="exact"/>
              <w:ind w:right="106"/>
              <w:rPr>
                <w:sz w:val="16"/>
              </w:rPr>
            </w:pPr>
            <w:r>
              <w:rPr>
                <w:w w:val="98"/>
                <w:sz w:val="16"/>
              </w:rPr>
              <w:t>-</w:t>
            </w:r>
          </w:p>
        </w:tc>
      </w:tr>
      <w:tr>
        <w:trPr>
          <w:trHeight w:val="240" w:hRule="atLeast"/>
        </w:trPr>
        <w:tc>
          <w:tcPr>
            <w:tcW w:w="3581" w:type="dxa"/>
            <w:gridSpan w:val="2"/>
          </w:tcPr>
          <w:p>
            <w:pPr>
              <w:pStyle w:val="TableParagraph"/>
              <w:tabs>
                <w:tab w:pos="3435" w:val="right" w:leader="none"/>
              </w:tabs>
              <w:spacing w:before="11"/>
              <w:ind w:left="1205"/>
              <w:jc w:val="left"/>
              <w:rPr>
                <w:i/>
                <w:sz w:val="16"/>
              </w:rPr>
            </w:pPr>
            <w:r>
              <w:rPr>
                <w:i/>
                <w:w w:val="95"/>
                <w:sz w:val="16"/>
              </w:rPr>
              <w:t>Subtotal</w:t>
            </w:r>
            <w:r>
              <w:rPr>
                <w:i/>
                <w:spacing w:val="40"/>
                <w:sz w:val="16"/>
              </w:rPr>
              <w:t> </w:t>
            </w:r>
            <w:r>
              <w:rPr>
                <w:i/>
                <w:w w:val="95"/>
                <w:sz w:val="16"/>
              </w:rPr>
              <w:t>non-</w:t>
            </w:r>
            <w:r>
              <w:rPr>
                <w:i/>
                <w:spacing w:val="-4"/>
                <w:w w:val="95"/>
                <w:sz w:val="16"/>
              </w:rPr>
              <w:t>staff</w:t>
            </w:r>
            <w:r>
              <w:rPr>
                <w:i/>
                <w:sz w:val="16"/>
              </w:rPr>
              <w:tab/>
            </w:r>
            <w:r>
              <w:rPr>
                <w:i/>
                <w:spacing w:val="-4"/>
                <w:w w:val="95"/>
                <w:sz w:val="16"/>
              </w:rPr>
              <w:t>18.8</w:t>
            </w:r>
          </w:p>
        </w:tc>
        <w:tc>
          <w:tcPr>
            <w:tcW w:w="2206" w:type="dxa"/>
            <w:gridSpan w:val="2"/>
          </w:tcPr>
          <w:p>
            <w:pPr>
              <w:pStyle w:val="TableParagraph"/>
              <w:tabs>
                <w:tab w:pos="1753" w:val="left" w:leader="none"/>
              </w:tabs>
              <w:spacing w:before="11"/>
              <w:ind w:left="889"/>
              <w:jc w:val="left"/>
              <w:rPr>
                <w:i/>
                <w:sz w:val="16"/>
              </w:rPr>
            </w:pPr>
            <w:r>
              <w:rPr>
                <w:i/>
                <w:spacing w:val="-10"/>
                <w:sz w:val="16"/>
              </w:rPr>
              <w:t>-</w:t>
            </w:r>
            <w:r>
              <w:rPr>
                <w:i/>
                <w:sz w:val="16"/>
              </w:rPr>
              <w:tab/>
            </w:r>
            <w:r>
              <w:rPr>
                <w:i/>
                <w:spacing w:val="-4"/>
                <w:sz w:val="16"/>
              </w:rPr>
              <w:t>18.8</w:t>
            </w:r>
          </w:p>
        </w:tc>
        <w:tc>
          <w:tcPr>
            <w:tcW w:w="1156" w:type="dxa"/>
          </w:tcPr>
          <w:p>
            <w:pPr>
              <w:pStyle w:val="TableParagraph"/>
              <w:spacing w:before="11"/>
              <w:ind w:right="216"/>
              <w:rPr>
                <w:i/>
                <w:sz w:val="16"/>
              </w:rPr>
            </w:pPr>
            <w:r>
              <w:rPr>
                <w:i/>
                <w:spacing w:val="-4"/>
                <w:sz w:val="16"/>
              </w:rPr>
              <w:t>97.5</w:t>
            </w:r>
          </w:p>
        </w:tc>
        <w:tc>
          <w:tcPr>
            <w:tcW w:w="1018" w:type="dxa"/>
          </w:tcPr>
          <w:p>
            <w:pPr>
              <w:pStyle w:val="TableParagraph"/>
              <w:spacing w:before="11"/>
              <w:ind w:right="276"/>
              <w:rPr>
                <w:i/>
                <w:sz w:val="16"/>
              </w:rPr>
            </w:pPr>
            <w:r>
              <w:rPr>
                <w:i/>
                <w:w w:val="98"/>
                <w:sz w:val="16"/>
              </w:rPr>
              <w:t>-</w:t>
            </w:r>
          </w:p>
        </w:tc>
        <w:tc>
          <w:tcPr>
            <w:tcW w:w="596" w:type="dxa"/>
          </w:tcPr>
          <w:p>
            <w:pPr>
              <w:pStyle w:val="TableParagraph"/>
              <w:spacing w:before="11"/>
              <w:ind w:right="122"/>
              <w:rPr>
                <w:i/>
                <w:sz w:val="16"/>
              </w:rPr>
            </w:pPr>
            <w:r>
              <w:rPr>
                <w:i/>
                <w:w w:val="98"/>
                <w:sz w:val="16"/>
              </w:rPr>
              <w:t>-</w:t>
            </w:r>
          </w:p>
        </w:tc>
        <w:tc>
          <w:tcPr>
            <w:tcW w:w="1088" w:type="dxa"/>
          </w:tcPr>
          <w:p>
            <w:pPr>
              <w:pStyle w:val="TableParagraph"/>
              <w:spacing w:before="11"/>
              <w:ind w:right="104"/>
              <w:rPr>
                <w:i/>
                <w:sz w:val="16"/>
              </w:rPr>
            </w:pPr>
            <w:r>
              <w:rPr>
                <w:i/>
                <w:spacing w:val="-4"/>
                <w:sz w:val="16"/>
              </w:rPr>
              <w:t>97.5</w:t>
            </w:r>
          </w:p>
        </w:tc>
      </w:tr>
      <w:tr>
        <w:trPr>
          <w:trHeight w:val="244" w:hRule="atLeast"/>
        </w:trPr>
        <w:tc>
          <w:tcPr>
            <w:tcW w:w="3581" w:type="dxa"/>
            <w:gridSpan w:val="2"/>
          </w:tcPr>
          <w:p>
            <w:pPr>
              <w:pStyle w:val="TableParagraph"/>
              <w:tabs>
                <w:tab w:pos="2952" w:val="left" w:leader="none"/>
              </w:tabs>
              <w:spacing w:before="6"/>
              <w:ind w:left="110"/>
              <w:jc w:val="left"/>
              <w:rPr>
                <w:b/>
                <w:sz w:val="16"/>
              </w:rPr>
            </w:pPr>
            <w:r>
              <w:rPr>
                <w:b/>
                <w:spacing w:val="-2"/>
                <w:sz w:val="16"/>
              </w:rPr>
              <w:t>Total</w:t>
            </w:r>
            <w:r>
              <w:rPr>
                <w:b/>
                <w:sz w:val="16"/>
              </w:rPr>
              <w:tab/>
            </w:r>
            <w:r>
              <w:rPr>
                <w:b/>
                <w:spacing w:val="-2"/>
                <w:sz w:val="16"/>
              </w:rPr>
              <w:t>1,069.6</w:t>
            </w:r>
          </w:p>
        </w:tc>
        <w:tc>
          <w:tcPr>
            <w:tcW w:w="2206" w:type="dxa"/>
            <w:gridSpan w:val="2"/>
          </w:tcPr>
          <w:p>
            <w:pPr>
              <w:pStyle w:val="TableParagraph"/>
              <w:tabs>
                <w:tab w:pos="1552" w:val="left" w:leader="none"/>
              </w:tabs>
              <w:spacing w:before="6"/>
              <w:ind w:left="889"/>
              <w:jc w:val="left"/>
              <w:rPr>
                <w:b/>
                <w:sz w:val="16"/>
              </w:rPr>
            </w:pPr>
            <w:r>
              <w:rPr>
                <w:b/>
                <w:spacing w:val="-10"/>
                <w:sz w:val="16"/>
              </w:rPr>
              <w:t>-</w:t>
            </w:r>
            <w:r>
              <w:rPr>
                <w:b/>
                <w:sz w:val="16"/>
              </w:rPr>
              <w:tab/>
            </w:r>
            <w:r>
              <w:rPr>
                <w:b/>
                <w:spacing w:val="-2"/>
                <w:sz w:val="16"/>
              </w:rPr>
              <w:t>1,069.6</w:t>
            </w:r>
          </w:p>
        </w:tc>
        <w:tc>
          <w:tcPr>
            <w:tcW w:w="1156" w:type="dxa"/>
          </w:tcPr>
          <w:p>
            <w:pPr>
              <w:pStyle w:val="TableParagraph"/>
              <w:spacing w:before="6"/>
              <w:ind w:right="217"/>
              <w:rPr>
                <w:b/>
                <w:sz w:val="16"/>
              </w:rPr>
            </w:pPr>
            <w:r>
              <w:rPr>
                <w:b/>
                <w:spacing w:val="-2"/>
                <w:sz w:val="16"/>
              </w:rPr>
              <w:t>1,345.3</w:t>
            </w:r>
          </w:p>
        </w:tc>
        <w:tc>
          <w:tcPr>
            <w:tcW w:w="1018" w:type="dxa"/>
          </w:tcPr>
          <w:p>
            <w:pPr>
              <w:pStyle w:val="TableParagraph"/>
              <w:spacing w:before="6"/>
              <w:ind w:right="274"/>
              <w:rPr>
                <w:b/>
                <w:sz w:val="16"/>
              </w:rPr>
            </w:pPr>
            <w:r>
              <w:rPr>
                <w:b/>
                <w:spacing w:val="-4"/>
                <w:sz w:val="16"/>
              </w:rPr>
              <w:t>37.7</w:t>
            </w:r>
          </w:p>
        </w:tc>
        <w:tc>
          <w:tcPr>
            <w:tcW w:w="596" w:type="dxa"/>
          </w:tcPr>
          <w:p>
            <w:pPr>
              <w:pStyle w:val="TableParagraph"/>
              <w:spacing w:before="6"/>
              <w:ind w:right="125"/>
              <w:rPr>
                <w:b/>
                <w:sz w:val="16"/>
              </w:rPr>
            </w:pPr>
            <w:r>
              <w:rPr>
                <w:b/>
                <w:spacing w:val="-5"/>
                <w:sz w:val="16"/>
              </w:rPr>
              <w:t>2.8</w:t>
            </w:r>
          </w:p>
        </w:tc>
        <w:tc>
          <w:tcPr>
            <w:tcW w:w="1088" w:type="dxa"/>
          </w:tcPr>
          <w:p>
            <w:pPr>
              <w:pStyle w:val="TableParagraph"/>
              <w:spacing w:before="6"/>
              <w:ind w:right="104"/>
              <w:rPr>
                <w:b/>
                <w:sz w:val="16"/>
              </w:rPr>
            </w:pPr>
            <w:r>
              <w:rPr>
                <w:b/>
                <w:spacing w:val="-2"/>
                <w:sz w:val="16"/>
              </w:rPr>
              <w:t>1,383.0</w:t>
            </w:r>
          </w:p>
        </w:tc>
      </w:tr>
    </w:tbl>
    <w:p>
      <w:pPr>
        <w:pStyle w:val="BodyText"/>
        <w:spacing w:before="5"/>
        <w:rPr>
          <w:sz w:val="21"/>
        </w:rPr>
      </w:pPr>
      <w:r>
        <w:rPr/>
        <w:pict>
          <v:shape style="position:absolute;margin-left:56.664001pt;margin-top:389.140961pt;width:482.15pt;height:.5pt;mso-position-horizontal-relative:page;mso-position-vertical-relative:page;z-index:-43838464" id="docshape52" coordorigin="1133,7783" coordsize="9643,10" path="m3597,7783l3587,7783,3587,7783,1133,7783,1133,7792,3587,7792,3587,7792,3597,7792,3597,7783xm4677,7783l3597,7783,3597,7792,4677,7792,4677,7783xm6867,7783l6857,7783,6857,7783,5772,7783,5762,7783,5762,7783,4687,7783,4677,7783,4677,7792,4687,7792,5762,7792,5762,7792,5772,7792,6857,7792,6857,7792,6867,7792,6867,7783xm7966,7783l6867,7783,6867,7792,7966,7792,7966,7783xm9671,7783l8937,7783,8927,7783,8927,7783,7976,7783,7967,7783,7967,7792,7976,7792,8927,7792,8927,7792,8937,7792,9671,7792,9671,7783xm10775,7783l9681,7783,9671,7783,9671,7792,9681,7792,10775,7792,10775,7783xe" filled="true" fillcolor="#000000" stroked="false">
            <v:path arrowok="t"/>
            <v:fill type="solid"/>
            <w10:wrap type="none"/>
          </v:shape>
        </w:pict>
      </w:r>
    </w:p>
    <w:p>
      <w:pPr>
        <w:pStyle w:val="Heading3"/>
      </w:pPr>
      <w:r>
        <w:rPr/>
        <w:pict>
          <v:shape style="position:absolute;margin-left:56.664001pt;margin-top:-37.243069pt;width:482.15pt;height:.5pt;mso-position-horizontal-relative:page;mso-position-vertical-relative:paragraph;z-index:-43837952" id="docshape53" coordorigin="1133,-745" coordsize="9643,10" path="m3597,-745l3587,-745,3587,-745,1133,-745,1133,-735,3587,-735,3587,-735,3597,-735,3597,-745xm4677,-745l3597,-745,3597,-735,4677,-735,4677,-745xm6867,-745l6857,-745,6857,-745,5772,-745,5762,-745,5762,-745,4687,-745,4677,-745,4677,-735,4687,-735,5762,-735,5762,-735,5772,-735,6857,-735,6857,-735,6867,-735,6867,-745xm7966,-745l6867,-745,6867,-735,7966,-735,7966,-745xm9671,-745l8937,-745,8927,-745,8927,-745,7976,-745,7967,-745,7967,-735,7976,-735,8927,-735,8927,-735,8937,-735,9671,-735,9671,-745xm10775,-745l9681,-745,9671,-745,9671,-735,9681,-735,10775,-735,10775,-745xe" filled="true" fillcolor="#000000" stroked="false">
            <v:path arrowok="t"/>
            <v:fill type="solid"/>
            <w10:wrap type="none"/>
          </v:shape>
        </w:pict>
      </w:r>
      <w:r>
        <w:rPr/>
        <w:pict>
          <v:shape style="position:absolute;margin-left:56.664001pt;margin-top:-25.224068pt;width:482.15pt;height:.5pt;mso-position-horizontal-relative:page;mso-position-vertical-relative:paragraph;z-index:-43837440" id="docshape54" coordorigin="1133,-504" coordsize="9643,10" path="m3597,-504l3587,-504,3587,-504,1133,-504,1133,-495,3587,-495,3587,-495,3597,-495,3597,-504xm4677,-504l3597,-504,3597,-495,4677,-495,4677,-504xm6867,-504l6857,-504,6857,-504,5772,-504,5762,-504,5762,-504,4687,-504,4677,-504,4677,-495,4687,-495,5762,-495,5762,-495,5772,-495,6857,-495,6857,-495,6867,-495,6867,-504xm7966,-504l6867,-504,6867,-495,7966,-495,7966,-504xm9671,-504l8937,-504,8927,-504,8927,-504,7976,-504,7967,-504,7967,-495,7976,-495,8927,-495,8927,-495,8937,-495,9671,-495,9671,-504xm10775,-504l9681,-504,9671,-504,9671,-495,9681,-495,10775,-495,10775,-504xe" filled="true" fillcolor="#000000" stroked="false">
            <v:path arrowok="t"/>
            <v:fill type="solid"/>
            <w10:wrap type="none"/>
          </v:shape>
        </w:pict>
      </w:r>
      <w:r>
        <w:rPr/>
        <w:pict>
          <v:shape style="position:absolute;margin-left:55.944004pt;margin-top:-13.464067pt;width:482.85pt;height:1.45pt;mso-position-horizontal-relative:page;mso-position-vertical-relative:paragraph;z-index:15736832" id="docshape55" coordorigin="1119,-269" coordsize="9657,29" path="m4692,-269l4677,-269,4663,-269,3601,-269,3587,-269,3573,-269,1119,-269,1119,-240,3573,-240,3587,-240,3601,-240,4663,-240,4677,-240,4692,-240,4692,-269xm10775,-269l9685,-269,9671,-269,9657,-269,8941,-269,8927,-269,8913,-269,7981,-269,7966,-269,7952,-269,6872,-269,6857,-269,6843,-269,5777,-269,5762,-269,5748,-269,4692,-269,4692,-240,5748,-240,5762,-240,5777,-240,6843,-240,6857,-240,6872,-240,7952,-240,7966,-240,7981,-240,8913,-240,8927,-240,8941,-240,9657,-240,9671,-240,9685,-240,10775,-240,10775,-269xe" filled="true" fillcolor="#000000" stroked="false">
            <v:path arrowok="t"/>
            <v:fill type="solid"/>
            <w10:wrap type="none"/>
          </v:shape>
        </w:pict>
      </w:r>
      <w:r>
        <w:rPr/>
        <w:t>Table</w:t>
      </w:r>
      <w:r>
        <w:rPr>
          <w:spacing w:val="-7"/>
        </w:rPr>
        <w:t> </w:t>
      </w:r>
      <w:r>
        <w:rPr/>
        <w:t>8:</w:t>
      </w:r>
      <w:r>
        <w:rPr>
          <w:spacing w:val="-7"/>
        </w:rPr>
        <w:t> </w:t>
      </w:r>
      <w:r>
        <w:rPr/>
        <w:t>Programme</w:t>
      </w:r>
      <w:r>
        <w:rPr>
          <w:spacing w:val="-5"/>
        </w:rPr>
        <w:t> </w:t>
      </w:r>
      <w:r>
        <w:rPr/>
        <w:t>1100:</w:t>
      </w:r>
      <w:r>
        <w:rPr>
          <w:spacing w:val="-7"/>
        </w:rPr>
        <w:t> </w:t>
      </w:r>
      <w:r>
        <w:rPr/>
        <w:t>Proposed</w:t>
      </w:r>
      <w:r>
        <w:rPr>
          <w:spacing w:val="-5"/>
        </w:rPr>
        <w:t> </w:t>
      </w:r>
      <w:r>
        <w:rPr/>
        <w:t>staffing</w:t>
      </w:r>
      <w:r>
        <w:rPr>
          <w:spacing w:val="-7"/>
        </w:rPr>
        <w:t> </w:t>
      </w:r>
      <w:r>
        <w:rPr/>
        <w:t>for</w:t>
      </w:r>
      <w:r>
        <w:rPr>
          <w:spacing w:val="-4"/>
        </w:rPr>
        <w:t> 2023</w:t>
      </w:r>
    </w:p>
    <w:tbl>
      <w:tblPr>
        <w:tblW w:w="0" w:type="auto"/>
        <w:jc w:val="left"/>
        <w:tblInd w:w="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6"/>
        <w:gridCol w:w="678"/>
        <w:gridCol w:w="607"/>
        <w:gridCol w:w="563"/>
        <w:gridCol w:w="581"/>
        <w:gridCol w:w="581"/>
        <w:gridCol w:w="590"/>
        <w:gridCol w:w="667"/>
        <w:gridCol w:w="667"/>
        <w:gridCol w:w="465"/>
        <w:gridCol w:w="794"/>
        <w:gridCol w:w="568"/>
        <w:gridCol w:w="577"/>
        <w:gridCol w:w="562"/>
        <w:gridCol w:w="820"/>
        <w:gridCol w:w="519"/>
      </w:tblGrid>
      <w:tr>
        <w:trPr>
          <w:trHeight w:val="484" w:hRule="atLeast"/>
        </w:trPr>
        <w:tc>
          <w:tcPr>
            <w:tcW w:w="1186"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left="67"/>
              <w:jc w:val="left"/>
              <w:rPr>
                <w:sz w:val="14"/>
              </w:rPr>
            </w:pPr>
            <w:r>
              <w:rPr>
                <w:spacing w:val="-4"/>
                <w:sz w:val="14"/>
              </w:rPr>
              <w:t>1100</w:t>
            </w:r>
          </w:p>
        </w:tc>
        <w:tc>
          <w:tcPr>
            <w:tcW w:w="678"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152"/>
              <w:rPr>
                <w:sz w:val="14"/>
              </w:rPr>
            </w:pPr>
            <w:r>
              <w:rPr>
                <w:spacing w:val="-5"/>
                <w:sz w:val="14"/>
              </w:rPr>
              <w:t>USG</w:t>
            </w:r>
          </w:p>
        </w:tc>
        <w:tc>
          <w:tcPr>
            <w:tcW w:w="607"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169"/>
              <w:rPr>
                <w:sz w:val="14"/>
              </w:rPr>
            </w:pPr>
            <w:r>
              <w:rPr>
                <w:spacing w:val="-5"/>
                <w:sz w:val="14"/>
              </w:rPr>
              <w:t>ASG</w:t>
            </w:r>
          </w:p>
        </w:tc>
        <w:tc>
          <w:tcPr>
            <w:tcW w:w="563"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167"/>
              <w:rPr>
                <w:sz w:val="14"/>
              </w:rPr>
            </w:pPr>
            <w:r>
              <w:rPr>
                <w:w w:val="95"/>
                <w:sz w:val="14"/>
              </w:rPr>
              <w:t>D-</w:t>
            </w:r>
            <w:r>
              <w:rPr>
                <w:spacing w:val="-10"/>
                <w:sz w:val="14"/>
              </w:rPr>
              <w:t>2</w:t>
            </w:r>
          </w:p>
        </w:tc>
        <w:tc>
          <w:tcPr>
            <w:tcW w:w="581"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187"/>
              <w:rPr>
                <w:sz w:val="14"/>
              </w:rPr>
            </w:pPr>
            <w:r>
              <w:rPr>
                <w:w w:val="95"/>
                <w:sz w:val="14"/>
              </w:rPr>
              <w:t>D-</w:t>
            </w:r>
            <w:r>
              <w:rPr>
                <w:spacing w:val="-10"/>
                <w:sz w:val="14"/>
              </w:rPr>
              <w:t>1</w:t>
            </w:r>
          </w:p>
        </w:tc>
        <w:tc>
          <w:tcPr>
            <w:tcW w:w="581"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left="17" w:right="17"/>
              <w:jc w:val="center"/>
              <w:rPr>
                <w:sz w:val="14"/>
              </w:rPr>
            </w:pPr>
            <w:r>
              <w:rPr>
                <w:w w:val="95"/>
                <w:sz w:val="14"/>
              </w:rPr>
              <w:t>P-</w:t>
            </w:r>
            <w:r>
              <w:rPr>
                <w:spacing w:val="-10"/>
                <w:sz w:val="14"/>
              </w:rPr>
              <w:t>5</w:t>
            </w:r>
          </w:p>
        </w:tc>
        <w:tc>
          <w:tcPr>
            <w:tcW w:w="590"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196"/>
              <w:rPr>
                <w:sz w:val="14"/>
              </w:rPr>
            </w:pPr>
            <w:r>
              <w:rPr>
                <w:w w:val="95"/>
                <w:sz w:val="14"/>
              </w:rPr>
              <w:t>P-</w:t>
            </w:r>
            <w:r>
              <w:rPr>
                <w:spacing w:val="-10"/>
                <w:sz w:val="14"/>
              </w:rPr>
              <w:t>4</w:t>
            </w:r>
          </w:p>
        </w:tc>
        <w:tc>
          <w:tcPr>
            <w:tcW w:w="667"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267"/>
              <w:rPr>
                <w:sz w:val="14"/>
              </w:rPr>
            </w:pPr>
            <w:r>
              <w:rPr>
                <w:w w:val="95"/>
                <w:sz w:val="14"/>
              </w:rPr>
              <w:t>P-</w:t>
            </w:r>
            <w:r>
              <w:rPr>
                <w:spacing w:val="-10"/>
                <w:sz w:val="14"/>
              </w:rPr>
              <w:t>3</w:t>
            </w:r>
          </w:p>
        </w:tc>
        <w:tc>
          <w:tcPr>
            <w:tcW w:w="667"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194"/>
              <w:rPr>
                <w:sz w:val="14"/>
              </w:rPr>
            </w:pPr>
            <w:r>
              <w:rPr>
                <w:w w:val="95"/>
                <w:sz w:val="14"/>
              </w:rPr>
              <w:t>P-</w:t>
            </w:r>
            <w:r>
              <w:rPr>
                <w:spacing w:val="-10"/>
                <w:sz w:val="14"/>
              </w:rPr>
              <w:t>2</w:t>
            </w:r>
          </w:p>
        </w:tc>
        <w:tc>
          <w:tcPr>
            <w:tcW w:w="465"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64"/>
              <w:rPr>
                <w:sz w:val="14"/>
              </w:rPr>
            </w:pPr>
            <w:r>
              <w:rPr>
                <w:w w:val="95"/>
                <w:sz w:val="14"/>
              </w:rPr>
              <w:t>P-</w:t>
            </w:r>
            <w:r>
              <w:rPr>
                <w:spacing w:val="-10"/>
                <w:sz w:val="14"/>
              </w:rPr>
              <w:t>1</w:t>
            </w:r>
          </w:p>
        </w:tc>
        <w:tc>
          <w:tcPr>
            <w:tcW w:w="794" w:type="dxa"/>
            <w:tcBorders>
              <w:top w:val="single" w:sz="4" w:space="0" w:color="000000"/>
              <w:bottom w:val="single" w:sz="4" w:space="0" w:color="000000"/>
            </w:tcBorders>
          </w:tcPr>
          <w:p>
            <w:pPr>
              <w:pStyle w:val="TableParagraph"/>
              <w:spacing w:line="235" w:lineRule="auto"/>
              <w:ind w:left="276" w:right="121" w:firstLine="96"/>
              <w:rPr>
                <w:i/>
                <w:sz w:val="14"/>
              </w:rPr>
            </w:pPr>
            <w:r>
              <w:rPr>
                <w:i/>
                <w:spacing w:val="-2"/>
                <w:sz w:val="14"/>
              </w:rPr>
              <w:t>Total</w:t>
            </w:r>
            <w:r>
              <w:rPr>
                <w:i/>
                <w:spacing w:val="40"/>
                <w:sz w:val="14"/>
              </w:rPr>
              <w:t> </w:t>
            </w:r>
            <w:r>
              <w:rPr>
                <w:i/>
                <w:w w:val="95"/>
                <w:sz w:val="14"/>
              </w:rPr>
              <w:t>P-</w:t>
            </w:r>
            <w:r>
              <w:rPr>
                <w:i/>
                <w:spacing w:val="-4"/>
                <w:sz w:val="14"/>
              </w:rPr>
              <w:t>Staff</w:t>
            </w:r>
          </w:p>
          <w:p>
            <w:pPr>
              <w:pStyle w:val="TableParagraph"/>
              <w:spacing w:line="149" w:lineRule="exact"/>
              <w:ind w:right="118"/>
              <w:rPr>
                <w:i/>
                <w:sz w:val="14"/>
              </w:rPr>
            </w:pPr>
            <w:r>
              <w:rPr>
                <w:i/>
                <w:sz w:val="14"/>
              </w:rPr>
              <w:t>and</w:t>
            </w:r>
            <w:r>
              <w:rPr>
                <w:i/>
                <w:spacing w:val="1"/>
                <w:sz w:val="14"/>
              </w:rPr>
              <w:t> </w:t>
            </w:r>
            <w:r>
              <w:rPr>
                <w:i/>
                <w:spacing w:val="-2"/>
                <w:sz w:val="14"/>
              </w:rPr>
              <w:t>Above</w:t>
            </w:r>
          </w:p>
        </w:tc>
        <w:tc>
          <w:tcPr>
            <w:tcW w:w="568"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92"/>
              <w:rPr>
                <w:sz w:val="14"/>
              </w:rPr>
            </w:pPr>
            <w:r>
              <w:rPr>
                <w:w w:val="95"/>
                <w:sz w:val="14"/>
              </w:rPr>
              <w:t>NO-</w:t>
            </w:r>
            <w:r>
              <w:rPr>
                <w:spacing w:val="-10"/>
                <w:sz w:val="14"/>
              </w:rPr>
              <w:t>C</w:t>
            </w:r>
          </w:p>
        </w:tc>
        <w:tc>
          <w:tcPr>
            <w:tcW w:w="577"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82"/>
              <w:rPr>
                <w:sz w:val="14"/>
              </w:rPr>
            </w:pPr>
            <w:r>
              <w:rPr>
                <w:w w:val="95"/>
                <w:sz w:val="14"/>
              </w:rPr>
              <w:t>GS-</w:t>
            </w:r>
            <w:r>
              <w:rPr>
                <w:spacing w:val="-5"/>
                <w:sz w:val="14"/>
              </w:rPr>
              <w:t>PL</w:t>
            </w:r>
          </w:p>
        </w:tc>
        <w:tc>
          <w:tcPr>
            <w:tcW w:w="562"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52"/>
              <w:rPr>
                <w:sz w:val="14"/>
              </w:rPr>
            </w:pPr>
            <w:r>
              <w:rPr>
                <w:w w:val="95"/>
                <w:sz w:val="14"/>
              </w:rPr>
              <w:t>GS-</w:t>
            </w:r>
            <w:r>
              <w:rPr>
                <w:spacing w:val="-5"/>
                <w:sz w:val="14"/>
              </w:rPr>
              <w:t>OL</w:t>
            </w:r>
          </w:p>
        </w:tc>
        <w:tc>
          <w:tcPr>
            <w:tcW w:w="820" w:type="dxa"/>
            <w:tcBorders>
              <w:top w:val="single" w:sz="4" w:space="0" w:color="000000"/>
              <w:bottom w:val="single" w:sz="4" w:space="0" w:color="000000"/>
            </w:tcBorders>
          </w:tcPr>
          <w:p>
            <w:pPr>
              <w:pStyle w:val="TableParagraph"/>
              <w:spacing w:line="235" w:lineRule="auto"/>
              <w:ind w:left="263" w:right="127" w:firstLine="124"/>
              <w:jc w:val="left"/>
              <w:rPr>
                <w:i/>
                <w:sz w:val="14"/>
              </w:rPr>
            </w:pPr>
            <w:r>
              <w:rPr>
                <w:i/>
                <w:spacing w:val="-2"/>
                <w:sz w:val="14"/>
              </w:rPr>
              <w:t>Total</w:t>
            </w:r>
            <w:r>
              <w:rPr>
                <w:i/>
                <w:spacing w:val="40"/>
                <w:sz w:val="14"/>
              </w:rPr>
              <w:t> </w:t>
            </w:r>
            <w:r>
              <w:rPr>
                <w:i/>
                <w:sz w:val="14"/>
              </w:rPr>
              <w:t>GS</w:t>
            </w:r>
            <w:r>
              <w:rPr>
                <w:i/>
                <w:spacing w:val="-1"/>
                <w:sz w:val="14"/>
              </w:rPr>
              <w:t> </w:t>
            </w:r>
            <w:r>
              <w:rPr>
                <w:i/>
                <w:spacing w:val="-5"/>
                <w:sz w:val="14"/>
              </w:rPr>
              <w:t>and</w:t>
            </w:r>
          </w:p>
          <w:p>
            <w:pPr>
              <w:pStyle w:val="TableParagraph"/>
              <w:spacing w:line="149" w:lineRule="exact"/>
              <w:ind w:left="66"/>
              <w:jc w:val="left"/>
              <w:rPr>
                <w:i/>
                <w:sz w:val="14"/>
              </w:rPr>
            </w:pPr>
            <w:r>
              <w:rPr>
                <w:i/>
                <w:sz w:val="14"/>
              </w:rPr>
              <w:t>Other</w:t>
            </w:r>
            <w:r>
              <w:rPr>
                <w:i/>
                <w:spacing w:val="-5"/>
                <w:sz w:val="14"/>
              </w:rPr>
              <w:t> </w:t>
            </w:r>
            <w:r>
              <w:rPr>
                <w:i/>
                <w:spacing w:val="-2"/>
                <w:sz w:val="14"/>
              </w:rPr>
              <w:t>Staff</w:t>
            </w:r>
          </w:p>
        </w:tc>
        <w:tc>
          <w:tcPr>
            <w:tcW w:w="519" w:type="dxa"/>
            <w:tcBorders>
              <w:top w:val="single" w:sz="4" w:space="0" w:color="000000"/>
              <w:bottom w:val="single" w:sz="4" w:space="0" w:color="000000"/>
            </w:tcBorders>
          </w:tcPr>
          <w:p>
            <w:pPr>
              <w:pStyle w:val="TableParagraph"/>
              <w:spacing w:before="4"/>
              <w:jc w:val="left"/>
              <w:rPr>
                <w:b/>
                <w:sz w:val="12"/>
              </w:rPr>
            </w:pPr>
          </w:p>
          <w:p>
            <w:pPr>
              <w:pStyle w:val="TableParagraph"/>
              <w:spacing w:line="160" w:lineRule="atLeast"/>
              <w:ind w:left="177" w:hanging="34"/>
              <w:jc w:val="left"/>
              <w:rPr>
                <w:b/>
                <w:sz w:val="14"/>
              </w:rPr>
            </w:pPr>
            <w:r>
              <w:rPr>
                <w:b/>
                <w:spacing w:val="-4"/>
                <w:sz w:val="14"/>
              </w:rPr>
              <w:t>Total</w:t>
            </w:r>
            <w:r>
              <w:rPr>
                <w:b/>
                <w:spacing w:val="40"/>
                <w:sz w:val="14"/>
              </w:rPr>
              <w:t> </w:t>
            </w:r>
            <w:r>
              <w:rPr>
                <w:b/>
                <w:spacing w:val="-4"/>
                <w:sz w:val="14"/>
              </w:rPr>
              <w:t>Staff</w:t>
            </w:r>
          </w:p>
        </w:tc>
      </w:tr>
      <w:tr>
        <w:trPr>
          <w:trHeight w:val="231" w:hRule="atLeast"/>
        </w:trPr>
        <w:tc>
          <w:tcPr>
            <w:tcW w:w="1186" w:type="dxa"/>
            <w:tcBorders>
              <w:top w:val="single" w:sz="4" w:space="0" w:color="000000"/>
            </w:tcBorders>
          </w:tcPr>
          <w:p>
            <w:pPr>
              <w:pStyle w:val="TableParagraph"/>
              <w:spacing w:before="23"/>
              <w:ind w:left="67"/>
              <w:jc w:val="left"/>
              <w:rPr>
                <w:b/>
                <w:sz w:val="14"/>
              </w:rPr>
            </w:pPr>
            <w:r>
              <w:rPr>
                <w:b/>
                <w:spacing w:val="-2"/>
                <w:sz w:val="14"/>
              </w:rPr>
              <w:t>Established</w:t>
            </w:r>
            <w:r>
              <w:rPr>
                <w:b/>
                <w:spacing w:val="11"/>
                <w:sz w:val="14"/>
              </w:rPr>
              <w:t> </w:t>
            </w:r>
            <w:r>
              <w:rPr>
                <w:b/>
                <w:spacing w:val="-2"/>
                <w:sz w:val="14"/>
              </w:rPr>
              <w:t>Posts</w:t>
            </w:r>
          </w:p>
        </w:tc>
        <w:tc>
          <w:tcPr>
            <w:tcW w:w="678" w:type="dxa"/>
            <w:tcBorders>
              <w:top w:val="single" w:sz="4" w:space="0" w:color="000000"/>
            </w:tcBorders>
          </w:tcPr>
          <w:p>
            <w:pPr>
              <w:pStyle w:val="TableParagraph"/>
              <w:jc w:val="left"/>
              <w:rPr>
                <w:sz w:val="16"/>
              </w:rPr>
            </w:pPr>
          </w:p>
        </w:tc>
        <w:tc>
          <w:tcPr>
            <w:tcW w:w="607" w:type="dxa"/>
            <w:tcBorders>
              <w:top w:val="single" w:sz="4" w:space="0" w:color="000000"/>
            </w:tcBorders>
          </w:tcPr>
          <w:p>
            <w:pPr>
              <w:pStyle w:val="TableParagraph"/>
              <w:jc w:val="left"/>
              <w:rPr>
                <w:sz w:val="16"/>
              </w:rPr>
            </w:pPr>
          </w:p>
        </w:tc>
        <w:tc>
          <w:tcPr>
            <w:tcW w:w="563" w:type="dxa"/>
            <w:tcBorders>
              <w:top w:val="single" w:sz="4" w:space="0" w:color="000000"/>
            </w:tcBorders>
          </w:tcPr>
          <w:p>
            <w:pPr>
              <w:pStyle w:val="TableParagraph"/>
              <w:jc w:val="left"/>
              <w:rPr>
                <w:sz w:val="16"/>
              </w:rPr>
            </w:pPr>
          </w:p>
        </w:tc>
        <w:tc>
          <w:tcPr>
            <w:tcW w:w="581" w:type="dxa"/>
            <w:tcBorders>
              <w:top w:val="single" w:sz="4" w:space="0" w:color="000000"/>
            </w:tcBorders>
          </w:tcPr>
          <w:p>
            <w:pPr>
              <w:pStyle w:val="TableParagraph"/>
              <w:jc w:val="left"/>
              <w:rPr>
                <w:sz w:val="16"/>
              </w:rPr>
            </w:pPr>
          </w:p>
        </w:tc>
        <w:tc>
          <w:tcPr>
            <w:tcW w:w="581" w:type="dxa"/>
            <w:tcBorders>
              <w:top w:val="single" w:sz="4" w:space="0" w:color="000000"/>
            </w:tcBorders>
          </w:tcPr>
          <w:p>
            <w:pPr>
              <w:pStyle w:val="TableParagraph"/>
              <w:jc w:val="left"/>
              <w:rPr>
                <w:sz w:val="16"/>
              </w:rPr>
            </w:pPr>
          </w:p>
        </w:tc>
        <w:tc>
          <w:tcPr>
            <w:tcW w:w="590" w:type="dxa"/>
            <w:tcBorders>
              <w:top w:val="single" w:sz="4" w:space="0" w:color="000000"/>
            </w:tcBorders>
          </w:tcPr>
          <w:p>
            <w:pPr>
              <w:pStyle w:val="TableParagraph"/>
              <w:jc w:val="left"/>
              <w:rPr>
                <w:sz w:val="16"/>
              </w:rPr>
            </w:pPr>
          </w:p>
        </w:tc>
        <w:tc>
          <w:tcPr>
            <w:tcW w:w="667" w:type="dxa"/>
            <w:tcBorders>
              <w:top w:val="single" w:sz="4" w:space="0" w:color="000000"/>
            </w:tcBorders>
          </w:tcPr>
          <w:p>
            <w:pPr>
              <w:pStyle w:val="TableParagraph"/>
              <w:jc w:val="left"/>
              <w:rPr>
                <w:sz w:val="16"/>
              </w:rPr>
            </w:pPr>
          </w:p>
        </w:tc>
        <w:tc>
          <w:tcPr>
            <w:tcW w:w="667" w:type="dxa"/>
            <w:tcBorders>
              <w:top w:val="single" w:sz="4" w:space="0" w:color="000000"/>
            </w:tcBorders>
          </w:tcPr>
          <w:p>
            <w:pPr>
              <w:pStyle w:val="TableParagraph"/>
              <w:jc w:val="left"/>
              <w:rPr>
                <w:sz w:val="16"/>
              </w:rPr>
            </w:pPr>
          </w:p>
        </w:tc>
        <w:tc>
          <w:tcPr>
            <w:tcW w:w="465" w:type="dxa"/>
            <w:tcBorders>
              <w:top w:val="single" w:sz="4" w:space="0" w:color="000000"/>
            </w:tcBorders>
          </w:tcPr>
          <w:p>
            <w:pPr>
              <w:pStyle w:val="TableParagraph"/>
              <w:jc w:val="left"/>
              <w:rPr>
                <w:sz w:val="16"/>
              </w:rPr>
            </w:pPr>
          </w:p>
        </w:tc>
        <w:tc>
          <w:tcPr>
            <w:tcW w:w="794" w:type="dxa"/>
            <w:tcBorders>
              <w:top w:val="single" w:sz="4" w:space="0" w:color="000000"/>
            </w:tcBorders>
          </w:tcPr>
          <w:p>
            <w:pPr>
              <w:pStyle w:val="TableParagraph"/>
              <w:jc w:val="left"/>
              <w:rPr>
                <w:sz w:val="16"/>
              </w:rPr>
            </w:pPr>
          </w:p>
        </w:tc>
        <w:tc>
          <w:tcPr>
            <w:tcW w:w="568" w:type="dxa"/>
            <w:tcBorders>
              <w:top w:val="single" w:sz="4" w:space="0" w:color="000000"/>
            </w:tcBorders>
          </w:tcPr>
          <w:p>
            <w:pPr>
              <w:pStyle w:val="TableParagraph"/>
              <w:jc w:val="left"/>
              <w:rPr>
                <w:sz w:val="16"/>
              </w:rPr>
            </w:pPr>
          </w:p>
        </w:tc>
        <w:tc>
          <w:tcPr>
            <w:tcW w:w="577" w:type="dxa"/>
            <w:tcBorders>
              <w:top w:val="single" w:sz="4" w:space="0" w:color="000000"/>
            </w:tcBorders>
          </w:tcPr>
          <w:p>
            <w:pPr>
              <w:pStyle w:val="TableParagraph"/>
              <w:jc w:val="left"/>
              <w:rPr>
                <w:sz w:val="16"/>
              </w:rPr>
            </w:pPr>
          </w:p>
        </w:tc>
        <w:tc>
          <w:tcPr>
            <w:tcW w:w="562" w:type="dxa"/>
            <w:tcBorders>
              <w:top w:val="single" w:sz="4" w:space="0" w:color="000000"/>
            </w:tcBorders>
          </w:tcPr>
          <w:p>
            <w:pPr>
              <w:pStyle w:val="TableParagraph"/>
              <w:jc w:val="left"/>
              <w:rPr>
                <w:sz w:val="16"/>
              </w:rPr>
            </w:pPr>
          </w:p>
        </w:tc>
        <w:tc>
          <w:tcPr>
            <w:tcW w:w="820" w:type="dxa"/>
            <w:tcBorders>
              <w:top w:val="single" w:sz="4" w:space="0" w:color="000000"/>
            </w:tcBorders>
          </w:tcPr>
          <w:p>
            <w:pPr>
              <w:pStyle w:val="TableParagraph"/>
              <w:jc w:val="left"/>
              <w:rPr>
                <w:sz w:val="16"/>
              </w:rPr>
            </w:pPr>
          </w:p>
        </w:tc>
        <w:tc>
          <w:tcPr>
            <w:tcW w:w="519" w:type="dxa"/>
            <w:tcBorders>
              <w:top w:val="single" w:sz="4" w:space="0" w:color="000000"/>
            </w:tcBorders>
          </w:tcPr>
          <w:p>
            <w:pPr>
              <w:pStyle w:val="TableParagraph"/>
              <w:jc w:val="left"/>
              <w:rPr>
                <w:sz w:val="16"/>
              </w:rPr>
            </w:pPr>
          </w:p>
        </w:tc>
      </w:tr>
      <w:tr>
        <w:trPr>
          <w:trHeight w:val="219" w:hRule="atLeast"/>
        </w:trPr>
        <w:tc>
          <w:tcPr>
            <w:tcW w:w="1186" w:type="dxa"/>
            <w:tcBorders>
              <w:bottom w:val="single" w:sz="12" w:space="0" w:color="000000"/>
            </w:tcBorders>
          </w:tcPr>
          <w:p>
            <w:pPr>
              <w:pStyle w:val="TableParagraph"/>
              <w:spacing w:before="22"/>
              <w:ind w:left="67"/>
              <w:jc w:val="left"/>
              <w:rPr>
                <w:sz w:val="14"/>
              </w:rPr>
            </w:pPr>
            <w:r>
              <w:rPr>
                <w:w w:val="95"/>
                <w:sz w:val="14"/>
              </w:rPr>
              <w:t>Approved</w:t>
            </w:r>
            <w:r>
              <w:rPr>
                <w:spacing w:val="22"/>
                <w:sz w:val="14"/>
              </w:rPr>
              <w:t> </w:t>
            </w:r>
            <w:r>
              <w:rPr>
                <w:spacing w:val="-4"/>
                <w:sz w:val="14"/>
              </w:rPr>
              <w:t>2022</w:t>
            </w:r>
          </w:p>
        </w:tc>
        <w:tc>
          <w:tcPr>
            <w:tcW w:w="678" w:type="dxa"/>
            <w:tcBorders>
              <w:bottom w:val="single" w:sz="12" w:space="0" w:color="000000"/>
            </w:tcBorders>
          </w:tcPr>
          <w:p>
            <w:pPr>
              <w:pStyle w:val="TableParagraph"/>
              <w:spacing w:before="22"/>
              <w:ind w:right="154"/>
              <w:rPr>
                <w:sz w:val="14"/>
              </w:rPr>
            </w:pPr>
            <w:r>
              <w:rPr>
                <w:w w:val="99"/>
                <w:sz w:val="14"/>
              </w:rPr>
              <w:t>-</w:t>
            </w:r>
          </w:p>
        </w:tc>
        <w:tc>
          <w:tcPr>
            <w:tcW w:w="607" w:type="dxa"/>
            <w:tcBorders>
              <w:bottom w:val="single" w:sz="12" w:space="0" w:color="000000"/>
            </w:tcBorders>
          </w:tcPr>
          <w:p>
            <w:pPr>
              <w:pStyle w:val="TableParagraph"/>
              <w:spacing w:before="22"/>
              <w:ind w:right="170"/>
              <w:rPr>
                <w:sz w:val="14"/>
              </w:rPr>
            </w:pPr>
            <w:r>
              <w:rPr>
                <w:w w:val="99"/>
                <w:sz w:val="14"/>
              </w:rPr>
              <w:t>-</w:t>
            </w:r>
          </w:p>
        </w:tc>
        <w:tc>
          <w:tcPr>
            <w:tcW w:w="563" w:type="dxa"/>
            <w:tcBorders>
              <w:bottom w:val="single" w:sz="12" w:space="0" w:color="000000"/>
            </w:tcBorders>
          </w:tcPr>
          <w:p>
            <w:pPr>
              <w:pStyle w:val="TableParagraph"/>
              <w:spacing w:before="22"/>
              <w:ind w:right="171"/>
              <w:rPr>
                <w:sz w:val="14"/>
              </w:rPr>
            </w:pPr>
            <w:r>
              <w:rPr>
                <w:w w:val="99"/>
                <w:sz w:val="14"/>
              </w:rPr>
              <w:t>-</w:t>
            </w:r>
          </w:p>
        </w:tc>
        <w:tc>
          <w:tcPr>
            <w:tcW w:w="581" w:type="dxa"/>
            <w:tcBorders>
              <w:bottom w:val="single" w:sz="12" w:space="0" w:color="000000"/>
            </w:tcBorders>
          </w:tcPr>
          <w:p>
            <w:pPr>
              <w:pStyle w:val="TableParagraph"/>
              <w:spacing w:before="22"/>
              <w:ind w:right="191"/>
              <w:rPr>
                <w:sz w:val="14"/>
              </w:rPr>
            </w:pPr>
            <w:r>
              <w:rPr>
                <w:w w:val="99"/>
                <w:sz w:val="14"/>
              </w:rPr>
              <w:t>-</w:t>
            </w:r>
          </w:p>
        </w:tc>
        <w:tc>
          <w:tcPr>
            <w:tcW w:w="581" w:type="dxa"/>
            <w:tcBorders>
              <w:bottom w:val="single" w:sz="12" w:space="0" w:color="000000"/>
            </w:tcBorders>
          </w:tcPr>
          <w:p>
            <w:pPr>
              <w:pStyle w:val="TableParagraph"/>
              <w:spacing w:before="22"/>
              <w:ind w:left="124"/>
              <w:jc w:val="center"/>
              <w:rPr>
                <w:sz w:val="14"/>
              </w:rPr>
            </w:pPr>
            <w:r>
              <w:rPr>
                <w:w w:val="99"/>
                <w:sz w:val="14"/>
              </w:rPr>
              <w:t>1</w:t>
            </w:r>
          </w:p>
        </w:tc>
        <w:tc>
          <w:tcPr>
            <w:tcW w:w="590" w:type="dxa"/>
            <w:tcBorders>
              <w:bottom w:val="single" w:sz="12" w:space="0" w:color="000000"/>
            </w:tcBorders>
          </w:tcPr>
          <w:p>
            <w:pPr>
              <w:pStyle w:val="TableParagraph"/>
              <w:spacing w:before="22"/>
              <w:ind w:right="196"/>
              <w:rPr>
                <w:sz w:val="14"/>
              </w:rPr>
            </w:pPr>
            <w:r>
              <w:rPr>
                <w:w w:val="99"/>
                <w:sz w:val="14"/>
              </w:rPr>
              <w:t>1</w:t>
            </w:r>
          </w:p>
        </w:tc>
        <w:tc>
          <w:tcPr>
            <w:tcW w:w="667" w:type="dxa"/>
            <w:tcBorders>
              <w:bottom w:val="single" w:sz="12" w:space="0" w:color="000000"/>
            </w:tcBorders>
          </w:tcPr>
          <w:p>
            <w:pPr>
              <w:pStyle w:val="TableParagraph"/>
              <w:spacing w:before="22"/>
              <w:ind w:right="267"/>
              <w:rPr>
                <w:sz w:val="14"/>
              </w:rPr>
            </w:pPr>
            <w:r>
              <w:rPr>
                <w:w w:val="99"/>
                <w:sz w:val="14"/>
              </w:rPr>
              <w:t>3</w:t>
            </w:r>
          </w:p>
        </w:tc>
        <w:tc>
          <w:tcPr>
            <w:tcW w:w="667" w:type="dxa"/>
            <w:tcBorders>
              <w:bottom w:val="single" w:sz="12" w:space="0" w:color="000000"/>
            </w:tcBorders>
          </w:tcPr>
          <w:p>
            <w:pPr>
              <w:pStyle w:val="TableParagraph"/>
              <w:spacing w:before="22"/>
              <w:ind w:right="194"/>
              <w:rPr>
                <w:sz w:val="14"/>
              </w:rPr>
            </w:pPr>
            <w:r>
              <w:rPr>
                <w:w w:val="99"/>
                <w:sz w:val="14"/>
              </w:rPr>
              <w:t>2</w:t>
            </w:r>
          </w:p>
        </w:tc>
        <w:tc>
          <w:tcPr>
            <w:tcW w:w="465" w:type="dxa"/>
            <w:tcBorders>
              <w:bottom w:val="single" w:sz="12" w:space="0" w:color="000000"/>
            </w:tcBorders>
          </w:tcPr>
          <w:p>
            <w:pPr>
              <w:pStyle w:val="TableParagraph"/>
              <w:spacing w:before="22"/>
              <w:ind w:right="63"/>
              <w:rPr>
                <w:sz w:val="14"/>
              </w:rPr>
            </w:pPr>
            <w:r>
              <w:rPr>
                <w:w w:val="99"/>
                <w:sz w:val="14"/>
              </w:rPr>
              <w:t>-</w:t>
            </w:r>
          </w:p>
        </w:tc>
        <w:tc>
          <w:tcPr>
            <w:tcW w:w="794" w:type="dxa"/>
            <w:tcBorders>
              <w:bottom w:val="single" w:sz="12" w:space="0" w:color="000000"/>
            </w:tcBorders>
          </w:tcPr>
          <w:p>
            <w:pPr>
              <w:pStyle w:val="TableParagraph"/>
              <w:spacing w:before="22"/>
              <w:ind w:right="123"/>
              <w:rPr>
                <w:i/>
                <w:sz w:val="14"/>
              </w:rPr>
            </w:pPr>
            <w:r>
              <w:rPr>
                <w:i/>
                <w:w w:val="99"/>
                <w:sz w:val="14"/>
              </w:rPr>
              <w:t>7</w:t>
            </w:r>
          </w:p>
        </w:tc>
        <w:tc>
          <w:tcPr>
            <w:tcW w:w="568" w:type="dxa"/>
            <w:tcBorders>
              <w:bottom w:val="single" w:sz="12" w:space="0" w:color="000000"/>
            </w:tcBorders>
          </w:tcPr>
          <w:p>
            <w:pPr>
              <w:pStyle w:val="TableParagraph"/>
              <w:spacing w:before="22"/>
              <w:ind w:right="95"/>
              <w:rPr>
                <w:sz w:val="14"/>
              </w:rPr>
            </w:pPr>
            <w:r>
              <w:rPr>
                <w:w w:val="99"/>
                <w:sz w:val="14"/>
              </w:rPr>
              <w:t>-</w:t>
            </w:r>
          </w:p>
        </w:tc>
        <w:tc>
          <w:tcPr>
            <w:tcW w:w="577" w:type="dxa"/>
            <w:tcBorders>
              <w:bottom w:val="single" w:sz="12" w:space="0" w:color="000000"/>
            </w:tcBorders>
          </w:tcPr>
          <w:p>
            <w:pPr>
              <w:pStyle w:val="TableParagraph"/>
              <w:spacing w:before="22"/>
              <w:ind w:right="82"/>
              <w:rPr>
                <w:sz w:val="14"/>
              </w:rPr>
            </w:pPr>
            <w:r>
              <w:rPr>
                <w:w w:val="99"/>
                <w:sz w:val="14"/>
              </w:rPr>
              <w:t>1</w:t>
            </w:r>
          </w:p>
        </w:tc>
        <w:tc>
          <w:tcPr>
            <w:tcW w:w="562" w:type="dxa"/>
            <w:tcBorders>
              <w:bottom w:val="single" w:sz="12" w:space="0" w:color="000000"/>
            </w:tcBorders>
          </w:tcPr>
          <w:p>
            <w:pPr>
              <w:pStyle w:val="TableParagraph"/>
              <w:spacing w:before="22"/>
              <w:ind w:right="54"/>
              <w:rPr>
                <w:sz w:val="14"/>
              </w:rPr>
            </w:pPr>
            <w:r>
              <w:rPr>
                <w:w w:val="99"/>
                <w:sz w:val="14"/>
              </w:rPr>
              <w:t>3</w:t>
            </w:r>
          </w:p>
        </w:tc>
        <w:tc>
          <w:tcPr>
            <w:tcW w:w="820" w:type="dxa"/>
            <w:tcBorders>
              <w:bottom w:val="single" w:sz="12" w:space="0" w:color="000000"/>
            </w:tcBorders>
          </w:tcPr>
          <w:p>
            <w:pPr>
              <w:pStyle w:val="TableParagraph"/>
              <w:spacing w:before="22"/>
              <w:ind w:right="134"/>
              <w:rPr>
                <w:i/>
                <w:sz w:val="14"/>
              </w:rPr>
            </w:pPr>
            <w:r>
              <w:rPr>
                <w:i/>
                <w:w w:val="99"/>
                <w:sz w:val="14"/>
              </w:rPr>
              <w:t>4</w:t>
            </w:r>
          </w:p>
        </w:tc>
        <w:tc>
          <w:tcPr>
            <w:tcW w:w="519" w:type="dxa"/>
            <w:tcBorders>
              <w:bottom w:val="single" w:sz="12" w:space="0" w:color="000000"/>
            </w:tcBorders>
          </w:tcPr>
          <w:p>
            <w:pPr>
              <w:pStyle w:val="TableParagraph"/>
              <w:spacing w:before="22"/>
              <w:ind w:right="46"/>
              <w:rPr>
                <w:b/>
                <w:sz w:val="14"/>
              </w:rPr>
            </w:pPr>
            <w:r>
              <w:rPr>
                <w:b/>
                <w:spacing w:val="-5"/>
                <w:sz w:val="14"/>
              </w:rPr>
              <w:t>11</w:t>
            </w:r>
          </w:p>
        </w:tc>
      </w:tr>
      <w:tr>
        <w:trPr>
          <w:trHeight w:val="229" w:hRule="atLeast"/>
        </w:trPr>
        <w:tc>
          <w:tcPr>
            <w:tcW w:w="1186" w:type="dxa"/>
            <w:tcBorders>
              <w:top w:val="single" w:sz="12" w:space="0" w:color="000000"/>
              <w:bottom w:val="single" w:sz="4" w:space="0" w:color="000000"/>
            </w:tcBorders>
          </w:tcPr>
          <w:p>
            <w:pPr>
              <w:pStyle w:val="TableParagraph"/>
              <w:spacing w:before="27"/>
              <w:ind w:left="67"/>
              <w:jc w:val="left"/>
              <w:rPr>
                <w:sz w:val="14"/>
              </w:rPr>
            </w:pPr>
            <w:r>
              <w:rPr>
                <w:spacing w:val="-5"/>
                <w:sz w:val="14"/>
              </w:rPr>
              <w:t>New</w:t>
            </w:r>
          </w:p>
        </w:tc>
        <w:tc>
          <w:tcPr>
            <w:tcW w:w="678" w:type="dxa"/>
            <w:tcBorders>
              <w:top w:val="single" w:sz="12" w:space="0" w:color="000000"/>
              <w:bottom w:val="single" w:sz="4" w:space="0" w:color="000000"/>
            </w:tcBorders>
          </w:tcPr>
          <w:p>
            <w:pPr>
              <w:pStyle w:val="TableParagraph"/>
              <w:spacing w:before="27"/>
              <w:ind w:right="154"/>
              <w:rPr>
                <w:sz w:val="14"/>
              </w:rPr>
            </w:pPr>
            <w:r>
              <w:rPr>
                <w:w w:val="99"/>
                <w:sz w:val="14"/>
              </w:rPr>
              <w:t>-</w:t>
            </w:r>
          </w:p>
        </w:tc>
        <w:tc>
          <w:tcPr>
            <w:tcW w:w="607" w:type="dxa"/>
            <w:tcBorders>
              <w:top w:val="single" w:sz="12" w:space="0" w:color="000000"/>
              <w:bottom w:val="single" w:sz="4" w:space="0" w:color="000000"/>
            </w:tcBorders>
          </w:tcPr>
          <w:p>
            <w:pPr>
              <w:pStyle w:val="TableParagraph"/>
              <w:spacing w:before="27"/>
              <w:ind w:right="170"/>
              <w:rPr>
                <w:sz w:val="14"/>
              </w:rPr>
            </w:pPr>
            <w:r>
              <w:rPr>
                <w:w w:val="99"/>
                <w:sz w:val="14"/>
              </w:rPr>
              <w:t>-</w:t>
            </w:r>
          </w:p>
        </w:tc>
        <w:tc>
          <w:tcPr>
            <w:tcW w:w="563" w:type="dxa"/>
            <w:tcBorders>
              <w:top w:val="single" w:sz="12" w:space="0" w:color="000000"/>
              <w:bottom w:val="single" w:sz="4" w:space="0" w:color="000000"/>
            </w:tcBorders>
          </w:tcPr>
          <w:p>
            <w:pPr>
              <w:pStyle w:val="TableParagraph"/>
              <w:spacing w:before="27"/>
              <w:ind w:right="171"/>
              <w:rPr>
                <w:sz w:val="14"/>
              </w:rPr>
            </w:pPr>
            <w:r>
              <w:rPr>
                <w:w w:val="99"/>
                <w:sz w:val="14"/>
              </w:rPr>
              <w:t>-</w:t>
            </w:r>
          </w:p>
        </w:tc>
        <w:tc>
          <w:tcPr>
            <w:tcW w:w="581" w:type="dxa"/>
            <w:tcBorders>
              <w:top w:val="single" w:sz="12" w:space="0" w:color="000000"/>
              <w:bottom w:val="single" w:sz="4" w:space="0" w:color="000000"/>
            </w:tcBorders>
          </w:tcPr>
          <w:p>
            <w:pPr>
              <w:pStyle w:val="TableParagraph"/>
              <w:spacing w:before="27"/>
              <w:ind w:right="191"/>
              <w:rPr>
                <w:sz w:val="14"/>
              </w:rPr>
            </w:pPr>
            <w:r>
              <w:rPr>
                <w:w w:val="99"/>
                <w:sz w:val="14"/>
              </w:rPr>
              <w:t>-</w:t>
            </w:r>
          </w:p>
        </w:tc>
        <w:tc>
          <w:tcPr>
            <w:tcW w:w="581" w:type="dxa"/>
            <w:tcBorders>
              <w:top w:val="single" w:sz="12" w:space="0" w:color="000000"/>
              <w:bottom w:val="single" w:sz="4" w:space="0" w:color="000000"/>
            </w:tcBorders>
          </w:tcPr>
          <w:p>
            <w:pPr>
              <w:pStyle w:val="TableParagraph"/>
              <w:spacing w:before="27"/>
              <w:ind w:left="148"/>
              <w:jc w:val="center"/>
              <w:rPr>
                <w:sz w:val="14"/>
              </w:rPr>
            </w:pPr>
            <w:r>
              <w:rPr>
                <w:w w:val="99"/>
                <w:sz w:val="14"/>
              </w:rPr>
              <w:t>-</w:t>
            </w:r>
          </w:p>
        </w:tc>
        <w:tc>
          <w:tcPr>
            <w:tcW w:w="590" w:type="dxa"/>
            <w:tcBorders>
              <w:top w:val="single" w:sz="12" w:space="0" w:color="000000"/>
              <w:bottom w:val="single" w:sz="4" w:space="0" w:color="000000"/>
            </w:tcBorders>
          </w:tcPr>
          <w:p>
            <w:pPr>
              <w:pStyle w:val="TableParagraph"/>
              <w:spacing w:before="27"/>
              <w:ind w:right="195"/>
              <w:rPr>
                <w:sz w:val="14"/>
              </w:rPr>
            </w:pPr>
            <w:r>
              <w:rPr>
                <w:w w:val="99"/>
                <w:sz w:val="14"/>
              </w:rPr>
              <w:t>-</w:t>
            </w:r>
          </w:p>
        </w:tc>
        <w:tc>
          <w:tcPr>
            <w:tcW w:w="667" w:type="dxa"/>
            <w:tcBorders>
              <w:top w:val="single" w:sz="12" w:space="0" w:color="000000"/>
              <w:bottom w:val="single" w:sz="4" w:space="0" w:color="000000"/>
            </w:tcBorders>
          </w:tcPr>
          <w:p>
            <w:pPr>
              <w:pStyle w:val="TableParagraph"/>
              <w:spacing w:before="27"/>
              <w:ind w:right="266"/>
              <w:rPr>
                <w:sz w:val="14"/>
              </w:rPr>
            </w:pPr>
            <w:r>
              <w:rPr>
                <w:w w:val="99"/>
                <w:sz w:val="14"/>
              </w:rPr>
              <w:t>-</w:t>
            </w:r>
          </w:p>
        </w:tc>
        <w:tc>
          <w:tcPr>
            <w:tcW w:w="667" w:type="dxa"/>
            <w:tcBorders>
              <w:top w:val="single" w:sz="12" w:space="0" w:color="000000"/>
              <w:bottom w:val="single" w:sz="4" w:space="0" w:color="000000"/>
            </w:tcBorders>
          </w:tcPr>
          <w:p>
            <w:pPr>
              <w:pStyle w:val="TableParagraph"/>
              <w:spacing w:before="27"/>
              <w:ind w:right="194"/>
              <w:rPr>
                <w:sz w:val="14"/>
              </w:rPr>
            </w:pPr>
            <w:r>
              <w:rPr>
                <w:w w:val="99"/>
                <w:sz w:val="14"/>
              </w:rPr>
              <w:t>-</w:t>
            </w:r>
          </w:p>
        </w:tc>
        <w:tc>
          <w:tcPr>
            <w:tcW w:w="465" w:type="dxa"/>
            <w:tcBorders>
              <w:top w:val="single" w:sz="12" w:space="0" w:color="000000"/>
              <w:bottom w:val="single" w:sz="4" w:space="0" w:color="000000"/>
            </w:tcBorders>
          </w:tcPr>
          <w:p>
            <w:pPr>
              <w:pStyle w:val="TableParagraph"/>
              <w:spacing w:before="27"/>
              <w:ind w:right="63"/>
              <w:rPr>
                <w:sz w:val="14"/>
              </w:rPr>
            </w:pPr>
            <w:r>
              <w:rPr>
                <w:w w:val="99"/>
                <w:sz w:val="14"/>
              </w:rPr>
              <w:t>-</w:t>
            </w:r>
          </w:p>
        </w:tc>
        <w:tc>
          <w:tcPr>
            <w:tcW w:w="794" w:type="dxa"/>
            <w:tcBorders>
              <w:top w:val="single" w:sz="12" w:space="0" w:color="000000"/>
              <w:bottom w:val="single" w:sz="4" w:space="0" w:color="000000"/>
            </w:tcBorders>
          </w:tcPr>
          <w:p>
            <w:pPr>
              <w:pStyle w:val="TableParagraph"/>
              <w:spacing w:before="27"/>
              <w:ind w:right="122"/>
              <w:rPr>
                <w:i/>
                <w:sz w:val="14"/>
              </w:rPr>
            </w:pPr>
            <w:r>
              <w:rPr>
                <w:i/>
                <w:w w:val="99"/>
                <w:sz w:val="14"/>
              </w:rPr>
              <w:t>-</w:t>
            </w:r>
          </w:p>
        </w:tc>
        <w:tc>
          <w:tcPr>
            <w:tcW w:w="568" w:type="dxa"/>
            <w:tcBorders>
              <w:top w:val="single" w:sz="12" w:space="0" w:color="000000"/>
              <w:bottom w:val="single" w:sz="4" w:space="0" w:color="000000"/>
            </w:tcBorders>
          </w:tcPr>
          <w:p>
            <w:pPr>
              <w:pStyle w:val="TableParagraph"/>
              <w:spacing w:before="27"/>
              <w:ind w:right="95"/>
              <w:rPr>
                <w:sz w:val="14"/>
              </w:rPr>
            </w:pPr>
            <w:r>
              <w:rPr>
                <w:w w:val="99"/>
                <w:sz w:val="14"/>
              </w:rPr>
              <w:t>-</w:t>
            </w:r>
          </w:p>
        </w:tc>
        <w:tc>
          <w:tcPr>
            <w:tcW w:w="577" w:type="dxa"/>
            <w:tcBorders>
              <w:top w:val="single" w:sz="12" w:space="0" w:color="000000"/>
              <w:bottom w:val="single" w:sz="4" w:space="0" w:color="000000"/>
            </w:tcBorders>
          </w:tcPr>
          <w:p>
            <w:pPr>
              <w:pStyle w:val="TableParagraph"/>
              <w:spacing w:before="27"/>
              <w:ind w:right="81"/>
              <w:rPr>
                <w:sz w:val="14"/>
              </w:rPr>
            </w:pPr>
            <w:r>
              <w:rPr>
                <w:w w:val="99"/>
                <w:sz w:val="14"/>
              </w:rPr>
              <w:t>-</w:t>
            </w:r>
          </w:p>
        </w:tc>
        <w:tc>
          <w:tcPr>
            <w:tcW w:w="562" w:type="dxa"/>
            <w:tcBorders>
              <w:top w:val="single" w:sz="12" w:space="0" w:color="000000"/>
              <w:bottom w:val="single" w:sz="4" w:space="0" w:color="000000"/>
            </w:tcBorders>
          </w:tcPr>
          <w:p>
            <w:pPr>
              <w:pStyle w:val="TableParagraph"/>
              <w:spacing w:before="27"/>
              <w:ind w:right="53"/>
              <w:rPr>
                <w:sz w:val="14"/>
              </w:rPr>
            </w:pPr>
            <w:r>
              <w:rPr>
                <w:w w:val="99"/>
                <w:sz w:val="14"/>
              </w:rPr>
              <w:t>-</w:t>
            </w:r>
          </w:p>
        </w:tc>
        <w:tc>
          <w:tcPr>
            <w:tcW w:w="820" w:type="dxa"/>
            <w:tcBorders>
              <w:top w:val="single" w:sz="12" w:space="0" w:color="000000"/>
              <w:bottom w:val="single" w:sz="4" w:space="0" w:color="000000"/>
            </w:tcBorders>
          </w:tcPr>
          <w:p>
            <w:pPr>
              <w:pStyle w:val="TableParagraph"/>
              <w:spacing w:before="27"/>
              <w:ind w:right="133"/>
              <w:rPr>
                <w:i/>
                <w:sz w:val="14"/>
              </w:rPr>
            </w:pPr>
            <w:r>
              <w:rPr>
                <w:i/>
                <w:w w:val="99"/>
                <w:sz w:val="14"/>
              </w:rPr>
              <w:t>-</w:t>
            </w:r>
          </w:p>
        </w:tc>
        <w:tc>
          <w:tcPr>
            <w:tcW w:w="519" w:type="dxa"/>
            <w:tcBorders>
              <w:top w:val="single" w:sz="12" w:space="0" w:color="000000"/>
              <w:bottom w:val="single" w:sz="4" w:space="0" w:color="000000"/>
            </w:tcBorders>
          </w:tcPr>
          <w:p>
            <w:pPr>
              <w:pStyle w:val="TableParagraph"/>
              <w:spacing w:before="27"/>
              <w:ind w:right="52"/>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7"/>
              <w:ind w:left="67"/>
              <w:jc w:val="left"/>
              <w:rPr>
                <w:sz w:val="14"/>
              </w:rPr>
            </w:pPr>
            <w:r>
              <w:rPr>
                <w:spacing w:val="-2"/>
                <w:sz w:val="14"/>
              </w:rPr>
              <w:t>Redeployed</w:t>
            </w:r>
          </w:p>
        </w:tc>
        <w:tc>
          <w:tcPr>
            <w:tcW w:w="678" w:type="dxa"/>
            <w:tcBorders>
              <w:top w:val="single" w:sz="4" w:space="0" w:color="000000"/>
              <w:bottom w:val="single" w:sz="4" w:space="0" w:color="000000"/>
            </w:tcBorders>
          </w:tcPr>
          <w:p>
            <w:pPr>
              <w:pStyle w:val="TableParagraph"/>
              <w:spacing w:before="27"/>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7"/>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7"/>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7"/>
              <w:ind w:right="191"/>
              <w:rPr>
                <w:sz w:val="14"/>
              </w:rPr>
            </w:pPr>
            <w:r>
              <w:rPr>
                <w:w w:val="99"/>
                <w:sz w:val="14"/>
              </w:rPr>
              <w:t>-</w:t>
            </w:r>
          </w:p>
        </w:tc>
        <w:tc>
          <w:tcPr>
            <w:tcW w:w="581" w:type="dxa"/>
            <w:tcBorders>
              <w:top w:val="single" w:sz="4" w:space="0" w:color="000000"/>
              <w:bottom w:val="single" w:sz="4" w:space="0" w:color="000000"/>
            </w:tcBorders>
          </w:tcPr>
          <w:p>
            <w:pPr>
              <w:pStyle w:val="TableParagraph"/>
              <w:spacing w:before="27"/>
              <w:ind w:left="148"/>
              <w:jc w:val="center"/>
              <w:rPr>
                <w:sz w:val="14"/>
              </w:rPr>
            </w:pPr>
            <w:r>
              <w:rPr>
                <w:w w:val="99"/>
                <w:sz w:val="14"/>
              </w:rPr>
              <w:t>-</w:t>
            </w:r>
          </w:p>
        </w:tc>
        <w:tc>
          <w:tcPr>
            <w:tcW w:w="590" w:type="dxa"/>
            <w:tcBorders>
              <w:top w:val="single" w:sz="4" w:space="0" w:color="000000"/>
              <w:bottom w:val="single" w:sz="4" w:space="0" w:color="000000"/>
            </w:tcBorders>
          </w:tcPr>
          <w:p>
            <w:pPr>
              <w:pStyle w:val="TableParagraph"/>
              <w:spacing w:before="27"/>
              <w:ind w:right="195"/>
              <w:rPr>
                <w:sz w:val="14"/>
              </w:rPr>
            </w:pPr>
            <w:r>
              <w:rPr>
                <w:w w:val="99"/>
                <w:sz w:val="14"/>
              </w:rPr>
              <w:t>-</w:t>
            </w:r>
          </w:p>
        </w:tc>
        <w:tc>
          <w:tcPr>
            <w:tcW w:w="667" w:type="dxa"/>
            <w:tcBorders>
              <w:top w:val="single" w:sz="4" w:space="0" w:color="000000"/>
              <w:bottom w:val="single" w:sz="4" w:space="0" w:color="000000"/>
            </w:tcBorders>
          </w:tcPr>
          <w:p>
            <w:pPr>
              <w:pStyle w:val="TableParagraph"/>
              <w:spacing w:before="27"/>
              <w:ind w:right="266"/>
              <w:rPr>
                <w:sz w:val="14"/>
              </w:rPr>
            </w:pPr>
            <w:r>
              <w:rPr>
                <w:w w:val="99"/>
                <w:sz w:val="14"/>
              </w:rPr>
              <w:t>-</w:t>
            </w:r>
          </w:p>
        </w:tc>
        <w:tc>
          <w:tcPr>
            <w:tcW w:w="667" w:type="dxa"/>
            <w:tcBorders>
              <w:top w:val="single" w:sz="4" w:space="0" w:color="000000"/>
              <w:bottom w:val="single" w:sz="4" w:space="0" w:color="000000"/>
            </w:tcBorders>
          </w:tcPr>
          <w:p>
            <w:pPr>
              <w:pStyle w:val="TableParagraph"/>
              <w:spacing w:before="27"/>
              <w:ind w:right="194"/>
              <w:rPr>
                <w:sz w:val="14"/>
              </w:rPr>
            </w:pPr>
            <w:r>
              <w:rPr>
                <w:w w:val="99"/>
                <w:sz w:val="14"/>
              </w:rPr>
              <w:t>-</w:t>
            </w:r>
          </w:p>
        </w:tc>
        <w:tc>
          <w:tcPr>
            <w:tcW w:w="465" w:type="dxa"/>
            <w:tcBorders>
              <w:top w:val="single" w:sz="4" w:space="0" w:color="000000"/>
              <w:bottom w:val="single" w:sz="4" w:space="0" w:color="000000"/>
            </w:tcBorders>
          </w:tcPr>
          <w:p>
            <w:pPr>
              <w:pStyle w:val="TableParagraph"/>
              <w:spacing w:before="27"/>
              <w:ind w:right="63"/>
              <w:rPr>
                <w:sz w:val="14"/>
              </w:rPr>
            </w:pPr>
            <w:r>
              <w:rPr>
                <w:w w:val="99"/>
                <w:sz w:val="14"/>
              </w:rPr>
              <w:t>-</w:t>
            </w:r>
          </w:p>
        </w:tc>
        <w:tc>
          <w:tcPr>
            <w:tcW w:w="794" w:type="dxa"/>
            <w:tcBorders>
              <w:top w:val="single" w:sz="4" w:space="0" w:color="000000"/>
              <w:bottom w:val="single" w:sz="4" w:space="0" w:color="000000"/>
            </w:tcBorders>
          </w:tcPr>
          <w:p>
            <w:pPr>
              <w:pStyle w:val="TableParagraph"/>
              <w:spacing w:before="27"/>
              <w:ind w:right="122"/>
              <w:rPr>
                <w:i/>
                <w:sz w:val="14"/>
              </w:rPr>
            </w:pPr>
            <w:r>
              <w:rPr>
                <w:i/>
                <w:w w:val="99"/>
                <w:sz w:val="14"/>
              </w:rPr>
              <w:t>-</w:t>
            </w:r>
          </w:p>
        </w:tc>
        <w:tc>
          <w:tcPr>
            <w:tcW w:w="568" w:type="dxa"/>
            <w:tcBorders>
              <w:top w:val="single" w:sz="4" w:space="0" w:color="000000"/>
              <w:bottom w:val="single" w:sz="4" w:space="0" w:color="000000"/>
            </w:tcBorders>
          </w:tcPr>
          <w:p>
            <w:pPr>
              <w:pStyle w:val="TableParagraph"/>
              <w:spacing w:before="27"/>
              <w:ind w:right="95"/>
              <w:rPr>
                <w:sz w:val="14"/>
              </w:rPr>
            </w:pPr>
            <w:r>
              <w:rPr>
                <w:w w:val="99"/>
                <w:sz w:val="14"/>
              </w:rPr>
              <w:t>-</w:t>
            </w:r>
          </w:p>
        </w:tc>
        <w:tc>
          <w:tcPr>
            <w:tcW w:w="577" w:type="dxa"/>
            <w:tcBorders>
              <w:top w:val="single" w:sz="4" w:space="0" w:color="000000"/>
              <w:bottom w:val="single" w:sz="4" w:space="0" w:color="000000"/>
            </w:tcBorders>
          </w:tcPr>
          <w:p>
            <w:pPr>
              <w:pStyle w:val="TableParagraph"/>
              <w:spacing w:before="27"/>
              <w:ind w:right="81"/>
              <w:rPr>
                <w:sz w:val="14"/>
              </w:rPr>
            </w:pPr>
            <w:r>
              <w:rPr>
                <w:w w:val="99"/>
                <w:sz w:val="14"/>
              </w:rPr>
              <w:t>-</w:t>
            </w:r>
          </w:p>
        </w:tc>
        <w:tc>
          <w:tcPr>
            <w:tcW w:w="562" w:type="dxa"/>
            <w:tcBorders>
              <w:top w:val="single" w:sz="4" w:space="0" w:color="000000"/>
              <w:bottom w:val="single" w:sz="4" w:space="0" w:color="000000"/>
            </w:tcBorders>
          </w:tcPr>
          <w:p>
            <w:pPr>
              <w:pStyle w:val="TableParagraph"/>
              <w:spacing w:before="27"/>
              <w:ind w:right="53"/>
              <w:rPr>
                <w:sz w:val="14"/>
              </w:rPr>
            </w:pPr>
            <w:r>
              <w:rPr>
                <w:w w:val="99"/>
                <w:sz w:val="14"/>
              </w:rPr>
              <w:t>-</w:t>
            </w:r>
          </w:p>
        </w:tc>
        <w:tc>
          <w:tcPr>
            <w:tcW w:w="820" w:type="dxa"/>
            <w:tcBorders>
              <w:top w:val="single" w:sz="4" w:space="0" w:color="000000"/>
              <w:bottom w:val="single" w:sz="4" w:space="0" w:color="000000"/>
            </w:tcBorders>
          </w:tcPr>
          <w:p>
            <w:pPr>
              <w:pStyle w:val="TableParagraph"/>
              <w:spacing w:before="27"/>
              <w:ind w:right="133"/>
              <w:rPr>
                <w:i/>
                <w:sz w:val="14"/>
              </w:rPr>
            </w:pPr>
            <w:r>
              <w:rPr>
                <w:i/>
                <w:w w:val="99"/>
                <w:sz w:val="14"/>
              </w:rPr>
              <w:t>-</w:t>
            </w:r>
          </w:p>
        </w:tc>
        <w:tc>
          <w:tcPr>
            <w:tcW w:w="519" w:type="dxa"/>
            <w:tcBorders>
              <w:top w:val="single" w:sz="4" w:space="0" w:color="000000"/>
              <w:bottom w:val="single" w:sz="4" w:space="0" w:color="000000"/>
            </w:tcBorders>
          </w:tcPr>
          <w:p>
            <w:pPr>
              <w:pStyle w:val="TableParagraph"/>
              <w:spacing w:before="27"/>
              <w:ind w:right="52"/>
              <w:rPr>
                <w:b/>
                <w:sz w:val="14"/>
              </w:rPr>
            </w:pPr>
            <w:r>
              <w:rPr>
                <w:b/>
                <w:w w:val="99"/>
                <w:sz w:val="14"/>
              </w:rPr>
              <w:t>-</w:t>
            </w:r>
          </w:p>
        </w:tc>
      </w:tr>
      <w:tr>
        <w:trPr>
          <w:trHeight w:val="230" w:hRule="atLeast"/>
        </w:trPr>
        <w:tc>
          <w:tcPr>
            <w:tcW w:w="1186" w:type="dxa"/>
            <w:tcBorders>
              <w:top w:val="single" w:sz="4" w:space="0" w:color="000000"/>
              <w:bottom w:val="single" w:sz="4" w:space="0" w:color="000000"/>
            </w:tcBorders>
          </w:tcPr>
          <w:p>
            <w:pPr>
              <w:pStyle w:val="TableParagraph"/>
              <w:spacing w:before="27"/>
              <w:ind w:left="67"/>
              <w:jc w:val="left"/>
              <w:rPr>
                <w:sz w:val="14"/>
              </w:rPr>
            </w:pPr>
            <w:r>
              <w:rPr>
                <w:spacing w:val="-2"/>
                <w:sz w:val="14"/>
              </w:rPr>
              <w:t>Reclassified</w:t>
            </w:r>
          </w:p>
        </w:tc>
        <w:tc>
          <w:tcPr>
            <w:tcW w:w="678" w:type="dxa"/>
            <w:tcBorders>
              <w:top w:val="single" w:sz="4" w:space="0" w:color="000000"/>
              <w:bottom w:val="single" w:sz="4" w:space="0" w:color="000000"/>
            </w:tcBorders>
          </w:tcPr>
          <w:p>
            <w:pPr>
              <w:pStyle w:val="TableParagraph"/>
              <w:spacing w:before="27"/>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7"/>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7"/>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7"/>
              <w:ind w:right="191"/>
              <w:rPr>
                <w:sz w:val="14"/>
              </w:rPr>
            </w:pPr>
            <w:r>
              <w:rPr>
                <w:w w:val="99"/>
                <w:sz w:val="14"/>
              </w:rPr>
              <w:t>-</w:t>
            </w:r>
          </w:p>
        </w:tc>
        <w:tc>
          <w:tcPr>
            <w:tcW w:w="581" w:type="dxa"/>
            <w:tcBorders>
              <w:top w:val="single" w:sz="4" w:space="0" w:color="000000"/>
              <w:bottom w:val="single" w:sz="4" w:space="0" w:color="000000"/>
            </w:tcBorders>
          </w:tcPr>
          <w:p>
            <w:pPr>
              <w:pStyle w:val="TableParagraph"/>
              <w:spacing w:before="27"/>
              <w:ind w:left="148"/>
              <w:jc w:val="center"/>
              <w:rPr>
                <w:sz w:val="14"/>
              </w:rPr>
            </w:pPr>
            <w:r>
              <w:rPr>
                <w:w w:val="99"/>
                <w:sz w:val="14"/>
              </w:rPr>
              <w:t>-</w:t>
            </w:r>
          </w:p>
        </w:tc>
        <w:tc>
          <w:tcPr>
            <w:tcW w:w="590" w:type="dxa"/>
            <w:tcBorders>
              <w:top w:val="single" w:sz="4" w:space="0" w:color="000000"/>
              <w:bottom w:val="single" w:sz="4" w:space="0" w:color="000000"/>
            </w:tcBorders>
          </w:tcPr>
          <w:p>
            <w:pPr>
              <w:pStyle w:val="TableParagraph"/>
              <w:spacing w:before="27"/>
              <w:ind w:right="195"/>
              <w:rPr>
                <w:sz w:val="14"/>
              </w:rPr>
            </w:pPr>
            <w:r>
              <w:rPr>
                <w:w w:val="99"/>
                <w:sz w:val="14"/>
              </w:rPr>
              <w:t>-</w:t>
            </w:r>
          </w:p>
        </w:tc>
        <w:tc>
          <w:tcPr>
            <w:tcW w:w="667" w:type="dxa"/>
            <w:tcBorders>
              <w:top w:val="single" w:sz="4" w:space="0" w:color="000000"/>
              <w:bottom w:val="single" w:sz="4" w:space="0" w:color="000000"/>
            </w:tcBorders>
          </w:tcPr>
          <w:p>
            <w:pPr>
              <w:pStyle w:val="TableParagraph"/>
              <w:spacing w:before="27"/>
              <w:ind w:right="266"/>
              <w:rPr>
                <w:sz w:val="14"/>
              </w:rPr>
            </w:pPr>
            <w:r>
              <w:rPr>
                <w:w w:val="99"/>
                <w:sz w:val="14"/>
              </w:rPr>
              <w:t>-</w:t>
            </w:r>
          </w:p>
        </w:tc>
        <w:tc>
          <w:tcPr>
            <w:tcW w:w="667" w:type="dxa"/>
            <w:tcBorders>
              <w:top w:val="single" w:sz="4" w:space="0" w:color="000000"/>
              <w:bottom w:val="single" w:sz="4" w:space="0" w:color="000000"/>
            </w:tcBorders>
          </w:tcPr>
          <w:p>
            <w:pPr>
              <w:pStyle w:val="TableParagraph"/>
              <w:spacing w:before="27"/>
              <w:ind w:right="194"/>
              <w:rPr>
                <w:sz w:val="14"/>
              </w:rPr>
            </w:pPr>
            <w:r>
              <w:rPr>
                <w:w w:val="99"/>
                <w:sz w:val="14"/>
              </w:rPr>
              <w:t>-</w:t>
            </w:r>
          </w:p>
        </w:tc>
        <w:tc>
          <w:tcPr>
            <w:tcW w:w="465" w:type="dxa"/>
            <w:tcBorders>
              <w:top w:val="single" w:sz="4" w:space="0" w:color="000000"/>
              <w:bottom w:val="single" w:sz="4" w:space="0" w:color="000000"/>
            </w:tcBorders>
          </w:tcPr>
          <w:p>
            <w:pPr>
              <w:pStyle w:val="TableParagraph"/>
              <w:spacing w:before="27"/>
              <w:ind w:right="63"/>
              <w:rPr>
                <w:sz w:val="14"/>
              </w:rPr>
            </w:pPr>
            <w:r>
              <w:rPr>
                <w:w w:val="99"/>
                <w:sz w:val="14"/>
              </w:rPr>
              <w:t>-</w:t>
            </w:r>
          </w:p>
        </w:tc>
        <w:tc>
          <w:tcPr>
            <w:tcW w:w="794" w:type="dxa"/>
            <w:tcBorders>
              <w:top w:val="single" w:sz="4" w:space="0" w:color="000000"/>
              <w:bottom w:val="single" w:sz="4" w:space="0" w:color="000000"/>
            </w:tcBorders>
          </w:tcPr>
          <w:p>
            <w:pPr>
              <w:pStyle w:val="TableParagraph"/>
              <w:spacing w:before="27"/>
              <w:ind w:right="122"/>
              <w:rPr>
                <w:i/>
                <w:sz w:val="14"/>
              </w:rPr>
            </w:pPr>
            <w:r>
              <w:rPr>
                <w:i/>
                <w:w w:val="99"/>
                <w:sz w:val="14"/>
              </w:rPr>
              <w:t>-</w:t>
            </w:r>
          </w:p>
        </w:tc>
        <w:tc>
          <w:tcPr>
            <w:tcW w:w="568" w:type="dxa"/>
            <w:tcBorders>
              <w:top w:val="single" w:sz="4" w:space="0" w:color="000000"/>
              <w:bottom w:val="single" w:sz="4" w:space="0" w:color="000000"/>
            </w:tcBorders>
          </w:tcPr>
          <w:p>
            <w:pPr>
              <w:pStyle w:val="TableParagraph"/>
              <w:spacing w:before="27"/>
              <w:ind w:right="95"/>
              <w:rPr>
                <w:sz w:val="14"/>
              </w:rPr>
            </w:pPr>
            <w:r>
              <w:rPr>
                <w:w w:val="99"/>
                <w:sz w:val="14"/>
              </w:rPr>
              <w:t>-</w:t>
            </w:r>
          </w:p>
        </w:tc>
        <w:tc>
          <w:tcPr>
            <w:tcW w:w="577" w:type="dxa"/>
            <w:tcBorders>
              <w:top w:val="single" w:sz="4" w:space="0" w:color="000000"/>
              <w:bottom w:val="single" w:sz="4" w:space="0" w:color="000000"/>
            </w:tcBorders>
          </w:tcPr>
          <w:p>
            <w:pPr>
              <w:pStyle w:val="TableParagraph"/>
              <w:spacing w:before="27"/>
              <w:ind w:right="81"/>
              <w:rPr>
                <w:sz w:val="14"/>
              </w:rPr>
            </w:pPr>
            <w:r>
              <w:rPr>
                <w:w w:val="99"/>
                <w:sz w:val="14"/>
              </w:rPr>
              <w:t>-</w:t>
            </w:r>
          </w:p>
        </w:tc>
        <w:tc>
          <w:tcPr>
            <w:tcW w:w="562" w:type="dxa"/>
            <w:tcBorders>
              <w:top w:val="single" w:sz="4" w:space="0" w:color="000000"/>
              <w:bottom w:val="single" w:sz="4" w:space="0" w:color="000000"/>
            </w:tcBorders>
          </w:tcPr>
          <w:p>
            <w:pPr>
              <w:pStyle w:val="TableParagraph"/>
              <w:spacing w:before="27"/>
              <w:ind w:right="53"/>
              <w:rPr>
                <w:sz w:val="14"/>
              </w:rPr>
            </w:pPr>
            <w:r>
              <w:rPr>
                <w:w w:val="99"/>
                <w:sz w:val="14"/>
              </w:rPr>
              <w:t>-</w:t>
            </w:r>
          </w:p>
        </w:tc>
        <w:tc>
          <w:tcPr>
            <w:tcW w:w="820" w:type="dxa"/>
            <w:tcBorders>
              <w:top w:val="single" w:sz="4" w:space="0" w:color="000000"/>
              <w:bottom w:val="single" w:sz="4" w:space="0" w:color="000000"/>
            </w:tcBorders>
          </w:tcPr>
          <w:p>
            <w:pPr>
              <w:pStyle w:val="TableParagraph"/>
              <w:spacing w:before="27"/>
              <w:ind w:right="133"/>
              <w:rPr>
                <w:i/>
                <w:sz w:val="14"/>
              </w:rPr>
            </w:pPr>
            <w:r>
              <w:rPr>
                <w:i/>
                <w:w w:val="99"/>
                <w:sz w:val="14"/>
              </w:rPr>
              <w:t>-</w:t>
            </w:r>
          </w:p>
        </w:tc>
        <w:tc>
          <w:tcPr>
            <w:tcW w:w="519" w:type="dxa"/>
            <w:tcBorders>
              <w:top w:val="single" w:sz="4" w:space="0" w:color="000000"/>
              <w:bottom w:val="single" w:sz="4" w:space="0" w:color="000000"/>
            </w:tcBorders>
          </w:tcPr>
          <w:p>
            <w:pPr>
              <w:pStyle w:val="TableParagraph"/>
              <w:spacing w:before="27"/>
              <w:ind w:right="52"/>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3"/>
              <w:ind w:left="67"/>
              <w:jc w:val="left"/>
              <w:rPr>
                <w:sz w:val="14"/>
              </w:rPr>
            </w:pPr>
            <w:r>
              <w:rPr>
                <w:spacing w:val="-2"/>
                <w:sz w:val="14"/>
              </w:rPr>
              <w:t>Returned</w:t>
            </w:r>
          </w:p>
        </w:tc>
        <w:tc>
          <w:tcPr>
            <w:tcW w:w="678" w:type="dxa"/>
            <w:tcBorders>
              <w:top w:val="single" w:sz="4" w:space="0" w:color="000000"/>
              <w:bottom w:val="single" w:sz="4" w:space="0" w:color="000000"/>
            </w:tcBorders>
          </w:tcPr>
          <w:p>
            <w:pPr>
              <w:pStyle w:val="TableParagraph"/>
              <w:spacing w:before="23"/>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3"/>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3"/>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3"/>
              <w:ind w:right="191"/>
              <w:rPr>
                <w:sz w:val="14"/>
              </w:rPr>
            </w:pPr>
            <w:r>
              <w:rPr>
                <w:w w:val="99"/>
                <w:sz w:val="14"/>
              </w:rPr>
              <w:t>-</w:t>
            </w:r>
          </w:p>
        </w:tc>
        <w:tc>
          <w:tcPr>
            <w:tcW w:w="581" w:type="dxa"/>
            <w:tcBorders>
              <w:top w:val="single" w:sz="4" w:space="0" w:color="000000"/>
              <w:bottom w:val="single" w:sz="4" w:space="0" w:color="000000"/>
            </w:tcBorders>
          </w:tcPr>
          <w:p>
            <w:pPr>
              <w:pStyle w:val="TableParagraph"/>
              <w:spacing w:before="23"/>
              <w:ind w:left="148"/>
              <w:jc w:val="center"/>
              <w:rPr>
                <w:sz w:val="14"/>
              </w:rPr>
            </w:pPr>
            <w:r>
              <w:rPr>
                <w:w w:val="99"/>
                <w:sz w:val="14"/>
              </w:rPr>
              <w:t>-</w:t>
            </w:r>
          </w:p>
        </w:tc>
        <w:tc>
          <w:tcPr>
            <w:tcW w:w="590" w:type="dxa"/>
            <w:tcBorders>
              <w:top w:val="single" w:sz="4" w:space="0" w:color="000000"/>
              <w:bottom w:val="single" w:sz="4" w:space="0" w:color="000000"/>
            </w:tcBorders>
          </w:tcPr>
          <w:p>
            <w:pPr>
              <w:pStyle w:val="TableParagraph"/>
              <w:spacing w:before="23"/>
              <w:ind w:right="195"/>
              <w:rPr>
                <w:sz w:val="14"/>
              </w:rPr>
            </w:pPr>
            <w:r>
              <w:rPr>
                <w:w w:val="99"/>
                <w:sz w:val="14"/>
              </w:rPr>
              <w:t>-</w:t>
            </w:r>
          </w:p>
        </w:tc>
        <w:tc>
          <w:tcPr>
            <w:tcW w:w="667" w:type="dxa"/>
            <w:tcBorders>
              <w:top w:val="single" w:sz="4" w:space="0" w:color="000000"/>
              <w:bottom w:val="single" w:sz="4" w:space="0" w:color="000000"/>
            </w:tcBorders>
          </w:tcPr>
          <w:p>
            <w:pPr>
              <w:pStyle w:val="TableParagraph"/>
              <w:spacing w:before="23"/>
              <w:ind w:right="266"/>
              <w:rPr>
                <w:sz w:val="14"/>
              </w:rPr>
            </w:pPr>
            <w:r>
              <w:rPr>
                <w:w w:val="99"/>
                <w:sz w:val="14"/>
              </w:rPr>
              <w:t>-</w:t>
            </w:r>
          </w:p>
        </w:tc>
        <w:tc>
          <w:tcPr>
            <w:tcW w:w="667" w:type="dxa"/>
            <w:tcBorders>
              <w:top w:val="single" w:sz="4" w:space="0" w:color="000000"/>
              <w:bottom w:val="single" w:sz="4" w:space="0" w:color="000000"/>
            </w:tcBorders>
          </w:tcPr>
          <w:p>
            <w:pPr>
              <w:pStyle w:val="TableParagraph"/>
              <w:spacing w:before="23"/>
              <w:ind w:right="194"/>
              <w:rPr>
                <w:sz w:val="14"/>
              </w:rPr>
            </w:pPr>
            <w:r>
              <w:rPr>
                <w:w w:val="99"/>
                <w:sz w:val="14"/>
              </w:rPr>
              <w:t>-</w:t>
            </w:r>
          </w:p>
        </w:tc>
        <w:tc>
          <w:tcPr>
            <w:tcW w:w="465" w:type="dxa"/>
            <w:tcBorders>
              <w:top w:val="single" w:sz="4" w:space="0" w:color="000000"/>
              <w:bottom w:val="single" w:sz="4" w:space="0" w:color="000000"/>
            </w:tcBorders>
          </w:tcPr>
          <w:p>
            <w:pPr>
              <w:pStyle w:val="TableParagraph"/>
              <w:spacing w:before="23"/>
              <w:ind w:right="63"/>
              <w:rPr>
                <w:sz w:val="14"/>
              </w:rPr>
            </w:pPr>
            <w:r>
              <w:rPr>
                <w:w w:val="99"/>
                <w:sz w:val="14"/>
              </w:rPr>
              <w:t>-</w:t>
            </w:r>
          </w:p>
        </w:tc>
        <w:tc>
          <w:tcPr>
            <w:tcW w:w="794" w:type="dxa"/>
            <w:tcBorders>
              <w:top w:val="single" w:sz="4" w:space="0" w:color="000000"/>
              <w:bottom w:val="single" w:sz="4" w:space="0" w:color="000000"/>
            </w:tcBorders>
          </w:tcPr>
          <w:p>
            <w:pPr>
              <w:pStyle w:val="TableParagraph"/>
              <w:spacing w:before="23"/>
              <w:ind w:right="122"/>
              <w:rPr>
                <w:i/>
                <w:sz w:val="14"/>
              </w:rPr>
            </w:pPr>
            <w:r>
              <w:rPr>
                <w:i/>
                <w:w w:val="99"/>
                <w:sz w:val="14"/>
              </w:rPr>
              <w:t>-</w:t>
            </w:r>
          </w:p>
        </w:tc>
        <w:tc>
          <w:tcPr>
            <w:tcW w:w="568" w:type="dxa"/>
            <w:tcBorders>
              <w:top w:val="single" w:sz="4" w:space="0" w:color="000000"/>
              <w:bottom w:val="single" w:sz="4" w:space="0" w:color="000000"/>
            </w:tcBorders>
          </w:tcPr>
          <w:p>
            <w:pPr>
              <w:pStyle w:val="TableParagraph"/>
              <w:spacing w:before="23"/>
              <w:ind w:right="95"/>
              <w:rPr>
                <w:sz w:val="14"/>
              </w:rPr>
            </w:pPr>
            <w:r>
              <w:rPr>
                <w:w w:val="99"/>
                <w:sz w:val="14"/>
              </w:rPr>
              <w:t>-</w:t>
            </w:r>
          </w:p>
        </w:tc>
        <w:tc>
          <w:tcPr>
            <w:tcW w:w="577" w:type="dxa"/>
            <w:tcBorders>
              <w:top w:val="single" w:sz="4" w:space="0" w:color="000000"/>
              <w:bottom w:val="single" w:sz="4" w:space="0" w:color="000000"/>
            </w:tcBorders>
          </w:tcPr>
          <w:p>
            <w:pPr>
              <w:pStyle w:val="TableParagraph"/>
              <w:spacing w:before="23"/>
              <w:ind w:right="81"/>
              <w:rPr>
                <w:sz w:val="14"/>
              </w:rPr>
            </w:pPr>
            <w:r>
              <w:rPr>
                <w:w w:val="99"/>
                <w:sz w:val="14"/>
              </w:rPr>
              <w:t>-</w:t>
            </w:r>
          </w:p>
        </w:tc>
        <w:tc>
          <w:tcPr>
            <w:tcW w:w="562" w:type="dxa"/>
            <w:tcBorders>
              <w:top w:val="single" w:sz="4" w:space="0" w:color="000000"/>
              <w:bottom w:val="single" w:sz="4" w:space="0" w:color="000000"/>
            </w:tcBorders>
          </w:tcPr>
          <w:p>
            <w:pPr>
              <w:pStyle w:val="TableParagraph"/>
              <w:spacing w:before="23"/>
              <w:ind w:right="53"/>
              <w:rPr>
                <w:sz w:val="14"/>
              </w:rPr>
            </w:pPr>
            <w:r>
              <w:rPr>
                <w:w w:val="99"/>
                <w:sz w:val="14"/>
              </w:rPr>
              <w:t>-</w:t>
            </w:r>
          </w:p>
        </w:tc>
        <w:tc>
          <w:tcPr>
            <w:tcW w:w="820" w:type="dxa"/>
            <w:tcBorders>
              <w:top w:val="single" w:sz="4" w:space="0" w:color="000000"/>
              <w:bottom w:val="single" w:sz="4" w:space="0" w:color="000000"/>
            </w:tcBorders>
          </w:tcPr>
          <w:p>
            <w:pPr>
              <w:pStyle w:val="TableParagraph"/>
              <w:spacing w:before="23"/>
              <w:ind w:right="133"/>
              <w:rPr>
                <w:i/>
                <w:sz w:val="14"/>
              </w:rPr>
            </w:pPr>
            <w:r>
              <w:rPr>
                <w:i/>
                <w:w w:val="99"/>
                <w:sz w:val="14"/>
              </w:rPr>
              <w:t>-</w:t>
            </w:r>
          </w:p>
        </w:tc>
        <w:tc>
          <w:tcPr>
            <w:tcW w:w="519" w:type="dxa"/>
            <w:tcBorders>
              <w:top w:val="single" w:sz="4" w:space="0" w:color="000000"/>
              <w:bottom w:val="single" w:sz="4" w:space="0" w:color="000000"/>
            </w:tcBorders>
          </w:tcPr>
          <w:p>
            <w:pPr>
              <w:pStyle w:val="TableParagraph"/>
              <w:spacing w:before="23"/>
              <w:ind w:right="52"/>
              <w:rPr>
                <w:b/>
                <w:sz w:val="14"/>
              </w:rPr>
            </w:pPr>
            <w:r>
              <w:rPr>
                <w:b/>
                <w:w w:val="99"/>
                <w:sz w:val="14"/>
              </w:rPr>
              <w:t>-</w:t>
            </w:r>
          </w:p>
        </w:tc>
      </w:tr>
      <w:tr>
        <w:trPr>
          <w:trHeight w:val="229" w:hRule="atLeast"/>
        </w:trPr>
        <w:tc>
          <w:tcPr>
            <w:tcW w:w="1186" w:type="dxa"/>
            <w:tcBorders>
              <w:top w:val="single" w:sz="4" w:space="0" w:color="000000"/>
              <w:bottom w:val="single" w:sz="12" w:space="0" w:color="000000"/>
            </w:tcBorders>
          </w:tcPr>
          <w:p>
            <w:pPr>
              <w:pStyle w:val="TableParagraph"/>
              <w:spacing w:before="27"/>
              <w:ind w:left="67"/>
              <w:jc w:val="left"/>
              <w:rPr>
                <w:b/>
                <w:sz w:val="14"/>
              </w:rPr>
            </w:pPr>
            <w:r>
              <w:rPr>
                <w:b/>
                <w:sz w:val="14"/>
              </w:rPr>
              <w:t>Proposed</w:t>
            </w:r>
            <w:r>
              <w:rPr>
                <w:b/>
                <w:spacing w:val="-6"/>
                <w:sz w:val="14"/>
              </w:rPr>
              <w:t> </w:t>
            </w:r>
            <w:r>
              <w:rPr>
                <w:b/>
                <w:spacing w:val="-4"/>
                <w:sz w:val="14"/>
              </w:rPr>
              <w:t>2023</w:t>
            </w:r>
          </w:p>
        </w:tc>
        <w:tc>
          <w:tcPr>
            <w:tcW w:w="678" w:type="dxa"/>
            <w:tcBorders>
              <w:top w:val="single" w:sz="4" w:space="0" w:color="000000"/>
              <w:bottom w:val="single" w:sz="12" w:space="0" w:color="000000"/>
            </w:tcBorders>
          </w:tcPr>
          <w:p>
            <w:pPr>
              <w:pStyle w:val="TableParagraph"/>
              <w:spacing w:before="27"/>
              <w:ind w:right="154"/>
              <w:rPr>
                <w:b/>
                <w:sz w:val="14"/>
              </w:rPr>
            </w:pPr>
            <w:r>
              <w:rPr>
                <w:b/>
                <w:w w:val="99"/>
                <w:sz w:val="14"/>
              </w:rPr>
              <w:t>-</w:t>
            </w:r>
          </w:p>
        </w:tc>
        <w:tc>
          <w:tcPr>
            <w:tcW w:w="607" w:type="dxa"/>
            <w:tcBorders>
              <w:top w:val="single" w:sz="4" w:space="0" w:color="000000"/>
              <w:bottom w:val="single" w:sz="12" w:space="0" w:color="000000"/>
            </w:tcBorders>
          </w:tcPr>
          <w:p>
            <w:pPr>
              <w:pStyle w:val="TableParagraph"/>
              <w:spacing w:before="27"/>
              <w:ind w:right="170"/>
              <w:rPr>
                <w:b/>
                <w:sz w:val="14"/>
              </w:rPr>
            </w:pPr>
            <w:r>
              <w:rPr>
                <w:b/>
                <w:w w:val="99"/>
                <w:sz w:val="14"/>
              </w:rPr>
              <w:t>-</w:t>
            </w:r>
          </w:p>
        </w:tc>
        <w:tc>
          <w:tcPr>
            <w:tcW w:w="563" w:type="dxa"/>
            <w:tcBorders>
              <w:top w:val="single" w:sz="4" w:space="0" w:color="000000"/>
              <w:bottom w:val="single" w:sz="12" w:space="0" w:color="000000"/>
            </w:tcBorders>
          </w:tcPr>
          <w:p>
            <w:pPr>
              <w:pStyle w:val="TableParagraph"/>
              <w:spacing w:before="27"/>
              <w:ind w:right="171"/>
              <w:rPr>
                <w:b/>
                <w:sz w:val="14"/>
              </w:rPr>
            </w:pPr>
            <w:r>
              <w:rPr>
                <w:b/>
                <w:w w:val="99"/>
                <w:sz w:val="14"/>
              </w:rPr>
              <w:t>-</w:t>
            </w:r>
          </w:p>
        </w:tc>
        <w:tc>
          <w:tcPr>
            <w:tcW w:w="581" w:type="dxa"/>
            <w:tcBorders>
              <w:top w:val="single" w:sz="4" w:space="0" w:color="000000"/>
              <w:bottom w:val="single" w:sz="12" w:space="0" w:color="000000"/>
            </w:tcBorders>
          </w:tcPr>
          <w:p>
            <w:pPr>
              <w:pStyle w:val="TableParagraph"/>
              <w:spacing w:before="27"/>
              <w:ind w:right="191"/>
              <w:rPr>
                <w:b/>
                <w:sz w:val="14"/>
              </w:rPr>
            </w:pPr>
            <w:r>
              <w:rPr>
                <w:b/>
                <w:w w:val="99"/>
                <w:sz w:val="14"/>
              </w:rPr>
              <w:t>-</w:t>
            </w:r>
          </w:p>
        </w:tc>
        <w:tc>
          <w:tcPr>
            <w:tcW w:w="581" w:type="dxa"/>
            <w:tcBorders>
              <w:top w:val="single" w:sz="4" w:space="0" w:color="000000"/>
              <w:bottom w:val="single" w:sz="12" w:space="0" w:color="000000"/>
            </w:tcBorders>
          </w:tcPr>
          <w:p>
            <w:pPr>
              <w:pStyle w:val="TableParagraph"/>
              <w:spacing w:before="27"/>
              <w:ind w:left="124"/>
              <w:jc w:val="center"/>
              <w:rPr>
                <w:b/>
                <w:sz w:val="14"/>
              </w:rPr>
            </w:pPr>
            <w:r>
              <w:rPr>
                <w:b/>
                <w:w w:val="99"/>
                <w:sz w:val="14"/>
              </w:rPr>
              <w:t>1</w:t>
            </w:r>
          </w:p>
        </w:tc>
        <w:tc>
          <w:tcPr>
            <w:tcW w:w="590" w:type="dxa"/>
            <w:tcBorders>
              <w:top w:val="single" w:sz="4" w:space="0" w:color="000000"/>
              <w:bottom w:val="single" w:sz="12" w:space="0" w:color="000000"/>
            </w:tcBorders>
          </w:tcPr>
          <w:p>
            <w:pPr>
              <w:pStyle w:val="TableParagraph"/>
              <w:spacing w:before="27"/>
              <w:ind w:right="196"/>
              <w:rPr>
                <w:b/>
                <w:sz w:val="14"/>
              </w:rPr>
            </w:pPr>
            <w:r>
              <w:rPr>
                <w:b/>
                <w:w w:val="99"/>
                <w:sz w:val="14"/>
              </w:rPr>
              <w:t>1</w:t>
            </w:r>
          </w:p>
        </w:tc>
        <w:tc>
          <w:tcPr>
            <w:tcW w:w="667" w:type="dxa"/>
            <w:tcBorders>
              <w:top w:val="single" w:sz="4" w:space="0" w:color="000000"/>
              <w:bottom w:val="single" w:sz="12" w:space="0" w:color="000000"/>
            </w:tcBorders>
          </w:tcPr>
          <w:p>
            <w:pPr>
              <w:pStyle w:val="TableParagraph"/>
              <w:spacing w:before="27"/>
              <w:ind w:right="267"/>
              <w:rPr>
                <w:b/>
                <w:sz w:val="14"/>
              </w:rPr>
            </w:pPr>
            <w:r>
              <w:rPr>
                <w:b/>
                <w:w w:val="99"/>
                <w:sz w:val="14"/>
              </w:rPr>
              <w:t>3</w:t>
            </w:r>
          </w:p>
        </w:tc>
        <w:tc>
          <w:tcPr>
            <w:tcW w:w="667" w:type="dxa"/>
            <w:tcBorders>
              <w:top w:val="single" w:sz="4" w:space="0" w:color="000000"/>
              <w:bottom w:val="single" w:sz="12" w:space="0" w:color="000000"/>
            </w:tcBorders>
          </w:tcPr>
          <w:p>
            <w:pPr>
              <w:pStyle w:val="TableParagraph"/>
              <w:spacing w:before="27"/>
              <w:ind w:right="194"/>
              <w:rPr>
                <w:b/>
                <w:sz w:val="14"/>
              </w:rPr>
            </w:pPr>
            <w:r>
              <w:rPr>
                <w:b/>
                <w:w w:val="99"/>
                <w:sz w:val="14"/>
              </w:rPr>
              <w:t>2</w:t>
            </w:r>
          </w:p>
        </w:tc>
        <w:tc>
          <w:tcPr>
            <w:tcW w:w="465" w:type="dxa"/>
            <w:tcBorders>
              <w:top w:val="single" w:sz="4" w:space="0" w:color="000000"/>
              <w:bottom w:val="single" w:sz="12" w:space="0" w:color="000000"/>
            </w:tcBorders>
          </w:tcPr>
          <w:p>
            <w:pPr>
              <w:pStyle w:val="TableParagraph"/>
              <w:spacing w:before="27"/>
              <w:ind w:right="63"/>
              <w:rPr>
                <w:b/>
                <w:sz w:val="14"/>
              </w:rPr>
            </w:pPr>
            <w:r>
              <w:rPr>
                <w:b/>
                <w:w w:val="99"/>
                <w:sz w:val="14"/>
              </w:rPr>
              <w:t>-</w:t>
            </w:r>
          </w:p>
        </w:tc>
        <w:tc>
          <w:tcPr>
            <w:tcW w:w="794" w:type="dxa"/>
            <w:tcBorders>
              <w:top w:val="single" w:sz="4" w:space="0" w:color="000000"/>
              <w:bottom w:val="single" w:sz="12" w:space="0" w:color="000000"/>
            </w:tcBorders>
          </w:tcPr>
          <w:p>
            <w:pPr>
              <w:pStyle w:val="TableParagraph"/>
              <w:spacing w:before="27"/>
              <w:ind w:right="123"/>
              <w:rPr>
                <w:b/>
                <w:i/>
                <w:sz w:val="14"/>
              </w:rPr>
            </w:pPr>
            <w:r>
              <w:rPr>
                <w:b/>
                <w:i/>
                <w:w w:val="99"/>
                <w:sz w:val="14"/>
              </w:rPr>
              <w:t>7</w:t>
            </w:r>
          </w:p>
        </w:tc>
        <w:tc>
          <w:tcPr>
            <w:tcW w:w="568" w:type="dxa"/>
            <w:tcBorders>
              <w:top w:val="single" w:sz="4" w:space="0" w:color="000000"/>
              <w:bottom w:val="single" w:sz="12" w:space="0" w:color="000000"/>
            </w:tcBorders>
          </w:tcPr>
          <w:p>
            <w:pPr>
              <w:pStyle w:val="TableParagraph"/>
              <w:spacing w:before="27"/>
              <w:ind w:right="95"/>
              <w:rPr>
                <w:b/>
                <w:sz w:val="14"/>
              </w:rPr>
            </w:pPr>
            <w:r>
              <w:rPr>
                <w:b/>
                <w:w w:val="99"/>
                <w:sz w:val="14"/>
              </w:rPr>
              <w:t>-</w:t>
            </w:r>
          </w:p>
        </w:tc>
        <w:tc>
          <w:tcPr>
            <w:tcW w:w="577" w:type="dxa"/>
            <w:tcBorders>
              <w:top w:val="single" w:sz="4" w:space="0" w:color="000000"/>
              <w:bottom w:val="single" w:sz="12" w:space="0" w:color="000000"/>
            </w:tcBorders>
          </w:tcPr>
          <w:p>
            <w:pPr>
              <w:pStyle w:val="TableParagraph"/>
              <w:spacing w:before="27"/>
              <w:ind w:right="82"/>
              <w:rPr>
                <w:b/>
                <w:sz w:val="14"/>
              </w:rPr>
            </w:pPr>
            <w:r>
              <w:rPr>
                <w:b/>
                <w:w w:val="99"/>
                <w:sz w:val="14"/>
              </w:rPr>
              <w:t>1</w:t>
            </w:r>
          </w:p>
        </w:tc>
        <w:tc>
          <w:tcPr>
            <w:tcW w:w="562" w:type="dxa"/>
            <w:tcBorders>
              <w:top w:val="single" w:sz="4" w:space="0" w:color="000000"/>
              <w:bottom w:val="single" w:sz="12" w:space="0" w:color="000000"/>
            </w:tcBorders>
          </w:tcPr>
          <w:p>
            <w:pPr>
              <w:pStyle w:val="TableParagraph"/>
              <w:spacing w:before="27"/>
              <w:ind w:right="54"/>
              <w:rPr>
                <w:b/>
                <w:sz w:val="14"/>
              </w:rPr>
            </w:pPr>
            <w:r>
              <w:rPr>
                <w:b/>
                <w:w w:val="99"/>
                <w:sz w:val="14"/>
              </w:rPr>
              <w:t>3</w:t>
            </w:r>
          </w:p>
        </w:tc>
        <w:tc>
          <w:tcPr>
            <w:tcW w:w="820" w:type="dxa"/>
            <w:tcBorders>
              <w:top w:val="single" w:sz="4" w:space="0" w:color="000000"/>
              <w:bottom w:val="single" w:sz="12" w:space="0" w:color="000000"/>
            </w:tcBorders>
          </w:tcPr>
          <w:p>
            <w:pPr>
              <w:pStyle w:val="TableParagraph"/>
              <w:spacing w:before="27"/>
              <w:ind w:right="134"/>
              <w:rPr>
                <w:b/>
                <w:i/>
                <w:sz w:val="14"/>
              </w:rPr>
            </w:pPr>
            <w:r>
              <w:rPr>
                <w:b/>
                <w:i/>
                <w:w w:val="99"/>
                <w:sz w:val="14"/>
              </w:rPr>
              <w:t>4</w:t>
            </w:r>
          </w:p>
        </w:tc>
        <w:tc>
          <w:tcPr>
            <w:tcW w:w="519" w:type="dxa"/>
            <w:tcBorders>
              <w:top w:val="single" w:sz="4" w:space="0" w:color="000000"/>
              <w:bottom w:val="single" w:sz="12" w:space="0" w:color="000000"/>
            </w:tcBorders>
          </w:tcPr>
          <w:p>
            <w:pPr>
              <w:pStyle w:val="TableParagraph"/>
              <w:spacing w:before="27"/>
              <w:ind w:right="46"/>
              <w:rPr>
                <w:b/>
                <w:sz w:val="14"/>
              </w:rPr>
            </w:pPr>
            <w:r>
              <w:rPr>
                <w:b/>
                <w:spacing w:val="-5"/>
                <w:sz w:val="14"/>
              </w:rPr>
              <w:t>11</w:t>
            </w:r>
          </w:p>
        </w:tc>
      </w:tr>
      <w:tr>
        <w:trPr>
          <w:trHeight w:val="569" w:hRule="atLeast"/>
        </w:trPr>
        <w:tc>
          <w:tcPr>
            <w:tcW w:w="1186" w:type="dxa"/>
            <w:tcBorders>
              <w:top w:val="single" w:sz="12" w:space="0" w:color="000000"/>
            </w:tcBorders>
          </w:tcPr>
          <w:p>
            <w:pPr>
              <w:pStyle w:val="TableParagraph"/>
              <w:spacing w:before="2"/>
              <w:jc w:val="left"/>
              <w:rPr>
                <w:b/>
                <w:sz w:val="19"/>
              </w:rPr>
            </w:pPr>
          </w:p>
          <w:p>
            <w:pPr>
              <w:pStyle w:val="TableParagraph"/>
              <w:spacing w:line="237" w:lineRule="auto"/>
              <w:ind w:left="67" w:right="232"/>
              <w:jc w:val="left"/>
              <w:rPr>
                <w:b/>
                <w:sz w:val="14"/>
              </w:rPr>
            </w:pPr>
            <w:r>
              <w:rPr>
                <w:b/>
                <w:sz w:val="14"/>
              </w:rPr>
              <w:t>GTA</w:t>
            </w:r>
            <w:r>
              <w:rPr>
                <w:b/>
                <w:spacing w:val="-9"/>
                <w:sz w:val="14"/>
              </w:rPr>
              <w:t> </w:t>
            </w:r>
            <w:r>
              <w:rPr>
                <w:b/>
                <w:sz w:val="14"/>
              </w:rPr>
              <w:t>Positions</w:t>
            </w:r>
            <w:r>
              <w:rPr>
                <w:b/>
                <w:spacing w:val="40"/>
                <w:sz w:val="14"/>
              </w:rPr>
              <w:t> </w:t>
            </w:r>
            <w:r>
              <w:rPr>
                <w:b/>
                <w:spacing w:val="-2"/>
                <w:sz w:val="14"/>
              </w:rPr>
              <w:t>(FTE)</w:t>
            </w:r>
          </w:p>
        </w:tc>
        <w:tc>
          <w:tcPr>
            <w:tcW w:w="678" w:type="dxa"/>
            <w:tcBorders>
              <w:top w:val="single" w:sz="12" w:space="0" w:color="000000"/>
            </w:tcBorders>
          </w:tcPr>
          <w:p>
            <w:pPr>
              <w:pStyle w:val="TableParagraph"/>
              <w:jc w:val="left"/>
              <w:rPr>
                <w:sz w:val="16"/>
              </w:rPr>
            </w:pPr>
          </w:p>
        </w:tc>
        <w:tc>
          <w:tcPr>
            <w:tcW w:w="607" w:type="dxa"/>
            <w:tcBorders>
              <w:top w:val="single" w:sz="12" w:space="0" w:color="000000"/>
            </w:tcBorders>
          </w:tcPr>
          <w:p>
            <w:pPr>
              <w:pStyle w:val="TableParagraph"/>
              <w:jc w:val="left"/>
              <w:rPr>
                <w:sz w:val="16"/>
              </w:rPr>
            </w:pPr>
          </w:p>
        </w:tc>
        <w:tc>
          <w:tcPr>
            <w:tcW w:w="563" w:type="dxa"/>
            <w:tcBorders>
              <w:top w:val="single" w:sz="12" w:space="0" w:color="000000"/>
            </w:tcBorders>
          </w:tcPr>
          <w:p>
            <w:pPr>
              <w:pStyle w:val="TableParagraph"/>
              <w:jc w:val="left"/>
              <w:rPr>
                <w:sz w:val="16"/>
              </w:rPr>
            </w:pPr>
          </w:p>
        </w:tc>
        <w:tc>
          <w:tcPr>
            <w:tcW w:w="581" w:type="dxa"/>
            <w:tcBorders>
              <w:top w:val="single" w:sz="12" w:space="0" w:color="000000"/>
            </w:tcBorders>
          </w:tcPr>
          <w:p>
            <w:pPr>
              <w:pStyle w:val="TableParagraph"/>
              <w:jc w:val="left"/>
              <w:rPr>
                <w:sz w:val="16"/>
              </w:rPr>
            </w:pPr>
          </w:p>
        </w:tc>
        <w:tc>
          <w:tcPr>
            <w:tcW w:w="581" w:type="dxa"/>
            <w:tcBorders>
              <w:top w:val="single" w:sz="12" w:space="0" w:color="000000"/>
            </w:tcBorders>
          </w:tcPr>
          <w:p>
            <w:pPr>
              <w:pStyle w:val="TableParagraph"/>
              <w:jc w:val="left"/>
              <w:rPr>
                <w:sz w:val="16"/>
              </w:rPr>
            </w:pPr>
          </w:p>
        </w:tc>
        <w:tc>
          <w:tcPr>
            <w:tcW w:w="590" w:type="dxa"/>
            <w:tcBorders>
              <w:top w:val="single" w:sz="12" w:space="0" w:color="000000"/>
            </w:tcBorders>
          </w:tcPr>
          <w:p>
            <w:pPr>
              <w:pStyle w:val="TableParagraph"/>
              <w:jc w:val="left"/>
              <w:rPr>
                <w:sz w:val="16"/>
              </w:rPr>
            </w:pPr>
          </w:p>
        </w:tc>
        <w:tc>
          <w:tcPr>
            <w:tcW w:w="667" w:type="dxa"/>
            <w:tcBorders>
              <w:top w:val="single" w:sz="12" w:space="0" w:color="000000"/>
            </w:tcBorders>
          </w:tcPr>
          <w:p>
            <w:pPr>
              <w:pStyle w:val="TableParagraph"/>
              <w:jc w:val="left"/>
              <w:rPr>
                <w:sz w:val="16"/>
              </w:rPr>
            </w:pPr>
          </w:p>
        </w:tc>
        <w:tc>
          <w:tcPr>
            <w:tcW w:w="667" w:type="dxa"/>
            <w:tcBorders>
              <w:top w:val="single" w:sz="12" w:space="0" w:color="000000"/>
            </w:tcBorders>
          </w:tcPr>
          <w:p>
            <w:pPr>
              <w:pStyle w:val="TableParagraph"/>
              <w:jc w:val="left"/>
              <w:rPr>
                <w:sz w:val="16"/>
              </w:rPr>
            </w:pPr>
          </w:p>
        </w:tc>
        <w:tc>
          <w:tcPr>
            <w:tcW w:w="465" w:type="dxa"/>
            <w:tcBorders>
              <w:top w:val="single" w:sz="12" w:space="0" w:color="000000"/>
            </w:tcBorders>
          </w:tcPr>
          <w:p>
            <w:pPr>
              <w:pStyle w:val="TableParagraph"/>
              <w:jc w:val="left"/>
              <w:rPr>
                <w:sz w:val="16"/>
              </w:rPr>
            </w:pPr>
          </w:p>
        </w:tc>
        <w:tc>
          <w:tcPr>
            <w:tcW w:w="794" w:type="dxa"/>
            <w:tcBorders>
              <w:top w:val="single" w:sz="12" w:space="0" w:color="000000"/>
            </w:tcBorders>
          </w:tcPr>
          <w:p>
            <w:pPr>
              <w:pStyle w:val="TableParagraph"/>
              <w:jc w:val="left"/>
              <w:rPr>
                <w:sz w:val="16"/>
              </w:rPr>
            </w:pPr>
          </w:p>
        </w:tc>
        <w:tc>
          <w:tcPr>
            <w:tcW w:w="568" w:type="dxa"/>
            <w:tcBorders>
              <w:top w:val="single" w:sz="12" w:space="0" w:color="000000"/>
            </w:tcBorders>
          </w:tcPr>
          <w:p>
            <w:pPr>
              <w:pStyle w:val="TableParagraph"/>
              <w:jc w:val="left"/>
              <w:rPr>
                <w:sz w:val="16"/>
              </w:rPr>
            </w:pPr>
          </w:p>
        </w:tc>
        <w:tc>
          <w:tcPr>
            <w:tcW w:w="577" w:type="dxa"/>
            <w:tcBorders>
              <w:top w:val="single" w:sz="12" w:space="0" w:color="000000"/>
            </w:tcBorders>
          </w:tcPr>
          <w:p>
            <w:pPr>
              <w:pStyle w:val="TableParagraph"/>
              <w:jc w:val="left"/>
              <w:rPr>
                <w:sz w:val="16"/>
              </w:rPr>
            </w:pPr>
          </w:p>
        </w:tc>
        <w:tc>
          <w:tcPr>
            <w:tcW w:w="562" w:type="dxa"/>
            <w:tcBorders>
              <w:top w:val="single" w:sz="12" w:space="0" w:color="000000"/>
            </w:tcBorders>
          </w:tcPr>
          <w:p>
            <w:pPr>
              <w:pStyle w:val="TableParagraph"/>
              <w:jc w:val="left"/>
              <w:rPr>
                <w:sz w:val="16"/>
              </w:rPr>
            </w:pPr>
          </w:p>
        </w:tc>
        <w:tc>
          <w:tcPr>
            <w:tcW w:w="820" w:type="dxa"/>
            <w:tcBorders>
              <w:top w:val="single" w:sz="12" w:space="0" w:color="000000"/>
            </w:tcBorders>
          </w:tcPr>
          <w:p>
            <w:pPr>
              <w:pStyle w:val="TableParagraph"/>
              <w:jc w:val="left"/>
              <w:rPr>
                <w:sz w:val="16"/>
              </w:rPr>
            </w:pPr>
          </w:p>
        </w:tc>
        <w:tc>
          <w:tcPr>
            <w:tcW w:w="519" w:type="dxa"/>
            <w:tcBorders>
              <w:top w:val="single" w:sz="12" w:space="0" w:color="000000"/>
            </w:tcBorders>
          </w:tcPr>
          <w:p>
            <w:pPr>
              <w:pStyle w:val="TableParagraph"/>
              <w:jc w:val="left"/>
              <w:rPr>
                <w:sz w:val="16"/>
              </w:rPr>
            </w:pPr>
          </w:p>
        </w:tc>
      </w:tr>
      <w:tr>
        <w:trPr>
          <w:trHeight w:val="202" w:hRule="atLeast"/>
        </w:trPr>
        <w:tc>
          <w:tcPr>
            <w:tcW w:w="1186" w:type="dxa"/>
            <w:tcBorders>
              <w:bottom w:val="single" w:sz="12" w:space="0" w:color="000000"/>
            </w:tcBorders>
          </w:tcPr>
          <w:p>
            <w:pPr>
              <w:pStyle w:val="TableParagraph"/>
              <w:spacing w:before="5"/>
              <w:ind w:left="67"/>
              <w:jc w:val="left"/>
              <w:rPr>
                <w:sz w:val="14"/>
              </w:rPr>
            </w:pPr>
            <w:r>
              <w:rPr>
                <w:w w:val="95"/>
                <w:sz w:val="14"/>
              </w:rPr>
              <w:t>Approved</w:t>
            </w:r>
            <w:r>
              <w:rPr>
                <w:spacing w:val="22"/>
                <w:sz w:val="14"/>
              </w:rPr>
              <w:t> </w:t>
            </w:r>
            <w:r>
              <w:rPr>
                <w:spacing w:val="-4"/>
                <w:sz w:val="14"/>
              </w:rPr>
              <w:t>2022</w:t>
            </w:r>
          </w:p>
        </w:tc>
        <w:tc>
          <w:tcPr>
            <w:tcW w:w="678" w:type="dxa"/>
            <w:tcBorders>
              <w:bottom w:val="single" w:sz="12" w:space="0" w:color="000000"/>
            </w:tcBorders>
          </w:tcPr>
          <w:p>
            <w:pPr>
              <w:pStyle w:val="TableParagraph"/>
              <w:spacing w:before="5"/>
              <w:ind w:right="154"/>
              <w:rPr>
                <w:sz w:val="14"/>
              </w:rPr>
            </w:pPr>
            <w:r>
              <w:rPr>
                <w:w w:val="99"/>
                <w:sz w:val="14"/>
              </w:rPr>
              <w:t>-</w:t>
            </w:r>
          </w:p>
        </w:tc>
        <w:tc>
          <w:tcPr>
            <w:tcW w:w="607" w:type="dxa"/>
            <w:tcBorders>
              <w:bottom w:val="single" w:sz="12" w:space="0" w:color="000000"/>
            </w:tcBorders>
          </w:tcPr>
          <w:p>
            <w:pPr>
              <w:pStyle w:val="TableParagraph"/>
              <w:spacing w:before="5"/>
              <w:ind w:right="170"/>
              <w:rPr>
                <w:sz w:val="14"/>
              </w:rPr>
            </w:pPr>
            <w:r>
              <w:rPr>
                <w:w w:val="99"/>
                <w:sz w:val="14"/>
              </w:rPr>
              <w:t>-</w:t>
            </w:r>
          </w:p>
        </w:tc>
        <w:tc>
          <w:tcPr>
            <w:tcW w:w="563" w:type="dxa"/>
            <w:tcBorders>
              <w:bottom w:val="single" w:sz="12" w:space="0" w:color="000000"/>
            </w:tcBorders>
          </w:tcPr>
          <w:p>
            <w:pPr>
              <w:pStyle w:val="TableParagraph"/>
              <w:spacing w:before="5"/>
              <w:ind w:right="171"/>
              <w:rPr>
                <w:sz w:val="14"/>
              </w:rPr>
            </w:pPr>
            <w:r>
              <w:rPr>
                <w:w w:val="99"/>
                <w:sz w:val="14"/>
              </w:rPr>
              <w:t>-</w:t>
            </w:r>
          </w:p>
        </w:tc>
        <w:tc>
          <w:tcPr>
            <w:tcW w:w="581" w:type="dxa"/>
            <w:tcBorders>
              <w:bottom w:val="single" w:sz="12" w:space="0" w:color="000000"/>
            </w:tcBorders>
          </w:tcPr>
          <w:p>
            <w:pPr>
              <w:pStyle w:val="TableParagraph"/>
              <w:spacing w:before="5"/>
              <w:ind w:right="191"/>
              <w:rPr>
                <w:sz w:val="14"/>
              </w:rPr>
            </w:pPr>
            <w:r>
              <w:rPr>
                <w:w w:val="99"/>
                <w:sz w:val="14"/>
              </w:rPr>
              <w:t>-</w:t>
            </w:r>
          </w:p>
        </w:tc>
        <w:tc>
          <w:tcPr>
            <w:tcW w:w="581" w:type="dxa"/>
            <w:tcBorders>
              <w:bottom w:val="single" w:sz="12" w:space="0" w:color="000000"/>
            </w:tcBorders>
          </w:tcPr>
          <w:p>
            <w:pPr>
              <w:pStyle w:val="TableParagraph"/>
              <w:spacing w:before="5"/>
              <w:ind w:left="148"/>
              <w:jc w:val="center"/>
              <w:rPr>
                <w:sz w:val="14"/>
              </w:rPr>
            </w:pPr>
            <w:r>
              <w:rPr>
                <w:w w:val="99"/>
                <w:sz w:val="14"/>
              </w:rPr>
              <w:t>-</w:t>
            </w:r>
          </w:p>
        </w:tc>
        <w:tc>
          <w:tcPr>
            <w:tcW w:w="590" w:type="dxa"/>
            <w:tcBorders>
              <w:bottom w:val="single" w:sz="12" w:space="0" w:color="000000"/>
            </w:tcBorders>
          </w:tcPr>
          <w:p>
            <w:pPr>
              <w:pStyle w:val="TableParagraph"/>
              <w:spacing w:before="5"/>
              <w:ind w:right="195"/>
              <w:rPr>
                <w:sz w:val="14"/>
              </w:rPr>
            </w:pPr>
            <w:r>
              <w:rPr>
                <w:w w:val="99"/>
                <w:sz w:val="14"/>
              </w:rPr>
              <w:t>-</w:t>
            </w:r>
          </w:p>
        </w:tc>
        <w:tc>
          <w:tcPr>
            <w:tcW w:w="667" w:type="dxa"/>
            <w:tcBorders>
              <w:bottom w:val="single" w:sz="12" w:space="0" w:color="000000"/>
            </w:tcBorders>
          </w:tcPr>
          <w:p>
            <w:pPr>
              <w:pStyle w:val="TableParagraph"/>
              <w:spacing w:before="5"/>
              <w:ind w:right="266"/>
              <w:rPr>
                <w:sz w:val="14"/>
              </w:rPr>
            </w:pPr>
            <w:r>
              <w:rPr>
                <w:w w:val="99"/>
                <w:sz w:val="14"/>
              </w:rPr>
              <w:t>-</w:t>
            </w:r>
          </w:p>
        </w:tc>
        <w:tc>
          <w:tcPr>
            <w:tcW w:w="667" w:type="dxa"/>
            <w:tcBorders>
              <w:bottom w:val="single" w:sz="12" w:space="0" w:color="000000"/>
            </w:tcBorders>
          </w:tcPr>
          <w:p>
            <w:pPr>
              <w:pStyle w:val="TableParagraph"/>
              <w:spacing w:before="5"/>
              <w:ind w:right="194"/>
              <w:rPr>
                <w:sz w:val="14"/>
              </w:rPr>
            </w:pPr>
            <w:r>
              <w:rPr>
                <w:w w:val="99"/>
                <w:sz w:val="14"/>
              </w:rPr>
              <w:t>-</w:t>
            </w:r>
          </w:p>
        </w:tc>
        <w:tc>
          <w:tcPr>
            <w:tcW w:w="465" w:type="dxa"/>
            <w:tcBorders>
              <w:bottom w:val="single" w:sz="12" w:space="0" w:color="000000"/>
            </w:tcBorders>
          </w:tcPr>
          <w:p>
            <w:pPr>
              <w:pStyle w:val="TableParagraph"/>
              <w:spacing w:before="5"/>
              <w:ind w:right="63"/>
              <w:rPr>
                <w:sz w:val="14"/>
              </w:rPr>
            </w:pPr>
            <w:r>
              <w:rPr>
                <w:w w:val="99"/>
                <w:sz w:val="14"/>
              </w:rPr>
              <w:t>-</w:t>
            </w:r>
          </w:p>
        </w:tc>
        <w:tc>
          <w:tcPr>
            <w:tcW w:w="794" w:type="dxa"/>
            <w:tcBorders>
              <w:bottom w:val="single" w:sz="12" w:space="0" w:color="000000"/>
            </w:tcBorders>
          </w:tcPr>
          <w:p>
            <w:pPr>
              <w:pStyle w:val="TableParagraph"/>
              <w:spacing w:before="5"/>
              <w:ind w:right="122"/>
              <w:rPr>
                <w:i/>
                <w:sz w:val="14"/>
              </w:rPr>
            </w:pPr>
            <w:r>
              <w:rPr>
                <w:i/>
                <w:w w:val="99"/>
                <w:sz w:val="14"/>
              </w:rPr>
              <w:t>-</w:t>
            </w:r>
          </w:p>
        </w:tc>
        <w:tc>
          <w:tcPr>
            <w:tcW w:w="568" w:type="dxa"/>
            <w:tcBorders>
              <w:bottom w:val="single" w:sz="12" w:space="0" w:color="000000"/>
            </w:tcBorders>
          </w:tcPr>
          <w:p>
            <w:pPr>
              <w:pStyle w:val="TableParagraph"/>
              <w:spacing w:before="5"/>
              <w:ind w:right="95"/>
              <w:rPr>
                <w:sz w:val="14"/>
              </w:rPr>
            </w:pPr>
            <w:r>
              <w:rPr>
                <w:w w:val="99"/>
                <w:sz w:val="14"/>
              </w:rPr>
              <w:t>-</w:t>
            </w:r>
          </w:p>
        </w:tc>
        <w:tc>
          <w:tcPr>
            <w:tcW w:w="577" w:type="dxa"/>
            <w:tcBorders>
              <w:bottom w:val="single" w:sz="12" w:space="0" w:color="000000"/>
            </w:tcBorders>
          </w:tcPr>
          <w:p>
            <w:pPr>
              <w:pStyle w:val="TableParagraph"/>
              <w:spacing w:before="5"/>
              <w:ind w:right="81"/>
              <w:rPr>
                <w:sz w:val="14"/>
              </w:rPr>
            </w:pPr>
            <w:r>
              <w:rPr>
                <w:w w:val="99"/>
                <w:sz w:val="14"/>
              </w:rPr>
              <w:t>-</w:t>
            </w:r>
          </w:p>
        </w:tc>
        <w:tc>
          <w:tcPr>
            <w:tcW w:w="562" w:type="dxa"/>
            <w:tcBorders>
              <w:bottom w:val="single" w:sz="12" w:space="0" w:color="000000"/>
            </w:tcBorders>
          </w:tcPr>
          <w:p>
            <w:pPr>
              <w:pStyle w:val="TableParagraph"/>
              <w:spacing w:before="5"/>
              <w:ind w:right="53"/>
              <w:rPr>
                <w:sz w:val="14"/>
              </w:rPr>
            </w:pPr>
            <w:r>
              <w:rPr>
                <w:w w:val="99"/>
                <w:sz w:val="14"/>
              </w:rPr>
              <w:t>-</w:t>
            </w:r>
          </w:p>
        </w:tc>
        <w:tc>
          <w:tcPr>
            <w:tcW w:w="820" w:type="dxa"/>
            <w:tcBorders>
              <w:bottom w:val="single" w:sz="12" w:space="0" w:color="000000"/>
            </w:tcBorders>
          </w:tcPr>
          <w:p>
            <w:pPr>
              <w:pStyle w:val="TableParagraph"/>
              <w:spacing w:before="5"/>
              <w:ind w:right="133"/>
              <w:rPr>
                <w:i/>
                <w:sz w:val="14"/>
              </w:rPr>
            </w:pPr>
            <w:r>
              <w:rPr>
                <w:i/>
                <w:w w:val="99"/>
                <w:sz w:val="14"/>
              </w:rPr>
              <w:t>-</w:t>
            </w:r>
          </w:p>
        </w:tc>
        <w:tc>
          <w:tcPr>
            <w:tcW w:w="519" w:type="dxa"/>
            <w:tcBorders>
              <w:bottom w:val="single" w:sz="12" w:space="0" w:color="000000"/>
            </w:tcBorders>
          </w:tcPr>
          <w:p>
            <w:pPr>
              <w:pStyle w:val="TableParagraph"/>
              <w:spacing w:before="5"/>
              <w:ind w:right="52"/>
              <w:rPr>
                <w:b/>
                <w:sz w:val="14"/>
              </w:rPr>
            </w:pPr>
            <w:r>
              <w:rPr>
                <w:b/>
                <w:w w:val="99"/>
                <w:sz w:val="14"/>
              </w:rPr>
              <w:t>-</w:t>
            </w:r>
          </w:p>
        </w:tc>
      </w:tr>
      <w:tr>
        <w:trPr>
          <w:trHeight w:val="229" w:hRule="atLeast"/>
        </w:trPr>
        <w:tc>
          <w:tcPr>
            <w:tcW w:w="1186" w:type="dxa"/>
            <w:tcBorders>
              <w:top w:val="single" w:sz="12" w:space="0" w:color="000000"/>
              <w:bottom w:val="single" w:sz="4" w:space="0" w:color="000000"/>
            </w:tcBorders>
          </w:tcPr>
          <w:p>
            <w:pPr>
              <w:pStyle w:val="TableParagraph"/>
              <w:spacing w:before="27"/>
              <w:ind w:left="67"/>
              <w:jc w:val="left"/>
              <w:rPr>
                <w:sz w:val="14"/>
              </w:rPr>
            </w:pPr>
            <w:r>
              <w:rPr>
                <w:spacing w:val="-2"/>
                <w:sz w:val="14"/>
              </w:rPr>
              <w:t>Continued</w:t>
            </w:r>
          </w:p>
        </w:tc>
        <w:tc>
          <w:tcPr>
            <w:tcW w:w="678" w:type="dxa"/>
            <w:tcBorders>
              <w:top w:val="single" w:sz="12" w:space="0" w:color="000000"/>
              <w:bottom w:val="single" w:sz="4" w:space="0" w:color="000000"/>
            </w:tcBorders>
          </w:tcPr>
          <w:p>
            <w:pPr>
              <w:pStyle w:val="TableParagraph"/>
              <w:spacing w:before="27"/>
              <w:ind w:right="154"/>
              <w:rPr>
                <w:sz w:val="14"/>
              </w:rPr>
            </w:pPr>
            <w:r>
              <w:rPr>
                <w:w w:val="99"/>
                <w:sz w:val="14"/>
              </w:rPr>
              <w:t>-</w:t>
            </w:r>
          </w:p>
        </w:tc>
        <w:tc>
          <w:tcPr>
            <w:tcW w:w="607" w:type="dxa"/>
            <w:tcBorders>
              <w:top w:val="single" w:sz="12" w:space="0" w:color="000000"/>
              <w:bottom w:val="single" w:sz="4" w:space="0" w:color="000000"/>
            </w:tcBorders>
          </w:tcPr>
          <w:p>
            <w:pPr>
              <w:pStyle w:val="TableParagraph"/>
              <w:spacing w:before="27"/>
              <w:ind w:right="170"/>
              <w:rPr>
                <w:sz w:val="14"/>
              </w:rPr>
            </w:pPr>
            <w:r>
              <w:rPr>
                <w:w w:val="99"/>
                <w:sz w:val="14"/>
              </w:rPr>
              <w:t>-</w:t>
            </w:r>
          </w:p>
        </w:tc>
        <w:tc>
          <w:tcPr>
            <w:tcW w:w="563" w:type="dxa"/>
            <w:tcBorders>
              <w:top w:val="single" w:sz="12" w:space="0" w:color="000000"/>
              <w:bottom w:val="single" w:sz="4" w:space="0" w:color="000000"/>
            </w:tcBorders>
          </w:tcPr>
          <w:p>
            <w:pPr>
              <w:pStyle w:val="TableParagraph"/>
              <w:spacing w:before="27"/>
              <w:ind w:right="171"/>
              <w:rPr>
                <w:sz w:val="14"/>
              </w:rPr>
            </w:pPr>
            <w:r>
              <w:rPr>
                <w:w w:val="99"/>
                <w:sz w:val="14"/>
              </w:rPr>
              <w:t>-</w:t>
            </w:r>
          </w:p>
        </w:tc>
        <w:tc>
          <w:tcPr>
            <w:tcW w:w="581" w:type="dxa"/>
            <w:tcBorders>
              <w:top w:val="single" w:sz="12" w:space="0" w:color="000000"/>
              <w:bottom w:val="single" w:sz="4" w:space="0" w:color="000000"/>
            </w:tcBorders>
          </w:tcPr>
          <w:p>
            <w:pPr>
              <w:pStyle w:val="TableParagraph"/>
              <w:spacing w:before="27"/>
              <w:ind w:right="191"/>
              <w:rPr>
                <w:sz w:val="14"/>
              </w:rPr>
            </w:pPr>
            <w:r>
              <w:rPr>
                <w:w w:val="99"/>
                <w:sz w:val="14"/>
              </w:rPr>
              <w:t>-</w:t>
            </w:r>
          </w:p>
        </w:tc>
        <w:tc>
          <w:tcPr>
            <w:tcW w:w="581" w:type="dxa"/>
            <w:tcBorders>
              <w:top w:val="single" w:sz="12" w:space="0" w:color="000000"/>
              <w:bottom w:val="single" w:sz="4" w:space="0" w:color="000000"/>
            </w:tcBorders>
          </w:tcPr>
          <w:p>
            <w:pPr>
              <w:pStyle w:val="TableParagraph"/>
              <w:spacing w:before="27"/>
              <w:ind w:left="148"/>
              <w:jc w:val="center"/>
              <w:rPr>
                <w:sz w:val="14"/>
              </w:rPr>
            </w:pPr>
            <w:r>
              <w:rPr>
                <w:w w:val="99"/>
                <w:sz w:val="14"/>
              </w:rPr>
              <w:t>-</w:t>
            </w:r>
          </w:p>
        </w:tc>
        <w:tc>
          <w:tcPr>
            <w:tcW w:w="590" w:type="dxa"/>
            <w:tcBorders>
              <w:top w:val="single" w:sz="12" w:space="0" w:color="000000"/>
              <w:bottom w:val="single" w:sz="4" w:space="0" w:color="000000"/>
            </w:tcBorders>
          </w:tcPr>
          <w:p>
            <w:pPr>
              <w:pStyle w:val="TableParagraph"/>
              <w:spacing w:before="27"/>
              <w:ind w:right="195"/>
              <w:rPr>
                <w:sz w:val="14"/>
              </w:rPr>
            </w:pPr>
            <w:r>
              <w:rPr>
                <w:w w:val="99"/>
                <w:sz w:val="14"/>
              </w:rPr>
              <w:t>-</w:t>
            </w:r>
          </w:p>
        </w:tc>
        <w:tc>
          <w:tcPr>
            <w:tcW w:w="667" w:type="dxa"/>
            <w:tcBorders>
              <w:top w:val="single" w:sz="12" w:space="0" w:color="000000"/>
              <w:bottom w:val="single" w:sz="4" w:space="0" w:color="000000"/>
            </w:tcBorders>
          </w:tcPr>
          <w:p>
            <w:pPr>
              <w:pStyle w:val="TableParagraph"/>
              <w:spacing w:before="27"/>
              <w:ind w:right="266"/>
              <w:rPr>
                <w:sz w:val="14"/>
              </w:rPr>
            </w:pPr>
            <w:r>
              <w:rPr>
                <w:w w:val="99"/>
                <w:sz w:val="14"/>
              </w:rPr>
              <w:t>-</w:t>
            </w:r>
          </w:p>
        </w:tc>
        <w:tc>
          <w:tcPr>
            <w:tcW w:w="667" w:type="dxa"/>
            <w:tcBorders>
              <w:top w:val="single" w:sz="12" w:space="0" w:color="000000"/>
              <w:bottom w:val="single" w:sz="4" w:space="0" w:color="000000"/>
            </w:tcBorders>
          </w:tcPr>
          <w:p>
            <w:pPr>
              <w:pStyle w:val="TableParagraph"/>
              <w:spacing w:before="27"/>
              <w:ind w:right="194"/>
              <w:rPr>
                <w:sz w:val="14"/>
              </w:rPr>
            </w:pPr>
            <w:r>
              <w:rPr>
                <w:w w:val="99"/>
                <w:sz w:val="14"/>
              </w:rPr>
              <w:t>-</w:t>
            </w:r>
          </w:p>
        </w:tc>
        <w:tc>
          <w:tcPr>
            <w:tcW w:w="465" w:type="dxa"/>
            <w:tcBorders>
              <w:top w:val="single" w:sz="12" w:space="0" w:color="000000"/>
              <w:bottom w:val="single" w:sz="4" w:space="0" w:color="000000"/>
            </w:tcBorders>
          </w:tcPr>
          <w:p>
            <w:pPr>
              <w:pStyle w:val="TableParagraph"/>
              <w:spacing w:before="27"/>
              <w:ind w:right="63"/>
              <w:rPr>
                <w:sz w:val="14"/>
              </w:rPr>
            </w:pPr>
            <w:r>
              <w:rPr>
                <w:w w:val="99"/>
                <w:sz w:val="14"/>
              </w:rPr>
              <w:t>-</w:t>
            </w:r>
          </w:p>
        </w:tc>
        <w:tc>
          <w:tcPr>
            <w:tcW w:w="794" w:type="dxa"/>
            <w:tcBorders>
              <w:top w:val="single" w:sz="12" w:space="0" w:color="000000"/>
              <w:bottom w:val="single" w:sz="4" w:space="0" w:color="000000"/>
            </w:tcBorders>
          </w:tcPr>
          <w:p>
            <w:pPr>
              <w:pStyle w:val="TableParagraph"/>
              <w:spacing w:before="27"/>
              <w:ind w:right="122"/>
              <w:rPr>
                <w:i/>
                <w:sz w:val="14"/>
              </w:rPr>
            </w:pPr>
            <w:r>
              <w:rPr>
                <w:i/>
                <w:w w:val="99"/>
                <w:sz w:val="14"/>
              </w:rPr>
              <w:t>-</w:t>
            </w:r>
          </w:p>
        </w:tc>
        <w:tc>
          <w:tcPr>
            <w:tcW w:w="568" w:type="dxa"/>
            <w:tcBorders>
              <w:top w:val="single" w:sz="12" w:space="0" w:color="000000"/>
              <w:bottom w:val="single" w:sz="4" w:space="0" w:color="000000"/>
            </w:tcBorders>
          </w:tcPr>
          <w:p>
            <w:pPr>
              <w:pStyle w:val="TableParagraph"/>
              <w:spacing w:before="27"/>
              <w:ind w:right="95"/>
              <w:rPr>
                <w:sz w:val="14"/>
              </w:rPr>
            </w:pPr>
            <w:r>
              <w:rPr>
                <w:w w:val="99"/>
                <w:sz w:val="14"/>
              </w:rPr>
              <w:t>-</w:t>
            </w:r>
          </w:p>
        </w:tc>
        <w:tc>
          <w:tcPr>
            <w:tcW w:w="577" w:type="dxa"/>
            <w:tcBorders>
              <w:top w:val="single" w:sz="12" w:space="0" w:color="000000"/>
              <w:bottom w:val="single" w:sz="4" w:space="0" w:color="000000"/>
            </w:tcBorders>
          </w:tcPr>
          <w:p>
            <w:pPr>
              <w:pStyle w:val="TableParagraph"/>
              <w:spacing w:before="27"/>
              <w:ind w:right="81"/>
              <w:rPr>
                <w:sz w:val="14"/>
              </w:rPr>
            </w:pPr>
            <w:r>
              <w:rPr>
                <w:w w:val="99"/>
                <w:sz w:val="14"/>
              </w:rPr>
              <w:t>-</w:t>
            </w:r>
          </w:p>
        </w:tc>
        <w:tc>
          <w:tcPr>
            <w:tcW w:w="562" w:type="dxa"/>
            <w:tcBorders>
              <w:top w:val="single" w:sz="12" w:space="0" w:color="000000"/>
              <w:bottom w:val="single" w:sz="4" w:space="0" w:color="000000"/>
            </w:tcBorders>
          </w:tcPr>
          <w:p>
            <w:pPr>
              <w:pStyle w:val="TableParagraph"/>
              <w:spacing w:before="27"/>
              <w:ind w:right="53"/>
              <w:rPr>
                <w:sz w:val="14"/>
              </w:rPr>
            </w:pPr>
            <w:r>
              <w:rPr>
                <w:w w:val="99"/>
                <w:sz w:val="14"/>
              </w:rPr>
              <w:t>-</w:t>
            </w:r>
          </w:p>
        </w:tc>
        <w:tc>
          <w:tcPr>
            <w:tcW w:w="820" w:type="dxa"/>
            <w:tcBorders>
              <w:top w:val="single" w:sz="12" w:space="0" w:color="000000"/>
              <w:bottom w:val="single" w:sz="4" w:space="0" w:color="000000"/>
            </w:tcBorders>
          </w:tcPr>
          <w:p>
            <w:pPr>
              <w:pStyle w:val="TableParagraph"/>
              <w:spacing w:before="27"/>
              <w:ind w:right="133"/>
              <w:rPr>
                <w:i/>
                <w:sz w:val="14"/>
              </w:rPr>
            </w:pPr>
            <w:r>
              <w:rPr>
                <w:i/>
                <w:w w:val="99"/>
                <w:sz w:val="14"/>
              </w:rPr>
              <w:t>-</w:t>
            </w:r>
          </w:p>
        </w:tc>
        <w:tc>
          <w:tcPr>
            <w:tcW w:w="519" w:type="dxa"/>
            <w:tcBorders>
              <w:top w:val="single" w:sz="12" w:space="0" w:color="000000"/>
              <w:bottom w:val="single" w:sz="4" w:space="0" w:color="000000"/>
            </w:tcBorders>
          </w:tcPr>
          <w:p>
            <w:pPr>
              <w:pStyle w:val="TableParagraph"/>
              <w:spacing w:before="27"/>
              <w:ind w:right="52"/>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3"/>
              <w:ind w:left="67"/>
              <w:jc w:val="left"/>
              <w:rPr>
                <w:sz w:val="14"/>
              </w:rPr>
            </w:pPr>
            <w:r>
              <w:rPr>
                <w:spacing w:val="-5"/>
                <w:sz w:val="14"/>
              </w:rPr>
              <w:t>New</w:t>
            </w:r>
          </w:p>
        </w:tc>
        <w:tc>
          <w:tcPr>
            <w:tcW w:w="678" w:type="dxa"/>
            <w:tcBorders>
              <w:top w:val="single" w:sz="4" w:space="0" w:color="000000"/>
              <w:bottom w:val="single" w:sz="4" w:space="0" w:color="000000"/>
            </w:tcBorders>
          </w:tcPr>
          <w:p>
            <w:pPr>
              <w:pStyle w:val="TableParagraph"/>
              <w:spacing w:before="23"/>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3"/>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3"/>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3"/>
              <w:ind w:right="191"/>
              <w:rPr>
                <w:sz w:val="14"/>
              </w:rPr>
            </w:pPr>
            <w:r>
              <w:rPr>
                <w:w w:val="99"/>
                <w:sz w:val="14"/>
              </w:rPr>
              <w:t>-</w:t>
            </w:r>
          </w:p>
        </w:tc>
        <w:tc>
          <w:tcPr>
            <w:tcW w:w="581" w:type="dxa"/>
            <w:tcBorders>
              <w:top w:val="single" w:sz="4" w:space="0" w:color="000000"/>
              <w:bottom w:val="single" w:sz="4" w:space="0" w:color="000000"/>
            </w:tcBorders>
          </w:tcPr>
          <w:p>
            <w:pPr>
              <w:pStyle w:val="TableParagraph"/>
              <w:spacing w:before="23"/>
              <w:ind w:left="148"/>
              <w:jc w:val="center"/>
              <w:rPr>
                <w:sz w:val="14"/>
              </w:rPr>
            </w:pPr>
            <w:r>
              <w:rPr>
                <w:w w:val="99"/>
                <w:sz w:val="14"/>
              </w:rPr>
              <w:t>-</w:t>
            </w:r>
          </w:p>
        </w:tc>
        <w:tc>
          <w:tcPr>
            <w:tcW w:w="590" w:type="dxa"/>
            <w:tcBorders>
              <w:top w:val="single" w:sz="4" w:space="0" w:color="000000"/>
              <w:bottom w:val="single" w:sz="4" w:space="0" w:color="000000"/>
            </w:tcBorders>
          </w:tcPr>
          <w:p>
            <w:pPr>
              <w:pStyle w:val="TableParagraph"/>
              <w:spacing w:before="23"/>
              <w:ind w:right="195"/>
              <w:rPr>
                <w:sz w:val="14"/>
              </w:rPr>
            </w:pPr>
            <w:r>
              <w:rPr>
                <w:w w:val="99"/>
                <w:sz w:val="14"/>
              </w:rPr>
              <w:t>-</w:t>
            </w:r>
          </w:p>
        </w:tc>
        <w:tc>
          <w:tcPr>
            <w:tcW w:w="667" w:type="dxa"/>
            <w:tcBorders>
              <w:top w:val="single" w:sz="4" w:space="0" w:color="000000"/>
              <w:bottom w:val="single" w:sz="4" w:space="0" w:color="000000"/>
            </w:tcBorders>
          </w:tcPr>
          <w:p>
            <w:pPr>
              <w:pStyle w:val="TableParagraph"/>
              <w:spacing w:before="23"/>
              <w:ind w:right="266"/>
              <w:rPr>
                <w:sz w:val="14"/>
              </w:rPr>
            </w:pPr>
            <w:r>
              <w:rPr>
                <w:w w:val="99"/>
                <w:sz w:val="14"/>
              </w:rPr>
              <w:t>-</w:t>
            </w:r>
          </w:p>
        </w:tc>
        <w:tc>
          <w:tcPr>
            <w:tcW w:w="667" w:type="dxa"/>
            <w:tcBorders>
              <w:top w:val="single" w:sz="4" w:space="0" w:color="000000"/>
              <w:bottom w:val="single" w:sz="4" w:space="0" w:color="000000"/>
            </w:tcBorders>
          </w:tcPr>
          <w:p>
            <w:pPr>
              <w:pStyle w:val="TableParagraph"/>
              <w:spacing w:before="23"/>
              <w:ind w:right="194"/>
              <w:rPr>
                <w:sz w:val="14"/>
              </w:rPr>
            </w:pPr>
            <w:r>
              <w:rPr>
                <w:w w:val="99"/>
                <w:sz w:val="14"/>
              </w:rPr>
              <w:t>-</w:t>
            </w:r>
          </w:p>
        </w:tc>
        <w:tc>
          <w:tcPr>
            <w:tcW w:w="465" w:type="dxa"/>
            <w:tcBorders>
              <w:top w:val="single" w:sz="4" w:space="0" w:color="000000"/>
              <w:bottom w:val="single" w:sz="4" w:space="0" w:color="000000"/>
            </w:tcBorders>
          </w:tcPr>
          <w:p>
            <w:pPr>
              <w:pStyle w:val="TableParagraph"/>
              <w:spacing w:before="23"/>
              <w:ind w:right="63"/>
              <w:rPr>
                <w:sz w:val="14"/>
              </w:rPr>
            </w:pPr>
            <w:r>
              <w:rPr>
                <w:w w:val="99"/>
                <w:sz w:val="14"/>
              </w:rPr>
              <w:t>-</w:t>
            </w:r>
          </w:p>
        </w:tc>
        <w:tc>
          <w:tcPr>
            <w:tcW w:w="794" w:type="dxa"/>
            <w:tcBorders>
              <w:top w:val="single" w:sz="4" w:space="0" w:color="000000"/>
              <w:bottom w:val="single" w:sz="4" w:space="0" w:color="000000"/>
            </w:tcBorders>
          </w:tcPr>
          <w:p>
            <w:pPr>
              <w:pStyle w:val="TableParagraph"/>
              <w:spacing w:before="23"/>
              <w:ind w:right="122"/>
              <w:rPr>
                <w:i/>
                <w:sz w:val="14"/>
              </w:rPr>
            </w:pPr>
            <w:r>
              <w:rPr>
                <w:i/>
                <w:w w:val="99"/>
                <w:sz w:val="14"/>
              </w:rPr>
              <w:t>-</w:t>
            </w:r>
          </w:p>
        </w:tc>
        <w:tc>
          <w:tcPr>
            <w:tcW w:w="568" w:type="dxa"/>
            <w:tcBorders>
              <w:top w:val="single" w:sz="4" w:space="0" w:color="000000"/>
              <w:bottom w:val="single" w:sz="4" w:space="0" w:color="000000"/>
            </w:tcBorders>
          </w:tcPr>
          <w:p>
            <w:pPr>
              <w:pStyle w:val="TableParagraph"/>
              <w:spacing w:before="23"/>
              <w:ind w:right="95"/>
              <w:rPr>
                <w:sz w:val="14"/>
              </w:rPr>
            </w:pPr>
            <w:r>
              <w:rPr>
                <w:w w:val="99"/>
                <w:sz w:val="14"/>
              </w:rPr>
              <w:t>-</w:t>
            </w:r>
          </w:p>
        </w:tc>
        <w:tc>
          <w:tcPr>
            <w:tcW w:w="577" w:type="dxa"/>
            <w:tcBorders>
              <w:top w:val="single" w:sz="4" w:space="0" w:color="000000"/>
              <w:bottom w:val="single" w:sz="4" w:space="0" w:color="000000"/>
            </w:tcBorders>
          </w:tcPr>
          <w:p>
            <w:pPr>
              <w:pStyle w:val="TableParagraph"/>
              <w:spacing w:before="23"/>
              <w:ind w:right="81"/>
              <w:rPr>
                <w:sz w:val="14"/>
              </w:rPr>
            </w:pPr>
            <w:r>
              <w:rPr>
                <w:w w:val="99"/>
                <w:sz w:val="14"/>
              </w:rPr>
              <w:t>-</w:t>
            </w:r>
          </w:p>
        </w:tc>
        <w:tc>
          <w:tcPr>
            <w:tcW w:w="562" w:type="dxa"/>
            <w:tcBorders>
              <w:top w:val="single" w:sz="4" w:space="0" w:color="000000"/>
              <w:bottom w:val="single" w:sz="4" w:space="0" w:color="000000"/>
            </w:tcBorders>
          </w:tcPr>
          <w:p>
            <w:pPr>
              <w:pStyle w:val="TableParagraph"/>
              <w:spacing w:before="23"/>
              <w:ind w:right="53"/>
              <w:rPr>
                <w:sz w:val="14"/>
              </w:rPr>
            </w:pPr>
            <w:r>
              <w:rPr>
                <w:w w:val="99"/>
                <w:sz w:val="14"/>
              </w:rPr>
              <w:t>-</w:t>
            </w:r>
          </w:p>
        </w:tc>
        <w:tc>
          <w:tcPr>
            <w:tcW w:w="820" w:type="dxa"/>
            <w:tcBorders>
              <w:top w:val="single" w:sz="4" w:space="0" w:color="000000"/>
              <w:bottom w:val="single" w:sz="4" w:space="0" w:color="000000"/>
            </w:tcBorders>
          </w:tcPr>
          <w:p>
            <w:pPr>
              <w:pStyle w:val="TableParagraph"/>
              <w:spacing w:before="23"/>
              <w:ind w:right="133"/>
              <w:rPr>
                <w:i/>
                <w:sz w:val="14"/>
              </w:rPr>
            </w:pPr>
            <w:r>
              <w:rPr>
                <w:i/>
                <w:w w:val="99"/>
                <w:sz w:val="14"/>
              </w:rPr>
              <w:t>-</w:t>
            </w:r>
          </w:p>
        </w:tc>
        <w:tc>
          <w:tcPr>
            <w:tcW w:w="519" w:type="dxa"/>
            <w:tcBorders>
              <w:top w:val="single" w:sz="4" w:space="0" w:color="000000"/>
              <w:bottom w:val="single" w:sz="4" w:space="0" w:color="000000"/>
            </w:tcBorders>
          </w:tcPr>
          <w:p>
            <w:pPr>
              <w:pStyle w:val="TableParagraph"/>
              <w:spacing w:before="23"/>
              <w:ind w:right="52"/>
              <w:rPr>
                <w:b/>
                <w:sz w:val="14"/>
              </w:rPr>
            </w:pPr>
            <w:r>
              <w:rPr>
                <w:b/>
                <w:w w:val="99"/>
                <w:sz w:val="14"/>
              </w:rPr>
              <w:t>-</w:t>
            </w:r>
          </w:p>
        </w:tc>
      </w:tr>
      <w:tr>
        <w:trPr>
          <w:trHeight w:val="230" w:hRule="atLeast"/>
        </w:trPr>
        <w:tc>
          <w:tcPr>
            <w:tcW w:w="1186" w:type="dxa"/>
            <w:tcBorders>
              <w:top w:val="single" w:sz="4" w:space="0" w:color="000000"/>
              <w:bottom w:val="single" w:sz="4" w:space="0" w:color="000000"/>
            </w:tcBorders>
          </w:tcPr>
          <w:p>
            <w:pPr>
              <w:pStyle w:val="TableParagraph"/>
              <w:spacing w:before="27"/>
              <w:ind w:left="67"/>
              <w:jc w:val="left"/>
              <w:rPr>
                <w:sz w:val="14"/>
              </w:rPr>
            </w:pPr>
            <w:r>
              <w:rPr>
                <w:spacing w:val="-2"/>
                <w:sz w:val="14"/>
              </w:rPr>
              <w:t>Redeployed</w:t>
            </w:r>
          </w:p>
        </w:tc>
        <w:tc>
          <w:tcPr>
            <w:tcW w:w="678" w:type="dxa"/>
            <w:tcBorders>
              <w:top w:val="single" w:sz="4" w:space="0" w:color="000000"/>
              <w:bottom w:val="single" w:sz="4" w:space="0" w:color="000000"/>
            </w:tcBorders>
          </w:tcPr>
          <w:p>
            <w:pPr>
              <w:pStyle w:val="TableParagraph"/>
              <w:spacing w:before="27"/>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7"/>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7"/>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7"/>
              <w:ind w:right="191"/>
              <w:rPr>
                <w:sz w:val="14"/>
              </w:rPr>
            </w:pPr>
            <w:r>
              <w:rPr>
                <w:w w:val="99"/>
                <w:sz w:val="14"/>
              </w:rPr>
              <w:t>-</w:t>
            </w:r>
          </w:p>
        </w:tc>
        <w:tc>
          <w:tcPr>
            <w:tcW w:w="581" w:type="dxa"/>
            <w:tcBorders>
              <w:top w:val="single" w:sz="4" w:space="0" w:color="000000"/>
              <w:bottom w:val="single" w:sz="4" w:space="0" w:color="000000"/>
            </w:tcBorders>
          </w:tcPr>
          <w:p>
            <w:pPr>
              <w:pStyle w:val="TableParagraph"/>
              <w:spacing w:before="27"/>
              <w:ind w:left="148"/>
              <w:jc w:val="center"/>
              <w:rPr>
                <w:sz w:val="14"/>
              </w:rPr>
            </w:pPr>
            <w:r>
              <w:rPr>
                <w:w w:val="99"/>
                <w:sz w:val="14"/>
              </w:rPr>
              <w:t>-</w:t>
            </w:r>
          </w:p>
        </w:tc>
        <w:tc>
          <w:tcPr>
            <w:tcW w:w="590" w:type="dxa"/>
            <w:tcBorders>
              <w:top w:val="single" w:sz="4" w:space="0" w:color="000000"/>
              <w:bottom w:val="single" w:sz="4" w:space="0" w:color="000000"/>
            </w:tcBorders>
          </w:tcPr>
          <w:p>
            <w:pPr>
              <w:pStyle w:val="TableParagraph"/>
              <w:spacing w:before="27"/>
              <w:ind w:right="195"/>
              <w:rPr>
                <w:sz w:val="14"/>
              </w:rPr>
            </w:pPr>
            <w:r>
              <w:rPr>
                <w:w w:val="99"/>
                <w:sz w:val="14"/>
              </w:rPr>
              <w:t>-</w:t>
            </w:r>
          </w:p>
        </w:tc>
        <w:tc>
          <w:tcPr>
            <w:tcW w:w="667" w:type="dxa"/>
            <w:tcBorders>
              <w:top w:val="single" w:sz="4" w:space="0" w:color="000000"/>
              <w:bottom w:val="single" w:sz="4" w:space="0" w:color="000000"/>
            </w:tcBorders>
          </w:tcPr>
          <w:p>
            <w:pPr>
              <w:pStyle w:val="TableParagraph"/>
              <w:spacing w:before="27"/>
              <w:ind w:right="266"/>
              <w:rPr>
                <w:sz w:val="14"/>
              </w:rPr>
            </w:pPr>
            <w:r>
              <w:rPr>
                <w:w w:val="99"/>
                <w:sz w:val="14"/>
              </w:rPr>
              <w:t>-</w:t>
            </w:r>
          </w:p>
        </w:tc>
        <w:tc>
          <w:tcPr>
            <w:tcW w:w="667" w:type="dxa"/>
            <w:tcBorders>
              <w:top w:val="single" w:sz="4" w:space="0" w:color="000000"/>
              <w:bottom w:val="single" w:sz="4" w:space="0" w:color="000000"/>
            </w:tcBorders>
          </w:tcPr>
          <w:p>
            <w:pPr>
              <w:pStyle w:val="TableParagraph"/>
              <w:spacing w:before="27"/>
              <w:ind w:right="194"/>
              <w:rPr>
                <w:sz w:val="14"/>
              </w:rPr>
            </w:pPr>
            <w:r>
              <w:rPr>
                <w:w w:val="99"/>
                <w:sz w:val="14"/>
              </w:rPr>
              <w:t>-</w:t>
            </w:r>
          </w:p>
        </w:tc>
        <w:tc>
          <w:tcPr>
            <w:tcW w:w="465" w:type="dxa"/>
            <w:tcBorders>
              <w:top w:val="single" w:sz="4" w:space="0" w:color="000000"/>
              <w:bottom w:val="single" w:sz="4" w:space="0" w:color="000000"/>
            </w:tcBorders>
          </w:tcPr>
          <w:p>
            <w:pPr>
              <w:pStyle w:val="TableParagraph"/>
              <w:spacing w:before="27"/>
              <w:ind w:right="63"/>
              <w:rPr>
                <w:sz w:val="14"/>
              </w:rPr>
            </w:pPr>
            <w:r>
              <w:rPr>
                <w:w w:val="99"/>
                <w:sz w:val="14"/>
              </w:rPr>
              <w:t>-</w:t>
            </w:r>
          </w:p>
        </w:tc>
        <w:tc>
          <w:tcPr>
            <w:tcW w:w="794" w:type="dxa"/>
            <w:tcBorders>
              <w:top w:val="single" w:sz="4" w:space="0" w:color="000000"/>
              <w:bottom w:val="single" w:sz="4" w:space="0" w:color="000000"/>
            </w:tcBorders>
          </w:tcPr>
          <w:p>
            <w:pPr>
              <w:pStyle w:val="TableParagraph"/>
              <w:spacing w:before="27"/>
              <w:ind w:right="122"/>
              <w:rPr>
                <w:i/>
                <w:sz w:val="14"/>
              </w:rPr>
            </w:pPr>
            <w:r>
              <w:rPr>
                <w:i/>
                <w:w w:val="99"/>
                <w:sz w:val="14"/>
              </w:rPr>
              <w:t>-</w:t>
            </w:r>
          </w:p>
        </w:tc>
        <w:tc>
          <w:tcPr>
            <w:tcW w:w="568" w:type="dxa"/>
            <w:tcBorders>
              <w:top w:val="single" w:sz="4" w:space="0" w:color="000000"/>
              <w:bottom w:val="single" w:sz="4" w:space="0" w:color="000000"/>
            </w:tcBorders>
          </w:tcPr>
          <w:p>
            <w:pPr>
              <w:pStyle w:val="TableParagraph"/>
              <w:spacing w:before="27"/>
              <w:ind w:right="95"/>
              <w:rPr>
                <w:sz w:val="14"/>
              </w:rPr>
            </w:pPr>
            <w:r>
              <w:rPr>
                <w:w w:val="99"/>
                <w:sz w:val="14"/>
              </w:rPr>
              <w:t>-</w:t>
            </w:r>
          </w:p>
        </w:tc>
        <w:tc>
          <w:tcPr>
            <w:tcW w:w="577" w:type="dxa"/>
            <w:tcBorders>
              <w:top w:val="single" w:sz="4" w:space="0" w:color="000000"/>
              <w:bottom w:val="single" w:sz="4" w:space="0" w:color="000000"/>
            </w:tcBorders>
          </w:tcPr>
          <w:p>
            <w:pPr>
              <w:pStyle w:val="TableParagraph"/>
              <w:spacing w:before="27"/>
              <w:ind w:right="81"/>
              <w:rPr>
                <w:sz w:val="14"/>
              </w:rPr>
            </w:pPr>
            <w:r>
              <w:rPr>
                <w:w w:val="99"/>
                <w:sz w:val="14"/>
              </w:rPr>
              <w:t>-</w:t>
            </w:r>
          </w:p>
        </w:tc>
        <w:tc>
          <w:tcPr>
            <w:tcW w:w="562" w:type="dxa"/>
            <w:tcBorders>
              <w:top w:val="single" w:sz="4" w:space="0" w:color="000000"/>
              <w:bottom w:val="single" w:sz="4" w:space="0" w:color="000000"/>
            </w:tcBorders>
          </w:tcPr>
          <w:p>
            <w:pPr>
              <w:pStyle w:val="TableParagraph"/>
              <w:spacing w:before="27"/>
              <w:ind w:right="53"/>
              <w:rPr>
                <w:sz w:val="14"/>
              </w:rPr>
            </w:pPr>
            <w:r>
              <w:rPr>
                <w:w w:val="99"/>
                <w:sz w:val="14"/>
              </w:rPr>
              <w:t>-</w:t>
            </w:r>
          </w:p>
        </w:tc>
        <w:tc>
          <w:tcPr>
            <w:tcW w:w="820" w:type="dxa"/>
            <w:tcBorders>
              <w:top w:val="single" w:sz="4" w:space="0" w:color="000000"/>
              <w:bottom w:val="single" w:sz="4" w:space="0" w:color="000000"/>
            </w:tcBorders>
          </w:tcPr>
          <w:p>
            <w:pPr>
              <w:pStyle w:val="TableParagraph"/>
              <w:spacing w:before="27"/>
              <w:ind w:right="133"/>
              <w:rPr>
                <w:i/>
                <w:sz w:val="14"/>
              </w:rPr>
            </w:pPr>
            <w:r>
              <w:rPr>
                <w:i/>
                <w:w w:val="99"/>
                <w:sz w:val="14"/>
              </w:rPr>
              <w:t>-</w:t>
            </w:r>
          </w:p>
        </w:tc>
        <w:tc>
          <w:tcPr>
            <w:tcW w:w="519" w:type="dxa"/>
            <w:tcBorders>
              <w:top w:val="single" w:sz="4" w:space="0" w:color="000000"/>
              <w:bottom w:val="single" w:sz="4" w:space="0" w:color="000000"/>
            </w:tcBorders>
          </w:tcPr>
          <w:p>
            <w:pPr>
              <w:pStyle w:val="TableParagraph"/>
              <w:spacing w:before="27"/>
              <w:ind w:right="52"/>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3"/>
              <w:ind w:left="67"/>
              <w:jc w:val="left"/>
              <w:rPr>
                <w:sz w:val="14"/>
              </w:rPr>
            </w:pPr>
            <w:r>
              <w:rPr>
                <w:spacing w:val="-2"/>
                <w:sz w:val="14"/>
              </w:rPr>
              <w:t>Reclassified</w:t>
            </w:r>
          </w:p>
        </w:tc>
        <w:tc>
          <w:tcPr>
            <w:tcW w:w="678" w:type="dxa"/>
            <w:tcBorders>
              <w:top w:val="single" w:sz="4" w:space="0" w:color="000000"/>
              <w:bottom w:val="single" w:sz="4" w:space="0" w:color="000000"/>
            </w:tcBorders>
          </w:tcPr>
          <w:p>
            <w:pPr>
              <w:pStyle w:val="TableParagraph"/>
              <w:spacing w:before="23"/>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3"/>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3"/>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3"/>
              <w:ind w:right="191"/>
              <w:rPr>
                <w:sz w:val="14"/>
              </w:rPr>
            </w:pPr>
            <w:r>
              <w:rPr>
                <w:w w:val="99"/>
                <w:sz w:val="14"/>
              </w:rPr>
              <w:t>-</w:t>
            </w:r>
          </w:p>
        </w:tc>
        <w:tc>
          <w:tcPr>
            <w:tcW w:w="581" w:type="dxa"/>
            <w:tcBorders>
              <w:top w:val="single" w:sz="4" w:space="0" w:color="000000"/>
              <w:bottom w:val="single" w:sz="4" w:space="0" w:color="000000"/>
            </w:tcBorders>
          </w:tcPr>
          <w:p>
            <w:pPr>
              <w:pStyle w:val="TableParagraph"/>
              <w:spacing w:before="23"/>
              <w:ind w:left="148"/>
              <w:jc w:val="center"/>
              <w:rPr>
                <w:sz w:val="14"/>
              </w:rPr>
            </w:pPr>
            <w:r>
              <w:rPr>
                <w:w w:val="99"/>
                <w:sz w:val="14"/>
              </w:rPr>
              <w:t>-</w:t>
            </w:r>
          </w:p>
        </w:tc>
        <w:tc>
          <w:tcPr>
            <w:tcW w:w="590" w:type="dxa"/>
            <w:tcBorders>
              <w:top w:val="single" w:sz="4" w:space="0" w:color="000000"/>
              <w:bottom w:val="single" w:sz="4" w:space="0" w:color="000000"/>
            </w:tcBorders>
          </w:tcPr>
          <w:p>
            <w:pPr>
              <w:pStyle w:val="TableParagraph"/>
              <w:spacing w:before="23"/>
              <w:ind w:right="195"/>
              <w:rPr>
                <w:sz w:val="14"/>
              </w:rPr>
            </w:pPr>
            <w:r>
              <w:rPr>
                <w:w w:val="99"/>
                <w:sz w:val="14"/>
              </w:rPr>
              <w:t>-</w:t>
            </w:r>
          </w:p>
        </w:tc>
        <w:tc>
          <w:tcPr>
            <w:tcW w:w="667" w:type="dxa"/>
            <w:tcBorders>
              <w:top w:val="single" w:sz="4" w:space="0" w:color="000000"/>
              <w:bottom w:val="single" w:sz="4" w:space="0" w:color="000000"/>
            </w:tcBorders>
          </w:tcPr>
          <w:p>
            <w:pPr>
              <w:pStyle w:val="TableParagraph"/>
              <w:spacing w:before="23"/>
              <w:ind w:right="266"/>
              <w:rPr>
                <w:sz w:val="14"/>
              </w:rPr>
            </w:pPr>
            <w:r>
              <w:rPr>
                <w:w w:val="99"/>
                <w:sz w:val="14"/>
              </w:rPr>
              <w:t>-</w:t>
            </w:r>
          </w:p>
        </w:tc>
        <w:tc>
          <w:tcPr>
            <w:tcW w:w="667" w:type="dxa"/>
            <w:tcBorders>
              <w:top w:val="single" w:sz="4" w:space="0" w:color="000000"/>
              <w:bottom w:val="single" w:sz="4" w:space="0" w:color="000000"/>
            </w:tcBorders>
          </w:tcPr>
          <w:p>
            <w:pPr>
              <w:pStyle w:val="TableParagraph"/>
              <w:spacing w:before="23"/>
              <w:ind w:right="194"/>
              <w:rPr>
                <w:sz w:val="14"/>
              </w:rPr>
            </w:pPr>
            <w:r>
              <w:rPr>
                <w:w w:val="99"/>
                <w:sz w:val="14"/>
              </w:rPr>
              <w:t>-</w:t>
            </w:r>
          </w:p>
        </w:tc>
        <w:tc>
          <w:tcPr>
            <w:tcW w:w="465" w:type="dxa"/>
            <w:tcBorders>
              <w:top w:val="single" w:sz="4" w:space="0" w:color="000000"/>
              <w:bottom w:val="single" w:sz="4" w:space="0" w:color="000000"/>
            </w:tcBorders>
          </w:tcPr>
          <w:p>
            <w:pPr>
              <w:pStyle w:val="TableParagraph"/>
              <w:spacing w:before="23"/>
              <w:ind w:right="63"/>
              <w:rPr>
                <w:sz w:val="14"/>
              </w:rPr>
            </w:pPr>
            <w:r>
              <w:rPr>
                <w:w w:val="99"/>
                <w:sz w:val="14"/>
              </w:rPr>
              <w:t>-</w:t>
            </w:r>
          </w:p>
        </w:tc>
        <w:tc>
          <w:tcPr>
            <w:tcW w:w="794" w:type="dxa"/>
            <w:tcBorders>
              <w:top w:val="single" w:sz="4" w:space="0" w:color="000000"/>
              <w:bottom w:val="single" w:sz="4" w:space="0" w:color="000000"/>
            </w:tcBorders>
          </w:tcPr>
          <w:p>
            <w:pPr>
              <w:pStyle w:val="TableParagraph"/>
              <w:spacing w:before="23"/>
              <w:ind w:right="122"/>
              <w:rPr>
                <w:i/>
                <w:sz w:val="14"/>
              </w:rPr>
            </w:pPr>
            <w:r>
              <w:rPr>
                <w:i/>
                <w:w w:val="99"/>
                <w:sz w:val="14"/>
              </w:rPr>
              <w:t>-</w:t>
            </w:r>
          </w:p>
        </w:tc>
        <w:tc>
          <w:tcPr>
            <w:tcW w:w="568" w:type="dxa"/>
            <w:tcBorders>
              <w:top w:val="single" w:sz="4" w:space="0" w:color="000000"/>
              <w:bottom w:val="single" w:sz="4" w:space="0" w:color="000000"/>
            </w:tcBorders>
          </w:tcPr>
          <w:p>
            <w:pPr>
              <w:pStyle w:val="TableParagraph"/>
              <w:spacing w:before="23"/>
              <w:ind w:right="95"/>
              <w:rPr>
                <w:sz w:val="14"/>
              </w:rPr>
            </w:pPr>
            <w:r>
              <w:rPr>
                <w:w w:val="99"/>
                <w:sz w:val="14"/>
              </w:rPr>
              <w:t>-</w:t>
            </w:r>
          </w:p>
        </w:tc>
        <w:tc>
          <w:tcPr>
            <w:tcW w:w="577" w:type="dxa"/>
            <w:tcBorders>
              <w:top w:val="single" w:sz="4" w:space="0" w:color="000000"/>
              <w:bottom w:val="single" w:sz="4" w:space="0" w:color="000000"/>
            </w:tcBorders>
          </w:tcPr>
          <w:p>
            <w:pPr>
              <w:pStyle w:val="TableParagraph"/>
              <w:spacing w:before="23"/>
              <w:ind w:right="81"/>
              <w:rPr>
                <w:sz w:val="14"/>
              </w:rPr>
            </w:pPr>
            <w:r>
              <w:rPr>
                <w:w w:val="99"/>
                <w:sz w:val="14"/>
              </w:rPr>
              <w:t>-</w:t>
            </w:r>
          </w:p>
        </w:tc>
        <w:tc>
          <w:tcPr>
            <w:tcW w:w="562" w:type="dxa"/>
            <w:tcBorders>
              <w:top w:val="single" w:sz="4" w:space="0" w:color="000000"/>
              <w:bottom w:val="single" w:sz="4" w:space="0" w:color="000000"/>
            </w:tcBorders>
          </w:tcPr>
          <w:p>
            <w:pPr>
              <w:pStyle w:val="TableParagraph"/>
              <w:spacing w:before="23"/>
              <w:ind w:right="53"/>
              <w:rPr>
                <w:sz w:val="14"/>
              </w:rPr>
            </w:pPr>
            <w:r>
              <w:rPr>
                <w:w w:val="99"/>
                <w:sz w:val="14"/>
              </w:rPr>
              <w:t>-</w:t>
            </w:r>
          </w:p>
        </w:tc>
        <w:tc>
          <w:tcPr>
            <w:tcW w:w="820" w:type="dxa"/>
            <w:tcBorders>
              <w:top w:val="single" w:sz="4" w:space="0" w:color="000000"/>
              <w:bottom w:val="single" w:sz="4" w:space="0" w:color="000000"/>
            </w:tcBorders>
          </w:tcPr>
          <w:p>
            <w:pPr>
              <w:pStyle w:val="TableParagraph"/>
              <w:spacing w:before="23"/>
              <w:ind w:right="133"/>
              <w:rPr>
                <w:i/>
                <w:sz w:val="14"/>
              </w:rPr>
            </w:pPr>
            <w:r>
              <w:rPr>
                <w:i/>
                <w:w w:val="99"/>
                <w:sz w:val="14"/>
              </w:rPr>
              <w:t>-</w:t>
            </w:r>
          </w:p>
        </w:tc>
        <w:tc>
          <w:tcPr>
            <w:tcW w:w="519" w:type="dxa"/>
            <w:tcBorders>
              <w:top w:val="single" w:sz="4" w:space="0" w:color="000000"/>
              <w:bottom w:val="single" w:sz="4" w:space="0" w:color="000000"/>
            </w:tcBorders>
          </w:tcPr>
          <w:p>
            <w:pPr>
              <w:pStyle w:val="TableParagraph"/>
              <w:spacing w:before="23"/>
              <w:ind w:right="52"/>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7"/>
              <w:ind w:left="67"/>
              <w:jc w:val="left"/>
              <w:rPr>
                <w:sz w:val="14"/>
              </w:rPr>
            </w:pPr>
            <w:r>
              <w:rPr>
                <w:spacing w:val="-2"/>
                <w:sz w:val="14"/>
              </w:rPr>
              <w:t>Converted</w:t>
            </w:r>
          </w:p>
        </w:tc>
        <w:tc>
          <w:tcPr>
            <w:tcW w:w="678" w:type="dxa"/>
            <w:tcBorders>
              <w:top w:val="single" w:sz="4" w:space="0" w:color="000000"/>
              <w:bottom w:val="single" w:sz="4" w:space="0" w:color="000000"/>
            </w:tcBorders>
          </w:tcPr>
          <w:p>
            <w:pPr>
              <w:pStyle w:val="TableParagraph"/>
              <w:spacing w:before="27"/>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7"/>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7"/>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7"/>
              <w:ind w:right="191"/>
              <w:rPr>
                <w:sz w:val="14"/>
              </w:rPr>
            </w:pPr>
            <w:r>
              <w:rPr>
                <w:w w:val="99"/>
                <w:sz w:val="14"/>
              </w:rPr>
              <w:t>-</w:t>
            </w:r>
          </w:p>
        </w:tc>
        <w:tc>
          <w:tcPr>
            <w:tcW w:w="581" w:type="dxa"/>
            <w:tcBorders>
              <w:top w:val="single" w:sz="4" w:space="0" w:color="000000"/>
              <w:bottom w:val="single" w:sz="4" w:space="0" w:color="000000"/>
            </w:tcBorders>
          </w:tcPr>
          <w:p>
            <w:pPr>
              <w:pStyle w:val="TableParagraph"/>
              <w:spacing w:before="27"/>
              <w:ind w:left="148"/>
              <w:jc w:val="center"/>
              <w:rPr>
                <w:sz w:val="14"/>
              </w:rPr>
            </w:pPr>
            <w:r>
              <w:rPr>
                <w:w w:val="99"/>
                <w:sz w:val="14"/>
              </w:rPr>
              <w:t>-</w:t>
            </w:r>
          </w:p>
        </w:tc>
        <w:tc>
          <w:tcPr>
            <w:tcW w:w="590" w:type="dxa"/>
            <w:tcBorders>
              <w:top w:val="single" w:sz="4" w:space="0" w:color="000000"/>
              <w:bottom w:val="single" w:sz="4" w:space="0" w:color="000000"/>
            </w:tcBorders>
          </w:tcPr>
          <w:p>
            <w:pPr>
              <w:pStyle w:val="TableParagraph"/>
              <w:spacing w:before="27"/>
              <w:ind w:right="195"/>
              <w:rPr>
                <w:sz w:val="14"/>
              </w:rPr>
            </w:pPr>
            <w:r>
              <w:rPr>
                <w:w w:val="99"/>
                <w:sz w:val="14"/>
              </w:rPr>
              <w:t>-</w:t>
            </w:r>
          </w:p>
        </w:tc>
        <w:tc>
          <w:tcPr>
            <w:tcW w:w="667" w:type="dxa"/>
            <w:tcBorders>
              <w:top w:val="single" w:sz="4" w:space="0" w:color="000000"/>
              <w:bottom w:val="single" w:sz="4" w:space="0" w:color="000000"/>
            </w:tcBorders>
          </w:tcPr>
          <w:p>
            <w:pPr>
              <w:pStyle w:val="TableParagraph"/>
              <w:spacing w:before="27"/>
              <w:ind w:right="266"/>
              <w:rPr>
                <w:sz w:val="14"/>
              </w:rPr>
            </w:pPr>
            <w:r>
              <w:rPr>
                <w:w w:val="99"/>
                <w:sz w:val="14"/>
              </w:rPr>
              <w:t>-</w:t>
            </w:r>
          </w:p>
        </w:tc>
        <w:tc>
          <w:tcPr>
            <w:tcW w:w="667" w:type="dxa"/>
            <w:tcBorders>
              <w:top w:val="single" w:sz="4" w:space="0" w:color="000000"/>
              <w:bottom w:val="single" w:sz="4" w:space="0" w:color="000000"/>
            </w:tcBorders>
          </w:tcPr>
          <w:p>
            <w:pPr>
              <w:pStyle w:val="TableParagraph"/>
              <w:spacing w:before="27"/>
              <w:ind w:right="194"/>
              <w:rPr>
                <w:sz w:val="14"/>
              </w:rPr>
            </w:pPr>
            <w:r>
              <w:rPr>
                <w:w w:val="99"/>
                <w:sz w:val="14"/>
              </w:rPr>
              <w:t>-</w:t>
            </w:r>
          </w:p>
        </w:tc>
        <w:tc>
          <w:tcPr>
            <w:tcW w:w="465" w:type="dxa"/>
            <w:tcBorders>
              <w:top w:val="single" w:sz="4" w:space="0" w:color="000000"/>
              <w:bottom w:val="single" w:sz="4" w:space="0" w:color="000000"/>
            </w:tcBorders>
          </w:tcPr>
          <w:p>
            <w:pPr>
              <w:pStyle w:val="TableParagraph"/>
              <w:spacing w:before="27"/>
              <w:ind w:right="63"/>
              <w:rPr>
                <w:sz w:val="14"/>
              </w:rPr>
            </w:pPr>
            <w:r>
              <w:rPr>
                <w:w w:val="99"/>
                <w:sz w:val="14"/>
              </w:rPr>
              <w:t>-</w:t>
            </w:r>
          </w:p>
        </w:tc>
        <w:tc>
          <w:tcPr>
            <w:tcW w:w="794" w:type="dxa"/>
            <w:tcBorders>
              <w:top w:val="single" w:sz="4" w:space="0" w:color="000000"/>
              <w:bottom w:val="single" w:sz="4" w:space="0" w:color="000000"/>
            </w:tcBorders>
          </w:tcPr>
          <w:p>
            <w:pPr>
              <w:pStyle w:val="TableParagraph"/>
              <w:spacing w:before="27"/>
              <w:ind w:right="122"/>
              <w:rPr>
                <w:i/>
                <w:sz w:val="14"/>
              </w:rPr>
            </w:pPr>
            <w:r>
              <w:rPr>
                <w:i/>
                <w:w w:val="99"/>
                <w:sz w:val="14"/>
              </w:rPr>
              <w:t>-</w:t>
            </w:r>
          </w:p>
        </w:tc>
        <w:tc>
          <w:tcPr>
            <w:tcW w:w="568" w:type="dxa"/>
            <w:tcBorders>
              <w:top w:val="single" w:sz="4" w:space="0" w:color="000000"/>
              <w:bottom w:val="single" w:sz="4" w:space="0" w:color="000000"/>
            </w:tcBorders>
          </w:tcPr>
          <w:p>
            <w:pPr>
              <w:pStyle w:val="TableParagraph"/>
              <w:spacing w:before="27"/>
              <w:ind w:right="95"/>
              <w:rPr>
                <w:sz w:val="14"/>
              </w:rPr>
            </w:pPr>
            <w:r>
              <w:rPr>
                <w:w w:val="99"/>
                <w:sz w:val="14"/>
              </w:rPr>
              <w:t>-</w:t>
            </w:r>
          </w:p>
        </w:tc>
        <w:tc>
          <w:tcPr>
            <w:tcW w:w="577" w:type="dxa"/>
            <w:tcBorders>
              <w:top w:val="single" w:sz="4" w:space="0" w:color="000000"/>
              <w:bottom w:val="single" w:sz="4" w:space="0" w:color="000000"/>
            </w:tcBorders>
          </w:tcPr>
          <w:p>
            <w:pPr>
              <w:pStyle w:val="TableParagraph"/>
              <w:spacing w:before="27"/>
              <w:ind w:right="81"/>
              <w:rPr>
                <w:sz w:val="14"/>
              </w:rPr>
            </w:pPr>
            <w:r>
              <w:rPr>
                <w:w w:val="99"/>
                <w:sz w:val="14"/>
              </w:rPr>
              <w:t>-</w:t>
            </w:r>
          </w:p>
        </w:tc>
        <w:tc>
          <w:tcPr>
            <w:tcW w:w="562" w:type="dxa"/>
            <w:tcBorders>
              <w:top w:val="single" w:sz="4" w:space="0" w:color="000000"/>
              <w:bottom w:val="single" w:sz="4" w:space="0" w:color="000000"/>
            </w:tcBorders>
          </w:tcPr>
          <w:p>
            <w:pPr>
              <w:pStyle w:val="TableParagraph"/>
              <w:spacing w:before="27"/>
              <w:ind w:right="53"/>
              <w:rPr>
                <w:sz w:val="14"/>
              </w:rPr>
            </w:pPr>
            <w:r>
              <w:rPr>
                <w:w w:val="99"/>
                <w:sz w:val="14"/>
              </w:rPr>
              <w:t>-</w:t>
            </w:r>
          </w:p>
        </w:tc>
        <w:tc>
          <w:tcPr>
            <w:tcW w:w="820" w:type="dxa"/>
            <w:tcBorders>
              <w:top w:val="single" w:sz="4" w:space="0" w:color="000000"/>
              <w:bottom w:val="single" w:sz="4" w:space="0" w:color="000000"/>
            </w:tcBorders>
          </w:tcPr>
          <w:p>
            <w:pPr>
              <w:pStyle w:val="TableParagraph"/>
              <w:spacing w:before="27"/>
              <w:ind w:right="133"/>
              <w:rPr>
                <w:i/>
                <w:sz w:val="14"/>
              </w:rPr>
            </w:pPr>
            <w:r>
              <w:rPr>
                <w:i/>
                <w:w w:val="99"/>
                <w:sz w:val="14"/>
              </w:rPr>
              <w:t>-</w:t>
            </w:r>
          </w:p>
        </w:tc>
        <w:tc>
          <w:tcPr>
            <w:tcW w:w="519" w:type="dxa"/>
            <w:tcBorders>
              <w:top w:val="single" w:sz="4" w:space="0" w:color="000000"/>
              <w:bottom w:val="single" w:sz="4" w:space="0" w:color="000000"/>
            </w:tcBorders>
          </w:tcPr>
          <w:p>
            <w:pPr>
              <w:pStyle w:val="TableParagraph"/>
              <w:spacing w:before="27"/>
              <w:ind w:right="52"/>
              <w:rPr>
                <w:b/>
                <w:sz w:val="14"/>
              </w:rPr>
            </w:pPr>
            <w:r>
              <w:rPr>
                <w:b/>
                <w:w w:val="99"/>
                <w:sz w:val="14"/>
              </w:rPr>
              <w:t>-</w:t>
            </w:r>
          </w:p>
        </w:tc>
      </w:tr>
      <w:tr>
        <w:trPr>
          <w:trHeight w:val="230" w:hRule="atLeast"/>
        </w:trPr>
        <w:tc>
          <w:tcPr>
            <w:tcW w:w="1186" w:type="dxa"/>
            <w:tcBorders>
              <w:top w:val="single" w:sz="4" w:space="0" w:color="000000"/>
              <w:bottom w:val="single" w:sz="12" w:space="0" w:color="000000"/>
            </w:tcBorders>
          </w:tcPr>
          <w:p>
            <w:pPr>
              <w:pStyle w:val="TableParagraph"/>
              <w:spacing w:before="28"/>
              <w:ind w:left="67"/>
              <w:jc w:val="left"/>
              <w:rPr>
                <w:b/>
                <w:sz w:val="14"/>
              </w:rPr>
            </w:pPr>
            <w:r>
              <w:rPr>
                <w:b/>
                <w:sz w:val="14"/>
              </w:rPr>
              <w:t>Proposed</w:t>
            </w:r>
            <w:r>
              <w:rPr>
                <w:b/>
                <w:spacing w:val="-6"/>
                <w:sz w:val="14"/>
              </w:rPr>
              <w:t> </w:t>
            </w:r>
            <w:r>
              <w:rPr>
                <w:b/>
                <w:spacing w:val="-4"/>
                <w:sz w:val="14"/>
              </w:rPr>
              <w:t>2023</w:t>
            </w:r>
          </w:p>
        </w:tc>
        <w:tc>
          <w:tcPr>
            <w:tcW w:w="678" w:type="dxa"/>
            <w:tcBorders>
              <w:top w:val="single" w:sz="4" w:space="0" w:color="000000"/>
              <w:bottom w:val="single" w:sz="12" w:space="0" w:color="000000"/>
            </w:tcBorders>
          </w:tcPr>
          <w:p>
            <w:pPr>
              <w:pStyle w:val="TableParagraph"/>
              <w:spacing w:before="28"/>
              <w:ind w:right="154"/>
              <w:rPr>
                <w:b/>
                <w:sz w:val="14"/>
              </w:rPr>
            </w:pPr>
            <w:r>
              <w:rPr>
                <w:b/>
                <w:w w:val="99"/>
                <w:sz w:val="14"/>
              </w:rPr>
              <w:t>-</w:t>
            </w:r>
          </w:p>
        </w:tc>
        <w:tc>
          <w:tcPr>
            <w:tcW w:w="607" w:type="dxa"/>
            <w:tcBorders>
              <w:top w:val="single" w:sz="4" w:space="0" w:color="000000"/>
              <w:bottom w:val="single" w:sz="12" w:space="0" w:color="000000"/>
            </w:tcBorders>
          </w:tcPr>
          <w:p>
            <w:pPr>
              <w:pStyle w:val="TableParagraph"/>
              <w:spacing w:before="28"/>
              <w:ind w:right="170"/>
              <w:rPr>
                <w:b/>
                <w:sz w:val="14"/>
              </w:rPr>
            </w:pPr>
            <w:r>
              <w:rPr>
                <w:b/>
                <w:w w:val="99"/>
                <w:sz w:val="14"/>
              </w:rPr>
              <w:t>-</w:t>
            </w:r>
          </w:p>
        </w:tc>
        <w:tc>
          <w:tcPr>
            <w:tcW w:w="563" w:type="dxa"/>
            <w:tcBorders>
              <w:top w:val="single" w:sz="4" w:space="0" w:color="000000"/>
              <w:bottom w:val="single" w:sz="12" w:space="0" w:color="000000"/>
            </w:tcBorders>
          </w:tcPr>
          <w:p>
            <w:pPr>
              <w:pStyle w:val="TableParagraph"/>
              <w:spacing w:before="28"/>
              <w:ind w:right="171"/>
              <w:rPr>
                <w:b/>
                <w:sz w:val="14"/>
              </w:rPr>
            </w:pPr>
            <w:r>
              <w:rPr>
                <w:b/>
                <w:w w:val="99"/>
                <w:sz w:val="14"/>
              </w:rPr>
              <w:t>-</w:t>
            </w:r>
          </w:p>
        </w:tc>
        <w:tc>
          <w:tcPr>
            <w:tcW w:w="581" w:type="dxa"/>
            <w:tcBorders>
              <w:top w:val="single" w:sz="4" w:space="0" w:color="000000"/>
              <w:bottom w:val="single" w:sz="12" w:space="0" w:color="000000"/>
            </w:tcBorders>
          </w:tcPr>
          <w:p>
            <w:pPr>
              <w:pStyle w:val="TableParagraph"/>
              <w:spacing w:before="28"/>
              <w:ind w:right="191"/>
              <w:rPr>
                <w:b/>
                <w:sz w:val="14"/>
              </w:rPr>
            </w:pPr>
            <w:r>
              <w:rPr>
                <w:b/>
                <w:w w:val="99"/>
                <w:sz w:val="14"/>
              </w:rPr>
              <w:t>-</w:t>
            </w:r>
          </w:p>
        </w:tc>
        <w:tc>
          <w:tcPr>
            <w:tcW w:w="581" w:type="dxa"/>
            <w:tcBorders>
              <w:top w:val="single" w:sz="4" w:space="0" w:color="000000"/>
              <w:bottom w:val="single" w:sz="12" w:space="0" w:color="000000"/>
            </w:tcBorders>
          </w:tcPr>
          <w:p>
            <w:pPr>
              <w:pStyle w:val="TableParagraph"/>
              <w:spacing w:before="28"/>
              <w:ind w:left="148"/>
              <w:jc w:val="center"/>
              <w:rPr>
                <w:b/>
                <w:sz w:val="14"/>
              </w:rPr>
            </w:pPr>
            <w:r>
              <w:rPr>
                <w:b/>
                <w:w w:val="99"/>
                <w:sz w:val="14"/>
              </w:rPr>
              <w:t>-</w:t>
            </w:r>
          </w:p>
        </w:tc>
        <w:tc>
          <w:tcPr>
            <w:tcW w:w="590" w:type="dxa"/>
            <w:tcBorders>
              <w:top w:val="single" w:sz="4" w:space="0" w:color="000000"/>
              <w:bottom w:val="single" w:sz="12" w:space="0" w:color="000000"/>
            </w:tcBorders>
          </w:tcPr>
          <w:p>
            <w:pPr>
              <w:pStyle w:val="TableParagraph"/>
              <w:spacing w:before="28"/>
              <w:ind w:right="195"/>
              <w:rPr>
                <w:b/>
                <w:sz w:val="14"/>
              </w:rPr>
            </w:pPr>
            <w:r>
              <w:rPr>
                <w:b/>
                <w:w w:val="99"/>
                <w:sz w:val="14"/>
              </w:rPr>
              <w:t>-</w:t>
            </w:r>
          </w:p>
        </w:tc>
        <w:tc>
          <w:tcPr>
            <w:tcW w:w="667" w:type="dxa"/>
            <w:tcBorders>
              <w:top w:val="single" w:sz="4" w:space="0" w:color="000000"/>
              <w:bottom w:val="single" w:sz="12" w:space="0" w:color="000000"/>
            </w:tcBorders>
          </w:tcPr>
          <w:p>
            <w:pPr>
              <w:pStyle w:val="TableParagraph"/>
              <w:spacing w:before="28"/>
              <w:ind w:right="266"/>
              <w:rPr>
                <w:b/>
                <w:sz w:val="14"/>
              </w:rPr>
            </w:pPr>
            <w:r>
              <w:rPr>
                <w:b/>
                <w:w w:val="99"/>
                <w:sz w:val="14"/>
              </w:rPr>
              <w:t>-</w:t>
            </w:r>
          </w:p>
        </w:tc>
        <w:tc>
          <w:tcPr>
            <w:tcW w:w="667" w:type="dxa"/>
            <w:tcBorders>
              <w:top w:val="single" w:sz="4" w:space="0" w:color="000000"/>
              <w:bottom w:val="single" w:sz="12" w:space="0" w:color="000000"/>
            </w:tcBorders>
          </w:tcPr>
          <w:p>
            <w:pPr>
              <w:pStyle w:val="TableParagraph"/>
              <w:spacing w:before="28"/>
              <w:ind w:right="194"/>
              <w:rPr>
                <w:b/>
                <w:sz w:val="14"/>
              </w:rPr>
            </w:pPr>
            <w:r>
              <w:rPr>
                <w:b/>
                <w:w w:val="99"/>
                <w:sz w:val="14"/>
              </w:rPr>
              <w:t>-</w:t>
            </w:r>
          </w:p>
        </w:tc>
        <w:tc>
          <w:tcPr>
            <w:tcW w:w="465" w:type="dxa"/>
            <w:tcBorders>
              <w:top w:val="single" w:sz="4" w:space="0" w:color="000000"/>
              <w:bottom w:val="single" w:sz="12" w:space="0" w:color="000000"/>
            </w:tcBorders>
          </w:tcPr>
          <w:p>
            <w:pPr>
              <w:pStyle w:val="TableParagraph"/>
              <w:spacing w:before="28"/>
              <w:ind w:right="63"/>
              <w:rPr>
                <w:b/>
                <w:sz w:val="14"/>
              </w:rPr>
            </w:pPr>
            <w:r>
              <w:rPr>
                <w:b/>
                <w:w w:val="99"/>
                <w:sz w:val="14"/>
              </w:rPr>
              <w:t>-</w:t>
            </w:r>
          </w:p>
        </w:tc>
        <w:tc>
          <w:tcPr>
            <w:tcW w:w="794" w:type="dxa"/>
            <w:tcBorders>
              <w:top w:val="single" w:sz="4" w:space="0" w:color="000000"/>
              <w:bottom w:val="single" w:sz="12" w:space="0" w:color="000000"/>
            </w:tcBorders>
          </w:tcPr>
          <w:p>
            <w:pPr>
              <w:pStyle w:val="TableParagraph"/>
              <w:spacing w:before="28"/>
              <w:ind w:right="122"/>
              <w:rPr>
                <w:b/>
                <w:i/>
                <w:sz w:val="14"/>
              </w:rPr>
            </w:pPr>
            <w:r>
              <w:rPr>
                <w:b/>
                <w:i/>
                <w:w w:val="99"/>
                <w:sz w:val="14"/>
              </w:rPr>
              <w:t>-</w:t>
            </w:r>
          </w:p>
        </w:tc>
        <w:tc>
          <w:tcPr>
            <w:tcW w:w="568" w:type="dxa"/>
            <w:tcBorders>
              <w:top w:val="single" w:sz="4" w:space="0" w:color="000000"/>
              <w:bottom w:val="single" w:sz="12" w:space="0" w:color="000000"/>
            </w:tcBorders>
          </w:tcPr>
          <w:p>
            <w:pPr>
              <w:pStyle w:val="TableParagraph"/>
              <w:spacing w:before="28"/>
              <w:ind w:right="95"/>
              <w:rPr>
                <w:b/>
                <w:sz w:val="14"/>
              </w:rPr>
            </w:pPr>
            <w:r>
              <w:rPr>
                <w:b/>
                <w:w w:val="99"/>
                <w:sz w:val="14"/>
              </w:rPr>
              <w:t>-</w:t>
            </w:r>
          </w:p>
        </w:tc>
        <w:tc>
          <w:tcPr>
            <w:tcW w:w="577" w:type="dxa"/>
            <w:tcBorders>
              <w:top w:val="single" w:sz="4" w:space="0" w:color="000000"/>
              <w:bottom w:val="single" w:sz="12" w:space="0" w:color="000000"/>
            </w:tcBorders>
          </w:tcPr>
          <w:p>
            <w:pPr>
              <w:pStyle w:val="TableParagraph"/>
              <w:spacing w:before="28"/>
              <w:ind w:right="81"/>
              <w:rPr>
                <w:b/>
                <w:sz w:val="14"/>
              </w:rPr>
            </w:pPr>
            <w:r>
              <w:rPr>
                <w:b/>
                <w:w w:val="99"/>
                <w:sz w:val="14"/>
              </w:rPr>
              <w:t>-</w:t>
            </w:r>
          </w:p>
        </w:tc>
        <w:tc>
          <w:tcPr>
            <w:tcW w:w="562" w:type="dxa"/>
            <w:tcBorders>
              <w:top w:val="single" w:sz="4" w:space="0" w:color="000000"/>
              <w:bottom w:val="single" w:sz="12" w:space="0" w:color="000000"/>
            </w:tcBorders>
          </w:tcPr>
          <w:p>
            <w:pPr>
              <w:pStyle w:val="TableParagraph"/>
              <w:spacing w:before="28"/>
              <w:ind w:right="53"/>
              <w:rPr>
                <w:b/>
                <w:sz w:val="14"/>
              </w:rPr>
            </w:pPr>
            <w:r>
              <w:rPr>
                <w:b/>
                <w:w w:val="99"/>
                <w:sz w:val="14"/>
              </w:rPr>
              <w:t>-</w:t>
            </w:r>
          </w:p>
        </w:tc>
        <w:tc>
          <w:tcPr>
            <w:tcW w:w="820" w:type="dxa"/>
            <w:tcBorders>
              <w:top w:val="single" w:sz="4" w:space="0" w:color="000000"/>
              <w:bottom w:val="single" w:sz="12" w:space="0" w:color="000000"/>
            </w:tcBorders>
          </w:tcPr>
          <w:p>
            <w:pPr>
              <w:pStyle w:val="TableParagraph"/>
              <w:spacing w:before="28"/>
              <w:ind w:right="133"/>
              <w:rPr>
                <w:b/>
                <w:i/>
                <w:sz w:val="14"/>
              </w:rPr>
            </w:pPr>
            <w:r>
              <w:rPr>
                <w:b/>
                <w:i/>
                <w:w w:val="99"/>
                <w:sz w:val="14"/>
              </w:rPr>
              <w:t>-</w:t>
            </w:r>
          </w:p>
        </w:tc>
        <w:tc>
          <w:tcPr>
            <w:tcW w:w="519" w:type="dxa"/>
            <w:tcBorders>
              <w:top w:val="single" w:sz="4" w:space="0" w:color="000000"/>
              <w:bottom w:val="single" w:sz="12" w:space="0" w:color="000000"/>
            </w:tcBorders>
          </w:tcPr>
          <w:p>
            <w:pPr>
              <w:pStyle w:val="TableParagraph"/>
              <w:spacing w:before="28"/>
              <w:ind w:right="52"/>
              <w:rPr>
                <w:b/>
                <w:sz w:val="14"/>
              </w:rPr>
            </w:pPr>
            <w:r>
              <w:rPr>
                <w:b/>
                <w:w w:val="99"/>
                <w:sz w:val="14"/>
              </w:rPr>
              <w:t>-</w:t>
            </w:r>
          </w:p>
        </w:tc>
      </w:tr>
    </w:tbl>
    <w:p>
      <w:pPr>
        <w:spacing w:after="0"/>
        <w:rPr>
          <w:sz w:val="14"/>
        </w:rPr>
        <w:sectPr>
          <w:type w:val="continuous"/>
          <w:pgSz w:w="11910" w:h="16840"/>
          <w:pgMar w:header="953" w:footer="940" w:top="1240" w:bottom="1140" w:left="20" w:right="20"/>
        </w:sectPr>
      </w:pPr>
    </w:p>
    <w:p>
      <w:pPr>
        <w:pStyle w:val="ListParagraph"/>
        <w:numPr>
          <w:ilvl w:val="0"/>
          <w:numId w:val="5"/>
        </w:numPr>
        <w:tabs>
          <w:tab w:pos="2246" w:val="left" w:leader="none"/>
          <w:tab w:pos="2247" w:val="left" w:leader="none"/>
        </w:tabs>
        <w:spacing w:line="491" w:lineRule="auto" w:before="124" w:after="0"/>
        <w:ind w:left="2246" w:right="7134" w:hanging="567"/>
        <w:jc w:val="left"/>
        <w:rPr>
          <w:b/>
          <w:sz w:val="20"/>
        </w:rPr>
      </w:pPr>
      <w:bookmarkStart w:name="_bookmark18" w:id="19"/>
      <w:bookmarkEnd w:id="19"/>
      <w:r>
        <w:rPr>
          <w:b/>
          <w:sz w:val="20"/>
        </w:rPr>
        <w:t>P</w:t>
      </w:r>
      <w:r>
        <w:rPr>
          <w:b/>
          <w:sz w:val="20"/>
        </w:rPr>
        <w:t>rogramme</w:t>
      </w:r>
      <w:r>
        <w:rPr>
          <w:b/>
          <w:spacing w:val="-13"/>
          <w:sz w:val="20"/>
        </w:rPr>
        <w:t> </w:t>
      </w:r>
      <w:r>
        <w:rPr>
          <w:b/>
          <w:sz w:val="20"/>
        </w:rPr>
        <w:t>1200:</w:t>
      </w:r>
      <w:r>
        <w:rPr>
          <w:b/>
          <w:spacing w:val="-12"/>
          <w:sz w:val="20"/>
        </w:rPr>
        <w:t> </w:t>
      </w:r>
      <w:r>
        <w:rPr>
          <w:b/>
          <w:sz w:val="20"/>
        </w:rPr>
        <w:t>Chambers </w:t>
      </w:r>
      <w:r>
        <w:rPr>
          <w:b/>
          <w:spacing w:val="-2"/>
          <w:sz w:val="20"/>
        </w:rPr>
        <w:t>Introduction</w:t>
      </w:r>
    </w:p>
    <w:p>
      <w:pPr>
        <w:pStyle w:val="ListParagraph"/>
        <w:numPr>
          <w:ilvl w:val="0"/>
          <w:numId w:val="4"/>
        </w:numPr>
        <w:tabs>
          <w:tab w:pos="2967" w:val="left" w:leader="none"/>
        </w:tabs>
        <w:spacing w:line="240" w:lineRule="auto" w:before="0" w:after="0"/>
        <w:ind w:left="2246" w:right="2238" w:firstLine="0"/>
        <w:jc w:val="both"/>
        <w:rPr>
          <w:sz w:val="20"/>
        </w:rPr>
      </w:pPr>
      <w:bookmarkStart w:name="_bookmark19" w:id="20"/>
      <w:bookmarkEnd w:id="20"/>
      <w:r>
        <w:rPr>
          <w:sz w:val="20"/>
        </w:rPr>
        <w:t>T</w:t>
      </w:r>
      <w:r>
        <w:rPr>
          <w:sz w:val="20"/>
        </w:rPr>
        <w:t>he Chambers form the judicial organ of the Court.</w:t>
      </w:r>
      <w:r>
        <w:rPr>
          <w:sz w:val="20"/>
          <w:vertAlign w:val="superscript"/>
        </w:rPr>
        <w:t>14</w:t>
      </w:r>
      <w:r>
        <w:rPr>
          <w:sz w:val="20"/>
          <w:vertAlign w:val="baseline"/>
        </w:rPr>
        <w:t> As mandated by the Rome Statute, the main role of the Chambers is to ensure that the proceedings are “fair and expeditious”</w:t>
      </w:r>
      <w:r>
        <w:rPr>
          <w:spacing w:val="-11"/>
          <w:sz w:val="20"/>
          <w:vertAlign w:val="baseline"/>
        </w:rPr>
        <w:t> </w:t>
      </w:r>
      <w:r>
        <w:rPr>
          <w:sz w:val="20"/>
          <w:vertAlign w:val="baseline"/>
        </w:rPr>
        <w:t>and</w:t>
      </w:r>
      <w:r>
        <w:rPr>
          <w:spacing w:val="-8"/>
          <w:sz w:val="20"/>
          <w:vertAlign w:val="baseline"/>
        </w:rPr>
        <w:t> </w:t>
      </w:r>
      <w:r>
        <w:rPr>
          <w:sz w:val="20"/>
          <w:vertAlign w:val="baseline"/>
        </w:rPr>
        <w:t>“conducted</w:t>
      </w:r>
      <w:r>
        <w:rPr>
          <w:spacing w:val="-8"/>
          <w:sz w:val="20"/>
          <w:vertAlign w:val="baseline"/>
        </w:rPr>
        <w:t> </w:t>
      </w:r>
      <w:r>
        <w:rPr>
          <w:sz w:val="20"/>
          <w:vertAlign w:val="baseline"/>
        </w:rPr>
        <w:t>with</w:t>
      </w:r>
      <w:r>
        <w:rPr>
          <w:spacing w:val="-8"/>
          <w:sz w:val="20"/>
          <w:vertAlign w:val="baseline"/>
        </w:rPr>
        <w:t> </w:t>
      </w:r>
      <w:r>
        <w:rPr>
          <w:sz w:val="20"/>
          <w:vertAlign w:val="baseline"/>
        </w:rPr>
        <w:t>full</w:t>
      </w:r>
      <w:r>
        <w:rPr>
          <w:spacing w:val="-7"/>
          <w:sz w:val="20"/>
          <w:vertAlign w:val="baseline"/>
        </w:rPr>
        <w:t> </w:t>
      </w:r>
      <w:r>
        <w:rPr>
          <w:sz w:val="20"/>
          <w:vertAlign w:val="baseline"/>
        </w:rPr>
        <w:t>respect</w:t>
      </w:r>
      <w:r>
        <w:rPr>
          <w:spacing w:val="-7"/>
          <w:sz w:val="20"/>
          <w:vertAlign w:val="baseline"/>
        </w:rPr>
        <w:t> </w:t>
      </w:r>
      <w:r>
        <w:rPr>
          <w:sz w:val="20"/>
          <w:vertAlign w:val="baseline"/>
        </w:rPr>
        <w:t>for</w:t>
      </w:r>
      <w:r>
        <w:rPr>
          <w:spacing w:val="-8"/>
          <w:sz w:val="20"/>
          <w:vertAlign w:val="baseline"/>
        </w:rPr>
        <w:t> </w:t>
      </w:r>
      <w:r>
        <w:rPr>
          <w:sz w:val="20"/>
          <w:vertAlign w:val="baseline"/>
        </w:rPr>
        <w:t>the</w:t>
      </w:r>
      <w:r>
        <w:rPr>
          <w:spacing w:val="-2"/>
          <w:sz w:val="20"/>
          <w:vertAlign w:val="baseline"/>
        </w:rPr>
        <w:t> </w:t>
      </w:r>
      <w:r>
        <w:rPr>
          <w:sz w:val="20"/>
          <w:vertAlign w:val="baseline"/>
        </w:rPr>
        <w:t>rights</w:t>
      </w:r>
      <w:r>
        <w:rPr>
          <w:spacing w:val="-10"/>
          <w:sz w:val="20"/>
          <w:vertAlign w:val="baseline"/>
        </w:rPr>
        <w:t> </w:t>
      </w:r>
      <w:r>
        <w:rPr>
          <w:sz w:val="20"/>
          <w:vertAlign w:val="baseline"/>
        </w:rPr>
        <w:t>of</w:t>
      </w:r>
      <w:r>
        <w:rPr>
          <w:spacing w:val="-8"/>
          <w:sz w:val="20"/>
          <w:vertAlign w:val="baseline"/>
        </w:rPr>
        <w:t> </w:t>
      </w:r>
      <w:r>
        <w:rPr>
          <w:sz w:val="20"/>
          <w:vertAlign w:val="baseline"/>
        </w:rPr>
        <w:t>the</w:t>
      </w:r>
      <w:r>
        <w:rPr>
          <w:spacing w:val="-7"/>
          <w:sz w:val="20"/>
          <w:vertAlign w:val="baseline"/>
        </w:rPr>
        <w:t> </w:t>
      </w:r>
      <w:r>
        <w:rPr>
          <w:sz w:val="20"/>
          <w:vertAlign w:val="baseline"/>
        </w:rPr>
        <w:t>accused</w:t>
      </w:r>
      <w:r>
        <w:rPr>
          <w:spacing w:val="-8"/>
          <w:sz w:val="20"/>
          <w:vertAlign w:val="baseline"/>
        </w:rPr>
        <w:t> </w:t>
      </w:r>
      <w:r>
        <w:rPr>
          <w:sz w:val="20"/>
          <w:vertAlign w:val="baseline"/>
        </w:rPr>
        <w:t>and</w:t>
      </w:r>
      <w:r>
        <w:rPr>
          <w:spacing w:val="-8"/>
          <w:sz w:val="20"/>
          <w:vertAlign w:val="baseline"/>
        </w:rPr>
        <w:t> </w:t>
      </w:r>
      <w:r>
        <w:rPr>
          <w:sz w:val="20"/>
          <w:vertAlign w:val="baseline"/>
        </w:rPr>
        <w:t>due</w:t>
      </w:r>
      <w:r>
        <w:rPr>
          <w:spacing w:val="-7"/>
          <w:sz w:val="20"/>
          <w:vertAlign w:val="baseline"/>
        </w:rPr>
        <w:t> </w:t>
      </w:r>
      <w:r>
        <w:rPr>
          <w:sz w:val="20"/>
          <w:vertAlign w:val="baseline"/>
        </w:rPr>
        <w:t>regard</w:t>
      </w:r>
      <w:r>
        <w:rPr>
          <w:spacing w:val="-8"/>
          <w:sz w:val="20"/>
          <w:vertAlign w:val="baseline"/>
        </w:rPr>
        <w:t> </w:t>
      </w:r>
      <w:r>
        <w:rPr>
          <w:sz w:val="20"/>
          <w:vertAlign w:val="baseline"/>
        </w:rPr>
        <w:t>for the</w:t>
      </w:r>
      <w:r>
        <w:rPr>
          <w:spacing w:val="-3"/>
          <w:sz w:val="20"/>
          <w:vertAlign w:val="baseline"/>
        </w:rPr>
        <w:t> </w:t>
      </w:r>
      <w:r>
        <w:rPr>
          <w:sz w:val="20"/>
          <w:vertAlign w:val="baseline"/>
        </w:rPr>
        <w:t>protection</w:t>
      </w:r>
      <w:r>
        <w:rPr>
          <w:spacing w:val="-8"/>
          <w:sz w:val="20"/>
          <w:vertAlign w:val="baseline"/>
        </w:rPr>
        <w:t> </w:t>
      </w:r>
      <w:r>
        <w:rPr>
          <w:sz w:val="20"/>
          <w:vertAlign w:val="baseline"/>
        </w:rPr>
        <w:t>of</w:t>
      </w:r>
      <w:r>
        <w:rPr>
          <w:spacing w:val="-5"/>
          <w:sz w:val="20"/>
          <w:vertAlign w:val="baseline"/>
        </w:rPr>
        <w:t> </w:t>
      </w:r>
      <w:r>
        <w:rPr>
          <w:sz w:val="20"/>
          <w:vertAlign w:val="baseline"/>
        </w:rPr>
        <w:t>victims</w:t>
      </w:r>
      <w:r>
        <w:rPr>
          <w:spacing w:val="-10"/>
          <w:sz w:val="20"/>
          <w:vertAlign w:val="baseline"/>
        </w:rPr>
        <w:t> </w:t>
      </w:r>
      <w:r>
        <w:rPr>
          <w:sz w:val="20"/>
          <w:vertAlign w:val="baseline"/>
        </w:rPr>
        <w:t>and</w:t>
      </w:r>
      <w:r>
        <w:rPr>
          <w:spacing w:val="-5"/>
          <w:sz w:val="20"/>
          <w:vertAlign w:val="baseline"/>
        </w:rPr>
        <w:t> </w:t>
      </w:r>
      <w:r>
        <w:rPr>
          <w:sz w:val="20"/>
          <w:vertAlign w:val="baseline"/>
        </w:rPr>
        <w:t>witnesses”.</w:t>
      </w:r>
      <w:r>
        <w:rPr>
          <w:sz w:val="20"/>
          <w:vertAlign w:val="superscript"/>
        </w:rPr>
        <w:t>15</w:t>
      </w:r>
      <w:r>
        <w:rPr>
          <w:spacing w:val="-2"/>
          <w:sz w:val="20"/>
          <w:vertAlign w:val="baseline"/>
        </w:rPr>
        <w:t> </w:t>
      </w:r>
      <w:r>
        <w:rPr>
          <w:sz w:val="20"/>
          <w:vertAlign w:val="baseline"/>
        </w:rPr>
        <w:t>In</w:t>
      </w:r>
      <w:r>
        <w:rPr>
          <w:spacing w:val="-5"/>
          <w:sz w:val="20"/>
          <w:vertAlign w:val="baseline"/>
        </w:rPr>
        <w:t> </w:t>
      </w:r>
      <w:r>
        <w:rPr>
          <w:sz w:val="20"/>
          <w:vertAlign w:val="baseline"/>
        </w:rPr>
        <w:t>discharging</w:t>
      </w:r>
      <w:r>
        <w:rPr>
          <w:spacing w:val="-5"/>
          <w:sz w:val="20"/>
          <w:vertAlign w:val="baseline"/>
        </w:rPr>
        <w:t> </w:t>
      </w:r>
      <w:r>
        <w:rPr>
          <w:sz w:val="20"/>
          <w:vertAlign w:val="baseline"/>
        </w:rPr>
        <w:t>their</w:t>
      </w:r>
      <w:r>
        <w:rPr>
          <w:spacing w:val="-8"/>
          <w:sz w:val="20"/>
          <w:vertAlign w:val="baseline"/>
        </w:rPr>
        <w:t> </w:t>
      </w:r>
      <w:r>
        <w:rPr>
          <w:sz w:val="20"/>
          <w:vertAlign w:val="baseline"/>
        </w:rPr>
        <w:t>functions,</w:t>
      </w:r>
      <w:r>
        <w:rPr>
          <w:spacing w:val="-2"/>
          <w:sz w:val="20"/>
          <w:vertAlign w:val="baseline"/>
        </w:rPr>
        <w:t> </w:t>
      </w:r>
      <w:r>
        <w:rPr>
          <w:sz w:val="20"/>
          <w:vertAlign w:val="baseline"/>
        </w:rPr>
        <w:t>the</w:t>
      </w:r>
      <w:r>
        <w:rPr>
          <w:spacing w:val="-3"/>
          <w:sz w:val="20"/>
          <w:vertAlign w:val="baseline"/>
        </w:rPr>
        <w:t> </w:t>
      </w:r>
      <w:r>
        <w:rPr>
          <w:sz w:val="20"/>
          <w:vertAlign w:val="baseline"/>
        </w:rPr>
        <w:t>Pre-Trial,</w:t>
      </w:r>
      <w:r>
        <w:rPr>
          <w:spacing w:val="-6"/>
          <w:sz w:val="20"/>
          <w:vertAlign w:val="baseline"/>
        </w:rPr>
        <w:t> </w:t>
      </w:r>
      <w:r>
        <w:rPr>
          <w:sz w:val="20"/>
          <w:vertAlign w:val="baseline"/>
        </w:rPr>
        <w:t>Trial and Appeals Chambers receive support from legal and administrative staff.</w:t>
      </w:r>
    </w:p>
    <w:p>
      <w:pPr>
        <w:pStyle w:val="BodyText"/>
        <w:spacing w:before="11"/>
      </w:pPr>
    </w:p>
    <w:p>
      <w:pPr>
        <w:spacing w:before="0"/>
        <w:ind w:left="2246" w:right="0" w:firstLine="0"/>
        <w:jc w:val="left"/>
        <w:rPr>
          <w:i/>
          <w:sz w:val="20"/>
        </w:rPr>
      </w:pPr>
      <w:r>
        <w:rPr>
          <w:i/>
          <w:sz w:val="20"/>
        </w:rPr>
        <w:t>Chambers’</w:t>
      </w:r>
      <w:r>
        <w:rPr>
          <w:i/>
          <w:spacing w:val="-8"/>
          <w:sz w:val="20"/>
        </w:rPr>
        <w:t> </w:t>
      </w:r>
      <w:r>
        <w:rPr>
          <w:i/>
          <w:spacing w:val="-2"/>
          <w:sz w:val="20"/>
        </w:rPr>
        <w:t>objectives</w:t>
      </w:r>
    </w:p>
    <w:p>
      <w:pPr>
        <w:pStyle w:val="BodyText"/>
        <w:spacing w:before="10"/>
        <w:rPr>
          <w:i/>
        </w:rPr>
      </w:pPr>
    </w:p>
    <w:p>
      <w:pPr>
        <w:pStyle w:val="ListParagraph"/>
        <w:numPr>
          <w:ilvl w:val="0"/>
          <w:numId w:val="4"/>
        </w:numPr>
        <w:tabs>
          <w:tab w:pos="2967" w:val="left" w:leader="none"/>
        </w:tabs>
        <w:spacing w:line="240" w:lineRule="auto" w:before="0" w:after="0"/>
        <w:ind w:left="2967" w:right="0" w:hanging="721"/>
        <w:jc w:val="both"/>
        <w:rPr>
          <w:sz w:val="20"/>
        </w:rPr>
      </w:pPr>
      <w:r>
        <w:rPr>
          <w:sz w:val="20"/>
        </w:rPr>
        <w:t>The</w:t>
      </w:r>
      <w:r>
        <w:rPr>
          <w:spacing w:val="-9"/>
          <w:sz w:val="20"/>
        </w:rPr>
        <w:t> </w:t>
      </w:r>
      <w:r>
        <w:rPr>
          <w:sz w:val="20"/>
        </w:rPr>
        <w:t>Chambers’</w:t>
      </w:r>
      <w:r>
        <w:rPr>
          <w:spacing w:val="-8"/>
          <w:sz w:val="20"/>
        </w:rPr>
        <w:t> </w:t>
      </w:r>
      <w:r>
        <w:rPr>
          <w:sz w:val="20"/>
        </w:rPr>
        <w:t>objectives</w:t>
      </w:r>
      <w:r>
        <w:rPr>
          <w:spacing w:val="-9"/>
          <w:sz w:val="20"/>
        </w:rPr>
        <w:t> </w:t>
      </w:r>
      <w:r>
        <w:rPr>
          <w:spacing w:val="-4"/>
          <w:sz w:val="20"/>
        </w:rPr>
        <w:t>are:</w:t>
      </w:r>
    </w:p>
    <w:p>
      <w:pPr>
        <w:pStyle w:val="ListParagraph"/>
        <w:numPr>
          <w:ilvl w:val="1"/>
          <w:numId w:val="4"/>
        </w:numPr>
        <w:tabs>
          <w:tab w:pos="3686" w:val="left" w:leader="none"/>
          <w:tab w:pos="3687" w:val="left" w:leader="none"/>
        </w:tabs>
        <w:spacing w:line="240" w:lineRule="auto" w:before="121" w:after="0"/>
        <w:ind w:left="2957" w:right="2236" w:firstLine="0"/>
        <w:jc w:val="both"/>
        <w:rPr>
          <w:sz w:val="20"/>
        </w:rPr>
      </w:pPr>
      <w:r>
        <w:rPr>
          <w:sz w:val="20"/>
        </w:rPr>
        <w:t>to ensure the expeditious, fair and efficient conduct of pre-trial, trial and appeal proceedings;</w:t>
      </w:r>
    </w:p>
    <w:p>
      <w:pPr>
        <w:pStyle w:val="ListParagraph"/>
        <w:numPr>
          <w:ilvl w:val="1"/>
          <w:numId w:val="4"/>
        </w:numPr>
        <w:tabs>
          <w:tab w:pos="3686" w:val="left" w:leader="none"/>
          <w:tab w:pos="3687" w:val="left" w:leader="none"/>
        </w:tabs>
        <w:spacing w:line="240" w:lineRule="auto" w:before="116" w:after="0"/>
        <w:ind w:left="2957" w:right="2241" w:firstLine="0"/>
        <w:jc w:val="both"/>
        <w:rPr>
          <w:sz w:val="20"/>
        </w:rPr>
      </w:pPr>
      <w:r>
        <w:rPr>
          <w:sz w:val="20"/>
        </w:rPr>
        <w:t>to continue to reduce the length of Court proceedings by implementing reforms</w:t>
      </w:r>
      <w:r>
        <w:rPr>
          <w:spacing w:val="-13"/>
          <w:sz w:val="20"/>
        </w:rPr>
        <w:t> </w:t>
      </w:r>
      <w:r>
        <w:rPr>
          <w:sz w:val="20"/>
        </w:rPr>
        <w:t>(taking</w:t>
      </w:r>
      <w:r>
        <w:rPr>
          <w:spacing w:val="-12"/>
          <w:sz w:val="20"/>
        </w:rPr>
        <w:t> </w:t>
      </w:r>
      <w:r>
        <w:rPr>
          <w:sz w:val="20"/>
        </w:rPr>
        <w:t>into</w:t>
      </w:r>
      <w:r>
        <w:rPr>
          <w:spacing w:val="-10"/>
          <w:sz w:val="20"/>
        </w:rPr>
        <w:t> </w:t>
      </w:r>
      <w:r>
        <w:rPr>
          <w:sz w:val="20"/>
        </w:rPr>
        <w:t>consideration,</w:t>
      </w:r>
      <w:r>
        <w:rPr>
          <w:spacing w:val="-5"/>
          <w:sz w:val="20"/>
        </w:rPr>
        <w:t> </w:t>
      </w:r>
      <w:r>
        <w:rPr>
          <w:i/>
          <w:sz w:val="20"/>
        </w:rPr>
        <w:t>inter</w:t>
      </w:r>
      <w:r>
        <w:rPr>
          <w:i/>
          <w:spacing w:val="-12"/>
          <w:sz w:val="20"/>
        </w:rPr>
        <w:t> </w:t>
      </w:r>
      <w:r>
        <w:rPr>
          <w:i/>
          <w:sz w:val="20"/>
        </w:rPr>
        <w:t>alia</w:t>
      </w:r>
      <w:r>
        <w:rPr>
          <w:sz w:val="20"/>
        </w:rPr>
        <w:t>,</w:t>
      </w:r>
      <w:r>
        <w:rPr>
          <w:spacing w:val="-8"/>
          <w:sz w:val="20"/>
        </w:rPr>
        <w:t> </w:t>
      </w:r>
      <w:r>
        <w:rPr>
          <w:sz w:val="20"/>
        </w:rPr>
        <w:t>the</w:t>
      </w:r>
      <w:r>
        <w:rPr>
          <w:spacing w:val="-9"/>
          <w:sz w:val="20"/>
        </w:rPr>
        <w:t> </w:t>
      </w:r>
      <w:r>
        <w:rPr>
          <w:sz w:val="20"/>
        </w:rPr>
        <w:t>recommendations</w:t>
      </w:r>
      <w:r>
        <w:rPr>
          <w:spacing w:val="-12"/>
          <w:sz w:val="20"/>
        </w:rPr>
        <w:t> </w:t>
      </w:r>
      <w:r>
        <w:rPr>
          <w:sz w:val="20"/>
        </w:rPr>
        <w:t>made</w:t>
      </w:r>
      <w:r>
        <w:rPr>
          <w:spacing w:val="-12"/>
          <w:sz w:val="20"/>
        </w:rPr>
        <w:t> </w:t>
      </w:r>
      <w:r>
        <w:rPr>
          <w:sz w:val="20"/>
        </w:rPr>
        <w:t>in</w:t>
      </w:r>
      <w:r>
        <w:rPr>
          <w:spacing w:val="-10"/>
          <w:sz w:val="20"/>
        </w:rPr>
        <w:t> </w:t>
      </w:r>
      <w:r>
        <w:rPr>
          <w:sz w:val="20"/>
        </w:rPr>
        <w:t>the</w:t>
      </w:r>
      <w:r>
        <w:rPr>
          <w:spacing w:val="-9"/>
          <w:sz w:val="20"/>
        </w:rPr>
        <w:t> </w:t>
      </w:r>
      <w:r>
        <w:rPr>
          <w:sz w:val="20"/>
        </w:rPr>
        <w:t>IER report),</w:t>
      </w:r>
      <w:r>
        <w:rPr>
          <w:spacing w:val="-3"/>
          <w:sz w:val="20"/>
        </w:rPr>
        <w:t> </w:t>
      </w:r>
      <w:r>
        <w:rPr>
          <w:sz w:val="20"/>
        </w:rPr>
        <w:t>with</w:t>
      </w:r>
      <w:r>
        <w:rPr>
          <w:spacing w:val="-9"/>
          <w:sz w:val="20"/>
        </w:rPr>
        <w:t> </w:t>
      </w:r>
      <w:r>
        <w:rPr>
          <w:sz w:val="20"/>
        </w:rPr>
        <w:t>a</w:t>
      </w:r>
      <w:r>
        <w:rPr>
          <w:spacing w:val="-4"/>
          <w:sz w:val="20"/>
        </w:rPr>
        <w:t> </w:t>
      </w:r>
      <w:r>
        <w:rPr>
          <w:sz w:val="20"/>
        </w:rPr>
        <w:t>focus</w:t>
      </w:r>
      <w:r>
        <w:rPr>
          <w:spacing w:val="-6"/>
          <w:sz w:val="20"/>
        </w:rPr>
        <w:t> </w:t>
      </w:r>
      <w:r>
        <w:rPr>
          <w:sz w:val="20"/>
        </w:rPr>
        <w:t>on</w:t>
      </w:r>
      <w:r>
        <w:rPr>
          <w:spacing w:val="-6"/>
          <w:sz w:val="20"/>
        </w:rPr>
        <w:t> </w:t>
      </w:r>
      <w:r>
        <w:rPr>
          <w:sz w:val="20"/>
        </w:rPr>
        <w:t>streamlining</w:t>
      </w:r>
      <w:r>
        <w:rPr>
          <w:spacing w:val="-6"/>
          <w:sz w:val="20"/>
        </w:rPr>
        <w:t> </w:t>
      </w:r>
      <w:r>
        <w:rPr>
          <w:sz w:val="20"/>
        </w:rPr>
        <w:t>proceedings</w:t>
      </w:r>
      <w:r>
        <w:rPr>
          <w:spacing w:val="-6"/>
          <w:sz w:val="20"/>
        </w:rPr>
        <w:t> </w:t>
      </w:r>
      <w:r>
        <w:rPr>
          <w:sz w:val="20"/>
        </w:rPr>
        <w:t>and</w:t>
      </w:r>
      <w:r>
        <w:rPr>
          <w:spacing w:val="-6"/>
          <w:sz w:val="20"/>
        </w:rPr>
        <w:t> </w:t>
      </w:r>
      <w:r>
        <w:rPr>
          <w:sz w:val="20"/>
        </w:rPr>
        <w:t>avoiding</w:t>
      </w:r>
      <w:r>
        <w:rPr>
          <w:spacing w:val="-1"/>
          <w:sz w:val="20"/>
        </w:rPr>
        <w:t> </w:t>
      </w:r>
      <w:r>
        <w:rPr>
          <w:sz w:val="20"/>
        </w:rPr>
        <w:t>duplication</w:t>
      </w:r>
      <w:r>
        <w:rPr>
          <w:spacing w:val="-6"/>
          <w:sz w:val="20"/>
        </w:rPr>
        <w:t> </w:t>
      </w:r>
      <w:r>
        <w:rPr>
          <w:sz w:val="20"/>
        </w:rPr>
        <w:t>of</w:t>
      </w:r>
      <w:r>
        <w:rPr>
          <w:spacing w:val="-9"/>
          <w:sz w:val="20"/>
        </w:rPr>
        <w:t> </w:t>
      </w:r>
      <w:r>
        <w:rPr>
          <w:sz w:val="20"/>
        </w:rPr>
        <w:t>effort between the pre-trial and trial phases and during the presentation of evidence and the sentencing and reparations stages. This includes updating and improving the Chambers Practice Manual;</w:t>
      </w:r>
    </w:p>
    <w:p>
      <w:pPr>
        <w:pStyle w:val="ListParagraph"/>
        <w:numPr>
          <w:ilvl w:val="1"/>
          <w:numId w:val="4"/>
        </w:numPr>
        <w:tabs>
          <w:tab w:pos="3686" w:val="left" w:leader="none"/>
          <w:tab w:pos="3687" w:val="left" w:leader="none"/>
        </w:tabs>
        <w:spacing w:line="240" w:lineRule="auto" w:before="123" w:after="0"/>
        <w:ind w:left="2957" w:right="2236" w:firstLine="0"/>
        <w:jc w:val="both"/>
        <w:rPr>
          <w:sz w:val="20"/>
        </w:rPr>
      </w:pPr>
      <w:r>
        <w:rPr>
          <w:sz w:val="20"/>
        </w:rPr>
        <w:t>to</w:t>
      </w:r>
      <w:r>
        <w:rPr>
          <w:spacing w:val="-9"/>
          <w:sz w:val="20"/>
        </w:rPr>
        <w:t> </w:t>
      </w:r>
      <w:r>
        <w:rPr>
          <w:sz w:val="20"/>
        </w:rPr>
        <w:t>continue</w:t>
      </w:r>
      <w:r>
        <w:rPr>
          <w:spacing w:val="-11"/>
          <w:sz w:val="20"/>
        </w:rPr>
        <w:t> </w:t>
      </w:r>
      <w:r>
        <w:rPr>
          <w:sz w:val="20"/>
        </w:rPr>
        <w:t>operating</w:t>
      </w:r>
      <w:r>
        <w:rPr>
          <w:spacing w:val="-13"/>
          <w:sz w:val="20"/>
        </w:rPr>
        <w:t> </w:t>
      </w:r>
      <w:r>
        <w:rPr>
          <w:sz w:val="20"/>
        </w:rPr>
        <w:t>in</w:t>
      </w:r>
      <w:r>
        <w:rPr>
          <w:spacing w:val="-12"/>
          <w:sz w:val="20"/>
        </w:rPr>
        <w:t> </w:t>
      </w:r>
      <w:r>
        <w:rPr>
          <w:sz w:val="20"/>
        </w:rPr>
        <w:t>line</w:t>
      </w:r>
      <w:r>
        <w:rPr>
          <w:spacing w:val="-7"/>
          <w:sz w:val="20"/>
        </w:rPr>
        <w:t> </w:t>
      </w:r>
      <w:r>
        <w:rPr>
          <w:sz w:val="20"/>
        </w:rPr>
        <w:t>with</w:t>
      </w:r>
      <w:r>
        <w:rPr>
          <w:spacing w:val="-13"/>
          <w:sz w:val="20"/>
        </w:rPr>
        <w:t> </w:t>
      </w:r>
      <w:r>
        <w:rPr>
          <w:sz w:val="20"/>
        </w:rPr>
        <w:t>the</w:t>
      </w:r>
      <w:r>
        <w:rPr>
          <w:spacing w:val="-10"/>
          <w:sz w:val="20"/>
        </w:rPr>
        <w:t> </w:t>
      </w:r>
      <w:r>
        <w:rPr>
          <w:sz w:val="20"/>
        </w:rPr>
        <w:t>performance</w:t>
      </w:r>
      <w:r>
        <w:rPr>
          <w:spacing w:val="-12"/>
          <w:sz w:val="20"/>
        </w:rPr>
        <w:t> </w:t>
      </w:r>
      <w:r>
        <w:rPr>
          <w:sz w:val="20"/>
        </w:rPr>
        <w:t>indicators</w:t>
      </w:r>
      <w:r>
        <w:rPr>
          <w:spacing w:val="-13"/>
          <w:sz w:val="20"/>
        </w:rPr>
        <w:t> </w:t>
      </w:r>
      <w:r>
        <w:rPr>
          <w:sz w:val="20"/>
        </w:rPr>
        <w:t>developed</w:t>
      </w:r>
      <w:r>
        <w:rPr>
          <w:spacing w:val="-7"/>
          <w:sz w:val="20"/>
        </w:rPr>
        <w:t> </w:t>
      </w:r>
      <w:r>
        <w:rPr>
          <w:sz w:val="20"/>
        </w:rPr>
        <w:t>for judicial processes;</w:t>
      </w:r>
      <w:r>
        <w:rPr>
          <w:sz w:val="20"/>
          <w:vertAlign w:val="superscript"/>
        </w:rPr>
        <w:t>16</w:t>
      </w:r>
    </w:p>
    <w:p>
      <w:pPr>
        <w:pStyle w:val="ListParagraph"/>
        <w:numPr>
          <w:ilvl w:val="1"/>
          <w:numId w:val="4"/>
        </w:numPr>
        <w:tabs>
          <w:tab w:pos="3686" w:val="left" w:leader="none"/>
          <w:tab w:pos="3687" w:val="left" w:leader="none"/>
        </w:tabs>
        <w:spacing w:line="240" w:lineRule="auto" w:before="121" w:after="0"/>
        <w:ind w:left="2957" w:right="2242" w:firstLine="0"/>
        <w:jc w:val="both"/>
        <w:rPr>
          <w:sz w:val="20"/>
        </w:rPr>
      </w:pPr>
      <w:r>
        <w:rPr>
          <w:sz w:val="20"/>
        </w:rPr>
        <w:t>to continue</w:t>
      </w:r>
      <w:r>
        <w:rPr>
          <w:spacing w:val="-2"/>
          <w:sz w:val="20"/>
        </w:rPr>
        <w:t> </w:t>
      </w:r>
      <w:r>
        <w:rPr>
          <w:sz w:val="20"/>
        </w:rPr>
        <w:t>developing</w:t>
      </w:r>
      <w:r>
        <w:rPr>
          <w:spacing w:val="-4"/>
          <w:sz w:val="20"/>
        </w:rPr>
        <w:t> </w:t>
      </w:r>
      <w:r>
        <w:rPr>
          <w:sz w:val="20"/>
        </w:rPr>
        <w:t>and</w:t>
      </w:r>
      <w:r>
        <w:rPr>
          <w:spacing w:val="-4"/>
          <w:sz w:val="20"/>
        </w:rPr>
        <w:t> </w:t>
      </w:r>
      <w:r>
        <w:rPr>
          <w:sz w:val="20"/>
        </w:rPr>
        <w:t>implementing</w:t>
      </w:r>
      <w:r>
        <w:rPr>
          <w:spacing w:val="-4"/>
          <w:sz w:val="20"/>
        </w:rPr>
        <w:t> </w:t>
      </w:r>
      <w:r>
        <w:rPr>
          <w:sz w:val="20"/>
        </w:rPr>
        <w:t>effective</w:t>
      </w:r>
      <w:r>
        <w:rPr>
          <w:spacing w:val="-2"/>
          <w:sz w:val="20"/>
        </w:rPr>
        <w:t> </w:t>
      </w:r>
      <w:r>
        <w:rPr>
          <w:sz w:val="20"/>
        </w:rPr>
        <w:t>victim</w:t>
      </w:r>
      <w:r>
        <w:rPr>
          <w:spacing w:val="-2"/>
          <w:sz w:val="20"/>
        </w:rPr>
        <w:t> </w:t>
      </w:r>
      <w:r>
        <w:rPr>
          <w:sz w:val="20"/>
        </w:rPr>
        <w:t>application</w:t>
      </w:r>
      <w:r>
        <w:rPr>
          <w:spacing w:val="-4"/>
          <w:sz w:val="20"/>
        </w:rPr>
        <w:t> </w:t>
      </w:r>
      <w:r>
        <w:rPr>
          <w:sz w:val="20"/>
        </w:rPr>
        <w:t>and representation systems in consultation with the Registry;</w:t>
      </w:r>
    </w:p>
    <w:p>
      <w:pPr>
        <w:pStyle w:val="ListParagraph"/>
        <w:numPr>
          <w:ilvl w:val="1"/>
          <w:numId w:val="4"/>
        </w:numPr>
        <w:tabs>
          <w:tab w:pos="3686" w:val="left" w:leader="none"/>
          <w:tab w:pos="3687" w:val="left" w:leader="none"/>
        </w:tabs>
        <w:spacing w:line="240" w:lineRule="auto" w:before="121" w:after="0"/>
        <w:ind w:left="3687" w:right="0" w:hanging="730"/>
        <w:jc w:val="both"/>
        <w:rPr>
          <w:sz w:val="20"/>
        </w:rPr>
      </w:pPr>
      <w:r>
        <w:rPr>
          <w:sz w:val="20"/>
        </w:rPr>
        <w:t>to</w:t>
      </w:r>
      <w:r>
        <w:rPr>
          <w:spacing w:val="-6"/>
          <w:sz w:val="20"/>
        </w:rPr>
        <w:t> </w:t>
      </w:r>
      <w:r>
        <w:rPr>
          <w:sz w:val="20"/>
        </w:rPr>
        <w:t>ensure</w:t>
      </w:r>
      <w:r>
        <w:rPr>
          <w:spacing w:val="-8"/>
          <w:sz w:val="20"/>
        </w:rPr>
        <w:t> </w:t>
      </w:r>
      <w:r>
        <w:rPr>
          <w:sz w:val="20"/>
        </w:rPr>
        <w:t>effective</w:t>
      </w:r>
      <w:r>
        <w:rPr>
          <w:spacing w:val="-8"/>
          <w:sz w:val="20"/>
        </w:rPr>
        <w:t> </w:t>
      </w:r>
      <w:r>
        <w:rPr>
          <w:sz w:val="20"/>
        </w:rPr>
        <w:t>management</w:t>
      </w:r>
      <w:r>
        <w:rPr>
          <w:spacing w:val="-4"/>
          <w:sz w:val="20"/>
        </w:rPr>
        <w:t> </w:t>
      </w:r>
      <w:r>
        <w:rPr>
          <w:sz w:val="20"/>
        </w:rPr>
        <w:t>of</w:t>
      </w:r>
      <w:r>
        <w:rPr>
          <w:spacing w:val="-5"/>
          <w:sz w:val="20"/>
        </w:rPr>
        <w:t> </w:t>
      </w:r>
      <w:r>
        <w:rPr>
          <w:sz w:val="20"/>
        </w:rPr>
        <w:t>staff</w:t>
      </w:r>
      <w:r>
        <w:rPr>
          <w:spacing w:val="-6"/>
          <w:sz w:val="20"/>
        </w:rPr>
        <w:t> </w:t>
      </w:r>
      <w:r>
        <w:rPr>
          <w:sz w:val="20"/>
        </w:rPr>
        <w:t>and</w:t>
      </w:r>
      <w:r>
        <w:rPr>
          <w:spacing w:val="-5"/>
          <w:sz w:val="20"/>
        </w:rPr>
        <w:t> </w:t>
      </w:r>
      <w:r>
        <w:rPr>
          <w:sz w:val="20"/>
        </w:rPr>
        <w:t>non-staff</w:t>
      </w:r>
      <w:r>
        <w:rPr>
          <w:spacing w:val="-5"/>
          <w:sz w:val="20"/>
        </w:rPr>
        <w:t> </w:t>
      </w:r>
      <w:r>
        <w:rPr>
          <w:spacing w:val="-2"/>
          <w:sz w:val="20"/>
        </w:rPr>
        <w:t>resources;</w:t>
      </w:r>
    </w:p>
    <w:p>
      <w:pPr>
        <w:pStyle w:val="ListParagraph"/>
        <w:numPr>
          <w:ilvl w:val="1"/>
          <w:numId w:val="4"/>
        </w:numPr>
        <w:tabs>
          <w:tab w:pos="3686" w:val="left" w:leader="none"/>
          <w:tab w:pos="3687" w:val="left" w:leader="none"/>
        </w:tabs>
        <w:spacing w:line="240" w:lineRule="auto" w:before="116" w:after="0"/>
        <w:ind w:left="2957" w:right="2241" w:firstLine="0"/>
        <w:jc w:val="both"/>
        <w:rPr>
          <w:sz w:val="20"/>
        </w:rPr>
      </w:pPr>
      <w:r>
        <w:rPr>
          <w:sz w:val="20"/>
        </w:rPr>
        <w:t>to provide effective and efficient support to the various Chambers by the legal and administrative staff;</w:t>
      </w:r>
    </w:p>
    <w:p>
      <w:pPr>
        <w:pStyle w:val="ListParagraph"/>
        <w:numPr>
          <w:ilvl w:val="1"/>
          <w:numId w:val="4"/>
        </w:numPr>
        <w:tabs>
          <w:tab w:pos="3686" w:val="left" w:leader="none"/>
          <w:tab w:pos="3687" w:val="left" w:leader="none"/>
        </w:tabs>
        <w:spacing w:line="240" w:lineRule="auto" w:before="121" w:after="0"/>
        <w:ind w:left="2957" w:right="2247" w:firstLine="0"/>
        <w:jc w:val="both"/>
        <w:rPr>
          <w:sz w:val="20"/>
        </w:rPr>
      </w:pPr>
      <w:r>
        <w:rPr>
          <w:sz w:val="20"/>
        </w:rPr>
        <w:t>to further improve the management of staff performance through the new Court-wide performance appraisal system; and</w:t>
      </w:r>
    </w:p>
    <w:p>
      <w:pPr>
        <w:pStyle w:val="ListParagraph"/>
        <w:numPr>
          <w:ilvl w:val="1"/>
          <w:numId w:val="4"/>
        </w:numPr>
        <w:tabs>
          <w:tab w:pos="3686" w:val="left" w:leader="none"/>
          <w:tab w:pos="3687" w:val="left" w:leader="none"/>
        </w:tabs>
        <w:spacing w:line="240" w:lineRule="auto" w:before="121" w:after="0"/>
        <w:ind w:left="2957" w:right="2239" w:firstLine="0"/>
        <w:jc w:val="both"/>
        <w:rPr>
          <w:sz w:val="20"/>
        </w:rPr>
      </w:pPr>
      <w:r>
        <w:rPr>
          <w:sz w:val="20"/>
        </w:rPr>
        <w:t>to continue to fully integrate the relevant strategic goals from the Court- wide Strategic Plan for 2023-2025 into the functioning of the Chambers, in particular</w:t>
      </w:r>
      <w:r>
        <w:rPr>
          <w:spacing w:val="-8"/>
          <w:sz w:val="20"/>
        </w:rPr>
        <w:t> </w:t>
      </w:r>
      <w:r>
        <w:rPr>
          <w:sz w:val="20"/>
        </w:rPr>
        <w:t>goals</w:t>
      </w:r>
      <w:r>
        <w:rPr>
          <w:spacing w:val="-5"/>
          <w:sz w:val="20"/>
        </w:rPr>
        <w:t> </w:t>
      </w:r>
      <w:r>
        <w:rPr>
          <w:sz w:val="20"/>
        </w:rPr>
        <w:t>1</w:t>
      </w:r>
      <w:r>
        <w:rPr>
          <w:spacing w:val="-8"/>
          <w:sz w:val="20"/>
        </w:rPr>
        <w:t> </w:t>
      </w:r>
      <w:r>
        <w:rPr>
          <w:sz w:val="20"/>
        </w:rPr>
        <w:t>to</w:t>
      </w:r>
      <w:r>
        <w:rPr>
          <w:spacing w:val="-4"/>
          <w:sz w:val="20"/>
        </w:rPr>
        <w:t> </w:t>
      </w:r>
      <w:r>
        <w:rPr>
          <w:sz w:val="20"/>
        </w:rPr>
        <w:t>3</w:t>
      </w:r>
      <w:r>
        <w:rPr>
          <w:spacing w:val="-4"/>
          <w:sz w:val="20"/>
        </w:rPr>
        <w:t> </w:t>
      </w:r>
      <w:r>
        <w:rPr>
          <w:sz w:val="20"/>
        </w:rPr>
        <w:t>on</w:t>
      </w:r>
      <w:r>
        <w:rPr>
          <w:spacing w:val="-4"/>
          <w:sz w:val="20"/>
        </w:rPr>
        <w:t> </w:t>
      </w:r>
      <w:r>
        <w:rPr>
          <w:sz w:val="20"/>
        </w:rPr>
        <w:t>judicial</w:t>
      </w:r>
      <w:r>
        <w:rPr>
          <w:spacing w:val="-7"/>
          <w:sz w:val="20"/>
        </w:rPr>
        <w:t> </w:t>
      </w:r>
      <w:r>
        <w:rPr>
          <w:sz w:val="20"/>
        </w:rPr>
        <w:t>and</w:t>
      </w:r>
      <w:r>
        <w:rPr>
          <w:spacing w:val="-4"/>
          <w:sz w:val="20"/>
        </w:rPr>
        <w:t> </w:t>
      </w:r>
      <w:r>
        <w:rPr>
          <w:sz w:val="20"/>
        </w:rPr>
        <w:t>prosecutorial</w:t>
      </w:r>
      <w:r>
        <w:rPr>
          <w:spacing w:val="-2"/>
          <w:sz w:val="20"/>
        </w:rPr>
        <w:t> </w:t>
      </w:r>
      <w:r>
        <w:rPr>
          <w:sz w:val="20"/>
        </w:rPr>
        <w:t>performance</w:t>
      </w:r>
      <w:r>
        <w:rPr>
          <w:spacing w:val="-7"/>
          <w:sz w:val="20"/>
        </w:rPr>
        <w:t> </w:t>
      </w:r>
      <w:r>
        <w:rPr>
          <w:sz w:val="20"/>
        </w:rPr>
        <w:t>and</w:t>
      </w:r>
      <w:r>
        <w:rPr>
          <w:spacing w:val="-8"/>
          <w:sz w:val="20"/>
        </w:rPr>
        <w:t> </w:t>
      </w:r>
      <w:r>
        <w:rPr>
          <w:sz w:val="20"/>
        </w:rPr>
        <w:t>goals</w:t>
      </w:r>
      <w:r>
        <w:rPr>
          <w:spacing w:val="-5"/>
          <w:sz w:val="20"/>
        </w:rPr>
        <w:t> </w:t>
      </w:r>
      <w:r>
        <w:rPr>
          <w:sz w:val="20"/>
        </w:rPr>
        <w:t>6</w:t>
      </w:r>
      <w:r>
        <w:rPr>
          <w:spacing w:val="-4"/>
          <w:sz w:val="20"/>
        </w:rPr>
        <w:t> </w:t>
      </w:r>
      <w:r>
        <w:rPr>
          <w:sz w:val="20"/>
        </w:rPr>
        <w:t>to</w:t>
      </w:r>
      <w:r>
        <w:rPr>
          <w:spacing w:val="-4"/>
          <w:sz w:val="20"/>
        </w:rPr>
        <w:t> </w:t>
      </w:r>
      <w:r>
        <w:rPr>
          <w:sz w:val="20"/>
        </w:rPr>
        <w:t>9</w:t>
      </w:r>
      <w:r>
        <w:rPr>
          <w:spacing w:val="-4"/>
          <w:sz w:val="20"/>
        </w:rPr>
        <w:t> </w:t>
      </w:r>
      <w:r>
        <w:rPr>
          <w:sz w:val="20"/>
        </w:rPr>
        <w:t>on organizational performance.</w:t>
      </w:r>
    </w:p>
    <w:p>
      <w:pPr>
        <w:spacing w:before="122"/>
        <w:ind w:left="2246" w:right="0" w:firstLine="0"/>
        <w:jc w:val="left"/>
        <w:rPr>
          <w:i/>
          <w:sz w:val="20"/>
        </w:rPr>
      </w:pPr>
      <w:r>
        <w:rPr>
          <w:i/>
          <w:sz w:val="20"/>
        </w:rPr>
        <w:t>Chambers’</w:t>
      </w:r>
      <w:r>
        <w:rPr>
          <w:i/>
          <w:spacing w:val="-11"/>
          <w:sz w:val="20"/>
        </w:rPr>
        <w:t> </w:t>
      </w:r>
      <w:r>
        <w:rPr>
          <w:i/>
          <w:sz w:val="20"/>
        </w:rPr>
        <w:t>priorities</w:t>
      </w:r>
      <w:r>
        <w:rPr>
          <w:i/>
          <w:spacing w:val="-5"/>
          <w:sz w:val="20"/>
        </w:rPr>
        <w:t> </w:t>
      </w:r>
      <w:r>
        <w:rPr>
          <w:i/>
          <w:sz w:val="20"/>
        </w:rPr>
        <w:t>–</w:t>
      </w:r>
      <w:r>
        <w:rPr>
          <w:i/>
          <w:spacing w:val="-7"/>
          <w:sz w:val="20"/>
        </w:rPr>
        <w:t> </w:t>
      </w:r>
      <w:r>
        <w:rPr>
          <w:i/>
          <w:sz w:val="20"/>
        </w:rPr>
        <w:t>improving</w:t>
      </w:r>
      <w:r>
        <w:rPr>
          <w:i/>
          <w:spacing w:val="-9"/>
          <w:sz w:val="20"/>
        </w:rPr>
        <w:t> </w:t>
      </w:r>
      <w:r>
        <w:rPr>
          <w:i/>
          <w:sz w:val="20"/>
        </w:rPr>
        <w:t>the</w:t>
      </w:r>
      <w:r>
        <w:rPr>
          <w:i/>
          <w:spacing w:val="-7"/>
          <w:sz w:val="20"/>
        </w:rPr>
        <w:t> </w:t>
      </w:r>
      <w:r>
        <w:rPr>
          <w:i/>
          <w:sz w:val="20"/>
        </w:rPr>
        <w:t>consistency</w:t>
      </w:r>
      <w:r>
        <w:rPr>
          <w:i/>
          <w:spacing w:val="-3"/>
          <w:sz w:val="20"/>
        </w:rPr>
        <w:t> </w:t>
      </w:r>
      <w:r>
        <w:rPr>
          <w:i/>
          <w:sz w:val="20"/>
        </w:rPr>
        <w:t>of</w:t>
      </w:r>
      <w:r>
        <w:rPr>
          <w:i/>
          <w:spacing w:val="-7"/>
          <w:sz w:val="20"/>
        </w:rPr>
        <w:t> </w:t>
      </w:r>
      <w:r>
        <w:rPr>
          <w:i/>
          <w:sz w:val="20"/>
        </w:rPr>
        <w:t>the</w:t>
      </w:r>
      <w:r>
        <w:rPr>
          <w:i/>
          <w:spacing w:val="-2"/>
          <w:sz w:val="20"/>
        </w:rPr>
        <w:t> </w:t>
      </w:r>
      <w:r>
        <w:rPr>
          <w:i/>
          <w:sz w:val="20"/>
        </w:rPr>
        <w:t>Court’s</w:t>
      </w:r>
      <w:r>
        <w:rPr>
          <w:i/>
          <w:spacing w:val="-5"/>
          <w:sz w:val="20"/>
        </w:rPr>
        <w:t> </w:t>
      </w:r>
      <w:r>
        <w:rPr>
          <w:i/>
          <w:spacing w:val="-2"/>
          <w:sz w:val="20"/>
        </w:rPr>
        <w:t>jurisprudence</w:t>
      </w:r>
    </w:p>
    <w:p>
      <w:pPr>
        <w:pStyle w:val="ListParagraph"/>
        <w:numPr>
          <w:ilvl w:val="0"/>
          <w:numId w:val="4"/>
        </w:numPr>
        <w:tabs>
          <w:tab w:pos="2967" w:val="left" w:leader="none"/>
        </w:tabs>
        <w:spacing w:line="240" w:lineRule="auto" w:before="120" w:after="0"/>
        <w:ind w:left="2246" w:right="2242" w:firstLine="0"/>
        <w:jc w:val="both"/>
        <w:rPr>
          <w:sz w:val="20"/>
        </w:rPr>
      </w:pPr>
      <w:r>
        <w:rPr>
          <w:sz w:val="20"/>
        </w:rPr>
        <w:t>In</w:t>
      </w:r>
      <w:r>
        <w:rPr>
          <w:spacing w:val="38"/>
          <w:sz w:val="20"/>
        </w:rPr>
        <w:t> </w:t>
      </w:r>
      <w:r>
        <w:rPr>
          <w:sz w:val="20"/>
        </w:rPr>
        <w:t>line</w:t>
      </w:r>
      <w:r>
        <w:rPr>
          <w:spacing w:val="39"/>
          <w:sz w:val="20"/>
        </w:rPr>
        <w:t> </w:t>
      </w:r>
      <w:r>
        <w:rPr>
          <w:sz w:val="20"/>
        </w:rPr>
        <w:t>with</w:t>
      </w:r>
      <w:r>
        <w:rPr>
          <w:spacing w:val="37"/>
          <w:sz w:val="20"/>
        </w:rPr>
        <w:t> </w:t>
      </w:r>
      <w:r>
        <w:rPr>
          <w:sz w:val="20"/>
        </w:rPr>
        <w:t>Strategic</w:t>
      </w:r>
      <w:r>
        <w:rPr>
          <w:spacing w:val="39"/>
          <w:sz w:val="20"/>
        </w:rPr>
        <w:t> </w:t>
      </w:r>
      <w:r>
        <w:rPr>
          <w:sz w:val="20"/>
        </w:rPr>
        <w:t>Goal</w:t>
      </w:r>
      <w:r>
        <w:rPr>
          <w:spacing w:val="39"/>
          <w:sz w:val="20"/>
        </w:rPr>
        <w:t> </w:t>
      </w:r>
      <w:r>
        <w:rPr>
          <w:sz w:val="20"/>
        </w:rPr>
        <w:t>1</w:t>
      </w:r>
      <w:r>
        <w:rPr>
          <w:spacing w:val="33"/>
          <w:sz w:val="20"/>
        </w:rPr>
        <w:t> </w:t>
      </w:r>
      <w:r>
        <w:rPr>
          <w:sz w:val="20"/>
        </w:rPr>
        <w:t>of</w:t>
      </w:r>
      <w:r>
        <w:rPr>
          <w:spacing w:val="40"/>
          <w:sz w:val="20"/>
        </w:rPr>
        <w:t> </w:t>
      </w:r>
      <w:r>
        <w:rPr>
          <w:sz w:val="20"/>
        </w:rPr>
        <w:t>the</w:t>
      </w:r>
      <w:r>
        <w:rPr>
          <w:spacing w:val="39"/>
          <w:sz w:val="20"/>
        </w:rPr>
        <w:t> </w:t>
      </w:r>
      <w:r>
        <w:rPr>
          <w:sz w:val="20"/>
        </w:rPr>
        <w:t>Court-wide</w:t>
      </w:r>
      <w:r>
        <w:rPr>
          <w:spacing w:val="39"/>
          <w:sz w:val="20"/>
        </w:rPr>
        <w:t> </w:t>
      </w:r>
      <w:r>
        <w:rPr>
          <w:sz w:val="20"/>
        </w:rPr>
        <w:t>Strategic</w:t>
      </w:r>
      <w:r>
        <w:rPr>
          <w:spacing w:val="39"/>
          <w:sz w:val="20"/>
        </w:rPr>
        <w:t> </w:t>
      </w:r>
      <w:r>
        <w:rPr>
          <w:sz w:val="20"/>
        </w:rPr>
        <w:t>Plan</w:t>
      </w:r>
      <w:r>
        <w:rPr>
          <w:spacing w:val="37"/>
          <w:sz w:val="20"/>
        </w:rPr>
        <w:t> </w:t>
      </w:r>
      <w:r>
        <w:rPr>
          <w:sz w:val="20"/>
        </w:rPr>
        <w:t>for</w:t>
      </w:r>
      <w:r>
        <w:rPr>
          <w:spacing w:val="38"/>
          <w:sz w:val="20"/>
        </w:rPr>
        <w:t> </w:t>
      </w:r>
      <w:r>
        <w:rPr>
          <w:sz w:val="20"/>
        </w:rPr>
        <w:t>2023-2025, the</w:t>
      </w:r>
      <w:r>
        <w:rPr>
          <w:spacing w:val="-2"/>
          <w:sz w:val="20"/>
        </w:rPr>
        <w:t> </w:t>
      </w:r>
      <w:r>
        <w:rPr>
          <w:sz w:val="20"/>
        </w:rPr>
        <w:t>Chambers have been and will continue to be closely engaged in practice improvements to</w:t>
      </w:r>
      <w:r>
        <w:rPr>
          <w:spacing w:val="-4"/>
          <w:sz w:val="20"/>
        </w:rPr>
        <w:t> </w:t>
      </w:r>
      <w:r>
        <w:rPr>
          <w:sz w:val="20"/>
        </w:rPr>
        <w:t>enhance</w:t>
      </w:r>
      <w:r>
        <w:rPr>
          <w:spacing w:val="-2"/>
          <w:sz w:val="20"/>
        </w:rPr>
        <w:t> </w:t>
      </w:r>
      <w:r>
        <w:rPr>
          <w:sz w:val="20"/>
        </w:rPr>
        <w:t>the</w:t>
      </w:r>
      <w:r>
        <w:rPr>
          <w:spacing w:val="-2"/>
          <w:sz w:val="20"/>
        </w:rPr>
        <w:t> </w:t>
      </w:r>
      <w:r>
        <w:rPr>
          <w:sz w:val="20"/>
        </w:rPr>
        <w:t>efficiency</w:t>
      </w:r>
      <w:r>
        <w:rPr>
          <w:spacing w:val="-4"/>
          <w:sz w:val="20"/>
        </w:rPr>
        <w:t> </w:t>
      </w:r>
      <w:r>
        <w:rPr>
          <w:sz w:val="20"/>
        </w:rPr>
        <w:t>of</w:t>
      </w:r>
      <w:r>
        <w:rPr>
          <w:spacing w:val="-4"/>
          <w:sz w:val="20"/>
        </w:rPr>
        <w:t> </w:t>
      </w:r>
      <w:r>
        <w:rPr>
          <w:sz w:val="20"/>
        </w:rPr>
        <w:t>judicial</w:t>
      </w:r>
      <w:r>
        <w:rPr>
          <w:spacing w:val="-2"/>
          <w:sz w:val="20"/>
        </w:rPr>
        <w:t> </w:t>
      </w:r>
      <w:r>
        <w:rPr>
          <w:sz w:val="20"/>
        </w:rPr>
        <w:t>proceedings</w:t>
      </w:r>
      <w:r>
        <w:rPr>
          <w:spacing w:val="-5"/>
          <w:sz w:val="20"/>
        </w:rPr>
        <w:t> </w:t>
      </w:r>
      <w:r>
        <w:rPr>
          <w:sz w:val="20"/>
        </w:rPr>
        <w:t>and</w:t>
      </w:r>
      <w:r>
        <w:rPr>
          <w:spacing w:val="-4"/>
          <w:sz w:val="20"/>
        </w:rPr>
        <w:t> </w:t>
      </w:r>
      <w:r>
        <w:rPr>
          <w:sz w:val="20"/>
        </w:rPr>
        <w:t>to harmonize</w:t>
      </w:r>
      <w:r>
        <w:rPr>
          <w:spacing w:val="-2"/>
          <w:sz w:val="20"/>
        </w:rPr>
        <w:t> </w:t>
      </w:r>
      <w:r>
        <w:rPr>
          <w:sz w:val="20"/>
        </w:rPr>
        <w:t>its</w:t>
      </w:r>
      <w:r>
        <w:rPr>
          <w:spacing w:val="-5"/>
          <w:sz w:val="20"/>
        </w:rPr>
        <w:t> </w:t>
      </w:r>
      <w:r>
        <w:rPr>
          <w:sz w:val="20"/>
        </w:rPr>
        <w:t>jurisprudence</w:t>
      </w:r>
      <w:r>
        <w:rPr>
          <w:spacing w:val="-2"/>
          <w:sz w:val="20"/>
        </w:rPr>
        <w:t> </w:t>
      </w:r>
      <w:r>
        <w:rPr>
          <w:sz w:val="20"/>
        </w:rPr>
        <w:t>through examination and analysis of its decisions.</w:t>
      </w:r>
    </w:p>
    <w:p>
      <w:pPr>
        <w:pStyle w:val="ListParagraph"/>
        <w:numPr>
          <w:ilvl w:val="0"/>
          <w:numId w:val="4"/>
        </w:numPr>
        <w:tabs>
          <w:tab w:pos="2967" w:val="left" w:leader="none"/>
        </w:tabs>
        <w:spacing w:line="240" w:lineRule="auto" w:before="118" w:after="0"/>
        <w:ind w:left="2246" w:right="2245" w:firstLine="0"/>
        <w:jc w:val="both"/>
        <w:rPr>
          <w:sz w:val="20"/>
        </w:rPr>
      </w:pPr>
      <w:r>
        <w:rPr>
          <w:sz w:val="20"/>
        </w:rPr>
        <w:t>The</w:t>
      </w:r>
      <w:r>
        <w:rPr>
          <w:spacing w:val="-3"/>
          <w:sz w:val="20"/>
        </w:rPr>
        <w:t> </w:t>
      </w:r>
      <w:r>
        <w:rPr>
          <w:sz w:val="20"/>
        </w:rPr>
        <w:t>Chambers</w:t>
      </w:r>
      <w:r>
        <w:rPr>
          <w:spacing w:val="-1"/>
          <w:sz w:val="20"/>
        </w:rPr>
        <w:t> </w:t>
      </w:r>
      <w:r>
        <w:rPr>
          <w:sz w:val="20"/>
        </w:rPr>
        <w:t>have</w:t>
      </w:r>
      <w:r>
        <w:rPr>
          <w:spacing w:val="-3"/>
          <w:sz w:val="20"/>
        </w:rPr>
        <w:t> </w:t>
      </w:r>
      <w:r>
        <w:rPr>
          <w:sz w:val="20"/>
        </w:rPr>
        <w:t>maintained their focus</w:t>
      </w:r>
      <w:r>
        <w:rPr>
          <w:spacing w:val="-1"/>
          <w:sz w:val="20"/>
        </w:rPr>
        <w:t> </w:t>
      </w:r>
      <w:r>
        <w:rPr>
          <w:sz w:val="20"/>
        </w:rPr>
        <w:t>on</w:t>
      </w:r>
      <w:r>
        <w:rPr>
          <w:spacing w:val="-5"/>
          <w:sz w:val="20"/>
        </w:rPr>
        <w:t> </w:t>
      </w:r>
      <w:r>
        <w:rPr>
          <w:sz w:val="20"/>
        </w:rPr>
        <w:t>consolidating</w:t>
      </w:r>
      <w:r>
        <w:rPr>
          <w:spacing w:val="-9"/>
          <w:sz w:val="20"/>
        </w:rPr>
        <w:t> </w:t>
      </w:r>
      <w:r>
        <w:rPr>
          <w:sz w:val="20"/>
        </w:rPr>
        <w:t>judicial</w:t>
      </w:r>
      <w:r>
        <w:rPr>
          <w:spacing w:val="-3"/>
          <w:sz w:val="20"/>
        </w:rPr>
        <w:t> </w:t>
      </w:r>
      <w:r>
        <w:rPr>
          <w:sz w:val="20"/>
        </w:rPr>
        <w:t>practice at</w:t>
      </w:r>
      <w:r>
        <w:rPr>
          <w:spacing w:val="-3"/>
          <w:sz w:val="20"/>
        </w:rPr>
        <w:t> </w:t>
      </w:r>
      <w:r>
        <w:rPr>
          <w:sz w:val="20"/>
        </w:rPr>
        <w:t>the pre-trial,</w:t>
      </w:r>
      <w:r>
        <w:rPr>
          <w:spacing w:val="-13"/>
          <w:sz w:val="20"/>
        </w:rPr>
        <w:t> </w:t>
      </w:r>
      <w:r>
        <w:rPr>
          <w:sz w:val="20"/>
        </w:rPr>
        <w:t>trial</w:t>
      </w:r>
      <w:r>
        <w:rPr>
          <w:spacing w:val="-12"/>
          <w:sz w:val="20"/>
        </w:rPr>
        <w:t> </w:t>
      </w:r>
      <w:r>
        <w:rPr>
          <w:sz w:val="20"/>
        </w:rPr>
        <w:t>(including</w:t>
      </w:r>
      <w:r>
        <w:rPr>
          <w:spacing w:val="-13"/>
          <w:sz w:val="20"/>
        </w:rPr>
        <w:t> </w:t>
      </w:r>
      <w:r>
        <w:rPr>
          <w:sz w:val="20"/>
        </w:rPr>
        <w:t>reparations)</w:t>
      </w:r>
      <w:r>
        <w:rPr>
          <w:spacing w:val="-12"/>
          <w:sz w:val="20"/>
        </w:rPr>
        <w:t> </w:t>
      </w:r>
      <w:r>
        <w:rPr>
          <w:sz w:val="20"/>
        </w:rPr>
        <w:t>and</w:t>
      </w:r>
      <w:r>
        <w:rPr>
          <w:spacing w:val="-13"/>
          <w:sz w:val="20"/>
        </w:rPr>
        <w:t> </w:t>
      </w:r>
      <w:r>
        <w:rPr>
          <w:sz w:val="20"/>
        </w:rPr>
        <w:t>appeal</w:t>
      </w:r>
      <w:r>
        <w:rPr>
          <w:spacing w:val="-12"/>
          <w:sz w:val="20"/>
        </w:rPr>
        <w:t> </w:t>
      </w:r>
      <w:r>
        <w:rPr>
          <w:sz w:val="20"/>
        </w:rPr>
        <w:t>phases.</w:t>
      </w:r>
      <w:r>
        <w:rPr>
          <w:spacing w:val="-13"/>
          <w:sz w:val="20"/>
        </w:rPr>
        <w:t> </w:t>
      </w:r>
      <w:r>
        <w:rPr>
          <w:sz w:val="20"/>
        </w:rPr>
        <w:t>The</w:t>
      </w:r>
      <w:r>
        <w:rPr>
          <w:spacing w:val="-12"/>
          <w:sz w:val="20"/>
        </w:rPr>
        <w:t> </w:t>
      </w:r>
      <w:r>
        <w:rPr>
          <w:sz w:val="20"/>
        </w:rPr>
        <w:t>judges</w:t>
      </w:r>
      <w:r>
        <w:rPr>
          <w:spacing w:val="-13"/>
          <w:sz w:val="20"/>
        </w:rPr>
        <w:t> </w:t>
      </w:r>
      <w:r>
        <w:rPr>
          <w:sz w:val="20"/>
        </w:rPr>
        <w:t>are</w:t>
      </w:r>
      <w:r>
        <w:rPr>
          <w:spacing w:val="-12"/>
          <w:sz w:val="20"/>
        </w:rPr>
        <w:t> </w:t>
      </w:r>
      <w:r>
        <w:rPr>
          <w:sz w:val="20"/>
        </w:rPr>
        <w:t>carrying</w:t>
      </w:r>
      <w:r>
        <w:rPr>
          <w:spacing w:val="-13"/>
          <w:sz w:val="20"/>
        </w:rPr>
        <w:t> </w:t>
      </w:r>
      <w:r>
        <w:rPr>
          <w:sz w:val="20"/>
        </w:rPr>
        <w:t>on</w:t>
      </w:r>
      <w:r>
        <w:rPr>
          <w:spacing w:val="-12"/>
          <w:sz w:val="20"/>
        </w:rPr>
        <w:t> </w:t>
      </w:r>
      <w:r>
        <w:rPr>
          <w:sz w:val="20"/>
        </w:rPr>
        <w:t>important work to amend and improve practices relating to judicial proceedings generally, while already implementing the best practices identified collaboratively at judicial retreats.</w:t>
      </w:r>
    </w:p>
    <w:p>
      <w:pPr>
        <w:pStyle w:val="BodyText"/>
      </w:pPr>
    </w:p>
    <w:p>
      <w:pPr>
        <w:pStyle w:val="BodyText"/>
        <w:spacing w:before="6"/>
        <w:rPr>
          <w:sz w:val="25"/>
        </w:rPr>
      </w:pPr>
      <w:r>
        <w:rPr/>
        <w:pict>
          <v:rect style="position:absolute;margin-left:113.330002pt;margin-top:15.919863pt;width:144.050pt;height:.48004pt;mso-position-horizontal-relative:page;mso-position-vertical-relative:paragraph;z-index:-15719424;mso-wrap-distance-left:0;mso-wrap-distance-right:0" id="docshape56" filled="true" fillcolor="#000000" stroked="false">
            <v:fill type="solid"/>
            <w10:wrap type="topAndBottom"/>
          </v:rect>
        </w:pict>
      </w:r>
    </w:p>
    <w:p>
      <w:pPr>
        <w:spacing w:line="240" w:lineRule="auto" w:before="86"/>
        <w:ind w:left="2246" w:right="2241" w:firstLine="0"/>
        <w:jc w:val="both"/>
        <w:rPr>
          <w:sz w:val="16"/>
        </w:rPr>
      </w:pPr>
      <w:r>
        <w:rPr>
          <w:position w:val="5"/>
          <w:sz w:val="10"/>
        </w:rPr>
        <w:t>14</w:t>
      </w:r>
      <w:r>
        <w:rPr>
          <w:spacing w:val="13"/>
          <w:position w:val="5"/>
          <w:sz w:val="10"/>
        </w:rPr>
        <w:t> </w:t>
      </w:r>
      <w:r>
        <w:rPr>
          <w:sz w:val="16"/>
        </w:rPr>
        <w:t>Pursuant</w:t>
      </w:r>
      <w:r>
        <w:rPr>
          <w:spacing w:val="-5"/>
          <w:sz w:val="16"/>
        </w:rPr>
        <w:t> </w:t>
      </w:r>
      <w:r>
        <w:rPr>
          <w:sz w:val="16"/>
        </w:rPr>
        <w:t>to</w:t>
      </w:r>
      <w:r>
        <w:rPr>
          <w:spacing w:val="-2"/>
          <w:sz w:val="16"/>
        </w:rPr>
        <w:t> </w:t>
      </w:r>
      <w:r>
        <w:rPr>
          <w:sz w:val="16"/>
        </w:rPr>
        <w:t>articles</w:t>
      </w:r>
      <w:r>
        <w:rPr>
          <w:spacing w:val="-4"/>
          <w:sz w:val="16"/>
        </w:rPr>
        <w:t> </w:t>
      </w:r>
      <w:r>
        <w:rPr>
          <w:sz w:val="16"/>
        </w:rPr>
        <w:t>34(b)</w:t>
      </w:r>
      <w:r>
        <w:rPr>
          <w:spacing w:val="-4"/>
          <w:sz w:val="16"/>
        </w:rPr>
        <w:t> </w:t>
      </w:r>
      <w:r>
        <w:rPr>
          <w:sz w:val="16"/>
        </w:rPr>
        <w:t>and</w:t>
      </w:r>
      <w:r>
        <w:rPr>
          <w:spacing w:val="-2"/>
          <w:sz w:val="16"/>
        </w:rPr>
        <w:t> </w:t>
      </w:r>
      <w:r>
        <w:rPr>
          <w:sz w:val="16"/>
        </w:rPr>
        <w:t>36(1)</w:t>
      </w:r>
      <w:r>
        <w:rPr>
          <w:spacing w:val="-4"/>
          <w:sz w:val="16"/>
        </w:rPr>
        <w:t> </w:t>
      </w:r>
      <w:r>
        <w:rPr>
          <w:sz w:val="16"/>
        </w:rPr>
        <w:t>of</w:t>
      </w:r>
      <w:r>
        <w:rPr>
          <w:spacing w:val="-4"/>
          <w:sz w:val="16"/>
        </w:rPr>
        <w:t> </w:t>
      </w:r>
      <w:r>
        <w:rPr>
          <w:sz w:val="16"/>
        </w:rPr>
        <w:t>the</w:t>
      </w:r>
      <w:r>
        <w:rPr>
          <w:spacing w:val="-3"/>
          <w:sz w:val="16"/>
        </w:rPr>
        <w:t> </w:t>
      </w:r>
      <w:r>
        <w:rPr>
          <w:sz w:val="16"/>
        </w:rPr>
        <w:t>Rome</w:t>
      </w:r>
      <w:r>
        <w:rPr>
          <w:spacing w:val="-3"/>
          <w:sz w:val="16"/>
        </w:rPr>
        <w:t> </w:t>
      </w:r>
      <w:r>
        <w:rPr>
          <w:sz w:val="16"/>
        </w:rPr>
        <w:t>Statute,</w:t>
      </w:r>
      <w:r>
        <w:rPr>
          <w:spacing w:val="-5"/>
          <w:sz w:val="16"/>
        </w:rPr>
        <w:t> </w:t>
      </w:r>
      <w:r>
        <w:rPr>
          <w:sz w:val="16"/>
        </w:rPr>
        <w:t>the</w:t>
      </w:r>
      <w:r>
        <w:rPr>
          <w:spacing w:val="-3"/>
          <w:sz w:val="16"/>
        </w:rPr>
        <w:t> </w:t>
      </w:r>
      <w:r>
        <w:rPr>
          <w:sz w:val="16"/>
        </w:rPr>
        <w:t>Chambers</w:t>
      </w:r>
      <w:r>
        <w:rPr>
          <w:spacing w:val="-4"/>
          <w:sz w:val="16"/>
        </w:rPr>
        <w:t> </w:t>
      </w:r>
      <w:r>
        <w:rPr>
          <w:sz w:val="16"/>
        </w:rPr>
        <w:t>are</w:t>
      </w:r>
      <w:r>
        <w:rPr>
          <w:spacing w:val="-3"/>
          <w:sz w:val="16"/>
        </w:rPr>
        <w:t> </w:t>
      </w:r>
      <w:r>
        <w:rPr>
          <w:sz w:val="16"/>
        </w:rPr>
        <w:t>composed</w:t>
      </w:r>
      <w:r>
        <w:rPr>
          <w:spacing w:val="-2"/>
          <w:sz w:val="16"/>
        </w:rPr>
        <w:t> </w:t>
      </w:r>
      <w:r>
        <w:rPr>
          <w:sz w:val="16"/>
        </w:rPr>
        <w:t>of 18</w:t>
      </w:r>
      <w:r>
        <w:rPr>
          <w:spacing w:val="-2"/>
          <w:sz w:val="16"/>
        </w:rPr>
        <w:t> </w:t>
      </w:r>
      <w:r>
        <w:rPr>
          <w:sz w:val="16"/>
        </w:rPr>
        <w:t>judges</w:t>
      </w:r>
      <w:r>
        <w:rPr>
          <w:spacing w:val="-4"/>
          <w:sz w:val="16"/>
        </w:rPr>
        <w:t> </w:t>
      </w:r>
      <w:r>
        <w:rPr>
          <w:sz w:val="16"/>
        </w:rPr>
        <w:t>and</w:t>
      </w:r>
      <w:r>
        <w:rPr>
          <w:spacing w:val="-2"/>
          <w:sz w:val="16"/>
        </w:rPr>
        <w:t> </w:t>
      </w:r>
      <w:r>
        <w:rPr>
          <w:sz w:val="16"/>
        </w:rPr>
        <w:t>organized</w:t>
      </w:r>
      <w:r>
        <w:rPr>
          <w:spacing w:val="40"/>
          <w:sz w:val="16"/>
        </w:rPr>
        <w:t> </w:t>
      </w:r>
      <w:r>
        <w:rPr>
          <w:sz w:val="16"/>
        </w:rPr>
        <w:t>into three divisions: Pre-Trial, Trial and Appeals. In consultation with the judges, the Presidency decides on the</w:t>
      </w:r>
      <w:r>
        <w:rPr>
          <w:spacing w:val="40"/>
          <w:sz w:val="16"/>
        </w:rPr>
        <w:t> </w:t>
      </w:r>
      <w:r>
        <w:rPr>
          <w:sz w:val="16"/>
        </w:rPr>
        <w:t>assignment</w:t>
      </w:r>
      <w:r>
        <w:rPr>
          <w:spacing w:val="-4"/>
          <w:sz w:val="16"/>
        </w:rPr>
        <w:t> </w:t>
      </w:r>
      <w:r>
        <w:rPr>
          <w:sz w:val="16"/>
        </w:rPr>
        <w:t>of</w:t>
      </w:r>
      <w:r>
        <w:rPr>
          <w:spacing w:val="-3"/>
          <w:sz w:val="16"/>
        </w:rPr>
        <w:t> </w:t>
      </w:r>
      <w:r>
        <w:rPr>
          <w:sz w:val="16"/>
        </w:rPr>
        <w:t>judges</w:t>
      </w:r>
      <w:r>
        <w:rPr>
          <w:spacing w:val="-3"/>
          <w:sz w:val="16"/>
        </w:rPr>
        <w:t> </w:t>
      </w:r>
      <w:r>
        <w:rPr>
          <w:sz w:val="16"/>
        </w:rPr>
        <w:t>to</w:t>
      </w:r>
      <w:r>
        <w:rPr>
          <w:spacing w:val="-1"/>
          <w:sz w:val="16"/>
        </w:rPr>
        <w:t> </w:t>
      </w:r>
      <w:r>
        <w:rPr>
          <w:sz w:val="16"/>
        </w:rPr>
        <w:t>judicial</w:t>
      </w:r>
      <w:r>
        <w:rPr>
          <w:spacing w:val="-4"/>
          <w:sz w:val="16"/>
        </w:rPr>
        <w:t> </w:t>
      </w:r>
      <w:r>
        <w:rPr>
          <w:sz w:val="16"/>
        </w:rPr>
        <w:t>divisions</w:t>
      </w:r>
      <w:r>
        <w:rPr>
          <w:spacing w:val="-3"/>
          <w:sz w:val="16"/>
        </w:rPr>
        <w:t> </w:t>
      </w:r>
      <w:r>
        <w:rPr>
          <w:sz w:val="16"/>
        </w:rPr>
        <w:t>and</w:t>
      </w:r>
      <w:r>
        <w:rPr>
          <w:spacing w:val="-1"/>
          <w:sz w:val="16"/>
        </w:rPr>
        <w:t> </w:t>
      </w:r>
      <w:r>
        <w:rPr>
          <w:sz w:val="16"/>
        </w:rPr>
        <w:t>assigns</w:t>
      </w:r>
      <w:r>
        <w:rPr>
          <w:spacing w:val="-3"/>
          <w:sz w:val="16"/>
        </w:rPr>
        <w:t> </w:t>
      </w:r>
      <w:r>
        <w:rPr>
          <w:sz w:val="16"/>
        </w:rPr>
        <w:t>situations</w:t>
      </w:r>
      <w:r>
        <w:rPr>
          <w:spacing w:val="-3"/>
          <w:sz w:val="16"/>
        </w:rPr>
        <w:t> </w:t>
      </w:r>
      <w:r>
        <w:rPr>
          <w:sz w:val="16"/>
        </w:rPr>
        <w:t>and</w:t>
      </w:r>
      <w:r>
        <w:rPr>
          <w:spacing w:val="-1"/>
          <w:sz w:val="16"/>
        </w:rPr>
        <w:t> </w:t>
      </w:r>
      <w:r>
        <w:rPr>
          <w:sz w:val="16"/>
        </w:rPr>
        <w:t>cases</w:t>
      </w:r>
      <w:r>
        <w:rPr>
          <w:spacing w:val="-3"/>
          <w:sz w:val="16"/>
        </w:rPr>
        <w:t> </w:t>
      </w:r>
      <w:r>
        <w:rPr>
          <w:sz w:val="16"/>
        </w:rPr>
        <w:t>to</w:t>
      </w:r>
      <w:r>
        <w:rPr>
          <w:spacing w:val="-6"/>
          <w:sz w:val="16"/>
        </w:rPr>
        <w:t> </w:t>
      </w:r>
      <w:r>
        <w:rPr>
          <w:sz w:val="16"/>
        </w:rPr>
        <w:t>the</w:t>
      </w:r>
      <w:r>
        <w:rPr>
          <w:spacing w:val="-2"/>
          <w:sz w:val="16"/>
        </w:rPr>
        <w:t> </w:t>
      </w:r>
      <w:r>
        <w:rPr>
          <w:sz w:val="16"/>
        </w:rPr>
        <w:t>Pre-Trial</w:t>
      </w:r>
      <w:r>
        <w:rPr>
          <w:spacing w:val="-4"/>
          <w:sz w:val="16"/>
        </w:rPr>
        <w:t> </w:t>
      </w:r>
      <w:r>
        <w:rPr>
          <w:sz w:val="16"/>
        </w:rPr>
        <w:t>and</w:t>
      </w:r>
      <w:r>
        <w:rPr>
          <w:spacing w:val="-1"/>
          <w:sz w:val="16"/>
        </w:rPr>
        <w:t> </w:t>
      </w:r>
      <w:r>
        <w:rPr>
          <w:sz w:val="16"/>
        </w:rPr>
        <w:t>Trial Chambers.</w:t>
      </w:r>
      <w:r>
        <w:rPr>
          <w:spacing w:val="-4"/>
          <w:sz w:val="16"/>
        </w:rPr>
        <w:t> </w:t>
      </w:r>
      <w:r>
        <w:rPr>
          <w:sz w:val="16"/>
        </w:rPr>
        <w:t>The</w:t>
      </w:r>
      <w:r>
        <w:rPr>
          <w:spacing w:val="40"/>
          <w:sz w:val="16"/>
        </w:rPr>
        <w:t> </w:t>
      </w:r>
      <w:r>
        <w:rPr>
          <w:sz w:val="16"/>
        </w:rPr>
        <w:t>Appeals Division deals with interlocutory and final appeals against decisions taken in the other divisions. Within</w:t>
      </w:r>
      <w:r>
        <w:rPr>
          <w:spacing w:val="40"/>
          <w:sz w:val="16"/>
        </w:rPr>
        <w:t> </w:t>
      </w:r>
      <w:r>
        <w:rPr>
          <w:sz w:val="16"/>
        </w:rPr>
        <w:t>the confines of the Rome Statute, a flexible approach to workload allocation among the judges will continue to be</w:t>
      </w:r>
      <w:r>
        <w:rPr>
          <w:spacing w:val="40"/>
          <w:sz w:val="16"/>
        </w:rPr>
        <w:t> </w:t>
      </w:r>
      <w:r>
        <w:rPr>
          <w:sz w:val="16"/>
        </w:rPr>
        <w:t>adopted</w:t>
      </w:r>
      <w:r>
        <w:rPr>
          <w:spacing w:val="-8"/>
          <w:sz w:val="16"/>
        </w:rPr>
        <w:t> </w:t>
      </w:r>
      <w:r>
        <w:rPr>
          <w:sz w:val="16"/>
        </w:rPr>
        <w:t>to</w:t>
      </w:r>
      <w:r>
        <w:rPr>
          <w:spacing w:val="-6"/>
          <w:sz w:val="16"/>
        </w:rPr>
        <w:t> </w:t>
      </w:r>
      <w:r>
        <w:rPr>
          <w:sz w:val="16"/>
        </w:rPr>
        <w:t>allow</w:t>
      </w:r>
      <w:r>
        <w:rPr>
          <w:spacing w:val="-7"/>
          <w:sz w:val="16"/>
        </w:rPr>
        <w:t> </w:t>
      </w:r>
      <w:r>
        <w:rPr>
          <w:sz w:val="16"/>
        </w:rPr>
        <w:t>for</w:t>
      </w:r>
      <w:r>
        <w:rPr>
          <w:spacing w:val="-8"/>
          <w:sz w:val="16"/>
        </w:rPr>
        <w:t> </w:t>
      </w:r>
      <w:r>
        <w:rPr>
          <w:sz w:val="16"/>
        </w:rPr>
        <w:t>the</w:t>
      </w:r>
      <w:r>
        <w:rPr>
          <w:spacing w:val="-6"/>
          <w:sz w:val="16"/>
        </w:rPr>
        <w:t> </w:t>
      </w:r>
      <w:r>
        <w:rPr>
          <w:sz w:val="16"/>
        </w:rPr>
        <w:t>most</w:t>
      </w:r>
      <w:r>
        <w:rPr>
          <w:spacing w:val="-9"/>
          <w:sz w:val="16"/>
        </w:rPr>
        <w:t> </w:t>
      </w:r>
      <w:r>
        <w:rPr>
          <w:sz w:val="16"/>
        </w:rPr>
        <w:t>effective</w:t>
      </w:r>
      <w:r>
        <w:rPr>
          <w:spacing w:val="-6"/>
          <w:sz w:val="16"/>
        </w:rPr>
        <w:t> </w:t>
      </w:r>
      <w:r>
        <w:rPr>
          <w:sz w:val="16"/>
        </w:rPr>
        <w:t>use</w:t>
      </w:r>
      <w:r>
        <w:rPr>
          <w:spacing w:val="-6"/>
          <w:sz w:val="16"/>
        </w:rPr>
        <w:t> </w:t>
      </w:r>
      <w:r>
        <w:rPr>
          <w:sz w:val="16"/>
        </w:rPr>
        <w:t>of</w:t>
      </w:r>
      <w:r>
        <w:rPr>
          <w:spacing w:val="-8"/>
          <w:sz w:val="16"/>
        </w:rPr>
        <w:t> </w:t>
      </w:r>
      <w:r>
        <w:rPr>
          <w:sz w:val="16"/>
        </w:rPr>
        <w:t>resources</w:t>
      </w:r>
      <w:r>
        <w:rPr>
          <w:spacing w:val="-7"/>
          <w:sz w:val="16"/>
        </w:rPr>
        <w:t> </w:t>
      </w:r>
      <w:r>
        <w:rPr>
          <w:sz w:val="16"/>
        </w:rPr>
        <w:t>and</w:t>
      </w:r>
      <w:r>
        <w:rPr>
          <w:spacing w:val="-6"/>
          <w:sz w:val="16"/>
        </w:rPr>
        <w:t> </w:t>
      </w:r>
      <w:r>
        <w:rPr>
          <w:sz w:val="16"/>
        </w:rPr>
        <w:t>to</w:t>
      </w:r>
      <w:r>
        <w:rPr>
          <w:spacing w:val="-6"/>
          <w:sz w:val="16"/>
        </w:rPr>
        <w:t> </w:t>
      </w:r>
      <w:r>
        <w:rPr>
          <w:sz w:val="16"/>
        </w:rPr>
        <w:t>avoid</w:t>
      </w:r>
      <w:r>
        <w:rPr>
          <w:spacing w:val="-6"/>
          <w:sz w:val="16"/>
        </w:rPr>
        <w:t> </w:t>
      </w:r>
      <w:r>
        <w:rPr>
          <w:sz w:val="16"/>
        </w:rPr>
        <w:t>requests</w:t>
      </w:r>
      <w:r>
        <w:rPr>
          <w:spacing w:val="-10"/>
          <w:sz w:val="16"/>
        </w:rPr>
        <w:t> </w:t>
      </w:r>
      <w:r>
        <w:rPr>
          <w:sz w:val="16"/>
        </w:rPr>
        <w:t>for</w:t>
      </w:r>
      <w:r>
        <w:rPr>
          <w:spacing w:val="-8"/>
          <w:sz w:val="16"/>
        </w:rPr>
        <w:t> </w:t>
      </w:r>
      <w:r>
        <w:rPr>
          <w:sz w:val="16"/>
        </w:rPr>
        <w:t>new</w:t>
      </w:r>
      <w:r>
        <w:rPr>
          <w:spacing w:val="-7"/>
          <w:sz w:val="16"/>
        </w:rPr>
        <w:t> </w:t>
      </w:r>
      <w:r>
        <w:rPr>
          <w:sz w:val="16"/>
        </w:rPr>
        <w:t>resources</w:t>
      </w:r>
      <w:r>
        <w:rPr>
          <w:spacing w:val="-7"/>
          <w:sz w:val="16"/>
        </w:rPr>
        <w:t> </w:t>
      </w:r>
      <w:r>
        <w:rPr>
          <w:sz w:val="16"/>
        </w:rPr>
        <w:t>even</w:t>
      </w:r>
      <w:r>
        <w:rPr>
          <w:spacing w:val="-6"/>
          <w:sz w:val="16"/>
        </w:rPr>
        <w:t> </w:t>
      </w:r>
      <w:r>
        <w:rPr>
          <w:sz w:val="16"/>
        </w:rPr>
        <w:t>if</w:t>
      </w:r>
      <w:r>
        <w:rPr>
          <w:spacing w:val="-8"/>
          <w:sz w:val="16"/>
        </w:rPr>
        <w:t> </w:t>
      </w:r>
      <w:r>
        <w:rPr>
          <w:sz w:val="16"/>
        </w:rPr>
        <w:t>the</w:t>
      </w:r>
      <w:r>
        <w:rPr>
          <w:spacing w:val="-6"/>
          <w:sz w:val="16"/>
        </w:rPr>
        <w:t> </w:t>
      </w:r>
      <w:r>
        <w:rPr>
          <w:sz w:val="16"/>
        </w:rPr>
        <w:t>workload</w:t>
      </w:r>
      <w:r>
        <w:rPr>
          <w:spacing w:val="40"/>
          <w:sz w:val="16"/>
        </w:rPr>
        <w:t> </w:t>
      </w:r>
      <w:r>
        <w:rPr>
          <w:sz w:val="16"/>
        </w:rPr>
        <w:t>in some divisions</w:t>
      </w:r>
      <w:r>
        <w:rPr>
          <w:spacing w:val="-4"/>
          <w:sz w:val="16"/>
        </w:rPr>
        <w:t> </w:t>
      </w:r>
      <w:r>
        <w:rPr>
          <w:sz w:val="16"/>
        </w:rPr>
        <w:t>and</w:t>
      </w:r>
      <w:r>
        <w:rPr>
          <w:spacing w:val="-2"/>
          <w:sz w:val="16"/>
        </w:rPr>
        <w:t> </w:t>
      </w:r>
      <w:r>
        <w:rPr>
          <w:sz w:val="16"/>
        </w:rPr>
        <w:t>chambers increases.</w:t>
      </w:r>
      <w:r>
        <w:rPr>
          <w:spacing w:val="-1"/>
          <w:sz w:val="16"/>
        </w:rPr>
        <w:t> </w:t>
      </w:r>
      <w:r>
        <w:rPr>
          <w:sz w:val="16"/>
        </w:rPr>
        <w:t>Depending on the workload in</w:t>
      </w:r>
      <w:r>
        <w:rPr>
          <w:spacing w:val="-2"/>
          <w:sz w:val="16"/>
        </w:rPr>
        <w:t> </w:t>
      </w:r>
      <w:r>
        <w:rPr>
          <w:sz w:val="16"/>
        </w:rPr>
        <w:t>a</w:t>
      </w:r>
      <w:r>
        <w:rPr>
          <w:spacing w:val="-3"/>
          <w:sz w:val="16"/>
        </w:rPr>
        <w:t> </w:t>
      </w:r>
      <w:r>
        <w:rPr>
          <w:sz w:val="16"/>
        </w:rPr>
        <w:t>given division,</w:t>
      </w:r>
      <w:r>
        <w:rPr>
          <w:spacing w:val="-1"/>
          <w:sz w:val="16"/>
        </w:rPr>
        <w:t> </w:t>
      </w:r>
      <w:r>
        <w:rPr>
          <w:sz w:val="16"/>
        </w:rPr>
        <w:t>pre-trial judges may be</w:t>
      </w:r>
      <w:r>
        <w:rPr>
          <w:spacing w:val="40"/>
          <w:sz w:val="16"/>
        </w:rPr>
        <w:t> </w:t>
      </w:r>
      <w:r>
        <w:rPr>
          <w:sz w:val="16"/>
        </w:rPr>
        <w:t>assigned to trial and reparations work and trial judges to pre-trial work, and both pre-trial and trial judges may be</w:t>
      </w:r>
      <w:r>
        <w:rPr>
          <w:spacing w:val="40"/>
          <w:sz w:val="16"/>
        </w:rPr>
        <w:t> </w:t>
      </w:r>
      <w:r>
        <w:rPr>
          <w:sz w:val="16"/>
        </w:rPr>
        <w:t>assigned</w:t>
      </w:r>
      <w:r>
        <w:rPr>
          <w:spacing w:val="-2"/>
          <w:sz w:val="16"/>
        </w:rPr>
        <w:t> </w:t>
      </w:r>
      <w:r>
        <w:rPr>
          <w:sz w:val="16"/>
        </w:rPr>
        <w:t>to</w:t>
      </w:r>
      <w:r>
        <w:rPr>
          <w:spacing w:val="-2"/>
          <w:sz w:val="16"/>
        </w:rPr>
        <w:t> </w:t>
      </w:r>
      <w:r>
        <w:rPr>
          <w:sz w:val="16"/>
        </w:rPr>
        <w:t>specific</w:t>
      </w:r>
      <w:r>
        <w:rPr>
          <w:spacing w:val="-3"/>
          <w:sz w:val="16"/>
        </w:rPr>
        <w:t> </w:t>
      </w:r>
      <w:r>
        <w:rPr>
          <w:sz w:val="16"/>
        </w:rPr>
        <w:t>appeals</w:t>
      </w:r>
      <w:r>
        <w:rPr>
          <w:spacing w:val="-4"/>
          <w:sz w:val="16"/>
        </w:rPr>
        <w:t> </w:t>
      </w:r>
      <w:r>
        <w:rPr>
          <w:sz w:val="16"/>
        </w:rPr>
        <w:t>where</w:t>
      </w:r>
      <w:r>
        <w:rPr>
          <w:spacing w:val="-3"/>
          <w:sz w:val="16"/>
        </w:rPr>
        <w:t> </w:t>
      </w:r>
      <w:r>
        <w:rPr>
          <w:sz w:val="16"/>
        </w:rPr>
        <w:t>there</w:t>
      </w:r>
      <w:r>
        <w:rPr>
          <w:spacing w:val="-3"/>
          <w:sz w:val="16"/>
        </w:rPr>
        <w:t> </w:t>
      </w:r>
      <w:r>
        <w:rPr>
          <w:sz w:val="16"/>
        </w:rPr>
        <w:t>is</w:t>
      </w:r>
      <w:r>
        <w:rPr>
          <w:spacing w:val="-4"/>
          <w:sz w:val="16"/>
        </w:rPr>
        <w:t> </w:t>
      </w:r>
      <w:r>
        <w:rPr>
          <w:sz w:val="16"/>
        </w:rPr>
        <w:t>a</w:t>
      </w:r>
      <w:r>
        <w:rPr>
          <w:spacing w:val="-3"/>
          <w:sz w:val="16"/>
        </w:rPr>
        <w:t> </w:t>
      </w:r>
      <w:r>
        <w:rPr>
          <w:sz w:val="16"/>
        </w:rPr>
        <w:t>conflict</w:t>
      </w:r>
      <w:r>
        <w:rPr>
          <w:spacing w:val="-5"/>
          <w:sz w:val="16"/>
        </w:rPr>
        <w:t> </w:t>
      </w:r>
      <w:r>
        <w:rPr>
          <w:sz w:val="16"/>
        </w:rPr>
        <w:t>of</w:t>
      </w:r>
      <w:r>
        <w:rPr>
          <w:spacing w:val="-4"/>
          <w:sz w:val="16"/>
        </w:rPr>
        <w:t> </w:t>
      </w:r>
      <w:r>
        <w:rPr>
          <w:sz w:val="16"/>
        </w:rPr>
        <w:t>interest</w:t>
      </w:r>
      <w:r>
        <w:rPr>
          <w:spacing w:val="-5"/>
          <w:sz w:val="16"/>
        </w:rPr>
        <w:t> </w:t>
      </w:r>
      <w:r>
        <w:rPr>
          <w:sz w:val="16"/>
        </w:rPr>
        <w:t>or where</w:t>
      </w:r>
      <w:r>
        <w:rPr>
          <w:spacing w:val="-3"/>
          <w:sz w:val="16"/>
        </w:rPr>
        <w:t> </w:t>
      </w:r>
      <w:r>
        <w:rPr>
          <w:sz w:val="16"/>
        </w:rPr>
        <w:t>other</w:t>
      </w:r>
      <w:r>
        <w:rPr>
          <w:spacing w:val="-4"/>
          <w:sz w:val="16"/>
        </w:rPr>
        <w:t> </w:t>
      </w:r>
      <w:r>
        <w:rPr>
          <w:sz w:val="16"/>
        </w:rPr>
        <w:t>circumstances</w:t>
      </w:r>
      <w:r>
        <w:rPr>
          <w:spacing w:val="-4"/>
          <w:sz w:val="16"/>
        </w:rPr>
        <w:t> </w:t>
      </w:r>
      <w:r>
        <w:rPr>
          <w:sz w:val="16"/>
        </w:rPr>
        <w:t>require</w:t>
      </w:r>
      <w:r>
        <w:rPr>
          <w:spacing w:val="-3"/>
          <w:sz w:val="16"/>
        </w:rPr>
        <w:t> </w:t>
      </w:r>
      <w:r>
        <w:rPr>
          <w:sz w:val="16"/>
        </w:rPr>
        <w:t>the</w:t>
      </w:r>
      <w:r>
        <w:rPr>
          <w:spacing w:val="-3"/>
          <w:sz w:val="16"/>
        </w:rPr>
        <w:t> </w:t>
      </w:r>
      <w:r>
        <w:rPr>
          <w:sz w:val="16"/>
        </w:rPr>
        <w:t>temporary</w:t>
      </w:r>
      <w:r>
        <w:rPr>
          <w:spacing w:val="40"/>
          <w:sz w:val="16"/>
        </w:rPr>
        <w:t> </w:t>
      </w:r>
      <w:r>
        <w:rPr>
          <w:sz w:val="16"/>
        </w:rPr>
        <w:t>replacement of an appeals judge.</w:t>
      </w:r>
    </w:p>
    <w:p>
      <w:pPr>
        <w:spacing w:line="183" w:lineRule="exact" w:before="4"/>
        <w:ind w:left="2246" w:right="0" w:firstLine="0"/>
        <w:jc w:val="both"/>
        <w:rPr>
          <w:sz w:val="16"/>
        </w:rPr>
      </w:pPr>
      <w:r>
        <w:rPr>
          <w:position w:val="5"/>
          <w:sz w:val="10"/>
        </w:rPr>
        <w:t>15</w:t>
      </w:r>
      <w:r>
        <w:rPr>
          <w:spacing w:val="13"/>
          <w:position w:val="5"/>
          <w:sz w:val="10"/>
        </w:rPr>
        <w:t> </w:t>
      </w:r>
      <w:r>
        <w:rPr>
          <w:sz w:val="16"/>
        </w:rPr>
        <w:t>Article</w:t>
      </w:r>
      <w:r>
        <w:rPr>
          <w:spacing w:val="-2"/>
          <w:sz w:val="16"/>
        </w:rPr>
        <w:t> </w:t>
      </w:r>
      <w:r>
        <w:rPr>
          <w:sz w:val="16"/>
        </w:rPr>
        <w:t>64(2)</w:t>
      </w:r>
      <w:r>
        <w:rPr>
          <w:spacing w:val="-3"/>
          <w:sz w:val="16"/>
        </w:rPr>
        <w:t> </w:t>
      </w:r>
      <w:r>
        <w:rPr>
          <w:sz w:val="16"/>
        </w:rPr>
        <w:t>of</w:t>
      </w:r>
      <w:r>
        <w:rPr>
          <w:spacing w:val="-3"/>
          <w:sz w:val="16"/>
        </w:rPr>
        <w:t> </w:t>
      </w:r>
      <w:r>
        <w:rPr>
          <w:sz w:val="16"/>
        </w:rPr>
        <w:t>the</w:t>
      </w:r>
      <w:r>
        <w:rPr>
          <w:spacing w:val="-3"/>
          <w:sz w:val="16"/>
        </w:rPr>
        <w:t> </w:t>
      </w:r>
      <w:r>
        <w:rPr>
          <w:sz w:val="16"/>
        </w:rPr>
        <w:t>Rome</w:t>
      </w:r>
      <w:r>
        <w:rPr>
          <w:spacing w:val="-2"/>
          <w:sz w:val="16"/>
        </w:rPr>
        <w:t> Statute.</w:t>
      </w:r>
    </w:p>
    <w:p>
      <w:pPr>
        <w:spacing w:before="0"/>
        <w:ind w:left="2246" w:right="2245" w:firstLine="0"/>
        <w:jc w:val="both"/>
        <w:rPr>
          <w:sz w:val="16"/>
        </w:rPr>
      </w:pPr>
      <w:r>
        <w:rPr>
          <w:position w:val="5"/>
          <w:sz w:val="10"/>
        </w:rPr>
        <w:t>16</w:t>
      </w:r>
      <w:r>
        <w:rPr>
          <w:spacing w:val="27"/>
          <w:position w:val="5"/>
          <w:sz w:val="10"/>
        </w:rPr>
        <w:t> </w:t>
      </w:r>
      <w:r>
        <w:rPr>
          <w:sz w:val="16"/>
        </w:rPr>
        <w:t>Chambers Practice Manual, deadlines regarding decision of the Trial Chamber, p. 25, and deadlines regarding</w:t>
      </w:r>
      <w:r>
        <w:rPr>
          <w:spacing w:val="40"/>
          <w:sz w:val="16"/>
        </w:rPr>
        <w:t> </w:t>
      </w:r>
      <w:r>
        <w:rPr>
          <w:sz w:val="16"/>
        </w:rPr>
        <w:t>decisions of the Appeals Chamber, p. 26.</w:t>
      </w:r>
    </w:p>
    <w:p>
      <w:pPr>
        <w:spacing w:after="0"/>
        <w:jc w:val="both"/>
        <w:rPr>
          <w:sz w:val="16"/>
        </w:rPr>
        <w:sectPr>
          <w:pgSz w:w="11910" w:h="16840"/>
          <w:pgMar w:header="953" w:footer="940" w:top="1140" w:bottom="1140" w:left="20" w:right="20"/>
        </w:sectPr>
      </w:pPr>
    </w:p>
    <w:p>
      <w:pPr>
        <w:spacing w:before="120"/>
        <w:ind w:left="2246" w:right="0" w:firstLine="0"/>
        <w:jc w:val="left"/>
        <w:rPr>
          <w:i/>
          <w:sz w:val="20"/>
        </w:rPr>
      </w:pPr>
      <w:r>
        <w:rPr>
          <w:i/>
          <w:sz w:val="20"/>
        </w:rPr>
        <w:t>Flexible</w:t>
      </w:r>
      <w:r>
        <w:rPr>
          <w:i/>
          <w:spacing w:val="-5"/>
          <w:sz w:val="20"/>
        </w:rPr>
        <w:t> </w:t>
      </w:r>
      <w:r>
        <w:rPr>
          <w:i/>
          <w:sz w:val="20"/>
        </w:rPr>
        <w:t>allocation</w:t>
      </w:r>
      <w:r>
        <w:rPr>
          <w:i/>
          <w:spacing w:val="-9"/>
          <w:sz w:val="20"/>
        </w:rPr>
        <w:t> </w:t>
      </w:r>
      <w:r>
        <w:rPr>
          <w:i/>
          <w:sz w:val="20"/>
        </w:rPr>
        <w:t>of</w:t>
      </w:r>
      <w:r>
        <w:rPr>
          <w:i/>
          <w:spacing w:val="-6"/>
          <w:sz w:val="20"/>
        </w:rPr>
        <w:t> </w:t>
      </w:r>
      <w:r>
        <w:rPr>
          <w:i/>
          <w:spacing w:val="-4"/>
          <w:sz w:val="20"/>
        </w:rPr>
        <w:t>staff</w:t>
      </w:r>
    </w:p>
    <w:p>
      <w:pPr>
        <w:pStyle w:val="BodyText"/>
        <w:spacing w:before="10"/>
        <w:rPr>
          <w:i/>
        </w:rPr>
      </w:pPr>
    </w:p>
    <w:p>
      <w:pPr>
        <w:pStyle w:val="ListParagraph"/>
        <w:numPr>
          <w:ilvl w:val="0"/>
          <w:numId w:val="4"/>
        </w:numPr>
        <w:tabs>
          <w:tab w:pos="2967" w:val="left" w:leader="none"/>
        </w:tabs>
        <w:spacing w:line="240" w:lineRule="auto" w:before="1" w:after="0"/>
        <w:ind w:left="2246" w:right="2243" w:firstLine="0"/>
        <w:jc w:val="both"/>
        <w:rPr>
          <w:sz w:val="20"/>
        </w:rPr>
      </w:pPr>
      <w:r>
        <w:rPr>
          <w:sz w:val="20"/>
        </w:rPr>
        <w:t>The Chambers have, for a number of years, implemented an approach of flexible staff assignment across</w:t>
      </w:r>
      <w:r>
        <w:rPr>
          <w:spacing w:val="-1"/>
          <w:sz w:val="20"/>
        </w:rPr>
        <w:t> </w:t>
      </w:r>
      <w:r>
        <w:rPr>
          <w:sz w:val="20"/>
        </w:rPr>
        <w:t>the three divisions</w:t>
      </w:r>
      <w:r>
        <w:rPr>
          <w:spacing w:val="-1"/>
          <w:sz w:val="20"/>
        </w:rPr>
        <w:t> </w:t>
      </w:r>
      <w:r>
        <w:rPr>
          <w:sz w:val="20"/>
        </w:rPr>
        <w:t>according to need. In line with</w:t>
      </w:r>
      <w:r>
        <w:rPr>
          <w:spacing w:val="-4"/>
          <w:sz w:val="20"/>
        </w:rPr>
        <w:t> </w:t>
      </w:r>
      <w:r>
        <w:rPr>
          <w:sz w:val="20"/>
        </w:rPr>
        <w:t>this</w:t>
      </w:r>
      <w:r>
        <w:rPr>
          <w:spacing w:val="-5"/>
          <w:sz w:val="20"/>
        </w:rPr>
        <w:t> </w:t>
      </w:r>
      <w:r>
        <w:rPr>
          <w:sz w:val="20"/>
        </w:rPr>
        <w:t>approach,</w:t>
      </w:r>
      <w:r>
        <w:rPr>
          <w:spacing w:val="-1"/>
          <w:sz w:val="20"/>
        </w:rPr>
        <w:t> </w:t>
      </w:r>
      <w:r>
        <w:rPr>
          <w:sz w:val="20"/>
        </w:rPr>
        <w:t>the Chambers</w:t>
      </w:r>
      <w:r>
        <w:rPr>
          <w:spacing w:val="-6"/>
          <w:sz w:val="20"/>
        </w:rPr>
        <w:t> </w:t>
      </w:r>
      <w:r>
        <w:rPr>
          <w:sz w:val="20"/>
        </w:rPr>
        <w:t>have</w:t>
      </w:r>
      <w:r>
        <w:rPr>
          <w:spacing w:val="-3"/>
          <w:sz w:val="20"/>
        </w:rPr>
        <w:t> </w:t>
      </w:r>
      <w:r>
        <w:rPr>
          <w:sz w:val="20"/>
        </w:rPr>
        <w:t>managed staffing</w:t>
      </w:r>
      <w:r>
        <w:rPr>
          <w:spacing w:val="-1"/>
          <w:sz w:val="20"/>
        </w:rPr>
        <w:t> </w:t>
      </w:r>
      <w:r>
        <w:rPr>
          <w:sz w:val="20"/>
        </w:rPr>
        <w:t>resources</w:t>
      </w:r>
      <w:r>
        <w:rPr>
          <w:spacing w:val="-6"/>
          <w:sz w:val="20"/>
        </w:rPr>
        <w:t> </w:t>
      </w:r>
      <w:r>
        <w:rPr>
          <w:sz w:val="20"/>
        </w:rPr>
        <w:t>in</w:t>
      </w:r>
      <w:r>
        <w:rPr>
          <w:spacing w:val="-5"/>
          <w:sz w:val="20"/>
        </w:rPr>
        <w:t> </w:t>
      </w:r>
      <w:r>
        <w:rPr>
          <w:sz w:val="20"/>
        </w:rPr>
        <w:t>a flexible, justifiable and</w:t>
      </w:r>
      <w:r>
        <w:rPr>
          <w:spacing w:val="-5"/>
          <w:sz w:val="20"/>
        </w:rPr>
        <w:t> </w:t>
      </w:r>
      <w:r>
        <w:rPr>
          <w:sz w:val="20"/>
        </w:rPr>
        <w:t>transparent</w:t>
      </w:r>
      <w:r>
        <w:rPr>
          <w:spacing w:val="-3"/>
          <w:sz w:val="20"/>
        </w:rPr>
        <w:t> </w:t>
      </w:r>
      <w:r>
        <w:rPr>
          <w:sz w:val="20"/>
        </w:rPr>
        <w:t>manner, on the basis of actual workload requirements, in order to handle their dynamic workload. This approach ensures that the Chambers receive optimal support across all three divisions, depending on the circumstances, with sufficient staff continuity to avoid disruption and </w:t>
      </w:r>
      <w:r>
        <w:rPr>
          <w:spacing w:val="-2"/>
          <w:sz w:val="20"/>
        </w:rPr>
        <w:t>delays.</w:t>
      </w:r>
    </w:p>
    <w:p>
      <w:pPr>
        <w:pStyle w:val="BodyText"/>
        <w:spacing w:before="1"/>
        <w:rPr>
          <w:sz w:val="21"/>
        </w:rPr>
      </w:pPr>
    </w:p>
    <w:p>
      <w:pPr>
        <w:tabs>
          <w:tab w:pos="8133" w:val="left" w:leader="none"/>
        </w:tabs>
        <w:spacing w:before="1"/>
        <w:ind w:left="2246" w:right="0" w:firstLine="0"/>
        <w:jc w:val="left"/>
        <w:rPr>
          <w:i/>
          <w:sz w:val="20"/>
        </w:rPr>
      </w:pPr>
      <w:r>
        <w:rPr>
          <w:i/>
          <w:sz w:val="20"/>
        </w:rPr>
        <w:t>Judges’</w:t>
      </w:r>
      <w:r>
        <w:rPr>
          <w:i/>
          <w:spacing w:val="-10"/>
          <w:sz w:val="20"/>
        </w:rPr>
        <w:t> </w:t>
      </w:r>
      <w:r>
        <w:rPr>
          <w:i/>
          <w:spacing w:val="-2"/>
          <w:sz w:val="20"/>
        </w:rPr>
        <w:t>costs</w:t>
      </w:r>
      <w:r>
        <w:rPr>
          <w:i/>
          <w:sz w:val="20"/>
        </w:rPr>
        <w:tab/>
        <w:t>€5,211.2</w:t>
      </w:r>
      <w:r>
        <w:rPr>
          <w:i/>
          <w:spacing w:val="-5"/>
          <w:sz w:val="20"/>
        </w:rPr>
        <w:t> </w:t>
      </w:r>
      <w:r>
        <w:rPr>
          <w:i/>
          <w:spacing w:val="-2"/>
          <w:sz w:val="20"/>
        </w:rPr>
        <w:t>thousand</w:t>
      </w:r>
    </w:p>
    <w:p>
      <w:pPr>
        <w:pStyle w:val="BodyText"/>
        <w:spacing w:before="10"/>
        <w:rPr>
          <w:i/>
        </w:rPr>
      </w:pPr>
    </w:p>
    <w:p>
      <w:pPr>
        <w:pStyle w:val="ListParagraph"/>
        <w:numPr>
          <w:ilvl w:val="0"/>
          <w:numId w:val="4"/>
        </w:numPr>
        <w:tabs>
          <w:tab w:pos="2967" w:val="left" w:leader="none"/>
        </w:tabs>
        <w:spacing w:line="240" w:lineRule="auto" w:before="0" w:after="0"/>
        <w:ind w:left="2967" w:right="0" w:hanging="721"/>
        <w:jc w:val="both"/>
        <w:rPr>
          <w:sz w:val="20"/>
        </w:rPr>
      </w:pPr>
      <w:r>
        <w:rPr>
          <w:sz w:val="20"/>
        </w:rPr>
        <w:t>Continued</w:t>
      </w:r>
      <w:r>
        <w:rPr>
          <w:spacing w:val="-9"/>
          <w:sz w:val="20"/>
        </w:rPr>
        <w:t> </w:t>
      </w:r>
      <w:r>
        <w:rPr>
          <w:sz w:val="20"/>
        </w:rPr>
        <w:t>funding</w:t>
      </w:r>
      <w:r>
        <w:rPr>
          <w:spacing w:val="-6"/>
          <w:sz w:val="20"/>
        </w:rPr>
        <w:t> </w:t>
      </w:r>
      <w:r>
        <w:rPr>
          <w:sz w:val="20"/>
        </w:rPr>
        <w:t>is</w:t>
      </w:r>
      <w:r>
        <w:rPr>
          <w:spacing w:val="-8"/>
          <w:sz w:val="20"/>
        </w:rPr>
        <w:t> </w:t>
      </w:r>
      <w:r>
        <w:rPr>
          <w:sz w:val="20"/>
        </w:rPr>
        <w:t>requested</w:t>
      </w:r>
      <w:r>
        <w:rPr>
          <w:spacing w:val="-6"/>
          <w:sz w:val="20"/>
        </w:rPr>
        <w:t> </w:t>
      </w:r>
      <w:r>
        <w:rPr>
          <w:sz w:val="20"/>
        </w:rPr>
        <w:t>for</w:t>
      </w:r>
      <w:r>
        <w:rPr>
          <w:spacing w:val="-6"/>
          <w:sz w:val="20"/>
        </w:rPr>
        <w:t> </w:t>
      </w:r>
      <w:r>
        <w:rPr>
          <w:sz w:val="20"/>
        </w:rPr>
        <w:t>the</w:t>
      </w:r>
      <w:r>
        <w:rPr>
          <w:spacing w:val="-5"/>
          <w:sz w:val="20"/>
        </w:rPr>
        <w:t> </w:t>
      </w:r>
      <w:r>
        <w:rPr>
          <w:sz w:val="20"/>
        </w:rPr>
        <w:t>full</w:t>
      </w:r>
      <w:r>
        <w:rPr>
          <w:spacing w:val="-4"/>
          <w:sz w:val="20"/>
        </w:rPr>
        <w:t> </w:t>
      </w:r>
      <w:r>
        <w:rPr>
          <w:sz w:val="20"/>
        </w:rPr>
        <w:t>complement</w:t>
      </w:r>
      <w:r>
        <w:rPr>
          <w:spacing w:val="-5"/>
          <w:sz w:val="20"/>
        </w:rPr>
        <w:t> </w:t>
      </w:r>
      <w:r>
        <w:rPr>
          <w:sz w:val="20"/>
        </w:rPr>
        <w:t>of</w:t>
      </w:r>
      <w:r>
        <w:rPr>
          <w:spacing w:val="-6"/>
          <w:sz w:val="20"/>
        </w:rPr>
        <w:t> </w:t>
      </w:r>
      <w:r>
        <w:rPr>
          <w:sz w:val="20"/>
        </w:rPr>
        <w:t>18</w:t>
      </w:r>
      <w:r>
        <w:rPr>
          <w:spacing w:val="-2"/>
          <w:sz w:val="20"/>
        </w:rPr>
        <w:t> </w:t>
      </w:r>
      <w:r>
        <w:rPr>
          <w:sz w:val="20"/>
        </w:rPr>
        <w:t>full-time</w:t>
      </w:r>
      <w:r>
        <w:rPr>
          <w:spacing w:val="-4"/>
          <w:sz w:val="20"/>
        </w:rPr>
        <w:t> </w:t>
      </w:r>
      <w:r>
        <w:rPr>
          <w:spacing w:val="-2"/>
          <w:sz w:val="20"/>
        </w:rPr>
        <w:t>judges.</w:t>
      </w:r>
    </w:p>
    <w:p>
      <w:pPr>
        <w:pStyle w:val="ListParagraph"/>
        <w:numPr>
          <w:ilvl w:val="0"/>
          <w:numId w:val="4"/>
        </w:numPr>
        <w:tabs>
          <w:tab w:pos="2967" w:val="left" w:leader="none"/>
        </w:tabs>
        <w:spacing w:line="240" w:lineRule="auto" w:before="116" w:after="0"/>
        <w:ind w:left="2246" w:right="2238" w:firstLine="0"/>
        <w:jc w:val="both"/>
        <w:rPr>
          <w:sz w:val="20"/>
        </w:rPr>
      </w:pPr>
      <w:r>
        <w:rPr>
          <w:sz w:val="20"/>
        </w:rPr>
        <w:t>At</w:t>
      </w:r>
      <w:r>
        <w:rPr>
          <w:spacing w:val="-13"/>
          <w:sz w:val="20"/>
        </w:rPr>
        <w:t> </w:t>
      </w:r>
      <w:r>
        <w:rPr>
          <w:sz w:val="20"/>
        </w:rPr>
        <w:t>its</w:t>
      </w:r>
      <w:r>
        <w:rPr>
          <w:spacing w:val="-12"/>
          <w:sz w:val="20"/>
        </w:rPr>
        <w:t> </w:t>
      </w:r>
      <w:r>
        <w:rPr>
          <w:sz w:val="20"/>
        </w:rPr>
        <w:t>nineteenth</w:t>
      </w:r>
      <w:r>
        <w:rPr>
          <w:spacing w:val="-13"/>
          <w:sz w:val="20"/>
        </w:rPr>
        <w:t> </w:t>
      </w:r>
      <w:r>
        <w:rPr>
          <w:sz w:val="20"/>
        </w:rPr>
        <w:t>session,</w:t>
      </w:r>
      <w:r>
        <w:rPr>
          <w:spacing w:val="-12"/>
          <w:sz w:val="20"/>
        </w:rPr>
        <w:t> </w:t>
      </w:r>
      <w:r>
        <w:rPr>
          <w:sz w:val="20"/>
        </w:rPr>
        <w:t>the</w:t>
      </w:r>
      <w:r>
        <w:rPr>
          <w:spacing w:val="-13"/>
          <w:sz w:val="20"/>
        </w:rPr>
        <w:t> </w:t>
      </w:r>
      <w:r>
        <w:rPr>
          <w:sz w:val="20"/>
        </w:rPr>
        <w:t>Assembly</w:t>
      </w:r>
      <w:r>
        <w:rPr>
          <w:spacing w:val="-12"/>
          <w:sz w:val="20"/>
        </w:rPr>
        <w:t> </w:t>
      </w:r>
      <w:r>
        <w:rPr>
          <w:sz w:val="20"/>
        </w:rPr>
        <w:t>adopted</w:t>
      </w:r>
      <w:r>
        <w:rPr>
          <w:spacing w:val="-13"/>
          <w:sz w:val="20"/>
        </w:rPr>
        <w:t> </w:t>
      </w:r>
      <w:r>
        <w:rPr>
          <w:sz w:val="20"/>
        </w:rPr>
        <w:t>a</w:t>
      </w:r>
      <w:r>
        <w:rPr>
          <w:spacing w:val="-12"/>
          <w:sz w:val="20"/>
        </w:rPr>
        <w:t> </w:t>
      </w:r>
      <w:r>
        <w:rPr>
          <w:sz w:val="20"/>
        </w:rPr>
        <w:t>resolution</w:t>
      </w:r>
      <w:r>
        <w:rPr>
          <w:spacing w:val="-13"/>
          <w:sz w:val="20"/>
        </w:rPr>
        <w:t> </w:t>
      </w:r>
      <w:r>
        <w:rPr>
          <w:sz w:val="20"/>
        </w:rPr>
        <w:t>to</w:t>
      </w:r>
      <w:r>
        <w:rPr>
          <w:spacing w:val="-12"/>
          <w:sz w:val="20"/>
        </w:rPr>
        <w:t> </w:t>
      </w:r>
      <w:r>
        <w:rPr>
          <w:sz w:val="20"/>
        </w:rPr>
        <w:t>amend</w:t>
      </w:r>
      <w:r>
        <w:rPr>
          <w:spacing w:val="-13"/>
          <w:sz w:val="20"/>
        </w:rPr>
        <w:t> </w:t>
      </w:r>
      <w:r>
        <w:rPr>
          <w:sz w:val="20"/>
        </w:rPr>
        <w:t>the</w:t>
      </w:r>
      <w:r>
        <w:rPr>
          <w:spacing w:val="-12"/>
          <w:sz w:val="20"/>
        </w:rPr>
        <w:t> </w:t>
      </w:r>
      <w:r>
        <w:rPr>
          <w:sz w:val="20"/>
        </w:rPr>
        <w:t>conditions of service and compensation of the Court’s judges by replacing them with the conditions attaching to the level of Under-Secretary-General (USG) in the UNCS, including participation</w:t>
      </w:r>
      <w:r>
        <w:rPr>
          <w:spacing w:val="-13"/>
          <w:sz w:val="20"/>
        </w:rPr>
        <w:t> </w:t>
      </w:r>
      <w:r>
        <w:rPr>
          <w:sz w:val="20"/>
        </w:rPr>
        <w:t>in</w:t>
      </w:r>
      <w:r>
        <w:rPr>
          <w:spacing w:val="-12"/>
          <w:sz w:val="20"/>
        </w:rPr>
        <w:t> </w:t>
      </w:r>
      <w:r>
        <w:rPr>
          <w:sz w:val="20"/>
        </w:rPr>
        <w:t>the</w:t>
      </w:r>
      <w:r>
        <w:rPr>
          <w:spacing w:val="-13"/>
          <w:sz w:val="20"/>
        </w:rPr>
        <w:t> </w:t>
      </w:r>
      <w:r>
        <w:rPr>
          <w:sz w:val="20"/>
        </w:rPr>
        <w:t>United</w:t>
      </w:r>
      <w:r>
        <w:rPr>
          <w:spacing w:val="-12"/>
          <w:sz w:val="20"/>
        </w:rPr>
        <w:t> </w:t>
      </w:r>
      <w:r>
        <w:rPr>
          <w:sz w:val="20"/>
        </w:rPr>
        <w:t>Nations</w:t>
      </w:r>
      <w:r>
        <w:rPr>
          <w:spacing w:val="-13"/>
          <w:sz w:val="20"/>
        </w:rPr>
        <w:t> </w:t>
      </w:r>
      <w:r>
        <w:rPr>
          <w:sz w:val="20"/>
        </w:rPr>
        <w:t>Joint</w:t>
      </w:r>
      <w:r>
        <w:rPr>
          <w:spacing w:val="-12"/>
          <w:sz w:val="20"/>
        </w:rPr>
        <w:t> </w:t>
      </w:r>
      <w:r>
        <w:rPr>
          <w:sz w:val="20"/>
        </w:rPr>
        <w:t>Staff</w:t>
      </w:r>
      <w:r>
        <w:rPr>
          <w:spacing w:val="-13"/>
          <w:sz w:val="20"/>
        </w:rPr>
        <w:t> </w:t>
      </w:r>
      <w:r>
        <w:rPr>
          <w:sz w:val="20"/>
        </w:rPr>
        <w:t>Pension</w:t>
      </w:r>
      <w:r>
        <w:rPr>
          <w:spacing w:val="-12"/>
          <w:sz w:val="20"/>
        </w:rPr>
        <w:t> </w:t>
      </w:r>
      <w:r>
        <w:rPr>
          <w:sz w:val="20"/>
        </w:rPr>
        <w:t>Fund.</w:t>
      </w:r>
      <w:r>
        <w:rPr>
          <w:sz w:val="20"/>
          <w:vertAlign w:val="superscript"/>
        </w:rPr>
        <w:t>17</w:t>
      </w:r>
      <w:r>
        <w:rPr>
          <w:spacing w:val="-13"/>
          <w:sz w:val="20"/>
          <w:vertAlign w:val="baseline"/>
        </w:rPr>
        <w:t> </w:t>
      </w:r>
      <w:r>
        <w:rPr>
          <w:sz w:val="20"/>
          <w:vertAlign w:val="baseline"/>
        </w:rPr>
        <w:t>The</w:t>
      </w:r>
      <w:r>
        <w:rPr>
          <w:spacing w:val="-12"/>
          <w:sz w:val="20"/>
          <w:vertAlign w:val="baseline"/>
        </w:rPr>
        <w:t> </w:t>
      </w:r>
      <w:r>
        <w:rPr>
          <w:sz w:val="20"/>
          <w:vertAlign w:val="baseline"/>
        </w:rPr>
        <w:t>resources</w:t>
      </w:r>
      <w:r>
        <w:rPr>
          <w:spacing w:val="-13"/>
          <w:sz w:val="20"/>
          <w:vertAlign w:val="baseline"/>
        </w:rPr>
        <w:t> </w:t>
      </w:r>
      <w:r>
        <w:rPr>
          <w:sz w:val="20"/>
          <w:vertAlign w:val="baseline"/>
        </w:rPr>
        <w:t>requested</w:t>
      </w:r>
      <w:r>
        <w:rPr>
          <w:spacing w:val="-12"/>
          <w:sz w:val="20"/>
          <w:vertAlign w:val="baseline"/>
        </w:rPr>
        <w:t> </w:t>
      </w:r>
      <w:r>
        <w:rPr>
          <w:sz w:val="20"/>
          <w:vertAlign w:val="baseline"/>
        </w:rPr>
        <w:t>herein are calculated in accordance with the provisions of that resolution.</w:t>
      </w:r>
    </w:p>
    <w:p>
      <w:pPr>
        <w:pStyle w:val="ListParagraph"/>
        <w:numPr>
          <w:ilvl w:val="0"/>
          <w:numId w:val="4"/>
        </w:numPr>
        <w:tabs>
          <w:tab w:pos="2967" w:val="left" w:leader="none"/>
        </w:tabs>
        <w:spacing w:line="240" w:lineRule="auto" w:before="122" w:after="0"/>
        <w:ind w:left="2246" w:right="2240" w:firstLine="0"/>
        <w:jc w:val="both"/>
        <w:rPr>
          <w:sz w:val="20"/>
        </w:rPr>
      </w:pPr>
      <w:r>
        <w:rPr>
          <w:sz w:val="20"/>
        </w:rPr>
        <w:t>As</w:t>
      </w:r>
      <w:r>
        <w:rPr>
          <w:spacing w:val="-12"/>
          <w:sz w:val="20"/>
        </w:rPr>
        <w:t> </w:t>
      </w:r>
      <w:r>
        <w:rPr>
          <w:sz w:val="20"/>
        </w:rPr>
        <w:t>2022</w:t>
      </w:r>
      <w:r>
        <w:rPr>
          <w:spacing w:val="-8"/>
          <w:sz w:val="20"/>
        </w:rPr>
        <w:t> </w:t>
      </w:r>
      <w:r>
        <w:rPr>
          <w:sz w:val="20"/>
        </w:rPr>
        <w:t>was</w:t>
      </w:r>
      <w:r>
        <w:rPr>
          <w:spacing w:val="-13"/>
          <w:sz w:val="20"/>
        </w:rPr>
        <w:t> </w:t>
      </w:r>
      <w:r>
        <w:rPr>
          <w:sz w:val="20"/>
        </w:rPr>
        <w:t>the</w:t>
      </w:r>
      <w:r>
        <w:rPr>
          <w:spacing w:val="-10"/>
          <w:sz w:val="20"/>
        </w:rPr>
        <w:t> </w:t>
      </w:r>
      <w:r>
        <w:rPr>
          <w:sz w:val="20"/>
        </w:rPr>
        <w:t>first</w:t>
      </w:r>
      <w:r>
        <w:rPr>
          <w:spacing w:val="-12"/>
          <w:sz w:val="20"/>
        </w:rPr>
        <w:t> </w:t>
      </w:r>
      <w:r>
        <w:rPr>
          <w:sz w:val="20"/>
        </w:rPr>
        <w:t>year</w:t>
      </w:r>
      <w:r>
        <w:rPr>
          <w:spacing w:val="-13"/>
          <w:sz w:val="20"/>
        </w:rPr>
        <w:t> </w:t>
      </w:r>
      <w:r>
        <w:rPr>
          <w:sz w:val="20"/>
        </w:rPr>
        <w:t>in</w:t>
      </w:r>
      <w:r>
        <w:rPr>
          <w:spacing w:val="-7"/>
          <w:sz w:val="20"/>
        </w:rPr>
        <w:t> </w:t>
      </w:r>
      <w:r>
        <w:rPr>
          <w:sz w:val="20"/>
        </w:rPr>
        <w:t>which</w:t>
      </w:r>
      <w:r>
        <w:rPr>
          <w:spacing w:val="-8"/>
          <w:sz w:val="20"/>
        </w:rPr>
        <w:t> </w:t>
      </w:r>
      <w:r>
        <w:rPr>
          <w:sz w:val="20"/>
        </w:rPr>
        <w:t>only</w:t>
      </w:r>
      <w:r>
        <w:rPr>
          <w:spacing w:val="-13"/>
          <w:sz w:val="20"/>
        </w:rPr>
        <w:t> </w:t>
      </w:r>
      <w:r>
        <w:rPr>
          <w:sz w:val="20"/>
        </w:rPr>
        <w:t>the</w:t>
      </w:r>
      <w:r>
        <w:rPr>
          <w:spacing w:val="-6"/>
          <w:sz w:val="20"/>
        </w:rPr>
        <w:t> </w:t>
      </w:r>
      <w:r>
        <w:rPr>
          <w:sz w:val="20"/>
        </w:rPr>
        <w:t>UNCS</w:t>
      </w:r>
      <w:r>
        <w:rPr>
          <w:spacing w:val="-6"/>
          <w:sz w:val="20"/>
        </w:rPr>
        <w:t> </w:t>
      </w:r>
      <w:r>
        <w:rPr>
          <w:sz w:val="20"/>
        </w:rPr>
        <w:t>was</w:t>
      </w:r>
      <w:r>
        <w:rPr>
          <w:spacing w:val="-10"/>
          <w:sz w:val="20"/>
        </w:rPr>
        <w:t> </w:t>
      </w:r>
      <w:r>
        <w:rPr>
          <w:sz w:val="20"/>
        </w:rPr>
        <w:t>used</w:t>
      </w:r>
      <w:r>
        <w:rPr>
          <w:spacing w:val="-13"/>
          <w:sz w:val="20"/>
        </w:rPr>
        <w:t> </w:t>
      </w:r>
      <w:r>
        <w:rPr>
          <w:sz w:val="20"/>
        </w:rPr>
        <w:t>as</w:t>
      </w:r>
      <w:r>
        <w:rPr>
          <w:spacing w:val="-9"/>
          <w:sz w:val="20"/>
        </w:rPr>
        <w:t> </w:t>
      </w:r>
      <w:r>
        <w:rPr>
          <w:sz w:val="20"/>
        </w:rPr>
        <w:t>the</w:t>
      </w:r>
      <w:r>
        <w:rPr>
          <w:spacing w:val="-7"/>
          <w:sz w:val="20"/>
        </w:rPr>
        <w:t> </w:t>
      </w:r>
      <w:r>
        <w:rPr>
          <w:sz w:val="20"/>
        </w:rPr>
        <w:t>scale</w:t>
      </w:r>
      <w:r>
        <w:rPr>
          <w:spacing w:val="-7"/>
          <w:sz w:val="20"/>
        </w:rPr>
        <w:t> </w:t>
      </w:r>
      <w:r>
        <w:rPr>
          <w:sz w:val="20"/>
        </w:rPr>
        <w:t>for</w:t>
      </w:r>
      <w:r>
        <w:rPr>
          <w:spacing w:val="-13"/>
          <w:sz w:val="20"/>
        </w:rPr>
        <w:t> </w:t>
      </w:r>
      <w:r>
        <w:rPr>
          <w:sz w:val="20"/>
        </w:rPr>
        <w:t>judges’ entitlements, Annex</w:t>
      </w:r>
      <w:r>
        <w:rPr>
          <w:spacing w:val="-1"/>
          <w:sz w:val="20"/>
        </w:rPr>
        <w:t> </w:t>
      </w:r>
      <w:r>
        <w:rPr>
          <w:sz w:val="20"/>
        </w:rPr>
        <w:t>VI(a) in the Proposed Programme Budget for 2022</w:t>
      </w:r>
      <w:r>
        <w:rPr>
          <w:spacing w:val="-1"/>
          <w:sz w:val="20"/>
        </w:rPr>
        <w:t> </w:t>
      </w:r>
      <w:r>
        <w:rPr>
          <w:sz w:val="20"/>
        </w:rPr>
        <w:t>concerning</w:t>
      </w:r>
      <w:r>
        <w:rPr>
          <w:spacing w:val="-1"/>
          <w:sz w:val="20"/>
        </w:rPr>
        <w:t> </w:t>
      </w:r>
      <w:r>
        <w:rPr>
          <w:sz w:val="20"/>
        </w:rPr>
        <w:t>judges’ costs retained separate line items for salary, pension contributions, medical aid cover, dependency</w:t>
      </w:r>
      <w:r>
        <w:rPr>
          <w:spacing w:val="-6"/>
          <w:sz w:val="20"/>
        </w:rPr>
        <w:t> </w:t>
      </w:r>
      <w:r>
        <w:rPr>
          <w:sz w:val="20"/>
        </w:rPr>
        <w:t>allowance,</w:t>
      </w:r>
      <w:r>
        <w:rPr>
          <w:spacing w:val="-3"/>
          <w:sz w:val="20"/>
        </w:rPr>
        <w:t> </w:t>
      </w:r>
      <w:r>
        <w:rPr>
          <w:sz w:val="20"/>
        </w:rPr>
        <w:t>education</w:t>
      </w:r>
      <w:r>
        <w:rPr>
          <w:spacing w:val="-6"/>
          <w:sz w:val="20"/>
        </w:rPr>
        <w:t> </w:t>
      </w:r>
      <w:r>
        <w:rPr>
          <w:sz w:val="20"/>
        </w:rPr>
        <w:t>grant, service-incurred</w:t>
      </w:r>
      <w:r>
        <w:rPr>
          <w:spacing w:val="-6"/>
          <w:sz w:val="20"/>
        </w:rPr>
        <w:t> </w:t>
      </w:r>
      <w:r>
        <w:rPr>
          <w:sz w:val="20"/>
        </w:rPr>
        <w:t>injury</w:t>
      </w:r>
      <w:r>
        <w:rPr>
          <w:spacing w:val="-1"/>
          <w:sz w:val="20"/>
        </w:rPr>
        <w:t> </w:t>
      </w:r>
      <w:r>
        <w:rPr>
          <w:sz w:val="20"/>
        </w:rPr>
        <w:t>insurance</w:t>
      </w:r>
      <w:r>
        <w:rPr>
          <w:spacing w:val="-4"/>
          <w:sz w:val="20"/>
        </w:rPr>
        <w:t> </w:t>
      </w:r>
      <w:r>
        <w:rPr>
          <w:sz w:val="20"/>
        </w:rPr>
        <w:t>and</w:t>
      </w:r>
      <w:r>
        <w:rPr>
          <w:spacing w:val="-6"/>
          <w:sz w:val="20"/>
        </w:rPr>
        <w:t> </w:t>
      </w:r>
      <w:r>
        <w:rPr>
          <w:sz w:val="20"/>
        </w:rPr>
        <w:t>other</w:t>
      </w:r>
      <w:r>
        <w:rPr>
          <w:spacing w:val="-1"/>
          <w:sz w:val="20"/>
        </w:rPr>
        <w:t> </w:t>
      </w:r>
      <w:r>
        <w:rPr>
          <w:sz w:val="20"/>
        </w:rPr>
        <w:t>specific costs. Following careful monitoring of the implementation of the UNCS, a change to the budgeting</w:t>
      </w:r>
      <w:r>
        <w:rPr>
          <w:spacing w:val="-13"/>
          <w:sz w:val="20"/>
        </w:rPr>
        <w:t> </w:t>
      </w:r>
      <w:r>
        <w:rPr>
          <w:sz w:val="20"/>
        </w:rPr>
        <w:t>format</w:t>
      </w:r>
      <w:r>
        <w:rPr>
          <w:spacing w:val="-12"/>
          <w:sz w:val="20"/>
        </w:rPr>
        <w:t> </w:t>
      </w:r>
      <w:r>
        <w:rPr>
          <w:sz w:val="20"/>
        </w:rPr>
        <w:t>for</w:t>
      </w:r>
      <w:r>
        <w:rPr>
          <w:spacing w:val="-13"/>
          <w:sz w:val="20"/>
        </w:rPr>
        <w:t> </w:t>
      </w:r>
      <w:r>
        <w:rPr>
          <w:sz w:val="20"/>
        </w:rPr>
        <w:t>judges’</w:t>
      </w:r>
      <w:r>
        <w:rPr>
          <w:spacing w:val="-12"/>
          <w:sz w:val="20"/>
        </w:rPr>
        <w:t> </w:t>
      </w:r>
      <w:r>
        <w:rPr>
          <w:sz w:val="20"/>
        </w:rPr>
        <w:t>costs</w:t>
      </w:r>
      <w:r>
        <w:rPr>
          <w:spacing w:val="-13"/>
          <w:sz w:val="20"/>
        </w:rPr>
        <w:t> </w:t>
      </w:r>
      <w:r>
        <w:rPr>
          <w:sz w:val="20"/>
        </w:rPr>
        <w:t>(illustrated</w:t>
      </w:r>
      <w:r>
        <w:rPr>
          <w:spacing w:val="-12"/>
          <w:sz w:val="20"/>
        </w:rPr>
        <w:t> </w:t>
      </w:r>
      <w:r>
        <w:rPr>
          <w:sz w:val="20"/>
        </w:rPr>
        <w:t>in</w:t>
      </w:r>
      <w:r>
        <w:rPr>
          <w:spacing w:val="-13"/>
          <w:sz w:val="20"/>
        </w:rPr>
        <w:t> </w:t>
      </w:r>
      <w:r>
        <w:rPr>
          <w:sz w:val="20"/>
        </w:rPr>
        <w:t>Annex</w:t>
      </w:r>
      <w:r>
        <w:rPr>
          <w:spacing w:val="-12"/>
          <w:sz w:val="20"/>
        </w:rPr>
        <w:t> </w:t>
      </w:r>
      <w:r>
        <w:rPr>
          <w:sz w:val="20"/>
        </w:rPr>
        <w:t>VI)</w:t>
      </w:r>
      <w:r>
        <w:rPr>
          <w:spacing w:val="-13"/>
          <w:sz w:val="20"/>
        </w:rPr>
        <w:t> </w:t>
      </w:r>
      <w:r>
        <w:rPr>
          <w:sz w:val="20"/>
        </w:rPr>
        <w:t>is</w:t>
      </w:r>
      <w:r>
        <w:rPr>
          <w:spacing w:val="-12"/>
          <w:sz w:val="20"/>
        </w:rPr>
        <w:t> </w:t>
      </w:r>
      <w:r>
        <w:rPr>
          <w:sz w:val="20"/>
        </w:rPr>
        <w:t>considered</w:t>
      </w:r>
      <w:r>
        <w:rPr>
          <w:spacing w:val="-13"/>
          <w:sz w:val="20"/>
        </w:rPr>
        <w:t> </w:t>
      </w:r>
      <w:r>
        <w:rPr>
          <w:sz w:val="20"/>
        </w:rPr>
        <w:t>appropriate</w:t>
      </w:r>
      <w:r>
        <w:rPr>
          <w:spacing w:val="-12"/>
          <w:sz w:val="20"/>
        </w:rPr>
        <w:t> </w:t>
      </w:r>
      <w:r>
        <w:rPr>
          <w:sz w:val="20"/>
        </w:rPr>
        <w:t>to</w:t>
      </w:r>
      <w:r>
        <w:rPr>
          <w:spacing w:val="-13"/>
          <w:sz w:val="20"/>
        </w:rPr>
        <w:t> </w:t>
      </w:r>
      <w:r>
        <w:rPr>
          <w:sz w:val="20"/>
        </w:rPr>
        <w:t>bring it into line with that system. This change in approach uses the USG system to cover all previous</w:t>
      </w:r>
      <w:r>
        <w:rPr>
          <w:spacing w:val="-4"/>
          <w:sz w:val="20"/>
        </w:rPr>
        <w:t> </w:t>
      </w:r>
      <w:r>
        <w:rPr>
          <w:sz w:val="20"/>
        </w:rPr>
        <w:t>line</w:t>
      </w:r>
      <w:r>
        <w:rPr>
          <w:spacing w:val="-6"/>
          <w:sz w:val="20"/>
        </w:rPr>
        <w:t> </w:t>
      </w:r>
      <w:r>
        <w:rPr>
          <w:sz w:val="20"/>
        </w:rPr>
        <w:t>items, with</w:t>
      </w:r>
      <w:r>
        <w:rPr>
          <w:spacing w:val="-3"/>
          <w:sz w:val="20"/>
        </w:rPr>
        <w:t> </w:t>
      </w:r>
      <w:r>
        <w:rPr>
          <w:sz w:val="20"/>
        </w:rPr>
        <w:t>the</w:t>
      </w:r>
      <w:r>
        <w:rPr>
          <w:spacing w:val="-6"/>
          <w:sz w:val="20"/>
        </w:rPr>
        <w:t> </w:t>
      </w:r>
      <w:r>
        <w:rPr>
          <w:sz w:val="20"/>
        </w:rPr>
        <w:t>costs</w:t>
      </w:r>
      <w:r>
        <w:rPr>
          <w:spacing w:val="-4"/>
          <w:sz w:val="20"/>
        </w:rPr>
        <w:t> </w:t>
      </w:r>
      <w:r>
        <w:rPr>
          <w:sz w:val="20"/>
        </w:rPr>
        <w:t>of</w:t>
      </w:r>
      <w:r>
        <w:rPr>
          <w:spacing w:val="-7"/>
          <w:sz w:val="20"/>
        </w:rPr>
        <w:t> </w:t>
      </w:r>
      <w:r>
        <w:rPr>
          <w:sz w:val="20"/>
        </w:rPr>
        <w:t>arrival</w:t>
      </w:r>
      <w:r>
        <w:rPr>
          <w:spacing w:val="-1"/>
          <w:sz w:val="20"/>
        </w:rPr>
        <w:t> </w:t>
      </w:r>
      <w:r>
        <w:rPr>
          <w:sz w:val="20"/>
        </w:rPr>
        <w:t>and</w:t>
      </w:r>
      <w:r>
        <w:rPr>
          <w:spacing w:val="-3"/>
          <w:sz w:val="20"/>
        </w:rPr>
        <w:t> </w:t>
      </w:r>
      <w:r>
        <w:rPr>
          <w:sz w:val="20"/>
        </w:rPr>
        <w:t>departure</w:t>
      </w:r>
      <w:r>
        <w:rPr>
          <w:spacing w:val="-6"/>
          <w:sz w:val="20"/>
        </w:rPr>
        <w:t> </w:t>
      </w:r>
      <w:r>
        <w:rPr>
          <w:sz w:val="20"/>
        </w:rPr>
        <w:t>of</w:t>
      </w:r>
      <w:r>
        <w:rPr>
          <w:spacing w:val="-7"/>
          <w:sz w:val="20"/>
        </w:rPr>
        <w:t> </w:t>
      </w:r>
      <w:r>
        <w:rPr>
          <w:sz w:val="20"/>
        </w:rPr>
        <w:t>judges</w:t>
      </w:r>
      <w:r>
        <w:rPr>
          <w:spacing w:val="-4"/>
          <w:sz w:val="20"/>
        </w:rPr>
        <w:t> </w:t>
      </w:r>
      <w:r>
        <w:rPr>
          <w:sz w:val="20"/>
        </w:rPr>
        <w:t>retained</w:t>
      </w:r>
      <w:r>
        <w:rPr>
          <w:spacing w:val="-7"/>
          <w:sz w:val="20"/>
        </w:rPr>
        <w:t> </w:t>
      </w:r>
      <w:r>
        <w:rPr>
          <w:sz w:val="20"/>
        </w:rPr>
        <w:t>as</w:t>
      </w:r>
      <w:r>
        <w:rPr>
          <w:spacing w:val="-4"/>
          <w:sz w:val="20"/>
        </w:rPr>
        <w:t> </w:t>
      </w:r>
      <w:r>
        <w:rPr>
          <w:sz w:val="20"/>
        </w:rPr>
        <w:t>separate</w:t>
      </w:r>
      <w:r>
        <w:rPr>
          <w:spacing w:val="-6"/>
          <w:sz w:val="20"/>
        </w:rPr>
        <w:t> </w:t>
      </w:r>
      <w:r>
        <w:rPr>
          <w:sz w:val="20"/>
        </w:rPr>
        <w:t>line </w:t>
      </w:r>
      <w:r>
        <w:rPr>
          <w:spacing w:val="-2"/>
          <w:sz w:val="20"/>
        </w:rPr>
        <w:t>items.</w:t>
      </w:r>
    </w:p>
    <w:p>
      <w:pPr>
        <w:pStyle w:val="BodyText"/>
        <w:spacing w:before="10"/>
      </w:pPr>
    </w:p>
    <w:p>
      <w:pPr>
        <w:pStyle w:val="Heading3"/>
      </w:pPr>
      <w:r>
        <w:rPr/>
        <w:t>Activity</w:t>
      </w:r>
      <w:r>
        <w:rPr>
          <w:spacing w:val="-7"/>
        </w:rPr>
        <w:t> </w:t>
      </w:r>
      <w:r>
        <w:rPr>
          <w:spacing w:val="-2"/>
        </w:rPr>
        <w:t>assumptions</w:t>
      </w:r>
    </w:p>
    <w:p>
      <w:pPr>
        <w:pStyle w:val="BodyText"/>
        <w:spacing w:before="10"/>
        <w:rPr>
          <w:b/>
        </w:rPr>
      </w:pPr>
    </w:p>
    <w:p>
      <w:pPr>
        <w:spacing w:before="1"/>
        <w:ind w:left="2246" w:right="0" w:firstLine="0"/>
        <w:jc w:val="left"/>
        <w:rPr>
          <w:i/>
          <w:sz w:val="20"/>
        </w:rPr>
      </w:pPr>
      <w:r>
        <w:rPr>
          <w:i/>
          <w:sz w:val="20"/>
        </w:rPr>
        <w:t>Forecast</w:t>
      </w:r>
      <w:r>
        <w:rPr>
          <w:i/>
          <w:spacing w:val="-6"/>
          <w:sz w:val="20"/>
        </w:rPr>
        <w:t> </w:t>
      </w:r>
      <w:r>
        <w:rPr>
          <w:i/>
          <w:sz w:val="20"/>
        </w:rPr>
        <w:t>judicial</w:t>
      </w:r>
      <w:r>
        <w:rPr>
          <w:i/>
          <w:spacing w:val="-6"/>
          <w:sz w:val="20"/>
        </w:rPr>
        <w:t> </w:t>
      </w:r>
      <w:r>
        <w:rPr>
          <w:i/>
          <w:spacing w:val="-2"/>
          <w:sz w:val="20"/>
        </w:rPr>
        <w:t>activities</w:t>
      </w:r>
    </w:p>
    <w:p>
      <w:pPr>
        <w:pStyle w:val="BodyText"/>
        <w:spacing w:before="10"/>
        <w:rPr>
          <w:i/>
        </w:rPr>
      </w:pPr>
    </w:p>
    <w:p>
      <w:pPr>
        <w:pStyle w:val="ListParagraph"/>
        <w:numPr>
          <w:ilvl w:val="0"/>
          <w:numId w:val="4"/>
        </w:numPr>
        <w:tabs>
          <w:tab w:pos="2967" w:val="left" w:leader="none"/>
        </w:tabs>
        <w:spacing w:line="240" w:lineRule="auto" w:before="0" w:after="0"/>
        <w:ind w:left="2246" w:right="2239" w:firstLine="0"/>
        <w:jc w:val="both"/>
        <w:rPr>
          <w:sz w:val="20"/>
        </w:rPr>
      </w:pPr>
      <w:r>
        <w:rPr>
          <w:sz w:val="20"/>
        </w:rPr>
        <w:t>On the basis of the activity assumptions used for this budget proposal, the overall workload of the Chambers in 2023 is forecast to be higher than in 2022. Five trials are forecast</w:t>
      </w:r>
      <w:r>
        <w:rPr>
          <w:spacing w:val="30"/>
          <w:sz w:val="20"/>
        </w:rPr>
        <w:t> </w:t>
      </w:r>
      <w:r>
        <w:rPr>
          <w:sz w:val="20"/>
        </w:rPr>
        <w:t>to</w:t>
      </w:r>
      <w:r>
        <w:rPr>
          <w:spacing w:val="29"/>
          <w:sz w:val="20"/>
        </w:rPr>
        <w:t> </w:t>
      </w:r>
      <w:r>
        <w:rPr>
          <w:sz w:val="20"/>
        </w:rPr>
        <w:t>be</w:t>
      </w:r>
      <w:r>
        <w:rPr>
          <w:spacing w:val="30"/>
          <w:sz w:val="20"/>
        </w:rPr>
        <w:t> </w:t>
      </w:r>
      <w:r>
        <w:rPr>
          <w:sz w:val="20"/>
        </w:rPr>
        <w:t>ongoing,</w:t>
      </w:r>
      <w:r>
        <w:rPr>
          <w:spacing w:val="30"/>
          <w:sz w:val="20"/>
        </w:rPr>
        <w:t> </w:t>
      </w:r>
      <w:r>
        <w:rPr>
          <w:sz w:val="20"/>
        </w:rPr>
        <w:t>with</w:t>
      </w:r>
      <w:r>
        <w:rPr>
          <w:spacing w:val="29"/>
          <w:sz w:val="20"/>
        </w:rPr>
        <w:t> </w:t>
      </w:r>
      <w:r>
        <w:rPr>
          <w:sz w:val="20"/>
        </w:rPr>
        <w:t>significant</w:t>
      </w:r>
      <w:r>
        <w:rPr>
          <w:spacing w:val="30"/>
          <w:sz w:val="20"/>
        </w:rPr>
        <w:t> </w:t>
      </w:r>
      <w:r>
        <w:rPr>
          <w:sz w:val="20"/>
        </w:rPr>
        <w:t>trial</w:t>
      </w:r>
      <w:r>
        <w:rPr>
          <w:spacing w:val="30"/>
          <w:sz w:val="20"/>
        </w:rPr>
        <w:t> </w:t>
      </w:r>
      <w:r>
        <w:rPr>
          <w:sz w:val="20"/>
        </w:rPr>
        <w:t>hearings</w:t>
      </w:r>
      <w:r>
        <w:rPr>
          <w:spacing w:val="23"/>
          <w:sz w:val="20"/>
        </w:rPr>
        <w:t> </w:t>
      </w:r>
      <w:r>
        <w:rPr>
          <w:sz w:val="20"/>
        </w:rPr>
        <w:t>expected</w:t>
      </w:r>
      <w:r>
        <w:rPr>
          <w:spacing w:val="29"/>
          <w:sz w:val="20"/>
        </w:rPr>
        <w:t> </w:t>
      </w:r>
      <w:r>
        <w:rPr>
          <w:sz w:val="20"/>
        </w:rPr>
        <w:t>to</w:t>
      </w:r>
      <w:r>
        <w:rPr>
          <w:spacing w:val="29"/>
          <w:sz w:val="20"/>
        </w:rPr>
        <w:t> </w:t>
      </w:r>
      <w:r>
        <w:rPr>
          <w:sz w:val="20"/>
        </w:rPr>
        <w:t>take</w:t>
      </w:r>
      <w:r>
        <w:rPr>
          <w:spacing w:val="38"/>
          <w:sz w:val="20"/>
        </w:rPr>
        <w:t> </w:t>
      </w:r>
      <w:r>
        <w:rPr>
          <w:sz w:val="20"/>
        </w:rPr>
        <w:t>place</w:t>
      </w:r>
      <w:r>
        <w:rPr>
          <w:spacing w:val="30"/>
          <w:sz w:val="20"/>
        </w:rPr>
        <w:t> </w:t>
      </w:r>
      <w:r>
        <w:rPr>
          <w:sz w:val="20"/>
        </w:rPr>
        <w:t>throughout the</w:t>
      </w:r>
      <w:r>
        <w:rPr>
          <w:spacing w:val="-8"/>
          <w:sz w:val="20"/>
        </w:rPr>
        <w:t> </w:t>
      </w:r>
      <w:r>
        <w:rPr>
          <w:sz w:val="20"/>
        </w:rPr>
        <w:t>12-month</w:t>
      </w:r>
      <w:r>
        <w:rPr>
          <w:spacing w:val="-7"/>
          <w:sz w:val="20"/>
        </w:rPr>
        <w:t> </w:t>
      </w:r>
      <w:r>
        <w:rPr>
          <w:sz w:val="20"/>
        </w:rPr>
        <w:t>period</w:t>
      </w:r>
      <w:r>
        <w:rPr>
          <w:spacing w:val="-13"/>
          <w:sz w:val="20"/>
        </w:rPr>
        <w:t> </w:t>
      </w:r>
      <w:r>
        <w:rPr>
          <w:sz w:val="20"/>
        </w:rPr>
        <w:t>in</w:t>
      </w:r>
      <w:r>
        <w:rPr>
          <w:spacing w:val="-12"/>
          <w:sz w:val="20"/>
        </w:rPr>
        <w:t> </w:t>
      </w:r>
      <w:r>
        <w:rPr>
          <w:sz w:val="20"/>
        </w:rPr>
        <w:t>three</w:t>
      </w:r>
      <w:r>
        <w:rPr>
          <w:spacing w:val="-7"/>
          <w:sz w:val="20"/>
        </w:rPr>
        <w:t> </w:t>
      </w:r>
      <w:r>
        <w:rPr>
          <w:sz w:val="20"/>
        </w:rPr>
        <w:t>of</w:t>
      </w:r>
      <w:r>
        <w:rPr>
          <w:spacing w:val="-8"/>
          <w:sz w:val="20"/>
        </w:rPr>
        <w:t> </w:t>
      </w:r>
      <w:r>
        <w:rPr>
          <w:sz w:val="20"/>
        </w:rPr>
        <w:t>those</w:t>
      </w:r>
      <w:r>
        <w:rPr>
          <w:spacing w:val="-12"/>
          <w:sz w:val="20"/>
        </w:rPr>
        <w:t> </w:t>
      </w:r>
      <w:r>
        <w:rPr>
          <w:sz w:val="20"/>
        </w:rPr>
        <w:t>cases</w:t>
      </w:r>
      <w:r>
        <w:rPr>
          <w:sz w:val="20"/>
          <w:vertAlign w:val="superscript"/>
        </w:rPr>
        <w:t>18</w:t>
      </w:r>
      <w:r>
        <w:rPr>
          <w:spacing w:val="-6"/>
          <w:sz w:val="20"/>
          <w:vertAlign w:val="baseline"/>
        </w:rPr>
        <w:t> </w:t>
      </w:r>
      <w:r>
        <w:rPr>
          <w:sz w:val="20"/>
          <w:vertAlign w:val="baseline"/>
        </w:rPr>
        <w:t>and</w:t>
      </w:r>
      <w:r>
        <w:rPr>
          <w:spacing w:val="-13"/>
          <w:sz w:val="20"/>
          <w:vertAlign w:val="baseline"/>
        </w:rPr>
        <w:t> </w:t>
      </w:r>
      <w:r>
        <w:rPr>
          <w:sz w:val="20"/>
          <w:vertAlign w:val="baseline"/>
        </w:rPr>
        <w:t>the</w:t>
      </w:r>
      <w:r>
        <w:rPr>
          <w:spacing w:val="-10"/>
          <w:sz w:val="20"/>
          <w:vertAlign w:val="baseline"/>
        </w:rPr>
        <w:t> </w:t>
      </w:r>
      <w:r>
        <w:rPr>
          <w:sz w:val="20"/>
          <w:vertAlign w:val="baseline"/>
        </w:rPr>
        <w:t>other</w:t>
      </w:r>
      <w:r>
        <w:rPr>
          <w:spacing w:val="-13"/>
          <w:sz w:val="20"/>
          <w:vertAlign w:val="baseline"/>
        </w:rPr>
        <w:t> </w:t>
      </w:r>
      <w:r>
        <w:rPr>
          <w:sz w:val="20"/>
          <w:vertAlign w:val="baseline"/>
        </w:rPr>
        <w:t>two</w:t>
      </w:r>
      <w:r>
        <w:rPr>
          <w:spacing w:val="-12"/>
          <w:sz w:val="20"/>
          <w:vertAlign w:val="baseline"/>
        </w:rPr>
        <w:t> </w:t>
      </w:r>
      <w:r>
        <w:rPr>
          <w:sz w:val="20"/>
          <w:vertAlign w:val="baseline"/>
        </w:rPr>
        <w:t>cases</w:t>
      </w:r>
      <w:r>
        <w:rPr>
          <w:spacing w:val="-13"/>
          <w:sz w:val="20"/>
          <w:vertAlign w:val="baseline"/>
        </w:rPr>
        <w:t> </w:t>
      </w:r>
      <w:r>
        <w:rPr>
          <w:sz w:val="20"/>
          <w:vertAlign w:val="baseline"/>
        </w:rPr>
        <w:t>to</w:t>
      </w:r>
      <w:r>
        <w:rPr>
          <w:spacing w:val="-12"/>
          <w:sz w:val="20"/>
          <w:vertAlign w:val="baseline"/>
        </w:rPr>
        <w:t> </w:t>
      </w:r>
      <w:r>
        <w:rPr>
          <w:sz w:val="20"/>
          <w:vertAlign w:val="baseline"/>
        </w:rPr>
        <w:t>be</w:t>
      </w:r>
      <w:r>
        <w:rPr>
          <w:spacing w:val="-11"/>
          <w:sz w:val="20"/>
          <w:vertAlign w:val="baseline"/>
        </w:rPr>
        <w:t> </w:t>
      </w:r>
      <w:r>
        <w:rPr>
          <w:sz w:val="20"/>
          <w:vertAlign w:val="baseline"/>
        </w:rPr>
        <w:t>at</w:t>
      </w:r>
      <w:r>
        <w:rPr>
          <w:spacing w:val="-7"/>
          <w:sz w:val="20"/>
          <w:vertAlign w:val="baseline"/>
        </w:rPr>
        <w:t> </w:t>
      </w:r>
      <w:r>
        <w:rPr>
          <w:sz w:val="20"/>
          <w:vertAlign w:val="baseline"/>
        </w:rPr>
        <w:t>the</w:t>
      </w:r>
      <w:r>
        <w:rPr>
          <w:spacing w:val="-11"/>
          <w:sz w:val="20"/>
          <w:vertAlign w:val="baseline"/>
        </w:rPr>
        <w:t> </w:t>
      </w:r>
      <w:r>
        <w:rPr>
          <w:sz w:val="20"/>
          <w:vertAlign w:val="baseline"/>
        </w:rPr>
        <w:t>deliberations stage.</w:t>
      </w:r>
      <w:r>
        <w:rPr>
          <w:sz w:val="20"/>
          <w:vertAlign w:val="superscript"/>
        </w:rPr>
        <w:t>19</w:t>
      </w:r>
      <w:r>
        <w:rPr>
          <w:sz w:val="20"/>
          <w:vertAlign w:val="baseline"/>
        </w:rPr>
        <w:t> However, in the event that additional suspects are transferred to the Court, charges in</w:t>
      </w:r>
      <w:r>
        <w:rPr>
          <w:spacing w:val="-9"/>
          <w:sz w:val="20"/>
          <w:vertAlign w:val="baseline"/>
        </w:rPr>
        <w:t> </w:t>
      </w:r>
      <w:r>
        <w:rPr>
          <w:sz w:val="20"/>
          <w:vertAlign w:val="baseline"/>
        </w:rPr>
        <w:t>the</w:t>
      </w:r>
      <w:r>
        <w:rPr>
          <w:spacing w:val="-7"/>
          <w:sz w:val="20"/>
          <w:vertAlign w:val="baseline"/>
        </w:rPr>
        <w:t> </w:t>
      </w:r>
      <w:r>
        <w:rPr>
          <w:sz w:val="20"/>
          <w:vertAlign w:val="baseline"/>
        </w:rPr>
        <w:t>case</w:t>
      </w:r>
      <w:r>
        <w:rPr>
          <w:spacing w:val="-7"/>
          <w:sz w:val="20"/>
          <w:vertAlign w:val="baseline"/>
        </w:rPr>
        <w:t> </w:t>
      </w:r>
      <w:r>
        <w:rPr>
          <w:sz w:val="20"/>
          <w:vertAlign w:val="baseline"/>
        </w:rPr>
        <w:t>currently</w:t>
      </w:r>
      <w:r>
        <w:rPr>
          <w:spacing w:val="-13"/>
          <w:sz w:val="20"/>
          <w:vertAlign w:val="baseline"/>
        </w:rPr>
        <w:t> </w:t>
      </w:r>
      <w:r>
        <w:rPr>
          <w:sz w:val="20"/>
          <w:vertAlign w:val="baseline"/>
        </w:rPr>
        <w:t>at</w:t>
      </w:r>
      <w:r>
        <w:rPr>
          <w:spacing w:val="-12"/>
          <w:sz w:val="20"/>
          <w:vertAlign w:val="baseline"/>
        </w:rPr>
        <w:t> </w:t>
      </w:r>
      <w:r>
        <w:rPr>
          <w:sz w:val="20"/>
          <w:vertAlign w:val="baseline"/>
        </w:rPr>
        <w:t>the</w:t>
      </w:r>
      <w:r>
        <w:rPr>
          <w:spacing w:val="-11"/>
          <w:sz w:val="20"/>
          <w:vertAlign w:val="baseline"/>
        </w:rPr>
        <w:t> </w:t>
      </w:r>
      <w:r>
        <w:rPr>
          <w:sz w:val="20"/>
          <w:vertAlign w:val="baseline"/>
        </w:rPr>
        <w:t>confirmation</w:t>
      </w:r>
      <w:r>
        <w:rPr>
          <w:spacing w:val="-8"/>
          <w:sz w:val="20"/>
          <w:vertAlign w:val="baseline"/>
        </w:rPr>
        <w:t> </w:t>
      </w:r>
      <w:r>
        <w:rPr>
          <w:sz w:val="20"/>
          <w:vertAlign w:val="baseline"/>
        </w:rPr>
        <w:t>stage</w:t>
      </w:r>
      <w:r>
        <w:rPr>
          <w:spacing w:val="-3"/>
          <w:sz w:val="20"/>
          <w:vertAlign w:val="baseline"/>
        </w:rPr>
        <w:t> </w:t>
      </w:r>
      <w:r>
        <w:rPr>
          <w:sz w:val="20"/>
          <w:vertAlign w:val="baseline"/>
        </w:rPr>
        <w:t>(Mokom)</w:t>
      </w:r>
      <w:r>
        <w:rPr>
          <w:spacing w:val="-8"/>
          <w:sz w:val="20"/>
          <w:vertAlign w:val="baseline"/>
        </w:rPr>
        <w:t> </w:t>
      </w:r>
      <w:r>
        <w:rPr>
          <w:sz w:val="20"/>
          <w:vertAlign w:val="baseline"/>
        </w:rPr>
        <w:t>are</w:t>
      </w:r>
      <w:r>
        <w:rPr>
          <w:spacing w:val="-7"/>
          <w:sz w:val="20"/>
          <w:vertAlign w:val="baseline"/>
        </w:rPr>
        <w:t> </w:t>
      </w:r>
      <w:r>
        <w:rPr>
          <w:sz w:val="20"/>
          <w:vertAlign w:val="baseline"/>
        </w:rPr>
        <w:t>confirmed,</w:t>
      </w:r>
      <w:r>
        <w:rPr>
          <w:spacing w:val="-6"/>
          <w:sz w:val="20"/>
          <w:vertAlign w:val="baseline"/>
        </w:rPr>
        <w:t> </w:t>
      </w:r>
      <w:r>
        <w:rPr>
          <w:sz w:val="20"/>
          <w:vertAlign w:val="baseline"/>
        </w:rPr>
        <w:t>or</w:t>
      </w:r>
      <w:r>
        <w:rPr>
          <w:spacing w:val="-13"/>
          <w:sz w:val="20"/>
          <w:vertAlign w:val="baseline"/>
        </w:rPr>
        <w:t> </w:t>
      </w:r>
      <w:r>
        <w:rPr>
          <w:sz w:val="20"/>
          <w:vertAlign w:val="baseline"/>
        </w:rPr>
        <w:t>additional</w:t>
      </w:r>
      <w:r>
        <w:rPr>
          <w:spacing w:val="-7"/>
          <w:sz w:val="20"/>
          <w:vertAlign w:val="baseline"/>
        </w:rPr>
        <w:t> </w:t>
      </w:r>
      <w:r>
        <w:rPr>
          <w:sz w:val="20"/>
          <w:vertAlign w:val="baseline"/>
        </w:rPr>
        <w:t>requests arise out of ongoing investigations or situations, the workload will further</w:t>
      </w:r>
      <w:r>
        <w:rPr>
          <w:spacing w:val="-4"/>
          <w:sz w:val="20"/>
          <w:vertAlign w:val="baseline"/>
        </w:rPr>
        <w:t> </w:t>
      </w:r>
      <w:r>
        <w:rPr>
          <w:sz w:val="20"/>
          <w:vertAlign w:val="baseline"/>
        </w:rPr>
        <w:t>increase in 2023, necessitating additional resources. Significant work on reparations will continue in the Ongwen and Ntaganda cases and in the Lubanga, Katanga and Al Mahdi cases to a lesser extent.</w:t>
      </w:r>
      <w:r>
        <w:rPr>
          <w:spacing w:val="-13"/>
          <w:sz w:val="20"/>
          <w:vertAlign w:val="baseline"/>
        </w:rPr>
        <w:t> </w:t>
      </w:r>
      <w:r>
        <w:rPr>
          <w:sz w:val="20"/>
          <w:vertAlign w:val="baseline"/>
        </w:rPr>
        <w:t>The</w:t>
      </w:r>
      <w:r>
        <w:rPr>
          <w:spacing w:val="-12"/>
          <w:sz w:val="20"/>
          <w:vertAlign w:val="baseline"/>
        </w:rPr>
        <w:t> </w:t>
      </w:r>
      <w:r>
        <w:rPr>
          <w:sz w:val="20"/>
          <w:vertAlign w:val="baseline"/>
        </w:rPr>
        <w:t>ongoing</w:t>
      </w:r>
      <w:r>
        <w:rPr>
          <w:spacing w:val="-9"/>
          <w:sz w:val="20"/>
          <w:vertAlign w:val="baseline"/>
        </w:rPr>
        <w:t> </w:t>
      </w:r>
      <w:r>
        <w:rPr>
          <w:sz w:val="20"/>
          <w:vertAlign w:val="baseline"/>
        </w:rPr>
        <w:t>flexible</w:t>
      </w:r>
      <w:r>
        <w:rPr>
          <w:spacing w:val="-8"/>
          <w:sz w:val="20"/>
          <w:vertAlign w:val="baseline"/>
        </w:rPr>
        <w:t> </w:t>
      </w:r>
      <w:r>
        <w:rPr>
          <w:sz w:val="20"/>
          <w:vertAlign w:val="baseline"/>
        </w:rPr>
        <w:t>assignment</w:t>
      </w:r>
      <w:r>
        <w:rPr>
          <w:spacing w:val="-13"/>
          <w:sz w:val="20"/>
          <w:vertAlign w:val="baseline"/>
        </w:rPr>
        <w:t> </w:t>
      </w:r>
      <w:r>
        <w:rPr>
          <w:sz w:val="20"/>
          <w:vertAlign w:val="baseline"/>
        </w:rPr>
        <w:t>of</w:t>
      </w:r>
      <w:r>
        <w:rPr>
          <w:spacing w:val="-8"/>
          <w:sz w:val="20"/>
          <w:vertAlign w:val="baseline"/>
        </w:rPr>
        <w:t> </w:t>
      </w:r>
      <w:r>
        <w:rPr>
          <w:sz w:val="20"/>
          <w:vertAlign w:val="baseline"/>
        </w:rPr>
        <w:t>staff</w:t>
      </w:r>
      <w:r>
        <w:rPr>
          <w:spacing w:val="-9"/>
          <w:sz w:val="20"/>
          <w:vertAlign w:val="baseline"/>
        </w:rPr>
        <w:t> </w:t>
      </w:r>
      <w:r>
        <w:rPr>
          <w:sz w:val="20"/>
          <w:vertAlign w:val="baseline"/>
        </w:rPr>
        <w:t>on</w:t>
      </w:r>
      <w:r>
        <w:rPr>
          <w:spacing w:val="-9"/>
          <w:sz w:val="20"/>
          <w:vertAlign w:val="baseline"/>
        </w:rPr>
        <w:t> </w:t>
      </w:r>
      <w:r>
        <w:rPr>
          <w:sz w:val="20"/>
          <w:vertAlign w:val="baseline"/>
        </w:rPr>
        <w:t>fixed-term</w:t>
      </w:r>
      <w:r>
        <w:rPr>
          <w:spacing w:val="-8"/>
          <w:sz w:val="20"/>
          <w:vertAlign w:val="baseline"/>
        </w:rPr>
        <w:t> </w:t>
      </w:r>
      <w:r>
        <w:rPr>
          <w:sz w:val="20"/>
          <w:vertAlign w:val="baseline"/>
        </w:rPr>
        <w:t>appointments</w:t>
      </w:r>
      <w:r>
        <w:rPr>
          <w:spacing w:val="-11"/>
          <w:sz w:val="20"/>
          <w:vertAlign w:val="baseline"/>
        </w:rPr>
        <w:t> </w:t>
      </w:r>
      <w:r>
        <w:rPr>
          <w:sz w:val="20"/>
          <w:vertAlign w:val="baseline"/>
        </w:rPr>
        <w:t>(established</w:t>
      </w:r>
      <w:r>
        <w:rPr>
          <w:spacing w:val="-13"/>
          <w:sz w:val="20"/>
          <w:vertAlign w:val="baseline"/>
        </w:rPr>
        <w:t> </w:t>
      </w:r>
      <w:r>
        <w:rPr>
          <w:sz w:val="20"/>
          <w:vertAlign w:val="baseline"/>
        </w:rPr>
        <w:t>and GTA-funded), which is</w:t>
      </w:r>
      <w:r>
        <w:rPr>
          <w:spacing w:val="-5"/>
          <w:sz w:val="20"/>
          <w:vertAlign w:val="baseline"/>
        </w:rPr>
        <w:t> </w:t>
      </w:r>
      <w:r>
        <w:rPr>
          <w:sz w:val="20"/>
          <w:vertAlign w:val="baseline"/>
        </w:rPr>
        <w:t>a crucial judicial priority, is</w:t>
      </w:r>
      <w:r>
        <w:rPr>
          <w:spacing w:val="-5"/>
          <w:sz w:val="20"/>
          <w:vertAlign w:val="baseline"/>
        </w:rPr>
        <w:t> </w:t>
      </w:r>
      <w:r>
        <w:rPr>
          <w:sz w:val="20"/>
          <w:vertAlign w:val="baseline"/>
        </w:rPr>
        <w:t>expected to</w:t>
      </w:r>
      <w:r>
        <w:rPr>
          <w:spacing w:val="-4"/>
          <w:sz w:val="20"/>
          <w:vertAlign w:val="baseline"/>
        </w:rPr>
        <w:t> </w:t>
      </w:r>
      <w:r>
        <w:rPr>
          <w:sz w:val="20"/>
          <w:vertAlign w:val="baseline"/>
        </w:rPr>
        <w:t>continue,</w:t>
      </w:r>
      <w:r>
        <w:rPr>
          <w:spacing w:val="-1"/>
          <w:sz w:val="20"/>
          <w:vertAlign w:val="baseline"/>
        </w:rPr>
        <w:t> </w:t>
      </w:r>
      <w:r>
        <w:rPr>
          <w:sz w:val="20"/>
          <w:vertAlign w:val="baseline"/>
        </w:rPr>
        <w:t>leading to</w:t>
      </w:r>
      <w:r>
        <w:rPr>
          <w:spacing w:val="-4"/>
          <w:sz w:val="20"/>
          <w:vertAlign w:val="baseline"/>
        </w:rPr>
        <w:t> </w:t>
      </w:r>
      <w:r>
        <w:rPr>
          <w:sz w:val="20"/>
          <w:vertAlign w:val="baseline"/>
        </w:rPr>
        <w:t>greater synergy between</w:t>
      </w:r>
      <w:r>
        <w:rPr>
          <w:spacing w:val="-4"/>
          <w:sz w:val="20"/>
          <w:vertAlign w:val="baseline"/>
        </w:rPr>
        <w:t> </w:t>
      </w:r>
      <w:r>
        <w:rPr>
          <w:sz w:val="20"/>
          <w:vertAlign w:val="baseline"/>
        </w:rPr>
        <w:t>judicial operating requirements</w:t>
      </w:r>
      <w:r>
        <w:rPr>
          <w:spacing w:val="-5"/>
          <w:sz w:val="20"/>
          <w:vertAlign w:val="baseline"/>
        </w:rPr>
        <w:t> </w:t>
      </w:r>
      <w:r>
        <w:rPr>
          <w:sz w:val="20"/>
          <w:vertAlign w:val="baseline"/>
        </w:rPr>
        <w:t>and</w:t>
      </w:r>
      <w:r>
        <w:rPr>
          <w:spacing w:val="-4"/>
          <w:sz w:val="20"/>
          <w:vertAlign w:val="baseline"/>
        </w:rPr>
        <w:t> </w:t>
      </w:r>
      <w:r>
        <w:rPr>
          <w:sz w:val="20"/>
          <w:vertAlign w:val="baseline"/>
        </w:rPr>
        <w:t>the Chambers’ pool of</w:t>
      </w:r>
      <w:r>
        <w:rPr>
          <w:spacing w:val="-4"/>
          <w:sz w:val="20"/>
          <w:vertAlign w:val="baseline"/>
        </w:rPr>
        <w:t> </w:t>
      </w:r>
      <w:r>
        <w:rPr>
          <w:sz w:val="20"/>
          <w:vertAlign w:val="baseline"/>
        </w:rPr>
        <w:t>knowledge and expertise.</w:t>
      </w:r>
      <w:r>
        <w:rPr>
          <w:spacing w:val="-13"/>
          <w:sz w:val="20"/>
          <w:vertAlign w:val="baseline"/>
        </w:rPr>
        <w:t> </w:t>
      </w:r>
      <w:r>
        <w:rPr>
          <w:sz w:val="20"/>
          <w:vertAlign w:val="baseline"/>
        </w:rPr>
        <w:t>This</w:t>
      </w:r>
      <w:r>
        <w:rPr>
          <w:spacing w:val="-12"/>
          <w:sz w:val="20"/>
          <w:vertAlign w:val="baseline"/>
        </w:rPr>
        <w:t> </w:t>
      </w:r>
      <w:r>
        <w:rPr>
          <w:sz w:val="20"/>
          <w:vertAlign w:val="baseline"/>
        </w:rPr>
        <w:t>approach</w:t>
      </w:r>
      <w:r>
        <w:rPr>
          <w:spacing w:val="-13"/>
          <w:sz w:val="20"/>
          <w:vertAlign w:val="baseline"/>
        </w:rPr>
        <w:t> </w:t>
      </w:r>
      <w:r>
        <w:rPr>
          <w:sz w:val="20"/>
          <w:vertAlign w:val="baseline"/>
        </w:rPr>
        <w:t>will</w:t>
      </w:r>
      <w:r>
        <w:rPr>
          <w:spacing w:val="-11"/>
          <w:sz w:val="20"/>
          <w:vertAlign w:val="baseline"/>
        </w:rPr>
        <w:t> </w:t>
      </w:r>
      <w:r>
        <w:rPr>
          <w:sz w:val="20"/>
          <w:vertAlign w:val="baseline"/>
        </w:rPr>
        <w:t>be</w:t>
      </w:r>
      <w:r>
        <w:rPr>
          <w:spacing w:val="-11"/>
          <w:sz w:val="20"/>
          <w:vertAlign w:val="baseline"/>
        </w:rPr>
        <w:t> </w:t>
      </w:r>
      <w:r>
        <w:rPr>
          <w:sz w:val="20"/>
          <w:vertAlign w:val="baseline"/>
        </w:rPr>
        <w:t>essential</w:t>
      </w:r>
      <w:r>
        <w:rPr>
          <w:spacing w:val="-12"/>
          <w:sz w:val="20"/>
          <w:vertAlign w:val="baseline"/>
        </w:rPr>
        <w:t> </w:t>
      </w:r>
      <w:r>
        <w:rPr>
          <w:sz w:val="20"/>
          <w:vertAlign w:val="baseline"/>
        </w:rPr>
        <w:t>to</w:t>
      </w:r>
      <w:r>
        <w:rPr>
          <w:spacing w:val="-13"/>
          <w:sz w:val="20"/>
          <w:vertAlign w:val="baseline"/>
        </w:rPr>
        <w:t> </w:t>
      </w:r>
      <w:r>
        <w:rPr>
          <w:sz w:val="20"/>
          <w:vertAlign w:val="baseline"/>
        </w:rPr>
        <w:t>ensuring</w:t>
      </w:r>
      <w:r>
        <w:rPr>
          <w:spacing w:val="-12"/>
          <w:sz w:val="20"/>
          <w:vertAlign w:val="baseline"/>
        </w:rPr>
        <w:t> </w:t>
      </w:r>
      <w:r>
        <w:rPr>
          <w:sz w:val="20"/>
          <w:vertAlign w:val="baseline"/>
        </w:rPr>
        <w:t>that</w:t>
      </w:r>
      <w:r>
        <w:rPr>
          <w:spacing w:val="-12"/>
          <w:sz w:val="20"/>
          <w:vertAlign w:val="baseline"/>
        </w:rPr>
        <w:t> </w:t>
      </w:r>
      <w:r>
        <w:rPr>
          <w:sz w:val="20"/>
          <w:vertAlign w:val="baseline"/>
        </w:rPr>
        <w:t>the</w:t>
      </w:r>
      <w:r>
        <w:rPr>
          <w:spacing w:val="-13"/>
          <w:sz w:val="20"/>
          <w:vertAlign w:val="baseline"/>
        </w:rPr>
        <w:t> </w:t>
      </w:r>
      <w:r>
        <w:rPr>
          <w:sz w:val="20"/>
          <w:vertAlign w:val="baseline"/>
        </w:rPr>
        <w:t>Chambers’</w:t>
      </w:r>
      <w:r>
        <w:rPr>
          <w:spacing w:val="-12"/>
          <w:sz w:val="20"/>
          <w:vertAlign w:val="baseline"/>
        </w:rPr>
        <w:t> </w:t>
      </w:r>
      <w:r>
        <w:rPr>
          <w:sz w:val="20"/>
          <w:vertAlign w:val="baseline"/>
        </w:rPr>
        <w:t>workload</w:t>
      </w:r>
      <w:r>
        <w:rPr>
          <w:spacing w:val="-8"/>
          <w:sz w:val="20"/>
          <w:vertAlign w:val="baseline"/>
        </w:rPr>
        <w:t> </w:t>
      </w:r>
      <w:r>
        <w:rPr>
          <w:sz w:val="20"/>
          <w:vertAlign w:val="baseline"/>
        </w:rPr>
        <w:t>(with</w:t>
      </w:r>
      <w:r>
        <w:rPr>
          <w:spacing w:val="-13"/>
          <w:sz w:val="20"/>
          <w:vertAlign w:val="baseline"/>
        </w:rPr>
        <w:t> </w:t>
      </w:r>
      <w:r>
        <w:rPr>
          <w:sz w:val="20"/>
          <w:vertAlign w:val="baseline"/>
        </w:rPr>
        <w:t>high levels of trial hearings, in particular) can be handled within the requested resource levels. For 2023, Chambers are requesting an increase in staff resources as compared with those approved for 2022. It must be stressed, however, that this requirement is based on the currently</w:t>
      </w:r>
      <w:r>
        <w:rPr>
          <w:spacing w:val="-4"/>
          <w:sz w:val="20"/>
          <w:vertAlign w:val="baseline"/>
        </w:rPr>
        <w:t> </w:t>
      </w:r>
      <w:r>
        <w:rPr>
          <w:sz w:val="20"/>
          <w:vertAlign w:val="baseline"/>
        </w:rPr>
        <w:t>foreseeable</w:t>
      </w:r>
      <w:r>
        <w:rPr>
          <w:spacing w:val="-2"/>
          <w:sz w:val="20"/>
          <w:vertAlign w:val="baseline"/>
        </w:rPr>
        <w:t> </w:t>
      </w:r>
      <w:r>
        <w:rPr>
          <w:sz w:val="20"/>
          <w:vertAlign w:val="baseline"/>
        </w:rPr>
        <w:t>forecast</w:t>
      </w:r>
      <w:r>
        <w:rPr>
          <w:spacing w:val="-7"/>
          <w:sz w:val="20"/>
          <w:vertAlign w:val="baseline"/>
        </w:rPr>
        <w:t> </w:t>
      </w:r>
      <w:r>
        <w:rPr>
          <w:sz w:val="20"/>
          <w:vertAlign w:val="baseline"/>
        </w:rPr>
        <w:t>workload</w:t>
      </w:r>
      <w:r>
        <w:rPr>
          <w:spacing w:val="-8"/>
          <w:sz w:val="20"/>
          <w:vertAlign w:val="baseline"/>
        </w:rPr>
        <w:t> </w:t>
      </w:r>
      <w:r>
        <w:rPr>
          <w:sz w:val="20"/>
          <w:vertAlign w:val="baseline"/>
        </w:rPr>
        <w:t>and</w:t>
      </w:r>
      <w:r>
        <w:rPr>
          <w:spacing w:val="-4"/>
          <w:sz w:val="20"/>
          <w:vertAlign w:val="baseline"/>
        </w:rPr>
        <w:t> </w:t>
      </w:r>
      <w:r>
        <w:rPr>
          <w:sz w:val="20"/>
          <w:vertAlign w:val="baseline"/>
        </w:rPr>
        <w:t>staffing</w:t>
      </w:r>
      <w:r>
        <w:rPr>
          <w:spacing w:val="-8"/>
          <w:sz w:val="20"/>
          <w:vertAlign w:val="baseline"/>
        </w:rPr>
        <w:t> </w:t>
      </w:r>
      <w:r>
        <w:rPr>
          <w:sz w:val="20"/>
          <w:vertAlign w:val="baseline"/>
        </w:rPr>
        <w:t>level.</w:t>
      </w:r>
      <w:r>
        <w:rPr>
          <w:spacing w:val="-6"/>
          <w:sz w:val="20"/>
          <w:vertAlign w:val="baseline"/>
        </w:rPr>
        <w:t> </w:t>
      </w:r>
      <w:r>
        <w:rPr>
          <w:sz w:val="20"/>
          <w:vertAlign w:val="baseline"/>
        </w:rPr>
        <w:t>A</w:t>
      </w:r>
      <w:r>
        <w:rPr>
          <w:spacing w:val="-10"/>
          <w:sz w:val="20"/>
          <w:vertAlign w:val="baseline"/>
        </w:rPr>
        <w:t> </w:t>
      </w:r>
      <w:r>
        <w:rPr>
          <w:sz w:val="20"/>
          <w:vertAlign w:val="baseline"/>
        </w:rPr>
        <w:t>lower</w:t>
      </w:r>
      <w:r>
        <w:rPr>
          <w:spacing w:val="-8"/>
          <w:sz w:val="20"/>
          <w:vertAlign w:val="baseline"/>
        </w:rPr>
        <w:t> </w:t>
      </w:r>
      <w:r>
        <w:rPr>
          <w:sz w:val="20"/>
          <w:vertAlign w:val="baseline"/>
        </w:rPr>
        <w:t>staffing</w:t>
      </w:r>
      <w:r>
        <w:rPr>
          <w:spacing w:val="-8"/>
          <w:sz w:val="20"/>
          <w:vertAlign w:val="baseline"/>
        </w:rPr>
        <w:t> </w:t>
      </w:r>
      <w:r>
        <w:rPr>
          <w:sz w:val="20"/>
          <w:vertAlign w:val="baseline"/>
        </w:rPr>
        <w:t>level</w:t>
      </w:r>
      <w:r>
        <w:rPr>
          <w:spacing w:val="-7"/>
          <w:sz w:val="20"/>
          <w:vertAlign w:val="baseline"/>
        </w:rPr>
        <w:t> </w:t>
      </w:r>
      <w:r>
        <w:rPr>
          <w:sz w:val="20"/>
          <w:vertAlign w:val="baseline"/>
        </w:rPr>
        <w:t>impacts</w:t>
      </w:r>
      <w:r>
        <w:rPr>
          <w:spacing w:val="-10"/>
          <w:sz w:val="20"/>
          <w:vertAlign w:val="baseline"/>
        </w:rPr>
        <w:t> </w:t>
      </w:r>
      <w:r>
        <w:rPr>
          <w:sz w:val="20"/>
          <w:vertAlign w:val="baseline"/>
        </w:rPr>
        <w:t>the pace of</w:t>
      </w:r>
      <w:r>
        <w:rPr>
          <w:spacing w:val="-4"/>
          <w:sz w:val="20"/>
          <w:vertAlign w:val="baseline"/>
        </w:rPr>
        <w:t> </w:t>
      </w:r>
      <w:r>
        <w:rPr>
          <w:sz w:val="20"/>
          <w:vertAlign w:val="baseline"/>
        </w:rPr>
        <w:t>the proceedings,</w:t>
      </w:r>
      <w:r>
        <w:rPr>
          <w:spacing w:val="-1"/>
          <w:sz w:val="20"/>
          <w:vertAlign w:val="baseline"/>
        </w:rPr>
        <w:t> </w:t>
      </w:r>
      <w:r>
        <w:rPr>
          <w:sz w:val="20"/>
          <w:vertAlign w:val="baseline"/>
        </w:rPr>
        <w:t>which would</w:t>
      </w:r>
      <w:r>
        <w:rPr>
          <w:spacing w:val="-4"/>
          <w:sz w:val="20"/>
          <w:vertAlign w:val="baseline"/>
        </w:rPr>
        <w:t> </w:t>
      </w:r>
      <w:r>
        <w:rPr>
          <w:sz w:val="20"/>
          <w:vertAlign w:val="baseline"/>
        </w:rPr>
        <w:t>inhibit the</w:t>
      </w:r>
      <w:r>
        <w:rPr>
          <w:spacing w:val="-2"/>
          <w:sz w:val="20"/>
          <w:vertAlign w:val="baseline"/>
        </w:rPr>
        <w:t> </w:t>
      </w:r>
      <w:r>
        <w:rPr>
          <w:sz w:val="20"/>
          <w:vertAlign w:val="baseline"/>
        </w:rPr>
        <w:t>expeditious</w:t>
      </w:r>
      <w:r>
        <w:rPr>
          <w:spacing w:val="-5"/>
          <w:sz w:val="20"/>
          <w:vertAlign w:val="baseline"/>
        </w:rPr>
        <w:t> </w:t>
      </w:r>
      <w:r>
        <w:rPr>
          <w:sz w:val="20"/>
          <w:vertAlign w:val="baseline"/>
        </w:rPr>
        <w:t>conduct</w:t>
      </w:r>
      <w:r>
        <w:rPr>
          <w:spacing w:val="-2"/>
          <w:sz w:val="20"/>
          <w:vertAlign w:val="baseline"/>
        </w:rPr>
        <w:t> </w:t>
      </w:r>
      <w:r>
        <w:rPr>
          <w:sz w:val="20"/>
          <w:vertAlign w:val="baseline"/>
        </w:rPr>
        <w:t>and completion of</w:t>
      </w:r>
      <w:r>
        <w:rPr>
          <w:spacing w:val="-4"/>
          <w:sz w:val="20"/>
          <w:vertAlign w:val="baseline"/>
        </w:rPr>
        <w:t> </w:t>
      </w:r>
      <w:r>
        <w:rPr>
          <w:sz w:val="20"/>
          <w:vertAlign w:val="baseline"/>
        </w:rPr>
        <w:t>the cases as mandated by the Rome Statute. Similarly, as mentioned above, should there be an increase in the number of situations or cases before the Pre-Trial Chambers or trials before the</w:t>
      </w:r>
      <w:r>
        <w:rPr>
          <w:spacing w:val="-1"/>
          <w:sz w:val="20"/>
          <w:vertAlign w:val="baseline"/>
        </w:rPr>
        <w:t> </w:t>
      </w:r>
      <w:r>
        <w:rPr>
          <w:sz w:val="20"/>
          <w:vertAlign w:val="baseline"/>
        </w:rPr>
        <w:t>Trial</w:t>
      </w:r>
      <w:r>
        <w:rPr>
          <w:spacing w:val="-1"/>
          <w:sz w:val="20"/>
          <w:vertAlign w:val="baseline"/>
        </w:rPr>
        <w:t> </w:t>
      </w:r>
      <w:r>
        <w:rPr>
          <w:sz w:val="20"/>
          <w:vertAlign w:val="baseline"/>
        </w:rPr>
        <w:t>Chambers,</w:t>
      </w:r>
      <w:r>
        <w:rPr>
          <w:spacing w:val="-5"/>
          <w:sz w:val="20"/>
          <w:vertAlign w:val="baseline"/>
        </w:rPr>
        <w:t> </w:t>
      </w:r>
      <w:r>
        <w:rPr>
          <w:sz w:val="20"/>
          <w:vertAlign w:val="baseline"/>
        </w:rPr>
        <w:t>in</w:t>
      </w:r>
      <w:r>
        <w:rPr>
          <w:spacing w:val="-3"/>
          <w:sz w:val="20"/>
          <w:vertAlign w:val="baseline"/>
        </w:rPr>
        <w:t> </w:t>
      </w:r>
      <w:r>
        <w:rPr>
          <w:sz w:val="20"/>
          <w:vertAlign w:val="baseline"/>
        </w:rPr>
        <w:t>particular</w:t>
      </w:r>
      <w:r>
        <w:rPr>
          <w:spacing w:val="-3"/>
          <w:sz w:val="20"/>
          <w:vertAlign w:val="baseline"/>
        </w:rPr>
        <w:t> </w:t>
      </w:r>
      <w:r>
        <w:rPr>
          <w:sz w:val="20"/>
          <w:vertAlign w:val="baseline"/>
        </w:rPr>
        <w:t>if</w:t>
      </w:r>
      <w:r>
        <w:rPr>
          <w:spacing w:val="-7"/>
          <w:sz w:val="20"/>
          <w:vertAlign w:val="baseline"/>
        </w:rPr>
        <w:t> </w:t>
      </w:r>
      <w:r>
        <w:rPr>
          <w:sz w:val="20"/>
          <w:vertAlign w:val="baseline"/>
        </w:rPr>
        <w:t>the</w:t>
      </w:r>
      <w:r>
        <w:rPr>
          <w:spacing w:val="-6"/>
          <w:sz w:val="20"/>
          <w:vertAlign w:val="baseline"/>
        </w:rPr>
        <w:t> </w:t>
      </w:r>
      <w:r>
        <w:rPr>
          <w:sz w:val="20"/>
          <w:vertAlign w:val="baseline"/>
        </w:rPr>
        <w:t>charges</w:t>
      </w:r>
      <w:r>
        <w:rPr>
          <w:spacing w:val="-4"/>
          <w:sz w:val="20"/>
          <w:vertAlign w:val="baseline"/>
        </w:rPr>
        <w:t> </w:t>
      </w:r>
      <w:r>
        <w:rPr>
          <w:sz w:val="20"/>
          <w:vertAlign w:val="baseline"/>
        </w:rPr>
        <w:t>are</w:t>
      </w:r>
      <w:r>
        <w:rPr>
          <w:spacing w:val="-1"/>
          <w:sz w:val="20"/>
          <w:vertAlign w:val="baseline"/>
        </w:rPr>
        <w:t> </w:t>
      </w:r>
      <w:r>
        <w:rPr>
          <w:sz w:val="20"/>
          <w:vertAlign w:val="baseline"/>
        </w:rPr>
        <w:t>confirmed</w:t>
      </w:r>
      <w:r>
        <w:rPr>
          <w:spacing w:val="-3"/>
          <w:sz w:val="20"/>
          <w:vertAlign w:val="baseline"/>
        </w:rPr>
        <w:t> </w:t>
      </w:r>
      <w:r>
        <w:rPr>
          <w:sz w:val="20"/>
          <w:vertAlign w:val="baseline"/>
        </w:rPr>
        <w:t>in</w:t>
      </w:r>
      <w:r>
        <w:rPr>
          <w:spacing w:val="-7"/>
          <w:sz w:val="20"/>
          <w:vertAlign w:val="baseline"/>
        </w:rPr>
        <w:t> </w:t>
      </w:r>
      <w:r>
        <w:rPr>
          <w:sz w:val="20"/>
          <w:vertAlign w:val="baseline"/>
        </w:rPr>
        <w:t>the</w:t>
      </w:r>
      <w:r>
        <w:rPr>
          <w:spacing w:val="-1"/>
          <w:sz w:val="20"/>
          <w:vertAlign w:val="baseline"/>
        </w:rPr>
        <w:t> </w:t>
      </w:r>
      <w:r>
        <w:rPr>
          <w:sz w:val="20"/>
          <w:vertAlign w:val="baseline"/>
        </w:rPr>
        <w:t>Mokom</w:t>
      </w:r>
      <w:r>
        <w:rPr>
          <w:spacing w:val="-6"/>
          <w:sz w:val="20"/>
          <w:vertAlign w:val="baseline"/>
        </w:rPr>
        <w:t> </w:t>
      </w:r>
      <w:r>
        <w:rPr>
          <w:sz w:val="20"/>
          <w:vertAlign w:val="baseline"/>
        </w:rPr>
        <w:t>case, additional staff resources will be essential and will have to be requested.</w:t>
      </w:r>
    </w:p>
    <w:p>
      <w:pPr>
        <w:pStyle w:val="BodyText"/>
      </w:pPr>
    </w:p>
    <w:p>
      <w:pPr>
        <w:pStyle w:val="BodyText"/>
      </w:pPr>
    </w:p>
    <w:p>
      <w:pPr>
        <w:pStyle w:val="BodyText"/>
      </w:pPr>
    </w:p>
    <w:p>
      <w:pPr>
        <w:pStyle w:val="BodyText"/>
        <w:spacing w:before="2"/>
        <w:rPr>
          <w:sz w:val="18"/>
        </w:rPr>
      </w:pPr>
      <w:r>
        <w:rPr/>
        <w:pict>
          <v:rect style="position:absolute;margin-left:113.330002pt;margin-top:11.656672pt;width:144.050pt;height:.48004pt;mso-position-horizontal-relative:page;mso-position-vertical-relative:paragraph;z-index:-15718912;mso-wrap-distance-left:0;mso-wrap-distance-right:0" id="docshape57" filled="true" fillcolor="#000000" stroked="false">
            <v:fill type="solid"/>
            <w10:wrap type="topAndBottom"/>
          </v:rect>
        </w:pict>
      </w:r>
    </w:p>
    <w:p>
      <w:pPr>
        <w:spacing w:line="183" w:lineRule="exact" w:before="86"/>
        <w:ind w:left="2246" w:right="0" w:firstLine="0"/>
        <w:jc w:val="left"/>
        <w:rPr>
          <w:sz w:val="16"/>
        </w:rPr>
      </w:pPr>
      <w:r>
        <w:rPr>
          <w:position w:val="5"/>
          <w:sz w:val="10"/>
        </w:rPr>
        <w:t>17</w:t>
      </w:r>
      <w:r>
        <w:rPr>
          <w:spacing w:val="13"/>
          <w:position w:val="5"/>
          <w:sz w:val="10"/>
        </w:rPr>
        <w:t> </w:t>
      </w:r>
      <w:r>
        <w:rPr>
          <w:i/>
          <w:sz w:val="16"/>
        </w:rPr>
        <w:t>Official</w:t>
      </w:r>
      <w:r>
        <w:rPr>
          <w:i/>
          <w:spacing w:val="1"/>
          <w:sz w:val="16"/>
        </w:rPr>
        <w:t> </w:t>
      </w:r>
      <w:r>
        <w:rPr>
          <w:i/>
          <w:sz w:val="16"/>
        </w:rPr>
        <w:t>Records</w:t>
      </w:r>
      <w:r>
        <w:rPr>
          <w:i/>
          <w:spacing w:val="-4"/>
          <w:sz w:val="16"/>
        </w:rPr>
        <w:t> </w:t>
      </w:r>
      <w:r>
        <w:rPr>
          <w:i/>
          <w:sz w:val="16"/>
        </w:rPr>
        <w:t>…</w:t>
      </w:r>
      <w:r>
        <w:rPr>
          <w:i/>
          <w:spacing w:val="-5"/>
          <w:sz w:val="16"/>
        </w:rPr>
        <w:t> </w:t>
      </w:r>
      <w:r>
        <w:rPr>
          <w:i/>
          <w:sz w:val="16"/>
        </w:rPr>
        <w:t>Nineteenth</w:t>
      </w:r>
      <w:r>
        <w:rPr>
          <w:i/>
          <w:spacing w:val="-2"/>
          <w:sz w:val="16"/>
        </w:rPr>
        <w:t> </w:t>
      </w:r>
      <w:r>
        <w:rPr>
          <w:i/>
          <w:sz w:val="16"/>
        </w:rPr>
        <w:t>session</w:t>
      </w:r>
      <w:r>
        <w:rPr>
          <w:i/>
          <w:spacing w:val="-1"/>
          <w:sz w:val="16"/>
        </w:rPr>
        <w:t> </w:t>
      </w:r>
      <w:r>
        <w:rPr>
          <w:i/>
          <w:sz w:val="16"/>
        </w:rPr>
        <w:t>…</w:t>
      </w:r>
      <w:r>
        <w:rPr>
          <w:i/>
          <w:spacing w:val="-5"/>
          <w:sz w:val="16"/>
        </w:rPr>
        <w:t> </w:t>
      </w:r>
      <w:r>
        <w:rPr>
          <w:i/>
          <w:sz w:val="16"/>
        </w:rPr>
        <w:t>2020</w:t>
      </w:r>
      <w:r>
        <w:rPr>
          <w:i/>
          <w:spacing w:val="3"/>
          <w:sz w:val="16"/>
        </w:rPr>
        <w:t> </w:t>
      </w:r>
      <w:r>
        <w:rPr>
          <w:sz w:val="16"/>
        </w:rPr>
        <w:t>(ICC-ASP/19/20),</w:t>
      </w:r>
      <w:r>
        <w:rPr>
          <w:spacing w:val="-4"/>
          <w:sz w:val="16"/>
        </w:rPr>
        <w:t> </w:t>
      </w:r>
      <w:r>
        <w:rPr>
          <w:sz w:val="16"/>
        </w:rPr>
        <w:t>vol.</w:t>
      </w:r>
      <w:r>
        <w:rPr>
          <w:spacing w:val="-5"/>
          <w:sz w:val="16"/>
        </w:rPr>
        <w:t> </w:t>
      </w:r>
      <w:r>
        <w:rPr>
          <w:sz w:val="16"/>
        </w:rPr>
        <w:t>I,</w:t>
      </w:r>
      <w:r>
        <w:rPr>
          <w:spacing w:val="-4"/>
          <w:sz w:val="16"/>
        </w:rPr>
        <w:t> </w:t>
      </w:r>
      <w:r>
        <w:rPr>
          <w:sz w:val="16"/>
        </w:rPr>
        <w:t>part</w:t>
      </w:r>
      <w:r>
        <w:rPr>
          <w:spacing w:val="-4"/>
          <w:sz w:val="16"/>
        </w:rPr>
        <w:t> </w:t>
      </w:r>
      <w:r>
        <w:rPr>
          <w:sz w:val="16"/>
        </w:rPr>
        <w:t>III,</w:t>
      </w:r>
      <w:r>
        <w:rPr>
          <w:spacing w:val="-1"/>
          <w:sz w:val="16"/>
        </w:rPr>
        <w:t> </w:t>
      </w:r>
      <w:r>
        <w:rPr>
          <w:sz w:val="16"/>
        </w:rPr>
        <w:t>ICC-ASP/19/Res.3,</w:t>
      </w:r>
      <w:r>
        <w:rPr>
          <w:spacing w:val="-4"/>
          <w:sz w:val="16"/>
        </w:rPr>
        <w:t> </w:t>
      </w:r>
      <w:r>
        <w:rPr>
          <w:sz w:val="16"/>
        </w:rPr>
        <w:t>para.</w:t>
      </w:r>
      <w:r>
        <w:rPr>
          <w:spacing w:val="-3"/>
          <w:sz w:val="16"/>
        </w:rPr>
        <w:t> </w:t>
      </w:r>
      <w:r>
        <w:rPr>
          <w:spacing w:val="-5"/>
          <w:sz w:val="16"/>
        </w:rPr>
        <w:t>1.</w:t>
      </w:r>
    </w:p>
    <w:p>
      <w:pPr>
        <w:spacing w:line="182" w:lineRule="exact" w:before="0"/>
        <w:ind w:left="2246" w:right="0" w:firstLine="0"/>
        <w:jc w:val="left"/>
        <w:rPr>
          <w:sz w:val="16"/>
        </w:rPr>
      </w:pPr>
      <w:r>
        <w:rPr>
          <w:position w:val="5"/>
          <w:sz w:val="10"/>
        </w:rPr>
        <w:t>18</w:t>
      </w:r>
      <w:r>
        <w:rPr>
          <w:spacing w:val="11"/>
          <w:position w:val="5"/>
          <w:sz w:val="10"/>
        </w:rPr>
        <w:t> </w:t>
      </w:r>
      <w:r>
        <w:rPr>
          <w:sz w:val="16"/>
        </w:rPr>
        <w:t>Yekatom</w:t>
      </w:r>
      <w:r>
        <w:rPr>
          <w:spacing w:val="-4"/>
          <w:sz w:val="16"/>
        </w:rPr>
        <w:t> </w:t>
      </w:r>
      <w:r>
        <w:rPr>
          <w:sz w:val="16"/>
        </w:rPr>
        <w:t>and</w:t>
      </w:r>
      <w:r>
        <w:rPr>
          <w:spacing w:val="-2"/>
          <w:sz w:val="16"/>
        </w:rPr>
        <w:t> </w:t>
      </w:r>
      <w:r>
        <w:rPr>
          <w:sz w:val="16"/>
        </w:rPr>
        <w:t>Ngaïssona,</w:t>
      </w:r>
      <w:r>
        <w:rPr>
          <w:spacing w:val="-6"/>
          <w:sz w:val="16"/>
        </w:rPr>
        <w:t> </w:t>
      </w:r>
      <w:r>
        <w:rPr>
          <w:sz w:val="16"/>
        </w:rPr>
        <w:t>Abd-Al-Rahman</w:t>
      </w:r>
      <w:r>
        <w:rPr>
          <w:spacing w:val="-4"/>
          <w:sz w:val="16"/>
        </w:rPr>
        <w:t> </w:t>
      </w:r>
      <w:r>
        <w:rPr>
          <w:sz w:val="16"/>
        </w:rPr>
        <w:t>and</w:t>
      </w:r>
      <w:r>
        <w:rPr>
          <w:spacing w:val="-3"/>
          <w:sz w:val="16"/>
        </w:rPr>
        <w:t> </w:t>
      </w:r>
      <w:r>
        <w:rPr>
          <w:spacing w:val="-4"/>
          <w:sz w:val="16"/>
        </w:rPr>
        <w:t>Said.</w:t>
      </w:r>
    </w:p>
    <w:p>
      <w:pPr>
        <w:spacing w:line="183" w:lineRule="exact" w:before="0"/>
        <w:ind w:left="2246" w:right="0" w:firstLine="0"/>
        <w:jc w:val="left"/>
        <w:rPr>
          <w:sz w:val="16"/>
        </w:rPr>
      </w:pPr>
      <w:r>
        <w:rPr>
          <w:position w:val="5"/>
          <w:sz w:val="10"/>
        </w:rPr>
        <w:t>19</w:t>
      </w:r>
      <w:r>
        <w:rPr>
          <w:spacing w:val="13"/>
          <w:position w:val="5"/>
          <w:sz w:val="10"/>
        </w:rPr>
        <w:t> </w:t>
      </w:r>
      <w:r>
        <w:rPr>
          <w:sz w:val="16"/>
        </w:rPr>
        <w:t>Al</w:t>
      </w:r>
      <w:r>
        <w:rPr>
          <w:spacing w:val="-4"/>
          <w:sz w:val="16"/>
        </w:rPr>
        <w:t> </w:t>
      </w:r>
      <w:r>
        <w:rPr>
          <w:sz w:val="16"/>
        </w:rPr>
        <w:t>Hassan</w:t>
      </w:r>
      <w:r>
        <w:rPr>
          <w:spacing w:val="-1"/>
          <w:sz w:val="16"/>
        </w:rPr>
        <w:t> </w:t>
      </w:r>
      <w:r>
        <w:rPr>
          <w:sz w:val="16"/>
        </w:rPr>
        <w:t>and</w:t>
      </w:r>
      <w:r>
        <w:rPr>
          <w:spacing w:val="-2"/>
          <w:sz w:val="16"/>
        </w:rPr>
        <w:t> Gicheru.</w:t>
      </w:r>
    </w:p>
    <w:p>
      <w:pPr>
        <w:spacing w:after="0" w:line="183" w:lineRule="exact"/>
        <w:jc w:val="left"/>
        <w:rPr>
          <w:sz w:val="16"/>
        </w:rPr>
        <w:sectPr>
          <w:pgSz w:w="11910" w:h="16840"/>
          <w:pgMar w:header="957" w:footer="940" w:top="1140" w:bottom="1140" w:left="20" w:right="20"/>
        </w:sectPr>
      </w:pPr>
    </w:p>
    <w:p>
      <w:pPr>
        <w:spacing w:before="124"/>
        <w:ind w:left="2246" w:right="0" w:firstLine="0"/>
        <w:jc w:val="left"/>
        <w:rPr>
          <w:i/>
          <w:sz w:val="20"/>
        </w:rPr>
      </w:pPr>
      <w:r>
        <w:rPr>
          <w:i/>
          <w:sz w:val="20"/>
        </w:rPr>
        <w:t>Pre-Trial</w:t>
      </w:r>
      <w:r>
        <w:rPr>
          <w:i/>
          <w:spacing w:val="-4"/>
          <w:sz w:val="20"/>
        </w:rPr>
        <w:t> </w:t>
      </w:r>
      <w:r>
        <w:rPr>
          <w:i/>
          <w:spacing w:val="-2"/>
          <w:sz w:val="20"/>
        </w:rPr>
        <w:t>Division</w:t>
      </w:r>
    </w:p>
    <w:p>
      <w:pPr>
        <w:pStyle w:val="BodyText"/>
        <w:spacing w:before="11"/>
        <w:rPr>
          <w:i/>
        </w:rPr>
      </w:pPr>
    </w:p>
    <w:p>
      <w:pPr>
        <w:pStyle w:val="ListParagraph"/>
        <w:numPr>
          <w:ilvl w:val="0"/>
          <w:numId w:val="4"/>
        </w:numPr>
        <w:tabs>
          <w:tab w:pos="2967" w:val="left" w:leader="none"/>
        </w:tabs>
        <w:spacing w:line="240" w:lineRule="auto" w:before="0" w:after="0"/>
        <w:ind w:left="2246" w:right="2244" w:firstLine="0"/>
        <w:jc w:val="both"/>
        <w:rPr>
          <w:sz w:val="20"/>
        </w:rPr>
      </w:pPr>
      <w:r>
        <w:rPr>
          <w:sz w:val="20"/>
        </w:rPr>
        <w:t>The Pre-Trial Division handles all applications made in the course of preliminary examinations or regarding the initiation of an investigation or the preservation of evidence during</w:t>
      </w:r>
      <w:r>
        <w:rPr>
          <w:spacing w:val="-4"/>
          <w:sz w:val="20"/>
        </w:rPr>
        <w:t> </w:t>
      </w:r>
      <w:r>
        <w:rPr>
          <w:sz w:val="20"/>
        </w:rPr>
        <w:t>an</w:t>
      </w:r>
      <w:r>
        <w:rPr>
          <w:spacing w:val="-4"/>
          <w:sz w:val="20"/>
        </w:rPr>
        <w:t> </w:t>
      </w:r>
      <w:r>
        <w:rPr>
          <w:sz w:val="20"/>
        </w:rPr>
        <w:t>investigation.</w:t>
      </w:r>
      <w:r>
        <w:rPr>
          <w:spacing w:val="-1"/>
          <w:sz w:val="20"/>
        </w:rPr>
        <w:t> </w:t>
      </w:r>
      <w:r>
        <w:rPr>
          <w:sz w:val="20"/>
        </w:rPr>
        <w:t>It</w:t>
      </w:r>
      <w:r>
        <w:rPr>
          <w:spacing w:val="-2"/>
          <w:sz w:val="20"/>
        </w:rPr>
        <w:t> </w:t>
      </w:r>
      <w:r>
        <w:rPr>
          <w:sz w:val="20"/>
        </w:rPr>
        <w:t>also</w:t>
      </w:r>
      <w:r>
        <w:rPr>
          <w:spacing w:val="-4"/>
          <w:sz w:val="20"/>
        </w:rPr>
        <w:t> </w:t>
      </w:r>
      <w:r>
        <w:rPr>
          <w:sz w:val="20"/>
        </w:rPr>
        <w:t>deals</w:t>
      </w:r>
      <w:r>
        <w:rPr>
          <w:spacing w:val="-5"/>
          <w:sz w:val="20"/>
        </w:rPr>
        <w:t> </w:t>
      </w:r>
      <w:r>
        <w:rPr>
          <w:sz w:val="20"/>
        </w:rPr>
        <w:t>with</w:t>
      </w:r>
      <w:r>
        <w:rPr>
          <w:spacing w:val="-4"/>
          <w:sz w:val="20"/>
        </w:rPr>
        <w:t> </w:t>
      </w:r>
      <w:r>
        <w:rPr>
          <w:sz w:val="20"/>
        </w:rPr>
        <w:t>the</w:t>
      </w:r>
      <w:r>
        <w:rPr>
          <w:spacing w:val="-2"/>
          <w:sz w:val="20"/>
        </w:rPr>
        <w:t> </w:t>
      </w:r>
      <w:r>
        <w:rPr>
          <w:sz w:val="20"/>
        </w:rPr>
        <w:t>entire</w:t>
      </w:r>
      <w:r>
        <w:rPr>
          <w:spacing w:val="-2"/>
          <w:sz w:val="20"/>
        </w:rPr>
        <w:t> </w:t>
      </w:r>
      <w:r>
        <w:rPr>
          <w:sz w:val="20"/>
        </w:rPr>
        <w:t>first phase of</w:t>
      </w:r>
      <w:r>
        <w:rPr>
          <w:spacing w:val="-4"/>
          <w:sz w:val="20"/>
        </w:rPr>
        <w:t> </w:t>
      </w:r>
      <w:r>
        <w:rPr>
          <w:sz w:val="20"/>
        </w:rPr>
        <w:t>judicial</w:t>
      </w:r>
      <w:r>
        <w:rPr>
          <w:spacing w:val="-2"/>
          <w:sz w:val="20"/>
        </w:rPr>
        <w:t> </w:t>
      </w:r>
      <w:r>
        <w:rPr>
          <w:sz w:val="20"/>
        </w:rPr>
        <w:t>proceedings,</w:t>
      </w:r>
      <w:r>
        <w:rPr>
          <w:spacing w:val="-1"/>
          <w:sz w:val="20"/>
        </w:rPr>
        <w:t> </w:t>
      </w:r>
      <w:r>
        <w:rPr>
          <w:sz w:val="20"/>
        </w:rPr>
        <w:t>up</w:t>
      </w:r>
      <w:r>
        <w:rPr>
          <w:spacing w:val="-4"/>
          <w:sz w:val="20"/>
        </w:rPr>
        <w:t> </w:t>
      </w:r>
      <w:r>
        <w:rPr>
          <w:sz w:val="20"/>
        </w:rPr>
        <w:t>to and including the decision whether to confirm the charges and send a case to trial.</w:t>
      </w:r>
    </w:p>
    <w:p>
      <w:pPr>
        <w:pStyle w:val="ListParagraph"/>
        <w:numPr>
          <w:ilvl w:val="0"/>
          <w:numId w:val="4"/>
        </w:numPr>
        <w:tabs>
          <w:tab w:pos="2967" w:val="left" w:leader="none"/>
        </w:tabs>
        <w:spacing w:line="240" w:lineRule="auto" w:before="122" w:after="0"/>
        <w:ind w:left="2246" w:right="2246" w:firstLine="0"/>
        <w:jc w:val="both"/>
        <w:rPr>
          <w:sz w:val="20"/>
        </w:rPr>
      </w:pPr>
      <w:r>
        <w:rPr>
          <w:sz w:val="20"/>
        </w:rPr>
        <w:t>Pre-trial judges are involved in appeals, trial hearings and reparations matters </w:t>
      </w:r>
      <w:r>
        <w:rPr>
          <w:spacing w:val="-2"/>
          <w:sz w:val="20"/>
        </w:rPr>
        <w:t>simultaneously.</w:t>
      </w:r>
    </w:p>
    <w:p>
      <w:pPr>
        <w:pStyle w:val="ListParagraph"/>
        <w:numPr>
          <w:ilvl w:val="0"/>
          <w:numId w:val="4"/>
        </w:numPr>
        <w:tabs>
          <w:tab w:pos="2967" w:val="left" w:leader="none"/>
        </w:tabs>
        <w:spacing w:line="240" w:lineRule="auto" w:before="121" w:after="0"/>
        <w:ind w:left="2246" w:right="2245" w:firstLine="0"/>
        <w:jc w:val="both"/>
        <w:rPr>
          <w:sz w:val="20"/>
        </w:rPr>
      </w:pPr>
      <w:r>
        <w:rPr>
          <w:sz w:val="20"/>
        </w:rPr>
        <w:t>The Pre-Trial Chambers are currently seized of 21 situations: Uganda; the Democratic Republic of the Congo; Darfur, Sudan; the Central African Republic I; Kenya; Libya;</w:t>
      </w:r>
      <w:r>
        <w:rPr>
          <w:spacing w:val="-13"/>
          <w:sz w:val="20"/>
        </w:rPr>
        <w:t> </w:t>
      </w:r>
      <w:r>
        <w:rPr>
          <w:sz w:val="20"/>
        </w:rPr>
        <w:t>Côte</w:t>
      </w:r>
      <w:r>
        <w:rPr>
          <w:spacing w:val="-10"/>
          <w:sz w:val="20"/>
        </w:rPr>
        <w:t> </w:t>
      </w:r>
      <w:r>
        <w:rPr>
          <w:sz w:val="20"/>
        </w:rPr>
        <w:t>d’Ivoire;</w:t>
      </w:r>
      <w:r>
        <w:rPr>
          <w:spacing w:val="-9"/>
          <w:sz w:val="20"/>
        </w:rPr>
        <w:t> </w:t>
      </w:r>
      <w:r>
        <w:rPr>
          <w:sz w:val="20"/>
        </w:rPr>
        <w:t>Mali;</w:t>
      </w:r>
      <w:r>
        <w:rPr>
          <w:spacing w:val="-9"/>
          <w:sz w:val="20"/>
        </w:rPr>
        <w:t> </w:t>
      </w:r>
      <w:r>
        <w:rPr>
          <w:sz w:val="20"/>
        </w:rPr>
        <w:t>the</w:t>
      </w:r>
      <w:r>
        <w:rPr>
          <w:spacing w:val="-9"/>
          <w:sz w:val="20"/>
        </w:rPr>
        <w:t> </w:t>
      </w:r>
      <w:r>
        <w:rPr>
          <w:sz w:val="20"/>
        </w:rPr>
        <w:t>Registered</w:t>
      </w:r>
      <w:r>
        <w:rPr>
          <w:spacing w:val="-10"/>
          <w:sz w:val="20"/>
        </w:rPr>
        <w:t> </w:t>
      </w:r>
      <w:r>
        <w:rPr>
          <w:sz w:val="20"/>
        </w:rPr>
        <w:t>Vessels</w:t>
      </w:r>
      <w:r>
        <w:rPr>
          <w:spacing w:val="-12"/>
          <w:sz w:val="20"/>
        </w:rPr>
        <w:t> </w:t>
      </w:r>
      <w:r>
        <w:rPr>
          <w:sz w:val="20"/>
        </w:rPr>
        <w:t>of</w:t>
      </w:r>
      <w:r>
        <w:rPr>
          <w:spacing w:val="-13"/>
          <w:sz w:val="20"/>
        </w:rPr>
        <w:t> </w:t>
      </w:r>
      <w:r>
        <w:rPr>
          <w:sz w:val="20"/>
        </w:rPr>
        <w:t>the</w:t>
      </w:r>
      <w:r>
        <w:rPr>
          <w:spacing w:val="-8"/>
          <w:sz w:val="20"/>
        </w:rPr>
        <w:t> </w:t>
      </w:r>
      <w:r>
        <w:rPr>
          <w:sz w:val="20"/>
        </w:rPr>
        <w:t>Union</w:t>
      </w:r>
      <w:r>
        <w:rPr>
          <w:spacing w:val="-10"/>
          <w:sz w:val="20"/>
        </w:rPr>
        <w:t> </w:t>
      </w:r>
      <w:r>
        <w:rPr>
          <w:sz w:val="20"/>
        </w:rPr>
        <w:t>of</w:t>
      </w:r>
      <w:r>
        <w:rPr>
          <w:spacing w:val="-10"/>
          <w:sz w:val="20"/>
        </w:rPr>
        <w:t> </w:t>
      </w:r>
      <w:r>
        <w:rPr>
          <w:sz w:val="20"/>
        </w:rPr>
        <w:t>the</w:t>
      </w:r>
      <w:r>
        <w:rPr>
          <w:spacing w:val="-9"/>
          <w:sz w:val="20"/>
        </w:rPr>
        <w:t> </w:t>
      </w:r>
      <w:r>
        <w:rPr>
          <w:sz w:val="20"/>
        </w:rPr>
        <w:t>Comoros,</w:t>
      </w:r>
      <w:r>
        <w:rPr>
          <w:spacing w:val="-8"/>
          <w:sz w:val="20"/>
        </w:rPr>
        <w:t> </w:t>
      </w:r>
      <w:r>
        <w:rPr>
          <w:sz w:val="20"/>
        </w:rPr>
        <w:t>the</w:t>
      </w:r>
      <w:r>
        <w:rPr>
          <w:spacing w:val="-9"/>
          <w:sz w:val="20"/>
        </w:rPr>
        <w:t> </w:t>
      </w:r>
      <w:r>
        <w:rPr>
          <w:sz w:val="20"/>
        </w:rPr>
        <w:t>Hellenic Republic and</w:t>
      </w:r>
      <w:r>
        <w:rPr>
          <w:spacing w:val="-1"/>
          <w:sz w:val="20"/>
        </w:rPr>
        <w:t> </w:t>
      </w:r>
      <w:r>
        <w:rPr>
          <w:sz w:val="20"/>
        </w:rPr>
        <w:t>the Kingdom of Cambodia; the Central African Republic II; Georgia; Gabon; Burundi;</w:t>
      </w:r>
      <w:r>
        <w:rPr>
          <w:spacing w:val="-5"/>
          <w:sz w:val="20"/>
        </w:rPr>
        <w:t> </w:t>
      </w:r>
      <w:r>
        <w:rPr>
          <w:sz w:val="20"/>
        </w:rPr>
        <w:t>Afghanistan;</w:t>
      </w:r>
      <w:r>
        <w:rPr>
          <w:spacing w:val="-6"/>
          <w:sz w:val="20"/>
        </w:rPr>
        <w:t> </w:t>
      </w:r>
      <w:r>
        <w:rPr>
          <w:sz w:val="20"/>
        </w:rPr>
        <w:t>Palestine;</w:t>
      </w:r>
      <w:r>
        <w:rPr>
          <w:spacing w:val="-6"/>
          <w:sz w:val="20"/>
        </w:rPr>
        <w:t> </w:t>
      </w:r>
      <w:r>
        <w:rPr>
          <w:sz w:val="20"/>
        </w:rPr>
        <w:t>Venezuela</w:t>
      </w:r>
      <w:r>
        <w:rPr>
          <w:spacing w:val="-6"/>
          <w:sz w:val="20"/>
        </w:rPr>
        <w:t> </w:t>
      </w:r>
      <w:r>
        <w:rPr>
          <w:sz w:val="20"/>
        </w:rPr>
        <w:t>I;</w:t>
      </w:r>
      <w:r>
        <w:rPr>
          <w:spacing w:val="-6"/>
          <w:sz w:val="20"/>
        </w:rPr>
        <w:t> </w:t>
      </w:r>
      <w:r>
        <w:rPr>
          <w:sz w:val="20"/>
        </w:rPr>
        <w:t>Bangladesh/Myanmar;</w:t>
      </w:r>
      <w:r>
        <w:rPr>
          <w:spacing w:val="-6"/>
          <w:sz w:val="20"/>
        </w:rPr>
        <w:t> </w:t>
      </w:r>
      <w:r>
        <w:rPr>
          <w:sz w:val="20"/>
        </w:rPr>
        <w:t>Venezuela</w:t>
      </w:r>
      <w:r>
        <w:rPr>
          <w:spacing w:val="-6"/>
          <w:sz w:val="20"/>
        </w:rPr>
        <w:t> </w:t>
      </w:r>
      <w:r>
        <w:rPr>
          <w:sz w:val="20"/>
        </w:rPr>
        <w:t>II;</w:t>
      </w:r>
      <w:r>
        <w:rPr>
          <w:spacing w:val="-11"/>
          <w:sz w:val="20"/>
        </w:rPr>
        <w:t> </w:t>
      </w:r>
      <w:r>
        <w:rPr>
          <w:sz w:val="20"/>
        </w:rPr>
        <w:t>Bolivia; Philippines; and Ukraine.</w:t>
      </w:r>
    </w:p>
    <w:p>
      <w:pPr>
        <w:pStyle w:val="ListParagraph"/>
        <w:numPr>
          <w:ilvl w:val="0"/>
          <w:numId w:val="4"/>
        </w:numPr>
        <w:tabs>
          <w:tab w:pos="2967" w:val="left" w:leader="none"/>
        </w:tabs>
        <w:spacing w:line="240" w:lineRule="auto" w:before="118" w:after="0"/>
        <w:ind w:left="2246" w:right="2240" w:firstLine="0"/>
        <w:jc w:val="both"/>
        <w:rPr>
          <w:sz w:val="20"/>
        </w:rPr>
      </w:pPr>
      <w:bookmarkStart w:name="_bookmark20" w:id="21"/>
      <w:bookmarkEnd w:id="21"/>
      <w:r>
        <w:rPr>
          <w:sz w:val="20"/>
        </w:rPr>
        <w:t>T</w:t>
      </w:r>
      <w:r>
        <w:rPr>
          <w:sz w:val="20"/>
        </w:rPr>
        <w:t>he Mokom case is currently pending at the confirmation of charges stage before Pre-Trial</w:t>
      </w:r>
      <w:r>
        <w:rPr>
          <w:spacing w:val="40"/>
          <w:sz w:val="20"/>
        </w:rPr>
        <w:t>  </w:t>
      </w:r>
      <w:r>
        <w:rPr>
          <w:sz w:val="20"/>
        </w:rPr>
        <w:t>Chamber</w:t>
      </w:r>
      <w:r>
        <w:rPr>
          <w:spacing w:val="40"/>
          <w:sz w:val="20"/>
        </w:rPr>
        <w:t>  </w:t>
      </w:r>
      <w:r>
        <w:rPr>
          <w:sz w:val="20"/>
        </w:rPr>
        <w:t>II,</w:t>
      </w:r>
      <w:r>
        <w:rPr>
          <w:spacing w:val="40"/>
          <w:sz w:val="20"/>
        </w:rPr>
        <w:t>  </w:t>
      </w:r>
      <w:r>
        <w:rPr>
          <w:sz w:val="20"/>
        </w:rPr>
        <w:t>with</w:t>
      </w:r>
      <w:r>
        <w:rPr>
          <w:spacing w:val="40"/>
          <w:sz w:val="20"/>
        </w:rPr>
        <w:t>  </w:t>
      </w:r>
      <w:r>
        <w:rPr>
          <w:sz w:val="20"/>
        </w:rPr>
        <w:t>the</w:t>
      </w:r>
      <w:r>
        <w:rPr>
          <w:spacing w:val="40"/>
          <w:sz w:val="20"/>
        </w:rPr>
        <w:t>  </w:t>
      </w:r>
      <w:r>
        <w:rPr>
          <w:sz w:val="20"/>
        </w:rPr>
        <w:t>confirmation</w:t>
      </w:r>
      <w:r>
        <w:rPr>
          <w:spacing w:val="40"/>
          <w:sz w:val="20"/>
        </w:rPr>
        <w:t>  </w:t>
      </w:r>
      <w:r>
        <w:rPr>
          <w:sz w:val="20"/>
        </w:rPr>
        <w:t>hearing</w:t>
      </w:r>
      <w:r>
        <w:rPr>
          <w:spacing w:val="40"/>
          <w:sz w:val="20"/>
        </w:rPr>
        <w:t>  </w:t>
      </w:r>
      <w:r>
        <w:rPr>
          <w:sz w:val="20"/>
        </w:rPr>
        <w:t>provisionally</w:t>
      </w:r>
      <w:r>
        <w:rPr>
          <w:spacing w:val="40"/>
          <w:sz w:val="20"/>
        </w:rPr>
        <w:t>  </w:t>
      </w:r>
      <w:r>
        <w:rPr>
          <w:sz w:val="20"/>
        </w:rPr>
        <w:t>scheduled for 31</w:t>
      </w:r>
      <w:r>
        <w:rPr>
          <w:spacing w:val="-7"/>
          <w:sz w:val="20"/>
        </w:rPr>
        <w:t> </w:t>
      </w:r>
      <w:r>
        <w:rPr>
          <w:sz w:val="20"/>
        </w:rPr>
        <w:t>January</w:t>
      </w:r>
      <w:r>
        <w:rPr>
          <w:spacing w:val="-1"/>
          <w:sz w:val="20"/>
        </w:rPr>
        <w:t> </w:t>
      </w:r>
      <w:r>
        <w:rPr>
          <w:sz w:val="20"/>
        </w:rPr>
        <w:t>2023. The</w:t>
      </w:r>
      <w:r>
        <w:rPr>
          <w:spacing w:val="-1"/>
          <w:sz w:val="20"/>
        </w:rPr>
        <w:t> </w:t>
      </w:r>
      <w:r>
        <w:rPr>
          <w:sz w:val="20"/>
        </w:rPr>
        <w:t>decision</w:t>
      </w:r>
      <w:r>
        <w:rPr>
          <w:spacing w:val="-3"/>
          <w:sz w:val="20"/>
        </w:rPr>
        <w:t> </w:t>
      </w:r>
      <w:r>
        <w:rPr>
          <w:sz w:val="20"/>
        </w:rPr>
        <w:t>on</w:t>
      </w:r>
      <w:r>
        <w:rPr>
          <w:spacing w:val="-3"/>
          <w:sz w:val="20"/>
        </w:rPr>
        <w:t> </w:t>
      </w:r>
      <w:r>
        <w:rPr>
          <w:sz w:val="20"/>
        </w:rPr>
        <w:t>the</w:t>
      </w:r>
      <w:r>
        <w:rPr>
          <w:spacing w:val="-1"/>
          <w:sz w:val="20"/>
        </w:rPr>
        <w:t> </w:t>
      </w:r>
      <w:r>
        <w:rPr>
          <w:sz w:val="20"/>
        </w:rPr>
        <w:t>confirmation</w:t>
      </w:r>
      <w:r>
        <w:rPr>
          <w:spacing w:val="-3"/>
          <w:sz w:val="20"/>
        </w:rPr>
        <w:t> </w:t>
      </w:r>
      <w:r>
        <w:rPr>
          <w:sz w:val="20"/>
        </w:rPr>
        <w:t>of</w:t>
      </w:r>
      <w:r>
        <w:rPr>
          <w:spacing w:val="-3"/>
          <w:sz w:val="20"/>
        </w:rPr>
        <w:t> </w:t>
      </w:r>
      <w:r>
        <w:rPr>
          <w:sz w:val="20"/>
        </w:rPr>
        <w:t>the</w:t>
      </w:r>
      <w:r>
        <w:rPr>
          <w:spacing w:val="-1"/>
          <w:sz w:val="20"/>
        </w:rPr>
        <w:t> </w:t>
      </w:r>
      <w:r>
        <w:rPr>
          <w:sz w:val="20"/>
        </w:rPr>
        <w:t>charges</w:t>
      </w:r>
      <w:r>
        <w:rPr>
          <w:spacing w:val="-4"/>
          <w:sz w:val="20"/>
        </w:rPr>
        <w:t> </w:t>
      </w:r>
      <w:r>
        <w:rPr>
          <w:sz w:val="20"/>
        </w:rPr>
        <w:t>is</w:t>
      </w:r>
      <w:r>
        <w:rPr>
          <w:spacing w:val="-4"/>
          <w:sz w:val="20"/>
        </w:rPr>
        <w:t> </w:t>
      </w:r>
      <w:r>
        <w:rPr>
          <w:sz w:val="20"/>
        </w:rPr>
        <w:t>expected</w:t>
      </w:r>
      <w:r>
        <w:rPr>
          <w:spacing w:val="-3"/>
          <w:sz w:val="20"/>
        </w:rPr>
        <w:t> </w:t>
      </w:r>
      <w:r>
        <w:rPr>
          <w:sz w:val="20"/>
        </w:rPr>
        <w:t>around</w:t>
      </w:r>
      <w:r>
        <w:rPr>
          <w:spacing w:val="-3"/>
          <w:sz w:val="20"/>
        </w:rPr>
        <w:t> </w:t>
      </w:r>
      <w:r>
        <w:rPr>
          <w:sz w:val="20"/>
        </w:rPr>
        <w:t>the end of</w:t>
      </w:r>
      <w:r>
        <w:rPr>
          <w:spacing w:val="-4"/>
          <w:sz w:val="20"/>
        </w:rPr>
        <w:t> </w:t>
      </w:r>
      <w:r>
        <w:rPr>
          <w:sz w:val="20"/>
        </w:rPr>
        <w:t>the</w:t>
      </w:r>
      <w:r>
        <w:rPr>
          <w:spacing w:val="-2"/>
          <w:sz w:val="20"/>
        </w:rPr>
        <w:t> </w:t>
      </w:r>
      <w:r>
        <w:rPr>
          <w:sz w:val="20"/>
        </w:rPr>
        <w:t>first quarter 2023. Depending</w:t>
      </w:r>
      <w:r>
        <w:rPr>
          <w:spacing w:val="-4"/>
          <w:sz w:val="20"/>
        </w:rPr>
        <w:t> </w:t>
      </w:r>
      <w:r>
        <w:rPr>
          <w:sz w:val="20"/>
        </w:rPr>
        <w:t>on that</w:t>
      </w:r>
      <w:r>
        <w:rPr>
          <w:spacing w:val="-2"/>
          <w:sz w:val="20"/>
        </w:rPr>
        <w:t> </w:t>
      </w:r>
      <w:r>
        <w:rPr>
          <w:sz w:val="20"/>
        </w:rPr>
        <w:t>decision,</w:t>
      </w:r>
      <w:r>
        <w:rPr>
          <w:spacing w:val="-1"/>
          <w:sz w:val="20"/>
        </w:rPr>
        <w:t> </w:t>
      </w:r>
      <w:r>
        <w:rPr>
          <w:sz w:val="20"/>
        </w:rPr>
        <w:t>trial preparations</w:t>
      </w:r>
      <w:r>
        <w:rPr>
          <w:spacing w:val="-5"/>
          <w:sz w:val="20"/>
        </w:rPr>
        <w:t> </w:t>
      </w:r>
      <w:r>
        <w:rPr>
          <w:sz w:val="20"/>
        </w:rPr>
        <w:t>in that case</w:t>
      </w:r>
      <w:r>
        <w:rPr>
          <w:spacing w:val="-2"/>
          <w:sz w:val="20"/>
        </w:rPr>
        <w:t> </w:t>
      </w:r>
      <w:r>
        <w:rPr>
          <w:sz w:val="20"/>
        </w:rPr>
        <w:t>may take place in 2023, with the possibility of hearings starting in late 2023.</w:t>
      </w:r>
    </w:p>
    <w:p>
      <w:pPr>
        <w:pStyle w:val="ListParagraph"/>
        <w:numPr>
          <w:ilvl w:val="0"/>
          <w:numId w:val="4"/>
        </w:numPr>
        <w:tabs>
          <w:tab w:pos="2967" w:val="left" w:leader="none"/>
        </w:tabs>
        <w:spacing w:line="240" w:lineRule="auto" w:before="123" w:after="0"/>
        <w:ind w:left="2246" w:right="2240" w:firstLine="0"/>
        <w:jc w:val="both"/>
        <w:rPr>
          <w:sz w:val="20"/>
        </w:rPr>
      </w:pPr>
      <w:r>
        <w:rPr>
          <w:sz w:val="20"/>
        </w:rPr>
        <w:t>The nature of proceedings before the Pre-Trial Chambers is such that some major filings</w:t>
      </w:r>
      <w:r>
        <w:rPr>
          <w:spacing w:val="-10"/>
          <w:sz w:val="20"/>
        </w:rPr>
        <w:t> </w:t>
      </w:r>
      <w:r>
        <w:rPr>
          <w:sz w:val="20"/>
        </w:rPr>
        <w:t>and</w:t>
      </w:r>
      <w:r>
        <w:rPr>
          <w:spacing w:val="-8"/>
          <w:sz w:val="20"/>
        </w:rPr>
        <w:t> </w:t>
      </w:r>
      <w:r>
        <w:rPr>
          <w:sz w:val="20"/>
        </w:rPr>
        <w:t>developments,</w:t>
      </w:r>
      <w:r>
        <w:rPr>
          <w:spacing w:val="-1"/>
          <w:sz w:val="20"/>
        </w:rPr>
        <w:t> </w:t>
      </w:r>
      <w:r>
        <w:rPr>
          <w:sz w:val="20"/>
        </w:rPr>
        <w:t>such</w:t>
      </w:r>
      <w:r>
        <w:rPr>
          <w:spacing w:val="-8"/>
          <w:sz w:val="20"/>
        </w:rPr>
        <w:t> </w:t>
      </w:r>
      <w:r>
        <w:rPr>
          <w:sz w:val="20"/>
        </w:rPr>
        <w:t>as</w:t>
      </w:r>
      <w:r>
        <w:rPr>
          <w:spacing w:val="-10"/>
          <w:sz w:val="20"/>
        </w:rPr>
        <w:t> </w:t>
      </w:r>
      <w:r>
        <w:rPr>
          <w:sz w:val="20"/>
        </w:rPr>
        <w:t>applications</w:t>
      </w:r>
      <w:r>
        <w:rPr>
          <w:spacing w:val="-10"/>
          <w:sz w:val="20"/>
        </w:rPr>
        <w:t> </w:t>
      </w:r>
      <w:r>
        <w:rPr>
          <w:sz w:val="20"/>
        </w:rPr>
        <w:t>for</w:t>
      </w:r>
      <w:r>
        <w:rPr>
          <w:spacing w:val="-8"/>
          <w:sz w:val="20"/>
        </w:rPr>
        <w:t> </w:t>
      </w:r>
      <w:r>
        <w:rPr>
          <w:sz w:val="20"/>
        </w:rPr>
        <w:t>the</w:t>
      </w:r>
      <w:r>
        <w:rPr>
          <w:spacing w:val="-7"/>
          <w:sz w:val="20"/>
        </w:rPr>
        <w:t> </w:t>
      </w:r>
      <w:r>
        <w:rPr>
          <w:sz w:val="20"/>
        </w:rPr>
        <w:t>initiation</w:t>
      </w:r>
      <w:r>
        <w:rPr>
          <w:spacing w:val="-4"/>
          <w:sz w:val="20"/>
        </w:rPr>
        <w:t> </w:t>
      </w:r>
      <w:r>
        <w:rPr>
          <w:sz w:val="20"/>
        </w:rPr>
        <w:t>of</w:t>
      </w:r>
      <w:r>
        <w:rPr>
          <w:spacing w:val="-8"/>
          <w:sz w:val="20"/>
        </w:rPr>
        <w:t> </w:t>
      </w:r>
      <w:r>
        <w:rPr>
          <w:sz w:val="20"/>
        </w:rPr>
        <w:t>investigations</w:t>
      </w:r>
      <w:r>
        <w:rPr>
          <w:spacing w:val="-5"/>
          <w:sz w:val="20"/>
        </w:rPr>
        <w:t> </w:t>
      </w:r>
      <w:r>
        <w:rPr>
          <w:sz w:val="20"/>
        </w:rPr>
        <w:t>on</w:t>
      </w:r>
      <w:r>
        <w:rPr>
          <w:spacing w:val="-8"/>
          <w:sz w:val="20"/>
        </w:rPr>
        <w:t> </w:t>
      </w:r>
      <w:r>
        <w:rPr>
          <w:sz w:val="20"/>
        </w:rPr>
        <w:t>the</w:t>
      </w:r>
      <w:r>
        <w:rPr>
          <w:spacing w:val="-7"/>
          <w:sz w:val="20"/>
        </w:rPr>
        <w:t> </w:t>
      </w:r>
      <w:r>
        <w:rPr>
          <w:sz w:val="20"/>
        </w:rPr>
        <w:t>basis of</w:t>
      </w:r>
      <w:r>
        <w:rPr>
          <w:spacing w:val="-4"/>
          <w:sz w:val="20"/>
        </w:rPr>
        <w:t> </w:t>
      </w:r>
      <w:r>
        <w:rPr>
          <w:sz w:val="20"/>
        </w:rPr>
        <w:t>preliminary</w:t>
      </w:r>
      <w:r>
        <w:rPr>
          <w:spacing w:val="-8"/>
          <w:sz w:val="20"/>
        </w:rPr>
        <w:t> </w:t>
      </w:r>
      <w:r>
        <w:rPr>
          <w:sz w:val="20"/>
        </w:rPr>
        <w:t>examinations</w:t>
      </w:r>
      <w:r>
        <w:rPr>
          <w:spacing w:val="-10"/>
          <w:sz w:val="20"/>
        </w:rPr>
        <w:t> </w:t>
      </w:r>
      <w:r>
        <w:rPr>
          <w:sz w:val="20"/>
        </w:rPr>
        <w:t>conducted</w:t>
      </w:r>
      <w:r>
        <w:rPr>
          <w:spacing w:val="-4"/>
          <w:sz w:val="20"/>
        </w:rPr>
        <w:t> </w:t>
      </w:r>
      <w:r>
        <w:rPr>
          <w:sz w:val="20"/>
        </w:rPr>
        <w:t>by</w:t>
      </w:r>
      <w:r>
        <w:rPr>
          <w:spacing w:val="-8"/>
          <w:sz w:val="20"/>
        </w:rPr>
        <w:t> </w:t>
      </w:r>
      <w:r>
        <w:rPr>
          <w:sz w:val="20"/>
        </w:rPr>
        <w:t>the</w:t>
      </w:r>
      <w:r>
        <w:rPr>
          <w:spacing w:val="-2"/>
          <w:sz w:val="20"/>
        </w:rPr>
        <w:t> </w:t>
      </w:r>
      <w:r>
        <w:rPr>
          <w:sz w:val="20"/>
        </w:rPr>
        <w:t>Office</w:t>
      </w:r>
      <w:r>
        <w:rPr>
          <w:spacing w:val="-7"/>
          <w:sz w:val="20"/>
        </w:rPr>
        <w:t> </w:t>
      </w:r>
      <w:r>
        <w:rPr>
          <w:sz w:val="20"/>
        </w:rPr>
        <w:t>of</w:t>
      </w:r>
      <w:r>
        <w:rPr>
          <w:spacing w:val="-4"/>
          <w:sz w:val="20"/>
        </w:rPr>
        <w:t> </w:t>
      </w:r>
      <w:r>
        <w:rPr>
          <w:sz w:val="20"/>
        </w:rPr>
        <w:t>the</w:t>
      </w:r>
      <w:r>
        <w:rPr>
          <w:spacing w:val="-2"/>
          <w:sz w:val="20"/>
        </w:rPr>
        <w:t> </w:t>
      </w:r>
      <w:r>
        <w:rPr>
          <w:sz w:val="20"/>
        </w:rPr>
        <w:t>Prosecutor,</w:t>
      </w:r>
      <w:r>
        <w:rPr>
          <w:spacing w:val="-1"/>
          <w:sz w:val="20"/>
        </w:rPr>
        <w:t> </w:t>
      </w:r>
      <w:r>
        <w:rPr>
          <w:sz w:val="20"/>
        </w:rPr>
        <w:t>applications</w:t>
      </w:r>
      <w:r>
        <w:rPr>
          <w:spacing w:val="-5"/>
          <w:sz w:val="20"/>
        </w:rPr>
        <w:t> </w:t>
      </w:r>
      <w:r>
        <w:rPr>
          <w:sz w:val="20"/>
        </w:rPr>
        <w:t>brought under article 56, applications for warrants of arrest, initial appearances and confirmation proceedings, cannot be predicted far in advance. Furthermore, the Pre-Trial Division regularly receives</w:t>
      </w:r>
      <w:r>
        <w:rPr>
          <w:spacing w:val="-1"/>
          <w:sz w:val="20"/>
        </w:rPr>
        <w:t> </w:t>
      </w:r>
      <w:r>
        <w:rPr>
          <w:sz w:val="20"/>
        </w:rPr>
        <w:t>requests</w:t>
      </w:r>
      <w:r>
        <w:rPr>
          <w:spacing w:val="-1"/>
          <w:sz w:val="20"/>
        </w:rPr>
        <w:t> </w:t>
      </w:r>
      <w:r>
        <w:rPr>
          <w:sz w:val="20"/>
        </w:rPr>
        <w:t>and applications which by nature must remain</w:t>
      </w:r>
      <w:r>
        <w:rPr>
          <w:spacing w:val="-5"/>
          <w:sz w:val="20"/>
        </w:rPr>
        <w:t> </w:t>
      </w:r>
      <w:r>
        <w:rPr>
          <w:sz w:val="20"/>
        </w:rPr>
        <w:t>confidential, with the</w:t>
      </w:r>
      <w:r>
        <w:rPr>
          <w:spacing w:val="-7"/>
          <w:sz w:val="20"/>
        </w:rPr>
        <w:t> </w:t>
      </w:r>
      <w:r>
        <w:rPr>
          <w:sz w:val="20"/>
        </w:rPr>
        <w:t>result</w:t>
      </w:r>
      <w:r>
        <w:rPr>
          <w:spacing w:val="-7"/>
          <w:sz w:val="20"/>
        </w:rPr>
        <w:t> </w:t>
      </w:r>
      <w:r>
        <w:rPr>
          <w:sz w:val="20"/>
        </w:rPr>
        <w:t>being</w:t>
      </w:r>
      <w:r>
        <w:rPr>
          <w:spacing w:val="-8"/>
          <w:sz w:val="20"/>
        </w:rPr>
        <w:t> </w:t>
      </w:r>
      <w:r>
        <w:rPr>
          <w:sz w:val="20"/>
        </w:rPr>
        <w:t>that</w:t>
      </w:r>
      <w:r>
        <w:rPr>
          <w:spacing w:val="-7"/>
          <w:sz w:val="20"/>
        </w:rPr>
        <w:t> </w:t>
      </w:r>
      <w:r>
        <w:rPr>
          <w:sz w:val="20"/>
        </w:rPr>
        <w:t>their</w:t>
      </w:r>
      <w:r>
        <w:rPr>
          <w:spacing w:val="-8"/>
          <w:sz w:val="20"/>
        </w:rPr>
        <w:t> </w:t>
      </w:r>
      <w:r>
        <w:rPr>
          <w:sz w:val="20"/>
        </w:rPr>
        <w:t>(often</w:t>
      </w:r>
      <w:r>
        <w:rPr>
          <w:spacing w:val="-8"/>
          <w:sz w:val="20"/>
        </w:rPr>
        <w:t> </w:t>
      </w:r>
      <w:r>
        <w:rPr>
          <w:sz w:val="20"/>
        </w:rPr>
        <w:t>considerable)</w:t>
      </w:r>
      <w:r>
        <w:rPr>
          <w:spacing w:val="-8"/>
          <w:sz w:val="20"/>
        </w:rPr>
        <w:t> </w:t>
      </w:r>
      <w:r>
        <w:rPr>
          <w:sz w:val="20"/>
        </w:rPr>
        <w:t>impact</w:t>
      </w:r>
      <w:r>
        <w:rPr>
          <w:spacing w:val="-7"/>
          <w:sz w:val="20"/>
        </w:rPr>
        <w:t> </w:t>
      </w:r>
      <w:r>
        <w:rPr>
          <w:sz w:val="20"/>
        </w:rPr>
        <w:t>on</w:t>
      </w:r>
      <w:r>
        <w:rPr>
          <w:spacing w:val="-8"/>
          <w:sz w:val="20"/>
        </w:rPr>
        <w:t> </w:t>
      </w:r>
      <w:r>
        <w:rPr>
          <w:sz w:val="20"/>
        </w:rPr>
        <w:t>the</w:t>
      </w:r>
      <w:r>
        <w:rPr>
          <w:spacing w:val="-11"/>
          <w:sz w:val="20"/>
        </w:rPr>
        <w:t> </w:t>
      </w:r>
      <w:r>
        <w:rPr>
          <w:sz w:val="20"/>
        </w:rPr>
        <w:t>workload</w:t>
      </w:r>
      <w:r>
        <w:rPr>
          <w:spacing w:val="-8"/>
          <w:sz w:val="20"/>
        </w:rPr>
        <w:t> </w:t>
      </w:r>
      <w:r>
        <w:rPr>
          <w:sz w:val="20"/>
        </w:rPr>
        <w:t>of</w:t>
      </w:r>
      <w:r>
        <w:rPr>
          <w:spacing w:val="-8"/>
          <w:sz w:val="20"/>
        </w:rPr>
        <w:t> </w:t>
      </w:r>
      <w:r>
        <w:rPr>
          <w:sz w:val="20"/>
        </w:rPr>
        <w:t>the</w:t>
      </w:r>
      <w:r>
        <w:rPr>
          <w:spacing w:val="-7"/>
          <w:sz w:val="20"/>
        </w:rPr>
        <w:t> </w:t>
      </w:r>
      <w:r>
        <w:rPr>
          <w:sz w:val="20"/>
        </w:rPr>
        <w:t>Chambers</w:t>
      </w:r>
      <w:r>
        <w:rPr>
          <w:spacing w:val="-10"/>
          <w:sz w:val="20"/>
        </w:rPr>
        <w:t> </w:t>
      </w:r>
      <w:r>
        <w:rPr>
          <w:sz w:val="20"/>
        </w:rPr>
        <w:t>is</w:t>
      </w:r>
      <w:r>
        <w:rPr>
          <w:spacing w:val="-10"/>
          <w:sz w:val="20"/>
        </w:rPr>
        <w:t> </w:t>
      </w:r>
      <w:r>
        <w:rPr>
          <w:sz w:val="20"/>
        </w:rPr>
        <w:t>not immediately visible to the public. The increased number of situations currently under investigation or which may come before the Pre-Trial Chambers may result in applications to the Pre-Trial Chambers by parties and participants to the various proceedings in 2023. Moreover, any of the persons for whom warrants of arrest are outstanding may be arrested and</w:t>
      </w:r>
      <w:r>
        <w:rPr>
          <w:spacing w:val="-13"/>
          <w:sz w:val="20"/>
        </w:rPr>
        <w:t> </w:t>
      </w:r>
      <w:r>
        <w:rPr>
          <w:sz w:val="20"/>
        </w:rPr>
        <w:t>surrendered</w:t>
      </w:r>
      <w:r>
        <w:rPr>
          <w:spacing w:val="-12"/>
          <w:sz w:val="20"/>
        </w:rPr>
        <w:t> </w:t>
      </w:r>
      <w:r>
        <w:rPr>
          <w:sz w:val="20"/>
        </w:rPr>
        <w:t>to</w:t>
      </w:r>
      <w:r>
        <w:rPr>
          <w:spacing w:val="-13"/>
          <w:sz w:val="20"/>
        </w:rPr>
        <w:t> </w:t>
      </w:r>
      <w:r>
        <w:rPr>
          <w:sz w:val="20"/>
        </w:rPr>
        <w:t>the</w:t>
      </w:r>
      <w:r>
        <w:rPr>
          <w:spacing w:val="-12"/>
          <w:sz w:val="20"/>
        </w:rPr>
        <w:t> </w:t>
      </w:r>
      <w:r>
        <w:rPr>
          <w:sz w:val="20"/>
        </w:rPr>
        <w:t>Court</w:t>
      </w:r>
      <w:r>
        <w:rPr>
          <w:spacing w:val="-13"/>
          <w:sz w:val="20"/>
        </w:rPr>
        <w:t> </w:t>
      </w:r>
      <w:r>
        <w:rPr>
          <w:sz w:val="20"/>
        </w:rPr>
        <w:t>on</w:t>
      </w:r>
      <w:r>
        <w:rPr>
          <w:spacing w:val="-12"/>
          <w:sz w:val="20"/>
        </w:rPr>
        <w:t> </w:t>
      </w:r>
      <w:r>
        <w:rPr>
          <w:sz w:val="20"/>
        </w:rPr>
        <w:t>short</w:t>
      </w:r>
      <w:r>
        <w:rPr>
          <w:spacing w:val="-13"/>
          <w:sz w:val="20"/>
        </w:rPr>
        <w:t> </w:t>
      </w:r>
      <w:r>
        <w:rPr>
          <w:sz w:val="20"/>
        </w:rPr>
        <w:t>notice,</w:t>
      </w:r>
      <w:r>
        <w:rPr>
          <w:spacing w:val="-12"/>
          <w:sz w:val="20"/>
        </w:rPr>
        <w:t> </w:t>
      </w:r>
      <w:r>
        <w:rPr>
          <w:sz w:val="20"/>
        </w:rPr>
        <w:t>as</w:t>
      </w:r>
      <w:r>
        <w:rPr>
          <w:spacing w:val="-13"/>
          <w:sz w:val="20"/>
        </w:rPr>
        <w:t> </w:t>
      </w:r>
      <w:r>
        <w:rPr>
          <w:sz w:val="20"/>
        </w:rPr>
        <w:t>has</w:t>
      </w:r>
      <w:r>
        <w:rPr>
          <w:spacing w:val="-12"/>
          <w:sz w:val="20"/>
        </w:rPr>
        <w:t> </w:t>
      </w:r>
      <w:r>
        <w:rPr>
          <w:sz w:val="20"/>
        </w:rPr>
        <w:t>happened</w:t>
      </w:r>
      <w:r>
        <w:rPr>
          <w:spacing w:val="-13"/>
          <w:sz w:val="20"/>
        </w:rPr>
        <w:t> </w:t>
      </w:r>
      <w:r>
        <w:rPr>
          <w:sz w:val="20"/>
        </w:rPr>
        <w:t>on</w:t>
      </w:r>
      <w:r>
        <w:rPr>
          <w:spacing w:val="-12"/>
          <w:sz w:val="20"/>
        </w:rPr>
        <w:t> </w:t>
      </w:r>
      <w:r>
        <w:rPr>
          <w:sz w:val="20"/>
        </w:rPr>
        <w:t>a</w:t>
      </w:r>
      <w:r>
        <w:rPr>
          <w:spacing w:val="-13"/>
          <w:sz w:val="20"/>
        </w:rPr>
        <w:t> </w:t>
      </w:r>
      <w:r>
        <w:rPr>
          <w:sz w:val="20"/>
        </w:rPr>
        <w:t>number</w:t>
      </w:r>
      <w:r>
        <w:rPr>
          <w:spacing w:val="-12"/>
          <w:sz w:val="20"/>
        </w:rPr>
        <w:t> </w:t>
      </w:r>
      <w:r>
        <w:rPr>
          <w:sz w:val="20"/>
        </w:rPr>
        <w:t>occasions</w:t>
      </w:r>
      <w:r>
        <w:rPr>
          <w:spacing w:val="-13"/>
          <w:sz w:val="20"/>
        </w:rPr>
        <w:t> </w:t>
      </w:r>
      <w:r>
        <w:rPr>
          <w:sz w:val="20"/>
        </w:rPr>
        <w:t>in</w:t>
      </w:r>
      <w:r>
        <w:rPr>
          <w:spacing w:val="-12"/>
          <w:sz w:val="20"/>
        </w:rPr>
        <w:t> </w:t>
      </w:r>
      <w:r>
        <w:rPr>
          <w:sz w:val="20"/>
        </w:rPr>
        <w:t>recent years. In sum, therefore, it is safe to assume that not only the workload in the Pre-Trial Division</w:t>
      </w:r>
      <w:r>
        <w:rPr>
          <w:spacing w:val="-4"/>
          <w:sz w:val="20"/>
        </w:rPr>
        <w:t> </w:t>
      </w:r>
      <w:r>
        <w:rPr>
          <w:sz w:val="20"/>
        </w:rPr>
        <w:t>will</w:t>
      </w:r>
      <w:r>
        <w:rPr>
          <w:spacing w:val="-2"/>
          <w:sz w:val="20"/>
        </w:rPr>
        <w:t> </w:t>
      </w:r>
      <w:r>
        <w:rPr>
          <w:sz w:val="20"/>
        </w:rPr>
        <w:t>not</w:t>
      </w:r>
      <w:r>
        <w:rPr>
          <w:spacing w:val="-2"/>
          <w:sz w:val="20"/>
        </w:rPr>
        <w:t> </w:t>
      </w:r>
      <w:r>
        <w:rPr>
          <w:sz w:val="20"/>
        </w:rPr>
        <w:t>decrease</w:t>
      </w:r>
      <w:r>
        <w:rPr>
          <w:spacing w:val="-2"/>
          <w:sz w:val="20"/>
        </w:rPr>
        <w:t> </w:t>
      </w:r>
      <w:r>
        <w:rPr>
          <w:sz w:val="20"/>
        </w:rPr>
        <w:t>in</w:t>
      </w:r>
      <w:r>
        <w:rPr>
          <w:spacing w:val="-4"/>
          <w:sz w:val="20"/>
        </w:rPr>
        <w:t> </w:t>
      </w:r>
      <w:r>
        <w:rPr>
          <w:sz w:val="20"/>
        </w:rPr>
        <w:t>2023 in</w:t>
      </w:r>
      <w:r>
        <w:rPr>
          <w:spacing w:val="-4"/>
          <w:sz w:val="20"/>
        </w:rPr>
        <w:t> </w:t>
      </w:r>
      <w:r>
        <w:rPr>
          <w:sz w:val="20"/>
        </w:rPr>
        <w:t>comparison with</w:t>
      </w:r>
      <w:r>
        <w:rPr>
          <w:spacing w:val="-4"/>
          <w:sz w:val="20"/>
        </w:rPr>
        <w:t> </w:t>
      </w:r>
      <w:r>
        <w:rPr>
          <w:sz w:val="20"/>
        </w:rPr>
        <w:t>previous years,</w:t>
      </w:r>
      <w:r>
        <w:rPr>
          <w:spacing w:val="-1"/>
          <w:sz w:val="20"/>
        </w:rPr>
        <w:t> </w:t>
      </w:r>
      <w:r>
        <w:rPr>
          <w:sz w:val="20"/>
        </w:rPr>
        <w:t>but</w:t>
      </w:r>
      <w:r>
        <w:rPr>
          <w:spacing w:val="-2"/>
          <w:sz w:val="20"/>
        </w:rPr>
        <w:t> </w:t>
      </w:r>
      <w:r>
        <w:rPr>
          <w:sz w:val="20"/>
        </w:rPr>
        <w:t>is</w:t>
      </w:r>
      <w:r>
        <w:rPr>
          <w:spacing w:val="-5"/>
          <w:sz w:val="20"/>
        </w:rPr>
        <w:t> </w:t>
      </w:r>
      <w:r>
        <w:rPr>
          <w:sz w:val="20"/>
        </w:rPr>
        <w:t>in</w:t>
      </w:r>
      <w:r>
        <w:rPr>
          <w:spacing w:val="-4"/>
          <w:sz w:val="20"/>
        </w:rPr>
        <w:t> </w:t>
      </w:r>
      <w:r>
        <w:rPr>
          <w:sz w:val="20"/>
        </w:rPr>
        <w:t>fact likely</w:t>
      </w:r>
      <w:r>
        <w:rPr>
          <w:spacing w:val="-4"/>
          <w:sz w:val="20"/>
        </w:rPr>
        <w:t> </w:t>
      </w:r>
      <w:r>
        <w:rPr>
          <w:sz w:val="20"/>
        </w:rPr>
        <w:t>to increase, notably on the basis of the information currently known on the OTP’s planned </w:t>
      </w:r>
      <w:r>
        <w:rPr>
          <w:spacing w:val="-2"/>
          <w:sz w:val="20"/>
        </w:rPr>
        <w:t>activities.</w:t>
      </w:r>
    </w:p>
    <w:p>
      <w:pPr>
        <w:pStyle w:val="BodyText"/>
        <w:spacing w:before="7"/>
      </w:pPr>
    </w:p>
    <w:p>
      <w:pPr>
        <w:spacing w:before="1"/>
        <w:ind w:left="2246" w:right="0" w:firstLine="0"/>
        <w:jc w:val="left"/>
        <w:rPr>
          <w:i/>
          <w:sz w:val="20"/>
        </w:rPr>
      </w:pPr>
      <w:r>
        <w:rPr>
          <w:i/>
          <w:sz w:val="20"/>
        </w:rPr>
        <w:t>Trial</w:t>
      </w:r>
      <w:r>
        <w:rPr>
          <w:i/>
          <w:spacing w:val="1"/>
          <w:sz w:val="20"/>
        </w:rPr>
        <w:t> </w:t>
      </w:r>
      <w:r>
        <w:rPr>
          <w:i/>
          <w:spacing w:val="-2"/>
          <w:sz w:val="20"/>
        </w:rPr>
        <w:t>Division</w:t>
      </w:r>
    </w:p>
    <w:p>
      <w:pPr>
        <w:pStyle w:val="BodyText"/>
        <w:spacing w:before="10"/>
        <w:rPr>
          <w:i/>
        </w:rPr>
      </w:pPr>
    </w:p>
    <w:p>
      <w:pPr>
        <w:pStyle w:val="ListParagraph"/>
        <w:numPr>
          <w:ilvl w:val="0"/>
          <w:numId w:val="4"/>
        </w:numPr>
        <w:tabs>
          <w:tab w:pos="2967" w:val="left" w:leader="none"/>
        </w:tabs>
        <w:spacing w:line="240" w:lineRule="auto" w:before="0" w:after="0"/>
        <w:ind w:left="2246" w:right="2241" w:firstLine="0"/>
        <w:jc w:val="both"/>
        <w:rPr>
          <w:sz w:val="20"/>
        </w:rPr>
      </w:pPr>
      <w:r>
        <w:rPr>
          <w:sz w:val="20"/>
        </w:rPr>
        <w:t>The</w:t>
      </w:r>
      <w:r>
        <w:rPr>
          <w:spacing w:val="-13"/>
          <w:sz w:val="20"/>
        </w:rPr>
        <w:t> </w:t>
      </w:r>
      <w:r>
        <w:rPr>
          <w:sz w:val="20"/>
        </w:rPr>
        <w:t>Trial</w:t>
      </w:r>
      <w:r>
        <w:rPr>
          <w:spacing w:val="-7"/>
          <w:sz w:val="20"/>
        </w:rPr>
        <w:t> </w:t>
      </w:r>
      <w:r>
        <w:rPr>
          <w:sz w:val="20"/>
        </w:rPr>
        <w:t>Division</w:t>
      </w:r>
      <w:r>
        <w:rPr>
          <w:spacing w:val="-13"/>
          <w:sz w:val="20"/>
        </w:rPr>
        <w:t> </w:t>
      </w:r>
      <w:r>
        <w:rPr>
          <w:sz w:val="20"/>
        </w:rPr>
        <w:t>is</w:t>
      </w:r>
      <w:r>
        <w:rPr>
          <w:spacing w:val="-10"/>
          <w:sz w:val="20"/>
        </w:rPr>
        <w:t> </w:t>
      </w:r>
      <w:r>
        <w:rPr>
          <w:sz w:val="20"/>
        </w:rPr>
        <w:t>composed</w:t>
      </w:r>
      <w:r>
        <w:rPr>
          <w:spacing w:val="-8"/>
          <w:sz w:val="20"/>
        </w:rPr>
        <w:t> </w:t>
      </w:r>
      <w:r>
        <w:rPr>
          <w:sz w:val="20"/>
        </w:rPr>
        <w:t>of</w:t>
      </w:r>
      <w:r>
        <w:rPr>
          <w:spacing w:val="-8"/>
          <w:sz w:val="20"/>
        </w:rPr>
        <w:t> </w:t>
      </w:r>
      <w:r>
        <w:rPr>
          <w:sz w:val="20"/>
        </w:rPr>
        <w:t>the</w:t>
      </w:r>
      <w:r>
        <w:rPr>
          <w:spacing w:val="-12"/>
          <w:sz w:val="20"/>
        </w:rPr>
        <w:t> </w:t>
      </w:r>
      <w:r>
        <w:rPr>
          <w:sz w:val="20"/>
        </w:rPr>
        <w:t>Trial</w:t>
      </w:r>
      <w:r>
        <w:rPr>
          <w:spacing w:val="-12"/>
          <w:sz w:val="20"/>
        </w:rPr>
        <w:t> </w:t>
      </w:r>
      <w:r>
        <w:rPr>
          <w:sz w:val="20"/>
        </w:rPr>
        <w:t>Chambers,</w:t>
      </w:r>
      <w:r>
        <w:rPr>
          <w:spacing w:val="-6"/>
          <w:sz w:val="20"/>
        </w:rPr>
        <w:t> </w:t>
      </w:r>
      <w:r>
        <w:rPr>
          <w:sz w:val="20"/>
        </w:rPr>
        <w:t>whose</w:t>
      </w:r>
      <w:r>
        <w:rPr>
          <w:spacing w:val="-11"/>
          <w:sz w:val="20"/>
        </w:rPr>
        <w:t> </w:t>
      </w:r>
      <w:r>
        <w:rPr>
          <w:sz w:val="20"/>
        </w:rPr>
        <w:t>mandate</w:t>
      </w:r>
      <w:r>
        <w:rPr>
          <w:spacing w:val="-12"/>
          <w:sz w:val="20"/>
        </w:rPr>
        <w:t> </w:t>
      </w:r>
      <w:r>
        <w:rPr>
          <w:sz w:val="20"/>
        </w:rPr>
        <w:t>is</w:t>
      </w:r>
      <w:r>
        <w:rPr>
          <w:spacing w:val="-10"/>
          <w:sz w:val="20"/>
        </w:rPr>
        <w:t> </w:t>
      </w:r>
      <w:r>
        <w:rPr>
          <w:sz w:val="20"/>
        </w:rPr>
        <w:t>to</w:t>
      </w:r>
      <w:r>
        <w:rPr>
          <w:spacing w:val="-13"/>
          <w:sz w:val="20"/>
        </w:rPr>
        <w:t> </w:t>
      </w:r>
      <w:r>
        <w:rPr>
          <w:sz w:val="20"/>
        </w:rPr>
        <w:t>conduct trials following the confirmation of</w:t>
      </w:r>
      <w:r>
        <w:rPr>
          <w:spacing w:val="-4"/>
          <w:sz w:val="20"/>
        </w:rPr>
        <w:t> </w:t>
      </w:r>
      <w:r>
        <w:rPr>
          <w:sz w:val="20"/>
        </w:rPr>
        <w:t>charges by the Pre-Trial Chambers. This mandate starts with the preparation of trials, continues with the trials and comes to an end with the conclusion</w:t>
      </w:r>
      <w:r>
        <w:rPr>
          <w:spacing w:val="-13"/>
          <w:sz w:val="20"/>
        </w:rPr>
        <w:t> </w:t>
      </w:r>
      <w:r>
        <w:rPr>
          <w:sz w:val="20"/>
        </w:rPr>
        <w:t>of</w:t>
      </w:r>
      <w:r>
        <w:rPr>
          <w:spacing w:val="-12"/>
          <w:sz w:val="20"/>
        </w:rPr>
        <w:t> </w:t>
      </w:r>
      <w:r>
        <w:rPr>
          <w:sz w:val="20"/>
        </w:rPr>
        <w:t>the</w:t>
      </w:r>
      <w:r>
        <w:rPr>
          <w:spacing w:val="-13"/>
          <w:sz w:val="20"/>
        </w:rPr>
        <w:t> </w:t>
      </w:r>
      <w:r>
        <w:rPr>
          <w:sz w:val="20"/>
        </w:rPr>
        <w:t>reparations</w:t>
      </w:r>
      <w:r>
        <w:rPr>
          <w:spacing w:val="-12"/>
          <w:sz w:val="20"/>
        </w:rPr>
        <w:t> </w:t>
      </w:r>
      <w:r>
        <w:rPr>
          <w:sz w:val="20"/>
        </w:rPr>
        <w:t>phase.</w:t>
      </w:r>
      <w:r>
        <w:rPr>
          <w:spacing w:val="-13"/>
          <w:sz w:val="20"/>
        </w:rPr>
        <w:t> </w:t>
      </w:r>
      <w:r>
        <w:rPr>
          <w:sz w:val="20"/>
        </w:rPr>
        <w:t>The</w:t>
      </w:r>
      <w:r>
        <w:rPr>
          <w:spacing w:val="-12"/>
          <w:sz w:val="20"/>
        </w:rPr>
        <w:t> </w:t>
      </w:r>
      <w:r>
        <w:rPr>
          <w:sz w:val="20"/>
        </w:rPr>
        <w:t>Trial</w:t>
      </w:r>
      <w:r>
        <w:rPr>
          <w:spacing w:val="-13"/>
          <w:sz w:val="20"/>
        </w:rPr>
        <w:t> </w:t>
      </w:r>
      <w:r>
        <w:rPr>
          <w:sz w:val="20"/>
        </w:rPr>
        <w:t>Chambers</w:t>
      </w:r>
      <w:r>
        <w:rPr>
          <w:spacing w:val="-12"/>
          <w:sz w:val="20"/>
        </w:rPr>
        <w:t> </w:t>
      </w:r>
      <w:r>
        <w:rPr>
          <w:sz w:val="20"/>
        </w:rPr>
        <w:t>are</w:t>
      </w:r>
      <w:r>
        <w:rPr>
          <w:spacing w:val="-13"/>
          <w:sz w:val="20"/>
        </w:rPr>
        <w:t> </w:t>
      </w:r>
      <w:r>
        <w:rPr>
          <w:sz w:val="20"/>
        </w:rPr>
        <w:t>required</w:t>
      </w:r>
      <w:r>
        <w:rPr>
          <w:spacing w:val="-12"/>
          <w:sz w:val="20"/>
        </w:rPr>
        <w:t> </w:t>
      </w:r>
      <w:r>
        <w:rPr>
          <w:sz w:val="20"/>
        </w:rPr>
        <w:t>to</w:t>
      </w:r>
      <w:r>
        <w:rPr>
          <w:spacing w:val="-13"/>
          <w:sz w:val="20"/>
        </w:rPr>
        <w:t> </w:t>
      </w:r>
      <w:r>
        <w:rPr>
          <w:sz w:val="20"/>
        </w:rPr>
        <w:t>ensure,</w:t>
      </w:r>
      <w:r>
        <w:rPr>
          <w:spacing w:val="-12"/>
          <w:sz w:val="20"/>
        </w:rPr>
        <w:t> </w:t>
      </w:r>
      <w:r>
        <w:rPr>
          <w:sz w:val="20"/>
        </w:rPr>
        <w:t>in</w:t>
      </w:r>
      <w:r>
        <w:rPr>
          <w:spacing w:val="-13"/>
          <w:sz w:val="20"/>
        </w:rPr>
        <w:t> </w:t>
      </w:r>
      <w:r>
        <w:rPr>
          <w:sz w:val="20"/>
        </w:rPr>
        <w:t>accordance with</w:t>
      </w:r>
      <w:r>
        <w:rPr>
          <w:spacing w:val="-3"/>
          <w:sz w:val="20"/>
        </w:rPr>
        <w:t> </w:t>
      </w:r>
      <w:r>
        <w:rPr>
          <w:sz w:val="20"/>
        </w:rPr>
        <w:t>article 64</w:t>
      </w:r>
      <w:r>
        <w:rPr>
          <w:spacing w:val="-3"/>
          <w:sz w:val="20"/>
        </w:rPr>
        <w:t> </w:t>
      </w:r>
      <w:r>
        <w:rPr>
          <w:sz w:val="20"/>
        </w:rPr>
        <w:t>of the Rome Statute, that</w:t>
      </w:r>
      <w:r>
        <w:rPr>
          <w:spacing w:val="-1"/>
          <w:sz w:val="20"/>
        </w:rPr>
        <w:t> </w:t>
      </w:r>
      <w:r>
        <w:rPr>
          <w:sz w:val="20"/>
        </w:rPr>
        <w:t>a trial is</w:t>
      </w:r>
      <w:r>
        <w:rPr>
          <w:spacing w:val="-4"/>
          <w:sz w:val="20"/>
        </w:rPr>
        <w:t> </w:t>
      </w:r>
      <w:r>
        <w:rPr>
          <w:sz w:val="20"/>
        </w:rPr>
        <w:t>fair and expeditious</w:t>
      </w:r>
      <w:r>
        <w:rPr>
          <w:spacing w:val="-4"/>
          <w:sz w:val="20"/>
        </w:rPr>
        <w:t> </w:t>
      </w:r>
      <w:r>
        <w:rPr>
          <w:sz w:val="20"/>
        </w:rPr>
        <w:t>and</w:t>
      </w:r>
      <w:r>
        <w:rPr>
          <w:spacing w:val="-3"/>
          <w:sz w:val="20"/>
        </w:rPr>
        <w:t> </w:t>
      </w:r>
      <w:r>
        <w:rPr>
          <w:sz w:val="20"/>
        </w:rPr>
        <w:t>is conducted</w:t>
      </w:r>
      <w:r>
        <w:rPr>
          <w:spacing w:val="-3"/>
          <w:sz w:val="20"/>
        </w:rPr>
        <w:t> </w:t>
      </w:r>
      <w:r>
        <w:rPr>
          <w:sz w:val="20"/>
        </w:rPr>
        <w:t>with full respect for the rights of the accused and due regard for the protection of victims and </w:t>
      </w:r>
      <w:r>
        <w:rPr>
          <w:spacing w:val="-2"/>
          <w:sz w:val="20"/>
        </w:rPr>
        <w:t>witnesses.</w:t>
      </w:r>
    </w:p>
    <w:p>
      <w:pPr>
        <w:pStyle w:val="ListParagraph"/>
        <w:numPr>
          <w:ilvl w:val="0"/>
          <w:numId w:val="4"/>
        </w:numPr>
        <w:tabs>
          <w:tab w:pos="2967" w:val="left" w:leader="none"/>
        </w:tabs>
        <w:spacing w:line="240" w:lineRule="auto" w:before="124" w:after="0"/>
        <w:ind w:left="2246" w:right="2248" w:firstLine="0"/>
        <w:jc w:val="both"/>
        <w:rPr>
          <w:sz w:val="20"/>
        </w:rPr>
      </w:pPr>
      <w:r>
        <w:rPr>
          <w:sz w:val="20"/>
        </w:rPr>
        <w:t>Currently, six judges are assigned to the Trial Division. Together with six judges from the Pre-Trial Division, they are assigned in various combinations to Trial Chambers. The</w:t>
      </w:r>
      <w:r>
        <w:rPr>
          <w:spacing w:val="-13"/>
          <w:sz w:val="20"/>
        </w:rPr>
        <w:t> </w:t>
      </w:r>
      <w:r>
        <w:rPr>
          <w:sz w:val="20"/>
        </w:rPr>
        <w:t>six</w:t>
      </w:r>
      <w:r>
        <w:rPr>
          <w:spacing w:val="-12"/>
          <w:sz w:val="20"/>
        </w:rPr>
        <w:t> </w:t>
      </w:r>
      <w:r>
        <w:rPr>
          <w:sz w:val="20"/>
        </w:rPr>
        <w:t>judges</w:t>
      </w:r>
      <w:r>
        <w:rPr>
          <w:spacing w:val="-12"/>
          <w:sz w:val="20"/>
        </w:rPr>
        <w:t> </w:t>
      </w:r>
      <w:r>
        <w:rPr>
          <w:sz w:val="20"/>
        </w:rPr>
        <w:t>of</w:t>
      </w:r>
      <w:r>
        <w:rPr>
          <w:spacing w:val="-13"/>
          <w:sz w:val="20"/>
        </w:rPr>
        <w:t> </w:t>
      </w:r>
      <w:r>
        <w:rPr>
          <w:sz w:val="20"/>
        </w:rPr>
        <w:t>the</w:t>
      </w:r>
      <w:r>
        <w:rPr>
          <w:spacing w:val="-11"/>
          <w:sz w:val="20"/>
        </w:rPr>
        <w:t> </w:t>
      </w:r>
      <w:r>
        <w:rPr>
          <w:sz w:val="20"/>
        </w:rPr>
        <w:t>Trial</w:t>
      </w:r>
      <w:r>
        <w:rPr>
          <w:spacing w:val="-7"/>
          <w:sz w:val="20"/>
        </w:rPr>
        <w:t> </w:t>
      </w:r>
      <w:r>
        <w:rPr>
          <w:sz w:val="20"/>
        </w:rPr>
        <w:t>Division</w:t>
      </w:r>
      <w:r>
        <w:rPr>
          <w:spacing w:val="-13"/>
          <w:sz w:val="20"/>
        </w:rPr>
        <w:t> </w:t>
      </w:r>
      <w:r>
        <w:rPr>
          <w:sz w:val="20"/>
        </w:rPr>
        <w:t>may</w:t>
      </w:r>
      <w:r>
        <w:rPr>
          <w:spacing w:val="-12"/>
          <w:sz w:val="20"/>
        </w:rPr>
        <w:t> </w:t>
      </w:r>
      <w:r>
        <w:rPr>
          <w:sz w:val="20"/>
        </w:rPr>
        <w:t>also</w:t>
      </w:r>
      <w:r>
        <w:rPr>
          <w:spacing w:val="-8"/>
          <w:sz w:val="20"/>
        </w:rPr>
        <w:t> </w:t>
      </w:r>
      <w:r>
        <w:rPr>
          <w:sz w:val="20"/>
        </w:rPr>
        <w:t>be</w:t>
      </w:r>
      <w:r>
        <w:rPr>
          <w:spacing w:val="-7"/>
          <w:sz w:val="20"/>
        </w:rPr>
        <w:t> </w:t>
      </w:r>
      <w:r>
        <w:rPr>
          <w:sz w:val="20"/>
        </w:rPr>
        <w:t>temporarily</w:t>
      </w:r>
      <w:r>
        <w:rPr>
          <w:spacing w:val="-13"/>
          <w:sz w:val="20"/>
        </w:rPr>
        <w:t> </w:t>
      </w:r>
      <w:r>
        <w:rPr>
          <w:sz w:val="20"/>
        </w:rPr>
        <w:t>attached</w:t>
      </w:r>
      <w:r>
        <w:rPr>
          <w:spacing w:val="-12"/>
          <w:sz w:val="20"/>
        </w:rPr>
        <w:t> </w:t>
      </w:r>
      <w:r>
        <w:rPr>
          <w:sz w:val="20"/>
        </w:rPr>
        <w:t>to</w:t>
      </w:r>
      <w:r>
        <w:rPr>
          <w:spacing w:val="-13"/>
          <w:sz w:val="20"/>
        </w:rPr>
        <w:t> </w:t>
      </w:r>
      <w:r>
        <w:rPr>
          <w:sz w:val="20"/>
        </w:rPr>
        <w:t>the</w:t>
      </w:r>
      <w:r>
        <w:rPr>
          <w:spacing w:val="-11"/>
          <w:sz w:val="20"/>
        </w:rPr>
        <w:t> </w:t>
      </w:r>
      <w:r>
        <w:rPr>
          <w:sz w:val="20"/>
        </w:rPr>
        <w:t>Appeals</w:t>
      </w:r>
      <w:r>
        <w:rPr>
          <w:spacing w:val="-13"/>
          <w:sz w:val="20"/>
        </w:rPr>
        <w:t> </w:t>
      </w:r>
      <w:r>
        <w:rPr>
          <w:sz w:val="20"/>
        </w:rPr>
        <w:t>Division to hear interlocutory or final appeals.</w:t>
      </w:r>
    </w:p>
    <w:p>
      <w:pPr>
        <w:pStyle w:val="ListParagraph"/>
        <w:numPr>
          <w:ilvl w:val="0"/>
          <w:numId w:val="4"/>
        </w:numPr>
        <w:tabs>
          <w:tab w:pos="2967" w:val="left" w:leader="none"/>
        </w:tabs>
        <w:spacing w:line="240" w:lineRule="auto" w:before="117" w:after="0"/>
        <w:ind w:left="2246" w:right="2242" w:firstLine="0"/>
        <w:jc w:val="both"/>
        <w:rPr>
          <w:sz w:val="20"/>
        </w:rPr>
      </w:pPr>
      <w:r>
        <w:rPr>
          <w:sz w:val="20"/>
        </w:rPr>
        <w:t>The</w:t>
      </w:r>
      <w:r>
        <w:rPr>
          <w:spacing w:val="-8"/>
          <w:sz w:val="20"/>
        </w:rPr>
        <w:t> </w:t>
      </w:r>
      <w:r>
        <w:rPr>
          <w:sz w:val="20"/>
        </w:rPr>
        <w:t>budget</w:t>
      </w:r>
      <w:r>
        <w:rPr>
          <w:spacing w:val="-8"/>
          <w:sz w:val="20"/>
        </w:rPr>
        <w:t> </w:t>
      </w:r>
      <w:r>
        <w:rPr>
          <w:sz w:val="20"/>
        </w:rPr>
        <w:t>proposal</w:t>
      </w:r>
      <w:r>
        <w:rPr>
          <w:spacing w:val="-8"/>
          <w:sz w:val="20"/>
        </w:rPr>
        <w:t> </w:t>
      </w:r>
      <w:r>
        <w:rPr>
          <w:sz w:val="20"/>
        </w:rPr>
        <w:t>for</w:t>
      </w:r>
      <w:r>
        <w:rPr>
          <w:spacing w:val="-9"/>
          <w:sz w:val="20"/>
        </w:rPr>
        <w:t> </w:t>
      </w:r>
      <w:r>
        <w:rPr>
          <w:sz w:val="20"/>
        </w:rPr>
        <w:t>Major</w:t>
      </w:r>
      <w:r>
        <w:rPr>
          <w:spacing w:val="-9"/>
          <w:sz w:val="20"/>
        </w:rPr>
        <w:t> </w:t>
      </w:r>
      <w:r>
        <w:rPr>
          <w:sz w:val="20"/>
        </w:rPr>
        <w:t>Programme</w:t>
      </w:r>
      <w:r>
        <w:rPr>
          <w:spacing w:val="-7"/>
          <w:sz w:val="20"/>
        </w:rPr>
        <w:t> </w:t>
      </w:r>
      <w:r>
        <w:rPr>
          <w:sz w:val="20"/>
        </w:rPr>
        <w:t>I</w:t>
      </w:r>
      <w:r>
        <w:rPr>
          <w:spacing w:val="-9"/>
          <w:sz w:val="20"/>
        </w:rPr>
        <w:t> </w:t>
      </w:r>
      <w:r>
        <w:rPr>
          <w:sz w:val="20"/>
        </w:rPr>
        <w:t>assumes</w:t>
      </w:r>
      <w:r>
        <w:rPr>
          <w:spacing w:val="-11"/>
          <w:sz w:val="20"/>
        </w:rPr>
        <w:t> </w:t>
      </w:r>
      <w:r>
        <w:rPr>
          <w:sz w:val="20"/>
        </w:rPr>
        <w:t>that</w:t>
      </w:r>
      <w:r>
        <w:rPr>
          <w:spacing w:val="-8"/>
          <w:sz w:val="20"/>
        </w:rPr>
        <w:t> </w:t>
      </w:r>
      <w:r>
        <w:rPr>
          <w:sz w:val="20"/>
        </w:rPr>
        <w:t>trial</w:t>
      </w:r>
      <w:r>
        <w:rPr>
          <w:spacing w:val="-4"/>
          <w:sz w:val="20"/>
        </w:rPr>
        <w:t> </w:t>
      </w:r>
      <w:r>
        <w:rPr>
          <w:sz w:val="20"/>
        </w:rPr>
        <w:t>hearings</w:t>
      </w:r>
      <w:r>
        <w:rPr>
          <w:spacing w:val="-11"/>
          <w:sz w:val="20"/>
        </w:rPr>
        <w:t> </w:t>
      </w:r>
      <w:r>
        <w:rPr>
          <w:sz w:val="20"/>
        </w:rPr>
        <w:t>will</w:t>
      </w:r>
      <w:r>
        <w:rPr>
          <w:spacing w:val="-8"/>
          <w:sz w:val="20"/>
        </w:rPr>
        <w:t> </w:t>
      </w:r>
      <w:r>
        <w:rPr>
          <w:sz w:val="20"/>
        </w:rPr>
        <w:t>be</w:t>
      </w:r>
      <w:r>
        <w:rPr>
          <w:spacing w:val="-8"/>
          <w:sz w:val="20"/>
        </w:rPr>
        <w:t> </w:t>
      </w:r>
      <w:r>
        <w:rPr>
          <w:sz w:val="20"/>
        </w:rPr>
        <w:t>held in three cases in 2023, with two further trials at the deliberations stage. The Al Hassan, Yekatom and Ngaïssona, and Abd-Al-Rahman cases are currently at the trial hearing stage. While</w:t>
      </w:r>
      <w:r>
        <w:rPr>
          <w:spacing w:val="-2"/>
          <w:sz w:val="20"/>
        </w:rPr>
        <w:t> </w:t>
      </w:r>
      <w:r>
        <w:rPr>
          <w:sz w:val="20"/>
        </w:rPr>
        <w:t>hearings are</w:t>
      </w:r>
      <w:r>
        <w:rPr>
          <w:spacing w:val="-2"/>
          <w:sz w:val="20"/>
        </w:rPr>
        <w:t> </w:t>
      </w:r>
      <w:r>
        <w:rPr>
          <w:sz w:val="20"/>
        </w:rPr>
        <w:t>expected</w:t>
      </w:r>
      <w:r>
        <w:rPr>
          <w:spacing w:val="-4"/>
          <w:sz w:val="20"/>
        </w:rPr>
        <w:t> </w:t>
      </w:r>
      <w:r>
        <w:rPr>
          <w:sz w:val="20"/>
        </w:rPr>
        <w:t>to</w:t>
      </w:r>
      <w:r>
        <w:rPr>
          <w:spacing w:val="-4"/>
          <w:sz w:val="20"/>
        </w:rPr>
        <w:t> </w:t>
      </w:r>
      <w:r>
        <w:rPr>
          <w:sz w:val="20"/>
        </w:rPr>
        <w:t>conclude</w:t>
      </w:r>
      <w:r>
        <w:rPr>
          <w:spacing w:val="-2"/>
          <w:sz w:val="20"/>
        </w:rPr>
        <w:t> </w:t>
      </w:r>
      <w:r>
        <w:rPr>
          <w:sz w:val="20"/>
        </w:rPr>
        <w:t>in the Al Hassan</w:t>
      </w:r>
      <w:r>
        <w:rPr>
          <w:spacing w:val="-4"/>
          <w:sz w:val="20"/>
        </w:rPr>
        <w:t> </w:t>
      </w:r>
      <w:r>
        <w:rPr>
          <w:sz w:val="20"/>
        </w:rPr>
        <w:t>case by</w:t>
      </w:r>
      <w:r>
        <w:rPr>
          <w:spacing w:val="-4"/>
          <w:sz w:val="20"/>
        </w:rPr>
        <w:t> </w:t>
      </w:r>
      <w:r>
        <w:rPr>
          <w:sz w:val="20"/>
        </w:rPr>
        <w:t>the</w:t>
      </w:r>
      <w:r>
        <w:rPr>
          <w:spacing w:val="-2"/>
          <w:sz w:val="20"/>
        </w:rPr>
        <w:t> </w:t>
      </w:r>
      <w:r>
        <w:rPr>
          <w:sz w:val="20"/>
        </w:rPr>
        <w:t>end</w:t>
      </w:r>
      <w:r>
        <w:rPr>
          <w:spacing w:val="-4"/>
          <w:sz w:val="20"/>
        </w:rPr>
        <w:t> </w:t>
      </w:r>
      <w:r>
        <w:rPr>
          <w:sz w:val="20"/>
        </w:rPr>
        <w:t>of</w:t>
      </w:r>
      <w:r>
        <w:rPr>
          <w:spacing w:val="-4"/>
          <w:sz w:val="20"/>
        </w:rPr>
        <w:t> </w:t>
      </w:r>
      <w:r>
        <w:rPr>
          <w:sz w:val="20"/>
        </w:rPr>
        <w:t>2022, hearings are</w:t>
      </w:r>
      <w:r>
        <w:rPr>
          <w:spacing w:val="-8"/>
          <w:sz w:val="20"/>
        </w:rPr>
        <w:t> </w:t>
      </w:r>
      <w:r>
        <w:rPr>
          <w:sz w:val="20"/>
        </w:rPr>
        <w:t>expected</w:t>
      </w:r>
      <w:r>
        <w:rPr>
          <w:spacing w:val="-9"/>
          <w:sz w:val="20"/>
        </w:rPr>
        <w:t> </w:t>
      </w:r>
      <w:r>
        <w:rPr>
          <w:sz w:val="20"/>
        </w:rPr>
        <w:t>in</w:t>
      </w:r>
      <w:r>
        <w:rPr>
          <w:spacing w:val="-9"/>
          <w:sz w:val="20"/>
        </w:rPr>
        <w:t> </w:t>
      </w:r>
      <w:r>
        <w:rPr>
          <w:sz w:val="20"/>
        </w:rPr>
        <w:t>the</w:t>
      </w:r>
      <w:r>
        <w:rPr>
          <w:spacing w:val="-8"/>
          <w:sz w:val="20"/>
        </w:rPr>
        <w:t> </w:t>
      </w:r>
      <w:r>
        <w:rPr>
          <w:sz w:val="20"/>
        </w:rPr>
        <w:t>Yekatom</w:t>
      </w:r>
      <w:r>
        <w:rPr>
          <w:spacing w:val="-8"/>
          <w:sz w:val="20"/>
        </w:rPr>
        <w:t> </w:t>
      </w:r>
      <w:r>
        <w:rPr>
          <w:sz w:val="20"/>
        </w:rPr>
        <w:t>and</w:t>
      </w:r>
      <w:r>
        <w:rPr>
          <w:spacing w:val="-5"/>
          <w:sz w:val="20"/>
        </w:rPr>
        <w:t> </w:t>
      </w:r>
      <w:r>
        <w:rPr>
          <w:sz w:val="20"/>
        </w:rPr>
        <w:t>Ngaïssona</w:t>
      </w:r>
      <w:r>
        <w:rPr>
          <w:spacing w:val="-8"/>
          <w:sz w:val="20"/>
        </w:rPr>
        <w:t> </w:t>
      </w:r>
      <w:r>
        <w:rPr>
          <w:sz w:val="20"/>
        </w:rPr>
        <w:t>and</w:t>
      </w:r>
      <w:r>
        <w:rPr>
          <w:spacing w:val="-13"/>
          <w:sz w:val="20"/>
        </w:rPr>
        <w:t> </w:t>
      </w:r>
      <w:r>
        <w:rPr>
          <w:sz w:val="20"/>
        </w:rPr>
        <w:t>the</w:t>
      </w:r>
      <w:r>
        <w:rPr>
          <w:spacing w:val="-7"/>
          <w:sz w:val="20"/>
        </w:rPr>
        <w:t> </w:t>
      </w:r>
      <w:r>
        <w:rPr>
          <w:sz w:val="20"/>
        </w:rPr>
        <w:t>Abd-Al-Rahman</w:t>
      </w:r>
      <w:r>
        <w:rPr>
          <w:spacing w:val="-9"/>
          <w:sz w:val="20"/>
        </w:rPr>
        <w:t> </w:t>
      </w:r>
      <w:r>
        <w:rPr>
          <w:sz w:val="20"/>
        </w:rPr>
        <w:t>cases</w:t>
      </w:r>
      <w:r>
        <w:rPr>
          <w:spacing w:val="-9"/>
          <w:sz w:val="20"/>
        </w:rPr>
        <w:t> </w:t>
      </w:r>
      <w:r>
        <w:rPr>
          <w:sz w:val="20"/>
        </w:rPr>
        <w:t>throughout</w:t>
      </w:r>
      <w:r>
        <w:rPr>
          <w:spacing w:val="-8"/>
          <w:sz w:val="20"/>
        </w:rPr>
        <w:t> </w:t>
      </w:r>
      <w:r>
        <w:rPr>
          <w:sz w:val="20"/>
        </w:rPr>
        <w:t>2023. It is to be noted that the Yekatom and Ngaïssona case involves two accused, which is a complicating factor because of the higher volume of evidence and number of submissions. In addition, the Said case, which is currently</w:t>
      </w:r>
      <w:r>
        <w:rPr>
          <w:spacing w:val="-4"/>
          <w:sz w:val="20"/>
        </w:rPr>
        <w:t> </w:t>
      </w:r>
      <w:r>
        <w:rPr>
          <w:sz w:val="20"/>
        </w:rPr>
        <w:t>at the trial preparation stage, will start</w:t>
      </w:r>
      <w:r>
        <w:rPr>
          <w:spacing w:val="-2"/>
          <w:sz w:val="20"/>
        </w:rPr>
        <w:t> </w:t>
      </w:r>
      <w:r>
        <w:rPr>
          <w:sz w:val="20"/>
        </w:rPr>
        <w:t>in court on 26 September 2022 and hearings are expected to continue throughout 2023.</w:t>
      </w:r>
    </w:p>
    <w:p>
      <w:pPr>
        <w:spacing w:after="0" w:line="240" w:lineRule="auto"/>
        <w:jc w:val="both"/>
        <w:rPr>
          <w:sz w:val="20"/>
        </w:rPr>
        <w:sectPr>
          <w:pgSz w:w="11910" w:h="16840"/>
          <w:pgMar w:header="953" w:footer="940" w:top="1140" w:bottom="1140" w:left="20" w:right="20"/>
        </w:sectPr>
      </w:pPr>
    </w:p>
    <w:p>
      <w:pPr>
        <w:pStyle w:val="ListParagraph"/>
        <w:numPr>
          <w:ilvl w:val="0"/>
          <w:numId w:val="4"/>
        </w:numPr>
        <w:tabs>
          <w:tab w:pos="2967" w:val="left" w:leader="none"/>
        </w:tabs>
        <w:spacing w:line="240" w:lineRule="auto" w:before="120" w:after="0"/>
        <w:ind w:left="2246" w:right="2245" w:firstLine="0"/>
        <w:jc w:val="both"/>
        <w:rPr>
          <w:sz w:val="20"/>
        </w:rPr>
      </w:pPr>
      <w:r>
        <w:rPr>
          <w:sz w:val="20"/>
        </w:rPr>
        <w:t>Furthermore, following the conclusion of</w:t>
      </w:r>
      <w:r>
        <w:rPr>
          <w:spacing w:val="-1"/>
          <w:sz w:val="20"/>
        </w:rPr>
        <w:t> </w:t>
      </w:r>
      <w:r>
        <w:rPr>
          <w:sz w:val="20"/>
        </w:rPr>
        <w:t>trial hearings, there will be deliberations in</w:t>
      </w:r>
      <w:r>
        <w:rPr>
          <w:spacing w:val="-8"/>
          <w:sz w:val="20"/>
        </w:rPr>
        <w:t> </w:t>
      </w:r>
      <w:r>
        <w:rPr>
          <w:sz w:val="20"/>
        </w:rPr>
        <w:t>the</w:t>
      </w:r>
      <w:r>
        <w:rPr>
          <w:spacing w:val="-7"/>
          <w:sz w:val="20"/>
        </w:rPr>
        <w:t> </w:t>
      </w:r>
      <w:r>
        <w:rPr>
          <w:sz w:val="20"/>
        </w:rPr>
        <w:t>Gicheru</w:t>
      </w:r>
      <w:r>
        <w:rPr>
          <w:spacing w:val="-8"/>
          <w:sz w:val="20"/>
        </w:rPr>
        <w:t> </w:t>
      </w:r>
      <w:r>
        <w:rPr>
          <w:sz w:val="20"/>
        </w:rPr>
        <w:t>and</w:t>
      </w:r>
      <w:r>
        <w:rPr>
          <w:spacing w:val="-5"/>
          <w:sz w:val="20"/>
        </w:rPr>
        <w:t> </w:t>
      </w:r>
      <w:r>
        <w:rPr>
          <w:sz w:val="20"/>
        </w:rPr>
        <w:t>Al</w:t>
      </w:r>
      <w:r>
        <w:rPr>
          <w:spacing w:val="-3"/>
          <w:sz w:val="20"/>
        </w:rPr>
        <w:t> </w:t>
      </w:r>
      <w:r>
        <w:rPr>
          <w:sz w:val="20"/>
        </w:rPr>
        <w:t>Hassan</w:t>
      </w:r>
      <w:r>
        <w:rPr>
          <w:spacing w:val="-8"/>
          <w:sz w:val="20"/>
        </w:rPr>
        <w:t> </w:t>
      </w:r>
      <w:r>
        <w:rPr>
          <w:sz w:val="20"/>
        </w:rPr>
        <w:t>cases</w:t>
      </w:r>
      <w:r>
        <w:rPr>
          <w:spacing w:val="-10"/>
          <w:sz w:val="20"/>
        </w:rPr>
        <w:t> </w:t>
      </w:r>
      <w:r>
        <w:rPr>
          <w:sz w:val="20"/>
        </w:rPr>
        <w:t>in</w:t>
      </w:r>
      <w:r>
        <w:rPr>
          <w:spacing w:val="-8"/>
          <w:sz w:val="20"/>
        </w:rPr>
        <w:t> </w:t>
      </w:r>
      <w:r>
        <w:rPr>
          <w:sz w:val="20"/>
        </w:rPr>
        <w:t>2023.</w:t>
      </w:r>
      <w:r>
        <w:rPr>
          <w:spacing w:val="-11"/>
          <w:sz w:val="20"/>
        </w:rPr>
        <w:t> </w:t>
      </w:r>
      <w:r>
        <w:rPr>
          <w:sz w:val="20"/>
        </w:rPr>
        <w:t>The</w:t>
      </w:r>
      <w:r>
        <w:rPr>
          <w:spacing w:val="-7"/>
          <w:sz w:val="20"/>
        </w:rPr>
        <w:t> </w:t>
      </w:r>
      <w:r>
        <w:rPr>
          <w:sz w:val="20"/>
        </w:rPr>
        <w:t>Al</w:t>
      </w:r>
      <w:r>
        <w:rPr>
          <w:spacing w:val="-7"/>
          <w:sz w:val="20"/>
        </w:rPr>
        <w:t> </w:t>
      </w:r>
      <w:r>
        <w:rPr>
          <w:sz w:val="20"/>
        </w:rPr>
        <w:t>Hassan</w:t>
      </w:r>
      <w:r>
        <w:rPr>
          <w:spacing w:val="-8"/>
          <w:sz w:val="20"/>
        </w:rPr>
        <w:t> </w:t>
      </w:r>
      <w:r>
        <w:rPr>
          <w:sz w:val="20"/>
        </w:rPr>
        <w:t>case</w:t>
      </w:r>
      <w:r>
        <w:rPr>
          <w:spacing w:val="-7"/>
          <w:sz w:val="20"/>
        </w:rPr>
        <w:t> </w:t>
      </w:r>
      <w:r>
        <w:rPr>
          <w:sz w:val="20"/>
        </w:rPr>
        <w:t>will</w:t>
      </w:r>
      <w:r>
        <w:rPr>
          <w:spacing w:val="-7"/>
          <w:sz w:val="20"/>
        </w:rPr>
        <w:t> </w:t>
      </w:r>
      <w:r>
        <w:rPr>
          <w:sz w:val="20"/>
        </w:rPr>
        <w:t>generate</w:t>
      </w:r>
      <w:r>
        <w:rPr>
          <w:spacing w:val="-11"/>
          <w:sz w:val="20"/>
        </w:rPr>
        <w:t> </w:t>
      </w:r>
      <w:r>
        <w:rPr>
          <w:sz w:val="20"/>
        </w:rPr>
        <w:t>a</w:t>
      </w:r>
      <w:r>
        <w:rPr>
          <w:spacing w:val="-7"/>
          <w:sz w:val="20"/>
        </w:rPr>
        <w:t> </w:t>
      </w:r>
      <w:r>
        <w:rPr>
          <w:sz w:val="20"/>
        </w:rPr>
        <w:t>considerable workload at the deliberations</w:t>
      </w:r>
      <w:r>
        <w:rPr>
          <w:spacing w:val="-1"/>
          <w:sz w:val="20"/>
        </w:rPr>
        <w:t> </w:t>
      </w:r>
      <w:r>
        <w:rPr>
          <w:sz w:val="20"/>
        </w:rPr>
        <w:t>stage given the volume of evidence and the complexity of the </w:t>
      </w:r>
      <w:r>
        <w:rPr>
          <w:spacing w:val="-2"/>
          <w:sz w:val="20"/>
        </w:rPr>
        <w:t>case.</w:t>
      </w:r>
    </w:p>
    <w:p>
      <w:pPr>
        <w:pStyle w:val="ListParagraph"/>
        <w:numPr>
          <w:ilvl w:val="0"/>
          <w:numId w:val="4"/>
        </w:numPr>
        <w:tabs>
          <w:tab w:pos="2967" w:val="left" w:leader="none"/>
        </w:tabs>
        <w:spacing w:line="240" w:lineRule="auto" w:before="122" w:after="0"/>
        <w:ind w:left="2246" w:right="2243" w:firstLine="0"/>
        <w:jc w:val="both"/>
        <w:rPr>
          <w:sz w:val="20"/>
        </w:rPr>
      </w:pPr>
      <w:r>
        <w:rPr>
          <w:sz w:val="20"/>
        </w:rPr>
        <w:t>Significant work on</w:t>
      </w:r>
      <w:r>
        <w:rPr>
          <w:spacing w:val="-5"/>
          <w:sz w:val="20"/>
        </w:rPr>
        <w:t> </w:t>
      </w:r>
      <w:r>
        <w:rPr>
          <w:sz w:val="20"/>
        </w:rPr>
        <w:t>reparations</w:t>
      </w:r>
      <w:r>
        <w:rPr>
          <w:spacing w:val="-1"/>
          <w:sz w:val="20"/>
        </w:rPr>
        <w:t> </w:t>
      </w:r>
      <w:r>
        <w:rPr>
          <w:sz w:val="20"/>
        </w:rPr>
        <w:t>requiring</w:t>
      </w:r>
      <w:r>
        <w:rPr>
          <w:spacing w:val="-5"/>
          <w:sz w:val="20"/>
        </w:rPr>
        <w:t> </w:t>
      </w:r>
      <w:r>
        <w:rPr>
          <w:sz w:val="20"/>
        </w:rPr>
        <w:t>adequate</w:t>
      </w:r>
      <w:r>
        <w:rPr>
          <w:spacing w:val="-3"/>
          <w:sz w:val="20"/>
        </w:rPr>
        <w:t> </w:t>
      </w:r>
      <w:r>
        <w:rPr>
          <w:sz w:val="20"/>
        </w:rPr>
        <w:t>legal</w:t>
      </w:r>
      <w:r>
        <w:rPr>
          <w:spacing w:val="-3"/>
          <w:sz w:val="20"/>
        </w:rPr>
        <w:t> </w:t>
      </w:r>
      <w:r>
        <w:rPr>
          <w:sz w:val="20"/>
        </w:rPr>
        <w:t>support will</w:t>
      </w:r>
      <w:r>
        <w:rPr>
          <w:spacing w:val="-3"/>
          <w:sz w:val="20"/>
        </w:rPr>
        <w:t> </w:t>
      </w:r>
      <w:r>
        <w:rPr>
          <w:sz w:val="20"/>
        </w:rPr>
        <w:t>also</w:t>
      </w:r>
      <w:r>
        <w:rPr>
          <w:spacing w:val="-5"/>
          <w:sz w:val="20"/>
        </w:rPr>
        <w:t> </w:t>
      </w:r>
      <w:r>
        <w:rPr>
          <w:sz w:val="20"/>
        </w:rPr>
        <w:t>continue in 2023. The reparations phase in Ongwen began in 2021 and an order for reparations is forecast to be issued in 2022, with implementation and monitoring thereafter. In Lubanga, Katanga, Al Mahdi and Ntaganda, the monitoring and supervision of implementation are expected to continue throughout 2023.</w:t>
      </w:r>
    </w:p>
    <w:p>
      <w:pPr>
        <w:pStyle w:val="ListParagraph"/>
        <w:numPr>
          <w:ilvl w:val="0"/>
          <w:numId w:val="4"/>
        </w:numPr>
        <w:tabs>
          <w:tab w:pos="2967" w:val="left" w:leader="none"/>
        </w:tabs>
        <w:spacing w:line="240" w:lineRule="auto" w:before="123" w:after="0"/>
        <w:ind w:left="2246" w:right="2244" w:firstLine="0"/>
        <w:jc w:val="both"/>
        <w:rPr>
          <w:sz w:val="20"/>
        </w:rPr>
      </w:pPr>
      <w:r>
        <w:rPr>
          <w:sz w:val="20"/>
        </w:rPr>
        <w:t>In sum, a significant number of hearings are expected to take place during 2023, engaging the Court’s courtrooms and other relevant resources. In particular, securing adequate staff resources, both during the hearings and during deliberations, and to support the reparations proceedings, will be essential to the proper and timely conduct of these </w:t>
      </w:r>
      <w:r>
        <w:rPr>
          <w:spacing w:val="-2"/>
          <w:sz w:val="20"/>
        </w:rPr>
        <w:t>proceedings.</w:t>
      </w:r>
    </w:p>
    <w:p>
      <w:pPr>
        <w:pStyle w:val="ListParagraph"/>
        <w:numPr>
          <w:ilvl w:val="0"/>
          <w:numId w:val="4"/>
        </w:numPr>
        <w:tabs>
          <w:tab w:pos="2967" w:val="left" w:leader="none"/>
        </w:tabs>
        <w:spacing w:line="240" w:lineRule="auto" w:before="117" w:after="0"/>
        <w:ind w:left="2246" w:right="2240" w:firstLine="0"/>
        <w:jc w:val="both"/>
        <w:rPr>
          <w:sz w:val="20"/>
        </w:rPr>
      </w:pPr>
      <w:r>
        <w:rPr>
          <w:sz w:val="20"/>
        </w:rPr>
        <w:t>As discussed in paragraph </w:t>
      </w:r>
      <w:hyperlink w:history="true" w:anchor="_bookmark20">
        <w:r>
          <w:rPr>
            <w:sz w:val="20"/>
          </w:rPr>
          <w:t>134,</w:t>
        </w:r>
      </w:hyperlink>
      <w:r>
        <w:rPr>
          <w:sz w:val="20"/>
        </w:rPr>
        <w:t> above, subject to the outcome of the confirmation proceedings,</w:t>
      </w:r>
      <w:r>
        <w:rPr>
          <w:spacing w:val="-2"/>
          <w:sz w:val="20"/>
        </w:rPr>
        <w:t> </w:t>
      </w:r>
      <w:r>
        <w:rPr>
          <w:sz w:val="20"/>
        </w:rPr>
        <w:t>trial preparation</w:t>
      </w:r>
      <w:r>
        <w:rPr>
          <w:spacing w:val="-4"/>
          <w:sz w:val="20"/>
        </w:rPr>
        <w:t> </w:t>
      </w:r>
      <w:r>
        <w:rPr>
          <w:sz w:val="20"/>
        </w:rPr>
        <w:t>and</w:t>
      </w:r>
      <w:r>
        <w:rPr>
          <w:spacing w:val="-4"/>
          <w:sz w:val="20"/>
        </w:rPr>
        <w:t> </w:t>
      </w:r>
      <w:r>
        <w:rPr>
          <w:sz w:val="20"/>
        </w:rPr>
        <w:t>hearings</w:t>
      </w:r>
      <w:r>
        <w:rPr>
          <w:spacing w:val="-1"/>
          <w:sz w:val="20"/>
        </w:rPr>
        <w:t> </w:t>
      </w:r>
      <w:r>
        <w:rPr>
          <w:sz w:val="20"/>
        </w:rPr>
        <w:t>in the Mokom</w:t>
      </w:r>
      <w:r>
        <w:rPr>
          <w:spacing w:val="-2"/>
          <w:sz w:val="20"/>
        </w:rPr>
        <w:t> </w:t>
      </w:r>
      <w:r>
        <w:rPr>
          <w:sz w:val="20"/>
        </w:rPr>
        <w:t>case may</w:t>
      </w:r>
      <w:r>
        <w:rPr>
          <w:spacing w:val="-4"/>
          <w:sz w:val="20"/>
        </w:rPr>
        <w:t> </w:t>
      </w:r>
      <w:r>
        <w:rPr>
          <w:sz w:val="20"/>
        </w:rPr>
        <w:t>take place</w:t>
      </w:r>
      <w:r>
        <w:rPr>
          <w:spacing w:val="-2"/>
          <w:sz w:val="20"/>
        </w:rPr>
        <w:t> </w:t>
      </w:r>
      <w:r>
        <w:rPr>
          <w:sz w:val="20"/>
        </w:rPr>
        <w:t>in</w:t>
      </w:r>
      <w:r>
        <w:rPr>
          <w:spacing w:val="-4"/>
          <w:sz w:val="20"/>
        </w:rPr>
        <w:t> </w:t>
      </w:r>
      <w:r>
        <w:rPr>
          <w:sz w:val="20"/>
        </w:rPr>
        <w:t>2023.</w:t>
      </w:r>
      <w:r>
        <w:rPr>
          <w:spacing w:val="-2"/>
          <w:sz w:val="20"/>
        </w:rPr>
        <w:t> </w:t>
      </w:r>
      <w:r>
        <w:rPr>
          <w:sz w:val="20"/>
        </w:rPr>
        <w:t>This would</w:t>
      </w:r>
      <w:r>
        <w:rPr>
          <w:spacing w:val="-8"/>
          <w:sz w:val="20"/>
        </w:rPr>
        <w:t> </w:t>
      </w:r>
      <w:r>
        <w:rPr>
          <w:sz w:val="20"/>
        </w:rPr>
        <w:t>place</w:t>
      </w:r>
      <w:r>
        <w:rPr>
          <w:spacing w:val="-6"/>
          <w:sz w:val="20"/>
        </w:rPr>
        <w:t> </w:t>
      </w:r>
      <w:r>
        <w:rPr>
          <w:sz w:val="20"/>
        </w:rPr>
        <w:t>increased</w:t>
      </w:r>
      <w:r>
        <w:rPr>
          <w:spacing w:val="-8"/>
          <w:sz w:val="20"/>
        </w:rPr>
        <w:t> </w:t>
      </w:r>
      <w:r>
        <w:rPr>
          <w:sz w:val="20"/>
        </w:rPr>
        <w:t>pressure</w:t>
      </w:r>
      <w:r>
        <w:rPr>
          <w:spacing w:val="-2"/>
          <w:sz w:val="20"/>
        </w:rPr>
        <w:t> </w:t>
      </w:r>
      <w:r>
        <w:rPr>
          <w:sz w:val="20"/>
        </w:rPr>
        <w:t>on</w:t>
      </w:r>
      <w:r>
        <w:rPr>
          <w:spacing w:val="-8"/>
          <w:sz w:val="20"/>
        </w:rPr>
        <w:t> </w:t>
      </w:r>
      <w:r>
        <w:rPr>
          <w:sz w:val="20"/>
        </w:rPr>
        <w:t>the</w:t>
      </w:r>
      <w:r>
        <w:rPr>
          <w:spacing w:val="-7"/>
          <w:sz w:val="20"/>
        </w:rPr>
        <w:t> </w:t>
      </w:r>
      <w:r>
        <w:rPr>
          <w:sz w:val="20"/>
        </w:rPr>
        <w:t>budget</w:t>
      </w:r>
      <w:r>
        <w:rPr>
          <w:spacing w:val="-7"/>
          <w:sz w:val="20"/>
        </w:rPr>
        <w:t> </w:t>
      </w:r>
      <w:r>
        <w:rPr>
          <w:sz w:val="20"/>
        </w:rPr>
        <w:t>of</w:t>
      </w:r>
      <w:r>
        <w:rPr>
          <w:spacing w:val="-8"/>
          <w:sz w:val="20"/>
        </w:rPr>
        <w:t> </w:t>
      </w:r>
      <w:r>
        <w:rPr>
          <w:sz w:val="20"/>
        </w:rPr>
        <w:t>Major</w:t>
      </w:r>
      <w:r>
        <w:rPr>
          <w:spacing w:val="-8"/>
          <w:sz w:val="20"/>
        </w:rPr>
        <w:t> </w:t>
      </w:r>
      <w:r>
        <w:rPr>
          <w:sz w:val="20"/>
        </w:rPr>
        <w:t>Programme</w:t>
      </w:r>
      <w:r>
        <w:rPr>
          <w:spacing w:val="-7"/>
          <w:sz w:val="20"/>
        </w:rPr>
        <w:t> </w:t>
      </w:r>
      <w:r>
        <w:rPr>
          <w:sz w:val="20"/>
        </w:rPr>
        <w:t>I.</w:t>
      </w:r>
      <w:r>
        <w:rPr>
          <w:spacing w:val="-11"/>
          <w:sz w:val="20"/>
        </w:rPr>
        <w:t> </w:t>
      </w:r>
      <w:r>
        <w:rPr>
          <w:sz w:val="20"/>
        </w:rPr>
        <w:t>With</w:t>
      </w:r>
      <w:r>
        <w:rPr>
          <w:spacing w:val="-4"/>
          <w:sz w:val="20"/>
        </w:rPr>
        <w:t> </w:t>
      </w:r>
      <w:r>
        <w:rPr>
          <w:sz w:val="20"/>
        </w:rPr>
        <w:t>five</w:t>
      </w:r>
      <w:r>
        <w:rPr>
          <w:spacing w:val="-7"/>
          <w:sz w:val="20"/>
        </w:rPr>
        <w:t> </w:t>
      </w:r>
      <w:r>
        <w:rPr>
          <w:sz w:val="20"/>
        </w:rPr>
        <w:t>trials</w:t>
      </w:r>
      <w:r>
        <w:rPr>
          <w:spacing w:val="-10"/>
          <w:sz w:val="20"/>
        </w:rPr>
        <w:t> </w:t>
      </w:r>
      <w:r>
        <w:rPr>
          <w:sz w:val="20"/>
        </w:rPr>
        <w:t>already expected</w:t>
      </w:r>
      <w:r>
        <w:rPr>
          <w:spacing w:val="-8"/>
          <w:sz w:val="20"/>
        </w:rPr>
        <w:t> </w:t>
      </w:r>
      <w:r>
        <w:rPr>
          <w:sz w:val="20"/>
        </w:rPr>
        <w:t>to</w:t>
      </w:r>
      <w:r>
        <w:rPr>
          <w:spacing w:val="-4"/>
          <w:sz w:val="20"/>
        </w:rPr>
        <w:t> </w:t>
      </w:r>
      <w:r>
        <w:rPr>
          <w:sz w:val="20"/>
        </w:rPr>
        <w:t>take</w:t>
      </w:r>
      <w:r>
        <w:rPr>
          <w:spacing w:val="-7"/>
          <w:sz w:val="20"/>
        </w:rPr>
        <w:t> </w:t>
      </w:r>
      <w:r>
        <w:rPr>
          <w:sz w:val="20"/>
        </w:rPr>
        <w:t>place</w:t>
      </w:r>
      <w:r>
        <w:rPr>
          <w:spacing w:val="-2"/>
          <w:sz w:val="20"/>
        </w:rPr>
        <w:t> </w:t>
      </w:r>
      <w:r>
        <w:rPr>
          <w:sz w:val="20"/>
        </w:rPr>
        <w:t>(three</w:t>
      </w:r>
      <w:r>
        <w:rPr>
          <w:spacing w:val="-2"/>
          <w:sz w:val="20"/>
        </w:rPr>
        <w:t> </w:t>
      </w:r>
      <w:r>
        <w:rPr>
          <w:sz w:val="20"/>
        </w:rPr>
        <w:t>in</w:t>
      </w:r>
      <w:r>
        <w:rPr>
          <w:spacing w:val="-8"/>
          <w:sz w:val="20"/>
        </w:rPr>
        <w:t> </w:t>
      </w:r>
      <w:r>
        <w:rPr>
          <w:sz w:val="20"/>
        </w:rPr>
        <w:t>court</w:t>
      </w:r>
      <w:r>
        <w:rPr>
          <w:spacing w:val="-2"/>
          <w:sz w:val="20"/>
        </w:rPr>
        <w:t> </w:t>
      </w:r>
      <w:r>
        <w:rPr>
          <w:sz w:val="20"/>
        </w:rPr>
        <w:t>throughout</w:t>
      </w:r>
      <w:r>
        <w:rPr>
          <w:spacing w:val="-7"/>
          <w:sz w:val="20"/>
        </w:rPr>
        <w:t> </w:t>
      </w:r>
      <w:r>
        <w:rPr>
          <w:sz w:val="20"/>
        </w:rPr>
        <w:t>the</w:t>
      </w:r>
      <w:r>
        <w:rPr>
          <w:spacing w:val="-7"/>
          <w:sz w:val="20"/>
        </w:rPr>
        <w:t> </w:t>
      </w:r>
      <w:r>
        <w:rPr>
          <w:sz w:val="20"/>
        </w:rPr>
        <w:t>year</w:t>
      </w:r>
      <w:r>
        <w:rPr>
          <w:spacing w:val="-4"/>
          <w:sz w:val="20"/>
        </w:rPr>
        <w:t> </w:t>
      </w:r>
      <w:r>
        <w:rPr>
          <w:sz w:val="20"/>
        </w:rPr>
        <w:t>and</w:t>
      </w:r>
      <w:r>
        <w:rPr>
          <w:spacing w:val="-8"/>
          <w:sz w:val="20"/>
        </w:rPr>
        <w:t> </w:t>
      </w:r>
      <w:r>
        <w:rPr>
          <w:sz w:val="20"/>
        </w:rPr>
        <w:t>two</w:t>
      </w:r>
      <w:r>
        <w:rPr>
          <w:spacing w:val="-4"/>
          <w:sz w:val="20"/>
        </w:rPr>
        <w:t> </w:t>
      </w:r>
      <w:r>
        <w:rPr>
          <w:sz w:val="20"/>
        </w:rPr>
        <w:t>at</w:t>
      </w:r>
      <w:r>
        <w:rPr>
          <w:spacing w:val="-2"/>
          <w:sz w:val="20"/>
        </w:rPr>
        <w:t> </w:t>
      </w:r>
      <w:r>
        <w:rPr>
          <w:sz w:val="20"/>
        </w:rPr>
        <w:t>the</w:t>
      </w:r>
      <w:r>
        <w:rPr>
          <w:spacing w:val="-2"/>
          <w:sz w:val="20"/>
        </w:rPr>
        <w:t> </w:t>
      </w:r>
      <w:r>
        <w:rPr>
          <w:sz w:val="20"/>
        </w:rPr>
        <w:t>deliberations</w:t>
      </w:r>
      <w:r>
        <w:rPr>
          <w:spacing w:val="-5"/>
          <w:sz w:val="20"/>
        </w:rPr>
        <w:t> </w:t>
      </w:r>
      <w:r>
        <w:rPr>
          <w:sz w:val="20"/>
        </w:rPr>
        <w:t>stage), such an increase in the Trial Division’s workload would require additional staff resources. However, in line with the Court’s policy of budgeting only for activities</w:t>
      </w:r>
      <w:r>
        <w:rPr>
          <w:spacing w:val="-1"/>
          <w:sz w:val="20"/>
        </w:rPr>
        <w:t> </w:t>
      </w:r>
      <w:r>
        <w:rPr>
          <w:sz w:val="20"/>
        </w:rPr>
        <w:t>that are certain, no request for additional resources is being</w:t>
      </w:r>
      <w:r>
        <w:rPr>
          <w:spacing w:val="-4"/>
          <w:sz w:val="20"/>
        </w:rPr>
        <w:t> </w:t>
      </w:r>
      <w:r>
        <w:rPr>
          <w:sz w:val="20"/>
        </w:rPr>
        <w:t>made in this budget proposal in respect of possible trial proceedings in the Mokom case. If this case does proceed to trial, additional resources may have to be requested in line with the relevant provisions of the Financial Regulations and Rules.</w:t>
      </w:r>
    </w:p>
    <w:p>
      <w:pPr>
        <w:pStyle w:val="ListParagraph"/>
        <w:numPr>
          <w:ilvl w:val="0"/>
          <w:numId w:val="4"/>
        </w:numPr>
        <w:tabs>
          <w:tab w:pos="2967" w:val="left" w:leader="none"/>
        </w:tabs>
        <w:spacing w:line="240" w:lineRule="auto" w:before="120" w:after="0"/>
        <w:ind w:left="2246" w:right="2240" w:firstLine="0"/>
        <w:jc w:val="both"/>
        <w:rPr>
          <w:sz w:val="20"/>
        </w:rPr>
      </w:pPr>
      <w:r>
        <w:rPr>
          <w:sz w:val="20"/>
        </w:rPr>
        <w:t>In conclusion, in 2023 the Trial Chambers will be dealing with a heavy workload across</w:t>
      </w:r>
      <w:r>
        <w:rPr>
          <w:spacing w:val="-9"/>
          <w:sz w:val="20"/>
        </w:rPr>
        <w:t> </w:t>
      </w:r>
      <w:r>
        <w:rPr>
          <w:sz w:val="20"/>
        </w:rPr>
        <w:t>a</w:t>
      </w:r>
      <w:r>
        <w:rPr>
          <w:spacing w:val="-6"/>
          <w:sz w:val="20"/>
        </w:rPr>
        <w:t> </w:t>
      </w:r>
      <w:r>
        <w:rPr>
          <w:sz w:val="20"/>
        </w:rPr>
        <w:t>number</w:t>
      </w:r>
      <w:r>
        <w:rPr>
          <w:spacing w:val="-7"/>
          <w:sz w:val="20"/>
        </w:rPr>
        <w:t> </w:t>
      </w:r>
      <w:r>
        <w:rPr>
          <w:sz w:val="20"/>
        </w:rPr>
        <w:t>of</w:t>
      </w:r>
      <w:r>
        <w:rPr>
          <w:spacing w:val="-7"/>
          <w:sz w:val="20"/>
        </w:rPr>
        <w:t> </w:t>
      </w:r>
      <w:r>
        <w:rPr>
          <w:sz w:val="20"/>
        </w:rPr>
        <w:t>cases</w:t>
      </w:r>
      <w:r>
        <w:rPr>
          <w:spacing w:val="-9"/>
          <w:sz w:val="20"/>
        </w:rPr>
        <w:t> </w:t>
      </w:r>
      <w:r>
        <w:rPr>
          <w:sz w:val="20"/>
        </w:rPr>
        <w:t>that</w:t>
      </w:r>
      <w:r>
        <w:rPr>
          <w:spacing w:val="-6"/>
          <w:sz w:val="20"/>
        </w:rPr>
        <w:t> </w:t>
      </w:r>
      <w:r>
        <w:rPr>
          <w:sz w:val="20"/>
        </w:rPr>
        <w:t>is</w:t>
      </w:r>
      <w:r>
        <w:rPr>
          <w:spacing w:val="-9"/>
          <w:sz w:val="20"/>
        </w:rPr>
        <w:t> </w:t>
      </w:r>
      <w:r>
        <w:rPr>
          <w:sz w:val="20"/>
        </w:rPr>
        <w:t>expected</w:t>
      </w:r>
      <w:r>
        <w:rPr>
          <w:spacing w:val="-7"/>
          <w:sz w:val="20"/>
        </w:rPr>
        <w:t> </w:t>
      </w:r>
      <w:r>
        <w:rPr>
          <w:sz w:val="20"/>
        </w:rPr>
        <w:t>to</w:t>
      </w:r>
      <w:r>
        <w:rPr>
          <w:spacing w:val="-3"/>
          <w:sz w:val="20"/>
        </w:rPr>
        <w:t> </w:t>
      </w:r>
      <w:r>
        <w:rPr>
          <w:sz w:val="20"/>
        </w:rPr>
        <w:t>be</w:t>
      </w:r>
      <w:r>
        <w:rPr>
          <w:spacing w:val="-6"/>
          <w:sz w:val="20"/>
        </w:rPr>
        <w:t> </w:t>
      </w:r>
      <w:r>
        <w:rPr>
          <w:sz w:val="20"/>
        </w:rPr>
        <w:t>more</w:t>
      </w:r>
      <w:r>
        <w:rPr>
          <w:spacing w:val="-6"/>
          <w:sz w:val="20"/>
        </w:rPr>
        <w:t> </w:t>
      </w:r>
      <w:r>
        <w:rPr>
          <w:sz w:val="20"/>
        </w:rPr>
        <w:t>resource</w:t>
      </w:r>
      <w:r>
        <w:rPr>
          <w:spacing w:val="-10"/>
          <w:sz w:val="20"/>
        </w:rPr>
        <w:t> </w:t>
      </w:r>
      <w:r>
        <w:rPr>
          <w:sz w:val="20"/>
        </w:rPr>
        <w:t>intensive</w:t>
      </w:r>
      <w:r>
        <w:rPr>
          <w:spacing w:val="-6"/>
          <w:sz w:val="20"/>
        </w:rPr>
        <w:t> </w:t>
      </w:r>
      <w:r>
        <w:rPr>
          <w:sz w:val="20"/>
        </w:rPr>
        <w:t>than</w:t>
      </w:r>
      <w:r>
        <w:rPr>
          <w:spacing w:val="-7"/>
          <w:sz w:val="20"/>
        </w:rPr>
        <w:t> </w:t>
      </w:r>
      <w:r>
        <w:rPr>
          <w:sz w:val="20"/>
        </w:rPr>
        <w:t>in</w:t>
      </w:r>
      <w:r>
        <w:rPr>
          <w:spacing w:val="-3"/>
          <w:sz w:val="20"/>
        </w:rPr>
        <w:t> </w:t>
      </w:r>
      <w:r>
        <w:rPr>
          <w:sz w:val="20"/>
        </w:rPr>
        <w:t>2022,</w:t>
      </w:r>
      <w:r>
        <w:rPr>
          <w:spacing w:val="-5"/>
          <w:sz w:val="20"/>
        </w:rPr>
        <w:t> </w:t>
      </w:r>
      <w:r>
        <w:rPr>
          <w:sz w:val="20"/>
        </w:rPr>
        <w:t>as</w:t>
      </w:r>
      <w:r>
        <w:rPr>
          <w:spacing w:val="-4"/>
          <w:sz w:val="20"/>
        </w:rPr>
        <w:t> </w:t>
      </w:r>
      <w:r>
        <w:rPr>
          <w:sz w:val="20"/>
        </w:rPr>
        <w:t>three trials will be in court throughout the year, two cases will be at the deliberations and preparation</w:t>
      </w:r>
      <w:r>
        <w:rPr>
          <w:spacing w:val="-5"/>
          <w:sz w:val="20"/>
        </w:rPr>
        <w:t> </w:t>
      </w:r>
      <w:r>
        <w:rPr>
          <w:sz w:val="20"/>
        </w:rPr>
        <w:t>of</w:t>
      </w:r>
      <w:r>
        <w:rPr>
          <w:spacing w:val="-5"/>
          <w:sz w:val="20"/>
        </w:rPr>
        <w:t> </w:t>
      </w:r>
      <w:r>
        <w:rPr>
          <w:sz w:val="20"/>
        </w:rPr>
        <w:t>judgment stages –</w:t>
      </w:r>
      <w:r>
        <w:rPr>
          <w:spacing w:val="-4"/>
          <w:sz w:val="20"/>
        </w:rPr>
        <w:t> </w:t>
      </w:r>
      <w:r>
        <w:rPr>
          <w:sz w:val="20"/>
        </w:rPr>
        <w:t>which</w:t>
      </w:r>
      <w:r>
        <w:rPr>
          <w:spacing w:val="-5"/>
          <w:sz w:val="20"/>
        </w:rPr>
        <w:t> </w:t>
      </w:r>
      <w:r>
        <w:rPr>
          <w:sz w:val="20"/>
        </w:rPr>
        <w:t>could</w:t>
      </w:r>
      <w:r>
        <w:rPr>
          <w:spacing w:val="-5"/>
          <w:sz w:val="20"/>
        </w:rPr>
        <w:t> </w:t>
      </w:r>
      <w:r>
        <w:rPr>
          <w:sz w:val="20"/>
        </w:rPr>
        <w:t>lead</w:t>
      </w:r>
      <w:r>
        <w:rPr>
          <w:spacing w:val="-5"/>
          <w:sz w:val="20"/>
        </w:rPr>
        <w:t> </w:t>
      </w:r>
      <w:r>
        <w:rPr>
          <w:sz w:val="20"/>
        </w:rPr>
        <w:t>to sentencing</w:t>
      </w:r>
      <w:r>
        <w:rPr>
          <w:spacing w:val="-5"/>
          <w:sz w:val="20"/>
        </w:rPr>
        <w:t> </w:t>
      </w:r>
      <w:r>
        <w:rPr>
          <w:sz w:val="20"/>
        </w:rPr>
        <w:t>and</w:t>
      </w:r>
      <w:r>
        <w:rPr>
          <w:spacing w:val="-5"/>
          <w:sz w:val="20"/>
        </w:rPr>
        <w:t> </w:t>
      </w:r>
      <w:r>
        <w:rPr>
          <w:sz w:val="20"/>
        </w:rPr>
        <w:t>reparations</w:t>
      </w:r>
      <w:r>
        <w:rPr>
          <w:spacing w:val="-1"/>
          <w:sz w:val="20"/>
        </w:rPr>
        <w:t> </w:t>
      </w:r>
      <w:r>
        <w:rPr>
          <w:sz w:val="20"/>
        </w:rPr>
        <w:t>–</w:t>
      </w:r>
      <w:r>
        <w:rPr>
          <w:spacing w:val="-4"/>
          <w:sz w:val="20"/>
        </w:rPr>
        <w:t> </w:t>
      </w:r>
      <w:r>
        <w:rPr>
          <w:sz w:val="20"/>
        </w:rPr>
        <w:t>and</w:t>
      </w:r>
      <w:r>
        <w:rPr>
          <w:spacing w:val="-5"/>
          <w:sz w:val="20"/>
        </w:rPr>
        <w:t> </w:t>
      </w:r>
      <w:r>
        <w:rPr>
          <w:sz w:val="20"/>
        </w:rPr>
        <w:t>work on reparations in five cases will be continuing.</w:t>
      </w:r>
    </w:p>
    <w:p>
      <w:pPr>
        <w:pStyle w:val="BodyText"/>
        <w:spacing w:before="1"/>
        <w:rPr>
          <w:sz w:val="21"/>
        </w:rPr>
      </w:pPr>
    </w:p>
    <w:p>
      <w:pPr>
        <w:spacing w:before="0"/>
        <w:ind w:left="2246" w:right="0" w:firstLine="0"/>
        <w:jc w:val="left"/>
        <w:rPr>
          <w:i/>
          <w:sz w:val="20"/>
        </w:rPr>
      </w:pPr>
      <w:r>
        <w:rPr>
          <w:i/>
          <w:sz w:val="20"/>
        </w:rPr>
        <w:t>Appeals</w:t>
      </w:r>
      <w:r>
        <w:rPr>
          <w:i/>
          <w:spacing w:val="-3"/>
          <w:sz w:val="20"/>
        </w:rPr>
        <w:t> </w:t>
      </w:r>
      <w:r>
        <w:rPr>
          <w:i/>
          <w:spacing w:val="-2"/>
          <w:sz w:val="20"/>
        </w:rPr>
        <w:t>Division</w:t>
      </w:r>
    </w:p>
    <w:p>
      <w:pPr>
        <w:pStyle w:val="BodyText"/>
        <w:spacing w:before="11"/>
        <w:rPr>
          <w:i/>
        </w:rPr>
      </w:pPr>
    </w:p>
    <w:p>
      <w:pPr>
        <w:pStyle w:val="ListParagraph"/>
        <w:numPr>
          <w:ilvl w:val="0"/>
          <w:numId w:val="4"/>
        </w:numPr>
        <w:tabs>
          <w:tab w:pos="2967" w:val="left" w:leader="none"/>
        </w:tabs>
        <w:spacing w:line="240" w:lineRule="auto" w:before="0" w:after="0"/>
        <w:ind w:left="2246" w:right="2240" w:firstLine="0"/>
        <w:jc w:val="both"/>
        <w:rPr>
          <w:sz w:val="20"/>
        </w:rPr>
      </w:pPr>
      <w:r>
        <w:rPr>
          <w:sz w:val="20"/>
        </w:rPr>
        <w:t>The Appeals Division is</w:t>
      </w:r>
      <w:r>
        <w:rPr>
          <w:spacing w:val="-1"/>
          <w:sz w:val="20"/>
        </w:rPr>
        <w:t> </w:t>
      </w:r>
      <w:r>
        <w:rPr>
          <w:sz w:val="20"/>
        </w:rPr>
        <w:t>composed of five</w:t>
      </w:r>
      <w:r>
        <w:rPr>
          <w:spacing w:val="-3"/>
          <w:sz w:val="20"/>
        </w:rPr>
        <w:t> </w:t>
      </w:r>
      <w:r>
        <w:rPr>
          <w:sz w:val="20"/>
        </w:rPr>
        <w:t>judges, one of whom is</w:t>
      </w:r>
      <w:r>
        <w:rPr>
          <w:spacing w:val="-1"/>
          <w:sz w:val="20"/>
        </w:rPr>
        <w:t> </w:t>
      </w:r>
      <w:r>
        <w:rPr>
          <w:sz w:val="20"/>
        </w:rPr>
        <w:t>the President of the Court. The</w:t>
      </w:r>
      <w:r>
        <w:rPr>
          <w:spacing w:val="-1"/>
          <w:sz w:val="20"/>
        </w:rPr>
        <w:t> </w:t>
      </w:r>
      <w:r>
        <w:rPr>
          <w:sz w:val="20"/>
        </w:rPr>
        <w:t>principal statutory function of the Appeals Chamber is to hear final appeals against decisions of</w:t>
      </w:r>
      <w:r>
        <w:rPr>
          <w:spacing w:val="-4"/>
          <w:sz w:val="20"/>
        </w:rPr>
        <w:t> </w:t>
      </w:r>
      <w:r>
        <w:rPr>
          <w:sz w:val="20"/>
        </w:rPr>
        <w:t>acquittal or conviction</w:t>
      </w:r>
      <w:r>
        <w:rPr>
          <w:spacing w:val="-4"/>
          <w:sz w:val="20"/>
        </w:rPr>
        <w:t> </w:t>
      </w:r>
      <w:r>
        <w:rPr>
          <w:sz w:val="20"/>
        </w:rPr>
        <w:t>and sentencing, and against</w:t>
      </w:r>
      <w:r>
        <w:rPr>
          <w:spacing w:val="-2"/>
          <w:sz w:val="20"/>
        </w:rPr>
        <w:t> </w:t>
      </w:r>
      <w:r>
        <w:rPr>
          <w:sz w:val="20"/>
        </w:rPr>
        <w:t>decisions relating</w:t>
      </w:r>
      <w:r>
        <w:rPr>
          <w:spacing w:val="-4"/>
          <w:sz w:val="20"/>
        </w:rPr>
        <w:t> </w:t>
      </w:r>
      <w:r>
        <w:rPr>
          <w:sz w:val="20"/>
        </w:rPr>
        <w:t>to reparations, and interlocutory appeals against some decisions of the Pre-Trial and Trial Chambers rendered in the course of proceedings. Final appeals involve a substantial workload, since the entirety of the trial proceedings, including the evidence admitted, may have to be reviewed and additional evidence may have to be assessed. At the same time, interlocutory appeals may raise complex and important issues, and their outcome may have a significant impact on the Court as</w:t>
      </w:r>
      <w:r>
        <w:rPr>
          <w:spacing w:val="-1"/>
          <w:sz w:val="20"/>
        </w:rPr>
        <w:t> </w:t>
      </w:r>
      <w:r>
        <w:rPr>
          <w:sz w:val="20"/>
        </w:rPr>
        <w:t>a whole.</w:t>
      </w:r>
      <w:r>
        <w:rPr>
          <w:sz w:val="20"/>
          <w:vertAlign w:val="superscript"/>
        </w:rPr>
        <w:t>20</w:t>
      </w:r>
      <w:r>
        <w:rPr>
          <w:sz w:val="20"/>
          <w:vertAlign w:val="baseline"/>
        </w:rPr>
        <w:t> The Appeals</w:t>
      </w:r>
      <w:r>
        <w:rPr>
          <w:spacing w:val="-1"/>
          <w:sz w:val="20"/>
          <w:vertAlign w:val="baseline"/>
        </w:rPr>
        <w:t> </w:t>
      </w:r>
      <w:r>
        <w:rPr>
          <w:sz w:val="20"/>
          <w:vertAlign w:val="baseline"/>
        </w:rPr>
        <w:t>Chamber</w:t>
      </w:r>
      <w:r>
        <w:rPr>
          <w:spacing w:val="-5"/>
          <w:sz w:val="20"/>
          <w:vertAlign w:val="baseline"/>
        </w:rPr>
        <w:t> </w:t>
      </w:r>
      <w:r>
        <w:rPr>
          <w:sz w:val="20"/>
          <w:vertAlign w:val="baseline"/>
        </w:rPr>
        <w:t>may</w:t>
      </w:r>
      <w:r>
        <w:rPr>
          <w:spacing w:val="-5"/>
          <w:sz w:val="20"/>
          <w:vertAlign w:val="baseline"/>
        </w:rPr>
        <w:t> </w:t>
      </w:r>
      <w:r>
        <w:rPr>
          <w:sz w:val="20"/>
          <w:vertAlign w:val="baseline"/>
        </w:rPr>
        <w:t>also be seized of other matters, such as requests for a review of a sentence.</w:t>
      </w:r>
    </w:p>
    <w:p>
      <w:pPr>
        <w:pStyle w:val="ListParagraph"/>
        <w:numPr>
          <w:ilvl w:val="0"/>
          <w:numId w:val="4"/>
        </w:numPr>
        <w:tabs>
          <w:tab w:pos="2967" w:val="left" w:leader="none"/>
        </w:tabs>
        <w:spacing w:line="240" w:lineRule="auto" w:before="120" w:after="0"/>
        <w:ind w:left="2246" w:right="2243" w:firstLine="0"/>
        <w:jc w:val="both"/>
        <w:rPr>
          <w:sz w:val="20"/>
        </w:rPr>
      </w:pPr>
      <w:r>
        <w:rPr>
          <w:sz w:val="20"/>
        </w:rPr>
        <w:t>Subject</w:t>
      </w:r>
      <w:r>
        <w:rPr>
          <w:spacing w:val="-9"/>
          <w:sz w:val="20"/>
        </w:rPr>
        <w:t> </w:t>
      </w:r>
      <w:r>
        <w:rPr>
          <w:sz w:val="20"/>
        </w:rPr>
        <w:t>to</w:t>
      </w:r>
      <w:r>
        <w:rPr>
          <w:spacing w:val="-10"/>
          <w:sz w:val="20"/>
        </w:rPr>
        <w:t> </w:t>
      </w:r>
      <w:r>
        <w:rPr>
          <w:sz w:val="20"/>
        </w:rPr>
        <w:t>judicial</w:t>
      </w:r>
      <w:r>
        <w:rPr>
          <w:spacing w:val="-9"/>
          <w:sz w:val="20"/>
        </w:rPr>
        <w:t> </w:t>
      </w:r>
      <w:r>
        <w:rPr>
          <w:sz w:val="20"/>
        </w:rPr>
        <w:t>developments</w:t>
      </w:r>
      <w:r>
        <w:rPr>
          <w:spacing w:val="-11"/>
          <w:sz w:val="20"/>
        </w:rPr>
        <w:t> </w:t>
      </w:r>
      <w:r>
        <w:rPr>
          <w:sz w:val="20"/>
        </w:rPr>
        <w:t>in</w:t>
      </w:r>
      <w:r>
        <w:rPr>
          <w:spacing w:val="-10"/>
          <w:sz w:val="20"/>
        </w:rPr>
        <w:t> </w:t>
      </w:r>
      <w:r>
        <w:rPr>
          <w:sz w:val="20"/>
        </w:rPr>
        <w:t>the</w:t>
      </w:r>
      <w:r>
        <w:rPr>
          <w:spacing w:val="-9"/>
          <w:sz w:val="20"/>
        </w:rPr>
        <w:t> </w:t>
      </w:r>
      <w:r>
        <w:rPr>
          <w:sz w:val="20"/>
        </w:rPr>
        <w:t>other</w:t>
      </w:r>
      <w:r>
        <w:rPr>
          <w:spacing w:val="-10"/>
          <w:sz w:val="20"/>
        </w:rPr>
        <w:t> </w:t>
      </w:r>
      <w:r>
        <w:rPr>
          <w:sz w:val="20"/>
        </w:rPr>
        <w:t>divisions,</w:t>
      </w:r>
      <w:r>
        <w:rPr>
          <w:spacing w:val="-8"/>
          <w:sz w:val="20"/>
        </w:rPr>
        <w:t> </w:t>
      </w:r>
      <w:r>
        <w:rPr>
          <w:sz w:val="20"/>
        </w:rPr>
        <w:t>there</w:t>
      </w:r>
      <w:r>
        <w:rPr>
          <w:spacing w:val="-9"/>
          <w:sz w:val="20"/>
        </w:rPr>
        <w:t> </w:t>
      </w:r>
      <w:r>
        <w:rPr>
          <w:sz w:val="20"/>
        </w:rPr>
        <w:t>may</w:t>
      </w:r>
      <w:r>
        <w:rPr>
          <w:spacing w:val="-10"/>
          <w:sz w:val="20"/>
        </w:rPr>
        <w:t> </w:t>
      </w:r>
      <w:r>
        <w:rPr>
          <w:sz w:val="20"/>
        </w:rPr>
        <w:t>be</w:t>
      </w:r>
      <w:r>
        <w:rPr>
          <w:spacing w:val="-9"/>
          <w:sz w:val="20"/>
        </w:rPr>
        <w:t> </w:t>
      </w:r>
      <w:r>
        <w:rPr>
          <w:sz w:val="20"/>
        </w:rPr>
        <w:t>appeals</w:t>
      </w:r>
      <w:r>
        <w:rPr>
          <w:spacing w:val="-11"/>
          <w:sz w:val="20"/>
        </w:rPr>
        <w:t> </w:t>
      </w:r>
      <w:r>
        <w:rPr>
          <w:sz w:val="20"/>
        </w:rPr>
        <w:t>arising in</w:t>
      </w:r>
      <w:r>
        <w:rPr>
          <w:spacing w:val="-13"/>
          <w:sz w:val="20"/>
        </w:rPr>
        <w:t> </w:t>
      </w:r>
      <w:r>
        <w:rPr>
          <w:sz w:val="20"/>
        </w:rPr>
        <w:t>three</w:t>
      </w:r>
      <w:r>
        <w:rPr>
          <w:spacing w:val="-11"/>
          <w:sz w:val="20"/>
        </w:rPr>
        <w:t> </w:t>
      </w:r>
      <w:r>
        <w:rPr>
          <w:sz w:val="20"/>
        </w:rPr>
        <w:t>cases:</w:t>
      </w:r>
      <w:r>
        <w:rPr>
          <w:spacing w:val="-13"/>
          <w:sz w:val="20"/>
        </w:rPr>
        <w:t> </w:t>
      </w:r>
      <w:r>
        <w:rPr>
          <w:sz w:val="20"/>
        </w:rPr>
        <w:t>Ongwen</w:t>
      </w:r>
      <w:r>
        <w:rPr>
          <w:spacing w:val="-9"/>
          <w:sz w:val="20"/>
        </w:rPr>
        <w:t> </w:t>
      </w:r>
      <w:r>
        <w:rPr>
          <w:sz w:val="20"/>
        </w:rPr>
        <w:t>(Reparations</w:t>
      </w:r>
      <w:r>
        <w:rPr>
          <w:spacing w:val="-14"/>
          <w:sz w:val="20"/>
        </w:rPr>
        <w:t> </w:t>
      </w:r>
      <w:r>
        <w:rPr>
          <w:sz w:val="20"/>
        </w:rPr>
        <w:t>order),</w:t>
      </w:r>
      <w:r>
        <w:rPr>
          <w:spacing w:val="-8"/>
          <w:sz w:val="20"/>
        </w:rPr>
        <w:t> </w:t>
      </w:r>
      <w:r>
        <w:rPr>
          <w:sz w:val="20"/>
        </w:rPr>
        <w:t>Al</w:t>
      </w:r>
      <w:r>
        <w:rPr>
          <w:spacing w:val="-9"/>
          <w:sz w:val="20"/>
        </w:rPr>
        <w:t> </w:t>
      </w:r>
      <w:r>
        <w:rPr>
          <w:sz w:val="20"/>
        </w:rPr>
        <w:t>Hassan</w:t>
      </w:r>
      <w:r>
        <w:rPr>
          <w:spacing w:val="-10"/>
          <w:sz w:val="20"/>
        </w:rPr>
        <w:t> </w:t>
      </w:r>
      <w:r>
        <w:rPr>
          <w:sz w:val="20"/>
        </w:rPr>
        <w:t>(article</w:t>
      </w:r>
      <w:r>
        <w:rPr>
          <w:spacing w:val="-9"/>
          <w:sz w:val="20"/>
        </w:rPr>
        <w:t> </w:t>
      </w:r>
      <w:r>
        <w:rPr>
          <w:sz w:val="20"/>
        </w:rPr>
        <w:t>74)</w:t>
      </w:r>
      <w:r>
        <w:rPr>
          <w:spacing w:val="-13"/>
          <w:sz w:val="20"/>
        </w:rPr>
        <w:t> </w:t>
      </w:r>
      <w:r>
        <w:rPr>
          <w:sz w:val="20"/>
        </w:rPr>
        <w:t>and</w:t>
      </w:r>
      <w:r>
        <w:rPr>
          <w:spacing w:val="-12"/>
          <w:sz w:val="20"/>
        </w:rPr>
        <w:t> </w:t>
      </w:r>
      <w:r>
        <w:rPr>
          <w:sz w:val="20"/>
        </w:rPr>
        <w:t>Gicheru</w:t>
      </w:r>
      <w:r>
        <w:rPr>
          <w:spacing w:val="-10"/>
          <w:sz w:val="20"/>
        </w:rPr>
        <w:t> </w:t>
      </w:r>
      <w:r>
        <w:rPr>
          <w:sz w:val="20"/>
        </w:rPr>
        <w:t>(article</w:t>
      </w:r>
      <w:r>
        <w:rPr>
          <w:spacing w:val="-9"/>
          <w:sz w:val="20"/>
        </w:rPr>
        <w:t> </w:t>
      </w:r>
      <w:r>
        <w:rPr>
          <w:sz w:val="20"/>
        </w:rPr>
        <w:t>74).</w:t>
      </w:r>
      <w:r>
        <w:rPr>
          <w:sz w:val="20"/>
          <w:vertAlign w:val="superscript"/>
        </w:rPr>
        <w:t>21</w:t>
      </w:r>
    </w:p>
    <w:p>
      <w:pPr>
        <w:pStyle w:val="ListParagraph"/>
        <w:numPr>
          <w:ilvl w:val="0"/>
          <w:numId w:val="4"/>
        </w:numPr>
        <w:tabs>
          <w:tab w:pos="2967" w:val="left" w:leader="none"/>
        </w:tabs>
        <w:spacing w:line="240" w:lineRule="auto" w:before="121" w:after="0"/>
        <w:ind w:left="2246" w:right="2242" w:firstLine="0"/>
        <w:jc w:val="both"/>
        <w:rPr>
          <w:sz w:val="20"/>
        </w:rPr>
      </w:pPr>
      <w:r>
        <w:rPr>
          <w:sz w:val="20"/>
        </w:rPr>
        <w:t>Final</w:t>
      </w:r>
      <w:r>
        <w:rPr>
          <w:spacing w:val="-6"/>
          <w:sz w:val="20"/>
        </w:rPr>
        <w:t> </w:t>
      </w:r>
      <w:r>
        <w:rPr>
          <w:sz w:val="20"/>
        </w:rPr>
        <w:t>appeals</w:t>
      </w:r>
      <w:r>
        <w:rPr>
          <w:spacing w:val="-9"/>
          <w:sz w:val="20"/>
        </w:rPr>
        <w:t> </w:t>
      </w:r>
      <w:r>
        <w:rPr>
          <w:sz w:val="20"/>
        </w:rPr>
        <w:t>involve</w:t>
      </w:r>
      <w:r>
        <w:rPr>
          <w:spacing w:val="-1"/>
          <w:sz w:val="20"/>
        </w:rPr>
        <w:t> </w:t>
      </w:r>
      <w:r>
        <w:rPr>
          <w:sz w:val="20"/>
        </w:rPr>
        <w:t>the</w:t>
      </w:r>
      <w:r>
        <w:rPr>
          <w:spacing w:val="-1"/>
          <w:sz w:val="20"/>
        </w:rPr>
        <w:t> </w:t>
      </w:r>
      <w:r>
        <w:rPr>
          <w:sz w:val="20"/>
        </w:rPr>
        <w:t>review</w:t>
      </w:r>
      <w:r>
        <w:rPr>
          <w:spacing w:val="-4"/>
          <w:sz w:val="20"/>
        </w:rPr>
        <w:t> </w:t>
      </w:r>
      <w:r>
        <w:rPr>
          <w:sz w:val="20"/>
        </w:rPr>
        <w:t>of</w:t>
      </w:r>
      <w:r>
        <w:rPr>
          <w:spacing w:val="-3"/>
          <w:sz w:val="20"/>
        </w:rPr>
        <w:t> </w:t>
      </w:r>
      <w:r>
        <w:rPr>
          <w:sz w:val="20"/>
        </w:rPr>
        <w:t>vast</w:t>
      </w:r>
      <w:r>
        <w:rPr>
          <w:spacing w:val="-1"/>
          <w:sz w:val="20"/>
        </w:rPr>
        <w:t> </w:t>
      </w:r>
      <w:r>
        <w:rPr>
          <w:sz w:val="20"/>
        </w:rPr>
        <w:t>quantities</w:t>
      </w:r>
      <w:r>
        <w:rPr>
          <w:spacing w:val="-4"/>
          <w:sz w:val="20"/>
        </w:rPr>
        <w:t> </w:t>
      </w:r>
      <w:r>
        <w:rPr>
          <w:sz w:val="20"/>
        </w:rPr>
        <w:t>of</w:t>
      </w:r>
      <w:r>
        <w:rPr>
          <w:spacing w:val="-7"/>
          <w:sz w:val="20"/>
        </w:rPr>
        <w:t> </w:t>
      </w:r>
      <w:r>
        <w:rPr>
          <w:sz w:val="20"/>
        </w:rPr>
        <w:t>evidence</w:t>
      </w:r>
      <w:r>
        <w:rPr>
          <w:spacing w:val="-1"/>
          <w:sz w:val="20"/>
        </w:rPr>
        <w:t> </w:t>
      </w:r>
      <w:r>
        <w:rPr>
          <w:sz w:val="20"/>
        </w:rPr>
        <w:t>and</w:t>
      </w:r>
      <w:r>
        <w:rPr>
          <w:spacing w:val="-7"/>
          <w:sz w:val="20"/>
        </w:rPr>
        <w:t> </w:t>
      </w:r>
      <w:r>
        <w:rPr>
          <w:sz w:val="20"/>
        </w:rPr>
        <w:t>complex</w:t>
      </w:r>
      <w:r>
        <w:rPr>
          <w:spacing w:val="-3"/>
          <w:sz w:val="20"/>
        </w:rPr>
        <w:t> </w:t>
      </w:r>
      <w:r>
        <w:rPr>
          <w:sz w:val="20"/>
        </w:rPr>
        <w:t>factual and</w:t>
      </w:r>
      <w:r>
        <w:rPr>
          <w:spacing w:val="-9"/>
          <w:sz w:val="20"/>
        </w:rPr>
        <w:t> </w:t>
      </w:r>
      <w:r>
        <w:rPr>
          <w:sz w:val="20"/>
        </w:rPr>
        <w:t>legal</w:t>
      </w:r>
      <w:r>
        <w:rPr>
          <w:spacing w:val="-8"/>
          <w:sz w:val="20"/>
        </w:rPr>
        <w:t> </w:t>
      </w:r>
      <w:r>
        <w:rPr>
          <w:sz w:val="20"/>
        </w:rPr>
        <w:t>submissions.</w:t>
      </w:r>
      <w:r>
        <w:rPr>
          <w:spacing w:val="-7"/>
          <w:sz w:val="20"/>
        </w:rPr>
        <w:t> </w:t>
      </w:r>
      <w:r>
        <w:rPr>
          <w:sz w:val="20"/>
        </w:rPr>
        <w:t>Moreover</w:t>
      </w:r>
      <w:r>
        <w:rPr>
          <w:spacing w:val="-5"/>
          <w:sz w:val="20"/>
        </w:rPr>
        <w:t> </w:t>
      </w:r>
      <w:r>
        <w:rPr>
          <w:sz w:val="20"/>
        </w:rPr>
        <w:t>in</w:t>
      </w:r>
      <w:r>
        <w:rPr>
          <w:spacing w:val="-5"/>
          <w:sz w:val="20"/>
        </w:rPr>
        <w:t> </w:t>
      </w:r>
      <w:r>
        <w:rPr>
          <w:sz w:val="20"/>
        </w:rPr>
        <w:t>this</w:t>
      </w:r>
      <w:r>
        <w:rPr>
          <w:spacing w:val="-6"/>
          <w:sz w:val="20"/>
        </w:rPr>
        <w:t> </w:t>
      </w:r>
      <w:r>
        <w:rPr>
          <w:sz w:val="20"/>
        </w:rPr>
        <w:t>phase,</w:t>
      </w:r>
      <w:r>
        <w:rPr>
          <w:spacing w:val="-7"/>
          <w:sz w:val="20"/>
        </w:rPr>
        <w:t> </w:t>
      </w:r>
      <w:r>
        <w:rPr>
          <w:sz w:val="20"/>
        </w:rPr>
        <w:t>they</w:t>
      </w:r>
      <w:r>
        <w:rPr>
          <w:spacing w:val="-5"/>
          <w:sz w:val="20"/>
        </w:rPr>
        <w:t> </w:t>
      </w:r>
      <w:r>
        <w:rPr>
          <w:sz w:val="20"/>
        </w:rPr>
        <w:t>often</w:t>
      </w:r>
      <w:r>
        <w:rPr>
          <w:spacing w:val="-9"/>
          <w:sz w:val="20"/>
        </w:rPr>
        <w:t> </w:t>
      </w:r>
      <w:r>
        <w:rPr>
          <w:sz w:val="20"/>
        </w:rPr>
        <w:t>involve</w:t>
      </w:r>
      <w:r>
        <w:rPr>
          <w:spacing w:val="-8"/>
          <w:sz w:val="20"/>
        </w:rPr>
        <w:t> </w:t>
      </w:r>
      <w:r>
        <w:rPr>
          <w:sz w:val="20"/>
        </w:rPr>
        <w:t>novel</w:t>
      </w:r>
      <w:r>
        <w:rPr>
          <w:spacing w:val="-8"/>
          <w:sz w:val="20"/>
        </w:rPr>
        <w:t> </w:t>
      </w:r>
      <w:r>
        <w:rPr>
          <w:sz w:val="20"/>
        </w:rPr>
        <w:t>issues.</w:t>
      </w:r>
      <w:r>
        <w:rPr>
          <w:spacing w:val="-2"/>
          <w:sz w:val="20"/>
        </w:rPr>
        <w:t> </w:t>
      </w:r>
      <w:r>
        <w:rPr>
          <w:sz w:val="20"/>
        </w:rPr>
        <w:t>Interlocutory appeals also often involve novel and significant issues. Both types of appeal</w:t>
      </w:r>
      <w:r>
        <w:rPr>
          <w:spacing w:val="-2"/>
          <w:sz w:val="20"/>
        </w:rPr>
        <w:t> </w:t>
      </w:r>
      <w:r>
        <w:rPr>
          <w:sz w:val="20"/>
        </w:rPr>
        <w:t>are required to be lodged within a tight timeline and will entail a heavy workload in 2023.</w:t>
      </w:r>
    </w:p>
    <w:p>
      <w:pPr>
        <w:pStyle w:val="ListParagraph"/>
        <w:numPr>
          <w:ilvl w:val="0"/>
          <w:numId w:val="4"/>
        </w:numPr>
        <w:tabs>
          <w:tab w:pos="2967" w:val="left" w:leader="none"/>
        </w:tabs>
        <w:spacing w:line="240" w:lineRule="auto" w:before="117" w:after="0"/>
        <w:ind w:left="2246" w:right="2244" w:firstLine="0"/>
        <w:jc w:val="both"/>
        <w:rPr>
          <w:sz w:val="20"/>
        </w:rPr>
      </w:pPr>
      <w:r>
        <w:rPr>
          <w:sz w:val="20"/>
        </w:rPr>
        <w:t>The Appeals Chamber is also expected to hear interlocutory appeals from cases which are presently before the Pre-Trial and Trial Chambers, which means that several complex matters will be placed before the Appeals Chamber at the same time.</w:t>
      </w:r>
    </w:p>
    <w:p>
      <w:pPr>
        <w:pStyle w:val="BodyText"/>
      </w:pPr>
    </w:p>
    <w:p>
      <w:pPr>
        <w:pStyle w:val="BodyText"/>
        <w:spacing w:before="5"/>
        <w:rPr>
          <w:sz w:val="21"/>
        </w:rPr>
      </w:pPr>
      <w:r>
        <w:rPr/>
        <w:pict>
          <v:rect style="position:absolute;margin-left:113.330002pt;margin-top:13.52585pt;width:144.050pt;height:.47998pt;mso-position-horizontal-relative:page;mso-position-vertical-relative:paragraph;z-index:-15718400;mso-wrap-distance-left:0;mso-wrap-distance-right:0" id="docshape58" filled="true" fillcolor="#000000" stroked="false">
            <v:fill type="solid"/>
            <w10:wrap type="topAndBottom"/>
          </v:rect>
        </w:pict>
      </w:r>
    </w:p>
    <w:p>
      <w:pPr>
        <w:spacing w:before="86"/>
        <w:ind w:left="2246" w:right="2243" w:firstLine="0"/>
        <w:jc w:val="both"/>
        <w:rPr>
          <w:sz w:val="16"/>
        </w:rPr>
      </w:pPr>
      <w:r>
        <w:rPr>
          <w:position w:val="5"/>
          <w:sz w:val="10"/>
        </w:rPr>
        <w:t>20</w:t>
      </w:r>
      <w:r>
        <w:rPr>
          <w:spacing w:val="14"/>
          <w:position w:val="5"/>
          <w:sz w:val="10"/>
        </w:rPr>
        <w:t> </w:t>
      </w:r>
      <w:r>
        <w:rPr>
          <w:sz w:val="16"/>
        </w:rPr>
        <w:t>See,</w:t>
      </w:r>
      <w:r>
        <w:rPr>
          <w:spacing w:val="-4"/>
          <w:sz w:val="16"/>
        </w:rPr>
        <w:t> </w:t>
      </w:r>
      <w:r>
        <w:rPr>
          <w:sz w:val="16"/>
        </w:rPr>
        <w:t>for</w:t>
      </w:r>
      <w:r>
        <w:rPr>
          <w:spacing w:val="-3"/>
          <w:sz w:val="16"/>
        </w:rPr>
        <w:t> </w:t>
      </w:r>
      <w:r>
        <w:rPr>
          <w:sz w:val="16"/>
        </w:rPr>
        <w:t>example,</w:t>
      </w:r>
      <w:r>
        <w:rPr>
          <w:spacing w:val="-4"/>
          <w:sz w:val="16"/>
        </w:rPr>
        <w:t> </w:t>
      </w:r>
      <w:r>
        <w:rPr>
          <w:sz w:val="16"/>
        </w:rPr>
        <w:t>The</w:t>
      </w:r>
      <w:r>
        <w:rPr>
          <w:spacing w:val="-2"/>
          <w:sz w:val="16"/>
        </w:rPr>
        <w:t> </w:t>
      </w:r>
      <w:r>
        <w:rPr>
          <w:sz w:val="16"/>
        </w:rPr>
        <w:t>Prosecutor</w:t>
      </w:r>
      <w:r>
        <w:rPr>
          <w:spacing w:val="-3"/>
          <w:sz w:val="16"/>
        </w:rPr>
        <w:t> </w:t>
      </w:r>
      <w:r>
        <w:rPr>
          <w:sz w:val="16"/>
        </w:rPr>
        <w:t>v.</w:t>
      </w:r>
      <w:r>
        <w:rPr>
          <w:spacing w:val="-4"/>
          <w:sz w:val="16"/>
        </w:rPr>
        <w:t> </w:t>
      </w:r>
      <w:r>
        <w:rPr>
          <w:sz w:val="16"/>
        </w:rPr>
        <w:t>Saif</w:t>
      </w:r>
      <w:r>
        <w:rPr>
          <w:spacing w:val="-3"/>
          <w:sz w:val="16"/>
        </w:rPr>
        <w:t> </w:t>
      </w:r>
      <w:r>
        <w:rPr>
          <w:sz w:val="16"/>
        </w:rPr>
        <w:t>Al-Islam</w:t>
      </w:r>
      <w:r>
        <w:rPr>
          <w:spacing w:val="-2"/>
          <w:sz w:val="16"/>
        </w:rPr>
        <w:t> </w:t>
      </w:r>
      <w:r>
        <w:rPr>
          <w:sz w:val="16"/>
        </w:rPr>
        <w:t>Gaddafi</w:t>
      </w:r>
      <w:r>
        <w:rPr>
          <w:spacing w:val="-4"/>
          <w:sz w:val="16"/>
        </w:rPr>
        <w:t> </w:t>
      </w:r>
      <w:r>
        <w:rPr>
          <w:sz w:val="16"/>
        </w:rPr>
        <w:t>and</w:t>
      </w:r>
      <w:r>
        <w:rPr>
          <w:spacing w:val="-1"/>
          <w:sz w:val="16"/>
        </w:rPr>
        <w:t> </w:t>
      </w:r>
      <w:r>
        <w:rPr>
          <w:sz w:val="16"/>
        </w:rPr>
        <w:t>Abdullah</w:t>
      </w:r>
      <w:r>
        <w:rPr>
          <w:spacing w:val="-1"/>
          <w:sz w:val="16"/>
        </w:rPr>
        <w:t> </w:t>
      </w:r>
      <w:r>
        <w:rPr>
          <w:sz w:val="16"/>
        </w:rPr>
        <w:t>Al-Senussi,</w:t>
      </w:r>
      <w:r>
        <w:rPr>
          <w:spacing w:val="-4"/>
          <w:sz w:val="16"/>
        </w:rPr>
        <w:t> </w:t>
      </w:r>
      <w:r>
        <w:rPr>
          <w:sz w:val="16"/>
        </w:rPr>
        <w:t>“Judgment</w:t>
      </w:r>
      <w:r>
        <w:rPr>
          <w:spacing w:val="-4"/>
          <w:sz w:val="16"/>
        </w:rPr>
        <w:t> </w:t>
      </w:r>
      <w:r>
        <w:rPr>
          <w:sz w:val="16"/>
        </w:rPr>
        <w:t>on</w:t>
      </w:r>
      <w:r>
        <w:rPr>
          <w:spacing w:val="-1"/>
          <w:sz w:val="16"/>
        </w:rPr>
        <w:t> </w:t>
      </w:r>
      <w:r>
        <w:rPr>
          <w:sz w:val="16"/>
        </w:rPr>
        <w:t>the</w:t>
      </w:r>
      <w:r>
        <w:rPr>
          <w:spacing w:val="-2"/>
          <w:sz w:val="16"/>
        </w:rPr>
        <w:t> </w:t>
      </w:r>
      <w:r>
        <w:rPr>
          <w:sz w:val="16"/>
        </w:rPr>
        <w:t>appeal</w:t>
      </w:r>
      <w:r>
        <w:rPr>
          <w:spacing w:val="-4"/>
          <w:sz w:val="16"/>
        </w:rPr>
        <w:t> </w:t>
      </w:r>
      <w:r>
        <w:rPr>
          <w:sz w:val="16"/>
        </w:rPr>
        <w:t>of</w:t>
      </w:r>
      <w:r>
        <w:rPr>
          <w:spacing w:val="40"/>
          <w:sz w:val="16"/>
        </w:rPr>
        <w:t> </w:t>
      </w:r>
      <w:r>
        <w:rPr>
          <w:sz w:val="16"/>
        </w:rPr>
        <w:t>Libya</w:t>
      </w:r>
      <w:r>
        <w:rPr>
          <w:spacing w:val="-6"/>
          <w:sz w:val="16"/>
        </w:rPr>
        <w:t> </w:t>
      </w:r>
      <w:r>
        <w:rPr>
          <w:sz w:val="16"/>
        </w:rPr>
        <w:t>against</w:t>
      </w:r>
      <w:r>
        <w:rPr>
          <w:spacing w:val="-9"/>
          <w:sz w:val="16"/>
        </w:rPr>
        <w:t> </w:t>
      </w:r>
      <w:r>
        <w:rPr>
          <w:sz w:val="16"/>
        </w:rPr>
        <w:t>the</w:t>
      </w:r>
      <w:r>
        <w:rPr>
          <w:spacing w:val="-6"/>
          <w:sz w:val="16"/>
        </w:rPr>
        <w:t> </w:t>
      </w:r>
      <w:r>
        <w:rPr>
          <w:sz w:val="16"/>
        </w:rPr>
        <w:t>decision</w:t>
      </w:r>
      <w:r>
        <w:rPr>
          <w:spacing w:val="-6"/>
          <w:sz w:val="16"/>
        </w:rPr>
        <w:t> </w:t>
      </w:r>
      <w:r>
        <w:rPr>
          <w:sz w:val="16"/>
        </w:rPr>
        <w:t>of</w:t>
      </w:r>
      <w:r>
        <w:rPr>
          <w:spacing w:val="-8"/>
          <w:sz w:val="16"/>
        </w:rPr>
        <w:t> </w:t>
      </w:r>
      <w:r>
        <w:rPr>
          <w:sz w:val="16"/>
        </w:rPr>
        <w:t>Pre-Trial</w:t>
      </w:r>
      <w:r>
        <w:rPr>
          <w:spacing w:val="-9"/>
          <w:sz w:val="16"/>
        </w:rPr>
        <w:t> </w:t>
      </w:r>
      <w:r>
        <w:rPr>
          <w:sz w:val="16"/>
        </w:rPr>
        <w:t>Chamber</w:t>
      </w:r>
      <w:r>
        <w:rPr>
          <w:spacing w:val="-8"/>
          <w:sz w:val="16"/>
        </w:rPr>
        <w:t> </w:t>
      </w:r>
      <w:r>
        <w:rPr>
          <w:sz w:val="16"/>
        </w:rPr>
        <w:t>I</w:t>
      </w:r>
      <w:r>
        <w:rPr>
          <w:spacing w:val="-8"/>
          <w:sz w:val="16"/>
        </w:rPr>
        <w:t> </w:t>
      </w:r>
      <w:r>
        <w:rPr>
          <w:sz w:val="16"/>
        </w:rPr>
        <w:t>of</w:t>
      </w:r>
      <w:r>
        <w:rPr>
          <w:spacing w:val="-8"/>
          <w:sz w:val="16"/>
        </w:rPr>
        <w:t> </w:t>
      </w:r>
      <w:r>
        <w:rPr>
          <w:sz w:val="16"/>
        </w:rPr>
        <w:t>31</w:t>
      </w:r>
      <w:r>
        <w:rPr>
          <w:spacing w:val="-6"/>
          <w:sz w:val="16"/>
        </w:rPr>
        <w:t> </w:t>
      </w:r>
      <w:r>
        <w:rPr>
          <w:sz w:val="16"/>
        </w:rPr>
        <w:t>May</w:t>
      </w:r>
      <w:r>
        <w:rPr>
          <w:spacing w:val="-6"/>
          <w:sz w:val="16"/>
        </w:rPr>
        <w:t> </w:t>
      </w:r>
      <w:r>
        <w:rPr>
          <w:sz w:val="16"/>
        </w:rPr>
        <w:t>2013</w:t>
      </w:r>
      <w:r>
        <w:rPr>
          <w:spacing w:val="-6"/>
          <w:sz w:val="16"/>
        </w:rPr>
        <w:t> </w:t>
      </w:r>
      <w:r>
        <w:rPr>
          <w:sz w:val="16"/>
        </w:rPr>
        <w:t>entitled</w:t>
      </w:r>
      <w:r>
        <w:rPr>
          <w:spacing w:val="-6"/>
          <w:sz w:val="16"/>
        </w:rPr>
        <w:t> </w:t>
      </w:r>
      <w:r>
        <w:rPr>
          <w:sz w:val="16"/>
        </w:rPr>
        <w:t>‘Decision</w:t>
      </w:r>
      <w:r>
        <w:rPr>
          <w:spacing w:val="-6"/>
          <w:sz w:val="16"/>
        </w:rPr>
        <w:t> </w:t>
      </w:r>
      <w:r>
        <w:rPr>
          <w:sz w:val="16"/>
        </w:rPr>
        <w:t>on</w:t>
      </w:r>
      <w:r>
        <w:rPr>
          <w:spacing w:val="-6"/>
          <w:sz w:val="16"/>
        </w:rPr>
        <w:t> </w:t>
      </w:r>
      <w:r>
        <w:rPr>
          <w:sz w:val="16"/>
        </w:rPr>
        <w:t>the</w:t>
      </w:r>
      <w:r>
        <w:rPr>
          <w:spacing w:val="-6"/>
          <w:sz w:val="16"/>
        </w:rPr>
        <w:t> </w:t>
      </w:r>
      <w:r>
        <w:rPr>
          <w:sz w:val="16"/>
        </w:rPr>
        <w:t>admissibility</w:t>
      </w:r>
      <w:r>
        <w:rPr>
          <w:spacing w:val="-6"/>
          <w:sz w:val="16"/>
        </w:rPr>
        <w:t> </w:t>
      </w:r>
      <w:r>
        <w:rPr>
          <w:sz w:val="16"/>
        </w:rPr>
        <w:t>of</w:t>
      </w:r>
      <w:r>
        <w:rPr>
          <w:spacing w:val="-8"/>
          <w:sz w:val="16"/>
        </w:rPr>
        <w:t> </w:t>
      </w:r>
      <w:r>
        <w:rPr>
          <w:sz w:val="16"/>
        </w:rPr>
        <w:t>the</w:t>
      </w:r>
      <w:r>
        <w:rPr>
          <w:spacing w:val="-6"/>
          <w:sz w:val="16"/>
        </w:rPr>
        <w:t> </w:t>
      </w:r>
      <w:r>
        <w:rPr>
          <w:sz w:val="16"/>
        </w:rPr>
        <w:t>case</w:t>
      </w:r>
      <w:r>
        <w:rPr>
          <w:spacing w:val="40"/>
          <w:sz w:val="16"/>
        </w:rPr>
        <w:t> </w:t>
      </w:r>
      <w:r>
        <w:rPr>
          <w:sz w:val="16"/>
        </w:rPr>
        <w:t>against Saif Al-Islam Gaddafi’”, 21 May 2014, ICC-01/11-01/11-547-Red.</w:t>
      </w:r>
    </w:p>
    <w:p>
      <w:pPr>
        <w:spacing w:before="0"/>
        <w:ind w:left="2246" w:right="2249" w:firstLine="0"/>
        <w:jc w:val="both"/>
        <w:rPr>
          <w:sz w:val="16"/>
        </w:rPr>
      </w:pPr>
      <w:r>
        <w:rPr>
          <w:position w:val="5"/>
          <w:sz w:val="10"/>
        </w:rPr>
        <w:t>21</w:t>
      </w:r>
      <w:r>
        <w:rPr>
          <w:spacing w:val="18"/>
          <w:position w:val="5"/>
          <w:sz w:val="10"/>
        </w:rPr>
        <w:t> </w:t>
      </w:r>
      <w:r>
        <w:rPr>
          <w:sz w:val="16"/>
        </w:rPr>
        <w:t>The nature of the appeals process is such that,</w:t>
      </w:r>
      <w:r>
        <w:rPr>
          <w:spacing w:val="-1"/>
          <w:sz w:val="16"/>
        </w:rPr>
        <w:t> </w:t>
      </w:r>
      <w:r>
        <w:rPr>
          <w:sz w:val="16"/>
        </w:rPr>
        <w:t>until decisions are issued by</w:t>
      </w:r>
      <w:r>
        <w:rPr>
          <w:spacing w:val="-2"/>
          <w:sz w:val="16"/>
        </w:rPr>
        <w:t> </w:t>
      </w:r>
      <w:r>
        <w:rPr>
          <w:sz w:val="16"/>
        </w:rPr>
        <w:t>the Trial Chambers in the Al Hassan</w:t>
      </w:r>
      <w:r>
        <w:rPr>
          <w:spacing w:val="40"/>
          <w:sz w:val="16"/>
        </w:rPr>
        <w:t> </w:t>
      </w:r>
      <w:r>
        <w:rPr>
          <w:sz w:val="16"/>
        </w:rPr>
        <w:t>and Gicheru cases, it cannot be said that a final appeal is “certain” to be entered. However, it is highly likely that</w:t>
      </w:r>
      <w:r>
        <w:rPr>
          <w:spacing w:val="40"/>
          <w:sz w:val="16"/>
        </w:rPr>
        <w:t> </w:t>
      </w:r>
      <w:r>
        <w:rPr>
          <w:sz w:val="16"/>
        </w:rPr>
        <w:t>any decision of the Trial Chamber (either to convict or acquit) will be appealed.</w:t>
      </w:r>
    </w:p>
    <w:p>
      <w:pPr>
        <w:spacing w:after="0"/>
        <w:jc w:val="both"/>
        <w:rPr>
          <w:sz w:val="16"/>
        </w:rPr>
        <w:sectPr>
          <w:pgSz w:w="11910" w:h="16840"/>
          <w:pgMar w:header="957" w:footer="940" w:top="1140" w:bottom="1140" w:left="20" w:right="20"/>
        </w:sectPr>
      </w:pPr>
    </w:p>
    <w:p>
      <w:pPr>
        <w:pStyle w:val="Heading3"/>
        <w:tabs>
          <w:tab w:pos="5739" w:val="left" w:leader="none"/>
        </w:tabs>
        <w:spacing w:before="124"/>
        <w:ind w:left="5"/>
        <w:jc w:val="center"/>
      </w:pPr>
      <w:r>
        <w:rPr/>
        <w:t>Budget</w:t>
      </w:r>
      <w:r>
        <w:rPr>
          <w:spacing w:val="-6"/>
        </w:rPr>
        <w:t> </w:t>
      </w:r>
      <w:r>
        <w:rPr>
          <w:spacing w:val="-2"/>
        </w:rPr>
        <w:t>resources</w:t>
      </w:r>
      <w:r>
        <w:rPr/>
        <w:tab/>
        <w:t>€12,617.1</w:t>
      </w:r>
      <w:r>
        <w:rPr>
          <w:spacing w:val="-6"/>
        </w:rPr>
        <w:t> </w:t>
      </w:r>
      <w:r>
        <w:rPr>
          <w:spacing w:val="-2"/>
        </w:rPr>
        <w:t>thousand</w:t>
      </w:r>
    </w:p>
    <w:p>
      <w:pPr>
        <w:pStyle w:val="BodyText"/>
        <w:spacing w:before="11"/>
        <w:rPr>
          <w:b/>
        </w:rPr>
      </w:pPr>
    </w:p>
    <w:p>
      <w:pPr>
        <w:pStyle w:val="ListParagraph"/>
        <w:numPr>
          <w:ilvl w:val="0"/>
          <w:numId w:val="4"/>
        </w:numPr>
        <w:tabs>
          <w:tab w:pos="2967" w:val="left" w:leader="none"/>
        </w:tabs>
        <w:spacing w:line="240" w:lineRule="auto" w:before="0" w:after="0"/>
        <w:ind w:left="2967" w:right="0" w:hanging="721"/>
        <w:jc w:val="both"/>
        <w:rPr>
          <w:sz w:val="20"/>
        </w:rPr>
      </w:pPr>
      <w:r>
        <w:rPr>
          <w:sz w:val="20"/>
        </w:rPr>
        <w:t>The</w:t>
      </w:r>
      <w:r>
        <w:rPr>
          <w:spacing w:val="-5"/>
          <w:sz w:val="20"/>
        </w:rPr>
        <w:t> </w:t>
      </w:r>
      <w:r>
        <w:rPr>
          <w:sz w:val="20"/>
        </w:rPr>
        <w:t>requested</w:t>
      </w:r>
      <w:r>
        <w:rPr>
          <w:spacing w:val="-6"/>
          <w:sz w:val="20"/>
        </w:rPr>
        <w:t> </w:t>
      </w:r>
      <w:r>
        <w:rPr>
          <w:sz w:val="20"/>
        </w:rPr>
        <w:t>amount</w:t>
      </w:r>
      <w:r>
        <w:rPr>
          <w:spacing w:val="-5"/>
          <w:sz w:val="20"/>
        </w:rPr>
        <w:t> </w:t>
      </w:r>
      <w:r>
        <w:rPr>
          <w:sz w:val="20"/>
        </w:rPr>
        <w:t>has</w:t>
      </w:r>
      <w:r>
        <w:rPr>
          <w:spacing w:val="-7"/>
          <w:sz w:val="20"/>
        </w:rPr>
        <w:t> </w:t>
      </w:r>
      <w:r>
        <w:rPr>
          <w:sz w:val="20"/>
        </w:rPr>
        <w:t>increased</w:t>
      </w:r>
      <w:r>
        <w:rPr>
          <w:spacing w:val="-6"/>
          <w:sz w:val="20"/>
        </w:rPr>
        <w:t> </w:t>
      </w:r>
      <w:r>
        <w:rPr>
          <w:sz w:val="20"/>
        </w:rPr>
        <w:t>by</w:t>
      </w:r>
      <w:r>
        <w:rPr>
          <w:spacing w:val="-6"/>
          <w:sz w:val="20"/>
        </w:rPr>
        <w:t> </w:t>
      </w:r>
      <w:r>
        <w:rPr>
          <w:sz w:val="20"/>
        </w:rPr>
        <w:t>€1,576.7</w:t>
      </w:r>
      <w:r>
        <w:rPr>
          <w:spacing w:val="-7"/>
          <w:sz w:val="20"/>
        </w:rPr>
        <w:t> </w:t>
      </w:r>
      <w:r>
        <w:rPr>
          <w:sz w:val="20"/>
        </w:rPr>
        <w:t>thousand</w:t>
      </w:r>
      <w:r>
        <w:rPr>
          <w:spacing w:val="-6"/>
          <w:sz w:val="20"/>
        </w:rPr>
        <w:t> </w:t>
      </w:r>
      <w:r>
        <w:rPr>
          <w:sz w:val="20"/>
        </w:rPr>
        <w:t>(14.3</w:t>
      </w:r>
      <w:r>
        <w:rPr>
          <w:spacing w:val="-6"/>
          <w:sz w:val="20"/>
        </w:rPr>
        <w:t> </w:t>
      </w:r>
      <w:r>
        <w:rPr>
          <w:sz w:val="20"/>
        </w:rPr>
        <w:t>per</w:t>
      </w:r>
      <w:r>
        <w:rPr>
          <w:spacing w:val="-6"/>
          <w:sz w:val="20"/>
        </w:rPr>
        <w:t> </w:t>
      </w:r>
      <w:r>
        <w:rPr>
          <w:spacing w:val="-2"/>
          <w:sz w:val="20"/>
        </w:rPr>
        <w:t>cent).</w:t>
      </w:r>
    </w:p>
    <w:p>
      <w:pPr>
        <w:pStyle w:val="BodyText"/>
        <w:spacing w:before="10"/>
      </w:pPr>
    </w:p>
    <w:p>
      <w:pPr>
        <w:pStyle w:val="Heading3"/>
        <w:tabs>
          <w:tab w:pos="5830" w:val="left" w:leader="none"/>
        </w:tabs>
        <w:ind w:left="0"/>
        <w:jc w:val="center"/>
      </w:pPr>
      <w:r>
        <w:rPr/>
        <w:t>Staff</w:t>
      </w:r>
      <w:r>
        <w:rPr>
          <w:spacing w:val="-2"/>
        </w:rPr>
        <w:t> resources</w:t>
      </w:r>
      <w:r>
        <w:rPr/>
        <w:tab/>
        <w:t>€7,384.4</w:t>
      </w:r>
      <w:r>
        <w:rPr>
          <w:spacing w:val="-6"/>
        </w:rPr>
        <w:t> </w:t>
      </w:r>
      <w:r>
        <w:rPr>
          <w:spacing w:val="-2"/>
        </w:rPr>
        <w:t>thousand</w:t>
      </w:r>
    </w:p>
    <w:p>
      <w:pPr>
        <w:pStyle w:val="BodyText"/>
        <w:rPr>
          <w:b/>
          <w:sz w:val="21"/>
        </w:rPr>
      </w:pPr>
    </w:p>
    <w:p>
      <w:pPr>
        <w:pStyle w:val="ListParagraph"/>
        <w:numPr>
          <w:ilvl w:val="0"/>
          <w:numId w:val="4"/>
        </w:numPr>
        <w:tabs>
          <w:tab w:pos="2967" w:val="left" w:leader="none"/>
        </w:tabs>
        <w:spacing w:line="240" w:lineRule="auto" w:before="0" w:after="0"/>
        <w:ind w:left="2246" w:right="2239" w:firstLine="0"/>
        <w:jc w:val="both"/>
        <w:rPr>
          <w:sz w:val="20"/>
        </w:rPr>
      </w:pPr>
      <w:r>
        <w:rPr>
          <w:sz w:val="20"/>
        </w:rPr>
        <w:t>The requested amount has increased by €1,413.6 thousand (23.7 per cent). This increase is due to a request for essential GTA-funded resources required in connection with activities at the trial and pre-trial levels.</w:t>
      </w:r>
    </w:p>
    <w:p>
      <w:pPr>
        <w:pStyle w:val="ListParagraph"/>
        <w:numPr>
          <w:ilvl w:val="0"/>
          <w:numId w:val="4"/>
        </w:numPr>
        <w:tabs>
          <w:tab w:pos="2967" w:val="left" w:leader="none"/>
        </w:tabs>
        <w:spacing w:line="240" w:lineRule="auto" w:before="121" w:after="0"/>
        <w:ind w:left="2246" w:right="2236" w:firstLine="0"/>
        <w:jc w:val="both"/>
        <w:rPr>
          <w:sz w:val="20"/>
        </w:rPr>
      </w:pPr>
      <w:r>
        <w:rPr>
          <w:sz w:val="20"/>
        </w:rPr>
        <w:t>Mindful of Strategic Goal 9 of the Court-wide Strategic Plan for 2023-2025,</w:t>
      </w:r>
      <w:r>
        <w:rPr>
          <w:sz w:val="20"/>
          <w:vertAlign w:val="superscript"/>
        </w:rPr>
        <w:t>22</w:t>
      </w:r>
      <w:r>
        <w:rPr>
          <w:sz w:val="20"/>
          <w:vertAlign w:val="baseline"/>
        </w:rPr>
        <w:t> the Judiciary is continuing its efforts to improve the efficiency and expeditiousness of judicial proceedings, in part through increased operational flexibility in staff assignment, which reflects the Court’s commitment to the disciplined use of resources. To the extent possible, operational staff shortages are addressed with available resources by flexible redeployment between</w:t>
      </w:r>
      <w:r>
        <w:rPr>
          <w:spacing w:val="-6"/>
          <w:sz w:val="20"/>
          <w:vertAlign w:val="baseline"/>
        </w:rPr>
        <w:t> </w:t>
      </w:r>
      <w:r>
        <w:rPr>
          <w:sz w:val="20"/>
          <w:vertAlign w:val="baseline"/>
        </w:rPr>
        <w:t>the divisions</w:t>
      </w:r>
      <w:r>
        <w:rPr>
          <w:spacing w:val="-3"/>
          <w:sz w:val="20"/>
          <w:vertAlign w:val="baseline"/>
        </w:rPr>
        <w:t> </w:t>
      </w:r>
      <w:r>
        <w:rPr>
          <w:sz w:val="20"/>
          <w:vertAlign w:val="baseline"/>
        </w:rPr>
        <w:t>and</w:t>
      </w:r>
      <w:r>
        <w:rPr>
          <w:spacing w:val="-6"/>
          <w:sz w:val="20"/>
          <w:vertAlign w:val="baseline"/>
        </w:rPr>
        <w:t> </w:t>
      </w:r>
      <w:r>
        <w:rPr>
          <w:sz w:val="20"/>
          <w:vertAlign w:val="baseline"/>
        </w:rPr>
        <w:t>chambers</w:t>
      </w:r>
      <w:r>
        <w:rPr>
          <w:spacing w:val="-3"/>
          <w:sz w:val="20"/>
          <w:vertAlign w:val="baseline"/>
        </w:rPr>
        <w:t> </w:t>
      </w:r>
      <w:r>
        <w:rPr>
          <w:sz w:val="20"/>
          <w:vertAlign w:val="baseline"/>
        </w:rPr>
        <w:t>and</w:t>
      </w:r>
      <w:r>
        <w:rPr>
          <w:spacing w:val="-2"/>
          <w:sz w:val="20"/>
          <w:vertAlign w:val="baseline"/>
        </w:rPr>
        <w:t> </w:t>
      </w:r>
      <w:r>
        <w:rPr>
          <w:sz w:val="20"/>
          <w:vertAlign w:val="baseline"/>
        </w:rPr>
        <w:t>simultaneous</w:t>
      </w:r>
      <w:r>
        <w:rPr>
          <w:spacing w:val="-3"/>
          <w:sz w:val="20"/>
          <w:vertAlign w:val="baseline"/>
        </w:rPr>
        <w:t> </w:t>
      </w:r>
      <w:r>
        <w:rPr>
          <w:sz w:val="20"/>
          <w:vertAlign w:val="baseline"/>
        </w:rPr>
        <w:t>assignment to</w:t>
      </w:r>
      <w:r>
        <w:rPr>
          <w:spacing w:val="-6"/>
          <w:sz w:val="20"/>
          <w:vertAlign w:val="baseline"/>
        </w:rPr>
        <w:t> </w:t>
      </w:r>
      <w:r>
        <w:rPr>
          <w:sz w:val="20"/>
          <w:vertAlign w:val="baseline"/>
        </w:rPr>
        <w:t>cases</w:t>
      </w:r>
      <w:r>
        <w:rPr>
          <w:spacing w:val="-3"/>
          <w:sz w:val="20"/>
          <w:vertAlign w:val="baseline"/>
        </w:rPr>
        <w:t> </w:t>
      </w:r>
      <w:r>
        <w:rPr>
          <w:sz w:val="20"/>
          <w:vertAlign w:val="baseline"/>
        </w:rPr>
        <w:t>or</w:t>
      </w:r>
      <w:r>
        <w:rPr>
          <w:spacing w:val="-6"/>
          <w:sz w:val="20"/>
          <w:vertAlign w:val="baseline"/>
        </w:rPr>
        <w:t> </w:t>
      </w:r>
      <w:r>
        <w:rPr>
          <w:sz w:val="20"/>
          <w:vertAlign w:val="baseline"/>
        </w:rPr>
        <w:t>applications</w:t>
      </w:r>
      <w:r>
        <w:rPr>
          <w:spacing w:val="-3"/>
          <w:sz w:val="20"/>
          <w:vertAlign w:val="baseline"/>
        </w:rPr>
        <w:t> </w:t>
      </w:r>
      <w:r>
        <w:rPr>
          <w:sz w:val="20"/>
          <w:vertAlign w:val="baseline"/>
        </w:rPr>
        <w:t>at the pre-trial, trial or</w:t>
      </w:r>
      <w:r>
        <w:rPr>
          <w:spacing w:val="-4"/>
          <w:sz w:val="20"/>
          <w:vertAlign w:val="baseline"/>
        </w:rPr>
        <w:t> </w:t>
      </w:r>
      <w:r>
        <w:rPr>
          <w:sz w:val="20"/>
          <w:vertAlign w:val="baseline"/>
        </w:rPr>
        <w:t>appeal phases. In line with this flexible approach to staffing, legal staff assigned</w:t>
      </w:r>
      <w:r>
        <w:rPr>
          <w:spacing w:val="-3"/>
          <w:sz w:val="20"/>
          <w:vertAlign w:val="baseline"/>
        </w:rPr>
        <w:t> </w:t>
      </w:r>
      <w:r>
        <w:rPr>
          <w:sz w:val="20"/>
          <w:vertAlign w:val="baseline"/>
        </w:rPr>
        <w:t>to</w:t>
      </w:r>
      <w:r>
        <w:rPr>
          <w:spacing w:val="-7"/>
          <w:sz w:val="20"/>
          <w:vertAlign w:val="baseline"/>
        </w:rPr>
        <w:t> </w:t>
      </w:r>
      <w:r>
        <w:rPr>
          <w:sz w:val="20"/>
          <w:vertAlign w:val="baseline"/>
        </w:rPr>
        <w:t>a</w:t>
      </w:r>
      <w:r>
        <w:rPr>
          <w:spacing w:val="-1"/>
          <w:sz w:val="20"/>
          <w:vertAlign w:val="baseline"/>
        </w:rPr>
        <w:t> </w:t>
      </w:r>
      <w:r>
        <w:rPr>
          <w:sz w:val="20"/>
          <w:vertAlign w:val="baseline"/>
        </w:rPr>
        <w:t>particular</w:t>
      </w:r>
      <w:r>
        <w:rPr>
          <w:spacing w:val="-7"/>
          <w:sz w:val="20"/>
          <w:vertAlign w:val="baseline"/>
        </w:rPr>
        <w:t> </w:t>
      </w:r>
      <w:r>
        <w:rPr>
          <w:sz w:val="20"/>
          <w:vertAlign w:val="baseline"/>
        </w:rPr>
        <w:t>division</w:t>
      </w:r>
      <w:r>
        <w:rPr>
          <w:spacing w:val="-7"/>
          <w:sz w:val="20"/>
          <w:vertAlign w:val="baseline"/>
        </w:rPr>
        <w:t> </w:t>
      </w:r>
      <w:r>
        <w:rPr>
          <w:sz w:val="20"/>
          <w:vertAlign w:val="baseline"/>
        </w:rPr>
        <w:t>or</w:t>
      </w:r>
      <w:r>
        <w:rPr>
          <w:spacing w:val="-3"/>
          <w:sz w:val="20"/>
          <w:vertAlign w:val="baseline"/>
        </w:rPr>
        <w:t> </w:t>
      </w:r>
      <w:r>
        <w:rPr>
          <w:sz w:val="20"/>
          <w:vertAlign w:val="baseline"/>
        </w:rPr>
        <w:t>chamber</w:t>
      </w:r>
      <w:r>
        <w:rPr>
          <w:spacing w:val="-7"/>
          <w:sz w:val="20"/>
          <w:vertAlign w:val="baseline"/>
        </w:rPr>
        <w:t> </w:t>
      </w:r>
      <w:r>
        <w:rPr>
          <w:sz w:val="20"/>
          <w:vertAlign w:val="baseline"/>
        </w:rPr>
        <w:t>have</w:t>
      </w:r>
      <w:r>
        <w:rPr>
          <w:spacing w:val="-6"/>
          <w:sz w:val="20"/>
          <w:vertAlign w:val="baseline"/>
        </w:rPr>
        <w:t> </w:t>
      </w:r>
      <w:r>
        <w:rPr>
          <w:sz w:val="20"/>
          <w:vertAlign w:val="baseline"/>
        </w:rPr>
        <w:t>also</w:t>
      </w:r>
      <w:r>
        <w:rPr>
          <w:spacing w:val="-3"/>
          <w:sz w:val="20"/>
          <w:vertAlign w:val="baseline"/>
        </w:rPr>
        <w:t> </w:t>
      </w:r>
      <w:r>
        <w:rPr>
          <w:sz w:val="20"/>
          <w:vertAlign w:val="baseline"/>
        </w:rPr>
        <w:t>been</w:t>
      </w:r>
      <w:r>
        <w:rPr>
          <w:spacing w:val="-3"/>
          <w:sz w:val="20"/>
          <w:vertAlign w:val="baseline"/>
        </w:rPr>
        <w:t> </w:t>
      </w:r>
      <w:r>
        <w:rPr>
          <w:sz w:val="20"/>
          <w:vertAlign w:val="baseline"/>
        </w:rPr>
        <w:t>simultaneously</w:t>
      </w:r>
      <w:r>
        <w:rPr>
          <w:spacing w:val="-3"/>
          <w:sz w:val="20"/>
          <w:vertAlign w:val="baseline"/>
        </w:rPr>
        <w:t> </w:t>
      </w:r>
      <w:r>
        <w:rPr>
          <w:sz w:val="20"/>
          <w:vertAlign w:val="baseline"/>
        </w:rPr>
        <w:t>assigned</w:t>
      </w:r>
      <w:r>
        <w:rPr>
          <w:spacing w:val="-7"/>
          <w:sz w:val="20"/>
          <w:vertAlign w:val="baseline"/>
        </w:rPr>
        <w:t> </w:t>
      </w:r>
      <w:r>
        <w:rPr>
          <w:sz w:val="20"/>
          <w:vertAlign w:val="baseline"/>
        </w:rPr>
        <w:t>to</w:t>
      </w:r>
      <w:r>
        <w:rPr>
          <w:spacing w:val="-7"/>
          <w:sz w:val="20"/>
          <w:vertAlign w:val="baseline"/>
        </w:rPr>
        <w:t> </w:t>
      </w:r>
      <w:r>
        <w:rPr>
          <w:sz w:val="20"/>
          <w:vertAlign w:val="baseline"/>
        </w:rPr>
        <w:t>cases in</w:t>
      </w:r>
      <w:r>
        <w:rPr>
          <w:spacing w:val="-3"/>
          <w:sz w:val="20"/>
          <w:vertAlign w:val="baseline"/>
        </w:rPr>
        <w:t> </w:t>
      </w:r>
      <w:r>
        <w:rPr>
          <w:sz w:val="20"/>
          <w:vertAlign w:val="baseline"/>
        </w:rPr>
        <w:t>other</w:t>
      </w:r>
      <w:r>
        <w:rPr>
          <w:spacing w:val="-7"/>
          <w:sz w:val="20"/>
          <w:vertAlign w:val="baseline"/>
        </w:rPr>
        <w:t> </w:t>
      </w:r>
      <w:r>
        <w:rPr>
          <w:sz w:val="20"/>
          <w:vertAlign w:val="baseline"/>
        </w:rPr>
        <w:t>divisions</w:t>
      </w:r>
      <w:r>
        <w:rPr>
          <w:spacing w:val="-9"/>
          <w:sz w:val="20"/>
          <w:vertAlign w:val="baseline"/>
        </w:rPr>
        <w:t> </w:t>
      </w:r>
      <w:r>
        <w:rPr>
          <w:sz w:val="20"/>
          <w:vertAlign w:val="baseline"/>
        </w:rPr>
        <w:t>and</w:t>
      </w:r>
      <w:r>
        <w:rPr>
          <w:spacing w:val="-7"/>
          <w:sz w:val="20"/>
          <w:vertAlign w:val="baseline"/>
        </w:rPr>
        <w:t> </w:t>
      </w:r>
      <w:r>
        <w:rPr>
          <w:sz w:val="20"/>
          <w:vertAlign w:val="baseline"/>
        </w:rPr>
        <w:t>chambers</w:t>
      </w:r>
      <w:r>
        <w:rPr>
          <w:spacing w:val="-4"/>
          <w:sz w:val="20"/>
          <w:vertAlign w:val="baseline"/>
        </w:rPr>
        <w:t> </w:t>
      </w:r>
      <w:r>
        <w:rPr>
          <w:sz w:val="20"/>
          <w:vertAlign w:val="baseline"/>
        </w:rPr>
        <w:t>to</w:t>
      </w:r>
      <w:r>
        <w:rPr>
          <w:spacing w:val="-7"/>
          <w:sz w:val="20"/>
          <w:vertAlign w:val="baseline"/>
        </w:rPr>
        <w:t> </w:t>
      </w:r>
      <w:r>
        <w:rPr>
          <w:sz w:val="20"/>
          <w:vertAlign w:val="baseline"/>
        </w:rPr>
        <w:t>absorb</w:t>
      </w:r>
      <w:r>
        <w:rPr>
          <w:spacing w:val="-3"/>
          <w:sz w:val="20"/>
          <w:vertAlign w:val="baseline"/>
        </w:rPr>
        <w:t> </w:t>
      </w:r>
      <w:r>
        <w:rPr>
          <w:sz w:val="20"/>
          <w:vertAlign w:val="baseline"/>
        </w:rPr>
        <w:t>changing</w:t>
      </w:r>
      <w:r>
        <w:rPr>
          <w:spacing w:val="-3"/>
          <w:sz w:val="20"/>
          <w:vertAlign w:val="baseline"/>
        </w:rPr>
        <w:t> </w:t>
      </w:r>
      <w:r>
        <w:rPr>
          <w:sz w:val="20"/>
          <w:vertAlign w:val="baseline"/>
        </w:rPr>
        <w:t>workloads</w:t>
      </w:r>
      <w:r>
        <w:rPr>
          <w:spacing w:val="-4"/>
          <w:sz w:val="20"/>
          <w:vertAlign w:val="baseline"/>
        </w:rPr>
        <w:t> </w:t>
      </w:r>
      <w:r>
        <w:rPr>
          <w:sz w:val="20"/>
          <w:vertAlign w:val="baseline"/>
        </w:rPr>
        <w:t>where</w:t>
      </w:r>
      <w:r>
        <w:rPr>
          <w:spacing w:val="-6"/>
          <w:sz w:val="20"/>
          <w:vertAlign w:val="baseline"/>
        </w:rPr>
        <w:t> </w:t>
      </w:r>
      <w:r>
        <w:rPr>
          <w:sz w:val="20"/>
          <w:vertAlign w:val="baseline"/>
        </w:rPr>
        <w:t>possible.</w:t>
      </w:r>
      <w:r>
        <w:rPr>
          <w:spacing w:val="-5"/>
          <w:sz w:val="20"/>
          <w:vertAlign w:val="baseline"/>
        </w:rPr>
        <w:t> </w:t>
      </w:r>
      <w:r>
        <w:rPr>
          <w:sz w:val="20"/>
          <w:vertAlign w:val="baseline"/>
        </w:rPr>
        <w:t>It</w:t>
      </w:r>
      <w:r>
        <w:rPr>
          <w:spacing w:val="-6"/>
          <w:sz w:val="20"/>
          <w:vertAlign w:val="baseline"/>
        </w:rPr>
        <w:t> </w:t>
      </w:r>
      <w:r>
        <w:rPr>
          <w:sz w:val="20"/>
          <w:vertAlign w:val="baseline"/>
        </w:rPr>
        <w:t>is</w:t>
      </w:r>
      <w:r>
        <w:rPr>
          <w:spacing w:val="-4"/>
          <w:sz w:val="20"/>
          <w:vertAlign w:val="baseline"/>
        </w:rPr>
        <w:t> </w:t>
      </w:r>
      <w:r>
        <w:rPr>
          <w:sz w:val="20"/>
          <w:vertAlign w:val="baseline"/>
        </w:rPr>
        <w:t>expected that when a resource-intensive stage of proceedings concludes, the legal staff assigned to it will be redeployed to work on other cases or situations across Chambers.</w:t>
      </w:r>
    </w:p>
    <w:p>
      <w:pPr>
        <w:pStyle w:val="ListParagraph"/>
        <w:numPr>
          <w:ilvl w:val="0"/>
          <w:numId w:val="4"/>
        </w:numPr>
        <w:tabs>
          <w:tab w:pos="2967" w:val="left" w:leader="none"/>
        </w:tabs>
        <w:spacing w:line="240" w:lineRule="auto" w:before="121" w:after="0"/>
        <w:ind w:left="2246" w:right="2238" w:firstLine="0"/>
        <w:jc w:val="both"/>
        <w:rPr>
          <w:sz w:val="20"/>
        </w:rPr>
      </w:pPr>
      <w:r>
        <w:rPr>
          <w:sz w:val="20"/>
        </w:rPr>
        <w:t>The ongoing flexible assignment of staff on fixed-term appointments (established and GTA-funded) is expected to continue, leading to greater synergy between judicial operating requirements and the Chambers’ pool of knowledge and expertise, and will be essential</w:t>
      </w:r>
      <w:r>
        <w:rPr>
          <w:spacing w:val="-6"/>
          <w:sz w:val="20"/>
        </w:rPr>
        <w:t> </w:t>
      </w:r>
      <w:r>
        <w:rPr>
          <w:sz w:val="20"/>
        </w:rPr>
        <w:t>to</w:t>
      </w:r>
      <w:r>
        <w:rPr>
          <w:spacing w:val="-7"/>
          <w:sz w:val="20"/>
        </w:rPr>
        <w:t> </w:t>
      </w:r>
      <w:r>
        <w:rPr>
          <w:sz w:val="20"/>
        </w:rPr>
        <w:t>ensuring</w:t>
      </w:r>
      <w:r>
        <w:rPr>
          <w:spacing w:val="-12"/>
          <w:sz w:val="20"/>
        </w:rPr>
        <w:t> </w:t>
      </w:r>
      <w:r>
        <w:rPr>
          <w:sz w:val="20"/>
        </w:rPr>
        <w:t>that</w:t>
      </w:r>
      <w:r>
        <w:rPr>
          <w:spacing w:val="-6"/>
          <w:sz w:val="20"/>
        </w:rPr>
        <w:t> </w:t>
      </w:r>
      <w:r>
        <w:rPr>
          <w:sz w:val="20"/>
        </w:rPr>
        <w:t>the</w:t>
      </w:r>
      <w:r>
        <w:rPr>
          <w:spacing w:val="-6"/>
          <w:sz w:val="20"/>
        </w:rPr>
        <w:t> </w:t>
      </w:r>
      <w:r>
        <w:rPr>
          <w:sz w:val="20"/>
        </w:rPr>
        <w:t>Chambers’</w:t>
      </w:r>
      <w:r>
        <w:rPr>
          <w:spacing w:val="-7"/>
          <w:sz w:val="20"/>
        </w:rPr>
        <w:t> </w:t>
      </w:r>
      <w:r>
        <w:rPr>
          <w:sz w:val="20"/>
        </w:rPr>
        <w:t>workload</w:t>
      </w:r>
      <w:r>
        <w:rPr>
          <w:spacing w:val="-7"/>
          <w:sz w:val="20"/>
        </w:rPr>
        <w:t> </w:t>
      </w:r>
      <w:r>
        <w:rPr>
          <w:sz w:val="20"/>
        </w:rPr>
        <w:t>(with</w:t>
      </w:r>
      <w:r>
        <w:rPr>
          <w:spacing w:val="-7"/>
          <w:sz w:val="20"/>
        </w:rPr>
        <w:t> </w:t>
      </w:r>
      <w:r>
        <w:rPr>
          <w:sz w:val="20"/>
        </w:rPr>
        <w:t>high</w:t>
      </w:r>
      <w:r>
        <w:rPr>
          <w:spacing w:val="-12"/>
          <w:sz w:val="20"/>
        </w:rPr>
        <w:t> </w:t>
      </w:r>
      <w:r>
        <w:rPr>
          <w:sz w:val="20"/>
        </w:rPr>
        <w:t>levels</w:t>
      </w:r>
      <w:r>
        <w:rPr>
          <w:spacing w:val="-9"/>
          <w:sz w:val="20"/>
        </w:rPr>
        <w:t> </w:t>
      </w:r>
      <w:r>
        <w:rPr>
          <w:sz w:val="20"/>
        </w:rPr>
        <w:t>of</w:t>
      </w:r>
      <w:r>
        <w:rPr>
          <w:spacing w:val="-7"/>
          <w:sz w:val="20"/>
        </w:rPr>
        <w:t> </w:t>
      </w:r>
      <w:r>
        <w:rPr>
          <w:sz w:val="20"/>
        </w:rPr>
        <w:t>trial,</w:t>
      </w:r>
      <w:r>
        <w:rPr>
          <w:spacing w:val="-10"/>
          <w:sz w:val="20"/>
        </w:rPr>
        <w:t> </w:t>
      </w:r>
      <w:r>
        <w:rPr>
          <w:sz w:val="20"/>
        </w:rPr>
        <w:t>in</w:t>
      </w:r>
      <w:r>
        <w:rPr>
          <w:spacing w:val="-7"/>
          <w:sz w:val="20"/>
        </w:rPr>
        <w:t> </w:t>
      </w:r>
      <w:r>
        <w:rPr>
          <w:sz w:val="20"/>
        </w:rPr>
        <w:t>particular)</w:t>
      </w:r>
      <w:r>
        <w:rPr>
          <w:spacing w:val="-12"/>
          <w:sz w:val="20"/>
        </w:rPr>
        <w:t> </w:t>
      </w:r>
      <w:r>
        <w:rPr>
          <w:sz w:val="20"/>
        </w:rPr>
        <w:t>can be handled within the requested resource levels. For 2023, Chambers are requesting an increase in staff resources as compared with those approved for 2022. It must be stressed, however, that</w:t>
      </w:r>
      <w:r>
        <w:rPr>
          <w:spacing w:val="-1"/>
          <w:sz w:val="20"/>
        </w:rPr>
        <w:t> </w:t>
      </w:r>
      <w:r>
        <w:rPr>
          <w:sz w:val="20"/>
        </w:rPr>
        <w:t>this</w:t>
      </w:r>
      <w:r>
        <w:rPr>
          <w:spacing w:val="-4"/>
          <w:sz w:val="20"/>
        </w:rPr>
        <w:t> </w:t>
      </w:r>
      <w:r>
        <w:rPr>
          <w:sz w:val="20"/>
        </w:rPr>
        <w:t>requirement</w:t>
      </w:r>
      <w:r>
        <w:rPr>
          <w:spacing w:val="-1"/>
          <w:sz w:val="20"/>
        </w:rPr>
        <w:t> </w:t>
      </w:r>
      <w:r>
        <w:rPr>
          <w:sz w:val="20"/>
        </w:rPr>
        <w:t>is based</w:t>
      </w:r>
      <w:r>
        <w:rPr>
          <w:spacing w:val="-3"/>
          <w:sz w:val="20"/>
        </w:rPr>
        <w:t> </w:t>
      </w:r>
      <w:r>
        <w:rPr>
          <w:sz w:val="20"/>
        </w:rPr>
        <w:t>on</w:t>
      </w:r>
      <w:r>
        <w:rPr>
          <w:spacing w:val="-3"/>
          <w:sz w:val="20"/>
        </w:rPr>
        <w:t> </w:t>
      </w:r>
      <w:r>
        <w:rPr>
          <w:sz w:val="20"/>
        </w:rPr>
        <w:t>the</w:t>
      </w:r>
      <w:r>
        <w:rPr>
          <w:spacing w:val="-1"/>
          <w:sz w:val="20"/>
        </w:rPr>
        <w:t> </w:t>
      </w:r>
      <w:r>
        <w:rPr>
          <w:sz w:val="20"/>
        </w:rPr>
        <w:t>forecast workload</w:t>
      </w:r>
      <w:r>
        <w:rPr>
          <w:spacing w:val="-3"/>
          <w:sz w:val="20"/>
        </w:rPr>
        <w:t> </w:t>
      </w:r>
      <w:r>
        <w:rPr>
          <w:sz w:val="20"/>
        </w:rPr>
        <w:t>and staffing</w:t>
      </w:r>
      <w:r>
        <w:rPr>
          <w:spacing w:val="-3"/>
          <w:sz w:val="20"/>
        </w:rPr>
        <w:t> </w:t>
      </w:r>
      <w:r>
        <w:rPr>
          <w:sz w:val="20"/>
        </w:rPr>
        <w:t>level. A</w:t>
      </w:r>
      <w:r>
        <w:rPr>
          <w:spacing w:val="-4"/>
          <w:sz w:val="20"/>
        </w:rPr>
        <w:t> </w:t>
      </w:r>
      <w:r>
        <w:rPr>
          <w:sz w:val="20"/>
        </w:rPr>
        <w:t>lower staffing level may cause disruption to workflows and operational delays, which would prevent</w:t>
      </w:r>
      <w:r>
        <w:rPr>
          <w:spacing w:val="-13"/>
          <w:sz w:val="20"/>
        </w:rPr>
        <w:t> </w:t>
      </w:r>
      <w:r>
        <w:rPr>
          <w:sz w:val="20"/>
        </w:rPr>
        <w:t>the</w:t>
      </w:r>
      <w:r>
        <w:rPr>
          <w:spacing w:val="-12"/>
          <w:sz w:val="20"/>
        </w:rPr>
        <w:t> </w:t>
      </w:r>
      <w:r>
        <w:rPr>
          <w:sz w:val="20"/>
        </w:rPr>
        <w:t>expeditious</w:t>
      </w:r>
      <w:r>
        <w:rPr>
          <w:spacing w:val="-13"/>
          <w:sz w:val="20"/>
        </w:rPr>
        <w:t> </w:t>
      </w:r>
      <w:r>
        <w:rPr>
          <w:sz w:val="20"/>
        </w:rPr>
        <w:t>conduct</w:t>
      </w:r>
      <w:r>
        <w:rPr>
          <w:spacing w:val="-12"/>
          <w:sz w:val="20"/>
        </w:rPr>
        <w:t> </w:t>
      </w:r>
      <w:r>
        <w:rPr>
          <w:sz w:val="20"/>
        </w:rPr>
        <w:t>of</w:t>
      </w:r>
      <w:r>
        <w:rPr>
          <w:spacing w:val="-13"/>
          <w:sz w:val="20"/>
        </w:rPr>
        <w:t> </w:t>
      </w:r>
      <w:r>
        <w:rPr>
          <w:sz w:val="20"/>
        </w:rPr>
        <w:t>the</w:t>
      </w:r>
      <w:r>
        <w:rPr>
          <w:spacing w:val="-7"/>
          <w:sz w:val="20"/>
        </w:rPr>
        <w:t> </w:t>
      </w:r>
      <w:r>
        <w:rPr>
          <w:sz w:val="20"/>
        </w:rPr>
        <w:t>proceedings</w:t>
      </w:r>
      <w:r>
        <w:rPr>
          <w:spacing w:val="-13"/>
          <w:sz w:val="20"/>
        </w:rPr>
        <w:t> </w:t>
      </w:r>
      <w:r>
        <w:rPr>
          <w:sz w:val="20"/>
        </w:rPr>
        <w:t>mandated</w:t>
      </w:r>
      <w:r>
        <w:rPr>
          <w:spacing w:val="-12"/>
          <w:sz w:val="20"/>
        </w:rPr>
        <w:t> </w:t>
      </w:r>
      <w:r>
        <w:rPr>
          <w:sz w:val="20"/>
        </w:rPr>
        <w:t>by</w:t>
      </w:r>
      <w:r>
        <w:rPr>
          <w:spacing w:val="-8"/>
          <w:sz w:val="20"/>
        </w:rPr>
        <w:t> </w:t>
      </w:r>
      <w:r>
        <w:rPr>
          <w:sz w:val="20"/>
        </w:rPr>
        <w:t>the</w:t>
      </w:r>
      <w:r>
        <w:rPr>
          <w:spacing w:val="-12"/>
          <w:sz w:val="20"/>
        </w:rPr>
        <w:t> </w:t>
      </w:r>
      <w:r>
        <w:rPr>
          <w:sz w:val="20"/>
        </w:rPr>
        <w:t>Rome</w:t>
      </w:r>
      <w:r>
        <w:rPr>
          <w:spacing w:val="-7"/>
          <w:sz w:val="20"/>
        </w:rPr>
        <w:t> </w:t>
      </w:r>
      <w:r>
        <w:rPr>
          <w:sz w:val="20"/>
        </w:rPr>
        <w:t>Statute.</w:t>
      </w:r>
      <w:r>
        <w:rPr>
          <w:spacing w:val="-11"/>
          <w:sz w:val="20"/>
        </w:rPr>
        <w:t> </w:t>
      </w:r>
      <w:r>
        <w:rPr>
          <w:sz w:val="20"/>
        </w:rPr>
        <w:t>Similarly, as</w:t>
      </w:r>
      <w:r>
        <w:rPr>
          <w:spacing w:val="-5"/>
          <w:sz w:val="20"/>
        </w:rPr>
        <w:t> </w:t>
      </w:r>
      <w:r>
        <w:rPr>
          <w:sz w:val="20"/>
        </w:rPr>
        <w:t>mentioned</w:t>
      </w:r>
      <w:r>
        <w:rPr>
          <w:spacing w:val="-8"/>
          <w:sz w:val="20"/>
        </w:rPr>
        <w:t> </w:t>
      </w:r>
      <w:r>
        <w:rPr>
          <w:sz w:val="20"/>
        </w:rPr>
        <w:t>in</w:t>
      </w:r>
      <w:r>
        <w:rPr>
          <w:spacing w:val="-4"/>
          <w:sz w:val="20"/>
        </w:rPr>
        <w:t> </w:t>
      </w:r>
      <w:r>
        <w:rPr>
          <w:sz w:val="20"/>
        </w:rPr>
        <w:t>the</w:t>
      </w:r>
      <w:r>
        <w:rPr>
          <w:spacing w:val="-2"/>
          <w:sz w:val="20"/>
        </w:rPr>
        <w:t> </w:t>
      </w:r>
      <w:r>
        <w:rPr>
          <w:sz w:val="20"/>
        </w:rPr>
        <w:t>activity</w:t>
      </w:r>
      <w:r>
        <w:rPr>
          <w:spacing w:val="-4"/>
          <w:sz w:val="20"/>
        </w:rPr>
        <w:t> </w:t>
      </w:r>
      <w:r>
        <w:rPr>
          <w:sz w:val="20"/>
        </w:rPr>
        <w:t>assumptions,</w:t>
      </w:r>
      <w:r>
        <w:rPr>
          <w:spacing w:val="-1"/>
          <w:sz w:val="20"/>
        </w:rPr>
        <w:t> </w:t>
      </w:r>
      <w:r>
        <w:rPr>
          <w:sz w:val="20"/>
        </w:rPr>
        <w:t>should</w:t>
      </w:r>
      <w:r>
        <w:rPr>
          <w:spacing w:val="-4"/>
          <w:sz w:val="20"/>
        </w:rPr>
        <w:t> </w:t>
      </w:r>
      <w:r>
        <w:rPr>
          <w:sz w:val="20"/>
        </w:rPr>
        <w:t>there</w:t>
      </w:r>
      <w:r>
        <w:rPr>
          <w:spacing w:val="-2"/>
          <w:sz w:val="20"/>
        </w:rPr>
        <w:t> </w:t>
      </w:r>
      <w:r>
        <w:rPr>
          <w:sz w:val="20"/>
        </w:rPr>
        <w:t>be</w:t>
      </w:r>
      <w:r>
        <w:rPr>
          <w:spacing w:val="-7"/>
          <w:sz w:val="20"/>
        </w:rPr>
        <w:t> </w:t>
      </w:r>
      <w:r>
        <w:rPr>
          <w:sz w:val="20"/>
        </w:rPr>
        <w:t>an</w:t>
      </w:r>
      <w:r>
        <w:rPr>
          <w:spacing w:val="-4"/>
          <w:sz w:val="20"/>
        </w:rPr>
        <w:t> </w:t>
      </w:r>
      <w:r>
        <w:rPr>
          <w:sz w:val="20"/>
        </w:rPr>
        <w:t>increase</w:t>
      </w:r>
      <w:r>
        <w:rPr>
          <w:spacing w:val="-2"/>
          <w:sz w:val="20"/>
        </w:rPr>
        <w:t> </w:t>
      </w:r>
      <w:r>
        <w:rPr>
          <w:sz w:val="20"/>
        </w:rPr>
        <w:t>in</w:t>
      </w:r>
      <w:r>
        <w:rPr>
          <w:spacing w:val="-4"/>
          <w:sz w:val="20"/>
        </w:rPr>
        <w:t> </w:t>
      </w:r>
      <w:r>
        <w:rPr>
          <w:sz w:val="20"/>
        </w:rPr>
        <w:t>the</w:t>
      </w:r>
      <w:r>
        <w:rPr>
          <w:spacing w:val="-2"/>
          <w:sz w:val="20"/>
        </w:rPr>
        <w:t> </w:t>
      </w:r>
      <w:r>
        <w:rPr>
          <w:sz w:val="20"/>
        </w:rPr>
        <w:t>number</w:t>
      </w:r>
      <w:r>
        <w:rPr>
          <w:spacing w:val="-4"/>
          <w:sz w:val="20"/>
        </w:rPr>
        <w:t> </w:t>
      </w:r>
      <w:r>
        <w:rPr>
          <w:sz w:val="20"/>
        </w:rPr>
        <w:t>of</w:t>
      </w:r>
      <w:r>
        <w:rPr>
          <w:spacing w:val="-8"/>
          <w:sz w:val="20"/>
        </w:rPr>
        <w:t> </w:t>
      </w:r>
      <w:r>
        <w:rPr>
          <w:sz w:val="20"/>
        </w:rPr>
        <w:t>trials, in particular if the charges are confirmed in the Mokom case, or in the number of requests made</w:t>
      </w:r>
      <w:r>
        <w:rPr>
          <w:spacing w:val="-13"/>
          <w:sz w:val="20"/>
        </w:rPr>
        <w:t> </w:t>
      </w:r>
      <w:r>
        <w:rPr>
          <w:sz w:val="20"/>
        </w:rPr>
        <w:t>before</w:t>
      </w:r>
      <w:r>
        <w:rPr>
          <w:spacing w:val="-12"/>
          <w:sz w:val="20"/>
        </w:rPr>
        <w:t> </w:t>
      </w:r>
      <w:r>
        <w:rPr>
          <w:sz w:val="20"/>
        </w:rPr>
        <w:t>the</w:t>
      </w:r>
      <w:r>
        <w:rPr>
          <w:spacing w:val="-12"/>
          <w:sz w:val="20"/>
        </w:rPr>
        <w:t> </w:t>
      </w:r>
      <w:r>
        <w:rPr>
          <w:sz w:val="20"/>
        </w:rPr>
        <w:t>Pre-Trial</w:t>
      </w:r>
      <w:r>
        <w:rPr>
          <w:spacing w:val="-13"/>
          <w:sz w:val="20"/>
        </w:rPr>
        <w:t> </w:t>
      </w:r>
      <w:r>
        <w:rPr>
          <w:sz w:val="20"/>
        </w:rPr>
        <w:t>Chambers,</w:t>
      </w:r>
      <w:r>
        <w:rPr>
          <w:spacing w:val="-12"/>
          <w:sz w:val="20"/>
        </w:rPr>
        <w:t> </w:t>
      </w:r>
      <w:r>
        <w:rPr>
          <w:sz w:val="20"/>
        </w:rPr>
        <w:t>additional</w:t>
      </w:r>
      <w:r>
        <w:rPr>
          <w:spacing w:val="-13"/>
          <w:sz w:val="20"/>
        </w:rPr>
        <w:t> </w:t>
      </w:r>
      <w:r>
        <w:rPr>
          <w:sz w:val="20"/>
        </w:rPr>
        <w:t>staff</w:t>
      </w:r>
      <w:r>
        <w:rPr>
          <w:spacing w:val="-12"/>
          <w:sz w:val="20"/>
        </w:rPr>
        <w:t> </w:t>
      </w:r>
      <w:r>
        <w:rPr>
          <w:sz w:val="20"/>
        </w:rPr>
        <w:t>resources</w:t>
      </w:r>
      <w:r>
        <w:rPr>
          <w:spacing w:val="-11"/>
          <w:sz w:val="20"/>
        </w:rPr>
        <w:t> </w:t>
      </w:r>
      <w:r>
        <w:rPr>
          <w:sz w:val="20"/>
        </w:rPr>
        <w:t>will</w:t>
      </w:r>
      <w:r>
        <w:rPr>
          <w:spacing w:val="-9"/>
          <w:sz w:val="20"/>
        </w:rPr>
        <w:t> </w:t>
      </w:r>
      <w:r>
        <w:rPr>
          <w:sz w:val="20"/>
        </w:rPr>
        <w:t>be</w:t>
      </w:r>
      <w:r>
        <w:rPr>
          <w:spacing w:val="-13"/>
          <w:sz w:val="20"/>
        </w:rPr>
        <w:t> </w:t>
      </w:r>
      <w:r>
        <w:rPr>
          <w:sz w:val="20"/>
        </w:rPr>
        <w:t>essential</w:t>
      </w:r>
      <w:r>
        <w:rPr>
          <w:spacing w:val="-12"/>
          <w:sz w:val="20"/>
        </w:rPr>
        <w:t> </w:t>
      </w:r>
      <w:r>
        <w:rPr>
          <w:sz w:val="20"/>
        </w:rPr>
        <w:t>and</w:t>
      </w:r>
      <w:r>
        <w:rPr>
          <w:spacing w:val="-10"/>
          <w:sz w:val="20"/>
        </w:rPr>
        <w:t> </w:t>
      </w:r>
      <w:r>
        <w:rPr>
          <w:sz w:val="20"/>
        </w:rPr>
        <w:t>will</w:t>
      </w:r>
      <w:r>
        <w:rPr>
          <w:spacing w:val="-13"/>
          <w:sz w:val="20"/>
        </w:rPr>
        <w:t> </w:t>
      </w:r>
      <w:r>
        <w:rPr>
          <w:sz w:val="20"/>
        </w:rPr>
        <w:t>have to be requested.</w:t>
      </w:r>
    </w:p>
    <w:p>
      <w:pPr>
        <w:pStyle w:val="ListParagraph"/>
        <w:numPr>
          <w:ilvl w:val="0"/>
          <w:numId w:val="4"/>
        </w:numPr>
        <w:tabs>
          <w:tab w:pos="2967" w:val="left" w:leader="none"/>
        </w:tabs>
        <w:spacing w:line="240" w:lineRule="auto" w:before="121" w:after="0"/>
        <w:ind w:left="2246" w:right="2244" w:firstLine="0"/>
        <w:jc w:val="both"/>
        <w:rPr>
          <w:sz w:val="20"/>
        </w:rPr>
      </w:pPr>
      <w:r>
        <w:rPr>
          <w:sz w:val="20"/>
        </w:rPr>
        <w:t>The proposed staffing structure of the Chambers comprises 40 established posts and</w:t>
      </w:r>
      <w:r>
        <w:rPr>
          <w:spacing w:val="-4"/>
          <w:sz w:val="20"/>
        </w:rPr>
        <w:t> </w:t>
      </w:r>
      <w:r>
        <w:rPr>
          <w:sz w:val="20"/>
        </w:rPr>
        <w:t>24 GTA-funded positions, an increase of 11.42 FTE GTA positions as compared with the</w:t>
      </w:r>
      <w:r>
        <w:rPr>
          <w:spacing w:val="-8"/>
          <w:sz w:val="20"/>
        </w:rPr>
        <w:t> </w:t>
      </w:r>
      <w:r>
        <w:rPr>
          <w:sz w:val="20"/>
        </w:rPr>
        <w:t>level</w:t>
      </w:r>
      <w:r>
        <w:rPr>
          <w:spacing w:val="-8"/>
          <w:sz w:val="20"/>
        </w:rPr>
        <w:t> </w:t>
      </w:r>
      <w:r>
        <w:rPr>
          <w:sz w:val="20"/>
        </w:rPr>
        <w:t>approved</w:t>
      </w:r>
      <w:r>
        <w:rPr>
          <w:spacing w:val="-9"/>
          <w:sz w:val="20"/>
        </w:rPr>
        <w:t> </w:t>
      </w:r>
      <w:r>
        <w:rPr>
          <w:sz w:val="20"/>
        </w:rPr>
        <w:t>in</w:t>
      </w:r>
      <w:r>
        <w:rPr>
          <w:spacing w:val="-9"/>
          <w:sz w:val="20"/>
        </w:rPr>
        <w:t> </w:t>
      </w:r>
      <w:r>
        <w:rPr>
          <w:sz w:val="20"/>
        </w:rPr>
        <w:t>2022.</w:t>
      </w:r>
      <w:r>
        <w:rPr>
          <w:spacing w:val="-7"/>
          <w:sz w:val="20"/>
        </w:rPr>
        <w:t> </w:t>
      </w:r>
      <w:r>
        <w:rPr>
          <w:sz w:val="20"/>
        </w:rPr>
        <w:t>Staff</w:t>
      </w:r>
      <w:r>
        <w:rPr>
          <w:spacing w:val="-9"/>
          <w:sz w:val="20"/>
        </w:rPr>
        <w:t> </w:t>
      </w:r>
      <w:r>
        <w:rPr>
          <w:sz w:val="20"/>
        </w:rPr>
        <w:t>resources</w:t>
      </w:r>
      <w:r>
        <w:rPr>
          <w:spacing w:val="-11"/>
          <w:sz w:val="20"/>
        </w:rPr>
        <w:t> </w:t>
      </w:r>
      <w:r>
        <w:rPr>
          <w:sz w:val="20"/>
        </w:rPr>
        <w:t>are</w:t>
      </w:r>
      <w:r>
        <w:rPr>
          <w:spacing w:val="-8"/>
          <w:sz w:val="20"/>
        </w:rPr>
        <w:t> </w:t>
      </w:r>
      <w:r>
        <w:rPr>
          <w:sz w:val="20"/>
        </w:rPr>
        <w:t>presented</w:t>
      </w:r>
      <w:r>
        <w:rPr>
          <w:spacing w:val="-4"/>
          <w:sz w:val="20"/>
        </w:rPr>
        <w:t> </w:t>
      </w:r>
      <w:r>
        <w:rPr>
          <w:sz w:val="20"/>
        </w:rPr>
        <w:t>jointly</w:t>
      </w:r>
      <w:r>
        <w:rPr>
          <w:spacing w:val="-9"/>
          <w:sz w:val="20"/>
        </w:rPr>
        <w:t> </w:t>
      </w:r>
      <w:r>
        <w:rPr>
          <w:sz w:val="20"/>
        </w:rPr>
        <w:t>for</w:t>
      </w:r>
      <w:r>
        <w:rPr>
          <w:spacing w:val="-9"/>
          <w:sz w:val="20"/>
        </w:rPr>
        <w:t> </w:t>
      </w:r>
      <w:r>
        <w:rPr>
          <w:sz w:val="20"/>
        </w:rPr>
        <w:t>all</w:t>
      </w:r>
      <w:r>
        <w:rPr>
          <w:spacing w:val="-8"/>
          <w:sz w:val="20"/>
        </w:rPr>
        <w:t> </w:t>
      </w:r>
      <w:r>
        <w:rPr>
          <w:sz w:val="20"/>
        </w:rPr>
        <w:t>three</w:t>
      </w:r>
      <w:r>
        <w:rPr>
          <w:spacing w:val="-8"/>
          <w:sz w:val="20"/>
        </w:rPr>
        <w:t> </w:t>
      </w:r>
      <w:r>
        <w:rPr>
          <w:sz w:val="20"/>
        </w:rPr>
        <w:t>divisions,</w:t>
      </w:r>
      <w:r>
        <w:rPr>
          <w:spacing w:val="-7"/>
          <w:sz w:val="20"/>
        </w:rPr>
        <w:t> </w:t>
      </w:r>
      <w:r>
        <w:rPr>
          <w:sz w:val="20"/>
        </w:rPr>
        <w:t>on</w:t>
      </w:r>
      <w:r>
        <w:rPr>
          <w:spacing w:val="-9"/>
          <w:sz w:val="20"/>
        </w:rPr>
        <w:t> </w:t>
      </w:r>
      <w:r>
        <w:rPr>
          <w:sz w:val="20"/>
        </w:rPr>
        <w:t>the basis of the principle of flexible staff assignment.</w:t>
      </w:r>
    </w:p>
    <w:p>
      <w:pPr>
        <w:pStyle w:val="BodyText"/>
        <w:spacing w:before="7"/>
      </w:pPr>
    </w:p>
    <w:p>
      <w:pPr>
        <w:tabs>
          <w:tab w:pos="5890" w:val="left" w:leader="none"/>
        </w:tabs>
        <w:spacing w:before="0"/>
        <w:ind w:left="3" w:right="0" w:firstLine="0"/>
        <w:jc w:val="center"/>
        <w:rPr>
          <w:i/>
          <w:sz w:val="20"/>
        </w:rPr>
      </w:pPr>
      <w:r>
        <w:rPr>
          <w:i/>
          <w:sz w:val="20"/>
        </w:rPr>
        <w:t>Established</w:t>
      </w:r>
      <w:r>
        <w:rPr>
          <w:i/>
          <w:spacing w:val="-8"/>
          <w:sz w:val="20"/>
        </w:rPr>
        <w:t> </w:t>
      </w:r>
      <w:r>
        <w:rPr>
          <w:i/>
          <w:sz w:val="20"/>
        </w:rPr>
        <w:t>posts:</w:t>
      </w:r>
      <w:r>
        <w:rPr>
          <w:i/>
          <w:spacing w:val="-11"/>
          <w:sz w:val="20"/>
        </w:rPr>
        <w:t> </w:t>
      </w:r>
      <w:r>
        <w:rPr>
          <w:i/>
          <w:sz w:val="20"/>
        </w:rPr>
        <w:t>Professional</w:t>
      </w:r>
      <w:r>
        <w:rPr>
          <w:i/>
          <w:spacing w:val="-6"/>
          <w:sz w:val="20"/>
        </w:rPr>
        <w:t> </w:t>
      </w:r>
      <w:r>
        <w:rPr>
          <w:i/>
          <w:sz w:val="20"/>
        </w:rPr>
        <w:t>and</w:t>
      </w:r>
      <w:r>
        <w:rPr>
          <w:i/>
          <w:spacing w:val="-8"/>
          <w:sz w:val="20"/>
        </w:rPr>
        <w:t> </w:t>
      </w:r>
      <w:r>
        <w:rPr>
          <w:i/>
          <w:sz w:val="20"/>
        </w:rPr>
        <w:t>General</w:t>
      </w:r>
      <w:r>
        <w:rPr>
          <w:i/>
          <w:spacing w:val="-9"/>
          <w:sz w:val="20"/>
        </w:rPr>
        <w:t> </w:t>
      </w:r>
      <w:r>
        <w:rPr>
          <w:i/>
          <w:spacing w:val="-2"/>
          <w:sz w:val="20"/>
        </w:rPr>
        <w:t>Service</w:t>
      </w:r>
      <w:r>
        <w:rPr>
          <w:i/>
          <w:sz w:val="20"/>
        </w:rPr>
        <w:tab/>
        <w:t>€4,648.8</w:t>
      </w:r>
      <w:r>
        <w:rPr>
          <w:i/>
          <w:spacing w:val="-4"/>
          <w:sz w:val="20"/>
        </w:rPr>
        <w:t> </w:t>
      </w:r>
      <w:r>
        <w:rPr>
          <w:i/>
          <w:spacing w:val="-2"/>
          <w:sz w:val="20"/>
        </w:rPr>
        <w:t>thousand</w:t>
      </w:r>
    </w:p>
    <w:p>
      <w:pPr>
        <w:pStyle w:val="BodyText"/>
        <w:spacing w:before="10"/>
        <w:rPr>
          <w:i/>
        </w:rPr>
      </w:pPr>
    </w:p>
    <w:p>
      <w:pPr>
        <w:pStyle w:val="ListParagraph"/>
        <w:numPr>
          <w:ilvl w:val="0"/>
          <w:numId w:val="4"/>
        </w:numPr>
        <w:tabs>
          <w:tab w:pos="2967" w:val="left" w:leader="none"/>
        </w:tabs>
        <w:spacing w:line="240" w:lineRule="auto" w:before="1" w:after="0"/>
        <w:ind w:left="2246" w:right="2240" w:firstLine="0"/>
        <w:jc w:val="both"/>
        <w:rPr>
          <w:sz w:val="20"/>
        </w:rPr>
      </w:pPr>
      <w:r>
        <w:rPr>
          <w:sz w:val="20"/>
        </w:rPr>
        <w:t>The Chambers are served by 40 established posts. The Head of Chambers’ Staff</w:t>
      </w:r>
      <w:r>
        <w:rPr>
          <w:spacing w:val="40"/>
          <w:sz w:val="20"/>
        </w:rPr>
        <w:t> </w:t>
      </w:r>
      <w:r>
        <w:rPr>
          <w:sz w:val="20"/>
        </w:rPr>
        <w:t>(P-5) is responsible for strategic planning and work processes in the Chambers. The incumbent oversees and leads coordination and communication between divisions, and provides support to</w:t>
      </w:r>
      <w:r>
        <w:rPr>
          <w:spacing w:val="-3"/>
          <w:sz w:val="20"/>
        </w:rPr>
        <w:t> </w:t>
      </w:r>
      <w:r>
        <w:rPr>
          <w:sz w:val="20"/>
        </w:rPr>
        <w:t>the judges</w:t>
      </w:r>
      <w:r>
        <w:rPr>
          <w:spacing w:val="-4"/>
          <w:sz w:val="20"/>
        </w:rPr>
        <w:t> </w:t>
      </w:r>
      <w:r>
        <w:rPr>
          <w:sz w:val="20"/>
        </w:rPr>
        <w:t>and overall</w:t>
      </w:r>
      <w:r>
        <w:rPr>
          <w:spacing w:val="-1"/>
          <w:sz w:val="20"/>
        </w:rPr>
        <w:t> </w:t>
      </w:r>
      <w:r>
        <w:rPr>
          <w:sz w:val="20"/>
        </w:rPr>
        <w:t>managerial</w:t>
      </w:r>
      <w:r>
        <w:rPr>
          <w:spacing w:val="-1"/>
          <w:sz w:val="20"/>
        </w:rPr>
        <w:t> </w:t>
      </w:r>
      <w:r>
        <w:rPr>
          <w:sz w:val="20"/>
        </w:rPr>
        <w:t>leadership to</w:t>
      </w:r>
      <w:r>
        <w:rPr>
          <w:spacing w:val="-3"/>
          <w:sz w:val="20"/>
        </w:rPr>
        <w:t> </w:t>
      </w:r>
      <w:r>
        <w:rPr>
          <w:sz w:val="20"/>
        </w:rPr>
        <w:t>legal</w:t>
      </w:r>
      <w:r>
        <w:rPr>
          <w:spacing w:val="-1"/>
          <w:sz w:val="20"/>
        </w:rPr>
        <w:t> </w:t>
      </w:r>
      <w:r>
        <w:rPr>
          <w:sz w:val="20"/>
        </w:rPr>
        <w:t>and</w:t>
      </w:r>
      <w:r>
        <w:rPr>
          <w:spacing w:val="-3"/>
          <w:sz w:val="20"/>
        </w:rPr>
        <w:t> </w:t>
      </w:r>
      <w:r>
        <w:rPr>
          <w:sz w:val="20"/>
        </w:rPr>
        <w:t>administrative staff</w:t>
      </w:r>
      <w:r>
        <w:rPr>
          <w:spacing w:val="-9"/>
          <w:sz w:val="20"/>
        </w:rPr>
        <w:t> </w:t>
      </w:r>
      <w:r>
        <w:rPr>
          <w:sz w:val="20"/>
        </w:rPr>
        <w:t>of</w:t>
      </w:r>
      <w:r>
        <w:rPr>
          <w:spacing w:val="-13"/>
          <w:sz w:val="20"/>
        </w:rPr>
        <w:t> </w:t>
      </w:r>
      <w:r>
        <w:rPr>
          <w:sz w:val="20"/>
        </w:rPr>
        <w:t>the</w:t>
      </w:r>
      <w:r>
        <w:rPr>
          <w:spacing w:val="-11"/>
          <w:sz w:val="20"/>
        </w:rPr>
        <w:t> </w:t>
      </w:r>
      <w:r>
        <w:rPr>
          <w:sz w:val="20"/>
        </w:rPr>
        <w:t>Chambers.</w:t>
      </w:r>
      <w:r>
        <w:rPr>
          <w:spacing w:val="-11"/>
          <w:sz w:val="20"/>
        </w:rPr>
        <w:t> </w:t>
      </w:r>
      <w:r>
        <w:rPr>
          <w:sz w:val="20"/>
        </w:rPr>
        <w:t>Each</w:t>
      </w:r>
      <w:r>
        <w:rPr>
          <w:spacing w:val="-8"/>
          <w:sz w:val="20"/>
        </w:rPr>
        <w:t> </w:t>
      </w:r>
      <w:r>
        <w:rPr>
          <w:sz w:val="20"/>
        </w:rPr>
        <w:t>division</w:t>
      </w:r>
      <w:r>
        <w:rPr>
          <w:spacing w:val="-8"/>
          <w:sz w:val="20"/>
        </w:rPr>
        <w:t> </w:t>
      </w:r>
      <w:r>
        <w:rPr>
          <w:sz w:val="20"/>
        </w:rPr>
        <w:t>is</w:t>
      </w:r>
      <w:r>
        <w:rPr>
          <w:spacing w:val="-10"/>
          <w:sz w:val="20"/>
        </w:rPr>
        <w:t> </w:t>
      </w:r>
      <w:r>
        <w:rPr>
          <w:sz w:val="20"/>
        </w:rPr>
        <w:t>supported</w:t>
      </w:r>
      <w:r>
        <w:rPr>
          <w:spacing w:val="-8"/>
          <w:sz w:val="20"/>
        </w:rPr>
        <w:t> </w:t>
      </w:r>
      <w:r>
        <w:rPr>
          <w:sz w:val="20"/>
        </w:rPr>
        <w:t>by</w:t>
      </w:r>
      <w:r>
        <w:rPr>
          <w:spacing w:val="-8"/>
          <w:sz w:val="20"/>
        </w:rPr>
        <w:t> </w:t>
      </w:r>
      <w:r>
        <w:rPr>
          <w:sz w:val="20"/>
        </w:rPr>
        <w:t>one</w:t>
      </w:r>
      <w:r>
        <w:rPr>
          <w:spacing w:val="-7"/>
          <w:sz w:val="20"/>
        </w:rPr>
        <w:t> </w:t>
      </w:r>
      <w:r>
        <w:rPr>
          <w:sz w:val="20"/>
        </w:rPr>
        <w:t>Senior</w:t>
      </w:r>
      <w:r>
        <w:rPr>
          <w:spacing w:val="-8"/>
          <w:sz w:val="20"/>
        </w:rPr>
        <w:t> </w:t>
      </w:r>
      <w:r>
        <w:rPr>
          <w:sz w:val="20"/>
        </w:rPr>
        <w:t>Legal</w:t>
      </w:r>
      <w:r>
        <w:rPr>
          <w:spacing w:val="-7"/>
          <w:sz w:val="20"/>
        </w:rPr>
        <w:t> </w:t>
      </w:r>
      <w:r>
        <w:rPr>
          <w:sz w:val="20"/>
        </w:rPr>
        <w:t>Adviser</w:t>
      </w:r>
      <w:r>
        <w:rPr>
          <w:spacing w:val="-8"/>
          <w:sz w:val="20"/>
        </w:rPr>
        <w:t> </w:t>
      </w:r>
      <w:r>
        <w:rPr>
          <w:sz w:val="20"/>
        </w:rPr>
        <w:t>(P-5)</w:t>
      </w:r>
      <w:r>
        <w:rPr>
          <w:spacing w:val="-8"/>
          <w:sz w:val="20"/>
        </w:rPr>
        <w:t> </w:t>
      </w:r>
      <w:r>
        <w:rPr>
          <w:sz w:val="20"/>
        </w:rPr>
        <w:t>or</w:t>
      </w:r>
      <w:r>
        <w:rPr>
          <w:spacing w:val="-13"/>
          <w:sz w:val="20"/>
        </w:rPr>
        <w:t> </w:t>
      </w:r>
      <w:r>
        <w:rPr>
          <w:sz w:val="20"/>
        </w:rPr>
        <w:t>Legal Advisers (P-4) (one in the Appeals Division and one in the Trial Division), who offer essential division-specific expertise, provide guidance to and manage the pre-trial, trial and appeals staff and coordinate their work on cases. The Chambers are further staffed by: 18 Legal Officers (P-3), who provide high-level legal advice and support to the chambers to which</w:t>
      </w:r>
      <w:r>
        <w:rPr>
          <w:spacing w:val="-8"/>
          <w:sz w:val="20"/>
        </w:rPr>
        <w:t> </w:t>
      </w:r>
      <w:r>
        <w:rPr>
          <w:sz w:val="20"/>
        </w:rPr>
        <w:t>they</w:t>
      </w:r>
      <w:r>
        <w:rPr>
          <w:spacing w:val="-4"/>
          <w:sz w:val="20"/>
        </w:rPr>
        <w:t> </w:t>
      </w:r>
      <w:r>
        <w:rPr>
          <w:sz w:val="20"/>
        </w:rPr>
        <w:t>are</w:t>
      </w:r>
      <w:r>
        <w:rPr>
          <w:spacing w:val="-7"/>
          <w:sz w:val="20"/>
        </w:rPr>
        <w:t> </w:t>
      </w:r>
      <w:r>
        <w:rPr>
          <w:sz w:val="20"/>
        </w:rPr>
        <w:t>assigned</w:t>
      </w:r>
      <w:r>
        <w:rPr>
          <w:spacing w:val="-4"/>
          <w:sz w:val="20"/>
        </w:rPr>
        <w:t> </w:t>
      </w:r>
      <w:r>
        <w:rPr>
          <w:sz w:val="20"/>
        </w:rPr>
        <w:t>and</w:t>
      </w:r>
      <w:r>
        <w:rPr>
          <w:spacing w:val="-4"/>
          <w:sz w:val="20"/>
        </w:rPr>
        <w:t> </w:t>
      </w:r>
      <w:r>
        <w:rPr>
          <w:sz w:val="20"/>
        </w:rPr>
        <w:t>coordinate</w:t>
      </w:r>
      <w:r>
        <w:rPr>
          <w:spacing w:val="-7"/>
          <w:sz w:val="20"/>
        </w:rPr>
        <w:t> </w:t>
      </w:r>
      <w:r>
        <w:rPr>
          <w:sz w:val="20"/>
        </w:rPr>
        <w:t>the</w:t>
      </w:r>
      <w:r>
        <w:rPr>
          <w:spacing w:val="-7"/>
          <w:sz w:val="20"/>
        </w:rPr>
        <w:t> </w:t>
      </w:r>
      <w:r>
        <w:rPr>
          <w:sz w:val="20"/>
        </w:rPr>
        <w:t>legal</w:t>
      </w:r>
      <w:r>
        <w:rPr>
          <w:spacing w:val="-2"/>
          <w:sz w:val="20"/>
        </w:rPr>
        <w:t> </w:t>
      </w:r>
      <w:r>
        <w:rPr>
          <w:sz w:val="20"/>
        </w:rPr>
        <w:t>support</w:t>
      </w:r>
      <w:r>
        <w:rPr>
          <w:spacing w:val="-7"/>
          <w:sz w:val="20"/>
        </w:rPr>
        <w:t> </w:t>
      </w:r>
      <w:r>
        <w:rPr>
          <w:sz w:val="20"/>
        </w:rPr>
        <w:t>teams</w:t>
      </w:r>
      <w:r>
        <w:rPr>
          <w:spacing w:val="-5"/>
          <w:sz w:val="20"/>
        </w:rPr>
        <w:t> </w:t>
      </w:r>
      <w:r>
        <w:rPr>
          <w:sz w:val="20"/>
        </w:rPr>
        <w:t>of</w:t>
      </w:r>
      <w:r>
        <w:rPr>
          <w:spacing w:val="-8"/>
          <w:sz w:val="20"/>
        </w:rPr>
        <w:t> </w:t>
      </w:r>
      <w:r>
        <w:rPr>
          <w:sz w:val="20"/>
        </w:rPr>
        <w:t>their</w:t>
      </w:r>
      <w:r>
        <w:rPr>
          <w:spacing w:val="-4"/>
          <w:sz w:val="20"/>
        </w:rPr>
        <w:t> </w:t>
      </w:r>
      <w:r>
        <w:rPr>
          <w:sz w:val="20"/>
        </w:rPr>
        <w:t>respective</w:t>
      </w:r>
      <w:r>
        <w:rPr>
          <w:spacing w:val="-7"/>
          <w:sz w:val="20"/>
        </w:rPr>
        <w:t> </w:t>
      </w:r>
      <w:r>
        <w:rPr>
          <w:sz w:val="20"/>
        </w:rPr>
        <w:t>chambers, as required; 10 Associate Legal Officers (P-2), who assist with analysis of submissions, preparation</w:t>
      </w:r>
      <w:r>
        <w:rPr>
          <w:spacing w:val="-4"/>
          <w:sz w:val="20"/>
        </w:rPr>
        <w:t> </w:t>
      </w:r>
      <w:r>
        <w:rPr>
          <w:sz w:val="20"/>
        </w:rPr>
        <w:t>of</w:t>
      </w:r>
      <w:r>
        <w:rPr>
          <w:spacing w:val="-4"/>
          <w:sz w:val="20"/>
        </w:rPr>
        <w:t> </w:t>
      </w:r>
      <w:r>
        <w:rPr>
          <w:sz w:val="20"/>
        </w:rPr>
        <w:t>decisions</w:t>
      </w:r>
      <w:r>
        <w:rPr>
          <w:spacing w:val="-5"/>
          <w:sz w:val="20"/>
        </w:rPr>
        <w:t> </w:t>
      </w:r>
      <w:r>
        <w:rPr>
          <w:sz w:val="20"/>
        </w:rPr>
        <w:t>and</w:t>
      </w:r>
      <w:r>
        <w:rPr>
          <w:spacing w:val="-4"/>
          <w:sz w:val="20"/>
        </w:rPr>
        <w:t> </w:t>
      </w:r>
      <w:r>
        <w:rPr>
          <w:sz w:val="20"/>
        </w:rPr>
        <w:t>judgments,</w:t>
      </w:r>
      <w:r>
        <w:rPr>
          <w:spacing w:val="-1"/>
          <w:sz w:val="20"/>
        </w:rPr>
        <w:t> </w:t>
      </w:r>
      <w:r>
        <w:rPr>
          <w:sz w:val="20"/>
        </w:rPr>
        <w:t>and</w:t>
      </w:r>
      <w:r>
        <w:rPr>
          <w:spacing w:val="-4"/>
          <w:sz w:val="20"/>
        </w:rPr>
        <w:t> </w:t>
      </w:r>
      <w:r>
        <w:rPr>
          <w:sz w:val="20"/>
        </w:rPr>
        <w:t>the</w:t>
      </w:r>
      <w:r>
        <w:rPr>
          <w:spacing w:val="-2"/>
          <w:sz w:val="20"/>
        </w:rPr>
        <w:t> </w:t>
      </w:r>
      <w:r>
        <w:rPr>
          <w:sz w:val="20"/>
        </w:rPr>
        <w:t>day-to-day</w:t>
      </w:r>
      <w:r>
        <w:rPr>
          <w:spacing w:val="-8"/>
          <w:sz w:val="20"/>
        </w:rPr>
        <w:t> </w:t>
      </w:r>
      <w:r>
        <w:rPr>
          <w:sz w:val="20"/>
        </w:rPr>
        <w:t>logistics</w:t>
      </w:r>
      <w:r>
        <w:rPr>
          <w:spacing w:val="-5"/>
          <w:sz w:val="20"/>
        </w:rPr>
        <w:t> </w:t>
      </w:r>
      <w:r>
        <w:rPr>
          <w:sz w:val="20"/>
        </w:rPr>
        <w:t>of</w:t>
      </w:r>
      <w:r>
        <w:rPr>
          <w:spacing w:val="-4"/>
          <w:sz w:val="20"/>
        </w:rPr>
        <w:t> </w:t>
      </w:r>
      <w:r>
        <w:rPr>
          <w:sz w:val="20"/>
        </w:rPr>
        <w:t>courtroom</w:t>
      </w:r>
      <w:r>
        <w:rPr>
          <w:spacing w:val="-7"/>
          <w:sz w:val="20"/>
        </w:rPr>
        <w:t> </w:t>
      </w:r>
      <w:r>
        <w:rPr>
          <w:sz w:val="20"/>
        </w:rPr>
        <w:t>activities; and 8</w:t>
      </w:r>
      <w:r>
        <w:rPr>
          <w:spacing w:val="-4"/>
          <w:sz w:val="20"/>
        </w:rPr>
        <w:t> </w:t>
      </w:r>
      <w:r>
        <w:rPr>
          <w:sz w:val="20"/>
        </w:rPr>
        <w:t>Administrative Assistants (GS-OL), who provide wide-ranging administrative and logistical support to the judges and staff.</w:t>
      </w:r>
    </w:p>
    <w:p>
      <w:pPr>
        <w:pStyle w:val="BodyText"/>
      </w:pPr>
    </w:p>
    <w:p>
      <w:pPr>
        <w:pStyle w:val="BodyText"/>
      </w:pPr>
    </w:p>
    <w:p>
      <w:pPr>
        <w:pStyle w:val="BodyText"/>
      </w:pPr>
    </w:p>
    <w:p>
      <w:pPr>
        <w:pStyle w:val="BodyText"/>
        <w:spacing w:before="5"/>
        <w:rPr>
          <w:sz w:val="24"/>
        </w:rPr>
      </w:pPr>
      <w:r>
        <w:rPr/>
        <w:pict>
          <v:rect style="position:absolute;margin-left:113.330002pt;margin-top:15.283509pt;width:144.050pt;height:.48004pt;mso-position-horizontal-relative:page;mso-position-vertical-relative:paragraph;z-index:-15717888;mso-wrap-distance-left:0;mso-wrap-distance-right:0" id="docshape59" filled="true" fillcolor="#000000" stroked="false">
            <v:fill type="solid"/>
            <w10:wrap type="topAndBottom"/>
          </v:rect>
        </w:pict>
      </w:r>
    </w:p>
    <w:p>
      <w:pPr>
        <w:spacing w:before="86"/>
        <w:ind w:left="2246" w:right="2195" w:firstLine="0"/>
        <w:jc w:val="left"/>
        <w:rPr>
          <w:sz w:val="16"/>
        </w:rPr>
      </w:pPr>
      <w:r>
        <w:rPr>
          <w:position w:val="5"/>
          <w:sz w:val="10"/>
        </w:rPr>
        <w:t>22</w:t>
      </w:r>
      <w:r>
        <w:rPr>
          <w:spacing w:val="12"/>
          <w:position w:val="5"/>
          <w:sz w:val="10"/>
        </w:rPr>
        <w:t> </w:t>
      </w:r>
      <w:r>
        <w:rPr>
          <w:sz w:val="16"/>
        </w:rPr>
        <w:t>Strategic</w:t>
      </w:r>
      <w:r>
        <w:rPr>
          <w:spacing w:val="-4"/>
          <w:sz w:val="16"/>
        </w:rPr>
        <w:t> </w:t>
      </w:r>
      <w:r>
        <w:rPr>
          <w:sz w:val="16"/>
        </w:rPr>
        <w:t>Goal</w:t>
      </w:r>
      <w:r>
        <w:rPr>
          <w:spacing w:val="-6"/>
          <w:sz w:val="16"/>
        </w:rPr>
        <w:t> </w:t>
      </w:r>
      <w:r>
        <w:rPr>
          <w:sz w:val="16"/>
        </w:rPr>
        <w:t>9:</w:t>
      </w:r>
      <w:r>
        <w:rPr>
          <w:spacing w:val="-6"/>
          <w:sz w:val="16"/>
        </w:rPr>
        <w:t> </w:t>
      </w:r>
      <w:r>
        <w:rPr>
          <w:sz w:val="16"/>
        </w:rPr>
        <w:t>“Manage</w:t>
      </w:r>
      <w:r>
        <w:rPr>
          <w:spacing w:val="-4"/>
          <w:sz w:val="16"/>
        </w:rPr>
        <w:t> </w:t>
      </w:r>
      <w:r>
        <w:rPr>
          <w:sz w:val="16"/>
        </w:rPr>
        <w:t>resources</w:t>
      </w:r>
      <w:r>
        <w:rPr>
          <w:spacing w:val="-5"/>
          <w:sz w:val="16"/>
        </w:rPr>
        <w:t> </w:t>
      </w:r>
      <w:r>
        <w:rPr>
          <w:sz w:val="16"/>
        </w:rPr>
        <w:t>in</w:t>
      </w:r>
      <w:r>
        <w:rPr>
          <w:spacing w:val="-3"/>
          <w:sz w:val="16"/>
        </w:rPr>
        <w:t> </w:t>
      </w:r>
      <w:r>
        <w:rPr>
          <w:sz w:val="16"/>
        </w:rPr>
        <w:t>an</w:t>
      </w:r>
      <w:r>
        <w:rPr>
          <w:spacing w:val="-3"/>
          <w:sz w:val="16"/>
        </w:rPr>
        <w:t> </w:t>
      </w:r>
      <w:r>
        <w:rPr>
          <w:sz w:val="16"/>
        </w:rPr>
        <w:t>effective,</w:t>
      </w:r>
      <w:r>
        <w:rPr>
          <w:spacing w:val="-6"/>
          <w:sz w:val="16"/>
        </w:rPr>
        <w:t> </w:t>
      </w:r>
      <w:r>
        <w:rPr>
          <w:sz w:val="16"/>
        </w:rPr>
        <w:t>coherent,</w:t>
      </w:r>
      <w:r>
        <w:rPr>
          <w:spacing w:val="-6"/>
          <w:sz w:val="16"/>
        </w:rPr>
        <w:t> </w:t>
      </w:r>
      <w:r>
        <w:rPr>
          <w:sz w:val="16"/>
        </w:rPr>
        <w:t>transparent,</w:t>
      </w:r>
      <w:r>
        <w:rPr>
          <w:spacing w:val="-6"/>
          <w:sz w:val="16"/>
        </w:rPr>
        <w:t> </w:t>
      </w:r>
      <w:r>
        <w:rPr>
          <w:sz w:val="16"/>
        </w:rPr>
        <w:t>responsible</w:t>
      </w:r>
      <w:r>
        <w:rPr>
          <w:spacing w:val="-8"/>
          <w:sz w:val="16"/>
        </w:rPr>
        <w:t> </w:t>
      </w:r>
      <w:r>
        <w:rPr>
          <w:sz w:val="16"/>
        </w:rPr>
        <w:t>and</w:t>
      </w:r>
      <w:r>
        <w:rPr>
          <w:spacing w:val="-3"/>
          <w:sz w:val="16"/>
        </w:rPr>
        <w:t> </w:t>
      </w:r>
      <w:r>
        <w:rPr>
          <w:sz w:val="16"/>
        </w:rPr>
        <w:t>adaptable</w:t>
      </w:r>
      <w:r>
        <w:rPr>
          <w:spacing w:val="-4"/>
          <w:sz w:val="16"/>
        </w:rPr>
        <w:t> </w:t>
      </w:r>
      <w:r>
        <w:rPr>
          <w:sz w:val="16"/>
        </w:rPr>
        <w:t>manner</w:t>
      </w:r>
      <w:r>
        <w:rPr>
          <w:spacing w:val="-5"/>
          <w:sz w:val="16"/>
        </w:rPr>
        <w:t> </w:t>
      </w:r>
      <w:r>
        <w:rPr>
          <w:sz w:val="16"/>
        </w:rPr>
        <w:t>and</w:t>
      </w:r>
      <w:r>
        <w:rPr>
          <w:spacing w:val="40"/>
          <w:sz w:val="16"/>
        </w:rPr>
        <w:t> </w:t>
      </w:r>
      <w:r>
        <w:rPr>
          <w:sz w:val="16"/>
        </w:rPr>
        <w:t>further develop the sustainability and resilience of the Court against identified risks”.</w:t>
      </w:r>
    </w:p>
    <w:p>
      <w:pPr>
        <w:spacing w:after="0"/>
        <w:jc w:val="left"/>
        <w:rPr>
          <w:sz w:val="16"/>
        </w:rPr>
        <w:sectPr>
          <w:pgSz w:w="11910" w:h="16840"/>
          <w:pgMar w:header="953" w:footer="940" w:top="1140" w:bottom="1140" w:left="20" w:right="20"/>
        </w:sectPr>
      </w:pPr>
    </w:p>
    <w:p>
      <w:pPr>
        <w:tabs>
          <w:tab w:pos="5895" w:val="left" w:leader="none"/>
        </w:tabs>
        <w:spacing w:before="120"/>
        <w:ind w:left="3" w:right="0" w:firstLine="0"/>
        <w:jc w:val="center"/>
        <w:rPr>
          <w:i/>
          <w:sz w:val="20"/>
        </w:rPr>
      </w:pPr>
      <w:r>
        <w:rPr>
          <w:i/>
          <w:sz w:val="20"/>
        </w:rPr>
        <w:t>General</w:t>
      </w:r>
      <w:r>
        <w:rPr>
          <w:i/>
          <w:spacing w:val="-9"/>
          <w:sz w:val="20"/>
        </w:rPr>
        <w:t> </w:t>
      </w:r>
      <w:r>
        <w:rPr>
          <w:i/>
          <w:sz w:val="20"/>
        </w:rPr>
        <w:t>temporary</w:t>
      </w:r>
      <w:r>
        <w:rPr>
          <w:i/>
          <w:spacing w:val="-4"/>
          <w:sz w:val="20"/>
        </w:rPr>
        <w:t> </w:t>
      </w:r>
      <w:r>
        <w:rPr>
          <w:i/>
          <w:spacing w:val="-2"/>
          <w:sz w:val="20"/>
        </w:rPr>
        <w:t>assistance</w:t>
      </w:r>
      <w:r>
        <w:rPr>
          <w:i/>
          <w:sz w:val="20"/>
        </w:rPr>
        <w:tab/>
        <w:t>€2,735.6</w:t>
      </w:r>
      <w:r>
        <w:rPr>
          <w:i/>
          <w:spacing w:val="-11"/>
          <w:sz w:val="20"/>
        </w:rPr>
        <w:t> </w:t>
      </w:r>
      <w:r>
        <w:rPr>
          <w:i/>
          <w:spacing w:val="-2"/>
          <w:sz w:val="20"/>
        </w:rPr>
        <w:t>thousand</w:t>
      </w:r>
    </w:p>
    <w:p>
      <w:pPr>
        <w:pStyle w:val="BodyText"/>
        <w:spacing w:before="10"/>
        <w:rPr>
          <w:i/>
        </w:rPr>
      </w:pPr>
    </w:p>
    <w:p>
      <w:pPr>
        <w:pStyle w:val="ListParagraph"/>
        <w:numPr>
          <w:ilvl w:val="0"/>
          <w:numId w:val="4"/>
        </w:numPr>
        <w:tabs>
          <w:tab w:pos="2967" w:val="left" w:leader="none"/>
        </w:tabs>
        <w:spacing w:line="240" w:lineRule="auto" w:before="1" w:after="0"/>
        <w:ind w:left="2246" w:right="2243" w:firstLine="0"/>
        <w:jc w:val="both"/>
        <w:rPr>
          <w:sz w:val="20"/>
        </w:rPr>
      </w:pPr>
      <w:r>
        <w:rPr>
          <w:sz w:val="20"/>
        </w:rPr>
        <w:t>The work of the divisions remains critically dependent on the availability of sufficient</w:t>
      </w:r>
      <w:r>
        <w:rPr>
          <w:spacing w:val="-13"/>
          <w:sz w:val="20"/>
        </w:rPr>
        <w:t> </w:t>
      </w:r>
      <w:r>
        <w:rPr>
          <w:sz w:val="20"/>
        </w:rPr>
        <w:t>GTA-funded</w:t>
      </w:r>
      <w:r>
        <w:rPr>
          <w:spacing w:val="-12"/>
          <w:sz w:val="20"/>
        </w:rPr>
        <w:t> </w:t>
      </w:r>
      <w:r>
        <w:rPr>
          <w:sz w:val="20"/>
        </w:rPr>
        <w:t>legal</w:t>
      </w:r>
      <w:r>
        <w:rPr>
          <w:spacing w:val="-13"/>
          <w:sz w:val="20"/>
        </w:rPr>
        <w:t> </w:t>
      </w:r>
      <w:r>
        <w:rPr>
          <w:sz w:val="20"/>
        </w:rPr>
        <w:t>support</w:t>
      </w:r>
      <w:r>
        <w:rPr>
          <w:spacing w:val="-12"/>
          <w:sz w:val="20"/>
        </w:rPr>
        <w:t> </w:t>
      </w:r>
      <w:r>
        <w:rPr>
          <w:sz w:val="20"/>
        </w:rPr>
        <w:t>at</w:t>
      </w:r>
      <w:r>
        <w:rPr>
          <w:spacing w:val="-13"/>
          <w:sz w:val="20"/>
        </w:rPr>
        <w:t> </w:t>
      </w:r>
      <w:r>
        <w:rPr>
          <w:sz w:val="20"/>
        </w:rPr>
        <w:t>the</w:t>
      </w:r>
      <w:r>
        <w:rPr>
          <w:spacing w:val="-9"/>
          <w:sz w:val="20"/>
        </w:rPr>
        <w:t> </w:t>
      </w:r>
      <w:r>
        <w:rPr>
          <w:sz w:val="20"/>
        </w:rPr>
        <w:t>P-3</w:t>
      </w:r>
      <w:r>
        <w:rPr>
          <w:spacing w:val="-13"/>
          <w:sz w:val="20"/>
        </w:rPr>
        <w:t> </w:t>
      </w:r>
      <w:r>
        <w:rPr>
          <w:sz w:val="20"/>
        </w:rPr>
        <w:t>and</w:t>
      </w:r>
      <w:r>
        <w:rPr>
          <w:spacing w:val="-12"/>
          <w:sz w:val="20"/>
        </w:rPr>
        <w:t> </w:t>
      </w:r>
      <w:r>
        <w:rPr>
          <w:sz w:val="20"/>
        </w:rPr>
        <w:t>P-2</w:t>
      </w:r>
      <w:r>
        <w:rPr>
          <w:spacing w:val="-13"/>
          <w:sz w:val="20"/>
        </w:rPr>
        <w:t> </w:t>
      </w:r>
      <w:r>
        <w:rPr>
          <w:sz w:val="20"/>
        </w:rPr>
        <w:t>levels.</w:t>
      </w:r>
      <w:r>
        <w:rPr>
          <w:spacing w:val="-11"/>
          <w:sz w:val="20"/>
        </w:rPr>
        <w:t> </w:t>
      </w:r>
      <w:r>
        <w:rPr>
          <w:sz w:val="20"/>
        </w:rPr>
        <w:t>The</w:t>
      </w:r>
      <w:r>
        <w:rPr>
          <w:spacing w:val="-12"/>
          <w:sz w:val="20"/>
        </w:rPr>
        <w:t> </w:t>
      </w:r>
      <w:r>
        <w:rPr>
          <w:sz w:val="20"/>
        </w:rPr>
        <w:t>continuation</w:t>
      </w:r>
      <w:r>
        <w:rPr>
          <w:spacing w:val="-13"/>
          <w:sz w:val="20"/>
        </w:rPr>
        <w:t> </w:t>
      </w:r>
      <w:r>
        <w:rPr>
          <w:sz w:val="20"/>
        </w:rPr>
        <w:t>of</w:t>
      </w:r>
      <w:r>
        <w:rPr>
          <w:spacing w:val="-12"/>
          <w:sz w:val="20"/>
        </w:rPr>
        <w:t> </w:t>
      </w:r>
      <w:r>
        <w:rPr>
          <w:sz w:val="20"/>
        </w:rPr>
        <w:t>previously approved GTA-funded resources is therefore essential for the efficient functioning of the Chambers.</w:t>
      </w:r>
      <w:r>
        <w:rPr>
          <w:spacing w:val="-13"/>
          <w:sz w:val="20"/>
        </w:rPr>
        <w:t> </w:t>
      </w:r>
      <w:r>
        <w:rPr>
          <w:sz w:val="20"/>
        </w:rPr>
        <w:t>All</w:t>
      </w:r>
      <w:r>
        <w:rPr>
          <w:spacing w:val="-12"/>
          <w:sz w:val="20"/>
        </w:rPr>
        <w:t> </w:t>
      </w:r>
      <w:r>
        <w:rPr>
          <w:sz w:val="20"/>
        </w:rPr>
        <w:t>GTA-funded</w:t>
      </w:r>
      <w:r>
        <w:rPr>
          <w:spacing w:val="-13"/>
          <w:sz w:val="20"/>
        </w:rPr>
        <w:t> </w:t>
      </w:r>
      <w:r>
        <w:rPr>
          <w:sz w:val="20"/>
        </w:rPr>
        <w:t>positions</w:t>
      </w:r>
      <w:r>
        <w:rPr>
          <w:spacing w:val="-12"/>
          <w:sz w:val="20"/>
        </w:rPr>
        <w:t> </w:t>
      </w:r>
      <w:r>
        <w:rPr>
          <w:sz w:val="20"/>
        </w:rPr>
        <w:t>are</w:t>
      </w:r>
      <w:r>
        <w:rPr>
          <w:spacing w:val="-13"/>
          <w:sz w:val="20"/>
        </w:rPr>
        <w:t> </w:t>
      </w:r>
      <w:r>
        <w:rPr>
          <w:sz w:val="20"/>
        </w:rPr>
        <w:t>considered</w:t>
      </w:r>
      <w:r>
        <w:rPr>
          <w:spacing w:val="-12"/>
          <w:sz w:val="20"/>
        </w:rPr>
        <w:t> </w:t>
      </w:r>
      <w:r>
        <w:rPr>
          <w:sz w:val="20"/>
        </w:rPr>
        <w:t>multi-year,</w:t>
      </w:r>
      <w:r>
        <w:rPr>
          <w:spacing w:val="-12"/>
          <w:sz w:val="20"/>
        </w:rPr>
        <w:t> </w:t>
      </w:r>
      <w:r>
        <w:rPr>
          <w:sz w:val="20"/>
        </w:rPr>
        <w:t>since</w:t>
      </w:r>
      <w:r>
        <w:rPr>
          <w:spacing w:val="-12"/>
          <w:sz w:val="20"/>
        </w:rPr>
        <w:t> </w:t>
      </w:r>
      <w:r>
        <w:rPr>
          <w:sz w:val="20"/>
        </w:rPr>
        <w:t>they</w:t>
      </w:r>
      <w:r>
        <w:rPr>
          <w:spacing w:val="-13"/>
          <w:sz w:val="20"/>
        </w:rPr>
        <w:t> </w:t>
      </w:r>
      <w:r>
        <w:rPr>
          <w:sz w:val="20"/>
        </w:rPr>
        <w:t>are</w:t>
      </w:r>
      <w:r>
        <w:rPr>
          <w:spacing w:val="-8"/>
          <w:sz w:val="20"/>
        </w:rPr>
        <w:t> </w:t>
      </w:r>
      <w:r>
        <w:rPr>
          <w:sz w:val="20"/>
        </w:rPr>
        <w:t>used</w:t>
      </w:r>
      <w:r>
        <w:rPr>
          <w:spacing w:val="-13"/>
          <w:sz w:val="20"/>
        </w:rPr>
        <w:t> </w:t>
      </w:r>
      <w:r>
        <w:rPr>
          <w:sz w:val="20"/>
        </w:rPr>
        <w:t>as</w:t>
      </w:r>
      <w:r>
        <w:rPr>
          <w:spacing w:val="-12"/>
          <w:sz w:val="20"/>
        </w:rPr>
        <w:t> </w:t>
      </w:r>
      <w:r>
        <w:rPr>
          <w:sz w:val="20"/>
        </w:rPr>
        <w:t>a</w:t>
      </w:r>
      <w:r>
        <w:rPr>
          <w:spacing w:val="-8"/>
          <w:sz w:val="20"/>
        </w:rPr>
        <w:t> </w:t>
      </w:r>
      <w:r>
        <w:rPr>
          <w:sz w:val="20"/>
        </w:rPr>
        <w:t>pool of resources and allocated on a needs basis. This requirement is reviewed annually. Accordingly, the level of GTA-funded resources requested for 2023 is higher than that approved in the 2022 programme budget, as follows:</w:t>
      </w:r>
    </w:p>
    <w:p>
      <w:pPr>
        <w:pStyle w:val="ListParagraph"/>
        <w:numPr>
          <w:ilvl w:val="0"/>
          <w:numId w:val="4"/>
        </w:numPr>
        <w:tabs>
          <w:tab w:pos="2967" w:val="left" w:leader="none"/>
        </w:tabs>
        <w:spacing w:line="240" w:lineRule="auto" w:before="123" w:after="0"/>
        <w:ind w:left="2246" w:right="2242" w:firstLine="0"/>
        <w:jc w:val="both"/>
        <w:rPr>
          <w:sz w:val="20"/>
        </w:rPr>
      </w:pPr>
      <w:r>
        <w:rPr>
          <w:sz w:val="20"/>
        </w:rPr>
        <w:t>Five </w:t>
      </w:r>
      <w:r>
        <w:rPr>
          <w:i/>
          <w:sz w:val="20"/>
        </w:rPr>
        <w:t>Legal Officers (P-3), funded for a total of 60 months. Continued. Multi-year</w:t>
      </w:r>
      <w:r>
        <w:rPr>
          <w:sz w:val="20"/>
        </w:rPr>
        <w:t>. As in previous years, more experienced legal staff at the P-3 level continue to be needed to coordinate</w:t>
      </w:r>
      <w:r>
        <w:rPr>
          <w:spacing w:val="27"/>
          <w:sz w:val="20"/>
        </w:rPr>
        <w:t> </w:t>
      </w:r>
      <w:r>
        <w:rPr>
          <w:sz w:val="20"/>
        </w:rPr>
        <w:t>and</w:t>
      </w:r>
      <w:r>
        <w:rPr>
          <w:spacing w:val="30"/>
          <w:sz w:val="20"/>
        </w:rPr>
        <w:t> </w:t>
      </w:r>
      <w:r>
        <w:rPr>
          <w:sz w:val="20"/>
        </w:rPr>
        <w:t>supervise</w:t>
      </w:r>
      <w:r>
        <w:rPr>
          <w:spacing w:val="27"/>
          <w:sz w:val="20"/>
        </w:rPr>
        <w:t> </w:t>
      </w:r>
      <w:r>
        <w:rPr>
          <w:sz w:val="20"/>
        </w:rPr>
        <w:t>teams</w:t>
      </w:r>
      <w:r>
        <w:rPr>
          <w:spacing w:val="24"/>
          <w:sz w:val="20"/>
        </w:rPr>
        <w:t> </w:t>
      </w:r>
      <w:r>
        <w:rPr>
          <w:sz w:val="20"/>
        </w:rPr>
        <w:t>and</w:t>
      </w:r>
      <w:r>
        <w:rPr>
          <w:spacing w:val="25"/>
          <w:sz w:val="20"/>
        </w:rPr>
        <w:t> </w:t>
      </w:r>
      <w:r>
        <w:rPr>
          <w:sz w:val="20"/>
        </w:rPr>
        <w:t>to</w:t>
      </w:r>
      <w:r>
        <w:rPr>
          <w:spacing w:val="25"/>
          <w:sz w:val="20"/>
        </w:rPr>
        <w:t> </w:t>
      </w:r>
      <w:r>
        <w:rPr>
          <w:sz w:val="20"/>
        </w:rPr>
        <w:t>assist</w:t>
      </w:r>
      <w:r>
        <w:rPr>
          <w:spacing w:val="27"/>
          <w:sz w:val="20"/>
        </w:rPr>
        <w:t> </w:t>
      </w:r>
      <w:r>
        <w:rPr>
          <w:sz w:val="20"/>
        </w:rPr>
        <w:t>with</w:t>
      </w:r>
      <w:r>
        <w:rPr>
          <w:spacing w:val="25"/>
          <w:sz w:val="20"/>
        </w:rPr>
        <w:t> </w:t>
      </w:r>
      <w:r>
        <w:rPr>
          <w:sz w:val="20"/>
        </w:rPr>
        <w:t>specific</w:t>
      </w:r>
      <w:r>
        <w:rPr>
          <w:spacing w:val="27"/>
          <w:sz w:val="20"/>
        </w:rPr>
        <w:t> </w:t>
      </w:r>
      <w:r>
        <w:rPr>
          <w:sz w:val="20"/>
        </w:rPr>
        <w:t>assignments</w:t>
      </w:r>
      <w:r>
        <w:rPr>
          <w:spacing w:val="24"/>
          <w:sz w:val="20"/>
        </w:rPr>
        <w:t> </w:t>
      </w:r>
      <w:r>
        <w:rPr>
          <w:sz w:val="20"/>
        </w:rPr>
        <w:t>in</w:t>
      </w:r>
      <w:r>
        <w:rPr>
          <w:spacing w:val="25"/>
          <w:sz w:val="20"/>
        </w:rPr>
        <w:t> </w:t>
      </w:r>
      <w:r>
        <w:rPr>
          <w:sz w:val="20"/>
        </w:rPr>
        <w:t>cases,</w:t>
      </w:r>
      <w:r>
        <w:rPr>
          <w:spacing w:val="31"/>
          <w:sz w:val="20"/>
        </w:rPr>
        <w:t> </w:t>
      </w:r>
      <w:r>
        <w:rPr>
          <w:sz w:val="20"/>
        </w:rPr>
        <w:t>such</w:t>
      </w:r>
      <w:r>
        <w:rPr>
          <w:spacing w:val="25"/>
          <w:sz w:val="20"/>
        </w:rPr>
        <w:t> </w:t>
      </w:r>
      <w:r>
        <w:rPr>
          <w:sz w:val="20"/>
        </w:rPr>
        <w:t>as in-depth</w:t>
      </w:r>
      <w:r>
        <w:rPr>
          <w:spacing w:val="-13"/>
          <w:sz w:val="20"/>
        </w:rPr>
        <w:t> </w:t>
      </w:r>
      <w:r>
        <w:rPr>
          <w:sz w:val="20"/>
        </w:rPr>
        <w:t>legal</w:t>
      </w:r>
      <w:r>
        <w:rPr>
          <w:spacing w:val="-12"/>
          <w:sz w:val="20"/>
        </w:rPr>
        <w:t> </w:t>
      </w:r>
      <w:r>
        <w:rPr>
          <w:sz w:val="20"/>
        </w:rPr>
        <w:t>research</w:t>
      </w:r>
      <w:r>
        <w:rPr>
          <w:spacing w:val="-10"/>
          <w:sz w:val="20"/>
        </w:rPr>
        <w:t> </w:t>
      </w:r>
      <w:r>
        <w:rPr>
          <w:sz w:val="20"/>
        </w:rPr>
        <w:t>and</w:t>
      </w:r>
      <w:r>
        <w:rPr>
          <w:spacing w:val="-9"/>
          <w:sz w:val="20"/>
        </w:rPr>
        <w:t> </w:t>
      </w:r>
      <w:r>
        <w:rPr>
          <w:sz w:val="20"/>
        </w:rPr>
        <w:t>analysis,</w:t>
      </w:r>
      <w:r>
        <w:rPr>
          <w:spacing w:val="-7"/>
          <w:sz w:val="20"/>
        </w:rPr>
        <w:t> </w:t>
      </w:r>
      <w:r>
        <w:rPr>
          <w:sz w:val="20"/>
        </w:rPr>
        <w:t>preparation</w:t>
      </w:r>
      <w:r>
        <w:rPr>
          <w:spacing w:val="-9"/>
          <w:sz w:val="20"/>
        </w:rPr>
        <w:t> </w:t>
      </w:r>
      <w:r>
        <w:rPr>
          <w:sz w:val="20"/>
        </w:rPr>
        <w:t>of</w:t>
      </w:r>
      <w:r>
        <w:rPr>
          <w:spacing w:val="-9"/>
          <w:sz w:val="20"/>
        </w:rPr>
        <w:t> </w:t>
      </w:r>
      <w:r>
        <w:rPr>
          <w:sz w:val="20"/>
        </w:rPr>
        <w:t>draft</w:t>
      </w:r>
      <w:r>
        <w:rPr>
          <w:spacing w:val="-8"/>
          <w:sz w:val="20"/>
        </w:rPr>
        <w:t> </w:t>
      </w:r>
      <w:r>
        <w:rPr>
          <w:sz w:val="20"/>
        </w:rPr>
        <w:t>decisions</w:t>
      </w:r>
      <w:r>
        <w:rPr>
          <w:spacing w:val="-11"/>
          <w:sz w:val="20"/>
        </w:rPr>
        <w:t> </w:t>
      </w:r>
      <w:r>
        <w:rPr>
          <w:sz w:val="20"/>
        </w:rPr>
        <w:t>on</w:t>
      </w:r>
      <w:r>
        <w:rPr>
          <w:spacing w:val="-13"/>
          <w:sz w:val="20"/>
        </w:rPr>
        <w:t> </w:t>
      </w:r>
      <w:r>
        <w:rPr>
          <w:sz w:val="20"/>
        </w:rPr>
        <w:t>issues</w:t>
      </w:r>
      <w:r>
        <w:rPr>
          <w:spacing w:val="-10"/>
          <w:sz w:val="20"/>
        </w:rPr>
        <w:t> </w:t>
      </w:r>
      <w:r>
        <w:rPr>
          <w:sz w:val="20"/>
        </w:rPr>
        <w:t>emerging</w:t>
      </w:r>
      <w:r>
        <w:rPr>
          <w:spacing w:val="-13"/>
          <w:sz w:val="20"/>
        </w:rPr>
        <w:t> </w:t>
      </w:r>
      <w:r>
        <w:rPr>
          <w:sz w:val="20"/>
        </w:rPr>
        <w:t>during the proceedings and provision of in-court support.</w:t>
      </w:r>
    </w:p>
    <w:p>
      <w:pPr>
        <w:pStyle w:val="ListParagraph"/>
        <w:numPr>
          <w:ilvl w:val="0"/>
          <w:numId w:val="4"/>
        </w:numPr>
        <w:tabs>
          <w:tab w:pos="2967" w:val="left" w:leader="none"/>
        </w:tabs>
        <w:spacing w:line="240" w:lineRule="auto" w:before="118" w:after="0"/>
        <w:ind w:left="2246" w:right="2236" w:firstLine="0"/>
        <w:jc w:val="both"/>
        <w:rPr>
          <w:sz w:val="20"/>
        </w:rPr>
      </w:pPr>
      <w:r>
        <w:rPr>
          <w:sz w:val="20"/>
        </w:rPr>
        <w:t>Eight </w:t>
      </w:r>
      <w:r>
        <w:rPr>
          <w:i/>
          <w:sz w:val="20"/>
        </w:rPr>
        <w:t>Associate Legal Officers (P-2), funded for a total of 96 months. Continued.</w:t>
      </w:r>
      <w:r>
        <w:rPr>
          <w:i/>
          <w:sz w:val="20"/>
        </w:rPr>
        <w:t> Multi-year</w:t>
      </w:r>
      <w:r>
        <w:rPr>
          <w:sz w:val="20"/>
        </w:rPr>
        <w:t>.</w:t>
      </w:r>
      <w:r>
        <w:rPr>
          <w:spacing w:val="-13"/>
          <w:sz w:val="20"/>
        </w:rPr>
        <w:t> </w:t>
      </w:r>
      <w:r>
        <w:rPr>
          <w:sz w:val="20"/>
        </w:rPr>
        <w:t>These</w:t>
      </w:r>
      <w:r>
        <w:rPr>
          <w:spacing w:val="-12"/>
          <w:sz w:val="20"/>
        </w:rPr>
        <w:t> </w:t>
      </w:r>
      <w:r>
        <w:rPr>
          <w:sz w:val="20"/>
        </w:rPr>
        <w:t>staff</w:t>
      </w:r>
      <w:r>
        <w:rPr>
          <w:spacing w:val="-13"/>
          <w:sz w:val="20"/>
        </w:rPr>
        <w:t> </w:t>
      </w:r>
      <w:r>
        <w:rPr>
          <w:sz w:val="20"/>
        </w:rPr>
        <w:t>provide</w:t>
      </w:r>
      <w:r>
        <w:rPr>
          <w:spacing w:val="-12"/>
          <w:sz w:val="20"/>
        </w:rPr>
        <w:t> </w:t>
      </w:r>
      <w:r>
        <w:rPr>
          <w:sz w:val="20"/>
        </w:rPr>
        <w:t>necessary</w:t>
      </w:r>
      <w:r>
        <w:rPr>
          <w:spacing w:val="-13"/>
          <w:sz w:val="20"/>
        </w:rPr>
        <w:t> </w:t>
      </w:r>
      <w:r>
        <w:rPr>
          <w:sz w:val="20"/>
        </w:rPr>
        <w:t>legal</w:t>
      </w:r>
      <w:r>
        <w:rPr>
          <w:spacing w:val="-12"/>
          <w:sz w:val="20"/>
        </w:rPr>
        <w:t> </w:t>
      </w:r>
      <w:r>
        <w:rPr>
          <w:sz w:val="20"/>
        </w:rPr>
        <w:t>support</w:t>
      </w:r>
      <w:r>
        <w:rPr>
          <w:spacing w:val="-13"/>
          <w:sz w:val="20"/>
        </w:rPr>
        <w:t> </w:t>
      </w:r>
      <w:r>
        <w:rPr>
          <w:sz w:val="20"/>
        </w:rPr>
        <w:t>for</w:t>
      </w:r>
      <w:r>
        <w:rPr>
          <w:spacing w:val="-12"/>
          <w:sz w:val="20"/>
        </w:rPr>
        <w:t> </w:t>
      </w:r>
      <w:r>
        <w:rPr>
          <w:sz w:val="20"/>
        </w:rPr>
        <w:t>the</w:t>
      </w:r>
      <w:r>
        <w:rPr>
          <w:spacing w:val="-13"/>
          <w:sz w:val="20"/>
        </w:rPr>
        <w:t> </w:t>
      </w:r>
      <w:r>
        <w:rPr>
          <w:sz w:val="20"/>
        </w:rPr>
        <w:t>judicial</w:t>
      </w:r>
      <w:r>
        <w:rPr>
          <w:spacing w:val="-12"/>
          <w:sz w:val="20"/>
        </w:rPr>
        <w:t> </w:t>
      </w:r>
      <w:r>
        <w:rPr>
          <w:sz w:val="20"/>
        </w:rPr>
        <w:t>work</w:t>
      </w:r>
      <w:r>
        <w:rPr>
          <w:spacing w:val="-13"/>
          <w:sz w:val="20"/>
        </w:rPr>
        <w:t> </w:t>
      </w:r>
      <w:r>
        <w:rPr>
          <w:sz w:val="20"/>
        </w:rPr>
        <w:t>of</w:t>
      </w:r>
      <w:r>
        <w:rPr>
          <w:spacing w:val="-12"/>
          <w:sz w:val="20"/>
        </w:rPr>
        <w:t> </w:t>
      </w:r>
      <w:r>
        <w:rPr>
          <w:sz w:val="20"/>
        </w:rPr>
        <w:t>the</w:t>
      </w:r>
      <w:r>
        <w:rPr>
          <w:spacing w:val="-13"/>
          <w:sz w:val="20"/>
        </w:rPr>
        <w:t> </w:t>
      </w:r>
      <w:r>
        <w:rPr>
          <w:sz w:val="20"/>
        </w:rPr>
        <w:t>Chambers. The requested positions are required, </w:t>
      </w:r>
      <w:r>
        <w:rPr>
          <w:i/>
          <w:sz w:val="20"/>
        </w:rPr>
        <w:t>inter alia</w:t>
      </w:r>
      <w:r>
        <w:rPr>
          <w:sz w:val="20"/>
        </w:rPr>
        <w:t>, to provide the following specific support: analysis</w:t>
      </w:r>
      <w:r>
        <w:rPr>
          <w:spacing w:val="40"/>
          <w:sz w:val="20"/>
        </w:rPr>
        <w:t> </w:t>
      </w:r>
      <w:r>
        <w:rPr>
          <w:sz w:val="20"/>
        </w:rPr>
        <w:t>and</w:t>
      </w:r>
      <w:r>
        <w:rPr>
          <w:spacing w:val="40"/>
          <w:sz w:val="20"/>
        </w:rPr>
        <w:t> </w:t>
      </w:r>
      <w:r>
        <w:rPr>
          <w:sz w:val="20"/>
        </w:rPr>
        <w:t>summarization</w:t>
      </w:r>
      <w:r>
        <w:rPr>
          <w:spacing w:val="40"/>
          <w:sz w:val="20"/>
        </w:rPr>
        <w:t> </w:t>
      </w:r>
      <w:r>
        <w:rPr>
          <w:sz w:val="20"/>
        </w:rPr>
        <w:t>of</w:t>
      </w:r>
      <w:r>
        <w:rPr>
          <w:spacing w:val="40"/>
          <w:sz w:val="20"/>
        </w:rPr>
        <w:t> </w:t>
      </w:r>
      <w:r>
        <w:rPr>
          <w:sz w:val="20"/>
        </w:rPr>
        <w:t>large</w:t>
      </w:r>
      <w:r>
        <w:rPr>
          <w:spacing w:val="40"/>
          <w:sz w:val="20"/>
        </w:rPr>
        <w:t> </w:t>
      </w:r>
      <w:r>
        <w:rPr>
          <w:sz w:val="20"/>
        </w:rPr>
        <w:t>volumes</w:t>
      </w:r>
      <w:r>
        <w:rPr>
          <w:spacing w:val="40"/>
          <w:sz w:val="20"/>
        </w:rPr>
        <w:t> </w:t>
      </w:r>
      <w:r>
        <w:rPr>
          <w:sz w:val="20"/>
        </w:rPr>
        <w:t>of</w:t>
      </w:r>
      <w:r>
        <w:rPr>
          <w:spacing w:val="40"/>
          <w:sz w:val="20"/>
        </w:rPr>
        <w:t> </w:t>
      </w:r>
      <w:r>
        <w:rPr>
          <w:sz w:val="20"/>
        </w:rPr>
        <w:t>evidence</w:t>
      </w:r>
      <w:r>
        <w:rPr>
          <w:spacing w:val="40"/>
          <w:sz w:val="20"/>
        </w:rPr>
        <w:t> </w:t>
      </w:r>
      <w:r>
        <w:rPr>
          <w:sz w:val="20"/>
        </w:rPr>
        <w:t>and</w:t>
      </w:r>
      <w:r>
        <w:rPr>
          <w:spacing w:val="40"/>
          <w:sz w:val="20"/>
        </w:rPr>
        <w:t> </w:t>
      </w:r>
      <w:r>
        <w:rPr>
          <w:sz w:val="20"/>
        </w:rPr>
        <w:t>submissions;</w:t>
      </w:r>
      <w:r>
        <w:rPr>
          <w:spacing w:val="40"/>
          <w:sz w:val="20"/>
        </w:rPr>
        <w:t> </w:t>
      </w:r>
      <w:r>
        <w:rPr>
          <w:sz w:val="20"/>
        </w:rPr>
        <w:t>in-court note-taking</w:t>
      </w:r>
      <w:r>
        <w:rPr>
          <w:spacing w:val="-13"/>
          <w:sz w:val="20"/>
        </w:rPr>
        <w:t> </w:t>
      </w:r>
      <w:r>
        <w:rPr>
          <w:sz w:val="20"/>
        </w:rPr>
        <w:t>and</w:t>
      </w:r>
      <w:r>
        <w:rPr>
          <w:spacing w:val="-12"/>
          <w:sz w:val="20"/>
        </w:rPr>
        <w:t> </w:t>
      </w:r>
      <w:r>
        <w:rPr>
          <w:sz w:val="20"/>
        </w:rPr>
        <w:t>summarization</w:t>
      </w:r>
      <w:r>
        <w:rPr>
          <w:spacing w:val="-13"/>
          <w:sz w:val="20"/>
        </w:rPr>
        <w:t> </w:t>
      </w:r>
      <w:r>
        <w:rPr>
          <w:sz w:val="20"/>
        </w:rPr>
        <w:t>of</w:t>
      </w:r>
      <w:r>
        <w:rPr>
          <w:spacing w:val="-12"/>
          <w:sz w:val="20"/>
        </w:rPr>
        <w:t> </w:t>
      </w:r>
      <w:r>
        <w:rPr>
          <w:sz w:val="20"/>
        </w:rPr>
        <w:t>hearings;</w:t>
      </w:r>
      <w:r>
        <w:rPr>
          <w:spacing w:val="-13"/>
          <w:sz w:val="20"/>
        </w:rPr>
        <w:t> </w:t>
      </w:r>
      <w:r>
        <w:rPr>
          <w:sz w:val="20"/>
        </w:rPr>
        <w:t>liaison</w:t>
      </w:r>
      <w:r>
        <w:rPr>
          <w:spacing w:val="-12"/>
          <w:sz w:val="20"/>
        </w:rPr>
        <w:t> </w:t>
      </w:r>
      <w:r>
        <w:rPr>
          <w:sz w:val="20"/>
        </w:rPr>
        <w:t>with</w:t>
      </w:r>
      <w:r>
        <w:rPr>
          <w:spacing w:val="-13"/>
          <w:sz w:val="20"/>
        </w:rPr>
        <w:t> </w:t>
      </w:r>
      <w:r>
        <w:rPr>
          <w:sz w:val="20"/>
        </w:rPr>
        <w:t>the</w:t>
      </w:r>
      <w:r>
        <w:rPr>
          <w:spacing w:val="-12"/>
          <w:sz w:val="20"/>
        </w:rPr>
        <w:t> </w:t>
      </w:r>
      <w:r>
        <w:rPr>
          <w:sz w:val="20"/>
        </w:rPr>
        <w:t>Registry,</w:t>
      </w:r>
      <w:r>
        <w:rPr>
          <w:spacing w:val="-13"/>
          <w:sz w:val="20"/>
        </w:rPr>
        <w:t> </w:t>
      </w:r>
      <w:r>
        <w:rPr>
          <w:sz w:val="20"/>
        </w:rPr>
        <w:t>parties</w:t>
      </w:r>
      <w:r>
        <w:rPr>
          <w:spacing w:val="-12"/>
          <w:sz w:val="20"/>
        </w:rPr>
        <w:t> </w:t>
      </w:r>
      <w:r>
        <w:rPr>
          <w:sz w:val="20"/>
        </w:rPr>
        <w:t>and</w:t>
      </w:r>
      <w:r>
        <w:rPr>
          <w:spacing w:val="-13"/>
          <w:sz w:val="20"/>
        </w:rPr>
        <w:t> </w:t>
      </w:r>
      <w:r>
        <w:rPr>
          <w:sz w:val="20"/>
        </w:rPr>
        <w:t>participants, where</w:t>
      </w:r>
      <w:r>
        <w:rPr>
          <w:spacing w:val="-13"/>
          <w:sz w:val="20"/>
        </w:rPr>
        <w:t> </w:t>
      </w:r>
      <w:r>
        <w:rPr>
          <w:sz w:val="20"/>
        </w:rPr>
        <w:t>needed;</w:t>
      </w:r>
      <w:r>
        <w:rPr>
          <w:spacing w:val="-12"/>
          <w:sz w:val="20"/>
        </w:rPr>
        <w:t> </w:t>
      </w:r>
      <w:r>
        <w:rPr>
          <w:sz w:val="20"/>
        </w:rPr>
        <w:t>analysis</w:t>
      </w:r>
      <w:r>
        <w:rPr>
          <w:spacing w:val="-13"/>
          <w:sz w:val="20"/>
        </w:rPr>
        <w:t> </w:t>
      </w:r>
      <w:r>
        <w:rPr>
          <w:sz w:val="20"/>
        </w:rPr>
        <w:t>of</w:t>
      </w:r>
      <w:r>
        <w:rPr>
          <w:spacing w:val="-12"/>
          <w:sz w:val="20"/>
        </w:rPr>
        <w:t> </w:t>
      </w:r>
      <w:r>
        <w:rPr>
          <w:sz w:val="20"/>
        </w:rPr>
        <w:t>applications</w:t>
      </w:r>
      <w:r>
        <w:rPr>
          <w:spacing w:val="-13"/>
          <w:sz w:val="20"/>
        </w:rPr>
        <w:t> </w:t>
      </w:r>
      <w:r>
        <w:rPr>
          <w:sz w:val="20"/>
        </w:rPr>
        <w:t>for</w:t>
      </w:r>
      <w:r>
        <w:rPr>
          <w:spacing w:val="-12"/>
          <w:sz w:val="20"/>
        </w:rPr>
        <w:t> </w:t>
      </w:r>
      <w:r>
        <w:rPr>
          <w:sz w:val="20"/>
        </w:rPr>
        <w:t>reparations;</w:t>
      </w:r>
      <w:r>
        <w:rPr>
          <w:spacing w:val="-12"/>
          <w:sz w:val="20"/>
        </w:rPr>
        <w:t> </w:t>
      </w:r>
      <w:r>
        <w:rPr>
          <w:sz w:val="20"/>
        </w:rPr>
        <w:t>and</w:t>
      </w:r>
      <w:r>
        <w:rPr>
          <w:spacing w:val="-9"/>
          <w:sz w:val="20"/>
        </w:rPr>
        <w:t> </w:t>
      </w:r>
      <w:r>
        <w:rPr>
          <w:sz w:val="20"/>
        </w:rPr>
        <w:t>performance</w:t>
      </w:r>
      <w:r>
        <w:rPr>
          <w:spacing w:val="-8"/>
          <w:sz w:val="20"/>
        </w:rPr>
        <w:t> </w:t>
      </w:r>
      <w:r>
        <w:rPr>
          <w:sz w:val="20"/>
        </w:rPr>
        <w:t>of</w:t>
      </w:r>
      <w:r>
        <w:rPr>
          <w:spacing w:val="-9"/>
          <w:sz w:val="20"/>
        </w:rPr>
        <w:t> </w:t>
      </w:r>
      <w:r>
        <w:rPr>
          <w:sz w:val="20"/>
        </w:rPr>
        <w:t>any</w:t>
      </w:r>
      <w:r>
        <w:rPr>
          <w:spacing w:val="-9"/>
          <w:sz w:val="20"/>
        </w:rPr>
        <w:t> </w:t>
      </w:r>
      <w:r>
        <w:rPr>
          <w:sz w:val="20"/>
        </w:rPr>
        <w:t>other</w:t>
      </w:r>
      <w:r>
        <w:rPr>
          <w:spacing w:val="-9"/>
          <w:sz w:val="20"/>
        </w:rPr>
        <w:t> </w:t>
      </w:r>
      <w:r>
        <w:rPr>
          <w:sz w:val="20"/>
        </w:rPr>
        <w:t>relevant tasks necessary to ensure the proper functioning of the divisions.</w:t>
      </w:r>
    </w:p>
    <w:p>
      <w:pPr>
        <w:pStyle w:val="ListParagraph"/>
        <w:numPr>
          <w:ilvl w:val="0"/>
          <w:numId w:val="4"/>
        </w:numPr>
        <w:tabs>
          <w:tab w:pos="2967" w:val="left" w:leader="none"/>
        </w:tabs>
        <w:spacing w:line="240" w:lineRule="auto" w:before="123" w:after="0"/>
        <w:ind w:left="2246" w:right="2239" w:firstLine="0"/>
        <w:jc w:val="both"/>
        <w:rPr>
          <w:sz w:val="20"/>
        </w:rPr>
      </w:pPr>
      <w:r>
        <w:rPr>
          <w:sz w:val="20"/>
        </w:rPr>
        <w:t>Eleven</w:t>
      </w:r>
      <w:r>
        <w:rPr>
          <w:spacing w:val="-13"/>
          <w:sz w:val="20"/>
        </w:rPr>
        <w:t> </w:t>
      </w:r>
      <w:r>
        <w:rPr>
          <w:i/>
          <w:sz w:val="20"/>
        </w:rPr>
        <w:t>Associate</w:t>
      </w:r>
      <w:r>
        <w:rPr>
          <w:i/>
          <w:spacing w:val="-12"/>
          <w:sz w:val="20"/>
        </w:rPr>
        <w:t> </w:t>
      </w:r>
      <w:r>
        <w:rPr>
          <w:i/>
          <w:sz w:val="20"/>
        </w:rPr>
        <w:t>Legal</w:t>
      </w:r>
      <w:r>
        <w:rPr>
          <w:i/>
          <w:spacing w:val="-13"/>
          <w:sz w:val="20"/>
        </w:rPr>
        <w:t> </w:t>
      </w:r>
      <w:r>
        <w:rPr>
          <w:i/>
          <w:sz w:val="20"/>
        </w:rPr>
        <w:t>Officers</w:t>
      </w:r>
      <w:r>
        <w:rPr>
          <w:i/>
          <w:spacing w:val="-12"/>
          <w:sz w:val="20"/>
        </w:rPr>
        <w:t> </w:t>
      </w:r>
      <w:r>
        <w:rPr>
          <w:i/>
          <w:sz w:val="20"/>
        </w:rPr>
        <w:t>(P-2),</w:t>
      </w:r>
      <w:r>
        <w:rPr>
          <w:i/>
          <w:spacing w:val="-13"/>
          <w:sz w:val="20"/>
        </w:rPr>
        <w:t> </w:t>
      </w:r>
      <w:r>
        <w:rPr>
          <w:i/>
          <w:sz w:val="20"/>
        </w:rPr>
        <w:t>funded</w:t>
      </w:r>
      <w:r>
        <w:rPr>
          <w:i/>
          <w:spacing w:val="-12"/>
          <w:sz w:val="20"/>
        </w:rPr>
        <w:t> </w:t>
      </w:r>
      <w:r>
        <w:rPr>
          <w:i/>
          <w:sz w:val="20"/>
        </w:rPr>
        <w:t>for</w:t>
      </w:r>
      <w:r>
        <w:rPr>
          <w:i/>
          <w:spacing w:val="-13"/>
          <w:sz w:val="20"/>
        </w:rPr>
        <w:t> </w:t>
      </w:r>
      <w:r>
        <w:rPr>
          <w:i/>
          <w:sz w:val="20"/>
        </w:rPr>
        <w:t>a</w:t>
      </w:r>
      <w:r>
        <w:rPr>
          <w:i/>
          <w:spacing w:val="-12"/>
          <w:sz w:val="20"/>
        </w:rPr>
        <w:t> </w:t>
      </w:r>
      <w:r>
        <w:rPr>
          <w:i/>
          <w:sz w:val="20"/>
        </w:rPr>
        <w:t>total</w:t>
      </w:r>
      <w:r>
        <w:rPr>
          <w:i/>
          <w:spacing w:val="-12"/>
          <w:sz w:val="20"/>
        </w:rPr>
        <w:t> </w:t>
      </w:r>
      <w:r>
        <w:rPr>
          <w:i/>
          <w:sz w:val="20"/>
        </w:rPr>
        <w:t>of</w:t>
      </w:r>
      <w:r>
        <w:rPr>
          <w:i/>
          <w:spacing w:val="-12"/>
          <w:sz w:val="20"/>
        </w:rPr>
        <w:t> </w:t>
      </w:r>
      <w:r>
        <w:rPr>
          <w:i/>
          <w:sz w:val="20"/>
        </w:rPr>
        <w:t>132</w:t>
      </w:r>
      <w:r>
        <w:rPr>
          <w:i/>
          <w:spacing w:val="-8"/>
          <w:sz w:val="20"/>
        </w:rPr>
        <w:t> </w:t>
      </w:r>
      <w:r>
        <w:rPr>
          <w:i/>
          <w:sz w:val="20"/>
        </w:rPr>
        <w:t>months.</w:t>
      </w:r>
      <w:r>
        <w:rPr>
          <w:i/>
          <w:spacing w:val="-11"/>
          <w:sz w:val="20"/>
        </w:rPr>
        <w:t> </w:t>
      </w:r>
      <w:r>
        <w:rPr>
          <w:i/>
          <w:sz w:val="20"/>
        </w:rPr>
        <w:t>New.</w:t>
      </w:r>
      <w:r>
        <w:rPr>
          <w:i/>
          <w:spacing w:val="-11"/>
          <w:sz w:val="20"/>
        </w:rPr>
        <w:t> </w:t>
      </w:r>
      <w:r>
        <w:rPr>
          <w:i/>
          <w:sz w:val="20"/>
        </w:rPr>
        <w:t>Multi-</w:t>
      </w:r>
      <w:r>
        <w:rPr>
          <w:i/>
          <w:sz w:val="20"/>
        </w:rPr>
        <w:t> year</w:t>
      </w:r>
      <w:r>
        <w:rPr>
          <w:sz w:val="20"/>
        </w:rPr>
        <w:t>.</w:t>
      </w:r>
      <w:r>
        <w:rPr>
          <w:spacing w:val="-9"/>
          <w:sz w:val="20"/>
        </w:rPr>
        <w:t> </w:t>
      </w:r>
      <w:r>
        <w:rPr>
          <w:sz w:val="20"/>
        </w:rPr>
        <w:t>These</w:t>
      </w:r>
      <w:r>
        <w:rPr>
          <w:spacing w:val="-13"/>
          <w:sz w:val="20"/>
        </w:rPr>
        <w:t> </w:t>
      </w:r>
      <w:r>
        <w:rPr>
          <w:sz w:val="20"/>
        </w:rPr>
        <w:t>legal</w:t>
      </w:r>
      <w:r>
        <w:rPr>
          <w:spacing w:val="-8"/>
          <w:sz w:val="20"/>
        </w:rPr>
        <w:t> </w:t>
      </w:r>
      <w:r>
        <w:rPr>
          <w:sz w:val="20"/>
        </w:rPr>
        <w:t>staff</w:t>
      </w:r>
      <w:r>
        <w:rPr>
          <w:spacing w:val="-9"/>
          <w:sz w:val="20"/>
        </w:rPr>
        <w:t> </w:t>
      </w:r>
      <w:r>
        <w:rPr>
          <w:sz w:val="20"/>
        </w:rPr>
        <w:t>will</w:t>
      </w:r>
      <w:r>
        <w:rPr>
          <w:spacing w:val="-8"/>
          <w:sz w:val="20"/>
        </w:rPr>
        <w:t> </w:t>
      </w:r>
      <w:r>
        <w:rPr>
          <w:sz w:val="20"/>
        </w:rPr>
        <w:t>provide</w:t>
      </w:r>
      <w:r>
        <w:rPr>
          <w:spacing w:val="-13"/>
          <w:sz w:val="20"/>
        </w:rPr>
        <w:t> </w:t>
      </w:r>
      <w:r>
        <w:rPr>
          <w:sz w:val="20"/>
        </w:rPr>
        <w:t>essential,</w:t>
      </w:r>
      <w:r>
        <w:rPr>
          <w:spacing w:val="-12"/>
          <w:sz w:val="20"/>
        </w:rPr>
        <w:t> </w:t>
      </w:r>
      <w:r>
        <w:rPr>
          <w:sz w:val="20"/>
        </w:rPr>
        <w:t>supplementary</w:t>
      </w:r>
      <w:r>
        <w:rPr>
          <w:spacing w:val="-13"/>
          <w:sz w:val="20"/>
        </w:rPr>
        <w:t> </w:t>
      </w:r>
      <w:r>
        <w:rPr>
          <w:sz w:val="20"/>
        </w:rPr>
        <w:t>legal</w:t>
      </w:r>
      <w:r>
        <w:rPr>
          <w:spacing w:val="-8"/>
          <w:sz w:val="20"/>
        </w:rPr>
        <w:t> </w:t>
      </w:r>
      <w:r>
        <w:rPr>
          <w:sz w:val="20"/>
        </w:rPr>
        <w:t>support</w:t>
      </w:r>
      <w:r>
        <w:rPr>
          <w:spacing w:val="-8"/>
          <w:sz w:val="20"/>
        </w:rPr>
        <w:t> </w:t>
      </w:r>
      <w:r>
        <w:rPr>
          <w:sz w:val="20"/>
        </w:rPr>
        <w:t>in</w:t>
      </w:r>
      <w:r>
        <w:rPr>
          <w:spacing w:val="-9"/>
          <w:sz w:val="20"/>
        </w:rPr>
        <w:t> </w:t>
      </w:r>
      <w:r>
        <w:rPr>
          <w:sz w:val="20"/>
        </w:rPr>
        <w:t>Chambers</w:t>
      </w:r>
      <w:r>
        <w:rPr>
          <w:spacing w:val="-11"/>
          <w:sz w:val="20"/>
        </w:rPr>
        <w:t> </w:t>
      </w:r>
      <w:r>
        <w:rPr>
          <w:sz w:val="20"/>
        </w:rPr>
        <w:t>in</w:t>
      </w:r>
      <w:r>
        <w:rPr>
          <w:spacing w:val="-9"/>
          <w:sz w:val="20"/>
        </w:rPr>
        <w:t> </w:t>
      </w:r>
      <w:r>
        <w:rPr>
          <w:sz w:val="20"/>
        </w:rPr>
        <w:t>the light</w:t>
      </w:r>
      <w:r>
        <w:rPr>
          <w:spacing w:val="-3"/>
          <w:sz w:val="20"/>
        </w:rPr>
        <w:t> </w:t>
      </w:r>
      <w:r>
        <w:rPr>
          <w:sz w:val="20"/>
        </w:rPr>
        <w:t>of</w:t>
      </w:r>
      <w:r>
        <w:rPr>
          <w:spacing w:val="-9"/>
          <w:sz w:val="20"/>
        </w:rPr>
        <w:t> </w:t>
      </w:r>
      <w:r>
        <w:rPr>
          <w:sz w:val="20"/>
        </w:rPr>
        <w:t>the</w:t>
      </w:r>
      <w:r>
        <w:rPr>
          <w:spacing w:val="-3"/>
          <w:sz w:val="20"/>
        </w:rPr>
        <w:t> </w:t>
      </w:r>
      <w:r>
        <w:rPr>
          <w:sz w:val="20"/>
        </w:rPr>
        <w:t>workload</w:t>
      </w:r>
      <w:r>
        <w:rPr>
          <w:spacing w:val="-9"/>
          <w:sz w:val="20"/>
        </w:rPr>
        <w:t> </w:t>
      </w:r>
      <w:r>
        <w:rPr>
          <w:sz w:val="20"/>
        </w:rPr>
        <w:t>resulting</w:t>
      </w:r>
      <w:r>
        <w:rPr>
          <w:spacing w:val="-5"/>
          <w:sz w:val="20"/>
        </w:rPr>
        <w:t> </w:t>
      </w:r>
      <w:r>
        <w:rPr>
          <w:sz w:val="20"/>
        </w:rPr>
        <w:t>from</w:t>
      </w:r>
      <w:r>
        <w:rPr>
          <w:spacing w:val="-8"/>
          <w:sz w:val="20"/>
        </w:rPr>
        <w:t> </w:t>
      </w:r>
      <w:r>
        <w:rPr>
          <w:sz w:val="20"/>
        </w:rPr>
        <w:t>the</w:t>
      </w:r>
      <w:r>
        <w:rPr>
          <w:spacing w:val="-3"/>
          <w:sz w:val="20"/>
        </w:rPr>
        <w:t> </w:t>
      </w:r>
      <w:r>
        <w:rPr>
          <w:sz w:val="20"/>
        </w:rPr>
        <w:t>Yekatom</w:t>
      </w:r>
      <w:r>
        <w:rPr>
          <w:spacing w:val="-8"/>
          <w:sz w:val="20"/>
        </w:rPr>
        <w:t> </w:t>
      </w:r>
      <w:r>
        <w:rPr>
          <w:sz w:val="20"/>
        </w:rPr>
        <w:t>and</w:t>
      </w:r>
      <w:r>
        <w:rPr>
          <w:spacing w:val="-9"/>
          <w:sz w:val="20"/>
        </w:rPr>
        <w:t> </w:t>
      </w:r>
      <w:r>
        <w:rPr>
          <w:sz w:val="20"/>
        </w:rPr>
        <w:t>Ngaïssona,</w:t>
      </w:r>
      <w:r>
        <w:rPr>
          <w:spacing w:val="-7"/>
          <w:sz w:val="20"/>
        </w:rPr>
        <w:t> </w:t>
      </w:r>
      <w:r>
        <w:rPr>
          <w:sz w:val="20"/>
        </w:rPr>
        <w:t>Said,</w:t>
      </w:r>
      <w:r>
        <w:rPr>
          <w:spacing w:val="-2"/>
          <w:sz w:val="20"/>
        </w:rPr>
        <w:t> </w:t>
      </w:r>
      <w:r>
        <w:rPr>
          <w:sz w:val="20"/>
        </w:rPr>
        <w:t>Abd-Al-Rahman</w:t>
      </w:r>
      <w:r>
        <w:rPr>
          <w:spacing w:val="-5"/>
          <w:sz w:val="20"/>
        </w:rPr>
        <w:t> </w:t>
      </w:r>
      <w:r>
        <w:rPr>
          <w:sz w:val="20"/>
        </w:rPr>
        <w:t>and Al</w:t>
      </w:r>
      <w:r>
        <w:rPr>
          <w:spacing w:val="-3"/>
          <w:sz w:val="20"/>
        </w:rPr>
        <w:t> </w:t>
      </w:r>
      <w:r>
        <w:rPr>
          <w:sz w:val="20"/>
        </w:rPr>
        <w:t>Hassan</w:t>
      </w:r>
      <w:r>
        <w:rPr>
          <w:spacing w:val="-8"/>
          <w:sz w:val="20"/>
        </w:rPr>
        <w:t> </w:t>
      </w:r>
      <w:r>
        <w:rPr>
          <w:sz w:val="20"/>
        </w:rPr>
        <w:t>trials</w:t>
      </w:r>
      <w:r>
        <w:rPr>
          <w:spacing w:val="-10"/>
          <w:sz w:val="20"/>
        </w:rPr>
        <w:t> </w:t>
      </w:r>
      <w:r>
        <w:rPr>
          <w:sz w:val="20"/>
        </w:rPr>
        <w:t>and</w:t>
      </w:r>
      <w:r>
        <w:rPr>
          <w:spacing w:val="-5"/>
          <w:sz w:val="20"/>
        </w:rPr>
        <w:t> </w:t>
      </w:r>
      <w:r>
        <w:rPr>
          <w:sz w:val="20"/>
        </w:rPr>
        <w:t>pre-trial</w:t>
      </w:r>
      <w:r>
        <w:rPr>
          <w:spacing w:val="-8"/>
          <w:sz w:val="20"/>
        </w:rPr>
        <w:t> </w:t>
      </w:r>
      <w:r>
        <w:rPr>
          <w:sz w:val="20"/>
        </w:rPr>
        <w:t>activity.</w:t>
      </w:r>
      <w:r>
        <w:rPr>
          <w:spacing w:val="-7"/>
          <w:sz w:val="20"/>
        </w:rPr>
        <w:t> </w:t>
      </w:r>
      <w:r>
        <w:rPr>
          <w:sz w:val="20"/>
        </w:rPr>
        <w:t>As</w:t>
      </w:r>
      <w:r>
        <w:rPr>
          <w:spacing w:val="-6"/>
          <w:sz w:val="20"/>
        </w:rPr>
        <w:t> </w:t>
      </w:r>
      <w:r>
        <w:rPr>
          <w:sz w:val="20"/>
        </w:rPr>
        <w:t>with</w:t>
      </w:r>
      <w:r>
        <w:rPr>
          <w:spacing w:val="-8"/>
          <w:sz w:val="20"/>
        </w:rPr>
        <w:t> </w:t>
      </w:r>
      <w:r>
        <w:rPr>
          <w:sz w:val="20"/>
        </w:rPr>
        <w:t>other</w:t>
      </w:r>
      <w:r>
        <w:rPr>
          <w:spacing w:val="-13"/>
          <w:sz w:val="20"/>
        </w:rPr>
        <w:t> </w:t>
      </w:r>
      <w:r>
        <w:rPr>
          <w:sz w:val="20"/>
        </w:rPr>
        <w:t>cases,</w:t>
      </w:r>
      <w:r>
        <w:rPr>
          <w:spacing w:val="-6"/>
          <w:sz w:val="20"/>
        </w:rPr>
        <w:t> </w:t>
      </w:r>
      <w:r>
        <w:rPr>
          <w:sz w:val="20"/>
        </w:rPr>
        <w:t>this</w:t>
      </w:r>
      <w:r>
        <w:rPr>
          <w:spacing w:val="-6"/>
          <w:sz w:val="20"/>
        </w:rPr>
        <w:t> </w:t>
      </w:r>
      <w:r>
        <w:rPr>
          <w:sz w:val="20"/>
        </w:rPr>
        <w:t>support</w:t>
      </w:r>
      <w:r>
        <w:rPr>
          <w:spacing w:val="-8"/>
          <w:sz w:val="20"/>
        </w:rPr>
        <w:t> </w:t>
      </w:r>
      <w:r>
        <w:rPr>
          <w:sz w:val="20"/>
        </w:rPr>
        <w:t>will</w:t>
      </w:r>
      <w:r>
        <w:rPr>
          <w:spacing w:val="-8"/>
          <w:sz w:val="20"/>
        </w:rPr>
        <w:t> </w:t>
      </w:r>
      <w:r>
        <w:rPr>
          <w:sz w:val="20"/>
        </w:rPr>
        <w:t>be</w:t>
      </w:r>
      <w:r>
        <w:rPr>
          <w:spacing w:val="-8"/>
          <w:sz w:val="20"/>
        </w:rPr>
        <w:t> </w:t>
      </w:r>
      <w:r>
        <w:rPr>
          <w:sz w:val="20"/>
        </w:rPr>
        <w:t>needed</w:t>
      </w:r>
      <w:r>
        <w:rPr>
          <w:spacing w:val="-8"/>
          <w:sz w:val="20"/>
        </w:rPr>
        <w:t> </w:t>
      </w:r>
      <w:r>
        <w:rPr>
          <w:sz w:val="20"/>
        </w:rPr>
        <w:t>during pre-trial proceedings, trial preparation and trial hearings. As with the existing GTA-funded P-2 resource requests in respect of the other cases before the Chambers, these eleven positions are required, </w:t>
      </w:r>
      <w:r>
        <w:rPr>
          <w:i/>
          <w:sz w:val="20"/>
        </w:rPr>
        <w:t>inter alia</w:t>
      </w:r>
      <w:r>
        <w:rPr>
          <w:sz w:val="20"/>
        </w:rPr>
        <w:t>, to provide the following specific support: assisting with pre-trial proceedings, trial preparation and trial hearings (as needed); analysis of filings in the case and drafting of decisions and orders; analysis of large volumes of evidence and related submissions; in-court note-taking and summarization; liaison with the Registry, parties and participants, where needed; analysis of applications for reparations; and performance of any other relevant tasks necessary to adequately support the Chambers.</w:t>
      </w:r>
    </w:p>
    <w:p>
      <w:pPr>
        <w:pStyle w:val="BodyText"/>
        <w:rPr>
          <w:sz w:val="21"/>
        </w:rPr>
      </w:pPr>
    </w:p>
    <w:p>
      <w:pPr>
        <w:pStyle w:val="Heading3"/>
        <w:tabs>
          <w:tab w:pos="6080" w:val="left" w:leader="none"/>
        </w:tabs>
        <w:ind w:left="1"/>
        <w:jc w:val="center"/>
      </w:pPr>
      <w:r>
        <w:rPr/>
        <w:t>Non-staff</w:t>
      </w:r>
      <w:r>
        <w:rPr>
          <w:spacing w:val="-4"/>
        </w:rPr>
        <w:t> </w:t>
      </w:r>
      <w:r>
        <w:rPr>
          <w:spacing w:val="-2"/>
        </w:rPr>
        <w:t>resources</w:t>
      </w:r>
      <w:r>
        <w:rPr/>
        <w:tab/>
        <w:t>€21.5</w:t>
      </w:r>
      <w:r>
        <w:rPr>
          <w:spacing w:val="-3"/>
        </w:rPr>
        <w:t> </w:t>
      </w:r>
      <w:r>
        <w:rPr>
          <w:spacing w:val="-2"/>
        </w:rPr>
        <w:t>thousand</w:t>
      </w:r>
    </w:p>
    <w:p>
      <w:pPr>
        <w:pStyle w:val="BodyText"/>
        <w:spacing w:before="5"/>
        <w:rPr>
          <w:b/>
        </w:rPr>
      </w:pPr>
    </w:p>
    <w:p>
      <w:pPr>
        <w:pStyle w:val="ListParagraph"/>
        <w:numPr>
          <w:ilvl w:val="0"/>
          <w:numId w:val="4"/>
        </w:numPr>
        <w:tabs>
          <w:tab w:pos="2967" w:val="left" w:leader="none"/>
        </w:tabs>
        <w:spacing w:line="240" w:lineRule="auto" w:before="1" w:after="0"/>
        <w:ind w:left="2246" w:right="2249" w:firstLine="0"/>
        <w:jc w:val="both"/>
        <w:rPr>
          <w:sz w:val="20"/>
        </w:rPr>
      </w:pPr>
      <w:r>
        <w:rPr>
          <w:sz w:val="20"/>
        </w:rPr>
        <w:t>Non-staff</w:t>
      </w:r>
      <w:r>
        <w:rPr>
          <w:spacing w:val="-4"/>
          <w:sz w:val="20"/>
        </w:rPr>
        <w:t> </w:t>
      </w:r>
      <w:r>
        <w:rPr>
          <w:sz w:val="20"/>
        </w:rPr>
        <w:t>resources</w:t>
      </w:r>
      <w:r>
        <w:rPr>
          <w:spacing w:val="-5"/>
          <w:sz w:val="20"/>
        </w:rPr>
        <w:t> </w:t>
      </w:r>
      <w:r>
        <w:rPr>
          <w:sz w:val="20"/>
        </w:rPr>
        <w:t>are</w:t>
      </w:r>
      <w:r>
        <w:rPr>
          <w:spacing w:val="-3"/>
          <w:sz w:val="20"/>
        </w:rPr>
        <w:t> </w:t>
      </w:r>
      <w:r>
        <w:rPr>
          <w:sz w:val="20"/>
        </w:rPr>
        <w:t>required</w:t>
      </w:r>
      <w:r>
        <w:rPr>
          <w:spacing w:val="-4"/>
          <w:sz w:val="20"/>
        </w:rPr>
        <w:t> </w:t>
      </w:r>
      <w:r>
        <w:rPr>
          <w:sz w:val="20"/>
        </w:rPr>
        <w:t>for</w:t>
      </w:r>
      <w:r>
        <w:rPr>
          <w:spacing w:val="-4"/>
          <w:sz w:val="20"/>
        </w:rPr>
        <w:t> </w:t>
      </w:r>
      <w:r>
        <w:rPr>
          <w:sz w:val="20"/>
        </w:rPr>
        <w:t>hospitality</w:t>
      </w:r>
      <w:r>
        <w:rPr>
          <w:spacing w:val="-4"/>
          <w:sz w:val="20"/>
        </w:rPr>
        <w:t> </w:t>
      </w:r>
      <w:r>
        <w:rPr>
          <w:sz w:val="20"/>
        </w:rPr>
        <w:t>and</w:t>
      </w:r>
      <w:r>
        <w:rPr>
          <w:spacing w:val="-4"/>
          <w:sz w:val="20"/>
        </w:rPr>
        <w:t> </w:t>
      </w:r>
      <w:r>
        <w:rPr>
          <w:sz w:val="20"/>
        </w:rPr>
        <w:t>training.</w:t>
      </w:r>
      <w:r>
        <w:rPr>
          <w:spacing w:val="-2"/>
          <w:sz w:val="20"/>
        </w:rPr>
        <w:t> </w:t>
      </w:r>
      <w:r>
        <w:rPr>
          <w:sz w:val="20"/>
        </w:rPr>
        <w:t>The</w:t>
      </w:r>
      <w:r>
        <w:rPr>
          <w:spacing w:val="-3"/>
          <w:sz w:val="20"/>
        </w:rPr>
        <w:t> </w:t>
      </w:r>
      <w:r>
        <w:rPr>
          <w:sz w:val="20"/>
        </w:rPr>
        <w:t>requested</w:t>
      </w:r>
      <w:r>
        <w:rPr>
          <w:spacing w:val="-4"/>
          <w:sz w:val="20"/>
        </w:rPr>
        <w:t> </w:t>
      </w:r>
      <w:r>
        <w:rPr>
          <w:sz w:val="20"/>
        </w:rPr>
        <w:t>amount remains the same as the amount approved for 2022.</w:t>
      </w:r>
    </w:p>
    <w:p>
      <w:pPr>
        <w:pStyle w:val="BodyText"/>
        <w:spacing w:before="10"/>
      </w:pPr>
    </w:p>
    <w:p>
      <w:pPr>
        <w:tabs>
          <w:tab w:pos="6241" w:val="left" w:leader="none"/>
        </w:tabs>
        <w:spacing w:before="0"/>
        <w:ind w:left="4" w:right="0" w:firstLine="0"/>
        <w:jc w:val="center"/>
        <w:rPr>
          <w:i/>
          <w:sz w:val="20"/>
        </w:rPr>
      </w:pPr>
      <w:r>
        <w:rPr>
          <w:i/>
          <w:spacing w:val="-2"/>
          <w:sz w:val="20"/>
        </w:rPr>
        <w:t>Hospitality</w:t>
      </w:r>
      <w:r>
        <w:rPr>
          <w:i/>
          <w:sz w:val="20"/>
        </w:rPr>
        <w:tab/>
        <w:t>€1.0</w:t>
      </w:r>
      <w:r>
        <w:rPr>
          <w:i/>
          <w:spacing w:val="-8"/>
          <w:sz w:val="20"/>
        </w:rPr>
        <w:t> </w:t>
      </w:r>
      <w:r>
        <w:rPr>
          <w:i/>
          <w:spacing w:val="-2"/>
          <w:sz w:val="20"/>
        </w:rPr>
        <w:t>thousand</w:t>
      </w:r>
    </w:p>
    <w:p>
      <w:pPr>
        <w:pStyle w:val="BodyText"/>
        <w:spacing w:before="11"/>
        <w:rPr>
          <w:i/>
        </w:rPr>
      </w:pPr>
    </w:p>
    <w:p>
      <w:pPr>
        <w:pStyle w:val="ListParagraph"/>
        <w:numPr>
          <w:ilvl w:val="0"/>
          <w:numId w:val="4"/>
        </w:numPr>
        <w:tabs>
          <w:tab w:pos="2967" w:val="left" w:leader="none"/>
        </w:tabs>
        <w:spacing w:line="240" w:lineRule="auto" w:before="0" w:after="0"/>
        <w:ind w:left="2246" w:right="2239" w:firstLine="0"/>
        <w:jc w:val="both"/>
        <w:rPr>
          <w:sz w:val="20"/>
        </w:rPr>
      </w:pPr>
      <w:r>
        <w:rPr>
          <w:sz w:val="20"/>
        </w:rPr>
        <w:t>The</w:t>
      </w:r>
      <w:r>
        <w:rPr>
          <w:spacing w:val="-13"/>
          <w:sz w:val="20"/>
        </w:rPr>
        <w:t> </w:t>
      </w:r>
      <w:r>
        <w:rPr>
          <w:sz w:val="20"/>
        </w:rPr>
        <w:t>requested</w:t>
      </w:r>
      <w:r>
        <w:rPr>
          <w:spacing w:val="-12"/>
          <w:sz w:val="20"/>
        </w:rPr>
        <w:t> </w:t>
      </w:r>
      <w:r>
        <w:rPr>
          <w:sz w:val="20"/>
        </w:rPr>
        <w:t>amount</w:t>
      </w:r>
      <w:r>
        <w:rPr>
          <w:spacing w:val="-13"/>
          <w:sz w:val="20"/>
        </w:rPr>
        <w:t> </w:t>
      </w:r>
      <w:r>
        <w:rPr>
          <w:sz w:val="20"/>
        </w:rPr>
        <w:t>remains</w:t>
      </w:r>
      <w:r>
        <w:rPr>
          <w:spacing w:val="-12"/>
          <w:sz w:val="20"/>
        </w:rPr>
        <w:t> </w:t>
      </w:r>
      <w:r>
        <w:rPr>
          <w:sz w:val="20"/>
        </w:rPr>
        <w:t>unchanged</w:t>
      </w:r>
      <w:r>
        <w:rPr>
          <w:spacing w:val="-13"/>
          <w:sz w:val="20"/>
        </w:rPr>
        <w:t> </w:t>
      </w:r>
      <w:r>
        <w:rPr>
          <w:sz w:val="20"/>
        </w:rPr>
        <w:t>and</w:t>
      </w:r>
      <w:r>
        <w:rPr>
          <w:spacing w:val="-12"/>
          <w:sz w:val="20"/>
        </w:rPr>
        <w:t> </w:t>
      </w:r>
      <w:r>
        <w:rPr>
          <w:sz w:val="20"/>
        </w:rPr>
        <w:t>is</w:t>
      </w:r>
      <w:r>
        <w:rPr>
          <w:spacing w:val="-13"/>
          <w:sz w:val="20"/>
        </w:rPr>
        <w:t> </w:t>
      </w:r>
      <w:r>
        <w:rPr>
          <w:sz w:val="20"/>
        </w:rPr>
        <w:t>necessary</w:t>
      </w:r>
      <w:r>
        <w:rPr>
          <w:spacing w:val="-12"/>
          <w:sz w:val="20"/>
        </w:rPr>
        <w:t> </w:t>
      </w:r>
      <w:r>
        <w:rPr>
          <w:sz w:val="20"/>
        </w:rPr>
        <w:t>to</w:t>
      </w:r>
      <w:r>
        <w:rPr>
          <w:spacing w:val="-13"/>
          <w:sz w:val="20"/>
        </w:rPr>
        <w:t> </w:t>
      </w:r>
      <w:r>
        <w:rPr>
          <w:sz w:val="20"/>
        </w:rPr>
        <w:t>cover</w:t>
      </w:r>
      <w:r>
        <w:rPr>
          <w:spacing w:val="-12"/>
          <w:sz w:val="20"/>
        </w:rPr>
        <w:t> </w:t>
      </w:r>
      <w:r>
        <w:rPr>
          <w:sz w:val="20"/>
        </w:rPr>
        <w:t>hospitality</w:t>
      </w:r>
      <w:r>
        <w:rPr>
          <w:spacing w:val="-13"/>
          <w:sz w:val="20"/>
        </w:rPr>
        <w:t> </w:t>
      </w:r>
      <w:r>
        <w:rPr>
          <w:sz w:val="20"/>
        </w:rPr>
        <w:t>costs associated</w:t>
      </w:r>
      <w:r>
        <w:rPr>
          <w:spacing w:val="-8"/>
          <w:sz w:val="20"/>
        </w:rPr>
        <w:t> </w:t>
      </w:r>
      <w:r>
        <w:rPr>
          <w:sz w:val="20"/>
        </w:rPr>
        <w:t>with</w:t>
      </w:r>
      <w:r>
        <w:rPr>
          <w:spacing w:val="-8"/>
          <w:sz w:val="20"/>
        </w:rPr>
        <w:t> </w:t>
      </w:r>
      <w:r>
        <w:rPr>
          <w:sz w:val="20"/>
        </w:rPr>
        <w:t>visits</w:t>
      </w:r>
      <w:r>
        <w:rPr>
          <w:spacing w:val="-10"/>
          <w:sz w:val="20"/>
        </w:rPr>
        <w:t> </w:t>
      </w:r>
      <w:r>
        <w:rPr>
          <w:sz w:val="20"/>
        </w:rPr>
        <w:t>to</w:t>
      </w:r>
      <w:r>
        <w:rPr>
          <w:spacing w:val="-13"/>
          <w:sz w:val="20"/>
        </w:rPr>
        <w:t> </w:t>
      </w:r>
      <w:r>
        <w:rPr>
          <w:sz w:val="20"/>
        </w:rPr>
        <w:t>judges</w:t>
      </w:r>
      <w:r>
        <w:rPr>
          <w:spacing w:val="-5"/>
          <w:sz w:val="20"/>
        </w:rPr>
        <w:t> </w:t>
      </w:r>
      <w:r>
        <w:rPr>
          <w:sz w:val="20"/>
        </w:rPr>
        <w:t>by</w:t>
      </w:r>
      <w:r>
        <w:rPr>
          <w:spacing w:val="-8"/>
          <w:sz w:val="20"/>
        </w:rPr>
        <w:t> </w:t>
      </w:r>
      <w:r>
        <w:rPr>
          <w:sz w:val="20"/>
        </w:rPr>
        <w:t>diplomatic</w:t>
      </w:r>
      <w:r>
        <w:rPr>
          <w:spacing w:val="-11"/>
          <w:sz w:val="20"/>
        </w:rPr>
        <w:t> </w:t>
      </w:r>
      <w:r>
        <w:rPr>
          <w:sz w:val="20"/>
        </w:rPr>
        <w:t>and</w:t>
      </w:r>
      <w:r>
        <w:rPr>
          <w:spacing w:val="-8"/>
          <w:sz w:val="20"/>
        </w:rPr>
        <w:t> </w:t>
      </w:r>
      <w:r>
        <w:rPr>
          <w:sz w:val="20"/>
        </w:rPr>
        <w:t>other</w:t>
      </w:r>
      <w:r>
        <w:rPr>
          <w:spacing w:val="-13"/>
          <w:sz w:val="20"/>
        </w:rPr>
        <w:t> </w:t>
      </w:r>
      <w:r>
        <w:rPr>
          <w:sz w:val="20"/>
        </w:rPr>
        <w:t>high-level</w:t>
      </w:r>
      <w:r>
        <w:rPr>
          <w:spacing w:val="-7"/>
          <w:sz w:val="20"/>
        </w:rPr>
        <w:t> </w:t>
      </w:r>
      <w:r>
        <w:rPr>
          <w:sz w:val="20"/>
        </w:rPr>
        <w:t>visitors,</w:t>
      </w:r>
      <w:r>
        <w:rPr>
          <w:spacing w:val="-6"/>
          <w:sz w:val="20"/>
        </w:rPr>
        <w:t> </w:t>
      </w:r>
      <w:r>
        <w:rPr>
          <w:sz w:val="20"/>
        </w:rPr>
        <w:t>such</w:t>
      </w:r>
      <w:r>
        <w:rPr>
          <w:spacing w:val="-8"/>
          <w:sz w:val="20"/>
        </w:rPr>
        <w:t> </w:t>
      </w:r>
      <w:r>
        <w:rPr>
          <w:sz w:val="20"/>
        </w:rPr>
        <w:t>as</w:t>
      </w:r>
      <w:r>
        <w:rPr>
          <w:spacing w:val="-10"/>
          <w:sz w:val="20"/>
        </w:rPr>
        <w:t> </w:t>
      </w:r>
      <w:r>
        <w:rPr>
          <w:sz w:val="20"/>
        </w:rPr>
        <w:t>renowned legal scholars and figures of the international legal community. These costs are recurrent.</w:t>
      </w:r>
    </w:p>
    <w:p>
      <w:pPr>
        <w:pStyle w:val="BodyText"/>
        <w:rPr>
          <w:sz w:val="21"/>
        </w:rPr>
      </w:pPr>
    </w:p>
    <w:p>
      <w:pPr>
        <w:tabs>
          <w:tab w:pos="6140" w:val="left" w:leader="none"/>
        </w:tabs>
        <w:spacing w:before="0"/>
        <w:ind w:left="3" w:right="0" w:firstLine="0"/>
        <w:jc w:val="center"/>
        <w:rPr>
          <w:i/>
          <w:sz w:val="20"/>
        </w:rPr>
      </w:pPr>
      <w:r>
        <w:rPr>
          <w:i/>
          <w:spacing w:val="-2"/>
          <w:sz w:val="20"/>
        </w:rPr>
        <w:t>Training</w:t>
      </w:r>
      <w:r>
        <w:rPr>
          <w:i/>
          <w:sz w:val="20"/>
        </w:rPr>
        <w:tab/>
        <w:t>€20.5</w:t>
      </w:r>
      <w:r>
        <w:rPr>
          <w:i/>
          <w:spacing w:val="-3"/>
          <w:sz w:val="20"/>
        </w:rPr>
        <w:t> </w:t>
      </w:r>
      <w:r>
        <w:rPr>
          <w:i/>
          <w:spacing w:val="-2"/>
          <w:sz w:val="20"/>
        </w:rPr>
        <w:t>thousand</w:t>
      </w:r>
    </w:p>
    <w:p>
      <w:pPr>
        <w:pStyle w:val="BodyText"/>
        <w:spacing w:before="11"/>
        <w:rPr>
          <w:i/>
        </w:rPr>
      </w:pPr>
    </w:p>
    <w:p>
      <w:pPr>
        <w:pStyle w:val="ListParagraph"/>
        <w:numPr>
          <w:ilvl w:val="0"/>
          <w:numId w:val="4"/>
        </w:numPr>
        <w:tabs>
          <w:tab w:pos="2967" w:val="left" w:leader="none"/>
        </w:tabs>
        <w:spacing w:line="240" w:lineRule="auto" w:before="0" w:after="0"/>
        <w:ind w:left="2246" w:right="2243" w:firstLine="0"/>
        <w:jc w:val="both"/>
        <w:rPr>
          <w:sz w:val="20"/>
        </w:rPr>
      </w:pPr>
      <w:r>
        <w:rPr>
          <w:sz w:val="20"/>
        </w:rPr>
        <w:t>The requested amount remains the same as that approved for the 2022 budget. Funding</w:t>
      </w:r>
      <w:r>
        <w:rPr>
          <w:spacing w:val="-7"/>
          <w:sz w:val="20"/>
        </w:rPr>
        <w:t> </w:t>
      </w:r>
      <w:r>
        <w:rPr>
          <w:sz w:val="20"/>
        </w:rPr>
        <w:t>is</w:t>
      </w:r>
      <w:r>
        <w:rPr>
          <w:spacing w:val="-9"/>
          <w:sz w:val="20"/>
        </w:rPr>
        <w:t> </w:t>
      </w:r>
      <w:r>
        <w:rPr>
          <w:sz w:val="20"/>
        </w:rPr>
        <w:t>composed</w:t>
      </w:r>
      <w:r>
        <w:rPr>
          <w:spacing w:val="-7"/>
          <w:sz w:val="20"/>
        </w:rPr>
        <w:t> </w:t>
      </w:r>
      <w:r>
        <w:rPr>
          <w:sz w:val="20"/>
        </w:rPr>
        <w:t>of</w:t>
      </w:r>
      <w:r>
        <w:rPr>
          <w:spacing w:val="-7"/>
          <w:sz w:val="20"/>
        </w:rPr>
        <w:t> </w:t>
      </w:r>
      <w:r>
        <w:rPr>
          <w:sz w:val="20"/>
        </w:rPr>
        <w:t>€13.3</w:t>
      </w:r>
      <w:r>
        <w:rPr>
          <w:spacing w:val="-7"/>
          <w:sz w:val="20"/>
        </w:rPr>
        <w:t> </w:t>
      </w:r>
      <w:r>
        <w:rPr>
          <w:sz w:val="20"/>
        </w:rPr>
        <w:t>thousand</w:t>
      </w:r>
      <w:r>
        <w:rPr>
          <w:spacing w:val="-7"/>
          <w:sz w:val="20"/>
        </w:rPr>
        <w:t> </w:t>
      </w:r>
      <w:r>
        <w:rPr>
          <w:sz w:val="20"/>
        </w:rPr>
        <w:t>for</w:t>
      </w:r>
      <w:r>
        <w:rPr>
          <w:spacing w:val="-7"/>
          <w:sz w:val="20"/>
        </w:rPr>
        <w:t> </w:t>
      </w:r>
      <w:r>
        <w:rPr>
          <w:sz w:val="20"/>
        </w:rPr>
        <w:t>staff</w:t>
      </w:r>
      <w:r>
        <w:rPr>
          <w:spacing w:val="-7"/>
          <w:sz w:val="20"/>
        </w:rPr>
        <w:t> </w:t>
      </w:r>
      <w:r>
        <w:rPr>
          <w:sz w:val="20"/>
        </w:rPr>
        <w:t>training</w:t>
      </w:r>
      <w:r>
        <w:rPr>
          <w:spacing w:val="-7"/>
          <w:sz w:val="20"/>
        </w:rPr>
        <w:t> </w:t>
      </w:r>
      <w:r>
        <w:rPr>
          <w:sz w:val="20"/>
        </w:rPr>
        <w:t>and</w:t>
      </w:r>
      <w:r>
        <w:rPr>
          <w:spacing w:val="-12"/>
          <w:sz w:val="20"/>
        </w:rPr>
        <w:t> </w:t>
      </w:r>
      <w:r>
        <w:rPr>
          <w:sz w:val="20"/>
        </w:rPr>
        <w:t>an</w:t>
      </w:r>
      <w:r>
        <w:rPr>
          <w:spacing w:val="-7"/>
          <w:sz w:val="20"/>
        </w:rPr>
        <w:t> </w:t>
      </w:r>
      <w:r>
        <w:rPr>
          <w:sz w:val="20"/>
        </w:rPr>
        <w:t>additional</w:t>
      </w:r>
      <w:r>
        <w:rPr>
          <w:spacing w:val="-6"/>
          <w:sz w:val="20"/>
        </w:rPr>
        <w:t> </w:t>
      </w:r>
      <w:r>
        <w:rPr>
          <w:sz w:val="20"/>
        </w:rPr>
        <w:t>€7.2</w:t>
      </w:r>
      <w:r>
        <w:rPr>
          <w:spacing w:val="-7"/>
          <w:sz w:val="20"/>
        </w:rPr>
        <w:t> </w:t>
      </w:r>
      <w:r>
        <w:rPr>
          <w:sz w:val="20"/>
        </w:rPr>
        <w:t>thousand</w:t>
      </w:r>
      <w:r>
        <w:rPr>
          <w:spacing w:val="-7"/>
          <w:sz w:val="20"/>
        </w:rPr>
        <w:t> </w:t>
      </w:r>
      <w:r>
        <w:rPr>
          <w:sz w:val="20"/>
        </w:rPr>
        <w:t>for judges’</w:t>
      </w:r>
      <w:r>
        <w:rPr>
          <w:spacing w:val="-13"/>
          <w:sz w:val="20"/>
        </w:rPr>
        <w:t> </w:t>
      </w:r>
      <w:r>
        <w:rPr>
          <w:sz w:val="20"/>
        </w:rPr>
        <w:t>training.</w:t>
      </w:r>
      <w:r>
        <w:rPr>
          <w:spacing w:val="-12"/>
          <w:sz w:val="20"/>
        </w:rPr>
        <w:t> </w:t>
      </w:r>
      <w:r>
        <w:rPr>
          <w:sz w:val="20"/>
        </w:rPr>
        <w:t>The</w:t>
      </w:r>
      <w:r>
        <w:rPr>
          <w:spacing w:val="-13"/>
          <w:sz w:val="20"/>
        </w:rPr>
        <w:t> </w:t>
      </w:r>
      <w:r>
        <w:rPr>
          <w:sz w:val="20"/>
        </w:rPr>
        <w:t>amount</w:t>
      </w:r>
      <w:r>
        <w:rPr>
          <w:spacing w:val="-12"/>
          <w:sz w:val="20"/>
        </w:rPr>
        <w:t> </w:t>
      </w:r>
      <w:r>
        <w:rPr>
          <w:sz w:val="20"/>
        </w:rPr>
        <w:t>for</w:t>
      </w:r>
      <w:r>
        <w:rPr>
          <w:spacing w:val="-10"/>
          <w:sz w:val="20"/>
        </w:rPr>
        <w:t> </w:t>
      </w:r>
      <w:r>
        <w:rPr>
          <w:sz w:val="20"/>
        </w:rPr>
        <w:t>staff</w:t>
      </w:r>
      <w:r>
        <w:rPr>
          <w:spacing w:val="-13"/>
          <w:sz w:val="20"/>
        </w:rPr>
        <w:t> </w:t>
      </w:r>
      <w:r>
        <w:rPr>
          <w:sz w:val="20"/>
        </w:rPr>
        <w:t>training</w:t>
      </w:r>
      <w:r>
        <w:rPr>
          <w:spacing w:val="-12"/>
          <w:sz w:val="20"/>
        </w:rPr>
        <w:t> </w:t>
      </w:r>
      <w:r>
        <w:rPr>
          <w:sz w:val="20"/>
        </w:rPr>
        <w:t>is</w:t>
      </w:r>
      <w:r>
        <w:rPr>
          <w:spacing w:val="-11"/>
          <w:sz w:val="20"/>
        </w:rPr>
        <w:t> </w:t>
      </w:r>
      <w:r>
        <w:rPr>
          <w:sz w:val="20"/>
        </w:rPr>
        <w:t>required</w:t>
      </w:r>
      <w:r>
        <w:rPr>
          <w:spacing w:val="-9"/>
          <w:sz w:val="20"/>
        </w:rPr>
        <w:t> </w:t>
      </w:r>
      <w:r>
        <w:rPr>
          <w:sz w:val="20"/>
        </w:rPr>
        <w:t>for</w:t>
      </w:r>
      <w:r>
        <w:rPr>
          <w:spacing w:val="-13"/>
          <w:sz w:val="20"/>
        </w:rPr>
        <w:t> </w:t>
      </w:r>
      <w:r>
        <w:rPr>
          <w:sz w:val="20"/>
        </w:rPr>
        <w:t>the</w:t>
      </w:r>
      <w:r>
        <w:rPr>
          <w:spacing w:val="-8"/>
          <w:sz w:val="20"/>
        </w:rPr>
        <w:t> </w:t>
      </w:r>
      <w:r>
        <w:rPr>
          <w:sz w:val="20"/>
        </w:rPr>
        <w:t>development</w:t>
      </w:r>
      <w:r>
        <w:rPr>
          <w:spacing w:val="-13"/>
          <w:sz w:val="20"/>
        </w:rPr>
        <w:t> </w:t>
      </w:r>
      <w:r>
        <w:rPr>
          <w:sz w:val="20"/>
        </w:rPr>
        <w:t>of</w:t>
      </w:r>
      <w:r>
        <w:rPr>
          <w:spacing w:val="-9"/>
          <w:sz w:val="20"/>
        </w:rPr>
        <w:t> </w:t>
      </w:r>
      <w:r>
        <w:rPr>
          <w:sz w:val="20"/>
        </w:rPr>
        <w:t>professional skills, including legal writing and linguistic capacity-building, specialized training on new developments</w:t>
      </w:r>
      <w:r>
        <w:rPr>
          <w:spacing w:val="-13"/>
          <w:sz w:val="20"/>
        </w:rPr>
        <w:t> </w:t>
      </w:r>
      <w:r>
        <w:rPr>
          <w:sz w:val="20"/>
        </w:rPr>
        <w:t>in</w:t>
      </w:r>
      <w:r>
        <w:rPr>
          <w:spacing w:val="-12"/>
          <w:sz w:val="20"/>
        </w:rPr>
        <w:t> </w:t>
      </w:r>
      <w:r>
        <w:rPr>
          <w:sz w:val="20"/>
        </w:rPr>
        <w:t>international</w:t>
      </w:r>
      <w:r>
        <w:rPr>
          <w:spacing w:val="-13"/>
          <w:sz w:val="20"/>
        </w:rPr>
        <w:t> </w:t>
      </w:r>
      <w:r>
        <w:rPr>
          <w:sz w:val="20"/>
        </w:rPr>
        <w:t>humanitarian</w:t>
      </w:r>
      <w:r>
        <w:rPr>
          <w:spacing w:val="-12"/>
          <w:sz w:val="20"/>
        </w:rPr>
        <w:t> </w:t>
      </w:r>
      <w:r>
        <w:rPr>
          <w:sz w:val="20"/>
        </w:rPr>
        <w:t>law,</w:t>
      </w:r>
      <w:r>
        <w:rPr>
          <w:spacing w:val="-13"/>
          <w:sz w:val="20"/>
        </w:rPr>
        <w:t> </w:t>
      </w:r>
      <w:r>
        <w:rPr>
          <w:sz w:val="20"/>
        </w:rPr>
        <w:t>international</w:t>
      </w:r>
      <w:r>
        <w:rPr>
          <w:spacing w:val="-12"/>
          <w:sz w:val="20"/>
        </w:rPr>
        <w:t> </w:t>
      </w:r>
      <w:r>
        <w:rPr>
          <w:sz w:val="20"/>
        </w:rPr>
        <w:t>criminal</w:t>
      </w:r>
      <w:r>
        <w:rPr>
          <w:spacing w:val="-13"/>
          <w:sz w:val="20"/>
        </w:rPr>
        <w:t> </w:t>
      </w:r>
      <w:r>
        <w:rPr>
          <w:sz w:val="20"/>
        </w:rPr>
        <w:t>law,</w:t>
      </w:r>
      <w:r>
        <w:rPr>
          <w:spacing w:val="-12"/>
          <w:sz w:val="20"/>
        </w:rPr>
        <w:t> </w:t>
      </w:r>
      <w:r>
        <w:rPr>
          <w:sz w:val="20"/>
        </w:rPr>
        <w:t>human</w:t>
      </w:r>
      <w:r>
        <w:rPr>
          <w:spacing w:val="-13"/>
          <w:sz w:val="20"/>
        </w:rPr>
        <w:t> </w:t>
      </w:r>
      <w:r>
        <w:rPr>
          <w:sz w:val="20"/>
        </w:rPr>
        <w:t>rights</w:t>
      </w:r>
      <w:r>
        <w:rPr>
          <w:spacing w:val="-12"/>
          <w:sz w:val="20"/>
        </w:rPr>
        <w:t> </w:t>
      </w:r>
      <w:r>
        <w:rPr>
          <w:sz w:val="20"/>
        </w:rPr>
        <w:t>law and evidence (e.g. digital forensics), and further development of coordination, communication,</w:t>
      </w:r>
      <w:r>
        <w:rPr>
          <w:spacing w:val="-13"/>
          <w:sz w:val="20"/>
        </w:rPr>
        <w:t> </w:t>
      </w:r>
      <w:r>
        <w:rPr>
          <w:sz w:val="20"/>
        </w:rPr>
        <w:t>managerial</w:t>
      </w:r>
      <w:r>
        <w:rPr>
          <w:spacing w:val="-12"/>
          <w:sz w:val="20"/>
        </w:rPr>
        <w:t> </w:t>
      </w:r>
      <w:r>
        <w:rPr>
          <w:sz w:val="20"/>
        </w:rPr>
        <w:t>and</w:t>
      </w:r>
      <w:r>
        <w:rPr>
          <w:spacing w:val="-13"/>
          <w:sz w:val="20"/>
        </w:rPr>
        <w:t> </w:t>
      </w:r>
      <w:r>
        <w:rPr>
          <w:sz w:val="20"/>
        </w:rPr>
        <w:t>leadership</w:t>
      </w:r>
      <w:r>
        <w:rPr>
          <w:spacing w:val="-12"/>
          <w:sz w:val="20"/>
        </w:rPr>
        <w:t> </w:t>
      </w:r>
      <w:r>
        <w:rPr>
          <w:sz w:val="20"/>
        </w:rPr>
        <w:t>skills.</w:t>
      </w:r>
      <w:r>
        <w:rPr>
          <w:spacing w:val="-13"/>
          <w:sz w:val="20"/>
        </w:rPr>
        <w:t> </w:t>
      </w:r>
      <w:r>
        <w:rPr>
          <w:sz w:val="20"/>
        </w:rPr>
        <w:t>The</w:t>
      </w:r>
      <w:r>
        <w:rPr>
          <w:spacing w:val="-12"/>
          <w:sz w:val="20"/>
        </w:rPr>
        <w:t> </w:t>
      </w:r>
      <w:r>
        <w:rPr>
          <w:sz w:val="20"/>
        </w:rPr>
        <w:t>amount</w:t>
      </w:r>
      <w:r>
        <w:rPr>
          <w:spacing w:val="-11"/>
          <w:sz w:val="20"/>
        </w:rPr>
        <w:t> </w:t>
      </w:r>
      <w:r>
        <w:rPr>
          <w:sz w:val="20"/>
        </w:rPr>
        <w:t>earmarked</w:t>
      </w:r>
      <w:r>
        <w:rPr>
          <w:spacing w:val="-13"/>
          <w:sz w:val="20"/>
        </w:rPr>
        <w:t> </w:t>
      </w:r>
      <w:r>
        <w:rPr>
          <w:sz w:val="20"/>
        </w:rPr>
        <w:t>for</w:t>
      </w:r>
      <w:r>
        <w:rPr>
          <w:spacing w:val="-12"/>
          <w:sz w:val="20"/>
        </w:rPr>
        <w:t> </w:t>
      </w:r>
      <w:r>
        <w:rPr>
          <w:sz w:val="20"/>
        </w:rPr>
        <w:t>judges’</w:t>
      </w:r>
      <w:r>
        <w:rPr>
          <w:spacing w:val="-13"/>
          <w:sz w:val="20"/>
        </w:rPr>
        <w:t> </w:t>
      </w:r>
      <w:r>
        <w:rPr>
          <w:sz w:val="20"/>
        </w:rPr>
        <w:t>training will be used to fund language immersion programmes for the judges. These costs are </w:t>
      </w:r>
      <w:r>
        <w:rPr>
          <w:spacing w:val="-2"/>
          <w:sz w:val="20"/>
        </w:rPr>
        <w:t>recurrent.</w:t>
      </w:r>
    </w:p>
    <w:p>
      <w:pPr>
        <w:spacing w:after="0" w:line="240" w:lineRule="auto"/>
        <w:jc w:val="both"/>
        <w:rPr>
          <w:sz w:val="20"/>
        </w:rPr>
        <w:sectPr>
          <w:pgSz w:w="11910" w:h="16840"/>
          <w:pgMar w:header="957" w:footer="940" w:top="1140" w:bottom="1140" w:left="20" w:right="20"/>
        </w:sectPr>
      </w:pPr>
    </w:p>
    <w:p>
      <w:pPr>
        <w:pStyle w:val="Heading3"/>
        <w:spacing w:before="124"/>
      </w:pPr>
      <w:r>
        <w:rPr/>
        <w:pict>
          <v:rect style="position:absolute;margin-left:55.223999pt;margin-top:-.06405pt;width:484.99pt;height:.24pt;mso-position-horizontal-relative:page;mso-position-vertical-relative:paragraph;z-index:15739904" id="docshape67" filled="true" fillcolor="#000000" stroked="false">
            <v:fill type="solid"/>
            <w10:wrap type="none"/>
          </v:rect>
        </w:pict>
      </w:r>
      <w:r>
        <w:rPr/>
        <w:pict>
          <v:shape style="position:absolute;margin-left:56.664001pt;margin-top:17.695913pt;width:482.15pt;height:.5pt;mso-position-horizontal-relative:page;mso-position-vertical-relative:paragraph;z-index:15740416" id="docshape68" coordorigin="1133,354" coordsize="9643,10" path="m3597,354l3587,354,3587,354,1133,354,1133,364,3587,364,3587,364,3597,364,3597,354xm6867,354l6857,354,3597,354,3597,364,6857,364,6867,364,6867,354xm7966,354l6867,354,6867,364,7966,364,7966,354xm10775,354l9681,354,9671,354,9671,354,7976,354,7967,354,7967,364,7976,364,9671,364,9671,364,9681,364,10775,364,10775,354xe" filled="true" fillcolor="#000000" stroked="false">
            <v:path arrowok="t"/>
            <v:fill type="solid"/>
            <w10:wrap type="none"/>
          </v:shape>
        </w:pict>
      </w:r>
      <w:r>
        <w:rPr/>
        <w:t>Table</w:t>
      </w:r>
      <w:r>
        <w:rPr>
          <w:spacing w:val="-5"/>
        </w:rPr>
        <w:t> </w:t>
      </w:r>
      <w:r>
        <w:rPr/>
        <w:t>9:</w:t>
      </w:r>
      <w:r>
        <w:rPr>
          <w:spacing w:val="-7"/>
        </w:rPr>
        <w:t> </w:t>
      </w:r>
      <w:r>
        <w:rPr/>
        <w:t>Programme</w:t>
      </w:r>
      <w:r>
        <w:rPr>
          <w:spacing w:val="-5"/>
        </w:rPr>
        <w:t> </w:t>
      </w:r>
      <w:r>
        <w:rPr/>
        <w:t>1200:</w:t>
      </w:r>
      <w:r>
        <w:rPr>
          <w:spacing w:val="-7"/>
        </w:rPr>
        <w:t> </w:t>
      </w:r>
      <w:r>
        <w:rPr/>
        <w:t>Proposed</w:t>
      </w:r>
      <w:r>
        <w:rPr>
          <w:spacing w:val="-8"/>
        </w:rPr>
        <w:t> </w:t>
      </w:r>
      <w:r>
        <w:rPr/>
        <w:t>Budget</w:t>
      </w:r>
      <w:r>
        <w:rPr>
          <w:spacing w:val="-7"/>
        </w:rPr>
        <w:t> </w:t>
      </w:r>
      <w:r>
        <w:rPr/>
        <w:t>for</w:t>
      </w:r>
      <w:r>
        <w:rPr>
          <w:spacing w:val="-4"/>
        </w:rPr>
        <w:t> 2023</w:t>
      </w:r>
    </w:p>
    <w:p>
      <w:pPr>
        <w:tabs>
          <w:tab w:pos="3922" w:val="left" w:leader="none"/>
          <w:tab w:pos="6837" w:val="left" w:leader="none"/>
          <w:tab w:pos="7552" w:val="right" w:leader="none"/>
        </w:tabs>
        <w:spacing w:before="109"/>
        <w:ind w:left="3567" w:right="0" w:firstLine="0"/>
        <w:jc w:val="left"/>
        <w:rPr>
          <w:sz w:val="16"/>
        </w:rPr>
      </w:pPr>
      <w:r>
        <w:rPr/>
        <w:pict>
          <v:shape style="position:absolute;margin-left:56.664001pt;margin-top:45.59874pt;width:482.15pt;height:23.75pt;mso-position-horizontal-relative:page;mso-position-vertical-relative:paragraph;z-index:15740928" type="#_x0000_t202" id="docshape69"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54"/>
                    <w:gridCol w:w="3271"/>
                    <w:gridCol w:w="1300"/>
                    <w:gridCol w:w="935"/>
                    <w:gridCol w:w="786"/>
                    <w:gridCol w:w="900"/>
                  </w:tblGrid>
                  <w:tr>
                    <w:trPr>
                      <w:trHeight w:val="227" w:hRule="atLeast"/>
                    </w:trPr>
                    <w:tc>
                      <w:tcPr>
                        <w:tcW w:w="2454" w:type="dxa"/>
                        <w:tcBorders>
                          <w:top w:val="single" w:sz="4" w:space="0" w:color="000000"/>
                        </w:tcBorders>
                      </w:tcPr>
                      <w:p>
                        <w:pPr>
                          <w:pStyle w:val="TableParagraph"/>
                          <w:spacing w:before="23"/>
                          <w:ind w:left="110"/>
                          <w:jc w:val="left"/>
                          <w:rPr>
                            <w:sz w:val="16"/>
                          </w:rPr>
                        </w:pPr>
                        <w:r>
                          <w:rPr>
                            <w:w w:val="95"/>
                            <w:sz w:val="16"/>
                          </w:rPr>
                          <w:t>Professional</w:t>
                        </w:r>
                        <w:r>
                          <w:rPr>
                            <w:spacing w:val="28"/>
                            <w:sz w:val="16"/>
                          </w:rPr>
                          <w:t> </w:t>
                        </w:r>
                        <w:r>
                          <w:rPr>
                            <w:spacing w:val="-2"/>
                            <w:sz w:val="16"/>
                          </w:rPr>
                          <w:t>staff</w:t>
                        </w:r>
                      </w:p>
                    </w:tc>
                    <w:tc>
                      <w:tcPr>
                        <w:tcW w:w="3271" w:type="dxa"/>
                        <w:vMerge w:val="restart"/>
                        <w:tcBorders>
                          <w:top w:val="single" w:sz="4" w:space="0" w:color="000000"/>
                          <w:bottom w:val="single" w:sz="4" w:space="0" w:color="000000"/>
                        </w:tcBorders>
                        <w:shd w:val="clear" w:color="auto" w:fill="D9D9D9"/>
                      </w:tcPr>
                      <w:p>
                        <w:pPr>
                          <w:pStyle w:val="TableParagraph"/>
                          <w:jc w:val="left"/>
                          <w:rPr>
                            <w:sz w:val="14"/>
                          </w:rPr>
                        </w:pPr>
                      </w:p>
                    </w:tc>
                    <w:tc>
                      <w:tcPr>
                        <w:tcW w:w="1300" w:type="dxa"/>
                        <w:tcBorders>
                          <w:top w:val="single" w:sz="4" w:space="0" w:color="000000"/>
                        </w:tcBorders>
                      </w:tcPr>
                      <w:p>
                        <w:pPr>
                          <w:pStyle w:val="TableParagraph"/>
                          <w:spacing w:before="23"/>
                          <w:ind w:right="299"/>
                          <w:rPr>
                            <w:sz w:val="16"/>
                          </w:rPr>
                        </w:pPr>
                        <w:r>
                          <w:rPr>
                            <w:spacing w:val="-2"/>
                            <w:sz w:val="16"/>
                          </w:rPr>
                          <w:t>3,926.0</w:t>
                        </w:r>
                      </w:p>
                    </w:tc>
                    <w:tc>
                      <w:tcPr>
                        <w:tcW w:w="935" w:type="dxa"/>
                        <w:tcBorders>
                          <w:top w:val="single" w:sz="4" w:space="0" w:color="000000"/>
                        </w:tcBorders>
                      </w:tcPr>
                      <w:p>
                        <w:pPr>
                          <w:pStyle w:val="TableParagraph"/>
                          <w:spacing w:before="23"/>
                          <w:ind w:left="283" w:right="261"/>
                          <w:jc w:val="center"/>
                          <w:rPr>
                            <w:sz w:val="16"/>
                          </w:rPr>
                        </w:pPr>
                        <w:r>
                          <w:rPr>
                            <w:spacing w:val="-2"/>
                            <w:sz w:val="16"/>
                          </w:rPr>
                          <w:t>123.6</w:t>
                        </w:r>
                      </w:p>
                    </w:tc>
                    <w:tc>
                      <w:tcPr>
                        <w:tcW w:w="786" w:type="dxa"/>
                        <w:tcBorders>
                          <w:top w:val="single" w:sz="4" w:space="0" w:color="000000"/>
                        </w:tcBorders>
                      </w:tcPr>
                      <w:p>
                        <w:pPr>
                          <w:pStyle w:val="TableParagraph"/>
                          <w:spacing w:before="23"/>
                          <w:ind w:left="258" w:right="302"/>
                          <w:jc w:val="center"/>
                          <w:rPr>
                            <w:sz w:val="16"/>
                          </w:rPr>
                        </w:pPr>
                        <w:r>
                          <w:rPr>
                            <w:spacing w:val="-5"/>
                            <w:sz w:val="16"/>
                          </w:rPr>
                          <w:t>3.1</w:t>
                        </w:r>
                      </w:p>
                    </w:tc>
                    <w:tc>
                      <w:tcPr>
                        <w:tcW w:w="900" w:type="dxa"/>
                        <w:tcBorders>
                          <w:top w:val="single" w:sz="4" w:space="0" w:color="000000"/>
                        </w:tcBorders>
                      </w:tcPr>
                      <w:p>
                        <w:pPr>
                          <w:pStyle w:val="TableParagraph"/>
                          <w:spacing w:before="23"/>
                          <w:ind w:right="105"/>
                          <w:rPr>
                            <w:sz w:val="16"/>
                          </w:rPr>
                        </w:pPr>
                        <w:r>
                          <w:rPr>
                            <w:spacing w:val="-2"/>
                            <w:sz w:val="16"/>
                          </w:rPr>
                          <w:t>4,049.6</w:t>
                        </w:r>
                      </w:p>
                    </w:tc>
                  </w:tr>
                  <w:tr>
                    <w:trPr>
                      <w:trHeight w:val="218" w:hRule="atLeast"/>
                    </w:trPr>
                    <w:tc>
                      <w:tcPr>
                        <w:tcW w:w="2454" w:type="dxa"/>
                        <w:tcBorders>
                          <w:bottom w:val="single" w:sz="4" w:space="0" w:color="000000"/>
                        </w:tcBorders>
                      </w:tcPr>
                      <w:p>
                        <w:pPr>
                          <w:pStyle w:val="TableParagraph"/>
                          <w:spacing w:before="12"/>
                          <w:ind w:left="110"/>
                          <w:jc w:val="left"/>
                          <w:rPr>
                            <w:sz w:val="16"/>
                          </w:rPr>
                        </w:pPr>
                        <w:r>
                          <w:rPr>
                            <w:sz w:val="16"/>
                          </w:rPr>
                          <w:t>General</w:t>
                        </w:r>
                        <w:r>
                          <w:rPr>
                            <w:spacing w:val="-6"/>
                            <w:sz w:val="16"/>
                          </w:rPr>
                          <w:t> </w:t>
                        </w:r>
                        <w:r>
                          <w:rPr>
                            <w:sz w:val="16"/>
                          </w:rPr>
                          <w:t>Service</w:t>
                        </w:r>
                        <w:r>
                          <w:rPr>
                            <w:spacing w:val="-4"/>
                            <w:sz w:val="16"/>
                          </w:rPr>
                          <w:t> staff</w:t>
                        </w:r>
                      </w:p>
                    </w:tc>
                    <w:tc>
                      <w:tcPr>
                        <w:tcW w:w="3271" w:type="dxa"/>
                        <w:vMerge/>
                        <w:tcBorders>
                          <w:top w:val="nil"/>
                          <w:bottom w:val="single" w:sz="4" w:space="0" w:color="000000"/>
                        </w:tcBorders>
                        <w:shd w:val="clear" w:color="auto" w:fill="D9D9D9"/>
                      </w:tcPr>
                      <w:p>
                        <w:pPr>
                          <w:rPr>
                            <w:sz w:val="2"/>
                            <w:szCs w:val="2"/>
                          </w:rPr>
                        </w:pPr>
                      </w:p>
                    </w:tc>
                    <w:tc>
                      <w:tcPr>
                        <w:tcW w:w="1300" w:type="dxa"/>
                        <w:tcBorders>
                          <w:bottom w:val="single" w:sz="4" w:space="0" w:color="000000"/>
                        </w:tcBorders>
                      </w:tcPr>
                      <w:p>
                        <w:pPr>
                          <w:pStyle w:val="TableParagraph"/>
                          <w:spacing w:before="12"/>
                          <w:ind w:right="298"/>
                          <w:rPr>
                            <w:sz w:val="16"/>
                          </w:rPr>
                        </w:pPr>
                        <w:r>
                          <w:rPr>
                            <w:spacing w:val="-2"/>
                            <w:sz w:val="16"/>
                          </w:rPr>
                          <w:t>586.4</w:t>
                        </w:r>
                      </w:p>
                    </w:tc>
                    <w:tc>
                      <w:tcPr>
                        <w:tcW w:w="935" w:type="dxa"/>
                        <w:tcBorders>
                          <w:bottom w:val="single" w:sz="4" w:space="0" w:color="000000"/>
                        </w:tcBorders>
                      </w:tcPr>
                      <w:p>
                        <w:pPr>
                          <w:pStyle w:val="TableParagraph"/>
                          <w:spacing w:before="12"/>
                          <w:ind w:left="283" w:right="179"/>
                          <w:jc w:val="center"/>
                          <w:rPr>
                            <w:sz w:val="16"/>
                          </w:rPr>
                        </w:pPr>
                        <w:r>
                          <w:rPr>
                            <w:spacing w:val="-4"/>
                            <w:sz w:val="16"/>
                          </w:rPr>
                          <w:t>12.8</w:t>
                        </w:r>
                      </w:p>
                    </w:tc>
                    <w:tc>
                      <w:tcPr>
                        <w:tcW w:w="786" w:type="dxa"/>
                        <w:tcBorders>
                          <w:bottom w:val="single" w:sz="4" w:space="0" w:color="000000"/>
                        </w:tcBorders>
                      </w:tcPr>
                      <w:p>
                        <w:pPr>
                          <w:pStyle w:val="TableParagraph"/>
                          <w:spacing w:before="12"/>
                          <w:ind w:left="258" w:right="302"/>
                          <w:jc w:val="center"/>
                          <w:rPr>
                            <w:sz w:val="16"/>
                          </w:rPr>
                        </w:pPr>
                        <w:r>
                          <w:rPr>
                            <w:spacing w:val="-5"/>
                            <w:sz w:val="16"/>
                          </w:rPr>
                          <w:t>2.2</w:t>
                        </w:r>
                      </w:p>
                    </w:tc>
                    <w:tc>
                      <w:tcPr>
                        <w:tcW w:w="900" w:type="dxa"/>
                        <w:tcBorders>
                          <w:bottom w:val="single" w:sz="4" w:space="0" w:color="000000"/>
                        </w:tcBorders>
                      </w:tcPr>
                      <w:p>
                        <w:pPr>
                          <w:pStyle w:val="TableParagraph"/>
                          <w:spacing w:before="12"/>
                          <w:ind w:right="105"/>
                          <w:rPr>
                            <w:sz w:val="16"/>
                          </w:rPr>
                        </w:pPr>
                        <w:r>
                          <w:rPr>
                            <w:spacing w:val="-2"/>
                            <w:sz w:val="16"/>
                          </w:rPr>
                          <w:t>599.2</w:t>
                        </w:r>
                      </w:p>
                    </w:tc>
                  </w:tr>
                </w:tbl>
                <w:p>
                  <w:pPr>
                    <w:pStyle w:val="BodyText"/>
                  </w:pPr>
                </w:p>
              </w:txbxContent>
            </v:textbox>
            <w10:wrap type="none"/>
          </v:shape>
        </w:pict>
      </w:r>
      <w:r>
        <w:rPr>
          <w:sz w:val="16"/>
          <w:u w:val="single"/>
        </w:rPr>
        <w:tab/>
        <w:t>2021</w:t>
      </w:r>
      <w:r>
        <w:rPr>
          <w:spacing w:val="-3"/>
          <w:sz w:val="16"/>
          <w:u w:val="single"/>
        </w:rPr>
        <w:t> </w:t>
      </w:r>
      <w:r>
        <w:rPr>
          <w:sz w:val="16"/>
          <w:u w:val="single"/>
        </w:rPr>
        <w:t>Expenditures</w:t>
      </w:r>
      <w:r>
        <w:rPr>
          <w:spacing w:val="-4"/>
          <w:sz w:val="16"/>
          <w:u w:val="single"/>
        </w:rPr>
        <w:t> </w:t>
      </w:r>
      <w:r>
        <w:rPr>
          <w:sz w:val="16"/>
          <w:u w:val="single"/>
        </w:rPr>
        <w:t>(thousands</w:t>
      </w:r>
      <w:r>
        <w:rPr>
          <w:spacing w:val="-4"/>
          <w:sz w:val="16"/>
          <w:u w:val="single"/>
        </w:rPr>
        <w:t> </w:t>
      </w:r>
      <w:r>
        <w:rPr>
          <w:sz w:val="16"/>
          <w:u w:val="single"/>
        </w:rPr>
        <w:t>of</w:t>
      </w:r>
      <w:r>
        <w:rPr>
          <w:spacing w:val="-4"/>
          <w:sz w:val="16"/>
          <w:u w:val="single"/>
        </w:rPr>
        <w:t> </w:t>
      </w:r>
      <w:r>
        <w:rPr>
          <w:spacing w:val="-2"/>
          <w:sz w:val="16"/>
          <w:u w:val="single"/>
        </w:rPr>
        <w:t>euros)</w:t>
      </w:r>
      <w:r>
        <w:rPr>
          <w:sz w:val="16"/>
          <w:u w:val="single"/>
        </w:rPr>
        <w:tab/>
      </w:r>
      <w:r>
        <w:rPr>
          <w:sz w:val="16"/>
        </w:rPr>
        <w:tab/>
      </w:r>
      <w:r>
        <w:rPr>
          <w:spacing w:val="-4"/>
          <w:position w:val="2"/>
          <w:sz w:val="16"/>
        </w:rPr>
        <w:t>2022</w:t>
      </w:r>
    </w:p>
    <w:p>
      <w:pPr>
        <w:tabs>
          <w:tab w:pos="608" w:val="left" w:leader="none"/>
          <w:tab w:pos="2058" w:val="left" w:leader="none"/>
        </w:tabs>
        <w:spacing w:before="483"/>
        <w:ind w:left="354" w:right="0" w:firstLine="0"/>
        <w:jc w:val="left"/>
        <w:rPr>
          <w:sz w:val="16"/>
        </w:rPr>
      </w:pPr>
      <w:r>
        <w:rPr/>
        <w:br w:type="column"/>
      </w:r>
      <w:r>
        <w:rPr>
          <w:sz w:val="16"/>
          <w:u w:val="single"/>
        </w:rPr>
        <w:tab/>
        <w:t>Resource</w:t>
      </w:r>
      <w:r>
        <w:rPr>
          <w:spacing w:val="-2"/>
          <w:sz w:val="16"/>
          <w:u w:val="single"/>
        </w:rPr>
        <w:t> Changes</w:t>
      </w:r>
      <w:r>
        <w:rPr>
          <w:sz w:val="16"/>
          <w:u w:val="single"/>
        </w:rPr>
        <w:tab/>
      </w:r>
    </w:p>
    <w:p>
      <w:pPr>
        <w:spacing w:after="0"/>
        <w:jc w:val="left"/>
        <w:rPr>
          <w:sz w:val="16"/>
        </w:rPr>
        <w:sectPr>
          <w:headerReference w:type="even" r:id="rId19"/>
          <w:headerReference w:type="default" r:id="rId20"/>
          <w:footerReference w:type="even" r:id="rId21"/>
          <w:footerReference w:type="default" r:id="rId22"/>
          <w:pgSz w:w="11910" w:h="16840"/>
          <w:pgMar w:header="953" w:footer="940" w:top="1140" w:bottom="1140" w:left="20" w:right="20"/>
          <w:pgNumType w:start="34"/>
          <w:cols w:num="2" w:equalWidth="0">
            <w:col w:w="7553" w:space="40"/>
            <w:col w:w="4277"/>
          </w:cols>
        </w:sectPr>
      </w:pPr>
    </w:p>
    <w:tbl>
      <w:tblPr>
        <w:tblW w:w="0" w:type="auto"/>
        <w:jc w:val="left"/>
        <w:tblInd w:w="1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3"/>
        <w:gridCol w:w="1295"/>
        <w:gridCol w:w="1127"/>
        <w:gridCol w:w="1050"/>
        <w:gridCol w:w="1092"/>
        <w:gridCol w:w="1217"/>
        <w:gridCol w:w="978"/>
        <w:gridCol w:w="634"/>
        <w:gridCol w:w="1086"/>
      </w:tblGrid>
      <w:tr>
        <w:trPr>
          <w:trHeight w:val="361" w:hRule="atLeast"/>
        </w:trPr>
        <w:tc>
          <w:tcPr>
            <w:tcW w:w="1173" w:type="dxa"/>
            <w:tcBorders>
              <w:bottom w:val="single" w:sz="12" w:space="0" w:color="000000"/>
            </w:tcBorders>
          </w:tcPr>
          <w:p>
            <w:pPr>
              <w:pStyle w:val="TableParagraph"/>
              <w:spacing w:line="158" w:lineRule="exact"/>
              <w:ind w:left="124"/>
              <w:jc w:val="left"/>
              <w:rPr>
                <w:b/>
                <w:sz w:val="16"/>
              </w:rPr>
            </w:pPr>
            <w:r>
              <w:rPr>
                <w:b/>
                <w:spacing w:val="-4"/>
                <w:sz w:val="16"/>
              </w:rPr>
              <w:t>1200</w:t>
            </w:r>
          </w:p>
          <w:p>
            <w:pPr>
              <w:pStyle w:val="TableParagraph"/>
              <w:spacing w:line="183" w:lineRule="exact"/>
              <w:ind w:left="124"/>
              <w:jc w:val="left"/>
              <w:rPr>
                <w:b/>
                <w:sz w:val="16"/>
              </w:rPr>
            </w:pPr>
            <w:r>
              <w:rPr>
                <w:b/>
                <w:spacing w:val="-2"/>
                <w:sz w:val="16"/>
              </w:rPr>
              <w:t>Chambers</w:t>
            </w:r>
          </w:p>
        </w:tc>
        <w:tc>
          <w:tcPr>
            <w:tcW w:w="1295" w:type="dxa"/>
            <w:tcBorders>
              <w:bottom w:val="single" w:sz="12" w:space="0" w:color="000000"/>
            </w:tcBorders>
          </w:tcPr>
          <w:p>
            <w:pPr>
              <w:pStyle w:val="TableParagraph"/>
              <w:jc w:val="left"/>
              <w:rPr>
                <w:sz w:val="14"/>
              </w:rPr>
            </w:pPr>
          </w:p>
        </w:tc>
        <w:tc>
          <w:tcPr>
            <w:tcW w:w="1127" w:type="dxa"/>
            <w:tcBorders>
              <w:bottom w:val="single" w:sz="12" w:space="0" w:color="000000"/>
            </w:tcBorders>
          </w:tcPr>
          <w:p>
            <w:pPr>
              <w:pStyle w:val="TableParagraph"/>
              <w:spacing w:before="157"/>
              <w:ind w:left="374"/>
              <w:jc w:val="left"/>
              <w:rPr>
                <w:sz w:val="16"/>
              </w:rPr>
            </w:pPr>
            <w:r>
              <w:rPr>
                <w:spacing w:val="-2"/>
                <w:sz w:val="16"/>
              </w:rPr>
              <w:t>Total</w:t>
            </w:r>
          </w:p>
        </w:tc>
        <w:tc>
          <w:tcPr>
            <w:tcW w:w="1050" w:type="dxa"/>
            <w:tcBorders>
              <w:bottom w:val="single" w:sz="12" w:space="0" w:color="000000"/>
            </w:tcBorders>
          </w:tcPr>
          <w:p>
            <w:pPr>
              <w:pStyle w:val="TableParagraph"/>
              <w:spacing w:before="157"/>
              <w:ind w:left="145"/>
              <w:jc w:val="left"/>
              <w:rPr>
                <w:sz w:val="16"/>
              </w:rPr>
            </w:pPr>
            <w:r>
              <w:rPr>
                <w:sz w:val="16"/>
              </w:rPr>
              <w:t>Cont.</w:t>
            </w:r>
            <w:r>
              <w:rPr>
                <w:spacing w:val="-4"/>
                <w:sz w:val="16"/>
              </w:rPr>
              <w:t> Fund</w:t>
            </w:r>
          </w:p>
        </w:tc>
        <w:tc>
          <w:tcPr>
            <w:tcW w:w="1092" w:type="dxa"/>
            <w:tcBorders>
              <w:bottom w:val="single" w:sz="12" w:space="0" w:color="000000"/>
            </w:tcBorders>
          </w:tcPr>
          <w:p>
            <w:pPr>
              <w:pStyle w:val="TableParagraph"/>
              <w:spacing w:before="157"/>
              <w:ind w:right="101"/>
              <w:rPr>
                <w:sz w:val="16"/>
              </w:rPr>
            </w:pPr>
            <w:r>
              <w:rPr>
                <w:spacing w:val="-2"/>
                <w:sz w:val="16"/>
              </w:rPr>
              <w:t>Total</w:t>
            </w:r>
            <w:r>
              <w:rPr>
                <w:spacing w:val="-4"/>
                <w:sz w:val="16"/>
              </w:rPr>
              <w:t> </w:t>
            </w:r>
            <w:r>
              <w:rPr>
                <w:spacing w:val="-2"/>
                <w:sz w:val="16"/>
              </w:rPr>
              <w:t>Incl.</w:t>
            </w:r>
            <w:r>
              <w:rPr>
                <w:spacing w:val="-4"/>
                <w:sz w:val="16"/>
              </w:rPr>
              <w:t> </w:t>
            </w:r>
            <w:r>
              <w:rPr>
                <w:spacing w:val="-5"/>
                <w:sz w:val="16"/>
              </w:rPr>
              <w:t>CF</w:t>
            </w:r>
          </w:p>
        </w:tc>
        <w:tc>
          <w:tcPr>
            <w:tcW w:w="1217" w:type="dxa"/>
            <w:tcBorders>
              <w:bottom w:val="single" w:sz="12" w:space="0" w:color="000000"/>
            </w:tcBorders>
          </w:tcPr>
          <w:p>
            <w:pPr>
              <w:pStyle w:val="TableParagraph"/>
              <w:spacing w:line="158" w:lineRule="exact"/>
              <w:ind w:left="231"/>
              <w:jc w:val="left"/>
              <w:rPr>
                <w:sz w:val="16"/>
              </w:rPr>
            </w:pPr>
            <w:r>
              <w:rPr>
                <w:spacing w:val="-2"/>
                <w:sz w:val="16"/>
              </w:rPr>
              <w:t>Approved</w:t>
            </w:r>
          </w:p>
          <w:p>
            <w:pPr>
              <w:pStyle w:val="TableParagraph"/>
              <w:spacing w:line="183" w:lineRule="exact"/>
              <w:ind w:left="322"/>
              <w:jc w:val="left"/>
              <w:rPr>
                <w:sz w:val="16"/>
              </w:rPr>
            </w:pPr>
            <w:r>
              <w:rPr>
                <w:spacing w:val="-2"/>
                <w:sz w:val="16"/>
              </w:rPr>
              <w:t>Budget</w:t>
            </w:r>
          </w:p>
        </w:tc>
        <w:tc>
          <w:tcPr>
            <w:tcW w:w="978" w:type="dxa"/>
            <w:tcBorders>
              <w:bottom w:val="single" w:sz="12" w:space="0" w:color="000000"/>
            </w:tcBorders>
          </w:tcPr>
          <w:p>
            <w:pPr>
              <w:pStyle w:val="TableParagraph"/>
              <w:spacing w:before="157"/>
              <w:ind w:right="227"/>
              <w:rPr>
                <w:sz w:val="16"/>
              </w:rPr>
            </w:pPr>
            <w:r>
              <w:rPr>
                <w:spacing w:val="-2"/>
                <w:sz w:val="16"/>
              </w:rPr>
              <w:t>Amount</w:t>
            </w:r>
          </w:p>
        </w:tc>
        <w:tc>
          <w:tcPr>
            <w:tcW w:w="634" w:type="dxa"/>
            <w:tcBorders>
              <w:bottom w:val="single" w:sz="12" w:space="0" w:color="000000"/>
            </w:tcBorders>
          </w:tcPr>
          <w:p>
            <w:pPr>
              <w:pStyle w:val="TableParagraph"/>
              <w:spacing w:before="157"/>
              <w:ind w:right="119"/>
              <w:rPr>
                <w:sz w:val="16"/>
              </w:rPr>
            </w:pPr>
            <w:r>
              <w:rPr>
                <w:w w:val="98"/>
                <w:sz w:val="16"/>
              </w:rPr>
              <w:t>%</w:t>
            </w:r>
          </w:p>
        </w:tc>
        <w:tc>
          <w:tcPr>
            <w:tcW w:w="1086" w:type="dxa"/>
            <w:tcBorders>
              <w:bottom w:val="single" w:sz="12" w:space="0" w:color="000000"/>
            </w:tcBorders>
          </w:tcPr>
          <w:p>
            <w:pPr>
              <w:pStyle w:val="TableParagraph"/>
              <w:spacing w:line="158" w:lineRule="exact"/>
              <w:ind w:left="112" w:right="118"/>
              <w:jc w:val="center"/>
              <w:rPr>
                <w:sz w:val="16"/>
              </w:rPr>
            </w:pPr>
            <w:r>
              <w:rPr>
                <w:spacing w:val="-2"/>
                <w:sz w:val="16"/>
              </w:rPr>
              <w:t>Proposed</w:t>
            </w:r>
          </w:p>
          <w:p>
            <w:pPr>
              <w:pStyle w:val="TableParagraph"/>
              <w:spacing w:line="183" w:lineRule="exact"/>
              <w:ind w:left="112" w:right="120"/>
              <w:jc w:val="center"/>
              <w:rPr>
                <w:sz w:val="16"/>
              </w:rPr>
            </w:pPr>
            <w:r>
              <w:rPr>
                <w:sz w:val="16"/>
              </w:rPr>
              <w:t>2023</w:t>
            </w:r>
            <w:r>
              <w:rPr>
                <w:spacing w:val="2"/>
                <w:sz w:val="16"/>
              </w:rPr>
              <w:t> </w:t>
            </w:r>
            <w:r>
              <w:rPr>
                <w:spacing w:val="-2"/>
                <w:sz w:val="16"/>
              </w:rPr>
              <w:t>Budget</w:t>
            </w:r>
          </w:p>
        </w:tc>
      </w:tr>
      <w:tr>
        <w:trPr>
          <w:trHeight w:val="229" w:hRule="atLeast"/>
        </w:trPr>
        <w:tc>
          <w:tcPr>
            <w:tcW w:w="1173" w:type="dxa"/>
            <w:tcBorders>
              <w:top w:val="single" w:sz="12" w:space="0" w:color="000000"/>
            </w:tcBorders>
          </w:tcPr>
          <w:p>
            <w:pPr>
              <w:pStyle w:val="TableParagraph"/>
              <w:spacing w:before="6"/>
              <w:ind w:left="124"/>
              <w:jc w:val="left"/>
              <w:rPr>
                <w:i/>
                <w:sz w:val="16"/>
              </w:rPr>
            </w:pPr>
            <w:r>
              <w:rPr>
                <w:i/>
                <w:spacing w:val="-2"/>
                <w:sz w:val="16"/>
              </w:rPr>
              <w:t>Judges</w:t>
            </w:r>
          </w:p>
        </w:tc>
        <w:tc>
          <w:tcPr>
            <w:tcW w:w="1295" w:type="dxa"/>
            <w:tcBorders>
              <w:top w:val="single" w:sz="12" w:space="0" w:color="000000"/>
            </w:tcBorders>
          </w:tcPr>
          <w:p>
            <w:pPr>
              <w:pStyle w:val="TableParagraph"/>
              <w:jc w:val="left"/>
              <w:rPr>
                <w:sz w:val="14"/>
              </w:rPr>
            </w:pPr>
          </w:p>
        </w:tc>
        <w:tc>
          <w:tcPr>
            <w:tcW w:w="1127" w:type="dxa"/>
            <w:tcBorders>
              <w:top w:val="single" w:sz="12" w:space="0" w:color="000000"/>
            </w:tcBorders>
          </w:tcPr>
          <w:p>
            <w:pPr>
              <w:pStyle w:val="TableParagraph"/>
              <w:spacing w:before="6"/>
              <w:ind w:right="144"/>
              <w:rPr>
                <w:i/>
                <w:sz w:val="16"/>
              </w:rPr>
            </w:pPr>
            <w:r>
              <w:rPr>
                <w:i/>
                <w:spacing w:val="-2"/>
                <w:sz w:val="16"/>
              </w:rPr>
              <w:t>3,988.6</w:t>
            </w:r>
          </w:p>
        </w:tc>
        <w:tc>
          <w:tcPr>
            <w:tcW w:w="1050" w:type="dxa"/>
            <w:tcBorders>
              <w:top w:val="single" w:sz="12" w:space="0" w:color="000000"/>
            </w:tcBorders>
          </w:tcPr>
          <w:p>
            <w:pPr>
              <w:pStyle w:val="TableParagraph"/>
              <w:spacing w:before="6"/>
              <w:ind w:right="105"/>
              <w:rPr>
                <w:i/>
                <w:sz w:val="16"/>
              </w:rPr>
            </w:pPr>
            <w:r>
              <w:rPr>
                <w:i/>
                <w:w w:val="98"/>
                <w:sz w:val="16"/>
              </w:rPr>
              <w:t>-</w:t>
            </w:r>
          </w:p>
        </w:tc>
        <w:tc>
          <w:tcPr>
            <w:tcW w:w="1092" w:type="dxa"/>
            <w:tcBorders>
              <w:top w:val="single" w:sz="12" w:space="0" w:color="000000"/>
            </w:tcBorders>
          </w:tcPr>
          <w:p>
            <w:pPr>
              <w:pStyle w:val="TableParagraph"/>
              <w:spacing w:before="6"/>
              <w:ind w:right="105"/>
              <w:rPr>
                <w:i/>
                <w:sz w:val="16"/>
              </w:rPr>
            </w:pPr>
            <w:r>
              <w:rPr>
                <w:i/>
                <w:spacing w:val="-2"/>
                <w:sz w:val="16"/>
              </w:rPr>
              <w:t>3,988.6</w:t>
            </w:r>
          </w:p>
        </w:tc>
        <w:tc>
          <w:tcPr>
            <w:tcW w:w="1217" w:type="dxa"/>
            <w:tcBorders>
              <w:top w:val="single" w:sz="12" w:space="0" w:color="000000"/>
            </w:tcBorders>
          </w:tcPr>
          <w:p>
            <w:pPr>
              <w:pStyle w:val="TableParagraph"/>
              <w:spacing w:before="6"/>
              <w:ind w:right="213"/>
              <w:rPr>
                <w:i/>
                <w:sz w:val="16"/>
              </w:rPr>
            </w:pPr>
            <w:r>
              <w:rPr>
                <w:i/>
                <w:spacing w:val="-2"/>
                <w:sz w:val="16"/>
              </w:rPr>
              <w:t>5,048.1</w:t>
            </w:r>
          </w:p>
        </w:tc>
        <w:tc>
          <w:tcPr>
            <w:tcW w:w="978" w:type="dxa"/>
            <w:tcBorders>
              <w:top w:val="single" w:sz="12" w:space="0" w:color="000000"/>
            </w:tcBorders>
          </w:tcPr>
          <w:p>
            <w:pPr>
              <w:pStyle w:val="TableParagraph"/>
              <w:spacing w:before="6"/>
              <w:ind w:right="230"/>
              <w:rPr>
                <w:i/>
                <w:sz w:val="16"/>
              </w:rPr>
            </w:pPr>
            <w:r>
              <w:rPr>
                <w:i/>
                <w:spacing w:val="-2"/>
                <w:sz w:val="16"/>
              </w:rPr>
              <w:t>163.1</w:t>
            </w:r>
          </w:p>
        </w:tc>
        <w:tc>
          <w:tcPr>
            <w:tcW w:w="634" w:type="dxa"/>
            <w:tcBorders>
              <w:top w:val="single" w:sz="12" w:space="0" w:color="000000"/>
            </w:tcBorders>
          </w:tcPr>
          <w:p>
            <w:pPr>
              <w:pStyle w:val="TableParagraph"/>
              <w:spacing w:before="6"/>
              <w:ind w:right="120"/>
              <w:rPr>
                <w:i/>
                <w:sz w:val="16"/>
              </w:rPr>
            </w:pPr>
            <w:r>
              <w:rPr>
                <w:i/>
                <w:spacing w:val="-5"/>
                <w:sz w:val="16"/>
              </w:rPr>
              <w:t>3.2</w:t>
            </w:r>
          </w:p>
        </w:tc>
        <w:tc>
          <w:tcPr>
            <w:tcW w:w="1086" w:type="dxa"/>
            <w:tcBorders>
              <w:top w:val="single" w:sz="12" w:space="0" w:color="000000"/>
            </w:tcBorders>
          </w:tcPr>
          <w:p>
            <w:pPr>
              <w:pStyle w:val="TableParagraph"/>
              <w:spacing w:before="6"/>
              <w:ind w:right="97"/>
              <w:rPr>
                <w:i/>
                <w:sz w:val="16"/>
              </w:rPr>
            </w:pPr>
            <w:r>
              <w:rPr>
                <w:i/>
                <w:spacing w:val="-2"/>
                <w:sz w:val="16"/>
              </w:rPr>
              <w:t>5,211.2</w:t>
            </w:r>
          </w:p>
        </w:tc>
      </w:tr>
      <w:tr>
        <w:trPr>
          <w:trHeight w:val="466" w:hRule="atLeast"/>
        </w:trPr>
        <w:tc>
          <w:tcPr>
            <w:tcW w:w="1173" w:type="dxa"/>
          </w:tcPr>
          <w:p>
            <w:pPr>
              <w:pStyle w:val="TableParagraph"/>
              <w:jc w:val="left"/>
              <w:rPr>
                <w:sz w:val="14"/>
              </w:rPr>
            </w:pPr>
          </w:p>
        </w:tc>
        <w:tc>
          <w:tcPr>
            <w:tcW w:w="1295" w:type="dxa"/>
          </w:tcPr>
          <w:p>
            <w:pPr>
              <w:pStyle w:val="TableParagraph"/>
              <w:jc w:val="left"/>
              <w:rPr>
                <w:sz w:val="14"/>
              </w:rPr>
            </w:pPr>
          </w:p>
        </w:tc>
        <w:tc>
          <w:tcPr>
            <w:tcW w:w="1127" w:type="dxa"/>
          </w:tcPr>
          <w:p>
            <w:pPr>
              <w:pStyle w:val="TableParagraph"/>
              <w:jc w:val="left"/>
              <w:rPr>
                <w:sz w:val="14"/>
              </w:rPr>
            </w:pPr>
          </w:p>
        </w:tc>
        <w:tc>
          <w:tcPr>
            <w:tcW w:w="1050" w:type="dxa"/>
            <w:shd w:val="clear" w:color="auto" w:fill="D9D9D9"/>
          </w:tcPr>
          <w:p>
            <w:pPr>
              <w:pStyle w:val="TableParagraph"/>
              <w:jc w:val="left"/>
              <w:rPr>
                <w:sz w:val="14"/>
              </w:rPr>
            </w:pPr>
          </w:p>
        </w:tc>
        <w:tc>
          <w:tcPr>
            <w:tcW w:w="1092" w:type="dxa"/>
          </w:tcPr>
          <w:p>
            <w:pPr>
              <w:pStyle w:val="TableParagraph"/>
              <w:jc w:val="left"/>
              <w:rPr>
                <w:sz w:val="14"/>
              </w:rPr>
            </w:pPr>
          </w:p>
        </w:tc>
        <w:tc>
          <w:tcPr>
            <w:tcW w:w="1217" w:type="dxa"/>
          </w:tcPr>
          <w:p>
            <w:pPr>
              <w:pStyle w:val="TableParagraph"/>
              <w:jc w:val="left"/>
              <w:rPr>
                <w:sz w:val="14"/>
              </w:rPr>
            </w:pPr>
          </w:p>
        </w:tc>
        <w:tc>
          <w:tcPr>
            <w:tcW w:w="978" w:type="dxa"/>
          </w:tcPr>
          <w:p>
            <w:pPr>
              <w:pStyle w:val="TableParagraph"/>
              <w:jc w:val="left"/>
              <w:rPr>
                <w:sz w:val="14"/>
              </w:rPr>
            </w:pPr>
          </w:p>
        </w:tc>
        <w:tc>
          <w:tcPr>
            <w:tcW w:w="634" w:type="dxa"/>
          </w:tcPr>
          <w:p>
            <w:pPr>
              <w:pStyle w:val="TableParagraph"/>
              <w:jc w:val="left"/>
              <w:rPr>
                <w:sz w:val="14"/>
              </w:rPr>
            </w:pPr>
          </w:p>
        </w:tc>
        <w:tc>
          <w:tcPr>
            <w:tcW w:w="1086" w:type="dxa"/>
          </w:tcPr>
          <w:p>
            <w:pPr>
              <w:pStyle w:val="TableParagraph"/>
              <w:jc w:val="left"/>
              <w:rPr>
                <w:sz w:val="14"/>
              </w:rPr>
            </w:pPr>
          </w:p>
        </w:tc>
      </w:tr>
      <w:tr>
        <w:trPr>
          <w:trHeight w:val="230" w:hRule="atLeast"/>
        </w:trPr>
        <w:tc>
          <w:tcPr>
            <w:tcW w:w="1173" w:type="dxa"/>
            <w:tcBorders>
              <w:bottom w:val="single" w:sz="4" w:space="0" w:color="000000"/>
            </w:tcBorders>
          </w:tcPr>
          <w:p>
            <w:pPr>
              <w:pStyle w:val="TableParagraph"/>
              <w:jc w:val="left"/>
              <w:rPr>
                <w:sz w:val="14"/>
              </w:rPr>
            </w:pPr>
          </w:p>
        </w:tc>
        <w:tc>
          <w:tcPr>
            <w:tcW w:w="1295" w:type="dxa"/>
            <w:tcBorders>
              <w:bottom w:val="single" w:sz="4" w:space="0" w:color="000000"/>
            </w:tcBorders>
          </w:tcPr>
          <w:p>
            <w:pPr>
              <w:pStyle w:val="TableParagraph"/>
              <w:spacing w:before="11"/>
              <w:ind w:left="339"/>
              <w:jc w:val="left"/>
              <w:rPr>
                <w:i/>
                <w:sz w:val="16"/>
              </w:rPr>
            </w:pPr>
            <w:r>
              <w:rPr>
                <w:i/>
                <w:sz w:val="16"/>
              </w:rPr>
              <w:t>Subtotal</w:t>
            </w:r>
            <w:r>
              <w:rPr>
                <w:i/>
                <w:spacing w:val="-1"/>
                <w:sz w:val="16"/>
              </w:rPr>
              <w:t> </w:t>
            </w:r>
            <w:r>
              <w:rPr>
                <w:i/>
                <w:spacing w:val="-2"/>
                <w:sz w:val="16"/>
              </w:rPr>
              <w:t>staff</w:t>
            </w:r>
          </w:p>
        </w:tc>
        <w:tc>
          <w:tcPr>
            <w:tcW w:w="1127" w:type="dxa"/>
            <w:tcBorders>
              <w:bottom w:val="single" w:sz="4" w:space="0" w:color="000000"/>
            </w:tcBorders>
          </w:tcPr>
          <w:p>
            <w:pPr>
              <w:pStyle w:val="TableParagraph"/>
              <w:spacing w:before="11"/>
              <w:ind w:right="144"/>
              <w:rPr>
                <w:i/>
                <w:sz w:val="16"/>
              </w:rPr>
            </w:pPr>
            <w:r>
              <w:rPr>
                <w:i/>
                <w:spacing w:val="-2"/>
                <w:sz w:val="16"/>
              </w:rPr>
              <w:t>4,571.1</w:t>
            </w:r>
          </w:p>
        </w:tc>
        <w:tc>
          <w:tcPr>
            <w:tcW w:w="1050" w:type="dxa"/>
            <w:tcBorders>
              <w:bottom w:val="single" w:sz="4" w:space="0" w:color="000000"/>
            </w:tcBorders>
          </w:tcPr>
          <w:p>
            <w:pPr>
              <w:pStyle w:val="TableParagraph"/>
              <w:spacing w:before="11"/>
              <w:ind w:right="105"/>
              <w:rPr>
                <w:i/>
                <w:sz w:val="16"/>
              </w:rPr>
            </w:pPr>
            <w:r>
              <w:rPr>
                <w:i/>
                <w:w w:val="98"/>
                <w:sz w:val="16"/>
              </w:rPr>
              <w:t>-</w:t>
            </w:r>
          </w:p>
        </w:tc>
        <w:tc>
          <w:tcPr>
            <w:tcW w:w="1092" w:type="dxa"/>
            <w:tcBorders>
              <w:bottom w:val="single" w:sz="4" w:space="0" w:color="000000"/>
            </w:tcBorders>
          </w:tcPr>
          <w:p>
            <w:pPr>
              <w:pStyle w:val="TableParagraph"/>
              <w:spacing w:before="11"/>
              <w:ind w:right="105"/>
              <w:rPr>
                <w:i/>
                <w:sz w:val="16"/>
              </w:rPr>
            </w:pPr>
            <w:r>
              <w:rPr>
                <w:i/>
                <w:spacing w:val="-2"/>
                <w:sz w:val="16"/>
              </w:rPr>
              <w:t>4,571.1</w:t>
            </w:r>
          </w:p>
        </w:tc>
        <w:tc>
          <w:tcPr>
            <w:tcW w:w="1217" w:type="dxa"/>
            <w:tcBorders>
              <w:bottom w:val="single" w:sz="4" w:space="0" w:color="000000"/>
            </w:tcBorders>
          </w:tcPr>
          <w:p>
            <w:pPr>
              <w:pStyle w:val="TableParagraph"/>
              <w:spacing w:before="11"/>
              <w:ind w:right="213"/>
              <w:rPr>
                <w:i/>
                <w:sz w:val="16"/>
              </w:rPr>
            </w:pPr>
            <w:r>
              <w:rPr>
                <w:i/>
                <w:spacing w:val="-2"/>
                <w:sz w:val="16"/>
              </w:rPr>
              <w:t>4,512.4</w:t>
            </w:r>
          </w:p>
        </w:tc>
        <w:tc>
          <w:tcPr>
            <w:tcW w:w="978" w:type="dxa"/>
            <w:tcBorders>
              <w:bottom w:val="single" w:sz="4" w:space="0" w:color="000000"/>
            </w:tcBorders>
          </w:tcPr>
          <w:p>
            <w:pPr>
              <w:pStyle w:val="TableParagraph"/>
              <w:spacing w:before="11"/>
              <w:ind w:right="230"/>
              <w:rPr>
                <w:i/>
                <w:sz w:val="16"/>
              </w:rPr>
            </w:pPr>
            <w:r>
              <w:rPr>
                <w:i/>
                <w:spacing w:val="-2"/>
                <w:sz w:val="16"/>
              </w:rPr>
              <w:t>136.4</w:t>
            </w:r>
          </w:p>
        </w:tc>
        <w:tc>
          <w:tcPr>
            <w:tcW w:w="634" w:type="dxa"/>
            <w:tcBorders>
              <w:bottom w:val="single" w:sz="4" w:space="0" w:color="000000"/>
            </w:tcBorders>
          </w:tcPr>
          <w:p>
            <w:pPr>
              <w:pStyle w:val="TableParagraph"/>
              <w:spacing w:before="11"/>
              <w:ind w:right="120"/>
              <w:rPr>
                <w:i/>
                <w:sz w:val="16"/>
              </w:rPr>
            </w:pPr>
            <w:r>
              <w:rPr>
                <w:i/>
                <w:spacing w:val="-5"/>
                <w:sz w:val="16"/>
              </w:rPr>
              <w:t>3.0</w:t>
            </w:r>
          </w:p>
        </w:tc>
        <w:tc>
          <w:tcPr>
            <w:tcW w:w="1086" w:type="dxa"/>
            <w:tcBorders>
              <w:bottom w:val="single" w:sz="4" w:space="0" w:color="000000"/>
            </w:tcBorders>
          </w:tcPr>
          <w:p>
            <w:pPr>
              <w:pStyle w:val="TableParagraph"/>
              <w:spacing w:before="11"/>
              <w:ind w:right="97"/>
              <w:rPr>
                <w:i/>
                <w:sz w:val="16"/>
              </w:rPr>
            </w:pPr>
            <w:r>
              <w:rPr>
                <w:i/>
                <w:spacing w:val="-2"/>
                <w:sz w:val="16"/>
              </w:rPr>
              <w:t>4,648.8</w:t>
            </w:r>
          </w:p>
        </w:tc>
      </w:tr>
      <w:tr>
        <w:trPr>
          <w:trHeight w:val="231" w:hRule="atLeast"/>
        </w:trPr>
        <w:tc>
          <w:tcPr>
            <w:tcW w:w="2468" w:type="dxa"/>
            <w:gridSpan w:val="2"/>
          </w:tcPr>
          <w:p>
            <w:pPr>
              <w:pStyle w:val="TableParagraph"/>
              <w:spacing w:before="11"/>
              <w:ind w:left="124"/>
              <w:jc w:val="left"/>
              <w:rPr>
                <w:sz w:val="16"/>
              </w:rPr>
            </w:pPr>
            <w:r>
              <w:rPr>
                <w:sz w:val="16"/>
              </w:rPr>
              <w:t>General</w:t>
            </w:r>
            <w:r>
              <w:rPr>
                <w:spacing w:val="-4"/>
                <w:sz w:val="16"/>
              </w:rPr>
              <w:t> </w:t>
            </w:r>
            <w:r>
              <w:rPr>
                <w:sz w:val="16"/>
              </w:rPr>
              <w:t>temporary</w:t>
            </w:r>
            <w:r>
              <w:rPr>
                <w:spacing w:val="-1"/>
                <w:sz w:val="16"/>
              </w:rPr>
              <w:t> </w:t>
            </w:r>
            <w:r>
              <w:rPr>
                <w:spacing w:val="-2"/>
                <w:sz w:val="16"/>
              </w:rPr>
              <w:t>assistance</w:t>
            </w:r>
          </w:p>
        </w:tc>
        <w:tc>
          <w:tcPr>
            <w:tcW w:w="1127" w:type="dxa"/>
          </w:tcPr>
          <w:p>
            <w:pPr>
              <w:pStyle w:val="TableParagraph"/>
              <w:spacing w:before="11"/>
              <w:ind w:right="144"/>
              <w:rPr>
                <w:sz w:val="16"/>
              </w:rPr>
            </w:pPr>
            <w:r>
              <w:rPr>
                <w:spacing w:val="-2"/>
                <w:sz w:val="16"/>
              </w:rPr>
              <w:t>1,369.5</w:t>
            </w:r>
          </w:p>
        </w:tc>
        <w:tc>
          <w:tcPr>
            <w:tcW w:w="2142" w:type="dxa"/>
            <w:gridSpan w:val="2"/>
          </w:tcPr>
          <w:p>
            <w:pPr>
              <w:pStyle w:val="TableParagraph"/>
              <w:tabs>
                <w:tab w:pos="1552" w:val="left" w:leader="none"/>
              </w:tabs>
              <w:spacing w:before="11"/>
              <w:ind w:left="890"/>
              <w:jc w:val="left"/>
              <w:rPr>
                <w:sz w:val="16"/>
              </w:rPr>
            </w:pPr>
            <w:r>
              <w:rPr>
                <w:spacing w:val="-10"/>
                <w:sz w:val="16"/>
              </w:rPr>
              <w:t>-</w:t>
            </w:r>
            <w:r>
              <w:rPr>
                <w:sz w:val="16"/>
              </w:rPr>
              <w:tab/>
            </w:r>
            <w:r>
              <w:rPr>
                <w:spacing w:val="-2"/>
                <w:sz w:val="16"/>
              </w:rPr>
              <w:t>1,369.5</w:t>
            </w:r>
          </w:p>
        </w:tc>
        <w:tc>
          <w:tcPr>
            <w:tcW w:w="1217" w:type="dxa"/>
          </w:tcPr>
          <w:p>
            <w:pPr>
              <w:pStyle w:val="TableParagraph"/>
              <w:spacing w:before="11"/>
              <w:ind w:right="213"/>
              <w:rPr>
                <w:sz w:val="16"/>
              </w:rPr>
            </w:pPr>
            <w:r>
              <w:rPr>
                <w:spacing w:val="-2"/>
                <w:sz w:val="16"/>
              </w:rPr>
              <w:t>1,458.4</w:t>
            </w:r>
          </w:p>
        </w:tc>
        <w:tc>
          <w:tcPr>
            <w:tcW w:w="978" w:type="dxa"/>
          </w:tcPr>
          <w:p>
            <w:pPr>
              <w:pStyle w:val="TableParagraph"/>
              <w:spacing w:before="11"/>
              <w:ind w:right="231"/>
              <w:rPr>
                <w:sz w:val="16"/>
              </w:rPr>
            </w:pPr>
            <w:r>
              <w:rPr>
                <w:spacing w:val="-2"/>
                <w:sz w:val="16"/>
              </w:rPr>
              <w:t>1,277.2</w:t>
            </w:r>
          </w:p>
        </w:tc>
        <w:tc>
          <w:tcPr>
            <w:tcW w:w="634" w:type="dxa"/>
          </w:tcPr>
          <w:p>
            <w:pPr>
              <w:pStyle w:val="TableParagraph"/>
              <w:spacing w:before="11"/>
              <w:ind w:right="115"/>
              <w:rPr>
                <w:sz w:val="16"/>
              </w:rPr>
            </w:pPr>
            <w:r>
              <w:rPr>
                <w:spacing w:val="-4"/>
                <w:sz w:val="16"/>
              </w:rPr>
              <w:t>87.6</w:t>
            </w:r>
          </w:p>
        </w:tc>
        <w:tc>
          <w:tcPr>
            <w:tcW w:w="1086" w:type="dxa"/>
          </w:tcPr>
          <w:p>
            <w:pPr>
              <w:pStyle w:val="TableParagraph"/>
              <w:spacing w:before="11"/>
              <w:ind w:right="97"/>
              <w:rPr>
                <w:sz w:val="16"/>
              </w:rPr>
            </w:pPr>
            <w:r>
              <w:rPr>
                <w:spacing w:val="-2"/>
                <w:sz w:val="16"/>
              </w:rPr>
              <w:t>2,735.6</w:t>
            </w:r>
          </w:p>
        </w:tc>
      </w:tr>
      <w:tr>
        <w:trPr>
          <w:trHeight w:val="227" w:hRule="atLeast"/>
        </w:trPr>
        <w:tc>
          <w:tcPr>
            <w:tcW w:w="2468" w:type="dxa"/>
            <w:gridSpan w:val="2"/>
          </w:tcPr>
          <w:p>
            <w:pPr>
              <w:pStyle w:val="TableParagraph"/>
              <w:ind w:left="124"/>
              <w:jc w:val="left"/>
              <w:rPr>
                <w:sz w:val="16"/>
              </w:rPr>
            </w:pPr>
            <w:r>
              <w:rPr>
                <w:sz w:val="16"/>
              </w:rPr>
              <w:t>Temporary</w:t>
            </w:r>
            <w:r>
              <w:rPr>
                <w:spacing w:val="-3"/>
                <w:sz w:val="16"/>
              </w:rPr>
              <w:t> </w:t>
            </w:r>
            <w:r>
              <w:rPr>
                <w:sz w:val="16"/>
              </w:rPr>
              <w:t>assistance</w:t>
            </w:r>
            <w:r>
              <w:rPr>
                <w:spacing w:val="-4"/>
                <w:sz w:val="16"/>
              </w:rPr>
              <w:t> </w:t>
            </w:r>
            <w:r>
              <w:rPr>
                <w:sz w:val="16"/>
              </w:rPr>
              <w:t>for</w:t>
            </w:r>
            <w:r>
              <w:rPr>
                <w:spacing w:val="-5"/>
                <w:sz w:val="16"/>
              </w:rPr>
              <w:t> </w:t>
            </w:r>
            <w:r>
              <w:rPr>
                <w:spacing w:val="-2"/>
                <w:sz w:val="16"/>
              </w:rPr>
              <w:t>meetings</w:t>
            </w:r>
          </w:p>
        </w:tc>
        <w:tc>
          <w:tcPr>
            <w:tcW w:w="1127" w:type="dxa"/>
          </w:tcPr>
          <w:p>
            <w:pPr>
              <w:pStyle w:val="TableParagraph"/>
              <w:ind w:right="145"/>
              <w:rPr>
                <w:sz w:val="16"/>
              </w:rPr>
            </w:pPr>
            <w:r>
              <w:rPr>
                <w:w w:val="98"/>
                <w:sz w:val="16"/>
              </w:rPr>
              <w:t>-</w:t>
            </w:r>
          </w:p>
        </w:tc>
        <w:tc>
          <w:tcPr>
            <w:tcW w:w="2142" w:type="dxa"/>
            <w:gridSpan w:val="2"/>
          </w:tcPr>
          <w:p>
            <w:pPr>
              <w:pStyle w:val="TableParagraph"/>
              <w:tabs>
                <w:tab w:pos="1980" w:val="left" w:leader="none"/>
              </w:tabs>
              <w:ind w:left="890"/>
              <w:jc w:val="left"/>
              <w:rPr>
                <w:sz w:val="16"/>
              </w:rPr>
            </w:pPr>
            <w:r>
              <w:rPr>
                <w:spacing w:val="-10"/>
                <w:sz w:val="16"/>
              </w:rPr>
              <w:t>-</w:t>
            </w:r>
            <w:r>
              <w:rPr>
                <w:sz w:val="16"/>
              </w:rPr>
              <w:tab/>
            </w:r>
            <w:r>
              <w:rPr>
                <w:spacing w:val="-10"/>
                <w:sz w:val="16"/>
              </w:rPr>
              <w:t>-</w:t>
            </w:r>
          </w:p>
        </w:tc>
        <w:tc>
          <w:tcPr>
            <w:tcW w:w="1217" w:type="dxa"/>
          </w:tcPr>
          <w:p>
            <w:pPr>
              <w:pStyle w:val="TableParagraph"/>
              <w:ind w:right="214"/>
              <w:rPr>
                <w:sz w:val="16"/>
              </w:rPr>
            </w:pPr>
            <w:r>
              <w:rPr>
                <w:w w:val="98"/>
                <w:sz w:val="16"/>
              </w:rPr>
              <w:t>-</w:t>
            </w:r>
          </w:p>
        </w:tc>
        <w:tc>
          <w:tcPr>
            <w:tcW w:w="978" w:type="dxa"/>
          </w:tcPr>
          <w:p>
            <w:pPr>
              <w:pStyle w:val="TableParagraph"/>
              <w:ind w:right="232"/>
              <w:rPr>
                <w:sz w:val="16"/>
              </w:rPr>
            </w:pPr>
            <w:r>
              <w:rPr>
                <w:w w:val="98"/>
                <w:sz w:val="16"/>
              </w:rPr>
              <w:t>-</w:t>
            </w:r>
          </w:p>
        </w:tc>
        <w:tc>
          <w:tcPr>
            <w:tcW w:w="634" w:type="dxa"/>
          </w:tcPr>
          <w:p>
            <w:pPr>
              <w:pStyle w:val="TableParagraph"/>
              <w:ind w:right="117"/>
              <w:rPr>
                <w:sz w:val="16"/>
              </w:rPr>
            </w:pPr>
            <w:r>
              <w:rPr>
                <w:w w:val="98"/>
                <w:sz w:val="16"/>
              </w:rPr>
              <w:t>-</w:t>
            </w:r>
          </w:p>
        </w:tc>
        <w:tc>
          <w:tcPr>
            <w:tcW w:w="1086" w:type="dxa"/>
          </w:tcPr>
          <w:p>
            <w:pPr>
              <w:pStyle w:val="TableParagraph"/>
              <w:ind w:right="98"/>
              <w:rPr>
                <w:sz w:val="16"/>
              </w:rPr>
            </w:pPr>
            <w:r>
              <w:rPr>
                <w:w w:val="98"/>
                <w:sz w:val="16"/>
              </w:rPr>
              <w:t>-</w:t>
            </w:r>
          </w:p>
        </w:tc>
      </w:tr>
      <w:tr>
        <w:trPr>
          <w:trHeight w:val="221" w:hRule="atLeast"/>
        </w:trPr>
        <w:tc>
          <w:tcPr>
            <w:tcW w:w="2468" w:type="dxa"/>
            <w:gridSpan w:val="2"/>
            <w:tcBorders>
              <w:bottom w:val="single" w:sz="4" w:space="0" w:color="000000"/>
            </w:tcBorders>
          </w:tcPr>
          <w:p>
            <w:pPr>
              <w:pStyle w:val="TableParagraph"/>
              <w:spacing w:before="2"/>
              <w:ind w:left="124"/>
              <w:jc w:val="left"/>
              <w:rPr>
                <w:sz w:val="16"/>
              </w:rPr>
            </w:pPr>
            <w:r>
              <w:rPr>
                <w:spacing w:val="-2"/>
                <w:sz w:val="16"/>
              </w:rPr>
              <w:t>Overtime</w:t>
            </w:r>
          </w:p>
        </w:tc>
        <w:tc>
          <w:tcPr>
            <w:tcW w:w="1127" w:type="dxa"/>
            <w:tcBorders>
              <w:bottom w:val="single" w:sz="4" w:space="0" w:color="000000"/>
            </w:tcBorders>
          </w:tcPr>
          <w:p>
            <w:pPr>
              <w:pStyle w:val="TableParagraph"/>
              <w:spacing w:before="2"/>
              <w:ind w:right="145"/>
              <w:rPr>
                <w:sz w:val="16"/>
              </w:rPr>
            </w:pPr>
            <w:r>
              <w:rPr>
                <w:w w:val="98"/>
                <w:sz w:val="16"/>
              </w:rPr>
              <w:t>-</w:t>
            </w:r>
          </w:p>
        </w:tc>
        <w:tc>
          <w:tcPr>
            <w:tcW w:w="2142" w:type="dxa"/>
            <w:gridSpan w:val="2"/>
            <w:tcBorders>
              <w:bottom w:val="single" w:sz="4" w:space="0" w:color="000000"/>
            </w:tcBorders>
          </w:tcPr>
          <w:p>
            <w:pPr>
              <w:pStyle w:val="TableParagraph"/>
              <w:tabs>
                <w:tab w:pos="1980" w:val="left" w:leader="none"/>
              </w:tabs>
              <w:spacing w:before="2"/>
              <w:ind w:left="890"/>
              <w:jc w:val="left"/>
              <w:rPr>
                <w:sz w:val="16"/>
              </w:rPr>
            </w:pPr>
            <w:r>
              <w:rPr>
                <w:spacing w:val="-10"/>
                <w:sz w:val="16"/>
              </w:rPr>
              <w:t>-</w:t>
            </w:r>
            <w:r>
              <w:rPr>
                <w:sz w:val="16"/>
              </w:rPr>
              <w:tab/>
            </w:r>
            <w:r>
              <w:rPr>
                <w:spacing w:val="-10"/>
                <w:sz w:val="16"/>
              </w:rPr>
              <w:t>-</w:t>
            </w:r>
          </w:p>
        </w:tc>
        <w:tc>
          <w:tcPr>
            <w:tcW w:w="1217" w:type="dxa"/>
            <w:tcBorders>
              <w:bottom w:val="single" w:sz="4" w:space="0" w:color="000000"/>
            </w:tcBorders>
          </w:tcPr>
          <w:p>
            <w:pPr>
              <w:pStyle w:val="TableParagraph"/>
              <w:spacing w:before="2"/>
              <w:ind w:right="214"/>
              <w:rPr>
                <w:sz w:val="16"/>
              </w:rPr>
            </w:pPr>
            <w:r>
              <w:rPr>
                <w:w w:val="98"/>
                <w:sz w:val="16"/>
              </w:rPr>
              <w:t>-</w:t>
            </w:r>
          </w:p>
        </w:tc>
        <w:tc>
          <w:tcPr>
            <w:tcW w:w="978" w:type="dxa"/>
            <w:tcBorders>
              <w:bottom w:val="single" w:sz="4" w:space="0" w:color="000000"/>
            </w:tcBorders>
          </w:tcPr>
          <w:p>
            <w:pPr>
              <w:pStyle w:val="TableParagraph"/>
              <w:spacing w:before="2"/>
              <w:ind w:right="232"/>
              <w:rPr>
                <w:sz w:val="16"/>
              </w:rPr>
            </w:pPr>
            <w:r>
              <w:rPr>
                <w:w w:val="98"/>
                <w:sz w:val="16"/>
              </w:rPr>
              <w:t>-</w:t>
            </w:r>
          </w:p>
        </w:tc>
        <w:tc>
          <w:tcPr>
            <w:tcW w:w="634" w:type="dxa"/>
            <w:tcBorders>
              <w:bottom w:val="single" w:sz="4" w:space="0" w:color="000000"/>
            </w:tcBorders>
          </w:tcPr>
          <w:p>
            <w:pPr>
              <w:pStyle w:val="TableParagraph"/>
              <w:spacing w:before="2"/>
              <w:ind w:right="117"/>
              <w:rPr>
                <w:sz w:val="16"/>
              </w:rPr>
            </w:pPr>
            <w:r>
              <w:rPr>
                <w:w w:val="98"/>
                <w:sz w:val="16"/>
              </w:rPr>
              <w:t>-</w:t>
            </w:r>
          </w:p>
        </w:tc>
        <w:tc>
          <w:tcPr>
            <w:tcW w:w="1086" w:type="dxa"/>
            <w:tcBorders>
              <w:bottom w:val="single" w:sz="4" w:space="0" w:color="000000"/>
            </w:tcBorders>
          </w:tcPr>
          <w:p>
            <w:pPr>
              <w:pStyle w:val="TableParagraph"/>
              <w:spacing w:before="2"/>
              <w:ind w:right="98"/>
              <w:rPr>
                <w:sz w:val="16"/>
              </w:rPr>
            </w:pPr>
            <w:r>
              <w:rPr>
                <w:w w:val="98"/>
                <w:sz w:val="16"/>
              </w:rPr>
              <w:t>-</w:t>
            </w:r>
          </w:p>
        </w:tc>
      </w:tr>
      <w:tr>
        <w:trPr>
          <w:trHeight w:val="230" w:hRule="atLeast"/>
        </w:trPr>
        <w:tc>
          <w:tcPr>
            <w:tcW w:w="2468" w:type="dxa"/>
            <w:gridSpan w:val="2"/>
            <w:tcBorders>
              <w:top w:val="single" w:sz="4" w:space="0" w:color="000000"/>
              <w:bottom w:val="single" w:sz="4" w:space="0" w:color="000000"/>
            </w:tcBorders>
          </w:tcPr>
          <w:p>
            <w:pPr>
              <w:pStyle w:val="TableParagraph"/>
              <w:spacing w:before="6"/>
              <w:ind w:left="1133"/>
              <w:jc w:val="left"/>
              <w:rPr>
                <w:i/>
                <w:sz w:val="16"/>
              </w:rPr>
            </w:pPr>
            <w:r>
              <w:rPr>
                <w:i/>
                <w:sz w:val="16"/>
              </w:rPr>
              <w:t>Subtotal</w:t>
            </w:r>
            <w:r>
              <w:rPr>
                <w:i/>
                <w:spacing w:val="-2"/>
                <w:sz w:val="16"/>
              </w:rPr>
              <w:t> </w:t>
            </w:r>
            <w:r>
              <w:rPr>
                <w:i/>
                <w:sz w:val="16"/>
              </w:rPr>
              <w:t>other</w:t>
            </w:r>
            <w:r>
              <w:rPr>
                <w:i/>
                <w:spacing w:val="-1"/>
                <w:sz w:val="16"/>
              </w:rPr>
              <w:t> </w:t>
            </w:r>
            <w:r>
              <w:rPr>
                <w:i/>
                <w:spacing w:val="-2"/>
                <w:sz w:val="16"/>
              </w:rPr>
              <w:t>staff</w:t>
            </w:r>
          </w:p>
        </w:tc>
        <w:tc>
          <w:tcPr>
            <w:tcW w:w="1127" w:type="dxa"/>
            <w:tcBorders>
              <w:top w:val="single" w:sz="4" w:space="0" w:color="000000"/>
              <w:bottom w:val="single" w:sz="4" w:space="0" w:color="000000"/>
            </w:tcBorders>
          </w:tcPr>
          <w:p>
            <w:pPr>
              <w:pStyle w:val="TableParagraph"/>
              <w:spacing w:before="6"/>
              <w:ind w:right="144"/>
              <w:rPr>
                <w:i/>
                <w:sz w:val="16"/>
              </w:rPr>
            </w:pPr>
            <w:r>
              <w:rPr>
                <w:i/>
                <w:spacing w:val="-2"/>
                <w:sz w:val="16"/>
              </w:rPr>
              <w:t>1,369.5</w:t>
            </w:r>
          </w:p>
        </w:tc>
        <w:tc>
          <w:tcPr>
            <w:tcW w:w="2142" w:type="dxa"/>
            <w:gridSpan w:val="2"/>
            <w:tcBorders>
              <w:top w:val="single" w:sz="4" w:space="0" w:color="000000"/>
              <w:bottom w:val="single" w:sz="4" w:space="0" w:color="000000"/>
            </w:tcBorders>
          </w:tcPr>
          <w:p>
            <w:pPr>
              <w:pStyle w:val="TableParagraph"/>
              <w:tabs>
                <w:tab w:pos="1552" w:val="left" w:leader="none"/>
              </w:tabs>
              <w:spacing w:before="6"/>
              <w:ind w:left="890"/>
              <w:jc w:val="left"/>
              <w:rPr>
                <w:i/>
                <w:sz w:val="16"/>
              </w:rPr>
            </w:pPr>
            <w:r>
              <w:rPr>
                <w:i/>
                <w:spacing w:val="-10"/>
                <w:sz w:val="16"/>
              </w:rPr>
              <w:t>-</w:t>
            </w:r>
            <w:r>
              <w:rPr>
                <w:i/>
                <w:sz w:val="16"/>
              </w:rPr>
              <w:tab/>
            </w:r>
            <w:r>
              <w:rPr>
                <w:i/>
                <w:spacing w:val="-2"/>
                <w:sz w:val="16"/>
              </w:rPr>
              <w:t>1,369.5</w:t>
            </w:r>
          </w:p>
        </w:tc>
        <w:tc>
          <w:tcPr>
            <w:tcW w:w="1217" w:type="dxa"/>
            <w:tcBorders>
              <w:top w:val="single" w:sz="4" w:space="0" w:color="000000"/>
              <w:bottom w:val="single" w:sz="4" w:space="0" w:color="000000"/>
            </w:tcBorders>
          </w:tcPr>
          <w:p>
            <w:pPr>
              <w:pStyle w:val="TableParagraph"/>
              <w:spacing w:before="6"/>
              <w:ind w:right="213"/>
              <w:rPr>
                <w:i/>
                <w:sz w:val="16"/>
              </w:rPr>
            </w:pPr>
            <w:r>
              <w:rPr>
                <w:i/>
                <w:spacing w:val="-2"/>
                <w:sz w:val="16"/>
              </w:rPr>
              <w:t>1,458.4</w:t>
            </w:r>
          </w:p>
        </w:tc>
        <w:tc>
          <w:tcPr>
            <w:tcW w:w="978" w:type="dxa"/>
            <w:tcBorders>
              <w:top w:val="single" w:sz="4" w:space="0" w:color="000000"/>
              <w:bottom w:val="single" w:sz="4" w:space="0" w:color="000000"/>
            </w:tcBorders>
          </w:tcPr>
          <w:p>
            <w:pPr>
              <w:pStyle w:val="TableParagraph"/>
              <w:spacing w:before="6"/>
              <w:ind w:right="231"/>
              <w:rPr>
                <w:i/>
                <w:sz w:val="16"/>
              </w:rPr>
            </w:pPr>
            <w:r>
              <w:rPr>
                <w:i/>
                <w:spacing w:val="-2"/>
                <w:sz w:val="16"/>
              </w:rPr>
              <w:t>1,277.2</w:t>
            </w:r>
          </w:p>
        </w:tc>
        <w:tc>
          <w:tcPr>
            <w:tcW w:w="634" w:type="dxa"/>
            <w:tcBorders>
              <w:top w:val="single" w:sz="4" w:space="0" w:color="000000"/>
              <w:bottom w:val="single" w:sz="4" w:space="0" w:color="000000"/>
            </w:tcBorders>
          </w:tcPr>
          <w:p>
            <w:pPr>
              <w:pStyle w:val="TableParagraph"/>
              <w:spacing w:before="6"/>
              <w:ind w:right="115"/>
              <w:rPr>
                <w:i/>
                <w:sz w:val="16"/>
              </w:rPr>
            </w:pPr>
            <w:r>
              <w:rPr>
                <w:i/>
                <w:spacing w:val="-4"/>
                <w:sz w:val="16"/>
              </w:rPr>
              <w:t>87.6</w:t>
            </w:r>
          </w:p>
        </w:tc>
        <w:tc>
          <w:tcPr>
            <w:tcW w:w="1086" w:type="dxa"/>
            <w:tcBorders>
              <w:top w:val="single" w:sz="4" w:space="0" w:color="000000"/>
              <w:bottom w:val="single" w:sz="4" w:space="0" w:color="000000"/>
            </w:tcBorders>
          </w:tcPr>
          <w:p>
            <w:pPr>
              <w:pStyle w:val="TableParagraph"/>
              <w:spacing w:before="6"/>
              <w:ind w:right="97"/>
              <w:rPr>
                <w:i/>
                <w:sz w:val="16"/>
              </w:rPr>
            </w:pPr>
            <w:r>
              <w:rPr>
                <w:i/>
                <w:spacing w:val="-2"/>
                <w:sz w:val="16"/>
              </w:rPr>
              <w:t>2,735.6</w:t>
            </w:r>
          </w:p>
        </w:tc>
      </w:tr>
      <w:tr>
        <w:trPr>
          <w:trHeight w:val="229" w:hRule="atLeast"/>
        </w:trPr>
        <w:tc>
          <w:tcPr>
            <w:tcW w:w="2468" w:type="dxa"/>
            <w:gridSpan w:val="2"/>
          </w:tcPr>
          <w:p>
            <w:pPr>
              <w:pStyle w:val="TableParagraph"/>
              <w:spacing w:line="181" w:lineRule="exact"/>
              <w:ind w:left="124"/>
              <w:jc w:val="left"/>
              <w:rPr>
                <w:sz w:val="16"/>
              </w:rPr>
            </w:pPr>
            <w:r>
              <w:rPr>
                <w:spacing w:val="-2"/>
                <w:sz w:val="16"/>
              </w:rPr>
              <w:t>Travel</w:t>
            </w:r>
          </w:p>
        </w:tc>
        <w:tc>
          <w:tcPr>
            <w:tcW w:w="1127" w:type="dxa"/>
          </w:tcPr>
          <w:p>
            <w:pPr>
              <w:pStyle w:val="TableParagraph"/>
              <w:spacing w:line="181" w:lineRule="exact"/>
              <w:ind w:right="143"/>
              <w:rPr>
                <w:sz w:val="16"/>
              </w:rPr>
            </w:pPr>
            <w:r>
              <w:rPr>
                <w:spacing w:val="-4"/>
                <w:sz w:val="16"/>
              </w:rPr>
              <w:t>19.7</w:t>
            </w:r>
          </w:p>
        </w:tc>
        <w:tc>
          <w:tcPr>
            <w:tcW w:w="2142" w:type="dxa"/>
            <w:gridSpan w:val="2"/>
          </w:tcPr>
          <w:p>
            <w:pPr>
              <w:pStyle w:val="TableParagraph"/>
              <w:tabs>
                <w:tab w:pos="1754" w:val="left" w:leader="none"/>
              </w:tabs>
              <w:spacing w:line="181" w:lineRule="exact"/>
              <w:ind w:left="890"/>
              <w:jc w:val="left"/>
              <w:rPr>
                <w:sz w:val="16"/>
              </w:rPr>
            </w:pPr>
            <w:r>
              <w:rPr>
                <w:spacing w:val="-10"/>
                <w:sz w:val="16"/>
              </w:rPr>
              <w:t>-</w:t>
            </w:r>
            <w:r>
              <w:rPr>
                <w:sz w:val="16"/>
              </w:rPr>
              <w:tab/>
            </w:r>
            <w:r>
              <w:rPr>
                <w:spacing w:val="-4"/>
                <w:sz w:val="16"/>
              </w:rPr>
              <w:t>19.7</w:t>
            </w:r>
          </w:p>
        </w:tc>
        <w:tc>
          <w:tcPr>
            <w:tcW w:w="1217" w:type="dxa"/>
          </w:tcPr>
          <w:p>
            <w:pPr>
              <w:pStyle w:val="TableParagraph"/>
              <w:spacing w:line="181" w:lineRule="exact"/>
              <w:ind w:right="214"/>
              <w:rPr>
                <w:sz w:val="16"/>
              </w:rPr>
            </w:pPr>
            <w:r>
              <w:rPr>
                <w:w w:val="98"/>
                <w:sz w:val="16"/>
              </w:rPr>
              <w:t>-</w:t>
            </w:r>
          </w:p>
        </w:tc>
        <w:tc>
          <w:tcPr>
            <w:tcW w:w="2698" w:type="dxa"/>
            <w:gridSpan w:val="3"/>
          </w:tcPr>
          <w:p>
            <w:pPr>
              <w:pStyle w:val="TableParagraph"/>
              <w:tabs>
                <w:tab w:pos="1439" w:val="left" w:leader="none"/>
                <w:tab w:pos="2544" w:val="left" w:leader="none"/>
              </w:tabs>
              <w:spacing w:line="181" w:lineRule="exact"/>
              <w:ind w:left="690"/>
              <w:jc w:val="left"/>
              <w:rPr>
                <w:sz w:val="16"/>
              </w:rPr>
            </w:pPr>
            <w:r>
              <w:rPr>
                <w:spacing w:val="-10"/>
                <w:sz w:val="16"/>
              </w:rPr>
              <w:t>-</w:t>
            </w:r>
            <w:r>
              <w:rPr>
                <w:sz w:val="16"/>
              </w:rPr>
              <w:tab/>
            </w:r>
            <w:r>
              <w:rPr>
                <w:spacing w:val="-10"/>
                <w:sz w:val="16"/>
              </w:rPr>
              <w:t>-</w:t>
            </w:r>
            <w:r>
              <w:rPr>
                <w:sz w:val="16"/>
              </w:rPr>
              <w:tab/>
            </w:r>
            <w:r>
              <w:rPr>
                <w:spacing w:val="-10"/>
                <w:sz w:val="16"/>
              </w:rPr>
              <w:t>-</w:t>
            </w:r>
          </w:p>
        </w:tc>
      </w:tr>
      <w:tr>
        <w:trPr>
          <w:trHeight w:val="228" w:hRule="atLeast"/>
        </w:trPr>
        <w:tc>
          <w:tcPr>
            <w:tcW w:w="2468" w:type="dxa"/>
            <w:gridSpan w:val="2"/>
          </w:tcPr>
          <w:p>
            <w:pPr>
              <w:pStyle w:val="TableParagraph"/>
              <w:spacing w:before="2"/>
              <w:ind w:left="124"/>
              <w:jc w:val="left"/>
              <w:rPr>
                <w:sz w:val="16"/>
              </w:rPr>
            </w:pPr>
            <w:r>
              <w:rPr>
                <w:spacing w:val="-2"/>
                <w:sz w:val="16"/>
              </w:rPr>
              <w:t>Hospitality</w:t>
            </w:r>
          </w:p>
        </w:tc>
        <w:tc>
          <w:tcPr>
            <w:tcW w:w="1127" w:type="dxa"/>
          </w:tcPr>
          <w:p>
            <w:pPr>
              <w:pStyle w:val="TableParagraph"/>
              <w:spacing w:before="2"/>
              <w:ind w:right="145"/>
              <w:rPr>
                <w:sz w:val="16"/>
              </w:rPr>
            </w:pPr>
            <w:r>
              <w:rPr>
                <w:w w:val="98"/>
                <w:sz w:val="16"/>
              </w:rPr>
              <w:t>-</w:t>
            </w:r>
          </w:p>
        </w:tc>
        <w:tc>
          <w:tcPr>
            <w:tcW w:w="2142" w:type="dxa"/>
            <w:gridSpan w:val="2"/>
          </w:tcPr>
          <w:p>
            <w:pPr>
              <w:pStyle w:val="TableParagraph"/>
              <w:tabs>
                <w:tab w:pos="1980" w:val="left" w:leader="none"/>
              </w:tabs>
              <w:spacing w:before="2"/>
              <w:ind w:left="890"/>
              <w:jc w:val="left"/>
              <w:rPr>
                <w:sz w:val="16"/>
              </w:rPr>
            </w:pPr>
            <w:r>
              <w:rPr>
                <w:spacing w:val="-10"/>
                <w:sz w:val="16"/>
              </w:rPr>
              <w:t>-</w:t>
            </w:r>
            <w:r>
              <w:rPr>
                <w:sz w:val="16"/>
              </w:rPr>
              <w:tab/>
            </w:r>
            <w:r>
              <w:rPr>
                <w:spacing w:val="-10"/>
                <w:sz w:val="16"/>
              </w:rPr>
              <w:t>-</w:t>
            </w:r>
          </w:p>
        </w:tc>
        <w:tc>
          <w:tcPr>
            <w:tcW w:w="1217" w:type="dxa"/>
          </w:tcPr>
          <w:p>
            <w:pPr>
              <w:pStyle w:val="TableParagraph"/>
              <w:spacing w:before="2"/>
              <w:ind w:right="217"/>
              <w:rPr>
                <w:sz w:val="16"/>
              </w:rPr>
            </w:pPr>
            <w:r>
              <w:rPr>
                <w:spacing w:val="-5"/>
                <w:sz w:val="16"/>
              </w:rPr>
              <w:t>1.0</w:t>
            </w:r>
          </w:p>
        </w:tc>
        <w:tc>
          <w:tcPr>
            <w:tcW w:w="2698" w:type="dxa"/>
            <w:gridSpan w:val="3"/>
          </w:tcPr>
          <w:p>
            <w:pPr>
              <w:pStyle w:val="TableParagraph"/>
              <w:tabs>
                <w:tab w:pos="1439" w:val="left" w:leader="none"/>
                <w:tab w:pos="2395" w:val="left" w:leader="none"/>
              </w:tabs>
              <w:spacing w:before="2"/>
              <w:ind w:left="690"/>
              <w:jc w:val="left"/>
              <w:rPr>
                <w:sz w:val="16"/>
              </w:rPr>
            </w:pPr>
            <w:r>
              <w:rPr>
                <w:spacing w:val="-10"/>
                <w:sz w:val="16"/>
              </w:rPr>
              <w:t>-</w:t>
            </w:r>
            <w:r>
              <w:rPr>
                <w:sz w:val="16"/>
              </w:rPr>
              <w:tab/>
            </w:r>
            <w:r>
              <w:rPr>
                <w:spacing w:val="-10"/>
                <w:sz w:val="16"/>
              </w:rPr>
              <w:t>-</w:t>
            </w:r>
            <w:r>
              <w:rPr>
                <w:sz w:val="16"/>
              </w:rPr>
              <w:tab/>
            </w:r>
            <w:r>
              <w:rPr>
                <w:spacing w:val="-5"/>
                <w:sz w:val="16"/>
              </w:rPr>
              <w:t>1.0</w:t>
            </w:r>
          </w:p>
        </w:tc>
      </w:tr>
      <w:tr>
        <w:trPr>
          <w:trHeight w:val="225" w:hRule="atLeast"/>
        </w:trPr>
        <w:tc>
          <w:tcPr>
            <w:tcW w:w="2468" w:type="dxa"/>
            <w:gridSpan w:val="2"/>
          </w:tcPr>
          <w:p>
            <w:pPr>
              <w:pStyle w:val="TableParagraph"/>
              <w:ind w:left="124"/>
              <w:jc w:val="left"/>
              <w:rPr>
                <w:sz w:val="16"/>
              </w:rPr>
            </w:pPr>
            <w:r>
              <w:rPr>
                <w:w w:val="95"/>
                <w:sz w:val="16"/>
              </w:rPr>
              <w:t>Contractual</w:t>
            </w:r>
            <w:r>
              <w:rPr>
                <w:spacing w:val="33"/>
                <w:sz w:val="16"/>
              </w:rPr>
              <w:t> </w:t>
            </w:r>
            <w:r>
              <w:rPr>
                <w:spacing w:val="-2"/>
                <w:sz w:val="16"/>
              </w:rPr>
              <w:t>services</w:t>
            </w:r>
          </w:p>
        </w:tc>
        <w:tc>
          <w:tcPr>
            <w:tcW w:w="1127" w:type="dxa"/>
          </w:tcPr>
          <w:p>
            <w:pPr>
              <w:pStyle w:val="TableParagraph"/>
              <w:ind w:right="147"/>
              <w:rPr>
                <w:sz w:val="16"/>
              </w:rPr>
            </w:pPr>
            <w:r>
              <w:rPr>
                <w:spacing w:val="-5"/>
                <w:sz w:val="16"/>
              </w:rPr>
              <w:t>0.3</w:t>
            </w:r>
          </w:p>
        </w:tc>
        <w:tc>
          <w:tcPr>
            <w:tcW w:w="2142" w:type="dxa"/>
            <w:gridSpan w:val="2"/>
          </w:tcPr>
          <w:p>
            <w:pPr>
              <w:pStyle w:val="TableParagraph"/>
              <w:tabs>
                <w:tab w:pos="1831" w:val="left" w:leader="none"/>
              </w:tabs>
              <w:ind w:left="890"/>
              <w:jc w:val="left"/>
              <w:rPr>
                <w:sz w:val="16"/>
              </w:rPr>
            </w:pPr>
            <w:r>
              <w:rPr>
                <w:spacing w:val="-10"/>
                <w:sz w:val="16"/>
              </w:rPr>
              <w:t>-</w:t>
            </w:r>
            <w:r>
              <w:rPr>
                <w:sz w:val="16"/>
              </w:rPr>
              <w:tab/>
            </w:r>
            <w:r>
              <w:rPr>
                <w:spacing w:val="-5"/>
                <w:sz w:val="16"/>
              </w:rPr>
              <w:t>0.3</w:t>
            </w:r>
          </w:p>
        </w:tc>
        <w:tc>
          <w:tcPr>
            <w:tcW w:w="1217" w:type="dxa"/>
          </w:tcPr>
          <w:p>
            <w:pPr>
              <w:pStyle w:val="TableParagraph"/>
              <w:ind w:right="214"/>
              <w:rPr>
                <w:sz w:val="16"/>
              </w:rPr>
            </w:pPr>
            <w:r>
              <w:rPr>
                <w:w w:val="98"/>
                <w:sz w:val="16"/>
              </w:rPr>
              <w:t>-</w:t>
            </w:r>
          </w:p>
        </w:tc>
        <w:tc>
          <w:tcPr>
            <w:tcW w:w="2698" w:type="dxa"/>
            <w:gridSpan w:val="3"/>
          </w:tcPr>
          <w:p>
            <w:pPr>
              <w:pStyle w:val="TableParagraph"/>
              <w:tabs>
                <w:tab w:pos="1439" w:val="left" w:leader="none"/>
                <w:tab w:pos="2544" w:val="left" w:leader="none"/>
              </w:tabs>
              <w:ind w:left="690"/>
              <w:jc w:val="left"/>
              <w:rPr>
                <w:sz w:val="16"/>
              </w:rPr>
            </w:pPr>
            <w:r>
              <w:rPr>
                <w:spacing w:val="-10"/>
                <w:sz w:val="16"/>
              </w:rPr>
              <w:t>-</w:t>
            </w:r>
            <w:r>
              <w:rPr>
                <w:sz w:val="16"/>
              </w:rPr>
              <w:tab/>
            </w:r>
            <w:r>
              <w:rPr>
                <w:spacing w:val="-10"/>
                <w:sz w:val="16"/>
              </w:rPr>
              <w:t>-</w:t>
            </w:r>
            <w:r>
              <w:rPr>
                <w:sz w:val="16"/>
              </w:rPr>
              <w:tab/>
            </w:r>
            <w:r>
              <w:rPr>
                <w:spacing w:val="-10"/>
                <w:sz w:val="16"/>
              </w:rPr>
              <w:t>-</w:t>
            </w:r>
          </w:p>
        </w:tc>
      </w:tr>
      <w:tr>
        <w:trPr>
          <w:trHeight w:val="225" w:hRule="atLeast"/>
        </w:trPr>
        <w:tc>
          <w:tcPr>
            <w:tcW w:w="2468" w:type="dxa"/>
            <w:gridSpan w:val="2"/>
          </w:tcPr>
          <w:p>
            <w:pPr>
              <w:pStyle w:val="TableParagraph"/>
              <w:ind w:left="124"/>
              <w:jc w:val="left"/>
              <w:rPr>
                <w:sz w:val="16"/>
              </w:rPr>
            </w:pPr>
            <w:r>
              <w:rPr>
                <w:spacing w:val="-2"/>
                <w:sz w:val="16"/>
              </w:rPr>
              <w:t>Training</w:t>
            </w:r>
          </w:p>
        </w:tc>
        <w:tc>
          <w:tcPr>
            <w:tcW w:w="1127" w:type="dxa"/>
          </w:tcPr>
          <w:p>
            <w:pPr>
              <w:pStyle w:val="TableParagraph"/>
              <w:ind w:right="147"/>
              <w:rPr>
                <w:sz w:val="16"/>
              </w:rPr>
            </w:pPr>
            <w:r>
              <w:rPr>
                <w:spacing w:val="-5"/>
                <w:sz w:val="16"/>
              </w:rPr>
              <w:t>1.0</w:t>
            </w:r>
          </w:p>
        </w:tc>
        <w:tc>
          <w:tcPr>
            <w:tcW w:w="2142" w:type="dxa"/>
            <w:gridSpan w:val="2"/>
          </w:tcPr>
          <w:p>
            <w:pPr>
              <w:pStyle w:val="TableParagraph"/>
              <w:tabs>
                <w:tab w:pos="1831" w:val="left" w:leader="none"/>
              </w:tabs>
              <w:ind w:left="890"/>
              <w:jc w:val="left"/>
              <w:rPr>
                <w:sz w:val="16"/>
              </w:rPr>
            </w:pPr>
            <w:r>
              <w:rPr>
                <w:spacing w:val="-10"/>
                <w:sz w:val="16"/>
              </w:rPr>
              <w:t>-</w:t>
            </w:r>
            <w:r>
              <w:rPr>
                <w:sz w:val="16"/>
              </w:rPr>
              <w:tab/>
            </w:r>
            <w:r>
              <w:rPr>
                <w:spacing w:val="-5"/>
                <w:sz w:val="16"/>
              </w:rPr>
              <w:t>1.0</w:t>
            </w:r>
          </w:p>
        </w:tc>
        <w:tc>
          <w:tcPr>
            <w:tcW w:w="1217" w:type="dxa"/>
          </w:tcPr>
          <w:p>
            <w:pPr>
              <w:pStyle w:val="TableParagraph"/>
              <w:ind w:right="213"/>
              <w:rPr>
                <w:sz w:val="16"/>
              </w:rPr>
            </w:pPr>
            <w:r>
              <w:rPr>
                <w:spacing w:val="-4"/>
                <w:sz w:val="16"/>
              </w:rPr>
              <w:t>20.5</w:t>
            </w:r>
          </w:p>
        </w:tc>
        <w:tc>
          <w:tcPr>
            <w:tcW w:w="2698" w:type="dxa"/>
            <w:gridSpan w:val="3"/>
          </w:tcPr>
          <w:p>
            <w:pPr>
              <w:pStyle w:val="TableParagraph"/>
              <w:tabs>
                <w:tab w:pos="1439" w:val="left" w:leader="none"/>
                <w:tab w:pos="2318" w:val="left" w:leader="none"/>
              </w:tabs>
              <w:ind w:left="690"/>
              <w:jc w:val="left"/>
              <w:rPr>
                <w:sz w:val="16"/>
              </w:rPr>
            </w:pPr>
            <w:r>
              <w:rPr>
                <w:spacing w:val="-10"/>
                <w:sz w:val="16"/>
              </w:rPr>
              <w:t>-</w:t>
            </w:r>
            <w:r>
              <w:rPr>
                <w:sz w:val="16"/>
              </w:rPr>
              <w:tab/>
            </w:r>
            <w:r>
              <w:rPr>
                <w:spacing w:val="-10"/>
                <w:sz w:val="16"/>
              </w:rPr>
              <w:t>-</w:t>
            </w:r>
            <w:r>
              <w:rPr>
                <w:sz w:val="16"/>
              </w:rPr>
              <w:tab/>
            </w:r>
            <w:r>
              <w:rPr>
                <w:spacing w:val="-4"/>
                <w:sz w:val="16"/>
              </w:rPr>
              <w:t>20.5</w:t>
            </w:r>
          </w:p>
        </w:tc>
      </w:tr>
      <w:tr>
        <w:trPr>
          <w:trHeight w:val="227" w:hRule="atLeast"/>
        </w:trPr>
        <w:tc>
          <w:tcPr>
            <w:tcW w:w="2468" w:type="dxa"/>
            <w:gridSpan w:val="2"/>
          </w:tcPr>
          <w:p>
            <w:pPr>
              <w:pStyle w:val="TableParagraph"/>
              <w:ind w:left="124"/>
              <w:jc w:val="left"/>
              <w:rPr>
                <w:sz w:val="16"/>
              </w:rPr>
            </w:pPr>
            <w:r>
              <w:rPr>
                <w:spacing w:val="-2"/>
                <w:sz w:val="16"/>
              </w:rPr>
              <w:t>Consultants</w:t>
            </w:r>
          </w:p>
        </w:tc>
        <w:tc>
          <w:tcPr>
            <w:tcW w:w="1127" w:type="dxa"/>
          </w:tcPr>
          <w:p>
            <w:pPr>
              <w:pStyle w:val="TableParagraph"/>
              <w:ind w:right="145"/>
              <w:rPr>
                <w:sz w:val="16"/>
              </w:rPr>
            </w:pPr>
            <w:r>
              <w:rPr>
                <w:w w:val="98"/>
                <w:sz w:val="16"/>
              </w:rPr>
              <w:t>-</w:t>
            </w:r>
          </w:p>
        </w:tc>
        <w:tc>
          <w:tcPr>
            <w:tcW w:w="2142" w:type="dxa"/>
            <w:gridSpan w:val="2"/>
          </w:tcPr>
          <w:p>
            <w:pPr>
              <w:pStyle w:val="TableParagraph"/>
              <w:tabs>
                <w:tab w:pos="1980" w:val="left" w:leader="none"/>
              </w:tabs>
              <w:ind w:left="890"/>
              <w:jc w:val="left"/>
              <w:rPr>
                <w:sz w:val="16"/>
              </w:rPr>
            </w:pPr>
            <w:r>
              <w:rPr>
                <w:spacing w:val="-10"/>
                <w:sz w:val="16"/>
              </w:rPr>
              <w:t>-</w:t>
            </w:r>
            <w:r>
              <w:rPr>
                <w:sz w:val="16"/>
              </w:rPr>
              <w:tab/>
            </w:r>
            <w:r>
              <w:rPr>
                <w:spacing w:val="-10"/>
                <w:sz w:val="16"/>
              </w:rPr>
              <w:t>-</w:t>
            </w:r>
          </w:p>
        </w:tc>
        <w:tc>
          <w:tcPr>
            <w:tcW w:w="1217" w:type="dxa"/>
          </w:tcPr>
          <w:p>
            <w:pPr>
              <w:pStyle w:val="TableParagraph"/>
              <w:ind w:right="214"/>
              <w:rPr>
                <w:sz w:val="16"/>
              </w:rPr>
            </w:pPr>
            <w:r>
              <w:rPr>
                <w:w w:val="98"/>
                <w:sz w:val="16"/>
              </w:rPr>
              <w:t>-</w:t>
            </w:r>
          </w:p>
        </w:tc>
        <w:tc>
          <w:tcPr>
            <w:tcW w:w="2698" w:type="dxa"/>
            <w:gridSpan w:val="3"/>
          </w:tcPr>
          <w:p>
            <w:pPr>
              <w:pStyle w:val="TableParagraph"/>
              <w:tabs>
                <w:tab w:pos="1439" w:val="left" w:leader="none"/>
                <w:tab w:pos="2544" w:val="left" w:leader="none"/>
              </w:tabs>
              <w:ind w:left="690"/>
              <w:jc w:val="left"/>
              <w:rPr>
                <w:sz w:val="16"/>
              </w:rPr>
            </w:pPr>
            <w:r>
              <w:rPr>
                <w:spacing w:val="-10"/>
                <w:sz w:val="16"/>
              </w:rPr>
              <w:t>-</w:t>
            </w:r>
            <w:r>
              <w:rPr>
                <w:sz w:val="16"/>
              </w:rPr>
              <w:tab/>
            </w:r>
            <w:r>
              <w:rPr>
                <w:spacing w:val="-10"/>
                <w:sz w:val="16"/>
              </w:rPr>
              <w:t>-</w:t>
            </w:r>
            <w:r>
              <w:rPr>
                <w:sz w:val="16"/>
              </w:rPr>
              <w:tab/>
            </w:r>
            <w:r>
              <w:rPr>
                <w:spacing w:val="-10"/>
                <w:sz w:val="16"/>
              </w:rPr>
              <w:t>-</w:t>
            </w:r>
          </w:p>
        </w:tc>
      </w:tr>
      <w:tr>
        <w:trPr>
          <w:trHeight w:val="227" w:hRule="atLeast"/>
        </w:trPr>
        <w:tc>
          <w:tcPr>
            <w:tcW w:w="2468" w:type="dxa"/>
            <w:gridSpan w:val="2"/>
          </w:tcPr>
          <w:p>
            <w:pPr>
              <w:pStyle w:val="TableParagraph"/>
              <w:spacing w:before="2"/>
              <w:ind w:left="124"/>
              <w:jc w:val="left"/>
              <w:rPr>
                <w:sz w:val="16"/>
              </w:rPr>
            </w:pPr>
            <w:r>
              <w:rPr>
                <w:sz w:val="16"/>
              </w:rPr>
              <w:t>General</w:t>
            </w:r>
            <w:r>
              <w:rPr>
                <w:spacing w:val="-4"/>
                <w:sz w:val="16"/>
              </w:rPr>
              <w:t> </w:t>
            </w:r>
            <w:r>
              <w:rPr>
                <w:sz w:val="16"/>
              </w:rPr>
              <w:t>operating</w:t>
            </w:r>
            <w:r>
              <w:rPr>
                <w:spacing w:val="-1"/>
                <w:sz w:val="16"/>
              </w:rPr>
              <w:t> </w:t>
            </w:r>
            <w:r>
              <w:rPr>
                <w:spacing w:val="-2"/>
                <w:sz w:val="16"/>
              </w:rPr>
              <w:t>expenses</w:t>
            </w:r>
          </w:p>
        </w:tc>
        <w:tc>
          <w:tcPr>
            <w:tcW w:w="1127" w:type="dxa"/>
          </w:tcPr>
          <w:p>
            <w:pPr>
              <w:pStyle w:val="TableParagraph"/>
              <w:spacing w:before="2"/>
              <w:ind w:right="145"/>
              <w:rPr>
                <w:sz w:val="16"/>
              </w:rPr>
            </w:pPr>
            <w:r>
              <w:rPr>
                <w:w w:val="98"/>
                <w:sz w:val="16"/>
              </w:rPr>
              <w:t>-</w:t>
            </w:r>
          </w:p>
        </w:tc>
        <w:tc>
          <w:tcPr>
            <w:tcW w:w="2142" w:type="dxa"/>
            <w:gridSpan w:val="2"/>
          </w:tcPr>
          <w:p>
            <w:pPr>
              <w:pStyle w:val="TableParagraph"/>
              <w:tabs>
                <w:tab w:pos="1980" w:val="left" w:leader="none"/>
              </w:tabs>
              <w:spacing w:before="2"/>
              <w:ind w:left="890"/>
              <w:jc w:val="left"/>
              <w:rPr>
                <w:sz w:val="16"/>
              </w:rPr>
            </w:pPr>
            <w:r>
              <w:rPr>
                <w:spacing w:val="-10"/>
                <w:sz w:val="16"/>
              </w:rPr>
              <w:t>-</w:t>
            </w:r>
            <w:r>
              <w:rPr>
                <w:sz w:val="16"/>
              </w:rPr>
              <w:tab/>
            </w:r>
            <w:r>
              <w:rPr>
                <w:spacing w:val="-10"/>
                <w:sz w:val="16"/>
              </w:rPr>
              <w:t>-</w:t>
            </w:r>
          </w:p>
        </w:tc>
        <w:tc>
          <w:tcPr>
            <w:tcW w:w="1217" w:type="dxa"/>
          </w:tcPr>
          <w:p>
            <w:pPr>
              <w:pStyle w:val="TableParagraph"/>
              <w:spacing w:before="2"/>
              <w:ind w:right="214"/>
              <w:rPr>
                <w:sz w:val="16"/>
              </w:rPr>
            </w:pPr>
            <w:r>
              <w:rPr>
                <w:w w:val="98"/>
                <w:sz w:val="16"/>
              </w:rPr>
              <w:t>-</w:t>
            </w:r>
          </w:p>
        </w:tc>
        <w:tc>
          <w:tcPr>
            <w:tcW w:w="2698" w:type="dxa"/>
            <w:gridSpan w:val="3"/>
          </w:tcPr>
          <w:p>
            <w:pPr>
              <w:pStyle w:val="TableParagraph"/>
              <w:tabs>
                <w:tab w:pos="1439" w:val="left" w:leader="none"/>
                <w:tab w:pos="2544" w:val="left" w:leader="none"/>
              </w:tabs>
              <w:spacing w:before="2"/>
              <w:ind w:left="690"/>
              <w:jc w:val="left"/>
              <w:rPr>
                <w:sz w:val="16"/>
              </w:rPr>
            </w:pPr>
            <w:r>
              <w:rPr>
                <w:spacing w:val="-10"/>
                <w:sz w:val="16"/>
              </w:rPr>
              <w:t>-</w:t>
            </w:r>
            <w:r>
              <w:rPr>
                <w:sz w:val="16"/>
              </w:rPr>
              <w:tab/>
            </w:r>
            <w:r>
              <w:rPr>
                <w:spacing w:val="-10"/>
                <w:sz w:val="16"/>
              </w:rPr>
              <w:t>-</w:t>
            </w:r>
            <w:r>
              <w:rPr>
                <w:sz w:val="16"/>
              </w:rPr>
              <w:tab/>
            </w:r>
            <w:r>
              <w:rPr>
                <w:spacing w:val="-10"/>
                <w:sz w:val="16"/>
              </w:rPr>
              <w:t>-</w:t>
            </w:r>
          </w:p>
        </w:tc>
      </w:tr>
      <w:tr>
        <w:trPr>
          <w:trHeight w:val="225" w:hRule="atLeast"/>
        </w:trPr>
        <w:tc>
          <w:tcPr>
            <w:tcW w:w="2468" w:type="dxa"/>
            <w:gridSpan w:val="2"/>
          </w:tcPr>
          <w:p>
            <w:pPr>
              <w:pStyle w:val="TableParagraph"/>
              <w:ind w:left="124"/>
              <w:jc w:val="left"/>
              <w:rPr>
                <w:sz w:val="16"/>
              </w:rPr>
            </w:pPr>
            <w:r>
              <w:rPr>
                <w:sz w:val="16"/>
              </w:rPr>
              <w:t>Supplies</w:t>
            </w:r>
            <w:r>
              <w:rPr>
                <w:spacing w:val="-4"/>
                <w:sz w:val="16"/>
              </w:rPr>
              <w:t> </w:t>
            </w:r>
            <w:r>
              <w:rPr>
                <w:sz w:val="16"/>
              </w:rPr>
              <w:t>and</w:t>
            </w:r>
            <w:r>
              <w:rPr>
                <w:spacing w:val="-2"/>
                <w:sz w:val="16"/>
              </w:rPr>
              <w:t> materials</w:t>
            </w:r>
          </w:p>
        </w:tc>
        <w:tc>
          <w:tcPr>
            <w:tcW w:w="1127" w:type="dxa"/>
          </w:tcPr>
          <w:p>
            <w:pPr>
              <w:pStyle w:val="TableParagraph"/>
              <w:ind w:right="145"/>
              <w:rPr>
                <w:sz w:val="16"/>
              </w:rPr>
            </w:pPr>
            <w:r>
              <w:rPr>
                <w:w w:val="98"/>
                <w:sz w:val="16"/>
              </w:rPr>
              <w:t>-</w:t>
            </w:r>
          </w:p>
        </w:tc>
        <w:tc>
          <w:tcPr>
            <w:tcW w:w="2142" w:type="dxa"/>
            <w:gridSpan w:val="2"/>
          </w:tcPr>
          <w:p>
            <w:pPr>
              <w:pStyle w:val="TableParagraph"/>
              <w:tabs>
                <w:tab w:pos="1980" w:val="left" w:leader="none"/>
              </w:tabs>
              <w:ind w:left="890"/>
              <w:jc w:val="left"/>
              <w:rPr>
                <w:sz w:val="16"/>
              </w:rPr>
            </w:pPr>
            <w:r>
              <w:rPr>
                <w:spacing w:val="-10"/>
                <w:sz w:val="16"/>
              </w:rPr>
              <w:t>-</w:t>
            </w:r>
            <w:r>
              <w:rPr>
                <w:sz w:val="16"/>
              </w:rPr>
              <w:tab/>
            </w:r>
            <w:r>
              <w:rPr>
                <w:spacing w:val="-10"/>
                <w:sz w:val="16"/>
              </w:rPr>
              <w:t>-</w:t>
            </w:r>
          </w:p>
        </w:tc>
        <w:tc>
          <w:tcPr>
            <w:tcW w:w="1217" w:type="dxa"/>
          </w:tcPr>
          <w:p>
            <w:pPr>
              <w:pStyle w:val="TableParagraph"/>
              <w:ind w:right="214"/>
              <w:rPr>
                <w:sz w:val="16"/>
              </w:rPr>
            </w:pPr>
            <w:r>
              <w:rPr>
                <w:w w:val="98"/>
                <w:sz w:val="16"/>
              </w:rPr>
              <w:t>-</w:t>
            </w:r>
          </w:p>
        </w:tc>
        <w:tc>
          <w:tcPr>
            <w:tcW w:w="2698" w:type="dxa"/>
            <w:gridSpan w:val="3"/>
          </w:tcPr>
          <w:p>
            <w:pPr>
              <w:pStyle w:val="TableParagraph"/>
              <w:tabs>
                <w:tab w:pos="1439" w:val="left" w:leader="none"/>
                <w:tab w:pos="2544" w:val="left" w:leader="none"/>
              </w:tabs>
              <w:ind w:left="690"/>
              <w:jc w:val="left"/>
              <w:rPr>
                <w:sz w:val="16"/>
              </w:rPr>
            </w:pPr>
            <w:r>
              <w:rPr>
                <w:spacing w:val="-10"/>
                <w:sz w:val="16"/>
              </w:rPr>
              <w:t>-</w:t>
            </w:r>
            <w:r>
              <w:rPr>
                <w:sz w:val="16"/>
              </w:rPr>
              <w:tab/>
            </w:r>
            <w:r>
              <w:rPr>
                <w:spacing w:val="-10"/>
                <w:sz w:val="16"/>
              </w:rPr>
              <w:t>-</w:t>
            </w:r>
            <w:r>
              <w:rPr>
                <w:sz w:val="16"/>
              </w:rPr>
              <w:tab/>
            </w:r>
            <w:r>
              <w:rPr>
                <w:spacing w:val="-10"/>
                <w:sz w:val="16"/>
              </w:rPr>
              <w:t>-</w:t>
            </w:r>
          </w:p>
        </w:tc>
      </w:tr>
      <w:tr>
        <w:trPr>
          <w:trHeight w:val="223" w:hRule="atLeast"/>
        </w:trPr>
        <w:tc>
          <w:tcPr>
            <w:tcW w:w="2468" w:type="dxa"/>
            <w:gridSpan w:val="2"/>
            <w:tcBorders>
              <w:bottom w:val="single" w:sz="4" w:space="0" w:color="000000"/>
            </w:tcBorders>
          </w:tcPr>
          <w:p>
            <w:pPr>
              <w:pStyle w:val="TableParagraph"/>
              <w:ind w:left="124"/>
              <w:jc w:val="left"/>
              <w:rPr>
                <w:sz w:val="16"/>
              </w:rPr>
            </w:pPr>
            <w:r>
              <w:rPr>
                <w:sz w:val="16"/>
              </w:rPr>
              <w:t>Furniture</w:t>
            </w:r>
            <w:r>
              <w:rPr>
                <w:spacing w:val="-4"/>
                <w:sz w:val="16"/>
              </w:rPr>
              <w:t> </w:t>
            </w:r>
            <w:r>
              <w:rPr>
                <w:sz w:val="16"/>
              </w:rPr>
              <w:t>and</w:t>
            </w:r>
            <w:r>
              <w:rPr>
                <w:spacing w:val="-2"/>
                <w:sz w:val="16"/>
              </w:rPr>
              <w:t> equipment</w:t>
            </w:r>
          </w:p>
        </w:tc>
        <w:tc>
          <w:tcPr>
            <w:tcW w:w="1127" w:type="dxa"/>
            <w:tcBorders>
              <w:bottom w:val="single" w:sz="4" w:space="0" w:color="000000"/>
            </w:tcBorders>
          </w:tcPr>
          <w:p>
            <w:pPr>
              <w:pStyle w:val="TableParagraph"/>
              <w:ind w:right="145"/>
              <w:rPr>
                <w:sz w:val="16"/>
              </w:rPr>
            </w:pPr>
            <w:r>
              <w:rPr>
                <w:w w:val="98"/>
                <w:sz w:val="16"/>
              </w:rPr>
              <w:t>-</w:t>
            </w:r>
          </w:p>
        </w:tc>
        <w:tc>
          <w:tcPr>
            <w:tcW w:w="2142" w:type="dxa"/>
            <w:gridSpan w:val="2"/>
            <w:tcBorders>
              <w:bottom w:val="single" w:sz="4" w:space="0" w:color="000000"/>
            </w:tcBorders>
          </w:tcPr>
          <w:p>
            <w:pPr>
              <w:pStyle w:val="TableParagraph"/>
              <w:tabs>
                <w:tab w:pos="1980" w:val="left" w:leader="none"/>
              </w:tabs>
              <w:ind w:left="890"/>
              <w:jc w:val="left"/>
              <w:rPr>
                <w:sz w:val="16"/>
              </w:rPr>
            </w:pPr>
            <w:r>
              <w:rPr>
                <w:spacing w:val="-10"/>
                <w:sz w:val="16"/>
              </w:rPr>
              <w:t>-</w:t>
            </w:r>
            <w:r>
              <w:rPr>
                <w:sz w:val="16"/>
              </w:rPr>
              <w:tab/>
            </w:r>
            <w:r>
              <w:rPr>
                <w:spacing w:val="-10"/>
                <w:sz w:val="16"/>
              </w:rPr>
              <w:t>-</w:t>
            </w:r>
          </w:p>
        </w:tc>
        <w:tc>
          <w:tcPr>
            <w:tcW w:w="1217" w:type="dxa"/>
            <w:tcBorders>
              <w:bottom w:val="single" w:sz="4" w:space="0" w:color="000000"/>
            </w:tcBorders>
          </w:tcPr>
          <w:p>
            <w:pPr>
              <w:pStyle w:val="TableParagraph"/>
              <w:ind w:right="214"/>
              <w:rPr>
                <w:sz w:val="16"/>
              </w:rPr>
            </w:pPr>
            <w:r>
              <w:rPr>
                <w:w w:val="98"/>
                <w:sz w:val="16"/>
              </w:rPr>
              <w:t>-</w:t>
            </w:r>
          </w:p>
        </w:tc>
        <w:tc>
          <w:tcPr>
            <w:tcW w:w="2698" w:type="dxa"/>
            <w:gridSpan w:val="3"/>
            <w:tcBorders>
              <w:bottom w:val="single" w:sz="4" w:space="0" w:color="000000"/>
            </w:tcBorders>
          </w:tcPr>
          <w:p>
            <w:pPr>
              <w:pStyle w:val="TableParagraph"/>
              <w:tabs>
                <w:tab w:pos="1439" w:val="left" w:leader="none"/>
                <w:tab w:pos="2544" w:val="left" w:leader="none"/>
              </w:tabs>
              <w:ind w:left="690"/>
              <w:jc w:val="left"/>
              <w:rPr>
                <w:sz w:val="16"/>
              </w:rPr>
            </w:pPr>
            <w:r>
              <w:rPr>
                <w:spacing w:val="-10"/>
                <w:sz w:val="16"/>
              </w:rPr>
              <w:t>-</w:t>
            </w:r>
            <w:r>
              <w:rPr>
                <w:sz w:val="16"/>
              </w:rPr>
              <w:tab/>
            </w:r>
            <w:r>
              <w:rPr>
                <w:spacing w:val="-10"/>
                <w:sz w:val="16"/>
              </w:rPr>
              <w:t>-</w:t>
            </w:r>
            <w:r>
              <w:rPr>
                <w:sz w:val="16"/>
              </w:rPr>
              <w:tab/>
            </w:r>
            <w:r>
              <w:rPr>
                <w:spacing w:val="-10"/>
                <w:sz w:val="16"/>
              </w:rPr>
              <w:t>-</w:t>
            </w:r>
          </w:p>
        </w:tc>
      </w:tr>
      <w:tr>
        <w:trPr>
          <w:trHeight w:val="230" w:hRule="atLeast"/>
        </w:trPr>
        <w:tc>
          <w:tcPr>
            <w:tcW w:w="2468" w:type="dxa"/>
            <w:gridSpan w:val="2"/>
            <w:tcBorders>
              <w:top w:val="single" w:sz="4" w:space="0" w:color="000000"/>
              <w:bottom w:val="single" w:sz="4" w:space="0" w:color="000000"/>
            </w:tcBorders>
          </w:tcPr>
          <w:p>
            <w:pPr>
              <w:pStyle w:val="TableParagraph"/>
              <w:spacing w:before="6"/>
              <w:ind w:left="1219"/>
              <w:jc w:val="left"/>
              <w:rPr>
                <w:i/>
                <w:sz w:val="16"/>
              </w:rPr>
            </w:pPr>
            <w:r>
              <w:rPr>
                <w:i/>
                <w:w w:val="95"/>
                <w:sz w:val="16"/>
              </w:rPr>
              <w:t>Subtotal</w:t>
            </w:r>
            <w:r>
              <w:rPr>
                <w:i/>
                <w:spacing w:val="40"/>
                <w:sz w:val="16"/>
              </w:rPr>
              <w:t> </w:t>
            </w:r>
            <w:r>
              <w:rPr>
                <w:i/>
                <w:w w:val="95"/>
                <w:sz w:val="16"/>
              </w:rPr>
              <w:t>non-</w:t>
            </w:r>
            <w:r>
              <w:rPr>
                <w:i/>
                <w:spacing w:val="-4"/>
                <w:w w:val="95"/>
                <w:sz w:val="16"/>
              </w:rPr>
              <w:t>staff</w:t>
            </w:r>
          </w:p>
        </w:tc>
        <w:tc>
          <w:tcPr>
            <w:tcW w:w="1127" w:type="dxa"/>
            <w:tcBorders>
              <w:top w:val="single" w:sz="4" w:space="0" w:color="000000"/>
              <w:bottom w:val="single" w:sz="4" w:space="0" w:color="000000"/>
            </w:tcBorders>
          </w:tcPr>
          <w:p>
            <w:pPr>
              <w:pStyle w:val="TableParagraph"/>
              <w:spacing w:before="6"/>
              <w:ind w:right="143"/>
              <w:rPr>
                <w:i/>
                <w:sz w:val="16"/>
              </w:rPr>
            </w:pPr>
            <w:r>
              <w:rPr>
                <w:i/>
                <w:spacing w:val="-4"/>
                <w:sz w:val="16"/>
              </w:rPr>
              <w:t>21.0</w:t>
            </w:r>
          </w:p>
        </w:tc>
        <w:tc>
          <w:tcPr>
            <w:tcW w:w="2142" w:type="dxa"/>
            <w:gridSpan w:val="2"/>
            <w:tcBorders>
              <w:top w:val="single" w:sz="4" w:space="0" w:color="000000"/>
              <w:bottom w:val="single" w:sz="4" w:space="0" w:color="000000"/>
            </w:tcBorders>
          </w:tcPr>
          <w:p>
            <w:pPr>
              <w:pStyle w:val="TableParagraph"/>
              <w:tabs>
                <w:tab w:pos="1754" w:val="left" w:leader="none"/>
              </w:tabs>
              <w:spacing w:before="6"/>
              <w:ind w:left="890"/>
              <w:jc w:val="left"/>
              <w:rPr>
                <w:i/>
                <w:sz w:val="16"/>
              </w:rPr>
            </w:pPr>
            <w:r>
              <w:rPr>
                <w:i/>
                <w:spacing w:val="-10"/>
                <w:sz w:val="16"/>
              </w:rPr>
              <w:t>-</w:t>
            </w:r>
            <w:r>
              <w:rPr>
                <w:i/>
                <w:sz w:val="16"/>
              </w:rPr>
              <w:tab/>
            </w:r>
            <w:r>
              <w:rPr>
                <w:i/>
                <w:spacing w:val="-4"/>
                <w:sz w:val="16"/>
              </w:rPr>
              <w:t>21.0</w:t>
            </w:r>
          </w:p>
        </w:tc>
        <w:tc>
          <w:tcPr>
            <w:tcW w:w="1217" w:type="dxa"/>
            <w:tcBorders>
              <w:top w:val="single" w:sz="4" w:space="0" w:color="000000"/>
              <w:bottom w:val="single" w:sz="4" w:space="0" w:color="000000"/>
            </w:tcBorders>
          </w:tcPr>
          <w:p>
            <w:pPr>
              <w:pStyle w:val="TableParagraph"/>
              <w:spacing w:before="6"/>
              <w:ind w:right="213"/>
              <w:rPr>
                <w:i/>
                <w:sz w:val="16"/>
              </w:rPr>
            </w:pPr>
            <w:r>
              <w:rPr>
                <w:i/>
                <w:spacing w:val="-4"/>
                <w:sz w:val="16"/>
              </w:rPr>
              <w:t>21.5</w:t>
            </w:r>
          </w:p>
        </w:tc>
        <w:tc>
          <w:tcPr>
            <w:tcW w:w="2698" w:type="dxa"/>
            <w:gridSpan w:val="3"/>
            <w:tcBorders>
              <w:top w:val="single" w:sz="4" w:space="0" w:color="000000"/>
              <w:bottom w:val="single" w:sz="4" w:space="0" w:color="000000"/>
            </w:tcBorders>
          </w:tcPr>
          <w:p>
            <w:pPr>
              <w:pStyle w:val="TableParagraph"/>
              <w:tabs>
                <w:tab w:pos="1439" w:val="left" w:leader="none"/>
                <w:tab w:pos="2318" w:val="left" w:leader="none"/>
              </w:tabs>
              <w:spacing w:before="6"/>
              <w:ind w:left="690"/>
              <w:jc w:val="left"/>
              <w:rPr>
                <w:i/>
                <w:sz w:val="16"/>
              </w:rPr>
            </w:pPr>
            <w:r>
              <w:rPr>
                <w:i/>
                <w:spacing w:val="-10"/>
                <w:sz w:val="16"/>
              </w:rPr>
              <w:t>-</w:t>
            </w:r>
            <w:r>
              <w:rPr>
                <w:i/>
                <w:sz w:val="16"/>
              </w:rPr>
              <w:tab/>
            </w:r>
            <w:r>
              <w:rPr>
                <w:i/>
                <w:spacing w:val="-10"/>
                <w:sz w:val="16"/>
              </w:rPr>
              <w:t>-</w:t>
            </w:r>
            <w:r>
              <w:rPr>
                <w:i/>
                <w:sz w:val="16"/>
              </w:rPr>
              <w:tab/>
            </w:r>
            <w:r>
              <w:rPr>
                <w:i/>
                <w:spacing w:val="-4"/>
                <w:sz w:val="16"/>
              </w:rPr>
              <w:t>21.5</w:t>
            </w:r>
          </w:p>
        </w:tc>
      </w:tr>
      <w:tr>
        <w:trPr>
          <w:trHeight w:val="225" w:hRule="atLeast"/>
        </w:trPr>
        <w:tc>
          <w:tcPr>
            <w:tcW w:w="1173" w:type="dxa"/>
            <w:tcBorders>
              <w:bottom w:val="single" w:sz="12" w:space="0" w:color="000000"/>
            </w:tcBorders>
          </w:tcPr>
          <w:p>
            <w:pPr>
              <w:pStyle w:val="TableParagraph"/>
              <w:spacing w:line="181" w:lineRule="exact"/>
              <w:ind w:left="124"/>
              <w:jc w:val="left"/>
              <w:rPr>
                <w:b/>
                <w:sz w:val="16"/>
              </w:rPr>
            </w:pPr>
            <w:r>
              <w:rPr>
                <w:b/>
                <w:spacing w:val="-2"/>
                <w:sz w:val="16"/>
              </w:rPr>
              <w:t>Total</w:t>
            </w:r>
          </w:p>
        </w:tc>
        <w:tc>
          <w:tcPr>
            <w:tcW w:w="2422" w:type="dxa"/>
            <w:gridSpan w:val="2"/>
            <w:tcBorders>
              <w:bottom w:val="single" w:sz="12" w:space="0" w:color="000000"/>
            </w:tcBorders>
          </w:tcPr>
          <w:p>
            <w:pPr>
              <w:pStyle w:val="TableParagraph"/>
              <w:spacing w:line="181" w:lineRule="exact"/>
              <w:ind w:right="144"/>
              <w:rPr>
                <w:b/>
                <w:sz w:val="16"/>
              </w:rPr>
            </w:pPr>
            <w:r>
              <w:rPr>
                <w:b/>
                <w:spacing w:val="-2"/>
                <w:sz w:val="16"/>
              </w:rPr>
              <w:t>9,950.2</w:t>
            </w:r>
          </w:p>
        </w:tc>
        <w:tc>
          <w:tcPr>
            <w:tcW w:w="2142" w:type="dxa"/>
            <w:gridSpan w:val="2"/>
            <w:tcBorders>
              <w:bottom w:val="single" w:sz="12" w:space="0" w:color="000000"/>
            </w:tcBorders>
          </w:tcPr>
          <w:p>
            <w:pPr>
              <w:pStyle w:val="TableParagraph"/>
              <w:tabs>
                <w:tab w:pos="1552" w:val="left" w:leader="none"/>
              </w:tabs>
              <w:spacing w:line="181" w:lineRule="exact"/>
              <w:ind w:left="890"/>
              <w:jc w:val="left"/>
              <w:rPr>
                <w:b/>
                <w:sz w:val="16"/>
              </w:rPr>
            </w:pPr>
            <w:r>
              <w:rPr>
                <w:b/>
                <w:spacing w:val="-10"/>
                <w:sz w:val="16"/>
              </w:rPr>
              <w:t>-</w:t>
            </w:r>
            <w:r>
              <w:rPr>
                <w:b/>
                <w:sz w:val="16"/>
              </w:rPr>
              <w:tab/>
            </w:r>
            <w:r>
              <w:rPr>
                <w:b/>
                <w:spacing w:val="-2"/>
                <w:sz w:val="16"/>
              </w:rPr>
              <w:t>9,950.2</w:t>
            </w:r>
          </w:p>
        </w:tc>
        <w:tc>
          <w:tcPr>
            <w:tcW w:w="1217" w:type="dxa"/>
            <w:tcBorders>
              <w:bottom w:val="single" w:sz="12" w:space="0" w:color="000000"/>
            </w:tcBorders>
          </w:tcPr>
          <w:p>
            <w:pPr>
              <w:pStyle w:val="TableParagraph"/>
              <w:spacing w:line="181" w:lineRule="exact"/>
              <w:ind w:right="213"/>
              <w:rPr>
                <w:b/>
                <w:sz w:val="16"/>
              </w:rPr>
            </w:pPr>
            <w:r>
              <w:rPr>
                <w:b/>
                <w:spacing w:val="-2"/>
                <w:sz w:val="16"/>
              </w:rPr>
              <w:t>11,040.4</w:t>
            </w:r>
          </w:p>
        </w:tc>
        <w:tc>
          <w:tcPr>
            <w:tcW w:w="978" w:type="dxa"/>
            <w:tcBorders>
              <w:bottom w:val="single" w:sz="12" w:space="0" w:color="000000"/>
            </w:tcBorders>
          </w:tcPr>
          <w:p>
            <w:pPr>
              <w:pStyle w:val="TableParagraph"/>
              <w:spacing w:line="181" w:lineRule="exact"/>
              <w:ind w:right="231"/>
              <w:rPr>
                <w:b/>
                <w:sz w:val="16"/>
              </w:rPr>
            </w:pPr>
            <w:r>
              <w:rPr>
                <w:b/>
                <w:spacing w:val="-2"/>
                <w:sz w:val="16"/>
              </w:rPr>
              <w:t>1,576.7</w:t>
            </w:r>
          </w:p>
        </w:tc>
        <w:tc>
          <w:tcPr>
            <w:tcW w:w="634" w:type="dxa"/>
            <w:tcBorders>
              <w:bottom w:val="single" w:sz="12" w:space="0" w:color="000000"/>
            </w:tcBorders>
          </w:tcPr>
          <w:p>
            <w:pPr>
              <w:pStyle w:val="TableParagraph"/>
              <w:spacing w:line="181" w:lineRule="exact"/>
              <w:ind w:right="115"/>
              <w:rPr>
                <w:b/>
                <w:sz w:val="16"/>
              </w:rPr>
            </w:pPr>
            <w:r>
              <w:rPr>
                <w:b/>
                <w:spacing w:val="-4"/>
                <w:sz w:val="16"/>
              </w:rPr>
              <w:t>14.3</w:t>
            </w:r>
          </w:p>
        </w:tc>
        <w:tc>
          <w:tcPr>
            <w:tcW w:w="1086" w:type="dxa"/>
            <w:tcBorders>
              <w:bottom w:val="single" w:sz="12" w:space="0" w:color="000000"/>
            </w:tcBorders>
          </w:tcPr>
          <w:p>
            <w:pPr>
              <w:pStyle w:val="TableParagraph"/>
              <w:spacing w:line="181" w:lineRule="exact"/>
              <w:ind w:right="97"/>
              <w:rPr>
                <w:b/>
                <w:sz w:val="16"/>
              </w:rPr>
            </w:pPr>
            <w:r>
              <w:rPr>
                <w:b/>
                <w:spacing w:val="-2"/>
                <w:sz w:val="16"/>
              </w:rPr>
              <w:t>12,617.1</w:t>
            </w:r>
          </w:p>
        </w:tc>
      </w:tr>
    </w:tbl>
    <w:p>
      <w:pPr>
        <w:pStyle w:val="BodyText"/>
        <w:spacing w:before="2"/>
      </w:pPr>
    </w:p>
    <w:p>
      <w:pPr>
        <w:spacing w:before="0"/>
        <w:ind w:left="2246" w:right="0" w:firstLine="0"/>
        <w:jc w:val="left"/>
        <w:rPr>
          <w:b/>
          <w:sz w:val="20"/>
        </w:rPr>
      </w:pPr>
      <w:r>
        <w:rPr>
          <w:b/>
          <w:sz w:val="20"/>
        </w:rPr>
        <w:t>Table</w:t>
      </w:r>
      <w:r>
        <w:rPr>
          <w:b/>
          <w:spacing w:val="-6"/>
          <w:sz w:val="20"/>
        </w:rPr>
        <w:t> </w:t>
      </w:r>
      <w:r>
        <w:rPr>
          <w:b/>
          <w:sz w:val="20"/>
        </w:rPr>
        <w:t>10:</w:t>
      </w:r>
      <w:r>
        <w:rPr>
          <w:b/>
          <w:spacing w:val="-7"/>
          <w:sz w:val="20"/>
        </w:rPr>
        <w:t> </w:t>
      </w:r>
      <w:r>
        <w:rPr>
          <w:b/>
          <w:sz w:val="20"/>
        </w:rPr>
        <w:t>Programme</w:t>
      </w:r>
      <w:r>
        <w:rPr>
          <w:b/>
          <w:spacing w:val="-6"/>
          <w:sz w:val="20"/>
        </w:rPr>
        <w:t> </w:t>
      </w:r>
      <w:r>
        <w:rPr>
          <w:b/>
          <w:sz w:val="20"/>
        </w:rPr>
        <w:t>1200:</w:t>
      </w:r>
      <w:r>
        <w:rPr>
          <w:b/>
          <w:spacing w:val="-7"/>
          <w:sz w:val="20"/>
        </w:rPr>
        <w:t> </w:t>
      </w:r>
      <w:r>
        <w:rPr>
          <w:b/>
          <w:sz w:val="20"/>
        </w:rPr>
        <w:t>Proposed</w:t>
      </w:r>
      <w:r>
        <w:rPr>
          <w:b/>
          <w:spacing w:val="-8"/>
          <w:sz w:val="20"/>
        </w:rPr>
        <w:t> </w:t>
      </w:r>
      <w:r>
        <w:rPr>
          <w:b/>
          <w:sz w:val="20"/>
        </w:rPr>
        <w:t>staffing</w:t>
      </w:r>
      <w:r>
        <w:rPr>
          <w:b/>
          <w:spacing w:val="-3"/>
          <w:sz w:val="20"/>
        </w:rPr>
        <w:t> </w:t>
      </w:r>
      <w:r>
        <w:rPr>
          <w:b/>
          <w:sz w:val="20"/>
        </w:rPr>
        <w:t>for</w:t>
      </w:r>
      <w:r>
        <w:rPr>
          <w:b/>
          <w:spacing w:val="-5"/>
          <w:sz w:val="20"/>
        </w:rPr>
        <w:t> </w:t>
      </w:r>
      <w:r>
        <w:rPr>
          <w:b/>
          <w:spacing w:val="-4"/>
          <w:sz w:val="20"/>
        </w:rPr>
        <w:t>2023</w:t>
      </w:r>
    </w:p>
    <w:tbl>
      <w:tblPr>
        <w:tblW w:w="0" w:type="auto"/>
        <w:jc w:val="left"/>
        <w:tblInd w:w="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6"/>
        <w:gridCol w:w="678"/>
        <w:gridCol w:w="607"/>
        <w:gridCol w:w="563"/>
        <w:gridCol w:w="581"/>
        <w:gridCol w:w="581"/>
        <w:gridCol w:w="566"/>
        <w:gridCol w:w="634"/>
        <w:gridCol w:w="727"/>
        <w:gridCol w:w="462"/>
        <w:gridCol w:w="795"/>
        <w:gridCol w:w="566"/>
        <w:gridCol w:w="576"/>
        <w:gridCol w:w="561"/>
        <w:gridCol w:w="819"/>
        <w:gridCol w:w="518"/>
      </w:tblGrid>
      <w:tr>
        <w:trPr>
          <w:trHeight w:val="484" w:hRule="atLeast"/>
        </w:trPr>
        <w:tc>
          <w:tcPr>
            <w:tcW w:w="1186"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8" w:lineRule="exact"/>
              <w:ind w:left="67"/>
              <w:jc w:val="left"/>
              <w:rPr>
                <w:sz w:val="14"/>
              </w:rPr>
            </w:pPr>
            <w:r>
              <w:rPr>
                <w:spacing w:val="-4"/>
                <w:sz w:val="14"/>
              </w:rPr>
              <w:t>1200</w:t>
            </w:r>
          </w:p>
        </w:tc>
        <w:tc>
          <w:tcPr>
            <w:tcW w:w="678"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8" w:lineRule="exact"/>
              <w:ind w:right="152"/>
              <w:rPr>
                <w:sz w:val="14"/>
              </w:rPr>
            </w:pPr>
            <w:r>
              <w:rPr>
                <w:spacing w:val="-5"/>
                <w:sz w:val="14"/>
              </w:rPr>
              <w:t>USG</w:t>
            </w:r>
          </w:p>
        </w:tc>
        <w:tc>
          <w:tcPr>
            <w:tcW w:w="607"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8" w:lineRule="exact"/>
              <w:ind w:right="169"/>
              <w:rPr>
                <w:sz w:val="14"/>
              </w:rPr>
            </w:pPr>
            <w:r>
              <w:rPr>
                <w:spacing w:val="-5"/>
                <w:sz w:val="14"/>
              </w:rPr>
              <w:t>ASG</w:t>
            </w:r>
          </w:p>
        </w:tc>
        <w:tc>
          <w:tcPr>
            <w:tcW w:w="563"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8" w:lineRule="exact"/>
              <w:ind w:right="167"/>
              <w:rPr>
                <w:sz w:val="14"/>
              </w:rPr>
            </w:pPr>
            <w:r>
              <w:rPr>
                <w:w w:val="95"/>
                <w:sz w:val="14"/>
              </w:rPr>
              <w:t>D-</w:t>
            </w:r>
            <w:r>
              <w:rPr>
                <w:spacing w:val="-10"/>
                <w:sz w:val="14"/>
              </w:rPr>
              <w:t>2</w:t>
            </w:r>
          </w:p>
        </w:tc>
        <w:tc>
          <w:tcPr>
            <w:tcW w:w="581"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8" w:lineRule="exact"/>
              <w:ind w:right="187"/>
              <w:rPr>
                <w:sz w:val="14"/>
              </w:rPr>
            </w:pPr>
            <w:r>
              <w:rPr>
                <w:w w:val="95"/>
                <w:sz w:val="14"/>
              </w:rPr>
              <w:t>D-</w:t>
            </w:r>
            <w:r>
              <w:rPr>
                <w:spacing w:val="-10"/>
                <w:sz w:val="14"/>
              </w:rPr>
              <w:t>1</w:t>
            </w:r>
          </w:p>
        </w:tc>
        <w:tc>
          <w:tcPr>
            <w:tcW w:w="581"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8" w:lineRule="exact"/>
              <w:ind w:left="17" w:right="17"/>
              <w:jc w:val="center"/>
              <w:rPr>
                <w:sz w:val="14"/>
              </w:rPr>
            </w:pPr>
            <w:r>
              <w:rPr>
                <w:w w:val="95"/>
                <w:sz w:val="14"/>
              </w:rPr>
              <w:t>P-</w:t>
            </w:r>
            <w:r>
              <w:rPr>
                <w:spacing w:val="-10"/>
                <w:sz w:val="14"/>
              </w:rPr>
              <w:t>5</w:t>
            </w:r>
          </w:p>
        </w:tc>
        <w:tc>
          <w:tcPr>
            <w:tcW w:w="566"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8" w:lineRule="exact"/>
              <w:ind w:right="172"/>
              <w:rPr>
                <w:sz w:val="14"/>
              </w:rPr>
            </w:pPr>
            <w:r>
              <w:rPr>
                <w:w w:val="95"/>
                <w:sz w:val="14"/>
              </w:rPr>
              <w:t>P-</w:t>
            </w:r>
            <w:r>
              <w:rPr>
                <w:spacing w:val="-10"/>
                <w:sz w:val="14"/>
              </w:rPr>
              <w:t>4</w:t>
            </w:r>
          </w:p>
        </w:tc>
        <w:tc>
          <w:tcPr>
            <w:tcW w:w="634"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8" w:lineRule="exact"/>
              <w:ind w:right="210"/>
              <w:rPr>
                <w:sz w:val="14"/>
              </w:rPr>
            </w:pPr>
            <w:r>
              <w:rPr>
                <w:w w:val="95"/>
                <w:sz w:val="14"/>
              </w:rPr>
              <w:t>P-</w:t>
            </w:r>
            <w:r>
              <w:rPr>
                <w:spacing w:val="-10"/>
                <w:sz w:val="14"/>
              </w:rPr>
              <w:t>3</w:t>
            </w:r>
          </w:p>
        </w:tc>
        <w:tc>
          <w:tcPr>
            <w:tcW w:w="727"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8" w:lineRule="exact"/>
              <w:ind w:right="197"/>
              <w:rPr>
                <w:sz w:val="14"/>
              </w:rPr>
            </w:pPr>
            <w:r>
              <w:rPr>
                <w:w w:val="95"/>
                <w:sz w:val="14"/>
              </w:rPr>
              <w:t>P-</w:t>
            </w:r>
            <w:r>
              <w:rPr>
                <w:spacing w:val="-10"/>
                <w:sz w:val="14"/>
              </w:rPr>
              <w:t>2</w:t>
            </w:r>
          </w:p>
        </w:tc>
        <w:tc>
          <w:tcPr>
            <w:tcW w:w="462"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8" w:lineRule="exact"/>
              <w:ind w:right="64"/>
              <w:rPr>
                <w:sz w:val="14"/>
              </w:rPr>
            </w:pPr>
            <w:r>
              <w:rPr>
                <w:w w:val="95"/>
                <w:sz w:val="14"/>
              </w:rPr>
              <w:t>P-</w:t>
            </w:r>
            <w:r>
              <w:rPr>
                <w:spacing w:val="-10"/>
                <w:sz w:val="14"/>
              </w:rPr>
              <w:t>1</w:t>
            </w:r>
          </w:p>
        </w:tc>
        <w:tc>
          <w:tcPr>
            <w:tcW w:w="795" w:type="dxa"/>
            <w:tcBorders>
              <w:top w:val="single" w:sz="4" w:space="0" w:color="000000"/>
              <w:bottom w:val="single" w:sz="4" w:space="0" w:color="000000"/>
            </w:tcBorders>
          </w:tcPr>
          <w:p>
            <w:pPr>
              <w:pStyle w:val="TableParagraph"/>
              <w:spacing w:line="235" w:lineRule="auto"/>
              <w:ind w:left="276" w:right="122" w:firstLine="96"/>
              <w:rPr>
                <w:i/>
                <w:sz w:val="14"/>
              </w:rPr>
            </w:pPr>
            <w:r>
              <w:rPr>
                <w:i/>
                <w:spacing w:val="-2"/>
                <w:sz w:val="14"/>
              </w:rPr>
              <w:t>Total</w:t>
            </w:r>
            <w:r>
              <w:rPr>
                <w:i/>
                <w:spacing w:val="40"/>
                <w:sz w:val="14"/>
              </w:rPr>
              <w:t> </w:t>
            </w:r>
            <w:r>
              <w:rPr>
                <w:i/>
                <w:w w:val="95"/>
                <w:sz w:val="14"/>
              </w:rPr>
              <w:t>P-</w:t>
            </w:r>
            <w:r>
              <w:rPr>
                <w:i/>
                <w:spacing w:val="-4"/>
                <w:sz w:val="14"/>
              </w:rPr>
              <w:t>Staff</w:t>
            </w:r>
          </w:p>
          <w:p>
            <w:pPr>
              <w:pStyle w:val="TableParagraph"/>
              <w:spacing w:line="148" w:lineRule="exact"/>
              <w:ind w:right="119"/>
              <w:rPr>
                <w:i/>
                <w:sz w:val="14"/>
              </w:rPr>
            </w:pPr>
            <w:r>
              <w:rPr>
                <w:i/>
                <w:sz w:val="14"/>
              </w:rPr>
              <w:t>and</w:t>
            </w:r>
            <w:r>
              <w:rPr>
                <w:i/>
                <w:spacing w:val="1"/>
                <w:sz w:val="14"/>
              </w:rPr>
              <w:t> </w:t>
            </w:r>
            <w:r>
              <w:rPr>
                <w:i/>
                <w:spacing w:val="-2"/>
                <w:sz w:val="14"/>
              </w:rPr>
              <w:t>Above</w:t>
            </w:r>
          </w:p>
        </w:tc>
        <w:tc>
          <w:tcPr>
            <w:tcW w:w="566"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8" w:lineRule="exact"/>
              <w:ind w:right="91"/>
              <w:rPr>
                <w:sz w:val="14"/>
              </w:rPr>
            </w:pPr>
            <w:r>
              <w:rPr>
                <w:w w:val="95"/>
                <w:sz w:val="14"/>
              </w:rPr>
              <w:t>NO-</w:t>
            </w:r>
            <w:r>
              <w:rPr>
                <w:spacing w:val="-10"/>
                <w:sz w:val="14"/>
              </w:rPr>
              <w:t>C</w:t>
            </w:r>
          </w:p>
        </w:tc>
        <w:tc>
          <w:tcPr>
            <w:tcW w:w="576"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8" w:lineRule="exact"/>
              <w:ind w:right="80"/>
              <w:rPr>
                <w:sz w:val="14"/>
              </w:rPr>
            </w:pPr>
            <w:r>
              <w:rPr>
                <w:w w:val="95"/>
                <w:sz w:val="14"/>
              </w:rPr>
              <w:t>GS-</w:t>
            </w:r>
            <w:r>
              <w:rPr>
                <w:spacing w:val="-5"/>
                <w:sz w:val="14"/>
              </w:rPr>
              <w:t>PL</w:t>
            </w:r>
          </w:p>
        </w:tc>
        <w:tc>
          <w:tcPr>
            <w:tcW w:w="561"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8" w:lineRule="exact"/>
              <w:ind w:right="49"/>
              <w:rPr>
                <w:sz w:val="14"/>
              </w:rPr>
            </w:pPr>
            <w:r>
              <w:rPr>
                <w:w w:val="95"/>
                <w:sz w:val="14"/>
              </w:rPr>
              <w:t>GS-</w:t>
            </w:r>
            <w:r>
              <w:rPr>
                <w:spacing w:val="-5"/>
                <w:sz w:val="14"/>
              </w:rPr>
              <w:t>OL</w:t>
            </w:r>
          </w:p>
        </w:tc>
        <w:tc>
          <w:tcPr>
            <w:tcW w:w="819" w:type="dxa"/>
            <w:tcBorders>
              <w:top w:val="single" w:sz="4" w:space="0" w:color="000000"/>
              <w:bottom w:val="single" w:sz="4" w:space="0" w:color="000000"/>
            </w:tcBorders>
          </w:tcPr>
          <w:p>
            <w:pPr>
              <w:pStyle w:val="TableParagraph"/>
              <w:spacing w:line="235" w:lineRule="auto"/>
              <w:ind w:left="266" w:right="123" w:firstLine="124"/>
              <w:jc w:val="left"/>
              <w:rPr>
                <w:i/>
                <w:sz w:val="14"/>
              </w:rPr>
            </w:pPr>
            <w:r>
              <w:rPr>
                <w:i/>
                <w:spacing w:val="-2"/>
                <w:sz w:val="14"/>
              </w:rPr>
              <w:t>Total</w:t>
            </w:r>
            <w:r>
              <w:rPr>
                <w:i/>
                <w:spacing w:val="40"/>
                <w:sz w:val="14"/>
              </w:rPr>
              <w:t> </w:t>
            </w:r>
            <w:r>
              <w:rPr>
                <w:i/>
                <w:sz w:val="14"/>
              </w:rPr>
              <w:t>GS</w:t>
            </w:r>
            <w:r>
              <w:rPr>
                <w:i/>
                <w:spacing w:val="-1"/>
                <w:sz w:val="14"/>
              </w:rPr>
              <w:t> </w:t>
            </w:r>
            <w:r>
              <w:rPr>
                <w:i/>
                <w:spacing w:val="-5"/>
                <w:sz w:val="14"/>
              </w:rPr>
              <w:t>and</w:t>
            </w:r>
          </w:p>
          <w:p>
            <w:pPr>
              <w:pStyle w:val="TableParagraph"/>
              <w:spacing w:line="148" w:lineRule="exact"/>
              <w:ind w:left="69"/>
              <w:jc w:val="left"/>
              <w:rPr>
                <w:i/>
                <w:sz w:val="14"/>
              </w:rPr>
            </w:pPr>
            <w:r>
              <w:rPr>
                <w:i/>
                <w:sz w:val="14"/>
              </w:rPr>
              <w:t>Other</w:t>
            </w:r>
            <w:r>
              <w:rPr>
                <w:i/>
                <w:spacing w:val="-5"/>
                <w:sz w:val="14"/>
              </w:rPr>
              <w:t> </w:t>
            </w:r>
            <w:r>
              <w:rPr>
                <w:i/>
                <w:spacing w:val="-2"/>
                <w:sz w:val="14"/>
              </w:rPr>
              <w:t>Staff</w:t>
            </w:r>
          </w:p>
        </w:tc>
        <w:tc>
          <w:tcPr>
            <w:tcW w:w="518" w:type="dxa"/>
            <w:tcBorders>
              <w:top w:val="single" w:sz="4" w:space="0" w:color="000000"/>
              <w:bottom w:val="single" w:sz="4" w:space="0" w:color="000000"/>
            </w:tcBorders>
          </w:tcPr>
          <w:p>
            <w:pPr>
              <w:pStyle w:val="TableParagraph"/>
              <w:spacing w:before="4"/>
              <w:jc w:val="left"/>
              <w:rPr>
                <w:b/>
                <w:sz w:val="12"/>
              </w:rPr>
            </w:pPr>
          </w:p>
          <w:p>
            <w:pPr>
              <w:pStyle w:val="TableParagraph"/>
              <w:spacing w:line="160" w:lineRule="atLeast"/>
              <w:ind w:left="181" w:hanging="34"/>
              <w:jc w:val="left"/>
              <w:rPr>
                <w:b/>
                <w:sz w:val="14"/>
              </w:rPr>
            </w:pPr>
            <w:r>
              <w:rPr>
                <w:b/>
                <w:spacing w:val="-4"/>
                <w:sz w:val="14"/>
              </w:rPr>
              <w:t>Total</w:t>
            </w:r>
            <w:r>
              <w:rPr>
                <w:b/>
                <w:spacing w:val="40"/>
                <w:sz w:val="14"/>
              </w:rPr>
              <w:t> </w:t>
            </w:r>
            <w:r>
              <w:rPr>
                <w:b/>
                <w:spacing w:val="-4"/>
                <w:sz w:val="14"/>
              </w:rPr>
              <w:t>Staff</w:t>
            </w:r>
          </w:p>
        </w:tc>
      </w:tr>
      <w:tr>
        <w:trPr>
          <w:trHeight w:val="231" w:hRule="atLeast"/>
        </w:trPr>
        <w:tc>
          <w:tcPr>
            <w:tcW w:w="1186" w:type="dxa"/>
            <w:tcBorders>
              <w:top w:val="single" w:sz="4" w:space="0" w:color="000000"/>
            </w:tcBorders>
          </w:tcPr>
          <w:p>
            <w:pPr>
              <w:pStyle w:val="TableParagraph"/>
              <w:spacing w:before="23"/>
              <w:ind w:left="67"/>
              <w:jc w:val="left"/>
              <w:rPr>
                <w:b/>
                <w:sz w:val="14"/>
              </w:rPr>
            </w:pPr>
            <w:r>
              <w:rPr>
                <w:b/>
                <w:spacing w:val="-2"/>
                <w:sz w:val="14"/>
              </w:rPr>
              <w:t>Established</w:t>
            </w:r>
            <w:r>
              <w:rPr>
                <w:b/>
                <w:spacing w:val="11"/>
                <w:sz w:val="14"/>
              </w:rPr>
              <w:t> </w:t>
            </w:r>
            <w:r>
              <w:rPr>
                <w:b/>
                <w:spacing w:val="-2"/>
                <w:sz w:val="14"/>
              </w:rPr>
              <w:t>Posts</w:t>
            </w:r>
          </w:p>
        </w:tc>
        <w:tc>
          <w:tcPr>
            <w:tcW w:w="678" w:type="dxa"/>
            <w:tcBorders>
              <w:top w:val="single" w:sz="4" w:space="0" w:color="000000"/>
            </w:tcBorders>
          </w:tcPr>
          <w:p>
            <w:pPr>
              <w:pStyle w:val="TableParagraph"/>
              <w:jc w:val="left"/>
              <w:rPr>
                <w:sz w:val="14"/>
              </w:rPr>
            </w:pPr>
          </w:p>
        </w:tc>
        <w:tc>
          <w:tcPr>
            <w:tcW w:w="607" w:type="dxa"/>
            <w:tcBorders>
              <w:top w:val="single" w:sz="4" w:space="0" w:color="000000"/>
            </w:tcBorders>
          </w:tcPr>
          <w:p>
            <w:pPr>
              <w:pStyle w:val="TableParagraph"/>
              <w:jc w:val="left"/>
              <w:rPr>
                <w:sz w:val="14"/>
              </w:rPr>
            </w:pPr>
          </w:p>
        </w:tc>
        <w:tc>
          <w:tcPr>
            <w:tcW w:w="563" w:type="dxa"/>
            <w:tcBorders>
              <w:top w:val="single" w:sz="4" w:space="0" w:color="000000"/>
            </w:tcBorders>
          </w:tcPr>
          <w:p>
            <w:pPr>
              <w:pStyle w:val="TableParagraph"/>
              <w:jc w:val="left"/>
              <w:rPr>
                <w:sz w:val="14"/>
              </w:rPr>
            </w:pPr>
          </w:p>
        </w:tc>
        <w:tc>
          <w:tcPr>
            <w:tcW w:w="581" w:type="dxa"/>
            <w:tcBorders>
              <w:top w:val="single" w:sz="4" w:space="0" w:color="000000"/>
            </w:tcBorders>
          </w:tcPr>
          <w:p>
            <w:pPr>
              <w:pStyle w:val="TableParagraph"/>
              <w:jc w:val="left"/>
              <w:rPr>
                <w:sz w:val="14"/>
              </w:rPr>
            </w:pPr>
          </w:p>
        </w:tc>
        <w:tc>
          <w:tcPr>
            <w:tcW w:w="581" w:type="dxa"/>
            <w:tcBorders>
              <w:top w:val="single" w:sz="4" w:space="0" w:color="000000"/>
            </w:tcBorders>
          </w:tcPr>
          <w:p>
            <w:pPr>
              <w:pStyle w:val="TableParagraph"/>
              <w:jc w:val="left"/>
              <w:rPr>
                <w:sz w:val="14"/>
              </w:rPr>
            </w:pPr>
          </w:p>
        </w:tc>
        <w:tc>
          <w:tcPr>
            <w:tcW w:w="566" w:type="dxa"/>
            <w:tcBorders>
              <w:top w:val="single" w:sz="4" w:space="0" w:color="000000"/>
            </w:tcBorders>
          </w:tcPr>
          <w:p>
            <w:pPr>
              <w:pStyle w:val="TableParagraph"/>
              <w:jc w:val="left"/>
              <w:rPr>
                <w:sz w:val="14"/>
              </w:rPr>
            </w:pPr>
          </w:p>
        </w:tc>
        <w:tc>
          <w:tcPr>
            <w:tcW w:w="634" w:type="dxa"/>
            <w:tcBorders>
              <w:top w:val="single" w:sz="4" w:space="0" w:color="000000"/>
            </w:tcBorders>
          </w:tcPr>
          <w:p>
            <w:pPr>
              <w:pStyle w:val="TableParagraph"/>
              <w:jc w:val="left"/>
              <w:rPr>
                <w:sz w:val="14"/>
              </w:rPr>
            </w:pPr>
          </w:p>
        </w:tc>
        <w:tc>
          <w:tcPr>
            <w:tcW w:w="727" w:type="dxa"/>
            <w:tcBorders>
              <w:top w:val="single" w:sz="4" w:space="0" w:color="000000"/>
            </w:tcBorders>
          </w:tcPr>
          <w:p>
            <w:pPr>
              <w:pStyle w:val="TableParagraph"/>
              <w:jc w:val="left"/>
              <w:rPr>
                <w:sz w:val="14"/>
              </w:rPr>
            </w:pPr>
          </w:p>
        </w:tc>
        <w:tc>
          <w:tcPr>
            <w:tcW w:w="462" w:type="dxa"/>
            <w:tcBorders>
              <w:top w:val="single" w:sz="4" w:space="0" w:color="000000"/>
            </w:tcBorders>
          </w:tcPr>
          <w:p>
            <w:pPr>
              <w:pStyle w:val="TableParagraph"/>
              <w:jc w:val="left"/>
              <w:rPr>
                <w:sz w:val="14"/>
              </w:rPr>
            </w:pPr>
          </w:p>
        </w:tc>
        <w:tc>
          <w:tcPr>
            <w:tcW w:w="795" w:type="dxa"/>
            <w:tcBorders>
              <w:top w:val="single" w:sz="4" w:space="0" w:color="000000"/>
            </w:tcBorders>
          </w:tcPr>
          <w:p>
            <w:pPr>
              <w:pStyle w:val="TableParagraph"/>
              <w:jc w:val="left"/>
              <w:rPr>
                <w:sz w:val="14"/>
              </w:rPr>
            </w:pPr>
          </w:p>
        </w:tc>
        <w:tc>
          <w:tcPr>
            <w:tcW w:w="566" w:type="dxa"/>
            <w:tcBorders>
              <w:top w:val="single" w:sz="4" w:space="0" w:color="000000"/>
            </w:tcBorders>
          </w:tcPr>
          <w:p>
            <w:pPr>
              <w:pStyle w:val="TableParagraph"/>
              <w:jc w:val="left"/>
              <w:rPr>
                <w:sz w:val="14"/>
              </w:rPr>
            </w:pPr>
          </w:p>
        </w:tc>
        <w:tc>
          <w:tcPr>
            <w:tcW w:w="576" w:type="dxa"/>
            <w:tcBorders>
              <w:top w:val="single" w:sz="4" w:space="0" w:color="000000"/>
            </w:tcBorders>
          </w:tcPr>
          <w:p>
            <w:pPr>
              <w:pStyle w:val="TableParagraph"/>
              <w:jc w:val="left"/>
              <w:rPr>
                <w:sz w:val="14"/>
              </w:rPr>
            </w:pPr>
          </w:p>
        </w:tc>
        <w:tc>
          <w:tcPr>
            <w:tcW w:w="561" w:type="dxa"/>
            <w:tcBorders>
              <w:top w:val="single" w:sz="4" w:space="0" w:color="000000"/>
            </w:tcBorders>
          </w:tcPr>
          <w:p>
            <w:pPr>
              <w:pStyle w:val="TableParagraph"/>
              <w:jc w:val="left"/>
              <w:rPr>
                <w:sz w:val="14"/>
              </w:rPr>
            </w:pPr>
          </w:p>
        </w:tc>
        <w:tc>
          <w:tcPr>
            <w:tcW w:w="819" w:type="dxa"/>
            <w:tcBorders>
              <w:top w:val="single" w:sz="4" w:space="0" w:color="000000"/>
            </w:tcBorders>
          </w:tcPr>
          <w:p>
            <w:pPr>
              <w:pStyle w:val="TableParagraph"/>
              <w:jc w:val="left"/>
              <w:rPr>
                <w:sz w:val="14"/>
              </w:rPr>
            </w:pPr>
          </w:p>
        </w:tc>
        <w:tc>
          <w:tcPr>
            <w:tcW w:w="518" w:type="dxa"/>
            <w:tcBorders>
              <w:top w:val="single" w:sz="4" w:space="0" w:color="000000"/>
            </w:tcBorders>
          </w:tcPr>
          <w:p>
            <w:pPr>
              <w:pStyle w:val="TableParagraph"/>
              <w:jc w:val="left"/>
              <w:rPr>
                <w:sz w:val="14"/>
              </w:rPr>
            </w:pPr>
          </w:p>
        </w:tc>
      </w:tr>
      <w:tr>
        <w:trPr>
          <w:trHeight w:val="219" w:hRule="atLeast"/>
        </w:trPr>
        <w:tc>
          <w:tcPr>
            <w:tcW w:w="1186" w:type="dxa"/>
            <w:tcBorders>
              <w:bottom w:val="single" w:sz="12" w:space="0" w:color="000000"/>
            </w:tcBorders>
          </w:tcPr>
          <w:p>
            <w:pPr>
              <w:pStyle w:val="TableParagraph"/>
              <w:spacing w:before="22"/>
              <w:ind w:left="67"/>
              <w:jc w:val="left"/>
              <w:rPr>
                <w:sz w:val="14"/>
              </w:rPr>
            </w:pPr>
            <w:r>
              <w:rPr>
                <w:w w:val="95"/>
                <w:sz w:val="14"/>
              </w:rPr>
              <w:t>Approved</w:t>
            </w:r>
            <w:r>
              <w:rPr>
                <w:spacing w:val="22"/>
                <w:sz w:val="14"/>
              </w:rPr>
              <w:t> </w:t>
            </w:r>
            <w:r>
              <w:rPr>
                <w:spacing w:val="-4"/>
                <w:sz w:val="14"/>
              </w:rPr>
              <w:t>2022</w:t>
            </w:r>
          </w:p>
        </w:tc>
        <w:tc>
          <w:tcPr>
            <w:tcW w:w="678" w:type="dxa"/>
            <w:tcBorders>
              <w:bottom w:val="single" w:sz="12" w:space="0" w:color="000000"/>
            </w:tcBorders>
          </w:tcPr>
          <w:p>
            <w:pPr>
              <w:pStyle w:val="TableParagraph"/>
              <w:spacing w:before="22"/>
              <w:ind w:right="154"/>
              <w:rPr>
                <w:sz w:val="14"/>
              </w:rPr>
            </w:pPr>
            <w:r>
              <w:rPr>
                <w:w w:val="99"/>
                <w:sz w:val="14"/>
              </w:rPr>
              <w:t>-</w:t>
            </w:r>
          </w:p>
        </w:tc>
        <w:tc>
          <w:tcPr>
            <w:tcW w:w="607" w:type="dxa"/>
            <w:tcBorders>
              <w:bottom w:val="single" w:sz="12" w:space="0" w:color="000000"/>
            </w:tcBorders>
          </w:tcPr>
          <w:p>
            <w:pPr>
              <w:pStyle w:val="TableParagraph"/>
              <w:spacing w:before="22"/>
              <w:ind w:right="170"/>
              <w:rPr>
                <w:sz w:val="14"/>
              </w:rPr>
            </w:pPr>
            <w:r>
              <w:rPr>
                <w:w w:val="99"/>
                <w:sz w:val="14"/>
              </w:rPr>
              <w:t>-</w:t>
            </w:r>
          </w:p>
        </w:tc>
        <w:tc>
          <w:tcPr>
            <w:tcW w:w="563" w:type="dxa"/>
            <w:tcBorders>
              <w:bottom w:val="single" w:sz="12" w:space="0" w:color="000000"/>
            </w:tcBorders>
          </w:tcPr>
          <w:p>
            <w:pPr>
              <w:pStyle w:val="TableParagraph"/>
              <w:spacing w:before="22"/>
              <w:ind w:right="171"/>
              <w:rPr>
                <w:sz w:val="14"/>
              </w:rPr>
            </w:pPr>
            <w:r>
              <w:rPr>
                <w:w w:val="99"/>
                <w:sz w:val="14"/>
              </w:rPr>
              <w:t>-</w:t>
            </w:r>
          </w:p>
        </w:tc>
        <w:tc>
          <w:tcPr>
            <w:tcW w:w="581" w:type="dxa"/>
            <w:tcBorders>
              <w:bottom w:val="single" w:sz="12" w:space="0" w:color="000000"/>
            </w:tcBorders>
          </w:tcPr>
          <w:p>
            <w:pPr>
              <w:pStyle w:val="TableParagraph"/>
              <w:spacing w:before="22"/>
              <w:ind w:right="191"/>
              <w:rPr>
                <w:sz w:val="14"/>
              </w:rPr>
            </w:pPr>
            <w:r>
              <w:rPr>
                <w:w w:val="99"/>
                <w:sz w:val="14"/>
              </w:rPr>
              <w:t>-</w:t>
            </w:r>
          </w:p>
        </w:tc>
        <w:tc>
          <w:tcPr>
            <w:tcW w:w="581" w:type="dxa"/>
            <w:tcBorders>
              <w:bottom w:val="single" w:sz="12" w:space="0" w:color="000000"/>
            </w:tcBorders>
          </w:tcPr>
          <w:p>
            <w:pPr>
              <w:pStyle w:val="TableParagraph"/>
              <w:spacing w:before="22"/>
              <w:ind w:left="124"/>
              <w:jc w:val="center"/>
              <w:rPr>
                <w:sz w:val="14"/>
              </w:rPr>
            </w:pPr>
            <w:r>
              <w:rPr>
                <w:w w:val="99"/>
                <w:sz w:val="14"/>
              </w:rPr>
              <w:t>2</w:t>
            </w:r>
          </w:p>
        </w:tc>
        <w:tc>
          <w:tcPr>
            <w:tcW w:w="566" w:type="dxa"/>
            <w:tcBorders>
              <w:bottom w:val="single" w:sz="12" w:space="0" w:color="000000"/>
            </w:tcBorders>
          </w:tcPr>
          <w:p>
            <w:pPr>
              <w:pStyle w:val="TableParagraph"/>
              <w:spacing w:before="22"/>
              <w:ind w:right="172"/>
              <w:rPr>
                <w:sz w:val="14"/>
              </w:rPr>
            </w:pPr>
            <w:r>
              <w:rPr>
                <w:w w:val="99"/>
                <w:sz w:val="14"/>
              </w:rPr>
              <w:t>2</w:t>
            </w:r>
          </w:p>
        </w:tc>
        <w:tc>
          <w:tcPr>
            <w:tcW w:w="634" w:type="dxa"/>
            <w:tcBorders>
              <w:bottom w:val="single" w:sz="12" w:space="0" w:color="000000"/>
            </w:tcBorders>
          </w:tcPr>
          <w:p>
            <w:pPr>
              <w:pStyle w:val="TableParagraph"/>
              <w:spacing w:before="22"/>
              <w:ind w:right="203"/>
              <w:rPr>
                <w:sz w:val="14"/>
              </w:rPr>
            </w:pPr>
            <w:r>
              <w:rPr>
                <w:spacing w:val="-5"/>
                <w:sz w:val="14"/>
              </w:rPr>
              <w:t>18</w:t>
            </w:r>
          </w:p>
        </w:tc>
        <w:tc>
          <w:tcPr>
            <w:tcW w:w="727" w:type="dxa"/>
            <w:tcBorders>
              <w:bottom w:val="single" w:sz="12" w:space="0" w:color="000000"/>
            </w:tcBorders>
          </w:tcPr>
          <w:p>
            <w:pPr>
              <w:pStyle w:val="TableParagraph"/>
              <w:spacing w:before="22"/>
              <w:ind w:right="190"/>
              <w:rPr>
                <w:sz w:val="14"/>
              </w:rPr>
            </w:pPr>
            <w:r>
              <w:rPr>
                <w:spacing w:val="-5"/>
                <w:sz w:val="14"/>
              </w:rPr>
              <w:t>10</w:t>
            </w:r>
          </w:p>
        </w:tc>
        <w:tc>
          <w:tcPr>
            <w:tcW w:w="462" w:type="dxa"/>
            <w:tcBorders>
              <w:bottom w:val="single" w:sz="12" w:space="0" w:color="000000"/>
            </w:tcBorders>
          </w:tcPr>
          <w:p>
            <w:pPr>
              <w:pStyle w:val="TableParagraph"/>
              <w:spacing w:before="22"/>
              <w:ind w:right="63"/>
              <w:rPr>
                <w:sz w:val="14"/>
              </w:rPr>
            </w:pPr>
            <w:r>
              <w:rPr>
                <w:w w:val="99"/>
                <w:sz w:val="14"/>
              </w:rPr>
              <w:t>-</w:t>
            </w:r>
          </w:p>
        </w:tc>
        <w:tc>
          <w:tcPr>
            <w:tcW w:w="795" w:type="dxa"/>
            <w:tcBorders>
              <w:bottom w:val="single" w:sz="12" w:space="0" w:color="000000"/>
            </w:tcBorders>
          </w:tcPr>
          <w:p>
            <w:pPr>
              <w:pStyle w:val="TableParagraph"/>
              <w:spacing w:before="22"/>
              <w:ind w:right="117"/>
              <w:rPr>
                <w:i/>
                <w:sz w:val="14"/>
              </w:rPr>
            </w:pPr>
            <w:r>
              <w:rPr>
                <w:i/>
                <w:spacing w:val="-5"/>
                <w:sz w:val="14"/>
              </w:rPr>
              <w:t>32</w:t>
            </w:r>
          </w:p>
        </w:tc>
        <w:tc>
          <w:tcPr>
            <w:tcW w:w="566" w:type="dxa"/>
            <w:tcBorders>
              <w:bottom w:val="single" w:sz="12" w:space="0" w:color="000000"/>
            </w:tcBorders>
          </w:tcPr>
          <w:p>
            <w:pPr>
              <w:pStyle w:val="TableParagraph"/>
              <w:spacing w:before="22"/>
              <w:ind w:right="94"/>
              <w:rPr>
                <w:sz w:val="14"/>
              </w:rPr>
            </w:pPr>
            <w:r>
              <w:rPr>
                <w:w w:val="99"/>
                <w:sz w:val="14"/>
              </w:rPr>
              <w:t>-</w:t>
            </w:r>
          </w:p>
        </w:tc>
        <w:tc>
          <w:tcPr>
            <w:tcW w:w="576" w:type="dxa"/>
            <w:tcBorders>
              <w:bottom w:val="single" w:sz="12" w:space="0" w:color="000000"/>
            </w:tcBorders>
          </w:tcPr>
          <w:p>
            <w:pPr>
              <w:pStyle w:val="TableParagraph"/>
              <w:spacing w:before="22"/>
              <w:ind w:right="79"/>
              <w:rPr>
                <w:sz w:val="14"/>
              </w:rPr>
            </w:pPr>
            <w:r>
              <w:rPr>
                <w:w w:val="99"/>
                <w:sz w:val="14"/>
              </w:rPr>
              <w:t>-</w:t>
            </w:r>
          </w:p>
        </w:tc>
        <w:tc>
          <w:tcPr>
            <w:tcW w:w="561" w:type="dxa"/>
            <w:tcBorders>
              <w:bottom w:val="single" w:sz="12" w:space="0" w:color="000000"/>
            </w:tcBorders>
          </w:tcPr>
          <w:p>
            <w:pPr>
              <w:pStyle w:val="TableParagraph"/>
              <w:spacing w:before="22"/>
              <w:ind w:right="51"/>
              <w:rPr>
                <w:sz w:val="14"/>
              </w:rPr>
            </w:pPr>
            <w:r>
              <w:rPr>
                <w:w w:val="99"/>
                <w:sz w:val="14"/>
              </w:rPr>
              <w:t>8</w:t>
            </w:r>
          </w:p>
        </w:tc>
        <w:tc>
          <w:tcPr>
            <w:tcW w:w="819" w:type="dxa"/>
            <w:tcBorders>
              <w:bottom w:val="single" w:sz="12" w:space="0" w:color="000000"/>
            </w:tcBorders>
          </w:tcPr>
          <w:p>
            <w:pPr>
              <w:pStyle w:val="TableParagraph"/>
              <w:spacing w:before="22"/>
              <w:ind w:right="130"/>
              <w:rPr>
                <w:i/>
                <w:sz w:val="14"/>
              </w:rPr>
            </w:pPr>
            <w:r>
              <w:rPr>
                <w:i/>
                <w:w w:val="99"/>
                <w:sz w:val="14"/>
              </w:rPr>
              <w:t>8</w:t>
            </w:r>
          </w:p>
        </w:tc>
        <w:tc>
          <w:tcPr>
            <w:tcW w:w="518" w:type="dxa"/>
            <w:tcBorders>
              <w:bottom w:val="single" w:sz="12" w:space="0" w:color="000000"/>
            </w:tcBorders>
          </w:tcPr>
          <w:p>
            <w:pPr>
              <w:pStyle w:val="TableParagraph"/>
              <w:spacing w:before="22"/>
              <w:ind w:right="41"/>
              <w:rPr>
                <w:b/>
                <w:sz w:val="14"/>
              </w:rPr>
            </w:pPr>
            <w:r>
              <w:rPr>
                <w:b/>
                <w:spacing w:val="-5"/>
                <w:sz w:val="14"/>
              </w:rPr>
              <w:t>40</w:t>
            </w:r>
          </w:p>
        </w:tc>
      </w:tr>
      <w:tr>
        <w:trPr>
          <w:trHeight w:val="229" w:hRule="atLeast"/>
        </w:trPr>
        <w:tc>
          <w:tcPr>
            <w:tcW w:w="1186" w:type="dxa"/>
            <w:tcBorders>
              <w:top w:val="single" w:sz="12" w:space="0" w:color="000000"/>
              <w:bottom w:val="single" w:sz="4" w:space="0" w:color="000000"/>
            </w:tcBorders>
          </w:tcPr>
          <w:p>
            <w:pPr>
              <w:pStyle w:val="TableParagraph"/>
              <w:spacing w:before="28"/>
              <w:ind w:left="67"/>
              <w:jc w:val="left"/>
              <w:rPr>
                <w:sz w:val="14"/>
              </w:rPr>
            </w:pPr>
            <w:r>
              <w:rPr>
                <w:spacing w:val="-5"/>
                <w:sz w:val="14"/>
              </w:rPr>
              <w:t>New</w:t>
            </w:r>
          </w:p>
        </w:tc>
        <w:tc>
          <w:tcPr>
            <w:tcW w:w="678" w:type="dxa"/>
            <w:tcBorders>
              <w:top w:val="single" w:sz="12" w:space="0" w:color="000000"/>
              <w:bottom w:val="single" w:sz="4" w:space="0" w:color="000000"/>
            </w:tcBorders>
          </w:tcPr>
          <w:p>
            <w:pPr>
              <w:pStyle w:val="TableParagraph"/>
              <w:spacing w:before="28"/>
              <w:ind w:right="154"/>
              <w:rPr>
                <w:sz w:val="14"/>
              </w:rPr>
            </w:pPr>
            <w:r>
              <w:rPr>
                <w:w w:val="99"/>
                <w:sz w:val="14"/>
              </w:rPr>
              <w:t>-</w:t>
            </w:r>
          </w:p>
        </w:tc>
        <w:tc>
          <w:tcPr>
            <w:tcW w:w="607" w:type="dxa"/>
            <w:tcBorders>
              <w:top w:val="single" w:sz="12" w:space="0" w:color="000000"/>
              <w:bottom w:val="single" w:sz="4" w:space="0" w:color="000000"/>
            </w:tcBorders>
          </w:tcPr>
          <w:p>
            <w:pPr>
              <w:pStyle w:val="TableParagraph"/>
              <w:spacing w:before="28"/>
              <w:ind w:right="170"/>
              <w:rPr>
                <w:sz w:val="14"/>
              </w:rPr>
            </w:pPr>
            <w:r>
              <w:rPr>
                <w:w w:val="99"/>
                <w:sz w:val="14"/>
              </w:rPr>
              <w:t>-</w:t>
            </w:r>
          </w:p>
        </w:tc>
        <w:tc>
          <w:tcPr>
            <w:tcW w:w="563" w:type="dxa"/>
            <w:tcBorders>
              <w:top w:val="single" w:sz="12" w:space="0" w:color="000000"/>
              <w:bottom w:val="single" w:sz="4" w:space="0" w:color="000000"/>
            </w:tcBorders>
          </w:tcPr>
          <w:p>
            <w:pPr>
              <w:pStyle w:val="TableParagraph"/>
              <w:spacing w:before="28"/>
              <w:ind w:right="171"/>
              <w:rPr>
                <w:sz w:val="14"/>
              </w:rPr>
            </w:pPr>
            <w:r>
              <w:rPr>
                <w:w w:val="99"/>
                <w:sz w:val="14"/>
              </w:rPr>
              <w:t>-</w:t>
            </w:r>
          </w:p>
        </w:tc>
        <w:tc>
          <w:tcPr>
            <w:tcW w:w="581" w:type="dxa"/>
            <w:tcBorders>
              <w:top w:val="single" w:sz="12" w:space="0" w:color="000000"/>
              <w:bottom w:val="single" w:sz="4" w:space="0" w:color="000000"/>
            </w:tcBorders>
          </w:tcPr>
          <w:p>
            <w:pPr>
              <w:pStyle w:val="TableParagraph"/>
              <w:spacing w:before="28"/>
              <w:ind w:right="191"/>
              <w:rPr>
                <w:sz w:val="14"/>
              </w:rPr>
            </w:pPr>
            <w:r>
              <w:rPr>
                <w:w w:val="99"/>
                <w:sz w:val="14"/>
              </w:rPr>
              <w:t>-</w:t>
            </w:r>
          </w:p>
        </w:tc>
        <w:tc>
          <w:tcPr>
            <w:tcW w:w="581" w:type="dxa"/>
            <w:tcBorders>
              <w:top w:val="single" w:sz="12" w:space="0" w:color="000000"/>
              <w:bottom w:val="single" w:sz="4" w:space="0" w:color="000000"/>
            </w:tcBorders>
          </w:tcPr>
          <w:p>
            <w:pPr>
              <w:pStyle w:val="TableParagraph"/>
              <w:spacing w:before="28"/>
              <w:ind w:left="148"/>
              <w:jc w:val="center"/>
              <w:rPr>
                <w:sz w:val="14"/>
              </w:rPr>
            </w:pPr>
            <w:r>
              <w:rPr>
                <w:w w:val="99"/>
                <w:sz w:val="14"/>
              </w:rPr>
              <w:t>-</w:t>
            </w:r>
          </w:p>
        </w:tc>
        <w:tc>
          <w:tcPr>
            <w:tcW w:w="566" w:type="dxa"/>
            <w:tcBorders>
              <w:top w:val="single" w:sz="12" w:space="0" w:color="000000"/>
              <w:bottom w:val="single" w:sz="4" w:space="0" w:color="000000"/>
            </w:tcBorders>
          </w:tcPr>
          <w:p>
            <w:pPr>
              <w:pStyle w:val="TableParagraph"/>
              <w:spacing w:before="28"/>
              <w:ind w:right="171"/>
              <w:rPr>
                <w:sz w:val="14"/>
              </w:rPr>
            </w:pPr>
            <w:r>
              <w:rPr>
                <w:w w:val="99"/>
                <w:sz w:val="14"/>
              </w:rPr>
              <w:t>-</w:t>
            </w:r>
          </w:p>
        </w:tc>
        <w:tc>
          <w:tcPr>
            <w:tcW w:w="634" w:type="dxa"/>
            <w:tcBorders>
              <w:top w:val="single" w:sz="12" w:space="0" w:color="000000"/>
              <w:bottom w:val="single" w:sz="4" w:space="0" w:color="000000"/>
            </w:tcBorders>
          </w:tcPr>
          <w:p>
            <w:pPr>
              <w:pStyle w:val="TableParagraph"/>
              <w:spacing w:before="28"/>
              <w:ind w:right="209"/>
              <w:rPr>
                <w:sz w:val="14"/>
              </w:rPr>
            </w:pPr>
            <w:r>
              <w:rPr>
                <w:w w:val="99"/>
                <w:sz w:val="14"/>
              </w:rPr>
              <w:t>-</w:t>
            </w:r>
          </w:p>
        </w:tc>
        <w:tc>
          <w:tcPr>
            <w:tcW w:w="727" w:type="dxa"/>
            <w:tcBorders>
              <w:top w:val="single" w:sz="12" w:space="0" w:color="000000"/>
              <w:bottom w:val="single" w:sz="4" w:space="0" w:color="000000"/>
            </w:tcBorders>
          </w:tcPr>
          <w:p>
            <w:pPr>
              <w:pStyle w:val="TableParagraph"/>
              <w:spacing w:before="28"/>
              <w:ind w:right="197"/>
              <w:rPr>
                <w:sz w:val="14"/>
              </w:rPr>
            </w:pPr>
            <w:r>
              <w:rPr>
                <w:w w:val="99"/>
                <w:sz w:val="14"/>
              </w:rPr>
              <w:t>-</w:t>
            </w:r>
          </w:p>
        </w:tc>
        <w:tc>
          <w:tcPr>
            <w:tcW w:w="462" w:type="dxa"/>
            <w:tcBorders>
              <w:top w:val="single" w:sz="12" w:space="0" w:color="000000"/>
              <w:bottom w:val="single" w:sz="4" w:space="0" w:color="000000"/>
            </w:tcBorders>
          </w:tcPr>
          <w:p>
            <w:pPr>
              <w:pStyle w:val="TableParagraph"/>
              <w:spacing w:before="28"/>
              <w:ind w:right="63"/>
              <w:rPr>
                <w:sz w:val="14"/>
              </w:rPr>
            </w:pPr>
            <w:r>
              <w:rPr>
                <w:w w:val="99"/>
                <w:sz w:val="14"/>
              </w:rPr>
              <w:t>-</w:t>
            </w:r>
          </w:p>
        </w:tc>
        <w:tc>
          <w:tcPr>
            <w:tcW w:w="795" w:type="dxa"/>
            <w:tcBorders>
              <w:top w:val="single" w:sz="12" w:space="0" w:color="000000"/>
              <w:bottom w:val="single" w:sz="4" w:space="0" w:color="000000"/>
            </w:tcBorders>
          </w:tcPr>
          <w:p>
            <w:pPr>
              <w:pStyle w:val="TableParagraph"/>
              <w:spacing w:before="28"/>
              <w:ind w:right="123"/>
              <w:rPr>
                <w:i/>
                <w:sz w:val="14"/>
              </w:rPr>
            </w:pPr>
            <w:r>
              <w:rPr>
                <w:i/>
                <w:w w:val="99"/>
                <w:sz w:val="14"/>
              </w:rPr>
              <w:t>-</w:t>
            </w:r>
          </w:p>
        </w:tc>
        <w:tc>
          <w:tcPr>
            <w:tcW w:w="566" w:type="dxa"/>
            <w:tcBorders>
              <w:top w:val="single" w:sz="12" w:space="0" w:color="000000"/>
              <w:bottom w:val="single" w:sz="4" w:space="0" w:color="000000"/>
            </w:tcBorders>
          </w:tcPr>
          <w:p>
            <w:pPr>
              <w:pStyle w:val="TableParagraph"/>
              <w:spacing w:before="28"/>
              <w:ind w:right="94"/>
              <w:rPr>
                <w:sz w:val="14"/>
              </w:rPr>
            </w:pPr>
            <w:r>
              <w:rPr>
                <w:w w:val="99"/>
                <w:sz w:val="14"/>
              </w:rPr>
              <w:t>-</w:t>
            </w:r>
          </w:p>
        </w:tc>
        <w:tc>
          <w:tcPr>
            <w:tcW w:w="576" w:type="dxa"/>
            <w:tcBorders>
              <w:top w:val="single" w:sz="12" w:space="0" w:color="000000"/>
              <w:bottom w:val="single" w:sz="4" w:space="0" w:color="000000"/>
            </w:tcBorders>
          </w:tcPr>
          <w:p>
            <w:pPr>
              <w:pStyle w:val="TableParagraph"/>
              <w:spacing w:before="28"/>
              <w:ind w:right="79"/>
              <w:rPr>
                <w:sz w:val="14"/>
              </w:rPr>
            </w:pPr>
            <w:r>
              <w:rPr>
                <w:w w:val="99"/>
                <w:sz w:val="14"/>
              </w:rPr>
              <w:t>-</w:t>
            </w:r>
          </w:p>
        </w:tc>
        <w:tc>
          <w:tcPr>
            <w:tcW w:w="561" w:type="dxa"/>
            <w:tcBorders>
              <w:top w:val="single" w:sz="12" w:space="0" w:color="000000"/>
              <w:bottom w:val="single" w:sz="4" w:space="0" w:color="000000"/>
            </w:tcBorders>
          </w:tcPr>
          <w:p>
            <w:pPr>
              <w:pStyle w:val="TableParagraph"/>
              <w:spacing w:before="28"/>
              <w:ind w:right="50"/>
              <w:rPr>
                <w:sz w:val="14"/>
              </w:rPr>
            </w:pPr>
            <w:r>
              <w:rPr>
                <w:w w:val="99"/>
                <w:sz w:val="14"/>
              </w:rPr>
              <w:t>-</w:t>
            </w:r>
          </w:p>
        </w:tc>
        <w:tc>
          <w:tcPr>
            <w:tcW w:w="819" w:type="dxa"/>
            <w:tcBorders>
              <w:top w:val="single" w:sz="12" w:space="0" w:color="000000"/>
              <w:bottom w:val="single" w:sz="4" w:space="0" w:color="000000"/>
            </w:tcBorders>
          </w:tcPr>
          <w:p>
            <w:pPr>
              <w:pStyle w:val="TableParagraph"/>
              <w:spacing w:before="28"/>
              <w:ind w:right="129"/>
              <w:rPr>
                <w:i/>
                <w:sz w:val="14"/>
              </w:rPr>
            </w:pPr>
            <w:r>
              <w:rPr>
                <w:i/>
                <w:w w:val="99"/>
                <w:sz w:val="14"/>
              </w:rPr>
              <w:t>-</w:t>
            </w:r>
          </w:p>
        </w:tc>
        <w:tc>
          <w:tcPr>
            <w:tcW w:w="518" w:type="dxa"/>
            <w:tcBorders>
              <w:top w:val="single" w:sz="12" w:space="0" w:color="000000"/>
              <w:bottom w:val="single" w:sz="4" w:space="0" w:color="000000"/>
            </w:tcBorders>
          </w:tcPr>
          <w:p>
            <w:pPr>
              <w:pStyle w:val="TableParagraph"/>
              <w:spacing w:before="28"/>
              <w:ind w:right="47"/>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3"/>
              <w:ind w:left="67"/>
              <w:jc w:val="left"/>
              <w:rPr>
                <w:sz w:val="14"/>
              </w:rPr>
            </w:pPr>
            <w:r>
              <w:rPr>
                <w:spacing w:val="-2"/>
                <w:sz w:val="14"/>
              </w:rPr>
              <w:t>Redeployed</w:t>
            </w:r>
          </w:p>
        </w:tc>
        <w:tc>
          <w:tcPr>
            <w:tcW w:w="678" w:type="dxa"/>
            <w:tcBorders>
              <w:top w:val="single" w:sz="4" w:space="0" w:color="000000"/>
              <w:bottom w:val="single" w:sz="4" w:space="0" w:color="000000"/>
            </w:tcBorders>
          </w:tcPr>
          <w:p>
            <w:pPr>
              <w:pStyle w:val="TableParagraph"/>
              <w:spacing w:before="23"/>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3"/>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3"/>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3"/>
              <w:ind w:right="191"/>
              <w:rPr>
                <w:sz w:val="14"/>
              </w:rPr>
            </w:pPr>
            <w:r>
              <w:rPr>
                <w:w w:val="99"/>
                <w:sz w:val="14"/>
              </w:rPr>
              <w:t>-</w:t>
            </w:r>
          </w:p>
        </w:tc>
        <w:tc>
          <w:tcPr>
            <w:tcW w:w="581" w:type="dxa"/>
            <w:tcBorders>
              <w:top w:val="single" w:sz="4" w:space="0" w:color="000000"/>
              <w:bottom w:val="single" w:sz="4" w:space="0" w:color="000000"/>
            </w:tcBorders>
          </w:tcPr>
          <w:p>
            <w:pPr>
              <w:pStyle w:val="TableParagraph"/>
              <w:spacing w:before="23"/>
              <w:ind w:left="148"/>
              <w:jc w:val="center"/>
              <w:rPr>
                <w:sz w:val="14"/>
              </w:rPr>
            </w:pPr>
            <w:r>
              <w:rPr>
                <w:w w:val="99"/>
                <w:sz w:val="14"/>
              </w:rPr>
              <w:t>-</w:t>
            </w:r>
          </w:p>
        </w:tc>
        <w:tc>
          <w:tcPr>
            <w:tcW w:w="566" w:type="dxa"/>
            <w:tcBorders>
              <w:top w:val="single" w:sz="4" w:space="0" w:color="000000"/>
              <w:bottom w:val="single" w:sz="4" w:space="0" w:color="000000"/>
            </w:tcBorders>
          </w:tcPr>
          <w:p>
            <w:pPr>
              <w:pStyle w:val="TableParagraph"/>
              <w:spacing w:before="23"/>
              <w:ind w:right="171"/>
              <w:rPr>
                <w:sz w:val="14"/>
              </w:rPr>
            </w:pPr>
            <w:r>
              <w:rPr>
                <w:w w:val="99"/>
                <w:sz w:val="14"/>
              </w:rPr>
              <w:t>-</w:t>
            </w:r>
          </w:p>
        </w:tc>
        <w:tc>
          <w:tcPr>
            <w:tcW w:w="634" w:type="dxa"/>
            <w:tcBorders>
              <w:top w:val="single" w:sz="4" w:space="0" w:color="000000"/>
              <w:bottom w:val="single" w:sz="4" w:space="0" w:color="000000"/>
            </w:tcBorders>
          </w:tcPr>
          <w:p>
            <w:pPr>
              <w:pStyle w:val="TableParagraph"/>
              <w:spacing w:before="23"/>
              <w:ind w:right="209"/>
              <w:rPr>
                <w:sz w:val="14"/>
              </w:rPr>
            </w:pPr>
            <w:r>
              <w:rPr>
                <w:w w:val="99"/>
                <w:sz w:val="14"/>
              </w:rPr>
              <w:t>-</w:t>
            </w:r>
          </w:p>
        </w:tc>
        <w:tc>
          <w:tcPr>
            <w:tcW w:w="727" w:type="dxa"/>
            <w:tcBorders>
              <w:top w:val="single" w:sz="4" w:space="0" w:color="000000"/>
              <w:bottom w:val="single" w:sz="4" w:space="0" w:color="000000"/>
            </w:tcBorders>
          </w:tcPr>
          <w:p>
            <w:pPr>
              <w:pStyle w:val="TableParagraph"/>
              <w:spacing w:before="23"/>
              <w:ind w:right="197"/>
              <w:rPr>
                <w:sz w:val="14"/>
              </w:rPr>
            </w:pPr>
            <w:r>
              <w:rPr>
                <w:w w:val="99"/>
                <w:sz w:val="14"/>
              </w:rPr>
              <w:t>-</w:t>
            </w:r>
          </w:p>
        </w:tc>
        <w:tc>
          <w:tcPr>
            <w:tcW w:w="462" w:type="dxa"/>
            <w:tcBorders>
              <w:top w:val="single" w:sz="4" w:space="0" w:color="000000"/>
              <w:bottom w:val="single" w:sz="4" w:space="0" w:color="000000"/>
            </w:tcBorders>
          </w:tcPr>
          <w:p>
            <w:pPr>
              <w:pStyle w:val="TableParagraph"/>
              <w:spacing w:before="23"/>
              <w:ind w:right="63"/>
              <w:rPr>
                <w:sz w:val="14"/>
              </w:rPr>
            </w:pPr>
            <w:r>
              <w:rPr>
                <w:w w:val="99"/>
                <w:sz w:val="14"/>
              </w:rPr>
              <w:t>-</w:t>
            </w:r>
          </w:p>
        </w:tc>
        <w:tc>
          <w:tcPr>
            <w:tcW w:w="795" w:type="dxa"/>
            <w:tcBorders>
              <w:top w:val="single" w:sz="4" w:space="0" w:color="000000"/>
              <w:bottom w:val="single" w:sz="4" w:space="0" w:color="000000"/>
            </w:tcBorders>
          </w:tcPr>
          <w:p>
            <w:pPr>
              <w:pStyle w:val="TableParagraph"/>
              <w:spacing w:before="23"/>
              <w:ind w:right="123"/>
              <w:rPr>
                <w:i/>
                <w:sz w:val="14"/>
              </w:rPr>
            </w:pPr>
            <w:r>
              <w:rPr>
                <w:i/>
                <w:w w:val="99"/>
                <w:sz w:val="14"/>
              </w:rPr>
              <w:t>-</w:t>
            </w:r>
          </w:p>
        </w:tc>
        <w:tc>
          <w:tcPr>
            <w:tcW w:w="566" w:type="dxa"/>
            <w:tcBorders>
              <w:top w:val="single" w:sz="4" w:space="0" w:color="000000"/>
              <w:bottom w:val="single" w:sz="4" w:space="0" w:color="000000"/>
            </w:tcBorders>
          </w:tcPr>
          <w:p>
            <w:pPr>
              <w:pStyle w:val="TableParagraph"/>
              <w:spacing w:before="23"/>
              <w:ind w:right="94"/>
              <w:rPr>
                <w:sz w:val="14"/>
              </w:rPr>
            </w:pPr>
            <w:r>
              <w:rPr>
                <w:w w:val="99"/>
                <w:sz w:val="14"/>
              </w:rPr>
              <w:t>-</w:t>
            </w:r>
          </w:p>
        </w:tc>
        <w:tc>
          <w:tcPr>
            <w:tcW w:w="576" w:type="dxa"/>
            <w:tcBorders>
              <w:top w:val="single" w:sz="4" w:space="0" w:color="000000"/>
              <w:bottom w:val="single" w:sz="4" w:space="0" w:color="000000"/>
            </w:tcBorders>
          </w:tcPr>
          <w:p>
            <w:pPr>
              <w:pStyle w:val="TableParagraph"/>
              <w:spacing w:before="23"/>
              <w:ind w:right="79"/>
              <w:rPr>
                <w:sz w:val="14"/>
              </w:rPr>
            </w:pPr>
            <w:r>
              <w:rPr>
                <w:w w:val="99"/>
                <w:sz w:val="14"/>
              </w:rPr>
              <w:t>-</w:t>
            </w:r>
          </w:p>
        </w:tc>
        <w:tc>
          <w:tcPr>
            <w:tcW w:w="561" w:type="dxa"/>
            <w:tcBorders>
              <w:top w:val="single" w:sz="4" w:space="0" w:color="000000"/>
              <w:bottom w:val="single" w:sz="4" w:space="0" w:color="000000"/>
            </w:tcBorders>
          </w:tcPr>
          <w:p>
            <w:pPr>
              <w:pStyle w:val="TableParagraph"/>
              <w:spacing w:before="23"/>
              <w:ind w:right="50"/>
              <w:rPr>
                <w:sz w:val="14"/>
              </w:rPr>
            </w:pPr>
            <w:r>
              <w:rPr>
                <w:w w:val="99"/>
                <w:sz w:val="14"/>
              </w:rPr>
              <w:t>-</w:t>
            </w:r>
          </w:p>
        </w:tc>
        <w:tc>
          <w:tcPr>
            <w:tcW w:w="819" w:type="dxa"/>
            <w:tcBorders>
              <w:top w:val="single" w:sz="4" w:space="0" w:color="000000"/>
              <w:bottom w:val="single" w:sz="4" w:space="0" w:color="000000"/>
            </w:tcBorders>
          </w:tcPr>
          <w:p>
            <w:pPr>
              <w:pStyle w:val="TableParagraph"/>
              <w:spacing w:before="23"/>
              <w:ind w:right="129"/>
              <w:rPr>
                <w:i/>
                <w:sz w:val="14"/>
              </w:rPr>
            </w:pPr>
            <w:r>
              <w:rPr>
                <w:i/>
                <w:w w:val="99"/>
                <w:sz w:val="14"/>
              </w:rPr>
              <w:t>-</w:t>
            </w:r>
          </w:p>
        </w:tc>
        <w:tc>
          <w:tcPr>
            <w:tcW w:w="518" w:type="dxa"/>
            <w:tcBorders>
              <w:top w:val="single" w:sz="4" w:space="0" w:color="000000"/>
              <w:bottom w:val="single" w:sz="4" w:space="0" w:color="000000"/>
            </w:tcBorders>
          </w:tcPr>
          <w:p>
            <w:pPr>
              <w:pStyle w:val="TableParagraph"/>
              <w:spacing w:before="23"/>
              <w:ind w:right="47"/>
              <w:rPr>
                <w:b/>
                <w:sz w:val="14"/>
              </w:rPr>
            </w:pPr>
            <w:r>
              <w:rPr>
                <w:b/>
                <w:w w:val="99"/>
                <w:sz w:val="14"/>
              </w:rPr>
              <w:t>-</w:t>
            </w:r>
          </w:p>
        </w:tc>
      </w:tr>
      <w:tr>
        <w:trPr>
          <w:trHeight w:val="230" w:hRule="atLeast"/>
        </w:trPr>
        <w:tc>
          <w:tcPr>
            <w:tcW w:w="1186" w:type="dxa"/>
            <w:tcBorders>
              <w:top w:val="single" w:sz="4" w:space="0" w:color="000000"/>
              <w:bottom w:val="single" w:sz="4" w:space="0" w:color="000000"/>
            </w:tcBorders>
          </w:tcPr>
          <w:p>
            <w:pPr>
              <w:pStyle w:val="TableParagraph"/>
              <w:spacing w:before="28"/>
              <w:ind w:left="67"/>
              <w:jc w:val="left"/>
              <w:rPr>
                <w:sz w:val="14"/>
              </w:rPr>
            </w:pPr>
            <w:r>
              <w:rPr>
                <w:spacing w:val="-2"/>
                <w:sz w:val="14"/>
              </w:rPr>
              <w:t>Reclassified</w:t>
            </w:r>
          </w:p>
        </w:tc>
        <w:tc>
          <w:tcPr>
            <w:tcW w:w="678" w:type="dxa"/>
            <w:tcBorders>
              <w:top w:val="single" w:sz="4" w:space="0" w:color="000000"/>
              <w:bottom w:val="single" w:sz="4" w:space="0" w:color="000000"/>
            </w:tcBorders>
          </w:tcPr>
          <w:p>
            <w:pPr>
              <w:pStyle w:val="TableParagraph"/>
              <w:spacing w:before="28"/>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8"/>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8"/>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8"/>
              <w:ind w:right="191"/>
              <w:rPr>
                <w:sz w:val="14"/>
              </w:rPr>
            </w:pPr>
            <w:r>
              <w:rPr>
                <w:w w:val="99"/>
                <w:sz w:val="14"/>
              </w:rPr>
              <w:t>-</w:t>
            </w:r>
          </w:p>
        </w:tc>
        <w:tc>
          <w:tcPr>
            <w:tcW w:w="581" w:type="dxa"/>
            <w:tcBorders>
              <w:top w:val="single" w:sz="4" w:space="0" w:color="000000"/>
              <w:bottom w:val="single" w:sz="4" w:space="0" w:color="000000"/>
            </w:tcBorders>
          </w:tcPr>
          <w:p>
            <w:pPr>
              <w:pStyle w:val="TableParagraph"/>
              <w:spacing w:before="28"/>
              <w:ind w:left="148"/>
              <w:jc w:val="center"/>
              <w:rPr>
                <w:sz w:val="14"/>
              </w:rPr>
            </w:pPr>
            <w:r>
              <w:rPr>
                <w:w w:val="99"/>
                <w:sz w:val="14"/>
              </w:rPr>
              <w:t>-</w:t>
            </w:r>
          </w:p>
        </w:tc>
        <w:tc>
          <w:tcPr>
            <w:tcW w:w="566" w:type="dxa"/>
            <w:tcBorders>
              <w:top w:val="single" w:sz="4" w:space="0" w:color="000000"/>
              <w:bottom w:val="single" w:sz="4" w:space="0" w:color="000000"/>
            </w:tcBorders>
          </w:tcPr>
          <w:p>
            <w:pPr>
              <w:pStyle w:val="TableParagraph"/>
              <w:spacing w:before="28"/>
              <w:ind w:right="171"/>
              <w:rPr>
                <w:sz w:val="14"/>
              </w:rPr>
            </w:pPr>
            <w:r>
              <w:rPr>
                <w:w w:val="99"/>
                <w:sz w:val="14"/>
              </w:rPr>
              <w:t>-</w:t>
            </w:r>
          </w:p>
        </w:tc>
        <w:tc>
          <w:tcPr>
            <w:tcW w:w="634" w:type="dxa"/>
            <w:tcBorders>
              <w:top w:val="single" w:sz="4" w:space="0" w:color="000000"/>
              <w:bottom w:val="single" w:sz="4" w:space="0" w:color="000000"/>
            </w:tcBorders>
          </w:tcPr>
          <w:p>
            <w:pPr>
              <w:pStyle w:val="TableParagraph"/>
              <w:spacing w:before="28"/>
              <w:ind w:right="209"/>
              <w:rPr>
                <w:sz w:val="14"/>
              </w:rPr>
            </w:pPr>
            <w:r>
              <w:rPr>
                <w:w w:val="99"/>
                <w:sz w:val="14"/>
              </w:rPr>
              <w:t>-</w:t>
            </w:r>
          </w:p>
        </w:tc>
        <w:tc>
          <w:tcPr>
            <w:tcW w:w="727" w:type="dxa"/>
            <w:tcBorders>
              <w:top w:val="single" w:sz="4" w:space="0" w:color="000000"/>
              <w:bottom w:val="single" w:sz="4" w:space="0" w:color="000000"/>
            </w:tcBorders>
          </w:tcPr>
          <w:p>
            <w:pPr>
              <w:pStyle w:val="TableParagraph"/>
              <w:spacing w:before="28"/>
              <w:ind w:right="197"/>
              <w:rPr>
                <w:sz w:val="14"/>
              </w:rPr>
            </w:pPr>
            <w:r>
              <w:rPr>
                <w:w w:val="99"/>
                <w:sz w:val="14"/>
              </w:rPr>
              <w:t>-</w:t>
            </w:r>
          </w:p>
        </w:tc>
        <w:tc>
          <w:tcPr>
            <w:tcW w:w="462" w:type="dxa"/>
            <w:tcBorders>
              <w:top w:val="single" w:sz="4" w:space="0" w:color="000000"/>
              <w:bottom w:val="single" w:sz="4" w:space="0" w:color="000000"/>
            </w:tcBorders>
          </w:tcPr>
          <w:p>
            <w:pPr>
              <w:pStyle w:val="TableParagraph"/>
              <w:spacing w:before="28"/>
              <w:ind w:right="63"/>
              <w:rPr>
                <w:sz w:val="14"/>
              </w:rPr>
            </w:pPr>
            <w:r>
              <w:rPr>
                <w:w w:val="99"/>
                <w:sz w:val="14"/>
              </w:rPr>
              <w:t>-</w:t>
            </w:r>
          </w:p>
        </w:tc>
        <w:tc>
          <w:tcPr>
            <w:tcW w:w="795" w:type="dxa"/>
            <w:tcBorders>
              <w:top w:val="single" w:sz="4" w:space="0" w:color="000000"/>
              <w:bottom w:val="single" w:sz="4" w:space="0" w:color="000000"/>
            </w:tcBorders>
          </w:tcPr>
          <w:p>
            <w:pPr>
              <w:pStyle w:val="TableParagraph"/>
              <w:spacing w:before="28"/>
              <w:ind w:right="123"/>
              <w:rPr>
                <w:i/>
                <w:sz w:val="14"/>
              </w:rPr>
            </w:pPr>
            <w:r>
              <w:rPr>
                <w:i/>
                <w:w w:val="99"/>
                <w:sz w:val="14"/>
              </w:rPr>
              <w:t>-</w:t>
            </w:r>
          </w:p>
        </w:tc>
        <w:tc>
          <w:tcPr>
            <w:tcW w:w="566" w:type="dxa"/>
            <w:tcBorders>
              <w:top w:val="single" w:sz="4" w:space="0" w:color="000000"/>
              <w:bottom w:val="single" w:sz="4" w:space="0" w:color="000000"/>
            </w:tcBorders>
          </w:tcPr>
          <w:p>
            <w:pPr>
              <w:pStyle w:val="TableParagraph"/>
              <w:spacing w:before="28"/>
              <w:ind w:right="94"/>
              <w:rPr>
                <w:sz w:val="14"/>
              </w:rPr>
            </w:pPr>
            <w:r>
              <w:rPr>
                <w:w w:val="99"/>
                <w:sz w:val="14"/>
              </w:rPr>
              <w:t>-</w:t>
            </w:r>
          </w:p>
        </w:tc>
        <w:tc>
          <w:tcPr>
            <w:tcW w:w="576" w:type="dxa"/>
            <w:tcBorders>
              <w:top w:val="single" w:sz="4" w:space="0" w:color="000000"/>
              <w:bottom w:val="single" w:sz="4" w:space="0" w:color="000000"/>
            </w:tcBorders>
          </w:tcPr>
          <w:p>
            <w:pPr>
              <w:pStyle w:val="TableParagraph"/>
              <w:spacing w:before="28"/>
              <w:ind w:right="79"/>
              <w:rPr>
                <w:sz w:val="14"/>
              </w:rPr>
            </w:pPr>
            <w:r>
              <w:rPr>
                <w:w w:val="99"/>
                <w:sz w:val="14"/>
              </w:rPr>
              <w:t>-</w:t>
            </w:r>
          </w:p>
        </w:tc>
        <w:tc>
          <w:tcPr>
            <w:tcW w:w="561" w:type="dxa"/>
            <w:tcBorders>
              <w:top w:val="single" w:sz="4" w:space="0" w:color="000000"/>
              <w:bottom w:val="single" w:sz="4" w:space="0" w:color="000000"/>
            </w:tcBorders>
          </w:tcPr>
          <w:p>
            <w:pPr>
              <w:pStyle w:val="TableParagraph"/>
              <w:spacing w:before="28"/>
              <w:ind w:right="50"/>
              <w:rPr>
                <w:sz w:val="14"/>
              </w:rPr>
            </w:pPr>
            <w:r>
              <w:rPr>
                <w:w w:val="99"/>
                <w:sz w:val="14"/>
              </w:rPr>
              <w:t>-</w:t>
            </w:r>
          </w:p>
        </w:tc>
        <w:tc>
          <w:tcPr>
            <w:tcW w:w="819" w:type="dxa"/>
            <w:tcBorders>
              <w:top w:val="single" w:sz="4" w:space="0" w:color="000000"/>
              <w:bottom w:val="single" w:sz="4" w:space="0" w:color="000000"/>
            </w:tcBorders>
          </w:tcPr>
          <w:p>
            <w:pPr>
              <w:pStyle w:val="TableParagraph"/>
              <w:spacing w:before="28"/>
              <w:ind w:right="129"/>
              <w:rPr>
                <w:i/>
                <w:sz w:val="14"/>
              </w:rPr>
            </w:pPr>
            <w:r>
              <w:rPr>
                <w:i/>
                <w:w w:val="99"/>
                <w:sz w:val="14"/>
              </w:rPr>
              <w:t>-</w:t>
            </w:r>
          </w:p>
        </w:tc>
        <w:tc>
          <w:tcPr>
            <w:tcW w:w="518" w:type="dxa"/>
            <w:tcBorders>
              <w:top w:val="single" w:sz="4" w:space="0" w:color="000000"/>
              <w:bottom w:val="single" w:sz="4" w:space="0" w:color="000000"/>
            </w:tcBorders>
          </w:tcPr>
          <w:p>
            <w:pPr>
              <w:pStyle w:val="TableParagraph"/>
              <w:spacing w:before="28"/>
              <w:ind w:right="47"/>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3"/>
              <w:ind w:left="67"/>
              <w:jc w:val="left"/>
              <w:rPr>
                <w:sz w:val="14"/>
              </w:rPr>
            </w:pPr>
            <w:r>
              <w:rPr>
                <w:spacing w:val="-2"/>
                <w:sz w:val="14"/>
              </w:rPr>
              <w:t>Returned</w:t>
            </w:r>
          </w:p>
        </w:tc>
        <w:tc>
          <w:tcPr>
            <w:tcW w:w="678" w:type="dxa"/>
            <w:tcBorders>
              <w:top w:val="single" w:sz="4" w:space="0" w:color="000000"/>
              <w:bottom w:val="single" w:sz="4" w:space="0" w:color="000000"/>
            </w:tcBorders>
          </w:tcPr>
          <w:p>
            <w:pPr>
              <w:pStyle w:val="TableParagraph"/>
              <w:spacing w:before="23"/>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3"/>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3"/>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3"/>
              <w:ind w:right="191"/>
              <w:rPr>
                <w:sz w:val="14"/>
              </w:rPr>
            </w:pPr>
            <w:r>
              <w:rPr>
                <w:w w:val="99"/>
                <w:sz w:val="14"/>
              </w:rPr>
              <w:t>-</w:t>
            </w:r>
          </w:p>
        </w:tc>
        <w:tc>
          <w:tcPr>
            <w:tcW w:w="581" w:type="dxa"/>
            <w:tcBorders>
              <w:top w:val="single" w:sz="4" w:space="0" w:color="000000"/>
              <w:bottom w:val="single" w:sz="4" w:space="0" w:color="000000"/>
            </w:tcBorders>
          </w:tcPr>
          <w:p>
            <w:pPr>
              <w:pStyle w:val="TableParagraph"/>
              <w:spacing w:before="23"/>
              <w:ind w:left="148"/>
              <w:jc w:val="center"/>
              <w:rPr>
                <w:sz w:val="14"/>
              </w:rPr>
            </w:pPr>
            <w:r>
              <w:rPr>
                <w:w w:val="99"/>
                <w:sz w:val="14"/>
              </w:rPr>
              <w:t>-</w:t>
            </w:r>
          </w:p>
        </w:tc>
        <w:tc>
          <w:tcPr>
            <w:tcW w:w="566" w:type="dxa"/>
            <w:tcBorders>
              <w:top w:val="single" w:sz="4" w:space="0" w:color="000000"/>
              <w:bottom w:val="single" w:sz="4" w:space="0" w:color="000000"/>
            </w:tcBorders>
          </w:tcPr>
          <w:p>
            <w:pPr>
              <w:pStyle w:val="TableParagraph"/>
              <w:spacing w:before="23"/>
              <w:ind w:right="171"/>
              <w:rPr>
                <w:sz w:val="14"/>
              </w:rPr>
            </w:pPr>
            <w:r>
              <w:rPr>
                <w:w w:val="99"/>
                <w:sz w:val="14"/>
              </w:rPr>
              <w:t>-</w:t>
            </w:r>
          </w:p>
        </w:tc>
        <w:tc>
          <w:tcPr>
            <w:tcW w:w="634" w:type="dxa"/>
            <w:tcBorders>
              <w:top w:val="single" w:sz="4" w:space="0" w:color="000000"/>
              <w:bottom w:val="single" w:sz="4" w:space="0" w:color="000000"/>
            </w:tcBorders>
          </w:tcPr>
          <w:p>
            <w:pPr>
              <w:pStyle w:val="TableParagraph"/>
              <w:spacing w:before="23"/>
              <w:ind w:right="209"/>
              <w:rPr>
                <w:sz w:val="14"/>
              </w:rPr>
            </w:pPr>
            <w:r>
              <w:rPr>
                <w:w w:val="99"/>
                <w:sz w:val="14"/>
              </w:rPr>
              <w:t>-</w:t>
            </w:r>
          </w:p>
        </w:tc>
        <w:tc>
          <w:tcPr>
            <w:tcW w:w="727" w:type="dxa"/>
            <w:tcBorders>
              <w:top w:val="single" w:sz="4" w:space="0" w:color="000000"/>
              <w:bottom w:val="single" w:sz="4" w:space="0" w:color="000000"/>
            </w:tcBorders>
          </w:tcPr>
          <w:p>
            <w:pPr>
              <w:pStyle w:val="TableParagraph"/>
              <w:spacing w:before="23"/>
              <w:ind w:right="197"/>
              <w:rPr>
                <w:sz w:val="14"/>
              </w:rPr>
            </w:pPr>
            <w:r>
              <w:rPr>
                <w:w w:val="99"/>
                <w:sz w:val="14"/>
              </w:rPr>
              <w:t>-</w:t>
            </w:r>
          </w:p>
        </w:tc>
        <w:tc>
          <w:tcPr>
            <w:tcW w:w="462" w:type="dxa"/>
            <w:tcBorders>
              <w:top w:val="single" w:sz="4" w:space="0" w:color="000000"/>
              <w:bottom w:val="single" w:sz="4" w:space="0" w:color="000000"/>
            </w:tcBorders>
          </w:tcPr>
          <w:p>
            <w:pPr>
              <w:pStyle w:val="TableParagraph"/>
              <w:spacing w:before="23"/>
              <w:ind w:right="63"/>
              <w:rPr>
                <w:sz w:val="14"/>
              </w:rPr>
            </w:pPr>
            <w:r>
              <w:rPr>
                <w:w w:val="99"/>
                <w:sz w:val="14"/>
              </w:rPr>
              <w:t>-</w:t>
            </w:r>
          </w:p>
        </w:tc>
        <w:tc>
          <w:tcPr>
            <w:tcW w:w="795" w:type="dxa"/>
            <w:tcBorders>
              <w:top w:val="single" w:sz="4" w:space="0" w:color="000000"/>
              <w:bottom w:val="single" w:sz="4" w:space="0" w:color="000000"/>
            </w:tcBorders>
          </w:tcPr>
          <w:p>
            <w:pPr>
              <w:pStyle w:val="TableParagraph"/>
              <w:spacing w:before="23"/>
              <w:ind w:right="123"/>
              <w:rPr>
                <w:i/>
                <w:sz w:val="14"/>
              </w:rPr>
            </w:pPr>
            <w:r>
              <w:rPr>
                <w:i/>
                <w:w w:val="99"/>
                <w:sz w:val="14"/>
              </w:rPr>
              <w:t>-</w:t>
            </w:r>
          </w:p>
        </w:tc>
        <w:tc>
          <w:tcPr>
            <w:tcW w:w="566" w:type="dxa"/>
            <w:tcBorders>
              <w:top w:val="single" w:sz="4" w:space="0" w:color="000000"/>
              <w:bottom w:val="single" w:sz="4" w:space="0" w:color="000000"/>
            </w:tcBorders>
          </w:tcPr>
          <w:p>
            <w:pPr>
              <w:pStyle w:val="TableParagraph"/>
              <w:spacing w:before="23"/>
              <w:ind w:right="94"/>
              <w:rPr>
                <w:sz w:val="14"/>
              </w:rPr>
            </w:pPr>
            <w:r>
              <w:rPr>
                <w:w w:val="99"/>
                <w:sz w:val="14"/>
              </w:rPr>
              <w:t>-</w:t>
            </w:r>
          </w:p>
        </w:tc>
        <w:tc>
          <w:tcPr>
            <w:tcW w:w="576" w:type="dxa"/>
            <w:tcBorders>
              <w:top w:val="single" w:sz="4" w:space="0" w:color="000000"/>
              <w:bottom w:val="single" w:sz="4" w:space="0" w:color="000000"/>
            </w:tcBorders>
          </w:tcPr>
          <w:p>
            <w:pPr>
              <w:pStyle w:val="TableParagraph"/>
              <w:spacing w:before="23"/>
              <w:ind w:right="79"/>
              <w:rPr>
                <w:sz w:val="14"/>
              </w:rPr>
            </w:pPr>
            <w:r>
              <w:rPr>
                <w:w w:val="99"/>
                <w:sz w:val="14"/>
              </w:rPr>
              <w:t>-</w:t>
            </w:r>
          </w:p>
        </w:tc>
        <w:tc>
          <w:tcPr>
            <w:tcW w:w="561" w:type="dxa"/>
            <w:tcBorders>
              <w:top w:val="single" w:sz="4" w:space="0" w:color="000000"/>
              <w:bottom w:val="single" w:sz="4" w:space="0" w:color="000000"/>
            </w:tcBorders>
          </w:tcPr>
          <w:p>
            <w:pPr>
              <w:pStyle w:val="TableParagraph"/>
              <w:spacing w:before="23"/>
              <w:ind w:right="50"/>
              <w:rPr>
                <w:sz w:val="14"/>
              </w:rPr>
            </w:pPr>
            <w:r>
              <w:rPr>
                <w:w w:val="99"/>
                <w:sz w:val="14"/>
              </w:rPr>
              <w:t>-</w:t>
            </w:r>
          </w:p>
        </w:tc>
        <w:tc>
          <w:tcPr>
            <w:tcW w:w="819" w:type="dxa"/>
            <w:tcBorders>
              <w:top w:val="single" w:sz="4" w:space="0" w:color="000000"/>
              <w:bottom w:val="single" w:sz="4" w:space="0" w:color="000000"/>
            </w:tcBorders>
          </w:tcPr>
          <w:p>
            <w:pPr>
              <w:pStyle w:val="TableParagraph"/>
              <w:spacing w:before="23"/>
              <w:ind w:right="129"/>
              <w:rPr>
                <w:i/>
                <w:sz w:val="14"/>
              </w:rPr>
            </w:pPr>
            <w:r>
              <w:rPr>
                <w:i/>
                <w:w w:val="99"/>
                <w:sz w:val="14"/>
              </w:rPr>
              <w:t>-</w:t>
            </w:r>
          </w:p>
        </w:tc>
        <w:tc>
          <w:tcPr>
            <w:tcW w:w="518" w:type="dxa"/>
            <w:tcBorders>
              <w:top w:val="single" w:sz="4" w:space="0" w:color="000000"/>
              <w:bottom w:val="single" w:sz="4" w:space="0" w:color="000000"/>
            </w:tcBorders>
          </w:tcPr>
          <w:p>
            <w:pPr>
              <w:pStyle w:val="TableParagraph"/>
              <w:spacing w:before="23"/>
              <w:ind w:right="47"/>
              <w:rPr>
                <w:b/>
                <w:sz w:val="14"/>
              </w:rPr>
            </w:pPr>
            <w:r>
              <w:rPr>
                <w:b/>
                <w:w w:val="99"/>
                <w:sz w:val="14"/>
              </w:rPr>
              <w:t>-</w:t>
            </w:r>
          </w:p>
        </w:tc>
      </w:tr>
      <w:tr>
        <w:trPr>
          <w:trHeight w:val="224" w:hRule="atLeast"/>
        </w:trPr>
        <w:tc>
          <w:tcPr>
            <w:tcW w:w="1186" w:type="dxa"/>
            <w:tcBorders>
              <w:top w:val="single" w:sz="4" w:space="0" w:color="000000"/>
              <w:bottom w:val="single" w:sz="12" w:space="0" w:color="000000"/>
            </w:tcBorders>
          </w:tcPr>
          <w:p>
            <w:pPr>
              <w:pStyle w:val="TableParagraph"/>
              <w:spacing w:before="28"/>
              <w:ind w:left="67"/>
              <w:jc w:val="left"/>
              <w:rPr>
                <w:b/>
                <w:sz w:val="14"/>
              </w:rPr>
            </w:pPr>
            <w:r>
              <w:rPr>
                <w:b/>
                <w:sz w:val="14"/>
              </w:rPr>
              <w:t>Proposed</w:t>
            </w:r>
            <w:r>
              <w:rPr>
                <w:b/>
                <w:spacing w:val="-6"/>
                <w:sz w:val="14"/>
              </w:rPr>
              <w:t> </w:t>
            </w:r>
            <w:r>
              <w:rPr>
                <w:b/>
                <w:spacing w:val="-4"/>
                <w:sz w:val="14"/>
              </w:rPr>
              <w:t>2023</w:t>
            </w:r>
          </w:p>
        </w:tc>
        <w:tc>
          <w:tcPr>
            <w:tcW w:w="678" w:type="dxa"/>
            <w:tcBorders>
              <w:top w:val="single" w:sz="4" w:space="0" w:color="000000"/>
              <w:bottom w:val="single" w:sz="12" w:space="0" w:color="000000"/>
            </w:tcBorders>
          </w:tcPr>
          <w:p>
            <w:pPr>
              <w:pStyle w:val="TableParagraph"/>
              <w:spacing w:before="28"/>
              <w:ind w:right="154"/>
              <w:rPr>
                <w:b/>
                <w:sz w:val="14"/>
              </w:rPr>
            </w:pPr>
            <w:r>
              <w:rPr>
                <w:b/>
                <w:w w:val="99"/>
                <w:sz w:val="14"/>
              </w:rPr>
              <w:t>-</w:t>
            </w:r>
          </w:p>
        </w:tc>
        <w:tc>
          <w:tcPr>
            <w:tcW w:w="607" w:type="dxa"/>
            <w:tcBorders>
              <w:top w:val="single" w:sz="4" w:space="0" w:color="000000"/>
              <w:bottom w:val="single" w:sz="12" w:space="0" w:color="000000"/>
            </w:tcBorders>
          </w:tcPr>
          <w:p>
            <w:pPr>
              <w:pStyle w:val="TableParagraph"/>
              <w:spacing w:before="28"/>
              <w:ind w:right="170"/>
              <w:rPr>
                <w:b/>
                <w:sz w:val="14"/>
              </w:rPr>
            </w:pPr>
            <w:r>
              <w:rPr>
                <w:b/>
                <w:w w:val="99"/>
                <w:sz w:val="14"/>
              </w:rPr>
              <w:t>-</w:t>
            </w:r>
          </w:p>
        </w:tc>
        <w:tc>
          <w:tcPr>
            <w:tcW w:w="563" w:type="dxa"/>
            <w:tcBorders>
              <w:top w:val="single" w:sz="4" w:space="0" w:color="000000"/>
              <w:bottom w:val="single" w:sz="12" w:space="0" w:color="000000"/>
            </w:tcBorders>
          </w:tcPr>
          <w:p>
            <w:pPr>
              <w:pStyle w:val="TableParagraph"/>
              <w:spacing w:before="28"/>
              <w:ind w:right="171"/>
              <w:rPr>
                <w:b/>
                <w:sz w:val="14"/>
              </w:rPr>
            </w:pPr>
            <w:r>
              <w:rPr>
                <w:b/>
                <w:w w:val="99"/>
                <w:sz w:val="14"/>
              </w:rPr>
              <w:t>-</w:t>
            </w:r>
          </w:p>
        </w:tc>
        <w:tc>
          <w:tcPr>
            <w:tcW w:w="581" w:type="dxa"/>
            <w:tcBorders>
              <w:top w:val="single" w:sz="4" w:space="0" w:color="000000"/>
              <w:bottom w:val="single" w:sz="12" w:space="0" w:color="000000"/>
            </w:tcBorders>
          </w:tcPr>
          <w:p>
            <w:pPr>
              <w:pStyle w:val="TableParagraph"/>
              <w:spacing w:before="28"/>
              <w:ind w:right="191"/>
              <w:rPr>
                <w:b/>
                <w:sz w:val="14"/>
              </w:rPr>
            </w:pPr>
            <w:r>
              <w:rPr>
                <w:b/>
                <w:w w:val="99"/>
                <w:sz w:val="14"/>
              </w:rPr>
              <w:t>-</w:t>
            </w:r>
          </w:p>
        </w:tc>
        <w:tc>
          <w:tcPr>
            <w:tcW w:w="581" w:type="dxa"/>
            <w:tcBorders>
              <w:top w:val="single" w:sz="4" w:space="0" w:color="000000"/>
              <w:bottom w:val="single" w:sz="12" w:space="0" w:color="000000"/>
            </w:tcBorders>
          </w:tcPr>
          <w:p>
            <w:pPr>
              <w:pStyle w:val="TableParagraph"/>
              <w:spacing w:before="28"/>
              <w:ind w:left="124"/>
              <w:jc w:val="center"/>
              <w:rPr>
                <w:b/>
                <w:sz w:val="14"/>
              </w:rPr>
            </w:pPr>
            <w:r>
              <w:rPr>
                <w:b/>
                <w:w w:val="99"/>
                <w:sz w:val="14"/>
              </w:rPr>
              <w:t>2</w:t>
            </w:r>
          </w:p>
        </w:tc>
        <w:tc>
          <w:tcPr>
            <w:tcW w:w="566" w:type="dxa"/>
            <w:tcBorders>
              <w:top w:val="single" w:sz="4" w:space="0" w:color="000000"/>
              <w:bottom w:val="single" w:sz="12" w:space="0" w:color="000000"/>
            </w:tcBorders>
          </w:tcPr>
          <w:p>
            <w:pPr>
              <w:pStyle w:val="TableParagraph"/>
              <w:spacing w:before="28"/>
              <w:ind w:right="172"/>
              <w:rPr>
                <w:b/>
                <w:sz w:val="14"/>
              </w:rPr>
            </w:pPr>
            <w:r>
              <w:rPr>
                <w:b/>
                <w:w w:val="99"/>
                <w:sz w:val="14"/>
              </w:rPr>
              <w:t>2</w:t>
            </w:r>
          </w:p>
        </w:tc>
        <w:tc>
          <w:tcPr>
            <w:tcW w:w="634" w:type="dxa"/>
            <w:tcBorders>
              <w:top w:val="single" w:sz="4" w:space="0" w:color="000000"/>
              <w:bottom w:val="single" w:sz="12" w:space="0" w:color="000000"/>
            </w:tcBorders>
          </w:tcPr>
          <w:p>
            <w:pPr>
              <w:pStyle w:val="TableParagraph"/>
              <w:spacing w:before="28"/>
              <w:ind w:right="203"/>
              <w:rPr>
                <w:b/>
                <w:sz w:val="14"/>
              </w:rPr>
            </w:pPr>
            <w:r>
              <w:rPr>
                <w:b/>
                <w:spacing w:val="-5"/>
                <w:sz w:val="14"/>
              </w:rPr>
              <w:t>18</w:t>
            </w:r>
          </w:p>
        </w:tc>
        <w:tc>
          <w:tcPr>
            <w:tcW w:w="727" w:type="dxa"/>
            <w:tcBorders>
              <w:top w:val="single" w:sz="4" w:space="0" w:color="000000"/>
              <w:bottom w:val="single" w:sz="12" w:space="0" w:color="000000"/>
            </w:tcBorders>
          </w:tcPr>
          <w:p>
            <w:pPr>
              <w:pStyle w:val="TableParagraph"/>
              <w:spacing w:before="28"/>
              <w:ind w:right="190"/>
              <w:rPr>
                <w:b/>
                <w:sz w:val="14"/>
              </w:rPr>
            </w:pPr>
            <w:r>
              <w:rPr>
                <w:b/>
                <w:spacing w:val="-5"/>
                <w:sz w:val="14"/>
              </w:rPr>
              <w:t>10</w:t>
            </w:r>
          </w:p>
        </w:tc>
        <w:tc>
          <w:tcPr>
            <w:tcW w:w="462" w:type="dxa"/>
            <w:tcBorders>
              <w:top w:val="single" w:sz="4" w:space="0" w:color="000000"/>
              <w:bottom w:val="single" w:sz="12" w:space="0" w:color="000000"/>
            </w:tcBorders>
          </w:tcPr>
          <w:p>
            <w:pPr>
              <w:pStyle w:val="TableParagraph"/>
              <w:spacing w:before="28"/>
              <w:ind w:right="63"/>
              <w:rPr>
                <w:b/>
                <w:sz w:val="14"/>
              </w:rPr>
            </w:pPr>
            <w:r>
              <w:rPr>
                <w:b/>
                <w:w w:val="99"/>
                <w:sz w:val="14"/>
              </w:rPr>
              <w:t>-</w:t>
            </w:r>
          </w:p>
        </w:tc>
        <w:tc>
          <w:tcPr>
            <w:tcW w:w="795" w:type="dxa"/>
            <w:tcBorders>
              <w:top w:val="single" w:sz="4" w:space="0" w:color="000000"/>
              <w:bottom w:val="single" w:sz="12" w:space="0" w:color="000000"/>
            </w:tcBorders>
          </w:tcPr>
          <w:p>
            <w:pPr>
              <w:pStyle w:val="TableParagraph"/>
              <w:spacing w:before="28"/>
              <w:ind w:right="117"/>
              <w:rPr>
                <w:b/>
                <w:i/>
                <w:sz w:val="14"/>
              </w:rPr>
            </w:pPr>
            <w:r>
              <w:rPr>
                <w:b/>
                <w:i/>
                <w:spacing w:val="-5"/>
                <w:sz w:val="14"/>
              </w:rPr>
              <w:t>32</w:t>
            </w:r>
          </w:p>
        </w:tc>
        <w:tc>
          <w:tcPr>
            <w:tcW w:w="566" w:type="dxa"/>
            <w:tcBorders>
              <w:top w:val="single" w:sz="4" w:space="0" w:color="000000"/>
              <w:bottom w:val="single" w:sz="12" w:space="0" w:color="000000"/>
            </w:tcBorders>
          </w:tcPr>
          <w:p>
            <w:pPr>
              <w:pStyle w:val="TableParagraph"/>
              <w:spacing w:before="28"/>
              <w:ind w:right="94"/>
              <w:rPr>
                <w:b/>
                <w:sz w:val="14"/>
              </w:rPr>
            </w:pPr>
            <w:r>
              <w:rPr>
                <w:b/>
                <w:w w:val="99"/>
                <w:sz w:val="14"/>
              </w:rPr>
              <w:t>-</w:t>
            </w:r>
          </w:p>
        </w:tc>
        <w:tc>
          <w:tcPr>
            <w:tcW w:w="576" w:type="dxa"/>
            <w:tcBorders>
              <w:top w:val="single" w:sz="4" w:space="0" w:color="000000"/>
              <w:bottom w:val="single" w:sz="12" w:space="0" w:color="000000"/>
            </w:tcBorders>
          </w:tcPr>
          <w:p>
            <w:pPr>
              <w:pStyle w:val="TableParagraph"/>
              <w:spacing w:before="28"/>
              <w:ind w:right="79"/>
              <w:rPr>
                <w:b/>
                <w:sz w:val="14"/>
              </w:rPr>
            </w:pPr>
            <w:r>
              <w:rPr>
                <w:b/>
                <w:w w:val="99"/>
                <w:sz w:val="14"/>
              </w:rPr>
              <w:t>-</w:t>
            </w:r>
          </w:p>
        </w:tc>
        <w:tc>
          <w:tcPr>
            <w:tcW w:w="561" w:type="dxa"/>
            <w:tcBorders>
              <w:top w:val="single" w:sz="4" w:space="0" w:color="000000"/>
              <w:bottom w:val="single" w:sz="12" w:space="0" w:color="000000"/>
            </w:tcBorders>
          </w:tcPr>
          <w:p>
            <w:pPr>
              <w:pStyle w:val="TableParagraph"/>
              <w:spacing w:before="28"/>
              <w:ind w:right="51"/>
              <w:rPr>
                <w:b/>
                <w:sz w:val="14"/>
              </w:rPr>
            </w:pPr>
            <w:r>
              <w:rPr>
                <w:b/>
                <w:w w:val="99"/>
                <w:sz w:val="14"/>
              </w:rPr>
              <w:t>8</w:t>
            </w:r>
          </w:p>
        </w:tc>
        <w:tc>
          <w:tcPr>
            <w:tcW w:w="819" w:type="dxa"/>
            <w:tcBorders>
              <w:top w:val="single" w:sz="4" w:space="0" w:color="000000"/>
              <w:bottom w:val="single" w:sz="12" w:space="0" w:color="000000"/>
            </w:tcBorders>
          </w:tcPr>
          <w:p>
            <w:pPr>
              <w:pStyle w:val="TableParagraph"/>
              <w:spacing w:before="28"/>
              <w:ind w:right="130"/>
              <w:rPr>
                <w:b/>
                <w:i/>
                <w:sz w:val="14"/>
              </w:rPr>
            </w:pPr>
            <w:r>
              <w:rPr>
                <w:b/>
                <w:i/>
                <w:w w:val="99"/>
                <w:sz w:val="14"/>
              </w:rPr>
              <w:t>8</w:t>
            </w:r>
          </w:p>
        </w:tc>
        <w:tc>
          <w:tcPr>
            <w:tcW w:w="518" w:type="dxa"/>
            <w:tcBorders>
              <w:top w:val="single" w:sz="4" w:space="0" w:color="000000"/>
              <w:bottom w:val="single" w:sz="12" w:space="0" w:color="000000"/>
            </w:tcBorders>
          </w:tcPr>
          <w:p>
            <w:pPr>
              <w:pStyle w:val="TableParagraph"/>
              <w:spacing w:before="28"/>
              <w:ind w:right="41"/>
              <w:rPr>
                <w:b/>
                <w:sz w:val="14"/>
              </w:rPr>
            </w:pPr>
            <w:r>
              <w:rPr>
                <w:b/>
                <w:spacing w:val="-5"/>
                <w:sz w:val="14"/>
              </w:rPr>
              <w:t>40</w:t>
            </w:r>
          </w:p>
        </w:tc>
      </w:tr>
      <w:tr>
        <w:trPr>
          <w:trHeight w:val="574" w:hRule="atLeast"/>
        </w:trPr>
        <w:tc>
          <w:tcPr>
            <w:tcW w:w="1186" w:type="dxa"/>
            <w:tcBorders>
              <w:top w:val="single" w:sz="12" w:space="0" w:color="000000"/>
            </w:tcBorders>
          </w:tcPr>
          <w:p>
            <w:pPr>
              <w:pStyle w:val="TableParagraph"/>
              <w:spacing w:before="8"/>
              <w:jc w:val="left"/>
              <w:rPr>
                <w:b/>
                <w:sz w:val="19"/>
              </w:rPr>
            </w:pPr>
          </w:p>
          <w:p>
            <w:pPr>
              <w:pStyle w:val="TableParagraph"/>
              <w:spacing w:line="235" w:lineRule="auto"/>
              <w:ind w:left="67" w:right="232"/>
              <w:jc w:val="left"/>
              <w:rPr>
                <w:b/>
                <w:sz w:val="14"/>
              </w:rPr>
            </w:pPr>
            <w:r>
              <w:rPr>
                <w:b/>
                <w:sz w:val="14"/>
              </w:rPr>
              <w:t>GTA</w:t>
            </w:r>
            <w:r>
              <w:rPr>
                <w:b/>
                <w:spacing w:val="-9"/>
                <w:sz w:val="14"/>
              </w:rPr>
              <w:t> </w:t>
            </w:r>
            <w:r>
              <w:rPr>
                <w:b/>
                <w:sz w:val="14"/>
              </w:rPr>
              <w:t>Positions</w:t>
            </w:r>
            <w:r>
              <w:rPr>
                <w:b/>
                <w:spacing w:val="40"/>
                <w:sz w:val="14"/>
              </w:rPr>
              <w:t> </w:t>
            </w:r>
            <w:r>
              <w:rPr>
                <w:b/>
                <w:spacing w:val="-2"/>
                <w:sz w:val="14"/>
              </w:rPr>
              <w:t>(FTE)</w:t>
            </w:r>
          </w:p>
        </w:tc>
        <w:tc>
          <w:tcPr>
            <w:tcW w:w="678" w:type="dxa"/>
            <w:tcBorders>
              <w:top w:val="single" w:sz="12" w:space="0" w:color="000000"/>
            </w:tcBorders>
          </w:tcPr>
          <w:p>
            <w:pPr>
              <w:pStyle w:val="TableParagraph"/>
              <w:jc w:val="left"/>
              <w:rPr>
                <w:sz w:val="14"/>
              </w:rPr>
            </w:pPr>
          </w:p>
        </w:tc>
        <w:tc>
          <w:tcPr>
            <w:tcW w:w="607" w:type="dxa"/>
            <w:tcBorders>
              <w:top w:val="single" w:sz="12" w:space="0" w:color="000000"/>
            </w:tcBorders>
          </w:tcPr>
          <w:p>
            <w:pPr>
              <w:pStyle w:val="TableParagraph"/>
              <w:jc w:val="left"/>
              <w:rPr>
                <w:sz w:val="14"/>
              </w:rPr>
            </w:pPr>
          </w:p>
        </w:tc>
        <w:tc>
          <w:tcPr>
            <w:tcW w:w="563" w:type="dxa"/>
            <w:tcBorders>
              <w:top w:val="single" w:sz="12" w:space="0" w:color="000000"/>
            </w:tcBorders>
          </w:tcPr>
          <w:p>
            <w:pPr>
              <w:pStyle w:val="TableParagraph"/>
              <w:jc w:val="left"/>
              <w:rPr>
                <w:sz w:val="14"/>
              </w:rPr>
            </w:pPr>
          </w:p>
        </w:tc>
        <w:tc>
          <w:tcPr>
            <w:tcW w:w="581" w:type="dxa"/>
            <w:tcBorders>
              <w:top w:val="single" w:sz="12" w:space="0" w:color="000000"/>
            </w:tcBorders>
          </w:tcPr>
          <w:p>
            <w:pPr>
              <w:pStyle w:val="TableParagraph"/>
              <w:jc w:val="left"/>
              <w:rPr>
                <w:sz w:val="14"/>
              </w:rPr>
            </w:pPr>
          </w:p>
        </w:tc>
        <w:tc>
          <w:tcPr>
            <w:tcW w:w="581" w:type="dxa"/>
            <w:tcBorders>
              <w:top w:val="single" w:sz="12" w:space="0" w:color="000000"/>
            </w:tcBorders>
          </w:tcPr>
          <w:p>
            <w:pPr>
              <w:pStyle w:val="TableParagraph"/>
              <w:jc w:val="left"/>
              <w:rPr>
                <w:sz w:val="14"/>
              </w:rPr>
            </w:pPr>
          </w:p>
        </w:tc>
        <w:tc>
          <w:tcPr>
            <w:tcW w:w="566" w:type="dxa"/>
            <w:tcBorders>
              <w:top w:val="single" w:sz="12" w:space="0" w:color="000000"/>
            </w:tcBorders>
          </w:tcPr>
          <w:p>
            <w:pPr>
              <w:pStyle w:val="TableParagraph"/>
              <w:jc w:val="left"/>
              <w:rPr>
                <w:sz w:val="14"/>
              </w:rPr>
            </w:pPr>
          </w:p>
        </w:tc>
        <w:tc>
          <w:tcPr>
            <w:tcW w:w="634" w:type="dxa"/>
            <w:tcBorders>
              <w:top w:val="single" w:sz="12" w:space="0" w:color="000000"/>
            </w:tcBorders>
          </w:tcPr>
          <w:p>
            <w:pPr>
              <w:pStyle w:val="TableParagraph"/>
              <w:jc w:val="left"/>
              <w:rPr>
                <w:sz w:val="14"/>
              </w:rPr>
            </w:pPr>
          </w:p>
        </w:tc>
        <w:tc>
          <w:tcPr>
            <w:tcW w:w="727" w:type="dxa"/>
            <w:tcBorders>
              <w:top w:val="single" w:sz="12" w:space="0" w:color="000000"/>
            </w:tcBorders>
          </w:tcPr>
          <w:p>
            <w:pPr>
              <w:pStyle w:val="TableParagraph"/>
              <w:jc w:val="left"/>
              <w:rPr>
                <w:sz w:val="14"/>
              </w:rPr>
            </w:pPr>
          </w:p>
        </w:tc>
        <w:tc>
          <w:tcPr>
            <w:tcW w:w="462" w:type="dxa"/>
            <w:tcBorders>
              <w:top w:val="single" w:sz="12" w:space="0" w:color="000000"/>
            </w:tcBorders>
          </w:tcPr>
          <w:p>
            <w:pPr>
              <w:pStyle w:val="TableParagraph"/>
              <w:jc w:val="left"/>
              <w:rPr>
                <w:sz w:val="14"/>
              </w:rPr>
            </w:pPr>
          </w:p>
        </w:tc>
        <w:tc>
          <w:tcPr>
            <w:tcW w:w="795" w:type="dxa"/>
            <w:tcBorders>
              <w:top w:val="single" w:sz="12" w:space="0" w:color="000000"/>
            </w:tcBorders>
          </w:tcPr>
          <w:p>
            <w:pPr>
              <w:pStyle w:val="TableParagraph"/>
              <w:jc w:val="left"/>
              <w:rPr>
                <w:sz w:val="14"/>
              </w:rPr>
            </w:pPr>
          </w:p>
        </w:tc>
        <w:tc>
          <w:tcPr>
            <w:tcW w:w="566" w:type="dxa"/>
            <w:tcBorders>
              <w:top w:val="single" w:sz="12" w:space="0" w:color="000000"/>
            </w:tcBorders>
          </w:tcPr>
          <w:p>
            <w:pPr>
              <w:pStyle w:val="TableParagraph"/>
              <w:jc w:val="left"/>
              <w:rPr>
                <w:sz w:val="14"/>
              </w:rPr>
            </w:pPr>
          </w:p>
        </w:tc>
        <w:tc>
          <w:tcPr>
            <w:tcW w:w="576" w:type="dxa"/>
            <w:tcBorders>
              <w:top w:val="single" w:sz="12" w:space="0" w:color="000000"/>
            </w:tcBorders>
          </w:tcPr>
          <w:p>
            <w:pPr>
              <w:pStyle w:val="TableParagraph"/>
              <w:jc w:val="left"/>
              <w:rPr>
                <w:sz w:val="14"/>
              </w:rPr>
            </w:pPr>
          </w:p>
        </w:tc>
        <w:tc>
          <w:tcPr>
            <w:tcW w:w="561" w:type="dxa"/>
            <w:tcBorders>
              <w:top w:val="single" w:sz="12" w:space="0" w:color="000000"/>
            </w:tcBorders>
          </w:tcPr>
          <w:p>
            <w:pPr>
              <w:pStyle w:val="TableParagraph"/>
              <w:jc w:val="left"/>
              <w:rPr>
                <w:sz w:val="14"/>
              </w:rPr>
            </w:pPr>
          </w:p>
        </w:tc>
        <w:tc>
          <w:tcPr>
            <w:tcW w:w="819" w:type="dxa"/>
            <w:tcBorders>
              <w:top w:val="single" w:sz="12" w:space="0" w:color="000000"/>
            </w:tcBorders>
          </w:tcPr>
          <w:p>
            <w:pPr>
              <w:pStyle w:val="TableParagraph"/>
              <w:jc w:val="left"/>
              <w:rPr>
                <w:sz w:val="14"/>
              </w:rPr>
            </w:pPr>
          </w:p>
        </w:tc>
        <w:tc>
          <w:tcPr>
            <w:tcW w:w="518" w:type="dxa"/>
            <w:tcBorders>
              <w:top w:val="single" w:sz="12" w:space="0" w:color="000000"/>
            </w:tcBorders>
          </w:tcPr>
          <w:p>
            <w:pPr>
              <w:pStyle w:val="TableParagraph"/>
              <w:jc w:val="left"/>
              <w:rPr>
                <w:sz w:val="14"/>
              </w:rPr>
            </w:pPr>
          </w:p>
        </w:tc>
      </w:tr>
      <w:tr>
        <w:trPr>
          <w:trHeight w:val="202" w:hRule="atLeast"/>
        </w:trPr>
        <w:tc>
          <w:tcPr>
            <w:tcW w:w="1186" w:type="dxa"/>
            <w:tcBorders>
              <w:bottom w:val="single" w:sz="12" w:space="0" w:color="000000"/>
            </w:tcBorders>
          </w:tcPr>
          <w:p>
            <w:pPr>
              <w:pStyle w:val="TableParagraph"/>
              <w:spacing w:before="6"/>
              <w:ind w:left="67"/>
              <w:jc w:val="left"/>
              <w:rPr>
                <w:sz w:val="14"/>
              </w:rPr>
            </w:pPr>
            <w:r>
              <w:rPr>
                <w:w w:val="95"/>
                <w:sz w:val="14"/>
              </w:rPr>
              <w:t>Approved</w:t>
            </w:r>
            <w:r>
              <w:rPr>
                <w:spacing w:val="22"/>
                <w:sz w:val="14"/>
              </w:rPr>
              <w:t> </w:t>
            </w:r>
            <w:r>
              <w:rPr>
                <w:spacing w:val="-4"/>
                <w:sz w:val="14"/>
              </w:rPr>
              <w:t>2022</w:t>
            </w:r>
          </w:p>
        </w:tc>
        <w:tc>
          <w:tcPr>
            <w:tcW w:w="678" w:type="dxa"/>
            <w:tcBorders>
              <w:bottom w:val="single" w:sz="12" w:space="0" w:color="000000"/>
            </w:tcBorders>
          </w:tcPr>
          <w:p>
            <w:pPr>
              <w:pStyle w:val="TableParagraph"/>
              <w:spacing w:before="6"/>
              <w:ind w:right="154"/>
              <w:rPr>
                <w:sz w:val="14"/>
              </w:rPr>
            </w:pPr>
            <w:r>
              <w:rPr>
                <w:w w:val="99"/>
                <w:sz w:val="14"/>
              </w:rPr>
              <w:t>-</w:t>
            </w:r>
          </w:p>
        </w:tc>
        <w:tc>
          <w:tcPr>
            <w:tcW w:w="607" w:type="dxa"/>
            <w:tcBorders>
              <w:bottom w:val="single" w:sz="12" w:space="0" w:color="000000"/>
            </w:tcBorders>
          </w:tcPr>
          <w:p>
            <w:pPr>
              <w:pStyle w:val="TableParagraph"/>
              <w:spacing w:before="6"/>
              <w:ind w:right="170"/>
              <w:rPr>
                <w:sz w:val="14"/>
              </w:rPr>
            </w:pPr>
            <w:r>
              <w:rPr>
                <w:w w:val="99"/>
                <w:sz w:val="14"/>
              </w:rPr>
              <w:t>-</w:t>
            </w:r>
          </w:p>
        </w:tc>
        <w:tc>
          <w:tcPr>
            <w:tcW w:w="563" w:type="dxa"/>
            <w:tcBorders>
              <w:bottom w:val="single" w:sz="12" w:space="0" w:color="000000"/>
            </w:tcBorders>
          </w:tcPr>
          <w:p>
            <w:pPr>
              <w:pStyle w:val="TableParagraph"/>
              <w:spacing w:before="6"/>
              <w:ind w:right="171"/>
              <w:rPr>
                <w:sz w:val="14"/>
              </w:rPr>
            </w:pPr>
            <w:r>
              <w:rPr>
                <w:w w:val="99"/>
                <w:sz w:val="14"/>
              </w:rPr>
              <w:t>-</w:t>
            </w:r>
          </w:p>
        </w:tc>
        <w:tc>
          <w:tcPr>
            <w:tcW w:w="581" w:type="dxa"/>
            <w:tcBorders>
              <w:bottom w:val="single" w:sz="12" w:space="0" w:color="000000"/>
            </w:tcBorders>
          </w:tcPr>
          <w:p>
            <w:pPr>
              <w:pStyle w:val="TableParagraph"/>
              <w:spacing w:before="6"/>
              <w:ind w:right="191"/>
              <w:rPr>
                <w:sz w:val="14"/>
              </w:rPr>
            </w:pPr>
            <w:r>
              <w:rPr>
                <w:w w:val="99"/>
                <w:sz w:val="14"/>
              </w:rPr>
              <w:t>-</w:t>
            </w:r>
          </w:p>
        </w:tc>
        <w:tc>
          <w:tcPr>
            <w:tcW w:w="581" w:type="dxa"/>
            <w:tcBorders>
              <w:bottom w:val="single" w:sz="12" w:space="0" w:color="000000"/>
            </w:tcBorders>
          </w:tcPr>
          <w:p>
            <w:pPr>
              <w:pStyle w:val="TableParagraph"/>
              <w:spacing w:before="6"/>
              <w:ind w:left="148"/>
              <w:jc w:val="center"/>
              <w:rPr>
                <w:sz w:val="14"/>
              </w:rPr>
            </w:pPr>
            <w:r>
              <w:rPr>
                <w:w w:val="99"/>
                <w:sz w:val="14"/>
              </w:rPr>
              <w:t>-</w:t>
            </w:r>
          </w:p>
        </w:tc>
        <w:tc>
          <w:tcPr>
            <w:tcW w:w="566" w:type="dxa"/>
            <w:tcBorders>
              <w:bottom w:val="single" w:sz="12" w:space="0" w:color="000000"/>
            </w:tcBorders>
          </w:tcPr>
          <w:p>
            <w:pPr>
              <w:pStyle w:val="TableParagraph"/>
              <w:spacing w:before="6"/>
              <w:ind w:right="171"/>
              <w:rPr>
                <w:sz w:val="14"/>
              </w:rPr>
            </w:pPr>
            <w:r>
              <w:rPr>
                <w:w w:val="99"/>
                <w:sz w:val="14"/>
              </w:rPr>
              <w:t>-</w:t>
            </w:r>
          </w:p>
        </w:tc>
        <w:tc>
          <w:tcPr>
            <w:tcW w:w="634" w:type="dxa"/>
            <w:tcBorders>
              <w:bottom w:val="single" w:sz="12" w:space="0" w:color="000000"/>
            </w:tcBorders>
          </w:tcPr>
          <w:p>
            <w:pPr>
              <w:pStyle w:val="TableParagraph"/>
              <w:spacing w:before="6"/>
              <w:ind w:right="206"/>
              <w:rPr>
                <w:sz w:val="14"/>
              </w:rPr>
            </w:pPr>
            <w:r>
              <w:rPr>
                <w:spacing w:val="-4"/>
                <w:sz w:val="14"/>
              </w:rPr>
              <w:t>4.58</w:t>
            </w:r>
          </w:p>
        </w:tc>
        <w:tc>
          <w:tcPr>
            <w:tcW w:w="727" w:type="dxa"/>
            <w:tcBorders>
              <w:bottom w:val="single" w:sz="12" w:space="0" w:color="000000"/>
            </w:tcBorders>
          </w:tcPr>
          <w:p>
            <w:pPr>
              <w:pStyle w:val="TableParagraph"/>
              <w:spacing w:before="6"/>
              <w:ind w:right="193"/>
              <w:rPr>
                <w:sz w:val="14"/>
              </w:rPr>
            </w:pPr>
            <w:r>
              <w:rPr>
                <w:spacing w:val="-4"/>
                <w:sz w:val="14"/>
              </w:rPr>
              <w:t>8.00</w:t>
            </w:r>
          </w:p>
        </w:tc>
        <w:tc>
          <w:tcPr>
            <w:tcW w:w="462" w:type="dxa"/>
            <w:tcBorders>
              <w:bottom w:val="single" w:sz="12" w:space="0" w:color="000000"/>
            </w:tcBorders>
          </w:tcPr>
          <w:p>
            <w:pPr>
              <w:pStyle w:val="TableParagraph"/>
              <w:spacing w:before="6"/>
              <w:ind w:right="63"/>
              <w:rPr>
                <w:sz w:val="14"/>
              </w:rPr>
            </w:pPr>
            <w:r>
              <w:rPr>
                <w:w w:val="99"/>
                <w:sz w:val="14"/>
              </w:rPr>
              <w:t>-</w:t>
            </w:r>
          </w:p>
        </w:tc>
        <w:tc>
          <w:tcPr>
            <w:tcW w:w="795" w:type="dxa"/>
            <w:tcBorders>
              <w:bottom w:val="single" w:sz="12" w:space="0" w:color="000000"/>
            </w:tcBorders>
          </w:tcPr>
          <w:p>
            <w:pPr>
              <w:pStyle w:val="TableParagraph"/>
              <w:spacing w:before="6"/>
              <w:ind w:right="121"/>
              <w:rPr>
                <w:i/>
                <w:sz w:val="14"/>
              </w:rPr>
            </w:pPr>
            <w:r>
              <w:rPr>
                <w:i/>
                <w:spacing w:val="-2"/>
                <w:sz w:val="14"/>
              </w:rPr>
              <w:t>12.58</w:t>
            </w:r>
          </w:p>
        </w:tc>
        <w:tc>
          <w:tcPr>
            <w:tcW w:w="566" w:type="dxa"/>
            <w:tcBorders>
              <w:bottom w:val="single" w:sz="12" w:space="0" w:color="000000"/>
            </w:tcBorders>
          </w:tcPr>
          <w:p>
            <w:pPr>
              <w:pStyle w:val="TableParagraph"/>
              <w:spacing w:before="6"/>
              <w:ind w:right="94"/>
              <w:rPr>
                <w:sz w:val="14"/>
              </w:rPr>
            </w:pPr>
            <w:r>
              <w:rPr>
                <w:w w:val="99"/>
                <w:sz w:val="14"/>
              </w:rPr>
              <w:t>-</w:t>
            </w:r>
          </w:p>
        </w:tc>
        <w:tc>
          <w:tcPr>
            <w:tcW w:w="576" w:type="dxa"/>
            <w:tcBorders>
              <w:bottom w:val="single" w:sz="12" w:space="0" w:color="000000"/>
            </w:tcBorders>
          </w:tcPr>
          <w:p>
            <w:pPr>
              <w:pStyle w:val="TableParagraph"/>
              <w:spacing w:before="6"/>
              <w:ind w:right="79"/>
              <w:rPr>
                <w:sz w:val="14"/>
              </w:rPr>
            </w:pPr>
            <w:r>
              <w:rPr>
                <w:w w:val="99"/>
                <w:sz w:val="14"/>
              </w:rPr>
              <w:t>-</w:t>
            </w:r>
          </w:p>
        </w:tc>
        <w:tc>
          <w:tcPr>
            <w:tcW w:w="561" w:type="dxa"/>
            <w:tcBorders>
              <w:bottom w:val="single" w:sz="12" w:space="0" w:color="000000"/>
            </w:tcBorders>
          </w:tcPr>
          <w:p>
            <w:pPr>
              <w:pStyle w:val="TableParagraph"/>
              <w:spacing w:before="6"/>
              <w:ind w:right="50"/>
              <w:rPr>
                <w:sz w:val="14"/>
              </w:rPr>
            </w:pPr>
            <w:r>
              <w:rPr>
                <w:w w:val="99"/>
                <w:sz w:val="14"/>
              </w:rPr>
              <w:t>-</w:t>
            </w:r>
          </w:p>
        </w:tc>
        <w:tc>
          <w:tcPr>
            <w:tcW w:w="819" w:type="dxa"/>
            <w:tcBorders>
              <w:bottom w:val="single" w:sz="12" w:space="0" w:color="000000"/>
            </w:tcBorders>
          </w:tcPr>
          <w:p>
            <w:pPr>
              <w:pStyle w:val="TableParagraph"/>
              <w:spacing w:before="6"/>
              <w:ind w:right="129"/>
              <w:rPr>
                <w:i/>
                <w:sz w:val="14"/>
              </w:rPr>
            </w:pPr>
            <w:r>
              <w:rPr>
                <w:i/>
                <w:w w:val="99"/>
                <w:sz w:val="14"/>
              </w:rPr>
              <w:t>-</w:t>
            </w:r>
          </w:p>
        </w:tc>
        <w:tc>
          <w:tcPr>
            <w:tcW w:w="518" w:type="dxa"/>
            <w:tcBorders>
              <w:bottom w:val="single" w:sz="12" w:space="0" w:color="000000"/>
            </w:tcBorders>
          </w:tcPr>
          <w:p>
            <w:pPr>
              <w:pStyle w:val="TableParagraph"/>
              <w:spacing w:before="6"/>
              <w:ind w:right="44"/>
              <w:rPr>
                <w:b/>
                <w:sz w:val="14"/>
              </w:rPr>
            </w:pPr>
            <w:r>
              <w:rPr>
                <w:b/>
                <w:spacing w:val="-2"/>
                <w:sz w:val="14"/>
              </w:rPr>
              <w:t>12.58</w:t>
            </w:r>
          </w:p>
        </w:tc>
      </w:tr>
      <w:tr>
        <w:trPr>
          <w:trHeight w:val="229" w:hRule="atLeast"/>
        </w:trPr>
        <w:tc>
          <w:tcPr>
            <w:tcW w:w="1186" w:type="dxa"/>
            <w:tcBorders>
              <w:top w:val="single" w:sz="12" w:space="0" w:color="000000"/>
              <w:bottom w:val="single" w:sz="4" w:space="0" w:color="000000"/>
            </w:tcBorders>
          </w:tcPr>
          <w:p>
            <w:pPr>
              <w:pStyle w:val="TableParagraph"/>
              <w:spacing w:before="27"/>
              <w:ind w:left="67"/>
              <w:jc w:val="left"/>
              <w:rPr>
                <w:sz w:val="14"/>
              </w:rPr>
            </w:pPr>
            <w:r>
              <w:rPr>
                <w:spacing w:val="-2"/>
                <w:sz w:val="14"/>
              </w:rPr>
              <w:t>Continued</w:t>
            </w:r>
          </w:p>
        </w:tc>
        <w:tc>
          <w:tcPr>
            <w:tcW w:w="678" w:type="dxa"/>
            <w:tcBorders>
              <w:top w:val="single" w:sz="12" w:space="0" w:color="000000"/>
              <w:bottom w:val="single" w:sz="4" w:space="0" w:color="000000"/>
            </w:tcBorders>
          </w:tcPr>
          <w:p>
            <w:pPr>
              <w:pStyle w:val="TableParagraph"/>
              <w:spacing w:before="27"/>
              <w:ind w:right="154"/>
              <w:rPr>
                <w:sz w:val="14"/>
              </w:rPr>
            </w:pPr>
            <w:r>
              <w:rPr>
                <w:w w:val="99"/>
                <w:sz w:val="14"/>
              </w:rPr>
              <w:t>-</w:t>
            </w:r>
          </w:p>
        </w:tc>
        <w:tc>
          <w:tcPr>
            <w:tcW w:w="607" w:type="dxa"/>
            <w:tcBorders>
              <w:top w:val="single" w:sz="12" w:space="0" w:color="000000"/>
              <w:bottom w:val="single" w:sz="4" w:space="0" w:color="000000"/>
            </w:tcBorders>
          </w:tcPr>
          <w:p>
            <w:pPr>
              <w:pStyle w:val="TableParagraph"/>
              <w:spacing w:before="27"/>
              <w:ind w:right="170"/>
              <w:rPr>
                <w:sz w:val="14"/>
              </w:rPr>
            </w:pPr>
            <w:r>
              <w:rPr>
                <w:w w:val="99"/>
                <w:sz w:val="14"/>
              </w:rPr>
              <w:t>-</w:t>
            </w:r>
          </w:p>
        </w:tc>
        <w:tc>
          <w:tcPr>
            <w:tcW w:w="563" w:type="dxa"/>
            <w:tcBorders>
              <w:top w:val="single" w:sz="12" w:space="0" w:color="000000"/>
              <w:bottom w:val="single" w:sz="4" w:space="0" w:color="000000"/>
            </w:tcBorders>
          </w:tcPr>
          <w:p>
            <w:pPr>
              <w:pStyle w:val="TableParagraph"/>
              <w:spacing w:before="27"/>
              <w:ind w:right="171"/>
              <w:rPr>
                <w:sz w:val="14"/>
              </w:rPr>
            </w:pPr>
            <w:r>
              <w:rPr>
                <w:w w:val="99"/>
                <w:sz w:val="14"/>
              </w:rPr>
              <w:t>-</w:t>
            </w:r>
          </w:p>
        </w:tc>
        <w:tc>
          <w:tcPr>
            <w:tcW w:w="581" w:type="dxa"/>
            <w:tcBorders>
              <w:top w:val="single" w:sz="12" w:space="0" w:color="000000"/>
              <w:bottom w:val="single" w:sz="4" w:space="0" w:color="000000"/>
            </w:tcBorders>
          </w:tcPr>
          <w:p>
            <w:pPr>
              <w:pStyle w:val="TableParagraph"/>
              <w:spacing w:before="27"/>
              <w:ind w:right="191"/>
              <w:rPr>
                <w:sz w:val="14"/>
              </w:rPr>
            </w:pPr>
            <w:r>
              <w:rPr>
                <w:w w:val="99"/>
                <w:sz w:val="14"/>
              </w:rPr>
              <w:t>-</w:t>
            </w:r>
          </w:p>
        </w:tc>
        <w:tc>
          <w:tcPr>
            <w:tcW w:w="581" w:type="dxa"/>
            <w:tcBorders>
              <w:top w:val="single" w:sz="12" w:space="0" w:color="000000"/>
              <w:bottom w:val="single" w:sz="4" w:space="0" w:color="000000"/>
            </w:tcBorders>
          </w:tcPr>
          <w:p>
            <w:pPr>
              <w:pStyle w:val="TableParagraph"/>
              <w:spacing w:before="27"/>
              <w:ind w:left="148"/>
              <w:jc w:val="center"/>
              <w:rPr>
                <w:sz w:val="14"/>
              </w:rPr>
            </w:pPr>
            <w:r>
              <w:rPr>
                <w:w w:val="99"/>
                <w:sz w:val="14"/>
              </w:rPr>
              <w:t>-</w:t>
            </w:r>
          </w:p>
        </w:tc>
        <w:tc>
          <w:tcPr>
            <w:tcW w:w="566" w:type="dxa"/>
            <w:tcBorders>
              <w:top w:val="single" w:sz="12" w:space="0" w:color="000000"/>
              <w:bottom w:val="single" w:sz="4" w:space="0" w:color="000000"/>
            </w:tcBorders>
          </w:tcPr>
          <w:p>
            <w:pPr>
              <w:pStyle w:val="TableParagraph"/>
              <w:spacing w:before="27"/>
              <w:ind w:right="171"/>
              <w:rPr>
                <w:sz w:val="14"/>
              </w:rPr>
            </w:pPr>
            <w:r>
              <w:rPr>
                <w:w w:val="99"/>
                <w:sz w:val="14"/>
              </w:rPr>
              <w:t>-</w:t>
            </w:r>
          </w:p>
        </w:tc>
        <w:tc>
          <w:tcPr>
            <w:tcW w:w="634" w:type="dxa"/>
            <w:tcBorders>
              <w:top w:val="single" w:sz="12" w:space="0" w:color="000000"/>
              <w:bottom w:val="single" w:sz="4" w:space="0" w:color="000000"/>
            </w:tcBorders>
          </w:tcPr>
          <w:p>
            <w:pPr>
              <w:pStyle w:val="TableParagraph"/>
              <w:spacing w:before="27"/>
              <w:ind w:right="206"/>
              <w:rPr>
                <w:sz w:val="14"/>
              </w:rPr>
            </w:pPr>
            <w:r>
              <w:rPr>
                <w:spacing w:val="-4"/>
                <w:sz w:val="14"/>
              </w:rPr>
              <w:t>5.00</w:t>
            </w:r>
          </w:p>
        </w:tc>
        <w:tc>
          <w:tcPr>
            <w:tcW w:w="727" w:type="dxa"/>
            <w:tcBorders>
              <w:top w:val="single" w:sz="12" w:space="0" w:color="000000"/>
              <w:bottom w:val="single" w:sz="4" w:space="0" w:color="000000"/>
            </w:tcBorders>
          </w:tcPr>
          <w:p>
            <w:pPr>
              <w:pStyle w:val="TableParagraph"/>
              <w:spacing w:before="27"/>
              <w:ind w:right="193"/>
              <w:rPr>
                <w:sz w:val="14"/>
              </w:rPr>
            </w:pPr>
            <w:r>
              <w:rPr>
                <w:spacing w:val="-4"/>
                <w:sz w:val="14"/>
              </w:rPr>
              <w:t>8.00</w:t>
            </w:r>
          </w:p>
        </w:tc>
        <w:tc>
          <w:tcPr>
            <w:tcW w:w="462" w:type="dxa"/>
            <w:tcBorders>
              <w:top w:val="single" w:sz="12" w:space="0" w:color="000000"/>
              <w:bottom w:val="single" w:sz="4" w:space="0" w:color="000000"/>
            </w:tcBorders>
          </w:tcPr>
          <w:p>
            <w:pPr>
              <w:pStyle w:val="TableParagraph"/>
              <w:spacing w:before="27"/>
              <w:ind w:right="63"/>
              <w:rPr>
                <w:sz w:val="14"/>
              </w:rPr>
            </w:pPr>
            <w:r>
              <w:rPr>
                <w:w w:val="99"/>
                <w:sz w:val="14"/>
              </w:rPr>
              <w:t>-</w:t>
            </w:r>
          </w:p>
        </w:tc>
        <w:tc>
          <w:tcPr>
            <w:tcW w:w="795" w:type="dxa"/>
            <w:tcBorders>
              <w:top w:val="single" w:sz="12" w:space="0" w:color="000000"/>
              <w:bottom w:val="single" w:sz="4" w:space="0" w:color="000000"/>
            </w:tcBorders>
          </w:tcPr>
          <w:p>
            <w:pPr>
              <w:pStyle w:val="TableParagraph"/>
              <w:spacing w:before="27"/>
              <w:ind w:right="121"/>
              <w:rPr>
                <w:i/>
                <w:sz w:val="14"/>
              </w:rPr>
            </w:pPr>
            <w:r>
              <w:rPr>
                <w:i/>
                <w:spacing w:val="-2"/>
                <w:sz w:val="14"/>
              </w:rPr>
              <w:t>13.00</w:t>
            </w:r>
          </w:p>
        </w:tc>
        <w:tc>
          <w:tcPr>
            <w:tcW w:w="566" w:type="dxa"/>
            <w:tcBorders>
              <w:top w:val="single" w:sz="12" w:space="0" w:color="000000"/>
              <w:bottom w:val="single" w:sz="4" w:space="0" w:color="000000"/>
            </w:tcBorders>
          </w:tcPr>
          <w:p>
            <w:pPr>
              <w:pStyle w:val="TableParagraph"/>
              <w:spacing w:before="27"/>
              <w:ind w:right="94"/>
              <w:rPr>
                <w:sz w:val="14"/>
              </w:rPr>
            </w:pPr>
            <w:r>
              <w:rPr>
                <w:w w:val="99"/>
                <w:sz w:val="14"/>
              </w:rPr>
              <w:t>-</w:t>
            </w:r>
          </w:p>
        </w:tc>
        <w:tc>
          <w:tcPr>
            <w:tcW w:w="576" w:type="dxa"/>
            <w:tcBorders>
              <w:top w:val="single" w:sz="12" w:space="0" w:color="000000"/>
              <w:bottom w:val="single" w:sz="4" w:space="0" w:color="000000"/>
            </w:tcBorders>
          </w:tcPr>
          <w:p>
            <w:pPr>
              <w:pStyle w:val="TableParagraph"/>
              <w:spacing w:before="27"/>
              <w:ind w:right="79"/>
              <w:rPr>
                <w:sz w:val="14"/>
              </w:rPr>
            </w:pPr>
            <w:r>
              <w:rPr>
                <w:w w:val="99"/>
                <w:sz w:val="14"/>
              </w:rPr>
              <w:t>-</w:t>
            </w:r>
          </w:p>
        </w:tc>
        <w:tc>
          <w:tcPr>
            <w:tcW w:w="561" w:type="dxa"/>
            <w:tcBorders>
              <w:top w:val="single" w:sz="12" w:space="0" w:color="000000"/>
              <w:bottom w:val="single" w:sz="4" w:space="0" w:color="000000"/>
            </w:tcBorders>
          </w:tcPr>
          <w:p>
            <w:pPr>
              <w:pStyle w:val="TableParagraph"/>
              <w:spacing w:before="27"/>
              <w:ind w:right="50"/>
              <w:rPr>
                <w:sz w:val="14"/>
              </w:rPr>
            </w:pPr>
            <w:r>
              <w:rPr>
                <w:w w:val="99"/>
                <w:sz w:val="14"/>
              </w:rPr>
              <w:t>-</w:t>
            </w:r>
          </w:p>
        </w:tc>
        <w:tc>
          <w:tcPr>
            <w:tcW w:w="819" w:type="dxa"/>
            <w:tcBorders>
              <w:top w:val="single" w:sz="12" w:space="0" w:color="000000"/>
              <w:bottom w:val="single" w:sz="4" w:space="0" w:color="000000"/>
            </w:tcBorders>
          </w:tcPr>
          <w:p>
            <w:pPr>
              <w:pStyle w:val="TableParagraph"/>
              <w:spacing w:before="27"/>
              <w:ind w:right="129"/>
              <w:rPr>
                <w:i/>
                <w:sz w:val="14"/>
              </w:rPr>
            </w:pPr>
            <w:r>
              <w:rPr>
                <w:i/>
                <w:w w:val="99"/>
                <w:sz w:val="14"/>
              </w:rPr>
              <w:t>-</w:t>
            </w:r>
          </w:p>
        </w:tc>
        <w:tc>
          <w:tcPr>
            <w:tcW w:w="518" w:type="dxa"/>
            <w:tcBorders>
              <w:top w:val="single" w:sz="12" w:space="0" w:color="000000"/>
              <w:bottom w:val="single" w:sz="4" w:space="0" w:color="000000"/>
            </w:tcBorders>
          </w:tcPr>
          <w:p>
            <w:pPr>
              <w:pStyle w:val="TableParagraph"/>
              <w:spacing w:before="27"/>
              <w:ind w:right="44"/>
              <w:rPr>
                <w:b/>
                <w:sz w:val="14"/>
              </w:rPr>
            </w:pPr>
            <w:r>
              <w:rPr>
                <w:b/>
                <w:spacing w:val="-2"/>
                <w:sz w:val="14"/>
              </w:rPr>
              <w:t>13.00</w:t>
            </w:r>
          </w:p>
        </w:tc>
      </w:tr>
      <w:tr>
        <w:trPr>
          <w:trHeight w:val="225" w:hRule="atLeast"/>
        </w:trPr>
        <w:tc>
          <w:tcPr>
            <w:tcW w:w="1186" w:type="dxa"/>
            <w:tcBorders>
              <w:top w:val="single" w:sz="4" w:space="0" w:color="000000"/>
              <w:bottom w:val="single" w:sz="4" w:space="0" w:color="000000"/>
            </w:tcBorders>
          </w:tcPr>
          <w:p>
            <w:pPr>
              <w:pStyle w:val="TableParagraph"/>
              <w:spacing w:before="23"/>
              <w:ind w:left="67"/>
              <w:jc w:val="left"/>
              <w:rPr>
                <w:sz w:val="14"/>
              </w:rPr>
            </w:pPr>
            <w:r>
              <w:rPr>
                <w:spacing w:val="-5"/>
                <w:sz w:val="14"/>
              </w:rPr>
              <w:t>New</w:t>
            </w:r>
          </w:p>
        </w:tc>
        <w:tc>
          <w:tcPr>
            <w:tcW w:w="678" w:type="dxa"/>
            <w:tcBorders>
              <w:top w:val="single" w:sz="4" w:space="0" w:color="000000"/>
              <w:bottom w:val="single" w:sz="4" w:space="0" w:color="000000"/>
            </w:tcBorders>
          </w:tcPr>
          <w:p>
            <w:pPr>
              <w:pStyle w:val="TableParagraph"/>
              <w:spacing w:before="23"/>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3"/>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3"/>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3"/>
              <w:ind w:right="191"/>
              <w:rPr>
                <w:sz w:val="14"/>
              </w:rPr>
            </w:pPr>
            <w:r>
              <w:rPr>
                <w:w w:val="99"/>
                <w:sz w:val="14"/>
              </w:rPr>
              <w:t>-</w:t>
            </w:r>
          </w:p>
        </w:tc>
        <w:tc>
          <w:tcPr>
            <w:tcW w:w="581" w:type="dxa"/>
            <w:tcBorders>
              <w:top w:val="single" w:sz="4" w:space="0" w:color="000000"/>
              <w:bottom w:val="single" w:sz="4" w:space="0" w:color="000000"/>
            </w:tcBorders>
          </w:tcPr>
          <w:p>
            <w:pPr>
              <w:pStyle w:val="TableParagraph"/>
              <w:spacing w:before="23"/>
              <w:ind w:left="148"/>
              <w:jc w:val="center"/>
              <w:rPr>
                <w:sz w:val="14"/>
              </w:rPr>
            </w:pPr>
            <w:r>
              <w:rPr>
                <w:w w:val="99"/>
                <w:sz w:val="14"/>
              </w:rPr>
              <w:t>-</w:t>
            </w:r>
          </w:p>
        </w:tc>
        <w:tc>
          <w:tcPr>
            <w:tcW w:w="566" w:type="dxa"/>
            <w:tcBorders>
              <w:top w:val="single" w:sz="4" w:space="0" w:color="000000"/>
              <w:bottom w:val="single" w:sz="4" w:space="0" w:color="000000"/>
            </w:tcBorders>
          </w:tcPr>
          <w:p>
            <w:pPr>
              <w:pStyle w:val="TableParagraph"/>
              <w:spacing w:before="23"/>
              <w:ind w:right="171"/>
              <w:rPr>
                <w:sz w:val="14"/>
              </w:rPr>
            </w:pPr>
            <w:r>
              <w:rPr>
                <w:w w:val="99"/>
                <w:sz w:val="14"/>
              </w:rPr>
              <w:t>-</w:t>
            </w:r>
          </w:p>
        </w:tc>
        <w:tc>
          <w:tcPr>
            <w:tcW w:w="634" w:type="dxa"/>
            <w:tcBorders>
              <w:top w:val="single" w:sz="4" w:space="0" w:color="000000"/>
              <w:bottom w:val="single" w:sz="4" w:space="0" w:color="000000"/>
            </w:tcBorders>
          </w:tcPr>
          <w:p>
            <w:pPr>
              <w:pStyle w:val="TableParagraph"/>
              <w:spacing w:before="23"/>
              <w:ind w:right="209"/>
              <w:rPr>
                <w:sz w:val="14"/>
              </w:rPr>
            </w:pPr>
            <w:r>
              <w:rPr>
                <w:w w:val="99"/>
                <w:sz w:val="14"/>
              </w:rPr>
              <w:t>-</w:t>
            </w:r>
          </w:p>
        </w:tc>
        <w:tc>
          <w:tcPr>
            <w:tcW w:w="727" w:type="dxa"/>
            <w:tcBorders>
              <w:top w:val="single" w:sz="4" w:space="0" w:color="000000"/>
              <w:bottom w:val="single" w:sz="4" w:space="0" w:color="000000"/>
            </w:tcBorders>
          </w:tcPr>
          <w:p>
            <w:pPr>
              <w:pStyle w:val="TableParagraph"/>
              <w:spacing w:before="23"/>
              <w:ind w:right="194"/>
              <w:rPr>
                <w:sz w:val="14"/>
              </w:rPr>
            </w:pPr>
            <w:r>
              <w:rPr>
                <w:spacing w:val="-2"/>
                <w:sz w:val="14"/>
              </w:rPr>
              <w:t>11.00</w:t>
            </w:r>
          </w:p>
        </w:tc>
        <w:tc>
          <w:tcPr>
            <w:tcW w:w="462" w:type="dxa"/>
            <w:tcBorders>
              <w:top w:val="single" w:sz="4" w:space="0" w:color="000000"/>
              <w:bottom w:val="single" w:sz="4" w:space="0" w:color="000000"/>
            </w:tcBorders>
          </w:tcPr>
          <w:p>
            <w:pPr>
              <w:pStyle w:val="TableParagraph"/>
              <w:spacing w:before="23"/>
              <w:ind w:right="63"/>
              <w:rPr>
                <w:sz w:val="14"/>
              </w:rPr>
            </w:pPr>
            <w:r>
              <w:rPr>
                <w:w w:val="99"/>
                <w:sz w:val="14"/>
              </w:rPr>
              <w:t>-</w:t>
            </w:r>
          </w:p>
        </w:tc>
        <w:tc>
          <w:tcPr>
            <w:tcW w:w="795" w:type="dxa"/>
            <w:tcBorders>
              <w:top w:val="single" w:sz="4" w:space="0" w:color="000000"/>
              <w:bottom w:val="single" w:sz="4" w:space="0" w:color="000000"/>
            </w:tcBorders>
          </w:tcPr>
          <w:p>
            <w:pPr>
              <w:pStyle w:val="TableParagraph"/>
              <w:spacing w:before="23"/>
              <w:ind w:right="121"/>
              <w:rPr>
                <w:i/>
                <w:sz w:val="14"/>
              </w:rPr>
            </w:pPr>
            <w:r>
              <w:rPr>
                <w:i/>
                <w:spacing w:val="-2"/>
                <w:sz w:val="14"/>
              </w:rPr>
              <w:t>11.00</w:t>
            </w:r>
          </w:p>
        </w:tc>
        <w:tc>
          <w:tcPr>
            <w:tcW w:w="566" w:type="dxa"/>
            <w:tcBorders>
              <w:top w:val="single" w:sz="4" w:space="0" w:color="000000"/>
              <w:bottom w:val="single" w:sz="4" w:space="0" w:color="000000"/>
            </w:tcBorders>
          </w:tcPr>
          <w:p>
            <w:pPr>
              <w:pStyle w:val="TableParagraph"/>
              <w:spacing w:before="23"/>
              <w:ind w:right="94"/>
              <w:rPr>
                <w:sz w:val="14"/>
              </w:rPr>
            </w:pPr>
            <w:r>
              <w:rPr>
                <w:w w:val="99"/>
                <w:sz w:val="14"/>
              </w:rPr>
              <w:t>-</w:t>
            </w:r>
          </w:p>
        </w:tc>
        <w:tc>
          <w:tcPr>
            <w:tcW w:w="576" w:type="dxa"/>
            <w:tcBorders>
              <w:top w:val="single" w:sz="4" w:space="0" w:color="000000"/>
              <w:bottom w:val="single" w:sz="4" w:space="0" w:color="000000"/>
            </w:tcBorders>
          </w:tcPr>
          <w:p>
            <w:pPr>
              <w:pStyle w:val="TableParagraph"/>
              <w:spacing w:before="23"/>
              <w:ind w:right="79"/>
              <w:rPr>
                <w:sz w:val="14"/>
              </w:rPr>
            </w:pPr>
            <w:r>
              <w:rPr>
                <w:w w:val="99"/>
                <w:sz w:val="14"/>
              </w:rPr>
              <w:t>-</w:t>
            </w:r>
          </w:p>
        </w:tc>
        <w:tc>
          <w:tcPr>
            <w:tcW w:w="561" w:type="dxa"/>
            <w:tcBorders>
              <w:top w:val="single" w:sz="4" w:space="0" w:color="000000"/>
              <w:bottom w:val="single" w:sz="4" w:space="0" w:color="000000"/>
            </w:tcBorders>
          </w:tcPr>
          <w:p>
            <w:pPr>
              <w:pStyle w:val="TableParagraph"/>
              <w:spacing w:before="23"/>
              <w:ind w:right="50"/>
              <w:rPr>
                <w:sz w:val="14"/>
              </w:rPr>
            </w:pPr>
            <w:r>
              <w:rPr>
                <w:w w:val="99"/>
                <w:sz w:val="14"/>
              </w:rPr>
              <w:t>-</w:t>
            </w:r>
          </w:p>
        </w:tc>
        <w:tc>
          <w:tcPr>
            <w:tcW w:w="819" w:type="dxa"/>
            <w:tcBorders>
              <w:top w:val="single" w:sz="4" w:space="0" w:color="000000"/>
              <w:bottom w:val="single" w:sz="4" w:space="0" w:color="000000"/>
            </w:tcBorders>
          </w:tcPr>
          <w:p>
            <w:pPr>
              <w:pStyle w:val="TableParagraph"/>
              <w:spacing w:before="23"/>
              <w:ind w:right="129"/>
              <w:rPr>
                <w:i/>
                <w:sz w:val="14"/>
              </w:rPr>
            </w:pPr>
            <w:r>
              <w:rPr>
                <w:i/>
                <w:w w:val="99"/>
                <w:sz w:val="14"/>
              </w:rPr>
              <w:t>-</w:t>
            </w:r>
          </w:p>
        </w:tc>
        <w:tc>
          <w:tcPr>
            <w:tcW w:w="518" w:type="dxa"/>
            <w:tcBorders>
              <w:top w:val="single" w:sz="4" w:space="0" w:color="000000"/>
              <w:bottom w:val="single" w:sz="4" w:space="0" w:color="000000"/>
            </w:tcBorders>
          </w:tcPr>
          <w:p>
            <w:pPr>
              <w:pStyle w:val="TableParagraph"/>
              <w:spacing w:before="23"/>
              <w:ind w:right="44"/>
              <w:rPr>
                <w:b/>
                <w:sz w:val="14"/>
              </w:rPr>
            </w:pPr>
            <w:r>
              <w:rPr>
                <w:b/>
                <w:spacing w:val="-2"/>
                <w:sz w:val="14"/>
              </w:rPr>
              <w:t>11.00</w:t>
            </w:r>
          </w:p>
        </w:tc>
      </w:tr>
      <w:tr>
        <w:trPr>
          <w:trHeight w:val="230" w:hRule="atLeast"/>
        </w:trPr>
        <w:tc>
          <w:tcPr>
            <w:tcW w:w="1186" w:type="dxa"/>
            <w:tcBorders>
              <w:top w:val="single" w:sz="4" w:space="0" w:color="000000"/>
              <w:bottom w:val="single" w:sz="4" w:space="0" w:color="000000"/>
            </w:tcBorders>
          </w:tcPr>
          <w:p>
            <w:pPr>
              <w:pStyle w:val="TableParagraph"/>
              <w:spacing w:before="28"/>
              <w:ind w:left="67"/>
              <w:jc w:val="left"/>
              <w:rPr>
                <w:sz w:val="14"/>
              </w:rPr>
            </w:pPr>
            <w:r>
              <w:rPr>
                <w:spacing w:val="-2"/>
                <w:sz w:val="14"/>
              </w:rPr>
              <w:t>Redeployed</w:t>
            </w:r>
          </w:p>
        </w:tc>
        <w:tc>
          <w:tcPr>
            <w:tcW w:w="678" w:type="dxa"/>
            <w:tcBorders>
              <w:top w:val="single" w:sz="4" w:space="0" w:color="000000"/>
              <w:bottom w:val="single" w:sz="4" w:space="0" w:color="000000"/>
            </w:tcBorders>
          </w:tcPr>
          <w:p>
            <w:pPr>
              <w:pStyle w:val="TableParagraph"/>
              <w:spacing w:before="28"/>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8"/>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8"/>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8"/>
              <w:ind w:right="191"/>
              <w:rPr>
                <w:sz w:val="14"/>
              </w:rPr>
            </w:pPr>
            <w:r>
              <w:rPr>
                <w:w w:val="99"/>
                <w:sz w:val="14"/>
              </w:rPr>
              <w:t>-</w:t>
            </w:r>
          </w:p>
        </w:tc>
        <w:tc>
          <w:tcPr>
            <w:tcW w:w="581" w:type="dxa"/>
            <w:tcBorders>
              <w:top w:val="single" w:sz="4" w:space="0" w:color="000000"/>
              <w:bottom w:val="single" w:sz="4" w:space="0" w:color="000000"/>
            </w:tcBorders>
          </w:tcPr>
          <w:p>
            <w:pPr>
              <w:pStyle w:val="TableParagraph"/>
              <w:spacing w:before="28"/>
              <w:ind w:left="148"/>
              <w:jc w:val="center"/>
              <w:rPr>
                <w:sz w:val="14"/>
              </w:rPr>
            </w:pPr>
            <w:r>
              <w:rPr>
                <w:w w:val="99"/>
                <w:sz w:val="14"/>
              </w:rPr>
              <w:t>-</w:t>
            </w:r>
          </w:p>
        </w:tc>
        <w:tc>
          <w:tcPr>
            <w:tcW w:w="566" w:type="dxa"/>
            <w:tcBorders>
              <w:top w:val="single" w:sz="4" w:space="0" w:color="000000"/>
              <w:bottom w:val="single" w:sz="4" w:space="0" w:color="000000"/>
            </w:tcBorders>
          </w:tcPr>
          <w:p>
            <w:pPr>
              <w:pStyle w:val="TableParagraph"/>
              <w:spacing w:before="28"/>
              <w:ind w:right="171"/>
              <w:rPr>
                <w:sz w:val="14"/>
              </w:rPr>
            </w:pPr>
            <w:r>
              <w:rPr>
                <w:w w:val="99"/>
                <w:sz w:val="14"/>
              </w:rPr>
              <w:t>-</w:t>
            </w:r>
          </w:p>
        </w:tc>
        <w:tc>
          <w:tcPr>
            <w:tcW w:w="634" w:type="dxa"/>
            <w:tcBorders>
              <w:top w:val="single" w:sz="4" w:space="0" w:color="000000"/>
              <w:bottom w:val="single" w:sz="4" w:space="0" w:color="000000"/>
            </w:tcBorders>
          </w:tcPr>
          <w:p>
            <w:pPr>
              <w:pStyle w:val="TableParagraph"/>
              <w:spacing w:before="28"/>
              <w:ind w:right="209"/>
              <w:rPr>
                <w:sz w:val="14"/>
              </w:rPr>
            </w:pPr>
            <w:r>
              <w:rPr>
                <w:w w:val="99"/>
                <w:sz w:val="14"/>
              </w:rPr>
              <w:t>-</w:t>
            </w:r>
          </w:p>
        </w:tc>
        <w:tc>
          <w:tcPr>
            <w:tcW w:w="727" w:type="dxa"/>
            <w:tcBorders>
              <w:top w:val="single" w:sz="4" w:space="0" w:color="000000"/>
              <w:bottom w:val="single" w:sz="4" w:space="0" w:color="000000"/>
            </w:tcBorders>
          </w:tcPr>
          <w:p>
            <w:pPr>
              <w:pStyle w:val="TableParagraph"/>
              <w:spacing w:before="28"/>
              <w:ind w:right="197"/>
              <w:rPr>
                <w:sz w:val="14"/>
              </w:rPr>
            </w:pPr>
            <w:r>
              <w:rPr>
                <w:w w:val="99"/>
                <w:sz w:val="14"/>
              </w:rPr>
              <w:t>-</w:t>
            </w:r>
          </w:p>
        </w:tc>
        <w:tc>
          <w:tcPr>
            <w:tcW w:w="462" w:type="dxa"/>
            <w:tcBorders>
              <w:top w:val="single" w:sz="4" w:space="0" w:color="000000"/>
              <w:bottom w:val="single" w:sz="4" w:space="0" w:color="000000"/>
            </w:tcBorders>
          </w:tcPr>
          <w:p>
            <w:pPr>
              <w:pStyle w:val="TableParagraph"/>
              <w:spacing w:before="28"/>
              <w:ind w:right="63"/>
              <w:rPr>
                <w:sz w:val="14"/>
              </w:rPr>
            </w:pPr>
            <w:r>
              <w:rPr>
                <w:w w:val="99"/>
                <w:sz w:val="14"/>
              </w:rPr>
              <w:t>-</w:t>
            </w:r>
          </w:p>
        </w:tc>
        <w:tc>
          <w:tcPr>
            <w:tcW w:w="795" w:type="dxa"/>
            <w:tcBorders>
              <w:top w:val="single" w:sz="4" w:space="0" w:color="000000"/>
              <w:bottom w:val="single" w:sz="4" w:space="0" w:color="000000"/>
            </w:tcBorders>
          </w:tcPr>
          <w:p>
            <w:pPr>
              <w:pStyle w:val="TableParagraph"/>
              <w:spacing w:before="28"/>
              <w:ind w:right="123"/>
              <w:rPr>
                <w:i/>
                <w:sz w:val="14"/>
              </w:rPr>
            </w:pPr>
            <w:r>
              <w:rPr>
                <w:i/>
                <w:w w:val="99"/>
                <w:sz w:val="14"/>
              </w:rPr>
              <w:t>-</w:t>
            </w:r>
          </w:p>
        </w:tc>
        <w:tc>
          <w:tcPr>
            <w:tcW w:w="566" w:type="dxa"/>
            <w:tcBorders>
              <w:top w:val="single" w:sz="4" w:space="0" w:color="000000"/>
              <w:bottom w:val="single" w:sz="4" w:space="0" w:color="000000"/>
            </w:tcBorders>
          </w:tcPr>
          <w:p>
            <w:pPr>
              <w:pStyle w:val="TableParagraph"/>
              <w:spacing w:before="28"/>
              <w:ind w:right="94"/>
              <w:rPr>
                <w:sz w:val="14"/>
              </w:rPr>
            </w:pPr>
            <w:r>
              <w:rPr>
                <w:w w:val="99"/>
                <w:sz w:val="14"/>
              </w:rPr>
              <w:t>-</w:t>
            </w:r>
          </w:p>
        </w:tc>
        <w:tc>
          <w:tcPr>
            <w:tcW w:w="576" w:type="dxa"/>
            <w:tcBorders>
              <w:top w:val="single" w:sz="4" w:space="0" w:color="000000"/>
              <w:bottom w:val="single" w:sz="4" w:space="0" w:color="000000"/>
            </w:tcBorders>
          </w:tcPr>
          <w:p>
            <w:pPr>
              <w:pStyle w:val="TableParagraph"/>
              <w:spacing w:before="28"/>
              <w:ind w:right="79"/>
              <w:rPr>
                <w:sz w:val="14"/>
              </w:rPr>
            </w:pPr>
            <w:r>
              <w:rPr>
                <w:w w:val="99"/>
                <w:sz w:val="14"/>
              </w:rPr>
              <w:t>-</w:t>
            </w:r>
          </w:p>
        </w:tc>
        <w:tc>
          <w:tcPr>
            <w:tcW w:w="561" w:type="dxa"/>
            <w:tcBorders>
              <w:top w:val="single" w:sz="4" w:space="0" w:color="000000"/>
              <w:bottom w:val="single" w:sz="4" w:space="0" w:color="000000"/>
            </w:tcBorders>
          </w:tcPr>
          <w:p>
            <w:pPr>
              <w:pStyle w:val="TableParagraph"/>
              <w:spacing w:before="28"/>
              <w:ind w:right="50"/>
              <w:rPr>
                <w:sz w:val="14"/>
              </w:rPr>
            </w:pPr>
            <w:r>
              <w:rPr>
                <w:w w:val="99"/>
                <w:sz w:val="14"/>
              </w:rPr>
              <w:t>-</w:t>
            </w:r>
          </w:p>
        </w:tc>
        <w:tc>
          <w:tcPr>
            <w:tcW w:w="819" w:type="dxa"/>
            <w:tcBorders>
              <w:top w:val="single" w:sz="4" w:space="0" w:color="000000"/>
              <w:bottom w:val="single" w:sz="4" w:space="0" w:color="000000"/>
            </w:tcBorders>
          </w:tcPr>
          <w:p>
            <w:pPr>
              <w:pStyle w:val="TableParagraph"/>
              <w:spacing w:before="28"/>
              <w:ind w:right="129"/>
              <w:rPr>
                <w:i/>
                <w:sz w:val="14"/>
              </w:rPr>
            </w:pPr>
            <w:r>
              <w:rPr>
                <w:i/>
                <w:w w:val="99"/>
                <w:sz w:val="14"/>
              </w:rPr>
              <w:t>-</w:t>
            </w:r>
          </w:p>
        </w:tc>
        <w:tc>
          <w:tcPr>
            <w:tcW w:w="518" w:type="dxa"/>
            <w:tcBorders>
              <w:top w:val="single" w:sz="4" w:space="0" w:color="000000"/>
              <w:bottom w:val="single" w:sz="4" w:space="0" w:color="000000"/>
            </w:tcBorders>
          </w:tcPr>
          <w:p>
            <w:pPr>
              <w:pStyle w:val="TableParagraph"/>
              <w:spacing w:before="28"/>
              <w:ind w:right="47"/>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3"/>
              <w:ind w:left="67"/>
              <w:jc w:val="left"/>
              <w:rPr>
                <w:sz w:val="14"/>
              </w:rPr>
            </w:pPr>
            <w:r>
              <w:rPr>
                <w:spacing w:val="-2"/>
                <w:sz w:val="14"/>
              </w:rPr>
              <w:t>Reclassified</w:t>
            </w:r>
          </w:p>
        </w:tc>
        <w:tc>
          <w:tcPr>
            <w:tcW w:w="678" w:type="dxa"/>
            <w:tcBorders>
              <w:top w:val="single" w:sz="4" w:space="0" w:color="000000"/>
              <w:bottom w:val="single" w:sz="4" w:space="0" w:color="000000"/>
            </w:tcBorders>
          </w:tcPr>
          <w:p>
            <w:pPr>
              <w:pStyle w:val="TableParagraph"/>
              <w:spacing w:before="23"/>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3"/>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3"/>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3"/>
              <w:ind w:right="191"/>
              <w:rPr>
                <w:sz w:val="14"/>
              </w:rPr>
            </w:pPr>
            <w:r>
              <w:rPr>
                <w:w w:val="99"/>
                <w:sz w:val="14"/>
              </w:rPr>
              <w:t>-</w:t>
            </w:r>
          </w:p>
        </w:tc>
        <w:tc>
          <w:tcPr>
            <w:tcW w:w="581" w:type="dxa"/>
            <w:tcBorders>
              <w:top w:val="single" w:sz="4" w:space="0" w:color="000000"/>
              <w:bottom w:val="single" w:sz="4" w:space="0" w:color="000000"/>
            </w:tcBorders>
          </w:tcPr>
          <w:p>
            <w:pPr>
              <w:pStyle w:val="TableParagraph"/>
              <w:spacing w:before="23"/>
              <w:ind w:left="148"/>
              <w:jc w:val="center"/>
              <w:rPr>
                <w:sz w:val="14"/>
              </w:rPr>
            </w:pPr>
            <w:r>
              <w:rPr>
                <w:w w:val="99"/>
                <w:sz w:val="14"/>
              </w:rPr>
              <w:t>-</w:t>
            </w:r>
          </w:p>
        </w:tc>
        <w:tc>
          <w:tcPr>
            <w:tcW w:w="566" w:type="dxa"/>
            <w:tcBorders>
              <w:top w:val="single" w:sz="4" w:space="0" w:color="000000"/>
              <w:bottom w:val="single" w:sz="4" w:space="0" w:color="000000"/>
            </w:tcBorders>
          </w:tcPr>
          <w:p>
            <w:pPr>
              <w:pStyle w:val="TableParagraph"/>
              <w:spacing w:before="23"/>
              <w:ind w:right="171"/>
              <w:rPr>
                <w:sz w:val="14"/>
              </w:rPr>
            </w:pPr>
            <w:r>
              <w:rPr>
                <w:w w:val="99"/>
                <w:sz w:val="14"/>
              </w:rPr>
              <w:t>-</w:t>
            </w:r>
          </w:p>
        </w:tc>
        <w:tc>
          <w:tcPr>
            <w:tcW w:w="634" w:type="dxa"/>
            <w:tcBorders>
              <w:top w:val="single" w:sz="4" w:space="0" w:color="000000"/>
              <w:bottom w:val="single" w:sz="4" w:space="0" w:color="000000"/>
            </w:tcBorders>
          </w:tcPr>
          <w:p>
            <w:pPr>
              <w:pStyle w:val="TableParagraph"/>
              <w:spacing w:before="23"/>
              <w:ind w:right="209"/>
              <w:rPr>
                <w:sz w:val="14"/>
              </w:rPr>
            </w:pPr>
            <w:r>
              <w:rPr>
                <w:w w:val="99"/>
                <w:sz w:val="14"/>
              </w:rPr>
              <w:t>-</w:t>
            </w:r>
          </w:p>
        </w:tc>
        <w:tc>
          <w:tcPr>
            <w:tcW w:w="727" w:type="dxa"/>
            <w:tcBorders>
              <w:top w:val="single" w:sz="4" w:space="0" w:color="000000"/>
              <w:bottom w:val="single" w:sz="4" w:space="0" w:color="000000"/>
            </w:tcBorders>
          </w:tcPr>
          <w:p>
            <w:pPr>
              <w:pStyle w:val="TableParagraph"/>
              <w:spacing w:before="23"/>
              <w:ind w:right="197"/>
              <w:rPr>
                <w:sz w:val="14"/>
              </w:rPr>
            </w:pPr>
            <w:r>
              <w:rPr>
                <w:w w:val="99"/>
                <w:sz w:val="14"/>
              </w:rPr>
              <w:t>-</w:t>
            </w:r>
          </w:p>
        </w:tc>
        <w:tc>
          <w:tcPr>
            <w:tcW w:w="462" w:type="dxa"/>
            <w:tcBorders>
              <w:top w:val="single" w:sz="4" w:space="0" w:color="000000"/>
              <w:bottom w:val="single" w:sz="4" w:space="0" w:color="000000"/>
            </w:tcBorders>
          </w:tcPr>
          <w:p>
            <w:pPr>
              <w:pStyle w:val="TableParagraph"/>
              <w:spacing w:before="23"/>
              <w:ind w:right="63"/>
              <w:rPr>
                <w:sz w:val="14"/>
              </w:rPr>
            </w:pPr>
            <w:r>
              <w:rPr>
                <w:w w:val="99"/>
                <w:sz w:val="14"/>
              </w:rPr>
              <w:t>-</w:t>
            </w:r>
          </w:p>
        </w:tc>
        <w:tc>
          <w:tcPr>
            <w:tcW w:w="795" w:type="dxa"/>
            <w:tcBorders>
              <w:top w:val="single" w:sz="4" w:space="0" w:color="000000"/>
              <w:bottom w:val="single" w:sz="4" w:space="0" w:color="000000"/>
            </w:tcBorders>
          </w:tcPr>
          <w:p>
            <w:pPr>
              <w:pStyle w:val="TableParagraph"/>
              <w:spacing w:before="23"/>
              <w:ind w:right="123"/>
              <w:rPr>
                <w:i/>
                <w:sz w:val="14"/>
              </w:rPr>
            </w:pPr>
            <w:r>
              <w:rPr>
                <w:i/>
                <w:w w:val="99"/>
                <w:sz w:val="14"/>
              </w:rPr>
              <w:t>-</w:t>
            </w:r>
          </w:p>
        </w:tc>
        <w:tc>
          <w:tcPr>
            <w:tcW w:w="566" w:type="dxa"/>
            <w:tcBorders>
              <w:top w:val="single" w:sz="4" w:space="0" w:color="000000"/>
              <w:bottom w:val="single" w:sz="4" w:space="0" w:color="000000"/>
            </w:tcBorders>
          </w:tcPr>
          <w:p>
            <w:pPr>
              <w:pStyle w:val="TableParagraph"/>
              <w:spacing w:before="23"/>
              <w:ind w:right="94"/>
              <w:rPr>
                <w:sz w:val="14"/>
              </w:rPr>
            </w:pPr>
            <w:r>
              <w:rPr>
                <w:w w:val="99"/>
                <w:sz w:val="14"/>
              </w:rPr>
              <w:t>-</w:t>
            </w:r>
          </w:p>
        </w:tc>
        <w:tc>
          <w:tcPr>
            <w:tcW w:w="576" w:type="dxa"/>
            <w:tcBorders>
              <w:top w:val="single" w:sz="4" w:space="0" w:color="000000"/>
              <w:bottom w:val="single" w:sz="4" w:space="0" w:color="000000"/>
            </w:tcBorders>
          </w:tcPr>
          <w:p>
            <w:pPr>
              <w:pStyle w:val="TableParagraph"/>
              <w:spacing w:before="23"/>
              <w:ind w:right="79"/>
              <w:rPr>
                <w:sz w:val="14"/>
              </w:rPr>
            </w:pPr>
            <w:r>
              <w:rPr>
                <w:w w:val="99"/>
                <w:sz w:val="14"/>
              </w:rPr>
              <w:t>-</w:t>
            </w:r>
          </w:p>
        </w:tc>
        <w:tc>
          <w:tcPr>
            <w:tcW w:w="561" w:type="dxa"/>
            <w:tcBorders>
              <w:top w:val="single" w:sz="4" w:space="0" w:color="000000"/>
              <w:bottom w:val="single" w:sz="4" w:space="0" w:color="000000"/>
            </w:tcBorders>
          </w:tcPr>
          <w:p>
            <w:pPr>
              <w:pStyle w:val="TableParagraph"/>
              <w:spacing w:before="23"/>
              <w:ind w:right="50"/>
              <w:rPr>
                <w:sz w:val="14"/>
              </w:rPr>
            </w:pPr>
            <w:r>
              <w:rPr>
                <w:w w:val="99"/>
                <w:sz w:val="14"/>
              </w:rPr>
              <w:t>-</w:t>
            </w:r>
          </w:p>
        </w:tc>
        <w:tc>
          <w:tcPr>
            <w:tcW w:w="819" w:type="dxa"/>
            <w:tcBorders>
              <w:top w:val="single" w:sz="4" w:space="0" w:color="000000"/>
              <w:bottom w:val="single" w:sz="4" w:space="0" w:color="000000"/>
            </w:tcBorders>
          </w:tcPr>
          <w:p>
            <w:pPr>
              <w:pStyle w:val="TableParagraph"/>
              <w:spacing w:before="23"/>
              <w:ind w:right="129"/>
              <w:rPr>
                <w:i/>
                <w:sz w:val="14"/>
              </w:rPr>
            </w:pPr>
            <w:r>
              <w:rPr>
                <w:i/>
                <w:w w:val="99"/>
                <w:sz w:val="14"/>
              </w:rPr>
              <w:t>-</w:t>
            </w:r>
          </w:p>
        </w:tc>
        <w:tc>
          <w:tcPr>
            <w:tcW w:w="518" w:type="dxa"/>
            <w:tcBorders>
              <w:top w:val="single" w:sz="4" w:space="0" w:color="000000"/>
              <w:bottom w:val="single" w:sz="4" w:space="0" w:color="000000"/>
            </w:tcBorders>
          </w:tcPr>
          <w:p>
            <w:pPr>
              <w:pStyle w:val="TableParagraph"/>
              <w:spacing w:before="23"/>
              <w:ind w:right="47"/>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8"/>
              <w:ind w:left="67"/>
              <w:jc w:val="left"/>
              <w:rPr>
                <w:sz w:val="14"/>
              </w:rPr>
            </w:pPr>
            <w:r>
              <w:rPr>
                <w:spacing w:val="-2"/>
                <w:sz w:val="14"/>
              </w:rPr>
              <w:t>Converted</w:t>
            </w:r>
          </w:p>
        </w:tc>
        <w:tc>
          <w:tcPr>
            <w:tcW w:w="678" w:type="dxa"/>
            <w:tcBorders>
              <w:top w:val="single" w:sz="4" w:space="0" w:color="000000"/>
              <w:bottom w:val="single" w:sz="4" w:space="0" w:color="000000"/>
            </w:tcBorders>
          </w:tcPr>
          <w:p>
            <w:pPr>
              <w:pStyle w:val="TableParagraph"/>
              <w:spacing w:before="28"/>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8"/>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8"/>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8"/>
              <w:ind w:right="191"/>
              <w:rPr>
                <w:sz w:val="14"/>
              </w:rPr>
            </w:pPr>
            <w:r>
              <w:rPr>
                <w:w w:val="99"/>
                <w:sz w:val="14"/>
              </w:rPr>
              <w:t>-</w:t>
            </w:r>
          </w:p>
        </w:tc>
        <w:tc>
          <w:tcPr>
            <w:tcW w:w="581" w:type="dxa"/>
            <w:tcBorders>
              <w:top w:val="single" w:sz="4" w:space="0" w:color="000000"/>
              <w:bottom w:val="single" w:sz="4" w:space="0" w:color="000000"/>
            </w:tcBorders>
          </w:tcPr>
          <w:p>
            <w:pPr>
              <w:pStyle w:val="TableParagraph"/>
              <w:spacing w:before="28"/>
              <w:ind w:left="148"/>
              <w:jc w:val="center"/>
              <w:rPr>
                <w:sz w:val="14"/>
              </w:rPr>
            </w:pPr>
            <w:r>
              <w:rPr>
                <w:w w:val="99"/>
                <w:sz w:val="14"/>
              </w:rPr>
              <w:t>-</w:t>
            </w:r>
          </w:p>
        </w:tc>
        <w:tc>
          <w:tcPr>
            <w:tcW w:w="566" w:type="dxa"/>
            <w:tcBorders>
              <w:top w:val="single" w:sz="4" w:space="0" w:color="000000"/>
              <w:bottom w:val="single" w:sz="4" w:space="0" w:color="000000"/>
            </w:tcBorders>
          </w:tcPr>
          <w:p>
            <w:pPr>
              <w:pStyle w:val="TableParagraph"/>
              <w:spacing w:before="28"/>
              <w:ind w:right="171"/>
              <w:rPr>
                <w:sz w:val="14"/>
              </w:rPr>
            </w:pPr>
            <w:r>
              <w:rPr>
                <w:w w:val="99"/>
                <w:sz w:val="14"/>
              </w:rPr>
              <w:t>-</w:t>
            </w:r>
          </w:p>
        </w:tc>
        <w:tc>
          <w:tcPr>
            <w:tcW w:w="634" w:type="dxa"/>
            <w:tcBorders>
              <w:top w:val="single" w:sz="4" w:space="0" w:color="000000"/>
              <w:bottom w:val="single" w:sz="4" w:space="0" w:color="000000"/>
            </w:tcBorders>
          </w:tcPr>
          <w:p>
            <w:pPr>
              <w:pStyle w:val="TableParagraph"/>
              <w:spacing w:before="28"/>
              <w:ind w:right="209"/>
              <w:rPr>
                <w:sz w:val="14"/>
              </w:rPr>
            </w:pPr>
            <w:r>
              <w:rPr>
                <w:w w:val="99"/>
                <w:sz w:val="14"/>
              </w:rPr>
              <w:t>-</w:t>
            </w:r>
          </w:p>
        </w:tc>
        <w:tc>
          <w:tcPr>
            <w:tcW w:w="727" w:type="dxa"/>
            <w:tcBorders>
              <w:top w:val="single" w:sz="4" w:space="0" w:color="000000"/>
              <w:bottom w:val="single" w:sz="4" w:space="0" w:color="000000"/>
            </w:tcBorders>
          </w:tcPr>
          <w:p>
            <w:pPr>
              <w:pStyle w:val="TableParagraph"/>
              <w:spacing w:before="28"/>
              <w:ind w:right="197"/>
              <w:rPr>
                <w:sz w:val="14"/>
              </w:rPr>
            </w:pPr>
            <w:r>
              <w:rPr>
                <w:w w:val="99"/>
                <w:sz w:val="14"/>
              </w:rPr>
              <w:t>-</w:t>
            </w:r>
          </w:p>
        </w:tc>
        <w:tc>
          <w:tcPr>
            <w:tcW w:w="462" w:type="dxa"/>
            <w:tcBorders>
              <w:top w:val="single" w:sz="4" w:space="0" w:color="000000"/>
              <w:bottom w:val="single" w:sz="4" w:space="0" w:color="000000"/>
            </w:tcBorders>
          </w:tcPr>
          <w:p>
            <w:pPr>
              <w:pStyle w:val="TableParagraph"/>
              <w:spacing w:before="28"/>
              <w:ind w:right="63"/>
              <w:rPr>
                <w:sz w:val="14"/>
              </w:rPr>
            </w:pPr>
            <w:r>
              <w:rPr>
                <w:w w:val="99"/>
                <w:sz w:val="14"/>
              </w:rPr>
              <w:t>-</w:t>
            </w:r>
          </w:p>
        </w:tc>
        <w:tc>
          <w:tcPr>
            <w:tcW w:w="795" w:type="dxa"/>
            <w:tcBorders>
              <w:top w:val="single" w:sz="4" w:space="0" w:color="000000"/>
              <w:bottom w:val="single" w:sz="4" w:space="0" w:color="000000"/>
            </w:tcBorders>
          </w:tcPr>
          <w:p>
            <w:pPr>
              <w:pStyle w:val="TableParagraph"/>
              <w:spacing w:before="28"/>
              <w:ind w:right="123"/>
              <w:rPr>
                <w:i/>
                <w:sz w:val="14"/>
              </w:rPr>
            </w:pPr>
            <w:r>
              <w:rPr>
                <w:i/>
                <w:w w:val="99"/>
                <w:sz w:val="14"/>
              </w:rPr>
              <w:t>-</w:t>
            </w:r>
          </w:p>
        </w:tc>
        <w:tc>
          <w:tcPr>
            <w:tcW w:w="566" w:type="dxa"/>
            <w:tcBorders>
              <w:top w:val="single" w:sz="4" w:space="0" w:color="000000"/>
              <w:bottom w:val="single" w:sz="4" w:space="0" w:color="000000"/>
            </w:tcBorders>
          </w:tcPr>
          <w:p>
            <w:pPr>
              <w:pStyle w:val="TableParagraph"/>
              <w:spacing w:before="28"/>
              <w:ind w:right="94"/>
              <w:rPr>
                <w:sz w:val="14"/>
              </w:rPr>
            </w:pPr>
            <w:r>
              <w:rPr>
                <w:w w:val="99"/>
                <w:sz w:val="14"/>
              </w:rPr>
              <w:t>-</w:t>
            </w:r>
          </w:p>
        </w:tc>
        <w:tc>
          <w:tcPr>
            <w:tcW w:w="576" w:type="dxa"/>
            <w:tcBorders>
              <w:top w:val="single" w:sz="4" w:space="0" w:color="000000"/>
              <w:bottom w:val="single" w:sz="4" w:space="0" w:color="000000"/>
            </w:tcBorders>
          </w:tcPr>
          <w:p>
            <w:pPr>
              <w:pStyle w:val="TableParagraph"/>
              <w:spacing w:before="28"/>
              <w:ind w:right="79"/>
              <w:rPr>
                <w:sz w:val="14"/>
              </w:rPr>
            </w:pPr>
            <w:r>
              <w:rPr>
                <w:w w:val="99"/>
                <w:sz w:val="14"/>
              </w:rPr>
              <w:t>-</w:t>
            </w:r>
          </w:p>
        </w:tc>
        <w:tc>
          <w:tcPr>
            <w:tcW w:w="561" w:type="dxa"/>
            <w:tcBorders>
              <w:top w:val="single" w:sz="4" w:space="0" w:color="000000"/>
              <w:bottom w:val="single" w:sz="4" w:space="0" w:color="000000"/>
            </w:tcBorders>
          </w:tcPr>
          <w:p>
            <w:pPr>
              <w:pStyle w:val="TableParagraph"/>
              <w:spacing w:before="28"/>
              <w:ind w:right="50"/>
              <w:rPr>
                <w:sz w:val="14"/>
              </w:rPr>
            </w:pPr>
            <w:r>
              <w:rPr>
                <w:w w:val="99"/>
                <w:sz w:val="14"/>
              </w:rPr>
              <w:t>-</w:t>
            </w:r>
          </w:p>
        </w:tc>
        <w:tc>
          <w:tcPr>
            <w:tcW w:w="819" w:type="dxa"/>
            <w:tcBorders>
              <w:top w:val="single" w:sz="4" w:space="0" w:color="000000"/>
              <w:bottom w:val="single" w:sz="4" w:space="0" w:color="000000"/>
            </w:tcBorders>
          </w:tcPr>
          <w:p>
            <w:pPr>
              <w:pStyle w:val="TableParagraph"/>
              <w:spacing w:before="28"/>
              <w:ind w:right="129"/>
              <w:rPr>
                <w:i/>
                <w:sz w:val="14"/>
              </w:rPr>
            </w:pPr>
            <w:r>
              <w:rPr>
                <w:i/>
                <w:w w:val="99"/>
                <w:sz w:val="14"/>
              </w:rPr>
              <w:t>-</w:t>
            </w:r>
          </w:p>
        </w:tc>
        <w:tc>
          <w:tcPr>
            <w:tcW w:w="518" w:type="dxa"/>
            <w:tcBorders>
              <w:top w:val="single" w:sz="4" w:space="0" w:color="000000"/>
              <w:bottom w:val="single" w:sz="4" w:space="0" w:color="000000"/>
            </w:tcBorders>
          </w:tcPr>
          <w:p>
            <w:pPr>
              <w:pStyle w:val="TableParagraph"/>
              <w:spacing w:before="28"/>
              <w:ind w:right="47"/>
              <w:rPr>
                <w:b/>
                <w:sz w:val="14"/>
              </w:rPr>
            </w:pPr>
            <w:r>
              <w:rPr>
                <w:b/>
                <w:w w:val="99"/>
                <w:sz w:val="14"/>
              </w:rPr>
              <w:t>-</w:t>
            </w:r>
          </w:p>
        </w:tc>
      </w:tr>
      <w:tr>
        <w:trPr>
          <w:trHeight w:val="229" w:hRule="atLeast"/>
        </w:trPr>
        <w:tc>
          <w:tcPr>
            <w:tcW w:w="1186" w:type="dxa"/>
            <w:tcBorders>
              <w:top w:val="single" w:sz="4" w:space="0" w:color="000000"/>
              <w:bottom w:val="single" w:sz="12" w:space="0" w:color="000000"/>
            </w:tcBorders>
          </w:tcPr>
          <w:p>
            <w:pPr>
              <w:pStyle w:val="TableParagraph"/>
              <w:spacing w:before="28"/>
              <w:ind w:left="67"/>
              <w:jc w:val="left"/>
              <w:rPr>
                <w:b/>
                <w:sz w:val="14"/>
              </w:rPr>
            </w:pPr>
            <w:r>
              <w:rPr>
                <w:b/>
                <w:sz w:val="14"/>
              </w:rPr>
              <w:t>Proposed</w:t>
            </w:r>
            <w:r>
              <w:rPr>
                <w:b/>
                <w:spacing w:val="-6"/>
                <w:sz w:val="14"/>
              </w:rPr>
              <w:t> </w:t>
            </w:r>
            <w:r>
              <w:rPr>
                <w:b/>
                <w:spacing w:val="-4"/>
                <w:sz w:val="14"/>
              </w:rPr>
              <w:t>2023</w:t>
            </w:r>
          </w:p>
        </w:tc>
        <w:tc>
          <w:tcPr>
            <w:tcW w:w="678" w:type="dxa"/>
            <w:tcBorders>
              <w:top w:val="single" w:sz="4" w:space="0" w:color="000000"/>
              <w:bottom w:val="single" w:sz="12" w:space="0" w:color="000000"/>
            </w:tcBorders>
          </w:tcPr>
          <w:p>
            <w:pPr>
              <w:pStyle w:val="TableParagraph"/>
              <w:spacing w:before="28"/>
              <w:ind w:right="154"/>
              <w:rPr>
                <w:b/>
                <w:sz w:val="14"/>
              </w:rPr>
            </w:pPr>
            <w:r>
              <w:rPr>
                <w:b/>
                <w:w w:val="99"/>
                <w:sz w:val="14"/>
              </w:rPr>
              <w:t>-</w:t>
            </w:r>
          </w:p>
        </w:tc>
        <w:tc>
          <w:tcPr>
            <w:tcW w:w="607" w:type="dxa"/>
            <w:tcBorders>
              <w:top w:val="single" w:sz="4" w:space="0" w:color="000000"/>
              <w:bottom w:val="single" w:sz="12" w:space="0" w:color="000000"/>
            </w:tcBorders>
          </w:tcPr>
          <w:p>
            <w:pPr>
              <w:pStyle w:val="TableParagraph"/>
              <w:spacing w:before="28"/>
              <w:ind w:right="170"/>
              <w:rPr>
                <w:b/>
                <w:sz w:val="14"/>
              </w:rPr>
            </w:pPr>
            <w:r>
              <w:rPr>
                <w:b/>
                <w:w w:val="99"/>
                <w:sz w:val="14"/>
              </w:rPr>
              <w:t>-</w:t>
            </w:r>
          </w:p>
        </w:tc>
        <w:tc>
          <w:tcPr>
            <w:tcW w:w="563" w:type="dxa"/>
            <w:tcBorders>
              <w:top w:val="single" w:sz="4" w:space="0" w:color="000000"/>
              <w:bottom w:val="single" w:sz="12" w:space="0" w:color="000000"/>
            </w:tcBorders>
          </w:tcPr>
          <w:p>
            <w:pPr>
              <w:pStyle w:val="TableParagraph"/>
              <w:spacing w:before="28"/>
              <w:ind w:right="171"/>
              <w:rPr>
                <w:b/>
                <w:sz w:val="14"/>
              </w:rPr>
            </w:pPr>
            <w:r>
              <w:rPr>
                <w:b/>
                <w:w w:val="99"/>
                <w:sz w:val="14"/>
              </w:rPr>
              <w:t>-</w:t>
            </w:r>
          </w:p>
        </w:tc>
        <w:tc>
          <w:tcPr>
            <w:tcW w:w="581" w:type="dxa"/>
            <w:tcBorders>
              <w:top w:val="single" w:sz="4" w:space="0" w:color="000000"/>
              <w:bottom w:val="single" w:sz="12" w:space="0" w:color="000000"/>
            </w:tcBorders>
          </w:tcPr>
          <w:p>
            <w:pPr>
              <w:pStyle w:val="TableParagraph"/>
              <w:spacing w:before="28"/>
              <w:ind w:right="191"/>
              <w:rPr>
                <w:b/>
                <w:sz w:val="14"/>
              </w:rPr>
            </w:pPr>
            <w:r>
              <w:rPr>
                <w:b/>
                <w:w w:val="99"/>
                <w:sz w:val="14"/>
              </w:rPr>
              <w:t>-</w:t>
            </w:r>
          </w:p>
        </w:tc>
        <w:tc>
          <w:tcPr>
            <w:tcW w:w="581" w:type="dxa"/>
            <w:tcBorders>
              <w:top w:val="single" w:sz="4" w:space="0" w:color="000000"/>
              <w:bottom w:val="single" w:sz="12" w:space="0" w:color="000000"/>
            </w:tcBorders>
          </w:tcPr>
          <w:p>
            <w:pPr>
              <w:pStyle w:val="TableParagraph"/>
              <w:spacing w:before="28"/>
              <w:ind w:left="148"/>
              <w:jc w:val="center"/>
              <w:rPr>
                <w:b/>
                <w:sz w:val="14"/>
              </w:rPr>
            </w:pPr>
            <w:r>
              <w:rPr>
                <w:b/>
                <w:w w:val="99"/>
                <w:sz w:val="14"/>
              </w:rPr>
              <w:t>-</w:t>
            </w:r>
          </w:p>
        </w:tc>
        <w:tc>
          <w:tcPr>
            <w:tcW w:w="566" w:type="dxa"/>
            <w:tcBorders>
              <w:top w:val="single" w:sz="4" w:space="0" w:color="000000"/>
              <w:bottom w:val="single" w:sz="12" w:space="0" w:color="000000"/>
            </w:tcBorders>
          </w:tcPr>
          <w:p>
            <w:pPr>
              <w:pStyle w:val="TableParagraph"/>
              <w:spacing w:before="28"/>
              <w:ind w:right="171"/>
              <w:rPr>
                <w:b/>
                <w:sz w:val="14"/>
              </w:rPr>
            </w:pPr>
            <w:r>
              <w:rPr>
                <w:b/>
                <w:w w:val="99"/>
                <w:sz w:val="14"/>
              </w:rPr>
              <w:t>-</w:t>
            </w:r>
          </w:p>
        </w:tc>
        <w:tc>
          <w:tcPr>
            <w:tcW w:w="634" w:type="dxa"/>
            <w:tcBorders>
              <w:top w:val="single" w:sz="4" w:space="0" w:color="000000"/>
              <w:bottom w:val="single" w:sz="12" w:space="0" w:color="000000"/>
            </w:tcBorders>
          </w:tcPr>
          <w:p>
            <w:pPr>
              <w:pStyle w:val="TableParagraph"/>
              <w:spacing w:before="28"/>
              <w:ind w:right="206"/>
              <w:rPr>
                <w:b/>
                <w:sz w:val="14"/>
              </w:rPr>
            </w:pPr>
            <w:r>
              <w:rPr>
                <w:b/>
                <w:spacing w:val="-4"/>
                <w:sz w:val="14"/>
              </w:rPr>
              <w:t>5.00</w:t>
            </w:r>
          </w:p>
        </w:tc>
        <w:tc>
          <w:tcPr>
            <w:tcW w:w="727" w:type="dxa"/>
            <w:tcBorders>
              <w:top w:val="single" w:sz="4" w:space="0" w:color="000000"/>
              <w:bottom w:val="single" w:sz="12" w:space="0" w:color="000000"/>
            </w:tcBorders>
          </w:tcPr>
          <w:p>
            <w:pPr>
              <w:pStyle w:val="TableParagraph"/>
              <w:spacing w:before="28"/>
              <w:ind w:right="194"/>
              <w:rPr>
                <w:b/>
                <w:sz w:val="14"/>
              </w:rPr>
            </w:pPr>
            <w:r>
              <w:rPr>
                <w:b/>
                <w:spacing w:val="-2"/>
                <w:sz w:val="14"/>
              </w:rPr>
              <w:t>19.00</w:t>
            </w:r>
          </w:p>
        </w:tc>
        <w:tc>
          <w:tcPr>
            <w:tcW w:w="462" w:type="dxa"/>
            <w:tcBorders>
              <w:top w:val="single" w:sz="4" w:space="0" w:color="000000"/>
              <w:bottom w:val="single" w:sz="12" w:space="0" w:color="000000"/>
            </w:tcBorders>
          </w:tcPr>
          <w:p>
            <w:pPr>
              <w:pStyle w:val="TableParagraph"/>
              <w:spacing w:before="28"/>
              <w:ind w:right="63"/>
              <w:rPr>
                <w:b/>
                <w:sz w:val="14"/>
              </w:rPr>
            </w:pPr>
            <w:r>
              <w:rPr>
                <w:b/>
                <w:w w:val="99"/>
                <w:sz w:val="14"/>
              </w:rPr>
              <w:t>-</w:t>
            </w:r>
          </w:p>
        </w:tc>
        <w:tc>
          <w:tcPr>
            <w:tcW w:w="795" w:type="dxa"/>
            <w:tcBorders>
              <w:top w:val="single" w:sz="4" w:space="0" w:color="000000"/>
              <w:bottom w:val="single" w:sz="12" w:space="0" w:color="000000"/>
            </w:tcBorders>
          </w:tcPr>
          <w:p>
            <w:pPr>
              <w:pStyle w:val="TableParagraph"/>
              <w:spacing w:before="28"/>
              <w:ind w:right="121"/>
              <w:rPr>
                <w:b/>
                <w:i/>
                <w:sz w:val="14"/>
              </w:rPr>
            </w:pPr>
            <w:r>
              <w:rPr>
                <w:b/>
                <w:i/>
                <w:spacing w:val="-2"/>
                <w:sz w:val="14"/>
              </w:rPr>
              <w:t>24.00</w:t>
            </w:r>
          </w:p>
        </w:tc>
        <w:tc>
          <w:tcPr>
            <w:tcW w:w="566" w:type="dxa"/>
            <w:tcBorders>
              <w:top w:val="single" w:sz="4" w:space="0" w:color="000000"/>
              <w:bottom w:val="single" w:sz="12" w:space="0" w:color="000000"/>
            </w:tcBorders>
          </w:tcPr>
          <w:p>
            <w:pPr>
              <w:pStyle w:val="TableParagraph"/>
              <w:spacing w:before="28"/>
              <w:ind w:right="94"/>
              <w:rPr>
                <w:b/>
                <w:sz w:val="14"/>
              </w:rPr>
            </w:pPr>
            <w:r>
              <w:rPr>
                <w:b/>
                <w:w w:val="99"/>
                <w:sz w:val="14"/>
              </w:rPr>
              <w:t>-</w:t>
            </w:r>
          </w:p>
        </w:tc>
        <w:tc>
          <w:tcPr>
            <w:tcW w:w="576" w:type="dxa"/>
            <w:tcBorders>
              <w:top w:val="single" w:sz="4" w:space="0" w:color="000000"/>
              <w:bottom w:val="single" w:sz="12" w:space="0" w:color="000000"/>
            </w:tcBorders>
          </w:tcPr>
          <w:p>
            <w:pPr>
              <w:pStyle w:val="TableParagraph"/>
              <w:spacing w:before="28"/>
              <w:ind w:right="79"/>
              <w:rPr>
                <w:b/>
                <w:sz w:val="14"/>
              </w:rPr>
            </w:pPr>
            <w:r>
              <w:rPr>
                <w:b/>
                <w:w w:val="99"/>
                <w:sz w:val="14"/>
              </w:rPr>
              <w:t>-</w:t>
            </w:r>
          </w:p>
        </w:tc>
        <w:tc>
          <w:tcPr>
            <w:tcW w:w="561" w:type="dxa"/>
            <w:tcBorders>
              <w:top w:val="single" w:sz="4" w:space="0" w:color="000000"/>
              <w:bottom w:val="single" w:sz="12" w:space="0" w:color="000000"/>
            </w:tcBorders>
          </w:tcPr>
          <w:p>
            <w:pPr>
              <w:pStyle w:val="TableParagraph"/>
              <w:spacing w:before="28"/>
              <w:ind w:right="50"/>
              <w:rPr>
                <w:b/>
                <w:sz w:val="14"/>
              </w:rPr>
            </w:pPr>
            <w:r>
              <w:rPr>
                <w:b/>
                <w:w w:val="99"/>
                <w:sz w:val="14"/>
              </w:rPr>
              <w:t>-</w:t>
            </w:r>
          </w:p>
        </w:tc>
        <w:tc>
          <w:tcPr>
            <w:tcW w:w="819" w:type="dxa"/>
            <w:tcBorders>
              <w:top w:val="single" w:sz="4" w:space="0" w:color="000000"/>
              <w:bottom w:val="single" w:sz="12" w:space="0" w:color="000000"/>
            </w:tcBorders>
          </w:tcPr>
          <w:p>
            <w:pPr>
              <w:pStyle w:val="TableParagraph"/>
              <w:spacing w:before="28"/>
              <w:ind w:right="129"/>
              <w:rPr>
                <w:b/>
                <w:i/>
                <w:sz w:val="14"/>
              </w:rPr>
            </w:pPr>
            <w:r>
              <w:rPr>
                <w:b/>
                <w:i/>
                <w:w w:val="99"/>
                <w:sz w:val="14"/>
              </w:rPr>
              <w:t>-</w:t>
            </w:r>
          </w:p>
        </w:tc>
        <w:tc>
          <w:tcPr>
            <w:tcW w:w="518" w:type="dxa"/>
            <w:tcBorders>
              <w:top w:val="single" w:sz="4" w:space="0" w:color="000000"/>
              <w:bottom w:val="single" w:sz="12" w:space="0" w:color="000000"/>
            </w:tcBorders>
          </w:tcPr>
          <w:p>
            <w:pPr>
              <w:pStyle w:val="TableParagraph"/>
              <w:spacing w:before="28"/>
              <w:ind w:right="44"/>
              <w:rPr>
                <w:b/>
                <w:sz w:val="14"/>
              </w:rPr>
            </w:pPr>
            <w:r>
              <w:rPr>
                <w:b/>
                <w:spacing w:val="-2"/>
                <w:sz w:val="14"/>
              </w:rPr>
              <w:t>24.00</w:t>
            </w:r>
          </w:p>
        </w:tc>
      </w:tr>
    </w:tbl>
    <w:p>
      <w:pPr>
        <w:spacing w:after="0"/>
        <w:rPr>
          <w:sz w:val="14"/>
        </w:rPr>
        <w:sectPr>
          <w:type w:val="continuous"/>
          <w:pgSz w:w="11910" w:h="16840"/>
          <w:pgMar w:header="957" w:footer="940" w:top="1240" w:bottom="1140" w:left="20" w:right="20"/>
        </w:sectPr>
      </w:pPr>
    </w:p>
    <w:p>
      <w:pPr>
        <w:pStyle w:val="Heading2"/>
        <w:numPr>
          <w:ilvl w:val="1"/>
          <w:numId w:val="3"/>
        </w:numPr>
        <w:tabs>
          <w:tab w:pos="2246" w:val="left" w:leader="none"/>
          <w:tab w:pos="2247" w:val="left" w:leader="none"/>
        </w:tabs>
        <w:spacing w:line="240" w:lineRule="auto" w:before="126" w:after="0"/>
        <w:ind w:left="2246" w:right="0" w:hanging="568"/>
        <w:jc w:val="left"/>
      </w:pPr>
      <w:bookmarkStart w:name="_bookmark21" w:id="22"/>
      <w:bookmarkEnd w:id="22"/>
      <w:r>
        <w:rPr/>
        <w:t>M</w:t>
      </w:r>
      <w:r>
        <w:rPr/>
        <w:t>ajor</w:t>
      </w:r>
      <w:r>
        <w:rPr>
          <w:spacing w:val="-2"/>
        </w:rPr>
        <w:t> </w:t>
      </w:r>
      <w:r>
        <w:rPr/>
        <w:t>Programme</w:t>
      </w:r>
      <w:r>
        <w:rPr>
          <w:spacing w:val="-7"/>
        </w:rPr>
        <w:t> </w:t>
      </w:r>
      <w:r>
        <w:rPr/>
        <w:t>II: Office</w:t>
      </w:r>
      <w:r>
        <w:rPr>
          <w:spacing w:val="-8"/>
        </w:rPr>
        <w:t> </w:t>
      </w:r>
      <w:r>
        <w:rPr/>
        <w:t>of</w:t>
      </w:r>
      <w:r>
        <w:rPr>
          <w:spacing w:val="-4"/>
        </w:rPr>
        <w:t> </w:t>
      </w:r>
      <w:r>
        <w:rPr/>
        <w:t>the</w:t>
      </w:r>
      <w:r>
        <w:rPr>
          <w:spacing w:val="-6"/>
        </w:rPr>
        <w:t> </w:t>
      </w:r>
      <w:r>
        <w:rPr>
          <w:spacing w:val="-2"/>
        </w:rPr>
        <w:t>Prosecutor</w:t>
      </w:r>
    </w:p>
    <w:p>
      <w:pPr>
        <w:pStyle w:val="BodyText"/>
        <w:spacing w:before="9"/>
        <w:rPr>
          <w:b/>
        </w:rPr>
      </w:pPr>
      <w:r>
        <w:rPr/>
        <w:drawing>
          <wp:anchor distT="0" distB="0" distL="0" distR="0" allowOverlap="1" layoutInCell="1" locked="0" behindDoc="0" simplePos="0" relativeHeight="25">
            <wp:simplePos x="0" y="0"/>
            <wp:positionH relativeFrom="page">
              <wp:posOffset>1448754</wp:posOffset>
            </wp:positionH>
            <wp:positionV relativeFrom="paragraph">
              <wp:posOffset>167342</wp:posOffset>
            </wp:positionV>
            <wp:extent cx="4686735" cy="3463861"/>
            <wp:effectExtent l="0" t="0" r="0" b="0"/>
            <wp:wrapTopAndBottom/>
            <wp:docPr id="3" name="image4.png"/>
            <wp:cNvGraphicFramePr>
              <a:graphicFrameLocks noChangeAspect="1"/>
            </wp:cNvGraphicFramePr>
            <a:graphic>
              <a:graphicData uri="http://schemas.openxmlformats.org/drawingml/2006/picture">
                <pic:pic>
                  <pic:nvPicPr>
                    <pic:cNvPr id="4" name="image4.png"/>
                    <pic:cNvPicPr/>
                  </pic:nvPicPr>
                  <pic:blipFill>
                    <a:blip r:embed="rId23" cstate="print"/>
                    <a:stretch>
                      <a:fillRect/>
                    </a:stretch>
                  </pic:blipFill>
                  <pic:spPr>
                    <a:xfrm>
                      <a:off x="0" y="0"/>
                      <a:ext cx="4686735" cy="3463861"/>
                    </a:xfrm>
                    <a:prstGeom prst="rect">
                      <a:avLst/>
                    </a:prstGeom>
                  </pic:spPr>
                </pic:pic>
              </a:graphicData>
            </a:graphic>
          </wp:anchor>
        </w:drawing>
      </w:r>
    </w:p>
    <w:p>
      <w:pPr>
        <w:pStyle w:val="BodyText"/>
        <w:rPr>
          <w:b/>
          <w:sz w:val="26"/>
        </w:rPr>
      </w:pPr>
    </w:p>
    <w:p>
      <w:pPr>
        <w:pStyle w:val="Heading3"/>
        <w:spacing w:before="231"/>
      </w:pPr>
      <w:r>
        <w:rPr>
          <w:spacing w:val="-2"/>
        </w:rPr>
        <w:t>Introduction</w:t>
      </w:r>
    </w:p>
    <w:p>
      <w:pPr>
        <w:pStyle w:val="BodyText"/>
        <w:spacing w:before="5"/>
        <w:rPr>
          <w:b/>
        </w:rPr>
      </w:pPr>
    </w:p>
    <w:p>
      <w:pPr>
        <w:pStyle w:val="ListParagraph"/>
        <w:numPr>
          <w:ilvl w:val="0"/>
          <w:numId w:val="4"/>
        </w:numPr>
        <w:tabs>
          <w:tab w:pos="2967" w:val="left" w:leader="none"/>
        </w:tabs>
        <w:spacing w:line="240" w:lineRule="auto" w:before="0" w:after="0"/>
        <w:ind w:left="2246" w:right="2243" w:firstLine="0"/>
        <w:jc w:val="both"/>
        <w:rPr>
          <w:sz w:val="20"/>
        </w:rPr>
      </w:pPr>
      <w:bookmarkStart w:name="_bookmark22" w:id="23"/>
      <w:bookmarkEnd w:id="23"/>
      <w:r>
        <w:rPr>
          <w:sz w:val="20"/>
        </w:rPr>
        <w:t>T</w:t>
      </w:r>
      <w:r>
        <w:rPr>
          <w:sz w:val="20"/>
        </w:rPr>
        <w:t>he mission of the Office of the Prosecutor (OTP or “the Office”) embraces the effective</w:t>
      </w:r>
      <w:r>
        <w:rPr>
          <w:spacing w:val="-12"/>
          <w:sz w:val="20"/>
        </w:rPr>
        <w:t> </w:t>
      </w:r>
      <w:r>
        <w:rPr>
          <w:sz w:val="20"/>
        </w:rPr>
        <w:t>and</w:t>
      </w:r>
      <w:r>
        <w:rPr>
          <w:spacing w:val="-9"/>
          <w:sz w:val="20"/>
        </w:rPr>
        <w:t> </w:t>
      </w:r>
      <w:r>
        <w:rPr>
          <w:sz w:val="20"/>
        </w:rPr>
        <w:t>efficient</w:t>
      </w:r>
      <w:r>
        <w:rPr>
          <w:spacing w:val="-8"/>
          <w:sz w:val="20"/>
        </w:rPr>
        <w:t> </w:t>
      </w:r>
      <w:r>
        <w:rPr>
          <w:sz w:val="20"/>
        </w:rPr>
        <w:t>conduct</w:t>
      </w:r>
      <w:r>
        <w:rPr>
          <w:spacing w:val="-8"/>
          <w:sz w:val="20"/>
        </w:rPr>
        <w:t> </w:t>
      </w:r>
      <w:r>
        <w:rPr>
          <w:sz w:val="20"/>
        </w:rPr>
        <w:t>of</w:t>
      </w:r>
      <w:r>
        <w:rPr>
          <w:spacing w:val="-9"/>
          <w:sz w:val="20"/>
        </w:rPr>
        <w:t> </w:t>
      </w:r>
      <w:r>
        <w:rPr>
          <w:sz w:val="20"/>
        </w:rPr>
        <w:t>preliminary</w:t>
      </w:r>
      <w:r>
        <w:rPr>
          <w:spacing w:val="-9"/>
          <w:sz w:val="20"/>
        </w:rPr>
        <w:t> </w:t>
      </w:r>
      <w:r>
        <w:rPr>
          <w:sz w:val="20"/>
        </w:rPr>
        <w:t>examinations,</w:t>
      </w:r>
      <w:r>
        <w:rPr>
          <w:spacing w:val="-7"/>
          <w:sz w:val="20"/>
        </w:rPr>
        <w:t> </w:t>
      </w:r>
      <w:r>
        <w:rPr>
          <w:sz w:val="20"/>
        </w:rPr>
        <w:t>investigation</w:t>
      </w:r>
      <w:r>
        <w:rPr>
          <w:spacing w:val="-13"/>
          <w:sz w:val="20"/>
        </w:rPr>
        <w:t> </w:t>
      </w:r>
      <w:r>
        <w:rPr>
          <w:sz w:val="20"/>
        </w:rPr>
        <w:t>and</w:t>
      </w:r>
      <w:r>
        <w:rPr>
          <w:spacing w:val="-8"/>
          <w:sz w:val="20"/>
        </w:rPr>
        <w:t> </w:t>
      </w:r>
      <w:r>
        <w:rPr>
          <w:sz w:val="20"/>
        </w:rPr>
        <w:t>prosecution</w:t>
      </w:r>
      <w:r>
        <w:rPr>
          <w:spacing w:val="-9"/>
          <w:sz w:val="20"/>
        </w:rPr>
        <w:t> </w:t>
      </w:r>
      <w:r>
        <w:rPr>
          <w:sz w:val="20"/>
        </w:rPr>
        <w:t>of perpetrators of genocide, crimes</w:t>
      </w:r>
      <w:r>
        <w:rPr>
          <w:spacing w:val="-1"/>
          <w:sz w:val="20"/>
        </w:rPr>
        <w:t> </w:t>
      </w:r>
      <w:r>
        <w:rPr>
          <w:sz w:val="20"/>
        </w:rPr>
        <w:t>against humanity, war crimes and the crime of aggression, in accordance with</w:t>
      </w:r>
      <w:r>
        <w:rPr>
          <w:spacing w:val="-4"/>
          <w:sz w:val="20"/>
        </w:rPr>
        <w:t> </w:t>
      </w:r>
      <w:r>
        <w:rPr>
          <w:sz w:val="20"/>
        </w:rPr>
        <w:t>its</w:t>
      </w:r>
      <w:r>
        <w:rPr>
          <w:spacing w:val="-5"/>
          <w:sz w:val="20"/>
        </w:rPr>
        <w:t> </w:t>
      </w:r>
      <w:r>
        <w:rPr>
          <w:sz w:val="20"/>
        </w:rPr>
        <w:t>mandate under</w:t>
      </w:r>
      <w:r>
        <w:rPr>
          <w:spacing w:val="-4"/>
          <w:sz w:val="20"/>
        </w:rPr>
        <w:t> </w:t>
      </w:r>
      <w:r>
        <w:rPr>
          <w:sz w:val="20"/>
        </w:rPr>
        <w:t>the Rome Statute.</w:t>
      </w:r>
      <w:r>
        <w:rPr>
          <w:spacing w:val="-1"/>
          <w:sz w:val="20"/>
        </w:rPr>
        <w:t> </w:t>
      </w:r>
      <w:r>
        <w:rPr>
          <w:sz w:val="20"/>
        </w:rPr>
        <w:t>The</w:t>
      </w:r>
      <w:r>
        <w:rPr>
          <w:spacing w:val="-7"/>
          <w:sz w:val="20"/>
        </w:rPr>
        <w:t> </w:t>
      </w:r>
      <w:r>
        <w:rPr>
          <w:sz w:val="20"/>
        </w:rPr>
        <w:t>Office will pursue this</w:t>
      </w:r>
      <w:r>
        <w:rPr>
          <w:spacing w:val="-5"/>
          <w:sz w:val="20"/>
        </w:rPr>
        <w:t> </w:t>
      </w:r>
      <w:r>
        <w:rPr>
          <w:sz w:val="20"/>
        </w:rPr>
        <w:t>mission independently, impartially and objectively, consistent with its statutory duties and its core values of </w:t>
      </w:r>
      <w:r>
        <w:rPr>
          <w:i/>
          <w:sz w:val="20"/>
        </w:rPr>
        <w:t>Dedication, Integrity and Respect</w:t>
      </w:r>
      <w:r>
        <w:rPr>
          <w:sz w:val="20"/>
        </w:rPr>
        <w:t>.</w:t>
      </w:r>
    </w:p>
    <w:p>
      <w:pPr>
        <w:pStyle w:val="ListParagraph"/>
        <w:numPr>
          <w:ilvl w:val="0"/>
          <w:numId w:val="4"/>
        </w:numPr>
        <w:tabs>
          <w:tab w:pos="2967" w:val="left" w:leader="none"/>
        </w:tabs>
        <w:spacing w:line="240" w:lineRule="auto" w:before="123" w:after="0"/>
        <w:ind w:left="2246" w:right="2243" w:firstLine="0"/>
        <w:jc w:val="both"/>
        <w:rPr>
          <w:sz w:val="20"/>
        </w:rPr>
      </w:pPr>
      <w:r>
        <w:rPr>
          <w:sz w:val="20"/>
        </w:rPr>
        <w:t>The proposed budget of the OTP for 2023 is driven by the following interlinked </w:t>
      </w:r>
      <w:r>
        <w:rPr>
          <w:spacing w:val="-2"/>
          <w:sz w:val="20"/>
        </w:rPr>
        <w:t>imperatives:</w:t>
      </w:r>
    </w:p>
    <w:p>
      <w:pPr>
        <w:pStyle w:val="ListParagraph"/>
        <w:numPr>
          <w:ilvl w:val="1"/>
          <w:numId w:val="4"/>
        </w:numPr>
        <w:tabs>
          <w:tab w:pos="3687" w:val="left" w:leader="none"/>
        </w:tabs>
        <w:spacing w:line="240" w:lineRule="auto" w:before="121" w:after="0"/>
        <w:ind w:left="3096" w:right="2245" w:hanging="20"/>
        <w:jc w:val="both"/>
        <w:rPr>
          <w:sz w:val="20"/>
        </w:rPr>
      </w:pPr>
      <w:r>
        <w:rPr>
          <w:sz w:val="20"/>
        </w:rPr>
        <w:t>to</w:t>
      </w:r>
      <w:r>
        <w:rPr>
          <w:spacing w:val="-13"/>
          <w:sz w:val="20"/>
        </w:rPr>
        <w:t> </w:t>
      </w:r>
      <w:r>
        <w:rPr>
          <w:sz w:val="20"/>
        </w:rPr>
        <w:t>effectively</w:t>
      </w:r>
      <w:r>
        <w:rPr>
          <w:spacing w:val="-12"/>
          <w:sz w:val="20"/>
        </w:rPr>
        <w:t> </w:t>
      </w:r>
      <w:r>
        <w:rPr>
          <w:sz w:val="20"/>
        </w:rPr>
        <w:t>address</w:t>
      </w:r>
      <w:r>
        <w:rPr>
          <w:spacing w:val="-13"/>
          <w:sz w:val="20"/>
        </w:rPr>
        <w:t> </w:t>
      </w:r>
      <w:r>
        <w:rPr>
          <w:sz w:val="20"/>
        </w:rPr>
        <w:t>the</w:t>
      </w:r>
      <w:r>
        <w:rPr>
          <w:spacing w:val="-12"/>
          <w:sz w:val="20"/>
        </w:rPr>
        <w:t> </w:t>
      </w:r>
      <w:r>
        <w:rPr>
          <w:sz w:val="20"/>
        </w:rPr>
        <w:t>workload</w:t>
      </w:r>
      <w:r>
        <w:rPr>
          <w:spacing w:val="-13"/>
          <w:sz w:val="20"/>
        </w:rPr>
        <w:t> </w:t>
      </w:r>
      <w:r>
        <w:rPr>
          <w:sz w:val="20"/>
        </w:rPr>
        <w:t>of</w:t>
      </w:r>
      <w:r>
        <w:rPr>
          <w:spacing w:val="-12"/>
          <w:sz w:val="20"/>
        </w:rPr>
        <w:t> </w:t>
      </w:r>
      <w:r>
        <w:rPr>
          <w:sz w:val="20"/>
        </w:rPr>
        <w:t>the</w:t>
      </w:r>
      <w:r>
        <w:rPr>
          <w:spacing w:val="-13"/>
          <w:sz w:val="20"/>
        </w:rPr>
        <w:t> </w:t>
      </w:r>
      <w:r>
        <w:rPr>
          <w:sz w:val="20"/>
        </w:rPr>
        <w:t>Office</w:t>
      </w:r>
      <w:r>
        <w:rPr>
          <w:spacing w:val="-12"/>
          <w:sz w:val="20"/>
        </w:rPr>
        <w:t> </w:t>
      </w:r>
      <w:r>
        <w:rPr>
          <w:sz w:val="20"/>
        </w:rPr>
        <w:t>in</w:t>
      </w:r>
      <w:r>
        <w:rPr>
          <w:spacing w:val="-13"/>
          <w:sz w:val="20"/>
        </w:rPr>
        <w:t> </w:t>
      </w:r>
      <w:r>
        <w:rPr>
          <w:sz w:val="20"/>
        </w:rPr>
        <w:t>a</w:t>
      </w:r>
      <w:r>
        <w:rPr>
          <w:spacing w:val="-12"/>
          <w:sz w:val="20"/>
        </w:rPr>
        <w:t> </w:t>
      </w:r>
      <w:r>
        <w:rPr>
          <w:sz w:val="20"/>
        </w:rPr>
        <w:t>manner</w:t>
      </w:r>
      <w:r>
        <w:rPr>
          <w:spacing w:val="-13"/>
          <w:sz w:val="20"/>
        </w:rPr>
        <w:t> </w:t>
      </w:r>
      <w:r>
        <w:rPr>
          <w:sz w:val="20"/>
        </w:rPr>
        <w:t>that</w:t>
      </w:r>
      <w:r>
        <w:rPr>
          <w:spacing w:val="-12"/>
          <w:sz w:val="20"/>
        </w:rPr>
        <w:t> </w:t>
      </w:r>
      <w:r>
        <w:rPr>
          <w:sz w:val="20"/>
        </w:rPr>
        <w:t>will</w:t>
      </w:r>
      <w:r>
        <w:rPr>
          <w:spacing w:val="-13"/>
          <w:sz w:val="20"/>
        </w:rPr>
        <w:t> </w:t>
      </w:r>
      <w:r>
        <w:rPr>
          <w:sz w:val="20"/>
        </w:rPr>
        <w:t>allow it</w:t>
      </w:r>
      <w:r>
        <w:rPr>
          <w:spacing w:val="-9"/>
          <w:sz w:val="20"/>
        </w:rPr>
        <w:t> </w:t>
      </w:r>
      <w:r>
        <w:rPr>
          <w:sz w:val="20"/>
        </w:rPr>
        <w:t>to</w:t>
      </w:r>
      <w:r>
        <w:rPr>
          <w:spacing w:val="-9"/>
          <w:sz w:val="20"/>
        </w:rPr>
        <w:t> </w:t>
      </w:r>
      <w:r>
        <w:rPr>
          <w:sz w:val="20"/>
        </w:rPr>
        <w:t>properly</w:t>
      </w:r>
      <w:r>
        <w:rPr>
          <w:spacing w:val="-9"/>
          <w:sz w:val="20"/>
        </w:rPr>
        <w:t> </w:t>
      </w:r>
      <w:r>
        <w:rPr>
          <w:sz w:val="20"/>
        </w:rPr>
        <w:t>discharge</w:t>
      </w:r>
      <w:r>
        <w:rPr>
          <w:spacing w:val="-8"/>
          <w:sz w:val="20"/>
        </w:rPr>
        <w:t> </w:t>
      </w:r>
      <w:r>
        <w:rPr>
          <w:sz w:val="20"/>
        </w:rPr>
        <w:t>its</w:t>
      </w:r>
      <w:r>
        <w:rPr>
          <w:spacing w:val="-11"/>
          <w:sz w:val="20"/>
        </w:rPr>
        <w:t> </w:t>
      </w:r>
      <w:r>
        <w:rPr>
          <w:sz w:val="20"/>
        </w:rPr>
        <w:t>mandate,</w:t>
      </w:r>
      <w:r>
        <w:rPr>
          <w:spacing w:val="-7"/>
          <w:sz w:val="20"/>
        </w:rPr>
        <w:t> </w:t>
      </w:r>
      <w:r>
        <w:rPr>
          <w:sz w:val="20"/>
        </w:rPr>
        <w:t>particularly</w:t>
      </w:r>
      <w:r>
        <w:rPr>
          <w:spacing w:val="-9"/>
          <w:sz w:val="20"/>
        </w:rPr>
        <w:t> </w:t>
      </w:r>
      <w:r>
        <w:rPr>
          <w:sz w:val="20"/>
        </w:rPr>
        <w:t>in</w:t>
      </w:r>
      <w:r>
        <w:rPr>
          <w:spacing w:val="-13"/>
          <w:sz w:val="20"/>
        </w:rPr>
        <w:t> </w:t>
      </w:r>
      <w:r>
        <w:rPr>
          <w:sz w:val="20"/>
        </w:rPr>
        <w:t>the</w:t>
      </w:r>
      <w:r>
        <w:rPr>
          <w:spacing w:val="-11"/>
          <w:sz w:val="20"/>
        </w:rPr>
        <w:t> </w:t>
      </w:r>
      <w:r>
        <w:rPr>
          <w:sz w:val="20"/>
        </w:rPr>
        <w:t>light</w:t>
      </w:r>
      <w:r>
        <w:rPr>
          <w:spacing w:val="-8"/>
          <w:sz w:val="20"/>
        </w:rPr>
        <w:t> </w:t>
      </w:r>
      <w:r>
        <w:rPr>
          <w:sz w:val="20"/>
        </w:rPr>
        <w:t>of</w:t>
      </w:r>
      <w:r>
        <w:rPr>
          <w:spacing w:val="-5"/>
          <w:sz w:val="20"/>
        </w:rPr>
        <w:t> </w:t>
      </w:r>
      <w:r>
        <w:rPr>
          <w:sz w:val="20"/>
        </w:rPr>
        <w:t>the</w:t>
      </w:r>
      <w:r>
        <w:rPr>
          <w:spacing w:val="-8"/>
          <w:sz w:val="20"/>
        </w:rPr>
        <w:t> </w:t>
      </w:r>
      <w:r>
        <w:rPr>
          <w:sz w:val="20"/>
        </w:rPr>
        <w:t>current</w:t>
      </w:r>
      <w:r>
        <w:rPr>
          <w:spacing w:val="-8"/>
          <w:sz w:val="20"/>
        </w:rPr>
        <w:t> </w:t>
      </w:r>
      <w:r>
        <w:rPr>
          <w:sz w:val="20"/>
        </w:rPr>
        <w:t>increase in demand;</w:t>
      </w:r>
    </w:p>
    <w:p>
      <w:pPr>
        <w:pStyle w:val="ListParagraph"/>
        <w:numPr>
          <w:ilvl w:val="1"/>
          <w:numId w:val="4"/>
        </w:numPr>
        <w:tabs>
          <w:tab w:pos="3687" w:val="left" w:leader="none"/>
        </w:tabs>
        <w:spacing w:line="240" w:lineRule="auto" w:before="121" w:after="0"/>
        <w:ind w:left="3096" w:right="2250" w:hanging="20"/>
        <w:jc w:val="both"/>
        <w:rPr>
          <w:sz w:val="20"/>
        </w:rPr>
      </w:pPr>
      <w:r>
        <w:rPr>
          <w:sz w:val="20"/>
        </w:rPr>
        <w:t>to bring the work of the Office closer to affected communities through, among others, setting-up country offices close to or in situation countries;</w:t>
      </w:r>
    </w:p>
    <w:p>
      <w:pPr>
        <w:pStyle w:val="ListParagraph"/>
        <w:numPr>
          <w:ilvl w:val="1"/>
          <w:numId w:val="4"/>
        </w:numPr>
        <w:tabs>
          <w:tab w:pos="3687" w:val="left" w:leader="none"/>
        </w:tabs>
        <w:spacing w:line="240" w:lineRule="auto" w:before="117" w:after="0"/>
        <w:ind w:left="3096" w:right="2241" w:hanging="20"/>
        <w:jc w:val="both"/>
        <w:rPr>
          <w:sz w:val="20"/>
        </w:rPr>
      </w:pPr>
      <w:r>
        <w:rPr>
          <w:sz w:val="20"/>
        </w:rPr>
        <w:t>to effectively implement the reorganization of the Office’s structure by incorporating the necessary changes based on the Prosecutor’s assessment ‒ one year</w:t>
      </w:r>
      <w:r>
        <w:rPr>
          <w:spacing w:val="-13"/>
          <w:sz w:val="20"/>
        </w:rPr>
        <w:t> </w:t>
      </w:r>
      <w:r>
        <w:rPr>
          <w:sz w:val="20"/>
        </w:rPr>
        <w:t>after</w:t>
      </w:r>
      <w:r>
        <w:rPr>
          <w:spacing w:val="-10"/>
          <w:sz w:val="20"/>
        </w:rPr>
        <w:t> </w:t>
      </w:r>
      <w:r>
        <w:rPr>
          <w:sz w:val="20"/>
        </w:rPr>
        <w:t>taking</w:t>
      </w:r>
      <w:r>
        <w:rPr>
          <w:spacing w:val="-8"/>
          <w:sz w:val="20"/>
        </w:rPr>
        <w:t> </w:t>
      </w:r>
      <w:r>
        <w:rPr>
          <w:sz w:val="20"/>
        </w:rPr>
        <w:t>office</w:t>
      </w:r>
      <w:r>
        <w:rPr>
          <w:spacing w:val="-7"/>
          <w:sz w:val="20"/>
        </w:rPr>
        <w:t> </w:t>
      </w:r>
      <w:r>
        <w:rPr>
          <w:sz w:val="20"/>
        </w:rPr>
        <w:t>‒</w:t>
      </w:r>
      <w:r>
        <w:rPr>
          <w:spacing w:val="-8"/>
          <w:sz w:val="20"/>
        </w:rPr>
        <w:t> </w:t>
      </w:r>
      <w:r>
        <w:rPr>
          <w:sz w:val="20"/>
        </w:rPr>
        <w:t>so</w:t>
      </w:r>
      <w:r>
        <w:rPr>
          <w:spacing w:val="-8"/>
          <w:sz w:val="20"/>
        </w:rPr>
        <w:t> </w:t>
      </w:r>
      <w:r>
        <w:rPr>
          <w:sz w:val="20"/>
        </w:rPr>
        <w:t>as</w:t>
      </w:r>
      <w:r>
        <w:rPr>
          <w:spacing w:val="-13"/>
          <w:sz w:val="20"/>
        </w:rPr>
        <w:t> </w:t>
      </w:r>
      <w:r>
        <w:rPr>
          <w:sz w:val="20"/>
        </w:rPr>
        <w:t>to</w:t>
      </w:r>
      <w:r>
        <w:rPr>
          <w:spacing w:val="-8"/>
          <w:sz w:val="20"/>
        </w:rPr>
        <w:t> </w:t>
      </w:r>
      <w:r>
        <w:rPr>
          <w:sz w:val="20"/>
        </w:rPr>
        <w:t>further</w:t>
      </w:r>
      <w:r>
        <w:rPr>
          <w:spacing w:val="-8"/>
          <w:sz w:val="20"/>
        </w:rPr>
        <w:t> </w:t>
      </w:r>
      <w:r>
        <w:rPr>
          <w:sz w:val="20"/>
        </w:rPr>
        <w:t>unify,</w:t>
      </w:r>
      <w:r>
        <w:rPr>
          <w:spacing w:val="-11"/>
          <w:sz w:val="20"/>
        </w:rPr>
        <w:t> </w:t>
      </w:r>
      <w:r>
        <w:rPr>
          <w:sz w:val="20"/>
        </w:rPr>
        <w:t>integrate</w:t>
      </w:r>
      <w:r>
        <w:rPr>
          <w:spacing w:val="-7"/>
          <w:sz w:val="20"/>
        </w:rPr>
        <w:t> </w:t>
      </w:r>
      <w:r>
        <w:rPr>
          <w:sz w:val="20"/>
        </w:rPr>
        <w:t>and</w:t>
      </w:r>
      <w:r>
        <w:rPr>
          <w:spacing w:val="-13"/>
          <w:sz w:val="20"/>
        </w:rPr>
        <w:t> </w:t>
      </w:r>
      <w:r>
        <w:rPr>
          <w:sz w:val="20"/>
        </w:rPr>
        <w:t>enhance</w:t>
      </w:r>
      <w:r>
        <w:rPr>
          <w:spacing w:val="-7"/>
          <w:sz w:val="20"/>
        </w:rPr>
        <w:t> </w:t>
      </w:r>
      <w:r>
        <w:rPr>
          <w:sz w:val="20"/>
        </w:rPr>
        <w:t>investigative and prosecutorial action;</w:t>
      </w:r>
    </w:p>
    <w:p>
      <w:pPr>
        <w:pStyle w:val="ListParagraph"/>
        <w:numPr>
          <w:ilvl w:val="1"/>
          <w:numId w:val="4"/>
        </w:numPr>
        <w:tabs>
          <w:tab w:pos="3687" w:val="left" w:leader="none"/>
        </w:tabs>
        <w:spacing w:line="240" w:lineRule="auto" w:before="122" w:after="0"/>
        <w:ind w:left="3096" w:right="2243" w:hanging="20"/>
        <w:jc w:val="both"/>
        <w:rPr>
          <w:sz w:val="20"/>
        </w:rPr>
      </w:pPr>
      <w:r>
        <w:rPr>
          <w:sz w:val="20"/>
        </w:rPr>
        <w:t>to</w:t>
      </w:r>
      <w:r>
        <w:rPr>
          <w:spacing w:val="-6"/>
          <w:sz w:val="20"/>
        </w:rPr>
        <w:t> </w:t>
      </w:r>
      <w:r>
        <w:rPr>
          <w:sz w:val="20"/>
        </w:rPr>
        <w:t>implement</w:t>
      </w:r>
      <w:r>
        <w:rPr>
          <w:spacing w:val="-8"/>
          <w:sz w:val="20"/>
        </w:rPr>
        <w:t> </w:t>
      </w:r>
      <w:r>
        <w:rPr>
          <w:sz w:val="20"/>
        </w:rPr>
        <w:t>essential</w:t>
      </w:r>
      <w:r>
        <w:rPr>
          <w:spacing w:val="-8"/>
          <w:sz w:val="20"/>
        </w:rPr>
        <w:t> </w:t>
      </w:r>
      <w:r>
        <w:rPr>
          <w:sz w:val="20"/>
        </w:rPr>
        <w:t>modernization</w:t>
      </w:r>
      <w:r>
        <w:rPr>
          <w:spacing w:val="-6"/>
          <w:sz w:val="20"/>
        </w:rPr>
        <w:t> </w:t>
      </w:r>
      <w:r>
        <w:rPr>
          <w:sz w:val="20"/>
        </w:rPr>
        <w:t>of</w:t>
      </w:r>
      <w:r>
        <w:rPr>
          <w:spacing w:val="-9"/>
          <w:sz w:val="20"/>
        </w:rPr>
        <w:t> </w:t>
      </w:r>
      <w:r>
        <w:rPr>
          <w:sz w:val="20"/>
        </w:rPr>
        <w:t>the</w:t>
      </w:r>
      <w:r>
        <w:rPr>
          <w:spacing w:val="-8"/>
          <w:sz w:val="20"/>
        </w:rPr>
        <w:t> </w:t>
      </w:r>
      <w:r>
        <w:rPr>
          <w:sz w:val="20"/>
        </w:rPr>
        <w:t>infrastructure</w:t>
      </w:r>
      <w:r>
        <w:rPr>
          <w:spacing w:val="-4"/>
          <w:sz w:val="20"/>
        </w:rPr>
        <w:t> </w:t>
      </w:r>
      <w:r>
        <w:rPr>
          <w:sz w:val="20"/>
        </w:rPr>
        <w:t>of</w:t>
      </w:r>
      <w:r>
        <w:rPr>
          <w:spacing w:val="-9"/>
          <w:sz w:val="20"/>
        </w:rPr>
        <w:t> </w:t>
      </w:r>
      <w:r>
        <w:rPr>
          <w:sz w:val="20"/>
        </w:rPr>
        <w:t>the</w:t>
      </w:r>
      <w:r>
        <w:rPr>
          <w:spacing w:val="-8"/>
          <w:sz w:val="20"/>
        </w:rPr>
        <w:t> </w:t>
      </w:r>
      <w:r>
        <w:rPr>
          <w:sz w:val="20"/>
        </w:rPr>
        <w:t>Office,</w:t>
      </w:r>
      <w:r>
        <w:rPr>
          <w:spacing w:val="-8"/>
          <w:sz w:val="20"/>
        </w:rPr>
        <w:t> </w:t>
      </w:r>
      <w:r>
        <w:rPr>
          <w:sz w:val="20"/>
        </w:rPr>
        <w:t>in particular, with respect to technological tools; and</w:t>
      </w:r>
    </w:p>
    <w:p>
      <w:pPr>
        <w:pStyle w:val="ListParagraph"/>
        <w:numPr>
          <w:ilvl w:val="1"/>
          <w:numId w:val="4"/>
        </w:numPr>
        <w:tabs>
          <w:tab w:pos="3687" w:val="left" w:leader="none"/>
        </w:tabs>
        <w:spacing w:line="240" w:lineRule="auto" w:before="121" w:after="0"/>
        <w:ind w:left="3096" w:right="2237" w:hanging="20"/>
        <w:jc w:val="both"/>
        <w:rPr>
          <w:sz w:val="20"/>
        </w:rPr>
      </w:pPr>
      <w:r>
        <w:rPr>
          <w:sz w:val="20"/>
        </w:rPr>
        <w:t>to</w:t>
      </w:r>
      <w:r>
        <w:rPr>
          <w:spacing w:val="40"/>
          <w:sz w:val="20"/>
        </w:rPr>
        <w:t> </w:t>
      </w:r>
      <w:r>
        <w:rPr>
          <w:sz w:val="20"/>
        </w:rPr>
        <w:t>ensure</w:t>
      </w:r>
      <w:r>
        <w:rPr>
          <w:spacing w:val="40"/>
          <w:sz w:val="20"/>
        </w:rPr>
        <w:t> </w:t>
      </w:r>
      <w:r>
        <w:rPr>
          <w:sz w:val="20"/>
        </w:rPr>
        <w:t>effective</w:t>
      </w:r>
      <w:r>
        <w:rPr>
          <w:spacing w:val="40"/>
          <w:sz w:val="20"/>
        </w:rPr>
        <w:t> </w:t>
      </w:r>
      <w:r>
        <w:rPr>
          <w:sz w:val="20"/>
        </w:rPr>
        <w:t>implementation</w:t>
      </w:r>
      <w:r>
        <w:rPr>
          <w:spacing w:val="40"/>
          <w:sz w:val="20"/>
        </w:rPr>
        <w:t> </w:t>
      </w:r>
      <w:r>
        <w:rPr>
          <w:sz w:val="20"/>
        </w:rPr>
        <w:t>of</w:t>
      </w:r>
      <w:r>
        <w:rPr>
          <w:spacing w:val="40"/>
          <w:sz w:val="20"/>
        </w:rPr>
        <w:t> </w:t>
      </w:r>
      <w:r>
        <w:rPr>
          <w:sz w:val="20"/>
        </w:rPr>
        <w:t>the</w:t>
      </w:r>
      <w:r>
        <w:rPr>
          <w:spacing w:val="40"/>
          <w:sz w:val="20"/>
        </w:rPr>
        <w:t> </w:t>
      </w:r>
      <w:r>
        <w:rPr>
          <w:sz w:val="20"/>
        </w:rPr>
        <w:t>Court-wide</w:t>
      </w:r>
      <w:r>
        <w:rPr>
          <w:spacing w:val="40"/>
          <w:sz w:val="20"/>
        </w:rPr>
        <w:t> </w:t>
      </w:r>
      <w:r>
        <w:rPr>
          <w:sz w:val="20"/>
        </w:rPr>
        <w:t>Strategic</w:t>
      </w:r>
      <w:r>
        <w:rPr>
          <w:spacing w:val="40"/>
          <w:sz w:val="20"/>
        </w:rPr>
        <w:t> </w:t>
      </w:r>
      <w:r>
        <w:rPr>
          <w:sz w:val="20"/>
        </w:rPr>
        <w:t>Plan for 2023-2025 and the newly adopted Strategic Goals and key performance indicators for the period 2023-2025.</w:t>
      </w:r>
    </w:p>
    <w:p>
      <w:pPr>
        <w:pStyle w:val="ListParagraph"/>
        <w:numPr>
          <w:ilvl w:val="0"/>
          <w:numId w:val="4"/>
        </w:numPr>
        <w:tabs>
          <w:tab w:pos="2967" w:val="left" w:leader="none"/>
        </w:tabs>
        <w:spacing w:line="240" w:lineRule="auto" w:before="121" w:after="0"/>
        <w:ind w:left="2246" w:right="2244" w:firstLine="0"/>
        <w:jc w:val="both"/>
        <w:rPr>
          <w:sz w:val="20"/>
        </w:rPr>
      </w:pPr>
      <w:r>
        <w:rPr>
          <w:sz w:val="20"/>
        </w:rPr>
        <w:t>Since the Prosecutor took office on 16 June 2021, the OTP has made significant efforts</w:t>
      </w:r>
      <w:r>
        <w:rPr>
          <w:spacing w:val="-5"/>
          <w:sz w:val="20"/>
        </w:rPr>
        <w:t> </w:t>
      </w:r>
      <w:r>
        <w:rPr>
          <w:sz w:val="20"/>
        </w:rPr>
        <w:t>to</w:t>
      </w:r>
      <w:r>
        <w:rPr>
          <w:spacing w:val="-4"/>
          <w:sz w:val="20"/>
        </w:rPr>
        <w:t> </w:t>
      </w:r>
      <w:r>
        <w:rPr>
          <w:sz w:val="20"/>
        </w:rPr>
        <w:t>strengthen, streamline and</w:t>
      </w:r>
      <w:r>
        <w:rPr>
          <w:spacing w:val="-4"/>
          <w:sz w:val="20"/>
        </w:rPr>
        <w:t> </w:t>
      </w:r>
      <w:r>
        <w:rPr>
          <w:sz w:val="20"/>
        </w:rPr>
        <w:t>integrate</w:t>
      </w:r>
      <w:r>
        <w:rPr>
          <w:spacing w:val="-2"/>
          <w:sz w:val="20"/>
        </w:rPr>
        <w:t> </w:t>
      </w:r>
      <w:r>
        <w:rPr>
          <w:sz w:val="20"/>
        </w:rPr>
        <w:t>its functions</w:t>
      </w:r>
      <w:r>
        <w:rPr>
          <w:spacing w:val="-5"/>
          <w:sz w:val="20"/>
        </w:rPr>
        <w:t> </w:t>
      </w:r>
      <w:r>
        <w:rPr>
          <w:sz w:val="20"/>
        </w:rPr>
        <w:t>in</w:t>
      </w:r>
      <w:r>
        <w:rPr>
          <w:spacing w:val="-4"/>
          <w:sz w:val="20"/>
        </w:rPr>
        <w:t> </w:t>
      </w:r>
      <w:r>
        <w:rPr>
          <w:sz w:val="20"/>
        </w:rPr>
        <w:t>order</w:t>
      </w:r>
      <w:r>
        <w:rPr>
          <w:spacing w:val="-4"/>
          <w:sz w:val="20"/>
        </w:rPr>
        <w:t> </w:t>
      </w:r>
      <w:r>
        <w:rPr>
          <w:sz w:val="20"/>
        </w:rPr>
        <w:t>to</w:t>
      </w:r>
      <w:r>
        <w:rPr>
          <w:spacing w:val="-4"/>
          <w:sz w:val="20"/>
        </w:rPr>
        <w:t> </w:t>
      </w:r>
      <w:r>
        <w:rPr>
          <w:sz w:val="20"/>
        </w:rPr>
        <w:t>effectively</w:t>
      </w:r>
      <w:r>
        <w:rPr>
          <w:spacing w:val="-4"/>
          <w:sz w:val="20"/>
        </w:rPr>
        <w:t> </w:t>
      </w:r>
      <w:r>
        <w:rPr>
          <w:sz w:val="20"/>
        </w:rPr>
        <w:t>implement its investigative and prosecutorial activities. This has included a significant internal reorganization to simplify workflows</w:t>
      </w:r>
      <w:r>
        <w:rPr>
          <w:spacing w:val="-1"/>
          <w:sz w:val="20"/>
        </w:rPr>
        <w:t> </w:t>
      </w:r>
      <w:r>
        <w:rPr>
          <w:sz w:val="20"/>
        </w:rPr>
        <w:t>and reporting lines, create greater synergies</w:t>
      </w:r>
      <w:r>
        <w:rPr>
          <w:spacing w:val="-1"/>
          <w:sz w:val="20"/>
        </w:rPr>
        <w:t> </w:t>
      </w:r>
      <w:r>
        <w:rPr>
          <w:sz w:val="20"/>
        </w:rPr>
        <w:t>across all components of the Office and simultaneously empower staff while strengthening management oversight.</w:t>
      </w:r>
    </w:p>
    <w:p>
      <w:pPr>
        <w:spacing w:after="0" w:line="240" w:lineRule="auto"/>
        <w:jc w:val="both"/>
        <w:rPr>
          <w:sz w:val="20"/>
        </w:rPr>
        <w:sectPr>
          <w:pgSz w:w="11910" w:h="16840"/>
          <w:pgMar w:header="957" w:footer="940" w:top="1140" w:bottom="1140" w:left="20" w:right="20"/>
        </w:sectPr>
      </w:pPr>
    </w:p>
    <w:p>
      <w:pPr>
        <w:pStyle w:val="ListParagraph"/>
        <w:numPr>
          <w:ilvl w:val="0"/>
          <w:numId w:val="4"/>
        </w:numPr>
        <w:tabs>
          <w:tab w:pos="2967" w:val="left" w:leader="none"/>
        </w:tabs>
        <w:spacing w:line="240" w:lineRule="auto" w:before="124" w:after="0"/>
        <w:ind w:left="2246" w:right="2244" w:firstLine="0"/>
        <w:jc w:val="both"/>
        <w:rPr>
          <w:sz w:val="20"/>
        </w:rPr>
      </w:pPr>
      <w:r>
        <w:rPr>
          <w:sz w:val="20"/>
        </w:rPr>
        <w:t>As reflected in the proposed budget, the Prosecutor is committed to continuously enhancing the overall effectiveness and governance of the OTP and ensuring that staff expertise and resources are properly allocated and harnessed. In doing so, the Prosecutor seeks to ensure that investigations and prosecutions are conducted in accordance with the highest international standards that will withstand strict judicial scrutiny in the courtroom.</w:t>
      </w:r>
    </w:p>
    <w:p>
      <w:pPr>
        <w:pStyle w:val="ListParagraph"/>
        <w:numPr>
          <w:ilvl w:val="0"/>
          <w:numId w:val="4"/>
        </w:numPr>
        <w:tabs>
          <w:tab w:pos="2967" w:val="left" w:leader="none"/>
        </w:tabs>
        <w:spacing w:line="240" w:lineRule="auto" w:before="123" w:after="0"/>
        <w:ind w:left="2246" w:right="2238" w:firstLine="0"/>
        <w:jc w:val="both"/>
        <w:rPr>
          <w:sz w:val="20"/>
        </w:rPr>
      </w:pPr>
      <w:r>
        <w:rPr>
          <w:sz w:val="20"/>
        </w:rPr>
        <w:t>The</w:t>
      </w:r>
      <w:r>
        <w:rPr>
          <w:spacing w:val="-1"/>
          <w:sz w:val="20"/>
        </w:rPr>
        <w:t> </w:t>
      </w:r>
      <w:r>
        <w:rPr>
          <w:sz w:val="20"/>
        </w:rPr>
        <w:t>Office</w:t>
      </w:r>
      <w:r>
        <w:rPr>
          <w:spacing w:val="-6"/>
          <w:sz w:val="20"/>
        </w:rPr>
        <w:t> </w:t>
      </w:r>
      <w:r>
        <w:rPr>
          <w:sz w:val="20"/>
        </w:rPr>
        <w:t>is</w:t>
      </w:r>
      <w:r>
        <w:rPr>
          <w:spacing w:val="-4"/>
          <w:sz w:val="20"/>
        </w:rPr>
        <w:t> </w:t>
      </w:r>
      <w:r>
        <w:rPr>
          <w:sz w:val="20"/>
        </w:rPr>
        <w:t>also</w:t>
      </w:r>
      <w:r>
        <w:rPr>
          <w:spacing w:val="-3"/>
          <w:sz w:val="20"/>
        </w:rPr>
        <w:t> </w:t>
      </w:r>
      <w:r>
        <w:rPr>
          <w:sz w:val="20"/>
        </w:rPr>
        <w:t>striving</w:t>
      </w:r>
      <w:r>
        <w:rPr>
          <w:spacing w:val="-3"/>
          <w:sz w:val="20"/>
        </w:rPr>
        <w:t> </w:t>
      </w:r>
      <w:r>
        <w:rPr>
          <w:sz w:val="20"/>
        </w:rPr>
        <w:t>to</w:t>
      </w:r>
      <w:r>
        <w:rPr>
          <w:spacing w:val="-3"/>
          <w:sz w:val="20"/>
        </w:rPr>
        <w:t> </w:t>
      </w:r>
      <w:r>
        <w:rPr>
          <w:sz w:val="20"/>
        </w:rPr>
        <w:t>enhance</w:t>
      </w:r>
      <w:r>
        <w:rPr>
          <w:spacing w:val="-6"/>
          <w:sz w:val="20"/>
        </w:rPr>
        <w:t> </w:t>
      </w:r>
      <w:r>
        <w:rPr>
          <w:sz w:val="20"/>
        </w:rPr>
        <w:t>its</w:t>
      </w:r>
      <w:r>
        <w:rPr>
          <w:spacing w:val="-9"/>
          <w:sz w:val="20"/>
        </w:rPr>
        <w:t> </w:t>
      </w:r>
      <w:r>
        <w:rPr>
          <w:sz w:val="20"/>
        </w:rPr>
        <w:t>performance</w:t>
      </w:r>
      <w:r>
        <w:rPr>
          <w:spacing w:val="-6"/>
          <w:sz w:val="20"/>
        </w:rPr>
        <w:t> </w:t>
      </w:r>
      <w:r>
        <w:rPr>
          <w:sz w:val="20"/>
        </w:rPr>
        <w:t>and</w:t>
      </w:r>
      <w:r>
        <w:rPr>
          <w:spacing w:val="-7"/>
          <w:sz w:val="20"/>
        </w:rPr>
        <w:t> </w:t>
      </w:r>
      <w:r>
        <w:rPr>
          <w:sz w:val="20"/>
        </w:rPr>
        <w:t>manage</w:t>
      </w:r>
      <w:r>
        <w:rPr>
          <w:spacing w:val="-6"/>
          <w:sz w:val="20"/>
        </w:rPr>
        <w:t> </w:t>
      </w:r>
      <w:r>
        <w:rPr>
          <w:sz w:val="20"/>
        </w:rPr>
        <w:t>its</w:t>
      </w:r>
      <w:r>
        <w:rPr>
          <w:spacing w:val="-9"/>
          <w:sz w:val="20"/>
        </w:rPr>
        <w:t> </w:t>
      </w:r>
      <w:r>
        <w:rPr>
          <w:sz w:val="20"/>
        </w:rPr>
        <w:t>workload</w:t>
      </w:r>
      <w:r>
        <w:rPr>
          <w:spacing w:val="-7"/>
          <w:sz w:val="20"/>
        </w:rPr>
        <w:t> </w:t>
      </w:r>
      <w:r>
        <w:rPr>
          <w:sz w:val="20"/>
        </w:rPr>
        <w:t>and resources by building partnerships with other actors, including domestic prosecution authorities of States Parties, by ensuring, where possible, a more effective exchange of information and evidence to address Rome Statute crimes.</w:t>
      </w:r>
    </w:p>
    <w:p>
      <w:pPr>
        <w:pStyle w:val="ListParagraph"/>
        <w:numPr>
          <w:ilvl w:val="0"/>
          <w:numId w:val="4"/>
        </w:numPr>
        <w:tabs>
          <w:tab w:pos="2967" w:val="left" w:leader="none"/>
        </w:tabs>
        <w:spacing w:line="240" w:lineRule="auto" w:before="122" w:after="0"/>
        <w:ind w:left="2246" w:right="2238" w:firstLine="0"/>
        <w:jc w:val="both"/>
        <w:rPr>
          <w:sz w:val="20"/>
        </w:rPr>
      </w:pPr>
      <w:r>
        <w:rPr>
          <w:sz w:val="20"/>
        </w:rPr>
        <w:t>In</w:t>
      </w:r>
      <w:r>
        <w:rPr>
          <w:spacing w:val="-13"/>
          <w:sz w:val="20"/>
        </w:rPr>
        <w:t> </w:t>
      </w:r>
      <w:r>
        <w:rPr>
          <w:sz w:val="20"/>
        </w:rPr>
        <w:t>the</w:t>
      </w:r>
      <w:r>
        <w:rPr>
          <w:spacing w:val="-10"/>
          <w:sz w:val="20"/>
        </w:rPr>
        <w:t> </w:t>
      </w:r>
      <w:r>
        <w:rPr>
          <w:sz w:val="20"/>
        </w:rPr>
        <w:t>past</w:t>
      </w:r>
      <w:r>
        <w:rPr>
          <w:spacing w:val="-9"/>
          <w:sz w:val="20"/>
        </w:rPr>
        <w:t> </w:t>
      </w:r>
      <w:r>
        <w:rPr>
          <w:sz w:val="20"/>
        </w:rPr>
        <w:t>year</w:t>
      </w:r>
      <w:r>
        <w:rPr>
          <w:spacing w:val="-10"/>
          <w:sz w:val="20"/>
        </w:rPr>
        <w:t> </w:t>
      </w:r>
      <w:r>
        <w:rPr>
          <w:sz w:val="20"/>
        </w:rPr>
        <w:t>there</w:t>
      </w:r>
      <w:r>
        <w:rPr>
          <w:spacing w:val="-9"/>
          <w:sz w:val="20"/>
        </w:rPr>
        <w:t> </w:t>
      </w:r>
      <w:r>
        <w:rPr>
          <w:sz w:val="20"/>
        </w:rPr>
        <w:t>has</w:t>
      </w:r>
      <w:r>
        <w:rPr>
          <w:spacing w:val="-12"/>
          <w:sz w:val="20"/>
        </w:rPr>
        <w:t> </w:t>
      </w:r>
      <w:r>
        <w:rPr>
          <w:sz w:val="20"/>
        </w:rPr>
        <w:t>been</w:t>
      </w:r>
      <w:r>
        <w:rPr>
          <w:spacing w:val="-13"/>
          <w:sz w:val="20"/>
        </w:rPr>
        <w:t> </w:t>
      </w:r>
      <w:r>
        <w:rPr>
          <w:sz w:val="20"/>
        </w:rPr>
        <w:t>a</w:t>
      </w:r>
      <w:r>
        <w:rPr>
          <w:spacing w:val="-9"/>
          <w:sz w:val="20"/>
        </w:rPr>
        <w:t> </w:t>
      </w:r>
      <w:r>
        <w:rPr>
          <w:sz w:val="20"/>
        </w:rPr>
        <w:t>surge</w:t>
      </w:r>
      <w:r>
        <w:rPr>
          <w:spacing w:val="-13"/>
          <w:sz w:val="20"/>
        </w:rPr>
        <w:t> </w:t>
      </w:r>
      <w:r>
        <w:rPr>
          <w:sz w:val="20"/>
        </w:rPr>
        <w:t>in</w:t>
      </w:r>
      <w:r>
        <w:rPr>
          <w:spacing w:val="-9"/>
          <w:sz w:val="20"/>
        </w:rPr>
        <w:t> </w:t>
      </w:r>
      <w:r>
        <w:rPr>
          <w:sz w:val="20"/>
        </w:rPr>
        <w:t>workload</w:t>
      </w:r>
      <w:r>
        <w:rPr>
          <w:spacing w:val="-10"/>
          <w:sz w:val="20"/>
        </w:rPr>
        <w:t> </w:t>
      </w:r>
      <w:r>
        <w:rPr>
          <w:sz w:val="20"/>
        </w:rPr>
        <w:t>for</w:t>
      </w:r>
      <w:r>
        <w:rPr>
          <w:spacing w:val="-10"/>
          <w:sz w:val="20"/>
        </w:rPr>
        <w:t> </w:t>
      </w:r>
      <w:r>
        <w:rPr>
          <w:sz w:val="20"/>
        </w:rPr>
        <w:t>the</w:t>
      </w:r>
      <w:r>
        <w:rPr>
          <w:spacing w:val="-9"/>
          <w:sz w:val="20"/>
        </w:rPr>
        <w:t> </w:t>
      </w:r>
      <w:r>
        <w:rPr>
          <w:sz w:val="20"/>
        </w:rPr>
        <w:t>Office,</w:t>
      </w:r>
      <w:r>
        <w:rPr>
          <w:spacing w:val="-8"/>
          <w:sz w:val="20"/>
        </w:rPr>
        <w:t> </w:t>
      </w:r>
      <w:r>
        <w:rPr>
          <w:sz w:val="20"/>
        </w:rPr>
        <w:t>placing</w:t>
      </w:r>
      <w:r>
        <w:rPr>
          <w:spacing w:val="-13"/>
          <w:sz w:val="20"/>
        </w:rPr>
        <w:t> </w:t>
      </w:r>
      <w:r>
        <w:rPr>
          <w:sz w:val="20"/>
        </w:rPr>
        <w:t>significant additional</w:t>
      </w:r>
      <w:r>
        <w:rPr>
          <w:spacing w:val="-7"/>
          <w:sz w:val="20"/>
        </w:rPr>
        <w:t> </w:t>
      </w:r>
      <w:r>
        <w:rPr>
          <w:sz w:val="20"/>
        </w:rPr>
        <w:t>pressure</w:t>
      </w:r>
      <w:r>
        <w:rPr>
          <w:spacing w:val="-7"/>
          <w:sz w:val="20"/>
        </w:rPr>
        <w:t> </w:t>
      </w:r>
      <w:r>
        <w:rPr>
          <w:sz w:val="20"/>
        </w:rPr>
        <w:t>on</w:t>
      </w:r>
      <w:r>
        <w:rPr>
          <w:spacing w:val="-8"/>
          <w:sz w:val="20"/>
        </w:rPr>
        <w:t> </w:t>
      </w:r>
      <w:r>
        <w:rPr>
          <w:sz w:val="20"/>
        </w:rPr>
        <w:t>resources</w:t>
      </w:r>
      <w:r>
        <w:rPr>
          <w:spacing w:val="-10"/>
          <w:sz w:val="20"/>
        </w:rPr>
        <w:t> </w:t>
      </w:r>
      <w:r>
        <w:rPr>
          <w:sz w:val="20"/>
        </w:rPr>
        <w:t>that</w:t>
      </w:r>
      <w:r>
        <w:rPr>
          <w:spacing w:val="-2"/>
          <w:sz w:val="20"/>
        </w:rPr>
        <w:t> </w:t>
      </w:r>
      <w:r>
        <w:rPr>
          <w:sz w:val="20"/>
        </w:rPr>
        <w:t>were</w:t>
      </w:r>
      <w:r>
        <w:rPr>
          <w:spacing w:val="-7"/>
          <w:sz w:val="20"/>
        </w:rPr>
        <w:t> </w:t>
      </w:r>
      <w:r>
        <w:rPr>
          <w:sz w:val="20"/>
        </w:rPr>
        <w:t>already</w:t>
      </w:r>
      <w:r>
        <w:rPr>
          <w:spacing w:val="-8"/>
          <w:sz w:val="20"/>
        </w:rPr>
        <w:t> </w:t>
      </w:r>
      <w:r>
        <w:rPr>
          <w:sz w:val="20"/>
        </w:rPr>
        <w:t>insufficient</w:t>
      </w:r>
      <w:r>
        <w:rPr>
          <w:spacing w:val="-7"/>
          <w:sz w:val="20"/>
        </w:rPr>
        <w:t> </w:t>
      </w:r>
      <w:r>
        <w:rPr>
          <w:sz w:val="20"/>
        </w:rPr>
        <w:t>to</w:t>
      </w:r>
      <w:r>
        <w:rPr>
          <w:spacing w:val="-8"/>
          <w:sz w:val="20"/>
        </w:rPr>
        <w:t> </w:t>
      </w:r>
      <w:r>
        <w:rPr>
          <w:sz w:val="20"/>
        </w:rPr>
        <w:t>allow</w:t>
      </w:r>
      <w:r>
        <w:rPr>
          <w:spacing w:val="-10"/>
          <w:sz w:val="20"/>
        </w:rPr>
        <w:t> </w:t>
      </w:r>
      <w:r>
        <w:rPr>
          <w:sz w:val="20"/>
        </w:rPr>
        <w:t>it</w:t>
      </w:r>
      <w:r>
        <w:rPr>
          <w:spacing w:val="-7"/>
          <w:sz w:val="20"/>
        </w:rPr>
        <w:t> </w:t>
      </w:r>
      <w:r>
        <w:rPr>
          <w:sz w:val="20"/>
        </w:rPr>
        <w:t>to</w:t>
      </w:r>
      <w:r>
        <w:rPr>
          <w:spacing w:val="-4"/>
          <w:sz w:val="20"/>
        </w:rPr>
        <w:t> </w:t>
      </w:r>
      <w:r>
        <w:rPr>
          <w:sz w:val="20"/>
        </w:rPr>
        <w:t>properly</w:t>
      </w:r>
      <w:r>
        <w:rPr>
          <w:spacing w:val="-8"/>
          <w:sz w:val="20"/>
        </w:rPr>
        <w:t> </w:t>
      </w:r>
      <w:r>
        <w:rPr>
          <w:sz w:val="20"/>
        </w:rPr>
        <w:t>fulfil</w:t>
      </w:r>
      <w:r>
        <w:rPr>
          <w:spacing w:val="-12"/>
          <w:sz w:val="20"/>
        </w:rPr>
        <w:t> </w:t>
      </w:r>
      <w:r>
        <w:rPr>
          <w:sz w:val="20"/>
        </w:rPr>
        <w:t>its mandate. This increase in requirements is driven, </w:t>
      </w:r>
      <w:r>
        <w:rPr>
          <w:i/>
          <w:sz w:val="20"/>
        </w:rPr>
        <w:t>inter alia</w:t>
      </w:r>
      <w:r>
        <w:rPr>
          <w:sz w:val="20"/>
        </w:rPr>
        <w:t>, by new investigations in Venezuela,</w:t>
      </w:r>
      <w:r>
        <w:rPr>
          <w:spacing w:val="-13"/>
          <w:sz w:val="20"/>
        </w:rPr>
        <w:t> </w:t>
      </w:r>
      <w:r>
        <w:rPr>
          <w:sz w:val="20"/>
        </w:rPr>
        <w:t>Ukraine</w:t>
      </w:r>
      <w:r>
        <w:rPr>
          <w:spacing w:val="-12"/>
          <w:sz w:val="20"/>
        </w:rPr>
        <w:t> </w:t>
      </w:r>
      <w:r>
        <w:rPr>
          <w:sz w:val="20"/>
        </w:rPr>
        <w:t>and</w:t>
      </w:r>
      <w:r>
        <w:rPr>
          <w:spacing w:val="-13"/>
          <w:sz w:val="20"/>
        </w:rPr>
        <w:t> </w:t>
      </w:r>
      <w:r>
        <w:rPr>
          <w:sz w:val="20"/>
        </w:rPr>
        <w:t>the</w:t>
      </w:r>
      <w:r>
        <w:rPr>
          <w:spacing w:val="-12"/>
          <w:sz w:val="20"/>
        </w:rPr>
        <w:t> </w:t>
      </w:r>
      <w:r>
        <w:rPr>
          <w:sz w:val="20"/>
        </w:rPr>
        <w:t>Philippines</w:t>
      </w:r>
      <w:r>
        <w:rPr>
          <w:spacing w:val="-13"/>
          <w:sz w:val="20"/>
        </w:rPr>
        <w:t> </w:t>
      </w:r>
      <w:r>
        <w:rPr>
          <w:sz w:val="20"/>
        </w:rPr>
        <w:t>in</w:t>
      </w:r>
      <w:r>
        <w:rPr>
          <w:spacing w:val="-12"/>
          <w:sz w:val="20"/>
        </w:rPr>
        <w:t> </w:t>
      </w:r>
      <w:r>
        <w:rPr>
          <w:sz w:val="20"/>
        </w:rPr>
        <w:t>addition</w:t>
      </w:r>
      <w:r>
        <w:rPr>
          <w:spacing w:val="-13"/>
          <w:sz w:val="20"/>
        </w:rPr>
        <w:t> </w:t>
      </w:r>
      <w:r>
        <w:rPr>
          <w:sz w:val="20"/>
        </w:rPr>
        <w:t>to</w:t>
      </w:r>
      <w:r>
        <w:rPr>
          <w:spacing w:val="-12"/>
          <w:sz w:val="20"/>
        </w:rPr>
        <w:t> </w:t>
      </w:r>
      <w:r>
        <w:rPr>
          <w:sz w:val="20"/>
        </w:rPr>
        <w:t>ongoing</w:t>
      </w:r>
      <w:r>
        <w:rPr>
          <w:spacing w:val="-13"/>
          <w:sz w:val="20"/>
        </w:rPr>
        <w:t> </w:t>
      </w:r>
      <w:r>
        <w:rPr>
          <w:sz w:val="20"/>
        </w:rPr>
        <w:t>trials</w:t>
      </w:r>
      <w:r>
        <w:rPr>
          <w:spacing w:val="-12"/>
          <w:sz w:val="20"/>
        </w:rPr>
        <w:t> </w:t>
      </w:r>
      <w:r>
        <w:rPr>
          <w:sz w:val="20"/>
        </w:rPr>
        <w:t>in</w:t>
      </w:r>
      <w:r>
        <w:rPr>
          <w:spacing w:val="-13"/>
          <w:sz w:val="20"/>
        </w:rPr>
        <w:t> </w:t>
      </w:r>
      <w:r>
        <w:rPr>
          <w:sz w:val="20"/>
        </w:rPr>
        <w:t>CAR</w:t>
      </w:r>
      <w:r>
        <w:rPr>
          <w:spacing w:val="-12"/>
          <w:sz w:val="20"/>
        </w:rPr>
        <w:t> </w:t>
      </w:r>
      <w:r>
        <w:rPr>
          <w:sz w:val="20"/>
        </w:rPr>
        <w:t>II.b</w:t>
      </w:r>
      <w:r>
        <w:rPr>
          <w:spacing w:val="-13"/>
          <w:sz w:val="20"/>
        </w:rPr>
        <w:t> </w:t>
      </w:r>
      <w:r>
        <w:rPr>
          <w:sz w:val="20"/>
        </w:rPr>
        <w:t>(Mr</w:t>
      </w:r>
      <w:r>
        <w:rPr>
          <w:spacing w:val="-12"/>
          <w:sz w:val="20"/>
        </w:rPr>
        <w:t> </w:t>
      </w:r>
      <w:r>
        <w:rPr>
          <w:sz w:val="20"/>
        </w:rPr>
        <w:t>Maxime Jeoffroy</w:t>
      </w:r>
      <w:r>
        <w:rPr>
          <w:spacing w:val="40"/>
          <w:sz w:val="20"/>
        </w:rPr>
        <w:t> </w:t>
      </w:r>
      <w:r>
        <w:rPr>
          <w:sz w:val="20"/>
        </w:rPr>
        <w:t>Eli</w:t>
      </w:r>
      <w:r>
        <w:rPr>
          <w:spacing w:val="40"/>
          <w:sz w:val="20"/>
        </w:rPr>
        <w:t> </w:t>
      </w:r>
      <w:r>
        <w:rPr>
          <w:sz w:val="20"/>
        </w:rPr>
        <w:t>Mokom</w:t>
      </w:r>
      <w:r>
        <w:rPr>
          <w:spacing w:val="40"/>
          <w:sz w:val="20"/>
        </w:rPr>
        <w:t> </w:t>
      </w:r>
      <w:r>
        <w:rPr>
          <w:sz w:val="20"/>
        </w:rPr>
        <w:t>Gawaka),</w:t>
      </w:r>
      <w:r>
        <w:rPr>
          <w:spacing w:val="40"/>
          <w:sz w:val="20"/>
        </w:rPr>
        <w:t> </w:t>
      </w:r>
      <w:r>
        <w:rPr>
          <w:sz w:val="20"/>
        </w:rPr>
        <w:t>CAR</w:t>
      </w:r>
      <w:r>
        <w:rPr>
          <w:spacing w:val="40"/>
          <w:sz w:val="20"/>
        </w:rPr>
        <w:t> </w:t>
      </w:r>
      <w:r>
        <w:rPr>
          <w:sz w:val="20"/>
        </w:rPr>
        <w:t>II.a</w:t>
      </w:r>
      <w:r>
        <w:rPr>
          <w:spacing w:val="40"/>
          <w:sz w:val="20"/>
        </w:rPr>
        <w:t> </w:t>
      </w:r>
      <w:r>
        <w:rPr>
          <w:sz w:val="20"/>
        </w:rPr>
        <w:t>(Mr</w:t>
      </w:r>
      <w:r>
        <w:rPr>
          <w:spacing w:val="40"/>
          <w:sz w:val="20"/>
        </w:rPr>
        <w:t> </w:t>
      </w:r>
      <w:r>
        <w:rPr>
          <w:sz w:val="20"/>
        </w:rPr>
        <w:t>Mahamat</w:t>
      </w:r>
      <w:r>
        <w:rPr>
          <w:spacing w:val="40"/>
          <w:sz w:val="20"/>
        </w:rPr>
        <w:t> </w:t>
      </w:r>
      <w:r>
        <w:rPr>
          <w:sz w:val="20"/>
        </w:rPr>
        <w:t>Said</w:t>
      </w:r>
      <w:r>
        <w:rPr>
          <w:spacing w:val="40"/>
          <w:sz w:val="20"/>
        </w:rPr>
        <w:t> </w:t>
      </w:r>
      <w:r>
        <w:rPr>
          <w:sz w:val="20"/>
        </w:rPr>
        <w:t>Abdel</w:t>
      </w:r>
      <w:r>
        <w:rPr>
          <w:spacing w:val="40"/>
          <w:sz w:val="20"/>
        </w:rPr>
        <w:t> </w:t>
      </w:r>
      <w:r>
        <w:rPr>
          <w:sz w:val="20"/>
        </w:rPr>
        <w:t>Kani)</w:t>
      </w:r>
      <w:r>
        <w:rPr>
          <w:spacing w:val="40"/>
          <w:sz w:val="20"/>
        </w:rPr>
        <w:t> </w:t>
      </w:r>
      <w:r>
        <w:rPr>
          <w:sz w:val="20"/>
        </w:rPr>
        <w:t>and</w:t>
      </w:r>
      <w:r>
        <w:rPr>
          <w:spacing w:val="40"/>
          <w:sz w:val="20"/>
        </w:rPr>
        <w:t> </w:t>
      </w:r>
      <w:r>
        <w:rPr>
          <w:sz w:val="20"/>
        </w:rPr>
        <w:t>Mali (Mr </w:t>
      </w:r>
      <w:r>
        <w:rPr>
          <w:color w:val="202429"/>
          <w:sz w:val="20"/>
        </w:rPr>
        <w:t>Al Hassan Ag Abdoul Aziz Ag Mohamed Ag Mahmoud</w:t>
      </w:r>
      <w:r>
        <w:rPr>
          <w:sz w:val="20"/>
        </w:rPr>
        <w:t>).</w:t>
      </w:r>
    </w:p>
    <w:p>
      <w:pPr>
        <w:pStyle w:val="ListParagraph"/>
        <w:numPr>
          <w:ilvl w:val="0"/>
          <w:numId w:val="4"/>
        </w:numPr>
        <w:tabs>
          <w:tab w:pos="2967" w:val="left" w:leader="none"/>
        </w:tabs>
        <w:spacing w:line="240" w:lineRule="auto" w:before="118" w:after="0"/>
        <w:ind w:left="2246" w:right="2242" w:firstLine="0"/>
        <w:jc w:val="both"/>
        <w:rPr>
          <w:sz w:val="20"/>
        </w:rPr>
      </w:pPr>
      <w:r>
        <w:rPr>
          <w:sz w:val="20"/>
        </w:rPr>
        <w:t>The unprecedented referral of the Ukraine situation to the Prosecutor of the Court by 43 States Parties has given rise to particular resource needs, given the potential geographical</w:t>
      </w:r>
      <w:r>
        <w:rPr>
          <w:spacing w:val="-2"/>
          <w:sz w:val="20"/>
        </w:rPr>
        <w:t> </w:t>
      </w:r>
      <w:r>
        <w:rPr>
          <w:sz w:val="20"/>
        </w:rPr>
        <w:t>breadth</w:t>
      </w:r>
      <w:r>
        <w:rPr>
          <w:spacing w:val="-4"/>
          <w:sz w:val="20"/>
        </w:rPr>
        <w:t> </w:t>
      </w:r>
      <w:r>
        <w:rPr>
          <w:sz w:val="20"/>
        </w:rPr>
        <w:t>and scope</w:t>
      </w:r>
      <w:r>
        <w:rPr>
          <w:spacing w:val="-2"/>
          <w:sz w:val="20"/>
        </w:rPr>
        <w:t> </w:t>
      </w:r>
      <w:r>
        <w:rPr>
          <w:sz w:val="20"/>
        </w:rPr>
        <w:t>of</w:t>
      </w:r>
      <w:r>
        <w:rPr>
          <w:spacing w:val="-4"/>
          <w:sz w:val="20"/>
        </w:rPr>
        <w:t> </w:t>
      </w:r>
      <w:r>
        <w:rPr>
          <w:sz w:val="20"/>
        </w:rPr>
        <w:t>crimes</w:t>
      </w:r>
      <w:r>
        <w:rPr>
          <w:spacing w:val="-5"/>
          <w:sz w:val="20"/>
        </w:rPr>
        <w:t> </w:t>
      </w:r>
      <w:r>
        <w:rPr>
          <w:sz w:val="20"/>
        </w:rPr>
        <w:t>committed. Additionally,</w:t>
      </w:r>
      <w:r>
        <w:rPr>
          <w:spacing w:val="-1"/>
          <w:sz w:val="20"/>
        </w:rPr>
        <w:t> </w:t>
      </w:r>
      <w:r>
        <w:rPr>
          <w:sz w:val="20"/>
        </w:rPr>
        <w:t>as</w:t>
      </w:r>
      <w:r>
        <w:rPr>
          <w:spacing w:val="-5"/>
          <w:sz w:val="20"/>
        </w:rPr>
        <w:t> </w:t>
      </w:r>
      <w:r>
        <w:rPr>
          <w:sz w:val="20"/>
        </w:rPr>
        <w:t>the Office</w:t>
      </w:r>
      <w:r>
        <w:rPr>
          <w:spacing w:val="-2"/>
          <w:sz w:val="20"/>
        </w:rPr>
        <w:t> </w:t>
      </w:r>
      <w:r>
        <w:rPr>
          <w:sz w:val="20"/>
        </w:rPr>
        <w:t>is</w:t>
      </w:r>
      <w:r>
        <w:rPr>
          <w:spacing w:val="-5"/>
          <w:sz w:val="20"/>
        </w:rPr>
        <w:t> </w:t>
      </w:r>
      <w:r>
        <w:rPr>
          <w:sz w:val="20"/>
        </w:rPr>
        <w:t>carrying out investigations during an active conflict, immediate opportunities arise for investigative progress, in conjunction with additional needs with respect to staffing, security, language services, witness protection and mission support.</w:t>
      </w:r>
    </w:p>
    <w:p>
      <w:pPr>
        <w:pStyle w:val="ListParagraph"/>
        <w:numPr>
          <w:ilvl w:val="0"/>
          <w:numId w:val="4"/>
        </w:numPr>
        <w:tabs>
          <w:tab w:pos="2967" w:val="left" w:leader="none"/>
        </w:tabs>
        <w:spacing w:line="240" w:lineRule="auto" w:before="123" w:after="0"/>
        <w:ind w:left="2246" w:right="2242" w:firstLine="0"/>
        <w:jc w:val="both"/>
        <w:rPr>
          <w:sz w:val="20"/>
        </w:rPr>
      </w:pPr>
      <w:r>
        <w:rPr>
          <w:sz w:val="20"/>
        </w:rPr>
        <w:t>The proposed budget reflects a decision to establish a formal field presence in relation to the situations in Bangladesh, Sudan, Venezuela and Ukraine. This is in line with the Prosecutor’s vision to deepen cooperation with national authorities, civil society organizations and other relevant actors by bringing the work of the Office closer to the communities</w:t>
      </w:r>
      <w:r>
        <w:rPr>
          <w:spacing w:val="-13"/>
          <w:sz w:val="20"/>
        </w:rPr>
        <w:t> </w:t>
      </w:r>
      <w:r>
        <w:rPr>
          <w:sz w:val="20"/>
        </w:rPr>
        <w:t>impacted</w:t>
      </w:r>
      <w:r>
        <w:rPr>
          <w:spacing w:val="-12"/>
          <w:sz w:val="20"/>
        </w:rPr>
        <w:t> </w:t>
      </w:r>
      <w:r>
        <w:rPr>
          <w:sz w:val="20"/>
        </w:rPr>
        <w:t>by</w:t>
      </w:r>
      <w:r>
        <w:rPr>
          <w:spacing w:val="-13"/>
          <w:sz w:val="20"/>
        </w:rPr>
        <w:t> </w:t>
      </w:r>
      <w:r>
        <w:rPr>
          <w:sz w:val="20"/>
        </w:rPr>
        <w:t>Rome</w:t>
      </w:r>
      <w:r>
        <w:rPr>
          <w:spacing w:val="-12"/>
          <w:sz w:val="20"/>
        </w:rPr>
        <w:t> </w:t>
      </w:r>
      <w:r>
        <w:rPr>
          <w:sz w:val="20"/>
        </w:rPr>
        <w:t>Statute</w:t>
      </w:r>
      <w:r>
        <w:rPr>
          <w:spacing w:val="-13"/>
          <w:sz w:val="20"/>
        </w:rPr>
        <w:t> </w:t>
      </w:r>
      <w:r>
        <w:rPr>
          <w:sz w:val="20"/>
        </w:rPr>
        <w:t>crimes.</w:t>
      </w:r>
      <w:r>
        <w:rPr>
          <w:spacing w:val="-12"/>
          <w:sz w:val="20"/>
        </w:rPr>
        <w:t> </w:t>
      </w:r>
      <w:r>
        <w:rPr>
          <w:sz w:val="20"/>
        </w:rPr>
        <w:t>These</w:t>
      </w:r>
      <w:r>
        <w:rPr>
          <w:spacing w:val="-13"/>
          <w:sz w:val="20"/>
        </w:rPr>
        <w:t> </w:t>
      </w:r>
      <w:r>
        <w:rPr>
          <w:sz w:val="20"/>
        </w:rPr>
        <w:t>moves</w:t>
      </w:r>
      <w:r>
        <w:rPr>
          <w:spacing w:val="-12"/>
          <w:sz w:val="20"/>
        </w:rPr>
        <w:t> </w:t>
      </w:r>
      <w:r>
        <w:rPr>
          <w:sz w:val="20"/>
        </w:rPr>
        <w:t>to</w:t>
      </w:r>
      <w:r>
        <w:rPr>
          <w:spacing w:val="-13"/>
          <w:sz w:val="20"/>
        </w:rPr>
        <w:t> </w:t>
      </w:r>
      <w:r>
        <w:rPr>
          <w:sz w:val="20"/>
        </w:rPr>
        <w:t>the</w:t>
      </w:r>
      <w:r>
        <w:rPr>
          <w:spacing w:val="-12"/>
          <w:sz w:val="20"/>
        </w:rPr>
        <w:t> </w:t>
      </w:r>
      <w:r>
        <w:rPr>
          <w:sz w:val="20"/>
        </w:rPr>
        <w:t>field</w:t>
      </w:r>
      <w:r>
        <w:rPr>
          <w:spacing w:val="-13"/>
          <w:sz w:val="20"/>
        </w:rPr>
        <w:t> </w:t>
      </w:r>
      <w:r>
        <w:rPr>
          <w:sz w:val="20"/>
        </w:rPr>
        <w:t>are</w:t>
      </w:r>
      <w:r>
        <w:rPr>
          <w:spacing w:val="-12"/>
          <w:sz w:val="20"/>
        </w:rPr>
        <w:t> </w:t>
      </w:r>
      <w:r>
        <w:rPr>
          <w:sz w:val="20"/>
        </w:rPr>
        <w:t>being</w:t>
      </w:r>
      <w:r>
        <w:rPr>
          <w:spacing w:val="-13"/>
          <w:sz w:val="20"/>
        </w:rPr>
        <w:t> </w:t>
      </w:r>
      <w:r>
        <w:rPr>
          <w:sz w:val="20"/>
        </w:rPr>
        <w:t>conducted in close cooperation with the Registry and Presidency. Further steps will be taken in the coming months for the designation of country offices and the finalization of relevant arrangements with national authorities before 2023.</w:t>
      </w:r>
    </w:p>
    <w:p>
      <w:pPr>
        <w:pStyle w:val="ListParagraph"/>
        <w:numPr>
          <w:ilvl w:val="0"/>
          <w:numId w:val="4"/>
        </w:numPr>
        <w:tabs>
          <w:tab w:pos="2967" w:val="left" w:leader="none"/>
        </w:tabs>
        <w:spacing w:line="240" w:lineRule="auto" w:before="119" w:after="0"/>
        <w:ind w:left="2246" w:right="2238" w:firstLine="0"/>
        <w:jc w:val="both"/>
        <w:rPr>
          <w:sz w:val="20"/>
        </w:rPr>
      </w:pPr>
      <w:r>
        <w:rPr>
          <w:sz w:val="20"/>
        </w:rPr>
        <w:t>In recent months, the OTP has received strong support from States Parties in the form of contributions to the OTP Trust Fund for Advanced Technology and Specialized Capacity, established in March 2022, and through the secondment of experts from national authorities. Contributions to the Trust Fund will serve as an accelerant to the immediate modernization of the work of the Office, while the regular budget proposed for 2023 will ensure that the OTP has the core, stable resource base needed for it to effectively fulfil its mandate. This proposed budget establishes a critical framework into which the additional injection of resources of the Trust Fund and the secondment of national experts can be </w:t>
      </w:r>
      <w:r>
        <w:rPr>
          <w:spacing w:val="-2"/>
          <w:sz w:val="20"/>
        </w:rPr>
        <w:t>integrated.</w:t>
      </w:r>
    </w:p>
    <w:p>
      <w:pPr>
        <w:pStyle w:val="ListParagraph"/>
        <w:numPr>
          <w:ilvl w:val="0"/>
          <w:numId w:val="4"/>
        </w:numPr>
        <w:tabs>
          <w:tab w:pos="2967" w:val="left" w:leader="none"/>
        </w:tabs>
        <w:spacing w:line="240" w:lineRule="auto" w:before="119" w:after="0"/>
        <w:ind w:left="2246" w:right="2244" w:firstLine="0"/>
        <w:jc w:val="both"/>
        <w:rPr>
          <w:sz w:val="20"/>
        </w:rPr>
      </w:pPr>
      <w:r>
        <w:rPr>
          <w:sz w:val="20"/>
        </w:rPr>
        <w:t>The OTP has continued</w:t>
      </w:r>
      <w:r>
        <w:rPr>
          <w:spacing w:val="-4"/>
          <w:sz w:val="20"/>
        </w:rPr>
        <w:t> </w:t>
      </w:r>
      <w:r>
        <w:rPr>
          <w:sz w:val="20"/>
        </w:rPr>
        <w:t>to cooperate closely with</w:t>
      </w:r>
      <w:r>
        <w:rPr>
          <w:spacing w:val="-4"/>
          <w:sz w:val="20"/>
        </w:rPr>
        <w:t> </w:t>
      </w:r>
      <w:r>
        <w:rPr>
          <w:sz w:val="20"/>
        </w:rPr>
        <w:t>the Registry and the other Major Programmes to ensure States have a thorough understanding of the financial impact of and the specific challenges</w:t>
      </w:r>
      <w:r>
        <w:rPr>
          <w:spacing w:val="-2"/>
          <w:sz w:val="20"/>
        </w:rPr>
        <w:t> </w:t>
      </w:r>
      <w:r>
        <w:rPr>
          <w:sz w:val="20"/>
        </w:rPr>
        <w:t>faced in terms of the Office’s operational issues, and to demonstrate responsiveness to stakeholders’ expectations by providing a transparent, consistent and fiscally responsible proposal.</w:t>
      </w:r>
    </w:p>
    <w:p>
      <w:pPr>
        <w:pStyle w:val="BodyText"/>
        <w:spacing w:before="1"/>
        <w:rPr>
          <w:sz w:val="21"/>
        </w:rPr>
      </w:pPr>
    </w:p>
    <w:p>
      <w:pPr>
        <w:pStyle w:val="Heading3"/>
        <w:ind w:left="3" w:right="400"/>
        <w:jc w:val="center"/>
      </w:pPr>
      <w:r>
        <w:rPr/>
        <w:t>OTP</w:t>
      </w:r>
      <w:r>
        <w:rPr>
          <w:spacing w:val="-10"/>
        </w:rPr>
        <w:t> </w:t>
      </w:r>
      <w:r>
        <w:rPr/>
        <w:t>activities</w:t>
      </w:r>
      <w:r>
        <w:rPr>
          <w:spacing w:val="-10"/>
        </w:rPr>
        <w:t> </w:t>
      </w:r>
      <w:r>
        <w:rPr/>
        <w:t>in</w:t>
      </w:r>
      <w:r>
        <w:rPr>
          <w:spacing w:val="-6"/>
        </w:rPr>
        <w:t> </w:t>
      </w:r>
      <w:r>
        <w:rPr/>
        <w:t>2023:</w:t>
      </w:r>
      <w:r>
        <w:rPr>
          <w:spacing w:val="-5"/>
        </w:rPr>
        <w:t> </w:t>
      </w:r>
      <w:r>
        <w:rPr/>
        <w:t>preliminary</w:t>
      </w:r>
      <w:r>
        <w:rPr>
          <w:spacing w:val="-9"/>
        </w:rPr>
        <w:t> </w:t>
      </w:r>
      <w:r>
        <w:rPr/>
        <w:t>examinations,</w:t>
      </w:r>
      <w:r>
        <w:rPr>
          <w:spacing w:val="-7"/>
        </w:rPr>
        <w:t> </w:t>
      </w:r>
      <w:r>
        <w:rPr/>
        <w:t>investigations</w:t>
      </w:r>
      <w:r>
        <w:rPr>
          <w:spacing w:val="-5"/>
        </w:rPr>
        <w:t> </w:t>
      </w:r>
      <w:r>
        <w:rPr/>
        <w:t>and</w:t>
      </w:r>
      <w:r>
        <w:rPr>
          <w:spacing w:val="-10"/>
        </w:rPr>
        <w:t> </w:t>
      </w:r>
      <w:r>
        <w:rPr>
          <w:spacing w:val="-2"/>
        </w:rPr>
        <w:t>prosecutions</w:t>
      </w:r>
    </w:p>
    <w:p>
      <w:pPr>
        <w:pStyle w:val="BodyText"/>
        <w:spacing w:before="11"/>
        <w:rPr>
          <w:b/>
        </w:rPr>
      </w:pPr>
    </w:p>
    <w:p>
      <w:pPr>
        <w:pStyle w:val="ListParagraph"/>
        <w:numPr>
          <w:ilvl w:val="0"/>
          <w:numId w:val="4"/>
        </w:numPr>
        <w:tabs>
          <w:tab w:pos="2967" w:val="left" w:leader="none"/>
        </w:tabs>
        <w:spacing w:line="240" w:lineRule="auto" w:before="0" w:after="0"/>
        <w:ind w:left="2246" w:right="2242" w:firstLine="0"/>
        <w:jc w:val="both"/>
        <w:rPr>
          <w:sz w:val="20"/>
        </w:rPr>
      </w:pPr>
      <w:r>
        <w:rPr>
          <w:sz w:val="20"/>
        </w:rPr>
        <w:t>The planned activities for 2023 and corresponding resources are driven by (1) the significant increase in the workload of the Office, (2) the effort of the Office to continue prioritizing activities and allocating resources to maximize the impact and expeditiousness of its activities, and (3) the lessons learned during the Prosecutor’s first year in office. In addition</w:t>
      </w:r>
      <w:r>
        <w:rPr>
          <w:spacing w:val="-8"/>
          <w:sz w:val="20"/>
        </w:rPr>
        <w:t> </w:t>
      </w:r>
      <w:r>
        <w:rPr>
          <w:sz w:val="20"/>
        </w:rPr>
        <w:t>to</w:t>
      </w:r>
      <w:r>
        <w:rPr>
          <w:spacing w:val="-4"/>
          <w:sz w:val="20"/>
        </w:rPr>
        <w:t> </w:t>
      </w:r>
      <w:r>
        <w:rPr>
          <w:sz w:val="20"/>
        </w:rPr>
        <w:t>strengthening</w:t>
      </w:r>
      <w:r>
        <w:rPr>
          <w:spacing w:val="-4"/>
          <w:sz w:val="20"/>
        </w:rPr>
        <w:t> </w:t>
      </w:r>
      <w:r>
        <w:rPr>
          <w:sz w:val="20"/>
        </w:rPr>
        <w:t>its</w:t>
      </w:r>
      <w:r>
        <w:rPr>
          <w:spacing w:val="-5"/>
          <w:sz w:val="20"/>
        </w:rPr>
        <w:t> </w:t>
      </w:r>
      <w:r>
        <w:rPr>
          <w:sz w:val="20"/>
        </w:rPr>
        <w:t>field</w:t>
      </w:r>
      <w:r>
        <w:rPr>
          <w:spacing w:val="-4"/>
          <w:sz w:val="20"/>
        </w:rPr>
        <w:t> </w:t>
      </w:r>
      <w:r>
        <w:rPr>
          <w:sz w:val="20"/>
        </w:rPr>
        <w:t>presence</w:t>
      </w:r>
      <w:r>
        <w:rPr>
          <w:spacing w:val="-7"/>
          <w:sz w:val="20"/>
        </w:rPr>
        <w:t> </w:t>
      </w:r>
      <w:r>
        <w:rPr>
          <w:sz w:val="20"/>
        </w:rPr>
        <w:t>through</w:t>
      </w:r>
      <w:r>
        <w:rPr>
          <w:spacing w:val="-4"/>
          <w:sz w:val="20"/>
        </w:rPr>
        <w:t> </w:t>
      </w:r>
      <w:r>
        <w:rPr>
          <w:sz w:val="20"/>
        </w:rPr>
        <w:t>the</w:t>
      </w:r>
      <w:r>
        <w:rPr>
          <w:spacing w:val="-2"/>
          <w:sz w:val="20"/>
        </w:rPr>
        <w:t> </w:t>
      </w:r>
      <w:r>
        <w:rPr>
          <w:sz w:val="20"/>
        </w:rPr>
        <w:t>establishment</w:t>
      </w:r>
      <w:r>
        <w:rPr>
          <w:spacing w:val="-2"/>
          <w:sz w:val="20"/>
        </w:rPr>
        <w:t> </w:t>
      </w:r>
      <w:r>
        <w:rPr>
          <w:sz w:val="20"/>
        </w:rPr>
        <w:t>of</w:t>
      </w:r>
      <w:r>
        <w:rPr>
          <w:spacing w:val="-8"/>
          <w:sz w:val="20"/>
        </w:rPr>
        <w:t> </w:t>
      </w:r>
      <w:r>
        <w:rPr>
          <w:sz w:val="20"/>
        </w:rPr>
        <w:t>county</w:t>
      </w:r>
      <w:r>
        <w:rPr>
          <w:spacing w:val="-4"/>
          <w:sz w:val="20"/>
        </w:rPr>
        <w:t> </w:t>
      </w:r>
      <w:r>
        <w:rPr>
          <w:sz w:val="20"/>
        </w:rPr>
        <w:t>offices</w:t>
      </w:r>
      <w:r>
        <w:rPr>
          <w:spacing w:val="-5"/>
          <w:sz w:val="20"/>
        </w:rPr>
        <w:t> </w:t>
      </w:r>
      <w:r>
        <w:rPr>
          <w:sz w:val="20"/>
        </w:rPr>
        <w:t>close to</w:t>
      </w:r>
      <w:r>
        <w:rPr>
          <w:spacing w:val="-9"/>
          <w:sz w:val="20"/>
        </w:rPr>
        <w:t> </w:t>
      </w:r>
      <w:r>
        <w:rPr>
          <w:sz w:val="20"/>
        </w:rPr>
        <w:t>or</w:t>
      </w:r>
      <w:r>
        <w:rPr>
          <w:spacing w:val="-9"/>
          <w:sz w:val="20"/>
        </w:rPr>
        <w:t> </w:t>
      </w:r>
      <w:r>
        <w:rPr>
          <w:sz w:val="20"/>
        </w:rPr>
        <w:t>in</w:t>
      </w:r>
      <w:r>
        <w:rPr>
          <w:spacing w:val="-9"/>
          <w:sz w:val="20"/>
        </w:rPr>
        <w:t> </w:t>
      </w:r>
      <w:r>
        <w:rPr>
          <w:sz w:val="20"/>
        </w:rPr>
        <w:t>situation</w:t>
      </w:r>
      <w:r>
        <w:rPr>
          <w:spacing w:val="-9"/>
          <w:sz w:val="20"/>
        </w:rPr>
        <w:t> </w:t>
      </w:r>
      <w:r>
        <w:rPr>
          <w:sz w:val="20"/>
        </w:rPr>
        <w:t>countries,</w:t>
      </w:r>
      <w:r>
        <w:rPr>
          <w:spacing w:val="-12"/>
          <w:sz w:val="20"/>
        </w:rPr>
        <w:t> </w:t>
      </w:r>
      <w:r>
        <w:rPr>
          <w:sz w:val="20"/>
        </w:rPr>
        <w:t>the</w:t>
      </w:r>
      <w:r>
        <w:rPr>
          <w:spacing w:val="-8"/>
          <w:sz w:val="20"/>
        </w:rPr>
        <w:t> </w:t>
      </w:r>
      <w:r>
        <w:rPr>
          <w:sz w:val="20"/>
        </w:rPr>
        <w:t>Office</w:t>
      </w:r>
      <w:r>
        <w:rPr>
          <w:spacing w:val="-8"/>
          <w:sz w:val="20"/>
        </w:rPr>
        <w:t> </w:t>
      </w:r>
      <w:r>
        <w:rPr>
          <w:sz w:val="20"/>
        </w:rPr>
        <w:t>also</w:t>
      </w:r>
      <w:r>
        <w:rPr>
          <w:spacing w:val="-9"/>
          <w:sz w:val="20"/>
        </w:rPr>
        <w:t> </w:t>
      </w:r>
      <w:r>
        <w:rPr>
          <w:sz w:val="20"/>
        </w:rPr>
        <w:t>continues</w:t>
      </w:r>
      <w:r>
        <w:rPr>
          <w:spacing w:val="-11"/>
          <w:sz w:val="20"/>
        </w:rPr>
        <w:t> </w:t>
      </w:r>
      <w:r>
        <w:rPr>
          <w:sz w:val="20"/>
        </w:rPr>
        <w:t>to</w:t>
      </w:r>
      <w:r>
        <w:rPr>
          <w:spacing w:val="-9"/>
          <w:sz w:val="20"/>
        </w:rPr>
        <w:t> </w:t>
      </w:r>
      <w:r>
        <w:rPr>
          <w:sz w:val="20"/>
        </w:rPr>
        <w:t>budget for</w:t>
      </w:r>
      <w:r>
        <w:rPr>
          <w:spacing w:val="-9"/>
          <w:sz w:val="20"/>
        </w:rPr>
        <w:t> </w:t>
      </w:r>
      <w:r>
        <w:rPr>
          <w:sz w:val="20"/>
        </w:rPr>
        <w:t>the</w:t>
      </w:r>
      <w:r>
        <w:rPr>
          <w:spacing w:val="-8"/>
          <w:sz w:val="20"/>
        </w:rPr>
        <w:t> </w:t>
      </w:r>
      <w:r>
        <w:rPr>
          <w:sz w:val="20"/>
        </w:rPr>
        <w:t>capacity</w:t>
      </w:r>
      <w:r>
        <w:rPr>
          <w:spacing w:val="-9"/>
          <w:sz w:val="20"/>
        </w:rPr>
        <w:t> </w:t>
      </w:r>
      <w:r>
        <w:rPr>
          <w:sz w:val="20"/>
        </w:rPr>
        <w:t>and</w:t>
      </w:r>
      <w:r>
        <w:rPr>
          <w:spacing w:val="-9"/>
          <w:sz w:val="20"/>
        </w:rPr>
        <w:t> </w:t>
      </w:r>
      <w:r>
        <w:rPr>
          <w:sz w:val="20"/>
        </w:rPr>
        <w:t>flexibility to take rapid advantage of emerging investigative opportunities, including where there is a need for the sudden limited deployment of staff.</w:t>
      </w:r>
    </w:p>
    <w:p>
      <w:pPr>
        <w:spacing w:after="0" w:line="240" w:lineRule="auto"/>
        <w:jc w:val="both"/>
        <w:rPr>
          <w:sz w:val="20"/>
        </w:rPr>
        <w:sectPr>
          <w:headerReference w:type="even" r:id="rId24"/>
          <w:headerReference w:type="default" r:id="rId25"/>
          <w:footerReference w:type="even" r:id="rId26"/>
          <w:footerReference w:type="default" r:id="rId27"/>
          <w:pgSz w:w="11910" w:h="16840"/>
          <w:pgMar w:header="953" w:footer="940" w:top="1140" w:bottom="1140" w:left="20" w:right="20"/>
          <w:pgNumType w:start="36"/>
        </w:sectPr>
      </w:pPr>
    </w:p>
    <w:p>
      <w:pPr>
        <w:pStyle w:val="Heading3"/>
        <w:spacing w:before="120"/>
      </w:pPr>
      <w:r>
        <w:rPr/>
        <w:t>Situations</w:t>
      </w:r>
      <w:r>
        <w:rPr>
          <w:spacing w:val="-10"/>
        </w:rPr>
        <w:t> </w:t>
      </w:r>
      <w:r>
        <w:rPr/>
        <w:t>under</w:t>
      </w:r>
      <w:r>
        <w:rPr>
          <w:spacing w:val="-6"/>
        </w:rPr>
        <w:t> </w:t>
      </w:r>
      <w:r>
        <w:rPr/>
        <w:t>preliminary</w:t>
      </w:r>
      <w:r>
        <w:rPr>
          <w:spacing w:val="-12"/>
        </w:rPr>
        <w:t> </w:t>
      </w:r>
      <w:r>
        <w:rPr>
          <w:spacing w:val="-2"/>
        </w:rPr>
        <w:t>examination</w:t>
      </w:r>
    </w:p>
    <w:p>
      <w:pPr>
        <w:pStyle w:val="BodyText"/>
        <w:spacing w:before="10"/>
        <w:rPr>
          <w:b/>
        </w:rPr>
      </w:pPr>
    </w:p>
    <w:p>
      <w:pPr>
        <w:pStyle w:val="ListParagraph"/>
        <w:numPr>
          <w:ilvl w:val="0"/>
          <w:numId w:val="4"/>
        </w:numPr>
        <w:tabs>
          <w:tab w:pos="2967" w:val="left" w:leader="none"/>
        </w:tabs>
        <w:spacing w:line="240" w:lineRule="auto" w:before="1" w:after="0"/>
        <w:ind w:left="2246" w:right="2237" w:firstLine="0"/>
        <w:jc w:val="both"/>
        <w:rPr>
          <w:sz w:val="20"/>
        </w:rPr>
      </w:pPr>
      <w:r>
        <w:rPr>
          <w:sz w:val="20"/>
        </w:rPr>
        <w:t>The</w:t>
      </w:r>
      <w:r>
        <w:rPr>
          <w:spacing w:val="-13"/>
          <w:sz w:val="20"/>
        </w:rPr>
        <w:t> </w:t>
      </w:r>
      <w:r>
        <w:rPr>
          <w:sz w:val="20"/>
        </w:rPr>
        <w:t>OTP</w:t>
      </w:r>
      <w:r>
        <w:rPr>
          <w:spacing w:val="-12"/>
          <w:sz w:val="20"/>
        </w:rPr>
        <w:t> </w:t>
      </w:r>
      <w:r>
        <w:rPr>
          <w:sz w:val="20"/>
        </w:rPr>
        <w:t>is</w:t>
      </w:r>
      <w:r>
        <w:rPr>
          <w:spacing w:val="-13"/>
          <w:sz w:val="20"/>
        </w:rPr>
        <w:t> </w:t>
      </w:r>
      <w:r>
        <w:rPr>
          <w:sz w:val="20"/>
        </w:rPr>
        <w:t>currently</w:t>
      </w:r>
      <w:r>
        <w:rPr>
          <w:spacing w:val="-12"/>
          <w:sz w:val="20"/>
        </w:rPr>
        <w:t> </w:t>
      </w:r>
      <w:r>
        <w:rPr>
          <w:sz w:val="20"/>
        </w:rPr>
        <w:t>seized</w:t>
      </w:r>
      <w:r>
        <w:rPr>
          <w:spacing w:val="-13"/>
          <w:sz w:val="20"/>
        </w:rPr>
        <w:t> </w:t>
      </w:r>
      <w:r>
        <w:rPr>
          <w:sz w:val="20"/>
        </w:rPr>
        <w:t>of</w:t>
      </w:r>
      <w:r>
        <w:rPr>
          <w:spacing w:val="-12"/>
          <w:sz w:val="20"/>
        </w:rPr>
        <w:t> </w:t>
      </w:r>
      <w:r>
        <w:rPr>
          <w:sz w:val="20"/>
        </w:rPr>
        <w:t>preliminary</w:t>
      </w:r>
      <w:r>
        <w:rPr>
          <w:spacing w:val="-13"/>
          <w:sz w:val="20"/>
        </w:rPr>
        <w:t> </w:t>
      </w:r>
      <w:r>
        <w:rPr>
          <w:sz w:val="20"/>
        </w:rPr>
        <w:t>examinations</w:t>
      </w:r>
      <w:r>
        <w:rPr>
          <w:spacing w:val="-12"/>
          <w:sz w:val="20"/>
        </w:rPr>
        <w:t> </w:t>
      </w:r>
      <w:r>
        <w:rPr>
          <w:sz w:val="20"/>
        </w:rPr>
        <w:t>in</w:t>
      </w:r>
      <w:r>
        <w:rPr>
          <w:spacing w:val="-13"/>
          <w:sz w:val="20"/>
        </w:rPr>
        <w:t> </w:t>
      </w:r>
      <w:r>
        <w:rPr>
          <w:sz w:val="20"/>
        </w:rPr>
        <w:t>three</w:t>
      </w:r>
      <w:r>
        <w:rPr>
          <w:spacing w:val="-12"/>
          <w:sz w:val="20"/>
        </w:rPr>
        <w:t> </w:t>
      </w:r>
      <w:r>
        <w:rPr>
          <w:sz w:val="20"/>
        </w:rPr>
        <w:t>situations:</w:t>
      </w:r>
      <w:r>
        <w:rPr>
          <w:spacing w:val="-13"/>
          <w:sz w:val="20"/>
        </w:rPr>
        <w:t> </w:t>
      </w:r>
      <w:r>
        <w:rPr>
          <w:sz w:val="20"/>
        </w:rPr>
        <w:t>Guinea, Nigeria, and Venezuela II.</w:t>
      </w:r>
      <w:r>
        <w:rPr>
          <w:spacing w:val="-2"/>
          <w:sz w:val="20"/>
        </w:rPr>
        <w:t> </w:t>
      </w:r>
      <w:r>
        <w:rPr>
          <w:sz w:val="20"/>
        </w:rPr>
        <w:t>The</w:t>
      </w:r>
      <w:r>
        <w:rPr>
          <w:spacing w:val="-3"/>
          <w:sz w:val="20"/>
        </w:rPr>
        <w:t> </w:t>
      </w:r>
      <w:r>
        <w:rPr>
          <w:sz w:val="20"/>
        </w:rPr>
        <w:t>preliminary</w:t>
      </w:r>
      <w:r>
        <w:rPr>
          <w:spacing w:val="-5"/>
          <w:sz w:val="20"/>
        </w:rPr>
        <w:t> </w:t>
      </w:r>
      <w:r>
        <w:rPr>
          <w:sz w:val="20"/>
        </w:rPr>
        <w:t>examination</w:t>
      </w:r>
      <w:r>
        <w:rPr>
          <w:spacing w:val="-1"/>
          <w:sz w:val="20"/>
        </w:rPr>
        <w:t> </w:t>
      </w:r>
      <w:r>
        <w:rPr>
          <w:sz w:val="20"/>
        </w:rPr>
        <w:t>in the situation</w:t>
      </w:r>
      <w:r>
        <w:rPr>
          <w:spacing w:val="-5"/>
          <w:sz w:val="20"/>
        </w:rPr>
        <w:t> </w:t>
      </w:r>
      <w:r>
        <w:rPr>
          <w:sz w:val="20"/>
        </w:rPr>
        <w:t>in Nigeria has been completed and is currently subject to consideration on the next immediate steps to inform any future decision the Prosecutor will make on the situation.</w:t>
      </w:r>
      <w:r>
        <w:rPr>
          <w:sz w:val="20"/>
          <w:vertAlign w:val="superscript"/>
        </w:rPr>
        <w:t>23</w:t>
      </w:r>
      <w:r>
        <w:rPr>
          <w:sz w:val="20"/>
          <w:vertAlign w:val="baseline"/>
        </w:rPr>
        <w:t> The remaining preliminary examinations are in advanced stages of analysis. The Prosecutor is conducting a comprehensive review of all preliminary examinations as well as of the Office’s overall policy</w:t>
      </w:r>
      <w:r>
        <w:rPr>
          <w:spacing w:val="-4"/>
          <w:sz w:val="20"/>
          <w:vertAlign w:val="baseline"/>
        </w:rPr>
        <w:t> </w:t>
      </w:r>
      <w:r>
        <w:rPr>
          <w:sz w:val="20"/>
          <w:vertAlign w:val="baseline"/>
        </w:rPr>
        <w:t>on preliminary</w:t>
      </w:r>
      <w:r>
        <w:rPr>
          <w:spacing w:val="-4"/>
          <w:sz w:val="20"/>
          <w:vertAlign w:val="baseline"/>
        </w:rPr>
        <w:t> </w:t>
      </w:r>
      <w:r>
        <w:rPr>
          <w:sz w:val="20"/>
          <w:vertAlign w:val="baseline"/>
        </w:rPr>
        <w:t>examinations.</w:t>
      </w:r>
      <w:r>
        <w:rPr>
          <w:spacing w:val="-1"/>
          <w:sz w:val="20"/>
          <w:vertAlign w:val="baseline"/>
        </w:rPr>
        <w:t> </w:t>
      </w:r>
      <w:r>
        <w:rPr>
          <w:sz w:val="20"/>
          <w:vertAlign w:val="baseline"/>
        </w:rPr>
        <w:t>This</w:t>
      </w:r>
      <w:r>
        <w:rPr>
          <w:spacing w:val="-5"/>
          <w:sz w:val="20"/>
          <w:vertAlign w:val="baseline"/>
        </w:rPr>
        <w:t> </w:t>
      </w:r>
      <w:r>
        <w:rPr>
          <w:sz w:val="20"/>
          <w:vertAlign w:val="baseline"/>
        </w:rPr>
        <w:t>review</w:t>
      </w:r>
      <w:r>
        <w:rPr>
          <w:spacing w:val="-5"/>
          <w:sz w:val="20"/>
          <w:vertAlign w:val="baseline"/>
        </w:rPr>
        <w:t> </w:t>
      </w:r>
      <w:r>
        <w:rPr>
          <w:sz w:val="20"/>
          <w:vertAlign w:val="baseline"/>
        </w:rPr>
        <w:t>will</w:t>
      </w:r>
      <w:r>
        <w:rPr>
          <w:spacing w:val="-2"/>
          <w:sz w:val="20"/>
          <w:vertAlign w:val="baseline"/>
        </w:rPr>
        <w:t> </w:t>
      </w:r>
      <w:r>
        <w:rPr>
          <w:sz w:val="20"/>
          <w:vertAlign w:val="baseline"/>
        </w:rPr>
        <w:t>guide</w:t>
      </w:r>
      <w:r>
        <w:rPr>
          <w:spacing w:val="-2"/>
          <w:sz w:val="20"/>
          <w:vertAlign w:val="baseline"/>
        </w:rPr>
        <w:t> </w:t>
      </w:r>
      <w:r>
        <w:rPr>
          <w:sz w:val="20"/>
          <w:vertAlign w:val="baseline"/>
        </w:rPr>
        <w:t>the future</w:t>
      </w:r>
      <w:r>
        <w:rPr>
          <w:spacing w:val="-2"/>
          <w:sz w:val="20"/>
          <w:vertAlign w:val="baseline"/>
        </w:rPr>
        <w:t> </w:t>
      </w:r>
      <w:r>
        <w:rPr>
          <w:sz w:val="20"/>
          <w:vertAlign w:val="baseline"/>
        </w:rPr>
        <w:t>conduct</w:t>
      </w:r>
      <w:r>
        <w:rPr>
          <w:spacing w:val="-2"/>
          <w:sz w:val="20"/>
          <w:vertAlign w:val="baseline"/>
        </w:rPr>
        <w:t> </w:t>
      </w:r>
      <w:r>
        <w:rPr>
          <w:sz w:val="20"/>
          <w:vertAlign w:val="baseline"/>
        </w:rPr>
        <w:t>by</w:t>
      </w:r>
      <w:r>
        <w:rPr>
          <w:spacing w:val="-4"/>
          <w:sz w:val="20"/>
          <w:vertAlign w:val="baseline"/>
        </w:rPr>
        <w:t> </w:t>
      </w:r>
      <w:r>
        <w:rPr>
          <w:sz w:val="20"/>
          <w:vertAlign w:val="baseline"/>
        </w:rPr>
        <w:t>the Office of preliminary examinations.</w:t>
      </w:r>
    </w:p>
    <w:p>
      <w:pPr>
        <w:pStyle w:val="ListParagraph"/>
        <w:numPr>
          <w:ilvl w:val="0"/>
          <w:numId w:val="4"/>
        </w:numPr>
        <w:tabs>
          <w:tab w:pos="2967" w:val="left" w:leader="none"/>
        </w:tabs>
        <w:spacing w:line="240" w:lineRule="auto" w:before="124" w:after="0"/>
        <w:ind w:left="2246" w:right="2244" w:firstLine="0"/>
        <w:jc w:val="both"/>
        <w:rPr>
          <w:sz w:val="20"/>
        </w:rPr>
      </w:pPr>
      <w:r>
        <w:rPr>
          <w:sz w:val="20"/>
        </w:rPr>
        <w:t>With respect to the preliminary examination into the Situation in the Plurinational State of Bolivia (“Bolivia”), on 14 February 2022 the Prosecutor announced his determination that there was</w:t>
      </w:r>
      <w:r>
        <w:rPr>
          <w:spacing w:val="-1"/>
          <w:sz w:val="20"/>
        </w:rPr>
        <w:t> </w:t>
      </w:r>
      <w:r>
        <w:rPr>
          <w:sz w:val="20"/>
        </w:rPr>
        <w:t>not a reasonable basis</w:t>
      </w:r>
      <w:r>
        <w:rPr>
          <w:spacing w:val="-1"/>
          <w:sz w:val="20"/>
        </w:rPr>
        <w:t> </w:t>
      </w:r>
      <w:r>
        <w:rPr>
          <w:sz w:val="20"/>
        </w:rPr>
        <w:t>to believe that alleged</w:t>
      </w:r>
      <w:r>
        <w:rPr>
          <w:spacing w:val="-5"/>
          <w:sz w:val="20"/>
        </w:rPr>
        <w:t> </w:t>
      </w:r>
      <w:r>
        <w:rPr>
          <w:sz w:val="20"/>
        </w:rPr>
        <w:t>crimes</w:t>
      </w:r>
      <w:r>
        <w:rPr>
          <w:spacing w:val="-1"/>
          <w:sz w:val="20"/>
        </w:rPr>
        <w:t> </w:t>
      </w:r>
      <w:r>
        <w:rPr>
          <w:sz w:val="20"/>
        </w:rPr>
        <w:t>within the jurisdiction</w:t>
      </w:r>
      <w:r>
        <w:rPr>
          <w:spacing w:val="-9"/>
          <w:sz w:val="20"/>
        </w:rPr>
        <w:t> </w:t>
      </w:r>
      <w:r>
        <w:rPr>
          <w:sz w:val="20"/>
        </w:rPr>
        <w:t>of</w:t>
      </w:r>
      <w:r>
        <w:rPr>
          <w:spacing w:val="-9"/>
          <w:sz w:val="20"/>
        </w:rPr>
        <w:t> </w:t>
      </w:r>
      <w:r>
        <w:rPr>
          <w:sz w:val="20"/>
        </w:rPr>
        <w:t>the</w:t>
      </w:r>
      <w:r>
        <w:rPr>
          <w:spacing w:val="-8"/>
          <w:sz w:val="20"/>
        </w:rPr>
        <w:t> </w:t>
      </w:r>
      <w:r>
        <w:rPr>
          <w:sz w:val="20"/>
        </w:rPr>
        <w:t>International</w:t>
      </w:r>
      <w:r>
        <w:rPr>
          <w:spacing w:val="-8"/>
          <w:sz w:val="20"/>
        </w:rPr>
        <w:t> </w:t>
      </w:r>
      <w:r>
        <w:rPr>
          <w:sz w:val="20"/>
        </w:rPr>
        <w:t>Criminal</w:t>
      </w:r>
      <w:r>
        <w:rPr>
          <w:spacing w:val="-8"/>
          <w:sz w:val="20"/>
        </w:rPr>
        <w:t> </w:t>
      </w:r>
      <w:r>
        <w:rPr>
          <w:sz w:val="20"/>
        </w:rPr>
        <w:t>Court</w:t>
      </w:r>
      <w:r>
        <w:rPr>
          <w:spacing w:val="-8"/>
          <w:sz w:val="20"/>
        </w:rPr>
        <w:t> </w:t>
      </w:r>
      <w:r>
        <w:rPr>
          <w:sz w:val="20"/>
        </w:rPr>
        <w:t>had</w:t>
      </w:r>
      <w:r>
        <w:rPr>
          <w:spacing w:val="-6"/>
          <w:sz w:val="20"/>
        </w:rPr>
        <w:t> </w:t>
      </w:r>
      <w:r>
        <w:rPr>
          <w:sz w:val="20"/>
        </w:rPr>
        <w:t>been</w:t>
      </w:r>
      <w:r>
        <w:rPr>
          <w:spacing w:val="-9"/>
          <w:sz w:val="20"/>
        </w:rPr>
        <w:t> </w:t>
      </w:r>
      <w:r>
        <w:rPr>
          <w:sz w:val="20"/>
        </w:rPr>
        <w:t>committed</w:t>
      </w:r>
      <w:r>
        <w:rPr>
          <w:spacing w:val="-6"/>
          <w:sz w:val="20"/>
        </w:rPr>
        <w:t> </w:t>
      </w:r>
      <w:r>
        <w:rPr>
          <w:sz w:val="20"/>
        </w:rPr>
        <w:t>within</w:t>
      </w:r>
      <w:r>
        <w:rPr>
          <w:spacing w:val="-9"/>
          <w:sz w:val="20"/>
        </w:rPr>
        <w:t> </w:t>
      </w:r>
      <w:r>
        <w:rPr>
          <w:sz w:val="20"/>
        </w:rPr>
        <w:t>the</w:t>
      </w:r>
      <w:r>
        <w:rPr>
          <w:spacing w:val="-8"/>
          <w:sz w:val="20"/>
        </w:rPr>
        <w:t> </w:t>
      </w:r>
      <w:r>
        <w:rPr>
          <w:sz w:val="20"/>
        </w:rPr>
        <w:t>context</w:t>
      </w:r>
      <w:r>
        <w:rPr>
          <w:spacing w:val="-4"/>
          <w:sz w:val="20"/>
        </w:rPr>
        <w:t> </w:t>
      </w:r>
      <w:r>
        <w:rPr>
          <w:sz w:val="20"/>
        </w:rPr>
        <w:t>of</w:t>
      </w:r>
      <w:r>
        <w:rPr>
          <w:spacing w:val="-9"/>
          <w:sz w:val="20"/>
        </w:rPr>
        <w:t> </w:t>
      </w:r>
      <w:r>
        <w:rPr>
          <w:sz w:val="20"/>
        </w:rPr>
        <w:t>the referred situation. In particular, the Office concluded that the alleged conduct under examination</w:t>
      </w:r>
      <w:r>
        <w:rPr>
          <w:spacing w:val="-13"/>
          <w:sz w:val="20"/>
        </w:rPr>
        <w:t> </w:t>
      </w:r>
      <w:r>
        <w:rPr>
          <w:sz w:val="20"/>
        </w:rPr>
        <w:t>did</w:t>
      </w:r>
      <w:r>
        <w:rPr>
          <w:spacing w:val="-12"/>
          <w:sz w:val="20"/>
        </w:rPr>
        <w:t> </w:t>
      </w:r>
      <w:r>
        <w:rPr>
          <w:sz w:val="20"/>
        </w:rPr>
        <w:t>not</w:t>
      </w:r>
      <w:r>
        <w:rPr>
          <w:spacing w:val="-13"/>
          <w:sz w:val="20"/>
        </w:rPr>
        <w:t> </w:t>
      </w:r>
      <w:r>
        <w:rPr>
          <w:sz w:val="20"/>
        </w:rPr>
        <w:t>satisfy</w:t>
      </w:r>
      <w:r>
        <w:rPr>
          <w:spacing w:val="-12"/>
          <w:sz w:val="20"/>
        </w:rPr>
        <w:t> </w:t>
      </w:r>
      <w:r>
        <w:rPr>
          <w:sz w:val="20"/>
        </w:rPr>
        <w:t>the</w:t>
      </w:r>
      <w:r>
        <w:rPr>
          <w:spacing w:val="-13"/>
          <w:sz w:val="20"/>
        </w:rPr>
        <w:t> </w:t>
      </w:r>
      <w:r>
        <w:rPr>
          <w:sz w:val="20"/>
        </w:rPr>
        <w:t>contextual</w:t>
      </w:r>
      <w:r>
        <w:rPr>
          <w:spacing w:val="-12"/>
          <w:sz w:val="20"/>
        </w:rPr>
        <w:t> </w:t>
      </w:r>
      <w:r>
        <w:rPr>
          <w:sz w:val="20"/>
        </w:rPr>
        <w:t>elements</w:t>
      </w:r>
      <w:r>
        <w:rPr>
          <w:spacing w:val="-13"/>
          <w:sz w:val="20"/>
        </w:rPr>
        <w:t> </w:t>
      </w:r>
      <w:r>
        <w:rPr>
          <w:sz w:val="20"/>
        </w:rPr>
        <w:t>for</w:t>
      </w:r>
      <w:r>
        <w:rPr>
          <w:spacing w:val="-12"/>
          <w:sz w:val="20"/>
        </w:rPr>
        <w:t> </w:t>
      </w:r>
      <w:r>
        <w:rPr>
          <w:sz w:val="20"/>
        </w:rPr>
        <w:t>crimes</w:t>
      </w:r>
      <w:r>
        <w:rPr>
          <w:spacing w:val="-13"/>
          <w:sz w:val="20"/>
        </w:rPr>
        <w:t> </w:t>
      </w:r>
      <w:r>
        <w:rPr>
          <w:sz w:val="20"/>
        </w:rPr>
        <w:t>against</w:t>
      </w:r>
      <w:r>
        <w:rPr>
          <w:spacing w:val="-12"/>
          <w:sz w:val="20"/>
        </w:rPr>
        <w:t> </w:t>
      </w:r>
      <w:r>
        <w:rPr>
          <w:sz w:val="20"/>
        </w:rPr>
        <w:t>humanity.</w:t>
      </w:r>
      <w:r>
        <w:rPr>
          <w:spacing w:val="-13"/>
          <w:sz w:val="20"/>
        </w:rPr>
        <w:t> </w:t>
      </w:r>
      <w:r>
        <w:rPr>
          <w:sz w:val="20"/>
        </w:rPr>
        <w:t>Accordingly the</w:t>
      </w:r>
      <w:r>
        <w:rPr>
          <w:spacing w:val="-8"/>
          <w:sz w:val="20"/>
        </w:rPr>
        <w:t> </w:t>
      </w:r>
      <w:r>
        <w:rPr>
          <w:sz w:val="20"/>
        </w:rPr>
        <w:t>Prosecutor</w:t>
      </w:r>
      <w:r>
        <w:rPr>
          <w:spacing w:val="-9"/>
          <w:sz w:val="20"/>
        </w:rPr>
        <w:t> </w:t>
      </w:r>
      <w:r>
        <w:rPr>
          <w:sz w:val="20"/>
        </w:rPr>
        <w:t>concluded</w:t>
      </w:r>
      <w:r>
        <w:rPr>
          <w:spacing w:val="-5"/>
          <w:sz w:val="20"/>
        </w:rPr>
        <w:t> </w:t>
      </w:r>
      <w:r>
        <w:rPr>
          <w:sz w:val="20"/>
        </w:rPr>
        <w:t>his</w:t>
      </w:r>
      <w:r>
        <w:rPr>
          <w:spacing w:val="-11"/>
          <w:sz w:val="20"/>
        </w:rPr>
        <w:t> </w:t>
      </w:r>
      <w:r>
        <w:rPr>
          <w:sz w:val="20"/>
        </w:rPr>
        <w:t>assessment</w:t>
      </w:r>
      <w:r>
        <w:rPr>
          <w:spacing w:val="-3"/>
          <w:sz w:val="20"/>
        </w:rPr>
        <w:t> </w:t>
      </w:r>
      <w:r>
        <w:rPr>
          <w:sz w:val="20"/>
        </w:rPr>
        <w:t>with</w:t>
      </w:r>
      <w:r>
        <w:rPr>
          <w:spacing w:val="-9"/>
          <w:sz w:val="20"/>
        </w:rPr>
        <w:t> </w:t>
      </w:r>
      <w:r>
        <w:rPr>
          <w:sz w:val="20"/>
        </w:rPr>
        <w:t>a</w:t>
      </w:r>
      <w:r>
        <w:rPr>
          <w:spacing w:val="-8"/>
          <w:sz w:val="20"/>
        </w:rPr>
        <w:t> </w:t>
      </w:r>
      <w:r>
        <w:rPr>
          <w:sz w:val="20"/>
        </w:rPr>
        <w:t>decision</w:t>
      </w:r>
      <w:r>
        <w:rPr>
          <w:spacing w:val="-9"/>
          <w:sz w:val="20"/>
        </w:rPr>
        <w:t> </w:t>
      </w:r>
      <w:r>
        <w:rPr>
          <w:sz w:val="20"/>
        </w:rPr>
        <w:t>not</w:t>
      </w:r>
      <w:r>
        <w:rPr>
          <w:spacing w:val="-8"/>
          <w:sz w:val="20"/>
        </w:rPr>
        <w:t> </w:t>
      </w:r>
      <w:r>
        <w:rPr>
          <w:sz w:val="20"/>
        </w:rPr>
        <w:t>to</w:t>
      </w:r>
      <w:r>
        <w:rPr>
          <w:spacing w:val="-5"/>
          <w:sz w:val="20"/>
        </w:rPr>
        <w:t> </w:t>
      </w:r>
      <w:r>
        <w:rPr>
          <w:sz w:val="20"/>
        </w:rPr>
        <w:t>proceed</w:t>
      </w:r>
      <w:r>
        <w:rPr>
          <w:spacing w:val="-5"/>
          <w:sz w:val="20"/>
        </w:rPr>
        <w:t> </w:t>
      </w:r>
      <w:r>
        <w:rPr>
          <w:sz w:val="20"/>
        </w:rPr>
        <w:t>with</w:t>
      </w:r>
      <w:r>
        <w:rPr>
          <w:spacing w:val="-9"/>
          <w:sz w:val="20"/>
        </w:rPr>
        <w:t> </w:t>
      </w:r>
      <w:r>
        <w:rPr>
          <w:sz w:val="20"/>
        </w:rPr>
        <w:t>an</w:t>
      </w:r>
      <w:r>
        <w:rPr>
          <w:spacing w:val="-9"/>
          <w:sz w:val="20"/>
        </w:rPr>
        <w:t> </w:t>
      </w:r>
      <w:r>
        <w:rPr>
          <w:sz w:val="20"/>
        </w:rPr>
        <w:t>investigation and notified his decision to the Government of Bolivia as the referring State.</w:t>
      </w:r>
    </w:p>
    <w:p>
      <w:pPr>
        <w:pStyle w:val="ListParagraph"/>
        <w:numPr>
          <w:ilvl w:val="0"/>
          <w:numId w:val="4"/>
        </w:numPr>
        <w:tabs>
          <w:tab w:pos="2967" w:val="left" w:leader="none"/>
        </w:tabs>
        <w:spacing w:line="240" w:lineRule="auto" w:before="119" w:after="0"/>
        <w:ind w:left="2246" w:right="2241" w:firstLine="0"/>
        <w:jc w:val="both"/>
        <w:rPr>
          <w:sz w:val="20"/>
        </w:rPr>
      </w:pPr>
      <w:r>
        <w:rPr>
          <w:sz w:val="20"/>
        </w:rPr>
        <w:t>With</w:t>
      </w:r>
      <w:r>
        <w:rPr>
          <w:spacing w:val="-9"/>
          <w:sz w:val="20"/>
        </w:rPr>
        <w:t> </w:t>
      </w:r>
      <w:r>
        <w:rPr>
          <w:sz w:val="20"/>
        </w:rPr>
        <w:t>respect</w:t>
      </w:r>
      <w:r>
        <w:rPr>
          <w:spacing w:val="-7"/>
          <w:sz w:val="20"/>
        </w:rPr>
        <w:t> </w:t>
      </w:r>
      <w:r>
        <w:rPr>
          <w:sz w:val="20"/>
        </w:rPr>
        <w:t>to</w:t>
      </w:r>
      <w:r>
        <w:rPr>
          <w:spacing w:val="-8"/>
          <w:sz w:val="20"/>
        </w:rPr>
        <w:t> </w:t>
      </w:r>
      <w:r>
        <w:rPr>
          <w:sz w:val="20"/>
        </w:rPr>
        <w:t>the</w:t>
      </w:r>
      <w:r>
        <w:rPr>
          <w:spacing w:val="-7"/>
          <w:sz w:val="20"/>
        </w:rPr>
        <w:t> </w:t>
      </w:r>
      <w:r>
        <w:rPr>
          <w:sz w:val="20"/>
        </w:rPr>
        <w:t>preliminary</w:t>
      </w:r>
      <w:r>
        <w:rPr>
          <w:spacing w:val="-13"/>
          <w:sz w:val="20"/>
        </w:rPr>
        <w:t> </w:t>
      </w:r>
      <w:r>
        <w:rPr>
          <w:sz w:val="20"/>
        </w:rPr>
        <w:t>examination</w:t>
      </w:r>
      <w:r>
        <w:rPr>
          <w:spacing w:val="-8"/>
          <w:sz w:val="20"/>
        </w:rPr>
        <w:t> </w:t>
      </w:r>
      <w:r>
        <w:rPr>
          <w:sz w:val="20"/>
        </w:rPr>
        <w:t>in</w:t>
      </w:r>
      <w:r>
        <w:rPr>
          <w:spacing w:val="-13"/>
          <w:sz w:val="20"/>
        </w:rPr>
        <w:t> </w:t>
      </w:r>
      <w:r>
        <w:rPr>
          <w:sz w:val="20"/>
        </w:rPr>
        <w:t>relation</w:t>
      </w:r>
      <w:r>
        <w:rPr>
          <w:spacing w:val="-12"/>
          <w:sz w:val="20"/>
        </w:rPr>
        <w:t> </w:t>
      </w:r>
      <w:r>
        <w:rPr>
          <w:sz w:val="20"/>
        </w:rPr>
        <w:t>to</w:t>
      </w:r>
      <w:r>
        <w:rPr>
          <w:spacing w:val="-8"/>
          <w:sz w:val="20"/>
        </w:rPr>
        <w:t> </w:t>
      </w:r>
      <w:r>
        <w:rPr>
          <w:sz w:val="20"/>
        </w:rPr>
        <w:t>the</w:t>
      </w:r>
      <w:r>
        <w:rPr>
          <w:spacing w:val="-12"/>
          <w:sz w:val="20"/>
        </w:rPr>
        <w:t> </w:t>
      </w:r>
      <w:r>
        <w:rPr>
          <w:sz w:val="20"/>
        </w:rPr>
        <w:t>situation</w:t>
      </w:r>
      <w:r>
        <w:rPr>
          <w:spacing w:val="-8"/>
          <w:sz w:val="20"/>
        </w:rPr>
        <w:t> </w:t>
      </w:r>
      <w:r>
        <w:rPr>
          <w:sz w:val="20"/>
        </w:rPr>
        <w:t>in</w:t>
      </w:r>
      <w:r>
        <w:rPr>
          <w:spacing w:val="-13"/>
          <w:sz w:val="20"/>
        </w:rPr>
        <w:t> </w:t>
      </w:r>
      <w:r>
        <w:rPr>
          <w:sz w:val="20"/>
        </w:rPr>
        <w:t>Colombia. On 28 October 2021, based on thorough legal and factual analysis of the information available,</w:t>
      </w:r>
      <w:r>
        <w:rPr>
          <w:spacing w:val="-6"/>
          <w:sz w:val="20"/>
        </w:rPr>
        <w:t> </w:t>
      </w:r>
      <w:r>
        <w:rPr>
          <w:sz w:val="20"/>
        </w:rPr>
        <w:t>the</w:t>
      </w:r>
      <w:r>
        <w:rPr>
          <w:spacing w:val="-2"/>
          <w:sz w:val="20"/>
        </w:rPr>
        <w:t> </w:t>
      </w:r>
      <w:r>
        <w:rPr>
          <w:sz w:val="20"/>
        </w:rPr>
        <w:t>Office</w:t>
      </w:r>
      <w:r>
        <w:rPr>
          <w:spacing w:val="-2"/>
          <w:sz w:val="20"/>
        </w:rPr>
        <w:t> </w:t>
      </w:r>
      <w:r>
        <w:rPr>
          <w:sz w:val="20"/>
        </w:rPr>
        <w:t>concluded</w:t>
      </w:r>
      <w:r>
        <w:rPr>
          <w:spacing w:val="-8"/>
          <w:sz w:val="20"/>
        </w:rPr>
        <w:t> </w:t>
      </w:r>
      <w:r>
        <w:rPr>
          <w:sz w:val="20"/>
        </w:rPr>
        <w:t>that</w:t>
      </w:r>
      <w:r>
        <w:rPr>
          <w:spacing w:val="-2"/>
          <w:sz w:val="20"/>
        </w:rPr>
        <w:t> </w:t>
      </w:r>
      <w:r>
        <w:rPr>
          <w:sz w:val="20"/>
        </w:rPr>
        <w:t>there was</w:t>
      </w:r>
      <w:r>
        <w:rPr>
          <w:spacing w:val="-5"/>
          <w:sz w:val="20"/>
        </w:rPr>
        <w:t> </w:t>
      </w:r>
      <w:r>
        <w:rPr>
          <w:sz w:val="20"/>
        </w:rPr>
        <w:t>not</w:t>
      </w:r>
      <w:r>
        <w:rPr>
          <w:spacing w:val="-7"/>
          <w:sz w:val="20"/>
        </w:rPr>
        <w:t> </w:t>
      </w:r>
      <w:r>
        <w:rPr>
          <w:sz w:val="20"/>
        </w:rPr>
        <w:t>a</w:t>
      </w:r>
      <w:r>
        <w:rPr>
          <w:spacing w:val="-2"/>
          <w:sz w:val="20"/>
        </w:rPr>
        <w:t> </w:t>
      </w:r>
      <w:r>
        <w:rPr>
          <w:sz w:val="20"/>
        </w:rPr>
        <w:t>reasonable</w:t>
      </w:r>
      <w:r>
        <w:rPr>
          <w:spacing w:val="-2"/>
          <w:sz w:val="20"/>
        </w:rPr>
        <w:t> </w:t>
      </w:r>
      <w:r>
        <w:rPr>
          <w:sz w:val="20"/>
        </w:rPr>
        <w:t>basis</w:t>
      </w:r>
      <w:r>
        <w:rPr>
          <w:spacing w:val="-5"/>
          <w:sz w:val="20"/>
        </w:rPr>
        <w:t> </w:t>
      </w:r>
      <w:r>
        <w:rPr>
          <w:sz w:val="20"/>
        </w:rPr>
        <w:t>to</w:t>
      </w:r>
      <w:r>
        <w:rPr>
          <w:spacing w:val="-4"/>
          <w:sz w:val="20"/>
        </w:rPr>
        <w:t> </w:t>
      </w:r>
      <w:r>
        <w:rPr>
          <w:sz w:val="20"/>
        </w:rPr>
        <w:t>believe</w:t>
      </w:r>
      <w:r>
        <w:rPr>
          <w:spacing w:val="-7"/>
          <w:sz w:val="20"/>
        </w:rPr>
        <w:t> </w:t>
      </w:r>
      <w:r>
        <w:rPr>
          <w:sz w:val="20"/>
        </w:rPr>
        <w:t>that</w:t>
      </w:r>
      <w:r>
        <w:rPr>
          <w:spacing w:val="-2"/>
          <w:sz w:val="20"/>
        </w:rPr>
        <w:t> </w:t>
      </w:r>
      <w:r>
        <w:rPr>
          <w:sz w:val="20"/>
        </w:rPr>
        <w:t>potential cases arising from an investigation of the situation would be admissible. This was because, based on an assessment of the facts as they presently exist, the national authorities of Colombia</w:t>
      </w:r>
      <w:r>
        <w:rPr>
          <w:spacing w:val="-3"/>
          <w:sz w:val="20"/>
        </w:rPr>
        <w:t> </w:t>
      </w:r>
      <w:r>
        <w:rPr>
          <w:sz w:val="20"/>
        </w:rPr>
        <w:t>could</w:t>
      </w:r>
      <w:r>
        <w:rPr>
          <w:spacing w:val="-5"/>
          <w:sz w:val="20"/>
        </w:rPr>
        <w:t> </w:t>
      </w:r>
      <w:r>
        <w:rPr>
          <w:sz w:val="20"/>
        </w:rPr>
        <w:t>not be characterised</w:t>
      </w:r>
      <w:r>
        <w:rPr>
          <w:spacing w:val="-5"/>
          <w:sz w:val="20"/>
        </w:rPr>
        <w:t> </w:t>
      </w:r>
      <w:r>
        <w:rPr>
          <w:sz w:val="20"/>
        </w:rPr>
        <w:t>as</w:t>
      </w:r>
      <w:r>
        <w:rPr>
          <w:spacing w:val="-1"/>
          <w:sz w:val="20"/>
        </w:rPr>
        <w:t> </w:t>
      </w:r>
      <w:r>
        <w:rPr>
          <w:sz w:val="20"/>
        </w:rPr>
        <w:t>being inactive, nor</w:t>
      </w:r>
      <w:r>
        <w:rPr>
          <w:spacing w:val="-5"/>
          <w:sz w:val="20"/>
        </w:rPr>
        <w:t> </w:t>
      </w:r>
      <w:r>
        <w:rPr>
          <w:sz w:val="20"/>
        </w:rPr>
        <w:t>unwilling</w:t>
      </w:r>
      <w:r>
        <w:rPr>
          <w:spacing w:val="-5"/>
          <w:sz w:val="20"/>
        </w:rPr>
        <w:t> </w:t>
      </w:r>
      <w:r>
        <w:rPr>
          <w:sz w:val="20"/>
        </w:rPr>
        <w:t>or unable</w:t>
      </w:r>
      <w:r>
        <w:rPr>
          <w:spacing w:val="-3"/>
          <w:sz w:val="20"/>
        </w:rPr>
        <w:t> </w:t>
      </w:r>
      <w:r>
        <w:rPr>
          <w:sz w:val="20"/>
        </w:rPr>
        <w:t>to genuinely investigate</w:t>
      </w:r>
      <w:r>
        <w:rPr>
          <w:spacing w:val="-13"/>
          <w:sz w:val="20"/>
        </w:rPr>
        <w:t> </w:t>
      </w:r>
      <w:r>
        <w:rPr>
          <w:sz w:val="20"/>
        </w:rPr>
        <w:t>and</w:t>
      </w:r>
      <w:r>
        <w:rPr>
          <w:spacing w:val="-10"/>
          <w:sz w:val="20"/>
        </w:rPr>
        <w:t> </w:t>
      </w:r>
      <w:r>
        <w:rPr>
          <w:sz w:val="20"/>
        </w:rPr>
        <w:t>prosecute</w:t>
      </w:r>
      <w:r>
        <w:rPr>
          <w:spacing w:val="-13"/>
          <w:sz w:val="20"/>
        </w:rPr>
        <w:t> </w:t>
      </w:r>
      <w:r>
        <w:rPr>
          <w:sz w:val="20"/>
        </w:rPr>
        <w:t>relevant</w:t>
      </w:r>
      <w:r>
        <w:rPr>
          <w:spacing w:val="-9"/>
          <w:sz w:val="20"/>
        </w:rPr>
        <w:t> </w:t>
      </w:r>
      <w:r>
        <w:rPr>
          <w:sz w:val="20"/>
        </w:rPr>
        <w:t>Rome</w:t>
      </w:r>
      <w:r>
        <w:rPr>
          <w:spacing w:val="-13"/>
          <w:sz w:val="20"/>
        </w:rPr>
        <w:t> </w:t>
      </w:r>
      <w:r>
        <w:rPr>
          <w:sz w:val="20"/>
        </w:rPr>
        <w:t>Statute</w:t>
      </w:r>
      <w:r>
        <w:rPr>
          <w:spacing w:val="-12"/>
          <w:sz w:val="20"/>
        </w:rPr>
        <w:t> </w:t>
      </w:r>
      <w:r>
        <w:rPr>
          <w:sz w:val="20"/>
        </w:rPr>
        <w:t>crimes.</w:t>
      </w:r>
      <w:r>
        <w:rPr>
          <w:spacing w:val="-9"/>
          <w:sz w:val="20"/>
        </w:rPr>
        <w:t> </w:t>
      </w:r>
      <w:r>
        <w:rPr>
          <w:sz w:val="20"/>
        </w:rPr>
        <w:t>Accordingly,</w:t>
      </w:r>
      <w:r>
        <w:rPr>
          <w:spacing w:val="-13"/>
          <w:sz w:val="20"/>
        </w:rPr>
        <w:t> </w:t>
      </w:r>
      <w:r>
        <w:rPr>
          <w:sz w:val="20"/>
        </w:rPr>
        <w:t>the</w:t>
      </w:r>
      <w:r>
        <w:rPr>
          <w:spacing w:val="-9"/>
          <w:sz w:val="20"/>
        </w:rPr>
        <w:t> </w:t>
      </w:r>
      <w:r>
        <w:rPr>
          <w:sz w:val="20"/>
        </w:rPr>
        <w:t>Prosecutor</w:t>
      </w:r>
      <w:r>
        <w:rPr>
          <w:spacing w:val="-11"/>
          <w:sz w:val="20"/>
        </w:rPr>
        <w:t> </w:t>
      </w:r>
      <w:r>
        <w:rPr>
          <w:sz w:val="20"/>
        </w:rPr>
        <w:t>decided to close the preliminary examination, subject to possible reconsideration upon a significant change of circumstances.</w:t>
      </w:r>
    </w:p>
    <w:p>
      <w:pPr>
        <w:pStyle w:val="ListParagraph"/>
        <w:numPr>
          <w:ilvl w:val="0"/>
          <w:numId w:val="4"/>
        </w:numPr>
        <w:tabs>
          <w:tab w:pos="2967" w:val="left" w:leader="none"/>
        </w:tabs>
        <w:spacing w:line="240" w:lineRule="auto" w:before="120" w:after="0"/>
        <w:ind w:left="2246" w:right="2245" w:firstLine="0"/>
        <w:jc w:val="both"/>
        <w:rPr>
          <w:sz w:val="20"/>
        </w:rPr>
      </w:pPr>
      <w:r>
        <w:rPr>
          <w:sz w:val="20"/>
        </w:rPr>
        <w:t>In closing this preliminary examination in Colombia, the Office concluded a Cooperation Agreement with the Government of Colombia, establishing a reinforced framework</w:t>
      </w:r>
      <w:r>
        <w:rPr>
          <w:spacing w:val="-13"/>
          <w:sz w:val="20"/>
        </w:rPr>
        <w:t> </w:t>
      </w:r>
      <w:r>
        <w:rPr>
          <w:sz w:val="20"/>
        </w:rPr>
        <w:t>for</w:t>
      </w:r>
      <w:r>
        <w:rPr>
          <w:spacing w:val="-12"/>
          <w:sz w:val="20"/>
        </w:rPr>
        <w:t> </w:t>
      </w:r>
      <w:r>
        <w:rPr>
          <w:sz w:val="20"/>
        </w:rPr>
        <w:t>engagement</w:t>
      </w:r>
      <w:r>
        <w:rPr>
          <w:spacing w:val="-13"/>
          <w:sz w:val="20"/>
        </w:rPr>
        <w:t> </w:t>
      </w:r>
      <w:r>
        <w:rPr>
          <w:sz w:val="20"/>
        </w:rPr>
        <w:t>and</w:t>
      </w:r>
      <w:r>
        <w:rPr>
          <w:spacing w:val="-9"/>
          <w:sz w:val="20"/>
        </w:rPr>
        <w:t> </w:t>
      </w:r>
      <w:r>
        <w:rPr>
          <w:sz w:val="20"/>
        </w:rPr>
        <w:t>defining</w:t>
      </w:r>
      <w:r>
        <w:rPr>
          <w:spacing w:val="-13"/>
          <w:sz w:val="20"/>
        </w:rPr>
        <w:t> </w:t>
      </w:r>
      <w:r>
        <w:rPr>
          <w:sz w:val="20"/>
        </w:rPr>
        <w:t>the</w:t>
      </w:r>
      <w:r>
        <w:rPr>
          <w:spacing w:val="-11"/>
          <w:sz w:val="20"/>
        </w:rPr>
        <w:t> </w:t>
      </w:r>
      <w:r>
        <w:rPr>
          <w:sz w:val="20"/>
        </w:rPr>
        <w:t>mutual</w:t>
      </w:r>
      <w:r>
        <w:rPr>
          <w:spacing w:val="-7"/>
          <w:sz w:val="20"/>
        </w:rPr>
        <w:t> </w:t>
      </w:r>
      <w:r>
        <w:rPr>
          <w:sz w:val="20"/>
        </w:rPr>
        <w:t>roles</w:t>
      </w:r>
      <w:r>
        <w:rPr>
          <w:spacing w:val="-13"/>
          <w:sz w:val="20"/>
        </w:rPr>
        <w:t> </w:t>
      </w:r>
      <w:r>
        <w:rPr>
          <w:sz w:val="20"/>
        </w:rPr>
        <w:t>the</w:t>
      </w:r>
      <w:r>
        <w:rPr>
          <w:spacing w:val="-12"/>
          <w:sz w:val="20"/>
        </w:rPr>
        <w:t> </w:t>
      </w:r>
      <w:r>
        <w:rPr>
          <w:sz w:val="20"/>
        </w:rPr>
        <w:t>Office</w:t>
      </w:r>
      <w:r>
        <w:rPr>
          <w:spacing w:val="-7"/>
          <w:sz w:val="20"/>
        </w:rPr>
        <w:t> </w:t>
      </w:r>
      <w:r>
        <w:rPr>
          <w:sz w:val="20"/>
        </w:rPr>
        <w:t>and</w:t>
      </w:r>
      <w:r>
        <w:rPr>
          <w:spacing w:val="-8"/>
          <w:sz w:val="20"/>
        </w:rPr>
        <w:t> </w:t>
      </w:r>
      <w:r>
        <w:rPr>
          <w:sz w:val="20"/>
        </w:rPr>
        <w:t>the</w:t>
      </w:r>
      <w:r>
        <w:rPr>
          <w:spacing w:val="-7"/>
          <w:sz w:val="20"/>
        </w:rPr>
        <w:t> </w:t>
      </w:r>
      <w:r>
        <w:rPr>
          <w:sz w:val="20"/>
        </w:rPr>
        <w:t>Government</w:t>
      </w:r>
      <w:r>
        <w:rPr>
          <w:spacing w:val="-7"/>
          <w:sz w:val="20"/>
        </w:rPr>
        <w:t> </w:t>
      </w:r>
      <w:r>
        <w:rPr>
          <w:sz w:val="20"/>
        </w:rPr>
        <w:t>will undertake to</w:t>
      </w:r>
      <w:r>
        <w:rPr>
          <w:spacing w:val="-4"/>
          <w:sz w:val="20"/>
        </w:rPr>
        <w:t> </w:t>
      </w:r>
      <w:r>
        <w:rPr>
          <w:sz w:val="20"/>
        </w:rPr>
        <w:t>ensure that</w:t>
      </w:r>
      <w:r>
        <w:rPr>
          <w:spacing w:val="-2"/>
          <w:sz w:val="20"/>
        </w:rPr>
        <w:t> </w:t>
      </w:r>
      <w:r>
        <w:rPr>
          <w:sz w:val="20"/>
        </w:rPr>
        <w:t>progress achieved</w:t>
      </w:r>
      <w:r>
        <w:rPr>
          <w:spacing w:val="-4"/>
          <w:sz w:val="20"/>
        </w:rPr>
        <w:t> </w:t>
      </w:r>
      <w:r>
        <w:rPr>
          <w:sz w:val="20"/>
        </w:rPr>
        <w:t>by domestic prosecutorial</w:t>
      </w:r>
      <w:r>
        <w:rPr>
          <w:spacing w:val="-2"/>
          <w:sz w:val="20"/>
        </w:rPr>
        <w:t> </w:t>
      </w:r>
      <w:r>
        <w:rPr>
          <w:sz w:val="20"/>
        </w:rPr>
        <w:t>and</w:t>
      </w:r>
      <w:r>
        <w:rPr>
          <w:spacing w:val="-4"/>
          <w:sz w:val="20"/>
        </w:rPr>
        <w:t> </w:t>
      </w:r>
      <w:r>
        <w:rPr>
          <w:sz w:val="20"/>
        </w:rPr>
        <w:t>judicial</w:t>
      </w:r>
      <w:r>
        <w:rPr>
          <w:spacing w:val="-2"/>
          <w:sz w:val="20"/>
        </w:rPr>
        <w:t> </w:t>
      </w:r>
      <w:r>
        <w:rPr>
          <w:sz w:val="20"/>
        </w:rPr>
        <w:t>entities</w:t>
      </w:r>
      <w:r>
        <w:rPr>
          <w:spacing w:val="-5"/>
          <w:sz w:val="20"/>
        </w:rPr>
        <w:t> </w:t>
      </w:r>
      <w:r>
        <w:rPr>
          <w:sz w:val="20"/>
        </w:rPr>
        <w:t>in Colombia is sustained and strengthened.</w:t>
      </w:r>
    </w:p>
    <w:p>
      <w:pPr>
        <w:pStyle w:val="ListParagraph"/>
        <w:numPr>
          <w:ilvl w:val="0"/>
          <w:numId w:val="4"/>
        </w:numPr>
        <w:tabs>
          <w:tab w:pos="2967" w:val="left" w:leader="none"/>
        </w:tabs>
        <w:spacing w:line="240" w:lineRule="auto" w:before="122" w:after="0"/>
        <w:ind w:left="2246" w:right="2240" w:firstLine="0"/>
        <w:jc w:val="both"/>
        <w:rPr>
          <w:sz w:val="20"/>
        </w:rPr>
      </w:pPr>
      <w:r>
        <w:rPr>
          <w:sz w:val="20"/>
        </w:rPr>
        <w:t>The OTP has continued to make efforts to optimize its internal processes and enhance synergies between preliminary examinations and investigations, including by improving</w:t>
      </w:r>
      <w:r>
        <w:rPr>
          <w:spacing w:val="-4"/>
          <w:sz w:val="20"/>
        </w:rPr>
        <w:t> </w:t>
      </w:r>
      <w:r>
        <w:rPr>
          <w:sz w:val="20"/>
        </w:rPr>
        <w:t>integration</w:t>
      </w:r>
      <w:r>
        <w:rPr>
          <w:spacing w:val="-4"/>
          <w:sz w:val="20"/>
        </w:rPr>
        <w:t> </w:t>
      </w:r>
      <w:r>
        <w:rPr>
          <w:sz w:val="20"/>
        </w:rPr>
        <w:t>across</w:t>
      </w:r>
      <w:r>
        <w:rPr>
          <w:spacing w:val="-5"/>
          <w:sz w:val="20"/>
        </w:rPr>
        <w:t> </w:t>
      </w:r>
      <w:r>
        <w:rPr>
          <w:sz w:val="20"/>
        </w:rPr>
        <w:t>the</w:t>
      </w:r>
      <w:r>
        <w:rPr>
          <w:spacing w:val="-2"/>
          <w:sz w:val="20"/>
        </w:rPr>
        <w:t> </w:t>
      </w:r>
      <w:r>
        <w:rPr>
          <w:sz w:val="20"/>
        </w:rPr>
        <w:t>Office’s pillars</w:t>
      </w:r>
      <w:r>
        <w:rPr>
          <w:spacing w:val="-5"/>
          <w:sz w:val="20"/>
        </w:rPr>
        <w:t> </w:t>
      </w:r>
      <w:r>
        <w:rPr>
          <w:sz w:val="20"/>
        </w:rPr>
        <w:t>to</w:t>
      </w:r>
      <w:r>
        <w:rPr>
          <w:spacing w:val="-4"/>
          <w:sz w:val="20"/>
        </w:rPr>
        <w:t> </w:t>
      </w:r>
      <w:r>
        <w:rPr>
          <w:sz w:val="20"/>
        </w:rPr>
        <w:t>ensure greater</w:t>
      </w:r>
      <w:r>
        <w:rPr>
          <w:spacing w:val="-4"/>
          <w:sz w:val="20"/>
        </w:rPr>
        <w:t> </w:t>
      </w:r>
      <w:r>
        <w:rPr>
          <w:sz w:val="20"/>
        </w:rPr>
        <w:t>continuity</w:t>
      </w:r>
      <w:r>
        <w:rPr>
          <w:spacing w:val="-4"/>
          <w:sz w:val="20"/>
        </w:rPr>
        <w:t> </w:t>
      </w:r>
      <w:r>
        <w:rPr>
          <w:sz w:val="20"/>
        </w:rPr>
        <w:t>and</w:t>
      </w:r>
      <w:r>
        <w:rPr>
          <w:spacing w:val="-4"/>
          <w:sz w:val="20"/>
        </w:rPr>
        <w:t> </w:t>
      </w:r>
      <w:r>
        <w:rPr>
          <w:sz w:val="20"/>
        </w:rPr>
        <w:t>a smoother transition from</w:t>
      </w:r>
      <w:r>
        <w:rPr>
          <w:spacing w:val="-3"/>
          <w:sz w:val="20"/>
        </w:rPr>
        <w:t> </w:t>
      </w:r>
      <w:r>
        <w:rPr>
          <w:sz w:val="20"/>
        </w:rPr>
        <w:t>the preliminary examination phase to the investigation phase, should</w:t>
      </w:r>
      <w:r>
        <w:rPr>
          <w:spacing w:val="-4"/>
          <w:sz w:val="20"/>
        </w:rPr>
        <w:t> </w:t>
      </w:r>
      <w:r>
        <w:rPr>
          <w:sz w:val="20"/>
        </w:rPr>
        <w:t>that be </w:t>
      </w:r>
      <w:r>
        <w:rPr>
          <w:spacing w:val="-2"/>
          <w:sz w:val="20"/>
        </w:rPr>
        <w:t>warranted.</w:t>
      </w:r>
    </w:p>
    <w:p>
      <w:pPr>
        <w:pStyle w:val="BodyText"/>
        <w:spacing w:before="7"/>
      </w:pPr>
    </w:p>
    <w:p>
      <w:pPr>
        <w:pStyle w:val="Heading3"/>
      </w:pPr>
      <w:r>
        <w:rPr/>
        <w:t>Situations</w:t>
      </w:r>
      <w:r>
        <w:rPr>
          <w:spacing w:val="-4"/>
        </w:rPr>
        <w:t> </w:t>
      </w:r>
      <w:r>
        <w:rPr/>
        <w:t>under</w:t>
      </w:r>
      <w:r>
        <w:rPr>
          <w:spacing w:val="-5"/>
        </w:rPr>
        <w:t> </w:t>
      </w:r>
      <w:r>
        <w:rPr/>
        <w:t>investigation,</w:t>
      </w:r>
      <w:r>
        <w:rPr>
          <w:spacing w:val="-5"/>
        </w:rPr>
        <w:t> </w:t>
      </w:r>
      <w:r>
        <w:rPr/>
        <w:t>and</w:t>
      </w:r>
      <w:r>
        <w:rPr>
          <w:spacing w:val="-8"/>
        </w:rPr>
        <w:t> </w:t>
      </w:r>
      <w:r>
        <w:rPr/>
        <w:t>cases</w:t>
      </w:r>
      <w:r>
        <w:rPr>
          <w:spacing w:val="-8"/>
        </w:rPr>
        <w:t> </w:t>
      </w:r>
      <w:r>
        <w:rPr/>
        <w:t>before</w:t>
      </w:r>
      <w:r>
        <w:rPr>
          <w:spacing w:val="-5"/>
        </w:rPr>
        <w:t> </w:t>
      </w:r>
      <w:r>
        <w:rPr/>
        <w:t>the</w:t>
      </w:r>
      <w:r>
        <w:rPr>
          <w:spacing w:val="-5"/>
        </w:rPr>
        <w:t> </w:t>
      </w:r>
      <w:r>
        <w:rPr>
          <w:spacing w:val="-4"/>
        </w:rPr>
        <w:t>Court</w:t>
      </w:r>
    </w:p>
    <w:p>
      <w:pPr>
        <w:pStyle w:val="BodyText"/>
        <w:spacing w:before="11"/>
        <w:rPr>
          <w:b/>
        </w:rPr>
      </w:pPr>
    </w:p>
    <w:p>
      <w:pPr>
        <w:pStyle w:val="ListParagraph"/>
        <w:numPr>
          <w:ilvl w:val="0"/>
          <w:numId w:val="4"/>
        </w:numPr>
        <w:tabs>
          <w:tab w:pos="2967" w:val="left" w:leader="none"/>
        </w:tabs>
        <w:spacing w:line="240" w:lineRule="auto" w:before="0" w:after="0"/>
        <w:ind w:left="2246" w:right="2244" w:firstLine="0"/>
        <w:jc w:val="both"/>
        <w:rPr>
          <w:sz w:val="20"/>
        </w:rPr>
      </w:pPr>
      <w:r>
        <w:rPr>
          <w:sz w:val="20"/>
        </w:rPr>
        <w:t>The</w:t>
      </w:r>
      <w:r>
        <w:rPr>
          <w:spacing w:val="-13"/>
          <w:sz w:val="20"/>
        </w:rPr>
        <w:t> </w:t>
      </w:r>
      <w:r>
        <w:rPr>
          <w:sz w:val="20"/>
        </w:rPr>
        <w:t>proposed</w:t>
      </w:r>
      <w:r>
        <w:rPr>
          <w:spacing w:val="-12"/>
          <w:sz w:val="20"/>
        </w:rPr>
        <w:t> </w:t>
      </w:r>
      <w:r>
        <w:rPr>
          <w:sz w:val="20"/>
        </w:rPr>
        <w:t>budget</w:t>
      </w:r>
      <w:r>
        <w:rPr>
          <w:spacing w:val="-13"/>
          <w:sz w:val="20"/>
        </w:rPr>
        <w:t> </w:t>
      </w:r>
      <w:r>
        <w:rPr>
          <w:sz w:val="20"/>
        </w:rPr>
        <w:t>for</w:t>
      </w:r>
      <w:r>
        <w:rPr>
          <w:spacing w:val="-12"/>
          <w:sz w:val="20"/>
        </w:rPr>
        <w:t> </w:t>
      </w:r>
      <w:r>
        <w:rPr>
          <w:sz w:val="20"/>
        </w:rPr>
        <w:t>2023</w:t>
      </w:r>
      <w:r>
        <w:rPr>
          <w:spacing w:val="-13"/>
          <w:sz w:val="20"/>
        </w:rPr>
        <w:t> </w:t>
      </w:r>
      <w:r>
        <w:rPr>
          <w:sz w:val="20"/>
        </w:rPr>
        <w:t>provides</w:t>
      </w:r>
      <w:r>
        <w:rPr>
          <w:spacing w:val="-12"/>
          <w:sz w:val="20"/>
        </w:rPr>
        <w:t> </w:t>
      </w:r>
      <w:r>
        <w:rPr>
          <w:sz w:val="20"/>
        </w:rPr>
        <w:t>for</w:t>
      </w:r>
      <w:r>
        <w:rPr>
          <w:spacing w:val="-13"/>
          <w:sz w:val="20"/>
        </w:rPr>
        <w:t> </w:t>
      </w:r>
      <w:r>
        <w:rPr>
          <w:sz w:val="20"/>
        </w:rPr>
        <w:t>the</w:t>
      </w:r>
      <w:r>
        <w:rPr>
          <w:spacing w:val="-12"/>
          <w:sz w:val="20"/>
        </w:rPr>
        <w:t> </w:t>
      </w:r>
      <w:r>
        <w:rPr>
          <w:sz w:val="20"/>
        </w:rPr>
        <w:t>resources</w:t>
      </w:r>
      <w:r>
        <w:rPr>
          <w:spacing w:val="-13"/>
          <w:sz w:val="20"/>
        </w:rPr>
        <w:t> </w:t>
      </w:r>
      <w:r>
        <w:rPr>
          <w:sz w:val="20"/>
        </w:rPr>
        <w:t>needed</w:t>
      </w:r>
      <w:r>
        <w:rPr>
          <w:spacing w:val="-12"/>
          <w:sz w:val="20"/>
        </w:rPr>
        <w:t> </w:t>
      </w:r>
      <w:r>
        <w:rPr>
          <w:sz w:val="20"/>
        </w:rPr>
        <w:t>to</w:t>
      </w:r>
      <w:r>
        <w:rPr>
          <w:spacing w:val="-13"/>
          <w:sz w:val="20"/>
        </w:rPr>
        <w:t> </w:t>
      </w:r>
      <w:r>
        <w:rPr>
          <w:sz w:val="20"/>
        </w:rPr>
        <w:t>conduct</w:t>
      </w:r>
      <w:r>
        <w:rPr>
          <w:spacing w:val="-12"/>
          <w:sz w:val="20"/>
        </w:rPr>
        <w:t> </w:t>
      </w:r>
      <w:r>
        <w:rPr>
          <w:sz w:val="20"/>
        </w:rPr>
        <w:t>essential investigative, prosecutorial and appellate activities. In line with the Office’s strategy, cases pending</w:t>
      </w:r>
      <w:r>
        <w:rPr>
          <w:spacing w:val="-5"/>
          <w:sz w:val="20"/>
        </w:rPr>
        <w:t> </w:t>
      </w:r>
      <w:r>
        <w:rPr>
          <w:sz w:val="20"/>
        </w:rPr>
        <w:t>trial</w:t>
      </w:r>
      <w:r>
        <w:rPr>
          <w:spacing w:val="-3"/>
          <w:sz w:val="20"/>
        </w:rPr>
        <w:t> </w:t>
      </w:r>
      <w:r>
        <w:rPr>
          <w:sz w:val="20"/>
        </w:rPr>
        <w:t>or</w:t>
      </w:r>
      <w:r>
        <w:rPr>
          <w:spacing w:val="-5"/>
          <w:sz w:val="20"/>
        </w:rPr>
        <w:t> </w:t>
      </w:r>
      <w:r>
        <w:rPr>
          <w:sz w:val="20"/>
        </w:rPr>
        <w:t>in</w:t>
      </w:r>
      <w:r>
        <w:rPr>
          <w:spacing w:val="-5"/>
          <w:sz w:val="20"/>
        </w:rPr>
        <w:t> </w:t>
      </w:r>
      <w:r>
        <w:rPr>
          <w:sz w:val="20"/>
        </w:rPr>
        <w:t>the</w:t>
      </w:r>
      <w:r>
        <w:rPr>
          <w:spacing w:val="-3"/>
          <w:sz w:val="20"/>
        </w:rPr>
        <w:t> </w:t>
      </w:r>
      <w:r>
        <w:rPr>
          <w:sz w:val="20"/>
        </w:rPr>
        <w:t>trial</w:t>
      </w:r>
      <w:r>
        <w:rPr>
          <w:spacing w:val="-3"/>
          <w:sz w:val="20"/>
        </w:rPr>
        <w:t> </w:t>
      </w:r>
      <w:r>
        <w:rPr>
          <w:sz w:val="20"/>
        </w:rPr>
        <w:t>phase</w:t>
      </w:r>
      <w:r>
        <w:rPr>
          <w:spacing w:val="-3"/>
          <w:sz w:val="20"/>
        </w:rPr>
        <w:t> </w:t>
      </w:r>
      <w:r>
        <w:rPr>
          <w:sz w:val="20"/>
        </w:rPr>
        <w:t>remain</w:t>
      </w:r>
      <w:r>
        <w:rPr>
          <w:spacing w:val="-5"/>
          <w:sz w:val="20"/>
        </w:rPr>
        <w:t> </w:t>
      </w:r>
      <w:r>
        <w:rPr>
          <w:sz w:val="20"/>
        </w:rPr>
        <w:t>a</w:t>
      </w:r>
      <w:r>
        <w:rPr>
          <w:spacing w:val="-3"/>
          <w:sz w:val="20"/>
        </w:rPr>
        <w:t> </w:t>
      </w:r>
      <w:r>
        <w:rPr>
          <w:sz w:val="20"/>
        </w:rPr>
        <w:t>high</w:t>
      </w:r>
      <w:r>
        <w:rPr>
          <w:spacing w:val="-5"/>
          <w:sz w:val="20"/>
        </w:rPr>
        <w:t> </w:t>
      </w:r>
      <w:r>
        <w:rPr>
          <w:sz w:val="20"/>
        </w:rPr>
        <w:t>priority. At</w:t>
      </w:r>
      <w:r>
        <w:rPr>
          <w:spacing w:val="-3"/>
          <w:sz w:val="20"/>
        </w:rPr>
        <w:t> </w:t>
      </w:r>
      <w:r>
        <w:rPr>
          <w:sz w:val="20"/>
        </w:rPr>
        <w:t>the same</w:t>
      </w:r>
      <w:r>
        <w:rPr>
          <w:spacing w:val="-3"/>
          <w:sz w:val="20"/>
        </w:rPr>
        <w:t> </w:t>
      </w:r>
      <w:r>
        <w:rPr>
          <w:sz w:val="20"/>
        </w:rPr>
        <w:t>time,</w:t>
      </w:r>
      <w:r>
        <w:rPr>
          <w:spacing w:val="-2"/>
          <w:sz w:val="20"/>
        </w:rPr>
        <w:t> </w:t>
      </w:r>
      <w:r>
        <w:rPr>
          <w:sz w:val="20"/>
        </w:rPr>
        <w:t>investigations</w:t>
      </w:r>
      <w:r>
        <w:rPr>
          <w:spacing w:val="-6"/>
          <w:sz w:val="20"/>
        </w:rPr>
        <w:t> </w:t>
      </w:r>
      <w:r>
        <w:rPr>
          <w:sz w:val="20"/>
        </w:rPr>
        <w:t>are often the most resource-intensive activity conducted by the Office. As reflected in the proposed</w:t>
      </w:r>
      <w:r>
        <w:rPr>
          <w:spacing w:val="-13"/>
          <w:sz w:val="20"/>
        </w:rPr>
        <w:t> </w:t>
      </w:r>
      <w:r>
        <w:rPr>
          <w:sz w:val="20"/>
        </w:rPr>
        <w:t>budget,</w:t>
      </w:r>
      <w:r>
        <w:rPr>
          <w:spacing w:val="-12"/>
          <w:sz w:val="20"/>
        </w:rPr>
        <w:t> </w:t>
      </w:r>
      <w:r>
        <w:rPr>
          <w:sz w:val="20"/>
        </w:rPr>
        <w:t>particular</w:t>
      </w:r>
      <w:r>
        <w:rPr>
          <w:spacing w:val="-13"/>
          <w:sz w:val="20"/>
        </w:rPr>
        <w:t> </w:t>
      </w:r>
      <w:r>
        <w:rPr>
          <w:sz w:val="20"/>
        </w:rPr>
        <w:t>focus,</w:t>
      </w:r>
      <w:r>
        <w:rPr>
          <w:spacing w:val="-12"/>
          <w:sz w:val="20"/>
        </w:rPr>
        <w:t> </w:t>
      </w:r>
      <w:r>
        <w:rPr>
          <w:sz w:val="20"/>
        </w:rPr>
        <w:t>and</w:t>
      </w:r>
      <w:r>
        <w:rPr>
          <w:spacing w:val="-13"/>
          <w:sz w:val="20"/>
        </w:rPr>
        <w:t> </w:t>
      </w:r>
      <w:r>
        <w:rPr>
          <w:sz w:val="20"/>
        </w:rPr>
        <w:t>consequent</w:t>
      </w:r>
      <w:r>
        <w:rPr>
          <w:spacing w:val="-12"/>
          <w:sz w:val="20"/>
        </w:rPr>
        <w:t> </w:t>
      </w:r>
      <w:r>
        <w:rPr>
          <w:sz w:val="20"/>
        </w:rPr>
        <w:t>allocation</w:t>
      </w:r>
      <w:r>
        <w:rPr>
          <w:spacing w:val="-13"/>
          <w:sz w:val="20"/>
        </w:rPr>
        <w:t> </w:t>
      </w:r>
      <w:r>
        <w:rPr>
          <w:sz w:val="20"/>
        </w:rPr>
        <w:t>of</w:t>
      </w:r>
      <w:r>
        <w:rPr>
          <w:spacing w:val="-12"/>
          <w:sz w:val="20"/>
        </w:rPr>
        <w:t> </w:t>
      </w:r>
      <w:r>
        <w:rPr>
          <w:sz w:val="20"/>
        </w:rPr>
        <w:t>resources,</w:t>
      </w:r>
      <w:r>
        <w:rPr>
          <w:spacing w:val="-13"/>
          <w:sz w:val="20"/>
        </w:rPr>
        <w:t> </w:t>
      </w:r>
      <w:r>
        <w:rPr>
          <w:sz w:val="20"/>
        </w:rPr>
        <w:t>is</w:t>
      </w:r>
      <w:r>
        <w:rPr>
          <w:spacing w:val="-12"/>
          <w:sz w:val="20"/>
        </w:rPr>
        <w:t> </w:t>
      </w:r>
      <w:r>
        <w:rPr>
          <w:sz w:val="20"/>
        </w:rPr>
        <w:t>needed</w:t>
      </w:r>
      <w:r>
        <w:rPr>
          <w:spacing w:val="-13"/>
          <w:sz w:val="20"/>
        </w:rPr>
        <w:t> </w:t>
      </w:r>
      <w:r>
        <w:rPr>
          <w:sz w:val="20"/>
        </w:rPr>
        <w:t>to</w:t>
      </w:r>
      <w:r>
        <w:rPr>
          <w:spacing w:val="-12"/>
          <w:sz w:val="20"/>
        </w:rPr>
        <w:t> </w:t>
      </w:r>
      <w:r>
        <w:rPr>
          <w:sz w:val="20"/>
        </w:rPr>
        <w:t>ensure that the OTP is able to seize critical investigative opportunities in line with its priorities.</w:t>
      </w:r>
    </w:p>
    <w:p>
      <w:pPr>
        <w:pStyle w:val="ListParagraph"/>
        <w:numPr>
          <w:ilvl w:val="0"/>
          <w:numId w:val="4"/>
        </w:numPr>
        <w:tabs>
          <w:tab w:pos="2967" w:val="left" w:leader="none"/>
        </w:tabs>
        <w:spacing w:line="240" w:lineRule="auto" w:before="123" w:after="0"/>
        <w:ind w:left="2246" w:right="2242" w:firstLine="0"/>
        <w:jc w:val="both"/>
        <w:rPr>
          <w:sz w:val="20"/>
        </w:rPr>
      </w:pPr>
      <w:r>
        <w:rPr>
          <w:sz w:val="20"/>
        </w:rPr>
        <w:t>Based</w:t>
      </w:r>
      <w:r>
        <w:rPr>
          <w:spacing w:val="-5"/>
          <w:sz w:val="20"/>
        </w:rPr>
        <w:t> </w:t>
      </w:r>
      <w:r>
        <w:rPr>
          <w:sz w:val="20"/>
        </w:rPr>
        <w:t>on</w:t>
      </w:r>
      <w:r>
        <w:rPr>
          <w:spacing w:val="-9"/>
          <w:sz w:val="20"/>
        </w:rPr>
        <w:t> </w:t>
      </w:r>
      <w:r>
        <w:rPr>
          <w:sz w:val="20"/>
        </w:rPr>
        <w:t>the</w:t>
      </w:r>
      <w:r>
        <w:rPr>
          <w:spacing w:val="-8"/>
          <w:sz w:val="20"/>
        </w:rPr>
        <w:t> </w:t>
      </w:r>
      <w:r>
        <w:rPr>
          <w:sz w:val="20"/>
        </w:rPr>
        <w:t>current</w:t>
      </w:r>
      <w:r>
        <w:rPr>
          <w:spacing w:val="-3"/>
          <w:sz w:val="20"/>
        </w:rPr>
        <w:t> </w:t>
      </w:r>
      <w:r>
        <w:rPr>
          <w:sz w:val="20"/>
        </w:rPr>
        <w:t>activities</w:t>
      </w:r>
      <w:r>
        <w:rPr>
          <w:spacing w:val="-6"/>
          <w:sz w:val="20"/>
        </w:rPr>
        <w:t> </w:t>
      </w:r>
      <w:r>
        <w:rPr>
          <w:sz w:val="20"/>
        </w:rPr>
        <w:t>in</w:t>
      </w:r>
      <w:r>
        <w:rPr>
          <w:spacing w:val="-5"/>
          <w:sz w:val="20"/>
        </w:rPr>
        <w:t> </w:t>
      </w:r>
      <w:r>
        <w:rPr>
          <w:sz w:val="20"/>
        </w:rPr>
        <w:t>2022,</w:t>
      </w:r>
      <w:r>
        <w:rPr>
          <w:spacing w:val="-2"/>
          <w:sz w:val="20"/>
        </w:rPr>
        <w:t> </w:t>
      </w:r>
      <w:r>
        <w:rPr>
          <w:sz w:val="20"/>
        </w:rPr>
        <w:t>the</w:t>
      </w:r>
      <w:r>
        <w:rPr>
          <w:spacing w:val="-3"/>
          <w:sz w:val="20"/>
        </w:rPr>
        <w:t> </w:t>
      </w:r>
      <w:r>
        <w:rPr>
          <w:sz w:val="20"/>
        </w:rPr>
        <w:t>OTP</w:t>
      </w:r>
      <w:r>
        <w:rPr>
          <w:spacing w:val="-6"/>
          <w:sz w:val="20"/>
        </w:rPr>
        <w:t> </w:t>
      </w:r>
      <w:r>
        <w:rPr>
          <w:sz w:val="20"/>
        </w:rPr>
        <w:t>will</w:t>
      </w:r>
      <w:r>
        <w:rPr>
          <w:spacing w:val="-3"/>
          <w:sz w:val="20"/>
        </w:rPr>
        <w:t> </w:t>
      </w:r>
      <w:r>
        <w:rPr>
          <w:sz w:val="20"/>
        </w:rPr>
        <w:t>prioritize resources</w:t>
      </w:r>
      <w:r>
        <w:rPr>
          <w:spacing w:val="-6"/>
          <w:sz w:val="20"/>
        </w:rPr>
        <w:t> </w:t>
      </w:r>
      <w:r>
        <w:rPr>
          <w:sz w:val="20"/>
        </w:rPr>
        <w:t>in</w:t>
      </w:r>
      <w:r>
        <w:rPr>
          <w:spacing w:val="-5"/>
          <w:sz w:val="20"/>
        </w:rPr>
        <w:t> </w:t>
      </w:r>
      <w:r>
        <w:rPr>
          <w:sz w:val="20"/>
        </w:rPr>
        <w:t>relation to those situations with cases in the pre-trial and trial phases, namely Darfur (Sudan), Mali, CAR II.a and CAR II.b and Kenya (article 70). Additionally, the OTP will be conducting investigations across situations. The Prosecutor will continue to assess on an ongoing basis how</w:t>
      </w:r>
      <w:r>
        <w:rPr>
          <w:spacing w:val="-7"/>
          <w:sz w:val="20"/>
        </w:rPr>
        <w:t> </w:t>
      </w:r>
      <w:r>
        <w:rPr>
          <w:sz w:val="20"/>
        </w:rPr>
        <w:t>best</w:t>
      </w:r>
      <w:r>
        <w:rPr>
          <w:spacing w:val="-13"/>
          <w:sz w:val="20"/>
        </w:rPr>
        <w:t> </w:t>
      </w:r>
      <w:r>
        <w:rPr>
          <w:sz w:val="20"/>
        </w:rPr>
        <w:t>to</w:t>
      </w:r>
      <w:r>
        <w:rPr>
          <w:spacing w:val="-8"/>
          <w:sz w:val="20"/>
        </w:rPr>
        <w:t> </w:t>
      </w:r>
      <w:r>
        <w:rPr>
          <w:sz w:val="20"/>
        </w:rPr>
        <w:t>organize</w:t>
      </w:r>
      <w:r>
        <w:rPr>
          <w:spacing w:val="-12"/>
          <w:sz w:val="20"/>
        </w:rPr>
        <w:t> </w:t>
      </w:r>
      <w:r>
        <w:rPr>
          <w:sz w:val="20"/>
        </w:rPr>
        <w:t>the</w:t>
      </w:r>
      <w:r>
        <w:rPr>
          <w:spacing w:val="-8"/>
          <w:sz w:val="20"/>
        </w:rPr>
        <w:t> </w:t>
      </w:r>
      <w:r>
        <w:rPr>
          <w:sz w:val="20"/>
        </w:rPr>
        <w:t>Office’s</w:t>
      </w:r>
      <w:r>
        <w:rPr>
          <w:spacing w:val="-11"/>
          <w:sz w:val="20"/>
        </w:rPr>
        <w:t> </w:t>
      </w:r>
      <w:r>
        <w:rPr>
          <w:sz w:val="20"/>
        </w:rPr>
        <w:t>work</w:t>
      </w:r>
      <w:r>
        <w:rPr>
          <w:spacing w:val="-13"/>
          <w:sz w:val="20"/>
        </w:rPr>
        <w:t> </w:t>
      </w:r>
      <w:r>
        <w:rPr>
          <w:sz w:val="20"/>
        </w:rPr>
        <w:t>taking</w:t>
      </w:r>
      <w:r>
        <w:rPr>
          <w:spacing w:val="-12"/>
          <w:sz w:val="20"/>
        </w:rPr>
        <w:t> </w:t>
      </w:r>
      <w:r>
        <w:rPr>
          <w:sz w:val="20"/>
        </w:rPr>
        <w:t>into</w:t>
      </w:r>
      <w:r>
        <w:rPr>
          <w:spacing w:val="-9"/>
          <w:sz w:val="20"/>
        </w:rPr>
        <w:t> </w:t>
      </w:r>
      <w:r>
        <w:rPr>
          <w:sz w:val="20"/>
        </w:rPr>
        <w:t>account,</w:t>
      </w:r>
      <w:r>
        <w:rPr>
          <w:spacing w:val="-2"/>
          <w:sz w:val="20"/>
        </w:rPr>
        <w:t> </w:t>
      </w:r>
      <w:r>
        <w:rPr>
          <w:i/>
          <w:sz w:val="20"/>
        </w:rPr>
        <w:t>inter</w:t>
      </w:r>
      <w:r>
        <w:rPr>
          <w:i/>
          <w:spacing w:val="-11"/>
          <w:sz w:val="20"/>
        </w:rPr>
        <w:t> </w:t>
      </w:r>
      <w:r>
        <w:rPr>
          <w:i/>
          <w:sz w:val="20"/>
        </w:rPr>
        <w:t>alia</w:t>
      </w:r>
      <w:r>
        <w:rPr>
          <w:sz w:val="20"/>
        </w:rPr>
        <w:t>,</w:t>
      </w:r>
      <w:r>
        <w:rPr>
          <w:spacing w:val="-7"/>
          <w:sz w:val="20"/>
        </w:rPr>
        <w:t> </w:t>
      </w:r>
      <w:r>
        <w:rPr>
          <w:sz w:val="20"/>
        </w:rPr>
        <w:t>considerations</w:t>
      </w:r>
      <w:r>
        <w:rPr>
          <w:spacing w:val="-11"/>
          <w:sz w:val="20"/>
        </w:rPr>
        <w:t> </w:t>
      </w:r>
      <w:r>
        <w:rPr>
          <w:sz w:val="20"/>
        </w:rPr>
        <w:t>relating to prioritization, completion and resource constraints.</w:t>
      </w:r>
    </w:p>
    <w:p>
      <w:pPr>
        <w:pStyle w:val="BodyText"/>
      </w:pPr>
    </w:p>
    <w:p>
      <w:pPr>
        <w:pStyle w:val="BodyText"/>
      </w:pPr>
    </w:p>
    <w:p>
      <w:pPr>
        <w:pStyle w:val="BodyText"/>
      </w:pPr>
    </w:p>
    <w:p>
      <w:pPr>
        <w:pStyle w:val="BodyText"/>
      </w:pPr>
    </w:p>
    <w:p>
      <w:pPr>
        <w:pStyle w:val="BodyText"/>
      </w:pPr>
    </w:p>
    <w:p>
      <w:pPr>
        <w:pStyle w:val="BodyText"/>
        <w:spacing w:before="10"/>
      </w:pPr>
      <w:r>
        <w:rPr/>
        <w:pict>
          <v:rect style="position:absolute;margin-left:113.330002pt;margin-top:13.221624pt;width:144.050pt;height:.48004pt;mso-position-horizontal-relative:page;mso-position-vertical-relative:paragraph;z-index:-15715328;mso-wrap-distance-left:0;mso-wrap-distance-right:0" id="docshape77" filled="true" fillcolor="#000000" stroked="false">
            <v:fill type="solid"/>
            <w10:wrap type="topAndBottom"/>
          </v:rect>
        </w:pict>
      </w:r>
    </w:p>
    <w:p>
      <w:pPr>
        <w:spacing w:before="86"/>
        <w:ind w:left="3" w:right="339" w:firstLine="0"/>
        <w:jc w:val="center"/>
        <w:rPr>
          <w:sz w:val="16"/>
        </w:rPr>
      </w:pPr>
      <w:r>
        <w:rPr>
          <w:w w:val="95"/>
          <w:position w:val="5"/>
          <w:sz w:val="10"/>
        </w:rPr>
        <w:t>23</w:t>
      </w:r>
      <w:r>
        <w:rPr>
          <w:spacing w:val="67"/>
          <w:position w:val="5"/>
          <w:sz w:val="10"/>
        </w:rPr>
        <w:t>  </w:t>
      </w:r>
      <w:r>
        <w:rPr>
          <w:w w:val="95"/>
          <w:sz w:val="16"/>
        </w:rPr>
        <w:t>See:</w:t>
      </w:r>
      <w:r>
        <w:rPr>
          <w:spacing w:val="46"/>
          <w:sz w:val="16"/>
        </w:rPr>
        <w:t>  </w:t>
      </w:r>
      <w:r>
        <w:rPr>
          <w:w w:val="95"/>
          <w:sz w:val="16"/>
        </w:rPr>
        <w:t>https://</w:t>
      </w:r>
      <w:hyperlink r:id="rId28">
        <w:r>
          <w:rPr>
            <w:w w:val="95"/>
            <w:sz w:val="16"/>
          </w:rPr>
          <w:t>www.icc-cpi.int/news/icc-prosecutor-mr-karim-aa-khan-qc-concludes-first-official-visit-</w:t>
        </w:r>
        <w:r>
          <w:rPr>
            <w:spacing w:val="-2"/>
            <w:w w:val="95"/>
            <w:sz w:val="16"/>
          </w:rPr>
          <w:t>nigeria</w:t>
        </w:r>
      </w:hyperlink>
    </w:p>
    <w:p>
      <w:pPr>
        <w:spacing w:after="0"/>
        <w:jc w:val="center"/>
        <w:rPr>
          <w:sz w:val="16"/>
        </w:rPr>
        <w:sectPr>
          <w:pgSz w:w="11910" w:h="16840"/>
          <w:pgMar w:header="957" w:footer="940" w:top="1140" w:bottom="1140" w:left="20" w:right="20"/>
        </w:sectPr>
      </w:pPr>
    </w:p>
    <w:p>
      <w:pPr>
        <w:pStyle w:val="Heading3"/>
        <w:spacing w:before="124"/>
        <w:ind w:right="2195"/>
      </w:pPr>
      <w:r>
        <w:rPr/>
        <w:t>Strategic</w:t>
      </w:r>
      <w:r>
        <w:rPr>
          <w:spacing w:val="80"/>
        </w:rPr>
        <w:t> </w:t>
      </w:r>
      <w:r>
        <w:rPr/>
        <w:t>and</w:t>
      </w:r>
      <w:r>
        <w:rPr>
          <w:spacing w:val="80"/>
        </w:rPr>
        <w:t> </w:t>
      </w:r>
      <w:r>
        <w:rPr/>
        <w:t>budgetary</w:t>
      </w:r>
      <w:r>
        <w:rPr>
          <w:spacing w:val="80"/>
        </w:rPr>
        <w:t> </w:t>
      </w:r>
      <w:r>
        <w:rPr/>
        <w:t>considerations</w:t>
      </w:r>
      <w:r>
        <w:rPr>
          <w:spacing w:val="80"/>
        </w:rPr>
        <w:t> </w:t>
      </w:r>
      <w:r>
        <w:rPr/>
        <w:t>related</w:t>
      </w:r>
      <w:r>
        <w:rPr>
          <w:spacing w:val="80"/>
        </w:rPr>
        <w:t> </w:t>
      </w:r>
      <w:r>
        <w:rPr/>
        <w:t>to</w:t>
      </w:r>
      <w:r>
        <w:rPr>
          <w:spacing w:val="80"/>
        </w:rPr>
        <w:t> </w:t>
      </w:r>
      <w:r>
        <w:rPr/>
        <w:t>the</w:t>
      </w:r>
      <w:r>
        <w:rPr>
          <w:spacing w:val="80"/>
        </w:rPr>
        <w:t> </w:t>
      </w:r>
      <w:r>
        <w:rPr/>
        <w:t>OTP’s</w:t>
      </w:r>
      <w:r>
        <w:rPr>
          <w:spacing w:val="80"/>
        </w:rPr>
        <w:t> </w:t>
      </w:r>
      <w:r>
        <w:rPr/>
        <w:t>core</w:t>
      </w:r>
      <w:r>
        <w:rPr>
          <w:spacing w:val="80"/>
        </w:rPr>
        <w:t> </w:t>
      </w:r>
      <w:r>
        <w:rPr/>
        <w:t>activities: preliminary examinations, investigations and prosecutions</w:t>
      </w:r>
    </w:p>
    <w:p>
      <w:pPr>
        <w:pStyle w:val="BodyText"/>
        <w:spacing w:before="11"/>
        <w:rPr>
          <w:b/>
        </w:rPr>
      </w:pPr>
    </w:p>
    <w:p>
      <w:pPr>
        <w:pStyle w:val="ListParagraph"/>
        <w:numPr>
          <w:ilvl w:val="0"/>
          <w:numId w:val="4"/>
        </w:numPr>
        <w:tabs>
          <w:tab w:pos="2967" w:val="left" w:leader="none"/>
        </w:tabs>
        <w:spacing w:line="240" w:lineRule="auto" w:before="0" w:after="0"/>
        <w:ind w:left="2246" w:right="2239" w:firstLine="0"/>
        <w:jc w:val="both"/>
        <w:rPr>
          <w:sz w:val="20"/>
        </w:rPr>
      </w:pPr>
      <w:r>
        <w:rPr>
          <w:sz w:val="20"/>
        </w:rPr>
        <w:t>At present, the OTP is seized of an unprecedented number of cases and investigations. This is reflected in the Office’s budget assumptions for 2023.</w:t>
      </w:r>
    </w:p>
    <w:p>
      <w:pPr>
        <w:pStyle w:val="ListParagraph"/>
        <w:numPr>
          <w:ilvl w:val="0"/>
          <w:numId w:val="4"/>
        </w:numPr>
        <w:tabs>
          <w:tab w:pos="2967" w:val="left" w:leader="none"/>
        </w:tabs>
        <w:spacing w:line="240" w:lineRule="auto" w:before="122" w:after="0"/>
        <w:ind w:left="2246" w:right="2239" w:firstLine="0"/>
        <w:jc w:val="both"/>
        <w:rPr>
          <w:sz w:val="20"/>
        </w:rPr>
      </w:pPr>
      <w:r>
        <w:rPr>
          <w:sz w:val="20"/>
        </w:rPr>
        <w:t>While the Office, under the guidance of the Prosecutor, has reviewed and set priorities by balancing operational demands against the resources made available by the States Parties, and by selecting</w:t>
      </w:r>
      <w:r>
        <w:rPr>
          <w:spacing w:val="-4"/>
          <w:sz w:val="20"/>
        </w:rPr>
        <w:t> </w:t>
      </w:r>
      <w:r>
        <w:rPr>
          <w:sz w:val="20"/>
        </w:rPr>
        <w:t>the most</w:t>
      </w:r>
      <w:r>
        <w:rPr>
          <w:spacing w:val="-2"/>
          <w:sz w:val="20"/>
        </w:rPr>
        <w:t> </w:t>
      </w:r>
      <w:r>
        <w:rPr>
          <w:sz w:val="20"/>
        </w:rPr>
        <w:t>viable avenues for investigations</w:t>
      </w:r>
      <w:r>
        <w:rPr>
          <w:spacing w:val="-5"/>
          <w:sz w:val="20"/>
        </w:rPr>
        <w:t> </w:t>
      </w:r>
      <w:r>
        <w:rPr>
          <w:sz w:val="20"/>
        </w:rPr>
        <w:t>and prosecutions, a budget that is not commensurate with its carefully planned and essential resource needs will</w:t>
      </w:r>
      <w:r>
        <w:rPr>
          <w:spacing w:val="-13"/>
          <w:sz w:val="20"/>
        </w:rPr>
        <w:t> </w:t>
      </w:r>
      <w:r>
        <w:rPr>
          <w:sz w:val="20"/>
        </w:rPr>
        <w:t>have</w:t>
      </w:r>
      <w:r>
        <w:rPr>
          <w:spacing w:val="-7"/>
          <w:sz w:val="20"/>
        </w:rPr>
        <w:t> </w:t>
      </w:r>
      <w:r>
        <w:rPr>
          <w:sz w:val="20"/>
        </w:rPr>
        <w:t>a</w:t>
      </w:r>
      <w:r>
        <w:rPr>
          <w:spacing w:val="-12"/>
          <w:sz w:val="20"/>
        </w:rPr>
        <w:t> </w:t>
      </w:r>
      <w:r>
        <w:rPr>
          <w:sz w:val="20"/>
        </w:rPr>
        <w:t>negative</w:t>
      </w:r>
      <w:r>
        <w:rPr>
          <w:spacing w:val="-8"/>
          <w:sz w:val="20"/>
        </w:rPr>
        <w:t> </w:t>
      </w:r>
      <w:r>
        <w:rPr>
          <w:sz w:val="20"/>
        </w:rPr>
        <w:t>impact</w:t>
      </w:r>
      <w:r>
        <w:rPr>
          <w:spacing w:val="-13"/>
          <w:sz w:val="20"/>
        </w:rPr>
        <w:t> </w:t>
      </w:r>
      <w:r>
        <w:rPr>
          <w:sz w:val="20"/>
        </w:rPr>
        <w:t>on</w:t>
      </w:r>
      <w:r>
        <w:rPr>
          <w:spacing w:val="-8"/>
          <w:sz w:val="20"/>
        </w:rPr>
        <w:t> </w:t>
      </w:r>
      <w:r>
        <w:rPr>
          <w:sz w:val="20"/>
        </w:rPr>
        <w:t>the</w:t>
      </w:r>
      <w:r>
        <w:rPr>
          <w:spacing w:val="-13"/>
          <w:sz w:val="20"/>
        </w:rPr>
        <w:t> </w:t>
      </w:r>
      <w:r>
        <w:rPr>
          <w:sz w:val="20"/>
        </w:rPr>
        <w:t>progress</w:t>
      </w:r>
      <w:r>
        <w:rPr>
          <w:spacing w:val="-10"/>
          <w:sz w:val="20"/>
        </w:rPr>
        <w:t> </w:t>
      </w:r>
      <w:r>
        <w:rPr>
          <w:sz w:val="20"/>
        </w:rPr>
        <w:t>of</w:t>
      </w:r>
      <w:r>
        <w:rPr>
          <w:spacing w:val="-9"/>
          <w:sz w:val="20"/>
        </w:rPr>
        <w:t> </w:t>
      </w:r>
      <w:r>
        <w:rPr>
          <w:sz w:val="20"/>
        </w:rPr>
        <w:t>its</w:t>
      </w:r>
      <w:r>
        <w:rPr>
          <w:spacing w:val="-11"/>
          <w:sz w:val="20"/>
        </w:rPr>
        <w:t> </w:t>
      </w:r>
      <w:r>
        <w:rPr>
          <w:sz w:val="20"/>
        </w:rPr>
        <w:t>activities.</w:t>
      </w:r>
      <w:r>
        <w:rPr>
          <w:spacing w:val="-7"/>
          <w:sz w:val="20"/>
        </w:rPr>
        <w:t> </w:t>
      </w:r>
      <w:r>
        <w:rPr>
          <w:sz w:val="20"/>
        </w:rPr>
        <w:t>Ultimately,</w:t>
      </w:r>
      <w:r>
        <w:rPr>
          <w:spacing w:val="-12"/>
          <w:sz w:val="20"/>
        </w:rPr>
        <w:t> </w:t>
      </w:r>
      <w:r>
        <w:rPr>
          <w:sz w:val="20"/>
        </w:rPr>
        <w:t>insufficient</w:t>
      </w:r>
      <w:r>
        <w:rPr>
          <w:spacing w:val="-8"/>
          <w:sz w:val="20"/>
        </w:rPr>
        <w:t> </w:t>
      </w:r>
      <w:r>
        <w:rPr>
          <w:sz w:val="20"/>
        </w:rPr>
        <w:t>resources will</w:t>
      </w:r>
      <w:r>
        <w:rPr>
          <w:spacing w:val="-13"/>
          <w:sz w:val="20"/>
        </w:rPr>
        <w:t> </w:t>
      </w:r>
      <w:r>
        <w:rPr>
          <w:sz w:val="20"/>
        </w:rPr>
        <w:t>render</w:t>
      </w:r>
      <w:r>
        <w:rPr>
          <w:spacing w:val="-12"/>
          <w:sz w:val="20"/>
        </w:rPr>
        <w:t> </w:t>
      </w:r>
      <w:r>
        <w:rPr>
          <w:sz w:val="20"/>
        </w:rPr>
        <w:t>the</w:t>
      </w:r>
      <w:r>
        <w:rPr>
          <w:spacing w:val="-13"/>
          <w:sz w:val="20"/>
        </w:rPr>
        <w:t> </w:t>
      </w:r>
      <w:r>
        <w:rPr>
          <w:sz w:val="20"/>
        </w:rPr>
        <w:t>OTP</w:t>
      </w:r>
      <w:r>
        <w:rPr>
          <w:spacing w:val="-12"/>
          <w:sz w:val="20"/>
        </w:rPr>
        <w:t> </w:t>
      </w:r>
      <w:r>
        <w:rPr>
          <w:sz w:val="20"/>
        </w:rPr>
        <w:t>and</w:t>
      </w:r>
      <w:r>
        <w:rPr>
          <w:spacing w:val="-13"/>
          <w:sz w:val="20"/>
        </w:rPr>
        <w:t> </w:t>
      </w:r>
      <w:r>
        <w:rPr>
          <w:sz w:val="20"/>
        </w:rPr>
        <w:t>the</w:t>
      </w:r>
      <w:r>
        <w:rPr>
          <w:spacing w:val="-12"/>
          <w:sz w:val="20"/>
        </w:rPr>
        <w:t> </w:t>
      </w:r>
      <w:r>
        <w:rPr>
          <w:sz w:val="20"/>
        </w:rPr>
        <w:t>Court</w:t>
      </w:r>
      <w:r>
        <w:rPr>
          <w:spacing w:val="-13"/>
          <w:sz w:val="20"/>
        </w:rPr>
        <w:t> </w:t>
      </w:r>
      <w:r>
        <w:rPr>
          <w:sz w:val="20"/>
        </w:rPr>
        <w:t>as</w:t>
      </w:r>
      <w:r>
        <w:rPr>
          <w:spacing w:val="-12"/>
          <w:sz w:val="20"/>
        </w:rPr>
        <w:t> </w:t>
      </w:r>
      <w:r>
        <w:rPr>
          <w:sz w:val="20"/>
        </w:rPr>
        <w:t>a</w:t>
      </w:r>
      <w:r>
        <w:rPr>
          <w:spacing w:val="-13"/>
          <w:sz w:val="20"/>
        </w:rPr>
        <w:t> </w:t>
      </w:r>
      <w:r>
        <w:rPr>
          <w:sz w:val="20"/>
        </w:rPr>
        <w:t>whole</w:t>
      </w:r>
      <w:r>
        <w:rPr>
          <w:spacing w:val="-12"/>
          <w:sz w:val="20"/>
        </w:rPr>
        <w:t> </w:t>
      </w:r>
      <w:r>
        <w:rPr>
          <w:sz w:val="20"/>
        </w:rPr>
        <w:t>incapable</w:t>
      </w:r>
      <w:r>
        <w:rPr>
          <w:spacing w:val="-13"/>
          <w:sz w:val="20"/>
        </w:rPr>
        <w:t> </w:t>
      </w:r>
      <w:r>
        <w:rPr>
          <w:sz w:val="20"/>
        </w:rPr>
        <w:t>of</w:t>
      </w:r>
      <w:r>
        <w:rPr>
          <w:spacing w:val="-12"/>
          <w:sz w:val="20"/>
        </w:rPr>
        <w:t> </w:t>
      </w:r>
      <w:r>
        <w:rPr>
          <w:sz w:val="20"/>
        </w:rPr>
        <w:t>meeting</w:t>
      </w:r>
      <w:r>
        <w:rPr>
          <w:spacing w:val="-13"/>
          <w:sz w:val="20"/>
        </w:rPr>
        <w:t> </w:t>
      </w:r>
      <w:r>
        <w:rPr>
          <w:sz w:val="20"/>
        </w:rPr>
        <w:t>the</w:t>
      </w:r>
      <w:r>
        <w:rPr>
          <w:spacing w:val="-12"/>
          <w:sz w:val="20"/>
        </w:rPr>
        <w:t> </w:t>
      </w:r>
      <w:r>
        <w:rPr>
          <w:sz w:val="20"/>
        </w:rPr>
        <w:t>legitimate</w:t>
      </w:r>
      <w:r>
        <w:rPr>
          <w:spacing w:val="-13"/>
          <w:sz w:val="20"/>
        </w:rPr>
        <w:t> </w:t>
      </w:r>
      <w:r>
        <w:rPr>
          <w:sz w:val="20"/>
        </w:rPr>
        <w:t>expectations of victims and affected communities.</w:t>
      </w:r>
    </w:p>
    <w:p>
      <w:pPr>
        <w:pStyle w:val="ListParagraph"/>
        <w:numPr>
          <w:ilvl w:val="0"/>
          <w:numId w:val="4"/>
        </w:numPr>
        <w:tabs>
          <w:tab w:pos="2967" w:val="left" w:leader="none"/>
        </w:tabs>
        <w:spacing w:line="240" w:lineRule="auto" w:before="118" w:after="0"/>
        <w:ind w:left="2246" w:right="2240" w:firstLine="0"/>
        <w:jc w:val="both"/>
        <w:rPr>
          <w:sz w:val="20"/>
        </w:rPr>
      </w:pPr>
      <w:r>
        <w:rPr>
          <w:sz w:val="20"/>
        </w:rPr>
        <w:t>Action in relation to new</w:t>
      </w:r>
      <w:r>
        <w:rPr>
          <w:spacing w:val="-1"/>
          <w:sz w:val="20"/>
        </w:rPr>
        <w:t> </w:t>
      </w:r>
      <w:r>
        <w:rPr>
          <w:sz w:val="20"/>
        </w:rPr>
        <w:t>investigations</w:t>
      </w:r>
      <w:r>
        <w:rPr>
          <w:spacing w:val="-1"/>
          <w:sz w:val="20"/>
        </w:rPr>
        <w:t> </w:t>
      </w:r>
      <w:r>
        <w:rPr>
          <w:sz w:val="20"/>
        </w:rPr>
        <w:t>require specific skills and the allocation of additional resources, including the recruitment of new staff. For instance, where immediate opportunities for collection of testimonial, digital and forensic evidence are identified, in particular</w:t>
      </w:r>
      <w:r>
        <w:rPr>
          <w:spacing w:val="-9"/>
          <w:sz w:val="20"/>
        </w:rPr>
        <w:t> </w:t>
      </w:r>
      <w:r>
        <w:rPr>
          <w:sz w:val="20"/>
        </w:rPr>
        <w:t>where</w:t>
      </w:r>
      <w:r>
        <w:rPr>
          <w:spacing w:val="-8"/>
          <w:sz w:val="20"/>
        </w:rPr>
        <w:t> </w:t>
      </w:r>
      <w:r>
        <w:rPr>
          <w:sz w:val="20"/>
        </w:rPr>
        <w:t>the</w:t>
      </w:r>
      <w:r>
        <w:rPr>
          <w:spacing w:val="-8"/>
          <w:sz w:val="20"/>
        </w:rPr>
        <w:t> </w:t>
      </w:r>
      <w:r>
        <w:rPr>
          <w:sz w:val="20"/>
        </w:rPr>
        <w:t>alleged</w:t>
      </w:r>
      <w:r>
        <w:rPr>
          <w:spacing w:val="-5"/>
          <w:sz w:val="20"/>
        </w:rPr>
        <w:t> </w:t>
      </w:r>
      <w:r>
        <w:rPr>
          <w:sz w:val="20"/>
        </w:rPr>
        <w:t>commission</w:t>
      </w:r>
      <w:r>
        <w:rPr>
          <w:spacing w:val="-5"/>
          <w:sz w:val="20"/>
        </w:rPr>
        <w:t> </w:t>
      </w:r>
      <w:r>
        <w:rPr>
          <w:sz w:val="20"/>
        </w:rPr>
        <w:t>of</w:t>
      </w:r>
      <w:r>
        <w:rPr>
          <w:spacing w:val="-9"/>
          <w:sz w:val="20"/>
        </w:rPr>
        <w:t> </w:t>
      </w:r>
      <w:r>
        <w:rPr>
          <w:sz w:val="20"/>
        </w:rPr>
        <w:t>Rome</w:t>
      </w:r>
      <w:r>
        <w:rPr>
          <w:spacing w:val="-3"/>
          <w:sz w:val="20"/>
        </w:rPr>
        <w:t> </w:t>
      </w:r>
      <w:r>
        <w:rPr>
          <w:sz w:val="20"/>
        </w:rPr>
        <w:t>Statute</w:t>
      </w:r>
      <w:r>
        <w:rPr>
          <w:spacing w:val="-8"/>
          <w:sz w:val="20"/>
        </w:rPr>
        <w:t> </w:t>
      </w:r>
      <w:r>
        <w:rPr>
          <w:sz w:val="20"/>
        </w:rPr>
        <w:t>crimes</w:t>
      </w:r>
      <w:r>
        <w:rPr>
          <w:spacing w:val="-11"/>
          <w:sz w:val="20"/>
        </w:rPr>
        <w:t> </w:t>
      </w:r>
      <w:r>
        <w:rPr>
          <w:sz w:val="20"/>
        </w:rPr>
        <w:t>may</w:t>
      </w:r>
      <w:r>
        <w:rPr>
          <w:spacing w:val="-5"/>
          <w:sz w:val="20"/>
        </w:rPr>
        <w:t> </w:t>
      </w:r>
      <w:r>
        <w:rPr>
          <w:sz w:val="20"/>
        </w:rPr>
        <w:t>be</w:t>
      </w:r>
      <w:r>
        <w:rPr>
          <w:spacing w:val="-3"/>
          <w:sz w:val="20"/>
        </w:rPr>
        <w:t> </w:t>
      </w:r>
      <w:r>
        <w:rPr>
          <w:sz w:val="20"/>
        </w:rPr>
        <w:t>ongoing,</w:t>
      </w:r>
      <w:r>
        <w:rPr>
          <w:spacing w:val="-7"/>
          <w:sz w:val="20"/>
        </w:rPr>
        <w:t> </w:t>
      </w:r>
      <w:r>
        <w:rPr>
          <w:sz w:val="20"/>
        </w:rPr>
        <w:t>additional staffing is required in order to ensure investigative opportunities are not lost. The commencement of investigative activities in relation to a situation will also require the recruitment of new translators, transcribers and field interpreters to address the language needs</w:t>
      </w:r>
      <w:r>
        <w:rPr>
          <w:spacing w:val="-5"/>
          <w:sz w:val="20"/>
        </w:rPr>
        <w:t> </w:t>
      </w:r>
      <w:r>
        <w:rPr>
          <w:sz w:val="20"/>
        </w:rPr>
        <w:t>of</w:t>
      </w:r>
      <w:r>
        <w:rPr>
          <w:spacing w:val="-4"/>
          <w:sz w:val="20"/>
        </w:rPr>
        <w:t> </w:t>
      </w:r>
      <w:r>
        <w:rPr>
          <w:sz w:val="20"/>
        </w:rPr>
        <w:t>the</w:t>
      </w:r>
      <w:r>
        <w:rPr>
          <w:spacing w:val="-2"/>
          <w:sz w:val="20"/>
        </w:rPr>
        <w:t> </w:t>
      </w:r>
      <w:r>
        <w:rPr>
          <w:sz w:val="20"/>
        </w:rPr>
        <w:t>Office.</w:t>
      </w:r>
      <w:r>
        <w:rPr>
          <w:spacing w:val="-1"/>
          <w:sz w:val="20"/>
        </w:rPr>
        <w:t> </w:t>
      </w:r>
      <w:r>
        <w:rPr>
          <w:sz w:val="20"/>
        </w:rPr>
        <w:t>While some</w:t>
      </w:r>
      <w:r>
        <w:rPr>
          <w:spacing w:val="-2"/>
          <w:sz w:val="20"/>
        </w:rPr>
        <w:t> </w:t>
      </w:r>
      <w:r>
        <w:rPr>
          <w:sz w:val="20"/>
        </w:rPr>
        <w:t>of</w:t>
      </w:r>
      <w:r>
        <w:rPr>
          <w:spacing w:val="-4"/>
          <w:sz w:val="20"/>
        </w:rPr>
        <w:t> </w:t>
      </w:r>
      <w:r>
        <w:rPr>
          <w:sz w:val="20"/>
        </w:rPr>
        <w:t>these</w:t>
      </w:r>
      <w:r>
        <w:rPr>
          <w:spacing w:val="-2"/>
          <w:sz w:val="20"/>
        </w:rPr>
        <w:t> </w:t>
      </w:r>
      <w:r>
        <w:rPr>
          <w:sz w:val="20"/>
        </w:rPr>
        <w:t>resources needs</w:t>
      </w:r>
      <w:r>
        <w:rPr>
          <w:spacing w:val="-5"/>
          <w:sz w:val="20"/>
        </w:rPr>
        <w:t> </w:t>
      </w:r>
      <w:r>
        <w:rPr>
          <w:sz w:val="20"/>
        </w:rPr>
        <w:t>can</w:t>
      </w:r>
      <w:r>
        <w:rPr>
          <w:spacing w:val="-4"/>
          <w:sz w:val="20"/>
        </w:rPr>
        <w:t> </w:t>
      </w:r>
      <w:r>
        <w:rPr>
          <w:sz w:val="20"/>
        </w:rPr>
        <w:t>be</w:t>
      </w:r>
      <w:r>
        <w:rPr>
          <w:spacing w:val="-7"/>
          <w:sz w:val="20"/>
        </w:rPr>
        <w:t> </w:t>
      </w:r>
      <w:r>
        <w:rPr>
          <w:sz w:val="20"/>
        </w:rPr>
        <w:t>met</w:t>
      </w:r>
      <w:r>
        <w:rPr>
          <w:spacing w:val="-2"/>
          <w:sz w:val="20"/>
        </w:rPr>
        <w:t> </w:t>
      </w:r>
      <w:r>
        <w:rPr>
          <w:sz w:val="20"/>
        </w:rPr>
        <w:t>through reallocation of staff from other situations through prioritisation, this process is not sufficient to meet the needs of the Office in</w:t>
      </w:r>
      <w:r>
        <w:rPr>
          <w:spacing w:val="-4"/>
          <w:sz w:val="20"/>
        </w:rPr>
        <w:t> </w:t>
      </w:r>
      <w:r>
        <w:rPr>
          <w:sz w:val="20"/>
        </w:rPr>
        <w:t>2023, in particular given that</w:t>
      </w:r>
      <w:r>
        <w:rPr>
          <w:spacing w:val="-2"/>
          <w:sz w:val="20"/>
        </w:rPr>
        <w:t> </w:t>
      </w:r>
      <w:r>
        <w:rPr>
          <w:sz w:val="20"/>
        </w:rPr>
        <w:t>the majority of situations</w:t>
      </w:r>
      <w:r>
        <w:rPr>
          <w:spacing w:val="-5"/>
          <w:sz w:val="20"/>
        </w:rPr>
        <w:t> </w:t>
      </w:r>
      <w:r>
        <w:rPr>
          <w:sz w:val="20"/>
        </w:rPr>
        <w:t>are</w:t>
      </w:r>
      <w:r>
        <w:rPr>
          <w:spacing w:val="-2"/>
          <w:sz w:val="20"/>
        </w:rPr>
        <w:t> </w:t>
      </w:r>
      <w:r>
        <w:rPr>
          <w:sz w:val="20"/>
        </w:rPr>
        <w:t>faced with simultaneous increased workloads.</w:t>
      </w:r>
    </w:p>
    <w:p>
      <w:pPr>
        <w:pStyle w:val="ListParagraph"/>
        <w:numPr>
          <w:ilvl w:val="0"/>
          <w:numId w:val="4"/>
        </w:numPr>
        <w:tabs>
          <w:tab w:pos="2967" w:val="left" w:leader="none"/>
        </w:tabs>
        <w:spacing w:line="240" w:lineRule="auto" w:before="121" w:after="0"/>
        <w:ind w:left="2246" w:right="2238" w:firstLine="0"/>
        <w:jc w:val="both"/>
        <w:rPr>
          <w:sz w:val="20"/>
        </w:rPr>
      </w:pPr>
      <w:r>
        <w:rPr>
          <w:sz w:val="20"/>
        </w:rPr>
        <w:t>In line with standard practice, staff resources at the Office are allocated and deployed</w:t>
      </w:r>
      <w:r>
        <w:rPr>
          <w:spacing w:val="-4"/>
          <w:sz w:val="20"/>
        </w:rPr>
        <w:t> </w:t>
      </w:r>
      <w:r>
        <w:rPr>
          <w:sz w:val="20"/>
        </w:rPr>
        <w:t>flexibly</w:t>
      </w:r>
      <w:r>
        <w:rPr>
          <w:spacing w:val="-4"/>
          <w:sz w:val="20"/>
        </w:rPr>
        <w:t> </w:t>
      </w:r>
      <w:r>
        <w:rPr>
          <w:sz w:val="20"/>
        </w:rPr>
        <w:t>between</w:t>
      </w:r>
      <w:r>
        <w:rPr>
          <w:spacing w:val="-4"/>
          <w:sz w:val="20"/>
        </w:rPr>
        <w:t> </w:t>
      </w:r>
      <w:r>
        <w:rPr>
          <w:sz w:val="20"/>
        </w:rPr>
        <w:t>cases</w:t>
      </w:r>
      <w:r>
        <w:rPr>
          <w:spacing w:val="-5"/>
          <w:sz w:val="20"/>
        </w:rPr>
        <w:t> </w:t>
      </w:r>
      <w:r>
        <w:rPr>
          <w:sz w:val="20"/>
        </w:rPr>
        <w:t>to</w:t>
      </w:r>
      <w:r>
        <w:rPr>
          <w:spacing w:val="-8"/>
          <w:sz w:val="20"/>
        </w:rPr>
        <w:t> </w:t>
      </w:r>
      <w:r>
        <w:rPr>
          <w:sz w:val="20"/>
        </w:rPr>
        <w:t>maximize</w:t>
      </w:r>
      <w:r>
        <w:rPr>
          <w:spacing w:val="-2"/>
          <w:sz w:val="20"/>
        </w:rPr>
        <w:t> </w:t>
      </w:r>
      <w:r>
        <w:rPr>
          <w:sz w:val="20"/>
        </w:rPr>
        <w:t>their</w:t>
      </w:r>
      <w:r>
        <w:rPr>
          <w:spacing w:val="-4"/>
          <w:sz w:val="20"/>
        </w:rPr>
        <w:t> </w:t>
      </w:r>
      <w:r>
        <w:rPr>
          <w:sz w:val="20"/>
        </w:rPr>
        <w:t>effective</w:t>
      </w:r>
      <w:r>
        <w:rPr>
          <w:spacing w:val="-7"/>
          <w:sz w:val="20"/>
        </w:rPr>
        <w:t> </w:t>
      </w:r>
      <w:r>
        <w:rPr>
          <w:sz w:val="20"/>
        </w:rPr>
        <w:t>use</w:t>
      </w:r>
      <w:r>
        <w:rPr>
          <w:spacing w:val="-2"/>
          <w:sz w:val="20"/>
        </w:rPr>
        <w:t> </w:t>
      </w:r>
      <w:r>
        <w:rPr>
          <w:sz w:val="20"/>
        </w:rPr>
        <w:t>and</w:t>
      </w:r>
      <w:r>
        <w:rPr>
          <w:spacing w:val="-8"/>
          <w:sz w:val="20"/>
        </w:rPr>
        <w:t> </w:t>
      </w:r>
      <w:r>
        <w:rPr>
          <w:sz w:val="20"/>
        </w:rPr>
        <w:t>the</w:t>
      </w:r>
      <w:r>
        <w:rPr>
          <w:spacing w:val="-2"/>
          <w:sz w:val="20"/>
        </w:rPr>
        <w:t> </w:t>
      </w:r>
      <w:r>
        <w:rPr>
          <w:sz w:val="20"/>
        </w:rPr>
        <w:t>quality</w:t>
      </w:r>
      <w:r>
        <w:rPr>
          <w:spacing w:val="-4"/>
          <w:sz w:val="20"/>
        </w:rPr>
        <w:t> </w:t>
      </w:r>
      <w:r>
        <w:rPr>
          <w:sz w:val="20"/>
        </w:rPr>
        <w:t>of</w:t>
      </w:r>
      <w:r>
        <w:rPr>
          <w:spacing w:val="-4"/>
          <w:sz w:val="20"/>
        </w:rPr>
        <w:t> </w:t>
      </w:r>
      <w:r>
        <w:rPr>
          <w:sz w:val="20"/>
        </w:rPr>
        <w:t>outcomes while ensuring the completion of ongoing work. The Prosecutor has sought to optimize the allocation of staff, in accordance with his commitment to enhance linguistic and cultural diversity and sensitivity, and ensure the proper use of staff skills and expertise. This optimization of staff resources underpins the unified teams concept.</w:t>
      </w:r>
    </w:p>
    <w:p>
      <w:pPr>
        <w:pStyle w:val="ListParagraph"/>
        <w:numPr>
          <w:ilvl w:val="0"/>
          <w:numId w:val="4"/>
        </w:numPr>
        <w:tabs>
          <w:tab w:pos="2967" w:val="left" w:leader="none"/>
        </w:tabs>
        <w:spacing w:line="240" w:lineRule="auto" w:before="122" w:after="0"/>
        <w:ind w:left="2246" w:right="2244" w:firstLine="0"/>
        <w:jc w:val="both"/>
        <w:rPr>
          <w:sz w:val="20"/>
        </w:rPr>
      </w:pPr>
      <w:r>
        <w:rPr>
          <w:sz w:val="20"/>
        </w:rPr>
        <w:t>Because of the nature of the Office’s mandate and operations, the majority of the resources requested are staff-related. In the proposed budget for 2023, total staff costs account for 91.8 per cent of the funds requested by the Office.</w:t>
      </w:r>
    </w:p>
    <w:p>
      <w:pPr>
        <w:pStyle w:val="ListParagraph"/>
        <w:numPr>
          <w:ilvl w:val="0"/>
          <w:numId w:val="4"/>
        </w:numPr>
        <w:tabs>
          <w:tab w:pos="2967" w:val="left" w:leader="none"/>
        </w:tabs>
        <w:spacing w:line="240" w:lineRule="auto" w:before="122" w:after="0"/>
        <w:ind w:left="2246" w:right="2241" w:firstLine="0"/>
        <w:jc w:val="both"/>
        <w:rPr>
          <w:sz w:val="20"/>
        </w:rPr>
      </w:pPr>
      <w:r>
        <w:rPr>
          <w:sz w:val="20"/>
        </w:rPr>
        <w:t>The</w:t>
      </w:r>
      <w:r>
        <w:rPr>
          <w:spacing w:val="-7"/>
          <w:sz w:val="20"/>
        </w:rPr>
        <w:t> </w:t>
      </w:r>
      <w:r>
        <w:rPr>
          <w:sz w:val="20"/>
        </w:rPr>
        <w:t>Office</w:t>
      </w:r>
      <w:r>
        <w:rPr>
          <w:spacing w:val="-7"/>
          <w:sz w:val="20"/>
        </w:rPr>
        <w:t> </w:t>
      </w:r>
      <w:r>
        <w:rPr>
          <w:sz w:val="20"/>
        </w:rPr>
        <w:t>has</w:t>
      </w:r>
      <w:r>
        <w:rPr>
          <w:spacing w:val="-10"/>
          <w:sz w:val="20"/>
        </w:rPr>
        <w:t> </w:t>
      </w:r>
      <w:r>
        <w:rPr>
          <w:sz w:val="20"/>
        </w:rPr>
        <w:t>undertaken</w:t>
      </w:r>
      <w:r>
        <w:rPr>
          <w:spacing w:val="-8"/>
          <w:sz w:val="20"/>
        </w:rPr>
        <w:t> </w:t>
      </w:r>
      <w:r>
        <w:rPr>
          <w:sz w:val="20"/>
        </w:rPr>
        <w:t>extensive</w:t>
      </w:r>
      <w:r>
        <w:rPr>
          <w:spacing w:val="-2"/>
          <w:sz w:val="20"/>
        </w:rPr>
        <w:t> </w:t>
      </w:r>
      <w:r>
        <w:rPr>
          <w:sz w:val="20"/>
        </w:rPr>
        <w:t>efforts</w:t>
      </w:r>
      <w:r>
        <w:rPr>
          <w:spacing w:val="-10"/>
          <w:sz w:val="20"/>
        </w:rPr>
        <w:t> </w:t>
      </w:r>
      <w:r>
        <w:rPr>
          <w:sz w:val="20"/>
        </w:rPr>
        <w:t>to</w:t>
      </w:r>
      <w:r>
        <w:rPr>
          <w:spacing w:val="-8"/>
          <w:sz w:val="20"/>
        </w:rPr>
        <w:t> </w:t>
      </w:r>
      <w:r>
        <w:rPr>
          <w:sz w:val="20"/>
        </w:rPr>
        <w:t>reduce</w:t>
      </w:r>
      <w:r>
        <w:rPr>
          <w:spacing w:val="-2"/>
          <w:sz w:val="20"/>
        </w:rPr>
        <w:t> </w:t>
      </w:r>
      <w:r>
        <w:rPr>
          <w:sz w:val="20"/>
        </w:rPr>
        <w:t>the</w:t>
      </w:r>
      <w:r>
        <w:rPr>
          <w:spacing w:val="-7"/>
          <w:sz w:val="20"/>
        </w:rPr>
        <w:t> </w:t>
      </w:r>
      <w:r>
        <w:rPr>
          <w:sz w:val="20"/>
        </w:rPr>
        <w:t>need</w:t>
      </w:r>
      <w:r>
        <w:rPr>
          <w:spacing w:val="-4"/>
          <w:sz w:val="20"/>
        </w:rPr>
        <w:t> </w:t>
      </w:r>
      <w:r>
        <w:rPr>
          <w:sz w:val="20"/>
        </w:rPr>
        <w:t>to</w:t>
      </w:r>
      <w:r>
        <w:rPr>
          <w:spacing w:val="-8"/>
          <w:sz w:val="20"/>
        </w:rPr>
        <w:t> </w:t>
      </w:r>
      <w:r>
        <w:rPr>
          <w:sz w:val="20"/>
        </w:rPr>
        <w:t>request</w:t>
      </w:r>
      <w:r>
        <w:rPr>
          <w:spacing w:val="-7"/>
          <w:sz w:val="20"/>
        </w:rPr>
        <w:t> </w:t>
      </w:r>
      <w:r>
        <w:rPr>
          <w:sz w:val="20"/>
        </w:rPr>
        <w:t>additional resources</w:t>
      </w:r>
      <w:r>
        <w:rPr>
          <w:spacing w:val="-6"/>
          <w:sz w:val="20"/>
        </w:rPr>
        <w:t> </w:t>
      </w:r>
      <w:r>
        <w:rPr>
          <w:sz w:val="20"/>
        </w:rPr>
        <w:t>wherever</w:t>
      </w:r>
      <w:r>
        <w:rPr>
          <w:spacing w:val="-5"/>
          <w:sz w:val="20"/>
        </w:rPr>
        <w:t> </w:t>
      </w:r>
      <w:r>
        <w:rPr>
          <w:sz w:val="20"/>
        </w:rPr>
        <w:t>possible.</w:t>
      </w:r>
      <w:r>
        <w:rPr>
          <w:spacing w:val="-4"/>
          <w:sz w:val="20"/>
        </w:rPr>
        <w:t> </w:t>
      </w:r>
      <w:r>
        <w:rPr>
          <w:sz w:val="20"/>
        </w:rPr>
        <w:t>The Office</w:t>
      </w:r>
      <w:r>
        <w:rPr>
          <w:spacing w:val="-3"/>
          <w:sz w:val="20"/>
        </w:rPr>
        <w:t> </w:t>
      </w:r>
      <w:r>
        <w:rPr>
          <w:sz w:val="20"/>
        </w:rPr>
        <w:t>has</w:t>
      </w:r>
      <w:r>
        <w:rPr>
          <w:spacing w:val="-2"/>
          <w:sz w:val="20"/>
        </w:rPr>
        <w:t> </w:t>
      </w:r>
      <w:r>
        <w:rPr>
          <w:sz w:val="20"/>
        </w:rPr>
        <w:t>sought</w:t>
      </w:r>
      <w:r>
        <w:rPr>
          <w:spacing w:val="-3"/>
          <w:sz w:val="20"/>
        </w:rPr>
        <w:t> </w:t>
      </w:r>
      <w:r>
        <w:rPr>
          <w:sz w:val="20"/>
        </w:rPr>
        <w:t>to</w:t>
      </w:r>
      <w:r>
        <w:rPr>
          <w:spacing w:val="-5"/>
          <w:sz w:val="20"/>
        </w:rPr>
        <w:t> </w:t>
      </w:r>
      <w:r>
        <w:rPr>
          <w:sz w:val="20"/>
        </w:rPr>
        <w:t>continually</w:t>
      </w:r>
      <w:r>
        <w:rPr>
          <w:spacing w:val="-5"/>
          <w:sz w:val="20"/>
        </w:rPr>
        <w:t> </w:t>
      </w:r>
      <w:r>
        <w:rPr>
          <w:sz w:val="20"/>
        </w:rPr>
        <w:t>seek</w:t>
      </w:r>
      <w:r>
        <w:rPr>
          <w:spacing w:val="-1"/>
          <w:sz w:val="20"/>
        </w:rPr>
        <w:t> </w:t>
      </w:r>
      <w:r>
        <w:rPr>
          <w:sz w:val="20"/>
        </w:rPr>
        <w:t>ways</w:t>
      </w:r>
      <w:r>
        <w:rPr>
          <w:spacing w:val="-6"/>
          <w:sz w:val="20"/>
        </w:rPr>
        <w:t> </w:t>
      </w:r>
      <w:r>
        <w:rPr>
          <w:sz w:val="20"/>
        </w:rPr>
        <w:t>to</w:t>
      </w:r>
      <w:r>
        <w:rPr>
          <w:spacing w:val="-5"/>
          <w:sz w:val="20"/>
        </w:rPr>
        <w:t> </w:t>
      </w:r>
      <w:r>
        <w:rPr>
          <w:sz w:val="20"/>
        </w:rPr>
        <w:t>reduce</w:t>
      </w:r>
      <w:r>
        <w:rPr>
          <w:spacing w:val="-3"/>
          <w:sz w:val="20"/>
        </w:rPr>
        <w:t> </w:t>
      </w:r>
      <w:r>
        <w:rPr>
          <w:sz w:val="20"/>
        </w:rPr>
        <w:t>costs by reprioritizing and reallocating existing resources. In line</w:t>
      </w:r>
      <w:r>
        <w:rPr>
          <w:spacing w:val="-3"/>
          <w:sz w:val="20"/>
        </w:rPr>
        <w:t> </w:t>
      </w:r>
      <w:r>
        <w:rPr>
          <w:sz w:val="20"/>
        </w:rPr>
        <w:t>with the Prosecutor’s</w:t>
      </w:r>
      <w:r>
        <w:rPr>
          <w:spacing w:val="-1"/>
          <w:sz w:val="20"/>
        </w:rPr>
        <w:t> </w:t>
      </w:r>
      <w:r>
        <w:rPr>
          <w:sz w:val="20"/>
        </w:rPr>
        <w:t>vision for change, staff resources at the Office are allocated and deployed flexibly between cases to maximize their effective use and the quality of outcomes while ensuring the completion of ongoing work. This optimization of staff resources underpins the unified teams concept outlined in the budget submission for 2022.</w:t>
      </w:r>
    </w:p>
    <w:p>
      <w:pPr>
        <w:pStyle w:val="ListParagraph"/>
        <w:numPr>
          <w:ilvl w:val="0"/>
          <w:numId w:val="4"/>
        </w:numPr>
        <w:tabs>
          <w:tab w:pos="2967" w:val="left" w:leader="none"/>
        </w:tabs>
        <w:spacing w:line="240" w:lineRule="auto" w:before="118" w:after="0"/>
        <w:ind w:left="2246" w:right="2240" w:firstLine="0"/>
        <w:jc w:val="both"/>
        <w:rPr>
          <w:sz w:val="20"/>
        </w:rPr>
      </w:pPr>
      <w:r>
        <w:rPr>
          <w:sz w:val="20"/>
        </w:rPr>
        <w:t>As the Court-wide savings and efficiencies exercise has been performed for some years</w:t>
      </w:r>
      <w:r>
        <w:rPr>
          <w:spacing w:val="-13"/>
          <w:sz w:val="20"/>
        </w:rPr>
        <w:t> </w:t>
      </w:r>
      <w:r>
        <w:rPr>
          <w:sz w:val="20"/>
        </w:rPr>
        <w:t>already,</w:t>
      </w:r>
      <w:r>
        <w:rPr>
          <w:spacing w:val="-12"/>
          <w:sz w:val="20"/>
        </w:rPr>
        <w:t> </w:t>
      </w:r>
      <w:r>
        <w:rPr>
          <w:sz w:val="20"/>
        </w:rPr>
        <w:t>the</w:t>
      </w:r>
      <w:r>
        <w:rPr>
          <w:spacing w:val="-11"/>
          <w:sz w:val="20"/>
        </w:rPr>
        <w:t> </w:t>
      </w:r>
      <w:r>
        <w:rPr>
          <w:sz w:val="20"/>
        </w:rPr>
        <w:t>possibility</w:t>
      </w:r>
      <w:r>
        <w:rPr>
          <w:spacing w:val="-9"/>
          <w:sz w:val="20"/>
        </w:rPr>
        <w:t> </w:t>
      </w:r>
      <w:r>
        <w:rPr>
          <w:sz w:val="20"/>
        </w:rPr>
        <w:t>of</w:t>
      </w:r>
      <w:r>
        <w:rPr>
          <w:spacing w:val="-13"/>
          <w:sz w:val="20"/>
        </w:rPr>
        <w:t> </w:t>
      </w:r>
      <w:r>
        <w:rPr>
          <w:sz w:val="20"/>
        </w:rPr>
        <w:t>achieving</w:t>
      </w:r>
      <w:r>
        <w:rPr>
          <w:spacing w:val="-8"/>
          <w:sz w:val="20"/>
        </w:rPr>
        <w:t> </w:t>
      </w:r>
      <w:r>
        <w:rPr>
          <w:sz w:val="20"/>
        </w:rPr>
        <w:t>substantial</w:t>
      </w:r>
      <w:r>
        <w:rPr>
          <w:spacing w:val="-12"/>
          <w:sz w:val="20"/>
        </w:rPr>
        <w:t> </w:t>
      </w:r>
      <w:r>
        <w:rPr>
          <w:sz w:val="20"/>
        </w:rPr>
        <w:t>additional</w:t>
      </w:r>
      <w:r>
        <w:rPr>
          <w:spacing w:val="-12"/>
          <w:sz w:val="20"/>
        </w:rPr>
        <w:t> </w:t>
      </w:r>
      <w:r>
        <w:rPr>
          <w:sz w:val="20"/>
        </w:rPr>
        <w:t>material</w:t>
      </w:r>
      <w:r>
        <w:rPr>
          <w:spacing w:val="-8"/>
          <w:sz w:val="20"/>
        </w:rPr>
        <w:t> </w:t>
      </w:r>
      <w:r>
        <w:rPr>
          <w:sz w:val="20"/>
        </w:rPr>
        <w:t>savings</w:t>
      </w:r>
      <w:r>
        <w:rPr>
          <w:spacing w:val="-13"/>
          <w:sz w:val="20"/>
        </w:rPr>
        <w:t> </w:t>
      </w:r>
      <w:r>
        <w:rPr>
          <w:sz w:val="20"/>
        </w:rPr>
        <w:t>is</w:t>
      </w:r>
      <w:r>
        <w:rPr>
          <w:spacing w:val="-10"/>
          <w:sz w:val="20"/>
        </w:rPr>
        <w:t> </w:t>
      </w:r>
      <w:r>
        <w:rPr>
          <w:sz w:val="20"/>
        </w:rPr>
        <w:t>in</w:t>
      </w:r>
      <w:r>
        <w:rPr>
          <w:spacing w:val="-9"/>
          <w:sz w:val="20"/>
        </w:rPr>
        <w:t> </w:t>
      </w:r>
      <w:r>
        <w:rPr>
          <w:sz w:val="20"/>
        </w:rPr>
        <w:t>general limited.</w:t>
      </w:r>
      <w:r>
        <w:rPr>
          <w:spacing w:val="-7"/>
          <w:sz w:val="20"/>
        </w:rPr>
        <w:t> </w:t>
      </w:r>
      <w:r>
        <w:rPr>
          <w:sz w:val="20"/>
        </w:rPr>
        <w:t>The</w:t>
      </w:r>
      <w:r>
        <w:rPr>
          <w:spacing w:val="-7"/>
          <w:sz w:val="20"/>
        </w:rPr>
        <w:t> </w:t>
      </w:r>
      <w:r>
        <w:rPr>
          <w:sz w:val="20"/>
        </w:rPr>
        <w:t>OTP</w:t>
      </w:r>
      <w:r>
        <w:rPr>
          <w:spacing w:val="-8"/>
          <w:sz w:val="20"/>
        </w:rPr>
        <w:t> </w:t>
      </w:r>
      <w:r>
        <w:rPr>
          <w:sz w:val="20"/>
        </w:rPr>
        <w:t>–</w:t>
      </w:r>
      <w:r>
        <w:rPr>
          <w:spacing w:val="-13"/>
          <w:sz w:val="20"/>
        </w:rPr>
        <w:t> </w:t>
      </w:r>
      <w:r>
        <w:rPr>
          <w:sz w:val="20"/>
        </w:rPr>
        <w:t>in</w:t>
      </w:r>
      <w:r>
        <w:rPr>
          <w:spacing w:val="-12"/>
          <w:sz w:val="20"/>
        </w:rPr>
        <w:t> </w:t>
      </w:r>
      <w:r>
        <w:rPr>
          <w:sz w:val="20"/>
        </w:rPr>
        <w:t>the</w:t>
      </w:r>
      <w:r>
        <w:rPr>
          <w:spacing w:val="-12"/>
          <w:sz w:val="20"/>
        </w:rPr>
        <w:t> </w:t>
      </w:r>
      <w:r>
        <w:rPr>
          <w:sz w:val="20"/>
        </w:rPr>
        <w:t>context</w:t>
      </w:r>
      <w:r>
        <w:rPr>
          <w:spacing w:val="-7"/>
          <w:sz w:val="20"/>
        </w:rPr>
        <w:t> </w:t>
      </w:r>
      <w:r>
        <w:rPr>
          <w:sz w:val="20"/>
        </w:rPr>
        <w:t>of</w:t>
      </w:r>
      <w:r>
        <w:rPr>
          <w:spacing w:val="-13"/>
          <w:sz w:val="20"/>
        </w:rPr>
        <w:t> </w:t>
      </w:r>
      <w:r>
        <w:rPr>
          <w:sz w:val="20"/>
        </w:rPr>
        <w:t>its</w:t>
      </w:r>
      <w:r>
        <w:rPr>
          <w:spacing w:val="-10"/>
          <w:sz w:val="20"/>
        </w:rPr>
        <w:t> </w:t>
      </w:r>
      <w:r>
        <w:rPr>
          <w:sz w:val="20"/>
        </w:rPr>
        <w:t>commitment</w:t>
      </w:r>
      <w:r>
        <w:rPr>
          <w:spacing w:val="-12"/>
          <w:sz w:val="20"/>
        </w:rPr>
        <w:t> </w:t>
      </w:r>
      <w:r>
        <w:rPr>
          <w:sz w:val="20"/>
        </w:rPr>
        <w:t>to</w:t>
      </w:r>
      <w:r>
        <w:rPr>
          <w:spacing w:val="-13"/>
          <w:sz w:val="20"/>
        </w:rPr>
        <w:t> </w:t>
      </w:r>
      <w:r>
        <w:rPr>
          <w:sz w:val="20"/>
        </w:rPr>
        <w:t>continuous</w:t>
      </w:r>
      <w:r>
        <w:rPr>
          <w:spacing w:val="-10"/>
          <w:sz w:val="20"/>
        </w:rPr>
        <w:t> </w:t>
      </w:r>
      <w:r>
        <w:rPr>
          <w:sz w:val="20"/>
        </w:rPr>
        <w:t>improvement</w:t>
      </w:r>
      <w:r>
        <w:rPr>
          <w:spacing w:val="-5"/>
          <w:sz w:val="20"/>
        </w:rPr>
        <w:t> </w:t>
      </w:r>
      <w:r>
        <w:rPr>
          <w:sz w:val="20"/>
        </w:rPr>
        <w:t>–</w:t>
      </w:r>
      <w:r>
        <w:rPr>
          <w:spacing w:val="-13"/>
          <w:sz w:val="20"/>
        </w:rPr>
        <w:t> </w:t>
      </w:r>
      <w:r>
        <w:rPr>
          <w:sz w:val="20"/>
        </w:rPr>
        <w:t>constantly reviews its processes with the aim of performing more efficiently while maintaining the required level of quality in its results. These efficiencies are usually quantified in terms of existing</w:t>
      </w:r>
      <w:r>
        <w:rPr>
          <w:spacing w:val="-5"/>
          <w:sz w:val="20"/>
        </w:rPr>
        <w:t> </w:t>
      </w:r>
      <w:r>
        <w:rPr>
          <w:sz w:val="20"/>
        </w:rPr>
        <w:t>staff</w:t>
      </w:r>
      <w:r>
        <w:rPr>
          <w:spacing w:val="-9"/>
          <w:sz w:val="20"/>
        </w:rPr>
        <w:t> </w:t>
      </w:r>
      <w:r>
        <w:rPr>
          <w:sz w:val="20"/>
        </w:rPr>
        <w:t>time</w:t>
      </w:r>
      <w:r>
        <w:rPr>
          <w:spacing w:val="-3"/>
          <w:sz w:val="20"/>
        </w:rPr>
        <w:t> </w:t>
      </w:r>
      <w:r>
        <w:rPr>
          <w:sz w:val="20"/>
        </w:rPr>
        <w:t>freed</w:t>
      </w:r>
      <w:r>
        <w:rPr>
          <w:spacing w:val="-5"/>
          <w:sz w:val="20"/>
        </w:rPr>
        <w:t> </w:t>
      </w:r>
      <w:r>
        <w:rPr>
          <w:sz w:val="20"/>
        </w:rPr>
        <w:t>up,</w:t>
      </w:r>
      <w:r>
        <w:rPr>
          <w:spacing w:val="-7"/>
          <w:sz w:val="20"/>
        </w:rPr>
        <w:t> </w:t>
      </w:r>
      <w:r>
        <w:rPr>
          <w:sz w:val="20"/>
        </w:rPr>
        <w:t>enabling</w:t>
      </w:r>
      <w:r>
        <w:rPr>
          <w:spacing w:val="-9"/>
          <w:sz w:val="20"/>
        </w:rPr>
        <w:t> </w:t>
      </w:r>
      <w:r>
        <w:rPr>
          <w:sz w:val="20"/>
        </w:rPr>
        <w:t>current</w:t>
      </w:r>
      <w:r>
        <w:rPr>
          <w:spacing w:val="-8"/>
          <w:sz w:val="20"/>
        </w:rPr>
        <w:t> </w:t>
      </w:r>
      <w:r>
        <w:rPr>
          <w:sz w:val="20"/>
        </w:rPr>
        <w:t>resources</w:t>
      </w:r>
      <w:r>
        <w:rPr>
          <w:spacing w:val="-6"/>
          <w:sz w:val="20"/>
        </w:rPr>
        <w:t> </w:t>
      </w:r>
      <w:r>
        <w:rPr>
          <w:sz w:val="20"/>
        </w:rPr>
        <w:t>to</w:t>
      </w:r>
      <w:r>
        <w:rPr>
          <w:spacing w:val="-5"/>
          <w:sz w:val="20"/>
        </w:rPr>
        <w:t> </w:t>
      </w:r>
      <w:r>
        <w:rPr>
          <w:sz w:val="20"/>
        </w:rPr>
        <w:t>absorb</w:t>
      </w:r>
      <w:r>
        <w:rPr>
          <w:spacing w:val="-5"/>
          <w:sz w:val="20"/>
        </w:rPr>
        <w:t> </w:t>
      </w:r>
      <w:r>
        <w:rPr>
          <w:sz w:val="20"/>
        </w:rPr>
        <w:t>the</w:t>
      </w:r>
      <w:r>
        <w:rPr>
          <w:spacing w:val="-8"/>
          <w:sz w:val="20"/>
        </w:rPr>
        <w:t> </w:t>
      </w:r>
      <w:r>
        <w:rPr>
          <w:sz w:val="20"/>
        </w:rPr>
        <w:t>largest</w:t>
      </w:r>
      <w:r>
        <w:rPr>
          <w:spacing w:val="-8"/>
          <w:sz w:val="20"/>
        </w:rPr>
        <w:t> </w:t>
      </w:r>
      <w:r>
        <w:rPr>
          <w:sz w:val="20"/>
        </w:rPr>
        <w:t>possible</w:t>
      </w:r>
      <w:r>
        <w:rPr>
          <w:spacing w:val="-8"/>
          <w:sz w:val="20"/>
        </w:rPr>
        <w:t> </w:t>
      </w:r>
      <w:r>
        <w:rPr>
          <w:sz w:val="20"/>
        </w:rPr>
        <w:t>share</w:t>
      </w:r>
      <w:r>
        <w:rPr>
          <w:spacing w:val="-3"/>
          <w:sz w:val="20"/>
        </w:rPr>
        <w:t> </w:t>
      </w:r>
      <w:r>
        <w:rPr>
          <w:sz w:val="20"/>
        </w:rPr>
        <w:t>of the extra work arising from increased activity.</w:t>
      </w:r>
      <w:r>
        <w:rPr>
          <w:sz w:val="20"/>
          <w:vertAlign w:val="superscript"/>
        </w:rPr>
        <w:t>24</w:t>
      </w:r>
    </w:p>
    <w:p>
      <w:pPr>
        <w:pStyle w:val="ListParagraph"/>
        <w:numPr>
          <w:ilvl w:val="0"/>
          <w:numId w:val="4"/>
        </w:numPr>
        <w:tabs>
          <w:tab w:pos="2967" w:val="left" w:leader="none"/>
        </w:tabs>
        <w:spacing w:line="240" w:lineRule="auto" w:before="119" w:after="0"/>
        <w:ind w:left="2246" w:right="2246" w:firstLine="0"/>
        <w:jc w:val="both"/>
        <w:rPr>
          <w:sz w:val="20"/>
        </w:rPr>
      </w:pPr>
      <w:r>
        <w:rPr>
          <w:sz w:val="20"/>
        </w:rPr>
        <w:t>The total</w:t>
      </w:r>
      <w:r>
        <w:rPr>
          <w:spacing w:val="26"/>
          <w:sz w:val="20"/>
        </w:rPr>
        <w:t> </w:t>
      </w:r>
      <w:r>
        <w:rPr>
          <w:sz w:val="20"/>
        </w:rPr>
        <w:t>savings in the form</w:t>
      </w:r>
      <w:r>
        <w:rPr>
          <w:spacing w:val="26"/>
          <w:sz w:val="20"/>
        </w:rPr>
        <w:t> </w:t>
      </w:r>
      <w:r>
        <w:rPr>
          <w:sz w:val="20"/>
        </w:rPr>
        <w:t>of cost avoidance included in</w:t>
      </w:r>
      <w:r>
        <w:rPr>
          <w:spacing w:val="24"/>
          <w:sz w:val="20"/>
        </w:rPr>
        <w:t> </w:t>
      </w:r>
      <w:r>
        <w:rPr>
          <w:sz w:val="20"/>
        </w:rPr>
        <w:t>the</w:t>
      </w:r>
      <w:r>
        <w:rPr>
          <w:spacing w:val="26"/>
          <w:sz w:val="20"/>
        </w:rPr>
        <w:t> </w:t>
      </w:r>
      <w:r>
        <w:rPr>
          <w:sz w:val="20"/>
        </w:rPr>
        <w:t>budget</w:t>
      </w:r>
      <w:r>
        <w:rPr>
          <w:spacing w:val="26"/>
          <w:sz w:val="20"/>
        </w:rPr>
        <w:t> </w:t>
      </w:r>
      <w:r>
        <w:rPr>
          <w:sz w:val="20"/>
        </w:rPr>
        <w:t>proposal for 2023 amount to €751.0 thousand. The agreement entered into by the Forensic Science Section</w:t>
      </w:r>
      <w:r>
        <w:rPr>
          <w:spacing w:val="20"/>
          <w:sz w:val="20"/>
        </w:rPr>
        <w:t> </w:t>
      </w:r>
      <w:r>
        <w:rPr>
          <w:sz w:val="20"/>
        </w:rPr>
        <w:t>with</w:t>
      </w:r>
      <w:r>
        <w:rPr>
          <w:spacing w:val="15"/>
          <w:sz w:val="20"/>
        </w:rPr>
        <w:t> </w:t>
      </w:r>
      <w:r>
        <w:rPr>
          <w:sz w:val="20"/>
        </w:rPr>
        <w:t>an</w:t>
      </w:r>
      <w:r>
        <w:rPr>
          <w:spacing w:val="15"/>
          <w:sz w:val="20"/>
        </w:rPr>
        <w:t> </w:t>
      </w:r>
      <w:r>
        <w:rPr>
          <w:sz w:val="20"/>
        </w:rPr>
        <w:t>external</w:t>
      </w:r>
      <w:r>
        <w:rPr>
          <w:spacing w:val="17"/>
          <w:sz w:val="20"/>
        </w:rPr>
        <w:t> </w:t>
      </w:r>
      <w:r>
        <w:rPr>
          <w:sz w:val="20"/>
        </w:rPr>
        <w:t>partner</w:t>
      </w:r>
      <w:r>
        <w:rPr>
          <w:spacing w:val="16"/>
          <w:sz w:val="20"/>
        </w:rPr>
        <w:t> </w:t>
      </w:r>
      <w:r>
        <w:rPr>
          <w:sz w:val="20"/>
        </w:rPr>
        <w:t>that</w:t>
      </w:r>
      <w:r>
        <w:rPr>
          <w:spacing w:val="22"/>
          <w:sz w:val="20"/>
        </w:rPr>
        <w:t> </w:t>
      </w:r>
      <w:r>
        <w:rPr>
          <w:sz w:val="20"/>
        </w:rPr>
        <w:t>provides</w:t>
      </w:r>
      <w:r>
        <w:rPr>
          <w:spacing w:val="19"/>
          <w:sz w:val="20"/>
        </w:rPr>
        <w:t> </w:t>
      </w:r>
      <w:r>
        <w:rPr>
          <w:sz w:val="20"/>
        </w:rPr>
        <w:t>pro</w:t>
      </w:r>
      <w:r>
        <w:rPr>
          <w:spacing w:val="16"/>
          <w:sz w:val="20"/>
        </w:rPr>
        <w:t> </w:t>
      </w:r>
      <w:r>
        <w:rPr>
          <w:sz w:val="20"/>
        </w:rPr>
        <w:t>bono</w:t>
      </w:r>
      <w:r>
        <w:rPr>
          <w:spacing w:val="15"/>
          <w:sz w:val="20"/>
        </w:rPr>
        <w:t> </w:t>
      </w:r>
      <w:r>
        <w:rPr>
          <w:sz w:val="20"/>
        </w:rPr>
        <w:t>forensic</w:t>
      </w:r>
      <w:r>
        <w:rPr>
          <w:spacing w:val="17"/>
          <w:sz w:val="20"/>
        </w:rPr>
        <w:t> </w:t>
      </w:r>
      <w:r>
        <w:rPr>
          <w:sz w:val="20"/>
        </w:rPr>
        <w:t>experts</w:t>
      </w:r>
      <w:r>
        <w:rPr>
          <w:spacing w:val="19"/>
          <w:sz w:val="20"/>
        </w:rPr>
        <w:t> </w:t>
      </w:r>
      <w:r>
        <w:rPr>
          <w:sz w:val="20"/>
        </w:rPr>
        <w:t>for</w:t>
      </w:r>
      <w:r>
        <w:rPr>
          <w:spacing w:val="20"/>
          <w:sz w:val="20"/>
        </w:rPr>
        <w:t> </w:t>
      </w:r>
      <w:r>
        <w:rPr>
          <w:sz w:val="20"/>
        </w:rPr>
        <w:t>specific</w:t>
      </w:r>
      <w:r>
        <w:rPr>
          <w:spacing w:val="22"/>
          <w:sz w:val="20"/>
        </w:rPr>
        <w:t> </w:t>
      </w:r>
      <w:r>
        <w:rPr>
          <w:sz w:val="20"/>
        </w:rPr>
        <w:t>field</w:t>
      </w:r>
    </w:p>
    <w:p>
      <w:pPr>
        <w:pStyle w:val="BodyText"/>
      </w:pPr>
    </w:p>
    <w:p>
      <w:pPr>
        <w:pStyle w:val="BodyText"/>
      </w:pPr>
    </w:p>
    <w:p>
      <w:pPr>
        <w:pStyle w:val="BodyText"/>
        <w:spacing w:before="2"/>
        <w:rPr>
          <w:sz w:val="10"/>
        </w:rPr>
      </w:pPr>
      <w:r>
        <w:rPr/>
        <w:pict>
          <v:rect style="position:absolute;margin-left:113.330002pt;margin-top:7.076601pt;width:144.050pt;height:.48004pt;mso-position-horizontal-relative:page;mso-position-vertical-relative:paragraph;z-index:-15714816;mso-wrap-distance-left:0;mso-wrap-distance-right:0" id="docshape78" filled="true" fillcolor="#000000" stroked="false">
            <v:fill type="solid"/>
            <w10:wrap type="topAndBottom"/>
          </v:rect>
        </w:pict>
      </w:r>
    </w:p>
    <w:p>
      <w:pPr>
        <w:spacing w:line="183" w:lineRule="exact" w:before="86"/>
        <w:ind w:left="2246" w:right="0" w:firstLine="0"/>
        <w:jc w:val="both"/>
        <w:rPr>
          <w:sz w:val="16"/>
        </w:rPr>
      </w:pPr>
      <w:r>
        <w:rPr>
          <w:position w:val="5"/>
          <w:sz w:val="10"/>
        </w:rPr>
        <w:t>24</w:t>
      </w:r>
      <w:r>
        <w:rPr>
          <w:spacing w:val="14"/>
          <w:position w:val="5"/>
          <w:sz w:val="10"/>
        </w:rPr>
        <w:t> </w:t>
      </w:r>
      <w:r>
        <w:rPr>
          <w:sz w:val="16"/>
        </w:rPr>
        <w:t>The</w:t>
      </w:r>
      <w:r>
        <w:rPr>
          <w:spacing w:val="-2"/>
          <w:sz w:val="16"/>
        </w:rPr>
        <w:t> </w:t>
      </w:r>
      <w:r>
        <w:rPr>
          <w:sz w:val="16"/>
        </w:rPr>
        <w:t>Court</w:t>
      </w:r>
      <w:r>
        <w:rPr>
          <w:spacing w:val="1"/>
          <w:sz w:val="16"/>
        </w:rPr>
        <w:t> </w:t>
      </w:r>
      <w:r>
        <w:rPr>
          <w:sz w:val="16"/>
        </w:rPr>
        <w:t>has</w:t>
      </w:r>
      <w:r>
        <w:rPr>
          <w:spacing w:val="-3"/>
          <w:sz w:val="16"/>
        </w:rPr>
        <w:t> </w:t>
      </w:r>
      <w:r>
        <w:rPr>
          <w:sz w:val="16"/>
        </w:rPr>
        <w:t>presented</w:t>
      </w:r>
      <w:r>
        <w:rPr>
          <w:spacing w:val="-1"/>
          <w:sz w:val="16"/>
        </w:rPr>
        <w:t> </w:t>
      </w:r>
      <w:r>
        <w:rPr>
          <w:sz w:val="16"/>
        </w:rPr>
        <w:t>its</w:t>
      </w:r>
      <w:r>
        <w:rPr>
          <w:spacing w:val="2"/>
          <w:sz w:val="16"/>
        </w:rPr>
        <w:t> </w:t>
      </w:r>
      <w:r>
        <w:rPr>
          <w:sz w:val="16"/>
        </w:rPr>
        <w:t>methodology</w:t>
      </w:r>
      <w:r>
        <w:rPr>
          <w:spacing w:val="-1"/>
          <w:sz w:val="16"/>
        </w:rPr>
        <w:t> </w:t>
      </w:r>
      <w:r>
        <w:rPr>
          <w:sz w:val="16"/>
        </w:rPr>
        <w:t>to the</w:t>
      </w:r>
      <w:r>
        <w:rPr>
          <w:spacing w:val="-2"/>
          <w:sz w:val="16"/>
        </w:rPr>
        <w:t> </w:t>
      </w:r>
      <w:r>
        <w:rPr>
          <w:sz w:val="16"/>
        </w:rPr>
        <w:t>Committee</w:t>
      </w:r>
      <w:r>
        <w:rPr>
          <w:spacing w:val="-2"/>
          <w:sz w:val="16"/>
        </w:rPr>
        <w:t> </w:t>
      </w:r>
      <w:r>
        <w:rPr>
          <w:sz w:val="16"/>
        </w:rPr>
        <w:t>and</w:t>
      </w:r>
      <w:r>
        <w:rPr>
          <w:spacing w:val="-1"/>
          <w:sz w:val="16"/>
        </w:rPr>
        <w:t> </w:t>
      </w:r>
      <w:r>
        <w:rPr>
          <w:sz w:val="16"/>
        </w:rPr>
        <w:t>the</w:t>
      </w:r>
      <w:r>
        <w:rPr>
          <w:spacing w:val="3"/>
          <w:sz w:val="16"/>
        </w:rPr>
        <w:t> </w:t>
      </w:r>
      <w:r>
        <w:rPr>
          <w:sz w:val="16"/>
        </w:rPr>
        <w:t>following</w:t>
      </w:r>
      <w:r>
        <w:rPr>
          <w:spacing w:val="-1"/>
          <w:sz w:val="16"/>
        </w:rPr>
        <w:t> </w:t>
      </w:r>
      <w:r>
        <w:rPr>
          <w:sz w:val="16"/>
        </w:rPr>
        <w:t>categories</w:t>
      </w:r>
      <w:r>
        <w:rPr>
          <w:spacing w:val="-3"/>
          <w:sz w:val="16"/>
        </w:rPr>
        <w:t> </w:t>
      </w:r>
      <w:r>
        <w:rPr>
          <w:sz w:val="16"/>
        </w:rPr>
        <w:t>have</w:t>
      </w:r>
      <w:r>
        <w:rPr>
          <w:spacing w:val="-1"/>
          <w:sz w:val="16"/>
        </w:rPr>
        <w:t> </w:t>
      </w:r>
      <w:r>
        <w:rPr>
          <w:sz w:val="16"/>
        </w:rPr>
        <w:t>been</w:t>
      </w:r>
      <w:r>
        <w:rPr>
          <w:spacing w:val="-1"/>
          <w:sz w:val="16"/>
        </w:rPr>
        <w:t> </w:t>
      </w:r>
      <w:r>
        <w:rPr>
          <w:sz w:val="16"/>
        </w:rPr>
        <w:t>agreed</w:t>
      </w:r>
      <w:r>
        <w:rPr>
          <w:spacing w:val="-1"/>
          <w:sz w:val="16"/>
        </w:rPr>
        <w:t> </w:t>
      </w:r>
      <w:r>
        <w:rPr>
          <w:spacing w:val="-2"/>
          <w:sz w:val="16"/>
        </w:rPr>
        <w:t>upon:</w:t>
      </w:r>
    </w:p>
    <w:p>
      <w:pPr>
        <w:spacing w:line="240" w:lineRule="auto" w:before="0"/>
        <w:ind w:left="2246" w:right="2240" w:firstLine="0"/>
        <w:jc w:val="both"/>
        <w:rPr>
          <w:sz w:val="16"/>
        </w:rPr>
      </w:pPr>
      <w:r>
        <w:rPr>
          <w:sz w:val="16"/>
        </w:rPr>
        <w:t>1.</w:t>
      </w:r>
      <w:r>
        <w:rPr>
          <w:spacing w:val="-8"/>
          <w:sz w:val="16"/>
        </w:rPr>
        <w:t> </w:t>
      </w:r>
      <w:r>
        <w:rPr>
          <w:i/>
          <w:sz w:val="16"/>
        </w:rPr>
        <w:t>Savings</w:t>
      </w:r>
      <w:r>
        <w:rPr>
          <w:i/>
          <w:spacing w:val="-5"/>
          <w:sz w:val="16"/>
        </w:rPr>
        <w:t> </w:t>
      </w:r>
      <w:r>
        <w:rPr>
          <w:sz w:val="16"/>
        </w:rPr>
        <w:t>(two</w:t>
      </w:r>
      <w:r>
        <w:rPr>
          <w:spacing w:val="-5"/>
          <w:sz w:val="16"/>
        </w:rPr>
        <w:t> </w:t>
      </w:r>
      <w:r>
        <w:rPr>
          <w:sz w:val="16"/>
        </w:rPr>
        <w:t>categories):</w:t>
      </w:r>
      <w:r>
        <w:rPr>
          <w:spacing w:val="-8"/>
          <w:sz w:val="16"/>
        </w:rPr>
        <w:t> </w:t>
      </w:r>
      <w:r>
        <w:rPr>
          <w:sz w:val="16"/>
        </w:rPr>
        <w:t>(i)</w:t>
      </w:r>
      <w:r>
        <w:rPr>
          <w:spacing w:val="-2"/>
          <w:sz w:val="16"/>
        </w:rPr>
        <w:t> </w:t>
      </w:r>
      <w:r>
        <w:rPr>
          <w:sz w:val="16"/>
        </w:rPr>
        <w:t>costs</w:t>
      </w:r>
      <w:r>
        <w:rPr>
          <w:spacing w:val="-6"/>
          <w:sz w:val="16"/>
        </w:rPr>
        <w:t> </w:t>
      </w:r>
      <w:r>
        <w:rPr>
          <w:sz w:val="16"/>
        </w:rPr>
        <w:t>incurred</w:t>
      </w:r>
      <w:r>
        <w:rPr>
          <w:spacing w:val="-5"/>
          <w:sz w:val="16"/>
        </w:rPr>
        <w:t> </w:t>
      </w:r>
      <w:r>
        <w:rPr>
          <w:sz w:val="16"/>
        </w:rPr>
        <w:t>in</w:t>
      </w:r>
      <w:r>
        <w:rPr>
          <w:spacing w:val="-5"/>
          <w:sz w:val="16"/>
        </w:rPr>
        <w:t> </w:t>
      </w:r>
      <w:r>
        <w:rPr>
          <w:sz w:val="16"/>
        </w:rPr>
        <w:t>the</w:t>
      </w:r>
      <w:r>
        <w:rPr>
          <w:spacing w:val="-1"/>
          <w:sz w:val="16"/>
        </w:rPr>
        <w:t> </w:t>
      </w:r>
      <w:r>
        <w:rPr>
          <w:sz w:val="16"/>
        </w:rPr>
        <w:t>previous/current</w:t>
      </w:r>
      <w:r>
        <w:rPr>
          <w:spacing w:val="-8"/>
          <w:sz w:val="16"/>
        </w:rPr>
        <w:t> </w:t>
      </w:r>
      <w:r>
        <w:rPr>
          <w:sz w:val="16"/>
        </w:rPr>
        <w:t>financial</w:t>
      </w:r>
      <w:r>
        <w:rPr>
          <w:spacing w:val="-8"/>
          <w:sz w:val="16"/>
        </w:rPr>
        <w:t> </w:t>
      </w:r>
      <w:r>
        <w:rPr>
          <w:sz w:val="16"/>
        </w:rPr>
        <w:t>period</w:t>
      </w:r>
      <w:r>
        <w:rPr>
          <w:spacing w:val="-5"/>
          <w:sz w:val="16"/>
        </w:rPr>
        <w:t> </w:t>
      </w:r>
      <w:r>
        <w:rPr>
          <w:sz w:val="16"/>
        </w:rPr>
        <w:t>and</w:t>
      </w:r>
      <w:r>
        <w:rPr>
          <w:spacing w:val="-5"/>
          <w:sz w:val="16"/>
        </w:rPr>
        <w:t> </w:t>
      </w:r>
      <w:r>
        <w:rPr>
          <w:sz w:val="16"/>
        </w:rPr>
        <w:t>no</w:t>
      </w:r>
      <w:r>
        <w:rPr>
          <w:spacing w:val="-5"/>
          <w:sz w:val="16"/>
        </w:rPr>
        <w:t> </w:t>
      </w:r>
      <w:r>
        <w:rPr>
          <w:sz w:val="16"/>
        </w:rPr>
        <w:t>longer</w:t>
      </w:r>
      <w:r>
        <w:rPr>
          <w:spacing w:val="-7"/>
          <w:sz w:val="16"/>
        </w:rPr>
        <w:t> </w:t>
      </w:r>
      <w:r>
        <w:rPr>
          <w:sz w:val="16"/>
        </w:rPr>
        <w:t>appearing</w:t>
      </w:r>
      <w:r>
        <w:rPr>
          <w:spacing w:val="-5"/>
          <w:sz w:val="16"/>
        </w:rPr>
        <w:t> </w:t>
      </w:r>
      <w:r>
        <w:rPr>
          <w:sz w:val="16"/>
        </w:rPr>
        <w:t>in</w:t>
      </w:r>
      <w:r>
        <w:rPr>
          <w:spacing w:val="-5"/>
          <w:sz w:val="16"/>
        </w:rPr>
        <w:t> </w:t>
      </w:r>
      <w:r>
        <w:rPr>
          <w:sz w:val="16"/>
        </w:rPr>
        <w:t>the</w:t>
      </w:r>
      <w:r>
        <w:rPr>
          <w:spacing w:val="40"/>
          <w:sz w:val="16"/>
        </w:rPr>
        <w:t> </w:t>
      </w:r>
      <w:r>
        <w:rPr>
          <w:sz w:val="16"/>
        </w:rPr>
        <w:t>following programme budget, resulting in a reduction in the baseline; and (ii) increases in costs avoided through</w:t>
      </w:r>
      <w:r>
        <w:rPr>
          <w:spacing w:val="40"/>
          <w:sz w:val="16"/>
        </w:rPr>
        <w:t> </w:t>
      </w:r>
      <w:r>
        <w:rPr>
          <w:sz w:val="16"/>
        </w:rPr>
        <w:t>newly</w:t>
      </w:r>
      <w:r>
        <w:rPr>
          <w:spacing w:val="-1"/>
          <w:sz w:val="16"/>
        </w:rPr>
        <w:t> </w:t>
      </w:r>
      <w:r>
        <w:rPr>
          <w:sz w:val="16"/>
        </w:rPr>
        <w:t>introduced</w:t>
      </w:r>
      <w:r>
        <w:rPr>
          <w:spacing w:val="-1"/>
          <w:sz w:val="16"/>
        </w:rPr>
        <w:t> </w:t>
      </w:r>
      <w:r>
        <w:rPr>
          <w:sz w:val="16"/>
        </w:rPr>
        <w:t>policies,</w:t>
      </w:r>
      <w:r>
        <w:rPr>
          <w:spacing w:val="-4"/>
          <w:sz w:val="16"/>
        </w:rPr>
        <w:t> </w:t>
      </w:r>
      <w:r>
        <w:rPr>
          <w:sz w:val="16"/>
        </w:rPr>
        <w:t>procedures</w:t>
      </w:r>
      <w:r>
        <w:rPr>
          <w:spacing w:val="-3"/>
          <w:sz w:val="16"/>
        </w:rPr>
        <w:t> </w:t>
      </w:r>
      <w:r>
        <w:rPr>
          <w:sz w:val="16"/>
        </w:rPr>
        <w:t>and/or</w:t>
      </w:r>
      <w:r>
        <w:rPr>
          <w:spacing w:val="-3"/>
          <w:sz w:val="16"/>
        </w:rPr>
        <w:t> </w:t>
      </w:r>
      <w:r>
        <w:rPr>
          <w:sz w:val="16"/>
        </w:rPr>
        <w:t>negotiations</w:t>
      </w:r>
      <w:r>
        <w:rPr>
          <w:spacing w:val="-3"/>
          <w:sz w:val="16"/>
        </w:rPr>
        <w:t> </w:t>
      </w:r>
      <w:r>
        <w:rPr>
          <w:sz w:val="16"/>
        </w:rPr>
        <w:t>with</w:t>
      </w:r>
      <w:r>
        <w:rPr>
          <w:spacing w:val="-1"/>
          <w:sz w:val="16"/>
        </w:rPr>
        <w:t> </w:t>
      </w:r>
      <w:r>
        <w:rPr>
          <w:sz w:val="16"/>
        </w:rPr>
        <w:t>suppliers</w:t>
      </w:r>
      <w:r>
        <w:rPr>
          <w:spacing w:val="-3"/>
          <w:sz w:val="16"/>
        </w:rPr>
        <w:t> </w:t>
      </w:r>
      <w:r>
        <w:rPr>
          <w:sz w:val="16"/>
        </w:rPr>
        <w:t>or</w:t>
      </w:r>
      <w:r>
        <w:rPr>
          <w:spacing w:val="-3"/>
          <w:sz w:val="16"/>
        </w:rPr>
        <w:t> </w:t>
      </w:r>
      <w:r>
        <w:rPr>
          <w:sz w:val="16"/>
        </w:rPr>
        <w:t>service</w:t>
      </w:r>
      <w:r>
        <w:rPr>
          <w:spacing w:val="-2"/>
          <w:sz w:val="16"/>
        </w:rPr>
        <w:t> </w:t>
      </w:r>
      <w:r>
        <w:rPr>
          <w:sz w:val="16"/>
        </w:rPr>
        <w:t>providers,</w:t>
      </w:r>
      <w:r>
        <w:rPr>
          <w:spacing w:val="-4"/>
          <w:sz w:val="16"/>
        </w:rPr>
        <w:t> </w:t>
      </w:r>
      <w:r>
        <w:rPr>
          <w:sz w:val="16"/>
        </w:rPr>
        <w:t>resulting</w:t>
      </w:r>
      <w:r>
        <w:rPr>
          <w:spacing w:val="-1"/>
          <w:sz w:val="16"/>
        </w:rPr>
        <w:t> </w:t>
      </w:r>
      <w:r>
        <w:rPr>
          <w:sz w:val="16"/>
        </w:rPr>
        <w:t>in</w:t>
      </w:r>
      <w:r>
        <w:rPr>
          <w:spacing w:val="-1"/>
          <w:sz w:val="16"/>
        </w:rPr>
        <w:t> </w:t>
      </w:r>
      <w:r>
        <w:rPr>
          <w:sz w:val="16"/>
        </w:rPr>
        <w:t>the</w:t>
      </w:r>
      <w:r>
        <w:rPr>
          <w:spacing w:val="-2"/>
          <w:sz w:val="16"/>
        </w:rPr>
        <w:t> </w:t>
      </w:r>
      <w:r>
        <w:rPr>
          <w:sz w:val="16"/>
        </w:rPr>
        <w:t>same</w:t>
      </w:r>
      <w:r>
        <w:rPr>
          <w:spacing w:val="40"/>
          <w:sz w:val="16"/>
        </w:rPr>
        <w:t> </w:t>
      </w:r>
      <w:r>
        <w:rPr>
          <w:sz w:val="16"/>
        </w:rPr>
        <w:t>baseline; 2. </w:t>
      </w:r>
      <w:r>
        <w:rPr>
          <w:i/>
          <w:sz w:val="16"/>
        </w:rPr>
        <w:t>Efficiencies</w:t>
      </w:r>
      <w:r>
        <w:rPr>
          <w:sz w:val="16"/>
        </w:rPr>
        <w:t>: activities which limit or avoid requests for additional resources and/or provide increased</w:t>
      </w:r>
      <w:r>
        <w:rPr>
          <w:spacing w:val="40"/>
          <w:sz w:val="16"/>
        </w:rPr>
        <w:t> </w:t>
      </w:r>
      <w:r>
        <w:rPr>
          <w:sz w:val="16"/>
        </w:rPr>
        <w:t>productivity, resulting in the same baseline but avoiding any increase in costs; 3. </w:t>
      </w:r>
      <w:r>
        <w:rPr>
          <w:i/>
          <w:sz w:val="16"/>
        </w:rPr>
        <w:t>Non-recurrent costs</w:t>
      </w:r>
      <w:r>
        <w:rPr>
          <w:sz w:val="16"/>
        </w:rPr>
        <w:t>: one-off</w:t>
      </w:r>
      <w:r>
        <w:rPr>
          <w:spacing w:val="40"/>
          <w:sz w:val="16"/>
        </w:rPr>
        <w:t> </w:t>
      </w:r>
      <w:r>
        <w:rPr>
          <w:sz w:val="16"/>
        </w:rPr>
        <w:t>decreases in resource requirements attributable to non-continuation of activities, resulting in a reduction in the</w:t>
      </w:r>
      <w:r>
        <w:rPr>
          <w:spacing w:val="40"/>
          <w:sz w:val="16"/>
        </w:rPr>
        <w:t> </w:t>
      </w:r>
      <w:r>
        <w:rPr>
          <w:sz w:val="16"/>
        </w:rPr>
        <w:t>baseline; and 4. </w:t>
      </w:r>
      <w:r>
        <w:rPr>
          <w:i/>
          <w:sz w:val="16"/>
        </w:rPr>
        <w:t>Additional cost reductions</w:t>
      </w:r>
      <w:r>
        <w:rPr>
          <w:sz w:val="16"/>
        </w:rPr>
        <w:t>: workload-related changes resulting in a reduction in the baseline.</w:t>
      </w:r>
    </w:p>
    <w:p>
      <w:pPr>
        <w:spacing w:after="0" w:line="240" w:lineRule="auto"/>
        <w:jc w:val="both"/>
        <w:rPr>
          <w:sz w:val="16"/>
        </w:rPr>
        <w:sectPr>
          <w:pgSz w:w="11910" w:h="16840"/>
          <w:pgMar w:header="953" w:footer="940" w:top="1140" w:bottom="1140" w:left="20" w:right="20"/>
        </w:sectPr>
      </w:pPr>
    </w:p>
    <w:p>
      <w:pPr>
        <w:pStyle w:val="BodyText"/>
        <w:spacing w:before="120"/>
        <w:ind w:left="2246" w:right="2250"/>
        <w:jc w:val="both"/>
      </w:pPr>
      <w:r>
        <w:rPr/>
        <w:t>activities will allow the Office to benefit from specialized expertise that would have otherwise cost €350.0 thousand.</w:t>
      </w:r>
    </w:p>
    <w:p>
      <w:pPr>
        <w:pStyle w:val="ListParagraph"/>
        <w:numPr>
          <w:ilvl w:val="0"/>
          <w:numId w:val="4"/>
        </w:numPr>
        <w:tabs>
          <w:tab w:pos="2967" w:val="left" w:leader="none"/>
        </w:tabs>
        <w:spacing w:line="240" w:lineRule="auto" w:before="121" w:after="0"/>
        <w:ind w:left="2246" w:right="2239" w:firstLine="0"/>
        <w:jc w:val="both"/>
        <w:rPr>
          <w:sz w:val="20"/>
        </w:rPr>
      </w:pPr>
      <w:r>
        <w:rPr>
          <w:sz w:val="20"/>
        </w:rPr>
        <w:t>Part of the savings and efficiencies come from recourse to National Professional Officers (NPO), as new resources available to staff unified teams in the field. The NPO category has been implemented following the discussion held between the Court and the Committee in 2021 and approval by the Assembly of the recommendation on this new category. As explained in the later sections of this narrative</w:t>
      </w:r>
      <w:r>
        <w:rPr>
          <w:spacing w:val="-1"/>
          <w:sz w:val="20"/>
        </w:rPr>
        <w:t> </w:t>
      </w:r>
      <w:r>
        <w:rPr>
          <w:sz w:val="20"/>
        </w:rPr>
        <w:t>describing the staffing requests of each programme, the Office is requesting a total of nine NPOs. The affected positions would have cost €270.9 thousand more had they been requested as international recruits.</w:t>
      </w:r>
    </w:p>
    <w:p>
      <w:pPr>
        <w:pStyle w:val="ListParagraph"/>
        <w:numPr>
          <w:ilvl w:val="0"/>
          <w:numId w:val="4"/>
        </w:numPr>
        <w:tabs>
          <w:tab w:pos="2967" w:val="left" w:leader="none"/>
        </w:tabs>
        <w:spacing w:line="240" w:lineRule="auto" w:before="124" w:after="0"/>
        <w:ind w:left="2246" w:right="2243" w:firstLine="0"/>
        <w:jc w:val="both"/>
        <w:rPr>
          <w:sz w:val="20"/>
        </w:rPr>
      </w:pPr>
      <w:r>
        <w:rPr>
          <w:sz w:val="20"/>
        </w:rPr>
        <w:t>The</w:t>
      </w:r>
      <w:r>
        <w:rPr>
          <w:spacing w:val="-2"/>
          <w:sz w:val="20"/>
        </w:rPr>
        <w:t> </w:t>
      </w:r>
      <w:r>
        <w:rPr>
          <w:sz w:val="20"/>
        </w:rPr>
        <w:t>Office</w:t>
      </w:r>
      <w:r>
        <w:rPr>
          <w:spacing w:val="-2"/>
          <w:sz w:val="20"/>
        </w:rPr>
        <w:t> </w:t>
      </w:r>
      <w:r>
        <w:rPr>
          <w:sz w:val="20"/>
        </w:rPr>
        <w:t>continues</w:t>
      </w:r>
      <w:r>
        <w:rPr>
          <w:spacing w:val="-5"/>
          <w:sz w:val="20"/>
        </w:rPr>
        <w:t> </w:t>
      </w:r>
      <w:r>
        <w:rPr>
          <w:sz w:val="20"/>
        </w:rPr>
        <w:t>to</w:t>
      </w:r>
      <w:r>
        <w:rPr>
          <w:spacing w:val="-4"/>
          <w:sz w:val="20"/>
        </w:rPr>
        <w:t> </w:t>
      </w:r>
      <w:r>
        <w:rPr>
          <w:sz w:val="20"/>
        </w:rPr>
        <w:t>look</w:t>
      </w:r>
      <w:r>
        <w:rPr>
          <w:spacing w:val="-4"/>
          <w:sz w:val="20"/>
        </w:rPr>
        <w:t> </w:t>
      </w:r>
      <w:r>
        <w:rPr>
          <w:sz w:val="20"/>
        </w:rPr>
        <w:t>into</w:t>
      </w:r>
      <w:r>
        <w:rPr>
          <w:spacing w:val="-4"/>
          <w:sz w:val="20"/>
        </w:rPr>
        <w:t> </w:t>
      </w:r>
      <w:r>
        <w:rPr>
          <w:sz w:val="20"/>
        </w:rPr>
        <w:t>alternative</w:t>
      </w:r>
      <w:r>
        <w:rPr>
          <w:spacing w:val="-2"/>
          <w:sz w:val="20"/>
        </w:rPr>
        <w:t> </w:t>
      </w:r>
      <w:r>
        <w:rPr>
          <w:sz w:val="20"/>
        </w:rPr>
        <w:t>accommodation</w:t>
      </w:r>
      <w:r>
        <w:rPr>
          <w:spacing w:val="-4"/>
          <w:sz w:val="20"/>
        </w:rPr>
        <w:t> </w:t>
      </w:r>
      <w:r>
        <w:rPr>
          <w:sz w:val="20"/>
        </w:rPr>
        <w:t>and</w:t>
      </w:r>
      <w:r>
        <w:rPr>
          <w:spacing w:val="-4"/>
          <w:sz w:val="20"/>
        </w:rPr>
        <w:t> </w:t>
      </w:r>
      <w:r>
        <w:rPr>
          <w:sz w:val="20"/>
        </w:rPr>
        <w:t>facilities for</w:t>
      </w:r>
      <w:r>
        <w:rPr>
          <w:spacing w:val="-4"/>
          <w:sz w:val="20"/>
        </w:rPr>
        <w:t> </w:t>
      </w:r>
      <w:r>
        <w:rPr>
          <w:sz w:val="20"/>
        </w:rPr>
        <w:t>staff that</w:t>
      </w:r>
      <w:r>
        <w:rPr>
          <w:spacing w:val="-8"/>
          <w:sz w:val="20"/>
        </w:rPr>
        <w:t> </w:t>
      </w:r>
      <w:r>
        <w:rPr>
          <w:sz w:val="20"/>
        </w:rPr>
        <w:t>are</w:t>
      </w:r>
      <w:r>
        <w:rPr>
          <w:spacing w:val="-7"/>
          <w:sz w:val="20"/>
        </w:rPr>
        <w:t> </w:t>
      </w:r>
      <w:r>
        <w:rPr>
          <w:sz w:val="20"/>
        </w:rPr>
        <w:t>deployed</w:t>
      </w:r>
      <w:r>
        <w:rPr>
          <w:spacing w:val="-13"/>
          <w:sz w:val="20"/>
        </w:rPr>
        <w:t> </w:t>
      </w:r>
      <w:r>
        <w:rPr>
          <w:sz w:val="20"/>
        </w:rPr>
        <w:t>in</w:t>
      </w:r>
      <w:r>
        <w:rPr>
          <w:spacing w:val="-8"/>
          <w:sz w:val="20"/>
        </w:rPr>
        <w:t> </w:t>
      </w:r>
      <w:r>
        <w:rPr>
          <w:sz w:val="20"/>
        </w:rPr>
        <w:t>the</w:t>
      </w:r>
      <w:r>
        <w:rPr>
          <w:spacing w:val="-7"/>
          <w:sz w:val="20"/>
        </w:rPr>
        <w:t> </w:t>
      </w:r>
      <w:r>
        <w:rPr>
          <w:sz w:val="20"/>
        </w:rPr>
        <w:t>field.</w:t>
      </w:r>
      <w:r>
        <w:rPr>
          <w:spacing w:val="-11"/>
          <w:sz w:val="20"/>
        </w:rPr>
        <w:t> </w:t>
      </w:r>
      <w:r>
        <w:rPr>
          <w:sz w:val="20"/>
        </w:rPr>
        <w:t>These</w:t>
      </w:r>
      <w:r>
        <w:rPr>
          <w:spacing w:val="-7"/>
          <w:sz w:val="20"/>
        </w:rPr>
        <w:t> </w:t>
      </w:r>
      <w:r>
        <w:rPr>
          <w:sz w:val="20"/>
        </w:rPr>
        <w:t>solutions</w:t>
      </w:r>
      <w:r>
        <w:rPr>
          <w:spacing w:val="-10"/>
          <w:sz w:val="20"/>
        </w:rPr>
        <w:t> </w:t>
      </w:r>
      <w:r>
        <w:rPr>
          <w:sz w:val="20"/>
        </w:rPr>
        <w:t>allow</w:t>
      </w:r>
      <w:r>
        <w:rPr>
          <w:spacing w:val="-10"/>
          <w:sz w:val="20"/>
        </w:rPr>
        <w:t> </w:t>
      </w:r>
      <w:r>
        <w:rPr>
          <w:sz w:val="20"/>
        </w:rPr>
        <w:t>for</w:t>
      </w:r>
      <w:r>
        <w:rPr>
          <w:spacing w:val="-8"/>
          <w:sz w:val="20"/>
        </w:rPr>
        <w:t> </w:t>
      </w:r>
      <w:r>
        <w:rPr>
          <w:sz w:val="20"/>
        </w:rPr>
        <w:t>reductions</w:t>
      </w:r>
      <w:r>
        <w:rPr>
          <w:spacing w:val="-10"/>
          <w:sz w:val="20"/>
        </w:rPr>
        <w:t> </w:t>
      </w:r>
      <w:r>
        <w:rPr>
          <w:sz w:val="20"/>
        </w:rPr>
        <w:t>in</w:t>
      </w:r>
      <w:r>
        <w:rPr>
          <w:spacing w:val="-13"/>
          <w:sz w:val="20"/>
        </w:rPr>
        <w:t> </w:t>
      </w:r>
      <w:r>
        <w:rPr>
          <w:sz w:val="20"/>
        </w:rPr>
        <w:t>the</w:t>
      </w:r>
      <w:r>
        <w:rPr>
          <w:spacing w:val="-11"/>
          <w:sz w:val="20"/>
        </w:rPr>
        <w:t> </w:t>
      </w:r>
      <w:r>
        <w:rPr>
          <w:sz w:val="20"/>
        </w:rPr>
        <w:t>applicable</w:t>
      </w:r>
      <w:r>
        <w:rPr>
          <w:spacing w:val="-7"/>
          <w:sz w:val="20"/>
        </w:rPr>
        <w:t> </w:t>
      </w:r>
      <w:r>
        <w:rPr>
          <w:sz w:val="20"/>
        </w:rPr>
        <w:t>DSA</w:t>
      </w:r>
      <w:r>
        <w:rPr>
          <w:spacing w:val="-10"/>
          <w:sz w:val="20"/>
        </w:rPr>
        <w:t> </w:t>
      </w:r>
      <w:r>
        <w:rPr>
          <w:sz w:val="20"/>
        </w:rPr>
        <w:t>rate during missions and lower rental costs for safe interview rooms. Two locations have been identified</w:t>
      </w:r>
      <w:r>
        <w:rPr>
          <w:spacing w:val="-3"/>
          <w:sz w:val="20"/>
        </w:rPr>
        <w:t> </w:t>
      </w:r>
      <w:r>
        <w:rPr>
          <w:sz w:val="20"/>
        </w:rPr>
        <w:t>and</w:t>
      </w:r>
      <w:r>
        <w:rPr>
          <w:spacing w:val="-3"/>
          <w:sz w:val="20"/>
        </w:rPr>
        <w:t> </w:t>
      </w:r>
      <w:r>
        <w:rPr>
          <w:sz w:val="20"/>
        </w:rPr>
        <w:t>included</w:t>
      </w:r>
      <w:r>
        <w:rPr>
          <w:spacing w:val="-3"/>
          <w:sz w:val="20"/>
        </w:rPr>
        <w:t> </w:t>
      </w:r>
      <w:r>
        <w:rPr>
          <w:sz w:val="20"/>
        </w:rPr>
        <w:t>in</w:t>
      </w:r>
      <w:r>
        <w:rPr>
          <w:spacing w:val="-3"/>
          <w:sz w:val="20"/>
        </w:rPr>
        <w:t> </w:t>
      </w:r>
      <w:r>
        <w:rPr>
          <w:sz w:val="20"/>
        </w:rPr>
        <w:t>the</w:t>
      </w:r>
      <w:r>
        <w:rPr>
          <w:spacing w:val="-1"/>
          <w:sz w:val="20"/>
        </w:rPr>
        <w:t> </w:t>
      </w:r>
      <w:r>
        <w:rPr>
          <w:sz w:val="20"/>
        </w:rPr>
        <w:t>budget</w:t>
      </w:r>
      <w:r>
        <w:rPr>
          <w:spacing w:val="-1"/>
          <w:sz w:val="20"/>
        </w:rPr>
        <w:t> </w:t>
      </w:r>
      <w:r>
        <w:rPr>
          <w:sz w:val="20"/>
        </w:rPr>
        <w:t>proposal</w:t>
      </w:r>
      <w:r>
        <w:rPr>
          <w:spacing w:val="-1"/>
          <w:sz w:val="20"/>
        </w:rPr>
        <w:t> </w:t>
      </w:r>
      <w:r>
        <w:rPr>
          <w:sz w:val="20"/>
        </w:rPr>
        <w:t>for</w:t>
      </w:r>
      <w:r>
        <w:rPr>
          <w:spacing w:val="-3"/>
          <w:sz w:val="20"/>
        </w:rPr>
        <w:t> </w:t>
      </w:r>
      <w:r>
        <w:rPr>
          <w:sz w:val="20"/>
        </w:rPr>
        <w:t>2023, for</w:t>
      </w:r>
      <w:r>
        <w:rPr>
          <w:spacing w:val="-3"/>
          <w:sz w:val="20"/>
        </w:rPr>
        <w:t> </w:t>
      </w:r>
      <w:r>
        <w:rPr>
          <w:sz w:val="20"/>
        </w:rPr>
        <w:t>a</w:t>
      </w:r>
      <w:r>
        <w:rPr>
          <w:spacing w:val="-1"/>
          <w:sz w:val="20"/>
        </w:rPr>
        <w:t> </w:t>
      </w:r>
      <w:r>
        <w:rPr>
          <w:sz w:val="20"/>
        </w:rPr>
        <w:t>total</w:t>
      </w:r>
      <w:r>
        <w:rPr>
          <w:spacing w:val="-1"/>
          <w:sz w:val="20"/>
        </w:rPr>
        <w:t> </w:t>
      </w:r>
      <w:r>
        <w:rPr>
          <w:sz w:val="20"/>
        </w:rPr>
        <w:t>expected</w:t>
      </w:r>
      <w:r>
        <w:rPr>
          <w:spacing w:val="-3"/>
          <w:sz w:val="20"/>
        </w:rPr>
        <w:t> </w:t>
      </w:r>
      <w:r>
        <w:rPr>
          <w:sz w:val="20"/>
        </w:rPr>
        <w:t>benefit</w:t>
      </w:r>
      <w:r>
        <w:rPr>
          <w:spacing w:val="-1"/>
          <w:sz w:val="20"/>
        </w:rPr>
        <w:t> </w:t>
      </w:r>
      <w:r>
        <w:rPr>
          <w:sz w:val="20"/>
        </w:rPr>
        <w:t>of</w:t>
      </w:r>
      <w:r>
        <w:rPr>
          <w:spacing w:val="-3"/>
          <w:sz w:val="20"/>
        </w:rPr>
        <w:t> </w:t>
      </w:r>
      <w:r>
        <w:rPr>
          <w:sz w:val="20"/>
        </w:rPr>
        <w:t>€43.2 </w:t>
      </w:r>
      <w:r>
        <w:rPr>
          <w:spacing w:val="-2"/>
          <w:sz w:val="20"/>
        </w:rPr>
        <w:t>thousand.</w:t>
      </w:r>
    </w:p>
    <w:p>
      <w:pPr>
        <w:pStyle w:val="ListParagraph"/>
        <w:numPr>
          <w:ilvl w:val="0"/>
          <w:numId w:val="4"/>
        </w:numPr>
        <w:tabs>
          <w:tab w:pos="2967" w:val="left" w:leader="none"/>
        </w:tabs>
        <w:spacing w:line="240" w:lineRule="auto" w:before="117" w:after="0"/>
        <w:ind w:left="2246" w:right="2246" w:firstLine="0"/>
        <w:jc w:val="both"/>
        <w:rPr>
          <w:sz w:val="20"/>
        </w:rPr>
      </w:pPr>
      <w:r>
        <w:rPr>
          <w:sz w:val="20"/>
        </w:rPr>
        <w:t>The Office has also made use of redeployment of staff from situations and cases with</w:t>
      </w:r>
      <w:r>
        <w:rPr>
          <w:spacing w:val="-8"/>
          <w:sz w:val="20"/>
        </w:rPr>
        <w:t> </w:t>
      </w:r>
      <w:r>
        <w:rPr>
          <w:sz w:val="20"/>
        </w:rPr>
        <w:t>decreasing</w:t>
      </w:r>
      <w:r>
        <w:rPr>
          <w:spacing w:val="-8"/>
          <w:sz w:val="20"/>
        </w:rPr>
        <w:t> </w:t>
      </w:r>
      <w:r>
        <w:rPr>
          <w:sz w:val="20"/>
        </w:rPr>
        <w:t>workload</w:t>
      </w:r>
      <w:r>
        <w:rPr>
          <w:spacing w:val="-8"/>
          <w:sz w:val="20"/>
        </w:rPr>
        <w:t> </w:t>
      </w:r>
      <w:r>
        <w:rPr>
          <w:sz w:val="20"/>
        </w:rPr>
        <w:t>to</w:t>
      </w:r>
      <w:r>
        <w:rPr>
          <w:spacing w:val="-8"/>
          <w:sz w:val="20"/>
        </w:rPr>
        <w:t> </w:t>
      </w:r>
      <w:r>
        <w:rPr>
          <w:sz w:val="20"/>
        </w:rPr>
        <w:t>those</w:t>
      </w:r>
      <w:r>
        <w:rPr>
          <w:spacing w:val="-8"/>
          <w:sz w:val="20"/>
        </w:rPr>
        <w:t> </w:t>
      </w:r>
      <w:r>
        <w:rPr>
          <w:sz w:val="20"/>
        </w:rPr>
        <w:t>that</w:t>
      </w:r>
      <w:r>
        <w:rPr>
          <w:spacing w:val="-8"/>
          <w:sz w:val="20"/>
        </w:rPr>
        <w:t> </w:t>
      </w:r>
      <w:r>
        <w:rPr>
          <w:sz w:val="20"/>
        </w:rPr>
        <w:t>are</w:t>
      </w:r>
      <w:r>
        <w:rPr>
          <w:spacing w:val="-8"/>
          <w:sz w:val="20"/>
        </w:rPr>
        <w:t> </w:t>
      </w:r>
      <w:r>
        <w:rPr>
          <w:sz w:val="20"/>
        </w:rPr>
        <w:t>facing</w:t>
      </w:r>
      <w:r>
        <w:rPr>
          <w:spacing w:val="-5"/>
          <w:sz w:val="20"/>
        </w:rPr>
        <w:t> </w:t>
      </w:r>
      <w:r>
        <w:rPr>
          <w:sz w:val="20"/>
        </w:rPr>
        <w:t>a</w:t>
      </w:r>
      <w:r>
        <w:rPr>
          <w:spacing w:val="-8"/>
          <w:sz w:val="20"/>
        </w:rPr>
        <w:t> </w:t>
      </w:r>
      <w:r>
        <w:rPr>
          <w:sz w:val="20"/>
        </w:rPr>
        <w:t>surge</w:t>
      </w:r>
      <w:r>
        <w:rPr>
          <w:spacing w:val="-3"/>
          <w:sz w:val="20"/>
        </w:rPr>
        <w:t> </w:t>
      </w:r>
      <w:r>
        <w:rPr>
          <w:sz w:val="20"/>
        </w:rPr>
        <w:t>in</w:t>
      </w:r>
      <w:r>
        <w:rPr>
          <w:spacing w:val="-5"/>
          <w:sz w:val="20"/>
        </w:rPr>
        <w:t> </w:t>
      </w:r>
      <w:r>
        <w:rPr>
          <w:sz w:val="20"/>
        </w:rPr>
        <w:t>2023.</w:t>
      </w:r>
      <w:r>
        <w:rPr>
          <w:spacing w:val="-7"/>
          <w:sz w:val="20"/>
        </w:rPr>
        <w:t> </w:t>
      </w:r>
      <w:r>
        <w:rPr>
          <w:sz w:val="20"/>
        </w:rPr>
        <w:t>In</w:t>
      </w:r>
      <w:r>
        <w:rPr>
          <w:spacing w:val="-5"/>
          <w:sz w:val="20"/>
        </w:rPr>
        <w:t> </w:t>
      </w:r>
      <w:r>
        <w:rPr>
          <w:sz w:val="20"/>
        </w:rPr>
        <w:t>so</w:t>
      </w:r>
      <w:r>
        <w:rPr>
          <w:spacing w:val="-8"/>
          <w:sz w:val="20"/>
        </w:rPr>
        <w:t> </w:t>
      </w:r>
      <w:r>
        <w:rPr>
          <w:sz w:val="20"/>
        </w:rPr>
        <w:t>doing,</w:t>
      </w:r>
      <w:r>
        <w:rPr>
          <w:spacing w:val="-7"/>
          <w:sz w:val="20"/>
        </w:rPr>
        <w:t> </w:t>
      </w:r>
      <w:r>
        <w:rPr>
          <w:sz w:val="20"/>
        </w:rPr>
        <w:t>the</w:t>
      </w:r>
      <w:r>
        <w:rPr>
          <w:spacing w:val="-3"/>
          <w:sz w:val="20"/>
        </w:rPr>
        <w:t> </w:t>
      </w:r>
      <w:r>
        <w:rPr>
          <w:sz w:val="20"/>
        </w:rPr>
        <w:t>Office</w:t>
      </w:r>
      <w:r>
        <w:rPr>
          <w:spacing w:val="-3"/>
          <w:sz w:val="20"/>
        </w:rPr>
        <w:t> </w:t>
      </w:r>
      <w:r>
        <w:rPr>
          <w:sz w:val="20"/>
        </w:rPr>
        <w:t>has avoided additional costs and reduced the net increase in the overall resources requested.</w:t>
      </w:r>
    </w:p>
    <w:p>
      <w:pPr>
        <w:pStyle w:val="ListParagraph"/>
        <w:numPr>
          <w:ilvl w:val="0"/>
          <w:numId w:val="4"/>
        </w:numPr>
        <w:tabs>
          <w:tab w:pos="2967" w:val="left" w:leader="none"/>
        </w:tabs>
        <w:spacing w:line="240" w:lineRule="auto" w:before="122" w:after="0"/>
        <w:ind w:left="2246" w:right="2245" w:firstLine="0"/>
        <w:jc w:val="both"/>
        <w:rPr>
          <w:sz w:val="20"/>
        </w:rPr>
      </w:pPr>
      <w:r>
        <w:rPr>
          <w:sz w:val="20"/>
        </w:rPr>
        <w:t>Identifying</w:t>
      </w:r>
      <w:r>
        <w:rPr>
          <w:spacing w:val="-13"/>
          <w:sz w:val="20"/>
        </w:rPr>
        <w:t> </w:t>
      </w:r>
      <w:r>
        <w:rPr>
          <w:sz w:val="20"/>
        </w:rPr>
        <w:t>areas</w:t>
      </w:r>
      <w:r>
        <w:rPr>
          <w:spacing w:val="-12"/>
          <w:sz w:val="20"/>
        </w:rPr>
        <w:t> </w:t>
      </w:r>
      <w:r>
        <w:rPr>
          <w:sz w:val="20"/>
        </w:rPr>
        <w:t>where</w:t>
      </w:r>
      <w:r>
        <w:rPr>
          <w:spacing w:val="-12"/>
          <w:sz w:val="20"/>
        </w:rPr>
        <w:t> </w:t>
      </w:r>
      <w:r>
        <w:rPr>
          <w:sz w:val="20"/>
        </w:rPr>
        <w:t>the</w:t>
      </w:r>
      <w:r>
        <w:rPr>
          <w:spacing w:val="-11"/>
          <w:sz w:val="20"/>
        </w:rPr>
        <w:t> </w:t>
      </w:r>
      <w:r>
        <w:rPr>
          <w:sz w:val="20"/>
        </w:rPr>
        <w:t>Office</w:t>
      </w:r>
      <w:r>
        <w:rPr>
          <w:spacing w:val="-12"/>
          <w:sz w:val="20"/>
        </w:rPr>
        <w:t> </w:t>
      </w:r>
      <w:r>
        <w:rPr>
          <w:sz w:val="20"/>
        </w:rPr>
        <w:t>can</w:t>
      </w:r>
      <w:r>
        <w:rPr>
          <w:spacing w:val="-13"/>
          <w:sz w:val="20"/>
        </w:rPr>
        <w:t> </w:t>
      </w:r>
      <w:r>
        <w:rPr>
          <w:sz w:val="20"/>
        </w:rPr>
        <w:t>make</w:t>
      </w:r>
      <w:r>
        <w:rPr>
          <w:spacing w:val="-12"/>
          <w:sz w:val="20"/>
        </w:rPr>
        <w:t> </w:t>
      </w:r>
      <w:r>
        <w:rPr>
          <w:sz w:val="20"/>
        </w:rPr>
        <w:t>efficiency</w:t>
      </w:r>
      <w:r>
        <w:rPr>
          <w:spacing w:val="-13"/>
          <w:sz w:val="20"/>
        </w:rPr>
        <w:t> </w:t>
      </w:r>
      <w:r>
        <w:rPr>
          <w:sz w:val="20"/>
        </w:rPr>
        <w:t>gains</w:t>
      </w:r>
      <w:r>
        <w:rPr>
          <w:spacing w:val="-10"/>
          <w:sz w:val="20"/>
        </w:rPr>
        <w:t> </w:t>
      </w:r>
      <w:r>
        <w:rPr>
          <w:sz w:val="20"/>
        </w:rPr>
        <w:t>is</w:t>
      </w:r>
      <w:r>
        <w:rPr>
          <w:spacing w:val="-11"/>
          <w:sz w:val="20"/>
        </w:rPr>
        <w:t> </w:t>
      </w:r>
      <w:r>
        <w:rPr>
          <w:sz w:val="20"/>
        </w:rPr>
        <w:t>an</w:t>
      </w:r>
      <w:r>
        <w:rPr>
          <w:spacing w:val="-13"/>
          <w:sz w:val="20"/>
        </w:rPr>
        <w:t> </w:t>
      </w:r>
      <w:r>
        <w:rPr>
          <w:sz w:val="20"/>
        </w:rPr>
        <w:t>ongoing</w:t>
      </w:r>
      <w:r>
        <w:rPr>
          <w:spacing w:val="-12"/>
          <w:sz w:val="20"/>
        </w:rPr>
        <w:t> </w:t>
      </w:r>
      <w:r>
        <w:rPr>
          <w:sz w:val="20"/>
        </w:rPr>
        <w:t>exercise. Since 2012, results have been documented and communicated to the Committee and the States Parties. Savings and efficiency gains have been integrated into the OTP’s approved budget. The table below shows the OTP results since 2017.</w:t>
      </w:r>
    </w:p>
    <w:p>
      <w:pPr>
        <w:pStyle w:val="BodyText"/>
        <w:spacing w:before="6"/>
        <w:rPr>
          <w:sz w:val="10"/>
        </w:rPr>
      </w:pPr>
    </w:p>
    <w:tbl>
      <w:tblPr>
        <w:tblW w:w="0" w:type="auto"/>
        <w:jc w:val="left"/>
        <w:tblInd w:w="21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86"/>
        <w:gridCol w:w="1066"/>
        <w:gridCol w:w="1006"/>
        <w:gridCol w:w="1109"/>
        <w:gridCol w:w="1131"/>
        <w:gridCol w:w="921"/>
      </w:tblGrid>
      <w:tr>
        <w:trPr>
          <w:trHeight w:val="277" w:hRule="atLeast"/>
        </w:trPr>
        <w:tc>
          <w:tcPr>
            <w:tcW w:w="2286" w:type="dxa"/>
            <w:tcBorders>
              <w:top w:val="single" w:sz="8" w:space="0" w:color="000000"/>
              <w:bottom w:val="single" w:sz="8" w:space="0" w:color="000000"/>
            </w:tcBorders>
          </w:tcPr>
          <w:p>
            <w:pPr>
              <w:pStyle w:val="TableParagraph"/>
              <w:jc w:val="left"/>
              <w:rPr>
                <w:sz w:val="16"/>
              </w:rPr>
            </w:pPr>
          </w:p>
        </w:tc>
        <w:tc>
          <w:tcPr>
            <w:tcW w:w="1066" w:type="dxa"/>
            <w:tcBorders>
              <w:top w:val="single" w:sz="8" w:space="0" w:color="000000"/>
              <w:bottom w:val="single" w:sz="8" w:space="0" w:color="000000"/>
            </w:tcBorders>
          </w:tcPr>
          <w:p>
            <w:pPr>
              <w:pStyle w:val="TableParagraph"/>
              <w:spacing w:before="61"/>
              <w:ind w:right="212"/>
              <w:rPr>
                <w:i/>
                <w:sz w:val="14"/>
              </w:rPr>
            </w:pPr>
            <w:r>
              <w:rPr>
                <w:i/>
                <w:spacing w:val="-4"/>
                <w:sz w:val="14"/>
              </w:rPr>
              <w:t>2017</w:t>
            </w:r>
          </w:p>
        </w:tc>
        <w:tc>
          <w:tcPr>
            <w:tcW w:w="1006" w:type="dxa"/>
            <w:tcBorders>
              <w:top w:val="single" w:sz="8" w:space="0" w:color="000000"/>
              <w:bottom w:val="single" w:sz="8" w:space="0" w:color="000000"/>
            </w:tcBorders>
          </w:tcPr>
          <w:p>
            <w:pPr>
              <w:pStyle w:val="TableParagraph"/>
              <w:spacing w:before="61"/>
              <w:ind w:right="224"/>
              <w:rPr>
                <w:i/>
                <w:sz w:val="14"/>
              </w:rPr>
            </w:pPr>
            <w:r>
              <w:rPr>
                <w:i/>
                <w:spacing w:val="-4"/>
                <w:sz w:val="14"/>
              </w:rPr>
              <w:t>2018</w:t>
            </w:r>
          </w:p>
        </w:tc>
        <w:tc>
          <w:tcPr>
            <w:tcW w:w="1109" w:type="dxa"/>
            <w:tcBorders>
              <w:top w:val="single" w:sz="8" w:space="0" w:color="000000"/>
              <w:bottom w:val="single" w:sz="8" w:space="0" w:color="000000"/>
            </w:tcBorders>
          </w:tcPr>
          <w:p>
            <w:pPr>
              <w:pStyle w:val="TableParagraph"/>
              <w:spacing w:before="61"/>
              <w:ind w:right="315"/>
              <w:rPr>
                <w:i/>
                <w:sz w:val="14"/>
              </w:rPr>
            </w:pPr>
            <w:r>
              <w:rPr>
                <w:i/>
                <w:spacing w:val="-4"/>
                <w:sz w:val="14"/>
              </w:rPr>
              <w:t>2019</w:t>
            </w:r>
          </w:p>
        </w:tc>
        <w:tc>
          <w:tcPr>
            <w:tcW w:w="1131" w:type="dxa"/>
            <w:tcBorders>
              <w:top w:val="single" w:sz="8" w:space="0" w:color="000000"/>
              <w:bottom w:val="single" w:sz="8" w:space="0" w:color="000000"/>
            </w:tcBorders>
          </w:tcPr>
          <w:p>
            <w:pPr>
              <w:pStyle w:val="TableParagraph"/>
              <w:spacing w:before="61"/>
              <w:ind w:right="317"/>
              <w:rPr>
                <w:i/>
                <w:sz w:val="14"/>
              </w:rPr>
            </w:pPr>
            <w:r>
              <w:rPr>
                <w:i/>
                <w:spacing w:val="-4"/>
                <w:sz w:val="14"/>
              </w:rPr>
              <w:t>2020</w:t>
            </w:r>
          </w:p>
        </w:tc>
        <w:tc>
          <w:tcPr>
            <w:tcW w:w="921" w:type="dxa"/>
            <w:tcBorders>
              <w:top w:val="single" w:sz="8" w:space="0" w:color="000000"/>
              <w:bottom w:val="single" w:sz="8" w:space="0" w:color="000000"/>
            </w:tcBorders>
          </w:tcPr>
          <w:p>
            <w:pPr>
              <w:pStyle w:val="TableParagraph"/>
              <w:spacing w:before="61"/>
              <w:ind w:right="105"/>
              <w:rPr>
                <w:i/>
                <w:sz w:val="14"/>
              </w:rPr>
            </w:pPr>
            <w:r>
              <w:rPr>
                <w:i/>
                <w:spacing w:val="-4"/>
                <w:sz w:val="14"/>
              </w:rPr>
              <w:t>2021</w:t>
            </w:r>
          </w:p>
        </w:tc>
      </w:tr>
      <w:tr>
        <w:trPr>
          <w:trHeight w:val="282" w:hRule="atLeast"/>
        </w:trPr>
        <w:tc>
          <w:tcPr>
            <w:tcW w:w="2286" w:type="dxa"/>
            <w:tcBorders>
              <w:top w:val="single" w:sz="8" w:space="0" w:color="000000"/>
              <w:bottom w:val="single" w:sz="8" w:space="0" w:color="000000"/>
            </w:tcBorders>
          </w:tcPr>
          <w:p>
            <w:pPr>
              <w:pStyle w:val="TableParagraph"/>
              <w:spacing w:before="61"/>
              <w:ind w:left="14"/>
              <w:jc w:val="left"/>
              <w:rPr>
                <w:sz w:val="14"/>
              </w:rPr>
            </w:pPr>
            <w:r>
              <w:rPr>
                <w:sz w:val="14"/>
              </w:rPr>
              <w:t>Budget</w:t>
            </w:r>
            <w:r>
              <w:rPr>
                <w:spacing w:val="-3"/>
                <w:sz w:val="14"/>
              </w:rPr>
              <w:t> </w:t>
            </w:r>
            <w:r>
              <w:rPr>
                <w:sz w:val="14"/>
              </w:rPr>
              <w:t>(€ </w:t>
            </w:r>
            <w:r>
              <w:rPr>
                <w:spacing w:val="-2"/>
                <w:sz w:val="14"/>
              </w:rPr>
              <w:t>’000)</w:t>
            </w:r>
          </w:p>
        </w:tc>
        <w:tc>
          <w:tcPr>
            <w:tcW w:w="1066" w:type="dxa"/>
            <w:tcBorders>
              <w:top w:val="single" w:sz="8" w:space="0" w:color="000000"/>
              <w:bottom w:val="single" w:sz="8" w:space="0" w:color="000000"/>
            </w:tcBorders>
          </w:tcPr>
          <w:p>
            <w:pPr>
              <w:pStyle w:val="TableParagraph"/>
              <w:spacing w:before="61"/>
              <w:ind w:right="213"/>
              <w:rPr>
                <w:sz w:val="14"/>
              </w:rPr>
            </w:pPr>
            <w:r>
              <w:rPr>
                <w:spacing w:val="-2"/>
                <w:sz w:val="14"/>
              </w:rPr>
              <w:t>44,974.20</w:t>
            </w:r>
          </w:p>
        </w:tc>
        <w:tc>
          <w:tcPr>
            <w:tcW w:w="1006" w:type="dxa"/>
            <w:tcBorders>
              <w:top w:val="single" w:sz="8" w:space="0" w:color="000000"/>
              <w:bottom w:val="single" w:sz="8" w:space="0" w:color="000000"/>
            </w:tcBorders>
          </w:tcPr>
          <w:p>
            <w:pPr>
              <w:pStyle w:val="TableParagraph"/>
              <w:spacing w:before="61"/>
              <w:ind w:right="225"/>
              <w:rPr>
                <w:sz w:val="14"/>
              </w:rPr>
            </w:pPr>
            <w:r>
              <w:rPr>
                <w:spacing w:val="-2"/>
                <w:sz w:val="14"/>
              </w:rPr>
              <w:t>45,991.80</w:t>
            </w:r>
          </w:p>
        </w:tc>
        <w:tc>
          <w:tcPr>
            <w:tcW w:w="1109" w:type="dxa"/>
            <w:tcBorders>
              <w:top w:val="single" w:sz="8" w:space="0" w:color="000000"/>
              <w:bottom w:val="single" w:sz="8" w:space="0" w:color="000000"/>
            </w:tcBorders>
          </w:tcPr>
          <w:p>
            <w:pPr>
              <w:pStyle w:val="TableParagraph"/>
              <w:spacing w:before="61"/>
              <w:ind w:right="316"/>
              <w:rPr>
                <w:sz w:val="14"/>
              </w:rPr>
            </w:pPr>
            <w:r>
              <w:rPr>
                <w:spacing w:val="-2"/>
                <w:sz w:val="14"/>
              </w:rPr>
              <w:t>46,802.50</w:t>
            </w:r>
          </w:p>
        </w:tc>
        <w:tc>
          <w:tcPr>
            <w:tcW w:w="1131" w:type="dxa"/>
            <w:tcBorders>
              <w:top w:val="single" w:sz="8" w:space="0" w:color="000000"/>
              <w:bottom w:val="single" w:sz="8" w:space="0" w:color="000000"/>
            </w:tcBorders>
          </w:tcPr>
          <w:p>
            <w:pPr>
              <w:pStyle w:val="TableParagraph"/>
              <w:spacing w:before="61"/>
              <w:ind w:right="318"/>
              <w:rPr>
                <w:sz w:val="14"/>
              </w:rPr>
            </w:pPr>
            <w:r>
              <w:rPr>
                <w:spacing w:val="-2"/>
                <w:sz w:val="14"/>
              </w:rPr>
              <w:t>47,383.4</w:t>
            </w:r>
          </w:p>
        </w:tc>
        <w:tc>
          <w:tcPr>
            <w:tcW w:w="921" w:type="dxa"/>
            <w:tcBorders>
              <w:top w:val="single" w:sz="8" w:space="0" w:color="000000"/>
              <w:bottom w:val="single" w:sz="8" w:space="0" w:color="000000"/>
            </w:tcBorders>
          </w:tcPr>
          <w:p>
            <w:pPr>
              <w:pStyle w:val="TableParagraph"/>
              <w:spacing w:before="61"/>
              <w:ind w:right="106"/>
              <w:rPr>
                <w:sz w:val="14"/>
              </w:rPr>
            </w:pPr>
            <w:r>
              <w:rPr>
                <w:spacing w:val="-2"/>
                <w:sz w:val="14"/>
              </w:rPr>
              <w:t>47,334.8</w:t>
            </w:r>
          </w:p>
        </w:tc>
      </w:tr>
      <w:tr>
        <w:trPr>
          <w:trHeight w:val="282" w:hRule="atLeast"/>
        </w:trPr>
        <w:tc>
          <w:tcPr>
            <w:tcW w:w="2286" w:type="dxa"/>
            <w:tcBorders>
              <w:top w:val="single" w:sz="8" w:space="0" w:color="000000"/>
              <w:bottom w:val="single" w:sz="8" w:space="0" w:color="000000"/>
            </w:tcBorders>
          </w:tcPr>
          <w:p>
            <w:pPr>
              <w:pStyle w:val="TableParagraph"/>
              <w:spacing w:before="61"/>
              <w:ind w:left="14"/>
              <w:jc w:val="left"/>
              <w:rPr>
                <w:sz w:val="14"/>
              </w:rPr>
            </w:pPr>
            <w:r>
              <w:rPr>
                <w:sz w:val="14"/>
              </w:rPr>
              <w:t>Savings</w:t>
            </w:r>
            <w:r>
              <w:rPr>
                <w:spacing w:val="-5"/>
                <w:sz w:val="14"/>
              </w:rPr>
              <w:t> </w:t>
            </w:r>
            <w:r>
              <w:rPr>
                <w:sz w:val="14"/>
              </w:rPr>
              <w:t>and Efficiencies</w:t>
            </w:r>
            <w:r>
              <w:rPr>
                <w:spacing w:val="-5"/>
                <w:sz w:val="14"/>
              </w:rPr>
              <w:t> </w:t>
            </w:r>
            <w:r>
              <w:rPr>
                <w:sz w:val="14"/>
              </w:rPr>
              <w:t>(€</w:t>
            </w:r>
            <w:r>
              <w:rPr>
                <w:spacing w:val="-2"/>
                <w:sz w:val="14"/>
              </w:rPr>
              <w:t> </w:t>
            </w:r>
            <w:r>
              <w:rPr>
                <w:spacing w:val="-4"/>
                <w:sz w:val="14"/>
              </w:rPr>
              <w:t>’000)</w:t>
            </w:r>
          </w:p>
        </w:tc>
        <w:tc>
          <w:tcPr>
            <w:tcW w:w="1066" w:type="dxa"/>
            <w:tcBorders>
              <w:top w:val="single" w:sz="8" w:space="0" w:color="000000"/>
              <w:bottom w:val="single" w:sz="8" w:space="0" w:color="000000"/>
            </w:tcBorders>
          </w:tcPr>
          <w:p>
            <w:pPr>
              <w:pStyle w:val="TableParagraph"/>
              <w:spacing w:before="61"/>
              <w:ind w:right="212"/>
              <w:rPr>
                <w:sz w:val="14"/>
              </w:rPr>
            </w:pPr>
            <w:r>
              <w:rPr>
                <w:spacing w:val="-2"/>
                <w:sz w:val="14"/>
              </w:rPr>
              <w:t>367.7</w:t>
            </w:r>
          </w:p>
        </w:tc>
        <w:tc>
          <w:tcPr>
            <w:tcW w:w="1006" w:type="dxa"/>
            <w:tcBorders>
              <w:top w:val="single" w:sz="8" w:space="0" w:color="000000"/>
              <w:bottom w:val="single" w:sz="8" w:space="0" w:color="000000"/>
            </w:tcBorders>
          </w:tcPr>
          <w:p>
            <w:pPr>
              <w:pStyle w:val="TableParagraph"/>
              <w:spacing w:before="61"/>
              <w:ind w:right="258"/>
              <w:rPr>
                <w:sz w:val="14"/>
              </w:rPr>
            </w:pPr>
            <w:r>
              <w:rPr>
                <w:spacing w:val="-2"/>
                <w:sz w:val="14"/>
              </w:rPr>
              <w:t>240.6</w:t>
            </w:r>
          </w:p>
        </w:tc>
        <w:tc>
          <w:tcPr>
            <w:tcW w:w="1109" w:type="dxa"/>
            <w:tcBorders>
              <w:top w:val="single" w:sz="8" w:space="0" w:color="000000"/>
              <w:bottom w:val="single" w:sz="8" w:space="0" w:color="000000"/>
            </w:tcBorders>
          </w:tcPr>
          <w:p>
            <w:pPr>
              <w:pStyle w:val="TableParagraph"/>
              <w:spacing w:before="61"/>
              <w:ind w:right="349"/>
              <w:rPr>
                <w:sz w:val="14"/>
              </w:rPr>
            </w:pPr>
            <w:r>
              <w:rPr>
                <w:spacing w:val="-2"/>
                <w:sz w:val="14"/>
              </w:rPr>
              <w:t>625.5</w:t>
            </w:r>
          </w:p>
        </w:tc>
        <w:tc>
          <w:tcPr>
            <w:tcW w:w="1131" w:type="dxa"/>
            <w:tcBorders>
              <w:top w:val="single" w:sz="8" w:space="0" w:color="000000"/>
              <w:bottom w:val="single" w:sz="8" w:space="0" w:color="000000"/>
            </w:tcBorders>
          </w:tcPr>
          <w:p>
            <w:pPr>
              <w:pStyle w:val="TableParagraph"/>
              <w:spacing w:before="61"/>
              <w:ind w:right="318"/>
              <w:rPr>
                <w:sz w:val="14"/>
              </w:rPr>
            </w:pPr>
            <w:r>
              <w:rPr>
                <w:spacing w:val="-2"/>
                <w:sz w:val="14"/>
              </w:rPr>
              <w:t>516.1</w:t>
            </w:r>
          </w:p>
        </w:tc>
        <w:tc>
          <w:tcPr>
            <w:tcW w:w="921" w:type="dxa"/>
            <w:tcBorders>
              <w:top w:val="single" w:sz="8" w:space="0" w:color="000000"/>
              <w:bottom w:val="single" w:sz="8" w:space="0" w:color="000000"/>
            </w:tcBorders>
          </w:tcPr>
          <w:p>
            <w:pPr>
              <w:pStyle w:val="TableParagraph"/>
              <w:spacing w:before="61"/>
              <w:ind w:right="105"/>
              <w:rPr>
                <w:sz w:val="14"/>
              </w:rPr>
            </w:pPr>
            <w:r>
              <w:rPr>
                <w:spacing w:val="-2"/>
                <w:sz w:val="14"/>
              </w:rPr>
              <w:t>410.9</w:t>
            </w:r>
          </w:p>
        </w:tc>
      </w:tr>
      <w:tr>
        <w:trPr>
          <w:trHeight w:val="282" w:hRule="atLeast"/>
        </w:trPr>
        <w:tc>
          <w:tcPr>
            <w:tcW w:w="2286" w:type="dxa"/>
            <w:tcBorders>
              <w:top w:val="single" w:sz="8" w:space="0" w:color="000000"/>
              <w:bottom w:val="single" w:sz="8" w:space="0" w:color="000000"/>
            </w:tcBorders>
          </w:tcPr>
          <w:p>
            <w:pPr>
              <w:pStyle w:val="TableParagraph"/>
              <w:spacing w:before="61"/>
              <w:ind w:left="14"/>
              <w:jc w:val="left"/>
              <w:rPr>
                <w:sz w:val="14"/>
              </w:rPr>
            </w:pPr>
            <w:r>
              <w:rPr>
                <w:sz w:val="14"/>
              </w:rPr>
              <w:t>Savings</w:t>
            </w:r>
            <w:r>
              <w:rPr>
                <w:spacing w:val="-4"/>
                <w:sz w:val="14"/>
              </w:rPr>
              <w:t> </w:t>
            </w:r>
            <w:r>
              <w:rPr>
                <w:sz w:val="14"/>
              </w:rPr>
              <w:t>+</w:t>
            </w:r>
            <w:r>
              <w:rPr>
                <w:spacing w:val="-4"/>
                <w:sz w:val="14"/>
              </w:rPr>
              <w:t> </w:t>
            </w:r>
            <w:r>
              <w:rPr>
                <w:sz w:val="14"/>
              </w:rPr>
              <w:t>Efficiencies</w:t>
            </w:r>
            <w:r>
              <w:rPr>
                <w:spacing w:val="-4"/>
                <w:sz w:val="14"/>
              </w:rPr>
              <w:t> </w:t>
            </w:r>
            <w:r>
              <w:rPr>
                <w:sz w:val="14"/>
              </w:rPr>
              <w:t>over </w:t>
            </w:r>
            <w:r>
              <w:rPr>
                <w:spacing w:val="-2"/>
                <w:sz w:val="14"/>
              </w:rPr>
              <w:t>Budget</w:t>
            </w:r>
          </w:p>
        </w:tc>
        <w:tc>
          <w:tcPr>
            <w:tcW w:w="1066" w:type="dxa"/>
            <w:tcBorders>
              <w:top w:val="single" w:sz="8" w:space="0" w:color="000000"/>
              <w:bottom w:val="single" w:sz="8" w:space="0" w:color="000000"/>
            </w:tcBorders>
          </w:tcPr>
          <w:p>
            <w:pPr>
              <w:pStyle w:val="TableParagraph"/>
              <w:spacing w:before="61"/>
              <w:ind w:right="214"/>
              <w:rPr>
                <w:sz w:val="14"/>
              </w:rPr>
            </w:pPr>
            <w:r>
              <w:rPr>
                <w:spacing w:val="-4"/>
                <w:sz w:val="14"/>
              </w:rPr>
              <w:t>0.8%</w:t>
            </w:r>
          </w:p>
        </w:tc>
        <w:tc>
          <w:tcPr>
            <w:tcW w:w="1006" w:type="dxa"/>
            <w:tcBorders>
              <w:top w:val="single" w:sz="8" w:space="0" w:color="000000"/>
              <w:bottom w:val="single" w:sz="8" w:space="0" w:color="000000"/>
            </w:tcBorders>
          </w:tcPr>
          <w:p>
            <w:pPr>
              <w:pStyle w:val="TableParagraph"/>
              <w:spacing w:before="61"/>
              <w:ind w:right="226"/>
              <w:rPr>
                <w:sz w:val="14"/>
              </w:rPr>
            </w:pPr>
            <w:r>
              <w:rPr>
                <w:spacing w:val="-4"/>
                <w:sz w:val="14"/>
              </w:rPr>
              <w:t>0.5%</w:t>
            </w:r>
          </w:p>
        </w:tc>
        <w:tc>
          <w:tcPr>
            <w:tcW w:w="1109" w:type="dxa"/>
            <w:tcBorders>
              <w:top w:val="single" w:sz="8" w:space="0" w:color="000000"/>
              <w:bottom w:val="single" w:sz="8" w:space="0" w:color="000000"/>
            </w:tcBorders>
          </w:tcPr>
          <w:p>
            <w:pPr>
              <w:pStyle w:val="TableParagraph"/>
              <w:spacing w:before="61"/>
              <w:ind w:right="317"/>
              <w:rPr>
                <w:sz w:val="14"/>
              </w:rPr>
            </w:pPr>
            <w:r>
              <w:rPr>
                <w:spacing w:val="-4"/>
                <w:sz w:val="14"/>
              </w:rPr>
              <w:t>1.4%</w:t>
            </w:r>
          </w:p>
        </w:tc>
        <w:tc>
          <w:tcPr>
            <w:tcW w:w="1131" w:type="dxa"/>
            <w:tcBorders>
              <w:top w:val="single" w:sz="8" w:space="0" w:color="000000"/>
              <w:bottom w:val="single" w:sz="8" w:space="0" w:color="000000"/>
            </w:tcBorders>
          </w:tcPr>
          <w:p>
            <w:pPr>
              <w:pStyle w:val="TableParagraph"/>
              <w:spacing w:before="61"/>
              <w:ind w:right="319"/>
              <w:rPr>
                <w:sz w:val="14"/>
              </w:rPr>
            </w:pPr>
            <w:r>
              <w:rPr>
                <w:spacing w:val="-4"/>
                <w:sz w:val="14"/>
              </w:rPr>
              <w:t>1.1%</w:t>
            </w:r>
          </w:p>
        </w:tc>
        <w:tc>
          <w:tcPr>
            <w:tcW w:w="921" w:type="dxa"/>
            <w:tcBorders>
              <w:top w:val="single" w:sz="8" w:space="0" w:color="000000"/>
              <w:bottom w:val="single" w:sz="8" w:space="0" w:color="000000"/>
            </w:tcBorders>
          </w:tcPr>
          <w:p>
            <w:pPr>
              <w:pStyle w:val="TableParagraph"/>
              <w:spacing w:before="61"/>
              <w:ind w:right="107"/>
              <w:rPr>
                <w:sz w:val="14"/>
              </w:rPr>
            </w:pPr>
            <w:r>
              <w:rPr>
                <w:spacing w:val="-4"/>
                <w:sz w:val="14"/>
              </w:rPr>
              <w:t>0.9%</w:t>
            </w:r>
          </w:p>
        </w:tc>
      </w:tr>
    </w:tbl>
    <w:p>
      <w:pPr>
        <w:pStyle w:val="ListParagraph"/>
        <w:numPr>
          <w:ilvl w:val="0"/>
          <w:numId w:val="4"/>
        </w:numPr>
        <w:tabs>
          <w:tab w:pos="2967" w:val="left" w:leader="none"/>
        </w:tabs>
        <w:spacing w:line="240" w:lineRule="auto" w:before="122" w:after="0"/>
        <w:ind w:left="2246" w:right="2237" w:firstLine="0"/>
        <w:jc w:val="both"/>
        <w:rPr>
          <w:sz w:val="20"/>
        </w:rPr>
      </w:pPr>
      <w:r>
        <w:rPr>
          <w:w w:val="95"/>
          <w:sz w:val="20"/>
        </w:rPr>
        <w:t>Similar</w:t>
      </w:r>
      <w:r>
        <w:rPr>
          <w:spacing w:val="-10"/>
          <w:w w:val="95"/>
          <w:sz w:val="20"/>
        </w:rPr>
        <w:t> </w:t>
      </w:r>
      <w:r>
        <w:rPr>
          <w:w w:val="95"/>
          <w:sz w:val="20"/>
        </w:rPr>
        <w:t>to</w:t>
      </w:r>
      <w:r>
        <w:rPr>
          <w:spacing w:val="-10"/>
          <w:w w:val="95"/>
          <w:sz w:val="20"/>
        </w:rPr>
        <w:t> </w:t>
      </w:r>
      <w:r>
        <w:rPr>
          <w:w w:val="95"/>
          <w:sz w:val="20"/>
        </w:rPr>
        <w:t>previous</w:t>
      </w:r>
      <w:r>
        <w:rPr>
          <w:spacing w:val="-10"/>
          <w:w w:val="95"/>
          <w:sz w:val="20"/>
        </w:rPr>
        <w:t> </w:t>
      </w:r>
      <w:r>
        <w:rPr>
          <w:w w:val="95"/>
          <w:sz w:val="20"/>
        </w:rPr>
        <w:t>budget</w:t>
      </w:r>
      <w:r>
        <w:rPr>
          <w:spacing w:val="-10"/>
          <w:w w:val="95"/>
          <w:sz w:val="20"/>
        </w:rPr>
        <w:t> </w:t>
      </w:r>
      <w:r>
        <w:rPr>
          <w:w w:val="95"/>
          <w:sz w:val="20"/>
        </w:rPr>
        <w:t>submissions,</w:t>
      </w:r>
      <w:r>
        <w:rPr>
          <w:spacing w:val="-10"/>
          <w:w w:val="95"/>
          <w:sz w:val="20"/>
        </w:rPr>
        <w:t> </w:t>
      </w:r>
      <w:r>
        <w:rPr>
          <w:w w:val="95"/>
          <w:sz w:val="20"/>
        </w:rPr>
        <w:t>the</w:t>
      </w:r>
      <w:r>
        <w:rPr>
          <w:spacing w:val="-10"/>
          <w:w w:val="95"/>
          <w:sz w:val="20"/>
        </w:rPr>
        <w:t> </w:t>
      </w:r>
      <w:r>
        <w:rPr>
          <w:w w:val="95"/>
          <w:sz w:val="20"/>
        </w:rPr>
        <w:t>proposal</w:t>
      </w:r>
      <w:r>
        <w:rPr>
          <w:spacing w:val="-10"/>
          <w:w w:val="95"/>
          <w:sz w:val="20"/>
        </w:rPr>
        <w:t> </w:t>
      </w:r>
      <w:r>
        <w:rPr>
          <w:w w:val="95"/>
          <w:sz w:val="20"/>
        </w:rPr>
        <w:t>for</w:t>
      </w:r>
      <w:r>
        <w:rPr>
          <w:spacing w:val="-10"/>
          <w:w w:val="95"/>
          <w:sz w:val="20"/>
        </w:rPr>
        <w:t> </w:t>
      </w:r>
      <w:r>
        <w:rPr>
          <w:w w:val="95"/>
          <w:sz w:val="20"/>
        </w:rPr>
        <w:t>2023</w:t>
      </w:r>
      <w:r>
        <w:rPr>
          <w:spacing w:val="-10"/>
          <w:w w:val="95"/>
          <w:sz w:val="20"/>
        </w:rPr>
        <w:t> </w:t>
      </w:r>
      <w:r>
        <w:rPr>
          <w:w w:val="95"/>
          <w:sz w:val="20"/>
        </w:rPr>
        <w:t>is</w:t>
      </w:r>
      <w:r>
        <w:rPr>
          <w:spacing w:val="-10"/>
          <w:w w:val="95"/>
          <w:sz w:val="20"/>
        </w:rPr>
        <w:t> </w:t>
      </w:r>
      <w:r>
        <w:rPr>
          <w:w w:val="95"/>
          <w:sz w:val="20"/>
        </w:rPr>
        <w:t>based</w:t>
      </w:r>
      <w:r>
        <w:rPr>
          <w:spacing w:val="-10"/>
          <w:w w:val="95"/>
          <w:sz w:val="20"/>
        </w:rPr>
        <w:t> </w:t>
      </w:r>
      <w:r>
        <w:rPr>
          <w:w w:val="95"/>
          <w:sz w:val="20"/>
        </w:rPr>
        <w:t>on</w:t>
      </w:r>
      <w:r>
        <w:rPr>
          <w:spacing w:val="-10"/>
          <w:w w:val="95"/>
          <w:sz w:val="20"/>
        </w:rPr>
        <w:t> </w:t>
      </w:r>
      <w:r>
        <w:rPr>
          <w:w w:val="95"/>
          <w:sz w:val="20"/>
        </w:rPr>
        <w:t>both</w:t>
      </w:r>
      <w:r>
        <w:rPr>
          <w:spacing w:val="-10"/>
          <w:w w:val="95"/>
          <w:sz w:val="20"/>
        </w:rPr>
        <w:t> </w:t>
      </w:r>
      <w:r>
        <w:rPr>
          <w:w w:val="95"/>
          <w:sz w:val="20"/>
        </w:rPr>
        <w:t>estimates </w:t>
      </w:r>
      <w:r>
        <w:rPr>
          <w:spacing w:val="-2"/>
          <w:sz w:val="20"/>
        </w:rPr>
        <w:t>for</w:t>
      </w:r>
      <w:r>
        <w:rPr>
          <w:spacing w:val="-4"/>
          <w:sz w:val="20"/>
        </w:rPr>
        <w:t> </w:t>
      </w:r>
      <w:r>
        <w:rPr>
          <w:spacing w:val="-2"/>
          <w:sz w:val="20"/>
        </w:rPr>
        <w:t>2023</w:t>
      </w:r>
      <w:r>
        <w:rPr>
          <w:spacing w:val="-4"/>
          <w:sz w:val="20"/>
        </w:rPr>
        <w:t> </w:t>
      </w:r>
      <w:r>
        <w:rPr>
          <w:spacing w:val="-2"/>
          <w:sz w:val="20"/>
        </w:rPr>
        <w:t>activities</w:t>
      </w:r>
      <w:r>
        <w:rPr>
          <w:spacing w:val="-6"/>
          <w:sz w:val="20"/>
        </w:rPr>
        <w:t> </w:t>
      </w:r>
      <w:r>
        <w:rPr>
          <w:spacing w:val="-2"/>
          <w:sz w:val="20"/>
        </w:rPr>
        <w:t>and</w:t>
      </w:r>
      <w:r>
        <w:rPr>
          <w:spacing w:val="-9"/>
          <w:sz w:val="20"/>
        </w:rPr>
        <w:t> </w:t>
      </w:r>
      <w:r>
        <w:rPr>
          <w:spacing w:val="-2"/>
          <w:sz w:val="20"/>
        </w:rPr>
        <w:t>trends</w:t>
      </w:r>
      <w:r>
        <w:rPr>
          <w:spacing w:val="-11"/>
          <w:sz w:val="20"/>
        </w:rPr>
        <w:t> </w:t>
      </w:r>
      <w:r>
        <w:rPr>
          <w:spacing w:val="-2"/>
          <w:sz w:val="20"/>
        </w:rPr>
        <w:t>in</w:t>
      </w:r>
      <w:r>
        <w:rPr>
          <w:spacing w:val="-4"/>
          <w:sz w:val="20"/>
        </w:rPr>
        <w:t> </w:t>
      </w:r>
      <w:r>
        <w:rPr>
          <w:spacing w:val="-2"/>
          <w:sz w:val="20"/>
        </w:rPr>
        <w:t>the implementation</w:t>
      </w:r>
      <w:r>
        <w:rPr>
          <w:spacing w:val="-9"/>
          <w:sz w:val="20"/>
        </w:rPr>
        <w:t> </w:t>
      </w:r>
      <w:r>
        <w:rPr>
          <w:spacing w:val="-2"/>
          <w:sz w:val="20"/>
        </w:rPr>
        <w:t>of</w:t>
      </w:r>
      <w:r>
        <w:rPr>
          <w:spacing w:val="-4"/>
          <w:sz w:val="20"/>
        </w:rPr>
        <w:t> </w:t>
      </w:r>
      <w:r>
        <w:rPr>
          <w:spacing w:val="-2"/>
          <w:sz w:val="20"/>
        </w:rPr>
        <w:t>specific</w:t>
      </w:r>
      <w:r>
        <w:rPr>
          <w:spacing w:val="-7"/>
          <w:sz w:val="20"/>
        </w:rPr>
        <w:t> </w:t>
      </w:r>
      <w:r>
        <w:rPr>
          <w:spacing w:val="-2"/>
          <w:sz w:val="20"/>
        </w:rPr>
        <w:t>budget items</w:t>
      </w:r>
      <w:r>
        <w:rPr>
          <w:spacing w:val="-11"/>
          <w:sz w:val="20"/>
        </w:rPr>
        <w:t> </w:t>
      </w:r>
      <w:r>
        <w:rPr>
          <w:spacing w:val="-2"/>
          <w:sz w:val="20"/>
        </w:rPr>
        <w:t>in</w:t>
      </w:r>
      <w:r>
        <w:rPr>
          <w:spacing w:val="-4"/>
          <w:sz w:val="20"/>
        </w:rPr>
        <w:t> </w:t>
      </w:r>
      <w:r>
        <w:rPr>
          <w:spacing w:val="-2"/>
          <w:sz w:val="20"/>
        </w:rPr>
        <w:t>past</w:t>
      </w:r>
      <w:r>
        <w:rPr>
          <w:spacing w:val="-8"/>
          <w:sz w:val="20"/>
        </w:rPr>
        <w:t> </w:t>
      </w:r>
      <w:r>
        <w:rPr>
          <w:spacing w:val="-2"/>
          <w:sz w:val="20"/>
        </w:rPr>
        <w:t>years.</w:t>
      </w:r>
    </w:p>
    <w:p>
      <w:pPr>
        <w:pStyle w:val="BodyText"/>
        <w:spacing w:before="5"/>
        <w:rPr>
          <w:sz w:val="10"/>
        </w:rPr>
      </w:pPr>
    </w:p>
    <w:tbl>
      <w:tblPr>
        <w:tblW w:w="0" w:type="auto"/>
        <w:jc w:val="left"/>
        <w:tblInd w:w="2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92"/>
        <w:gridCol w:w="2017"/>
        <w:gridCol w:w="1174"/>
      </w:tblGrid>
      <w:tr>
        <w:trPr>
          <w:trHeight w:val="326" w:hRule="atLeast"/>
        </w:trPr>
        <w:tc>
          <w:tcPr>
            <w:tcW w:w="4192" w:type="dxa"/>
            <w:tcBorders>
              <w:top w:val="single" w:sz="4" w:space="0" w:color="000000"/>
              <w:bottom w:val="single" w:sz="4" w:space="0" w:color="000000"/>
            </w:tcBorders>
          </w:tcPr>
          <w:p>
            <w:pPr>
              <w:pStyle w:val="TableParagraph"/>
              <w:spacing w:before="62"/>
              <w:ind w:left="7"/>
              <w:jc w:val="left"/>
              <w:rPr>
                <w:i/>
                <w:sz w:val="18"/>
              </w:rPr>
            </w:pPr>
            <w:r>
              <w:rPr>
                <w:i/>
                <w:spacing w:val="-2"/>
                <w:sz w:val="18"/>
              </w:rPr>
              <w:t>Parameter</w:t>
            </w:r>
          </w:p>
        </w:tc>
        <w:tc>
          <w:tcPr>
            <w:tcW w:w="2017" w:type="dxa"/>
            <w:tcBorders>
              <w:top w:val="single" w:sz="4" w:space="0" w:color="000000"/>
              <w:bottom w:val="single" w:sz="4" w:space="0" w:color="000000"/>
            </w:tcBorders>
          </w:tcPr>
          <w:p>
            <w:pPr>
              <w:pStyle w:val="TableParagraph"/>
              <w:spacing w:before="62"/>
              <w:ind w:right="807"/>
              <w:rPr>
                <w:i/>
                <w:sz w:val="18"/>
              </w:rPr>
            </w:pPr>
            <w:r>
              <w:rPr>
                <w:i/>
                <w:spacing w:val="-4"/>
                <w:sz w:val="18"/>
              </w:rPr>
              <w:t>2022</w:t>
            </w:r>
          </w:p>
        </w:tc>
        <w:tc>
          <w:tcPr>
            <w:tcW w:w="1174" w:type="dxa"/>
            <w:tcBorders>
              <w:top w:val="single" w:sz="4" w:space="0" w:color="000000"/>
              <w:bottom w:val="single" w:sz="4" w:space="0" w:color="000000"/>
            </w:tcBorders>
          </w:tcPr>
          <w:p>
            <w:pPr>
              <w:pStyle w:val="TableParagraph"/>
              <w:spacing w:before="62"/>
              <w:rPr>
                <w:i/>
                <w:sz w:val="18"/>
              </w:rPr>
            </w:pPr>
            <w:r>
              <w:rPr>
                <w:i/>
                <w:spacing w:val="-4"/>
                <w:sz w:val="18"/>
              </w:rPr>
              <w:t>2023</w:t>
            </w:r>
          </w:p>
        </w:tc>
      </w:tr>
      <w:tr>
        <w:trPr>
          <w:trHeight w:val="326" w:hRule="atLeast"/>
        </w:trPr>
        <w:tc>
          <w:tcPr>
            <w:tcW w:w="4192" w:type="dxa"/>
            <w:tcBorders>
              <w:top w:val="single" w:sz="4" w:space="0" w:color="000000"/>
              <w:bottom w:val="single" w:sz="4" w:space="0" w:color="000000"/>
            </w:tcBorders>
          </w:tcPr>
          <w:p>
            <w:pPr>
              <w:pStyle w:val="TableParagraph"/>
              <w:spacing w:before="62"/>
              <w:ind w:left="7"/>
              <w:jc w:val="left"/>
              <w:rPr>
                <w:sz w:val="18"/>
              </w:rPr>
            </w:pPr>
            <w:r>
              <w:rPr>
                <w:sz w:val="18"/>
              </w:rPr>
              <w:t>Number</w:t>
            </w:r>
            <w:r>
              <w:rPr>
                <w:spacing w:val="-4"/>
                <w:sz w:val="18"/>
              </w:rPr>
              <w:t> </w:t>
            </w:r>
            <w:r>
              <w:rPr>
                <w:sz w:val="18"/>
              </w:rPr>
              <w:t>of</w:t>
            </w:r>
            <w:r>
              <w:rPr>
                <w:spacing w:val="-3"/>
                <w:sz w:val="18"/>
              </w:rPr>
              <w:t> </w:t>
            </w:r>
            <w:r>
              <w:rPr>
                <w:sz w:val="18"/>
              </w:rPr>
              <w:t>active</w:t>
            </w:r>
            <w:r>
              <w:rPr>
                <w:spacing w:val="-4"/>
                <w:sz w:val="18"/>
              </w:rPr>
              <w:t> </w:t>
            </w:r>
            <w:r>
              <w:rPr>
                <w:spacing w:val="-2"/>
                <w:sz w:val="18"/>
              </w:rPr>
              <w:t>investigations</w:t>
            </w:r>
          </w:p>
        </w:tc>
        <w:tc>
          <w:tcPr>
            <w:tcW w:w="2017" w:type="dxa"/>
            <w:tcBorders>
              <w:top w:val="single" w:sz="4" w:space="0" w:color="000000"/>
              <w:bottom w:val="single" w:sz="4" w:space="0" w:color="000000"/>
            </w:tcBorders>
          </w:tcPr>
          <w:p>
            <w:pPr>
              <w:pStyle w:val="TableParagraph"/>
              <w:spacing w:before="55"/>
              <w:ind w:right="812"/>
              <w:rPr>
                <w:sz w:val="12"/>
              </w:rPr>
            </w:pPr>
            <w:r>
              <w:rPr>
                <w:spacing w:val="-5"/>
                <w:position w:val="-5"/>
                <w:sz w:val="18"/>
              </w:rPr>
              <w:t>8</w:t>
            </w:r>
            <w:r>
              <w:rPr>
                <w:spacing w:val="-5"/>
                <w:sz w:val="12"/>
              </w:rPr>
              <w:t>25</w:t>
            </w:r>
          </w:p>
        </w:tc>
        <w:tc>
          <w:tcPr>
            <w:tcW w:w="1174" w:type="dxa"/>
            <w:tcBorders>
              <w:top w:val="single" w:sz="4" w:space="0" w:color="000000"/>
              <w:bottom w:val="single" w:sz="4" w:space="0" w:color="000000"/>
            </w:tcBorders>
          </w:tcPr>
          <w:p>
            <w:pPr>
              <w:pStyle w:val="TableParagraph"/>
              <w:spacing w:before="55"/>
              <w:ind w:right="4"/>
              <w:rPr>
                <w:sz w:val="12"/>
              </w:rPr>
            </w:pPr>
            <w:r>
              <w:rPr>
                <w:spacing w:val="-4"/>
                <w:position w:val="-5"/>
                <w:sz w:val="18"/>
              </w:rPr>
              <w:t>10</w:t>
            </w:r>
            <w:r>
              <w:rPr>
                <w:spacing w:val="-4"/>
                <w:sz w:val="12"/>
              </w:rPr>
              <w:t>26</w:t>
            </w:r>
          </w:p>
        </w:tc>
      </w:tr>
      <w:tr>
        <w:trPr>
          <w:trHeight w:val="326" w:hRule="atLeast"/>
        </w:trPr>
        <w:tc>
          <w:tcPr>
            <w:tcW w:w="4192" w:type="dxa"/>
            <w:tcBorders>
              <w:top w:val="single" w:sz="4" w:space="0" w:color="000000"/>
              <w:bottom w:val="single" w:sz="4" w:space="0" w:color="000000"/>
            </w:tcBorders>
          </w:tcPr>
          <w:p>
            <w:pPr>
              <w:pStyle w:val="TableParagraph"/>
              <w:spacing w:before="62"/>
              <w:ind w:left="7"/>
              <w:jc w:val="left"/>
              <w:rPr>
                <w:sz w:val="18"/>
              </w:rPr>
            </w:pPr>
            <w:r>
              <w:rPr>
                <w:sz w:val="18"/>
              </w:rPr>
              <w:t>Unsealed</w:t>
            </w:r>
            <w:r>
              <w:rPr>
                <w:spacing w:val="-6"/>
                <w:sz w:val="18"/>
              </w:rPr>
              <w:t> </w:t>
            </w:r>
            <w:r>
              <w:rPr>
                <w:sz w:val="18"/>
              </w:rPr>
              <w:t>warrants</w:t>
            </w:r>
            <w:r>
              <w:rPr>
                <w:spacing w:val="-5"/>
                <w:sz w:val="18"/>
              </w:rPr>
              <w:t> </w:t>
            </w:r>
            <w:r>
              <w:rPr>
                <w:sz w:val="18"/>
              </w:rPr>
              <w:t>of</w:t>
            </w:r>
            <w:r>
              <w:rPr>
                <w:spacing w:val="-5"/>
                <w:sz w:val="18"/>
              </w:rPr>
              <w:t> </w:t>
            </w:r>
            <w:r>
              <w:rPr>
                <w:sz w:val="18"/>
              </w:rPr>
              <w:t>arrest</w:t>
            </w:r>
            <w:r>
              <w:rPr>
                <w:spacing w:val="-3"/>
                <w:sz w:val="18"/>
              </w:rPr>
              <w:t> </w:t>
            </w:r>
            <w:r>
              <w:rPr>
                <w:sz w:val="18"/>
              </w:rPr>
              <w:t>pending</w:t>
            </w:r>
            <w:r>
              <w:rPr>
                <w:spacing w:val="-5"/>
                <w:sz w:val="18"/>
              </w:rPr>
              <w:t> </w:t>
            </w:r>
            <w:r>
              <w:rPr>
                <w:spacing w:val="-2"/>
                <w:sz w:val="18"/>
              </w:rPr>
              <w:t>execution</w:t>
            </w:r>
          </w:p>
        </w:tc>
        <w:tc>
          <w:tcPr>
            <w:tcW w:w="2017" w:type="dxa"/>
            <w:tcBorders>
              <w:top w:val="single" w:sz="4" w:space="0" w:color="000000"/>
              <w:bottom w:val="single" w:sz="4" w:space="0" w:color="000000"/>
            </w:tcBorders>
          </w:tcPr>
          <w:p>
            <w:pPr>
              <w:pStyle w:val="TableParagraph"/>
              <w:spacing w:before="55"/>
              <w:ind w:right="812"/>
              <w:rPr>
                <w:sz w:val="12"/>
              </w:rPr>
            </w:pPr>
            <w:r>
              <w:rPr>
                <w:spacing w:val="-4"/>
                <w:position w:val="-5"/>
                <w:sz w:val="18"/>
              </w:rPr>
              <w:t>13</w:t>
            </w:r>
            <w:r>
              <w:rPr>
                <w:spacing w:val="-4"/>
                <w:sz w:val="12"/>
              </w:rPr>
              <w:t>27</w:t>
            </w:r>
          </w:p>
        </w:tc>
        <w:tc>
          <w:tcPr>
            <w:tcW w:w="1174" w:type="dxa"/>
            <w:tcBorders>
              <w:top w:val="single" w:sz="4" w:space="0" w:color="000000"/>
              <w:bottom w:val="single" w:sz="4" w:space="0" w:color="000000"/>
            </w:tcBorders>
          </w:tcPr>
          <w:p>
            <w:pPr>
              <w:pStyle w:val="TableParagraph"/>
              <w:spacing w:before="55"/>
              <w:ind w:right="4"/>
              <w:rPr>
                <w:sz w:val="12"/>
              </w:rPr>
            </w:pPr>
            <w:r>
              <w:rPr>
                <w:spacing w:val="-4"/>
                <w:position w:val="-5"/>
                <w:sz w:val="18"/>
              </w:rPr>
              <w:t>16</w:t>
            </w:r>
            <w:r>
              <w:rPr>
                <w:spacing w:val="-4"/>
                <w:sz w:val="12"/>
              </w:rPr>
              <w:t>28</w:t>
            </w:r>
          </w:p>
        </w:tc>
      </w:tr>
      <w:tr>
        <w:trPr>
          <w:trHeight w:val="325" w:hRule="atLeast"/>
        </w:trPr>
        <w:tc>
          <w:tcPr>
            <w:tcW w:w="4192" w:type="dxa"/>
            <w:tcBorders>
              <w:top w:val="single" w:sz="4" w:space="0" w:color="000000"/>
              <w:bottom w:val="single" w:sz="4" w:space="0" w:color="000000"/>
            </w:tcBorders>
          </w:tcPr>
          <w:p>
            <w:pPr>
              <w:pStyle w:val="TableParagraph"/>
              <w:spacing w:before="62"/>
              <w:ind w:left="7"/>
              <w:jc w:val="left"/>
              <w:rPr>
                <w:sz w:val="18"/>
              </w:rPr>
            </w:pPr>
            <w:r>
              <w:rPr>
                <w:sz w:val="18"/>
              </w:rPr>
              <w:t>Number</w:t>
            </w:r>
            <w:r>
              <w:rPr>
                <w:spacing w:val="-5"/>
                <w:sz w:val="18"/>
              </w:rPr>
              <w:t> </w:t>
            </w:r>
            <w:r>
              <w:rPr>
                <w:sz w:val="18"/>
              </w:rPr>
              <w:t>of</w:t>
            </w:r>
            <w:r>
              <w:rPr>
                <w:spacing w:val="-1"/>
                <w:sz w:val="18"/>
              </w:rPr>
              <w:t> </w:t>
            </w:r>
            <w:r>
              <w:rPr>
                <w:sz w:val="18"/>
              </w:rPr>
              <w:t>preliminary</w:t>
            </w:r>
            <w:r>
              <w:rPr>
                <w:spacing w:val="-6"/>
                <w:sz w:val="18"/>
              </w:rPr>
              <w:t> </w:t>
            </w:r>
            <w:r>
              <w:rPr>
                <w:spacing w:val="-2"/>
                <w:sz w:val="18"/>
              </w:rPr>
              <w:t>examinations</w:t>
            </w:r>
          </w:p>
        </w:tc>
        <w:tc>
          <w:tcPr>
            <w:tcW w:w="2017" w:type="dxa"/>
            <w:tcBorders>
              <w:top w:val="single" w:sz="4" w:space="0" w:color="000000"/>
              <w:bottom w:val="single" w:sz="4" w:space="0" w:color="000000"/>
            </w:tcBorders>
          </w:tcPr>
          <w:p>
            <w:pPr>
              <w:pStyle w:val="TableParagraph"/>
              <w:spacing w:before="55"/>
              <w:ind w:right="812"/>
              <w:rPr>
                <w:sz w:val="12"/>
              </w:rPr>
            </w:pPr>
            <w:r>
              <w:rPr>
                <w:spacing w:val="-5"/>
                <w:position w:val="-5"/>
                <w:sz w:val="18"/>
              </w:rPr>
              <w:t>8</w:t>
            </w:r>
            <w:r>
              <w:rPr>
                <w:spacing w:val="-5"/>
                <w:sz w:val="12"/>
              </w:rPr>
              <w:t>29</w:t>
            </w:r>
          </w:p>
        </w:tc>
        <w:tc>
          <w:tcPr>
            <w:tcW w:w="1174" w:type="dxa"/>
            <w:tcBorders>
              <w:top w:val="single" w:sz="4" w:space="0" w:color="000000"/>
              <w:bottom w:val="single" w:sz="4" w:space="0" w:color="000000"/>
            </w:tcBorders>
          </w:tcPr>
          <w:p>
            <w:pPr>
              <w:pStyle w:val="TableParagraph"/>
              <w:spacing w:before="55"/>
              <w:ind w:right="4"/>
              <w:rPr>
                <w:sz w:val="12"/>
              </w:rPr>
            </w:pPr>
            <w:r>
              <w:rPr>
                <w:spacing w:val="-5"/>
                <w:position w:val="-5"/>
                <w:sz w:val="18"/>
              </w:rPr>
              <w:t>3</w:t>
            </w:r>
            <w:r>
              <w:rPr>
                <w:spacing w:val="-5"/>
                <w:sz w:val="12"/>
              </w:rPr>
              <w:t>30</w:t>
            </w:r>
          </w:p>
        </w:tc>
      </w:tr>
      <w:tr>
        <w:trPr>
          <w:trHeight w:val="330" w:hRule="atLeast"/>
        </w:trPr>
        <w:tc>
          <w:tcPr>
            <w:tcW w:w="4192" w:type="dxa"/>
            <w:tcBorders>
              <w:top w:val="single" w:sz="4" w:space="0" w:color="000000"/>
              <w:bottom w:val="single" w:sz="4" w:space="0" w:color="000000"/>
            </w:tcBorders>
          </w:tcPr>
          <w:p>
            <w:pPr>
              <w:pStyle w:val="TableParagraph"/>
              <w:spacing w:before="67"/>
              <w:ind w:left="7"/>
              <w:jc w:val="left"/>
              <w:rPr>
                <w:sz w:val="18"/>
              </w:rPr>
            </w:pPr>
            <w:r>
              <w:rPr>
                <w:sz w:val="18"/>
              </w:rPr>
              <w:t>Number</w:t>
            </w:r>
            <w:r>
              <w:rPr>
                <w:spacing w:val="-4"/>
                <w:sz w:val="18"/>
              </w:rPr>
              <w:t> </w:t>
            </w:r>
            <w:r>
              <w:rPr>
                <w:sz w:val="18"/>
              </w:rPr>
              <w:t>of</w:t>
            </w:r>
            <w:r>
              <w:rPr>
                <w:spacing w:val="-4"/>
                <w:sz w:val="18"/>
              </w:rPr>
              <w:t> </w:t>
            </w:r>
            <w:r>
              <w:rPr>
                <w:sz w:val="18"/>
              </w:rPr>
              <w:t>(pre-)trial</w:t>
            </w:r>
            <w:r>
              <w:rPr>
                <w:spacing w:val="-7"/>
                <w:sz w:val="18"/>
              </w:rPr>
              <w:t> </w:t>
            </w:r>
            <w:r>
              <w:rPr>
                <w:sz w:val="18"/>
              </w:rPr>
              <w:t>teams</w:t>
            </w:r>
            <w:r>
              <w:rPr>
                <w:spacing w:val="-2"/>
                <w:sz w:val="18"/>
              </w:rPr>
              <w:t> </w:t>
            </w:r>
            <w:r>
              <w:rPr>
                <w:spacing w:val="-4"/>
                <w:sz w:val="18"/>
              </w:rPr>
              <w:t>(OTP)</w:t>
            </w:r>
          </w:p>
        </w:tc>
        <w:tc>
          <w:tcPr>
            <w:tcW w:w="2017" w:type="dxa"/>
            <w:tcBorders>
              <w:top w:val="single" w:sz="4" w:space="0" w:color="000000"/>
              <w:bottom w:val="single" w:sz="4" w:space="0" w:color="000000"/>
            </w:tcBorders>
          </w:tcPr>
          <w:p>
            <w:pPr>
              <w:pStyle w:val="TableParagraph"/>
              <w:spacing w:before="60"/>
              <w:ind w:right="812"/>
              <w:rPr>
                <w:sz w:val="12"/>
              </w:rPr>
            </w:pPr>
            <w:r>
              <w:rPr>
                <w:spacing w:val="-5"/>
                <w:position w:val="-5"/>
                <w:sz w:val="18"/>
              </w:rPr>
              <w:t>5</w:t>
            </w:r>
            <w:r>
              <w:rPr>
                <w:spacing w:val="-5"/>
                <w:sz w:val="12"/>
              </w:rPr>
              <w:t>31</w:t>
            </w:r>
          </w:p>
        </w:tc>
        <w:tc>
          <w:tcPr>
            <w:tcW w:w="1174" w:type="dxa"/>
            <w:tcBorders>
              <w:top w:val="single" w:sz="4" w:space="0" w:color="000000"/>
              <w:bottom w:val="single" w:sz="4" w:space="0" w:color="000000"/>
            </w:tcBorders>
          </w:tcPr>
          <w:p>
            <w:pPr>
              <w:pStyle w:val="TableParagraph"/>
              <w:spacing w:before="60"/>
              <w:ind w:right="4"/>
              <w:rPr>
                <w:sz w:val="12"/>
              </w:rPr>
            </w:pPr>
            <w:r>
              <w:rPr>
                <w:spacing w:val="-5"/>
                <w:position w:val="-5"/>
                <w:sz w:val="18"/>
              </w:rPr>
              <w:t>6</w:t>
            </w:r>
            <w:r>
              <w:rPr>
                <w:spacing w:val="-5"/>
                <w:sz w:val="12"/>
              </w:rPr>
              <w:t>32</w:t>
            </w:r>
          </w:p>
        </w:tc>
      </w:tr>
      <w:tr>
        <w:trPr>
          <w:trHeight w:val="326" w:hRule="atLeast"/>
        </w:trPr>
        <w:tc>
          <w:tcPr>
            <w:tcW w:w="4192" w:type="dxa"/>
            <w:tcBorders>
              <w:top w:val="single" w:sz="4" w:space="0" w:color="000000"/>
              <w:bottom w:val="single" w:sz="4" w:space="0" w:color="000000"/>
            </w:tcBorders>
          </w:tcPr>
          <w:p>
            <w:pPr>
              <w:pStyle w:val="TableParagraph"/>
              <w:spacing w:before="62"/>
              <w:ind w:left="7"/>
              <w:jc w:val="left"/>
              <w:rPr>
                <w:sz w:val="18"/>
              </w:rPr>
            </w:pPr>
            <w:r>
              <w:rPr>
                <w:sz w:val="18"/>
              </w:rPr>
              <w:t>Number</w:t>
            </w:r>
            <w:r>
              <w:rPr>
                <w:spacing w:val="-2"/>
                <w:sz w:val="18"/>
              </w:rPr>
              <w:t> </w:t>
            </w:r>
            <w:r>
              <w:rPr>
                <w:sz w:val="18"/>
              </w:rPr>
              <w:t>of</w:t>
            </w:r>
            <w:r>
              <w:rPr>
                <w:spacing w:val="-2"/>
                <w:sz w:val="18"/>
              </w:rPr>
              <w:t> </w:t>
            </w:r>
            <w:r>
              <w:rPr>
                <w:sz w:val="18"/>
              </w:rPr>
              <w:t>final</w:t>
            </w:r>
            <w:r>
              <w:rPr>
                <w:spacing w:val="-1"/>
                <w:sz w:val="18"/>
              </w:rPr>
              <w:t> </w:t>
            </w:r>
            <w:r>
              <w:rPr>
                <w:spacing w:val="-2"/>
                <w:sz w:val="18"/>
              </w:rPr>
              <w:t>appeals</w:t>
            </w:r>
          </w:p>
        </w:tc>
        <w:tc>
          <w:tcPr>
            <w:tcW w:w="2017" w:type="dxa"/>
            <w:tcBorders>
              <w:top w:val="single" w:sz="4" w:space="0" w:color="000000"/>
              <w:bottom w:val="single" w:sz="4" w:space="0" w:color="000000"/>
            </w:tcBorders>
          </w:tcPr>
          <w:p>
            <w:pPr>
              <w:pStyle w:val="TableParagraph"/>
              <w:spacing w:before="55"/>
              <w:ind w:right="812"/>
              <w:rPr>
                <w:sz w:val="12"/>
              </w:rPr>
            </w:pPr>
            <w:r>
              <w:rPr>
                <w:spacing w:val="-5"/>
                <w:position w:val="-5"/>
                <w:sz w:val="18"/>
              </w:rPr>
              <w:t>1</w:t>
            </w:r>
            <w:r>
              <w:rPr>
                <w:spacing w:val="-5"/>
                <w:sz w:val="12"/>
              </w:rPr>
              <w:t>33</w:t>
            </w:r>
          </w:p>
        </w:tc>
        <w:tc>
          <w:tcPr>
            <w:tcW w:w="1174" w:type="dxa"/>
            <w:tcBorders>
              <w:top w:val="single" w:sz="4" w:space="0" w:color="000000"/>
              <w:bottom w:val="single" w:sz="4" w:space="0" w:color="000000"/>
            </w:tcBorders>
          </w:tcPr>
          <w:p>
            <w:pPr>
              <w:pStyle w:val="TableParagraph"/>
              <w:spacing w:before="55"/>
              <w:ind w:right="4"/>
              <w:rPr>
                <w:sz w:val="12"/>
              </w:rPr>
            </w:pPr>
            <w:r>
              <w:rPr>
                <w:spacing w:val="-5"/>
                <w:position w:val="-5"/>
                <w:sz w:val="18"/>
              </w:rPr>
              <w:t>3</w:t>
            </w:r>
            <w:r>
              <w:rPr>
                <w:spacing w:val="-5"/>
                <w:sz w:val="12"/>
              </w:rPr>
              <w:t>34</w:t>
            </w:r>
          </w:p>
        </w:tc>
      </w:tr>
    </w:tbl>
    <w:p>
      <w:pPr>
        <w:pStyle w:val="BodyText"/>
      </w:pPr>
    </w:p>
    <w:p>
      <w:pPr>
        <w:pStyle w:val="BodyText"/>
        <w:spacing w:before="8"/>
        <w:rPr>
          <w:sz w:val="27"/>
        </w:rPr>
      </w:pPr>
      <w:r>
        <w:rPr/>
        <w:pict>
          <v:rect style="position:absolute;margin-left:113.330002pt;margin-top:17.151007pt;width:144.050pt;height:.47998pt;mso-position-horizontal-relative:page;mso-position-vertical-relative:paragraph;z-index:-15714304;mso-wrap-distance-left:0;mso-wrap-distance-right:0" id="docshape79" filled="true" fillcolor="#000000" stroked="false">
            <v:fill type="solid"/>
            <w10:wrap type="topAndBottom"/>
          </v:rect>
        </w:pict>
      </w:r>
    </w:p>
    <w:p>
      <w:pPr>
        <w:spacing w:before="86"/>
        <w:ind w:left="2246" w:right="2244" w:firstLine="0"/>
        <w:jc w:val="both"/>
        <w:rPr>
          <w:sz w:val="16"/>
        </w:rPr>
      </w:pPr>
      <w:r>
        <w:rPr>
          <w:position w:val="5"/>
          <w:sz w:val="10"/>
        </w:rPr>
        <w:t>25 </w:t>
      </w:r>
      <w:r>
        <w:rPr>
          <w:sz w:val="16"/>
        </w:rPr>
        <w:t>Eight active investigations: Bangladesh/Myanmar, Burundi, Côte d’Ivoire (CIV II), Darfur, Sudan, Georgia,</w:t>
      </w:r>
      <w:r>
        <w:rPr>
          <w:spacing w:val="40"/>
          <w:sz w:val="16"/>
        </w:rPr>
        <w:t> </w:t>
      </w:r>
      <w:r>
        <w:rPr>
          <w:sz w:val="16"/>
        </w:rPr>
        <w:t>Libya III, Libya IV and Libya V.</w:t>
      </w:r>
    </w:p>
    <w:p>
      <w:pPr>
        <w:spacing w:before="2"/>
        <w:ind w:left="2246" w:right="2249" w:firstLine="0"/>
        <w:jc w:val="both"/>
        <w:rPr>
          <w:sz w:val="16"/>
        </w:rPr>
      </w:pPr>
      <w:r>
        <w:rPr>
          <w:position w:val="5"/>
          <w:sz w:val="10"/>
        </w:rPr>
        <w:t>26 </w:t>
      </w:r>
      <w:r>
        <w:rPr>
          <w:sz w:val="16"/>
        </w:rPr>
        <w:t>Ten active investigations: Afghanistan, Bangladesh/Myanmar, Burundi, Côte d’Ivoire (CIV II), Darfur, Sudan,</w:t>
      </w:r>
      <w:r>
        <w:rPr>
          <w:spacing w:val="40"/>
          <w:sz w:val="16"/>
        </w:rPr>
        <w:t> </w:t>
      </w:r>
      <w:r>
        <w:rPr>
          <w:sz w:val="16"/>
        </w:rPr>
        <w:t>Libya, Palestine, Philippines, Ukraine and Venezuela I. The three cases in the Libya situation listed in 2022 have</w:t>
      </w:r>
      <w:r>
        <w:rPr>
          <w:spacing w:val="40"/>
          <w:sz w:val="16"/>
        </w:rPr>
        <w:t> </w:t>
      </w:r>
      <w:r>
        <w:rPr>
          <w:sz w:val="16"/>
        </w:rPr>
        <w:t>been grouped under </w:t>
      </w:r>
      <w:r>
        <w:rPr>
          <w:i/>
          <w:sz w:val="16"/>
        </w:rPr>
        <w:t>Libya </w:t>
      </w:r>
      <w:r>
        <w:rPr>
          <w:sz w:val="16"/>
        </w:rPr>
        <w:t>in 2023.</w:t>
      </w:r>
    </w:p>
    <w:p>
      <w:pPr>
        <w:spacing w:line="183" w:lineRule="exact" w:before="0"/>
        <w:ind w:left="2246" w:right="0" w:firstLine="0"/>
        <w:jc w:val="both"/>
        <w:rPr>
          <w:sz w:val="16"/>
        </w:rPr>
      </w:pPr>
      <w:r>
        <w:rPr>
          <w:position w:val="5"/>
          <w:sz w:val="10"/>
        </w:rPr>
        <w:t>27</w:t>
      </w:r>
      <w:r>
        <w:rPr>
          <w:spacing w:val="33"/>
          <w:position w:val="5"/>
          <w:sz w:val="10"/>
        </w:rPr>
        <w:t> </w:t>
      </w:r>
      <w:r>
        <w:rPr>
          <w:sz w:val="16"/>
        </w:rPr>
        <w:t>CIV</w:t>
      </w:r>
      <w:r>
        <w:rPr>
          <w:spacing w:val="16"/>
          <w:sz w:val="16"/>
        </w:rPr>
        <w:t> </w:t>
      </w:r>
      <w:r>
        <w:rPr>
          <w:sz w:val="16"/>
        </w:rPr>
        <w:t>I</w:t>
      </w:r>
      <w:r>
        <w:rPr>
          <w:spacing w:val="15"/>
          <w:sz w:val="16"/>
        </w:rPr>
        <w:t> </w:t>
      </w:r>
      <w:r>
        <w:rPr>
          <w:i/>
          <w:sz w:val="16"/>
        </w:rPr>
        <w:t>bis</w:t>
      </w:r>
      <w:r>
        <w:rPr>
          <w:sz w:val="16"/>
        </w:rPr>
        <w:t>(1);</w:t>
      </w:r>
      <w:r>
        <w:rPr>
          <w:spacing w:val="14"/>
          <w:sz w:val="16"/>
        </w:rPr>
        <w:t> </w:t>
      </w:r>
      <w:r>
        <w:rPr>
          <w:sz w:val="16"/>
        </w:rPr>
        <w:t>Darfur</w:t>
      </w:r>
      <w:r>
        <w:rPr>
          <w:spacing w:val="15"/>
          <w:sz w:val="16"/>
        </w:rPr>
        <w:t> </w:t>
      </w:r>
      <w:r>
        <w:rPr>
          <w:sz w:val="16"/>
        </w:rPr>
        <w:t>I</w:t>
      </w:r>
      <w:r>
        <w:rPr>
          <w:spacing w:val="15"/>
          <w:sz w:val="16"/>
        </w:rPr>
        <w:t> </w:t>
      </w:r>
      <w:r>
        <w:rPr>
          <w:sz w:val="16"/>
        </w:rPr>
        <w:t>(1),</w:t>
      </w:r>
      <w:r>
        <w:rPr>
          <w:spacing w:val="14"/>
          <w:sz w:val="16"/>
        </w:rPr>
        <w:t> </w:t>
      </w:r>
      <w:r>
        <w:rPr>
          <w:sz w:val="16"/>
        </w:rPr>
        <w:t>IV</w:t>
      </w:r>
      <w:r>
        <w:rPr>
          <w:spacing w:val="16"/>
          <w:sz w:val="16"/>
        </w:rPr>
        <w:t> </w:t>
      </w:r>
      <w:r>
        <w:rPr>
          <w:sz w:val="16"/>
        </w:rPr>
        <w:t>and</w:t>
      </w:r>
      <w:r>
        <w:rPr>
          <w:spacing w:val="17"/>
          <w:sz w:val="16"/>
        </w:rPr>
        <w:t> </w:t>
      </w:r>
      <w:r>
        <w:rPr>
          <w:sz w:val="16"/>
        </w:rPr>
        <w:t>V</w:t>
      </w:r>
      <w:r>
        <w:rPr>
          <w:spacing w:val="16"/>
          <w:sz w:val="16"/>
        </w:rPr>
        <w:t> </w:t>
      </w:r>
      <w:r>
        <w:rPr>
          <w:sz w:val="16"/>
        </w:rPr>
        <w:t>(2),</w:t>
      </w:r>
      <w:r>
        <w:rPr>
          <w:spacing w:val="14"/>
          <w:sz w:val="16"/>
        </w:rPr>
        <w:t> </w:t>
      </w:r>
      <w:r>
        <w:rPr>
          <w:sz w:val="16"/>
        </w:rPr>
        <w:t>III</w:t>
      </w:r>
      <w:r>
        <w:rPr>
          <w:spacing w:val="16"/>
          <w:sz w:val="16"/>
        </w:rPr>
        <w:t> </w:t>
      </w:r>
      <w:r>
        <w:rPr>
          <w:sz w:val="16"/>
        </w:rPr>
        <w:t>(1);</w:t>
      </w:r>
      <w:r>
        <w:rPr>
          <w:spacing w:val="14"/>
          <w:sz w:val="16"/>
        </w:rPr>
        <w:t> </w:t>
      </w:r>
      <w:r>
        <w:rPr>
          <w:sz w:val="16"/>
        </w:rPr>
        <w:t>DRC</w:t>
      </w:r>
      <w:r>
        <w:rPr>
          <w:spacing w:val="15"/>
          <w:sz w:val="16"/>
        </w:rPr>
        <w:t> </w:t>
      </w:r>
      <w:r>
        <w:rPr>
          <w:sz w:val="16"/>
        </w:rPr>
        <w:t>IV</w:t>
      </w:r>
      <w:r>
        <w:rPr>
          <w:spacing w:val="16"/>
          <w:sz w:val="16"/>
        </w:rPr>
        <w:t> </w:t>
      </w:r>
      <w:r>
        <w:rPr>
          <w:sz w:val="16"/>
        </w:rPr>
        <w:t>(1);</w:t>
      </w:r>
      <w:r>
        <w:rPr>
          <w:spacing w:val="14"/>
          <w:sz w:val="16"/>
        </w:rPr>
        <w:t> </w:t>
      </w:r>
      <w:r>
        <w:rPr>
          <w:sz w:val="16"/>
        </w:rPr>
        <w:t>Kenya</w:t>
      </w:r>
      <w:r>
        <w:rPr>
          <w:spacing w:val="17"/>
          <w:sz w:val="16"/>
        </w:rPr>
        <w:t> </w:t>
      </w:r>
      <w:r>
        <w:rPr>
          <w:sz w:val="16"/>
        </w:rPr>
        <w:t>article</w:t>
      </w:r>
      <w:r>
        <w:rPr>
          <w:spacing w:val="17"/>
          <w:sz w:val="16"/>
        </w:rPr>
        <w:t> </w:t>
      </w:r>
      <w:r>
        <w:rPr>
          <w:sz w:val="16"/>
        </w:rPr>
        <w:t>70(2);</w:t>
      </w:r>
      <w:r>
        <w:rPr>
          <w:spacing w:val="14"/>
          <w:sz w:val="16"/>
        </w:rPr>
        <w:t> </w:t>
      </w:r>
      <w:r>
        <w:rPr>
          <w:sz w:val="16"/>
        </w:rPr>
        <w:t>Libya</w:t>
      </w:r>
      <w:r>
        <w:rPr>
          <w:spacing w:val="17"/>
          <w:sz w:val="16"/>
        </w:rPr>
        <w:t> </w:t>
      </w:r>
      <w:r>
        <w:rPr>
          <w:sz w:val="16"/>
        </w:rPr>
        <w:t>I</w:t>
      </w:r>
      <w:r>
        <w:rPr>
          <w:spacing w:val="15"/>
          <w:sz w:val="16"/>
        </w:rPr>
        <w:t> </w:t>
      </w:r>
      <w:r>
        <w:rPr>
          <w:sz w:val="16"/>
        </w:rPr>
        <w:t>(1),</w:t>
      </w:r>
      <w:r>
        <w:rPr>
          <w:spacing w:val="14"/>
          <w:sz w:val="16"/>
        </w:rPr>
        <w:t> </w:t>
      </w:r>
      <w:r>
        <w:rPr>
          <w:sz w:val="16"/>
        </w:rPr>
        <w:t>Libya</w:t>
      </w:r>
      <w:r>
        <w:rPr>
          <w:spacing w:val="17"/>
          <w:sz w:val="16"/>
        </w:rPr>
        <w:t> </w:t>
      </w:r>
      <w:r>
        <w:rPr>
          <w:sz w:val="16"/>
        </w:rPr>
        <w:t>II</w:t>
      </w:r>
      <w:r>
        <w:rPr>
          <w:spacing w:val="16"/>
          <w:sz w:val="16"/>
        </w:rPr>
        <w:t> </w:t>
      </w:r>
      <w:r>
        <w:rPr>
          <w:spacing w:val="-4"/>
          <w:sz w:val="16"/>
        </w:rPr>
        <w:t>(1);</w:t>
      </w:r>
    </w:p>
    <w:p>
      <w:pPr>
        <w:spacing w:line="182" w:lineRule="exact" w:before="0"/>
        <w:ind w:left="2246" w:right="0" w:firstLine="0"/>
        <w:jc w:val="both"/>
        <w:rPr>
          <w:sz w:val="16"/>
        </w:rPr>
      </w:pPr>
      <w:r>
        <w:rPr>
          <w:sz w:val="16"/>
        </w:rPr>
        <w:t>Libya</w:t>
      </w:r>
      <w:r>
        <w:rPr>
          <w:spacing w:val="-2"/>
          <w:sz w:val="16"/>
        </w:rPr>
        <w:t> </w:t>
      </w:r>
      <w:r>
        <w:rPr>
          <w:sz w:val="16"/>
        </w:rPr>
        <w:t>III</w:t>
      </w:r>
      <w:r>
        <w:rPr>
          <w:spacing w:val="-3"/>
          <w:sz w:val="16"/>
        </w:rPr>
        <w:t> </w:t>
      </w:r>
      <w:r>
        <w:rPr>
          <w:sz w:val="16"/>
        </w:rPr>
        <w:t>(2);</w:t>
      </w:r>
      <w:r>
        <w:rPr>
          <w:spacing w:val="-4"/>
          <w:sz w:val="16"/>
        </w:rPr>
        <w:t> </w:t>
      </w:r>
      <w:r>
        <w:rPr>
          <w:sz w:val="16"/>
        </w:rPr>
        <w:t>and</w:t>
      </w:r>
      <w:r>
        <w:rPr>
          <w:spacing w:val="-1"/>
          <w:sz w:val="16"/>
        </w:rPr>
        <w:t> </w:t>
      </w:r>
      <w:r>
        <w:rPr>
          <w:sz w:val="16"/>
        </w:rPr>
        <w:t>Uganda</w:t>
      </w:r>
      <w:r>
        <w:rPr>
          <w:spacing w:val="1"/>
          <w:sz w:val="16"/>
        </w:rPr>
        <w:t> </w:t>
      </w:r>
      <w:r>
        <w:rPr>
          <w:spacing w:val="-4"/>
          <w:sz w:val="16"/>
        </w:rPr>
        <w:t>(2).</w:t>
      </w:r>
    </w:p>
    <w:p>
      <w:pPr>
        <w:spacing w:line="183" w:lineRule="exact" w:before="0"/>
        <w:ind w:left="2246" w:right="0" w:firstLine="0"/>
        <w:jc w:val="both"/>
        <w:rPr>
          <w:sz w:val="16"/>
        </w:rPr>
      </w:pPr>
      <w:r>
        <w:rPr>
          <w:position w:val="5"/>
          <w:sz w:val="10"/>
        </w:rPr>
        <w:t>28</w:t>
      </w:r>
      <w:r>
        <w:rPr>
          <w:spacing w:val="33"/>
          <w:position w:val="5"/>
          <w:sz w:val="10"/>
        </w:rPr>
        <w:t> </w:t>
      </w:r>
      <w:r>
        <w:rPr>
          <w:sz w:val="16"/>
        </w:rPr>
        <w:t>CIV</w:t>
      </w:r>
      <w:r>
        <w:rPr>
          <w:spacing w:val="16"/>
          <w:sz w:val="16"/>
        </w:rPr>
        <w:t> </w:t>
      </w:r>
      <w:r>
        <w:rPr>
          <w:sz w:val="16"/>
        </w:rPr>
        <w:t>I</w:t>
      </w:r>
      <w:r>
        <w:rPr>
          <w:spacing w:val="15"/>
          <w:sz w:val="16"/>
        </w:rPr>
        <w:t> </w:t>
      </w:r>
      <w:r>
        <w:rPr>
          <w:i/>
          <w:sz w:val="16"/>
        </w:rPr>
        <w:t>bis</w:t>
      </w:r>
      <w:r>
        <w:rPr>
          <w:sz w:val="16"/>
        </w:rPr>
        <w:t>(1);</w:t>
      </w:r>
      <w:r>
        <w:rPr>
          <w:spacing w:val="14"/>
          <w:sz w:val="16"/>
        </w:rPr>
        <w:t> </w:t>
      </w:r>
      <w:r>
        <w:rPr>
          <w:sz w:val="16"/>
        </w:rPr>
        <w:t>Darfur</w:t>
      </w:r>
      <w:r>
        <w:rPr>
          <w:spacing w:val="15"/>
          <w:sz w:val="16"/>
        </w:rPr>
        <w:t> </w:t>
      </w:r>
      <w:r>
        <w:rPr>
          <w:sz w:val="16"/>
        </w:rPr>
        <w:t>I</w:t>
      </w:r>
      <w:r>
        <w:rPr>
          <w:spacing w:val="15"/>
          <w:sz w:val="16"/>
        </w:rPr>
        <w:t> </w:t>
      </w:r>
      <w:r>
        <w:rPr>
          <w:sz w:val="16"/>
        </w:rPr>
        <w:t>(1),</w:t>
      </w:r>
      <w:r>
        <w:rPr>
          <w:spacing w:val="14"/>
          <w:sz w:val="16"/>
        </w:rPr>
        <w:t> </w:t>
      </w:r>
      <w:r>
        <w:rPr>
          <w:sz w:val="16"/>
        </w:rPr>
        <w:t>IV</w:t>
      </w:r>
      <w:r>
        <w:rPr>
          <w:spacing w:val="16"/>
          <w:sz w:val="16"/>
        </w:rPr>
        <w:t> </w:t>
      </w:r>
      <w:r>
        <w:rPr>
          <w:sz w:val="16"/>
        </w:rPr>
        <w:t>and</w:t>
      </w:r>
      <w:r>
        <w:rPr>
          <w:spacing w:val="17"/>
          <w:sz w:val="16"/>
        </w:rPr>
        <w:t> </w:t>
      </w:r>
      <w:r>
        <w:rPr>
          <w:sz w:val="16"/>
        </w:rPr>
        <w:t>V</w:t>
      </w:r>
      <w:r>
        <w:rPr>
          <w:spacing w:val="16"/>
          <w:sz w:val="16"/>
        </w:rPr>
        <w:t> </w:t>
      </w:r>
      <w:r>
        <w:rPr>
          <w:sz w:val="16"/>
        </w:rPr>
        <w:t>(2),</w:t>
      </w:r>
      <w:r>
        <w:rPr>
          <w:spacing w:val="14"/>
          <w:sz w:val="16"/>
        </w:rPr>
        <w:t> </w:t>
      </w:r>
      <w:r>
        <w:rPr>
          <w:sz w:val="16"/>
        </w:rPr>
        <w:t>III</w:t>
      </w:r>
      <w:r>
        <w:rPr>
          <w:spacing w:val="16"/>
          <w:sz w:val="16"/>
        </w:rPr>
        <w:t> </w:t>
      </w:r>
      <w:r>
        <w:rPr>
          <w:sz w:val="16"/>
        </w:rPr>
        <w:t>(1);</w:t>
      </w:r>
      <w:r>
        <w:rPr>
          <w:spacing w:val="14"/>
          <w:sz w:val="16"/>
        </w:rPr>
        <w:t> </w:t>
      </w:r>
      <w:r>
        <w:rPr>
          <w:sz w:val="16"/>
        </w:rPr>
        <w:t>DRC</w:t>
      </w:r>
      <w:r>
        <w:rPr>
          <w:spacing w:val="15"/>
          <w:sz w:val="16"/>
        </w:rPr>
        <w:t> </w:t>
      </w:r>
      <w:r>
        <w:rPr>
          <w:sz w:val="16"/>
        </w:rPr>
        <w:t>IV</w:t>
      </w:r>
      <w:r>
        <w:rPr>
          <w:spacing w:val="16"/>
          <w:sz w:val="16"/>
        </w:rPr>
        <w:t> </w:t>
      </w:r>
      <w:r>
        <w:rPr>
          <w:sz w:val="16"/>
        </w:rPr>
        <w:t>(1);</w:t>
      </w:r>
      <w:r>
        <w:rPr>
          <w:spacing w:val="14"/>
          <w:sz w:val="16"/>
        </w:rPr>
        <w:t> </w:t>
      </w:r>
      <w:r>
        <w:rPr>
          <w:sz w:val="16"/>
        </w:rPr>
        <w:t>Kenya</w:t>
      </w:r>
      <w:r>
        <w:rPr>
          <w:spacing w:val="17"/>
          <w:sz w:val="16"/>
        </w:rPr>
        <w:t> </w:t>
      </w:r>
      <w:r>
        <w:rPr>
          <w:sz w:val="16"/>
        </w:rPr>
        <w:t>article</w:t>
      </w:r>
      <w:r>
        <w:rPr>
          <w:spacing w:val="17"/>
          <w:sz w:val="16"/>
        </w:rPr>
        <w:t> </w:t>
      </w:r>
      <w:r>
        <w:rPr>
          <w:sz w:val="16"/>
        </w:rPr>
        <w:t>70(2);</w:t>
      </w:r>
      <w:r>
        <w:rPr>
          <w:spacing w:val="14"/>
          <w:sz w:val="16"/>
        </w:rPr>
        <w:t> </w:t>
      </w:r>
      <w:r>
        <w:rPr>
          <w:sz w:val="16"/>
        </w:rPr>
        <w:t>Libya</w:t>
      </w:r>
      <w:r>
        <w:rPr>
          <w:spacing w:val="17"/>
          <w:sz w:val="16"/>
        </w:rPr>
        <w:t> </w:t>
      </w:r>
      <w:r>
        <w:rPr>
          <w:sz w:val="16"/>
        </w:rPr>
        <w:t>I</w:t>
      </w:r>
      <w:r>
        <w:rPr>
          <w:spacing w:val="15"/>
          <w:sz w:val="16"/>
        </w:rPr>
        <w:t> </w:t>
      </w:r>
      <w:r>
        <w:rPr>
          <w:sz w:val="16"/>
        </w:rPr>
        <w:t>(1),</w:t>
      </w:r>
      <w:r>
        <w:rPr>
          <w:spacing w:val="14"/>
          <w:sz w:val="16"/>
        </w:rPr>
        <w:t> </w:t>
      </w:r>
      <w:r>
        <w:rPr>
          <w:sz w:val="16"/>
        </w:rPr>
        <w:t>Libya</w:t>
      </w:r>
      <w:r>
        <w:rPr>
          <w:spacing w:val="17"/>
          <w:sz w:val="16"/>
        </w:rPr>
        <w:t> </w:t>
      </w:r>
      <w:r>
        <w:rPr>
          <w:sz w:val="16"/>
        </w:rPr>
        <w:t>II</w:t>
      </w:r>
      <w:r>
        <w:rPr>
          <w:spacing w:val="16"/>
          <w:sz w:val="16"/>
        </w:rPr>
        <w:t> </w:t>
      </w:r>
      <w:r>
        <w:rPr>
          <w:spacing w:val="-4"/>
          <w:sz w:val="16"/>
        </w:rPr>
        <w:t>(1);</w:t>
      </w:r>
    </w:p>
    <w:p>
      <w:pPr>
        <w:spacing w:line="183" w:lineRule="exact" w:before="3"/>
        <w:ind w:left="2246" w:right="0" w:firstLine="0"/>
        <w:jc w:val="left"/>
        <w:rPr>
          <w:sz w:val="16"/>
        </w:rPr>
      </w:pPr>
      <w:r>
        <w:rPr>
          <w:sz w:val="16"/>
        </w:rPr>
        <w:t>Libya</w:t>
      </w:r>
      <w:r>
        <w:rPr>
          <w:spacing w:val="-2"/>
          <w:sz w:val="16"/>
        </w:rPr>
        <w:t> </w:t>
      </w:r>
      <w:r>
        <w:rPr>
          <w:sz w:val="16"/>
        </w:rPr>
        <w:t>III</w:t>
      </w:r>
      <w:r>
        <w:rPr>
          <w:spacing w:val="-3"/>
          <w:sz w:val="16"/>
        </w:rPr>
        <w:t> </w:t>
      </w:r>
      <w:r>
        <w:rPr>
          <w:sz w:val="16"/>
        </w:rPr>
        <w:t>(2);</w:t>
      </w:r>
      <w:r>
        <w:rPr>
          <w:spacing w:val="-5"/>
          <w:sz w:val="16"/>
        </w:rPr>
        <w:t> </w:t>
      </w:r>
      <w:r>
        <w:rPr>
          <w:sz w:val="16"/>
        </w:rPr>
        <w:t>Georgia</w:t>
      </w:r>
      <w:r>
        <w:rPr>
          <w:spacing w:val="-2"/>
          <w:sz w:val="16"/>
        </w:rPr>
        <w:t> </w:t>
      </w:r>
      <w:r>
        <w:rPr>
          <w:sz w:val="16"/>
        </w:rPr>
        <w:t>(3)</w:t>
      </w:r>
      <w:r>
        <w:rPr>
          <w:spacing w:val="-3"/>
          <w:sz w:val="16"/>
        </w:rPr>
        <w:t> </w:t>
      </w:r>
      <w:r>
        <w:rPr>
          <w:sz w:val="16"/>
        </w:rPr>
        <w:t>and</w:t>
      </w:r>
      <w:r>
        <w:rPr>
          <w:spacing w:val="-2"/>
          <w:sz w:val="16"/>
        </w:rPr>
        <w:t> </w:t>
      </w:r>
      <w:r>
        <w:rPr>
          <w:sz w:val="16"/>
        </w:rPr>
        <w:t>Uganda</w:t>
      </w:r>
      <w:r>
        <w:rPr>
          <w:spacing w:val="1"/>
          <w:sz w:val="16"/>
        </w:rPr>
        <w:t> </w:t>
      </w:r>
      <w:r>
        <w:rPr>
          <w:spacing w:val="-4"/>
          <w:sz w:val="16"/>
        </w:rPr>
        <w:t>(2).</w:t>
      </w:r>
    </w:p>
    <w:p>
      <w:pPr>
        <w:spacing w:line="183" w:lineRule="exact" w:before="0"/>
        <w:ind w:left="2246" w:right="0" w:firstLine="0"/>
        <w:jc w:val="left"/>
        <w:rPr>
          <w:sz w:val="16"/>
        </w:rPr>
      </w:pPr>
      <w:r>
        <w:rPr>
          <w:position w:val="5"/>
          <w:sz w:val="10"/>
        </w:rPr>
        <w:t>29</w:t>
      </w:r>
      <w:r>
        <w:rPr>
          <w:spacing w:val="13"/>
          <w:position w:val="5"/>
          <w:sz w:val="10"/>
        </w:rPr>
        <w:t> </w:t>
      </w:r>
      <w:r>
        <w:rPr>
          <w:sz w:val="16"/>
        </w:rPr>
        <w:t>Bolivia,</w:t>
      </w:r>
      <w:r>
        <w:rPr>
          <w:spacing w:val="-5"/>
          <w:sz w:val="16"/>
        </w:rPr>
        <w:t> </w:t>
      </w:r>
      <w:r>
        <w:rPr>
          <w:sz w:val="16"/>
        </w:rPr>
        <w:t>Colombia,</w:t>
      </w:r>
      <w:r>
        <w:rPr>
          <w:spacing w:val="-4"/>
          <w:sz w:val="16"/>
        </w:rPr>
        <w:t> </w:t>
      </w:r>
      <w:r>
        <w:rPr>
          <w:sz w:val="16"/>
        </w:rPr>
        <w:t>Guinea,</w:t>
      </w:r>
      <w:r>
        <w:rPr>
          <w:spacing w:val="-5"/>
          <w:sz w:val="16"/>
        </w:rPr>
        <w:t> </w:t>
      </w:r>
      <w:r>
        <w:rPr>
          <w:sz w:val="16"/>
        </w:rPr>
        <w:t>Nigeria,</w:t>
      </w:r>
      <w:r>
        <w:rPr>
          <w:spacing w:val="-1"/>
          <w:sz w:val="16"/>
        </w:rPr>
        <w:t> </w:t>
      </w:r>
      <w:r>
        <w:rPr>
          <w:sz w:val="16"/>
        </w:rPr>
        <w:t>the</w:t>
      </w:r>
      <w:r>
        <w:rPr>
          <w:spacing w:val="-2"/>
          <w:sz w:val="16"/>
        </w:rPr>
        <w:t> </w:t>
      </w:r>
      <w:r>
        <w:rPr>
          <w:sz w:val="16"/>
        </w:rPr>
        <w:t>Philippines,</w:t>
      </w:r>
      <w:r>
        <w:rPr>
          <w:spacing w:val="-5"/>
          <w:sz w:val="16"/>
        </w:rPr>
        <w:t> </w:t>
      </w:r>
      <w:r>
        <w:rPr>
          <w:sz w:val="16"/>
        </w:rPr>
        <w:t>Ukraine,</w:t>
      </w:r>
      <w:r>
        <w:rPr>
          <w:spacing w:val="-4"/>
          <w:sz w:val="16"/>
        </w:rPr>
        <w:t> </w:t>
      </w:r>
      <w:r>
        <w:rPr>
          <w:sz w:val="16"/>
        </w:rPr>
        <w:t>Venezuela</w:t>
      </w:r>
      <w:r>
        <w:rPr>
          <w:spacing w:val="-3"/>
          <w:sz w:val="16"/>
        </w:rPr>
        <w:t> </w:t>
      </w:r>
      <w:r>
        <w:rPr>
          <w:sz w:val="16"/>
        </w:rPr>
        <w:t>I</w:t>
      </w:r>
      <w:r>
        <w:rPr>
          <w:spacing w:val="-3"/>
          <w:sz w:val="16"/>
        </w:rPr>
        <w:t> </w:t>
      </w:r>
      <w:r>
        <w:rPr>
          <w:sz w:val="16"/>
        </w:rPr>
        <w:t>and</w:t>
      </w:r>
      <w:r>
        <w:rPr>
          <w:spacing w:val="-2"/>
          <w:sz w:val="16"/>
        </w:rPr>
        <w:t> </w:t>
      </w:r>
      <w:r>
        <w:rPr>
          <w:sz w:val="16"/>
        </w:rPr>
        <w:t>Venezuela</w:t>
      </w:r>
      <w:r>
        <w:rPr>
          <w:spacing w:val="-3"/>
          <w:sz w:val="16"/>
        </w:rPr>
        <w:t> </w:t>
      </w:r>
      <w:r>
        <w:rPr>
          <w:spacing w:val="-5"/>
          <w:sz w:val="16"/>
        </w:rPr>
        <w:t>II.</w:t>
      </w:r>
    </w:p>
    <w:p>
      <w:pPr>
        <w:spacing w:line="183" w:lineRule="exact" w:before="0"/>
        <w:ind w:left="2246" w:right="0" w:firstLine="0"/>
        <w:jc w:val="left"/>
        <w:rPr>
          <w:sz w:val="16"/>
        </w:rPr>
      </w:pPr>
      <w:r>
        <w:rPr>
          <w:position w:val="5"/>
          <w:sz w:val="10"/>
        </w:rPr>
        <w:t>30</w:t>
      </w:r>
      <w:r>
        <w:rPr>
          <w:spacing w:val="14"/>
          <w:position w:val="5"/>
          <w:sz w:val="10"/>
        </w:rPr>
        <w:t> </w:t>
      </w:r>
      <w:r>
        <w:rPr>
          <w:sz w:val="16"/>
        </w:rPr>
        <w:t>Guinea,</w:t>
      </w:r>
      <w:r>
        <w:rPr>
          <w:spacing w:val="-3"/>
          <w:sz w:val="16"/>
        </w:rPr>
        <w:t> </w:t>
      </w:r>
      <w:r>
        <w:rPr>
          <w:sz w:val="16"/>
        </w:rPr>
        <w:t>Nigeria,</w:t>
      </w:r>
      <w:r>
        <w:rPr>
          <w:spacing w:val="-4"/>
          <w:sz w:val="16"/>
        </w:rPr>
        <w:t> </w:t>
      </w:r>
      <w:r>
        <w:rPr>
          <w:sz w:val="16"/>
        </w:rPr>
        <w:t>and Venezuela</w:t>
      </w:r>
      <w:r>
        <w:rPr>
          <w:spacing w:val="-1"/>
          <w:sz w:val="16"/>
        </w:rPr>
        <w:t> </w:t>
      </w:r>
      <w:r>
        <w:rPr>
          <w:spacing w:val="-5"/>
          <w:sz w:val="16"/>
        </w:rPr>
        <w:t>II.</w:t>
      </w:r>
    </w:p>
    <w:p>
      <w:pPr>
        <w:spacing w:before="3"/>
        <w:ind w:left="2246" w:right="2238" w:firstLine="0"/>
        <w:jc w:val="both"/>
        <w:rPr>
          <w:sz w:val="16"/>
        </w:rPr>
      </w:pPr>
      <w:r>
        <w:rPr>
          <w:position w:val="5"/>
          <w:sz w:val="10"/>
        </w:rPr>
        <w:t>31</w:t>
      </w:r>
      <w:r>
        <w:rPr>
          <w:spacing w:val="-7"/>
          <w:position w:val="5"/>
          <w:sz w:val="10"/>
        </w:rPr>
        <w:t> </w:t>
      </w:r>
      <w:r>
        <w:rPr>
          <w:sz w:val="16"/>
        </w:rPr>
        <w:t>CAR</w:t>
      </w:r>
      <w:r>
        <w:rPr>
          <w:spacing w:val="-10"/>
          <w:sz w:val="16"/>
        </w:rPr>
        <w:t> </w:t>
      </w:r>
      <w:r>
        <w:rPr>
          <w:sz w:val="16"/>
        </w:rPr>
        <w:t>II.b</w:t>
      </w:r>
      <w:r>
        <w:rPr>
          <w:spacing w:val="-10"/>
          <w:sz w:val="16"/>
        </w:rPr>
        <w:t> </w:t>
      </w:r>
      <w:r>
        <w:rPr>
          <w:sz w:val="16"/>
        </w:rPr>
        <w:t>(</w:t>
      </w:r>
      <w:r>
        <w:rPr>
          <w:i/>
          <w:sz w:val="16"/>
        </w:rPr>
        <w:t>Yekatom</w:t>
      </w:r>
      <w:r>
        <w:rPr>
          <w:i/>
          <w:spacing w:val="-10"/>
          <w:sz w:val="16"/>
        </w:rPr>
        <w:t> </w:t>
      </w:r>
      <w:r>
        <w:rPr>
          <w:i/>
          <w:sz w:val="16"/>
        </w:rPr>
        <w:t>and</w:t>
      </w:r>
      <w:r>
        <w:rPr>
          <w:i/>
          <w:spacing w:val="-10"/>
          <w:sz w:val="16"/>
        </w:rPr>
        <w:t> </w:t>
      </w:r>
      <w:r>
        <w:rPr>
          <w:i/>
          <w:sz w:val="16"/>
        </w:rPr>
        <w:t>Ngaïssona</w:t>
      </w:r>
      <w:r>
        <w:rPr>
          <w:sz w:val="16"/>
        </w:rPr>
        <w:t>),</w:t>
      </w:r>
      <w:r>
        <w:rPr>
          <w:spacing w:val="-10"/>
          <w:sz w:val="16"/>
        </w:rPr>
        <w:t> </w:t>
      </w:r>
      <w:r>
        <w:rPr>
          <w:sz w:val="16"/>
        </w:rPr>
        <w:t>Darfur</w:t>
      </w:r>
      <w:r>
        <w:rPr>
          <w:spacing w:val="-10"/>
          <w:sz w:val="16"/>
        </w:rPr>
        <w:t> </w:t>
      </w:r>
      <w:r>
        <w:rPr>
          <w:sz w:val="16"/>
        </w:rPr>
        <w:t>(</w:t>
      </w:r>
      <w:r>
        <w:rPr>
          <w:i/>
          <w:sz w:val="16"/>
        </w:rPr>
        <w:t>Abd-al-Rahman</w:t>
      </w:r>
      <w:r>
        <w:rPr>
          <w:sz w:val="16"/>
        </w:rPr>
        <w:t>),</w:t>
      </w:r>
      <w:r>
        <w:rPr>
          <w:spacing w:val="-10"/>
          <w:sz w:val="16"/>
        </w:rPr>
        <w:t> </w:t>
      </w:r>
      <w:r>
        <w:rPr>
          <w:sz w:val="16"/>
        </w:rPr>
        <w:t>Kenya</w:t>
      </w:r>
      <w:r>
        <w:rPr>
          <w:spacing w:val="-10"/>
          <w:sz w:val="16"/>
        </w:rPr>
        <w:t> </w:t>
      </w:r>
      <w:r>
        <w:rPr>
          <w:sz w:val="16"/>
        </w:rPr>
        <w:t>article</w:t>
      </w:r>
      <w:r>
        <w:rPr>
          <w:spacing w:val="-10"/>
          <w:sz w:val="16"/>
        </w:rPr>
        <w:t> </w:t>
      </w:r>
      <w:r>
        <w:rPr>
          <w:sz w:val="16"/>
        </w:rPr>
        <w:t>70</w:t>
      </w:r>
      <w:r>
        <w:rPr>
          <w:spacing w:val="-10"/>
          <w:sz w:val="16"/>
        </w:rPr>
        <w:t> </w:t>
      </w:r>
      <w:r>
        <w:rPr>
          <w:sz w:val="16"/>
        </w:rPr>
        <w:t>(</w:t>
      </w:r>
      <w:r>
        <w:rPr>
          <w:i/>
          <w:sz w:val="16"/>
        </w:rPr>
        <w:t>Gicheru</w:t>
      </w:r>
      <w:r>
        <w:rPr>
          <w:sz w:val="16"/>
        </w:rPr>
        <w:t>)</w:t>
      </w:r>
      <w:r>
        <w:rPr>
          <w:spacing w:val="-10"/>
          <w:sz w:val="16"/>
        </w:rPr>
        <w:t> </w:t>
      </w:r>
      <w:r>
        <w:rPr>
          <w:sz w:val="16"/>
        </w:rPr>
        <w:t>and</w:t>
      </w:r>
      <w:r>
        <w:rPr>
          <w:spacing w:val="-10"/>
          <w:sz w:val="16"/>
        </w:rPr>
        <w:t> </w:t>
      </w:r>
      <w:r>
        <w:rPr>
          <w:sz w:val="16"/>
        </w:rPr>
        <w:t>Mali</w:t>
      </w:r>
      <w:r>
        <w:rPr>
          <w:spacing w:val="-10"/>
          <w:sz w:val="16"/>
        </w:rPr>
        <w:t> </w:t>
      </w:r>
      <w:r>
        <w:rPr>
          <w:sz w:val="16"/>
        </w:rPr>
        <w:t>II</w:t>
      </w:r>
      <w:r>
        <w:rPr>
          <w:spacing w:val="-10"/>
          <w:sz w:val="16"/>
        </w:rPr>
        <w:t> </w:t>
      </w:r>
      <w:r>
        <w:rPr>
          <w:sz w:val="16"/>
        </w:rPr>
        <w:t>(</w:t>
      </w:r>
      <w:r>
        <w:rPr>
          <w:i/>
          <w:sz w:val="16"/>
        </w:rPr>
        <w:t>Al</w:t>
      </w:r>
      <w:r>
        <w:rPr>
          <w:i/>
          <w:spacing w:val="-10"/>
          <w:sz w:val="16"/>
        </w:rPr>
        <w:t> </w:t>
      </w:r>
      <w:r>
        <w:rPr>
          <w:i/>
          <w:sz w:val="16"/>
        </w:rPr>
        <w:t>Hassan</w:t>
      </w:r>
      <w:r>
        <w:rPr>
          <w:sz w:val="16"/>
        </w:rPr>
        <w:t>).</w:t>
      </w:r>
      <w:r>
        <w:rPr>
          <w:spacing w:val="40"/>
          <w:sz w:val="16"/>
        </w:rPr>
        <w:t> </w:t>
      </w:r>
      <w:r>
        <w:rPr>
          <w:spacing w:val="-2"/>
          <w:sz w:val="16"/>
        </w:rPr>
        <w:t>In</w:t>
      </w:r>
      <w:r>
        <w:rPr>
          <w:spacing w:val="-8"/>
          <w:sz w:val="16"/>
        </w:rPr>
        <w:t> </w:t>
      </w:r>
      <w:r>
        <w:rPr>
          <w:spacing w:val="-2"/>
          <w:sz w:val="16"/>
        </w:rPr>
        <w:t>2022</w:t>
      </w:r>
      <w:r>
        <w:rPr>
          <w:spacing w:val="-8"/>
          <w:sz w:val="16"/>
        </w:rPr>
        <w:t> </w:t>
      </w:r>
      <w:r>
        <w:rPr>
          <w:spacing w:val="-2"/>
          <w:sz w:val="16"/>
        </w:rPr>
        <w:t>these</w:t>
      </w:r>
      <w:r>
        <w:rPr>
          <w:spacing w:val="-8"/>
          <w:sz w:val="16"/>
        </w:rPr>
        <w:t> </w:t>
      </w:r>
      <w:r>
        <w:rPr>
          <w:spacing w:val="-2"/>
          <w:sz w:val="16"/>
        </w:rPr>
        <w:t>cases</w:t>
      </w:r>
      <w:r>
        <w:rPr>
          <w:spacing w:val="-8"/>
          <w:sz w:val="16"/>
        </w:rPr>
        <w:t> </w:t>
      </w:r>
      <w:r>
        <w:rPr>
          <w:spacing w:val="-2"/>
          <w:sz w:val="16"/>
        </w:rPr>
        <w:t>are</w:t>
      </w:r>
      <w:r>
        <w:rPr>
          <w:spacing w:val="-8"/>
          <w:sz w:val="16"/>
        </w:rPr>
        <w:t> </w:t>
      </w:r>
      <w:r>
        <w:rPr>
          <w:spacing w:val="-2"/>
          <w:sz w:val="16"/>
        </w:rPr>
        <w:t>included</w:t>
      </w:r>
      <w:r>
        <w:rPr>
          <w:spacing w:val="-7"/>
          <w:sz w:val="16"/>
        </w:rPr>
        <w:t> </w:t>
      </w:r>
      <w:r>
        <w:rPr>
          <w:spacing w:val="-2"/>
          <w:sz w:val="16"/>
        </w:rPr>
        <w:t>as</w:t>
      </w:r>
      <w:r>
        <w:rPr>
          <w:spacing w:val="-5"/>
          <w:sz w:val="16"/>
        </w:rPr>
        <w:t> </w:t>
      </w:r>
      <w:r>
        <w:rPr>
          <w:spacing w:val="-2"/>
          <w:sz w:val="16"/>
        </w:rPr>
        <w:t>trials.</w:t>
      </w:r>
      <w:r>
        <w:rPr>
          <w:spacing w:val="-8"/>
          <w:sz w:val="16"/>
        </w:rPr>
        <w:t> </w:t>
      </w:r>
      <w:r>
        <w:rPr>
          <w:spacing w:val="-2"/>
          <w:sz w:val="16"/>
        </w:rPr>
        <w:t>At</w:t>
      </w:r>
      <w:r>
        <w:rPr>
          <w:spacing w:val="-8"/>
          <w:sz w:val="16"/>
        </w:rPr>
        <w:t> </w:t>
      </w:r>
      <w:r>
        <w:rPr>
          <w:spacing w:val="-2"/>
          <w:sz w:val="16"/>
        </w:rPr>
        <w:t>the</w:t>
      </w:r>
      <w:r>
        <w:rPr>
          <w:spacing w:val="-5"/>
          <w:sz w:val="16"/>
        </w:rPr>
        <w:t> </w:t>
      </w:r>
      <w:r>
        <w:rPr>
          <w:spacing w:val="-2"/>
          <w:sz w:val="16"/>
        </w:rPr>
        <w:t>time</w:t>
      </w:r>
      <w:r>
        <w:rPr>
          <w:spacing w:val="-5"/>
          <w:sz w:val="16"/>
        </w:rPr>
        <w:t> </w:t>
      </w:r>
      <w:r>
        <w:rPr>
          <w:spacing w:val="-2"/>
          <w:sz w:val="16"/>
        </w:rPr>
        <w:t>of</w:t>
      </w:r>
      <w:r>
        <w:rPr>
          <w:spacing w:val="-7"/>
          <w:sz w:val="16"/>
        </w:rPr>
        <w:t> </w:t>
      </w:r>
      <w:r>
        <w:rPr>
          <w:spacing w:val="-2"/>
          <w:sz w:val="16"/>
        </w:rPr>
        <w:t>the</w:t>
      </w:r>
      <w:r>
        <w:rPr>
          <w:spacing w:val="-5"/>
          <w:sz w:val="16"/>
        </w:rPr>
        <w:t> </w:t>
      </w:r>
      <w:r>
        <w:rPr>
          <w:spacing w:val="-2"/>
          <w:sz w:val="16"/>
        </w:rPr>
        <w:t>submission</w:t>
      </w:r>
      <w:r>
        <w:rPr>
          <w:spacing w:val="-8"/>
          <w:sz w:val="16"/>
        </w:rPr>
        <w:t> </w:t>
      </w:r>
      <w:r>
        <w:rPr>
          <w:spacing w:val="-2"/>
          <w:sz w:val="16"/>
        </w:rPr>
        <w:t>of</w:t>
      </w:r>
      <w:r>
        <w:rPr>
          <w:spacing w:val="-7"/>
          <w:sz w:val="16"/>
        </w:rPr>
        <w:t> </w:t>
      </w:r>
      <w:r>
        <w:rPr>
          <w:spacing w:val="-2"/>
          <w:sz w:val="16"/>
        </w:rPr>
        <w:t>the</w:t>
      </w:r>
      <w:r>
        <w:rPr>
          <w:spacing w:val="-5"/>
          <w:sz w:val="16"/>
        </w:rPr>
        <w:t> </w:t>
      </w:r>
      <w:r>
        <w:rPr>
          <w:spacing w:val="-2"/>
          <w:sz w:val="16"/>
        </w:rPr>
        <w:t>2022</w:t>
      </w:r>
      <w:r>
        <w:rPr>
          <w:spacing w:val="-8"/>
          <w:sz w:val="16"/>
        </w:rPr>
        <w:t> </w:t>
      </w:r>
      <w:r>
        <w:rPr>
          <w:spacing w:val="-2"/>
          <w:sz w:val="16"/>
        </w:rPr>
        <w:t>proposed</w:t>
      </w:r>
      <w:r>
        <w:rPr>
          <w:spacing w:val="-8"/>
          <w:sz w:val="16"/>
        </w:rPr>
        <w:t> </w:t>
      </w:r>
      <w:r>
        <w:rPr>
          <w:spacing w:val="-2"/>
          <w:sz w:val="16"/>
        </w:rPr>
        <w:t>budget,</w:t>
      </w:r>
      <w:r>
        <w:rPr>
          <w:spacing w:val="-8"/>
          <w:sz w:val="16"/>
        </w:rPr>
        <w:t> </w:t>
      </w:r>
      <w:r>
        <w:rPr>
          <w:spacing w:val="-2"/>
          <w:sz w:val="16"/>
        </w:rPr>
        <w:t>the</w:t>
      </w:r>
      <w:r>
        <w:rPr>
          <w:spacing w:val="-8"/>
          <w:sz w:val="16"/>
        </w:rPr>
        <w:t> </w:t>
      </w:r>
      <w:r>
        <w:rPr>
          <w:spacing w:val="-2"/>
          <w:sz w:val="16"/>
        </w:rPr>
        <w:t>following</w:t>
      </w:r>
      <w:r>
        <w:rPr>
          <w:spacing w:val="-8"/>
          <w:sz w:val="16"/>
        </w:rPr>
        <w:t> </w:t>
      </w:r>
      <w:r>
        <w:rPr>
          <w:spacing w:val="-2"/>
          <w:sz w:val="16"/>
        </w:rPr>
        <w:t>case</w:t>
      </w:r>
      <w:r>
        <w:rPr>
          <w:spacing w:val="40"/>
          <w:sz w:val="16"/>
        </w:rPr>
        <w:t> </w:t>
      </w:r>
      <w:r>
        <w:rPr>
          <w:sz w:val="16"/>
        </w:rPr>
        <w:t>is</w:t>
      </w:r>
      <w:r>
        <w:rPr>
          <w:spacing w:val="-4"/>
          <w:sz w:val="16"/>
        </w:rPr>
        <w:t> </w:t>
      </w:r>
      <w:r>
        <w:rPr>
          <w:sz w:val="16"/>
        </w:rPr>
        <w:t>awaiting</w:t>
      </w:r>
      <w:r>
        <w:rPr>
          <w:spacing w:val="-8"/>
          <w:sz w:val="16"/>
        </w:rPr>
        <w:t> </w:t>
      </w:r>
      <w:r>
        <w:rPr>
          <w:sz w:val="16"/>
        </w:rPr>
        <w:t>confirmation</w:t>
      </w:r>
      <w:r>
        <w:rPr>
          <w:spacing w:val="-8"/>
          <w:sz w:val="16"/>
        </w:rPr>
        <w:t> </w:t>
      </w:r>
      <w:r>
        <w:rPr>
          <w:sz w:val="16"/>
        </w:rPr>
        <w:t>of</w:t>
      </w:r>
      <w:r>
        <w:rPr>
          <w:spacing w:val="-10"/>
          <w:sz w:val="16"/>
        </w:rPr>
        <w:t> </w:t>
      </w:r>
      <w:r>
        <w:rPr>
          <w:sz w:val="16"/>
        </w:rPr>
        <w:t>charges</w:t>
      </w:r>
      <w:r>
        <w:rPr>
          <w:spacing w:val="-5"/>
          <w:sz w:val="16"/>
        </w:rPr>
        <w:t> </w:t>
      </w:r>
      <w:r>
        <w:rPr>
          <w:sz w:val="16"/>
        </w:rPr>
        <w:t>and</w:t>
      </w:r>
      <w:r>
        <w:rPr>
          <w:spacing w:val="-8"/>
          <w:sz w:val="16"/>
        </w:rPr>
        <w:t> </w:t>
      </w:r>
      <w:r>
        <w:rPr>
          <w:sz w:val="16"/>
        </w:rPr>
        <w:t>has</w:t>
      </w:r>
      <w:r>
        <w:rPr>
          <w:spacing w:val="-9"/>
          <w:sz w:val="16"/>
        </w:rPr>
        <w:t> </w:t>
      </w:r>
      <w:r>
        <w:rPr>
          <w:sz w:val="16"/>
        </w:rPr>
        <w:t>been</w:t>
      </w:r>
      <w:r>
        <w:rPr>
          <w:spacing w:val="-3"/>
          <w:sz w:val="16"/>
        </w:rPr>
        <w:t> </w:t>
      </w:r>
      <w:r>
        <w:rPr>
          <w:sz w:val="16"/>
        </w:rPr>
        <w:t>included</w:t>
      </w:r>
      <w:r>
        <w:rPr>
          <w:spacing w:val="-3"/>
          <w:sz w:val="16"/>
        </w:rPr>
        <w:t> </w:t>
      </w:r>
      <w:r>
        <w:rPr>
          <w:sz w:val="16"/>
        </w:rPr>
        <w:t>in</w:t>
      </w:r>
      <w:r>
        <w:rPr>
          <w:spacing w:val="-3"/>
          <w:sz w:val="16"/>
        </w:rPr>
        <w:t> </w:t>
      </w:r>
      <w:r>
        <w:rPr>
          <w:sz w:val="16"/>
        </w:rPr>
        <w:t>the</w:t>
      </w:r>
      <w:r>
        <w:rPr>
          <w:spacing w:val="-8"/>
          <w:sz w:val="16"/>
        </w:rPr>
        <w:t> </w:t>
      </w:r>
      <w:r>
        <w:rPr>
          <w:sz w:val="16"/>
        </w:rPr>
        <w:t>parameters</w:t>
      </w:r>
      <w:r>
        <w:rPr>
          <w:spacing w:val="-9"/>
          <w:sz w:val="16"/>
        </w:rPr>
        <w:t> </w:t>
      </w:r>
      <w:r>
        <w:rPr>
          <w:sz w:val="16"/>
        </w:rPr>
        <w:t>as</w:t>
      </w:r>
      <w:r>
        <w:rPr>
          <w:spacing w:val="-9"/>
          <w:sz w:val="16"/>
        </w:rPr>
        <w:t> </w:t>
      </w:r>
      <w:r>
        <w:rPr>
          <w:sz w:val="16"/>
        </w:rPr>
        <w:t>pre-trial:</w:t>
      </w:r>
      <w:r>
        <w:rPr>
          <w:spacing w:val="-6"/>
          <w:sz w:val="16"/>
        </w:rPr>
        <w:t> </w:t>
      </w:r>
      <w:r>
        <w:rPr>
          <w:sz w:val="16"/>
        </w:rPr>
        <w:t>CAR</w:t>
      </w:r>
      <w:r>
        <w:rPr>
          <w:spacing w:val="-10"/>
          <w:sz w:val="16"/>
        </w:rPr>
        <w:t> </w:t>
      </w:r>
      <w:r>
        <w:rPr>
          <w:sz w:val="16"/>
        </w:rPr>
        <w:t>II.a</w:t>
      </w:r>
      <w:r>
        <w:rPr>
          <w:spacing w:val="-4"/>
          <w:sz w:val="16"/>
        </w:rPr>
        <w:t> </w:t>
      </w:r>
      <w:r>
        <w:rPr>
          <w:sz w:val="16"/>
        </w:rPr>
        <w:t>(</w:t>
      </w:r>
      <w:r>
        <w:rPr>
          <w:i/>
          <w:sz w:val="16"/>
        </w:rPr>
        <w:t>Said</w:t>
      </w:r>
      <w:r>
        <w:rPr>
          <w:sz w:val="16"/>
        </w:rPr>
        <w:t>).</w:t>
      </w:r>
    </w:p>
    <w:p>
      <w:pPr>
        <w:spacing w:line="240" w:lineRule="auto" w:before="0"/>
        <w:ind w:left="2246" w:right="2242" w:firstLine="0"/>
        <w:jc w:val="both"/>
        <w:rPr>
          <w:sz w:val="16"/>
        </w:rPr>
      </w:pPr>
      <w:r>
        <w:rPr>
          <w:position w:val="5"/>
          <w:sz w:val="10"/>
        </w:rPr>
        <w:t>32</w:t>
      </w:r>
      <w:r>
        <w:rPr>
          <w:spacing w:val="19"/>
          <w:position w:val="5"/>
          <w:sz w:val="10"/>
        </w:rPr>
        <w:t> </w:t>
      </w:r>
      <w:r>
        <w:rPr>
          <w:sz w:val="16"/>
        </w:rPr>
        <w:t>CAR II.a (</w:t>
      </w:r>
      <w:r>
        <w:rPr>
          <w:i/>
          <w:sz w:val="16"/>
        </w:rPr>
        <w:t>Said</w:t>
      </w:r>
      <w:r>
        <w:rPr>
          <w:sz w:val="16"/>
        </w:rPr>
        <w:t>), CAR II.b (</w:t>
      </w:r>
      <w:r>
        <w:rPr>
          <w:i/>
          <w:sz w:val="16"/>
        </w:rPr>
        <w:t>Yekatom and Ngaïssona</w:t>
      </w:r>
      <w:r>
        <w:rPr>
          <w:sz w:val="16"/>
        </w:rPr>
        <w:t>), Darfur (</w:t>
      </w:r>
      <w:r>
        <w:rPr>
          <w:i/>
          <w:sz w:val="16"/>
        </w:rPr>
        <w:t>Abd-al-Rahman</w:t>
      </w:r>
      <w:r>
        <w:rPr>
          <w:sz w:val="16"/>
        </w:rPr>
        <w:t>), Kenya article 70 (</w:t>
      </w:r>
      <w:r>
        <w:rPr>
          <w:i/>
          <w:sz w:val="16"/>
        </w:rPr>
        <w:t>Gicheru</w:t>
      </w:r>
      <w:r>
        <w:rPr>
          <w:sz w:val="16"/>
        </w:rPr>
        <w:t>) and</w:t>
      </w:r>
      <w:r>
        <w:rPr>
          <w:spacing w:val="40"/>
          <w:sz w:val="16"/>
        </w:rPr>
        <w:t> </w:t>
      </w:r>
      <w:r>
        <w:rPr>
          <w:sz w:val="16"/>
        </w:rPr>
        <w:t>Mali II (</w:t>
      </w:r>
      <w:r>
        <w:rPr>
          <w:i/>
          <w:sz w:val="16"/>
        </w:rPr>
        <w:t>Al Hassan</w:t>
      </w:r>
      <w:r>
        <w:rPr>
          <w:sz w:val="16"/>
        </w:rPr>
        <w:t>).</w:t>
      </w:r>
      <w:r>
        <w:rPr>
          <w:spacing w:val="-1"/>
          <w:sz w:val="16"/>
        </w:rPr>
        <w:t> </w:t>
      </w:r>
      <w:r>
        <w:rPr>
          <w:sz w:val="16"/>
        </w:rPr>
        <w:t>In 2023 these cases</w:t>
      </w:r>
      <w:r>
        <w:rPr>
          <w:spacing w:val="-4"/>
          <w:sz w:val="16"/>
        </w:rPr>
        <w:t> </w:t>
      </w:r>
      <w:r>
        <w:rPr>
          <w:sz w:val="16"/>
        </w:rPr>
        <w:t>are included as trials.</w:t>
      </w:r>
      <w:r>
        <w:rPr>
          <w:spacing w:val="-1"/>
          <w:sz w:val="16"/>
        </w:rPr>
        <w:t> </w:t>
      </w:r>
      <w:r>
        <w:rPr>
          <w:sz w:val="16"/>
        </w:rPr>
        <w:t>At the time of the submission of the 2023 proposed</w:t>
      </w:r>
      <w:r>
        <w:rPr>
          <w:spacing w:val="40"/>
          <w:sz w:val="16"/>
        </w:rPr>
        <w:t> </w:t>
      </w:r>
      <w:r>
        <w:rPr>
          <w:sz w:val="16"/>
        </w:rPr>
        <w:t>budget,</w:t>
      </w:r>
      <w:r>
        <w:rPr>
          <w:spacing w:val="-4"/>
          <w:sz w:val="16"/>
        </w:rPr>
        <w:t> </w:t>
      </w:r>
      <w:r>
        <w:rPr>
          <w:sz w:val="16"/>
        </w:rPr>
        <w:t>the</w:t>
      </w:r>
      <w:r>
        <w:rPr>
          <w:spacing w:val="-2"/>
          <w:sz w:val="16"/>
        </w:rPr>
        <w:t> </w:t>
      </w:r>
      <w:r>
        <w:rPr>
          <w:sz w:val="16"/>
        </w:rPr>
        <w:t>following</w:t>
      </w:r>
      <w:r>
        <w:rPr>
          <w:spacing w:val="-1"/>
          <w:sz w:val="16"/>
        </w:rPr>
        <w:t> </w:t>
      </w:r>
      <w:r>
        <w:rPr>
          <w:sz w:val="16"/>
        </w:rPr>
        <w:t>case</w:t>
      </w:r>
      <w:r>
        <w:rPr>
          <w:spacing w:val="-2"/>
          <w:sz w:val="16"/>
        </w:rPr>
        <w:t> </w:t>
      </w:r>
      <w:r>
        <w:rPr>
          <w:sz w:val="16"/>
        </w:rPr>
        <w:t>is</w:t>
      </w:r>
      <w:r>
        <w:rPr>
          <w:spacing w:val="-3"/>
          <w:sz w:val="16"/>
        </w:rPr>
        <w:t> </w:t>
      </w:r>
      <w:r>
        <w:rPr>
          <w:sz w:val="16"/>
        </w:rPr>
        <w:t>awaiting</w:t>
      </w:r>
      <w:r>
        <w:rPr>
          <w:spacing w:val="-1"/>
          <w:sz w:val="16"/>
        </w:rPr>
        <w:t> </w:t>
      </w:r>
      <w:r>
        <w:rPr>
          <w:sz w:val="16"/>
        </w:rPr>
        <w:t>confirmation</w:t>
      </w:r>
      <w:r>
        <w:rPr>
          <w:spacing w:val="-1"/>
          <w:sz w:val="16"/>
        </w:rPr>
        <w:t> </w:t>
      </w:r>
      <w:r>
        <w:rPr>
          <w:sz w:val="16"/>
        </w:rPr>
        <w:t>of</w:t>
      </w:r>
      <w:r>
        <w:rPr>
          <w:spacing w:val="-3"/>
          <w:sz w:val="16"/>
        </w:rPr>
        <w:t> </w:t>
      </w:r>
      <w:r>
        <w:rPr>
          <w:sz w:val="16"/>
        </w:rPr>
        <w:t>charges</w:t>
      </w:r>
      <w:r>
        <w:rPr>
          <w:spacing w:val="-3"/>
          <w:sz w:val="16"/>
        </w:rPr>
        <w:t> </w:t>
      </w:r>
      <w:r>
        <w:rPr>
          <w:sz w:val="16"/>
        </w:rPr>
        <w:t>and</w:t>
      </w:r>
      <w:r>
        <w:rPr>
          <w:spacing w:val="-1"/>
          <w:sz w:val="16"/>
        </w:rPr>
        <w:t> </w:t>
      </w:r>
      <w:r>
        <w:rPr>
          <w:sz w:val="16"/>
        </w:rPr>
        <w:t>has</w:t>
      </w:r>
      <w:r>
        <w:rPr>
          <w:spacing w:val="-3"/>
          <w:sz w:val="16"/>
        </w:rPr>
        <w:t> </w:t>
      </w:r>
      <w:r>
        <w:rPr>
          <w:sz w:val="16"/>
        </w:rPr>
        <w:t>been</w:t>
      </w:r>
      <w:r>
        <w:rPr>
          <w:spacing w:val="-6"/>
          <w:sz w:val="16"/>
        </w:rPr>
        <w:t> </w:t>
      </w:r>
      <w:r>
        <w:rPr>
          <w:sz w:val="16"/>
        </w:rPr>
        <w:t>included</w:t>
      </w:r>
      <w:r>
        <w:rPr>
          <w:spacing w:val="-1"/>
          <w:sz w:val="16"/>
        </w:rPr>
        <w:t> </w:t>
      </w:r>
      <w:r>
        <w:rPr>
          <w:sz w:val="16"/>
        </w:rPr>
        <w:t>in</w:t>
      </w:r>
      <w:r>
        <w:rPr>
          <w:spacing w:val="-1"/>
          <w:sz w:val="16"/>
        </w:rPr>
        <w:t> </w:t>
      </w:r>
      <w:r>
        <w:rPr>
          <w:sz w:val="16"/>
        </w:rPr>
        <w:t>the</w:t>
      </w:r>
      <w:r>
        <w:rPr>
          <w:spacing w:val="-2"/>
          <w:sz w:val="16"/>
        </w:rPr>
        <w:t> </w:t>
      </w:r>
      <w:r>
        <w:rPr>
          <w:sz w:val="16"/>
        </w:rPr>
        <w:t>parameters</w:t>
      </w:r>
      <w:r>
        <w:rPr>
          <w:spacing w:val="-3"/>
          <w:sz w:val="16"/>
        </w:rPr>
        <w:t> </w:t>
      </w:r>
      <w:r>
        <w:rPr>
          <w:sz w:val="16"/>
        </w:rPr>
        <w:t>as</w:t>
      </w:r>
      <w:r>
        <w:rPr>
          <w:spacing w:val="-3"/>
          <w:sz w:val="16"/>
        </w:rPr>
        <w:t> </w:t>
      </w:r>
      <w:r>
        <w:rPr>
          <w:sz w:val="16"/>
        </w:rPr>
        <w:t>pre-trial:</w:t>
      </w:r>
      <w:r>
        <w:rPr>
          <w:spacing w:val="40"/>
          <w:sz w:val="16"/>
        </w:rPr>
        <w:t> </w:t>
      </w:r>
      <w:r>
        <w:rPr>
          <w:sz w:val="16"/>
        </w:rPr>
        <w:t>CAR II.b (</w:t>
      </w:r>
      <w:r>
        <w:rPr>
          <w:i/>
          <w:sz w:val="16"/>
        </w:rPr>
        <w:t>Mokom</w:t>
      </w:r>
      <w:r>
        <w:rPr>
          <w:sz w:val="16"/>
        </w:rPr>
        <w:t>).</w:t>
      </w:r>
    </w:p>
    <w:p>
      <w:pPr>
        <w:spacing w:line="240" w:lineRule="auto" w:before="0"/>
        <w:ind w:left="2246" w:right="2246" w:firstLine="0"/>
        <w:jc w:val="both"/>
        <w:rPr>
          <w:sz w:val="16"/>
        </w:rPr>
      </w:pPr>
      <w:r>
        <w:rPr>
          <w:position w:val="5"/>
          <w:sz w:val="10"/>
        </w:rPr>
        <w:t>33</w:t>
      </w:r>
      <w:r>
        <w:rPr>
          <w:spacing w:val="11"/>
          <w:position w:val="5"/>
          <w:sz w:val="10"/>
        </w:rPr>
        <w:t> </w:t>
      </w:r>
      <w:r>
        <w:rPr>
          <w:sz w:val="16"/>
        </w:rPr>
        <w:t>The</w:t>
      </w:r>
      <w:r>
        <w:rPr>
          <w:spacing w:val="-5"/>
          <w:sz w:val="16"/>
        </w:rPr>
        <w:t> </w:t>
      </w:r>
      <w:r>
        <w:rPr>
          <w:sz w:val="16"/>
        </w:rPr>
        <w:t>nature</w:t>
      </w:r>
      <w:r>
        <w:rPr>
          <w:spacing w:val="-5"/>
          <w:sz w:val="16"/>
        </w:rPr>
        <w:t> </w:t>
      </w:r>
      <w:r>
        <w:rPr>
          <w:sz w:val="16"/>
        </w:rPr>
        <w:t>of</w:t>
      </w:r>
      <w:r>
        <w:rPr>
          <w:spacing w:val="-2"/>
          <w:sz w:val="16"/>
        </w:rPr>
        <w:t> </w:t>
      </w:r>
      <w:r>
        <w:rPr>
          <w:sz w:val="16"/>
        </w:rPr>
        <w:t>the</w:t>
      </w:r>
      <w:r>
        <w:rPr>
          <w:spacing w:val="-5"/>
          <w:sz w:val="16"/>
        </w:rPr>
        <w:t> </w:t>
      </w:r>
      <w:r>
        <w:rPr>
          <w:sz w:val="16"/>
        </w:rPr>
        <w:t>appeals</w:t>
      </w:r>
      <w:r>
        <w:rPr>
          <w:spacing w:val="-6"/>
          <w:sz w:val="16"/>
        </w:rPr>
        <w:t> </w:t>
      </w:r>
      <w:r>
        <w:rPr>
          <w:sz w:val="16"/>
        </w:rPr>
        <w:t>process</w:t>
      </w:r>
      <w:r>
        <w:rPr>
          <w:spacing w:val="-6"/>
          <w:sz w:val="16"/>
        </w:rPr>
        <w:t> </w:t>
      </w:r>
      <w:r>
        <w:rPr>
          <w:sz w:val="16"/>
        </w:rPr>
        <w:t>is</w:t>
      </w:r>
      <w:r>
        <w:rPr>
          <w:spacing w:val="-2"/>
          <w:sz w:val="16"/>
        </w:rPr>
        <w:t> </w:t>
      </w:r>
      <w:r>
        <w:rPr>
          <w:sz w:val="16"/>
        </w:rPr>
        <w:t>such</w:t>
      </w:r>
      <w:r>
        <w:rPr>
          <w:spacing w:val="-5"/>
          <w:sz w:val="16"/>
        </w:rPr>
        <w:t> </w:t>
      </w:r>
      <w:r>
        <w:rPr>
          <w:sz w:val="16"/>
        </w:rPr>
        <w:t>that,</w:t>
      </w:r>
      <w:r>
        <w:rPr>
          <w:spacing w:val="-3"/>
          <w:sz w:val="16"/>
        </w:rPr>
        <w:t> </w:t>
      </w:r>
      <w:r>
        <w:rPr>
          <w:sz w:val="16"/>
        </w:rPr>
        <w:t>until</w:t>
      </w:r>
      <w:r>
        <w:rPr>
          <w:spacing w:val="-8"/>
          <w:sz w:val="16"/>
        </w:rPr>
        <w:t> </w:t>
      </w:r>
      <w:r>
        <w:rPr>
          <w:sz w:val="16"/>
        </w:rPr>
        <w:t>a</w:t>
      </w:r>
      <w:r>
        <w:rPr>
          <w:spacing w:val="-1"/>
          <w:sz w:val="16"/>
        </w:rPr>
        <w:t> </w:t>
      </w:r>
      <w:r>
        <w:rPr>
          <w:sz w:val="16"/>
        </w:rPr>
        <w:t>judgment</w:t>
      </w:r>
      <w:r>
        <w:rPr>
          <w:spacing w:val="-8"/>
          <w:sz w:val="16"/>
        </w:rPr>
        <w:t> </w:t>
      </w:r>
      <w:r>
        <w:rPr>
          <w:sz w:val="16"/>
        </w:rPr>
        <w:t>is</w:t>
      </w:r>
      <w:r>
        <w:rPr>
          <w:spacing w:val="-2"/>
          <w:sz w:val="16"/>
        </w:rPr>
        <w:t> </w:t>
      </w:r>
      <w:r>
        <w:rPr>
          <w:sz w:val="16"/>
        </w:rPr>
        <w:t>issued</w:t>
      </w:r>
      <w:r>
        <w:rPr>
          <w:spacing w:val="-5"/>
          <w:sz w:val="16"/>
        </w:rPr>
        <w:t> </w:t>
      </w:r>
      <w:r>
        <w:rPr>
          <w:sz w:val="16"/>
        </w:rPr>
        <w:t>by</w:t>
      </w:r>
      <w:r>
        <w:rPr>
          <w:spacing w:val="-5"/>
          <w:sz w:val="16"/>
        </w:rPr>
        <w:t> </w:t>
      </w:r>
      <w:r>
        <w:rPr>
          <w:sz w:val="16"/>
        </w:rPr>
        <w:t>a</w:t>
      </w:r>
      <w:r>
        <w:rPr>
          <w:spacing w:val="-5"/>
          <w:sz w:val="16"/>
        </w:rPr>
        <w:t> </w:t>
      </w:r>
      <w:r>
        <w:rPr>
          <w:sz w:val="16"/>
        </w:rPr>
        <w:t>Trial</w:t>
      </w:r>
      <w:r>
        <w:rPr>
          <w:spacing w:val="-3"/>
          <w:sz w:val="16"/>
        </w:rPr>
        <w:t> </w:t>
      </w:r>
      <w:r>
        <w:rPr>
          <w:sz w:val="16"/>
        </w:rPr>
        <w:t>Chamber,</w:t>
      </w:r>
      <w:r>
        <w:rPr>
          <w:spacing w:val="-8"/>
          <w:sz w:val="16"/>
        </w:rPr>
        <w:t> </w:t>
      </w:r>
      <w:r>
        <w:rPr>
          <w:sz w:val="16"/>
        </w:rPr>
        <w:t>it</w:t>
      </w:r>
      <w:r>
        <w:rPr>
          <w:spacing w:val="-8"/>
          <w:sz w:val="16"/>
        </w:rPr>
        <w:t> </w:t>
      </w:r>
      <w:r>
        <w:rPr>
          <w:sz w:val="16"/>
        </w:rPr>
        <w:t>cannot</w:t>
      </w:r>
      <w:r>
        <w:rPr>
          <w:spacing w:val="-8"/>
          <w:sz w:val="16"/>
        </w:rPr>
        <w:t> </w:t>
      </w:r>
      <w:r>
        <w:rPr>
          <w:sz w:val="16"/>
        </w:rPr>
        <w:t>be</w:t>
      </w:r>
      <w:r>
        <w:rPr>
          <w:spacing w:val="-5"/>
          <w:sz w:val="16"/>
        </w:rPr>
        <w:t> </w:t>
      </w:r>
      <w:r>
        <w:rPr>
          <w:sz w:val="16"/>
        </w:rPr>
        <w:t>said that</w:t>
      </w:r>
      <w:r>
        <w:rPr>
          <w:spacing w:val="40"/>
          <w:sz w:val="16"/>
        </w:rPr>
        <w:t> </w:t>
      </w:r>
      <w:r>
        <w:rPr>
          <w:sz w:val="16"/>
        </w:rPr>
        <w:t>a final appeal is certain. However, it is highly likely that a judgment of a Trial Chamber (be it a conviction or an</w:t>
      </w:r>
      <w:r>
        <w:rPr>
          <w:spacing w:val="40"/>
          <w:sz w:val="16"/>
        </w:rPr>
        <w:t> </w:t>
      </w:r>
      <w:r>
        <w:rPr>
          <w:sz w:val="16"/>
        </w:rPr>
        <w:t>acquittal)</w:t>
      </w:r>
      <w:r>
        <w:rPr>
          <w:spacing w:val="-2"/>
          <w:sz w:val="16"/>
        </w:rPr>
        <w:t> </w:t>
      </w:r>
      <w:r>
        <w:rPr>
          <w:sz w:val="16"/>
        </w:rPr>
        <w:t>will result in at least</w:t>
      </w:r>
      <w:r>
        <w:rPr>
          <w:spacing w:val="-3"/>
          <w:sz w:val="16"/>
        </w:rPr>
        <w:t> </w:t>
      </w:r>
      <w:r>
        <w:rPr>
          <w:sz w:val="16"/>
        </w:rPr>
        <w:t>one</w:t>
      </w:r>
      <w:r>
        <w:rPr>
          <w:spacing w:val="-1"/>
          <w:sz w:val="16"/>
        </w:rPr>
        <w:t> </w:t>
      </w:r>
      <w:r>
        <w:rPr>
          <w:sz w:val="16"/>
        </w:rPr>
        <w:t>appeal</w:t>
      </w:r>
      <w:r>
        <w:rPr>
          <w:spacing w:val="-3"/>
          <w:sz w:val="16"/>
        </w:rPr>
        <w:t> </w:t>
      </w:r>
      <w:r>
        <w:rPr>
          <w:sz w:val="16"/>
        </w:rPr>
        <w:t>from</w:t>
      </w:r>
      <w:r>
        <w:rPr>
          <w:spacing w:val="-1"/>
          <w:sz w:val="16"/>
        </w:rPr>
        <w:t> </w:t>
      </w:r>
      <w:r>
        <w:rPr>
          <w:sz w:val="16"/>
        </w:rPr>
        <w:t>one</w:t>
      </w:r>
      <w:r>
        <w:rPr>
          <w:spacing w:val="-1"/>
          <w:sz w:val="16"/>
        </w:rPr>
        <w:t> </w:t>
      </w:r>
      <w:r>
        <w:rPr>
          <w:sz w:val="16"/>
        </w:rPr>
        <w:t>or more of</w:t>
      </w:r>
      <w:r>
        <w:rPr>
          <w:spacing w:val="-2"/>
          <w:sz w:val="16"/>
        </w:rPr>
        <w:t> </w:t>
      </w:r>
      <w:r>
        <w:rPr>
          <w:sz w:val="16"/>
        </w:rPr>
        <w:t>the parties. For</w:t>
      </w:r>
      <w:r>
        <w:rPr>
          <w:spacing w:val="-2"/>
          <w:sz w:val="16"/>
        </w:rPr>
        <w:t> </w:t>
      </w:r>
      <w:r>
        <w:rPr>
          <w:sz w:val="16"/>
        </w:rPr>
        <w:t>2022 the</w:t>
      </w:r>
      <w:r>
        <w:rPr>
          <w:spacing w:val="-1"/>
          <w:sz w:val="16"/>
        </w:rPr>
        <w:t> </w:t>
      </w:r>
      <w:r>
        <w:rPr>
          <w:sz w:val="16"/>
        </w:rPr>
        <w:t>Court</w:t>
      </w:r>
      <w:r>
        <w:rPr>
          <w:spacing w:val="-3"/>
          <w:sz w:val="16"/>
        </w:rPr>
        <w:t> </w:t>
      </w:r>
      <w:r>
        <w:rPr>
          <w:sz w:val="16"/>
        </w:rPr>
        <w:t>included one</w:t>
      </w:r>
      <w:r>
        <w:rPr>
          <w:spacing w:val="-1"/>
          <w:sz w:val="16"/>
        </w:rPr>
        <w:t> </w:t>
      </w:r>
      <w:r>
        <w:rPr>
          <w:sz w:val="16"/>
        </w:rPr>
        <w:t>appeal</w:t>
      </w:r>
      <w:r>
        <w:rPr>
          <w:spacing w:val="40"/>
          <w:sz w:val="16"/>
        </w:rPr>
        <w:t> </w:t>
      </w:r>
      <w:r>
        <w:rPr>
          <w:sz w:val="16"/>
        </w:rPr>
        <w:t>in the </w:t>
      </w:r>
      <w:r>
        <w:rPr>
          <w:i/>
          <w:sz w:val="16"/>
        </w:rPr>
        <w:t>Ongwen </w:t>
      </w:r>
      <w:r>
        <w:rPr>
          <w:sz w:val="16"/>
        </w:rPr>
        <w:t>case in its assumptions.</w:t>
      </w:r>
    </w:p>
    <w:p>
      <w:pPr>
        <w:spacing w:line="183" w:lineRule="exact" w:before="0"/>
        <w:ind w:left="2246" w:right="0" w:firstLine="0"/>
        <w:jc w:val="both"/>
        <w:rPr>
          <w:sz w:val="16"/>
        </w:rPr>
      </w:pPr>
      <w:r>
        <w:rPr>
          <w:position w:val="5"/>
          <w:sz w:val="10"/>
        </w:rPr>
        <w:t>34</w:t>
      </w:r>
      <w:r>
        <w:rPr>
          <w:spacing w:val="11"/>
          <w:position w:val="5"/>
          <w:sz w:val="10"/>
        </w:rPr>
        <w:t> </w:t>
      </w:r>
      <w:r>
        <w:rPr>
          <w:i/>
          <w:sz w:val="16"/>
        </w:rPr>
        <w:t>Ongwen</w:t>
      </w:r>
      <w:r>
        <w:rPr>
          <w:i/>
          <w:spacing w:val="-2"/>
          <w:sz w:val="16"/>
        </w:rPr>
        <w:t> </w:t>
      </w:r>
      <w:r>
        <w:rPr>
          <w:sz w:val="16"/>
        </w:rPr>
        <w:t>(Reparations</w:t>
      </w:r>
      <w:r>
        <w:rPr>
          <w:spacing w:val="-5"/>
          <w:sz w:val="16"/>
        </w:rPr>
        <w:t> </w:t>
      </w:r>
      <w:r>
        <w:rPr>
          <w:sz w:val="16"/>
        </w:rPr>
        <w:t>order),</w:t>
      </w:r>
      <w:r>
        <w:rPr>
          <w:spacing w:val="-4"/>
          <w:sz w:val="16"/>
        </w:rPr>
        <w:t> </w:t>
      </w:r>
      <w:r>
        <w:rPr>
          <w:i/>
          <w:sz w:val="16"/>
        </w:rPr>
        <w:t>Al</w:t>
      </w:r>
      <w:r>
        <w:rPr>
          <w:i/>
          <w:spacing w:val="-6"/>
          <w:sz w:val="16"/>
        </w:rPr>
        <w:t> </w:t>
      </w:r>
      <w:r>
        <w:rPr>
          <w:i/>
          <w:sz w:val="16"/>
        </w:rPr>
        <w:t>Hassan</w:t>
      </w:r>
      <w:r>
        <w:rPr>
          <w:i/>
          <w:spacing w:val="-2"/>
          <w:sz w:val="16"/>
        </w:rPr>
        <w:t> </w:t>
      </w:r>
      <w:r>
        <w:rPr>
          <w:sz w:val="16"/>
        </w:rPr>
        <w:t>(Art.</w:t>
      </w:r>
      <w:r>
        <w:rPr>
          <w:spacing w:val="-6"/>
          <w:sz w:val="16"/>
        </w:rPr>
        <w:t> </w:t>
      </w:r>
      <w:r>
        <w:rPr>
          <w:sz w:val="16"/>
        </w:rPr>
        <w:t>74),</w:t>
      </w:r>
      <w:r>
        <w:rPr>
          <w:spacing w:val="-5"/>
          <w:sz w:val="16"/>
        </w:rPr>
        <w:t> </w:t>
      </w:r>
      <w:r>
        <w:rPr>
          <w:i/>
          <w:sz w:val="16"/>
        </w:rPr>
        <w:t>Gicheru</w:t>
      </w:r>
      <w:r>
        <w:rPr>
          <w:i/>
          <w:spacing w:val="-2"/>
          <w:sz w:val="16"/>
        </w:rPr>
        <w:t> </w:t>
      </w:r>
      <w:r>
        <w:rPr>
          <w:sz w:val="16"/>
        </w:rPr>
        <w:t>(Art.</w:t>
      </w:r>
      <w:r>
        <w:rPr>
          <w:spacing w:val="-2"/>
          <w:sz w:val="16"/>
        </w:rPr>
        <w:t> </w:t>
      </w:r>
      <w:r>
        <w:rPr>
          <w:spacing w:val="-4"/>
          <w:sz w:val="16"/>
        </w:rPr>
        <w:t>74).</w:t>
      </w:r>
    </w:p>
    <w:p>
      <w:pPr>
        <w:spacing w:after="0" w:line="183" w:lineRule="exact"/>
        <w:jc w:val="both"/>
        <w:rPr>
          <w:sz w:val="16"/>
        </w:rPr>
        <w:sectPr>
          <w:pgSz w:w="11910" w:h="16840"/>
          <w:pgMar w:header="957" w:footer="940" w:top="1140" w:bottom="1140" w:left="20" w:right="20"/>
        </w:sectPr>
      </w:pPr>
    </w:p>
    <w:p>
      <w:pPr>
        <w:pStyle w:val="ListParagraph"/>
        <w:numPr>
          <w:ilvl w:val="0"/>
          <w:numId w:val="4"/>
        </w:numPr>
        <w:tabs>
          <w:tab w:pos="2967" w:val="left" w:leader="none"/>
        </w:tabs>
        <w:spacing w:line="240" w:lineRule="auto" w:before="124" w:after="0"/>
        <w:ind w:left="2246" w:right="2238" w:firstLine="0"/>
        <w:jc w:val="both"/>
        <w:rPr>
          <w:sz w:val="20"/>
        </w:rPr>
      </w:pPr>
      <w:r>
        <w:rPr>
          <w:sz w:val="20"/>
        </w:rPr>
        <w:t>The</w:t>
      </w:r>
      <w:r>
        <w:rPr>
          <w:spacing w:val="-13"/>
          <w:sz w:val="20"/>
        </w:rPr>
        <w:t> </w:t>
      </w:r>
      <w:r>
        <w:rPr>
          <w:sz w:val="20"/>
        </w:rPr>
        <w:t>OTP’s</w:t>
      </w:r>
      <w:r>
        <w:rPr>
          <w:spacing w:val="-12"/>
          <w:sz w:val="20"/>
        </w:rPr>
        <w:t> </w:t>
      </w:r>
      <w:r>
        <w:rPr>
          <w:sz w:val="20"/>
        </w:rPr>
        <w:t>budget</w:t>
      </w:r>
      <w:r>
        <w:rPr>
          <w:spacing w:val="-13"/>
          <w:sz w:val="20"/>
        </w:rPr>
        <w:t> </w:t>
      </w:r>
      <w:r>
        <w:rPr>
          <w:sz w:val="20"/>
        </w:rPr>
        <w:t>proposal</w:t>
      </w:r>
      <w:r>
        <w:rPr>
          <w:spacing w:val="-12"/>
          <w:sz w:val="20"/>
        </w:rPr>
        <w:t> </w:t>
      </w:r>
      <w:r>
        <w:rPr>
          <w:sz w:val="20"/>
        </w:rPr>
        <w:t>continues</w:t>
      </w:r>
      <w:r>
        <w:rPr>
          <w:spacing w:val="-13"/>
          <w:sz w:val="20"/>
        </w:rPr>
        <w:t> </w:t>
      </w:r>
      <w:r>
        <w:rPr>
          <w:sz w:val="20"/>
        </w:rPr>
        <w:t>to</w:t>
      </w:r>
      <w:r>
        <w:rPr>
          <w:spacing w:val="-12"/>
          <w:sz w:val="20"/>
        </w:rPr>
        <w:t> </w:t>
      </w:r>
      <w:r>
        <w:rPr>
          <w:sz w:val="20"/>
        </w:rPr>
        <w:t>be</w:t>
      </w:r>
      <w:r>
        <w:rPr>
          <w:spacing w:val="-13"/>
          <w:sz w:val="20"/>
        </w:rPr>
        <w:t> </w:t>
      </w:r>
      <w:r>
        <w:rPr>
          <w:sz w:val="20"/>
        </w:rPr>
        <w:t>informed</w:t>
      </w:r>
      <w:r>
        <w:rPr>
          <w:spacing w:val="-12"/>
          <w:sz w:val="20"/>
        </w:rPr>
        <w:t> </w:t>
      </w:r>
      <w:r>
        <w:rPr>
          <w:sz w:val="20"/>
        </w:rPr>
        <w:t>by</w:t>
      </w:r>
      <w:r>
        <w:rPr>
          <w:spacing w:val="-13"/>
          <w:sz w:val="20"/>
        </w:rPr>
        <w:t> </w:t>
      </w:r>
      <w:r>
        <w:rPr>
          <w:sz w:val="20"/>
        </w:rPr>
        <w:t>the</w:t>
      </w:r>
      <w:r>
        <w:rPr>
          <w:spacing w:val="-12"/>
          <w:sz w:val="20"/>
        </w:rPr>
        <w:t> </w:t>
      </w:r>
      <w:r>
        <w:rPr>
          <w:sz w:val="20"/>
        </w:rPr>
        <w:t>implementation</w:t>
      </w:r>
      <w:r>
        <w:rPr>
          <w:spacing w:val="-13"/>
          <w:sz w:val="20"/>
        </w:rPr>
        <w:t> </w:t>
      </w:r>
      <w:r>
        <w:rPr>
          <w:sz w:val="20"/>
        </w:rPr>
        <w:t>of</w:t>
      </w:r>
      <w:r>
        <w:rPr>
          <w:spacing w:val="-12"/>
          <w:sz w:val="20"/>
        </w:rPr>
        <w:t> </w:t>
      </w:r>
      <w:r>
        <w:rPr>
          <w:sz w:val="20"/>
        </w:rPr>
        <w:t>strict budgetary discipline. The OTP has worked on two fronts: (a) careful scrutiny of internal requests in relation to both staff and non-staff resources; and (b) enhancement of synergies and coordination with the Registry’s functions. The Office strives to use the available resources</w:t>
      </w:r>
      <w:r>
        <w:rPr>
          <w:spacing w:val="-13"/>
          <w:sz w:val="20"/>
        </w:rPr>
        <w:t> </w:t>
      </w:r>
      <w:r>
        <w:rPr>
          <w:sz w:val="20"/>
        </w:rPr>
        <w:t>as</w:t>
      </w:r>
      <w:r>
        <w:rPr>
          <w:spacing w:val="-12"/>
          <w:sz w:val="20"/>
        </w:rPr>
        <w:t> </w:t>
      </w:r>
      <w:r>
        <w:rPr>
          <w:sz w:val="20"/>
        </w:rPr>
        <w:t>wisely</w:t>
      </w:r>
      <w:r>
        <w:rPr>
          <w:spacing w:val="-13"/>
          <w:sz w:val="20"/>
        </w:rPr>
        <w:t> </w:t>
      </w:r>
      <w:r>
        <w:rPr>
          <w:sz w:val="20"/>
        </w:rPr>
        <w:t>as</w:t>
      </w:r>
      <w:r>
        <w:rPr>
          <w:spacing w:val="-11"/>
          <w:sz w:val="20"/>
        </w:rPr>
        <w:t> </w:t>
      </w:r>
      <w:r>
        <w:rPr>
          <w:sz w:val="20"/>
        </w:rPr>
        <w:t>possible.</w:t>
      </w:r>
      <w:r>
        <w:rPr>
          <w:spacing w:val="-6"/>
          <w:sz w:val="20"/>
        </w:rPr>
        <w:t> </w:t>
      </w:r>
      <w:r>
        <w:rPr>
          <w:sz w:val="20"/>
        </w:rPr>
        <w:t>However,</w:t>
      </w:r>
      <w:r>
        <w:rPr>
          <w:spacing w:val="-11"/>
          <w:sz w:val="20"/>
        </w:rPr>
        <w:t> </w:t>
      </w:r>
      <w:r>
        <w:rPr>
          <w:sz w:val="20"/>
        </w:rPr>
        <w:t>as</w:t>
      </w:r>
      <w:r>
        <w:rPr>
          <w:spacing w:val="-13"/>
          <w:sz w:val="20"/>
        </w:rPr>
        <w:t> </w:t>
      </w:r>
      <w:r>
        <w:rPr>
          <w:sz w:val="20"/>
        </w:rPr>
        <w:t>even</w:t>
      </w:r>
      <w:r>
        <w:rPr>
          <w:spacing w:val="-12"/>
          <w:sz w:val="20"/>
        </w:rPr>
        <w:t> </w:t>
      </w:r>
      <w:r>
        <w:rPr>
          <w:sz w:val="20"/>
        </w:rPr>
        <w:t>the</w:t>
      </w:r>
      <w:r>
        <w:rPr>
          <w:spacing w:val="-7"/>
          <w:sz w:val="20"/>
        </w:rPr>
        <w:t> </w:t>
      </w:r>
      <w:r>
        <w:rPr>
          <w:sz w:val="20"/>
        </w:rPr>
        <w:t>Independent</w:t>
      </w:r>
      <w:r>
        <w:rPr>
          <w:spacing w:val="-12"/>
          <w:sz w:val="20"/>
        </w:rPr>
        <w:t> </w:t>
      </w:r>
      <w:r>
        <w:rPr>
          <w:sz w:val="20"/>
        </w:rPr>
        <w:t>Expert</w:t>
      </w:r>
      <w:r>
        <w:rPr>
          <w:spacing w:val="-7"/>
          <w:sz w:val="20"/>
        </w:rPr>
        <w:t> </w:t>
      </w:r>
      <w:r>
        <w:rPr>
          <w:sz w:val="20"/>
        </w:rPr>
        <w:t>Review</w:t>
      </w:r>
      <w:r>
        <w:rPr>
          <w:spacing w:val="-10"/>
          <w:sz w:val="20"/>
        </w:rPr>
        <w:t> </w:t>
      </w:r>
      <w:r>
        <w:rPr>
          <w:sz w:val="20"/>
        </w:rPr>
        <w:t>highlights, there are areas where the Office needs more resources.</w:t>
      </w:r>
    </w:p>
    <w:p>
      <w:pPr>
        <w:pStyle w:val="ListParagraph"/>
        <w:numPr>
          <w:ilvl w:val="0"/>
          <w:numId w:val="4"/>
        </w:numPr>
        <w:tabs>
          <w:tab w:pos="2967" w:val="left" w:leader="none"/>
        </w:tabs>
        <w:spacing w:line="240" w:lineRule="auto" w:before="123" w:after="0"/>
        <w:ind w:left="2246" w:right="2240" w:firstLine="0"/>
        <w:jc w:val="both"/>
        <w:rPr>
          <w:sz w:val="20"/>
        </w:rPr>
      </w:pPr>
      <w:r>
        <w:rPr>
          <w:sz w:val="20"/>
        </w:rPr>
        <w:t>The Office has been seeking to use innovative means to address this resource shortfall in the</w:t>
      </w:r>
      <w:r>
        <w:rPr>
          <w:spacing w:val="-2"/>
          <w:sz w:val="20"/>
        </w:rPr>
        <w:t> </w:t>
      </w:r>
      <w:r>
        <w:rPr>
          <w:sz w:val="20"/>
        </w:rPr>
        <w:t>immediate</w:t>
      </w:r>
      <w:r>
        <w:rPr>
          <w:spacing w:val="-2"/>
          <w:sz w:val="20"/>
        </w:rPr>
        <w:t> </w:t>
      </w:r>
      <w:r>
        <w:rPr>
          <w:sz w:val="20"/>
        </w:rPr>
        <w:t>term,</w:t>
      </w:r>
      <w:r>
        <w:rPr>
          <w:spacing w:val="-1"/>
          <w:sz w:val="20"/>
        </w:rPr>
        <w:t> </w:t>
      </w:r>
      <w:r>
        <w:rPr>
          <w:sz w:val="20"/>
        </w:rPr>
        <w:t>including through the establishment of the OTP Trust Fund for receipt of contributions in support of the enhancement of technological tools, psychosocial support and specialised</w:t>
      </w:r>
      <w:r>
        <w:rPr>
          <w:spacing w:val="-4"/>
          <w:sz w:val="20"/>
        </w:rPr>
        <w:t> </w:t>
      </w:r>
      <w:r>
        <w:rPr>
          <w:sz w:val="20"/>
        </w:rPr>
        <w:t>capacity in SGBV crimes and crimes against children, as</w:t>
      </w:r>
      <w:r>
        <w:rPr>
          <w:spacing w:val="-6"/>
          <w:sz w:val="20"/>
        </w:rPr>
        <w:t> </w:t>
      </w:r>
      <w:r>
        <w:rPr>
          <w:sz w:val="20"/>
        </w:rPr>
        <w:t>well</w:t>
      </w:r>
      <w:r>
        <w:rPr>
          <w:spacing w:val="-8"/>
          <w:sz w:val="20"/>
        </w:rPr>
        <w:t> </w:t>
      </w:r>
      <w:r>
        <w:rPr>
          <w:sz w:val="20"/>
        </w:rPr>
        <w:t>as</w:t>
      </w:r>
      <w:r>
        <w:rPr>
          <w:spacing w:val="-6"/>
          <w:sz w:val="20"/>
        </w:rPr>
        <w:t> </w:t>
      </w:r>
      <w:r>
        <w:rPr>
          <w:sz w:val="20"/>
        </w:rPr>
        <w:t>encouraging</w:t>
      </w:r>
      <w:r>
        <w:rPr>
          <w:spacing w:val="-9"/>
          <w:sz w:val="20"/>
        </w:rPr>
        <w:t> </w:t>
      </w:r>
      <w:r>
        <w:rPr>
          <w:sz w:val="20"/>
        </w:rPr>
        <w:t>the</w:t>
      </w:r>
      <w:r>
        <w:rPr>
          <w:spacing w:val="-3"/>
          <w:sz w:val="20"/>
        </w:rPr>
        <w:t> </w:t>
      </w:r>
      <w:r>
        <w:rPr>
          <w:sz w:val="20"/>
        </w:rPr>
        <w:t>secondment</w:t>
      </w:r>
      <w:r>
        <w:rPr>
          <w:spacing w:val="-8"/>
          <w:sz w:val="20"/>
        </w:rPr>
        <w:t> </w:t>
      </w:r>
      <w:r>
        <w:rPr>
          <w:sz w:val="20"/>
        </w:rPr>
        <w:t>of</w:t>
      </w:r>
      <w:r>
        <w:rPr>
          <w:spacing w:val="-9"/>
          <w:sz w:val="20"/>
        </w:rPr>
        <w:t> </w:t>
      </w:r>
      <w:r>
        <w:rPr>
          <w:sz w:val="20"/>
        </w:rPr>
        <w:t>national</w:t>
      </w:r>
      <w:r>
        <w:rPr>
          <w:spacing w:val="-8"/>
          <w:sz w:val="20"/>
        </w:rPr>
        <w:t> </w:t>
      </w:r>
      <w:r>
        <w:rPr>
          <w:sz w:val="20"/>
        </w:rPr>
        <w:t>experts</w:t>
      </w:r>
      <w:r>
        <w:rPr>
          <w:spacing w:val="-11"/>
          <w:sz w:val="20"/>
        </w:rPr>
        <w:t> </w:t>
      </w:r>
      <w:r>
        <w:rPr>
          <w:sz w:val="20"/>
        </w:rPr>
        <w:t>to</w:t>
      </w:r>
      <w:r>
        <w:rPr>
          <w:spacing w:val="-9"/>
          <w:sz w:val="20"/>
        </w:rPr>
        <w:t> </w:t>
      </w:r>
      <w:r>
        <w:rPr>
          <w:sz w:val="20"/>
        </w:rPr>
        <w:t>the</w:t>
      </w:r>
      <w:r>
        <w:rPr>
          <w:spacing w:val="-3"/>
          <w:sz w:val="20"/>
        </w:rPr>
        <w:t> </w:t>
      </w:r>
      <w:r>
        <w:rPr>
          <w:sz w:val="20"/>
        </w:rPr>
        <w:t>Office. The</w:t>
      </w:r>
      <w:r>
        <w:rPr>
          <w:spacing w:val="-3"/>
          <w:sz w:val="20"/>
        </w:rPr>
        <w:t> </w:t>
      </w:r>
      <w:r>
        <w:rPr>
          <w:sz w:val="20"/>
        </w:rPr>
        <w:t>response</w:t>
      </w:r>
      <w:r>
        <w:rPr>
          <w:spacing w:val="-3"/>
          <w:sz w:val="20"/>
        </w:rPr>
        <w:t> </w:t>
      </w:r>
      <w:r>
        <w:rPr>
          <w:sz w:val="20"/>
        </w:rPr>
        <w:t>to</w:t>
      </w:r>
      <w:r>
        <w:rPr>
          <w:spacing w:val="-9"/>
          <w:sz w:val="20"/>
        </w:rPr>
        <w:t> </w:t>
      </w:r>
      <w:r>
        <w:rPr>
          <w:sz w:val="20"/>
        </w:rPr>
        <w:t>this request for short-term assistance has been positive, allowing the Office to inject additional resources to the most urgent priority areas and catalyse a process of modernization in its </w:t>
      </w:r>
      <w:r>
        <w:rPr>
          <w:spacing w:val="-2"/>
          <w:sz w:val="20"/>
        </w:rPr>
        <w:t>work.</w:t>
      </w:r>
    </w:p>
    <w:p>
      <w:pPr>
        <w:pStyle w:val="ListParagraph"/>
        <w:numPr>
          <w:ilvl w:val="0"/>
          <w:numId w:val="4"/>
        </w:numPr>
        <w:tabs>
          <w:tab w:pos="2967" w:val="left" w:leader="none"/>
        </w:tabs>
        <w:spacing w:line="240" w:lineRule="auto" w:before="119" w:after="0"/>
        <w:ind w:left="2246" w:right="2237" w:firstLine="0"/>
        <w:jc w:val="both"/>
        <w:rPr>
          <w:sz w:val="20"/>
        </w:rPr>
      </w:pPr>
      <w:r>
        <w:rPr>
          <w:sz w:val="20"/>
        </w:rPr>
        <w:t>While the immediate injection of extra budgetary resources has allowed the Office to accelerate some areas of its work, it is crucial that the Office benefits from the necessary core,</w:t>
      </w:r>
      <w:r>
        <w:rPr>
          <w:spacing w:val="-2"/>
          <w:sz w:val="20"/>
        </w:rPr>
        <w:t> </w:t>
      </w:r>
      <w:r>
        <w:rPr>
          <w:sz w:val="20"/>
        </w:rPr>
        <w:t>stable</w:t>
      </w:r>
      <w:r>
        <w:rPr>
          <w:spacing w:val="-3"/>
          <w:sz w:val="20"/>
        </w:rPr>
        <w:t> </w:t>
      </w:r>
      <w:r>
        <w:rPr>
          <w:sz w:val="20"/>
        </w:rPr>
        <w:t>resource</w:t>
      </w:r>
      <w:r>
        <w:rPr>
          <w:spacing w:val="-3"/>
          <w:sz w:val="20"/>
        </w:rPr>
        <w:t> </w:t>
      </w:r>
      <w:r>
        <w:rPr>
          <w:sz w:val="20"/>
        </w:rPr>
        <w:t>base</w:t>
      </w:r>
      <w:r>
        <w:rPr>
          <w:spacing w:val="-3"/>
          <w:sz w:val="20"/>
        </w:rPr>
        <w:t> </w:t>
      </w:r>
      <w:r>
        <w:rPr>
          <w:sz w:val="20"/>
        </w:rPr>
        <w:t>needed</w:t>
      </w:r>
      <w:r>
        <w:rPr>
          <w:spacing w:val="-4"/>
          <w:sz w:val="20"/>
        </w:rPr>
        <w:t> </w:t>
      </w:r>
      <w:r>
        <w:rPr>
          <w:sz w:val="20"/>
        </w:rPr>
        <w:t>to</w:t>
      </w:r>
      <w:r>
        <w:rPr>
          <w:spacing w:val="-4"/>
          <w:sz w:val="20"/>
        </w:rPr>
        <w:t> </w:t>
      </w:r>
      <w:r>
        <w:rPr>
          <w:sz w:val="20"/>
        </w:rPr>
        <w:t>effectively</w:t>
      </w:r>
      <w:r>
        <w:rPr>
          <w:spacing w:val="-4"/>
          <w:sz w:val="20"/>
        </w:rPr>
        <w:t> </w:t>
      </w:r>
      <w:r>
        <w:rPr>
          <w:sz w:val="20"/>
        </w:rPr>
        <w:t>carry</w:t>
      </w:r>
      <w:r>
        <w:rPr>
          <w:spacing w:val="-4"/>
          <w:sz w:val="20"/>
        </w:rPr>
        <w:t> </w:t>
      </w:r>
      <w:r>
        <w:rPr>
          <w:sz w:val="20"/>
        </w:rPr>
        <w:t>out</w:t>
      </w:r>
      <w:r>
        <w:rPr>
          <w:spacing w:val="-7"/>
          <w:sz w:val="20"/>
        </w:rPr>
        <w:t> </w:t>
      </w:r>
      <w:r>
        <w:rPr>
          <w:sz w:val="20"/>
        </w:rPr>
        <w:t>its</w:t>
      </w:r>
      <w:r>
        <w:rPr>
          <w:spacing w:val="-5"/>
          <w:sz w:val="20"/>
        </w:rPr>
        <w:t> </w:t>
      </w:r>
      <w:r>
        <w:rPr>
          <w:sz w:val="20"/>
        </w:rPr>
        <w:t>mandated</w:t>
      </w:r>
      <w:r>
        <w:rPr>
          <w:spacing w:val="-4"/>
          <w:sz w:val="20"/>
        </w:rPr>
        <w:t> </w:t>
      </w:r>
      <w:r>
        <w:rPr>
          <w:sz w:val="20"/>
        </w:rPr>
        <w:t>activities. The</w:t>
      </w:r>
      <w:r>
        <w:rPr>
          <w:spacing w:val="-3"/>
          <w:sz w:val="20"/>
        </w:rPr>
        <w:t> </w:t>
      </w:r>
      <w:r>
        <w:rPr>
          <w:sz w:val="20"/>
        </w:rPr>
        <w:t>budget proposal for</w:t>
      </w:r>
      <w:r>
        <w:rPr>
          <w:spacing w:val="-1"/>
          <w:sz w:val="20"/>
        </w:rPr>
        <w:t> </w:t>
      </w:r>
      <w:r>
        <w:rPr>
          <w:sz w:val="20"/>
        </w:rPr>
        <w:t>2023</w:t>
      </w:r>
      <w:r>
        <w:rPr>
          <w:spacing w:val="-5"/>
          <w:sz w:val="20"/>
        </w:rPr>
        <w:t> </w:t>
      </w:r>
      <w:r>
        <w:rPr>
          <w:sz w:val="20"/>
        </w:rPr>
        <w:t>outlines</w:t>
      </w:r>
      <w:r>
        <w:rPr>
          <w:spacing w:val="-6"/>
          <w:sz w:val="20"/>
        </w:rPr>
        <w:t> </w:t>
      </w:r>
      <w:r>
        <w:rPr>
          <w:sz w:val="20"/>
        </w:rPr>
        <w:t>a</w:t>
      </w:r>
      <w:r>
        <w:rPr>
          <w:spacing w:val="-4"/>
          <w:sz w:val="20"/>
        </w:rPr>
        <w:t> </w:t>
      </w:r>
      <w:r>
        <w:rPr>
          <w:sz w:val="20"/>
        </w:rPr>
        <w:t>transparent</w:t>
      </w:r>
      <w:r>
        <w:rPr>
          <w:spacing w:val="-4"/>
          <w:sz w:val="20"/>
        </w:rPr>
        <w:t> </w:t>
      </w:r>
      <w:r>
        <w:rPr>
          <w:sz w:val="20"/>
        </w:rPr>
        <w:t>assessment of</w:t>
      </w:r>
      <w:r>
        <w:rPr>
          <w:spacing w:val="-5"/>
          <w:sz w:val="20"/>
        </w:rPr>
        <w:t> </w:t>
      </w:r>
      <w:r>
        <w:rPr>
          <w:sz w:val="20"/>
        </w:rPr>
        <w:t>those</w:t>
      </w:r>
      <w:r>
        <w:rPr>
          <w:spacing w:val="-8"/>
          <w:sz w:val="20"/>
        </w:rPr>
        <w:t> </w:t>
      </w:r>
      <w:r>
        <w:rPr>
          <w:sz w:val="20"/>
        </w:rPr>
        <w:t>baseline needs, establishing</w:t>
      </w:r>
      <w:r>
        <w:rPr>
          <w:spacing w:val="-5"/>
          <w:sz w:val="20"/>
        </w:rPr>
        <w:t> </w:t>
      </w:r>
      <w:r>
        <w:rPr>
          <w:sz w:val="20"/>
        </w:rPr>
        <w:t>the essential</w:t>
      </w:r>
      <w:r>
        <w:rPr>
          <w:spacing w:val="-2"/>
          <w:sz w:val="20"/>
        </w:rPr>
        <w:t> </w:t>
      </w:r>
      <w:r>
        <w:rPr>
          <w:sz w:val="20"/>
        </w:rPr>
        <w:t>resource</w:t>
      </w:r>
      <w:r>
        <w:rPr>
          <w:spacing w:val="-2"/>
          <w:sz w:val="20"/>
        </w:rPr>
        <w:t> </w:t>
      </w:r>
      <w:r>
        <w:rPr>
          <w:sz w:val="20"/>
        </w:rPr>
        <w:t>framework</w:t>
      </w:r>
      <w:r>
        <w:rPr>
          <w:spacing w:val="-8"/>
          <w:sz w:val="20"/>
        </w:rPr>
        <w:t> </w:t>
      </w:r>
      <w:r>
        <w:rPr>
          <w:sz w:val="20"/>
        </w:rPr>
        <w:t>into</w:t>
      </w:r>
      <w:r>
        <w:rPr>
          <w:spacing w:val="-8"/>
          <w:sz w:val="20"/>
        </w:rPr>
        <w:t> </w:t>
      </w:r>
      <w:r>
        <w:rPr>
          <w:sz w:val="20"/>
        </w:rPr>
        <w:t>which</w:t>
      </w:r>
      <w:r>
        <w:rPr>
          <w:spacing w:val="-4"/>
          <w:sz w:val="20"/>
        </w:rPr>
        <w:t> </w:t>
      </w:r>
      <w:r>
        <w:rPr>
          <w:sz w:val="20"/>
        </w:rPr>
        <w:t>extra</w:t>
      </w:r>
      <w:r>
        <w:rPr>
          <w:spacing w:val="-2"/>
          <w:sz w:val="20"/>
        </w:rPr>
        <w:t> </w:t>
      </w:r>
      <w:r>
        <w:rPr>
          <w:sz w:val="20"/>
        </w:rPr>
        <w:t>budgetary</w:t>
      </w:r>
      <w:r>
        <w:rPr>
          <w:spacing w:val="-8"/>
          <w:sz w:val="20"/>
        </w:rPr>
        <w:t> </w:t>
      </w:r>
      <w:r>
        <w:rPr>
          <w:sz w:val="20"/>
        </w:rPr>
        <w:t>contributions</w:t>
      </w:r>
      <w:r>
        <w:rPr>
          <w:spacing w:val="-5"/>
          <w:sz w:val="20"/>
        </w:rPr>
        <w:t> </w:t>
      </w:r>
      <w:r>
        <w:rPr>
          <w:sz w:val="20"/>
        </w:rPr>
        <w:t>and</w:t>
      </w:r>
      <w:r>
        <w:rPr>
          <w:spacing w:val="-4"/>
          <w:sz w:val="20"/>
        </w:rPr>
        <w:t> </w:t>
      </w:r>
      <w:r>
        <w:rPr>
          <w:sz w:val="20"/>
        </w:rPr>
        <w:t>secondments</w:t>
      </w:r>
      <w:r>
        <w:rPr>
          <w:spacing w:val="-10"/>
          <w:sz w:val="20"/>
        </w:rPr>
        <w:t> </w:t>
      </w:r>
      <w:r>
        <w:rPr>
          <w:sz w:val="20"/>
        </w:rPr>
        <w:t>can be integrated.</w:t>
      </w:r>
    </w:p>
    <w:p>
      <w:pPr>
        <w:pStyle w:val="BodyText"/>
        <w:spacing w:before="2"/>
        <w:rPr>
          <w:sz w:val="21"/>
        </w:rPr>
      </w:pPr>
    </w:p>
    <w:p>
      <w:pPr>
        <w:pStyle w:val="Heading3"/>
      </w:pPr>
      <w:r>
        <w:rPr/>
        <w:t>Staff</w:t>
      </w:r>
      <w:r>
        <w:rPr>
          <w:spacing w:val="-2"/>
        </w:rPr>
        <w:t> Costs</w:t>
      </w:r>
    </w:p>
    <w:p>
      <w:pPr>
        <w:pStyle w:val="BodyText"/>
        <w:spacing w:before="1"/>
        <w:rPr>
          <w:b/>
          <w:sz w:val="21"/>
        </w:rPr>
      </w:pPr>
    </w:p>
    <w:p>
      <w:pPr>
        <w:pStyle w:val="ListParagraph"/>
        <w:numPr>
          <w:ilvl w:val="0"/>
          <w:numId w:val="4"/>
        </w:numPr>
        <w:tabs>
          <w:tab w:pos="2967" w:val="left" w:leader="none"/>
        </w:tabs>
        <w:spacing w:line="237" w:lineRule="auto" w:before="0" w:after="0"/>
        <w:ind w:left="2246" w:right="2247" w:firstLine="0"/>
        <w:jc w:val="both"/>
        <w:rPr>
          <w:sz w:val="20"/>
        </w:rPr>
      </w:pPr>
      <w:r>
        <w:rPr>
          <w:sz w:val="20"/>
        </w:rPr>
        <w:t>One major cost driver of the 2023 budget is the increase in the United Nations Common</w:t>
      </w:r>
      <w:r>
        <w:rPr>
          <w:spacing w:val="-5"/>
          <w:sz w:val="20"/>
        </w:rPr>
        <w:t> </w:t>
      </w:r>
      <w:r>
        <w:rPr>
          <w:sz w:val="20"/>
        </w:rPr>
        <w:t>System</w:t>
      </w:r>
      <w:r>
        <w:rPr>
          <w:spacing w:val="-3"/>
          <w:sz w:val="20"/>
        </w:rPr>
        <w:t> </w:t>
      </w:r>
      <w:r>
        <w:rPr>
          <w:sz w:val="20"/>
        </w:rPr>
        <w:t>(UNCS)</w:t>
      </w:r>
      <w:r>
        <w:rPr>
          <w:spacing w:val="-8"/>
          <w:sz w:val="20"/>
        </w:rPr>
        <w:t> </w:t>
      </w:r>
      <w:r>
        <w:rPr>
          <w:sz w:val="20"/>
        </w:rPr>
        <w:t>that</w:t>
      </w:r>
      <w:r>
        <w:rPr>
          <w:spacing w:val="-3"/>
          <w:sz w:val="20"/>
        </w:rPr>
        <w:t> </w:t>
      </w:r>
      <w:r>
        <w:rPr>
          <w:sz w:val="20"/>
        </w:rPr>
        <w:t>is</w:t>
      </w:r>
      <w:r>
        <w:rPr>
          <w:spacing w:val="-6"/>
          <w:sz w:val="20"/>
        </w:rPr>
        <w:t> </w:t>
      </w:r>
      <w:r>
        <w:rPr>
          <w:sz w:val="20"/>
        </w:rPr>
        <w:t>to</w:t>
      </w:r>
      <w:r>
        <w:rPr>
          <w:spacing w:val="-5"/>
          <w:sz w:val="20"/>
        </w:rPr>
        <w:t> </w:t>
      </w:r>
      <w:r>
        <w:rPr>
          <w:sz w:val="20"/>
        </w:rPr>
        <w:t>be</w:t>
      </w:r>
      <w:r>
        <w:rPr>
          <w:spacing w:val="-3"/>
          <w:sz w:val="20"/>
        </w:rPr>
        <w:t> </w:t>
      </w:r>
      <w:r>
        <w:rPr>
          <w:sz w:val="20"/>
        </w:rPr>
        <w:t>applied</w:t>
      </w:r>
      <w:r>
        <w:rPr>
          <w:spacing w:val="-8"/>
          <w:sz w:val="20"/>
        </w:rPr>
        <w:t> </w:t>
      </w:r>
      <w:r>
        <w:rPr>
          <w:sz w:val="20"/>
        </w:rPr>
        <w:t>to</w:t>
      </w:r>
      <w:r>
        <w:rPr>
          <w:spacing w:val="-5"/>
          <w:sz w:val="20"/>
        </w:rPr>
        <w:t> </w:t>
      </w:r>
      <w:r>
        <w:rPr>
          <w:sz w:val="20"/>
        </w:rPr>
        <w:t>the</w:t>
      </w:r>
      <w:r>
        <w:rPr>
          <w:spacing w:val="-3"/>
          <w:sz w:val="20"/>
        </w:rPr>
        <w:t> </w:t>
      </w:r>
      <w:r>
        <w:rPr>
          <w:sz w:val="20"/>
        </w:rPr>
        <w:t>salary</w:t>
      </w:r>
      <w:r>
        <w:rPr>
          <w:spacing w:val="-5"/>
          <w:sz w:val="20"/>
        </w:rPr>
        <w:t> </w:t>
      </w:r>
      <w:r>
        <w:rPr>
          <w:sz w:val="20"/>
        </w:rPr>
        <w:t>scale</w:t>
      </w:r>
      <w:r>
        <w:rPr>
          <w:spacing w:val="-3"/>
          <w:sz w:val="20"/>
        </w:rPr>
        <w:t> </w:t>
      </w:r>
      <w:r>
        <w:rPr>
          <w:sz w:val="20"/>
        </w:rPr>
        <w:t>for</w:t>
      </w:r>
      <w:r>
        <w:rPr>
          <w:spacing w:val="-5"/>
          <w:sz w:val="20"/>
        </w:rPr>
        <w:t> </w:t>
      </w:r>
      <w:r>
        <w:rPr>
          <w:sz w:val="20"/>
        </w:rPr>
        <w:t>staff.</w:t>
      </w:r>
      <w:r>
        <w:rPr>
          <w:spacing w:val="-2"/>
          <w:sz w:val="20"/>
        </w:rPr>
        <w:t> </w:t>
      </w:r>
      <w:r>
        <w:rPr>
          <w:sz w:val="20"/>
        </w:rPr>
        <w:t>The</w:t>
      </w:r>
      <w:r>
        <w:rPr>
          <w:spacing w:val="-3"/>
          <w:sz w:val="20"/>
        </w:rPr>
        <w:t> </w:t>
      </w:r>
      <w:r>
        <w:rPr>
          <w:sz w:val="20"/>
        </w:rPr>
        <w:t>impact</w:t>
      </w:r>
      <w:r>
        <w:rPr>
          <w:spacing w:val="-3"/>
          <w:sz w:val="20"/>
        </w:rPr>
        <w:t> </w:t>
      </w:r>
      <w:r>
        <w:rPr>
          <w:sz w:val="20"/>
        </w:rPr>
        <w:t>of</w:t>
      </w:r>
      <w:r>
        <w:rPr>
          <w:spacing w:val="-5"/>
          <w:sz w:val="20"/>
        </w:rPr>
        <w:t> </w:t>
      </w:r>
      <w:r>
        <w:rPr>
          <w:sz w:val="20"/>
        </w:rPr>
        <w:t>the UNCS on the staff composition of the OTP is €1,455.20 thousand, which accounts for 2.9 per</w:t>
      </w:r>
      <w:r>
        <w:rPr>
          <w:spacing w:val="-2"/>
          <w:sz w:val="20"/>
        </w:rPr>
        <w:t> </w:t>
      </w:r>
      <w:r>
        <w:rPr>
          <w:sz w:val="20"/>
        </w:rPr>
        <w:t>cent of</w:t>
      </w:r>
      <w:r>
        <w:rPr>
          <w:spacing w:val="-2"/>
          <w:sz w:val="20"/>
        </w:rPr>
        <w:t> </w:t>
      </w:r>
      <w:r>
        <w:rPr>
          <w:sz w:val="20"/>
        </w:rPr>
        <w:t>the increase over</w:t>
      </w:r>
      <w:r>
        <w:rPr>
          <w:spacing w:val="-2"/>
          <w:sz w:val="20"/>
        </w:rPr>
        <w:t> </w:t>
      </w:r>
      <w:r>
        <w:rPr>
          <w:sz w:val="20"/>
        </w:rPr>
        <w:t>last year’s</w:t>
      </w:r>
      <w:r>
        <w:rPr>
          <w:spacing w:val="-3"/>
          <w:sz w:val="20"/>
        </w:rPr>
        <w:t> </w:t>
      </w:r>
      <w:r>
        <w:rPr>
          <w:sz w:val="20"/>
        </w:rPr>
        <w:t>budget (and 14.9</w:t>
      </w:r>
      <w:r>
        <w:rPr>
          <w:spacing w:val="-2"/>
          <w:sz w:val="20"/>
        </w:rPr>
        <w:t> </w:t>
      </w:r>
      <w:r>
        <w:rPr>
          <w:sz w:val="20"/>
        </w:rPr>
        <w:t>per</w:t>
      </w:r>
      <w:r>
        <w:rPr>
          <w:spacing w:val="-2"/>
          <w:sz w:val="20"/>
        </w:rPr>
        <w:t> </w:t>
      </w:r>
      <w:r>
        <w:rPr>
          <w:sz w:val="20"/>
        </w:rPr>
        <w:t>cent of</w:t>
      </w:r>
      <w:r>
        <w:rPr>
          <w:spacing w:val="-6"/>
          <w:sz w:val="20"/>
        </w:rPr>
        <w:t> </w:t>
      </w:r>
      <w:r>
        <w:rPr>
          <w:sz w:val="20"/>
        </w:rPr>
        <w:t>the proposed</w:t>
      </w:r>
      <w:r>
        <w:rPr>
          <w:spacing w:val="-2"/>
          <w:sz w:val="20"/>
        </w:rPr>
        <w:t> </w:t>
      </w:r>
      <w:r>
        <w:rPr>
          <w:sz w:val="20"/>
        </w:rPr>
        <w:t>increase).</w:t>
      </w:r>
    </w:p>
    <w:p>
      <w:pPr>
        <w:pStyle w:val="ListParagraph"/>
        <w:numPr>
          <w:ilvl w:val="0"/>
          <w:numId w:val="4"/>
        </w:numPr>
        <w:tabs>
          <w:tab w:pos="2967" w:val="left" w:leader="none"/>
        </w:tabs>
        <w:spacing w:line="240" w:lineRule="auto" w:before="124" w:after="0"/>
        <w:ind w:left="2246" w:right="2241" w:firstLine="0"/>
        <w:jc w:val="both"/>
        <w:rPr>
          <w:sz w:val="20"/>
        </w:rPr>
      </w:pPr>
      <w:r>
        <w:rPr>
          <w:sz w:val="20"/>
        </w:rPr>
        <w:t>In the proposed budget for 2023, 13 new Established posts and 73 new GTA positions (54.25 FTE) are requested. Eight positions are requested for conversion and four positions</w:t>
      </w:r>
      <w:r>
        <w:rPr>
          <w:spacing w:val="-13"/>
          <w:sz w:val="20"/>
        </w:rPr>
        <w:t> </w:t>
      </w:r>
      <w:r>
        <w:rPr>
          <w:sz w:val="20"/>
        </w:rPr>
        <w:t>have</w:t>
      </w:r>
      <w:r>
        <w:rPr>
          <w:spacing w:val="-12"/>
          <w:sz w:val="20"/>
        </w:rPr>
        <w:t> </w:t>
      </w:r>
      <w:r>
        <w:rPr>
          <w:sz w:val="20"/>
        </w:rPr>
        <w:t>been</w:t>
      </w:r>
      <w:r>
        <w:rPr>
          <w:spacing w:val="-13"/>
          <w:sz w:val="20"/>
        </w:rPr>
        <w:t> </w:t>
      </w:r>
      <w:r>
        <w:rPr>
          <w:sz w:val="20"/>
        </w:rPr>
        <w:t>discontinued.</w:t>
      </w:r>
      <w:r>
        <w:rPr>
          <w:sz w:val="20"/>
          <w:vertAlign w:val="superscript"/>
        </w:rPr>
        <w:t>35</w:t>
      </w:r>
      <w:r>
        <w:rPr>
          <w:spacing w:val="-10"/>
          <w:sz w:val="20"/>
          <w:vertAlign w:val="baseline"/>
        </w:rPr>
        <w:t> </w:t>
      </w:r>
      <w:r>
        <w:rPr>
          <w:sz w:val="20"/>
          <w:vertAlign w:val="baseline"/>
        </w:rPr>
        <w:t>The</w:t>
      </w:r>
      <w:r>
        <w:rPr>
          <w:spacing w:val="-7"/>
          <w:sz w:val="20"/>
          <w:vertAlign w:val="baseline"/>
        </w:rPr>
        <w:t> </w:t>
      </w:r>
      <w:r>
        <w:rPr>
          <w:sz w:val="20"/>
          <w:vertAlign w:val="baseline"/>
        </w:rPr>
        <w:t>requested</w:t>
      </w:r>
      <w:r>
        <w:rPr>
          <w:spacing w:val="-9"/>
          <w:sz w:val="20"/>
          <w:vertAlign w:val="baseline"/>
        </w:rPr>
        <w:t> </w:t>
      </w:r>
      <w:r>
        <w:rPr>
          <w:sz w:val="20"/>
          <w:vertAlign w:val="baseline"/>
        </w:rPr>
        <w:t>increase</w:t>
      </w:r>
      <w:r>
        <w:rPr>
          <w:spacing w:val="-8"/>
          <w:sz w:val="20"/>
          <w:vertAlign w:val="baseline"/>
        </w:rPr>
        <w:t> </w:t>
      </w:r>
      <w:r>
        <w:rPr>
          <w:sz w:val="20"/>
          <w:vertAlign w:val="baseline"/>
        </w:rPr>
        <w:t>is</w:t>
      </w:r>
      <w:r>
        <w:rPr>
          <w:spacing w:val="-13"/>
          <w:sz w:val="20"/>
          <w:vertAlign w:val="baseline"/>
        </w:rPr>
        <w:t> </w:t>
      </w:r>
      <w:r>
        <w:rPr>
          <w:sz w:val="20"/>
          <w:vertAlign w:val="baseline"/>
        </w:rPr>
        <w:t>determined</w:t>
      </w:r>
      <w:r>
        <w:rPr>
          <w:spacing w:val="-12"/>
          <w:sz w:val="20"/>
          <w:vertAlign w:val="baseline"/>
        </w:rPr>
        <w:t> </w:t>
      </w:r>
      <w:r>
        <w:rPr>
          <w:sz w:val="20"/>
          <w:vertAlign w:val="baseline"/>
        </w:rPr>
        <w:t>by</w:t>
      </w:r>
      <w:r>
        <w:rPr>
          <w:spacing w:val="-13"/>
          <w:sz w:val="20"/>
          <w:vertAlign w:val="baseline"/>
        </w:rPr>
        <w:t> </w:t>
      </w:r>
      <w:r>
        <w:rPr>
          <w:sz w:val="20"/>
          <w:vertAlign w:val="baseline"/>
        </w:rPr>
        <w:t>the</w:t>
      </w:r>
      <w:r>
        <w:rPr>
          <w:spacing w:val="-7"/>
          <w:sz w:val="20"/>
          <w:vertAlign w:val="baseline"/>
        </w:rPr>
        <w:t> </w:t>
      </w:r>
      <w:r>
        <w:rPr>
          <w:sz w:val="20"/>
          <w:vertAlign w:val="baseline"/>
        </w:rPr>
        <w:t>need</w:t>
      </w:r>
      <w:r>
        <w:rPr>
          <w:spacing w:val="-13"/>
          <w:sz w:val="20"/>
          <w:vertAlign w:val="baseline"/>
        </w:rPr>
        <w:t> </w:t>
      </w:r>
      <w:r>
        <w:rPr>
          <w:sz w:val="20"/>
          <w:vertAlign w:val="baseline"/>
        </w:rPr>
        <w:t>to</w:t>
      </w:r>
      <w:r>
        <w:rPr>
          <w:spacing w:val="-12"/>
          <w:sz w:val="20"/>
          <w:vertAlign w:val="baseline"/>
        </w:rPr>
        <w:t> </w:t>
      </w:r>
      <w:r>
        <w:rPr>
          <w:sz w:val="20"/>
          <w:vertAlign w:val="baseline"/>
        </w:rPr>
        <w:t>build adequate capacity in the Office to manage the workload linked to the assumptions included in the 2023 proposal, notably, the significant increase in the number of situations under investigations by the Office.</w:t>
      </w:r>
    </w:p>
    <w:p>
      <w:pPr>
        <w:pStyle w:val="ListParagraph"/>
        <w:numPr>
          <w:ilvl w:val="0"/>
          <w:numId w:val="4"/>
        </w:numPr>
        <w:tabs>
          <w:tab w:pos="2967" w:val="left" w:leader="none"/>
        </w:tabs>
        <w:spacing w:line="240" w:lineRule="auto" w:before="123" w:after="0"/>
        <w:ind w:left="2246" w:right="2240" w:firstLine="0"/>
        <w:jc w:val="both"/>
        <w:rPr>
          <w:sz w:val="20"/>
        </w:rPr>
      </w:pPr>
      <w:r>
        <w:rPr>
          <w:sz w:val="20"/>
        </w:rPr>
        <w:t>The</w:t>
      </w:r>
      <w:r>
        <w:rPr>
          <w:spacing w:val="-6"/>
          <w:sz w:val="20"/>
        </w:rPr>
        <w:t> </w:t>
      </w:r>
      <w:r>
        <w:rPr>
          <w:sz w:val="20"/>
        </w:rPr>
        <w:t>new</w:t>
      </w:r>
      <w:r>
        <w:rPr>
          <w:spacing w:val="-9"/>
          <w:sz w:val="20"/>
        </w:rPr>
        <w:t> </w:t>
      </w:r>
      <w:r>
        <w:rPr>
          <w:sz w:val="20"/>
        </w:rPr>
        <w:t>investigation</w:t>
      </w:r>
      <w:r>
        <w:rPr>
          <w:spacing w:val="-7"/>
          <w:sz w:val="20"/>
        </w:rPr>
        <w:t> </w:t>
      </w:r>
      <w:r>
        <w:rPr>
          <w:sz w:val="20"/>
        </w:rPr>
        <w:t>in</w:t>
      </w:r>
      <w:r>
        <w:rPr>
          <w:spacing w:val="-3"/>
          <w:sz w:val="20"/>
        </w:rPr>
        <w:t> </w:t>
      </w:r>
      <w:r>
        <w:rPr>
          <w:sz w:val="20"/>
        </w:rPr>
        <w:t>the</w:t>
      </w:r>
      <w:r>
        <w:rPr>
          <w:spacing w:val="-1"/>
          <w:sz w:val="20"/>
        </w:rPr>
        <w:t> </w:t>
      </w:r>
      <w:r>
        <w:rPr>
          <w:sz w:val="20"/>
        </w:rPr>
        <w:t>situation</w:t>
      </w:r>
      <w:r>
        <w:rPr>
          <w:spacing w:val="-3"/>
          <w:sz w:val="20"/>
        </w:rPr>
        <w:t> </w:t>
      </w:r>
      <w:r>
        <w:rPr>
          <w:sz w:val="20"/>
        </w:rPr>
        <w:t>in</w:t>
      </w:r>
      <w:r>
        <w:rPr>
          <w:spacing w:val="-7"/>
          <w:sz w:val="20"/>
        </w:rPr>
        <w:t> </w:t>
      </w:r>
      <w:r>
        <w:rPr>
          <w:sz w:val="20"/>
        </w:rPr>
        <w:t>Ukraine</w:t>
      </w:r>
      <w:r>
        <w:rPr>
          <w:spacing w:val="-6"/>
          <w:sz w:val="20"/>
        </w:rPr>
        <w:t> </w:t>
      </w:r>
      <w:r>
        <w:rPr>
          <w:sz w:val="20"/>
        </w:rPr>
        <w:t>is</w:t>
      </w:r>
      <w:r>
        <w:rPr>
          <w:spacing w:val="-4"/>
          <w:sz w:val="20"/>
        </w:rPr>
        <w:t> </w:t>
      </w:r>
      <w:r>
        <w:rPr>
          <w:sz w:val="20"/>
        </w:rPr>
        <w:t>one</w:t>
      </w:r>
      <w:r>
        <w:rPr>
          <w:spacing w:val="-1"/>
          <w:sz w:val="20"/>
        </w:rPr>
        <w:t> </w:t>
      </w:r>
      <w:r>
        <w:rPr>
          <w:sz w:val="20"/>
        </w:rPr>
        <w:t>of</w:t>
      </w:r>
      <w:r>
        <w:rPr>
          <w:spacing w:val="-7"/>
          <w:sz w:val="20"/>
        </w:rPr>
        <w:t> </w:t>
      </w:r>
      <w:r>
        <w:rPr>
          <w:sz w:val="20"/>
        </w:rPr>
        <w:t>the</w:t>
      </w:r>
      <w:r>
        <w:rPr>
          <w:spacing w:val="-1"/>
          <w:sz w:val="20"/>
        </w:rPr>
        <w:t> </w:t>
      </w:r>
      <w:r>
        <w:rPr>
          <w:sz w:val="20"/>
        </w:rPr>
        <w:t>main</w:t>
      </w:r>
      <w:r>
        <w:rPr>
          <w:spacing w:val="-7"/>
          <w:sz w:val="20"/>
        </w:rPr>
        <w:t> </w:t>
      </w:r>
      <w:r>
        <w:rPr>
          <w:sz w:val="20"/>
        </w:rPr>
        <w:t>drivers</w:t>
      </w:r>
      <w:r>
        <w:rPr>
          <w:spacing w:val="-4"/>
          <w:sz w:val="20"/>
        </w:rPr>
        <w:t> </w:t>
      </w:r>
      <w:r>
        <w:rPr>
          <w:sz w:val="20"/>
        </w:rPr>
        <w:t>for</w:t>
      </w:r>
      <w:r>
        <w:rPr>
          <w:spacing w:val="-7"/>
          <w:sz w:val="20"/>
        </w:rPr>
        <w:t> </w:t>
      </w:r>
      <w:r>
        <w:rPr>
          <w:sz w:val="20"/>
        </w:rPr>
        <w:t>staff requests.</w:t>
      </w:r>
      <w:r>
        <w:rPr>
          <w:spacing w:val="22"/>
          <w:sz w:val="20"/>
        </w:rPr>
        <w:t> </w:t>
      </w:r>
      <w:r>
        <w:rPr>
          <w:sz w:val="20"/>
        </w:rPr>
        <w:t>The</w:t>
      </w:r>
      <w:r>
        <w:rPr>
          <w:spacing w:val="21"/>
          <w:sz w:val="20"/>
        </w:rPr>
        <w:t> </w:t>
      </w:r>
      <w:r>
        <w:rPr>
          <w:sz w:val="20"/>
        </w:rPr>
        <w:t>increase</w:t>
      </w:r>
      <w:r>
        <w:rPr>
          <w:spacing w:val="26"/>
          <w:sz w:val="20"/>
        </w:rPr>
        <w:t> </w:t>
      </w:r>
      <w:r>
        <w:rPr>
          <w:sz w:val="20"/>
        </w:rPr>
        <w:t>due</w:t>
      </w:r>
      <w:r>
        <w:rPr>
          <w:spacing w:val="21"/>
          <w:sz w:val="20"/>
        </w:rPr>
        <w:t> </w:t>
      </w:r>
      <w:r>
        <w:rPr>
          <w:sz w:val="20"/>
        </w:rPr>
        <w:t>to</w:t>
      </w:r>
      <w:r>
        <w:rPr>
          <w:spacing w:val="24"/>
          <w:sz w:val="20"/>
        </w:rPr>
        <w:t> </w:t>
      </w:r>
      <w:r>
        <w:rPr>
          <w:sz w:val="20"/>
        </w:rPr>
        <w:t>the</w:t>
      </w:r>
      <w:r>
        <w:rPr>
          <w:spacing w:val="26"/>
          <w:sz w:val="20"/>
        </w:rPr>
        <w:t> </w:t>
      </w:r>
      <w:r>
        <w:rPr>
          <w:sz w:val="20"/>
        </w:rPr>
        <w:t>situation</w:t>
      </w:r>
      <w:r>
        <w:rPr>
          <w:spacing w:val="24"/>
          <w:sz w:val="20"/>
        </w:rPr>
        <w:t> </w:t>
      </w:r>
      <w:r>
        <w:rPr>
          <w:sz w:val="20"/>
        </w:rPr>
        <w:t>in</w:t>
      </w:r>
      <w:r>
        <w:rPr>
          <w:spacing w:val="24"/>
          <w:sz w:val="20"/>
        </w:rPr>
        <w:t> </w:t>
      </w:r>
      <w:r>
        <w:rPr>
          <w:sz w:val="20"/>
        </w:rPr>
        <w:t>the</w:t>
      </w:r>
      <w:r>
        <w:rPr>
          <w:spacing w:val="26"/>
          <w:sz w:val="20"/>
        </w:rPr>
        <w:t> </w:t>
      </w:r>
      <w:r>
        <w:rPr>
          <w:sz w:val="20"/>
        </w:rPr>
        <w:t>Ukraine</w:t>
      </w:r>
      <w:r>
        <w:rPr>
          <w:spacing w:val="16"/>
          <w:sz w:val="20"/>
        </w:rPr>
        <w:t> </w:t>
      </w:r>
      <w:r>
        <w:rPr>
          <w:sz w:val="20"/>
        </w:rPr>
        <w:t>amounts</w:t>
      </w:r>
      <w:r>
        <w:rPr>
          <w:spacing w:val="18"/>
          <w:sz w:val="20"/>
        </w:rPr>
        <w:t> </w:t>
      </w:r>
      <w:r>
        <w:rPr>
          <w:sz w:val="20"/>
        </w:rPr>
        <w:t>to</w:t>
      </w:r>
      <w:r>
        <w:rPr>
          <w:spacing w:val="24"/>
          <w:sz w:val="20"/>
        </w:rPr>
        <w:t> </w:t>
      </w:r>
      <w:r>
        <w:rPr>
          <w:sz w:val="20"/>
        </w:rPr>
        <w:t>€4,449.8</w:t>
      </w:r>
      <w:r>
        <w:rPr>
          <w:spacing w:val="19"/>
          <w:sz w:val="20"/>
        </w:rPr>
        <w:t> </w:t>
      </w:r>
      <w:r>
        <w:rPr>
          <w:sz w:val="20"/>
        </w:rPr>
        <w:t>thousand, or</w:t>
      </w:r>
      <w:r>
        <w:rPr>
          <w:spacing w:val="-13"/>
          <w:sz w:val="20"/>
        </w:rPr>
        <w:t> </w:t>
      </w:r>
      <w:r>
        <w:rPr>
          <w:sz w:val="20"/>
        </w:rPr>
        <w:t>45.4</w:t>
      </w:r>
      <w:r>
        <w:rPr>
          <w:spacing w:val="-12"/>
          <w:sz w:val="20"/>
        </w:rPr>
        <w:t> </w:t>
      </w:r>
      <w:r>
        <w:rPr>
          <w:sz w:val="20"/>
        </w:rPr>
        <w:t>percentage</w:t>
      </w:r>
      <w:r>
        <w:rPr>
          <w:spacing w:val="-13"/>
          <w:sz w:val="20"/>
        </w:rPr>
        <w:t> </w:t>
      </w:r>
      <w:r>
        <w:rPr>
          <w:sz w:val="20"/>
        </w:rPr>
        <w:t>points</w:t>
      </w:r>
      <w:r>
        <w:rPr>
          <w:spacing w:val="-12"/>
          <w:sz w:val="20"/>
        </w:rPr>
        <w:t> </w:t>
      </w:r>
      <w:r>
        <w:rPr>
          <w:sz w:val="20"/>
        </w:rPr>
        <w:t>of</w:t>
      </w:r>
      <w:r>
        <w:rPr>
          <w:spacing w:val="-13"/>
          <w:sz w:val="20"/>
        </w:rPr>
        <w:t> </w:t>
      </w:r>
      <w:r>
        <w:rPr>
          <w:sz w:val="20"/>
        </w:rPr>
        <w:t>the</w:t>
      </w:r>
      <w:r>
        <w:rPr>
          <w:spacing w:val="-12"/>
          <w:sz w:val="20"/>
        </w:rPr>
        <w:t> </w:t>
      </w:r>
      <w:r>
        <w:rPr>
          <w:sz w:val="20"/>
        </w:rPr>
        <w:t>overall</w:t>
      </w:r>
      <w:r>
        <w:rPr>
          <w:spacing w:val="-13"/>
          <w:sz w:val="20"/>
        </w:rPr>
        <w:t> </w:t>
      </w:r>
      <w:r>
        <w:rPr>
          <w:sz w:val="20"/>
        </w:rPr>
        <w:t>proposed</w:t>
      </w:r>
      <w:r>
        <w:rPr>
          <w:spacing w:val="-12"/>
          <w:sz w:val="20"/>
        </w:rPr>
        <w:t> </w:t>
      </w:r>
      <w:r>
        <w:rPr>
          <w:sz w:val="20"/>
        </w:rPr>
        <w:t>increase</w:t>
      </w:r>
      <w:r>
        <w:rPr>
          <w:spacing w:val="-13"/>
          <w:sz w:val="20"/>
        </w:rPr>
        <w:t> </w:t>
      </w:r>
      <w:r>
        <w:rPr>
          <w:sz w:val="20"/>
        </w:rPr>
        <w:t>over</w:t>
      </w:r>
      <w:r>
        <w:rPr>
          <w:spacing w:val="-12"/>
          <w:sz w:val="20"/>
        </w:rPr>
        <w:t> </w:t>
      </w:r>
      <w:r>
        <w:rPr>
          <w:sz w:val="20"/>
        </w:rPr>
        <w:t>last</w:t>
      </w:r>
      <w:r>
        <w:rPr>
          <w:spacing w:val="-13"/>
          <w:sz w:val="20"/>
        </w:rPr>
        <w:t> </w:t>
      </w:r>
      <w:r>
        <w:rPr>
          <w:sz w:val="20"/>
        </w:rPr>
        <w:t>year’s</w:t>
      </w:r>
      <w:r>
        <w:rPr>
          <w:spacing w:val="-12"/>
          <w:sz w:val="20"/>
        </w:rPr>
        <w:t> </w:t>
      </w:r>
      <w:r>
        <w:rPr>
          <w:sz w:val="20"/>
        </w:rPr>
        <w:t>budget.</w:t>
      </w:r>
      <w:r>
        <w:rPr>
          <w:spacing w:val="-13"/>
          <w:sz w:val="20"/>
        </w:rPr>
        <w:t> </w:t>
      </w:r>
      <w:r>
        <w:rPr>
          <w:sz w:val="20"/>
        </w:rPr>
        <w:t>As</w:t>
      </w:r>
      <w:r>
        <w:rPr>
          <w:spacing w:val="-12"/>
          <w:sz w:val="20"/>
        </w:rPr>
        <w:t> </w:t>
      </w:r>
      <w:r>
        <w:rPr>
          <w:sz w:val="20"/>
        </w:rPr>
        <w:t>outlined below,</w:t>
      </w:r>
      <w:r>
        <w:rPr>
          <w:spacing w:val="-6"/>
          <w:sz w:val="20"/>
        </w:rPr>
        <w:t> </w:t>
      </w:r>
      <w:r>
        <w:rPr>
          <w:sz w:val="20"/>
        </w:rPr>
        <w:t>the</w:t>
      </w:r>
      <w:r>
        <w:rPr>
          <w:spacing w:val="-7"/>
          <w:sz w:val="20"/>
        </w:rPr>
        <w:t> </w:t>
      </w:r>
      <w:r>
        <w:rPr>
          <w:sz w:val="20"/>
        </w:rPr>
        <w:t>Office</w:t>
      </w:r>
      <w:r>
        <w:rPr>
          <w:spacing w:val="-7"/>
          <w:sz w:val="20"/>
        </w:rPr>
        <w:t> </w:t>
      </w:r>
      <w:r>
        <w:rPr>
          <w:sz w:val="20"/>
        </w:rPr>
        <w:t>has</w:t>
      </w:r>
      <w:r>
        <w:rPr>
          <w:spacing w:val="-10"/>
          <w:sz w:val="20"/>
        </w:rPr>
        <w:t> </w:t>
      </w:r>
      <w:r>
        <w:rPr>
          <w:sz w:val="20"/>
        </w:rPr>
        <w:t>sought</w:t>
      </w:r>
      <w:r>
        <w:rPr>
          <w:spacing w:val="-2"/>
          <w:sz w:val="20"/>
        </w:rPr>
        <w:t> </w:t>
      </w:r>
      <w:r>
        <w:rPr>
          <w:sz w:val="20"/>
        </w:rPr>
        <w:t>to</w:t>
      </w:r>
      <w:r>
        <w:rPr>
          <w:spacing w:val="-4"/>
          <w:sz w:val="20"/>
        </w:rPr>
        <w:t> </w:t>
      </w:r>
      <w:r>
        <w:rPr>
          <w:sz w:val="20"/>
        </w:rPr>
        <w:t>deploy</w:t>
      </w:r>
      <w:r>
        <w:rPr>
          <w:spacing w:val="-4"/>
          <w:sz w:val="20"/>
        </w:rPr>
        <w:t> </w:t>
      </w:r>
      <w:r>
        <w:rPr>
          <w:sz w:val="20"/>
        </w:rPr>
        <w:t>staff</w:t>
      </w:r>
      <w:r>
        <w:rPr>
          <w:spacing w:val="-8"/>
          <w:sz w:val="20"/>
        </w:rPr>
        <w:t> </w:t>
      </w:r>
      <w:r>
        <w:rPr>
          <w:sz w:val="20"/>
        </w:rPr>
        <w:t>to</w:t>
      </w:r>
      <w:r>
        <w:rPr>
          <w:spacing w:val="-8"/>
          <w:sz w:val="20"/>
        </w:rPr>
        <w:t> </w:t>
      </w:r>
      <w:r>
        <w:rPr>
          <w:sz w:val="20"/>
        </w:rPr>
        <w:t>Ukraine</w:t>
      </w:r>
      <w:r>
        <w:rPr>
          <w:spacing w:val="-7"/>
          <w:sz w:val="20"/>
        </w:rPr>
        <w:t> </w:t>
      </w:r>
      <w:r>
        <w:rPr>
          <w:sz w:val="20"/>
        </w:rPr>
        <w:t>on</w:t>
      </w:r>
      <w:r>
        <w:rPr>
          <w:spacing w:val="-8"/>
          <w:sz w:val="20"/>
        </w:rPr>
        <w:t> </w:t>
      </w:r>
      <w:r>
        <w:rPr>
          <w:sz w:val="20"/>
        </w:rPr>
        <w:t>mission</w:t>
      </w:r>
      <w:r>
        <w:rPr>
          <w:spacing w:val="-4"/>
          <w:sz w:val="20"/>
        </w:rPr>
        <w:t> </w:t>
      </w:r>
      <w:r>
        <w:rPr>
          <w:sz w:val="20"/>
        </w:rPr>
        <w:t>travel</w:t>
      </w:r>
      <w:r>
        <w:rPr>
          <w:spacing w:val="-2"/>
          <w:sz w:val="20"/>
        </w:rPr>
        <w:t> </w:t>
      </w:r>
      <w:r>
        <w:rPr>
          <w:sz w:val="20"/>
        </w:rPr>
        <w:t>since</w:t>
      </w:r>
      <w:r>
        <w:rPr>
          <w:spacing w:val="-7"/>
          <w:sz w:val="20"/>
        </w:rPr>
        <w:t> </w:t>
      </w:r>
      <w:r>
        <w:rPr>
          <w:sz w:val="20"/>
        </w:rPr>
        <w:t>the</w:t>
      </w:r>
      <w:r>
        <w:rPr>
          <w:spacing w:val="-7"/>
          <w:sz w:val="20"/>
        </w:rPr>
        <w:t> </w:t>
      </w:r>
      <w:r>
        <w:rPr>
          <w:sz w:val="20"/>
        </w:rPr>
        <w:t>beginning of the investigation in order to capitalize on evidence-collection opportunities and rapidly establish</w:t>
      </w:r>
      <w:r>
        <w:rPr>
          <w:spacing w:val="40"/>
          <w:sz w:val="20"/>
        </w:rPr>
        <w:t> </w:t>
      </w:r>
      <w:r>
        <w:rPr>
          <w:sz w:val="20"/>
        </w:rPr>
        <w:t>cooperation</w:t>
      </w:r>
      <w:r>
        <w:rPr>
          <w:spacing w:val="40"/>
          <w:sz w:val="20"/>
        </w:rPr>
        <w:t> </w:t>
      </w:r>
      <w:r>
        <w:rPr>
          <w:sz w:val="20"/>
        </w:rPr>
        <w:t>frameworks</w:t>
      </w:r>
      <w:r>
        <w:rPr>
          <w:spacing w:val="40"/>
          <w:sz w:val="20"/>
        </w:rPr>
        <w:t> </w:t>
      </w:r>
      <w:r>
        <w:rPr>
          <w:sz w:val="20"/>
        </w:rPr>
        <w:t>with</w:t>
      </w:r>
      <w:r>
        <w:rPr>
          <w:spacing w:val="40"/>
          <w:sz w:val="20"/>
        </w:rPr>
        <w:t> </w:t>
      </w:r>
      <w:r>
        <w:rPr>
          <w:sz w:val="20"/>
        </w:rPr>
        <w:t>relevant</w:t>
      </w:r>
      <w:r>
        <w:rPr>
          <w:spacing w:val="40"/>
          <w:sz w:val="20"/>
        </w:rPr>
        <w:t> </w:t>
      </w:r>
      <w:r>
        <w:rPr>
          <w:sz w:val="20"/>
        </w:rPr>
        <w:t>counterparts.</w:t>
      </w:r>
      <w:r>
        <w:rPr>
          <w:spacing w:val="40"/>
          <w:sz w:val="20"/>
        </w:rPr>
        <w:t> </w:t>
      </w:r>
      <w:r>
        <w:rPr>
          <w:sz w:val="20"/>
        </w:rPr>
        <w:t>Reflecting</w:t>
      </w:r>
      <w:r>
        <w:rPr>
          <w:spacing w:val="40"/>
          <w:sz w:val="20"/>
        </w:rPr>
        <w:t> </w:t>
      </w:r>
      <w:r>
        <w:rPr>
          <w:sz w:val="20"/>
        </w:rPr>
        <w:t>this</w:t>
      </w:r>
      <w:r>
        <w:rPr>
          <w:spacing w:val="40"/>
          <w:sz w:val="20"/>
        </w:rPr>
        <w:t> </w:t>
      </w:r>
      <w:r>
        <w:rPr>
          <w:sz w:val="20"/>
        </w:rPr>
        <w:t>approach, the</w:t>
      </w:r>
      <w:r>
        <w:rPr>
          <w:spacing w:val="-2"/>
          <w:sz w:val="20"/>
        </w:rPr>
        <w:t> </w:t>
      </w:r>
      <w:r>
        <w:rPr>
          <w:sz w:val="20"/>
        </w:rPr>
        <w:t>2023 proposal foresees the continued presence in Ukraine of a team with the necessary knowledge, skills and technical capacity in order to meet address the investigative and analytical demands identified through initial work of the unified team in 2022.</w:t>
      </w:r>
    </w:p>
    <w:p>
      <w:pPr>
        <w:pStyle w:val="ListParagraph"/>
        <w:numPr>
          <w:ilvl w:val="0"/>
          <w:numId w:val="4"/>
        </w:numPr>
        <w:tabs>
          <w:tab w:pos="2967" w:val="left" w:leader="none"/>
        </w:tabs>
        <w:spacing w:line="240" w:lineRule="auto" w:before="120" w:after="0"/>
        <w:ind w:left="2246" w:right="2241" w:firstLine="0"/>
        <w:jc w:val="both"/>
        <w:rPr>
          <w:sz w:val="20"/>
        </w:rPr>
      </w:pPr>
      <w:r>
        <w:rPr>
          <w:sz w:val="20"/>
        </w:rPr>
        <w:t>The resource requirements needed in order to effectively address the needs of the unified team for the Ukraine situation has been assessed considering multiple factors including</w:t>
      </w:r>
      <w:r>
        <w:rPr>
          <w:spacing w:val="-4"/>
          <w:sz w:val="20"/>
        </w:rPr>
        <w:t> </w:t>
      </w:r>
      <w:r>
        <w:rPr>
          <w:sz w:val="20"/>
        </w:rPr>
        <w:t>the</w:t>
      </w:r>
      <w:r>
        <w:rPr>
          <w:spacing w:val="-2"/>
          <w:sz w:val="20"/>
        </w:rPr>
        <w:t> </w:t>
      </w:r>
      <w:r>
        <w:rPr>
          <w:sz w:val="20"/>
        </w:rPr>
        <w:t>potential</w:t>
      </w:r>
      <w:r>
        <w:rPr>
          <w:spacing w:val="-2"/>
          <w:sz w:val="20"/>
        </w:rPr>
        <w:t> </w:t>
      </w:r>
      <w:r>
        <w:rPr>
          <w:sz w:val="20"/>
        </w:rPr>
        <w:t>scale</w:t>
      </w:r>
      <w:r>
        <w:rPr>
          <w:spacing w:val="-2"/>
          <w:sz w:val="20"/>
        </w:rPr>
        <w:t> </w:t>
      </w:r>
      <w:r>
        <w:rPr>
          <w:sz w:val="20"/>
        </w:rPr>
        <w:t>and</w:t>
      </w:r>
      <w:r>
        <w:rPr>
          <w:spacing w:val="-8"/>
          <w:sz w:val="20"/>
        </w:rPr>
        <w:t> </w:t>
      </w:r>
      <w:r>
        <w:rPr>
          <w:sz w:val="20"/>
        </w:rPr>
        <w:t>geographic</w:t>
      </w:r>
      <w:r>
        <w:rPr>
          <w:spacing w:val="-2"/>
          <w:sz w:val="20"/>
        </w:rPr>
        <w:t> </w:t>
      </w:r>
      <w:r>
        <w:rPr>
          <w:sz w:val="20"/>
        </w:rPr>
        <w:t>scope</w:t>
      </w:r>
      <w:r>
        <w:rPr>
          <w:spacing w:val="-7"/>
          <w:sz w:val="20"/>
        </w:rPr>
        <w:t> </w:t>
      </w:r>
      <w:r>
        <w:rPr>
          <w:sz w:val="20"/>
        </w:rPr>
        <w:t>of</w:t>
      </w:r>
      <w:r>
        <w:rPr>
          <w:spacing w:val="-4"/>
          <w:sz w:val="20"/>
        </w:rPr>
        <w:t> </w:t>
      </w:r>
      <w:r>
        <w:rPr>
          <w:sz w:val="20"/>
        </w:rPr>
        <w:t>alleged</w:t>
      </w:r>
      <w:r>
        <w:rPr>
          <w:spacing w:val="-8"/>
          <w:sz w:val="20"/>
        </w:rPr>
        <w:t> </w:t>
      </w:r>
      <w:r>
        <w:rPr>
          <w:sz w:val="20"/>
        </w:rPr>
        <w:t>crimes</w:t>
      </w:r>
      <w:r>
        <w:rPr>
          <w:spacing w:val="-5"/>
          <w:sz w:val="20"/>
        </w:rPr>
        <w:t> </w:t>
      </w:r>
      <w:r>
        <w:rPr>
          <w:sz w:val="20"/>
        </w:rPr>
        <w:t>under</w:t>
      </w:r>
      <w:r>
        <w:rPr>
          <w:spacing w:val="-4"/>
          <w:sz w:val="20"/>
        </w:rPr>
        <w:t> </w:t>
      </w:r>
      <w:r>
        <w:rPr>
          <w:sz w:val="20"/>
        </w:rPr>
        <w:t>investigation,</w:t>
      </w:r>
      <w:r>
        <w:rPr>
          <w:spacing w:val="-6"/>
          <w:sz w:val="20"/>
        </w:rPr>
        <w:t> </w:t>
      </w:r>
      <w:r>
        <w:rPr>
          <w:sz w:val="20"/>
        </w:rPr>
        <w:t>the assessed challenges</w:t>
      </w:r>
      <w:r>
        <w:rPr>
          <w:spacing w:val="-1"/>
          <w:sz w:val="20"/>
        </w:rPr>
        <w:t> </w:t>
      </w:r>
      <w:r>
        <w:rPr>
          <w:sz w:val="20"/>
        </w:rPr>
        <w:t>and opportunities faced by the Office in obtaining key information and evidence, and the need to ensure an effective interface between the Office and all relevant national actors on the ground. The</w:t>
      </w:r>
      <w:r>
        <w:rPr>
          <w:spacing w:val="-2"/>
          <w:sz w:val="20"/>
        </w:rPr>
        <w:t> </w:t>
      </w:r>
      <w:r>
        <w:rPr>
          <w:sz w:val="20"/>
        </w:rPr>
        <w:t>additional resources requested would allow the Office to act nimbly and effectively with respect to this situation, supporting the progress of investigative actions that may allow the outcomes of the work in this area to have a demonstrable impact, in real-time.</w:t>
      </w:r>
    </w:p>
    <w:p>
      <w:pPr>
        <w:pStyle w:val="ListParagraph"/>
        <w:numPr>
          <w:ilvl w:val="0"/>
          <w:numId w:val="4"/>
        </w:numPr>
        <w:tabs>
          <w:tab w:pos="2967" w:val="left" w:leader="none"/>
        </w:tabs>
        <w:spacing w:line="240" w:lineRule="auto" w:before="119" w:after="0"/>
        <w:ind w:left="2246" w:right="2247" w:firstLine="0"/>
        <w:jc w:val="both"/>
        <w:rPr>
          <w:sz w:val="20"/>
        </w:rPr>
      </w:pPr>
      <w:r>
        <w:rPr>
          <w:sz w:val="20"/>
        </w:rPr>
        <w:t>Shorter-term</w:t>
      </w:r>
      <w:r>
        <w:rPr>
          <w:spacing w:val="-8"/>
          <w:sz w:val="20"/>
        </w:rPr>
        <w:t> </w:t>
      </w:r>
      <w:r>
        <w:rPr>
          <w:sz w:val="20"/>
        </w:rPr>
        <w:t>support</w:t>
      </w:r>
      <w:r>
        <w:rPr>
          <w:spacing w:val="-8"/>
          <w:sz w:val="20"/>
        </w:rPr>
        <w:t> </w:t>
      </w:r>
      <w:r>
        <w:rPr>
          <w:sz w:val="20"/>
        </w:rPr>
        <w:t>provided</w:t>
      </w:r>
      <w:r>
        <w:rPr>
          <w:spacing w:val="-9"/>
          <w:sz w:val="20"/>
        </w:rPr>
        <w:t> </w:t>
      </w:r>
      <w:r>
        <w:rPr>
          <w:sz w:val="20"/>
        </w:rPr>
        <w:t>by</w:t>
      </w:r>
      <w:r>
        <w:rPr>
          <w:spacing w:val="-9"/>
          <w:sz w:val="20"/>
        </w:rPr>
        <w:t> </w:t>
      </w:r>
      <w:r>
        <w:rPr>
          <w:sz w:val="20"/>
        </w:rPr>
        <w:t>States</w:t>
      </w:r>
      <w:r>
        <w:rPr>
          <w:spacing w:val="-11"/>
          <w:sz w:val="20"/>
        </w:rPr>
        <w:t> </w:t>
      </w:r>
      <w:r>
        <w:rPr>
          <w:sz w:val="20"/>
        </w:rPr>
        <w:t>Parties</w:t>
      </w:r>
      <w:r>
        <w:rPr>
          <w:spacing w:val="-11"/>
          <w:sz w:val="20"/>
        </w:rPr>
        <w:t> </w:t>
      </w:r>
      <w:r>
        <w:rPr>
          <w:sz w:val="20"/>
        </w:rPr>
        <w:t>and</w:t>
      </w:r>
      <w:r>
        <w:rPr>
          <w:spacing w:val="-9"/>
          <w:sz w:val="20"/>
        </w:rPr>
        <w:t> </w:t>
      </w:r>
      <w:r>
        <w:rPr>
          <w:sz w:val="20"/>
        </w:rPr>
        <w:t>relevant</w:t>
      </w:r>
      <w:r>
        <w:rPr>
          <w:spacing w:val="-8"/>
          <w:sz w:val="20"/>
        </w:rPr>
        <w:t> </w:t>
      </w:r>
      <w:r>
        <w:rPr>
          <w:sz w:val="20"/>
        </w:rPr>
        <w:t>institutions</w:t>
      </w:r>
      <w:r>
        <w:rPr>
          <w:spacing w:val="-11"/>
          <w:sz w:val="20"/>
        </w:rPr>
        <w:t> </w:t>
      </w:r>
      <w:r>
        <w:rPr>
          <w:sz w:val="20"/>
        </w:rPr>
        <w:t>in</w:t>
      </w:r>
      <w:r>
        <w:rPr>
          <w:spacing w:val="-9"/>
          <w:sz w:val="20"/>
        </w:rPr>
        <w:t> </w:t>
      </w:r>
      <w:r>
        <w:rPr>
          <w:sz w:val="20"/>
        </w:rPr>
        <w:t>the</w:t>
      </w:r>
      <w:r>
        <w:rPr>
          <w:spacing w:val="-8"/>
          <w:sz w:val="20"/>
        </w:rPr>
        <w:t> </w:t>
      </w:r>
      <w:r>
        <w:rPr>
          <w:sz w:val="20"/>
        </w:rPr>
        <w:t>form of secondments of national experts has been factored into the core resources requested in relation to the Ukraine situation in this budget, as outlined further below in this narrative.</w:t>
      </w:r>
      <w:r>
        <w:rPr>
          <w:sz w:val="20"/>
          <w:vertAlign w:val="superscript"/>
        </w:rPr>
        <w:t>36</w:t>
      </w:r>
    </w:p>
    <w:p>
      <w:pPr>
        <w:pStyle w:val="BodyText"/>
      </w:pPr>
    </w:p>
    <w:p>
      <w:pPr>
        <w:pStyle w:val="BodyText"/>
      </w:pPr>
    </w:p>
    <w:p>
      <w:pPr>
        <w:pStyle w:val="BodyText"/>
        <w:spacing w:before="7"/>
        <w:rPr>
          <w:sz w:val="15"/>
        </w:rPr>
      </w:pPr>
      <w:r>
        <w:rPr/>
        <w:pict>
          <v:rect style="position:absolute;margin-left:113.330002pt;margin-top:10.217542pt;width:144.050pt;height:.48004pt;mso-position-horizontal-relative:page;mso-position-vertical-relative:paragraph;z-index:-15713792;mso-wrap-distance-left:0;mso-wrap-distance-right:0" id="docshape80" filled="true" fillcolor="#000000" stroked="false">
            <v:fill type="solid"/>
            <w10:wrap type="topAndBottom"/>
          </v:rect>
        </w:pict>
      </w:r>
    </w:p>
    <w:p>
      <w:pPr>
        <w:spacing w:line="183" w:lineRule="exact" w:before="86"/>
        <w:ind w:left="2246" w:right="0" w:firstLine="0"/>
        <w:jc w:val="left"/>
        <w:rPr>
          <w:sz w:val="16"/>
        </w:rPr>
      </w:pPr>
      <w:r>
        <w:rPr>
          <w:position w:val="5"/>
          <w:sz w:val="10"/>
        </w:rPr>
        <w:t>35</w:t>
      </w:r>
      <w:r>
        <w:rPr>
          <w:spacing w:val="13"/>
          <w:position w:val="5"/>
          <w:sz w:val="10"/>
        </w:rPr>
        <w:t> </w:t>
      </w:r>
      <w:r>
        <w:rPr>
          <w:sz w:val="16"/>
        </w:rPr>
        <w:t>For</w:t>
      </w:r>
      <w:r>
        <w:rPr>
          <w:spacing w:val="-4"/>
          <w:sz w:val="16"/>
        </w:rPr>
        <w:t> </w:t>
      </w:r>
      <w:r>
        <w:rPr>
          <w:sz w:val="16"/>
        </w:rPr>
        <w:t>details</w:t>
      </w:r>
      <w:r>
        <w:rPr>
          <w:spacing w:val="-3"/>
          <w:sz w:val="16"/>
        </w:rPr>
        <w:t> </w:t>
      </w:r>
      <w:r>
        <w:rPr>
          <w:sz w:val="16"/>
        </w:rPr>
        <w:t>on</w:t>
      </w:r>
      <w:r>
        <w:rPr>
          <w:spacing w:val="-2"/>
          <w:sz w:val="16"/>
        </w:rPr>
        <w:t> </w:t>
      </w:r>
      <w:r>
        <w:rPr>
          <w:sz w:val="16"/>
        </w:rPr>
        <w:t>the</w:t>
      </w:r>
      <w:r>
        <w:rPr>
          <w:spacing w:val="-3"/>
          <w:sz w:val="16"/>
        </w:rPr>
        <w:t> </w:t>
      </w:r>
      <w:r>
        <w:rPr>
          <w:sz w:val="16"/>
        </w:rPr>
        <w:t>staffing</w:t>
      </w:r>
      <w:r>
        <w:rPr>
          <w:spacing w:val="-2"/>
          <w:sz w:val="16"/>
        </w:rPr>
        <w:t> </w:t>
      </w:r>
      <w:r>
        <w:rPr>
          <w:sz w:val="16"/>
        </w:rPr>
        <w:t>changes,</w:t>
      </w:r>
      <w:r>
        <w:rPr>
          <w:spacing w:val="-4"/>
          <w:sz w:val="16"/>
        </w:rPr>
        <w:t> </w:t>
      </w:r>
      <w:r>
        <w:rPr>
          <w:sz w:val="16"/>
        </w:rPr>
        <w:t>please</w:t>
      </w:r>
      <w:r>
        <w:rPr>
          <w:spacing w:val="-3"/>
          <w:sz w:val="16"/>
        </w:rPr>
        <w:t> </w:t>
      </w:r>
      <w:r>
        <w:rPr>
          <w:sz w:val="16"/>
        </w:rPr>
        <w:t>refer</w:t>
      </w:r>
      <w:r>
        <w:rPr>
          <w:spacing w:val="-3"/>
          <w:sz w:val="16"/>
        </w:rPr>
        <w:t> </w:t>
      </w:r>
      <w:r>
        <w:rPr>
          <w:sz w:val="16"/>
        </w:rPr>
        <w:t>to</w:t>
      </w:r>
      <w:r>
        <w:rPr>
          <w:spacing w:val="-2"/>
          <w:sz w:val="16"/>
        </w:rPr>
        <w:t> </w:t>
      </w:r>
      <w:r>
        <w:rPr>
          <w:sz w:val="16"/>
        </w:rPr>
        <w:t>the</w:t>
      </w:r>
      <w:r>
        <w:rPr>
          <w:spacing w:val="-3"/>
          <w:sz w:val="16"/>
        </w:rPr>
        <w:t> </w:t>
      </w:r>
      <w:r>
        <w:rPr>
          <w:sz w:val="16"/>
        </w:rPr>
        <w:t>staffing</w:t>
      </w:r>
      <w:r>
        <w:rPr>
          <w:spacing w:val="-1"/>
          <w:sz w:val="16"/>
        </w:rPr>
        <w:t> </w:t>
      </w:r>
      <w:r>
        <w:rPr>
          <w:sz w:val="16"/>
        </w:rPr>
        <w:t>tables</w:t>
      </w:r>
      <w:r>
        <w:rPr>
          <w:spacing w:val="-4"/>
          <w:sz w:val="16"/>
        </w:rPr>
        <w:t> </w:t>
      </w:r>
      <w:r>
        <w:rPr>
          <w:sz w:val="16"/>
        </w:rPr>
        <w:t>in</w:t>
      </w:r>
      <w:r>
        <w:rPr>
          <w:spacing w:val="-2"/>
          <w:sz w:val="16"/>
        </w:rPr>
        <w:t> </w:t>
      </w:r>
      <w:r>
        <w:rPr>
          <w:sz w:val="16"/>
        </w:rPr>
        <w:t>each</w:t>
      </w:r>
      <w:r>
        <w:rPr>
          <w:spacing w:val="-2"/>
          <w:sz w:val="16"/>
        </w:rPr>
        <w:t> Programme.</w:t>
      </w:r>
    </w:p>
    <w:p>
      <w:pPr>
        <w:spacing w:line="183" w:lineRule="exact" w:before="0"/>
        <w:ind w:left="2246" w:right="0" w:firstLine="0"/>
        <w:jc w:val="left"/>
        <w:rPr>
          <w:sz w:val="16"/>
        </w:rPr>
      </w:pPr>
      <w:r>
        <w:rPr>
          <w:position w:val="5"/>
          <w:sz w:val="10"/>
        </w:rPr>
        <w:t>36</w:t>
      </w:r>
      <w:r>
        <w:rPr>
          <w:spacing w:val="15"/>
          <w:position w:val="5"/>
          <w:sz w:val="10"/>
        </w:rPr>
        <w:t> </w:t>
      </w:r>
      <w:r>
        <w:rPr>
          <w:sz w:val="16"/>
        </w:rPr>
        <w:t>See paragraphs:</w:t>
      </w:r>
      <w:r>
        <w:rPr>
          <w:spacing w:val="-1"/>
          <w:sz w:val="16"/>
        </w:rPr>
        <w:t> </w:t>
      </w:r>
      <w:r>
        <w:rPr>
          <w:sz w:val="16"/>
        </w:rPr>
        <w:t>255-260,</w:t>
      </w:r>
      <w:r>
        <w:rPr>
          <w:spacing w:val="-3"/>
          <w:sz w:val="16"/>
        </w:rPr>
        <w:t> </w:t>
      </w:r>
      <w:r>
        <w:rPr>
          <w:sz w:val="16"/>
        </w:rPr>
        <w:t>262-264,</w:t>
      </w:r>
      <w:r>
        <w:rPr>
          <w:spacing w:val="-3"/>
          <w:sz w:val="16"/>
        </w:rPr>
        <w:t> </w:t>
      </w:r>
      <w:r>
        <w:rPr>
          <w:sz w:val="16"/>
        </w:rPr>
        <w:t>274,</w:t>
      </w:r>
      <w:r>
        <w:rPr>
          <w:spacing w:val="-3"/>
          <w:sz w:val="16"/>
        </w:rPr>
        <w:t> </w:t>
      </w:r>
      <w:r>
        <w:rPr>
          <w:sz w:val="16"/>
        </w:rPr>
        <w:t>282-</w:t>
      </w:r>
      <w:r>
        <w:rPr>
          <w:spacing w:val="-4"/>
          <w:sz w:val="16"/>
        </w:rPr>
        <w:t>286.</w:t>
      </w:r>
    </w:p>
    <w:p>
      <w:pPr>
        <w:spacing w:after="0" w:line="183" w:lineRule="exact"/>
        <w:jc w:val="left"/>
        <w:rPr>
          <w:sz w:val="16"/>
        </w:rPr>
        <w:sectPr>
          <w:pgSz w:w="11910" w:h="16840"/>
          <w:pgMar w:header="953" w:footer="940" w:top="1140" w:bottom="1140" w:left="20" w:right="20"/>
        </w:sectPr>
      </w:pPr>
    </w:p>
    <w:p>
      <w:pPr>
        <w:pStyle w:val="ListParagraph"/>
        <w:numPr>
          <w:ilvl w:val="0"/>
          <w:numId w:val="4"/>
        </w:numPr>
        <w:tabs>
          <w:tab w:pos="2967" w:val="left" w:leader="none"/>
        </w:tabs>
        <w:spacing w:line="240" w:lineRule="auto" w:before="120" w:after="0"/>
        <w:ind w:left="2246" w:right="2243" w:firstLine="0"/>
        <w:jc w:val="both"/>
        <w:rPr>
          <w:sz w:val="20"/>
        </w:rPr>
      </w:pPr>
      <w:r>
        <w:rPr>
          <w:sz w:val="20"/>
        </w:rPr>
        <w:t>The</w:t>
      </w:r>
      <w:r>
        <w:rPr>
          <w:spacing w:val="-3"/>
          <w:sz w:val="20"/>
        </w:rPr>
        <w:t> </w:t>
      </w:r>
      <w:r>
        <w:rPr>
          <w:sz w:val="20"/>
        </w:rPr>
        <w:t>linguistic skills</w:t>
      </w:r>
      <w:r>
        <w:rPr>
          <w:spacing w:val="-1"/>
          <w:sz w:val="20"/>
        </w:rPr>
        <w:t> </w:t>
      </w:r>
      <w:r>
        <w:rPr>
          <w:sz w:val="20"/>
        </w:rPr>
        <w:t>needed</w:t>
      </w:r>
      <w:r>
        <w:rPr>
          <w:spacing w:val="-5"/>
          <w:sz w:val="20"/>
        </w:rPr>
        <w:t> </w:t>
      </w:r>
      <w:r>
        <w:rPr>
          <w:sz w:val="20"/>
        </w:rPr>
        <w:t>to support the investigative and</w:t>
      </w:r>
      <w:r>
        <w:rPr>
          <w:spacing w:val="-5"/>
          <w:sz w:val="20"/>
        </w:rPr>
        <w:t> </w:t>
      </w:r>
      <w:r>
        <w:rPr>
          <w:sz w:val="20"/>
        </w:rPr>
        <w:t>prosecutorial activities foreseen in 2023 represent a further major cost driver. Translators, transcribers and field interpreters who work with sufficient standard languages involved in the current and new investigations are essential in supporting the overall work of the Office, in particular as it seeks to enhance its field-based presence.</w:t>
      </w:r>
    </w:p>
    <w:p>
      <w:pPr>
        <w:pStyle w:val="ListParagraph"/>
        <w:numPr>
          <w:ilvl w:val="0"/>
          <w:numId w:val="4"/>
        </w:numPr>
        <w:tabs>
          <w:tab w:pos="2967" w:val="left" w:leader="none"/>
        </w:tabs>
        <w:spacing w:line="240" w:lineRule="auto" w:before="123" w:after="0"/>
        <w:ind w:left="2246" w:right="2249" w:firstLine="0"/>
        <w:jc w:val="both"/>
        <w:rPr>
          <w:sz w:val="20"/>
        </w:rPr>
      </w:pPr>
      <w:r>
        <w:rPr>
          <w:sz w:val="20"/>
        </w:rPr>
        <w:t>As</w:t>
      </w:r>
      <w:r>
        <w:rPr>
          <w:spacing w:val="-9"/>
          <w:sz w:val="20"/>
        </w:rPr>
        <w:t> </w:t>
      </w:r>
      <w:r>
        <w:rPr>
          <w:sz w:val="20"/>
        </w:rPr>
        <w:t>per</w:t>
      </w:r>
      <w:r>
        <w:rPr>
          <w:spacing w:val="-10"/>
          <w:sz w:val="20"/>
        </w:rPr>
        <w:t> </w:t>
      </w:r>
      <w:r>
        <w:rPr>
          <w:sz w:val="20"/>
        </w:rPr>
        <w:t>consolidated</w:t>
      </w:r>
      <w:r>
        <w:rPr>
          <w:spacing w:val="-10"/>
          <w:sz w:val="20"/>
        </w:rPr>
        <w:t> </w:t>
      </w:r>
      <w:r>
        <w:rPr>
          <w:sz w:val="20"/>
        </w:rPr>
        <w:t>practice,</w:t>
      </w:r>
      <w:r>
        <w:rPr>
          <w:spacing w:val="-8"/>
          <w:sz w:val="20"/>
        </w:rPr>
        <w:t> </w:t>
      </w:r>
      <w:r>
        <w:rPr>
          <w:sz w:val="20"/>
        </w:rPr>
        <w:t>the</w:t>
      </w:r>
      <w:r>
        <w:rPr>
          <w:spacing w:val="-9"/>
          <w:sz w:val="20"/>
        </w:rPr>
        <w:t> </w:t>
      </w:r>
      <w:r>
        <w:rPr>
          <w:sz w:val="20"/>
        </w:rPr>
        <w:t>specialized</w:t>
      </w:r>
      <w:r>
        <w:rPr>
          <w:spacing w:val="-10"/>
          <w:sz w:val="20"/>
        </w:rPr>
        <w:t> </w:t>
      </w:r>
      <w:r>
        <w:rPr>
          <w:sz w:val="20"/>
        </w:rPr>
        <w:t>unit</w:t>
      </w:r>
      <w:r>
        <w:rPr>
          <w:spacing w:val="-13"/>
          <w:sz w:val="20"/>
        </w:rPr>
        <w:t> </w:t>
      </w:r>
      <w:r>
        <w:rPr>
          <w:sz w:val="20"/>
        </w:rPr>
        <w:t>in</w:t>
      </w:r>
      <w:r>
        <w:rPr>
          <w:spacing w:val="-9"/>
          <w:sz w:val="20"/>
        </w:rPr>
        <w:t> </w:t>
      </w:r>
      <w:r>
        <w:rPr>
          <w:sz w:val="20"/>
        </w:rPr>
        <w:t>the</w:t>
      </w:r>
      <w:r>
        <w:rPr>
          <w:spacing w:val="-9"/>
          <w:sz w:val="20"/>
        </w:rPr>
        <w:t> </w:t>
      </w:r>
      <w:r>
        <w:rPr>
          <w:sz w:val="20"/>
        </w:rPr>
        <w:t>Office,</w:t>
      </w:r>
      <w:r>
        <w:rPr>
          <w:spacing w:val="-8"/>
          <w:sz w:val="20"/>
        </w:rPr>
        <w:t> </w:t>
      </w:r>
      <w:r>
        <w:rPr>
          <w:sz w:val="20"/>
        </w:rPr>
        <w:t>that</w:t>
      </w:r>
      <w:r>
        <w:rPr>
          <w:spacing w:val="-13"/>
          <w:sz w:val="20"/>
        </w:rPr>
        <w:t> </w:t>
      </w:r>
      <w:r>
        <w:rPr>
          <w:sz w:val="20"/>
        </w:rPr>
        <w:t>is,</w:t>
      </w:r>
      <w:r>
        <w:rPr>
          <w:spacing w:val="-12"/>
          <w:sz w:val="20"/>
        </w:rPr>
        <w:t> </w:t>
      </w:r>
      <w:r>
        <w:rPr>
          <w:sz w:val="20"/>
        </w:rPr>
        <w:t>the</w:t>
      </w:r>
      <w:r>
        <w:rPr>
          <w:spacing w:val="-13"/>
          <w:sz w:val="20"/>
        </w:rPr>
        <w:t> </w:t>
      </w:r>
      <w:r>
        <w:rPr>
          <w:sz w:val="20"/>
        </w:rPr>
        <w:t>Language Services Unit, is requesting the necessary profiles to be hired through GTA funds to maximize the flexible use of resources. Wherever possible, the OTP and the Registry will jointly conduct the recruitment of such profiles to ensure a common roster is created and potential synergies can be exploited.</w:t>
      </w:r>
    </w:p>
    <w:p>
      <w:pPr>
        <w:pStyle w:val="ListParagraph"/>
        <w:numPr>
          <w:ilvl w:val="0"/>
          <w:numId w:val="4"/>
        </w:numPr>
        <w:tabs>
          <w:tab w:pos="2967" w:val="left" w:leader="none"/>
        </w:tabs>
        <w:spacing w:line="240" w:lineRule="auto" w:before="117" w:after="0"/>
        <w:ind w:left="2246" w:right="2236" w:firstLine="0"/>
        <w:jc w:val="both"/>
        <w:rPr>
          <w:sz w:val="20"/>
        </w:rPr>
      </w:pPr>
      <w:r>
        <w:rPr>
          <w:sz w:val="20"/>
        </w:rPr>
        <w:t>The</w:t>
      </w:r>
      <w:r>
        <w:rPr>
          <w:spacing w:val="-2"/>
          <w:sz w:val="20"/>
        </w:rPr>
        <w:t> </w:t>
      </w:r>
      <w:r>
        <w:rPr>
          <w:sz w:val="20"/>
        </w:rPr>
        <w:t>technological</w:t>
      </w:r>
      <w:r>
        <w:rPr>
          <w:spacing w:val="-2"/>
          <w:sz w:val="20"/>
        </w:rPr>
        <w:t> </w:t>
      </w:r>
      <w:r>
        <w:rPr>
          <w:sz w:val="20"/>
        </w:rPr>
        <w:t>transition</w:t>
      </w:r>
      <w:r>
        <w:rPr>
          <w:spacing w:val="-4"/>
          <w:sz w:val="20"/>
        </w:rPr>
        <w:t> </w:t>
      </w:r>
      <w:r>
        <w:rPr>
          <w:sz w:val="20"/>
        </w:rPr>
        <w:t>in</w:t>
      </w:r>
      <w:r>
        <w:rPr>
          <w:spacing w:val="-4"/>
          <w:sz w:val="20"/>
        </w:rPr>
        <w:t> </w:t>
      </w:r>
      <w:r>
        <w:rPr>
          <w:sz w:val="20"/>
        </w:rPr>
        <w:t>the</w:t>
      </w:r>
      <w:r>
        <w:rPr>
          <w:spacing w:val="-2"/>
          <w:sz w:val="20"/>
        </w:rPr>
        <w:t> </w:t>
      </w:r>
      <w:r>
        <w:rPr>
          <w:sz w:val="20"/>
        </w:rPr>
        <w:t>Office</w:t>
      </w:r>
      <w:r>
        <w:rPr>
          <w:spacing w:val="-2"/>
          <w:sz w:val="20"/>
        </w:rPr>
        <w:t> </w:t>
      </w:r>
      <w:r>
        <w:rPr>
          <w:sz w:val="20"/>
        </w:rPr>
        <w:t>represents</w:t>
      </w:r>
      <w:r>
        <w:rPr>
          <w:spacing w:val="-5"/>
          <w:sz w:val="20"/>
        </w:rPr>
        <w:t> </w:t>
      </w:r>
      <w:r>
        <w:rPr>
          <w:sz w:val="20"/>
        </w:rPr>
        <w:t>another</w:t>
      </w:r>
      <w:r>
        <w:rPr>
          <w:spacing w:val="-8"/>
          <w:sz w:val="20"/>
        </w:rPr>
        <w:t> </w:t>
      </w:r>
      <w:r>
        <w:rPr>
          <w:sz w:val="20"/>
        </w:rPr>
        <w:t>cost</w:t>
      </w:r>
      <w:r>
        <w:rPr>
          <w:spacing w:val="-2"/>
          <w:sz w:val="20"/>
        </w:rPr>
        <w:t> </w:t>
      </w:r>
      <w:r>
        <w:rPr>
          <w:sz w:val="20"/>
        </w:rPr>
        <w:t>driver</w:t>
      </w:r>
      <w:r>
        <w:rPr>
          <w:spacing w:val="-8"/>
          <w:sz w:val="20"/>
        </w:rPr>
        <w:t> </w:t>
      </w:r>
      <w:r>
        <w:rPr>
          <w:sz w:val="20"/>
        </w:rPr>
        <w:t>in</w:t>
      </w:r>
      <w:r>
        <w:rPr>
          <w:spacing w:val="-4"/>
          <w:sz w:val="20"/>
        </w:rPr>
        <w:t> </w:t>
      </w:r>
      <w:r>
        <w:rPr>
          <w:sz w:val="20"/>
        </w:rPr>
        <w:t>the</w:t>
      </w:r>
      <w:r>
        <w:rPr>
          <w:spacing w:val="-2"/>
          <w:sz w:val="20"/>
        </w:rPr>
        <w:t> </w:t>
      </w:r>
      <w:r>
        <w:rPr>
          <w:sz w:val="20"/>
        </w:rPr>
        <w:t>2023 PPB. The modernization of the OTP’s information systems will be funded largely through the voluntary contributions pledged in 2022. However, the upgraded systems will require a limited</w:t>
      </w:r>
      <w:r>
        <w:rPr>
          <w:spacing w:val="-8"/>
          <w:sz w:val="20"/>
        </w:rPr>
        <w:t> </w:t>
      </w:r>
      <w:r>
        <w:rPr>
          <w:sz w:val="20"/>
        </w:rPr>
        <w:t>number</w:t>
      </w:r>
      <w:r>
        <w:rPr>
          <w:spacing w:val="-7"/>
          <w:sz w:val="20"/>
        </w:rPr>
        <w:t> </w:t>
      </w:r>
      <w:r>
        <w:rPr>
          <w:sz w:val="20"/>
        </w:rPr>
        <w:t>of</w:t>
      </w:r>
      <w:r>
        <w:rPr>
          <w:spacing w:val="-8"/>
          <w:sz w:val="20"/>
        </w:rPr>
        <w:t> </w:t>
      </w:r>
      <w:r>
        <w:rPr>
          <w:sz w:val="20"/>
        </w:rPr>
        <w:t>internal</w:t>
      </w:r>
      <w:r>
        <w:rPr>
          <w:spacing w:val="-7"/>
          <w:sz w:val="20"/>
        </w:rPr>
        <w:t> </w:t>
      </w:r>
      <w:r>
        <w:rPr>
          <w:sz w:val="20"/>
        </w:rPr>
        <w:t>staff</w:t>
      </w:r>
      <w:r>
        <w:rPr>
          <w:spacing w:val="-3"/>
          <w:sz w:val="20"/>
        </w:rPr>
        <w:t> </w:t>
      </w:r>
      <w:r>
        <w:rPr>
          <w:sz w:val="20"/>
        </w:rPr>
        <w:t>with</w:t>
      </w:r>
      <w:r>
        <w:rPr>
          <w:spacing w:val="-8"/>
          <w:sz w:val="20"/>
        </w:rPr>
        <w:t> </w:t>
      </w:r>
      <w:r>
        <w:rPr>
          <w:sz w:val="20"/>
        </w:rPr>
        <w:t>the</w:t>
      </w:r>
      <w:r>
        <w:rPr>
          <w:spacing w:val="-2"/>
          <w:sz w:val="20"/>
        </w:rPr>
        <w:t> </w:t>
      </w:r>
      <w:r>
        <w:rPr>
          <w:sz w:val="20"/>
        </w:rPr>
        <w:t>dedicated responsibility</w:t>
      </w:r>
      <w:r>
        <w:rPr>
          <w:spacing w:val="-8"/>
          <w:sz w:val="20"/>
        </w:rPr>
        <w:t> </w:t>
      </w:r>
      <w:r>
        <w:rPr>
          <w:sz w:val="20"/>
        </w:rPr>
        <w:t>to</w:t>
      </w:r>
      <w:r>
        <w:rPr>
          <w:spacing w:val="-8"/>
          <w:sz w:val="20"/>
        </w:rPr>
        <w:t> </w:t>
      </w:r>
      <w:r>
        <w:rPr>
          <w:sz w:val="20"/>
        </w:rPr>
        <w:t>manage</w:t>
      </w:r>
      <w:r>
        <w:rPr>
          <w:spacing w:val="-7"/>
          <w:sz w:val="20"/>
        </w:rPr>
        <w:t> </w:t>
      </w:r>
      <w:r>
        <w:rPr>
          <w:sz w:val="20"/>
        </w:rPr>
        <w:t>and</w:t>
      </w:r>
      <w:r>
        <w:rPr>
          <w:spacing w:val="-8"/>
          <w:sz w:val="20"/>
        </w:rPr>
        <w:t> </w:t>
      </w:r>
      <w:r>
        <w:rPr>
          <w:sz w:val="20"/>
        </w:rPr>
        <w:t>maintain</w:t>
      </w:r>
      <w:r>
        <w:rPr>
          <w:spacing w:val="-8"/>
          <w:sz w:val="20"/>
        </w:rPr>
        <w:t> </w:t>
      </w:r>
      <w:r>
        <w:rPr>
          <w:sz w:val="20"/>
        </w:rPr>
        <w:t>the new tools now being put in place. It is considered that the establishment of an eDiscovery and Data Analysis Unit within the Information, Knowledge and Evidence Management Section will be critical in ensuring the long-term sustainable impact of this moment of modernisation. Wherever possible, existing positions with skills that are no longer required have been discontinued to limit the financial impact.</w:t>
      </w:r>
    </w:p>
    <w:p>
      <w:pPr>
        <w:pStyle w:val="ListParagraph"/>
        <w:numPr>
          <w:ilvl w:val="0"/>
          <w:numId w:val="4"/>
        </w:numPr>
        <w:tabs>
          <w:tab w:pos="2967" w:val="left" w:leader="none"/>
        </w:tabs>
        <w:spacing w:line="240" w:lineRule="auto" w:before="125" w:after="0"/>
        <w:ind w:left="2246" w:right="2242" w:firstLine="0"/>
        <w:jc w:val="both"/>
        <w:rPr>
          <w:sz w:val="20"/>
        </w:rPr>
      </w:pPr>
      <w:r>
        <w:rPr>
          <w:sz w:val="20"/>
        </w:rPr>
        <w:t>Details</w:t>
      </w:r>
      <w:r>
        <w:rPr>
          <w:spacing w:val="-6"/>
          <w:sz w:val="20"/>
        </w:rPr>
        <w:t> </w:t>
      </w:r>
      <w:r>
        <w:rPr>
          <w:sz w:val="20"/>
        </w:rPr>
        <w:t>on</w:t>
      </w:r>
      <w:r>
        <w:rPr>
          <w:spacing w:val="-5"/>
          <w:sz w:val="20"/>
        </w:rPr>
        <w:t> </w:t>
      </w:r>
      <w:r>
        <w:rPr>
          <w:sz w:val="20"/>
        </w:rPr>
        <w:t>the</w:t>
      </w:r>
      <w:r>
        <w:rPr>
          <w:spacing w:val="-6"/>
          <w:sz w:val="20"/>
        </w:rPr>
        <w:t> </w:t>
      </w:r>
      <w:r>
        <w:rPr>
          <w:sz w:val="20"/>
        </w:rPr>
        <w:t>eDiscovery</w:t>
      </w:r>
      <w:r>
        <w:rPr>
          <w:spacing w:val="-8"/>
          <w:sz w:val="20"/>
        </w:rPr>
        <w:t> </w:t>
      </w:r>
      <w:r>
        <w:rPr>
          <w:sz w:val="20"/>
        </w:rPr>
        <w:t>and</w:t>
      </w:r>
      <w:r>
        <w:rPr>
          <w:spacing w:val="-5"/>
          <w:sz w:val="20"/>
        </w:rPr>
        <w:t> </w:t>
      </w:r>
      <w:r>
        <w:rPr>
          <w:sz w:val="20"/>
        </w:rPr>
        <w:t>Data</w:t>
      </w:r>
      <w:r>
        <w:rPr>
          <w:spacing w:val="-3"/>
          <w:sz w:val="20"/>
        </w:rPr>
        <w:t> </w:t>
      </w:r>
      <w:r>
        <w:rPr>
          <w:sz w:val="20"/>
        </w:rPr>
        <w:t>Analysis</w:t>
      </w:r>
      <w:r>
        <w:rPr>
          <w:spacing w:val="-6"/>
          <w:sz w:val="20"/>
        </w:rPr>
        <w:t> </w:t>
      </w:r>
      <w:r>
        <w:rPr>
          <w:sz w:val="20"/>
        </w:rPr>
        <w:t>Unit</w:t>
      </w:r>
      <w:r>
        <w:rPr>
          <w:spacing w:val="-8"/>
          <w:sz w:val="20"/>
        </w:rPr>
        <w:t> </w:t>
      </w:r>
      <w:r>
        <w:rPr>
          <w:sz w:val="20"/>
        </w:rPr>
        <w:t>can</w:t>
      </w:r>
      <w:r>
        <w:rPr>
          <w:spacing w:val="-5"/>
          <w:sz w:val="20"/>
        </w:rPr>
        <w:t> </w:t>
      </w:r>
      <w:r>
        <w:rPr>
          <w:sz w:val="20"/>
        </w:rPr>
        <w:t>be</w:t>
      </w:r>
      <w:r>
        <w:rPr>
          <w:spacing w:val="-3"/>
          <w:sz w:val="20"/>
        </w:rPr>
        <w:t> </w:t>
      </w:r>
      <w:r>
        <w:rPr>
          <w:sz w:val="20"/>
        </w:rPr>
        <w:t>found</w:t>
      </w:r>
      <w:r>
        <w:rPr>
          <w:spacing w:val="-5"/>
          <w:sz w:val="20"/>
        </w:rPr>
        <w:t> </w:t>
      </w:r>
      <w:r>
        <w:rPr>
          <w:sz w:val="20"/>
        </w:rPr>
        <w:t>in</w:t>
      </w:r>
      <w:r>
        <w:rPr>
          <w:spacing w:val="-9"/>
          <w:sz w:val="20"/>
        </w:rPr>
        <w:t> </w:t>
      </w:r>
      <w:r>
        <w:rPr>
          <w:sz w:val="20"/>
        </w:rPr>
        <w:t>the</w:t>
      </w:r>
      <w:r>
        <w:rPr>
          <w:spacing w:val="-3"/>
          <w:sz w:val="20"/>
        </w:rPr>
        <w:t> </w:t>
      </w:r>
      <w:r>
        <w:rPr>
          <w:sz w:val="20"/>
        </w:rPr>
        <w:t>section</w:t>
      </w:r>
      <w:r>
        <w:rPr>
          <w:spacing w:val="-9"/>
          <w:sz w:val="20"/>
        </w:rPr>
        <w:t> </w:t>
      </w:r>
      <w:r>
        <w:rPr>
          <w:sz w:val="20"/>
        </w:rPr>
        <w:t>of</w:t>
      </w:r>
      <w:r>
        <w:rPr>
          <w:spacing w:val="-5"/>
          <w:sz w:val="20"/>
        </w:rPr>
        <w:t> </w:t>
      </w:r>
      <w:r>
        <w:rPr>
          <w:sz w:val="20"/>
        </w:rPr>
        <w:t>the budget</w:t>
      </w:r>
      <w:r>
        <w:rPr>
          <w:spacing w:val="-13"/>
          <w:sz w:val="20"/>
        </w:rPr>
        <w:t> </w:t>
      </w:r>
      <w:r>
        <w:rPr>
          <w:sz w:val="20"/>
        </w:rPr>
        <w:t>narrative</w:t>
      </w:r>
      <w:r>
        <w:rPr>
          <w:spacing w:val="-12"/>
          <w:sz w:val="20"/>
        </w:rPr>
        <w:t> </w:t>
      </w:r>
      <w:r>
        <w:rPr>
          <w:sz w:val="20"/>
        </w:rPr>
        <w:t>that</w:t>
      </w:r>
      <w:r>
        <w:rPr>
          <w:spacing w:val="-15"/>
          <w:sz w:val="20"/>
        </w:rPr>
        <w:t> </w:t>
      </w:r>
      <w:r>
        <w:rPr>
          <w:sz w:val="20"/>
        </w:rPr>
        <w:t>explains</w:t>
      </w:r>
      <w:r>
        <w:rPr>
          <w:spacing w:val="-14"/>
          <w:sz w:val="20"/>
        </w:rPr>
        <w:t> </w:t>
      </w:r>
      <w:r>
        <w:rPr>
          <w:sz w:val="20"/>
        </w:rPr>
        <w:t>the</w:t>
      </w:r>
      <w:r>
        <w:rPr>
          <w:spacing w:val="-13"/>
          <w:sz w:val="20"/>
        </w:rPr>
        <w:t> </w:t>
      </w:r>
      <w:r>
        <w:rPr>
          <w:sz w:val="20"/>
        </w:rPr>
        <w:t>Integrated</w:t>
      </w:r>
      <w:r>
        <w:rPr>
          <w:spacing w:val="-12"/>
          <w:sz w:val="20"/>
        </w:rPr>
        <w:t> </w:t>
      </w:r>
      <w:r>
        <w:rPr>
          <w:sz w:val="20"/>
        </w:rPr>
        <w:t>Services</w:t>
      </w:r>
      <w:r>
        <w:rPr>
          <w:spacing w:val="-14"/>
          <w:sz w:val="20"/>
        </w:rPr>
        <w:t> </w:t>
      </w:r>
      <w:r>
        <w:rPr>
          <w:sz w:val="20"/>
        </w:rPr>
        <w:t>Division’s</w:t>
      </w:r>
      <w:r>
        <w:rPr>
          <w:spacing w:val="-14"/>
          <w:sz w:val="20"/>
        </w:rPr>
        <w:t> </w:t>
      </w:r>
      <w:r>
        <w:rPr>
          <w:sz w:val="20"/>
        </w:rPr>
        <w:t>(Programme</w:t>
      </w:r>
      <w:r>
        <w:rPr>
          <w:spacing w:val="-13"/>
          <w:sz w:val="20"/>
        </w:rPr>
        <w:t> </w:t>
      </w:r>
      <w:r>
        <w:rPr>
          <w:sz w:val="20"/>
        </w:rPr>
        <w:t>2800)</w:t>
      </w:r>
      <w:r>
        <w:rPr>
          <w:spacing w:val="-12"/>
          <w:sz w:val="20"/>
        </w:rPr>
        <w:t> </w:t>
      </w:r>
      <w:r>
        <w:rPr>
          <w:sz w:val="20"/>
        </w:rPr>
        <w:t>proposal.</w:t>
      </w:r>
    </w:p>
    <w:p>
      <w:pPr>
        <w:pStyle w:val="BodyText"/>
        <w:spacing w:before="11"/>
      </w:pPr>
    </w:p>
    <w:p>
      <w:pPr>
        <w:pStyle w:val="Heading3"/>
      </w:pPr>
      <w:r>
        <w:rPr/>
        <w:t>Non-Staff</w:t>
      </w:r>
      <w:r>
        <w:rPr>
          <w:spacing w:val="-4"/>
        </w:rPr>
        <w:t> </w:t>
      </w:r>
      <w:r>
        <w:rPr>
          <w:spacing w:val="-2"/>
        </w:rPr>
        <w:t>Costs</w:t>
      </w:r>
    </w:p>
    <w:p>
      <w:pPr>
        <w:pStyle w:val="BodyText"/>
        <w:spacing w:before="5"/>
        <w:rPr>
          <w:b/>
        </w:rPr>
      </w:pPr>
    </w:p>
    <w:p>
      <w:pPr>
        <w:pStyle w:val="ListParagraph"/>
        <w:numPr>
          <w:ilvl w:val="0"/>
          <w:numId w:val="4"/>
        </w:numPr>
        <w:tabs>
          <w:tab w:pos="2967" w:val="left" w:leader="none"/>
        </w:tabs>
        <w:spacing w:line="240" w:lineRule="auto" w:before="0" w:after="0"/>
        <w:ind w:left="2246" w:right="2240" w:firstLine="0"/>
        <w:jc w:val="both"/>
        <w:rPr>
          <w:sz w:val="20"/>
        </w:rPr>
      </w:pPr>
      <w:r>
        <w:rPr>
          <w:sz w:val="20"/>
        </w:rPr>
        <w:t>The significant increase in workload of the Office is also reflected in the non-staff costs</w:t>
      </w:r>
      <w:r>
        <w:rPr>
          <w:spacing w:val="-1"/>
          <w:sz w:val="20"/>
        </w:rPr>
        <w:t> </w:t>
      </w:r>
      <w:r>
        <w:rPr>
          <w:sz w:val="20"/>
        </w:rPr>
        <w:t>anticipated in the budget proposal for 2023. Increases</w:t>
      </w:r>
      <w:r>
        <w:rPr>
          <w:spacing w:val="-1"/>
          <w:sz w:val="20"/>
        </w:rPr>
        <w:t> </w:t>
      </w:r>
      <w:r>
        <w:rPr>
          <w:sz w:val="20"/>
        </w:rPr>
        <w:t>are projected in areas including travel and language services, despite a series of measures having been taken to reduce the need for the Office to seek additional resources.</w:t>
      </w:r>
    </w:p>
    <w:p>
      <w:pPr>
        <w:pStyle w:val="ListParagraph"/>
        <w:numPr>
          <w:ilvl w:val="0"/>
          <w:numId w:val="4"/>
        </w:numPr>
        <w:tabs>
          <w:tab w:pos="2967" w:val="left" w:leader="none"/>
        </w:tabs>
        <w:spacing w:line="240" w:lineRule="auto" w:before="123" w:after="0"/>
        <w:ind w:left="2246" w:right="2240" w:firstLine="0"/>
        <w:jc w:val="both"/>
        <w:rPr>
          <w:sz w:val="20"/>
        </w:rPr>
      </w:pPr>
      <w:r>
        <w:rPr>
          <w:sz w:val="20"/>
        </w:rPr>
        <w:t>In</w:t>
      </w:r>
      <w:r>
        <w:rPr>
          <w:spacing w:val="-13"/>
          <w:sz w:val="20"/>
        </w:rPr>
        <w:t> </w:t>
      </w:r>
      <w:r>
        <w:rPr>
          <w:sz w:val="20"/>
        </w:rPr>
        <w:t>2023,</w:t>
      </w:r>
      <w:r>
        <w:rPr>
          <w:spacing w:val="-12"/>
          <w:sz w:val="20"/>
        </w:rPr>
        <w:t> </w:t>
      </w:r>
      <w:r>
        <w:rPr>
          <w:sz w:val="20"/>
        </w:rPr>
        <w:t>the</w:t>
      </w:r>
      <w:r>
        <w:rPr>
          <w:spacing w:val="-11"/>
          <w:sz w:val="20"/>
        </w:rPr>
        <w:t> </w:t>
      </w:r>
      <w:r>
        <w:rPr>
          <w:sz w:val="20"/>
        </w:rPr>
        <w:t>Office</w:t>
      </w:r>
      <w:r>
        <w:rPr>
          <w:spacing w:val="-7"/>
          <w:sz w:val="20"/>
        </w:rPr>
        <w:t> </w:t>
      </w:r>
      <w:r>
        <w:rPr>
          <w:sz w:val="20"/>
        </w:rPr>
        <w:t>will</w:t>
      </w:r>
      <w:r>
        <w:rPr>
          <w:spacing w:val="-13"/>
          <w:sz w:val="20"/>
        </w:rPr>
        <w:t> </w:t>
      </w:r>
      <w:r>
        <w:rPr>
          <w:sz w:val="20"/>
        </w:rPr>
        <w:t>continue</w:t>
      </w:r>
      <w:r>
        <w:rPr>
          <w:spacing w:val="-12"/>
          <w:sz w:val="20"/>
        </w:rPr>
        <w:t> </w:t>
      </w:r>
      <w:r>
        <w:rPr>
          <w:sz w:val="20"/>
        </w:rPr>
        <w:t>to</w:t>
      </w:r>
      <w:r>
        <w:rPr>
          <w:spacing w:val="-13"/>
          <w:sz w:val="20"/>
        </w:rPr>
        <w:t> </w:t>
      </w:r>
      <w:r>
        <w:rPr>
          <w:sz w:val="20"/>
        </w:rPr>
        <w:t>draw</w:t>
      </w:r>
      <w:r>
        <w:rPr>
          <w:spacing w:val="-12"/>
          <w:sz w:val="20"/>
        </w:rPr>
        <w:t> </w:t>
      </w:r>
      <w:r>
        <w:rPr>
          <w:sz w:val="20"/>
        </w:rPr>
        <w:t>on</w:t>
      </w:r>
      <w:r>
        <w:rPr>
          <w:spacing w:val="-13"/>
          <w:sz w:val="20"/>
        </w:rPr>
        <w:t> </w:t>
      </w:r>
      <w:r>
        <w:rPr>
          <w:sz w:val="20"/>
        </w:rPr>
        <w:t>the</w:t>
      </w:r>
      <w:r>
        <w:rPr>
          <w:spacing w:val="-12"/>
          <w:sz w:val="20"/>
        </w:rPr>
        <w:t> </w:t>
      </w:r>
      <w:r>
        <w:rPr>
          <w:sz w:val="20"/>
        </w:rPr>
        <w:t>lessons</w:t>
      </w:r>
      <w:r>
        <w:rPr>
          <w:spacing w:val="-13"/>
          <w:sz w:val="20"/>
        </w:rPr>
        <w:t> </w:t>
      </w:r>
      <w:r>
        <w:rPr>
          <w:sz w:val="20"/>
        </w:rPr>
        <w:t>learned</w:t>
      </w:r>
      <w:r>
        <w:rPr>
          <w:spacing w:val="-8"/>
          <w:sz w:val="20"/>
        </w:rPr>
        <w:t> </w:t>
      </w:r>
      <w:r>
        <w:rPr>
          <w:sz w:val="20"/>
        </w:rPr>
        <w:t>during</w:t>
      </w:r>
      <w:r>
        <w:rPr>
          <w:spacing w:val="-13"/>
          <w:sz w:val="20"/>
        </w:rPr>
        <w:t> </w:t>
      </w:r>
      <w:r>
        <w:rPr>
          <w:sz w:val="20"/>
        </w:rPr>
        <w:t>the</w:t>
      </w:r>
      <w:r>
        <w:rPr>
          <w:spacing w:val="-8"/>
          <w:sz w:val="20"/>
        </w:rPr>
        <w:t> </w:t>
      </w:r>
      <w:r>
        <w:rPr>
          <w:sz w:val="20"/>
        </w:rPr>
        <w:t>pandemic that have</w:t>
      </w:r>
      <w:r>
        <w:rPr>
          <w:spacing w:val="-2"/>
          <w:sz w:val="20"/>
        </w:rPr>
        <w:t> </w:t>
      </w:r>
      <w:r>
        <w:rPr>
          <w:sz w:val="20"/>
        </w:rPr>
        <w:t>allowed</w:t>
      </w:r>
      <w:r>
        <w:rPr>
          <w:spacing w:val="-4"/>
          <w:sz w:val="20"/>
        </w:rPr>
        <w:t> </w:t>
      </w:r>
      <w:r>
        <w:rPr>
          <w:sz w:val="20"/>
        </w:rPr>
        <w:t>it</w:t>
      </w:r>
      <w:r>
        <w:rPr>
          <w:spacing w:val="-2"/>
          <w:sz w:val="20"/>
        </w:rPr>
        <w:t> </w:t>
      </w:r>
      <w:r>
        <w:rPr>
          <w:sz w:val="20"/>
        </w:rPr>
        <w:t>to</w:t>
      </w:r>
      <w:r>
        <w:rPr>
          <w:spacing w:val="-4"/>
          <w:sz w:val="20"/>
        </w:rPr>
        <w:t> </w:t>
      </w:r>
      <w:r>
        <w:rPr>
          <w:sz w:val="20"/>
        </w:rPr>
        <w:t>maximize value for</w:t>
      </w:r>
      <w:r>
        <w:rPr>
          <w:spacing w:val="-3"/>
          <w:sz w:val="20"/>
        </w:rPr>
        <w:t> </w:t>
      </w:r>
      <w:r>
        <w:rPr>
          <w:sz w:val="20"/>
        </w:rPr>
        <w:t>money with respect to the</w:t>
      </w:r>
      <w:r>
        <w:rPr>
          <w:spacing w:val="-2"/>
          <w:sz w:val="20"/>
        </w:rPr>
        <w:t> </w:t>
      </w:r>
      <w:r>
        <w:rPr>
          <w:sz w:val="20"/>
        </w:rPr>
        <w:t>conduct of field-based missions</w:t>
      </w:r>
      <w:r>
        <w:rPr>
          <w:spacing w:val="-5"/>
          <w:sz w:val="20"/>
        </w:rPr>
        <w:t> </w:t>
      </w:r>
      <w:r>
        <w:rPr>
          <w:sz w:val="20"/>
        </w:rPr>
        <w:t>by</w:t>
      </w:r>
      <w:r>
        <w:rPr>
          <w:spacing w:val="-4"/>
          <w:sz w:val="20"/>
        </w:rPr>
        <w:t> </w:t>
      </w:r>
      <w:r>
        <w:rPr>
          <w:sz w:val="20"/>
        </w:rPr>
        <w:t>staff.</w:t>
      </w:r>
      <w:r>
        <w:rPr>
          <w:spacing w:val="-1"/>
          <w:sz w:val="20"/>
        </w:rPr>
        <w:t> </w:t>
      </w:r>
      <w:r>
        <w:rPr>
          <w:sz w:val="20"/>
        </w:rPr>
        <w:t>Measures</w:t>
      </w:r>
      <w:r>
        <w:rPr>
          <w:spacing w:val="-5"/>
          <w:sz w:val="20"/>
        </w:rPr>
        <w:t> </w:t>
      </w:r>
      <w:r>
        <w:rPr>
          <w:sz w:val="20"/>
        </w:rPr>
        <w:t>that will</w:t>
      </w:r>
      <w:r>
        <w:rPr>
          <w:spacing w:val="-2"/>
          <w:sz w:val="20"/>
        </w:rPr>
        <w:t> </w:t>
      </w:r>
      <w:r>
        <w:rPr>
          <w:sz w:val="20"/>
        </w:rPr>
        <w:t>assist</w:t>
      </w:r>
      <w:r>
        <w:rPr>
          <w:spacing w:val="-2"/>
          <w:sz w:val="20"/>
        </w:rPr>
        <w:t> </w:t>
      </w:r>
      <w:r>
        <w:rPr>
          <w:sz w:val="20"/>
        </w:rPr>
        <w:t>in</w:t>
      </w:r>
      <w:r>
        <w:rPr>
          <w:spacing w:val="-4"/>
          <w:sz w:val="20"/>
        </w:rPr>
        <w:t> </w:t>
      </w:r>
      <w:r>
        <w:rPr>
          <w:sz w:val="20"/>
        </w:rPr>
        <w:t>reducing</w:t>
      </w:r>
      <w:r>
        <w:rPr>
          <w:spacing w:val="-4"/>
          <w:sz w:val="20"/>
        </w:rPr>
        <w:t> </w:t>
      </w:r>
      <w:r>
        <w:rPr>
          <w:sz w:val="20"/>
        </w:rPr>
        <w:t>overall</w:t>
      </w:r>
      <w:r>
        <w:rPr>
          <w:spacing w:val="-2"/>
          <w:sz w:val="20"/>
        </w:rPr>
        <w:t> </w:t>
      </w:r>
      <w:r>
        <w:rPr>
          <w:sz w:val="20"/>
        </w:rPr>
        <w:t>travel</w:t>
      </w:r>
      <w:r>
        <w:rPr>
          <w:spacing w:val="-2"/>
          <w:sz w:val="20"/>
        </w:rPr>
        <w:t> </w:t>
      </w:r>
      <w:r>
        <w:rPr>
          <w:sz w:val="20"/>
        </w:rPr>
        <w:t>costs</w:t>
      </w:r>
      <w:r>
        <w:rPr>
          <w:spacing w:val="-5"/>
          <w:sz w:val="20"/>
        </w:rPr>
        <w:t> </w:t>
      </w:r>
      <w:r>
        <w:rPr>
          <w:sz w:val="20"/>
        </w:rPr>
        <w:t>include</w:t>
      </w:r>
      <w:r>
        <w:rPr>
          <w:spacing w:val="-2"/>
          <w:sz w:val="20"/>
        </w:rPr>
        <w:t> </w:t>
      </w:r>
      <w:r>
        <w:rPr>
          <w:sz w:val="20"/>
        </w:rPr>
        <w:t>increased utilization of video-assisted remote interviewing (Audio Video Link or AVL), increased presence</w:t>
      </w:r>
      <w:r>
        <w:rPr>
          <w:spacing w:val="-13"/>
          <w:sz w:val="20"/>
        </w:rPr>
        <w:t> </w:t>
      </w:r>
      <w:r>
        <w:rPr>
          <w:sz w:val="20"/>
        </w:rPr>
        <w:t>of</w:t>
      </w:r>
      <w:r>
        <w:rPr>
          <w:spacing w:val="-12"/>
          <w:sz w:val="20"/>
        </w:rPr>
        <w:t> </w:t>
      </w:r>
      <w:r>
        <w:rPr>
          <w:sz w:val="20"/>
        </w:rPr>
        <w:t>staff</w:t>
      </w:r>
      <w:r>
        <w:rPr>
          <w:spacing w:val="-13"/>
          <w:sz w:val="20"/>
        </w:rPr>
        <w:t> </w:t>
      </w:r>
      <w:r>
        <w:rPr>
          <w:sz w:val="20"/>
        </w:rPr>
        <w:t>in</w:t>
      </w:r>
      <w:r>
        <w:rPr>
          <w:spacing w:val="-12"/>
          <w:sz w:val="20"/>
        </w:rPr>
        <w:t> </w:t>
      </w:r>
      <w:r>
        <w:rPr>
          <w:sz w:val="20"/>
        </w:rPr>
        <w:t>the</w:t>
      </w:r>
      <w:r>
        <w:rPr>
          <w:spacing w:val="-13"/>
          <w:sz w:val="20"/>
        </w:rPr>
        <w:t> </w:t>
      </w:r>
      <w:r>
        <w:rPr>
          <w:sz w:val="20"/>
        </w:rPr>
        <w:t>field</w:t>
      </w:r>
      <w:r>
        <w:rPr>
          <w:spacing w:val="-12"/>
          <w:sz w:val="20"/>
        </w:rPr>
        <w:t> </w:t>
      </w:r>
      <w:r>
        <w:rPr>
          <w:sz w:val="20"/>
        </w:rPr>
        <w:t>on</w:t>
      </w:r>
      <w:r>
        <w:rPr>
          <w:spacing w:val="-13"/>
          <w:sz w:val="20"/>
        </w:rPr>
        <w:t> </w:t>
      </w:r>
      <w:r>
        <w:rPr>
          <w:sz w:val="20"/>
        </w:rPr>
        <w:t>a</w:t>
      </w:r>
      <w:r>
        <w:rPr>
          <w:spacing w:val="-12"/>
          <w:sz w:val="20"/>
        </w:rPr>
        <w:t> </w:t>
      </w:r>
      <w:r>
        <w:rPr>
          <w:sz w:val="20"/>
        </w:rPr>
        <w:t>long-term</w:t>
      </w:r>
      <w:r>
        <w:rPr>
          <w:spacing w:val="-13"/>
          <w:sz w:val="20"/>
        </w:rPr>
        <w:t> </w:t>
      </w:r>
      <w:r>
        <w:rPr>
          <w:sz w:val="20"/>
        </w:rPr>
        <w:t>basis</w:t>
      </w:r>
      <w:r>
        <w:rPr>
          <w:spacing w:val="-12"/>
          <w:sz w:val="20"/>
        </w:rPr>
        <w:t> </w:t>
      </w:r>
      <w:r>
        <w:rPr>
          <w:sz w:val="20"/>
        </w:rPr>
        <w:t>thereby</w:t>
      </w:r>
      <w:r>
        <w:rPr>
          <w:spacing w:val="-13"/>
          <w:sz w:val="20"/>
        </w:rPr>
        <w:t> </w:t>
      </w:r>
      <w:r>
        <w:rPr>
          <w:sz w:val="20"/>
        </w:rPr>
        <w:t>reducing</w:t>
      </w:r>
      <w:r>
        <w:rPr>
          <w:spacing w:val="-12"/>
          <w:sz w:val="20"/>
        </w:rPr>
        <w:t> </w:t>
      </w:r>
      <w:r>
        <w:rPr>
          <w:sz w:val="20"/>
        </w:rPr>
        <w:t>the</w:t>
      </w:r>
      <w:r>
        <w:rPr>
          <w:spacing w:val="-13"/>
          <w:sz w:val="20"/>
        </w:rPr>
        <w:t> </w:t>
      </w:r>
      <w:r>
        <w:rPr>
          <w:sz w:val="20"/>
        </w:rPr>
        <w:t>need</w:t>
      </w:r>
      <w:r>
        <w:rPr>
          <w:spacing w:val="-12"/>
          <w:sz w:val="20"/>
        </w:rPr>
        <w:t> </w:t>
      </w:r>
      <w:r>
        <w:rPr>
          <w:sz w:val="20"/>
        </w:rPr>
        <w:t>for</w:t>
      </w:r>
      <w:r>
        <w:rPr>
          <w:spacing w:val="-13"/>
          <w:sz w:val="20"/>
        </w:rPr>
        <w:t> </w:t>
      </w:r>
      <w:r>
        <w:rPr>
          <w:sz w:val="20"/>
        </w:rPr>
        <w:t>mission</w:t>
      </w:r>
      <w:r>
        <w:rPr>
          <w:spacing w:val="-12"/>
          <w:sz w:val="20"/>
        </w:rPr>
        <w:t> </w:t>
      </w:r>
      <w:r>
        <w:rPr>
          <w:sz w:val="20"/>
        </w:rPr>
        <w:t>travel, identification of more</w:t>
      </w:r>
      <w:r>
        <w:rPr>
          <w:spacing w:val="-2"/>
          <w:sz w:val="20"/>
        </w:rPr>
        <w:t> </w:t>
      </w:r>
      <w:r>
        <w:rPr>
          <w:sz w:val="20"/>
        </w:rPr>
        <w:t>cost-efficient</w:t>
      </w:r>
      <w:r>
        <w:rPr>
          <w:spacing w:val="-2"/>
          <w:sz w:val="20"/>
        </w:rPr>
        <w:t> </w:t>
      </w:r>
      <w:r>
        <w:rPr>
          <w:sz w:val="20"/>
        </w:rPr>
        <w:t>accommodation solutions during missions and recourse to Headquarters-based interviews for witnesses who can travel to the Netherlands, where </w:t>
      </w:r>
      <w:r>
        <w:rPr>
          <w:spacing w:val="-2"/>
          <w:sz w:val="20"/>
        </w:rPr>
        <w:t>appropriate.</w:t>
      </w:r>
    </w:p>
    <w:p>
      <w:pPr>
        <w:pStyle w:val="ListParagraph"/>
        <w:numPr>
          <w:ilvl w:val="0"/>
          <w:numId w:val="4"/>
        </w:numPr>
        <w:tabs>
          <w:tab w:pos="2967" w:val="left" w:leader="none"/>
        </w:tabs>
        <w:spacing w:line="240" w:lineRule="auto" w:before="118" w:after="0"/>
        <w:ind w:left="2246" w:right="2242" w:firstLine="0"/>
        <w:jc w:val="both"/>
        <w:rPr>
          <w:sz w:val="20"/>
        </w:rPr>
      </w:pPr>
      <w:r>
        <w:rPr>
          <w:sz w:val="20"/>
        </w:rPr>
        <w:t>Despite the continued implementation of these measures, the reduction in restrictions</w:t>
      </w:r>
      <w:r>
        <w:rPr>
          <w:spacing w:val="-5"/>
          <w:sz w:val="20"/>
        </w:rPr>
        <w:t> </w:t>
      </w:r>
      <w:r>
        <w:rPr>
          <w:sz w:val="20"/>
        </w:rPr>
        <w:t>on</w:t>
      </w:r>
      <w:r>
        <w:rPr>
          <w:spacing w:val="-4"/>
          <w:sz w:val="20"/>
        </w:rPr>
        <w:t> </w:t>
      </w:r>
      <w:r>
        <w:rPr>
          <w:sz w:val="20"/>
        </w:rPr>
        <w:t>travel</w:t>
      </w:r>
      <w:r>
        <w:rPr>
          <w:spacing w:val="-7"/>
          <w:sz w:val="20"/>
        </w:rPr>
        <w:t> </w:t>
      </w:r>
      <w:r>
        <w:rPr>
          <w:sz w:val="20"/>
        </w:rPr>
        <w:t>globally</w:t>
      </w:r>
      <w:r>
        <w:rPr>
          <w:spacing w:val="-4"/>
          <w:sz w:val="20"/>
        </w:rPr>
        <w:t> </w:t>
      </w:r>
      <w:r>
        <w:rPr>
          <w:sz w:val="20"/>
        </w:rPr>
        <w:t>has</w:t>
      </w:r>
      <w:r>
        <w:rPr>
          <w:spacing w:val="-10"/>
          <w:sz w:val="20"/>
        </w:rPr>
        <w:t> </w:t>
      </w:r>
      <w:r>
        <w:rPr>
          <w:sz w:val="20"/>
        </w:rPr>
        <w:t>led</w:t>
      </w:r>
      <w:r>
        <w:rPr>
          <w:spacing w:val="-8"/>
          <w:sz w:val="20"/>
        </w:rPr>
        <w:t> </w:t>
      </w:r>
      <w:r>
        <w:rPr>
          <w:sz w:val="20"/>
        </w:rPr>
        <w:t>to</w:t>
      </w:r>
      <w:r>
        <w:rPr>
          <w:spacing w:val="-8"/>
          <w:sz w:val="20"/>
        </w:rPr>
        <w:t> </w:t>
      </w:r>
      <w:r>
        <w:rPr>
          <w:sz w:val="20"/>
        </w:rPr>
        <w:t>an</w:t>
      </w:r>
      <w:r>
        <w:rPr>
          <w:spacing w:val="-8"/>
          <w:sz w:val="20"/>
        </w:rPr>
        <w:t> </w:t>
      </w:r>
      <w:r>
        <w:rPr>
          <w:sz w:val="20"/>
        </w:rPr>
        <w:t>increase</w:t>
      </w:r>
      <w:r>
        <w:rPr>
          <w:spacing w:val="-7"/>
          <w:sz w:val="20"/>
        </w:rPr>
        <w:t> </w:t>
      </w:r>
      <w:r>
        <w:rPr>
          <w:sz w:val="20"/>
        </w:rPr>
        <w:t>in</w:t>
      </w:r>
      <w:r>
        <w:rPr>
          <w:spacing w:val="-8"/>
          <w:sz w:val="20"/>
        </w:rPr>
        <w:t> </w:t>
      </w:r>
      <w:r>
        <w:rPr>
          <w:sz w:val="20"/>
        </w:rPr>
        <w:t>the</w:t>
      </w:r>
      <w:r>
        <w:rPr>
          <w:spacing w:val="-2"/>
          <w:sz w:val="20"/>
        </w:rPr>
        <w:t> </w:t>
      </w:r>
      <w:r>
        <w:rPr>
          <w:sz w:val="20"/>
        </w:rPr>
        <w:t>number</w:t>
      </w:r>
      <w:r>
        <w:rPr>
          <w:spacing w:val="-8"/>
          <w:sz w:val="20"/>
        </w:rPr>
        <w:t> </w:t>
      </w:r>
      <w:r>
        <w:rPr>
          <w:sz w:val="20"/>
        </w:rPr>
        <w:t>of</w:t>
      </w:r>
      <w:r>
        <w:rPr>
          <w:spacing w:val="-8"/>
          <w:sz w:val="20"/>
        </w:rPr>
        <w:t> </w:t>
      </w:r>
      <w:r>
        <w:rPr>
          <w:sz w:val="20"/>
        </w:rPr>
        <w:t>missions</w:t>
      </w:r>
      <w:r>
        <w:rPr>
          <w:spacing w:val="-5"/>
          <w:sz w:val="20"/>
        </w:rPr>
        <w:t> </w:t>
      </w:r>
      <w:r>
        <w:rPr>
          <w:sz w:val="20"/>
        </w:rPr>
        <w:t>undertaken</w:t>
      </w:r>
      <w:r>
        <w:rPr>
          <w:spacing w:val="-4"/>
          <w:sz w:val="20"/>
        </w:rPr>
        <w:t> </w:t>
      </w:r>
      <w:r>
        <w:rPr>
          <w:sz w:val="20"/>
        </w:rPr>
        <w:t>by staff in exercise of mandated activities in 2022 in comparison to 2021. This trend will continue</w:t>
      </w:r>
      <w:r>
        <w:rPr>
          <w:spacing w:val="-13"/>
          <w:sz w:val="20"/>
        </w:rPr>
        <w:t> </w:t>
      </w:r>
      <w:r>
        <w:rPr>
          <w:sz w:val="20"/>
        </w:rPr>
        <w:t>in</w:t>
      </w:r>
      <w:r>
        <w:rPr>
          <w:spacing w:val="-12"/>
          <w:sz w:val="20"/>
        </w:rPr>
        <w:t> </w:t>
      </w:r>
      <w:r>
        <w:rPr>
          <w:sz w:val="20"/>
        </w:rPr>
        <w:t>2023,</w:t>
      </w:r>
      <w:r>
        <w:rPr>
          <w:spacing w:val="-13"/>
          <w:sz w:val="20"/>
        </w:rPr>
        <w:t> </w:t>
      </w:r>
      <w:r>
        <w:rPr>
          <w:sz w:val="20"/>
        </w:rPr>
        <w:t>particularly</w:t>
      </w:r>
      <w:r>
        <w:rPr>
          <w:spacing w:val="-12"/>
          <w:sz w:val="20"/>
        </w:rPr>
        <w:t> </w:t>
      </w:r>
      <w:r>
        <w:rPr>
          <w:sz w:val="20"/>
        </w:rPr>
        <w:t>as</w:t>
      </w:r>
      <w:r>
        <w:rPr>
          <w:spacing w:val="-13"/>
          <w:sz w:val="20"/>
        </w:rPr>
        <w:t> </w:t>
      </w:r>
      <w:r>
        <w:rPr>
          <w:sz w:val="20"/>
        </w:rPr>
        <w:t>necessary</w:t>
      </w:r>
      <w:r>
        <w:rPr>
          <w:spacing w:val="-12"/>
          <w:sz w:val="20"/>
        </w:rPr>
        <w:t> </w:t>
      </w:r>
      <w:r>
        <w:rPr>
          <w:sz w:val="20"/>
        </w:rPr>
        <w:t>investigative</w:t>
      </w:r>
      <w:r>
        <w:rPr>
          <w:spacing w:val="-13"/>
          <w:sz w:val="20"/>
        </w:rPr>
        <w:t> </w:t>
      </w:r>
      <w:r>
        <w:rPr>
          <w:sz w:val="20"/>
        </w:rPr>
        <w:t>activities</w:t>
      </w:r>
      <w:r>
        <w:rPr>
          <w:spacing w:val="-12"/>
          <w:sz w:val="20"/>
        </w:rPr>
        <w:t> </w:t>
      </w:r>
      <w:r>
        <w:rPr>
          <w:sz w:val="20"/>
        </w:rPr>
        <w:t>that</w:t>
      </w:r>
      <w:r>
        <w:rPr>
          <w:spacing w:val="-13"/>
          <w:sz w:val="20"/>
        </w:rPr>
        <w:t> </w:t>
      </w:r>
      <w:r>
        <w:rPr>
          <w:sz w:val="20"/>
        </w:rPr>
        <w:t>were</w:t>
      </w:r>
      <w:r>
        <w:rPr>
          <w:spacing w:val="-12"/>
          <w:sz w:val="20"/>
        </w:rPr>
        <w:t> </w:t>
      </w:r>
      <w:r>
        <w:rPr>
          <w:sz w:val="20"/>
        </w:rPr>
        <w:t>postponed</w:t>
      </w:r>
      <w:r>
        <w:rPr>
          <w:spacing w:val="-13"/>
          <w:sz w:val="20"/>
        </w:rPr>
        <w:t> </w:t>
      </w:r>
      <w:r>
        <w:rPr>
          <w:sz w:val="20"/>
        </w:rPr>
        <w:t>during the pandemic are now prioritized. The impact of inflationary pressures on fuel costs more generally is also reflected in the increase in resources required for travel during the budget period,</w:t>
      </w:r>
      <w:r>
        <w:rPr>
          <w:spacing w:val="-13"/>
          <w:sz w:val="20"/>
        </w:rPr>
        <w:t> </w:t>
      </w:r>
      <w:r>
        <w:rPr>
          <w:sz w:val="20"/>
        </w:rPr>
        <w:t>compounded</w:t>
      </w:r>
      <w:r>
        <w:rPr>
          <w:spacing w:val="-12"/>
          <w:sz w:val="20"/>
        </w:rPr>
        <w:t> </w:t>
      </w:r>
      <w:r>
        <w:rPr>
          <w:sz w:val="20"/>
        </w:rPr>
        <w:t>by</w:t>
      </w:r>
      <w:r>
        <w:rPr>
          <w:spacing w:val="-13"/>
          <w:sz w:val="20"/>
        </w:rPr>
        <w:t> </w:t>
      </w:r>
      <w:r>
        <w:rPr>
          <w:sz w:val="20"/>
        </w:rPr>
        <w:t>the</w:t>
      </w:r>
      <w:r>
        <w:rPr>
          <w:spacing w:val="-6"/>
          <w:sz w:val="20"/>
        </w:rPr>
        <w:t> </w:t>
      </w:r>
      <w:r>
        <w:rPr>
          <w:sz w:val="20"/>
        </w:rPr>
        <w:t>fact</w:t>
      </w:r>
      <w:r>
        <w:rPr>
          <w:spacing w:val="-7"/>
          <w:sz w:val="20"/>
        </w:rPr>
        <w:t> </w:t>
      </w:r>
      <w:r>
        <w:rPr>
          <w:sz w:val="20"/>
        </w:rPr>
        <w:t>that</w:t>
      </w:r>
      <w:r>
        <w:rPr>
          <w:spacing w:val="-12"/>
          <w:sz w:val="20"/>
        </w:rPr>
        <w:t> </w:t>
      </w:r>
      <w:r>
        <w:rPr>
          <w:sz w:val="20"/>
        </w:rPr>
        <w:t>a</w:t>
      </w:r>
      <w:r>
        <w:rPr>
          <w:spacing w:val="-11"/>
          <w:sz w:val="20"/>
        </w:rPr>
        <w:t> </w:t>
      </w:r>
      <w:r>
        <w:rPr>
          <w:sz w:val="20"/>
        </w:rPr>
        <w:t>number</w:t>
      </w:r>
      <w:r>
        <w:rPr>
          <w:spacing w:val="-8"/>
          <w:sz w:val="20"/>
        </w:rPr>
        <w:t> </w:t>
      </w:r>
      <w:r>
        <w:rPr>
          <w:sz w:val="20"/>
        </w:rPr>
        <w:t>of</w:t>
      </w:r>
      <w:r>
        <w:rPr>
          <w:spacing w:val="-13"/>
          <w:sz w:val="20"/>
        </w:rPr>
        <w:t> </w:t>
      </w:r>
      <w:r>
        <w:rPr>
          <w:sz w:val="20"/>
        </w:rPr>
        <w:t>new</w:t>
      </w:r>
      <w:r>
        <w:rPr>
          <w:spacing w:val="-12"/>
          <w:sz w:val="20"/>
        </w:rPr>
        <w:t> </w:t>
      </w:r>
      <w:r>
        <w:rPr>
          <w:sz w:val="20"/>
        </w:rPr>
        <w:t>investigations</w:t>
      </w:r>
      <w:r>
        <w:rPr>
          <w:spacing w:val="-10"/>
          <w:sz w:val="20"/>
        </w:rPr>
        <w:t> </w:t>
      </w:r>
      <w:r>
        <w:rPr>
          <w:sz w:val="20"/>
        </w:rPr>
        <w:t>are</w:t>
      </w:r>
      <w:r>
        <w:rPr>
          <w:spacing w:val="-12"/>
          <w:sz w:val="20"/>
        </w:rPr>
        <w:t> </w:t>
      </w:r>
      <w:r>
        <w:rPr>
          <w:sz w:val="20"/>
        </w:rPr>
        <w:t>in</w:t>
      </w:r>
      <w:r>
        <w:rPr>
          <w:spacing w:val="-13"/>
          <w:sz w:val="20"/>
        </w:rPr>
        <w:t> </w:t>
      </w:r>
      <w:r>
        <w:rPr>
          <w:sz w:val="20"/>
        </w:rPr>
        <w:t>geographical</w:t>
      </w:r>
      <w:r>
        <w:rPr>
          <w:spacing w:val="-11"/>
          <w:sz w:val="20"/>
        </w:rPr>
        <w:t> </w:t>
      </w:r>
      <w:r>
        <w:rPr>
          <w:sz w:val="20"/>
        </w:rPr>
        <w:t>areas in</w:t>
      </w:r>
      <w:r>
        <w:rPr>
          <w:spacing w:val="-4"/>
          <w:sz w:val="20"/>
        </w:rPr>
        <w:t> </w:t>
      </w:r>
      <w:r>
        <w:rPr>
          <w:sz w:val="20"/>
        </w:rPr>
        <w:t>which</w:t>
      </w:r>
      <w:r>
        <w:rPr>
          <w:spacing w:val="-8"/>
          <w:sz w:val="20"/>
        </w:rPr>
        <w:t> </w:t>
      </w:r>
      <w:r>
        <w:rPr>
          <w:sz w:val="20"/>
        </w:rPr>
        <w:t>the</w:t>
      </w:r>
      <w:r>
        <w:rPr>
          <w:spacing w:val="-7"/>
          <w:sz w:val="20"/>
        </w:rPr>
        <w:t> </w:t>
      </w:r>
      <w:r>
        <w:rPr>
          <w:sz w:val="20"/>
        </w:rPr>
        <w:t>Court</w:t>
      </w:r>
      <w:r>
        <w:rPr>
          <w:spacing w:val="-2"/>
          <w:sz w:val="20"/>
        </w:rPr>
        <w:t> </w:t>
      </w:r>
      <w:r>
        <w:rPr>
          <w:sz w:val="20"/>
        </w:rPr>
        <w:t>does</w:t>
      </w:r>
      <w:r>
        <w:rPr>
          <w:spacing w:val="-5"/>
          <w:sz w:val="20"/>
        </w:rPr>
        <w:t> </w:t>
      </w:r>
      <w:r>
        <w:rPr>
          <w:sz w:val="20"/>
        </w:rPr>
        <w:t>not</w:t>
      </w:r>
      <w:r>
        <w:rPr>
          <w:spacing w:val="-2"/>
          <w:sz w:val="20"/>
        </w:rPr>
        <w:t> </w:t>
      </w:r>
      <w:r>
        <w:rPr>
          <w:sz w:val="20"/>
        </w:rPr>
        <w:t>yet</w:t>
      </w:r>
      <w:r>
        <w:rPr>
          <w:spacing w:val="-7"/>
          <w:sz w:val="20"/>
        </w:rPr>
        <w:t> </w:t>
      </w:r>
      <w:r>
        <w:rPr>
          <w:sz w:val="20"/>
        </w:rPr>
        <w:t>have</w:t>
      </w:r>
      <w:r>
        <w:rPr>
          <w:spacing w:val="-7"/>
          <w:sz w:val="20"/>
        </w:rPr>
        <w:t> </w:t>
      </w:r>
      <w:r>
        <w:rPr>
          <w:sz w:val="20"/>
        </w:rPr>
        <w:t>an</w:t>
      </w:r>
      <w:r>
        <w:rPr>
          <w:spacing w:val="-8"/>
          <w:sz w:val="20"/>
        </w:rPr>
        <w:t> </w:t>
      </w:r>
      <w:r>
        <w:rPr>
          <w:sz w:val="20"/>
        </w:rPr>
        <w:t>established field</w:t>
      </w:r>
      <w:r>
        <w:rPr>
          <w:spacing w:val="-4"/>
          <w:sz w:val="20"/>
        </w:rPr>
        <w:t> </w:t>
      </w:r>
      <w:r>
        <w:rPr>
          <w:sz w:val="20"/>
        </w:rPr>
        <w:t>presence,</w:t>
      </w:r>
      <w:r>
        <w:rPr>
          <w:spacing w:val="-6"/>
          <w:sz w:val="20"/>
        </w:rPr>
        <w:t> </w:t>
      </w:r>
      <w:r>
        <w:rPr>
          <w:sz w:val="20"/>
        </w:rPr>
        <w:t>with</w:t>
      </w:r>
      <w:r>
        <w:rPr>
          <w:spacing w:val="-8"/>
          <w:sz w:val="20"/>
        </w:rPr>
        <w:t> </w:t>
      </w:r>
      <w:r>
        <w:rPr>
          <w:sz w:val="20"/>
        </w:rPr>
        <w:t>a</w:t>
      </w:r>
      <w:r>
        <w:rPr>
          <w:spacing w:val="-7"/>
          <w:sz w:val="20"/>
        </w:rPr>
        <w:t> </w:t>
      </w:r>
      <w:r>
        <w:rPr>
          <w:sz w:val="20"/>
        </w:rPr>
        <w:t>consequent</w:t>
      </w:r>
      <w:r>
        <w:rPr>
          <w:spacing w:val="-7"/>
          <w:sz w:val="20"/>
        </w:rPr>
        <w:t> </w:t>
      </w:r>
      <w:r>
        <w:rPr>
          <w:sz w:val="20"/>
        </w:rPr>
        <w:t>impact on logistics. Mission travel and other operational costs associated with national experts seconded to the Office are also addressed through non-staffing costs.</w:t>
      </w:r>
    </w:p>
    <w:p>
      <w:pPr>
        <w:pStyle w:val="ListParagraph"/>
        <w:numPr>
          <w:ilvl w:val="0"/>
          <w:numId w:val="4"/>
        </w:numPr>
        <w:tabs>
          <w:tab w:pos="2967" w:val="left" w:leader="none"/>
        </w:tabs>
        <w:spacing w:line="240" w:lineRule="auto" w:before="125" w:after="0"/>
        <w:ind w:left="2246" w:right="2241" w:firstLine="0"/>
        <w:jc w:val="both"/>
        <w:rPr>
          <w:sz w:val="20"/>
        </w:rPr>
      </w:pPr>
      <w:r>
        <w:rPr>
          <w:sz w:val="20"/>
        </w:rPr>
        <w:t>The</w:t>
      </w:r>
      <w:r>
        <w:rPr>
          <w:spacing w:val="-13"/>
          <w:sz w:val="20"/>
        </w:rPr>
        <w:t> </w:t>
      </w:r>
      <w:r>
        <w:rPr>
          <w:sz w:val="20"/>
        </w:rPr>
        <w:t>Office</w:t>
      </w:r>
      <w:r>
        <w:rPr>
          <w:spacing w:val="-12"/>
          <w:sz w:val="20"/>
        </w:rPr>
        <w:t> </w:t>
      </w:r>
      <w:r>
        <w:rPr>
          <w:sz w:val="20"/>
        </w:rPr>
        <w:t>has</w:t>
      </w:r>
      <w:r>
        <w:rPr>
          <w:spacing w:val="-13"/>
          <w:sz w:val="20"/>
        </w:rPr>
        <w:t> </w:t>
      </w:r>
      <w:r>
        <w:rPr>
          <w:sz w:val="20"/>
        </w:rPr>
        <w:t>prepared</w:t>
      </w:r>
      <w:r>
        <w:rPr>
          <w:spacing w:val="-12"/>
          <w:sz w:val="20"/>
        </w:rPr>
        <w:t> </w:t>
      </w:r>
      <w:r>
        <w:rPr>
          <w:sz w:val="20"/>
        </w:rPr>
        <w:t>its</w:t>
      </w:r>
      <w:r>
        <w:rPr>
          <w:spacing w:val="-13"/>
          <w:sz w:val="20"/>
        </w:rPr>
        <w:t> </w:t>
      </w:r>
      <w:r>
        <w:rPr>
          <w:sz w:val="20"/>
        </w:rPr>
        <w:t>budget</w:t>
      </w:r>
      <w:r>
        <w:rPr>
          <w:spacing w:val="-12"/>
          <w:sz w:val="20"/>
        </w:rPr>
        <w:t> </w:t>
      </w:r>
      <w:r>
        <w:rPr>
          <w:sz w:val="20"/>
        </w:rPr>
        <w:t>proposal</w:t>
      </w:r>
      <w:r>
        <w:rPr>
          <w:spacing w:val="-13"/>
          <w:sz w:val="20"/>
        </w:rPr>
        <w:t> </w:t>
      </w:r>
      <w:r>
        <w:rPr>
          <w:sz w:val="20"/>
        </w:rPr>
        <w:t>mindful</w:t>
      </w:r>
      <w:r>
        <w:rPr>
          <w:spacing w:val="-12"/>
          <w:sz w:val="20"/>
        </w:rPr>
        <w:t> </w:t>
      </w:r>
      <w:r>
        <w:rPr>
          <w:sz w:val="20"/>
        </w:rPr>
        <w:t>of</w:t>
      </w:r>
      <w:r>
        <w:rPr>
          <w:spacing w:val="-13"/>
          <w:sz w:val="20"/>
        </w:rPr>
        <w:t> </w:t>
      </w:r>
      <w:r>
        <w:rPr>
          <w:sz w:val="20"/>
        </w:rPr>
        <w:t>the</w:t>
      </w:r>
      <w:r>
        <w:rPr>
          <w:spacing w:val="-11"/>
          <w:sz w:val="20"/>
        </w:rPr>
        <w:t> </w:t>
      </w:r>
      <w:r>
        <w:rPr>
          <w:sz w:val="20"/>
        </w:rPr>
        <w:t>factors</w:t>
      </w:r>
      <w:r>
        <w:rPr>
          <w:spacing w:val="-12"/>
          <w:sz w:val="20"/>
        </w:rPr>
        <w:t> </w:t>
      </w:r>
      <w:r>
        <w:rPr>
          <w:sz w:val="20"/>
        </w:rPr>
        <w:t>mentioned</w:t>
      </w:r>
      <w:r>
        <w:rPr>
          <w:spacing w:val="-13"/>
          <w:sz w:val="20"/>
        </w:rPr>
        <w:t> </w:t>
      </w:r>
      <w:r>
        <w:rPr>
          <w:sz w:val="20"/>
        </w:rPr>
        <w:t>above. However, while the funds requested for travel show an increase as compared to the 2022 approved budget, it should be noted that the amount requested is lower than the amounts approved in pre-pandemic years.</w:t>
      </w:r>
      <w:r>
        <w:rPr>
          <w:sz w:val="20"/>
          <w:vertAlign w:val="superscript"/>
        </w:rPr>
        <w:t>37</w:t>
      </w:r>
      <w:r>
        <w:rPr>
          <w:sz w:val="20"/>
          <w:vertAlign w:val="baseline"/>
        </w:rPr>
        <w:t> As the transition to a more substantial staffing presence in the field takes place in 2023, increased benefits will be seen with respect to reduction in mission travel costs.</w:t>
      </w:r>
    </w:p>
    <w:p>
      <w:pPr>
        <w:pStyle w:val="ListParagraph"/>
        <w:numPr>
          <w:ilvl w:val="0"/>
          <w:numId w:val="4"/>
        </w:numPr>
        <w:tabs>
          <w:tab w:pos="2967" w:val="left" w:leader="none"/>
        </w:tabs>
        <w:spacing w:line="240" w:lineRule="auto" w:before="118" w:after="0"/>
        <w:ind w:left="2246" w:right="2242" w:firstLine="0"/>
        <w:jc w:val="both"/>
        <w:rPr>
          <w:sz w:val="20"/>
        </w:rPr>
      </w:pPr>
      <w:r>
        <w:rPr>
          <w:sz w:val="20"/>
        </w:rPr>
        <w:t>The</w:t>
      </w:r>
      <w:r>
        <w:rPr>
          <w:spacing w:val="-7"/>
          <w:sz w:val="20"/>
        </w:rPr>
        <w:t> </w:t>
      </w:r>
      <w:r>
        <w:rPr>
          <w:sz w:val="20"/>
        </w:rPr>
        <w:t>increase</w:t>
      </w:r>
      <w:r>
        <w:rPr>
          <w:spacing w:val="-7"/>
          <w:sz w:val="20"/>
        </w:rPr>
        <w:t> </w:t>
      </w:r>
      <w:r>
        <w:rPr>
          <w:sz w:val="20"/>
        </w:rPr>
        <w:t>in</w:t>
      </w:r>
      <w:r>
        <w:rPr>
          <w:spacing w:val="-4"/>
          <w:sz w:val="20"/>
        </w:rPr>
        <w:t> </w:t>
      </w:r>
      <w:r>
        <w:rPr>
          <w:sz w:val="20"/>
        </w:rPr>
        <w:t>workload</w:t>
      </w:r>
      <w:r>
        <w:rPr>
          <w:spacing w:val="-8"/>
          <w:sz w:val="20"/>
        </w:rPr>
        <w:t> </w:t>
      </w:r>
      <w:r>
        <w:rPr>
          <w:sz w:val="20"/>
        </w:rPr>
        <w:t>and</w:t>
      </w:r>
      <w:r>
        <w:rPr>
          <w:spacing w:val="-8"/>
          <w:sz w:val="20"/>
        </w:rPr>
        <w:t> </w:t>
      </w:r>
      <w:r>
        <w:rPr>
          <w:sz w:val="20"/>
        </w:rPr>
        <w:t>in</w:t>
      </w:r>
      <w:r>
        <w:rPr>
          <w:spacing w:val="-8"/>
          <w:sz w:val="20"/>
        </w:rPr>
        <w:t> </w:t>
      </w:r>
      <w:r>
        <w:rPr>
          <w:sz w:val="20"/>
        </w:rPr>
        <w:t>the</w:t>
      </w:r>
      <w:r>
        <w:rPr>
          <w:spacing w:val="-2"/>
          <w:sz w:val="20"/>
        </w:rPr>
        <w:t> </w:t>
      </w:r>
      <w:r>
        <w:rPr>
          <w:sz w:val="20"/>
        </w:rPr>
        <w:t>number</w:t>
      </w:r>
      <w:r>
        <w:rPr>
          <w:spacing w:val="-4"/>
          <w:sz w:val="20"/>
        </w:rPr>
        <w:t> </w:t>
      </w:r>
      <w:r>
        <w:rPr>
          <w:sz w:val="20"/>
        </w:rPr>
        <w:t>of</w:t>
      </w:r>
      <w:r>
        <w:rPr>
          <w:spacing w:val="-8"/>
          <w:sz w:val="20"/>
        </w:rPr>
        <w:t> </w:t>
      </w:r>
      <w:r>
        <w:rPr>
          <w:sz w:val="20"/>
        </w:rPr>
        <w:t>activities</w:t>
      </w:r>
      <w:r>
        <w:rPr>
          <w:spacing w:val="-10"/>
          <w:sz w:val="20"/>
        </w:rPr>
        <w:t> </w:t>
      </w:r>
      <w:r>
        <w:rPr>
          <w:sz w:val="20"/>
        </w:rPr>
        <w:t>has</w:t>
      </w:r>
      <w:r>
        <w:rPr>
          <w:spacing w:val="-10"/>
          <w:sz w:val="20"/>
        </w:rPr>
        <w:t> </w:t>
      </w:r>
      <w:r>
        <w:rPr>
          <w:sz w:val="20"/>
        </w:rPr>
        <w:t>an</w:t>
      </w:r>
      <w:r>
        <w:rPr>
          <w:spacing w:val="-4"/>
          <w:sz w:val="20"/>
        </w:rPr>
        <w:t> </w:t>
      </w:r>
      <w:r>
        <w:rPr>
          <w:sz w:val="20"/>
        </w:rPr>
        <w:t>impact</w:t>
      </w:r>
      <w:r>
        <w:rPr>
          <w:spacing w:val="-2"/>
          <w:sz w:val="20"/>
        </w:rPr>
        <w:t> </w:t>
      </w:r>
      <w:r>
        <w:rPr>
          <w:sz w:val="20"/>
        </w:rPr>
        <w:t>on</w:t>
      </w:r>
      <w:r>
        <w:rPr>
          <w:spacing w:val="-8"/>
          <w:sz w:val="20"/>
        </w:rPr>
        <w:t> </w:t>
      </w:r>
      <w:r>
        <w:rPr>
          <w:sz w:val="20"/>
        </w:rPr>
        <w:t>the</w:t>
      </w:r>
      <w:r>
        <w:rPr>
          <w:spacing w:val="-2"/>
          <w:sz w:val="20"/>
        </w:rPr>
        <w:t> </w:t>
      </w:r>
      <w:r>
        <w:rPr>
          <w:sz w:val="20"/>
        </w:rPr>
        <w:t>funds requested</w:t>
      </w:r>
      <w:r>
        <w:rPr>
          <w:spacing w:val="-8"/>
          <w:sz w:val="20"/>
        </w:rPr>
        <w:t> </w:t>
      </w:r>
      <w:r>
        <w:rPr>
          <w:sz w:val="20"/>
        </w:rPr>
        <w:t>for</w:t>
      </w:r>
      <w:r>
        <w:rPr>
          <w:spacing w:val="-3"/>
          <w:sz w:val="20"/>
        </w:rPr>
        <w:t> </w:t>
      </w:r>
      <w:r>
        <w:rPr>
          <w:sz w:val="20"/>
        </w:rPr>
        <w:t>other</w:t>
      </w:r>
      <w:r>
        <w:rPr>
          <w:spacing w:val="-4"/>
          <w:sz w:val="20"/>
        </w:rPr>
        <w:t> </w:t>
      </w:r>
      <w:r>
        <w:rPr>
          <w:sz w:val="20"/>
        </w:rPr>
        <w:t>budget</w:t>
      </w:r>
      <w:r>
        <w:rPr>
          <w:spacing w:val="-7"/>
          <w:sz w:val="20"/>
        </w:rPr>
        <w:t> </w:t>
      </w:r>
      <w:r>
        <w:rPr>
          <w:sz w:val="20"/>
        </w:rPr>
        <w:t>lines.</w:t>
      </w:r>
      <w:r>
        <w:rPr>
          <w:spacing w:val="-6"/>
          <w:sz w:val="20"/>
        </w:rPr>
        <w:t> </w:t>
      </w:r>
      <w:r>
        <w:rPr>
          <w:sz w:val="20"/>
        </w:rPr>
        <w:t>In</w:t>
      </w:r>
      <w:r>
        <w:rPr>
          <w:spacing w:val="-4"/>
          <w:sz w:val="20"/>
        </w:rPr>
        <w:t> </w:t>
      </w:r>
      <w:r>
        <w:rPr>
          <w:sz w:val="20"/>
        </w:rPr>
        <w:t>order</w:t>
      </w:r>
      <w:r>
        <w:rPr>
          <w:spacing w:val="-8"/>
          <w:sz w:val="20"/>
        </w:rPr>
        <w:t> </w:t>
      </w:r>
      <w:r>
        <w:rPr>
          <w:sz w:val="20"/>
        </w:rPr>
        <w:t>to</w:t>
      </w:r>
      <w:r>
        <w:rPr>
          <w:spacing w:val="-4"/>
          <w:sz w:val="20"/>
        </w:rPr>
        <w:t> </w:t>
      </w:r>
      <w:r>
        <w:rPr>
          <w:sz w:val="20"/>
        </w:rPr>
        <w:t>guarantee</w:t>
      </w:r>
      <w:r>
        <w:rPr>
          <w:spacing w:val="-7"/>
          <w:sz w:val="20"/>
        </w:rPr>
        <w:t> </w:t>
      </w:r>
      <w:r>
        <w:rPr>
          <w:sz w:val="20"/>
        </w:rPr>
        <w:t>language</w:t>
      </w:r>
      <w:r>
        <w:rPr>
          <w:spacing w:val="-2"/>
          <w:sz w:val="20"/>
        </w:rPr>
        <w:t> </w:t>
      </w:r>
      <w:r>
        <w:rPr>
          <w:sz w:val="20"/>
        </w:rPr>
        <w:t>support</w:t>
      </w:r>
      <w:r>
        <w:rPr>
          <w:spacing w:val="-2"/>
          <w:sz w:val="20"/>
        </w:rPr>
        <w:t> </w:t>
      </w:r>
      <w:r>
        <w:rPr>
          <w:sz w:val="20"/>
        </w:rPr>
        <w:t>to</w:t>
      </w:r>
      <w:r>
        <w:rPr>
          <w:spacing w:val="-4"/>
          <w:sz w:val="20"/>
        </w:rPr>
        <w:t> </w:t>
      </w:r>
      <w:r>
        <w:rPr>
          <w:sz w:val="20"/>
        </w:rPr>
        <w:t>the</w:t>
      </w:r>
      <w:r>
        <w:rPr>
          <w:spacing w:val="-2"/>
          <w:sz w:val="20"/>
        </w:rPr>
        <w:t> </w:t>
      </w:r>
      <w:r>
        <w:rPr>
          <w:sz w:val="20"/>
        </w:rPr>
        <w:t>unified</w:t>
      </w:r>
      <w:r>
        <w:rPr>
          <w:spacing w:val="-8"/>
          <w:sz w:val="20"/>
        </w:rPr>
        <w:t> </w:t>
      </w:r>
      <w:r>
        <w:rPr>
          <w:sz w:val="20"/>
        </w:rPr>
        <w:t>teams, the capacity of LSU must be strengthened in a way that maximizes both effectiveness and flexibility.</w:t>
      </w:r>
      <w:r>
        <w:rPr>
          <w:spacing w:val="-7"/>
          <w:sz w:val="20"/>
        </w:rPr>
        <w:t> </w:t>
      </w:r>
      <w:r>
        <w:rPr>
          <w:sz w:val="20"/>
        </w:rPr>
        <w:t>Wherever</w:t>
      </w:r>
      <w:r>
        <w:rPr>
          <w:spacing w:val="-9"/>
          <w:sz w:val="20"/>
        </w:rPr>
        <w:t> </w:t>
      </w:r>
      <w:r>
        <w:rPr>
          <w:sz w:val="20"/>
        </w:rPr>
        <w:t>circumstances</w:t>
      </w:r>
      <w:r>
        <w:rPr>
          <w:spacing w:val="-6"/>
          <w:sz w:val="20"/>
        </w:rPr>
        <w:t> </w:t>
      </w:r>
      <w:r>
        <w:rPr>
          <w:sz w:val="20"/>
        </w:rPr>
        <w:t>allow,</w:t>
      </w:r>
      <w:r>
        <w:rPr>
          <w:spacing w:val="-3"/>
          <w:sz w:val="20"/>
        </w:rPr>
        <w:t> </w:t>
      </w:r>
      <w:r>
        <w:rPr>
          <w:sz w:val="20"/>
        </w:rPr>
        <w:t>synergies</w:t>
      </w:r>
      <w:r>
        <w:rPr>
          <w:spacing w:val="-6"/>
          <w:sz w:val="20"/>
        </w:rPr>
        <w:t> </w:t>
      </w:r>
      <w:r>
        <w:rPr>
          <w:sz w:val="20"/>
        </w:rPr>
        <w:t>with</w:t>
      </w:r>
      <w:r>
        <w:rPr>
          <w:spacing w:val="-5"/>
          <w:sz w:val="20"/>
        </w:rPr>
        <w:t> </w:t>
      </w:r>
      <w:r>
        <w:rPr>
          <w:sz w:val="20"/>
        </w:rPr>
        <w:t>the</w:t>
      </w:r>
      <w:r>
        <w:rPr>
          <w:spacing w:val="-8"/>
          <w:sz w:val="20"/>
        </w:rPr>
        <w:t> </w:t>
      </w:r>
      <w:r>
        <w:rPr>
          <w:sz w:val="20"/>
        </w:rPr>
        <w:t>Registry</w:t>
      </w:r>
      <w:r>
        <w:rPr>
          <w:spacing w:val="-9"/>
          <w:sz w:val="20"/>
        </w:rPr>
        <w:t> </w:t>
      </w:r>
      <w:r>
        <w:rPr>
          <w:sz w:val="20"/>
        </w:rPr>
        <w:t>are</w:t>
      </w:r>
      <w:r>
        <w:rPr>
          <w:spacing w:val="-3"/>
          <w:sz w:val="20"/>
        </w:rPr>
        <w:t> </w:t>
      </w:r>
      <w:r>
        <w:rPr>
          <w:sz w:val="20"/>
        </w:rPr>
        <w:t>sought.</w:t>
      </w:r>
      <w:r>
        <w:rPr>
          <w:spacing w:val="-3"/>
          <w:sz w:val="20"/>
        </w:rPr>
        <w:t> </w:t>
      </w:r>
      <w:r>
        <w:rPr>
          <w:sz w:val="20"/>
        </w:rPr>
        <w:t>However,</w:t>
      </w:r>
    </w:p>
    <w:p>
      <w:pPr>
        <w:pStyle w:val="BodyText"/>
        <w:rPr>
          <w:sz w:val="21"/>
        </w:rPr>
      </w:pPr>
      <w:r>
        <w:rPr/>
        <w:pict>
          <v:rect style="position:absolute;margin-left:113.330002pt;margin-top:13.320647pt;width:144.050pt;height:.48004pt;mso-position-horizontal-relative:page;mso-position-vertical-relative:paragraph;z-index:-15713280;mso-wrap-distance-left:0;mso-wrap-distance-right:0" id="docshape81" filled="true" fillcolor="#000000" stroked="false">
            <v:fill type="solid"/>
            <w10:wrap type="topAndBottom"/>
          </v:rect>
        </w:pict>
      </w:r>
    </w:p>
    <w:p>
      <w:pPr>
        <w:spacing w:before="86"/>
        <w:ind w:left="3" w:right="32" w:firstLine="0"/>
        <w:jc w:val="center"/>
        <w:rPr>
          <w:sz w:val="16"/>
        </w:rPr>
      </w:pPr>
      <w:r>
        <w:rPr>
          <w:position w:val="5"/>
          <w:sz w:val="10"/>
        </w:rPr>
        <w:t>37</w:t>
      </w:r>
      <w:r>
        <w:rPr>
          <w:spacing w:val="13"/>
          <w:position w:val="5"/>
          <w:sz w:val="10"/>
        </w:rPr>
        <w:t> </w:t>
      </w:r>
      <w:r>
        <w:rPr>
          <w:sz w:val="16"/>
        </w:rPr>
        <w:t>The</w:t>
      </w:r>
      <w:r>
        <w:rPr>
          <w:spacing w:val="-3"/>
          <w:sz w:val="16"/>
        </w:rPr>
        <w:t> </w:t>
      </w:r>
      <w:r>
        <w:rPr>
          <w:sz w:val="16"/>
        </w:rPr>
        <w:t>amounts</w:t>
      </w:r>
      <w:r>
        <w:rPr>
          <w:spacing w:val="-3"/>
          <w:sz w:val="16"/>
        </w:rPr>
        <w:t> </w:t>
      </w:r>
      <w:r>
        <w:rPr>
          <w:sz w:val="16"/>
        </w:rPr>
        <w:t>approved</w:t>
      </w:r>
      <w:r>
        <w:rPr>
          <w:spacing w:val="-1"/>
          <w:sz w:val="16"/>
        </w:rPr>
        <w:t> </w:t>
      </w:r>
      <w:r>
        <w:rPr>
          <w:sz w:val="16"/>
        </w:rPr>
        <w:t>in</w:t>
      </w:r>
      <w:r>
        <w:rPr>
          <w:spacing w:val="-2"/>
          <w:sz w:val="16"/>
        </w:rPr>
        <w:t> </w:t>
      </w:r>
      <w:r>
        <w:rPr>
          <w:sz w:val="16"/>
        </w:rPr>
        <w:t>2018,</w:t>
      </w:r>
      <w:r>
        <w:rPr>
          <w:spacing w:val="-4"/>
          <w:sz w:val="16"/>
        </w:rPr>
        <w:t> </w:t>
      </w:r>
      <w:r>
        <w:rPr>
          <w:sz w:val="16"/>
        </w:rPr>
        <w:t>2019</w:t>
      </w:r>
      <w:r>
        <w:rPr>
          <w:spacing w:val="-2"/>
          <w:sz w:val="16"/>
        </w:rPr>
        <w:t> </w:t>
      </w:r>
      <w:r>
        <w:rPr>
          <w:sz w:val="16"/>
        </w:rPr>
        <w:t>and</w:t>
      </w:r>
      <w:r>
        <w:rPr>
          <w:spacing w:val="-1"/>
          <w:sz w:val="16"/>
        </w:rPr>
        <w:t> </w:t>
      </w:r>
      <w:r>
        <w:rPr>
          <w:sz w:val="16"/>
        </w:rPr>
        <w:t>2020</w:t>
      </w:r>
      <w:r>
        <w:rPr>
          <w:spacing w:val="-2"/>
          <w:sz w:val="16"/>
        </w:rPr>
        <w:t> </w:t>
      </w:r>
      <w:r>
        <w:rPr>
          <w:sz w:val="16"/>
        </w:rPr>
        <w:t>were</w:t>
      </w:r>
      <w:r>
        <w:rPr>
          <w:spacing w:val="-3"/>
          <w:sz w:val="16"/>
        </w:rPr>
        <w:t> </w:t>
      </w:r>
      <w:r>
        <w:rPr>
          <w:sz w:val="16"/>
        </w:rPr>
        <w:t>€2.92</w:t>
      </w:r>
      <w:r>
        <w:rPr>
          <w:spacing w:val="-1"/>
          <w:sz w:val="16"/>
        </w:rPr>
        <w:t> </w:t>
      </w:r>
      <w:r>
        <w:rPr>
          <w:sz w:val="16"/>
        </w:rPr>
        <w:t>million,</w:t>
      </w:r>
      <w:r>
        <w:rPr>
          <w:spacing w:val="-4"/>
          <w:sz w:val="16"/>
        </w:rPr>
        <w:t> </w:t>
      </w:r>
      <w:r>
        <w:rPr>
          <w:sz w:val="16"/>
        </w:rPr>
        <w:t>€3.22</w:t>
      </w:r>
      <w:r>
        <w:rPr>
          <w:spacing w:val="-2"/>
          <w:sz w:val="16"/>
        </w:rPr>
        <w:t> </w:t>
      </w:r>
      <w:r>
        <w:rPr>
          <w:sz w:val="16"/>
        </w:rPr>
        <w:t>million</w:t>
      </w:r>
      <w:r>
        <w:rPr>
          <w:spacing w:val="-2"/>
          <w:sz w:val="16"/>
        </w:rPr>
        <w:t> </w:t>
      </w:r>
      <w:r>
        <w:rPr>
          <w:sz w:val="16"/>
        </w:rPr>
        <w:t>and</w:t>
      </w:r>
      <w:r>
        <w:rPr>
          <w:spacing w:val="-1"/>
          <w:sz w:val="16"/>
        </w:rPr>
        <w:t> </w:t>
      </w:r>
      <w:r>
        <w:rPr>
          <w:sz w:val="16"/>
        </w:rPr>
        <w:t>3.09</w:t>
      </w:r>
      <w:r>
        <w:rPr>
          <w:spacing w:val="-2"/>
          <w:sz w:val="16"/>
        </w:rPr>
        <w:t> </w:t>
      </w:r>
      <w:r>
        <w:rPr>
          <w:sz w:val="16"/>
        </w:rPr>
        <w:t>million,</w:t>
      </w:r>
      <w:r>
        <w:rPr>
          <w:spacing w:val="-4"/>
          <w:sz w:val="16"/>
        </w:rPr>
        <w:t> </w:t>
      </w:r>
      <w:r>
        <w:rPr>
          <w:spacing w:val="-2"/>
          <w:sz w:val="16"/>
        </w:rPr>
        <w:t>respectively.</w:t>
      </w:r>
    </w:p>
    <w:p>
      <w:pPr>
        <w:spacing w:after="0"/>
        <w:jc w:val="center"/>
        <w:rPr>
          <w:sz w:val="16"/>
        </w:rPr>
        <w:sectPr>
          <w:pgSz w:w="11910" w:h="16840"/>
          <w:pgMar w:header="957" w:footer="940" w:top="1140" w:bottom="1140" w:left="20" w:right="20"/>
        </w:sectPr>
      </w:pPr>
    </w:p>
    <w:p>
      <w:pPr>
        <w:pStyle w:val="BodyText"/>
        <w:spacing w:before="124"/>
        <w:ind w:left="2246" w:right="2238"/>
        <w:jc w:val="both"/>
      </w:pPr>
      <w:r>
        <w:rPr/>
        <w:t>the</w:t>
      </w:r>
      <w:r>
        <w:rPr>
          <w:spacing w:val="-12"/>
        </w:rPr>
        <w:t> </w:t>
      </w:r>
      <w:r>
        <w:rPr/>
        <w:t>volume</w:t>
      </w:r>
      <w:r>
        <w:rPr>
          <w:spacing w:val="-11"/>
        </w:rPr>
        <w:t> </w:t>
      </w:r>
      <w:r>
        <w:rPr/>
        <w:t>of</w:t>
      </w:r>
      <w:r>
        <w:rPr>
          <w:spacing w:val="-13"/>
        </w:rPr>
        <w:t> </w:t>
      </w:r>
      <w:r>
        <w:rPr/>
        <w:t>evidence</w:t>
      </w:r>
      <w:r>
        <w:rPr>
          <w:spacing w:val="-11"/>
        </w:rPr>
        <w:t> </w:t>
      </w:r>
      <w:r>
        <w:rPr/>
        <w:t>and</w:t>
      </w:r>
      <w:r>
        <w:rPr>
          <w:spacing w:val="-13"/>
        </w:rPr>
        <w:t> </w:t>
      </w:r>
      <w:r>
        <w:rPr/>
        <w:t>the</w:t>
      </w:r>
      <w:r>
        <w:rPr>
          <w:spacing w:val="-12"/>
        </w:rPr>
        <w:t> </w:t>
      </w:r>
      <w:r>
        <w:rPr/>
        <w:t>languages</w:t>
      </w:r>
      <w:r>
        <w:rPr>
          <w:spacing w:val="-10"/>
        </w:rPr>
        <w:t> </w:t>
      </w:r>
      <w:r>
        <w:rPr/>
        <w:t>involved</w:t>
      </w:r>
      <w:r>
        <w:rPr>
          <w:spacing w:val="-13"/>
        </w:rPr>
        <w:t> </w:t>
      </w:r>
      <w:r>
        <w:rPr/>
        <w:t>often</w:t>
      </w:r>
      <w:r>
        <w:rPr>
          <w:spacing w:val="-12"/>
        </w:rPr>
        <w:t> </w:t>
      </w:r>
      <w:r>
        <w:rPr/>
        <w:t>exceed</w:t>
      </w:r>
      <w:r>
        <w:rPr>
          <w:spacing w:val="-8"/>
        </w:rPr>
        <w:t> </w:t>
      </w:r>
      <w:r>
        <w:rPr/>
        <w:t>in-house</w:t>
      </w:r>
      <w:r>
        <w:rPr>
          <w:spacing w:val="-7"/>
        </w:rPr>
        <w:t> </w:t>
      </w:r>
      <w:r>
        <w:rPr/>
        <w:t>capacity.</w:t>
      </w:r>
      <w:r>
        <w:rPr>
          <w:spacing w:val="-6"/>
        </w:rPr>
        <w:t> </w:t>
      </w:r>
      <w:r>
        <w:rPr/>
        <w:t>Recourse to</w:t>
      </w:r>
      <w:r>
        <w:rPr>
          <w:spacing w:val="-4"/>
        </w:rPr>
        <w:t> </w:t>
      </w:r>
      <w:r>
        <w:rPr/>
        <w:t>outsourcing</w:t>
      </w:r>
      <w:r>
        <w:rPr>
          <w:spacing w:val="-8"/>
        </w:rPr>
        <w:t> </w:t>
      </w:r>
      <w:r>
        <w:rPr/>
        <w:t>through</w:t>
      </w:r>
      <w:r>
        <w:rPr>
          <w:spacing w:val="-4"/>
        </w:rPr>
        <w:t> </w:t>
      </w:r>
      <w:r>
        <w:rPr/>
        <w:t>vetted</w:t>
      </w:r>
      <w:r>
        <w:rPr>
          <w:spacing w:val="-8"/>
        </w:rPr>
        <w:t> </w:t>
      </w:r>
      <w:r>
        <w:rPr/>
        <w:t>individual</w:t>
      </w:r>
      <w:r>
        <w:rPr>
          <w:spacing w:val="-2"/>
        </w:rPr>
        <w:t> </w:t>
      </w:r>
      <w:r>
        <w:rPr/>
        <w:t>contractors</w:t>
      </w:r>
      <w:r>
        <w:rPr>
          <w:spacing w:val="-10"/>
        </w:rPr>
        <w:t> </w:t>
      </w:r>
      <w:r>
        <w:rPr/>
        <w:t>is</w:t>
      </w:r>
      <w:r>
        <w:rPr>
          <w:spacing w:val="-5"/>
        </w:rPr>
        <w:t> </w:t>
      </w:r>
      <w:r>
        <w:rPr/>
        <w:t>then</w:t>
      </w:r>
      <w:r>
        <w:rPr>
          <w:spacing w:val="-4"/>
        </w:rPr>
        <w:t> </w:t>
      </w:r>
      <w:r>
        <w:rPr/>
        <w:t>necessary.</w:t>
      </w:r>
      <w:r>
        <w:rPr>
          <w:spacing w:val="-6"/>
        </w:rPr>
        <w:t> </w:t>
      </w:r>
      <w:r>
        <w:rPr/>
        <w:t>In</w:t>
      </w:r>
      <w:r>
        <w:rPr>
          <w:spacing w:val="-8"/>
        </w:rPr>
        <w:t> </w:t>
      </w:r>
      <w:r>
        <w:rPr/>
        <w:t>addition,</w:t>
      </w:r>
      <w:r>
        <w:rPr>
          <w:spacing w:val="-6"/>
        </w:rPr>
        <w:t> </w:t>
      </w:r>
      <w:r>
        <w:rPr/>
        <w:t>the</w:t>
      </w:r>
      <w:r>
        <w:rPr>
          <w:spacing w:val="-7"/>
        </w:rPr>
        <w:t> </w:t>
      </w:r>
      <w:r>
        <w:rPr/>
        <w:t>actual amount</w:t>
      </w:r>
      <w:r>
        <w:rPr>
          <w:spacing w:val="-6"/>
        </w:rPr>
        <w:t> </w:t>
      </w:r>
      <w:r>
        <w:rPr/>
        <w:t>spent</w:t>
      </w:r>
      <w:r>
        <w:rPr>
          <w:spacing w:val="-6"/>
        </w:rPr>
        <w:t> </w:t>
      </w:r>
      <w:r>
        <w:rPr/>
        <w:t>for</w:t>
      </w:r>
      <w:r>
        <w:rPr>
          <w:spacing w:val="-12"/>
        </w:rPr>
        <w:t> </w:t>
      </w:r>
      <w:r>
        <w:rPr/>
        <w:t>contractual</w:t>
      </w:r>
      <w:r>
        <w:rPr>
          <w:spacing w:val="-6"/>
        </w:rPr>
        <w:t> </w:t>
      </w:r>
      <w:r>
        <w:rPr/>
        <w:t>services</w:t>
      </w:r>
      <w:r>
        <w:rPr>
          <w:spacing w:val="-9"/>
        </w:rPr>
        <w:t> </w:t>
      </w:r>
      <w:r>
        <w:rPr/>
        <w:t>in</w:t>
      </w:r>
      <w:r>
        <w:rPr>
          <w:spacing w:val="-7"/>
        </w:rPr>
        <w:t> </w:t>
      </w:r>
      <w:r>
        <w:rPr/>
        <w:t>2021</w:t>
      </w:r>
      <w:r>
        <w:rPr>
          <w:spacing w:val="-7"/>
        </w:rPr>
        <w:t> </w:t>
      </w:r>
      <w:r>
        <w:rPr/>
        <w:t>exceeded</w:t>
      </w:r>
      <w:r>
        <w:rPr>
          <w:spacing w:val="-12"/>
        </w:rPr>
        <w:t> </w:t>
      </w:r>
      <w:r>
        <w:rPr/>
        <w:t>the</w:t>
      </w:r>
      <w:r>
        <w:rPr>
          <w:spacing w:val="-10"/>
        </w:rPr>
        <w:t> </w:t>
      </w:r>
      <w:r>
        <w:rPr/>
        <w:t>estimated</w:t>
      </w:r>
      <w:r>
        <w:rPr>
          <w:spacing w:val="-7"/>
        </w:rPr>
        <w:t> </w:t>
      </w:r>
      <w:r>
        <w:rPr/>
        <w:t>cost</w:t>
      </w:r>
      <w:r>
        <w:rPr>
          <w:spacing w:val="-6"/>
        </w:rPr>
        <w:t> </w:t>
      </w:r>
      <w:r>
        <w:rPr/>
        <w:t>that</w:t>
      </w:r>
      <w:r>
        <w:rPr>
          <w:spacing w:val="-6"/>
        </w:rPr>
        <w:t> </w:t>
      </w:r>
      <w:r>
        <w:rPr/>
        <w:t>was</w:t>
      </w:r>
      <w:r>
        <w:rPr>
          <w:spacing w:val="-9"/>
        </w:rPr>
        <w:t> </w:t>
      </w:r>
      <w:r>
        <w:rPr/>
        <w:t>requested through</w:t>
      </w:r>
      <w:r>
        <w:rPr>
          <w:spacing w:val="-13"/>
        </w:rPr>
        <w:t> </w:t>
      </w:r>
      <w:r>
        <w:rPr/>
        <w:t>the</w:t>
      </w:r>
      <w:r>
        <w:rPr>
          <w:spacing w:val="-5"/>
        </w:rPr>
        <w:t> </w:t>
      </w:r>
      <w:r>
        <w:rPr/>
        <w:t>budget,</w:t>
      </w:r>
      <w:r>
        <w:rPr>
          <w:spacing w:val="-10"/>
        </w:rPr>
        <w:t> </w:t>
      </w:r>
      <w:r>
        <w:rPr/>
        <w:t>and</w:t>
      </w:r>
      <w:r>
        <w:rPr>
          <w:spacing w:val="-7"/>
        </w:rPr>
        <w:t> </w:t>
      </w:r>
      <w:r>
        <w:rPr/>
        <w:t>the</w:t>
      </w:r>
      <w:r>
        <w:rPr>
          <w:spacing w:val="-6"/>
        </w:rPr>
        <w:t> </w:t>
      </w:r>
      <w:r>
        <w:rPr/>
        <w:t>projected</w:t>
      </w:r>
      <w:r>
        <w:rPr>
          <w:spacing w:val="-7"/>
        </w:rPr>
        <w:t> </w:t>
      </w:r>
      <w:r>
        <w:rPr/>
        <w:t>implementation</w:t>
      </w:r>
      <w:r>
        <w:rPr>
          <w:spacing w:val="-7"/>
        </w:rPr>
        <w:t> </w:t>
      </w:r>
      <w:r>
        <w:rPr/>
        <w:t>of</w:t>
      </w:r>
      <w:r>
        <w:rPr>
          <w:spacing w:val="-12"/>
        </w:rPr>
        <w:t> </w:t>
      </w:r>
      <w:r>
        <w:rPr/>
        <w:t>this</w:t>
      </w:r>
      <w:r>
        <w:rPr>
          <w:spacing w:val="-13"/>
        </w:rPr>
        <w:t> </w:t>
      </w:r>
      <w:r>
        <w:rPr/>
        <w:t>budget</w:t>
      </w:r>
      <w:r>
        <w:rPr>
          <w:spacing w:val="-5"/>
        </w:rPr>
        <w:t> </w:t>
      </w:r>
      <w:r>
        <w:rPr/>
        <w:t>line</w:t>
      </w:r>
      <w:r>
        <w:rPr>
          <w:spacing w:val="-6"/>
        </w:rPr>
        <w:t> </w:t>
      </w:r>
      <w:r>
        <w:rPr/>
        <w:t>in</w:t>
      </w:r>
      <w:r>
        <w:rPr>
          <w:spacing w:val="-7"/>
        </w:rPr>
        <w:t> </w:t>
      </w:r>
      <w:r>
        <w:rPr/>
        <w:t>2022</w:t>
      </w:r>
      <w:r>
        <w:rPr>
          <w:spacing w:val="-7"/>
        </w:rPr>
        <w:t> </w:t>
      </w:r>
      <w:r>
        <w:rPr/>
        <w:t>is</w:t>
      </w:r>
      <w:r>
        <w:rPr>
          <w:spacing w:val="-9"/>
        </w:rPr>
        <w:t> </w:t>
      </w:r>
      <w:r>
        <w:rPr/>
        <w:t>also</w:t>
      </w:r>
      <w:r>
        <w:rPr>
          <w:spacing w:val="-7"/>
        </w:rPr>
        <w:t> </w:t>
      </w:r>
      <w:r>
        <w:rPr/>
        <w:t>high. It is important for the Court to strive to make estimates of the funds requested that are as accurate as possible, using figures from past implementation and expected levels of future activities.</w:t>
      </w:r>
      <w:r>
        <w:rPr>
          <w:spacing w:val="-6"/>
        </w:rPr>
        <w:t> </w:t>
      </w:r>
      <w:r>
        <w:rPr/>
        <w:t>This</w:t>
      </w:r>
      <w:r>
        <w:rPr>
          <w:spacing w:val="-5"/>
        </w:rPr>
        <w:t> </w:t>
      </w:r>
      <w:r>
        <w:rPr/>
        <w:t>explains</w:t>
      </w:r>
      <w:r>
        <w:rPr>
          <w:spacing w:val="-10"/>
        </w:rPr>
        <w:t> </w:t>
      </w:r>
      <w:r>
        <w:rPr/>
        <w:t>the</w:t>
      </w:r>
      <w:r>
        <w:rPr>
          <w:spacing w:val="-2"/>
        </w:rPr>
        <w:t> </w:t>
      </w:r>
      <w:r>
        <w:rPr/>
        <w:t>increase</w:t>
      </w:r>
      <w:r>
        <w:rPr>
          <w:spacing w:val="-2"/>
        </w:rPr>
        <w:t> </w:t>
      </w:r>
      <w:r>
        <w:rPr/>
        <w:t>in</w:t>
      </w:r>
      <w:r>
        <w:rPr>
          <w:spacing w:val="-4"/>
        </w:rPr>
        <w:t> </w:t>
      </w:r>
      <w:r>
        <w:rPr/>
        <w:t>contractual</w:t>
      </w:r>
      <w:r>
        <w:rPr>
          <w:spacing w:val="-2"/>
        </w:rPr>
        <w:t> </w:t>
      </w:r>
      <w:r>
        <w:rPr/>
        <w:t>services</w:t>
      </w:r>
      <w:r>
        <w:rPr>
          <w:spacing w:val="-10"/>
        </w:rPr>
        <w:t> </w:t>
      </w:r>
      <w:r>
        <w:rPr/>
        <w:t>requested</w:t>
      </w:r>
      <w:r>
        <w:rPr>
          <w:spacing w:val="-8"/>
        </w:rPr>
        <w:t> </w:t>
      </w:r>
      <w:r>
        <w:rPr/>
        <w:t>in</w:t>
      </w:r>
      <w:r>
        <w:rPr>
          <w:spacing w:val="-8"/>
        </w:rPr>
        <w:t> </w:t>
      </w:r>
      <w:r>
        <w:rPr/>
        <w:t>the</w:t>
      </w:r>
      <w:r>
        <w:rPr>
          <w:spacing w:val="-7"/>
        </w:rPr>
        <w:t> </w:t>
      </w:r>
      <w:r>
        <w:rPr/>
        <w:t>2023</w:t>
      </w:r>
      <w:r>
        <w:rPr>
          <w:spacing w:val="-8"/>
        </w:rPr>
        <w:t> </w:t>
      </w:r>
      <w:r>
        <w:rPr/>
        <w:t>proposal.</w:t>
      </w:r>
      <w:r>
        <w:rPr>
          <w:vertAlign w:val="superscript"/>
        </w:rPr>
        <w:t>38</w:t>
      </w:r>
    </w:p>
    <w:p>
      <w:pPr>
        <w:pStyle w:val="ListParagraph"/>
        <w:numPr>
          <w:ilvl w:val="0"/>
          <w:numId w:val="4"/>
        </w:numPr>
        <w:tabs>
          <w:tab w:pos="2967" w:val="left" w:leader="none"/>
        </w:tabs>
        <w:spacing w:line="240" w:lineRule="auto" w:before="124" w:after="0"/>
        <w:ind w:left="2246" w:right="2235" w:firstLine="0"/>
        <w:jc w:val="both"/>
        <w:rPr>
          <w:sz w:val="20"/>
        </w:rPr>
      </w:pPr>
      <w:r>
        <w:rPr>
          <w:sz w:val="20"/>
        </w:rPr>
        <w:t>The Court has made progress in the implementation of a common platform for the administration</w:t>
      </w:r>
      <w:r>
        <w:rPr>
          <w:spacing w:val="-13"/>
          <w:sz w:val="20"/>
        </w:rPr>
        <w:t> </w:t>
      </w:r>
      <w:r>
        <w:rPr>
          <w:sz w:val="20"/>
        </w:rPr>
        <w:t>of</w:t>
      </w:r>
      <w:r>
        <w:rPr>
          <w:spacing w:val="-12"/>
          <w:sz w:val="20"/>
        </w:rPr>
        <w:t> </w:t>
      </w:r>
      <w:r>
        <w:rPr>
          <w:sz w:val="20"/>
        </w:rPr>
        <w:t>training</w:t>
      </w:r>
      <w:r>
        <w:rPr>
          <w:spacing w:val="-13"/>
          <w:sz w:val="20"/>
        </w:rPr>
        <w:t> </w:t>
      </w:r>
      <w:r>
        <w:rPr>
          <w:sz w:val="20"/>
        </w:rPr>
        <w:t>through</w:t>
      </w:r>
      <w:r>
        <w:rPr>
          <w:spacing w:val="-12"/>
          <w:sz w:val="20"/>
        </w:rPr>
        <w:t> </w:t>
      </w:r>
      <w:r>
        <w:rPr>
          <w:sz w:val="20"/>
        </w:rPr>
        <w:t>e-learning</w:t>
      </w:r>
      <w:r>
        <w:rPr>
          <w:spacing w:val="-13"/>
          <w:sz w:val="20"/>
        </w:rPr>
        <w:t> </w:t>
      </w:r>
      <w:r>
        <w:rPr>
          <w:sz w:val="20"/>
        </w:rPr>
        <w:t>tools.</w:t>
      </w:r>
      <w:r>
        <w:rPr>
          <w:spacing w:val="-11"/>
          <w:sz w:val="20"/>
        </w:rPr>
        <w:t> </w:t>
      </w:r>
      <w:r>
        <w:rPr>
          <w:sz w:val="20"/>
        </w:rPr>
        <w:t>All</w:t>
      </w:r>
      <w:r>
        <w:rPr>
          <w:spacing w:val="-11"/>
          <w:sz w:val="20"/>
        </w:rPr>
        <w:t> </w:t>
      </w:r>
      <w:r>
        <w:rPr>
          <w:sz w:val="20"/>
        </w:rPr>
        <w:t>Major</w:t>
      </w:r>
      <w:r>
        <w:rPr>
          <w:spacing w:val="-13"/>
          <w:sz w:val="20"/>
        </w:rPr>
        <w:t> </w:t>
      </w:r>
      <w:r>
        <w:rPr>
          <w:sz w:val="20"/>
        </w:rPr>
        <w:t>Programmes</w:t>
      </w:r>
      <w:r>
        <w:rPr>
          <w:spacing w:val="-9"/>
          <w:sz w:val="20"/>
        </w:rPr>
        <w:t> </w:t>
      </w:r>
      <w:r>
        <w:rPr>
          <w:sz w:val="20"/>
        </w:rPr>
        <w:t>benefit</w:t>
      </w:r>
      <w:r>
        <w:rPr>
          <w:spacing w:val="-11"/>
          <w:sz w:val="20"/>
        </w:rPr>
        <w:t> </w:t>
      </w:r>
      <w:r>
        <w:rPr>
          <w:sz w:val="20"/>
        </w:rPr>
        <w:t>from</w:t>
      </w:r>
      <w:r>
        <w:rPr>
          <w:spacing w:val="-11"/>
          <w:sz w:val="20"/>
        </w:rPr>
        <w:t> </w:t>
      </w:r>
      <w:r>
        <w:rPr>
          <w:sz w:val="20"/>
        </w:rPr>
        <w:t>these positive developments. However, some specific training is still necessary depending on the mandate</w:t>
      </w:r>
      <w:r>
        <w:rPr>
          <w:spacing w:val="-13"/>
          <w:sz w:val="20"/>
        </w:rPr>
        <w:t> </w:t>
      </w:r>
      <w:r>
        <w:rPr>
          <w:sz w:val="20"/>
        </w:rPr>
        <w:t>and</w:t>
      </w:r>
      <w:r>
        <w:rPr>
          <w:spacing w:val="-12"/>
          <w:sz w:val="20"/>
        </w:rPr>
        <w:t> </w:t>
      </w:r>
      <w:r>
        <w:rPr>
          <w:sz w:val="20"/>
        </w:rPr>
        <w:t>type</w:t>
      </w:r>
      <w:r>
        <w:rPr>
          <w:spacing w:val="-11"/>
          <w:sz w:val="20"/>
        </w:rPr>
        <w:t> </w:t>
      </w:r>
      <w:r>
        <w:rPr>
          <w:sz w:val="20"/>
        </w:rPr>
        <w:t>of</w:t>
      </w:r>
      <w:r>
        <w:rPr>
          <w:spacing w:val="-13"/>
          <w:sz w:val="20"/>
        </w:rPr>
        <w:t> </w:t>
      </w:r>
      <w:r>
        <w:rPr>
          <w:sz w:val="20"/>
        </w:rPr>
        <w:t>activities</w:t>
      </w:r>
      <w:r>
        <w:rPr>
          <w:spacing w:val="-10"/>
          <w:sz w:val="20"/>
        </w:rPr>
        <w:t> </w:t>
      </w:r>
      <w:r>
        <w:rPr>
          <w:sz w:val="20"/>
        </w:rPr>
        <w:t>performed</w:t>
      </w:r>
      <w:r>
        <w:rPr>
          <w:spacing w:val="-8"/>
          <w:sz w:val="20"/>
        </w:rPr>
        <w:t> </w:t>
      </w:r>
      <w:r>
        <w:rPr>
          <w:sz w:val="20"/>
        </w:rPr>
        <w:t>by</w:t>
      </w:r>
      <w:r>
        <w:rPr>
          <w:spacing w:val="-13"/>
          <w:sz w:val="20"/>
        </w:rPr>
        <w:t> </w:t>
      </w:r>
      <w:r>
        <w:rPr>
          <w:sz w:val="20"/>
        </w:rPr>
        <w:t>the</w:t>
      </w:r>
      <w:r>
        <w:rPr>
          <w:spacing w:val="-7"/>
          <w:sz w:val="20"/>
        </w:rPr>
        <w:t> </w:t>
      </w:r>
      <w:r>
        <w:rPr>
          <w:sz w:val="20"/>
        </w:rPr>
        <w:t>staff</w:t>
      </w:r>
      <w:r>
        <w:rPr>
          <w:spacing w:val="-8"/>
          <w:sz w:val="20"/>
        </w:rPr>
        <w:t> </w:t>
      </w:r>
      <w:r>
        <w:rPr>
          <w:sz w:val="20"/>
        </w:rPr>
        <w:t>in</w:t>
      </w:r>
      <w:r>
        <w:rPr>
          <w:spacing w:val="-8"/>
          <w:sz w:val="20"/>
        </w:rPr>
        <w:t> </w:t>
      </w:r>
      <w:r>
        <w:rPr>
          <w:sz w:val="20"/>
        </w:rPr>
        <w:t>the</w:t>
      </w:r>
      <w:r>
        <w:rPr>
          <w:spacing w:val="-7"/>
          <w:sz w:val="20"/>
        </w:rPr>
        <w:t> </w:t>
      </w:r>
      <w:r>
        <w:rPr>
          <w:sz w:val="20"/>
        </w:rPr>
        <w:t>different</w:t>
      </w:r>
      <w:r>
        <w:rPr>
          <w:spacing w:val="-7"/>
          <w:sz w:val="20"/>
        </w:rPr>
        <w:t> </w:t>
      </w:r>
      <w:r>
        <w:rPr>
          <w:sz w:val="20"/>
        </w:rPr>
        <w:t>Major</w:t>
      </w:r>
      <w:r>
        <w:rPr>
          <w:spacing w:val="-13"/>
          <w:sz w:val="20"/>
        </w:rPr>
        <w:t> </w:t>
      </w:r>
      <w:r>
        <w:rPr>
          <w:sz w:val="20"/>
        </w:rPr>
        <w:t>Programmes.</w:t>
      </w:r>
      <w:r>
        <w:rPr>
          <w:spacing w:val="-6"/>
          <w:sz w:val="20"/>
        </w:rPr>
        <w:t> </w:t>
      </w:r>
      <w:r>
        <w:rPr>
          <w:sz w:val="20"/>
        </w:rPr>
        <w:t>The OTP</w:t>
      </w:r>
      <w:r>
        <w:rPr>
          <w:spacing w:val="-13"/>
          <w:sz w:val="20"/>
        </w:rPr>
        <w:t> </w:t>
      </w:r>
      <w:r>
        <w:rPr>
          <w:sz w:val="20"/>
        </w:rPr>
        <w:t>collaborates</w:t>
      </w:r>
      <w:r>
        <w:rPr>
          <w:spacing w:val="-12"/>
          <w:sz w:val="20"/>
        </w:rPr>
        <w:t> </w:t>
      </w:r>
      <w:r>
        <w:rPr>
          <w:sz w:val="20"/>
        </w:rPr>
        <w:t>closely</w:t>
      </w:r>
      <w:r>
        <w:rPr>
          <w:spacing w:val="-13"/>
          <w:sz w:val="20"/>
        </w:rPr>
        <w:t> </w:t>
      </w:r>
      <w:r>
        <w:rPr>
          <w:sz w:val="20"/>
        </w:rPr>
        <w:t>with</w:t>
      </w:r>
      <w:r>
        <w:rPr>
          <w:spacing w:val="-12"/>
          <w:sz w:val="20"/>
        </w:rPr>
        <w:t> </w:t>
      </w:r>
      <w:r>
        <w:rPr>
          <w:sz w:val="20"/>
        </w:rPr>
        <w:t>the</w:t>
      </w:r>
      <w:r>
        <w:rPr>
          <w:spacing w:val="-13"/>
          <w:sz w:val="20"/>
        </w:rPr>
        <w:t> </w:t>
      </w:r>
      <w:r>
        <w:rPr>
          <w:sz w:val="20"/>
        </w:rPr>
        <w:t>Registry’s</w:t>
      </w:r>
      <w:r>
        <w:rPr>
          <w:spacing w:val="-12"/>
          <w:sz w:val="20"/>
        </w:rPr>
        <w:t> </w:t>
      </w:r>
      <w:r>
        <w:rPr>
          <w:sz w:val="20"/>
        </w:rPr>
        <w:t>Organizational</w:t>
      </w:r>
      <w:r>
        <w:rPr>
          <w:spacing w:val="-13"/>
          <w:sz w:val="20"/>
        </w:rPr>
        <w:t> </w:t>
      </w:r>
      <w:r>
        <w:rPr>
          <w:sz w:val="20"/>
        </w:rPr>
        <w:t>Development</w:t>
      </w:r>
      <w:r>
        <w:rPr>
          <w:spacing w:val="-12"/>
          <w:sz w:val="20"/>
        </w:rPr>
        <w:t> </w:t>
      </w:r>
      <w:r>
        <w:rPr>
          <w:sz w:val="20"/>
        </w:rPr>
        <w:t>Unit</w:t>
      </w:r>
      <w:r>
        <w:rPr>
          <w:spacing w:val="-13"/>
          <w:sz w:val="20"/>
        </w:rPr>
        <w:t> </w:t>
      </w:r>
      <w:r>
        <w:rPr>
          <w:sz w:val="20"/>
        </w:rPr>
        <w:t>in</w:t>
      </w:r>
      <w:r>
        <w:rPr>
          <w:spacing w:val="-12"/>
          <w:sz w:val="20"/>
        </w:rPr>
        <w:t> </w:t>
      </w:r>
      <w:r>
        <w:rPr>
          <w:sz w:val="20"/>
        </w:rPr>
        <w:t>the</w:t>
      </w:r>
      <w:r>
        <w:rPr>
          <w:spacing w:val="-13"/>
          <w:sz w:val="20"/>
        </w:rPr>
        <w:t> </w:t>
      </w:r>
      <w:r>
        <w:rPr>
          <w:sz w:val="20"/>
        </w:rPr>
        <w:t>Human Resources Section to identify opportunities for joint inter-organ training and soft-skill development,</w:t>
      </w:r>
      <w:r>
        <w:rPr>
          <w:spacing w:val="-8"/>
          <w:sz w:val="20"/>
        </w:rPr>
        <w:t> </w:t>
      </w:r>
      <w:r>
        <w:rPr>
          <w:sz w:val="20"/>
        </w:rPr>
        <w:t>where</w:t>
      </w:r>
      <w:r>
        <w:rPr>
          <w:spacing w:val="-4"/>
          <w:sz w:val="20"/>
        </w:rPr>
        <w:t> </w:t>
      </w:r>
      <w:r>
        <w:rPr>
          <w:sz w:val="20"/>
        </w:rPr>
        <w:t>possible.</w:t>
      </w:r>
      <w:r>
        <w:rPr>
          <w:spacing w:val="-3"/>
          <w:sz w:val="20"/>
        </w:rPr>
        <w:t> </w:t>
      </w:r>
      <w:r>
        <w:rPr>
          <w:sz w:val="20"/>
        </w:rPr>
        <w:t>At</w:t>
      </w:r>
      <w:r>
        <w:rPr>
          <w:spacing w:val="-4"/>
          <w:sz w:val="20"/>
        </w:rPr>
        <w:t> </w:t>
      </w:r>
      <w:r>
        <w:rPr>
          <w:sz w:val="20"/>
        </w:rPr>
        <w:t>the</w:t>
      </w:r>
      <w:r>
        <w:rPr>
          <w:spacing w:val="-4"/>
          <w:sz w:val="20"/>
        </w:rPr>
        <w:t> </w:t>
      </w:r>
      <w:r>
        <w:rPr>
          <w:sz w:val="20"/>
        </w:rPr>
        <w:t>same</w:t>
      </w:r>
      <w:r>
        <w:rPr>
          <w:spacing w:val="-4"/>
          <w:sz w:val="20"/>
        </w:rPr>
        <w:t> </w:t>
      </w:r>
      <w:r>
        <w:rPr>
          <w:sz w:val="20"/>
        </w:rPr>
        <w:t>time,</w:t>
      </w:r>
      <w:r>
        <w:rPr>
          <w:spacing w:val="-3"/>
          <w:sz w:val="20"/>
        </w:rPr>
        <w:t> </w:t>
      </w:r>
      <w:r>
        <w:rPr>
          <w:sz w:val="20"/>
        </w:rPr>
        <w:t>the</w:t>
      </w:r>
      <w:r>
        <w:rPr>
          <w:spacing w:val="-4"/>
          <w:sz w:val="20"/>
        </w:rPr>
        <w:t> </w:t>
      </w:r>
      <w:r>
        <w:rPr>
          <w:sz w:val="20"/>
        </w:rPr>
        <w:t>OTP</w:t>
      </w:r>
      <w:r>
        <w:rPr>
          <w:spacing w:val="-7"/>
          <w:sz w:val="20"/>
        </w:rPr>
        <w:t> </w:t>
      </w:r>
      <w:r>
        <w:rPr>
          <w:sz w:val="20"/>
        </w:rPr>
        <w:t>has</w:t>
      </w:r>
      <w:r>
        <w:rPr>
          <w:spacing w:val="-11"/>
          <w:sz w:val="20"/>
        </w:rPr>
        <w:t> </w:t>
      </w:r>
      <w:r>
        <w:rPr>
          <w:sz w:val="20"/>
        </w:rPr>
        <w:t>a</w:t>
      </w:r>
      <w:r>
        <w:rPr>
          <w:spacing w:val="-4"/>
          <w:sz w:val="20"/>
        </w:rPr>
        <w:t> </w:t>
      </w:r>
      <w:r>
        <w:rPr>
          <w:sz w:val="20"/>
        </w:rPr>
        <w:t>centralized</w:t>
      </w:r>
      <w:r>
        <w:rPr>
          <w:spacing w:val="-9"/>
          <w:sz w:val="20"/>
        </w:rPr>
        <w:t> </w:t>
      </w:r>
      <w:r>
        <w:rPr>
          <w:sz w:val="20"/>
        </w:rPr>
        <w:t>training</w:t>
      </w:r>
      <w:r>
        <w:rPr>
          <w:spacing w:val="-6"/>
          <w:sz w:val="20"/>
        </w:rPr>
        <w:t> </w:t>
      </w:r>
      <w:r>
        <w:rPr>
          <w:sz w:val="20"/>
        </w:rPr>
        <w:t>budget</w:t>
      </w:r>
      <w:r>
        <w:rPr>
          <w:spacing w:val="-4"/>
          <w:sz w:val="20"/>
        </w:rPr>
        <w:t> </w:t>
      </w:r>
      <w:r>
        <w:rPr>
          <w:sz w:val="20"/>
        </w:rPr>
        <w:t>to address</w:t>
      </w:r>
      <w:r>
        <w:rPr>
          <w:spacing w:val="-9"/>
          <w:sz w:val="20"/>
        </w:rPr>
        <w:t> </w:t>
      </w:r>
      <w:r>
        <w:rPr>
          <w:sz w:val="20"/>
        </w:rPr>
        <w:t>its</w:t>
      </w:r>
      <w:r>
        <w:rPr>
          <w:spacing w:val="-9"/>
          <w:sz w:val="20"/>
        </w:rPr>
        <w:t> </w:t>
      </w:r>
      <w:r>
        <w:rPr>
          <w:sz w:val="20"/>
        </w:rPr>
        <w:t>annual</w:t>
      </w:r>
      <w:r>
        <w:rPr>
          <w:spacing w:val="-6"/>
          <w:sz w:val="20"/>
        </w:rPr>
        <w:t> </w:t>
      </w:r>
      <w:r>
        <w:rPr>
          <w:sz w:val="20"/>
        </w:rPr>
        <w:t>training</w:t>
      </w:r>
      <w:r>
        <w:rPr>
          <w:spacing w:val="-7"/>
          <w:sz w:val="20"/>
        </w:rPr>
        <w:t> </w:t>
      </w:r>
      <w:r>
        <w:rPr>
          <w:sz w:val="20"/>
        </w:rPr>
        <w:t>needs</w:t>
      </w:r>
      <w:r>
        <w:rPr>
          <w:spacing w:val="-9"/>
          <w:sz w:val="20"/>
        </w:rPr>
        <w:t> </w:t>
      </w:r>
      <w:r>
        <w:rPr>
          <w:sz w:val="20"/>
        </w:rPr>
        <w:t>and</w:t>
      </w:r>
      <w:r>
        <w:rPr>
          <w:spacing w:val="-12"/>
          <w:sz w:val="20"/>
        </w:rPr>
        <w:t> </w:t>
      </w:r>
      <w:r>
        <w:rPr>
          <w:sz w:val="20"/>
        </w:rPr>
        <w:t>make</w:t>
      </w:r>
      <w:r>
        <w:rPr>
          <w:spacing w:val="-1"/>
          <w:sz w:val="20"/>
        </w:rPr>
        <w:t> </w:t>
      </w:r>
      <w:r>
        <w:rPr>
          <w:sz w:val="20"/>
        </w:rPr>
        <w:t>sure</w:t>
      </w:r>
      <w:r>
        <w:rPr>
          <w:spacing w:val="-6"/>
          <w:sz w:val="20"/>
        </w:rPr>
        <w:t> </w:t>
      </w:r>
      <w:r>
        <w:rPr>
          <w:sz w:val="20"/>
        </w:rPr>
        <w:t>that</w:t>
      </w:r>
      <w:r>
        <w:rPr>
          <w:spacing w:val="-6"/>
          <w:sz w:val="20"/>
        </w:rPr>
        <w:t> </w:t>
      </w:r>
      <w:r>
        <w:rPr>
          <w:sz w:val="20"/>
        </w:rPr>
        <w:t>staff</w:t>
      </w:r>
      <w:r>
        <w:rPr>
          <w:spacing w:val="-7"/>
          <w:sz w:val="20"/>
        </w:rPr>
        <w:t> </w:t>
      </w:r>
      <w:r>
        <w:rPr>
          <w:sz w:val="20"/>
        </w:rPr>
        <w:t>receive</w:t>
      </w:r>
      <w:r>
        <w:rPr>
          <w:spacing w:val="-6"/>
          <w:sz w:val="20"/>
        </w:rPr>
        <w:t> </w:t>
      </w:r>
      <w:r>
        <w:rPr>
          <w:sz w:val="20"/>
        </w:rPr>
        <w:t>adequate</w:t>
      </w:r>
      <w:r>
        <w:rPr>
          <w:spacing w:val="-6"/>
          <w:sz w:val="20"/>
        </w:rPr>
        <w:t> </w:t>
      </w:r>
      <w:r>
        <w:rPr>
          <w:sz w:val="20"/>
        </w:rPr>
        <w:t>training</w:t>
      </w:r>
      <w:r>
        <w:rPr>
          <w:spacing w:val="-7"/>
          <w:sz w:val="20"/>
        </w:rPr>
        <w:t> </w:t>
      </w:r>
      <w:r>
        <w:rPr>
          <w:sz w:val="20"/>
        </w:rPr>
        <w:t>to</w:t>
      </w:r>
      <w:r>
        <w:rPr>
          <w:spacing w:val="-7"/>
          <w:sz w:val="20"/>
        </w:rPr>
        <w:t> </w:t>
      </w:r>
      <w:r>
        <w:rPr>
          <w:sz w:val="20"/>
        </w:rPr>
        <w:t>be</w:t>
      </w:r>
      <w:r>
        <w:rPr>
          <w:spacing w:val="-10"/>
          <w:sz w:val="20"/>
        </w:rPr>
        <w:t> </w:t>
      </w:r>
      <w:r>
        <w:rPr>
          <w:sz w:val="20"/>
        </w:rPr>
        <w:t>able to perform their activities.</w:t>
      </w:r>
    </w:p>
    <w:p>
      <w:pPr>
        <w:pStyle w:val="ListParagraph"/>
        <w:numPr>
          <w:ilvl w:val="0"/>
          <w:numId w:val="4"/>
        </w:numPr>
        <w:tabs>
          <w:tab w:pos="2967" w:val="left" w:leader="none"/>
        </w:tabs>
        <w:spacing w:line="240" w:lineRule="auto" w:before="119" w:after="0"/>
        <w:ind w:left="2246" w:right="2236" w:firstLine="0"/>
        <w:jc w:val="both"/>
        <w:rPr>
          <w:sz w:val="20"/>
        </w:rPr>
      </w:pPr>
      <w:r>
        <w:rPr>
          <w:sz w:val="20"/>
        </w:rPr>
        <w:t>A total of €100.0 thousand is requested for the 2023 PPB, the same amount as in the</w:t>
      </w:r>
      <w:r>
        <w:rPr>
          <w:spacing w:val="-1"/>
          <w:sz w:val="20"/>
        </w:rPr>
        <w:t> </w:t>
      </w:r>
      <w:r>
        <w:rPr>
          <w:sz w:val="20"/>
        </w:rPr>
        <w:t>2022 approved budget. This remains a significant reduction in pre-2022 levels, during which €290.0 thousand was approved for OTP-specific training.</w:t>
      </w:r>
      <w:r>
        <w:rPr>
          <w:sz w:val="20"/>
          <w:vertAlign w:val="superscript"/>
        </w:rPr>
        <w:t>39</w:t>
      </w:r>
      <w:r>
        <w:rPr>
          <w:sz w:val="20"/>
          <w:vertAlign w:val="baseline"/>
        </w:rPr>
        <w:t> Implementation and assessment of OTP-specific training programmes will continue to be led by the OTP-HR Liaison Office (OTP-HR).</w:t>
      </w:r>
    </w:p>
    <w:p>
      <w:pPr>
        <w:pStyle w:val="ListParagraph"/>
        <w:numPr>
          <w:ilvl w:val="0"/>
          <w:numId w:val="4"/>
        </w:numPr>
        <w:tabs>
          <w:tab w:pos="2967" w:val="left" w:leader="none"/>
        </w:tabs>
        <w:spacing w:line="240" w:lineRule="auto" w:before="123" w:after="0"/>
        <w:ind w:left="2246" w:right="2241" w:firstLine="0"/>
        <w:jc w:val="both"/>
        <w:rPr>
          <w:sz w:val="20"/>
        </w:rPr>
      </w:pPr>
      <w:r>
        <w:rPr>
          <w:sz w:val="20"/>
        </w:rPr>
        <w:t>Where</w:t>
      </w:r>
      <w:r>
        <w:rPr>
          <w:spacing w:val="-4"/>
          <w:sz w:val="20"/>
        </w:rPr>
        <w:t> </w:t>
      </w:r>
      <w:r>
        <w:rPr>
          <w:sz w:val="20"/>
        </w:rPr>
        <w:t>specialised</w:t>
      </w:r>
      <w:r>
        <w:rPr>
          <w:spacing w:val="-6"/>
          <w:sz w:val="20"/>
        </w:rPr>
        <w:t> </w:t>
      </w:r>
      <w:r>
        <w:rPr>
          <w:sz w:val="20"/>
        </w:rPr>
        <w:t>expertise</w:t>
      </w:r>
      <w:r>
        <w:rPr>
          <w:spacing w:val="-4"/>
          <w:sz w:val="20"/>
        </w:rPr>
        <w:t> </w:t>
      </w:r>
      <w:r>
        <w:rPr>
          <w:sz w:val="20"/>
        </w:rPr>
        <w:t>required</w:t>
      </w:r>
      <w:r>
        <w:rPr>
          <w:spacing w:val="-6"/>
          <w:sz w:val="20"/>
        </w:rPr>
        <w:t> </w:t>
      </w:r>
      <w:r>
        <w:rPr>
          <w:sz w:val="20"/>
        </w:rPr>
        <w:t>for</w:t>
      </w:r>
      <w:r>
        <w:rPr>
          <w:spacing w:val="-6"/>
          <w:sz w:val="20"/>
        </w:rPr>
        <w:t> </w:t>
      </w:r>
      <w:r>
        <w:rPr>
          <w:sz w:val="20"/>
        </w:rPr>
        <w:t>the</w:t>
      </w:r>
      <w:r>
        <w:rPr>
          <w:spacing w:val="-4"/>
          <w:sz w:val="20"/>
        </w:rPr>
        <w:t> </w:t>
      </w:r>
      <w:r>
        <w:rPr>
          <w:sz w:val="20"/>
        </w:rPr>
        <w:t>conduct</w:t>
      </w:r>
      <w:r>
        <w:rPr>
          <w:spacing w:val="-4"/>
          <w:sz w:val="20"/>
        </w:rPr>
        <w:t> </w:t>
      </w:r>
      <w:r>
        <w:rPr>
          <w:sz w:val="20"/>
        </w:rPr>
        <w:t>of</w:t>
      </w:r>
      <w:r>
        <w:rPr>
          <w:spacing w:val="-6"/>
          <w:sz w:val="20"/>
        </w:rPr>
        <w:t> </w:t>
      </w:r>
      <w:r>
        <w:rPr>
          <w:sz w:val="20"/>
        </w:rPr>
        <w:t>investigative</w:t>
      </w:r>
      <w:r>
        <w:rPr>
          <w:spacing w:val="-4"/>
          <w:sz w:val="20"/>
        </w:rPr>
        <w:t> </w:t>
      </w:r>
      <w:r>
        <w:rPr>
          <w:sz w:val="20"/>
        </w:rPr>
        <w:t>and</w:t>
      </w:r>
      <w:r>
        <w:rPr>
          <w:spacing w:val="-6"/>
          <w:sz w:val="20"/>
        </w:rPr>
        <w:t> </w:t>
      </w:r>
      <w:r>
        <w:rPr>
          <w:sz w:val="20"/>
        </w:rPr>
        <w:t>analytical activities is not available within OTP staffing, the Office is required to collaborate with external experts, hired under consultancy contracts. Funds</w:t>
      </w:r>
      <w:r>
        <w:rPr>
          <w:spacing w:val="-1"/>
          <w:sz w:val="20"/>
        </w:rPr>
        <w:t> </w:t>
      </w:r>
      <w:r>
        <w:rPr>
          <w:sz w:val="20"/>
        </w:rPr>
        <w:t>are requested in the 2023 budget to obtain specific expert assistance in investigative and trial support activities including exhumations and forensic analysis, digital evidence corroboration, voice and facial recognition analysis, and the production of ballistic reports. The increase in the number of trials</w:t>
      </w:r>
      <w:r>
        <w:rPr>
          <w:spacing w:val="-6"/>
          <w:sz w:val="20"/>
        </w:rPr>
        <w:t> </w:t>
      </w:r>
      <w:r>
        <w:rPr>
          <w:sz w:val="20"/>
        </w:rPr>
        <w:t>and</w:t>
      </w:r>
      <w:r>
        <w:rPr>
          <w:spacing w:val="-5"/>
          <w:sz w:val="20"/>
        </w:rPr>
        <w:t> </w:t>
      </w:r>
      <w:r>
        <w:rPr>
          <w:sz w:val="20"/>
        </w:rPr>
        <w:t>investigations</w:t>
      </w:r>
      <w:r>
        <w:rPr>
          <w:spacing w:val="-6"/>
          <w:sz w:val="20"/>
        </w:rPr>
        <w:t> </w:t>
      </w:r>
      <w:r>
        <w:rPr>
          <w:sz w:val="20"/>
        </w:rPr>
        <w:t>rendered</w:t>
      </w:r>
      <w:r>
        <w:rPr>
          <w:spacing w:val="-5"/>
          <w:sz w:val="20"/>
        </w:rPr>
        <w:t> </w:t>
      </w:r>
      <w:r>
        <w:rPr>
          <w:sz w:val="20"/>
        </w:rPr>
        <w:t>the</w:t>
      </w:r>
      <w:r>
        <w:rPr>
          <w:spacing w:val="-3"/>
          <w:sz w:val="20"/>
        </w:rPr>
        <w:t> </w:t>
      </w:r>
      <w:r>
        <w:rPr>
          <w:sz w:val="20"/>
        </w:rPr>
        <w:t>2022</w:t>
      </w:r>
      <w:r>
        <w:rPr>
          <w:spacing w:val="-5"/>
          <w:sz w:val="20"/>
        </w:rPr>
        <w:t> </w:t>
      </w:r>
      <w:r>
        <w:rPr>
          <w:sz w:val="20"/>
        </w:rPr>
        <w:t>approved</w:t>
      </w:r>
      <w:r>
        <w:rPr>
          <w:spacing w:val="-5"/>
          <w:sz w:val="20"/>
        </w:rPr>
        <w:t> </w:t>
      </w:r>
      <w:r>
        <w:rPr>
          <w:sz w:val="20"/>
        </w:rPr>
        <w:t>budget</w:t>
      </w:r>
      <w:r>
        <w:rPr>
          <w:spacing w:val="-8"/>
          <w:sz w:val="20"/>
        </w:rPr>
        <w:t> </w:t>
      </w:r>
      <w:r>
        <w:rPr>
          <w:sz w:val="20"/>
        </w:rPr>
        <w:t>insufficient</w:t>
      </w:r>
      <w:r>
        <w:rPr>
          <w:spacing w:val="-3"/>
          <w:sz w:val="20"/>
        </w:rPr>
        <w:t> </w:t>
      </w:r>
      <w:r>
        <w:rPr>
          <w:sz w:val="20"/>
        </w:rPr>
        <w:t>to</w:t>
      </w:r>
      <w:r>
        <w:rPr>
          <w:spacing w:val="-5"/>
          <w:sz w:val="20"/>
        </w:rPr>
        <w:t> </w:t>
      </w:r>
      <w:r>
        <w:rPr>
          <w:sz w:val="20"/>
        </w:rPr>
        <w:t>address</w:t>
      </w:r>
      <w:r>
        <w:rPr>
          <w:spacing w:val="-6"/>
          <w:sz w:val="20"/>
        </w:rPr>
        <w:t> </w:t>
      </w:r>
      <w:r>
        <w:rPr>
          <w:sz w:val="20"/>
        </w:rPr>
        <w:t>the</w:t>
      </w:r>
      <w:r>
        <w:rPr>
          <w:spacing w:val="-3"/>
          <w:sz w:val="20"/>
        </w:rPr>
        <w:t> </w:t>
      </w:r>
      <w:r>
        <w:rPr>
          <w:sz w:val="20"/>
        </w:rPr>
        <w:t>needs of</w:t>
      </w:r>
      <w:r>
        <w:rPr>
          <w:spacing w:val="-10"/>
          <w:sz w:val="20"/>
        </w:rPr>
        <w:t> </w:t>
      </w:r>
      <w:r>
        <w:rPr>
          <w:sz w:val="20"/>
        </w:rPr>
        <w:t>the</w:t>
      </w:r>
      <w:r>
        <w:rPr>
          <w:spacing w:val="-8"/>
          <w:sz w:val="20"/>
        </w:rPr>
        <w:t> </w:t>
      </w:r>
      <w:r>
        <w:rPr>
          <w:sz w:val="20"/>
        </w:rPr>
        <w:t>Office</w:t>
      </w:r>
      <w:r>
        <w:rPr>
          <w:spacing w:val="-8"/>
          <w:sz w:val="20"/>
        </w:rPr>
        <w:t> </w:t>
      </w:r>
      <w:r>
        <w:rPr>
          <w:sz w:val="20"/>
        </w:rPr>
        <w:t>for</w:t>
      </w:r>
      <w:r>
        <w:rPr>
          <w:spacing w:val="-13"/>
          <w:sz w:val="20"/>
        </w:rPr>
        <w:t> </w:t>
      </w:r>
      <w:r>
        <w:rPr>
          <w:sz w:val="20"/>
        </w:rPr>
        <w:t>consultancy</w:t>
      </w:r>
      <w:r>
        <w:rPr>
          <w:spacing w:val="-9"/>
          <w:sz w:val="20"/>
        </w:rPr>
        <w:t> </w:t>
      </w:r>
      <w:r>
        <w:rPr>
          <w:sz w:val="20"/>
        </w:rPr>
        <w:t>services.</w:t>
      </w:r>
      <w:r>
        <w:rPr>
          <w:spacing w:val="-4"/>
          <w:sz w:val="20"/>
        </w:rPr>
        <w:t> </w:t>
      </w:r>
      <w:r>
        <w:rPr>
          <w:sz w:val="20"/>
        </w:rPr>
        <w:t>However,</w:t>
      </w:r>
      <w:r>
        <w:rPr>
          <w:spacing w:val="-12"/>
          <w:sz w:val="20"/>
        </w:rPr>
        <w:t> </w:t>
      </w:r>
      <w:r>
        <w:rPr>
          <w:sz w:val="20"/>
        </w:rPr>
        <w:t>in</w:t>
      </w:r>
      <w:r>
        <w:rPr>
          <w:spacing w:val="-9"/>
          <w:sz w:val="20"/>
        </w:rPr>
        <w:t> </w:t>
      </w:r>
      <w:r>
        <w:rPr>
          <w:sz w:val="20"/>
        </w:rPr>
        <w:t>2023,</w:t>
      </w:r>
      <w:r>
        <w:rPr>
          <w:spacing w:val="-7"/>
          <w:sz w:val="20"/>
        </w:rPr>
        <w:t> </w:t>
      </w:r>
      <w:r>
        <w:rPr>
          <w:sz w:val="20"/>
        </w:rPr>
        <w:t>the</w:t>
      </w:r>
      <w:r>
        <w:rPr>
          <w:spacing w:val="-12"/>
          <w:sz w:val="20"/>
        </w:rPr>
        <w:t> </w:t>
      </w:r>
      <w:r>
        <w:rPr>
          <w:sz w:val="20"/>
        </w:rPr>
        <w:t>Office</w:t>
      </w:r>
      <w:r>
        <w:rPr>
          <w:spacing w:val="-8"/>
          <w:sz w:val="20"/>
        </w:rPr>
        <w:t> </w:t>
      </w:r>
      <w:r>
        <w:rPr>
          <w:sz w:val="20"/>
        </w:rPr>
        <w:t>will</w:t>
      </w:r>
      <w:r>
        <w:rPr>
          <w:spacing w:val="-8"/>
          <w:sz w:val="20"/>
        </w:rPr>
        <w:t> </w:t>
      </w:r>
      <w:r>
        <w:rPr>
          <w:sz w:val="20"/>
        </w:rPr>
        <w:t>seek</w:t>
      </w:r>
      <w:r>
        <w:rPr>
          <w:spacing w:val="-5"/>
          <w:sz w:val="20"/>
        </w:rPr>
        <w:t> </w:t>
      </w:r>
      <w:r>
        <w:rPr>
          <w:sz w:val="20"/>
        </w:rPr>
        <w:t>where</w:t>
      </w:r>
      <w:r>
        <w:rPr>
          <w:spacing w:val="-8"/>
          <w:sz w:val="20"/>
        </w:rPr>
        <w:t> </w:t>
      </w:r>
      <w:r>
        <w:rPr>
          <w:sz w:val="20"/>
        </w:rPr>
        <w:t>possible to draw on some of the additional resources made available by States Parties through voluntary contributions to the OTP Trust Fund to address specialized consultancies in technical</w:t>
      </w:r>
      <w:r>
        <w:rPr>
          <w:spacing w:val="-2"/>
          <w:sz w:val="20"/>
        </w:rPr>
        <w:t> </w:t>
      </w:r>
      <w:r>
        <w:rPr>
          <w:sz w:val="20"/>
        </w:rPr>
        <w:t>fields.</w:t>
      </w:r>
      <w:r>
        <w:rPr>
          <w:spacing w:val="-5"/>
          <w:sz w:val="20"/>
        </w:rPr>
        <w:t> </w:t>
      </w:r>
      <w:r>
        <w:rPr>
          <w:sz w:val="20"/>
        </w:rPr>
        <w:t>Reflecting</w:t>
      </w:r>
      <w:r>
        <w:rPr>
          <w:spacing w:val="-8"/>
          <w:sz w:val="20"/>
        </w:rPr>
        <w:t> </w:t>
      </w:r>
      <w:r>
        <w:rPr>
          <w:sz w:val="20"/>
        </w:rPr>
        <w:t>this,</w:t>
      </w:r>
      <w:r>
        <w:rPr>
          <w:spacing w:val="-6"/>
          <w:sz w:val="20"/>
        </w:rPr>
        <w:t> </w:t>
      </w:r>
      <w:r>
        <w:rPr>
          <w:sz w:val="20"/>
        </w:rPr>
        <w:t>the</w:t>
      </w:r>
      <w:r>
        <w:rPr>
          <w:spacing w:val="-2"/>
          <w:sz w:val="20"/>
        </w:rPr>
        <w:t> </w:t>
      </w:r>
      <w:r>
        <w:rPr>
          <w:sz w:val="20"/>
        </w:rPr>
        <w:t>funds</w:t>
      </w:r>
      <w:r>
        <w:rPr>
          <w:spacing w:val="-5"/>
          <w:sz w:val="20"/>
        </w:rPr>
        <w:t> </w:t>
      </w:r>
      <w:r>
        <w:rPr>
          <w:sz w:val="20"/>
        </w:rPr>
        <w:t>requested</w:t>
      </w:r>
      <w:r>
        <w:rPr>
          <w:spacing w:val="-8"/>
          <w:sz w:val="20"/>
        </w:rPr>
        <w:t> </w:t>
      </w:r>
      <w:r>
        <w:rPr>
          <w:sz w:val="20"/>
        </w:rPr>
        <w:t>for</w:t>
      </w:r>
      <w:r>
        <w:rPr>
          <w:spacing w:val="-8"/>
          <w:sz w:val="20"/>
        </w:rPr>
        <w:t> </w:t>
      </w:r>
      <w:r>
        <w:rPr>
          <w:sz w:val="20"/>
        </w:rPr>
        <w:t>this</w:t>
      </w:r>
      <w:r>
        <w:rPr>
          <w:spacing w:val="-10"/>
          <w:sz w:val="20"/>
        </w:rPr>
        <w:t> </w:t>
      </w:r>
      <w:r>
        <w:rPr>
          <w:sz w:val="20"/>
        </w:rPr>
        <w:t>line</w:t>
      </w:r>
      <w:r>
        <w:rPr>
          <w:spacing w:val="-7"/>
          <w:sz w:val="20"/>
        </w:rPr>
        <w:t> </w:t>
      </w:r>
      <w:r>
        <w:rPr>
          <w:sz w:val="20"/>
        </w:rPr>
        <w:t>in</w:t>
      </w:r>
      <w:r>
        <w:rPr>
          <w:spacing w:val="-8"/>
          <w:sz w:val="20"/>
        </w:rPr>
        <w:t> </w:t>
      </w:r>
      <w:r>
        <w:rPr>
          <w:sz w:val="20"/>
        </w:rPr>
        <w:t>the</w:t>
      </w:r>
      <w:r>
        <w:rPr>
          <w:spacing w:val="-7"/>
          <w:sz w:val="20"/>
        </w:rPr>
        <w:t> </w:t>
      </w:r>
      <w:r>
        <w:rPr>
          <w:sz w:val="20"/>
        </w:rPr>
        <w:t>regular</w:t>
      </w:r>
      <w:r>
        <w:rPr>
          <w:spacing w:val="-8"/>
          <w:sz w:val="20"/>
        </w:rPr>
        <w:t> </w:t>
      </w:r>
      <w:r>
        <w:rPr>
          <w:sz w:val="20"/>
        </w:rPr>
        <w:t>budget</w:t>
      </w:r>
      <w:r>
        <w:rPr>
          <w:spacing w:val="-7"/>
          <w:sz w:val="20"/>
        </w:rPr>
        <w:t> </w:t>
      </w:r>
      <w:r>
        <w:rPr>
          <w:sz w:val="20"/>
        </w:rPr>
        <w:t>remain the same as in 2022.</w:t>
      </w:r>
    </w:p>
    <w:p>
      <w:pPr>
        <w:pStyle w:val="ListParagraph"/>
        <w:numPr>
          <w:ilvl w:val="0"/>
          <w:numId w:val="4"/>
        </w:numPr>
        <w:tabs>
          <w:tab w:pos="2967" w:val="left" w:leader="none"/>
        </w:tabs>
        <w:spacing w:line="240" w:lineRule="auto" w:before="116" w:after="0"/>
        <w:ind w:left="2246" w:right="2241" w:firstLine="0"/>
        <w:jc w:val="both"/>
        <w:rPr>
          <w:sz w:val="20"/>
        </w:rPr>
      </w:pPr>
      <w:r>
        <w:rPr>
          <w:sz w:val="20"/>
        </w:rPr>
        <w:t>The investigative and prosecutorial activities of the Office require frequent deployment to situation countries and interaction with victims and witnesses in those and other countries where members of the affected communities are located. The expenses to support victim and witness-related activities and field operations are charged to general operating expenses. Although the Office is implementing alternative measures to limit the financial</w:t>
      </w:r>
      <w:r>
        <w:rPr>
          <w:spacing w:val="-13"/>
          <w:sz w:val="20"/>
        </w:rPr>
        <w:t> </w:t>
      </w:r>
      <w:r>
        <w:rPr>
          <w:sz w:val="20"/>
        </w:rPr>
        <w:t>impact</w:t>
      </w:r>
      <w:r>
        <w:rPr>
          <w:spacing w:val="-12"/>
          <w:sz w:val="20"/>
        </w:rPr>
        <w:t> </w:t>
      </w:r>
      <w:r>
        <w:rPr>
          <w:sz w:val="20"/>
        </w:rPr>
        <w:t>of</w:t>
      </w:r>
      <w:r>
        <w:rPr>
          <w:spacing w:val="-13"/>
          <w:sz w:val="20"/>
        </w:rPr>
        <w:t> </w:t>
      </w:r>
      <w:r>
        <w:rPr>
          <w:sz w:val="20"/>
        </w:rPr>
        <w:t>its</w:t>
      </w:r>
      <w:r>
        <w:rPr>
          <w:spacing w:val="-12"/>
          <w:sz w:val="20"/>
        </w:rPr>
        <w:t> </w:t>
      </w:r>
      <w:r>
        <w:rPr>
          <w:sz w:val="20"/>
        </w:rPr>
        <w:t>operations</w:t>
      </w:r>
      <w:r>
        <w:rPr>
          <w:spacing w:val="-13"/>
          <w:sz w:val="20"/>
        </w:rPr>
        <w:t> </w:t>
      </w:r>
      <w:r>
        <w:rPr>
          <w:sz w:val="20"/>
        </w:rPr>
        <w:t>(remote</w:t>
      </w:r>
      <w:r>
        <w:rPr>
          <w:spacing w:val="-12"/>
          <w:sz w:val="20"/>
        </w:rPr>
        <w:t> </w:t>
      </w:r>
      <w:r>
        <w:rPr>
          <w:sz w:val="20"/>
        </w:rPr>
        <w:t>interviewing,</w:t>
      </w:r>
      <w:r>
        <w:rPr>
          <w:spacing w:val="-13"/>
          <w:sz w:val="20"/>
        </w:rPr>
        <w:t> </w:t>
      </w:r>
      <w:r>
        <w:rPr>
          <w:sz w:val="20"/>
        </w:rPr>
        <w:t>alternative</w:t>
      </w:r>
      <w:r>
        <w:rPr>
          <w:spacing w:val="-12"/>
          <w:sz w:val="20"/>
        </w:rPr>
        <w:t> </w:t>
      </w:r>
      <w:r>
        <w:rPr>
          <w:sz w:val="20"/>
        </w:rPr>
        <w:t>accommodation</w:t>
      </w:r>
      <w:r>
        <w:rPr>
          <w:spacing w:val="-13"/>
          <w:sz w:val="20"/>
        </w:rPr>
        <w:t> </w:t>
      </w:r>
      <w:r>
        <w:rPr>
          <w:sz w:val="20"/>
        </w:rPr>
        <w:t>solutions, etc.) and has taken the lessons learned from the COVID-19 experience into account when formulating</w:t>
      </w:r>
      <w:r>
        <w:rPr>
          <w:spacing w:val="-4"/>
          <w:sz w:val="20"/>
        </w:rPr>
        <w:t> </w:t>
      </w:r>
      <w:r>
        <w:rPr>
          <w:sz w:val="20"/>
        </w:rPr>
        <w:t>its</w:t>
      </w:r>
      <w:r>
        <w:rPr>
          <w:spacing w:val="-1"/>
          <w:sz w:val="20"/>
        </w:rPr>
        <w:t> </w:t>
      </w:r>
      <w:r>
        <w:rPr>
          <w:sz w:val="20"/>
        </w:rPr>
        <w:t>requests,</w:t>
      </w:r>
      <w:r>
        <w:rPr>
          <w:spacing w:val="-2"/>
          <w:sz w:val="20"/>
        </w:rPr>
        <w:t> </w:t>
      </w:r>
      <w:r>
        <w:rPr>
          <w:sz w:val="20"/>
        </w:rPr>
        <w:t>the</w:t>
      </w:r>
      <w:r>
        <w:rPr>
          <w:spacing w:val="-2"/>
          <w:sz w:val="20"/>
        </w:rPr>
        <w:t> </w:t>
      </w:r>
      <w:r>
        <w:rPr>
          <w:sz w:val="20"/>
        </w:rPr>
        <w:t>increased workload foreseen for 2023 requires</w:t>
      </w:r>
      <w:r>
        <w:rPr>
          <w:spacing w:val="-1"/>
          <w:sz w:val="20"/>
        </w:rPr>
        <w:t> </w:t>
      </w:r>
      <w:r>
        <w:rPr>
          <w:sz w:val="20"/>
        </w:rPr>
        <w:t>additional funds in comparison to the 2022 approved amount.</w:t>
      </w:r>
      <w:r>
        <w:rPr>
          <w:sz w:val="20"/>
          <w:vertAlign w:val="superscript"/>
        </w:rPr>
        <w:t>40</w:t>
      </w:r>
      <w:r>
        <w:rPr>
          <w:sz w:val="20"/>
          <w:vertAlign w:val="baseline"/>
        </w:rPr>
        <w:t> The requested amount for 2023 takes into account</w:t>
      </w:r>
      <w:r>
        <w:rPr>
          <w:spacing w:val="-2"/>
          <w:sz w:val="20"/>
          <w:vertAlign w:val="baseline"/>
        </w:rPr>
        <w:t> </w:t>
      </w:r>
      <w:r>
        <w:rPr>
          <w:sz w:val="20"/>
          <w:vertAlign w:val="baseline"/>
        </w:rPr>
        <w:t>the increased field presence</w:t>
      </w:r>
      <w:r>
        <w:rPr>
          <w:spacing w:val="-2"/>
          <w:sz w:val="20"/>
          <w:vertAlign w:val="baseline"/>
        </w:rPr>
        <w:t> </w:t>
      </w:r>
      <w:r>
        <w:rPr>
          <w:sz w:val="20"/>
          <w:vertAlign w:val="baseline"/>
        </w:rPr>
        <w:t>and the</w:t>
      </w:r>
      <w:r>
        <w:rPr>
          <w:spacing w:val="-2"/>
          <w:sz w:val="20"/>
          <w:vertAlign w:val="baseline"/>
        </w:rPr>
        <w:t> </w:t>
      </w:r>
      <w:r>
        <w:rPr>
          <w:sz w:val="20"/>
          <w:vertAlign w:val="baseline"/>
        </w:rPr>
        <w:t>costs in</w:t>
      </w:r>
      <w:r>
        <w:rPr>
          <w:spacing w:val="-4"/>
          <w:sz w:val="20"/>
          <w:vertAlign w:val="baseline"/>
        </w:rPr>
        <w:t> </w:t>
      </w:r>
      <w:r>
        <w:rPr>
          <w:sz w:val="20"/>
          <w:vertAlign w:val="baseline"/>
        </w:rPr>
        <w:t>relation to accommodation of staff and lease of premises when these costs are not covered by the Registry.</w:t>
      </w:r>
    </w:p>
    <w:p>
      <w:pPr>
        <w:pStyle w:val="ListParagraph"/>
        <w:numPr>
          <w:ilvl w:val="0"/>
          <w:numId w:val="4"/>
        </w:numPr>
        <w:tabs>
          <w:tab w:pos="2967" w:val="left" w:leader="none"/>
        </w:tabs>
        <w:spacing w:line="240" w:lineRule="auto" w:before="125" w:after="0"/>
        <w:ind w:left="2967" w:right="0" w:hanging="721"/>
        <w:jc w:val="both"/>
        <w:rPr>
          <w:sz w:val="20"/>
        </w:rPr>
      </w:pPr>
      <w:r>
        <w:rPr>
          <w:sz w:val="20"/>
        </w:rPr>
        <w:t>Lastly,</w:t>
      </w:r>
      <w:r>
        <w:rPr>
          <w:spacing w:val="-8"/>
          <w:sz w:val="20"/>
        </w:rPr>
        <w:t> </w:t>
      </w:r>
      <w:r>
        <w:rPr>
          <w:sz w:val="20"/>
        </w:rPr>
        <w:t>funds</w:t>
      </w:r>
      <w:r>
        <w:rPr>
          <w:spacing w:val="-9"/>
          <w:sz w:val="20"/>
        </w:rPr>
        <w:t> </w:t>
      </w:r>
      <w:r>
        <w:rPr>
          <w:sz w:val="20"/>
        </w:rPr>
        <w:t>are</w:t>
      </w:r>
      <w:r>
        <w:rPr>
          <w:spacing w:val="-6"/>
          <w:sz w:val="20"/>
        </w:rPr>
        <w:t> </w:t>
      </w:r>
      <w:r>
        <w:rPr>
          <w:sz w:val="20"/>
        </w:rPr>
        <w:t>requested</w:t>
      </w:r>
      <w:r>
        <w:rPr>
          <w:spacing w:val="-8"/>
          <w:sz w:val="20"/>
        </w:rPr>
        <w:t> </w:t>
      </w:r>
      <w:r>
        <w:rPr>
          <w:sz w:val="20"/>
        </w:rPr>
        <w:t>to</w:t>
      </w:r>
      <w:r>
        <w:rPr>
          <w:spacing w:val="-9"/>
          <w:sz w:val="20"/>
        </w:rPr>
        <w:t> </w:t>
      </w:r>
      <w:r>
        <w:rPr>
          <w:sz w:val="20"/>
        </w:rPr>
        <w:t>support</w:t>
      </w:r>
      <w:r>
        <w:rPr>
          <w:spacing w:val="-6"/>
          <w:sz w:val="20"/>
        </w:rPr>
        <w:t> </w:t>
      </w:r>
      <w:r>
        <w:rPr>
          <w:sz w:val="20"/>
        </w:rPr>
        <w:t>OTP-specific</w:t>
      </w:r>
      <w:r>
        <w:rPr>
          <w:spacing w:val="-6"/>
          <w:sz w:val="20"/>
        </w:rPr>
        <w:t> </w:t>
      </w:r>
      <w:r>
        <w:rPr>
          <w:sz w:val="20"/>
        </w:rPr>
        <w:t>information</w:t>
      </w:r>
      <w:r>
        <w:rPr>
          <w:spacing w:val="-8"/>
          <w:sz w:val="20"/>
        </w:rPr>
        <w:t> </w:t>
      </w:r>
      <w:r>
        <w:rPr>
          <w:spacing w:val="-2"/>
          <w:sz w:val="20"/>
        </w:rPr>
        <w:t>management.</w:t>
      </w:r>
    </w:p>
    <w:p>
      <w:pPr>
        <w:pStyle w:val="ListParagraph"/>
        <w:numPr>
          <w:ilvl w:val="0"/>
          <w:numId w:val="4"/>
        </w:numPr>
        <w:tabs>
          <w:tab w:pos="2967" w:val="left" w:leader="none"/>
        </w:tabs>
        <w:spacing w:line="240" w:lineRule="auto" w:before="116" w:after="0"/>
        <w:ind w:left="2246" w:right="2240" w:firstLine="0"/>
        <w:jc w:val="both"/>
        <w:rPr>
          <w:sz w:val="20"/>
        </w:rPr>
      </w:pPr>
      <w:r>
        <w:rPr>
          <w:sz w:val="20"/>
        </w:rPr>
        <w:t>The Office, in close cooperation with the Registry, is undertaking a fundamental modernization of its systems through architectural enhancements that will lay the groundwork for the OTP’s transition to a cloud-based environment and the harnessing of tools including artificial intelligence and machine learning. This essential injection of resources into the technological infrastructure of the Office is primarily being addressed through</w:t>
      </w:r>
      <w:r>
        <w:rPr>
          <w:spacing w:val="16"/>
          <w:sz w:val="20"/>
        </w:rPr>
        <w:t> </w:t>
      </w:r>
      <w:r>
        <w:rPr>
          <w:sz w:val="20"/>
        </w:rPr>
        <w:t>voluntary contributions made</w:t>
      </w:r>
      <w:r>
        <w:rPr>
          <w:spacing w:val="17"/>
          <w:sz w:val="20"/>
        </w:rPr>
        <w:t> </w:t>
      </w:r>
      <w:r>
        <w:rPr>
          <w:sz w:val="20"/>
        </w:rPr>
        <w:t>to the</w:t>
      </w:r>
      <w:r>
        <w:rPr>
          <w:spacing w:val="17"/>
          <w:sz w:val="20"/>
        </w:rPr>
        <w:t> </w:t>
      </w:r>
      <w:r>
        <w:rPr>
          <w:sz w:val="20"/>
        </w:rPr>
        <w:t>OTP Trust</w:t>
      </w:r>
      <w:r>
        <w:rPr>
          <w:spacing w:val="17"/>
          <w:sz w:val="20"/>
        </w:rPr>
        <w:t> </w:t>
      </w:r>
      <w:r>
        <w:rPr>
          <w:sz w:val="20"/>
        </w:rPr>
        <w:t>Fund.</w:t>
      </w:r>
      <w:r>
        <w:rPr>
          <w:spacing w:val="24"/>
          <w:sz w:val="20"/>
        </w:rPr>
        <w:t> </w:t>
      </w:r>
      <w:r>
        <w:rPr>
          <w:sz w:val="20"/>
        </w:rPr>
        <w:t>As these</w:t>
      </w:r>
      <w:r>
        <w:rPr>
          <w:spacing w:val="17"/>
          <w:sz w:val="20"/>
        </w:rPr>
        <w:t> </w:t>
      </w:r>
      <w:r>
        <w:rPr>
          <w:sz w:val="20"/>
        </w:rPr>
        <w:t>enhancements are</w:t>
      </w:r>
    </w:p>
    <w:p>
      <w:pPr>
        <w:pStyle w:val="BodyText"/>
        <w:spacing w:before="6"/>
        <w:rPr>
          <w:sz w:val="21"/>
        </w:rPr>
      </w:pPr>
      <w:r>
        <w:rPr/>
        <w:pict>
          <v:rect style="position:absolute;margin-left:113.330002pt;margin-top:13.576601pt;width:144.050pt;height:.48004pt;mso-position-horizontal-relative:page;mso-position-vertical-relative:paragraph;z-index:-15712768;mso-wrap-distance-left:0;mso-wrap-distance-right:0" id="docshape82" filled="true" fillcolor="#000000" stroked="false">
            <v:fill type="solid"/>
            <w10:wrap type="topAndBottom"/>
          </v:rect>
        </w:pict>
      </w:r>
    </w:p>
    <w:p>
      <w:pPr>
        <w:spacing w:before="86"/>
        <w:ind w:left="2246" w:right="2252" w:firstLine="0"/>
        <w:jc w:val="both"/>
        <w:rPr>
          <w:sz w:val="16"/>
        </w:rPr>
      </w:pPr>
      <w:r>
        <w:rPr>
          <w:position w:val="5"/>
          <w:sz w:val="10"/>
        </w:rPr>
        <w:t>38</w:t>
      </w:r>
      <w:r>
        <w:rPr>
          <w:spacing w:val="32"/>
          <w:position w:val="5"/>
          <w:sz w:val="10"/>
        </w:rPr>
        <w:t> </w:t>
      </w:r>
      <w:r>
        <w:rPr>
          <w:sz w:val="16"/>
        </w:rPr>
        <w:t>The amounts approved in 2018, 2019, and 2020 are €579.5 thousand, €579.5 thousand and €527.0 thousand,</w:t>
      </w:r>
      <w:r>
        <w:rPr>
          <w:spacing w:val="40"/>
          <w:sz w:val="16"/>
        </w:rPr>
        <w:t> </w:t>
      </w:r>
      <w:r>
        <w:rPr>
          <w:spacing w:val="-2"/>
          <w:sz w:val="16"/>
        </w:rPr>
        <w:t>respectively.</w:t>
      </w:r>
    </w:p>
    <w:p>
      <w:pPr>
        <w:spacing w:before="1"/>
        <w:ind w:left="2246" w:right="2254" w:firstLine="0"/>
        <w:jc w:val="both"/>
        <w:rPr>
          <w:sz w:val="16"/>
        </w:rPr>
      </w:pPr>
      <w:r>
        <w:rPr>
          <w:position w:val="5"/>
          <w:sz w:val="10"/>
        </w:rPr>
        <w:t>39</w:t>
      </w:r>
      <w:r>
        <w:rPr>
          <w:spacing w:val="38"/>
          <w:position w:val="5"/>
          <w:sz w:val="10"/>
        </w:rPr>
        <w:t> </w:t>
      </w:r>
      <w:r>
        <w:rPr>
          <w:sz w:val="16"/>
        </w:rPr>
        <w:t>Since 2017, the training budget has been approved at €290.0 thousand. In the light of liquidity constraints,</w:t>
      </w:r>
      <w:r>
        <w:rPr>
          <w:spacing w:val="40"/>
          <w:sz w:val="16"/>
        </w:rPr>
        <w:t> </w:t>
      </w:r>
      <w:r>
        <w:rPr>
          <w:sz w:val="16"/>
        </w:rPr>
        <w:t>COVID-19 limitations and budget pressure coming from UNCS increases, training programmes were sharply</w:t>
      </w:r>
      <w:r>
        <w:rPr>
          <w:spacing w:val="40"/>
          <w:sz w:val="16"/>
        </w:rPr>
        <w:t> </w:t>
      </w:r>
      <w:r>
        <w:rPr>
          <w:sz w:val="16"/>
        </w:rPr>
        <w:t>reduced in 2020 and 2021.</w:t>
      </w:r>
    </w:p>
    <w:p>
      <w:pPr>
        <w:spacing w:before="1"/>
        <w:ind w:left="2246" w:right="2244" w:firstLine="0"/>
        <w:jc w:val="both"/>
        <w:rPr>
          <w:sz w:val="16"/>
        </w:rPr>
      </w:pPr>
      <w:r>
        <w:rPr>
          <w:position w:val="5"/>
          <w:sz w:val="10"/>
        </w:rPr>
        <w:t>40</w:t>
      </w:r>
      <w:r>
        <w:rPr>
          <w:spacing w:val="15"/>
          <w:position w:val="5"/>
          <w:sz w:val="10"/>
        </w:rPr>
        <w:t> </w:t>
      </w:r>
      <w:r>
        <w:rPr>
          <w:sz w:val="16"/>
        </w:rPr>
        <w:t>It should be</w:t>
      </w:r>
      <w:r>
        <w:rPr>
          <w:spacing w:val="-1"/>
          <w:sz w:val="16"/>
        </w:rPr>
        <w:t> </w:t>
      </w:r>
      <w:r>
        <w:rPr>
          <w:sz w:val="16"/>
        </w:rPr>
        <w:t>noted that</w:t>
      </w:r>
      <w:r>
        <w:rPr>
          <w:spacing w:val="-3"/>
          <w:sz w:val="16"/>
        </w:rPr>
        <w:t> </w:t>
      </w:r>
      <w:r>
        <w:rPr>
          <w:sz w:val="16"/>
        </w:rPr>
        <w:t>the actual</w:t>
      </w:r>
      <w:r>
        <w:rPr>
          <w:spacing w:val="-3"/>
          <w:sz w:val="16"/>
        </w:rPr>
        <w:t> </w:t>
      </w:r>
      <w:r>
        <w:rPr>
          <w:sz w:val="16"/>
        </w:rPr>
        <w:t>amounts</w:t>
      </w:r>
      <w:r>
        <w:rPr>
          <w:spacing w:val="-2"/>
          <w:sz w:val="16"/>
        </w:rPr>
        <w:t> </w:t>
      </w:r>
      <w:r>
        <w:rPr>
          <w:sz w:val="16"/>
        </w:rPr>
        <w:t>spent</w:t>
      </w:r>
      <w:r>
        <w:rPr>
          <w:spacing w:val="-3"/>
          <w:sz w:val="16"/>
        </w:rPr>
        <w:t> </w:t>
      </w:r>
      <w:r>
        <w:rPr>
          <w:sz w:val="16"/>
        </w:rPr>
        <w:t>in the period 2017-2019 peaked at</w:t>
      </w:r>
      <w:r>
        <w:rPr>
          <w:spacing w:val="-3"/>
          <w:sz w:val="16"/>
        </w:rPr>
        <w:t> </w:t>
      </w:r>
      <w:r>
        <w:rPr>
          <w:sz w:val="16"/>
        </w:rPr>
        <w:t>€898.3 thousand.</w:t>
      </w:r>
      <w:r>
        <w:rPr>
          <w:spacing w:val="-3"/>
          <w:sz w:val="16"/>
        </w:rPr>
        <w:t> </w:t>
      </w:r>
      <w:r>
        <w:rPr>
          <w:sz w:val="16"/>
        </w:rPr>
        <w:t>In addition,</w:t>
      </w:r>
      <w:r>
        <w:rPr>
          <w:spacing w:val="40"/>
          <w:sz w:val="16"/>
        </w:rPr>
        <w:t> </w:t>
      </w:r>
      <w:r>
        <w:rPr>
          <w:sz w:val="16"/>
        </w:rPr>
        <w:t>in 2023 the Office will manage more situations and cases. This has a direct impact on the number of victims and</w:t>
      </w:r>
      <w:r>
        <w:rPr>
          <w:spacing w:val="40"/>
          <w:sz w:val="16"/>
        </w:rPr>
        <w:t> </w:t>
      </w:r>
      <w:r>
        <w:rPr>
          <w:sz w:val="16"/>
        </w:rPr>
        <w:t>witnesses with whom the Office staff interact (and this has an impact on the level of expenses incurred).</w:t>
      </w:r>
    </w:p>
    <w:p>
      <w:pPr>
        <w:spacing w:after="0"/>
        <w:jc w:val="both"/>
        <w:rPr>
          <w:sz w:val="16"/>
        </w:rPr>
        <w:sectPr>
          <w:pgSz w:w="11910" w:h="16840"/>
          <w:pgMar w:header="953" w:footer="940" w:top="1140" w:bottom="1140" w:left="20" w:right="20"/>
        </w:sectPr>
      </w:pPr>
    </w:p>
    <w:p>
      <w:pPr>
        <w:pStyle w:val="BodyText"/>
        <w:spacing w:before="120"/>
        <w:ind w:left="2246" w:right="2252"/>
        <w:jc w:val="both"/>
      </w:pPr>
      <w:r>
        <w:rPr/>
        <w:t>being developed and implemented, the Office still needs limited funds to maintain the existing applications that support its operations.</w:t>
      </w:r>
      <w:r>
        <w:rPr>
          <w:vertAlign w:val="superscript"/>
        </w:rPr>
        <w:t>41</w:t>
      </w:r>
    </w:p>
    <w:p>
      <w:pPr>
        <w:pStyle w:val="ListParagraph"/>
        <w:numPr>
          <w:ilvl w:val="0"/>
          <w:numId w:val="4"/>
        </w:numPr>
        <w:tabs>
          <w:tab w:pos="2967" w:val="left" w:leader="none"/>
        </w:tabs>
        <w:spacing w:line="240" w:lineRule="auto" w:before="121" w:after="0"/>
        <w:ind w:left="2246" w:right="2243" w:firstLine="0"/>
        <w:jc w:val="both"/>
        <w:rPr>
          <w:sz w:val="20"/>
        </w:rPr>
      </w:pPr>
      <w:r>
        <w:rPr>
          <w:sz w:val="20"/>
        </w:rPr>
        <w:t>On the basis of the required activities planned for 2023, the</w:t>
      </w:r>
      <w:r>
        <w:rPr>
          <w:spacing w:val="-2"/>
          <w:sz w:val="20"/>
        </w:rPr>
        <w:t> </w:t>
      </w:r>
      <w:r>
        <w:rPr>
          <w:sz w:val="20"/>
        </w:rPr>
        <w:t>OTP proposed budget shows</w:t>
      </w:r>
      <w:r>
        <w:rPr>
          <w:spacing w:val="40"/>
          <w:sz w:val="20"/>
        </w:rPr>
        <w:t> </w:t>
      </w:r>
      <w:r>
        <w:rPr>
          <w:sz w:val="20"/>
        </w:rPr>
        <w:t>an</w:t>
      </w:r>
      <w:r>
        <w:rPr>
          <w:spacing w:val="40"/>
          <w:sz w:val="20"/>
        </w:rPr>
        <w:t> </w:t>
      </w:r>
      <w:r>
        <w:rPr>
          <w:sz w:val="20"/>
        </w:rPr>
        <w:t>increase</w:t>
      </w:r>
      <w:r>
        <w:rPr>
          <w:spacing w:val="40"/>
          <w:sz w:val="20"/>
        </w:rPr>
        <w:t> </w:t>
      </w:r>
      <w:r>
        <w:rPr>
          <w:sz w:val="20"/>
        </w:rPr>
        <w:t>of</w:t>
      </w:r>
      <w:r>
        <w:rPr>
          <w:spacing w:val="40"/>
          <w:sz w:val="20"/>
        </w:rPr>
        <w:t> </w:t>
      </w:r>
      <w:r>
        <w:rPr>
          <w:sz w:val="20"/>
        </w:rPr>
        <w:t>€9,791.8</w:t>
      </w:r>
      <w:r>
        <w:rPr>
          <w:spacing w:val="40"/>
          <w:sz w:val="20"/>
        </w:rPr>
        <w:t> </w:t>
      </w:r>
      <w:r>
        <w:rPr>
          <w:sz w:val="20"/>
        </w:rPr>
        <w:t>thousand</w:t>
      </w:r>
      <w:r>
        <w:rPr>
          <w:spacing w:val="40"/>
          <w:sz w:val="20"/>
        </w:rPr>
        <w:t> </w:t>
      </w:r>
      <w:r>
        <w:rPr>
          <w:sz w:val="20"/>
        </w:rPr>
        <w:t>(19.8</w:t>
      </w:r>
      <w:r>
        <w:rPr>
          <w:spacing w:val="40"/>
          <w:sz w:val="20"/>
        </w:rPr>
        <w:t> </w:t>
      </w:r>
      <w:r>
        <w:rPr>
          <w:sz w:val="20"/>
        </w:rPr>
        <w:t>per</w:t>
      </w:r>
      <w:r>
        <w:rPr>
          <w:spacing w:val="40"/>
          <w:sz w:val="20"/>
        </w:rPr>
        <w:t> </w:t>
      </w:r>
      <w:r>
        <w:rPr>
          <w:sz w:val="20"/>
        </w:rPr>
        <w:t>cent),</w:t>
      </w:r>
      <w:r>
        <w:rPr>
          <w:spacing w:val="40"/>
          <w:sz w:val="20"/>
        </w:rPr>
        <w:t> </w:t>
      </w:r>
      <w:r>
        <w:rPr>
          <w:sz w:val="20"/>
        </w:rPr>
        <w:t>from</w:t>
      </w:r>
      <w:r>
        <w:rPr>
          <w:spacing w:val="40"/>
          <w:sz w:val="20"/>
        </w:rPr>
        <w:t> </w:t>
      </w:r>
      <w:r>
        <w:rPr>
          <w:sz w:val="20"/>
        </w:rPr>
        <w:t>€49,546.4</w:t>
      </w:r>
      <w:r>
        <w:rPr>
          <w:spacing w:val="40"/>
          <w:sz w:val="20"/>
        </w:rPr>
        <w:t> </w:t>
      </w:r>
      <w:r>
        <w:rPr>
          <w:sz w:val="20"/>
        </w:rPr>
        <w:t>thousand</w:t>
      </w:r>
      <w:r>
        <w:rPr>
          <w:spacing w:val="40"/>
          <w:sz w:val="20"/>
        </w:rPr>
        <w:t> </w:t>
      </w:r>
      <w:r>
        <w:rPr>
          <w:sz w:val="20"/>
        </w:rPr>
        <w:t>to</w:t>
      </w:r>
    </w:p>
    <w:p>
      <w:pPr>
        <w:pStyle w:val="BodyText"/>
        <w:spacing w:before="1"/>
        <w:ind w:left="2246" w:right="2245"/>
        <w:jc w:val="both"/>
      </w:pPr>
      <w:r>
        <w:rPr/>
        <w:t>€59,338.2</w:t>
      </w:r>
      <w:r>
        <w:rPr>
          <w:spacing w:val="-13"/>
        </w:rPr>
        <w:t> </w:t>
      </w:r>
      <w:r>
        <w:rPr/>
        <w:t>thousand.</w:t>
      </w:r>
      <w:r>
        <w:rPr>
          <w:spacing w:val="-12"/>
        </w:rPr>
        <w:t> </w:t>
      </w:r>
      <w:r>
        <w:rPr/>
        <w:t>Wherever</w:t>
      </w:r>
      <w:r>
        <w:rPr>
          <w:spacing w:val="-13"/>
        </w:rPr>
        <w:t> </w:t>
      </w:r>
      <w:r>
        <w:rPr/>
        <w:t>possible,</w:t>
      </w:r>
      <w:r>
        <w:rPr>
          <w:spacing w:val="-12"/>
        </w:rPr>
        <w:t> </w:t>
      </w:r>
      <w:r>
        <w:rPr/>
        <w:t>redeployment</w:t>
      </w:r>
      <w:r>
        <w:rPr>
          <w:spacing w:val="-8"/>
        </w:rPr>
        <w:t> </w:t>
      </w:r>
      <w:r>
        <w:rPr/>
        <w:t>of</w:t>
      </w:r>
      <w:r>
        <w:rPr>
          <w:spacing w:val="-13"/>
        </w:rPr>
        <w:t> </w:t>
      </w:r>
      <w:r>
        <w:rPr/>
        <w:t>resources</w:t>
      </w:r>
      <w:r>
        <w:rPr>
          <w:spacing w:val="-12"/>
        </w:rPr>
        <w:t> </w:t>
      </w:r>
      <w:r>
        <w:rPr/>
        <w:t>from</w:t>
      </w:r>
      <w:r>
        <w:rPr>
          <w:spacing w:val="-8"/>
        </w:rPr>
        <w:t> </w:t>
      </w:r>
      <w:r>
        <w:rPr/>
        <w:t>situations</w:t>
      </w:r>
      <w:r>
        <w:rPr>
          <w:spacing w:val="-13"/>
        </w:rPr>
        <w:t> </w:t>
      </w:r>
      <w:r>
        <w:rPr/>
        <w:t>and</w:t>
      </w:r>
      <w:r>
        <w:rPr>
          <w:spacing w:val="-12"/>
        </w:rPr>
        <w:t> </w:t>
      </w:r>
      <w:r>
        <w:rPr/>
        <w:t>cases that require a lower level of activities than those demanding higher efforts has been implemented. This has partially mitigated the impact of the new activities. The table below summarizes the net increase per major budget item:</w:t>
      </w:r>
    </w:p>
    <w:p>
      <w:pPr>
        <w:pStyle w:val="BodyText"/>
      </w:pPr>
    </w:p>
    <w:p>
      <w:pPr>
        <w:pStyle w:val="BodyText"/>
        <w:spacing w:before="4"/>
        <w:rPr>
          <w:sz w:val="24"/>
        </w:rPr>
      </w:pPr>
    </w:p>
    <w:tbl>
      <w:tblPr>
        <w:tblW w:w="0" w:type="auto"/>
        <w:jc w:val="left"/>
        <w:tblInd w:w="2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33"/>
        <w:gridCol w:w="1715"/>
        <w:gridCol w:w="1226"/>
        <w:gridCol w:w="1008"/>
        <w:gridCol w:w="1152"/>
      </w:tblGrid>
      <w:tr>
        <w:trPr>
          <w:trHeight w:val="470" w:hRule="atLeast"/>
        </w:trPr>
        <w:tc>
          <w:tcPr>
            <w:tcW w:w="2633" w:type="dxa"/>
            <w:tcBorders>
              <w:top w:val="single" w:sz="4" w:space="0" w:color="000000"/>
              <w:bottom w:val="single" w:sz="4" w:space="0" w:color="000000"/>
            </w:tcBorders>
          </w:tcPr>
          <w:p>
            <w:pPr>
              <w:pStyle w:val="TableParagraph"/>
              <w:spacing w:before="120"/>
              <w:ind w:left="124"/>
              <w:jc w:val="left"/>
              <w:rPr>
                <w:sz w:val="20"/>
              </w:rPr>
            </w:pPr>
            <w:r>
              <w:rPr>
                <w:sz w:val="20"/>
              </w:rPr>
              <w:t>Major</w:t>
            </w:r>
            <w:r>
              <w:rPr>
                <w:spacing w:val="-8"/>
                <w:sz w:val="20"/>
              </w:rPr>
              <w:t> </w:t>
            </w:r>
            <w:r>
              <w:rPr>
                <w:sz w:val="20"/>
              </w:rPr>
              <w:t>Programme</w:t>
            </w:r>
            <w:r>
              <w:rPr>
                <w:spacing w:val="-5"/>
                <w:sz w:val="20"/>
              </w:rPr>
              <w:t> II</w:t>
            </w:r>
          </w:p>
        </w:tc>
        <w:tc>
          <w:tcPr>
            <w:tcW w:w="1715" w:type="dxa"/>
            <w:tcBorders>
              <w:top w:val="single" w:sz="4" w:space="0" w:color="000000"/>
              <w:bottom w:val="single" w:sz="4" w:space="0" w:color="000000"/>
            </w:tcBorders>
          </w:tcPr>
          <w:p>
            <w:pPr>
              <w:pStyle w:val="TableParagraph"/>
              <w:spacing w:before="120"/>
              <w:ind w:right="427"/>
              <w:rPr>
                <w:sz w:val="20"/>
              </w:rPr>
            </w:pPr>
            <w:r>
              <w:rPr>
                <w:spacing w:val="-4"/>
                <w:sz w:val="20"/>
              </w:rPr>
              <w:t>2022</w:t>
            </w:r>
          </w:p>
        </w:tc>
        <w:tc>
          <w:tcPr>
            <w:tcW w:w="2234" w:type="dxa"/>
            <w:gridSpan w:val="2"/>
            <w:tcBorders>
              <w:top w:val="single" w:sz="4" w:space="0" w:color="000000"/>
              <w:bottom w:val="single" w:sz="4" w:space="0" w:color="000000"/>
            </w:tcBorders>
          </w:tcPr>
          <w:p>
            <w:pPr>
              <w:pStyle w:val="TableParagraph"/>
              <w:spacing w:before="120"/>
              <w:ind w:left="473"/>
              <w:jc w:val="left"/>
              <w:rPr>
                <w:sz w:val="20"/>
              </w:rPr>
            </w:pPr>
            <w:r>
              <w:rPr>
                <w:sz w:val="20"/>
              </w:rPr>
              <w:t>Resource</w:t>
            </w:r>
            <w:r>
              <w:rPr>
                <w:spacing w:val="-8"/>
                <w:sz w:val="20"/>
              </w:rPr>
              <w:t> </w:t>
            </w:r>
            <w:r>
              <w:rPr>
                <w:spacing w:val="-2"/>
                <w:sz w:val="20"/>
              </w:rPr>
              <w:t>Change</w:t>
            </w:r>
          </w:p>
        </w:tc>
        <w:tc>
          <w:tcPr>
            <w:tcW w:w="1152" w:type="dxa"/>
            <w:tcBorders>
              <w:top w:val="single" w:sz="4" w:space="0" w:color="000000"/>
              <w:bottom w:val="single" w:sz="4" w:space="0" w:color="000000"/>
            </w:tcBorders>
          </w:tcPr>
          <w:p>
            <w:pPr>
              <w:pStyle w:val="TableParagraph"/>
              <w:spacing w:before="120"/>
              <w:ind w:right="92"/>
              <w:rPr>
                <w:sz w:val="20"/>
              </w:rPr>
            </w:pPr>
            <w:r>
              <w:rPr>
                <w:spacing w:val="-4"/>
                <w:sz w:val="20"/>
              </w:rPr>
              <w:t>2023</w:t>
            </w:r>
          </w:p>
        </w:tc>
      </w:tr>
      <w:tr>
        <w:trPr>
          <w:trHeight w:val="470" w:hRule="atLeast"/>
        </w:trPr>
        <w:tc>
          <w:tcPr>
            <w:tcW w:w="2633" w:type="dxa"/>
            <w:tcBorders>
              <w:top w:val="single" w:sz="4" w:space="0" w:color="000000"/>
              <w:bottom w:val="single" w:sz="4" w:space="0" w:color="000000"/>
            </w:tcBorders>
          </w:tcPr>
          <w:p>
            <w:pPr>
              <w:pStyle w:val="TableParagraph"/>
              <w:spacing w:before="120"/>
              <w:ind w:left="124"/>
              <w:jc w:val="left"/>
              <w:rPr>
                <w:sz w:val="20"/>
              </w:rPr>
            </w:pPr>
            <w:r>
              <w:rPr>
                <w:sz w:val="20"/>
              </w:rPr>
              <w:t>Office</w:t>
            </w:r>
            <w:r>
              <w:rPr>
                <w:spacing w:val="2"/>
                <w:sz w:val="20"/>
              </w:rPr>
              <w:t> </w:t>
            </w:r>
            <w:r>
              <w:rPr>
                <w:sz w:val="20"/>
              </w:rPr>
              <w:t>of</w:t>
            </w:r>
            <w:r>
              <w:rPr>
                <w:spacing w:val="-7"/>
                <w:sz w:val="20"/>
              </w:rPr>
              <w:t> </w:t>
            </w:r>
            <w:r>
              <w:rPr>
                <w:sz w:val="20"/>
              </w:rPr>
              <w:t>the</w:t>
            </w:r>
            <w:r>
              <w:rPr>
                <w:spacing w:val="-2"/>
                <w:sz w:val="20"/>
              </w:rPr>
              <w:t> Prosecutor</w:t>
            </w:r>
          </w:p>
        </w:tc>
        <w:tc>
          <w:tcPr>
            <w:tcW w:w="1715" w:type="dxa"/>
            <w:tcBorders>
              <w:top w:val="single" w:sz="4" w:space="0" w:color="000000"/>
              <w:bottom w:val="single" w:sz="4" w:space="0" w:color="000000"/>
            </w:tcBorders>
          </w:tcPr>
          <w:p>
            <w:pPr>
              <w:pStyle w:val="TableParagraph"/>
              <w:spacing w:before="120"/>
              <w:ind w:right="428"/>
              <w:rPr>
                <w:sz w:val="20"/>
              </w:rPr>
            </w:pPr>
            <w:r>
              <w:rPr>
                <w:sz w:val="20"/>
              </w:rPr>
              <w:t>(€</w:t>
            </w:r>
            <w:r>
              <w:rPr>
                <w:spacing w:val="2"/>
                <w:sz w:val="20"/>
              </w:rPr>
              <w:t> </w:t>
            </w:r>
            <w:r>
              <w:rPr>
                <w:spacing w:val="-2"/>
                <w:sz w:val="20"/>
              </w:rPr>
              <w:t>'000)</w:t>
            </w:r>
          </w:p>
        </w:tc>
        <w:tc>
          <w:tcPr>
            <w:tcW w:w="1226" w:type="dxa"/>
            <w:tcBorders>
              <w:top w:val="single" w:sz="4" w:space="0" w:color="000000"/>
              <w:bottom w:val="single" w:sz="4" w:space="0" w:color="000000"/>
            </w:tcBorders>
          </w:tcPr>
          <w:p>
            <w:pPr>
              <w:pStyle w:val="TableParagraph"/>
              <w:spacing w:before="120"/>
              <w:ind w:right="133"/>
              <w:rPr>
                <w:sz w:val="20"/>
              </w:rPr>
            </w:pPr>
            <w:r>
              <w:rPr>
                <w:spacing w:val="-2"/>
                <w:sz w:val="20"/>
              </w:rPr>
              <w:t>Amount</w:t>
            </w:r>
          </w:p>
        </w:tc>
        <w:tc>
          <w:tcPr>
            <w:tcW w:w="1008" w:type="dxa"/>
            <w:tcBorders>
              <w:top w:val="single" w:sz="4" w:space="0" w:color="000000"/>
              <w:bottom w:val="single" w:sz="4" w:space="0" w:color="000000"/>
            </w:tcBorders>
          </w:tcPr>
          <w:p>
            <w:pPr>
              <w:pStyle w:val="TableParagraph"/>
              <w:spacing w:before="120"/>
              <w:ind w:right="352"/>
              <w:rPr>
                <w:sz w:val="20"/>
              </w:rPr>
            </w:pPr>
            <w:r>
              <w:rPr>
                <w:w w:val="100"/>
                <w:sz w:val="20"/>
              </w:rPr>
              <w:t>%</w:t>
            </w:r>
          </w:p>
        </w:tc>
        <w:tc>
          <w:tcPr>
            <w:tcW w:w="1152" w:type="dxa"/>
            <w:tcBorders>
              <w:top w:val="single" w:sz="4" w:space="0" w:color="000000"/>
              <w:bottom w:val="single" w:sz="4" w:space="0" w:color="000000"/>
            </w:tcBorders>
          </w:tcPr>
          <w:p>
            <w:pPr>
              <w:pStyle w:val="TableParagraph"/>
              <w:spacing w:before="120"/>
              <w:ind w:right="92"/>
              <w:rPr>
                <w:sz w:val="20"/>
              </w:rPr>
            </w:pPr>
            <w:r>
              <w:rPr>
                <w:sz w:val="20"/>
              </w:rPr>
              <w:t>(€</w:t>
            </w:r>
            <w:r>
              <w:rPr>
                <w:spacing w:val="2"/>
                <w:sz w:val="20"/>
              </w:rPr>
              <w:t> </w:t>
            </w:r>
            <w:r>
              <w:rPr>
                <w:spacing w:val="-2"/>
                <w:sz w:val="20"/>
              </w:rPr>
              <w:t>'000)</w:t>
            </w:r>
          </w:p>
        </w:tc>
      </w:tr>
      <w:tr>
        <w:trPr>
          <w:trHeight w:val="469" w:hRule="atLeast"/>
        </w:trPr>
        <w:tc>
          <w:tcPr>
            <w:tcW w:w="2633" w:type="dxa"/>
            <w:tcBorders>
              <w:top w:val="single" w:sz="4" w:space="0" w:color="000000"/>
              <w:bottom w:val="single" w:sz="4" w:space="0" w:color="000000"/>
            </w:tcBorders>
          </w:tcPr>
          <w:p>
            <w:pPr>
              <w:pStyle w:val="TableParagraph"/>
              <w:spacing w:before="120"/>
              <w:ind w:left="124"/>
              <w:jc w:val="left"/>
              <w:rPr>
                <w:sz w:val="20"/>
              </w:rPr>
            </w:pPr>
            <w:r>
              <w:rPr>
                <w:sz w:val="20"/>
              </w:rPr>
              <w:t>Staff</w:t>
            </w:r>
            <w:r>
              <w:rPr>
                <w:spacing w:val="-5"/>
                <w:sz w:val="20"/>
              </w:rPr>
              <w:t> </w:t>
            </w:r>
            <w:r>
              <w:rPr>
                <w:spacing w:val="-2"/>
                <w:sz w:val="20"/>
              </w:rPr>
              <w:t>costs</w:t>
            </w:r>
          </w:p>
        </w:tc>
        <w:tc>
          <w:tcPr>
            <w:tcW w:w="1715" w:type="dxa"/>
            <w:tcBorders>
              <w:top w:val="single" w:sz="4" w:space="0" w:color="000000"/>
              <w:bottom w:val="single" w:sz="4" w:space="0" w:color="000000"/>
            </w:tcBorders>
          </w:tcPr>
          <w:p>
            <w:pPr>
              <w:pStyle w:val="TableParagraph"/>
              <w:spacing w:before="120"/>
              <w:ind w:right="428"/>
              <w:rPr>
                <w:sz w:val="20"/>
              </w:rPr>
            </w:pPr>
            <w:r>
              <w:rPr>
                <w:spacing w:val="-2"/>
                <w:sz w:val="20"/>
              </w:rPr>
              <w:t>34,031.2</w:t>
            </w:r>
          </w:p>
        </w:tc>
        <w:tc>
          <w:tcPr>
            <w:tcW w:w="1226" w:type="dxa"/>
            <w:tcBorders>
              <w:top w:val="single" w:sz="4" w:space="0" w:color="000000"/>
              <w:bottom w:val="single" w:sz="4" w:space="0" w:color="000000"/>
            </w:tcBorders>
          </w:tcPr>
          <w:p>
            <w:pPr>
              <w:pStyle w:val="TableParagraph"/>
              <w:spacing w:before="120"/>
              <w:ind w:right="132"/>
              <w:rPr>
                <w:sz w:val="20"/>
              </w:rPr>
            </w:pPr>
            <w:r>
              <w:rPr>
                <w:spacing w:val="-2"/>
                <w:sz w:val="20"/>
              </w:rPr>
              <w:t>2,777.2</w:t>
            </w:r>
          </w:p>
        </w:tc>
        <w:tc>
          <w:tcPr>
            <w:tcW w:w="1008" w:type="dxa"/>
            <w:tcBorders>
              <w:top w:val="single" w:sz="4" w:space="0" w:color="000000"/>
              <w:bottom w:val="single" w:sz="4" w:space="0" w:color="000000"/>
            </w:tcBorders>
          </w:tcPr>
          <w:p>
            <w:pPr>
              <w:pStyle w:val="TableParagraph"/>
              <w:spacing w:before="120"/>
              <w:ind w:right="347"/>
              <w:rPr>
                <w:sz w:val="20"/>
              </w:rPr>
            </w:pPr>
            <w:r>
              <w:rPr>
                <w:spacing w:val="-4"/>
                <w:sz w:val="20"/>
              </w:rPr>
              <w:t>8.2%</w:t>
            </w:r>
          </w:p>
        </w:tc>
        <w:tc>
          <w:tcPr>
            <w:tcW w:w="1152" w:type="dxa"/>
            <w:tcBorders>
              <w:top w:val="single" w:sz="4" w:space="0" w:color="000000"/>
              <w:bottom w:val="single" w:sz="4" w:space="0" w:color="000000"/>
            </w:tcBorders>
          </w:tcPr>
          <w:p>
            <w:pPr>
              <w:pStyle w:val="TableParagraph"/>
              <w:spacing w:before="120"/>
              <w:ind w:right="92"/>
              <w:rPr>
                <w:sz w:val="20"/>
              </w:rPr>
            </w:pPr>
            <w:r>
              <w:rPr>
                <w:spacing w:val="-2"/>
                <w:sz w:val="20"/>
              </w:rPr>
              <w:t>36,808.5</w:t>
            </w:r>
          </w:p>
        </w:tc>
      </w:tr>
      <w:tr>
        <w:trPr>
          <w:trHeight w:val="470" w:hRule="atLeast"/>
        </w:trPr>
        <w:tc>
          <w:tcPr>
            <w:tcW w:w="2633" w:type="dxa"/>
            <w:tcBorders>
              <w:top w:val="single" w:sz="4" w:space="0" w:color="000000"/>
              <w:bottom w:val="single" w:sz="4" w:space="0" w:color="000000"/>
            </w:tcBorders>
          </w:tcPr>
          <w:p>
            <w:pPr>
              <w:pStyle w:val="TableParagraph"/>
              <w:spacing w:before="120"/>
              <w:ind w:left="124"/>
              <w:jc w:val="left"/>
              <w:rPr>
                <w:sz w:val="20"/>
              </w:rPr>
            </w:pPr>
            <w:r>
              <w:rPr>
                <w:sz w:val="20"/>
              </w:rPr>
              <w:t>Other</w:t>
            </w:r>
            <w:r>
              <w:rPr>
                <w:spacing w:val="-7"/>
                <w:sz w:val="20"/>
              </w:rPr>
              <w:t> </w:t>
            </w:r>
            <w:r>
              <w:rPr>
                <w:sz w:val="20"/>
              </w:rPr>
              <w:t>staff</w:t>
            </w:r>
            <w:r>
              <w:rPr>
                <w:spacing w:val="-4"/>
                <w:sz w:val="20"/>
              </w:rPr>
              <w:t> </w:t>
            </w:r>
            <w:r>
              <w:rPr>
                <w:spacing w:val="-2"/>
                <w:sz w:val="20"/>
              </w:rPr>
              <w:t>costs</w:t>
            </w:r>
          </w:p>
        </w:tc>
        <w:tc>
          <w:tcPr>
            <w:tcW w:w="1715" w:type="dxa"/>
            <w:tcBorders>
              <w:top w:val="single" w:sz="4" w:space="0" w:color="000000"/>
              <w:bottom w:val="single" w:sz="4" w:space="0" w:color="000000"/>
            </w:tcBorders>
          </w:tcPr>
          <w:p>
            <w:pPr>
              <w:pStyle w:val="TableParagraph"/>
              <w:spacing w:before="120"/>
              <w:ind w:right="428"/>
              <w:rPr>
                <w:sz w:val="20"/>
              </w:rPr>
            </w:pPr>
            <w:r>
              <w:rPr>
                <w:spacing w:val="-2"/>
                <w:sz w:val="20"/>
              </w:rPr>
              <w:t>11,934.4</w:t>
            </w:r>
          </w:p>
        </w:tc>
        <w:tc>
          <w:tcPr>
            <w:tcW w:w="1226" w:type="dxa"/>
            <w:tcBorders>
              <w:top w:val="single" w:sz="4" w:space="0" w:color="000000"/>
              <w:bottom w:val="single" w:sz="4" w:space="0" w:color="000000"/>
            </w:tcBorders>
          </w:tcPr>
          <w:p>
            <w:pPr>
              <w:pStyle w:val="TableParagraph"/>
              <w:spacing w:before="120"/>
              <w:ind w:right="132"/>
              <w:rPr>
                <w:sz w:val="20"/>
              </w:rPr>
            </w:pPr>
            <w:r>
              <w:rPr>
                <w:spacing w:val="-2"/>
                <w:sz w:val="20"/>
              </w:rPr>
              <w:t>5,613.2</w:t>
            </w:r>
          </w:p>
        </w:tc>
        <w:tc>
          <w:tcPr>
            <w:tcW w:w="1008" w:type="dxa"/>
            <w:tcBorders>
              <w:top w:val="single" w:sz="4" w:space="0" w:color="000000"/>
              <w:bottom w:val="single" w:sz="4" w:space="0" w:color="000000"/>
            </w:tcBorders>
          </w:tcPr>
          <w:p>
            <w:pPr>
              <w:pStyle w:val="TableParagraph"/>
              <w:spacing w:before="120"/>
              <w:ind w:right="347"/>
              <w:rPr>
                <w:sz w:val="20"/>
              </w:rPr>
            </w:pPr>
            <w:r>
              <w:rPr>
                <w:spacing w:val="-2"/>
                <w:sz w:val="20"/>
              </w:rPr>
              <w:t>47.0%</w:t>
            </w:r>
          </w:p>
        </w:tc>
        <w:tc>
          <w:tcPr>
            <w:tcW w:w="1152" w:type="dxa"/>
            <w:tcBorders>
              <w:top w:val="single" w:sz="4" w:space="0" w:color="000000"/>
              <w:bottom w:val="single" w:sz="4" w:space="0" w:color="000000"/>
            </w:tcBorders>
          </w:tcPr>
          <w:p>
            <w:pPr>
              <w:pStyle w:val="TableParagraph"/>
              <w:spacing w:before="120"/>
              <w:ind w:right="92"/>
              <w:rPr>
                <w:sz w:val="20"/>
              </w:rPr>
            </w:pPr>
            <w:r>
              <w:rPr>
                <w:spacing w:val="-2"/>
                <w:sz w:val="20"/>
              </w:rPr>
              <w:t>17,684.7</w:t>
            </w:r>
          </w:p>
        </w:tc>
      </w:tr>
      <w:tr>
        <w:trPr>
          <w:trHeight w:val="470" w:hRule="atLeast"/>
        </w:trPr>
        <w:tc>
          <w:tcPr>
            <w:tcW w:w="2633" w:type="dxa"/>
            <w:tcBorders>
              <w:top w:val="single" w:sz="4" w:space="0" w:color="000000"/>
              <w:bottom w:val="single" w:sz="4" w:space="0" w:color="000000"/>
            </w:tcBorders>
          </w:tcPr>
          <w:p>
            <w:pPr>
              <w:pStyle w:val="TableParagraph"/>
              <w:spacing w:before="120"/>
              <w:ind w:left="124"/>
              <w:jc w:val="left"/>
              <w:rPr>
                <w:sz w:val="20"/>
              </w:rPr>
            </w:pPr>
            <w:r>
              <w:rPr>
                <w:sz w:val="20"/>
              </w:rPr>
              <w:t>Non-staff</w:t>
            </w:r>
            <w:r>
              <w:rPr>
                <w:spacing w:val="-7"/>
                <w:sz w:val="20"/>
              </w:rPr>
              <w:t> </w:t>
            </w:r>
            <w:r>
              <w:rPr>
                <w:spacing w:val="-2"/>
                <w:sz w:val="20"/>
              </w:rPr>
              <w:t>costs</w:t>
            </w:r>
          </w:p>
        </w:tc>
        <w:tc>
          <w:tcPr>
            <w:tcW w:w="1715" w:type="dxa"/>
            <w:tcBorders>
              <w:top w:val="single" w:sz="4" w:space="0" w:color="000000"/>
              <w:bottom w:val="single" w:sz="4" w:space="0" w:color="000000"/>
            </w:tcBorders>
          </w:tcPr>
          <w:p>
            <w:pPr>
              <w:pStyle w:val="TableParagraph"/>
              <w:spacing w:before="120"/>
              <w:ind w:right="428"/>
              <w:rPr>
                <w:sz w:val="20"/>
              </w:rPr>
            </w:pPr>
            <w:r>
              <w:rPr>
                <w:spacing w:val="-2"/>
                <w:sz w:val="20"/>
              </w:rPr>
              <w:t>3,580.8</w:t>
            </w:r>
          </w:p>
        </w:tc>
        <w:tc>
          <w:tcPr>
            <w:tcW w:w="1226" w:type="dxa"/>
            <w:tcBorders>
              <w:top w:val="single" w:sz="4" w:space="0" w:color="000000"/>
              <w:bottom w:val="single" w:sz="4" w:space="0" w:color="000000"/>
            </w:tcBorders>
          </w:tcPr>
          <w:p>
            <w:pPr>
              <w:pStyle w:val="TableParagraph"/>
              <w:spacing w:before="120"/>
              <w:ind w:right="132"/>
              <w:rPr>
                <w:sz w:val="20"/>
              </w:rPr>
            </w:pPr>
            <w:r>
              <w:rPr>
                <w:spacing w:val="-2"/>
                <w:sz w:val="20"/>
              </w:rPr>
              <w:t>1,401.4</w:t>
            </w:r>
          </w:p>
        </w:tc>
        <w:tc>
          <w:tcPr>
            <w:tcW w:w="1008" w:type="dxa"/>
            <w:tcBorders>
              <w:top w:val="single" w:sz="4" w:space="0" w:color="000000"/>
              <w:bottom w:val="single" w:sz="4" w:space="0" w:color="000000"/>
            </w:tcBorders>
          </w:tcPr>
          <w:p>
            <w:pPr>
              <w:pStyle w:val="TableParagraph"/>
              <w:spacing w:before="120"/>
              <w:ind w:right="347"/>
              <w:rPr>
                <w:sz w:val="20"/>
              </w:rPr>
            </w:pPr>
            <w:r>
              <w:rPr>
                <w:spacing w:val="-2"/>
                <w:sz w:val="20"/>
              </w:rPr>
              <w:t>39.1%</w:t>
            </w:r>
          </w:p>
        </w:tc>
        <w:tc>
          <w:tcPr>
            <w:tcW w:w="1152" w:type="dxa"/>
            <w:tcBorders>
              <w:top w:val="single" w:sz="4" w:space="0" w:color="000000"/>
              <w:bottom w:val="single" w:sz="4" w:space="0" w:color="000000"/>
            </w:tcBorders>
          </w:tcPr>
          <w:p>
            <w:pPr>
              <w:pStyle w:val="TableParagraph"/>
              <w:spacing w:before="120"/>
              <w:ind w:right="92"/>
              <w:rPr>
                <w:sz w:val="20"/>
              </w:rPr>
            </w:pPr>
            <w:r>
              <w:rPr>
                <w:spacing w:val="-2"/>
                <w:sz w:val="20"/>
              </w:rPr>
              <w:t>4,982.1</w:t>
            </w:r>
          </w:p>
        </w:tc>
      </w:tr>
      <w:tr>
        <w:trPr>
          <w:trHeight w:val="469" w:hRule="atLeast"/>
        </w:trPr>
        <w:tc>
          <w:tcPr>
            <w:tcW w:w="2633" w:type="dxa"/>
            <w:tcBorders>
              <w:top w:val="single" w:sz="4" w:space="0" w:color="000000"/>
              <w:bottom w:val="single" w:sz="4" w:space="0" w:color="000000"/>
            </w:tcBorders>
          </w:tcPr>
          <w:p>
            <w:pPr>
              <w:pStyle w:val="TableParagraph"/>
              <w:spacing w:before="120"/>
              <w:ind w:left="124"/>
              <w:jc w:val="left"/>
              <w:rPr>
                <w:sz w:val="20"/>
              </w:rPr>
            </w:pPr>
            <w:r>
              <w:rPr>
                <w:spacing w:val="-2"/>
                <w:sz w:val="20"/>
              </w:rPr>
              <w:t>Total</w:t>
            </w:r>
          </w:p>
        </w:tc>
        <w:tc>
          <w:tcPr>
            <w:tcW w:w="1715" w:type="dxa"/>
            <w:tcBorders>
              <w:top w:val="single" w:sz="4" w:space="0" w:color="000000"/>
              <w:bottom w:val="single" w:sz="4" w:space="0" w:color="000000"/>
            </w:tcBorders>
          </w:tcPr>
          <w:p>
            <w:pPr>
              <w:pStyle w:val="TableParagraph"/>
              <w:spacing w:before="120"/>
              <w:ind w:right="428"/>
              <w:rPr>
                <w:sz w:val="20"/>
              </w:rPr>
            </w:pPr>
            <w:r>
              <w:rPr>
                <w:spacing w:val="-2"/>
                <w:sz w:val="20"/>
              </w:rPr>
              <w:t>49,546.4</w:t>
            </w:r>
          </w:p>
        </w:tc>
        <w:tc>
          <w:tcPr>
            <w:tcW w:w="1226" w:type="dxa"/>
            <w:tcBorders>
              <w:top w:val="single" w:sz="4" w:space="0" w:color="000000"/>
              <w:bottom w:val="single" w:sz="4" w:space="0" w:color="000000"/>
            </w:tcBorders>
          </w:tcPr>
          <w:p>
            <w:pPr>
              <w:pStyle w:val="TableParagraph"/>
              <w:spacing w:before="120"/>
              <w:ind w:right="132"/>
              <w:rPr>
                <w:sz w:val="20"/>
              </w:rPr>
            </w:pPr>
            <w:r>
              <w:rPr>
                <w:spacing w:val="-2"/>
                <w:sz w:val="20"/>
              </w:rPr>
              <w:t>9,791.8</w:t>
            </w:r>
          </w:p>
        </w:tc>
        <w:tc>
          <w:tcPr>
            <w:tcW w:w="1008" w:type="dxa"/>
            <w:tcBorders>
              <w:top w:val="single" w:sz="4" w:space="0" w:color="000000"/>
              <w:bottom w:val="single" w:sz="4" w:space="0" w:color="000000"/>
            </w:tcBorders>
          </w:tcPr>
          <w:p>
            <w:pPr>
              <w:pStyle w:val="TableParagraph"/>
              <w:spacing w:before="120"/>
              <w:ind w:right="347"/>
              <w:rPr>
                <w:sz w:val="20"/>
              </w:rPr>
            </w:pPr>
            <w:r>
              <w:rPr>
                <w:spacing w:val="-2"/>
                <w:sz w:val="20"/>
              </w:rPr>
              <w:t>19.8%</w:t>
            </w:r>
          </w:p>
        </w:tc>
        <w:tc>
          <w:tcPr>
            <w:tcW w:w="1152" w:type="dxa"/>
            <w:tcBorders>
              <w:top w:val="single" w:sz="4" w:space="0" w:color="000000"/>
              <w:bottom w:val="single" w:sz="4" w:space="0" w:color="000000"/>
            </w:tcBorders>
          </w:tcPr>
          <w:p>
            <w:pPr>
              <w:pStyle w:val="TableParagraph"/>
              <w:spacing w:before="120"/>
              <w:ind w:right="92"/>
              <w:rPr>
                <w:sz w:val="20"/>
              </w:rPr>
            </w:pPr>
            <w:r>
              <w:rPr>
                <w:spacing w:val="-2"/>
                <w:sz w:val="20"/>
              </w:rPr>
              <w:t>59,338.2</w:t>
            </w: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10"/>
        </w:rPr>
      </w:pPr>
      <w:r>
        <w:rPr/>
        <w:pict>
          <v:rect style="position:absolute;margin-left:113.330002pt;margin-top:7.022093pt;width:144.050pt;height:.48004pt;mso-position-horizontal-relative:page;mso-position-vertical-relative:paragraph;z-index:-15712256;mso-wrap-distance-left:0;mso-wrap-distance-right:0" id="docshape90" filled="true" fillcolor="#000000" stroked="false">
            <v:fill type="solid"/>
            <w10:wrap type="topAndBottom"/>
          </v:rect>
        </w:pict>
      </w:r>
    </w:p>
    <w:p>
      <w:pPr>
        <w:spacing w:before="86"/>
        <w:ind w:left="2246" w:right="0" w:firstLine="0"/>
        <w:jc w:val="left"/>
        <w:rPr>
          <w:sz w:val="16"/>
        </w:rPr>
      </w:pPr>
      <w:r>
        <w:rPr>
          <w:position w:val="5"/>
          <w:sz w:val="10"/>
        </w:rPr>
        <w:t>41</w:t>
      </w:r>
      <w:r>
        <w:rPr>
          <w:spacing w:val="14"/>
          <w:position w:val="5"/>
          <w:sz w:val="10"/>
        </w:rPr>
        <w:t> </w:t>
      </w:r>
      <w:r>
        <w:rPr>
          <w:sz w:val="16"/>
        </w:rPr>
        <w:t>See</w:t>
      </w:r>
      <w:r>
        <w:rPr>
          <w:spacing w:val="-2"/>
          <w:sz w:val="16"/>
        </w:rPr>
        <w:t> </w:t>
      </w:r>
      <w:r>
        <w:rPr>
          <w:sz w:val="16"/>
        </w:rPr>
        <w:t>paras.</w:t>
      </w:r>
      <w:r>
        <w:rPr>
          <w:spacing w:val="-4"/>
          <w:sz w:val="16"/>
        </w:rPr>
        <w:t> </w:t>
      </w:r>
      <w:r>
        <w:rPr>
          <w:sz w:val="16"/>
        </w:rPr>
        <w:t>279-282</w:t>
      </w:r>
      <w:r>
        <w:rPr>
          <w:spacing w:val="-1"/>
          <w:sz w:val="16"/>
        </w:rPr>
        <w:t> </w:t>
      </w:r>
      <w:r>
        <w:rPr>
          <w:sz w:val="16"/>
        </w:rPr>
        <w:t>for</w:t>
      </w:r>
      <w:r>
        <w:rPr>
          <w:spacing w:val="-3"/>
          <w:sz w:val="16"/>
        </w:rPr>
        <w:t> </w:t>
      </w:r>
      <w:r>
        <w:rPr>
          <w:sz w:val="16"/>
        </w:rPr>
        <w:t>details</w:t>
      </w:r>
      <w:r>
        <w:rPr>
          <w:spacing w:val="-3"/>
          <w:sz w:val="16"/>
        </w:rPr>
        <w:t> </w:t>
      </w:r>
      <w:r>
        <w:rPr>
          <w:sz w:val="16"/>
        </w:rPr>
        <w:t>on</w:t>
      </w:r>
      <w:r>
        <w:rPr>
          <w:spacing w:val="-1"/>
          <w:sz w:val="16"/>
        </w:rPr>
        <w:t> </w:t>
      </w:r>
      <w:r>
        <w:rPr>
          <w:sz w:val="16"/>
        </w:rPr>
        <w:t>the</w:t>
      </w:r>
      <w:r>
        <w:rPr>
          <w:spacing w:val="-2"/>
          <w:sz w:val="16"/>
        </w:rPr>
        <w:t> </w:t>
      </w:r>
      <w:r>
        <w:rPr>
          <w:sz w:val="16"/>
        </w:rPr>
        <w:t>justifications</w:t>
      </w:r>
      <w:r>
        <w:rPr>
          <w:spacing w:val="-2"/>
          <w:sz w:val="16"/>
        </w:rPr>
        <w:t> </w:t>
      </w:r>
      <w:r>
        <w:rPr>
          <w:sz w:val="16"/>
        </w:rPr>
        <w:t>of</w:t>
      </w:r>
      <w:r>
        <w:rPr>
          <w:spacing w:val="-3"/>
          <w:sz w:val="16"/>
        </w:rPr>
        <w:t> </w:t>
      </w:r>
      <w:r>
        <w:rPr>
          <w:spacing w:val="-2"/>
          <w:sz w:val="16"/>
        </w:rPr>
        <w:t>funds.</w:t>
      </w:r>
    </w:p>
    <w:p>
      <w:pPr>
        <w:spacing w:after="0"/>
        <w:jc w:val="left"/>
        <w:rPr>
          <w:sz w:val="16"/>
        </w:rPr>
        <w:sectPr>
          <w:headerReference w:type="default" r:id="rId29"/>
          <w:headerReference w:type="even" r:id="rId30"/>
          <w:footerReference w:type="default" r:id="rId31"/>
          <w:footerReference w:type="even" r:id="rId32"/>
          <w:pgSz w:w="11910" w:h="16840"/>
          <w:pgMar w:header="957" w:footer="940" w:top="1140" w:bottom="1140" w:left="20" w:right="20"/>
          <w:pgNumType w:start="43"/>
        </w:sectPr>
      </w:pPr>
    </w:p>
    <w:p>
      <w:pPr>
        <w:pStyle w:val="BodyText"/>
        <w:spacing w:line="20" w:lineRule="exact"/>
        <w:ind w:left="1084"/>
        <w:rPr>
          <w:sz w:val="2"/>
        </w:rPr>
      </w:pPr>
      <w:r>
        <w:rPr>
          <w:sz w:val="2"/>
        </w:rPr>
        <w:pict>
          <v:group style="width:485pt;height:.25pt;mso-position-horizontal-relative:char;mso-position-vertical-relative:line" id="docshapegroup91" coordorigin="0,0" coordsize="9700,5">
            <v:rect style="position:absolute;left:0;top:0;width:9700;height:5" id="docshape92" filled="true" fillcolor="#000000" stroked="false">
              <v:fill type="solid"/>
            </v:rect>
          </v:group>
        </w:pict>
      </w:r>
      <w:r>
        <w:rPr>
          <w:sz w:val="2"/>
        </w:rPr>
      </w:r>
    </w:p>
    <w:p>
      <w:pPr>
        <w:spacing w:before="104"/>
        <w:ind w:left="2246" w:right="0" w:firstLine="0"/>
        <w:jc w:val="left"/>
        <w:rPr>
          <w:b/>
          <w:sz w:val="20"/>
        </w:rPr>
      </w:pPr>
      <w:r>
        <w:rPr>
          <w:b/>
          <w:sz w:val="20"/>
        </w:rPr>
        <w:t>Table</w:t>
      </w:r>
      <w:r>
        <w:rPr>
          <w:b/>
          <w:spacing w:val="-5"/>
          <w:sz w:val="20"/>
        </w:rPr>
        <w:t> </w:t>
      </w:r>
      <w:r>
        <w:rPr>
          <w:b/>
          <w:sz w:val="20"/>
        </w:rPr>
        <w:t>11:</w:t>
      </w:r>
      <w:r>
        <w:rPr>
          <w:b/>
          <w:spacing w:val="-7"/>
          <w:sz w:val="20"/>
        </w:rPr>
        <w:t> </w:t>
      </w:r>
      <w:r>
        <w:rPr>
          <w:b/>
          <w:sz w:val="20"/>
        </w:rPr>
        <w:t>Major</w:t>
      </w:r>
      <w:r>
        <w:rPr>
          <w:b/>
          <w:spacing w:val="-10"/>
          <w:sz w:val="20"/>
        </w:rPr>
        <w:t> </w:t>
      </w:r>
      <w:r>
        <w:rPr>
          <w:b/>
          <w:sz w:val="20"/>
        </w:rPr>
        <w:t>Programme</w:t>
      </w:r>
      <w:r>
        <w:rPr>
          <w:b/>
          <w:spacing w:val="-5"/>
          <w:sz w:val="20"/>
        </w:rPr>
        <w:t> </w:t>
      </w:r>
      <w:r>
        <w:rPr>
          <w:b/>
          <w:sz w:val="20"/>
        </w:rPr>
        <w:t>II:</w:t>
      </w:r>
      <w:r>
        <w:rPr>
          <w:b/>
          <w:spacing w:val="-6"/>
          <w:sz w:val="20"/>
        </w:rPr>
        <w:t> </w:t>
      </w:r>
      <w:r>
        <w:rPr>
          <w:b/>
          <w:sz w:val="20"/>
        </w:rPr>
        <w:t>Proposed</w:t>
      </w:r>
      <w:r>
        <w:rPr>
          <w:b/>
          <w:spacing w:val="-3"/>
          <w:sz w:val="20"/>
        </w:rPr>
        <w:t> </w:t>
      </w:r>
      <w:r>
        <w:rPr>
          <w:b/>
          <w:sz w:val="20"/>
        </w:rPr>
        <w:t>budget</w:t>
      </w:r>
      <w:r>
        <w:rPr>
          <w:b/>
          <w:spacing w:val="-7"/>
          <w:sz w:val="20"/>
        </w:rPr>
        <w:t> </w:t>
      </w:r>
      <w:r>
        <w:rPr>
          <w:b/>
          <w:sz w:val="20"/>
        </w:rPr>
        <w:t>for </w:t>
      </w:r>
      <w:r>
        <w:rPr>
          <w:b/>
          <w:spacing w:val="-4"/>
          <w:sz w:val="20"/>
        </w:rPr>
        <w:t>2023</w:t>
      </w:r>
    </w:p>
    <w:tbl>
      <w:tblPr>
        <w:tblW w:w="0" w:type="auto"/>
        <w:jc w:val="left"/>
        <w:tblInd w:w="1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75"/>
        <w:gridCol w:w="1211"/>
        <w:gridCol w:w="828"/>
        <w:gridCol w:w="1130"/>
        <w:gridCol w:w="1079"/>
        <w:gridCol w:w="1116"/>
        <w:gridCol w:w="757"/>
        <w:gridCol w:w="1055"/>
      </w:tblGrid>
      <w:tr>
        <w:trPr>
          <w:trHeight w:val="310" w:hRule="atLeast"/>
        </w:trPr>
        <w:tc>
          <w:tcPr>
            <w:tcW w:w="5644" w:type="dxa"/>
            <w:gridSpan w:val="4"/>
            <w:tcBorders>
              <w:top w:val="single" w:sz="4" w:space="0" w:color="000000"/>
            </w:tcBorders>
          </w:tcPr>
          <w:p>
            <w:pPr>
              <w:pStyle w:val="TableParagraph"/>
              <w:tabs>
                <w:tab w:pos="2782" w:val="left" w:leader="none"/>
                <w:tab w:pos="5644" w:val="left" w:leader="none"/>
              </w:tabs>
              <w:spacing w:line="180" w:lineRule="exact" w:before="110"/>
              <w:ind w:left="2475" w:right="-15"/>
              <w:jc w:val="left"/>
              <w:rPr>
                <w:sz w:val="16"/>
              </w:rPr>
            </w:pPr>
            <w:r>
              <w:rPr>
                <w:sz w:val="16"/>
                <w:u w:val="single"/>
              </w:rPr>
              <w:tab/>
              <w:t>2021</w:t>
            </w:r>
            <w:r>
              <w:rPr>
                <w:spacing w:val="-3"/>
                <w:sz w:val="16"/>
                <w:u w:val="single"/>
              </w:rPr>
              <w:t> </w:t>
            </w:r>
            <w:r>
              <w:rPr>
                <w:sz w:val="16"/>
                <w:u w:val="single"/>
              </w:rPr>
              <w:t>Expenditures</w:t>
            </w:r>
            <w:r>
              <w:rPr>
                <w:spacing w:val="-4"/>
                <w:sz w:val="16"/>
                <w:u w:val="single"/>
              </w:rPr>
              <w:t> </w:t>
            </w:r>
            <w:r>
              <w:rPr>
                <w:sz w:val="16"/>
                <w:u w:val="single"/>
              </w:rPr>
              <w:t>(thousands</w:t>
            </w:r>
            <w:r>
              <w:rPr>
                <w:spacing w:val="-4"/>
                <w:sz w:val="16"/>
                <w:u w:val="single"/>
              </w:rPr>
              <w:t> </w:t>
            </w:r>
            <w:r>
              <w:rPr>
                <w:sz w:val="16"/>
                <w:u w:val="single"/>
              </w:rPr>
              <w:t>of</w:t>
            </w:r>
            <w:r>
              <w:rPr>
                <w:spacing w:val="-4"/>
                <w:sz w:val="16"/>
                <w:u w:val="single"/>
              </w:rPr>
              <w:t> </w:t>
            </w:r>
            <w:r>
              <w:rPr>
                <w:spacing w:val="-2"/>
                <w:sz w:val="16"/>
                <w:u w:val="single"/>
              </w:rPr>
              <w:t>euros)</w:t>
            </w:r>
            <w:r>
              <w:rPr>
                <w:sz w:val="16"/>
                <w:u w:val="single"/>
              </w:rPr>
              <w:tab/>
            </w:r>
          </w:p>
        </w:tc>
        <w:tc>
          <w:tcPr>
            <w:tcW w:w="1079" w:type="dxa"/>
            <w:vMerge w:val="restart"/>
            <w:tcBorders>
              <w:top w:val="single" w:sz="4" w:space="0" w:color="000000"/>
              <w:bottom w:val="single" w:sz="12" w:space="0" w:color="000000"/>
            </w:tcBorders>
          </w:tcPr>
          <w:p>
            <w:pPr>
              <w:pStyle w:val="TableParagraph"/>
              <w:spacing w:line="183" w:lineRule="exact" w:before="139"/>
              <w:ind w:left="228" w:right="183"/>
              <w:jc w:val="center"/>
              <w:rPr>
                <w:sz w:val="16"/>
              </w:rPr>
            </w:pPr>
            <w:r>
              <w:rPr>
                <w:spacing w:val="-4"/>
                <w:sz w:val="16"/>
              </w:rPr>
              <w:t>2022</w:t>
            </w:r>
          </w:p>
          <w:p>
            <w:pPr>
              <w:pStyle w:val="TableParagraph"/>
              <w:spacing w:line="183" w:lineRule="exact"/>
              <w:ind w:left="225" w:right="183"/>
              <w:jc w:val="center"/>
              <w:rPr>
                <w:sz w:val="16"/>
              </w:rPr>
            </w:pPr>
            <w:r>
              <w:rPr>
                <w:spacing w:val="-2"/>
                <w:sz w:val="16"/>
              </w:rPr>
              <w:t>Approved</w:t>
            </w:r>
          </w:p>
          <w:p>
            <w:pPr>
              <w:pStyle w:val="TableParagraph"/>
              <w:spacing w:line="171" w:lineRule="exact" w:before="3"/>
              <w:ind w:left="228" w:right="178"/>
              <w:jc w:val="center"/>
              <w:rPr>
                <w:sz w:val="16"/>
              </w:rPr>
            </w:pPr>
            <w:r>
              <w:rPr>
                <w:spacing w:val="-2"/>
                <w:sz w:val="16"/>
              </w:rPr>
              <w:t>Budget</w:t>
            </w:r>
          </w:p>
        </w:tc>
        <w:tc>
          <w:tcPr>
            <w:tcW w:w="1873" w:type="dxa"/>
            <w:gridSpan w:val="2"/>
            <w:tcBorders>
              <w:top w:val="single" w:sz="4" w:space="0" w:color="000000"/>
            </w:tcBorders>
          </w:tcPr>
          <w:p>
            <w:pPr>
              <w:pStyle w:val="TableParagraph"/>
              <w:tabs>
                <w:tab w:pos="328" w:val="left" w:leader="none"/>
                <w:tab w:pos="1797" w:val="left" w:leader="none"/>
              </w:tabs>
              <w:spacing w:line="180" w:lineRule="exact" w:before="110"/>
              <w:ind w:left="55"/>
              <w:jc w:val="left"/>
              <w:rPr>
                <w:sz w:val="16"/>
              </w:rPr>
            </w:pPr>
            <w:r>
              <w:rPr>
                <w:sz w:val="16"/>
                <w:u w:val="single"/>
              </w:rPr>
              <w:tab/>
              <w:t>Resource</w:t>
            </w:r>
            <w:r>
              <w:rPr>
                <w:spacing w:val="-2"/>
                <w:sz w:val="16"/>
                <w:u w:val="single"/>
              </w:rPr>
              <w:t> Changes</w:t>
            </w:r>
            <w:r>
              <w:rPr>
                <w:sz w:val="16"/>
                <w:u w:val="single"/>
              </w:rPr>
              <w:tab/>
            </w:r>
          </w:p>
        </w:tc>
        <w:tc>
          <w:tcPr>
            <w:tcW w:w="1055" w:type="dxa"/>
            <w:tcBorders>
              <w:top w:val="single" w:sz="4" w:space="0" w:color="000000"/>
            </w:tcBorders>
          </w:tcPr>
          <w:p>
            <w:pPr>
              <w:pStyle w:val="TableParagraph"/>
              <w:jc w:val="left"/>
              <w:rPr>
                <w:sz w:val="14"/>
              </w:rPr>
            </w:pPr>
          </w:p>
        </w:tc>
      </w:tr>
      <w:tr>
        <w:trPr>
          <w:trHeight w:val="359" w:hRule="atLeast"/>
        </w:trPr>
        <w:tc>
          <w:tcPr>
            <w:tcW w:w="2475" w:type="dxa"/>
            <w:tcBorders>
              <w:bottom w:val="single" w:sz="12" w:space="0" w:color="000000"/>
            </w:tcBorders>
          </w:tcPr>
          <w:p>
            <w:pPr>
              <w:pStyle w:val="TableParagraph"/>
              <w:spacing w:line="165" w:lineRule="exact"/>
              <w:ind w:left="117"/>
              <w:jc w:val="left"/>
              <w:rPr>
                <w:b/>
                <w:sz w:val="16"/>
              </w:rPr>
            </w:pPr>
            <w:r>
              <w:rPr>
                <w:b/>
                <w:sz w:val="16"/>
              </w:rPr>
              <w:t>Major</w:t>
            </w:r>
            <w:r>
              <w:rPr>
                <w:b/>
                <w:spacing w:val="-2"/>
                <w:sz w:val="16"/>
              </w:rPr>
              <w:t> </w:t>
            </w:r>
            <w:r>
              <w:rPr>
                <w:b/>
                <w:sz w:val="16"/>
              </w:rPr>
              <w:t>Programme</w:t>
            </w:r>
            <w:r>
              <w:rPr>
                <w:b/>
                <w:spacing w:val="-3"/>
                <w:sz w:val="16"/>
              </w:rPr>
              <w:t> </w:t>
            </w:r>
            <w:r>
              <w:rPr>
                <w:b/>
                <w:spacing w:val="-5"/>
                <w:sz w:val="16"/>
              </w:rPr>
              <w:t>II</w:t>
            </w:r>
          </w:p>
          <w:p>
            <w:pPr>
              <w:pStyle w:val="TableParagraph"/>
              <w:spacing w:line="171" w:lineRule="exact" w:before="3"/>
              <w:ind w:left="117"/>
              <w:jc w:val="left"/>
              <w:rPr>
                <w:b/>
                <w:sz w:val="16"/>
              </w:rPr>
            </w:pPr>
            <w:r>
              <w:rPr>
                <w:b/>
                <w:sz w:val="16"/>
              </w:rPr>
              <w:t>Office</w:t>
            </w:r>
            <w:r>
              <w:rPr>
                <w:b/>
                <w:spacing w:val="-4"/>
                <w:sz w:val="16"/>
              </w:rPr>
              <w:t> </w:t>
            </w:r>
            <w:r>
              <w:rPr>
                <w:b/>
                <w:sz w:val="16"/>
              </w:rPr>
              <w:t>of</w:t>
            </w:r>
            <w:r>
              <w:rPr>
                <w:b/>
                <w:spacing w:val="-5"/>
                <w:sz w:val="16"/>
              </w:rPr>
              <w:t> </w:t>
            </w:r>
            <w:r>
              <w:rPr>
                <w:b/>
                <w:sz w:val="16"/>
              </w:rPr>
              <w:t>the</w:t>
            </w:r>
            <w:r>
              <w:rPr>
                <w:b/>
                <w:spacing w:val="1"/>
                <w:sz w:val="16"/>
              </w:rPr>
              <w:t> </w:t>
            </w:r>
            <w:r>
              <w:rPr>
                <w:b/>
                <w:spacing w:val="-2"/>
                <w:sz w:val="16"/>
              </w:rPr>
              <w:t>Prosecutor</w:t>
            </w:r>
          </w:p>
        </w:tc>
        <w:tc>
          <w:tcPr>
            <w:tcW w:w="1211" w:type="dxa"/>
            <w:tcBorders>
              <w:bottom w:val="single" w:sz="12" w:space="0" w:color="000000"/>
            </w:tcBorders>
          </w:tcPr>
          <w:p>
            <w:pPr>
              <w:pStyle w:val="TableParagraph"/>
              <w:spacing w:before="7"/>
              <w:jc w:val="left"/>
              <w:rPr>
                <w:b/>
                <w:sz w:val="14"/>
              </w:rPr>
            </w:pPr>
          </w:p>
          <w:p>
            <w:pPr>
              <w:pStyle w:val="TableParagraph"/>
              <w:spacing w:line="171" w:lineRule="exact"/>
              <w:ind w:left="393"/>
              <w:jc w:val="left"/>
              <w:rPr>
                <w:sz w:val="16"/>
              </w:rPr>
            </w:pPr>
            <w:r>
              <w:rPr>
                <w:spacing w:val="-2"/>
                <w:sz w:val="16"/>
              </w:rPr>
              <w:t>Total</w:t>
            </w:r>
          </w:p>
        </w:tc>
        <w:tc>
          <w:tcPr>
            <w:tcW w:w="828" w:type="dxa"/>
            <w:tcBorders>
              <w:bottom w:val="single" w:sz="12" w:space="0" w:color="000000"/>
            </w:tcBorders>
          </w:tcPr>
          <w:p>
            <w:pPr>
              <w:pStyle w:val="TableParagraph"/>
              <w:spacing w:line="165" w:lineRule="exact"/>
              <w:ind w:left="191"/>
              <w:jc w:val="left"/>
              <w:rPr>
                <w:sz w:val="16"/>
              </w:rPr>
            </w:pPr>
            <w:r>
              <w:rPr>
                <w:spacing w:val="-2"/>
                <w:sz w:val="16"/>
              </w:rPr>
              <w:t>Cont.</w:t>
            </w:r>
          </w:p>
          <w:p>
            <w:pPr>
              <w:pStyle w:val="TableParagraph"/>
              <w:spacing w:line="171" w:lineRule="exact" w:before="3"/>
              <w:ind w:left="201"/>
              <w:jc w:val="left"/>
              <w:rPr>
                <w:sz w:val="16"/>
              </w:rPr>
            </w:pPr>
            <w:r>
              <w:rPr>
                <w:spacing w:val="-4"/>
                <w:sz w:val="16"/>
              </w:rPr>
              <w:t>Fund</w:t>
            </w:r>
          </w:p>
        </w:tc>
        <w:tc>
          <w:tcPr>
            <w:tcW w:w="1130" w:type="dxa"/>
            <w:tcBorders>
              <w:bottom w:val="single" w:sz="12" w:space="0" w:color="000000"/>
            </w:tcBorders>
          </w:tcPr>
          <w:p>
            <w:pPr>
              <w:pStyle w:val="TableParagraph"/>
              <w:spacing w:before="7"/>
              <w:jc w:val="left"/>
              <w:rPr>
                <w:b/>
                <w:sz w:val="14"/>
              </w:rPr>
            </w:pPr>
          </w:p>
          <w:p>
            <w:pPr>
              <w:pStyle w:val="TableParagraph"/>
              <w:spacing w:line="171" w:lineRule="exact"/>
              <w:ind w:right="116"/>
              <w:rPr>
                <w:sz w:val="16"/>
              </w:rPr>
            </w:pPr>
            <w:r>
              <w:rPr>
                <w:sz w:val="16"/>
              </w:rPr>
              <w:t>Total</w:t>
            </w:r>
            <w:r>
              <w:rPr>
                <w:spacing w:val="-7"/>
                <w:sz w:val="16"/>
              </w:rPr>
              <w:t> </w:t>
            </w:r>
            <w:r>
              <w:rPr>
                <w:sz w:val="16"/>
              </w:rPr>
              <w:t>Incl.</w:t>
            </w:r>
            <w:r>
              <w:rPr>
                <w:spacing w:val="-6"/>
                <w:sz w:val="16"/>
              </w:rPr>
              <w:t> </w:t>
            </w:r>
            <w:r>
              <w:rPr>
                <w:spacing w:val="-5"/>
                <w:sz w:val="16"/>
              </w:rPr>
              <w:t>CF</w:t>
            </w:r>
          </w:p>
        </w:tc>
        <w:tc>
          <w:tcPr>
            <w:tcW w:w="1079" w:type="dxa"/>
            <w:vMerge/>
            <w:tcBorders>
              <w:top w:val="nil"/>
              <w:bottom w:val="single" w:sz="12" w:space="0" w:color="000000"/>
            </w:tcBorders>
          </w:tcPr>
          <w:p>
            <w:pPr>
              <w:rPr>
                <w:sz w:val="2"/>
                <w:szCs w:val="2"/>
              </w:rPr>
            </w:pPr>
          </w:p>
        </w:tc>
        <w:tc>
          <w:tcPr>
            <w:tcW w:w="1116" w:type="dxa"/>
            <w:tcBorders>
              <w:bottom w:val="single" w:sz="12" w:space="0" w:color="000000"/>
            </w:tcBorders>
          </w:tcPr>
          <w:p>
            <w:pPr>
              <w:pStyle w:val="TableParagraph"/>
              <w:spacing w:before="7"/>
              <w:jc w:val="left"/>
              <w:rPr>
                <w:b/>
                <w:sz w:val="14"/>
              </w:rPr>
            </w:pPr>
          </w:p>
          <w:p>
            <w:pPr>
              <w:pStyle w:val="TableParagraph"/>
              <w:spacing w:line="171" w:lineRule="exact"/>
              <w:ind w:right="180"/>
              <w:rPr>
                <w:sz w:val="16"/>
              </w:rPr>
            </w:pPr>
            <w:r>
              <w:rPr>
                <w:spacing w:val="-2"/>
                <w:sz w:val="16"/>
              </w:rPr>
              <w:t>Amount</w:t>
            </w:r>
          </w:p>
        </w:tc>
        <w:tc>
          <w:tcPr>
            <w:tcW w:w="757" w:type="dxa"/>
            <w:tcBorders>
              <w:bottom w:val="single" w:sz="12" w:space="0" w:color="000000"/>
            </w:tcBorders>
          </w:tcPr>
          <w:p>
            <w:pPr>
              <w:pStyle w:val="TableParagraph"/>
              <w:spacing w:before="7"/>
              <w:jc w:val="left"/>
              <w:rPr>
                <w:b/>
                <w:sz w:val="14"/>
              </w:rPr>
            </w:pPr>
          </w:p>
          <w:p>
            <w:pPr>
              <w:pStyle w:val="TableParagraph"/>
              <w:spacing w:line="171" w:lineRule="exact"/>
              <w:ind w:right="185"/>
              <w:rPr>
                <w:sz w:val="16"/>
              </w:rPr>
            </w:pPr>
            <w:r>
              <w:rPr>
                <w:w w:val="98"/>
                <w:sz w:val="16"/>
              </w:rPr>
              <w:t>%</w:t>
            </w:r>
          </w:p>
        </w:tc>
        <w:tc>
          <w:tcPr>
            <w:tcW w:w="1055" w:type="dxa"/>
            <w:tcBorders>
              <w:bottom w:val="single" w:sz="12" w:space="0" w:color="000000"/>
            </w:tcBorders>
          </w:tcPr>
          <w:p>
            <w:pPr>
              <w:pStyle w:val="TableParagraph"/>
              <w:spacing w:line="165" w:lineRule="exact"/>
              <w:ind w:left="53" w:right="141"/>
              <w:jc w:val="center"/>
              <w:rPr>
                <w:sz w:val="16"/>
              </w:rPr>
            </w:pPr>
            <w:r>
              <w:rPr>
                <w:spacing w:val="-2"/>
                <w:sz w:val="16"/>
              </w:rPr>
              <w:t>Proposed</w:t>
            </w:r>
          </w:p>
          <w:p>
            <w:pPr>
              <w:pStyle w:val="TableParagraph"/>
              <w:spacing w:line="171" w:lineRule="exact" w:before="3"/>
              <w:ind w:left="60" w:right="140"/>
              <w:jc w:val="center"/>
              <w:rPr>
                <w:sz w:val="16"/>
              </w:rPr>
            </w:pPr>
            <w:r>
              <w:rPr>
                <w:sz w:val="16"/>
              </w:rPr>
              <w:t>2023</w:t>
            </w:r>
            <w:r>
              <w:rPr>
                <w:spacing w:val="2"/>
                <w:sz w:val="16"/>
              </w:rPr>
              <w:t> </w:t>
            </w:r>
            <w:r>
              <w:rPr>
                <w:spacing w:val="-2"/>
                <w:sz w:val="16"/>
              </w:rPr>
              <w:t>Budget</w:t>
            </w:r>
          </w:p>
        </w:tc>
      </w:tr>
      <w:tr>
        <w:trPr>
          <w:trHeight w:val="231" w:hRule="atLeast"/>
        </w:trPr>
        <w:tc>
          <w:tcPr>
            <w:tcW w:w="2475" w:type="dxa"/>
            <w:tcBorders>
              <w:top w:val="single" w:sz="12" w:space="0" w:color="000000"/>
            </w:tcBorders>
          </w:tcPr>
          <w:p>
            <w:pPr>
              <w:pStyle w:val="TableParagraph"/>
              <w:spacing w:before="13"/>
              <w:ind w:left="117"/>
              <w:jc w:val="left"/>
              <w:rPr>
                <w:sz w:val="16"/>
              </w:rPr>
            </w:pPr>
            <w:r>
              <w:rPr>
                <w:w w:val="95"/>
                <w:sz w:val="16"/>
              </w:rPr>
              <w:t>Professional</w:t>
            </w:r>
            <w:r>
              <w:rPr>
                <w:spacing w:val="28"/>
                <w:sz w:val="16"/>
              </w:rPr>
              <w:t> </w:t>
            </w:r>
            <w:r>
              <w:rPr>
                <w:spacing w:val="-2"/>
                <w:sz w:val="16"/>
              </w:rPr>
              <w:t>staff</w:t>
            </w:r>
          </w:p>
        </w:tc>
        <w:tc>
          <w:tcPr>
            <w:tcW w:w="1211" w:type="dxa"/>
            <w:tcBorders>
              <w:top w:val="single" w:sz="12" w:space="0" w:color="000000"/>
            </w:tcBorders>
            <w:shd w:val="clear" w:color="auto" w:fill="D9D9D9"/>
          </w:tcPr>
          <w:p>
            <w:pPr>
              <w:pStyle w:val="TableParagraph"/>
              <w:jc w:val="left"/>
              <w:rPr>
                <w:sz w:val="14"/>
              </w:rPr>
            </w:pPr>
          </w:p>
        </w:tc>
        <w:tc>
          <w:tcPr>
            <w:tcW w:w="828" w:type="dxa"/>
            <w:tcBorders>
              <w:top w:val="single" w:sz="12" w:space="0" w:color="000000"/>
            </w:tcBorders>
            <w:shd w:val="clear" w:color="auto" w:fill="D9D9D9"/>
          </w:tcPr>
          <w:p>
            <w:pPr>
              <w:pStyle w:val="TableParagraph"/>
              <w:jc w:val="left"/>
              <w:rPr>
                <w:sz w:val="14"/>
              </w:rPr>
            </w:pPr>
          </w:p>
        </w:tc>
        <w:tc>
          <w:tcPr>
            <w:tcW w:w="1130" w:type="dxa"/>
            <w:tcBorders>
              <w:top w:val="single" w:sz="12" w:space="0" w:color="000000"/>
            </w:tcBorders>
            <w:shd w:val="clear" w:color="auto" w:fill="D9D9D9"/>
          </w:tcPr>
          <w:p>
            <w:pPr>
              <w:pStyle w:val="TableParagraph"/>
              <w:jc w:val="left"/>
              <w:rPr>
                <w:sz w:val="14"/>
              </w:rPr>
            </w:pPr>
          </w:p>
        </w:tc>
        <w:tc>
          <w:tcPr>
            <w:tcW w:w="1079" w:type="dxa"/>
            <w:tcBorders>
              <w:top w:val="single" w:sz="12" w:space="0" w:color="000000"/>
            </w:tcBorders>
          </w:tcPr>
          <w:p>
            <w:pPr>
              <w:pStyle w:val="TableParagraph"/>
              <w:spacing w:before="13"/>
              <w:ind w:right="52"/>
              <w:rPr>
                <w:sz w:val="16"/>
              </w:rPr>
            </w:pPr>
            <w:r>
              <w:rPr>
                <w:spacing w:val="-2"/>
                <w:sz w:val="16"/>
              </w:rPr>
              <w:t>28,766.0</w:t>
            </w:r>
          </w:p>
        </w:tc>
        <w:tc>
          <w:tcPr>
            <w:tcW w:w="1116" w:type="dxa"/>
            <w:tcBorders>
              <w:top w:val="single" w:sz="12" w:space="0" w:color="000000"/>
            </w:tcBorders>
          </w:tcPr>
          <w:p>
            <w:pPr>
              <w:pStyle w:val="TableParagraph"/>
              <w:spacing w:before="13"/>
              <w:ind w:right="183"/>
              <w:rPr>
                <w:sz w:val="16"/>
              </w:rPr>
            </w:pPr>
            <w:r>
              <w:rPr>
                <w:spacing w:val="-2"/>
                <w:sz w:val="16"/>
              </w:rPr>
              <w:t>2,539.0</w:t>
            </w:r>
          </w:p>
        </w:tc>
        <w:tc>
          <w:tcPr>
            <w:tcW w:w="757" w:type="dxa"/>
            <w:tcBorders>
              <w:top w:val="single" w:sz="12" w:space="0" w:color="000000"/>
            </w:tcBorders>
          </w:tcPr>
          <w:p>
            <w:pPr>
              <w:pStyle w:val="TableParagraph"/>
              <w:spacing w:before="13"/>
              <w:ind w:right="186"/>
              <w:rPr>
                <w:sz w:val="16"/>
              </w:rPr>
            </w:pPr>
            <w:r>
              <w:rPr>
                <w:spacing w:val="-5"/>
                <w:sz w:val="16"/>
              </w:rPr>
              <w:t>8.8</w:t>
            </w:r>
          </w:p>
        </w:tc>
        <w:tc>
          <w:tcPr>
            <w:tcW w:w="1055" w:type="dxa"/>
            <w:tcBorders>
              <w:top w:val="single" w:sz="12" w:space="0" w:color="000000"/>
            </w:tcBorders>
          </w:tcPr>
          <w:p>
            <w:pPr>
              <w:pStyle w:val="TableParagraph"/>
              <w:spacing w:before="13"/>
              <w:ind w:right="108"/>
              <w:rPr>
                <w:sz w:val="16"/>
              </w:rPr>
            </w:pPr>
            <w:r>
              <w:rPr>
                <w:spacing w:val="-2"/>
                <w:sz w:val="16"/>
              </w:rPr>
              <w:t>31,305.0</w:t>
            </w:r>
          </w:p>
        </w:tc>
      </w:tr>
      <w:tr>
        <w:trPr>
          <w:trHeight w:val="223" w:hRule="atLeast"/>
        </w:trPr>
        <w:tc>
          <w:tcPr>
            <w:tcW w:w="2475" w:type="dxa"/>
            <w:tcBorders>
              <w:bottom w:val="single" w:sz="4" w:space="0" w:color="000000"/>
            </w:tcBorders>
          </w:tcPr>
          <w:p>
            <w:pPr>
              <w:pStyle w:val="TableParagraph"/>
              <w:spacing w:before="8"/>
              <w:ind w:left="117"/>
              <w:jc w:val="left"/>
              <w:rPr>
                <w:sz w:val="16"/>
              </w:rPr>
            </w:pPr>
            <w:r>
              <w:rPr>
                <w:sz w:val="16"/>
              </w:rPr>
              <w:t>General</w:t>
            </w:r>
            <w:r>
              <w:rPr>
                <w:spacing w:val="-6"/>
                <w:sz w:val="16"/>
              </w:rPr>
              <w:t> </w:t>
            </w:r>
            <w:r>
              <w:rPr>
                <w:sz w:val="16"/>
              </w:rPr>
              <w:t>Service</w:t>
            </w:r>
            <w:r>
              <w:rPr>
                <w:spacing w:val="-4"/>
                <w:sz w:val="16"/>
              </w:rPr>
              <w:t> staff</w:t>
            </w:r>
          </w:p>
        </w:tc>
        <w:tc>
          <w:tcPr>
            <w:tcW w:w="1211" w:type="dxa"/>
            <w:tcBorders>
              <w:bottom w:val="single" w:sz="4" w:space="0" w:color="000000"/>
            </w:tcBorders>
            <w:shd w:val="clear" w:color="auto" w:fill="D9D9D9"/>
          </w:tcPr>
          <w:p>
            <w:pPr>
              <w:pStyle w:val="TableParagraph"/>
              <w:jc w:val="left"/>
              <w:rPr>
                <w:sz w:val="14"/>
              </w:rPr>
            </w:pPr>
          </w:p>
        </w:tc>
        <w:tc>
          <w:tcPr>
            <w:tcW w:w="828" w:type="dxa"/>
            <w:tcBorders>
              <w:bottom w:val="single" w:sz="4" w:space="0" w:color="000000"/>
            </w:tcBorders>
            <w:shd w:val="clear" w:color="auto" w:fill="D9D9D9"/>
          </w:tcPr>
          <w:p>
            <w:pPr>
              <w:pStyle w:val="TableParagraph"/>
              <w:jc w:val="left"/>
              <w:rPr>
                <w:sz w:val="14"/>
              </w:rPr>
            </w:pPr>
          </w:p>
        </w:tc>
        <w:tc>
          <w:tcPr>
            <w:tcW w:w="1130" w:type="dxa"/>
            <w:tcBorders>
              <w:bottom w:val="single" w:sz="4" w:space="0" w:color="000000"/>
            </w:tcBorders>
            <w:shd w:val="clear" w:color="auto" w:fill="D9D9D9"/>
          </w:tcPr>
          <w:p>
            <w:pPr>
              <w:pStyle w:val="TableParagraph"/>
              <w:jc w:val="left"/>
              <w:rPr>
                <w:sz w:val="14"/>
              </w:rPr>
            </w:pPr>
          </w:p>
        </w:tc>
        <w:tc>
          <w:tcPr>
            <w:tcW w:w="1079" w:type="dxa"/>
            <w:tcBorders>
              <w:bottom w:val="single" w:sz="4" w:space="0" w:color="000000"/>
            </w:tcBorders>
          </w:tcPr>
          <w:p>
            <w:pPr>
              <w:pStyle w:val="TableParagraph"/>
              <w:spacing w:before="8"/>
              <w:ind w:right="52"/>
              <w:rPr>
                <w:sz w:val="16"/>
              </w:rPr>
            </w:pPr>
            <w:r>
              <w:rPr>
                <w:spacing w:val="-2"/>
                <w:sz w:val="16"/>
              </w:rPr>
              <w:t>5,265.3</w:t>
            </w:r>
          </w:p>
        </w:tc>
        <w:tc>
          <w:tcPr>
            <w:tcW w:w="1116" w:type="dxa"/>
            <w:tcBorders>
              <w:bottom w:val="single" w:sz="4" w:space="0" w:color="000000"/>
            </w:tcBorders>
          </w:tcPr>
          <w:p>
            <w:pPr>
              <w:pStyle w:val="TableParagraph"/>
              <w:spacing w:before="8"/>
              <w:ind w:right="183"/>
              <w:rPr>
                <w:sz w:val="16"/>
              </w:rPr>
            </w:pPr>
            <w:r>
              <w:rPr>
                <w:spacing w:val="-2"/>
                <w:sz w:val="16"/>
              </w:rPr>
              <w:t>238.2</w:t>
            </w:r>
          </w:p>
        </w:tc>
        <w:tc>
          <w:tcPr>
            <w:tcW w:w="757" w:type="dxa"/>
            <w:tcBorders>
              <w:bottom w:val="single" w:sz="4" w:space="0" w:color="000000"/>
            </w:tcBorders>
          </w:tcPr>
          <w:p>
            <w:pPr>
              <w:pStyle w:val="TableParagraph"/>
              <w:spacing w:before="8"/>
              <w:ind w:right="186"/>
              <w:rPr>
                <w:sz w:val="16"/>
              </w:rPr>
            </w:pPr>
            <w:r>
              <w:rPr>
                <w:spacing w:val="-5"/>
                <w:sz w:val="16"/>
              </w:rPr>
              <w:t>4.5</w:t>
            </w:r>
          </w:p>
        </w:tc>
        <w:tc>
          <w:tcPr>
            <w:tcW w:w="1055" w:type="dxa"/>
            <w:tcBorders>
              <w:bottom w:val="single" w:sz="4" w:space="0" w:color="000000"/>
            </w:tcBorders>
          </w:tcPr>
          <w:p>
            <w:pPr>
              <w:pStyle w:val="TableParagraph"/>
              <w:spacing w:before="8"/>
              <w:ind w:right="108"/>
              <w:rPr>
                <w:sz w:val="16"/>
              </w:rPr>
            </w:pPr>
            <w:r>
              <w:rPr>
                <w:spacing w:val="-2"/>
                <w:sz w:val="16"/>
              </w:rPr>
              <w:t>5,503.5</w:t>
            </w:r>
          </w:p>
        </w:tc>
      </w:tr>
      <w:tr>
        <w:trPr>
          <w:trHeight w:val="225" w:hRule="atLeast"/>
        </w:trPr>
        <w:tc>
          <w:tcPr>
            <w:tcW w:w="2475" w:type="dxa"/>
            <w:tcBorders>
              <w:top w:val="single" w:sz="4" w:space="0" w:color="000000"/>
              <w:bottom w:val="single" w:sz="4" w:space="0" w:color="000000"/>
            </w:tcBorders>
          </w:tcPr>
          <w:p>
            <w:pPr>
              <w:pStyle w:val="TableParagraph"/>
              <w:spacing w:before="9"/>
              <w:ind w:right="104"/>
              <w:rPr>
                <w:i/>
                <w:sz w:val="16"/>
              </w:rPr>
            </w:pPr>
            <w:r>
              <w:rPr>
                <w:i/>
                <w:sz w:val="16"/>
              </w:rPr>
              <w:t>Subtotal</w:t>
            </w:r>
            <w:r>
              <w:rPr>
                <w:i/>
                <w:spacing w:val="-1"/>
                <w:sz w:val="16"/>
              </w:rPr>
              <w:t> </w:t>
            </w:r>
            <w:r>
              <w:rPr>
                <w:i/>
                <w:spacing w:val="-2"/>
                <w:sz w:val="16"/>
              </w:rPr>
              <w:t>staff</w:t>
            </w:r>
          </w:p>
        </w:tc>
        <w:tc>
          <w:tcPr>
            <w:tcW w:w="1211" w:type="dxa"/>
            <w:tcBorders>
              <w:top w:val="single" w:sz="4" w:space="0" w:color="000000"/>
              <w:bottom w:val="single" w:sz="4" w:space="0" w:color="000000"/>
            </w:tcBorders>
          </w:tcPr>
          <w:p>
            <w:pPr>
              <w:pStyle w:val="TableParagraph"/>
              <w:spacing w:before="9"/>
              <w:ind w:right="189"/>
              <w:rPr>
                <w:i/>
                <w:sz w:val="16"/>
              </w:rPr>
            </w:pPr>
            <w:r>
              <w:rPr>
                <w:i/>
                <w:spacing w:val="-2"/>
                <w:sz w:val="16"/>
              </w:rPr>
              <w:t>32,435.8</w:t>
            </w:r>
          </w:p>
        </w:tc>
        <w:tc>
          <w:tcPr>
            <w:tcW w:w="828" w:type="dxa"/>
            <w:tcBorders>
              <w:top w:val="single" w:sz="4" w:space="0" w:color="000000"/>
              <w:bottom w:val="single" w:sz="4" w:space="0" w:color="000000"/>
            </w:tcBorders>
          </w:tcPr>
          <w:p>
            <w:pPr>
              <w:pStyle w:val="TableParagraph"/>
              <w:spacing w:before="9"/>
              <w:ind w:right="110"/>
              <w:rPr>
                <w:i/>
                <w:sz w:val="16"/>
              </w:rPr>
            </w:pPr>
            <w:r>
              <w:rPr>
                <w:i/>
                <w:w w:val="98"/>
                <w:sz w:val="16"/>
              </w:rPr>
              <w:t>-</w:t>
            </w:r>
          </w:p>
        </w:tc>
        <w:tc>
          <w:tcPr>
            <w:tcW w:w="1130" w:type="dxa"/>
            <w:tcBorders>
              <w:top w:val="single" w:sz="4" w:space="0" w:color="000000"/>
              <w:bottom w:val="single" w:sz="4" w:space="0" w:color="000000"/>
            </w:tcBorders>
          </w:tcPr>
          <w:p>
            <w:pPr>
              <w:pStyle w:val="TableParagraph"/>
              <w:spacing w:before="9"/>
              <w:ind w:right="101"/>
              <w:rPr>
                <w:i/>
                <w:sz w:val="16"/>
              </w:rPr>
            </w:pPr>
            <w:r>
              <w:rPr>
                <w:i/>
                <w:spacing w:val="-2"/>
                <w:sz w:val="16"/>
              </w:rPr>
              <w:t>32,435.8</w:t>
            </w:r>
          </w:p>
        </w:tc>
        <w:tc>
          <w:tcPr>
            <w:tcW w:w="1079" w:type="dxa"/>
            <w:tcBorders>
              <w:top w:val="single" w:sz="4" w:space="0" w:color="000000"/>
              <w:bottom w:val="single" w:sz="4" w:space="0" w:color="000000"/>
            </w:tcBorders>
          </w:tcPr>
          <w:p>
            <w:pPr>
              <w:pStyle w:val="TableParagraph"/>
              <w:spacing w:before="9"/>
              <w:ind w:right="52"/>
              <w:rPr>
                <w:i/>
                <w:sz w:val="16"/>
              </w:rPr>
            </w:pPr>
            <w:r>
              <w:rPr>
                <w:i/>
                <w:spacing w:val="-2"/>
                <w:sz w:val="16"/>
              </w:rPr>
              <w:t>34,031.3</w:t>
            </w:r>
          </w:p>
        </w:tc>
        <w:tc>
          <w:tcPr>
            <w:tcW w:w="1116" w:type="dxa"/>
            <w:tcBorders>
              <w:top w:val="single" w:sz="4" w:space="0" w:color="000000"/>
              <w:bottom w:val="single" w:sz="4" w:space="0" w:color="000000"/>
            </w:tcBorders>
          </w:tcPr>
          <w:p>
            <w:pPr>
              <w:pStyle w:val="TableParagraph"/>
              <w:spacing w:before="9"/>
              <w:ind w:right="183"/>
              <w:rPr>
                <w:i/>
                <w:sz w:val="16"/>
              </w:rPr>
            </w:pPr>
            <w:r>
              <w:rPr>
                <w:i/>
                <w:spacing w:val="-2"/>
                <w:sz w:val="16"/>
              </w:rPr>
              <w:t>2,777.2</w:t>
            </w:r>
          </w:p>
        </w:tc>
        <w:tc>
          <w:tcPr>
            <w:tcW w:w="757" w:type="dxa"/>
            <w:tcBorders>
              <w:top w:val="single" w:sz="4" w:space="0" w:color="000000"/>
              <w:bottom w:val="single" w:sz="4" w:space="0" w:color="000000"/>
            </w:tcBorders>
          </w:tcPr>
          <w:p>
            <w:pPr>
              <w:pStyle w:val="TableParagraph"/>
              <w:spacing w:before="9"/>
              <w:ind w:right="186"/>
              <w:rPr>
                <w:i/>
                <w:sz w:val="16"/>
              </w:rPr>
            </w:pPr>
            <w:r>
              <w:rPr>
                <w:i/>
                <w:spacing w:val="-5"/>
                <w:sz w:val="16"/>
              </w:rPr>
              <w:t>8.2</w:t>
            </w:r>
          </w:p>
        </w:tc>
        <w:tc>
          <w:tcPr>
            <w:tcW w:w="1055" w:type="dxa"/>
            <w:tcBorders>
              <w:top w:val="single" w:sz="4" w:space="0" w:color="000000"/>
              <w:bottom w:val="single" w:sz="4" w:space="0" w:color="000000"/>
            </w:tcBorders>
          </w:tcPr>
          <w:p>
            <w:pPr>
              <w:pStyle w:val="TableParagraph"/>
              <w:spacing w:before="9"/>
              <w:ind w:right="108"/>
              <w:rPr>
                <w:i/>
                <w:sz w:val="16"/>
              </w:rPr>
            </w:pPr>
            <w:r>
              <w:rPr>
                <w:i/>
                <w:spacing w:val="-2"/>
                <w:sz w:val="16"/>
              </w:rPr>
              <w:t>36,808.5</w:t>
            </w:r>
          </w:p>
        </w:tc>
      </w:tr>
      <w:tr>
        <w:trPr>
          <w:trHeight w:val="231" w:hRule="atLeast"/>
        </w:trPr>
        <w:tc>
          <w:tcPr>
            <w:tcW w:w="2475" w:type="dxa"/>
            <w:tcBorders>
              <w:top w:val="single" w:sz="4" w:space="0" w:color="000000"/>
            </w:tcBorders>
          </w:tcPr>
          <w:p>
            <w:pPr>
              <w:pStyle w:val="TableParagraph"/>
              <w:spacing w:before="14"/>
              <w:ind w:left="117"/>
              <w:jc w:val="left"/>
              <w:rPr>
                <w:sz w:val="16"/>
              </w:rPr>
            </w:pPr>
            <w:r>
              <w:rPr>
                <w:sz w:val="16"/>
              </w:rPr>
              <w:t>General</w:t>
            </w:r>
            <w:r>
              <w:rPr>
                <w:spacing w:val="-4"/>
                <w:sz w:val="16"/>
              </w:rPr>
              <w:t> </w:t>
            </w:r>
            <w:r>
              <w:rPr>
                <w:sz w:val="16"/>
              </w:rPr>
              <w:t>temporary</w:t>
            </w:r>
            <w:r>
              <w:rPr>
                <w:spacing w:val="-1"/>
                <w:sz w:val="16"/>
              </w:rPr>
              <w:t> </w:t>
            </w:r>
            <w:r>
              <w:rPr>
                <w:spacing w:val="-2"/>
                <w:sz w:val="16"/>
              </w:rPr>
              <w:t>assistance</w:t>
            </w:r>
          </w:p>
        </w:tc>
        <w:tc>
          <w:tcPr>
            <w:tcW w:w="1211" w:type="dxa"/>
            <w:tcBorders>
              <w:top w:val="single" w:sz="4" w:space="0" w:color="000000"/>
            </w:tcBorders>
          </w:tcPr>
          <w:p>
            <w:pPr>
              <w:pStyle w:val="TableParagraph"/>
              <w:spacing w:before="14"/>
              <w:ind w:right="189"/>
              <w:rPr>
                <w:sz w:val="16"/>
              </w:rPr>
            </w:pPr>
            <w:r>
              <w:rPr>
                <w:spacing w:val="-2"/>
                <w:sz w:val="16"/>
              </w:rPr>
              <w:t>10,357.8</w:t>
            </w:r>
          </w:p>
        </w:tc>
        <w:tc>
          <w:tcPr>
            <w:tcW w:w="828" w:type="dxa"/>
            <w:tcBorders>
              <w:top w:val="single" w:sz="4" w:space="0" w:color="000000"/>
            </w:tcBorders>
          </w:tcPr>
          <w:p>
            <w:pPr>
              <w:pStyle w:val="TableParagraph"/>
              <w:spacing w:before="14"/>
              <w:ind w:right="109"/>
              <w:rPr>
                <w:sz w:val="16"/>
              </w:rPr>
            </w:pPr>
            <w:r>
              <w:rPr>
                <w:spacing w:val="-4"/>
                <w:sz w:val="16"/>
              </w:rPr>
              <w:t>19.9</w:t>
            </w:r>
          </w:p>
        </w:tc>
        <w:tc>
          <w:tcPr>
            <w:tcW w:w="1130" w:type="dxa"/>
            <w:tcBorders>
              <w:top w:val="single" w:sz="4" w:space="0" w:color="000000"/>
            </w:tcBorders>
          </w:tcPr>
          <w:p>
            <w:pPr>
              <w:pStyle w:val="TableParagraph"/>
              <w:spacing w:before="14"/>
              <w:ind w:right="101"/>
              <w:rPr>
                <w:sz w:val="16"/>
              </w:rPr>
            </w:pPr>
            <w:r>
              <w:rPr>
                <w:spacing w:val="-2"/>
                <w:sz w:val="16"/>
              </w:rPr>
              <w:t>10,377.7</w:t>
            </w:r>
          </w:p>
        </w:tc>
        <w:tc>
          <w:tcPr>
            <w:tcW w:w="1079" w:type="dxa"/>
            <w:tcBorders>
              <w:top w:val="single" w:sz="4" w:space="0" w:color="000000"/>
            </w:tcBorders>
          </w:tcPr>
          <w:p>
            <w:pPr>
              <w:pStyle w:val="TableParagraph"/>
              <w:spacing w:before="14"/>
              <w:ind w:right="52"/>
              <w:rPr>
                <w:sz w:val="16"/>
              </w:rPr>
            </w:pPr>
            <w:r>
              <w:rPr>
                <w:spacing w:val="-2"/>
                <w:sz w:val="16"/>
              </w:rPr>
              <w:t>11,934.4</w:t>
            </w:r>
          </w:p>
        </w:tc>
        <w:tc>
          <w:tcPr>
            <w:tcW w:w="1116" w:type="dxa"/>
            <w:tcBorders>
              <w:top w:val="single" w:sz="4" w:space="0" w:color="000000"/>
            </w:tcBorders>
          </w:tcPr>
          <w:p>
            <w:pPr>
              <w:pStyle w:val="TableParagraph"/>
              <w:spacing w:before="14"/>
              <w:ind w:right="183"/>
              <w:rPr>
                <w:sz w:val="16"/>
              </w:rPr>
            </w:pPr>
            <w:r>
              <w:rPr>
                <w:spacing w:val="-2"/>
                <w:sz w:val="16"/>
              </w:rPr>
              <w:t>5,613.2</w:t>
            </w:r>
          </w:p>
        </w:tc>
        <w:tc>
          <w:tcPr>
            <w:tcW w:w="757" w:type="dxa"/>
            <w:tcBorders>
              <w:top w:val="single" w:sz="4" w:space="0" w:color="000000"/>
            </w:tcBorders>
          </w:tcPr>
          <w:p>
            <w:pPr>
              <w:pStyle w:val="TableParagraph"/>
              <w:spacing w:before="14"/>
              <w:ind w:right="181"/>
              <w:rPr>
                <w:sz w:val="16"/>
              </w:rPr>
            </w:pPr>
            <w:r>
              <w:rPr>
                <w:spacing w:val="-4"/>
                <w:sz w:val="16"/>
              </w:rPr>
              <w:t>47.0</w:t>
            </w:r>
          </w:p>
        </w:tc>
        <w:tc>
          <w:tcPr>
            <w:tcW w:w="1055" w:type="dxa"/>
            <w:tcBorders>
              <w:top w:val="single" w:sz="4" w:space="0" w:color="000000"/>
            </w:tcBorders>
          </w:tcPr>
          <w:p>
            <w:pPr>
              <w:pStyle w:val="TableParagraph"/>
              <w:spacing w:before="14"/>
              <w:ind w:right="108"/>
              <w:rPr>
                <w:sz w:val="16"/>
              </w:rPr>
            </w:pPr>
            <w:r>
              <w:rPr>
                <w:spacing w:val="-2"/>
                <w:sz w:val="16"/>
              </w:rPr>
              <w:t>17,547.6</w:t>
            </w:r>
          </w:p>
        </w:tc>
      </w:tr>
      <w:tr>
        <w:trPr>
          <w:trHeight w:val="225" w:hRule="atLeast"/>
        </w:trPr>
        <w:tc>
          <w:tcPr>
            <w:tcW w:w="2475" w:type="dxa"/>
          </w:tcPr>
          <w:p>
            <w:pPr>
              <w:pStyle w:val="TableParagraph"/>
              <w:spacing w:before="8"/>
              <w:ind w:right="117"/>
              <w:rPr>
                <w:sz w:val="16"/>
              </w:rPr>
            </w:pPr>
            <w:r>
              <w:rPr>
                <w:sz w:val="16"/>
              </w:rPr>
              <w:t>Temporary</w:t>
            </w:r>
            <w:r>
              <w:rPr>
                <w:spacing w:val="-3"/>
                <w:sz w:val="16"/>
              </w:rPr>
              <w:t> </w:t>
            </w:r>
            <w:r>
              <w:rPr>
                <w:sz w:val="16"/>
              </w:rPr>
              <w:t>assistance</w:t>
            </w:r>
            <w:r>
              <w:rPr>
                <w:spacing w:val="-4"/>
                <w:sz w:val="16"/>
              </w:rPr>
              <w:t> </w:t>
            </w:r>
            <w:r>
              <w:rPr>
                <w:sz w:val="16"/>
              </w:rPr>
              <w:t>for</w:t>
            </w:r>
            <w:r>
              <w:rPr>
                <w:spacing w:val="-5"/>
                <w:sz w:val="16"/>
              </w:rPr>
              <w:t> </w:t>
            </w:r>
            <w:r>
              <w:rPr>
                <w:spacing w:val="-2"/>
                <w:sz w:val="16"/>
              </w:rPr>
              <w:t>meetings</w:t>
            </w:r>
          </w:p>
        </w:tc>
        <w:tc>
          <w:tcPr>
            <w:tcW w:w="1211" w:type="dxa"/>
          </w:tcPr>
          <w:p>
            <w:pPr>
              <w:pStyle w:val="TableParagraph"/>
              <w:spacing w:before="8"/>
              <w:ind w:right="188"/>
              <w:rPr>
                <w:sz w:val="16"/>
              </w:rPr>
            </w:pPr>
            <w:r>
              <w:rPr>
                <w:spacing w:val="-4"/>
                <w:sz w:val="16"/>
              </w:rPr>
              <w:t>12.8</w:t>
            </w:r>
          </w:p>
        </w:tc>
        <w:tc>
          <w:tcPr>
            <w:tcW w:w="828" w:type="dxa"/>
          </w:tcPr>
          <w:p>
            <w:pPr>
              <w:pStyle w:val="TableParagraph"/>
              <w:spacing w:before="8"/>
              <w:ind w:right="110"/>
              <w:rPr>
                <w:sz w:val="16"/>
              </w:rPr>
            </w:pPr>
            <w:r>
              <w:rPr>
                <w:w w:val="98"/>
                <w:sz w:val="16"/>
              </w:rPr>
              <w:t>-</w:t>
            </w:r>
          </w:p>
        </w:tc>
        <w:tc>
          <w:tcPr>
            <w:tcW w:w="1130" w:type="dxa"/>
          </w:tcPr>
          <w:p>
            <w:pPr>
              <w:pStyle w:val="TableParagraph"/>
              <w:spacing w:before="8"/>
              <w:ind w:right="101"/>
              <w:rPr>
                <w:sz w:val="16"/>
              </w:rPr>
            </w:pPr>
            <w:r>
              <w:rPr>
                <w:spacing w:val="-4"/>
                <w:sz w:val="16"/>
              </w:rPr>
              <w:t>12.8</w:t>
            </w:r>
          </w:p>
        </w:tc>
        <w:tc>
          <w:tcPr>
            <w:tcW w:w="1079" w:type="dxa"/>
          </w:tcPr>
          <w:p>
            <w:pPr>
              <w:pStyle w:val="TableParagraph"/>
              <w:spacing w:before="8"/>
              <w:ind w:right="53"/>
              <w:rPr>
                <w:sz w:val="16"/>
              </w:rPr>
            </w:pPr>
            <w:r>
              <w:rPr>
                <w:w w:val="98"/>
                <w:sz w:val="16"/>
              </w:rPr>
              <w:t>-</w:t>
            </w:r>
          </w:p>
        </w:tc>
        <w:tc>
          <w:tcPr>
            <w:tcW w:w="1116" w:type="dxa"/>
          </w:tcPr>
          <w:p>
            <w:pPr>
              <w:pStyle w:val="TableParagraph"/>
              <w:spacing w:before="8"/>
              <w:ind w:right="185"/>
              <w:rPr>
                <w:sz w:val="16"/>
              </w:rPr>
            </w:pPr>
            <w:r>
              <w:rPr>
                <w:w w:val="98"/>
                <w:sz w:val="16"/>
              </w:rPr>
              <w:t>-</w:t>
            </w:r>
          </w:p>
        </w:tc>
        <w:tc>
          <w:tcPr>
            <w:tcW w:w="757" w:type="dxa"/>
          </w:tcPr>
          <w:p>
            <w:pPr>
              <w:pStyle w:val="TableParagraph"/>
              <w:spacing w:before="8"/>
              <w:ind w:right="183"/>
              <w:rPr>
                <w:sz w:val="16"/>
              </w:rPr>
            </w:pPr>
            <w:r>
              <w:rPr>
                <w:w w:val="98"/>
                <w:sz w:val="16"/>
              </w:rPr>
              <w:t>-</w:t>
            </w:r>
          </w:p>
        </w:tc>
        <w:tc>
          <w:tcPr>
            <w:tcW w:w="1055" w:type="dxa"/>
          </w:tcPr>
          <w:p>
            <w:pPr>
              <w:pStyle w:val="TableParagraph"/>
              <w:spacing w:before="8"/>
              <w:ind w:right="109"/>
              <w:rPr>
                <w:sz w:val="16"/>
              </w:rPr>
            </w:pPr>
            <w:r>
              <w:rPr>
                <w:w w:val="98"/>
                <w:sz w:val="16"/>
              </w:rPr>
              <w:t>-</w:t>
            </w:r>
          </w:p>
        </w:tc>
      </w:tr>
      <w:tr>
        <w:trPr>
          <w:trHeight w:val="223" w:hRule="atLeast"/>
        </w:trPr>
        <w:tc>
          <w:tcPr>
            <w:tcW w:w="2475" w:type="dxa"/>
            <w:tcBorders>
              <w:bottom w:val="single" w:sz="4" w:space="0" w:color="000000"/>
            </w:tcBorders>
          </w:tcPr>
          <w:p>
            <w:pPr>
              <w:pStyle w:val="TableParagraph"/>
              <w:spacing w:before="8"/>
              <w:ind w:left="117"/>
              <w:jc w:val="left"/>
              <w:rPr>
                <w:sz w:val="16"/>
              </w:rPr>
            </w:pPr>
            <w:r>
              <w:rPr>
                <w:spacing w:val="-2"/>
                <w:sz w:val="16"/>
              </w:rPr>
              <w:t>Overtime</w:t>
            </w:r>
          </w:p>
        </w:tc>
        <w:tc>
          <w:tcPr>
            <w:tcW w:w="1211" w:type="dxa"/>
            <w:tcBorders>
              <w:bottom w:val="single" w:sz="4" w:space="0" w:color="000000"/>
            </w:tcBorders>
          </w:tcPr>
          <w:p>
            <w:pPr>
              <w:pStyle w:val="TableParagraph"/>
              <w:spacing w:before="8"/>
              <w:ind w:right="188"/>
              <w:rPr>
                <w:sz w:val="16"/>
              </w:rPr>
            </w:pPr>
            <w:r>
              <w:rPr>
                <w:spacing w:val="-4"/>
                <w:sz w:val="16"/>
              </w:rPr>
              <w:t>12.6</w:t>
            </w:r>
          </w:p>
        </w:tc>
        <w:tc>
          <w:tcPr>
            <w:tcW w:w="828" w:type="dxa"/>
            <w:tcBorders>
              <w:bottom w:val="single" w:sz="4" w:space="0" w:color="000000"/>
            </w:tcBorders>
          </w:tcPr>
          <w:p>
            <w:pPr>
              <w:pStyle w:val="TableParagraph"/>
              <w:spacing w:before="8"/>
              <w:ind w:right="110"/>
              <w:rPr>
                <w:sz w:val="16"/>
              </w:rPr>
            </w:pPr>
            <w:r>
              <w:rPr>
                <w:w w:val="98"/>
                <w:sz w:val="16"/>
              </w:rPr>
              <w:t>-</w:t>
            </w:r>
          </w:p>
        </w:tc>
        <w:tc>
          <w:tcPr>
            <w:tcW w:w="1130" w:type="dxa"/>
            <w:tcBorders>
              <w:bottom w:val="single" w:sz="4" w:space="0" w:color="000000"/>
            </w:tcBorders>
          </w:tcPr>
          <w:p>
            <w:pPr>
              <w:pStyle w:val="TableParagraph"/>
              <w:spacing w:before="8"/>
              <w:ind w:right="101"/>
              <w:rPr>
                <w:sz w:val="16"/>
              </w:rPr>
            </w:pPr>
            <w:r>
              <w:rPr>
                <w:spacing w:val="-4"/>
                <w:sz w:val="16"/>
              </w:rPr>
              <w:t>12.6</w:t>
            </w:r>
          </w:p>
        </w:tc>
        <w:tc>
          <w:tcPr>
            <w:tcW w:w="1079" w:type="dxa"/>
            <w:tcBorders>
              <w:bottom w:val="single" w:sz="4" w:space="0" w:color="000000"/>
            </w:tcBorders>
          </w:tcPr>
          <w:p>
            <w:pPr>
              <w:pStyle w:val="TableParagraph"/>
              <w:spacing w:before="8"/>
              <w:ind w:right="53"/>
              <w:rPr>
                <w:sz w:val="16"/>
              </w:rPr>
            </w:pPr>
            <w:r>
              <w:rPr>
                <w:w w:val="98"/>
                <w:sz w:val="16"/>
              </w:rPr>
              <w:t>-</w:t>
            </w:r>
          </w:p>
        </w:tc>
        <w:tc>
          <w:tcPr>
            <w:tcW w:w="1116" w:type="dxa"/>
            <w:tcBorders>
              <w:bottom w:val="single" w:sz="4" w:space="0" w:color="000000"/>
            </w:tcBorders>
          </w:tcPr>
          <w:p>
            <w:pPr>
              <w:pStyle w:val="TableParagraph"/>
              <w:spacing w:before="8"/>
              <w:ind w:right="185"/>
              <w:rPr>
                <w:sz w:val="16"/>
              </w:rPr>
            </w:pPr>
            <w:r>
              <w:rPr>
                <w:w w:val="98"/>
                <w:sz w:val="16"/>
              </w:rPr>
              <w:t>-</w:t>
            </w:r>
          </w:p>
        </w:tc>
        <w:tc>
          <w:tcPr>
            <w:tcW w:w="757" w:type="dxa"/>
            <w:tcBorders>
              <w:bottom w:val="single" w:sz="4" w:space="0" w:color="000000"/>
            </w:tcBorders>
          </w:tcPr>
          <w:p>
            <w:pPr>
              <w:pStyle w:val="TableParagraph"/>
              <w:spacing w:before="8"/>
              <w:ind w:right="183"/>
              <w:rPr>
                <w:sz w:val="16"/>
              </w:rPr>
            </w:pPr>
            <w:r>
              <w:rPr>
                <w:w w:val="98"/>
                <w:sz w:val="16"/>
              </w:rPr>
              <w:t>-</w:t>
            </w:r>
          </w:p>
        </w:tc>
        <w:tc>
          <w:tcPr>
            <w:tcW w:w="1055" w:type="dxa"/>
            <w:tcBorders>
              <w:bottom w:val="single" w:sz="4" w:space="0" w:color="000000"/>
            </w:tcBorders>
          </w:tcPr>
          <w:p>
            <w:pPr>
              <w:pStyle w:val="TableParagraph"/>
              <w:spacing w:before="8"/>
              <w:ind w:right="109"/>
              <w:rPr>
                <w:sz w:val="16"/>
              </w:rPr>
            </w:pPr>
            <w:r>
              <w:rPr>
                <w:w w:val="98"/>
                <w:sz w:val="16"/>
              </w:rPr>
              <w:t>-</w:t>
            </w:r>
          </w:p>
        </w:tc>
      </w:tr>
      <w:tr>
        <w:trPr>
          <w:trHeight w:val="225" w:hRule="atLeast"/>
        </w:trPr>
        <w:tc>
          <w:tcPr>
            <w:tcW w:w="2475" w:type="dxa"/>
            <w:tcBorders>
              <w:top w:val="single" w:sz="4" w:space="0" w:color="000000"/>
              <w:bottom w:val="single" w:sz="4" w:space="0" w:color="000000"/>
            </w:tcBorders>
          </w:tcPr>
          <w:p>
            <w:pPr>
              <w:pStyle w:val="TableParagraph"/>
              <w:spacing w:before="14"/>
              <w:ind w:right="104"/>
              <w:rPr>
                <w:i/>
                <w:sz w:val="16"/>
              </w:rPr>
            </w:pPr>
            <w:r>
              <w:rPr>
                <w:i/>
                <w:sz w:val="16"/>
              </w:rPr>
              <w:t>Subtotal</w:t>
            </w:r>
            <w:r>
              <w:rPr>
                <w:i/>
                <w:spacing w:val="-2"/>
                <w:sz w:val="16"/>
              </w:rPr>
              <w:t> </w:t>
            </w:r>
            <w:r>
              <w:rPr>
                <w:i/>
                <w:sz w:val="16"/>
              </w:rPr>
              <w:t>other</w:t>
            </w:r>
            <w:r>
              <w:rPr>
                <w:i/>
                <w:spacing w:val="-1"/>
                <w:sz w:val="16"/>
              </w:rPr>
              <w:t> </w:t>
            </w:r>
            <w:r>
              <w:rPr>
                <w:i/>
                <w:spacing w:val="-2"/>
                <w:sz w:val="16"/>
              </w:rPr>
              <w:t>staff</w:t>
            </w:r>
          </w:p>
        </w:tc>
        <w:tc>
          <w:tcPr>
            <w:tcW w:w="1211" w:type="dxa"/>
            <w:tcBorders>
              <w:top w:val="single" w:sz="4" w:space="0" w:color="000000"/>
              <w:bottom w:val="single" w:sz="4" w:space="0" w:color="000000"/>
            </w:tcBorders>
          </w:tcPr>
          <w:p>
            <w:pPr>
              <w:pStyle w:val="TableParagraph"/>
              <w:spacing w:before="14"/>
              <w:ind w:right="189"/>
              <w:rPr>
                <w:i/>
                <w:sz w:val="16"/>
              </w:rPr>
            </w:pPr>
            <w:r>
              <w:rPr>
                <w:i/>
                <w:spacing w:val="-2"/>
                <w:sz w:val="16"/>
              </w:rPr>
              <w:t>10,383.3</w:t>
            </w:r>
          </w:p>
        </w:tc>
        <w:tc>
          <w:tcPr>
            <w:tcW w:w="828" w:type="dxa"/>
            <w:tcBorders>
              <w:top w:val="single" w:sz="4" w:space="0" w:color="000000"/>
              <w:bottom w:val="single" w:sz="4" w:space="0" w:color="000000"/>
            </w:tcBorders>
          </w:tcPr>
          <w:p>
            <w:pPr>
              <w:pStyle w:val="TableParagraph"/>
              <w:spacing w:before="14"/>
              <w:ind w:right="109"/>
              <w:rPr>
                <w:i/>
                <w:sz w:val="16"/>
              </w:rPr>
            </w:pPr>
            <w:r>
              <w:rPr>
                <w:i/>
                <w:spacing w:val="-4"/>
                <w:sz w:val="16"/>
              </w:rPr>
              <w:t>19.9</w:t>
            </w:r>
          </w:p>
        </w:tc>
        <w:tc>
          <w:tcPr>
            <w:tcW w:w="1130" w:type="dxa"/>
            <w:tcBorders>
              <w:top w:val="single" w:sz="4" w:space="0" w:color="000000"/>
              <w:bottom w:val="single" w:sz="4" w:space="0" w:color="000000"/>
            </w:tcBorders>
          </w:tcPr>
          <w:p>
            <w:pPr>
              <w:pStyle w:val="TableParagraph"/>
              <w:spacing w:before="14"/>
              <w:ind w:right="101"/>
              <w:rPr>
                <w:i/>
                <w:sz w:val="16"/>
              </w:rPr>
            </w:pPr>
            <w:r>
              <w:rPr>
                <w:i/>
                <w:spacing w:val="-2"/>
                <w:sz w:val="16"/>
              </w:rPr>
              <w:t>10,403.1</w:t>
            </w:r>
          </w:p>
        </w:tc>
        <w:tc>
          <w:tcPr>
            <w:tcW w:w="1079" w:type="dxa"/>
            <w:tcBorders>
              <w:top w:val="single" w:sz="4" w:space="0" w:color="000000"/>
              <w:bottom w:val="single" w:sz="4" w:space="0" w:color="000000"/>
            </w:tcBorders>
          </w:tcPr>
          <w:p>
            <w:pPr>
              <w:pStyle w:val="TableParagraph"/>
              <w:spacing w:before="14"/>
              <w:ind w:right="52"/>
              <w:rPr>
                <w:i/>
                <w:sz w:val="16"/>
              </w:rPr>
            </w:pPr>
            <w:r>
              <w:rPr>
                <w:i/>
                <w:spacing w:val="-2"/>
                <w:sz w:val="16"/>
              </w:rPr>
              <w:t>11,934.4</w:t>
            </w:r>
          </w:p>
        </w:tc>
        <w:tc>
          <w:tcPr>
            <w:tcW w:w="1116" w:type="dxa"/>
            <w:tcBorders>
              <w:top w:val="single" w:sz="4" w:space="0" w:color="000000"/>
              <w:bottom w:val="single" w:sz="4" w:space="0" w:color="000000"/>
            </w:tcBorders>
          </w:tcPr>
          <w:p>
            <w:pPr>
              <w:pStyle w:val="TableParagraph"/>
              <w:spacing w:before="14"/>
              <w:ind w:right="183"/>
              <w:rPr>
                <w:i/>
                <w:sz w:val="16"/>
              </w:rPr>
            </w:pPr>
            <w:r>
              <w:rPr>
                <w:i/>
                <w:spacing w:val="-2"/>
                <w:sz w:val="16"/>
              </w:rPr>
              <w:t>5,613.2</w:t>
            </w:r>
          </w:p>
        </w:tc>
        <w:tc>
          <w:tcPr>
            <w:tcW w:w="757" w:type="dxa"/>
            <w:tcBorders>
              <w:top w:val="single" w:sz="4" w:space="0" w:color="000000"/>
              <w:bottom w:val="single" w:sz="4" w:space="0" w:color="000000"/>
            </w:tcBorders>
          </w:tcPr>
          <w:p>
            <w:pPr>
              <w:pStyle w:val="TableParagraph"/>
              <w:spacing w:before="14"/>
              <w:ind w:right="181"/>
              <w:rPr>
                <w:i/>
                <w:sz w:val="16"/>
              </w:rPr>
            </w:pPr>
            <w:r>
              <w:rPr>
                <w:i/>
                <w:spacing w:val="-4"/>
                <w:sz w:val="16"/>
              </w:rPr>
              <w:t>47.0</w:t>
            </w:r>
          </w:p>
        </w:tc>
        <w:tc>
          <w:tcPr>
            <w:tcW w:w="1055" w:type="dxa"/>
            <w:tcBorders>
              <w:top w:val="single" w:sz="4" w:space="0" w:color="000000"/>
              <w:bottom w:val="single" w:sz="4" w:space="0" w:color="000000"/>
            </w:tcBorders>
          </w:tcPr>
          <w:p>
            <w:pPr>
              <w:pStyle w:val="TableParagraph"/>
              <w:spacing w:before="14"/>
              <w:ind w:right="108"/>
              <w:rPr>
                <w:i/>
                <w:sz w:val="16"/>
              </w:rPr>
            </w:pPr>
            <w:r>
              <w:rPr>
                <w:i/>
                <w:spacing w:val="-2"/>
                <w:sz w:val="16"/>
              </w:rPr>
              <w:t>17,547.6</w:t>
            </w:r>
          </w:p>
        </w:tc>
      </w:tr>
      <w:tr>
        <w:trPr>
          <w:trHeight w:val="231" w:hRule="atLeast"/>
        </w:trPr>
        <w:tc>
          <w:tcPr>
            <w:tcW w:w="2475" w:type="dxa"/>
            <w:tcBorders>
              <w:top w:val="single" w:sz="4" w:space="0" w:color="000000"/>
            </w:tcBorders>
          </w:tcPr>
          <w:p>
            <w:pPr>
              <w:pStyle w:val="TableParagraph"/>
              <w:spacing w:before="14"/>
              <w:ind w:left="117"/>
              <w:jc w:val="left"/>
              <w:rPr>
                <w:sz w:val="16"/>
              </w:rPr>
            </w:pPr>
            <w:r>
              <w:rPr>
                <w:spacing w:val="-2"/>
                <w:sz w:val="16"/>
              </w:rPr>
              <w:t>Travel</w:t>
            </w:r>
          </w:p>
        </w:tc>
        <w:tc>
          <w:tcPr>
            <w:tcW w:w="1211" w:type="dxa"/>
            <w:tcBorders>
              <w:top w:val="single" w:sz="4" w:space="0" w:color="000000"/>
            </w:tcBorders>
          </w:tcPr>
          <w:p>
            <w:pPr>
              <w:pStyle w:val="TableParagraph"/>
              <w:spacing w:before="14"/>
              <w:ind w:right="188"/>
              <w:rPr>
                <w:sz w:val="16"/>
              </w:rPr>
            </w:pPr>
            <w:r>
              <w:rPr>
                <w:spacing w:val="-2"/>
                <w:sz w:val="16"/>
              </w:rPr>
              <w:t>1,172.5</w:t>
            </w:r>
          </w:p>
        </w:tc>
        <w:tc>
          <w:tcPr>
            <w:tcW w:w="828" w:type="dxa"/>
            <w:tcBorders>
              <w:top w:val="single" w:sz="4" w:space="0" w:color="000000"/>
            </w:tcBorders>
          </w:tcPr>
          <w:p>
            <w:pPr>
              <w:pStyle w:val="TableParagraph"/>
              <w:spacing w:before="14"/>
              <w:ind w:right="109"/>
              <w:rPr>
                <w:sz w:val="16"/>
              </w:rPr>
            </w:pPr>
            <w:r>
              <w:rPr>
                <w:spacing w:val="-2"/>
                <w:sz w:val="16"/>
              </w:rPr>
              <w:t>208.9</w:t>
            </w:r>
          </w:p>
        </w:tc>
        <w:tc>
          <w:tcPr>
            <w:tcW w:w="1130" w:type="dxa"/>
            <w:tcBorders>
              <w:top w:val="single" w:sz="4" w:space="0" w:color="000000"/>
            </w:tcBorders>
          </w:tcPr>
          <w:p>
            <w:pPr>
              <w:pStyle w:val="TableParagraph"/>
              <w:spacing w:before="14"/>
              <w:ind w:right="101"/>
              <w:rPr>
                <w:sz w:val="16"/>
              </w:rPr>
            </w:pPr>
            <w:r>
              <w:rPr>
                <w:spacing w:val="-2"/>
                <w:sz w:val="16"/>
              </w:rPr>
              <w:t>1,381.4</w:t>
            </w:r>
          </w:p>
        </w:tc>
        <w:tc>
          <w:tcPr>
            <w:tcW w:w="1079" w:type="dxa"/>
            <w:tcBorders>
              <w:top w:val="single" w:sz="4" w:space="0" w:color="000000"/>
            </w:tcBorders>
          </w:tcPr>
          <w:p>
            <w:pPr>
              <w:pStyle w:val="TableParagraph"/>
              <w:spacing w:before="14"/>
              <w:ind w:right="52"/>
              <w:rPr>
                <w:sz w:val="16"/>
              </w:rPr>
            </w:pPr>
            <w:r>
              <w:rPr>
                <w:spacing w:val="-2"/>
                <w:sz w:val="16"/>
              </w:rPr>
              <w:t>1,973.7</w:t>
            </w:r>
          </w:p>
        </w:tc>
        <w:tc>
          <w:tcPr>
            <w:tcW w:w="1116" w:type="dxa"/>
            <w:tcBorders>
              <w:top w:val="single" w:sz="4" w:space="0" w:color="000000"/>
            </w:tcBorders>
          </w:tcPr>
          <w:p>
            <w:pPr>
              <w:pStyle w:val="TableParagraph"/>
              <w:spacing w:before="14"/>
              <w:ind w:right="183"/>
              <w:rPr>
                <w:sz w:val="16"/>
              </w:rPr>
            </w:pPr>
            <w:r>
              <w:rPr>
                <w:spacing w:val="-2"/>
                <w:sz w:val="16"/>
              </w:rPr>
              <w:t>747.4</w:t>
            </w:r>
          </w:p>
        </w:tc>
        <w:tc>
          <w:tcPr>
            <w:tcW w:w="757" w:type="dxa"/>
            <w:tcBorders>
              <w:top w:val="single" w:sz="4" w:space="0" w:color="000000"/>
            </w:tcBorders>
          </w:tcPr>
          <w:p>
            <w:pPr>
              <w:pStyle w:val="TableParagraph"/>
              <w:spacing w:before="14"/>
              <w:ind w:right="181"/>
              <w:rPr>
                <w:sz w:val="16"/>
              </w:rPr>
            </w:pPr>
            <w:r>
              <w:rPr>
                <w:spacing w:val="-4"/>
                <w:sz w:val="16"/>
              </w:rPr>
              <w:t>37.9</w:t>
            </w:r>
          </w:p>
        </w:tc>
        <w:tc>
          <w:tcPr>
            <w:tcW w:w="1055" w:type="dxa"/>
            <w:tcBorders>
              <w:top w:val="single" w:sz="4" w:space="0" w:color="000000"/>
            </w:tcBorders>
          </w:tcPr>
          <w:p>
            <w:pPr>
              <w:pStyle w:val="TableParagraph"/>
              <w:spacing w:before="14"/>
              <w:ind w:right="108"/>
              <w:rPr>
                <w:sz w:val="16"/>
              </w:rPr>
            </w:pPr>
            <w:r>
              <w:rPr>
                <w:spacing w:val="-2"/>
                <w:sz w:val="16"/>
              </w:rPr>
              <w:t>2,721.1</w:t>
            </w:r>
          </w:p>
        </w:tc>
      </w:tr>
      <w:tr>
        <w:trPr>
          <w:trHeight w:val="228" w:hRule="atLeast"/>
        </w:trPr>
        <w:tc>
          <w:tcPr>
            <w:tcW w:w="2475" w:type="dxa"/>
          </w:tcPr>
          <w:p>
            <w:pPr>
              <w:pStyle w:val="TableParagraph"/>
              <w:spacing w:before="8"/>
              <w:ind w:left="117"/>
              <w:jc w:val="left"/>
              <w:rPr>
                <w:sz w:val="16"/>
              </w:rPr>
            </w:pPr>
            <w:r>
              <w:rPr>
                <w:spacing w:val="-2"/>
                <w:sz w:val="16"/>
              </w:rPr>
              <w:t>Hospitality</w:t>
            </w:r>
          </w:p>
        </w:tc>
        <w:tc>
          <w:tcPr>
            <w:tcW w:w="1211" w:type="dxa"/>
          </w:tcPr>
          <w:p>
            <w:pPr>
              <w:pStyle w:val="TableParagraph"/>
              <w:spacing w:before="8"/>
              <w:ind w:right="193"/>
              <w:rPr>
                <w:sz w:val="16"/>
              </w:rPr>
            </w:pPr>
            <w:r>
              <w:rPr>
                <w:spacing w:val="-5"/>
                <w:sz w:val="16"/>
              </w:rPr>
              <w:t>3.0</w:t>
            </w:r>
          </w:p>
        </w:tc>
        <w:tc>
          <w:tcPr>
            <w:tcW w:w="828" w:type="dxa"/>
          </w:tcPr>
          <w:p>
            <w:pPr>
              <w:pStyle w:val="TableParagraph"/>
              <w:spacing w:before="8"/>
              <w:ind w:right="110"/>
              <w:rPr>
                <w:sz w:val="16"/>
              </w:rPr>
            </w:pPr>
            <w:r>
              <w:rPr>
                <w:w w:val="98"/>
                <w:sz w:val="16"/>
              </w:rPr>
              <w:t>-</w:t>
            </w:r>
          </w:p>
        </w:tc>
        <w:tc>
          <w:tcPr>
            <w:tcW w:w="1130" w:type="dxa"/>
          </w:tcPr>
          <w:p>
            <w:pPr>
              <w:pStyle w:val="TableParagraph"/>
              <w:spacing w:before="8"/>
              <w:ind w:right="105"/>
              <w:rPr>
                <w:sz w:val="16"/>
              </w:rPr>
            </w:pPr>
            <w:r>
              <w:rPr>
                <w:spacing w:val="-5"/>
                <w:sz w:val="16"/>
              </w:rPr>
              <w:t>3.0</w:t>
            </w:r>
          </w:p>
        </w:tc>
        <w:tc>
          <w:tcPr>
            <w:tcW w:w="1079" w:type="dxa"/>
          </w:tcPr>
          <w:p>
            <w:pPr>
              <w:pStyle w:val="TableParagraph"/>
              <w:spacing w:before="8"/>
              <w:ind w:right="56"/>
              <w:rPr>
                <w:sz w:val="16"/>
              </w:rPr>
            </w:pPr>
            <w:r>
              <w:rPr>
                <w:spacing w:val="-5"/>
                <w:sz w:val="16"/>
              </w:rPr>
              <w:t>5.0</w:t>
            </w:r>
          </w:p>
        </w:tc>
        <w:tc>
          <w:tcPr>
            <w:tcW w:w="1116" w:type="dxa"/>
          </w:tcPr>
          <w:p>
            <w:pPr>
              <w:pStyle w:val="TableParagraph"/>
              <w:spacing w:before="8"/>
              <w:ind w:right="183"/>
              <w:rPr>
                <w:sz w:val="16"/>
              </w:rPr>
            </w:pPr>
            <w:r>
              <w:rPr>
                <w:spacing w:val="-4"/>
                <w:sz w:val="16"/>
              </w:rPr>
              <w:t>10.0</w:t>
            </w:r>
          </w:p>
        </w:tc>
        <w:tc>
          <w:tcPr>
            <w:tcW w:w="757" w:type="dxa"/>
          </w:tcPr>
          <w:p>
            <w:pPr>
              <w:pStyle w:val="TableParagraph"/>
              <w:spacing w:before="8"/>
              <w:ind w:right="181"/>
              <w:rPr>
                <w:sz w:val="16"/>
              </w:rPr>
            </w:pPr>
            <w:r>
              <w:rPr>
                <w:spacing w:val="-2"/>
                <w:sz w:val="16"/>
              </w:rPr>
              <w:t>200.0</w:t>
            </w:r>
          </w:p>
        </w:tc>
        <w:tc>
          <w:tcPr>
            <w:tcW w:w="1055" w:type="dxa"/>
          </w:tcPr>
          <w:p>
            <w:pPr>
              <w:pStyle w:val="TableParagraph"/>
              <w:spacing w:before="8"/>
              <w:ind w:right="107"/>
              <w:rPr>
                <w:sz w:val="16"/>
              </w:rPr>
            </w:pPr>
            <w:r>
              <w:rPr>
                <w:spacing w:val="-4"/>
                <w:sz w:val="16"/>
              </w:rPr>
              <w:t>15.0</w:t>
            </w:r>
          </w:p>
        </w:tc>
      </w:tr>
      <w:tr>
        <w:trPr>
          <w:trHeight w:val="228" w:hRule="atLeast"/>
        </w:trPr>
        <w:tc>
          <w:tcPr>
            <w:tcW w:w="2475" w:type="dxa"/>
          </w:tcPr>
          <w:p>
            <w:pPr>
              <w:pStyle w:val="TableParagraph"/>
              <w:spacing w:before="10"/>
              <w:ind w:left="117"/>
              <w:jc w:val="left"/>
              <w:rPr>
                <w:sz w:val="16"/>
              </w:rPr>
            </w:pPr>
            <w:r>
              <w:rPr>
                <w:w w:val="95"/>
                <w:sz w:val="16"/>
              </w:rPr>
              <w:t>Contractual</w:t>
            </w:r>
            <w:r>
              <w:rPr>
                <w:spacing w:val="33"/>
                <w:sz w:val="16"/>
              </w:rPr>
              <w:t> </w:t>
            </w:r>
            <w:r>
              <w:rPr>
                <w:spacing w:val="-2"/>
                <w:sz w:val="16"/>
              </w:rPr>
              <w:t>services</w:t>
            </w:r>
          </w:p>
        </w:tc>
        <w:tc>
          <w:tcPr>
            <w:tcW w:w="1211" w:type="dxa"/>
          </w:tcPr>
          <w:p>
            <w:pPr>
              <w:pStyle w:val="TableParagraph"/>
              <w:spacing w:before="10"/>
              <w:ind w:right="188"/>
              <w:rPr>
                <w:sz w:val="16"/>
              </w:rPr>
            </w:pPr>
            <w:r>
              <w:rPr>
                <w:spacing w:val="-2"/>
                <w:sz w:val="16"/>
              </w:rPr>
              <w:t>336.0</w:t>
            </w:r>
          </w:p>
        </w:tc>
        <w:tc>
          <w:tcPr>
            <w:tcW w:w="828" w:type="dxa"/>
          </w:tcPr>
          <w:p>
            <w:pPr>
              <w:pStyle w:val="TableParagraph"/>
              <w:spacing w:before="10"/>
              <w:ind w:right="109"/>
              <w:rPr>
                <w:sz w:val="16"/>
              </w:rPr>
            </w:pPr>
            <w:r>
              <w:rPr>
                <w:spacing w:val="-2"/>
                <w:sz w:val="16"/>
              </w:rPr>
              <w:t>134.4</w:t>
            </w:r>
          </w:p>
        </w:tc>
        <w:tc>
          <w:tcPr>
            <w:tcW w:w="1130" w:type="dxa"/>
          </w:tcPr>
          <w:p>
            <w:pPr>
              <w:pStyle w:val="TableParagraph"/>
              <w:spacing w:before="10"/>
              <w:ind w:right="101"/>
              <w:rPr>
                <w:sz w:val="16"/>
              </w:rPr>
            </w:pPr>
            <w:r>
              <w:rPr>
                <w:spacing w:val="-2"/>
                <w:sz w:val="16"/>
              </w:rPr>
              <w:t>470.3</w:t>
            </w:r>
          </w:p>
        </w:tc>
        <w:tc>
          <w:tcPr>
            <w:tcW w:w="1079" w:type="dxa"/>
          </w:tcPr>
          <w:p>
            <w:pPr>
              <w:pStyle w:val="TableParagraph"/>
              <w:spacing w:before="10"/>
              <w:ind w:right="52"/>
              <w:rPr>
                <w:sz w:val="16"/>
              </w:rPr>
            </w:pPr>
            <w:r>
              <w:rPr>
                <w:spacing w:val="-2"/>
                <w:sz w:val="16"/>
              </w:rPr>
              <w:t>370.0</w:t>
            </w:r>
          </w:p>
        </w:tc>
        <w:tc>
          <w:tcPr>
            <w:tcW w:w="1116" w:type="dxa"/>
          </w:tcPr>
          <w:p>
            <w:pPr>
              <w:pStyle w:val="TableParagraph"/>
              <w:spacing w:before="10"/>
              <w:ind w:right="183"/>
              <w:rPr>
                <w:sz w:val="16"/>
              </w:rPr>
            </w:pPr>
            <w:r>
              <w:rPr>
                <w:spacing w:val="-2"/>
                <w:sz w:val="16"/>
              </w:rPr>
              <w:t>560.0</w:t>
            </w:r>
          </w:p>
        </w:tc>
        <w:tc>
          <w:tcPr>
            <w:tcW w:w="757" w:type="dxa"/>
          </w:tcPr>
          <w:p>
            <w:pPr>
              <w:pStyle w:val="TableParagraph"/>
              <w:spacing w:before="10"/>
              <w:ind w:right="181"/>
              <w:rPr>
                <w:sz w:val="16"/>
              </w:rPr>
            </w:pPr>
            <w:r>
              <w:rPr>
                <w:spacing w:val="-2"/>
                <w:sz w:val="16"/>
              </w:rPr>
              <w:t>151.4</w:t>
            </w:r>
          </w:p>
        </w:tc>
        <w:tc>
          <w:tcPr>
            <w:tcW w:w="1055" w:type="dxa"/>
          </w:tcPr>
          <w:p>
            <w:pPr>
              <w:pStyle w:val="TableParagraph"/>
              <w:spacing w:before="10"/>
              <w:ind w:right="108"/>
              <w:rPr>
                <w:sz w:val="16"/>
              </w:rPr>
            </w:pPr>
            <w:r>
              <w:rPr>
                <w:spacing w:val="-2"/>
                <w:sz w:val="16"/>
              </w:rPr>
              <w:t>930.0</w:t>
            </w:r>
          </w:p>
        </w:tc>
      </w:tr>
      <w:tr>
        <w:trPr>
          <w:trHeight w:val="225" w:hRule="atLeast"/>
        </w:trPr>
        <w:tc>
          <w:tcPr>
            <w:tcW w:w="2475" w:type="dxa"/>
          </w:tcPr>
          <w:p>
            <w:pPr>
              <w:pStyle w:val="TableParagraph"/>
              <w:spacing w:before="8"/>
              <w:ind w:left="117"/>
              <w:jc w:val="left"/>
              <w:rPr>
                <w:sz w:val="16"/>
              </w:rPr>
            </w:pPr>
            <w:r>
              <w:rPr>
                <w:spacing w:val="-2"/>
                <w:sz w:val="16"/>
              </w:rPr>
              <w:t>Training</w:t>
            </w:r>
          </w:p>
        </w:tc>
        <w:tc>
          <w:tcPr>
            <w:tcW w:w="1211" w:type="dxa"/>
          </w:tcPr>
          <w:p>
            <w:pPr>
              <w:pStyle w:val="TableParagraph"/>
              <w:spacing w:before="8"/>
              <w:ind w:right="193"/>
              <w:rPr>
                <w:sz w:val="16"/>
              </w:rPr>
            </w:pPr>
            <w:r>
              <w:rPr>
                <w:spacing w:val="-5"/>
                <w:sz w:val="16"/>
              </w:rPr>
              <w:t>1.7</w:t>
            </w:r>
          </w:p>
        </w:tc>
        <w:tc>
          <w:tcPr>
            <w:tcW w:w="828" w:type="dxa"/>
          </w:tcPr>
          <w:p>
            <w:pPr>
              <w:pStyle w:val="TableParagraph"/>
              <w:spacing w:before="8"/>
              <w:ind w:right="110"/>
              <w:rPr>
                <w:sz w:val="16"/>
              </w:rPr>
            </w:pPr>
            <w:r>
              <w:rPr>
                <w:w w:val="98"/>
                <w:sz w:val="16"/>
              </w:rPr>
              <w:t>-</w:t>
            </w:r>
          </w:p>
        </w:tc>
        <w:tc>
          <w:tcPr>
            <w:tcW w:w="1130" w:type="dxa"/>
          </w:tcPr>
          <w:p>
            <w:pPr>
              <w:pStyle w:val="TableParagraph"/>
              <w:spacing w:before="8"/>
              <w:ind w:right="105"/>
              <w:rPr>
                <w:sz w:val="16"/>
              </w:rPr>
            </w:pPr>
            <w:r>
              <w:rPr>
                <w:spacing w:val="-5"/>
                <w:sz w:val="16"/>
              </w:rPr>
              <w:t>1.7</w:t>
            </w:r>
          </w:p>
        </w:tc>
        <w:tc>
          <w:tcPr>
            <w:tcW w:w="1079" w:type="dxa"/>
          </w:tcPr>
          <w:p>
            <w:pPr>
              <w:pStyle w:val="TableParagraph"/>
              <w:spacing w:before="8"/>
              <w:ind w:right="52"/>
              <w:rPr>
                <w:sz w:val="16"/>
              </w:rPr>
            </w:pPr>
            <w:r>
              <w:rPr>
                <w:spacing w:val="-2"/>
                <w:sz w:val="16"/>
              </w:rPr>
              <w:t>100.0</w:t>
            </w:r>
          </w:p>
        </w:tc>
        <w:tc>
          <w:tcPr>
            <w:tcW w:w="1116" w:type="dxa"/>
          </w:tcPr>
          <w:p>
            <w:pPr>
              <w:pStyle w:val="TableParagraph"/>
              <w:spacing w:before="8"/>
              <w:ind w:right="185"/>
              <w:rPr>
                <w:sz w:val="16"/>
              </w:rPr>
            </w:pPr>
            <w:r>
              <w:rPr>
                <w:w w:val="98"/>
                <w:sz w:val="16"/>
              </w:rPr>
              <w:t>-</w:t>
            </w:r>
          </w:p>
        </w:tc>
        <w:tc>
          <w:tcPr>
            <w:tcW w:w="757" w:type="dxa"/>
          </w:tcPr>
          <w:p>
            <w:pPr>
              <w:pStyle w:val="TableParagraph"/>
              <w:spacing w:before="8"/>
              <w:ind w:right="183"/>
              <w:rPr>
                <w:sz w:val="16"/>
              </w:rPr>
            </w:pPr>
            <w:r>
              <w:rPr>
                <w:w w:val="98"/>
                <w:sz w:val="16"/>
              </w:rPr>
              <w:t>-</w:t>
            </w:r>
          </w:p>
        </w:tc>
        <w:tc>
          <w:tcPr>
            <w:tcW w:w="1055" w:type="dxa"/>
          </w:tcPr>
          <w:p>
            <w:pPr>
              <w:pStyle w:val="TableParagraph"/>
              <w:spacing w:before="8"/>
              <w:ind w:right="108"/>
              <w:rPr>
                <w:sz w:val="16"/>
              </w:rPr>
            </w:pPr>
            <w:r>
              <w:rPr>
                <w:spacing w:val="-2"/>
                <w:sz w:val="16"/>
              </w:rPr>
              <w:t>100.0</w:t>
            </w:r>
          </w:p>
        </w:tc>
      </w:tr>
      <w:tr>
        <w:trPr>
          <w:trHeight w:val="225" w:hRule="atLeast"/>
        </w:trPr>
        <w:tc>
          <w:tcPr>
            <w:tcW w:w="2475" w:type="dxa"/>
          </w:tcPr>
          <w:p>
            <w:pPr>
              <w:pStyle w:val="TableParagraph"/>
              <w:spacing w:before="8"/>
              <w:ind w:left="117"/>
              <w:jc w:val="left"/>
              <w:rPr>
                <w:sz w:val="16"/>
              </w:rPr>
            </w:pPr>
            <w:r>
              <w:rPr>
                <w:spacing w:val="-2"/>
                <w:sz w:val="16"/>
              </w:rPr>
              <w:t>Consultants</w:t>
            </w:r>
          </w:p>
        </w:tc>
        <w:tc>
          <w:tcPr>
            <w:tcW w:w="1211" w:type="dxa"/>
          </w:tcPr>
          <w:p>
            <w:pPr>
              <w:pStyle w:val="TableParagraph"/>
              <w:spacing w:before="8"/>
              <w:ind w:right="188"/>
              <w:rPr>
                <w:sz w:val="16"/>
              </w:rPr>
            </w:pPr>
            <w:r>
              <w:rPr>
                <w:spacing w:val="-4"/>
                <w:sz w:val="16"/>
              </w:rPr>
              <w:t>74.0</w:t>
            </w:r>
          </w:p>
        </w:tc>
        <w:tc>
          <w:tcPr>
            <w:tcW w:w="828" w:type="dxa"/>
          </w:tcPr>
          <w:p>
            <w:pPr>
              <w:pStyle w:val="TableParagraph"/>
              <w:spacing w:before="8"/>
              <w:ind w:right="109"/>
              <w:rPr>
                <w:sz w:val="16"/>
              </w:rPr>
            </w:pPr>
            <w:r>
              <w:rPr>
                <w:spacing w:val="-4"/>
                <w:sz w:val="16"/>
              </w:rPr>
              <w:t>16.7</w:t>
            </w:r>
          </w:p>
        </w:tc>
        <w:tc>
          <w:tcPr>
            <w:tcW w:w="1130" w:type="dxa"/>
          </w:tcPr>
          <w:p>
            <w:pPr>
              <w:pStyle w:val="TableParagraph"/>
              <w:spacing w:before="8"/>
              <w:ind w:right="101"/>
              <w:rPr>
                <w:sz w:val="16"/>
              </w:rPr>
            </w:pPr>
            <w:r>
              <w:rPr>
                <w:spacing w:val="-4"/>
                <w:sz w:val="16"/>
              </w:rPr>
              <w:t>90.7</w:t>
            </w:r>
          </w:p>
        </w:tc>
        <w:tc>
          <w:tcPr>
            <w:tcW w:w="1079" w:type="dxa"/>
          </w:tcPr>
          <w:p>
            <w:pPr>
              <w:pStyle w:val="TableParagraph"/>
              <w:spacing w:before="8"/>
              <w:ind w:right="52"/>
              <w:rPr>
                <w:sz w:val="16"/>
              </w:rPr>
            </w:pPr>
            <w:r>
              <w:rPr>
                <w:spacing w:val="-2"/>
                <w:sz w:val="16"/>
              </w:rPr>
              <w:t>100.0</w:t>
            </w:r>
          </w:p>
        </w:tc>
        <w:tc>
          <w:tcPr>
            <w:tcW w:w="1116" w:type="dxa"/>
          </w:tcPr>
          <w:p>
            <w:pPr>
              <w:pStyle w:val="TableParagraph"/>
              <w:spacing w:before="8"/>
              <w:ind w:right="185"/>
              <w:rPr>
                <w:sz w:val="16"/>
              </w:rPr>
            </w:pPr>
            <w:r>
              <w:rPr>
                <w:w w:val="98"/>
                <w:sz w:val="16"/>
              </w:rPr>
              <w:t>-</w:t>
            </w:r>
          </w:p>
        </w:tc>
        <w:tc>
          <w:tcPr>
            <w:tcW w:w="757" w:type="dxa"/>
          </w:tcPr>
          <w:p>
            <w:pPr>
              <w:pStyle w:val="TableParagraph"/>
              <w:spacing w:before="8"/>
              <w:ind w:right="183"/>
              <w:rPr>
                <w:sz w:val="16"/>
              </w:rPr>
            </w:pPr>
            <w:r>
              <w:rPr>
                <w:w w:val="98"/>
                <w:sz w:val="16"/>
              </w:rPr>
              <w:t>-</w:t>
            </w:r>
          </w:p>
        </w:tc>
        <w:tc>
          <w:tcPr>
            <w:tcW w:w="1055" w:type="dxa"/>
          </w:tcPr>
          <w:p>
            <w:pPr>
              <w:pStyle w:val="TableParagraph"/>
              <w:spacing w:before="8"/>
              <w:ind w:right="108"/>
              <w:rPr>
                <w:sz w:val="16"/>
              </w:rPr>
            </w:pPr>
            <w:r>
              <w:rPr>
                <w:spacing w:val="-2"/>
                <w:sz w:val="16"/>
              </w:rPr>
              <w:t>100.0</w:t>
            </w:r>
          </w:p>
        </w:tc>
      </w:tr>
      <w:tr>
        <w:trPr>
          <w:trHeight w:val="227" w:hRule="atLeast"/>
        </w:trPr>
        <w:tc>
          <w:tcPr>
            <w:tcW w:w="2475" w:type="dxa"/>
          </w:tcPr>
          <w:p>
            <w:pPr>
              <w:pStyle w:val="TableParagraph"/>
              <w:spacing w:before="8"/>
              <w:ind w:left="117"/>
              <w:jc w:val="left"/>
              <w:rPr>
                <w:sz w:val="16"/>
              </w:rPr>
            </w:pPr>
            <w:r>
              <w:rPr>
                <w:sz w:val="16"/>
              </w:rPr>
              <w:t>General</w:t>
            </w:r>
            <w:r>
              <w:rPr>
                <w:spacing w:val="-4"/>
                <w:sz w:val="16"/>
              </w:rPr>
              <w:t> </w:t>
            </w:r>
            <w:r>
              <w:rPr>
                <w:sz w:val="16"/>
              </w:rPr>
              <w:t>operating</w:t>
            </w:r>
            <w:r>
              <w:rPr>
                <w:spacing w:val="-1"/>
                <w:sz w:val="16"/>
              </w:rPr>
              <w:t> </w:t>
            </w:r>
            <w:r>
              <w:rPr>
                <w:spacing w:val="-2"/>
                <w:sz w:val="16"/>
              </w:rPr>
              <w:t>expenses</w:t>
            </w:r>
          </w:p>
        </w:tc>
        <w:tc>
          <w:tcPr>
            <w:tcW w:w="1211" w:type="dxa"/>
          </w:tcPr>
          <w:p>
            <w:pPr>
              <w:pStyle w:val="TableParagraph"/>
              <w:spacing w:before="8"/>
              <w:ind w:right="188"/>
              <w:rPr>
                <w:sz w:val="16"/>
              </w:rPr>
            </w:pPr>
            <w:r>
              <w:rPr>
                <w:spacing w:val="-2"/>
                <w:sz w:val="16"/>
              </w:rPr>
              <w:t>878.9</w:t>
            </w:r>
          </w:p>
        </w:tc>
        <w:tc>
          <w:tcPr>
            <w:tcW w:w="828" w:type="dxa"/>
          </w:tcPr>
          <w:p>
            <w:pPr>
              <w:pStyle w:val="TableParagraph"/>
              <w:spacing w:before="8"/>
              <w:ind w:right="109"/>
              <w:rPr>
                <w:sz w:val="16"/>
              </w:rPr>
            </w:pPr>
            <w:r>
              <w:rPr>
                <w:spacing w:val="-4"/>
                <w:sz w:val="16"/>
              </w:rPr>
              <w:t>11.9</w:t>
            </w:r>
          </w:p>
        </w:tc>
        <w:tc>
          <w:tcPr>
            <w:tcW w:w="1130" w:type="dxa"/>
          </w:tcPr>
          <w:p>
            <w:pPr>
              <w:pStyle w:val="TableParagraph"/>
              <w:spacing w:before="8"/>
              <w:ind w:right="101"/>
              <w:rPr>
                <w:sz w:val="16"/>
              </w:rPr>
            </w:pPr>
            <w:r>
              <w:rPr>
                <w:spacing w:val="-2"/>
                <w:sz w:val="16"/>
              </w:rPr>
              <w:t>890.8</w:t>
            </w:r>
          </w:p>
        </w:tc>
        <w:tc>
          <w:tcPr>
            <w:tcW w:w="1079" w:type="dxa"/>
          </w:tcPr>
          <w:p>
            <w:pPr>
              <w:pStyle w:val="TableParagraph"/>
              <w:spacing w:before="8"/>
              <w:ind w:right="52"/>
              <w:rPr>
                <w:sz w:val="16"/>
              </w:rPr>
            </w:pPr>
            <w:r>
              <w:rPr>
                <w:spacing w:val="-2"/>
                <w:sz w:val="16"/>
              </w:rPr>
              <w:t>677.0</w:t>
            </w:r>
          </w:p>
        </w:tc>
        <w:tc>
          <w:tcPr>
            <w:tcW w:w="1116" w:type="dxa"/>
          </w:tcPr>
          <w:p>
            <w:pPr>
              <w:pStyle w:val="TableParagraph"/>
              <w:spacing w:before="8"/>
              <w:ind w:right="183"/>
              <w:rPr>
                <w:sz w:val="16"/>
              </w:rPr>
            </w:pPr>
            <w:r>
              <w:rPr>
                <w:spacing w:val="-2"/>
                <w:sz w:val="16"/>
              </w:rPr>
              <w:t>229.0</w:t>
            </w:r>
          </w:p>
        </w:tc>
        <w:tc>
          <w:tcPr>
            <w:tcW w:w="757" w:type="dxa"/>
          </w:tcPr>
          <w:p>
            <w:pPr>
              <w:pStyle w:val="TableParagraph"/>
              <w:spacing w:before="8"/>
              <w:ind w:right="181"/>
              <w:rPr>
                <w:sz w:val="16"/>
              </w:rPr>
            </w:pPr>
            <w:r>
              <w:rPr>
                <w:spacing w:val="-4"/>
                <w:sz w:val="16"/>
              </w:rPr>
              <w:t>33.8</w:t>
            </w:r>
          </w:p>
        </w:tc>
        <w:tc>
          <w:tcPr>
            <w:tcW w:w="1055" w:type="dxa"/>
          </w:tcPr>
          <w:p>
            <w:pPr>
              <w:pStyle w:val="TableParagraph"/>
              <w:spacing w:before="8"/>
              <w:ind w:right="108"/>
              <w:rPr>
                <w:sz w:val="16"/>
              </w:rPr>
            </w:pPr>
            <w:r>
              <w:rPr>
                <w:spacing w:val="-2"/>
                <w:sz w:val="16"/>
              </w:rPr>
              <w:t>906.0</w:t>
            </w:r>
          </w:p>
        </w:tc>
      </w:tr>
      <w:tr>
        <w:trPr>
          <w:trHeight w:val="227" w:hRule="atLeast"/>
        </w:trPr>
        <w:tc>
          <w:tcPr>
            <w:tcW w:w="2475" w:type="dxa"/>
          </w:tcPr>
          <w:p>
            <w:pPr>
              <w:pStyle w:val="TableParagraph"/>
              <w:spacing w:before="10"/>
              <w:ind w:left="117"/>
              <w:jc w:val="left"/>
              <w:rPr>
                <w:sz w:val="16"/>
              </w:rPr>
            </w:pPr>
            <w:r>
              <w:rPr>
                <w:sz w:val="16"/>
              </w:rPr>
              <w:t>Supplies</w:t>
            </w:r>
            <w:r>
              <w:rPr>
                <w:spacing w:val="-4"/>
                <w:sz w:val="16"/>
              </w:rPr>
              <w:t> </w:t>
            </w:r>
            <w:r>
              <w:rPr>
                <w:sz w:val="16"/>
              </w:rPr>
              <w:t>and</w:t>
            </w:r>
            <w:r>
              <w:rPr>
                <w:spacing w:val="-2"/>
                <w:sz w:val="16"/>
              </w:rPr>
              <w:t> materials</w:t>
            </w:r>
          </w:p>
        </w:tc>
        <w:tc>
          <w:tcPr>
            <w:tcW w:w="1211" w:type="dxa"/>
          </w:tcPr>
          <w:p>
            <w:pPr>
              <w:pStyle w:val="TableParagraph"/>
              <w:spacing w:before="10"/>
              <w:ind w:right="188"/>
              <w:rPr>
                <w:sz w:val="16"/>
              </w:rPr>
            </w:pPr>
            <w:r>
              <w:rPr>
                <w:spacing w:val="-4"/>
                <w:sz w:val="16"/>
              </w:rPr>
              <w:t>69.9</w:t>
            </w:r>
          </w:p>
        </w:tc>
        <w:tc>
          <w:tcPr>
            <w:tcW w:w="828" w:type="dxa"/>
          </w:tcPr>
          <w:p>
            <w:pPr>
              <w:pStyle w:val="TableParagraph"/>
              <w:spacing w:before="10"/>
              <w:ind w:right="113"/>
              <w:rPr>
                <w:sz w:val="16"/>
              </w:rPr>
            </w:pPr>
            <w:r>
              <w:rPr>
                <w:spacing w:val="-5"/>
                <w:sz w:val="16"/>
              </w:rPr>
              <w:t>4.3</w:t>
            </w:r>
          </w:p>
        </w:tc>
        <w:tc>
          <w:tcPr>
            <w:tcW w:w="1130" w:type="dxa"/>
          </w:tcPr>
          <w:p>
            <w:pPr>
              <w:pStyle w:val="TableParagraph"/>
              <w:spacing w:before="10"/>
              <w:ind w:right="101"/>
              <w:rPr>
                <w:sz w:val="16"/>
              </w:rPr>
            </w:pPr>
            <w:r>
              <w:rPr>
                <w:spacing w:val="-4"/>
                <w:sz w:val="16"/>
              </w:rPr>
              <w:t>74.2</w:t>
            </w:r>
          </w:p>
        </w:tc>
        <w:tc>
          <w:tcPr>
            <w:tcW w:w="1079" w:type="dxa"/>
          </w:tcPr>
          <w:p>
            <w:pPr>
              <w:pStyle w:val="TableParagraph"/>
              <w:spacing w:before="10"/>
              <w:ind w:right="52"/>
              <w:rPr>
                <w:sz w:val="16"/>
              </w:rPr>
            </w:pPr>
            <w:r>
              <w:rPr>
                <w:spacing w:val="-2"/>
                <w:sz w:val="16"/>
              </w:rPr>
              <w:t>115.0</w:t>
            </w:r>
          </w:p>
        </w:tc>
        <w:tc>
          <w:tcPr>
            <w:tcW w:w="1116" w:type="dxa"/>
          </w:tcPr>
          <w:p>
            <w:pPr>
              <w:pStyle w:val="TableParagraph"/>
              <w:spacing w:before="10"/>
              <w:ind w:right="183"/>
              <w:rPr>
                <w:sz w:val="16"/>
              </w:rPr>
            </w:pPr>
            <w:r>
              <w:rPr>
                <w:spacing w:val="-4"/>
                <w:sz w:val="16"/>
              </w:rPr>
              <w:t>25.0</w:t>
            </w:r>
          </w:p>
        </w:tc>
        <w:tc>
          <w:tcPr>
            <w:tcW w:w="757" w:type="dxa"/>
          </w:tcPr>
          <w:p>
            <w:pPr>
              <w:pStyle w:val="TableParagraph"/>
              <w:spacing w:before="10"/>
              <w:ind w:right="181"/>
              <w:rPr>
                <w:sz w:val="16"/>
              </w:rPr>
            </w:pPr>
            <w:r>
              <w:rPr>
                <w:spacing w:val="-4"/>
                <w:sz w:val="16"/>
              </w:rPr>
              <w:t>21.7</w:t>
            </w:r>
          </w:p>
        </w:tc>
        <w:tc>
          <w:tcPr>
            <w:tcW w:w="1055" w:type="dxa"/>
          </w:tcPr>
          <w:p>
            <w:pPr>
              <w:pStyle w:val="TableParagraph"/>
              <w:spacing w:before="10"/>
              <w:ind w:right="108"/>
              <w:rPr>
                <w:sz w:val="16"/>
              </w:rPr>
            </w:pPr>
            <w:r>
              <w:rPr>
                <w:spacing w:val="-2"/>
                <w:sz w:val="16"/>
              </w:rPr>
              <w:t>140.0</w:t>
            </w:r>
          </w:p>
        </w:tc>
      </w:tr>
      <w:tr>
        <w:trPr>
          <w:trHeight w:val="223" w:hRule="atLeast"/>
        </w:trPr>
        <w:tc>
          <w:tcPr>
            <w:tcW w:w="2475" w:type="dxa"/>
            <w:tcBorders>
              <w:bottom w:val="single" w:sz="4" w:space="0" w:color="000000"/>
            </w:tcBorders>
          </w:tcPr>
          <w:p>
            <w:pPr>
              <w:pStyle w:val="TableParagraph"/>
              <w:spacing w:before="8"/>
              <w:ind w:left="117"/>
              <w:jc w:val="left"/>
              <w:rPr>
                <w:sz w:val="16"/>
              </w:rPr>
            </w:pPr>
            <w:r>
              <w:rPr>
                <w:sz w:val="16"/>
              </w:rPr>
              <w:t>Furniture</w:t>
            </w:r>
            <w:r>
              <w:rPr>
                <w:spacing w:val="-4"/>
                <w:sz w:val="16"/>
              </w:rPr>
              <w:t> </w:t>
            </w:r>
            <w:r>
              <w:rPr>
                <w:sz w:val="16"/>
              </w:rPr>
              <w:t>and</w:t>
            </w:r>
            <w:r>
              <w:rPr>
                <w:spacing w:val="-2"/>
                <w:sz w:val="16"/>
              </w:rPr>
              <w:t> equipment</w:t>
            </w:r>
          </w:p>
        </w:tc>
        <w:tc>
          <w:tcPr>
            <w:tcW w:w="1211" w:type="dxa"/>
            <w:tcBorders>
              <w:bottom w:val="single" w:sz="4" w:space="0" w:color="000000"/>
            </w:tcBorders>
          </w:tcPr>
          <w:p>
            <w:pPr>
              <w:pStyle w:val="TableParagraph"/>
              <w:spacing w:before="8"/>
              <w:ind w:right="188"/>
              <w:rPr>
                <w:sz w:val="16"/>
              </w:rPr>
            </w:pPr>
            <w:r>
              <w:rPr>
                <w:spacing w:val="-4"/>
                <w:sz w:val="16"/>
              </w:rPr>
              <w:t>80.9</w:t>
            </w:r>
          </w:p>
        </w:tc>
        <w:tc>
          <w:tcPr>
            <w:tcW w:w="828" w:type="dxa"/>
            <w:tcBorders>
              <w:bottom w:val="single" w:sz="4" w:space="0" w:color="000000"/>
            </w:tcBorders>
          </w:tcPr>
          <w:p>
            <w:pPr>
              <w:pStyle w:val="TableParagraph"/>
              <w:spacing w:before="8"/>
              <w:ind w:right="110"/>
              <w:rPr>
                <w:sz w:val="16"/>
              </w:rPr>
            </w:pPr>
            <w:r>
              <w:rPr>
                <w:w w:val="98"/>
                <w:sz w:val="16"/>
              </w:rPr>
              <w:t>-</w:t>
            </w:r>
          </w:p>
        </w:tc>
        <w:tc>
          <w:tcPr>
            <w:tcW w:w="1130" w:type="dxa"/>
            <w:tcBorders>
              <w:bottom w:val="single" w:sz="4" w:space="0" w:color="000000"/>
            </w:tcBorders>
          </w:tcPr>
          <w:p>
            <w:pPr>
              <w:pStyle w:val="TableParagraph"/>
              <w:spacing w:before="8"/>
              <w:ind w:right="101"/>
              <w:rPr>
                <w:sz w:val="16"/>
              </w:rPr>
            </w:pPr>
            <w:r>
              <w:rPr>
                <w:spacing w:val="-4"/>
                <w:sz w:val="16"/>
              </w:rPr>
              <w:t>80.9</w:t>
            </w:r>
          </w:p>
        </w:tc>
        <w:tc>
          <w:tcPr>
            <w:tcW w:w="1079" w:type="dxa"/>
            <w:tcBorders>
              <w:bottom w:val="single" w:sz="4" w:space="0" w:color="000000"/>
            </w:tcBorders>
          </w:tcPr>
          <w:p>
            <w:pPr>
              <w:pStyle w:val="TableParagraph"/>
              <w:spacing w:before="8"/>
              <w:ind w:right="52"/>
              <w:rPr>
                <w:sz w:val="16"/>
              </w:rPr>
            </w:pPr>
            <w:r>
              <w:rPr>
                <w:spacing w:val="-2"/>
                <w:sz w:val="16"/>
              </w:rPr>
              <w:t>240.0</w:t>
            </w:r>
          </w:p>
        </w:tc>
        <w:tc>
          <w:tcPr>
            <w:tcW w:w="1116" w:type="dxa"/>
            <w:tcBorders>
              <w:bottom w:val="single" w:sz="4" w:space="0" w:color="000000"/>
            </w:tcBorders>
          </w:tcPr>
          <w:p>
            <w:pPr>
              <w:pStyle w:val="TableParagraph"/>
              <w:spacing w:before="8"/>
              <w:ind w:right="181"/>
              <w:rPr>
                <w:sz w:val="16"/>
              </w:rPr>
            </w:pPr>
            <w:r>
              <w:rPr>
                <w:spacing w:val="-2"/>
                <w:sz w:val="16"/>
              </w:rPr>
              <w:t>(170.0)</w:t>
            </w:r>
          </w:p>
        </w:tc>
        <w:tc>
          <w:tcPr>
            <w:tcW w:w="757" w:type="dxa"/>
            <w:tcBorders>
              <w:bottom w:val="single" w:sz="4" w:space="0" w:color="000000"/>
            </w:tcBorders>
          </w:tcPr>
          <w:p>
            <w:pPr>
              <w:pStyle w:val="TableParagraph"/>
              <w:spacing w:before="8"/>
              <w:ind w:right="184"/>
              <w:rPr>
                <w:sz w:val="16"/>
              </w:rPr>
            </w:pPr>
            <w:r>
              <w:rPr>
                <w:spacing w:val="-2"/>
                <w:sz w:val="16"/>
              </w:rPr>
              <w:t>(70.8)</w:t>
            </w:r>
          </w:p>
        </w:tc>
        <w:tc>
          <w:tcPr>
            <w:tcW w:w="1055" w:type="dxa"/>
            <w:tcBorders>
              <w:bottom w:val="single" w:sz="4" w:space="0" w:color="000000"/>
            </w:tcBorders>
          </w:tcPr>
          <w:p>
            <w:pPr>
              <w:pStyle w:val="TableParagraph"/>
              <w:spacing w:before="8"/>
              <w:ind w:right="107"/>
              <w:rPr>
                <w:sz w:val="16"/>
              </w:rPr>
            </w:pPr>
            <w:r>
              <w:rPr>
                <w:spacing w:val="-4"/>
                <w:sz w:val="16"/>
              </w:rPr>
              <w:t>70.0</w:t>
            </w:r>
          </w:p>
        </w:tc>
      </w:tr>
      <w:tr>
        <w:trPr>
          <w:trHeight w:val="225" w:hRule="atLeast"/>
        </w:trPr>
        <w:tc>
          <w:tcPr>
            <w:tcW w:w="2475" w:type="dxa"/>
            <w:tcBorders>
              <w:top w:val="single" w:sz="4" w:space="0" w:color="000000"/>
              <w:bottom w:val="single" w:sz="4" w:space="0" w:color="000000"/>
            </w:tcBorders>
          </w:tcPr>
          <w:p>
            <w:pPr>
              <w:pStyle w:val="TableParagraph"/>
              <w:spacing w:before="9"/>
              <w:ind w:right="102"/>
              <w:rPr>
                <w:i/>
                <w:sz w:val="16"/>
              </w:rPr>
            </w:pPr>
            <w:r>
              <w:rPr>
                <w:i/>
                <w:w w:val="95"/>
                <w:sz w:val="16"/>
              </w:rPr>
              <w:t>Subtotal</w:t>
            </w:r>
            <w:r>
              <w:rPr>
                <w:i/>
                <w:spacing w:val="40"/>
                <w:sz w:val="16"/>
              </w:rPr>
              <w:t> </w:t>
            </w:r>
            <w:r>
              <w:rPr>
                <w:i/>
                <w:w w:val="95"/>
                <w:sz w:val="16"/>
              </w:rPr>
              <w:t>non-</w:t>
            </w:r>
            <w:r>
              <w:rPr>
                <w:i/>
                <w:spacing w:val="-4"/>
                <w:w w:val="95"/>
                <w:sz w:val="16"/>
              </w:rPr>
              <w:t>staff</w:t>
            </w:r>
          </w:p>
        </w:tc>
        <w:tc>
          <w:tcPr>
            <w:tcW w:w="1211" w:type="dxa"/>
            <w:tcBorders>
              <w:top w:val="single" w:sz="4" w:space="0" w:color="000000"/>
              <w:bottom w:val="single" w:sz="4" w:space="0" w:color="000000"/>
            </w:tcBorders>
          </w:tcPr>
          <w:p>
            <w:pPr>
              <w:pStyle w:val="TableParagraph"/>
              <w:spacing w:before="9"/>
              <w:ind w:right="188"/>
              <w:rPr>
                <w:i/>
                <w:sz w:val="16"/>
              </w:rPr>
            </w:pPr>
            <w:r>
              <w:rPr>
                <w:i/>
                <w:spacing w:val="-2"/>
                <w:sz w:val="16"/>
              </w:rPr>
              <w:t>2,616.9</w:t>
            </w:r>
          </w:p>
        </w:tc>
        <w:tc>
          <w:tcPr>
            <w:tcW w:w="828" w:type="dxa"/>
            <w:tcBorders>
              <w:top w:val="single" w:sz="4" w:space="0" w:color="000000"/>
              <w:bottom w:val="single" w:sz="4" w:space="0" w:color="000000"/>
            </w:tcBorders>
          </w:tcPr>
          <w:p>
            <w:pPr>
              <w:pStyle w:val="TableParagraph"/>
              <w:spacing w:before="9"/>
              <w:ind w:right="109"/>
              <w:rPr>
                <w:i/>
                <w:sz w:val="16"/>
              </w:rPr>
            </w:pPr>
            <w:r>
              <w:rPr>
                <w:i/>
                <w:spacing w:val="-2"/>
                <w:sz w:val="16"/>
              </w:rPr>
              <w:t>376.2</w:t>
            </w:r>
          </w:p>
        </w:tc>
        <w:tc>
          <w:tcPr>
            <w:tcW w:w="1130" w:type="dxa"/>
            <w:tcBorders>
              <w:top w:val="single" w:sz="4" w:space="0" w:color="000000"/>
              <w:bottom w:val="single" w:sz="4" w:space="0" w:color="000000"/>
            </w:tcBorders>
          </w:tcPr>
          <w:p>
            <w:pPr>
              <w:pStyle w:val="TableParagraph"/>
              <w:spacing w:before="9"/>
              <w:ind w:right="101"/>
              <w:rPr>
                <w:i/>
                <w:sz w:val="16"/>
              </w:rPr>
            </w:pPr>
            <w:r>
              <w:rPr>
                <w:i/>
                <w:spacing w:val="-2"/>
                <w:sz w:val="16"/>
              </w:rPr>
              <w:t>2,993.1</w:t>
            </w:r>
          </w:p>
        </w:tc>
        <w:tc>
          <w:tcPr>
            <w:tcW w:w="1079" w:type="dxa"/>
            <w:tcBorders>
              <w:top w:val="single" w:sz="4" w:space="0" w:color="000000"/>
              <w:bottom w:val="single" w:sz="4" w:space="0" w:color="000000"/>
            </w:tcBorders>
          </w:tcPr>
          <w:p>
            <w:pPr>
              <w:pStyle w:val="TableParagraph"/>
              <w:spacing w:before="9"/>
              <w:ind w:right="52"/>
              <w:rPr>
                <w:i/>
                <w:sz w:val="16"/>
              </w:rPr>
            </w:pPr>
            <w:r>
              <w:rPr>
                <w:i/>
                <w:spacing w:val="-2"/>
                <w:sz w:val="16"/>
              </w:rPr>
              <w:t>3,580.7</w:t>
            </w:r>
          </w:p>
        </w:tc>
        <w:tc>
          <w:tcPr>
            <w:tcW w:w="1116" w:type="dxa"/>
            <w:tcBorders>
              <w:top w:val="single" w:sz="4" w:space="0" w:color="000000"/>
              <w:bottom w:val="single" w:sz="4" w:space="0" w:color="000000"/>
            </w:tcBorders>
          </w:tcPr>
          <w:p>
            <w:pPr>
              <w:pStyle w:val="TableParagraph"/>
              <w:spacing w:before="9"/>
              <w:ind w:right="183"/>
              <w:rPr>
                <w:i/>
                <w:sz w:val="16"/>
              </w:rPr>
            </w:pPr>
            <w:r>
              <w:rPr>
                <w:i/>
                <w:spacing w:val="-2"/>
                <w:sz w:val="16"/>
              </w:rPr>
              <w:t>1,401.4</w:t>
            </w:r>
          </w:p>
        </w:tc>
        <w:tc>
          <w:tcPr>
            <w:tcW w:w="757" w:type="dxa"/>
            <w:tcBorders>
              <w:top w:val="single" w:sz="4" w:space="0" w:color="000000"/>
              <w:bottom w:val="single" w:sz="4" w:space="0" w:color="000000"/>
            </w:tcBorders>
          </w:tcPr>
          <w:p>
            <w:pPr>
              <w:pStyle w:val="TableParagraph"/>
              <w:spacing w:before="9"/>
              <w:ind w:right="181"/>
              <w:rPr>
                <w:i/>
                <w:sz w:val="16"/>
              </w:rPr>
            </w:pPr>
            <w:r>
              <w:rPr>
                <w:i/>
                <w:spacing w:val="-4"/>
                <w:sz w:val="16"/>
              </w:rPr>
              <w:t>39.1</w:t>
            </w:r>
          </w:p>
        </w:tc>
        <w:tc>
          <w:tcPr>
            <w:tcW w:w="1055" w:type="dxa"/>
            <w:tcBorders>
              <w:top w:val="single" w:sz="4" w:space="0" w:color="000000"/>
              <w:bottom w:val="single" w:sz="4" w:space="0" w:color="000000"/>
            </w:tcBorders>
          </w:tcPr>
          <w:p>
            <w:pPr>
              <w:pStyle w:val="TableParagraph"/>
              <w:spacing w:before="9"/>
              <w:ind w:right="108"/>
              <w:rPr>
                <w:i/>
                <w:sz w:val="16"/>
              </w:rPr>
            </w:pPr>
            <w:r>
              <w:rPr>
                <w:i/>
                <w:spacing w:val="-2"/>
                <w:sz w:val="16"/>
              </w:rPr>
              <w:t>4,982.1</w:t>
            </w:r>
          </w:p>
        </w:tc>
      </w:tr>
      <w:tr>
        <w:trPr>
          <w:trHeight w:val="230" w:hRule="atLeast"/>
        </w:trPr>
        <w:tc>
          <w:tcPr>
            <w:tcW w:w="2475" w:type="dxa"/>
            <w:tcBorders>
              <w:top w:val="single" w:sz="4" w:space="0" w:color="000000"/>
              <w:bottom w:val="single" w:sz="12" w:space="0" w:color="000000"/>
            </w:tcBorders>
          </w:tcPr>
          <w:p>
            <w:pPr>
              <w:pStyle w:val="TableParagraph"/>
              <w:spacing w:before="14"/>
              <w:ind w:left="117"/>
              <w:jc w:val="left"/>
              <w:rPr>
                <w:b/>
                <w:sz w:val="16"/>
              </w:rPr>
            </w:pPr>
            <w:r>
              <w:rPr>
                <w:b/>
                <w:spacing w:val="-2"/>
                <w:sz w:val="16"/>
              </w:rPr>
              <w:t>Total</w:t>
            </w:r>
          </w:p>
        </w:tc>
        <w:tc>
          <w:tcPr>
            <w:tcW w:w="1211" w:type="dxa"/>
            <w:tcBorders>
              <w:top w:val="single" w:sz="4" w:space="0" w:color="000000"/>
              <w:bottom w:val="single" w:sz="12" w:space="0" w:color="000000"/>
            </w:tcBorders>
          </w:tcPr>
          <w:p>
            <w:pPr>
              <w:pStyle w:val="TableParagraph"/>
              <w:spacing w:before="14"/>
              <w:ind w:right="189"/>
              <w:rPr>
                <w:b/>
                <w:sz w:val="16"/>
              </w:rPr>
            </w:pPr>
            <w:r>
              <w:rPr>
                <w:b/>
                <w:spacing w:val="-2"/>
                <w:sz w:val="16"/>
              </w:rPr>
              <w:t>45,435.9</w:t>
            </w:r>
          </w:p>
        </w:tc>
        <w:tc>
          <w:tcPr>
            <w:tcW w:w="828" w:type="dxa"/>
            <w:tcBorders>
              <w:top w:val="single" w:sz="4" w:space="0" w:color="000000"/>
              <w:bottom w:val="single" w:sz="12" w:space="0" w:color="000000"/>
            </w:tcBorders>
          </w:tcPr>
          <w:p>
            <w:pPr>
              <w:pStyle w:val="TableParagraph"/>
              <w:spacing w:before="14"/>
              <w:ind w:right="109"/>
              <w:rPr>
                <w:b/>
                <w:sz w:val="16"/>
              </w:rPr>
            </w:pPr>
            <w:r>
              <w:rPr>
                <w:b/>
                <w:spacing w:val="-2"/>
                <w:sz w:val="16"/>
              </w:rPr>
              <w:t>396.0</w:t>
            </w:r>
          </w:p>
        </w:tc>
        <w:tc>
          <w:tcPr>
            <w:tcW w:w="1130" w:type="dxa"/>
            <w:tcBorders>
              <w:top w:val="single" w:sz="4" w:space="0" w:color="000000"/>
              <w:bottom w:val="single" w:sz="12" w:space="0" w:color="000000"/>
            </w:tcBorders>
          </w:tcPr>
          <w:p>
            <w:pPr>
              <w:pStyle w:val="TableParagraph"/>
              <w:spacing w:before="14"/>
              <w:ind w:right="101"/>
              <w:rPr>
                <w:b/>
                <w:sz w:val="16"/>
              </w:rPr>
            </w:pPr>
            <w:r>
              <w:rPr>
                <w:b/>
                <w:spacing w:val="-2"/>
                <w:sz w:val="16"/>
              </w:rPr>
              <w:t>45,832.0</w:t>
            </w:r>
          </w:p>
        </w:tc>
        <w:tc>
          <w:tcPr>
            <w:tcW w:w="1079" w:type="dxa"/>
            <w:tcBorders>
              <w:top w:val="single" w:sz="4" w:space="0" w:color="000000"/>
              <w:bottom w:val="single" w:sz="12" w:space="0" w:color="000000"/>
            </w:tcBorders>
          </w:tcPr>
          <w:p>
            <w:pPr>
              <w:pStyle w:val="TableParagraph"/>
              <w:spacing w:before="14"/>
              <w:ind w:right="52"/>
              <w:rPr>
                <w:b/>
                <w:sz w:val="16"/>
              </w:rPr>
            </w:pPr>
            <w:r>
              <w:rPr>
                <w:b/>
                <w:spacing w:val="-2"/>
                <w:sz w:val="16"/>
              </w:rPr>
              <w:t>49,546.4</w:t>
            </w:r>
          </w:p>
        </w:tc>
        <w:tc>
          <w:tcPr>
            <w:tcW w:w="1116" w:type="dxa"/>
            <w:tcBorders>
              <w:top w:val="single" w:sz="4" w:space="0" w:color="000000"/>
              <w:bottom w:val="single" w:sz="12" w:space="0" w:color="000000"/>
            </w:tcBorders>
          </w:tcPr>
          <w:p>
            <w:pPr>
              <w:pStyle w:val="TableParagraph"/>
              <w:spacing w:before="14"/>
              <w:ind w:right="183"/>
              <w:rPr>
                <w:b/>
                <w:sz w:val="16"/>
              </w:rPr>
            </w:pPr>
            <w:r>
              <w:rPr>
                <w:b/>
                <w:spacing w:val="-2"/>
                <w:sz w:val="16"/>
              </w:rPr>
              <w:t>9,791.8</w:t>
            </w:r>
          </w:p>
        </w:tc>
        <w:tc>
          <w:tcPr>
            <w:tcW w:w="757" w:type="dxa"/>
            <w:tcBorders>
              <w:top w:val="single" w:sz="4" w:space="0" w:color="000000"/>
              <w:bottom w:val="single" w:sz="12" w:space="0" w:color="000000"/>
            </w:tcBorders>
          </w:tcPr>
          <w:p>
            <w:pPr>
              <w:pStyle w:val="TableParagraph"/>
              <w:spacing w:before="14"/>
              <w:ind w:right="181"/>
              <w:rPr>
                <w:b/>
                <w:sz w:val="16"/>
              </w:rPr>
            </w:pPr>
            <w:r>
              <w:rPr>
                <w:b/>
                <w:spacing w:val="-4"/>
                <w:sz w:val="16"/>
              </w:rPr>
              <w:t>19.8</w:t>
            </w:r>
          </w:p>
        </w:tc>
        <w:tc>
          <w:tcPr>
            <w:tcW w:w="1055" w:type="dxa"/>
            <w:tcBorders>
              <w:top w:val="single" w:sz="4" w:space="0" w:color="000000"/>
              <w:bottom w:val="single" w:sz="12" w:space="0" w:color="000000"/>
            </w:tcBorders>
          </w:tcPr>
          <w:p>
            <w:pPr>
              <w:pStyle w:val="TableParagraph"/>
              <w:spacing w:before="14"/>
              <w:ind w:right="108"/>
              <w:rPr>
                <w:b/>
                <w:sz w:val="16"/>
              </w:rPr>
            </w:pPr>
            <w:r>
              <w:rPr>
                <w:b/>
                <w:spacing w:val="-2"/>
                <w:sz w:val="16"/>
              </w:rPr>
              <w:t>59,338.2</w:t>
            </w:r>
          </w:p>
        </w:tc>
      </w:tr>
    </w:tbl>
    <w:p>
      <w:pPr>
        <w:pStyle w:val="BodyText"/>
        <w:spacing w:before="9"/>
        <w:rPr>
          <w:b/>
          <w:sz w:val="21"/>
        </w:rPr>
      </w:pPr>
    </w:p>
    <w:p>
      <w:pPr>
        <w:spacing w:before="0"/>
        <w:ind w:left="2246" w:right="0" w:firstLine="0"/>
        <w:jc w:val="left"/>
        <w:rPr>
          <w:b/>
          <w:sz w:val="20"/>
        </w:rPr>
      </w:pPr>
      <w:r>
        <w:rPr>
          <w:b/>
          <w:sz w:val="20"/>
        </w:rPr>
        <w:t>Table</w:t>
      </w:r>
      <w:r>
        <w:rPr>
          <w:b/>
          <w:spacing w:val="-5"/>
          <w:sz w:val="20"/>
        </w:rPr>
        <w:t> </w:t>
      </w:r>
      <w:r>
        <w:rPr>
          <w:b/>
          <w:sz w:val="20"/>
        </w:rPr>
        <w:t>12:</w:t>
      </w:r>
      <w:r>
        <w:rPr>
          <w:b/>
          <w:spacing w:val="-7"/>
          <w:sz w:val="20"/>
        </w:rPr>
        <w:t> </w:t>
      </w:r>
      <w:r>
        <w:rPr>
          <w:b/>
          <w:sz w:val="20"/>
        </w:rPr>
        <w:t>Major</w:t>
      </w:r>
      <w:r>
        <w:rPr>
          <w:b/>
          <w:spacing w:val="-9"/>
          <w:sz w:val="20"/>
        </w:rPr>
        <w:t> </w:t>
      </w:r>
      <w:r>
        <w:rPr>
          <w:b/>
          <w:sz w:val="20"/>
        </w:rPr>
        <w:t>Programme</w:t>
      </w:r>
      <w:r>
        <w:rPr>
          <w:b/>
          <w:spacing w:val="-5"/>
          <w:sz w:val="20"/>
        </w:rPr>
        <w:t> </w:t>
      </w:r>
      <w:r>
        <w:rPr>
          <w:b/>
          <w:sz w:val="20"/>
        </w:rPr>
        <w:t>II:</w:t>
      </w:r>
      <w:r>
        <w:rPr>
          <w:b/>
          <w:spacing w:val="-6"/>
          <w:sz w:val="20"/>
        </w:rPr>
        <w:t> </w:t>
      </w:r>
      <w:r>
        <w:rPr>
          <w:b/>
          <w:sz w:val="20"/>
        </w:rPr>
        <w:t>Proposed</w:t>
      </w:r>
      <w:r>
        <w:rPr>
          <w:b/>
          <w:spacing w:val="-3"/>
          <w:sz w:val="20"/>
        </w:rPr>
        <w:t> </w:t>
      </w:r>
      <w:r>
        <w:rPr>
          <w:b/>
          <w:sz w:val="20"/>
        </w:rPr>
        <w:t>staffing</w:t>
      </w:r>
      <w:r>
        <w:rPr>
          <w:b/>
          <w:spacing w:val="-7"/>
          <w:sz w:val="20"/>
        </w:rPr>
        <w:t> </w:t>
      </w:r>
      <w:r>
        <w:rPr>
          <w:b/>
          <w:sz w:val="20"/>
        </w:rPr>
        <w:t>for</w:t>
      </w:r>
      <w:r>
        <w:rPr>
          <w:b/>
          <w:spacing w:val="-4"/>
          <w:sz w:val="20"/>
        </w:rPr>
        <w:t> 2023</w:t>
      </w:r>
    </w:p>
    <w:tbl>
      <w:tblPr>
        <w:tblW w:w="0" w:type="auto"/>
        <w:jc w:val="left"/>
        <w:tblInd w:w="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6"/>
        <w:gridCol w:w="678"/>
        <w:gridCol w:w="607"/>
        <w:gridCol w:w="563"/>
        <w:gridCol w:w="557"/>
        <w:gridCol w:w="549"/>
        <w:gridCol w:w="581"/>
        <w:gridCol w:w="667"/>
        <w:gridCol w:w="677"/>
        <w:gridCol w:w="525"/>
        <w:gridCol w:w="792"/>
        <w:gridCol w:w="567"/>
        <w:gridCol w:w="578"/>
        <w:gridCol w:w="562"/>
        <w:gridCol w:w="787"/>
        <w:gridCol w:w="546"/>
      </w:tblGrid>
      <w:tr>
        <w:trPr>
          <w:trHeight w:val="479" w:hRule="atLeast"/>
        </w:trPr>
        <w:tc>
          <w:tcPr>
            <w:tcW w:w="1186"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before="1"/>
              <w:ind w:left="67"/>
              <w:jc w:val="left"/>
              <w:rPr>
                <w:sz w:val="14"/>
              </w:rPr>
            </w:pPr>
            <w:r>
              <w:rPr>
                <w:spacing w:val="-5"/>
                <w:sz w:val="14"/>
              </w:rPr>
              <w:t>II</w:t>
            </w:r>
          </w:p>
        </w:tc>
        <w:tc>
          <w:tcPr>
            <w:tcW w:w="678"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before="1"/>
              <w:ind w:right="152"/>
              <w:rPr>
                <w:sz w:val="14"/>
              </w:rPr>
            </w:pPr>
            <w:r>
              <w:rPr>
                <w:spacing w:val="-5"/>
                <w:sz w:val="14"/>
              </w:rPr>
              <w:t>USG</w:t>
            </w:r>
          </w:p>
        </w:tc>
        <w:tc>
          <w:tcPr>
            <w:tcW w:w="607"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before="1"/>
              <w:ind w:right="169"/>
              <w:rPr>
                <w:sz w:val="14"/>
              </w:rPr>
            </w:pPr>
            <w:r>
              <w:rPr>
                <w:spacing w:val="-5"/>
                <w:sz w:val="14"/>
              </w:rPr>
              <w:t>ASG</w:t>
            </w:r>
          </w:p>
        </w:tc>
        <w:tc>
          <w:tcPr>
            <w:tcW w:w="563"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before="1"/>
              <w:ind w:right="167"/>
              <w:rPr>
                <w:sz w:val="14"/>
              </w:rPr>
            </w:pPr>
            <w:r>
              <w:rPr>
                <w:w w:val="95"/>
                <w:sz w:val="14"/>
              </w:rPr>
              <w:t>D-</w:t>
            </w:r>
            <w:r>
              <w:rPr>
                <w:spacing w:val="-10"/>
                <w:sz w:val="14"/>
              </w:rPr>
              <w:t>2</w:t>
            </w:r>
          </w:p>
        </w:tc>
        <w:tc>
          <w:tcPr>
            <w:tcW w:w="557"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before="1"/>
              <w:ind w:right="163"/>
              <w:rPr>
                <w:sz w:val="14"/>
              </w:rPr>
            </w:pPr>
            <w:r>
              <w:rPr>
                <w:w w:val="95"/>
                <w:sz w:val="14"/>
              </w:rPr>
              <w:t>D-</w:t>
            </w:r>
            <w:r>
              <w:rPr>
                <w:spacing w:val="-10"/>
                <w:sz w:val="14"/>
              </w:rPr>
              <w:t>1</w:t>
            </w:r>
          </w:p>
        </w:tc>
        <w:tc>
          <w:tcPr>
            <w:tcW w:w="549"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before="1"/>
              <w:ind w:left="157" w:right="78"/>
              <w:jc w:val="center"/>
              <w:rPr>
                <w:sz w:val="14"/>
              </w:rPr>
            </w:pPr>
            <w:r>
              <w:rPr>
                <w:w w:val="95"/>
                <w:sz w:val="14"/>
              </w:rPr>
              <w:t>P-</w:t>
            </w:r>
            <w:r>
              <w:rPr>
                <w:spacing w:val="-10"/>
                <w:sz w:val="14"/>
              </w:rPr>
              <w:t>5</w:t>
            </w:r>
          </w:p>
        </w:tc>
        <w:tc>
          <w:tcPr>
            <w:tcW w:w="581"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before="1"/>
              <w:ind w:right="131"/>
              <w:rPr>
                <w:sz w:val="14"/>
              </w:rPr>
            </w:pPr>
            <w:r>
              <w:rPr>
                <w:w w:val="95"/>
                <w:sz w:val="14"/>
              </w:rPr>
              <w:t>P-</w:t>
            </w:r>
            <w:r>
              <w:rPr>
                <w:spacing w:val="-10"/>
                <w:sz w:val="14"/>
              </w:rPr>
              <w:t>4</w:t>
            </w:r>
          </w:p>
        </w:tc>
        <w:tc>
          <w:tcPr>
            <w:tcW w:w="667"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before="1"/>
              <w:ind w:right="202"/>
              <w:rPr>
                <w:sz w:val="14"/>
              </w:rPr>
            </w:pPr>
            <w:r>
              <w:rPr>
                <w:w w:val="95"/>
                <w:sz w:val="14"/>
              </w:rPr>
              <w:t>P-</w:t>
            </w:r>
            <w:r>
              <w:rPr>
                <w:spacing w:val="-10"/>
                <w:sz w:val="14"/>
              </w:rPr>
              <w:t>3</w:t>
            </w:r>
          </w:p>
        </w:tc>
        <w:tc>
          <w:tcPr>
            <w:tcW w:w="677"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before="1"/>
              <w:ind w:right="139"/>
              <w:rPr>
                <w:sz w:val="14"/>
              </w:rPr>
            </w:pPr>
            <w:r>
              <w:rPr>
                <w:w w:val="95"/>
                <w:sz w:val="14"/>
              </w:rPr>
              <w:t>P-</w:t>
            </w:r>
            <w:r>
              <w:rPr>
                <w:spacing w:val="-10"/>
                <w:sz w:val="14"/>
              </w:rPr>
              <w:t>2</w:t>
            </w:r>
          </w:p>
        </w:tc>
        <w:tc>
          <w:tcPr>
            <w:tcW w:w="525"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before="1"/>
              <w:ind w:right="69"/>
              <w:rPr>
                <w:sz w:val="14"/>
              </w:rPr>
            </w:pPr>
            <w:r>
              <w:rPr>
                <w:w w:val="95"/>
                <w:sz w:val="14"/>
              </w:rPr>
              <w:t>P-</w:t>
            </w:r>
            <w:r>
              <w:rPr>
                <w:spacing w:val="-10"/>
                <w:sz w:val="14"/>
              </w:rPr>
              <w:t>1</w:t>
            </w:r>
          </w:p>
        </w:tc>
        <w:tc>
          <w:tcPr>
            <w:tcW w:w="792" w:type="dxa"/>
            <w:tcBorders>
              <w:top w:val="single" w:sz="4" w:space="0" w:color="000000"/>
              <w:bottom w:val="single" w:sz="4" w:space="0" w:color="000000"/>
            </w:tcBorders>
          </w:tcPr>
          <w:p>
            <w:pPr>
              <w:pStyle w:val="TableParagraph"/>
              <w:spacing w:line="151" w:lineRule="exact"/>
              <w:ind w:left="368"/>
              <w:jc w:val="left"/>
              <w:rPr>
                <w:i/>
                <w:sz w:val="14"/>
              </w:rPr>
            </w:pPr>
            <w:r>
              <w:rPr>
                <w:i/>
                <w:spacing w:val="-2"/>
                <w:sz w:val="14"/>
              </w:rPr>
              <w:t>Total</w:t>
            </w:r>
          </w:p>
          <w:p>
            <w:pPr>
              <w:pStyle w:val="TableParagraph"/>
              <w:spacing w:line="158" w:lineRule="exact"/>
              <w:ind w:left="69" w:right="117" w:firstLine="201"/>
              <w:jc w:val="left"/>
              <w:rPr>
                <w:i/>
                <w:sz w:val="14"/>
              </w:rPr>
            </w:pPr>
            <w:r>
              <w:rPr>
                <w:i/>
                <w:spacing w:val="-2"/>
                <w:sz w:val="14"/>
              </w:rPr>
              <w:t>P-Staff</w:t>
            </w:r>
            <w:r>
              <w:rPr>
                <w:i/>
                <w:spacing w:val="40"/>
                <w:sz w:val="14"/>
              </w:rPr>
              <w:t> </w:t>
            </w:r>
            <w:r>
              <w:rPr>
                <w:i/>
                <w:sz w:val="14"/>
              </w:rPr>
              <w:t>and</w:t>
            </w:r>
            <w:r>
              <w:rPr>
                <w:i/>
                <w:spacing w:val="1"/>
                <w:sz w:val="14"/>
              </w:rPr>
              <w:t> </w:t>
            </w:r>
            <w:r>
              <w:rPr>
                <w:i/>
                <w:spacing w:val="-2"/>
                <w:sz w:val="14"/>
              </w:rPr>
              <w:t>Above</w:t>
            </w:r>
          </w:p>
        </w:tc>
        <w:tc>
          <w:tcPr>
            <w:tcW w:w="567"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before="1"/>
              <w:ind w:right="94"/>
              <w:rPr>
                <w:sz w:val="14"/>
              </w:rPr>
            </w:pPr>
            <w:r>
              <w:rPr>
                <w:w w:val="95"/>
                <w:sz w:val="14"/>
              </w:rPr>
              <w:t>NO-</w:t>
            </w:r>
            <w:r>
              <w:rPr>
                <w:spacing w:val="-10"/>
                <w:sz w:val="14"/>
              </w:rPr>
              <w:t>C</w:t>
            </w:r>
          </w:p>
        </w:tc>
        <w:tc>
          <w:tcPr>
            <w:tcW w:w="578"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before="1"/>
              <w:ind w:right="85"/>
              <w:rPr>
                <w:sz w:val="14"/>
              </w:rPr>
            </w:pPr>
            <w:r>
              <w:rPr>
                <w:w w:val="95"/>
                <w:sz w:val="14"/>
              </w:rPr>
              <w:t>GS-</w:t>
            </w:r>
            <w:r>
              <w:rPr>
                <w:spacing w:val="-5"/>
                <w:sz w:val="14"/>
              </w:rPr>
              <w:t>PL</w:t>
            </w:r>
          </w:p>
        </w:tc>
        <w:tc>
          <w:tcPr>
            <w:tcW w:w="562"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before="1"/>
              <w:ind w:right="55"/>
              <w:rPr>
                <w:sz w:val="14"/>
              </w:rPr>
            </w:pPr>
            <w:r>
              <w:rPr>
                <w:w w:val="95"/>
                <w:sz w:val="14"/>
              </w:rPr>
              <w:t>GS-</w:t>
            </w:r>
            <w:r>
              <w:rPr>
                <w:spacing w:val="-5"/>
                <w:sz w:val="14"/>
              </w:rPr>
              <w:t>OL</w:t>
            </w:r>
          </w:p>
        </w:tc>
        <w:tc>
          <w:tcPr>
            <w:tcW w:w="787" w:type="dxa"/>
            <w:tcBorders>
              <w:top w:val="single" w:sz="4" w:space="0" w:color="000000"/>
              <w:bottom w:val="single" w:sz="4" w:space="0" w:color="000000"/>
            </w:tcBorders>
          </w:tcPr>
          <w:p>
            <w:pPr>
              <w:pStyle w:val="TableParagraph"/>
              <w:spacing w:line="151" w:lineRule="exact"/>
              <w:ind w:left="385"/>
              <w:jc w:val="left"/>
              <w:rPr>
                <w:i/>
                <w:sz w:val="14"/>
              </w:rPr>
            </w:pPr>
            <w:r>
              <w:rPr>
                <w:i/>
                <w:spacing w:val="-2"/>
                <w:sz w:val="14"/>
              </w:rPr>
              <w:t>Total</w:t>
            </w:r>
          </w:p>
          <w:p>
            <w:pPr>
              <w:pStyle w:val="TableParagraph"/>
              <w:spacing w:line="158" w:lineRule="exact"/>
              <w:ind w:left="63" w:right="99" w:firstLine="197"/>
              <w:jc w:val="left"/>
              <w:rPr>
                <w:i/>
                <w:sz w:val="14"/>
              </w:rPr>
            </w:pPr>
            <w:r>
              <w:rPr>
                <w:i/>
                <w:sz w:val="14"/>
              </w:rPr>
              <w:t>GS</w:t>
            </w:r>
            <w:r>
              <w:rPr>
                <w:i/>
                <w:spacing w:val="-9"/>
                <w:sz w:val="14"/>
              </w:rPr>
              <w:t> </w:t>
            </w:r>
            <w:r>
              <w:rPr>
                <w:i/>
                <w:sz w:val="14"/>
              </w:rPr>
              <w:t>and</w:t>
            </w:r>
            <w:r>
              <w:rPr>
                <w:i/>
                <w:spacing w:val="40"/>
                <w:sz w:val="14"/>
              </w:rPr>
              <w:t> </w:t>
            </w:r>
            <w:r>
              <w:rPr>
                <w:i/>
                <w:sz w:val="14"/>
              </w:rPr>
              <w:t>Other</w:t>
            </w:r>
            <w:r>
              <w:rPr>
                <w:i/>
                <w:spacing w:val="-5"/>
                <w:sz w:val="14"/>
              </w:rPr>
              <w:t> </w:t>
            </w:r>
            <w:r>
              <w:rPr>
                <w:i/>
                <w:spacing w:val="-2"/>
                <w:sz w:val="14"/>
              </w:rPr>
              <w:t>Staff</w:t>
            </w:r>
          </w:p>
        </w:tc>
        <w:tc>
          <w:tcPr>
            <w:tcW w:w="546" w:type="dxa"/>
            <w:tcBorders>
              <w:top w:val="single" w:sz="4" w:space="0" w:color="000000"/>
              <w:bottom w:val="single" w:sz="4" w:space="0" w:color="000000"/>
            </w:tcBorders>
          </w:tcPr>
          <w:p>
            <w:pPr>
              <w:pStyle w:val="TableParagraph"/>
              <w:spacing w:before="5"/>
              <w:jc w:val="left"/>
              <w:rPr>
                <w:b/>
                <w:sz w:val="12"/>
              </w:rPr>
            </w:pPr>
          </w:p>
          <w:p>
            <w:pPr>
              <w:pStyle w:val="TableParagraph"/>
              <w:spacing w:line="158" w:lineRule="exact"/>
              <w:ind w:left="207" w:hanging="34"/>
              <w:jc w:val="left"/>
              <w:rPr>
                <w:b/>
                <w:sz w:val="14"/>
              </w:rPr>
            </w:pPr>
            <w:r>
              <w:rPr>
                <w:b/>
                <w:spacing w:val="-4"/>
                <w:sz w:val="14"/>
              </w:rPr>
              <w:t>Total</w:t>
            </w:r>
            <w:r>
              <w:rPr>
                <w:b/>
                <w:spacing w:val="40"/>
                <w:sz w:val="14"/>
              </w:rPr>
              <w:t> </w:t>
            </w:r>
            <w:r>
              <w:rPr>
                <w:b/>
                <w:spacing w:val="-4"/>
                <w:sz w:val="14"/>
              </w:rPr>
              <w:t>Staff</w:t>
            </w:r>
          </w:p>
        </w:tc>
      </w:tr>
      <w:tr>
        <w:trPr>
          <w:trHeight w:val="233" w:hRule="atLeast"/>
        </w:trPr>
        <w:tc>
          <w:tcPr>
            <w:tcW w:w="1186" w:type="dxa"/>
            <w:tcBorders>
              <w:top w:val="single" w:sz="4" w:space="0" w:color="000000"/>
            </w:tcBorders>
          </w:tcPr>
          <w:p>
            <w:pPr>
              <w:pStyle w:val="TableParagraph"/>
              <w:spacing w:before="28"/>
              <w:ind w:left="67"/>
              <w:jc w:val="left"/>
              <w:rPr>
                <w:b/>
                <w:sz w:val="14"/>
              </w:rPr>
            </w:pPr>
            <w:r>
              <w:rPr>
                <w:b/>
                <w:spacing w:val="-2"/>
                <w:sz w:val="14"/>
              </w:rPr>
              <w:t>Established</w:t>
            </w:r>
            <w:r>
              <w:rPr>
                <w:b/>
                <w:spacing w:val="11"/>
                <w:sz w:val="14"/>
              </w:rPr>
              <w:t> </w:t>
            </w:r>
            <w:r>
              <w:rPr>
                <w:b/>
                <w:spacing w:val="-2"/>
                <w:sz w:val="14"/>
              </w:rPr>
              <w:t>Posts</w:t>
            </w:r>
          </w:p>
        </w:tc>
        <w:tc>
          <w:tcPr>
            <w:tcW w:w="678" w:type="dxa"/>
            <w:tcBorders>
              <w:top w:val="single" w:sz="4" w:space="0" w:color="000000"/>
            </w:tcBorders>
          </w:tcPr>
          <w:p>
            <w:pPr>
              <w:pStyle w:val="TableParagraph"/>
              <w:jc w:val="left"/>
              <w:rPr>
                <w:sz w:val="14"/>
              </w:rPr>
            </w:pPr>
          </w:p>
        </w:tc>
        <w:tc>
          <w:tcPr>
            <w:tcW w:w="607" w:type="dxa"/>
            <w:tcBorders>
              <w:top w:val="single" w:sz="4" w:space="0" w:color="000000"/>
            </w:tcBorders>
          </w:tcPr>
          <w:p>
            <w:pPr>
              <w:pStyle w:val="TableParagraph"/>
              <w:jc w:val="left"/>
              <w:rPr>
                <w:sz w:val="14"/>
              </w:rPr>
            </w:pPr>
          </w:p>
        </w:tc>
        <w:tc>
          <w:tcPr>
            <w:tcW w:w="563" w:type="dxa"/>
            <w:tcBorders>
              <w:top w:val="single" w:sz="4" w:space="0" w:color="000000"/>
            </w:tcBorders>
          </w:tcPr>
          <w:p>
            <w:pPr>
              <w:pStyle w:val="TableParagraph"/>
              <w:jc w:val="left"/>
              <w:rPr>
                <w:sz w:val="14"/>
              </w:rPr>
            </w:pPr>
          </w:p>
        </w:tc>
        <w:tc>
          <w:tcPr>
            <w:tcW w:w="557" w:type="dxa"/>
            <w:tcBorders>
              <w:top w:val="single" w:sz="4" w:space="0" w:color="000000"/>
            </w:tcBorders>
          </w:tcPr>
          <w:p>
            <w:pPr>
              <w:pStyle w:val="TableParagraph"/>
              <w:jc w:val="left"/>
              <w:rPr>
                <w:sz w:val="14"/>
              </w:rPr>
            </w:pPr>
          </w:p>
        </w:tc>
        <w:tc>
          <w:tcPr>
            <w:tcW w:w="549" w:type="dxa"/>
            <w:tcBorders>
              <w:top w:val="single" w:sz="4" w:space="0" w:color="000000"/>
            </w:tcBorders>
          </w:tcPr>
          <w:p>
            <w:pPr>
              <w:pStyle w:val="TableParagraph"/>
              <w:jc w:val="left"/>
              <w:rPr>
                <w:sz w:val="14"/>
              </w:rPr>
            </w:pPr>
          </w:p>
        </w:tc>
        <w:tc>
          <w:tcPr>
            <w:tcW w:w="581" w:type="dxa"/>
            <w:tcBorders>
              <w:top w:val="single" w:sz="4" w:space="0" w:color="000000"/>
            </w:tcBorders>
          </w:tcPr>
          <w:p>
            <w:pPr>
              <w:pStyle w:val="TableParagraph"/>
              <w:jc w:val="left"/>
              <w:rPr>
                <w:sz w:val="14"/>
              </w:rPr>
            </w:pPr>
          </w:p>
        </w:tc>
        <w:tc>
          <w:tcPr>
            <w:tcW w:w="667" w:type="dxa"/>
            <w:tcBorders>
              <w:top w:val="single" w:sz="4" w:space="0" w:color="000000"/>
            </w:tcBorders>
          </w:tcPr>
          <w:p>
            <w:pPr>
              <w:pStyle w:val="TableParagraph"/>
              <w:jc w:val="left"/>
              <w:rPr>
                <w:sz w:val="14"/>
              </w:rPr>
            </w:pPr>
          </w:p>
        </w:tc>
        <w:tc>
          <w:tcPr>
            <w:tcW w:w="677" w:type="dxa"/>
            <w:tcBorders>
              <w:top w:val="single" w:sz="4" w:space="0" w:color="000000"/>
            </w:tcBorders>
          </w:tcPr>
          <w:p>
            <w:pPr>
              <w:pStyle w:val="TableParagraph"/>
              <w:jc w:val="left"/>
              <w:rPr>
                <w:sz w:val="14"/>
              </w:rPr>
            </w:pPr>
          </w:p>
        </w:tc>
        <w:tc>
          <w:tcPr>
            <w:tcW w:w="525" w:type="dxa"/>
            <w:tcBorders>
              <w:top w:val="single" w:sz="4" w:space="0" w:color="000000"/>
            </w:tcBorders>
          </w:tcPr>
          <w:p>
            <w:pPr>
              <w:pStyle w:val="TableParagraph"/>
              <w:jc w:val="left"/>
              <w:rPr>
                <w:sz w:val="14"/>
              </w:rPr>
            </w:pPr>
          </w:p>
        </w:tc>
        <w:tc>
          <w:tcPr>
            <w:tcW w:w="792" w:type="dxa"/>
            <w:tcBorders>
              <w:top w:val="single" w:sz="4" w:space="0" w:color="000000"/>
            </w:tcBorders>
          </w:tcPr>
          <w:p>
            <w:pPr>
              <w:pStyle w:val="TableParagraph"/>
              <w:jc w:val="left"/>
              <w:rPr>
                <w:sz w:val="14"/>
              </w:rPr>
            </w:pPr>
          </w:p>
        </w:tc>
        <w:tc>
          <w:tcPr>
            <w:tcW w:w="567" w:type="dxa"/>
            <w:tcBorders>
              <w:top w:val="single" w:sz="4" w:space="0" w:color="000000"/>
            </w:tcBorders>
          </w:tcPr>
          <w:p>
            <w:pPr>
              <w:pStyle w:val="TableParagraph"/>
              <w:jc w:val="left"/>
              <w:rPr>
                <w:sz w:val="14"/>
              </w:rPr>
            </w:pPr>
          </w:p>
        </w:tc>
        <w:tc>
          <w:tcPr>
            <w:tcW w:w="578" w:type="dxa"/>
            <w:tcBorders>
              <w:top w:val="single" w:sz="4" w:space="0" w:color="000000"/>
            </w:tcBorders>
          </w:tcPr>
          <w:p>
            <w:pPr>
              <w:pStyle w:val="TableParagraph"/>
              <w:jc w:val="left"/>
              <w:rPr>
                <w:sz w:val="14"/>
              </w:rPr>
            </w:pPr>
          </w:p>
        </w:tc>
        <w:tc>
          <w:tcPr>
            <w:tcW w:w="562" w:type="dxa"/>
            <w:tcBorders>
              <w:top w:val="single" w:sz="4" w:space="0" w:color="000000"/>
            </w:tcBorders>
          </w:tcPr>
          <w:p>
            <w:pPr>
              <w:pStyle w:val="TableParagraph"/>
              <w:jc w:val="left"/>
              <w:rPr>
                <w:sz w:val="14"/>
              </w:rPr>
            </w:pPr>
          </w:p>
        </w:tc>
        <w:tc>
          <w:tcPr>
            <w:tcW w:w="787" w:type="dxa"/>
            <w:tcBorders>
              <w:top w:val="single" w:sz="4" w:space="0" w:color="000000"/>
            </w:tcBorders>
          </w:tcPr>
          <w:p>
            <w:pPr>
              <w:pStyle w:val="TableParagraph"/>
              <w:jc w:val="left"/>
              <w:rPr>
                <w:sz w:val="14"/>
              </w:rPr>
            </w:pPr>
          </w:p>
        </w:tc>
        <w:tc>
          <w:tcPr>
            <w:tcW w:w="546" w:type="dxa"/>
            <w:tcBorders>
              <w:top w:val="single" w:sz="4" w:space="0" w:color="000000"/>
            </w:tcBorders>
          </w:tcPr>
          <w:p>
            <w:pPr>
              <w:pStyle w:val="TableParagraph"/>
              <w:jc w:val="left"/>
              <w:rPr>
                <w:sz w:val="14"/>
              </w:rPr>
            </w:pPr>
          </w:p>
        </w:tc>
      </w:tr>
      <w:tr>
        <w:trPr>
          <w:trHeight w:val="221" w:hRule="atLeast"/>
        </w:trPr>
        <w:tc>
          <w:tcPr>
            <w:tcW w:w="1186" w:type="dxa"/>
            <w:tcBorders>
              <w:bottom w:val="single" w:sz="12" w:space="0" w:color="000000"/>
            </w:tcBorders>
          </w:tcPr>
          <w:p>
            <w:pPr>
              <w:pStyle w:val="TableParagraph"/>
              <w:spacing w:before="20"/>
              <w:ind w:left="67"/>
              <w:jc w:val="left"/>
              <w:rPr>
                <w:sz w:val="14"/>
              </w:rPr>
            </w:pPr>
            <w:r>
              <w:rPr>
                <w:w w:val="95"/>
                <w:sz w:val="14"/>
              </w:rPr>
              <w:t>Approved</w:t>
            </w:r>
            <w:r>
              <w:rPr>
                <w:spacing w:val="22"/>
                <w:sz w:val="14"/>
              </w:rPr>
              <w:t> </w:t>
            </w:r>
            <w:r>
              <w:rPr>
                <w:spacing w:val="-4"/>
                <w:sz w:val="14"/>
              </w:rPr>
              <w:t>2022</w:t>
            </w:r>
          </w:p>
        </w:tc>
        <w:tc>
          <w:tcPr>
            <w:tcW w:w="678" w:type="dxa"/>
            <w:tcBorders>
              <w:bottom w:val="single" w:sz="12" w:space="0" w:color="000000"/>
            </w:tcBorders>
          </w:tcPr>
          <w:p>
            <w:pPr>
              <w:pStyle w:val="TableParagraph"/>
              <w:spacing w:before="20"/>
              <w:ind w:right="155"/>
              <w:rPr>
                <w:sz w:val="14"/>
              </w:rPr>
            </w:pPr>
            <w:r>
              <w:rPr>
                <w:w w:val="99"/>
                <w:sz w:val="14"/>
              </w:rPr>
              <w:t>1</w:t>
            </w:r>
          </w:p>
        </w:tc>
        <w:tc>
          <w:tcPr>
            <w:tcW w:w="607" w:type="dxa"/>
            <w:tcBorders>
              <w:bottom w:val="single" w:sz="12" w:space="0" w:color="000000"/>
            </w:tcBorders>
          </w:tcPr>
          <w:p>
            <w:pPr>
              <w:pStyle w:val="TableParagraph"/>
              <w:spacing w:before="20"/>
              <w:ind w:right="171"/>
              <w:rPr>
                <w:sz w:val="14"/>
              </w:rPr>
            </w:pPr>
            <w:r>
              <w:rPr>
                <w:w w:val="99"/>
                <w:sz w:val="14"/>
              </w:rPr>
              <w:t>2</w:t>
            </w:r>
          </w:p>
        </w:tc>
        <w:tc>
          <w:tcPr>
            <w:tcW w:w="563" w:type="dxa"/>
            <w:tcBorders>
              <w:bottom w:val="single" w:sz="12" w:space="0" w:color="000000"/>
            </w:tcBorders>
          </w:tcPr>
          <w:p>
            <w:pPr>
              <w:pStyle w:val="TableParagraph"/>
              <w:spacing w:before="20"/>
              <w:ind w:right="171"/>
              <w:rPr>
                <w:sz w:val="14"/>
              </w:rPr>
            </w:pPr>
            <w:r>
              <w:rPr>
                <w:w w:val="99"/>
                <w:sz w:val="14"/>
              </w:rPr>
              <w:t>-</w:t>
            </w:r>
          </w:p>
        </w:tc>
        <w:tc>
          <w:tcPr>
            <w:tcW w:w="557" w:type="dxa"/>
            <w:tcBorders>
              <w:bottom w:val="single" w:sz="12" w:space="0" w:color="000000"/>
            </w:tcBorders>
          </w:tcPr>
          <w:p>
            <w:pPr>
              <w:pStyle w:val="TableParagraph"/>
              <w:spacing w:before="20"/>
              <w:ind w:right="168"/>
              <w:rPr>
                <w:sz w:val="14"/>
              </w:rPr>
            </w:pPr>
            <w:r>
              <w:rPr>
                <w:w w:val="99"/>
                <w:sz w:val="14"/>
              </w:rPr>
              <w:t>3</w:t>
            </w:r>
          </w:p>
        </w:tc>
        <w:tc>
          <w:tcPr>
            <w:tcW w:w="549" w:type="dxa"/>
            <w:tcBorders>
              <w:bottom w:val="single" w:sz="12" w:space="0" w:color="000000"/>
            </w:tcBorders>
          </w:tcPr>
          <w:p>
            <w:pPr>
              <w:pStyle w:val="TableParagraph"/>
              <w:spacing w:before="20"/>
              <w:ind w:left="157" w:right="13"/>
              <w:jc w:val="center"/>
              <w:rPr>
                <w:sz w:val="14"/>
              </w:rPr>
            </w:pPr>
            <w:r>
              <w:rPr>
                <w:spacing w:val="-5"/>
                <w:sz w:val="14"/>
              </w:rPr>
              <w:t>18</w:t>
            </w:r>
          </w:p>
        </w:tc>
        <w:tc>
          <w:tcPr>
            <w:tcW w:w="581" w:type="dxa"/>
            <w:tcBorders>
              <w:bottom w:val="single" w:sz="12" w:space="0" w:color="000000"/>
            </w:tcBorders>
          </w:tcPr>
          <w:p>
            <w:pPr>
              <w:pStyle w:val="TableParagraph"/>
              <w:spacing w:before="20"/>
              <w:ind w:right="123"/>
              <w:rPr>
                <w:sz w:val="14"/>
              </w:rPr>
            </w:pPr>
            <w:r>
              <w:rPr>
                <w:spacing w:val="-5"/>
                <w:sz w:val="14"/>
              </w:rPr>
              <w:t>37</w:t>
            </w:r>
          </w:p>
        </w:tc>
        <w:tc>
          <w:tcPr>
            <w:tcW w:w="667" w:type="dxa"/>
            <w:tcBorders>
              <w:bottom w:val="single" w:sz="12" w:space="0" w:color="000000"/>
            </w:tcBorders>
          </w:tcPr>
          <w:p>
            <w:pPr>
              <w:pStyle w:val="TableParagraph"/>
              <w:spacing w:before="20"/>
              <w:ind w:right="195"/>
              <w:rPr>
                <w:sz w:val="14"/>
              </w:rPr>
            </w:pPr>
            <w:r>
              <w:rPr>
                <w:spacing w:val="-5"/>
                <w:sz w:val="14"/>
              </w:rPr>
              <w:t>78</w:t>
            </w:r>
          </w:p>
        </w:tc>
        <w:tc>
          <w:tcPr>
            <w:tcW w:w="677" w:type="dxa"/>
            <w:tcBorders>
              <w:bottom w:val="single" w:sz="12" w:space="0" w:color="000000"/>
            </w:tcBorders>
          </w:tcPr>
          <w:p>
            <w:pPr>
              <w:pStyle w:val="TableParagraph"/>
              <w:spacing w:before="20"/>
              <w:ind w:right="132"/>
              <w:rPr>
                <w:sz w:val="14"/>
              </w:rPr>
            </w:pPr>
            <w:r>
              <w:rPr>
                <w:spacing w:val="-5"/>
                <w:sz w:val="14"/>
              </w:rPr>
              <w:t>79</w:t>
            </w:r>
          </w:p>
        </w:tc>
        <w:tc>
          <w:tcPr>
            <w:tcW w:w="525" w:type="dxa"/>
            <w:tcBorders>
              <w:bottom w:val="single" w:sz="12" w:space="0" w:color="000000"/>
            </w:tcBorders>
          </w:tcPr>
          <w:p>
            <w:pPr>
              <w:pStyle w:val="TableParagraph"/>
              <w:spacing w:before="20"/>
              <w:ind w:right="62"/>
              <w:rPr>
                <w:sz w:val="14"/>
              </w:rPr>
            </w:pPr>
            <w:r>
              <w:rPr>
                <w:spacing w:val="-5"/>
                <w:sz w:val="14"/>
              </w:rPr>
              <w:t>24</w:t>
            </w:r>
          </w:p>
        </w:tc>
        <w:tc>
          <w:tcPr>
            <w:tcW w:w="792" w:type="dxa"/>
            <w:tcBorders>
              <w:bottom w:val="single" w:sz="12" w:space="0" w:color="000000"/>
            </w:tcBorders>
          </w:tcPr>
          <w:p>
            <w:pPr>
              <w:pStyle w:val="TableParagraph"/>
              <w:spacing w:before="20"/>
              <w:ind w:right="119"/>
              <w:rPr>
                <w:i/>
                <w:sz w:val="14"/>
              </w:rPr>
            </w:pPr>
            <w:r>
              <w:rPr>
                <w:i/>
                <w:spacing w:val="-5"/>
                <w:sz w:val="14"/>
              </w:rPr>
              <w:t>242</w:t>
            </w:r>
          </w:p>
        </w:tc>
        <w:tc>
          <w:tcPr>
            <w:tcW w:w="567" w:type="dxa"/>
            <w:tcBorders>
              <w:bottom w:val="single" w:sz="12" w:space="0" w:color="000000"/>
            </w:tcBorders>
          </w:tcPr>
          <w:p>
            <w:pPr>
              <w:pStyle w:val="TableParagraph"/>
              <w:spacing w:before="20"/>
              <w:ind w:right="97"/>
              <w:rPr>
                <w:sz w:val="14"/>
              </w:rPr>
            </w:pPr>
            <w:r>
              <w:rPr>
                <w:w w:val="99"/>
                <w:sz w:val="14"/>
              </w:rPr>
              <w:t>-</w:t>
            </w:r>
          </w:p>
        </w:tc>
        <w:tc>
          <w:tcPr>
            <w:tcW w:w="578" w:type="dxa"/>
            <w:tcBorders>
              <w:bottom w:val="single" w:sz="12" w:space="0" w:color="000000"/>
            </w:tcBorders>
          </w:tcPr>
          <w:p>
            <w:pPr>
              <w:pStyle w:val="TableParagraph"/>
              <w:spacing w:before="20"/>
              <w:ind w:right="85"/>
              <w:rPr>
                <w:sz w:val="14"/>
              </w:rPr>
            </w:pPr>
            <w:r>
              <w:rPr>
                <w:w w:val="99"/>
                <w:sz w:val="14"/>
              </w:rPr>
              <w:t>1</w:t>
            </w:r>
          </w:p>
        </w:tc>
        <w:tc>
          <w:tcPr>
            <w:tcW w:w="562" w:type="dxa"/>
            <w:tcBorders>
              <w:bottom w:val="single" w:sz="12" w:space="0" w:color="000000"/>
            </w:tcBorders>
          </w:tcPr>
          <w:p>
            <w:pPr>
              <w:pStyle w:val="TableParagraph"/>
              <w:spacing w:before="20"/>
              <w:ind w:right="50"/>
              <w:rPr>
                <w:sz w:val="14"/>
              </w:rPr>
            </w:pPr>
            <w:r>
              <w:rPr>
                <w:spacing w:val="-5"/>
                <w:sz w:val="14"/>
              </w:rPr>
              <w:t>79</w:t>
            </w:r>
          </w:p>
        </w:tc>
        <w:tc>
          <w:tcPr>
            <w:tcW w:w="787" w:type="dxa"/>
            <w:tcBorders>
              <w:bottom w:val="single" w:sz="12" w:space="0" w:color="000000"/>
            </w:tcBorders>
          </w:tcPr>
          <w:p>
            <w:pPr>
              <w:pStyle w:val="TableParagraph"/>
              <w:spacing w:before="20"/>
              <w:ind w:right="97"/>
              <w:rPr>
                <w:i/>
                <w:sz w:val="14"/>
              </w:rPr>
            </w:pPr>
            <w:r>
              <w:rPr>
                <w:i/>
                <w:spacing w:val="-5"/>
                <w:sz w:val="14"/>
              </w:rPr>
              <w:t>80</w:t>
            </w:r>
          </w:p>
        </w:tc>
        <w:tc>
          <w:tcPr>
            <w:tcW w:w="546" w:type="dxa"/>
            <w:tcBorders>
              <w:bottom w:val="single" w:sz="12" w:space="0" w:color="000000"/>
            </w:tcBorders>
          </w:tcPr>
          <w:p>
            <w:pPr>
              <w:pStyle w:val="TableParagraph"/>
              <w:spacing w:before="20"/>
              <w:ind w:right="43"/>
              <w:rPr>
                <w:b/>
                <w:sz w:val="14"/>
              </w:rPr>
            </w:pPr>
            <w:r>
              <w:rPr>
                <w:b/>
                <w:spacing w:val="-5"/>
                <w:sz w:val="14"/>
              </w:rPr>
              <w:t>322</w:t>
            </w:r>
          </w:p>
        </w:tc>
      </w:tr>
      <w:tr>
        <w:trPr>
          <w:trHeight w:val="227" w:hRule="atLeast"/>
        </w:trPr>
        <w:tc>
          <w:tcPr>
            <w:tcW w:w="1186" w:type="dxa"/>
            <w:tcBorders>
              <w:top w:val="single" w:sz="12" w:space="0" w:color="000000"/>
              <w:bottom w:val="single" w:sz="6" w:space="0" w:color="000000"/>
            </w:tcBorders>
          </w:tcPr>
          <w:p>
            <w:pPr>
              <w:pStyle w:val="TableParagraph"/>
              <w:spacing w:before="27"/>
              <w:ind w:left="67"/>
              <w:jc w:val="left"/>
              <w:rPr>
                <w:sz w:val="14"/>
              </w:rPr>
            </w:pPr>
            <w:r>
              <w:rPr>
                <w:spacing w:val="-5"/>
                <w:sz w:val="14"/>
              </w:rPr>
              <w:t>New</w:t>
            </w:r>
          </w:p>
        </w:tc>
        <w:tc>
          <w:tcPr>
            <w:tcW w:w="678" w:type="dxa"/>
            <w:tcBorders>
              <w:top w:val="single" w:sz="12" w:space="0" w:color="000000"/>
              <w:bottom w:val="single" w:sz="6" w:space="0" w:color="000000"/>
            </w:tcBorders>
          </w:tcPr>
          <w:p>
            <w:pPr>
              <w:pStyle w:val="TableParagraph"/>
              <w:spacing w:before="27"/>
              <w:ind w:right="154"/>
              <w:rPr>
                <w:sz w:val="14"/>
              </w:rPr>
            </w:pPr>
            <w:r>
              <w:rPr>
                <w:w w:val="99"/>
                <w:sz w:val="14"/>
              </w:rPr>
              <w:t>-</w:t>
            </w:r>
          </w:p>
        </w:tc>
        <w:tc>
          <w:tcPr>
            <w:tcW w:w="607" w:type="dxa"/>
            <w:tcBorders>
              <w:top w:val="single" w:sz="12" w:space="0" w:color="000000"/>
              <w:bottom w:val="single" w:sz="6" w:space="0" w:color="000000"/>
            </w:tcBorders>
          </w:tcPr>
          <w:p>
            <w:pPr>
              <w:pStyle w:val="TableParagraph"/>
              <w:spacing w:before="27"/>
              <w:ind w:right="170"/>
              <w:rPr>
                <w:sz w:val="14"/>
              </w:rPr>
            </w:pPr>
            <w:r>
              <w:rPr>
                <w:w w:val="99"/>
                <w:sz w:val="14"/>
              </w:rPr>
              <w:t>-</w:t>
            </w:r>
          </w:p>
        </w:tc>
        <w:tc>
          <w:tcPr>
            <w:tcW w:w="563" w:type="dxa"/>
            <w:tcBorders>
              <w:top w:val="single" w:sz="12" w:space="0" w:color="000000"/>
              <w:bottom w:val="single" w:sz="6" w:space="0" w:color="000000"/>
            </w:tcBorders>
          </w:tcPr>
          <w:p>
            <w:pPr>
              <w:pStyle w:val="TableParagraph"/>
              <w:spacing w:before="27"/>
              <w:ind w:right="171"/>
              <w:rPr>
                <w:sz w:val="14"/>
              </w:rPr>
            </w:pPr>
            <w:r>
              <w:rPr>
                <w:w w:val="99"/>
                <w:sz w:val="14"/>
              </w:rPr>
              <w:t>-</w:t>
            </w:r>
          </w:p>
        </w:tc>
        <w:tc>
          <w:tcPr>
            <w:tcW w:w="557" w:type="dxa"/>
            <w:tcBorders>
              <w:top w:val="single" w:sz="12" w:space="0" w:color="000000"/>
              <w:bottom w:val="single" w:sz="6" w:space="0" w:color="000000"/>
            </w:tcBorders>
          </w:tcPr>
          <w:p>
            <w:pPr>
              <w:pStyle w:val="TableParagraph"/>
              <w:spacing w:before="27"/>
              <w:ind w:right="167"/>
              <w:rPr>
                <w:sz w:val="14"/>
              </w:rPr>
            </w:pPr>
            <w:r>
              <w:rPr>
                <w:w w:val="99"/>
                <w:sz w:val="14"/>
              </w:rPr>
              <w:t>-</w:t>
            </w:r>
          </w:p>
        </w:tc>
        <w:tc>
          <w:tcPr>
            <w:tcW w:w="549" w:type="dxa"/>
            <w:tcBorders>
              <w:top w:val="single" w:sz="12" w:space="0" w:color="000000"/>
              <w:bottom w:val="single" w:sz="6" w:space="0" w:color="000000"/>
            </w:tcBorders>
          </w:tcPr>
          <w:p>
            <w:pPr>
              <w:pStyle w:val="TableParagraph"/>
              <w:spacing w:before="27"/>
              <w:ind w:left="228"/>
              <w:jc w:val="center"/>
              <w:rPr>
                <w:sz w:val="14"/>
              </w:rPr>
            </w:pPr>
            <w:r>
              <w:rPr>
                <w:w w:val="99"/>
                <w:sz w:val="14"/>
              </w:rPr>
              <w:t>-</w:t>
            </w:r>
          </w:p>
        </w:tc>
        <w:tc>
          <w:tcPr>
            <w:tcW w:w="581" w:type="dxa"/>
            <w:tcBorders>
              <w:top w:val="single" w:sz="12" w:space="0" w:color="000000"/>
              <w:bottom w:val="single" w:sz="6" w:space="0" w:color="000000"/>
            </w:tcBorders>
          </w:tcPr>
          <w:p>
            <w:pPr>
              <w:pStyle w:val="TableParagraph"/>
              <w:spacing w:before="27"/>
              <w:ind w:right="131"/>
              <w:rPr>
                <w:sz w:val="14"/>
              </w:rPr>
            </w:pPr>
            <w:r>
              <w:rPr>
                <w:w w:val="99"/>
                <w:sz w:val="14"/>
              </w:rPr>
              <w:t>1</w:t>
            </w:r>
          </w:p>
        </w:tc>
        <w:tc>
          <w:tcPr>
            <w:tcW w:w="667" w:type="dxa"/>
            <w:tcBorders>
              <w:top w:val="single" w:sz="12" w:space="0" w:color="000000"/>
              <w:bottom w:val="single" w:sz="6" w:space="0" w:color="000000"/>
            </w:tcBorders>
          </w:tcPr>
          <w:p>
            <w:pPr>
              <w:pStyle w:val="TableParagraph"/>
              <w:spacing w:before="27"/>
              <w:ind w:right="202"/>
              <w:rPr>
                <w:sz w:val="14"/>
              </w:rPr>
            </w:pPr>
            <w:r>
              <w:rPr>
                <w:w w:val="99"/>
                <w:sz w:val="14"/>
              </w:rPr>
              <w:t>7</w:t>
            </w:r>
          </w:p>
        </w:tc>
        <w:tc>
          <w:tcPr>
            <w:tcW w:w="677" w:type="dxa"/>
            <w:tcBorders>
              <w:top w:val="single" w:sz="12" w:space="0" w:color="000000"/>
              <w:bottom w:val="single" w:sz="6" w:space="0" w:color="000000"/>
            </w:tcBorders>
          </w:tcPr>
          <w:p>
            <w:pPr>
              <w:pStyle w:val="TableParagraph"/>
              <w:spacing w:before="27"/>
              <w:ind w:right="139"/>
              <w:rPr>
                <w:sz w:val="14"/>
              </w:rPr>
            </w:pPr>
            <w:r>
              <w:rPr>
                <w:w w:val="99"/>
                <w:sz w:val="14"/>
              </w:rPr>
              <w:t>8</w:t>
            </w:r>
          </w:p>
        </w:tc>
        <w:tc>
          <w:tcPr>
            <w:tcW w:w="525" w:type="dxa"/>
            <w:tcBorders>
              <w:top w:val="single" w:sz="12" w:space="0" w:color="000000"/>
              <w:bottom w:val="single" w:sz="6" w:space="0" w:color="000000"/>
            </w:tcBorders>
          </w:tcPr>
          <w:p>
            <w:pPr>
              <w:pStyle w:val="TableParagraph"/>
              <w:spacing w:before="27"/>
              <w:ind w:right="68"/>
              <w:rPr>
                <w:sz w:val="14"/>
              </w:rPr>
            </w:pPr>
            <w:r>
              <w:rPr>
                <w:w w:val="99"/>
                <w:sz w:val="14"/>
              </w:rPr>
              <w:t>-</w:t>
            </w:r>
          </w:p>
        </w:tc>
        <w:tc>
          <w:tcPr>
            <w:tcW w:w="792" w:type="dxa"/>
            <w:tcBorders>
              <w:top w:val="single" w:sz="12" w:space="0" w:color="000000"/>
              <w:bottom w:val="single" w:sz="6" w:space="0" w:color="000000"/>
            </w:tcBorders>
          </w:tcPr>
          <w:p>
            <w:pPr>
              <w:pStyle w:val="TableParagraph"/>
              <w:spacing w:before="27"/>
              <w:ind w:right="119"/>
              <w:rPr>
                <w:i/>
                <w:sz w:val="14"/>
              </w:rPr>
            </w:pPr>
            <w:r>
              <w:rPr>
                <w:i/>
                <w:spacing w:val="-5"/>
                <w:sz w:val="14"/>
              </w:rPr>
              <w:t>16</w:t>
            </w:r>
          </w:p>
        </w:tc>
        <w:tc>
          <w:tcPr>
            <w:tcW w:w="567" w:type="dxa"/>
            <w:tcBorders>
              <w:top w:val="single" w:sz="12" w:space="0" w:color="000000"/>
              <w:bottom w:val="single" w:sz="6" w:space="0" w:color="000000"/>
            </w:tcBorders>
          </w:tcPr>
          <w:p>
            <w:pPr>
              <w:pStyle w:val="TableParagraph"/>
              <w:spacing w:before="27"/>
              <w:ind w:right="97"/>
              <w:rPr>
                <w:sz w:val="14"/>
              </w:rPr>
            </w:pPr>
            <w:r>
              <w:rPr>
                <w:w w:val="99"/>
                <w:sz w:val="14"/>
              </w:rPr>
              <w:t>-</w:t>
            </w:r>
          </w:p>
        </w:tc>
        <w:tc>
          <w:tcPr>
            <w:tcW w:w="578" w:type="dxa"/>
            <w:tcBorders>
              <w:top w:val="single" w:sz="12" w:space="0" w:color="000000"/>
              <w:bottom w:val="single" w:sz="6" w:space="0" w:color="000000"/>
            </w:tcBorders>
          </w:tcPr>
          <w:p>
            <w:pPr>
              <w:pStyle w:val="TableParagraph"/>
              <w:spacing w:before="27"/>
              <w:ind w:right="84"/>
              <w:rPr>
                <w:sz w:val="14"/>
              </w:rPr>
            </w:pPr>
            <w:r>
              <w:rPr>
                <w:w w:val="99"/>
                <w:sz w:val="14"/>
              </w:rPr>
              <w:t>-</w:t>
            </w:r>
          </w:p>
        </w:tc>
        <w:tc>
          <w:tcPr>
            <w:tcW w:w="562" w:type="dxa"/>
            <w:tcBorders>
              <w:top w:val="single" w:sz="12" w:space="0" w:color="000000"/>
              <w:bottom w:val="single" w:sz="6" w:space="0" w:color="000000"/>
            </w:tcBorders>
          </w:tcPr>
          <w:p>
            <w:pPr>
              <w:pStyle w:val="TableParagraph"/>
              <w:spacing w:before="27"/>
              <w:ind w:right="57"/>
              <w:rPr>
                <w:sz w:val="14"/>
              </w:rPr>
            </w:pPr>
            <w:r>
              <w:rPr>
                <w:w w:val="99"/>
                <w:sz w:val="14"/>
              </w:rPr>
              <w:t>4</w:t>
            </w:r>
          </w:p>
        </w:tc>
        <w:tc>
          <w:tcPr>
            <w:tcW w:w="787" w:type="dxa"/>
            <w:tcBorders>
              <w:top w:val="single" w:sz="12" w:space="0" w:color="000000"/>
              <w:bottom w:val="single" w:sz="6" w:space="0" w:color="000000"/>
            </w:tcBorders>
          </w:tcPr>
          <w:p>
            <w:pPr>
              <w:pStyle w:val="TableParagraph"/>
              <w:spacing w:before="27"/>
              <w:ind w:right="104"/>
              <w:rPr>
                <w:i/>
                <w:sz w:val="14"/>
              </w:rPr>
            </w:pPr>
            <w:r>
              <w:rPr>
                <w:i/>
                <w:w w:val="99"/>
                <w:sz w:val="14"/>
              </w:rPr>
              <w:t>4</w:t>
            </w:r>
          </w:p>
        </w:tc>
        <w:tc>
          <w:tcPr>
            <w:tcW w:w="546" w:type="dxa"/>
            <w:tcBorders>
              <w:top w:val="single" w:sz="12" w:space="0" w:color="000000"/>
              <w:bottom w:val="single" w:sz="6" w:space="0" w:color="000000"/>
            </w:tcBorders>
          </w:tcPr>
          <w:p>
            <w:pPr>
              <w:pStyle w:val="TableParagraph"/>
              <w:spacing w:before="27"/>
              <w:ind w:right="43"/>
              <w:rPr>
                <w:b/>
                <w:sz w:val="14"/>
              </w:rPr>
            </w:pPr>
            <w:r>
              <w:rPr>
                <w:b/>
                <w:spacing w:val="-5"/>
                <w:sz w:val="14"/>
              </w:rPr>
              <w:t>20</w:t>
            </w:r>
          </w:p>
        </w:tc>
      </w:tr>
      <w:tr>
        <w:trPr>
          <w:trHeight w:val="222" w:hRule="atLeast"/>
        </w:trPr>
        <w:tc>
          <w:tcPr>
            <w:tcW w:w="1186" w:type="dxa"/>
            <w:tcBorders>
              <w:top w:val="single" w:sz="6" w:space="0" w:color="000000"/>
              <w:bottom w:val="single" w:sz="4" w:space="0" w:color="000000"/>
            </w:tcBorders>
          </w:tcPr>
          <w:p>
            <w:pPr>
              <w:pStyle w:val="TableParagraph"/>
              <w:spacing w:before="21"/>
              <w:ind w:left="67"/>
              <w:jc w:val="left"/>
              <w:rPr>
                <w:sz w:val="14"/>
              </w:rPr>
            </w:pPr>
            <w:r>
              <w:rPr>
                <w:spacing w:val="-2"/>
                <w:sz w:val="14"/>
              </w:rPr>
              <w:t>Redeployed</w:t>
            </w:r>
          </w:p>
        </w:tc>
        <w:tc>
          <w:tcPr>
            <w:tcW w:w="678" w:type="dxa"/>
            <w:tcBorders>
              <w:top w:val="single" w:sz="6" w:space="0" w:color="000000"/>
              <w:bottom w:val="single" w:sz="4" w:space="0" w:color="000000"/>
            </w:tcBorders>
          </w:tcPr>
          <w:p>
            <w:pPr>
              <w:pStyle w:val="TableParagraph"/>
              <w:spacing w:before="21"/>
              <w:ind w:right="154"/>
              <w:rPr>
                <w:sz w:val="14"/>
              </w:rPr>
            </w:pPr>
            <w:r>
              <w:rPr>
                <w:w w:val="99"/>
                <w:sz w:val="14"/>
              </w:rPr>
              <w:t>-</w:t>
            </w:r>
          </w:p>
        </w:tc>
        <w:tc>
          <w:tcPr>
            <w:tcW w:w="607" w:type="dxa"/>
            <w:tcBorders>
              <w:top w:val="single" w:sz="6" w:space="0" w:color="000000"/>
              <w:bottom w:val="single" w:sz="4" w:space="0" w:color="000000"/>
            </w:tcBorders>
          </w:tcPr>
          <w:p>
            <w:pPr>
              <w:pStyle w:val="TableParagraph"/>
              <w:spacing w:before="21"/>
              <w:ind w:right="170"/>
              <w:rPr>
                <w:sz w:val="14"/>
              </w:rPr>
            </w:pPr>
            <w:r>
              <w:rPr>
                <w:w w:val="99"/>
                <w:sz w:val="14"/>
              </w:rPr>
              <w:t>-</w:t>
            </w:r>
          </w:p>
        </w:tc>
        <w:tc>
          <w:tcPr>
            <w:tcW w:w="563" w:type="dxa"/>
            <w:tcBorders>
              <w:top w:val="single" w:sz="6" w:space="0" w:color="000000"/>
              <w:bottom w:val="single" w:sz="4" w:space="0" w:color="000000"/>
            </w:tcBorders>
          </w:tcPr>
          <w:p>
            <w:pPr>
              <w:pStyle w:val="TableParagraph"/>
              <w:spacing w:before="21"/>
              <w:ind w:right="171"/>
              <w:rPr>
                <w:sz w:val="14"/>
              </w:rPr>
            </w:pPr>
            <w:r>
              <w:rPr>
                <w:w w:val="99"/>
                <w:sz w:val="14"/>
              </w:rPr>
              <w:t>-</w:t>
            </w:r>
          </w:p>
        </w:tc>
        <w:tc>
          <w:tcPr>
            <w:tcW w:w="557" w:type="dxa"/>
            <w:tcBorders>
              <w:top w:val="single" w:sz="6" w:space="0" w:color="000000"/>
              <w:bottom w:val="single" w:sz="4" w:space="0" w:color="000000"/>
            </w:tcBorders>
          </w:tcPr>
          <w:p>
            <w:pPr>
              <w:pStyle w:val="TableParagraph"/>
              <w:spacing w:before="21"/>
              <w:ind w:right="167"/>
              <w:rPr>
                <w:sz w:val="14"/>
              </w:rPr>
            </w:pPr>
            <w:r>
              <w:rPr>
                <w:w w:val="99"/>
                <w:sz w:val="14"/>
              </w:rPr>
              <w:t>-</w:t>
            </w:r>
          </w:p>
        </w:tc>
        <w:tc>
          <w:tcPr>
            <w:tcW w:w="549" w:type="dxa"/>
            <w:tcBorders>
              <w:top w:val="single" w:sz="6" w:space="0" w:color="000000"/>
              <w:bottom w:val="single" w:sz="4" w:space="0" w:color="000000"/>
            </w:tcBorders>
          </w:tcPr>
          <w:p>
            <w:pPr>
              <w:pStyle w:val="TableParagraph"/>
              <w:spacing w:before="21"/>
              <w:ind w:left="228"/>
              <w:jc w:val="center"/>
              <w:rPr>
                <w:sz w:val="14"/>
              </w:rPr>
            </w:pPr>
            <w:r>
              <w:rPr>
                <w:w w:val="99"/>
                <w:sz w:val="14"/>
              </w:rPr>
              <w:t>-</w:t>
            </w:r>
          </w:p>
        </w:tc>
        <w:tc>
          <w:tcPr>
            <w:tcW w:w="581" w:type="dxa"/>
            <w:tcBorders>
              <w:top w:val="single" w:sz="6" w:space="0" w:color="000000"/>
              <w:bottom w:val="single" w:sz="4" w:space="0" w:color="000000"/>
            </w:tcBorders>
          </w:tcPr>
          <w:p>
            <w:pPr>
              <w:pStyle w:val="TableParagraph"/>
              <w:spacing w:before="21"/>
              <w:ind w:right="130"/>
              <w:rPr>
                <w:sz w:val="14"/>
              </w:rPr>
            </w:pPr>
            <w:r>
              <w:rPr>
                <w:w w:val="99"/>
                <w:sz w:val="14"/>
              </w:rPr>
              <w:t>-</w:t>
            </w:r>
          </w:p>
        </w:tc>
        <w:tc>
          <w:tcPr>
            <w:tcW w:w="667" w:type="dxa"/>
            <w:tcBorders>
              <w:top w:val="single" w:sz="6" w:space="0" w:color="000000"/>
              <w:bottom w:val="single" w:sz="4" w:space="0" w:color="000000"/>
            </w:tcBorders>
          </w:tcPr>
          <w:p>
            <w:pPr>
              <w:pStyle w:val="TableParagraph"/>
              <w:spacing w:before="21"/>
              <w:ind w:right="201"/>
              <w:rPr>
                <w:sz w:val="14"/>
              </w:rPr>
            </w:pPr>
            <w:r>
              <w:rPr>
                <w:w w:val="99"/>
                <w:sz w:val="14"/>
              </w:rPr>
              <w:t>-</w:t>
            </w:r>
          </w:p>
        </w:tc>
        <w:tc>
          <w:tcPr>
            <w:tcW w:w="677" w:type="dxa"/>
            <w:tcBorders>
              <w:top w:val="single" w:sz="6" w:space="0" w:color="000000"/>
              <w:bottom w:val="single" w:sz="4" w:space="0" w:color="000000"/>
            </w:tcBorders>
          </w:tcPr>
          <w:p>
            <w:pPr>
              <w:pStyle w:val="TableParagraph"/>
              <w:spacing w:before="21"/>
              <w:ind w:right="139"/>
              <w:rPr>
                <w:sz w:val="14"/>
              </w:rPr>
            </w:pPr>
            <w:r>
              <w:rPr>
                <w:w w:val="99"/>
                <w:sz w:val="14"/>
              </w:rPr>
              <w:t>-</w:t>
            </w:r>
          </w:p>
        </w:tc>
        <w:tc>
          <w:tcPr>
            <w:tcW w:w="525" w:type="dxa"/>
            <w:tcBorders>
              <w:top w:val="single" w:sz="6" w:space="0" w:color="000000"/>
              <w:bottom w:val="single" w:sz="4" w:space="0" w:color="000000"/>
            </w:tcBorders>
          </w:tcPr>
          <w:p>
            <w:pPr>
              <w:pStyle w:val="TableParagraph"/>
              <w:spacing w:before="21"/>
              <w:ind w:right="69"/>
              <w:rPr>
                <w:sz w:val="14"/>
              </w:rPr>
            </w:pPr>
            <w:r>
              <w:rPr>
                <w:w w:val="99"/>
                <w:sz w:val="14"/>
              </w:rPr>
              <w:t>1</w:t>
            </w:r>
          </w:p>
        </w:tc>
        <w:tc>
          <w:tcPr>
            <w:tcW w:w="792" w:type="dxa"/>
            <w:tcBorders>
              <w:top w:val="single" w:sz="6" w:space="0" w:color="000000"/>
              <w:bottom w:val="single" w:sz="4" w:space="0" w:color="000000"/>
            </w:tcBorders>
          </w:tcPr>
          <w:p>
            <w:pPr>
              <w:pStyle w:val="TableParagraph"/>
              <w:spacing w:before="21"/>
              <w:ind w:right="126"/>
              <w:rPr>
                <w:i/>
                <w:sz w:val="14"/>
              </w:rPr>
            </w:pPr>
            <w:r>
              <w:rPr>
                <w:i/>
                <w:w w:val="99"/>
                <w:sz w:val="14"/>
              </w:rPr>
              <w:t>1</w:t>
            </w:r>
          </w:p>
        </w:tc>
        <w:tc>
          <w:tcPr>
            <w:tcW w:w="567" w:type="dxa"/>
            <w:tcBorders>
              <w:top w:val="single" w:sz="6" w:space="0" w:color="000000"/>
              <w:bottom w:val="single" w:sz="4" w:space="0" w:color="000000"/>
            </w:tcBorders>
          </w:tcPr>
          <w:p>
            <w:pPr>
              <w:pStyle w:val="TableParagraph"/>
              <w:spacing w:before="21"/>
              <w:ind w:right="97"/>
              <w:rPr>
                <w:sz w:val="14"/>
              </w:rPr>
            </w:pPr>
            <w:r>
              <w:rPr>
                <w:w w:val="99"/>
                <w:sz w:val="14"/>
              </w:rPr>
              <w:t>-</w:t>
            </w:r>
          </w:p>
        </w:tc>
        <w:tc>
          <w:tcPr>
            <w:tcW w:w="578" w:type="dxa"/>
            <w:tcBorders>
              <w:top w:val="single" w:sz="6" w:space="0" w:color="000000"/>
              <w:bottom w:val="single" w:sz="4" w:space="0" w:color="000000"/>
            </w:tcBorders>
          </w:tcPr>
          <w:p>
            <w:pPr>
              <w:pStyle w:val="TableParagraph"/>
              <w:spacing w:before="21"/>
              <w:ind w:right="84"/>
              <w:rPr>
                <w:sz w:val="14"/>
              </w:rPr>
            </w:pPr>
            <w:r>
              <w:rPr>
                <w:w w:val="99"/>
                <w:sz w:val="14"/>
              </w:rPr>
              <w:t>-</w:t>
            </w:r>
          </w:p>
        </w:tc>
        <w:tc>
          <w:tcPr>
            <w:tcW w:w="562" w:type="dxa"/>
            <w:tcBorders>
              <w:top w:val="single" w:sz="6" w:space="0" w:color="000000"/>
              <w:bottom w:val="single" w:sz="4" w:space="0" w:color="000000"/>
            </w:tcBorders>
          </w:tcPr>
          <w:p>
            <w:pPr>
              <w:pStyle w:val="TableParagraph"/>
              <w:spacing w:before="21"/>
              <w:ind w:right="56"/>
              <w:rPr>
                <w:sz w:val="14"/>
              </w:rPr>
            </w:pPr>
            <w:r>
              <w:rPr>
                <w:w w:val="99"/>
                <w:sz w:val="14"/>
              </w:rPr>
              <w:t>-</w:t>
            </w:r>
          </w:p>
        </w:tc>
        <w:tc>
          <w:tcPr>
            <w:tcW w:w="787" w:type="dxa"/>
            <w:tcBorders>
              <w:top w:val="single" w:sz="6" w:space="0" w:color="000000"/>
              <w:bottom w:val="single" w:sz="4" w:space="0" w:color="000000"/>
            </w:tcBorders>
          </w:tcPr>
          <w:p>
            <w:pPr>
              <w:pStyle w:val="TableParagraph"/>
              <w:spacing w:before="21"/>
              <w:ind w:right="103"/>
              <w:rPr>
                <w:i/>
                <w:sz w:val="14"/>
              </w:rPr>
            </w:pPr>
            <w:r>
              <w:rPr>
                <w:i/>
                <w:w w:val="99"/>
                <w:sz w:val="14"/>
              </w:rPr>
              <w:t>-</w:t>
            </w:r>
          </w:p>
        </w:tc>
        <w:tc>
          <w:tcPr>
            <w:tcW w:w="546" w:type="dxa"/>
            <w:tcBorders>
              <w:top w:val="single" w:sz="6" w:space="0" w:color="000000"/>
              <w:bottom w:val="single" w:sz="4" w:space="0" w:color="000000"/>
            </w:tcBorders>
          </w:tcPr>
          <w:p>
            <w:pPr>
              <w:pStyle w:val="TableParagraph"/>
              <w:spacing w:before="21"/>
              <w:ind w:right="50"/>
              <w:rPr>
                <w:b/>
                <w:sz w:val="14"/>
              </w:rPr>
            </w:pPr>
            <w:r>
              <w:rPr>
                <w:b/>
                <w:w w:val="99"/>
                <w:sz w:val="14"/>
              </w:rPr>
              <w:t>1</w:t>
            </w:r>
          </w:p>
        </w:tc>
      </w:tr>
      <w:tr>
        <w:trPr>
          <w:trHeight w:val="225" w:hRule="atLeast"/>
        </w:trPr>
        <w:tc>
          <w:tcPr>
            <w:tcW w:w="1186" w:type="dxa"/>
            <w:tcBorders>
              <w:top w:val="single" w:sz="4" w:space="0" w:color="000000"/>
              <w:bottom w:val="single" w:sz="4" w:space="0" w:color="000000"/>
            </w:tcBorders>
          </w:tcPr>
          <w:p>
            <w:pPr>
              <w:pStyle w:val="TableParagraph"/>
              <w:spacing w:before="28"/>
              <w:ind w:left="67"/>
              <w:jc w:val="left"/>
              <w:rPr>
                <w:sz w:val="14"/>
              </w:rPr>
            </w:pPr>
            <w:r>
              <w:rPr>
                <w:spacing w:val="-2"/>
                <w:sz w:val="14"/>
              </w:rPr>
              <w:t>Reclassified</w:t>
            </w:r>
          </w:p>
        </w:tc>
        <w:tc>
          <w:tcPr>
            <w:tcW w:w="678" w:type="dxa"/>
            <w:tcBorders>
              <w:top w:val="single" w:sz="4" w:space="0" w:color="000000"/>
              <w:bottom w:val="single" w:sz="4" w:space="0" w:color="000000"/>
            </w:tcBorders>
          </w:tcPr>
          <w:p>
            <w:pPr>
              <w:pStyle w:val="TableParagraph"/>
              <w:spacing w:before="28"/>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8"/>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8"/>
              <w:ind w:right="171"/>
              <w:rPr>
                <w:sz w:val="14"/>
              </w:rPr>
            </w:pPr>
            <w:r>
              <w:rPr>
                <w:w w:val="99"/>
                <w:sz w:val="14"/>
              </w:rPr>
              <w:t>-</w:t>
            </w:r>
          </w:p>
        </w:tc>
        <w:tc>
          <w:tcPr>
            <w:tcW w:w="557" w:type="dxa"/>
            <w:tcBorders>
              <w:top w:val="single" w:sz="4" w:space="0" w:color="000000"/>
              <w:bottom w:val="single" w:sz="4" w:space="0" w:color="000000"/>
            </w:tcBorders>
          </w:tcPr>
          <w:p>
            <w:pPr>
              <w:pStyle w:val="TableParagraph"/>
              <w:spacing w:before="28"/>
              <w:ind w:right="167"/>
              <w:rPr>
                <w:sz w:val="14"/>
              </w:rPr>
            </w:pPr>
            <w:r>
              <w:rPr>
                <w:w w:val="99"/>
                <w:sz w:val="14"/>
              </w:rPr>
              <w:t>-</w:t>
            </w:r>
          </w:p>
        </w:tc>
        <w:tc>
          <w:tcPr>
            <w:tcW w:w="549" w:type="dxa"/>
            <w:tcBorders>
              <w:top w:val="single" w:sz="4" w:space="0" w:color="000000"/>
              <w:bottom w:val="single" w:sz="4" w:space="0" w:color="000000"/>
            </w:tcBorders>
          </w:tcPr>
          <w:p>
            <w:pPr>
              <w:pStyle w:val="TableParagraph"/>
              <w:spacing w:before="28"/>
              <w:ind w:left="228"/>
              <w:jc w:val="center"/>
              <w:rPr>
                <w:sz w:val="14"/>
              </w:rPr>
            </w:pPr>
            <w:r>
              <w:rPr>
                <w:w w:val="99"/>
                <w:sz w:val="14"/>
              </w:rPr>
              <w:t>-</w:t>
            </w:r>
          </w:p>
        </w:tc>
        <w:tc>
          <w:tcPr>
            <w:tcW w:w="581" w:type="dxa"/>
            <w:tcBorders>
              <w:top w:val="single" w:sz="4" w:space="0" w:color="000000"/>
              <w:bottom w:val="single" w:sz="4" w:space="0" w:color="000000"/>
            </w:tcBorders>
          </w:tcPr>
          <w:p>
            <w:pPr>
              <w:pStyle w:val="TableParagraph"/>
              <w:spacing w:before="28"/>
              <w:ind w:right="130"/>
              <w:rPr>
                <w:sz w:val="14"/>
              </w:rPr>
            </w:pPr>
            <w:r>
              <w:rPr>
                <w:w w:val="99"/>
                <w:sz w:val="14"/>
              </w:rPr>
              <w:t>-</w:t>
            </w:r>
          </w:p>
        </w:tc>
        <w:tc>
          <w:tcPr>
            <w:tcW w:w="667" w:type="dxa"/>
            <w:tcBorders>
              <w:top w:val="single" w:sz="4" w:space="0" w:color="000000"/>
              <w:bottom w:val="single" w:sz="4" w:space="0" w:color="000000"/>
            </w:tcBorders>
          </w:tcPr>
          <w:p>
            <w:pPr>
              <w:pStyle w:val="TableParagraph"/>
              <w:spacing w:before="28"/>
              <w:ind w:right="201"/>
              <w:rPr>
                <w:sz w:val="14"/>
              </w:rPr>
            </w:pPr>
            <w:r>
              <w:rPr>
                <w:w w:val="99"/>
                <w:sz w:val="14"/>
              </w:rPr>
              <w:t>-</w:t>
            </w:r>
          </w:p>
        </w:tc>
        <w:tc>
          <w:tcPr>
            <w:tcW w:w="677" w:type="dxa"/>
            <w:tcBorders>
              <w:top w:val="single" w:sz="4" w:space="0" w:color="000000"/>
              <w:bottom w:val="single" w:sz="4" w:space="0" w:color="000000"/>
            </w:tcBorders>
          </w:tcPr>
          <w:p>
            <w:pPr>
              <w:pStyle w:val="TableParagraph"/>
              <w:spacing w:before="28"/>
              <w:ind w:right="139"/>
              <w:rPr>
                <w:sz w:val="14"/>
              </w:rPr>
            </w:pPr>
            <w:r>
              <w:rPr>
                <w:w w:val="99"/>
                <w:sz w:val="14"/>
              </w:rPr>
              <w:t>-</w:t>
            </w:r>
          </w:p>
        </w:tc>
        <w:tc>
          <w:tcPr>
            <w:tcW w:w="525" w:type="dxa"/>
            <w:tcBorders>
              <w:top w:val="single" w:sz="4" w:space="0" w:color="000000"/>
              <w:bottom w:val="single" w:sz="4" w:space="0" w:color="000000"/>
            </w:tcBorders>
          </w:tcPr>
          <w:p>
            <w:pPr>
              <w:pStyle w:val="TableParagraph"/>
              <w:spacing w:before="28"/>
              <w:ind w:right="68"/>
              <w:rPr>
                <w:sz w:val="14"/>
              </w:rPr>
            </w:pPr>
            <w:r>
              <w:rPr>
                <w:w w:val="99"/>
                <w:sz w:val="14"/>
              </w:rPr>
              <w:t>-</w:t>
            </w:r>
          </w:p>
        </w:tc>
        <w:tc>
          <w:tcPr>
            <w:tcW w:w="792" w:type="dxa"/>
            <w:tcBorders>
              <w:top w:val="single" w:sz="4" w:space="0" w:color="000000"/>
              <w:bottom w:val="single" w:sz="4" w:space="0" w:color="000000"/>
            </w:tcBorders>
          </w:tcPr>
          <w:p>
            <w:pPr>
              <w:pStyle w:val="TableParagraph"/>
              <w:spacing w:before="28"/>
              <w:ind w:right="125"/>
              <w:rPr>
                <w:i/>
                <w:sz w:val="14"/>
              </w:rPr>
            </w:pPr>
            <w:r>
              <w:rPr>
                <w:i/>
                <w:w w:val="99"/>
                <w:sz w:val="14"/>
              </w:rPr>
              <w:t>-</w:t>
            </w:r>
          </w:p>
        </w:tc>
        <w:tc>
          <w:tcPr>
            <w:tcW w:w="567" w:type="dxa"/>
            <w:tcBorders>
              <w:top w:val="single" w:sz="4" w:space="0" w:color="000000"/>
              <w:bottom w:val="single" w:sz="4" w:space="0" w:color="000000"/>
            </w:tcBorders>
          </w:tcPr>
          <w:p>
            <w:pPr>
              <w:pStyle w:val="TableParagraph"/>
              <w:spacing w:before="28"/>
              <w:ind w:right="97"/>
              <w:rPr>
                <w:sz w:val="14"/>
              </w:rPr>
            </w:pPr>
            <w:r>
              <w:rPr>
                <w:w w:val="99"/>
                <w:sz w:val="14"/>
              </w:rPr>
              <w:t>-</w:t>
            </w:r>
          </w:p>
        </w:tc>
        <w:tc>
          <w:tcPr>
            <w:tcW w:w="578" w:type="dxa"/>
            <w:tcBorders>
              <w:top w:val="single" w:sz="4" w:space="0" w:color="000000"/>
              <w:bottom w:val="single" w:sz="4" w:space="0" w:color="000000"/>
            </w:tcBorders>
          </w:tcPr>
          <w:p>
            <w:pPr>
              <w:pStyle w:val="TableParagraph"/>
              <w:spacing w:before="28"/>
              <w:ind w:right="84"/>
              <w:rPr>
                <w:sz w:val="14"/>
              </w:rPr>
            </w:pPr>
            <w:r>
              <w:rPr>
                <w:w w:val="99"/>
                <w:sz w:val="14"/>
              </w:rPr>
              <w:t>-</w:t>
            </w:r>
          </w:p>
        </w:tc>
        <w:tc>
          <w:tcPr>
            <w:tcW w:w="562" w:type="dxa"/>
            <w:tcBorders>
              <w:top w:val="single" w:sz="4" w:space="0" w:color="000000"/>
              <w:bottom w:val="single" w:sz="4" w:space="0" w:color="000000"/>
            </w:tcBorders>
          </w:tcPr>
          <w:p>
            <w:pPr>
              <w:pStyle w:val="TableParagraph"/>
              <w:spacing w:before="28"/>
              <w:ind w:right="56"/>
              <w:rPr>
                <w:sz w:val="14"/>
              </w:rPr>
            </w:pPr>
            <w:r>
              <w:rPr>
                <w:w w:val="99"/>
                <w:sz w:val="14"/>
              </w:rPr>
              <w:t>-</w:t>
            </w:r>
          </w:p>
        </w:tc>
        <w:tc>
          <w:tcPr>
            <w:tcW w:w="787" w:type="dxa"/>
            <w:tcBorders>
              <w:top w:val="single" w:sz="4" w:space="0" w:color="000000"/>
              <w:bottom w:val="single" w:sz="4" w:space="0" w:color="000000"/>
            </w:tcBorders>
          </w:tcPr>
          <w:p>
            <w:pPr>
              <w:pStyle w:val="TableParagraph"/>
              <w:spacing w:before="28"/>
              <w:ind w:right="103"/>
              <w:rPr>
                <w:i/>
                <w:sz w:val="14"/>
              </w:rPr>
            </w:pPr>
            <w:r>
              <w:rPr>
                <w:i/>
                <w:w w:val="99"/>
                <w:sz w:val="14"/>
              </w:rPr>
              <w:t>-</w:t>
            </w:r>
          </w:p>
        </w:tc>
        <w:tc>
          <w:tcPr>
            <w:tcW w:w="546" w:type="dxa"/>
            <w:tcBorders>
              <w:top w:val="single" w:sz="4" w:space="0" w:color="000000"/>
              <w:bottom w:val="single" w:sz="4" w:space="0" w:color="000000"/>
            </w:tcBorders>
          </w:tcPr>
          <w:p>
            <w:pPr>
              <w:pStyle w:val="TableParagraph"/>
              <w:spacing w:before="28"/>
              <w:ind w:right="49"/>
              <w:rPr>
                <w:b/>
                <w:sz w:val="14"/>
              </w:rPr>
            </w:pPr>
            <w:r>
              <w:rPr>
                <w:b/>
                <w:w w:val="99"/>
                <w:sz w:val="14"/>
              </w:rPr>
              <w:t>-</w:t>
            </w:r>
          </w:p>
        </w:tc>
      </w:tr>
      <w:tr>
        <w:trPr>
          <w:trHeight w:val="230" w:hRule="atLeast"/>
        </w:trPr>
        <w:tc>
          <w:tcPr>
            <w:tcW w:w="1186" w:type="dxa"/>
            <w:tcBorders>
              <w:top w:val="single" w:sz="4" w:space="0" w:color="000000"/>
              <w:bottom w:val="single" w:sz="4" w:space="0" w:color="000000"/>
            </w:tcBorders>
          </w:tcPr>
          <w:p>
            <w:pPr>
              <w:pStyle w:val="TableParagraph"/>
              <w:spacing w:before="28"/>
              <w:ind w:left="67"/>
              <w:jc w:val="left"/>
              <w:rPr>
                <w:sz w:val="14"/>
              </w:rPr>
            </w:pPr>
            <w:r>
              <w:rPr>
                <w:spacing w:val="-2"/>
                <w:sz w:val="14"/>
              </w:rPr>
              <w:t>Returned</w:t>
            </w:r>
          </w:p>
        </w:tc>
        <w:tc>
          <w:tcPr>
            <w:tcW w:w="678" w:type="dxa"/>
            <w:tcBorders>
              <w:top w:val="single" w:sz="4" w:space="0" w:color="000000"/>
              <w:bottom w:val="single" w:sz="4" w:space="0" w:color="000000"/>
            </w:tcBorders>
          </w:tcPr>
          <w:p>
            <w:pPr>
              <w:pStyle w:val="TableParagraph"/>
              <w:spacing w:before="28"/>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8"/>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8"/>
              <w:ind w:right="171"/>
              <w:rPr>
                <w:sz w:val="14"/>
              </w:rPr>
            </w:pPr>
            <w:r>
              <w:rPr>
                <w:w w:val="99"/>
                <w:sz w:val="14"/>
              </w:rPr>
              <w:t>-</w:t>
            </w:r>
          </w:p>
        </w:tc>
        <w:tc>
          <w:tcPr>
            <w:tcW w:w="557" w:type="dxa"/>
            <w:tcBorders>
              <w:top w:val="single" w:sz="4" w:space="0" w:color="000000"/>
              <w:bottom w:val="single" w:sz="4" w:space="0" w:color="000000"/>
            </w:tcBorders>
          </w:tcPr>
          <w:p>
            <w:pPr>
              <w:pStyle w:val="TableParagraph"/>
              <w:spacing w:before="28"/>
              <w:ind w:right="167"/>
              <w:rPr>
                <w:sz w:val="14"/>
              </w:rPr>
            </w:pPr>
            <w:r>
              <w:rPr>
                <w:w w:val="99"/>
                <w:sz w:val="14"/>
              </w:rPr>
              <w:t>-</w:t>
            </w:r>
          </w:p>
        </w:tc>
        <w:tc>
          <w:tcPr>
            <w:tcW w:w="549" w:type="dxa"/>
            <w:tcBorders>
              <w:top w:val="single" w:sz="4" w:space="0" w:color="000000"/>
              <w:bottom w:val="single" w:sz="4" w:space="0" w:color="000000"/>
            </w:tcBorders>
          </w:tcPr>
          <w:p>
            <w:pPr>
              <w:pStyle w:val="TableParagraph"/>
              <w:spacing w:before="28"/>
              <w:ind w:left="228"/>
              <w:jc w:val="center"/>
              <w:rPr>
                <w:sz w:val="14"/>
              </w:rPr>
            </w:pPr>
            <w:r>
              <w:rPr>
                <w:w w:val="99"/>
                <w:sz w:val="14"/>
              </w:rPr>
              <w:t>-</w:t>
            </w:r>
          </w:p>
        </w:tc>
        <w:tc>
          <w:tcPr>
            <w:tcW w:w="581" w:type="dxa"/>
            <w:tcBorders>
              <w:top w:val="single" w:sz="4" w:space="0" w:color="000000"/>
              <w:bottom w:val="single" w:sz="4" w:space="0" w:color="000000"/>
            </w:tcBorders>
          </w:tcPr>
          <w:p>
            <w:pPr>
              <w:pStyle w:val="TableParagraph"/>
              <w:spacing w:before="28"/>
              <w:ind w:right="130"/>
              <w:rPr>
                <w:sz w:val="14"/>
              </w:rPr>
            </w:pPr>
            <w:r>
              <w:rPr>
                <w:w w:val="99"/>
                <w:sz w:val="14"/>
              </w:rPr>
              <w:t>-</w:t>
            </w:r>
          </w:p>
        </w:tc>
        <w:tc>
          <w:tcPr>
            <w:tcW w:w="667" w:type="dxa"/>
            <w:tcBorders>
              <w:top w:val="single" w:sz="4" w:space="0" w:color="000000"/>
              <w:bottom w:val="single" w:sz="4" w:space="0" w:color="000000"/>
            </w:tcBorders>
          </w:tcPr>
          <w:p>
            <w:pPr>
              <w:pStyle w:val="TableParagraph"/>
              <w:spacing w:before="28"/>
              <w:ind w:right="201"/>
              <w:rPr>
                <w:sz w:val="14"/>
              </w:rPr>
            </w:pPr>
            <w:r>
              <w:rPr>
                <w:w w:val="99"/>
                <w:sz w:val="14"/>
              </w:rPr>
              <w:t>-</w:t>
            </w:r>
          </w:p>
        </w:tc>
        <w:tc>
          <w:tcPr>
            <w:tcW w:w="677" w:type="dxa"/>
            <w:tcBorders>
              <w:top w:val="single" w:sz="4" w:space="0" w:color="000000"/>
              <w:bottom w:val="single" w:sz="4" w:space="0" w:color="000000"/>
            </w:tcBorders>
          </w:tcPr>
          <w:p>
            <w:pPr>
              <w:pStyle w:val="TableParagraph"/>
              <w:spacing w:before="28"/>
              <w:ind w:right="139"/>
              <w:rPr>
                <w:sz w:val="14"/>
              </w:rPr>
            </w:pPr>
            <w:r>
              <w:rPr>
                <w:w w:val="99"/>
                <w:sz w:val="14"/>
              </w:rPr>
              <w:t>-</w:t>
            </w:r>
          </w:p>
        </w:tc>
        <w:tc>
          <w:tcPr>
            <w:tcW w:w="525" w:type="dxa"/>
            <w:tcBorders>
              <w:top w:val="single" w:sz="4" w:space="0" w:color="000000"/>
              <w:bottom w:val="single" w:sz="4" w:space="0" w:color="000000"/>
            </w:tcBorders>
          </w:tcPr>
          <w:p>
            <w:pPr>
              <w:pStyle w:val="TableParagraph"/>
              <w:spacing w:before="28"/>
              <w:ind w:right="68"/>
              <w:rPr>
                <w:sz w:val="14"/>
              </w:rPr>
            </w:pPr>
            <w:r>
              <w:rPr>
                <w:w w:val="99"/>
                <w:sz w:val="14"/>
              </w:rPr>
              <w:t>-</w:t>
            </w:r>
          </w:p>
        </w:tc>
        <w:tc>
          <w:tcPr>
            <w:tcW w:w="792" w:type="dxa"/>
            <w:tcBorders>
              <w:top w:val="single" w:sz="4" w:space="0" w:color="000000"/>
              <w:bottom w:val="single" w:sz="4" w:space="0" w:color="000000"/>
            </w:tcBorders>
          </w:tcPr>
          <w:p>
            <w:pPr>
              <w:pStyle w:val="TableParagraph"/>
              <w:spacing w:before="28"/>
              <w:ind w:right="125"/>
              <w:rPr>
                <w:i/>
                <w:sz w:val="14"/>
              </w:rPr>
            </w:pPr>
            <w:r>
              <w:rPr>
                <w:i/>
                <w:w w:val="99"/>
                <w:sz w:val="14"/>
              </w:rPr>
              <w:t>-</w:t>
            </w:r>
          </w:p>
        </w:tc>
        <w:tc>
          <w:tcPr>
            <w:tcW w:w="567" w:type="dxa"/>
            <w:tcBorders>
              <w:top w:val="single" w:sz="4" w:space="0" w:color="000000"/>
              <w:bottom w:val="single" w:sz="4" w:space="0" w:color="000000"/>
            </w:tcBorders>
          </w:tcPr>
          <w:p>
            <w:pPr>
              <w:pStyle w:val="TableParagraph"/>
              <w:spacing w:before="28"/>
              <w:ind w:right="97"/>
              <w:rPr>
                <w:sz w:val="14"/>
              </w:rPr>
            </w:pPr>
            <w:r>
              <w:rPr>
                <w:w w:val="99"/>
                <w:sz w:val="14"/>
              </w:rPr>
              <w:t>-</w:t>
            </w:r>
          </w:p>
        </w:tc>
        <w:tc>
          <w:tcPr>
            <w:tcW w:w="578" w:type="dxa"/>
            <w:tcBorders>
              <w:top w:val="single" w:sz="4" w:space="0" w:color="000000"/>
              <w:bottom w:val="single" w:sz="4" w:space="0" w:color="000000"/>
            </w:tcBorders>
          </w:tcPr>
          <w:p>
            <w:pPr>
              <w:pStyle w:val="TableParagraph"/>
              <w:spacing w:before="28"/>
              <w:ind w:right="84"/>
              <w:rPr>
                <w:sz w:val="14"/>
              </w:rPr>
            </w:pPr>
            <w:r>
              <w:rPr>
                <w:w w:val="99"/>
                <w:sz w:val="14"/>
              </w:rPr>
              <w:t>-</w:t>
            </w:r>
          </w:p>
        </w:tc>
        <w:tc>
          <w:tcPr>
            <w:tcW w:w="562" w:type="dxa"/>
            <w:tcBorders>
              <w:top w:val="single" w:sz="4" w:space="0" w:color="000000"/>
              <w:bottom w:val="single" w:sz="4" w:space="0" w:color="000000"/>
            </w:tcBorders>
          </w:tcPr>
          <w:p>
            <w:pPr>
              <w:pStyle w:val="TableParagraph"/>
              <w:spacing w:before="28"/>
              <w:ind w:right="56"/>
              <w:rPr>
                <w:sz w:val="14"/>
              </w:rPr>
            </w:pPr>
            <w:r>
              <w:rPr>
                <w:w w:val="99"/>
                <w:sz w:val="14"/>
              </w:rPr>
              <w:t>-</w:t>
            </w:r>
          </w:p>
        </w:tc>
        <w:tc>
          <w:tcPr>
            <w:tcW w:w="787" w:type="dxa"/>
            <w:tcBorders>
              <w:top w:val="single" w:sz="4" w:space="0" w:color="000000"/>
              <w:bottom w:val="single" w:sz="4" w:space="0" w:color="000000"/>
            </w:tcBorders>
          </w:tcPr>
          <w:p>
            <w:pPr>
              <w:pStyle w:val="TableParagraph"/>
              <w:spacing w:before="28"/>
              <w:ind w:right="103"/>
              <w:rPr>
                <w:i/>
                <w:sz w:val="14"/>
              </w:rPr>
            </w:pPr>
            <w:r>
              <w:rPr>
                <w:i/>
                <w:w w:val="99"/>
                <w:sz w:val="14"/>
              </w:rPr>
              <w:t>-</w:t>
            </w:r>
          </w:p>
        </w:tc>
        <w:tc>
          <w:tcPr>
            <w:tcW w:w="546" w:type="dxa"/>
            <w:tcBorders>
              <w:top w:val="single" w:sz="4" w:space="0" w:color="000000"/>
              <w:bottom w:val="single" w:sz="4" w:space="0" w:color="000000"/>
            </w:tcBorders>
          </w:tcPr>
          <w:p>
            <w:pPr>
              <w:pStyle w:val="TableParagraph"/>
              <w:spacing w:before="28"/>
              <w:ind w:right="49"/>
              <w:rPr>
                <w:b/>
                <w:sz w:val="14"/>
              </w:rPr>
            </w:pPr>
            <w:r>
              <w:rPr>
                <w:b/>
                <w:w w:val="99"/>
                <w:sz w:val="14"/>
              </w:rPr>
              <w:t>-</w:t>
            </w:r>
          </w:p>
        </w:tc>
      </w:tr>
      <w:tr>
        <w:trPr>
          <w:trHeight w:val="224" w:hRule="atLeast"/>
        </w:trPr>
        <w:tc>
          <w:tcPr>
            <w:tcW w:w="1186" w:type="dxa"/>
            <w:tcBorders>
              <w:top w:val="single" w:sz="4" w:space="0" w:color="000000"/>
              <w:bottom w:val="single" w:sz="12" w:space="0" w:color="000000"/>
            </w:tcBorders>
          </w:tcPr>
          <w:p>
            <w:pPr>
              <w:pStyle w:val="TableParagraph"/>
              <w:spacing w:before="23"/>
              <w:ind w:left="67"/>
              <w:jc w:val="left"/>
              <w:rPr>
                <w:b/>
                <w:sz w:val="14"/>
              </w:rPr>
            </w:pPr>
            <w:r>
              <w:rPr>
                <w:b/>
                <w:sz w:val="14"/>
              </w:rPr>
              <w:t>Proposed</w:t>
            </w:r>
            <w:r>
              <w:rPr>
                <w:b/>
                <w:spacing w:val="-6"/>
                <w:sz w:val="14"/>
              </w:rPr>
              <w:t> </w:t>
            </w:r>
            <w:r>
              <w:rPr>
                <w:b/>
                <w:spacing w:val="-4"/>
                <w:sz w:val="14"/>
              </w:rPr>
              <w:t>2023</w:t>
            </w:r>
          </w:p>
        </w:tc>
        <w:tc>
          <w:tcPr>
            <w:tcW w:w="678" w:type="dxa"/>
            <w:tcBorders>
              <w:top w:val="single" w:sz="4" w:space="0" w:color="000000"/>
              <w:bottom w:val="single" w:sz="12" w:space="0" w:color="000000"/>
            </w:tcBorders>
          </w:tcPr>
          <w:p>
            <w:pPr>
              <w:pStyle w:val="TableParagraph"/>
              <w:spacing w:before="23"/>
              <w:ind w:right="155"/>
              <w:rPr>
                <w:b/>
                <w:sz w:val="14"/>
              </w:rPr>
            </w:pPr>
            <w:r>
              <w:rPr>
                <w:b/>
                <w:w w:val="99"/>
                <w:sz w:val="14"/>
              </w:rPr>
              <w:t>1</w:t>
            </w:r>
          </w:p>
        </w:tc>
        <w:tc>
          <w:tcPr>
            <w:tcW w:w="607" w:type="dxa"/>
            <w:tcBorders>
              <w:top w:val="single" w:sz="4" w:space="0" w:color="000000"/>
              <w:bottom w:val="single" w:sz="12" w:space="0" w:color="000000"/>
            </w:tcBorders>
          </w:tcPr>
          <w:p>
            <w:pPr>
              <w:pStyle w:val="TableParagraph"/>
              <w:spacing w:before="23"/>
              <w:ind w:right="171"/>
              <w:rPr>
                <w:b/>
                <w:sz w:val="14"/>
              </w:rPr>
            </w:pPr>
            <w:r>
              <w:rPr>
                <w:b/>
                <w:w w:val="99"/>
                <w:sz w:val="14"/>
              </w:rPr>
              <w:t>2</w:t>
            </w:r>
          </w:p>
        </w:tc>
        <w:tc>
          <w:tcPr>
            <w:tcW w:w="563" w:type="dxa"/>
            <w:tcBorders>
              <w:top w:val="single" w:sz="4" w:space="0" w:color="000000"/>
              <w:bottom w:val="single" w:sz="12" w:space="0" w:color="000000"/>
            </w:tcBorders>
          </w:tcPr>
          <w:p>
            <w:pPr>
              <w:pStyle w:val="TableParagraph"/>
              <w:spacing w:before="23"/>
              <w:ind w:right="171"/>
              <w:rPr>
                <w:b/>
                <w:sz w:val="14"/>
              </w:rPr>
            </w:pPr>
            <w:r>
              <w:rPr>
                <w:b/>
                <w:w w:val="99"/>
                <w:sz w:val="14"/>
              </w:rPr>
              <w:t>-</w:t>
            </w:r>
          </w:p>
        </w:tc>
        <w:tc>
          <w:tcPr>
            <w:tcW w:w="557" w:type="dxa"/>
            <w:tcBorders>
              <w:top w:val="single" w:sz="4" w:space="0" w:color="000000"/>
              <w:bottom w:val="single" w:sz="12" w:space="0" w:color="000000"/>
            </w:tcBorders>
          </w:tcPr>
          <w:p>
            <w:pPr>
              <w:pStyle w:val="TableParagraph"/>
              <w:spacing w:before="23"/>
              <w:ind w:right="168"/>
              <w:rPr>
                <w:b/>
                <w:sz w:val="14"/>
              </w:rPr>
            </w:pPr>
            <w:r>
              <w:rPr>
                <w:b/>
                <w:w w:val="99"/>
                <w:sz w:val="14"/>
              </w:rPr>
              <w:t>3</w:t>
            </w:r>
          </w:p>
        </w:tc>
        <w:tc>
          <w:tcPr>
            <w:tcW w:w="549" w:type="dxa"/>
            <w:tcBorders>
              <w:top w:val="single" w:sz="4" w:space="0" w:color="000000"/>
              <w:bottom w:val="single" w:sz="12" w:space="0" w:color="000000"/>
            </w:tcBorders>
          </w:tcPr>
          <w:p>
            <w:pPr>
              <w:pStyle w:val="TableParagraph"/>
              <w:spacing w:before="23"/>
              <w:ind w:left="157" w:right="13"/>
              <w:jc w:val="center"/>
              <w:rPr>
                <w:b/>
                <w:sz w:val="14"/>
              </w:rPr>
            </w:pPr>
            <w:r>
              <w:rPr>
                <w:b/>
                <w:spacing w:val="-5"/>
                <w:sz w:val="14"/>
              </w:rPr>
              <w:t>18</w:t>
            </w:r>
          </w:p>
        </w:tc>
        <w:tc>
          <w:tcPr>
            <w:tcW w:w="581" w:type="dxa"/>
            <w:tcBorders>
              <w:top w:val="single" w:sz="4" w:space="0" w:color="000000"/>
              <w:bottom w:val="single" w:sz="12" w:space="0" w:color="000000"/>
            </w:tcBorders>
          </w:tcPr>
          <w:p>
            <w:pPr>
              <w:pStyle w:val="TableParagraph"/>
              <w:spacing w:before="23"/>
              <w:ind w:right="123"/>
              <w:rPr>
                <w:b/>
                <w:sz w:val="14"/>
              </w:rPr>
            </w:pPr>
            <w:r>
              <w:rPr>
                <w:b/>
                <w:spacing w:val="-5"/>
                <w:sz w:val="14"/>
              </w:rPr>
              <w:t>38</w:t>
            </w:r>
          </w:p>
        </w:tc>
        <w:tc>
          <w:tcPr>
            <w:tcW w:w="667" w:type="dxa"/>
            <w:tcBorders>
              <w:top w:val="single" w:sz="4" w:space="0" w:color="000000"/>
              <w:bottom w:val="single" w:sz="12" w:space="0" w:color="000000"/>
            </w:tcBorders>
          </w:tcPr>
          <w:p>
            <w:pPr>
              <w:pStyle w:val="TableParagraph"/>
              <w:spacing w:before="23"/>
              <w:ind w:right="195"/>
              <w:rPr>
                <w:b/>
                <w:sz w:val="14"/>
              </w:rPr>
            </w:pPr>
            <w:r>
              <w:rPr>
                <w:b/>
                <w:spacing w:val="-5"/>
                <w:sz w:val="14"/>
              </w:rPr>
              <w:t>85</w:t>
            </w:r>
          </w:p>
        </w:tc>
        <w:tc>
          <w:tcPr>
            <w:tcW w:w="677" w:type="dxa"/>
            <w:tcBorders>
              <w:top w:val="single" w:sz="4" w:space="0" w:color="000000"/>
              <w:bottom w:val="single" w:sz="12" w:space="0" w:color="000000"/>
            </w:tcBorders>
          </w:tcPr>
          <w:p>
            <w:pPr>
              <w:pStyle w:val="TableParagraph"/>
              <w:spacing w:before="23"/>
              <w:ind w:right="132"/>
              <w:rPr>
                <w:b/>
                <w:sz w:val="14"/>
              </w:rPr>
            </w:pPr>
            <w:r>
              <w:rPr>
                <w:b/>
                <w:spacing w:val="-5"/>
                <w:sz w:val="14"/>
              </w:rPr>
              <w:t>87</w:t>
            </w:r>
          </w:p>
        </w:tc>
        <w:tc>
          <w:tcPr>
            <w:tcW w:w="525" w:type="dxa"/>
            <w:tcBorders>
              <w:top w:val="single" w:sz="4" w:space="0" w:color="000000"/>
              <w:bottom w:val="single" w:sz="12" w:space="0" w:color="000000"/>
            </w:tcBorders>
          </w:tcPr>
          <w:p>
            <w:pPr>
              <w:pStyle w:val="TableParagraph"/>
              <w:spacing w:before="23"/>
              <w:ind w:right="62"/>
              <w:rPr>
                <w:b/>
                <w:sz w:val="14"/>
              </w:rPr>
            </w:pPr>
            <w:r>
              <w:rPr>
                <w:b/>
                <w:spacing w:val="-5"/>
                <w:sz w:val="14"/>
              </w:rPr>
              <w:t>25</w:t>
            </w:r>
          </w:p>
        </w:tc>
        <w:tc>
          <w:tcPr>
            <w:tcW w:w="792" w:type="dxa"/>
            <w:tcBorders>
              <w:top w:val="single" w:sz="4" w:space="0" w:color="000000"/>
              <w:bottom w:val="single" w:sz="12" w:space="0" w:color="000000"/>
            </w:tcBorders>
          </w:tcPr>
          <w:p>
            <w:pPr>
              <w:pStyle w:val="TableParagraph"/>
              <w:spacing w:before="23"/>
              <w:ind w:right="119"/>
              <w:rPr>
                <w:b/>
                <w:i/>
                <w:sz w:val="14"/>
              </w:rPr>
            </w:pPr>
            <w:r>
              <w:rPr>
                <w:b/>
                <w:i/>
                <w:spacing w:val="-5"/>
                <w:sz w:val="14"/>
              </w:rPr>
              <w:t>259</w:t>
            </w:r>
          </w:p>
        </w:tc>
        <w:tc>
          <w:tcPr>
            <w:tcW w:w="567" w:type="dxa"/>
            <w:tcBorders>
              <w:top w:val="single" w:sz="4" w:space="0" w:color="000000"/>
              <w:bottom w:val="single" w:sz="12" w:space="0" w:color="000000"/>
            </w:tcBorders>
          </w:tcPr>
          <w:p>
            <w:pPr>
              <w:pStyle w:val="TableParagraph"/>
              <w:spacing w:before="23"/>
              <w:ind w:right="97"/>
              <w:rPr>
                <w:b/>
                <w:sz w:val="14"/>
              </w:rPr>
            </w:pPr>
            <w:r>
              <w:rPr>
                <w:b/>
                <w:w w:val="99"/>
                <w:sz w:val="14"/>
              </w:rPr>
              <w:t>-</w:t>
            </w:r>
          </w:p>
        </w:tc>
        <w:tc>
          <w:tcPr>
            <w:tcW w:w="578" w:type="dxa"/>
            <w:tcBorders>
              <w:top w:val="single" w:sz="4" w:space="0" w:color="000000"/>
              <w:bottom w:val="single" w:sz="12" w:space="0" w:color="000000"/>
            </w:tcBorders>
          </w:tcPr>
          <w:p>
            <w:pPr>
              <w:pStyle w:val="TableParagraph"/>
              <w:spacing w:before="23"/>
              <w:ind w:right="85"/>
              <w:rPr>
                <w:b/>
                <w:sz w:val="14"/>
              </w:rPr>
            </w:pPr>
            <w:r>
              <w:rPr>
                <w:b/>
                <w:w w:val="99"/>
                <w:sz w:val="14"/>
              </w:rPr>
              <w:t>1</w:t>
            </w:r>
          </w:p>
        </w:tc>
        <w:tc>
          <w:tcPr>
            <w:tcW w:w="562" w:type="dxa"/>
            <w:tcBorders>
              <w:top w:val="single" w:sz="4" w:space="0" w:color="000000"/>
              <w:bottom w:val="single" w:sz="12" w:space="0" w:color="000000"/>
            </w:tcBorders>
          </w:tcPr>
          <w:p>
            <w:pPr>
              <w:pStyle w:val="TableParagraph"/>
              <w:spacing w:before="23"/>
              <w:ind w:right="50"/>
              <w:rPr>
                <w:b/>
                <w:sz w:val="14"/>
              </w:rPr>
            </w:pPr>
            <w:r>
              <w:rPr>
                <w:b/>
                <w:spacing w:val="-5"/>
                <w:sz w:val="14"/>
              </w:rPr>
              <w:t>83</w:t>
            </w:r>
          </w:p>
        </w:tc>
        <w:tc>
          <w:tcPr>
            <w:tcW w:w="787" w:type="dxa"/>
            <w:tcBorders>
              <w:top w:val="single" w:sz="4" w:space="0" w:color="000000"/>
              <w:bottom w:val="single" w:sz="12" w:space="0" w:color="000000"/>
            </w:tcBorders>
          </w:tcPr>
          <w:p>
            <w:pPr>
              <w:pStyle w:val="TableParagraph"/>
              <w:spacing w:before="23"/>
              <w:ind w:right="97"/>
              <w:rPr>
                <w:b/>
                <w:i/>
                <w:sz w:val="14"/>
              </w:rPr>
            </w:pPr>
            <w:r>
              <w:rPr>
                <w:b/>
                <w:i/>
                <w:spacing w:val="-5"/>
                <w:sz w:val="14"/>
              </w:rPr>
              <w:t>84</w:t>
            </w:r>
          </w:p>
        </w:tc>
        <w:tc>
          <w:tcPr>
            <w:tcW w:w="546" w:type="dxa"/>
            <w:tcBorders>
              <w:top w:val="single" w:sz="4" w:space="0" w:color="000000"/>
              <w:bottom w:val="single" w:sz="12" w:space="0" w:color="000000"/>
            </w:tcBorders>
          </w:tcPr>
          <w:p>
            <w:pPr>
              <w:pStyle w:val="TableParagraph"/>
              <w:spacing w:before="23"/>
              <w:ind w:right="43"/>
              <w:rPr>
                <w:b/>
                <w:sz w:val="14"/>
              </w:rPr>
            </w:pPr>
            <w:r>
              <w:rPr>
                <w:b/>
                <w:spacing w:val="-5"/>
                <w:sz w:val="14"/>
              </w:rPr>
              <w:t>343</w:t>
            </w:r>
          </w:p>
        </w:tc>
      </w:tr>
      <w:tr>
        <w:trPr>
          <w:trHeight w:val="571" w:hRule="atLeast"/>
        </w:trPr>
        <w:tc>
          <w:tcPr>
            <w:tcW w:w="1186" w:type="dxa"/>
            <w:tcBorders>
              <w:top w:val="single" w:sz="12" w:space="0" w:color="000000"/>
            </w:tcBorders>
          </w:tcPr>
          <w:p>
            <w:pPr>
              <w:pStyle w:val="TableParagraph"/>
              <w:spacing w:before="1"/>
              <w:jc w:val="left"/>
              <w:rPr>
                <w:b/>
                <w:sz w:val="19"/>
              </w:rPr>
            </w:pPr>
          </w:p>
          <w:p>
            <w:pPr>
              <w:pStyle w:val="TableParagraph"/>
              <w:spacing w:line="242" w:lineRule="auto"/>
              <w:ind w:left="67" w:right="232"/>
              <w:jc w:val="left"/>
              <w:rPr>
                <w:b/>
                <w:sz w:val="14"/>
              </w:rPr>
            </w:pPr>
            <w:r>
              <w:rPr>
                <w:b/>
                <w:sz w:val="14"/>
              </w:rPr>
              <w:t>GTA</w:t>
            </w:r>
            <w:r>
              <w:rPr>
                <w:b/>
                <w:spacing w:val="-9"/>
                <w:sz w:val="14"/>
              </w:rPr>
              <w:t> </w:t>
            </w:r>
            <w:r>
              <w:rPr>
                <w:b/>
                <w:sz w:val="14"/>
              </w:rPr>
              <w:t>Positions</w:t>
            </w:r>
            <w:r>
              <w:rPr>
                <w:b/>
                <w:spacing w:val="40"/>
                <w:sz w:val="14"/>
              </w:rPr>
              <w:t> </w:t>
            </w:r>
            <w:r>
              <w:rPr>
                <w:b/>
                <w:spacing w:val="-2"/>
                <w:sz w:val="14"/>
              </w:rPr>
              <w:t>(FTE)</w:t>
            </w:r>
          </w:p>
        </w:tc>
        <w:tc>
          <w:tcPr>
            <w:tcW w:w="678" w:type="dxa"/>
            <w:tcBorders>
              <w:top w:val="single" w:sz="12" w:space="0" w:color="000000"/>
            </w:tcBorders>
          </w:tcPr>
          <w:p>
            <w:pPr>
              <w:pStyle w:val="TableParagraph"/>
              <w:jc w:val="left"/>
              <w:rPr>
                <w:sz w:val="14"/>
              </w:rPr>
            </w:pPr>
          </w:p>
        </w:tc>
        <w:tc>
          <w:tcPr>
            <w:tcW w:w="607" w:type="dxa"/>
            <w:tcBorders>
              <w:top w:val="single" w:sz="12" w:space="0" w:color="000000"/>
            </w:tcBorders>
          </w:tcPr>
          <w:p>
            <w:pPr>
              <w:pStyle w:val="TableParagraph"/>
              <w:jc w:val="left"/>
              <w:rPr>
                <w:sz w:val="14"/>
              </w:rPr>
            </w:pPr>
          </w:p>
        </w:tc>
        <w:tc>
          <w:tcPr>
            <w:tcW w:w="563" w:type="dxa"/>
            <w:tcBorders>
              <w:top w:val="single" w:sz="12" w:space="0" w:color="000000"/>
            </w:tcBorders>
          </w:tcPr>
          <w:p>
            <w:pPr>
              <w:pStyle w:val="TableParagraph"/>
              <w:jc w:val="left"/>
              <w:rPr>
                <w:sz w:val="14"/>
              </w:rPr>
            </w:pPr>
          </w:p>
        </w:tc>
        <w:tc>
          <w:tcPr>
            <w:tcW w:w="557" w:type="dxa"/>
            <w:tcBorders>
              <w:top w:val="single" w:sz="12" w:space="0" w:color="000000"/>
            </w:tcBorders>
          </w:tcPr>
          <w:p>
            <w:pPr>
              <w:pStyle w:val="TableParagraph"/>
              <w:jc w:val="left"/>
              <w:rPr>
                <w:sz w:val="14"/>
              </w:rPr>
            </w:pPr>
          </w:p>
        </w:tc>
        <w:tc>
          <w:tcPr>
            <w:tcW w:w="549" w:type="dxa"/>
            <w:tcBorders>
              <w:top w:val="single" w:sz="12" w:space="0" w:color="000000"/>
            </w:tcBorders>
          </w:tcPr>
          <w:p>
            <w:pPr>
              <w:pStyle w:val="TableParagraph"/>
              <w:jc w:val="left"/>
              <w:rPr>
                <w:sz w:val="14"/>
              </w:rPr>
            </w:pPr>
          </w:p>
        </w:tc>
        <w:tc>
          <w:tcPr>
            <w:tcW w:w="581" w:type="dxa"/>
            <w:tcBorders>
              <w:top w:val="single" w:sz="12" w:space="0" w:color="000000"/>
            </w:tcBorders>
          </w:tcPr>
          <w:p>
            <w:pPr>
              <w:pStyle w:val="TableParagraph"/>
              <w:jc w:val="left"/>
              <w:rPr>
                <w:sz w:val="14"/>
              </w:rPr>
            </w:pPr>
          </w:p>
        </w:tc>
        <w:tc>
          <w:tcPr>
            <w:tcW w:w="667" w:type="dxa"/>
            <w:tcBorders>
              <w:top w:val="single" w:sz="12" w:space="0" w:color="000000"/>
            </w:tcBorders>
          </w:tcPr>
          <w:p>
            <w:pPr>
              <w:pStyle w:val="TableParagraph"/>
              <w:jc w:val="left"/>
              <w:rPr>
                <w:sz w:val="14"/>
              </w:rPr>
            </w:pPr>
          </w:p>
        </w:tc>
        <w:tc>
          <w:tcPr>
            <w:tcW w:w="677" w:type="dxa"/>
            <w:tcBorders>
              <w:top w:val="single" w:sz="12" w:space="0" w:color="000000"/>
            </w:tcBorders>
          </w:tcPr>
          <w:p>
            <w:pPr>
              <w:pStyle w:val="TableParagraph"/>
              <w:jc w:val="left"/>
              <w:rPr>
                <w:sz w:val="14"/>
              </w:rPr>
            </w:pPr>
          </w:p>
        </w:tc>
        <w:tc>
          <w:tcPr>
            <w:tcW w:w="525" w:type="dxa"/>
            <w:tcBorders>
              <w:top w:val="single" w:sz="12" w:space="0" w:color="000000"/>
            </w:tcBorders>
          </w:tcPr>
          <w:p>
            <w:pPr>
              <w:pStyle w:val="TableParagraph"/>
              <w:jc w:val="left"/>
              <w:rPr>
                <w:sz w:val="14"/>
              </w:rPr>
            </w:pPr>
          </w:p>
        </w:tc>
        <w:tc>
          <w:tcPr>
            <w:tcW w:w="792" w:type="dxa"/>
            <w:tcBorders>
              <w:top w:val="single" w:sz="12" w:space="0" w:color="000000"/>
            </w:tcBorders>
          </w:tcPr>
          <w:p>
            <w:pPr>
              <w:pStyle w:val="TableParagraph"/>
              <w:jc w:val="left"/>
              <w:rPr>
                <w:sz w:val="14"/>
              </w:rPr>
            </w:pPr>
          </w:p>
        </w:tc>
        <w:tc>
          <w:tcPr>
            <w:tcW w:w="567" w:type="dxa"/>
            <w:tcBorders>
              <w:top w:val="single" w:sz="12" w:space="0" w:color="000000"/>
            </w:tcBorders>
          </w:tcPr>
          <w:p>
            <w:pPr>
              <w:pStyle w:val="TableParagraph"/>
              <w:jc w:val="left"/>
              <w:rPr>
                <w:sz w:val="14"/>
              </w:rPr>
            </w:pPr>
          </w:p>
        </w:tc>
        <w:tc>
          <w:tcPr>
            <w:tcW w:w="578" w:type="dxa"/>
            <w:tcBorders>
              <w:top w:val="single" w:sz="12" w:space="0" w:color="000000"/>
            </w:tcBorders>
          </w:tcPr>
          <w:p>
            <w:pPr>
              <w:pStyle w:val="TableParagraph"/>
              <w:jc w:val="left"/>
              <w:rPr>
                <w:sz w:val="14"/>
              </w:rPr>
            </w:pPr>
          </w:p>
        </w:tc>
        <w:tc>
          <w:tcPr>
            <w:tcW w:w="562" w:type="dxa"/>
            <w:tcBorders>
              <w:top w:val="single" w:sz="12" w:space="0" w:color="000000"/>
            </w:tcBorders>
          </w:tcPr>
          <w:p>
            <w:pPr>
              <w:pStyle w:val="TableParagraph"/>
              <w:jc w:val="left"/>
              <w:rPr>
                <w:sz w:val="14"/>
              </w:rPr>
            </w:pPr>
          </w:p>
        </w:tc>
        <w:tc>
          <w:tcPr>
            <w:tcW w:w="787" w:type="dxa"/>
            <w:tcBorders>
              <w:top w:val="single" w:sz="12" w:space="0" w:color="000000"/>
            </w:tcBorders>
          </w:tcPr>
          <w:p>
            <w:pPr>
              <w:pStyle w:val="TableParagraph"/>
              <w:jc w:val="left"/>
              <w:rPr>
                <w:sz w:val="14"/>
              </w:rPr>
            </w:pPr>
          </w:p>
        </w:tc>
        <w:tc>
          <w:tcPr>
            <w:tcW w:w="546" w:type="dxa"/>
            <w:tcBorders>
              <w:top w:val="single" w:sz="12" w:space="0" w:color="000000"/>
            </w:tcBorders>
          </w:tcPr>
          <w:p>
            <w:pPr>
              <w:pStyle w:val="TableParagraph"/>
              <w:jc w:val="left"/>
              <w:rPr>
                <w:sz w:val="14"/>
              </w:rPr>
            </w:pPr>
          </w:p>
        </w:tc>
      </w:tr>
      <w:tr>
        <w:trPr>
          <w:trHeight w:val="204" w:hRule="atLeast"/>
        </w:trPr>
        <w:tc>
          <w:tcPr>
            <w:tcW w:w="1186" w:type="dxa"/>
            <w:tcBorders>
              <w:bottom w:val="single" w:sz="12" w:space="0" w:color="000000"/>
            </w:tcBorders>
          </w:tcPr>
          <w:p>
            <w:pPr>
              <w:pStyle w:val="TableParagraph"/>
              <w:spacing w:before="3"/>
              <w:ind w:left="67"/>
              <w:jc w:val="left"/>
              <w:rPr>
                <w:sz w:val="14"/>
              </w:rPr>
            </w:pPr>
            <w:r>
              <w:rPr>
                <w:w w:val="95"/>
                <w:sz w:val="14"/>
              </w:rPr>
              <w:t>Approved</w:t>
            </w:r>
            <w:r>
              <w:rPr>
                <w:spacing w:val="22"/>
                <w:sz w:val="14"/>
              </w:rPr>
              <w:t> </w:t>
            </w:r>
            <w:r>
              <w:rPr>
                <w:spacing w:val="-4"/>
                <w:sz w:val="14"/>
              </w:rPr>
              <w:t>2022</w:t>
            </w:r>
          </w:p>
        </w:tc>
        <w:tc>
          <w:tcPr>
            <w:tcW w:w="678" w:type="dxa"/>
            <w:tcBorders>
              <w:bottom w:val="single" w:sz="12" w:space="0" w:color="000000"/>
            </w:tcBorders>
          </w:tcPr>
          <w:p>
            <w:pPr>
              <w:pStyle w:val="TableParagraph"/>
              <w:spacing w:before="3"/>
              <w:ind w:right="154"/>
              <w:rPr>
                <w:sz w:val="14"/>
              </w:rPr>
            </w:pPr>
            <w:r>
              <w:rPr>
                <w:w w:val="99"/>
                <w:sz w:val="14"/>
              </w:rPr>
              <w:t>-</w:t>
            </w:r>
          </w:p>
        </w:tc>
        <w:tc>
          <w:tcPr>
            <w:tcW w:w="607" w:type="dxa"/>
            <w:tcBorders>
              <w:bottom w:val="single" w:sz="12" w:space="0" w:color="000000"/>
            </w:tcBorders>
          </w:tcPr>
          <w:p>
            <w:pPr>
              <w:pStyle w:val="TableParagraph"/>
              <w:spacing w:before="3"/>
              <w:ind w:right="170"/>
              <w:rPr>
                <w:sz w:val="14"/>
              </w:rPr>
            </w:pPr>
            <w:r>
              <w:rPr>
                <w:w w:val="99"/>
                <w:sz w:val="14"/>
              </w:rPr>
              <w:t>-</w:t>
            </w:r>
          </w:p>
        </w:tc>
        <w:tc>
          <w:tcPr>
            <w:tcW w:w="563" w:type="dxa"/>
            <w:tcBorders>
              <w:bottom w:val="single" w:sz="12" w:space="0" w:color="000000"/>
            </w:tcBorders>
          </w:tcPr>
          <w:p>
            <w:pPr>
              <w:pStyle w:val="TableParagraph"/>
              <w:spacing w:before="3"/>
              <w:ind w:right="171"/>
              <w:rPr>
                <w:sz w:val="14"/>
              </w:rPr>
            </w:pPr>
            <w:r>
              <w:rPr>
                <w:w w:val="99"/>
                <w:sz w:val="14"/>
              </w:rPr>
              <w:t>-</w:t>
            </w:r>
          </w:p>
        </w:tc>
        <w:tc>
          <w:tcPr>
            <w:tcW w:w="557" w:type="dxa"/>
            <w:tcBorders>
              <w:bottom w:val="single" w:sz="12" w:space="0" w:color="000000"/>
            </w:tcBorders>
          </w:tcPr>
          <w:p>
            <w:pPr>
              <w:pStyle w:val="TableParagraph"/>
              <w:spacing w:before="3"/>
              <w:ind w:right="167"/>
              <w:rPr>
                <w:sz w:val="14"/>
              </w:rPr>
            </w:pPr>
            <w:r>
              <w:rPr>
                <w:w w:val="99"/>
                <w:sz w:val="14"/>
              </w:rPr>
              <w:t>-</w:t>
            </w:r>
          </w:p>
        </w:tc>
        <w:tc>
          <w:tcPr>
            <w:tcW w:w="549" w:type="dxa"/>
            <w:tcBorders>
              <w:bottom w:val="single" w:sz="12" w:space="0" w:color="000000"/>
            </w:tcBorders>
          </w:tcPr>
          <w:p>
            <w:pPr>
              <w:pStyle w:val="TableParagraph"/>
              <w:spacing w:before="3"/>
              <w:ind w:left="152" w:right="117"/>
              <w:jc w:val="center"/>
              <w:rPr>
                <w:sz w:val="14"/>
              </w:rPr>
            </w:pPr>
            <w:r>
              <w:rPr>
                <w:spacing w:val="-4"/>
                <w:sz w:val="14"/>
              </w:rPr>
              <w:t>1.00</w:t>
            </w:r>
          </w:p>
        </w:tc>
        <w:tc>
          <w:tcPr>
            <w:tcW w:w="581" w:type="dxa"/>
            <w:tcBorders>
              <w:bottom w:val="single" w:sz="12" w:space="0" w:color="000000"/>
            </w:tcBorders>
          </w:tcPr>
          <w:p>
            <w:pPr>
              <w:pStyle w:val="TableParagraph"/>
              <w:spacing w:before="3"/>
              <w:ind w:right="126"/>
              <w:rPr>
                <w:sz w:val="14"/>
              </w:rPr>
            </w:pPr>
            <w:r>
              <w:rPr>
                <w:spacing w:val="-4"/>
                <w:sz w:val="14"/>
              </w:rPr>
              <w:t>7.50</w:t>
            </w:r>
          </w:p>
        </w:tc>
        <w:tc>
          <w:tcPr>
            <w:tcW w:w="667" w:type="dxa"/>
            <w:tcBorders>
              <w:bottom w:val="single" w:sz="12" w:space="0" w:color="000000"/>
            </w:tcBorders>
          </w:tcPr>
          <w:p>
            <w:pPr>
              <w:pStyle w:val="TableParagraph"/>
              <w:spacing w:before="3"/>
              <w:ind w:right="198"/>
              <w:rPr>
                <w:sz w:val="14"/>
              </w:rPr>
            </w:pPr>
            <w:r>
              <w:rPr>
                <w:spacing w:val="-2"/>
                <w:sz w:val="14"/>
              </w:rPr>
              <w:t>34.50</w:t>
            </w:r>
          </w:p>
        </w:tc>
        <w:tc>
          <w:tcPr>
            <w:tcW w:w="677" w:type="dxa"/>
            <w:tcBorders>
              <w:bottom w:val="single" w:sz="12" w:space="0" w:color="000000"/>
            </w:tcBorders>
          </w:tcPr>
          <w:p>
            <w:pPr>
              <w:pStyle w:val="TableParagraph"/>
              <w:spacing w:before="3"/>
              <w:ind w:right="136"/>
              <w:rPr>
                <w:sz w:val="14"/>
              </w:rPr>
            </w:pPr>
            <w:r>
              <w:rPr>
                <w:spacing w:val="-2"/>
                <w:sz w:val="14"/>
              </w:rPr>
              <w:t>28.00</w:t>
            </w:r>
          </w:p>
        </w:tc>
        <w:tc>
          <w:tcPr>
            <w:tcW w:w="525" w:type="dxa"/>
            <w:tcBorders>
              <w:bottom w:val="single" w:sz="12" w:space="0" w:color="000000"/>
            </w:tcBorders>
          </w:tcPr>
          <w:p>
            <w:pPr>
              <w:pStyle w:val="TableParagraph"/>
              <w:spacing w:before="3"/>
              <w:ind w:right="65"/>
              <w:rPr>
                <w:sz w:val="14"/>
              </w:rPr>
            </w:pPr>
            <w:r>
              <w:rPr>
                <w:spacing w:val="-4"/>
                <w:sz w:val="14"/>
              </w:rPr>
              <w:t>8.00</w:t>
            </w:r>
          </w:p>
        </w:tc>
        <w:tc>
          <w:tcPr>
            <w:tcW w:w="792" w:type="dxa"/>
            <w:tcBorders>
              <w:bottom w:val="single" w:sz="12" w:space="0" w:color="000000"/>
            </w:tcBorders>
          </w:tcPr>
          <w:p>
            <w:pPr>
              <w:pStyle w:val="TableParagraph"/>
              <w:spacing w:before="3"/>
              <w:ind w:right="123"/>
              <w:rPr>
                <w:i/>
                <w:sz w:val="14"/>
              </w:rPr>
            </w:pPr>
            <w:r>
              <w:rPr>
                <w:i/>
                <w:spacing w:val="-2"/>
                <w:sz w:val="14"/>
              </w:rPr>
              <w:t>79.00</w:t>
            </w:r>
          </w:p>
        </w:tc>
        <w:tc>
          <w:tcPr>
            <w:tcW w:w="567" w:type="dxa"/>
            <w:tcBorders>
              <w:bottom w:val="single" w:sz="12" w:space="0" w:color="000000"/>
            </w:tcBorders>
          </w:tcPr>
          <w:p>
            <w:pPr>
              <w:pStyle w:val="TableParagraph"/>
              <w:spacing w:before="3"/>
              <w:ind w:right="97"/>
              <w:rPr>
                <w:sz w:val="14"/>
              </w:rPr>
            </w:pPr>
            <w:r>
              <w:rPr>
                <w:w w:val="99"/>
                <w:sz w:val="14"/>
              </w:rPr>
              <w:t>-</w:t>
            </w:r>
          </w:p>
        </w:tc>
        <w:tc>
          <w:tcPr>
            <w:tcW w:w="578" w:type="dxa"/>
            <w:tcBorders>
              <w:bottom w:val="single" w:sz="12" w:space="0" w:color="000000"/>
            </w:tcBorders>
          </w:tcPr>
          <w:p>
            <w:pPr>
              <w:pStyle w:val="TableParagraph"/>
              <w:spacing w:before="3"/>
              <w:ind w:right="81"/>
              <w:rPr>
                <w:sz w:val="14"/>
              </w:rPr>
            </w:pPr>
            <w:r>
              <w:rPr>
                <w:spacing w:val="-4"/>
                <w:sz w:val="14"/>
              </w:rPr>
              <w:t>1.00</w:t>
            </w:r>
          </w:p>
        </w:tc>
        <w:tc>
          <w:tcPr>
            <w:tcW w:w="562" w:type="dxa"/>
            <w:tcBorders>
              <w:bottom w:val="single" w:sz="12" w:space="0" w:color="000000"/>
            </w:tcBorders>
          </w:tcPr>
          <w:p>
            <w:pPr>
              <w:pStyle w:val="TableParagraph"/>
              <w:spacing w:before="3"/>
              <w:ind w:right="53"/>
              <w:rPr>
                <w:sz w:val="14"/>
              </w:rPr>
            </w:pPr>
            <w:r>
              <w:rPr>
                <w:spacing w:val="-2"/>
                <w:sz w:val="14"/>
              </w:rPr>
              <w:t>30.67</w:t>
            </w:r>
          </w:p>
        </w:tc>
        <w:tc>
          <w:tcPr>
            <w:tcW w:w="787" w:type="dxa"/>
            <w:tcBorders>
              <w:bottom w:val="single" w:sz="12" w:space="0" w:color="000000"/>
            </w:tcBorders>
          </w:tcPr>
          <w:p>
            <w:pPr>
              <w:pStyle w:val="TableParagraph"/>
              <w:spacing w:before="3"/>
              <w:ind w:right="100"/>
              <w:rPr>
                <w:i/>
                <w:sz w:val="14"/>
              </w:rPr>
            </w:pPr>
            <w:r>
              <w:rPr>
                <w:i/>
                <w:spacing w:val="-2"/>
                <w:sz w:val="14"/>
              </w:rPr>
              <w:t>31.67</w:t>
            </w:r>
          </w:p>
        </w:tc>
        <w:tc>
          <w:tcPr>
            <w:tcW w:w="546" w:type="dxa"/>
            <w:tcBorders>
              <w:bottom w:val="single" w:sz="12" w:space="0" w:color="000000"/>
            </w:tcBorders>
          </w:tcPr>
          <w:p>
            <w:pPr>
              <w:pStyle w:val="TableParagraph"/>
              <w:spacing w:before="3"/>
              <w:ind w:right="46"/>
              <w:rPr>
                <w:b/>
                <w:sz w:val="14"/>
              </w:rPr>
            </w:pPr>
            <w:r>
              <w:rPr>
                <w:b/>
                <w:spacing w:val="-2"/>
                <w:sz w:val="14"/>
              </w:rPr>
              <w:t>110.67</w:t>
            </w:r>
          </w:p>
        </w:tc>
      </w:tr>
      <w:tr>
        <w:trPr>
          <w:trHeight w:val="229" w:hRule="atLeast"/>
        </w:trPr>
        <w:tc>
          <w:tcPr>
            <w:tcW w:w="1186" w:type="dxa"/>
            <w:tcBorders>
              <w:top w:val="single" w:sz="12" w:space="0" w:color="000000"/>
              <w:bottom w:val="single" w:sz="4" w:space="0" w:color="000000"/>
            </w:tcBorders>
          </w:tcPr>
          <w:p>
            <w:pPr>
              <w:pStyle w:val="TableParagraph"/>
              <w:spacing w:before="28"/>
              <w:ind w:left="67"/>
              <w:jc w:val="left"/>
              <w:rPr>
                <w:sz w:val="14"/>
              </w:rPr>
            </w:pPr>
            <w:r>
              <w:rPr>
                <w:spacing w:val="-2"/>
                <w:sz w:val="14"/>
              </w:rPr>
              <w:t>Continued</w:t>
            </w:r>
          </w:p>
        </w:tc>
        <w:tc>
          <w:tcPr>
            <w:tcW w:w="678" w:type="dxa"/>
            <w:tcBorders>
              <w:top w:val="single" w:sz="12" w:space="0" w:color="000000"/>
              <w:bottom w:val="single" w:sz="4" w:space="0" w:color="000000"/>
            </w:tcBorders>
          </w:tcPr>
          <w:p>
            <w:pPr>
              <w:pStyle w:val="TableParagraph"/>
              <w:spacing w:before="28"/>
              <w:ind w:right="154"/>
              <w:rPr>
                <w:sz w:val="14"/>
              </w:rPr>
            </w:pPr>
            <w:r>
              <w:rPr>
                <w:w w:val="99"/>
                <w:sz w:val="14"/>
              </w:rPr>
              <w:t>-</w:t>
            </w:r>
          </w:p>
        </w:tc>
        <w:tc>
          <w:tcPr>
            <w:tcW w:w="607" w:type="dxa"/>
            <w:tcBorders>
              <w:top w:val="single" w:sz="12" w:space="0" w:color="000000"/>
              <w:bottom w:val="single" w:sz="4" w:space="0" w:color="000000"/>
            </w:tcBorders>
          </w:tcPr>
          <w:p>
            <w:pPr>
              <w:pStyle w:val="TableParagraph"/>
              <w:spacing w:before="28"/>
              <w:ind w:right="170"/>
              <w:rPr>
                <w:sz w:val="14"/>
              </w:rPr>
            </w:pPr>
            <w:r>
              <w:rPr>
                <w:w w:val="99"/>
                <w:sz w:val="14"/>
              </w:rPr>
              <w:t>-</w:t>
            </w:r>
          </w:p>
        </w:tc>
        <w:tc>
          <w:tcPr>
            <w:tcW w:w="563" w:type="dxa"/>
            <w:tcBorders>
              <w:top w:val="single" w:sz="12" w:space="0" w:color="000000"/>
              <w:bottom w:val="single" w:sz="4" w:space="0" w:color="000000"/>
            </w:tcBorders>
          </w:tcPr>
          <w:p>
            <w:pPr>
              <w:pStyle w:val="TableParagraph"/>
              <w:spacing w:before="28"/>
              <w:ind w:right="171"/>
              <w:rPr>
                <w:sz w:val="14"/>
              </w:rPr>
            </w:pPr>
            <w:r>
              <w:rPr>
                <w:w w:val="99"/>
                <w:sz w:val="14"/>
              </w:rPr>
              <w:t>-</w:t>
            </w:r>
          </w:p>
        </w:tc>
        <w:tc>
          <w:tcPr>
            <w:tcW w:w="557" w:type="dxa"/>
            <w:tcBorders>
              <w:top w:val="single" w:sz="12" w:space="0" w:color="000000"/>
              <w:bottom w:val="single" w:sz="4" w:space="0" w:color="000000"/>
            </w:tcBorders>
          </w:tcPr>
          <w:p>
            <w:pPr>
              <w:pStyle w:val="TableParagraph"/>
              <w:spacing w:before="28"/>
              <w:ind w:right="167"/>
              <w:rPr>
                <w:sz w:val="14"/>
              </w:rPr>
            </w:pPr>
            <w:r>
              <w:rPr>
                <w:w w:val="99"/>
                <w:sz w:val="14"/>
              </w:rPr>
              <w:t>-</w:t>
            </w:r>
          </w:p>
        </w:tc>
        <w:tc>
          <w:tcPr>
            <w:tcW w:w="549" w:type="dxa"/>
            <w:tcBorders>
              <w:top w:val="single" w:sz="12" w:space="0" w:color="000000"/>
              <w:bottom w:val="single" w:sz="4" w:space="0" w:color="000000"/>
            </w:tcBorders>
          </w:tcPr>
          <w:p>
            <w:pPr>
              <w:pStyle w:val="TableParagraph"/>
              <w:spacing w:before="28"/>
              <w:ind w:left="152" w:right="117"/>
              <w:jc w:val="center"/>
              <w:rPr>
                <w:sz w:val="14"/>
              </w:rPr>
            </w:pPr>
            <w:r>
              <w:rPr>
                <w:spacing w:val="-4"/>
                <w:sz w:val="14"/>
              </w:rPr>
              <w:t>1.00</w:t>
            </w:r>
          </w:p>
        </w:tc>
        <w:tc>
          <w:tcPr>
            <w:tcW w:w="581" w:type="dxa"/>
            <w:tcBorders>
              <w:top w:val="single" w:sz="12" w:space="0" w:color="000000"/>
              <w:bottom w:val="single" w:sz="4" w:space="0" w:color="000000"/>
            </w:tcBorders>
          </w:tcPr>
          <w:p>
            <w:pPr>
              <w:pStyle w:val="TableParagraph"/>
              <w:spacing w:before="28"/>
              <w:ind w:right="126"/>
              <w:rPr>
                <w:sz w:val="14"/>
              </w:rPr>
            </w:pPr>
            <w:r>
              <w:rPr>
                <w:spacing w:val="-4"/>
                <w:sz w:val="14"/>
              </w:rPr>
              <w:t>8.00</w:t>
            </w:r>
          </w:p>
        </w:tc>
        <w:tc>
          <w:tcPr>
            <w:tcW w:w="667" w:type="dxa"/>
            <w:tcBorders>
              <w:top w:val="single" w:sz="12" w:space="0" w:color="000000"/>
              <w:bottom w:val="single" w:sz="4" w:space="0" w:color="000000"/>
            </w:tcBorders>
          </w:tcPr>
          <w:p>
            <w:pPr>
              <w:pStyle w:val="TableParagraph"/>
              <w:spacing w:before="28"/>
              <w:ind w:right="198"/>
              <w:rPr>
                <w:sz w:val="14"/>
              </w:rPr>
            </w:pPr>
            <w:r>
              <w:rPr>
                <w:spacing w:val="-2"/>
                <w:sz w:val="14"/>
              </w:rPr>
              <w:t>34.50</w:t>
            </w:r>
          </w:p>
        </w:tc>
        <w:tc>
          <w:tcPr>
            <w:tcW w:w="677" w:type="dxa"/>
            <w:tcBorders>
              <w:top w:val="single" w:sz="12" w:space="0" w:color="000000"/>
              <w:bottom w:val="single" w:sz="4" w:space="0" w:color="000000"/>
            </w:tcBorders>
          </w:tcPr>
          <w:p>
            <w:pPr>
              <w:pStyle w:val="TableParagraph"/>
              <w:spacing w:before="28"/>
              <w:ind w:right="136"/>
              <w:rPr>
                <w:sz w:val="14"/>
              </w:rPr>
            </w:pPr>
            <w:r>
              <w:rPr>
                <w:spacing w:val="-2"/>
                <w:sz w:val="14"/>
              </w:rPr>
              <w:t>28.50</w:t>
            </w:r>
          </w:p>
        </w:tc>
        <w:tc>
          <w:tcPr>
            <w:tcW w:w="525" w:type="dxa"/>
            <w:tcBorders>
              <w:top w:val="single" w:sz="12" w:space="0" w:color="000000"/>
              <w:bottom w:val="single" w:sz="4" w:space="0" w:color="000000"/>
            </w:tcBorders>
          </w:tcPr>
          <w:p>
            <w:pPr>
              <w:pStyle w:val="TableParagraph"/>
              <w:spacing w:before="28"/>
              <w:ind w:right="65"/>
              <w:rPr>
                <w:sz w:val="14"/>
              </w:rPr>
            </w:pPr>
            <w:r>
              <w:rPr>
                <w:spacing w:val="-4"/>
                <w:sz w:val="14"/>
              </w:rPr>
              <w:t>8.00</w:t>
            </w:r>
          </w:p>
        </w:tc>
        <w:tc>
          <w:tcPr>
            <w:tcW w:w="792" w:type="dxa"/>
            <w:tcBorders>
              <w:top w:val="single" w:sz="12" w:space="0" w:color="000000"/>
              <w:bottom w:val="single" w:sz="4" w:space="0" w:color="000000"/>
            </w:tcBorders>
          </w:tcPr>
          <w:p>
            <w:pPr>
              <w:pStyle w:val="TableParagraph"/>
              <w:spacing w:before="28"/>
              <w:ind w:right="123"/>
              <w:rPr>
                <w:i/>
                <w:sz w:val="14"/>
              </w:rPr>
            </w:pPr>
            <w:r>
              <w:rPr>
                <w:i/>
                <w:spacing w:val="-2"/>
                <w:sz w:val="14"/>
              </w:rPr>
              <w:t>80.00</w:t>
            </w:r>
          </w:p>
        </w:tc>
        <w:tc>
          <w:tcPr>
            <w:tcW w:w="567" w:type="dxa"/>
            <w:tcBorders>
              <w:top w:val="single" w:sz="12" w:space="0" w:color="000000"/>
              <w:bottom w:val="single" w:sz="4" w:space="0" w:color="000000"/>
            </w:tcBorders>
          </w:tcPr>
          <w:p>
            <w:pPr>
              <w:pStyle w:val="TableParagraph"/>
              <w:spacing w:before="28"/>
              <w:ind w:right="97"/>
              <w:rPr>
                <w:sz w:val="14"/>
              </w:rPr>
            </w:pPr>
            <w:r>
              <w:rPr>
                <w:w w:val="99"/>
                <w:sz w:val="14"/>
              </w:rPr>
              <w:t>-</w:t>
            </w:r>
          </w:p>
        </w:tc>
        <w:tc>
          <w:tcPr>
            <w:tcW w:w="578" w:type="dxa"/>
            <w:tcBorders>
              <w:top w:val="single" w:sz="12" w:space="0" w:color="000000"/>
              <w:bottom w:val="single" w:sz="4" w:space="0" w:color="000000"/>
            </w:tcBorders>
          </w:tcPr>
          <w:p>
            <w:pPr>
              <w:pStyle w:val="TableParagraph"/>
              <w:spacing w:before="28"/>
              <w:ind w:right="81"/>
              <w:rPr>
                <w:sz w:val="14"/>
              </w:rPr>
            </w:pPr>
            <w:r>
              <w:rPr>
                <w:spacing w:val="-4"/>
                <w:sz w:val="14"/>
              </w:rPr>
              <w:t>1.00</w:t>
            </w:r>
          </w:p>
        </w:tc>
        <w:tc>
          <w:tcPr>
            <w:tcW w:w="562" w:type="dxa"/>
            <w:tcBorders>
              <w:top w:val="single" w:sz="12" w:space="0" w:color="000000"/>
              <w:bottom w:val="single" w:sz="4" w:space="0" w:color="000000"/>
            </w:tcBorders>
          </w:tcPr>
          <w:p>
            <w:pPr>
              <w:pStyle w:val="TableParagraph"/>
              <w:spacing w:before="28"/>
              <w:ind w:right="53"/>
              <w:rPr>
                <w:sz w:val="14"/>
              </w:rPr>
            </w:pPr>
            <w:r>
              <w:rPr>
                <w:spacing w:val="-2"/>
                <w:sz w:val="14"/>
              </w:rPr>
              <w:t>30.67</w:t>
            </w:r>
          </w:p>
        </w:tc>
        <w:tc>
          <w:tcPr>
            <w:tcW w:w="787" w:type="dxa"/>
            <w:tcBorders>
              <w:top w:val="single" w:sz="12" w:space="0" w:color="000000"/>
              <w:bottom w:val="single" w:sz="4" w:space="0" w:color="000000"/>
            </w:tcBorders>
          </w:tcPr>
          <w:p>
            <w:pPr>
              <w:pStyle w:val="TableParagraph"/>
              <w:spacing w:before="28"/>
              <w:ind w:right="100"/>
              <w:rPr>
                <w:i/>
                <w:sz w:val="14"/>
              </w:rPr>
            </w:pPr>
            <w:r>
              <w:rPr>
                <w:i/>
                <w:spacing w:val="-2"/>
                <w:sz w:val="14"/>
              </w:rPr>
              <w:t>31.67</w:t>
            </w:r>
          </w:p>
        </w:tc>
        <w:tc>
          <w:tcPr>
            <w:tcW w:w="546" w:type="dxa"/>
            <w:tcBorders>
              <w:top w:val="single" w:sz="12" w:space="0" w:color="000000"/>
              <w:bottom w:val="single" w:sz="4" w:space="0" w:color="000000"/>
            </w:tcBorders>
          </w:tcPr>
          <w:p>
            <w:pPr>
              <w:pStyle w:val="TableParagraph"/>
              <w:spacing w:before="28"/>
              <w:ind w:right="46"/>
              <w:rPr>
                <w:b/>
                <w:sz w:val="14"/>
              </w:rPr>
            </w:pPr>
            <w:r>
              <w:rPr>
                <w:b/>
                <w:spacing w:val="-2"/>
                <w:sz w:val="14"/>
              </w:rPr>
              <w:t>111.67</w:t>
            </w:r>
          </w:p>
        </w:tc>
      </w:tr>
      <w:tr>
        <w:trPr>
          <w:trHeight w:val="225" w:hRule="atLeast"/>
        </w:trPr>
        <w:tc>
          <w:tcPr>
            <w:tcW w:w="1186" w:type="dxa"/>
            <w:tcBorders>
              <w:top w:val="single" w:sz="4" w:space="0" w:color="000000"/>
              <w:bottom w:val="single" w:sz="4" w:space="0" w:color="000000"/>
            </w:tcBorders>
          </w:tcPr>
          <w:p>
            <w:pPr>
              <w:pStyle w:val="TableParagraph"/>
              <w:spacing w:before="23"/>
              <w:ind w:left="67"/>
              <w:jc w:val="left"/>
              <w:rPr>
                <w:sz w:val="14"/>
              </w:rPr>
            </w:pPr>
            <w:r>
              <w:rPr>
                <w:spacing w:val="-5"/>
                <w:sz w:val="14"/>
              </w:rPr>
              <w:t>New</w:t>
            </w:r>
          </w:p>
        </w:tc>
        <w:tc>
          <w:tcPr>
            <w:tcW w:w="678" w:type="dxa"/>
            <w:tcBorders>
              <w:top w:val="single" w:sz="4" w:space="0" w:color="000000"/>
              <w:bottom w:val="single" w:sz="4" w:space="0" w:color="000000"/>
            </w:tcBorders>
          </w:tcPr>
          <w:p>
            <w:pPr>
              <w:pStyle w:val="TableParagraph"/>
              <w:spacing w:before="23"/>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3"/>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3"/>
              <w:ind w:right="171"/>
              <w:rPr>
                <w:sz w:val="14"/>
              </w:rPr>
            </w:pPr>
            <w:r>
              <w:rPr>
                <w:w w:val="99"/>
                <w:sz w:val="14"/>
              </w:rPr>
              <w:t>-</w:t>
            </w:r>
          </w:p>
        </w:tc>
        <w:tc>
          <w:tcPr>
            <w:tcW w:w="557" w:type="dxa"/>
            <w:tcBorders>
              <w:top w:val="single" w:sz="4" w:space="0" w:color="000000"/>
              <w:bottom w:val="single" w:sz="4" w:space="0" w:color="000000"/>
            </w:tcBorders>
          </w:tcPr>
          <w:p>
            <w:pPr>
              <w:pStyle w:val="TableParagraph"/>
              <w:spacing w:before="23"/>
              <w:ind w:right="167"/>
              <w:rPr>
                <w:sz w:val="14"/>
              </w:rPr>
            </w:pPr>
            <w:r>
              <w:rPr>
                <w:w w:val="99"/>
                <w:sz w:val="14"/>
              </w:rPr>
              <w:t>-</w:t>
            </w:r>
          </w:p>
        </w:tc>
        <w:tc>
          <w:tcPr>
            <w:tcW w:w="549" w:type="dxa"/>
            <w:tcBorders>
              <w:top w:val="single" w:sz="4" w:space="0" w:color="000000"/>
              <w:bottom w:val="single" w:sz="4" w:space="0" w:color="000000"/>
            </w:tcBorders>
          </w:tcPr>
          <w:p>
            <w:pPr>
              <w:pStyle w:val="TableParagraph"/>
              <w:spacing w:before="23"/>
              <w:ind w:left="152" w:right="117"/>
              <w:jc w:val="center"/>
              <w:rPr>
                <w:sz w:val="14"/>
              </w:rPr>
            </w:pPr>
            <w:r>
              <w:rPr>
                <w:spacing w:val="-4"/>
                <w:sz w:val="14"/>
              </w:rPr>
              <w:t>1.50</w:t>
            </w:r>
          </w:p>
        </w:tc>
        <w:tc>
          <w:tcPr>
            <w:tcW w:w="581" w:type="dxa"/>
            <w:tcBorders>
              <w:top w:val="single" w:sz="4" w:space="0" w:color="000000"/>
              <w:bottom w:val="single" w:sz="4" w:space="0" w:color="000000"/>
            </w:tcBorders>
          </w:tcPr>
          <w:p>
            <w:pPr>
              <w:pStyle w:val="TableParagraph"/>
              <w:spacing w:before="23"/>
              <w:ind w:right="126"/>
              <w:rPr>
                <w:sz w:val="14"/>
              </w:rPr>
            </w:pPr>
            <w:r>
              <w:rPr>
                <w:spacing w:val="-4"/>
                <w:sz w:val="14"/>
              </w:rPr>
              <w:t>3.25</w:t>
            </w:r>
          </w:p>
        </w:tc>
        <w:tc>
          <w:tcPr>
            <w:tcW w:w="667" w:type="dxa"/>
            <w:tcBorders>
              <w:top w:val="single" w:sz="4" w:space="0" w:color="000000"/>
              <w:bottom w:val="single" w:sz="4" w:space="0" w:color="000000"/>
            </w:tcBorders>
          </w:tcPr>
          <w:p>
            <w:pPr>
              <w:pStyle w:val="TableParagraph"/>
              <w:spacing w:before="23"/>
              <w:ind w:right="198"/>
              <w:rPr>
                <w:sz w:val="14"/>
              </w:rPr>
            </w:pPr>
            <w:r>
              <w:rPr>
                <w:spacing w:val="-2"/>
                <w:sz w:val="14"/>
              </w:rPr>
              <w:t>12.00</w:t>
            </w:r>
          </w:p>
        </w:tc>
        <w:tc>
          <w:tcPr>
            <w:tcW w:w="677" w:type="dxa"/>
            <w:tcBorders>
              <w:top w:val="single" w:sz="4" w:space="0" w:color="000000"/>
              <w:bottom w:val="single" w:sz="4" w:space="0" w:color="000000"/>
            </w:tcBorders>
          </w:tcPr>
          <w:p>
            <w:pPr>
              <w:pStyle w:val="TableParagraph"/>
              <w:spacing w:before="23"/>
              <w:ind w:right="136"/>
              <w:rPr>
                <w:sz w:val="14"/>
              </w:rPr>
            </w:pPr>
            <w:r>
              <w:rPr>
                <w:spacing w:val="-2"/>
                <w:sz w:val="14"/>
              </w:rPr>
              <w:t>14.00</w:t>
            </w:r>
          </w:p>
        </w:tc>
        <w:tc>
          <w:tcPr>
            <w:tcW w:w="525" w:type="dxa"/>
            <w:tcBorders>
              <w:top w:val="single" w:sz="4" w:space="0" w:color="000000"/>
              <w:bottom w:val="single" w:sz="4" w:space="0" w:color="000000"/>
            </w:tcBorders>
          </w:tcPr>
          <w:p>
            <w:pPr>
              <w:pStyle w:val="TableParagraph"/>
              <w:spacing w:before="23"/>
              <w:ind w:right="65"/>
              <w:rPr>
                <w:sz w:val="14"/>
              </w:rPr>
            </w:pPr>
            <w:r>
              <w:rPr>
                <w:spacing w:val="-4"/>
                <w:sz w:val="14"/>
              </w:rPr>
              <w:t>2.25</w:t>
            </w:r>
          </w:p>
        </w:tc>
        <w:tc>
          <w:tcPr>
            <w:tcW w:w="792" w:type="dxa"/>
            <w:tcBorders>
              <w:top w:val="single" w:sz="4" w:space="0" w:color="000000"/>
              <w:bottom w:val="single" w:sz="4" w:space="0" w:color="000000"/>
            </w:tcBorders>
          </w:tcPr>
          <w:p>
            <w:pPr>
              <w:pStyle w:val="TableParagraph"/>
              <w:spacing w:before="23"/>
              <w:ind w:right="123"/>
              <w:rPr>
                <w:i/>
                <w:sz w:val="14"/>
              </w:rPr>
            </w:pPr>
            <w:r>
              <w:rPr>
                <w:i/>
                <w:spacing w:val="-2"/>
                <w:sz w:val="14"/>
              </w:rPr>
              <w:t>33.00</w:t>
            </w:r>
          </w:p>
        </w:tc>
        <w:tc>
          <w:tcPr>
            <w:tcW w:w="567" w:type="dxa"/>
            <w:tcBorders>
              <w:top w:val="single" w:sz="4" w:space="0" w:color="000000"/>
              <w:bottom w:val="single" w:sz="4" w:space="0" w:color="000000"/>
            </w:tcBorders>
          </w:tcPr>
          <w:p>
            <w:pPr>
              <w:pStyle w:val="TableParagraph"/>
              <w:spacing w:before="23"/>
              <w:ind w:right="94"/>
              <w:rPr>
                <w:sz w:val="14"/>
              </w:rPr>
            </w:pPr>
            <w:r>
              <w:rPr>
                <w:spacing w:val="-4"/>
                <w:sz w:val="14"/>
              </w:rPr>
              <w:t>6.00</w:t>
            </w:r>
          </w:p>
        </w:tc>
        <w:tc>
          <w:tcPr>
            <w:tcW w:w="578" w:type="dxa"/>
            <w:tcBorders>
              <w:top w:val="single" w:sz="4" w:space="0" w:color="000000"/>
              <w:bottom w:val="single" w:sz="4" w:space="0" w:color="000000"/>
            </w:tcBorders>
          </w:tcPr>
          <w:p>
            <w:pPr>
              <w:pStyle w:val="TableParagraph"/>
              <w:spacing w:before="23"/>
              <w:ind w:right="84"/>
              <w:rPr>
                <w:sz w:val="14"/>
              </w:rPr>
            </w:pPr>
            <w:r>
              <w:rPr>
                <w:w w:val="99"/>
                <w:sz w:val="14"/>
              </w:rPr>
              <w:t>-</w:t>
            </w:r>
          </w:p>
        </w:tc>
        <w:tc>
          <w:tcPr>
            <w:tcW w:w="562" w:type="dxa"/>
            <w:tcBorders>
              <w:top w:val="single" w:sz="4" w:space="0" w:color="000000"/>
              <w:bottom w:val="single" w:sz="4" w:space="0" w:color="000000"/>
            </w:tcBorders>
          </w:tcPr>
          <w:p>
            <w:pPr>
              <w:pStyle w:val="TableParagraph"/>
              <w:spacing w:before="23"/>
              <w:ind w:right="53"/>
              <w:rPr>
                <w:sz w:val="14"/>
              </w:rPr>
            </w:pPr>
            <w:r>
              <w:rPr>
                <w:spacing w:val="-2"/>
                <w:sz w:val="14"/>
              </w:rPr>
              <w:t>21.25</w:t>
            </w:r>
          </w:p>
        </w:tc>
        <w:tc>
          <w:tcPr>
            <w:tcW w:w="787" w:type="dxa"/>
            <w:tcBorders>
              <w:top w:val="single" w:sz="4" w:space="0" w:color="000000"/>
              <w:bottom w:val="single" w:sz="4" w:space="0" w:color="000000"/>
            </w:tcBorders>
          </w:tcPr>
          <w:p>
            <w:pPr>
              <w:pStyle w:val="TableParagraph"/>
              <w:spacing w:before="23"/>
              <w:ind w:right="100"/>
              <w:rPr>
                <w:i/>
                <w:sz w:val="14"/>
              </w:rPr>
            </w:pPr>
            <w:r>
              <w:rPr>
                <w:i/>
                <w:spacing w:val="-2"/>
                <w:sz w:val="14"/>
              </w:rPr>
              <w:t>27.25</w:t>
            </w:r>
          </w:p>
        </w:tc>
        <w:tc>
          <w:tcPr>
            <w:tcW w:w="546" w:type="dxa"/>
            <w:tcBorders>
              <w:top w:val="single" w:sz="4" w:space="0" w:color="000000"/>
              <w:bottom w:val="single" w:sz="4" w:space="0" w:color="000000"/>
            </w:tcBorders>
          </w:tcPr>
          <w:p>
            <w:pPr>
              <w:pStyle w:val="TableParagraph"/>
              <w:spacing w:before="23"/>
              <w:ind w:right="46"/>
              <w:rPr>
                <w:b/>
                <w:sz w:val="14"/>
              </w:rPr>
            </w:pPr>
            <w:r>
              <w:rPr>
                <w:b/>
                <w:spacing w:val="-2"/>
                <w:sz w:val="14"/>
              </w:rPr>
              <w:t>60.25</w:t>
            </w:r>
          </w:p>
        </w:tc>
      </w:tr>
      <w:tr>
        <w:trPr>
          <w:trHeight w:val="225" w:hRule="atLeast"/>
        </w:trPr>
        <w:tc>
          <w:tcPr>
            <w:tcW w:w="1186" w:type="dxa"/>
            <w:tcBorders>
              <w:top w:val="single" w:sz="4" w:space="0" w:color="000000"/>
              <w:bottom w:val="single" w:sz="4" w:space="0" w:color="000000"/>
            </w:tcBorders>
          </w:tcPr>
          <w:p>
            <w:pPr>
              <w:pStyle w:val="TableParagraph"/>
              <w:spacing w:before="23"/>
              <w:ind w:left="67"/>
              <w:jc w:val="left"/>
              <w:rPr>
                <w:sz w:val="14"/>
              </w:rPr>
            </w:pPr>
            <w:r>
              <w:rPr>
                <w:spacing w:val="-2"/>
                <w:sz w:val="14"/>
              </w:rPr>
              <w:t>Redeployed</w:t>
            </w:r>
          </w:p>
        </w:tc>
        <w:tc>
          <w:tcPr>
            <w:tcW w:w="678" w:type="dxa"/>
            <w:tcBorders>
              <w:top w:val="single" w:sz="4" w:space="0" w:color="000000"/>
              <w:bottom w:val="single" w:sz="4" w:space="0" w:color="000000"/>
            </w:tcBorders>
          </w:tcPr>
          <w:p>
            <w:pPr>
              <w:pStyle w:val="TableParagraph"/>
              <w:spacing w:before="23"/>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3"/>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3"/>
              <w:ind w:right="171"/>
              <w:rPr>
                <w:sz w:val="14"/>
              </w:rPr>
            </w:pPr>
            <w:r>
              <w:rPr>
                <w:w w:val="99"/>
                <w:sz w:val="14"/>
              </w:rPr>
              <w:t>-</w:t>
            </w:r>
          </w:p>
        </w:tc>
        <w:tc>
          <w:tcPr>
            <w:tcW w:w="557" w:type="dxa"/>
            <w:tcBorders>
              <w:top w:val="single" w:sz="4" w:space="0" w:color="000000"/>
              <w:bottom w:val="single" w:sz="4" w:space="0" w:color="000000"/>
            </w:tcBorders>
          </w:tcPr>
          <w:p>
            <w:pPr>
              <w:pStyle w:val="TableParagraph"/>
              <w:spacing w:before="23"/>
              <w:ind w:right="167"/>
              <w:rPr>
                <w:sz w:val="14"/>
              </w:rPr>
            </w:pPr>
            <w:r>
              <w:rPr>
                <w:w w:val="99"/>
                <w:sz w:val="14"/>
              </w:rPr>
              <w:t>-</w:t>
            </w:r>
          </w:p>
        </w:tc>
        <w:tc>
          <w:tcPr>
            <w:tcW w:w="549" w:type="dxa"/>
            <w:tcBorders>
              <w:top w:val="single" w:sz="4" w:space="0" w:color="000000"/>
              <w:bottom w:val="single" w:sz="4" w:space="0" w:color="000000"/>
            </w:tcBorders>
          </w:tcPr>
          <w:p>
            <w:pPr>
              <w:pStyle w:val="TableParagraph"/>
              <w:spacing w:before="23"/>
              <w:ind w:left="228"/>
              <w:jc w:val="center"/>
              <w:rPr>
                <w:sz w:val="14"/>
              </w:rPr>
            </w:pPr>
            <w:r>
              <w:rPr>
                <w:w w:val="99"/>
                <w:sz w:val="14"/>
              </w:rPr>
              <w:t>-</w:t>
            </w:r>
          </w:p>
        </w:tc>
        <w:tc>
          <w:tcPr>
            <w:tcW w:w="581" w:type="dxa"/>
            <w:tcBorders>
              <w:top w:val="single" w:sz="4" w:space="0" w:color="000000"/>
              <w:bottom w:val="single" w:sz="4" w:space="0" w:color="000000"/>
            </w:tcBorders>
          </w:tcPr>
          <w:p>
            <w:pPr>
              <w:pStyle w:val="TableParagraph"/>
              <w:spacing w:before="23"/>
              <w:ind w:right="130"/>
              <w:rPr>
                <w:sz w:val="14"/>
              </w:rPr>
            </w:pPr>
            <w:r>
              <w:rPr>
                <w:w w:val="99"/>
                <w:sz w:val="14"/>
              </w:rPr>
              <w:t>-</w:t>
            </w:r>
          </w:p>
        </w:tc>
        <w:tc>
          <w:tcPr>
            <w:tcW w:w="667" w:type="dxa"/>
            <w:tcBorders>
              <w:top w:val="single" w:sz="4" w:space="0" w:color="000000"/>
              <w:bottom w:val="single" w:sz="4" w:space="0" w:color="000000"/>
            </w:tcBorders>
          </w:tcPr>
          <w:p>
            <w:pPr>
              <w:pStyle w:val="TableParagraph"/>
              <w:spacing w:before="23"/>
              <w:ind w:right="201"/>
              <w:rPr>
                <w:sz w:val="14"/>
              </w:rPr>
            </w:pPr>
            <w:r>
              <w:rPr>
                <w:w w:val="99"/>
                <w:sz w:val="14"/>
              </w:rPr>
              <w:t>-</w:t>
            </w:r>
          </w:p>
        </w:tc>
        <w:tc>
          <w:tcPr>
            <w:tcW w:w="677" w:type="dxa"/>
            <w:tcBorders>
              <w:top w:val="single" w:sz="4" w:space="0" w:color="000000"/>
              <w:bottom w:val="single" w:sz="4" w:space="0" w:color="000000"/>
            </w:tcBorders>
          </w:tcPr>
          <w:p>
            <w:pPr>
              <w:pStyle w:val="TableParagraph"/>
              <w:spacing w:before="23"/>
              <w:ind w:right="139"/>
              <w:rPr>
                <w:sz w:val="14"/>
              </w:rPr>
            </w:pPr>
            <w:r>
              <w:rPr>
                <w:w w:val="99"/>
                <w:sz w:val="14"/>
              </w:rPr>
              <w:t>-</w:t>
            </w:r>
          </w:p>
        </w:tc>
        <w:tc>
          <w:tcPr>
            <w:tcW w:w="525" w:type="dxa"/>
            <w:tcBorders>
              <w:top w:val="single" w:sz="4" w:space="0" w:color="000000"/>
              <w:bottom w:val="single" w:sz="4" w:space="0" w:color="000000"/>
            </w:tcBorders>
          </w:tcPr>
          <w:p>
            <w:pPr>
              <w:pStyle w:val="TableParagraph"/>
              <w:spacing w:before="23"/>
              <w:ind w:right="68"/>
              <w:rPr>
                <w:sz w:val="14"/>
              </w:rPr>
            </w:pPr>
            <w:r>
              <w:rPr>
                <w:w w:val="99"/>
                <w:sz w:val="14"/>
              </w:rPr>
              <w:t>-</w:t>
            </w:r>
          </w:p>
        </w:tc>
        <w:tc>
          <w:tcPr>
            <w:tcW w:w="792" w:type="dxa"/>
            <w:tcBorders>
              <w:top w:val="single" w:sz="4" w:space="0" w:color="000000"/>
              <w:bottom w:val="single" w:sz="4" w:space="0" w:color="000000"/>
            </w:tcBorders>
          </w:tcPr>
          <w:p>
            <w:pPr>
              <w:pStyle w:val="TableParagraph"/>
              <w:spacing w:before="23"/>
              <w:ind w:right="125"/>
              <w:rPr>
                <w:i/>
                <w:sz w:val="14"/>
              </w:rPr>
            </w:pPr>
            <w:r>
              <w:rPr>
                <w:i/>
                <w:w w:val="99"/>
                <w:sz w:val="14"/>
              </w:rPr>
              <w:t>-</w:t>
            </w:r>
          </w:p>
        </w:tc>
        <w:tc>
          <w:tcPr>
            <w:tcW w:w="567" w:type="dxa"/>
            <w:tcBorders>
              <w:top w:val="single" w:sz="4" w:space="0" w:color="000000"/>
              <w:bottom w:val="single" w:sz="4" w:space="0" w:color="000000"/>
            </w:tcBorders>
          </w:tcPr>
          <w:p>
            <w:pPr>
              <w:pStyle w:val="TableParagraph"/>
              <w:spacing w:before="23"/>
              <w:ind w:right="97"/>
              <w:rPr>
                <w:sz w:val="14"/>
              </w:rPr>
            </w:pPr>
            <w:r>
              <w:rPr>
                <w:w w:val="99"/>
                <w:sz w:val="14"/>
              </w:rPr>
              <w:t>-</w:t>
            </w:r>
          </w:p>
        </w:tc>
        <w:tc>
          <w:tcPr>
            <w:tcW w:w="578" w:type="dxa"/>
            <w:tcBorders>
              <w:top w:val="single" w:sz="4" w:space="0" w:color="000000"/>
              <w:bottom w:val="single" w:sz="4" w:space="0" w:color="000000"/>
            </w:tcBorders>
          </w:tcPr>
          <w:p>
            <w:pPr>
              <w:pStyle w:val="TableParagraph"/>
              <w:spacing w:before="23"/>
              <w:ind w:right="84"/>
              <w:rPr>
                <w:sz w:val="14"/>
              </w:rPr>
            </w:pPr>
            <w:r>
              <w:rPr>
                <w:w w:val="99"/>
                <w:sz w:val="14"/>
              </w:rPr>
              <w:t>-</w:t>
            </w:r>
          </w:p>
        </w:tc>
        <w:tc>
          <w:tcPr>
            <w:tcW w:w="562" w:type="dxa"/>
            <w:tcBorders>
              <w:top w:val="single" w:sz="4" w:space="0" w:color="000000"/>
              <w:bottom w:val="single" w:sz="4" w:space="0" w:color="000000"/>
            </w:tcBorders>
          </w:tcPr>
          <w:p>
            <w:pPr>
              <w:pStyle w:val="TableParagraph"/>
              <w:spacing w:before="23"/>
              <w:ind w:right="56"/>
              <w:rPr>
                <w:sz w:val="14"/>
              </w:rPr>
            </w:pPr>
            <w:r>
              <w:rPr>
                <w:w w:val="99"/>
                <w:sz w:val="14"/>
              </w:rPr>
              <w:t>-</w:t>
            </w:r>
          </w:p>
        </w:tc>
        <w:tc>
          <w:tcPr>
            <w:tcW w:w="787" w:type="dxa"/>
            <w:tcBorders>
              <w:top w:val="single" w:sz="4" w:space="0" w:color="000000"/>
              <w:bottom w:val="single" w:sz="4" w:space="0" w:color="000000"/>
            </w:tcBorders>
          </w:tcPr>
          <w:p>
            <w:pPr>
              <w:pStyle w:val="TableParagraph"/>
              <w:spacing w:before="23"/>
              <w:ind w:right="103"/>
              <w:rPr>
                <w:i/>
                <w:sz w:val="14"/>
              </w:rPr>
            </w:pPr>
            <w:r>
              <w:rPr>
                <w:i/>
                <w:w w:val="99"/>
                <w:sz w:val="14"/>
              </w:rPr>
              <w:t>-</w:t>
            </w:r>
          </w:p>
        </w:tc>
        <w:tc>
          <w:tcPr>
            <w:tcW w:w="546" w:type="dxa"/>
            <w:tcBorders>
              <w:top w:val="single" w:sz="4" w:space="0" w:color="000000"/>
              <w:bottom w:val="single" w:sz="4" w:space="0" w:color="000000"/>
            </w:tcBorders>
          </w:tcPr>
          <w:p>
            <w:pPr>
              <w:pStyle w:val="TableParagraph"/>
              <w:spacing w:before="23"/>
              <w:ind w:right="49"/>
              <w:rPr>
                <w:b/>
                <w:sz w:val="14"/>
              </w:rPr>
            </w:pPr>
            <w:r>
              <w:rPr>
                <w:b/>
                <w:w w:val="99"/>
                <w:sz w:val="14"/>
              </w:rPr>
              <w:t>-</w:t>
            </w:r>
          </w:p>
        </w:tc>
      </w:tr>
      <w:tr>
        <w:trPr>
          <w:trHeight w:val="230" w:hRule="atLeast"/>
        </w:trPr>
        <w:tc>
          <w:tcPr>
            <w:tcW w:w="1186" w:type="dxa"/>
            <w:tcBorders>
              <w:top w:val="single" w:sz="4" w:space="0" w:color="000000"/>
              <w:bottom w:val="single" w:sz="4" w:space="0" w:color="000000"/>
            </w:tcBorders>
          </w:tcPr>
          <w:p>
            <w:pPr>
              <w:pStyle w:val="TableParagraph"/>
              <w:spacing w:before="28"/>
              <w:ind w:left="67"/>
              <w:jc w:val="left"/>
              <w:rPr>
                <w:sz w:val="14"/>
              </w:rPr>
            </w:pPr>
            <w:r>
              <w:rPr>
                <w:spacing w:val="-2"/>
                <w:sz w:val="14"/>
              </w:rPr>
              <w:t>Reclassified</w:t>
            </w:r>
          </w:p>
        </w:tc>
        <w:tc>
          <w:tcPr>
            <w:tcW w:w="678" w:type="dxa"/>
            <w:tcBorders>
              <w:top w:val="single" w:sz="4" w:space="0" w:color="000000"/>
              <w:bottom w:val="single" w:sz="4" w:space="0" w:color="000000"/>
            </w:tcBorders>
          </w:tcPr>
          <w:p>
            <w:pPr>
              <w:pStyle w:val="TableParagraph"/>
              <w:spacing w:before="28"/>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8"/>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8"/>
              <w:ind w:right="171"/>
              <w:rPr>
                <w:sz w:val="14"/>
              </w:rPr>
            </w:pPr>
            <w:r>
              <w:rPr>
                <w:w w:val="99"/>
                <w:sz w:val="14"/>
              </w:rPr>
              <w:t>-</w:t>
            </w:r>
          </w:p>
        </w:tc>
        <w:tc>
          <w:tcPr>
            <w:tcW w:w="557" w:type="dxa"/>
            <w:tcBorders>
              <w:top w:val="single" w:sz="4" w:space="0" w:color="000000"/>
              <w:bottom w:val="single" w:sz="4" w:space="0" w:color="000000"/>
            </w:tcBorders>
          </w:tcPr>
          <w:p>
            <w:pPr>
              <w:pStyle w:val="TableParagraph"/>
              <w:spacing w:before="28"/>
              <w:ind w:right="167"/>
              <w:rPr>
                <w:sz w:val="14"/>
              </w:rPr>
            </w:pPr>
            <w:r>
              <w:rPr>
                <w:w w:val="99"/>
                <w:sz w:val="14"/>
              </w:rPr>
              <w:t>-</w:t>
            </w:r>
          </w:p>
        </w:tc>
        <w:tc>
          <w:tcPr>
            <w:tcW w:w="549" w:type="dxa"/>
            <w:tcBorders>
              <w:top w:val="single" w:sz="4" w:space="0" w:color="000000"/>
              <w:bottom w:val="single" w:sz="4" w:space="0" w:color="000000"/>
            </w:tcBorders>
          </w:tcPr>
          <w:p>
            <w:pPr>
              <w:pStyle w:val="TableParagraph"/>
              <w:spacing w:before="28"/>
              <w:ind w:left="228"/>
              <w:jc w:val="center"/>
              <w:rPr>
                <w:sz w:val="14"/>
              </w:rPr>
            </w:pPr>
            <w:r>
              <w:rPr>
                <w:w w:val="99"/>
                <w:sz w:val="14"/>
              </w:rPr>
              <w:t>-</w:t>
            </w:r>
          </w:p>
        </w:tc>
        <w:tc>
          <w:tcPr>
            <w:tcW w:w="581" w:type="dxa"/>
            <w:tcBorders>
              <w:top w:val="single" w:sz="4" w:space="0" w:color="000000"/>
              <w:bottom w:val="single" w:sz="4" w:space="0" w:color="000000"/>
            </w:tcBorders>
          </w:tcPr>
          <w:p>
            <w:pPr>
              <w:pStyle w:val="TableParagraph"/>
              <w:spacing w:before="28"/>
              <w:ind w:right="130"/>
              <w:rPr>
                <w:sz w:val="14"/>
              </w:rPr>
            </w:pPr>
            <w:r>
              <w:rPr>
                <w:w w:val="99"/>
                <w:sz w:val="14"/>
              </w:rPr>
              <w:t>-</w:t>
            </w:r>
          </w:p>
        </w:tc>
        <w:tc>
          <w:tcPr>
            <w:tcW w:w="667" w:type="dxa"/>
            <w:tcBorders>
              <w:top w:val="single" w:sz="4" w:space="0" w:color="000000"/>
              <w:bottom w:val="single" w:sz="4" w:space="0" w:color="000000"/>
            </w:tcBorders>
          </w:tcPr>
          <w:p>
            <w:pPr>
              <w:pStyle w:val="TableParagraph"/>
              <w:spacing w:before="28"/>
              <w:ind w:right="201"/>
              <w:rPr>
                <w:sz w:val="14"/>
              </w:rPr>
            </w:pPr>
            <w:r>
              <w:rPr>
                <w:w w:val="99"/>
                <w:sz w:val="14"/>
              </w:rPr>
              <w:t>-</w:t>
            </w:r>
          </w:p>
        </w:tc>
        <w:tc>
          <w:tcPr>
            <w:tcW w:w="677" w:type="dxa"/>
            <w:tcBorders>
              <w:top w:val="single" w:sz="4" w:space="0" w:color="000000"/>
              <w:bottom w:val="single" w:sz="4" w:space="0" w:color="000000"/>
            </w:tcBorders>
          </w:tcPr>
          <w:p>
            <w:pPr>
              <w:pStyle w:val="TableParagraph"/>
              <w:spacing w:before="28"/>
              <w:ind w:right="139"/>
              <w:rPr>
                <w:sz w:val="14"/>
              </w:rPr>
            </w:pPr>
            <w:r>
              <w:rPr>
                <w:w w:val="99"/>
                <w:sz w:val="14"/>
              </w:rPr>
              <w:t>-</w:t>
            </w:r>
          </w:p>
        </w:tc>
        <w:tc>
          <w:tcPr>
            <w:tcW w:w="525" w:type="dxa"/>
            <w:tcBorders>
              <w:top w:val="single" w:sz="4" w:space="0" w:color="000000"/>
              <w:bottom w:val="single" w:sz="4" w:space="0" w:color="000000"/>
            </w:tcBorders>
          </w:tcPr>
          <w:p>
            <w:pPr>
              <w:pStyle w:val="TableParagraph"/>
              <w:spacing w:before="28"/>
              <w:ind w:right="68"/>
              <w:rPr>
                <w:sz w:val="14"/>
              </w:rPr>
            </w:pPr>
            <w:r>
              <w:rPr>
                <w:w w:val="99"/>
                <w:sz w:val="14"/>
              </w:rPr>
              <w:t>-</w:t>
            </w:r>
          </w:p>
        </w:tc>
        <w:tc>
          <w:tcPr>
            <w:tcW w:w="792" w:type="dxa"/>
            <w:tcBorders>
              <w:top w:val="single" w:sz="4" w:space="0" w:color="000000"/>
              <w:bottom w:val="single" w:sz="4" w:space="0" w:color="000000"/>
            </w:tcBorders>
          </w:tcPr>
          <w:p>
            <w:pPr>
              <w:pStyle w:val="TableParagraph"/>
              <w:spacing w:before="28"/>
              <w:ind w:right="125"/>
              <w:rPr>
                <w:i/>
                <w:sz w:val="14"/>
              </w:rPr>
            </w:pPr>
            <w:r>
              <w:rPr>
                <w:i/>
                <w:w w:val="99"/>
                <w:sz w:val="14"/>
              </w:rPr>
              <w:t>-</w:t>
            </w:r>
          </w:p>
        </w:tc>
        <w:tc>
          <w:tcPr>
            <w:tcW w:w="567" w:type="dxa"/>
            <w:tcBorders>
              <w:top w:val="single" w:sz="4" w:space="0" w:color="000000"/>
              <w:bottom w:val="single" w:sz="4" w:space="0" w:color="000000"/>
            </w:tcBorders>
          </w:tcPr>
          <w:p>
            <w:pPr>
              <w:pStyle w:val="TableParagraph"/>
              <w:spacing w:before="28"/>
              <w:ind w:right="97"/>
              <w:rPr>
                <w:sz w:val="14"/>
              </w:rPr>
            </w:pPr>
            <w:r>
              <w:rPr>
                <w:w w:val="99"/>
                <w:sz w:val="14"/>
              </w:rPr>
              <w:t>-</w:t>
            </w:r>
          </w:p>
        </w:tc>
        <w:tc>
          <w:tcPr>
            <w:tcW w:w="578" w:type="dxa"/>
            <w:tcBorders>
              <w:top w:val="single" w:sz="4" w:space="0" w:color="000000"/>
              <w:bottom w:val="single" w:sz="4" w:space="0" w:color="000000"/>
            </w:tcBorders>
          </w:tcPr>
          <w:p>
            <w:pPr>
              <w:pStyle w:val="TableParagraph"/>
              <w:spacing w:before="28"/>
              <w:ind w:right="84"/>
              <w:rPr>
                <w:sz w:val="14"/>
              </w:rPr>
            </w:pPr>
            <w:r>
              <w:rPr>
                <w:w w:val="99"/>
                <w:sz w:val="14"/>
              </w:rPr>
              <w:t>-</w:t>
            </w:r>
          </w:p>
        </w:tc>
        <w:tc>
          <w:tcPr>
            <w:tcW w:w="562" w:type="dxa"/>
            <w:tcBorders>
              <w:top w:val="single" w:sz="4" w:space="0" w:color="000000"/>
              <w:bottom w:val="single" w:sz="4" w:space="0" w:color="000000"/>
            </w:tcBorders>
          </w:tcPr>
          <w:p>
            <w:pPr>
              <w:pStyle w:val="TableParagraph"/>
              <w:spacing w:before="28"/>
              <w:ind w:right="56"/>
              <w:rPr>
                <w:sz w:val="14"/>
              </w:rPr>
            </w:pPr>
            <w:r>
              <w:rPr>
                <w:w w:val="99"/>
                <w:sz w:val="14"/>
              </w:rPr>
              <w:t>-</w:t>
            </w:r>
          </w:p>
        </w:tc>
        <w:tc>
          <w:tcPr>
            <w:tcW w:w="787" w:type="dxa"/>
            <w:tcBorders>
              <w:top w:val="single" w:sz="4" w:space="0" w:color="000000"/>
              <w:bottom w:val="single" w:sz="4" w:space="0" w:color="000000"/>
            </w:tcBorders>
          </w:tcPr>
          <w:p>
            <w:pPr>
              <w:pStyle w:val="TableParagraph"/>
              <w:spacing w:before="28"/>
              <w:ind w:right="103"/>
              <w:rPr>
                <w:i/>
                <w:sz w:val="14"/>
              </w:rPr>
            </w:pPr>
            <w:r>
              <w:rPr>
                <w:i/>
                <w:w w:val="99"/>
                <w:sz w:val="14"/>
              </w:rPr>
              <w:t>-</w:t>
            </w:r>
          </w:p>
        </w:tc>
        <w:tc>
          <w:tcPr>
            <w:tcW w:w="546" w:type="dxa"/>
            <w:tcBorders>
              <w:top w:val="single" w:sz="4" w:space="0" w:color="000000"/>
              <w:bottom w:val="single" w:sz="4" w:space="0" w:color="000000"/>
            </w:tcBorders>
          </w:tcPr>
          <w:p>
            <w:pPr>
              <w:pStyle w:val="TableParagraph"/>
              <w:spacing w:before="28"/>
              <w:ind w:right="49"/>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3"/>
              <w:ind w:left="67"/>
              <w:jc w:val="left"/>
              <w:rPr>
                <w:sz w:val="14"/>
              </w:rPr>
            </w:pPr>
            <w:r>
              <w:rPr>
                <w:spacing w:val="-2"/>
                <w:sz w:val="14"/>
              </w:rPr>
              <w:t>Converted</w:t>
            </w:r>
          </w:p>
        </w:tc>
        <w:tc>
          <w:tcPr>
            <w:tcW w:w="678" w:type="dxa"/>
            <w:tcBorders>
              <w:top w:val="single" w:sz="4" w:space="0" w:color="000000"/>
              <w:bottom w:val="single" w:sz="4" w:space="0" w:color="000000"/>
            </w:tcBorders>
          </w:tcPr>
          <w:p>
            <w:pPr>
              <w:pStyle w:val="TableParagraph"/>
              <w:spacing w:before="23"/>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3"/>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3"/>
              <w:ind w:right="171"/>
              <w:rPr>
                <w:sz w:val="14"/>
              </w:rPr>
            </w:pPr>
            <w:r>
              <w:rPr>
                <w:w w:val="99"/>
                <w:sz w:val="14"/>
              </w:rPr>
              <w:t>-</w:t>
            </w:r>
          </w:p>
        </w:tc>
        <w:tc>
          <w:tcPr>
            <w:tcW w:w="557" w:type="dxa"/>
            <w:tcBorders>
              <w:top w:val="single" w:sz="4" w:space="0" w:color="000000"/>
              <w:bottom w:val="single" w:sz="4" w:space="0" w:color="000000"/>
            </w:tcBorders>
          </w:tcPr>
          <w:p>
            <w:pPr>
              <w:pStyle w:val="TableParagraph"/>
              <w:spacing w:before="23"/>
              <w:ind w:right="167"/>
              <w:rPr>
                <w:sz w:val="14"/>
              </w:rPr>
            </w:pPr>
            <w:r>
              <w:rPr>
                <w:w w:val="99"/>
                <w:sz w:val="14"/>
              </w:rPr>
              <w:t>-</w:t>
            </w:r>
          </w:p>
        </w:tc>
        <w:tc>
          <w:tcPr>
            <w:tcW w:w="549" w:type="dxa"/>
            <w:tcBorders>
              <w:top w:val="single" w:sz="4" w:space="0" w:color="000000"/>
              <w:bottom w:val="single" w:sz="4" w:space="0" w:color="000000"/>
            </w:tcBorders>
          </w:tcPr>
          <w:p>
            <w:pPr>
              <w:pStyle w:val="TableParagraph"/>
              <w:spacing w:before="23"/>
              <w:ind w:left="228"/>
              <w:jc w:val="center"/>
              <w:rPr>
                <w:sz w:val="14"/>
              </w:rPr>
            </w:pPr>
            <w:r>
              <w:rPr>
                <w:w w:val="99"/>
                <w:sz w:val="14"/>
              </w:rPr>
              <w:t>-</w:t>
            </w:r>
          </w:p>
        </w:tc>
        <w:tc>
          <w:tcPr>
            <w:tcW w:w="581" w:type="dxa"/>
            <w:tcBorders>
              <w:top w:val="single" w:sz="4" w:space="0" w:color="000000"/>
              <w:bottom w:val="single" w:sz="4" w:space="0" w:color="000000"/>
            </w:tcBorders>
          </w:tcPr>
          <w:p>
            <w:pPr>
              <w:pStyle w:val="TableParagraph"/>
              <w:spacing w:before="23"/>
              <w:ind w:right="130"/>
              <w:rPr>
                <w:sz w:val="14"/>
              </w:rPr>
            </w:pPr>
            <w:r>
              <w:rPr>
                <w:w w:val="99"/>
                <w:sz w:val="14"/>
              </w:rPr>
              <w:t>-</w:t>
            </w:r>
          </w:p>
        </w:tc>
        <w:tc>
          <w:tcPr>
            <w:tcW w:w="667" w:type="dxa"/>
            <w:tcBorders>
              <w:top w:val="single" w:sz="4" w:space="0" w:color="000000"/>
              <w:bottom w:val="single" w:sz="4" w:space="0" w:color="000000"/>
            </w:tcBorders>
          </w:tcPr>
          <w:p>
            <w:pPr>
              <w:pStyle w:val="TableParagraph"/>
              <w:spacing w:before="23"/>
              <w:ind w:right="197"/>
              <w:rPr>
                <w:sz w:val="14"/>
              </w:rPr>
            </w:pPr>
            <w:r>
              <w:rPr>
                <w:spacing w:val="-2"/>
                <w:sz w:val="14"/>
              </w:rPr>
              <w:t>(2.00)</w:t>
            </w:r>
          </w:p>
        </w:tc>
        <w:tc>
          <w:tcPr>
            <w:tcW w:w="677" w:type="dxa"/>
            <w:tcBorders>
              <w:top w:val="single" w:sz="4" w:space="0" w:color="000000"/>
              <w:bottom w:val="single" w:sz="4" w:space="0" w:color="000000"/>
            </w:tcBorders>
          </w:tcPr>
          <w:p>
            <w:pPr>
              <w:pStyle w:val="TableParagraph"/>
              <w:spacing w:before="23"/>
              <w:ind w:right="135"/>
              <w:rPr>
                <w:sz w:val="14"/>
              </w:rPr>
            </w:pPr>
            <w:r>
              <w:rPr>
                <w:spacing w:val="-2"/>
                <w:sz w:val="14"/>
              </w:rPr>
              <w:t>(5.00)</w:t>
            </w:r>
          </w:p>
        </w:tc>
        <w:tc>
          <w:tcPr>
            <w:tcW w:w="525" w:type="dxa"/>
            <w:tcBorders>
              <w:top w:val="single" w:sz="4" w:space="0" w:color="000000"/>
              <w:bottom w:val="single" w:sz="4" w:space="0" w:color="000000"/>
            </w:tcBorders>
          </w:tcPr>
          <w:p>
            <w:pPr>
              <w:pStyle w:val="TableParagraph"/>
              <w:spacing w:before="23"/>
              <w:ind w:right="68"/>
              <w:rPr>
                <w:sz w:val="14"/>
              </w:rPr>
            </w:pPr>
            <w:r>
              <w:rPr>
                <w:w w:val="99"/>
                <w:sz w:val="14"/>
              </w:rPr>
              <w:t>-</w:t>
            </w:r>
          </w:p>
        </w:tc>
        <w:tc>
          <w:tcPr>
            <w:tcW w:w="792" w:type="dxa"/>
            <w:tcBorders>
              <w:top w:val="single" w:sz="4" w:space="0" w:color="000000"/>
              <w:bottom w:val="single" w:sz="4" w:space="0" w:color="000000"/>
            </w:tcBorders>
          </w:tcPr>
          <w:p>
            <w:pPr>
              <w:pStyle w:val="TableParagraph"/>
              <w:spacing w:before="23"/>
              <w:ind w:right="122"/>
              <w:rPr>
                <w:i/>
                <w:sz w:val="14"/>
              </w:rPr>
            </w:pPr>
            <w:r>
              <w:rPr>
                <w:i/>
                <w:spacing w:val="-2"/>
                <w:sz w:val="14"/>
              </w:rPr>
              <w:t>(7.00)</w:t>
            </w:r>
          </w:p>
        </w:tc>
        <w:tc>
          <w:tcPr>
            <w:tcW w:w="567" w:type="dxa"/>
            <w:tcBorders>
              <w:top w:val="single" w:sz="4" w:space="0" w:color="000000"/>
              <w:bottom w:val="single" w:sz="4" w:space="0" w:color="000000"/>
            </w:tcBorders>
          </w:tcPr>
          <w:p>
            <w:pPr>
              <w:pStyle w:val="TableParagraph"/>
              <w:spacing w:before="23"/>
              <w:ind w:right="97"/>
              <w:rPr>
                <w:sz w:val="14"/>
              </w:rPr>
            </w:pPr>
            <w:r>
              <w:rPr>
                <w:w w:val="99"/>
                <w:sz w:val="14"/>
              </w:rPr>
              <w:t>-</w:t>
            </w:r>
          </w:p>
        </w:tc>
        <w:tc>
          <w:tcPr>
            <w:tcW w:w="578" w:type="dxa"/>
            <w:tcBorders>
              <w:top w:val="single" w:sz="4" w:space="0" w:color="000000"/>
              <w:bottom w:val="single" w:sz="4" w:space="0" w:color="000000"/>
            </w:tcBorders>
          </w:tcPr>
          <w:p>
            <w:pPr>
              <w:pStyle w:val="TableParagraph"/>
              <w:spacing w:before="23"/>
              <w:ind w:right="84"/>
              <w:rPr>
                <w:sz w:val="14"/>
              </w:rPr>
            </w:pPr>
            <w:r>
              <w:rPr>
                <w:w w:val="99"/>
                <w:sz w:val="14"/>
              </w:rPr>
              <w:t>-</w:t>
            </w:r>
          </w:p>
        </w:tc>
        <w:tc>
          <w:tcPr>
            <w:tcW w:w="562" w:type="dxa"/>
            <w:tcBorders>
              <w:top w:val="single" w:sz="4" w:space="0" w:color="000000"/>
              <w:bottom w:val="single" w:sz="4" w:space="0" w:color="000000"/>
            </w:tcBorders>
          </w:tcPr>
          <w:p>
            <w:pPr>
              <w:pStyle w:val="TableParagraph"/>
              <w:spacing w:before="23"/>
              <w:ind w:right="56"/>
              <w:rPr>
                <w:sz w:val="14"/>
              </w:rPr>
            </w:pPr>
            <w:r>
              <w:rPr>
                <w:w w:val="99"/>
                <w:sz w:val="14"/>
              </w:rPr>
              <w:t>-</w:t>
            </w:r>
          </w:p>
        </w:tc>
        <w:tc>
          <w:tcPr>
            <w:tcW w:w="787" w:type="dxa"/>
            <w:tcBorders>
              <w:top w:val="single" w:sz="4" w:space="0" w:color="000000"/>
              <w:bottom w:val="single" w:sz="4" w:space="0" w:color="000000"/>
            </w:tcBorders>
          </w:tcPr>
          <w:p>
            <w:pPr>
              <w:pStyle w:val="TableParagraph"/>
              <w:spacing w:before="23"/>
              <w:ind w:right="103"/>
              <w:rPr>
                <w:i/>
                <w:sz w:val="14"/>
              </w:rPr>
            </w:pPr>
            <w:r>
              <w:rPr>
                <w:i/>
                <w:w w:val="99"/>
                <w:sz w:val="14"/>
              </w:rPr>
              <w:t>-</w:t>
            </w:r>
          </w:p>
        </w:tc>
        <w:tc>
          <w:tcPr>
            <w:tcW w:w="546" w:type="dxa"/>
            <w:tcBorders>
              <w:top w:val="single" w:sz="4" w:space="0" w:color="000000"/>
              <w:bottom w:val="single" w:sz="4" w:space="0" w:color="000000"/>
            </w:tcBorders>
          </w:tcPr>
          <w:p>
            <w:pPr>
              <w:pStyle w:val="TableParagraph"/>
              <w:spacing w:before="23"/>
              <w:ind w:right="45"/>
              <w:rPr>
                <w:b/>
                <w:sz w:val="14"/>
              </w:rPr>
            </w:pPr>
            <w:r>
              <w:rPr>
                <w:b/>
                <w:spacing w:val="-2"/>
                <w:sz w:val="14"/>
              </w:rPr>
              <w:t>(7.00)</w:t>
            </w:r>
          </w:p>
        </w:tc>
      </w:tr>
      <w:tr>
        <w:trPr>
          <w:trHeight w:val="229" w:hRule="atLeast"/>
        </w:trPr>
        <w:tc>
          <w:tcPr>
            <w:tcW w:w="1186" w:type="dxa"/>
            <w:tcBorders>
              <w:top w:val="single" w:sz="4" w:space="0" w:color="000000"/>
              <w:bottom w:val="single" w:sz="12" w:space="0" w:color="000000"/>
            </w:tcBorders>
          </w:tcPr>
          <w:p>
            <w:pPr>
              <w:pStyle w:val="TableParagraph"/>
              <w:spacing w:before="28"/>
              <w:ind w:left="67"/>
              <w:jc w:val="left"/>
              <w:rPr>
                <w:b/>
                <w:sz w:val="14"/>
              </w:rPr>
            </w:pPr>
            <w:r>
              <w:rPr>
                <w:b/>
                <w:sz w:val="14"/>
              </w:rPr>
              <w:t>Proposed</w:t>
            </w:r>
            <w:r>
              <w:rPr>
                <w:b/>
                <w:spacing w:val="-6"/>
                <w:sz w:val="14"/>
              </w:rPr>
              <w:t> </w:t>
            </w:r>
            <w:r>
              <w:rPr>
                <w:b/>
                <w:spacing w:val="-4"/>
                <w:sz w:val="14"/>
              </w:rPr>
              <w:t>2023</w:t>
            </w:r>
          </w:p>
        </w:tc>
        <w:tc>
          <w:tcPr>
            <w:tcW w:w="678" w:type="dxa"/>
            <w:tcBorders>
              <w:top w:val="single" w:sz="4" w:space="0" w:color="000000"/>
              <w:bottom w:val="single" w:sz="12" w:space="0" w:color="000000"/>
            </w:tcBorders>
          </w:tcPr>
          <w:p>
            <w:pPr>
              <w:pStyle w:val="TableParagraph"/>
              <w:spacing w:before="28"/>
              <w:ind w:right="154"/>
              <w:rPr>
                <w:b/>
                <w:sz w:val="14"/>
              </w:rPr>
            </w:pPr>
            <w:r>
              <w:rPr>
                <w:b/>
                <w:w w:val="99"/>
                <w:sz w:val="14"/>
              </w:rPr>
              <w:t>-</w:t>
            </w:r>
          </w:p>
        </w:tc>
        <w:tc>
          <w:tcPr>
            <w:tcW w:w="607" w:type="dxa"/>
            <w:tcBorders>
              <w:top w:val="single" w:sz="4" w:space="0" w:color="000000"/>
              <w:bottom w:val="single" w:sz="12" w:space="0" w:color="000000"/>
            </w:tcBorders>
          </w:tcPr>
          <w:p>
            <w:pPr>
              <w:pStyle w:val="TableParagraph"/>
              <w:spacing w:before="28"/>
              <w:ind w:right="170"/>
              <w:rPr>
                <w:b/>
                <w:sz w:val="14"/>
              </w:rPr>
            </w:pPr>
            <w:r>
              <w:rPr>
                <w:b/>
                <w:w w:val="99"/>
                <w:sz w:val="14"/>
              </w:rPr>
              <w:t>-</w:t>
            </w:r>
          </w:p>
        </w:tc>
        <w:tc>
          <w:tcPr>
            <w:tcW w:w="563" w:type="dxa"/>
            <w:tcBorders>
              <w:top w:val="single" w:sz="4" w:space="0" w:color="000000"/>
              <w:bottom w:val="single" w:sz="12" w:space="0" w:color="000000"/>
            </w:tcBorders>
          </w:tcPr>
          <w:p>
            <w:pPr>
              <w:pStyle w:val="TableParagraph"/>
              <w:spacing w:before="28"/>
              <w:ind w:right="171"/>
              <w:rPr>
                <w:b/>
                <w:sz w:val="14"/>
              </w:rPr>
            </w:pPr>
            <w:r>
              <w:rPr>
                <w:b/>
                <w:w w:val="99"/>
                <w:sz w:val="14"/>
              </w:rPr>
              <w:t>-</w:t>
            </w:r>
          </w:p>
        </w:tc>
        <w:tc>
          <w:tcPr>
            <w:tcW w:w="557" w:type="dxa"/>
            <w:tcBorders>
              <w:top w:val="single" w:sz="4" w:space="0" w:color="000000"/>
              <w:bottom w:val="single" w:sz="12" w:space="0" w:color="000000"/>
            </w:tcBorders>
          </w:tcPr>
          <w:p>
            <w:pPr>
              <w:pStyle w:val="TableParagraph"/>
              <w:spacing w:before="28"/>
              <w:ind w:right="167"/>
              <w:rPr>
                <w:b/>
                <w:sz w:val="14"/>
              </w:rPr>
            </w:pPr>
            <w:r>
              <w:rPr>
                <w:b/>
                <w:w w:val="99"/>
                <w:sz w:val="14"/>
              </w:rPr>
              <w:t>-</w:t>
            </w:r>
          </w:p>
        </w:tc>
        <w:tc>
          <w:tcPr>
            <w:tcW w:w="549" w:type="dxa"/>
            <w:tcBorders>
              <w:top w:val="single" w:sz="4" w:space="0" w:color="000000"/>
              <w:bottom w:val="single" w:sz="12" w:space="0" w:color="000000"/>
            </w:tcBorders>
          </w:tcPr>
          <w:p>
            <w:pPr>
              <w:pStyle w:val="TableParagraph"/>
              <w:spacing w:before="28"/>
              <w:ind w:left="152" w:right="117"/>
              <w:jc w:val="center"/>
              <w:rPr>
                <w:b/>
                <w:sz w:val="14"/>
              </w:rPr>
            </w:pPr>
            <w:r>
              <w:rPr>
                <w:b/>
                <w:spacing w:val="-4"/>
                <w:sz w:val="14"/>
              </w:rPr>
              <w:t>2.50</w:t>
            </w:r>
          </w:p>
        </w:tc>
        <w:tc>
          <w:tcPr>
            <w:tcW w:w="581" w:type="dxa"/>
            <w:tcBorders>
              <w:top w:val="single" w:sz="4" w:space="0" w:color="000000"/>
              <w:bottom w:val="single" w:sz="12" w:space="0" w:color="000000"/>
            </w:tcBorders>
          </w:tcPr>
          <w:p>
            <w:pPr>
              <w:pStyle w:val="TableParagraph"/>
              <w:spacing w:before="28"/>
              <w:ind w:right="126"/>
              <w:rPr>
                <w:b/>
                <w:sz w:val="14"/>
              </w:rPr>
            </w:pPr>
            <w:r>
              <w:rPr>
                <w:b/>
                <w:spacing w:val="-2"/>
                <w:sz w:val="14"/>
              </w:rPr>
              <w:t>11.25</w:t>
            </w:r>
          </w:p>
        </w:tc>
        <w:tc>
          <w:tcPr>
            <w:tcW w:w="667" w:type="dxa"/>
            <w:tcBorders>
              <w:top w:val="single" w:sz="4" w:space="0" w:color="000000"/>
              <w:bottom w:val="single" w:sz="12" w:space="0" w:color="000000"/>
            </w:tcBorders>
          </w:tcPr>
          <w:p>
            <w:pPr>
              <w:pStyle w:val="TableParagraph"/>
              <w:spacing w:before="28"/>
              <w:ind w:right="198"/>
              <w:rPr>
                <w:b/>
                <w:sz w:val="14"/>
              </w:rPr>
            </w:pPr>
            <w:r>
              <w:rPr>
                <w:b/>
                <w:spacing w:val="-2"/>
                <w:sz w:val="14"/>
              </w:rPr>
              <w:t>44.50</w:t>
            </w:r>
          </w:p>
        </w:tc>
        <w:tc>
          <w:tcPr>
            <w:tcW w:w="677" w:type="dxa"/>
            <w:tcBorders>
              <w:top w:val="single" w:sz="4" w:space="0" w:color="000000"/>
              <w:bottom w:val="single" w:sz="12" w:space="0" w:color="000000"/>
            </w:tcBorders>
          </w:tcPr>
          <w:p>
            <w:pPr>
              <w:pStyle w:val="TableParagraph"/>
              <w:spacing w:before="28"/>
              <w:ind w:right="136"/>
              <w:rPr>
                <w:b/>
                <w:sz w:val="14"/>
              </w:rPr>
            </w:pPr>
            <w:r>
              <w:rPr>
                <w:b/>
                <w:spacing w:val="-2"/>
                <w:sz w:val="14"/>
              </w:rPr>
              <w:t>37.50</w:t>
            </w:r>
          </w:p>
        </w:tc>
        <w:tc>
          <w:tcPr>
            <w:tcW w:w="525" w:type="dxa"/>
            <w:tcBorders>
              <w:top w:val="single" w:sz="4" w:space="0" w:color="000000"/>
              <w:bottom w:val="single" w:sz="12" w:space="0" w:color="000000"/>
            </w:tcBorders>
          </w:tcPr>
          <w:p>
            <w:pPr>
              <w:pStyle w:val="TableParagraph"/>
              <w:spacing w:before="28"/>
              <w:ind w:right="65"/>
              <w:rPr>
                <w:b/>
                <w:sz w:val="14"/>
              </w:rPr>
            </w:pPr>
            <w:r>
              <w:rPr>
                <w:b/>
                <w:spacing w:val="-2"/>
                <w:sz w:val="14"/>
              </w:rPr>
              <w:t>10.25</w:t>
            </w:r>
          </w:p>
        </w:tc>
        <w:tc>
          <w:tcPr>
            <w:tcW w:w="792" w:type="dxa"/>
            <w:tcBorders>
              <w:top w:val="single" w:sz="4" w:space="0" w:color="000000"/>
              <w:bottom w:val="single" w:sz="12" w:space="0" w:color="000000"/>
            </w:tcBorders>
          </w:tcPr>
          <w:p>
            <w:pPr>
              <w:pStyle w:val="TableParagraph"/>
              <w:spacing w:before="28"/>
              <w:ind w:right="123"/>
              <w:rPr>
                <w:b/>
                <w:i/>
                <w:sz w:val="14"/>
              </w:rPr>
            </w:pPr>
            <w:r>
              <w:rPr>
                <w:b/>
                <w:i/>
                <w:spacing w:val="-2"/>
                <w:sz w:val="14"/>
              </w:rPr>
              <w:t>106.00</w:t>
            </w:r>
          </w:p>
        </w:tc>
        <w:tc>
          <w:tcPr>
            <w:tcW w:w="567" w:type="dxa"/>
            <w:tcBorders>
              <w:top w:val="single" w:sz="4" w:space="0" w:color="000000"/>
              <w:bottom w:val="single" w:sz="12" w:space="0" w:color="000000"/>
            </w:tcBorders>
          </w:tcPr>
          <w:p>
            <w:pPr>
              <w:pStyle w:val="TableParagraph"/>
              <w:spacing w:before="28"/>
              <w:ind w:right="94"/>
              <w:rPr>
                <w:b/>
                <w:sz w:val="14"/>
              </w:rPr>
            </w:pPr>
            <w:r>
              <w:rPr>
                <w:b/>
                <w:spacing w:val="-4"/>
                <w:sz w:val="14"/>
              </w:rPr>
              <w:t>6.00</w:t>
            </w:r>
          </w:p>
        </w:tc>
        <w:tc>
          <w:tcPr>
            <w:tcW w:w="578" w:type="dxa"/>
            <w:tcBorders>
              <w:top w:val="single" w:sz="4" w:space="0" w:color="000000"/>
              <w:bottom w:val="single" w:sz="12" w:space="0" w:color="000000"/>
            </w:tcBorders>
          </w:tcPr>
          <w:p>
            <w:pPr>
              <w:pStyle w:val="TableParagraph"/>
              <w:spacing w:before="28"/>
              <w:ind w:right="81"/>
              <w:rPr>
                <w:b/>
                <w:sz w:val="14"/>
              </w:rPr>
            </w:pPr>
            <w:r>
              <w:rPr>
                <w:b/>
                <w:spacing w:val="-4"/>
                <w:sz w:val="14"/>
              </w:rPr>
              <w:t>1.00</w:t>
            </w:r>
          </w:p>
        </w:tc>
        <w:tc>
          <w:tcPr>
            <w:tcW w:w="562" w:type="dxa"/>
            <w:tcBorders>
              <w:top w:val="single" w:sz="4" w:space="0" w:color="000000"/>
              <w:bottom w:val="single" w:sz="12" w:space="0" w:color="000000"/>
            </w:tcBorders>
          </w:tcPr>
          <w:p>
            <w:pPr>
              <w:pStyle w:val="TableParagraph"/>
              <w:spacing w:before="28"/>
              <w:ind w:right="53"/>
              <w:rPr>
                <w:b/>
                <w:sz w:val="14"/>
              </w:rPr>
            </w:pPr>
            <w:r>
              <w:rPr>
                <w:b/>
                <w:spacing w:val="-2"/>
                <w:sz w:val="14"/>
              </w:rPr>
              <w:t>51.92</w:t>
            </w:r>
          </w:p>
        </w:tc>
        <w:tc>
          <w:tcPr>
            <w:tcW w:w="787" w:type="dxa"/>
            <w:tcBorders>
              <w:top w:val="single" w:sz="4" w:space="0" w:color="000000"/>
              <w:bottom w:val="single" w:sz="12" w:space="0" w:color="000000"/>
            </w:tcBorders>
          </w:tcPr>
          <w:p>
            <w:pPr>
              <w:pStyle w:val="TableParagraph"/>
              <w:spacing w:before="28"/>
              <w:ind w:right="100"/>
              <w:rPr>
                <w:b/>
                <w:i/>
                <w:sz w:val="14"/>
              </w:rPr>
            </w:pPr>
            <w:r>
              <w:rPr>
                <w:b/>
                <w:i/>
                <w:spacing w:val="-2"/>
                <w:sz w:val="14"/>
              </w:rPr>
              <w:t>58.92</w:t>
            </w:r>
          </w:p>
        </w:tc>
        <w:tc>
          <w:tcPr>
            <w:tcW w:w="546" w:type="dxa"/>
            <w:tcBorders>
              <w:top w:val="single" w:sz="4" w:space="0" w:color="000000"/>
              <w:bottom w:val="single" w:sz="12" w:space="0" w:color="000000"/>
            </w:tcBorders>
          </w:tcPr>
          <w:p>
            <w:pPr>
              <w:pStyle w:val="TableParagraph"/>
              <w:spacing w:before="28"/>
              <w:ind w:right="46"/>
              <w:rPr>
                <w:b/>
                <w:sz w:val="14"/>
              </w:rPr>
            </w:pPr>
            <w:r>
              <w:rPr>
                <w:b/>
                <w:spacing w:val="-2"/>
                <w:sz w:val="14"/>
              </w:rPr>
              <w:t>164.92</w:t>
            </w:r>
          </w:p>
        </w:tc>
      </w:tr>
    </w:tbl>
    <w:p>
      <w:pPr>
        <w:spacing w:after="0"/>
        <w:rPr>
          <w:sz w:val="14"/>
        </w:rPr>
        <w:sectPr>
          <w:pgSz w:w="11910" w:h="16840"/>
          <w:pgMar w:header="953" w:footer="940" w:top="1140" w:bottom="1140" w:left="20" w:right="20"/>
        </w:sectPr>
      </w:pPr>
    </w:p>
    <w:p>
      <w:pPr>
        <w:pStyle w:val="ListParagraph"/>
        <w:numPr>
          <w:ilvl w:val="2"/>
          <w:numId w:val="3"/>
        </w:numPr>
        <w:tabs>
          <w:tab w:pos="2040" w:val="left" w:leader="none"/>
          <w:tab w:pos="2041" w:val="left" w:leader="none"/>
        </w:tabs>
        <w:spacing w:line="491" w:lineRule="auto" w:before="120" w:after="0"/>
        <w:ind w:left="2246" w:right="5386" w:hanging="567"/>
        <w:jc w:val="left"/>
        <w:rPr>
          <w:b/>
          <w:sz w:val="20"/>
        </w:rPr>
      </w:pPr>
      <w:bookmarkStart w:name="_bookmark23" w:id="24"/>
      <w:bookmarkEnd w:id="24"/>
      <w:r>
        <w:rPr>
          <w:b/>
          <w:sz w:val="20"/>
        </w:rPr>
        <w:t>P</w:t>
      </w:r>
      <w:r>
        <w:rPr>
          <w:b/>
          <w:sz w:val="20"/>
        </w:rPr>
        <w:t>rogramme</w:t>
      </w:r>
      <w:r>
        <w:rPr>
          <w:b/>
          <w:spacing w:val="-6"/>
          <w:sz w:val="20"/>
        </w:rPr>
        <w:t> </w:t>
      </w:r>
      <w:r>
        <w:rPr>
          <w:b/>
          <w:sz w:val="20"/>
        </w:rPr>
        <w:t>A:</w:t>
      </w:r>
      <w:r>
        <w:rPr>
          <w:b/>
          <w:spacing w:val="-8"/>
          <w:sz w:val="20"/>
        </w:rPr>
        <w:t> </w:t>
      </w:r>
      <w:r>
        <w:rPr>
          <w:b/>
          <w:sz w:val="20"/>
        </w:rPr>
        <w:t>Prosecutor</w:t>
      </w:r>
      <w:r>
        <w:rPr>
          <w:b/>
          <w:spacing w:val="-6"/>
          <w:sz w:val="20"/>
        </w:rPr>
        <w:t> </w:t>
      </w:r>
      <w:r>
        <w:rPr>
          <w:b/>
          <w:sz w:val="20"/>
        </w:rPr>
        <w:t>Pillar</w:t>
      </w:r>
      <w:r>
        <w:rPr>
          <w:b/>
          <w:spacing w:val="-3"/>
          <w:sz w:val="20"/>
        </w:rPr>
        <w:t> </w:t>
      </w:r>
      <w:r>
        <w:rPr>
          <w:b/>
          <w:sz w:val="20"/>
        </w:rPr>
        <w:t>-</w:t>
      </w:r>
      <w:r>
        <w:rPr>
          <w:b/>
          <w:spacing w:val="-7"/>
          <w:sz w:val="20"/>
        </w:rPr>
        <w:t> </w:t>
      </w:r>
      <w:r>
        <w:rPr>
          <w:b/>
          <w:sz w:val="20"/>
        </w:rPr>
        <w:t>Programme</w:t>
      </w:r>
      <w:r>
        <w:rPr>
          <w:b/>
          <w:spacing w:val="-1"/>
          <w:sz w:val="20"/>
        </w:rPr>
        <w:t> </w:t>
      </w:r>
      <w:r>
        <w:rPr>
          <w:b/>
          <w:sz w:val="20"/>
        </w:rPr>
        <w:t>2500 </w:t>
      </w:r>
      <w:r>
        <w:rPr>
          <w:b/>
          <w:spacing w:val="-2"/>
          <w:sz w:val="20"/>
        </w:rPr>
        <w:t>Introduction</w:t>
      </w:r>
    </w:p>
    <w:p>
      <w:pPr>
        <w:pStyle w:val="ListParagraph"/>
        <w:numPr>
          <w:ilvl w:val="0"/>
          <w:numId w:val="4"/>
        </w:numPr>
        <w:tabs>
          <w:tab w:pos="2967" w:val="left" w:leader="none"/>
        </w:tabs>
        <w:spacing w:line="240" w:lineRule="auto" w:before="0" w:after="0"/>
        <w:ind w:left="2246" w:right="2249" w:firstLine="0"/>
        <w:jc w:val="both"/>
        <w:rPr>
          <w:sz w:val="20"/>
        </w:rPr>
      </w:pPr>
      <w:bookmarkStart w:name="_bookmark24" w:id="25"/>
      <w:bookmarkEnd w:id="25"/>
      <w:r>
        <w:rPr>
          <w:sz w:val="20"/>
        </w:rPr>
        <w:t>F</w:t>
      </w:r>
      <w:r>
        <w:rPr>
          <w:sz w:val="20"/>
        </w:rPr>
        <w:t>ollowing the reorganization of the Office and the opening of the investigation in Ukraine, the following sub-programmes are part of Programme A:</w:t>
      </w:r>
    </w:p>
    <w:p>
      <w:pPr>
        <w:pStyle w:val="ListParagraph"/>
        <w:numPr>
          <w:ilvl w:val="1"/>
          <w:numId w:val="4"/>
        </w:numPr>
        <w:tabs>
          <w:tab w:pos="3686" w:val="left" w:leader="none"/>
          <w:tab w:pos="3687" w:val="left" w:leader="none"/>
        </w:tabs>
        <w:spacing w:line="240" w:lineRule="auto" w:before="119" w:after="0"/>
        <w:ind w:left="3687" w:right="0" w:hanging="360"/>
        <w:jc w:val="left"/>
        <w:rPr>
          <w:sz w:val="20"/>
        </w:rPr>
      </w:pPr>
      <w:r>
        <w:rPr>
          <w:sz w:val="20"/>
        </w:rPr>
        <w:t>Immediate</w:t>
      </w:r>
      <w:r>
        <w:rPr>
          <w:spacing w:val="-3"/>
          <w:sz w:val="20"/>
        </w:rPr>
        <w:t> </w:t>
      </w:r>
      <w:r>
        <w:rPr>
          <w:sz w:val="20"/>
        </w:rPr>
        <w:t>Office</w:t>
      </w:r>
      <w:r>
        <w:rPr>
          <w:spacing w:val="-6"/>
          <w:sz w:val="20"/>
        </w:rPr>
        <w:t> </w:t>
      </w:r>
      <w:r>
        <w:rPr>
          <w:sz w:val="20"/>
        </w:rPr>
        <w:t>of</w:t>
      </w:r>
      <w:r>
        <w:rPr>
          <w:spacing w:val="-8"/>
          <w:sz w:val="20"/>
        </w:rPr>
        <w:t> </w:t>
      </w:r>
      <w:r>
        <w:rPr>
          <w:sz w:val="20"/>
        </w:rPr>
        <w:t>the</w:t>
      </w:r>
      <w:r>
        <w:rPr>
          <w:spacing w:val="-2"/>
          <w:sz w:val="20"/>
        </w:rPr>
        <w:t> Prosecutor</w:t>
      </w:r>
    </w:p>
    <w:p>
      <w:pPr>
        <w:pStyle w:val="ListParagraph"/>
        <w:numPr>
          <w:ilvl w:val="1"/>
          <w:numId w:val="4"/>
        </w:numPr>
        <w:tabs>
          <w:tab w:pos="3686" w:val="left" w:leader="none"/>
          <w:tab w:pos="3687" w:val="left" w:leader="none"/>
        </w:tabs>
        <w:spacing w:line="240" w:lineRule="auto" w:before="121" w:after="0"/>
        <w:ind w:left="3687" w:right="0" w:hanging="360"/>
        <w:jc w:val="left"/>
        <w:rPr>
          <w:sz w:val="20"/>
        </w:rPr>
      </w:pPr>
      <w:r>
        <w:rPr>
          <w:sz w:val="20"/>
        </w:rPr>
        <w:t>Office of</w:t>
      </w:r>
      <w:r>
        <w:rPr>
          <w:spacing w:val="-10"/>
          <w:sz w:val="20"/>
        </w:rPr>
        <w:t> </w:t>
      </w:r>
      <w:r>
        <w:rPr>
          <w:sz w:val="20"/>
        </w:rPr>
        <w:t>External</w:t>
      </w:r>
      <w:r>
        <w:rPr>
          <w:spacing w:val="-4"/>
          <w:sz w:val="20"/>
        </w:rPr>
        <w:t> </w:t>
      </w:r>
      <w:r>
        <w:rPr>
          <w:spacing w:val="-2"/>
          <w:sz w:val="20"/>
        </w:rPr>
        <w:t>Affairs</w:t>
      </w:r>
    </w:p>
    <w:p>
      <w:pPr>
        <w:pStyle w:val="ListParagraph"/>
        <w:numPr>
          <w:ilvl w:val="1"/>
          <w:numId w:val="4"/>
        </w:numPr>
        <w:tabs>
          <w:tab w:pos="3686" w:val="left" w:leader="none"/>
          <w:tab w:pos="3687" w:val="left" w:leader="none"/>
        </w:tabs>
        <w:spacing w:line="240" w:lineRule="auto" w:before="120" w:after="0"/>
        <w:ind w:left="3687" w:right="0" w:hanging="360"/>
        <w:jc w:val="left"/>
        <w:rPr>
          <w:sz w:val="20"/>
        </w:rPr>
      </w:pPr>
      <w:r>
        <w:rPr>
          <w:sz w:val="20"/>
        </w:rPr>
        <w:t>Legal</w:t>
      </w:r>
      <w:r>
        <w:rPr>
          <w:spacing w:val="-6"/>
          <w:sz w:val="20"/>
        </w:rPr>
        <w:t> </w:t>
      </w:r>
      <w:r>
        <w:rPr>
          <w:sz w:val="20"/>
        </w:rPr>
        <w:t>Advisory</w:t>
      </w:r>
      <w:r>
        <w:rPr>
          <w:spacing w:val="-3"/>
          <w:sz w:val="20"/>
        </w:rPr>
        <w:t> </w:t>
      </w:r>
      <w:r>
        <w:rPr>
          <w:spacing w:val="-2"/>
          <w:sz w:val="20"/>
        </w:rPr>
        <w:t>Section</w:t>
      </w:r>
    </w:p>
    <w:p>
      <w:pPr>
        <w:pStyle w:val="ListParagraph"/>
        <w:numPr>
          <w:ilvl w:val="1"/>
          <w:numId w:val="4"/>
        </w:numPr>
        <w:tabs>
          <w:tab w:pos="3686" w:val="left" w:leader="none"/>
          <w:tab w:pos="3687" w:val="left" w:leader="none"/>
        </w:tabs>
        <w:spacing w:line="240" w:lineRule="auto" w:before="121" w:after="0"/>
        <w:ind w:left="3687" w:right="0" w:hanging="360"/>
        <w:jc w:val="left"/>
        <w:rPr>
          <w:sz w:val="20"/>
        </w:rPr>
      </w:pPr>
      <w:r>
        <w:rPr>
          <w:sz w:val="20"/>
        </w:rPr>
        <w:t>Public</w:t>
      </w:r>
      <w:r>
        <w:rPr>
          <w:spacing w:val="-7"/>
          <w:sz w:val="20"/>
        </w:rPr>
        <w:t> </w:t>
      </w:r>
      <w:r>
        <w:rPr>
          <w:sz w:val="20"/>
        </w:rPr>
        <w:t>Information</w:t>
      </w:r>
      <w:r>
        <w:rPr>
          <w:spacing w:val="-10"/>
          <w:sz w:val="20"/>
        </w:rPr>
        <w:t> </w:t>
      </w:r>
      <w:r>
        <w:rPr>
          <w:spacing w:val="-4"/>
          <w:sz w:val="20"/>
        </w:rPr>
        <w:t>Unit</w:t>
      </w:r>
    </w:p>
    <w:p>
      <w:pPr>
        <w:pStyle w:val="ListParagraph"/>
        <w:numPr>
          <w:ilvl w:val="1"/>
          <w:numId w:val="4"/>
        </w:numPr>
        <w:tabs>
          <w:tab w:pos="3686" w:val="left" w:leader="none"/>
          <w:tab w:pos="3687" w:val="left" w:leader="none"/>
        </w:tabs>
        <w:spacing w:line="240" w:lineRule="auto" w:before="121" w:after="0"/>
        <w:ind w:left="3687" w:right="0" w:hanging="360"/>
        <w:jc w:val="left"/>
        <w:rPr>
          <w:sz w:val="20"/>
        </w:rPr>
      </w:pPr>
      <w:r>
        <w:rPr>
          <w:sz w:val="20"/>
        </w:rPr>
        <w:t>Financial</w:t>
      </w:r>
      <w:r>
        <w:rPr>
          <w:spacing w:val="-5"/>
          <w:sz w:val="20"/>
        </w:rPr>
        <w:t> </w:t>
      </w:r>
      <w:r>
        <w:rPr>
          <w:sz w:val="20"/>
        </w:rPr>
        <w:t>Planning</w:t>
      </w:r>
      <w:r>
        <w:rPr>
          <w:spacing w:val="-10"/>
          <w:sz w:val="20"/>
        </w:rPr>
        <w:t> </w:t>
      </w:r>
      <w:r>
        <w:rPr>
          <w:sz w:val="20"/>
        </w:rPr>
        <w:t>and</w:t>
      </w:r>
      <w:r>
        <w:rPr>
          <w:spacing w:val="-7"/>
          <w:sz w:val="20"/>
        </w:rPr>
        <w:t> </w:t>
      </w:r>
      <w:r>
        <w:rPr>
          <w:sz w:val="20"/>
        </w:rPr>
        <w:t>Control</w:t>
      </w:r>
      <w:r>
        <w:rPr>
          <w:spacing w:val="-4"/>
          <w:sz w:val="20"/>
        </w:rPr>
        <w:t> Unit</w:t>
      </w:r>
    </w:p>
    <w:p>
      <w:pPr>
        <w:pStyle w:val="ListParagraph"/>
        <w:numPr>
          <w:ilvl w:val="1"/>
          <w:numId w:val="4"/>
        </w:numPr>
        <w:tabs>
          <w:tab w:pos="3686" w:val="left" w:leader="none"/>
          <w:tab w:pos="3687" w:val="left" w:leader="none"/>
        </w:tabs>
        <w:spacing w:line="240" w:lineRule="auto" w:before="120" w:after="0"/>
        <w:ind w:left="3687" w:right="0" w:hanging="360"/>
        <w:jc w:val="left"/>
        <w:rPr>
          <w:sz w:val="20"/>
        </w:rPr>
      </w:pPr>
      <w:r>
        <w:rPr>
          <w:sz w:val="20"/>
        </w:rPr>
        <w:t>OTP-HR</w:t>
      </w:r>
      <w:r>
        <w:rPr>
          <w:spacing w:val="-5"/>
          <w:sz w:val="20"/>
        </w:rPr>
        <w:t> </w:t>
      </w:r>
      <w:r>
        <w:rPr>
          <w:spacing w:val="-2"/>
          <w:sz w:val="20"/>
        </w:rPr>
        <w:t>Office</w:t>
      </w:r>
    </w:p>
    <w:p>
      <w:pPr>
        <w:pStyle w:val="ListParagraph"/>
        <w:numPr>
          <w:ilvl w:val="1"/>
          <w:numId w:val="4"/>
        </w:numPr>
        <w:tabs>
          <w:tab w:pos="3686" w:val="left" w:leader="none"/>
          <w:tab w:pos="3687" w:val="left" w:leader="none"/>
        </w:tabs>
        <w:spacing w:line="240" w:lineRule="auto" w:before="120" w:after="0"/>
        <w:ind w:left="3687" w:right="0" w:hanging="360"/>
        <w:jc w:val="left"/>
        <w:rPr>
          <w:sz w:val="20"/>
        </w:rPr>
      </w:pPr>
      <w:r>
        <w:rPr>
          <w:sz w:val="20"/>
        </w:rPr>
        <w:t>Unified</w:t>
      </w:r>
      <w:r>
        <w:rPr>
          <w:spacing w:val="-5"/>
          <w:sz w:val="20"/>
        </w:rPr>
        <w:t> </w:t>
      </w:r>
      <w:r>
        <w:rPr>
          <w:sz w:val="20"/>
        </w:rPr>
        <w:t>Team</w:t>
      </w:r>
      <w:r>
        <w:rPr>
          <w:spacing w:val="-1"/>
          <w:sz w:val="20"/>
        </w:rPr>
        <w:t> </w:t>
      </w:r>
      <w:r>
        <w:rPr>
          <w:sz w:val="20"/>
        </w:rPr>
        <w:t>–</w:t>
      </w:r>
      <w:r>
        <w:rPr>
          <w:spacing w:val="-3"/>
          <w:sz w:val="20"/>
        </w:rPr>
        <w:t> </w:t>
      </w:r>
      <w:r>
        <w:rPr>
          <w:spacing w:val="-2"/>
          <w:sz w:val="20"/>
        </w:rPr>
        <w:t>Ukraine</w:t>
      </w:r>
    </w:p>
    <w:p>
      <w:pPr>
        <w:pStyle w:val="BodyText"/>
      </w:pPr>
    </w:p>
    <w:p>
      <w:pPr>
        <w:pStyle w:val="BodyText"/>
        <w:spacing w:before="2"/>
        <w:rPr>
          <w:sz w:val="27"/>
        </w:rPr>
      </w:pPr>
      <w:r>
        <w:rPr/>
        <w:drawing>
          <wp:anchor distT="0" distB="0" distL="0" distR="0" allowOverlap="1" layoutInCell="1" locked="0" behindDoc="0" simplePos="0" relativeHeight="34">
            <wp:simplePos x="0" y="0"/>
            <wp:positionH relativeFrom="page">
              <wp:posOffset>1538520</wp:posOffset>
            </wp:positionH>
            <wp:positionV relativeFrom="paragraph">
              <wp:posOffset>213788</wp:posOffset>
            </wp:positionV>
            <wp:extent cx="5182557" cy="2128647"/>
            <wp:effectExtent l="0" t="0" r="0" b="0"/>
            <wp:wrapTopAndBottom/>
            <wp:docPr id="5" name="image5.png"/>
            <wp:cNvGraphicFramePr>
              <a:graphicFrameLocks noChangeAspect="1"/>
            </wp:cNvGraphicFramePr>
            <a:graphic>
              <a:graphicData uri="http://schemas.openxmlformats.org/drawingml/2006/picture">
                <pic:pic>
                  <pic:nvPicPr>
                    <pic:cNvPr id="6" name="image5.png"/>
                    <pic:cNvPicPr/>
                  </pic:nvPicPr>
                  <pic:blipFill>
                    <a:blip r:embed="rId33" cstate="print"/>
                    <a:stretch>
                      <a:fillRect/>
                    </a:stretch>
                  </pic:blipFill>
                  <pic:spPr>
                    <a:xfrm>
                      <a:off x="0" y="0"/>
                      <a:ext cx="5182557" cy="2128647"/>
                    </a:xfrm>
                    <a:prstGeom prst="rect">
                      <a:avLst/>
                    </a:prstGeom>
                  </pic:spPr>
                </pic:pic>
              </a:graphicData>
            </a:graphic>
          </wp:anchor>
        </w:drawing>
      </w:r>
    </w:p>
    <w:p>
      <w:pPr>
        <w:pStyle w:val="BodyText"/>
        <w:spacing w:before="1"/>
        <w:rPr>
          <w:sz w:val="22"/>
        </w:rPr>
      </w:pPr>
    </w:p>
    <w:p>
      <w:pPr>
        <w:pStyle w:val="Heading3"/>
        <w:numPr>
          <w:ilvl w:val="0"/>
          <w:numId w:val="6"/>
        </w:numPr>
        <w:tabs>
          <w:tab w:pos="2246" w:val="left" w:leader="none"/>
          <w:tab w:pos="2247" w:val="left" w:leader="none"/>
        </w:tabs>
        <w:spacing w:line="240" w:lineRule="auto" w:before="0" w:after="0"/>
        <w:ind w:left="2246" w:right="0" w:hanging="568"/>
        <w:jc w:val="left"/>
      </w:pPr>
      <w:r>
        <w:rPr/>
        <w:t>Immediate</w:t>
      </w:r>
      <w:r>
        <w:rPr>
          <w:spacing w:val="-6"/>
        </w:rPr>
        <w:t> </w:t>
      </w:r>
      <w:r>
        <w:rPr/>
        <w:t>Office</w:t>
      </w:r>
      <w:r>
        <w:rPr>
          <w:spacing w:val="-6"/>
        </w:rPr>
        <w:t> </w:t>
      </w:r>
      <w:r>
        <w:rPr/>
        <w:t>of</w:t>
      </w:r>
      <w:r>
        <w:rPr>
          <w:spacing w:val="-4"/>
        </w:rPr>
        <w:t> </w:t>
      </w:r>
      <w:r>
        <w:rPr/>
        <w:t>the</w:t>
      </w:r>
      <w:r>
        <w:rPr>
          <w:spacing w:val="-5"/>
        </w:rPr>
        <w:t> </w:t>
      </w:r>
      <w:r>
        <w:rPr>
          <w:spacing w:val="-2"/>
        </w:rPr>
        <w:t>Prosecutor</w:t>
      </w:r>
    </w:p>
    <w:p>
      <w:pPr>
        <w:pStyle w:val="BodyText"/>
        <w:spacing w:before="6"/>
        <w:rPr>
          <w:b/>
        </w:rPr>
      </w:pPr>
    </w:p>
    <w:p>
      <w:pPr>
        <w:pStyle w:val="ListParagraph"/>
        <w:numPr>
          <w:ilvl w:val="0"/>
          <w:numId w:val="4"/>
        </w:numPr>
        <w:tabs>
          <w:tab w:pos="2967" w:val="left" w:leader="none"/>
        </w:tabs>
        <w:spacing w:line="240" w:lineRule="auto" w:before="0" w:after="0"/>
        <w:ind w:left="2246" w:right="2241" w:firstLine="0"/>
        <w:jc w:val="both"/>
        <w:rPr>
          <w:sz w:val="20"/>
        </w:rPr>
      </w:pPr>
      <w:r>
        <w:rPr>
          <w:sz w:val="20"/>
        </w:rPr>
        <w:t>The</w:t>
      </w:r>
      <w:r>
        <w:rPr>
          <w:spacing w:val="-10"/>
          <w:sz w:val="20"/>
        </w:rPr>
        <w:t> </w:t>
      </w:r>
      <w:r>
        <w:rPr>
          <w:sz w:val="20"/>
        </w:rPr>
        <w:t>Immediate</w:t>
      </w:r>
      <w:r>
        <w:rPr>
          <w:spacing w:val="-9"/>
          <w:sz w:val="20"/>
        </w:rPr>
        <w:t> </w:t>
      </w:r>
      <w:r>
        <w:rPr>
          <w:sz w:val="20"/>
        </w:rPr>
        <w:t>Office</w:t>
      </w:r>
      <w:r>
        <w:rPr>
          <w:spacing w:val="-9"/>
          <w:sz w:val="20"/>
        </w:rPr>
        <w:t> </w:t>
      </w:r>
      <w:r>
        <w:rPr>
          <w:sz w:val="20"/>
        </w:rPr>
        <w:t>of</w:t>
      </w:r>
      <w:r>
        <w:rPr>
          <w:spacing w:val="-10"/>
          <w:sz w:val="20"/>
        </w:rPr>
        <w:t> </w:t>
      </w:r>
      <w:r>
        <w:rPr>
          <w:sz w:val="20"/>
        </w:rPr>
        <w:t>the</w:t>
      </w:r>
      <w:r>
        <w:rPr>
          <w:spacing w:val="-9"/>
          <w:sz w:val="20"/>
        </w:rPr>
        <w:t> </w:t>
      </w:r>
      <w:r>
        <w:rPr>
          <w:sz w:val="20"/>
        </w:rPr>
        <w:t>Prosecutor</w:t>
      </w:r>
      <w:r>
        <w:rPr>
          <w:spacing w:val="-10"/>
          <w:sz w:val="20"/>
        </w:rPr>
        <w:t> </w:t>
      </w:r>
      <w:r>
        <w:rPr>
          <w:sz w:val="20"/>
        </w:rPr>
        <w:t>(IOP)</w:t>
      </w:r>
      <w:r>
        <w:rPr>
          <w:spacing w:val="-10"/>
          <w:sz w:val="20"/>
        </w:rPr>
        <w:t> </w:t>
      </w:r>
      <w:r>
        <w:rPr>
          <w:sz w:val="20"/>
        </w:rPr>
        <w:t>provides</w:t>
      </w:r>
      <w:r>
        <w:rPr>
          <w:spacing w:val="-12"/>
          <w:sz w:val="20"/>
        </w:rPr>
        <w:t> </w:t>
      </w:r>
      <w:r>
        <w:rPr>
          <w:sz w:val="20"/>
        </w:rPr>
        <w:t>support</w:t>
      </w:r>
      <w:r>
        <w:rPr>
          <w:spacing w:val="-9"/>
          <w:sz w:val="20"/>
        </w:rPr>
        <w:t> </w:t>
      </w:r>
      <w:r>
        <w:rPr>
          <w:sz w:val="20"/>
        </w:rPr>
        <w:t>and</w:t>
      </w:r>
      <w:r>
        <w:rPr>
          <w:spacing w:val="-13"/>
          <w:sz w:val="20"/>
        </w:rPr>
        <w:t> </w:t>
      </w:r>
      <w:r>
        <w:rPr>
          <w:sz w:val="20"/>
        </w:rPr>
        <w:t>critical</w:t>
      </w:r>
      <w:r>
        <w:rPr>
          <w:spacing w:val="-8"/>
          <w:sz w:val="20"/>
        </w:rPr>
        <w:t> </w:t>
      </w:r>
      <w:r>
        <w:rPr>
          <w:sz w:val="20"/>
        </w:rPr>
        <w:t>services to</w:t>
      </w:r>
      <w:r>
        <w:rPr>
          <w:spacing w:val="-13"/>
          <w:sz w:val="20"/>
        </w:rPr>
        <w:t> </w:t>
      </w:r>
      <w:r>
        <w:rPr>
          <w:sz w:val="20"/>
        </w:rPr>
        <w:t>the</w:t>
      </w:r>
      <w:r>
        <w:rPr>
          <w:spacing w:val="-12"/>
          <w:sz w:val="20"/>
        </w:rPr>
        <w:t> </w:t>
      </w:r>
      <w:r>
        <w:rPr>
          <w:sz w:val="20"/>
        </w:rPr>
        <w:t>Prosecutor</w:t>
      </w:r>
      <w:r>
        <w:rPr>
          <w:spacing w:val="-13"/>
          <w:sz w:val="20"/>
        </w:rPr>
        <w:t> </w:t>
      </w:r>
      <w:r>
        <w:rPr>
          <w:sz w:val="20"/>
        </w:rPr>
        <w:t>and</w:t>
      </w:r>
      <w:r>
        <w:rPr>
          <w:spacing w:val="-12"/>
          <w:sz w:val="20"/>
        </w:rPr>
        <w:t> </w:t>
      </w:r>
      <w:r>
        <w:rPr>
          <w:sz w:val="20"/>
        </w:rPr>
        <w:t>the</w:t>
      </w:r>
      <w:r>
        <w:rPr>
          <w:spacing w:val="-13"/>
          <w:sz w:val="20"/>
        </w:rPr>
        <w:t> </w:t>
      </w:r>
      <w:r>
        <w:rPr>
          <w:sz w:val="20"/>
        </w:rPr>
        <w:t>Office</w:t>
      </w:r>
      <w:r>
        <w:rPr>
          <w:spacing w:val="-12"/>
          <w:sz w:val="20"/>
        </w:rPr>
        <w:t> </w:t>
      </w:r>
      <w:r>
        <w:rPr>
          <w:sz w:val="20"/>
        </w:rPr>
        <w:t>with</w:t>
      </w:r>
      <w:r>
        <w:rPr>
          <w:spacing w:val="-13"/>
          <w:sz w:val="20"/>
        </w:rPr>
        <w:t> </w:t>
      </w:r>
      <w:r>
        <w:rPr>
          <w:sz w:val="20"/>
        </w:rPr>
        <w:t>marginal</w:t>
      </w:r>
      <w:r>
        <w:rPr>
          <w:spacing w:val="-12"/>
          <w:sz w:val="20"/>
        </w:rPr>
        <w:t> </w:t>
      </w:r>
      <w:r>
        <w:rPr>
          <w:sz w:val="20"/>
        </w:rPr>
        <w:t>resources,</w:t>
      </w:r>
      <w:r>
        <w:rPr>
          <w:spacing w:val="-13"/>
          <w:sz w:val="20"/>
        </w:rPr>
        <w:t> </w:t>
      </w:r>
      <w:r>
        <w:rPr>
          <w:sz w:val="20"/>
        </w:rPr>
        <w:t>facilitating</w:t>
      </w:r>
      <w:r>
        <w:rPr>
          <w:spacing w:val="-12"/>
          <w:sz w:val="20"/>
        </w:rPr>
        <w:t> </w:t>
      </w:r>
      <w:r>
        <w:rPr>
          <w:sz w:val="20"/>
        </w:rPr>
        <w:t>the</w:t>
      </w:r>
      <w:r>
        <w:rPr>
          <w:spacing w:val="-13"/>
          <w:sz w:val="20"/>
        </w:rPr>
        <w:t> </w:t>
      </w:r>
      <w:r>
        <w:rPr>
          <w:sz w:val="20"/>
        </w:rPr>
        <w:t>Office’s</w:t>
      </w:r>
      <w:r>
        <w:rPr>
          <w:spacing w:val="-12"/>
          <w:sz w:val="20"/>
        </w:rPr>
        <w:t> </w:t>
      </w:r>
      <w:r>
        <w:rPr>
          <w:sz w:val="20"/>
        </w:rPr>
        <w:t>overall</w:t>
      </w:r>
      <w:r>
        <w:rPr>
          <w:spacing w:val="-13"/>
          <w:sz w:val="20"/>
        </w:rPr>
        <w:t> </w:t>
      </w:r>
      <w:r>
        <w:rPr>
          <w:sz w:val="20"/>
        </w:rPr>
        <w:t>aims of being an effective and efficient organ of the Court. IOP performs a variety of critical support, review and advisory functions, notably providing substantive advice and administrative support to the Prosecutor in the implementation of his functions, while more broadly</w:t>
      </w:r>
      <w:r>
        <w:rPr>
          <w:spacing w:val="-9"/>
          <w:sz w:val="20"/>
        </w:rPr>
        <w:t> </w:t>
      </w:r>
      <w:r>
        <w:rPr>
          <w:sz w:val="20"/>
        </w:rPr>
        <w:t>ensuring</w:t>
      </w:r>
      <w:r>
        <w:rPr>
          <w:spacing w:val="-5"/>
          <w:sz w:val="20"/>
        </w:rPr>
        <w:t> </w:t>
      </w:r>
      <w:r>
        <w:rPr>
          <w:sz w:val="20"/>
        </w:rPr>
        <w:t>quality</w:t>
      </w:r>
      <w:r>
        <w:rPr>
          <w:spacing w:val="-9"/>
          <w:sz w:val="20"/>
        </w:rPr>
        <w:t> </w:t>
      </w:r>
      <w:r>
        <w:rPr>
          <w:sz w:val="20"/>
        </w:rPr>
        <w:t>control</w:t>
      </w:r>
      <w:r>
        <w:rPr>
          <w:spacing w:val="-8"/>
          <w:sz w:val="20"/>
        </w:rPr>
        <w:t> </w:t>
      </w:r>
      <w:r>
        <w:rPr>
          <w:sz w:val="20"/>
        </w:rPr>
        <w:t>and</w:t>
      </w:r>
      <w:r>
        <w:rPr>
          <w:spacing w:val="-5"/>
          <w:sz w:val="20"/>
        </w:rPr>
        <w:t> </w:t>
      </w:r>
      <w:r>
        <w:rPr>
          <w:sz w:val="20"/>
        </w:rPr>
        <w:t>management</w:t>
      </w:r>
      <w:r>
        <w:rPr>
          <w:spacing w:val="-8"/>
          <w:sz w:val="20"/>
        </w:rPr>
        <w:t> </w:t>
      </w:r>
      <w:r>
        <w:rPr>
          <w:sz w:val="20"/>
        </w:rPr>
        <w:t>of</w:t>
      </w:r>
      <w:r>
        <w:rPr>
          <w:spacing w:val="-5"/>
          <w:sz w:val="20"/>
        </w:rPr>
        <w:t> </w:t>
      </w:r>
      <w:r>
        <w:rPr>
          <w:sz w:val="20"/>
        </w:rPr>
        <w:t>the</w:t>
      </w:r>
      <w:r>
        <w:rPr>
          <w:spacing w:val="-3"/>
          <w:sz w:val="20"/>
        </w:rPr>
        <w:t> </w:t>
      </w:r>
      <w:r>
        <w:rPr>
          <w:sz w:val="20"/>
        </w:rPr>
        <w:t>Office.</w:t>
      </w:r>
      <w:r>
        <w:rPr>
          <w:spacing w:val="-2"/>
          <w:sz w:val="20"/>
        </w:rPr>
        <w:t> </w:t>
      </w:r>
      <w:r>
        <w:rPr>
          <w:sz w:val="20"/>
        </w:rPr>
        <w:t>On</w:t>
      </w:r>
      <w:r>
        <w:rPr>
          <w:spacing w:val="-5"/>
          <w:sz w:val="20"/>
        </w:rPr>
        <w:t> </w:t>
      </w:r>
      <w:r>
        <w:rPr>
          <w:sz w:val="20"/>
        </w:rPr>
        <w:t>behalf</w:t>
      </w:r>
      <w:r>
        <w:rPr>
          <w:spacing w:val="-9"/>
          <w:sz w:val="20"/>
        </w:rPr>
        <w:t> </w:t>
      </w:r>
      <w:r>
        <w:rPr>
          <w:sz w:val="20"/>
        </w:rPr>
        <w:t>of</w:t>
      </w:r>
      <w:r>
        <w:rPr>
          <w:spacing w:val="-9"/>
          <w:sz w:val="20"/>
        </w:rPr>
        <w:t> </w:t>
      </w:r>
      <w:r>
        <w:rPr>
          <w:sz w:val="20"/>
        </w:rPr>
        <w:t>the</w:t>
      </w:r>
      <w:r>
        <w:rPr>
          <w:spacing w:val="-3"/>
          <w:sz w:val="20"/>
        </w:rPr>
        <w:t> </w:t>
      </w:r>
      <w:r>
        <w:rPr>
          <w:sz w:val="20"/>
        </w:rPr>
        <w:t>Prosecutor, IOP</w:t>
      </w:r>
      <w:r>
        <w:rPr>
          <w:spacing w:val="-5"/>
          <w:sz w:val="20"/>
        </w:rPr>
        <w:t> </w:t>
      </w:r>
      <w:r>
        <w:rPr>
          <w:sz w:val="20"/>
        </w:rPr>
        <w:t>also</w:t>
      </w:r>
      <w:r>
        <w:rPr>
          <w:spacing w:val="-13"/>
          <w:sz w:val="20"/>
        </w:rPr>
        <w:t> </w:t>
      </w:r>
      <w:r>
        <w:rPr>
          <w:sz w:val="20"/>
        </w:rPr>
        <w:t>acts</w:t>
      </w:r>
      <w:r>
        <w:rPr>
          <w:spacing w:val="-5"/>
          <w:sz w:val="20"/>
        </w:rPr>
        <w:t> </w:t>
      </w:r>
      <w:r>
        <w:rPr>
          <w:sz w:val="20"/>
        </w:rPr>
        <w:t>as</w:t>
      </w:r>
      <w:r>
        <w:rPr>
          <w:spacing w:val="-10"/>
          <w:sz w:val="20"/>
        </w:rPr>
        <w:t> </w:t>
      </w:r>
      <w:r>
        <w:rPr>
          <w:sz w:val="20"/>
        </w:rPr>
        <w:t>an</w:t>
      </w:r>
      <w:r>
        <w:rPr>
          <w:spacing w:val="-8"/>
          <w:sz w:val="20"/>
        </w:rPr>
        <w:t> </w:t>
      </w:r>
      <w:r>
        <w:rPr>
          <w:sz w:val="20"/>
        </w:rPr>
        <w:t>interface</w:t>
      </w:r>
      <w:r>
        <w:rPr>
          <w:spacing w:val="-2"/>
          <w:sz w:val="20"/>
        </w:rPr>
        <w:t> </w:t>
      </w:r>
      <w:r>
        <w:rPr>
          <w:sz w:val="20"/>
        </w:rPr>
        <w:t>with</w:t>
      </w:r>
      <w:r>
        <w:rPr>
          <w:spacing w:val="-8"/>
          <w:sz w:val="20"/>
        </w:rPr>
        <w:t> </w:t>
      </w:r>
      <w:r>
        <w:rPr>
          <w:sz w:val="20"/>
        </w:rPr>
        <w:t>the</w:t>
      </w:r>
      <w:r>
        <w:rPr>
          <w:spacing w:val="-7"/>
          <w:sz w:val="20"/>
        </w:rPr>
        <w:t> </w:t>
      </w:r>
      <w:r>
        <w:rPr>
          <w:sz w:val="20"/>
        </w:rPr>
        <w:t>other</w:t>
      </w:r>
      <w:r>
        <w:rPr>
          <w:spacing w:val="-8"/>
          <w:sz w:val="20"/>
        </w:rPr>
        <w:t> </w:t>
      </w:r>
      <w:r>
        <w:rPr>
          <w:sz w:val="20"/>
        </w:rPr>
        <w:t>organs</w:t>
      </w:r>
      <w:r>
        <w:rPr>
          <w:spacing w:val="-5"/>
          <w:sz w:val="20"/>
        </w:rPr>
        <w:t> </w:t>
      </w:r>
      <w:r>
        <w:rPr>
          <w:sz w:val="20"/>
        </w:rPr>
        <w:t>of</w:t>
      </w:r>
      <w:r>
        <w:rPr>
          <w:spacing w:val="-8"/>
          <w:sz w:val="20"/>
        </w:rPr>
        <w:t> </w:t>
      </w:r>
      <w:r>
        <w:rPr>
          <w:sz w:val="20"/>
        </w:rPr>
        <w:t>the</w:t>
      </w:r>
      <w:r>
        <w:rPr>
          <w:spacing w:val="-7"/>
          <w:sz w:val="20"/>
        </w:rPr>
        <w:t> </w:t>
      </w:r>
      <w:r>
        <w:rPr>
          <w:sz w:val="20"/>
        </w:rPr>
        <w:t>Court</w:t>
      </w:r>
      <w:r>
        <w:rPr>
          <w:spacing w:val="-7"/>
          <w:sz w:val="20"/>
        </w:rPr>
        <w:t> </w:t>
      </w:r>
      <w:r>
        <w:rPr>
          <w:sz w:val="20"/>
        </w:rPr>
        <w:t>ensuring</w:t>
      </w:r>
      <w:r>
        <w:rPr>
          <w:spacing w:val="-8"/>
          <w:sz w:val="20"/>
        </w:rPr>
        <w:t> </w:t>
      </w:r>
      <w:r>
        <w:rPr>
          <w:sz w:val="20"/>
        </w:rPr>
        <w:t>effective</w:t>
      </w:r>
      <w:r>
        <w:rPr>
          <w:spacing w:val="-7"/>
          <w:sz w:val="20"/>
        </w:rPr>
        <w:t> </w:t>
      </w:r>
      <w:r>
        <w:rPr>
          <w:sz w:val="20"/>
        </w:rPr>
        <w:t>inter-organ relations</w:t>
      </w:r>
      <w:r>
        <w:rPr>
          <w:spacing w:val="-13"/>
          <w:sz w:val="20"/>
        </w:rPr>
        <w:t> </w:t>
      </w:r>
      <w:r>
        <w:rPr>
          <w:sz w:val="20"/>
        </w:rPr>
        <w:t>and</w:t>
      </w:r>
      <w:r>
        <w:rPr>
          <w:spacing w:val="-12"/>
          <w:sz w:val="20"/>
        </w:rPr>
        <w:t> </w:t>
      </w:r>
      <w:r>
        <w:rPr>
          <w:sz w:val="20"/>
        </w:rPr>
        <w:t>communication</w:t>
      </w:r>
      <w:r>
        <w:rPr>
          <w:spacing w:val="-13"/>
          <w:sz w:val="20"/>
        </w:rPr>
        <w:t> </w:t>
      </w:r>
      <w:r>
        <w:rPr>
          <w:sz w:val="20"/>
        </w:rPr>
        <w:t>as</w:t>
      </w:r>
      <w:r>
        <w:rPr>
          <w:spacing w:val="-12"/>
          <w:sz w:val="20"/>
        </w:rPr>
        <w:t> </w:t>
      </w:r>
      <w:r>
        <w:rPr>
          <w:sz w:val="20"/>
        </w:rPr>
        <w:t>well</w:t>
      </w:r>
      <w:r>
        <w:rPr>
          <w:spacing w:val="-13"/>
          <w:sz w:val="20"/>
        </w:rPr>
        <w:t> </w:t>
      </w:r>
      <w:r>
        <w:rPr>
          <w:sz w:val="20"/>
        </w:rPr>
        <w:t>as</w:t>
      </w:r>
      <w:r>
        <w:rPr>
          <w:spacing w:val="-12"/>
          <w:sz w:val="20"/>
        </w:rPr>
        <w:t> </w:t>
      </w:r>
      <w:r>
        <w:rPr>
          <w:sz w:val="20"/>
        </w:rPr>
        <w:t>cooperation</w:t>
      </w:r>
      <w:r>
        <w:rPr>
          <w:spacing w:val="-13"/>
          <w:sz w:val="20"/>
        </w:rPr>
        <w:t> </w:t>
      </w:r>
      <w:r>
        <w:rPr>
          <w:sz w:val="20"/>
        </w:rPr>
        <w:t>in</w:t>
      </w:r>
      <w:r>
        <w:rPr>
          <w:spacing w:val="-12"/>
          <w:sz w:val="20"/>
        </w:rPr>
        <w:t> </w:t>
      </w:r>
      <w:r>
        <w:rPr>
          <w:sz w:val="20"/>
        </w:rPr>
        <w:t>the</w:t>
      </w:r>
      <w:r>
        <w:rPr>
          <w:spacing w:val="-13"/>
          <w:sz w:val="20"/>
        </w:rPr>
        <w:t> </w:t>
      </w:r>
      <w:r>
        <w:rPr>
          <w:sz w:val="20"/>
        </w:rPr>
        <w:t>overall</w:t>
      </w:r>
      <w:r>
        <w:rPr>
          <w:spacing w:val="-12"/>
          <w:sz w:val="20"/>
        </w:rPr>
        <w:t> </w:t>
      </w:r>
      <w:r>
        <w:rPr>
          <w:sz w:val="20"/>
        </w:rPr>
        <w:t>administration</w:t>
      </w:r>
      <w:r>
        <w:rPr>
          <w:spacing w:val="-13"/>
          <w:sz w:val="20"/>
        </w:rPr>
        <w:t> </w:t>
      </w:r>
      <w:r>
        <w:rPr>
          <w:sz w:val="20"/>
        </w:rPr>
        <w:t>of</w:t>
      </w:r>
      <w:r>
        <w:rPr>
          <w:spacing w:val="-12"/>
          <w:sz w:val="20"/>
        </w:rPr>
        <w:t> </w:t>
      </w:r>
      <w:r>
        <w:rPr>
          <w:sz w:val="20"/>
        </w:rPr>
        <w:t>the</w:t>
      </w:r>
      <w:r>
        <w:rPr>
          <w:spacing w:val="-13"/>
          <w:sz w:val="20"/>
        </w:rPr>
        <w:t> </w:t>
      </w:r>
      <w:r>
        <w:rPr>
          <w:sz w:val="20"/>
        </w:rPr>
        <w:t>Court, and works closely with all components of the Office to organize and record meetings for senior</w:t>
      </w:r>
      <w:r>
        <w:rPr>
          <w:spacing w:val="-4"/>
          <w:sz w:val="20"/>
        </w:rPr>
        <w:t> </w:t>
      </w:r>
      <w:r>
        <w:rPr>
          <w:sz w:val="20"/>
        </w:rPr>
        <w:t>management,</w:t>
      </w:r>
      <w:r>
        <w:rPr>
          <w:spacing w:val="-1"/>
          <w:sz w:val="20"/>
        </w:rPr>
        <w:t> </w:t>
      </w:r>
      <w:r>
        <w:rPr>
          <w:sz w:val="20"/>
        </w:rPr>
        <w:t>implement</w:t>
      </w:r>
      <w:r>
        <w:rPr>
          <w:spacing w:val="-2"/>
          <w:sz w:val="20"/>
        </w:rPr>
        <w:t> </w:t>
      </w:r>
      <w:r>
        <w:rPr>
          <w:sz w:val="20"/>
        </w:rPr>
        <w:t>the</w:t>
      </w:r>
      <w:r>
        <w:rPr>
          <w:spacing w:val="-2"/>
          <w:sz w:val="20"/>
        </w:rPr>
        <w:t> </w:t>
      </w:r>
      <w:r>
        <w:rPr>
          <w:sz w:val="20"/>
        </w:rPr>
        <w:t>Prosecutor’s</w:t>
      </w:r>
      <w:r>
        <w:rPr>
          <w:spacing w:val="-5"/>
          <w:sz w:val="20"/>
        </w:rPr>
        <w:t> </w:t>
      </w:r>
      <w:r>
        <w:rPr>
          <w:sz w:val="20"/>
        </w:rPr>
        <w:t>instructions</w:t>
      </w:r>
      <w:r>
        <w:rPr>
          <w:spacing w:val="-5"/>
          <w:sz w:val="20"/>
        </w:rPr>
        <w:t> </w:t>
      </w:r>
      <w:r>
        <w:rPr>
          <w:sz w:val="20"/>
        </w:rPr>
        <w:t>on</w:t>
      </w:r>
      <w:r>
        <w:rPr>
          <w:spacing w:val="-4"/>
          <w:sz w:val="20"/>
        </w:rPr>
        <w:t> </w:t>
      </w:r>
      <w:r>
        <w:rPr>
          <w:sz w:val="20"/>
        </w:rPr>
        <w:t>any</w:t>
      </w:r>
      <w:r>
        <w:rPr>
          <w:spacing w:val="-4"/>
          <w:sz w:val="20"/>
        </w:rPr>
        <w:t> </w:t>
      </w:r>
      <w:r>
        <w:rPr>
          <w:sz w:val="20"/>
        </w:rPr>
        <w:t>matter</w:t>
      </w:r>
      <w:r>
        <w:rPr>
          <w:spacing w:val="-4"/>
          <w:sz w:val="20"/>
        </w:rPr>
        <w:t> </w:t>
      </w:r>
      <w:r>
        <w:rPr>
          <w:sz w:val="20"/>
        </w:rPr>
        <w:t>so</w:t>
      </w:r>
      <w:r>
        <w:rPr>
          <w:spacing w:val="-4"/>
          <w:sz w:val="20"/>
        </w:rPr>
        <w:t> </w:t>
      </w:r>
      <w:r>
        <w:rPr>
          <w:sz w:val="20"/>
        </w:rPr>
        <w:t>requested</w:t>
      </w:r>
      <w:r>
        <w:rPr>
          <w:spacing w:val="-4"/>
          <w:sz w:val="20"/>
        </w:rPr>
        <w:t> </w:t>
      </w:r>
      <w:r>
        <w:rPr>
          <w:sz w:val="20"/>
        </w:rPr>
        <w:t>and ensure</w:t>
      </w:r>
      <w:r>
        <w:rPr>
          <w:spacing w:val="-10"/>
          <w:sz w:val="20"/>
        </w:rPr>
        <w:t> </w:t>
      </w:r>
      <w:r>
        <w:rPr>
          <w:sz w:val="20"/>
        </w:rPr>
        <w:t>consistency</w:t>
      </w:r>
      <w:r>
        <w:rPr>
          <w:spacing w:val="-7"/>
          <w:sz w:val="20"/>
        </w:rPr>
        <w:t> </w:t>
      </w:r>
      <w:r>
        <w:rPr>
          <w:sz w:val="20"/>
        </w:rPr>
        <w:t>in</w:t>
      </w:r>
      <w:r>
        <w:rPr>
          <w:spacing w:val="-7"/>
          <w:sz w:val="20"/>
        </w:rPr>
        <w:t> </w:t>
      </w:r>
      <w:r>
        <w:rPr>
          <w:sz w:val="20"/>
        </w:rPr>
        <w:t>standards</w:t>
      </w:r>
      <w:r>
        <w:rPr>
          <w:spacing w:val="-9"/>
          <w:sz w:val="20"/>
        </w:rPr>
        <w:t> </w:t>
      </w:r>
      <w:r>
        <w:rPr>
          <w:sz w:val="20"/>
        </w:rPr>
        <w:t>and</w:t>
      </w:r>
      <w:r>
        <w:rPr>
          <w:spacing w:val="-12"/>
          <w:sz w:val="20"/>
        </w:rPr>
        <w:t> </w:t>
      </w:r>
      <w:r>
        <w:rPr>
          <w:sz w:val="20"/>
        </w:rPr>
        <w:t>approach</w:t>
      </w:r>
      <w:r>
        <w:rPr>
          <w:spacing w:val="-7"/>
          <w:sz w:val="20"/>
        </w:rPr>
        <w:t> </w:t>
      </w:r>
      <w:r>
        <w:rPr>
          <w:sz w:val="20"/>
        </w:rPr>
        <w:t>in</w:t>
      </w:r>
      <w:r>
        <w:rPr>
          <w:spacing w:val="-7"/>
          <w:sz w:val="20"/>
        </w:rPr>
        <w:t> </w:t>
      </w:r>
      <w:r>
        <w:rPr>
          <w:sz w:val="20"/>
        </w:rPr>
        <w:t>line</w:t>
      </w:r>
      <w:r>
        <w:rPr>
          <w:spacing w:val="-6"/>
          <w:sz w:val="20"/>
        </w:rPr>
        <w:t> </w:t>
      </w:r>
      <w:r>
        <w:rPr>
          <w:sz w:val="20"/>
        </w:rPr>
        <w:t>with</w:t>
      </w:r>
      <w:r>
        <w:rPr>
          <w:spacing w:val="-7"/>
          <w:sz w:val="20"/>
        </w:rPr>
        <w:t> </w:t>
      </w:r>
      <w:r>
        <w:rPr>
          <w:sz w:val="20"/>
        </w:rPr>
        <w:t>the</w:t>
      </w:r>
      <w:r>
        <w:rPr>
          <w:spacing w:val="-10"/>
          <w:sz w:val="20"/>
        </w:rPr>
        <w:t> </w:t>
      </w:r>
      <w:r>
        <w:rPr>
          <w:sz w:val="20"/>
        </w:rPr>
        <w:t>Prosecutor’s</w:t>
      </w:r>
      <w:r>
        <w:rPr>
          <w:spacing w:val="-9"/>
          <w:sz w:val="20"/>
        </w:rPr>
        <w:t> </w:t>
      </w:r>
      <w:r>
        <w:rPr>
          <w:sz w:val="20"/>
        </w:rPr>
        <w:t>vision</w:t>
      </w:r>
      <w:r>
        <w:rPr>
          <w:spacing w:val="-7"/>
          <w:sz w:val="20"/>
        </w:rPr>
        <w:t> </w:t>
      </w:r>
      <w:r>
        <w:rPr>
          <w:sz w:val="20"/>
        </w:rPr>
        <w:t>and</w:t>
      </w:r>
      <w:r>
        <w:rPr>
          <w:spacing w:val="-12"/>
          <w:sz w:val="20"/>
        </w:rPr>
        <w:t> </w:t>
      </w:r>
      <w:r>
        <w:rPr>
          <w:sz w:val="20"/>
        </w:rPr>
        <w:t>lessons </w:t>
      </w:r>
      <w:r>
        <w:rPr>
          <w:spacing w:val="-2"/>
          <w:sz w:val="20"/>
        </w:rPr>
        <w:t>learned.</w:t>
      </w:r>
    </w:p>
    <w:p>
      <w:pPr>
        <w:pStyle w:val="ListParagraph"/>
        <w:numPr>
          <w:ilvl w:val="0"/>
          <w:numId w:val="4"/>
        </w:numPr>
        <w:tabs>
          <w:tab w:pos="2967" w:val="left" w:leader="none"/>
        </w:tabs>
        <w:spacing w:line="240" w:lineRule="auto" w:before="121" w:after="0"/>
        <w:ind w:left="2246" w:right="2235" w:firstLine="0"/>
        <w:jc w:val="both"/>
        <w:rPr>
          <w:sz w:val="20"/>
        </w:rPr>
      </w:pPr>
      <w:r>
        <w:rPr>
          <w:sz w:val="20"/>
        </w:rPr>
        <w:t>IOP supports the Legal Advisory Section in the development and maintenance of the Office’s professional and ethical standards and their application in the day-to-day functioning of the Office.</w:t>
      </w:r>
    </w:p>
    <w:p>
      <w:pPr>
        <w:pStyle w:val="ListParagraph"/>
        <w:numPr>
          <w:ilvl w:val="0"/>
          <w:numId w:val="4"/>
        </w:numPr>
        <w:tabs>
          <w:tab w:pos="2967" w:val="left" w:leader="none"/>
        </w:tabs>
        <w:spacing w:line="240" w:lineRule="auto" w:before="122" w:after="0"/>
        <w:ind w:left="2246" w:right="2240" w:firstLine="0"/>
        <w:jc w:val="both"/>
        <w:rPr>
          <w:sz w:val="20"/>
        </w:rPr>
      </w:pPr>
      <w:r>
        <w:rPr>
          <w:sz w:val="20"/>
        </w:rPr>
        <w:t>In</w:t>
      </w:r>
      <w:r>
        <w:rPr>
          <w:spacing w:val="-5"/>
          <w:sz w:val="20"/>
        </w:rPr>
        <w:t> </w:t>
      </w:r>
      <w:r>
        <w:rPr>
          <w:sz w:val="20"/>
        </w:rPr>
        <w:t>its</w:t>
      </w:r>
      <w:r>
        <w:rPr>
          <w:spacing w:val="-11"/>
          <w:sz w:val="20"/>
        </w:rPr>
        <w:t> </w:t>
      </w:r>
      <w:r>
        <w:rPr>
          <w:sz w:val="20"/>
        </w:rPr>
        <w:t>support</w:t>
      </w:r>
      <w:r>
        <w:rPr>
          <w:spacing w:val="-3"/>
          <w:sz w:val="20"/>
        </w:rPr>
        <w:t> </w:t>
      </w:r>
      <w:r>
        <w:rPr>
          <w:sz w:val="20"/>
        </w:rPr>
        <w:t>functions,</w:t>
      </w:r>
      <w:r>
        <w:rPr>
          <w:spacing w:val="-2"/>
          <w:sz w:val="20"/>
        </w:rPr>
        <w:t> </w:t>
      </w:r>
      <w:r>
        <w:rPr>
          <w:sz w:val="20"/>
        </w:rPr>
        <w:t>IOP</w:t>
      </w:r>
      <w:r>
        <w:rPr>
          <w:spacing w:val="-11"/>
          <w:sz w:val="20"/>
        </w:rPr>
        <w:t> </w:t>
      </w:r>
      <w:r>
        <w:rPr>
          <w:sz w:val="20"/>
        </w:rPr>
        <w:t>also</w:t>
      </w:r>
      <w:r>
        <w:rPr>
          <w:spacing w:val="-9"/>
          <w:sz w:val="20"/>
        </w:rPr>
        <w:t> </w:t>
      </w:r>
      <w:r>
        <w:rPr>
          <w:sz w:val="20"/>
        </w:rPr>
        <w:t>ensures,</w:t>
      </w:r>
      <w:r>
        <w:rPr>
          <w:spacing w:val="-7"/>
          <w:sz w:val="20"/>
        </w:rPr>
        <w:t> </w:t>
      </w:r>
      <w:r>
        <w:rPr>
          <w:sz w:val="20"/>
        </w:rPr>
        <w:t>in</w:t>
      </w:r>
      <w:r>
        <w:rPr>
          <w:spacing w:val="-9"/>
          <w:sz w:val="20"/>
        </w:rPr>
        <w:t> </w:t>
      </w:r>
      <w:r>
        <w:rPr>
          <w:sz w:val="20"/>
        </w:rPr>
        <w:t>close</w:t>
      </w:r>
      <w:r>
        <w:rPr>
          <w:spacing w:val="-3"/>
          <w:sz w:val="20"/>
        </w:rPr>
        <w:t> </w:t>
      </w:r>
      <w:r>
        <w:rPr>
          <w:sz w:val="20"/>
        </w:rPr>
        <w:t>collaboration</w:t>
      </w:r>
      <w:r>
        <w:rPr>
          <w:spacing w:val="-5"/>
          <w:sz w:val="20"/>
        </w:rPr>
        <w:t> </w:t>
      </w:r>
      <w:r>
        <w:rPr>
          <w:sz w:val="20"/>
        </w:rPr>
        <w:t>with</w:t>
      </w:r>
      <w:r>
        <w:rPr>
          <w:spacing w:val="-5"/>
          <w:sz w:val="20"/>
        </w:rPr>
        <w:t> </w:t>
      </w:r>
      <w:r>
        <w:rPr>
          <w:sz w:val="20"/>
        </w:rPr>
        <w:t>OTP-HR,</w:t>
      </w:r>
      <w:r>
        <w:rPr>
          <w:spacing w:val="-7"/>
          <w:sz w:val="20"/>
        </w:rPr>
        <w:t> </w:t>
      </w:r>
      <w:r>
        <w:rPr>
          <w:sz w:val="20"/>
        </w:rPr>
        <w:t>that recruitment processes foster the objective of balanced gender and geographical representation at all post levels in the Office, in furtherance of its internal performance targets, Strategic Goal 8 of the OTP Strategic Plan for 2023-2025, the recommendations of the IER report and the Prosecutor’s vision for the Office.</w:t>
      </w:r>
      <w:r>
        <w:rPr>
          <w:sz w:val="20"/>
          <w:vertAlign w:val="superscript"/>
        </w:rPr>
        <w:t>42</w:t>
      </w:r>
      <w:r>
        <w:rPr>
          <w:sz w:val="20"/>
          <w:vertAlign w:val="baseline"/>
        </w:rPr>
        <w:t> IOP also supports OTP-HR in processing human resource matters and staff requests addressed to the Prosecutor.</w:t>
      </w:r>
    </w:p>
    <w:p>
      <w:pPr>
        <w:pStyle w:val="BodyText"/>
        <w:spacing w:before="7"/>
      </w:pPr>
      <w:r>
        <w:rPr/>
        <w:pict>
          <v:rect style="position:absolute;margin-left:113.330002pt;margin-top:13.089495pt;width:144.050pt;height:.48004pt;mso-position-horizontal-relative:page;mso-position-vertical-relative:paragraph;z-index:-15710720;mso-wrap-distance-left:0;mso-wrap-distance-right:0" id="docshape93" filled="true" fillcolor="#000000" stroked="false">
            <v:fill type="solid"/>
            <w10:wrap type="topAndBottom"/>
          </v:rect>
        </w:pict>
      </w:r>
    </w:p>
    <w:p>
      <w:pPr>
        <w:spacing w:before="86"/>
        <w:ind w:left="2246" w:right="2195" w:firstLine="0"/>
        <w:jc w:val="left"/>
        <w:rPr>
          <w:sz w:val="16"/>
        </w:rPr>
      </w:pPr>
      <w:r>
        <w:rPr>
          <w:position w:val="5"/>
          <w:sz w:val="10"/>
        </w:rPr>
        <w:t>42</w:t>
      </w:r>
      <w:r>
        <w:rPr>
          <w:spacing w:val="40"/>
          <w:position w:val="5"/>
          <w:sz w:val="10"/>
        </w:rPr>
        <w:t> </w:t>
      </w:r>
      <w:r>
        <w:rPr>
          <w:sz w:val="16"/>
        </w:rPr>
        <w:t>See</w:t>
      </w:r>
      <w:r>
        <w:rPr>
          <w:spacing w:val="28"/>
          <w:sz w:val="16"/>
        </w:rPr>
        <w:t> </w:t>
      </w:r>
      <w:r>
        <w:rPr>
          <w:i/>
          <w:sz w:val="16"/>
        </w:rPr>
        <w:t>Independent</w:t>
      </w:r>
      <w:r>
        <w:rPr>
          <w:i/>
          <w:spacing w:val="25"/>
          <w:sz w:val="16"/>
        </w:rPr>
        <w:t> </w:t>
      </w:r>
      <w:r>
        <w:rPr>
          <w:i/>
          <w:sz w:val="16"/>
        </w:rPr>
        <w:t>Expert</w:t>
      </w:r>
      <w:r>
        <w:rPr>
          <w:i/>
          <w:spacing w:val="25"/>
          <w:sz w:val="16"/>
        </w:rPr>
        <w:t> </w:t>
      </w:r>
      <w:r>
        <w:rPr>
          <w:i/>
          <w:sz w:val="16"/>
        </w:rPr>
        <w:t>Review</w:t>
      </w:r>
      <w:r>
        <w:rPr>
          <w:i/>
          <w:spacing w:val="26"/>
          <w:sz w:val="16"/>
        </w:rPr>
        <w:t> </w:t>
      </w:r>
      <w:r>
        <w:rPr>
          <w:i/>
          <w:sz w:val="16"/>
        </w:rPr>
        <w:t>of</w:t>
      </w:r>
      <w:r>
        <w:rPr>
          <w:i/>
          <w:spacing w:val="25"/>
          <w:sz w:val="16"/>
        </w:rPr>
        <w:t> </w:t>
      </w:r>
      <w:r>
        <w:rPr>
          <w:i/>
          <w:sz w:val="16"/>
        </w:rPr>
        <w:t>the</w:t>
      </w:r>
      <w:r>
        <w:rPr>
          <w:i/>
          <w:spacing w:val="27"/>
          <w:sz w:val="16"/>
        </w:rPr>
        <w:t> </w:t>
      </w:r>
      <w:r>
        <w:rPr>
          <w:i/>
          <w:sz w:val="16"/>
        </w:rPr>
        <w:t>International</w:t>
      </w:r>
      <w:r>
        <w:rPr>
          <w:i/>
          <w:spacing w:val="25"/>
          <w:sz w:val="16"/>
        </w:rPr>
        <w:t> </w:t>
      </w:r>
      <w:r>
        <w:rPr>
          <w:i/>
          <w:sz w:val="16"/>
        </w:rPr>
        <w:t>Criminal</w:t>
      </w:r>
      <w:r>
        <w:rPr>
          <w:i/>
          <w:spacing w:val="25"/>
          <w:sz w:val="16"/>
        </w:rPr>
        <w:t> </w:t>
      </w:r>
      <w:r>
        <w:rPr>
          <w:i/>
          <w:sz w:val="16"/>
        </w:rPr>
        <w:t>Court</w:t>
      </w:r>
      <w:r>
        <w:rPr>
          <w:i/>
          <w:spacing w:val="25"/>
          <w:sz w:val="16"/>
        </w:rPr>
        <w:t> </w:t>
      </w:r>
      <w:r>
        <w:rPr>
          <w:i/>
          <w:sz w:val="16"/>
        </w:rPr>
        <w:t>and</w:t>
      </w:r>
      <w:r>
        <w:rPr>
          <w:i/>
          <w:spacing w:val="28"/>
          <w:sz w:val="16"/>
        </w:rPr>
        <w:t> </w:t>
      </w:r>
      <w:r>
        <w:rPr>
          <w:i/>
          <w:sz w:val="16"/>
        </w:rPr>
        <w:t>the</w:t>
      </w:r>
      <w:r>
        <w:rPr>
          <w:i/>
          <w:spacing w:val="27"/>
          <w:sz w:val="16"/>
        </w:rPr>
        <w:t> </w:t>
      </w:r>
      <w:r>
        <w:rPr>
          <w:i/>
          <w:sz w:val="16"/>
        </w:rPr>
        <w:t>Rome</w:t>
      </w:r>
      <w:r>
        <w:rPr>
          <w:i/>
          <w:spacing w:val="27"/>
          <w:sz w:val="16"/>
        </w:rPr>
        <w:t> </w:t>
      </w:r>
      <w:r>
        <w:rPr>
          <w:i/>
          <w:sz w:val="16"/>
        </w:rPr>
        <w:t>Statute</w:t>
      </w:r>
      <w:r>
        <w:rPr>
          <w:i/>
          <w:spacing w:val="38"/>
          <w:sz w:val="16"/>
        </w:rPr>
        <w:t> </w:t>
      </w:r>
      <w:r>
        <w:rPr>
          <w:i/>
          <w:sz w:val="16"/>
        </w:rPr>
        <w:t>–</w:t>
      </w:r>
      <w:r>
        <w:rPr>
          <w:i/>
          <w:spacing w:val="28"/>
          <w:sz w:val="16"/>
        </w:rPr>
        <w:t> </w:t>
      </w:r>
      <w:r>
        <w:rPr>
          <w:i/>
          <w:sz w:val="16"/>
        </w:rPr>
        <w:t>Final</w:t>
      </w:r>
      <w:r>
        <w:rPr>
          <w:i/>
          <w:spacing w:val="25"/>
          <w:sz w:val="16"/>
        </w:rPr>
        <w:t> </w:t>
      </w:r>
      <w:r>
        <w:rPr>
          <w:i/>
          <w:sz w:val="16"/>
        </w:rPr>
        <w:t>Report</w:t>
      </w:r>
      <w:r>
        <w:rPr>
          <w:sz w:val="16"/>
        </w:rPr>
        <w:t>,</w:t>
      </w:r>
      <w:r>
        <w:rPr>
          <w:spacing w:val="40"/>
          <w:sz w:val="16"/>
        </w:rPr>
        <w:t> </w:t>
      </w:r>
      <w:r>
        <w:rPr>
          <w:sz w:val="16"/>
        </w:rPr>
        <w:t>30 September 2020, paras. 64 and 138, and R15.</w:t>
      </w:r>
    </w:p>
    <w:p>
      <w:pPr>
        <w:spacing w:after="0"/>
        <w:jc w:val="left"/>
        <w:rPr>
          <w:sz w:val="16"/>
        </w:rPr>
        <w:sectPr>
          <w:pgSz w:w="11910" w:h="16840"/>
          <w:pgMar w:header="957" w:footer="940" w:top="1140" w:bottom="1140" w:left="20" w:right="20"/>
        </w:sectPr>
      </w:pPr>
    </w:p>
    <w:p>
      <w:pPr>
        <w:pStyle w:val="ListParagraph"/>
        <w:numPr>
          <w:ilvl w:val="0"/>
          <w:numId w:val="4"/>
        </w:numPr>
        <w:tabs>
          <w:tab w:pos="2967" w:val="left" w:leader="none"/>
        </w:tabs>
        <w:spacing w:line="240" w:lineRule="auto" w:before="124" w:after="0"/>
        <w:ind w:left="2246" w:right="2243" w:firstLine="0"/>
        <w:jc w:val="both"/>
        <w:rPr>
          <w:sz w:val="20"/>
        </w:rPr>
      </w:pPr>
      <w:r>
        <w:rPr>
          <w:sz w:val="20"/>
        </w:rPr>
        <w:t>IOP</w:t>
      </w:r>
      <w:r>
        <w:rPr>
          <w:spacing w:val="-7"/>
          <w:sz w:val="20"/>
        </w:rPr>
        <w:t> </w:t>
      </w:r>
      <w:r>
        <w:rPr>
          <w:sz w:val="20"/>
        </w:rPr>
        <w:t>works</w:t>
      </w:r>
      <w:r>
        <w:rPr>
          <w:spacing w:val="-12"/>
          <w:sz w:val="20"/>
        </w:rPr>
        <w:t> </w:t>
      </w:r>
      <w:r>
        <w:rPr>
          <w:sz w:val="20"/>
        </w:rPr>
        <w:t>with</w:t>
      </w:r>
      <w:r>
        <w:rPr>
          <w:spacing w:val="-10"/>
          <w:sz w:val="20"/>
        </w:rPr>
        <w:t> </w:t>
      </w:r>
      <w:r>
        <w:rPr>
          <w:sz w:val="20"/>
        </w:rPr>
        <w:t>the</w:t>
      </w:r>
      <w:r>
        <w:rPr>
          <w:spacing w:val="-4"/>
          <w:sz w:val="20"/>
        </w:rPr>
        <w:t> </w:t>
      </w:r>
      <w:r>
        <w:rPr>
          <w:sz w:val="20"/>
        </w:rPr>
        <w:t>Financial</w:t>
      </w:r>
      <w:r>
        <w:rPr>
          <w:spacing w:val="-9"/>
          <w:sz w:val="20"/>
        </w:rPr>
        <w:t> </w:t>
      </w:r>
      <w:r>
        <w:rPr>
          <w:sz w:val="20"/>
        </w:rPr>
        <w:t>Planning</w:t>
      </w:r>
      <w:r>
        <w:rPr>
          <w:spacing w:val="-10"/>
          <w:sz w:val="20"/>
        </w:rPr>
        <w:t> </w:t>
      </w:r>
      <w:r>
        <w:rPr>
          <w:sz w:val="20"/>
        </w:rPr>
        <w:t>and</w:t>
      </w:r>
      <w:r>
        <w:rPr>
          <w:spacing w:val="-10"/>
          <w:sz w:val="20"/>
        </w:rPr>
        <w:t> </w:t>
      </w:r>
      <w:r>
        <w:rPr>
          <w:sz w:val="20"/>
        </w:rPr>
        <w:t>Control</w:t>
      </w:r>
      <w:r>
        <w:rPr>
          <w:spacing w:val="-9"/>
          <w:sz w:val="20"/>
        </w:rPr>
        <w:t> </w:t>
      </w:r>
      <w:r>
        <w:rPr>
          <w:sz w:val="20"/>
        </w:rPr>
        <w:t>Unit</w:t>
      </w:r>
      <w:r>
        <w:rPr>
          <w:spacing w:val="-9"/>
          <w:sz w:val="20"/>
        </w:rPr>
        <w:t> </w:t>
      </w:r>
      <w:r>
        <w:rPr>
          <w:sz w:val="20"/>
        </w:rPr>
        <w:t>to</w:t>
      </w:r>
      <w:r>
        <w:rPr>
          <w:spacing w:val="-10"/>
          <w:sz w:val="20"/>
        </w:rPr>
        <w:t> </w:t>
      </w:r>
      <w:r>
        <w:rPr>
          <w:sz w:val="20"/>
        </w:rPr>
        <w:t>support</w:t>
      </w:r>
      <w:r>
        <w:rPr>
          <w:spacing w:val="-9"/>
          <w:sz w:val="20"/>
        </w:rPr>
        <w:t> </w:t>
      </w:r>
      <w:r>
        <w:rPr>
          <w:sz w:val="20"/>
        </w:rPr>
        <w:t>the</w:t>
      </w:r>
      <w:r>
        <w:rPr>
          <w:spacing w:val="-9"/>
          <w:sz w:val="20"/>
        </w:rPr>
        <w:t> </w:t>
      </w:r>
      <w:r>
        <w:rPr>
          <w:sz w:val="20"/>
        </w:rPr>
        <w:t>Prosecutor’s judicious management of the Office’s budget by implementing synergies and sound budgetary practices.</w:t>
      </w:r>
    </w:p>
    <w:p>
      <w:pPr>
        <w:pStyle w:val="ListParagraph"/>
        <w:numPr>
          <w:ilvl w:val="0"/>
          <w:numId w:val="4"/>
        </w:numPr>
        <w:tabs>
          <w:tab w:pos="2967" w:val="left" w:leader="none"/>
        </w:tabs>
        <w:spacing w:line="240" w:lineRule="auto" w:before="122" w:after="0"/>
        <w:ind w:left="2246" w:right="2240" w:firstLine="0"/>
        <w:jc w:val="both"/>
        <w:rPr>
          <w:sz w:val="20"/>
        </w:rPr>
      </w:pPr>
      <w:r>
        <w:rPr>
          <w:sz w:val="20"/>
        </w:rPr>
        <w:t>IOP</w:t>
      </w:r>
      <w:r>
        <w:rPr>
          <w:spacing w:val="-13"/>
          <w:sz w:val="20"/>
        </w:rPr>
        <w:t> </w:t>
      </w:r>
      <w:r>
        <w:rPr>
          <w:sz w:val="20"/>
        </w:rPr>
        <w:t>further</w:t>
      </w:r>
      <w:r>
        <w:rPr>
          <w:spacing w:val="-12"/>
          <w:sz w:val="20"/>
        </w:rPr>
        <w:t> </w:t>
      </w:r>
      <w:r>
        <w:rPr>
          <w:sz w:val="20"/>
        </w:rPr>
        <w:t>ensures</w:t>
      </w:r>
      <w:r>
        <w:rPr>
          <w:spacing w:val="-13"/>
          <w:sz w:val="20"/>
        </w:rPr>
        <w:t> </w:t>
      </w:r>
      <w:r>
        <w:rPr>
          <w:sz w:val="20"/>
        </w:rPr>
        <w:t>coordination</w:t>
      </w:r>
      <w:r>
        <w:rPr>
          <w:spacing w:val="-12"/>
          <w:sz w:val="20"/>
        </w:rPr>
        <w:t> </w:t>
      </w:r>
      <w:r>
        <w:rPr>
          <w:sz w:val="20"/>
        </w:rPr>
        <w:t>on</w:t>
      </w:r>
      <w:r>
        <w:rPr>
          <w:spacing w:val="-13"/>
          <w:sz w:val="20"/>
        </w:rPr>
        <w:t> </w:t>
      </w:r>
      <w:r>
        <w:rPr>
          <w:sz w:val="20"/>
        </w:rPr>
        <w:t>a</w:t>
      </w:r>
      <w:r>
        <w:rPr>
          <w:spacing w:val="-12"/>
          <w:sz w:val="20"/>
        </w:rPr>
        <w:t> </w:t>
      </w:r>
      <w:r>
        <w:rPr>
          <w:sz w:val="20"/>
        </w:rPr>
        <w:t>wide-range</w:t>
      </w:r>
      <w:r>
        <w:rPr>
          <w:spacing w:val="-13"/>
          <w:sz w:val="20"/>
        </w:rPr>
        <w:t> </w:t>
      </w:r>
      <w:r>
        <w:rPr>
          <w:sz w:val="20"/>
        </w:rPr>
        <w:t>of</w:t>
      </w:r>
      <w:r>
        <w:rPr>
          <w:spacing w:val="-12"/>
          <w:sz w:val="20"/>
        </w:rPr>
        <w:t> </w:t>
      </w:r>
      <w:r>
        <w:rPr>
          <w:sz w:val="20"/>
        </w:rPr>
        <w:t>inter-organ</w:t>
      </w:r>
      <w:r>
        <w:rPr>
          <w:spacing w:val="-13"/>
          <w:sz w:val="20"/>
        </w:rPr>
        <w:t> </w:t>
      </w:r>
      <w:r>
        <w:rPr>
          <w:sz w:val="20"/>
        </w:rPr>
        <w:t>institutional</w:t>
      </w:r>
      <w:r>
        <w:rPr>
          <w:spacing w:val="-12"/>
          <w:sz w:val="20"/>
        </w:rPr>
        <w:t> </w:t>
      </w:r>
      <w:r>
        <w:rPr>
          <w:sz w:val="20"/>
        </w:rPr>
        <w:t>matters and harmonization of practices in relation to human resources and public information. In close</w:t>
      </w:r>
      <w:r>
        <w:rPr>
          <w:spacing w:val="-8"/>
          <w:sz w:val="20"/>
        </w:rPr>
        <w:t> </w:t>
      </w:r>
      <w:r>
        <w:rPr>
          <w:sz w:val="20"/>
        </w:rPr>
        <w:t>collaboration</w:t>
      </w:r>
      <w:r>
        <w:rPr>
          <w:spacing w:val="-6"/>
          <w:sz w:val="20"/>
        </w:rPr>
        <w:t> </w:t>
      </w:r>
      <w:r>
        <w:rPr>
          <w:sz w:val="20"/>
        </w:rPr>
        <w:t>with</w:t>
      </w:r>
      <w:r>
        <w:rPr>
          <w:spacing w:val="-9"/>
          <w:sz w:val="20"/>
        </w:rPr>
        <w:t> </w:t>
      </w:r>
      <w:r>
        <w:rPr>
          <w:sz w:val="20"/>
        </w:rPr>
        <w:t>the</w:t>
      </w:r>
      <w:r>
        <w:rPr>
          <w:spacing w:val="-4"/>
          <w:sz w:val="20"/>
        </w:rPr>
        <w:t> </w:t>
      </w:r>
      <w:r>
        <w:rPr>
          <w:sz w:val="20"/>
        </w:rPr>
        <w:t>Office’s</w:t>
      </w:r>
      <w:r>
        <w:rPr>
          <w:spacing w:val="-6"/>
          <w:sz w:val="20"/>
        </w:rPr>
        <w:t> </w:t>
      </w:r>
      <w:r>
        <w:rPr>
          <w:sz w:val="20"/>
        </w:rPr>
        <w:t>Public</w:t>
      </w:r>
      <w:r>
        <w:rPr>
          <w:spacing w:val="-4"/>
          <w:sz w:val="20"/>
        </w:rPr>
        <w:t> </w:t>
      </w:r>
      <w:r>
        <w:rPr>
          <w:sz w:val="20"/>
        </w:rPr>
        <w:t>Information</w:t>
      </w:r>
      <w:r>
        <w:rPr>
          <w:spacing w:val="-6"/>
          <w:sz w:val="20"/>
        </w:rPr>
        <w:t> </w:t>
      </w:r>
      <w:r>
        <w:rPr>
          <w:sz w:val="20"/>
        </w:rPr>
        <w:t>Unit,</w:t>
      </w:r>
      <w:r>
        <w:rPr>
          <w:spacing w:val="-3"/>
          <w:sz w:val="20"/>
        </w:rPr>
        <w:t> </w:t>
      </w:r>
      <w:r>
        <w:rPr>
          <w:sz w:val="20"/>
        </w:rPr>
        <w:t>IOP</w:t>
      </w:r>
      <w:r>
        <w:rPr>
          <w:spacing w:val="-11"/>
          <w:sz w:val="20"/>
        </w:rPr>
        <w:t> </w:t>
      </w:r>
      <w:r>
        <w:rPr>
          <w:sz w:val="20"/>
        </w:rPr>
        <w:t>also</w:t>
      </w:r>
      <w:r>
        <w:rPr>
          <w:spacing w:val="-6"/>
          <w:sz w:val="20"/>
        </w:rPr>
        <w:t> </w:t>
      </w:r>
      <w:r>
        <w:rPr>
          <w:sz w:val="20"/>
        </w:rPr>
        <w:t>supports</w:t>
      </w:r>
      <w:r>
        <w:rPr>
          <w:spacing w:val="-11"/>
          <w:sz w:val="20"/>
        </w:rPr>
        <w:t> </w:t>
      </w:r>
      <w:r>
        <w:rPr>
          <w:sz w:val="20"/>
        </w:rPr>
        <w:t>the</w:t>
      </w:r>
      <w:r>
        <w:rPr>
          <w:spacing w:val="-4"/>
          <w:sz w:val="20"/>
        </w:rPr>
        <w:t> </w:t>
      </w:r>
      <w:r>
        <w:rPr>
          <w:sz w:val="20"/>
        </w:rPr>
        <w:t>Office’s public information and external messaging.</w:t>
      </w:r>
      <w:r>
        <w:rPr>
          <w:sz w:val="20"/>
          <w:vertAlign w:val="superscript"/>
        </w:rPr>
        <w:t>43</w:t>
      </w:r>
    </w:p>
    <w:p>
      <w:pPr>
        <w:pStyle w:val="ListParagraph"/>
        <w:numPr>
          <w:ilvl w:val="0"/>
          <w:numId w:val="4"/>
        </w:numPr>
        <w:tabs>
          <w:tab w:pos="2967" w:val="left" w:leader="none"/>
        </w:tabs>
        <w:spacing w:line="240" w:lineRule="auto" w:before="122" w:after="0"/>
        <w:ind w:left="2246" w:right="2243" w:firstLine="0"/>
        <w:jc w:val="both"/>
        <w:rPr>
          <w:sz w:val="20"/>
        </w:rPr>
      </w:pPr>
      <w:r>
        <w:rPr>
          <w:sz w:val="20"/>
        </w:rPr>
        <w:t>IOP likewise supports the Office of External Affairs, to ensure a strategic and unified</w:t>
      </w:r>
      <w:r>
        <w:rPr>
          <w:spacing w:val="-5"/>
          <w:sz w:val="20"/>
        </w:rPr>
        <w:t> </w:t>
      </w:r>
      <w:r>
        <w:rPr>
          <w:sz w:val="20"/>
        </w:rPr>
        <w:t>approach to diplomatic and other</w:t>
      </w:r>
      <w:r>
        <w:rPr>
          <w:spacing w:val="-5"/>
          <w:sz w:val="20"/>
        </w:rPr>
        <w:t> </w:t>
      </w:r>
      <w:r>
        <w:rPr>
          <w:sz w:val="20"/>
        </w:rPr>
        <w:t>external engagements</w:t>
      </w:r>
      <w:r>
        <w:rPr>
          <w:spacing w:val="-2"/>
          <w:sz w:val="20"/>
        </w:rPr>
        <w:t> </w:t>
      </w:r>
      <w:r>
        <w:rPr>
          <w:sz w:val="20"/>
        </w:rPr>
        <w:t>in</w:t>
      </w:r>
      <w:r>
        <w:rPr>
          <w:spacing w:val="-5"/>
          <w:sz w:val="20"/>
        </w:rPr>
        <w:t> </w:t>
      </w:r>
      <w:r>
        <w:rPr>
          <w:sz w:val="20"/>
        </w:rPr>
        <w:t>line with</w:t>
      </w:r>
      <w:r>
        <w:rPr>
          <w:spacing w:val="-5"/>
          <w:sz w:val="20"/>
        </w:rPr>
        <w:t> </w:t>
      </w:r>
      <w:r>
        <w:rPr>
          <w:sz w:val="20"/>
        </w:rPr>
        <w:t>the Prosecutor’s vision and instructions.</w:t>
      </w:r>
    </w:p>
    <w:p>
      <w:pPr>
        <w:pStyle w:val="ListParagraph"/>
        <w:numPr>
          <w:ilvl w:val="0"/>
          <w:numId w:val="4"/>
        </w:numPr>
        <w:tabs>
          <w:tab w:pos="2967" w:val="left" w:leader="none"/>
        </w:tabs>
        <w:spacing w:line="240" w:lineRule="auto" w:before="116" w:after="0"/>
        <w:ind w:left="2246" w:right="2240" w:firstLine="0"/>
        <w:jc w:val="both"/>
        <w:rPr>
          <w:sz w:val="20"/>
        </w:rPr>
      </w:pPr>
      <w:r>
        <w:rPr>
          <w:sz w:val="20"/>
        </w:rPr>
        <w:t>In</w:t>
      </w:r>
      <w:r>
        <w:rPr>
          <w:spacing w:val="-5"/>
          <w:sz w:val="20"/>
        </w:rPr>
        <w:t> </w:t>
      </w:r>
      <w:r>
        <w:rPr>
          <w:sz w:val="20"/>
        </w:rPr>
        <w:t>line</w:t>
      </w:r>
      <w:r>
        <w:rPr>
          <w:spacing w:val="-7"/>
          <w:sz w:val="20"/>
        </w:rPr>
        <w:t> </w:t>
      </w:r>
      <w:r>
        <w:rPr>
          <w:sz w:val="20"/>
        </w:rPr>
        <w:t>with</w:t>
      </w:r>
      <w:r>
        <w:rPr>
          <w:spacing w:val="-8"/>
          <w:sz w:val="20"/>
        </w:rPr>
        <w:t> </w:t>
      </w:r>
      <w:r>
        <w:rPr>
          <w:sz w:val="20"/>
        </w:rPr>
        <w:t>the</w:t>
      </w:r>
      <w:r>
        <w:rPr>
          <w:spacing w:val="-7"/>
          <w:sz w:val="20"/>
        </w:rPr>
        <w:t> </w:t>
      </w:r>
      <w:r>
        <w:rPr>
          <w:sz w:val="20"/>
        </w:rPr>
        <w:t>IER,</w:t>
      </w:r>
      <w:r>
        <w:rPr>
          <w:sz w:val="20"/>
          <w:vertAlign w:val="superscript"/>
        </w:rPr>
        <w:t>44</w:t>
      </w:r>
      <w:r>
        <w:rPr>
          <w:spacing w:val="-1"/>
          <w:sz w:val="20"/>
          <w:vertAlign w:val="baseline"/>
        </w:rPr>
        <w:t> </w:t>
      </w:r>
      <w:r>
        <w:rPr>
          <w:sz w:val="20"/>
          <w:vertAlign w:val="baseline"/>
        </w:rPr>
        <w:t>and</w:t>
      </w:r>
      <w:r>
        <w:rPr>
          <w:spacing w:val="-8"/>
          <w:sz w:val="20"/>
          <w:vertAlign w:val="baseline"/>
        </w:rPr>
        <w:t> </w:t>
      </w:r>
      <w:r>
        <w:rPr>
          <w:sz w:val="20"/>
          <w:vertAlign w:val="baseline"/>
        </w:rPr>
        <w:t>to</w:t>
      </w:r>
      <w:r>
        <w:rPr>
          <w:spacing w:val="-8"/>
          <w:sz w:val="20"/>
          <w:vertAlign w:val="baseline"/>
        </w:rPr>
        <w:t> </w:t>
      </w:r>
      <w:r>
        <w:rPr>
          <w:sz w:val="20"/>
          <w:vertAlign w:val="baseline"/>
        </w:rPr>
        <w:t>further</w:t>
      </w:r>
      <w:r>
        <w:rPr>
          <w:spacing w:val="-8"/>
          <w:sz w:val="20"/>
          <w:vertAlign w:val="baseline"/>
        </w:rPr>
        <w:t> </w:t>
      </w:r>
      <w:r>
        <w:rPr>
          <w:sz w:val="20"/>
          <w:vertAlign w:val="baseline"/>
        </w:rPr>
        <w:t>strengthen</w:t>
      </w:r>
      <w:r>
        <w:rPr>
          <w:spacing w:val="-8"/>
          <w:sz w:val="20"/>
          <w:vertAlign w:val="baseline"/>
        </w:rPr>
        <w:t> </w:t>
      </w:r>
      <w:r>
        <w:rPr>
          <w:sz w:val="20"/>
          <w:vertAlign w:val="baseline"/>
        </w:rPr>
        <w:t>the</w:t>
      </w:r>
      <w:r>
        <w:rPr>
          <w:spacing w:val="-7"/>
          <w:sz w:val="20"/>
          <w:vertAlign w:val="baseline"/>
        </w:rPr>
        <w:t> </w:t>
      </w:r>
      <w:r>
        <w:rPr>
          <w:sz w:val="20"/>
          <w:vertAlign w:val="baseline"/>
        </w:rPr>
        <w:t>capacity</w:t>
      </w:r>
      <w:r>
        <w:rPr>
          <w:spacing w:val="-8"/>
          <w:sz w:val="20"/>
          <w:vertAlign w:val="baseline"/>
        </w:rPr>
        <w:t> </w:t>
      </w:r>
      <w:r>
        <w:rPr>
          <w:sz w:val="20"/>
          <w:vertAlign w:val="baseline"/>
        </w:rPr>
        <w:t>of</w:t>
      </w:r>
      <w:r>
        <w:rPr>
          <w:spacing w:val="-13"/>
          <w:sz w:val="20"/>
          <w:vertAlign w:val="baseline"/>
        </w:rPr>
        <w:t> </w:t>
      </w:r>
      <w:r>
        <w:rPr>
          <w:sz w:val="20"/>
          <w:vertAlign w:val="baseline"/>
        </w:rPr>
        <w:t>IOP</w:t>
      </w:r>
      <w:r>
        <w:rPr>
          <w:spacing w:val="-5"/>
          <w:sz w:val="20"/>
          <w:vertAlign w:val="baseline"/>
        </w:rPr>
        <w:t> </w:t>
      </w:r>
      <w:r>
        <w:rPr>
          <w:sz w:val="20"/>
          <w:vertAlign w:val="baseline"/>
        </w:rPr>
        <w:t>given</w:t>
      </w:r>
      <w:r>
        <w:rPr>
          <w:spacing w:val="-8"/>
          <w:sz w:val="20"/>
          <w:vertAlign w:val="baseline"/>
        </w:rPr>
        <w:t> </w:t>
      </w:r>
      <w:r>
        <w:rPr>
          <w:sz w:val="20"/>
          <w:vertAlign w:val="baseline"/>
        </w:rPr>
        <w:t>the</w:t>
      </w:r>
      <w:r>
        <w:rPr>
          <w:spacing w:val="-7"/>
          <w:sz w:val="20"/>
          <w:vertAlign w:val="baseline"/>
        </w:rPr>
        <w:t> </w:t>
      </w:r>
      <w:r>
        <w:rPr>
          <w:sz w:val="20"/>
          <w:vertAlign w:val="baseline"/>
        </w:rPr>
        <w:t>varied nature</w:t>
      </w:r>
      <w:r>
        <w:rPr>
          <w:spacing w:val="-13"/>
          <w:sz w:val="20"/>
          <w:vertAlign w:val="baseline"/>
        </w:rPr>
        <w:t> </w:t>
      </w:r>
      <w:r>
        <w:rPr>
          <w:sz w:val="20"/>
          <w:vertAlign w:val="baseline"/>
        </w:rPr>
        <w:t>and</w:t>
      </w:r>
      <w:r>
        <w:rPr>
          <w:spacing w:val="-12"/>
          <w:sz w:val="20"/>
          <w:vertAlign w:val="baseline"/>
        </w:rPr>
        <w:t> </w:t>
      </w:r>
      <w:r>
        <w:rPr>
          <w:sz w:val="20"/>
          <w:vertAlign w:val="baseline"/>
        </w:rPr>
        <w:t>complexity</w:t>
      </w:r>
      <w:r>
        <w:rPr>
          <w:spacing w:val="-13"/>
          <w:sz w:val="20"/>
          <w:vertAlign w:val="baseline"/>
        </w:rPr>
        <w:t> </w:t>
      </w:r>
      <w:r>
        <w:rPr>
          <w:sz w:val="20"/>
          <w:vertAlign w:val="baseline"/>
        </w:rPr>
        <w:t>of</w:t>
      </w:r>
      <w:r>
        <w:rPr>
          <w:spacing w:val="-12"/>
          <w:sz w:val="20"/>
          <w:vertAlign w:val="baseline"/>
        </w:rPr>
        <w:t> </w:t>
      </w:r>
      <w:r>
        <w:rPr>
          <w:sz w:val="20"/>
          <w:vertAlign w:val="baseline"/>
        </w:rPr>
        <w:t>the</w:t>
      </w:r>
      <w:r>
        <w:rPr>
          <w:spacing w:val="-13"/>
          <w:sz w:val="20"/>
          <w:vertAlign w:val="baseline"/>
        </w:rPr>
        <w:t> </w:t>
      </w:r>
      <w:r>
        <w:rPr>
          <w:sz w:val="20"/>
          <w:vertAlign w:val="baseline"/>
        </w:rPr>
        <w:t>tasks</w:t>
      </w:r>
      <w:r>
        <w:rPr>
          <w:spacing w:val="-11"/>
          <w:sz w:val="20"/>
          <w:vertAlign w:val="baseline"/>
        </w:rPr>
        <w:t> </w:t>
      </w:r>
      <w:r>
        <w:rPr>
          <w:sz w:val="20"/>
          <w:vertAlign w:val="baseline"/>
        </w:rPr>
        <w:t>within</w:t>
      </w:r>
      <w:r>
        <w:rPr>
          <w:spacing w:val="-12"/>
          <w:sz w:val="20"/>
          <w:vertAlign w:val="baseline"/>
        </w:rPr>
        <w:t> </w:t>
      </w:r>
      <w:r>
        <w:rPr>
          <w:sz w:val="20"/>
          <w:vertAlign w:val="baseline"/>
        </w:rPr>
        <w:t>its</w:t>
      </w:r>
      <w:r>
        <w:rPr>
          <w:spacing w:val="-10"/>
          <w:sz w:val="20"/>
          <w:vertAlign w:val="baseline"/>
        </w:rPr>
        <w:t> </w:t>
      </w:r>
      <w:r>
        <w:rPr>
          <w:sz w:val="20"/>
          <w:vertAlign w:val="baseline"/>
        </w:rPr>
        <w:t>purview</w:t>
      </w:r>
      <w:r>
        <w:rPr>
          <w:spacing w:val="-13"/>
          <w:sz w:val="20"/>
          <w:vertAlign w:val="baseline"/>
        </w:rPr>
        <w:t> </w:t>
      </w:r>
      <w:r>
        <w:rPr>
          <w:sz w:val="20"/>
          <w:vertAlign w:val="baseline"/>
        </w:rPr>
        <w:t>and</w:t>
      </w:r>
      <w:r>
        <w:rPr>
          <w:spacing w:val="-12"/>
          <w:sz w:val="20"/>
          <w:vertAlign w:val="baseline"/>
        </w:rPr>
        <w:t> </w:t>
      </w:r>
      <w:r>
        <w:rPr>
          <w:sz w:val="20"/>
          <w:vertAlign w:val="baseline"/>
        </w:rPr>
        <w:t>its</w:t>
      </w:r>
      <w:r>
        <w:rPr>
          <w:spacing w:val="-10"/>
          <w:sz w:val="20"/>
          <w:vertAlign w:val="baseline"/>
        </w:rPr>
        <w:t> </w:t>
      </w:r>
      <w:r>
        <w:rPr>
          <w:sz w:val="20"/>
          <w:vertAlign w:val="baseline"/>
        </w:rPr>
        <w:t>limited</w:t>
      </w:r>
      <w:r>
        <w:rPr>
          <w:spacing w:val="-13"/>
          <w:sz w:val="20"/>
          <w:vertAlign w:val="baseline"/>
        </w:rPr>
        <w:t> </w:t>
      </w:r>
      <w:r>
        <w:rPr>
          <w:sz w:val="20"/>
          <w:vertAlign w:val="baseline"/>
        </w:rPr>
        <w:t>resources,</w:t>
      </w:r>
      <w:r>
        <w:rPr>
          <w:spacing w:val="-11"/>
          <w:sz w:val="20"/>
          <w:vertAlign w:val="baseline"/>
        </w:rPr>
        <w:t> </w:t>
      </w:r>
      <w:r>
        <w:rPr>
          <w:sz w:val="20"/>
          <w:vertAlign w:val="baseline"/>
        </w:rPr>
        <w:t>the</w:t>
      </w:r>
      <w:r>
        <w:rPr>
          <w:spacing w:val="-7"/>
          <w:sz w:val="20"/>
          <w:vertAlign w:val="baseline"/>
        </w:rPr>
        <w:t> </w:t>
      </w:r>
      <w:r>
        <w:rPr>
          <w:sz w:val="20"/>
          <w:vertAlign w:val="baseline"/>
        </w:rPr>
        <w:t>Prosecutor requests the addition of one Special Assistant (P-4) to contribute to the extensive responsibilities assumed by IOP, as explained further in the</w:t>
      </w:r>
      <w:r>
        <w:rPr>
          <w:spacing w:val="-1"/>
          <w:sz w:val="20"/>
          <w:vertAlign w:val="baseline"/>
        </w:rPr>
        <w:t> </w:t>
      </w:r>
      <w:r>
        <w:rPr>
          <w:sz w:val="20"/>
          <w:vertAlign w:val="baseline"/>
        </w:rPr>
        <w:t>details of the Established posts requests in paragraph 269 below.</w:t>
      </w:r>
    </w:p>
    <w:p>
      <w:pPr>
        <w:pStyle w:val="ListParagraph"/>
        <w:numPr>
          <w:ilvl w:val="0"/>
          <w:numId w:val="4"/>
        </w:numPr>
        <w:tabs>
          <w:tab w:pos="2967" w:val="left" w:leader="none"/>
        </w:tabs>
        <w:spacing w:line="240" w:lineRule="auto" w:before="123" w:after="0"/>
        <w:ind w:left="2246" w:right="2241" w:firstLine="0"/>
        <w:jc w:val="both"/>
        <w:rPr>
          <w:sz w:val="20"/>
        </w:rPr>
      </w:pPr>
      <w:r>
        <w:rPr>
          <w:sz w:val="20"/>
        </w:rPr>
        <w:t>Reflecting the fact that responsibility for oversight of action in relation to the Ukraine</w:t>
      </w:r>
      <w:r>
        <w:rPr>
          <w:spacing w:val="-13"/>
          <w:sz w:val="20"/>
        </w:rPr>
        <w:t> </w:t>
      </w:r>
      <w:r>
        <w:rPr>
          <w:sz w:val="20"/>
        </w:rPr>
        <w:t>situation</w:t>
      </w:r>
      <w:r>
        <w:rPr>
          <w:spacing w:val="-11"/>
          <w:sz w:val="20"/>
        </w:rPr>
        <w:t> </w:t>
      </w:r>
      <w:r>
        <w:rPr>
          <w:sz w:val="20"/>
        </w:rPr>
        <w:t>has</w:t>
      </w:r>
      <w:r>
        <w:rPr>
          <w:spacing w:val="-10"/>
          <w:sz w:val="20"/>
        </w:rPr>
        <w:t> </w:t>
      </w:r>
      <w:r>
        <w:rPr>
          <w:sz w:val="20"/>
        </w:rPr>
        <w:t>been</w:t>
      </w:r>
      <w:r>
        <w:rPr>
          <w:spacing w:val="-9"/>
          <w:sz w:val="20"/>
        </w:rPr>
        <w:t> </w:t>
      </w:r>
      <w:r>
        <w:rPr>
          <w:sz w:val="20"/>
        </w:rPr>
        <w:t>brought</w:t>
      </w:r>
      <w:r>
        <w:rPr>
          <w:spacing w:val="-13"/>
          <w:sz w:val="20"/>
        </w:rPr>
        <w:t> </w:t>
      </w:r>
      <w:r>
        <w:rPr>
          <w:sz w:val="20"/>
        </w:rPr>
        <w:t>directly</w:t>
      </w:r>
      <w:r>
        <w:rPr>
          <w:spacing w:val="-9"/>
          <w:sz w:val="20"/>
        </w:rPr>
        <w:t> </w:t>
      </w:r>
      <w:r>
        <w:rPr>
          <w:sz w:val="20"/>
        </w:rPr>
        <w:t>under</w:t>
      </w:r>
      <w:r>
        <w:rPr>
          <w:spacing w:val="-13"/>
          <w:sz w:val="20"/>
        </w:rPr>
        <w:t> </w:t>
      </w:r>
      <w:r>
        <w:rPr>
          <w:sz w:val="20"/>
        </w:rPr>
        <w:t>the</w:t>
      </w:r>
      <w:r>
        <w:rPr>
          <w:spacing w:val="-8"/>
          <w:sz w:val="20"/>
        </w:rPr>
        <w:t> </w:t>
      </w:r>
      <w:r>
        <w:rPr>
          <w:sz w:val="20"/>
        </w:rPr>
        <w:t>Prosecutor</w:t>
      </w:r>
      <w:r>
        <w:rPr>
          <w:spacing w:val="-9"/>
          <w:sz w:val="20"/>
        </w:rPr>
        <w:t> </w:t>
      </w:r>
      <w:r>
        <w:rPr>
          <w:sz w:val="20"/>
        </w:rPr>
        <w:t>so</w:t>
      </w:r>
      <w:r>
        <w:rPr>
          <w:spacing w:val="-13"/>
          <w:sz w:val="20"/>
        </w:rPr>
        <w:t> </w:t>
      </w:r>
      <w:r>
        <w:rPr>
          <w:sz w:val="20"/>
        </w:rPr>
        <w:t>as</w:t>
      </w:r>
      <w:r>
        <w:rPr>
          <w:spacing w:val="-12"/>
          <w:sz w:val="20"/>
        </w:rPr>
        <w:t> </w:t>
      </w:r>
      <w:r>
        <w:rPr>
          <w:sz w:val="20"/>
        </w:rPr>
        <w:t>to</w:t>
      </w:r>
      <w:r>
        <w:rPr>
          <w:spacing w:val="-13"/>
          <w:sz w:val="20"/>
        </w:rPr>
        <w:t> </w:t>
      </w:r>
      <w:r>
        <w:rPr>
          <w:sz w:val="20"/>
        </w:rPr>
        <w:t>preserve</w:t>
      </w:r>
      <w:r>
        <w:rPr>
          <w:spacing w:val="-12"/>
          <w:sz w:val="20"/>
        </w:rPr>
        <w:t> </w:t>
      </w:r>
      <w:r>
        <w:rPr>
          <w:sz w:val="20"/>
        </w:rPr>
        <w:t>the</w:t>
      </w:r>
      <w:r>
        <w:rPr>
          <w:spacing w:val="-13"/>
          <w:sz w:val="20"/>
        </w:rPr>
        <w:t> </w:t>
      </w:r>
      <w:r>
        <w:rPr>
          <w:sz w:val="20"/>
        </w:rPr>
        <w:t>balance of work across the two pillars led by the Deputy Prosecutors, IOP also provides immediate support</w:t>
      </w:r>
      <w:r>
        <w:rPr>
          <w:spacing w:val="-8"/>
          <w:sz w:val="20"/>
        </w:rPr>
        <w:t> </w:t>
      </w:r>
      <w:r>
        <w:rPr>
          <w:sz w:val="20"/>
        </w:rPr>
        <w:t>to</w:t>
      </w:r>
      <w:r>
        <w:rPr>
          <w:spacing w:val="-9"/>
          <w:sz w:val="20"/>
        </w:rPr>
        <w:t> </w:t>
      </w:r>
      <w:r>
        <w:rPr>
          <w:sz w:val="20"/>
        </w:rPr>
        <w:t>the</w:t>
      </w:r>
      <w:r>
        <w:rPr>
          <w:spacing w:val="-8"/>
          <w:sz w:val="20"/>
        </w:rPr>
        <w:t> </w:t>
      </w:r>
      <w:r>
        <w:rPr>
          <w:sz w:val="20"/>
        </w:rPr>
        <w:t>Prosecutor</w:t>
      </w:r>
      <w:r>
        <w:rPr>
          <w:spacing w:val="-9"/>
          <w:sz w:val="20"/>
        </w:rPr>
        <w:t> </w:t>
      </w:r>
      <w:r>
        <w:rPr>
          <w:sz w:val="20"/>
        </w:rPr>
        <w:t>with</w:t>
      </w:r>
      <w:r>
        <w:rPr>
          <w:spacing w:val="-9"/>
          <w:sz w:val="20"/>
        </w:rPr>
        <w:t> </w:t>
      </w:r>
      <w:r>
        <w:rPr>
          <w:sz w:val="20"/>
        </w:rPr>
        <w:t>respect</w:t>
      </w:r>
      <w:r>
        <w:rPr>
          <w:spacing w:val="-13"/>
          <w:sz w:val="20"/>
        </w:rPr>
        <w:t> </w:t>
      </w:r>
      <w:r>
        <w:rPr>
          <w:sz w:val="20"/>
        </w:rPr>
        <w:t>to</w:t>
      </w:r>
      <w:r>
        <w:rPr>
          <w:spacing w:val="-9"/>
          <w:sz w:val="20"/>
        </w:rPr>
        <w:t> </w:t>
      </w:r>
      <w:r>
        <w:rPr>
          <w:sz w:val="20"/>
        </w:rPr>
        <w:t>this</w:t>
      </w:r>
      <w:r>
        <w:rPr>
          <w:spacing w:val="-11"/>
          <w:sz w:val="20"/>
        </w:rPr>
        <w:t> </w:t>
      </w:r>
      <w:r>
        <w:rPr>
          <w:sz w:val="20"/>
        </w:rPr>
        <w:t>oversight</w:t>
      </w:r>
      <w:r>
        <w:rPr>
          <w:spacing w:val="-8"/>
          <w:sz w:val="20"/>
        </w:rPr>
        <w:t> </w:t>
      </w:r>
      <w:r>
        <w:rPr>
          <w:sz w:val="20"/>
        </w:rPr>
        <w:t>function.</w:t>
      </w:r>
      <w:r>
        <w:rPr>
          <w:spacing w:val="-2"/>
          <w:sz w:val="20"/>
        </w:rPr>
        <w:t> </w:t>
      </w:r>
      <w:r>
        <w:rPr>
          <w:sz w:val="20"/>
        </w:rPr>
        <w:t>This</w:t>
      </w:r>
      <w:r>
        <w:rPr>
          <w:spacing w:val="-11"/>
          <w:sz w:val="20"/>
        </w:rPr>
        <w:t> </w:t>
      </w:r>
      <w:r>
        <w:rPr>
          <w:sz w:val="20"/>
        </w:rPr>
        <w:t>includes</w:t>
      </w:r>
      <w:r>
        <w:rPr>
          <w:spacing w:val="-11"/>
          <w:sz w:val="20"/>
        </w:rPr>
        <w:t> </w:t>
      </w:r>
      <w:r>
        <w:rPr>
          <w:sz w:val="20"/>
        </w:rPr>
        <w:t>supporting</w:t>
      </w:r>
      <w:r>
        <w:rPr>
          <w:spacing w:val="-9"/>
          <w:sz w:val="20"/>
        </w:rPr>
        <w:t> </w:t>
      </w:r>
      <w:r>
        <w:rPr>
          <w:sz w:val="20"/>
        </w:rPr>
        <w:t>the Prosecutor in relation to external engagements and high-level cooperation interventions relevant</w:t>
      </w:r>
      <w:r>
        <w:rPr>
          <w:spacing w:val="-2"/>
          <w:sz w:val="20"/>
        </w:rPr>
        <w:t> </w:t>
      </w:r>
      <w:r>
        <w:rPr>
          <w:sz w:val="20"/>
        </w:rPr>
        <w:t>to</w:t>
      </w:r>
      <w:r>
        <w:rPr>
          <w:spacing w:val="-4"/>
          <w:sz w:val="20"/>
        </w:rPr>
        <w:t> </w:t>
      </w:r>
      <w:r>
        <w:rPr>
          <w:sz w:val="20"/>
        </w:rPr>
        <w:t>the</w:t>
      </w:r>
      <w:r>
        <w:rPr>
          <w:spacing w:val="-2"/>
          <w:sz w:val="20"/>
        </w:rPr>
        <w:t> </w:t>
      </w:r>
      <w:r>
        <w:rPr>
          <w:sz w:val="20"/>
        </w:rPr>
        <w:t>Ukraine</w:t>
      </w:r>
      <w:r>
        <w:rPr>
          <w:spacing w:val="-2"/>
          <w:sz w:val="20"/>
        </w:rPr>
        <w:t> </w:t>
      </w:r>
      <w:r>
        <w:rPr>
          <w:sz w:val="20"/>
        </w:rPr>
        <w:t>situation. This</w:t>
      </w:r>
      <w:r>
        <w:rPr>
          <w:spacing w:val="-5"/>
          <w:sz w:val="20"/>
        </w:rPr>
        <w:t> </w:t>
      </w:r>
      <w:r>
        <w:rPr>
          <w:sz w:val="20"/>
        </w:rPr>
        <w:t>is</w:t>
      </w:r>
      <w:r>
        <w:rPr>
          <w:spacing w:val="-5"/>
          <w:sz w:val="20"/>
        </w:rPr>
        <w:t> </w:t>
      </w:r>
      <w:r>
        <w:rPr>
          <w:sz w:val="20"/>
        </w:rPr>
        <w:t>an</w:t>
      </w:r>
      <w:r>
        <w:rPr>
          <w:spacing w:val="-4"/>
          <w:sz w:val="20"/>
        </w:rPr>
        <w:t> </w:t>
      </w:r>
      <w:r>
        <w:rPr>
          <w:sz w:val="20"/>
        </w:rPr>
        <w:t>additional</w:t>
      </w:r>
      <w:r>
        <w:rPr>
          <w:spacing w:val="-2"/>
          <w:sz w:val="20"/>
        </w:rPr>
        <w:t> </w:t>
      </w:r>
      <w:r>
        <w:rPr>
          <w:sz w:val="20"/>
        </w:rPr>
        <w:t>line</w:t>
      </w:r>
      <w:r>
        <w:rPr>
          <w:spacing w:val="-2"/>
          <w:sz w:val="20"/>
        </w:rPr>
        <w:t> </w:t>
      </w:r>
      <w:r>
        <w:rPr>
          <w:sz w:val="20"/>
        </w:rPr>
        <w:t>of</w:t>
      </w:r>
      <w:r>
        <w:rPr>
          <w:spacing w:val="-4"/>
          <w:sz w:val="20"/>
        </w:rPr>
        <w:t> </w:t>
      </w:r>
      <w:r>
        <w:rPr>
          <w:sz w:val="20"/>
        </w:rPr>
        <w:t>work</w:t>
      </w:r>
      <w:r>
        <w:rPr>
          <w:spacing w:val="-4"/>
          <w:sz w:val="20"/>
        </w:rPr>
        <w:t> </w:t>
      </w:r>
      <w:r>
        <w:rPr>
          <w:sz w:val="20"/>
        </w:rPr>
        <w:t>for</w:t>
      </w:r>
      <w:r>
        <w:rPr>
          <w:spacing w:val="-4"/>
          <w:sz w:val="20"/>
        </w:rPr>
        <w:t> </w:t>
      </w:r>
      <w:r>
        <w:rPr>
          <w:sz w:val="20"/>
        </w:rPr>
        <w:t>the</w:t>
      </w:r>
      <w:r>
        <w:rPr>
          <w:spacing w:val="-2"/>
          <w:sz w:val="20"/>
        </w:rPr>
        <w:t> </w:t>
      </w:r>
      <w:r>
        <w:rPr>
          <w:sz w:val="20"/>
        </w:rPr>
        <w:t>Immediate</w:t>
      </w:r>
      <w:r>
        <w:rPr>
          <w:spacing w:val="-2"/>
          <w:sz w:val="20"/>
        </w:rPr>
        <w:t> </w:t>
      </w:r>
      <w:r>
        <w:rPr>
          <w:sz w:val="20"/>
        </w:rPr>
        <w:t>Office in 2023.</w:t>
      </w:r>
    </w:p>
    <w:p>
      <w:pPr>
        <w:pStyle w:val="BodyText"/>
        <w:spacing w:before="2"/>
        <w:rPr>
          <w:sz w:val="21"/>
        </w:rPr>
      </w:pPr>
    </w:p>
    <w:p>
      <w:pPr>
        <w:pStyle w:val="Heading3"/>
        <w:numPr>
          <w:ilvl w:val="0"/>
          <w:numId w:val="6"/>
        </w:numPr>
        <w:tabs>
          <w:tab w:pos="2246" w:val="left" w:leader="none"/>
          <w:tab w:pos="2247" w:val="left" w:leader="none"/>
        </w:tabs>
        <w:spacing w:line="240" w:lineRule="auto" w:before="0" w:after="0"/>
        <w:ind w:left="2246" w:right="0" w:hanging="568"/>
        <w:jc w:val="left"/>
      </w:pPr>
      <w:r>
        <w:rPr/>
        <w:t>Office</w:t>
      </w:r>
      <w:r>
        <w:rPr>
          <w:spacing w:val="-5"/>
        </w:rPr>
        <w:t> </w:t>
      </w:r>
      <w:r>
        <w:rPr/>
        <w:t>of</w:t>
      </w:r>
      <w:r>
        <w:rPr>
          <w:spacing w:val="-7"/>
        </w:rPr>
        <w:t> </w:t>
      </w:r>
      <w:r>
        <w:rPr/>
        <w:t>External </w:t>
      </w:r>
      <w:r>
        <w:rPr>
          <w:spacing w:val="-2"/>
        </w:rPr>
        <w:t>Affairs</w:t>
      </w:r>
    </w:p>
    <w:p>
      <w:pPr>
        <w:pStyle w:val="BodyText"/>
        <w:spacing w:before="5"/>
        <w:rPr>
          <w:b/>
        </w:rPr>
      </w:pPr>
    </w:p>
    <w:p>
      <w:pPr>
        <w:pStyle w:val="ListParagraph"/>
        <w:numPr>
          <w:ilvl w:val="0"/>
          <w:numId w:val="4"/>
        </w:numPr>
        <w:tabs>
          <w:tab w:pos="2967" w:val="left" w:leader="none"/>
        </w:tabs>
        <w:spacing w:line="240" w:lineRule="auto" w:before="1" w:after="0"/>
        <w:ind w:left="2246" w:right="2235" w:firstLine="0"/>
        <w:jc w:val="both"/>
        <w:rPr>
          <w:sz w:val="20"/>
        </w:rPr>
      </w:pPr>
      <w:r>
        <w:rPr>
          <w:sz w:val="20"/>
        </w:rPr>
        <w:t>Political support and cooperation, in addition to a general awareness and understanding of its mandate and work, are vital to ensuring effective and efficient conduct by the Office of its preliminary examinations, investigations and prosecutions, especially considering that the Court has no enforcement powers of its own. This support is also essential for the preventive and complementary functions of the Court.</w:t>
      </w:r>
    </w:p>
    <w:p>
      <w:pPr>
        <w:pStyle w:val="ListParagraph"/>
        <w:numPr>
          <w:ilvl w:val="0"/>
          <w:numId w:val="4"/>
        </w:numPr>
        <w:tabs>
          <w:tab w:pos="2967" w:val="left" w:leader="none"/>
        </w:tabs>
        <w:spacing w:line="240" w:lineRule="auto" w:before="122" w:after="0"/>
        <w:ind w:left="2246" w:right="2241" w:firstLine="0"/>
        <w:jc w:val="both"/>
        <w:rPr>
          <w:sz w:val="20"/>
        </w:rPr>
      </w:pPr>
      <w:r>
        <w:rPr>
          <w:sz w:val="20"/>
        </w:rPr>
        <w:t>Under the direction of the Prosecutor, the Office of External Affairs</w:t>
      </w:r>
      <w:r>
        <w:rPr>
          <w:spacing w:val="-1"/>
          <w:sz w:val="20"/>
        </w:rPr>
        <w:t> </w:t>
      </w:r>
      <w:r>
        <w:rPr>
          <w:sz w:val="20"/>
        </w:rPr>
        <w:t>(OEA) guides the diplomatic and external engagements of the Office. The OEA, under the supervision of the Head, International Cooperation Section (P-5), comprises two components: (a) general cooperation and external relations; and (b) judicial cooperation.</w:t>
      </w:r>
    </w:p>
    <w:p>
      <w:pPr>
        <w:pStyle w:val="ListParagraph"/>
        <w:numPr>
          <w:ilvl w:val="0"/>
          <w:numId w:val="4"/>
        </w:numPr>
        <w:tabs>
          <w:tab w:pos="2967" w:val="left" w:leader="none"/>
        </w:tabs>
        <w:spacing w:line="240" w:lineRule="auto" w:before="122" w:after="0"/>
        <w:ind w:left="2246" w:right="2240" w:firstLine="0"/>
        <w:jc w:val="both"/>
        <w:rPr>
          <w:sz w:val="20"/>
        </w:rPr>
      </w:pPr>
      <w:r>
        <w:rPr>
          <w:sz w:val="20"/>
        </w:rPr>
        <w:t>Given the imperative nature of the above functions and the nuanced, and at times, sensitive nature of such engagements, this function is placed as a separate office reporting directly to the Prosecutor in the Office’s organizational structure. This is informed by the importance that the Prosecutor attaches</w:t>
      </w:r>
      <w:r>
        <w:rPr>
          <w:spacing w:val="-2"/>
          <w:sz w:val="20"/>
        </w:rPr>
        <w:t> </w:t>
      </w:r>
      <w:r>
        <w:rPr>
          <w:sz w:val="20"/>
        </w:rPr>
        <w:t>to the Office’s</w:t>
      </w:r>
      <w:r>
        <w:rPr>
          <w:spacing w:val="-1"/>
          <w:sz w:val="20"/>
        </w:rPr>
        <w:t> </w:t>
      </w:r>
      <w:r>
        <w:rPr>
          <w:sz w:val="20"/>
        </w:rPr>
        <w:t>cooperation needs</w:t>
      </w:r>
      <w:r>
        <w:rPr>
          <w:spacing w:val="-1"/>
          <w:sz w:val="20"/>
        </w:rPr>
        <w:t> </w:t>
      </w:r>
      <w:r>
        <w:rPr>
          <w:sz w:val="20"/>
        </w:rPr>
        <w:t>and its</w:t>
      </w:r>
      <w:r>
        <w:rPr>
          <w:spacing w:val="-2"/>
          <w:sz w:val="20"/>
        </w:rPr>
        <w:t> </w:t>
      </w:r>
      <w:r>
        <w:rPr>
          <w:sz w:val="20"/>
        </w:rPr>
        <w:t>interaction and dialogue with States</w:t>
      </w:r>
      <w:r>
        <w:rPr>
          <w:spacing w:val="-5"/>
          <w:sz w:val="20"/>
        </w:rPr>
        <w:t> </w:t>
      </w:r>
      <w:r>
        <w:rPr>
          <w:sz w:val="20"/>
        </w:rPr>
        <w:t>and</w:t>
      </w:r>
      <w:r>
        <w:rPr>
          <w:spacing w:val="-4"/>
          <w:sz w:val="20"/>
        </w:rPr>
        <w:t> </w:t>
      </w:r>
      <w:r>
        <w:rPr>
          <w:sz w:val="20"/>
        </w:rPr>
        <w:t>other</w:t>
      </w:r>
      <w:r>
        <w:rPr>
          <w:spacing w:val="-4"/>
          <w:sz w:val="20"/>
        </w:rPr>
        <w:t> </w:t>
      </w:r>
      <w:r>
        <w:rPr>
          <w:sz w:val="20"/>
        </w:rPr>
        <w:t>external</w:t>
      </w:r>
      <w:r>
        <w:rPr>
          <w:spacing w:val="-2"/>
          <w:sz w:val="20"/>
        </w:rPr>
        <w:t> </w:t>
      </w:r>
      <w:r>
        <w:rPr>
          <w:sz w:val="20"/>
        </w:rPr>
        <w:t>actors, as</w:t>
      </w:r>
      <w:r>
        <w:rPr>
          <w:spacing w:val="-5"/>
          <w:sz w:val="20"/>
        </w:rPr>
        <w:t> </w:t>
      </w:r>
      <w:r>
        <w:rPr>
          <w:sz w:val="20"/>
        </w:rPr>
        <w:t>highlighted</w:t>
      </w:r>
      <w:r>
        <w:rPr>
          <w:spacing w:val="-4"/>
          <w:sz w:val="20"/>
        </w:rPr>
        <w:t> </w:t>
      </w:r>
      <w:r>
        <w:rPr>
          <w:sz w:val="20"/>
        </w:rPr>
        <w:t>also in</w:t>
      </w:r>
      <w:r>
        <w:rPr>
          <w:spacing w:val="-4"/>
          <w:sz w:val="20"/>
        </w:rPr>
        <w:t> </w:t>
      </w:r>
      <w:r>
        <w:rPr>
          <w:sz w:val="20"/>
        </w:rPr>
        <w:t>Strategic Goal</w:t>
      </w:r>
      <w:r>
        <w:rPr>
          <w:spacing w:val="-2"/>
          <w:sz w:val="20"/>
        </w:rPr>
        <w:t> </w:t>
      </w:r>
      <w:r>
        <w:rPr>
          <w:sz w:val="20"/>
        </w:rPr>
        <w:t>2 of the OTP Strategic Plan for 2023-2025 and the IER report.</w:t>
      </w:r>
      <w:r>
        <w:rPr>
          <w:sz w:val="20"/>
          <w:vertAlign w:val="superscript"/>
        </w:rPr>
        <w:t>45</w:t>
      </w:r>
      <w:r>
        <w:rPr>
          <w:sz w:val="20"/>
          <w:vertAlign w:val="baseline"/>
        </w:rPr>
        <w:t> Strengthening partnerships and proactive engagement with national authorities are critical components of the Prosecutor’s efforts</w:t>
      </w:r>
      <w:r>
        <w:rPr>
          <w:spacing w:val="-1"/>
          <w:sz w:val="20"/>
          <w:vertAlign w:val="baseline"/>
        </w:rPr>
        <w:t> </w:t>
      </w:r>
      <w:r>
        <w:rPr>
          <w:sz w:val="20"/>
          <w:vertAlign w:val="baseline"/>
        </w:rPr>
        <w:t>to</w:t>
      </w:r>
      <w:r>
        <w:rPr>
          <w:spacing w:val="-4"/>
          <w:sz w:val="20"/>
          <w:vertAlign w:val="baseline"/>
        </w:rPr>
        <w:t> </w:t>
      </w:r>
      <w:r>
        <w:rPr>
          <w:sz w:val="20"/>
          <w:vertAlign w:val="baseline"/>
        </w:rPr>
        <w:t>enhance the Office’s own performance, while at the same time providing tangible support to domestic proceedings in relation to core international crimes and other serious crimes, in a manner consistent with the Rome Statute.</w:t>
      </w:r>
    </w:p>
    <w:p>
      <w:pPr>
        <w:pStyle w:val="ListParagraph"/>
        <w:numPr>
          <w:ilvl w:val="0"/>
          <w:numId w:val="4"/>
        </w:numPr>
        <w:tabs>
          <w:tab w:pos="2967" w:val="left" w:leader="none"/>
        </w:tabs>
        <w:spacing w:line="240" w:lineRule="auto" w:before="120" w:after="0"/>
        <w:ind w:left="2246" w:right="2240" w:firstLine="0"/>
        <w:jc w:val="both"/>
        <w:rPr>
          <w:sz w:val="20"/>
        </w:rPr>
      </w:pPr>
      <w:r>
        <w:rPr>
          <w:sz w:val="20"/>
        </w:rPr>
        <w:t>The general cooperation and external relations team, under the guidance of the Prosecutor</w:t>
      </w:r>
      <w:r>
        <w:rPr>
          <w:spacing w:val="-7"/>
          <w:sz w:val="20"/>
        </w:rPr>
        <w:t> </w:t>
      </w:r>
      <w:r>
        <w:rPr>
          <w:sz w:val="20"/>
        </w:rPr>
        <w:t>and</w:t>
      </w:r>
      <w:r>
        <w:rPr>
          <w:spacing w:val="-3"/>
          <w:sz w:val="20"/>
        </w:rPr>
        <w:t> </w:t>
      </w:r>
      <w:r>
        <w:rPr>
          <w:sz w:val="20"/>
        </w:rPr>
        <w:t>in</w:t>
      </w:r>
      <w:r>
        <w:rPr>
          <w:spacing w:val="-3"/>
          <w:sz w:val="20"/>
        </w:rPr>
        <w:t> </w:t>
      </w:r>
      <w:r>
        <w:rPr>
          <w:sz w:val="20"/>
        </w:rPr>
        <w:t>close</w:t>
      </w:r>
      <w:r>
        <w:rPr>
          <w:spacing w:val="-6"/>
          <w:sz w:val="20"/>
        </w:rPr>
        <w:t> </w:t>
      </w:r>
      <w:r>
        <w:rPr>
          <w:sz w:val="20"/>
        </w:rPr>
        <w:t>collaboration</w:t>
      </w:r>
      <w:r>
        <w:rPr>
          <w:spacing w:val="-3"/>
          <w:sz w:val="20"/>
        </w:rPr>
        <w:t> </w:t>
      </w:r>
      <w:r>
        <w:rPr>
          <w:sz w:val="20"/>
        </w:rPr>
        <w:t>with</w:t>
      </w:r>
      <w:r>
        <w:rPr>
          <w:spacing w:val="-3"/>
          <w:sz w:val="20"/>
        </w:rPr>
        <w:t> </w:t>
      </w:r>
      <w:r>
        <w:rPr>
          <w:sz w:val="20"/>
        </w:rPr>
        <w:t>IOP,</w:t>
      </w:r>
      <w:r>
        <w:rPr>
          <w:spacing w:val="-5"/>
          <w:sz w:val="20"/>
        </w:rPr>
        <w:t> </w:t>
      </w:r>
      <w:r>
        <w:rPr>
          <w:sz w:val="20"/>
        </w:rPr>
        <w:t>conducts</w:t>
      </w:r>
      <w:r>
        <w:rPr>
          <w:spacing w:val="-4"/>
          <w:sz w:val="20"/>
        </w:rPr>
        <w:t> </w:t>
      </w:r>
      <w:r>
        <w:rPr>
          <w:sz w:val="20"/>
        </w:rPr>
        <w:t>and</w:t>
      </w:r>
      <w:r>
        <w:rPr>
          <w:spacing w:val="-7"/>
          <w:sz w:val="20"/>
        </w:rPr>
        <w:t> </w:t>
      </w:r>
      <w:r>
        <w:rPr>
          <w:sz w:val="20"/>
        </w:rPr>
        <w:t>supports</w:t>
      </w:r>
      <w:r>
        <w:rPr>
          <w:spacing w:val="-9"/>
          <w:sz w:val="20"/>
        </w:rPr>
        <w:t> </w:t>
      </w:r>
      <w:r>
        <w:rPr>
          <w:sz w:val="20"/>
        </w:rPr>
        <w:t>the</w:t>
      </w:r>
      <w:r>
        <w:rPr>
          <w:spacing w:val="-6"/>
          <w:sz w:val="20"/>
        </w:rPr>
        <w:t> </w:t>
      </w:r>
      <w:r>
        <w:rPr>
          <w:sz w:val="20"/>
        </w:rPr>
        <w:t>establishment</w:t>
      </w:r>
      <w:r>
        <w:rPr>
          <w:spacing w:val="-6"/>
          <w:sz w:val="20"/>
        </w:rPr>
        <w:t> </w:t>
      </w:r>
      <w:r>
        <w:rPr>
          <w:sz w:val="20"/>
        </w:rPr>
        <w:t>and management of OTP’s external networks of support with diplomatic communities, international and regional organizations, NGOs and other relevant interlocutors. The team coordinates and provides external relations support and advice to the Office’s leadership, notably the Prosecutor and Deputy Prosecutors, and in relation to various decision-making</w:t>
      </w:r>
    </w:p>
    <w:p>
      <w:pPr>
        <w:pStyle w:val="BodyText"/>
        <w:spacing w:before="2"/>
        <w:rPr>
          <w:sz w:val="13"/>
        </w:rPr>
      </w:pPr>
      <w:r>
        <w:rPr/>
        <w:pict>
          <v:rect style="position:absolute;margin-left:113.330002pt;margin-top:8.780673pt;width:144.050pt;height:.48004pt;mso-position-horizontal-relative:page;mso-position-vertical-relative:paragraph;z-index:-15710208;mso-wrap-distance-left:0;mso-wrap-distance-right:0" id="docshape101" filled="true" fillcolor="#000000" stroked="false">
            <v:fill type="solid"/>
            <w10:wrap type="topAndBottom"/>
          </v:rect>
        </w:pict>
      </w:r>
    </w:p>
    <w:p>
      <w:pPr>
        <w:spacing w:before="86"/>
        <w:ind w:left="2246" w:right="2238" w:firstLine="0"/>
        <w:jc w:val="both"/>
        <w:rPr>
          <w:sz w:val="16"/>
        </w:rPr>
      </w:pPr>
      <w:r>
        <w:rPr>
          <w:position w:val="5"/>
          <w:sz w:val="10"/>
        </w:rPr>
        <w:t>43</w:t>
      </w:r>
      <w:r>
        <w:rPr>
          <w:spacing w:val="40"/>
          <w:position w:val="5"/>
          <w:sz w:val="10"/>
        </w:rPr>
        <w:t> </w:t>
      </w:r>
      <w:r>
        <w:rPr>
          <w:sz w:val="16"/>
        </w:rPr>
        <w:t>See</w:t>
      </w:r>
      <w:r>
        <w:rPr>
          <w:spacing w:val="28"/>
          <w:sz w:val="16"/>
        </w:rPr>
        <w:t> </w:t>
      </w:r>
      <w:r>
        <w:rPr>
          <w:i/>
          <w:sz w:val="16"/>
        </w:rPr>
        <w:t>Independent</w:t>
      </w:r>
      <w:r>
        <w:rPr>
          <w:i/>
          <w:spacing w:val="25"/>
          <w:sz w:val="16"/>
        </w:rPr>
        <w:t> </w:t>
      </w:r>
      <w:r>
        <w:rPr>
          <w:i/>
          <w:sz w:val="16"/>
        </w:rPr>
        <w:t>Expert</w:t>
      </w:r>
      <w:r>
        <w:rPr>
          <w:i/>
          <w:spacing w:val="25"/>
          <w:sz w:val="16"/>
        </w:rPr>
        <w:t> </w:t>
      </w:r>
      <w:r>
        <w:rPr>
          <w:i/>
          <w:sz w:val="16"/>
        </w:rPr>
        <w:t>Review</w:t>
      </w:r>
      <w:r>
        <w:rPr>
          <w:i/>
          <w:spacing w:val="26"/>
          <w:sz w:val="16"/>
        </w:rPr>
        <w:t> </w:t>
      </w:r>
      <w:r>
        <w:rPr>
          <w:i/>
          <w:sz w:val="16"/>
        </w:rPr>
        <w:t>of</w:t>
      </w:r>
      <w:r>
        <w:rPr>
          <w:i/>
          <w:spacing w:val="25"/>
          <w:sz w:val="16"/>
        </w:rPr>
        <w:t> </w:t>
      </w:r>
      <w:r>
        <w:rPr>
          <w:i/>
          <w:sz w:val="16"/>
        </w:rPr>
        <w:t>the</w:t>
      </w:r>
      <w:r>
        <w:rPr>
          <w:i/>
          <w:spacing w:val="27"/>
          <w:sz w:val="16"/>
        </w:rPr>
        <w:t> </w:t>
      </w:r>
      <w:r>
        <w:rPr>
          <w:i/>
          <w:sz w:val="16"/>
        </w:rPr>
        <w:t>International</w:t>
      </w:r>
      <w:r>
        <w:rPr>
          <w:i/>
          <w:spacing w:val="25"/>
          <w:sz w:val="16"/>
        </w:rPr>
        <w:t> </w:t>
      </w:r>
      <w:r>
        <w:rPr>
          <w:i/>
          <w:sz w:val="16"/>
        </w:rPr>
        <w:t>Criminal</w:t>
      </w:r>
      <w:r>
        <w:rPr>
          <w:i/>
          <w:spacing w:val="25"/>
          <w:sz w:val="16"/>
        </w:rPr>
        <w:t> </w:t>
      </w:r>
      <w:r>
        <w:rPr>
          <w:i/>
          <w:sz w:val="16"/>
        </w:rPr>
        <w:t>Court</w:t>
      </w:r>
      <w:r>
        <w:rPr>
          <w:i/>
          <w:spacing w:val="25"/>
          <w:sz w:val="16"/>
        </w:rPr>
        <w:t> </w:t>
      </w:r>
      <w:r>
        <w:rPr>
          <w:i/>
          <w:sz w:val="16"/>
        </w:rPr>
        <w:t>and</w:t>
      </w:r>
      <w:r>
        <w:rPr>
          <w:i/>
          <w:spacing w:val="28"/>
          <w:sz w:val="16"/>
        </w:rPr>
        <w:t> </w:t>
      </w:r>
      <w:r>
        <w:rPr>
          <w:i/>
          <w:sz w:val="16"/>
        </w:rPr>
        <w:t>the</w:t>
      </w:r>
      <w:r>
        <w:rPr>
          <w:i/>
          <w:spacing w:val="27"/>
          <w:sz w:val="16"/>
        </w:rPr>
        <w:t> </w:t>
      </w:r>
      <w:r>
        <w:rPr>
          <w:i/>
          <w:sz w:val="16"/>
        </w:rPr>
        <w:t>Rome</w:t>
      </w:r>
      <w:r>
        <w:rPr>
          <w:i/>
          <w:spacing w:val="27"/>
          <w:sz w:val="16"/>
        </w:rPr>
        <w:t> </w:t>
      </w:r>
      <w:r>
        <w:rPr>
          <w:i/>
          <w:sz w:val="16"/>
        </w:rPr>
        <w:t>Statute</w:t>
      </w:r>
      <w:r>
        <w:rPr>
          <w:i/>
          <w:spacing w:val="38"/>
          <w:sz w:val="16"/>
        </w:rPr>
        <w:t> </w:t>
      </w:r>
      <w:r>
        <w:rPr>
          <w:i/>
          <w:sz w:val="16"/>
        </w:rPr>
        <w:t>–</w:t>
      </w:r>
      <w:r>
        <w:rPr>
          <w:i/>
          <w:spacing w:val="28"/>
          <w:sz w:val="16"/>
        </w:rPr>
        <w:t> </w:t>
      </w:r>
      <w:r>
        <w:rPr>
          <w:i/>
          <w:sz w:val="16"/>
        </w:rPr>
        <w:t>Final</w:t>
      </w:r>
      <w:r>
        <w:rPr>
          <w:i/>
          <w:spacing w:val="25"/>
          <w:sz w:val="16"/>
        </w:rPr>
        <w:t> </w:t>
      </w:r>
      <w:r>
        <w:rPr>
          <w:i/>
          <w:sz w:val="16"/>
        </w:rPr>
        <w:t>Report</w:t>
      </w:r>
      <w:r>
        <w:rPr>
          <w:sz w:val="16"/>
        </w:rPr>
        <w:t>,</w:t>
      </w:r>
      <w:r>
        <w:rPr>
          <w:spacing w:val="40"/>
          <w:sz w:val="16"/>
        </w:rPr>
        <w:t> </w:t>
      </w:r>
      <w:r>
        <w:rPr>
          <w:sz w:val="16"/>
        </w:rPr>
        <w:t>30 September 2020, R56.</w:t>
      </w:r>
    </w:p>
    <w:p>
      <w:pPr>
        <w:spacing w:line="240" w:lineRule="auto" w:before="0"/>
        <w:ind w:left="2246" w:right="2238" w:firstLine="0"/>
        <w:jc w:val="both"/>
        <w:rPr>
          <w:sz w:val="16"/>
        </w:rPr>
      </w:pPr>
      <w:r>
        <w:rPr>
          <w:position w:val="5"/>
          <w:sz w:val="10"/>
        </w:rPr>
        <w:t>44</w:t>
      </w:r>
      <w:r>
        <w:rPr>
          <w:spacing w:val="40"/>
          <w:position w:val="5"/>
          <w:sz w:val="10"/>
        </w:rPr>
        <w:t> </w:t>
      </w:r>
      <w:r>
        <w:rPr>
          <w:sz w:val="16"/>
        </w:rPr>
        <w:t>See</w:t>
      </w:r>
      <w:r>
        <w:rPr>
          <w:spacing w:val="28"/>
          <w:sz w:val="16"/>
        </w:rPr>
        <w:t> </w:t>
      </w:r>
      <w:r>
        <w:rPr>
          <w:i/>
          <w:sz w:val="16"/>
        </w:rPr>
        <w:t>Independent</w:t>
      </w:r>
      <w:r>
        <w:rPr>
          <w:i/>
          <w:spacing w:val="25"/>
          <w:sz w:val="16"/>
        </w:rPr>
        <w:t> </w:t>
      </w:r>
      <w:r>
        <w:rPr>
          <w:i/>
          <w:sz w:val="16"/>
        </w:rPr>
        <w:t>Expert</w:t>
      </w:r>
      <w:r>
        <w:rPr>
          <w:i/>
          <w:spacing w:val="25"/>
          <w:sz w:val="16"/>
        </w:rPr>
        <w:t> </w:t>
      </w:r>
      <w:r>
        <w:rPr>
          <w:i/>
          <w:sz w:val="16"/>
        </w:rPr>
        <w:t>Review</w:t>
      </w:r>
      <w:r>
        <w:rPr>
          <w:i/>
          <w:spacing w:val="26"/>
          <w:sz w:val="16"/>
        </w:rPr>
        <w:t> </w:t>
      </w:r>
      <w:r>
        <w:rPr>
          <w:i/>
          <w:sz w:val="16"/>
        </w:rPr>
        <w:t>of</w:t>
      </w:r>
      <w:r>
        <w:rPr>
          <w:i/>
          <w:spacing w:val="25"/>
          <w:sz w:val="16"/>
        </w:rPr>
        <w:t> </w:t>
      </w:r>
      <w:r>
        <w:rPr>
          <w:i/>
          <w:sz w:val="16"/>
        </w:rPr>
        <w:t>the</w:t>
      </w:r>
      <w:r>
        <w:rPr>
          <w:i/>
          <w:spacing w:val="27"/>
          <w:sz w:val="16"/>
        </w:rPr>
        <w:t> </w:t>
      </w:r>
      <w:r>
        <w:rPr>
          <w:i/>
          <w:sz w:val="16"/>
        </w:rPr>
        <w:t>International</w:t>
      </w:r>
      <w:r>
        <w:rPr>
          <w:i/>
          <w:spacing w:val="25"/>
          <w:sz w:val="16"/>
        </w:rPr>
        <w:t> </w:t>
      </w:r>
      <w:r>
        <w:rPr>
          <w:i/>
          <w:sz w:val="16"/>
        </w:rPr>
        <w:t>Criminal</w:t>
      </w:r>
      <w:r>
        <w:rPr>
          <w:i/>
          <w:spacing w:val="25"/>
          <w:sz w:val="16"/>
        </w:rPr>
        <w:t> </w:t>
      </w:r>
      <w:r>
        <w:rPr>
          <w:i/>
          <w:sz w:val="16"/>
        </w:rPr>
        <w:t>Court</w:t>
      </w:r>
      <w:r>
        <w:rPr>
          <w:i/>
          <w:spacing w:val="25"/>
          <w:sz w:val="16"/>
        </w:rPr>
        <w:t> </w:t>
      </w:r>
      <w:r>
        <w:rPr>
          <w:i/>
          <w:sz w:val="16"/>
        </w:rPr>
        <w:t>and</w:t>
      </w:r>
      <w:r>
        <w:rPr>
          <w:i/>
          <w:spacing w:val="28"/>
          <w:sz w:val="16"/>
        </w:rPr>
        <w:t> </w:t>
      </w:r>
      <w:r>
        <w:rPr>
          <w:i/>
          <w:sz w:val="16"/>
        </w:rPr>
        <w:t>the</w:t>
      </w:r>
      <w:r>
        <w:rPr>
          <w:i/>
          <w:spacing w:val="27"/>
          <w:sz w:val="16"/>
        </w:rPr>
        <w:t> </w:t>
      </w:r>
      <w:r>
        <w:rPr>
          <w:i/>
          <w:sz w:val="16"/>
        </w:rPr>
        <w:t>Rome</w:t>
      </w:r>
      <w:r>
        <w:rPr>
          <w:i/>
          <w:spacing w:val="27"/>
          <w:sz w:val="16"/>
        </w:rPr>
        <w:t> </w:t>
      </w:r>
      <w:r>
        <w:rPr>
          <w:i/>
          <w:sz w:val="16"/>
        </w:rPr>
        <w:t>Statute</w:t>
      </w:r>
      <w:r>
        <w:rPr>
          <w:i/>
          <w:spacing w:val="38"/>
          <w:sz w:val="16"/>
        </w:rPr>
        <w:t> </w:t>
      </w:r>
      <w:r>
        <w:rPr>
          <w:i/>
          <w:sz w:val="16"/>
        </w:rPr>
        <w:t>–</w:t>
      </w:r>
      <w:r>
        <w:rPr>
          <w:i/>
          <w:spacing w:val="28"/>
          <w:sz w:val="16"/>
        </w:rPr>
        <w:t> </w:t>
      </w:r>
      <w:r>
        <w:rPr>
          <w:i/>
          <w:sz w:val="16"/>
        </w:rPr>
        <w:t>Final</w:t>
      </w:r>
      <w:r>
        <w:rPr>
          <w:i/>
          <w:spacing w:val="25"/>
          <w:sz w:val="16"/>
        </w:rPr>
        <w:t> </w:t>
      </w:r>
      <w:r>
        <w:rPr>
          <w:i/>
          <w:sz w:val="16"/>
        </w:rPr>
        <w:t>Report</w:t>
      </w:r>
      <w:r>
        <w:rPr>
          <w:sz w:val="16"/>
        </w:rPr>
        <w:t>,</w:t>
      </w:r>
      <w:r>
        <w:rPr>
          <w:spacing w:val="40"/>
          <w:sz w:val="16"/>
        </w:rPr>
        <w:t> </w:t>
      </w:r>
      <w:r>
        <w:rPr>
          <w:sz w:val="16"/>
        </w:rPr>
        <w:t>30</w:t>
      </w:r>
      <w:r>
        <w:rPr>
          <w:spacing w:val="-1"/>
          <w:sz w:val="16"/>
        </w:rPr>
        <w:t> </w:t>
      </w:r>
      <w:r>
        <w:rPr>
          <w:sz w:val="16"/>
        </w:rPr>
        <w:t>September 2020, para. 154, which recognizes that IOP does not appear to have the resources to fulfil all of its</w:t>
      </w:r>
      <w:r>
        <w:rPr>
          <w:spacing w:val="40"/>
          <w:sz w:val="16"/>
        </w:rPr>
        <w:t> </w:t>
      </w:r>
      <w:r>
        <w:rPr>
          <w:sz w:val="16"/>
        </w:rPr>
        <w:t>functions</w:t>
      </w:r>
      <w:r>
        <w:rPr>
          <w:spacing w:val="-5"/>
          <w:sz w:val="16"/>
        </w:rPr>
        <w:t> </w:t>
      </w:r>
      <w:r>
        <w:rPr>
          <w:sz w:val="16"/>
        </w:rPr>
        <w:t>efficiently.</w:t>
      </w:r>
    </w:p>
    <w:p>
      <w:pPr>
        <w:spacing w:line="240" w:lineRule="auto" w:before="0"/>
        <w:ind w:left="2246" w:right="2238" w:firstLine="0"/>
        <w:jc w:val="both"/>
        <w:rPr>
          <w:sz w:val="16"/>
        </w:rPr>
      </w:pPr>
      <w:r>
        <w:rPr>
          <w:position w:val="5"/>
          <w:sz w:val="10"/>
        </w:rPr>
        <w:t>45</w:t>
      </w:r>
      <w:r>
        <w:rPr>
          <w:spacing w:val="40"/>
          <w:position w:val="5"/>
          <w:sz w:val="10"/>
        </w:rPr>
        <w:t> </w:t>
      </w:r>
      <w:r>
        <w:rPr>
          <w:sz w:val="16"/>
        </w:rPr>
        <w:t>See</w:t>
      </w:r>
      <w:r>
        <w:rPr>
          <w:spacing w:val="28"/>
          <w:sz w:val="16"/>
        </w:rPr>
        <w:t> </w:t>
      </w:r>
      <w:r>
        <w:rPr>
          <w:i/>
          <w:sz w:val="16"/>
        </w:rPr>
        <w:t>Independent</w:t>
      </w:r>
      <w:r>
        <w:rPr>
          <w:i/>
          <w:spacing w:val="25"/>
          <w:sz w:val="16"/>
        </w:rPr>
        <w:t> </w:t>
      </w:r>
      <w:r>
        <w:rPr>
          <w:i/>
          <w:sz w:val="16"/>
        </w:rPr>
        <w:t>Expert</w:t>
      </w:r>
      <w:r>
        <w:rPr>
          <w:i/>
          <w:spacing w:val="25"/>
          <w:sz w:val="16"/>
        </w:rPr>
        <w:t> </w:t>
      </w:r>
      <w:r>
        <w:rPr>
          <w:i/>
          <w:sz w:val="16"/>
        </w:rPr>
        <w:t>Review</w:t>
      </w:r>
      <w:r>
        <w:rPr>
          <w:i/>
          <w:spacing w:val="26"/>
          <w:sz w:val="16"/>
        </w:rPr>
        <w:t> </w:t>
      </w:r>
      <w:r>
        <w:rPr>
          <w:i/>
          <w:sz w:val="16"/>
        </w:rPr>
        <w:t>of</w:t>
      </w:r>
      <w:r>
        <w:rPr>
          <w:i/>
          <w:spacing w:val="25"/>
          <w:sz w:val="16"/>
        </w:rPr>
        <w:t> </w:t>
      </w:r>
      <w:r>
        <w:rPr>
          <w:i/>
          <w:sz w:val="16"/>
        </w:rPr>
        <w:t>the</w:t>
      </w:r>
      <w:r>
        <w:rPr>
          <w:i/>
          <w:spacing w:val="27"/>
          <w:sz w:val="16"/>
        </w:rPr>
        <w:t> </w:t>
      </w:r>
      <w:r>
        <w:rPr>
          <w:i/>
          <w:sz w:val="16"/>
        </w:rPr>
        <w:t>International</w:t>
      </w:r>
      <w:r>
        <w:rPr>
          <w:i/>
          <w:spacing w:val="25"/>
          <w:sz w:val="16"/>
        </w:rPr>
        <w:t> </w:t>
      </w:r>
      <w:r>
        <w:rPr>
          <w:i/>
          <w:sz w:val="16"/>
        </w:rPr>
        <w:t>Criminal</w:t>
      </w:r>
      <w:r>
        <w:rPr>
          <w:i/>
          <w:spacing w:val="25"/>
          <w:sz w:val="16"/>
        </w:rPr>
        <w:t> </w:t>
      </w:r>
      <w:r>
        <w:rPr>
          <w:i/>
          <w:sz w:val="16"/>
        </w:rPr>
        <w:t>Court</w:t>
      </w:r>
      <w:r>
        <w:rPr>
          <w:i/>
          <w:spacing w:val="25"/>
          <w:sz w:val="16"/>
        </w:rPr>
        <w:t> </w:t>
      </w:r>
      <w:r>
        <w:rPr>
          <w:i/>
          <w:sz w:val="16"/>
        </w:rPr>
        <w:t>and</w:t>
      </w:r>
      <w:r>
        <w:rPr>
          <w:i/>
          <w:spacing w:val="28"/>
          <w:sz w:val="16"/>
        </w:rPr>
        <w:t> </w:t>
      </w:r>
      <w:r>
        <w:rPr>
          <w:i/>
          <w:sz w:val="16"/>
        </w:rPr>
        <w:t>the</w:t>
      </w:r>
      <w:r>
        <w:rPr>
          <w:i/>
          <w:spacing w:val="27"/>
          <w:sz w:val="16"/>
        </w:rPr>
        <w:t> </w:t>
      </w:r>
      <w:r>
        <w:rPr>
          <w:i/>
          <w:sz w:val="16"/>
        </w:rPr>
        <w:t>Rome</w:t>
      </w:r>
      <w:r>
        <w:rPr>
          <w:i/>
          <w:spacing w:val="27"/>
          <w:sz w:val="16"/>
        </w:rPr>
        <w:t> </w:t>
      </w:r>
      <w:r>
        <w:rPr>
          <w:i/>
          <w:sz w:val="16"/>
        </w:rPr>
        <w:t>Statute</w:t>
      </w:r>
      <w:r>
        <w:rPr>
          <w:i/>
          <w:spacing w:val="38"/>
          <w:sz w:val="16"/>
        </w:rPr>
        <w:t> </w:t>
      </w:r>
      <w:r>
        <w:rPr>
          <w:i/>
          <w:sz w:val="16"/>
        </w:rPr>
        <w:t>–</w:t>
      </w:r>
      <w:r>
        <w:rPr>
          <w:i/>
          <w:spacing w:val="28"/>
          <w:sz w:val="16"/>
        </w:rPr>
        <w:t> </w:t>
      </w:r>
      <w:r>
        <w:rPr>
          <w:i/>
          <w:sz w:val="16"/>
        </w:rPr>
        <w:t>Final</w:t>
      </w:r>
      <w:r>
        <w:rPr>
          <w:i/>
          <w:spacing w:val="25"/>
          <w:sz w:val="16"/>
        </w:rPr>
        <w:t> </w:t>
      </w:r>
      <w:r>
        <w:rPr>
          <w:i/>
          <w:sz w:val="16"/>
        </w:rPr>
        <w:t>Report</w:t>
      </w:r>
      <w:r>
        <w:rPr>
          <w:sz w:val="16"/>
        </w:rPr>
        <w:t>,</w:t>
      </w:r>
      <w:r>
        <w:rPr>
          <w:spacing w:val="40"/>
          <w:sz w:val="16"/>
        </w:rPr>
        <w:t> </w:t>
      </w:r>
      <w:r>
        <w:rPr>
          <w:sz w:val="16"/>
        </w:rPr>
        <w:t>30</w:t>
      </w:r>
      <w:r>
        <w:rPr>
          <w:spacing w:val="-2"/>
          <w:sz w:val="16"/>
        </w:rPr>
        <w:t> </w:t>
      </w:r>
      <w:r>
        <w:rPr>
          <w:sz w:val="16"/>
        </w:rPr>
        <w:t>September 2020, in particular the recommendations in relation to the importance of maintaining relations with</w:t>
      </w:r>
      <w:r>
        <w:rPr>
          <w:spacing w:val="40"/>
          <w:sz w:val="16"/>
        </w:rPr>
        <w:t> </w:t>
      </w:r>
      <w:r>
        <w:rPr>
          <w:sz w:val="16"/>
        </w:rPr>
        <w:t>the UN and</w:t>
      </w:r>
      <w:r>
        <w:rPr>
          <w:spacing w:val="-3"/>
          <w:sz w:val="16"/>
        </w:rPr>
        <w:t> </w:t>
      </w:r>
      <w:r>
        <w:rPr>
          <w:sz w:val="16"/>
        </w:rPr>
        <w:t>other organizations (R152 -R153) and the continued development</w:t>
      </w:r>
      <w:r>
        <w:rPr>
          <w:spacing w:val="-1"/>
          <w:sz w:val="16"/>
        </w:rPr>
        <w:t> </w:t>
      </w:r>
      <w:r>
        <w:rPr>
          <w:sz w:val="16"/>
        </w:rPr>
        <w:t>of partnerships,</w:t>
      </w:r>
      <w:r>
        <w:rPr>
          <w:spacing w:val="-2"/>
          <w:sz w:val="16"/>
        </w:rPr>
        <w:t> </w:t>
      </w:r>
      <w:r>
        <w:rPr>
          <w:sz w:val="16"/>
        </w:rPr>
        <w:t>cooperation,</w:t>
      </w:r>
      <w:r>
        <w:rPr>
          <w:spacing w:val="-2"/>
          <w:sz w:val="16"/>
        </w:rPr>
        <w:t> </w:t>
      </w:r>
      <w:r>
        <w:rPr>
          <w:sz w:val="16"/>
        </w:rPr>
        <w:t>raising</w:t>
      </w:r>
      <w:r>
        <w:rPr>
          <w:spacing w:val="40"/>
          <w:sz w:val="16"/>
        </w:rPr>
        <w:t> </w:t>
      </w:r>
      <w:r>
        <w:rPr>
          <w:sz w:val="16"/>
        </w:rPr>
        <w:t>awareness, etc. (R272 </w:t>
      </w:r>
      <w:r>
        <w:rPr>
          <w:i/>
          <w:sz w:val="16"/>
        </w:rPr>
        <w:t>et seq.</w:t>
      </w:r>
      <w:r>
        <w:rPr>
          <w:sz w:val="16"/>
        </w:rPr>
        <w:t>).</w:t>
      </w:r>
    </w:p>
    <w:p>
      <w:pPr>
        <w:spacing w:after="0" w:line="240" w:lineRule="auto"/>
        <w:jc w:val="both"/>
        <w:rPr>
          <w:sz w:val="16"/>
        </w:rPr>
        <w:sectPr>
          <w:headerReference w:type="even" r:id="rId34"/>
          <w:headerReference w:type="default" r:id="rId35"/>
          <w:footerReference w:type="even" r:id="rId36"/>
          <w:footerReference w:type="default" r:id="rId37"/>
          <w:pgSz w:w="11910" w:h="16840"/>
          <w:pgMar w:header="953" w:footer="940" w:top="1140" w:bottom="1140" w:left="20" w:right="20"/>
          <w:pgNumType w:start="46"/>
        </w:sectPr>
      </w:pPr>
    </w:p>
    <w:p>
      <w:pPr>
        <w:pStyle w:val="BodyText"/>
        <w:spacing w:before="120"/>
        <w:ind w:left="2246" w:right="2243"/>
        <w:jc w:val="both"/>
      </w:pPr>
      <w:r>
        <w:rPr/>
        <w:t>processes and products of the Office, including those relating the Office’s strategies and policies</w:t>
      </w:r>
      <w:r>
        <w:rPr>
          <w:spacing w:val="-1"/>
        </w:rPr>
        <w:t> </w:t>
      </w:r>
      <w:r>
        <w:rPr/>
        <w:t>and the Assembly. The team also ensures</w:t>
      </w:r>
      <w:r>
        <w:rPr>
          <w:spacing w:val="-1"/>
        </w:rPr>
        <w:t> </w:t>
      </w:r>
      <w:r>
        <w:rPr/>
        <w:t>a coordinated approach on all transversal external relations matters at the inter-organ level.</w:t>
      </w:r>
    </w:p>
    <w:p>
      <w:pPr>
        <w:pStyle w:val="ListParagraph"/>
        <w:numPr>
          <w:ilvl w:val="0"/>
          <w:numId w:val="4"/>
        </w:numPr>
        <w:tabs>
          <w:tab w:pos="2967" w:val="left" w:leader="none"/>
        </w:tabs>
        <w:spacing w:line="240" w:lineRule="auto" w:before="121" w:after="0"/>
        <w:ind w:left="2246" w:right="2240" w:firstLine="0"/>
        <w:jc w:val="both"/>
        <w:rPr>
          <w:sz w:val="20"/>
        </w:rPr>
      </w:pPr>
      <w:r>
        <w:rPr>
          <w:sz w:val="20"/>
        </w:rPr>
        <w:t>The judicial cooperation team provides strategic, technical and operational advice, guidance and quality control to all judicial assistance requests and responses sent on behalf of</w:t>
      </w:r>
      <w:r>
        <w:rPr>
          <w:spacing w:val="-13"/>
          <w:sz w:val="20"/>
        </w:rPr>
        <w:t> </w:t>
      </w:r>
      <w:r>
        <w:rPr>
          <w:sz w:val="20"/>
        </w:rPr>
        <w:t>the</w:t>
      </w:r>
      <w:r>
        <w:rPr>
          <w:spacing w:val="-12"/>
          <w:sz w:val="20"/>
        </w:rPr>
        <w:t> </w:t>
      </w:r>
      <w:r>
        <w:rPr>
          <w:sz w:val="20"/>
        </w:rPr>
        <w:t>unified</w:t>
      </w:r>
      <w:r>
        <w:rPr>
          <w:spacing w:val="-13"/>
          <w:sz w:val="20"/>
        </w:rPr>
        <w:t> </w:t>
      </w:r>
      <w:r>
        <w:rPr>
          <w:sz w:val="20"/>
        </w:rPr>
        <w:t>teams.</w:t>
      </w:r>
      <w:r>
        <w:rPr>
          <w:spacing w:val="-12"/>
          <w:sz w:val="20"/>
        </w:rPr>
        <w:t> </w:t>
      </w:r>
      <w:r>
        <w:rPr>
          <w:sz w:val="20"/>
        </w:rPr>
        <w:t>The</w:t>
      </w:r>
      <w:r>
        <w:rPr>
          <w:spacing w:val="-13"/>
          <w:sz w:val="20"/>
        </w:rPr>
        <w:t> </w:t>
      </w:r>
      <w:r>
        <w:rPr>
          <w:sz w:val="20"/>
        </w:rPr>
        <w:t>team</w:t>
      </w:r>
      <w:r>
        <w:rPr>
          <w:spacing w:val="-12"/>
          <w:sz w:val="20"/>
        </w:rPr>
        <w:t> </w:t>
      </w:r>
      <w:r>
        <w:rPr>
          <w:sz w:val="20"/>
        </w:rPr>
        <w:t>also</w:t>
      </w:r>
      <w:r>
        <w:rPr>
          <w:spacing w:val="-13"/>
          <w:sz w:val="20"/>
        </w:rPr>
        <w:t> </w:t>
      </w:r>
      <w:r>
        <w:rPr>
          <w:sz w:val="20"/>
        </w:rPr>
        <w:t>centralizes</w:t>
      </w:r>
      <w:r>
        <w:rPr>
          <w:spacing w:val="-12"/>
          <w:sz w:val="20"/>
        </w:rPr>
        <w:t> </w:t>
      </w:r>
      <w:r>
        <w:rPr>
          <w:sz w:val="20"/>
        </w:rPr>
        <w:t>a</w:t>
      </w:r>
      <w:r>
        <w:rPr>
          <w:spacing w:val="-13"/>
          <w:sz w:val="20"/>
        </w:rPr>
        <w:t> </w:t>
      </w:r>
      <w:r>
        <w:rPr>
          <w:sz w:val="20"/>
        </w:rPr>
        <w:t>judicial</w:t>
      </w:r>
      <w:r>
        <w:rPr>
          <w:spacing w:val="-12"/>
          <w:sz w:val="20"/>
        </w:rPr>
        <w:t> </w:t>
      </w:r>
      <w:r>
        <w:rPr>
          <w:sz w:val="20"/>
        </w:rPr>
        <w:t>cooperation</w:t>
      </w:r>
      <w:r>
        <w:rPr>
          <w:spacing w:val="-13"/>
          <w:sz w:val="20"/>
        </w:rPr>
        <w:t> </w:t>
      </w:r>
      <w:r>
        <w:rPr>
          <w:sz w:val="20"/>
        </w:rPr>
        <w:t>tracking</w:t>
      </w:r>
      <w:r>
        <w:rPr>
          <w:spacing w:val="-12"/>
          <w:sz w:val="20"/>
        </w:rPr>
        <w:t> </w:t>
      </w:r>
      <w:r>
        <w:rPr>
          <w:sz w:val="20"/>
        </w:rPr>
        <w:t>and</w:t>
      </w:r>
      <w:r>
        <w:rPr>
          <w:spacing w:val="-13"/>
          <w:sz w:val="20"/>
        </w:rPr>
        <w:t> </w:t>
      </w:r>
      <w:r>
        <w:rPr>
          <w:sz w:val="20"/>
        </w:rPr>
        <w:t>compliance system and oversees all communications and records related to outgoing and incoming requests for assistance</w:t>
      </w:r>
      <w:r>
        <w:rPr>
          <w:spacing w:val="-2"/>
          <w:sz w:val="20"/>
        </w:rPr>
        <w:t> </w:t>
      </w:r>
      <w:r>
        <w:rPr>
          <w:sz w:val="20"/>
        </w:rPr>
        <w:t>in the database. This function also plays a</w:t>
      </w:r>
      <w:r>
        <w:rPr>
          <w:spacing w:val="-2"/>
          <w:sz w:val="20"/>
        </w:rPr>
        <w:t> </w:t>
      </w:r>
      <w:r>
        <w:rPr>
          <w:sz w:val="20"/>
        </w:rPr>
        <w:t>leading role in developing and overseeing strategies to reinforce and extend the transversal network of cooperation partners,</w:t>
      </w:r>
      <w:r>
        <w:rPr>
          <w:spacing w:val="-9"/>
          <w:sz w:val="20"/>
        </w:rPr>
        <w:t> </w:t>
      </w:r>
      <w:r>
        <w:rPr>
          <w:sz w:val="20"/>
        </w:rPr>
        <w:t>for</w:t>
      </w:r>
      <w:r>
        <w:rPr>
          <w:spacing w:val="-9"/>
          <w:sz w:val="20"/>
        </w:rPr>
        <w:t> </w:t>
      </w:r>
      <w:r>
        <w:rPr>
          <w:sz w:val="20"/>
        </w:rPr>
        <w:t>example</w:t>
      </w:r>
      <w:r>
        <w:rPr>
          <w:spacing w:val="-8"/>
          <w:sz w:val="20"/>
        </w:rPr>
        <w:t> </w:t>
      </w:r>
      <w:r>
        <w:rPr>
          <w:sz w:val="20"/>
        </w:rPr>
        <w:t>by</w:t>
      </w:r>
      <w:r>
        <w:rPr>
          <w:spacing w:val="-9"/>
          <w:sz w:val="20"/>
        </w:rPr>
        <w:t> </w:t>
      </w:r>
      <w:r>
        <w:rPr>
          <w:sz w:val="20"/>
        </w:rPr>
        <w:t>discussing</w:t>
      </w:r>
      <w:r>
        <w:rPr>
          <w:spacing w:val="-9"/>
          <w:sz w:val="20"/>
        </w:rPr>
        <w:t> </w:t>
      </w:r>
      <w:r>
        <w:rPr>
          <w:sz w:val="20"/>
        </w:rPr>
        <w:t>cooperation</w:t>
      </w:r>
      <w:r>
        <w:rPr>
          <w:spacing w:val="-9"/>
          <w:sz w:val="20"/>
        </w:rPr>
        <w:t> </w:t>
      </w:r>
      <w:r>
        <w:rPr>
          <w:sz w:val="20"/>
        </w:rPr>
        <w:t>agreements</w:t>
      </w:r>
      <w:r>
        <w:rPr>
          <w:spacing w:val="-13"/>
          <w:sz w:val="20"/>
        </w:rPr>
        <w:t> </w:t>
      </w:r>
      <w:r>
        <w:rPr>
          <w:sz w:val="20"/>
        </w:rPr>
        <w:t>where</w:t>
      </w:r>
      <w:r>
        <w:rPr>
          <w:spacing w:val="-7"/>
          <w:sz w:val="20"/>
        </w:rPr>
        <w:t> </w:t>
      </w:r>
      <w:r>
        <w:rPr>
          <w:sz w:val="20"/>
        </w:rPr>
        <w:t>needed,</w:t>
      </w:r>
      <w:r>
        <w:rPr>
          <w:spacing w:val="-7"/>
          <w:sz w:val="20"/>
        </w:rPr>
        <w:t> </w:t>
      </w:r>
      <w:r>
        <w:rPr>
          <w:sz w:val="20"/>
        </w:rPr>
        <w:t>by</w:t>
      </w:r>
      <w:r>
        <w:rPr>
          <w:spacing w:val="-9"/>
          <w:sz w:val="20"/>
        </w:rPr>
        <w:t> </w:t>
      </w:r>
      <w:r>
        <w:rPr>
          <w:sz w:val="20"/>
        </w:rPr>
        <w:t>engaging</w:t>
      </w:r>
      <w:r>
        <w:rPr>
          <w:spacing w:val="-9"/>
          <w:sz w:val="20"/>
        </w:rPr>
        <w:t> </w:t>
      </w:r>
      <w:r>
        <w:rPr>
          <w:sz w:val="20"/>
        </w:rPr>
        <w:t>with new States Parties and non-States partners and networks of law enforcement and judicial actors, and negotiating and facilitating access</w:t>
      </w:r>
      <w:r>
        <w:rPr>
          <w:spacing w:val="-1"/>
          <w:sz w:val="20"/>
        </w:rPr>
        <w:t> </w:t>
      </w:r>
      <w:r>
        <w:rPr>
          <w:sz w:val="20"/>
        </w:rPr>
        <w:t>to diversified sources</w:t>
      </w:r>
      <w:r>
        <w:rPr>
          <w:spacing w:val="-1"/>
          <w:sz w:val="20"/>
        </w:rPr>
        <w:t> </w:t>
      </w:r>
      <w:r>
        <w:rPr>
          <w:sz w:val="20"/>
        </w:rPr>
        <w:t>of</w:t>
      </w:r>
      <w:r>
        <w:rPr>
          <w:spacing w:val="-5"/>
          <w:sz w:val="20"/>
        </w:rPr>
        <w:t> </w:t>
      </w:r>
      <w:r>
        <w:rPr>
          <w:sz w:val="20"/>
        </w:rPr>
        <w:t>evidence – including access to technical or financial evidence or information from sensitive sources.</w:t>
      </w:r>
    </w:p>
    <w:p>
      <w:pPr>
        <w:pStyle w:val="ListParagraph"/>
        <w:numPr>
          <w:ilvl w:val="0"/>
          <w:numId w:val="4"/>
        </w:numPr>
        <w:tabs>
          <w:tab w:pos="2967" w:val="left" w:leader="none"/>
        </w:tabs>
        <w:spacing w:line="240" w:lineRule="auto" w:before="121" w:after="0"/>
        <w:ind w:left="2246" w:right="2240" w:firstLine="0"/>
        <w:jc w:val="both"/>
        <w:rPr>
          <w:sz w:val="20"/>
        </w:rPr>
      </w:pPr>
      <w:r>
        <w:rPr>
          <w:sz w:val="20"/>
        </w:rPr>
        <w:t>In</w:t>
      </w:r>
      <w:r>
        <w:rPr>
          <w:spacing w:val="-1"/>
          <w:sz w:val="20"/>
        </w:rPr>
        <w:t> </w:t>
      </w:r>
      <w:r>
        <w:rPr>
          <w:sz w:val="20"/>
        </w:rPr>
        <w:t>2023,</w:t>
      </w:r>
      <w:r>
        <w:rPr>
          <w:spacing w:val="-3"/>
          <w:sz w:val="20"/>
        </w:rPr>
        <w:t> </w:t>
      </w:r>
      <w:r>
        <w:rPr>
          <w:sz w:val="20"/>
        </w:rPr>
        <w:t>the post</w:t>
      </w:r>
      <w:r>
        <w:rPr>
          <w:spacing w:val="-4"/>
          <w:sz w:val="20"/>
        </w:rPr>
        <w:t> </w:t>
      </w:r>
      <w:r>
        <w:rPr>
          <w:sz w:val="20"/>
        </w:rPr>
        <w:t>of</w:t>
      </w:r>
      <w:r>
        <w:rPr>
          <w:spacing w:val="-3"/>
          <w:sz w:val="20"/>
        </w:rPr>
        <w:t> </w:t>
      </w:r>
      <w:r>
        <w:rPr>
          <w:i/>
          <w:sz w:val="20"/>
        </w:rPr>
        <w:t>Director, Office</w:t>
      </w:r>
      <w:r>
        <w:rPr>
          <w:i/>
          <w:spacing w:val="-4"/>
          <w:sz w:val="20"/>
        </w:rPr>
        <w:t> </w:t>
      </w:r>
      <w:r>
        <w:rPr>
          <w:i/>
          <w:sz w:val="20"/>
        </w:rPr>
        <w:t>of</w:t>
      </w:r>
      <w:r>
        <w:rPr>
          <w:i/>
          <w:spacing w:val="-3"/>
          <w:sz w:val="20"/>
        </w:rPr>
        <w:t> </w:t>
      </w:r>
      <w:r>
        <w:rPr>
          <w:i/>
          <w:sz w:val="20"/>
        </w:rPr>
        <w:t>External</w:t>
      </w:r>
      <w:r>
        <w:rPr>
          <w:i/>
          <w:spacing w:val="-4"/>
          <w:sz w:val="20"/>
        </w:rPr>
        <w:t> </w:t>
      </w:r>
      <w:r>
        <w:rPr>
          <w:i/>
          <w:sz w:val="20"/>
        </w:rPr>
        <w:t>Affairs (D-1)</w:t>
      </w:r>
      <w:r>
        <w:rPr>
          <w:sz w:val="20"/>
        </w:rPr>
        <w:t>,</w:t>
      </w:r>
      <w:r>
        <w:rPr>
          <w:sz w:val="20"/>
          <w:vertAlign w:val="superscript"/>
        </w:rPr>
        <w:t>46</w:t>
      </w:r>
      <w:r>
        <w:rPr>
          <w:sz w:val="20"/>
          <w:vertAlign w:val="baseline"/>
        </w:rPr>
        <w:t> will</w:t>
      </w:r>
      <w:r>
        <w:rPr>
          <w:spacing w:val="-4"/>
          <w:sz w:val="20"/>
          <w:vertAlign w:val="baseline"/>
        </w:rPr>
        <w:t> </w:t>
      </w:r>
      <w:r>
        <w:rPr>
          <w:sz w:val="20"/>
          <w:vertAlign w:val="baseline"/>
        </w:rPr>
        <w:t>be</w:t>
      </w:r>
      <w:r>
        <w:rPr>
          <w:spacing w:val="-4"/>
          <w:sz w:val="20"/>
          <w:vertAlign w:val="baseline"/>
        </w:rPr>
        <w:t> </w:t>
      </w:r>
      <w:r>
        <w:rPr>
          <w:sz w:val="20"/>
          <w:vertAlign w:val="baseline"/>
        </w:rPr>
        <w:t>repurposed to Principal Trial Lawyer (D-1) and redeployed to Programme 2600. This repurposing is consistent</w:t>
      </w:r>
      <w:r>
        <w:rPr>
          <w:spacing w:val="-7"/>
          <w:sz w:val="20"/>
          <w:vertAlign w:val="baseline"/>
        </w:rPr>
        <w:t> </w:t>
      </w:r>
      <w:r>
        <w:rPr>
          <w:sz w:val="20"/>
          <w:vertAlign w:val="baseline"/>
        </w:rPr>
        <w:t>with</w:t>
      </w:r>
      <w:r>
        <w:rPr>
          <w:spacing w:val="-4"/>
          <w:sz w:val="20"/>
          <w:vertAlign w:val="baseline"/>
        </w:rPr>
        <w:t> </w:t>
      </w:r>
      <w:r>
        <w:rPr>
          <w:sz w:val="20"/>
          <w:vertAlign w:val="baseline"/>
        </w:rPr>
        <w:t>the</w:t>
      </w:r>
      <w:r>
        <w:rPr>
          <w:spacing w:val="-7"/>
          <w:sz w:val="20"/>
          <w:vertAlign w:val="baseline"/>
        </w:rPr>
        <w:t> </w:t>
      </w:r>
      <w:r>
        <w:rPr>
          <w:sz w:val="20"/>
          <w:vertAlign w:val="baseline"/>
        </w:rPr>
        <w:t>vision</w:t>
      </w:r>
      <w:r>
        <w:rPr>
          <w:spacing w:val="-4"/>
          <w:sz w:val="20"/>
          <w:vertAlign w:val="baseline"/>
        </w:rPr>
        <w:t> </w:t>
      </w:r>
      <w:r>
        <w:rPr>
          <w:sz w:val="20"/>
          <w:vertAlign w:val="baseline"/>
        </w:rPr>
        <w:t>of</w:t>
      </w:r>
      <w:r>
        <w:rPr>
          <w:spacing w:val="-8"/>
          <w:sz w:val="20"/>
          <w:vertAlign w:val="baseline"/>
        </w:rPr>
        <w:t> </w:t>
      </w:r>
      <w:r>
        <w:rPr>
          <w:sz w:val="20"/>
          <w:vertAlign w:val="baseline"/>
        </w:rPr>
        <w:t>the</w:t>
      </w:r>
      <w:r>
        <w:rPr>
          <w:spacing w:val="-2"/>
          <w:sz w:val="20"/>
          <w:vertAlign w:val="baseline"/>
        </w:rPr>
        <w:t> </w:t>
      </w:r>
      <w:r>
        <w:rPr>
          <w:sz w:val="20"/>
          <w:vertAlign w:val="baseline"/>
        </w:rPr>
        <w:t>Prosecutor</w:t>
      </w:r>
      <w:r>
        <w:rPr>
          <w:spacing w:val="-8"/>
          <w:sz w:val="20"/>
          <w:vertAlign w:val="baseline"/>
        </w:rPr>
        <w:t> </w:t>
      </w:r>
      <w:r>
        <w:rPr>
          <w:sz w:val="20"/>
          <w:vertAlign w:val="baseline"/>
        </w:rPr>
        <w:t>and</w:t>
      </w:r>
      <w:r>
        <w:rPr>
          <w:spacing w:val="-8"/>
          <w:sz w:val="20"/>
          <w:vertAlign w:val="baseline"/>
        </w:rPr>
        <w:t> </w:t>
      </w:r>
      <w:r>
        <w:rPr>
          <w:sz w:val="20"/>
          <w:vertAlign w:val="baseline"/>
        </w:rPr>
        <w:t>the</w:t>
      </w:r>
      <w:r>
        <w:rPr>
          <w:spacing w:val="-2"/>
          <w:sz w:val="20"/>
          <w:vertAlign w:val="baseline"/>
        </w:rPr>
        <w:t> </w:t>
      </w:r>
      <w:r>
        <w:rPr>
          <w:sz w:val="20"/>
          <w:vertAlign w:val="baseline"/>
        </w:rPr>
        <w:t>priority</w:t>
      </w:r>
      <w:r>
        <w:rPr>
          <w:spacing w:val="-8"/>
          <w:sz w:val="20"/>
          <w:vertAlign w:val="baseline"/>
        </w:rPr>
        <w:t> </w:t>
      </w:r>
      <w:r>
        <w:rPr>
          <w:sz w:val="20"/>
          <w:vertAlign w:val="baseline"/>
        </w:rPr>
        <w:t>he</w:t>
      </w:r>
      <w:r>
        <w:rPr>
          <w:spacing w:val="-2"/>
          <w:sz w:val="20"/>
          <w:vertAlign w:val="baseline"/>
        </w:rPr>
        <w:t> </w:t>
      </w:r>
      <w:r>
        <w:rPr>
          <w:sz w:val="20"/>
          <w:vertAlign w:val="baseline"/>
        </w:rPr>
        <w:t>has</w:t>
      </w:r>
      <w:r>
        <w:rPr>
          <w:spacing w:val="-5"/>
          <w:sz w:val="20"/>
          <w:vertAlign w:val="baseline"/>
        </w:rPr>
        <w:t> </w:t>
      </w:r>
      <w:r>
        <w:rPr>
          <w:sz w:val="20"/>
          <w:vertAlign w:val="baseline"/>
        </w:rPr>
        <w:t>given</w:t>
      </w:r>
      <w:r>
        <w:rPr>
          <w:spacing w:val="-8"/>
          <w:sz w:val="20"/>
          <w:vertAlign w:val="baseline"/>
        </w:rPr>
        <w:t> </w:t>
      </w:r>
      <w:r>
        <w:rPr>
          <w:sz w:val="20"/>
          <w:vertAlign w:val="baseline"/>
        </w:rPr>
        <w:t>to</w:t>
      </w:r>
      <w:r>
        <w:rPr>
          <w:spacing w:val="-4"/>
          <w:sz w:val="20"/>
          <w:vertAlign w:val="baseline"/>
        </w:rPr>
        <w:t> </w:t>
      </w:r>
      <w:r>
        <w:rPr>
          <w:sz w:val="20"/>
          <w:vertAlign w:val="baseline"/>
        </w:rPr>
        <w:t>strengthening</w:t>
      </w:r>
      <w:r>
        <w:rPr>
          <w:spacing w:val="-8"/>
          <w:sz w:val="20"/>
          <w:vertAlign w:val="baseline"/>
        </w:rPr>
        <w:t> </w:t>
      </w:r>
      <w:r>
        <w:rPr>
          <w:sz w:val="20"/>
          <w:vertAlign w:val="baseline"/>
        </w:rPr>
        <w:t>the teams engaged in trials and investigations. This process was started with the 2022 budget where the post of Director of Prosecution (D-1) was repurposed to Principal Trial Lawyer </w:t>
      </w:r>
      <w:r>
        <w:rPr>
          <w:spacing w:val="-2"/>
          <w:sz w:val="20"/>
          <w:vertAlign w:val="baseline"/>
        </w:rPr>
        <w:t>(D-1).</w:t>
      </w:r>
      <w:r>
        <w:rPr>
          <w:spacing w:val="-2"/>
          <w:sz w:val="20"/>
          <w:vertAlign w:val="superscript"/>
        </w:rPr>
        <w:t>47</w:t>
      </w:r>
    </w:p>
    <w:p>
      <w:pPr>
        <w:pStyle w:val="ListParagraph"/>
        <w:numPr>
          <w:ilvl w:val="0"/>
          <w:numId w:val="4"/>
        </w:numPr>
        <w:tabs>
          <w:tab w:pos="2967" w:val="left" w:leader="none"/>
        </w:tabs>
        <w:spacing w:line="240" w:lineRule="auto" w:before="123" w:after="0"/>
        <w:ind w:left="2246" w:right="2249" w:firstLine="0"/>
        <w:jc w:val="both"/>
        <w:rPr>
          <w:sz w:val="20"/>
        </w:rPr>
      </w:pPr>
      <w:r>
        <w:rPr>
          <w:sz w:val="20"/>
        </w:rPr>
        <w:t>In parallel, the IOP will provide enhanced support to OEA in order to ensure that cooperation activities</w:t>
      </w:r>
      <w:r>
        <w:rPr>
          <w:spacing w:val="-1"/>
          <w:sz w:val="20"/>
        </w:rPr>
        <w:t> </w:t>
      </w:r>
      <w:r>
        <w:rPr>
          <w:sz w:val="20"/>
        </w:rPr>
        <w:t>continue to benefit from effective strategic guidance aligned with the vision of the Prosecutor to significantly strengthen collaboration with national authorities, international and regional organisations and other relevant actors.</w:t>
      </w:r>
    </w:p>
    <w:p>
      <w:pPr>
        <w:pStyle w:val="BodyText"/>
        <w:spacing w:before="7"/>
      </w:pPr>
    </w:p>
    <w:p>
      <w:pPr>
        <w:pStyle w:val="Heading3"/>
        <w:numPr>
          <w:ilvl w:val="0"/>
          <w:numId w:val="6"/>
        </w:numPr>
        <w:tabs>
          <w:tab w:pos="2246" w:val="left" w:leader="none"/>
          <w:tab w:pos="2247" w:val="left" w:leader="none"/>
        </w:tabs>
        <w:spacing w:line="240" w:lineRule="auto" w:before="0" w:after="0"/>
        <w:ind w:left="2246" w:right="0" w:hanging="568"/>
        <w:jc w:val="left"/>
      </w:pPr>
      <w:r>
        <w:rPr/>
        <w:t>Legal</w:t>
      </w:r>
      <w:r>
        <w:rPr>
          <w:spacing w:val="-6"/>
        </w:rPr>
        <w:t> </w:t>
      </w:r>
      <w:r>
        <w:rPr/>
        <w:t>Advisory</w:t>
      </w:r>
      <w:r>
        <w:rPr>
          <w:spacing w:val="-6"/>
        </w:rPr>
        <w:t> </w:t>
      </w:r>
      <w:r>
        <w:rPr>
          <w:spacing w:val="-2"/>
        </w:rPr>
        <w:t>Section</w:t>
      </w:r>
    </w:p>
    <w:p>
      <w:pPr>
        <w:pStyle w:val="BodyText"/>
        <w:spacing w:before="10"/>
        <w:rPr>
          <w:b/>
        </w:rPr>
      </w:pPr>
    </w:p>
    <w:p>
      <w:pPr>
        <w:pStyle w:val="ListParagraph"/>
        <w:numPr>
          <w:ilvl w:val="0"/>
          <w:numId w:val="4"/>
        </w:numPr>
        <w:tabs>
          <w:tab w:pos="2967" w:val="left" w:leader="none"/>
        </w:tabs>
        <w:spacing w:line="240" w:lineRule="auto" w:before="0" w:after="0"/>
        <w:ind w:left="2246" w:right="2239" w:firstLine="0"/>
        <w:jc w:val="both"/>
        <w:rPr>
          <w:sz w:val="20"/>
        </w:rPr>
      </w:pPr>
      <w:r>
        <w:rPr>
          <w:sz w:val="20"/>
        </w:rPr>
        <w:t>The Legal Advisory Section (LAS), working with other parts of the OTP as necessary, responds to requests for legal advice from the Prosecutor and the prosecution pillars and other components of the Office. These requests may concern the OTP’s investigations and prosecutions, core operations, administrative law and other internal matters.</w:t>
      </w:r>
      <w:r>
        <w:rPr>
          <w:spacing w:val="-13"/>
          <w:sz w:val="20"/>
        </w:rPr>
        <w:t> </w:t>
      </w:r>
      <w:r>
        <w:rPr>
          <w:sz w:val="20"/>
        </w:rPr>
        <w:t>LAS</w:t>
      </w:r>
      <w:r>
        <w:rPr>
          <w:spacing w:val="-12"/>
          <w:sz w:val="20"/>
        </w:rPr>
        <w:t> </w:t>
      </w:r>
      <w:r>
        <w:rPr>
          <w:sz w:val="20"/>
        </w:rPr>
        <w:t>also</w:t>
      </w:r>
      <w:r>
        <w:rPr>
          <w:spacing w:val="-13"/>
          <w:sz w:val="20"/>
        </w:rPr>
        <w:t> </w:t>
      </w:r>
      <w:r>
        <w:rPr>
          <w:sz w:val="20"/>
        </w:rPr>
        <w:t>represents</w:t>
      </w:r>
      <w:r>
        <w:rPr>
          <w:spacing w:val="-12"/>
          <w:sz w:val="20"/>
        </w:rPr>
        <w:t> </w:t>
      </w:r>
      <w:r>
        <w:rPr>
          <w:sz w:val="20"/>
        </w:rPr>
        <w:t>the</w:t>
      </w:r>
      <w:r>
        <w:rPr>
          <w:spacing w:val="-13"/>
          <w:sz w:val="20"/>
        </w:rPr>
        <w:t> </w:t>
      </w:r>
      <w:r>
        <w:rPr>
          <w:sz w:val="20"/>
        </w:rPr>
        <w:t>OTP</w:t>
      </w:r>
      <w:r>
        <w:rPr>
          <w:spacing w:val="-12"/>
          <w:sz w:val="20"/>
        </w:rPr>
        <w:t> </w:t>
      </w:r>
      <w:r>
        <w:rPr>
          <w:sz w:val="20"/>
        </w:rPr>
        <w:t>in</w:t>
      </w:r>
      <w:r>
        <w:rPr>
          <w:spacing w:val="-13"/>
          <w:sz w:val="20"/>
        </w:rPr>
        <w:t> </w:t>
      </w:r>
      <w:r>
        <w:rPr>
          <w:sz w:val="20"/>
        </w:rPr>
        <w:t>the</w:t>
      </w:r>
      <w:r>
        <w:rPr>
          <w:spacing w:val="-8"/>
          <w:sz w:val="20"/>
        </w:rPr>
        <w:t> </w:t>
      </w:r>
      <w:r>
        <w:rPr>
          <w:sz w:val="20"/>
        </w:rPr>
        <w:t>development</w:t>
      </w:r>
      <w:r>
        <w:rPr>
          <w:spacing w:val="-11"/>
          <w:sz w:val="20"/>
        </w:rPr>
        <w:t> </w:t>
      </w:r>
      <w:r>
        <w:rPr>
          <w:sz w:val="20"/>
        </w:rPr>
        <w:t>and</w:t>
      </w:r>
      <w:r>
        <w:rPr>
          <w:spacing w:val="-13"/>
          <w:sz w:val="20"/>
        </w:rPr>
        <w:t> </w:t>
      </w:r>
      <w:r>
        <w:rPr>
          <w:sz w:val="20"/>
        </w:rPr>
        <w:t>revision</w:t>
      </w:r>
      <w:r>
        <w:rPr>
          <w:spacing w:val="-7"/>
          <w:sz w:val="20"/>
        </w:rPr>
        <w:t> </w:t>
      </w:r>
      <w:r>
        <w:rPr>
          <w:sz w:val="20"/>
        </w:rPr>
        <w:t>of</w:t>
      </w:r>
      <w:r>
        <w:rPr>
          <w:spacing w:val="-7"/>
          <w:sz w:val="20"/>
        </w:rPr>
        <w:t> </w:t>
      </w:r>
      <w:r>
        <w:rPr>
          <w:sz w:val="20"/>
        </w:rPr>
        <w:t>Court-wide</w:t>
      </w:r>
      <w:r>
        <w:rPr>
          <w:spacing w:val="-10"/>
          <w:sz w:val="20"/>
        </w:rPr>
        <w:t> </w:t>
      </w:r>
      <w:r>
        <w:rPr>
          <w:sz w:val="20"/>
        </w:rPr>
        <w:t>policies and administrative issuances, and other regulatory instruments. LAS has developed an electronic system to assist in identifying and recording lessons learned so as to enhance the quality and efficiency of operations, as also addressed in OTP Strategic Goal 7. LAS also facilitates</w:t>
      </w:r>
      <w:r>
        <w:rPr>
          <w:spacing w:val="-12"/>
          <w:sz w:val="20"/>
        </w:rPr>
        <w:t> </w:t>
      </w:r>
      <w:r>
        <w:rPr>
          <w:sz w:val="20"/>
        </w:rPr>
        <w:t>the</w:t>
      </w:r>
      <w:r>
        <w:rPr>
          <w:spacing w:val="-8"/>
          <w:sz w:val="20"/>
        </w:rPr>
        <w:t> </w:t>
      </w:r>
      <w:r>
        <w:rPr>
          <w:sz w:val="20"/>
        </w:rPr>
        <w:t>development</w:t>
      </w:r>
      <w:r>
        <w:rPr>
          <w:spacing w:val="-8"/>
          <w:sz w:val="20"/>
        </w:rPr>
        <w:t> </w:t>
      </w:r>
      <w:r>
        <w:rPr>
          <w:sz w:val="20"/>
        </w:rPr>
        <w:t>and</w:t>
      </w:r>
      <w:r>
        <w:rPr>
          <w:spacing w:val="-9"/>
          <w:sz w:val="20"/>
        </w:rPr>
        <w:t> </w:t>
      </w:r>
      <w:r>
        <w:rPr>
          <w:sz w:val="20"/>
        </w:rPr>
        <w:t>maintenance</w:t>
      </w:r>
      <w:r>
        <w:rPr>
          <w:spacing w:val="-8"/>
          <w:sz w:val="20"/>
        </w:rPr>
        <w:t> </w:t>
      </w:r>
      <w:r>
        <w:rPr>
          <w:sz w:val="20"/>
        </w:rPr>
        <w:t>of</w:t>
      </w:r>
      <w:r>
        <w:rPr>
          <w:spacing w:val="-13"/>
          <w:sz w:val="20"/>
        </w:rPr>
        <w:t> </w:t>
      </w:r>
      <w:r>
        <w:rPr>
          <w:sz w:val="20"/>
        </w:rPr>
        <w:t>the</w:t>
      </w:r>
      <w:r>
        <w:rPr>
          <w:spacing w:val="-8"/>
          <w:sz w:val="20"/>
        </w:rPr>
        <w:t> </w:t>
      </w:r>
      <w:r>
        <w:rPr>
          <w:sz w:val="20"/>
        </w:rPr>
        <w:t>OTP’s</w:t>
      </w:r>
      <w:r>
        <w:rPr>
          <w:spacing w:val="-11"/>
          <w:sz w:val="20"/>
        </w:rPr>
        <w:t> </w:t>
      </w:r>
      <w:r>
        <w:rPr>
          <w:sz w:val="20"/>
        </w:rPr>
        <w:t>professional</w:t>
      </w:r>
      <w:r>
        <w:rPr>
          <w:spacing w:val="-8"/>
          <w:sz w:val="20"/>
        </w:rPr>
        <w:t> </w:t>
      </w:r>
      <w:r>
        <w:rPr>
          <w:sz w:val="20"/>
        </w:rPr>
        <w:t>and</w:t>
      </w:r>
      <w:r>
        <w:rPr>
          <w:spacing w:val="-9"/>
          <w:sz w:val="20"/>
        </w:rPr>
        <w:t> </w:t>
      </w:r>
      <w:r>
        <w:rPr>
          <w:sz w:val="20"/>
        </w:rPr>
        <w:t>ethical</w:t>
      </w:r>
      <w:r>
        <w:rPr>
          <w:spacing w:val="-8"/>
          <w:sz w:val="20"/>
        </w:rPr>
        <w:t> </w:t>
      </w:r>
      <w:r>
        <w:rPr>
          <w:sz w:val="20"/>
        </w:rPr>
        <w:t>standards, and coordinates the development of the OTP’s internal regulatory framework. LAS is therefore responsible for</w:t>
      </w:r>
      <w:r>
        <w:rPr>
          <w:spacing w:val="-6"/>
          <w:sz w:val="20"/>
        </w:rPr>
        <w:t> </w:t>
      </w:r>
      <w:r>
        <w:rPr>
          <w:sz w:val="20"/>
        </w:rPr>
        <w:t>coordinating</w:t>
      </w:r>
      <w:r>
        <w:rPr>
          <w:spacing w:val="-6"/>
          <w:sz w:val="20"/>
        </w:rPr>
        <w:t> </w:t>
      </w:r>
      <w:r>
        <w:rPr>
          <w:sz w:val="20"/>
        </w:rPr>
        <w:t>the</w:t>
      </w:r>
      <w:r>
        <w:rPr>
          <w:spacing w:val="-4"/>
          <w:sz w:val="20"/>
        </w:rPr>
        <w:t> </w:t>
      </w:r>
      <w:r>
        <w:rPr>
          <w:sz w:val="20"/>
        </w:rPr>
        <w:t>revision</w:t>
      </w:r>
      <w:r>
        <w:rPr>
          <w:spacing w:val="-1"/>
          <w:sz w:val="20"/>
        </w:rPr>
        <w:t> </w:t>
      </w:r>
      <w:r>
        <w:rPr>
          <w:sz w:val="20"/>
        </w:rPr>
        <w:t>of</w:t>
      </w:r>
      <w:r>
        <w:rPr>
          <w:spacing w:val="-6"/>
          <w:sz w:val="20"/>
        </w:rPr>
        <w:t> </w:t>
      </w:r>
      <w:r>
        <w:rPr>
          <w:sz w:val="20"/>
        </w:rPr>
        <w:t>the</w:t>
      </w:r>
      <w:r>
        <w:rPr>
          <w:spacing w:val="-4"/>
          <w:sz w:val="20"/>
        </w:rPr>
        <w:t> </w:t>
      </w:r>
      <w:r>
        <w:rPr>
          <w:sz w:val="20"/>
        </w:rPr>
        <w:t>OTP’s</w:t>
      </w:r>
      <w:r>
        <w:rPr>
          <w:spacing w:val="-2"/>
          <w:sz w:val="20"/>
        </w:rPr>
        <w:t> </w:t>
      </w:r>
      <w:r>
        <w:rPr>
          <w:sz w:val="20"/>
        </w:rPr>
        <w:t>Regulations</w:t>
      </w:r>
      <w:r>
        <w:rPr>
          <w:spacing w:val="-2"/>
          <w:sz w:val="20"/>
        </w:rPr>
        <w:t> </w:t>
      </w:r>
      <w:r>
        <w:rPr>
          <w:sz w:val="20"/>
        </w:rPr>
        <w:t>and</w:t>
      </w:r>
      <w:r>
        <w:rPr>
          <w:spacing w:val="-1"/>
          <w:sz w:val="20"/>
        </w:rPr>
        <w:t> </w:t>
      </w:r>
      <w:r>
        <w:rPr>
          <w:sz w:val="20"/>
        </w:rPr>
        <w:t>Operations Manual and updating the OTP Code of Conduct, as necessary.</w:t>
      </w:r>
    </w:p>
    <w:p>
      <w:pPr>
        <w:pStyle w:val="ListParagraph"/>
        <w:numPr>
          <w:ilvl w:val="0"/>
          <w:numId w:val="4"/>
        </w:numPr>
        <w:tabs>
          <w:tab w:pos="2967" w:val="left" w:leader="none"/>
        </w:tabs>
        <w:spacing w:line="240" w:lineRule="auto" w:before="121" w:after="0"/>
        <w:ind w:left="2246" w:right="2241" w:firstLine="0"/>
        <w:jc w:val="both"/>
        <w:rPr>
          <w:sz w:val="20"/>
        </w:rPr>
      </w:pPr>
      <w:r>
        <w:rPr>
          <w:sz w:val="20"/>
        </w:rPr>
        <w:t>LAS manages online legal tools for the OTP and provides or facilitates related training as needed, and is responsible for OTP input into the development of a Court-wide case</w:t>
      </w:r>
      <w:r>
        <w:rPr>
          <w:spacing w:val="-8"/>
          <w:sz w:val="20"/>
        </w:rPr>
        <w:t> </w:t>
      </w:r>
      <w:r>
        <w:rPr>
          <w:sz w:val="20"/>
        </w:rPr>
        <w:t>law</w:t>
      </w:r>
      <w:r>
        <w:rPr>
          <w:spacing w:val="-11"/>
          <w:sz w:val="20"/>
        </w:rPr>
        <w:t> </w:t>
      </w:r>
      <w:r>
        <w:rPr>
          <w:sz w:val="20"/>
        </w:rPr>
        <w:t>database.</w:t>
      </w:r>
      <w:r>
        <w:rPr>
          <w:spacing w:val="-2"/>
          <w:sz w:val="20"/>
        </w:rPr>
        <w:t> </w:t>
      </w:r>
      <w:r>
        <w:rPr>
          <w:sz w:val="20"/>
        </w:rPr>
        <w:t>Additionally,</w:t>
      </w:r>
      <w:r>
        <w:rPr>
          <w:spacing w:val="-7"/>
          <w:sz w:val="20"/>
        </w:rPr>
        <w:t> </w:t>
      </w:r>
      <w:r>
        <w:rPr>
          <w:sz w:val="20"/>
        </w:rPr>
        <w:t>LAS</w:t>
      </w:r>
      <w:r>
        <w:rPr>
          <w:spacing w:val="-11"/>
          <w:sz w:val="20"/>
        </w:rPr>
        <w:t> </w:t>
      </w:r>
      <w:r>
        <w:rPr>
          <w:sz w:val="20"/>
        </w:rPr>
        <w:t>is</w:t>
      </w:r>
      <w:r>
        <w:rPr>
          <w:spacing w:val="-11"/>
          <w:sz w:val="20"/>
        </w:rPr>
        <w:t> </w:t>
      </w:r>
      <w:r>
        <w:rPr>
          <w:sz w:val="20"/>
        </w:rPr>
        <w:t>responsible</w:t>
      </w:r>
      <w:r>
        <w:rPr>
          <w:spacing w:val="-8"/>
          <w:sz w:val="20"/>
        </w:rPr>
        <w:t> </w:t>
      </w:r>
      <w:r>
        <w:rPr>
          <w:sz w:val="20"/>
        </w:rPr>
        <w:t>for</w:t>
      </w:r>
      <w:r>
        <w:rPr>
          <w:spacing w:val="-9"/>
          <w:sz w:val="20"/>
        </w:rPr>
        <w:t> </w:t>
      </w:r>
      <w:r>
        <w:rPr>
          <w:sz w:val="20"/>
        </w:rPr>
        <w:t>the</w:t>
      </w:r>
      <w:r>
        <w:rPr>
          <w:spacing w:val="-8"/>
          <w:sz w:val="20"/>
        </w:rPr>
        <w:t> </w:t>
      </w:r>
      <w:r>
        <w:rPr>
          <w:sz w:val="20"/>
        </w:rPr>
        <w:t>development</w:t>
      </w:r>
      <w:r>
        <w:rPr>
          <w:spacing w:val="-3"/>
          <w:sz w:val="20"/>
        </w:rPr>
        <w:t> </w:t>
      </w:r>
      <w:r>
        <w:rPr>
          <w:sz w:val="20"/>
        </w:rPr>
        <w:t>of</w:t>
      </w:r>
      <w:r>
        <w:rPr>
          <w:spacing w:val="-9"/>
          <w:sz w:val="20"/>
        </w:rPr>
        <w:t> </w:t>
      </w:r>
      <w:r>
        <w:rPr>
          <w:sz w:val="20"/>
        </w:rPr>
        <w:t>a</w:t>
      </w:r>
      <w:r>
        <w:rPr>
          <w:spacing w:val="-8"/>
          <w:sz w:val="20"/>
        </w:rPr>
        <w:t> </w:t>
      </w:r>
      <w:r>
        <w:rPr>
          <w:sz w:val="20"/>
        </w:rPr>
        <w:t>legal-academic network</w:t>
      </w:r>
      <w:r>
        <w:rPr>
          <w:spacing w:val="-13"/>
          <w:sz w:val="20"/>
        </w:rPr>
        <w:t> </w:t>
      </w:r>
      <w:r>
        <w:rPr>
          <w:sz w:val="20"/>
        </w:rPr>
        <w:t>for</w:t>
      </w:r>
      <w:r>
        <w:rPr>
          <w:spacing w:val="-12"/>
          <w:sz w:val="20"/>
        </w:rPr>
        <w:t> </w:t>
      </w:r>
      <w:r>
        <w:rPr>
          <w:sz w:val="20"/>
        </w:rPr>
        <w:t>the</w:t>
      </w:r>
      <w:r>
        <w:rPr>
          <w:spacing w:val="-9"/>
          <w:sz w:val="20"/>
        </w:rPr>
        <w:t> </w:t>
      </w:r>
      <w:r>
        <w:rPr>
          <w:sz w:val="20"/>
        </w:rPr>
        <w:t>OTP,</w:t>
      </w:r>
      <w:r>
        <w:rPr>
          <w:spacing w:val="-11"/>
          <w:sz w:val="20"/>
        </w:rPr>
        <w:t> </w:t>
      </w:r>
      <w:r>
        <w:rPr>
          <w:sz w:val="20"/>
        </w:rPr>
        <w:t>which</w:t>
      </w:r>
      <w:r>
        <w:rPr>
          <w:spacing w:val="-13"/>
          <w:sz w:val="20"/>
        </w:rPr>
        <w:t> </w:t>
      </w:r>
      <w:r>
        <w:rPr>
          <w:sz w:val="20"/>
        </w:rPr>
        <w:t>includes</w:t>
      </w:r>
      <w:r>
        <w:rPr>
          <w:spacing w:val="-10"/>
          <w:sz w:val="20"/>
        </w:rPr>
        <w:t> </w:t>
      </w:r>
      <w:r>
        <w:rPr>
          <w:sz w:val="20"/>
        </w:rPr>
        <w:t>organizing</w:t>
      </w:r>
      <w:r>
        <w:rPr>
          <w:spacing w:val="-13"/>
          <w:sz w:val="20"/>
        </w:rPr>
        <w:t> </w:t>
      </w:r>
      <w:r>
        <w:rPr>
          <w:sz w:val="20"/>
        </w:rPr>
        <w:t>a</w:t>
      </w:r>
      <w:r>
        <w:rPr>
          <w:spacing w:val="-7"/>
          <w:sz w:val="20"/>
        </w:rPr>
        <w:t> </w:t>
      </w:r>
      <w:r>
        <w:rPr>
          <w:sz w:val="20"/>
        </w:rPr>
        <w:t>series</w:t>
      </w:r>
      <w:r>
        <w:rPr>
          <w:spacing w:val="-10"/>
          <w:sz w:val="20"/>
        </w:rPr>
        <w:t> </w:t>
      </w:r>
      <w:r>
        <w:rPr>
          <w:sz w:val="20"/>
        </w:rPr>
        <w:t>of</w:t>
      </w:r>
      <w:r>
        <w:rPr>
          <w:spacing w:val="-13"/>
          <w:sz w:val="20"/>
        </w:rPr>
        <w:t> </w:t>
      </w:r>
      <w:r>
        <w:rPr>
          <w:sz w:val="20"/>
        </w:rPr>
        <w:t>guest</w:t>
      </w:r>
      <w:r>
        <w:rPr>
          <w:spacing w:val="-12"/>
          <w:sz w:val="20"/>
        </w:rPr>
        <w:t> </w:t>
      </w:r>
      <w:r>
        <w:rPr>
          <w:sz w:val="20"/>
        </w:rPr>
        <w:t>lectures</w:t>
      </w:r>
      <w:r>
        <w:rPr>
          <w:spacing w:val="-10"/>
          <w:sz w:val="20"/>
        </w:rPr>
        <w:t> </w:t>
      </w:r>
      <w:r>
        <w:rPr>
          <w:sz w:val="20"/>
        </w:rPr>
        <w:t>by</w:t>
      </w:r>
      <w:r>
        <w:rPr>
          <w:spacing w:val="-13"/>
          <w:sz w:val="20"/>
        </w:rPr>
        <w:t> </w:t>
      </w:r>
      <w:r>
        <w:rPr>
          <w:sz w:val="20"/>
        </w:rPr>
        <w:t>external</w:t>
      </w:r>
      <w:r>
        <w:rPr>
          <w:spacing w:val="-12"/>
          <w:sz w:val="20"/>
        </w:rPr>
        <w:t> </w:t>
      </w:r>
      <w:r>
        <w:rPr>
          <w:sz w:val="20"/>
        </w:rPr>
        <w:t>experts.</w:t>
      </w:r>
    </w:p>
    <w:p>
      <w:pPr>
        <w:pStyle w:val="ListParagraph"/>
        <w:numPr>
          <w:ilvl w:val="0"/>
          <w:numId w:val="4"/>
        </w:numPr>
        <w:tabs>
          <w:tab w:pos="2967" w:val="left" w:leader="none"/>
        </w:tabs>
        <w:spacing w:line="240" w:lineRule="auto" w:before="123" w:after="0"/>
        <w:ind w:left="2246" w:right="2241" w:firstLine="0"/>
        <w:jc w:val="both"/>
        <w:rPr>
          <w:sz w:val="20"/>
        </w:rPr>
      </w:pPr>
      <w:r>
        <w:rPr>
          <w:sz w:val="20"/>
        </w:rPr>
        <w:t>Lastly, LAS is responsible for advising the Prosecutor on staff-related administrative law matters, including cases involving litigation, the application and interpretation of Staff Regulations and Rules, as well as administrative instructions, in consultation with OTP-HR and IOP, as appropriate.</w:t>
      </w:r>
    </w:p>
    <w:p>
      <w:pPr>
        <w:pStyle w:val="BodyText"/>
        <w:rPr>
          <w:sz w:val="21"/>
        </w:rPr>
      </w:pPr>
    </w:p>
    <w:p>
      <w:pPr>
        <w:pStyle w:val="Heading3"/>
        <w:numPr>
          <w:ilvl w:val="0"/>
          <w:numId w:val="6"/>
        </w:numPr>
        <w:tabs>
          <w:tab w:pos="2246" w:val="left" w:leader="none"/>
          <w:tab w:pos="2247" w:val="left" w:leader="none"/>
        </w:tabs>
        <w:spacing w:line="240" w:lineRule="auto" w:before="0" w:after="0"/>
        <w:ind w:left="2246" w:right="0" w:hanging="568"/>
        <w:jc w:val="left"/>
      </w:pPr>
      <w:r>
        <w:rPr/>
        <w:t>Public</w:t>
      </w:r>
      <w:r>
        <w:rPr>
          <w:spacing w:val="-8"/>
        </w:rPr>
        <w:t> </w:t>
      </w:r>
      <w:r>
        <w:rPr/>
        <w:t>Information</w:t>
      </w:r>
      <w:r>
        <w:rPr>
          <w:spacing w:val="-7"/>
        </w:rPr>
        <w:t> </w:t>
      </w:r>
      <w:r>
        <w:rPr>
          <w:spacing w:val="-4"/>
        </w:rPr>
        <w:t>Unit</w:t>
      </w:r>
    </w:p>
    <w:p>
      <w:pPr>
        <w:pStyle w:val="BodyText"/>
        <w:spacing w:before="6"/>
        <w:rPr>
          <w:b/>
        </w:rPr>
      </w:pPr>
    </w:p>
    <w:p>
      <w:pPr>
        <w:pStyle w:val="ListParagraph"/>
        <w:numPr>
          <w:ilvl w:val="0"/>
          <w:numId w:val="4"/>
        </w:numPr>
        <w:tabs>
          <w:tab w:pos="2967" w:val="left" w:leader="none"/>
        </w:tabs>
        <w:spacing w:line="240" w:lineRule="auto" w:before="0" w:after="0"/>
        <w:ind w:left="2246" w:right="2241" w:firstLine="0"/>
        <w:jc w:val="both"/>
        <w:rPr>
          <w:sz w:val="20"/>
        </w:rPr>
      </w:pPr>
      <w:r>
        <w:rPr>
          <w:sz w:val="20"/>
        </w:rPr>
        <w:t>As part of the reorganization of the Office, and in line with the IER recommendations, the Public Information Unit (PIU) was moved from IOP. It stands as a separate unit that reports directly to the Prosecutor.</w:t>
      </w:r>
      <w:r>
        <w:rPr>
          <w:sz w:val="20"/>
          <w:vertAlign w:val="superscript"/>
        </w:rPr>
        <w:t>48</w:t>
      </w:r>
      <w:r>
        <w:rPr>
          <w:sz w:val="20"/>
          <w:vertAlign w:val="baseline"/>
        </w:rPr>
        <w:t> In the execution of its functions, PIU will work closely with IOP, in addition to the OEA external relations team</w:t>
      </w:r>
      <w:r>
        <w:rPr>
          <w:spacing w:val="17"/>
          <w:sz w:val="20"/>
          <w:vertAlign w:val="baseline"/>
        </w:rPr>
        <w:t> </w:t>
      </w:r>
      <w:r>
        <w:rPr>
          <w:sz w:val="20"/>
          <w:vertAlign w:val="baseline"/>
        </w:rPr>
        <w:t>and the unified</w:t>
      </w:r>
    </w:p>
    <w:p>
      <w:pPr>
        <w:pStyle w:val="BodyText"/>
        <w:spacing w:before="6"/>
      </w:pPr>
      <w:r>
        <w:rPr/>
        <w:pict>
          <v:rect style="position:absolute;margin-left:113.330002pt;margin-top:13.026827pt;width:144.050pt;height:.47998pt;mso-position-horizontal-relative:page;mso-position-vertical-relative:paragraph;z-index:-15709696;mso-wrap-distance-left:0;mso-wrap-distance-right:0" id="docshape102" filled="true" fillcolor="#000000" stroked="false">
            <v:fill type="solid"/>
            <w10:wrap type="topAndBottom"/>
          </v:rect>
        </w:pict>
      </w:r>
    </w:p>
    <w:p>
      <w:pPr>
        <w:spacing w:line="183" w:lineRule="exact" w:before="86"/>
        <w:ind w:left="2246" w:right="0" w:firstLine="0"/>
        <w:jc w:val="both"/>
        <w:rPr>
          <w:sz w:val="16"/>
        </w:rPr>
      </w:pPr>
      <w:r>
        <w:rPr>
          <w:position w:val="5"/>
          <w:sz w:val="10"/>
        </w:rPr>
        <w:t>46</w:t>
      </w:r>
      <w:r>
        <w:rPr>
          <w:spacing w:val="13"/>
          <w:position w:val="5"/>
          <w:sz w:val="10"/>
        </w:rPr>
        <w:t> </w:t>
      </w:r>
      <w:r>
        <w:rPr>
          <w:sz w:val="16"/>
        </w:rPr>
        <w:t>The</w:t>
      </w:r>
      <w:r>
        <w:rPr>
          <w:spacing w:val="-2"/>
          <w:sz w:val="16"/>
        </w:rPr>
        <w:t> </w:t>
      </w:r>
      <w:r>
        <w:rPr>
          <w:sz w:val="16"/>
        </w:rPr>
        <w:t>incumbent</w:t>
      </w:r>
      <w:r>
        <w:rPr>
          <w:spacing w:val="-4"/>
          <w:sz w:val="16"/>
        </w:rPr>
        <w:t> </w:t>
      </w:r>
      <w:r>
        <w:rPr>
          <w:sz w:val="16"/>
        </w:rPr>
        <w:t>will</w:t>
      </w:r>
      <w:r>
        <w:rPr>
          <w:spacing w:val="-5"/>
          <w:sz w:val="16"/>
        </w:rPr>
        <w:t> </w:t>
      </w:r>
      <w:r>
        <w:rPr>
          <w:sz w:val="16"/>
        </w:rPr>
        <w:t>retire</w:t>
      </w:r>
      <w:r>
        <w:rPr>
          <w:spacing w:val="3"/>
          <w:sz w:val="16"/>
        </w:rPr>
        <w:t> </w:t>
      </w:r>
      <w:r>
        <w:rPr>
          <w:sz w:val="16"/>
        </w:rPr>
        <w:t>in</w:t>
      </w:r>
      <w:r>
        <w:rPr>
          <w:spacing w:val="-1"/>
          <w:sz w:val="16"/>
        </w:rPr>
        <w:t> </w:t>
      </w:r>
      <w:r>
        <w:rPr>
          <w:sz w:val="16"/>
        </w:rPr>
        <w:t>September</w:t>
      </w:r>
      <w:r>
        <w:rPr>
          <w:spacing w:val="-4"/>
          <w:sz w:val="16"/>
        </w:rPr>
        <w:t> </w:t>
      </w:r>
      <w:r>
        <w:rPr>
          <w:sz w:val="16"/>
        </w:rPr>
        <w:t>2022.</w:t>
      </w:r>
      <w:r>
        <w:rPr>
          <w:spacing w:val="-4"/>
          <w:sz w:val="16"/>
        </w:rPr>
        <w:t> </w:t>
      </w:r>
      <w:r>
        <w:rPr>
          <w:sz w:val="16"/>
        </w:rPr>
        <w:t>Therefore,</w:t>
      </w:r>
      <w:r>
        <w:rPr>
          <w:spacing w:val="-4"/>
          <w:sz w:val="16"/>
        </w:rPr>
        <w:t> </w:t>
      </w:r>
      <w:r>
        <w:rPr>
          <w:sz w:val="16"/>
        </w:rPr>
        <w:t>the</w:t>
      </w:r>
      <w:r>
        <w:rPr>
          <w:spacing w:val="-3"/>
          <w:sz w:val="16"/>
        </w:rPr>
        <w:t> </w:t>
      </w:r>
      <w:r>
        <w:rPr>
          <w:sz w:val="16"/>
        </w:rPr>
        <w:t>post</w:t>
      </w:r>
      <w:r>
        <w:rPr>
          <w:spacing w:val="-4"/>
          <w:sz w:val="16"/>
        </w:rPr>
        <w:t> </w:t>
      </w:r>
      <w:r>
        <w:rPr>
          <w:sz w:val="16"/>
        </w:rPr>
        <w:t>being</w:t>
      </w:r>
      <w:r>
        <w:rPr>
          <w:spacing w:val="-1"/>
          <w:sz w:val="16"/>
        </w:rPr>
        <w:t> </w:t>
      </w:r>
      <w:r>
        <w:rPr>
          <w:sz w:val="16"/>
        </w:rPr>
        <w:t>repurposed</w:t>
      </w:r>
      <w:r>
        <w:rPr>
          <w:spacing w:val="-2"/>
          <w:sz w:val="16"/>
        </w:rPr>
        <w:t> </w:t>
      </w:r>
      <w:r>
        <w:rPr>
          <w:sz w:val="16"/>
        </w:rPr>
        <w:t>will</w:t>
      </w:r>
      <w:r>
        <w:rPr>
          <w:spacing w:val="-4"/>
          <w:sz w:val="16"/>
        </w:rPr>
        <w:t> </w:t>
      </w:r>
      <w:r>
        <w:rPr>
          <w:sz w:val="16"/>
        </w:rPr>
        <w:t>be</w:t>
      </w:r>
      <w:r>
        <w:rPr>
          <w:spacing w:val="-2"/>
          <w:sz w:val="16"/>
        </w:rPr>
        <w:t> vacant.</w:t>
      </w:r>
    </w:p>
    <w:p>
      <w:pPr>
        <w:spacing w:line="242" w:lineRule="auto" w:before="0"/>
        <w:ind w:left="2246" w:right="2246" w:firstLine="0"/>
        <w:jc w:val="both"/>
        <w:rPr>
          <w:sz w:val="16"/>
        </w:rPr>
      </w:pPr>
      <w:r>
        <w:rPr>
          <w:position w:val="5"/>
          <w:sz w:val="10"/>
        </w:rPr>
        <w:t>47</w:t>
      </w:r>
      <w:r>
        <w:rPr>
          <w:spacing w:val="23"/>
          <w:position w:val="5"/>
          <w:sz w:val="10"/>
        </w:rPr>
        <w:t> </w:t>
      </w:r>
      <w:r>
        <w:rPr>
          <w:sz w:val="16"/>
        </w:rPr>
        <w:t>That Principal Trial Lawyer was provisionally redeployed to the Deputy Prosecutors’ pillar in the 2022 budget</w:t>
      </w:r>
      <w:r>
        <w:rPr>
          <w:spacing w:val="40"/>
          <w:sz w:val="16"/>
        </w:rPr>
        <w:t> </w:t>
      </w:r>
      <w:r>
        <w:rPr>
          <w:sz w:val="16"/>
        </w:rPr>
        <w:t>submission.</w:t>
      </w:r>
      <w:r>
        <w:rPr>
          <w:spacing w:val="15"/>
          <w:sz w:val="16"/>
        </w:rPr>
        <w:t> </w:t>
      </w:r>
      <w:r>
        <w:rPr>
          <w:sz w:val="16"/>
        </w:rPr>
        <w:t>After</w:t>
      </w:r>
      <w:r>
        <w:rPr>
          <w:spacing w:val="16"/>
          <w:sz w:val="16"/>
        </w:rPr>
        <w:t> </w:t>
      </w:r>
      <w:r>
        <w:rPr>
          <w:sz w:val="16"/>
        </w:rPr>
        <w:t>the</w:t>
      </w:r>
      <w:r>
        <w:rPr>
          <w:spacing w:val="22"/>
          <w:sz w:val="16"/>
        </w:rPr>
        <w:t> </w:t>
      </w:r>
      <w:r>
        <w:rPr>
          <w:sz w:val="16"/>
        </w:rPr>
        <w:t>decision</w:t>
      </w:r>
      <w:r>
        <w:rPr>
          <w:spacing w:val="18"/>
          <w:sz w:val="16"/>
        </w:rPr>
        <w:t> </w:t>
      </w:r>
      <w:r>
        <w:rPr>
          <w:sz w:val="16"/>
        </w:rPr>
        <w:t>on</w:t>
      </w:r>
      <w:r>
        <w:rPr>
          <w:spacing w:val="18"/>
          <w:sz w:val="16"/>
        </w:rPr>
        <w:t> </w:t>
      </w:r>
      <w:r>
        <w:rPr>
          <w:sz w:val="16"/>
        </w:rPr>
        <w:t>the</w:t>
      </w:r>
      <w:r>
        <w:rPr>
          <w:spacing w:val="18"/>
          <w:sz w:val="16"/>
        </w:rPr>
        <w:t> </w:t>
      </w:r>
      <w:r>
        <w:rPr>
          <w:sz w:val="16"/>
        </w:rPr>
        <w:t>allocation</w:t>
      </w:r>
      <w:r>
        <w:rPr>
          <w:spacing w:val="18"/>
          <w:sz w:val="16"/>
        </w:rPr>
        <w:t> </w:t>
      </w:r>
      <w:r>
        <w:rPr>
          <w:sz w:val="16"/>
        </w:rPr>
        <w:t>of</w:t>
      </w:r>
      <w:r>
        <w:rPr>
          <w:spacing w:val="21"/>
          <w:sz w:val="16"/>
        </w:rPr>
        <w:t> </w:t>
      </w:r>
      <w:r>
        <w:rPr>
          <w:sz w:val="16"/>
        </w:rPr>
        <w:t>situations</w:t>
      </w:r>
      <w:r>
        <w:rPr>
          <w:spacing w:val="17"/>
          <w:sz w:val="16"/>
        </w:rPr>
        <w:t> </w:t>
      </w:r>
      <w:r>
        <w:rPr>
          <w:sz w:val="16"/>
        </w:rPr>
        <w:t>and</w:t>
      </w:r>
      <w:r>
        <w:rPr>
          <w:spacing w:val="18"/>
          <w:sz w:val="16"/>
        </w:rPr>
        <w:t> </w:t>
      </w:r>
      <w:r>
        <w:rPr>
          <w:sz w:val="16"/>
        </w:rPr>
        <w:t>cases,</w:t>
      </w:r>
      <w:r>
        <w:rPr>
          <w:spacing w:val="19"/>
          <w:sz w:val="16"/>
        </w:rPr>
        <w:t> </w:t>
      </w:r>
      <w:r>
        <w:rPr>
          <w:sz w:val="16"/>
        </w:rPr>
        <w:t>the</w:t>
      </w:r>
      <w:r>
        <w:rPr>
          <w:spacing w:val="28"/>
          <w:sz w:val="16"/>
        </w:rPr>
        <w:t> </w:t>
      </w:r>
      <w:r>
        <w:rPr>
          <w:sz w:val="16"/>
        </w:rPr>
        <w:t>Principal</w:t>
      </w:r>
      <w:r>
        <w:rPr>
          <w:spacing w:val="20"/>
          <w:sz w:val="16"/>
        </w:rPr>
        <w:t> </w:t>
      </w:r>
      <w:r>
        <w:rPr>
          <w:sz w:val="16"/>
        </w:rPr>
        <w:t>Trial</w:t>
      </w:r>
      <w:r>
        <w:rPr>
          <w:spacing w:val="20"/>
          <w:sz w:val="16"/>
        </w:rPr>
        <w:t> </w:t>
      </w:r>
      <w:r>
        <w:rPr>
          <w:sz w:val="16"/>
        </w:rPr>
        <w:t>Lawyer</w:t>
      </w:r>
      <w:r>
        <w:rPr>
          <w:spacing w:val="16"/>
          <w:sz w:val="16"/>
        </w:rPr>
        <w:t> </w:t>
      </w:r>
      <w:r>
        <w:rPr>
          <w:sz w:val="16"/>
        </w:rPr>
        <w:t>repurposed</w:t>
      </w:r>
      <w:r>
        <w:rPr>
          <w:spacing w:val="40"/>
          <w:sz w:val="16"/>
        </w:rPr>
        <w:t> </w:t>
      </w:r>
      <w:r>
        <w:rPr>
          <w:sz w:val="16"/>
        </w:rPr>
        <w:t>in 2022 has been assigned the lead of the Unified Team – Ukraine.</w:t>
      </w:r>
    </w:p>
    <w:p>
      <w:pPr>
        <w:spacing w:line="237" w:lineRule="auto" w:before="0"/>
        <w:ind w:left="2246" w:right="2238" w:firstLine="0"/>
        <w:jc w:val="both"/>
        <w:rPr>
          <w:sz w:val="16"/>
        </w:rPr>
      </w:pPr>
      <w:r>
        <w:rPr>
          <w:position w:val="5"/>
          <w:sz w:val="10"/>
        </w:rPr>
        <w:t>48</w:t>
      </w:r>
      <w:r>
        <w:rPr>
          <w:spacing w:val="40"/>
          <w:position w:val="5"/>
          <w:sz w:val="10"/>
        </w:rPr>
        <w:t> </w:t>
      </w:r>
      <w:r>
        <w:rPr>
          <w:sz w:val="16"/>
        </w:rPr>
        <w:t>See</w:t>
      </w:r>
      <w:r>
        <w:rPr>
          <w:spacing w:val="28"/>
          <w:sz w:val="16"/>
        </w:rPr>
        <w:t> </w:t>
      </w:r>
      <w:r>
        <w:rPr>
          <w:i/>
          <w:sz w:val="16"/>
        </w:rPr>
        <w:t>Independent</w:t>
      </w:r>
      <w:r>
        <w:rPr>
          <w:i/>
          <w:spacing w:val="25"/>
          <w:sz w:val="16"/>
        </w:rPr>
        <w:t> </w:t>
      </w:r>
      <w:r>
        <w:rPr>
          <w:i/>
          <w:sz w:val="16"/>
        </w:rPr>
        <w:t>Expert</w:t>
      </w:r>
      <w:r>
        <w:rPr>
          <w:i/>
          <w:spacing w:val="25"/>
          <w:sz w:val="16"/>
        </w:rPr>
        <w:t> </w:t>
      </w:r>
      <w:r>
        <w:rPr>
          <w:i/>
          <w:sz w:val="16"/>
        </w:rPr>
        <w:t>Review</w:t>
      </w:r>
      <w:r>
        <w:rPr>
          <w:i/>
          <w:spacing w:val="26"/>
          <w:sz w:val="16"/>
        </w:rPr>
        <w:t> </w:t>
      </w:r>
      <w:r>
        <w:rPr>
          <w:i/>
          <w:sz w:val="16"/>
        </w:rPr>
        <w:t>of</w:t>
      </w:r>
      <w:r>
        <w:rPr>
          <w:i/>
          <w:spacing w:val="25"/>
          <w:sz w:val="16"/>
        </w:rPr>
        <w:t> </w:t>
      </w:r>
      <w:r>
        <w:rPr>
          <w:i/>
          <w:sz w:val="16"/>
        </w:rPr>
        <w:t>the</w:t>
      </w:r>
      <w:r>
        <w:rPr>
          <w:i/>
          <w:spacing w:val="27"/>
          <w:sz w:val="16"/>
        </w:rPr>
        <w:t> </w:t>
      </w:r>
      <w:r>
        <w:rPr>
          <w:i/>
          <w:sz w:val="16"/>
        </w:rPr>
        <w:t>International</w:t>
      </w:r>
      <w:r>
        <w:rPr>
          <w:i/>
          <w:spacing w:val="25"/>
          <w:sz w:val="16"/>
        </w:rPr>
        <w:t> </w:t>
      </w:r>
      <w:r>
        <w:rPr>
          <w:i/>
          <w:sz w:val="16"/>
        </w:rPr>
        <w:t>Criminal</w:t>
      </w:r>
      <w:r>
        <w:rPr>
          <w:i/>
          <w:spacing w:val="25"/>
          <w:sz w:val="16"/>
        </w:rPr>
        <w:t> </w:t>
      </w:r>
      <w:r>
        <w:rPr>
          <w:i/>
          <w:sz w:val="16"/>
        </w:rPr>
        <w:t>Court</w:t>
      </w:r>
      <w:r>
        <w:rPr>
          <w:i/>
          <w:spacing w:val="25"/>
          <w:sz w:val="16"/>
        </w:rPr>
        <w:t> </w:t>
      </w:r>
      <w:r>
        <w:rPr>
          <w:i/>
          <w:sz w:val="16"/>
        </w:rPr>
        <w:t>and</w:t>
      </w:r>
      <w:r>
        <w:rPr>
          <w:i/>
          <w:spacing w:val="28"/>
          <w:sz w:val="16"/>
        </w:rPr>
        <w:t> </w:t>
      </w:r>
      <w:r>
        <w:rPr>
          <w:i/>
          <w:sz w:val="16"/>
        </w:rPr>
        <w:t>the</w:t>
      </w:r>
      <w:r>
        <w:rPr>
          <w:i/>
          <w:spacing w:val="27"/>
          <w:sz w:val="16"/>
        </w:rPr>
        <w:t> </w:t>
      </w:r>
      <w:r>
        <w:rPr>
          <w:i/>
          <w:sz w:val="16"/>
        </w:rPr>
        <w:t>Rome</w:t>
      </w:r>
      <w:r>
        <w:rPr>
          <w:i/>
          <w:spacing w:val="27"/>
          <w:sz w:val="16"/>
        </w:rPr>
        <w:t> </w:t>
      </w:r>
      <w:r>
        <w:rPr>
          <w:i/>
          <w:sz w:val="16"/>
        </w:rPr>
        <w:t>Statute</w:t>
      </w:r>
      <w:r>
        <w:rPr>
          <w:i/>
          <w:spacing w:val="38"/>
          <w:sz w:val="16"/>
        </w:rPr>
        <w:t> </w:t>
      </w:r>
      <w:r>
        <w:rPr>
          <w:i/>
          <w:sz w:val="16"/>
        </w:rPr>
        <w:t>–</w:t>
      </w:r>
      <w:r>
        <w:rPr>
          <w:i/>
          <w:spacing w:val="28"/>
          <w:sz w:val="16"/>
        </w:rPr>
        <w:t> </w:t>
      </w:r>
      <w:r>
        <w:rPr>
          <w:i/>
          <w:sz w:val="16"/>
        </w:rPr>
        <w:t>Final</w:t>
      </w:r>
      <w:r>
        <w:rPr>
          <w:i/>
          <w:spacing w:val="25"/>
          <w:sz w:val="16"/>
        </w:rPr>
        <w:t> </w:t>
      </w:r>
      <w:r>
        <w:rPr>
          <w:i/>
          <w:sz w:val="16"/>
        </w:rPr>
        <w:t>Report</w:t>
      </w:r>
      <w:r>
        <w:rPr>
          <w:sz w:val="16"/>
        </w:rPr>
        <w:t>,</w:t>
      </w:r>
      <w:r>
        <w:rPr>
          <w:spacing w:val="40"/>
          <w:sz w:val="16"/>
        </w:rPr>
        <w:t> </w:t>
      </w:r>
      <w:r>
        <w:rPr>
          <w:sz w:val="16"/>
        </w:rPr>
        <w:t>30 September 2020, R56.</w:t>
      </w:r>
    </w:p>
    <w:p>
      <w:pPr>
        <w:spacing w:after="0" w:line="237" w:lineRule="auto"/>
        <w:jc w:val="both"/>
        <w:rPr>
          <w:sz w:val="16"/>
        </w:rPr>
        <w:sectPr>
          <w:pgSz w:w="11910" w:h="16840"/>
          <w:pgMar w:header="957" w:footer="940" w:top="1140" w:bottom="1140" w:left="20" w:right="20"/>
        </w:sectPr>
      </w:pPr>
    </w:p>
    <w:p>
      <w:pPr>
        <w:pStyle w:val="BodyText"/>
        <w:spacing w:before="124"/>
        <w:ind w:left="2246" w:right="2243"/>
        <w:jc w:val="both"/>
      </w:pPr>
      <w:r>
        <w:rPr/>
        <w:t>teams,</w:t>
      </w:r>
      <w:r>
        <w:rPr>
          <w:spacing w:val="-6"/>
        </w:rPr>
        <w:t> </w:t>
      </w:r>
      <w:r>
        <w:rPr/>
        <w:t>as</w:t>
      </w:r>
      <w:r>
        <w:rPr>
          <w:spacing w:val="-5"/>
        </w:rPr>
        <w:t> </w:t>
      </w:r>
      <w:r>
        <w:rPr/>
        <w:t>appropriate,</w:t>
      </w:r>
      <w:r>
        <w:rPr>
          <w:spacing w:val="-1"/>
        </w:rPr>
        <w:t> </w:t>
      </w:r>
      <w:r>
        <w:rPr/>
        <w:t>to</w:t>
      </w:r>
      <w:r>
        <w:rPr>
          <w:spacing w:val="-8"/>
        </w:rPr>
        <w:t> </w:t>
      </w:r>
      <w:r>
        <w:rPr/>
        <w:t>ensure</w:t>
      </w:r>
      <w:r>
        <w:rPr>
          <w:spacing w:val="-2"/>
        </w:rPr>
        <w:t> </w:t>
      </w:r>
      <w:r>
        <w:rPr/>
        <w:t>that</w:t>
      </w:r>
      <w:r>
        <w:rPr>
          <w:spacing w:val="-7"/>
        </w:rPr>
        <w:t> </w:t>
      </w:r>
      <w:r>
        <w:rPr/>
        <w:t>the</w:t>
      </w:r>
      <w:r>
        <w:rPr>
          <w:spacing w:val="-2"/>
        </w:rPr>
        <w:t> </w:t>
      </w:r>
      <w:r>
        <w:rPr/>
        <w:t>strategic</w:t>
      </w:r>
      <w:r>
        <w:rPr>
          <w:spacing w:val="-7"/>
        </w:rPr>
        <w:t> </w:t>
      </w:r>
      <w:r>
        <w:rPr/>
        <w:t>communication</w:t>
      </w:r>
      <w:r>
        <w:rPr>
          <w:spacing w:val="-4"/>
        </w:rPr>
        <w:t> </w:t>
      </w:r>
      <w:r>
        <w:rPr/>
        <w:t>of</w:t>
      </w:r>
      <w:r>
        <w:rPr>
          <w:spacing w:val="-4"/>
        </w:rPr>
        <w:t> </w:t>
      </w:r>
      <w:r>
        <w:rPr/>
        <w:t>the</w:t>
      </w:r>
      <w:r>
        <w:rPr>
          <w:spacing w:val="-2"/>
        </w:rPr>
        <w:t> </w:t>
      </w:r>
      <w:r>
        <w:rPr/>
        <w:t>Office</w:t>
      </w:r>
      <w:r>
        <w:rPr>
          <w:spacing w:val="-7"/>
        </w:rPr>
        <w:t> </w:t>
      </w:r>
      <w:r>
        <w:rPr/>
        <w:t>is</w:t>
      </w:r>
      <w:r>
        <w:rPr>
          <w:spacing w:val="-5"/>
        </w:rPr>
        <w:t> </w:t>
      </w:r>
      <w:r>
        <w:rPr/>
        <w:t>in</w:t>
      </w:r>
      <w:r>
        <w:rPr>
          <w:spacing w:val="-8"/>
        </w:rPr>
        <w:t> </w:t>
      </w:r>
      <w:r>
        <w:rPr/>
        <w:t>line</w:t>
      </w:r>
      <w:r>
        <w:rPr>
          <w:spacing w:val="-2"/>
        </w:rPr>
        <w:t> </w:t>
      </w:r>
      <w:r>
        <w:rPr/>
        <w:t>with and of the standard required by the Prosecutor. Under the direction and guidance of the Prosecutor,</w:t>
      </w:r>
      <w:r>
        <w:rPr>
          <w:spacing w:val="-13"/>
        </w:rPr>
        <w:t> </w:t>
      </w:r>
      <w:r>
        <w:rPr/>
        <w:t>PIU</w:t>
      </w:r>
      <w:r>
        <w:rPr>
          <w:spacing w:val="-12"/>
        </w:rPr>
        <w:t> </w:t>
      </w:r>
      <w:r>
        <w:rPr/>
        <w:t>is</w:t>
      </w:r>
      <w:r>
        <w:rPr>
          <w:spacing w:val="-13"/>
        </w:rPr>
        <w:t> </w:t>
      </w:r>
      <w:r>
        <w:rPr/>
        <w:t>responsible</w:t>
      </w:r>
      <w:r>
        <w:rPr>
          <w:spacing w:val="-12"/>
        </w:rPr>
        <w:t> </w:t>
      </w:r>
      <w:r>
        <w:rPr/>
        <w:t>for</w:t>
      </w:r>
      <w:r>
        <w:rPr>
          <w:spacing w:val="-13"/>
        </w:rPr>
        <w:t> </w:t>
      </w:r>
      <w:r>
        <w:rPr/>
        <w:t>the</w:t>
      </w:r>
      <w:r>
        <w:rPr>
          <w:spacing w:val="-12"/>
        </w:rPr>
        <w:t> </w:t>
      </w:r>
      <w:r>
        <w:rPr/>
        <w:t>OTP’s</w:t>
      </w:r>
      <w:r>
        <w:rPr>
          <w:spacing w:val="-13"/>
        </w:rPr>
        <w:t> </w:t>
      </w:r>
      <w:r>
        <w:rPr/>
        <w:t>strategic</w:t>
      </w:r>
      <w:r>
        <w:rPr>
          <w:spacing w:val="-10"/>
        </w:rPr>
        <w:t> </w:t>
      </w:r>
      <w:r>
        <w:rPr/>
        <w:t>communication</w:t>
      </w:r>
      <w:r>
        <w:rPr>
          <w:spacing w:val="-13"/>
        </w:rPr>
        <w:t> </w:t>
      </w:r>
      <w:r>
        <w:rPr/>
        <w:t>and</w:t>
      </w:r>
      <w:r>
        <w:rPr>
          <w:spacing w:val="-12"/>
        </w:rPr>
        <w:t> </w:t>
      </w:r>
      <w:r>
        <w:rPr/>
        <w:t>public</w:t>
      </w:r>
      <w:r>
        <w:rPr>
          <w:spacing w:val="-13"/>
        </w:rPr>
        <w:t> </w:t>
      </w:r>
      <w:r>
        <w:rPr/>
        <w:t>information functions. Under the direction and guidance of the Prosecutor, PIU facilitates and prepares public information and messaging; publicizes OTP policies, strategies and activities where appropriate; and advances the OTP’s interests in the public domain.</w:t>
      </w:r>
    </w:p>
    <w:p>
      <w:pPr>
        <w:pStyle w:val="ListParagraph"/>
        <w:numPr>
          <w:ilvl w:val="0"/>
          <w:numId w:val="4"/>
        </w:numPr>
        <w:tabs>
          <w:tab w:pos="2967" w:val="left" w:leader="none"/>
        </w:tabs>
        <w:spacing w:line="240" w:lineRule="auto" w:before="123" w:after="0"/>
        <w:ind w:left="2246" w:right="2240" w:firstLine="0"/>
        <w:jc w:val="both"/>
        <w:rPr>
          <w:sz w:val="20"/>
        </w:rPr>
      </w:pPr>
      <w:r>
        <w:rPr>
          <w:sz w:val="20"/>
        </w:rPr>
        <w:t>In</w:t>
      </w:r>
      <w:r>
        <w:rPr>
          <w:spacing w:val="-13"/>
          <w:sz w:val="20"/>
        </w:rPr>
        <w:t> </w:t>
      </w:r>
      <w:r>
        <w:rPr>
          <w:sz w:val="20"/>
        </w:rPr>
        <w:t>line</w:t>
      </w:r>
      <w:r>
        <w:rPr>
          <w:spacing w:val="-12"/>
          <w:sz w:val="20"/>
        </w:rPr>
        <w:t> </w:t>
      </w:r>
      <w:r>
        <w:rPr>
          <w:sz w:val="20"/>
        </w:rPr>
        <w:t>with</w:t>
      </w:r>
      <w:r>
        <w:rPr>
          <w:spacing w:val="-13"/>
          <w:sz w:val="20"/>
        </w:rPr>
        <w:t> </w:t>
      </w:r>
      <w:r>
        <w:rPr>
          <w:sz w:val="20"/>
        </w:rPr>
        <w:t>the</w:t>
      </w:r>
      <w:r>
        <w:rPr>
          <w:spacing w:val="-12"/>
          <w:sz w:val="20"/>
        </w:rPr>
        <w:t> </w:t>
      </w:r>
      <w:r>
        <w:rPr>
          <w:sz w:val="20"/>
        </w:rPr>
        <w:t>IER</w:t>
      </w:r>
      <w:r>
        <w:rPr>
          <w:spacing w:val="-13"/>
          <w:sz w:val="20"/>
        </w:rPr>
        <w:t> </w:t>
      </w:r>
      <w:r>
        <w:rPr>
          <w:sz w:val="20"/>
        </w:rPr>
        <w:t>recommendations,</w:t>
      </w:r>
      <w:r>
        <w:rPr>
          <w:spacing w:val="-12"/>
          <w:sz w:val="20"/>
        </w:rPr>
        <w:t> </w:t>
      </w:r>
      <w:r>
        <w:rPr>
          <w:sz w:val="20"/>
        </w:rPr>
        <w:t>and</w:t>
      </w:r>
      <w:r>
        <w:rPr>
          <w:spacing w:val="-13"/>
          <w:sz w:val="20"/>
        </w:rPr>
        <w:t> </w:t>
      </w:r>
      <w:r>
        <w:rPr>
          <w:sz w:val="20"/>
        </w:rPr>
        <w:t>to</w:t>
      </w:r>
      <w:r>
        <w:rPr>
          <w:spacing w:val="-12"/>
          <w:sz w:val="20"/>
        </w:rPr>
        <w:t> </w:t>
      </w:r>
      <w:r>
        <w:rPr>
          <w:sz w:val="20"/>
        </w:rPr>
        <w:t>further</w:t>
      </w:r>
      <w:r>
        <w:rPr>
          <w:spacing w:val="-9"/>
          <w:sz w:val="20"/>
        </w:rPr>
        <w:t> </w:t>
      </w:r>
      <w:r>
        <w:rPr>
          <w:sz w:val="20"/>
        </w:rPr>
        <w:t>strengthen</w:t>
      </w:r>
      <w:r>
        <w:rPr>
          <w:spacing w:val="-13"/>
          <w:sz w:val="20"/>
        </w:rPr>
        <w:t> </w:t>
      </w:r>
      <w:r>
        <w:rPr>
          <w:sz w:val="20"/>
        </w:rPr>
        <w:t>the</w:t>
      </w:r>
      <w:r>
        <w:rPr>
          <w:spacing w:val="-12"/>
          <w:sz w:val="20"/>
        </w:rPr>
        <w:t> </w:t>
      </w:r>
      <w:r>
        <w:rPr>
          <w:sz w:val="20"/>
        </w:rPr>
        <w:t>capacity</w:t>
      </w:r>
      <w:r>
        <w:rPr>
          <w:spacing w:val="-13"/>
          <w:sz w:val="20"/>
        </w:rPr>
        <w:t> </w:t>
      </w:r>
      <w:r>
        <w:rPr>
          <w:sz w:val="20"/>
        </w:rPr>
        <w:t>of</w:t>
      </w:r>
      <w:r>
        <w:rPr>
          <w:spacing w:val="-12"/>
          <w:sz w:val="20"/>
        </w:rPr>
        <w:t> </w:t>
      </w:r>
      <w:r>
        <w:rPr>
          <w:sz w:val="20"/>
        </w:rPr>
        <w:t>PIU, an</w:t>
      </w:r>
      <w:r>
        <w:rPr>
          <w:spacing w:val="-13"/>
          <w:sz w:val="20"/>
        </w:rPr>
        <w:t> </w:t>
      </w:r>
      <w:r>
        <w:rPr>
          <w:sz w:val="20"/>
        </w:rPr>
        <w:t>Associate</w:t>
      </w:r>
      <w:r>
        <w:rPr>
          <w:spacing w:val="-12"/>
          <w:sz w:val="20"/>
        </w:rPr>
        <w:t> </w:t>
      </w:r>
      <w:r>
        <w:rPr>
          <w:sz w:val="20"/>
        </w:rPr>
        <w:t>Public</w:t>
      </w:r>
      <w:r>
        <w:rPr>
          <w:spacing w:val="-13"/>
          <w:sz w:val="20"/>
        </w:rPr>
        <w:t> </w:t>
      </w:r>
      <w:r>
        <w:rPr>
          <w:sz w:val="20"/>
        </w:rPr>
        <w:t>Information</w:t>
      </w:r>
      <w:r>
        <w:rPr>
          <w:spacing w:val="-12"/>
          <w:sz w:val="20"/>
        </w:rPr>
        <w:t> </w:t>
      </w:r>
      <w:r>
        <w:rPr>
          <w:sz w:val="20"/>
        </w:rPr>
        <w:t>Officer</w:t>
      </w:r>
      <w:r>
        <w:rPr>
          <w:spacing w:val="-13"/>
          <w:sz w:val="20"/>
        </w:rPr>
        <w:t> </w:t>
      </w:r>
      <w:r>
        <w:rPr>
          <w:sz w:val="20"/>
        </w:rPr>
        <w:t>(P-2)</w:t>
      </w:r>
      <w:r>
        <w:rPr>
          <w:spacing w:val="-12"/>
          <w:sz w:val="20"/>
        </w:rPr>
        <w:t> </w:t>
      </w:r>
      <w:r>
        <w:rPr>
          <w:sz w:val="20"/>
        </w:rPr>
        <w:t>is</w:t>
      </w:r>
      <w:r>
        <w:rPr>
          <w:spacing w:val="-13"/>
          <w:sz w:val="20"/>
        </w:rPr>
        <w:t> </w:t>
      </w:r>
      <w:r>
        <w:rPr>
          <w:sz w:val="20"/>
        </w:rPr>
        <w:t>requested.</w:t>
      </w:r>
      <w:r>
        <w:rPr>
          <w:sz w:val="20"/>
          <w:vertAlign w:val="superscript"/>
        </w:rPr>
        <w:t>49</w:t>
      </w:r>
      <w:r>
        <w:rPr>
          <w:spacing w:val="-12"/>
          <w:sz w:val="20"/>
          <w:vertAlign w:val="baseline"/>
        </w:rPr>
        <w:t> </w:t>
      </w:r>
      <w:r>
        <w:rPr>
          <w:sz w:val="20"/>
          <w:vertAlign w:val="baseline"/>
        </w:rPr>
        <w:t>This</w:t>
      </w:r>
      <w:r>
        <w:rPr>
          <w:spacing w:val="-13"/>
          <w:sz w:val="20"/>
          <w:vertAlign w:val="baseline"/>
        </w:rPr>
        <w:t> </w:t>
      </w:r>
      <w:r>
        <w:rPr>
          <w:sz w:val="20"/>
          <w:vertAlign w:val="baseline"/>
        </w:rPr>
        <w:t>additional</w:t>
      </w:r>
      <w:r>
        <w:rPr>
          <w:spacing w:val="-12"/>
          <w:sz w:val="20"/>
          <w:vertAlign w:val="baseline"/>
        </w:rPr>
        <w:t> </w:t>
      </w:r>
      <w:r>
        <w:rPr>
          <w:sz w:val="20"/>
          <w:vertAlign w:val="baseline"/>
        </w:rPr>
        <w:t>staffing</w:t>
      </w:r>
      <w:r>
        <w:rPr>
          <w:spacing w:val="-13"/>
          <w:sz w:val="20"/>
          <w:vertAlign w:val="baseline"/>
        </w:rPr>
        <w:t> </w:t>
      </w:r>
      <w:r>
        <w:rPr>
          <w:sz w:val="20"/>
          <w:vertAlign w:val="baseline"/>
        </w:rPr>
        <w:t>resource will be of particular importance in supporting the development of a new strategic communication strategy for the Office, in close consultation with the other organs of the Court. Partnership with media outlets and consultants from the private sector will also be sought, possibly on a pro bono basis, to reinforce the Office’s communication capacity.</w:t>
      </w:r>
    </w:p>
    <w:p>
      <w:pPr>
        <w:pStyle w:val="BodyText"/>
        <w:spacing w:before="8"/>
      </w:pPr>
    </w:p>
    <w:p>
      <w:pPr>
        <w:pStyle w:val="Heading3"/>
        <w:numPr>
          <w:ilvl w:val="0"/>
          <w:numId w:val="6"/>
        </w:numPr>
        <w:tabs>
          <w:tab w:pos="2246" w:val="left" w:leader="none"/>
          <w:tab w:pos="2247" w:val="left" w:leader="none"/>
        </w:tabs>
        <w:spacing w:line="240" w:lineRule="auto" w:before="1" w:after="0"/>
        <w:ind w:left="2246" w:right="0" w:hanging="568"/>
        <w:jc w:val="left"/>
      </w:pPr>
      <w:r>
        <w:rPr/>
        <w:t>Financial</w:t>
      </w:r>
      <w:r>
        <w:rPr>
          <w:spacing w:val="-7"/>
        </w:rPr>
        <w:t> </w:t>
      </w:r>
      <w:r>
        <w:rPr/>
        <w:t>Planning</w:t>
      </w:r>
      <w:r>
        <w:rPr>
          <w:spacing w:val="-8"/>
        </w:rPr>
        <w:t> </w:t>
      </w:r>
      <w:r>
        <w:rPr/>
        <w:t>and</w:t>
      </w:r>
      <w:r>
        <w:rPr>
          <w:spacing w:val="-5"/>
        </w:rPr>
        <w:t> </w:t>
      </w:r>
      <w:r>
        <w:rPr/>
        <w:t>Control</w:t>
      </w:r>
      <w:r>
        <w:rPr>
          <w:spacing w:val="-6"/>
        </w:rPr>
        <w:t> </w:t>
      </w:r>
      <w:r>
        <w:rPr>
          <w:spacing w:val="-4"/>
        </w:rPr>
        <w:t>Unit</w:t>
      </w:r>
    </w:p>
    <w:p>
      <w:pPr>
        <w:pStyle w:val="BodyText"/>
        <w:spacing w:before="10"/>
        <w:rPr>
          <w:b/>
        </w:rPr>
      </w:pPr>
    </w:p>
    <w:p>
      <w:pPr>
        <w:pStyle w:val="ListParagraph"/>
        <w:numPr>
          <w:ilvl w:val="0"/>
          <w:numId w:val="4"/>
        </w:numPr>
        <w:tabs>
          <w:tab w:pos="2967" w:val="left" w:leader="none"/>
        </w:tabs>
        <w:spacing w:line="240" w:lineRule="auto" w:before="0" w:after="0"/>
        <w:ind w:left="2246" w:right="2241" w:firstLine="0"/>
        <w:jc w:val="both"/>
        <w:rPr>
          <w:sz w:val="20"/>
        </w:rPr>
      </w:pPr>
      <w:r>
        <w:rPr>
          <w:sz w:val="20"/>
        </w:rPr>
        <w:t>The</w:t>
      </w:r>
      <w:r>
        <w:rPr>
          <w:spacing w:val="-2"/>
          <w:sz w:val="20"/>
        </w:rPr>
        <w:t> </w:t>
      </w:r>
      <w:r>
        <w:rPr>
          <w:sz w:val="20"/>
        </w:rPr>
        <w:t>Registry</w:t>
      </w:r>
      <w:r>
        <w:rPr>
          <w:spacing w:val="-4"/>
          <w:sz w:val="20"/>
        </w:rPr>
        <w:t> </w:t>
      </w:r>
      <w:r>
        <w:rPr>
          <w:sz w:val="20"/>
        </w:rPr>
        <w:t>provides</w:t>
      </w:r>
      <w:r>
        <w:rPr>
          <w:spacing w:val="-10"/>
          <w:sz w:val="20"/>
        </w:rPr>
        <w:t> </w:t>
      </w:r>
      <w:r>
        <w:rPr>
          <w:sz w:val="20"/>
        </w:rPr>
        <w:t>the</w:t>
      </w:r>
      <w:r>
        <w:rPr>
          <w:spacing w:val="-2"/>
          <w:sz w:val="20"/>
        </w:rPr>
        <w:t> </w:t>
      </w:r>
      <w:r>
        <w:rPr>
          <w:sz w:val="20"/>
        </w:rPr>
        <w:t>largest</w:t>
      </w:r>
      <w:r>
        <w:rPr>
          <w:spacing w:val="-2"/>
          <w:sz w:val="20"/>
        </w:rPr>
        <w:t> </w:t>
      </w:r>
      <w:r>
        <w:rPr>
          <w:sz w:val="20"/>
        </w:rPr>
        <w:t>part</w:t>
      </w:r>
      <w:r>
        <w:rPr>
          <w:spacing w:val="-2"/>
          <w:sz w:val="20"/>
        </w:rPr>
        <w:t> </w:t>
      </w:r>
      <w:r>
        <w:rPr>
          <w:sz w:val="20"/>
        </w:rPr>
        <w:t>of</w:t>
      </w:r>
      <w:r>
        <w:rPr>
          <w:spacing w:val="-4"/>
          <w:sz w:val="20"/>
        </w:rPr>
        <w:t> </w:t>
      </w:r>
      <w:r>
        <w:rPr>
          <w:sz w:val="20"/>
        </w:rPr>
        <w:t>the</w:t>
      </w:r>
      <w:r>
        <w:rPr>
          <w:spacing w:val="-7"/>
          <w:sz w:val="20"/>
        </w:rPr>
        <w:t> </w:t>
      </w:r>
      <w:r>
        <w:rPr>
          <w:sz w:val="20"/>
        </w:rPr>
        <w:t>administrative</w:t>
      </w:r>
      <w:r>
        <w:rPr>
          <w:spacing w:val="-2"/>
          <w:sz w:val="20"/>
        </w:rPr>
        <w:t> </w:t>
      </w:r>
      <w:r>
        <w:rPr>
          <w:sz w:val="20"/>
        </w:rPr>
        <w:t>common</w:t>
      </w:r>
      <w:r>
        <w:rPr>
          <w:spacing w:val="-4"/>
          <w:sz w:val="20"/>
        </w:rPr>
        <w:t> </w:t>
      </w:r>
      <w:r>
        <w:rPr>
          <w:sz w:val="20"/>
        </w:rPr>
        <w:t>services</w:t>
      </w:r>
      <w:r>
        <w:rPr>
          <w:spacing w:val="-5"/>
          <w:sz w:val="20"/>
        </w:rPr>
        <w:t> </w:t>
      </w:r>
      <w:r>
        <w:rPr>
          <w:sz w:val="20"/>
        </w:rPr>
        <w:t>to</w:t>
      </w:r>
      <w:r>
        <w:rPr>
          <w:spacing w:val="-4"/>
          <w:sz w:val="20"/>
        </w:rPr>
        <w:t> </w:t>
      </w:r>
      <w:r>
        <w:rPr>
          <w:sz w:val="20"/>
        </w:rPr>
        <w:t>the organs of the Court. As shown in the cost ratios report prepared by the Court for the Committee, the Registry manages 97 per cent of all the administrative activities at the </w:t>
      </w:r>
      <w:r>
        <w:rPr>
          <w:spacing w:val="-2"/>
          <w:sz w:val="20"/>
        </w:rPr>
        <w:t>Court.</w:t>
      </w:r>
      <w:r>
        <w:rPr>
          <w:spacing w:val="-2"/>
          <w:sz w:val="20"/>
          <w:vertAlign w:val="superscript"/>
        </w:rPr>
        <w:t>50</w:t>
      </w:r>
    </w:p>
    <w:p>
      <w:pPr>
        <w:pStyle w:val="ListParagraph"/>
        <w:numPr>
          <w:ilvl w:val="0"/>
          <w:numId w:val="4"/>
        </w:numPr>
        <w:tabs>
          <w:tab w:pos="2967" w:val="left" w:leader="none"/>
        </w:tabs>
        <w:spacing w:line="240" w:lineRule="auto" w:before="122" w:after="0"/>
        <w:ind w:left="2246" w:right="2239" w:firstLine="0"/>
        <w:jc w:val="both"/>
        <w:rPr>
          <w:sz w:val="20"/>
        </w:rPr>
      </w:pPr>
      <w:r>
        <w:rPr>
          <w:sz w:val="20"/>
        </w:rPr>
        <w:t>The Financial Planning and Control Unit (FPCU) adopts a flexible approach and ensures</w:t>
      </w:r>
      <w:r>
        <w:rPr>
          <w:spacing w:val="-5"/>
          <w:sz w:val="20"/>
        </w:rPr>
        <w:t> </w:t>
      </w:r>
      <w:r>
        <w:rPr>
          <w:sz w:val="20"/>
        </w:rPr>
        <w:t>effective</w:t>
      </w:r>
      <w:r>
        <w:rPr>
          <w:spacing w:val="-2"/>
          <w:sz w:val="20"/>
        </w:rPr>
        <w:t> </w:t>
      </w:r>
      <w:r>
        <w:rPr>
          <w:sz w:val="20"/>
        </w:rPr>
        <w:t>coordination with</w:t>
      </w:r>
      <w:r>
        <w:rPr>
          <w:spacing w:val="-4"/>
          <w:sz w:val="20"/>
        </w:rPr>
        <w:t> </w:t>
      </w:r>
      <w:r>
        <w:rPr>
          <w:sz w:val="20"/>
        </w:rPr>
        <w:t>the</w:t>
      </w:r>
      <w:r>
        <w:rPr>
          <w:spacing w:val="-2"/>
          <w:sz w:val="20"/>
        </w:rPr>
        <w:t> </w:t>
      </w:r>
      <w:r>
        <w:rPr>
          <w:sz w:val="20"/>
        </w:rPr>
        <w:t>Registry to</w:t>
      </w:r>
      <w:r>
        <w:rPr>
          <w:spacing w:val="-4"/>
          <w:sz w:val="20"/>
        </w:rPr>
        <w:t> </w:t>
      </w:r>
      <w:r>
        <w:rPr>
          <w:sz w:val="20"/>
        </w:rPr>
        <w:t>allow the</w:t>
      </w:r>
      <w:r>
        <w:rPr>
          <w:spacing w:val="-2"/>
          <w:sz w:val="20"/>
        </w:rPr>
        <w:t> </w:t>
      </w:r>
      <w:r>
        <w:rPr>
          <w:sz w:val="20"/>
        </w:rPr>
        <w:t>seamless provision of services, within a continuum of activities aimed at meeting client needs with minimum resources.</w:t>
      </w:r>
      <w:r>
        <w:rPr>
          <w:sz w:val="20"/>
          <w:vertAlign w:val="superscript"/>
        </w:rPr>
        <w:t>51</w:t>
      </w:r>
      <w:r>
        <w:rPr>
          <w:sz w:val="20"/>
          <w:vertAlign w:val="baseline"/>
        </w:rPr>
        <w:t> The </w:t>
      </w:r>
      <w:r>
        <w:rPr>
          <w:i/>
          <w:sz w:val="20"/>
          <w:vertAlign w:val="baseline"/>
        </w:rPr>
        <w:t>Cour des Comptes</w:t>
      </w:r>
      <w:r>
        <w:rPr>
          <w:sz w:val="20"/>
          <w:vertAlign w:val="baseline"/>
        </w:rPr>
        <w:t>, former external auditors of the Court, indeed commended the high level of integration of administrative functions between the Registry and the Office of the </w:t>
      </w:r>
      <w:r>
        <w:rPr>
          <w:spacing w:val="-2"/>
          <w:sz w:val="20"/>
          <w:vertAlign w:val="baseline"/>
        </w:rPr>
        <w:t>Prosecutor.</w:t>
      </w:r>
      <w:r>
        <w:rPr>
          <w:spacing w:val="-2"/>
          <w:sz w:val="20"/>
          <w:vertAlign w:val="superscript"/>
        </w:rPr>
        <w:t>52</w:t>
      </w:r>
    </w:p>
    <w:p>
      <w:pPr>
        <w:pStyle w:val="ListParagraph"/>
        <w:numPr>
          <w:ilvl w:val="0"/>
          <w:numId w:val="4"/>
        </w:numPr>
        <w:tabs>
          <w:tab w:pos="2967" w:val="left" w:leader="none"/>
        </w:tabs>
        <w:spacing w:line="240" w:lineRule="auto" w:before="118" w:after="0"/>
        <w:ind w:left="2246" w:right="2249" w:firstLine="0"/>
        <w:jc w:val="both"/>
        <w:rPr>
          <w:sz w:val="20"/>
        </w:rPr>
      </w:pPr>
      <w:r>
        <w:rPr>
          <w:sz w:val="20"/>
        </w:rPr>
        <w:t>FPCU performs</w:t>
      </w:r>
      <w:r>
        <w:rPr>
          <w:spacing w:val="-1"/>
          <w:sz w:val="20"/>
        </w:rPr>
        <w:t> </w:t>
      </w:r>
      <w:r>
        <w:rPr>
          <w:sz w:val="20"/>
        </w:rPr>
        <w:t>activities which are essential to supporting OTP management and the Office’s operations, in accordance with the relevant articles of the Rome Statute that establish the governing framework of the Court.</w:t>
      </w:r>
      <w:r>
        <w:rPr>
          <w:sz w:val="20"/>
          <w:vertAlign w:val="superscript"/>
        </w:rPr>
        <w:t>53</w:t>
      </w:r>
    </w:p>
    <w:p>
      <w:pPr>
        <w:pStyle w:val="ListParagraph"/>
        <w:numPr>
          <w:ilvl w:val="0"/>
          <w:numId w:val="4"/>
        </w:numPr>
        <w:tabs>
          <w:tab w:pos="2967" w:val="left" w:leader="none"/>
        </w:tabs>
        <w:spacing w:line="240" w:lineRule="auto" w:before="122" w:after="0"/>
        <w:ind w:left="2246" w:right="2239" w:firstLine="0"/>
        <w:jc w:val="both"/>
        <w:rPr>
          <w:sz w:val="20"/>
        </w:rPr>
      </w:pPr>
      <w:r>
        <w:rPr>
          <w:sz w:val="20"/>
        </w:rPr>
        <w:t>FPCU’s main objective is to facilitate the full implementation of legislative mandates and compliance with the Court’s policies and procedures with respect to the management of the financial resources of Major Programme II, ensuring the prudent stewardship</w:t>
      </w:r>
      <w:r>
        <w:rPr>
          <w:spacing w:val="-4"/>
          <w:sz w:val="20"/>
        </w:rPr>
        <w:t> </w:t>
      </w:r>
      <w:r>
        <w:rPr>
          <w:sz w:val="20"/>
        </w:rPr>
        <w:t>of</w:t>
      </w:r>
      <w:r>
        <w:rPr>
          <w:spacing w:val="-4"/>
          <w:sz w:val="20"/>
        </w:rPr>
        <w:t> </w:t>
      </w:r>
      <w:r>
        <w:rPr>
          <w:sz w:val="20"/>
        </w:rPr>
        <w:t>funds</w:t>
      </w:r>
      <w:r>
        <w:rPr>
          <w:spacing w:val="-5"/>
          <w:sz w:val="20"/>
        </w:rPr>
        <w:t> </w:t>
      </w:r>
      <w:r>
        <w:rPr>
          <w:sz w:val="20"/>
        </w:rPr>
        <w:t>for</w:t>
      </w:r>
      <w:r>
        <w:rPr>
          <w:spacing w:val="-4"/>
          <w:sz w:val="20"/>
        </w:rPr>
        <w:t> </w:t>
      </w:r>
      <w:r>
        <w:rPr>
          <w:sz w:val="20"/>
        </w:rPr>
        <w:t>the</w:t>
      </w:r>
      <w:r>
        <w:rPr>
          <w:spacing w:val="-2"/>
          <w:sz w:val="20"/>
        </w:rPr>
        <w:t> </w:t>
      </w:r>
      <w:r>
        <w:rPr>
          <w:sz w:val="20"/>
        </w:rPr>
        <w:t>effective</w:t>
      </w:r>
      <w:r>
        <w:rPr>
          <w:spacing w:val="-2"/>
          <w:sz w:val="20"/>
        </w:rPr>
        <w:t> </w:t>
      </w:r>
      <w:r>
        <w:rPr>
          <w:sz w:val="20"/>
        </w:rPr>
        <w:t>delivery</w:t>
      </w:r>
      <w:r>
        <w:rPr>
          <w:spacing w:val="-4"/>
          <w:sz w:val="20"/>
        </w:rPr>
        <w:t> </w:t>
      </w:r>
      <w:r>
        <w:rPr>
          <w:sz w:val="20"/>
        </w:rPr>
        <w:t>of</w:t>
      </w:r>
      <w:r>
        <w:rPr>
          <w:spacing w:val="-4"/>
          <w:sz w:val="20"/>
        </w:rPr>
        <w:t> </w:t>
      </w:r>
      <w:r>
        <w:rPr>
          <w:sz w:val="20"/>
        </w:rPr>
        <w:t>the</w:t>
      </w:r>
      <w:r>
        <w:rPr>
          <w:spacing w:val="-2"/>
          <w:sz w:val="20"/>
        </w:rPr>
        <w:t> </w:t>
      </w:r>
      <w:r>
        <w:rPr>
          <w:sz w:val="20"/>
        </w:rPr>
        <w:t>programme</w:t>
      </w:r>
      <w:r>
        <w:rPr>
          <w:spacing w:val="-2"/>
          <w:sz w:val="20"/>
        </w:rPr>
        <w:t> </w:t>
      </w:r>
      <w:r>
        <w:rPr>
          <w:sz w:val="20"/>
        </w:rPr>
        <w:t>of</w:t>
      </w:r>
      <w:r>
        <w:rPr>
          <w:spacing w:val="-4"/>
          <w:sz w:val="20"/>
        </w:rPr>
        <w:t> </w:t>
      </w:r>
      <w:r>
        <w:rPr>
          <w:sz w:val="20"/>
        </w:rPr>
        <w:t>work</w:t>
      </w:r>
      <w:r>
        <w:rPr>
          <w:spacing w:val="-8"/>
          <w:sz w:val="20"/>
        </w:rPr>
        <w:t> </w:t>
      </w:r>
      <w:r>
        <w:rPr>
          <w:sz w:val="20"/>
        </w:rPr>
        <w:t>and</w:t>
      </w:r>
      <w:r>
        <w:rPr>
          <w:spacing w:val="-4"/>
          <w:sz w:val="20"/>
        </w:rPr>
        <w:t> </w:t>
      </w:r>
      <w:r>
        <w:rPr>
          <w:sz w:val="20"/>
        </w:rPr>
        <w:t>for</w:t>
      </w:r>
      <w:r>
        <w:rPr>
          <w:spacing w:val="-4"/>
          <w:sz w:val="20"/>
        </w:rPr>
        <w:t> </w:t>
      </w:r>
      <w:r>
        <w:rPr>
          <w:sz w:val="20"/>
        </w:rPr>
        <w:t>staff</w:t>
      </w:r>
      <w:r>
        <w:rPr>
          <w:spacing w:val="-4"/>
          <w:sz w:val="20"/>
        </w:rPr>
        <w:t> </w:t>
      </w:r>
      <w:r>
        <w:rPr>
          <w:sz w:val="20"/>
        </w:rPr>
        <w:t>of</w:t>
      </w:r>
      <w:r>
        <w:rPr>
          <w:spacing w:val="-4"/>
          <w:sz w:val="20"/>
        </w:rPr>
        <w:t> </w:t>
      </w:r>
      <w:r>
        <w:rPr>
          <w:sz w:val="20"/>
        </w:rPr>
        <w:t>the Office as foreseen in</w:t>
      </w:r>
      <w:r>
        <w:rPr>
          <w:spacing w:val="-4"/>
          <w:sz w:val="20"/>
        </w:rPr>
        <w:t> </w:t>
      </w:r>
      <w:r>
        <w:rPr>
          <w:sz w:val="20"/>
        </w:rPr>
        <w:t>the budget</w:t>
      </w:r>
      <w:r>
        <w:rPr>
          <w:spacing w:val="-2"/>
          <w:sz w:val="20"/>
        </w:rPr>
        <w:t> </w:t>
      </w:r>
      <w:r>
        <w:rPr>
          <w:sz w:val="20"/>
        </w:rPr>
        <w:t>assumptions. FPCU also provides</w:t>
      </w:r>
      <w:r>
        <w:rPr>
          <w:spacing w:val="-5"/>
          <w:sz w:val="20"/>
        </w:rPr>
        <w:t> </w:t>
      </w:r>
      <w:r>
        <w:rPr>
          <w:sz w:val="20"/>
        </w:rPr>
        <w:t>the operational functions of the Office with the necessary financial</w:t>
      </w:r>
      <w:r>
        <w:rPr>
          <w:spacing w:val="-2"/>
          <w:sz w:val="20"/>
        </w:rPr>
        <w:t> </w:t>
      </w:r>
      <w:r>
        <w:rPr>
          <w:sz w:val="20"/>
        </w:rPr>
        <w:t>and budget support to fulfil their</w:t>
      </w:r>
      <w:r>
        <w:rPr>
          <w:spacing w:val="-4"/>
          <w:sz w:val="20"/>
        </w:rPr>
        <w:t> </w:t>
      </w:r>
      <w:r>
        <w:rPr>
          <w:sz w:val="20"/>
        </w:rPr>
        <w:t>mandates and to ensure that the activities of the unified teams can be carried out.</w:t>
      </w:r>
    </w:p>
    <w:p>
      <w:pPr>
        <w:pStyle w:val="ListParagraph"/>
        <w:numPr>
          <w:ilvl w:val="0"/>
          <w:numId w:val="4"/>
        </w:numPr>
        <w:tabs>
          <w:tab w:pos="2967" w:val="left" w:leader="none"/>
        </w:tabs>
        <w:spacing w:line="240" w:lineRule="auto" w:before="118" w:after="0"/>
        <w:ind w:left="2246" w:right="2251" w:firstLine="0"/>
        <w:jc w:val="both"/>
        <w:rPr>
          <w:sz w:val="20"/>
        </w:rPr>
      </w:pPr>
      <w:r>
        <w:rPr>
          <w:sz w:val="20"/>
        </w:rPr>
        <w:t>In performing its activities in a professional, effective, efficient and accountable manner, FPCU contributes to the achievement of the Office’s Strategic Goal 7.</w:t>
      </w:r>
    </w:p>
    <w:p>
      <w:pPr>
        <w:pStyle w:val="ListParagraph"/>
        <w:numPr>
          <w:ilvl w:val="0"/>
          <w:numId w:val="4"/>
        </w:numPr>
        <w:tabs>
          <w:tab w:pos="2967" w:val="left" w:leader="none"/>
        </w:tabs>
        <w:spacing w:line="240" w:lineRule="auto" w:before="121" w:after="0"/>
        <w:ind w:left="2246" w:right="2243" w:firstLine="0"/>
        <w:jc w:val="both"/>
        <w:rPr>
          <w:sz w:val="20"/>
        </w:rPr>
      </w:pPr>
      <w:r>
        <w:rPr>
          <w:sz w:val="20"/>
        </w:rPr>
        <w:t>The</w:t>
      </w:r>
      <w:r>
        <w:rPr>
          <w:spacing w:val="40"/>
          <w:sz w:val="20"/>
        </w:rPr>
        <w:t> </w:t>
      </w:r>
      <w:r>
        <w:rPr>
          <w:sz w:val="20"/>
        </w:rPr>
        <w:t>Senior</w:t>
      </w:r>
      <w:r>
        <w:rPr>
          <w:spacing w:val="40"/>
          <w:sz w:val="20"/>
        </w:rPr>
        <w:t> </w:t>
      </w:r>
      <w:r>
        <w:rPr>
          <w:sz w:val="20"/>
        </w:rPr>
        <w:t>Manager</w:t>
      </w:r>
      <w:r>
        <w:rPr>
          <w:spacing w:val="40"/>
          <w:sz w:val="20"/>
        </w:rPr>
        <w:t> </w:t>
      </w:r>
      <w:r>
        <w:rPr>
          <w:sz w:val="20"/>
        </w:rPr>
        <w:t>also</w:t>
      </w:r>
      <w:r>
        <w:rPr>
          <w:spacing w:val="40"/>
          <w:sz w:val="20"/>
        </w:rPr>
        <w:t> </w:t>
      </w:r>
      <w:r>
        <w:rPr>
          <w:sz w:val="20"/>
        </w:rPr>
        <w:t>represents</w:t>
      </w:r>
      <w:r>
        <w:rPr>
          <w:spacing w:val="40"/>
          <w:sz w:val="20"/>
        </w:rPr>
        <w:t> </w:t>
      </w:r>
      <w:r>
        <w:rPr>
          <w:sz w:val="20"/>
        </w:rPr>
        <w:t>the</w:t>
      </w:r>
      <w:r>
        <w:rPr>
          <w:spacing w:val="40"/>
          <w:sz w:val="20"/>
        </w:rPr>
        <w:t> </w:t>
      </w:r>
      <w:r>
        <w:rPr>
          <w:sz w:val="20"/>
        </w:rPr>
        <w:t>OTP</w:t>
      </w:r>
      <w:r>
        <w:rPr>
          <w:spacing w:val="40"/>
          <w:sz w:val="20"/>
        </w:rPr>
        <w:t> </w:t>
      </w:r>
      <w:r>
        <w:rPr>
          <w:sz w:val="20"/>
        </w:rPr>
        <w:t>in</w:t>
      </w:r>
      <w:r>
        <w:rPr>
          <w:spacing w:val="40"/>
          <w:sz w:val="20"/>
        </w:rPr>
        <w:t> </w:t>
      </w:r>
      <w:r>
        <w:rPr>
          <w:sz w:val="20"/>
        </w:rPr>
        <w:t>financial,</w:t>
      </w:r>
      <w:r>
        <w:rPr>
          <w:spacing w:val="40"/>
          <w:sz w:val="20"/>
        </w:rPr>
        <w:t> </w:t>
      </w:r>
      <w:r>
        <w:rPr>
          <w:sz w:val="20"/>
        </w:rPr>
        <w:t>budgetary</w:t>
      </w:r>
      <w:r>
        <w:rPr>
          <w:spacing w:val="40"/>
          <w:sz w:val="20"/>
        </w:rPr>
        <w:t> </w:t>
      </w:r>
      <w:r>
        <w:rPr>
          <w:sz w:val="20"/>
        </w:rPr>
        <w:t>and resource-related matters before the Assembly, its Bureau and working groups, the Committee, the External</w:t>
      </w:r>
      <w:r>
        <w:rPr>
          <w:spacing w:val="19"/>
          <w:sz w:val="20"/>
        </w:rPr>
        <w:t> </w:t>
      </w:r>
      <w:r>
        <w:rPr>
          <w:sz w:val="20"/>
        </w:rPr>
        <w:t>Auditors, the Audit Committee, the</w:t>
      </w:r>
      <w:r>
        <w:rPr>
          <w:spacing w:val="19"/>
          <w:sz w:val="20"/>
        </w:rPr>
        <w:t> </w:t>
      </w:r>
      <w:r>
        <w:rPr>
          <w:sz w:val="20"/>
        </w:rPr>
        <w:t>Office</w:t>
      </w:r>
      <w:r>
        <w:rPr>
          <w:spacing w:val="19"/>
          <w:sz w:val="20"/>
        </w:rPr>
        <w:t> </w:t>
      </w:r>
      <w:r>
        <w:rPr>
          <w:sz w:val="20"/>
        </w:rPr>
        <w:t>of</w:t>
      </w:r>
      <w:r>
        <w:rPr>
          <w:spacing w:val="17"/>
          <w:sz w:val="20"/>
        </w:rPr>
        <w:t> </w:t>
      </w:r>
      <w:r>
        <w:rPr>
          <w:sz w:val="20"/>
        </w:rPr>
        <w:t>Internal</w:t>
      </w:r>
      <w:r>
        <w:rPr>
          <w:spacing w:val="19"/>
          <w:sz w:val="20"/>
        </w:rPr>
        <w:t> </w:t>
      </w:r>
      <w:r>
        <w:rPr>
          <w:sz w:val="20"/>
        </w:rPr>
        <w:t>Audit and</w:t>
      </w:r>
    </w:p>
    <w:p>
      <w:pPr>
        <w:pStyle w:val="BodyText"/>
      </w:pPr>
    </w:p>
    <w:p>
      <w:pPr>
        <w:pStyle w:val="BodyText"/>
        <w:spacing w:before="8"/>
        <w:rPr>
          <w:sz w:val="27"/>
        </w:rPr>
      </w:pPr>
      <w:r>
        <w:rPr/>
        <w:pict>
          <v:rect style="position:absolute;margin-left:113.330002pt;margin-top:17.146894pt;width:144.050pt;height:.47998pt;mso-position-horizontal-relative:page;mso-position-vertical-relative:paragraph;z-index:-15709184;mso-wrap-distance-left:0;mso-wrap-distance-right:0" id="docshape103" filled="true" fillcolor="#000000" stroked="false">
            <v:fill type="solid"/>
            <w10:wrap type="topAndBottom"/>
          </v:rect>
        </w:pict>
      </w:r>
    </w:p>
    <w:p>
      <w:pPr>
        <w:spacing w:before="86"/>
        <w:ind w:left="2246" w:right="2238" w:firstLine="0"/>
        <w:jc w:val="both"/>
        <w:rPr>
          <w:sz w:val="16"/>
        </w:rPr>
      </w:pPr>
      <w:r>
        <w:rPr>
          <w:position w:val="5"/>
          <w:sz w:val="10"/>
        </w:rPr>
        <w:t>49</w:t>
      </w:r>
      <w:r>
        <w:rPr>
          <w:spacing w:val="40"/>
          <w:position w:val="5"/>
          <w:sz w:val="10"/>
        </w:rPr>
        <w:t> </w:t>
      </w:r>
      <w:r>
        <w:rPr>
          <w:sz w:val="16"/>
        </w:rPr>
        <w:t>See</w:t>
      </w:r>
      <w:r>
        <w:rPr>
          <w:spacing w:val="28"/>
          <w:sz w:val="16"/>
        </w:rPr>
        <w:t> </w:t>
      </w:r>
      <w:r>
        <w:rPr>
          <w:i/>
          <w:sz w:val="16"/>
        </w:rPr>
        <w:t>Independent</w:t>
      </w:r>
      <w:r>
        <w:rPr>
          <w:i/>
          <w:spacing w:val="25"/>
          <w:sz w:val="16"/>
        </w:rPr>
        <w:t> </w:t>
      </w:r>
      <w:r>
        <w:rPr>
          <w:i/>
          <w:sz w:val="16"/>
        </w:rPr>
        <w:t>Expert</w:t>
      </w:r>
      <w:r>
        <w:rPr>
          <w:i/>
          <w:spacing w:val="25"/>
          <w:sz w:val="16"/>
        </w:rPr>
        <w:t> </w:t>
      </w:r>
      <w:r>
        <w:rPr>
          <w:i/>
          <w:sz w:val="16"/>
        </w:rPr>
        <w:t>Review</w:t>
      </w:r>
      <w:r>
        <w:rPr>
          <w:i/>
          <w:spacing w:val="26"/>
          <w:sz w:val="16"/>
        </w:rPr>
        <w:t> </w:t>
      </w:r>
      <w:r>
        <w:rPr>
          <w:i/>
          <w:sz w:val="16"/>
        </w:rPr>
        <w:t>of</w:t>
      </w:r>
      <w:r>
        <w:rPr>
          <w:i/>
          <w:spacing w:val="25"/>
          <w:sz w:val="16"/>
        </w:rPr>
        <w:t> </w:t>
      </w:r>
      <w:r>
        <w:rPr>
          <w:i/>
          <w:sz w:val="16"/>
        </w:rPr>
        <w:t>the</w:t>
      </w:r>
      <w:r>
        <w:rPr>
          <w:i/>
          <w:spacing w:val="27"/>
          <w:sz w:val="16"/>
        </w:rPr>
        <w:t> </w:t>
      </w:r>
      <w:r>
        <w:rPr>
          <w:i/>
          <w:sz w:val="16"/>
        </w:rPr>
        <w:t>International</w:t>
      </w:r>
      <w:r>
        <w:rPr>
          <w:i/>
          <w:spacing w:val="25"/>
          <w:sz w:val="16"/>
        </w:rPr>
        <w:t> </w:t>
      </w:r>
      <w:r>
        <w:rPr>
          <w:i/>
          <w:sz w:val="16"/>
        </w:rPr>
        <w:t>Criminal</w:t>
      </w:r>
      <w:r>
        <w:rPr>
          <w:i/>
          <w:spacing w:val="25"/>
          <w:sz w:val="16"/>
        </w:rPr>
        <w:t> </w:t>
      </w:r>
      <w:r>
        <w:rPr>
          <w:i/>
          <w:sz w:val="16"/>
        </w:rPr>
        <w:t>Court</w:t>
      </w:r>
      <w:r>
        <w:rPr>
          <w:i/>
          <w:spacing w:val="25"/>
          <w:sz w:val="16"/>
        </w:rPr>
        <w:t> </w:t>
      </w:r>
      <w:r>
        <w:rPr>
          <w:i/>
          <w:sz w:val="16"/>
        </w:rPr>
        <w:t>and</w:t>
      </w:r>
      <w:r>
        <w:rPr>
          <w:i/>
          <w:spacing w:val="28"/>
          <w:sz w:val="16"/>
        </w:rPr>
        <w:t> </w:t>
      </w:r>
      <w:r>
        <w:rPr>
          <w:i/>
          <w:sz w:val="16"/>
        </w:rPr>
        <w:t>the</w:t>
      </w:r>
      <w:r>
        <w:rPr>
          <w:i/>
          <w:spacing w:val="27"/>
          <w:sz w:val="16"/>
        </w:rPr>
        <w:t> </w:t>
      </w:r>
      <w:r>
        <w:rPr>
          <w:i/>
          <w:sz w:val="16"/>
        </w:rPr>
        <w:t>Rome</w:t>
      </w:r>
      <w:r>
        <w:rPr>
          <w:i/>
          <w:spacing w:val="27"/>
          <w:sz w:val="16"/>
        </w:rPr>
        <w:t> </w:t>
      </w:r>
      <w:r>
        <w:rPr>
          <w:i/>
          <w:sz w:val="16"/>
        </w:rPr>
        <w:t>Statute</w:t>
      </w:r>
      <w:r>
        <w:rPr>
          <w:i/>
          <w:spacing w:val="35"/>
          <w:sz w:val="16"/>
        </w:rPr>
        <w:t> </w:t>
      </w:r>
      <w:r>
        <w:rPr>
          <w:i/>
          <w:sz w:val="16"/>
        </w:rPr>
        <w:t>–</w:t>
      </w:r>
      <w:r>
        <w:rPr>
          <w:i/>
          <w:spacing w:val="28"/>
          <w:sz w:val="16"/>
        </w:rPr>
        <w:t> </w:t>
      </w:r>
      <w:r>
        <w:rPr>
          <w:i/>
          <w:sz w:val="16"/>
        </w:rPr>
        <w:t>Final</w:t>
      </w:r>
      <w:r>
        <w:rPr>
          <w:i/>
          <w:spacing w:val="25"/>
          <w:sz w:val="16"/>
        </w:rPr>
        <w:t> </w:t>
      </w:r>
      <w:r>
        <w:rPr>
          <w:i/>
          <w:sz w:val="16"/>
        </w:rPr>
        <w:t>Report</w:t>
      </w:r>
      <w:r>
        <w:rPr>
          <w:sz w:val="16"/>
        </w:rPr>
        <w:t>,</w:t>
      </w:r>
      <w:r>
        <w:rPr>
          <w:spacing w:val="40"/>
          <w:sz w:val="16"/>
        </w:rPr>
        <w:t> </w:t>
      </w:r>
      <w:r>
        <w:rPr>
          <w:sz w:val="16"/>
        </w:rPr>
        <w:t>30 September 2020, R55.</w:t>
      </w:r>
    </w:p>
    <w:p>
      <w:pPr>
        <w:spacing w:line="183" w:lineRule="exact" w:before="1"/>
        <w:ind w:left="2246" w:right="0" w:firstLine="0"/>
        <w:jc w:val="both"/>
        <w:rPr>
          <w:sz w:val="16"/>
        </w:rPr>
      </w:pPr>
      <w:r>
        <w:rPr>
          <w:position w:val="5"/>
          <w:sz w:val="10"/>
        </w:rPr>
        <w:t>50</w:t>
      </w:r>
      <w:r>
        <w:rPr>
          <w:spacing w:val="13"/>
          <w:position w:val="5"/>
          <w:sz w:val="10"/>
        </w:rPr>
        <w:t> </w:t>
      </w:r>
      <w:r>
        <w:rPr>
          <w:sz w:val="16"/>
        </w:rPr>
        <w:t>See</w:t>
      </w:r>
      <w:r>
        <w:rPr>
          <w:spacing w:val="-1"/>
          <w:sz w:val="16"/>
        </w:rPr>
        <w:t> </w:t>
      </w:r>
      <w:r>
        <w:rPr>
          <w:i/>
          <w:sz w:val="16"/>
        </w:rPr>
        <w:t>Report</w:t>
      </w:r>
      <w:r>
        <w:rPr>
          <w:i/>
          <w:spacing w:val="-4"/>
          <w:sz w:val="16"/>
        </w:rPr>
        <w:t> </w:t>
      </w:r>
      <w:r>
        <w:rPr>
          <w:i/>
          <w:sz w:val="16"/>
        </w:rPr>
        <w:t>of</w:t>
      </w:r>
      <w:r>
        <w:rPr>
          <w:i/>
          <w:spacing w:val="-4"/>
          <w:sz w:val="16"/>
        </w:rPr>
        <w:t> </w:t>
      </w:r>
      <w:r>
        <w:rPr>
          <w:i/>
          <w:sz w:val="16"/>
        </w:rPr>
        <w:t>the</w:t>
      </w:r>
      <w:r>
        <w:rPr>
          <w:i/>
          <w:spacing w:val="-2"/>
          <w:sz w:val="16"/>
        </w:rPr>
        <w:t> </w:t>
      </w:r>
      <w:r>
        <w:rPr>
          <w:i/>
          <w:sz w:val="16"/>
        </w:rPr>
        <w:t>Court</w:t>
      </w:r>
      <w:r>
        <w:rPr>
          <w:i/>
          <w:spacing w:val="-4"/>
          <w:sz w:val="16"/>
        </w:rPr>
        <w:t> </w:t>
      </w:r>
      <w:r>
        <w:rPr>
          <w:i/>
          <w:sz w:val="16"/>
        </w:rPr>
        <w:t>on</w:t>
      </w:r>
      <w:r>
        <w:rPr>
          <w:i/>
          <w:spacing w:val="-1"/>
          <w:sz w:val="16"/>
        </w:rPr>
        <w:t> </w:t>
      </w:r>
      <w:r>
        <w:rPr>
          <w:i/>
          <w:sz w:val="16"/>
        </w:rPr>
        <w:t>Cost</w:t>
      </w:r>
      <w:r>
        <w:rPr>
          <w:i/>
          <w:spacing w:val="1"/>
          <w:sz w:val="16"/>
        </w:rPr>
        <w:t> </w:t>
      </w:r>
      <w:r>
        <w:rPr>
          <w:i/>
          <w:sz w:val="16"/>
        </w:rPr>
        <w:t>Ratios</w:t>
      </w:r>
      <w:r>
        <w:rPr>
          <w:sz w:val="16"/>
        </w:rPr>
        <w:t>,</w:t>
      </w:r>
      <w:r>
        <w:rPr>
          <w:spacing w:val="-4"/>
          <w:sz w:val="16"/>
        </w:rPr>
        <w:t> </w:t>
      </w:r>
      <w:r>
        <w:rPr>
          <w:sz w:val="16"/>
        </w:rPr>
        <w:t>CBF/36/4,</w:t>
      </w:r>
      <w:r>
        <w:rPr>
          <w:spacing w:val="-4"/>
          <w:sz w:val="16"/>
        </w:rPr>
        <w:t> </w:t>
      </w:r>
      <w:r>
        <w:rPr>
          <w:sz w:val="16"/>
        </w:rPr>
        <w:t>18</w:t>
      </w:r>
      <w:r>
        <w:rPr>
          <w:spacing w:val="4"/>
          <w:sz w:val="16"/>
        </w:rPr>
        <w:t> </w:t>
      </w:r>
      <w:r>
        <w:rPr>
          <w:sz w:val="16"/>
        </w:rPr>
        <w:t>March</w:t>
      </w:r>
      <w:r>
        <w:rPr>
          <w:spacing w:val="-1"/>
          <w:sz w:val="16"/>
        </w:rPr>
        <w:t> </w:t>
      </w:r>
      <w:r>
        <w:rPr>
          <w:spacing w:val="-2"/>
          <w:sz w:val="16"/>
        </w:rPr>
        <w:t>2021.</w:t>
      </w:r>
    </w:p>
    <w:p>
      <w:pPr>
        <w:spacing w:line="240" w:lineRule="auto" w:before="0"/>
        <w:ind w:left="2246" w:right="2244" w:firstLine="0"/>
        <w:jc w:val="both"/>
        <w:rPr>
          <w:i/>
          <w:sz w:val="16"/>
        </w:rPr>
      </w:pPr>
      <w:r>
        <w:rPr>
          <w:position w:val="5"/>
          <w:sz w:val="10"/>
        </w:rPr>
        <w:t>51</w:t>
      </w:r>
      <w:r>
        <w:rPr>
          <w:spacing w:val="22"/>
          <w:position w:val="5"/>
          <w:sz w:val="10"/>
        </w:rPr>
        <w:t> </w:t>
      </w:r>
      <w:r>
        <w:rPr>
          <w:sz w:val="16"/>
        </w:rPr>
        <w:t>In its comments to the External Auditors’ report, the Committee “… noted the efforts by the Court to establish</w:t>
      </w:r>
      <w:r>
        <w:rPr>
          <w:spacing w:val="40"/>
          <w:sz w:val="16"/>
        </w:rPr>
        <w:t> </w:t>
      </w:r>
      <w:r>
        <w:rPr>
          <w:sz w:val="16"/>
        </w:rPr>
        <w:t>efficient</w:t>
      </w:r>
      <w:r>
        <w:rPr>
          <w:spacing w:val="-4"/>
          <w:sz w:val="16"/>
        </w:rPr>
        <w:t> </w:t>
      </w:r>
      <w:r>
        <w:rPr>
          <w:sz w:val="16"/>
        </w:rPr>
        <w:t>procedures</w:t>
      </w:r>
      <w:r>
        <w:rPr>
          <w:spacing w:val="-3"/>
          <w:sz w:val="16"/>
        </w:rPr>
        <w:t> </w:t>
      </w:r>
      <w:r>
        <w:rPr>
          <w:sz w:val="16"/>
        </w:rPr>
        <w:t>within</w:t>
      </w:r>
      <w:r>
        <w:rPr>
          <w:spacing w:val="-1"/>
          <w:sz w:val="16"/>
        </w:rPr>
        <w:t> </w:t>
      </w:r>
      <w:r>
        <w:rPr>
          <w:sz w:val="16"/>
        </w:rPr>
        <w:t>the</w:t>
      </w:r>
      <w:r>
        <w:rPr>
          <w:spacing w:val="-2"/>
          <w:sz w:val="16"/>
        </w:rPr>
        <w:t> </w:t>
      </w:r>
      <w:r>
        <w:rPr>
          <w:sz w:val="16"/>
        </w:rPr>
        <w:t>framework</w:t>
      </w:r>
      <w:r>
        <w:rPr>
          <w:spacing w:val="-1"/>
          <w:sz w:val="16"/>
        </w:rPr>
        <w:t> </w:t>
      </w:r>
      <w:r>
        <w:rPr>
          <w:sz w:val="16"/>
        </w:rPr>
        <w:t>of</w:t>
      </w:r>
      <w:r>
        <w:rPr>
          <w:spacing w:val="-3"/>
          <w:sz w:val="16"/>
        </w:rPr>
        <w:t> </w:t>
      </w:r>
      <w:r>
        <w:rPr>
          <w:sz w:val="16"/>
        </w:rPr>
        <w:t>the</w:t>
      </w:r>
      <w:r>
        <w:rPr>
          <w:spacing w:val="-2"/>
          <w:sz w:val="16"/>
        </w:rPr>
        <w:t> </w:t>
      </w:r>
      <w:r>
        <w:rPr>
          <w:sz w:val="16"/>
        </w:rPr>
        <w:t>Rome</w:t>
      </w:r>
      <w:r>
        <w:rPr>
          <w:spacing w:val="-2"/>
          <w:sz w:val="16"/>
        </w:rPr>
        <w:t> </w:t>
      </w:r>
      <w:r>
        <w:rPr>
          <w:sz w:val="16"/>
        </w:rPr>
        <w:t>Statute</w:t>
      </w:r>
      <w:r>
        <w:rPr>
          <w:spacing w:val="-2"/>
          <w:sz w:val="16"/>
        </w:rPr>
        <w:t> </w:t>
      </w:r>
      <w:r>
        <w:rPr>
          <w:sz w:val="16"/>
        </w:rPr>
        <w:t>through</w:t>
      </w:r>
      <w:r>
        <w:rPr>
          <w:spacing w:val="-1"/>
          <w:sz w:val="16"/>
        </w:rPr>
        <w:t> </w:t>
      </w:r>
      <w:r>
        <w:rPr>
          <w:sz w:val="16"/>
        </w:rPr>
        <w:t>the</w:t>
      </w:r>
      <w:r>
        <w:rPr>
          <w:spacing w:val="-2"/>
          <w:sz w:val="16"/>
        </w:rPr>
        <w:t> </w:t>
      </w:r>
      <w:r>
        <w:rPr>
          <w:sz w:val="16"/>
        </w:rPr>
        <w:t>implementation</w:t>
      </w:r>
      <w:r>
        <w:rPr>
          <w:spacing w:val="-1"/>
          <w:sz w:val="16"/>
        </w:rPr>
        <w:t> </w:t>
      </w:r>
      <w:r>
        <w:rPr>
          <w:sz w:val="16"/>
        </w:rPr>
        <w:t>of</w:t>
      </w:r>
      <w:r>
        <w:rPr>
          <w:spacing w:val="-3"/>
          <w:sz w:val="16"/>
        </w:rPr>
        <w:t> </w:t>
      </w:r>
      <w:r>
        <w:rPr>
          <w:sz w:val="16"/>
        </w:rPr>
        <w:t>the</w:t>
      </w:r>
      <w:r>
        <w:rPr>
          <w:spacing w:val="-2"/>
          <w:sz w:val="16"/>
        </w:rPr>
        <w:t> </w:t>
      </w:r>
      <w:r>
        <w:rPr>
          <w:sz w:val="16"/>
        </w:rPr>
        <w:t>synergies</w:t>
      </w:r>
      <w:r>
        <w:rPr>
          <w:spacing w:val="-3"/>
          <w:sz w:val="16"/>
        </w:rPr>
        <w:t> </w:t>
      </w:r>
      <w:r>
        <w:rPr>
          <w:sz w:val="16"/>
        </w:rPr>
        <w:t>project</w:t>
      </w:r>
      <w:r>
        <w:rPr>
          <w:spacing w:val="40"/>
          <w:sz w:val="16"/>
        </w:rPr>
        <w:t> </w:t>
      </w:r>
      <w:r>
        <w:rPr>
          <w:sz w:val="16"/>
        </w:rPr>
        <w:t>whose</w:t>
      </w:r>
      <w:r>
        <w:rPr>
          <w:spacing w:val="-4"/>
          <w:sz w:val="16"/>
        </w:rPr>
        <w:t> </w:t>
      </w:r>
      <w:r>
        <w:rPr>
          <w:sz w:val="16"/>
        </w:rPr>
        <w:t>results</w:t>
      </w:r>
      <w:r>
        <w:rPr>
          <w:spacing w:val="-5"/>
          <w:sz w:val="16"/>
        </w:rPr>
        <w:t> </w:t>
      </w:r>
      <w:r>
        <w:rPr>
          <w:sz w:val="16"/>
        </w:rPr>
        <w:t>were</w:t>
      </w:r>
      <w:r>
        <w:rPr>
          <w:spacing w:val="-4"/>
          <w:sz w:val="16"/>
        </w:rPr>
        <w:t> </w:t>
      </w:r>
      <w:r>
        <w:rPr>
          <w:sz w:val="16"/>
        </w:rPr>
        <w:t>shared</w:t>
      </w:r>
      <w:r>
        <w:rPr>
          <w:spacing w:val="-3"/>
          <w:sz w:val="16"/>
        </w:rPr>
        <w:t> </w:t>
      </w:r>
      <w:r>
        <w:rPr>
          <w:sz w:val="16"/>
        </w:rPr>
        <w:t>to</w:t>
      </w:r>
      <w:r>
        <w:rPr>
          <w:spacing w:val="-3"/>
          <w:sz w:val="16"/>
        </w:rPr>
        <w:t> </w:t>
      </w:r>
      <w:r>
        <w:rPr>
          <w:sz w:val="16"/>
        </w:rPr>
        <w:t>the</w:t>
      </w:r>
      <w:r>
        <w:rPr>
          <w:spacing w:val="-4"/>
          <w:sz w:val="16"/>
        </w:rPr>
        <w:t> </w:t>
      </w:r>
      <w:r>
        <w:rPr>
          <w:sz w:val="16"/>
        </w:rPr>
        <w:t>Assembly</w:t>
      </w:r>
      <w:r>
        <w:rPr>
          <w:spacing w:val="-3"/>
          <w:sz w:val="16"/>
        </w:rPr>
        <w:t> </w:t>
      </w:r>
      <w:r>
        <w:rPr>
          <w:sz w:val="16"/>
        </w:rPr>
        <w:t>and</w:t>
      </w:r>
      <w:r>
        <w:rPr>
          <w:spacing w:val="-3"/>
          <w:sz w:val="16"/>
        </w:rPr>
        <w:t> </w:t>
      </w:r>
      <w:r>
        <w:rPr>
          <w:sz w:val="16"/>
        </w:rPr>
        <w:t>the</w:t>
      </w:r>
      <w:r>
        <w:rPr>
          <w:spacing w:val="-4"/>
          <w:sz w:val="16"/>
        </w:rPr>
        <w:t> </w:t>
      </w:r>
      <w:r>
        <w:rPr>
          <w:sz w:val="16"/>
        </w:rPr>
        <w:t>Committee”.</w:t>
      </w:r>
      <w:r>
        <w:rPr>
          <w:spacing w:val="-6"/>
          <w:sz w:val="16"/>
        </w:rPr>
        <w:t> </w:t>
      </w:r>
      <w:r>
        <w:rPr>
          <w:sz w:val="16"/>
        </w:rPr>
        <w:t>Indeed,</w:t>
      </w:r>
      <w:r>
        <w:rPr>
          <w:spacing w:val="-6"/>
          <w:sz w:val="16"/>
        </w:rPr>
        <w:t> </w:t>
      </w:r>
      <w:r>
        <w:rPr>
          <w:sz w:val="16"/>
        </w:rPr>
        <w:t>through</w:t>
      </w:r>
      <w:r>
        <w:rPr>
          <w:spacing w:val="-8"/>
          <w:sz w:val="16"/>
        </w:rPr>
        <w:t> </w:t>
      </w:r>
      <w:r>
        <w:rPr>
          <w:sz w:val="16"/>
        </w:rPr>
        <w:t>an</w:t>
      </w:r>
      <w:r>
        <w:rPr>
          <w:spacing w:val="-3"/>
          <w:sz w:val="16"/>
        </w:rPr>
        <w:t> </w:t>
      </w:r>
      <w:r>
        <w:rPr>
          <w:sz w:val="16"/>
        </w:rPr>
        <w:t>inclusive</w:t>
      </w:r>
      <w:r>
        <w:rPr>
          <w:spacing w:val="-4"/>
          <w:sz w:val="16"/>
        </w:rPr>
        <w:t> </w:t>
      </w:r>
      <w:r>
        <w:rPr>
          <w:sz w:val="16"/>
        </w:rPr>
        <w:t>and</w:t>
      </w:r>
      <w:r>
        <w:rPr>
          <w:spacing w:val="-3"/>
          <w:sz w:val="16"/>
        </w:rPr>
        <w:t> </w:t>
      </w:r>
      <w:r>
        <w:rPr>
          <w:sz w:val="16"/>
        </w:rPr>
        <w:t>thorough</w:t>
      </w:r>
      <w:r>
        <w:rPr>
          <w:spacing w:val="-3"/>
          <w:sz w:val="16"/>
        </w:rPr>
        <w:t> </w:t>
      </w:r>
      <w:r>
        <w:rPr>
          <w:sz w:val="16"/>
        </w:rPr>
        <w:t>process</w:t>
      </w:r>
      <w:r>
        <w:rPr>
          <w:spacing w:val="40"/>
          <w:sz w:val="16"/>
        </w:rPr>
        <w:t> </w:t>
      </w:r>
      <w:r>
        <w:rPr>
          <w:sz w:val="16"/>
        </w:rPr>
        <w:t>of consultation the Court carried out comprehensive inter-organ synergy exercises in 2016 and early 2017, during</w:t>
      </w:r>
      <w:r>
        <w:rPr>
          <w:spacing w:val="40"/>
          <w:sz w:val="16"/>
        </w:rPr>
        <w:t> </w:t>
      </w:r>
      <w:r>
        <w:rPr>
          <w:sz w:val="16"/>
        </w:rPr>
        <w:t>which</w:t>
      </w:r>
      <w:r>
        <w:rPr>
          <w:spacing w:val="-5"/>
          <w:sz w:val="16"/>
        </w:rPr>
        <w:t> </w:t>
      </w:r>
      <w:r>
        <w:rPr>
          <w:sz w:val="16"/>
        </w:rPr>
        <w:t>it</w:t>
      </w:r>
      <w:r>
        <w:rPr>
          <w:spacing w:val="-8"/>
          <w:sz w:val="16"/>
        </w:rPr>
        <w:t> </w:t>
      </w:r>
      <w:r>
        <w:rPr>
          <w:sz w:val="16"/>
        </w:rPr>
        <w:t>identified</w:t>
      </w:r>
      <w:r>
        <w:rPr>
          <w:spacing w:val="-5"/>
          <w:sz w:val="16"/>
        </w:rPr>
        <w:t> </w:t>
      </w:r>
      <w:r>
        <w:rPr>
          <w:sz w:val="16"/>
        </w:rPr>
        <w:t>areas</w:t>
      </w:r>
      <w:r>
        <w:rPr>
          <w:spacing w:val="-2"/>
          <w:sz w:val="16"/>
        </w:rPr>
        <w:t> </w:t>
      </w:r>
      <w:r>
        <w:rPr>
          <w:sz w:val="16"/>
        </w:rPr>
        <w:t>that</w:t>
      </w:r>
      <w:r>
        <w:rPr>
          <w:spacing w:val="-8"/>
          <w:sz w:val="16"/>
        </w:rPr>
        <w:t> </w:t>
      </w:r>
      <w:r>
        <w:rPr>
          <w:sz w:val="16"/>
        </w:rPr>
        <w:t>work</w:t>
      </w:r>
      <w:r>
        <w:rPr>
          <w:spacing w:val="-5"/>
          <w:sz w:val="16"/>
        </w:rPr>
        <w:t> </w:t>
      </w:r>
      <w:r>
        <w:rPr>
          <w:sz w:val="16"/>
        </w:rPr>
        <w:t>well</w:t>
      </w:r>
      <w:r>
        <w:rPr>
          <w:spacing w:val="-8"/>
          <w:sz w:val="16"/>
        </w:rPr>
        <w:t> </w:t>
      </w:r>
      <w:r>
        <w:rPr>
          <w:sz w:val="16"/>
        </w:rPr>
        <w:t>but</w:t>
      </w:r>
      <w:r>
        <w:rPr>
          <w:spacing w:val="-8"/>
          <w:sz w:val="16"/>
        </w:rPr>
        <w:t> </w:t>
      </w:r>
      <w:r>
        <w:rPr>
          <w:sz w:val="16"/>
        </w:rPr>
        <w:t>also duplications</w:t>
      </w:r>
      <w:r>
        <w:rPr>
          <w:spacing w:val="-6"/>
          <w:sz w:val="16"/>
        </w:rPr>
        <w:t> </w:t>
      </w:r>
      <w:r>
        <w:rPr>
          <w:sz w:val="16"/>
        </w:rPr>
        <w:t>and</w:t>
      </w:r>
      <w:r>
        <w:rPr>
          <w:spacing w:val="-5"/>
          <w:sz w:val="16"/>
        </w:rPr>
        <w:t> </w:t>
      </w:r>
      <w:r>
        <w:rPr>
          <w:sz w:val="16"/>
        </w:rPr>
        <w:t>inefficiencies</w:t>
      </w:r>
      <w:r>
        <w:rPr>
          <w:spacing w:val="-6"/>
          <w:sz w:val="16"/>
        </w:rPr>
        <w:t> </w:t>
      </w:r>
      <w:r>
        <w:rPr>
          <w:sz w:val="16"/>
        </w:rPr>
        <w:t>in</w:t>
      </w:r>
      <w:r>
        <w:rPr>
          <w:spacing w:val="-5"/>
          <w:sz w:val="16"/>
        </w:rPr>
        <w:t> </w:t>
      </w:r>
      <w:r>
        <w:rPr>
          <w:sz w:val="16"/>
        </w:rPr>
        <w:t>its</w:t>
      </w:r>
      <w:r>
        <w:rPr>
          <w:spacing w:val="-2"/>
          <w:sz w:val="16"/>
        </w:rPr>
        <w:t> </w:t>
      </w:r>
      <w:r>
        <w:rPr>
          <w:sz w:val="16"/>
        </w:rPr>
        <w:t>operations.</w:t>
      </w:r>
      <w:r>
        <w:rPr>
          <w:spacing w:val="-8"/>
          <w:sz w:val="16"/>
        </w:rPr>
        <w:t> </w:t>
      </w:r>
      <w:r>
        <w:rPr>
          <w:sz w:val="16"/>
        </w:rPr>
        <w:t>It</w:t>
      </w:r>
      <w:r>
        <w:rPr>
          <w:spacing w:val="-3"/>
          <w:sz w:val="16"/>
        </w:rPr>
        <w:t> </w:t>
      </w:r>
      <w:r>
        <w:rPr>
          <w:sz w:val="16"/>
        </w:rPr>
        <w:t>has</w:t>
      </w:r>
      <w:r>
        <w:rPr>
          <w:spacing w:val="-6"/>
          <w:sz w:val="16"/>
        </w:rPr>
        <w:t> </w:t>
      </w:r>
      <w:r>
        <w:rPr>
          <w:sz w:val="16"/>
        </w:rPr>
        <w:t>proposed</w:t>
      </w:r>
      <w:r>
        <w:rPr>
          <w:spacing w:val="-5"/>
          <w:sz w:val="16"/>
        </w:rPr>
        <w:t> </w:t>
      </w:r>
      <w:r>
        <w:rPr>
          <w:sz w:val="16"/>
        </w:rPr>
        <w:t>and</w:t>
      </w:r>
      <w:r>
        <w:rPr>
          <w:spacing w:val="40"/>
          <w:sz w:val="16"/>
        </w:rPr>
        <w:t> </w:t>
      </w:r>
      <w:r>
        <w:rPr>
          <w:sz w:val="16"/>
        </w:rPr>
        <w:t>implemented</w:t>
      </w:r>
      <w:r>
        <w:rPr>
          <w:spacing w:val="-1"/>
          <w:sz w:val="16"/>
        </w:rPr>
        <w:t> </w:t>
      </w:r>
      <w:r>
        <w:rPr>
          <w:sz w:val="16"/>
        </w:rPr>
        <w:t>solutions</w:t>
      </w:r>
      <w:r>
        <w:rPr>
          <w:spacing w:val="-3"/>
          <w:sz w:val="16"/>
        </w:rPr>
        <w:t> </w:t>
      </w:r>
      <w:r>
        <w:rPr>
          <w:sz w:val="16"/>
        </w:rPr>
        <w:t>for those</w:t>
      </w:r>
      <w:r>
        <w:rPr>
          <w:spacing w:val="-2"/>
          <w:sz w:val="16"/>
        </w:rPr>
        <w:t> </w:t>
      </w:r>
      <w:r>
        <w:rPr>
          <w:sz w:val="16"/>
        </w:rPr>
        <w:t>areas</w:t>
      </w:r>
      <w:r>
        <w:rPr>
          <w:spacing w:val="-3"/>
          <w:sz w:val="16"/>
        </w:rPr>
        <w:t> </w:t>
      </w:r>
      <w:r>
        <w:rPr>
          <w:sz w:val="16"/>
        </w:rPr>
        <w:t>in</w:t>
      </w:r>
      <w:r>
        <w:rPr>
          <w:spacing w:val="-1"/>
          <w:sz w:val="16"/>
        </w:rPr>
        <w:t> </w:t>
      </w:r>
      <w:r>
        <w:rPr>
          <w:sz w:val="16"/>
        </w:rPr>
        <w:t>need</w:t>
      </w:r>
      <w:r>
        <w:rPr>
          <w:spacing w:val="-1"/>
          <w:sz w:val="16"/>
        </w:rPr>
        <w:t> </w:t>
      </w:r>
      <w:r>
        <w:rPr>
          <w:sz w:val="16"/>
        </w:rPr>
        <w:t>of</w:t>
      </w:r>
      <w:r>
        <w:rPr>
          <w:spacing w:val="-3"/>
          <w:sz w:val="16"/>
        </w:rPr>
        <w:t> </w:t>
      </w:r>
      <w:r>
        <w:rPr>
          <w:sz w:val="16"/>
        </w:rPr>
        <w:t>redress.</w:t>
      </w:r>
      <w:r>
        <w:rPr>
          <w:spacing w:val="-4"/>
          <w:sz w:val="16"/>
        </w:rPr>
        <w:t> </w:t>
      </w:r>
      <w:r>
        <w:rPr>
          <w:sz w:val="16"/>
        </w:rPr>
        <w:t>See </w:t>
      </w:r>
      <w:r>
        <w:rPr>
          <w:i/>
          <w:sz w:val="16"/>
        </w:rPr>
        <w:t>Overall</w:t>
      </w:r>
      <w:r>
        <w:rPr>
          <w:i/>
          <w:spacing w:val="-4"/>
          <w:sz w:val="16"/>
        </w:rPr>
        <w:t> </w:t>
      </w:r>
      <w:r>
        <w:rPr>
          <w:i/>
          <w:sz w:val="16"/>
        </w:rPr>
        <w:t>response</w:t>
      </w:r>
      <w:r>
        <w:rPr>
          <w:i/>
          <w:spacing w:val="-2"/>
          <w:sz w:val="16"/>
        </w:rPr>
        <w:t> </w:t>
      </w:r>
      <w:r>
        <w:rPr>
          <w:i/>
          <w:sz w:val="16"/>
        </w:rPr>
        <w:t>of</w:t>
      </w:r>
      <w:r>
        <w:rPr>
          <w:i/>
          <w:spacing w:val="-4"/>
          <w:sz w:val="16"/>
        </w:rPr>
        <w:t> </w:t>
      </w:r>
      <w:r>
        <w:rPr>
          <w:i/>
          <w:sz w:val="16"/>
        </w:rPr>
        <w:t>the</w:t>
      </w:r>
      <w:r>
        <w:rPr>
          <w:i/>
          <w:spacing w:val="-2"/>
          <w:sz w:val="16"/>
        </w:rPr>
        <w:t> </w:t>
      </w:r>
      <w:r>
        <w:rPr>
          <w:i/>
          <w:sz w:val="16"/>
        </w:rPr>
        <w:t>International</w:t>
      </w:r>
      <w:r>
        <w:rPr>
          <w:i/>
          <w:spacing w:val="-4"/>
          <w:sz w:val="16"/>
        </w:rPr>
        <w:t> </w:t>
      </w:r>
      <w:r>
        <w:rPr>
          <w:i/>
          <w:sz w:val="16"/>
        </w:rPr>
        <w:t>Criminal</w:t>
      </w:r>
      <w:r>
        <w:rPr>
          <w:i/>
          <w:spacing w:val="-4"/>
          <w:sz w:val="16"/>
        </w:rPr>
        <w:t> </w:t>
      </w:r>
      <w:r>
        <w:rPr>
          <w:i/>
          <w:sz w:val="16"/>
        </w:rPr>
        <w:t>Court</w:t>
      </w:r>
      <w:r>
        <w:rPr>
          <w:i/>
          <w:spacing w:val="40"/>
          <w:sz w:val="16"/>
        </w:rPr>
        <w:t> </w:t>
      </w:r>
      <w:r>
        <w:rPr>
          <w:i/>
          <w:sz w:val="16"/>
        </w:rPr>
        <w:t>to</w:t>
      </w:r>
      <w:r>
        <w:rPr>
          <w:i/>
          <w:spacing w:val="-3"/>
          <w:sz w:val="16"/>
        </w:rPr>
        <w:t> </w:t>
      </w:r>
      <w:r>
        <w:rPr>
          <w:i/>
          <w:sz w:val="16"/>
        </w:rPr>
        <w:t>the</w:t>
      </w:r>
      <w:r>
        <w:rPr>
          <w:i/>
          <w:spacing w:val="-4"/>
          <w:sz w:val="16"/>
        </w:rPr>
        <w:t> </w:t>
      </w:r>
      <w:r>
        <w:rPr>
          <w:i/>
          <w:sz w:val="16"/>
        </w:rPr>
        <w:t>“Independent</w:t>
      </w:r>
      <w:r>
        <w:rPr>
          <w:i/>
          <w:spacing w:val="-6"/>
          <w:sz w:val="16"/>
        </w:rPr>
        <w:t> </w:t>
      </w:r>
      <w:r>
        <w:rPr>
          <w:i/>
          <w:sz w:val="16"/>
        </w:rPr>
        <w:t>Expert</w:t>
      </w:r>
      <w:r>
        <w:rPr>
          <w:i/>
          <w:spacing w:val="-6"/>
          <w:sz w:val="16"/>
        </w:rPr>
        <w:t> </w:t>
      </w:r>
      <w:r>
        <w:rPr>
          <w:i/>
          <w:sz w:val="16"/>
        </w:rPr>
        <w:t>Review</w:t>
      </w:r>
      <w:r>
        <w:rPr>
          <w:i/>
          <w:spacing w:val="-5"/>
          <w:sz w:val="16"/>
        </w:rPr>
        <w:t> </w:t>
      </w:r>
      <w:r>
        <w:rPr>
          <w:i/>
          <w:sz w:val="16"/>
        </w:rPr>
        <w:t>of</w:t>
      </w:r>
      <w:r>
        <w:rPr>
          <w:i/>
          <w:spacing w:val="-6"/>
          <w:sz w:val="16"/>
        </w:rPr>
        <w:t> </w:t>
      </w:r>
      <w:r>
        <w:rPr>
          <w:i/>
          <w:sz w:val="16"/>
        </w:rPr>
        <w:t>the</w:t>
      </w:r>
      <w:r>
        <w:rPr>
          <w:i/>
          <w:spacing w:val="-4"/>
          <w:sz w:val="16"/>
        </w:rPr>
        <w:t> </w:t>
      </w:r>
      <w:r>
        <w:rPr>
          <w:i/>
          <w:sz w:val="16"/>
        </w:rPr>
        <w:t>International</w:t>
      </w:r>
      <w:r>
        <w:rPr>
          <w:i/>
          <w:spacing w:val="-6"/>
          <w:sz w:val="16"/>
        </w:rPr>
        <w:t> </w:t>
      </w:r>
      <w:r>
        <w:rPr>
          <w:i/>
          <w:sz w:val="16"/>
        </w:rPr>
        <w:t>Criminal</w:t>
      </w:r>
      <w:r>
        <w:rPr>
          <w:i/>
          <w:spacing w:val="-6"/>
          <w:sz w:val="16"/>
        </w:rPr>
        <w:t> </w:t>
      </w:r>
      <w:r>
        <w:rPr>
          <w:i/>
          <w:sz w:val="16"/>
        </w:rPr>
        <w:t>Court</w:t>
      </w:r>
      <w:r>
        <w:rPr>
          <w:i/>
          <w:spacing w:val="-6"/>
          <w:sz w:val="16"/>
        </w:rPr>
        <w:t> </w:t>
      </w:r>
      <w:r>
        <w:rPr>
          <w:i/>
          <w:sz w:val="16"/>
        </w:rPr>
        <w:t>of</w:t>
      </w:r>
      <w:r>
        <w:rPr>
          <w:i/>
          <w:spacing w:val="-6"/>
          <w:sz w:val="16"/>
        </w:rPr>
        <w:t> </w:t>
      </w:r>
      <w:r>
        <w:rPr>
          <w:i/>
          <w:sz w:val="16"/>
        </w:rPr>
        <w:t>the</w:t>
      </w:r>
      <w:r>
        <w:rPr>
          <w:i/>
          <w:spacing w:val="-4"/>
          <w:sz w:val="16"/>
        </w:rPr>
        <w:t> </w:t>
      </w:r>
      <w:r>
        <w:rPr>
          <w:i/>
          <w:sz w:val="16"/>
        </w:rPr>
        <w:t>Rome</w:t>
      </w:r>
      <w:r>
        <w:rPr>
          <w:i/>
          <w:spacing w:val="-4"/>
          <w:sz w:val="16"/>
        </w:rPr>
        <w:t> </w:t>
      </w:r>
      <w:r>
        <w:rPr>
          <w:i/>
          <w:sz w:val="16"/>
        </w:rPr>
        <w:t>Statute</w:t>
      </w:r>
      <w:r>
        <w:rPr>
          <w:i/>
          <w:spacing w:val="-4"/>
          <w:sz w:val="16"/>
        </w:rPr>
        <w:t> </w:t>
      </w:r>
      <w:r>
        <w:rPr>
          <w:i/>
          <w:sz w:val="16"/>
        </w:rPr>
        <w:t>System –</w:t>
      </w:r>
      <w:r>
        <w:rPr>
          <w:i/>
          <w:spacing w:val="-3"/>
          <w:sz w:val="16"/>
        </w:rPr>
        <w:t> </w:t>
      </w:r>
      <w:r>
        <w:rPr>
          <w:i/>
          <w:sz w:val="16"/>
        </w:rPr>
        <w:t>Final</w:t>
      </w:r>
      <w:r>
        <w:rPr>
          <w:i/>
          <w:spacing w:val="-6"/>
          <w:sz w:val="16"/>
        </w:rPr>
        <w:t> </w:t>
      </w:r>
      <w:r>
        <w:rPr>
          <w:i/>
          <w:sz w:val="16"/>
        </w:rPr>
        <w:t>Report”</w:t>
      </w:r>
    </w:p>
    <w:p>
      <w:pPr>
        <w:spacing w:line="183" w:lineRule="exact" w:before="0"/>
        <w:ind w:left="2246" w:right="0" w:firstLine="0"/>
        <w:jc w:val="both"/>
        <w:rPr>
          <w:sz w:val="16"/>
        </w:rPr>
      </w:pPr>
      <w:r>
        <w:rPr>
          <w:i/>
          <w:sz w:val="16"/>
        </w:rPr>
        <w:t>-</w:t>
      </w:r>
      <w:r>
        <w:rPr>
          <w:i/>
          <w:spacing w:val="-4"/>
          <w:sz w:val="16"/>
        </w:rPr>
        <w:t> </w:t>
      </w:r>
      <w:r>
        <w:rPr>
          <w:i/>
          <w:sz w:val="16"/>
        </w:rPr>
        <w:t>Recommendations</w:t>
      </w:r>
      <w:r>
        <w:rPr>
          <w:i/>
          <w:spacing w:val="-4"/>
          <w:sz w:val="16"/>
        </w:rPr>
        <w:t> </w:t>
      </w:r>
      <w:r>
        <w:rPr>
          <w:i/>
          <w:sz w:val="16"/>
        </w:rPr>
        <w:t>on</w:t>
      </w:r>
      <w:r>
        <w:rPr>
          <w:i/>
          <w:spacing w:val="-1"/>
          <w:sz w:val="16"/>
        </w:rPr>
        <w:t> </w:t>
      </w:r>
      <w:r>
        <w:rPr>
          <w:i/>
          <w:sz w:val="16"/>
        </w:rPr>
        <w:t>unified</w:t>
      </w:r>
      <w:r>
        <w:rPr>
          <w:i/>
          <w:spacing w:val="-2"/>
          <w:sz w:val="16"/>
        </w:rPr>
        <w:t> </w:t>
      </w:r>
      <w:r>
        <w:rPr>
          <w:i/>
          <w:sz w:val="16"/>
        </w:rPr>
        <w:t>governance</w:t>
      </w:r>
      <w:r>
        <w:rPr>
          <w:i/>
          <w:spacing w:val="-3"/>
          <w:sz w:val="16"/>
        </w:rPr>
        <w:t> </w:t>
      </w:r>
      <w:r>
        <w:rPr>
          <w:i/>
          <w:sz w:val="16"/>
        </w:rPr>
        <w:t>(R1-R11)</w:t>
      </w:r>
      <w:r>
        <w:rPr>
          <w:sz w:val="16"/>
        </w:rPr>
        <w:t>,</w:t>
      </w:r>
      <w:r>
        <w:rPr>
          <w:spacing w:val="-4"/>
          <w:sz w:val="16"/>
        </w:rPr>
        <w:t> </w:t>
      </w:r>
      <w:r>
        <w:rPr>
          <w:sz w:val="16"/>
        </w:rPr>
        <w:t>14</w:t>
      </w:r>
      <w:r>
        <w:rPr>
          <w:spacing w:val="-1"/>
          <w:sz w:val="16"/>
        </w:rPr>
        <w:t> </w:t>
      </w:r>
      <w:r>
        <w:rPr>
          <w:sz w:val="16"/>
        </w:rPr>
        <w:t>April</w:t>
      </w:r>
      <w:r>
        <w:rPr>
          <w:spacing w:val="-5"/>
          <w:sz w:val="16"/>
        </w:rPr>
        <w:t> </w:t>
      </w:r>
      <w:r>
        <w:rPr>
          <w:sz w:val="16"/>
        </w:rPr>
        <w:t>2021,</w:t>
      </w:r>
      <w:r>
        <w:rPr>
          <w:spacing w:val="-4"/>
          <w:sz w:val="16"/>
        </w:rPr>
        <w:t> </w:t>
      </w:r>
      <w:r>
        <w:rPr>
          <w:sz w:val="16"/>
        </w:rPr>
        <w:t>para.</w:t>
      </w:r>
      <w:r>
        <w:rPr>
          <w:spacing w:val="-5"/>
          <w:sz w:val="16"/>
        </w:rPr>
        <w:t> 44.</w:t>
      </w:r>
    </w:p>
    <w:p>
      <w:pPr>
        <w:spacing w:before="3"/>
        <w:ind w:left="2246" w:right="2254" w:firstLine="0"/>
        <w:jc w:val="both"/>
        <w:rPr>
          <w:sz w:val="16"/>
        </w:rPr>
      </w:pPr>
      <w:r>
        <w:rPr>
          <w:position w:val="5"/>
          <w:sz w:val="10"/>
        </w:rPr>
        <w:t>52</w:t>
      </w:r>
      <w:r>
        <w:rPr>
          <w:spacing w:val="14"/>
          <w:position w:val="5"/>
          <w:sz w:val="10"/>
        </w:rPr>
        <w:t> </w:t>
      </w:r>
      <w:r>
        <w:rPr>
          <w:sz w:val="16"/>
        </w:rPr>
        <w:t>See </w:t>
      </w:r>
      <w:r>
        <w:rPr>
          <w:i/>
          <w:sz w:val="16"/>
        </w:rPr>
        <w:t>Audit Report</w:t>
      </w:r>
      <w:r>
        <w:rPr>
          <w:i/>
          <w:spacing w:val="-4"/>
          <w:sz w:val="16"/>
        </w:rPr>
        <w:t> </w:t>
      </w:r>
      <w:r>
        <w:rPr>
          <w:i/>
          <w:sz w:val="16"/>
        </w:rPr>
        <w:t>on</w:t>
      </w:r>
      <w:r>
        <w:rPr>
          <w:i/>
          <w:spacing w:val="-1"/>
          <w:sz w:val="16"/>
        </w:rPr>
        <w:t> </w:t>
      </w:r>
      <w:r>
        <w:rPr>
          <w:i/>
          <w:sz w:val="16"/>
        </w:rPr>
        <w:t>the Administrative Management</w:t>
      </w:r>
      <w:r>
        <w:rPr>
          <w:i/>
          <w:spacing w:val="-4"/>
          <w:sz w:val="16"/>
        </w:rPr>
        <w:t> </w:t>
      </w:r>
      <w:r>
        <w:rPr>
          <w:i/>
          <w:sz w:val="16"/>
        </w:rPr>
        <w:t>of</w:t>
      </w:r>
      <w:r>
        <w:rPr>
          <w:i/>
          <w:spacing w:val="-4"/>
          <w:sz w:val="16"/>
        </w:rPr>
        <w:t> </w:t>
      </w:r>
      <w:r>
        <w:rPr>
          <w:i/>
          <w:sz w:val="16"/>
        </w:rPr>
        <w:t>the Departments</w:t>
      </w:r>
      <w:r>
        <w:rPr>
          <w:i/>
          <w:spacing w:val="-3"/>
          <w:sz w:val="16"/>
        </w:rPr>
        <w:t> </w:t>
      </w:r>
      <w:r>
        <w:rPr>
          <w:i/>
          <w:sz w:val="16"/>
        </w:rPr>
        <w:t>of</w:t>
      </w:r>
      <w:r>
        <w:rPr>
          <w:i/>
          <w:spacing w:val="-4"/>
          <w:sz w:val="16"/>
        </w:rPr>
        <w:t> </w:t>
      </w:r>
      <w:r>
        <w:rPr>
          <w:i/>
          <w:sz w:val="16"/>
        </w:rPr>
        <w:t>the Presidency</w:t>
      </w:r>
      <w:r>
        <w:rPr>
          <w:i/>
          <w:spacing w:val="-2"/>
          <w:sz w:val="16"/>
        </w:rPr>
        <w:t> </w:t>
      </w:r>
      <w:r>
        <w:rPr>
          <w:i/>
          <w:sz w:val="16"/>
        </w:rPr>
        <w:t>and</w:t>
      </w:r>
      <w:r>
        <w:rPr>
          <w:i/>
          <w:spacing w:val="-1"/>
          <w:sz w:val="16"/>
        </w:rPr>
        <w:t> </w:t>
      </w:r>
      <w:r>
        <w:rPr>
          <w:i/>
          <w:sz w:val="16"/>
        </w:rPr>
        <w:t>the</w:t>
      </w:r>
      <w:r>
        <w:rPr>
          <w:i/>
          <w:spacing w:val="-2"/>
          <w:sz w:val="16"/>
        </w:rPr>
        <w:t> </w:t>
      </w:r>
      <w:r>
        <w:rPr>
          <w:i/>
          <w:sz w:val="16"/>
        </w:rPr>
        <w:t>Office</w:t>
      </w:r>
      <w:r>
        <w:rPr>
          <w:i/>
          <w:spacing w:val="-2"/>
          <w:sz w:val="16"/>
        </w:rPr>
        <w:t> </w:t>
      </w:r>
      <w:r>
        <w:rPr>
          <w:i/>
          <w:sz w:val="16"/>
        </w:rPr>
        <w:t>of The</w:t>
      </w:r>
      <w:r>
        <w:rPr>
          <w:i/>
          <w:spacing w:val="40"/>
          <w:sz w:val="16"/>
        </w:rPr>
        <w:t> </w:t>
      </w:r>
      <w:r>
        <w:rPr>
          <w:i/>
          <w:sz w:val="16"/>
        </w:rPr>
        <w:t>Prosecutor </w:t>
      </w:r>
      <w:r>
        <w:rPr>
          <w:sz w:val="16"/>
        </w:rPr>
        <w:t>(July 2021).</w:t>
      </w:r>
    </w:p>
    <w:p>
      <w:pPr>
        <w:spacing w:line="240" w:lineRule="auto" w:before="0"/>
        <w:ind w:left="2246" w:right="2242" w:firstLine="0"/>
        <w:jc w:val="both"/>
        <w:rPr>
          <w:sz w:val="16"/>
        </w:rPr>
      </w:pPr>
      <w:r>
        <w:rPr>
          <w:position w:val="5"/>
          <w:sz w:val="10"/>
        </w:rPr>
        <w:t>53</w:t>
      </w:r>
      <w:r>
        <w:rPr>
          <w:spacing w:val="9"/>
          <w:position w:val="5"/>
          <w:sz w:val="10"/>
        </w:rPr>
        <w:t> </w:t>
      </w:r>
      <w:r>
        <w:rPr>
          <w:sz w:val="16"/>
        </w:rPr>
        <w:t>The</w:t>
      </w:r>
      <w:r>
        <w:rPr>
          <w:spacing w:val="-7"/>
          <w:sz w:val="16"/>
        </w:rPr>
        <w:t> </w:t>
      </w:r>
      <w:r>
        <w:rPr>
          <w:sz w:val="16"/>
        </w:rPr>
        <w:t>group</w:t>
      </w:r>
      <w:r>
        <w:rPr>
          <w:spacing w:val="-7"/>
          <w:sz w:val="16"/>
        </w:rPr>
        <w:t> </w:t>
      </w:r>
      <w:r>
        <w:rPr>
          <w:sz w:val="16"/>
        </w:rPr>
        <w:t>of</w:t>
      </w:r>
      <w:r>
        <w:rPr>
          <w:spacing w:val="-9"/>
          <w:sz w:val="16"/>
        </w:rPr>
        <w:t> </w:t>
      </w:r>
      <w:r>
        <w:rPr>
          <w:sz w:val="16"/>
        </w:rPr>
        <w:t>five</w:t>
      </w:r>
      <w:r>
        <w:rPr>
          <w:spacing w:val="-7"/>
          <w:sz w:val="16"/>
        </w:rPr>
        <w:t> </w:t>
      </w:r>
      <w:r>
        <w:rPr>
          <w:sz w:val="16"/>
        </w:rPr>
        <w:t>independent</w:t>
      </w:r>
      <w:r>
        <w:rPr>
          <w:spacing w:val="-10"/>
          <w:sz w:val="16"/>
        </w:rPr>
        <w:t> </w:t>
      </w:r>
      <w:r>
        <w:rPr>
          <w:sz w:val="16"/>
        </w:rPr>
        <w:t>experts</w:t>
      </w:r>
      <w:r>
        <w:rPr>
          <w:spacing w:val="-8"/>
          <w:sz w:val="16"/>
        </w:rPr>
        <w:t> </w:t>
      </w:r>
      <w:r>
        <w:rPr>
          <w:sz w:val="16"/>
        </w:rPr>
        <w:t>which</w:t>
      </w:r>
      <w:r>
        <w:rPr>
          <w:spacing w:val="-7"/>
          <w:sz w:val="16"/>
        </w:rPr>
        <w:t> </w:t>
      </w:r>
      <w:r>
        <w:rPr>
          <w:sz w:val="16"/>
        </w:rPr>
        <w:t>was</w:t>
      </w:r>
      <w:r>
        <w:rPr>
          <w:spacing w:val="-8"/>
          <w:sz w:val="16"/>
        </w:rPr>
        <w:t> </w:t>
      </w:r>
      <w:r>
        <w:rPr>
          <w:sz w:val="16"/>
        </w:rPr>
        <w:t>constituted</w:t>
      </w:r>
      <w:r>
        <w:rPr>
          <w:spacing w:val="-7"/>
          <w:sz w:val="16"/>
        </w:rPr>
        <w:t> </w:t>
      </w:r>
      <w:r>
        <w:rPr>
          <w:sz w:val="16"/>
        </w:rPr>
        <w:t>by</w:t>
      </w:r>
      <w:r>
        <w:rPr>
          <w:spacing w:val="-7"/>
          <w:sz w:val="16"/>
        </w:rPr>
        <w:t> </w:t>
      </w:r>
      <w:r>
        <w:rPr>
          <w:sz w:val="16"/>
        </w:rPr>
        <w:t>UN</w:t>
      </w:r>
      <w:r>
        <w:rPr>
          <w:spacing w:val="-8"/>
          <w:sz w:val="16"/>
        </w:rPr>
        <w:t> </w:t>
      </w:r>
      <w:r>
        <w:rPr>
          <w:sz w:val="16"/>
        </w:rPr>
        <w:t>Secretary-General</w:t>
      </w:r>
      <w:r>
        <w:rPr>
          <w:spacing w:val="-10"/>
          <w:sz w:val="16"/>
        </w:rPr>
        <w:t> </w:t>
      </w:r>
      <w:r>
        <w:rPr>
          <w:sz w:val="16"/>
        </w:rPr>
        <w:t>Mr</w:t>
      </w:r>
      <w:r>
        <w:rPr>
          <w:spacing w:val="-9"/>
          <w:sz w:val="16"/>
        </w:rPr>
        <w:t> </w:t>
      </w:r>
      <w:r>
        <w:rPr>
          <w:sz w:val="16"/>
        </w:rPr>
        <w:t>Kofi</w:t>
      </w:r>
      <w:r>
        <w:rPr>
          <w:spacing w:val="-10"/>
          <w:sz w:val="16"/>
        </w:rPr>
        <w:t> </w:t>
      </w:r>
      <w:r>
        <w:rPr>
          <w:sz w:val="16"/>
        </w:rPr>
        <w:t>Annan</w:t>
      </w:r>
      <w:r>
        <w:rPr>
          <w:spacing w:val="-7"/>
          <w:sz w:val="16"/>
        </w:rPr>
        <w:t> </w:t>
      </w:r>
      <w:r>
        <w:rPr>
          <w:sz w:val="16"/>
        </w:rPr>
        <w:t>to</w:t>
      </w:r>
      <w:r>
        <w:rPr>
          <w:spacing w:val="-7"/>
          <w:sz w:val="16"/>
        </w:rPr>
        <w:t> </w:t>
      </w:r>
      <w:r>
        <w:rPr>
          <w:sz w:val="16"/>
        </w:rPr>
        <w:t>conduct</w:t>
      </w:r>
      <w:r>
        <w:rPr>
          <w:spacing w:val="40"/>
          <w:sz w:val="16"/>
        </w:rPr>
        <w:t> </w:t>
      </w:r>
      <w:r>
        <w:rPr>
          <w:sz w:val="16"/>
        </w:rPr>
        <w:t>a</w:t>
      </w:r>
      <w:r>
        <w:rPr>
          <w:spacing w:val="-3"/>
          <w:sz w:val="16"/>
        </w:rPr>
        <w:t> </w:t>
      </w:r>
      <w:r>
        <w:rPr>
          <w:sz w:val="16"/>
        </w:rPr>
        <w:t>review</w:t>
      </w:r>
      <w:r>
        <w:rPr>
          <w:spacing w:val="-4"/>
          <w:sz w:val="16"/>
        </w:rPr>
        <w:t> </w:t>
      </w:r>
      <w:r>
        <w:rPr>
          <w:sz w:val="16"/>
        </w:rPr>
        <w:t>of</w:t>
      </w:r>
      <w:r>
        <w:rPr>
          <w:spacing w:val="-4"/>
          <w:sz w:val="16"/>
        </w:rPr>
        <w:t> </w:t>
      </w:r>
      <w:r>
        <w:rPr>
          <w:sz w:val="16"/>
        </w:rPr>
        <w:t>the</w:t>
      </w:r>
      <w:r>
        <w:rPr>
          <w:spacing w:val="-7"/>
          <w:sz w:val="16"/>
        </w:rPr>
        <w:t> </w:t>
      </w:r>
      <w:r>
        <w:rPr>
          <w:sz w:val="16"/>
        </w:rPr>
        <w:t>effective</w:t>
      </w:r>
      <w:r>
        <w:rPr>
          <w:spacing w:val="-3"/>
          <w:sz w:val="16"/>
        </w:rPr>
        <w:t> </w:t>
      </w:r>
      <w:r>
        <w:rPr>
          <w:sz w:val="16"/>
        </w:rPr>
        <w:t>operation</w:t>
      </w:r>
      <w:r>
        <w:rPr>
          <w:spacing w:val="-7"/>
          <w:sz w:val="16"/>
        </w:rPr>
        <w:t> </w:t>
      </w:r>
      <w:r>
        <w:rPr>
          <w:sz w:val="16"/>
        </w:rPr>
        <w:t>and</w:t>
      </w:r>
      <w:r>
        <w:rPr>
          <w:spacing w:val="-2"/>
          <w:sz w:val="16"/>
        </w:rPr>
        <w:t> </w:t>
      </w:r>
      <w:r>
        <w:rPr>
          <w:sz w:val="16"/>
        </w:rPr>
        <w:t>functioning</w:t>
      </w:r>
      <w:r>
        <w:rPr>
          <w:spacing w:val="-2"/>
          <w:sz w:val="16"/>
        </w:rPr>
        <w:t> </w:t>
      </w:r>
      <w:r>
        <w:rPr>
          <w:sz w:val="16"/>
        </w:rPr>
        <w:t>of</w:t>
      </w:r>
      <w:r>
        <w:rPr>
          <w:spacing w:val="-4"/>
          <w:sz w:val="16"/>
        </w:rPr>
        <w:t> </w:t>
      </w:r>
      <w:r>
        <w:rPr>
          <w:sz w:val="16"/>
        </w:rPr>
        <w:t>international</w:t>
      </w:r>
      <w:r>
        <w:rPr>
          <w:spacing w:val="-5"/>
          <w:sz w:val="16"/>
        </w:rPr>
        <w:t> </w:t>
      </w:r>
      <w:r>
        <w:rPr>
          <w:sz w:val="16"/>
        </w:rPr>
        <w:t>tribunals</w:t>
      </w:r>
      <w:r>
        <w:rPr>
          <w:spacing w:val="-8"/>
          <w:sz w:val="16"/>
        </w:rPr>
        <w:t> </w:t>
      </w:r>
      <w:r>
        <w:rPr>
          <w:sz w:val="16"/>
        </w:rPr>
        <w:t>indeed</w:t>
      </w:r>
      <w:r>
        <w:rPr>
          <w:spacing w:val="-2"/>
          <w:sz w:val="16"/>
        </w:rPr>
        <w:t> </w:t>
      </w:r>
      <w:r>
        <w:rPr>
          <w:sz w:val="16"/>
        </w:rPr>
        <w:t>concluded</w:t>
      </w:r>
      <w:r>
        <w:rPr>
          <w:spacing w:val="-2"/>
          <w:sz w:val="16"/>
        </w:rPr>
        <w:t> </w:t>
      </w:r>
      <w:r>
        <w:rPr>
          <w:sz w:val="16"/>
        </w:rPr>
        <w:t>that</w:t>
      </w:r>
      <w:r>
        <w:rPr>
          <w:spacing w:val="-5"/>
          <w:sz w:val="16"/>
        </w:rPr>
        <w:t> </w:t>
      </w:r>
      <w:r>
        <w:rPr>
          <w:sz w:val="16"/>
        </w:rPr>
        <w:t>the</w:t>
      </w:r>
      <w:r>
        <w:rPr>
          <w:spacing w:val="-3"/>
          <w:sz w:val="16"/>
        </w:rPr>
        <w:t> </w:t>
      </w:r>
      <w:r>
        <w:rPr>
          <w:sz w:val="16"/>
        </w:rPr>
        <w:t>Office</w:t>
      </w:r>
      <w:r>
        <w:rPr>
          <w:spacing w:val="-3"/>
          <w:sz w:val="16"/>
        </w:rPr>
        <w:t> </w:t>
      </w:r>
      <w:r>
        <w:rPr>
          <w:sz w:val="16"/>
        </w:rPr>
        <w:t>of</w:t>
      </w:r>
      <w:r>
        <w:rPr>
          <w:spacing w:val="-4"/>
          <w:sz w:val="16"/>
        </w:rPr>
        <w:t> </w:t>
      </w:r>
      <w:r>
        <w:rPr>
          <w:sz w:val="16"/>
        </w:rPr>
        <w:t>the</w:t>
      </w:r>
      <w:r>
        <w:rPr>
          <w:spacing w:val="40"/>
          <w:sz w:val="16"/>
        </w:rPr>
        <w:t> </w:t>
      </w:r>
      <w:r>
        <w:rPr>
          <w:sz w:val="16"/>
        </w:rPr>
        <w:t>Prosecutor</w:t>
      </w:r>
      <w:r>
        <w:rPr>
          <w:spacing w:val="-4"/>
          <w:sz w:val="16"/>
        </w:rPr>
        <w:t> </w:t>
      </w:r>
      <w:r>
        <w:rPr>
          <w:sz w:val="16"/>
        </w:rPr>
        <w:t>should</w:t>
      </w:r>
      <w:r>
        <w:rPr>
          <w:spacing w:val="-2"/>
          <w:sz w:val="16"/>
        </w:rPr>
        <w:t> </w:t>
      </w:r>
      <w:r>
        <w:rPr>
          <w:sz w:val="16"/>
        </w:rPr>
        <w:t>“assume</w:t>
      </w:r>
      <w:r>
        <w:rPr>
          <w:spacing w:val="-3"/>
          <w:sz w:val="16"/>
        </w:rPr>
        <w:t> </w:t>
      </w:r>
      <w:r>
        <w:rPr>
          <w:sz w:val="16"/>
        </w:rPr>
        <w:t>administrative</w:t>
      </w:r>
      <w:r>
        <w:rPr>
          <w:spacing w:val="-3"/>
          <w:sz w:val="16"/>
        </w:rPr>
        <w:t> </w:t>
      </w:r>
      <w:r>
        <w:rPr>
          <w:sz w:val="16"/>
        </w:rPr>
        <w:t>responsibility</w:t>
      </w:r>
      <w:r>
        <w:rPr>
          <w:spacing w:val="-2"/>
          <w:sz w:val="16"/>
        </w:rPr>
        <w:t> </w:t>
      </w:r>
      <w:r>
        <w:rPr>
          <w:sz w:val="16"/>
        </w:rPr>
        <w:t>with</w:t>
      </w:r>
      <w:r>
        <w:rPr>
          <w:spacing w:val="-2"/>
          <w:sz w:val="16"/>
        </w:rPr>
        <w:t> </w:t>
      </w:r>
      <w:r>
        <w:rPr>
          <w:sz w:val="16"/>
        </w:rPr>
        <w:t>regard</w:t>
      </w:r>
      <w:r>
        <w:rPr>
          <w:spacing w:val="-2"/>
          <w:sz w:val="16"/>
        </w:rPr>
        <w:t> </w:t>
      </w:r>
      <w:r>
        <w:rPr>
          <w:sz w:val="16"/>
        </w:rPr>
        <w:t>to</w:t>
      </w:r>
      <w:r>
        <w:rPr>
          <w:spacing w:val="-2"/>
          <w:sz w:val="16"/>
        </w:rPr>
        <w:t> </w:t>
      </w:r>
      <w:r>
        <w:rPr>
          <w:sz w:val="16"/>
        </w:rPr>
        <w:t>its</w:t>
      </w:r>
      <w:r>
        <w:rPr>
          <w:spacing w:val="-4"/>
          <w:sz w:val="16"/>
        </w:rPr>
        <w:t> </w:t>
      </w:r>
      <w:r>
        <w:rPr>
          <w:sz w:val="16"/>
        </w:rPr>
        <w:t>own</w:t>
      </w:r>
      <w:r>
        <w:rPr>
          <w:spacing w:val="-2"/>
          <w:sz w:val="16"/>
        </w:rPr>
        <w:t> </w:t>
      </w:r>
      <w:r>
        <w:rPr>
          <w:sz w:val="16"/>
        </w:rPr>
        <w:t>budget,</w:t>
      </w:r>
      <w:r>
        <w:rPr>
          <w:spacing w:val="-5"/>
          <w:sz w:val="16"/>
        </w:rPr>
        <w:t> </w:t>
      </w:r>
      <w:r>
        <w:rPr>
          <w:sz w:val="16"/>
        </w:rPr>
        <w:t>its</w:t>
      </w:r>
      <w:r>
        <w:rPr>
          <w:spacing w:val="-4"/>
          <w:sz w:val="16"/>
        </w:rPr>
        <w:t> </w:t>
      </w:r>
      <w:r>
        <w:rPr>
          <w:sz w:val="16"/>
        </w:rPr>
        <w:t>staff,</w:t>
      </w:r>
      <w:r>
        <w:rPr>
          <w:spacing w:val="-5"/>
          <w:sz w:val="16"/>
        </w:rPr>
        <w:t> </w:t>
      </w:r>
      <w:r>
        <w:rPr>
          <w:sz w:val="16"/>
        </w:rPr>
        <w:t>including</w:t>
      </w:r>
      <w:r>
        <w:rPr>
          <w:spacing w:val="-2"/>
          <w:sz w:val="16"/>
        </w:rPr>
        <w:t> </w:t>
      </w:r>
      <w:r>
        <w:rPr>
          <w:sz w:val="16"/>
        </w:rPr>
        <w:t>language</w:t>
      </w:r>
      <w:r>
        <w:rPr>
          <w:spacing w:val="40"/>
          <w:sz w:val="16"/>
        </w:rPr>
        <w:t> </w:t>
      </w:r>
      <w:r>
        <w:rPr>
          <w:sz w:val="16"/>
        </w:rPr>
        <w:t>staff</w:t>
      </w:r>
      <w:r>
        <w:rPr>
          <w:spacing w:val="-2"/>
          <w:sz w:val="16"/>
        </w:rPr>
        <w:t> </w:t>
      </w:r>
      <w:r>
        <w:rPr>
          <w:sz w:val="16"/>
        </w:rPr>
        <w:t>and public</w:t>
      </w:r>
      <w:r>
        <w:rPr>
          <w:spacing w:val="-1"/>
          <w:sz w:val="16"/>
        </w:rPr>
        <w:t> </w:t>
      </w:r>
      <w:r>
        <w:rPr>
          <w:sz w:val="16"/>
        </w:rPr>
        <w:t>information,</w:t>
      </w:r>
      <w:r>
        <w:rPr>
          <w:spacing w:val="-3"/>
          <w:sz w:val="16"/>
        </w:rPr>
        <w:t> </w:t>
      </w:r>
      <w:r>
        <w:rPr>
          <w:sz w:val="16"/>
        </w:rPr>
        <w:t>and the</w:t>
      </w:r>
      <w:r>
        <w:rPr>
          <w:spacing w:val="-1"/>
          <w:sz w:val="16"/>
        </w:rPr>
        <w:t> </w:t>
      </w:r>
      <w:r>
        <w:rPr>
          <w:sz w:val="16"/>
        </w:rPr>
        <w:t>care</w:t>
      </w:r>
      <w:r>
        <w:rPr>
          <w:spacing w:val="-1"/>
          <w:sz w:val="16"/>
        </w:rPr>
        <w:t> </w:t>
      </w:r>
      <w:r>
        <w:rPr>
          <w:sz w:val="16"/>
        </w:rPr>
        <w:t>and protection of</w:t>
      </w:r>
      <w:r>
        <w:rPr>
          <w:spacing w:val="-2"/>
          <w:sz w:val="16"/>
        </w:rPr>
        <w:t> </w:t>
      </w:r>
      <w:r>
        <w:rPr>
          <w:sz w:val="16"/>
        </w:rPr>
        <w:t>its</w:t>
      </w:r>
      <w:r>
        <w:rPr>
          <w:spacing w:val="-2"/>
          <w:sz w:val="16"/>
        </w:rPr>
        <w:t> </w:t>
      </w:r>
      <w:r>
        <w:rPr>
          <w:sz w:val="16"/>
        </w:rPr>
        <w:t>potential</w:t>
      </w:r>
      <w:r>
        <w:rPr>
          <w:spacing w:val="-3"/>
          <w:sz w:val="16"/>
        </w:rPr>
        <w:t> </w:t>
      </w:r>
      <w:r>
        <w:rPr>
          <w:sz w:val="16"/>
        </w:rPr>
        <w:t>witnesses</w:t>
      </w:r>
      <w:r>
        <w:rPr>
          <w:spacing w:val="-2"/>
          <w:sz w:val="16"/>
        </w:rPr>
        <w:t> </w:t>
      </w:r>
      <w:r>
        <w:rPr>
          <w:sz w:val="16"/>
        </w:rPr>
        <w:t>during investigations</w:t>
      </w:r>
      <w:r>
        <w:rPr>
          <w:spacing w:val="-2"/>
          <w:sz w:val="16"/>
        </w:rPr>
        <w:t> </w:t>
      </w:r>
      <w:r>
        <w:rPr>
          <w:sz w:val="16"/>
        </w:rPr>
        <w:t>and also,</w:t>
      </w:r>
      <w:r>
        <w:rPr>
          <w:spacing w:val="-3"/>
          <w:sz w:val="16"/>
        </w:rPr>
        <w:t> </w:t>
      </w:r>
      <w:r>
        <w:rPr>
          <w:sz w:val="16"/>
        </w:rPr>
        <w:t>if</w:t>
      </w:r>
      <w:r>
        <w:rPr>
          <w:spacing w:val="40"/>
          <w:sz w:val="16"/>
        </w:rPr>
        <w:t> </w:t>
      </w:r>
      <w:r>
        <w:rPr>
          <w:sz w:val="16"/>
        </w:rPr>
        <w:t>necessary,</w:t>
      </w:r>
      <w:r>
        <w:rPr>
          <w:spacing w:val="-4"/>
          <w:sz w:val="16"/>
        </w:rPr>
        <w:t> </w:t>
      </w:r>
      <w:r>
        <w:rPr>
          <w:sz w:val="16"/>
        </w:rPr>
        <w:t>while</w:t>
      </w:r>
      <w:r>
        <w:rPr>
          <w:spacing w:val="-2"/>
          <w:sz w:val="16"/>
        </w:rPr>
        <w:t> </w:t>
      </w:r>
      <w:r>
        <w:rPr>
          <w:sz w:val="16"/>
        </w:rPr>
        <w:t>trials</w:t>
      </w:r>
      <w:r>
        <w:rPr>
          <w:spacing w:val="-3"/>
          <w:sz w:val="16"/>
        </w:rPr>
        <w:t> </w:t>
      </w:r>
      <w:r>
        <w:rPr>
          <w:sz w:val="16"/>
        </w:rPr>
        <w:t>are</w:t>
      </w:r>
      <w:r>
        <w:rPr>
          <w:spacing w:val="-2"/>
          <w:sz w:val="16"/>
        </w:rPr>
        <w:t> </w:t>
      </w:r>
      <w:r>
        <w:rPr>
          <w:sz w:val="16"/>
        </w:rPr>
        <w:t>in</w:t>
      </w:r>
      <w:r>
        <w:rPr>
          <w:spacing w:val="-1"/>
          <w:sz w:val="16"/>
        </w:rPr>
        <w:t> </w:t>
      </w:r>
      <w:r>
        <w:rPr>
          <w:sz w:val="16"/>
        </w:rPr>
        <w:t>progress”.</w:t>
      </w:r>
      <w:r>
        <w:rPr>
          <w:spacing w:val="-4"/>
          <w:sz w:val="16"/>
        </w:rPr>
        <w:t> </w:t>
      </w:r>
      <w:r>
        <w:rPr>
          <w:i/>
          <w:sz w:val="16"/>
        </w:rPr>
        <w:t>Report</w:t>
      </w:r>
      <w:r>
        <w:rPr>
          <w:i/>
          <w:spacing w:val="-4"/>
          <w:sz w:val="16"/>
        </w:rPr>
        <w:t> </w:t>
      </w:r>
      <w:r>
        <w:rPr>
          <w:i/>
          <w:sz w:val="16"/>
        </w:rPr>
        <w:t>of</w:t>
      </w:r>
      <w:r>
        <w:rPr>
          <w:i/>
          <w:spacing w:val="-4"/>
          <w:sz w:val="16"/>
        </w:rPr>
        <w:t> </w:t>
      </w:r>
      <w:r>
        <w:rPr>
          <w:i/>
          <w:sz w:val="16"/>
        </w:rPr>
        <w:t>the</w:t>
      </w:r>
      <w:r>
        <w:rPr>
          <w:i/>
          <w:spacing w:val="-2"/>
          <w:sz w:val="16"/>
        </w:rPr>
        <w:t> </w:t>
      </w:r>
      <w:r>
        <w:rPr>
          <w:i/>
          <w:sz w:val="16"/>
        </w:rPr>
        <w:t>Expert</w:t>
      </w:r>
      <w:r>
        <w:rPr>
          <w:i/>
          <w:spacing w:val="-4"/>
          <w:sz w:val="16"/>
        </w:rPr>
        <w:t> </w:t>
      </w:r>
      <w:r>
        <w:rPr>
          <w:i/>
          <w:sz w:val="16"/>
        </w:rPr>
        <w:t>Group</w:t>
      </w:r>
      <w:r>
        <w:rPr>
          <w:i/>
          <w:spacing w:val="-1"/>
          <w:sz w:val="16"/>
        </w:rPr>
        <w:t> </w:t>
      </w:r>
      <w:r>
        <w:rPr>
          <w:i/>
          <w:sz w:val="16"/>
        </w:rPr>
        <w:t>to</w:t>
      </w:r>
      <w:r>
        <w:rPr>
          <w:i/>
          <w:spacing w:val="-1"/>
          <w:sz w:val="16"/>
        </w:rPr>
        <w:t> </w:t>
      </w:r>
      <w:r>
        <w:rPr>
          <w:i/>
          <w:sz w:val="16"/>
        </w:rPr>
        <w:t>Conduct</w:t>
      </w:r>
      <w:r>
        <w:rPr>
          <w:i/>
          <w:spacing w:val="-4"/>
          <w:sz w:val="16"/>
        </w:rPr>
        <w:t> </w:t>
      </w:r>
      <w:r>
        <w:rPr>
          <w:i/>
          <w:sz w:val="16"/>
        </w:rPr>
        <w:t>a</w:t>
      </w:r>
      <w:r>
        <w:rPr>
          <w:i/>
          <w:spacing w:val="-1"/>
          <w:sz w:val="16"/>
        </w:rPr>
        <w:t> </w:t>
      </w:r>
      <w:r>
        <w:rPr>
          <w:i/>
          <w:sz w:val="16"/>
        </w:rPr>
        <w:t>Review</w:t>
      </w:r>
      <w:r>
        <w:rPr>
          <w:i/>
          <w:spacing w:val="-3"/>
          <w:sz w:val="16"/>
        </w:rPr>
        <w:t> </w:t>
      </w:r>
      <w:r>
        <w:rPr>
          <w:i/>
          <w:sz w:val="16"/>
        </w:rPr>
        <w:t>of</w:t>
      </w:r>
      <w:r>
        <w:rPr>
          <w:i/>
          <w:spacing w:val="-4"/>
          <w:sz w:val="16"/>
        </w:rPr>
        <w:t> </w:t>
      </w:r>
      <w:r>
        <w:rPr>
          <w:i/>
          <w:sz w:val="16"/>
        </w:rPr>
        <w:t>the</w:t>
      </w:r>
      <w:r>
        <w:rPr>
          <w:i/>
          <w:spacing w:val="-2"/>
          <w:sz w:val="16"/>
        </w:rPr>
        <w:t> </w:t>
      </w:r>
      <w:r>
        <w:rPr>
          <w:i/>
          <w:sz w:val="16"/>
        </w:rPr>
        <w:t>Effective</w:t>
      </w:r>
      <w:r>
        <w:rPr>
          <w:i/>
          <w:spacing w:val="-2"/>
          <w:sz w:val="16"/>
        </w:rPr>
        <w:t> </w:t>
      </w:r>
      <w:r>
        <w:rPr>
          <w:i/>
          <w:sz w:val="16"/>
        </w:rPr>
        <w:t>Operation</w:t>
      </w:r>
      <w:r>
        <w:rPr>
          <w:i/>
          <w:spacing w:val="40"/>
          <w:sz w:val="16"/>
        </w:rPr>
        <w:t> </w:t>
      </w:r>
      <w:r>
        <w:rPr>
          <w:i/>
          <w:sz w:val="16"/>
        </w:rPr>
        <w:t>and Functioning of the International Tribunal for the Former Yugoslavia and the International Criminal Tribunal</w:t>
      </w:r>
      <w:r>
        <w:rPr>
          <w:i/>
          <w:spacing w:val="40"/>
          <w:sz w:val="16"/>
        </w:rPr>
        <w:t> </w:t>
      </w:r>
      <w:r>
        <w:rPr>
          <w:i/>
          <w:sz w:val="16"/>
        </w:rPr>
        <w:t>for Rwanda</w:t>
      </w:r>
      <w:r>
        <w:rPr>
          <w:sz w:val="16"/>
        </w:rPr>
        <w:t>, UNGA, A/54/634, 22 November 1999.</w:t>
      </w:r>
    </w:p>
    <w:p>
      <w:pPr>
        <w:spacing w:after="0" w:line="240" w:lineRule="auto"/>
        <w:jc w:val="both"/>
        <w:rPr>
          <w:sz w:val="16"/>
        </w:rPr>
        <w:sectPr>
          <w:pgSz w:w="11910" w:h="16840"/>
          <w:pgMar w:header="953" w:footer="940" w:top="1140" w:bottom="1140" w:left="20" w:right="20"/>
        </w:sectPr>
      </w:pPr>
    </w:p>
    <w:p>
      <w:pPr>
        <w:pStyle w:val="BodyText"/>
        <w:spacing w:before="120"/>
        <w:ind w:left="2246" w:right="2195"/>
      </w:pPr>
      <w:r>
        <w:rPr/>
        <w:t>other</w:t>
      </w:r>
      <w:r>
        <w:rPr>
          <w:spacing w:val="-9"/>
        </w:rPr>
        <w:t> </w:t>
      </w:r>
      <w:r>
        <w:rPr/>
        <w:t>stakeholders.</w:t>
      </w:r>
      <w:r>
        <w:rPr>
          <w:spacing w:val="-7"/>
        </w:rPr>
        <w:t> </w:t>
      </w:r>
      <w:r>
        <w:rPr/>
        <w:t>Lastly,</w:t>
      </w:r>
      <w:r>
        <w:rPr>
          <w:spacing w:val="-2"/>
        </w:rPr>
        <w:t> </w:t>
      </w:r>
      <w:r>
        <w:rPr/>
        <w:t>the</w:t>
      </w:r>
      <w:r>
        <w:rPr>
          <w:spacing w:val="-3"/>
        </w:rPr>
        <w:t> </w:t>
      </w:r>
      <w:r>
        <w:rPr/>
        <w:t>senior</w:t>
      </w:r>
      <w:r>
        <w:rPr>
          <w:spacing w:val="-9"/>
        </w:rPr>
        <w:t> </w:t>
      </w:r>
      <w:r>
        <w:rPr/>
        <w:t>manager</w:t>
      </w:r>
      <w:r>
        <w:rPr>
          <w:spacing w:val="-5"/>
        </w:rPr>
        <w:t> </w:t>
      </w:r>
      <w:r>
        <w:rPr/>
        <w:t>represents</w:t>
      </w:r>
      <w:r>
        <w:rPr>
          <w:spacing w:val="-6"/>
        </w:rPr>
        <w:t> </w:t>
      </w:r>
      <w:r>
        <w:rPr/>
        <w:t>the</w:t>
      </w:r>
      <w:r>
        <w:rPr>
          <w:spacing w:val="-8"/>
        </w:rPr>
        <w:t> </w:t>
      </w:r>
      <w:r>
        <w:rPr/>
        <w:t>Office</w:t>
      </w:r>
      <w:r>
        <w:rPr>
          <w:spacing w:val="-3"/>
        </w:rPr>
        <w:t> </w:t>
      </w:r>
      <w:r>
        <w:rPr/>
        <w:t>in</w:t>
      </w:r>
      <w:r>
        <w:rPr>
          <w:spacing w:val="-9"/>
        </w:rPr>
        <w:t> </w:t>
      </w:r>
      <w:r>
        <w:rPr/>
        <w:t>Court-wide</w:t>
      </w:r>
      <w:r>
        <w:rPr>
          <w:spacing w:val="-8"/>
        </w:rPr>
        <w:t> </w:t>
      </w:r>
      <w:r>
        <w:rPr/>
        <w:t>initiatives and projects in this field.</w:t>
      </w:r>
    </w:p>
    <w:p>
      <w:pPr>
        <w:pStyle w:val="ListParagraph"/>
        <w:numPr>
          <w:ilvl w:val="0"/>
          <w:numId w:val="4"/>
        </w:numPr>
        <w:tabs>
          <w:tab w:pos="2967" w:val="left" w:leader="none"/>
        </w:tabs>
        <w:spacing w:line="240" w:lineRule="auto" w:before="121" w:after="0"/>
        <w:ind w:left="2246" w:right="2242" w:firstLine="0"/>
        <w:jc w:val="both"/>
        <w:rPr>
          <w:sz w:val="20"/>
        </w:rPr>
      </w:pPr>
      <w:r>
        <w:rPr>
          <w:sz w:val="20"/>
        </w:rPr>
        <w:t>In furtherance of the commitment to continuous improvement, FPCU has also looked into existing internal procedures to ensure that they incorporate and reflect any changes that may have come about since their initial promulgation and to seize the opportunity for potential improvements within the Office and in the interface with the Registry functions mandated to finalize the affected processes.</w:t>
      </w:r>
      <w:r>
        <w:rPr>
          <w:sz w:val="20"/>
          <w:vertAlign w:val="superscript"/>
        </w:rPr>
        <w:t>54</w:t>
      </w:r>
    </w:p>
    <w:p>
      <w:pPr>
        <w:pStyle w:val="ListParagraph"/>
        <w:numPr>
          <w:ilvl w:val="0"/>
          <w:numId w:val="4"/>
        </w:numPr>
        <w:tabs>
          <w:tab w:pos="2967" w:val="left" w:leader="none"/>
        </w:tabs>
        <w:spacing w:line="240" w:lineRule="auto" w:before="123" w:after="0"/>
        <w:ind w:left="2246" w:right="2236" w:firstLine="0"/>
        <w:jc w:val="both"/>
        <w:rPr>
          <w:sz w:val="20"/>
        </w:rPr>
      </w:pPr>
      <w:r>
        <w:rPr>
          <w:sz w:val="20"/>
        </w:rPr>
        <w:t>FPCU plays a fundamental role, above all, in ensuring that the key functions of monitoring and controlling proper budget implementation and relevant reporting are performed</w:t>
      </w:r>
      <w:r>
        <w:rPr>
          <w:spacing w:val="-13"/>
          <w:sz w:val="20"/>
        </w:rPr>
        <w:t> </w:t>
      </w:r>
      <w:r>
        <w:rPr>
          <w:sz w:val="20"/>
        </w:rPr>
        <w:t>to</w:t>
      </w:r>
      <w:r>
        <w:rPr>
          <w:spacing w:val="-10"/>
          <w:sz w:val="20"/>
        </w:rPr>
        <w:t> </w:t>
      </w:r>
      <w:r>
        <w:rPr>
          <w:sz w:val="20"/>
        </w:rPr>
        <w:t>a</w:t>
      </w:r>
      <w:r>
        <w:rPr>
          <w:spacing w:val="-11"/>
          <w:sz w:val="20"/>
        </w:rPr>
        <w:t> </w:t>
      </w:r>
      <w:r>
        <w:rPr>
          <w:sz w:val="20"/>
        </w:rPr>
        <w:t>high</w:t>
      </w:r>
      <w:r>
        <w:rPr>
          <w:spacing w:val="-8"/>
          <w:sz w:val="20"/>
        </w:rPr>
        <w:t> </w:t>
      </w:r>
      <w:r>
        <w:rPr>
          <w:sz w:val="20"/>
        </w:rPr>
        <w:t>standard.</w:t>
      </w:r>
      <w:r>
        <w:rPr>
          <w:sz w:val="20"/>
          <w:vertAlign w:val="superscript"/>
        </w:rPr>
        <w:t>55</w:t>
      </w:r>
      <w:r>
        <w:rPr>
          <w:spacing w:val="-6"/>
          <w:sz w:val="20"/>
          <w:vertAlign w:val="baseline"/>
        </w:rPr>
        <w:t> </w:t>
      </w:r>
      <w:r>
        <w:rPr>
          <w:sz w:val="20"/>
          <w:vertAlign w:val="baseline"/>
        </w:rPr>
        <w:t>FPCU</w:t>
      </w:r>
      <w:r>
        <w:rPr>
          <w:spacing w:val="-10"/>
          <w:sz w:val="20"/>
          <w:vertAlign w:val="baseline"/>
        </w:rPr>
        <w:t> </w:t>
      </w:r>
      <w:r>
        <w:rPr>
          <w:sz w:val="20"/>
          <w:vertAlign w:val="baseline"/>
        </w:rPr>
        <w:t>ensures</w:t>
      </w:r>
      <w:r>
        <w:rPr>
          <w:spacing w:val="-10"/>
          <w:sz w:val="20"/>
          <w:vertAlign w:val="baseline"/>
        </w:rPr>
        <w:t> </w:t>
      </w:r>
      <w:r>
        <w:rPr>
          <w:sz w:val="20"/>
          <w:vertAlign w:val="baseline"/>
        </w:rPr>
        <w:t>such</w:t>
      </w:r>
      <w:r>
        <w:rPr>
          <w:spacing w:val="-13"/>
          <w:sz w:val="20"/>
          <w:vertAlign w:val="baseline"/>
        </w:rPr>
        <w:t> </w:t>
      </w:r>
      <w:r>
        <w:rPr>
          <w:sz w:val="20"/>
          <w:vertAlign w:val="baseline"/>
        </w:rPr>
        <w:t>controls</w:t>
      </w:r>
      <w:r>
        <w:rPr>
          <w:spacing w:val="-10"/>
          <w:sz w:val="20"/>
          <w:vertAlign w:val="baseline"/>
        </w:rPr>
        <w:t> </w:t>
      </w:r>
      <w:r>
        <w:rPr>
          <w:sz w:val="20"/>
          <w:vertAlign w:val="baseline"/>
        </w:rPr>
        <w:t>on</w:t>
      </w:r>
      <w:r>
        <w:rPr>
          <w:spacing w:val="-13"/>
          <w:sz w:val="20"/>
          <w:vertAlign w:val="baseline"/>
        </w:rPr>
        <w:t> </w:t>
      </w:r>
      <w:r>
        <w:rPr>
          <w:sz w:val="20"/>
          <w:vertAlign w:val="baseline"/>
        </w:rPr>
        <w:t>all</w:t>
      </w:r>
      <w:r>
        <w:rPr>
          <w:spacing w:val="-12"/>
          <w:sz w:val="20"/>
          <w:vertAlign w:val="baseline"/>
        </w:rPr>
        <w:t> </w:t>
      </w:r>
      <w:r>
        <w:rPr>
          <w:sz w:val="20"/>
          <w:vertAlign w:val="baseline"/>
        </w:rPr>
        <w:t>OTP</w:t>
      </w:r>
      <w:r>
        <w:rPr>
          <w:spacing w:val="-13"/>
          <w:sz w:val="20"/>
          <w:vertAlign w:val="baseline"/>
        </w:rPr>
        <w:t> </w:t>
      </w:r>
      <w:r>
        <w:rPr>
          <w:sz w:val="20"/>
          <w:vertAlign w:val="baseline"/>
        </w:rPr>
        <w:t>financial</w:t>
      </w:r>
      <w:r>
        <w:rPr>
          <w:spacing w:val="-12"/>
          <w:sz w:val="20"/>
          <w:vertAlign w:val="baseline"/>
        </w:rPr>
        <w:t> </w:t>
      </w:r>
      <w:r>
        <w:rPr>
          <w:sz w:val="20"/>
          <w:vertAlign w:val="baseline"/>
        </w:rPr>
        <w:t>transactions before they are transmitted to the Registry’s functions for administrative finalization.</w:t>
      </w:r>
      <w:r>
        <w:rPr>
          <w:sz w:val="20"/>
          <w:vertAlign w:val="superscript"/>
        </w:rPr>
        <w:t>56</w:t>
      </w:r>
      <w:r>
        <w:rPr>
          <w:sz w:val="20"/>
          <w:vertAlign w:val="baseline"/>
        </w:rPr>
        <w:t> The volumes have grown significantly since the last workload</w:t>
      </w:r>
      <w:r>
        <w:rPr>
          <w:spacing w:val="-4"/>
          <w:sz w:val="20"/>
          <w:vertAlign w:val="baseline"/>
        </w:rPr>
        <w:t> </w:t>
      </w:r>
      <w:r>
        <w:rPr>
          <w:sz w:val="20"/>
          <w:vertAlign w:val="baseline"/>
        </w:rPr>
        <w:t>assessment. Therefore,</w:t>
      </w:r>
      <w:r>
        <w:rPr>
          <w:spacing w:val="-1"/>
          <w:sz w:val="20"/>
          <w:vertAlign w:val="baseline"/>
        </w:rPr>
        <w:t> </w:t>
      </w:r>
      <w:r>
        <w:rPr>
          <w:sz w:val="20"/>
          <w:vertAlign w:val="baseline"/>
        </w:rPr>
        <w:t>additional resources are justified not only by the volume and diversity of the activities carried out but also by the need for an effective administrative interface and ongoing and smooth relations between</w:t>
      </w:r>
      <w:r>
        <w:rPr>
          <w:spacing w:val="-3"/>
          <w:sz w:val="20"/>
          <w:vertAlign w:val="baseline"/>
        </w:rPr>
        <w:t> </w:t>
      </w:r>
      <w:r>
        <w:rPr>
          <w:sz w:val="20"/>
          <w:vertAlign w:val="baseline"/>
        </w:rPr>
        <w:t>the OTP</w:t>
      </w:r>
      <w:r>
        <w:rPr>
          <w:spacing w:val="-4"/>
          <w:sz w:val="20"/>
          <w:vertAlign w:val="baseline"/>
        </w:rPr>
        <w:t> </w:t>
      </w:r>
      <w:r>
        <w:rPr>
          <w:sz w:val="20"/>
          <w:vertAlign w:val="baseline"/>
        </w:rPr>
        <w:t>and</w:t>
      </w:r>
      <w:r>
        <w:rPr>
          <w:spacing w:val="-3"/>
          <w:sz w:val="20"/>
          <w:vertAlign w:val="baseline"/>
        </w:rPr>
        <w:t> </w:t>
      </w:r>
      <w:r>
        <w:rPr>
          <w:sz w:val="20"/>
          <w:vertAlign w:val="baseline"/>
        </w:rPr>
        <w:t>the Registry. Details on</w:t>
      </w:r>
      <w:r>
        <w:rPr>
          <w:spacing w:val="-3"/>
          <w:sz w:val="20"/>
          <w:vertAlign w:val="baseline"/>
        </w:rPr>
        <w:t> </w:t>
      </w:r>
      <w:r>
        <w:rPr>
          <w:sz w:val="20"/>
          <w:vertAlign w:val="baseline"/>
        </w:rPr>
        <w:t>these requests</w:t>
      </w:r>
      <w:r>
        <w:rPr>
          <w:spacing w:val="-4"/>
          <w:sz w:val="20"/>
          <w:vertAlign w:val="baseline"/>
        </w:rPr>
        <w:t> </w:t>
      </w:r>
      <w:r>
        <w:rPr>
          <w:sz w:val="20"/>
          <w:vertAlign w:val="baseline"/>
        </w:rPr>
        <w:t>are provided</w:t>
      </w:r>
      <w:r>
        <w:rPr>
          <w:spacing w:val="-3"/>
          <w:sz w:val="20"/>
          <w:vertAlign w:val="baseline"/>
        </w:rPr>
        <w:t> </w:t>
      </w:r>
      <w:r>
        <w:rPr>
          <w:sz w:val="20"/>
          <w:vertAlign w:val="baseline"/>
        </w:rPr>
        <w:t>in</w:t>
      </w:r>
      <w:r>
        <w:rPr>
          <w:spacing w:val="-3"/>
          <w:sz w:val="20"/>
          <w:vertAlign w:val="baseline"/>
        </w:rPr>
        <w:t> </w:t>
      </w:r>
      <w:r>
        <w:rPr>
          <w:sz w:val="20"/>
          <w:vertAlign w:val="baseline"/>
        </w:rPr>
        <w:t>paragraph 281.</w:t>
      </w:r>
    </w:p>
    <w:p>
      <w:pPr>
        <w:pStyle w:val="ListParagraph"/>
        <w:numPr>
          <w:ilvl w:val="0"/>
          <w:numId w:val="4"/>
        </w:numPr>
        <w:tabs>
          <w:tab w:pos="2967" w:val="left" w:leader="none"/>
        </w:tabs>
        <w:spacing w:line="240" w:lineRule="auto" w:before="119" w:after="0"/>
        <w:ind w:left="2246" w:right="2246" w:firstLine="0"/>
        <w:jc w:val="both"/>
        <w:rPr>
          <w:sz w:val="20"/>
        </w:rPr>
      </w:pPr>
      <w:r>
        <w:rPr>
          <w:sz w:val="20"/>
        </w:rPr>
        <w:t>In</w:t>
      </w:r>
      <w:r>
        <w:rPr>
          <w:spacing w:val="-5"/>
          <w:sz w:val="20"/>
        </w:rPr>
        <w:t> </w:t>
      </w:r>
      <w:r>
        <w:rPr>
          <w:sz w:val="20"/>
        </w:rPr>
        <w:t>addition,</w:t>
      </w:r>
      <w:r>
        <w:rPr>
          <w:spacing w:val="-3"/>
          <w:sz w:val="20"/>
        </w:rPr>
        <w:t> </w:t>
      </w:r>
      <w:r>
        <w:rPr>
          <w:sz w:val="20"/>
        </w:rPr>
        <w:t>FPCU</w:t>
      </w:r>
      <w:r>
        <w:rPr>
          <w:spacing w:val="-7"/>
          <w:sz w:val="20"/>
        </w:rPr>
        <w:t> </w:t>
      </w:r>
      <w:r>
        <w:rPr>
          <w:sz w:val="20"/>
        </w:rPr>
        <w:t>provides</w:t>
      </w:r>
      <w:r>
        <w:rPr>
          <w:spacing w:val="-7"/>
          <w:sz w:val="20"/>
        </w:rPr>
        <w:t> </w:t>
      </w:r>
      <w:r>
        <w:rPr>
          <w:sz w:val="20"/>
        </w:rPr>
        <w:t>OTP</w:t>
      </w:r>
      <w:r>
        <w:rPr>
          <w:spacing w:val="-7"/>
          <w:sz w:val="20"/>
        </w:rPr>
        <w:t> </w:t>
      </w:r>
      <w:r>
        <w:rPr>
          <w:sz w:val="20"/>
        </w:rPr>
        <w:t>senior</w:t>
      </w:r>
      <w:r>
        <w:rPr>
          <w:spacing w:val="-9"/>
          <w:sz w:val="20"/>
        </w:rPr>
        <w:t> </w:t>
      </w:r>
      <w:r>
        <w:rPr>
          <w:sz w:val="20"/>
        </w:rPr>
        <w:t>management</w:t>
      </w:r>
      <w:r>
        <w:rPr>
          <w:spacing w:val="-4"/>
          <w:sz w:val="20"/>
        </w:rPr>
        <w:t> </w:t>
      </w:r>
      <w:r>
        <w:rPr>
          <w:sz w:val="20"/>
        </w:rPr>
        <w:t>with</w:t>
      </w:r>
      <w:r>
        <w:rPr>
          <w:spacing w:val="-9"/>
          <w:sz w:val="20"/>
        </w:rPr>
        <w:t> </w:t>
      </w:r>
      <w:r>
        <w:rPr>
          <w:sz w:val="20"/>
        </w:rPr>
        <w:t>analyses</w:t>
      </w:r>
      <w:r>
        <w:rPr>
          <w:spacing w:val="-11"/>
          <w:sz w:val="20"/>
        </w:rPr>
        <w:t> </w:t>
      </w:r>
      <w:r>
        <w:rPr>
          <w:sz w:val="20"/>
        </w:rPr>
        <w:t>and</w:t>
      </w:r>
      <w:r>
        <w:rPr>
          <w:spacing w:val="-9"/>
          <w:sz w:val="20"/>
        </w:rPr>
        <w:t> </w:t>
      </w:r>
      <w:r>
        <w:rPr>
          <w:sz w:val="20"/>
        </w:rPr>
        <w:t>evaluations of trends and of the potential financial impact of Office operations during budget implementation, so that the Prosecutor may be promptly and transparently advised on ways to achieve the OTP’s goals in full compliance with the Court’s financial and governance </w:t>
      </w:r>
      <w:r>
        <w:rPr>
          <w:spacing w:val="-2"/>
          <w:sz w:val="20"/>
        </w:rPr>
        <w:t>framework.</w:t>
      </w:r>
    </w:p>
    <w:p>
      <w:pPr>
        <w:pStyle w:val="ListParagraph"/>
        <w:numPr>
          <w:ilvl w:val="0"/>
          <w:numId w:val="4"/>
        </w:numPr>
        <w:tabs>
          <w:tab w:pos="2967" w:val="left" w:leader="none"/>
        </w:tabs>
        <w:spacing w:line="240" w:lineRule="auto" w:before="122" w:after="0"/>
        <w:ind w:left="2246" w:right="2241" w:firstLine="0"/>
        <w:jc w:val="both"/>
        <w:rPr>
          <w:sz w:val="20"/>
        </w:rPr>
      </w:pPr>
      <w:r>
        <w:rPr>
          <w:sz w:val="20"/>
        </w:rPr>
        <w:t>FPCU</w:t>
      </w:r>
      <w:r>
        <w:rPr>
          <w:spacing w:val="-1"/>
          <w:sz w:val="20"/>
        </w:rPr>
        <w:t> </w:t>
      </w:r>
      <w:r>
        <w:rPr>
          <w:sz w:val="20"/>
        </w:rPr>
        <w:t>is</w:t>
      </w:r>
      <w:r>
        <w:rPr>
          <w:spacing w:val="-6"/>
          <w:sz w:val="20"/>
        </w:rPr>
        <w:t> </w:t>
      </w:r>
      <w:r>
        <w:rPr>
          <w:sz w:val="20"/>
        </w:rPr>
        <w:t>engaged</w:t>
      </w:r>
      <w:r>
        <w:rPr>
          <w:spacing w:val="-5"/>
          <w:sz w:val="20"/>
        </w:rPr>
        <w:t> </w:t>
      </w:r>
      <w:r>
        <w:rPr>
          <w:sz w:val="20"/>
        </w:rPr>
        <w:t>in</w:t>
      </w:r>
      <w:r>
        <w:rPr>
          <w:spacing w:val="-5"/>
          <w:sz w:val="20"/>
        </w:rPr>
        <w:t> </w:t>
      </w:r>
      <w:r>
        <w:rPr>
          <w:sz w:val="20"/>
        </w:rPr>
        <w:t>the</w:t>
      </w:r>
      <w:r>
        <w:rPr>
          <w:spacing w:val="-3"/>
          <w:sz w:val="20"/>
        </w:rPr>
        <w:t> </w:t>
      </w:r>
      <w:r>
        <w:rPr>
          <w:sz w:val="20"/>
        </w:rPr>
        <w:t>continuous</w:t>
      </w:r>
      <w:r>
        <w:rPr>
          <w:spacing w:val="-6"/>
          <w:sz w:val="20"/>
        </w:rPr>
        <w:t> </w:t>
      </w:r>
      <w:r>
        <w:rPr>
          <w:sz w:val="20"/>
        </w:rPr>
        <w:t>improvement</w:t>
      </w:r>
      <w:r>
        <w:rPr>
          <w:spacing w:val="-8"/>
          <w:sz w:val="20"/>
        </w:rPr>
        <w:t> </w:t>
      </w:r>
      <w:r>
        <w:rPr>
          <w:sz w:val="20"/>
        </w:rPr>
        <w:t>of</w:t>
      </w:r>
      <w:r>
        <w:rPr>
          <w:spacing w:val="-5"/>
          <w:sz w:val="20"/>
        </w:rPr>
        <w:t> </w:t>
      </w:r>
      <w:r>
        <w:rPr>
          <w:sz w:val="20"/>
        </w:rPr>
        <w:t>the</w:t>
      </w:r>
      <w:r>
        <w:rPr>
          <w:spacing w:val="-3"/>
          <w:sz w:val="20"/>
        </w:rPr>
        <w:t> </w:t>
      </w:r>
      <w:r>
        <w:rPr>
          <w:sz w:val="20"/>
        </w:rPr>
        <w:t>quality</w:t>
      </w:r>
      <w:r>
        <w:rPr>
          <w:spacing w:val="-5"/>
          <w:sz w:val="20"/>
        </w:rPr>
        <w:t> </w:t>
      </w:r>
      <w:r>
        <w:rPr>
          <w:sz w:val="20"/>
        </w:rPr>
        <w:t>of</w:t>
      </w:r>
      <w:r>
        <w:rPr>
          <w:spacing w:val="-5"/>
          <w:sz w:val="20"/>
        </w:rPr>
        <w:t> </w:t>
      </w:r>
      <w:r>
        <w:rPr>
          <w:sz w:val="20"/>
        </w:rPr>
        <w:t>its</w:t>
      </w:r>
      <w:r>
        <w:rPr>
          <w:spacing w:val="-1"/>
          <w:sz w:val="20"/>
        </w:rPr>
        <w:t> </w:t>
      </w:r>
      <w:r>
        <w:rPr>
          <w:sz w:val="20"/>
        </w:rPr>
        <w:t>processes</w:t>
      </w:r>
      <w:r>
        <w:rPr>
          <w:spacing w:val="-6"/>
          <w:sz w:val="20"/>
        </w:rPr>
        <w:t> </w:t>
      </w:r>
      <w:r>
        <w:rPr>
          <w:sz w:val="20"/>
        </w:rPr>
        <w:t>and in the timeliness and accuracy of the information it provides to the Office to assist management in the decision-making process. A new and more detailed dashboard has been designed</w:t>
      </w:r>
      <w:r>
        <w:rPr>
          <w:spacing w:val="-3"/>
          <w:sz w:val="20"/>
        </w:rPr>
        <w:t> </w:t>
      </w:r>
      <w:r>
        <w:rPr>
          <w:sz w:val="20"/>
        </w:rPr>
        <w:t>and</w:t>
      </w:r>
      <w:r>
        <w:rPr>
          <w:spacing w:val="-3"/>
          <w:sz w:val="20"/>
        </w:rPr>
        <w:t> </w:t>
      </w:r>
      <w:r>
        <w:rPr>
          <w:sz w:val="20"/>
        </w:rPr>
        <w:t>is</w:t>
      </w:r>
      <w:r>
        <w:rPr>
          <w:spacing w:val="-4"/>
          <w:sz w:val="20"/>
        </w:rPr>
        <w:t> </w:t>
      </w:r>
      <w:r>
        <w:rPr>
          <w:sz w:val="20"/>
        </w:rPr>
        <w:t>currently being</w:t>
      </w:r>
      <w:r>
        <w:rPr>
          <w:spacing w:val="-3"/>
          <w:sz w:val="20"/>
        </w:rPr>
        <w:t> </w:t>
      </w:r>
      <w:r>
        <w:rPr>
          <w:sz w:val="20"/>
        </w:rPr>
        <w:t>implemented with</w:t>
      </w:r>
      <w:r>
        <w:rPr>
          <w:spacing w:val="-3"/>
          <w:sz w:val="20"/>
        </w:rPr>
        <w:t> </w:t>
      </w:r>
      <w:r>
        <w:rPr>
          <w:sz w:val="20"/>
        </w:rPr>
        <w:t>the</w:t>
      </w:r>
      <w:r>
        <w:rPr>
          <w:spacing w:val="-1"/>
          <w:sz w:val="20"/>
        </w:rPr>
        <w:t> </w:t>
      </w:r>
      <w:r>
        <w:rPr>
          <w:sz w:val="20"/>
        </w:rPr>
        <w:t>assistance</w:t>
      </w:r>
      <w:r>
        <w:rPr>
          <w:spacing w:val="-1"/>
          <w:sz w:val="20"/>
        </w:rPr>
        <w:t> </w:t>
      </w:r>
      <w:r>
        <w:rPr>
          <w:sz w:val="20"/>
        </w:rPr>
        <w:t>of</w:t>
      </w:r>
      <w:r>
        <w:rPr>
          <w:spacing w:val="-3"/>
          <w:sz w:val="20"/>
        </w:rPr>
        <w:t> </w:t>
      </w:r>
      <w:r>
        <w:rPr>
          <w:sz w:val="20"/>
        </w:rPr>
        <w:t>the</w:t>
      </w:r>
      <w:r>
        <w:rPr>
          <w:spacing w:val="-1"/>
          <w:sz w:val="20"/>
        </w:rPr>
        <w:t> </w:t>
      </w:r>
      <w:r>
        <w:rPr>
          <w:sz w:val="20"/>
        </w:rPr>
        <w:t>relevant functions</w:t>
      </w:r>
      <w:r>
        <w:rPr>
          <w:spacing w:val="-4"/>
          <w:sz w:val="20"/>
        </w:rPr>
        <w:t> </w:t>
      </w:r>
      <w:r>
        <w:rPr>
          <w:sz w:val="20"/>
        </w:rPr>
        <w:t>of the Registry.</w:t>
      </w:r>
    </w:p>
    <w:p>
      <w:pPr>
        <w:pStyle w:val="BodyText"/>
        <w:spacing w:before="8"/>
      </w:pPr>
    </w:p>
    <w:p>
      <w:pPr>
        <w:pStyle w:val="Heading3"/>
        <w:numPr>
          <w:ilvl w:val="0"/>
          <w:numId w:val="6"/>
        </w:numPr>
        <w:tabs>
          <w:tab w:pos="2246" w:val="left" w:leader="none"/>
          <w:tab w:pos="2247" w:val="left" w:leader="none"/>
        </w:tabs>
        <w:spacing w:line="240" w:lineRule="auto" w:before="0" w:after="0"/>
        <w:ind w:left="2246" w:right="0" w:hanging="568"/>
        <w:jc w:val="left"/>
      </w:pPr>
      <w:r>
        <w:rPr/>
        <w:t>OTP-HR</w:t>
      </w:r>
      <w:r>
        <w:rPr>
          <w:spacing w:val="-6"/>
        </w:rPr>
        <w:t> </w:t>
      </w:r>
      <w:r>
        <w:rPr>
          <w:spacing w:val="-2"/>
        </w:rPr>
        <w:t>Office</w:t>
      </w:r>
    </w:p>
    <w:p>
      <w:pPr>
        <w:pStyle w:val="BodyText"/>
        <w:spacing w:before="10"/>
        <w:rPr>
          <w:b/>
        </w:rPr>
      </w:pPr>
    </w:p>
    <w:p>
      <w:pPr>
        <w:pStyle w:val="ListParagraph"/>
        <w:numPr>
          <w:ilvl w:val="0"/>
          <w:numId w:val="4"/>
        </w:numPr>
        <w:tabs>
          <w:tab w:pos="2967" w:val="left" w:leader="none"/>
        </w:tabs>
        <w:spacing w:line="240" w:lineRule="auto" w:before="1" w:after="0"/>
        <w:ind w:left="2246" w:right="2242" w:firstLine="0"/>
        <w:jc w:val="both"/>
        <w:rPr>
          <w:sz w:val="20"/>
        </w:rPr>
      </w:pPr>
      <w:r>
        <w:rPr>
          <w:sz w:val="20"/>
        </w:rPr>
        <w:t>The</w:t>
      </w:r>
      <w:r>
        <w:rPr>
          <w:spacing w:val="-1"/>
          <w:sz w:val="20"/>
        </w:rPr>
        <w:t> </w:t>
      </w:r>
      <w:r>
        <w:rPr>
          <w:sz w:val="20"/>
        </w:rPr>
        <w:t>OTP-HR</w:t>
      </w:r>
      <w:r>
        <w:rPr>
          <w:spacing w:val="-3"/>
          <w:sz w:val="20"/>
        </w:rPr>
        <w:t> </w:t>
      </w:r>
      <w:r>
        <w:rPr>
          <w:sz w:val="20"/>
        </w:rPr>
        <w:t>Office</w:t>
      </w:r>
      <w:r>
        <w:rPr>
          <w:spacing w:val="-1"/>
          <w:sz w:val="20"/>
        </w:rPr>
        <w:t> </w:t>
      </w:r>
      <w:r>
        <w:rPr>
          <w:sz w:val="20"/>
        </w:rPr>
        <w:t>(OTP-HR)</w:t>
      </w:r>
      <w:r>
        <w:rPr>
          <w:spacing w:val="-3"/>
          <w:sz w:val="20"/>
        </w:rPr>
        <w:t> </w:t>
      </w:r>
      <w:r>
        <w:rPr>
          <w:sz w:val="20"/>
        </w:rPr>
        <w:t>manages</w:t>
      </w:r>
      <w:r>
        <w:rPr>
          <w:spacing w:val="-4"/>
          <w:sz w:val="20"/>
        </w:rPr>
        <w:t> </w:t>
      </w:r>
      <w:r>
        <w:rPr>
          <w:sz w:val="20"/>
        </w:rPr>
        <w:t>the human</w:t>
      </w:r>
      <w:r>
        <w:rPr>
          <w:spacing w:val="-3"/>
          <w:sz w:val="20"/>
        </w:rPr>
        <w:t> </w:t>
      </w:r>
      <w:r>
        <w:rPr>
          <w:sz w:val="20"/>
        </w:rPr>
        <w:t>resources needs</w:t>
      </w:r>
      <w:r>
        <w:rPr>
          <w:spacing w:val="-4"/>
          <w:sz w:val="20"/>
        </w:rPr>
        <w:t> </w:t>
      </w:r>
      <w:r>
        <w:rPr>
          <w:sz w:val="20"/>
        </w:rPr>
        <w:t>of</w:t>
      </w:r>
      <w:r>
        <w:rPr>
          <w:spacing w:val="-3"/>
          <w:sz w:val="20"/>
        </w:rPr>
        <w:t> </w:t>
      </w:r>
      <w:r>
        <w:rPr>
          <w:sz w:val="20"/>
        </w:rPr>
        <w:t>the</w:t>
      </w:r>
      <w:r>
        <w:rPr>
          <w:spacing w:val="-1"/>
          <w:sz w:val="20"/>
        </w:rPr>
        <w:t> </w:t>
      </w:r>
      <w:r>
        <w:rPr>
          <w:sz w:val="20"/>
        </w:rPr>
        <w:t>OTP</w:t>
      </w:r>
      <w:r>
        <w:rPr>
          <w:spacing w:val="-4"/>
          <w:sz w:val="20"/>
        </w:rPr>
        <w:t> </w:t>
      </w:r>
      <w:r>
        <w:rPr>
          <w:sz w:val="20"/>
        </w:rPr>
        <w:t>in a continuum of</w:t>
      </w:r>
      <w:r>
        <w:rPr>
          <w:spacing w:val="-5"/>
          <w:sz w:val="20"/>
        </w:rPr>
        <w:t> </w:t>
      </w:r>
      <w:r>
        <w:rPr>
          <w:sz w:val="20"/>
        </w:rPr>
        <w:t>services</w:t>
      </w:r>
      <w:r>
        <w:rPr>
          <w:spacing w:val="-1"/>
          <w:sz w:val="20"/>
        </w:rPr>
        <w:t> </w:t>
      </w:r>
      <w:r>
        <w:rPr>
          <w:sz w:val="20"/>
        </w:rPr>
        <w:t>and business</w:t>
      </w:r>
      <w:r>
        <w:rPr>
          <w:spacing w:val="-1"/>
          <w:sz w:val="20"/>
        </w:rPr>
        <w:t> </w:t>
      </w:r>
      <w:r>
        <w:rPr>
          <w:sz w:val="20"/>
        </w:rPr>
        <w:t>partnership with</w:t>
      </w:r>
      <w:r>
        <w:rPr>
          <w:spacing w:val="-5"/>
          <w:sz w:val="20"/>
        </w:rPr>
        <w:t> </w:t>
      </w:r>
      <w:r>
        <w:rPr>
          <w:sz w:val="20"/>
        </w:rPr>
        <w:t>the</w:t>
      </w:r>
      <w:r>
        <w:rPr>
          <w:spacing w:val="-3"/>
          <w:sz w:val="20"/>
        </w:rPr>
        <w:t> </w:t>
      </w:r>
      <w:r>
        <w:rPr>
          <w:sz w:val="20"/>
        </w:rPr>
        <w:t>Human</w:t>
      </w:r>
      <w:r>
        <w:rPr>
          <w:spacing w:val="-5"/>
          <w:sz w:val="20"/>
        </w:rPr>
        <w:t> </w:t>
      </w:r>
      <w:r>
        <w:rPr>
          <w:sz w:val="20"/>
        </w:rPr>
        <w:t>Resources</w:t>
      </w:r>
      <w:r>
        <w:rPr>
          <w:spacing w:val="-1"/>
          <w:sz w:val="20"/>
        </w:rPr>
        <w:t> </w:t>
      </w:r>
      <w:r>
        <w:rPr>
          <w:sz w:val="20"/>
        </w:rPr>
        <w:t>Section (HRS) of the Registry to ensure a well-qualified and motivated workforce as well as the provision of strategic HR advice to the Prosecutor.</w:t>
      </w:r>
    </w:p>
    <w:p>
      <w:pPr>
        <w:pStyle w:val="ListParagraph"/>
        <w:numPr>
          <w:ilvl w:val="0"/>
          <w:numId w:val="4"/>
        </w:numPr>
        <w:tabs>
          <w:tab w:pos="2967" w:val="left" w:leader="none"/>
        </w:tabs>
        <w:spacing w:line="240" w:lineRule="auto" w:before="121" w:after="0"/>
        <w:ind w:left="2246" w:right="2243" w:firstLine="0"/>
        <w:jc w:val="both"/>
        <w:rPr>
          <w:sz w:val="20"/>
        </w:rPr>
      </w:pPr>
      <w:r>
        <w:rPr>
          <w:sz w:val="20"/>
        </w:rPr>
        <w:t>In line with article 42(2) of the Rome Statute, OTP-HR manages all OTP human resource management matters and staff requests requiring the Prosecutor’s consideration and/or</w:t>
      </w:r>
      <w:r>
        <w:rPr>
          <w:spacing w:val="-13"/>
          <w:sz w:val="20"/>
        </w:rPr>
        <w:t> </w:t>
      </w:r>
      <w:r>
        <w:rPr>
          <w:sz w:val="20"/>
        </w:rPr>
        <w:t>approval</w:t>
      </w:r>
      <w:r>
        <w:rPr>
          <w:spacing w:val="-12"/>
          <w:sz w:val="20"/>
        </w:rPr>
        <w:t> </w:t>
      </w:r>
      <w:r>
        <w:rPr>
          <w:sz w:val="20"/>
        </w:rPr>
        <w:t>pursuant</w:t>
      </w:r>
      <w:r>
        <w:rPr>
          <w:spacing w:val="-13"/>
          <w:sz w:val="20"/>
        </w:rPr>
        <w:t> </w:t>
      </w:r>
      <w:r>
        <w:rPr>
          <w:sz w:val="20"/>
        </w:rPr>
        <w:t>to</w:t>
      </w:r>
      <w:r>
        <w:rPr>
          <w:spacing w:val="-12"/>
          <w:sz w:val="20"/>
        </w:rPr>
        <w:t> </w:t>
      </w:r>
      <w:r>
        <w:rPr>
          <w:sz w:val="20"/>
        </w:rPr>
        <w:t>the</w:t>
      </w:r>
      <w:r>
        <w:rPr>
          <w:spacing w:val="-13"/>
          <w:sz w:val="20"/>
        </w:rPr>
        <w:t> </w:t>
      </w:r>
      <w:r>
        <w:rPr>
          <w:sz w:val="20"/>
        </w:rPr>
        <w:t>Staff</w:t>
      </w:r>
      <w:r>
        <w:rPr>
          <w:spacing w:val="-12"/>
          <w:sz w:val="20"/>
        </w:rPr>
        <w:t> </w:t>
      </w:r>
      <w:r>
        <w:rPr>
          <w:sz w:val="20"/>
        </w:rPr>
        <w:t>Regulations</w:t>
      </w:r>
      <w:r>
        <w:rPr>
          <w:spacing w:val="-13"/>
          <w:sz w:val="20"/>
        </w:rPr>
        <w:t> </w:t>
      </w:r>
      <w:r>
        <w:rPr>
          <w:sz w:val="20"/>
        </w:rPr>
        <w:t>and</w:t>
      </w:r>
      <w:r>
        <w:rPr>
          <w:spacing w:val="-12"/>
          <w:sz w:val="20"/>
        </w:rPr>
        <w:t> </w:t>
      </w:r>
      <w:r>
        <w:rPr>
          <w:sz w:val="20"/>
        </w:rPr>
        <w:t>Rules</w:t>
      </w:r>
      <w:r>
        <w:rPr>
          <w:spacing w:val="-13"/>
          <w:sz w:val="20"/>
        </w:rPr>
        <w:t> </w:t>
      </w:r>
      <w:r>
        <w:rPr>
          <w:sz w:val="20"/>
        </w:rPr>
        <w:t>and</w:t>
      </w:r>
      <w:r>
        <w:rPr>
          <w:spacing w:val="-12"/>
          <w:sz w:val="20"/>
        </w:rPr>
        <w:t> </w:t>
      </w:r>
      <w:r>
        <w:rPr>
          <w:sz w:val="20"/>
        </w:rPr>
        <w:t>other</w:t>
      </w:r>
      <w:r>
        <w:rPr>
          <w:spacing w:val="-13"/>
          <w:sz w:val="20"/>
        </w:rPr>
        <w:t> </w:t>
      </w:r>
      <w:r>
        <w:rPr>
          <w:sz w:val="20"/>
        </w:rPr>
        <w:t>applicable</w:t>
      </w:r>
      <w:r>
        <w:rPr>
          <w:spacing w:val="-12"/>
          <w:sz w:val="20"/>
        </w:rPr>
        <w:t> </w:t>
      </w:r>
      <w:r>
        <w:rPr>
          <w:sz w:val="20"/>
        </w:rPr>
        <w:t>instruments. It closely coordinates and liaises with HRS on human resources policy formulation and </w:t>
      </w:r>
      <w:r>
        <w:rPr>
          <w:spacing w:val="-2"/>
          <w:sz w:val="20"/>
        </w:rPr>
        <w:t>implementation.</w:t>
      </w:r>
    </w:p>
    <w:p>
      <w:pPr>
        <w:pStyle w:val="ListParagraph"/>
        <w:numPr>
          <w:ilvl w:val="0"/>
          <w:numId w:val="4"/>
        </w:numPr>
        <w:tabs>
          <w:tab w:pos="2967" w:val="left" w:leader="none"/>
        </w:tabs>
        <w:spacing w:line="240" w:lineRule="auto" w:before="118" w:after="0"/>
        <w:ind w:left="2246" w:right="2236" w:firstLine="0"/>
        <w:jc w:val="both"/>
        <w:rPr>
          <w:sz w:val="20"/>
        </w:rPr>
      </w:pPr>
      <w:r>
        <w:rPr>
          <w:sz w:val="20"/>
        </w:rPr>
        <w:t>The</w:t>
      </w:r>
      <w:r>
        <w:rPr>
          <w:spacing w:val="-2"/>
          <w:sz w:val="20"/>
        </w:rPr>
        <w:t> </w:t>
      </w:r>
      <w:r>
        <w:rPr>
          <w:sz w:val="20"/>
        </w:rPr>
        <w:t>synergies</w:t>
      </w:r>
      <w:r>
        <w:rPr>
          <w:spacing w:val="-10"/>
          <w:sz w:val="20"/>
        </w:rPr>
        <w:t> </w:t>
      </w:r>
      <w:r>
        <w:rPr>
          <w:sz w:val="20"/>
        </w:rPr>
        <w:t>exercise</w:t>
      </w:r>
      <w:r>
        <w:rPr>
          <w:spacing w:val="-2"/>
          <w:sz w:val="20"/>
        </w:rPr>
        <w:t> </w:t>
      </w:r>
      <w:r>
        <w:rPr>
          <w:sz w:val="20"/>
        </w:rPr>
        <w:t>performed</w:t>
      </w:r>
      <w:r>
        <w:rPr>
          <w:spacing w:val="-4"/>
          <w:sz w:val="20"/>
        </w:rPr>
        <w:t> </w:t>
      </w:r>
      <w:r>
        <w:rPr>
          <w:sz w:val="20"/>
        </w:rPr>
        <w:t>by</w:t>
      </w:r>
      <w:r>
        <w:rPr>
          <w:spacing w:val="-8"/>
          <w:sz w:val="20"/>
        </w:rPr>
        <w:t> </w:t>
      </w:r>
      <w:r>
        <w:rPr>
          <w:sz w:val="20"/>
        </w:rPr>
        <w:t>the</w:t>
      </w:r>
      <w:r>
        <w:rPr>
          <w:spacing w:val="-7"/>
          <w:sz w:val="20"/>
        </w:rPr>
        <w:t> </w:t>
      </w:r>
      <w:r>
        <w:rPr>
          <w:sz w:val="20"/>
        </w:rPr>
        <w:t>Court</w:t>
      </w:r>
      <w:r>
        <w:rPr>
          <w:spacing w:val="-7"/>
          <w:sz w:val="20"/>
        </w:rPr>
        <w:t> </w:t>
      </w:r>
      <w:r>
        <w:rPr>
          <w:sz w:val="20"/>
        </w:rPr>
        <w:t>and</w:t>
      </w:r>
      <w:r>
        <w:rPr>
          <w:spacing w:val="-4"/>
          <w:sz w:val="20"/>
        </w:rPr>
        <w:t> </w:t>
      </w:r>
      <w:r>
        <w:rPr>
          <w:sz w:val="20"/>
        </w:rPr>
        <w:t>presented</w:t>
      </w:r>
      <w:r>
        <w:rPr>
          <w:spacing w:val="-8"/>
          <w:sz w:val="20"/>
        </w:rPr>
        <w:t> </w:t>
      </w:r>
      <w:r>
        <w:rPr>
          <w:sz w:val="20"/>
        </w:rPr>
        <w:t>to</w:t>
      </w:r>
      <w:r>
        <w:rPr>
          <w:spacing w:val="-4"/>
          <w:sz w:val="20"/>
        </w:rPr>
        <w:t> </w:t>
      </w:r>
      <w:r>
        <w:rPr>
          <w:sz w:val="20"/>
        </w:rPr>
        <w:t>the</w:t>
      </w:r>
      <w:r>
        <w:rPr>
          <w:spacing w:val="-7"/>
          <w:sz w:val="20"/>
        </w:rPr>
        <w:t> </w:t>
      </w:r>
      <w:r>
        <w:rPr>
          <w:sz w:val="20"/>
        </w:rPr>
        <w:t>Committee</w:t>
      </w:r>
      <w:r>
        <w:rPr>
          <w:spacing w:val="-7"/>
          <w:sz w:val="20"/>
        </w:rPr>
        <w:t> </w:t>
      </w:r>
      <w:r>
        <w:rPr>
          <w:sz w:val="20"/>
        </w:rPr>
        <w:t>and the Assembly</w:t>
      </w:r>
      <w:r>
        <w:rPr>
          <w:sz w:val="20"/>
          <w:vertAlign w:val="superscript"/>
        </w:rPr>
        <w:t>57</w:t>
      </w:r>
      <w:r>
        <w:rPr>
          <w:sz w:val="20"/>
          <w:vertAlign w:val="baseline"/>
        </w:rPr>
        <w:t> found strong coordination and a continuum of services between HRS and OTP-HR. In effect, OTP-HR allows for the direct provision of strategic human resource management advice to the Prosecutor, utilizing an embedded group of human resource professionals</w:t>
      </w:r>
      <w:r>
        <w:rPr>
          <w:spacing w:val="-4"/>
          <w:sz w:val="20"/>
          <w:vertAlign w:val="baseline"/>
        </w:rPr>
        <w:t> </w:t>
      </w:r>
      <w:r>
        <w:rPr>
          <w:sz w:val="20"/>
          <w:vertAlign w:val="baseline"/>
        </w:rPr>
        <w:t>with</w:t>
      </w:r>
      <w:r>
        <w:rPr>
          <w:spacing w:val="-3"/>
          <w:sz w:val="20"/>
          <w:vertAlign w:val="baseline"/>
        </w:rPr>
        <w:t> </w:t>
      </w:r>
      <w:r>
        <w:rPr>
          <w:sz w:val="20"/>
          <w:vertAlign w:val="baseline"/>
        </w:rPr>
        <w:t>their finger</w:t>
      </w:r>
      <w:r>
        <w:rPr>
          <w:spacing w:val="-3"/>
          <w:sz w:val="20"/>
          <w:vertAlign w:val="baseline"/>
        </w:rPr>
        <w:t> </w:t>
      </w:r>
      <w:r>
        <w:rPr>
          <w:sz w:val="20"/>
          <w:vertAlign w:val="baseline"/>
        </w:rPr>
        <w:t>on</w:t>
      </w:r>
      <w:r>
        <w:rPr>
          <w:spacing w:val="-3"/>
          <w:sz w:val="20"/>
          <w:vertAlign w:val="baseline"/>
        </w:rPr>
        <w:t> </w:t>
      </w:r>
      <w:r>
        <w:rPr>
          <w:sz w:val="20"/>
          <w:vertAlign w:val="baseline"/>
        </w:rPr>
        <w:t>the</w:t>
      </w:r>
      <w:r>
        <w:rPr>
          <w:spacing w:val="-1"/>
          <w:sz w:val="20"/>
          <w:vertAlign w:val="baseline"/>
        </w:rPr>
        <w:t> </w:t>
      </w:r>
      <w:r>
        <w:rPr>
          <w:sz w:val="20"/>
          <w:vertAlign w:val="baseline"/>
        </w:rPr>
        <w:t>pulse</w:t>
      </w:r>
      <w:r>
        <w:rPr>
          <w:spacing w:val="-1"/>
          <w:sz w:val="20"/>
          <w:vertAlign w:val="baseline"/>
        </w:rPr>
        <w:t> </w:t>
      </w:r>
      <w:r>
        <w:rPr>
          <w:sz w:val="20"/>
          <w:vertAlign w:val="baseline"/>
        </w:rPr>
        <w:t>of</w:t>
      </w:r>
      <w:r>
        <w:rPr>
          <w:spacing w:val="-3"/>
          <w:sz w:val="20"/>
          <w:vertAlign w:val="baseline"/>
        </w:rPr>
        <w:t> </w:t>
      </w:r>
      <w:r>
        <w:rPr>
          <w:sz w:val="20"/>
          <w:vertAlign w:val="baseline"/>
        </w:rPr>
        <w:t>the</w:t>
      </w:r>
      <w:r>
        <w:rPr>
          <w:spacing w:val="-1"/>
          <w:sz w:val="20"/>
          <w:vertAlign w:val="baseline"/>
        </w:rPr>
        <w:t> </w:t>
      </w:r>
      <w:r>
        <w:rPr>
          <w:sz w:val="20"/>
          <w:vertAlign w:val="baseline"/>
        </w:rPr>
        <w:t>needs</w:t>
      </w:r>
      <w:r>
        <w:rPr>
          <w:spacing w:val="-4"/>
          <w:sz w:val="20"/>
          <w:vertAlign w:val="baseline"/>
        </w:rPr>
        <w:t> </w:t>
      </w:r>
      <w:r>
        <w:rPr>
          <w:sz w:val="20"/>
          <w:vertAlign w:val="baseline"/>
        </w:rPr>
        <w:t>of</w:t>
      </w:r>
      <w:r>
        <w:rPr>
          <w:spacing w:val="-3"/>
          <w:sz w:val="20"/>
          <w:vertAlign w:val="baseline"/>
        </w:rPr>
        <w:t> </w:t>
      </w:r>
      <w:r>
        <w:rPr>
          <w:sz w:val="20"/>
          <w:vertAlign w:val="baseline"/>
        </w:rPr>
        <w:t>the OTP</w:t>
      </w:r>
      <w:r>
        <w:rPr>
          <w:spacing w:val="-4"/>
          <w:sz w:val="20"/>
          <w:vertAlign w:val="baseline"/>
        </w:rPr>
        <w:t> </w:t>
      </w:r>
      <w:r>
        <w:rPr>
          <w:sz w:val="20"/>
          <w:vertAlign w:val="baseline"/>
        </w:rPr>
        <w:t>and</w:t>
      </w:r>
      <w:r>
        <w:rPr>
          <w:spacing w:val="-3"/>
          <w:sz w:val="20"/>
          <w:vertAlign w:val="baseline"/>
        </w:rPr>
        <w:t> </w:t>
      </w:r>
      <w:r>
        <w:rPr>
          <w:sz w:val="20"/>
          <w:vertAlign w:val="baseline"/>
        </w:rPr>
        <w:t>an ability</w:t>
      </w:r>
      <w:r>
        <w:rPr>
          <w:spacing w:val="-3"/>
          <w:sz w:val="20"/>
          <w:vertAlign w:val="baseline"/>
        </w:rPr>
        <w:t> </w:t>
      </w:r>
      <w:r>
        <w:rPr>
          <w:sz w:val="20"/>
          <w:vertAlign w:val="baseline"/>
        </w:rPr>
        <w:t>to</w:t>
      </w:r>
      <w:r>
        <w:rPr>
          <w:spacing w:val="-3"/>
          <w:sz w:val="20"/>
          <w:vertAlign w:val="baseline"/>
        </w:rPr>
        <w:t> </w:t>
      </w:r>
      <w:r>
        <w:rPr>
          <w:sz w:val="20"/>
          <w:vertAlign w:val="baseline"/>
        </w:rPr>
        <w:t>react</w:t>
      </w:r>
      <w:r>
        <w:rPr>
          <w:spacing w:val="-1"/>
          <w:sz w:val="20"/>
          <w:vertAlign w:val="baseline"/>
        </w:rPr>
        <w:t> </w:t>
      </w:r>
      <w:r>
        <w:rPr>
          <w:sz w:val="20"/>
          <w:vertAlign w:val="baseline"/>
        </w:rPr>
        <w:t>to emerging situations and provide critical expertise. While the more transactional aspects of HR administration are firmly rooted in the services of the Registry’s HRS, OTP-HR complements the OTP in achieving objectives and allowing for a flexible and engaged workforce with the ability to adapt to changing circumstances.</w:t>
      </w:r>
    </w:p>
    <w:p>
      <w:pPr>
        <w:pStyle w:val="BodyText"/>
        <w:spacing w:before="8"/>
        <w:rPr>
          <w:sz w:val="23"/>
        </w:rPr>
      </w:pPr>
      <w:r>
        <w:rPr/>
        <w:pict>
          <v:rect style="position:absolute;margin-left:113.330002pt;margin-top:14.844882pt;width:144.050pt;height:.48004pt;mso-position-horizontal-relative:page;mso-position-vertical-relative:paragraph;z-index:-15708672;mso-wrap-distance-left:0;mso-wrap-distance-right:0" id="docshape104" filled="true" fillcolor="#000000" stroked="false">
            <v:fill type="solid"/>
            <w10:wrap type="topAndBottom"/>
          </v:rect>
        </w:pict>
      </w:r>
    </w:p>
    <w:p>
      <w:pPr>
        <w:spacing w:line="240" w:lineRule="auto" w:before="86"/>
        <w:ind w:left="2246" w:right="2245" w:firstLine="0"/>
        <w:jc w:val="both"/>
        <w:rPr>
          <w:sz w:val="16"/>
        </w:rPr>
      </w:pPr>
      <w:r>
        <w:rPr>
          <w:position w:val="5"/>
          <w:sz w:val="10"/>
        </w:rPr>
        <w:t>54</w:t>
      </w:r>
      <w:r>
        <w:rPr>
          <w:spacing w:val="28"/>
          <w:position w:val="5"/>
          <w:sz w:val="10"/>
        </w:rPr>
        <w:t> </w:t>
      </w:r>
      <w:r>
        <w:rPr>
          <w:sz w:val="16"/>
        </w:rPr>
        <w:t>For example, the Office of Internal Audit provided advisory services to review the procurement process of IT</w:t>
      </w:r>
      <w:r>
        <w:rPr>
          <w:spacing w:val="40"/>
          <w:sz w:val="16"/>
        </w:rPr>
        <w:t> </w:t>
      </w:r>
      <w:r>
        <w:rPr>
          <w:sz w:val="16"/>
        </w:rPr>
        <w:t>equipment within the OTP (Review of Procurement process of IT equipment within the OTP - OIA.09.20). The</w:t>
      </w:r>
      <w:r>
        <w:rPr>
          <w:spacing w:val="40"/>
          <w:sz w:val="16"/>
        </w:rPr>
        <w:t> </w:t>
      </w:r>
      <w:r>
        <w:rPr>
          <w:sz w:val="16"/>
        </w:rPr>
        <w:t>internal standard</w:t>
      </w:r>
      <w:r>
        <w:rPr>
          <w:spacing w:val="-2"/>
          <w:sz w:val="16"/>
        </w:rPr>
        <w:t> </w:t>
      </w:r>
      <w:r>
        <w:rPr>
          <w:sz w:val="16"/>
        </w:rPr>
        <w:t>operating procedure</w:t>
      </w:r>
      <w:r>
        <w:rPr>
          <w:spacing w:val="-2"/>
          <w:sz w:val="16"/>
        </w:rPr>
        <w:t> </w:t>
      </w:r>
      <w:r>
        <w:rPr>
          <w:sz w:val="16"/>
        </w:rPr>
        <w:t>will be updated to better clarify the specific roles of the OTP</w:t>
      </w:r>
      <w:r>
        <w:rPr>
          <w:spacing w:val="-1"/>
          <w:sz w:val="16"/>
        </w:rPr>
        <w:t> </w:t>
      </w:r>
      <w:r>
        <w:rPr>
          <w:sz w:val="16"/>
        </w:rPr>
        <w:t>functions.</w:t>
      </w:r>
      <w:r>
        <w:rPr>
          <w:spacing w:val="-1"/>
          <w:sz w:val="16"/>
        </w:rPr>
        <w:t> </w:t>
      </w:r>
      <w:r>
        <w:rPr>
          <w:sz w:val="16"/>
        </w:rPr>
        <w:t>This</w:t>
      </w:r>
      <w:r>
        <w:rPr>
          <w:spacing w:val="40"/>
          <w:sz w:val="16"/>
        </w:rPr>
        <w:t> </w:t>
      </w:r>
      <w:r>
        <w:rPr>
          <w:sz w:val="16"/>
        </w:rPr>
        <w:t>will also assist the Registry’s Procurement Unit in more effectively managing the requests and finalizing the</w:t>
      </w:r>
      <w:r>
        <w:rPr>
          <w:spacing w:val="40"/>
          <w:sz w:val="16"/>
        </w:rPr>
        <w:t> </w:t>
      </w:r>
      <w:r>
        <w:rPr>
          <w:sz w:val="16"/>
        </w:rPr>
        <w:t>procurement process under its control.</w:t>
      </w:r>
    </w:p>
    <w:p>
      <w:pPr>
        <w:spacing w:line="240" w:lineRule="auto" w:before="2"/>
        <w:ind w:left="2246" w:right="2243" w:firstLine="0"/>
        <w:jc w:val="both"/>
        <w:rPr>
          <w:sz w:val="16"/>
        </w:rPr>
      </w:pPr>
      <w:r>
        <w:rPr>
          <w:position w:val="5"/>
          <w:sz w:val="10"/>
        </w:rPr>
        <w:t>55</w:t>
      </w:r>
      <w:r>
        <w:rPr>
          <w:spacing w:val="19"/>
          <w:position w:val="5"/>
          <w:sz w:val="10"/>
        </w:rPr>
        <w:t> </w:t>
      </w:r>
      <w:r>
        <w:rPr>
          <w:sz w:val="16"/>
        </w:rPr>
        <w:t>Policies and procedures developed by FPCU are often used as a standard for the Court. For instance, the Office</w:t>
      </w:r>
      <w:r>
        <w:rPr>
          <w:spacing w:val="40"/>
          <w:sz w:val="16"/>
        </w:rPr>
        <w:t> </w:t>
      </w:r>
      <w:r>
        <w:rPr>
          <w:sz w:val="16"/>
        </w:rPr>
        <w:t>of Internal Audit suggested that in preparing the Standard Operating Procedure for Miscellaneous Obligating</w:t>
      </w:r>
      <w:r>
        <w:rPr>
          <w:spacing w:val="40"/>
          <w:sz w:val="16"/>
        </w:rPr>
        <w:t> </w:t>
      </w:r>
      <w:r>
        <w:rPr>
          <w:sz w:val="16"/>
        </w:rPr>
        <w:t>Documents, the Court could use the internal guidelines developed by the OTP as a reference. See Audit on</w:t>
      </w:r>
      <w:r>
        <w:rPr>
          <w:spacing w:val="40"/>
          <w:sz w:val="16"/>
        </w:rPr>
        <w:t> </w:t>
      </w:r>
      <w:r>
        <w:rPr>
          <w:sz w:val="16"/>
        </w:rPr>
        <w:t>Miscellaneous Obligating Documents (MOD) Usage, OIA.06.19.</w:t>
      </w:r>
    </w:p>
    <w:p>
      <w:pPr>
        <w:spacing w:line="242" w:lineRule="auto" w:before="0"/>
        <w:ind w:left="2246" w:right="2246" w:firstLine="0"/>
        <w:jc w:val="both"/>
        <w:rPr>
          <w:sz w:val="16"/>
        </w:rPr>
      </w:pPr>
      <w:r>
        <w:rPr>
          <w:position w:val="5"/>
          <w:sz w:val="10"/>
        </w:rPr>
        <w:t>56</w:t>
      </w:r>
      <w:r>
        <w:rPr>
          <w:spacing w:val="9"/>
          <w:position w:val="5"/>
          <w:sz w:val="10"/>
        </w:rPr>
        <w:t> </w:t>
      </w:r>
      <w:r>
        <w:rPr>
          <w:sz w:val="16"/>
        </w:rPr>
        <w:t>For</w:t>
      </w:r>
      <w:r>
        <w:rPr>
          <w:spacing w:val="-8"/>
          <w:sz w:val="16"/>
        </w:rPr>
        <w:t> </w:t>
      </w:r>
      <w:r>
        <w:rPr>
          <w:sz w:val="16"/>
        </w:rPr>
        <w:t>instance,</w:t>
      </w:r>
      <w:r>
        <w:rPr>
          <w:spacing w:val="-9"/>
          <w:sz w:val="16"/>
        </w:rPr>
        <w:t> </w:t>
      </w:r>
      <w:r>
        <w:rPr>
          <w:sz w:val="16"/>
        </w:rPr>
        <w:t>FPCU</w:t>
      </w:r>
      <w:r>
        <w:rPr>
          <w:spacing w:val="-7"/>
          <w:sz w:val="16"/>
        </w:rPr>
        <w:t> </w:t>
      </w:r>
      <w:r>
        <w:rPr>
          <w:sz w:val="16"/>
        </w:rPr>
        <w:t>consolidates</w:t>
      </w:r>
      <w:r>
        <w:rPr>
          <w:spacing w:val="-7"/>
          <w:sz w:val="16"/>
        </w:rPr>
        <w:t> </w:t>
      </w:r>
      <w:r>
        <w:rPr>
          <w:sz w:val="16"/>
        </w:rPr>
        <w:t>requests</w:t>
      </w:r>
      <w:r>
        <w:rPr>
          <w:spacing w:val="-7"/>
          <w:sz w:val="16"/>
        </w:rPr>
        <w:t> </w:t>
      </w:r>
      <w:r>
        <w:rPr>
          <w:sz w:val="16"/>
        </w:rPr>
        <w:t>for</w:t>
      </w:r>
      <w:r>
        <w:rPr>
          <w:spacing w:val="-8"/>
          <w:sz w:val="16"/>
        </w:rPr>
        <w:t> </w:t>
      </w:r>
      <w:r>
        <w:rPr>
          <w:sz w:val="16"/>
        </w:rPr>
        <w:t>equipment</w:t>
      </w:r>
      <w:r>
        <w:rPr>
          <w:spacing w:val="-9"/>
          <w:sz w:val="16"/>
        </w:rPr>
        <w:t> </w:t>
      </w:r>
      <w:r>
        <w:rPr>
          <w:sz w:val="16"/>
        </w:rPr>
        <w:t>and</w:t>
      </w:r>
      <w:r>
        <w:rPr>
          <w:spacing w:val="-6"/>
          <w:sz w:val="16"/>
        </w:rPr>
        <w:t> </w:t>
      </w:r>
      <w:r>
        <w:rPr>
          <w:sz w:val="16"/>
        </w:rPr>
        <w:t>software</w:t>
      </w:r>
      <w:r>
        <w:rPr>
          <w:spacing w:val="-6"/>
          <w:sz w:val="16"/>
        </w:rPr>
        <w:t> </w:t>
      </w:r>
      <w:r>
        <w:rPr>
          <w:sz w:val="16"/>
        </w:rPr>
        <w:t>from</w:t>
      </w:r>
      <w:r>
        <w:rPr>
          <w:spacing w:val="-10"/>
          <w:sz w:val="16"/>
        </w:rPr>
        <w:t> </w:t>
      </w:r>
      <w:r>
        <w:rPr>
          <w:sz w:val="16"/>
        </w:rPr>
        <w:t>business</w:t>
      </w:r>
      <w:r>
        <w:rPr>
          <w:spacing w:val="-7"/>
          <w:sz w:val="16"/>
        </w:rPr>
        <w:t> </w:t>
      </w:r>
      <w:r>
        <w:rPr>
          <w:sz w:val="16"/>
        </w:rPr>
        <w:t>users</w:t>
      </w:r>
      <w:r>
        <w:rPr>
          <w:spacing w:val="-7"/>
          <w:sz w:val="16"/>
        </w:rPr>
        <w:t> </w:t>
      </w:r>
      <w:r>
        <w:rPr>
          <w:sz w:val="16"/>
        </w:rPr>
        <w:t>in</w:t>
      </w:r>
      <w:r>
        <w:rPr>
          <w:spacing w:val="-6"/>
          <w:sz w:val="16"/>
        </w:rPr>
        <w:t> </w:t>
      </w:r>
      <w:r>
        <w:rPr>
          <w:sz w:val="16"/>
        </w:rPr>
        <w:t>an</w:t>
      </w:r>
      <w:r>
        <w:rPr>
          <w:spacing w:val="-6"/>
          <w:sz w:val="16"/>
        </w:rPr>
        <w:t> </w:t>
      </w:r>
      <w:r>
        <w:rPr>
          <w:sz w:val="16"/>
        </w:rPr>
        <w:t>OTP</w:t>
      </w:r>
      <w:r>
        <w:rPr>
          <w:spacing w:val="-10"/>
          <w:sz w:val="16"/>
        </w:rPr>
        <w:t> </w:t>
      </w:r>
      <w:r>
        <w:rPr>
          <w:sz w:val="16"/>
        </w:rPr>
        <w:t>procurement</w:t>
      </w:r>
      <w:r>
        <w:rPr>
          <w:spacing w:val="40"/>
          <w:sz w:val="16"/>
        </w:rPr>
        <w:t> </w:t>
      </w:r>
      <w:r>
        <w:rPr>
          <w:sz w:val="16"/>
        </w:rPr>
        <w:t>plan, verifies budgetary compliance and coordinates with the Registry’s Procurement Unit to ensure timely and</w:t>
      </w:r>
      <w:r>
        <w:rPr>
          <w:spacing w:val="40"/>
          <w:sz w:val="16"/>
        </w:rPr>
        <w:t> </w:t>
      </w:r>
      <w:r>
        <w:rPr>
          <w:sz w:val="16"/>
        </w:rPr>
        <w:t>effective delivery of goods and services.</w:t>
      </w:r>
    </w:p>
    <w:p>
      <w:pPr>
        <w:spacing w:line="237" w:lineRule="auto" w:before="0"/>
        <w:ind w:left="2246" w:right="2242" w:firstLine="0"/>
        <w:jc w:val="both"/>
        <w:rPr>
          <w:sz w:val="16"/>
        </w:rPr>
      </w:pPr>
      <w:r>
        <w:rPr>
          <w:position w:val="5"/>
          <w:sz w:val="10"/>
        </w:rPr>
        <w:t>57</w:t>
      </w:r>
      <w:r>
        <w:rPr>
          <w:spacing w:val="33"/>
          <w:position w:val="5"/>
          <w:sz w:val="10"/>
        </w:rPr>
        <w:t> </w:t>
      </w:r>
      <w:r>
        <w:rPr>
          <w:sz w:val="16"/>
        </w:rPr>
        <w:t>See </w:t>
      </w:r>
      <w:r>
        <w:rPr>
          <w:i/>
          <w:sz w:val="16"/>
        </w:rPr>
        <w:t>Report of the Court on Inter-Organ Synergies </w:t>
      </w:r>
      <w:r>
        <w:rPr>
          <w:sz w:val="16"/>
        </w:rPr>
        <w:t>– CBF/26/13, </w:t>
      </w:r>
      <w:r>
        <w:rPr>
          <w:i/>
          <w:sz w:val="16"/>
        </w:rPr>
        <w:t>Second Report of the Court on Inter-Organ</w:t>
      </w:r>
      <w:r>
        <w:rPr>
          <w:i/>
          <w:spacing w:val="40"/>
          <w:sz w:val="16"/>
        </w:rPr>
        <w:t> </w:t>
      </w:r>
      <w:r>
        <w:rPr>
          <w:i/>
          <w:sz w:val="16"/>
        </w:rPr>
        <w:t>Synergies </w:t>
      </w:r>
      <w:r>
        <w:rPr>
          <w:sz w:val="16"/>
        </w:rPr>
        <w:t>– CBF/27/8, and </w:t>
      </w:r>
      <w:r>
        <w:rPr>
          <w:i/>
          <w:sz w:val="16"/>
        </w:rPr>
        <w:t>Report of the Court on Inter-Organ Synergies </w:t>
      </w:r>
      <w:r>
        <w:rPr>
          <w:sz w:val="16"/>
        </w:rPr>
        <w:t>– CBF/28/12.</w:t>
      </w:r>
    </w:p>
    <w:p>
      <w:pPr>
        <w:spacing w:after="0" w:line="237" w:lineRule="auto"/>
        <w:jc w:val="both"/>
        <w:rPr>
          <w:sz w:val="16"/>
        </w:rPr>
        <w:sectPr>
          <w:pgSz w:w="11910" w:h="16840"/>
          <w:pgMar w:header="957" w:footer="940" w:top="1140" w:bottom="1140" w:left="20" w:right="20"/>
        </w:sectPr>
      </w:pPr>
    </w:p>
    <w:p>
      <w:pPr>
        <w:pStyle w:val="ListParagraph"/>
        <w:numPr>
          <w:ilvl w:val="0"/>
          <w:numId w:val="4"/>
        </w:numPr>
        <w:tabs>
          <w:tab w:pos="2967" w:val="left" w:leader="none"/>
        </w:tabs>
        <w:spacing w:line="240" w:lineRule="auto" w:before="124" w:after="0"/>
        <w:ind w:left="2246" w:right="2238" w:firstLine="0"/>
        <w:jc w:val="both"/>
        <w:rPr>
          <w:sz w:val="20"/>
        </w:rPr>
      </w:pPr>
      <w:r>
        <w:rPr>
          <w:sz w:val="20"/>
        </w:rPr>
        <w:t>OTP-HR participates as a vital representative on a number of inter-organ working groups</w:t>
      </w:r>
      <w:r>
        <w:rPr>
          <w:spacing w:val="-10"/>
          <w:sz w:val="20"/>
        </w:rPr>
        <w:t> </w:t>
      </w:r>
      <w:r>
        <w:rPr>
          <w:sz w:val="20"/>
        </w:rPr>
        <w:t>and</w:t>
      </w:r>
      <w:r>
        <w:rPr>
          <w:spacing w:val="-13"/>
          <w:sz w:val="20"/>
        </w:rPr>
        <w:t> </w:t>
      </w:r>
      <w:r>
        <w:rPr>
          <w:sz w:val="20"/>
        </w:rPr>
        <w:t>committees</w:t>
      </w:r>
      <w:r>
        <w:rPr>
          <w:spacing w:val="-9"/>
          <w:sz w:val="20"/>
        </w:rPr>
        <w:t> </w:t>
      </w:r>
      <w:r>
        <w:rPr>
          <w:sz w:val="20"/>
        </w:rPr>
        <w:t>including</w:t>
      </w:r>
      <w:r>
        <w:rPr>
          <w:spacing w:val="-8"/>
          <w:sz w:val="20"/>
        </w:rPr>
        <w:t> </w:t>
      </w:r>
      <w:r>
        <w:rPr>
          <w:sz w:val="20"/>
        </w:rPr>
        <w:t>the</w:t>
      </w:r>
      <w:r>
        <w:rPr>
          <w:spacing w:val="-7"/>
          <w:sz w:val="20"/>
        </w:rPr>
        <w:t> </w:t>
      </w:r>
      <w:r>
        <w:rPr>
          <w:sz w:val="20"/>
        </w:rPr>
        <w:t>Classification</w:t>
      </w:r>
      <w:r>
        <w:rPr>
          <w:spacing w:val="-8"/>
          <w:sz w:val="20"/>
        </w:rPr>
        <w:t> </w:t>
      </w:r>
      <w:r>
        <w:rPr>
          <w:sz w:val="20"/>
        </w:rPr>
        <w:t>Advisory</w:t>
      </w:r>
      <w:r>
        <w:rPr>
          <w:spacing w:val="-13"/>
          <w:sz w:val="20"/>
        </w:rPr>
        <w:t> </w:t>
      </w:r>
      <w:r>
        <w:rPr>
          <w:sz w:val="20"/>
        </w:rPr>
        <w:t>Board,</w:t>
      </w:r>
      <w:r>
        <w:rPr>
          <w:spacing w:val="-5"/>
          <w:sz w:val="20"/>
        </w:rPr>
        <w:t> </w:t>
      </w:r>
      <w:r>
        <w:rPr>
          <w:sz w:val="20"/>
        </w:rPr>
        <w:t>the</w:t>
      </w:r>
      <w:r>
        <w:rPr>
          <w:spacing w:val="-7"/>
          <w:sz w:val="20"/>
        </w:rPr>
        <w:t> </w:t>
      </w:r>
      <w:r>
        <w:rPr>
          <w:sz w:val="20"/>
        </w:rPr>
        <w:t>Staff</w:t>
      </w:r>
      <w:r>
        <w:rPr>
          <w:spacing w:val="-8"/>
          <w:sz w:val="20"/>
        </w:rPr>
        <w:t> </w:t>
      </w:r>
      <w:r>
        <w:rPr>
          <w:sz w:val="20"/>
        </w:rPr>
        <w:t>Wellbeing</w:t>
      </w:r>
      <w:r>
        <w:rPr>
          <w:spacing w:val="-13"/>
          <w:sz w:val="20"/>
        </w:rPr>
        <w:t> </w:t>
      </w:r>
      <w:r>
        <w:rPr>
          <w:sz w:val="20"/>
        </w:rPr>
        <w:t>and Engagement Committee, in consultations with the Focal Point for Gender Equality, engagement with</w:t>
      </w:r>
      <w:r>
        <w:rPr>
          <w:spacing w:val="-4"/>
          <w:sz w:val="20"/>
        </w:rPr>
        <w:t> </w:t>
      </w:r>
      <w:r>
        <w:rPr>
          <w:sz w:val="20"/>
        </w:rPr>
        <w:t>the</w:t>
      </w:r>
      <w:r>
        <w:rPr>
          <w:spacing w:val="-2"/>
          <w:sz w:val="20"/>
        </w:rPr>
        <w:t> </w:t>
      </w:r>
      <w:r>
        <w:rPr>
          <w:sz w:val="20"/>
        </w:rPr>
        <w:t>Staff Union</w:t>
      </w:r>
      <w:r>
        <w:rPr>
          <w:spacing w:val="-4"/>
          <w:sz w:val="20"/>
        </w:rPr>
        <w:t> </w:t>
      </w:r>
      <w:r>
        <w:rPr>
          <w:sz w:val="20"/>
        </w:rPr>
        <w:t>Council</w:t>
      </w:r>
      <w:r>
        <w:rPr>
          <w:spacing w:val="-2"/>
          <w:sz w:val="20"/>
        </w:rPr>
        <w:t> </w:t>
      </w:r>
      <w:r>
        <w:rPr>
          <w:sz w:val="20"/>
        </w:rPr>
        <w:t>as well</w:t>
      </w:r>
      <w:r>
        <w:rPr>
          <w:spacing w:val="-2"/>
          <w:sz w:val="20"/>
        </w:rPr>
        <w:t> </w:t>
      </w:r>
      <w:r>
        <w:rPr>
          <w:sz w:val="20"/>
        </w:rPr>
        <w:t>as a</w:t>
      </w:r>
      <w:r>
        <w:rPr>
          <w:spacing w:val="-2"/>
          <w:sz w:val="20"/>
        </w:rPr>
        <w:t> </w:t>
      </w:r>
      <w:r>
        <w:rPr>
          <w:sz w:val="20"/>
        </w:rPr>
        <w:t>multitude of</w:t>
      </w:r>
      <w:r>
        <w:rPr>
          <w:spacing w:val="-4"/>
          <w:sz w:val="20"/>
        </w:rPr>
        <w:t> </w:t>
      </w:r>
      <w:r>
        <w:rPr>
          <w:sz w:val="20"/>
        </w:rPr>
        <w:t>separate</w:t>
      </w:r>
      <w:r>
        <w:rPr>
          <w:spacing w:val="-2"/>
          <w:sz w:val="20"/>
        </w:rPr>
        <w:t> </w:t>
      </w:r>
      <w:r>
        <w:rPr>
          <w:sz w:val="20"/>
        </w:rPr>
        <w:t>working groups and</w:t>
      </w:r>
      <w:r>
        <w:rPr>
          <w:spacing w:val="-13"/>
          <w:sz w:val="20"/>
        </w:rPr>
        <w:t> </w:t>
      </w:r>
      <w:r>
        <w:rPr>
          <w:sz w:val="20"/>
        </w:rPr>
        <w:t>bodies,</w:t>
      </w:r>
      <w:r>
        <w:rPr>
          <w:spacing w:val="-6"/>
          <w:sz w:val="20"/>
        </w:rPr>
        <w:t> </w:t>
      </w:r>
      <w:r>
        <w:rPr>
          <w:sz w:val="20"/>
        </w:rPr>
        <w:t>representing</w:t>
      </w:r>
      <w:r>
        <w:rPr>
          <w:spacing w:val="-9"/>
          <w:sz w:val="20"/>
        </w:rPr>
        <w:t> </w:t>
      </w:r>
      <w:r>
        <w:rPr>
          <w:sz w:val="20"/>
        </w:rPr>
        <w:t>the</w:t>
      </w:r>
      <w:r>
        <w:rPr>
          <w:spacing w:val="-8"/>
          <w:sz w:val="20"/>
        </w:rPr>
        <w:t> </w:t>
      </w:r>
      <w:r>
        <w:rPr>
          <w:sz w:val="20"/>
        </w:rPr>
        <w:t>views</w:t>
      </w:r>
      <w:r>
        <w:rPr>
          <w:spacing w:val="-13"/>
          <w:sz w:val="20"/>
        </w:rPr>
        <w:t> </w:t>
      </w:r>
      <w:r>
        <w:rPr>
          <w:sz w:val="20"/>
        </w:rPr>
        <w:t>and</w:t>
      </w:r>
      <w:r>
        <w:rPr>
          <w:spacing w:val="-8"/>
          <w:sz w:val="20"/>
        </w:rPr>
        <w:t> </w:t>
      </w:r>
      <w:r>
        <w:rPr>
          <w:sz w:val="20"/>
        </w:rPr>
        <w:t>the</w:t>
      </w:r>
      <w:r>
        <w:rPr>
          <w:spacing w:val="-8"/>
          <w:sz w:val="20"/>
        </w:rPr>
        <w:t> </w:t>
      </w:r>
      <w:r>
        <w:rPr>
          <w:sz w:val="20"/>
        </w:rPr>
        <w:t>position</w:t>
      </w:r>
      <w:r>
        <w:rPr>
          <w:spacing w:val="-9"/>
          <w:sz w:val="20"/>
        </w:rPr>
        <w:t> </w:t>
      </w:r>
      <w:r>
        <w:rPr>
          <w:sz w:val="20"/>
        </w:rPr>
        <w:t>of</w:t>
      </w:r>
      <w:r>
        <w:rPr>
          <w:spacing w:val="-13"/>
          <w:sz w:val="20"/>
        </w:rPr>
        <w:t> </w:t>
      </w:r>
      <w:r>
        <w:rPr>
          <w:sz w:val="20"/>
        </w:rPr>
        <w:t>the</w:t>
      </w:r>
      <w:r>
        <w:rPr>
          <w:spacing w:val="-8"/>
          <w:sz w:val="20"/>
        </w:rPr>
        <w:t> </w:t>
      </w:r>
      <w:r>
        <w:rPr>
          <w:sz w:val="20"/>
        </w:rPr>
        <w:t>OTP</w:t>
      </w:r>
      <w:r>
        <w:rPr>
          <w:spacing w:val="-6"/>
          <w:sz w:val="20"/>
        </w:rPr>
        <w:t> </w:t>
      </w:r>
      <w:r>
        <w:rPr>
          <w:sz w:val="20"/>
        </w:rPr>
        <w:t>in</w:t>
      </w:r>
      <w:r>
        <w:rPr>
          <w:spacing w:val="-9"/>
          <w:sz w:val="20"/>
        </w:rPr>
        <w:t> </w:t>
      </w:r>
      <w:r>
        <w:rPr>
          <w:sz w:val="20"/>
        </w:rPr>
        <w:t>these</w:t>
      </w:r>
      <w:r>
        <w:rPr>
          <w:spacing w:val="-12"/>
          <w:sz w:val="20"/>
        </w:rPr>
        <w:t> </w:t>
      </w:r>
      <w:r>
        <w:rPr>
          <w:sz w:val="20"/>
        </w:rPr>
        <w:t>essential</w:t>
      </w:r>
      <w:r>
        <w:rPr>
          <w:spacing w:val="-8"/>
          <w:sz w:val="20"/>
        </w:rPr>
        <w:t> </w:t>
      </w:r>
      <w:r>
        <w:rPr>
          <w:sz w:val="20"/>
        </w:rPr>
        <w:t>mechanisms of institutional control, coordination and progress.</w:t>
      </w:r>
    </w:p>
    <w:p>
      <w:pPr>
        <w:pStyle w:val="ListParagraph"/>
        <w:numPr>
          <w:ilvl w:val="0"/>
          <w:numId w:val="4"/>
        </w:numPr>
        <w:tabs>
          <w:tab w:pos="2967" w:val="left" w:leader="none"/>
        </w:tabs>
        <w:spacing w:line="240" w:lineRule="auto" w:before="123" w:after="0"/>
        <w:ind w:left="2246" w:right="2240" w:firstLine="0"/>
        <w:jc w:val="both"/>
        <w:rPr>
          <w:sz w:val="20"/>
        </w:rPr>
      </w:pPr>
      <w:r>
        <w:rPr>
          <w:sz w:val="20"/>
        </w:rPr>
        <w:t>The HR Liaison and Coordination Officer (P-3) is also responsible for consulting and advising the Prosecutor and OTP managers on all matters related to HR management, and presenting a consolidated OTP view for consideration by the Prosecutor on HR-related issues such as draft administrative instructions, reclassification requests and proposed conversions of GTA positions. Lastly, OTP has a centralized training budget. While its annual training needs analysis and implementation is planned, managed and enacted by OTP-HR,</w:t>
      </w:r>
      <w:r>
        <w:rPr>
          <w:spacing w:val="-7"/>
          <w:sz w:val="20"/>
        </w:rPr>
        <w:t> </w:t>
      </w:r>
      <w:r>
        <w:rPr>
          <w:sz w:val="20"/>
        </w:rPr>
        <w:t>close</w:t>
      </w:r>
      <w:r>
        <w:rPr>
          <w:spacing w:val="-3"/>
          <w:sz w:val="20"/>
        </w:rPr>
        <w:t> </w:t>
      </w:r>
      <w:r>
        <w:rPr>
          <w:sz w:val="20"/>
        </w:rPr>
        <w:t>collaboration</w:t>
      </w:r>
      <w:r>
        <w:rPr>
          <w:spacing w:val="-5"/>
          <w:sz w:val="20"/>
        </w:rPr>
        <w:t> </w:t>
      </w:r>
      <w:r>
        <w:rPr>
          <w:sz w:val="20"/>
        </w:rPr>
        <w:t>exists</w:t>
      </w:r>
      <w:r>
        <w:rPr>
          <w:spacing w:val="-6"/>
          <w:sz w:val="20"/>
        </w:rPr>
        <w:t> </w:t>
      </w:r>
      <w:r>
        <w:rPr>
          <w:sz w:val="20"/>
        </w:rPr>
        <w:t>with</w:t>
      </w:r>
      <w:r>
        <w:rPr>
          <w:spacing w:val="-9"/>
          <w:sz w:val="20"/>
        </w:rPr>
        <w:t> </w:t>
      </w:r>
      <w:r>
        <w:rPr>
          <w:sz w:val="20"/>
        </w:rPr>
        <w:t>the</w:t>
      </w:r>
      <w:r>
        <w:rPr>
          <w:spacing w:val="-3"/>
          <w:sz w:val="20"/>
        </w:rPr>
        <w:t> </w:t>
      </w:r>
      <w:r>
        <w:rPr>
          <w:sz w:val="20"/>
        </w:rPr>
        <w:t>Registry’s</w:t>
      </w:r>
      <w:r>
        <w:rPr>
          <w:spacing w:val="-6"/>
          <w:sz w:val="20"/>
        </w:rPr>
        <w:t> </w:t>
      </w:r>
      <w:r>
        <w:rPr>
          <w:sz w:val="20"/>
        </w:rPr>
        <w:t>Organizational</w:t>
      </w:r>
      <w:r>
        <w:rPr>
          <w:spacing w:val="-3"/>
          <w:sz w:val="20"/>
        </w:rPr>
        <w:t> </w:t>
      </w:r>
      <w:r>
        <w:rPr>
          <w:sz w:val="20"/>
        </w:rPr>
        <w:t>Development</w:t>
      </w:r>
      <w:r>
        <w:rPr>
          <w:spacing w:val="-3"/>
          <w:sz w:val="20"/>
        </w:rPr>
        <w:t> </w:t>
      </w:r>
      <w:r>
        <w:rPr>
          <w:sz w:val="20"/>
        </w:rPr>
        <w:t>Unit</w:t>
      </w:r>
      <w:r>
        <w:rPr>
          <w:spacing w:val="-8"/>
          <w:sz w:val="20"/>
        </w:rPr>
        <w:t> </w:t>
      </w:r>
      <w:r>
        <w:rPr>
          <w:sz w:val="20"/>
        </w:rPr>
        <w:t>in HRS</w:t>
      </w:r>
      <w:r>
        <w:rPr>
          <w:spacing w:val="-11"/>
          <w:sz w:val="20"/>
        </w:rPr>
        <w:t> </w:t>
      </w:r>
      <w:r>
        <w:rPr>
          <w:sz w:val="20"/>
        </w:rPr>
        <w:t>to</w:t>
      </w:r>
      <w:r>
        <w:rPr>
          <w:spacing w:val="-8"/>
          <w:sz w:val="20"/>
        </w:rPr>
        <w:t> </w:t>
      </w:r>
      <w:r>
        <w:rPr>
          <w:sz w:val="20"/>
        </w:rPr>
        <w:t>identify</w:t>
      </w:r>
      <w:r>
        <w:rPr>
          <w:spacing w:val="-13"/>
          <w:sz w:val="20"/>
        </w:rPr>
        <w:t> </w:t>
      </w:r>
      <w:r>
        <w:rPr>
          <w:sz w:val="20"/>
        </w:rPr>
        <w:t>opportunities</w:t>
      </w:r>
      <w:r>
        <w:rPr>
          <w:spacing w:val="-10"/>
          <w:sz w:val="20"/>
        </w:rPr>
        <w:t> </w:t>
      </w:r>
      <w:r>
        <w:rPr>
          <w:sz w:val="20"/>
        </w:rPr>
        <w:t>for</w:t>
      </w:r>
      <w:r>
        <w:rPr>
          <w:spacing w:val="-13"/>
          <w:sz w:val="20"/>
        </w:rPr>
        <w:t> </w:t>
      </w:r>
      <w:r>
        <w:rPr>
          <w:sz w:val="20"/>
        </w:rPr>
        <w:t>joint</w:t>
      </w:r>
      <w:r>
        <w:rPr>
          <w:spacing w:val="-12"/>
          <w:sz w:val="20"/>
        </w:rPr>
        <w:t> </w:t>
      </w:r>
      <w:r>
        <w:rPr>
          <w:sz w:val="20"/>
        </w:rPr>
        <w:t>inter-organ</w:t>
      </w:r>
      <w:r>
        <w:rPr>
          <w:spacing w:val="-13"/>
          <w:sz w:val="20"/>
        </w:rPr>
        <w:t> </w:t>
      </w:r>
      <w:r>
        <w:rPr>
          <w:sz w:val="20"/>
        </w:rPr>
        <w:t>training</w:t>
      </w:r>
      <w:r>
        <w:rPr>
          <w:spacing w:val="-8"/>
          <w:sz w:val="20"/>
        </w:rPr>
        <w:t> </w:t>
      </w:r>
      <w:r>
        <w:rPr>
          <w:sz w:val="20"/>
        </w:rPr>
        <w:t>and</w:t>
      </w:r>
      <w:r>
        <w:rPr>
          <w:spacing w:val="-8"/>
          <w:sz w:val="20"/>
        </w:rPr>
        <w:t> </w:t>
      </w:r>
      <w:r>
        <w:rPr>
          <w:sz w:val="20"/>
        </w:rPr>
        <w:t>soft-skill</w:t>
      </w:r>
      <w:r>
        <w:rPr>
          <w:spacing w:val="-12"/>
          <w:sz w:val="20"/>
        </w:rPr>
        <w:t> </w:t>
      </w:r>
      <w:r>
        <w:rPr>
          <w:sz w:val="20"/>
        </w:rPr>
        <w:t>development,</w:t>
      </w:r>
      <w:r>
        <w:rPr>
          <w:spacing w:val="-6"/>
          <w:sz w:val="20"/>
        </w:rPr>
        <w:t> </w:t>
      </w:r>
      <w:r>
        <w:rPr>
          <w:sz w:val="20"/>
        </w:rPr>
        <w:t>where </w:t>
      </w:r>
      <w:r>
        <w:rPr>
          <w:spacing w:val="-2"/>
          <w:sz w:val="20"/>
        </w:rPr>
        <w:t>possible.</w:t>
      </w:r>
    </w:p>
    <w:p>
      <w:pPr>
        <w:pStyle w:val="ListParagraph"/>
        <w:numPr>
          <w:ilvl w:val="0"/>
          <w:numId w:val="4"/>
        </w:numPr>
        <w:tabs>
          <w:tab w:pos="2967" w:val="left" w:leader="none"/>
        </w:tabs>
        <w:spacing w:line="240" w:lineRule="auto" w:before="120" w:after="0"/>
        <w:ind w:left="2246" w:right="2239" w:firstLine="0"/>
        <w:jc w:val="both"/>
        <w:rPr>
          <w:sz w:val="20"/>
        </w:rPr>
      </w:pPr>
      <w:r>
        <w:rPr>
          <w:sz w:val="20"/>
        </w:rPr>
        <w:t>In the new reorganization of the Office, OTP-HR has been moved from IOP and now</w:t>
      </w:r>
      <w:r>
        <w:rPr>
          <w:spacing w:val="-6"/>
          <w:sz w:val="20"/>
        </w:rPr>
        <w:t> </w:t>
      </w:r>
      <w:r>
        <w:rPr>
          <w:sz w:val="20"/>
        </w:rPr>
        <w:t>reports</w:t>
      </w:r>
      <w:r>
        <w:rPr>
          <w:spacing w:val="-6"/>
          <w:sz w:val="20"/>
        </w:rPr>
        <w:t> </w:t>
      </w:r>
      <w:r>
        <w:rPr>
          <w:sz w:val="20"/>
        </w:rPr>
        <w:t>directly</w:t>
      </w:r>
      <w:r>
        <w:rPr>
          <w:spacing w:val="-9"/>
          <w:sz w:val="20"/>
        </w:rPr>
        <w:t> </w:t>
      </w:r>
      <w:r>
        <w:rPr>
          <w:sz w:val="20"/>
        </w:rPr>
        <w:t>to</w:t>
      </w:r>
      <w:r>
        <w:rPr>
          <w:spacing w:val="-9"/>
          <w:sz w:val="20"/>
        </w:rPr>
        <w:t> </w:t>
      </w:r>
      <w:r>
        <w:rPr>
          <w:sz w:val="20"/>
        </w:rPr>
        <w:t>the</w:t>
      </w:r>
      <w:r>
        <w:rPr>
          <w:spacing w:val="-8"/>
          <w:sz w:val="20"/>
        </w:rPr>
        <w:t> </w:t>
      </w:r>
      <w:r>
        <w:rPr>
          <w:sz w:val="20"/>
        </w:rPr>
        <w:t>Prosecutor.</w:t>
      </w:r>
      <w:r>
        <w:rPr>
          <w:spacing w:val="-2"/>
          <w:sz w:val="20"/>
        </w:rPr>
        <w:t> </w:t>
      </w:r>
      <w:r>
        <w:rPr>
          <w:sz w:val="20"/>
        </w:rPr>
        <w:t>In</w:t>
      </w:r>
      <w:r>
        <w:rPr>
          <w:spacing w:val="-5"/>
          <w:sz w:val="20"/>
        </w:rPr>
        <w:t> </w:t>
      </w:r>
      <w:r>
        <w:rPr>
          <w:sz w:val="20"/>
        </w:rPr>
        <w:t>the</w:t>
      </w:r>
      <w:r>
        <w:rPr>
          <w:spacing w:val="-3"/>
          <w:sz w:val="20"/>
        </w:rPr>
        <w:t> </w:t>
      </w:r>
      <w:r>
        <w:rPr>
          <w:sz w:val="20"/>
        </w:rPr>
        <w:t>day-to-day</w:t>
      </w:r>
      <w:r>
        <w:rPr>
          <w:spacing w:val="-5"/>
          <w:sz w:val="20"/>
        </w:rPr>
        <w:t> </w:t>
      </w:r>
      <w:r>
        <w:rPr>
          <w:sz w:val="20"/>
        </w:rPr>
        <w:t>fulfilment</w:t>
      </w:r>
      <w:r>
        <w:rPr>
          <w:spacing w:val="-3"/>
          <w:sz w:val="20"/>
        </w:rPr>
        <w:t> </w:t>
      </w:r>
      <w:r>
        <w:rPr>
          <w:sz w:val="20"/>
        </w:rPr>
        <w:t>of</w:t>
      </w:r>
      <w:r>
        <w:rPr>
          <w:spacing w:val="-9"/>
          <w:sz w:val="20"/>
        </w:rPr>
        <w:t> </w:t>
      </w:r>
      <w:r>
        <w:rPr>
          <w:sz w:val="20"/>
        </w:rPr>
        <w:t>its</w:t>
      </w:r>
      <w:r>
        <w:rPr>
          <w:spacing w:val="-11"/>
          <w:sz w:val="20"/>
        </w:rPr>
        <w:t> </w:t>
      </w:r>
      <w:r>
        <w:rPr>
          <w:sz w:val="20"/>
        </w:rPr>
        <w:t>functions,</w:t>
      </w:r>
      <w:r>
        <w:rPr>
          <w:spacing w:val="-2"/>
          <w:sz w:val="20"/>
        </w:rPr>
        <w:t> </w:t>
      </w:r>
      <w:r>
        <w:rPr>
          <w:sz w:val="20"/>
        </w:rPr>
        <w:t>OTP-HR will continue to work closely with IOP in its workflow and delivery of services.</w:t>
      </w:r>
    </w:p>
    <w:p>
      <w:pPr>
        <w:pStyle w:val="ListParagraph"/>
        <w:numPr>
          <w:ilvl w:val="0"/>
          <w:numId w:val="4"/>
        </w:numPr>
        <w:tabs>
          <w:tab w:pos="2967" w:val="left" w:leader="none"/>
        </w:tabs>
        <w:spacing w:line="240" w:lineRule="auto" w:before="121" w:after="0"/>
        <w:ind w:left="2246" w:right="2235" w:firstLine="0"/>
        <w:jc w:val="both"/>
        <w:rPr>
          <w:sz w:val="20"/>
        </w:rPr>
      </w:pPr>
      <w:r>
        <w:rPr>
          <w:sz w:val="20"/>
        </w:rPr>
        <w:t>The resources</w:t>
      </w:r>
      <w:r>
        <w:rPr>
          <w:spacing w:val="-1"/>
          <w:sz w:val="20"/>
        </w:rPr>
        <w:t> </w:t>
      </w:r>
      <w:r>
        <w:rPr>
          <w:sz w:val="20"/>
        </w:rPr>
        <w:t>of OTP-HR have remained largely stagnant for over a decade while the size and activities of the Office have grown significantly, consequently placing added strain on the Office’s limited OTP-HR resources. Given this reality and the increasing complexity of the Office’s HR landscape, OTP-HR needs to be adequately resourced, especially in the light not only of the growing and evolving HR issues facing the OTP as a result of the continued implementation of the OTP reorganization, but also of the IER recommendations.</w:t>
      </w:r>
      <w:r>
        <w:rPr>
          <w:sz w:val="20"/>
          <w:vertAlign w:val="superscript"/>
        </w:rPr>
        <w:t>58</w:t>
      </w:r>
      <w:r>
        <w:rPr>
          <w:sz w:val="20"/>
          <w:vertAlign w:val="baseline"/>
        </w:rPr>
        <w:t> A properly resourced OTP-HR will result in greater efficiency and effectiveness of the Office as a whole, and more efficient implementation of the annual budget through, </w:t>
      </w:r>
      <w:r>
        <w:rPr>
          <w:i/>
          <w:sz w:val="20"/>
          <w:vertAlign w:val="baseline"/>
        </w:rPr>
        <w:t>inter alia</w:t>
      </w:r>
      <w:r>
        <w:rPr>
          <w:sz w:val="20"/>
          <w:vertAlign w:val="baseline"/>
        </w:rPr>
        <w:t>, timely recruitments and handling of issues related to human </w:t>
      </w:r>
      <w:r>
        <w:rPr>
          <w:spacing w:val="-2"/>
          <w:sz w:val="20"/>
          <w:vertAlign w:val="baseline"/>
        </w:rPr>
        <w:t>resources.</w:t>
      </w:r>
    </w:p>
    <w:p>
      <w:pPr>
        <w:pStyle w:val="ListParagraph"/>
        <w:numPr>
          <w:ilvl w:val="0"/>
          <w:numId w:val="4"/>
        </w:numPr>
        <w:tabs>
          <w:tab w:pos="2967" w:val="left" w:leader="none"/>
        </w:tabs>
        <w:spacing w:line="240" w:lineRule="auto" w:before="120" w:after="0"/>
        <w:ind w:left="2246" w:right="2243" w:firstLine="0"/>
        <w:jc w:val="both"/>
        <w:rPr>
          <w:sz w:val="20"/>
        </w:rPr>
      </w:pPr>
      <w:r>
        <w:rPr>
          <w:sz w:val="20"/>
        </w:rPr>
        <w:t>Moving forward, requirements for in-house, strategic provision of HR advice will also</w:t>
      </w:r>
      <w:r>
        <w:rPr>
          <w:spacing w:val="-5"/>
          <w:sz w:val="20"/>
        </w:rPr>
        <w:t> </w:t>
      </w:r>
      <w:r>
        <w:rPr>
          <w:sz w:val="20"/>
        </w:rPr>
        <w:t>increase,</w:t>
      </w:r>
      <w:r>
        <w:rPr>
          <w:spacing w:val="-2"/>
          <w:sz w:val="20"/>
        </w:rPr>
        <w:t> </w:t>
      </w:r>
      <w:r>
        <w:rPr>
          <w:sz w:val="20"/>
        </w:rPr>
        <w:t>reflecting</w:t>
      </w:r>
      <w:r>
        <w:rPr>
          <w:spacing w:val="-5"/>
          <w:sz w:val="20"/>
        </w:rPr>
        <w:t> </w:t>
      </w:r>
      <w:r>
        <w:rPr>
          <w:sz w:val="20"/>
        </w:rPr>
        <w:t>the overall</w:t>
      </w:r>
      <w:r>
        <w:rPr>
          <w:spacing w:val="-3"/>
          <w:sz w:val="20"/>
        </w:rPr>
        <w:t> </w:t>
      </w:r>
      <w:r>
        <w:rPr>
          <w:sz w:val="20"/>
        </w:rPr>
        <w:t>increase</w:t>
      </w:r>
      <w:r>
        <w:rPr>
          <w:spacing w:val="-3"/>
          <w:sz w:val="20"/>
        </w:rPr>
        <w:t> </w:t>
      </w:r>
      <w:r>
        <w:rPr>
          <w:sz w:val="20"/>
        </w:rPr>
        <w:t>in</w:t>
      </w:r>
      <w:r>
        <w:rPr>
          <w:spacing w:val="-5"/>
          <w:sz w:val="20"/>
        </w:rPr>
        <w:t> </w:t>
      </w:r>
      <w:r>
        <w:rPr>
          <w:sz w:val="20"/>
        </w:rPr>
        <w:t>activities</w:t>
      </w:r>
      <w:r>
        <w:rPr>
          <w:spacing w:val="-6"/>
          <w:sz w:val="20"/>
        </w:rPr>
        <w:t> </w:t>
      </w:r>
      <w:r>
        <w:rPr>
          <w:sz w:val="20"/>
        </w:rPr>
        <w:t>of the Office. At the</w:t>
      </w:r>
      <w:r>
        <w:rPr>
          <w:spacing w:val="-3"/>
          <w:sz w:val="20"/>
        </w:rPr>
        <w:t> </w:t>
      </w:r>
      <w:r>
        <w:rPr>
          <w:sz w:val="20"/>
        </w:rPr>
        <w:t>same</w:t>
      </w:r>
      <w:r>
        <w:rPr>
          <w:spacing w:val="-3"/>
          <w:sz w:val="20"/>
        </w:rPr>
        <w:t> </w:t>
      </w:r>
      <w:r>
        <w:rPr>
          <w:sz w:val="20"/>
        </w:rPr>
        <w:t>time,</w:t>
      </w:r>
      <w:r>
        <w:rPr>
          <w:spacing w:val="-2"/>
          <w:sz w:val="20"/>
        </w:rPr>
        <w:t> </w:t>
      </w:r>
      <w:r>
        <w:rPr>
          <w:sz w:val="20"/>
        </w:rPr>
        <w:t>the synergetic</w:t>
      </w:r>
      <w:r>
        <w:rPr>
          <w:spacing w:val="-8"/>
          <w:sz w:val="20"/>
        </w:rPr>
        <w:t> </w:t>
      </w:r>
      <w:r>
        <w:rPr>
          <w:sz w:val="20"/>
        </w:rPr>
        <w:t>relationship</w:t>
      </w:r>
      <w:r>
        <w:rPr>
          <w:spacing w:val="-9"/>
          <w:sz w:val="20"/>
        </w:rPr>
        <w:t> </w:t>
      </w:r>
      <w:r>
        <w:rPr>
          <w:sz w:val="20"/>
        </w:rPr>
        <w:t>with</w:t>
      </w:r>
      <w:r>
        <w:rPr>
          <w:spacing w:val="-13"/>
          <w:sz w:val="20"/>
        </w:rPr>
        <w:t> </w:t>
      </w:r>
      <w:r>
        <w:rPr>
          <w:sz w:val="20"/>
        </w:rPr>
        <w:t>the</w:t>
      </w:r>
      <w:r>
        <w:rPr>
          <w:spacing w:val="-11"/>
          <w:sz w:val="20"/>
        </w:rPr>
        <w:t> </w:t>
      </w:r>
      <w:r>
        <w:rPr>
          <w:sz w:val="20"/>
        </w:rPr>
        <w:t>Registry’s</w:t>
      </w:r>
      <w:r>
        <w:rPr>
          <w:spacing w:val="-11"/>
          <w:sz w:val="20"/>
        </w:rPr>
        <w:t> </w:t>
      </w:r>
      <w:r>
        <w:rPr>
          <w:sz w:val="20"/>
        </w:rPr>
        <w:t>HRS</w:t>
      </w:r>
      <w:r>
        <w:rPr>
          <w:spacing w:val="-11"/>
          <w:sz w:val="20"/>
        </w:rPr>
        <w:t> </w:t>
      </w:r>
      <w:r>
        <w:rPr>
          <w:sz w:val="20"/>
        </w:rPr>
        <w:t>for</w:t>
      </w:r>
      <w:r>
        <w:rPr>
          <w:spacing w:val="-9"/>
          <w:sz w:val="20"/>
        </w:rPr>
        <w:t> </w:t>
      </w:r>
      <w:r>
        <w:rPr>
          <w:sz w:val="20"/>
        </w:rPr>
        <w:t>the</w:t>
      </w:r>
      <w:r>
        <w:rPr>
          <w:spacing w:val="-8"/>
          <w:sz w:val="20"/>
        </w:rPr>
        <w:t> </w:t>
      </w:r>
      <w:r>
        <w:rPr>
          <w:sz w:val="20"/>
        </w:rPr>
        <w:t>administrative</w:t>
      </w:r>
      <w:r>
        <w:rPr>
          <w:spacing w:val="-8"/>
          <w:sz w:val="20"/>
        </w:rPr>
        <w:t> </w:t>
      </w:r>
      <w:r>
        <w:rPr>
          <w:sz w:val="20"/>
        </w:rPr>
        <w:t>HR</w:t>
      </w:r>
      <w:r>
        <w:rPr>
          <w:spacing w:val="-9"/>
          <w:sz w:val="20"/>
        </w:rPr>
        <w:t> </w:t>
      </w:r>
      <w:r>
        <w:rPr>
          <w:sz w:val="20"/>
        </w:rPr>
        <w:t>functions</w:t>
      </w:r>
      <w:r>
        <w:rPr>
          <w:spacing w:val="-11"/>
          <w:sz w:val="20"/>
        </w:rPr>
        <w:t> </w:t>
      </w:r>
      <w:r>
        <w:rPr>
          <w:sz w:val="20"/>
        </w:rPr>
        <w:t>will</w:t>
      </w:r>
      <w:r>
        <w:rPr>
          <w:spacing w:val="-13"/>
          <w:sz w:val="20"/>
        </w:rPr>
        <w:t> </w:t>
      </w:r>
      <w:r>
        <w:rPr>
          <w:sz w:val="20"/>
        </w:rPr>
        <w:t>also be</w:t>
      </w:r>
      <w:r>
        <w:rPr>
          <w:spacing w:val="-3"/>
          <w:sz w:val="20"/>
        </w:rPr>
        <w:t> </w:t>
      </w:r>
      <w:r>
        <w:rPr>
          <w:sz w:val="20"/>
        </w:rPr>
        <w:t>reinforced.</w:t>
      </w:r>
      <w:r>
        <w:rPr>
          <w:spacing w:val="-7"/>
          <w:sz w:val="20"/>
        </w:rPr>
        <w:t> </w:t>
      </w:r>
      <w:r>
        <w:rPr>
          <w:sz w:val="20"/>
        </w:rPr>
        <w:t>The</w:t>
      </w:r>
      <w:r>
        <w:rPr>
          <w:spacing w:val="-8"/>
          <w:sz w:val="20"/>
        </w:rPr>
        <w:t> </w:t>
      </w:r>
      <w:r>
        <w:rPr>
          <w:sz w:val="20"/>
        </w:rPr>
        <w:t>additional</w:t>
      </w:r>
      <w:r>
        <w:rPr>
          <w:spacing w:val="-3"/>
          <w:sz w:val="20"/>
        </w:rPr>
        <w:t> </w:t>
      </w:r>
      <w:r>
        <w:rPr>
          <w:sz w:val="20"/>
        </w:rPr>
        <w:t>resources</w:t>
      </w:r>
      <w:r>
        <w:rPr>
          <w:spacing w:val="-6"/>
          <w:sz w:val="20"/>
        </w:rPr>
        <w:t> </w:t>
      </w:r>
      <w:r>
        <w:rPr>
          <w:sz w:val="20"/>
        </w:rPr>
        <w:t>requested</w:t>
      </w:r>
      <w:r>
        <w:rPr>
          <w:spacing w:val="-5"/>
          <w:sz w:val="20"/>
        </w:rPr>
        <w:t> </w:t>
      </w:r>
      <w:r>
        <w:rPr>
          <w:sz w:val="20"/>
        </w:rPr>
        <w:t>for</w:t>
      </w:r>
      <w:r>
        <w:rPr>
          <w:spacing w:val="-5"/>
          <w:sz w:val="20"/>
        </w:rPr>
        <w:t> </w:t>
      </w:r>
      <w:r>
        <w:rPr>
          <w:sz w:val="20"/>
        </w:rPr>
        <w:t>2023</w:t>
      </w:r>
      <w:r>
        <w:rPr>
          <w:spacing w:val="-5"/>
          <w:sz w:val="20"/>
        </w:rPr>
        <w:t> </w:t>
      </w:r>
      <w:r>
        <w:rPr>
          <w:sz w:val="20"/>
        </w:rPr>
        <w:t>are</w:t>
      </w:r>
      <w:r>
        <w:rPr>
          <w:spacing w:val="-3"/>
          <w:sz w:val="20"/>
        </w:rPr>
        <w:t> </w:t>
      </w:r>
      <w:r>
        <w:rPr>
          <w:sz w:val="20"/>
        </w:rPr>
        <w:t>indicated</w:t>
      </w:r>
      <w:r>
        <w:rPr>
          <w:spacing w:val="-5"/>
          <w:sz w:val="20"/>
        </w:rPr>
        <w:t> </w:t>
      </w:r>
      <w:r>
        <w:rPr>
          <w:sz w:val="20"/>
        </w:rPr>
        <w:t>and</w:t>
      </w:r>
      <w:r>
        <w:rPr>
          <w:spacing w:val="-5"/>
          <w:sz w:val="20"/>
        </w:rPr>
        <w:t> </w:t>
      </w:r>
      <w:r>
        <w:rPr>
          <w:sz w:val="20"/>
        </w:rPr>
        <w:t>justified</w:t>
      </w:r>
      <w:r>
        <w:rPr>
          <w:spacing w:val="-5"/>
          <w:sz w:val="20"/>
        </w:rPr>
        <w:t> </w:t>
      </w:r>
      <w:r>
        <w:rPr>
          <w:sz w:val="20"/>
        </w:rPr>
        <w:t>further below</w:t>
      </w:r>
      <w:r>
        <w:rPr>
          <w:spacing w:val="-10"/>
          <w:sz w:val="20"/>
        </w:rPr>
        <w:t> </w:t>
      </w:r>
      <w:r>
        <w:rPr>
          <w:sz w:val="20"/>
        </w:rPr>
        <w:t>in</w:t>
      </w:r>
      <w:r>
        <w:rPr>
          <w:spacing w:val="-8"/>
          <w:sz w:val="20"/>
        </w:rPr>
        <w:t> </w:t>
      </w:r>
      <w:r>
        <w:rPr>
          <w:sz w:val="20"/>
        </w:rPr>
        <w:t>this</w:t>
      </w:r>
      <w:r>
        <w:rPr>
          <w:spacing w:val="-5"/>
          <w:sz w:val="20"/>
        </w:rPr>
        <w:t> </w:t>
      </w:r>
      <w:r>
        <w:rPr>
          <w:sz w:val="20"/>
        </w:rPr>
        <w:t>narrative</w:t>
      </w:r>
      <w:r>
        <w:rPr>
          <w:spacing w:val="-2"/>
          <w:sz w:val="20"/>
        </w:rPr>
        <w:t> </w:t>
      </w:r>
      <w:r>
        <w:rPr>
          <w:sz w:val="20"/>
        </w:rPr>
        <w:t>in</w:t>
      </w:r>
      <w:r>
        <w:rPr>
          <w:spacing w:val="-4"/>
          <w:sz w:val="20"/>
        </w:rPr>
        <w:t> </w:t>
      </w:r>
      <w:r>
        <w:rPr>
          <w:sz w:val="20"/>
        </w:rPr>
        <w:t>the</w:t>
      </w:r>
      <w:r>
        <w:rPr>
          <w:spacing w:val="-7"/>
          <w:sz w:val="20"/>
        </w:rPr>
        <w:t> </w:t>
      </w:r>
      <w:r>
        <w:rPr>
          <w:sz w:val="20"/>
        </w:rPr>
        <w:t>section</w:t>
      </w:r>
      <w:r>
        <w:rPr>
          <w:spacing w:val="-8"/>
          <w:sz w:val="20"/>
        </w:rPr>
        <w:t> </w:t>
      </w:r>
      <w:r>
        <w:rPr>
          <w:sz w:val="20"/>
        </w:rPr>
        <w:t>on</w:t>
      </w:r>
      <w:r>
        <w:rPr>
          <w:spacing w:val="-8"/>
          <w:sz w:val="20"/>
        </w:rPr>
        <w:t> </w:t>
      </w:r>
      <w:r>
        <w:rPr>
          <w:sz w:val="20"/>
        </w:rPr>
        <w:t>GTA.</w:t>
      </w:r>
      <w:r>
        <w:rPr>
          <w:sz w:val="20"/>
          <w:vertAlign w:val="superscript"/>
        </w:rPr>
        <w:t>59</w:t>
      </w:r>
      <w:r>
        <w:rPr>
          <w:spacing w:val="-1"/>
          <w:sz w:val="20"/>
          <w:vertAlign w:val="baseline"/>
        </w:rPr>
        <w:t> </w:t>
      </w:r>
      <w:r>
        <w:rPr>
          <w:sz w:val="20"/>
          <w:vertAlign w:val="baseline"/>
        </w:rPr>
        <w:t>OTP-HR</w:t>
      </w:r>
      <w:r>
        <w:rPr>
          <w:spacing w:val="-4"/>
          <w:sz w:val="20"/>
          <w:vertAlign w:val="baseline"/>
        </w:rPr>
        <w:t> </w:t>
      </w:r>
      <w:r>
        <w:rPr>
          <w:sz w:val="20"/>
          <w:vertAlign w:val="baseline"/>
        </w:rPr>
        <w:t>currently</w:t>
      </w:r>
      <w:r>
        <w:rPr>
          <w:spacing w:val="-8"/>
          <w:sz w:val="20"/>
          <w:vertAlign w:val="baseline"/>
        </w:rPr>
        <w:t> </w:t>
      </w:r>
      <w:r>
        <w:rPr>
          <w:sz w:val="20"/>
          <w:vertAlign w:val="baseline"/>
        </w:rPr>
        <w:t>comprises</w:t>
      </w:r>
      <w:r>
        <w:rPr>
          <w:spacing w:val="-10"/>
          <w:sz w:val="20"/>
          <w:vertAlign w:val="baseline"/>
        </w:rPr>
        <w:t> </w:t>
      </w:r>
      <w:r>
        <w:rPr>
          <w:sz w:val="20"/>
          <w:vertAlign w:val="baseline"/>
        </w:rPr>
        <w:t>an</w:t>
      </w:r>
      <w:r>
        <w:rPr>
          <w:spacing w:val="-4"/>
          <w:sz w:val="20"/>
          <w:vertAlign w:val="baseline"/>
        </w:rPr>
        <w:t> </w:t>
      </w:r>
      <w:r>
        <w:rPr>
          <w:sz w:val="20"/>
          <w:vertAlign w:val="baseline"/>
        </w:rPr>
        <w:t>HR</w:t>
      </w:r>
      <w:r>
        <w:rPr>
          <w:spacing w:val="-8"/>
          <w:sz w:val="20"/>
          <w:vertAlign w:val="baseline"/>
        </w:rPr>
        <w:t> </w:t>
      </w:r>
      <w:r>
        <w:rPr>
          <w:sz w:val="20"/>
          <w:vertAlign w:val="baseline"/>
        </w:rPr>
        <w:t>Liaison and Coordination Officer (P-3) and a Staff Assistant (GS-OL), both established posts.</w:t>
      </w:r>
    </w:p>
    <w:p>
      <w:pPr>
        <w:pStyle w:val="BodyText"/>
        <w:spacing w:before="8"/>
      </w:pPr>
    </w:p>
    <w:p>
      <w:pPr>
        <w:pStyle w:val="Heading3"/>
        <w:numPr>
          <w:ilvl w:val="0"/>
          <w:numId w:val="6"/>
        </w:numPr>
        <w:tabs>
          <w:tab w:pos="2246" w:val="left" w:leader="none"/>
          <w:tab w:pos="2247" w:val="left" w:leader="none"/>
        </w:tabs>
        <w:spacing w:line="240" w:lineRule="auto" w:before="1" w:after="0"/>
        <w:ind w:left="2246" w:right="0" w:hanging="568"/>
        <w:jc w:val="left"/>
      </w:pPr>
      <w:r>
        <w:rPr/>
        <w:t>Unified</w:t>
      </w:r>
      <w:r>
        <w:rPr>
          <w:spacing w:val="-6"/>
        </w:rPr>
        <w:t> </w:t>
      </w:r>
      <w:r>
        <w:rPr/>
        <w:t>Team</w:t>
      </w:r>
      <w:r>
        <w:rPr>
          <w:spacing w:val="-3"/>
        </w:rPr>
        <w:t> </w:t>
      </w:r>
      <w:r>
        <w:rPr/>
        <w:t>-</w:t>
      </w:r>
      <w:r>
        <w:rPr>
          <w:spacing w:val="1"/>
        </w:rPr>
        <w:t> </w:t>
      </w:r>
      <w:r>
        <w:rPr>
          <w:spacing w:val="-2"/>
        </w:rPr>
        <w:t>Ukraine</w:t>
      </w:r>
    </w:p>
    <w:p>
      <w:pPr>
        <w:pStyle w:val="BodyText"/>
        <w:spacing w:before="10"/>
        <w:rPr>
          <w:b/>
        </w:rPr>
      </w:pPr>
    </w:p>
    <w:p>
      <w:pPr>
        <w:pStyle w:val="ListParagraph"/>
        <w:numPr>
          <w:ilvl w:val="0"/>
          <w:numId w:val="4"/>
        </w:numPr>
        <w:tabs>
          <w:tab w:pos="2967" w:val="left" w:leader="none"/>
        </w:tabs>
        <w:spacing w:line="240" w:lineRule="auto" w:before="0" w:after="0"/>
        <w:ind w:left="2246" w:right="2247" w:firstLine="0"/>
        <w:jc w:val="both"/>
        <w:rPr>
          <w:sz w:val="20"/>
        </w:rPr>
      </w:pPr>
      <w:r>
        <w:rPr>
          <w:sz w:val="20"/>
        </w:rPr>
        <w:t>On 28 February 2022, the Prosecutor announced that he would seek authorization to open an investigation into the situation in Ukraine on the basis of the Office’s earlier conclusions arising from its preliminary examination, and encompassing any new alleged crimes falling within the jurisdiction of the Court.</w:t>
      </w:r>
    </w:p>
    <w:p>
      <w:pPr>
        <w:pStyle w:val="ListParagraph"/>
        <w:numPr>
          <w:ilvl w:val="0"/>
          <w:numId w:val="4"/>
        </w:numPr>
        <w:tabs>
          <w:tab w:pos="2967" w:val="left" w:leader="none"/>
        </w:tabs>
        <w:spacing w:line="240" w:lineRule="auto" w:before="122" w:after="0"/>
        <w:ind w:left="2246" w:right="2242" w:firstLine="0"/>
        <w:jc w:val="both"/>
        <w:rPr>
          <w:sz w:val="20"/>
        </w:rPr>
      </w:pPr>
      <w:r>
        <w:rPr>
          <w:sz w:val="20"/>
        </w:rPr>
        <w:t>Following the referrals by 39 States Parties on 1 March 2022, the Prosecutor announced</w:t>
      </w:r>
      <w:r>
        <w:rPr>
          <w:spacing w:val="-4"/>
          <w:sz w:val="20"/>
        </w:rPr>
        <w:t> </w:t>
      </w:r>
      <w:r>
        <w:rPr>
          <w:sz w:val="20"/>
        </w:rPr>
        <w:t>on</w:t>
      </w:r>
      <w:r>
        <w:rPr>
          <w:spacing w:val="-4"/>
          <w:sz w:val="20"/>
        </w:rPr>
        <w:t> </w:t>
      </w:r>
      <w:r>
        <w:rPr>
          <w:sz w:val="20"/>
        </w:rPr>
        <w:t>2 March</w:t>
      </w:r>
      <w:r>
        <w:rPr>
          <w:spacing w:val="-4"/>
          <w:sz w:val="20"/>
        </w:rPr>
        <w:t> </w:t>
      </w:r>
      <w:r>
        <w:rPr>
          <w:sz w:val="20"/>
        </w:rPr>
        <w:t>2022</w:t>
      </w:r>
      <w:r>
        <w:rPr>
          <w:spacing w:val="-4"/>
          <w:sz w:val="20"/>
        </w:rPr>
        <w:t> </w:t>
      </w:r>
      <w:r>
        <w:rPr>
          <w:sz w:val="20"/>
        </w:rPr>
        <w:t>that</w:t>
      </w:r>
      <w:r>
        <w:rPr>
          <w:spacing w:val="-2"/>
          <w:sz w:val="20"/>
        </w:rPr>
        <w:t> </w:t>
      </w:r>
      <w:r>
        <w:rPr>
          <w:sz w:val="20"/>
        </w:rPr>
        <w:t>he</w:t>
      </w:r>
      <w:r>
        <w:rPr>
          <w:spacing w:val="-2"/>
          <w:sz w:val="20"/>
        </w:rPr>
        <w:t> </w:t>
      </w:r>
      <w:r>
        <w:rPr>
          <w:sz w:val="20"/>
        </w:rPr>
        <w:t>had</w:t>
      </w:r>
      <w:r>
        <w:rPr>
          <w:spacing w:val="-4"/>
          <w:sz w:val="20"/>
        </w:rPr>
        <w:t> </w:t>
      </w:r>
      <w:r>
        <w:rPr>
          <w:sz w:val="20"/>
        </w:rPr>
        <w:t>opened an</w:t>
      </w:r>
      <w:r>
        <w:rPr>
          <w:spacing w:val="-4"/>
          <w:sz w:val="20"/>
        </w:rPr>
        <w:t> </w:t>
      </w:r>
      <w:r>
        <w:rPr>
          <w:sz w:val="20"/>
        </w:rPr>
        <w:t>investigation</w:t>
      </w:r>
      <w:r>
        <w:rPr>
          <w:spacing w:val="-4"/>
          <w:sz w:val="20"/>
        </w:rPr>
        <w:t> </w:t>
      </w:r>
      <w:r>
        <w:rPr>
          <w:sz w:val="20"/>
        </w:rPr>
        <w:t>on</w:t>
      </w:r>
      <w:r>
        <w:rPr>
          <w:spacing w:val="-4"/>
          <w:sz w:val="20"/>
        </w:rPr>
        <w:t> </w:t>
      </w:r>
      <w:r>
        <w:rPr>
          <w:sz w:val="20"/>
        </w:rPr>
        <w:t>the</w:t>
      </w:r>
      <w:r>
        <w:rPr>
          <w:spacing w:val="-2"/>
          <w:sz w:val="20"/>
        </w:rPr>
        <w:t> </w:t>
      </w:r>
      <w:r>
        <w:rPr>
          <w:sz w:val="20"/>
        </w:rPr>
        <w:t>basis of</w:t>
      </w:r>
      <w:r>
        <w:rPr>
          <w:spacing w:val="-8"/>
          <w:sz w:val="20"/>
        </w:rPr>
        <w:t> </w:t>
      </w:r>
      <w:r>
        <w:rPr>
          <w:sz w:val="20"/>
        </w:rPr>
        <w:t>the</w:t>
      </w:r>
      <w:r>
        <w:rPr>
          <w:spacing w:val="-2"/>
          <w:sz w:val="20"/>
        </w:rPr>
        <w:t> </w:t>
      </w:r>
      <w:r>
        <w:rPr>
          <w:sz w:val="20"/>
        </w:rPr>
        <w:t>referrals received.</w:t>
      </w:r>
      <w:r>
        <w:rPr>
          <w:spacing w:val="-13"/>
          <w:sz w:val="20"/>
        </w:rPr>
        <w:t> </w:t>
      </w:r>
      <w:r>
        <w:rPr>
          <w:sz w:val="20"/>
        </w:rPr>
        <w:t>The</w:t>
      </w:r>
      <w:r>
        <w:rPr>
          <w:spacing w:val="-12"/>
          <w:sz w:val="20"/>
        </w:rPr>
        <w:t> </w:t>
      </w:r>
      <w:r>
        <w:rPr>
          <w:sz w:val="20"/>
        </w:rPr>
        <w:t>number</w:t>
      </w:r>
      <w:r>
        <w:rPr>
          <w:spacing w:val="-13"/>
          <w:sz w:val="20"/>
        </w:rPr>
        <w:t> </w:t>
      </w:r>
      <w:r>
        <w:rPr>
          <w:sz w:val="20"/>
        </w:rPr>
        <w:t>of</w:t>
      </w:r>
      <w:r>
        <w:rPr>
          <w:spacing w:val="-12"/>
          <w:sz w:val="20"/>
        </w:rPr>
        <w:t> </w:t>
      </w:r>
      <w:r>
        <w:rPr>
          <w:sz w:val="20"/>
        </w:rPr>
        <w:t>referrals</w:t>
      </w:r>
      <w:r>
        <w:rPr>
          <w:spacing w:val="-13"/>
          <w:sz w:val="20"/>
        </w:rPr>
        <w:t> </w:t>
      </w:r>
      <w:r>
        <w:rPr>
          <w:sz w:val="20"/>
        </w:rPr>
        <w:t>from</w:t>
      </w:r>
      <w:r>
        <w:rPr>
          <w:spacing w:val="-12"/>
          <w:sz w:val="20"/>
        </w:rPr>
        <w:t> </w:t>
      </w:r>
      <w:r>
        <w:rPr>
          <w:sz w:val="20"/>
        </w:rPr>
        <w:t>States</w:t>
      </w:r>
      <w:r>
        <w:rPr>
          <w:spacing w:val="-10"/>
          <w:sz w:val="20"/>
        </w:rPr>
        <w:t> </w:t>
      </w:r>
      <w:r>
        <w:rPr>
          <w:sz w:val="20"/>
        </w:rPr>
        <w:t>Parties</w:t>
      </w:r>
      <w:r>
        <w:rPr>
          <w:spacing w:val="-10"/>
          <w:sz w:val="20"/>
        </w:rPr>
        <w:t> </w:t>
      </w:r>
      <w:r>
        <w:rPr>
          <w:sz w:val="20"/>
        </w:rPr>
        <w:t>has</w:t>
      </w:r>
      <w:r>
        <w:rPr>
          <w:spacing w:val="-10"/>
          <w:sz w:val="20"/>
        </w:rPr>
        <w:t> </w:t>
      </w:r>
      <w:r>
        <w:rPr>
          <w:sz w:val="20"/>
        </w:rPr>
        <w:t>since</w:t>
      </w:r>
      <w:r>
        <w:rPr>
          <w:spacing w:val="-8"/>
          <w:sz w:val="20"/>
        </w:rPr>
        <w:t> </w:t>
      </w:r>
      <w:r>
        <w:rPr>
          <w:sz w:val="20"/>
        </w:rPr>
        <w:t>increased</w:t>
      </w:r>
      <w:r>
        <w:rPr>
          <w:spacing w:val="-13"/>
          <w:sz w:val="20"/>
        </w:rPr>
        <w:t> </w:t>
      </w:r>
      <w:r>
        <w:rPr>
          <w:sz w:val="20"/>
        </w:rPr>
        <w:t>to</w:t>
      </w:r>
      <w:r>
        <w:rPr>
          <w:spacing w:val="-8"/>
          <w:sz w:val="20"/>
        </w:rPr>
        <w:t> </w:t>
      </w:r>
      <w:r>
        <w:rPr>
          <w:sz w:val="20"/>
        </w:rPr>
        <w:t>43.</w:t>
      </w:r>
      <w:r>
        <w:rPr>
          <w:spacing w:val="-11"/>
          <w:sz w:val="20"/>
        </w:rPr>
        <w:t> </w:t>
      </w:r>
      <w:r>
        <w:rPr>
          <w:sz w:val="20"/>
        </w:rPr>
        <w:t>In</w:t>
      </w:r>
      <w:r>
        <w:rPr>
          <w:spacing w:val="-13"/>
          <w:sz w:val="20"/>
        </w:rPr>
        <w:t> </w:t>
      </w:r>
      <w:r>
        <w:rPr>
          <w:sz w:val="20"/>
        </w:rPr>
        <w:t>accordance with the overall jurisdictional parameters conferred through these referrals, and without prejudice to the ultimate focus of the investigation, the scope of the situation encompasses any past and present allegations of war crimes, crimes against humanity or genocide committed on any part of the territory of Ukraine by any person from 21 November 2013 </w:t>
      </w:r>
      <w:r>
        <w:rPr>
          <w:spacing w:val="-2"/>
          <w:sz w:val="20"/>
        </w:rPr>
        <w:t>onwards.</w:t>
      </w:r>
    </w:p>
    <w:p>
      <w:pPr>
        <w:pStyle w:val="ListParagraph"/>
        <w:numPr>
          <w:ilvl w:val="0"/>
          <w:numId w:val="4"/>
        </w:numPr>
        <w:tabs>
          <w:tab w:pos="2967" w:val="left" w:leader="none"/>
        </w:tabs>
        <w:spacing w:line="240" w:lineRule="auto" w:before="119" w:after="0"/>
        <w:ind w:left="2246" w:right="2243" w:firstLine="0"/>
        <w:jc w:val="both"/>
        <w:rPr>
          <w:sz w:val="20"/>
        </w:rPr>
      </w:pPr>
      <w:r>
        <w:rPr>
          <w:sz w:val="20"/>
        </w:rPr>
        <w:t>The Office</w:t>
      </w:r>
      <w:r>
        <w:rPr>
          <w:spacing w:val="-2"/>
          <w:sz w:val="20"/>
        </w:rPr>
        <w:t> </w:t>
      </w:r>
      <w:r>
        <w:rPr>
          <w:sz w:val="20"/>
        </w:rPr>
        <w:t>is currently</w:t>
      </w:r>
      <w:r>
        <w:rPr>
          <w:spacing w:val="-4"/>
          <w:sz w:val="20"/>
        </w:rPr>
        <w:t> </w:t>
      </w:r>
      <w:r>
        <w:rPr>
          <w:sz w:val="20"/>
        </w:rPr>
        <w:t>actively</w:t>
      </w:r>
      <w:r>
        <w:rPr>
          <w:spacing w:val="-4"/>
          <w:sz w:val="20"/>
        </w:rPr>
        <w:t> </w:t>
      </w:r>
      <w:r>
        <w:rPr>
          <w:sz w:val="20"/>
        </w:rPr>
        <w:t>deploying</w:t>
      </w:r>
      <w:r>
        <w:rPr>
          <w:spacing w:val="-4"/>
          <w:sz w:val="20"/>
        </w:rPr>
        <w:t> </w:t>
      </w:r>
      <w:r>
        <w:rPr>
          <w:sz w:val="20"/>
        </w:rPr>
        <w:t>to Ukraine and the</w:t>
      </w:r>
      <w:r>
        <w:rPr>
          <w:spacing w:val="-2"/>
          <w:sz w:val="20"/>
        </w:rPr>
        <w:t> </w:t>
      </w:r>
      <w:r>
        <w:rPr>
          <w:sz w:val="20"/>
        </w:rPr>
        <w:t>region,</w:t>
      </w:r>
      <w:r>
        <w:rPr>
          <w:spacing w:val="-1"/>
          <w:sz w:val="20"/>
        </w:rPr>
        <w:t> </w:t>
      </w:r>
      <w:r>
        <w:rPr>
          <w:sz w:val="20"/>
        </w:rPr>
        <w:t>and</w:t>
      </w:r>
      <w:r>
        <w:rPr>
          <w:spacing w:val="-4"/>
          <w:sz w:val="20"/>
        </w:rPr>
        <w:t> </w:t>
      </w:r>
      <w:r>
        <w:rPr>
          <w:sz w:val="20"/>
        </w:rPr>
        <w:t>engaging in cooperation and coordination efforts with a variety of domestic and international stakeholders, including States Parties and international and regional organizations. These efforts will be strengthened going forward as the Office seeks to secure information and evidence</w:t>
      </w:r>
      <w:r>
        <w:rPr>
          <w:spacing w:val="-7"/>
          <w:sz w:val="20"/>
        </w:rPr>
        <w:t> </w:t>
      </w:r>
      <w:r>
        <w:rPr>
          <w:sz w:val="20"/>
        </w:rPr>
        <w:t>in</w:t>
      </w:r>
      <w:r>
        <w:rPr>
          <w:spacing w:val="-4"/>
          <w:sz w:val="20"/>
        </w:rPr>
        <w:t> </w:t>
      </w:r>
      <w:r>
        <w:rPr>
          <w:sz w:val="20"/>
        </w:rPr>
        <w:t>the</w:t>
      </w:r>
      <w:r>
        <w:rPr>
          <w:spacing w:val="-7"/>
          <w:sz w:val="20"/>
        </w:rPr>
        <w:t> </w:t>
      </w:r>
      <w:r>
        <w:rPr>
          <w:sz w:val="20"/>
        </w:rPr>
        <w:t>immediate</w:t>
      </w:r>
      <w:r>
        <w:rPr>
          <w:spacing w:val="-7"/>
          <w:sz w:val="20"/>
        </w:rPr>
        <w:t> </w:t>
      </w:r>
      <w:r>
        <w:rPr>
          <w:sz w:val="20"/>
        </w:rPr>
        <w:t>context</w:t>
      </w:r>
      <w:r>
        <w:rPr>
          <w:spacing w:val="-2"/>
          <w:sz w:val="20"/>
        </w:rPr>
        <w:t> </w:t>
      </w:r>
      <w:r>
        <w:rPr>
          <w:sz w:val="20"/>
        </w:rPr>
        <w:t>of</w:t>
      </w:r>
      <w:r>
        <w:rPr>
          <w:spacing w:val="-4"/>
          <w:sz w:val="20"/>
        </w:rPr>
        <w:t> </w:t>
      </w:r>
      <w:r>
        <w:rPr>
          <w:sz w:val="20"/>
        </w:rPr>
        <w:t>the</w:t>
      </w:r>
      <w:r>
        <w:rPr>
          <w:spacing w:val="-7"/>
          <w:sz w:val="20"/>
        </w:rPr>
        <w:t> </w:t>
      </w:r>
      <w:r>
        <w:rPr>
          <w:sz w:val="20"/>
        </w:rPr>
        <w:t>conflict.</w:t>
      </w:r>
      <w:r>
        <w:rPr>
          <w:spacing w:val="-1"/>
          <w:sz w:val="20"/>
        </w:rPr>
        <w:t> </w:t>
      </w:r>
      <w:r>
        <w:rPr>
          <w:sz w:val="20"/>
        </w:rPr>
        <w:t>The</w:t>
      </w:r>
      <w:r>
        <w:rPr>
          <w:spacing w:val="-2"/>
          <w:sz w:val="20"/>
        </w:rPr>
        <w:t> </w:t>
      </w:r>
      <w:r>
        <w:rPr>
          <w:sz w:val="20"/>
        </w:rPr>
        <w:t>rapid</w:t>
      </w:r>
      <w:r>
        <w:rPr>
          <w:spacing w:val="-8"/>
          <w:sz w:val="20"/>
        </w:rPr>
        <w:t> </w:t>
      </w:r>
      <w:r>
        <w:rPr>
          <w:sz w:val="20"/>
        </w:rPr>
        <w:t>deployment</w:t>
      </w:r>
      <w:r>
        <w:rPr>
          <w:spacing w:val="-7"/>
          <w:sz w:val="20"/>
        </w:rPr>
        <w:t> </w:t>
      </w:r>
      <w:r>
        <w:rPr>
          <w:sz w:val="20"/>
        </w:rPr>
        <w:t>of</w:t>
      </w:r>
      <w:r>
        <w:rPr>
          <w:spacing w:val="-4"/>
          <w:sz w:val="20"/>
        </w:rPr>
        <w:t> </w:t>
      </w:r>
      <w:r>
        <w:rPr>
          <w:sz w:val="20"/>
        </w:rPr>
        <w:t>investigators</w:t>
      </w:r>
      <w:r>
        <w:rPr>
          <w:spacing w:val="-10"/>
          <w:sz w:val="20"/>
        </w:rPr>
        <w:t> </w:t>
      </w:r>
      <w:r>
        <w:rPr>
          <w:sz w:val="20"/>
        </w:rPr>
        <w:t>and analysts</w:t>
      </w:r>
      <w:r>
        <w:rPr>
          <w:spacing w:val="23"/>
          <w:sz w:val="20"/>
        </w:rPr>
        <w:t> </w:t>
      </w:r>
      <w:r>
        <w:rPr>
          <w:sz w:val="20"/>
        </w:rPr>
        <w:t>on</w:t>
      </w:r>
      <w:r>
        <w:rPr>
          <w:spacing w:val="20"/>
          <w:sz w:val="20"/>
        </w:rPr>
        <w:t> </w:t>
      </w:r>
      <w:r>
        <w:rPr>
          <w:sz w:val="20"/>
        </w:rPr>
        <w:t>the</w:t>
      </w:r>
      <w:r>
        <w:rPr>
          <w:spacing w:val="26"/>
          <w:sz w:val="20"/>
        </w:rPr>
        <w:t> </w:t>
      </w:r>
      <w:r>
        <w:rPr>
          <w:sz w:val="20"/>
        </w:rPr>
        <w:t>ground</w:t>
      </w:r>
      <w:r>
        <w:rPr>
          <w:spacing w:val="20"/>
          <w:sz w:val="20"/>
        </w:rPr>
        <w:t> </w:t>
      </w:r>
      <w:r>
        <w:rPr>
          <w:sz w:val="20"/>
        </w:rPr>
        <w:t>will</w:t>
      </w:r>
      <w:r>
        <w:rPr>
          <w:spacing w:val="26"/>
          <w:sz w:val="20"/>
        </w:rPr>
        <w:t> </w:t>
      </w:r>
      <w:r>
        <w:rPr>
          <w:sz w:val="20"/>
        </w:rPr>
        <w:t>be</w:t>
      </w:r>
      <w:r>
        <w:rPr>
          <w:spacing w:val="21"/>
          <w:sz w:val="20"/>
        </w:rPr>
        <w:t> </w:t>
      </w:r>
      <w:r>
        <w:rPr>
          <w:sz w:val="20"/>
        </w:rPr>
        <w:t>crucial</w:t>
      </w:r>
      <w:r>
        <w:rPr>
          <w:spacing w:val="21"/>
          <w:sz w:val="20"/>
        </w:rPr>
        <w:t> </w:t>
      </w:r>
      <w:r>
        <w:rPr>
          <w:sz w:val="20"/>
        </w:rPr>
        <w:t>in</w:t>
      </w:r>
      <w:r>
        <w:rPr>
          <w:spacing w:val="24"/>
          <w:sz w:val="20"/>
        </w:rPr>
        <w:t> </w:t>
      </w:r>
      <w:r>
        <w:rPr>
          <w:sz w:val="20"/>
        </w:rPr>
        <w:t>preserving</w:t>
      </w:r>
      <w:r>
        <w:rPr>
          <w:spacing w:val="20"/>
          <w:sz w:val="20"/>
        </w:rPr>
        <w:t> </w:t>
      </w:r>
      <w:r>
        <w:rPr>
          <w:sz w:val="20"/>
        </w:rPr>
        <w:t>the</w:t>
      </w:r>
      <w:r>
        <w:rPr>
          <w:spacing w:val="26"/>
          <w:sz w:val="20"/>
        </w:rPr>
        <w:t> </w:t>
      </w:r>
      <w:r>
        <w:rPr>
          <w:sz w:val="20"/>
        </w:rPr>
        <w:t>integrity</w:t>
      </w:r>
      <w:r>
        <w:rPr>
          <w:spacing w:val="24"/>
          <w:sz w:val="20"/>
        </w:rPr>
        <w:t> </w:t>
      </w:r>
      <w:r>
        <w:rPr>
          <w:sz w:val="20"/>
        </w:rPr>
        <w:t>of</w:t>
      </w:r>
      <w:r>
        <w:rPr>
          <w:spacing w:val="20"/>
          <w:sz w:val="20"/>
        </w:rPr>
        <w:t> </w:t>
      </w:r>
      <w:r>
        <w:rPr>
          <w:sz w:val="20"/>
        </w:rPr>
        <w:t>evidentiary</w:t>
      </w:r>
      <w:r>
        <w:rPr>
          <w:spacing w:val="20"/>
          <w:sz w:val="20"/>
        </w:rPr>
        <w:t> </w:t>
      </w:r>
      <w:r>
        <w:rPr>
          <w:sz w:val="20"/>
        </w:rPr>
        <w:t>material,</w:t>
      </w:r>
    </w:p>
    <w:p>
      <w:pPr>
        <w:pStyle w:val="BodyText"/>
        <w:spacing w:before="10"/>
        <w:rPr>
          <w:sz w:val="19"/>
        </w:rPr>
      </w:pPr>
      <w:r>
        <w:rPr/>
        <w:pict>
          <v:rect style="position:absolute;margin-left:113.330002pt;margin-top:12.636507pt;width:144.050pt;height:.48004pt;mso-position-horizontal-relative:page;mso-position-vertical-relative:paragraph;z-index:-15708160;mso-wrap-distance-left:0;mso-wrap-distance-right:0" id="docshape105" filled="true" fillcolor="#000000" stroked="false">
            <v:fill type="solid"/>
            <w10:wrap type="topAndBottom"/>
          </v:rect>
        </w:pict>
      </w:r>
    </w:p>
    <w:p>
      <w:pPr>
        <w:spacing w:before="86"/>
        <w:ind w:left="2246" w:right="2195" w:firstLine="0"/>
        <w:jc w:val="left"/>
        <w:rPr>
          <w:sz w:val="16"/>
        </w:rPr>
      </w:pPr>
      <w:r>
        <w:rPr>
          <w:position w:val="5"/>
          <w:sz w:val="10"/>
        </w:rPr>
        <w:t>58</w:t>
      </w:r>
      <w:r>
        <w:rPr>
          <w:spacing w:val="40"/>
          <w:position w:val="5"/>
          <w:sz w:val="10"/>
        </w:rPr>
        <w:t> </w:t>
      </w:r>
      <w:r>
        <w:rPr>
          <w:sz w:val="16"/>
        </w:rPr>
        <w:t>See</w:t>
      </w:r>
      <w:r>
        <w:rPr>
          <w:spacing w:val="28"/>
          <w:sz w:val="16"/>
        </w:rPr>
        <w:t> </w:t>
      </w:r>
      <w:r>
        <w:rPr>
          <w:i/>
          <w:sz w:val="16"/>
        </w:rPr>
        <w:t>Independent</w:t>
      </w:r>
      <w:r>
        <w:rPr>
          <w:i/>
          <w:spacing w:val="25"/>
          <w:sz w:val="16"/>
        </w:rPr>
        <w:t> </w:t>
      </w:r>
      <w:r>
        <w:rPr>
          <w:i/>
          <w:sz w:val="16"/>
        </w:rPr>
        <w:t>Expert</w:t>
      </w:r>
      <w:r>
        <w:rPr>
          <w:i/>
          <w:spacing w:val="25"/>
          <w:sz w:val="16"/>
        </w:rPr>
        <w:t> </w:t>
      </w:r>
      <w:r>
        <w:rPr>
          <w:i/>
          <w:sz w:val="16"/>
        </w:rPr>
        <w:t>Review</w:t>
      </w:r>
      <w:r>
        <w:rPr>
          <w:i/>
          <w:spacing w:val="26"/>
          <w:sz w:val="16"/>
        </w:rPr>
        <w:t> </w:t>
      </w:r>
      <w:r>
        <w:rPr>
          <w:i/>
          <w:sz w:val="16"/>
        </w:rPr>
        <w:t>of</w:t>
      </w:r>
      <w:r>
        <w:rPr>
          <w:i/>
          <w:spacing w:val="25"/>
          <w:sz w:val="16"/>
        </w:rPr>
        <w:t> </w:t>
      </w:r>
      <w:r>
        <w:rPr>
          <w:i/>
          <w:sz w:val="16"/>
        </w:rPr>
        <w:t>the</w:t>
      </w:r>
      <w:r>
        <w:rPr>
          <w:i/>
          <w:spacing w:val="27"/>
          <w:sz w:val="16"/>
        </w:rPr>
        <w:t> </w:t>
      </w:r>
      <w:r>
        <w:rPr>
          <w:i/>
          <w:sz w:val="16"/>
        </w:rPr>
        <w:t>International</w:t>
      </w:r>
      <w:r>
        <w:rPr>
          <w:i/>
          <w:spacing w:val="25"/>
          <w:sz w:val="16"/>
        </w:rPr>
        <w:t> </w:t>
      </w:r>
      <w:r>
        <w:rPr>
          <w:i/>
          <w:sz w:val="16"/>
        </w:rPr>
        <w:t>Criminal</w:t>
      </w:r>
      <w:r>
        <w:rPr>
          <w:i/>
          <w:spacing w:val="25"/>
          <w:sz w:val="16"/>
        </w:rPr>
        <w:t> </w:t>
      </w:r>
      <w:r>
        <w:rPr>
          <w:i/>
          <w:sz w:val="16"/>
        </w:rPr>
        <w:t>Court</w:t>
      </w:r>
      <w:r>
        <w:rPr>
          <w:i/>
          <w:spacing w:val="25"/>
          <w:sz w:val="16"/>
        </w:rPr>
        <w:t> </w:t>
      </w:r>
      <w:r>
        <w:rPr>
          <w:i/>
          <w:sz w:val="16"/>
        </w:rPr>
        <w:t>and</w:t>
      </w:r>
      <w:r>
        <w:rPr>
          <w:i/>
          <w:spacing w:val="28"/>
          <w:sz w:val="16"/>
        </w:rPr>
        <w:t> </w:t>
      </w:r>
      <w:r>
        <w:rPr>
          <w:i/>
          <w:sz w:val="16"/>
        </w:rPr>
        <w:t>the</w:t>
      </w:r>
      <w:r>
        <w:rPr>
          <w:i/>
          <w:spacing w:val="27"/>
          <w:sz w:val="16"/>
        </w:rPr>
        <w:t> </w:t>
      </w:r>
      <w:r>
        <w:rPr>
          <w:i/>
          <w:sz w:val="16"/>
        </w:rPr>
        <w:t>Rome</w:t>
      </w:r>
      <w:r>
        <w:rPr>
          <w:i/>
          <w:spacing w:val="27"/>
          <w:sz w:val="16"/>
        </w:rPr>
        <w:t> </w:t>
      </w:r>
      <w:r>
        <w:rPr>
          <w:i/>
          <w:sz w:val="16"/>
        </w:rPr>
        <w:t>Statute</w:t>
      </w:r>
      <w:r>
        <w:rPr>
          <w:i/>
          <w:spacing w:val="38"/>
          <w:sz w:val="16"/>
        </w:rPr>
        <w:t> </w:t>
      </w:r>
      <w:r>
        <w:rPr>
          <w:i/>
          <w:sz w:val="16"/>
        </w:rPr>
        <w:t>–</w:t>
      </w:r>
      <w:r>
        <w:rPr>
          <w:i/>
          <w:spacing w:val="28"/>
          <w:sz w:val="16"/>
        </w:rPr>
        <w:t> </w:t>
      </w:r>
      <w:r>
        <w:rPr>
          <w:i/>
          <w:sz w:val="16"/>
        </w:rPr>
        <w:t>Final</w:t>
      </w:r>
      <w:r>
        <w:rPr>
          <w:i/>
          <w:spacing w:val="25"/>
          <w:sz w:val="16"/>
        </w:rPr>
        <w:t> </w:t>
      </w:r>
      <w:r>
        <w:rPr>
          <w:i/>
          <w:sz w:val="16"/>
        </w:rPr>
        <w:t>Report</w:t>
      </w:r>
      <w:r>
        <w:rPr>
          <w:sz w:val="16"/>
        </w:rPr>
        <w:t>,</w:t>
      </w:r>
      <w:r>
        <w:rPr>
          <w:spacing w:val="40"/>
          <w:sz w:val="16"/>
        </w:rPr>
        <w:t> </w:t>
      </w:r>
      <w:r>
        <w:rPr>
          <w:sz w:val="16"/>
        </w:rPr>
        <w:t>30 September 2020, para. 176.</w:t>
      </w:r>
    </w:p>
    <w:p>
      <w:pPr>
        <w:spacing w:line="181" w:lineRule="exact" w:before="0"/>
        <w:ind w:left="2246" w:right="0" w:firstLine="0"/>
        <w:jc w:val="left"/>
        <w:rPr>
          <w:sz w:val="16"/>
        </w:rPr>
      </w:pPr>
      <w:r>
        <w:rPr>
          <w:position w:val="5"/>
          <w:sz w:val="10"/>
        </w:rPr>
        <w:t>59</w:t>
      </w:r>
      <w:r>
        <w:rPr>
          <w:spacing w:val="14"/>
          <w:position w:val="5"/>
          <w:sz w:val="10"/>
        </w:rPr>
        <w:t> </w:t>
      </w:r>
      <w:r>
        <w:rPr>
          <w:sz w:val="16"/>
        </w:rPr>
        <w:t>See</w:t>
      </w:r>
      <w:r>
        <w:rPr>
          <w:spacing w:val="-1"/>
          <w:sz w:val="16"/>
        </w:rPr>
        <w:t> </w:t>
      </w:r>
      <w:r>
        <w:rPr>
          <w:sz w:val="16"/>
        </w:rPr>
        <w:t>para.</w:t>
      </w:r>
      <w:r>
        <w:rPr>
          <w:spacing w:val="-3"/>
          <w:sz w:val="16"/>
        </w:rPr>
        <w:t> </w:t>
      </w:r>
      <w:r>
        <w:rPr>
          <w:spacing w:val="-4"/>
          <w:sz w:val="16"/>
        </w:rPr>
        <w:t>274.</w:t>
      </w:r>
    </w:p>
    <w:p>
      <w:pPr>
        <w:spacing w:after="0" w:line="181" w:lineRule="exact"/>
        <w:jc w:val="left"/>
        <w:rPr>
          <w:sz w:val="16"/>
        </w:rPr>
        <w:sectPr>
          <w:pgSz w:w="11910" w:h="16840"/>
          <w:pgMar w:header="953" w:footer="940" w:top="1140" w:bottom="1140" w:left="20" w:right="20"/>
        </w:sectPr>
      </w:pPr>
    </w:p>
    <w:p>
      <w:pPr>
        <w:pStyle w:val="BodyText"/>
        <w:spacing w:before="120"/>
        <w:ind w:left="2246" w:right="2248"/>
        <w:jc w:val="both"/>
      </w:pPr>
      <w:r>
        <w:rPr/>
        <w:t>identifying witnesses and survivors who may be able to provide crucial testimony with appropriate</w:t>
      </w:r>
      <w:r>
        <w:rPr>
          <w:spacing w:val="-13"/>
        </w:rPr>
        <w:t> </w:t>
      </w:r>
      <w:r>
        <w:rPr/>
        <w:t>support,</w:t>
      </w:r>
      <w:r>
        <w:rPr>
          <w:spacing w:val="-12"/>
        </w:rPr>
        <w:t> </w:t>
      </w:r>
      <w:r>
        <w:rPr/>
        <w:t>and</w:t>
      </w:r>
      <w:r>
        <w:rPr>
          <w:spacing w:val="-13"/>
        </w:rPr>
        <w:t> </w:t>
      </w:r>
      <w:r>
        <w:rPr/>
        <w:t>establishing</w:t>
      </w:r>
      <w:r>
        <w:rPr>
          <w:spacing w:val="-12"/>
        </w:rPr>
        <w:t> </w:t>
      </w:r>
      <w:r>
        <w:rPr/>
        <w:t>the</w:t>
      </w:r>
      <w:r>
        <w:rPr>
          <w:spacing w:val="-13"/>
        </w:rPr>
        <w:t> </w:t>
      </w:r>
      <w:r>
        <w:rPr/>
        <w:t>cooperation</w:t>
      </w:r>
      <w:r>
        <w:rPr>
          <w:spacing w:val="-12"/>
        </w:rPr>
        <w:t> </w:t>
      </w:r>
      <w:r>
        <w:rPr/>
        <w:t>modalities</w:t>
      </w:r>
      <w:r>
        <w:rPr>
          <w:spacing w:val="-13"/>
        </w:rPr>
        <w:t> </w:t>
      </w:r>
      <w:r>
        <w:rPr/>
        <w:t>with</w:t>
      </w:r>
      <w:r>
        <w:rPr>
          <w:spacing w:val="-12"/>
        </w:rPr>
        <w:t> </w:t>
      </w:r>
      <w:r>
        <w:rPr/>
        <w:t>national</w:t>
      </w:r>
      <w:r>
        <w:rPr>
          <w:spacing w:val="-13"/>
        </w:rPr>
        <w:t> </w:t>
      </w:r>
      <w:r>
        <w:rPr/>
        <w:t>authorities</w:t>
      </w:r>
      <w:r>
        <w:rPr>
          <w:spacing w:val="-11"/>
        </w:rPr>
        <w:t> </w:t>
      </w:r>
      <w:r>
        <w:rPr/>
        <w:t>and other actors in order to secure relevant information and evidence.</w:t>
      </w:r>
    </w:p>
    <w:p>
      <w:pPr>
        <w:pStyle w:val="ListParagraph"/>
        <w:numPr>
          <w:ilvl w:val="0"/>
          <w:numId w:val="4"/>
        </w:numPr>
        <w:tabs>
          <w:tab w:pos="2967" w:val="left" w:leader="none"/>
        </w:tabs>
        <w:spacing w:line="240" w:lineRule="auto" w:before="121" w:after="0"/>
        <w:ind w:left="2246" w:right="2236" w:firstLine="0"/>
        <w:jc w:val="both"/>
        <w:rPr>
          <w:sz w:val="20"/>
        </w:rPr>
      </w:pPr>
      <w:r>
        <w:rPr>
          <w:sz w:val="20"/>
        </w:rPr>
        <w:t>Reflecting</w:t>
      </w:r>
      <w:r>
        <w:rPr>
          <w:spacing w:val="-3"/>
          <w:sz w:val="20"/>
        </w:rPr>
        <w:t> </w:t>
      </w:r>
      <w:r>
        <w:rPr>
          <w:sz w:val="20"/>
        </w:rPr>
        <w:t>this</w:t>
      </w:r>
      <w:r>
        <w:rPr>
          <w:spacing w:val="-4"/>
          <w:sz w:val="20"/>
        </w:rPr>
        <w:t> </w:t>
      </w:r>
      <w:r>
        <w:rPr>
          <w:sz w:val="20"/>
        </w:rPr>
        <w:t>approach, while</w:t>
      </w:r>
      <w:r>
        <w:rPr>
          <w:spacing w:val="-1"/>
          <w:sz w:val="20"/>
        </w:rPr>
        <w:t> </w:t>
      </w:r>
      <w:r>
        <w:rPr>
          <w:sz w:val="20"/>
        </w:rPr>
        <w:t>a number of team members</w:t>
      </w:r>
      <w:r>
        <w:rPr>
          <w:spacing w:val="-4"/>
          <w:sz w:val="20"/>
        </w:rPr>
        <w:t> </w:t>
      </w:r>
      <w:r>
        <w:rPr>
          <w:sz w:val="20"/>
        </w:rPr>
        <w:t>will be allocated</w:t>
      </w:r>
      <w:r>
        <w:rPr>
          <w:spacing w:val="-3"/>
          <w:sz w:val="20"/>
        </w:rPr>
        <w:t> </w:t>
      </w:r>
      <w:r>
        <w:rPr>
          <w:sz w:val="20"/>
        </w:rPr>
        <w:t>to the HQ and will make missions to Ukraine when required, the largest part of the team will be stationed in</w:t>
      </w:r>
      <w:r>
        <w:rPr>
          <w:spacing w:val="-4"/>
          <w:sz w:val="20"/>
        </w:rPr>
        <w:t> </w:t>
      </w:r>
      <w:r>
        <w:rPr>
          <w:sz w:val="20"/>
        </w:rPr>
        <w:t>the Ukraine</w:t>
      </w:r>
      <w:r>
        <w:rPr>
          <w:spacing w:val="-2"/>
          <w:sz w:val="20"/>
        </w:rPr>
        <w:t> </w:t>
      </w:r>
      <w:r>
        <w:rPr>
          <w:sz w:val="20"/>
        </w:rPr>
        <w:t>itself. The largest component of</w:t>
      </w:r>
      <w:r>
        <w:rPr>
          <w:spacing w:val="-4"/>
          <w:sz w:val="20"/>
        </w:rPr>
        <w:t> </w:t>
      </w:r>
      <w:r>
        <w:rPr>
          <w:sz w:val="20"/>
        </w:rPr>
        <w:t>the</w:t>
      </w:r>
      <w:r>
        <w:rPr>
          <w:spacing w:val="-2"/>
          <w:sz w:val="20"/>
        </w:rPr>
        <w:t> </w:t>
      </w:r>
      <w:r>
        <w:rPr>
          <w:sz w:val="20"/>
        </w:rPr>
        <w:t>team will be</w:t>
      </w:r>
      <w:r>
        <w:rPr>
          <w:spacing w:val="-2"/>
          <w:sz w:val="20"/>
        </w:rPr>
        <w:t> </w:t>
      </w:r>
      <w:r>
        <w:rPr>
          <w:sz w:val="20"/>
        </w:rPr>
        <w:t>composed of staff recruited through GTA contracts, allowing for future flexibility with respect to deployment and resource allocation. International staff members will be supplemented by a limited number</w:t>
      </w:r>
      <w:r>
        <w:rPr>
          <w:spacing w:val="-1"/>
          <w:sz w:val="20"/>
        </w:rPr>
        <w:t> </w:t>
      </w:r>
      <w:r>
        <w:rPr>
          <w:sz w:val="20"/>
        </w:rPr>
        <w:t>of</w:t>
      </w:r>
      <w:r>
        <w:rPr>
          <w:spacing w:val="-1"/>
          <w:sz w:val="20"/>
        </w:rPr>
        <w:t> </w:t>
      </w:r>
      <w:r>
        <w:rPr>
          <w:sz w:val="20"/>
        </w:rPr>
        <w:t>National Professional Officers</w:t>
      </w:r>
      <w:r>
        <w:rPr>
          <w:spacing w:val="-2"/>
          <w:sz w:val="20"/>
        </w:rPr>
        <w:t> </w:t>
      </w:r>
      <w:r>
        <w:rPr>
          <w:sz w:val="20"/>
        </w:rPr>
        <w:t>who</w:t>
      </w:r>
      <w:r>
        <w:rPr>
          <w:spacing w:val="-1"/>
          <w:sz w:val="20"/>
        </w:rPr>
        <w:t> </w:t>
      </w:r>
      <w:r>
        <w:rPr>
          <w:sz w:val="20"/>
        </w:rPr>
        <w:t>will contribute with</w:t>
      </w:r>
      <w:r>
        <w:rPr>
          <w:spacing w:val="-1"/>
          <w:sz w:val="20"/>
        </w:rPr>
        <w:t> </w:t>
      </w:r>
      <w:r>
        <w:rPr>
          <w:sz w:val="20"/>
        </w:rPr>
        <w:t>their</w:t>
      </w:r>
      <w:r>
        <w:rPr>
          <w:spacing w:val="-6"/>
          <w:sz w:val="20"/>
        </w:rPr>
        <w:t> </w:t>
      </w:r>
      <w:r>
        <w:rPr>
          <w:sz w:val="20"/>
        </w:rPr>
        <w:t>specific knowledge of the situation and region.</w:t>
      </w:r>
    </w:p>
    <w:p>
      <w:pPr>
        <w:pStyle w:val="ListParagraph"/>
        <w:numPr>
          <w:ilvl w:val="0"/>
          <w:numId w:val="4"/>
        </w:numPr>
        <w:tabs>
          <w:tab w:pos="2967" w:val="left" w:leader="none"/>
        </w:tabs>
        <w:spacing w:line="240" w:lineRule="auto" w:before="119" w:after="0"/>
        <w:ind w:left="2246" w:right="2240" w:firstLine="0"/>
        <w:jc w:val="both"/>
        <w:rPr>
          <w:sz w:val="20"/>
        </w:rPr>
      </w:pPr>
      <w:r>
        <w:rPr>
          <w:sz w:val="20"/>
        </w:rPr>
        <w:t>The Prosecutor has placed the investigation in the Ukraine situation under the leadership</w:t>
      </w:r>
      <w:r>
        <w:rPr>
          <w:spacing w:val="-13"/>
          <w:sz w:val="20"/>
        </w:rPr>
        <w:t> </w:t>
      </w:r>
      <w:r>
        <w:rPr>
          <w:sz w:val="20"/>
        </w:rPr>
        <w:t>of</w:t>
      </w:r>
      <w:r>
        <w:rPr>
          <w:spacing w:val="-12"/>
          <w:sz w:val="20"/>
        </w:rPr>
        <w:t> </w:t>
      </w:r>
      <w:r>
        <w:rPr>
          <w:sz w:val="20"/>
        </w:rPr>
        <w:t>the</w:t>
      </w:r>
      <w:r>
        <w:rPr>
          <w:spacing w:val="-13"/>
          <w:sz w:val="20"/>
        </w:rPr>
        <w:t> </w:t>
      </w:r>
      <w:r>
        <w:rPr>
          <w:sz w:val="20"/>
        </w:rPr>
        <w:t>Principal</w:t>
      </w:r>
      <w:r>
        <w:rPr>
          <w:spacing w:val="-12"/>
          <w:sz w:val="20"/>
        </w:rPr>
        <w:t> </w:t>
      </w:r>
      <w:r>
        <w:rPr>
          <w:sz w:val="20"/>
        </w:rPr>
        <w:t>Trial</w:t>
      </w:r>
      <w:r>
        <w:rPr>
          <w:spacing w:val="-13"/>
          <w:sz w:val="20"/>
        </w:rPr>
        <w:t> </w:t>
      </w:r>
      <w:r>
        <w:rPr>
          <w:sz w:val="20"/>
        </w:rPr>
        <w:t>Lawyer</w:t>
      </w:r>
      <w:r>
        <w:rPr>
          <w:spacing w:val="-12"/>
          <w:sz w:val="20"/>
        </w:rPr>
        <w:t> </w:t>
      </w:r>
      <w:r>
        <w:rPr>
          <w:sz w:val="20"/>
        </w:rPr>
        <w:t>(D-1)</w:t>
      </w:r>
      <w:r>
        <w:rPr>
          <w:sz w:val="20"/>
          <w:vertAlign w:val="superscript"/>
        </w:rPr>
        <w:t>60</w:t>
      </w:r>
      <w:r>
        <w:rPr>
          <w:spacing w:val="-13"/>
          <w:sz w:val="20"/>
          <w:vertAlign w:val="baseline"/>
        </w:rPr>
        <w:t> </w:t>
      </w:r>
      <w:r>
        <w:rPr>
          <w:sz w:val="20"/>
          <w:vertAlign w:val="baseline"/>
        </w:rPr>
        <w:t>who</w:t>
      </w:r>
      <w:r>
        <w:rPr>
          <w:spacing w:val="-12"/>
          <w:sz w:val="20"/>
          <w:vertAlign w:val="baseline"/>
        </w:rPr>
        <w:t> </w:t>
      </w:r>
      <w:r>
        <w:rPr>
          <w:sz w:val="20"/>
          <w:vertAlign w:val="baseline"/>
        </w:rPr>
        <w:t>will</w:t>
      </w:r>
      <w:r>
        <w:rPr>
          <w:spacing w:val="-13"/>
          <w:sz w:val="20"/>
          <w:vertAlign w:val="baseline"/>
        </w:rPr>
        <w:t> </w:t>
      </w:r>
      <w:r>
        <w:rPr>
          <w:sz w:val="20"/>
          <w:vertAlign w:val="baseline"/>
        </w:rPr>
        <w:t>report</w:t>
      </w:r>
      <w:r>
        <w:rPr>
          <w:spacing w:val="-12"/>
          <w:sz w:val="20"/>
          <w:vertAlign w:val="baseline"/>
        </w:rPr>
        <w:t> </w:t>
      </w:r>
      <w:r>
        <w:rPr>
          <w:sz w:val="20"/>
          <w:vertAlign w:val="baseline"/>
        </w:rPr>
        <w:t>directly</w:t>
      </w:r>
      <w:r>
        <w:rPr>
          <w:spacing w:val="-13"/>
          <w:sz w:val="20"/>
          <w:vertAlign w:val="baseline"/>
        </w:rPr>
        <w:t> </w:t>
      </w:r>
      <w:r>
        <w:rPr>
          <w:sz w:val="20"/>
          <w:vertAlign w:val="baseline"/>
        </w:rPr>
        <w:t>to</w:t>
      </w:r>
      <w:r>
        <w:rPr>
          <w:spacing w:val="-12"/>
          <w:sz w:val="20"/>
          <w:vertAlign w:val="baseline"/>
        </w:rPr>
        <w:t> </w:t>
      </w:r>
      <w:r>
        <w:rPr>
          <w:sz w:val="20"/>
          <w:vertAlign w:val="baseline"/>
        </w:rPr>
        <w:t>him</w:t>
      </w:r>
      <w:r>
        <w:rPr>
          <w:spacing w:val="-13"/>
          <w:sz w:val="20"/>
          <w:vertAlign w:val="baseline"/>
        </w:rPr>
        <w:t> </w:t>
      </w:r>
      <w:r>
        <w:rPr>
          <w:sz w:val="20"/>
          <w:vertAlign w:val="baseline"/>
        </w:rPr>
        <w:t>so</w:t>
      </w:r>
      <w:r>
        <w:rPr>
          <w:spacing w:val="-12"/>
          <w:sz w:val="20"/>
          <w:vertAlign w:val="baseline"/>
        </w:rPr>
        <w:t> </w:t>
      </w:r>
      <w:r>
        <w:rPr>
          <w:sz w:val="20"/>
          <w:vertAlign w:val="baseline"/>
        </w:rPr>
        <w:t>as</w:t>
      </w:r>
      <w:r>
        <w:rPr>
          <w:spacing w:val="-13"/>
          <w:sz w:val="20"/>
          <w:vertAlign w:val="baseline"/>
        </w:rPr>
        <w:t> </w:t>
      </w:r>
      <w:r>
        <w:rPr>
          <w:sz w:val="20"/>
          <w:vertAlign w:val="baseline"/>
        </w:rPr>
        <w:t>to</w:t>
      </w:r>
      <w:r>
        <w:rPr>
          <w:spacing w:val="-12"/>
          <w:sz w:val="20"/>
          <w:vertAlign w:val="baseline"/>
        </w:rPr>
        <w:t> </w:t>
      </w:r>
      <w:r>
        <w:rPr>
          <w:sz w:val="20"/>
          <w:vertAlign w:val="baseline"/>
        </w:rPr>
        <w:t>ensure the work of the team is guided by direct strategic input from the Prosecutor while also ensuring</w:t>
      </w:r>
      <w:r>
        <w:rPr>
          <w:spacing w:val="-13"/>
          <w:sz w:val="20"/>
          <w:vertAlign w:val="baseline"/>
        </w:rPr>
        <w:t> </w:t>
      </w:r>
      <w:r>
        <w:rPr>
          <w:sz w:val="20"/>
          <w:vertAlign w:val="baseline"/>
        </w:rPr>
        <w:t>that</w:t>
      </w:r>
      <w:r>
        <w:rPr>
          <w:spacing w:val="-12"/>
          <w:sz w:val="20"/>
          <w:vertAlign w:val="baseline"/>
        </w:rPr>
        <w:t> </w:t>
      </w:r>
      <w:r>
        <w:rPr>
          <w:sz w:val="20"/>
          <w:vertAlign w:val="baseline"/>
        </w:rPr>
        <w:t>the</w:t>
      </w:r>
      <w:r>
        <w:rPr>
          <w:spacing w:val="-13"/>
          <w:sz w:val="20"/>
          <w:vertAlign w:val="baseline"/>
        </w:rPr>
        <w:t> </w:t>
      </w:r>
      <w:r>
        <w:rPr>
          <w:sz w:val="20"/>
          <w:vertAlign w:val="baseline"/>
        </w:rPr>
        <w:t>balance</w:t>
      </w:r>
      <w:r>
        <w:rPr>
          <w:spacing w:val="-12"/>
          <w:sz w:val="20"/>
          <w:vertAlign w:val="baseline"/>
        </w:rPr>
        <w:t> </w:t>
      </w:r>
      <w:r>
        <w:rPr>
          <w:sz w:val="20"/>
          <w:vertAlign w:val="baseline"/>
        </w:rPr>
        <w:t>of</w:t>
      </w:r>
      <w:r>
        <w:rPr>
          <w:spacing w:val="-13"/>
          <w:sz w:val="20"/>
          <w:vertAlign w:val="baseline"/>
        </w:rPr>
        <w:t> </w:t>
      </w:r>
      <w:r>
        <w:rPr>
          <w:sz w:val="20"/>
          <w:vertAlign w:val="baseline"/>
        </w:rPr>
        <w:t>work</w:t>
      </w:r>
      <w:r>
        <w:rPr>
          <w:spacing w:val="-12"/>
          <w:sz w:val="20"/>
          <w:vertAlign w:val="baseline"/>
        </w:rPr>
        <w:t> </w:t>
      </w:r>
      <w:r>
        <w:rPr>
          <w:sz w:val="20"/>
          <w:vertAlign w:val="baseline"/>
        </w:rPr>
        <w:t>across</w:t>
      </w:r>
      <w:r>
        <w:rPr>
          <w:spacing w:val="-13"/>
          <w:sz w:val="20"/>
          <w:vertAlign w:val="baseline"/>
        </w:rPr>
        <w:t> </w:t>
      </w:r>
      <w:r>
        <w:rPr>
          <w:sz w:val="20"/>
          <w:vertAlign w:val="baseline"/>
        </w:rPr>
        <w:t>Programmes</w:t>
      </w:r>
      <w:r>
        <w:rPr>
          <w:spacing w:val="-12"/>
          <w:sz w:val="20"/>
          <w:vertAlign w:val="baseline"/>
        </w:rPr>
        <w:t> </w:t>
      </w:r>
      <w:r>
        <w:rPr>
          <w:sz w:val="20"/>
          <w:vertAlign w:val="baseline"/>
        </w:rPr>
        <w:t>B1</w:t>
      </w:r>
      <w:r>
        <w:rPr>
          <w:spacing w:val="-13"/>
          <w:sz w:val="20"/>
          <w:vertAlign w:val="baseline"/>
        </w:rPr>
        <w:t> </w:t>
      </w:r>
      <w:r>
        <w:rPr>
          <w:sz w:val="20"/>
          <w:vertAlign w:val="baseline"/>
        </w:rPr>
        <w:t>and</w:t>
      </w:r>
      <w:r>
        <w:rPr>
          <w:spacing w:val="-12"/>
          <w:sz w:val="20"/>
          <w:vertAlign w:val="baseline"/>
        </w:rPr>
        <w:t> </w:t>
      </w:r>
      <w:r>
        <w:rPr>
          <w:sz w:val="20"/>
          <w:vertAlign w:val="baseline"/>
        </w:rPr>
        <w:t>B2</w:t>
      </w:r>
      <w:r>
        <w:rPr>
          <w:spacing w:val="-13"/>
          <w:sz w:val="20"/>
          <w:vertAlign w:val="baseline"/>
        </w:rPr>
        <w:t> </w:t>
      </w:r>
      <w:r>
        <w:rPr>
          <w:sz w:val="20"/>
          <w:vertAlign w:val="baseline"/>
        </w:rPr>
        <w:t>is</w:t>
      </w:r>
      <w:r>
        <w:rPr>
          <w:spacing w:val="-12"/>
          <w:sz w:val="20"/>
          <w:vertAlign w:val="baseline"/>
        </w:rPr>
        <w:t> </w:t>
      </w:r>
      <w:r>
        <w:rPr>
          <w:sz w:val="20"/>
          <w:vertAlign w:val="baseline"/>
        </w:rPr>
        <w:t>maintained.</w:t>
      </w:r>
      <w:r>
        <w:rPr>
          <w:spacing w:val="-9"/>
          <w:sz w:val="20"/>
          <w:vertAlign w:val="baseline"/>
        </w:rPr>
        <w:t> </w:t>
      </w:r>
      <w:r>
        <w:rPr>
          <w:sz w:val="20"/>
          <w:vertAlign w:val="baseline"/>
        </w:rPr>
        <w:t>This</w:t>
      </w:r>
      <w:r>
        <w:rPr>
          <w:spacing w:val="-13"/>
          <w:sz w:val="20"/>
          <w:vertAlign w:val="baseline"/>
        </w:rPr>
        <w:t> </w:t>
      </w:r>
      <w:r>
        <w:rPr>
          <w:sz w:val="20"/>
          <w:vertAlign w:val="baseline"/>
        </w:rPr>
        <w:t>structure is intended to allow the Deputy Prosecutors to continue to provide sufficient strategic guidance in relation to the situations in their respective pillars.</w:t>
      </w:r>
    </w:p>
    <w:p>
      <w:pPr>
        <w:pStyle w:val="ListParagraph"/>
        <w:numPr>
          <w:ilvl w:val="0"/>
          <w:numId w:val="4"/>
        </w:numPr>
        <w:tabs>
          <w:tab w:pos="2967" w:val="left" w:leader="none"/>
        </w:tabs>
        <w:spacing w:line="240" w:lineRule="auto" w:before="123" w:after="0"/>
        <w:ind w:left="2246" w:right="2247" w:firstLine="0"/>
        <w:jc w:val="both"/>
        <w:rPr>
          <w:sz w:val="20"/>
        </w:rPr>
      </w:pPr>
      <w:r>
        <w:rPr>
          <w:sz w:val="20"/>
        </w:rPr>
        <w:t>Arrangements</w:t>
      </w:r>
      <w:r>
        <w:rPr>
          <w:spacing w:val="-7"/>
          <w:sz w:val="20"/>
        </w:rPr>
        <w:t> </w:t>
      </w:r>
      <w:r>
        <w:rPr>
          <w:sz w:val="20"/>
        </w:rPr>
        <w:t>for</w:t>
      </w:r>
      <w:r>
        <w:rPr>
          <w:spacing w:val="-6"/>
          <w:sz w:val="20"/>
        </w:rPr>
        <w:t> </w:t>
      </w:r>
      <w:r>
        <w:rPr>
          <w:sz w:val="20"/>
        </w:rPr>
        <w:t>the</w:t>
      </w:r>
      <w:r>
        <w:rPr>
          <w:spacing w:val="-9"/>
          <w:sz w:val="20"/>
        </w:rPr>
        <w:t> </w:t>
      </w:r>
      <w:r>
        <w:rPr>
          <w:sz w:val="20"/>
        </w:rPr>
        <w:t>accommodation</w:t>
      </w:r>
      <w:r>
        <w:rPr>
          <w:spacing w:val="-6"/>
          <w:sz w:val="20"/>
        </w:rPr>
        <w:t> </w:t>
      </w:r>
      <w:r>
        <w:rPr>
          <w:sz w:val="20"/>
        </w:rPr>
        <w:t>of</w:t>
      </w:r>
      <w:r>
        <w:rPr>
          <w:spacing w:val="-10"/>
          <w:sz w:val="20"/>
        </w:rPr>
        <w:t> </w:t>
      </w:r>
      <w:r>
        <w:rPr>
          <w:sz w:val="20"/>
        </w:rPr>
        <w:t>staff</w:t>
      </w:r>
      <w:r>
        <w:rPr>
          <w:spacing w:val="-6"/>
          <w:sz w:val="20"/>
        </w:rPr>
        <w:t> </w:t>
      </w:r>
      <w:r>
        <w:rPr>
          <w:sz w:val="20"/>
        </w:rPr>
        <w:t>and</w:t>
      </w:r>
      <w:r>
        <w:rPr>
          <w:spacing w:val="-6"/>
          <w:sz w:val="20"/>
        </w:rPr>
        <w:t> </w:t>
      </w:r>
      <w:r>
        <w:rPr>
          <w:sz w:val="20"/>
        </w:rPr>
        <w:t>office</w:t>
      </w:r>
      <w:r>
        <w:rPr>
          <w:spacing w:val="-4"/>
          <w:sz w:val="20"/>
        </w:rPr>
        <w:t> </w:t>
      </w:r>
      <w:r>
        <w:rPr>
          <w:sz w:val="20"/>
        </w:rPr>
        <w:t>space</w:t>
      </w:r>
      <w:r>
        <w:rPr>
          <w:spacing w:val="-4"/>
          <w:sz w:val="20"/>
        </w:rPr>
        <w:t> </w:t>
      </w:r>
      <w:r>
        <w:rPr>
          <w:sz w:val="20"/>
        </w:rPr>
        <w:t>have</w:t>
      </w:r>
      <w:r>
        <w:rPr>
          <w:spacing w:val="-4"/>
          <w:sz w:val="20"/>
        </w:rPr>
        <w:t> </w:t>
      </w:r>
      <w:r>
        <w:rPr>
          <w:sz w:val="20"/>
        </w:rPr>
        <w:t>been</w:t>
      </w:r>
      <w:r>
        <w:rPr>
          <w:spacing w:val="-6"/>
          <w:sz w:val="20"/>
        </w:rPr>
        <w:t> </w:t>
      </w:r>
      <w:r>
        <w:rPr>
          <w:sz w:val="20"/>
        </w:rPr>
        <w:t>discussed with the Registry to ensure the most effective and efficient use of resources.</w:t>
      </w:r>
    </w:p>
    <w:p>
      <w:pPr>
        <w:pStyle w:val="BodyText"/>
        <w:rPr>
          <w:sz w:val="21"/>
        </w:rPr>
      </w:pPr>
    </w:p>
    <w:p>
      <w:pPr>
        <w:pStyle w:val="Heading3"/>
        <w:tabs>
          <w:tab w:pos="8076" w:val="left" w:leader="none"/>
        </w:tabs>
        <w:jc w:val="both"/>
      </w:pPr>
      <w:r>
        <w:rPr/>
        <w:t>Budget</w:t>
      </w:r>
      <w:r>
        <w:rPr>
          <w:spacing w:val="-6"/>
        </w:rPr>
        <w:t> </w:t>
      </w:r>
      <w:r>
        <w:rPr>
          <w:spacing w:val="-2"/>
        </w:rPr>
        <w:t>resources</w:t>
      </w:r>
      <w:r>
        <w:rPr/>
        <w:tab/>
        <w:t>€9,493.6</w:t>
      </w:r>
      <w:r>
        <w:rPr>
          <w:spacing w:val="-6"/>
        </w:rPr>
        <w:t> </w:t>
      </w:r>
      <w:r>
        <w:rPr>
          <w:spacing w:val="-2"/>
        </w:rPr>
        <w:t>thousand</w:t>
      </w:r>
    </w:p>
    <w:p>
      <w:pPr>
        <w:pStyle w:val="BodyText"/>
        <w:spacing w:before="10"/>
        <w:rPr>
          <w:b/>
        </w:rPr>
      </w:pPr>
    </w:p>
    <w:p>
      <w:pPr>
        <w:pStyle w:val="ListParagraph"/>
        <w:numPr>
          <w:ilvl w:val="0"/>
          <w:numId w:val="4"/>
        </w:numPr>
        <w:tabs>
          <w:tab w:pos="2967" w:val="left" w:leader="none"/>
        </w:tabs>
        <w:spacing w:line="240" w:lineRule="auto" w:before="0" w:after="0"/>
        <w:ind w:left="2246" w:right="2241" w:firstLine="0"/>
        <w:jc w:val="both"/>
        <w:rPr>
          <w:sz w:val="20"/>
        </w:rPr>
      </w:pPr>
      <w:r>
        <w:rPr>
          <w:sz w:val="20"/>
        </w:rPr>
        <w:t>During</w:t>
      </w:r>
      <w:r>
        <w:rPr>
          <w:spacing w:val="-13"/>
          <w:sz w:val="20"/>
        </w:rPr>
        <w:t> </w:t>
      </w:r>
      <w:r>
        <w:rPr>
          <w:sz w:val="20"/>
        </w:rPr>
        <w:t>his</w:t>
      </w:r>
      <w:r>
        <w:rPr>
          <w:spacing w:val="-12"/>
          <w:sz w:val="20"/>
        </w:rPr>
        <w:t> </w:t>
      </w:r>
      <w:r>
        <w:rPr>
          <w:sz w:val="20"/>
        </w:rPr>
        <w:t>first</w:t>
      </w:r>
      <w:r>
        <w:rPr>
          <w:spacing w:val="-13"/>
          <w:sz w:val="20"/>
        </w:rPr>
        <w:t> </w:t>
      </w:r>
      <w:r>
        <w:rPr>
          <w:sz w:val="20"/>
        </w:rPr>
        <w:t>year</w:t>
      </w:r>
      <w:r>
        <w:rPr>
          <w:spacing w:val="-12"/>
          <w:sz w:val="20"/>
        </w:rPr>
        <w:t> </w:t>
      </w:r>
      <w:r>
        <w:rPr>
          <w:sz w:val="20"/>
        </w:rPr>
        <w:t>in</w:t>
      </w:r>
      <w:r>
        <w:rPr>
          <w:spacing w:val="-13"/>
          <w:sz w:val="20"/>
        </w:rPr>
        <w:t> </w:t>
      </w:r>
      <w:r>
        <w:rPr>
          <w:sz w:val="20"/>
        </w:rPr>
        <w:t>office,</w:t>
      </w:r>
      <w:r>
        <w:rPr>
          <w:spacing w:val="-12"/>
          <w:sz w:val="20"/>
        </w:rPr>
        <w:t> </w:t>
      </w:r>
      <w:r>
        <w:rPr>
          <w:sz w:val="20"/>
        </w:rPr>
        <w:t>the</w:t>
      </w:r>
      <w:r>
        <w:rPr>
          <w:spacing w:val="-13"/>
          <w:sz w:val="20"/>
        </w:rPr>
        <w:t> </w:t>
      </w:r>
      <w:r>
        <w:rPr>
          <w:sz w:val="20"/>
        </w:rPr>
        <w:t>Prosecutor</w:t>
      </w:r>
      <w:r>
        <w:rPr>
          <w:spacing w:val="-12"/>
          <w:sz w:val="20"/>
        </w:rPr>
        <w:t> </w:t>
      </w:r>
      <w:r>
        <w:rPr>
          <w:sz w:val="20"/>
        </w:rPr>
        <w:t>has</w:t>
      </w:r>
      <w:r>
        <w:rPr>
          <w:spacing w:val="-13"/>
          <w:sz w:val="20"/>
        </w:rPr>
        <w:t> </w:t>
      </w:r>
      <w:r>
        <w:rPr>
          <w:sz w:val="20"/>
        </w:rPr>
        <w:t>reviewed</w:t>
      </w:r>
      <w:r>
        <w:rPr>
          <w:spacing w:val="-12"/>
          <w:sz w:val="20"/>
        </w:rPr>
        <w:t> </w:t>
      </w:r>
      <w:r>
        <w:rPr>
          <w:sz w:val="20"/>
        </w:rPr>
        <w:t>the</w:t>
      </w:r>
      <w:r>
        <w:rPr>
          <w:spacing w:val="-13"/>
          <w:sz w:val="20"/>
        </w:rPr>
        <w:t> </w:t>
      </w:r>
      <w:r>
        <w:rPr>
          <w:sz w:val="20"/>
        </w:rPr>
        <w:t>structure</w:t>
      </w:r>
      <w:r>
        <w:rPr>
          <w:spacing w:val="-12"/>
          <w:sz w:val="20"/>
        </w:rPr>
        <w:t> </w:t>
      </w:r>
      <w:r>
        <w:rPr>
          <w:sz w:val="20"/>
        </w:rPr>
        <w:t>of</w:t>
      </w:r>
      <w:r>
        <w:rPr>
          <w:spacing w:val="-13"/>
          <w:sz w:val="20"/>
        </w:rPr>
        <w:t> </w:t>
      </w:r>
      <w:r>
        <w:rPr>
          <w:sz w:val="20"/>
        </w:rPr>
        <w:t>the</w:t>
      </w:r>
      <w:r>
        <w:rPr>
          <w:spacing w:val="-12"/>
          <w:sz w:val="20"/>
        </w:rPr>
        <w:t> </w:t>
      </w:r>
      <w:r>
        <w:rPr>
          <w:sz w:val="20"/>
        </w:rPr>
        <w:t>Office with</w:t>
      </w:r>
      <w:r>
        <w:rPr>
          <w:spacing w:val="-8"/>
          <w:sz w:val="20"/>
        </w:rPr>
        <w:t> </w:t>
      </w:r>
      <w:r>
        <w:rPr>
          <w:sz w:val="20"/>
        </w:rPr>
        <w:t>a</w:t>
      </w:r>
      <w:r>
        <w:rPr>
          <w:spacing w:val="-7"/>
          <w:sz w:val="20"/>
        </w:rPr>
        <w:t> </w:t>
      </w:r>
      <w:r>
        <w:rPr>
          <w:sz w:val="20"/>
        </w:rPr>
        <w:t>view</w:t>
      </w:r>
      <w:r>
        <w:rPr>
          <w:spacing w:val="-10"/>
          <w:sz w:val="20"/>
        </w:rPr>
        <w:t> </w:t>
      </w:r>
      <w:r>
        <w:rPr>
          <w:sz w:val="20"/>
        </w:rPr>
        <w:t>to</w:t>
      </w:r>
      <w:r>
        <w:rPr>
          <w:spacing w:val="-8"/>
          <w:sz w:val="20"/>
        </w:rPr>
        <w:t> </w:t>
      </w:r>
      <w:r>
        <w:rPr>
          <w:sz w:val="20"/>
        </w:rPr>
        <w:t>identifying</w:t>
      </w:r>
      <w:r>
        <w:rPr>
          <w:spacing w:val="-8"/>
          <w:sz w:val="20"/>
        </w:rPr>
        <w:t> </w:t>
      </w:r>
      <w:r>
        <w:rPr>
          <w:sz w:val="20"/>
        </w:rPr>
        <w:t>further</w:t>
      </w:r>
      <w:r>
        <w:rPr>
          <w:spacing w:val="-8"/>
          <w:sz w:val="20"/>
        </w:rPr>
        <w:t> </w:t>
      </w:r>
      <w:r>
        <w:rPr>
          <w:sz w:val="20"/>
        </w:rPr>
        <w:t>opportunities</w:t>
      </w:r>
      <w:r>
        <w:rPr>
          <w:spacing w:val="-10"/>
          <w:sz w:val="20"/>
        </w:rPr>
        <w:t> </w:t>
      </w:r>
      <w:r>
        <w:rPr>
          <w:sz w:val="20"/>
        </w:rPr>
        <w:t>to</w:t>
      </w:r>
      <w:r>
        <w:rPr>
          <w:spacing w:val="-4"/>
          <w:sz w:val="20"/>
        </w:rPr>
        <w:t> </w:t>
      </w:r>
      <w:r>
        <w:rPr>
          <w:sz w:val="20"/>
        </w:rPr>
        <w:t>streamline</w:t>
      </w:r>
      <w:r>
        <w:rPr>
          <w:spacing w:val="-7"/>
          <w:sz w:val="20"/>
        </w:rPr>
        <w:t> </w:t>
      </w:r>
      <w:r>
        <w:rPr>
          <w:sz w:val="20"/>
        </w:rPr>
        <w:t>and</w:t>
      </w:r>
      <w:r>
        <w:rPr>
          <w:spacing w:val="-8"/>
          <w:sz w:val="20"/>
        </w:rPr>
        <w:t> </w:t>
      </w:r>
      <w:r>
        <w:rPr>
          <w:sz w:val="20"/>
        </w:rPr>
        <w:t>increase</w:t>
      </w:r>
      <w:r>
        <w:rPr>
          <w:spacing w:val="-7"/>
          <w:sz w:val="20"/>
        </w:rPr>
        <w:t> </w:t>
      </w:r>
      <w:r>
        <w:rPr>
          <w:sz w:val="20"/>
        </w:rPr>
        <w:t>efficiency</w:t>
      </w:r>
      <w:r>
        <w:rPr>
          <w:spacing w:val="-4"/>
          <w:sz w:val="20"/>
        </w:rPr>
        <w:t> </w:t>
      </w:r>
      <w:r>
        <w:rPr>
          <w:sz w:val="20"/>
        </w:rPr>
        <w:t>of</w:t>
      </w:r>
      <w:r>
        <w:rPr>
          <w:spacing w:val="-4"/>
          <w:sz w:val="20"/>
        </w:rPr>
        <w:t> </w:t>
      </w:r>
      <w:r>
        <w:rPr>
          <w:sz w:val="20"/>
        </w:rPr>
        <w:t>work processes. The</w:t>
      </w:r>
      <w:r>
        <w:rPr>
          <w:spacing w:val="-2"/>
          <w:sz w:val="20"/>
        </w:rPr>
        <w:t> </w:t>
      </w:r>
      <w:r>
        <w:rPr>
          <w:sz w:val="20"/>
        </w:rPr>
        <w:t>conduct</w:t>
      </w:r>
      <w:r>
        <w:rPr>
          <w:spacing w:val="-2"/>
          <w:sz w:val="20"/>
        </w:rPr>
        <w:t> </w:t>
      </w:r>
      <w:r>
        <w:rPr>
          <w:sz w:val="20"/>
        </w:rPr>
        <w:t>of</w:t>
      </w:r>
      <w:r>
        <w:rPr>
          <w:spacing w:val="-4"/>
          <w:sz w:val="20"/>
        </w:rPr>
        <w:t> </w:t>
      </w:r>
      <w:r>
        <w:rPr>
          <w:sz w:val="20"/>
        </w:rPr>
        <w:t>this</w:t>
      </w:r>
      <w:r>
        <w:rPr>
          <w:spacing w:val="-5"/>
          <w:sz w:val="20"/>
        </w:rPr>
        <w:t> </w:t>
      </w:r>
      <w:r>
        <w:rPr>
          <w:sz w:val="20"/>
        </w:rPr>
        <w:t>assessment</w:t>
      </w:r>
      <w:r>
        <w:rPr>
          <w:spacing w:val="-2"/>
          <w:sz w:val="20"/>
        </w:rPr>
        <w:t> </w:t>
      </w:r>
      <w:r>
        <w:rPr>
          <w:sz w:val="20"/>
        </w:rPr>
        <w:t>has led</w:t>
      </w:r>
      <w:r>
        <w:rPr>
          <w:spacing w:val="-4"/>
          <w:sz w:val="20"/>
        </w:rPr>
        <w:t> </w:t>
      </w:r>
      <w:r>
        <w:rPr>
          <w:sz w:val="20"/>
        </w:rPr>
        <w:t>to further</w:t>
      </w:r>
      <w:r>
        <w:rPr>
          <w:spacing w:val="-4"/>
          <w:sz w:val="20"/>
        </w:rPr>
        <w:t> </w:t>
      </w:r>
      <w:r>
        <w:rPr>
          <w:sz w:val="20"/>
        </w:rPr>
        <w:t>adjustments to</w:t>
      </w:r>
      <w:r>
        <w:rPr>
          <w:spacing w:val="-4"/>
          <w:sz w:val="20"/>
        </w:rPr>
        <w:t> </w:t>
      </w:r>
      <w:r>
        <w:rPr>
          <w:sz w:val="20"/>
        </w:rPr>
        <w:t>the structure</w:t>
      </w:r>
      <w:r>
        <w:rPr>
          <w:spacing w:val="-2"/>
          <w:sz w:val="20"/>
        </w:rPr>
        <w:t> </w:t>
      </w:r>
      <w:r>
        <w:rPr>
          <w:sz w:val="20"/>
        </w:rPr>
        <w:t>and composition of the Office in comparison with to the approved budget for 2022. Such adjustments aim at strengthening the Office in all its components and functions to ensure timely</w:t>
      </w:r>
      <w:r>
        <w:rPr>
          <w:spacing w:val="-11"/>
          <w:sz w:val="20"/>
        </w:rPr>
        <w:t> </w:t>
      </w:r>
      <w:r>
        <w:rPr>
          <w:sz w:val="20"/>
        </w:rPr>
        <w:t>and</w:t>
      </w:r>
      <w:r>
        <w:rPr>
          <w:spacing w:val="-13"/>
          <w:sz w:val="20"/>
        </w:rPr>
        <w:t> </w:t>
      </w:r>
      <w:r>
        <w:rPr>
          <w:sz w:val="20"/>
        </w:rPr>
        <w:t>efficient</w:t>
      </w:r>
      <w:r>
        <w:rPr>
          <w:spacing w:val="-12"/>
          <w:sz w:val="20"/>
        </w:rPr>
        <w:t> </w:t>
      </w:r>
      <w:r>
        <w:rPr>
          <w:sz w:val="20"/>
        </w:rPr>
        <w:t>delivery</w:t>
      </w:r>
      <w:r>
        <w:rPr>
          <w:spacing w:val="-13"/>
          <w:sz w:val="20"/>
        </w:rPr>
        <w:t> </w:t>
      </w:r>
      <w:r>
        <w:rPr>
          <w:sz w:val="20"/>
        </w:rPr>
        <w:t>upon</w:t>
      </w:r>
      <w:r>
        <w:rPr>
          <w:spacing w:val="-12"/>
          <w:sz w:val="20"/>
        </w:rPr>
        <w:t> </w:t>
      </w:r>
      <w:r>
        <w:rPr>
          <w:sz w:val="20"/>
        </w:rPr>
        <w:t>the</w:t>
      </w:r>
      <w:r>
        <w:rPr>
          <w:spacing w:val="-12"/>
          <w:sz w:val="20"/>
        </w:rPr>
        <w:t> </w:t>
      </w:r>
      <w:r>
        <w:rPr>
          <w:sz w:val="20"/>
        </w:rPr>
        <w:t>mandate</w:t>
      </w:r>
      <w:r>
        <w:rPr>
          <w:spacing w:val="-13"/>
          <w:sz w:val="20"/>
        </w:rPr>
        <w:t> </w:t>
      </w:r>
      <w:r>
        <w:rPr>
          <w:sz w:val="20"/>
        </w:rPr>
        <w:t>of</w:t>
      </w:r>
      <w:r>
        <w:rPr>
          <w:spacing w:val="-8"/>
          <w:sz w:val="20"/>
        </w:rPr>
        <w:t> </w:t>
      </w:r>
      <w:r>
        <w:rPr>
          <w:sz w:val="20"/>
        </w:rPr>
        <w:t>the</w:t>
      </w:r>
      <w:r>
        <w:rPr>
          <w:spacing w:val="-8"/>
          <w:sz w:val="20"/>
        </w:rPr>
        <w:t> </w:t>
      </w:r>
      <w:r>
        <w:rPr>
          <w:sz w:val="20"/>
        </w:rPr>
        <w:t>OTP.</w:t>
      </w:r>
      <w:r>
        <w:rPr>
          <w:spacing w:val="-5"/>
          <w:sz w:val="20"/>
        </w:rPr>
        <w:t> </w:t>
      </w:r>
      <w:r>
        <w:rPr>
          <w:sz w:val="20"/>
        </w:rPr>
        <w:t>Critically,</w:t>
      </w:r>
      <w:r>
        <w:rPr>
          <w:spacing w:val="-12"/>
          <w:sz w:val="20"/>
        </w:rPr>
        <w:t> </w:t>
      </w:r>
      <w:r>
        <w:rPr>
          <w:sz w:val="20"/>
        </w:rPr>
        <w:t>as</w:t>
      </w:r>
      <w:r>
        <w:rPr>
          <w:spacing w:val="-11"/>
          <w:sz w:val="20"/>
        </w:rPr>
        <w:t> </w:t>
      </w:r>
      <w:r>
        <w:rPr>
          <w:sz w:val="20"/>
        </w:rPr>
        <w:t>reflected</w:t>
      </w:r>
      <w:r>
        <w:rPr>
          <w:spacing w:val="-13"/>
          <w:sz w:val="20"/>
        </w:rPr>
        <w:t> </w:t>
      </w:r>
      <w:r>
        <w:rPr>
          <w:sz w:val="20"/>
        </w:rPr>
        <w:t>throughout the budget submission, additional baseline resources have been identified in order that the Office can effectively deliver its mandated activities.</w:t>
      </w:r>
    </w:p>
    <w:p>
      <w:pPr>
        <w:pStyle w:val="ListParagraph"/>
        <w:numPr>
          <w:ilvl w:val="0"/>
          <w:numId w:val="4"/>
        </w:numPr>
        <w:tabs>
          <w:tab w:pos="2967" w:val="left" w:leader="none"/>
        </w:tabs>
        <w:spacing w:line="240" w:lineRule="auto" w:before="119" w:after="0"/>
        <w:ind w:left="2246" w:right="2236" w:firstLine="0"/>
        <w:jc w:val="both"/>
        <w:rPr>
          <w:sz w:val="20"/>
        </w:rPr>
      </w:pPr>
      <w:r>
        <w:rPr>
          <w:sz w:val="20"/>
        </w:rPr>
        <w:t>With respect to Programme A - 2500, a key change is reflected the creation of a Unified Team</w:t>
      </w:r>
      <w:r>
        <w:rPr>
          <w:spacing w:val="-1"/>
          <w:sz w:val="20"/>
        </w:rPr>
        <w:t> </w:t>
      </w:r>
      <w:r>
        <w:rPr>
          <w:sz w:val="20"/>
        </w:rPr>
        <w:t>to deal with the</w:t>
      </w:r>
      <w:r>
        <w:rPr>
          <w:spacing w:val="-1"/>
          <w:sz w:val="20"/>
        </w:rPr>
        <w:t> </w:t>
      </w:r>
      <w:r>
        <w:rPr>
          <w:sz w:val="20"/>
        </w:rPr>
        <w:t>investigation</w:t>
      </w:r>
      <w:r>
        <w:rPr>
          <w:spacing w:val="-3"/>
          <w:sz w:val="20"/>
        </w:rPr>
        <w:t> </w:t>
      </w:r>
      <w:r>
        <w:rPr>
          <w:sz w:val="20"/>
        </w:rPr>
        <w:t>in</w:t>
      </w:r>
      <w:r>
        <w:rPr>
          <w:spacing w:val="-3"/>
          <w:sz w:val="20"/>
        </w:rPr>
        <w:t> </w:t>
      </w:r>
      <w:r>
        <w:rPr>
          <w:sz w:val="20"/>
        </w:rPr>
        <w:t>the Ukraine. This</w:t>
      </w:r>
      <w:r>
        <w:rPr>
          <w:spacing w:val="-4"/>
          <w:sz w:val="20"/>
        </w:rPr>
        <w:t> </w:t>
      </w:r>
      <w:r>
        <w:rPr>
          <w:sz w:val="20"/>
        </w:rPr>
        <w:t>team</w:t>
      </w:r>
      <w:r>
        <w:rPr>
          <w:spacing w:val="-1"/>
          <w:sz w:val="20"/>
        </w:rPr>
        <w:t> </w:t>
      </w:r>
      <w:r>
        <w:rPr>
          <w:sz w:val="20"/>
        </w:rPr>
        <w:t>reports directly to</w:t>
      </w:r>
      <w:r>
        <w:rPr>
          <w:spacing w:val="-3"/>
          <w:sz w:val="20"/>
        </w:rPr>
        <w:t> </w:t>
      </w:r>
      <w:r>
        <w:rPr>
          <w:sz w:val="20"/>
        </w:rPr>
        <w:t>the Prosecutor. Two new Established posts are requested: one Special Assistant (P-4) and one Legal</w:t>
      </w:r>
      <w:r>
        <w:rPr>
          <w:spacing w:val="-8"/>
          <w:sz w:val="20"/>
        </w:rPr>
        <w:t> </w:t>
      </w:r>
      <w:r>
        <w:rPr>
          <w:sz w:val="20"/>
        </w:rPr>
        <w:t>Assistant</w:t>
      </w:r>
      <w:r>
        <w:rPr>
          <w:spacing w:val="-3"/>
          <w:sz w:val="20"/>
        </w:rPr>
        <w:t> </w:t>
      </w:r>
      <w:r>
        <w:rPr>
          <w:sz w:val="20"/>
        </w:rPr>
        <w:t>(GS-OL),</w:t>
      </w:r>
      <w:r>
        <w:rPr>
          <w:spacing w:val="-7"/>
          <w:sz w:val="20"/>
        </w:rPr>
        <w:t> </w:t>
      </w:r>
      <w:r>
        <w:rPr>
          <w:sz w:val="20"/>
        </w:rPr>
        <w:t>in</w:t>
      </w:r>
      <w:r>
        <w:rPr>
          <w:spacing w:val="-9"/>
          <w:sz w:val="20"/>
        </w:rPr>
        <w:t> </w:t>
      </w:r>
      <w:r>
        <w:rPr>
          <w:sz w:val="20"/>
        </w:rPr>
        <w:t>IOP</w:t>
      </w:r>
      <w:r>
        <w:rPr>
          <w:spacing w:val="-6"/>
          <w:sz w:val="20"/>
        </w:rPr>
        <w:t> </w:t>
      </w:r>
      <w:r>
        <w:rPr>
          <w:sz w:val="20"/>
        </w:rPr>
        <w:t>and</w:t>
      </w:r>
      <w:r>
        <w:rPr>
          <w:spacing w:val="-9"/>
          <w:sz w:val="20"/>
        </w:rPr>
        <w:t> </w:t>
      </w:r>
      <w:r>
        <w:rPr>
          <w:sz w:val="20"/>
        </w:rPr>
        <w:t>in</w:t>
      </w:r>
      <w:r>
        <w:rPr>
          <w:spacing w:val="-5"/>
          <w:sz w:val="20"/>
        </w:rPr>
        <w:t> </w:t>
      </w:r>
      <w:r>
        <w:rPr>
          <w:sz w:val="20"/>
        </w:rPr>
        <w:t>the</w:t>
      </w:r>
      <w:r>
        <w:rPr>
          <w:spacing w:val="-8"/>
          <w:sz w:val="20"/>
        </w:rPr>
        <w:t> </w:t>
      </w:r>
      <w:r>
        <w:rPr>
          <w:sz w:val="20"/>
        </w:rPr>
        <w:t>Legal</w:t>
      </w:r>
      <w:r>
        <w:rPr>
          <w:spacing w:val="-3"/>
          <w:sz w:val="20"/>
        </w:rPr>
        <w:t> </w:t>
      </w:r>
      <w:r>
        <w:rPr>
          <w:sz w:val="20"/>
        </w:rPr>
        <w:t>Advisory</w:t>
      </w:r>
      <w:r>
        <w:rPr>
          <w:spacing w:val="-5"/>
          <w:sz w:val="20"/>
        </w:rPr>
        <w:t> </w:t>
      </w:r>
      <w:r>
        <w:rPr>
          <w:sz w:val="20"/>
        </w:rPr>
        <w:t>Section,</w:t>
      </w:r>
      <w:r>
        <w:rPr>
          <w:spacing w:val="-2"/>
          <w:sz w:val="20"/>
        </w:rPr>
        <w:t> </w:t>
      </w:r>
      <w:r>
        <w:rPr>
          <w:sz w:val="20"/>
        </w:rPr>
        <w:t>respectively.</w:t>
      </w:r>
      <w:r>
        <w:rPr>
          <w:spacing w:val="-7"/>
          <w:sz w:val="20"/>
        </w:rPr>
        <w:t> </w:t>
      </w:r>
      <w:r>
        <w:rPr>
          <w:sz w:val="20"/>
        </w:rPr>
        <w:t>Resources are</w:t>
      </w:r>
      <w:r>
        <w:rPr>
          <w:spacing w:val="-8"/>
          <w:sz w:val="20"/>
        </w:rPr>
        <w:t> </w:t>
      </w:r>
      <w:r>
        <w:rPr>
          <w:sz w:val="20"/>
        </w:rPr>
        <w:t>requested</w:t>
      </w:r>
      <w:r>
        <w:rPr>
          <w:spacing w:val="-8"/>
          <w:sz w:val="20"/>
        </w:rPr>
        <w:t> </w:t>
      </w:r>
      <w:r>
        <w:rPr>
          <w:sz w:val="20"/>
        </w:rPr>
        <w:t>for</w:t>
      </w:r>
      <w:r>
        <w:rPr>
          <w:spacing w:val="-8"/>
          <w:sz w:val="20"/>
        </w:rPr>
        <w:t> </w:t>
      </w:r>
      <w:r>
        <w:rPr>
          <w:sz w:val="20"/>
        </w:rPr>
        <w:t>the</w:t>
      </w:r>
      <w:r>
        <w:rPr>
          <w:spacing w:val="-11"/>
          <w:sz w:val="20"/>
        </w:rPr>
        <w:t> </w:t>
      </w:r>
      <w:r>
        <w:rPr>
          <w:sz w:val="20"/>
        </w:rPr>
        <w:t>continuation</w:t>
      </w:r>
      <w:r>
        <w:rPr>
          <w:spacing w:val="-8"/>
          <w:sz w:val="20"/>
        </w:rPr>
        <w:t> </w:t>
      </w:r>
      <w:r>
        <w:rPr>
          <w:sz w:val="20"/>
        </w:rPr>
        <w:t>of</w:t>
      </w:r>
      <w:r>
        <w:rPr>
          <w:spacing w:val="-13"/>
          <w:sz w:val="20"/>
        </w:rPr>
        <w:t> </w:t>
      </w:r>
      <w:r>
        <w:rPr>
          <w:sz w:val="20"/>
        </w:rPr>
        <w:t>existing</w:t>
      </w:r>
      <w:r>
        <w:rPr>
          <w:spacing w:val="-8"/>
          <w:sz w:val="20"/>
        </w:rPr>
        <w:t> </w:t>
      </w:r>
      <w:r>
        <w:rPr>
          <w:sz w:val="20"/>
        </w:rPr>
        <w:t>GTA</w:t>
      </w:r>
      <w:r>
        <w:rPr>
          <w:spacing w:val="-10"/>
          <w:sz w:val="20"/>
        </w:rPr>
        <w:t> </w:t>
      </w:r>
      <w:r>
        <w:rPr>
          <w:sz w:val="20"/>
        </w:rPr>
        <w:t>positions</w:t>
      </w:r>
      <w:r>
        <w:rPr>
          <w:spacing w:val="-10"/>
          <w:sz w:val="20"/>
        </w:rPr>
        <w:t> </w:t>
      </w:r>
      <w:r>
        <w:rPr>
          <w:sz w:val="20"/>
        </w:rPr>
        <w:t>previously</w:t>
      </w:r>
      <w:r>
        <w:rPr>
          <w:spacing w:val="-8"/>
          <w:sz w:val="20"/>
        </w:rPr>
        <w:t> </w:t>
      </w:r>
      <w:r>
        <w:rPr>
          <w:sz w:val="20"/>
        </w:rPr>
        <w:t>approved</w:t>
      </w:r>
      <w:r>
        <w:rPr>
          <w:spacing w:val="-8"/>
          <w:sz w:val="20"/>
        </w:rPr>
        <w:t> </w:t>
      </w:r>
      <w:r>
        <w:rPr>
          <w:sz w:val="20"/>
        </w:rPr>
        <w:t>in</w:t>
      </w:r>
      <w:r>
        <w:rPr>
          <w:spacing w:val="-8"/>
          <w:sz w:val="20"/>
        </w:rPr>
        <w:t> </w:t>
      </w:r>
      <w:r>
        <w:rPr>
          <w:sz w:val="20"/>
        </w:rPr>
        <w:t>the</w:t>
      </w:r>
      <w:r>
        <w:rPr>
          <w:spacing w:val="-7"/>
          <w:sz w:val="20"/>
        </w:rPr>
        <w:t> </w:t>
      </w:r>
      <w:r>
        <w:rPr>
          <w:sz w:val="20"/>
        </w:rPr>
        <w:t>2022 budget. A request is made for additional GTA positions, as explained below.</w:t>
      </w:r>
    </w:p>
    <w:p>
      <w:pPr>
        <w:pStyle w:val="ListParagraph"/>
        <w:numPr>
          <w:ilvl w:val="0"/>
          <w:numId w:val="4"/>
        </w:numPr>
        <w:tabs>
          <w:tab w:pos="2967" w:val="left" w:leader="none"/>
        </w:tabs>
        <w:spacing w:line="240" w:lineRule="auto" w:before="119" w:after="0"/>
        <w:ind w:left="2246" w:right="2238" w:firstLine="0"/>
        <w:jc w:val="both"/>
        <w:rPr>
          <w:sz w:val="20"/>
        </w:rPr>
      </w:pPr>
      <w:r>
        <w:rPr>
          <w:sz w:val="20"/>
        </w:rPr>
        <w:t>Conversion of two long-existing GTA positions, one Special Assistant (P-3) and one Associate Administration Officer (P-2), is requested. Such conversions are justified by the</w:t>
      </w:r>
      <w:r>
        <w:rPr>
          <w:spacing w:val="-6"/>
          <w:sz w:val="20"/>
        </w:rPr>
        <w:t> </w:t>
      </w:r>
      <w:r>
        <w:rPr>
          <w:sz w:val="20"/>
        </w:rPr>
        <w:t>continuous</w:t>
      </w:r>
      <w:r>
        <w:rPr>
          <w:spacing w:val="-4"/>
          <w:sz w:val="20"/>
        </w:rPr>
        <w:t> </w:t>
      </w:r>
      <w:r>
        <w:rPr>
          <w:sz w:val="20"/>
        </w:rPr>
        <w:t>structural</w:t>
      </w:r>
      <w:r>
        <w:rPr>
          <w:spacing w:val="-1"/>
          <w:sz w:val="20"/>
        </w:rPr>
        <w:t> </w:t>
      </w:r>
      <w:r>
        <w:rPr>
          <w:sz w:val="20"/>
        </w:rPr>
        <w:t>need</w:t>
      </w:r>
      <w:r>
        <w:rPr>
          <w:spacing w:val="-7"/>
          <w:sz w:val="20"/>
        </w:rPr>
        <w:t> </w:t>
      </w:r>
      <w:r>
        <w:rPr>
          <w:sz w:val="20"/>
        </w:rPr>
        <w:t>of</w:t>
      </w:r>
      <w:r>
        <w:rPr>
          <w:spacing w:val="-7"/>
          <w:sz w:val="20"/>
        </w:rPr>
        <w:t> </w:t>
      </w:r>
      <w:r>
        <w:rPr>
          <w:sz w:val="20"/>
        </w:rPr>
        <w:t>the</w:t>
      </w:r>
      <w:r>
        <w:rPr>
          <w:spacing w:val="-6"/>
          <w:sz w:val="20"/>
        </w:rPr>
        <w:t> </w:t>
      </w:r>
      <w:r>
        <w:rPr>
          <w:sz w:val="20"/>
        </w:rPr>
        <w:t>roles</w:t>
      </w:r>
      <w:r>
        <w:rPr>
          <w:spacing w:val="-9"/>
          <w:sz w:val="20"/>
        </w:rPr>
        <w:t> </w:t>
      </w:r>
      <w:r>
        <w:rPr>
          <w:sz w:val="20"/>
        </w:rPr>
        <w:t>and</w:t>
      </w:r>
      <w:r>
        <w:rPr>
          <w:spacing w:val="-3"/>
          <w:sz w:val="20"/>
        </w:rPr>
        <w:t> </w:t>
      </w:r>
      <w:r>
        <w:rPr>
          <w:sz w:val="20"/>
        </w:rPr>
        <w:t>functions</w:t>
      </w:r>
      <w:r>
        <w:rPr>
          <w:spacing w:val="-9"/>
          <w:sz w:val="20"/>
        </w:rPr>
        <w:t> </w:t>
      </w:r>
      <w:r>
        <w:rPr>
          <w:sz w:val="20"/>
        </w:rPr>
        <w:t>involved</w:t>
      </w:r>
      <w:r>
        <w:rPr>
          <w:spacing w:val="-7"/>
          <w:sz w:val="20"/>
        </w:rPr>
        <w:t> </w:t>
      </w:r>
      <w:r>
        <w:rPr>
          <w:sz w:val="20"/>
        </w:rPr>
        <w:t>and</w:t>
      </w:r>
      <w:r>
        <w:rPr>
          <w:spacing w:val="-7"/>
          <w:sz w:val="20"/>
        </w:rPr>
        <w:t> </w:t>
      </w:r>
      <w:r>
        <w:rPr>
          <w:sz w:val="20"/>
        </w:rPr>
        <w:t>are</w:t>
      </w:r>
      <w:r>
        <w:rPr>
          <w:spacing w:val="-6"/>
          <w:sz w:val="20"/>
        </w:rPr>
        <w:t> </w:t>
      </w:r>
      <w:r>
        <w:rPr>
          <w:sz w:val="20"/>
        </w:rPr>
        <w:t>compliant</w:t>
      </w:r>
      <w:r>
        <w:rPr>
          <w:spacing w:val="-1"/>
          <w:sz w:val="20"/>
        </w:rPr>
        <w:t> </w:t>
      </w:r>
      <w:r>
        <w:rPr>
          <w:sz w:val="20"/>
        </w:rPr>
        <w:t>with</w:t>
      </w:r>
      <w:r>
        <w:rPr>
          <w:spacing w:val="-7"/>
          <w:sz w:val="20"/>
        </w:rPr>
        <w:t> </w:t>
      </w:r>
      <w:r>
        <w:rPr>
          <w:sz w:val="20"/>
        </w:rPr>
        <w:t>the applicable Staff Regulations and Rules as well as with the established policies of the Court for</w:t>
      </w:r>
      <w:r>
        <w:rPr>
          <w:spacing w:val="-13"/>
          <w:sz w:val="20"/>
        </w:rPr>
        <w:t> </w:t>
      </w:r>
      <w:r>
        <w:rPr>
          <w:sz w:val="20"/>
        </w:rPr>
        <w:t>this</w:t>
      </w:r>
      <w:r>
        <w:rPr>
          <w:spacing w:val="-12"/>
          <w:sz w:val="20"/>
        </w:rPr>
        <w:t> </w:t>
      </w:r>
      <w:r>
        <w:rPr>
          <w:sz w:val="20"/>
        </w:rPr>
        <w:t>matter.</w:t>
      </w:r>
      <w:r>
        <w:rPr>
          <w:spacing w:val="-13"/>
          <w:sz w:val="20"/>
        </w:rPr>
        <w:t> </w:t>
      </w:r>
      <w:r>
        <w:rPr>
          <w:sz w:val="20"/>
        </w:rPr>
        <w:t>The</w:t>
      </w:r>
      <w:r>
        <w:rPr>
          <w:spacing w:val="-12"/>
          <w:sz w:val="20"/>
        </w:rPr>
        <w:t> </w:t>
      </w:r>
      <w:r>
        <w:rPr>
          <w:sz w:val="20"/>
        </w:rPr>
        <w:t>conversion</w:t>
      </w:r>
      <w:r>
        <w:rPr>
          <w:spacing w:val="-13"/>
          <w:sz w:val="20"/>
        </w:rPr>
        <w:t> </w:t>
      </w:r>
      <w:r>
        <w:rPr>
          <w:sz w:val="20"/>
        </w:rPr>
        <w:t>of</w:t>
      </w:r>
      <w:r>
        <w:rPr>
          <w:spacing w:val="-12"/>
          <w:sz w:val="20"/>
        </w:rPr>
        <w:t> </w:t>
      </w:r>
      <w:r>
        <w:rPr>
          <w:sz w:val="20"/>
        </w:rPr>
        <w:t>these</w:t>
      </w:r>
      <w:r>
        <w:rPr>
          <w:spacing w:val="-13"/>
          <w:sz w:val="20"/>
        </w:rPr>
        <w:t> </w:t>
      </w:r>
      <w:r>
        <w:rPr>
          <w:sz w:val="20"/>
        </w:rPr>
        <w:t>positions</w:t>
      </w:r>
      <w:r>
        <w:rPr>
          <w:spacing w:val="-12"/>
          <w:sz w:val="20"/>
        </w:rPr>
        <w:t> </w:t>
      </w:r>
      <w:r>
        <w:rPr>
          <w:sz w:val="20"/>
        </w:rPr>
        <w:t>has</w:t>
      </w:r>
      <w:r>
        <w:rPr>
          <w:spacing w:val="-13"/>
          <w:sz w:val="20"/>
        </w:rPr>
        <w:t> </w:t>
      </w:r>
      <w:r>
        <w:rPr>
          <w:sz w:val="20"/>
        </w:rPr>
        <w:t>a</w:t>
      </w:r>
      <w:r>
        <w:rPr>
          <w:spacing w:val="-12"/>
          <w:sz w:val="20"/>
        </w:rPr>
        <w:t> </w:t>
      </w:r>
      <w:r>
        <w:rPr>
          <w:sz w:val="20"/>
        </w:rPr>
        <w:t>positive</w:t>
      </w:r>
      <w:r>
        <w:rPr>
          <w:spacing w:val="-13"/>
          <w:sz w:val="20"/>
        </w:rPr>
        <w:t> </w:t>
      </w:r>
      <w:r>
        <w:rPr>
          <w:sz w:val="20"/>
        </w:rPr>
        <w:t>financial</w:t>
      </w:r>
      <w:r>
        <w:rPr>
          <w:spacing w:val="-12"/>
          <w:sz w:val="20"/>
        </w:rPr>
        <w:t> </w:t>
      </w:r>
      <w:r>
        <w:rPr>
          <w:sz w:val="20"/>
        </w:rPr>
        <w:t>impact</w:t>
      </w:r>
      <w:r>
        <w:rPr>
          <w:spacing w:val="-13"/>
          <w:sz w:val="20"/>
        </w:rPr>
        <w:t> </w:t>
      </w:r>
      <w:r>
        <w:rPr>
          <w:sz w:val="20"/>
        </w:rPr>
        <w:t>on</w:t>
      </w:r>
      <w:r>
        <w:rPr>
          <w:spacing w:val="-12"/>
          <w:sz w:val="20"/>
        </w:rPr>
        <w:t> </w:t>
      </w:r>
      <w:r>
        <w:rPr>
          <w:sz w:val="20"/>
        </w:rPr>
        <w:t>the</w:t>
      </w:r>
      <w:r>
        <w:rPr>
          <w:spacing w:val="-13"/>
          <w:sz w:val="20"/>
        </w:rPr>
        <w:t> </w:t>
      </w:r>
      <w:r>
        <w:rPr>
          <w:sz w:val="20"/>
        </w:rPr>
        <w:t>budget proposal</w:t>
      </w:r>
      <w:r>
        <w:rPr>
          <w:spacing w:val="-8"/>
          <w:sz w:val="20"/>
        </w:rPr>
        <w:t> </w:t>
      </w:r>
      <w:r>
        <w:rPr>
          <w:sz w:val="20"/>
        </w:rPr>
        <w:t>as</w:t>
      </w:r>
      <w:r>
        <w:rPr>
          <w:spacing w:val="-13"/>
          <w:sz w:val="20"/>
        </w:rPr>
        <w:t> </w:t>
      </w:r>
      <w:r>
        <w:rPr>
          <w:sz w:val="20"/>
        </w:rPr>
        <w:t>they</w:t>
      </w:r>
      <w:r>
        <w:rPr>
          <w:spacing w:val="-7"/>
          <w:sz w:val="20"/>
        </w:rPr>
        <w:t> </w:t>
      </w:r>
      <w:r>
        <w:rPr>
          <w:sz w:val="20"/>
        </w:rPr>
        <w:t>will</w:t>
      </w:r>
      <w:r>
        <w:rPr>
          <w:spacing w:val="-12"/>
          <w:sz w:val="20"/>
        </w:rPr>
        <w:t> </w:t>
      </w:r>
      <w:r>
        <w:rPr>
          <w:sz w:val="20"/>
        </w:rPr>
        <w:t>be</w:t>
      </w:r>
      <w:r>
        <w:rPr>
          <w:spacing w:val="-7"/>
          <w:sz w:val="20"/>
        </w:rPr>
        <w:t> </w:t>
      </w:r>
      <w:r>
        <w:rPr>
          <w:sz w:val="20"/>
        </w:rPr>
        <w:t>subject</w:t>
      </w:r>
      <w:r>
        <w:rPr>
          <w:spacing w:val="-12"/>
          <w:sz w:val="20"/>
        </w:rPr>
        <w:t> </w:t>
      </w:r>
      <w:r>
        <w:rPr>
          <w:sz w:val="20"/>
        </w:rPr>
        <w:t>to</w:t>
      </w:r>
      <w:r>
        <w:rPr>
          <w:spacing w:val="-13"/>
          <w:sz w:val="20"/>
        </w:rPr>
        <w:t> </w:t>
      </w:r>
      <w:r>
        <w:rPr>
          <w:sz w:val="20"/>
        </w:rPr>
        <w:t>the</w:t>
      </w:r>
      <w:r>
        <w:rPr>
          <w:spacing w:val="-10"/>
          <w:sz w:val="20"/>
        </w:rPr>
        <w:t> </w:t>
      </w:r>
      <w:r>
        <w:rPr>
          <w:sz w:val="20"/>
        </w:rPr>
        <w:t>reduction</w:t>
      </w:r>
      <w:r>
        <w:rPr>
          <w:spacing w:val="-13"/>
          <w:sz w:val="20"/>
        </w:rPr>
        <w:t> </w:t>
      </w:r>
      <w:r>
        <w:rPr>
          <w:sz w:val="20"/>
        </w:rPr>
        <w:t>due</w:t>
      </w:r>
      <w:r>
        <w:rPr>
          <w:spacing w:val="-11"/>
          <w:sz w:val="20"/>
        </w:rPr>
        <w:t> </w:t>
      </w:r>
      <w:r>
        <w:rPr>
          <w:sz w:val="20"/>
        </w:rPr>
        <w:t>to</w:t>
      </w:r>
      <w:r>
        <w:rPr>
          <w:spacing w:val="-8"/>
          <w:sz w:val="20"/>
        </w:rPr>
        <w:t> </w:t>
      </w:r>
      <w:r>
        <w:rPr>
          <w:sz w:val="20"/>
        </w:rPr>
        <w:t>the</w:t>
      </w:r>
      <w:r>
        <w:rPr>
          <w:spacing w:val="-11"/>
          <w:sz w:val="20"/>
        </w:rPr>
        <w:t> </w:t>
      </w:r>
      <w:r>
        <w:rPr>
          <w:sz w:val="20"/>
        </w:rPr>
        <w:t>application</w:t>
      </w:r>
      <w:r>
        <w:rPr>
          <w:spacing w:val="-13"/>
          <w:sz w:val="20"/>
        </w:rPr>
        <w:t> </w:t>
      </w:r>
      <w:r>
        <w:rPr>
          <w:sz w:val="20"/>
        </w:rPr>
        <w:t>of</w:t>
      </w:r>
      <w:r>
        <w:rPr>
          <w:spacing w:val="-12"/>
          <w:sz w:val="20"/>
        </w:rPr>
        <w:t> </w:t>
      </w:r>
      <w:r>
        <w:rPr>
          <w:sz w:val="20"/>
        </w:rPr>
        <w:t>the</w:t>
      </w:r>
      <w:r>
        <w:rPr>
          <w:spacing w:val="-11"/>
          <w:sz w:val="20"/>
        </w:rPr>
        <w:t> </w:t>
      </w:r>
      <w:r>
        <w:rPr>
          <w:sz w:val="20"/>
        </w:rPr>
        <w:t>relevant</w:t>
      </w:r>
      <w:r>
        <w:rPr>
          <w:spacing w:val="-12"/>
          <w:sz w:val="20"/>
        </w:rPr>
        <w:t> </w:t>
      </w:r>
      <w:r>
        <w:rPr>
          <w:sz w:val="20"/>
        </w:rPr>
        <w:t>vacancy </w:t>
      </w:r>
      <w:r>
        <w:rPr>
          <w:spacing w:val="-2"/>
          <w:sz w:val="20"/>
        </w:rPr>
        <w:t>rate.</w:t>
      </w:r>
    </w:p>
    <w:p>
      <w:pPr>
        <w:pStyle w:val="ListParagraph"/>
        <w:numPr>
          <w:ilvl w:val="0"/>
          <w:numId w:val="4"/>
        </w:numPr>
        <w:tabs>
          <w:tab w:pos="2967" w:val="left" w:leader="none"/>
        </w:tabs>
        <w:spacing w:line="240" w:lineRule="auto" w:before="123" w:after="0"/>
        <w:ind w:left="2246" w:right="2240" w:firstLine="0"/>
        <w:jc w:val="both"/>
        <w:rPr>
          <w:sz w:val="20"/>
        </w:rPr>
      </w:pPr>
      <w:r>
        <w:rPr>
          <w:sz w:val="20"/>
        </w:rPr>
        <w:t>The</w:t>
      </w:r>
      <w:r>
        <w:rPr>
          <w:spacing w:val="-3"/>
          <w:sz w:val="20"/>
        </w:rPr>
        <w:t> </w:t>
      </w:r>
      <w:r>
        <w:rPr>
          <w:sz w:val="20"/>
        </w:rPr>
        <w:t>Programme</w:t>
      </w:r>
      <w:r>
        <w:rPr>
          <w:spacing w:val="-8"/>
          <w:sz w:val="20"/>
        </w:rPr>
        <w:t> </w:t>
      </w:r>
      <w:r>
        <w:rPr>
          <w:sz w:val="20"/>
        </w:rPr>
        <w:t>is</w:t>
      </w:r>
      <w:r>
        <w:rPr>
          <w:spacing w:val="-6"/>
          <w:sz w:val="20"/>
        </w:rPr>
        <w:t> </w:t>
      </w:r>
      <w:r>
        <w:rPr>
          <w:sz w:val="20"/>
        </w:rPr>
        <w:t>requesting</w:t>
      </w:r>
      <w:r>
        <w:rPr>
          <w:spacing w:val="-5"/>
          <w:sz w:val="20"/>
        </w:rPr>
        <w:t> </w:t>
      </w:r>
      <w:r>
        <w:rPr>
          <w:sz w:val="20"/>
        </w:rPr>
        <w:t>seven</w:t>
      </w:r>
      <w:r>
        <w:rPr>
          <w:spacing w:val="-9"/>
          <w:sz w:val="20"/>
        </w:rPr>
        <w:t> </w:t>
      </w:r>
      <w:r>
        <w:rPr>
          <w:sz w:val="20"/>
        </w:rPr>
        <w:t>(7)</w:t>
      </w:r>
      <w:r>
        <w:rPr>
          <w:spacing w:val="-4"/>
          <w:sz w:val="20"/>
        </w:rPr>
        <w:t> </w:t>
      </w:r>
      <w:r>
        <w:rPr>
          <w:sz w:val="20"/>
        </w:rPr>
        <w:t>NPO</w:t>
      </w:r>
      <w:r>
        <w:rPr>
          <w:spacing w:val="-6"/>
          <w:sz w:val="20"/>
        </w:rPr>
        <w:t> </w:t>
      </w:r>
      <w:r>
        <w:rPr>
          <w:sz w:val="20"/>
        </w:rPr>
        <w:t>positions</w:t>
      </w:r>
      <w:r>
        <w:rPr>
          <w:spacing w:val="-6"/>
          <w:sz w:val="20"/>
        </w:rPr>
        <w:t> </w:t>
      </w:r>
      <w:r>
        <w:rPr>
          <w:sz w:val="20"/>
        </w:rPr>
        <w:t>to</w:t>
      </w:r>
      <w:r>
        <w:rPr>
          <w:spacing w:val="-9"/>
          <w:sz w:val="20"/>
        </w:rPr>
        <w:t> </w:t>
      </w:r>
      <w:r>
        <w:rPr>
          <w:sz w:val="20"/>
        </w:rPr>
        <w:t>provide</w:t>
      </w:r>
      <w:r>
        <w:rPr>
          <w:spacing w:val="-3"/>
          <w:sz w:val="20"/>
        </w:rPr>
        <w:t> </w:t>
      </w:r>
      <w:r>
        <w:rPr>
          <w:sz w:val="20"/>
        </w:rPr>
        <w:t>specific</w:t>
      </w:r>
      <w:r>
        <w:rPr>
          <w:spacing w:val="-8"/>
          <w:sz w:val="20"/>
        </w:rPr>
        <w:t> </w:t>
      </w:r>
      <w:r>
        <w:rPr>
          <w:sz w:val="20"/>
        </w:rPr>
        <w:t>expertise to the unified team in the operations conducted in the country office in Ukraine. The NPO category was recommended for adoption by the Committee and approved by the Assembly at its twentieth session in December 2021.</w:t>
      </w:r>
    </w:p>
    <w:p>
      <w:pPr>
        <w:pStyle w:val="BodyText"/>
        <w:rPr>
          <w:sz w:val="21"/>
        </w:rPr>
      </w:pPr>
    </w:p>
    <w:p>
      <w:pPr>
        <w:pStyle w:val="Heading3"/>
        <w:tabs>
          <w:tab w:pos="8076" w:val="left" w:leader="none"/>
        </w:tabs>
        <w:jc w:val="both"/>
      </w:pPr>
      <w:r>
        <w:rPr/>
        <w:t>Staff</w:t>
      </w:r>
      <w:r>
        <w:rPr>
          <w:spacing w:val="-2"/>
        </w:rPr>
        <w:t> resources</w:t>
      </w:r>
      <w:r>
        <w:rPr/>
        <w:tab/>
        <w:t>€8,373.5</w:t>
      </w:r>
      <w:r>
        <w:rPr>
          <w:spacing w:val="-6"/>
        </w:rPr>
        <w:t> </w:t>
      </w:r>
      <w:r>
        <w:rPr>
          <w:spacing w:val="-2"/>
        </w:rPr>
        <w:t>thousand</w:t>
      </w:r>
    </w:p>
    <w:p>
      <w:pPr>
        <w:pStyle w:val="BodyText"/>
        <w:spacing w:before="6"/>
        <w:rPr>
          <w:b/>
        </w:rPr>
      </w:pPr>
    </w:p>
    <w:p>
      <w:pPr>
        <w:pStyle w:val="ListParagraph"/>
        <w:numPr>
          <w:ilvl w:val="0"/>
          <w:numId w:val="4"/>
        </w:numPr>
        <w:tabs>
          <w:tab w:pos="3020" w:val="left" w:leader="none"/>
        </w:tabs>
        <w:spacing w:line="240" w:lineRule="auto" w:before="0" w:after="0"/>
        <w:ind w:left="2246" w:right="2239" w:firstLine="0"/>
        <w:jc w:val="both"/>
        <w:rPr>
          <w:sz w:val="20"/>
        </w:rPr>
      </w:pPr>
      <w:r>
        <w:rPr>
          <w:sz w:val="20"/>
        </w:rPr>
        <w:t>Programme A comprises 1 elected official, 42 established posts, 32 GTA positions</w:t>
      </w:r>
      <w:r>
        <w:rPr>
          <w:sz w:val="20"/>
          <w:vertAlign w:val="superscript"/>
        </w:rPr>
        <w:t>61</w:t>
      </w:r>
      <w:r>
        <w:rPr>
          <w:sz w:val="20"/>
          <w:vertAlign w:val="baseline"/>
        </w:rPr>
        <w:t> (24.75 FTE), and 7 NPO positions (4.67 FTE). In addition, as explained in paragraph 285, two United Nations Office of Legal Affairs (UNOLA) staff working for the Court are financed through GTA funds by the Office (50 per cent) and the Registry (50 per </w:t>
      </w:r>
      <w:r>
        <w:rPr>
          <w:spacing w:val="-2"/>
          <w:sz w:val="20"/>
          <w:vertAlign w:val="baseline"/>
        </w:rPr>
        <w:t>cent).</w:t>
      </w:r>
    </w:p>
    <w:p>
      <w:pPr>
        <w:pStyle w:val="BodyText"/>
      </w:pPr>
    </w:p>
    <w:p>
      <w:pPr>
        <w:pStyle w:val="BodyText"/>
        <w:spacing w:before="2"/>
        <w:rPr>
          <w:sz w:val="18"/>
        </w:rPr>
      </w:pPr>
      <w:r>
        <w:rPr/>
        <w:pict>
          <v:rect style="position:absolute;margin-left:113.330002pt;margin-top:11.679769pt;width:144.050pt;height:.48004pt;mso-position-horizontal-relative:page;mso-position-vertical-relative:paragraph;z-index:-15707648;mso-wrap-distance-left:0;mso-wrap-distance-right:0" id="docshape106" filled="true" fillcolor="#000000" stroked="false">
            <v:fill type="solid"/>
            <w10:wrap type="topAndBottom"/>
          </v:rect>
        </w:pict>
      </w:r>
    </w:p>
    <w:p>
      <w:pPr>
        <w:spacing w:line="183" w:lineRule="exact" w:before="86"/>
        <w:ind w:left="2246" w:right="0" w:firstLine="0"/>
        <w:jc w:val="left"/>
        <w:rPr>
          <w:sz w:val="16"/>
        </w:rPr>
      </w:pPr>
      <w:r>
        <w:rPr>
          <w:position w:val="5"/>
          <w:sz w:val="10"/>
        </w:rPr>
        <w:t>60</w:t>
      </w:r>
      <w:r>
        <w:rPr>
          <w:spacing w:val="14"/>
          <w:position w:val="5"/>
          <w:sz w:val="10"/>
        </w:rPr>
        <w:t> </w:t>
      </w:r>
      <w:r>
        <w:rPr>
          <w:sz w:val="16"/>
        </w:rPr>
        <w:t>This</w:t>
      </w:r>
      <w:r>
        <w:rPr>
          <w:spacing w:val="-2"/>
          <w:sz w:val="16"/>
        </w:rPr>
        <w:t> </w:t>
      </w:r>
      <w:r>
        <w:rPr>
          <w:sz w:val="16"/>
        </w:rPr>
        <w:t>post</w:t>
      </w:r>
      <w:r>
        <w:rPr>
          <w:spacing w:val="-4"/>
          <w:sz w:val="16"/>
        </w:rPr>
        <w:t> </w:t>
      </w:r>
      <w:r>
        <w:rPr>
          <w:sz w:val="16"/>
        </w:rPr>
        <w:t>was</w:t>
      </w:r>
      <w:r>
        <w:rPr>
          <w:spacing w:val="-2"/>
          <w:sz w:val="16"/>
        </w:rPr>
        <w:t> </w:t>
      </w:r>
      <w:r>
        <w:rPr>
          <w:sz w:val="16"/>
        </w:rPr>
        <w:t>approved in</w:t>
      </w:r>
      <w:r>
        <w:rPr>
          <w:spacing w:val="-1"/>
          <w:sz w:val="16"/>
        </w:rPr>
        <w:t> </w:t>
      </w:r>
      <w:r>
        <w:rPr>
          <w:spacing w:val="-4"/>
          <w:sz w:val="16"/>
        </w:rPr>
        <w:t>2022.</w:t>
      </w:r>
    </w:p>
    <w:p>
      <w:pPr>
        <w:spacing w:before="0"/>
        <w:ind w:left="2246" w:right="2195" w:firstLine="0"/>
        <w:jc w:val="left"/>
        <w:rPr>
          <w:sz w:val="16"/>
        </w:rPr>
      </w:pPr>
      <w:r>
        <w:rPr>
          <w:position w:val="5"/>
          <w:sz w:val="10"/>
        </w:rPr>
        <w:t>61</w:t>
      </w:r>
      <w:r>
        <w:rPr>
          <w:spacing w:val="19"/>
          <w:position w:val="5"/>
          <w:sz w:val="10"/>
        </w:rPr>
        <w:t> </w:t>
      </w:r>
      <w:r>
        <w:rPr>
          <w:sz w:val="16"/>
        </w:rPr>
        <w:t>Two UN OLA resources, one P-3 Legal Officer and one P-2 Associate Legal Officer, dedicated to the Court as</w:t>
      </w:r>
      <w:r>
        <w:rPr>
          <w:spacing w:val="40"/>
          <w:sz w:val="16"/>
        </w:rPr>
        <w:t> </w:t>
      </w:r>
      <w:r>
        <w:rPr>
          <w:sz w:val="16"/>
        </w:rPr>
        <w:t>per Court agreement are financed through GTA funds but are not Court staff.</w:t>
      </w:r>
    </w:p>
    <w:p>
      <w:pPr>
        <w:spacing w:after="0"/>
        <w:jc w:val="left"/>
        <w:rPr>
          <w:sz w:val="16"/>
        </w:rPr>
        <w:sectPr>
          <w:pgSz w:w="11910" w:h="16840"/>
          <w:pgMar w:header="957" w:footer="940" w:top="1140" w:bottom="1140" w:left="20" w:right="20"/>
        </w:sectPr>
      </w:pPr>
    </w:p>
    <w:p>
      <w:pPr>
        <w:tabs>
          <w:tab w:pos="8133" w:val="left" w:leader="none"/>
        </w:tabs>
        <w:spacing w:before="124"/>
        <w:ind w:left="2246" w:right="0" w:firstLine="0"/>
        <w:jc w:val="left"/>
        <w:rPr>
          <w:i/>
          <w:sz w:val="20"/>
        </w:rPr>
      </w:pPr>
      <w:r>
        <w:rPr>
          <w:i/>
          <w:sz w:val="20"/>
        </w:rPr>
        <w:t>Established</w:t>
      </w:r>
      <w:r>
        <w:rPr>
          <w:i/>
          <w:spacing w:val="-8"/>
          <w:sz w:val="20"/>
        </w:rPr>
        <w:t> </w:t>
      </w:r>
      <w:r>
        <w:rPr>
          <w:i/>
          <w:sz w:val="20"/>
        </w:rPr>
        <w:t>posts:</w:t>
      </w:r>
      <w:r>
        <w:rPr>
          <w:i/>
          <w:spacing w:val="-11"/>
          <w:sz w:val="20"/>
        </w:rPr>
        <w:t> </w:t>
      </w:r>
      <w:r>
        <w:rPr>
          <w:i/>
          <w:sz w:val="20"/>
        </w:rPr>
        <w:t>Professional</w:t>
      </w:r>
      <w:r>
        <w:rPr>
          <w:i/>
          <w:spacing w:val="-6"/>
          <w:sz w:val="20"/>
        </w:rPr>
        <w:t> </w:t>
      </w:r>
      <w:r>
        <w:rPr>
          <w:i/>
          <w:sz w:val="20"/>
        </w:rPr>
        <w:t>and</w:t>
      </w:r>
      <w:r>
        <w:rPr>
          <w:i/>
          <w:spacing w:val="-8"/>
          <w:sz w:val="20"/>
        </w:rPr>
        <w:t> </w:t>
      </w:r>
      <w:r>
        <w:rPr>
          <w:i/>
          <w:sz w:val="20"/>
        </w:rPr>
        <w:t>General</w:t>
      </w:r>
      <w:r>
        <w:rPr>
          <w:i/>
          <w:spacing w:val="-9"/>
          <w:sz w:val="20"/>
        </w:rPr>
        <w:t> </w:t>
      </w:r>
      <w:r>
        <w:rPr>
          <w:i/>
          <w:spacing w:val="-2"/>
          <w:sz w:val="20"/>
        </w:rPr>
        <w:t>Service</w:t>
      </w:r>
      <w:r>
        <w:rPr>
          <w:i/>
          <w:sz w:val="20"/>
        </w:rPr>
        <w:tab/>
        <w:t>€4,982.5</w:t>
      </w:r>
      <w:r>
        <w:rPr>
          <w:i/>
          <w:spacing w:val="-4"/>
          <w:sz w:val="20"/>
        </w:rPr>
        <w:t> </w:t>
      </w:r>
      <w:r>
        <w:rPr>
          <w:i/>
          <w:spacing w:val="-2"/>
          <w:sz w:val="20"/>
        </w:rPr>
        <w:t>thousand</w:t>
      </w:r>
    </w:p>
    <w:p>
      <w:pPr>
        <w:pStyle w:val="BodyText"/>
        <w:spacing w:before="11"/>
        <w:rPr>
          <w:i/>
        </w:rPr>
      </w:pPr>
    </w:p>
    <w:p>
      <w:pPr>
        <w:pStyle w:val="ListParagraph"/>
        <w:numPr>
          <w:ilvl w:val="0"/>
          <w:numId w:val="4"/>
        </w:numPr>
        <w:tabs>
          <w:tab w:pos="2966" w:val="left" w:leader="none"/>
          <w:tab w:pos="2967" w:val="left" w:leader="none"/>
        </w:tabs>
        <w:spacing w:line="240" w:lineRule="auto" w:before="0" w:after="0"/>
        <w:ind w:left="2967" w:right="0" w:hanging="721"/>
        <w:jc w:val="left"/>
        <w:rPr>
          <w:sz w:val="20"/>
        </w:rPr>
      </w:pPr>
      <w:r>
        <w:rPr>
          <w:sz w:val="20"/>
        </w:rPr>
        <w:t>The</w:t>
      </w:r>
      <w:r>
        <w:rPr>
          <w:spacing w:val="-6"/>
          <w:sz w:val="20"/>
        </w:rPr>
        <w:t> </w:t>
      </w:r>
      <w:r>
        <w:rPr>
          <w:sz w:val="20"/>
        </w:rPr>
        <w:t>Programme</w:t>
      </w:r>
      <w:r>
        <w:rPr>
          <w:spacing w:val="-6"/>
          <w:sz w:val="20"/>
        </w:rPr>
        <w:t> </w:t>
      </w:r>
      <w:r>
        <w:rPr>
          <w:sz w:val="20"/>
        </w:rPr>
        <w:t>has</w:t>
      </w:r>
      <w:r>
        <w:rPr>
          <w:spacing w:val="-9"/>
          <w:sz w:val="20"/>
        </w:rPr>
        <w:t> </w:t>
      </w:r>
      <w:r>
        <w:rPr>
          <w:sz w:val="20"/>
        </w:rPr>
        <w:t>the</w:t>
      </w:r>
      <w:r>
        <w:rPr>
          <w:spacing w:val="-5"/>
          <w:sz w:val="20"/>
        </w:rPr>
        <w:t> </w:t>
      </w:r>
      <w:r>
        <w:rPr>
          <w:sz w:val="20"/>
        </w:rPr>
        <w:t>following</w:t>
      </w:r>
      <w:r>
        <w:rPr>
          <w:spacing w:val="-8"/>
          <w:sz w:val="20"/>
        </w:rPr>
        <w:t> </w:t>
      </w:r>
      <w:r>
        <w:rPr>
          <w:sz w:val="20"/>
        </w:rPr>
        <w:t>established</w:t>
      </w:r>
      <w:r>
        <w:rPr>
          <w:spacing w:val="-7"/>
          <w:sz w:val="20"/>
        </w:rPr>
        <w:t> </w:t>
      </w:r>
      <w:r>
        <w:rPr>
          <w:spacing w:val="-2"/>
          <w:sz w:val="20"/>
        </w:rPr>
        <w:t>posts:</w:t>
      </w:r>
    </w:p>
    <w:p>
      <w:pPr>
        <w:pStyle w:val="BodyText"/>
        <w:spacing w:before="5"/>
        <w:rPr>
          <w:sz w:val="10"/>
        </w:rPr>
      </w:pPr>
    </w:p>
    <w:tbl>
      <w:tblPr>
        <w:tblW w:w="0" w:type="auto"/>
        <w:jc w:val="left"/>
        <w:tblInd w:w="22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82"/>
        <w:gridCol w:w="1810"/>
        <w:gridCol w:w="1004"/>
      </w:tblGrid>
      <w:tr>
        <w:trPr>
          <w:trHeight w:val="273" w:hRule="atLeast"/>
        </w:trPr>
        <w:tc>
          <w:tcPr>
            <w:tcW w:w="4582" w:type="dxa"/>
            <w:tcBorders>
              <w:top w:val="single" w:sz="4" w:space="0" w:color="000000"/>
              <w:bottom w:val="single" w:sz="4" w:space="0" w:color="000000"/>
            </w:tcBorders>
          </w:tcPr>
          <w:p>
            <w:pPr>
              <w:pStyle w:val="TableParagraph"/>
              <w:spacing w:line="229" w:lineRule="exact" w:before="24"/>
              <w:ind w:left="14"/>
              <w:jc w:val="left"/>
              <w:rPr>
                <w:i/>
                <w:sz w:val="20"/>
              </w:rPr>
            </w:pPr>
            <w:r>
              <w:rPr>
                <w:i/>
                <w:spacing w:val="-2"/>
                <w:sz w:val="20"/>
              </w:rPr>
              <w:t>Title</w:t>
            </w:r>
          </w:p>
        </w:tc>
        <w:tc>
          <w:tcPr>
            <w:tcW w:w="1810" w:type="dxa"/>
            <w:tcBorders>
              <w:top w:val="single" w:sz="4" w:space="0" w:color="000000"/>
              <w:bottom w:val="single" w:sz="4" w:space="0" w:color="000000"/>
            </w:tcBorders>
          </w:tcPr>
          <w:p>
            <w:pPr>
              <w:pStyle w:val="TableParagraph"/>
              <w:spacing w:line="229" w:lineRule="exact" w:before="24"/>
              <w:ind w:left="868"/>
              <w:jc w:val="left"/>
              <w:rPr>
                <w:i/>
                <w:sz w:val="20"/>
              </w:rPr>
            </w:pPr>
            <w:r>
              <w:rPr>
                <w:i/>
                <w:spacing w:val="-2"/>
                <w:sz w:val="20"/>
              </w:rPr>
              <w:t>Grade</w:t>
            </w:r>
          </w:p>
        </w:tc>
        <w:tc>
          <w:tcPr>
            <w:tcW w:w="1004" w:type="dxa"/>
            <w:tcBorders>
              <w:top w:val="single" w:sz="4" w:space="0" w:color="000000"/>
              <w:bottom w:val="single" w:sz="4" w:space="0" w:color="000000"/>
            </w:tcBorders>
          </w:tcPr>
          <w:p>
            <w:pPr>
              <w:pStyle w:val="TableParagraph"/>
              <w:spacing w:line="229" w:lineRule="exact" w:before="24"/>
              <w:ind w:right="-15"/>
              <w:rPr>
                <w:i/>
                <w:sz w:val="20"/>
              </w:rPr>
            </w:pPr>
            <w:r>
              <w:rPr>
                <w:i/>
                <w:spacing w:val="-2"/>
                <w:sz w:val="20"/>
              </w:rPr>
              <w:t>Number</w:t>
            </w:r>
          </w:p>
        </w:tc>
      </w:tr>
      <w:tr>
        <w:trPr>
          <w:trHeight w:val="268" w:hRule="atLeast"/>
        </w:trPr>
        <w:tc>
          <w:tcPr>
            <w:tcW w:w="4582" w:type="dxa"/>
            <w:tcBorders>
              <w:top w:val="single" w:sz="4" w:space="0" w:color="000000"/>
              <w:bottom w:val="single" w:sz="4" w:space="0" w:color="000000"/>
            </w:tcBorders>
          </w:tcPr>
          <w:p>
            <w:pPr>
              <w:pStyle w:val="TableParagraph"/>
              <w:spacing w:line="230" w:lineRule="exact" w:before="19"/>
              <w:ind w:left="14"/>
              <w:jc w:val="left"/>
              <w:rPr>
                <w:i/>
                <w:sz w:val="20"/>
              </w:rPr>
            </w:pPr>
            <w:r>
              <w:rPr>
                <w:i/>
                <w:sz w:val="20"/>
              </w:rPr>
              <w:t>Immediate</w:t>
            </w:r>
            <w:r>
              <w:rPr>
                <w:i/>
                <w:spacing w:val="-6"/>
                <w:sz w:val="20"/>
              </w:rPr>
              <w:t> </w:t>
            </w:r>
            <w:r>
              <w:rPr>
                <w:i/>
                <w:sz w:val="20"/>
              </w:rPr>
              <w:t>Office</w:t>
            </w:r>
            <w:r>
              <w:rPr>
                <w:i/>
                <w:spacing w:val="-5"/>
                <w:sz w:val="20"/>
              </w:rPr>
              <w:t> </w:t>
            </w:r>
            <w:r>
              <w:rPr>
                <w:i/>
                <w:sz w:val="20"/>
              </w:rPr>
              <w:t>of</w:t>
            </w:r>
            <w:r>
              <w:rPr>
                <w:i/>
                <w:spacing w:val="-5"/>
                <w:sz w:val="20"/>
              </w:rPr>
              <w:t> </w:t>
            </w:r>
            <w:r>
              <w:rPr>
                <w:i/>
                <w:sz w:val="20"/>
              </w:rPr>
              <w:t>the</w:t>
            </w:r>
            <w:r>
              <w:rPr>
                <w:i/>
                <w:spacing w:val="-5"/>
                <w:sz w:val="20"/>
              </w:rPr>
              <w:t> </w:t>
            </w:r>
            <w:r>
              <w:rPr>
                <w:i/>
                <w:spacing w:val="-2"/>
                <w:sz w:val="20"/>
              </w:rPr>
              <w:t>Prosecutor</w:t>
            </w:r>
          </w:p>
        </w:tc>
        <w:tc>
          <w:tcPr>
            <w:tcW w:w="1810" w:type="dxa"/>
            <w:tcBorders>
              <w:top w:val="single" w:sz="4" w:space="0" w:color="000000"/>
              <w:bottom w:val="single" w:sz="4" w:space="0" w:color="000000"/>
            </w:tcBorders>
          </w:tcPr>
          <w:p>
            <w:pPr>
              <w:pStyle w:val="TableParagraph"/>
              <w:jc w:val="left"/>
              <w:rPr>
                <w:sz w:val="18"/>
              </w:rPr>
            </w:pPr>
          </w:p>
        </w:tc>
        <w:tc>
          <w:tcPr>
            <w:tcW w:w="1004" w:type="dxa"/>
            <w:tcBorders>
              <w:top w:val="single" w:sz="4" w:space="0" w:color="000000"/>
              <w:bottom w:val="single" w:sz="4" w:space="0" w:color="000000"/>
            </w:tcBorders>
          </w:tcPr>
          <w:p>
            <w:pPr>
              <w:pStyle w:val="TableParagraph"/>
              <w:jc w:val="left"/>
              <w:rPr>
                <w:sz w:val="18"/>
              </w:rPr>
            </w:pPr>
          </w:p>
        </w:tc>
      </w:tr>
      <w:tr>
        <w:trPr>
          <w:trHeight w:val="279" w:hRule="atLeast"/>
        </w:trPr>
        <w:tc>
          <w:tcPr>
            <w:tcW w:w="4582" w:type="dxa"/>
            <w:tcBorders>
              <w:top w:val="single" w:sz="4" w:space="0" w:color="000000"/>
            </w:tcBorders>
          </w:tcPr>
          <w:p>
            <w:pPr>
              <w:pStyle w:val="TableParagraph"/>
              <w:spacing w:before="19"/>
              <w:ind w:left="14"/>
              <w:jc w:val="left"/>
              <w:rPr>
                <w:sz w:val="20"/>
              </w:rPr>
            </w:pPr>
            <w:r>
              <w:rPr>
                <w:sz w:val="20"/>
              </w:rPr>
              <w:t>Senior</w:t>
            </w:r>
            <w:r>
              <w:rPr>
                <w:spacing w:val="-3"/>
                <w:sz w:val="20"/>
              </w:rPr>
              <w:t> </w:t>
            </w:r>
            <w:r>
              <w:rPr>
                <w:spacing w:val="-2"/>
                <w:sz w:val="20"/>
              </w:rPr>
              <w:t>Adviser</w:t>
            </w:r>
          </w:p>
        </w:tc>
        <w:tc>
          <w:tcPr>
            <w:tcW w:w="1810" w:type="dxa"/>
            <w:tcBorders>
              <w:top w:val="single" w:sz="4" w:space="0" w:color="000000"/>
            </w:tcBorders>
          </w:tcPr>
          <w:p>
            <w:pPr>
              <w:pStyle w:val="TableParagraph"/>
              <w:spacing w:before="19"/>
              <w:ind w:left="868"/>
              <w:jc w:val="left"/>
              <w:rPr>
                <w:sz w:val="20"/>
              </w:rPr>
            </w:pPr>
            <w:r>
              <w:rPr>
                <w:spacing w:val="-2"/>
                <w:sz w:val="20"/>
              </w:rPr>
              <w:t>P-</w:t>
            </w:r>
            <w:r>
              <w:rPr>
                <w:spacing w:val="-10"/>
                <w:sz w:val="20"/>
              </w:rPr>
              <w:t>5</w:t>
            </w:r>
          </w:p>
        </w:tc>
        <w:tc>
          <w:tcPr>
            <w:tcW w:w="1004" w:type="dxa"/>
            <w:tcBorders>
              <w:top w:val="single" w:sz="4" w:space="0" w:color="000000"/>
            </w:tcBorders>
          </w:tcPr>
          <w:p>
            <w:pPr>
              <w:pStyle w:val="TableParagraph"/>
              <w:spacing w:before="19"/>
              <w:ind w:right="5"/>
              <w:rPr>
                <w:sz w:val="20"/>
              </w:rPr>
            </w:pPr>
            <w:r>
              <w:rPr>
                <w:w w:val="100"/>
                <w:sz w:val="20"/>
              </w:rPr>
              <w:t>1</w:t>
            </w:r>
          </w:p>
        </w:tc>
      </w:tr>
      <w:tr>
        <w:trPr>
          <w:trHeight w:val="272" w:hRule="atLeast"/>
        </w:trPr>
        <w:tc>
          <w:tcPr>
            <w:tcW w:w="4582" w:type="dxa"/>
          </w:tcPr>
          <w:p>
            <w:pPr>
              <w:pStyle w:val="TableParagraph"/>
              <w:spacing w:line="229" w:lineRule="exact" w:before="23"/>
              <w:ind w:left="14"/>
              <w:jc w:val="left"/>
              <w:rPr>
                <w:sz w:val="20"/>
              </w:rPr>
            </w:pPr>
            <w:r>
              <w:rPr>
                <w:spacing w:val="-2"/>
                <w:sz w:val="20"/>
              </w:rPr>
              <w:t>Adviser</w:t>
            </w:r>
          </w:p>
        </w:tc>
        <w:tc>
          <w:tcPr>
            <w:tcW w:w="1810" w:type="dxa"/>
          </w:tcPr>
          <w:p>
            <w:pPr>
              <w:pStyle w:val="TableParagraph"/>
              <w:spacing w:line="229" w:lineRule="exact" w:before="23"/>
              <w:ind w:left="868"/>
              <w:jc w:val="left"/>
              <w:rPr>
                <w:sz w:val="20"/>
              </w:rPr>
            </w:pPr>
            <w:r>
              <w:rPr>
                <w:spacing w:val="-2"/>
                <w:sz w:val="20"/>
              </w:rPr>
              <w:t>P-</w:t>
            </w:r>
            <w:r>
              <w:rPr>
                <w:spacing w:val="-10"/>
                <w:sz w:val="20"/>
              </w:rPr>
              <w:t>4</w:t>
            </w:r>
          </w:p>
        </w:tc>
        <w:tc>
          <w:tcPr>
            <w:tcW w:w="1004" w:type="dxa"/>
          </w:tcPr>
          <w:p>
            <w:pPr>
              <w:pStyle w:val="TableParagraph"/>
              <w:spacing w:line="229" w:lineRule="exact" w:before="23"/>
              <w:ind w:right="5"/>
              <w:rPr>
                <w:sz w:val="20"/>
              </w:rPr>
            </w:pPr>
            <w:r>
              <w:rPr>
                <w:w w:val="100"/>
                <w:sz w:val="20"/>
              </w:rPr>
              <w:t>1</w:t>
            </w:r>
          </w:p>
        </w:tc>
      </w:tr>
      <w:tr>
        <w:trPr>
          <w:trHeight w:val="268" w:hRule="atLeast"/>
        </w:trPr>
        <w:tc>
          <w:tcPr>
            <w:tcW w:w="4582" w:type="dxa"/>
          </w:tcPr>
          <w:p>
            <w:pPr>
              <w:pStyle w:val="TableParagraph"/>
              <w:spacing w:line="229" w:lineRule="exact" w:before="19"/>
              <w:ind w:left="14"/>
              <w:jc w:val="left"/>
              <w:rPr>
                <w:sz w:val="20"/>
              </w:rPr>
            </w:pPr>
            <w:r>
              <w:rPr>
                <w:sz w:val="20"/>
              </w:rPr>
              <w:t>Special</w:t>
            </w:r>
            <w:r>
              <w:rPr>
                <w:spacing w:val="-4"/>
                <w:sz w:val="20"/>
              </w:rPr>
              <w:t> </w:t>
            </w:r>
            <w:r>
              <w:rPr>
                <w:spacing w:val="-2"/>
                <w:sz w:val="20"/>
              </w:rPr>
              <w:t>Assistant</w:t>
            </w:r>
            <w:r>
              <w:rPr>
                <w:spacing w:val="-2"/>
                <w:sz w:val="20"/>
                <w:vertAlign w:val="superscript"/>
              </w:rPr>
              <w:t>62</w:t>
            </w:r>
          </w:p>
        </w:tc>
        <w:tc>
          <w:tcPr>
            <w:tcW w:w="1810" w:type="dxa"/>
          </w:tcPr>
          <w:p>
            <w:pPr>
              <w:pStyle w:val="TableParagraph"/>
              <w:spacing w:line="229" w:lineRule="exact" w:before="19"/>
              <w:ind w:left="868"/>
              <w:jc w:val="left"/>
              <w:rPr>
                <w:sz w:val="20"/>
              </w:rPr>
            </w:pPr>
            <w:r>
              <w:rPr>
                <w:spacing w:val="-2"/>
                <w:sz w:val="20"/>
              </w:rPr>
              <w:t>P-</w:t>
            </w:r>
            <w:r>
              <w:rPr>
                <w:spacing w:val="-10"/>
                <w:sz w:val="20"/>
              </w:rPr>
              <w:t>4</w:t>
            </w:r>
          </w:p>
        </w:tc>
        <w:tc>
          <w:tcPr>
            <w:tcW w:w="1004" w:type="dxa"/>
          </w:tcPr>
          <w:p>
            <w:pPr>
              <w:pStyle w:val="TableParagraph"/>
              <w:spacing w:line="229" w:lineRule="exact" w:before="19"/>
              <w:ind w:right="5"/>
              <w:rPr>
                <w:sz w:val="20"/>
              </w:rPr>
            </w:pPr>
            <w:r>
              <w:rPr>
                <w:w w:val="100"/>
                <w:sz w:val="20"/>
              </w:rPr>
              <w:t>1</w:t>
            </w:r>
          </w:p>
        </w:tc>
      </w:tr>
      <w:tr>
        <w:trPr>
          <w:trHeight w:val="268" w:hRule="atLeast"/>
        </w:trPr>
        <w:tc>
          <w:tcPr>
            <w:tcW w:w="4582" w:type="dxa"/>
          </w:tcPr>
          <w:p>
            <w:pPr>
              <w:pStyle w:val="TableParagraph"/>
              <w:spacing w:line="229" w:lineRule="exact" w:before="19"/>
              <w:ind w:left="14"/>
              <w:jc w:val="left"/>
              <w:rPr>
                <w:sz w:val="20"/>
              </w:rPr>
            </w:pPr>
            <w:r>
              <w:rPr>
                <w:sz w:val="20"/>
              </w:rPr>
              <w:t>Special</w:t>
            </w:r>
            <w:r>
              <w:rPr>
                <w:spacing w:val="-4"/>
                <w:sz w:val="20"/>
              </w:rPr>
              <w:t> </w:t>
            </w:r>
            <w:r>
              <w:rPr>
                <w:spacing w:val="-2"/>
                <w:sz w:val="20"/>
              </w:rPr>
              <w:t>Assistant</w:t>
            </w:r>
            <w:r>
              <w:rPr>
                <w:spacing w:val="-2"/>
                <w:sz w:val="20"/>
                <w:vertAlign w:val="superscript"/>
              </w:rPr>
              <w:t>63</w:t>
            </w:r>
          </w:p>
        </w:tc>
        <w:tc>
          <w:tcPr>
            <w:tcW w:w="1810" w:type="dxa"/>
          </w:tcPr>
          <w:p>
            <w:pPr>
              <w:pStyle w:val="TableParagraph"/>
              <w:spacing w:line="229" w:lineRule="exact" w:before="19"/>
              <w:ind w:left="868"/>
              <w:jc w:val="left"/>
              <w:rPr>
                <w:sz w:val="20"/>
              </w:rPr>
            </w:pPr>
            <w:r>
              <w:rPr>
                <w:spacing w:val="-2"/>
                <w:sz w:val="20"/>
              </w:rPr>
              <w:t>P-</w:t>
            </w:r>
            <w:r>
              <w:rPr>
                <w:spacing w:val="-10"/>
                <w:sz w:val="20"/>
              </w:rPr>
              <w:t>3</w:t>
            </w:r>
          </w:p>
        </w:tc>
        <w:tc>
          <w:tcPr>
            <w:tcW w:w="1004" w:type="dxa"/>
          </w:tcPr>
          <w:p>
            <w:pPr>
              <w:pStyle w:val="TableParagraph"/>
              <w:spacing w:line="229" w:lineRule="exact" w:before="19"/>
              <w:ind w:right="5"/>
              <w:rPr>
                <w:sz w:val="20"/>
              </w:rPr>
            </w:pPr>
            <w:r>
              <w:rPr>
                <w:w w:val="100"/>
                <w:sz w:val="20"/>
              </w:rPr>
              <w:t>1</w:t>
            </w:r>
          </w:p>
        </w:tc>
      </w:tr>
      <w:tr>
        <w:trPr>
          <w:trHeight w:val="275" w:hRule="atLeast"/>
        </w:trPr>
        <w:tc>
          <w:tcPr>
            <w:tcW w:w="4582" w:type="dxa"/>
          </w:tcPr>
          <w:p>
            <w:pPr>
              <w:pStyle w:val="TableParagraph"/>
              <w:spacing w:before="19"/>
              <w:ind w:left="14"/>
              <w:jc w:val="left"/>
              <w:rPr>
                <w:sz w:val="20"/>
              </w:rPr>
            </w:pPr>
            <w:r>
              <w:rPr>
                <w:sz w:val="20"/>
              </w:rPr>
              <w:t>Special</w:t>
            </w:r>
            <w:r>
              <w:rPr>
                <w:spacing w:val="-6"/>
                <w:sz w:val="20"/>
              </w:rPr>
              <w:t> </w:t>
            </w:r>
            <w:r>
              <w:rPr>
                <w:sz w:val="20"/>
              </w:rPr>
              <w:t>Assistant</w:t>
            </w:r>
            <w:r>
              <w:rPr>
                <w:spacing w:val="-5"/>
                <w:sz w:val="20"/>
              </w:rPr>
              <w:t> </w:t>
            </w:r>
            <w:r>
              <w:rPr>
                <w:sz w:val="20"/>
              </w:rPr>
              <w:t>to</w:t>
            </w:r>
            <w:r>
              <w:rPr>
                <w:spacing w:val="-6"/>
                <w:sz w:val="20"/>
              </w:rPr>
              <w:t> </w:t>
            </w:r>
            <w:r>
              <w:rPr>
                <w:sz w:val="20"/>
              </w:rPr>
              <w:t>the</w:t>
            </w:r>
            <w:r>
              <w:rPr>
                <w:spacing w:val="-5"/>
                <w:sz w:val="20"/>
              </w:rPr>
              <w:t> </w:t>
            </w:r>
            <w:r>
              <w:rPr>
                <w:spacing w:val="-2"/>
                <w:sz w:val="20"/>
              </w:rPr>
              <w:t>Prosecutor</w:t>
            </w:r>
            <w:r>
              <w:rPr>
                <w:spacing w:val="-2"/>
                <w:sz w:val="20"/>
                <w:vertAlign w:val="superscript"/>
              </w:rPr>
              <w:t>64</w:t>
            </w:r>
          </w:p>
        </w:tc>
        <w:tc>
          <w:tcPr>
            <w:tcW w:w="1810" w:type="dxa"/>
          </w:tcPr>
          <w:p>
            <w:pPr>
              <w:pStyle w:val="TableParagraph"/>
              <w:spacing w:before="19"/>
              <w:ind w:left="868"/>
              <w:jc w:val="left"/>
              <w:rPr>
                <w:sz w:val="20"/>
              </w:rPr>
            </w:pPr>
            <w:r>
              <w:rPr>
                <w:spacing w:val="-2"/>
                <w:sz w:val="20"/>
              </w:rPr>
              <w:t>P-</w:t>
            </w:r>
            <w:r>
              <w:rPr>
                <w:spacing w:val="-10"/>
                <w:sz w:val="20"/>
              </w:rPr>
              <w:t>2</w:t>
            </w:r>
          </w:p>
        </w:tc>
        <w:tc>
          <w:tcPr>
            <w:tcW w:w="1004" w:type="dxa"/>
          </w:tcPr>
          <w:p>
            <w:pPr>
              <w:pStyle w:val="TableParagraph"/>
              <w:spacing w:before="19"/>
              <w:ind w:right="5"/>
              <w:rPr>
                <w:sz w:val="20"/>
              </w:rPr>
            </w:pPr>
            <w:r>
              <w:rPr>
                <w:w w:val="100"/>
                <w:sz w:val="20"/>
              </w:rPr>
              <w:t>2</w:t>
            </w:r>
          </w:p>
        </w:tc>
      </w:tr>
      <w:tr>
        <w:trPr>
          <w:trHeight w:val="271" w:hRule="atLeast"/>
        </w:trPr>
        <w:tc>
          <w:tcPr>
            <w:tcW w:w="4582" w:type="dxa"/>
          </w:tcPr>
          <w:p>
            <w:pPr>
              <w:pStyle w:val="TableParagraph"/>
              <w:spacing w:before="18"/>
              <w:ind w:left="14"/>
              <w:jc w:val="left"/>
              <w:rPr>
                <w:sz w:val="20"/>
              </w:rPr>
            </w:pPr>
            <w:r>
              <w:rPr>
                <w:sz w:val="20"/>
              </w:rPr>
              <w:t>Personal</w:t>
            </w:r>
            <w:r>
              <w:rPr>
                <w:spacing w:val="-2"/>
                <w:sz w:val="20"/>
              </w:rPr>
              <w:t> </w:t>
            </w:r>
            <w:r>
              <w:rPr>
                <w:sz w:val="20"/>
              </w:rPr>
              <w:t>Assistant</w:t>
            </w:r>
            <w:r>
              <w:rPr>
                <w:spacing w:val="-6"/>
                <w:sz w:val="20"/>
              </w:rPr>
              <w:t> </w:t>
            </w:r>
            <w:r>
              <w:rPr>
                <w:sz w:val="20"/>
              </w:rPr>
              <w:t>to</w:t>
            </w:r>
            <w:r>
              <w:rPr>
                <w:spacing w:val="-8"/>
                <w:sz w:val="20"/>
              </w:rPr>
              <w:t> </w:t>
            </w:r>
            <w:r>
              <w:rPr>
                <w:sz w:val="20"/>
              </w:rPr>
              <w:t>the</w:t>
            </w:r>
            <w:r>
              <w:rPr>
                <w:spacing w:val="-5"/>
                <w:sz w:val="20"/>
              </w:rPr>
              <w:t> </w:t>
            </w:r>
            <w:r>
              <w:rPr>
                <w:spacing w:val="-2"/>
                <w:sz w:val="20"/>
              </w:rPr>
              <w:t>Prosecutor</w:t>
            </w:r>
          </w:p>
        </w:tc>
        <w:tc>
          <w:tcPr>
            <w:tcW w:w="1810" w:type="dxa"/>
          </w:tcPr>
          <w:p>
            <w:pPr>
              <w:pStyle w:val="TableParagraph"/>
              <w:spacing w:before="18"/>
              <w:ind w:left="868"/>
              <w:jc w:val="left"/>
              <w:rPr>
                <w:sz w:val="20"/>
              </w:rPr>
            </w:pPr>
            <w:r>
              <w:rPr>
                <w:spacing w:val="-2"/>
                <w:sz w:val="20"/>
              </w:rPr>
              <w:t>GS-</w:t>
            </w:r>
            <w:r>
              <w:rPr>
                <w:spacing w:val="-7"/>
                <w:sz w:val="20"/>
              </w:rPr>
              <w:t>PL</w:t>
            </w:r>
          </w:p>
        </w:tc>
        <w:tc>
          <w:tcPr>
            <w:tcW w:w="1004" w:type="dxa"/>
          </w:tcPr>
          <w:p>
            <w:pPr>
              <w:pStyle w:val="TableParagraph"/>
              <w:spacing w:before="18"/>
              <w:ind w:right="5"/>
              <w:rPr>
                <w:sz w:val="20"/>
              </w:rPr>
            </w:pPr>
            <w:r>
              <w:rPr>
                <w:w w:val="100"/>
                <w:sz w:val="20"/>
              </w:rPr>
              <w:t>1</w:t>
            </w:r>
          </w:p>
        </w:tc>
      </w:tr>
      <w:tr>
        <w:trPr>
          <w:trHeight w:val="264" w:hRule="atLeast"/>
        </w:trPr>
        <w:tc>
          <w:tcPr>
            <w:tcW w:w="4582" w:type="dxa"/>
            <w:tcBorders>
              <w:bottom w:val="single" w:sz="4" w:space="0" w:color="000000"/>
            </w:tcBorders>
          </w:tcPr>
          <w:p>
            <w:pPr>
              <w:pStyle w:val="TableParagraph"/>
              <w:spacing w:line="229" w:lineRule="exact" w:before="16"/>
              <w:ind w:left="14"/>
              <w:jc w:val="left"/>
              <w:rPr>
                <w:sz w:val="20"/>
              </w:rPr>
            </w:pPr>
            <w:r>
              <w:rPr>
                <w:spacing w:val="-2"/>
                <w:sz w:val="20"/>
              </w:rPr>
              <w:t>Administrative</w:t>
            </w:r>
            <w:r>
              <w:rPr>
                <w:spacing w:val="15"/>
                <w:sz w:val="20"/>
              </w:rPr>
              <w:t> </w:t>
            </w:r>
            <w:r>
              <w:rPr>
                <w:spacing w:val="-2"/>
                <w:sz w:val="20"/>
              </w:rPr>
              <w:t>Assistant</w:t>
            </w:r>
          </w:p>
        </w:tc>
        <w:tc>
          <w:tcPr>
            <w:tcW w:w="1810" w:type="dxa"/>
            <w:tcBorders>
              <w:bottom w:val="single" w:sz="4" w:space="0" w:color="000000"/>
            </w:tcBorders>
          </w:tcPr>
          <w:p>
            <w:pPr>
              <w:pStyle w:val="TableParagraph"/>
              <w:spacing w:line="229" w:lineRule="exact" w:before="16"/>
              <w:ind w:left="868"/>
              <w:jc w:val="left"/>
              <w:rPr>
                <w:sz w:val="20"/>
              </w:rPr>
            </w:pPr>
            <w:r>
              <w:rPr>
                <w:spacing w:val="-2"/>
                <w:sz w:val="20"/>
              </w:rPr>
              <w:t>GS-</w:t>
            </w:r>
            <w:r>
              <w:rPr>
                <w:spacing w:val="-7"/>
                <w:sz w:val="20"/>
              </w:rPr>
              <w:t>OL</w:t>
            </w:r>
          </w:p>
        </w:tc>
        <w:tc>
          <w:tcPr>
            <w:tcW w:w="1004" w:type="dxa"/>
            <w:tcBorders>
              <w:bottom w:val="single" w:sz="4" w:space="0" w:color="000000"/>
            </w:tcBorders>
          </w:tcPr>
          <w:p>
            <w:pPr>
              <w:pStyle w:val="TableParagraph"/>
              <w:spacing w:line="229" w:lineRule="exact" w:before="16"/>
              <w:ind w:right="5"/>
              <w:rPr>
                <w:sz w:val="20"/>
              </w:rPr>
            </w:pPr>
            <w:r>
              <w:rPr>
                <w:w w:val="100"/>
                <w:sz w:val="20"/>
              </w:rPr>
              <w:t>1</w:t>
            </w:r>
          </w:p>
        </w:tc>
      </w:tr>
      <w:tr>
        <w:trPr>
          <w:trHeight w:val="268" w:hRule="atLeast"/>
        </w:trPr>
        <w:tc>
          <w:tcPr>
            <w:tcW w:w="4582" w:type="dxa"/>
            <w:tcBorders>
              <w:top w:val="single" w:sz="4" w:space="0" w:color="000000"/>
              <w:bottom w:val="single" w:sz="4" w:space="0" w:color="000000"/>
            </w:tcBorders>
          </w:tcPr>
          <w:p>
            <w:pPr>
              <w:pStyle w:val="TableParagraph"/>
              <w:jc w:val="left"/>
              <w:rPr>
                <w:sz w:val="18"/>
              </w:rPr>
            </w:pPr>
          </w:p>
        </w:tc>
        <w:tc>
          <w:tcPr>
            <w:tcW w:w="1810" w:type="dxa"/>
            <w:tcBorders>
              <w:top w:val="single" w:sz="4" w:space="0" w:color="000000"/>
              <w:bottom w:val="single" w:sz="4" w:space="0" w:color="000000"/>
            </w:tcBorders>
          </w:tcPr>
          <w:p>
            <w:pPr>
              <w:pStyle w:val="TableParagraph"/>
              <w:jc w:val="left"/>
              <w:rPr>
                <w:sz w:val="18"/>
              </w:rPr>
            </w:pPr>
          </w:p>
        </w:tc>
        <w:tc>
          <w:tcPr>
            <w:tcW w:w="1004" w:type="dxa"/>
            <w:tcBorders>
              <w:top w:val="single" w:sz="4" w:space="0" w:color="000000"/>
              <w:bottom w:val="single" w:sz="4" w:space="0" w:color="000000"/>
            </w:tcBorders>
          </w:tcPr>
          <w:p>
            <w:pPr>
              <w:pStyle w:val="TableParagraph"/>
              <w:spacing w:line="229" w:lineRule="exact" w:before="19"/>
              <w:ind w:right="5"/>
              <w:rPr>
                <w:b/>
                <w:sz w:val="20"/>
              </w:rPr>
            </w:pPr>
            <w:r>
              <w:rPr>
                <w:b/>
                <w:w w:val="100"/>
                <w:sz w:val="20"/>
              </w:rPr>
              <w:t>8</w:t>
            </w:r>
          </w:p>
        </w:tc>
      </w:tr>
      <w:tr>
        <w:trPr>
          <w:trHeight w:val="274" w:hRule="atLeast"/>
        </w:trPr>
        <w:tc>
          <w:tcPr>
            <w:tcW w:w="4582" w:type="dxa"/>
            <w:tcBorders>
              <w:top w:val="single" w:sz="4" w:space="0" w:color="000000"/>
            </w:tcBorders>
          </w:tcPr>
          <w:p>
            <w:pPr>
              <w:pStyle w:val="TableParagraph"/>
              <w:spacing w:before="19"/>
              <w:ind w:left="14"/>
              <w:jc w:val="left"/>
              <w:rPr>
                <w:i/>
                <w:sz w:val="20"/>
              </w:rPr>
            </w:pPr>
            <w:r>
              <w:rPr>
                <w:i/>
                <w:sz w:val="20"/>
              </w:rPr>
              <w:t>Office</w:t>
            </w:r>
            <w:r>
              <w:rPr>
                <w:i/>
                <w:spacing w:val="-5"/>
                <w:sz w:val="20"/>
              </w:rPr>
              <w:t> </w:t>
            </w:r>
            <w:r>
              <w:rPr>
                <w:i/>
                <w:sz w:val="20"/>
              </w:rPr>
              <w:t>of</w:t>
            </w:r>
            <w:r>
              <w:rPr>
                <w:i/>
                <w:spacing w:val="-10"/>
                <w:sz w:val="20"/>
              </w:rPr>
              <w:t> </w:t>
            </w:r>
            <w:r>
              <w:rPr>
                <w:i/>
                <w:sz w:val="20"/>
              </w:rPr>
              <w:t>External</w:t>
            </w:r>
            <w:r>
              <w:rPr>
                <w:i/>
                <w:spacing w:val="-4"/>
                <w:sz w:val="20"/>
              </w:rPr>
              <w:t> </w:t>
            </w:r>
            <w:r>
              <w:rPr>
                <w:i/>
                <w:spacing w:val="-2"/>
                <w:sz w:val="20"/>
              </w:rPr>
              <w:t>Affairs</w:t>
            </w:r>
          </w:p>
        </w:tc>
        <w:tc>
          <w:tcPr>
            <w:tcW w:w="1810" w:type="dxa"/>
            <w:tcBorders>
              <w:top w:val="single" w:sz="4" w:space="0" w:color="000000"/>
            </w:tcBorders>
          </w:tcPr>
          <w:p>
            <w:pPr>
              <w:pStyle w:val="TableParagraph"/>
              <w:jc w:val="left"/>
              <w:rPr>
                <w:sz w:val="18"/>
              </w:rPr>
            </w:pPr>
          </w:p>
        </w:tc>
        <w:tc>
          <w:tcPr>
            <w:tcW w:w="1004" w:type="dxa"/>
            <w:tcBorders>
              <w:top w:val="single" w:sz="4" w:space="0" w:color="000000"/>
            </w:tcBorders>
          </w:tcPr>
          <w:p>
            <w:pPr>
              <w:pStyle w:val="TableParagraph"/>
              <w:jc w:val="left"/>
              <w:rPr>
                <w:sz w:val="18"/>
              </w:rPr>
            </w:pPr>
          </w:p>
        </w:tc>
      </w:tr>
      <w:tr>
        <w:trPr>
          <w:trHeight w:val="271" w:hRule="atLeast"/>
        </w:trPr>
        <w:tc>
          <w:tcPr>
            <w:tcW w:w="4582" w:type="dxa"/>
          </w:tcPr>
          <w:p>
            <w:pPr>
              <w:pStyle w:val="TableParagraph"/>
              <w:spacing w:before="18"/>
              <w:ind w:left="14"/>
              <w:jc w:val="left"/>
              <w:rPr>
                <w:sz w:val="20"/>
              </w:rPr>
            </w:pPr>
            <w:r>
              <w:rPr>
                <w:sz w:val="20"/>
              </w:rPr>
              <w:t>Head,</w:t>
            </w:r>
            <w:r>
              <w:rPr>
                <w:spacing w:val="-9"/>
                <w:sz w:val="20"/>
              </w:rPr>
              <w:t> </w:t>
            </w:r>
            <w:r>
              <w:rPr>
                <w:sz w:val="20"/>
              </w:rPr>
              <w:t>International</w:t>
            </w:r>
            <w:r>
              <w:rPr>
                <w:spacing w:val="-11"/>
                <w:sz w:val="20"/>
              </w:rPr>
              <w:t> </w:t>
            </w:r>
            <w:r>
              <w:rPr>
                <w:sz w:val="20"/>
              </w:rPr>
              <w:t>Cooperation</w:t>
            </w:r>
            <w:r>
              <w:rPr>
                <w:spacing w:val="-12"/>
                <w:sz w:val="20"/>
              </w:rPr>
              <w:t> </w:t>
            </w:r>
            <w:r>
              <w:rPr>
                <w:spacing w:val="-2"/>
                <w:sz w:val="20"/>
              </w:rPr>
              <w:t>Section</w:t>
            </w:r>
          </w:p>
        </w:tc>
        <w:tc>
          <w:tcPr>
            <w:tcW w:w="1810" w:type="dxa"/>
          </w:tcPr>
          <w:p>
            <w:pPr>
              <w:pStyle w:val="TableParagraph"/>
              <w:spacing w:before="18"/>
              <w:ind w:left="868"/>
              <w:jc w:val="left"/>
              <w:rPr>
                <w:sz w:val="20"/>
              </w:rPr>
            </w:pPr>
            <w:r>
              <w:rPr>
                <w:spacing w:val="-2"/>
                <w:sz w:val="20"/>
              </w:rPr>
              <w:t>P-</w:t>
            </w:r>
            <w:r>
              <w:rPr>
                <w:spacing w:val="-10"/>
                <w:sz w:val="20"/>
              </w:rPr>
              <w:t>5</w:t>
            </w:r>
          </w:p>
        </w:tc>
        <w:tc>
          <w:tcPr>
            <w:tcW w:w="1004" w:type="dxa"/>
          </w:tcPr>
          <w:p>
            <w:pPr>
              <w:pStyle w:val="TableParagraph"/>
              <w:spacing w:before="18"/>
              <w:ind w:right="5"/>
              <w:rPr>
                <w:sz w:val="20"/>
              </w:rPr>
            </w:pPr>
            <w:r>
              <w:rPr>
                <w:w w:val="100"/>
                <w:sz w:val="20"/>
              </w:rPr>
              <w:t>1</w:t>
            </w:r>
          </w:p>
        </w:tc>
      </w:tr>
      <w:tr>
        <w:trPr>
          <w:trHeight w:val="268" w:hRule="atLeast"/>
        </w:trPr>
        <w:tc>
          <w:tcPr>
            <w:tcW w:w="4582" w:type="dxa"/>
          </w:tcPr>
          <w:p>
            <w:pPr>
              <w:pStyle w:val="TableParagraph"/>
              <w:spacing w:before="15"/>
              <w:ind w:left="14"/>
              <w:jc w:val="left"/>
              <w:rPr>
                <w:sz w:val="20"/>
              </w:rPr>
            </w:pPr>
            <w:r>
              <w:rPr>
                <w:sz w:val="20"/>
              </w:rPr>
              <w:t>Judicial</w:t>
            </w:r>
            <w:r>
              <w:rPr>
                <w:spacing w:val="-8"/>
                <w:sz w:val="20"/>
              </w:rPr>
              <w:t> </w:t>
            </w:r>
            <w:r>
              <w:rPr>
                <w:sz w:val="20"/>
              </w:rPr>
              <w:t>Cooperation</w:t>
            </w:r>
            <w:r>
              <w:rPr>
                <w:spacing w:val="-9"/>
                <w:sz w:val="20"/>
              </w:rPr>
              <w:t> </w:t>
            </w:r>
            <w:r>
              <w:rPr>
                <w:spacing w:val="-2"/>
                <w:sz w:val="20"/>
              </w:rPr>
              <w:t>Adviser</w:t>
            </w:r>
          </w:p>
        </w:tc>
        <w:tc>
          <w:tcPr>
            <w:tcW w:w="1810" w:type="dxa"/>
          </w:tcPr>
          <w:p>
            <w:pPr>
              <w:pStyle w:val="TableParagraph"/>
              <w:spacing w:before="15"/>
              <w:ind w:left="868"/>
              <w:jc w:val="left"/>
              <w:rPr>
                <w:sz w:val="20"/>
              </w:rPr>
            </w:pPr>
            <w:r>
              <w:rPr>
                <w:spacing w:val="-2"/>
                <w:sz w:val="20"/>
              </w:rPr>
              <w:t>P-</w:t>
            </w:r>
            <w:r>
              <w:rPr>
                <w:spacing w:val="-10"/>
                <w:sz w:val="20"/>
              </w:rPr>
              <w:t>4</w:t>
            </w:r>
          </w:p>
        </w:tc>
        <w:tc>
          <w:tcPr>
            <w:tcW w:w="1004" w:type="dxa"/>
          </w:tcPr>
          <w:p>
            <w:pPr>
              <w:pStyle w:val="TableParagraph"/>
              <w:spacing w:before="15"/>
              <w:ind w:right="5"/>
              <w:rPr>
                <w:sz w:val="20"/>
              </w:rPr>
            </w:pPr>
            <w:r>
              <w:rPr>
                <w:w w:val="100"/>
                <w:sz w:val="20"/>
              </w:rPr>
              <w:t>1</w:t>
            </w:r>
          </w:p>
        </w:tc>
      </w:tr>
      <w:tr>
        <w:trPr>
          <w:trHeight w:val="269" w:hRule="atLeast"/>
        </w:trPr>
        <w:tc>
          <w:tcPr>
            <w:tcW w:w="4582" w:type="dxa"/>
          </w:tcPr>
          <w:p>
            <w:pPr>
              <w:pStyle w:val="TableParagraph"/>
              <w:spacing w:before="15"/>
              <w:ind w:left="14"/>
              <w:jc w:val="left"/>
              <w:rPr>
                <w:sz w:val="20"/>
              </w:rPr>
            </w:pPr>
            <w:r>
              <w:rPr>
                <w:sz w:val="20"/>
              </w:rPr>
              <w:t>External</w:t>
            </w:r>
            <w:r>
              <w:rPr>
                <w:spacing w:val="-7"/>
                <w:sz w:val="20"/>
              </w:rPr>
              <w:t> </w:t>
            </w:r>
            <w:r>
              <w:rPr>
                <w:sz w:val="20"/>
              </w:rPr>
              <w:t>Relations</w:t>
            </w:r>
            <w:r>
              <w:rPr>
                <w:spacing w:val="-8"/>
                <w:sz w:val="20"/>
              </w:rPr>
              <w:t> </w:t>
            </w:r>
            <w:r>
              <w:rPr>
                <w:spacing w:val="-2"/>
                <w:sz w:val="20"/>
              </w:rPr>
              <w:t>Adviser</w:t>
            </w:r>
          </w:p>
        </w:tc>
        <w:tc>
          <w:tcPr>
            <w:tcW w:w="1810" w:type="dxa"/>
          </w:tcPr>
          <w:p>
            <w:pPr>
              <w:pStyle w:val="TableParagraph"/>
              <w:spacing w:before="15"/>
              <w:ind w:left="868"/>
              <w:jc w:val="left"/>
              <w:rPr>
                <w:sz w:val="20"/>
              </w:rPr>
            </w:pPr>
            <w:r>
              <w:rPr>
                <w:spacing w:val="-2"/>
                <w:sz w:val="20"/>
              </w:rPr>
              <w:t>P-</w:t>
            </w:r>
            <w:r>
              <w:rPr>
                <w:spacing w:val="-10"/>
                <w:sz w:val="20"/>
              </w:rPr>
              <w:t>3</w:t>
            </w:r>
          </w:p>
        </w:tc>
        <w:tc>
          <w:tcPr>
            <w:tcW w:w="1004" w:type="dxa"/>
          </w:tcPr>
          <w:p>
            <w:pPr>
              <w:pStyle w:val="TableParagraph"/>
              <w:spacing w:before="15"/>
              <w:ind w:right="5"/>
              <w:rPr>
                <w:sz w:val="20"/>
              </w:rPr>
            </w:pPr>
            <w:r>
              <w:rPr>
                <w:w w:val="100"/>
                <w:sz w:val="20"/>
              </w:rPr>
              <w:t>1</w:t>
            </w:r>
          </w:p>
        </w:tc>
      </w:tr>
      <w:tr>
        <w:trPr>
          <w:trHeight w:val="271" w:hRule="atLeast"/>
        </w:trPr>
        <w:tc>
          <w:tcPr>
            <w:tcW w:w="4582" w:type="dxa"/>
          </w:tcPr>
          <w:p>
            <w:pPr>
              <w:pStyle w:val="TableParagraph"/>
              <w:spacing w:before="16"/>
              <w:ind w:left="14"/>
              <w:jc w:val="left"/>
              <w:rPr>
                <w:sz w:val="20"/>
              </w:rPr>
            </w:pPr>
            <w:r>
              <w:rPr>
                <w:sz w:val="20"/>
              </w:rPr>
              <w:t>Associate</w:t>
            </w:r>
            <w:r>
              <w:rPr>
                <w:spacing w:val="-10"/>
                <w:sz w:val="20"/>
              </w:rPr>
              <w:t> </w:t>
            </w:r>
            <w:r>
              <w:rPr>
                <w:sz w:val="20"/>
              </w:rPr>
              <w:t>Judicial</w:t>
            </w:r>
            <w:r>
              <w:rPr>
                <w:spacing w:val="-9"/>
                <w:sz w:val="20"/>
              </w:rPr>
              <w:t> </w:t>
            </w:r>
            <w:r>
              <w:rPr>
                <w:sz w:val="20"/>
              </w:rPr>
              <w:t>Cooperation</w:t>
            </w:r>
            <w:r>
              <w:rPr>
                <w:spacing w:val="-6"/>
                <w:sz w:val="20"/>
              </w:rPr>
              <w:t> </w:t>
            </w:r>
            <w:r>
              <w:rPr>
                <w:spacing w:val="-2"/>
                <w:sz w:val="20"/>
              </w:rPr>
              <w:t>Adviser</w:t>
            </w:r>
          </w:p>
        </w:tc>
        <w:tc>
          <w:tcPr>
            <w:tcW w:w="1810" w:type="dxa"/>
          </w:tcPr>
          <w:p>
            <w:pPr>
              <w:pStyle w:val="TableParagraph"/>
              <w:spacing w:before="16"/>
              <w:ind w:left="868"/>
              <w:jc w:val="left"/>
              <w:rPr>
                <w:sz w:val="20"/>
              </w:rPr>
            </w:pPr>
            <w:r>
              <w:rPr>
                <w:spacing w:val="-2"/>
                <w:sz w:val="20"/>
              </w:rPr>
              <w:t>P-</w:t>
            </w:r>
            <w:r>
              <w:rPr>
                <w:spacing w:val="-10"/>
                <w:sz w:val="20"/>
              </w:rPr>
              <w:t>2</w:t>
            </w:r>
          </w:p>
        </w:tc>
        <w:tc>
          <w:tcPr>
            <w:tcW w:w="1004" w:type="dxa"/>
          </w:tcPr>
          <w:p>
            <w:pPr>
              <w:pStyle w:val="TableParagraph"/>
              <w:spacing w:before="16"/>
              <w:ind w:right="5"/>
              <w:rPr>
                <w:sz w:val="20"/>
              </w:rPr>
            </w:pPr>
            <w:r>
              <w:rPr>
                <w:w w:val="100"/>
                <w:sz w:val="20"/>
              </w:rPr>
              <w:t>1</w:t>
            </w:r>
          </w:p>
        </w:tc>
      </w:tr>
      <w:tr>
        <w:trPr>
          <w:trHeight w:val="271" w:hRule="atLeast"/>
        </w:trPr>
        <w:tc>
          <w:tcPr>
            <w:tcW w:w="4582" w:type="dxa"/>
          </w:tcPr>
          <w:p>
            <w:pPr>
              <w:pStyle w:val="TableParagraph"/>
              <w:spacing w:before="18"/>
              <w:ind w:left="14"/>
              <w:jc w:val="left"/>
              <w:rPr>
                <w:sz w:val="20"/>
              </w:rPr>
            </w:pPr>
            <w:r>
              <w:rPr>
                <w:sz w:val="20"/>
              </w:rPr>
              <w:t>Judicial</w:t>
            </w:r>
            <w:r>
              <w:rPr>
                <w:spacing w:val="-9"/>
                <w:sz w:val="20"/>
              </w:rPr>
              <w:t> </w:t>
            </w:r>
            <w:r>
              <w:rPr>
                <w:sz w:val="20"/>
              </w:rPr>
              <w:t>Cooperation</w:t>
            </w:r>
            <w:r>
              <w:rPr>
                <w:spacing w:val="-9"/>
                <w:sz w:val="20"/>
              </w:rPr>
              <w:t> </w:t>
            </w:r>
            <w:r>
              <w:rPr>
                <w:spacing w:val="-2"/>
                <w:sz w:val="20"/>
              </w:rPr>
              <w:t>Assistant</w:t>
            </w:r>
          </w:p>
        </w:tc>
        <w:tc>
          <w:tcPr>
            <w:tcW w:w="1810" w:type="dxa"/>
          </w:tcPr>
          <w:p>
            <w:pPr>
              <w:pStyle w:val="TableParagraph"/>
              <w:spacing w:before="18"/>
              <w:ind w:left="868"/>
              <w:jc w:val="left"/>
              <w:rPr>
                <w:sz w:val="20"/>
              </w:rPr>
            </w:pPr>
            <w:r>
              <w:rPr>
                <w:spacing w:val="-2"/>
                <w:sz w:val="20"/>
              </w:rPr>
              <w:t>GS-</w:t>
            </w:r>
            <w:r>
              <w:rPr>
                <w:spacing w:val="-7"/>
                <w:sz w:val="20"/>
              </w:rPr>
              <w:t>OL</w:t>
            </w:r>
          </w:p>
        </w:tc>
        <w:tc>
          <w:tcPr>
            <w:tcW w:w="1004" w:type="dxa"/>
          </w:tcPr>
          <w:p>
            <w:pPr>
              <w:pStyle w:val="TableParagraph"/>
              <w:spacing w:before="18"/>
              <w:ind w:right="5"/>
              <w:rPr>
                <w:sz w:val="20"/>
              </w:rPr>
            </w:pPr>
            <w:r>
              <w:rPr>
                <w:w w:val="100"/>
                <w:sz w:val="20"/>
              </w:rPr>
              <w:t>2</w:t>
            </w:r>
          </w:p>
        </w:tc>
      </w:tr>
      <w:tr>
        <w:trPr>
          <w:trHeight w:val="264" w:hRule="atLeast"/>
        </w:trPr>
        <w:tc>
          <w:tcPr>
            <w:tcW w:w="4582" w:type="dxa"/>
            <w:tcBorders>
              <w:bottom w:val="single" w:sz="4" w:space="0" w:color="000000"/>
            </w:tcBorders>
          </w:tcPr>
          <w:p>
            <w:pPr>
              <w:pStyle w:val="TableParagraph"/>
              <w:spacing w:line="229" w:lineRule="exact" w:before="15"/>
              <w:ind w:left="14"/>
              <w:jc w:val="left"/>
              <w:rPr>
                <w:sz w:val="20"/>
              </w:rPr>
            </w:pPr>
            <w:r>
              <w:rPr>
                <w:spacing w:val="-2"/>
                <w:sz w:val="20"/>
              </w:rPr>
              <w:t>Administrative</w:t>
            </w:r>
            <w:r>
              <w:rPr>
                <w:spacing w:val="15"/>
                <w:sz w:val="20"/>
              </w:rPr>
              <w:t> </w:t>
            </w:r>
            <w:r>
              <w:rPr>
                <w:spacing w:val="-2"/>
                <w:sz w:val="20"/>
              </w:rPr>
              <w:t>Assistant</w:t>
            </w:r>
          </w:p>
        </w:tc>
        <w:tc>
          <w:tcPr>
            <w:tcW w:w="1810" w:type="dxa"/>
            <w:tcBorders>
              <w:bottom w:val="single" w:sz="4" w:space="0" w:color="000000"/>
            </w:tcBorders>
          </w:tcPr>
          <w:p>
            <w:pPr>
              <w:pStyle w:val="TableParagraph"/>
              <w:spacing w:line="229" w:lineRule="exact" w:before="15"/>
              <w:ind w:left="868"/>
              <w:jc w:val="left"/>
              <w:rPr>
                <w:sz w:val="20"/>
              </w:rPr>
            </w:pPr>
            <w:r>
              <w:rPr>
                <w:spacing w:val="-2"/>
                <w:sz w:val="20"/>
              </w:rPr>
              <w:t>GS-</w:t>
            </w:r>
            <w:r>
              <w:rPr>
                <w:spacing w:val="-7"/>
                <w:sz w:val="20"/>
              </w:rPr>
              <w:t>OL</w:t>
            </w:r>
          </w:p>
        </w:tc>
        <w:tc>
          <w:tcPr>
            <w:tcW w:w="1004" w:type="dxa"/>
            <w:tcBorders>
              <w:bottom w:val="single" w:sz="4" w:space="0" w:color="000000"/>
            </w:tcBorders>
          </w:tcPr>
          <w:p>
            <w:pPr>
              <w:pStyle w:val="TableParagraph"/>
              <w:spacing w:line="229" w:lineRule="exact" w:before="15"/>
              <w:ind w:right="5"/>
              <w:rPr>
                <w:sz w:val="20"/>
              </w:rPr>
            </w:pPr>
            <w:r>
              <w:rPr>
                <w:w w:val="100"/>
                <w:sz w:val="20"/>
              </w:rPr>
              <w:t>1</w:t>
            </w:r>
          </w:p>
        </w:tc>
      </w:tr>
      <w:tr>
        <w:trPr>
          <w:trHeight w:val="268" w:hRule="atLeast"/>
        </w:trPr>
        <w:tc>
          <w:tcPr>
            <w:tcW w:w="4582" w:type="dxa"/>
            <w:tcBorders>
              <w:top w:val="single" w:sz="4" w:space="0" w:color="000000"/>
              <w:bottom w:val="single" w:sz="4" w:space="0" w:color="000000"/>
            </w:tcBorders>
          </w:tcPr>
          <w:p>
            <w:pPr>
              <w:pStyle w:val="TableParagraph"/>
              <w:jc w:val="left"/>
              <w:rPr>
                <w:sz w:val="18"/>
              </w:rPr>
            </w:pPr>
          </w:p>
        </w:tc>
        <w:tc>
          <w:tcPr>
            <w:tcW w:w="1810" w:type="dxa"/>
            <w:tcBorders>
              <w:top w:val="single" w:sz="4" w:space="0" w:color="000000"/>
              <w:bottom w:val="single" w:sz="4" w:space="0" w:color="000000"/>
            </w:tcBorders>
          </w:tcPr>
          <w:p>
            <w:pPr>
              <w:pStyle w:val="TableParagraph"/>
              <w:jc w:val="left"/>
              <w:rPr>
                <w:sz w:val="18"/>
              </w:rPr>
            </w:pPr>
          </w:p>
        </w:tc>
        <w:tc>
          <w:tcPr>
            <w:tcW w:w="1004" w:type="dxa"/>
            <w:tcBorders>
              <w:top w:val="single" w:sz="4" w:space="0" w:color="000000"/>
              <w:bottom w:val="single" w:sz="4" w:space="0" w:color="000000"/>
            </w:tcBorders>
          </w:tcPr>
          <w:p>
            <w:pPr>
              <w:pStyle w:val="TableParagraph"/>
              <w:spacing w:line="229" w:lineRule="exact" w:before="19"/>
              <w:ind w:right="5"/>
              <w:rPr>
                <w:b/>
                <w:sz w:val="20"/>
              </w:rPr>
            </w:pPr>
            <w:r>
              <w:rPr>
                <w:b/>
                <w:w w:val="100"/>
                <w:sz w:val="20"/>
              </w:rPr>
              <w:t>7</w:t>
            </w:r>
          </w:p>
        </w:tc>
      </w:tr>
      <w:tr>
        <w:trPr>
          <w:trHeight w:val="273" w:hRule="atLeast"/>
        </w:trPr>
        <w:tc>
          <w:tcPr>
            <w:tcW w:w="4582" w:type="dxa"/>
            <w:tcBorders>
              <w:top w:val="single" w:sz="4" w:space="0" w:color="000000"/>
              <w:bottom w:val="single" w:sz="4" w:space="0" w:color="000000"/>
            </w:tcBorders>
          </w:tcPr>
          <w:p>
            <w:pPr>
              <w:pStyle w:val="TableParagraph"/>
              <w:spacing w:line="229" w:lineRule="exact" w:before="24"/>
              <w:ind w:left="14"/>
              <w:jc w:val="left"/>
              <w:rPr>
                <w:i/>
                <w:sz w:val="20"/>
              </w:rPr>
            </w:pPr>
            <w:r>
              <w:rPr>
                <w:i/>
                <w:sz w:val="20"/>
              </w:rPr>
              <w:t>Public</w:t>
            </w:r>
            <w:r>
              <w:rPr>
                <w:i/>
                <w:spacing w:val="-10"/>
                <w:sz w:val="20"/>
              </w:rPr>
              <w:t> </w:t>
            </w:r>
            <w:r>
              <w:rPr>
                <w:i/>
                <w:sz w:val="20"/>
              </w:rPr>
              <w:t>Information</w:t>
            </w:r>
            <w:r>
              <w:rPr>
                <w:i/>
                <w:spacing w:val="-4"/>
                <w:sz w:val="20"/>
              </w:rPr>
              <w:t> Unit</w:t>
            </w:r>
          </w:p>
        </w:tc>
        <w:tc>
          <w:tcPr>
            <w:tcW w:w="1810" w:type="dxa"/>
            <w:tcBorders>
              <w:top w:val="single" w:sz="4" w:space="0" w:color="000000"/>
              <w:bottom w:val="single" w:sz="4" w:space="0" w:color="000000"/>
            </w:tcBorders>
          </w:tcPr>
          <w:p>
            <w:pPr>
              <w:pStyle w:val="TableParagraph"/>
              <w:jc w:val="left"/>
              <w:rPr>
                <w:sz w:val="18"/>
              </w:rPr>
            </w:pPr>
          </w:p>
        </w:tc>
        <w:tc>
          <w:tcPr>
            <w:tcW w:w="1004" w:type="dxa"/>
            <w:tcBorders>
              <w:top w:val="single" w:sz="4" w:space="0" w:color="000000"/>
              <w:bottom w:val="single" w:sz="4" w:space="0" w:color="000000"/>
            </w:tcBorders>
          </w:tcPr>
          <w:p>
            <w:pPr>
              <w:pStyle w:val="TableParagraph"/>
              <w:jc w:val="left"/>
              <w:rPr>
                <w:sz w:val="18"/>
              </w:rPr>
            </w:pPr>
          </w:p>
        </w:tc>
      </w:tr>
      <w:tr>
        <w:trPr>
          <w:trHeight w:val="272" w:hRule="atLeast"/>
        </w:trPr>
        <w:tc>
          <w:tcPr>
            <w:tcW w:w="4582" w:type="dxa"/>
            <w:tcBorders>
              <w:top w:val="single" w:sz="4" w:space="0" w:color="000000"/>
            </w:tcBorders>
          </w:tcPr>
          <w:p>
            <w:pPr>
              <w:pStyle w:val="TableParagraph"/>
              <w:spacing w:before="19"/>
              <w:ind w:left="14"/>
              <w:jc w:val="left"/>
              <w:rPr>
                <w:sz w:val="20"/>
              </w:rPr>
            </w:pPr>
            <w:r>
              <w:rPr>
                <w:sz w:val="20"/>
              </w:rPr>
              <w:t>Public</w:t>
            </w:r>
            <w:r>
              <w:rPr>
                <w:spacing w:val="-5"/>
                <w:sz w:val="20"/>
              </w:rPr>
              <w:t> </w:t>
            </w:r>
            <w:r>
              <w:rPr>
                <w:sz w:val="20"/>
              </w:rPr>
              <w:t>Information</w:t>
            </w:r>
            <w:r>
              <w:rPr>
                <w:spacing w:val="-10"/>
                <w:sz w:val="20"/>
              </w:rPr>
              <w:t> </w:t>
            </w:r>
            <w:r>
              <w:rPr>
                <w:spacing w:val="-2"/>
                <w:sz w:val="20"/>
              </w:rPr>
              <w:t>Officer</w:t>
            </w:r>
          </w:p>
        </w:tc>
        <w:tc>
          <w:tcPr>
            <w:tcW w:w="1810" w:type="dxa"/>
            <w:tcBorders>
              <w:top w:val="single" w:sz="4" w:space="0" w:color="000000"/>
            </w:tcBorders>
          </w:tcPr>
          <w:p>
            <w:pPr>
              <w:pStyle w:val="TableParagraph"/>
              <w:spacing w:before="19"/>
              <w:ind w:left="868"/>
              <w:jc w:val="left"/>
              <w:rPr>
                <w:sz w:val="20"/>
              </w:rPr>
            </w:pPr>
            <w:r>
              <w:rPr>
                <w:spacing w:val="-2"/>
                <w:sz w:val="20"/>
              </w:rPr>
              <w:t>P-</w:t>
            </w:r>
            <w:r>
              <w:rPr>
                <w:spacing w:val="-10"/>
                <w:sz w:val="20"/>
              </w:rPr>
              <w:t>3</w:t>
            </w:r>
          </w:p>
        </w:tc>
        <w:tc>
          <w:tcPr>
            <w:tcW w:w="1004" w:type="dxa"/>
            <w:tcBorders>
              <w:top w:val="single" w:sz="4" w:space="0" w:color="000000"/>
            </w:tcBorders>
          </w:tcPr>
          <w:p>
            <w:pPr>
              <w:pStyle w:val="TableParagraph"/>
              <w:spacing w:before="19"/>
              <w:ind w:right="5"/>
              <w:rPr>
                <w:sz w:val="20"/>
              </w:rPr>
            </w:pPr>
            <w:r>
              <w:rPr>
                <w:w w:val="100"/>
                <w:sz w:val="20"/>
              </w:rPr>
              <w:t>2</w:t>
            </w:r>
          </w:p>
        </w:tc>
      </w:tr>
      <w:tr>
        <w:trPr>
          <w:trHeight w:val="264" w:hRule="atLeast"/>
        </w:trPr>
        <w:tc>
          <w:tcPr>
            <w:tcW w:w="4582" w:type="dxa"/>
            <w:tcBorders>
              <w:bottom w:val="single" w:sz="4" w:space="0" w:color="000000"/>
            </w:tcBorders>
          </w:tcPr>
          <w:p>
            <w:pPr>
              <w:pStyle w:val="TableParagraph"/>
              <w:spacing w:line="229" w:lineRule="exact" w:before="15"/>
              <w:ind w:left="14"/>
              <w:jc w:val="left"/>
              <w:rPr>
                <w:sz w:val="20"/>
              </w:rPr>
            </w:pPr>
            <w:r>
              <w:rPr>
                <w:sz w:val="20"/>
              </w:rPr>
              <w:t>Public</w:t>
            </w:r>
            <w:r>
              <w:rPr>
                <w:spacing w:val="-5"/>
                <w:sz w:val="20"/>
              </w:rPr>
              <w:t> </w:t>
            </w:r>
            <w:r>
              <w:rPr>
                <w:sz w:val="20"/>
              </w:rPr>
              <w:t>Information</w:t>
            </w:r>
            <w:r>
              <w:rPr>
                <w:spacing w:val="-10"/>
                <w:sz w:val="20"/>
              </w:rPr>
              <w:t> </w:t>
            </w:r>
            <w:r>
              <w:rPr>
                <w:spacing w:val="-2"/>
                <w:sz w:val="20"/>
              </w:rPr>
              <w:t>Assistant</w:t>
            </w:r>
          </w:p>
        </w:tc>
        <w:tc>
          <w:tcPr>
            <w:tcW w:w="1810" w:type="dxa"/>
            <w:tcBorders>
              <w:bottom w:val="single" w:sz="4" w:space="0" w:color="000000"/>
            </w:tcBorders>
          </w:tcPr>
          <w:p>
            <w:pPr>
              <w:pStyle w:val="TableParagraph"/>
              <w:spacing w:line="229" w:lineRule="exact" w:before="15"/>
              <w:ind w:left="868"/>
              <w:jc w:val="left"/>
              <w:rPr>
                <w:sz w:val="20"/>
              </w:rPr>
            </w:pPr>
            <w:r>
              <w:rPr>
                <w:spacing w:val="-2"/>
                <w:sz w:val="20"/>
              </w:rPr>
              <w:t>GS-</w:t>
            </w:r>
            <w:r>
              <w:rPr>
                <w:spacing w:val="-7"/>
                <w:sz w:val="20"/>
              </w:rPr>
              <w:t>OL</w:t>
            </w:r>
          </w:p>
        </w:tc>
        <w:tc>
          <w:tcPr>
            <w:tcW w:w="1004" w:type="dxa"/>
            <w:tcBorders>
              <w:bottom w:val="single" w:sz="4" w:space="0" w:color="000000"/>
            </w:tcBorders>
          </w:tcPr>
          <w:p>
            <w:pPr>
              <w:pStyle w:val="TableParagraph"/>
              <w:spacing w:line="229" w:lineRule="exact" w:before="15"/>
              <w:ind w:right="5"/>
              <w:rPr>
                <w:sz w:val="20"/>
              </w:rPr>
            </w:pPr>
            <w:r>
              <w:rPr>
                <w:w w:val="100"/>
                <w:sz w:val="20"/>
              </w:rPr>
              <w:t>1</w:t>
            </w:r>
          </w:p>
        </w:tc>
      </w:tr>
      <w:tr>
        <w:trPr>
          <w:trHeight w:val="273" w:hRule="atLeast"/>
        </w:trPr>
        <w:tc>
          <w:tcPr>
            <w:tcW w:w="4582" w:type="dxa"/>
            <w:tcBorders>
              <w:top w:val="single" w:sz="4" w:space="0" w:color="000000"/>
              <w:bottom w:val="single" w:sz="4" w:space="0" w:color="000000"/>
            </w:tcBorders>
          </w:tcPr>
          <w:p>
            <w:pPr>
              <w:pStyle w:val="TableParagraph"/>
              <w:jc w:val="left"/>
              <w:rPr>
                <w:sz w:val="18"/>
              </w:rPr>
            </w:pPr>
          </w:p>
        </w:tc>
        <w:tc>
          <w:tcPr>
            <w:tcW w:w="1810" w:type="dxa"/>
            <w:tcBorders>
              <w:top w:val="single" w:sz="4" w:space="0" w:color="000000"/>
              <w:bottom w:val="single" w:sz="4" w:space="0" w:color="000000"/>
            </w:tcBorders>
          </w:tcPr>
          <w:p>
            <w:pPr>
              <w:pStyle w:val="TableParagraph"/>
              <w:jc w:val="left"/>
              <w:rPr>
                <w:sz w:val="18"/>
              </w:rPr>
            </w:pPr>
          </w:p>
        </w:tc>
        <w:tc>
          <w:tcPr>
            <w:tcW w:w="1004" w:type="dxa"/>
            <w:tcBorders>
              <w:top w:val="single" w:sz="4" w:space="0" w:color="000000"/>
              <w:bottom w:val="single" w:sz="4" w:space="0" w:color="000000"/>
            </w:tcBorders>
          </w:tcPr>
          <w:p>
            <w:pPr>
              <w:pStyle w:val="TableParagraph"/>
              <w:spacing w:before="20"/>
              <w:ind w:right="5"/>
              <w:rPr>
                <w:b/>
                <w:sz w:val="20"/>
              </w:rPr>
            </w:pPr>
            <w:r>
              <w:rPr>
                <w:b/>
                <w:w w:val="100"/>
                <w:sz w:val="20"/>
              </w:rPr>
              <w:t>3</w:t>
            </w:r>
          </w:p>
        </w:tc>
      </w:tr>
      <w:tr>
        <w:trPr>
          <w:trHeight w:val="268" w:hRule="atLeast"/>
        </w:trPr>
        <w:tc>
          <w:tcPr>
            <w:tcW w:w="4582" w:type="dxa"/>
            <w:tcBorders>
              <w:top w:val="single" w:sz="4" w:space="0" w:color="000000"/>
              <w:bottom w:val="single" w:sz="4" w:space="0" w:color="000000"/>
            </w:tcBorders>
          </w:tcPr>
          <w:p>
            <w:pPr>
              <w:pStyle w:val="TableParagraph"/>
              <w:spacing w:line="229" w:lineRule="exact" w:before="19"/>
              <w:ind w:left="14"/>
              <w:jc w:val="left"/>
              <w:rPr>
                <w:i/>
                <w:sz w:val="20"/>
              </w:rPr>
            </w:pPr>
            <w:r>
              <w:rPr>
                <w:i/>
                <w:sz w:val="20"/>
              </w:rPr>
              <w:t>Legal</w:t>
            </w:r>
            <w:r>
              <w:rPr>
                <w:i/>
                <w:spacing w:val="-7"/>
                <w:sz w:val="20"/>
              </w:rPr>
              <w:t> </w:t>
            </w:r>
            <w:r>
              <w:rPr>
                <w:i/>
                <w:sz w:val="20"/>
              </w:rPr>
              <w:t>Advisory</w:t>
            </w:r>
            <w:r>
              <w:rPr>
                <w:i/>
                <w:spacing w:val="-2"/>
                <w:sz w:val="20"/>
              </w:rPr>
              <w:t> Section</w:t>
            </w:r>
          </w:p>
        </w:tc>
        <w:tc>
          <w:tcPr>
            <w:tcW w:w="1810" w:type="dxa"/>
            <w:tcBorders>
              <w:top w:val="single" w:sz="4" w:space="0" w:color="000000"/>
              <w:bottom w:val="single" w:sz="4" w:space="0" w:color="000000"/>
            </w:tcBorders>
          </w:tcPr>
          <w:p>
            <w:pPr>
              <w:pStyle w:val="TableParagraph"/>
              <w:jc w:val="left"/>
              <w:rPr>
                <w:sz w:val="18"/>
              </w:rPr>
            </w:pPr>
          </w:p>
        </w:tc>
        <w:tc>
          <w:tcPr>
            <w:tcW w:w="1004" w:type="dxa"/>
            <w:tcBorders>
              <w:top w:val="single" w:sz="4" w:space="0" w:color="000000"/>
              <w:bottom w:val="single" w:sz="4" w:space="0" w:color="000000"/>
            </w:tcBorders>
          </w:tcPr>
          <w:p>
            <w:pPr>
              <w:pStyle w:val="TableParagraph"/>
              <w:jc w:val="left"/>
              <w:rPr>
                <w:sz w:val="18"/>
              </w:rPr>
            </w:pPr>
          </w:p>
        </w:tc>
      </w:tr>
      <w:tr>
        <w:trPr>
          <w:trHeight w:val="272" w:hRule="atLeast"/>
        </w:trPr>
        <w:tc>
          <w:tcPr>
            <w:tcW w:w="4582" w:type="dxa"/>
            <w:tcBorders>
              <w:top w:val="single" w:sz="4" w:space="0" w:color="000000"/>
            </w:tcBorders>
          </w:tcPr>
          <w:p>
            <w:pPr>
              <w:pStyle w:val="TableParagraph"/>
              <w:spacing w:before="19"/>
              <w:ind w:left="14"/>
              <w:jc w:val="left"/>
              <w:rPr>
                <w:sz w:val="20"/>
              </w:rPr>
            </w:pPr>
            <w:r>
              <w:rPr>
                <w:sz w:val="20"/>
              </w:rPr>
              <w:t>Legal</w:t>
            </w:r>
            <w:r>
              <w:rPr>
                <w:spacing w:val="-5"/>
                <w:sz w:val="20"/>
              </w:rPr>
              <w:t> </w:t>
            </w:r>
            <w:r>
              <w:rPr>
                <w:spacing w:val="-2"/>
                <w:sz w:val="20"/>
              </w:rPr>
              <w:t>Adviser</w:t>
            </w:r>
          </w:p>
        </w:tc>
        <w:tc>
          <w:tcPr>
            <w:tcW w:w="1810" w:type="dxa"/>
            <w:tcBorders>
              <w:top w:val="single" w:sz="4" w:space="0" w:color="000000"/>
            </w:tcBorders>
          </w:tcPr>
          <w:p>
            <w:pPr>
              <w:pStyle w:val="TableParagraph"/>
              <w:spacing w:before="19"/>
              <w:ind w:left="868"/>
              <w:jc w:val="left"/>
              <w:rPr>
                <w:sz w:val="20"/>
              </w:rPr>
            </w:pPr>
            <w:r>
              <w:rPr>
                <w:spacing w:val="-2"/>
                <w:sz w:val="20"/>
              </w:rPr>
              <w:t>P-</w:t>
            </w:r>
            <w:r>
              <w:rPr>
                <w:spacing w:val="-10"/>
                <w:sz w:val="20"/>
              </w:rPr>
              <w:t>4</w:t>
            </w:r>
          </w:p>
        </w:tc>
        <w:tc>
          <w:tcPr>
            <w:tcW w:w="1004" w:type="dxa"/>
            <w:tcBorders>
              <w:top w:val="single" w:sz="4" w:space="0" w:color="000000"/>
            </w:tcBorders>
          </w:tcPr>
          <w:p>
            <w:pPr>
              <w:pStyle w:val="TableParagraph"/>
              <w:spacing w:before="19"/>
              <w:ind w:right="5"/>
              <w:rPr>
                <w:sz w:val="20"/>
              </w:rPr>
            </w:pPr>
            <w:r>
              <w:rPr>
                <w:w w:val="100"/>
                <w:sz w:val="20"/>
              </w:rPr>
              <w:t>1</w:t>
            </w:r>
          </w:p>
        </w:tc>
      </w:tr>
      <w:tr>
        <w:trPr>
          <w:trHeight w:val="271" w:hRule="atLeast"/>
        </w:trPr>
        <w:tc>
          <w:tcPr>
            <w:tcW w:w="4582" w:type="dxa"/>
          </w:tcPr>
          <w:p>
            <w:pPr>
              <w:pStyle w:val="TableParagraph"/>
              <w:spacing w:before="15"/>
              <w:ind w:left="14"/>
              <w:jc w:val="left"/>
              <w:rPr>
                <w:sz w:val="20"/>
              </w:rPr>
            </w:pPr>
            <w:r>
              <w:rPr>
                <w:sz w:val="20"/>
              </w:rPr>
              <w:t>Associate</w:t>
            </w:r>
            <w:r>
              <w:rPr>
                <w:spacing w:val="-8"/>
                <w:sz w:val="20"/>
              </w:rPr>
              <w:t> </w:t>
            </w:r>
            <w:r>
              <w:rPr>
                <w:sz w:val="20"/>
              </w:rPr>
              <w:t>Legal</w:t>
            </w:r>
            <w:r>
              <w:rPr>
                <w:spacing w:val="-2"/>
                <w:sz w:val="20"/>
              </w:rPr>
              <w:t> Adviser</w:t>
            </w:r>
          </w:p>
        </w:tc>
        <w:tc>
          <w:tcPr>
            <w:tcW w:w="1810" w:type="dxa"/>
          </w:tcPr>
          <w:p>
            <w:pPr>
              <w:pStyle w:val="TableParagraph"/>
              <w:spacing w:before="15"/>
              <w:ind w:left="868"/>
              <w:jc w:val="left"/>
              <w:rPr>
                <w:sz w:val="20"/>
              </w:rPr>
            </w:pPr>
            <w:r>
              <w:rPr>
                <w:spacing w:val="-2"/>
                <w:sz w:val="20"/>
              </w:rPr>
              <w:t>P-</w:t>
            </w:r>
            <w:r>
              <w:rPr>
                <w:spacing w:val="-10"/>
                <w:sz w:val="20"/>
              </w:rPr>
              <w:t>2</w:t>
            </w:r>
          </w:p>
        </w:tc>
        <w:tc>
          <w:tcPr>
            <w:tcW w:w="1004" w:type="dxa"/>
          </w:tcPr>
          <w:p>
            <w:pPr>
              <w:pStyle w:val="TableParagraph"/>
              <w:spacing w:before="15"/>
              <w:ind w:right="5"/>
              <w:rPr>
                <w:sz w:val="20"/>
              </w:rPr>
            </w:pPr>
            <w:r>
              <w:rPr>
                <w:w w:val="100"/>
                <w:sz w:val="20"/>
              </w:rPr>
              <w:t>1</w:t>
            </w:r>
          </w:p>
        </w:tc>
      </w:tr>
      <w:tr>
        <w:trPr>
          <w:trHeight w:val="267" w:hRule="atLeast"/>
        </w:trPr>
        <w:tc>
          <w:tcPr>
            <w:tcW w:w="4582" w:type="dxa"/>
          </w:tcPr>
          <w:p>
            <w:pPr>
              <w:pStyle w:val="TableParagraph"/>
              <w:spacing w:line="229" w:lineRule="exact" w:before="18"/>
              <w:ind w:left="14"/>
              <w:jc w:val="left"/>
              <w:rPr>
                <w:sz w:val="20"/>
              </w:rPr>
            </w:pPr>
            <w:r>
              <w:rPr>
                <w:sz w:val="20"/>
              </w:rPr>
              <w:t>Associate</w:t>
            </w:r>
            <w:r>
              <w:rPr>
                <w:spacing w:val="-9"/>
                <w:sz w:val="20"/>
              </w:rPr>
              <w:t> </w:t>
            </w:r>
            <w:r>
              <w:rPr>
                <w:sz w:val="20"/>
              </w:rPr>
              <w:t>Programme</w:t>
            </w:r>
            <w:r>
              <w:rPr>
                <w:spacing w:val="-8"/>
                <w:sz w:val="20"/>
              </w:rPr>
              <w:t> </w:t>
            </w:r>
            <w:r>
              <w:rPr>
                <w:spacing w:val="-2"/>
                <w:sz w:val="20"/>
              </w:rPr>
              <w:t>Officer</w:t>
            </w:r>
          </w:p>
        </w:tc>
        <w:tc>
          <w:tcPr>
            <w:tcW w:w="1810" w:type="dxa"/>
          </w:tcPr>
          <w:p>
            <w:pPr>
              <w:pStyle w:val="TableParagraph"/>
              <w:spacing w:line="229" w:lineRule="exact" w:before="18"/>
              <w:ind w:left="868"/>
              <w:jc w:val="left"/>
              <w:rPr>
                <w:sz w:val="20"/>
              </w:rPr>
            </w:pPr>
            <w:r>
              <w:rPr>
                <w:spacing w:val="-2"/>
                <w:sz w:val="20"/>
              </w:rPr>
              <w:t>P-</w:t>
            </w:r>
            <w:r>
              <w:rPr>
                <w:spacing w:val="-10"/>
                <w:sz w:val="20"/>
              </w:rPr>
              <w:t>2</w:t>
            </w:r>
          </w:p>
        </w:tc>
        <w:tc>
          <w:tcPr>
            <w:tcW w:w="1004" w:type="dxa"/>
          </w:tcPr>
          <w:p>
            <w:pPr>
              <w:pStyle w:val="TableParagraph"/>
              <w:spacing w:line="229" w:lineRule="exact" w:before="18"/>
              <w:ind w:right="5"/>
              <w:rPr>
                <w:sz w:val="20"/>
              </w:rPr>
            </w:pPr>
            <w:r>
              <w:rPr>
                <w:w w:val="100"/>
                <w:sz w:val="20"/>
              </w:rPr>
              <w:t>1</w:t>
            </w:r>
          </w:p>
        </w:tc>
      </w:tr>
      <w:tr>
        <w:trPr>
          <w:trHeight w:val="268" w:hRule="atLeast"/>
        </w:trPr>
        <w:tc>
          <w:tcPr>
            <w:tcW w:w="4582" w:type="dxa"/>
            <w:tcBorders>
              <w:bottom w:val="single" w:sz="4" w:space="0" w:color="000000"/>
            </w:tcBorders>
          </w:tcPr>
          <w:p>
            <w:pPr>
              <w:pStyle w:val="TableParagraph"/>
              <w:spacing w:line="229" w:lineRule="exact" w:before="19"/>
              <w:ind w:left="14"/>
              <w:jc w:val="left"/>
              <w:rPr>
                <w:sz w:val="20"/>
              </w:rPr>
            </w:pPr>
            <w:r>
              <w:rPr>
                <w:sz w:val="20"/>
              </w:rPr>
              <w:t>Legal</w:t>
            </w:r>
            <w:r>
              <w:rPr>
                <w:spacing w:val="-5"/>
                <w:sz w:val="20"/>
              </w:rPr>
              <w:t> </w:t>
            </w:r>
            <w:r>
              <w:rPr>
                <w:spacing w:val="-2"/>
                <w:sz w:val="20"/>
              </w:rPr>
              <w:t>Assistant</w:t>
            </w:r>
            <w:r>
              <w:rPr>
                <w:spacing w:val="-2"/>
                <w:sz w:val="20"/>
                <w:vertAlign w:val="superscript"/>
              </w:rPr>
              <w:t>65</w:t>
            </w:r>
          </w:p>
        </w:tc>
        <w:tc>
          <w:tcPr>
            <w:tcW w:w="1810" w:type="dxa"/>
            <w:tcBorders>
              <w:bottom w:val="single" w:sz="4" w:space="0" w:color="000000"/>
            </w:tcBorders>
          </w:tcPr>
          <w:p>
            <w:pPr>
              <w:pStyle w:val="TableParagraph"/>
              <w:spacing w:line="229" w:lineRule="exact" w:before="19"/>
              <w:ind w:left="868"/>
              <w:jc w:val="left"/>
              <w:rPr>
                <w:sz w:val="20"/>
              </w:rPr>
            </w:pPr>
            <w:r>
              <w:rPr>
                <w:spacing w:val="-2"/>
                <w:sz w:val="20"/>
              </w:rPr>
              <w:t>GS-</w:t>
            </w:r>
            <w:r>
              <w:rPr>
                <w:spacing w:val="-7"/>
                <w:sz w:val="20"/>
              </w:rPr>
              <w:t>OL</w:t>
            </w:r>
          </w:p>
        </w:tc>
        <w:tc>
          <w:tcPr>
            <w:tcW w:w="1004" w:type="dxa"/>
            <w:tcBorders>
              <w:bottom w:val="single" w:sz="4" w:space="0" w:color="000000"/>
            </w:tcBorders>
          </w:tcPr>
          <w:p>
            <w:pPr>
              <w:pStyle w:val="TableParagraph"/>
              <w:spacing w:line="229" w:lineRule="exact" w:before="19"/>
              <w:ind w:right="5"/>
              <w:rPr>
                <w:sz w:val="20"/>
              </w:rPr>
            </w:pPr>
            <w:r>
              <w:rPr>
                <w:w w:val="100"/>
                <w:sz w:val="20"/>
              </w:rPr>
              <w:t>1</w:t>
            </w:r>
          </w:p>
        </w:tc>
      </w:tr>
      <w:tr>
        <w:trPr>
          <w:trHeight w:val="268" w:hRule="atLeast"/>
        </w:trPr>
        <w:tc>
          <w:tcPr>
            <w:tcW w:w="4582" w:type="dxa"/>
            <w:tcBorders>
              <w:top w:val="single" w:sz="4" w:space="0" w:color="000000"/>
              <w:bottom w:val="single" w:sz="4" w:space="0" w:color="000000"/>
            </w:tcBorders>
          </w:tcPr>
          <w:p>
            <w:pPr>
              <w:pStyle w:val="TableParagraph"/>
              <w:jc w:val="left"/>
              <w:rPr>
                <w:sz w:val="18"/>
              </w:rPr>
            </w:pPr>
          </w:p>
        </w:tc>
        <w:tc>
          <w:tcPr>
            <w:tcW w:w="1810" w:type="dxa"/>
            <w:tcBorders>
              <w:top w:val="single" w:sz="4" w:space="0" w:color="000000"/>
              <w:bottom w:val="single" w:sz="4" w:space="0" w:color="000000"/>
            </w:tcBorders>
          </w:tcPr>
          <w:p>
            <w:pPr>
              <w:pStyle w:val="TableParagraph"/>
              <w:jc w:val="left"/>
              <w:rPr>
                <w:sz w:val="18"/>
              </w:rPr>
            </w:pPr>
          </w:p>
        </w:tc>
        <w:tc>
          <w:tcPr>
            <w:tcW w:w="1004" w:type="dxa"/>
            <w:tcBorders>
              <w:top w:val="single" w:sz="4" w:space="0" w:color="000000"/>
              <w:bottom w:val="single" w:sz="4" w:space="0" w:color="000000"/>
            </w:tcBorders>
          </w:tcPr>
          <w:p>
            <w:pPr>
              <w:pStyle w:val="TableParagraph"/>
              <w:spacing w:line="229" w:lineRule="exact" w:before="20"/>
              <w:ind w:right="5"/>
              <w:rPr>
                <w:b/>
                <w:sz w:val="20"/>
              </w:rPr>
            </w:pPr>
            <w:r>
              <w:rPr>
                <w:b/>
                <w:w w:val="100"/>
                <w:sz w:val="20"/>
              </w:rPr>
              <w:t>4</w:t>
            </w:r>
          </w:p>
        </w:tc>
      </w:tr>
      <w:tr>
        <w:trPr>
          <w:trHeight w:val="273" w:hRule="atLeast"/>
        </w:trPr>
        <w:tc>
          <w:tcPr>
            <w:tcW w:w="4582" w:type="dxa"/>
            <w:tcBorders>
              <w:top w:val="single" w:sz="4" w:space="0" w:color="000000"/>
              <w:bottom w:val="single" w:sz="4" w:space="0" w:color="000000"/>
            </w:tcBorders>
          </w:tcPr>
          <w:p>
            <w:pPr>
              <w:pStyle w:val="TableParagraph"/>
              <w:spacing w:line="229" w:lineRule="exact" w:before="24"/>
              <w:ind w:left="14"/>
              <w:jc w:val="left"/>
              <w:rPr>
                <w:i/>
                <w:sz w:val="20"/>
              </w:rPr>
            </w:pPr>
            <w:r>
              <w:rPr>
                <w:i/>
                <w:sz w:val="20"/>
              </w:rPr>
              <w:t>Financial</w:t>
            </w:r>
            <w:r>
              <w:rPr>
                <w:i/>
                <w:spacing w:val="-6"/>
                <w:sz w:val="20"/>
              </w:rPr>
              <w:t> </w:t>
            </w:r>
            <w:r>
              <w:rPr>
                <w:i/>
                <w:sz w:val="20"/>
              </w:rPr>
              <w:t>Planning</w:t>
            </w:r>
            <w:r>
              <w:rPr>
                <w:i/>
                <w:spacing w:val="-8"/>
                <w:sz w:val="20"/>
              </w:rPr>
              <w:t> </w:t>
            </w:r>
            <w:r>
              <w:rPr>
                <w:i/>
                <w:sz w:val="20"/>
              </w:rPr>
              <w:t>and</w:t>
            </w:r>
            <w:r>
              <w:rPr>
                <w:i/>
                <w:spacing w:val="-7"/>
                <w:sz w:val="20"/>
              </w:rPr>
              <w:t> </w:t>
            </w:r>
            <w:r>
              <w:rPr>
                <w:i/>
                <w:sz w:val="20"/>
              </w:rPr>
              <w:t>Control</w:t>
            </w:r>
            <w:r>
              <w:rPr>
                <w:i/>
                <w:spacing w:val="-1"/>
                <w:sz w:val="20"/>
              </w:rPr>
              <w:t> </w:t>
            </w:r>
            <w:r>
              <w:rPr>
                <w:i/>
                <w:spacing w:val="-4"/>
                <w:sz w:val="20"/>
              </w:rPr>
              <w:t>Unit</w:t>
            </w:r>
          </w:p>
        </w:tc>
        <w:tc>
          <w:tcPr>
            <w:tcW w:w="1810" w:type="dxa"/>
            <w:tcBorders>
              <w:top w:val="single" w:sz="4" w:space="0" w:color="000000"/>
              <w:bottom w:val="single" w:sz="4" w:space="0" w:color="000000"/>
            </w:tcBorders>
          </w:tcPr>
          <w:p>
            <w:pPr>
              <w:pStyle w:val="TableParagraph"/>
              <w:jc w:val="left"/>
              <w:rPr>
                <w:sz w:val="18"/>
              </w:rPr>
            </w:pPr>
          </w:p>
        </w:tc>
        <w:tc>
          <w:tcPr>
            <w:tcW w:w="1004" w:type="dxa"/>
            <w:tcBorders>
              <w:top w:val="single" w:sz="4" w:space="0" w:color="000000"/>
              <w:bottom w:val="single" w:sz="4" w:space="0" w:color="000000"/>
            </w:tcBorders>
          </w:tcPr>
          <w:p>
            <w:pPr>
              <w:pStyle w:val="TableParagraph"/>
              <w:jc w:val="left"/>
              <w:rPr>
                <w:sz w:val="18"/>
              </w:rPr>
            </w:pPr>
          </w:p>
        </w:tc>
      </w:tr>
      <w:tr>
        <w:trPr>
          <w:trHeight w:val="272" w:hRule="atLeast"/>
        </w:trPr>
        <w:tc>
          <w:tcPr>
            <w:tcW w:w="4582" w:type="dxa"/>
            <w:tcBorders>
              <w:top w:val="single" w:sz="4" w:space="0" w:color="000000"/>
            </w:tcBorders>
          </w:tcPr>
          <w:p>
            <w:pPr>
              <w:pStyle w:val="TableParagraph"/>
              <w:spacing w:before="19"/>
              <w:ind w:left="14"/>
              <w:jc w:val="left"/>
              <w:rPr>
                <w:sz w:val="20"/>
              </w:rPr>
            </w:pPr>
            <w:r>
              <w:rPr>
                <w:sz w:val="20"/>
              </w:rPr>
              <w:t>Senior</w:t>
            </w:r>
            <w:r>
              <w:rPr>
                <w:spacing w:val="-5"/>
                <w:sz w:val="20"/>
              </w:rPr>
              <w:t> </w:t>
            </w:r>
            <w:r>
              <w:rPr>
                <w:spacing w:val="-2"/>
                <w:sz w:val="20"/>
              </w:rPr>
              <w:t>Manager</w:t>
            </w:r>
          </w:p>
        </w:tc>
        <w:tc>
          <w:tcPr>
            <w:tcW w:w="1810" w:type="dxa"/>
            <w:tcBorders>
              <w:top w:val="single" w:sz="4" w:space="0" w:color="000000"/>
            </w:tcBorders>
          </w:tcPr>
          <w:p>
            <w:pPr>
              <w:pStyle w:val="TableParagraph"/>
              <w:spacing w:before="19"/>
              <w:ind w:left="868"/>
              <w:jc w:val="left"/>
              <w:rPr>
                <w:sz w:val="20"/>
              </w:rPr>
            </w:pPr>
            <w:r>
              <w:rPr>
                <w:spacing w:val="-2"/>
                <w:sz w:val="20"/>
              </w:rPr>
              <w:t>P-</w:t>
            </w:r>
            <w:r>
              <w:rPr>
                <w:spacing w:val="-10"/>
                <w:sz w:val="20"/>
              </w:rPr>
              <w:t>5</w:t>
            </w:r>
          </w:p>
        </w:tc>
        <w:tc>
          <w:tcPr>
            <w:tcW w:w="1004" w:type="dxa"/>
            <w:tcBorders>
              <w:top w:val="single" w:sz="4" w:space="0" w:color="000000"/>
            </w:tcBorders>
          </w:tcPr>
          <w:p>
            <w:pPr>
              <w:pStyle w:val="TableParagraph"/>
              <w:spacing w:before="19"/>
              <w:ind w:right="5"/>
              <w:rPr>
                <w:sz w:val="20"/>
              </w:rPr>
            </w:pPr>
            <w:r>
              <w:rPr>
                <w:w w:val="100"/>
                <w:sz w:val="20"/>
              </w:rPr>
              <w:t>1</w:t>
            </w:r>
          </w:p>
        </w:tc>
      </w:tr>
      <w:tr>
        <w:trPr>
          <w:trHeight w:val="264" w:hRule="atLeast"/>
        </w:trPr>
        <w:tc>
          <w:tcPr>
            <w:tcW w:w="4582" w:type="dxa"/>
          </w:tcPr>
          <w:p>
            <w:pPr>
              <w:pStyle w:val="TableParagraph"/>
              <w:spacing w:line="229" w:lineRule="exact" w:before="15"/>
              <w:ind w:left="14"/>
              <w:jc w:val="left"/>
              <w:rPr>
                <w:sz w:val="20"/>
              </w:rPr>
            </w:pPr>
            <w:r>
              <w:rPr>
                <w:sz w:val="20"/>
              </w:rPr>
              <w:t>Administration</w:t>
            </w:r>
            <w:r>
              <w:rPr>
                <w:spacing w:val="-10"/>
                <w:sz w:val="20"/>
              </w:rPr>
              <w:t> </w:t>
            </w:r>
            <w:r>
              <w:rPr>
                <w:spacing w:val="-2"/>
                <w:sz w:val="20"/>
              </w:rPr>
              <w:t>Officer</w:t>
            </w:r>
          </w:p>
        </w:tc>
        <w:tc>
          <w:tcPr>
            <w:tcW w:w="1810" w:type="dxa"/>
          </w:tcPr>
          <w:p>
            <w:pPr>
              <w:pStyle w:val="TableParagraph"/>
              <w:spacing w:line="229" w:lineRule="exact" w:before="15"/>
              <w:ind w:left="868"/>
              <w:jc w:val="left"/>
              <w:rPr>
                <w:sz w:val="20"/>
              </w:rPr>
            </w:pPr>
            <w:r>
              <w:rPr>
                <w:spacing w:val="-2"/>
                <w:sz w:val="20"/>
              </w:rPr>
              <w:t>P-</w:t>
            </w:r>
            <w:r>
              <w:rPr>
                <w:spacing w:val="-10"/>
                <w:sz w:val="20"/>
              </w:rPr>
              <w:t>3</w:t>
            </w:r>
          </w:p>
        </w:tc>
        <w:tc>
          <w:tcPr>
            <w:tcW w:w="1004" w:type="dxa"/>
          </w:tcPr>
          <w:p>
            <w:pPr>
              <w:pStyle w:val="TableParagraph"/>
              <w:spacing w:line="229" w:lineRule="exact" w:before="15"/>
              <w:ind w:right="5"/>
              <w:rPr>
                <w:sz w:val="20"/>
              </w:rPr>
            </w:pPr>
            <w:r>
              <w:rPr>
                <w:w w:val="100"/>
                <w:sz w:val="20"/>
              </w:rPr>
              <w:t>1</w:t>
            </w:r>
          </w:p>
        </w:tc>
      </w:tr>
      <w:tr>
        <w:trPr>
          <w:trHeight w:val="275" w:hRule="atLeast"/>
        </w:trPr>
        <w:tc>
          <w:tcPr>
            <w:tcW w:w="4582" w:type="dxa"/>
          </w:tcPr>
          <w:p>
            <w:pPr>
              <w:pStyle w:val="TableParagraph"/>
              <w:spacing w:before="19"/>
              <w:ind w:left="14"/>
              <w:jc w:val="left"/>
              <w:rPr>
                <w:sz w:val="20"/>
              </w:rPr>
            </w:pPr>
            <w:r>
              <w:rPr>
                <w:sz w:val="20"/>
              </w:rPr>
              <w:t>Associate</w:t>
            </w:r>
            <w:r>
              <w:rPr>
                <w:spacing w:val="-11"/>
                <w:sz w:val="20"/>
              </w:rPr>
              <w:t> </w:t>
            </w:r>
            <w:r>
              <w:rPr>
                <w:sz w:val="20"/>
              </w:rPr>
              <w:t>Administration</w:t>
            </w:r>
            <w:r>
              <w:rPr>
                <w:spacing w:val="-11"/>
                <w:sz w:val="20"/>
              </w:rPr>
              <w:t> </w:t>
            </w:r>
            <w:r>
              <w:rPr>
                <w:spacing w:val="-2"/>
                <w:sz w:val="20"/>
              </w:rPr>
              <w:t>Officer</w:t>
            </w:r>
            <w:r>
              <w:rPr>
                <w:spacing w:val="-2"/>
                <w:sz w:val="20"/>
                <w:vertAlign w:val="superscript"/>
              </w:rPr>
              <w:t>66</w:t>
            </w:r>
          </w:p>
        </w:tc>
        <w:tc>
          <w:tcPr>
            <w:tcW w:w="1810" w:type="dxa"/>
          </w:tcPr>
          <w:p>
            <w:pPr>
              <w:pStyle w:val="TableParagraph"/>
              <w:spacing w:before="19"/>
              <w:ind w:left="868"/>
              <w:jc w:val="left"/>
              <w:rPr>
                <w:sz w:val="20"/>
              </w:rPr>
            </w:pPr>
            <w:r>
              <w:rPr>
                <w:spacing w:val="-2"/>
                <w:sz w:val="20"/>
              </w:rPr>
              <w:t>P-</w:t>
            </w:r>
            <w:r>
              <w:rPr>
                <w:spacing w:val="-10"/>
                <w:sz w:val="20"/>
              </w:rPr>
              <w:t>2</w:t>
            </w:r>
          </w:p>
        </w:tc>
        <w:tc>
          <w:tcPr>
            <w:tcW w:w="1004" w:type="dxa"/>
          </w:tcPr>
          <w:p>
            <w:pPr>
              <w:pStyle w:val="TableParagraph"/>
              <w:spacing w:before="19"/>
              <w:ind w:right="5"/>
              <w:rPr>
                <w:sz w:val="20"/>
              </w:rPr>
            </w:pPr>
            <w:r>
              <w:rPr>
                <w:w w:val="100"/>
                <w:sz w:val="20"/>
              </w:rPr>
              <w:t>2</w:t>
            </w:r>
          </w:p>
        </w:tc>
      </w:tr>
      <w:tr>
        <w:trPr>
          <w:trHeight w:val="267" w:hRule="atLeast"/>
        </w:trPr>
        <w:tc>
          <w:tcPr>
            <w:tcW w:w="4582" w:type="dxa"/>
            <w:tcBorders>
              <w:bottom w:val="single" w:sz="4" w:space="0" w:color="000000"/>
            </w:tcBorders>
          </w:tcPr>
          <w:p>
            <w:pPr>
              <w:pStyle w:val="TableParagraph"/>
              <w:spacing w:line="229" w:lineRule="exact" w:before="18"/>
              <w:ind w:left="14"/>
              <w:jc w:val="left"/>
              <w:rPr>
                <w:sz w:val="20"/>
              </w:rPr>
            </w:pPr>
            <w:r>
              <w:rPr>
                <w:sz w:val="20"/>
              </w:rPr>
              <w:t>Finance</w:t>
            </w:r>
            <w:r>
              <w:rPr>
                <w:spacing w:val="-10"/>
                <w:sz w:val="20"/>
              </w:rPr>
              <w:t> </w:t>
            </w:r>
            <w:r>
              <w:rPr>
                <w:sz w:val="20"/>
              </w:rPr>
              <w:t>and</w:t>
            </w:r>
            <w:r>
              <w:rPr>
                <w:spacing w:val="-6"/>
                <w:sz w:val="20"/>
              </w:rPr>
              <w:t> </w:t>
            </w:r>
            <w:r>
              <w:rPr>
                <w:sz w:val="20"/>
              </w:rPr>
              <w:t>General</w:t>
            </w:r>
            <w:r>
              <w:rPr>
                <w:spacing w:val="-10"/>
                <w:sz w:val="20"/>
              </w:rPr>
              <w:t> </w:t>
            </w:r>
            <w:r>
              <w:rPr>
                <w:sz w:val="20"/>
              </w:rPr>
              <w:t>Administration</w:t>
            </w:r>
            <w:r>
              <w:rPr>
                <w:spacing w:val="-6"/>
                <w:sz w:val="20"/>
              </w:rPr>
              <w:t> </w:t>
            </w:r>
            <w:r>
              <w:rPr>
                <w:spacing w:val="-2"/>
                <w:sz w:val="20"/>
              </w:rPr>
              <w:t>Assistant</w:t>
            </w:r>
          </w:p>
        </w:tc>
        <w:tc>
          <w:tcPr>
            <w:tcW w:w="1810" w:type="dxa"/>
            <w:tcBorders>
              <w:bottom w:val="single" w:sz="4" w:space="0" w:color="000000"/>
            </w:tcBorders>
          </w:tcPr>
          <w:p>
            <w:pPr>
              <w:pStyle w:val="TableParagraph"/>
              <w:spacing w:line="229" w:lineRule="exact" w:before="18"/>
              <w:ind w:left="868"/>
              <w:jc w:val="left"/>
              <w:rPr>
                <w:sz w:val="20"/>
              </w:rPr>
            </w:pPr>
            <w:r>
              <w:rPr>
                <w:spacing w:val="-2"/>
                <w:sz w:val="20"/>
              </w:rPr>
              <w:t>GS-</w:t>
            </w:r>
            <w:r>
              <w:rPr>
                <w:spacing w:val="-7"/>
                <w:sz w:val="20"/>
              </w:rPr>
              <w:t>OL</w:t>
            </w:r>
          </w:p>
        </w:tc>
        <w:tc>
          <w:tcPr>
            <w:tcW w:w="1004" w:type="dxa"/>
            <w:tcBorders>
              <w:bottom w:val="single" w:sz="4" w:space="0" w:color="000000"/>
            </w:tcBorders>
          </w:tcPr>
          <w:p>
            <w:pPr>
              <w:pStyle w:val="TableParagraph"/>
              <w:spacing w:line="229" w:lineRule="exact" w:before="18"/>
              <w:ind w:right="5"/>
              <w:rPr>
                <w:sz w:val="20"/>
              </w:rPr>
            </w:pPr>
            <w:r>
              <w:rPr>
                <w:w w:val="100"/>
                <w:sz w:val="20"/>
              </w:rPr>
              <w:t>3</w:t>
            </w:r>
          </w:p>
        </w:tc>
      </w:tr>
      <w:tr>
        <w:trPr>
          <w:trHeight w:val="269" w:hRule="atLeast"/>
        </w:trPr>
        <w:tc>
          <w:tcPr>
            <w:tcW w:w="4582" w:type="dxa"/>
            <w:tcBorders>
              <w:top w:val="single" w:sz="4" w:space="0" w:color="000000"/>
              <w:bottom w:val="single" w:sz="4" w:space="0" w:color="000000"/>
            </w:tcBorders>
          </w:tcPr>
          <w:p>
            <w:pPr>
              <w:pStyle w:val="TableParagraph"/>
              <w:jc w:val="left"/>
              <w:rPr>
                <w:sz w:val="18"/>
              </w:rPr>
            </w:pPr>
          </w:p>
        </w:tc>
        <w:tc>
          <w:tcPr>
            <w:tcW w:w="1810" w:type="dxa"/>
            <w:tcBorders>
              <w:top w:val="single" w:sz="4" w:space="0" w:color="000000"/>
              <w:bottom w:val="single" w:sz="4" w:space="0" w:color="000000"/>
            </w:tcBorders>
          </w:tcPr>
          <w:p>
            <w:pPr>
              <w:pStyle w:val="TableParagraph"/>
              <w:jc w:val="left"/>
              <w:rPr>
                <w:sz w:val="18"/>
              </w:rPr>
            </w:pPr>
          </w:p>
        </w:tc>
        <w:tc>
          <w:tcPr>
            <w:tcW w:w="1004" w:type="dxa"/>
            <w:tcBorders>
              <w:top w:val="single" w:sz="4" w:space="0" w:color="000000"/>
              <w:bottom w:val="single" w:sz="4" w:space="0" w:color="000000"/>
            </w:tcBorders>
          </w:tcPr>
          <w:p>
            <w:pPr>
              <w:pStyle w:val="TableParagraph"/>
              <w:spacing w:line="230" w:lineRule="exact" w:before="19"/>
              <w:ind w:right="5"/>
              <w:rPr>
                <w:b/>
                <w:sz w:val="20"/>
              </w:rPr>
            </w:pPr>
            <w:r>
              <w:rPr>
                <w:b/>
                <w:w w:val="100"/>
                <w:sz w:val="20"/>
              </w:rPr>
              <w:t>7</w:t>
            </w:r>
          </w:p>
        </w:tc>
      </w:tr>
      <w:tr>
        <w:trPr>
          <w:trHeight w:val="273" w:hRule="atLeast"/>
        </w:trPr>
        <w:tc>
          <w:tcPr>
            <w:tcW w:w="4582" w:type="dxa"/>
            <w:tcBorders>
              <w:top w:val="single" w:sz="4" w:space="0" w:color="000000"/>
              <w:bottom w:val="single" w:sz="4" w:space="0" w:color="000000"/>
            </w:tcBorders>
          </w:tcPr>
          <w:p>
            <w:pPr>
              <w:pStyle w:val="TableParagraph"/>
              <w:spacing w:before="19"/>
              <w:ind w:left="14"/>
              <w:jc w:val="left"/>
              <w:rPr>
                <w:i/>
                <w:sz w:val="20"/>
              </w:rPr>
            </w:pPr>
            <w:r>
              <w:rPr>
                <w:i/>
                <w:sz w:val="20"/>
              </w:rPr>
              <w:t>OTP</w:t>
            </w:r>
            <w:r>
              <w:rPr>
                <w:i/>
                <w:spacing w:val="-1"/>
                <w:sz w:val="20"/>
              </w:rPr>
              <w:t> </w:t>
            </w:r>
            <w:r>
              <w:rPr>
                <w:i/>
                <w:sz w:val="20"/>
              </w:rPr>
              <w:t>HR</w:t>
            </w:r>
            <w:r>
              <w:rPr>
                <w:i/>
                <w:spacing w:val="-5"/>
                <w:sz w:val="20"/>
              </w:rPr>
              <w:t> </w:t>
            </w:r>
            <w:r>
              <w:rPr>
                <w:i/>
                <w:sz w:val="20"/>
              </w:rPr>
              <w:t>Liaison</w:t>
            </w:r>
            <w:r>
              <w:rPr>
                <w:i/>
                <w:spacing w:val="-2"/>
                <w:sz w:val="20"/>
              </w:rPr>
              <w:t> Office</w:t>
            </w:r>
          </w:p>
        </w:tc>
        <w:tc>
          <w:tcPr>
            <w:tcW w:w="1810" w:type="dxa"/>
            <w:tcBorders>
              <w:top w:val="single" w:sz="4" w:space="0" w:color="000000"/>
              <w:bottom w:val="single" w:sz="4" w:space="0" w:color="000000"/>
            </w:tcBorders>
          </w:tcPr>
          <w:p>
            <w:pPr>
              <w:pStyle w:val="TableParagraph"/>
              <w:jc w:val="left"/>
              <w:rPr>
                <w:sz w:val="18"/>
              </w:rPr>
            </w:pPr>
          </w:p>
        </w:tc>
        <w:tc>
          <w:tcPr>
            <w:tcW w:w="1004" w:type="dxa"/>
            <w:tcBorders>
              <w:top w:val="single" w:sz="4" w:space="0" w:color="000000"/>
              <w:bottom w:val="single" w:sz="4" w:space="0" w:color="000000"/>
            </w:tcBorders>
          </w:tcPr>
          <w:p>
            <w:pPr>
              <w:pStyle w:val="TableParagraph"/>
              <w:jc w:val="left"/>
              <w:rPr>
                <w:sz w:val="18"/>
              </w:rPr>
            </w:pPr>
          </w:p>
        </w:tc>
      </w:tr>
      <w:tr>
        <w:trPr>
          <w:trHeight w:val="272" w:hRule="atLeast"/>
        </w:trPr>
        <w:tc>
          <w:tcPr>
            <w:tcW w:w="4582" w:type="dxa"/>
            <w:tcBorders>
              <w:top w:val="single" w:sz="4" w:space="0" w:color="000000"/>
            </w:tcBorders>
          </w:tcPr>
          <w:p>
            <w:pPr>
              <w:pStyle w:val="TableParagraph"/>
              <w:spacing w:before="19"/>
              <w:ind w:left="14"/>
              <w:jc w:val="left"/>
              <w:rPr>
                <w:sz w:val="20"/>
              </w:rPr>
            </w:pPr>
            <w:r>
              <w:rPr>
                <w:sz w:val="20"/>
              </w:rPr>
              <w:t>HR</w:t>
            </w:r>
            <w:r>
              <w:rPr>
                <w:spacing w:val="-4"/>
                <w:sz w:val="20"/>
              </w:rPr>
              <w:t> </w:t>
            </w:r>
            <w:r>
              <w:rPr>
                <w:sz w:val="20"/>
              </w:rPr>
              <w:t>Liaison</w:t>
            </w:r>
            <w:r>
              <w:rPr>
                <w:spacing w:val="-7"/>
                <w:sz w:val="20"/>
              </w:rPr>
              <w:t> </w:t>
            </w:r>
            <w:r>
              <w:rPr>
                <w:sz w:val="20"/>
              </w:rPr>
              <w:t>and</w:t>
            </w:r>
            <w:r>
              <w:rPr>
                <w:spacing w:val="-8"/>
                <w:sz w:val="20"/>
              </w:rPr>
              <w:t> </w:t>
            </w:r>
            <w:r>
              <w:rPr>
                <w:sz w:val="20"/>
              </w:rPr>
              <w:t>Coordination</w:t>
            </w:r>
            <w:r>
              <w:rPr>
                <w:spacing w:val="-7"/>
                <w:sz w:val="20"/>
              </w:rPr>
              <w:t> </w:t>
            </w:r>
            <w:r>
              <w:rPr>
                <w:spacing w:val="-2"/>
                <w:sz w:val="20"/>
              </w:rPr>
              <w:t>Officer</w:t>
            </w:r>
          </w:p>
        </w:tc>
        <w:tc>
          <w:tcPr>
            <w:tcW w:w="1810" w:type="dxa"/>
            <w:tcBorders>
              <w:top w:val="single" w:sz="4" w:space="0" w:color="000000"/>
            </w:tcBorders>
          </w:tcPr>
          <w:p>
            <w:pPr>
              <w:pStyle w:val="TableParagraph"/>
              <w:spacing w:before="19"/>
              <w:ind w:left="868"/>
              <w:jc w:val="left"/>
              <w:rPr>
                <w:sz w:val="20"/>
              </w:rPr>
            </w:pPr>
            <w:r>
              <w:rPr>
                <w:spacing w:val="-2"/>
                <w:sz w:val="20"/>
              </w:rPr>
              <w:t>P-</w:t>
            </w:r>
            <w:r>
              <w:rPr>
                <w:spacing w:val="-10"/>
                <w:sz w:val="20"/>
              </w:rPr>
              <w:t>3</w:t>
            </w:r>
          </w:p>
        </w:tc>
        <w:tc>
          <w:tcPr>
            <w:tcW w:w="1004" w:type="dxa"/>
            <w:tcBorders>
              <w:top w:val="single" w:sz="4" w:space="0" w:color="000000"/>
            </w:tcBorders>
          </w:tcPr>
          <w:p>
            <w:pPr>
              <w:pStyle w:val="TableParagraph"/>
              <w:spacing w:before="19"/>
              <w:ind w:right="5"/>
              <w:rPr>
                <w:sz w:val="20"/>
              </w:rPr>
            </w:pPr>
            <w:r>
              <w:rPr>
                <w:w w:val="100"/>
                <w:sz w:val="20"/>
              </w:rPr>
              <w:t>1</w:t>
            </w:r>
          </w:p>
        </w:tc>
      </w:tr>
      <w:tr>
        <w:trPr>
          <w:trHeight w:val="264" w:hRule="atLeast"/>
        </w:trPr>
        <w:tc>
          <w:tcPr>
            <w:tcW w:w="4582" w:type="dxa"/>
            <w:tcBorders>
              <w:bottom w:val="single" w:sz="4" w:space="0" w:color="000000"/>
            </w:tcBorders>
          </w:tcPr>
          <w:p>
            <w:pPr>
              <w:pStyle w:val="TableParagraph"/>
              <w:spacing w:line="229" w:lineRule="exact" w:before="15"/>
              <w:ind w:left="14"/>
              <w:jc w:val="left"/>
              <w:rPr>
                <w:sz w:val="20"/>
              </w:rPr>
            </w:pPr>
            <w:r>
              <w:rPr>
                <w:sz w:val="20"/>
              </w:rPr>
              <w:t>HR</w:t>
            </w:r>
            <w:r>
              <w:rPr>
                <w:spacing w:val="-1"/>
                <w:sz w:val="20"/>
              </w:rPr>
              <w:t> </w:t>
            </w:r>
            <w:r>
              <w:rPr>
                <w:sz w:val="20"/>
              </w:rPr>
              <w:t>Staff</w:t>
            </w:r>
            <w:r>
              <w:rPr>
                <w:spacing w:val="-1"/>
                <w:sz w:val="20"/>
              </w:rPr>
              <w:t> </w:t>
            </w:r>
            <w:r>
              <w:rPr>
                <w:spacing w:val="-2"/>
                <w:sz w:val="20"/>
              </w:rPr>
              <w:t>Assistant</w:t>
            </w:r>
          </w:p>
        </w:tc>
        <w:tc>
          <w:tcPr>
            <w:tcW w:w="1810" w:type="dxa"/>
            <w:tcBorders>
              <w:bottom w:val="single" w:sz="4" w:space="0" w:color="000000"/>
            </w:tcBorders>
          </w:tcPr>
          <w:p>
            <w:pPr>
              <w:pStyle w:val="TableParagraph"/>
              <w:spacing w:line="229" w:lineRule="exact" w:before="15"/>
              <w:ind w:left="868"/>
              <w:jc w:val="left"/>
              <w:rPr>
                <w:sz w:val="20"/>
              </w:rPr>
            </w:pPr>
            <w:r>
              <w:rPr>
                <w:spacing w:val="-2"/>
                <w:sz w:val="20"/>
              </w:rPr>
              <w:t>GS-</w:t>
            </w:r>
            <w:r>
              <w:rPr>
                <w:spacing w:val="-7"/>
                <w:sz w:val="20"/>
              </w:rPr>
              <w:t>OL</w:t>
            </w:r>
          </w:p>
        </w:tc>
        <w:tc>
          <w:tcPr>
            <w:tcW w:w="1004" w:type="dxa"/>
            <w:tcBorders>
              <w:bottom w:val="single" w:sz="4" w:space="0" w:color="000000"/>
            </w:tcBorders>
          </w:tcPr>
          <w:p>
            <w:pPr>
              <w:pStyle w:val="TableParagraph"/>
              <w:spacing w:line="229" w:lineRule="exact" w:before="15"/>
              <w:ind w:right="5"/>
              <w:rPr>
                <w:sz w:val="20"/>
              </w:rPr>
            </w:pPr>
            <w:r>
              <w:rPr>
                <w:w w:val="100"/>
                <w:sz w:val="20"/>
              </w:rPr>
              <w:t>1</w:t>
            </w:r>
          </w:p>
        </w:tc>
      </w:tr>
      <w:tr>
        <w:trPr>
          <w:trHeight w:val="268" w:hRule="atLeast"/>
        </w:trPr>
        <w:tc>
          <w:tcPr>
            <w:tcW w:w="4582" w:type="dxa"/>
            <w:tcBorders>
              <w:top w:val="single" w:sz="4" w:space="0" w:color="000000"/>
              <w:bottom w:val="single" w:sz="4" w:space="0" w:color="000000"/>
            </w:tcBorders>
          </w:tcPr>
          <w:p>
            <w:pPr>
              <w:pStyle w:val="TableParagraph"/>
              <w:jc w:val="left"/>
              <w:rPr>
                <w:sz w:val="18"/>
              </w:rPr>
            </w:pPr>
          </w:p>
        </w:tc>
        <w:tc>
          <w:tcPr>
            <w:tcW w:w="1810" w:type="dxa"/>
            <w:tcBorders>
              <w:top w:val="single" w:sz="4" w:space="0" w:color="000000"/>
              <w:bottom w:val="single" w:sz="4" w:space="0" w:color="000000"/>
            </w:tcBorders>
          </w:tcPr>
          <w:p>
            <w:pPr>
              <w:pStyle w:val="TableParagraph"/>
              <w:jc w:val="left"/>
              <w:rPr>
                <w:sz w:val="18"/>
              </w:rPr>
            </w:pPr>
          </w:p>
        </w:tc>
        <w:tc>
          <w:tcPr>
            <w:tcW w:w="1004" w:type="dxa"/>
            <w:tcBorders>
              <w:top w:val="single" w:sz="4" w:space="0" w:color="000000"/>
              <w:bottom w:val="single" w:sz="4" w:space="0" w:color="000000"/>
            </w:tcBorders>
          </w:tcPr>
          <w:p>
            <w:pPr>
              <w:pStyle w:val="TableParagraph"/>
              <w:spacing w:line="229" w:lineRule="exact" w:before="19"/>
              <w:ind w:right="5"/>
              <w:rPr>
                <w:b/>
                <w:sz w:val="20"/>
              </w:rPr>
            </w:pPr>
            <w:r>
              <w:rPr>
                <w:b/>
                <w:w w:val="100"/>
                <w:sz w:val="20"/>
              </w:rPr>
              <w:t>2</w:t>
            </w:r>
          </w:p>
        </w:tc>
      </w:tr>
      <w:tr>
        <w:trPr>
          <w:trHeight w:val="273" w:hRule="atLeast"/>
        </w:trPr>
        <w:tc>
          <w:tcPr>
            <w:tcW w:w="4582" w:type="dxa"/>
            <w:tcBorders>
              <w:top w:val="single" w:sz="4" w:space="0" w:color="000000"/>
              <w:bottom w:val="single" w:sz="4" w:space="0" w:color="000000"/>
            </w:tcBorders>
          </w:tcPr>
          <w:p>
            <w:pPr>
              <w:pStyle w:val="TableParagraph"/>
              <w:spacing w:line="229" w:lineRule="exact" w:before="24"/>
              <w:ind w:left="14"/>
              <w:jc w:val="left"/>
              <w:rPr>
                <w:i/>
                <w:sz w:val="20"/>
              </w:rPr>
            </w:pPr>
            <w:r>
              <w:rPr>
                <w:i/>
                <w:sz w:val="20"/>
              </w:rPr>
              <w:t>Unified</w:t>
            </w:r>
            <w:r>
              <w:rPr>
                <w:i/>
                <w:spacing w:val="-5"/>
                <w:sz w:val="20"/>
              </w:rPr>
              <w:t> </w:t>
            </w:r>
            <w:r>
              <w:rPr>
                <w:i/>
                <w:sz w:val="20"/>
              </w:rPr>
              <w:t>Team</w:t>
            </w:r>
            <w:r>
              <w:rPr>
                <w:i/>
                <w:spacing w:val="-5"/>
                <w:sz w:val="20"/>
              </w:rPr>
              <w:t> </w:t>
            </w:r>
            <w:r>
              <w:rPr>
                <w:i/>
                <w:sz w:val="20"/>
              </w:rPr>
              <w:t>UKR</w:t>
            </w:r>
            <w:r>
              <w:rPr>
                <w:i/>
                <w:spacing w:val="-1"/>
                <w:sz w:val="20"/>
              </w:rPr>
              <w:t> </w:t>
            </w:r>
            <w:r>
              <w:rPr>
                <w:i/>
                <w:sz w:val="20"/>
              </w:rPr>
              <w:t>-</w:t>
            </w:r>
            <w:r>
              <w:rPr>
                <w:i/>
                <w:spacing w:val="-3"/>
                <w:sz w:val="20"/>
              </w:rPr>
              <w:t> </w:t>
            </w:r>
            <w:r>
              <w:rPr>
                <w:i/>
                <w:spacing w:val="-5"/>
                <w:sz w:val="20"/>
              </w:rPr>
              <w:t>HQ</w:t>
            </w:r>
          </w:p>
        </w:tc>
        <w:tc>
          <w:tcPr>
            <w:tcW w:w="1810" w:type="dxa"/>
            <w:tcBorders>
              <w:top w:val="single" w:sz="4" w:space="0" w:color="000000"/>
              <w:bottom w:val="single" w:sz="4" w:space="0" w:color="000000"/>
            </w:tcBorders>
          </w:tcPr>
          <w:p>
            <w:pPr>
              <w:pStyle w:val="TableParagraph"/>
              <w:jc w:val="left"/>
              <w:rPr>
                <w:sz w:val="18"/>
              </w:rPr>
            </w:pPr>
          </w:p>
        </w:tc>
        <w:tc>
          <w:tcPr>
            <w:tcW w:w="1004" w:type="dxa"/>
            <w:tcBorders>
              <w:top w:val="single" w:sz="4" w:space="0" w:color="000000"/>
              <w:bottom w:val="single" w:sz="4" w:space="0" w:color="000000"/>
            </w:tcBorders>
          </w:tcPr>
          <w:p>
            <w:pPr>
              <w:pStyle w:val="TableParagraph"/>
              <w:jc w:val="left"/>
              <w:rPr>
                <w:sz w:val="18"/>
              </w:rPr>
            </w:pPr>
          </w:p>
        </w:tc>
      </w:tr>
      <w:tr>
        <w:trPr>
          <w:trHeight w:val="272" w:hRule="atLeast"/>
        </w:trPr>
        <w:tc>
          <w:tcPr>
            <w:tcW w:w="4582" w:type="dxa"/>
            <w:tcBorders>
              <w:top w:val="single" w:sz="4" w:space="0" w:color="000000"/>
            </w:tcBorders>
          </w:tcPr>
          <w:p>
            <w:pPr>
              <w:pStyle w:val="TableParagraph"/>
              <w:spacing w:before="19"/>
              <w:ind w:left="14"/>
              <w:jc w:val="left"/>
              <w:rPr>
                <w:sz w:val="20"/>
              </w:rPr>
            </w:pPr>
            <w:r>
              <w:rPr>
                <w:sz w:val="20"/>
              </w:rPr>
              <w:t>Principal</w:t>
            </w:r>
            <w:r>
              <w:rPr>
                <w:spacing w:val="-6"/>
                <w:sz w:val="20"/>
              </w:rPr>
              <w:t> </w:t>
            </w:r>
            <w:r>
              <w:rPr>
                <w:sz w:val="20"/>
              </w:rPr>
              <w:t>Trial</w:t>
            </w:r>
            <w:r>
              <w:rPr>
                <w:spacing w:val="-6"/>
                <w:sz w:val="20"/>
              </w:rPr>
              <w:t> </w:t>
            </w:r>
            <w:r>
              <w:rPr>
                <w:spacing w:val="-2"/>
                <w:sz w:val="20"/>
              </w:rPr>
              <w:t>Lawyer</w:t>
            </w:r>
            <w:r>
              <w:rPr>
                <w:spacing w:val="-2"/>
                <w:sz w:val="20"/>
                <w:vertAlign w:val="superscript"/>
              </w:rPr>
              <w:t>67</w:t>
            </w:r>
          </w:p>
        </w:tc>
        <w:tc>
          <w:tcPr>
            <w:tcW w:w="1810" w:type="dxa"/>
            <w:tcBorders>
              <w:top w:val="single" w:sz="4" w:space="0" w:color="000000"/>
            </w:tcBorders>
          </w:tcPr>
          <w:p>
            <w:pPr>
              <w:pStyle w:val="TableParagraph"/>
              <w:spacing w:before="19"/>
              <w:ind w:left="868"/>
              <w:jc w:val="left"/>
              <w:rPr>
                <w:sz w:val="20"/>
              </w:rPr>
            </w:pPr>
            <w:r>
              <w:rPr>
                <w:spacing w:val="-2"/>
                <w:sz w:val="20"/>
              </w:rPr>
              <w:t>D-</w:t>
            </w:r>
            <w:r>
              <w:rPr>
                <w:spacing w:val="-10"/>
                <w:sz w:val="20"/>
              </w:rPr>
              <w:t>1</w:t>
            </w:r>
          </w:p>
        </w:tc>
        <w:tc>
          <w:tcPr>
            <w:tcW w:w="1004" w:type="dxa"/>
            <w:tcBorders>
              <w:top w:val="single" w:sz="4" w:space="0" w:color="000000"/>
            </w:tcBorders>
          </w:tcPr>
          <w:p>
            <w:pPr>
              <w:pStyle w:val="TableParagraph"/>
              <w:spacing w:before="19"/>
              <w:ind w:right="5"/>
              <w:rPr>
                <w:sz w:val="20"/>
              </w:rPr>
            </w:pPr>
            <w:r>
              <w:rPr>
                <w:w w:val="100"/>
                <w:sz w:val="20"/>
              </w:rPr>
              <w:t>1</w:t>
            </w:r>
          </w:p>
        </w:tc>
      </w:tr>
      <w:tr>
        <w:trPr>
          <w:trHeight w:val="268" w:hRule="atLeast"/>
        </w:trPr>
        <w:tc>
          <w:tcPr>
            <w:tcW w:w="4582" w:type="dxa"/>
          </w:tcPr>
          <w:p>
            <w:pPr>
              <w:pStyle w:val="TableParagraph"/>
              <w:spacing w:before="16"/>
              <w:ind w:left="14"/>
              <w:jc w:val="left"/>
              <w:rPr>
                <w:sz w:val="20"/>
              </w:rPr>
            </w:pPr>
            <w:r>
              <w:rPr>
                <w:sz w:val="20"/>
              </w:rPr>
              <w:t>Senior</w:t>
            </w:r>
            <w:r>
              <w:rPr>
                <w:spacing w:val="-5"/>
                <w:sz w:val="20"/>
              </w:rPr>
              <w:t> </w:t>
            </w:r>
            <w:r>
              <w:rPr>
                <w:spacing w:val="-2"/>
                <w:sz w:val="20"/>
              </w:rPr>
              <w:t>Investigator</w:t>
            </w:r>
          </w:p>
        </w:tc>
        <w:tc>
          <w:tcPr>
            <w:tcW w:w="1810" w:type="dxa"/>
          </w:tcPr>
          <w:p>
            <w:pPr>
              <w:pStyle w:val="TableParagraph"/>
              <w:spacing w:before="16"/>
              <w:ind w:left="868"/>
              <w:jc w:val="left"/>
              <w:rPr>
                <w:sz w:val="20"/>
              </w:rPr>
            </w:pPr>
            <w:r>
              <w:rPr>
                <w:spacing w:val="-2"/>
                <w:sz w:val="20"/>
              </w:rPr>
              <w:t>P-</w:t>
            </w:r>
            <w:r>
              <w:rPr>
                <w:spacing w:val="-10"/>
                <w:sz w:val="20"/>
              </w:rPr>
              <w:t>4</w:t>
            </w:r>
          </w:p>
        </w:tc>
        <w:tc>
          <w:tcPr>
            <w:tcW w:w="1004" w:type="dxa"/>
          </w:tcPr>
          <w:p>
            <w:pPr>
              <w:pStyle w:val="TableParagraph"/>
              <w:spacing w:before="16"/>
              <w:ind w:right="5"/>
              <w:rPr>
                <w:sz w:val="20"/>
              </w:rPr>
            </w:pPr>
            <w:r>
              <w:rPr>
                <w:w w:val="100"/>
                <w:sz w:val="20"/>
              </w:rPr>
              <w:t>1</w:t>
            </w:r>
          </w:p>
        </w:tc>
      </w:tr>
      <w:tr>
        <w:trPr>
          <w:trHeight w:val="271" w:hRule="atLeast"/>
        </w:trPr>
        <w:tc>
          <w:tcPr>
            <w:tcW w:w="4582" w:type="dxa"/>
          </w:tcPr>
          <w:p>
            <w:pPr>
              <w:pStyle w:val="TableParagraph"/>
              <w:spacing w:before="15"/>
              <w:ind w:left="14"/>
              <w:jc w:val="left"/>
              <w:rPr>
                <w:sz w:val="20"/>
              </w:rPr>
            </w:pPr>
            <w:r>
              <w:rPr>
                <w:sz w:val="20"/>
              </w:rPr>
              <w:t>Associate</w:t>
            </w:r>
            <w:r>
              <w:rPr>
                <w:spacing w:val="-7"/>
                <w:sz w:val="20"/>
              </w:rPr>
              <w:t> </w:t>
            </w:r>
            <w:r>
              <w:rPr>
                <w:spacing w:val="-2"/>
                <w:sz w:val="20"/>
              </w:rPr>
              <w:t>Investigator</w:t>
            </w:r>
          </w:p>
        </w:tc>
        <w:tc>
          <w:tcPr>
            <w:tcW w:w="1810" w:type="dxa"/>
          </w:tcPr>
          <w:p>
            <w:pPr>
              <w:pStyle w:val="TableParagraph"/>
              <w:spacing w:before="15"/>
              <w:ind w:left="868"/>
              <w:jc w:val="left"/>
              <w:rPr>
                <w:sz w:val="20"/>
              </w:rPr>
            </w:pPr>
            <w:r>
              <w:rPr>
                <w:spacing w:val="-2"/>
                <w:sz w:val="20"/>
              </w:rPr>
              <w:t>P-</w:t>
            </w:r>
            <w:r>
              <w:rPr>
                <w:spacing w:val="-10"/>
                <w:sz w:val="20"/>
              </w:rPr>
              <w:t>2</w:t>
            </w:r>
          </w:p>
        </w:tc>
        <w:tc>
          <w:tcPr>
            <w:tcW w:w="1004" w:type="dxa"/>
          </w:tcPr>
          <w:p>
            <w:pPr>
              <w:pStyle w:val="TableParagraph"/>
              <w:spacing w:before="15"/>
              <w:ind w:right="5"/>
              <w:rPr>
                <w:sz w:val="20"/>
              </w:rPr>
            </w:pPr>
            <w:r>
              <w:rPr>
                <w:w w:val="100"/>
                <w:sz w:val="20"/>
              </w:rPr>
              <w:t>2</w:t>
            </w:r>
          </w:p>
        </w:tc>
      </w:tr>
      <w:tr>
        <w:trPr>
          <w:trHeight w:val="267" w:hRule="atLeast"/>
        </w:trPr>
        <w:tc>
          <w:tcPr>
            <w:tcW w:w="4582" w:type="dxa"/>
            <w:tcBorders>
              <w:bottom w:val="single" w:sz="4" w:space="0" w:color="000000"/>
            </w:tcBorders>
          </w:tcPr>
          <w:p>
            <w:pPr>
              <w:pStyle w:val="TableParagraph"/>
              <w:spacing w:line="229" w:lineRule="exact" w:before="18"/>
              <w:ind w:left="14"/>
              <w:jc w:val="left"/>
              <w:rPr>
                <w:sz w:val="20"/>
              </w:rPr>
            </w:pPr>
            <w:r>
              <w:rPr>
                <w:spacing w:val="-2"/>
                <w:sz w:val="20"/>
              </w:rPr>
              <w:t>Analyst</w:t>
            </w:r>
          </w:p>
        </w:tc>
        <w:tc>
          <w:tcPr>
            <w:tcW w:w="1810" w:type="dxa"/>
            <w:tcBorders>
              <w:bottom w:val="single" w:sz="4" w:space="0" w:color="000000"/>
            </w:tcBorders>
          </w:tcPr>
          <w:p>
            <w:pPr>
              <w:pStyle w:val="TableParagraph"/>
              <w:spacing w:line="229" w:lineRule="exact" w:before="18"/>
              <w:ind w:left="868"/>
              <w:jc w:val="left"/>
              <w:rPr>
                <w:sz w:val="20"/>
              </w:rPr>
            </w:pPr>
            <w:r>
              <w:rPr>
                <w:spacing w:val="-2"/>
                <w:sz w:val="20"/>
              </w:rPr>
              <w:t>P-</w:t>
            </w:r>
            <w:r>
              <w:rPr>
                <w:spacing w:val="-10"/>
                <w:sz w:val="20"/>
              </w:rPr>
              <w:t>3</w:t>
            </w:r>
          </w:p>
        </w:tc>
        <w:tc>
          <w:tcPr>
            <w:tcW w:w="1004" w:type="dxa"/>
            <w:tcBorders>
              <w:bottom w:val="single" w:sz="4" w:space="0" w:color="000000"/>
            </w:tcBorders>
          </w:tcPr>
          <w:p>
            <w:pPr>
              <w:pStyle w:val="TableParagraph"/>
              <w:spacing w:line="229" w:lineRule="exact" w:before="18"/>
              <w:ind w:right="5"/>
              <w:rPr>
                <w:sz w:val="20"/>
              </w:rPr>
            </w:pPr>
            <w:r>
              <w:rPr>
                <w:w w:val="100"/>
                <w:sz w:val="20"/>
              </w:rPr>
              <w:t>1</w:t>
            </w:r>
          </w:p>
        </w:tc>
      </w:tr>
    </w:tbl>
    <w:p>
      <w:pPr>
        <w:pStyle w:val="BodyText"/>
        <w:spacing w:before="3"/>
        <w:rPr>
          <w:sz w:val="21"/>
        </w:rPr>
      </w:pPr>
      <w:r>
        <w:rPr/>
        <w:pict>
          <v:rect style="position:absolute;margin-left:113.330002pt;margin-top:13.44996pt;width:144.050pt;height:.48004pt;mso-position-horizontal-relative:page;mso-position-vertical-relative:paragraph;z-index:-15707136;mso-wrap-distance-left:0;mso-wrap-distance-right:0" id="docshape107" filled="true" fillcolor="#000000" stroked="false">
            <v:fill type="solid"/>
            <w10:wrap type="topAndBottom"/>
          </v:rect>
        </w:pict>
      </w:r>
    </w:p>
    <w:p>
      <w:pPr>
        <w:spacing w:before="86"/>
        <w:ind w:left="2246" w:right="0" w:firstLine="0"/>
        <w:jc w:val="left"/>
        <w:rPr>
          <w:sz w:val="16"/>
        </w:rPr>
      </w:pPr>
      <w:r>
        <w:rPr>
          <w:position w:val="5"/>
          <w:sz w:val="10"/>
        </w:rPr>
        <w:t>62</w:t>
      </w:r>
      <w:r>
        <w:rPr>
          <w:spacing w:val="14"/>
          <w:position w:val="5"/>
          <w:sz w:val="10"/>
        </w:rPr>
        <w:t> </w:t>
      </w:r>
      <w:r>
        <w:rPr>
          <w:sz w:val="16"/>
        </w:rPr>
        <w:t>New</w:t>
      </w:r>
      <w:r>
        <w:rPr>
          <w:spacing w:val="-3"/>
          <w:sz w:val="16"/>
        </w:rPr>
        <w:t> </w:t>
      </w:r>
      <w:r>
        <w:rPr>
          <w:sz w:val="16"/>
        </w:rPr>
        <w:t>post.</w:t>
      </w:r>
      <w:r>
        <w:rPr>
          <w:spacing w:val="-3"/>
          <w:sz w:val="16"/>
        </w:rPr>
        <w:t> </w:t>
      </w:r>
      <w:r>
        <w:rPr>
          <w:sz w:val="16"/>
        </w:rPr>
        <w:t>See</w:t>
      </w:r>
      <w:r>
        <w:rPr>
          <w:spacing w:val="-1"/>
          <w:sz w:val="16"/>
        </w:rPr>
        <w:t> </w:t>
      </w:r>
      <w:r>
        <w:rPr>
          <w:sz w:val="16"/>
        </w:rPr>
        <w:t>para.</w:t>
      </w:r>
      <w:r>
        <w:rPr>
          <w:spacing w:val="-4"/>
          <w:sz w:val="16"/>
        </w:rPr>
        <w:t> </w:t>
      </w:r>
      <w:r>
        <w:rPr>
          <w:sz w:val="16"/>
        </w:rPr>
        <w:t>269 </w:t>
      </w:r>
      <w:r>
        <w:rPr>
          <w:spacing w:val="-2"/>
          <w:sz w:val="16"/>
        </w:rPr>
        <w:t>below.</w:t>
      </w:r>
    </w:p>
    <w:p>
      <w:pPr>
        <w:spacing w:before="3"/>
        <w:ind w:left="2246" w:right="2195" w:firstLine="0"/>
        <w:jc w:val="left"/>
        <w:rPr>
          <w:sz w:val="16"/>
        </w:rPr>
      </w:pPr>
      <w:r>
        <w:rPr>
          <w:position w:val="5"/>
          <w:sz w:val="10"/>
        </w:rPr>
        <w:t>63</w:t>
      </w:r>
      <w:r>
        <w:rPr>
          <w:spacing w:val="13"/>
          <w:position w:val="5"/>
          <w:sz w:val="10"/>
        </w:rPr>
        <w:t> </w:t>
      </w:r>
      <w:r>
        <w:rPr>
          <w:sz w:val="16"/>
        </w:rPr>
        <w:t>This</w:t>
      </w:r>
      <w:r>
        <w:rPr>
          <w:spacing w:val="-4"/>
          <w:sz w:val="16"/>
        </w:rPr>
        <w:t> </w:t>
      </w:r>
      <w:r>
        <w:rPr>
          <w:sz w:val="16"/>
        </w:rPr>
        <w:t>position</w:t>
      </w:r>
      <w:r>
        <w:rPr>
          <w:spacing w:val="-2"/>
          <w:sz w:val="16"/>
        </w:rPr>
        <w:t> </w:t>
      </w:r>
      <w:r>
        <w:rPr>
          <w:sz w:val="16"/>
        </w:rPr>
        <w:t>is</w:t>
      </w:r>
      <w:r>
        <w:rPr>
          <w:spacing w:val="-4"/>
          <w:sz w:val="16"/>
        </w:rPr>
        <w:t> </w:t>
      </w:r>
      <w:r>
        <w:rPr>
          <w:sz w:val="16"/>
        </w:rPr>
        <w:t>requested</w:t>
      </w:r>
      <w:r>
        <w:rPr>
          <w:spacing w:val="-2"/>
          <w:sz w:val="16"/>
        </w:rPr>
        <w:t> </w:t>
      </w:r>
      <w:r>
        <w:rPr>
          <w:sz w:val="16"/>
        </w:rPr>
        <w:t>for</w:t>
      </w:r>
      <w:r>
        <w:rPr>
          <w:spacing w:val="-4"/>
          <w:sz w:val="16"/>
        </w:rPr>
        <w:t> </w:t>
      </w:r>
      <w:r>
        <w:rPr>
          <w:sz w:val="16"/>
        </w:rPr>
        <w:t>conversion.</w:t>
      </w:r>
      <w:r>
        <w:rPr>
          <w:spacing w:val="-5"/>
          <w:sz w:val="16"/>
        </w:rPr>
        <w:t> </w:t>
      </w:r>
      <w:r>
        <w:rPr>
          <w:sz w:val="16"/>
        </w:rPr>
        <w:t>The</w:t>
      </w:r>
      <w:r>
        <w:rPr>
          <w:spacing w:val="-3"/>
          <w:sz w:val="16"/>
        </w:rPr>
        <w:t> </w:t>
      </w:r>
      <w:r>
        <w:rPr>
          <w:sz w:val="16"/>
        </w:rPr>
        <w:t>GTA position</w:t>
      </w:r>
      <w:r>
        <w:rPr>
          <w:spacing w:val="-2"/>
          <w:sz w:val="16"/>
        </w:rPr>
        <w:t> </w:t>
      </w:r>
      <w:r>
        <w:rPr>
          <w:sz w:val="16"/>
        </w:rPr>
        <w:t>has</w:t>
      </w:r>
      <w:r>
        <w:rPr>
          <w:spacing w:val="-8"/>
          <w:sz w:val="16"/>
        </w:rPr>
        <w:t> </w:t>
      </w:r>
      <w:r>
        <w:rPr>
          <w:sz w:val="16"/>
        </w:rPr>
        <w:t>been</w:t>
      </w:r>
      <w:r>
        <w:rPr>
          <w:spacing w:val="-2"/>
          <w:sz w:val="16"/>
        </w:rPr>
        <w:t> </w:t>
      </w:r>
      <w:r>
        <w:rPr>
          <w:sz w:val="16"/>
        </w:rPr>
        <w:t>approved</w:t>
      </w:r>
      <w:r>
        <w:rPr>
          <w:spacing w:val="-2"/>
          <w:sz w:val="16"/>
        </w:rPr>
        <w:t> </w:t>
      </w:r>
      <w:r>
        <w:rPr>
          <w:sz w:val="16"/>
        </w:rPr>
        <w:t>for</w:t>
      </w:r>
      <w:r>
        <w:rPr>
          <w:spacing w:val="-4"/>
          <w:sz w:val="16"/>
        </w:rPr>
        <w:t> </w:t>
      </w:r>
      <w:r>
        <w:rPr>
          <w:sz w:val="16"/>
        </w:rPr>
        <w:t>more</w:t>
      </w:r>
      <w:r>
        <w:rPr>
          <w:spacing w:val="-3"/>
          <w:sz w:val="16"/>
        </w:rPr>
        <w:t> </w:t>
      </w:r>
      <w:r>
        <w:rPr>
          <w:sz w:val="16"/>
        </w:rPr>
        <w:t>than</w:t>
      </w:r>
      <w:r>
        <w:rPr>
          <w:spacing w:val="-2"/>
          <w:sz w:val="16"/>
        </w:rPr>
        <w:t> </w:t>
      </w:r>
      <w:r>
        <w:rPr>
          <w:sz w:val="16"/>
        </w:rPr>
        <w:t>three</w:t>
      </w:r>
      <w:r>
        <w:rPr>
          <w:spacing w:val="-3"/>
          <w:sz w:val="16"/>
        </w:rPr>
        <w:t> </w:t>
      </w:r>
      <w:r>
        <w:rPr>
          <w:sz w:val="16"/>
        </w:rPr>
        <w:t>years</w:t>
      </w:r>
      <w:r>
        <w:rPr>
          <w:spacing w:val="-4"/>
          <w:sz w:val="16"/>
        </w:rPr>
        <w:t> </w:t>
      </w:r>
      <w:r>
        <w:rPr>
          <w:sz w:val="16"/>
        </w:rPr>
        <w:t>and</w:t>
      </w:r>
      <w:r>
        <w:rPr>
          <w:spacing w:val="-2"/>
          <w:sz w:val="16"/>
        </w:rPr>
        <w:t> </w:t>
      </w:r>
      <w:r>
        <w:rPr>
          <w:sz w:val="16"/>
        </w:rPr>
        <w:t>the</w:t>
      </w:r>
      <w:r>
        <w:rPr>
          <w:spacing w:val="40"/>
          <w:sz w:val="16"/>
        </w:rPr>
        <w:t> </w:t>
      </w:r>
      <w:r>
        <w:rPr>
          <w:sz w:val="16"/>
        </w:rPr>
        <w:t>function is necessary to properly and effectively distribute the workload within IOP.</w:t>
      </w:r>
    </w:p>
    <w:p>
      <w:pPr>
        <w:spacing w:line="181" w:lineRule="exact" w:before="0"/>
        <w:ind w:left="2246" w:right="0" w:firstLine="0"/>
        <w:jc w:val="left"/>
        <w:rPr>
          <w:sz w:val="16"/>
        </w:rPr>
      </w:pPr>
      <w:r>
        <w:rPr>
          <w:position w:val="5"/>
          <w:sz w:val="10"/>
        </w:rPr>
        <w:t>64</w:t>
      </w:r>
      <w:r>
        <w:rPr>
          <w:spacing w:val="12"/>
          <w:position w:val="5"/>
          <w:sz w:val="10"/>
        </w:rPr>
        <w:t> </w:t>
      </w:r>
      <w:r>
        <w:rPr>
          <w:sz w:val="16"/>
        </w:rPr>
        <w:t>One</w:t>
      </w:r>
      <w:r>
        <w:rPr>
          <w:spacing w:val="-4"/>
          <w:sz w:val="16"/>
        </w:rPr>
        <w:t> </w:t>
      </w:r>
      <w:r>
        <w:rPr>
          <w:sz w:val="16"/>
        </w:rPr>
        <w:t>position</w:t>
      </w:r>
      <w:r>
        <w:rPr>
          <w:spacing w:val="-3"/>
          <w:sz w:val="16"/>
        </w:rPr>
        <w:t> </w:t>
      </w:r>
      <w:r>
        <w:rPr>
          <w:sz w:val="16"/>
        </w:rPr>
        <w:t>is</w:t>
      </w:r>
      <w:r>
        <w:rPr>
          <w:spacing w:val="-5"/>
          <w:sz w:val="16"/>
        </w:rPr>
        <w:t> </w:t>
      </w:r>
      <w:r>
        <w:rPr>
          <w:sz w:val="16"/>
        </w:rPr>
        <w:t>repurposed</w:t>
      </w:r>
      <w:r>
        <w:rPr>
          <w:spacing w:val="-3"/>
          <w:sz w:val="16"/>
        </w:rPr>
        <w:t> </w:t>
      </w:r>
      <w:r>
        <w:rPr>
          <w:sz w:val="16"/>
        </w:rPr>
        <w:t>from</w:t>
      </w:r>
      <w:r>
        <w:rPr>
          <w:spacing w:val="-3"/>
          <w:sz w:val="16"/>
        </w:rPr>
        <w:t> </w:t>
      </w:r>
      <w:r>
        <w:rPr>
          <w:sz w:val="16"/>
        </w:rPr>
        <w:t>the</w:t>
      </w:r>
      <w:r>
        <w:rPr>
          <w:spacing w:val="-4"/>
          <w:sz w:val="16"/>
        </w:rPr>
        <w:t> </w:t>
      </w:r>
      <w:r>
        <w:rPr>
          <w:sz w:val="16"/>
        </w:rPr>
        <w:t>Associate</w:t>
      </w:r>
      <w:r>
        <w:rPr>
          <w:spacing w:val="-4"/>
          <w:sz w:val="16"/>
        </w:rPr>
        <w:t> </w:t>
      </w:r>
      <w:r>
        <w:rPr>
          <w:sz w:val="16"/>
        </w:rPr>
        <w:t>Legal</w:t>
      </w:r>
      <w:r>
        <w:rPr>
          <w:spacing w:val="-6"/>
          <w:sz w:val="16"/>
        </w:rPr>
        <w:t> </w:t>
      </w:r>
      <w:r>
        <w:rPr>
          <w:sz w:val="16"/>
        </w:rPr>
        <w:t>Adviser</w:t>
      </w:r>
      <w:r>
        <w:rPr>
          <w:spacing w:val="-4"/>
          <w:sz w:val="16"/>
        </w:rPr>
        <w:t> </w:t>
      </w:r>
      <w:r>
        <w:rPr>
          <w:sz w:val="16"/>
        </w:rPr>
        <w:t>formerly</w:t>
      </w:r>
      <w:r>
        <w:rPr>
          <w:spacing w:val="-3"/>
          <w:sz w:val="16"/>
        </w:rPr>
        <w:t> </w:t>
      </w:r>
      <w:r>
        <w:rPr>
          <w:sz w:val="16"/>
        </w:rPr>
        <w:t>in</w:t>
      </w:r>
      <w:r>
        <w:rPr>
          <w:spacing w:val="-3"/>
          <w:sz w:val="16"/>
        </w:rPr>
        <w:t> </w:t>
      </w:r>
      <w:r>
        <w:rPr>
          <w:spacing w:val="-4"/>
          <w:sz w:val="16"/>
        </w:rPr>
        <w:t>LAS.</w:t>
      </w:r>
    </w:p>
    <w:p>
      <w:pPr>
        <w:spacing w:line="183" w:lineRule="exact" w:before="3"/>
        <w:ind w:left="2246" w:right="0" w:firstLine="0"/>
        <w:jc w:val="left"/>
        <w:rPr>
          <w:sz w:val="16"/>
        </w:rPr>
      </w:pPr>
      <w:r>
        <w:rPr>
          <w:position w:val="5"/>
          <w:sz w:val="10"/>
        </w:rPr>
        <w:t>65</w:t>
      </w:r>
      <w:r>
        <w:rPr>
          <w:spacing w:val="13"/>
          <w:position w:val="5"/>
          <w:sz w:val="10"/>
        </w:rPr>
        <w:t> </w:t>
      </w:r>
      <w:r>
        <w:rPr>
          <w:sz w:val="16"/>
        </w:rPr>
        <w:t>New</w:t>
      </w:r>
      <w:r>
        <w:rPr>
          <w:spacing w:val="-3"/>
          <w:sz w:val="16"/>
        </w:rPr>
        <w:t> </w:t>
      </w:r>
      <w:r>
        <w:rPr>
          <w:sz w:val="16"/>
        </w:rPr>
        <w:t>post.</w:t>
      </w:r>
      <w:r>
        <w:rPr>
          <w:spacing w:val="-4"/>
          <w:sz w:val="16"/>
        </w:rPr>
        <w:t> </w:t>
      </w:r>
      <w:r>
        <w:rPr>
          <w:sz w:val="16"/>
        </w:rPr>
        <w:t>See</w:t>
      </w:r>
      <w:r>
        <w:rPr>
          <w:spacing w:val="-2"/>
          <w:sz w:val="16"/>
        </w:rPr>
        <w:t> </w:t>
      </w:r>
      <w:r>
        <w:rPr>
          <w:sz w:val="16"/>
        </w:rPr>
        <w:t>para.</w:t>
      </w:r>
      <w:r>
        <w:rPr>
          <w:spacing w:val="-3"/>
          <w:sz w:val="16"/>
        </w:rPr>
        <w:t> </w:t>
      </w:r>
      <w:r>
        <w:rPr>
          <w:spacing w:val="-4"/>
          <w:sz w:val="16"/>
        </w:rPr>
        <w:t>272.</w:t>
      </w:r>
    </w:p>
    <w:p>
      <w:pPr>
        <w:spacing w:line="182" w:lineRule="exact" w:before="0"/>
        <w:ind w:left="2246" w:right="0" w:firstLine="0"/>
        <w:jc w:val="left"/>
        <w:rPr>
          <w:sz w:val="16"/>
        </w:rPr>
      </w:pPr>
      <w:r>
        <w:rPr>
          <w:position w:val="5"/>
          <w:sz w:val="10"/>
        </w:rPr>
        <w:t>66</w:t>
      </w:r>
      <w:r>
        <w:rPr>
          <w:spacing w:val="13"/>
          <w:position w:val="5"/>
          <w:sz w:val="10"/>
        </w:rPr>
        <w:t> </w:t>
      </w:r>
      <w:r>
        <w:rPr>
          <w:sz w:val="16"/>
        </w:rPr>
        <w:t>One</w:t>
      </w:r>
      <w:r>
        <w:rPr>
          <w:spacing w:val="-2"/>
          <w:sz w:val="16"/>
        </w:rPr>
        <w:t> </w:t>
      </w:r>
      <w:r>
        <w:rPr>
          <w:sz w:val="16"/>
        </w:rPr>
        <w:t>post</w:t>
      </w:r>
      <w:r>
        <w:rPr>
          <w:spacing w:val="-4"/>
          <w:sz w:val="16"/>
        </w:rPr>
        <w:t> </w:t>
      </w:r>
      <w:r>
        <w:rPr>
          <w:sz w:val="16"/>
        </w:rPr>
        <w:t>converted</w:t>
      </w:r>
      <w:r>
        <w:rPr>
          <w:spacing w:val="-2"/>
          <w:sz w:val="16"/>
        </w:rPr>
        <w:t> </w:t>
      </w:r>
      <w:r>
        <w:rPr>
          <w:sz w:val="16"/>
        </w:rPr>
        <w:t>from</w:t>
      </w:r>
      <w:r>
        <w:rPr>
          <w:spacing w:val="-2"/>
          <w:sz w:val="16"/>
        </w:rPr>
        <w:t> </w:t>
      </w:r>
      <w:r>
        <w:rPr>
          <w:spacing w:val="-4"/>
          <w:sz w:val="16"/>
        </w:rPr>
        <w:t>GTA.</w:t>
      </w:r>
    </w:p>
    <w:p>
      <w:pPr>
        <w:spacing w:line="183" w:lineRule="exact" w:before="0"/>
        <w:ind w:left="2246" w:right="0" w:firstLine="0"/>
        <w:jc w:val="left"/>
        <w:rPr>
          <w:sz w:val="16"/>
        </w:rPr>
      </w:pPr>
      <w:r>
        <w:rPr>
          <w:position w:val="5"/>
          <w:sz w:val="10"/>
        </w:rPr>
        <w:t>67</w:t>
      </w:r>
      <w:r>
        <w:rPr>
          <w:spacing w:val="12"/>
          <w:position w:val="5"/>
          <w:sz w:val="10"/>
        </w:rPr>
        <w:t> </w:t>
      </w:r>
      <w:r>
        <w:rPr>
          <w:sz w:val="16"/>
        </w:rPr>
        <w:t>Redeployed</w:t>
      </w:r>
      <w:r>
        <w:rPr>
          <w:spacing w:val="-2"/>
          <w:sz w:val="16"/>
        </w:rPr>
        <w:t> </w:t>
      </w:r>
      <w:r>
        <w:rPr>
          <w:sz w:val="16"/>
        </w:rPr>
        <w:t>from</w:t>
      </w:r>
      <w:r>
        <w:rPr>
          <w:spacing w:val="-3"/>
          <w:sz w:val="16"/>
        </w:rPr>
        <w:t> </w:t>
      </w:r>
      <w:r>
        <w:rPr>
          <w:sz w:val="16"/>
        </w:rPr>
        <w:t>Pillar</w:t>
      </w:r>
      <w:r>
        <w:rPr>
          <w:spacing w:val="-4"/>
          <w:sz w:val="16"/>
        </w:rPr>
        <w:t> </w:t>
      </w:r>
      <w:r>
        <w:rPr>
          <w:spacing w:val="-5"/>
          <w:sz w:val="16"/>
        </w:rPr>
        <w:t>B1.</w:t>
      </w:r>
    </w:p>
    <w:p>
      <w:pPr>
        <w:spacing w:after="0" w:line="183" w:lineRule="exact"/>
        <w:jc w:val="left"/>
        <w:rPr>
          <w:sz w:val="16"/>
        </w:rPr>
        <w:sectPr>
          <w:pgSz w:w="11910" w:h="16840"/>
          <w:pgMar w:header="953" w:footer="940" w:top="1140" w:bottom="1140" w:left="20" w:right="20"/>
        </w:sectPr>
      </w:pPr>
    </w:p>
    <w:tbl>
      <w:tblPr>
        <w:tblW w:w="0" w:type="auto"/>
        <w:jc w:val="left"/>
        <w:tblInd w:w="1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49"/>
        <w:gridCol w:w="2248"/>
        <w:gridCol w:w="2202"/>
      </w:tblGrid>
      <w:tr>
        <w:trPr>
          <w:trHeight w:val="402" w:hRule="atLeast"/>
        </w:trPr>
        <w:tc>
          <w:tcPr>
            <w:tcW w:w="5249" w:type="dxa"/>
            <w:tcBorders>
              <w:top w:val="single" w:sz="2" w:space="0" w:color="000000"/>
              <w:bottom w:val="single" w:sz="4" w:space="0" w:color="000000"/>
            </w:tcBorders>
          </w:tcPr>
          <w:p>
            <w:pPr>
              <w:pStyle w:val="TableParagraph"/>
              <w:spacing w:before="151"/>
              <w:ind w:left="1157"/>
              <w:jc w:val="left"/>
              <w:rPr>
                <w:i/>
                <w:sz w:val="20"/>
              </w:rPr>
            </w:pPr>
            <w:r>
              <w:rPr>
                <w:i/>
                <w:spacing w:val="-2"/>
                <w:sz w:val="20"/>
              </w:rPr>
              <w:t>Title</w:t>
            </w:r>
          </w:p>
        </w:tc>
        <w:tc>
          <w:tcPr>
            <w:tcW w:w="2248" w:type="dxa"/>
            <w:tcBorders>
              <w:top w:val="single" w:sz="2" w:space="0" w:color="000000"/>
              <w:bottom w:val="single" w:sz="4" w:space="0" w:color="000000"/>
            </w:tcBorders>
          </w:tcPr>
          <w:p>
            <w:pPr>
              <w:pStyle w:val="TableParagraph"/>
              <w:spacing w:before="151"/>
              <w:ind w:left="1344"/>
              <w:jc w:val="left"/>
              <w:rPr>
                <w:i/>
                <w:sz w:val="20"/>
              </w:rPr>
            </w:pPr>
            <w:r>
              <w:rPr>
                <w:i/>
                <w:spacing w:val="-2"/>
                <w:sz w:val="20"/>
              </w:rPr>
              <w:t>Grade</w:t>
            </w:r>
          </w:p>
        </w:tc>
        <w:tc>
          <w:tcPr>
            <w:tcW w:w="2202" w:type="dxa"/>
            <w:tcBorders>
              <w:top w:val="single" w:sz="2" w:space="0" w:color="000000"/>
              <w:bottom w:val="single" w:sz="4" w:space="0" w:color="000000"/>
            </w:tcBorders>
          </w:tcPr>
          <w:p>
            <w:pPr>
              <w:pStyle w:val="TableParagraph"/>
              <w:spacing w:before="151"/>
              <w:ind w:right="1157"/>
              <w:rPr>
                <w:i/>
                <w:sz w:val="20"/>
              </w:rPr>
            </w:pPr>
            <w:r>
              <w:rPr>
                <w:i/>
                <w:spacing w:val="-2"/>
                <w:sz w:val="20"/>
              </w:rPr>
              <w:t>Number</w:t>
            </w:r>
          </w:p>
        </w:tc>
      </w:tr>
      <w:tr>
        <w:trPr>
          <w:trHeight w:val="272" w:hRule="atLeast"/>
        </w:trPr>
        <w:tc>
          <w:tcPr>
            <w:tcW w:w="5249" w:type="dxa"/>
            <w:tcBorders>
              <w:top w:val="single" w:sz="4" w:space="0" w:color="000000"/>
            </w:tcBorders>
          </w:tcPr>
          <w:p>
            <w:pPr>
              <w:pStyle w:val="TableParagraph"/>
              <w:spacing w:before="16"/>
              <w:ind w:left="1157"/>
              <w:jc w:val="left"/>
              <w:rPr>
                <w:sz w:val="20"/>
              </w:rPr>
            </w:pPr>
            <w:r>
              <w:rPr>
                <w:sz w:val="20"/>
              </w:rPr>
              <w:t>International</w:t>
            </w:r>
            <w:r>
              <w:rPr>
                <w:spacing w:val="-11"/>
                <w:sz w:val="20"/>
              </w:rPr>
              <w:t> </w:t>
            </w:r>
            <w:r>
              <w:rPr>
                <w:sz w:val="20"/>
              </w:rPr>
              <w:t>Cooperation</w:t>
            </w:r>
            <w:r>
              <w:rPr>
                <w:spacing w:val="-8"/>
                <w:sz w:val="20"/>
              </w:rPr>
              <w:t> </w:t>
            </w:r>
            <w:r>
              <w:rPr>
                <w:spacing w:val="-2"/>
                <w:sz w:val="20"/>
              </w:rPr>
              <w:t>Adviser</w:t>
            </w:r>
          </w:p>
        </w:tc>
        <w:tc>
          <w:tcPr>
            <w:tcW w:w="2248" w:type="dxa"/>
            <w:tcBorders>
              <w:top w:val="single" w:sz="4" w:space="0" w:color="000000"/>
            </w:tcBorders>
          </w:tcPr>
          <w:p>
            <w:pPr>
              <w:pStyle w:val="TableParagraph"/>
              <w:spacing w:before="16"/>
              <w:ind w:left="1344"/>
              <w:jc w:val="left"/>
              <w:rPr>
                <w:sz w:val="20"/>
              </w:rPr>
            </w:pPr>
            <w:r>
              <w:rPr>
                <w:spacing w:val="-2"/>
                <w:sz w:val="20"/>
              </w:rPr>
              <w:t>P-</w:t>
            </w:r>
            <w:r>
              <w:rPr>
                <w:spacing w:val="-10"/>
                <w:sz w:val="20"/>
              </w:rPr>
              <w:t>3</w:t>
            </w:r>
          </w:p>
        </w:tc>
        <w:tc>
          <w:tcPr>
            <w:tcW w:w="2202" w:type="dxa"/>
            <w:tcBorders>
              <w:top w:val="single" w:sz="4" w:space="0" w:color="000000"/>
            </w:tcBorders>
          </w:tcPr>
          <w:p>
            <w:pPr>
              <w:pStyle w:val="TableParagraph"/>
              <w:spacing w:before="16"/>
              <w:ind w:right="1164"/>
              <w:rPr>
                <w:sz w:val="20"/>
              </w:rPr>
            </w:pPr>
            <w:r>
              <w:rPr>
                <w:w w:val="100"/>
                <w:sz w:val="20"/>
              </w:rPr>
              <w:t>1</w:t>
            </w:r>
          </w:p>
        </w:tc>
      </w:tr>
      <w:tr>
        <w:trPr>
          <w:trHeight w:val="268" w:hRule="atLeast"/>
        </w:trPr>
        <w:tc>
          <w:tcPr>
            <w:tcW w:w="5249" w:type="dxa"/>
          </w:tcPr>
          <w:p>
            <w:pPr>
              <w:pStyle w:val="TableParagraph"/>
              <w:spacing w:before="12"/>
              <w:ind w:left="1157"/>
              <w:jc w:val="left"/>
              <w:rPr>
                <w:sz w:val="20"/>
              </w:rPr>
            </w:pPr>
            <w:r>
              <w:rPr>
                <w:sz w:val="20"/>
              </w:rPr>
              <w:t>Analyst</w:t>
            </w:r>
            <w:r>
              <w:rPr>
                <w:spacing w:val="-5"/>
                <w:sz w:val="20"/>
              </w:rPr>
              <w:t> </w:t>
            </w:r>
            <w:r>
              <w:rPr>
                <w:spacing w:val="-2"/>
                <w:sz w:val="20"/>
              </w:rPr>
              <w:t>(PES)</w:t>
            </w:r>
          </w:p>
        </w:tc>
        <w:tc>
          <w:tcPr>
            <w:tcW w:w="2248" w:type="dxa"/>
          </w:tcPr>
          <w:p>
            <w:pPr>
              <w:pStyle w:val="TableParagraph"/>
              <w:spacing w:before="12"/>
              <w:ind w:left="1344"/>
              <w:jc w:val="left"/>
              <w:rPr>
                <w:sz w:val="20"/>
              </w:rPr>
            </w:pPr>
            <w:r>
              <w:rPr>
                <w:spacing w:val="-2"/>
                <w:sz w:val="20"/>
              </w:rPr>
              <w:t>P-</w:t>
            </w:r>
            <w:r>
              <w:rPr>
                <w:spacing w:val="-10"/>
                <w:sz w:val="20"/>
              </w:rPr>
              <w:t>3</w:t>
            </w:r>
          </w:p>
        </w:tc>
        <w:tc>
          <w:tcPr>
            <w:tcW w:w="2202" w:type="dxa"/>
          </w:tcPr>
          <w:p>
            <w:pPr>
              <w:pStyle w:val="TableParagraph"/>
              <w:spacing w:before="12"/>
              <w:ind w:right="1164"/>
              <w:rPr>
                <w:sz w:val="20"/>
              </w:rPr>
            </w:pPr>
            <w:r>
              <w:rPr>
                <w:w w:val="100"/>
                <w:sz w:val="20"/>
              </w:rPr>
              <w:t>1</w:t>
            </w:r>
          </w:p>
        </w:tc>
      </w:tr>
      <w:tr>
        <w:trPr>
          <w:trHeight w:val="267" w:hRule="atLeast"/>
        </w:trPr>
        <w:tc>
          <w:tcPr>
            <w:tcW w:w="5249" w:type="dxa"/>
          </w:tcPr>
          <w:p>
            <w:pPr>
              <w:pStyle w:val="TableParagraph"/>
              <w:spacing w:before="12"/>
              <w:ind w:left="1157"/>
              <w:jc w:val="left"/>
              <w:rPr>
                <w:sz w:val="20"/>
              </w:rPr>
            </w:pPr>
            <w:r>
              <w:rPr>
                <w:sz w:val="20"/>
              </w:rPr>
              <w:t>Associate</w:t>
            </w:r>
            <w:r>
              <w:rPr>
                <w:spacing w:val="-10"/>
                <w:sz w:val="20"/>
              </w:rPr>
              <w:t> </w:t>
            </w:r>
            <w:r>
              <w:rPr>
                <w:sz w:val="20"/>
              </w:rPr>
              <w:t>Legal</w:t>
            </w:r>
            <w:r>
              <w:rPr>
                <w:spacing w:val="-4"/>
                <w:sz w:val="20"/>
              </w:rPr>
              <w:t> </w:t>
            </w:r>
            <w:r>
              <w:rPr>
                <w:sz w:val="20"/>
              </w:rPr>
              <w:t>Officer</w:t>
            </w:r>
            <w:r>
              <w:rPr>
                <w:spacing w:val="-9"/>
                <w:sz w:val="20"/>
              </w:rPr>
              <w:t> </w:t>
            </w:r>
            <w:r>
              <w:rPr>
                <w:spacing w:val="-4"/>
                <w:sz w:val="20"/>
              </w:rPr>
              <w:t>(PES)</w:t>
            </w:r>
          </w:p>
        </w:tc>
        <w:tc>
          <w:tcPr>
            <w:tcW w:w="2248" w:type="dxa"/>
          </w:tcPr>
          <w:p>
            <w:pPr>
              <w:pStyle w:val="TableParagraph"/>
              <w:spacing w:before="12"/>
              <w:ind w:left="1344"/>
              <w:jc w:val="left"/>
              <w:rPr>
                <w:sz w:val="20"/>
              </w:rPr>
            </w:pPr>
            <w:r>
              <w:rPr>
                <w:spacing w:val="-2"/>
                <w:sz w:val="20"/>
              </w:rPr>
              <w:t>P-</w:t>
            </w:r>
            <w:r>
              <w:rPr>
                <w:spacing w:val="-10"/>
                <w:sz w:val="20"/>
              </w:rPr>
              <w:t>2</w:t>
            </w:r>
          </w:p>
        </w:tc>
        <w:tc>
          <w:tcPr>
            <w:tcW w:w="2202" w:type="dxa"/>
          </w:tcPr>
          <w:p>
            <w:pPr>
              <w:pStyle w:val="TableParagraph"/>
              <w:spacing w:before="12"/>
              <w:ind w:right="1164"/>
              <w:rPr>
                <w:sz w:val="20"/>
              </w:rPr>
            </w:pPr>
            <w:r>
              <w:rPr>
                <w:w w:val="100"/>
                <w:sz w:val="20"/>
              </w:rPr>
              <w:t>1</w:t>
            </w:r>
          </w:p>
        </w:tc>
      </w:tr>
      <w:tr>
        <w:trPr>
          <w:trHeight w:val="271" w:hRule="atLeast"/>
        </w:trPr>
        <w:tc>
          <w:tcPr>
            <w:tcW w:w="5249" w:type="dxa"/>
            <w:tcBorders>
              <w:bottom w:val="single" w:sz="4" w:space="0" w:color="000000"/>
            </w:tcBorders>
          </w:tcPr>
          <w:p>
            <w:pPr>
              <w:pStyle w:val="TableParagraph"/>
              <w:spacing w:before="19"/>
              <w:ind w:left="1157"/>
              <w:jc w:val="left"/>
              <w:rPr>
                <w:sz w:val="20"/>
              </w:rPr>
            </w:pPr>
            <w:r>
              <w:rPr>
                <w:sz w:val="20"/>
              </w:rPr>
              <w:t>Associate</w:t>
            </w:r>
            <w:r>
              <w:rPr>
                <w:spacing w:val="-7"/>
                <w:sz w:val="20"/>
              </w:rPr>
              <w:t> </w:t>
            </w:r>
            <w:r>
              <w:rPr>
                <w:spacing w:val="-2"/>
                <w:sz w:val="20"/>
              </w:rPr>
              <w:t>Analyst</w:t>
            </w:r>
            <w:r>
              <w:rPr>
                <w:spacing w:val="-2"/>
                <w:sz w:val="20"/>
                <w:vertAlign w:val="superscript"/>
              </w:rPr>
              <w:t>68</w:t>
            </w:r>
          </w:p>
        </w:tc>
        <w:tc>
          <w:tcPr>
            <w:tcW w:w="2248" w:type="dxa"/>
            <w:tcBorders>
              <w:bottom w:val="single" w:sz="4" w:space="0" w:color="000000"/>
            </w:tcBorders>
          </w:tcPr>
          <w:p>
            <w:pPr>
              <w:pStyle w:val="TableParagraph"/>
              <w:spacing w:before="19"/>
              <w:ind w:left="1344"/>
              <w:jc w:val="left"/>
              <w:rPr>
                <w:sz w:val="20"/>
              </w:rPr>
            </w:pPr>
            <w:r>
              <w:rPr>
                <w:spacing w:val="-2"/>
                <w:sz w:val="20"/>
              </w:rPr>
              <w:t>P-</w:t>
            </w:r>
            <w:r>
              <w:rPr>
                <w:spacing w:val="-10"/>
                <w:sz w:val="20"/>
              </w:rPr>
              <w:t>2</w:t>
            </w:r>
          </w:p>
        </w:tc>
        <w:tc>
          <w:tcPr>
            <w:tcW w:w="2202" w:type="dxa"/>
            <w:tcBorders>
              <w:bottom w:val="single" w:sz="4" w:space="0" w:color="000000"/>
            </w:tcBorders>
          </w:tcPr>
          <w:p>
            <w:pPr>
              <w:pStyle w:val="TableParagraph"/>
              <w:spacing w:before="19"/>
              <w:ind w:right="1164"/>
              <w:rPr>
                <w:sz w:val="20"/>
              </w:rPr>
            </w:pPr>
            <w:r>
              <w:rPr>
                <w:w w:val="100"/>
                <w:sz w:val="20"/>
              </w:rPr>
              <w:t>1</w:t>
            </w:r>
          </w:p>
        </w:tc>
      </w:tr>
      <w:tr>
        <w:trPr>
          <w:trHeight w:val="268" w:hRule="atLeast"/>
        </w:trPr>
        <w:tc>
          <w:tcPr>
            <w:tcW w:w="5249" w:type="dxa"/>
            <w:tcBorders>
              <w:top w:val="single" w:sz="4" w:space="0" w:color="000000"/>
              <w:bottom w:val="single" w:sz="4" w:space="0" w:color="000000"/>
            </w:tcBorders>
          </w:tcPr>
          <w:p>
            <w:pPr>
              <w:pStyle w:val="TableParagraph"/>
              <w:jc w:val="left"/>
              <w:rPr>
                <w:sz w:val="18"/>
              </w:rPr>
            </w:pPr>
          </w:p>
        </w:tc>
        <w:tc>
          <w:tcPr>
            <w:tcW w:w="2248" w:type="dxa"/>
            <w:tcBorders>
              <w:top w:val="single" w:sz="4" w:space="0" w:color="000000"/>
              <w:bottom w:val="single" w:sz="4" w:space="0" w:color="000000"/>
            </w:tcBorders>
          </w:tcPr>
          <w:p>
            <w:pPr>
              <w:pStyle w:val="TableParagraph"/>
              <w:jc w:val="left"/>
              <w:rPr>
                <w:sz w:val="18"/>
              </w:rPr>
            </w:pPr>
          </w:p>
        </w:tc>
        <w:tc>
          <w:tcPr>
            <w:tcW w:w="2202" w:type="dxa"/>
            <w:tcBorders>
              <w:top w:val="single" w:sz="4" w:space="0" w:color="000000"/>
              <w:bottom w:val="single" w:sz="4" w:space="0" w:color="000000"/>
            </w:tcBorders>
          </w:tcPr>
          <w:p>
            <w:pPr>
              <w:pStyle w:val="TableParagraph"/>
              <w:spacing w:before="16"/>
              <w:ind w:right="1164"/>
              <w:rPr>
                <w:b/>
                <w:sz w:val="20"/>
              </w:rPr>
            </w:pPr>
            <w:r>
              <w:rPr>
                <w:b/>
                <w:w w:val="100"/>
                <w:sz w:val="20"/>
              </w:rPr>
              <w:t>9</w:t>
            </w:r>
          </w:p>
        </w:tc>
      </w:tr>
      <w:tr>
        <w:trPr>
          <w:trHeight w:val="273" w:hRule="atLeast"/>
        </w:trPr>
        <w:tc>
          <w:tcPr>
            <w:tcW w:w="5249" w:type="dxa"/>
            <w:tcBorders>
              <w:top w:val="single" w:sz="4" w:space="0" w:color="000000"/>
              <w:bottom w:val="single" w:sz="4" w:space="0" w:color="000000"/>
            </w:tcBorders>
          </w:tcPr>
          <w:p>
            <w:pPr>
              <w:pStyle w:val="TableParagraph"/>
              <w:spacing w:before="16"/>
              <w:ind w:left="1157"/>
              <w:jc w:val="left"/>
              <w:rPr>
                <w:i/>
                <w:sz w:val="20"/>
              </w:rPr>
            </w:pPr>
            <w:r>
              <w:rPr>
                <w:i/>
                <w:sz w:val="20"/>
              </w:rPr>
              <w:t>Unified</w:t>
            </w:r>
            <w:r>
              <w:rPr>
                <w:i/>
                <w:spacing w:val="-7"/>
                <w:sz w:val="20"/>
              </w:rPr>
              <w:t> </w:t>
            </w:r>
            <w:r>
              <w:rPr>
                <w:i/>
                <w:sz w:val="20"/>
              </w:rPr>
              <w:t>Team</w:t>
            </w:r>
            <w:r>
              <w:rPr>
                <w:i/>
                <w:spacing w:val="-5"/>
                <w:sz w:val="20"/>
              </w:rPr>
              <w:t> </w:t>
            </w:r>
            <w:r>
              <w:rPr>
                <w:i/>
                <w:sz w:val="20"/>
              </w:rPr>
              <w:t>UKR</w:t>
            </w:r>
            <w:r>
              <w:rPr>
                <w:i/>
                <w:spacing w:val="-1"/>
                <w:sz w:val="20"/>
              </w:rPr>
              <w:t> </w:t>
            </w:r>
            <w:r>
              <w:rPr>
                <w:i/>
                <w:sz w:val="20"/>
              </w:rPr>
              <w:t>-</w:t>
            </w:r>
            <w:r>
              <w:rPr>
                <w:i/>
                <w:spacing w:val="-3"/>
                <w:sz w:val="20"/>
              </w:rPr>
              <w:t> </w:t>
            </w:r>
            <w:r>
              <w:rPr>
                <w:i/>
                <w:spacing w:val="-4"/>
                <w:sz w:val="20"/>
              </w:rPr>
              <w:t>Field</w:t>
            </w:r>
          </w:p>
        </w:tc>
        <w:tc>
          <w:tcPr>
            <w:tcW w:w="2248" w:type="dxa"/>
            <w:tcBorders>
              <w:top w:val="single" w:sz="4" w:space="0" w:color="000000"/>
              <w:bottom w:val="single" w:sz="4" w:space="0" w:color="000000"/>
            </w:tcBorders>
          </w:tcPr>
          <w:p>
            <w:pPr>
              <w:pStyle w:val="TableParagraph"/>
              <w:jc w:val="left"/>
              <w:rPr>
                <w:sz w:val="18"/>
              </w:rPr>
            </w:pPr>
          </w:p>
        </w:tc>
        <w:tc>
          <w:tcPr>
            <w:tcW w:w="2202" w:type="dxa"/>
            <w:tcBorders>
              <w:top w:val="single" w:sz="4" w:space="0" w:color="000000"/>
              <w:bottom w:val="single" w:sz="4" w:space="0" w:color="000000"/>
            </w:tcBorders>
          </w:tcPr>
          <w:p>
            <w:pPr>
              <w:pStyle w:val="TableParagraph"/>
              <w:jc w:val="left"/>
              <w:rPr>
                <w:sz w:val="18"/>
              </w:rPr>
            </w:pPr>
          </w:p>
        </w:tc>
      </w:tr>
      <w:tr>
        <w:trPr>
          <w:trHeight w:val="268" w:hRule="atLeast"/>
        </w:trPr>
        <w:tc>
          <w:tcPr>
            <w:tcW w:w="5249" w:type="dxa"/>
            <w:tcBorders>
              <w:top w:val="single" w:sz="4" w:space="0" w:color="000000"/>
              <w:bottom w:val="single" w:sz="4" w:space="0" w:color="000000"/>
            </w:tcBorders>
          </w:tcPr>
          <w:p>
            <w:pPr>
              <w:pStyle w:val="TableParagraph"/>
              <w:spacing w:before="16"/>
              <w:ind w:left="1157"/>
              <w:jc w:val="left"/>
              <w:rPr>
                <w:sz w:val="20"/>
              </w:rPr>
            </w:pPr>
            <w:r>
              <w:rPr>
                <w:sz w:val="20"/>
              </w:rPr>
              <w:t>Associate</w:t>
            </w:r>
            <w:r>
              <w:rPr>
                <w:spacing w:val="-7"/>
                <w:sz w:val="20"/>
              </w:rPr>
              <w:t> </w:t>
            </w:r>
            <w:r>
              <w:rPr>
                <w:spacing w:val="-2"/>
                <w:sz w:val="20"/>
              </w:rPr>
              <w:t>Investigator</w:t>
            </w:r>
          </w:p>
        </w:tc>
        <w:tc>
          <w:tcPr>
            <w:tcW w:w="2248" w:type="dxa"/>
            <w:tcBorders>
              <w:top w:val="single" w:sz="4" w:space="0" w:color="000000"/>
              <w:bottom w:val="single" w:sz="4" w:space="0" w:color="000000"/>
            </w:tcBorders>
          </w:tcPr>
          <w:p>
            <w:pPr>
              <w:pStyle w:val="TableParagraph"/>
              <w:spacing w:before="16"/>
              <w:ind w:left="1344"/>
              <w:jc w:val="left"/>
              <w:rPr>
                <w:sz w:val="20"/>
              </w:rPr>
            </w:pPr>
            <w:r>
              <w:rPr>
                <w:spacing w:val="-2"/>
                <w:sz w:val="20"/>
              </w:rPr>
              <w:t>P-</w:t>
            </w:r>
            <w:r>
              <w:rPr>
                <w:spacing w:val="-10"/>
                <w:sz w:val="20"/>
              </w:rPr>
              <w:t>2</w:t>
            </w:r>
          </w:p>
        </w:tc>
        <w:tc>
          <w:tcPr>
            <w:tcW w:w="2202" w:type="dxa"/>
            <w:tcBorders>
              <w:top w:val="single" w:sz="4" w:space="0" w:color="000000"/>
              <w:bottom w:val="single" w:sz="4" w:space="0" w:color="000000"/>
            </w:tcBorders>
          </w:tcPr>
          <w:p>
            <w:pPr>
              <w:pStyle w:val="TableParagraph"/>
              <w:spacing w:before="16"/>
              <w:ind w:right="1164"/>
              <w:rPr>
                <w:sz w:val="20"/>
              </w:rPr>
            </w:pPr>
            <w:r>
              <w:rPr>
                <w:w w:val="100"/>
                <w:sz w:val="20"/>
              </w:rPr>
              <w:t>2</w:t>
            </w:r>
          </w:p>
        </w:tc>
      </w:tr>
      <w:tr>
        <w:trPr>
          <w:trHeight w:val="268" w:hRule="atLeast"/>
        </w:trPr>
        <w:tc>
          <w:tcPr>
            <w:tcW w:w="5249" w:type="dxa"/>
            <w:tcBorders>
              <w:top w:val="single" w:sz="4" w:space="0" w:color="000000"/>
              <w:bottom w:val="single" w:sz="4" w:space="0" w:color="000000"/>
            </w:tcBorders>
          </w:tcPr>
          <w:p>
            <w:pPr>
              <w:pStyle w:val="TableParagraph"/>
              <w:jc w:val="left"/>
              <w:rPr>
                <w:sz w:val="18"/>
              </w:rPr>
            </w:pPr>
          </w:p>
        </w:tc>
        <w:tc>
          <w:tcPr>
            <w:tcW w:w="2248" w:type="dxa"/>
            <w:tcBorders>
              <w:top w:val="single" w:sz="4" w:space="0" w:color="000000"/>
              <w:bottom w:val="single" w:sz="4" w:space="0" w:color="000000"/>
            </w:tcBorders>
          </w:tcPr>
          <w:p>
            <w:pPr>
              <w:pStyle w:val="TableParagraph"/>
              <w:jc w:val="left"/>
              <w:rPr>
                <w:sz w:val="18"/>
              </w:rPr>
            </w:pPr>
          </w:p>
        </w:tc>
        <w:tc>
          <w:tcPr>
            <w:tcW w:w="2202" w:type="dxa"/>
            <w:tcBorders>
              <w:top w:val="single" w:sz="4" w:space="0" w:color="000000"/>
              <w:bottom w:val="single" w:sz="4" w:space="0" w:color="000000"/>
            </w:tcBorders>
          </w:tcPr>
          <w:p>
            <w:pPr>
              <w:pStyle w:val="TableParagraph"/>
              <w:spacing w:before="16"/>
              <w:ind w:right="1164"/>
              <w:rPr>
                <w:b/>
                <w:sz w:val="20"/>
              </w:rPr>
            </w:pPr>
            <w:r>
              <w:rPr>
                <w:b/>
                <w:w w:val="100"/>
                <w:sz w:val="20"/>
              </w:rPr>
              <w:t>2</w:t>
            </w:r>
          </w:p>
        </w:tc>
      </w:tr>
      <w:tr>
        <w:trPr>
          <w:trHeight w:val="273" w:hRule="atLeast"/>
        </w:trPr>
        <w:tc>
          <w:tcPr>
            <w:tcW w:w="5249" w:type="dxa"/>
            <w:tcBorders>
              <w:top w:val="single" w:sz="4" w:space="0" w:color="000000"/>
              <w:bottom w:val="single" w:sz="4" w:space="0" w:color="000000"/>
            </w:tcBorders>
          </w:tcPr>
          <w:p>
            <w:pPr>
              <w:pStyle w:val="TableParagraph"/>
              <w:spacing w:before="16"/>
              <w:ind w:left="1157"/>
              <w:jc w:val="left"/>
              <w:rPr>
                <w:b/>
                <w:sz w:val="20"/>
              </w:rPr>
            </w:pPr>
            <w:r>
              <w:rPr>
                <w:b/>
                <w:spacing w:val="-2"/>
                <w:sz w:val="20"/>
              </w:rPr>
              <w:t>Total</w:t>
            </w:r>
          </w:p>
        </w:tc>
        <w:tc>
          <w:tcPr>
            <w:tcW w:w="2248" w:type="dxa"/>
            <w:tcBorders>
              <w:top w:val="single" w:sz="4" w:space="0" w:color="000000"/>
              <w:bottom w:val="single" w:sz="4" w:space="0" w:color="000000"/>
            </w:tcBorders>
          </w:tcPr>
          <w:p>
            <w:pPr>
              <w:pStyle w:val="TableParagraph"/>
              <w:jc w:val="left"/>
              <w:rPr>
                <w:sz w:val="18"/>
              </w:rPr>
            </w:pPr>
          </w:p>
        </w:tc>
        <w:tc>
          <w:tcPr>
            <w:tcW w:w="2202" w:type="dxa"/>
            <w:tcBorders>
              <w:top w:val="single" w:sz="4" w:space="0" w:color="000000"/>
              <w:bottom w:val="single" w:sz="4" w:space="0" w:color="000000"/>
            </w:tcBorders>
          </w:tcPr>
          <w:p>
            <w:pPr>
              <w:pStyle w:val="TableParagraph"/>
              <w:spacing w:before="16"/>
              <w:ind w:right="1164"/>
              <w:rPr>
                <w:b/>
                <w:sz w:val="20"/>
              </w:rPr>
            </w:pPr>
            <w:r>
              <w:rPr>
                <w:b/>
                <w:spacing w:val="-5"/>
                <w:sz w:val="20"/>
              </w:rPr>
              <w:t>42</w:t>
            </w:r>
          </w:p>
        </w:tc>
      </w:tr>
    </w:tbl>
    <w:p>
      <w:pPr>
        <w:pStyle w:val="BodyText"/>
        <w:spacing w:before="8"/>
        <w:rPr>
          <w:sz w:val="12"/>
        </w:rPr>
      </w:pPr>
      <w:r>
        <w:rPr/>
        <w:pict>
          <v:shape style="position:absolute;margin-left:113.090004pt;margin-top:63.859947pt;width:368.8pt;height:.5pt;mso-position-horizontal-relative:page;mso-position-vertical-relative:page;z-index:-43822592" id="docshape114" coordorigin="2262,1277" coordsize="7376,10" path="m8615,1277l8605,1277,7707,1277,7698,1277,2262,1277,2262,1287,7698,1287,7707,1287,8605,1287,8615,1287,8615,1277xm9637,1277l8615,1277,8615,1287,9637,1287,9637,1277xe" filled="true" fillcolor="#000000" stroked="false">
            <v:path arrowok="t"/>
            <v:fill type="solid"/>
            <w10:wrap type="none"/>
          </v:shape>
        </w:pict>
      </w:r>
    </w:p>
    <w:p>
      <w:pPr>
        <w:pStyle w:val="ListParagraph"/>
        <w:numPr>
          <w:ilvl w:val="0"/>
          <w:numId w:val="4"/>
        </w:numPr>
        <w:tabs>
          <w:tab w:pos="2967" w:val="left" w:leader="none"/>
        </w:tabs>
        <w:spacing w:line="240" w:lineRule="auto" w:before="94" w:after="0"/>
        <w:ind w:left="2246" w:right="2238" w:firstLine="0"/>
        <w:jc w:val="both"/>
        <w:rPr>
          <w:sz w:val="20"/>
        </w:rPr>
      </w:pPr>
      <w:r>
        <w:rPr>
          <w:sz w:val="20"/>
        </w:rPr>
        <w:t>The immediate office of the Prosecutor has a leading role in supporting the Prosecutor</w:t>
      </w:r>
      <w:r>
        <w:rPr>
          <w:spacing w:val="-4"/>
          <w:sz w:val="20"/>
        </w:rPr>
        <w:t> </w:t>
      </w:r>
      <w:r>
        <w:rPr>
          <w:sz w:val="20"/>
        </w:rPr>
        <w:t>in</w:t>
      </w:r>
      <w:r>
        <w:rPr>
          <w:spacing w:val="-4"/>
          <w:sz w:val="20"/>
        </w:rPr>
        <w:t> </w:t>
      </w:r>
      <w:r>
        <w:rPr>
          <w:sz w:val="20"/>
        </w:rPr>
        <w:t>developing</w:t>
      </w:r>
      <w:r>
        <w:rPr>
          <w:spacing w:val="-4"/>
          <w:sz w:val="20"/>
        </w:rPr>
        <w:t> </w:t>
      </w:r>
      <w:r>
        <w:rPr>
          <w:sz w:val="20"/>
        </w:rPr>
        <w:t>the</w:t>
      </w:r>
      <w:r>
        <w:rPr>
          <w:spacing w:val="-2"/>
          <w:sz w:val="20"/>
        </w:rPr>
        <w:t> </w:t>
      </w:r>
      <w:r>
        <w:rPr>
          <w:sz w:val="20"/>
        </w:rPr>
        <w:t>strategy</w:t>
      </w:r>
      <w:r>
        <w:rPr>
          <w:spacing w:val="-4"/>
          <w:sz w:val="20"/>
        </w:rPr>
        <w:t> </w:t>
      </w:r>
      <w:r>
        <w:rPr>
          <w:sz w:val="20"/>
        </w:rPr>
        <w:t>for</w:t>
      </w:r>
      <w:r>
        <w:rPr>
          <w:spacing w:val="-4"/>
          <w:sz w:val="20"/>
        </w:rPr>
        <w:t> </w:t>
      </w:r>
      <w:r>
        <w:rPr>
          <w:sz w:val="20"/>
        </w:rPr>
        <w:t>the</w:t>
      </w:r>
      <w:r>
        <w:rPr>
          <w:spacing w:val="-2"/>
          <w:sz w:val="20"/>
        </w:rPr>
        <w:t> </w:t>
      </w:r>
      <w:r>
        <w:rPr>
          <w:sz w:val="20"/>
        </w:rPr>
        <w:t>Office</w:t>
      </w:r>
      <w:r>
        <w:rPr>
          <w:spacing w:val="-2"/>
          <w:sz w:val="20"/>
        </w:rPr>
        <w:t> </w:t>
      </w:r>
      <w:r>
        <w:rPr>
          <w:sz w:val="20"/>
        </w:rPr>
        <w:t>and</w:t>
      </w:r>
      <w:r>
        <w:rPr>
          <w:spacing w:val="-4"/>
          <w:sz w:val="20"/>
        </w:rPr>
        <w:t> </w:t>
      </w:r>
      <w:r>
        <w:rPr>
          <w:sz w:val="20"/>
        </w:rPr>
        <w:t>coordinating</w:t>
      </w:r>
      <w:r>
        <w:rPr>
          <w:spacing w:val="-2"/>
          <w:sz w:val="20"/>
        </w:rPr>
        <w:t> </w:t>
      </w:r>
      <w:r>
        <w:rPr>
          <w:sz w:val="20"/>
        </w:rPr>
        <w:t>its</w:t>
      </w:r>
      <w:r>
        <w:rPr>
          <w:spacing w:val="-5"/>
          <w:sz w:val="20"/>
        </w:rPr>
        <w:t> </w:t>
      </w:r>
      <w:r>
        <w:rPr>
          <w:sz w:val="20"/>
        </w:rPr>
        <w:t>implementation. As the activities of the Office have increased, the need for enhanced coordination capacity has also arisen, as well as additional needs with respect to external engagement by IOP with States, international and regional organisations and civil society actors. The IOP is also steering the implementation of the new Strategic Plan, as well as that of the relevant recommendations</w:t>
      </w:r>
      <w:r>
        <w:rPr>
          <w:spacing w:val="-5"/>
          <w:sz w:val="20"/>
        </w:rPr>
        <w:t> </w:t>
      </w:r>
      <w:r>
        <w:rPr>
          <w:sz w:val="20"/>
        </w:rPr>
        <w:t>from</w:t>
      </w:r>
      <w:r>
        <w:rPr>
          <w:spacing w:val="-7"/>
          <w:sz w:val="20"/>
        </w:rPr>
        <w:t> </w:t>
      </w:r>
      <w:r>
        <w:rPr>
          <w:sz w:val="20"/>
        </w:rPr>
        <w:t>the</w:t>
      </w:r>
      <w:r>
        <w:rPr>
          <w:spacing w:val="-2"/>
          <w:sz w:val="20"/>
        </w:rPr>
        <w:t> </w:t>
      </w:r>
      <w:r>
        <w:rPr>
          <w:sz w:val="20"/>
        </w:rPr>
        <w:t>Independent</w:t>
      </w:r>
      <w:r>
        <w:rPr>
          <w:spacing w:val="-7"/>
          <w:sz w:val="20"/>
        </w:rPr>
        <w:t> </w:t>
      </w:r>
      <w:r>
        <w:rPr>
          <w:sz w:val="20"/>
        </w:rPr>
        <w:t>Review</w:t>
      </w:r>
      <w:r>
        <w:rPr>
          <w:spacing w:val="-10"/>
          <w:sz w:val="20"/>
        </w:rPr>
        <w:t> </w:t>
      </w:r>
      <w:r>
        <w:rPr>
          <w:sz w:val="20"/>
        </w:rPr>
        <w:t>Experts</w:t>
      </w:r>
      <w:r>
        <w:rPr>
          <w:spacing w:val="-5"/>
          <w:sz w:val="20"/>
        </w:rPr>
        <w:t> </w:t>
      </w:r>
      <w:r>
        <w:rPr>
          <w:sz w:val="20"/>
        </w:rPr>
        <w:t>that</w:t>
      </w:r>
      <w:r>
        <w:rPr>
          <w:spacing w:val="-12"/>
          <w:sz w:val="20"/>
        </w:rPr>
        <w:t> </w:t>
      </w:r>
      <w:r>
        <w:rPr>
          <w:sz w:val="20"/>
        </w:rPr>
        <w:t>affect</w:t>
      </w:r>
      <w:r>
        <w:rPr>
          <w:spacing w:val="-7"/>
          <w:sz w:val="20"/>
        </w:rPr>
        <w:t> </w:t>
      </w:r>
      <w:r>
        <w:rPr>
          <w:sz w:val="20"/>
        </w:rPr>
        <w:t>the</w:t>
      </w:r>
      <w:r>
        <w:rPr>
          <w:spacing w:val="-2"/>
          <w:sz w:val="20"/>
        </w:rPr>
        <w:t> </w:t>
      </w:r>
      <w:r>
        <w:rPr>
          <w:sz w:val="20"/>
        </w:rPr>
        <w:t>Office</w:t>
      </w:r>
      <w:r>
        <w:rPr>
          <w:spacing w:val="-2"/>
          <w:sz w:val="20"/>
        </w:rPr>
        <w:t> </w:t>
      </w:r>
      <w:r>
        <w:rPr>
          <w:sz w:val="20"/>
        </w:rPr>
        <w:t>and</w:t>
      </w:r>
      <w:r>
        <w:rPr>
          <w:spacing w:val="-8"/>
          <w:sz w:val="20"/>
        </w:rPr>
        <w:t> </w:t>
      </w:r>
      <w:r>
        <w:rPr>
          <w:sz w:val="20"/>
        </w:rPr>
        <w:t>the</w:t>
      </w:r>
      <w:r>
        <w:rPr>
          <w:spacing w:val="-7"/>
          <w:sz w:val="20"/>
        </w:rPr>
        <w:t> </w:t>
      </w:r>
      <w:r>
        <w:rPr>
          <w:sz w:val="20"/>
        </w:rPr>
        <w:t>Court, adding to existing workload. In addition, the Immediate Office - through its different units and</w:t>
      </w:r>
      <w:r>
        <w:rPr>
          <w:spacing w:val="-13"/>
          <w:sz w:val="20"/>
        </w:rPr>
        <w:t> </w:t>
      </w:r>
      <w:r>
        <w:rPr>
          <w:sz w:val="20"/>
        </w:rPr>
        <w:t>sections</w:t>
      </w:r>
      <w:r>
        <w:rPr>
          <w:spacing w:val="-12"/>
          <w:sz w:val="20"/>
        </w:rPr>
        <w:t> </w:t>
      </w:r>
      <w:r>
        <w:rPr>
          <w:sz w:val="20"/>
        </w:rPr>
        <w:t>-</w:t>
      </w:r>
      <w:r>
        <w:rPr>
          <w:spacing w:val="-13"/>
          <w:sz w:val="20"/>
        </w:rPr>
        <w:t> </w:t>
      </w:r>
      <w:r>
        <w:rPr>
          <w:sz w:val="20"/>
        </w:rPr>
        <w:t>is</w:t>
      </w:r>
      <w:r>
        <w:rPr>
          <w:spacing w:val="-12"/>
          <w:sz w:val="20"/>
        </w:rPr>
        <w:t> </w:t>
      </w:r>
      <w:r>
        <w:rPr>
          <w:sz w:val="20"/>
        </w:rPr>
        <w:t>actively</w:t>
      </w:r>
      <w:r>
        <w:rPr>
          <w:spacing w:val="-13"/>
          <w:sz w:val="20"/>
        </w:rPr>
        <w:t> </w:t>
      </w:r>
      <w:r>
        <w:rPr>
          <w:sz w:val="20"/>
        </w:rPr>
        <w:t>engaged</w:t>
      </w:r>
      <w:r>
        <w:rPr>
          <w:spacing w:val="-12"/>
          <w:sz w:val="20"/>
        </w:rPr>
        <w:t> </w:t>
      </w:r>
      <w:r>
        <w:rPr>
          <w:sz w:val="20"/>
        </w:rPr>
        <w:t>with</w:t>
      </w:r>
      <w:r>
        <w:rPr>
          <w:spacing w:val="-13"/>
          <w:sz w:val="20"/>
        </w:rPr>
        <w:t> </w:t>
      </w:r>
      <w:r>
        <w:rPr>
          <w:sz w:val="20"/>
        </w:rPr>
        <w:t>the</w:t>
      </w:r>
      <w:r>
        <w:rPr>
          <w:spacing w:val="-12"/>
          <w:sz w:val="20"/>
        </w:rPr>
        <w:t> </w:t>
      </w:r>
      <w:r>
        <w:rPr>
          <w:sz w:val="20"/>
        </w:rPr>
        <w:t>other</w:t>
      </w:r>
      <w:r>
        <w:rPr>
          <w:spacing w:val="-13"/>
          <w:sz w:val="20"/>
        </w:rPr>
        <w:t> </w:t>
      </w:r>
      <w:r>
        <w:rPr>
          <w:sz w:val="20"/>
        </w:rPr>
        <w:t>organs</w:t>
      </w:r>
      <w:r>
        <w:rPr>
          <w:spacing w:val="-12"/>
          <w:sz w:val="20"/>
        </w:rPr>
        <w:t> </w:t>
      </w:r>
      <w:r>
        <w:rPr>
          <w:sz w:val="20"/>
        </w:rPr>
        <w:t>in</w:t>
      </w:r>
      <w:r>
        <w:rPr>
          <w:spacing w:val="-13"/>
          <w:sz w:val="20"/>
        </w:rPr>
        <w:t> </w:t>
      </w:r>
      <w:r>
        <w:rPr>
          <w:sz w:val="20"/>
        </w:rPr>
        <w:t>the</w:t>
      </w:r>
      <w:r>
        <w:rPr>
          <w:spacing w:val="-12"/>
          <w:sz w:val="20"/>
        </w:rPr>
        <w:t> </w:t>
      </w:r>
      <w:r>
        <w:rPr>
          <w:sz w:val="20"/>
        </w:rPr>
        <w:t>improvements</w:t>
      </w:r>
      <w:r>
        <w:rPr>
          <w:spacing w:val="-13"/>
          <w:sz w:val="20"/>
        </w:rPr>
        <w:t> </w:t>
      </w:r>
      <w:r>
        <w:rPr>
          <w:sz w:val="20"/>
        </w:rPr>
        <w:t>and</w:t>
      </w:r>
      <w:r>
        <w:rPr>
          <w:spacing w:val="-12"/>
          <w:sz w:val="20"/>
        </w:rPr>
        <w:t> </w:t>
      </w:r>
      <w:r>
        <w:rPr>
          <w:sz w:val="20"/>
        </w:rPr>
        <w:t>amendments to</w:t>
      </w:r>
      <w:r>
        <w:rPr>
          <w:spacing w:val="-4"/>
          <w:sz w:val="20"/>
        </w:rPr>
        <w:t> </w:t>
      </w:r>
      <w:r>
        <w:rPr>
          <w:sz w:val="20"/>
        </w:rPr>
        <w:t>the</w:t>
      </w:r>
      <w:r>
        <w:rPr>
          <w:spacing w:val="-2"/>
          <w:sz w:val="20"/>
        </w:rPr>
        <w:t> </w:t>
      </w:r>
      <w:r>
        <w:rPr>
          <w:sz w:val="20"/>
        </w:rPr>
        <w:t>Court’s</w:t>
      </w:r>
      <w:r>
        <w:rPr>
          <w:spacing w:val="-5"/>
          <w:sz w:val="20"/>
        </w:rPr>
        <w:t> </w:t>
      </w:r>
      <w:r>
        <w:rPr>
          <w:sz w:val="20"/>
        </w:rPr>
        <w:t>regulatory</w:t>
      </w:r>
      <w:r>
        <w:rPr>
          <w:spacing w:val="-4"/>
          <w:sz w:val="20"/>
        </w:rPr>
        <w:t> </w:t>
      </w:r>
      <w:r>
        <w:rPr>
          <w:sz w:val="20"/>
        </w:rPr>
        <w:t>framework</w:t>
      </w:r>
      <w:r>
        <w:rPr>
          <w:spacing w:val="-8"/>
          <w:sz w:val="20"/>
        </w:rPr>
        <w:t> </w:t>
      </w:r>
      <w:r>
        <w:rPr>
          <w:sz w:val="20"/>
        </w:rPr>
        <w:t>to</w:t>
      </w:r>
      <w:r>
        <w:rPr>
          <w:spacing w:val="-4"/>
          <w:sz w:val="20"/>
        </w:rPr>
        <w:t> </w:t>
      </w:r>
      <w:r>
        <w:rPr>
          <w:sz w:val="20"/>
        </w:rPr>
        <w:t>foster</w:t>
      </w:r>
      <w:r>
        <w:rPr>
          <w:spacing w:val="-8"/>
          <w:sz w:val="20"/>
        </w:rPr>
        <w:t> </w:t>
      </w:r>
      <w:r>
        <w:rPr>
          <w:sz w:val="20"/>
        </w:rPr>
        <w:t>measures</w:t>
      </w:r>
      <w:r>
        <w:rPr>
          <w:spacing w:val="-10"/>
          <w:sz w:val="20"/>
        </w:rPr>
        <w:t> </w:t>
      </w:r>
      <w:r>
        <w:rPr>
          <w:sz w:val="20"/>
        </w:rPr>
        <w:t>to</w:t>
      </w:r>
      <w:r>
        <w:rPr>
          <w:spacing w:val="-8"/>
          <w:sz w:val="20"/>
        </w:rPr>
        <w:t> </w:t>
      </w:r>
      <w:r>
        <w:rPr>
          <w:sz w:val="20"/>
        </w:rPr>
        <w:t>achieve</w:t>
      </w:r>
      <w:r>
        <w:rPr>
          <w:spacing w:val="-2"/>
          <w:sz w:val="20"/>
        </w:rPr>
        <w:t> </w:t>
      </w:r>
      <w:r>
        <w:rPr>
          <w:sz w:val="20"/>
        </w:rPr>
        <w:t>a</w:t>
      </w:r>
      <w:r>
        <w:rPr>
          <w:spacing w:val="-7"/>
          <w:sz w:val="20"/>
        </w:rPr>
        <w:t> </w:t>
      </w:r>
      <w:r>
        <w:rPr>
          <w:sz w:val="20"/>
        </w:rPr>
        <w:t>more</w:t>
      </w:r>
      <w:r>
        <w:rPr>
          <w:spacing w:val="-2"/>
          <w:sz w:val="20"/>
        </w:rPr>
        <w:t> </w:t>
      </w:r>
      <w:r>
        <w:rPr>
          <w:sz w:val="20"/>
        </w:rPr>
        <w:t>flexible</w:t>
      </w:r>
      <w:r>
        <w:rPr>
          <w:spacing w:val="-2"/>
          <w:sz w:val="20"/>
        </w:rPr>
        <w:t> </w:t>
      </w:r>
      <w:r>
        <w:rPr>
          <w:sz w:val="20"/>
        </w:rPr>
        <w:t>workforce and an increased direct presence in the field.</w:t>
      </w:r>
    </w:p>
    <w:p>
      <w:pPr>
        <w:pStyle w:val="ListParagraph"/>
        <w:numPr>
          <w:ilvl w:val="0"/>
          <w:numId w:val="4"/>
        </w:numPr>
        <w:tabs>
          <w:tab w:pos="2967" w:val="left" w:leader="none"/>
        </w:tabs>
        <w:spacing w:line="240" w:lineRule="auto" w:before="125" w:after="0"/>
        <w:ind w:left="2246" w:right="2240" w:firstLine="0"/>
        <w:jc w:val="both"/>
        <w:rPr>
          <w:sz w:val="20"/>
        </w:rPr>
      </w:pPr>
      <w:r>
        <w:rPr>
          <w:sz w:val="20"/>
        </w:rPr>
        <w:t>Reflecting these increased demands, the Prosecutor requires enhanced support to strengthen the legal, policy and organizational expertise and advice available to him in his immediate office, the position of Special Assistant (P-3) has therefore been retained in the Immediate Office of the Prosecutor in order to provide additional assistance in the preparation and implementation policy decisions on behalf of the Prosecutor, as well as ensuring effective liaison with the other components of the OTP to maintain efficient workflows across the Office. This Special Assistant (P-3) GTA position has been approved in the budget of the Office since 2017 and is proposed for conversion into an established position in compliance with the applicable Administrative Instruction.</w:t>
      </w:r>
    </w:p>
    <w:p>
      <w:pPr>
        <w:pStyle w:val="ListParagraph"/>
        <w:numPr>
          <w:ilvl w:val="0"/>
          <w:numId w:val="4"/>
        </w:numPr>
        <w:tabs>
          <w:tab w:pos="2967" w:val="left" w:leader="none"/>
        </w:tabs>
        <w:spacing w:line="240" w:lineRule="auto" w:before="119" w:after="0"/>
        <w:ind w:left="2246" w:right="2235" w:firstLine="0"/>
        <w:jc w:val="both"/>
        <w:rPr>
          <w:sz w:val="20"/>
        </w:rPr>
      </w:pPr>
      <w:r>
        <w:rPr>
          <w:sz w:val="20"/>
        </w:rPr>
        <w:t>In addition, it is proposed to establish a new position of Special Assistant (P-4) in order</w:t>
      </w:r>
      <w:r>
        <w:rPr>
          <w:spacing w:val="-7"/>
          <w:sz w:val="20"/>
        </w:rPr>
        <w:t> </w:t>
      </w:r>
      <w:r>
        <w:rPr>
          <w:sz w:val="20"/>
        </w:rPr>
        <w:t>to</w:t>
      </w:r>
      <w:r>
        <w:rPr>
          <w:spacing w:val="-7"/>
          <w:sz w:val="20"/>
        </w:rPr>
        <w:t> </w:t>
      </w:r>
      <w:r>
        <w:rPr>
          <w:sz w:val="20"/>
        </w:rPr>
        <w:t>strengthen</w:t>
      </w:r>
      <w:r>
        <w:rPr>
          <w:spacing w:val="-7"/>
          <w:sz w:val="20"/>
        </w:rPr>
        <w:t> </w:t>
      </w:r>
      <w:r>
        <w:rPr>
          <w:sz w:val="20"/>
        </w:rPr>
        <w:t>the</w:t>
      </w:r>
      <w:r>
        <w:rPr>
          <w:spacing w:val="-1"/>
          <w:sz w:val="20"/>
        </w:rPr>
        <w:t> </w:t>
      </w:r>
      <w:r>
        <w:rPr>
          <w:sz w:val="20"/>
        </w:rPr>
        <w:t>provision</w:t>
      </w:r>
      <w:r>
        <w:rPr>
          <w:spacing w:val="-7"/>
          <w:sz w:val="20"/>
        </w:rPr>
        <w:t> </w:t>
      </w:r>
      <w:r>
        <w:rPr>
          <w:sz w:val="20"/>
        </w:rPr>
        <w:t>of</w:t>
      </w:r>
      <w:r>
        <w:rPr>
          <w:spacing w:val="-3"/>
          <w:sz w:val="20"/>
        </w:rPr>
        <w:t> </w:t>
      </w:r>
      <w:r>
        <w:rPr>
          <w:sz w:val="20"/>
        </w:rPr>
        <w:t>strategic</w:t>
      </w:r>
      <w:r>
        <w:rPr>
          <w:spacing w:val="-6"/>
          <w:sz w:val="20"/>
        </w:rPr>
        <w:t> </w:t>
      </w:r>
      <w:r>
        <w:rPr>
          <w:sz w:val="20"/>
        </w:rPr>
        <w:t>advice</w:t>
      </w:r>
      <w:r>
        <w:rPr>
          <w:spacing w:val="-6"/>
          <w:sz w:val="20"/>
        </w:rPr>
        <w:t> </w:t>
      </w:r>
      <w:r>
        <w:rPr>
          <w:sz w:val="20"/>
        </w:rPr>
        <w:t>to</w:t>
      </w:r>
      <w:r>
        <w:rPr>
          <w:spacing w:val="-7"/>
          <w:sz w:val="20"/>
        </w:rPr>
        <w:t> </w:t>
      </w:r>
      <w:r>
        <w:rPr>
          <w:sz w:val="20"/>
        </w:rPr>
        <w:t>the</w:t>
      </w:r>
      <w:r>
        <w:rPr>
          <w:spacing w:val="-6"/>
          <w:sz w:val="20"/>
        </w:rPr>
        <w:t> </w:t>
      </w:r>
      <w:r>
        <w:rPr>
          <w:sz w:val="20"/>
        </w:rPr>
        <w:t>Prosecutor</w:t>
      </w:r>
      <w:r>
        <w:rPr>
          <w:spacing w:val="-7"/>
          <w:sz w:val="20"/>
        </w:rPr>
        <w:t> </w:t>
      </w:r>
      <w:r>
        <w:rPr>
          <w:sz w:val="20"/>
        </w:rPr>
        <w:t>and</w:t>
      </w:r>
      <w:r>
        <w:rPr>
          <w:spacing w:val="-7"/>
          <w:sz w:val="20"/>
        </w:rPr>
        <w:t> </w:t>
      </w:r>
      <w:r>
        <w:rPr>
          <w:sz w:val="20"/>
        </w:rPr>
        <w:t>enhance</w:t>
      </w:r>
      <w:r>
        <w:rPr>
          <w:spacing w:val="-6"/>
          <w:sz w:val="20"/>
        </w:rPr>
        <w:t> </w:t>
      </w:r>
      <w:r>
        <w:rPr>
          <w:sz w:val="20"/>
        </w:rPr>
        <w:t>the</w:t>
      </w:r>
      <w:r>
        <w:rPr>
          <w:spacing w:val="-6"/>
          <w:sz w:val="20"/>
        </w:rPr>
        <w:t> </w:t>
      </w:r>
      <w:r>
        <w:rPr>
          <w:sz w:val="20"/>
        </w:rPr>
        <w:t>ability of IOP to engage at a senior level with relevant external counterparts. The establishment of this</w:t>
      </w:r>
      <w:r>
        <w:rPr>
          <w:spacing w:val="-4"/>
          <w:sz w:val="20"/>
        </w:rPr>
        <w:t> </w:t>
      </w:r>
      <w:r>
        <w:rPr>
          <w:sz w:val="20"/>
        </w:rPr>
        <w:t>position</w:t>
      </w:r>
      <w:r>
        <w:rPr>
          <w:spacing w:val="-7"/>
          <w:sz w:val="20"/>
        </w:rPr>
        <w:t> </w:t>
      </w:r>
      <w:r>
        <w:rPr>
          <w:sz w:val="20"/>
        </w:rPr>
        <w:t>is</w:t>
      </w:r>
      <w:r>
        <w:rPr>
          <w:spacing w:val="-4"/>
          <w:sz w:val="20"/>
        </w:rPr>
        <w:t> </w:t>
      </w:r>
      <w:r>
        <w:rPr>
          <w:sz w:val="20"/>
        </w:rPr>
        <w:t>viewed</w:t>
      </w:r>
      <w:r>
        <w:rPr>
          <w:spacing w:val="-7"/>
          <w:sz w:val="20"/>
        </w:rPr>
        <w:t> </w:t>
      </w:r>
      <w:r>
        <w:rPr>
          <w:sz w:val="20"/>
        </w:rPr>
        <w:t>as</w:t>
      </w:r>
      <w:r>
        <w:rPr>
          <w:spacing w:val="-4"/>
          <w:sz w:val="20"/>
        </w:rPr>
        <w:t> </w:t>
      </w:r>
      <w:r>
        <w:rPr>
          <w:sz w:val="20"/>
        </w:rPr>
        <w:t>crucial</w:t>
      </w:r>
      <w:r>
        <w:rPr>
          <w:spacing w:val="-1"/>
          <w:sz w:val="20"/>
        </w:rPr>
        <w:t> </w:t>
      </w:r>
      <w:r>
        <w:rPr>
          <w:sz w:val="20"/>
        </w:rPr>
        <w:t>in</w:t>
      </w:r>
      <w:r>
        <w:rPr>
          <w:spacing w:val="-7"/>
          <w:sz w:val="20"/>
        </w:rPr>
        <w:t> </w:t>
      </w:r>
      <w:r>
        <w:rPr>
          <w:sz w:val="20"/>
        </w:rPr>
        <w:t>ensuring</w:t>
      </w:r>
      <w:r>
        <w:rPr>
          <w:spacing w:val="-3"/>
          <w:sz w:val="20"/>
        </w:rPr>
        <w:t> </w:t>
      </w:r>
      <w:r>
        <w:rPr>
          <w:sz w:val="20"/>
        </w:rPr>
        <w:t>the</w:t>
      </w:r>
      <w:r>
        <w:rPr>
          <w:spacing w:val="-1"/>
          <w:sz w:val="20"/>
        </w:rPr>
        <w:t> </w:t>
      </w:r>
      <w:r>
        <w:rPr>
          <w:sz w:val="20"/>
        </w:rPr>
        <w:t>Office</w:t>
      </w:r>
      <w:r>
        <w:rPr>
          <w:spacing w:val="-6"/>
          <w:sz w:val="20"/>
        </w:rPr>
        <w:t> </w:t>
      </w:r>
      <w:r>
        <w:rPr>
          <w:sz w:val="20"/>
        </w:rPr>
        <w:t>is</w:t>
      </w:r>
      <w:r>
        <w:rPr>
          <w:spacing w:val="-4"/>
          <w:sz w:val="20"/>
        </w:rPr>
        <w:t> </w:t>
      </w:r>
      <w:r>
        <w:rPr>
          <w:sz w:val="20"/>
        </w:rPr>
        <w:t>able</w:t>
      </w:r>
      <w:r>
        <w:rPr>
          <w:spacing w:val="-1"/>
          <w:sz w:val="20"/>
        </w:rPr>
        <w:t> </w:t>
      </w:r>
      <w:r>
        <w:rPr>
          <w:sz w:val="20"/>
        </w:rPr>
        <w:t>to</w:t>
      </w:r>
      <w:r>
        <w:rPr>
          <w:spacing w:val="-3"/>
          <w:sz w:val="20"/>
        </w:rPr>
        <w:t> </w:t>
      </w:r>
      <w:r>
        <w:rPr>
          <w:sz w:val="20"/>
        </w:rPr>
        <w:t>address increased</w:t>
      </w:r>
      <w:r>
        <w:rPr>
          <w:spacing w:val="-3"/>
          <w:sz w:val="20"/>
        </w:rPr>
        <w:t> </w:t>
      </w:r>
      <w:r>
        <w:rPr>
          <w:sz w:val="20"/>
        </w:rPr>
        <w:t>demands with respect to cooperation and coordination with partner entities.</w:t>
      </w:r>
    </w:p>
    <w:p>
      <w:pPr>
        <w:pStyle w:val="ListParagraph"/>
        <w:numPr>
          <w:ilvl w:val="0"/>
          <w:numId w:val="4"/>
        </w:numPr>
        <w:tabs>
          <w:tab w:pos="2967" w:val="left" w:leader="none"/>
        </w:tabs>
        <w:spacing w:line="240" w:lineRule="auto" w:before="118" w:after="0"/>
        <w:ind w:left="2246" w:right="2237" w:firstLine="0"/>
        <w:jc w:val="both"/>
        <w:rPr>
          <w:sz w:val="20"/>
        </w:rPr>
      </w:pPr>
      <w:r>
        <w:rPr>
          <w:sz w:val="20"/>
        </w:rPr>
        <w:t>The second position requested for conversion is Associate Administration Officer (P-2).</w:t>
      </w:r>
      <w:r>
        <w:rPr>
          <w:spacing w:val="-7"/>
          <w:sz w:val="20"/>
        </w:rPr>
        <w:t> </w:t>
      </w:r>
      <w:r>
        <w:rPr>
          <w:sz w:val="20"/>
        </w:rPr>
        <w:t>The</w:t>
      </w:r>
      <w:r>
        <w:rPr>
          <w:spacing w:val="-8"/>
          <w:sz w:val="20"/>
        </w:rPr>
        <w:t> </w:t>
      </w:r>
      <w:r>
        <w:rPr>
          <w:sz w:val="20"/>
        </w:rPr>
        <w:t>Associate</w:t>
      </w:r>
      <w:r>
        <w:rPr>
          <w:spacing w:val="-8"/>
          <w:sz w:val="20"/>
        </w:rPr>
        <w:t> </w:t>
      </w:r>
      <w:r>
        <w:rPr>
          <w:sz w:val="20"/>
        </w:rPr>
        <w:t>Administration</w:t>
      </w:r>
      <w:r>
        <w:rPr>
          <w:spacing w:val="-9"/>
          <w:sz w:val="20"/>
        </w:rPr>
        <w:t> </w:t>
      </w:r>
      <w:r>
        <w:rPr>
          <w:sz w:val="20"/>
        </w:rPr>
        <w:t>Officer</w:t>
      </w:r>
      <w:r>
        <w:rPr>
          <w:spacing w:val="-9"/>
          <w:sz w:val="20"/>
        </w:rPr>
        <w:t> </w:t>
      </w:r>
      <w:r>
        <w:rPr>
          <w:sz w:val="20"/>
        </w:rPr>
        <w:t>is</w:t>
      </w:r>
      <w:r>
        <w:rPr>
          <w:spacing w:val="-11"/>
          <w:sz w:val="20"/>
        </w:rPr>
        <w:t> </w:t>
      </w:r>
      <w:r>
        <w:rPr>
          <w:sz w:val="20"/>
        </w:rPr>
        <w:t>an</w:t>
      </w:r>
      <w:r>
        <w:rPr>
          <w:spacing w:val="-9"/>
          <w:sz w:val="20"/>
        </w:rPr>
        <w:t> </w:t>
      </w:r>
      <w:r>
        <w:rPr>
          <w:sz w:val="20"/>
        </w:rPr>
        <w:t>integral</w:t>
      </w:r>
      <w:r>
        <w:rPr>
          <w:spacing w:val="-8"/>
          <w:sz w:val="20"/>
        </w:rPr>
        <w:t> </w:t>
      </w:r>
      <w:r>
        <w:rPr>
          <w:sz w:val="20"/>
        </w:rPr>
        <w:t>part</w:t>
      </w:r>
      <w:r>
        <w:rPr>
          <w:spacing w:val="-3"/>
          <w:sz w:val="20"/>
        </w:rPr>
        <w:t> </w:t>
      </w:r>
      <w:r>
        <w:rPr>
          <w:sz w:val="20"/>
        </w:rPr>
        <w:t>of</w:t>
      </w:r>
      <w:r>
        <w:rPr>
          <w:spacing w:val="-9"/>
          <w:sz w:val="20"/>
        </w:rPr>
        <w:t> </w:t>
      </w:r>
      <w:r>
        <w:rPr>
          <w:sz w:val="20"/>
        </w:rPr>
        <w:t>the</w:t>
      </w:r>
      <w:r>
        <w:rPr>
          <w:spacing w:val="-12"/>
          <w:sz w:val="20"/>
        </w:rPr>
        <w:t> </w:t>
      </w:r>
      <w:r>
        <w:rPr>
          <w:sz w:val="20"/>
        </w:rPr>
        <w:t>core</w:t>
      </w:r>
      <w:r>
        <w:rPr>
          <w:spacing w:val="-3"/>
          <w:sz w:val="20"/>
        </w:rPr>
        <w:t> </w:t>
      </w:r>
      <w:r>
        <w:rPr>
          <w:sz w:val="20"/>
        </w:rPr>
        <w:t>structure</w:t>
      </w:r>
      <w:r>
        <w:rPr>
          <w:spacing w:val="-8"/>
          <w:sz w:val="20"/>
        </w:rPr>
        <w:t> </w:t>
      </w:r>
      <w:r>
        <w:rPr>
          <w:sz w:val="20"/>
        </w:rPr>
        <w:t>of</w:t>
      </w:r>
      <w:r>
        <w:rPr>
          <w:spacing w:val="-9"/>
          <w:sz w:val="20"/>
        </w:rPr>
        <w:t> </w:t>
      </w:r>
      <w:r>
        <w:rPr>
          <w:sz w:val="20"/>
        </w:rPr>
        <w:t>FPCU. Keeping this position</w:t>
      </w:r>
      <w:r>
        <w:rPr>
          <w:spacing w:val="-3"/>
          <w:sz w:val="20"/>
        </w:rPr>
        <w:t> </w:t>
      </w:r>
      <w:r>
        <w:rPr>
          <w:sz w:val="20"/>
        </w:rPr>
        <w:t>as GTA</w:t>
      </w:r>
      <w:r>
        <w:rPr>
          <w:spacing w:val="-4"/>
          <w:sz w:val="20"/>
        </w:rPr>
        <w:t> </w:t>
      </w:r>
      <w:r>
        <w:rPr>
          <w:sz w:val="20"/>
        </w:rPr>
        <w:t>is not</w:t>
      </w:r>
      <w:r>
        <w:rPr>
          <w:spacing w:val="-1"/>
          <w:sz w:val="20"/>
        </w:rPr>
        <w:t> </w:t>
      </w:r>
      <w:r>
        <w:rPr>
          <w:sz w:val="20"/>
        </w:rPr>
        <w:t>consistent with the critical</w:t>
      </w:r>
      <w:r>
        <w:rPr>
          <w:spacing w:val="-1"/>
          <w:sz w:val="20"/>
        </w:rPr>
        <w:t> </w:t>
      </w:r>
      <w:r>
        <w:rPr>
          <w:sz w:val="20"/>
        </w:rPr>
        <w:t>role and function performed by this position, including that of Certifying Officer for the OTP.</w:t>
      </w:r>
      <w:r>
        <w:rPr>
          <w:sz w:val="20"/>
          <w:vertAlign w:val="superscript"/>
        </w:rPr>
        <w:t>69</w:t>
      </w:r>
      <w:r>
        <w:rPr>
          <w:sz w:val="20"/>
          <w:vertAlign w:val="baseline"/>
        </w:rPr>
        <w:t> The Associate Administration Officer (P-2) position has been approved since 2016.</w:t>
      </w:r>
    </w:p>
    <w:p>
      <w:pPr>
        <w:pStyle w:val="ListParagraph"/>
        <w:numPr>
          <w:ilvl w:val="0"/>
          <w:numId w:val="4"/>
        </w:numPr>
        <w:tabs>
          <w:tab w:pos="2967" w:val="left" w:leader="none"/>
        </w:tabs>
        <w:spacing w:line="240" w:lineRule="auto" w:before="123" w:after="0"/>
        <w:ind w:left="2246" w:right="2247" w:firstLine="0"/>
        <w:jc w:val="both"/>
        <w:rPr>
          <w:sz w:val="20"/>
        </w:rPr>
      </w:pPr>
      <w:r>
        <w:rPr>
          <w:sz w:val="20"/>
        </w:rPr>
        <w:t>The</w:t>
      </w:r>
      <w:r>
        <w:rPr>
          <w:spacing w:val="-3"/>
          <w:sz w:val="20"/>
        </w:rPr>
        <w:t> </w:t>
      </w:r>
      <w:r>
        <w:rPr>
          <w:sz w:val="20"/>
        </w:rPr>
        <w:t>combined savings</w:t>
      </w:r>
      <w:r>
        <w:rPr>
          <w:spacing w:val="-1"/>
          <w:sz w:val="20"/>
        </w:rPr>
        <w:t> </w:t>
      </w:r>
      <w:r>
        <w:rPr>
          <w:sz w:val="20"/>
        </w:rPr>
        <w:t>from the</w:t>
      </w:r>
      <w:r>
        <w:rPr>
          <w:spacing w:val="-3"/>
          <w:sz w:val="20"/>
        </w:rPr>
        <w:t> </w:t>
      </w:r>
      <w:r>
        <w:rPr>
          <w:sz w:val="20"/>
        </w:rPr>
        <w:t>conversion of these two</w:t>
      </w:r>
      <w:r>
        <w:rPr>
          <w:spacing w:val="-5"/>
          <w:sz w:val="20"/>
        </w:rPr>
        <w:t> </w:t>
      </w:r>
      <w:r>
        <w:rPr>
          <w:sz w:val="20"/>
        </w:rPr>
        <w:t>positions</w:t>
      </w:r>
      <w:r>
        <w:rPr>
          <w:spacing w:val="-1"/>
          <w:sz w:val="20"/>
        </w:rPr>
        <w:t> </w:t>
      </w:r>
      <w:r>
        <w:rPr>
          <w:sz w:val="20"/>
        </w:rPr>
        <w:t>amount to €18.9 </w:t>
      </w:r>
      <w:r>
        <w:rPr>
          <w:spacing w:val="-2"/>
          <w:sz w:val="20"/>
        </w:rPr>
        <w:t>thousand.</w:t>
      </w:r>
    </w:p>
    <w:p>
      <w:pPr>
        <w:pStyle w:val="ListParagraph"/>
        <w:numPr>
          <w:ilvl w:val="0"/>
          <w:numId w:val="4"/>
        </w:numPr>
        <w:tabs>
          <w:tab w:pos="2967" w:val="left" w:leader="none"/>
        </w:tabs>
        <w:spacing w:line="240" w:lineRule="auto" w:before="120" w:after="0"/>
        <w:ind w:left="2246" w:right="2239" w:firstLine="0"/>
        <w:jc w:val="both"/>
        <w:rPr>
          <w:sz w:val="20"/>
        </w:rPr>
      </w:pPr>
      <w:r>
        <w:rPr>
          <w:sz w:val="20"/>
        </w:rPr>
        <w:t>The</w:t>
      </w:r>
      <w:r>
        <w:rPr>
          <w:spacing w:val="-2"/>
          <w:sz w:val="20"/>
        </w:rPr>
        <w:t> </w:t>
      </w:r>
      <w:r>
        <w:rPr>
          <w:sz w:val="20"/>
        </w:rPr>
        <w:t>workload</w:t>
      </w:r>
      <w:r>
        <w:rPr>
          <w:spacing w:val="-8"/>
          <w:sz w:val="20"/>
        </w:rPr>
        <w:t> </w:t>
      </w:r>
      <w:r>
        <w:rPr>
          <w:sz w:val="20"/>
        </w:rPr>
        <w:t>in</w:t>
      </w:r>
      <w:r>
        <w:rPr>
          <w:spacing w:val="-4"/>
          <w:sz w:val="20"/>
        </w:rPr>
        <w:t> </w:t>
      </w:r>
      <w:r>
        <w:rPr>
          <w:sz w:val="20"/>
        </w:rPr>
        <w:t>LAS</w:t>
      </w:r>
      <w:r>
        <w:rPr>
          <w:spacing w:val="-5"/>
          <w:sz w:val="20"/>
        </w:rPr>
        <w:t> </w:t>
      </w:r>
      <w:r>
        <w:rPr>
          <w:sz w:val="20"/>
        </w:rPr>
        <w:t>has</w:t>
      </w:r>
      <w:r>
        <w:rPr>
          <w:spacing w:val="-5"/>
          <w:sz w:val="20"/>
        </w:rPr>
        <w:t> </w:t>
      </w:r>
      <w:r>
        <w:rPr>
          <w:sz w:val="20"/>
        </w:rPr>
        <w:t>increased</w:t>
      </w:r>
      <w:r>
        <w:rPr>
          <w:spacing w:val="-4"/>
          <w:sz w:val="20"/>
        </w:rPr>
        <w:t> </w:t>
      </w:r>
      <w:r>
        <w:rPr>
          <w:sz w:val="20"/>
        </w:rPr>
        <w:t>substantially</w:t>
      </w:r>
      <w:r>
        <w:rPr>
          <w:spacing w:val="-8"/>
          <w:sz w:val="20"/>
        </w:rPr>
        <w:t> </w:t>
      </w:r>
      <w:r>
        <w:rPr>
          <w:sz w:val="20"/>
        </w:rPr>
        <w:t>in</w:t>
      </w:r>
      <w:r>
        <w:rPr>
          <w:spacing w:val="-4"/>
          <w:sz w:val="20"/>
        </w:rPr>
        <w:t> </w:t>
      </w:r>
      <w:r>
        <w:rPr>
          <w:sz w:val="20"/>
        </w:rPr>
        <w:t>the</w:t>
      </w:r>
      <w:r>
        <w:rPr>
          <w:spacing w:val="-7"/>
          <w:sz w:val="20"/>
        </w:rPr>
        <w:t> </w:t>
      </w:r>
      <w:r>
        <w:rPr>
          <w:sz w:val="20"/>
        </w:rPr>
        <w:t>last</w:t>
      </w:r>
      <w:r>
        <w:rPr>
          <w:spacing w:val="-7"/>
          <w:sz w:val="20"/>
        </w:rPr>
        <w:t> </w:t>
      </w:r>
      <w:r>
        <w:rPr>
          <w:sz w:val="20"/>
        </w:rPr>
        <w:t>year,</w:t>
      </w:r>
      <w:r>
        <w:rPr>
          <w:spacing w:val="-1"/>
          <w:sz w:val="20"/>
        </w:rPr>
        <w:t> </w:t>
      </w:r>
      <w:r>
        <w:rPr>
          <w:sz w:val="20"/>
        </w:rPr>
        <w:t>including</w:t>
      </w:r>
      <w:r>
        <w:rPr>
          <w:spacing w:val="-4"/>
          <w:sz w:val="20"/>
        </w:rPr>
        <w:t> </w:t>
      </w:r>
      <w:r>
        <w:rPr>
          <w:sz w:val="20"/>
        </w:rPr>
        <w:t>through the performance of additional tasks related to the enhancement of the field presence of the Office,</w:t>
      </w:r>
      <w:r>
        <w:rPr>
          <w:spacing w:val="-11"/>
          <w:sz w:val="20"/>
        </w:rPr>
        <w:t> </w:t>
      </w:r>
      <w:r>
        <w:rPr>
          <w:sz w:val="20"/>
        </w:rPr>
        <w:t>the</w:t>
      </w:r>
      <w:r>
        <w:rPr>
          <w:spacing w:val="-7"/>
          <w:sz w:val="20"/>
        </w:rPr>
        <w:t> </w:t>
      </w:r>
      <w:r>
        <w:rPr>
          <w:sz w:val="20"/>
        </w:rPr>
        <w:t>processing</w:t>
      </w:r>
      <w:r>
        <w:rPr>
          <w:spacing w:val="-8"/>
          <w:sz w:val="20"/>
        </w:rPr>
        <w:t> </w:t>
      </w:r>
      <w:r>
        <w:rPr>
          <w:sz w:val="20"/>
        </w:rPr>
        <w:t>of</w:t>
      </w:r>
      <w:r>
        <w:rPr>
          <w:spacing w:val="-13"/>
          <w:sz w:val="20"/>
        </w:rPr>
        <w:t> </w:t>
      </w:r>
      <w:r>
        <w:rPr>
          <w:sz w:val="20"/>
        </w:rPr>
        <w:t>contribution</w:t>
      </w:r>
      <w:r>
        <w:rPr>
          <w:spacing w:val="-7"/>
          <w:sz w:val="20"/>
        </w:rPr>
        <w:t> </w:t>
      </w:r>
      <w:r>
        <w:rPr>
          <w:sz w:val="20"/>
        </w:rPr>
        <w:t>agreements</w:t>
      </w:r>
      <w:r>
        <w:rPr>
          <w:spacing w:val="-10"/>
          <w:sz w:val="20"/>
        </w:rPr>
        <w:t> </w:t>
      </w:r>
      <w:r>
        <w:rPr>
          <w:sz w:val="20"/>
        </w:rPr>
        <w:t>in</w:t>
      </w:r>
      <w:r>
        <w:rPr>
          <w:spacing w:val="-8"/>
          <w:sz w:val="20"/>
        </w:rPr>
        <w:t> </w:t>
      </w:r>
      <w:r>
        <w:rPr>
          <w:sz w:val="20"/>
        </w:rPr>
        <w:t>support</w:t>
      </w:r>
      <w:r>
        <w:rPr>
          <w:spacing w:val="-12"/>
          <w:sz w:val="20"/>
        </w:rPr>
        <w:t> </w:t>
      </w:r>
      <w:r>
        <w:rPr>
          <w:sz w:val="20"/>
        </w:rPr>
        <w:t>of</w:t>
      </w:r>
      <w:r>
        <w:rPr>
          <w:spacing w:val="-8"/>
          <w:sz w:val="20"/>
        </w:rPr>
        <w:t> </w:t>
      </w:r>
      <w:r>
        <w:rPr>
          <w:sz w:val="20"/>
        </w:rPr>
        <w:t>extra</w:t>
      </w:r>
      <w:r>
        <w:rPr>
          <w:spacing w:val="-7"/>
          <w:sz w:val="20"/>
        </w:rPr>
        <w:t> </w:t>
      </w:r>
      <w:r>
        <w:rPr>
          <w:sz w:val="20"/>
        </w:rPr>
        <w:t>budgetary</w:t>
      </w:r>
      <w:r>
        <w:rPr>
          <w:spacing w:val="-13"/>
          <w:sz w:val="20"/>
        </w:rPr>
        <w:t> </w:t>
      </w:r>
      <w:r>
        <w:rPr>
          <w:sz w:val="20"/>
        </w:rPr>
        <w:t>contributions made to the OTP Trust Fund, and the provision of advice and support on human resources and administrative matters.</w:t>
      </w:r>
    </w:p>
    <w:p>
      <w:pPr>
        <w:pStyle w:val="ListParagraph"/>
        <w:numPr>
          <w:ilvl w:val="0"/>
          <w:numId w:val="4"/>
        </w:numPr>
        <w:tabs>
          <w:tab w:pos="2967" w:val="left" w:leader="none"/>
        </w:tabs>
        <w:spacing w:line="240" w:lineRule="auto" w:before="118" w:after="0"/>
        <w:ind w:left="2246" w:right="2245" w:firstLine="0"/>
        <w:jc w:val="both"/>
        <w:rPr>
          <w:sz w:val="20"/>
        </w:rPr>
      </w:pPr>
      <w:r>
        <w:rPr>
          <w:sz w:val="20"/>
        </w:rPr>
        <w:t>A Legal Assistant (GS-OL) is therefore requested for the Legal Advisory Section. This</w:t>
      </w:r>
      <w:r>
        <w:rPr>
          <w:spacing w:val="-5"/>
          <w:sz w:val="20"/>
        </w:rPr>
        <w:t> </w:t>
      </w:r>
      <w:r>
        <w:rPr>
          <w:sz w:val="20"/>
        </w:rPr>
        <w:t>profile</w:t>
      </w:r>
      <w:r>
        <w:rPr>
          <w:spacing w:val="-2"/>
          <w:sz w:val="20"/>
        </w:rPr>
        <w:t> </w:t>
      </w:r>
      <w:r>
        <w:rPr>
          <w:sz w:val="20"/>
        </w:rPr>
        <w:t>is</w:t>
      </w:r>
      <w:r>
        <w:rPr>
          <w:spacing w:val="-10"/>
          <w:sz w:val="20"/>
        </w:rPr>
        <w:t> </w:t>
      </w:r>
      <w:r>
        <w:rPr>
          <w:sz w:val="20"/>
        </w:rPr>
        <w:t>needed</w:t>
      </w:r>
      <w:r>
        <w:rPr>
          <w:spacing w:val="-8"/>
          <w:sz w:val="20"/>
        </w:rPr>
        <w:t> </w:t>
      </w:r>
      <w:r>
        <w:rPr>
          <w:sz w:val="20"/>
        </w:rPr>
        <w:t>to</w:t>
      </w:r>
      <w:r>
        <w:rPr>
          <w:spacing w:val="-8"/>
          <w:sz w:val="20"/>
        </w:rPr>
        <w:t> </w:t>
      </w:r>
      <w:r>
        <w:rPr>
          <w:sz w:val="20"/>
        </w:rPr>
        <w:t>manage</w:t>
      </w:r>
      <w:r>
        <w:rPr>
          <w:spacing w:val="-2"/>
          <w:sz w:val="20"/>
        </w:rPr>
        <w:t> </w:t>
      </w:r>
      <w:r>
        <w:rPr>
          <w:sz w:val="20"/>
        </w:rPr>
        <w:t>and</w:t>
      </w:r>
      <w:r>
        <w:rPr>
          <w:spacing w:val="-4"/>
          <w:sz w:val="20"/>
        </w:rPr>
        <w:t> </w:t>
      </w:r>
      <w:r>
        <w:rPr>
          <w:sz w:val="20"/>
        </w:rPr>
        <w:t>allocate</w:t>
      </w:r>
      <w:r>
        <w:rPr>
          <w:spacing w:val="-7"/>
          <w:sz w:val="20"/>
        </w:rPr>
        <w:t> </w:t>
      </w:r>
      <w:r>
        <w:rPr>
          <w:sz w:val="20"/>
        </w:rPr>
        <w:t>the</w:t>
      </w:r>
      <w:r>
        <w:rPr>
          <w:spacing w:val="-2"/>
          <w:sz w:val="20"/>
        </w:rPr>
        <w:t> </w:t>
      </w:r>
      <w:r>
        <w:rPr>
          <w:sz w:val="20"/>
        </w:rPr>
        <w:t>workload</w:t>
      </w:r>
      <w:r>
        <w:rPr>
          <w:spacing w:val="-4"/>
          <w:sz w:val="20"/>
        </w:rPr>
        <w:t> </w:t>
      </w:r>
      <w:r>
        <w:rPr>
          <w:sz w:val="20"/>
        </w:rPr>
        <w:t>of</w:t>
      </w:r>
      <w:r>
        <w:rPr>
          <w:spacing w:val="-4"/>
          <w:sz w:val="20"/>
        </w:rPr>
        <w:t> </w:t>
      </w:r>
      <w:r>
        <w:rPr>
          <w:sz w:val="20"/>
        </w:rPr>
        <w:t>the</w:t>
      </w:r>
      <w:r>
        <w:rPr>
          <w:spacing w:val="-2"/>
          <w:sz w:val="20"/>
        </w:rPr>
        <w:t> </w:t>
      </w:r>
      <w:r>
        <w:rPr>
          <w:sz w:val="20"/>
        </w:rPr>
        <w:t>section</w:t>
      </w:r>
      <w:r>
        <w:rPr>
          <w:spacing w:val="-8"/>
          <w:sz w:val="20"/>
        </w:rPr>
        <w:t> </w:t>
      </w:r>
      <w:r>
        <w:rPr>
          <w:sz w:val="20"/>
        </w:rPr>
        <w:t>in</w:t>
      </w:r>
      <w:r>
        <w:rPr>
          <w:spacing w:val="-8"/>
          <w:sz w:val="20"/>
        </w:rPr>
        <w:t> </w:t>
      </w:r>
      <w:r>
        <w:rPr>
          <w:sz w:val="20"/>
        </w:rPr>
        <w:t>a</w:t>
      </w:r>
      <w:r>
        <w:rPr>
          <w:spacing w:val="-2"/>
          <w:sz w:val="20"/>
        </w:rPr>
        <w:t> </w:t>
      </w:r>
      <w:r>
        <w:rPr>
          <w:sz w:val="20"/>
        </w:rPr>
        <w:t>more</w:t>
      </w:r>
      <w:r>
        <w:rPr>
          <w:spacing w:val="-7"/>
          <w:sz w:val="20"/>
        </w:rPr>
        <w:t> </w:t>
      </w:r>
      <w:r>
        <w:rPr>
          <w:sz w:val="20"/>
        </w:rPr>
        <w:t>effective and</w:t>
      </w:r>
      <w:r>
        <w:rPr>
          <w:spacing w:val="-13"/>
          <w:sz w:val="20"/>
        </w:rPr>
        <w:t> </w:t>
      </w:r>
      <w:r>
        <w:rPr>
          <w:sz w:val="20"/>
        </w:rPr>
        <w:t>efficient</w:t>
      </w:r>
      <w:r>
        <w:rPr>
          <w:spacing w:val="-11"/>
          <w:sz w:val="20"/>
        </w:rPr>
        <w:t> </w:t>
      </w:r>
      <w:r>
        <w:rPr>
          <w:sz w:val="20"/>
        </w:rPr>
        <w:t>way.</w:t>
      </w:r>
      <w:r>
        <w:rPr>
          <w:spacing w:val="-6"/>
          <w:sz w:val="20"/>
        </w:rPr>
        <w:t> </w:t>
      </w:r>
      <w:r>
        <w:rPr>
          <w:sz w:val="20"/>
        </w:rPr>
        <w:t>In</w:t>
      </w:r>
      <w:r>
        <w:rPr>
          <w:spacing w:val="-13"/>
          <w:sz w:val="20"/>
        </w:rPr>
        <w:t> </w:t>
      </w:r>
      <w:r>
        <w:rPr>
          <w:sz w:val="20"/>
        </w:rPr>
        <w:t>the</w:t>
      </w:r>
      <w:r>
        <w:rPr>
          <w:spacing w:val="-6"/>
          <w:sz w:val="20"/>
        </w:rPr>
        <w:t> </w:t>
      </w:r>
      <w:r>
        <w:rPr>
          <w:sz w:val="20"/>
        </w:rPr>
        <w:t>past</w:t>
      </w:r>
      <w:r>
        <w:rPr>
          <w:spacing w:val="-7"/>
          <w:sz w:val="20"/>
        </w:rPr>
        <w:t> </w:t>
      </w:r>
      <w:r>
        <w:rPr>
          <w:sz w:val="20"/>
        </w:rPr>
        <w:t>years,</w:t>
      </w:r>
      <w:r>
        <w:rPr>
          <w:spacing w:val="-6"/>
          <w:sz w:val="20"/>
        </w:rPr>
        <w:t> </w:t>
      </w:r>
      <w:r>
        <w:rPr>
          <w:sz w:val="20"/>
        </w:rPr>
        <w:t>the</w:t>
      </w:r>
      <w:r>
        <w:rPr>
          <w:spacing w:val="-12"/>
          <w:sz w:val="20"/>
        </w:rPr>
        <w:t> </w:t>
      </w:r>
      <w:r>
        <w:rPr>
          <w:sz w:val="20"/>
        </w:rPr>
        <w:t>LAS</w:t>
      </w:r>
      <w:r>
        <w:rPr>
          <w:spacing w:val="-10"/>
          <w:sz w:val="20"/>
        </w:rPr>
        <w:t> </w:t>
      </w:r>
      <w:r>
        <w:rPr>
          <w:sz w:val="20"/>
        </w:rPr>
        <w:t>has</w:t>
      </w:r>
      <w:r>
        <w:rPr>
          <w:spacing w:val="-10"/>
          <w:sz w:val="20"/>
        </w:rPr>
        <w:t> </w:t>
      </w:r>
      <w:r>
        <w:rPr>
          <w:sz w:val="20"/>
        </w:rPr>
        <w:t>found</w:t>
      </w:r>
      <w:r>
        <w:rPr>
          <w:spacing w:val="-13"/>
          <w:sz w:val="20"/>
        </w:rPr>
        <w:t> </w:t>
      </w:r>
      <w:r>
        <w:rPr>
          <w:sz w:val="20"/>
        </w:rPr>
        <w:t>the</w:t>
      </w:r>
      <w:r>
        <w:rPr>
          <w:spacing w:val="-10"/>
          <w:sz w:val="20"/>
        </w:rPr>
        <w:t> </w:t>
      </w:r>
      <w:r>
        <w:rPr>
          <w:sz w:val="20"/>
        </w:rPr>
        <w:t>means</w:t>
      </w:r>
      <w:r>
        <w:rPr>
          <w:spacing w:val="-10"/>
          <w:sz w:val="20"/>
        </w:rPr>
        <w:t> </w:t>
      </w:r>
      <w:r>
        <w:rPr>
          <w:sz w:val="20"/>
        </w:rPr>
        <w:t>to</w:t>
      </w:r>
      <w:r>
        <w:rPr>
          <w:spacing w:val="-13"/>
          <w:sz w:val="20"/>
        </w:rPr>
        <w:t> </w:t>
      </w:r>
      <w:r>
        <w:rPr>
          <w:sz w:val="20"/>
        </w:rPr>
        <w:t>finance</w:t>
      </w:r>
      <w:r>
        <w:rPr>
          <w:spacing w:val="-11"/>
          <w:sz w:val="20"/>
        </w:rPr>
        <w:t> </w:t>
      </w:r>
      <w:r>
        <w:rPr>
          <w:sz w:val="20"/>
        </w:rPr>
        <w:t>this</w:t>
      </w:r>
      <w:r>
        <w:rPr>
          <w:spacing w:val="-10"/>
          <w:sz w:val="20"/>
        </w:rPr>
        <w:t> </w:t>
      </w:r>
      <w:r>
        <w:rPr>
          <w:sz w:val="20"/>
        </w:rPr>
        <w:t>profile</w:t>
      </w:r>
      <w:r>
        <w:rPr>
          <w:spacing w:val="-12"/>
          <w:sz w:val="20"/>
        </w:rPr>
        <w:t> </w:t>
      </w:r>
      <w:r>
        <w:rPr>
          <w:sz w:val="20"/>
        </w:rPr>
        <w:t>using</w:t>
      </w:r>
    </w:p>
    <w:p>
      <w:pPr>
        <w:pStyle w:val="BodyText"/>
      </w:pPr>
    </w:p>
    <w:p>
      <w:pPr>
        <w:pStyle w:val="BodyText"/>
      </w:pPr>
    </w:p>
    <w:p>
      <w:pPr>
        <w:pStyle w:val="BodyText"/>
        <w:rPr>
          <w:sz w:val="19"/>
        </w:rPr>
      </w:pPr>
      <w:r>
        <w:rPr/>
        <w:pict>
          <v:rect style="position:absolute;margin-left:113.330002pt;margin-top:12.124397pt;width:144.050pt;height:.48004pt;mso-position-horizontal-relative:page;mso-position-vertical-relative:paragraph;z-index:-15706624;mso-wrap-distance-left:0;mso-wrap-distance-right:0" id="docshape115" filled="true" fillcolor="#000000" stroked="false">
            <v:fill type="solid"/>
            <w10:wrap type="topAndBottom"/>
          </v:rect>
        </w:pict>
      </w:r>
    </w:p>
    <w:p>
      <w:pPr>
        <w:spacing w:line="183" w:lineRule="exact" w:before="86"/>
        <w:ind w:left="2246" w:right="0" w:firstLine="0"/>
        <w:jc w:val="left"/>
        <w:rPr>
          <w:sz w:val="16"/>
        </w:rPr>
      </w:pPr>
      <w:r>
        <w:rPr>
          <w:position w:val="5"/>
          <w:sz w:val="10"/>
        </w:rPr>
        <w:t>68</w:t>
      </w:r>
      <w:r>
        <w:rPr>
          <w:spacing w:val="11"/>
          <w:position w:val="5"/>
          <w:sz w:val="10"/>
        </w:rPr>
        <w:t> </w:t>
      </w:r>
      <w:r>
        <w:rPr>
          <w:sz w:val="16"/>
        </w:rPr>
        <w:t>Repurposed</w:t>
      </w:r>
      <w:r>
        <w:rPr>
          <w:spacing w:val="-4"/>
          <w:sz w:val="16"/>
        </w:rPr>
        <w:t> </w:t>
      </w:r>
      <w:r>
        <w:rPr>
          <w:sz w:val="16"/>
        </w:rPr>
        <w:t>post:</w:t>
      </w:r>
      <w:r>
        <w:rPr>
          <w:spacing w:val="-6"/>
          <w:sz w:val="16"/>
        </w:rPr>
        <w:t> </w:t>
      </w:r>
      <w:r>
        <w:rPr>
          <w:sz w:val="16"/>
        </w:rPr>
        <w:t>formerly</w:t>
      </w:r>
      <w:r>
        <w:rPr>
          <w:spacing w:val="-4"/>
          <w:sz w:val="16"/>
        </w:rPr>
        <w:t> </w:t>
      </w:r>
      <w:r>
        <w:rPr>
          <w:sz w:val="16"/>
        </w:rPr>
        <w:t>Information</w:t>
      </w:r>
      <w:r>
        <w:rPr>
          <w:spacing w:val="-3"/>
          <w:sz w:val="16"/>
        </w:rPr>
        <w:t> </w:t>
      </w:r>
      <w:r>
        <w:rPr>
          <w:sz w:val="16"/>
        </w:rPr>
        <w:t>Analyst</w:t>
      </w:r>
      <w:r>
        <w:rPr>
          <w:spacing w:val="-6"/>
          <w:sz w:val="16"/>
        </w:rPr>
        <w:t> </w:t>
      </w:r>
      <w:r>
        <w:rPr>
          <w:sz w:val="16"/>
        </w:rPr>
        <w:t>in</w:t>
      </w:r>
      <w:r>
        <w:rPr>
          <w:spacing w:val="-4"/>
          <w:sz w:val="16"/>
        </w:rPr>
        <w:t> 2830.</w:t>
      </w:r>
    </w:p>
    <w:p>
      <w:pPr>
        <w:spacing w:before="0"/>
        <w:ind w:left="2246" w:right="2195" w:firstLine="0"/>
        <w:jc w:val="left"/>
        <w:rPr>
          <w:sz w:val="16"/>
        </w:rPr>
      </w:pPr>
      <w:r>
        <w:rPr>
          <w:position w:val="5"/>
          <w:sz w:val="10"/>
        </w:rPr>
        <w:t>69</w:t>
      </w:r>
      <w:r>
        <w:rPr>
          <w:spacing w:val="18"/>
          <w:position w:val="5"/>
          <w:sz w:val="10"/>
        </w:rPr>
        <w:t> </w:t>
      </w:r>
      <w:r>
        <w:rPr>
          <w:sz w:val="16"/>
        </w:rPr>
        <w:t>In the OTP, the financial and control functions are centralized in the FPCU where there are only four Certifying</w:t>
      </w:r>
      <w:r>
        <w:rPr>
          <w:spacing w:val="40"/>
          <w:sz w:val="16"/>
        </w:rPr>
        <w:t> </w:t>
      </w:r>
      <w:r>
        <w:rPr>
          <w:sz w:val="16"/>
        </w:rPr>
        <w:t>Officers (including the post being discussed).</w:t>
      </w:r>
    </w:p>
    <w:p>
      <w:pPr>
        <w:spacing w:after="0"/>
        <w:jc w:val="left"/>
        <w:rPr>
          <w:sz w:val="16"/>
        </w:rPr>
        <w:sectPr>
          <w:headerReference w:type="default" r:id="rId38"/>
          <w:headerReference w:type="even" r:id="rId39"/>
          <w:footerReference w:type="default" r:id="rId40"/>
          <w:footerReference w:type="even" r:id="rId41"/>
          <w:pgSz w:w="11910" w:h="16840"/>
          <w:pgMar w:header="953" w:footer="940" w:top="1140" w:bottom="1140" w:left="20" w:right="20"/>
          <w:pgNumType w:start="53"/>
        </w:sectPr>
      </w:pPr>
    </w:p>
    <w:p>
      <w:pPr>
        <w:pStyle w:val="BodyText"/>
        <w:spacing w:before="124"/>
        <w:ind w:left="2246" w:right="2195"/>
      </w:pPr>
      <w:r>
        <w:rPr/>
        <w:t>its</w:t>
      </w:r>
      <w:r>
        <w:rPr>
          <w:spacing w:val="40"/>
        </w:rPr>
        <w:t> </w:t>
      </w:r>
      <w:r>
        <w:rPr/>
        <w:t>available</w:t>
      </w:r>
      <w:r>
        <w:rPr>
          <w:spacing w:val="40"/>
        </w:rPr>
        <w:t> </w:t>
      </w:r>
      <w:r>
        <w:rPr/>
        <w:t>approved</w:t>
      </w:r>
      <w:r>
        <w:rPr>
          <w:spacing w:val="40"/>
        </w:rPr>
        <w:t> </w:t>
      </w:r>
      <w:r>
        <w:rPr/>
        <w:t>resources.</w:t>
      </w:r>
      <w:r>
        <w:rPr>
          <w:spacing w:val="40"/>
        </w:rPr>
        <w:t> </w:t>
      </w:r>
      <w:r>
        <w:rPr/>
        <w:t>This</w:t>
      </w:r>
      <w:r>
        <w:rPr>
          <w:spacing w:val="40"/>
        </w:rPr>
        <w:t> </w:t>
      </w:r>
      <w:r>
        <w:rPr/>
        <w:t>request</w:t>
      </w:r>
      <w:r>
        <w:rPr>
          <w:spacing w:val="40"/>
        </w:rPr>
        <w:t> </w:t>
      </w:r>
      <w:r>
        <w:rPr/>
        <w:t>will</w:t>
      </w:r>
      <w:r>
        <w:rPr>
          <w:spacing w:val="40"/>
        </w:rPr>
        <w:t> </w:t>
      </w:r>
      <w:r>
        <w:rPr/>
        <w:t>also</w:t>
      </w:r>
      <w:r>
        <w:rPr>
          <w:spacing w:val="40"/>
        </w:rPr>
        <w:t> </w:t>
      </w:r>
      <w:r>
        <w:rPr/>
        <w:t>eliminate</w:t>
      </w:r>
      <w:r>
        <w:rPr>
          <w:spacing w:val="40"/>
        </w:rPr>
        <w:t> </w:t>
      </w:r>
      <w:r>
        <w:rPr/>
        <w:t>the</w:t>
      </w:r>
      <w:r>
        <w:rPr>
          <w:spacing w:val="40"/>
        </w:rPr>
        <w:t> </w:t>
      </w:r>
      <w:r>
        <w:rPr/>
        <w:t>recourse</w:t>
      </w:r>
      <w:r>
        <w:rPr>
          <w:spacing w:val="40"/>
        </w:rPr>
        <w:t> </w:t>
      </w:r>
      <w:r>
        <w:rPr/>
        <w:t>to</w:t>
      </w:r>
      <w:r>
        <w:rPr>
          <w:spacing w:val="40"/>
        </w:rPr>
        <w:t> </w:t>
      </w:r>
      <w:r>
        <w:rPr/>
        <w:t>an</w:t>
      </w:r>
      <w:r>
        <w:rPr>
          <w:spacing w:val="40"/>
        </w:rPr>
        <w:t> </w:t>
      </w:r>
      <w:r>
        <w:rPr/>
        <w:t>Unapproved GTA position, in furtherance of the CBF recommendations on the matter.</w:t>
      </w:r>
    </w:p>
    <w:p>
      <w:pPr>
        <w:tabs>
          <w:tab w:pos="8133" w:val="left" w:leader="none"/>
        </w:tabs>
        <w:spacing w:before="121"/>
        <w:ind w:left="2246" w:right="0" w:firstLine="0"/>
        <w:jc w:val="left"/>
        <w:rPr>
          <w:i/>
          <w:sz w:val="20"/>
        </w:rPr>
      </w:pPr>
      <w:r>
        <w:rPr>
          <w:i/>
          <w:sz w:val="20"/>
        </w:rPr>
        <w:t>General</w:t>
      </w:r>
      <w:r>
        <w:rPr>
          <w:i/>
          <w:spacing w:val="-9"/>
          <w:sz w:val="20"/>
        </w:rPr>
        <w:t> </w:t>
      </w:r>
      <w:r>
        <w:rPr>
          <w:i/>
          <w:sz w:val="20"/>
        </w:rPr>
        <w:t>temporary</w:t>
      </w:r>
      <w:r>
        <w:rPr>
          <w:i/>
          <w:spacing w:val="-4"/>
          <w:sz w:val="20"/>
        </w:rPr>
        <w:t> </w:t>
      </w:r>
      <w:r>
        <w:rPr>
          <w:i/>
          <w:spacing w:val="-2"/>
          <w:sz w:val="20"/>
        </w:rPr>
        <w:t>assistance</w:t>
      </w:r>
      <w:r>
        <w:rPr>
          <w:i/>
          <w:sz w:val="20"/>
        </w:rPr>
        <w:tab/>
        <w:t>€3,391.0</w:t>
      </w:r>
      <w:r>
        <w:rPr>
          <w:i/>
          <w:spacing w:val="-4"/>
          <w:sz w:val="20"/>
        </w:rPr>
        <w:t> </w:t>
      </w:r>
      <w:r>
        <w:rPr>
          <w:i/>
          <w:spacing w:val="-2"/>
          <w:sz w:val="20"/>
        </w:rPr>
        <w:t>thousand</w:t>
      </w:r>
    </w:p>
    <w:p>
      <w:pPr>
        <w:pStyle w:val="ListParagraph"/>
        <w:numPr>
          <w:ilvl w:val="0"/>
          <w:numId w:val="4"/>
        </w:numPr>
        <w:tabs>
          <w:tab w:pos="2967" w:val="left" w:leader="none"/>
        </w:tabs>
        <w:spacing w:line="240" w:lineRule="auto" w:before="121" w:after="0"/>
        <w:ind w:left="2246" w:right="2241" w:firstLine="0"/>
        <w:jc w:val="both"/>
        <w:rPr>
          <w:sz w:val="20"/>
        </w:rPr>
      </w:pPr>
      <w:r>
        <w:rPr>
          <w:sz w:val="20"/>
        </w:rPr>
        <w:t>Reflecting the overall increase in activities undertaken in the last year, the Programme continues to require GTA resources to support its work. The extension of the current resources is therefore necessary. In addition, new positions are requested to strengthen the functions of the Programme and specifically to build the necessary capacity for</w:t>
      </w:r>
      <w:r>
        <w:rPr>
          <w:spacing w:val="-4"/>
          <w:sz w:val="20"/>
        </w:rPr>
        <w:t> </w:t>
      </w:r>
      <w:r>
        <w:rPr>
          <w:sz w:val="20"/>
        </w:rPr>
        <w:t>the</w:t>
      </w:r>
      <w:r>
        <w:rPr>
          <w:spacing w:val="-8"/>
          <w:sz w:val="20"/>
        </w:rPr>
        <w:t> </w:t>
      </w:r>
      <w:r>
        <w:rPr>
          <w:sz w:val="20"/>
        </w:rPr>
        <w:t>Ukraine</w:t>
      </w:r>
      <w:r>
        <w:rPr>
          <w:spacing w:val="-3"/>
          <w:sz w:val="20"/>
        </w:rPr>
        <w:t> </w:t>
      </w:r>
      <w:r>
        <w:rPr>
          <w:sz w:val="20"/>
        </w:rPr>
        <w:t>Unified</w:t>
      </w:r>
      <w:r>
        <w:rPr>
          <w:spacing w:val="-9"/>
          <w:sz w:val="20"/>
        </w:rPr>
        <w:t> </w:t>
      </w:r>
      <w:r>
        <w:rPr>
          <w:sz w:val="20"/>
        </w:rPr>
        <w:t>Team</w:t>
      </w:r>
      <w:r>
        <w:rPr>
          <w:spacing w:val="-3"/>
          <w:sz w:val="20"/>
        </w:rPr>
        <w:t> </w:t>
      </w:r>
      <w:r>
        <w:rPr>
          <w:sz w:val="20"/>
        </w:rPr>
        <w:t>following</w:t>
      </w:r>
      <w:r>
        <w:rPr>
          <w:spacing w:val="-9"/>
          <w:sz w:val="20"/>
        </w:rPr>
        <w:t> </w:t>
      </w:r>
      <w:r>
        <w:rPr>
          <w:sz w:val="20"/>
        </w:rPr>
        <w:t>referral</w:t>
      </w:r>
      <w:r>
        <w:rPr>
          <w:spacing w:val="-8"/>
          <w:sz w:val="20"/>
        </w:rPr>
        <w:t> </w:t>
      </w:r>
      <w:r>
        <w:rPr>
          <w:sz w:val="20"/>
        </w:rPr>
        <w:t>of</w:t>
      </w:r>
      <w:r>
        <w:rPr>
          <w:spacing w:val="-9"/>
          <w:sz w:val="20"/>
        </w:rPr>
        <w:t> </w:t>
      </w:r>
      <w:r>
        <w:rPr>
          <w:sz w:val="20"/>
        </w:rPr>
        <w:t>this</w:t>
      </w:r>
      <w:r>
        <w:rPr>
          <w:spacing w:val="-6"/>
          <w:sz w:val="20"/>
        </w:rPr>
        <w:t> </w:t>
      </w:r>
      <w:r>
        <w:rPr>
          <w:sz w:val="20"/>
        </w:rPr>
        <w:t>situation</w:t>
      </w:r>
      <w:r>
        <w:rPr>
          <w:spacing w:val="-5"/>
          <w:sz w:val="20"/>
        </w:rPr>
        <w:t> </w:t>
      </w:r>
      <w:r>
        <w:rPr>
          <w:sz w:val="20"/>
        </w:rPr>
        <w:t>by</w:t>
      </w:r>
      <w:r>
        <w:rPr>
          <w:spacing w:val="-9"/>
          <w:sz w:val="20"/>
        </w:rPr>
        <w:t> </w:t>
      </w:r>
      <w:r>
        <w:rPr>
          <w:sz w:val="20"/>
        </w:rPr>
        <w:t>43</w:t>
      </w:r>
      <w:r>
        <w:rPr>
          <w:spacing w:val="-9"/>
          <w:sz w:val="20"/>
        </w:rPr>
        <w:t> </w:t>
      </w:r>
      <w:r>
        <w:rPr>
          <w:sz w:val="20"/>
        </w:rPr>
        <w:t>States</w:t>
      </w:r>
      <w:r>
        <w:rPr>
          <w:spacing w:val="-11"/>
          <w:sz w:val="20"/>
        </w:rPr>
        <w:t> </w:t>
      </w:r>
      <w:r>
        <w:rPr>
          <w:sz w:val="20"/>
        </w:rPr>
        <w:t>Parties.</w:t>
      </w:r>
      <w:r>
        <w:rPr>
          <w:spacing w:val="-7"/>
          <w:sz w:val="20"/>
        </w:rPr>
        <w:t> </w:t>
      </w:r>
      <w:r>
        <w:rPr>
          <w:sz w:val="20"/>
        </w:rPr>
        <w:t>Details for each requested position are provided in paragraphs 276 to 285 below.</w:t>
      </w:r>
    </w:p>
    <w:p>
      <w:pPr>
        <w:pStyle w:val="ListParagraph"/>
        <w:numPr>
          <w:ilvl w:val="0"/>
          <w:numId w:val="4"/>
        </w:numPr>
        <w:tabs>
          <w:tab w:pos="2967" w:val="left" w:leader="none"/>
        </w:tabs>
        <w:spacing w:line="240" w:lineRule="auto" w:before="123" w:after="0"/>
        <w:ind w:left="2967" w:right="0" w:hanging="721"/>
        <w:jc w:val="both"/>
        <w:rPr>
          <w:sz w:val="20"/>
        </w:rPr>
      </w:pPr>
      <w:r>
        <w:rPr>
          <w:sz w:val="20"/>
        </w:rPr>
        <w:t>The</w:t>
      </w:r>
      <w:r>
        <w:rPr>
          <w:spacing w:val="-6"/>
          <w:sz w:val="20"/>
        </w:rPr>
        <w:t> </w:t>
      </w:r>
      <w:r>
        <w:rPr>
          <w:sz w:val="20"/>
        </w:rPr>
        <w:t>breakdown</w:t>
      </w:r>
      <w:r>
        <w:rPr>
          <w:spacing w:val="-2"/>
          <w:sz w:val="20"/>
        </w:rPr>
        <w:t> </w:t>
      </w:r>
      <w:r>
        <w:rPr>
          <w:sz w:val="20"/>
        </w:rPr>
        <w:t>of</w:t>
      </w:r>
      <w:r>
        <w:rPr>
          <w:spacing w:val="-3"/>
          <w:sz w:val="20"/>
        </w:rPr>
        <w:t> </w:t>
      </w:r>
      <w:r>
        <w:rPr>
          <w:sz w:val="20"/>
        </w:rPr>
        <w:t>GTA</w:t>
      </w:r>
      <w:r>
        <w:rPr>
          <w:spacing w:val="-3"/>
          <w:sz w:val="20"/>
        </w:rPr>
        <w:t> </w:t>
      </w:r>
      <w:r>
        <w:rPr>
          <w:sz w:val="20"/>
        </w:rPr>
        <w:t>positions</w:t>
      </w:r>
      <w:r>
        <w:rPr>
          <w:sz w:val="20"/>
          <w:vertAlign w:val="superscript"/>
        </w:rPr>
        <w:t>70</w:t>
      </w:r>
      <w:r>
        <w:rPr>
          <w:sz w:val="20"/>
          <w:vertAlign w:val="baseline"/>
        </w:rPr>
        <w:t> is</w:t>
      </w:r>
      <w:r>
        <w:rPr>
          <w:spacing w:val="-7"/>
          <w:sz w:val="20"/>
          <w:vertAlign w:val="baseline"/>
        </w:rPr>
        <w:t> </w:t>
      </w:r>
      <w:r>
        <w:rPr>
          <w:sz w:val="20"/>
          <w:vertAlign w:val="baseline"/>
        </w:rPr>
        <w:t>as</w:t>
      </w:r>
      <w:r>
        <w:rPr>
          <w:spacing w:val="-4"/>
          <w:sz w:val="20"/>
          <w:vertAlign w:val="baseline"/>
        </w:rPr>
        <w:t> </w:t>
      </w:r>
      <w:r>
        <w:rPr>
          <w:spacing w:val="-2"/>
          <w:sz w:val="20"/>
          <w:vertAlign w:val="baseline"/>
        </w:rPr>
        <w:t>follows:</w:t>
      </w:r>
    </w:p>
    <w:p>
      <w:pPr>
        <w:pStyle w:val="BodyText"/>
        <w:spacing w:before="4" w:after="1"/>
        <w:rPr>
          <w:sz w:val="10"/>
        </w:rPr>
      </w:pPr>
    </w:p>
    <w:tbl>
      <w:tblPr>
        <w:tblW w:w="0" w:type="auto"/>
        <w:jc w:val="left"/>
        <w:tblInd w:w="2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21"/>
        <w:gridCol w:w="711"/>
        <w:gridCol w:w="790"/>
        <w:gridCol w:w="862"/>
        <w:gridCol w:w="916"/>
        <w:gridCol w:w="1096"/>
      </w:tblGrid>
      <w:tr>
        <w:trPr>
          <w:trHeight w:val="268" w:hRule="atLeast"/>
        </w:trPr>
        <w:tc>
          <w:tcPr>
            <w:tcW w:w="3021" w:type="dxa"/>
            <w:tcBorders>
              <w:top w:val="single" w:sz="4" w:space="0" w:color="000000"/>
              <w:bottom w:val="single" w:sz="4" w:space="0" w:color="000000"/>
            </w:tcBorders>
          </w:tcPr>
          <w:p>
            <w:pPr>
              <w:pStyle w:val="TableParagraph"/>
              <w:spacing w:line="229" w:lineRule="exact" w:before="19"/>
              <w:ind w:left="14"/>
              <w:jc w:val="left"/>
              <w:rPr>
                <w:i/>
                <w:sz w:val="20"/>
              </w:rPr>
            </w:pPr>
            <w:r>
              <w:rPr>
                <w:i/>
                <w:spacing w:val="-2"/>
                <w:sz w:val="20"/>
              </w:rPr>
              <w:t>Title</w:t>
            </w:r>
          </w:p>
        </w:tc>
        <w:tc>
          <w:tcPr>
            <w:tcW w:w="711" w:type="dxa"/>
            <w:tcBorders>
              <w:top w:val="single" w:sz="4" w:space="0" w:color="000000"/>
              <w:bottom w:val="single" w:sz="4" w:space="0" w:color="000000"/>
            </w:tcBorders>
          </w:tcPr>
          <w:p>
            <w:pPr>
              <w:pStyle w:val="TableParagraph"/>
              <w:spacing w:line="229" w:lineRule="exact" w:before="19"/>
              <w:ind w:left="32"/>
              <w:jc w:val="left"/>
              <w:rPr>
                <w:i/>
                <w:sz w:val="20"/>
              </w:rPr>
            </w:pPr>
            <w:r>
              <w:rPr>
                <w:i/>
                <w:spacing w:val="-2"/>
                <w:sz w:val="20"/>
              </w:rPr>
              <w:t>Grade</w:t>
            </w:r>
          </w:p>
        </w:tc>
        <w:tc>
          <w:tcPr>
            <w:tcW w:w="790" w:type="dxa"/>
            <w:tcBorders>
              <w:top w:val="single" w:sz="4" w:space="0" w:color="000000"/>
              <w:bottom w:val="single" w:sz="4" w:space="0" w:color="000000"/>
            </w:tcBorders>
          </w:tcPr>
          <w:p>
            <w:pPr>
              <w:pStyle w:val="TableParagraph"/>
              <w:spacing w:line="229" w:lineRule="exact" w:before="19"/>
              <w:ind w:right="48"/>
              <w:rPr>
                <w:i/>
                <w:sz w:val="20"/>
              </w:rPr>
            </w:pPr>
            <w:r>
              <w:rPr>
                <w:i/>
                <w:spacing w:val="-2"/>
                <w:sz w:val="20"/>
              </w:rPr>
              <w:t>Number</w:t>
            </w:r>
          </w:p>
        </w:tc>
        <w:tc>
          <w:tcPr>
            <w:tcW w:w="862" w:type="dxa"/>
            <w:tcBorders>
              <w:top w:val="single" w:sz="4" w:space="0" w:color="000000"/>
              <w:bottom w:val="single" w:sz="4" w:space="0" w:color="000000"/>
            </w:tcBorders>
          </w:tcPr>
          <w:p>
            <w:pPr>
              <w:pStyle w:val="TableParagraph"/>
              <w:spacing w:line="229" w:lineRule="exact" w:before="19"/>
              <w:ind w:right="204"/>
              <w:rPr>
                <w:i/>
                <w:sz w:val="20"/>
              </w:rPr>
            </w:pPr>
            <w:r>
              <w:rPr>
                <w:i/>
                <w:spacing w:val="-2"/>
                <w:sz w:val="20"/>
              </w:rPr>
              <w:t>Months</w:t>
            </w:r>
          </w:p>
        </w:tc>
        <w:tc>
          <w:tcPr>
            <w:tcW w:w="916" w:type="dxa"/>
            <w:tcBorders>
              <w:top w:val="single" w:sz="4" w:space="0" w:color="000000"/>
              <w:bottom w:val="single" w:sz="4" w:space="0" w:color="000000"/>
            </w:tcBorders>
          </w:tcPr>
          <w:p>
            <w:pPr>
              <w:pStyle w:val="TableParagraph"/>
              <w:spacing w:line="229" w:lineRule="exact" w:before="19"/>
              <w:ind w:left="195" w:right="150"/>
              <w:jc w:val="center"/>
              <w:rPr>
                <w:i/>
                <w:sz w:val="20"/>
              </w:rPr>
            </w:pPr>
            <w:r>
              <w:rPr>
                <w:i/>
                <w:spacing w:val="-5"/>
                <w:sz w:val="20"/>
              </w:rPr>
              <w:t>FTE</w:t>
            </w:r>
          </w:p>
        </w:tc>
        <w:tc>
          <w:tcPr>
            <w:tcW w:w="1096" w:type="dxa"/>
            <w:tcBorders>
              <w:top w:val="single" w:sz="4" w:space="0" w:color="000000"/>
              <w:bottom w:val="single" w:sz="4" w:space="0" w:color="000000"/>
            </w:tcBorders>
          </w:tcPr>
          <w:p>
            <w:pPr>
              <w:pStyle w:val="TableParagraph"/>
              <w:jc w:val="left"/>
              <w:rPr>
                <w:sz w:val="18"/>
              </w:rPr>
            </w:pPr>
          </w:p>
        </w:tc>
      </w:tr>
      <w:tr>
        <w:trPr>
          <w:trHeight w:val="272" w:hRule="atLeast"/>
        </w:trPr>
        <w:tc>
          <w:tcPr>
            <w:tcW w:w="3021" w:type="dxa"/>
            <w:tcBorders>
              <w:top w:val="single" w:sz="4" w:space="0" w:color="000000"/>
            </w:tcBorders>
          </w:tcPr>
          <w:p>
            <w:pPr>
              <w:pStyle w:val="TableParagraph"/>
              <w:spacing w:before="20"/>
              <w:ind w:left="14"/>
              <w:jc w:val="left"/>
              <w:rPr>
                <w:i/>
                <w:sz w:val="20"/>
              </w:rPr>
            </w:pPr>
            <w:r>
              <w:rPr>
                <w:i/>
                <w:sz w:val="20"/>
              </w:rPr>
              <w:t>Immediate</w:t>
            </w:r>
            <w:r>
              <w:rPr>
                <w:i/>
                <w:spacing w:val="-6"/>
                <w:sz w:val="20"/>
              </w:rPr>
              <w:t> </w:t>
            </w:r>
            <w:r>
              <w:rPr>
                <w:i/>
                <w:sz w:val="20"/>
              </w:rPr>
              <w:t>Office</w:t>
            </w:r>
            <w:r>
              <w:rPr>
                <w:i/>
                <w:spacing w:val="-5"/>
                <w:sz w:val="20"/>
              </w:rPr>
              <w:t> </w:t>
            </w:r>
            <w:r>
              <w:rPr>
                <w:i/>
                <w:sz w:val="20"/>
              </w:rPr>
              <w:t>of</w:t>
            </w:r>
            <w:r>
              <w:rPr>
                <w:i/>
                <w:spacing w:val="-5"/>
                <w:sz w:val="20"/>
              </w:rPr>
              <w:t> </w:t>
            </w:r>
            <w:r>
              <w:rPr>
                <w:i/>
                <w:sz w:val="20"/>
              </w:rPr>
              <w:t>the</w:t>
            </w:r>
            <w:r>
              <w:rPr>
                <w:i/>
                <w:spacing w:val="-5"/>
                <w:sz w:val="20"/>
              </w:rPr>
              <w:t> </w:t>
            </w:r>
            <w:r>
              <w:rPr>
                <w:i/>
                <w:spacing w:val="-2"/>
                <w:sz w:val="20"/>
              </w:rPr>
              <w:t>Prosecutor</w:t>
            </w:r>
          </w:p>
        </w:tc>
        <w:tc>
          <w:tcPr>
            <w:tcW w:w="711" w:type="dxa"/>
            <w:tcBorders>
              <w:top w:val="single" w:sz="4" w:space="0" w:color="000000"/>
            </w:tcBorders>
          </w:tcPr>
          <w:p>
            <w:pPr>
              <w:pStyle w:val="TableParagraph"/>
              <w:jc w:val="left"/>
              <w:rPr>
                <w:sz w:val="18"/>
              </w:rPr>
            </w:pPr>
          </w:p>
        </w:tc>
        <w:tc>
          <w:tcPr>
            <w:tcW w:w="790" w:type="dxa"/>
            <w:tcBorders>
              <w:top w:val="single" w:sz="4" w:space="0" w:color="000000"/>
            </w:tcBorders>
          </w:tcPr>
          <w:p>
            <w:pPr>
              <w:pStyle w:val="TableParagraph"/>
              <w:jc w:val="left"/>
              <w:rPr>
                <w:sz w:val="18"/>
              </w:rPr>
            </w:pPr>
          </w:p>
        </w:tc>
        <w:tc>
          <w:tcPr>
            <w:tcW w:w="862" w:type="dxa"/>
            <w:tcBorders>
              <w:top w:val="single" w:sz="4" w:space="0" w:color="000000"/>
            </w:tcBorders>
          </w:tcPr>
          <w:p>
            <w:pPr>
              <w:pStyle w:val="TableParagraph"/>
              <w:jc w:val="left"/>
              <w:rPr>
                <w:sz w:val="18"/>
              </w:rPr>
            </w:pPr>
          </w:p>
        </w:tc>
        <w:tc>
          <w:tcPr>
            <w:tcW w:w="916" w:type="dxa"/>
            <w:tcBorders>
              <w:top w:val="single" w:sz="4" w:space="0" w:color="000000"/>
            </w:tcBorders>
          </w:tcPr>
          <w:p>
            <w:pPr>
              <w:pStyle w:val="TableParagraph"/>
              <w:jc w:val="left"/>
              <w:rPr>
                <w:sz w:val="18"/>
              </w:rPr>
            </w:pPr>
          </w:p>
        </w:tc>
        <w:tc>
          <w:tcPr>
            <w:tcW w:w="1096" w:type="dxa"/>
            <w:tcBorders>
              <w:top w:val="single" w:sz="4" w:space="0" w:color="000000"/>
            </w:tcBorders>
          </w:tcPr>
          <w:p>
            <w:pPr>
              <w:pStyle w:val="TableParagraph"/>
              <w:jc w:val="left"/>
              <w:rPr>
                <w:sz w:val="18"/>
              </w:rPr>
            </w:pPr>
          </w:p>
        </w:tc>
      </w:tr>
      <w:tr>
        <w:trPr>
          <w:trHeight w:val="268" w:hRule="atLeast"/>
        </w:trPr>
        <w:tc>
          <w:tcPr>
            <w:tcW w:w="3021" w:type="dxa"/>
          </w:tcPr>
          <w:p>
            <w:pPr>
              <w:pStyle w:val="TableParagraph"/>
              <w:spacing w:before="15"/>
              <w:ind w:left="14"/>
              <w:jc w:val="left"/>
              <w:rPr>
                <w:sz w:val="20"/>
              </w:rPr>
            </w:pPr>
            <w:r>
              <w:rPr>
                <w:sz w:val="20"/>
              </w:rPr>
              <w:t>Personal</w:t>
            </w:r>
            <w:r>
              <w:rPr>
                <w:spacing w:val="-2"/>
                <w:sz w:val="20"/>
              </w:rPr>
              <w:t> </w:t>
            </w:r>
            <w:r>
              <w:rPr>
                <w:sz w:val="20"/>
              </w:rPr>
              <w:t>Assistant</w:t>
            </w:r>
            <w:r>
              <w:rPr>
                <w:spacing w:val="-6"/>
                <w:sz w:val="20"/>
              </w:rPr>
              <w:t> </w:t>
            </w:r>
            <w:r>
              <w:rPr>
                <w:sz w:val="20"/>
              </w:rPr>
              <w:t>to</w:t>
            </w:r>
            <w:r>
              <w:rPr>
                <w:spacing w:val="-7"/>
                <w:sz w:val="20"/>
              </w:rPr>
              <w:t> </w:t>
            </w:r>
            <w:r>
              <w:rPr>
                <w:sz w:val="20"/>
              </w:rPr>
              <w:t>the</w:t>
            </w:r>
            <w:r>
              <w:rPr>
                <w:spacing w:val="-3"/>
                <w:sz w:val="20"/>
              </w:rPr>
              <w:t> </w:t>
            </w:r>
            <w:r>
              <w:rPr>
                <w:spacing w:val="-2"/>
                <w:sz w:val="20"/>
              </w:rPr>
              <w:t>Prosecutor</w:t>
            </w:r>
          </w:p>
        </w:tc>
        <w:tc>
          <w:tcPr>
            <w:tcW w:w="711" w:type="dxa"/>
          </w:tcPr>
          <w:p>
            <w:pPr>
              <w:pStyle w:val="TableParagraph"/>
              <w:spacing w:before="15"/>
              <w:ind w:left="32"/>
              <w:jc w:val="left"/>
              <w:rPr>
                <w:sz w:val="20"/>
              </w:rPr>
            </w:pPr>
            <w:r>
              <w:rPr>
                <w:spacing w:val="-2"/>
                <w:sz w:val="20"/>
              </w:rPr>
              <w:t>GS-</w:t>
            </w:r>
            <w:r>
              <w:rPr>
                <w:spacing w:val="-7"/>
                <w:sz w:val="20"/>
              </w:rPr>
              <w:t>OL</w:t>
            </w:r>
          </w:p>
        </w:tc>
        <w:tc>
          <w:tcPr>
            <w:tcW w:w="790" w:type="dxa"/>
          </w:tcPr>
          <w:p>
            <w:pPr>
              <w:pStyle w:val="TableParagraph"/>
              <w:spacing w:before="15"/>
              <w:ind w:right="54"/>
              <w:rPr>
                <w:sz w:val="20"/>
              </w:rPr>
            </w:pPr>
            <w:r>
              <w:rPr>
                <w:w w:val="100"/>
                <w:sz w:val="20"/>
              </w:rPr>
              <w:t>1</w:t>
            </w:r>
          </w:p>
        </w:tc>
        <w:tc>
          <w:tcPr>
            <w:tcW w:w="862" w:type="dxa"/>
          </w:tcPr>
          <w:p>
            <w:pPr>
              <w:pStyle w:val="TableParagraph"/>
              <w:spacing w:before="15"/>
              <w:ind w:right="210"/>
              <w:rPr>
                <w:sz w:val="20"/>
              </w:rPr>
            </w:pPr>
            <w:r>
              <w:rPr>
                <w:w w:val="100"/>
                <w:sz w:val="20"/>
              </w:rPr>
              <w:t>9</w:t>
            </w:r>
          </w:p>
        </w:tc>
        <w:tc>
          <w:tcPr>
            <w:tcW w:w="916" w:type="dxa"/>
          </w:tcPr>
          <w:p>
            <w:pPr>
              <w:pStyle w:val="TableParagraph"/>
              <w:spacing w:before="15"/>
              <w:ind w:left="195" w:right="144"/>
              <w:jc w:val="center"/>
              <w:rPr>
                <w:sz w:val="20"/>
              </w:rPr>
            </w:pPr>
            <w:r>
              <w:rPr>
                <w:spacing w:val="-4"/>
                <w:sz w:val="20"/>
              </w:rPr>
              <w:t>0.75</w:t>
            </w:r>
          </w:p>
        </w:tc>
        <w:tc>
          <w:tcPr>
            <w:tcW w:w="1096" w:type="dxa"/>
          </w:tcPr>
          <w:p>
            <w:pPr>
              <w:pStyle w:val="TableParagraph"/>
              <w:spacing w:before="15"/>
              <w:ind w:right="-15"/>
              <w:rPr>
                <w:sz w:val="20"/>
              </w:rPr>
            </w:pPr>
            <w:r>
              <w:rPr>
                <w:spacing w:val="-5"/>
                <w:sz w:val="20"/>
              </w:rPr>
              <w:t>New</w:t>
            </w:r>
          </w:p>
        </w:tc>
      </w:tr>
      <w:tr>
        <w:trPr>
          <w:trHeight w:val="269" w:hRule="atLeast"/>
        </w:trPr>
        <w:tc>
          <w:tcPr>
            <w:tcW w:w="3021" w:type="dxa"/>
            <w:tcBorders>
              <w:bottom w:val="single" w:sz="4" w:space="0" w:color="000000"/>
            </w:tcBorders>
          </w:tcPr>
          <w:p>
            <w:pPr>
              <w:pStyle w:val="TableParagraph"/>
              <w:spacing w:before="15"/>
              <w:ind w:left="14"/>
              <w:jc w:val="left"/>
              <w:rPr>
                <w:sz w:val="20"/>
              </w:rPr>
            </w:pPr>
            <w:r>
              <w:rPr>
                <w:spacing w:val="-2"/>
                <w:sz w:val="20"/>
              </w:rPr>
              <w:t>Administrative</w:t>
            </w:r>
            <w:r>
              <w:rPr>
                <w:spacing w:val="15"/>
                <w:sz w:val="20"/>
              </w:rPr>
              <w:t> </w:t>
            </w:r>
            <w:r>
              <w:rPr>
                <w:spacing w:val="-2"/>
                <w:sz w:val="20"/>
              </w:rPr>
              <w:t>Assistant</w:t>
            </w:r>
          </w:p>
        </w:tc>
        <w:tc>
          <w:tcPr>
            <w:tcW w:w="711" w:type="dxa"/>
            <w:tcBorders>
              <w:bottom w:val="single" w:sz="4" w:space="0" w:color="000000"/>
            </w:tcBorders>
          </w:tcPr>
          <w:p>
            <w:pPr>
              <w:pStyle w:val="TableParagraph"/>
              <w:spacing w:before="15"/>
              <w:ind w:left="32"/>
              <w:jc w:val="left"/>
              <w:rPr>
                <w:sz w:val="20"/>
              </w:rPr>
            </w:pPr>
            <w:r>
              <w:rPr>
                <w:spacing w:val="-2"/>
                <w:sz w:val="20"/>
              </w:rPr>
              <w:t>GS-</w:t>
            </w:r>
            <w:r>
              <w:rPr>
                <w:spacing w:val="-7"/>
                <w:sz w:val="20"/>
              </w:rPr>
              <w:t>OL</w:t>
            </w:r>
          </w:p>
        </w:tc>
        <w:tc>
          <w:tcPr>
            <w:tcW w:w="790" w:type="dxa"/>
            <w:tcBorders>
              <w:bottom w:val="single" w:sz="4" w:space="0" w:color="000000"/>
            </w:tcBorders>
          </w:tcPr>
          <w:p>
            <w:pPr>
              <w:pStyle w:val="TableParagraph"/>
              <w:spacing w:before="15"/>
              <w:ind w:right="54"/>
              <w:rPr>
                <w:sz w:val="20"/>
              </w:rPr>
            </w:pPr>
            <w:r>
              <w:rPr>
                <w:w w:val="100"/>
                <w:sz w:val="20"/>
              </w:rPr>
              <w:t>1</w:t>
            </w:r>
          </w:p>
        </w:tc>
        <w:tc>
          <w:tcPr>
            <w:tcW w:w="862" w:type="dxa"/>
            <w:tcBorders>
              <w:bottom w:val="single" w:sz="4" w:space="0" w:color="000000"/>
            </w:tcBorders>
          </w:tcPr>
          <w:p>
            <w:pPr>
              <w:pStyle w:val="TableParagraph"/>
              <w:spacing w:before="15"/>
              <w:ind w:right="210"/>
              <w:rPr>
                <w:sz w:val="20"/>
              </w:rPr>
            </w:pPr>
            <w:r>
              <w:rPr>
                <w:w w:val="100"/>
                <w:sz w:val="20"/>
              </w:rPr>
              <w:t>9</w:t>
            </w:r>
          </w:p>
        </w:tc>
        <w:tc>
          <w:tcPr>
            <w:tcW w:w="916" w:type="dxa"/>
            <w:tcBorders>
              <w:bottom w:val="single" w:sz="4" w:space="0" w:color="000000"/>
            </w:tcBorders>
          </w:tcPr>
          <w:p>
            <w:pPr>
              <w:pStyle w:val="TableParagraph"/>
              <w:spacing w:before="15"/>
              <w:ind w:left="195" w:right="144"/>
              <w:jc w:val="center"/>
              <w:rPr>
                <w:sz w:val="20"/>
              </w:rPr>
            </w:pPr>
            <w:r>
              <w:rPr>
                <w:spacing w:val="-4"/>
                <w:sz w:val="20"/>
              </w:rPr>
              <w:t>0.75</w:t>
            </w:r>
          </w:p>
        </w:tc>
        <w:tc>
          <w:tcPr>
            <w:tcW w:w="1096" w:type="dxa"/>
            <w:tcBorders>
              <w:bottom w:val="single" w:sz="4" w:space="0" w:color="000000"/>
            </w:tcBorders>
          </w:tcPr>
          <w:p>
            <w:pPr>
              <w:pStyle w:val="TableParagraph"/>
              <w:spacing w:before="15"/>
              <w:ind w:right="2"/>
              <w:rPr>
                <w:sz w:val="20"/>
              </w:rPr>
            </w:pPr>
            <w:r>
              <w:rPr>
                <w:spacing w:val="-5"/>
                <w:sz w:val="20"/>
              </w:rPr>
              <w:t>New</w:t>
            </w:r>
          </w:p>
        </w:tc>
      </w:tr>
      <w:tr>
        <w:trPr>
          <w:trHeight w:val="268" w:hRule="atLeast"/>
        </w:trPr>
        <w:tc>
          <w:tcPr>
            <w:tcW w:w="3021" w:type="dxa"/>
            <w:tcBorders>
              <w:top w:val="single" w:sz="4" w:space="0" w:color="000000"/>
              <w:bottom w:val="single" w:sz="4" w:space="0" w:color="000000"/>
            </w:tcBorders>
          </w:tcPr>
          <w:p>
            <w:pPr>
              <w:pStyle w:val="TableParagraph"/>
              <w:jc w:val="left"/>
              <w:rPr>
                <w:sz w:val="18"/>
              </w:rPr>
            </w:pPr>
          </w:p>
        </w:tc>
        <w:tc>
          <w:tcPr>
            <w:tcW w:w="711" w:type="dxa"/>
            <w:tcBorders>
              <w:top w:val="single" w:sz="4" w:space="0" w:color="000000"/>
              <w:bottom w:val="single" w:sz="4" w:space="0" w:color="000000"/>
            </w:tcBorders>
          </w:tcPr>
          <w:p>
            <w:pPr>
              <w:pStyle w:val="TableParagraph"/>
              <w:jc w:val="left"/>
              <w:rPr>
                <w:sz w:val="18"/>
              </w:rPr>
            </w:pPr>
          </w:p>
        </w:tc>
        <w:tc>
          <w:tcPr>
            <w:tcW w:w="790" w:type="dxa"/>
            <w:tcBorders>
              <w:top w:val="single" w:sz="4" w:space="0" w:color="000000"/>
              <w:bottom w:val="single" w:sz="4" w:space="0" w:color="000000"/>
            </w:tcBorders>
          </w:tcPr>
          <w:p>
            <w:pPr>
              <w:pStyle w:val="TableParagraph"/>
              <w:spacing w:line="229" w:lineRule="exact" w:before="19"/>
              <w:ind w:right="54"/>
              <w:rPr>
                <w:b/>
                <w:sz w:val="20"/>
              </w:rPr>
            </w:pPr>
            <w:r>
              <w:rPr>
                <w:b/>
                <w:w w:val="100"/>
                <w:sz w:val="20"/>
              </w:rPr>
              <w:t>2</w:t>
            </w:r>
          </w:p>
        </w:tc>
        <w:tc>
          <w:tcPr>
            <w:tcW w:w="862" w:type="dxa"/>
            <w:tcBorders>
              <w:top w:val="single" w:sz="4" w:space="0" w:color="000000"/>
              <w:bottom w:val="single" w:sz="4" w:space="0" w:color="000000"/>
            </w:tcBorders>
          </w:tcPr>
          <w:p>
            <w:pPr>
              <w:pStyle w:val="TableParagraph"/>
              <w:spacing w:line="229" w:lineRule="exact" w:before="19"/>
              <w:ind w:right="210"/>
              <w:rPr>
                <w:b/>
                <w:sz w:val="20"/>
              </w:rPr>
            </w:pPr>
            <w:r>
              <w:rPr>
                <w:b/>
                <w:spacing w:val="-5"/>
                <w:sz w:val="20"/>
              </w:rPr>
              <w:t>18</w:t>
            </w:r>
          </w:p>
        </w:tc>
        <w:tc>
          <w:tcPr>
            <w:tcW w:w="916" w:type="dxa"/>
            <w:tcBorders>
              <w:top w:val="single" w:sz="4" w:space="0" w:color="000000"/>
              <w:bottom w:val="single" w:sz="4" w:space="0" w:color="000000"/>
            </w:tcBorders>
          </w:tcPr>
          <w:p>
            <w:pPr>
              <w:pStyle w:val="TableParagraph"/>
              <w:spacing w:line="229" w:lineRule="exact" w:before="19"/>
              <w:ind w:left="195" w:right="144"/>
              <w:jc w:val="center"/>
              <w:rPr>
                <w:b/>
                <w:sz w:val="20"/>
              </w:rPr>
            </w:pPr>
            <w:r>
              <w:rPr>
                <w:b/>
                <w:spacing w:val="-4"/>
                <w:sz w:val="20"/>
              </w:rPr>
              <w:t>1.50</w:t>
            </w:r>
          </w:p>
        </w:tc>
        <w:tc>
          <w:tcPr>
            <w:tcW w:w="1096" w:type="dxa"/>
            <w:tcBorders>
              <w:top w:val="single" w:sz="4" w:space="0" w:color="000000"/>
              <w:bottom w:val="single" w:sz="4" w:space="0" w:color="000000"/>
            </w:tcBorders>
          </w:tcPr>
          <w:p>
            <w:pPr>
              <w:pStyle w:val="TableParagraph"/>
              <w:jc w:val="left"/>
              <w:rPr>
                <w:sz w:val="18"/>
              </w:rPr>
            </w:pPr>
          </w:p>
        </w:tc>
      </w:tr>
      <w:tr>
        <w:trPr>
          <w:trHeight w:val="268" w:hRule="atLeast"/>
        </w:trPr>
        <w:tc>
          <w:tcPr>
            <w:tcW w:w="3021" w:type="dxa"/>
            <w:tcBorders>
              <w:top w:val="single" w:sz="4" w:space="0" w:color="000000"/>
              <w:bottom w:val="single" w:sz="4" w:space="0" w:color="000000"/>
            </w:tcBorders>
          </w:tcPr>
          <w:p>
            <w:pPr>
              <w:pStyle w:val="TableParagraph"/>
              <w:spacing w:line="229" w:lineRule="exact" w:before="19"/>
              <w:ind w:left="14"/>
              <w:jc w:val="left"/>
              <w:rPr>
                <w:i/>
                <w:sz w:val="20"/>
              </w:rPr>
            </w:pPr>
            <w:r>
              <w:rPr>
                <w:i/>
                <w:sz w:val="20"/>
              </w:rPr>
              <w:t>Public</w:t>
            </w:r>
            <w:r>
              <w:rPr>
                <w:i/>
                <w:spacing w:val="-10"/>
                <w:sz w:val="20"/>
              </w:rPr>
              <w:t> </w:t>
            </w:r>
            <w:r>
              <w:rPr>
                <w:i/>
                <w:sz w:val="20"/>
              </w:rPr>
              <w:t>Information</w:t>
            </w:r>
            <w:r>
              <w:rPr>
                <w:i/>
                <w:spacing w:val="-4"/>
                <w:sz w:val="20"/>
              </w:rPr>
              <w:t> Unit</w:t>
            </w:r>
          </w:p>
        </w:tc>
        <w:tc>
          <w:tcPr>
            <w:tcW w:w="711" w:type="dxa"/>
            <w:tcBorders>
              <w:top w:val="single" w:sz="4" w:space="0" w:color="000000"/>
              <w:bottom w:val="single" w:sz="4" w:space="0" w:color="000000"/>
            </w:tcBorders>
          </w:tcPr>
          <w:p>
            <w:pPr>
              <w:pStyle w:val="TableParagraph"/>
              <w:jc w:val="left"/>
              <w:rPr>
                <w:sz w:val="18"/>
              </w:rPr>
            </w:pPr>
          </w:p>
        </w:tc>
        <w:tc>
          <w:tcPr>
            <w:tcW w:w="790" w:type="dxa"/>
            <w:tcBorders>
              <w:top w:val="single" w:sz="4" w:space="0" w:color="000000"/>
              <w:bottom w:val="single" w:sz="4" w:space="0" w:color="000000"/>
            </w:tcBorders>
          </w:tcPr>
          <w:p>
            <w:pPr>
              <w:pStyle w:val="TableParagraph"/>
              <w:jc w:val="left"/>
              <w:rPr>
                <w:sz w:val="18"/>
              </w:rPr>
            </w:pPr>
          </w:p>
        </w:tc>
        <w:tc>
          <w:tcPr>
            <w:tcW w:w="862" w:type="dxa"/>
            <w:tcBorders>
              <w:top w:val="single" w:sz="4" w:space="0" w:color="000000"/>
              <w:bottom w:val="single" w:sz="4" w:space="0" w:color="000000"/>
            </w:tcBorders>
          </w:tcPr>
          <w:p>
            <w:pPr>
              <w:pStyle w:val="TableParagraph"/>
              <w:jc w:val="left"/>
              <w:rPr>
                <w:sz w:val="18"/>
              </w:rPr>
            </w:pPr>
          </w:p>
        </w:tc>
        <w:tc>
          <w:tcPr>
            <w:tcW w:w="916" w:type="dxa"/>
            <w:tcBorders>
              <w:top w:val="single" w:sz="4" w:space="0" w:color="000000"/>
              <w:bottom w:val="single" w:sz="4" w:space="0" w:color="000000"/>
            </w:tcBorders>
          </w:tcPr>
          <w:p>
            <w:pPr>
              <w:pStyle w:val="TableParagraph"/>
              <w:jc w:val="left"/>
              <w:rPr>
                <w:sz w:val="18"/>
              </w:rPr>
            </w:pPr>
          </w:p>
        </w:tc>
        <w:tc>
          <w:tcPr>
            <w:tcW w:w="1096" w:type="dxa"/>
            <w:tcBorders>
              <w:top w:val="single" w:sz="4" w:space="0" w:color="000000"/>
              <w:bottom w:val="single" w:sz="4" w:space="0" w:color="000000"/>
            </w:tcBorders>
          </w:tcPr>
          <w:p>
            <w:pPr>
              <w:pStyle w:val="TableParagraph"/>
              <w:jc w:val="left"/>
              <w:rPr>
                <w:sz w:val="18"/>
              </w:rPr>
            </w:pPr>
          </w:p>
        </w:tc>
      </w:tr>
      <w:tr>
        <w:trPr>
          <w:trHeight w:val="275" w:hRule="atLeast"/>
        </w:trPr>
        <w:tc>
          <w:tcPr>
            <w:tcW w:w="3021" w:type="dxa"/>
            <w:tcBorders>
              <w:top w:val="single" w:sz="4" w:space="0" w:color="000000"/>
            </w:tcBorders>
          </w:tcPr>
          <w:p>
            <w:pPr>
              <w:pStyle w:val="TableParagraph"/>
              <w:spacing w:before="19"/>
              <w:ind w:left="14"/>
              <w:jc w:val="left"/>
              <w:rPr>
                <w:sz w:val="20"/>
              </w:rPr>
            </w:pPr>
            <w:r>
              <w:rPr>
                <w:sz w:val="20"/>
              </w:rPr>
              <w:t>Head,</w:t>
            </w:r>
            <w:r>
              <w:rPr>
                <w:spacing w:val="-6"/>
                <w:sz w:val="20"/>
              </w:rPr>
              <w:t> </w:t>
            </w:r>
            <w:r>
              <w:rPr>
                <w:sz w:val="20"/>
              </w:rPr>
              <w:t>Public</w:t>
            </w:r>
            <w:r>
              <w:rPr>
                <w:spacing w:val="-7"/>
                <w:sz w:val="20"/>
              </w:rPr>
              <w:t> </w:t>
            </w:r>
            <w:r>
              <w:rPr>
                <w:sz w:val="20"/>
              </w:rPr>
              <w:t>Information</w:t>
            </w:r>
            <w:r>
              <w:rPr>
                <w:spacing w:val="-9"/>
                <w:sz w:val="20"/>
              </w:rPr>
              <w:t> </w:t>
            </w:r>
            <w:r>
              <w:rPr>
                <w:spacing w:val="-4"/>
                <w:sz w:val="20"/>
              </w:rPr>
              <w:t>Unit</w:t>
            </w:r>
          </w:p>
        </w:tc>
        <w:tc>
          <w:tcPr>
            <w:tcW w:w="711" w:type="dxa"/>
            <w:tcBorders>
              <w:top w:val="single" w:sz="4" w:space="0" w:color="000000"/>
            </w:tcBorders>
          </w:tcPr>
          <w:p>
            <w:pPr>
              <w:pStyle w:val="TableParagraph"/>
              <w:spacing w:before="19"/>
              <w:ind w:left="32"/>
              <w:jc w:val="left"/>
              <w:rPr>
                <w:sz w:val="20"/>
              </w:rPr>
            </w:pPr>
            <w:r>
              <w:rPr>
                <w:spacing w:val="-2"/>
                <w:sz w:val="20"/>
              </w:rPr>
              <w:t>P-</w:t>
            </w:r>
            <w:r>
              <w:rPr>
                <w:spacing w:val="-10"/>
                <w:sz w:val="20"/>
              </w:rPr>
              <w:t>4</w:t>
            </w:r>
          </w:p>
        </w:tc>
        <w:tc>
          <w:tcPr>
            <w:tcW w:w="790" w:type="dxa"/>
            <w:tcBorders>
              <w:top w:val="single" w:sz="4" w:space="0" w:color="000000"/>
            </w:tcBorders>
          </w:tcPr>
          <w:p>
            <w:pPr>
              <w:pStyle w:val="TableParagraph"/>
              <w:spacing w:before="19"/>
              <w:ind w:right="54"/>
              <w:rPr>
                <w:sz w:val="20"/>
              </w:rPr>
            </w:pPr>
            <w:r>
              <w:rPr>
                <w:w w:val="100"/>
                <w:sz w:val="20"/>
              </w:rPr>
              <w:t>1</w:t>
            </w:r>
          </w:p>
        </w:tc>
        <w:tc>
          <w:tcPr>
            <w:tcW w:w="862" w:type="dxa"/>
            <w:tcBorders>
              <w:top w:val="single" w:sz="4" w:space="0" w:color="000000"/>
            </w:tcBorders>
          </w:tcPr>
          <w:p>
            <w:pPr>
              <w:pStyle w:val="TableParagraph"/>
              <w:spacing w:before="19"/>
              <w:ind w:right="210"/>
              <w:rPr>
                <w:sz w:val="20"/>
              </w:rPr>
            </w:pPr>
            <w:r>
              <w:rPr>
                <w:spacing w:val="-5"/>
                <w:sz w:val="20"/>
              </w:rPr>
              <w:t>12</w:t>
            </w:r>
          </w:p>
        </w:tc>
        <w:tc>
          <w:tcPr>
            <w:tcW w:w="916" w:type="dxa"/>
            <w:tcBorders>
              <w:top w:val="single" w:sz="4" w:space="0" w:color="000000"/>
            </w:tcBorders>
          </w:tcPr>
          <w:p>
            <w:pPr>
              <w:pStyle w:val="TableParagraph"/>
              <w:spacing w:before="19"/>
              <w:ind w:left="195" w:right="144"/>
              <w:jc w:val="center"/>
              <w:rPr>
                <w:sz w:val="20"/>
              </w:rPr>
            </w:pPr>
            <w:r>
              <w:rPr>
                <w:spacing w:val="-4"/>
                <w:sz w:val="20"/>
              </w:rPr>
              <w:t>1.00</w:t>
            </w:r>
          </w:p>
        </w:tc>
        <w:tc>
          <w:tcPr>
            <w:tcW w:w="1096" w:type="dxa"/>
            <w:tcBorders>
              <w:top w:val="single" w:sz="4" w:space="0" w:color="000000"/>
            </w:tcBorders>
          </w:tcPr>
          <w:p>
            <w:pPr>
              <w:pStyle w:val="TableParagraph"/>
              <w:spacing w:before="19"/>
              <w:rPr>
                <w:sz w:val="20"/>
              </w:rPr>
            </w:pPr>
            <w:r>
              <w:rPr>
                <w:spacing w:val="-2"/>
                <w:sz w:val="20"/>
              </w:rPr>
              <w:t>Continued</w:t>
            </w:r>
          </w:p>
        </w:tc>
      </w:tr>
      <w:tr>
        <w:trPr>
          <w:trHeight w:val="267" w:hRule="atLeast"/>
        </w:trPr>
        <w:tc>
          <w:tcPr>
            <w:tcW w:w="3021" w:type="dxa"/>
            <w:tcBorders>
              <w:bottom w:val="single" w:sz="4" w:space="0" w:color="000000"/>
            </w:tcBorders>
          </w:tcPr>
          <w:p>
            <w:pPr>
              <w:pStyle w:val="TableParagraph"/>
              <w:spacing w:line="229" w:lineRule="exact" w:before="18"/>
              <w:ind w:left="14"/>
              <w:jc w:val="left"/>
              <w:rPr>
                <w:sz w:val="20"/>
              </w:rPr>
            </w:pPr>
            <w:r>
              <w:rPr>
                <w:sz w:val="20"/>
              </w:rPr>
              <w:t>Associate</w:t>
            </w:r>
            <w:r>
              <w:rPr>
                <w:spacing w:val="-9"/>
                <w:sz w:val="20"/>
              </w:rPr>
              <w:t> </w:t>
            </w:r>
            <w:r>
              <w:rPr>
                <w:sz w:val="20"/>
              </w:rPr>
              <w:t>Public</w:t>
            </w:r>
            <w:r>
              <w:rPr>
                <w:spacing w:val="-8"/>
                <w:sz w:val="20"/>
              </w:rPr>
              <w:t> </w:t>
            </w:r>
            <w:r>
              <w:rPr>
                <w:sz w:val="20"/>
              </w:rPr>
              <w:t>Information</w:t>
            </w:r>
            <w:r>
              <w:rPr>
                <w:spacing w:val="-5"/>
                <w:sz w:val="20"/>
              </w:rPr>
              <w:t> </w:t>
            </w:r>
            <w:r>
              <w:rPr>
                <w:spacing w:val="-2"/>
                <w:sz w:val="20"/>
              </w:rPr>
              <w:t>Officer</w:t>
            </w:r>
          </w:p>
        </w:tc>
        <w:tc>
          <w:tcPr>
            <w:tcW w:w="711" w:type="dxa"/>
            <w:tcBorders>
              <w:bottom w:val="single" w:sz="4" w:space="0" w:color="000000"/>
            </w:tcBorders>
          </w:tcPr>
          <w:p>
            <w:pPr>
              <w:pStyle w:val="TableParagraph"/>
              <w:spacing w:line="229" w:lineRule="exact" w:before="18"/>
              <w:ind w:left="32"/>
              <w:jc w:val="left"/>
              <w:rPr>
                <w:sz w:val="20"/>
              </w:rPr>
            </w:pPr>
            <w:r>
              <w:rPr>
                <w:spacing w:val="-2"/>
                <w:sz w:val="20"/>
              </w:rPr>
              <w:t>P-</w:t>
            </w:r>
            <w:r>
              <w:rPr>
                <w:spacing w:val="-10"/>
                <w:sz w:val="20"/>
              </w:rPr>
              <w:t>2</w:t>
            </w:r>
          </w:p>
        </w:tc>
        <w:tc>
          <w:tcPr>
            <w:tcW w:w="790" w:type="dxa"/>
            <w:tcBorders>
              <w:bottom w:val="single" w:sz="4" w:space="0" w:color="000000"/>
            </w:tcBorders>
          </w:tcPr>
          <w:p>
            <w:pPr>
              <w:pStyle w:val="TableParagraph"/>
              <w:spacing w:line="229" w:lineRule="exact" w:before="18"/>
              <w:ind w:right="54"/>
              <w:rPr>
                <w:sz w:val="20"/>
              </w:rPr>
            </w:pPr>
            <w:r>
              <w:rPr>
                <w:w w:val="100"/>
                <w:sz w:val="20"/>
              </w:rPr>
              <w:t>1</w:t>
            </w:r>
          </w:p>
        </w:tc>
        <w:tc>
          <w:tcPr>
            <w:tcW w:w="862" w:type="dxa"/>
            <w:tcBorders>
              <w:bottom w:val="single" w:sz="4" w:space="0" w:color="000000"/>
            </w:tcBorders>
          </w:tcPr>
          <w:p>
            <w:pPr>
              <w:pStyle w:val="TableParagraph"/>
              <w:spacing w:line="229" w:lineRule="exact" w:before="18"/>
              <w:ind w:right="210"/>
              <w:rPr>
                <w:sz w:val="20"/>
              </w:rPr>
            </w:pPr>
            <w:r>
              <w:rPr>
                <w:w w:val="100"/>
                <w:sz w:val="20"/>
              </w:rPr>
              <w:t>9</w:t>
            </w:r>
          </w:p>
        </w:tc>
        <w:tc>
          <w:tcPr>
            <w:tcW w:w="916" w:type="dxa"/>
            <w:tcBorders>
              <w:bottom w:val="single" w:sz="4" w:space="0" w:color="000000"/>
            </w:tcBorders>
          </w:tcPr>
          <w:p>
            <w:pPr>
              <w:pStyle w:val="TableParagraph"/>
              <w:spacing w:line="229" w:lineRule="exact" w:before="18"/>
              <w:ind w:left="195" w:right="144"/>
              <w:jc w:val="center"/>
              <w:rPr>
                <w:sz w:val="20"/>
              </w:rPr>
            </w:pPr>
            <w:r>
              <w:rPr>
                <w:spacing w:val="-4"/>
                <w:sz w:val="20"/>
              </w:rPr>
              <w:t>0.75</w:t>
            </w:r>
          </w:p>
        </w:tc>
        <w:tc>
          <w:tcPr>
            <w:tcW w:w="1096" w:type="dxa"/>
            <w:tcBorders>
              <w:bottom w:val="single" w:sz="4" w:space="0" w:color="000000"/>
            </w:tcBorders>
          </w:tcPr>
          <w:p>
            <w:pPr>
              <w:pStyle w:val="TableParagraph"/>
              <w:spacing w:line="229" w:lineRule="exact" w:before="18"/>
              <w:ind w:right="-15"/>
              <w:rPr>
                <w:sz w:val="20"/>
              </w:rPr>
            </w:pPr>
            <w:r>
              <w:rPr>
                <w:spacing w:val="-5"/>
                <w:sz w:val="20"/>
              </w:rPr>
              <w:t>New</w:t>
            </w:r>
          </w:p>
        </w:tc>
      </w:tr>
      <w:tr>
        <w:trPr>
          <w:trHeight w:val="268" w:hRule="atLeast"/>
        </w:trPr>
        <w:tc>
          <w:tcPr>
            <w:tcW w:w="3021" w:type="dxa"/>
            <w:tcBorders>
              <w:top w:val="single" w:sz="4" w:space="0" w:color="000000"/>
              <w:bottom w:val="single" w:sz="8" w:space="0" w:color="000000"/>
            </w:tcBorders>
          </w:tcPr>
          <w:p>
            <w:pPr>
              <w:pStyle w:val="TableParagraph"/>
              <w:jc w:val="left"/>
              <w:rPr>
                <w:sz w:val="18"/>
              </w:rPr>
            </w:pPr>
          </w:p>
        </w:tc>
        <w:tc>
          <w:tcPr>
            <w:tcW w:w="711" w:type="dxa"/>
            <w:tcBorders>
              <w:top w:val="single" w:sz="4" w:space="0" w:color="000000"/>
              <w:bottom w:val="single" w:sz="8" w:space="0" w:color="000000"/>
            </w:tcBorders>
          </w:tcPr>
          <w:p>
            <w:pPr>
              <w:pStyle w:val="TableParagraph"/>
              <w:jc w:val="left"/>
              <w:rPr>
                <w:sz w:val="18"/>
              </w:rPr>
            </w:pPr>
          </w:p>
        </w:tc>
        <w:tc>
          <w:tcPr>
            <w:tcW w:w="790" w:type="dxa"/>
            <w:tcBorders>
              <w:top w:val="single" w:sz="4" w:space="0" w:color="000000"/>
              <w:bottom w:val="single" w:sz="8" w:space="0" w:color="000000"/>
            </w:tcBorders>
          </w:tcPr>
          <w:p>
            <w:pPr>
              <w:pStyle w:val="TableParagraph"/>
              <w:spacing w:line="229" w:lineRule="exact" w:before="19"/>
              <w:ind w:right="54"/>
              <w:rPr>
                <w:b/>
                <w:sz w:val="20"/>
              </w:rPr>
            </w:pPr>
            <w:r>
              <w:rPr>
                <w:b/>
                <w:w w:val="100"/>
                <w:sz w:val="20"/>
              </w:rPr>
              <w:t>2</w:t>
            </w:r>
          </w:p>
        </w:tc>
        <w:tc>
          <w:tcPr>
            <w:tcW w:w="862" w:type="dxa"/>
            <w:tcBorders>
              <w:top w:val="single" w:sz="4" w:space="0" w:color="000000"/>
              <w:bottom w:val="single" w:sz="8" w:space="0" w:color="000000"/>
            </w:tcBorders>
          </w:tcPr>
          <w:p>
            <w:pPr>
              <w:pStyle w:val="TableParagraph"/>
              <w:spacing w:line="229" w:lineRule="exact" w:before="19"/>
              <w:ind w:right="210"/>
              <w:rPr>
                <w:b/>
                <w:sz w:val="20"/>
              </w:rPr>
            </w:pPr>
            <w:r>
              <w:rPr>
                <w:b/>
                <w:spacing w:val="-5"/>
                <w:sz w:val="20"/>
              </w:rPr>
              <w:t>21</w:t>
            </w:r>
          </w:p>
        </w:tc>
        <w:tc>
          <w:tcPr>
            <w:tcW w:w="916" w:type="dxa"/>
            <w:tcBorders>
              <w:top w:val="single" w:sz="4" w:space="0" w:color="000000"/>
              <w:bottom w:val="single" w:sz="8" w:space="0" w:color="000000"/>
            </w:tcBorders>
          </w:tcPr>
          <w:p>
            <w:pPr>
              <w:pStyle w:val="TableParagraph"/>
              <w:spacing w:line="229" w:lineRule="exact" w:before="19"/>
              <w:ind w:left="195" w:right="144"/>
              <w:jc w:val="center"/>
              <w:rPr>
                <w:b/>
                <w:sz w:val="20"/>
              </w:rPr>
            </w:pPr>
            <w:r>
              <w:rPr>
                <w:b/>
                <w:spacing w:val="-4"/>
                <w:sz w:val="20"/>
              </w:rPr>
              <w:t>1.75</w:t>
            </w:r>
          </w:p>
        </w:tc>
        <w:tc>
          <w:tcPr>
            <w:tcW w:w="1096" w:type="dxa"/>
            <w:tcBorders>
              <w:top w:val="single" w:sz="4" w:space="0" w:color="000000"/>
              <w:bottom w:val="single" w:sz="8" w:space="0" w:color="000000"/>
            </w:tcBorders>
          </w:tcPr>
          <w:p>
            <w:pPr>
              <w:pStyle w:val="TableParagraph"/>
              <w:jc w:val="left"/>
              <w:rPr>
                <w:sz w:val="18"/>
              </w:rPr>
            </w:pPr>
          </w:p>
        </w:tc>
      </w:tr>
      <w:tr>
        <w:trPr>
          <w:trHeight w:val="273" w:hRule="atLeast"/>
        </w:trPr>
        <w:tc>
          <w:tcPr>
            <w:tcW w:w="3021" w:type="dxa"/>
            <w:tcBorders>
              <w:top w:val="single" w:sz="8" w:space="0" w:color="000000"/>
              <w:bottom w:val="single" w:sz="4" w:space="0" w:color="000000"/>
            </w:tcBorders>
          </w:tcPr>
          <w:p>
            <w:pPr>
              <w:pStyle w:val="TableParagraph"/>
              <w:spacing w:before="19"/>
              <w:ind w:left="14"/>
              <w:jc w:val="left"/>
              <w:rPr>
                <w:i/>
                <w:sz w:val="20"/>
              </w:rPr>
            </w:pPr>
            <w:r>
              <w:rPr>
                <w:i/>
                <w:sz w:val="20"/>
              </w:rPr>
              <w:t>OTP</w:t>
            </w:r>
            <w:r>
              <w:rPr>
                <w:i/>
                <w:spacing w:val="-1"/>
                <w:sz w:val="20"/>
              </w:rPr>
              <w:t> </w:t>
            </w:r>
            <w:r>
              <w:rPr>
                <w:i/>
                <w:sz w:val="20"/>
              </w:rPr>
              <w:t>HR</w:t>
            </w:r>
            <w:r>
              <w:rPr>
                <w:i/>
                <w:spacing w:val="-5"/>
                <w:sz w:val="20"/>
              </w:rPr>
              <w:t> </w:t>
            </w:r>
            <w:r>
              <w:rPr>
                <w:i/>
                <w:sz w:val="20"/>
              </w:rPr>
              <w:t>Liaison</w:t>
            </w:r>
            <w:r>
              <w:rPr>
                <w:i/>
                <w:spacing w:val="-2"/>
                <w:sz w:val="20"/>
              </w:rPr>
              <w:t> Office</w:t>
            </w:r>
          </w:p>
        </w:tc>
        <w:tc>
          <w:tcPr>
            <w:tcW w:w="711" w:type="dxa"/>
            <w:tcBorders>
              <w:top w:val="single" w:sz="8" w:space="0" w:color="000000"/>
              <w:bottom w:val="single" w:sz="4" w:space="0" w:color="000000"/>
            </w:tcBorders>
          </w:tcPr>
          <w:p>
            <w:pPr>
              <w:pStyle w:val="TableParagraph"/>
              <w:jc w:val="left"/>
              <w:rPr>
                <w:sz w:val="18"/>
              </w:rPr>
            </w:pPr>
          </w:p>
        </w:tc>
        <w:tc>
          <w:tcPr>
            <w:tcW w:w="790" w:type="dxa"/>
            <w:tcBorders>
              <w:top w:val="single" w:sz="8" w:space="0" w:color="000000"/>
              <w:bottom w:val="single" w:sz="4" w:space="0" w:color="000000"/>
            </w:tcBorders>
          </w:tcPr>
          <w:p>
            <w:pPr>
              <w:pStyle w:val="TableParagraph"/>
              <w:jc w:val="left"/>
              <w:rPr>
                <w:sz w:val="18"/>
              </w:rPr>
            </w:pPr>
          </w:p>
        </w:tc>
        <w:tc>
          <w:tcPr>
            <w:tcW w:w="862" w:type="dxa"/>
            <w:tcBorders>
              <w:top w:val="single" w:sz="8" w:space="0" w:color="000000"/>
              <w:bottom w:val="single" w:sz="4" w:space="0" w:color="000000"/>
            </w:tcBorders>
          </w:tcPr>
          <w:p>
            <w:pPr>
              <w:pStyle w:val="TableParagraph"/>
              <w:jc w:val="left"/>
              <w:rPr>
                <w:sz w:val="18"/>
              </w:rPr>
            </w:pPr>
          </w:p>
        </w:tc>
        <w:tc>
          <w:tcPr>
            <w:tcW w:w="916" w:type="dxa"/>
            <w:tcBorders>
              <w:top w:val="single" w:sz="8" w:space="0" w:color="000000"/>
              <w:bottom w:val="single" w:sz="4" w:space="0" w:color="000000"/>
            </w:tcBorders>
          </w:tcPr>
          <w:p>
            <w:pPr>
              <w:pStyle w:val="TableParagraph"/>
              <w:jc w:val="left"/>
              <w:rPr>
                <w:sz w:val="18"/>
              </w:rPr>
            </w:pPr>
          </w:p>
        </w:tc>
        <w:tc>
          <w:tcPr>
            <w:tcW w:w="1096" w:type="dxa"/>
            <w:tcBorders>
              <w:top w:val="single" w:sz="8" w:space="0" w:color="000000"/>
              <w:bottom w:val="single" w:sz="4" w:space="0" w:color="000000"/>
            </w:tcBorders>
          </w:tcPr>
          <w:p>
            <w:pPr>
              <w:pStyle w:val="TableParagraph"/>
              <w:jc w:val="left"/>
              <w:rPr>
                <w:sz w:val="18"/>
              </w:rPr>
            </w:pPr>
          </w:p>
        </w:tc>
      </w:tr>
      <w:tr>
        <w:trPr>
          <w:trHeight w:val="272" w:hRule="atLeast"/>
        </w:trPr>
        <w:tc>
          <w:tcPr>
            <w:tcW w:w="3021" w:type="dxa"/>
            <w:tcBorders>
              <w:top w:val="single" w:sz="4" w:space="0" w:color="000000"/>
            </w:tcBorders>
          </w:tcPr>
          <w:p>
            <w:pPr>
              <w:pStyle w:val="TableParagraph"/>
              <w:spacing w:before="19"/>
              <w:ind w:left="14"/>
              <w:jc w:val="left"/>
              <w:rPr>
                <w:sz w:val="20"/>
              </w:rPr>
            </w:pPr>
            <w:r>
              <w:rPr>
                <w:sz w:val="20"/>
              </w:rPr>
              <w:t>Associate</w:t>
            </w:r>
            <w:r>
              <w:rPr>
                <w:spacing w:val="-5"/>
                <w:sz w:val="20"/>
              </w:rPr>
              <w:t> </w:t>
            </w:r>
            <w:r>
              <w:rPr>
                <w:sz w:val="20"/>
              </w:rPr>
              <w:t>HR</w:t>
            </w:r>
            <w:r>
              <w:rPr>
                <w:spacing w:val="-2"/>
                <w:sz w:val="20"/>
              </w:rPr>
              <w:t> Officer</w:t>
            </w:r>
          </w:p>
        </w:tc>
        <w:tc>
          <w:tcPr>
            <w:tcW w:w="711" w:type="dxa"/>
            <w:tcBorders>
              <w:top w:val="single" w:sz="4" w:space="0" w:color="000000"/>
            </w:tcBorders>
          </w:tcPr>
          <w:p>
            <w:pPr>
              <w:pStyle w:val="TableParagraph"/>
              <w:spacing w:before="19"/>
              <w:ind w:left="32"/>
              <w:jc w:val="left"/>
              <w:rPr>
                <w:sz w:val="20"/>
              </w:rPr>
            </w:pPr>
            <w:r>
              <w:rPr>
                <w:spacing w:val="-2"/>
                <w:sz w:val="20"/>
              </w:rPr>
              <w:t>P-</w:t>
            </w:r>
            <w:r>
              <w:rPr>
                <w:spacing w:val="-10"/>
                <w:sz w:val="20"/>
              </w:rPr>
              <w:t>2</w:t>
            </w:r>
          </w:p>
        </w:tc>
        <w:tc>
          <w:tcPr>
            <w:tcW w:w="790" w:type="dxa"/>
            <w:tcBorders>
              <w:top w:val="single" w:sz="4" w:space="0" w:color="000000"/>
            </w:tcBorders>
          </w:tcPr>
          <w:p>
            <w:pPr>
              <w:pStyle w:val="TableParagraph"/>
              <w:spacing w:before="19"/>
              <w:ind w:right="54"/>
              <w:rPr>
                <w:sz w:val="20"/>
              </w:rPr>
            </w:pPr>
            <w:r>
              <w:rPr>
                <w:w w:val="100"/>
                <w:sz w:val="20"/>
              </w:rPr>
              <w:t>2</w:t>
            </w:r>
          </w:p>
        </w:tc>
        <w:tc>
          <w:tcPr>
            <w:tcW w:w="862" w:type="dxa"/>
            <w:tcBorders>
              <w:top w:val="single" w:sz="4" w:space="0" w:color="000000"/>
            </w:tcBorders>
          </w:tcPr>
          <w:p>
            <w:pPr>
              <w:pStyle w:val="TableParagraph"/>
              <w:spacing w:before="19"/>
              <w:ind w:right="210"/>
              <w:rPr>
                <w:sz w:val="20"/>
              </w:rPr>
            </w:pPr>
            <w:r>
              <w:rPr>
                <w:spacing w:val="-5"/>
                <w:sz w:val="20"/>
              </w:rPr>
              <w:t>18</w:t>
            </w:r>
          </w:p>
        </w:tc>
        <w:tc>
          <w:tcPr>
            <w:tcW w:w="916" w:type="dxa"/>
            <w:tcBorders>
              <w:top w:val="single" w:sz="4" w:space="0" w:color="000000"/>
            </w:tcBorders>
          </w:tcPr>
          <w:p>
            <w:pPr>
              <w:pStyle w:val="TableParagraph"/>
              <w:spacing w:before="19"/>
              <w:ind w:left="195" w:right="144"/>
              <w:jc w:val="center"/>
              <w:rPr>
                <w:sz w:val="20"/>
              </w:rPr>
            </w:pPr>
            <w:r>
              <w:rPr>
                <w:spacing w:val="-4"/>
                <w:sz w:val="20"/>
              </w:rPr>
              <w:t>1.50</w:t>
            </w:r>
          </w:p>
        </w:tc>
        <w:tc>
          <w:tcPr>
            <w:tcW w:w="1096" w:type="dxa"/>
            <w:tcBorders>
              <w:top w:val="single" w:sz="4" w:space="0" w:color="000000"/>
            </w:tcBorders>
          </w:tcPr>
          <w:p>
            <w:pPr>
              <w:pStyle w:val="TableParagraph"/>
              <w:spacing w:before="19"/>
              <w:ind w:right="-15"/>
              <w:rPr>
                <w:sz w:val="20"/>
              </w:rPr>
            </w:pPr>
            <w:r>
              <w:rPr>
                <w:spacing w:val="-5"/>
                <w:sz w:val="20"/>
              </w:rPr>
              <w:t>New</w:t>
            </w:r>
          </w:p>
        </w:tc>
      </w:tr>
      <w:tr>
        <w:trPr>
          <w:trHeight w:val="264" w:hRule="atLeast"/>
        </w:trPr>
        <w:tc>
          <w:tcPr>
            <w:tcW w:w="3021" w:type="dxa"/>
            <w:tcBorders>
              <w:bottom w:val="single" w:sz="4" w:space="0" w:color="000000"/>
            </w:tcBorders>
          </w:tcPr>
          <w:p>
            <w:pPr>
              <w:pStyle w:val="TableParagraph"/>
              <w:spacing w:line="229" w:lineRule="exact" w:before="15"/>
              <w:ind w:left="14"/>
              <w:jc w:val="left"/>
              <w:rPr>
                <w:sz w:val="20"/>
              </w:rPr>
            </w:pPr>
            <w:r>
              <w:rPr>
                <w:sz w:val="20"/>
              </w:rPr>
              <w:t>HR</w:t>
            </w:r>
            <w:r>
              <w:rPr>
                <w:spacing w:val="-1"/>
                <w:sz w:val="20"/>
              </w:rPr>
              <w:t> </w:t>
            </w:r>
            <w:r>
              <w:rPr>
                <w:sz w:val="20"/>
              </w:rPr>
              <w:t>Staff</w:t>
            </w:r>
            <w:r>
              <w:rPr>
                <w:spacing w:val="-1"/>
                <w:sz w:val="20"/>
              </w:rPr>
              <w:t> </w:t>
            </w:r>
            <w:r>
              <w:rPr>
                <w:spacing w:val="-2"/>
                <w:sz w:val="20"/>
              </w:rPr>
              <w:t>Assistant</w:t>
            </w:r>
          </w:p>
        </w:tc>
        <w:tc>
          <w:tcPr>
            <w:tcW w:w="711" w:type="dxa"/>
            <w:tcBorders>
              <w:bottom w:val="single" w:sz="4" w:space="0" w:color="000000"/>
            </w:tcBorders>
          </w:tcPr>
          <w:p>
            <w:pPr>
              <w:pStyle w:val="TableParagraph"/>
              <w:spacing w:line="229" w:lineRule="exact" w:before="15"/>
              <w:ind w:left="32"/>
              <w:jc w:val="left"/>
              <w:rPr>
                <w:sz w:val="20"/>
              </w:rPr>
            </w:pPr>
            <w:r>
              <w:rPr>
                <w:spacing w:val="-2"/>
                <w:sz w:val="20"/>
              </w:rPr>
              <w:t>GS-</w:t>
            </w:r>
            <w:r>
              <w:rPr>
                <w:spacing w:val="-7"/>
                <w:sz w:val="20"/>
              </w:rPr>
              <w:t>OL</w:t>
            </w:r>
          </w:p>
        </w:tc>
        <w:tc>
          <w:tcPr>
            <w:tcW w:w="790" w:type="dxa"/>
            <w:tcBorders>
              <w:bottom w:val="single" w:sz="4" w:space="0" w:color="000000"/>
            </w:tcBorders>
          </w:tcPr>
          <w:p>
            <w:pPr>
              <w:pStyle w:val="TableParagraph"/>
              <w:spacing w:line="229" w:lineRule="exact" w:before="15"/>
              <w:ind w:right="54"/>
              <w:rPr>
                <w:sz w:val="20"/>
              </w:rPr>
            </w:pPr>
            <w:r>
              <w:rPr>
                <w:w w:val="100"/>
                <w:sz w:val="20"/>
              </w:rPr>
              <w:t>1</w:t>
            </w:r>
          </w:p>
        </w:tc>
        <w:tc>
          <w:tcPr>
            <w:tcW w:w="862" w:type="dxa"/>
            <w:tcBorders>
              <w:bottom w:val="single" w:sz="4" w:space="0" w:color="000000"/>
            </w:tcBorders>
          </w:tcPr>
          <w:p>
            <w:pPr>
              <w:pStyle w:val="TableParagraph"/>
              <w:spacing w:line="229" w:lineRule="exact" w:before="15"/>
              <w:ind w:right="210"/>
              <w:rPr>
                <w:sz w:val="20"/>
              </w:rPr>
            </w:pPr>
            <w:r>
              <w:rPr>
                <w:spacing w:val="-5"/>
                <w:sz w:val="20"/>
              </w:rPr>
              <w:t>12</w:t>
            </w:r>
          </w:p>
        </w:tc>
        <w:tc>
          <w:tcPr>
            <w:tcW w:w="916" w:type="dxa"/>
            <w:tcBorders>
              <w:bottom w:val="single" w:sz="4" w:space="0" w:color="000000"/>
            </w:tcBorders>
          </w:tcPr>
          <w:p>
            <w:pPr>
              <w:pStyle w:val="TableParagraph"/>
              <w:spacing w:line="229" w:lineRule="exact" w:before="15"/>
              <w:ind w:left="195" w:right="144"/>
              <w:jc w:val="center"/>
              <w:rPr>
                <w:sz w:val="20"/>
              </w:rPr>
            </w:pPr>
            <w:r>
              <w:rPr>
                <w:spacing w:val="-4"/>
                <w:sz w:val="20"/>
              </w:rPr>
              <w:t>1.00</w:t>
            </w:r>
          </w:p>
        </w:tc>
        <w:tc>
          <w:tcPr>
            <w:tcW w:w="1096" w:type="dxa"/>
            <w:tcBorders>
              <w:bottom w:val="single" w:sz="4" w:space="0" w:color="000000"/>
            </w:tcBorders>
          </w:tcPr>
          <w:p>
            <w:pPr>
              <w:pStyle w:val="TableParagraph"/>
              <w:spacing w:line="229" w:lineRule="exact" w:before="15"/>
              <w:ind w:right="-15"/>
              <w:rPr>
                <w:sz w:val="20"/>
              </w:rPr>
            </w:pPr>
            <w:r>
              <w:rPr>
                <w:spacing w:val="-5"/>
                <w:sz w:val="20"/>
              </w:rPr>
              <w:t>New</w:t>
            </w:r>
          </w:p>
        </w:tc>
      </w:tr>
      <w:tr>
        <w:trPr>
          <w:trHeight w:val="273" w:hRule="atLeast"/>
        </w:trPr>
        <w:tc>
          <w:tcPr>
            <w:tcW w:w="3021" w:type="dxa"/>
            <w:tcBorders>
              <w:top w:val="single" w:sz="4" w:space="0" w:color="000000"/>
              <w:bottom w:val="single" w:sz="4" w:space="0" w:color="000000"/>
            </w:tcBorders>
          </w:tcPr>
          <w:p>
            <w:pPr>
              <w:pStyle w:val="TableParagraph"/>
              <w:jc w:val="left"/>
              <w:rPr>
                <w:sz w:val="18"/>
              </w:rPr>
            </w:pPr>
          </w:p>
        </w:tc>
        <w:tc>
          <w:tcPr>
            <w:tcW w:w="711" w:type="dxa"/>
            <w:tcBorders>
              <w:top w:val="single" w:sz="4" w:space="0" w:color="000000"/>
              <w:bottom w:val="single" w:sz="4" w:space="0" w:color="000000"/>
            </w:tcBorders>
          </w:tcPr>
          <w:p>
            <w:pPr>
              <w:pStyle w:val="TableParagraph"/>
              <w:jc w:val="left"/>
              <w:rPr>
                <w:sz w:val="18"/>
              </w:rPr>
            </w:pPr>
          </w:p>
        </w:tc>
        <w:tc>
          <w:tcPr>
            <w:tcW w:w="790" w:type="dxa"/>
            <w:tcBorders>
              <w:top w:val="single" w:sz="4" w:space="0" w:color="000000"/>
              <w:bottom w:val="single" w:sz="4" w:space="0" w:color="000000"/>
            </w:tcBorders>
          </w:tcPr>
          <w:p>
            <w:pPr>
              <w:pStyle w:val="TableParagraph"/>
              <w:spacing w:before="19"/>
              <w:ind w:right="54"/>
              <w:rPr>
                <w:b/>
                <w:sz w:val="20"/>
              </w:rPr>
            </w:pPr>
            <w:r>
              <w:rPr>
                <w:b/>
                <w:w w:val="100"/>
                <w:sz w:val="20"/>
              </w:rPr>
              <w:t>3</w:t>
            </w:r>
          </w:p>
        </w:tc>
        <w:tc>
          <w:tcPr>
            <w:tcW w:w="862" w:type="dxa"/>
            <w:tcBorders>
              <w:top w:val="single" w:sz="4" w:space="0" w:color="000000"/>
              <w:bottom w:val="single" w:sz="4" w:space="0" w:color="000000"/>
            </w:tcBorders>
          </w:tcPr>
          <w:p>
            <w:pPr>
              <w:pStyle w:val="TableParagraph"/>
              <w:spacing w:before="19"/>
              <w:ind w:right="210"/>
              <w:rPr>
                <w:b/>
                <w:sz w:val="20"/>
              </w:rPr>
            </w:pPr>
            <w:r>
              <w:rPr>
                <w:b/>
                <w:spacing w:val="-5"/>
                <w:sz w:val="20"/>
              </w:rPr>
              <w:t>30</w:t>
            </w:r>
          </w:p>
        </w:tc>
        <w:tc>
          <w:tcPr>
            <w:tcW w:w="916" w:type="dxa"/>
            <w:tcBorders>
              <w:top w:val="single" w:sz="4" w:space="0" w:color="000000"/>
              <w:bottom w:val="single" w:sz="4" w:space="0" w:color="000000"/>
            </w:tcBorders>
          </w:tcPr>
          <w:p>
            <w:pPr>
              <w:pStyle w:val="TableParagraph"/>
              <w:spacing w:before="19"/>
              <w:ind w:left="195" w:right="144"/>
              <w:jc w:val="center"/>
              <w:rPr>
                <w:b/>
                <w:sz w:val="20"/>
              </w:rPr>
            </w:pPr>
            <w:r>
              <w:rPr>
                <w:b/>
                <w:spacing w:val="-4"/>
                <w:sz w:val="20"/>
              </w:rPr>
              <w:t>2.50</w:t>
            </w:r>
          </w:p>
        </w:tc>
        <w:tc>
          <w:tcPr>
            <w:tcW w:w="1096" w:type="dxa"/>
            <w:tcBorders>
              <w:top w:val="single" w:sz="4" w:space="0" w:color="000000"/>
              <w:bottom w:val="single" w:sz="4" w:space="0" w:color="000000"/>
            </w:tcBorders>
          </w:tcPr>
          <w:p>
            <w:pPr>
              <w:pStyle w:val="TableParagraph"/>
              <w:jc w:val="left"/>
              <w:rPr>
                <w:sz w:val="18"/>
              </w:rPr>
            </w:pPr>
          </w:p>
        </w:tc>
      </w:tr>
      <w:tr>
        <w:trPr>
          <w:trHeight w:val="268" w:hRule="atLeast"/>
        </w:trPr>
        <w:tc>
          <w:tcPr>
            <w:tcW w:w="3021" w:type="dxa"/>
            <w:tcBorders>
              <w:top w:val="single" w:sz="4" w:space="0" w:color="000000"/>
              <w:bottom w:val="single" w:sz="4" w:space="0" w:color="000000"/>
            </w:tcBorders>
          </w:tcPr>
          <w:p>
            <w:pPr>
              <w:pStyle w:val="TableParagraph"/>
              <w:spacing w:line="229" w:lineRule="exact" w:before="20"/>
              <w:ind w:left="14"/>
              <w:jc w:val="left"/>
              <w:rPr>
                <w:i/>
                <w:sz w:val="20"/>
              </w:rPr>
            </w:pPr>
            <w:r>
              <w:rPr>
                <w:i/>
                <w:sz w:val="20"/>
              </w:rPr>
              <w:t>Financial</w:t>
            </w:r>
            <w:r>
              <w:rPr>
                <w:i/>
                <w:spacing w:val="-6"/>
                <w:sz w:val="20"/>
              </w:rPr>
              <w:t> </w:t>
            </w:r>
            <w:r>
              <w:rPr>
                <w:i/>
                <w:sz w:val="20"/>
              </w:rPr>
              <w:t>Planning</w:t>
            </w:r>
            <w:r>
              <w:rPr>
                <w:i/>
                <w:spacing w:val="-8"/>
                <w:sz w:val="20"/>
              </w:rPr>
              <w:t> </w:t>
            </w:r>
            <w:r>
              <w:rPr>
                <w:i/>
                <w:sz w:val="20"/>
              </w:rPr>
              <w:t>and</w:t>
            </w:r>
            <w:r>
              <w:rPr>
                <w:i/>
                <w:spacing w:val="-7"/>
                <w:sz w:val="20"/>
              </w:rPr>
              <w:t> </w:t>
            </w:r>
            <w:r>
              <w:rPr>
                <w:i/>
                <w:sz w:val="20"/>
              </w:rPr>
              <w:t>Control</w:t>
            </w:r>
            <w:r>
              <w:rPr>
                <w:i/>
                <w:spacing w:val="-1"/>
                <w:sz w:val="20"/>
              </w:rPr>
              <w:t> </w:t>
            </w:r>
            <w:r>
              <w:rPr>
                <w:i/>
                <w:spacing w:val="-4"/>
                <w:sz w:val="20"/>
              </w:rPr>
              <w:t>Unit</w:t>
            </w:r>
          </w:p>
        </w:tc>
        <w:tc>
          <w:tcPr>
            <w:tcW w:w="711" w:type="dxa"/>
            <w:tcBorders>
              <w:top w:val="single" w:sz="4" w:space="0" w:color="000000"/>
              <w:bottom w:val="single" w:sz="4" w:space="0" w:color="000000"/>
            </w:tcBorders>
          </w:tcPr>
          <w:p>
            <w:pPr>
              <w:pStyle w:val="TableParagraph"/>
              <w:jc w:val="left"/>
              <w:rPr>
                <w:sz w:val="18"/>
              </w:rPr>
            </w:pPr>
          </w:p>
        </w:tc>
        <w:tc>
          <w:tcPr>
            <w:tcW w:w="790" w:type="dxa"/>
            <w:tcBorders>
              <w:top w:val="single" w:sz="4" w:space="0" w:color="000000"/>
              <w:bottom w:val="single" w:sz="4" w:space="0" w:color="000000"/>
            </w:tcBorders>
          </w:tcPr>
          <w:p>
            <w:pPr>
              <w:pStyle w:val="TableParagraph"/>
              <w:jc w:val="left"/>
              <w:rPr>
                <w:sz w:val="18"/>
              </w:rPr>
            </w:pPr>
          </w:p>
        </w:tc>
        <w:tc>
          <w:tcPr>
            <w:tcW w:w="862" w:type="dxa"/>
            <w:tcBorders>
              <w:top w:val="single" w:sz="4" w:space="0" w:color="000000"/>
              <w:bottom w:val="single" w:sz="4" w:space="0" w:color="000000"/>
            </w:tcBorders>
          </w:tcPr>
          <w:p>
            <w:pPr>
              <w:pStyle w:val="TableParagraph"/>
              <w:jc w:val="left"/>
              <w:rPr>
                <w:sz w:val="18"/>
              </w:rPr>
            </w:pPr>
          </w:p>
        </w:tc>
        <w:tc>
          <w:tcPr>
            <w:tcW w:w="916" w:type="dxa"/>
            <w:tcBorders>
              <w:top w:val="single" w:sz="4" w:space="0" w:color="000000"/>
              <w:bottom w:val="single" w:sz="4" w:space="0" w:color="000000"/>
            </w:tcBorders>
          </w:tcPr>
          <w:p>
            <w:pPr>
              <w:pStyle w:val="TableParagraph"/>
              <w:jc w:val="left"/>
              <w:rPr>
                <w:sz w:val="18"/>
              </w:rPr>
            </w:pPr>
          </w:p>
        </w:tc>
        <w:tc>
          <w:tcPr>
            <w:tcW w:w="1096" w:type="dxa"/>
            <w:tcBorders>
              <w:top w:val="single" w:sz="4" w:space="0" w:color="000000"/>
              <w:bottom w:val="single" w:sz="4" w:space="0" w:color="000000"/>
            </w:tcBorders>
          </w:tcPr>
          <w:p>
            <w:pPr>
              <w:pStyle w:val="TableParagraph"/>
              <w:jc w:val="left"/>
              <w:rPr>
                <w:sz w:val="18"/>
              </w:rPr>
            </w:pPr>
          </w:p>
        </w:tc>
      </w:tr>
      <w:tr>
        <w:trPr>
          <w:trHeight w:val="272" w:hRule="atLeast"/>
        </w:trPr>
        <w:tc>
          <w:tcPr>
            <w:tcW w:w="3021" w:type="dxa"/>
            <w:tcBorders>
              <w:top w:val="single" w:sz="4" w:space="0" w:color="000000"/>
            </w:tcBorders>
          </w:tcPr>
          <w:p>
            <w:pPr>
              <w:pStyle w:val="TableParagraph"/>
              <w:spacing w:before="19"/>
              <w:ind w:left="14"/>
              <w:jc w:val="left"/>
              <w:rPr>
                <w:sz w:val="20"/>
              </w:rPr>
            </w:pPr>
            <w:r>
              <w:rPr>
                <w:sz w:val="20"/>
              </w:rPr>
              <w:t>Associate</w:t>
            </w:r>
            <w:r>
              <w:rPr>
                <w:spacing w:val="-11"/>
                <w:sz w:val="20"/>
              </w:rPr>
              <w:t> </w:t>
            </w:r>
            <w:r>
              <w:rPr>
                <w:sz w:val="20"/>
              </w:rPr>
              <w:t>Administration</w:t>
            </w:r>
            <w:r>
              <w:rPr>
                <w:spacing w:val="-11"/>
                <w:sz w:val="20"/>
              </w:rPr>
              <w:t> </w:t>
            </w:r>
            <w:r>
              <w:rPr>
                <w:spacing w:val="-2"/>
                <w:sz w:val="20"/>
              </w:rPr>
              <w:t>Officer</w:t>
            </w:r>
          </w:p>
        </w:tc>
        <w:tc>
          <w:tcPr>
            <w:tcW w:w="711" w:type="dxa"/>
            <w:tcBorders>
              <w:top w:val="single" w:sz="4" w:space="0" w:color="000000"/>
            </w:tcBorders>
          </w:tcPr>
          <w:p>
            <w:pPr>
              <w:pStyle w:val="TableParagraph"/>
              <w:spacing w:before="19"/>
              <w:ind w:left="32"/>
              <w:jc w:val="left"/>
              <w:rPr>
                <w:sz w:val="20"/>
              </w:rPr>
            </w:pPr>
            <w:r>
              <w:rPr>
                <w:spacing w:val="-2"/>
                <w:sz w:val="20"/>
              </w:rPr>
              <w:t>P-</w:t>
            </w:r>
            <w:r>
              <w:rPr>
                <w:spacing w:val="-10"/>
                <w:sz w:val="20"/>
              </w:rPr>
              <w:t>2</w:t>
            </w:r>
          </w:p>
        </w:tc>
        <w:tc>
          <w:tcPr>
            <w:tcW w:w="790" w:type="dxa"/>
            <w:tcBorders>
              <w:top w:val="single" w:sz="4" w:space="0" w:color="000000"/>
            </w:tcBorders>
          </w:tcPr>
          <w:p>
            <w:pPr>
              <w:pStyle w:val="TableParagraph"/>
              <w:spacing w:before="19"/>
              <w:ind w:right="54"/>
              <w:rPr>
                <w:sz w:val="20"/>
              </w:rPr>
            </w:pPr>
            <w:r>
              <w:rPr>
                <w:w w:val="100"/>
                <w:sz w:val="20"/>
              </w:rPr>
              <w:t>1</w:t>
            </w:r>
          </w:p>
        </w:tc>
        <w:tc>
          <w:tcPr>
            <w:tcW w:w="862" w:type="dxa"/>
            <w:tcBorders>
              <w:top w:val="single" w:sz="4" w:space="0" w:color="000000"/>
            </w:tcBorders>
          </w:tcPr>
          <w:p>
            <w:pPr>
              <w:pStyle w:val="TableParagraph"/>
              <w:spacing w:before="19"/>
              <w:ind w:right="210"/>
              <w:rPr>
                <w:sz w:val="20"/>
              </w:rPr>
            </w:pPr>
            <w:r>
              <w:rPr>
                <w:w w:val="100"/>
                <w:sz w:val="20"/>
              </w:rPr>
              <w:t>9</w:t>
            </w:r>
          </w:p>
        </w:tc>
        <w:tc>
          <w:tcPr>
            <w:tcW w:w="916" w:type="dxa"/>
            <w:tcBorders>
              <w:top w:val="single" w:sz="4" w:space="0" w:color="000000"/>
            </w:tcBorders>
          </w:tcPr>
          <w:p>
            <w:pPr>
              <w:pStyle w:val="TableParagraph"/>
              <w:spacing w:before="19"/>
              <w:ind w:left="195" w:right="144"/>
              <w:jc w:val="center"/>
              <w:rPr>
                <w:sz w:val="20"/>
              </w:rPr>
            </w:pPr>
            <w:r>
              <w:rPr>
                <w:spacing w:val="-4"/>
                <w:sz w:val="20"/>
              </w:rPr>
              <w:t>0.75</w:t>
            </w:r>
          </w:p>
        </w:tc>
        <w:tc>
          <w:tcPr>
            <w:tcW w:w="1096" w:type="dxa"/>
            <w:tcBorders>
              <w:top w:val="single" w:sz="4" w:space="0" w:color="000000"/>
            </w:tcBorders>
          </w:tcPr>
          <w:p>
            <w:pPr>
              <w:pStyle w:val="TableParagraph"/>
              <w:spacing w:before="19"/>
              <w:ind w:right="2"/>
              <w:rPr>
                <w:sz w:val="20"/>
              </w:rPr>
            </w:pPr>
            <w:r>
              <w:rPr>
                <w:spacing w:val="-5"/>
                <w:sz w:val="20"/>
              </w:rPr>
              <w:t>New</w:t>
            </w:r>
          </w:p>
        </w:tc>
      </w:tr>
      <w:tr>
        <w:trPr>
          <w:trHeight w:val="495" w:hRule="atLeast"/>
        </w:trPr>
        <w:tc>
          <w:tcPr>
            <w:tcW w:w="3021" w:type="dxa"/>
            <w:tcBorders>
              <w:bottom w:val="single" w:sz="4" w:space="0" w:color="000000"/>
            </w:tcBorders>
          </w:tcPr>
          <w:p>
            <w:pPr>
              <w:pStyle w:val="TableParagraph"/>
              <w:spacing w:line="230" w:lineRule="atLeast" w:before="15"/>
              <w:ind w:left="14"/>
              <w:jc w:val="left"/>
              <w:rPr>
                <w:sz w:val="20"/>
              </w:rPr>
            </w:pPr>
            <w:r>
              <w:rPr>
                <w:sz w:val="20"/>
              </w:rPr>
              <w:t>Finance</w:t>
            </w:r>
            <w:r>
              <w:rPr>
                <w:spacing w:val="-13"/>
                <w:sz w:val="20"/>
              </w:rPr>
              <w:t> </w:t>
            </w:r>
            <w:r>
              <w:rPr>
                <w:sz w:val="20"/>
              </w:rPr>
              <w:t>and</w:t>
            </w:r>
            <w:r>
              <w:rPr>
                <w:spacing w:val="-12"/>
                <w:sz w:val="20"/>
              </w:rPr>
              <w:t> </w:t>
            </w:r>
            <w:r>
              <w:rPr>
                <w:sz w:val="20"/>
              </w:rPr>
              <w:t>General</w:t>
            </w:r>
            <w:r>
              <w:rPr>
                <w:spacing w:val="-11"/>
                <w:sz w:val="20"/>
              </w:rPr>
              <w:t> </w:t>
            </w:r>
            <w:r>
              <w:rPr>
                <w:sz w:val="20"/>
              </w:rPr>
              <w:t>Administration </w:t>
            </w:r>
            <w:r>
              <w:rPr>
                <w:spacing w:val="-2"/>
                <w:sz w:val="20"/>
              </w:rPr>
              <w:t>Assistant</w:t>
            </w:r>
          </w:p>
        </w:tc>
        <w:tc>
          <w:tcPr>
            <w:tcW w:w="711" w:type="dxa"/>
            <w:tcBorders>
              <w:bottom w:val="single" w:sz="4" w:space="0" w:color="000000"/>
            </w:tcBorders>
          </w:tcPr>
          <w:p>
            <w:pPr>
              <w:pStyle w:val="TableParagraph"/>
              <w:spacing w:before="4"/>
              <w:jc w:val="left"/>
              <w:rPr>
                <w:sz w:val="21"/>
              </w:rPr>
            </w:pPr>
          </w:p>
          <w:p>
            <w:pPr>
              <w:pStyle w:val="TableParagraph"/>
              <w:spacing w:line="229" w:lineRule="exact"/>
              <w:ind w:left="32"/>
              <w:jc w:val="left"/>
              <w:rPr>
                <w:sz w:val="20"/>
              </w:rPr>
            </w:pPr>
            <w:r>
              <w:rPr>
                <w:spacing w:val="-2"/>
                <w:sz w:val="20"/>
              </w:rPr>
              <w:t>GS-</w:t>
            </w:r>
            <w:r>
              <w:rPr>
                <w:spacing w:val="-7"/>
                <w:sz w:val="20"/>
              </w:rPr>
              <w:t>OL</w:t>
            </w:r>
          </w:p>
        </w:tc>
        <w:tc>
          <w:tcPr>
            <w:tcW w:w="790" w:type="dxa"/>
            <w:tcBorders>
              <w:bottom w:val="single" w:sz="4" w:space="0" w:color="000000"/>
            </w:tcBorders>
          </w:tcPr>
          <w:p>
            <w:pPr>
              <w:pStyle w:val="TableParagraph"/>
              <w:spacing w:before="4"/>
              <w:jc w:val="left"/>
              <w:rPr>
                <w:sz w:val="21"/>
              </w:rPr>
            </w:pPr>
          </w:p>
          <w:p>
            <w:pPr>
              <w:pStyle w:val="TableParagraph"/>
              <w:spacing w:line="229" w:lineRule="exact"/>
              <w:ind w:right="54"/>
              <w:rPr>
                <w:sz w:val="20"/>
              </w:rPr>
            </w:pPr>
            <w:r>
              <w:rPr>
                <w:w w:val="100"/>
                <w:sz w:val="20"/>
              </w:rPr>
              <w:t>1</w:t>
            </w:r>
          </w:p>
        </w:tc>
        <w:tc>
          <w:tcPr>
            <w:tcW w:w="862" w:type="dxa"/>
            <w:tcBorders>
              <w:bottom w:val="single" w:sz="4" w:space="0" w:color="000000"/>
            </w:tcBorders>
          </w:tcPr>
          <w:p>
            <w:pPr>
              <w:pStyle w:val="TableParagraph"/>
              <w:spacing w:before="4"/>
              <w:jc w:val="left"/>
              <w:rPr>
                <w:sz w:val="21"/>
              </w:rPr>
            </w:pPr>
          </w:p>
          <w:p>
            <w:pPr>
              <w:pStyle w:val="TableParagraph"/>
              <w:spacing w:line="229" w:lineRule="exact"/>
              <w:ind w:right="210"/>
              <w:rPr>
                <w:sz w:val="20"/>
              </w:rPr>
            </w:pPr>
            <w:r>
              <w:rPr>
                <w:w w:val="100"/>
                <w:sz w:val="20"/>
              </w:rPr>
              <w:t>9</w:t>
            </w:r>
          </w:p>
        </w:tc>
        <w:tc>
          <w:tcPr>
            <w:tcW w:w="916" w:type="dxa"/>
            <w:tcBorders>
              <w:bottom w:val="single" w:sz="4" w:space="0" w:color="000000"/>
            </w:tcBorders>
          </w:tcPr>
          <w:p>
            <w:pPr>
              <w:pStyle w:val="TableParagraph"/>
              <w:spacing w:before="4"/>
              <w:jc w:val="left"/>
              <w:rPr>
                <w:sz w:val="21"/>
              </w:rPr>
            </w:pPr>
          </w:p>
          <w:p>
            <w:pPr>
              <w:pStyle w:val="TableParagraph"/>
              <w:spacing w:line="229" w:lineRule="exact"/>
              <w:ind w:left="195" w:right="144"/>
              <w:jc w:val="center"/>
              <w:rPr>
                <w:sz w:val="20"/>
              </w:rPr>
            </w:pPr>
            <w:r>
              <w:rPr>
                <w:spacing w:val="-4"/>
                <w:sz w:val="20"/>
              </w:rPr>
              <w:t>0.75</w:t>
            </w:r>
          </w:p>
        </w:tc>
        <w:tc>
          <w:tcPr>
            <w:tcW w:w="1096" w:type="dxa"/>
            <w:tcBorders>
              <w:bottom w:val="single" w:sz="4" w:space="0" w:color="000000"/>
            </w:tcBorders>
          </w:tcPr>
          <w:p>
            <w:pPr>
              <w:pStyle w:val="TableParagraph"/>
              <w:spacing w:before="4"/>
              <w:jc w:val="left"/>
              <w:rPr>
                <w:sz w:val="21"/>
              </w:rPr>
            </w:pPr>
          </w:p>
          <w:p>
            <w:pPr>
              <w:pStyle w:val="TableParagraph"/>
              <w:spacing w:line="229" w:lineRule="exact"/>
              <w:ind w:right="2"/>
              <w:rPr>
                <w:sz w:val="20"/>
              </w:rPr>
            </w:pPr>
            <w:r>
              <w:rPr>
                <w:spacing w:val="-5"/>
                <w:sz w:val="20"/>
              </w:rPr>
              <w:t>New</w:t>
            </w:r>
          </w:p>
        </w:tc>
      </w:tr>
      <w:tr>
        <w:trPr>
          <w:trHeight w:val="273" w:hRule="atLeast"/>
        </w:trPr>
        <w:tc>
          <w:tcPr>
            <w:tcW w:w="3021" w:type="dxa"/>
            <w:tcBorders>
              <w:top w:val="single" w:sz="4" w:space="0" w:color="000000"/>
              <w:bottom w:val="single" w:sz="4" w:space="0" w:color="000000"/>
            </w:tcBorders>
          </w:tcPr>
          <w:p>
            <w:pPr>
              <w:pStyle w:val="TableParagraph"/>
              <w:jc w:val="left"/>
              <w:rPr>
                <w:sz w:val="18"/>
              </w:rPr>
            </w:pPr>
          </w:p>
        </w:tc>
        <w:tc>
          <w:tcPr>
            <w:tcW w:w="711" w:type="dxa"/>
            <w:tcBorders>
              <w:top w:val="single" w:sz="4" w:space="0" w:color="000000"/>
              <w:bottom w:val="single" w:sz="4" w:space="0" w:color="000000"/>
            </w:tcBorders>
          </w:tcPr>
          <w:p>
            <w:pPr>
              <w:pStyle w:val="TableParagraph"/>
              <w:jc w:val="left"/>
              <w:rPr>
                <w:sz w:val="18"/>
              </w:rPr>
            </w:pPr>
          </w:p>
        </w:tc>
        <w:tc>
          <w:tcPr>
            <w:tcW w:w="790" w:type="dxa"/>
            <w:tcBorders>
              <w:top w:val="single" w:sz="4" w:space="0" w:color="000000"/>
              <w:bottom w:val="single" w:sz="4" w:space="0" w:color="000000"/>
            </w:tcBorders>
          </w:tcPr>
          <w:p>
            <w:pPr>
              <w:pStyle w:val="TableParagraph"/>
              <w:spacing w:line="229" w:lineRule="exact" w:before="24"/>
              <w:ind w:right="54"/>
              <w:rPr>
                <w:b/>
                <w:sz w:val="20"/>
              </w:rPr>
            </w:pPr>
            <w:r>
              <w:rPr>
                <w:b/>
                <w:w w:val="100"/>
                <w:sz w:val="20"/>
              </w:rPr>
              <w:t>2</w:t>
            </w:r>
          </w:p>
        </w:tc>
        <w:tc>
          <w:tcPr>
            <w:tcW w:w="862" w:type="dxa"/>
            <w:tcBorders>
              <w:top w:val="single" w:sz="4" w:space="0" w:color="000000"/>
              <w:bottom w:val="single" w:sz="4" w:space="0" w:color="000000"/>
            </w:tcBorders>
          </w:tcPr>
          <w:p>
            <w:pPr>
              <w:pStyle w:val="TableParagraph"/>
              <w:spacing w:line="229" w:lineRule="exact" w:before="24"/>
              <w:ind w:right="210"/>
              <w:rPr>
                <w:b/>
                <w:sz w:val="20"/>
              </w:rPr>
            </w:pPr>
            <w:r>
              <w:rPr>
                <w:b/>
                <w:spacing w:val="-5"/>
                <w:sz w:val="20"/>
              </w:rPr>
              <w:t>18</w:t>
            </w:r>
          </w:p>
        </w:tc>
        <w:tc>
          <w:tcPr>
            <w:tcW w:w="916" w:type="dxa"/>
            <w:tcBorders>
              <w:top w:val="single" w:sz="4" w:space="0" w:color="000000"/>
              <w:bottom w:val="single" w:sz="4" w:space="0" w:color="000000"/>
            </w:tcBorders>
          </w:tcPr>
          <w:p>
            <w:pPr>
              <w:pStyle w:val="TableParagraph"/>
              <w:spacing w:line="229" w:lineRule="exact" w:before="24"/>
              <w:ind w:left="195" w:right="144"/>
              <w:jc w:val="center"/>
              <w:rPr>
                <w:b/>
                <w:sz w:val="20"/>
              </w:rPr>
            </w:pPr>
            <w:r>
              <w:rPr>
                <w:b/>
                <w:spacing w:val="-4"/>
                <w:sz w:val="20"/>
              </w:rPr>
              <w:t>1.50</w:t>
            </w:r>
          </w:p>
        </w:tc>
        <w:tc>
          <w:tcPr>
            <w:tcW w:w="1096" w:type="dxa"/>
            <w:tcBorders>
              <w:top w:val="single" w:sz="4" w:space="0" w:color="000000"/>
              <w:bottom w:val="single" w:sz="4" w:space="0" w:color="000000"/>
            </w:tcBorders>
          </w:tcPr>
          <w:p>
            <w:pPr>
              <w:pStyle w:val="TableParagraph"/>
              <w:jc w:val="left"/>
              <w:rPr>
                <w:sz w:val="18"/>
              </w:rPr>
            </w:pPr>
          </w:p>
        </w:tc>
      </w:tr>
      <w:tr>
        <w:trPr>
          <w:trHeight w:val="268" w:hRule="atLeast"/>
        </w:trPr>
        <w:tc>
          <w:tcPr>
            <w:tcW w:w="3021" w:type="dxa"/>
            <w:tcBorders>
              <w:top w:val="single" w:sz="4" w:space="0" w:color="000000"/>
              <w:bottom w:val="single" w:sz="4" w:space="0" w:color="000000"/>
            </w:tcBorders>
          </w:tcPr>
          <w:p>
            <w:pPr>
              <w:pStyle w:val="TableParagraph"/>
              <w:spacing w:line="229" w:lineRule="exact" w:before="19"/>
              <w:ind w:left="14"/>
              <w:jc w:val="left"/>
              <w:rPr>
                <w:i/>
                <w:sz w:val="20"/>
              </w:rPr>
            </w:pPr>
            <w:r>
              <w:rPr>
                <w:i/>
                <w:sz w:val="20"/>
              </w:rPr>
              <w:t>Unified</w:t>
            </w:r>
            <w:r>
              <w:rPr>
                <w:i/>
                <w:spacing w:val="-5"/>
                <w:sz w:val="20"/>
              </w:rPr>
              <w:t> </w:t>
            </w:r>
            <w:r>
              <w:rPr>
                <w:i/>
                <w:sz w:val="20"/>
              </w:rPr>
              <w:t>Team</w:t>
            </w:r>
            <w:r>
              <w:rPr>
                <w:i/>
                <w:spacing w:val="-5"/>
                <w:sz w:val="20"/>
              </w:rPr>
              <w:t> </w:t>
            </w:r>
            <w:r>
              <w:rPr>
                <w:i/>
                <w:sz w:val="20"/>
              </w:rPr>
              <w:t>UKR</w:t>
            </w:r>
            <w:r>
              <w:rPr>
                <w:i/>
                <w:spacing w:val="-1"/>
                <w:sz w:val="20"/>
              </w:rPr>
              <w:t> </w:t>
            </w:r>
            <w:r>
              <w:rPr>
                <w:i/>
                <w:sz w:val="20"/>
              </w:rPr>
              <w:t>-</w:t>
            </w:r>
            <w:r>
              <w:rPr>
                <w:i/>
                <w:spacing w:val="-3"/>
                <w:sz w:val="20"/>
              </w:rPr>
              <w:t> </w:t>
            </w:r>
            <w:r>
              <w:rPr>
                <w:i/>
                <w:spacing w:val="-5"/>
                <w:sz w:val="20"/>
              </w:rPr>
              <w:t>HQ</w:t>
            </w:r>
          </w:p>
        </w:tc>
        <w:tc>
          <w:tcPr>
            <w:tcW w:w="711" w:type="dxa"/>
            <w:tcBorders>
              <w:top w:val="single" w:sz="4" w:space="0" w:color="000000"/>
              <w:bottom w:val="single" w:sz="4" w:space="0" w:color="000000"/>
            </w:tcBorders>
          </w:tcPr>
          <w:p>
            <w:pPr>
              <w:pStyle w:val="TableParagraph"/>
              <w:jc w:val="left"/>
              <w:rPr>
                <w:sz w:val="18"/>
              </w:rPr>
            </w:pPr>
          </w:p>
        </w:tc>
        <w:tc>
          <w:tcPr>
            <w:tcW w:w="790" w:type="dxa"/>
            <w:tcBorders>
              <w:top w:val="single" w:sz="4" w:space="0" w:color="000000"/>
              <w:bottom w:val="single" w:sz="4" w:space="0" w:color="000000"/>
            </w:tcBorders>
          </w:tcPr>
          <w:p>
            <w:pPr>
              <w:pStyle w:val="TableParagraph"/>
              <w:jc w:val="left"/>
              <w:rPr>
                <w:sz w:val="18"/>
              </w:rPr>
            </w:pPr>
          </w:p>
        </w:tc>
        <w:tc>
          <w:tcPr>
            <w:tcW w:w="862" w:type="dxa"/>
            <w:tcBorders>
              <w:top w:val="single" w:sz="4" w:space="0" w:color="000000"/>
              <w:bottom w:val="single" w:sz="4" w:space="0" w:color="000000"/>
            </w:tcBorders>
          </w:tcPr>
          <w:p>
            <w:pPr>
              <w:pStyle w:val="TableParagraph"/>
              <w:jc w:val="left"/>
              <w:rPr>
                <w:sz w:val="18"/>
              </w:rPr>
            </w:pPr>
          </w:p>
        </w:tc>
        <w:tc>
          <w:tcPr>
            <w:tcW w:w="916" w:type="dxa"/>
            <w:tcBorders>
              <w:top w:val="single" w:sz="4" w:space="0" w:color="000000"/>
              <w:bottom w:val="single" w:sz="4" w:space="0" w:color="000000"/>
            </w:tcBorders>
          </w:tcPr>
          <w:p>
            <w:pPr>
              <w:pStyle w:val="TableParagraph"/>
              <w:jc w:val="left"/>
              <w:rPr>
                <w:sz w:val="18"/>
              </w:rPr>
            </w:pPr>
          </w:p>
        </w:tc>
        <w:tc>
          <w:tcPr>
            <w:tcW w:w="1096" w:type="dxa"/>
            <w:tcBorders>
              <w:top w:val="single" w:sz="4" w:space="0" w:color="000000"/>
              <w:bottom w:val="single" w:sz="4" w:space="0" w:color="000000"/>
            </w:tcBorders>
          </w:tcPr>
          <w:p>
            <w:pPr>
              <w:pStyle w:val="TableParagraph"/>
              <w:jc w:val="left"/>
              <w:rPr>
                <w:sz w:val="18"/>
              </w:rPr>
            </w:pPr>
          </w:p>
        </w:tc>
      </w:tr>
      <w:tr>
        <w:trPr>
          <w:trHeight w:val="268" w:hRule="atLeast"/>
        </w:trPr>
        <w:tc>
          <w:tcPr>
            <w:tcW w:w="3021" w:type="dxa"/>
            <w:tcBorders>
              <w:top w:val="single" w:sz="4" w:space="0" w:color="000000"/>
              <w:bottom w:val="single" w:sz="4" w:space="0" w:color="000000"/>
            </w:tcBorders>
          </w:tcPr>
          <w:p>
            <w:pPr>
              <w:pStyle w:val="TableParagraph"/>
              <w:spacing w:line="229" w:lineRule="exact" w:before="19"/>
              <w:ind w:left="14"/>
              <w:jc w:val="left"/>
              <w:rPr>
                <w:sz w:val="20"/>
              </w:rPr>
            </w:pPr>
            <w:r>
              <w:rPr>
                <w:sz w:val="20"/>
              </w:rPr>
              <w:t>Trial</w:t>
            </w:r>
            <w:r>
              <w:rPr>
                <w:spacing w:val="-5"/>
                <w:sz w:val="20"/>
              </w:rPr>
              <w:t> </w:t>
            </w:r>
            <w:r>
              <w:rPr>
                <w:spacing w:val="-2"/>
                <w:sz w:val="20"/>
              </w:rPr>
              <w:t>Lawyer</w:t>
            </w:r>
          </w:p>
        </w:tc>
        <w:tc>
          <w:tcPr>
            <w:tcW w:w="711" w:type="dxa"/>
            <w:tcBorders>
              <w:top w:val="single" w:sz="4" w:space="0" w:color="000000"/>
              <w:bottom w:val="single" w:sz="4" w:space="0" w:color="000000"/>
            </w:tcBorders>
          </w:tcPr>
          <w:p>
            <w:pPr>
              <w:pStyle w:val="TableParagraph"/>
              <w:spacing w:line="229" w:lineRule="exact" w:before="19"/>
              <w:ind w:left="32"/>
              <w:jc w:val="left"/>
              <w:rPr>
                <w:sz w:val="20"/>
              </w:rPr>
            </w:pPr>
            <w:r>
              <w:rPr>
                <w:spacing w:val="-2"/>
                <w:sz w:val="20"/>
              </w:rPr>
              <w:t>P-</w:t>
            </w:r>
            <w:r>
              <w:rPr>
                <w:spacing w:val="-10"/>
                <w:sz w:val="20"/>
              </w:rPr>
              <w:t>4</w:t>
            </w:r>
          </w:p>
        </w:tc>
        <w:tc>
          <w:tcPr>
            <w:tcW w:w="790" w:type="dxa"/>
            <w:tcBorders>
              <w:top w:val="single" w:sz="4" w:space="0" w:color="000000"/>
              <w:bottom w:val="single" w:sz="4" w:space="0" w:color="000000"/>
            </w:tcBorders>
          </w:tcPr>
          <w:p>
            <w:pPr>
              <w:pStyle w:val="TableParagraph"/>
              <w:spacing w:line="229" w:lineRule="exact" w:before="19"/>
              <w:ind w:right="54"/>
              <w:rPr>
                <w:sz w:val="20"/>
              </w:rPr>
            </w:pPr>
            <w:r>
              <w:rPr>
                <w:w w:val="100"/>
                <w:sz w:val="20"/>
              </w:rPr>
              <w:t>1</w:t>
            </w:r>
          </w:p>
        </w:tc>
        <w:tc>
          <w:tcPr>
            <w:tcW w:w="862" w:type="dxa"/>
            <w:tcBorders>
              <w:top w:val="single" w:sz="4" w:space="0" w:color="000000"/>
              <w:bottom w:val="single" w:sz="4" w:space="0" w:color="000000"/>
            </w:tcBorders>
          </w:tcPr>
          <w:p>
            <w:pPr>
              <w:pStyle w:val="TableParagraph"/>
              <w:spacing w:line="229" w:lineRule="exact" w:before="19"/>
              <w:ind w:right="210"/>
              <w:rPr>
                <w:sz w:val="20"/>
              </w:rPr>
            </w:pPr>
            <w:r>
              <w:rPr>
                <w:spacing w:val="-5"/>
                <w:sz w:val="20"/>
              </w:rPr>
              <w:t>12</w:t>
            </w:r>
          </w:p>
        </w:tc>
        <w:tc>
          <w:tcPr>
            <w:tcW w:w="916" w:type="dxa"/>
            <w:tcBorders>
              <w:top w:val="single" w:sz="4" w:space="0" w:color="000000"/>
              <w:bottom w:val="single" w:sz="4" w:space="0" w:color="000000"/>
            </w:tcBorders>
          </w:tcPr>
          <w:p>
            <w:pPr>
              <w:pStyle w:val="TableParagraph"/>
              <w:spacing w:line="229" w:lineRule="exact" w:before="19"/>
              <w:ind w:left="195" w:right="144"/>
              <w:jc w:val="center"/>
              <w:rPr>
                <w:sz w:val="20"/>
              </w:rPr>
            </w:pPr>
            <w:r>
              <w:rPr>
                <w:spacing w:val="-4"/>
                <w:sz w:val="20"/>
              </w:rPr>
              <w:t>1.00</w:t>
            </w:r>
          </w:p>
        </w:tc>
        <w:tc>
          <w:tcPr>
            <w:tcW w:w="1096" w:type="dxa"/>
            <w:tcBorders>
              <w:top w:val="single" w:sz="4" w:space="0" w:color="000000"/>
              <w:bottom w:val="single" w:sz="4" w:space="0" w:color="000000"/>
            </w:tcBorders>
          </w:tcPr>
          <w:p>
            <w:pPr>
              <w:pStyle w:val="TableParagraph"/>
              <w:spacing w:line="229" w:lineRule="exact" w:before="19"/>
              <w:rPr>
                <w:sz w:val="20"/>
              </w:rPr>
            </w:pPr>
            <w:r>
              <w:rPr>
                <w:spacing w:val="-2"/>
                <w:sz w:val="20"/>
              </w:rPr>
              <w:t>Continued</w:t>
            </w:r>
          </w:p>
        </w:tc>
      </w:tr>
      <w:tr>
        <w:trPr>
          <w:trHeight w:val="273" w:hRule="atLeast"/>
        </w:trPr>
        <w:tc>
          <w:tcPr>
            <w:tcW w:w="3021" w:type="dxa"/>
            <w:tcBorders>
              <w:top w:val="single" w:sz="4" w:space="0" w:color="000000"/>
              <w:bottom w:val="single" w:sz="4" w:space="0" w:color="000000"/>
            </w:tcBorders>
          </w:tcPr>
          <w:p>
            <w:pPr>
              <w:pStyle w:val="TableParagraph"/>
              <w:spacing w:before="20"/>
              <w:ind w:left="14"/>
              <w:jc w:val="left"/>
              <w:rPr>
                <w:i/>
                <w:sz w:val="20"/>
              </w:rPr>
            </w:pPr>
            <w:r>
              <w:rPr>
                <w:i/>
                <w:sz w:val="20"/>
              </w:rPr>
              <w:t>Unified</w:t>
            </w:r>
            <w:r>
              <w:rPr>
                <w:i/>
                <w:spacing w:val="-7"/>
                <w:sz w:val="20"/>
              </w:rPr>
              <w:t> </w:t>
            </w:r>
            <w:r>
              <w:rPr>
                <w:i/>
                <w:sz w:val="20"/>
              </w:rPr>
              <w:t>Team</w:t>
            </w:r>
            <w:r>
              <w:rPr>
                <w:i/>
                <w:spacing w:val="-5"/>
                <w:sz w:val="20"/>
              </w:rPr>
              <w:t> </w:t>
            </w:r>
            <w:r>
              <w:rPr>
                <w:i/>
                <w:sz w:val="20"/>
              </w:rPr>
              <w:t>UKR</w:t>
            </w:r>
            <w:r>
              <w:rPr>
                <w:i/>
                <w:spacing w:val="-1"/>
                <w:sz w:val="20"/>
              </w:rPr>
              <w:t> </w:t>
            </w:r>
            <w:r>
              <w:rPr>
                <w:i/>
                <w:sz w:val="20"/>
              </w:rPr>
              <w:t>-</w:t>
            </w:r>
            <w:r>
              <w:rPr>
                <w:i/>
                <w:spacing w:val="-3"/>
                <w:sz w:val="20"/>
              </w:rPr>
              <w:t> </w:t>
            </w:r>
            <w:r>
              <w:rPr>
                <w:i/>
                <w:spacing w:val="-4"/>
                <w:sz w:val="20"/>
              </w:rPr>
              <w:t>Field</w:t>
            </w:r>
          </w:p>
        </w:tc>
        <w:tc>
          <w:tcPr>
            <w:tcW w:w="711" w:type="dxa"/>
            <w:tcBorders>
              <w:top w:val="single" w:sz="4" w:space="0" w:color="000000"/>
              <w:bottom w:val="single" w:sz="4" w:space="0" w:color="000000"/>
            </w:tcBorders>
          </w:tcPr>
          <w:p>
            <w:pPr>
              <w:pStyle w:val="TableParagraph"/>
              <w:jc w:val="left"/>
              <w:rPr>
                <w:sz w:val="18"/>
              </w:rPr>
            </w:pPr>
          </w:p>
        </w:tc>
        <w:tc>
          <w:tcPr>
            <w:tcW w:w="790" w:type="dxa"/>
            <w:tcBorders>
              <w:top w:val="single" w:sz="4" w:space="0" w:color="000000"/>
              <w:bottom w:val="single" w:sz="4" w:space="0" w:color="000000"/>
            </w:tcBorders>
          </w:tcPr>
          <w:p>
            <w:pPr>
              <w:pStyle w:val="TableParagraph"/>
              <w:jc w:val="left"/>
              <w:rPr>
                <w:sz w:val="18"/>
              </w:rPr>
            </w:pPr>
          </w:p>
        </w:tc>
        <w:tc>
          <w:tcPr>
            <w:tcW w:w="862" w:type="dxa"/>
            <w:tcBorders>
              <w:top w:val="single" w:sz="4" w:space="0" w:color="000000"/>
              <w:bottom w:val="single" w:sz="4" w:space="0" w:color="000000"/>
            </w:tcBorders>
          </w:tcPr>
          <w:p>
            <w:pPr>
              <w:pStyle w:val="TableParagraph"/>
              <w:jc w:val="left"/>
              <w:rPr>
                <w:sz w:val="18"/>
              </w:rPr>
            </w:pPr>
          </w:p>
        </w:tc>
        <w:tc>
          <w:tcPr>
            <w:tcW w:w="916" w:type="dxa"/>
            <w:tcBorders>
              <w:top w:val="single" w:sz="4" w:space="0" w:color="000000"/>
              <w:bottom w:val="single" w:sz="4" w:space="0" w:color="000000"/>
            </w:tcBorders>
          </w:tcPr>
          <w:p>
            <w:pPr>
              <w:pStyle w:val="TableParagraph"/>
              <w:jc w:val="left"/>
              <w:rPr>
                <w:sz w:val="18"/>
              </w:rPr>
            </w:pPr>
          </w:p>
        </w:tc>
        <w:tc>
          <w:tcPr>
            <w:tcW w:w="1096" w:type="dxa"/>
            <w:tcBorders>
              <w:top w:val="single" w:sz="4" w:space="0" w:color="000000"/>
              <w:bottom w:val="single" w:sz="4" w:space="0" w:color="000000"/>
            </w:tcBorders>
          </w:tcPr>
          <w:p>
            <w:pPr>
              <w:pStyle w:val="TableParagraph"/>
              <w:jc w:val="left"/>
              <w:rPr>
                <w:sz w:val="18"/>
              </w:rPr>
            </w:pPr>
          </w:p>
        </w:tc>
      </w:tr>
      <w:tr>
        <w:trPr>
          <w:trHeight w:val="272" w:hRule="atLeast"/>
        </w:trPr>
        <w:tc>
          <w:tcPr>
            <w:tcW w:w="3021" w:type="dxa"/>
            <w:tcBorders>
              <w:top w:val="single" w:sz="4" w:space="0" w:color="000000"/>
            </w:tcBorders>
          </w:tcPr>
          <w:p>
            <w:pPr>
              <w:pStyle w:val="TableParagraph"/>
              <w:spacing w:before="19"/>
              <w:ind w:left="14"/>
              <w:jc w:val="left"/>
              <w:rPr>
                <w:sz w:val="20"/>
              </w:rPr>
            </w:pPr>
            <w:r>
              <w:rPr>
                <w:sz w:val="20"/>
              </w:rPr>
              <w:t>Trial</w:t>
            </w:r>
            <w:r>
              <w:rPr>
                <w:spacing w:val="-5"/>
                <w:sz w:val="20"/>
              </w:rPr>
              <w:t> </w:t>
            </w:r>
            <w:r>
              <w:rPr>
                <w:spacing w:val="-2"/>
                <w:sz w:val="20"/>
              </w:rPr>
              <w:t>Lawyer</w:t>
            </w:r>
          </w:p>
        </w:tc>
        <w:tc>
          <w:tcPr>
            <w:tcW w:w="711" w:type="dxa"/>
            <w:tcBorders>
              <w:top w:val="single" w:sz="4" w:space="0" w:color="000000"/>
            </w:tcBorders>
          </w:tcPr>
          <w:p>
            <w:pPr>
              <w:pStyle w:val="TableParagraph"/>
              <w:spacing w:before="19"/>
              <w:ind w:left="32"/>
              <w:jc w:val="left"/>
              <w:rPr>
                <w:sz w:val="20"/>
              </w:rPr>
            </w:pPr>
            <w:r>
              <w:rPr>
                <w:spacing w:val="-2"/>
                <w:sz w:val="20"/>
              </w:rPr>
              <w:t>P-</w:t>
            </w:r>
            <w:r>
              <w:rPr>
                <w:spacing w:val="-10"/>
                <w:sz w:val="20"/>
              </w:rPr>
              <w:t>3</w:t>
            </w:r>
          </w:p>
        </w:tc>
        <w:tc>
          <w:tcPr>
            <w:tcW w:w="790" w:type="dxa"/>
            <w:tcBorders>
              <w:top w:val="single" w:sz="4" w:space="0" w:color="000000"/>
            </w:tcBorders>
          </w:tcPr>
          <w:p>
            <w:pPr>
              <w:pStyle w:val="TableParagraph"/>
              <w:spacing w:before="19"/>
              <w:ind w:right="54"/>
              <w:rPr>
                <w:sz w:val="20"/>
              </w:rPr>
            </w:pPr>
            <w:r>
              <w:rPr>
                <w:w w:val="100"/>
                <w:sz w:val="20"/>
              </w:rPr>
              <w:t>2</w:t>
            </w:r>
          </w:p>
        </w:tc>
        <w:tc>
          <w:tcPr>
            <w:tcW w:w="862" w:type="dxa"/>
            <w:tcBorders>
              <w:top w:val="single" w:sz="4" w:space="0" w:color="000000"/>
            </w:tcBorders>
          </w:tcPr>
          <w:p>
            <w:pPr>
              <w:pStyle w:val="TableParagraph"/>
              <w:spacing w:before="19"/>
              <w:ind w:right="210"/>
              <w:rPr>
                <w:sz w:val="20"/>
              </w:rPr>
            </w:pPr>
            <w:r>
              <w:rPr>
                <w:spacing w:val="-5"/>
                <w:sz w:val="20"/>
              </w:rPr>
              <w:t>18</w:t>
            </w:r>
          </w:p>
        </w:tc>
        <w:tc>
          <w:tcPr>
            <w:tcW w:w="916" w:type="dxa"/>
            <w:tcBorders>
              <w:top w:val="single" w:sz="4" w:space="0" w:color="000000"/>
            </w:tcBorders>
          </w:tcPr>
          <w:p>
            <w:pPr>
              <w:pStyle w:val="TableParagraph"/>
              <w:spacing w:before="19"/>
              <w:ind w:left="195" w:right="144"/>
              <w:jc w:val="center"/>
              <w:rPr>
                <w:sz w:val="20"/>
              </w:rPr>
            </w:pPr>
            <w:r>
              <w:rPr>
                <w:spacing w:val="-4"/>
                <w:sz w:val="20"/>
              </w:rPr>
              <w:t>1.50</w:t>
            </w:r>
          </w:p>
        </w:tc>
        <w:tc>
          <w:tcPr>
            <w:tcW w:w="1096" w:type="dxa"/>
            <w:tcBorders>
              <w:top w:val="single" w:sz="4" w:space="0" w:color="000000"/>
            </w:tcBorders>
          </w:tcPr>
          <w:p>
            <w:pPr>
              <w:pStyle w:val="TableParagraph"/>
              <w:spacing w:before="19"/>
              <w:ind w:right="2"/>
              <w:rPr>
                <w:sz w:val="20"/>
              </w:rPr>
            </w:pPr>
            <w:r>
              <w:rPr>
                <w:spacing w:val="-5"/>
                <w:sz w:val="20"/>
              </w:rPr>
              <w:t>New</w:t>
            </w:r>
          </w:p>
        </w:tc>
      </w:tr>
      <w:tr>
        <w:trPr>
          <w:trHeight w:val="268" w:hRule="atLeast"/>
        </w:trPr>
        <w:tc>
          <w:tcPr>
            <w:tcW w:w="3021" w:type="dxa"/>
          </w:tcPr>
          <w:p>
            <w:pPr>
              <w:pStyle w:val="TableParagraph"/>
              <w:spacing w:before="15"/>
              <w:ind w:left="14"/>
              <w:jc w:val="left"/>
              <w:rPr>
                <w:sz w:val="20"/>
              </w:rPr>
            </w:pPr>
            <w:r>
              <w:rPr>
                <w:sz w:val="20"/>
              </w:rPr>
              <w:t>Associate</w:t>
            </w:r>
            <w:r>
              <w:rPr>
                <w:spacing w:val="-7"/>
                <w:sz w:val="20"/>
              </w:rPr>
              <w:t> </w:t>
            </w:r>
            <w:r>
              <w:rPr>
                <w:sz w:val="20"/>
              </w:rPr>
              <w:t>Trial</w:t>
            </w:r>
            <w:r>
              <w:rPr>
                <w:spacing w:val="-7"/>
                <w:sz w:val="20"/>
              </w:rPr>
              <w:t> </w:t>
            </w:r>
            <w:r>
              <w:rPr>
                <w:spacing w:val="-2"/>
                <w:sz w:val="20"/>
              </w:rPr>
              <w:t>Lawyer</w:t>
            </w:r>
          </w:p>
        </w:tc>
        <w:tc>
          <w:tcPr>
            <w:tcW w:w="711" w:type="dxa"/>
          </w:tcPr>
          <w:p>
            <w:pPr>
              <w:pStyle w:val="TableParagraph"/>
              <w:spacing w:before="15"/>
              <w:ind w:left="32"/>
              <w:jc w:val="left"/>
              <w:rPr>
                <w:sz w:val="20"/>
              </w:rPr>
            </w:pPr>
            <w:r>
              <w:rPr>
                <w:spacing w:val="-2"/>
                <w:sz w:val="20"/>
              </w:rPr>
              <w:t>P-</w:t>
            </w:r>
            <w:r>
              <w:rPr>
                <w:spacing w:val="-10"/>
                <w:sz w:val="20"/>
              </w:rPr>
              <w:t>2</w:t>
            </w:r>
          </w:p>
        </w:tc>
        <w:tc>
          <w:tcPr>
            <w:tcW w:w="790" w:type="dxa"/>
          </w:tcPr>
          <w:p>
            <w:pPr>
              <w:pStyle w:val="TableParagraph"/>
              <w:spacing w:before="15"/>
              <w:ind w:right="54"/>
              <w:rPr>
                <w:sz w:val="20"/>
              </w:rPr>
            </w:pPr>
            <w:r>
              <w:rPr>
                <w:w w:val="100"/>
                <w:sz w:val="20"/>
              </w:rPr>
              <w:t>2</w:t>
            </w:r>
          </w:p>
        </w:tc>
        <w:tc>
          <w:tcPr>
            <w:tcW w:w="862" w:type="dxa"/>
          </w:tcPr>
          <w:p>
            <w:pPr>
              <w:pStyle w:val="TableParagraph"/>
              <w:spacing w:before="15"/>
              <w:ind w:right="210"/>
              <w:rPr>
                <w:sz w:val="20"/>
              </w:rPr>
            </w:pPr>
            <w:r>
              <w:rPr>
                <w:spacing w:val="-5"/>
                <w:sz w:val="20"/>
              </w:rPr>
              <w:t>18</w:t>
            </w:r>
          </w:p>
        </w:tc>
        <w:tc>
          <w:tcPr>
            <w:tcW w:w="916" w:type="dxa"/>
          </w:tcPr>
          <w:p>
            <w:pPr>
              <w:pStyle w:val="TableParagraph"/>
              <w:spacing w:before="15"/>
              <w:ind w:left="195" w:right="144"/>
              <w:jc w:val="center"/>
              <w:rPr>
                <w:sz w:val="20"/>
              </w:rPr>
            </w:pPr>
            <w:r>
              <w:rPr>
                <w:spacing w:val="-4"/>
                <w:sz w:val="20"/>
              </w:rPr>
              <w:t>1.50</w:t>
            </w:r>
          </w:p>
        </w:tc>
        <w:tc>
          <w:tcPr>
            <w:tcW w:w="1096" w:type="dxa"/>
          </w:tcPr>
          <w:p>
            <w:pPr>
              <w:pStyle w:val="TableParagraph"/>
              <w:spacing w:before="15"/>
              <w:ind w:right="2"/>
              <w:rPr>
                <w:sz w:val="20"/>
              </w:rPr>
            </w:pPr>
            <w:r>
              <w:rPr>
                <w:spacing w:val="-5"/>
                <w:sz w:val="20"/>
              </w:rPr>
              <w:t>New</w:t>
            </w:r>
          </w:p>
        </w:tc>
      </w:tr>
      <w:tr>
        <w:trPr>
          <w:trHeight w:val="271" w:hRule="atLeast"/>
        </w:trPr>
        <w:tc>
          <w:tcPr>
            <w:tcW w:w="3021" w:type="dxa"/>
          </w:tcPr>
          <w:p>
            <w:pPr>
              <w:pStyle w:val="TableParagraph"/>
              <w:spacing w:before="15"/>
              <w:ind w:left="14"/>
              <w:jc w:val="left"/>
              <w:rPr>
                <w:sz w:val="20"/>
              </w:rPr>
            </w:pPr>
            <w:r>
              <w:rPr>
                <w:sz w:val="20"/>
              </w:rPr>
              <w:t>Case</w:t>
            </w:r>
            <w:r>
              <w:rPr>
                <w:spacing w:val="-4"/>
                <w:sz w:val="20"/>
              </w:rPr>
              <w:t> </w:t>
            </w:r>
            <w:r>
              <w:rPr>
                <w:spacing w:val="-2"/>
                <w:sz w:val="20"/>
              </w:rPr>
              <w:t>Manager</w:t>
            </w:r>
          </w:p>
        </w:tc>
        <w:tc>
          <w:tcPr>
            <w:tcW w:w="711" w:type="dxa"/>
          </w:tcPr>
          <w:p>
            <w:pPr>
              <w:pStyle w:val="TableParagraph"/>
              <w:spacing w:before="15"/>
              <w:ind w:left="32"/>
              <w:jc w:val="left"/>
              <w:rPr>
                <w:sz w:val="20"/>
              </w:rPr>
            </w:pPr>
            <w:r>
              <w:rPr>
                <w:spacing w:val="-2"/>
                <w:sz w:val="20"/>
              </w:rPr>
              <w:t>P-</w:t>
            </w:r>
            <w:r>
              <w:rPr>
                <w:spacing w:val="-10"/>
                <w:sz w:val="20"/>
              </w:rPr>
              <w:t>1</w:t>
            </w:r>
          </w:p>
        </w:tc>
        <w:tc>
          <w:tcPr>
            <w:tcW w:w="790" w:type="dxa"/>
          </w:tcPr>
          <w:p>
            <w:pPr>
              <w:pStyle w:val="TableParagraph"/>
              <w:spacing w:before="15"/>
              <w:ind w:right="54"/>
              <w:rPr>
                <w:sz w:val="20"/>
              </w:rPr>
            </w:pPr>
            <w:r>
              <w:rPr>
                <w:w w:val="100"/>
                <w:sz w:val="20"/>
              </w:rPr>
              <w:t>1</w:t>
            </w:r>
          </w:p>
        </w:tc>
        <w:tc>
          <w:tcPr>
            <w:tcW w:w="862" w:type="dxa"/>
          </w:tcPr>
          <w:p>
            <w:pPr>
              <w:pStyle w:val="TableParagraph"/>
              <w:spacing w:before="15"/>
              <w:ind w:right="210"/>
              <w:rPr>
                <w:sz w:val="20"/>
              </w:rPr>
            </w:pPr>
            <w:r>
              <w:rPr>
                <w:w w:val="100"/>
                <w:sz w:val="20"/>
              </w:rPr>
              <w:t>9</w:t>
            </w:r>
          </w:p>
        </w:tc>
        <w:tc>
          <w:tcPr>
            <w:tcW w:w="916" w:type="dxa"/>
          </w:tcPr>
          <w:p>
            <w:pPr>
              <w:pStyle w:val="TableParagraph"/>
              <w:spacing w:before="15"/>
              <w:ind w:left="195" w:right="144"/>
              <w:jc w:val="center"/>
              <w:rPr>
                <w:sz w:val="20"/>
              </w:rPr>
            </w:pPr>
            <w:r>
              <w:rPr>
                <w:spacing w:val="-4"/>
                <w:sz w:val="20"/>
              </w:rPr>
              <w:t>0.75</w:t>
            </w:r>
          </w:p>
        </w:tc>
        <w:tc>
          <w:tcPr>
            <w:tcW w:w="1096" w:type="dxa"/>
          </w:tcPr>
          <w:p>
            <w:pPr>
              <w:pStyle w:val="TableParagraph"/>
              <w:spacing w:before="15"/>
              <w:ind w:right="2"/>
              <w:rPr>
                <w:sz w:val="20"/>
              </w:rPr>
            </w:pPr>
            <w:r>
              <w:rPr>
                <w:spacing w:val="-5"/>
                <w:sz w:val="20"/>
              </w:rPr>
              <w:t>New</w:t>
            </w:r>
          </w:p>
        </w:tc>
      </w:tr>
      <w:tr>
        <w:trPr>
          <w:trHeight w:val="271" w:hRule="atLeast"/>
        </w:trPr>
        <w:tc>
          <w:tcPr>
            <w:tcW w:w="3021" w:type="dxa"/>
          </w:tcPr>
          <w:p>
            <w:pPr>
              <w:pStyle w:val="TableParagraph"/>
              <w:spacing w:before="18"/>
              <w:ind w:left="14"/>
              <w:jc w:val="left"/>
              <w:rPr>
                <w:sz w:val="20"/>
              </w:rPr>
            </w:pPr>
            <w:r>
              <w:rPr>
                <w:sz w:val="20"/>
              </w:rPr>
              <w:t>Trial</w:t>
            </w:r>
            <w:r>
              <w:rPr>
                <w:spacing w:val="-6"/>
                <w:sz w:val="20"/>
              </w:rPr>
              <w:t> </w:t>
            </w:r>
            <w:r>
              <w:rPr>
                <w:sz w:val="20"/>
              </w:rPr>
              <w:t>Support </w:t>
            </w:r>
            <w:r>
              <w:rPr>
                <w:spacing w:val="-2"/>
                <w:sz w:val="20"/>
              </w:rPr>
              <w:t>Assistant</w:t>
            </w:r>
          </w:p>
        </w:tc>
        <w:tc>
          <w:tcPr>
            <w:tcW w:w="711" w:type="dxa"/>
          </w:tcPr>
          <w:p>
            <w:pPr>
              <w:pStyle w:val="TableParagraph"/>
              <w:spacing w:before="18"/>
              <w:ind w:left="32"/>
              <w:jc w:val="left"/>
              <w:rPr>
                <w:sz w:val="20"/>
              </w:rPr>
            </w:pPr>
            <w:r>
              <w:rPr>
                <w:spacing w:val="-2"/>
                <w:sz w:val="20"/>
              </w:rPr>
              <w:t>GS-</w:t>
            </w:r>
            <w:r>
              <w:rPr>
                <w:spacing w:val="-7"/>
                <w:sz w:val="20"/>
              </w:rPr>
              <w:t>OL</w:t>
            </w:r>
          </w:p>
        </w:tc>
        <w:tc>
          <w:tcPr>
            <w:tcW w:w="790" w:type="dxa"/>
          </w:tcPr>
          <w:p>
            <w:pPr>
              <w:pStyle w:val="TableParagraph"/>
              <w:spacing w:before="18"/>
              <w:ind w:right="54"/>
              <w:rPr>
                <w:sz w:val="20"/>
              </w:rPr>
            </w:pPr>
            <w:r>
              <w:rPr>
                <w:w w:val="100"/>
                <w:sz w:val="20"/>
              </w:rPr>
              <w:t>1</w:t>
            </w:r>
          </w:p>
        </w:tc>
        <w:tc>
          <w:tcPr>
            <w:tcW w:w="862" w:type="dxa"/>
          </w:tcPr>
          <w:p>
            <w:pPr>
              <w:pStyle w:val="TableParagraph"/>
              <w:spacing w:before="18"/>
              <w:ind w:right="210"/>
              <w:rPr>
                <w:sz w:val="20"/>
              </w:rPr>
            </w:pPr>
            <w:r>
              <w:rPr>
                <w:w w:val="100"/>
                <w:sz w:val="20"/>
              </w:rPr>
              <w:t>9</w:t>
            </w:r>
          </w:p>
        </w:tc>
        <w:tc>
          <w:tcPr>
            <w:tcW w:w="916" w:type="dxa"/>
          </w:tcPr>
          <w:p>
            <w:pPr>
              <w:pStyle w:val="TableParagraph"/>
              <w:spacing w:before="18"/>
              <w:ind w:left="195" w:right="144"/>
              <w:jc w:val="center"/>
              <w:rPr>
                <w:sz w:val="20"/>
              </w:rPr>
            </w:pPr>
            <w:r>
              <w:rPr>
                <w:spacing w:val="-4"/>
                <w:sz w:val="20"/>
              </w:rPr>
              <w:t>0.75</w:t>
            </w:r>
          </w:p>
        </w:tc>
        <w:tc>
          <w:tcPr>
            <w:tcW w:w="1096" w:type="dxa"/>
          </w:tcPr>
          <w:p>
            <w:pPr>
              <w:pStyle w:val="TableParagraph"/>
              <w:spacing w:before="18"/>
              <w:ind w:right="2"/>
              <w:rPr>
                <w:sz w:val="20"/>
              </w:rPr>
            </w:pPr>
            <w:r>
              <w:rPr>
                <w:spacing w:val="-5"/>
                <w:sz w:val="20"/>
              </w:rPr>
              <w:t>New</w:t>
            </w:r>
          </w:p>
        </w:tc>
      </w:tr>
      <w:tr>
        <w:trPr>
          <w:trHeight w:val="269" w:hRule="atLeast"/>
        </w:trPr>
        <w:tc>
          <w:tcPr>
            <w:tcW w:w="3021" w:type="dxa"/>
          </w:tcPr>
          <w:p>
            <w:pPr>
              <w:pStyle w:val="TableParagraph"/>
              <w:spacing w:before="15"/>
              <w:ind w:left="14"/>
              <w:jc w:val="left"/>
              <w:rPr>
                <w:sz w:val="20"/>
              </w:rPr>
            </w:pPr>
            <w:r>
              <w:rPr>
                <w:spacing w:val="-2"/>
                <w:sz w:val="20"/>
              </w:rPr>
              <w:t>Analyst</w:t>
            </w:r>
          </w:p>
        </w:tc>
        <w:tc>
          <w:tcPr>
            <w:tcW w:w="711" w:type="dxa"/>
          </w:tcPr>
          <w:p>
            <w:pPr>
              <w:pStyle w:val="TableParagraph"/>
              <w:spacing w:before="15"/>
              <w:ind w:left="32"/>
              <w:jc w:val="left"/>
              <w:rPr>
                <w:sz w:val="20"/>
              </w:rPr>
            </w:pPr>
            <w:r>
              <w:rPr>
                <w:spacing w:val="-2"/>
                <w:sz w:val="20"/>
              </w:rPr>
              <w:t>P-</w:t>
            </w:r>
            <w:r>
              <w:rPr>
                <w:spacing w:val="-10"/>
                <w:sz w:val="20"/>
              </w:rPr>
              <w:t>3</w:t>
            </w:r>
          </w:p>
        </w:tc>
        <w:tc>
          <w:tcPr>
            <w:tcW w:w="790" w:type="dxa"/>
          </w:tcPr>
          <w:p>
            <w:pPr>
              <w:pStyle w:val="TableParagraph"/>
              <w:spacing w:before="15"/>
              <w:ind w:right="54"/>
              <w:rPr>
                <w:sz w:val="20"/>
              </w:rPr>
            </w:pPr>
            <w:r>
              <w:rPr>
                <w:w w:val="100"/>
                <w:sz w:val="20"/>
              </w:rPr>
              <w:t>2</w:t>
            </w:r>
          </w:p>
        </w:tc>
        <w:tc>
          <w:tcPr>
            <w:tcW w:w="862" w:type="dxa"/>
          </w:tcPr>
          <w:p>
            <w:pPr>
              <w:pStyle w:val="TableParagraph"/>
              <w:spacing w:before="15"/>
              <w:ind w:right="210"/>
              <w:rPr>
                <w:sz w:val="20"/>
              </w:rPr>
            </w:pPr>
            <w:r>
              <w:rPr>
                <w:spacing w:val="-5"/>
                <w:sz w:val="20"/>
              </w:rPr>
              <w:t>18</w:t>
            </w:r>
          </w:p>
        </w:tc>
        <w:tc>
          <w:tcPr>
            <w:tcW w:w="916" w:type="dxa"/>
          </w:tcPr>
          <w:p>
            <w:pPr>
              <w:pStyle w:val="TableParagraph"/>
              <w:spacing w:before="15"/>
              <w:ind w:left="195" w:right="144"/>
              <w:jc w:val="center"/>
              <w:rPr>
                <w:sz w:val="20"/>
              </w:rPr>
            </w:pPr>
            <w:r>
              <w:rPr>
                <w:spacing w:val="-4"/>
                <w:sz w:val="20"/>
              </w:rPr>
              <w:t>1.50</w:t>
            </w:r>
          </w:p>
        </w:tc>
        <w:tc>
          <w:tcPr>
            <w:tcW w:w="1096" w:type="dxa"/>
          </w:tcPr>
          <w:p>
            <w:pPr>
              <w:pStyle w:val="TableParagraph"/>
              <w:spacing w:before="15"/>
              <w:ind w:right="2"/>
              <w:rPr>
                <w:sz w:val="20"/>
              </w:rPr>
            </w:pPr>
            <w:r>
              <w:rPr>
                <w:spacing w:val="-5"/>
                <w:sz w:val="20"/>
              </w:rPr>
              <w:t>New</w:t>
            </w:r>
          </w:p>
        </w:tc>
      </w:tr>
      <w:tr>
        <w:trPr>
          <w:trHeight w:val="269" w:hRule="atLeast"/>
        </w:trPr>
        <w:tc>
          <w:tcPr>
            <w:tcW w:w="3021" w:type="dxa"/>
          </w:tcPr>
          <w:p>
            <w:pPr>
              <w:pStyle w:val="TableParagraph"/>
              <w:spacing w:before="16"/>
              <w:ind w:left="14"/>
              <w:jc w:val="left"/>
              <w:rPr>
                <w:sz w:val="20"/>
              </w:rPr>
            </w:pPr>
            <w:r>
              <w:rPr>
                <w:sz w:val="20"/>
              </w:rPr>
              <w:t>Analysis</w:t>
            </w:r>
            <w:r>
              <w:rPr>
                <w:spacing w:val="-5"/>
                <w:sz w:val="20"/>
              </w:rPr>
              <w:t> </w:t>
            </w:r>
            <w:r>
              <w:rPr>
                <w:spacing w:val="-2"/>
                <w:sz w:val="20"/>
              </w:rPr>
              <w:t>Assistant</w:t>
            </w:r>
          </w:p>
        </w:tc>
        <w:tc>
          <w:tcPr>
            <w:tcW w:w="711" w:type="dxa"/>
          </w:tcPr>
          <w:p>
            <w:pPr>
              <w:pStyle w:val="TableParagraph"/>
              <w:spacing w:before="16"/>
              <w:ind w:left="32"/>
              <w:jc w:val="left"/>
              <w:rPr>
                <w:sz w:val="20"/>
              </w:rPr>
            </w:pPr>
            <w:r>
              <w:rPr>
                <w:spacing w:val="-2"/>
                <w:sz w:val="20"/>
              </w:rPr>
              <w:t>GS-</w:t>
            </w:r>
            <w:r>
              <w:rPr>
                <w:spacing w:val="-7"/>
                <w:sz w:val="20"/>
              </w:rPr>
              <w:t>OL</w:t>
            </w:r>
          </w:p>
        </w:tc>
        <w:tc>
          <w:tcPr>
            <w:tcW w:w="790" w:type="dxa"/>
          </w:tcPr>
          <w:p>
            <w:pPr>
              <w:pStyle w:val="TableParagraph"/>
              <w:spacing w:before="16"/>
              <w:ind w:right="54"/>
              <w:rPr>
                <w:sz w:val="20"/>
              </w:rPr>
            </w:pPr>
            <w:r>
              <w:rPr>
                <w:w w:val="100"/>
                <w:sz w:val="20"/>
              </w:rPr>
              <w:t>3</w:t>
            </w:r>
          </w:p>
        </w:tc>
        <w:tc>
          <w:tcPr>
            <w:tcW w:w="862" w:type="dxa"/>
          </w:tcPr>
          <w:p>
            <w:pPr>
              <w:pStyle w:val="TableParagraph"/>
              <w:spacing w:before="16"/>
              <w:ind w:right="210"/>
              <w:rPr>
                <w:sz w:val="20"/>
              </w:rPr>
            </w:pPr>
            <w:r>
              <w:rPr>
                <w:spacing w:val="-5"/>
                <w:sz w:val="20"/>
              </w:rPr>
              <w:t>27</w:t>
            </w:r>
          </w:p>
        </w:tc>
        <w:tc>
          <w:tcPr>
            <w:tcW w:w="916" w:type="dxa"/>
          </w:tcPr>
          <w:p>
            <w:pPr>
              <w:pStyle w:val="TableParagraph"/>
              <w:spacing w:before="16"/>
              <w:ind w:left="195" w:right="144"/>
              <w:jc w:val="center"/>
              <w:rPr>
                <w:sz w:val="20"/>
              </w:rPr>
            </w:pPr>
            <w:r>
              <w:rPr>
                <w:spacing w:val="-4"/>
                <w:sz w:val="20"/>
              </w:rPr>
              <w:t>2.25</w:t>
            </w:r>
          </w:p>
        </w:tc>
        <w:tc>
          <w:tcPr>
            <w:tcW w:w="1096" w:type="dxa"/>
          </w:tcPr>
          <w:p>
            <w:pPr>
              <w:pStyle w:val="TableParagraph"/>
              <w:spacing w:before="16"/>
              <w:ind w:right="2"/>
              <w:rPr>
                <w:sz w:val="20"/>
              </w:rPr>
            </w:pPr>
            <w:r>
              <w:rPr>
                <w:spacing w:val="-5"/>
                <w:sz w:val="20"/>
              </w:rPr>
              <w:t>New</w:t>
            </w:r>
          </w:p>
        </w:tc>
      </w:tr>
      <w:tr>
        <w:trPr>
          <w:trHeight w:val="271" w:hRule="atLeast"/>
        </w:trPr>
        <w:tc>
          <w:tcPr>
            <w:tcW w:w="3021" w:type="dxa"/>
          </w:tcPr>
          <w:p>
            <w:pPr>
              <w:pStyle w:val="TableParagraph"/>
              <w:spacing w:before="15"/>
              <w:ind w:left="14"/>
              <w:jc w:val="left"/>
              <w:rPr>
                <w:sz w:val="20"/>
              </w:rPr>
            </w:pPr>
            <w:r>
              <w:rPr>
                <w:sz w:val="20"/>
              </w:rPr>
              <w:t>Senior</w:t>
            </w:r>
            <w:r>
              <w:rPr>
                <w:spacing w:val="-5"/>
                <w:sz w:val="20"/>
              </w:rPr>
              <w:t> </w:t>
            </w:r>
            <w:r>
              <w:rPr>
                <w:spacing w:val="-2"/>
                <w:sz w:val="20"/>
              </w:rPr>
              <w:t>Investigator</w:t>
            </w:r>
          </w:p>
        </w:tc>
        <w:tc>
          <w:tcPr>
            <w:tcW w:w="711" w:type="dxa"/>
          </w:tcPr>
          <w:p>
            <w:pPr>
              <w:pStyle w:val="TableParagraph"/>
              <w:spacing w:before="15"/>
              <w:ind w:left="32"/>
              <w:jc w:val="left"/>
              <w:rPr>
                <w:sz w:val="20"/>
              </w:rPr>
            </w:pPr>
            <w:r>
              <w:rPr>
                <w:spacing w:val="-2"/>
                <w:sz w:val="20"/>
              </w:rPr>
              <w:t>P-</w:t>
            </w:r>
            <w:r>
              <w:rPr>
                <w:spacing w:val="-10"/>
                <w:sz w:val="20"/>
              </w:rPr>
              <w:t>5</w:t>
            </w:r>
          </w:p>
        </w:tc>
        <w:tc>
          <w:tcPr>
            <w:tcW w:w="790" w:type="dxa"/>
          </w:tcPr>
          <w:p>
            <w:pPr>
              <w:pStyle w:val="TableParagraph"/>
              <w:spacing w:before="15"/>
              <w:ind w:right="54"/>
              <w:rPr>
                <w:sz w:val="20"/>
              </w:rPr>
            </w:pPr>
            <w:r>
              <w:rPr>
                <w:w w:val="100"/>
                <w:sz w:val="20"/>
              </w:rPr>
              <w:t>1</w:t>
            </w:r>
          </w:p>
        </w:tc>
        <w:tc>
          <w:tcPr>
            <w:tcW w:w="862" w:type="dxa"/>
          </w:tcPr>
          <w:p>
            <w:pPr>
              <w:pStyle w:val="TableParagraph"/>
              <w:spacing w:before="15"/>
              <w:ind w:right="210"/>
              <w:rPr>
                <w:sz w:val="20"/>
              </w:rPr>
            </w:pPr>
            <w:r>
              <w:rPr>
                <w:w w:val="100"/>
                <w:sz w:val="20"/>
              </w:rPr>
              <w:t>9</w:t>
            </w:r>
          </w:p>
        </w:tc>
        <w:tc>
          <w:tcPr>
            <w:tcW w:w="916" w:type="dxa"/>
          </w:tcPr>
          <w:p>
            <w:pPr>
              <w:pStyle w:val="TableParagraph"/>
              <w:spacing w:before="15"/>
              <w:ind w:left="195" w:right="144"/>
              <w:jc w:val="center"/>
              <w:rPr>
                <w:sz w:val="20"/>
              </w:rPr>
            </w:pPr>
            <w:r>
              <w:rPr>
                <w:spacing w:val="-4"/>
                <w:sz w:val="20"/>
              </w:rPr>
              <w:t>0.75</w:t>
            </w:r>
          </w:p>
        </w:tc>
        <w:tc>
          <w:tcPr>
            <w:tcW w:w="1096" w:type="dxa"/>
          </w:tcPr>
          <w:p>
            <w:pPr>
              <w:pStyle w:val="TableParagraph"/>
              <w:spacing w:before="15"/>
              <w:ind w:right="2"/>
              <w:rPr>
                <w:sz w:val="20"/>
              </w:rPr>
            </w:pPr>
            <w:r>
              <w:rPr>
                <w:spacing w:val="-5"/>
                <w:sz w:val="20"/>
              </w:rPr>
              <w:t>New</w:t>
            </w:r>
          </w:p>
        </w:tc>
      </w:tr>
      <w:tr>
        <w:trPr>
          <w:trHeight w:val="271" w:hRule="atLeast"/>
        </w:trPr>
        <w:tc>
          <w:tcPr>
            <w:tcW w:w="3021" w:type="dxa"/>
          </w:tcPr>
          <w:p>
            <w:pPr>
              <w:pStyle w:val="TableParagraph"/>
              <w:spacing w:before="18"/>
              <w:ind w:left="14"/>
              <w:jc w:val="left"/>
              <w:rPr>
                <w:sz w:val="20"/>
              </w:rPr>
            </w:pPr>
            <w:r>
              <w:rPr>
                <w:sz w:val="20"/>
              </w:rPr>
              <w:t>Senior</w:t>
            </w:r>
            <w:r>
              <w:rPr>
                <w:spacing w:val="-7"/>
                <w:sz w:val="20"/>
              </w:rPr>
              <w:t> </w:t>
            </w:r>
            <w:r>
              <w:rPr>
                <w:sz w:val="20"/>
              </w:rPr>
              <w:t>Forensic</w:t>
            </w:r>
            <w:r>
              <w:rPr>
                <w:spacing w:val="-4"/>
                <w:sz w:val="20"/>
              </w:rPr>
              <w:t> </w:t>
            </w:r>
            <w:r>
              <w:rPr>
                <w:spacing w:val="-2"/>
                <w:sz w:val="20"/>
              </w:rPr>
              <w:t>Coordinator</w:t>
            </w:r>
          </w:p>
        </w:tc>
        <w:tc>
          <w:tcPr>
            <w:tcW w:w="711" w:type="dxa"/>
          </w:tcPr>
          <w:p>
            <w:pPr>
              <w:pStyle w:val="TableParagraph"/>
              <w:spacing w:before="18"/>
              <w:ind w:left="32"/>
              <w:jc w:val="left"/>
              <w:rPr>
                <w:sz w:val="20"/>
              </w:rPr>
            </w:pPr>
            <w:r>
              <w:rPr>
                <w:spacing w:val="-2"/>
                <w:sz w:val="20"/>
              </w:rPr>
              <w:t>P-</w:t>
            </w:r>
            <w:r>
              <w:rPr>
                <w:spacing w:val="-10"/>
                <w:sz w:val="20"/>
              </w:rPr>
              <w:t>5</w:t>
            </w:r>
          </w:p>
        </w:tc>
        <w:tc>
          <w:tcPr>
            <w:tcW w:w="790" w:type="dxa"/>
          </w:tcPr>
          <w:p>
            <w:pPr>
              <w:pStyle w:val="TableParagraph"/>
              <w:spacing w:before="18"/>
              <w:ind w:right="54"/>
              <w:rPr>
                <w:sz w:val="20"/>
              </w:rPr>
            </w:pPr>
            <w:r>
              <w:rPr>
                <w:w w:val="100"/>
                <w:sz w:val="20"/>
              </w:rPr>
              <w:t>1</w:t>
            </w:r>
          </w:p>
        </w:tc>
        <w:tc>
          <w:tcPr>
            <w:tcW w:w="862" w:type="dxa"/>
          </w:tcPr>
          <w:p>
            <w:pPr>
              <w:pStyle w:val="TableParagraph"/>
              <w:spacing w:before="18"/>
              <w:ind w:right="210"/>
              <w:rPr>
                <w:sz w:val="20"/>
              </w:rPr>
            </w:pPr>
            <w:r>
              <w:rPr>
                <w:w w:val="100"/>
                <w:sz w:val="20"/>
              </w:rPr>
              <w:t>9</w:t>
            </w:r>
          </w:p>
        </w:tc>
        <w:tc>
          <w:tcPr>
            <w:tcW w:w="916" w:type="dxa"/>
          </w:tcPr>
          <w:p>
            <w:pPr>
              <w:pStyle w:val="TableParagraph"/>
              <w:spacing w:before="18"/>
              <w:ind w:left="195" w:right="144"/>
              <w:jc w:val="center"/>
              <w:rPr>
                <w:sz w:val="20"/>
              </w:rPr>
            </w:pPr>
            <w:r>
              <w:rPr>
                <w:spacing w:val="-4"/>
                <w:sz w:val="20"/>
              </w:rPr>
              <w:t>0.75</w:t>
            </w:r>
          </w:p>
        </w:tc>
        <w:tc>
          <w:tcPr>
            <w:tcW w:w="1096" w:type="dxa"/>
          </w:tcPr>
          <w:p>
            <w:pPr>
              <w:pStyle w:val="TableParagraph"/>
              <w:spacing w:before="18"/>
              <w:ind w:right="2"/>
              <w:rPr>
                <w:sz w:val="20"/>
              </w:rPr>
            </w:pPr>
            <w:r>
              <w:rPr>
                <w:spacing w:val="-5"/>
                <w:sz w:val="20"/>
              </w:rPr>
              <w:t>New</w:t>
            </w:r>
          </w:p>
        </w:tc>
      </w:tr>
      <w:tr>
        <w:trPr>
          <w:trHeight w:val="268" w:hRule="atLeast"/>
        </w:trPr>
        <w:tc>
          <w:tcPr>
            <w:tcW w:w="3021" w:type="dxa"/>
          </w:tcPr>
          <w:p>
            <w:pPr>
              <w:pStyle w:val="TableParagraph"/>
              <w:spacing w:before="15"/>
              <w:ind w:left="14"/>
              <w:jc w:val="left"/>
              <w:rPr>
                <w:sz w:val="20"/>
              </w:rPr>
            </w:pPr>
            <w:r>
              <w:rPr>
                <w:sz w:val="20"/>
              </w:rPr>
              <w:t>Senior</w:t>
            </w:r>
            <w:r>
              <w:rPr>
                <w:spacing w:val="-5"/>
                <w:sz w:val="20"/>
              </w:rPr>
              <w:t> </w:t>
            </w:r>
            <w:r>
              <w:rPr>
                <w:spacing w:val="-2"/>
                <w:sz w:val="20"/>
              </w:rPr>
              <w:t>Investigator</w:t>
            </w:r>
          </w:p>
        </w:tc>
        <w:tc>
          <w:tcPr>
            <w:tcW w:w="711" w:type="dxa"/>
          </w:tcPr>
          <w:p>
            <w:pPr>
              <w:pStyle w:val="TableParagraph"/>
              <w:spacing w:before="15"/>
              <w:ind w:left="32"/>
              <w:jc w:val="left"/>
              <w:rPr>
                <w:sz w:val="20"/>
              </w:rPr>
            </w:pPr>
            <w:r>
              <w:rPr>
                <w:spacing w:val="-2"/>
                <w:sz w:val="20"/>
              </w:rPr>
              <w:t>P-</w:t>
            </w:r>
            <w:r>
              <w:rPr>
                <w:spacing w:val="-10"/>
                <w:sz w:val="20"/>
              </w:rPr>
              <w:t>4</w:t>
            </w:r>
          </w:p>
        </w:tc>
        <w:tc>
          <w:tcPr>
            <w:tcW w:w="790" w:type="dxa"/>
          </w:tcPr>
          <w:p>
            <w:pPr>
              <w:pStyle w:val="TableParagraph"/>
              <w:spacing w:before="15"/>
              <w:ind w:right="54"/>
              <w:rPr>
                <w:sz w:val="20"/>
              </w:rPr>
            </w:pPr>
            <w:r>
              <w:rPr>
                <w:w w:val="100"/>
                <w:sz w:val="20"/>
              </w:rPr>
              <w:t>1</w:t>
            </w:r>
          </w:p>
        </w:tc>
        <w:tc>
          <w:tcPr>
            <w:tcW w:w="862" w:type="dxa"/>
          </w:tcPr>
          <w:p>
            <w:pPr>
              <w:pStyle w:val="TableParagraph"/>
              <w:spacing w:before="15"/>
              <w:ind w:right="210"/>
              <w:rPr>
                <w:sz w:val="20"/>
              </w:rPr>
            </w:pPr>
            <w:r>
              <w:rPr>
                <w:w w:val="100"/>
                <w:sz w:val="20"/>
              </w:rPr>
              <w:t>9</w:t>
            </w:r>
          </w:p>
        </w:tc>
        <w:tc>
          <w:tcPr>
            <w:tcW w:w="916" w:type="dxa"/>
          </w:tcPr>
          <w:p>
            <w:pPr>
              <w:pStyle w:val="TableParagraph"/>
              <w:spacing w:before="15"/>
              <w:ind w:left="195" w:right="144"/>
              <w:jc w:val="center"/>
              <w:rPr>
                <w:sz w:val="20"/>
              </w:rPr>
            </w:pPr>
            <w:r>
              <w:rPr>
                <w:spacing w:val="-4"/>
                <w:sz w:val="20"/>
              </w:rPr>
              <w:t>0.75</w:t>
            </w:r>
          </w:p>
        </w:tc>
        <w:tc>
          <w:tcPr>
            <w:tcW w:w="1096" w:type="dxa"/>
          </w:tcPr>
          <w:p>
            <w:pPr>
              <w:pStyle w:val="TableParagraph"/>
              <w:spacing w:before="15"/>
              <w:ind w:right="2"/>
              <w:rPr>
                <w:sz w:val="20"/>
              </w:rPr>
            </w:pPr>
            <w:r>
              <w:rPr>
                <w:spacing w:val="-5"/>
                <w:sz w:val="20"/>
              </w:rPr>
              <w:t>New</w:t>
            </w:r>
          </w:p>
        </w:tc>
      </w:tr>
      <w:tr>
        <w:trPr>
          <w:trHeight w:val="268" w:hRule="atLeast"/>
        </w:trPr>
        <w:tc>
          <w:tcPr>
            <w:tcW w:w="3021" w:type="dxa"/>
          </w:tcPr>
          <w:p>
            <w:pPr>
              <w:pStyle w:val="TableParagraph"/>
              <w:spacing w:before="15"/>
              <w:ind w:left="14"/>
              <w:jc w:val="left"/>
              <w:rPr>
                <w:sz w:val="20"/>
              </w:rPr>
            </w:pPr>
            <w:r>
              <w:rPr>
                <w:spacing w:val="-2"/>
                <w:sz w:val="20"/>
              </w:rPr>
              <w:t>Investigator</w:t>
            </w:r>
          </w:p>
        </w:tc>
        <w:tc>
          <w:tcPr>
            <w:tcW w:w="711" w:type="dxa"/>
          </w:tcPr>
          <w:p>
            <w:pPr>
              <w:pStyle w:val="TableParagraph"/>
              <w:spacing w:before="15"/>
              <w:ind w:left="32"/>
              <w:jc w:val="left"/>
              <w:rPr>
                <w:sz w:val="20"/>
              </w:rPr>
            </w:pPr>
            <w:r>
              <w:rPr>
                <w:spacing w:val="-2"/>
                <w:sz w:val="20"/>
              </w:rPr>
              <w:t>P-</w:t>
            </w:r>
            <w:r>
              <w:rPr>
                <w:spacing w:val="-10"/>
                <w:sz w:val="20"/>
              </w:rPr>
              <w:t>3</w:t>
            </w:r>
          </w:p>
        </w:tc>
        <w:tc>
          <w:tcPr>
            <w:tcW w:w="790" w:type="dxa"/>
          </w:tcPr>
          <w:p>
            <w:pPr>
              <w:pStyle w:val="TableParagraph"/>
              <w:spacing w:before="15"/>
              <w:ind w:right="54"/>
              <w:rPr>
                <w:sz w:val="20"/>
              </w:rPr>
            </w:pPr>
            <w:r>
              <w:rPr>
                <w:w w:val="100"/>
                <w:sz w:val="20"/>
              </w:rPr>
              <w:t>5</w:t>
            </w:r>
          </w:p>
        </w:tc>
        <w:tc>
          <w:tcPr>
            <w:tcW w:w="862" w:type="dxa"/>
          </w:tcPr>
          <w:p>
            <w:pPr>
              <w:pStyle w:val="TableParagraph"/>
              <w:spacing w:before="15"/>
              <w:ind w:right="210"/>
              <w:rPr>
                <w:sz w:val="20"/>
              </w:rPr>
            </w:pPr>
            <w:r>
              <w:rPr>
                <w:spacing w:val="-5"/>
                <w:sz w:val="20"/>
              </w:rPr>
              <w:t>45</w:t>
            </w:r>
          </w:p>
        </w:tc>
        <w:tc>
          <w:tcPr>
            <w:tcW w:w="916" w:type="dxa"/>
          </w:tcPr>
          <w:p>
            <w:pPr>
              <w:pStyle w:val="TableParagraph"/>
              <w:spacing w:before="15"/>
              <w:ind w:left="195" w:right="144"/>
              <w:jc w:val="center"/>
              <w:rPr>
                <w:sz w:val="20"/>
              </w:rPr>
            </w:pPr>
            <w:r>
              <w:rPr>
                <w:spacing w:val="-4"/>
                <w:sz w:val="20"/>
              </w:rPr>
              <w:t>3.75</w:t>
            </w:r>
          </w:p>
        </w:tc>
        <w:tc>
          <w:tcPr>
            <w:tcW w:w="1096" w:type="dxa"/>
          </w:tcPr>
          <w:p>
            <w:pPr>
              <w:pStyle w:val="TableParagraph"/>
              <w:spacing w:before="15"/>
              <w:ind w:right="2"/>
              <w:rPr>
                <w:sz w:val="20"/>
              </w:rPr>
            </w:pPr>
            <w:r>
              <w:rPr>
                <w:spacing w:val="-5"/>
                <w:sz w:val="20"/>
              </w:rPr>
              <w:t>New</w:t>
            </w:r>
          </w:p>
        </w:tc>
      </w:tr>
      <w:tr>
        <w:trPr>
          <w:trHeight w:val="271" w:hRule="atLeast"/>
        </w:trPr>
        <w:tc>
          <w:tcPr>
            <w:tcW w:w="3021" w:type="dxa"/>
          </w:tcPr>
          <w:p>
            <w:pPr>
              <w:pStyle w:val="TableParagraph"/>
              <w:spacing w:before="15"/>
              <w:ind w:left="14"/>
              <w:jc w:val="left"/>
              <w:rPr>
                <w:sz w:val="20"/>
              </w:rPr>
            </w:pPr>
            <w:r>
              <w:rPr>
                <w:sz w:val="20"/>
              </w:rPr>
              <w:t>Forensic</w:t>
            </w:r>
            <w:r>
              <w:rPr>
                <w:spacing w:val="-3"/>
                <w:sz w:val="20"/>
              </w:rPr>
              <w:t> </w:t>
            </w:r>
            <w:r>
              <w:rPr>
                <w:spacing w:val="-2"/>
                <w:sz w:val="20"/>
              </w:rPr>
              <w:t>Officer</w:t>
            </w:r>
          </w:p>
        </w:tc>
        <w:tc>
          <w:tcPr>
            <w:tcW w:w="711" w:type="dxa"/>
          </w:tcPr>
          <w:p>
            <w:pPr>
              <w:pStyle w:val="TableParagraph"/>
              <w:spacing w:before="15"/>
              <w:ind w:left="32"/>
              <w:jc w:val="left"/>
              <w:rPr>
                <w:sz w:val="20"/>
              </w:rPr>
            </w:pPr>
            <w:r>
              <w:rPr>
                <w:spacing w:val="-2"/>
                <w:sz w:val="20"/>
              </w:rPr>
              <w:t>P-</w:t>
            </w:r>
            <w:r>
              <w:rPr>
                <w:spacing w:val="-10"/>
                <w:sz w:val="20"/>
              </w:rPr>
              <w:t>3</w:t>
            </w:r>
          </w:p>
        </w:tc>
        <w:tc>
          <w:tcPr>
            <w:tcW w:w="790" w:type="dxa"/>
          </w:tcPr>
          <w:p>
            <w:pPr>
              <w:pStyle w:val="TableParagraph"/>
              <w:spacing w:before="15"/>
              <w:ind w:right="54"/>
              <w:rPr>
                <w:sz w:val="20"/>
              </w:rPr>
            </w:pPr>
            <w:r>
              <w:rPr>
                <w:w w:val="100"/>
                <w:sz w:val="20"/>
              </w:rPr>
              <w:t>1</w:t>
            </w:r>
          </w:p>
        </w:tc>
        <w:tc>
          <w:tcPr>
            <w:tcW w:w="862" w:type="dxa"/>
          </w:tcPr>
          <w:p>
            <w:pPr>
              <w:pStyle w:val="TableParagraph"/>
              <w:spacing w:before="15"/>
              <w:ind w:right="210"/>
              <w:rPr>
                <w:sz w:val="20"/>
              </w:rPr>
            </w:pPr>
            <w:r>
              <w:rPr>
                <w:w w:val="100"/>
                <w:sz w:val="20"/>
              </w:rPr>
              <w:t>9</w:t>
            </w:r>
          </w:p>
        </w:tc>
        <w:tc>
          <w:tcPr>
            <w:tcW w:w="916" w:type="dxa"/>
          </w:tcPr>
          <w:p>
            <w:pPr>
              <w:pStyle w:val="TableParagraph"/>
              <w:spacing w:before="15"/>
              <w:ind w:left="195" w:right="144"/>
              <w:jc w:val="center"/>
              <w:rPr>
                <w:sz w:val="20"/>
              </w:rPr>
            </w:pPr>
            <w:r>
              <w:rPr>
                <w:spacing w:val="-4"/>
                <w:sz w:val="20"/>
              </w:rPr>
              <w:t>0.75</w:t>
            </w:r>
          </w:p>
        </w:tc>
        <w:tc>
          <w:tcPr>
            <w:tcW w:w="1096" w:type="dxa"/>
          </w:tcPr>
          <w:p>
            <w:pPr>
              <w:pStyle w:val="TableParagraph"/>
              <w:spacing w:before="15"/>
              <w:ind w:right="2"/>
              <w:rPr>
                <w:sz w:val="20"/>
              </w:rPr>
            </w:pPr>
            <w:r>
              <w:rPr>
                <w:spacing w:val="-5"/>
                <w:sz w:val="20"/>
              </w:rPr>
              <w:t>New</w:t>
            </w:r>
          </w:p>
        </w:tc>
      </w:tr>
      <w:tr>
        <w:trPr>
          <w:trHeight w:val="271" w:hRule="atLeast"/>
        </w:trPr>
        <w:tc>
          <w:tcPr>
            <w:tcW w:w="3021" w:type="dxa"/>
          </w:tcPr>
          <w:p>
            <w:pPr>
              <w:pStyle w:val="TableParagraph"/>
              <w:spacing w:before="18"/>
              <w:ind w:left="14"/>
              <w:jc w:val="left"/>
              <w:rPr>
                <w:sz w:val="20"/>
              </w:rPr>
            </w:pPr>
            <w:r>
              <w:rPr>
                <w:sz w:val="20"/>
              </w:rPr>
              <w:t>Associate</w:t>
            </w:r>
            <w:r>
              <w:rPr>
                <w:spacing w:val="-7"/>
                <w:sz w:val="20"/>
              </w:rPr>
              <w:t> </w:t>
            </w:r>
            <w:r>
              <w:rPr>
                <w:spacing w:val="-2"/>
                <w:sz w:val="20"/>
              </w:rPr>
              <w:t>Investigator</w:t>
            </w:r>
          </w:p>
        </w:tc>
        <w:tc>
          <w:tcPr>
            <w:tcW w:w="711" w:type="dxa"/>
          </w:tcPr>
          <w:p>
            <w:pPr>
              <w:pStyle w:val="TableParagraph"/>
              <w:spacing w:before="18"/>
              <w:ind w:left="32"/>
              <w:jc w:val="left"/>
              <w:rPr>
                <w:sz w:val="20"/>
              </w:rPr>
            </w:pPr>
            <w:r>
              <w:rPr>
                <w:spacing w:val="-2"/>
                <w:sz w:val="20"/>
              </w:rPr>
              <w:t>P-</w:t>
            </w:r>
            <w:r>
              <w:rPr>
                <w:spacing w:val="-10"/>
                <w:sz w:val="20"/>
              </w:rPr>
              <w:t>2</w:t>
            </w:r>
          </w:p>
        </w:tc>
        <w:tc>
          <w:tcPr>
            <w:tcW w:w="790" w:type="dxa"/>
          </w:tcPr>
          <w:p>
            <w:pPr>
              <w:pStyle w:val="TableParagraph"/>
              <w:spacing w:before="18"/>
              <w:ind w:right="54"/>
              <w:rPr>
                <w:sz w:val="20"/>
              </w:rPr>
            </w:pPr>
            <w:r>
              <w:rPr>
                <w:w w:val="100"/>
                <w:sz w:val="20"/>
              </w:rPr>
              <w:t>1</w:t>
            </w:r>
          </w:p>
        </w:tc>
        <w:tc>
          <w:tcPr>
            <w:tcW w:w="862" w:type="dxa"/>
          </w:tcPr>
          <w:p>
            <w:pPr>
              <w:pStyle w:val="TableParagraph"/>
              <w:spacing w:before="18"/>
              <w:ind w:right="210"/>
              <w:rPr>
                <w:sz w:val="20"/>
              </w:rPr>
            </w:pPr>
            <w:r>
              <w:rPr>
                <w:w w:val="100"/>
                <w:sz w:val="20"/>
              </w:rPr>
              <w:t>9</w:t>
            </w:r>
          </w:p>
        </w:tc>
        <w:tc>
          <w:tcPr>
            <w:tcW w:w="916" w:type="dxa"/>
          </w:tcPr>
          <w:p>
            <w:pPr>
              <w:pStyle w:val="TableParagraph"/>
              <w:spacing w:before="18"/>
              <w:ind w:left="195" w:right="144"/>
              <w:jc w:val="center"/>
              <w:rPr>
                <w:sz w:val="20"/>
              </w:rPr>
            </w:pPr>
            <w:r>
              <w:rPr>
                <w:spacing w:val="-4"/>
                <w:sz w:val="20"/>
              </w:rPr>
              <w:t>0.75</w:t>
            </w:r>
          </w:p>
        </w:tc>
        <w:tc>
          <w:tcPr>
            <w:tcW w:w="1096" w:type="dxa"/>
          </w:tcPr>
          <w:p>
            <w:pPr>
              <w:pStyle w:val="TableParagraph"/>
              <w:spacing w:before="18"/>
              <w:ind w:right="2"/>
              <w:rPr>
                <w:sz w:val="20"/>
              </w:rPr>
            </w:pPr>
            <w:r>
              <w:rPr>
                <w:spacing w:val="-5"/>
                <w:sz w:val="20"/>
              </w:rPr>
              <w:t>New</w:t>
            </w:r>
          </w:p>
        </w:tc>
      </w:tr>
      <w:tr>
        <w:trPr>
          <w:trHeight w:val="264" w:hRule="atLeast"/>
        </w:trPr>
        <w:tc>
          <w:tcPr>
            <w:tcW w:w="3021" w:type="dxa"/>
            <w:tcBorders>
              <w:bottom w:val="single" w:sz="4" w:space="0" w:color="000000"/>
            </w:tcBorders>
          </w:tcPr>
          <w:p>
            <w:pPr>
              <w:pStyle w:val="TableParagraph"/>
              <w:spacing w:line="229" w:lineRule="exact" w:before="16"/>
              <w:ind w:left="14"/>
              <w:jc w:val="left"/>
              <w:rPr>
                <w:sz w:val="20"/>
              </w:rPr>
            </w:pPr>
            <w:r>
              <w:rPr>
                <w:sz w:val="20"/>
              </w:rPr>
              <w:t>International</w:t>
            </w:r>
            <w:r>
              <w:rPr>
                <w:spacing w:val="-11"/>
                <w:sz w:val="20"/>
              </w:rPr>
              <w:t> </w:t>
            </w:r>
            <w:r>
              <w:rPr>
                <w:sz w:val="20"/>
              </w:rPr>
              <w:t>Cooperation</w:t>
            </w:r>
            <w:r>
              <w:rPr>
                <w:spacing w:val="-8"/>
                <w:sz w:val="20"/>
              </w:rPr>
              <w:t> </w:t>
            </w:r>
            <w:r>
              <w:rPr>
                <w:spacing w:val="-2"/>
                <w:sz w:val="20"/>
              </w:rPr>
              <w:t>Adviser</w:t>
            </w:r>
          </w:p>
        </w:tc>
        <w:tc>
          <w:tcPr>
            <w:tcW w:w="711" w:type="dxa"/>
            <w:tcBorders>
              <w:bottom w:val="single" w:sz="4" w:space="0" w:color="000000"/>
            </w:tcBorders>
          </w:tcPr>
          <w:p>
            <w:pPr>
              <w:pStyle w:val="TableParagraph"/>
              <w:spacing w:line="229" w:lineRule="exact" w:before="16"/>
              <w:ind w:left="32"/>
              <w:jc w:val="left"/>
              <w:rPr>
                <w:sz w:val="20"/>
              </w:rPr>
            </w:pPr>
            <w:r>
              <w:rPr>
                <w:spacing w:val="-2"/>
                <w:sz w:val="20"/>
              </w:rPr>
              <w:t>P-</w:t>
            </w:r>
            <w:r>
              <w:rPr>
                <w:spacing w:val="-10"/>
                <w:sz w:val="20"/>
              </w:rPr>
              <w:t>4</w:t>
            </w:r>
          </w:p>
        </w:tc>
        <w:tc>
          <w:tcPr>
            <w:tcW w:w="790" w:type="dxa"/>
            <w:tcBorders>
              <w:bottom w:val="single" w:sz="4" w:space="0" w:color="000000"/>
            </w:tcBorders>
          </w:tcPr>
          <w:p>
            <w:pPr>
              <w:pStyle w:val="TableParagraph"/>
              <w:spacing w:line="229" w:lineRule="exact" w:before="16"/>
              <w:ind w:right="54"/>
              <w:rPr>
                <w:sz w:val="20"/>
              </w:rPr>
            </w:pPr>
            <w:r>
              <w:rPr>
                <w:w w:val="100"/>
                <w:sz w:val="20"/>
              </w:rPr>
              <w:t>1</w:t>
            </w:r>
          </w:p>
        </w:tc>
        <w:tc>
          <w:tcPr>
            <w:tcW w:w="862" w:type="dxa"/>
            <w:tcBorders>
              <w:bottom w:val="single" w:sz="4" w:space="0" w:color="000000"/>
            </w:tcBorders>
          </w:tcPr>
          <w:p>
            <w:pPr>
              <w:pStyle w:val="TableParagraph"/>
              <w:spacing w:line="229" w:lineRule="exact" w:before="16"/>
              <w:ind w:right="210"/>
              <w:rPr>
                <w:sz w:val="20"/>
              </w:rPr>
            </w:pPr>
            <w:r>
              <w:rPr>
                <w:w w:val="100"/>
                <w:sz w:val="20"/>
              </w:rPr>
              <w:t>9</w:t>
            </w:r>
          </w:p>
        </w:tc>
        <w:tc>
          <w:tcPr>
            <w:tcW w:w="916" w:type="dxa"/>
            <w:tcBorders>
              <w:bottom w:val="single" w:sz="4" w:space="0" w:color="000000"/>
            </w:tcBorders>
          </w:tcPr>
          <w:p>
            <w:pPr>
              <w:pStyle w:val="TableParagraph"/>
              <w:spacing w:line="229" w:lineRule="exact" w:before="16"/>
              <w:ind w:left="195" w:right="144"/>
              <w:jc w:val="center"/>
              <w:rPr>
                <w:sz w:val="20"/>
              </w:rPr>
            </w:pPr>
            <w:r>
              <w:rPr>
                <w:spacing w:val="-4"/>
                <w:sz w:val="20"/>
              </w:rPr>
              <w:t>0.75</w:t>
            </w:r>
          </w:p>
        </w:tc>
        <w:tc>
          <w:tcPr>
            <w:tcW w:w="1096" w:type="dxa"/>
            <w:tcBorders>
              <w:bottom w:val="single" w:sz="4" w:space="0" w:color="000000"/>
            </w:tcBorders>
          </w:tcPr>
          <w:p>
            <w:pPr>
              <w:pStyle w:val="TableParagraph"/>
              <w:spacing w:line="229" w:lineRule="exact" w:before="16"/>
              <w:ind w:right="2"/>
              <w:rPr>
                <w:sz w:val="20"/>
              </w:rPr>
            </w:pPr>
            <w:r>
              <w:rPr>
                <w:spacing w:val="-5"/>
                <w:sz w:val="20"/>
              </w:rPr>
              <w:t>New</w:t>
            </w:r>
          </w:p>
        </w:tc>
      </w:tr>
      <w:tr>
        <w:trPr>
          <w:trHeight w:val="268" w:hRule="atLeast"/>
        </w:trPr>
        <w:tc>
          <w:tcPr>
            <w:tcW w:w="3021" w:type="dxa"/>
            <w:tcBorders>
              <w:top w:val="single" w:sz="4" w:space="0" w:color="000000"/>
              <w:bottom w:val="single" w:sz="4" w:space="0" w:color="000000"/>
            </w:tcBorders>
          </w:tcPr>
          <w:p>
            <w:pPr>
              <w:pStyle w:val="TableParagraph"/>
              <w:jc w:val="left"/>
              <w:rPr>
                <w:sz w:val="18"/>
              </w:rPr>
            </w:pPr>
          </w:p>
        </w:tc>
        <w:tc>
          <w:tcPr>
            <w:tcW w:w="711" w:type="dxa"/>
            <w:tcBorders>
              <w:top w:val="single" w:sz="4" w:space="0" w:color="000000"/>
              <w:bottom w:val="single" w:sz="4" w:space="0" w:color="000000"/>
            </w:tcBorders>
          </w:tcPr>
          <w:p>
            <w:pPr>
              <w:pStyle w:val="TableParagraph"/>
              <w:jc w:val="left"/>
              <w:rPr>
                <w:sz w:val="18"/>
              </w:rPr>
            </w:pPr>
          </w:p>
        </w:tc>
        <w:tc>
          <w:tcPr>
            <w:tcW w:w="790" w:type="dxa"/>
            <w:tcBorders>
              <w:top w:val="single" w:sz="4" w:space="0" w:color="000000"/>
              <w:bottom w:val="single" w:sz="4" w:space="0" w:color="000000"/>
            </w:tcBorders>
          </w:tcPr>
          <w:p>
            <w:pPr>
              <w:pStyle w:val="TableParagraph"/>
              <w:spacing w:line="229" w:lineRule="exact" w:before="19"/>
              <w:ind w:right="54"/>
              <w:rPr>
                <w:b/>
                <w:sz w:val="20"/>
              </w:rPr>
            </w:pPr>
            <w:r>
              <w:rPr>
                <w:b/>
                <w:spacing w:val="-5"/>
                <w:sz w:val="20"/>
              </w:rPr>
              <w:t>22</w:t>
            </w:r>
          </w:p>
        </w:tc>
        <w:tc>
          <w:tcPr>
            <w:tcW w:w="862" w:type="dxa"/>
            <w:tcBorders>
              <w:top w:val="single" w:sz="4" w:space="0" w:color="000000"/>
              <w:bottom w:val="single" w:sz="4" w:space="0" w:color="000000"/>
            </w:tcBorders>
          </w:tcPr>
          <w:p>
            <w:pPr>
              <w:pStyle w:val="TableParagraph"/>
              <w:spacing w:line="229" w:lineRule="exact" w:before="19"/>
              <w:ind w:right="205"/>
              <w:rPr>
                <w:b/>
                <w:sz w:val="20"/>
              </w:rPr>
            </w:pPr>
            <w:r>
              <w:rPr>
                <w:b/>
                <w:spacing w:val="-5"/>
                <w:sz w:val="20"/>
              </w:rPr>
              <w:t>198</w:t>
            </w:r>
          </w:p>
        </w:tc>
        <w:tc>
          <w:tcPr>
            <w:tcW w:w="916" w:type="dxa"/>
            <w:tcBorders>
              <w:top w:val="single" w:sz="4" w:space="0" w:color="000000"/>
              <w:bottom w:val="single" w:sz="4" w:space="0" w:color="000000"/>
            </w:tcBorders>
          </w:tcPr>
          <w:p>
            <w:pPr>
              <w:pStyle w:val="TableParagraph"/>
              <w:spacing w:line="229" w:lineRule="exact" w:before="19"/>
              <w:ind w:left="195" w:right="241"/>
              <w:jc w:val="center"/>
              <w:rPr>
                <w:b/>
                <w:sz w:val="20"/>
              </w:rPr>
            </w:pPr>
            <w:r>
              <w:rPr>
                <w:b/>
                <w:spacing w:val="-2"/>
                <w:sz w:val="20"/>
              </w:rPr>
              <w:t>16.50</w:t>
            </w:r>
          </w:p>
        </w:tc>
        <w:tc>
          <w:tcPr>
            <w:tcW w:w="1096" w:type="dxa"/>
            <w:tcBorders>
              <w:top w:val="single" w:sz="4" w:space="0" w:color="000000"/>
              <w:bottom w:val="single" w:sz="4" w:space="0" w:color="000000"/>
            </w:tcBorders>
          </w:tcPr>
          <w:p>
            <w:pPr>
              <w:pStyle w:val="TableParagraph"/>
              <w:jc w:val="left"/>
              <w:rPr>
                <w:sz w:val="18"/>
              </w:rPr>
            </w:pPr>
          </w:p>
        </w:tc>
      </w:tr>
      <w:tr>
        <w:trPr>
          <w:trHeight w:val="273" w:hRule="atLeast"/>
        </w:trPr>
        <w:tc>
          <w:tcPr>
            <w:tcW w:w="3021" w:type="dxa"/>
            <w:tcBorders>
              <w:top w:val="single" w:sz="4" w:space="0" w:color="000000"/>
              <w:bottom w:val="single" w:sz="4" w:space="0" w:color="000000"/>
            </w:tcBorders>
          </w:tcPr>
          <w:p>
            <w:pPr>
              <w:pStyle w:val="TableParagraph"/>
              <w:spacing w:before="19"/>
              <w:ind w:left="14"/>
              <w:jc w:val="left"/>
              <w:rPr>
                <w:b/>
                <w:sz w:val="20"/>
              </w:rPr>
            </w:pPr>
            <w:r>
              <w:rPr>
                <w:b/>
                <w:spacing w:val="-2"/>
                <w:sz w:val="20"/>
              </w:rPr>
              <w:t>Total</w:t>
            </w:r>
          </w:p>
        </w:tc>
        <w:tc>
          <w:tcPr>
            <w:tcW w:w="711" w:type="dxa"/>
            <w:tcBorders>
              <w:top w:val="single" w:sz="4" w:space="0" w:color="000000"/>
              <w:bottom w:val="single" w:sz="4" w:space="0" w:color="000000"/>
            </w:tcBorders>
          </w:tcPr>
          <w:p>
            <w:pPr>
              <w:pStyle w:val="TableParagraph"/>
              <w:jc w:val="left"/>
              <w:rPr>
                <w:sz w:val="18"/>
              </w:rPr>
            </w:pPr>
          </w:p>
        </w:tc>
        <w:tc>
          <w:tcPr>
            <w:tcW w:w="790" w:type="dxa"/>
            <w:tcBorders>
              <w:top w:val="single" w:sz="4" w:space="0" w:color="000000"/>
              <w:bottom w:val="single" w:sz="4" w:space="0" w:color="000000"/>
            </w:tcBorders>
          </w:tcPr>
          <w:p>
            <w:pPr>
              <w:pStyle w:val="TableParagraph"/>
              <w:spacing w:before="19"/>
              <w:ind w:right="54"/>
              <w:rPr>
                <w:b/>
                <w:sz w:val="20"/>
              </w:rPr>
            </w:pPr>
            <w:r>
              <w:rPr>
                <w:b/>
                <w:spacing w:val="-5"/>
                <w:sz w:val="20"/>
              </w:rPr>
              <w:t>32</w:t>
            </w:r>
          </w:p>
        </w:tc>
        <w:tc>
          <w:tcPr>
            <w:tcW w:w="862" w:type="dxa"/>
            <w:tcBorders>
              <w:top w:val="single" w:sz="4" w:space="0" w:color="000000"/>
              <w:bottom w:val="single" w:sz="4" w:space="0" w:color="000000"/>
            </w:tcBorders>
          </w:tcPr>
          <w:p>
            <w:pPr>
              <w:pStyle w:val="TableParagraph"/>
              <w:spacing w:before="19"/>
              <w:ind w:right="205"/>
              <w:rPr>
                <w:b/>
                <w:sz w:val="20"/>
              </w:rPr>
            </w:pPr>
            <w:r>
              <w:rPr>
                <w:b/>
                <w:spacing w:val="-5"/>
                <w:sz w:val="20"/>
              </w:rPr>
              <w:t>297</w:t>
            </w:r>
          </w:p>
        </w:tc>
        <w:tc>
          <w:tcPr>
            <w:tcW w:w="916" w:type="dxa"/>
            <w:tcBorders>
              <w:top w:val="single" w:sz="4" w:space="0" w:color="000000"/>
              <w:bottom w:val="single" w:sz="4" w:space="0" w:color="000000"/>
            </w:tcBorders>
          </w:tcPr>
          <w:p>
            <w:pPr>
              <w:pStyle w:val="TableParagraph"/>
              <w:spacing w:before="19"/>
              <w:ind w:left="195" w:right="241"/>
              <w:jc w:val="center"/>
              <w:rPr>
                <w:b/>
                <w:sz w:val="20"/>
              </w:rPr>
            </w:pPr>
            <w:r>
              <w:rPr>
                <w:b/>
                <w:spacing w:val="-2"/>
                <w:sz w:val="20"/>
              </w:rPr>
              <w:t>24.75</w:t>
            </w:r>
          </w:p>
        </w:tc>
        <w:tc>
          <w:tcPr>
            <w:tcW w:w="1096" w:type="dxa"/>
            <w:tcBorders>
              <w:top w:val="single" w:sz="4" w:space="0" w:color="000000"/>
              <w:bottom w:val="single" w:sz="4" w:space="0" w:color="000000"/>
            </w:tcBorders>
          </w:tcPr>
          <w:p>
            <w:pPr>
              <w:pStyle w:val="TableParagraph"/>
              <w:jc w:val="left"/>
              <w:rPr>
                <w:sz w:val="18"/>
              </w:rPr>
            </w:pPr>
          </w:p>
        </w:tc>
      </w:tr>
    </w:tbl>
    <w:p>
      <w:pPr>
        <w:pStyle w:val="BodyText"/>
      </w:pPr>
    </w:p>
    <w:p>
      <w:pPr>
        <w:pStyle w:val="BodyText"/>
      </w:pPr>
    </w:p>
    <w:p>
      <w:pPr>
        <w:pStyle w:val="BodyText"/>
      </w:pPr>
    </w:p>
    <w:p>
      <w:pPr>
        <w:pStyle w:val="BodyText"/>
      </w:pPr>
    </w:p>
    <w:p>
      <w:pPr>
        <w:pStyle w:val="BodyText"/>
        <w:spacing w:before="2"/>
      </w:pPr>
      <w:r>
        <w:rPr/>
        <w:pict>
          <v:rect style="position:absolute;margin-left:113.330002pt;margin-top:12.819877pt;width:144.050pt;height:.48004pt;mso-position-horizontal-relative:page;mso-position-vertical-relative:paragraph;z-index:-15705600;mso-wrap-distance-left:0;mso-wrap-distance-right:0" id="docshape116" filled="true" fillcolor="#000000" stroked="false">
            <v:fill type="solid"/>
            <w10:wrap type="topAndBottom"/>
          </v:rect>
        </w:pict>
      </w:r>
    </w:p>
    <w:p>
      <w:pPr>
        <w:spacing w:before="86"/>
        <w:ind w:left="2246" w:right="2255" w:firstLine="0"/>
        <w:jc w:val="both"/>
        <w:rPr>
          <w:sz w:val="16"/>
        </w:rPr>
      </w:pPr>
      <w:r>
        <w:rPr>
          <w:position w:val="5"/>
          <w:sz w:val="10"/>
        </w:rPr>
        <w:t>70</w:t>
      </w:r>
      <w:r>
        <w:rPr>
          <w:spacing w:val="29"/>
          <w:position w:val="5"/>
          <w:sz w:val="10"/>
        </w:rPr>
        <w:t> </w:t>
      </w:r>
      <w:r>
        <w:rPr>
          <w:sz w:val="16"/>
        </w:rPr>
        <w:t>The two UNOLA staff whose cost is charged 50 per cent to the OTP and 50 per cent to the Registry are not</w:t>
      </w:r>
      <w:r>
        <w:rPr>
          <w:spacing w:val="40"/>
          <w:sz w:val="16"/>
        </w:rPr>
        <w:t> </w:t>
      </w:r>
      <w:r>
        <w:rPr>
          <w:sz w:val="16"/>
        </w:rPr>
        <w:t>included in this table. However, details of these positions can be found in para 285 below.</w:t>
      </w:r>
    </w:p>
    <w:p>
      <w:pPr>
        <w:spacing w:after="0"/>
        <w:jc w:val="both"/>
        <w:rPr>
          <w:sz w:val="16"/>
        </w:rPr>
        <w:sectPr>
          <w:pgSz w:w="11910" w:h="16840"/>
          <w:pgMar w:header="953" w:footer="940" w:top="1140" w:bottom="1140" w:left="20" w:right="20"/>
        </w:sectPr>
      </w:pPr>
    </w:p>
    <w:p>
      <w:pPr>
        <w:pStyle w:val="ListParagraph"/>
        <w:numPr>
          <w:ilvl w:val="0"/>
          <w:numId w:val="4"/>
        </w:numPr>
        <w:tabs>
          <w:tab w:pos="2967" w:val="left" w:leader="none"/>
        </w:tabs>
        <w:spacing w:line="240" w:lineRule="auto" w:before="120" w:after="0"/>
        <w:ind w:left="2246" w:right="2239" w:firstLine="0"/>
        <w:jc w:val="both"/>
        <w:rPr>
          <w:sz w:val="20"/>
        </w:rPr>
      </w:pPr>
      <w:r>
        <w:rPr>
          <w:sz w:val="20"/>
        </w:rPr>
        <w:t>In addition to its specific activities, IOP has increased its role in supporting the diplomatic and external engagements of the Office. This has led to a surge in activities involving stakeholders, diplomatic delegations and in</w:t>
      </w:r>
      <w:r>
        <w:rPr>
          <w:spacing w:val="-3"/>
          <w:sz w:val="20"/>
        </w:rPr>
        <w:t> </w:t>
      </w:r>
      <w:r>
        <w:rPr>
          <w:sz w:val="20"/>
        </w:rPr>
        <w:t>the number of</w:t>
      </w:r>
      <w:r>
        <w:rPr>
          <w:spacing w:val="-3"/>
          <w:sz w:val="20"/>
        </w:rPr>
        <w:t> </w:t>
      </w:r>
      <w:r>
        <w:rPr>
          <w:sz w:val="20"/>
        </w:rPr>
        <w:t>missions conducted by the Immediate Office. Two</w:t>
      </w:r>
      <w:r>
        <w:rPr>
          <w:spacing w:val="-2"/>
          <w:sz w:val="20"/>
        </w:rPr>
        <w:t> </w:t>
      </w:r>
      <w:r>
        <w:rPr>
          <w:sz w:val="20"/>
        </w:rPr>
        <w:t>GTA</w:t>
      </w:r>
      <w:r>
        <w:rPr>
          <w:spacing w:val="-1"/>
          <w:sz w:val="20"/>
        </w:rPr>
        <w:t> </w:t>
      </w:r>
      <w:r>
        <w:rPr>
          <w:sz w:val="20"/>
        </w:rPr>
        <w:t>positions (1.5 FTE)</w:t>
      </w:r>
      <w:r>
        <w:rPr>
          <w:spacing w:val="-4"/>
          <w:sz w:val="20"/>
        </w:rPr>
        <w:t> </w:t>
      </w:r>
      <w:r>
        <w:rPr>
          <w:sz w:val="20"/>
        </w:rPr>
        <w:t>are requested to meet crucial resource needs for 2023 to address the high demands placed on IOP: </w:t>
      </w:r>
      <w:r>
        <w:rPr>
          <w:i/>
          <w:sz w:val="20"/>
        </w:rPr>
        <w:t>Personal Assistant to the</w:t>
      </w:r>
      <w:r>
        <w:rPr>
          <w:i/>
          <w:sz w:val="20"/>
        </w:rPr>
        <w:t> Prosecutor </w:t>
      </w:r>
      <w:r>
        <w:rPr>
          <w:sz w:val="20"/>
        </w:rPr>
        <w:t>(GS-OL) and </w:t>
      </w:r>
      <w:r>
        <w:rPr>
          <w:i/>
          <w:sz w:val="20"/>
        </w:rPr>
        <w:t>Administrative Assistant </w:t>
      </w:r>
      <w:r>
        <w:rPr>
          <w:sz w:val="20"/>
        </w:rPr>
        <w:t>(GS-OL).</w:t>
      </w:r>
    </w:p>
    <w:p>
      <w:pPr>
        <w:pStyle w:val="ListParagraph"/>
        <w:numPr>
          <w:ilvl w:val="0"/>
          <w:numId w:val="4"/>
        </w:numPr>
        <w:tabs>
          <w:tab w:pos="2967" w:val="left" w:leader="none"/>
        </w:tabs>
        <w:spacing w:line="240" w:lineRule="auto" w:before="123" w:after="0"/>
        <w:ind w:left="2246" w:right="2242" w:firstLine="0"/>
        <w:jc w:val="both"/>
        <w:rPr>
          <w:sz w:val="20"/>
        </w:rPr>
      </w:pPr>
      <w:r>
        <w:rPr>
          <w:sz w:val="20"/>
        </w:rPr>
        <w:t>As recognized by the IER report, PIU is a strategic function of the Office. The independent experts recommended increasing the in-house capacity to direct the media narrative, increasing involvement with civil society and local media organizations, or the general management of communications.</w:t>
      </w:r>
      <w:r>
        <w:rPr>
          <w:sz w:val="20"/>
          <w:vertAlign w:val="superscript"/>
        </w:rPr>
        <w:t>71</w:t>
      </w:r>
      <w:r>
        <w:rPr>
          <w:sz w:val="20"/>
          <w:vertAlign w:val="baseline"/>
        </w:rPr>
        <w:t> Under the direction of the Head, Public Information Unit (P-4), the Associate Public Information Officer (P-2) will execute the strategic communication policy of the Office and manage other aspects of PIU.</w:t>
      </w:r>
    </w:p>
    <w:p>
      <w:pPr>
        <w:pStyle w:val="ListParagraph"/>
        <w:numPr>
          <w:ilvl w:val="0"/>
          <w:numId w:val="4"/>
        </w:numPr>
        <w:tabs>
          <w:tab w:pos="2967" w:val="left" w:leader="none"/>
        </w:tabs>
        <w:spacing w:line="240" w:lineRule="auto" w:before="118" w:after="0"/>
        <w:ind w:left="2246" w:right="2241" w:firstLine="0"/>
        <w:jc w:val="both"/>
        <w:rPr>
          <w:sz w:val="20"/>
        </w:rPr>
      </w:pPr>
      <w:r>
        <w:rPr>
          <w:sz w:val="20"/>
        </w:rPr>
        <w:t>Three</w:t>
      </w:r>
      <w:r>
        <w:rPr>
          <w:spacing w:val="40"/>
          <w:sz w:val="20"/>
        </w:rPr>
        <w:t> </w:t>
      </w:r>
      <w:r>
        <w:rPr>
          <w:sz w:val="20"/>
        </w:rPr>
        <w:t>GTA</w:t>
      </w:r>
      <w:r>
        <w:rPr>
          <w:spacing w:val="37"/>
          <w:sz w:val="20"/>
        </w:rPr>
        <w:t> </w:t>
      </w:r>
      <w:r>
        <w:rPr>
          <w:sz w:val="20"/>
        </w:rPr>
        <w:t>positions</w:t>
      </w:r>
      <w:r>
        <w:rPr>
          <w:spacing w:val="37"/>
          <w:sz w:val="20"/>
        </w:rPr>
        <w:t> </w:t>
      </w:r>
      <w:r>
        <w:rPr>
          <w:sz w:val="20"/>
        </w:rPr>
        <w:t>(2.25</w:t>
      </w:r>
      <w:r>
        <w:rPr>
          <w:spacing w:val="37"/>
          <w:sz w:val="20"/>
        </w:rPr>
        <w:t> </w:t>
      </w:r>
      <w:r>
        <w:rPr>
          <w:sz w:val="20"/>
        </w:rPr>
        <w:t>FTE)</w:t>
      </w:r>
      <w:r>
        <w:rPr>
          <w:spacing w:val="34"/>
          <w:sz w:val="20"/>
        </w:rPr>
        <w:t> </w:t>
      </w:r>
      <w:r>
        <w:rPr>
          <w:sz w:val="20"/>
        </w:rPr>
        <w:t>are</w:t>
      </w:r>
      <w:r>
        <w:rPr>
          <w:spacing w:val="35"/>
          <w:sz w:val="20"/>
        </w:rPr>
        <w:t> </w:t>
      </w:r>
      <w:r>
        <w:rPr>
          <w:sz w:val="20"/>
        </w:rPr>
        <w:t>requested</w:t>
      </w:r>
      <w:r>
        <w:rPr>
          <w:spacing w:val="34"/>
          <w:sz w:val="20"/>
        </w:rPr>
        <w:t> </w:t>
      </w:r>
      <w:r>
        <w:rPr>
          <w:sz w:val="20"/>
        </w:rPr>
        <w:t>to</w:t>
      </w:r>
      <w:r>
        <w:rPr>
          <w:spacing w:val="34"/>
          <w:sz w:val="20"/>
        </w:rPr>
        <w:t> </w:t>
      </w:r>
      <w:r>
        <w:rPr>
          <w:sz w:val="20"/>
        </w:rPr>
        <w:t>meet</w:t>
      </w:r>
      <w:r>
        <w:rPr>
          <w:spacing w:val="35"/>
          <w:sz w:val="20"/>
        </w:rPr>
        <w:t> </w:t>
      </w:r>
      <w:r>
        <w:rPr>
          <w:sz w:val="20"/>
        </w:rPr>
        <w:t>crucial</w:t>
      </w:r>
      <w:r>
        <w:rPr>
          <w:spacing w:val="35"/>
          <w:sz w:val="20"/>
        </w:rPr>
        <w:t> </w:t>
      </w:r>
      <w:r>
        <w:rPr>
          <w:sz w:val="20"/>
        </w:rPr>
        <w:t>resource</w:t>
      </w:r>
      <w:r>
        <w:rPr>
          <w:spacing w:val="40"/>
          <w:sz w:val="20"/>
        </w:rPr>
        <w:t> </w:t>
      </w:r>
      <w:r>
        <w:rPr>
          <w:sz w:val="20"/>
        </w:rPr>
        <w:t>needs for 2023 to address the continuing high demands placed on OTP-HR. The positions of </w:t>
      </w:r>
      <w:r>
        <w:rPr>
          <w:i/>
          <w:sz w:val="20"/>
        </w:rPr>
        <w:t>Associate Human Resources Officer </w:t>
      </w:r>
      <w:r>
        <w:rPr>
          <w:sz w:val="20"/>
        </w:rPr>
        <w:t>will provide the necessary professional expertise and competence and act as the bridge between the leadership of the OTP-HR Office and the operational implementation roles of the Staff Assistants.</w:t>
      </w:r>
    </w:p>
    <w:p>
      <w:pPr>
        <w:pStyle w:val="ListParagraph"/>
        <w:numPr>
          <w:ilvl w:val="0"/>
          <w:numId w:val="4"/>
        </w:numPr>
        <w:tabs>
          <w:tab w:pos="2967" w:val="left" w:leader="none"/>
        </w:tabs>
        <w:spacing w:line="240" w:lineRule="auto" w:before="123" w:after="0"/>
        <w:ind w:left="2246" w:right="2244" w:firstLine="0"/>
        <w:jc w:val="both"/>
        <w:rPr>
          <w:sz w:val="20"/>
        </w:rPr>
      </w:pPr>
      <w:r>
        <w:rPr>
          <w:sz w:val="20"/>
        </w:rPr>
        <w:t>The addition of these positions will provide opportunities for further delegation of certain responsibilities and serve as a back-up to the HR Liaison and Coordination Officer. These positions will be responsible, under delegated authority, for a portion of the management</w:t>
      </w:r>
      <w:r>
        <w:rPr>
          <w:spacing w:val="-13"/>
          <w:sz w:val="20"/>
        </w:rPr>
        <w:t> </w:t>
      </w:r>
      <w:r>
        <w:rPr>
          <w:sz w:val="20"/>
        </w:rPr>
        <w:t>of</w:t>
      </w:r>
      <w:r>
        <w:rPr>
          <w:spacing w:val="-12"/>
          <w:sz w:val="20"/>
        </w:rPr>
        <w:t> </w:t>
      </w:r>
      <w:r>
        <w:rPr>
          <w:sz w:val="20"/>
        </w:rPr>
        <w:t>the</w:t>
      </w:r>
      <w:r>
        <w:rPr>
          <w:spacing w:val="-13"/>
          <w:sz w:val="20"/>
        </w:rPr>
        <w:t> </w:t>
      </w:r>
      <w:r>
        <w:rPr>
          <w:sz w:val="20"/>
        </w:rPr>
        <w:t>provision</w:t>
      </w:r>
      <w:r>
        <w:rPr>
          <w:spacing w:val="-12"/>
          <w:sz w:val="20"/>
        </w:rPr>
        <w:t> </w:t>
      </w:r>
      <w:r>
        <w:rPr>
          <w:sz w:val="20"/>
        </w:rPr>
        <w:t>of</w:t>
      </w:r>
      <w:r>
        <w:rPr>
          <w:spacing w:val="-13"/>
          <w:sz w:val="20"/>
        </w:rPr>
        <w:t> </w:t>
      </w:r>
      <w:r>
        <w:rPr>
          <w:sz w:val="20"/>
        </w:rPr>
        <w:t>HR</w:t>
      </w:r>
      <w:r>
        <w:rPr>
          <w:spacing w:val="-12"/>
          <w:sz w:val="20"/>
        </w:rPr>
        <w:t> </w:t>
      </w:r>
      <w:r>
        <w:rPr>
          <w:sz w:val="20"/>
        </w:rPr>
        <w:t>guidance</w:t>
      </w:r>
      <w:r>
        <w:rPr>
          <w:spacing w:val="-13"/>
          <w:sz w:val="20"/>
        </w:rPr>
        <w:t> </w:t>
      </w:r>
      <w:r>
        <w:rPr>
          <w:sz w:val="20"/>
        </w:rPr>
        <w:t>to</w:t>
      </w:r>
      <w:r>
        <w:rPr>
          <w:spacing w:val="-12"/>
          <w:sz w:val="20"/>
        </w:rPr>
        <w:t> </w:t>
      </w:r>
      <w:r>
        <w:rPr>
          <w:sz w:val="20"/>
        </w:rPr>
        <w:t>heads</w:t>
      </w:r>
      <w:r>
        <w:rPr>
          <w:spacing w:val="-13"/>
          <w:sz w:val="20"/>
        </w:rPr>
        <w:t> </w:t>
      </w:r>
      <w:r>
        <w:rPr>
          <w:sz w:val="20"/>
        </w:rPr>
        <w:t>of</w:t>
      </w:r>
      <w:r>
        <w:rPr>
          <w:spacing w:val="-12"/>
          <w:sz w:val="20"/>
        </w:rPr>
        <w:t> </w:t>
      </w:r>
      <w:r>
        <w:rPr>
          <w:sz w:val="20"/>
        </w:rPr>
        <w:t>section</w:t>
      </w:r>
      <w:r>
        <w:rPr>
          <w:spacing w:val="-13"/>
          <w:sz w:val="20"/>
        </w:rPr>
        <w:t> </w:t>
      </w:r>
      <w:r>
        <w:rPr>
          <w:sz w:val="20"/>
        </w:rPr>
        <w:t>and</w:t>
      </w:r>
      <w:r>
        <w:rPr>
          <w:spacing w:val="-12"/>
          <w:sz w:val="20"/>
        </w:rPr>
        <w:t> </w:t>
      </w:r>
      <w:r>
        <w:rPr>
          <w:sz w:val="20"/>
        </w:rPr>
        <w:t>unit</w:t>
      </w:r>
      <w:r>
        <w:rPr>
          <w:spacing w:val="-13"/>
          <w:sz w:val="20"/>
        </w:rPr>
        <w:t> </w:t>
      </w:r>
      <w:r>
        <w:rPr>
          <w:sz w:val="20"/>
        </w:rPr>
        <w:t>as</w:t>
      </w:r>
      <w:r>
        <w:rPr>
          <w:spacing w:val="-12"/>
          <w:sz w:val="20"/>
        </w:rPr>
        <w:t> </w:t>
      </w:r>
      <w:r>
        <w:rPr>
          <w:sz w:val="20"/>
        </w:rPr>
        <w:t>well</w:t>
      </w:r>
      <w:r>
        <w:rPr>
          <w:spacing w:val="-13"/>
          <w:sz w:val="20"/>
        </w:rPr>
        <w:t> </w:t>
      </w:r>
      <w:r>
        <w:rPr>
          <w:sz w:val="20"/>
        </w:rPr>
        <w:t>as</w:t>
      </w:r>
      <w:r>
        <w:rPr>
          <w:spacing w:val="-12"/>
          <w:sz w:val="20"/>
        </w:rPr>
        <w:t> </w:t>
      </w:r>
      <w:r>
        <w:rPr>
          <w:sz w:val="20"/>
        </w:rPr>
        <w:t>providing initial</w:t>
      </w:r>
      <w:r>
        <w:rPr>
          <w:spacing w:val="-13"/>
          <w:sz w:val="20"/>
        </w:rPr>
        <w:t> </w:t>
      </w:r>
      <w:r>
        <w:rPr>
          <w:sz w:val="20"/>
        </w:rPr>
        <w:t>review</w:t>
      </w:r>
      <w:r>
        <w:rPr>
          <w:spacing w:val="-12"/>
          <w:sz w:val="20"/>
        </w:rPr>
        <w:t> </w:t>
      </w:r>
      <w:r>
        <w:rPr>
          <w:sz w:val="20"/>
        </w:rPr>
        <w:t>of</w:t>
      </w:r>
      <w:r>
        <w:rPr>
          <w:spacing w:val="-13"/>
          <w:sz w:val="20"/>
        </w:rPr>
        <w:t> </w:t>
      </w:r>
      <w:r>
        <w:rPr>
          <w:sz w:val="20"/>
        </w:rPr>
        <w:t>proposed</w:t>
      </w:r>
      <w:r>
        <w:rPr>
          <w:spacing w:val="-12"/>
          <w:sz w:val="20"/>
        </w:rPr>
        <w:t> </w:t>
      </w:r>
      <w:r>
        <w:rPr>
          <w:sz w:val="20"/>
        </w:rPr>
        <w:t>policy</w:t>
      </w:r>
      <w:r>
        <w:rPr>
          <w:spacing w:val="-13"/>
          <w:sz w:val="20"/>
        </w:rPr>
        <w:t> </w:t>
      </w:r>
      <w:r>
        <w:rPr>
          <w:sz w:val="20"/>
        </w:rPr>
        <w:t>changes</w:t>
      </w:r>
      <w:r>
        <w:rPr>
          <w:spacing w:val="-12"/>
          <w:sz w:val="20"/>
        </w:rPr>
        <w:t> </w:t>
      </w:r>
      <w:r>
        <w:rPr>
          <w:sz w:val="20"/>
        </w:rPr>
        <w:t>and</w:t>
      </w:r>
      <w:r>
        <w:rPr>
          <w:spacing w:val="-13"/>
          <w:sz w:val="20"/>
        </w:rPr>
        <w:t> </w:t>
      </w:r>
      <w:r>
        <w:rPr>
          <w:sz w:val="20"/>
        </w:rPr>
        <w:t>management</w:t>
      </w:r>
      <w:r>
        <w:rPr>
          <w:spacing w:val="-12"/>
          <w:sz w:val="20"/>
        </w:rPr>
        <w:t> </w:t>
      </w:r>
      <w:r>
        <w:rPr>
          <w:sz w:val="20"/>
        </w:rPr>
        <w:t>of</w:t>
      </w:r>
      <w:r>
        <w:rPr>
          <w:spacing w:val="-13"/>
          <w:sz w:val="20"/>
        </w:rPr>
        <w:t> </w:t>
      </w:r>
      <w:r>
        <w:rPr>
          <w:sz w:val="20"/>
        </w:rPr>
        <w:t>staff-related</w:t>
      </w:r>
      <w:r>
        <w:rPr>
          <w:spacing w:val="-12"/>
          <w:sz w:val="20"/>
        </w:rPr>
        <w:t> </w:t>
      </w:r>
      <w:r>
        <w:rPr>
          <w:sz w:val="20"/>
        </w:rPr>
        <w:t>issues.</w:t>
      </w:r>
      <w:r>
        <w:rPr>
          <w:spacing w:val="-13"/>
          <w:sz w:val="20"/>
        </w:rPr>
        <w:t> </w:t>
      </w:r>
      <w:r>
        <w:rPr>
          <w:sz w:val="20"/>
        </w:rPr>
        <w:t>In</w:t>
      </w:r>
      <w:r>
        <w:rPr>
          <w:spacing w:val="-12"/>
          <w:sz w:val="20"/>
        </w:rPr>
        <w:t> </w:t>
      </w:r>
      <w:r>
        <w:rPr>
          <w:sz w:val="20"/>
        </w:rPr>
        <w:t>addition, it is</w:t>
      </w:r>
      <w:r>
        <w:rPr>
          <w:spacing w:val="-6"/>
          <w:sz w:val="20"/>
        </w:rPr>
        <w:t> </w:t>
      </w:r>
      <w:r>
        <w:rPr>
          <w:sz w:val="20"/>
        </w:rPr>
        <w:t>anticipated that</w:t>
      </w:r>
      <w:r>
        <w:rPr>
          <w:spacing w:val="-3"/>
          <w:sz w:val="20"/>
        </w:rPr>
        <w:t> </w:t>
      </w:r>
      <w:r>
        <w:rPr>
          <w:sz w:val="20"/>
        </w:rPr>
        <w:t>these roles</w:t>
      </w:r>
      <w:r>
        <w:rPr>
          <w:spacing w:val="-1"/>
          <w:sz w:val="20"/>
        </w:rPr>
        <w:t> </w:t>
      </w:r>
      <w:r>
        <w:rPr>
          <w:sz w:val="20"/>
        </w:rPr>
        <w:t>will</w:t>
      </w:r>
      <w:r>
        <w:rPr>
          <w:spacing w:val="-3"/>
          <w:sz w:val="20"/>
        </w:rPr>
        <w:t> </w:t>
      </w:r>
      <w:r>
        <w:rPr>
          <w:sz w:val="20"/>
        </w:rPr>
        <w:t>assume supervisory,</w:t>
      </w:r>
      <w:r>
        <w:rPr>
          <w:spacing w:val="-2"/>
          <w:sz w:val="20"/>
        </w:rPr>
        <w:t> </w:t>
      </w:r>
      <w:r>
        <w:rPr>
          <w:sz w:val="20"/>
        </w:rPr>
        <w:t>although not managerial, functions over</w:t>
      </w:r>
      <w:r>
        <w:rPr>
          <w:spacing w:val="-8"/>
          <w:sz w:val="20"/>
        </w:rPr>
        <w:t> </w:t>
      </w:r>
      <w:r>
        <w:rPr>
          <w:sz w:val="20"/>
        </w:rPr>
        <w:t>the</w:t>
      </w:r>
      <w:r>
        <w:rPr>
          <w:spacing w:val="-2"/>
          <w:sz w:val="20"/>
        </w:rPr>
        <w:t> </w:t>
      </w:r>
      <w:r>
        <w:rPr>
          <w:sz w:val="20"/>
        </w:rPr>
        <w:t>HR</w:t>
      </w:r>
      <w:r>
        <w:rPr>
          <w:spacing w:val="-8"/>
          <w:sz w:val="20"/>
        </w:rPr>
        <w:t> </w:t>
      </w:r>
      <w:r>
        <w:rPr>
          <w:sz w:val="20"/>
        </w:rPr>
        <w:t>Staff</w:t>
      </w:r>
      <w:r>
        <w:rPr>
          <w:spacing w:val="-8"/>
          <w:sz w:val="20"/>
        </w:rPr>
        <w:t> </w:t>
      </w:r>
      <w:r>
        <w:rPr>
          <w:sz w:val="20"/>
        </w:rPr>
        <w:t>Assistants,</w:t>
      </w:r>
      <w:r>
        <w:rPr>
          <w:spacing w:val="-6"/>
          <w:sz w:val="20"/>
        </w:rPr>
        <w:t> </w:t>
      </w:r>
      <w:r>
        <w:rPr>
          <w:sz w:val="20"/>
        </w:rPr>
        <w:t>freeing</w:t>
      </w:r>
      <w:r>
        <w:rPr>
          <w:spacing w:val="-8"/>
          <w:sz w:val="20"/>
        </w:rPr>
        <w:t> </w:t>
      </w:r>
      <w:r>
        <w:rPr>
          <w:sz w:val="20"/>
        </w:rPr>
        <w:t>more</w:t>
      </w:r>
      <w:r>
        <w:rPr>
          <w:spacing w:val="-7"/>
          <w:sz w:val="20"/>
        </w:rPr>
        <w:t> </w:t>
      </w:r>
      <w:r>
        <w:rPr>
          <w:sz w:val="20"/>
        </w:rPr>
        <w:t>time</w:t>
      </w:r>
      <w:r>
        <w:rPr>
          <w:spacing w:val="-7"/>
          <w:sz w:val="20"/>
        </w:rPr>
        <w:t> </w:t>
      </w:r>
      <w:r>
        <w:rPr>
          <w:sz w:val="20"/>
        </w:rPr>
        <w:t>for</w:t>
      </w:r>
      <w:r>
        <w:rPr>
          <w:spacing w:val="-8"/>
          <w:sz w:val="20"/>
        </w:rPr>
        <w:t> </w:t>
      </w:r>
      <w:r>
        <w:rPr>
          <w:sz w:val="20"/>
        </w:rPr>
        <w:t>the</w:t>
      </w:r>
      <w:r>
        <w:rPr>
          <w:spacing w:val="-7"/>
          <w:sz w:val="20"/>
        </w:rPr>
        <w:t> </w:t>
      </w:r>
      <w:r>
        <w:rPr>
          <w:sz w:val="20"/>
        </w:rPr>
        <w:t>HR</w:t>
      </w:r>
      <w:r>
        <w:rPr>
          <w:spacing w:val="-8"/>
          <w:sz w:val="20"/>
        </w:rPr>
        <w:t> </w:t>
      </w:r>
      <w:r>
        <w:rPr>
          <w:sz w:val="20"/>
        </w:rPr>
        <w:t>Liaison</w:t>
      </w:r>
      <w:r>
        <w:rPr>
          <w:spacing w:val="-8"/>
          <w:sz w:val="20"/>
        </w:rPr>
        <w:t> </w:t>
      </w:r>
      <w:r>
        <w:rPr>
          <w:sz w:val="20"/>
        </w:rPr>
        <w:t>and</w:t>
      </w:r>
      <w:r>
        <w:rPr>
          <w:spacing w:val="-8"/>
          <w:sz w:val="20"/>
        </w:rPr>
        <w:t> </w:t>
      </w:r>
      <w:r>
        <w:rPr>
          <w:sz w:val="20"/>
        </w:rPr>
        <w:t>Coordination</w:t>
      </w:r>
      <w:r>
        <w:rPr>
          <w:spacing w:val="-8"/>
          <w:sz w:val="20"/>
        </w:rPr>
        <w:t> </w:t>
      </w:r>
      <w:r>
        <w:rPr>
          <w:sz w:val="20"/>
        </w:rPr>
        <w:t>Officer to</w:t>
      </w:r>
      <w:r>
        <w:rPr>
          <w:spacing w:val="-8"/>
          <w:sz w:val="20"/>
        </w:rPr>
        <w:t> </w:t>
      </w:r>
      <w:r>
        <w:rPr>
          <w:sz w:val="20"/>
        </w:rPr>
        <w:t>provide</w:t>
      </w:r>
      <w:r>
        <w:rPr>
          <w:spacing w:val="-7"/>
          <w:sz w:val="20"/>
        </w:rPr>
        <w:t> </w:t>
      </w:r>
      <w:r>
        <w:rPr>
          <w:sz w:val="20"/>
        </w:rPr>
        <w:t>the</w:t>
      </w:r>
      <w:r>
        <w:rPr>
          <w:spacing w:val="-7"/>
          <w:sz w:val="20"/>
        </w:rPr>
        <w:t> </w:t>
      </w:r>
      <w:r>
        <w:rPr>
          <w:sz w:val="20"/>
        </w:rPr>
        <w:t>strategic</w:t>
      </w:r>
      <w:r>
        <w:rPr>
          <w:spacing w:val="-7"/>
          <w:sz w:val="20"/>
        </w:rPr>
        <w:t> </w:t>
      </w:r>
      <w:r>
        <w:rPr>
          <w:sz w:val="20"/>
        </w:rPr>
        <w:t>advisory</w:t>
      </w:r>
      <w:r>
        <w:rPr>
          <w:spacing w:val="-8"/>
          <w:sz w:val="20"/>
        </w:rPr>
        <w:t> </w:t>
      </w:r>
      <w:r>
        <w:rPr>
          <w:sz w:val="20"/>
        </w:rPr>
        <w:t>functions</w:t>
      </w:r>
      <w:r>
        <w:rPr>
          <w:spacing w:val="-10"/>
          <w:sz w:val="20"/>
        </w:rPr>
        <w:t> </w:t>
      </w:r>
      <w:r>
        <w:rPr>
          <w:sz w:val="20"/>
        </w:rPr>
        <w:t>necessary</w:t>
      </w:r>
      <w:r>
        <w:rPr>
          <w:spacing w:val="-8"/>
          <w:sz w:val="20"/>
        </w:rPr>
        <w:t> </w:t>
      </w:r>
      <w:r>
        <w:rPr>
          <w:sz w:val="20"/>
        </w:rPr>
        <w:t>to</w:t>
      </w:r>
      <w:r>
        <w:rPr>
          <w:spacing w:val="-13"/>
          <w:sz w:val="20"/>
        </w:rPr>
        <w:t> </w:t>
      </w:r>
      <w:r>
        <w:rPr>
          <w:sz w:val="20"/>
        </w:rPr>
        <w:t>the</w:t>
      </w:r>
      <w:r>
        <w:rPr>
          <w:spacing w:val="-7"/>
          <w:sz w:val="20"/>
        </w:rPr>
        <w:t> </w:t>
      </w:r>
      <w:r>
        <w:rPr>
          <w:sz w:val="20"/>
        </w:rPr>
        <w:t>Prosecutor</w:t>
      </w:r>
      <w:r>
        <w:rPr>
          <w:spacing w:val="-8"/>
          <w:sz w:val="20"/>
        </w:rPr>
        <w:t> </w:t>
      </w:r>
      <w:r>
        <w:rPr>
          <w:sz w:val="20"/>
        </w:rPr>
        <w:t>in</w:t>
      </w:r>
      <w:r>
        <w:rPr>
          <w:spacing w:val="-13"/>
          <w:sz w:val="20"/>
        </w:rPr>
        <w:t> </w:t>
      </w:r>
      <w:r>
        <w:rPr>
          <w:sz w:val="20"/>
        </w:rPr>
        <w:t>the</w:t>
      </w:r>
      <w:r>
        <w:rPr>
          <w:spacing w:val="-7"/>
          <w:sz w:val="20"/>
        </w:rPr>
        <w:t> </w:t>
      </w:r>
      <w:r>
        <w:rPr>
          <w:sz w:val="20"/>
        </w:rPr>
        <w:t>fulfilment</w:t>
      </w:r>
      <w:r>
        <w:rPr>
          <w:spacing w:val="-7"/>
          <w:sz w:val="20"/>
        </w:rPr>
        <w:t> </w:t>
      </w:r>
      <w:r>
        <w:rPr>
          <w:sz w:val="20"/>
        </w:rPr>
        <w:t>of</w:t>
      </w:r>
      <w:r>
        <w:rPr>
          <w:spacing w:val="-8"/>
          <w:sz w:val="20"/>
        </w:rPr>
        <w:t> </w:t>
      </w:r>
      <w:r>
        <w:rPr>
          <w:sz w:val="20"/>
        </w:rPr>
        <w:t>his administrative responsibilities under the Statute.</w:t>
      </w:r>
    </w:p>
    <w:p>
      <w:pPr>
        <w:pStyle w:val="ListParagraph"/>
        <w:numPr>
          <w:ilvl w:val="0"/>
          <w:numId w:val="4"/>
        </w:numPr>
        <w:tabs>
          <w:tab w:pos="2967" w:val="left" w:leader="none"/>
        </w:tabs>
        <w:spacing w:line="240" w:lineRule="auto" w:before="119" w:after="0"/>
        <w:ind w:left="2246" w:right="2244" w:firstLine="0"/>
        <w:jc w:val="both"/>
        <w:rPr>
          <w:sz w:val="20"/>
        </w:rPr>
      </w:pPr>
      <w:r>
        <w:rPr>
          <w:sz w:val="20"/>
        </w:rPr>
        <w:t>The additional </w:t>
      </w:r>
      <w:r>
        <w:rPr>
          <w:i/>
          <w:sz w:val="20"/>
        </w:rPr>
        <w:t>HR Staff Assistant </w:t>
      </w:r>
      <w:r>
        <w:rPr>
          <w:sz w:val="20"/>
        </w:rPr>
        <w:t>position will ensure the continued processing of requests,</w:t>
      </w:r>
      <w:r>
        <w:rPr>
          <w:spacing w:val="-2"/>
          <w:sz w:val="20"/>
        </w:rPr>
        <w:t> </w:t>
      </w:r>
      <w:r>
        <w:rPr>
          <w:sz w:val="20"/>
        </w:rPr>
        <w:t>provision</w:t>
      </w:r>
      <w:r>
        <w:rPr>
          <w:spacing w:val="-5"/>
          <w:sz w:val="20"/>
        </w:rPr>
        <w:t> </w:t>
      </w:r>
      <w:r>
        <w:rPr>
          <w:sz w:val="20"/>
        </w:rPr>
        <w:t>of</w:t>
      </w:r>
      <w:r>
        <w:rPr>
          <w:spacing w:val="-5"/>
          <w:sz w:val="20"/>
        </w:rPr>
        <w:t> </w:t>
      </w:r>
      <w:r>
        <w:rPr>
          <w:sz w:val="20"/>
        </w:rPr>
        <w:t>statistical</w:t>
      </w:r>
      <w:r>
        <w:rPr>
          <w:spacing w:val="-3"/>
          <w:sz w:val="20"/>
        </w:rPr>
        <w:t> </w:t>
      </w:r>
      <w:r>
        <w:rPr>
          <w:sz w:val="20"/>
        </w:rPr>
        <w:t>data,</w:t>
      </w:r>
      <w:r>
        <w:rPr>
          <w:spacing w:val="-2"/>
          <w:sz w:val="20"/>
        </w:rPr>
        <w:t> </w:t>
      </w:r>
      <w:r>
        <w:rPr>
          <w:sz w:val="20"/>
        </w:rPr>
        <w:t>drafting</w:t>
      </w:r>
      <w:r>
        <w:rPr>
          <w:spacing w:val="-5"/>
          <w:sz w:val="20"/>
        </w:rPr>
        <w:t> </w:t>
      </w:r>
      <w:r>
        <w:rPr>
          <w:sz w:val="20"/>
        </w:rPr>
        <w:t>of</w:t>
      </w:r>
      <w:r>
        <w:rPr>
          <w:spacing w:val="-5"/>
          <w:sz w:val="20"/>
        </w:rPr>
        <w:t> </w:t>
      </w:r>
      <w:r>
        <w:rPr>
          <w:sz w:val="20"/>
        </w:rPr>
        <w:t>correspondence</w:t>
      </w:r>
      <w:r>
        <w:rPr>
          <w:spacing w:val="-8"/>
          <w:sz w:val="20"/>
        </w:rPr>
        <w:t> </w:t>
      </w:r>
      <w:r>
        <w:rPr>
          <w:sz w:val="20"/>
        </w:rPr>
        <w:t>and</w:t>
      </w:r>
      <w:r>
        <w:rPr>
          <w:spacing w:val="-5"/>
          <w:sz w:val="20"/>
        </w:rPr>
        <w:t> </w:t>
      </w:r>
      <w:r>
        <w:rPr>
          <w:sz w:val="20"/>
        </w:rPr>
        <w:t>liaison</w:t>
      </w:r>
      <w:r>
        <w:rPr>
          <w:spacing w:val="-5"/>
          <w:sz w:val="20"/>
        </w:rPr>
        <w:t> </w:t>
      </w:r>
      <w:r>
        <w:rPr>
          <w:sz w:val="20"/>
        </w:rPr>
        <w:t>with FPCU</w:t>
      </w:r>
      <w:r>
        <w:rPr>
          <w:spacing w:val="-11"/>
          <w:sz w:val="20"/>
        </w:rPr>
        <w:t> </w:t>
      </w:r>
      <w:r>
        <w:rPr>
          <w:sz w:val="20"/>
        </w:rPr>
        <w:t>and other</w:t>
      </w:r>
      <w:r>
        <w:rPr>
          <w:spacing w:val="-9"/>
          <w:sz w:val="20"/>
        </w:rPr>
        <w:t> </w:t>
      </w:r>
      <w:r>
        <w:rPr>
          <w:sz w:val="20"/>
        </w:rPr>
        <w:t>inter-</w:t>
      </w:r>
      <w:r>
        <w:rPr>
          <w:spacing w:val="-5"/>
          <w:sz w:val="20"/>
        </w:rPr>
        <w:t> </w:t>
      </w:r>
      <w:r>
        <w:rPr>
          <w:sz w:val="20"/>
        </w:rPr>
        <w:t>and</w:t>
      </w:r>
      <w:r>
        <w:rPr>
          <w:spacing w:val="-9"/>
          <w:sz w:val="20"/>
        </w:rPr>
        <w:t> </w:t>
      </w:r>
      <w:r>
        <w:rPr>
          <w:sz w:val="20"/>
        </w:rPr>
        <w:t>intra-organ</w:t>
      </w:r>
      <w:r>
        <w:rPr>
          <w:spacing w:val="-9"/>
          <w:sz w:val="20"/>
        </w:rPr>
        <w:t> </w:t>
      </w:r>
      <w:r>
        <w:rPr>
          <w:sz w:val="20"/>
        </w:rPr>
        <w:t>stakeholders</w:t>
      </w:r>
      <w:r>
        <w:rPr>
          <w:spacing w:val="-7"/>
          <w:sz w:val="20"/>
        </w:rPr>
        <w:t> </w:t>
      </w:r>
      <w:r>
        <w:rPr>
          <w:sz w:val="20"/>
        </w:rPr>
        <w:t>for</w:t>
      </w:r>
      <w:r>
        <w:rPr>
          <w:spacing w:val="-9"/>
          <w:sz w:val="20"/>
        </w:rPr>
        <w:t> </w:t>
      </w:r>
      <w:r>
        <w:rPr>
          <w:sz w:val="20"/>
        </w:rPr>
        <w:t>the</w:t>
      </w:r>
      <w:r>
        <w:rPr>
          <w:spacing w:val="-4"/>
          <w:sz w:val="20"/>
        </w:rPr>
        <w:t> </w:t>
      </w:r>
      <w:r>
        <w:rPr>
          <w:sz w:val="20"/>
        </w:rPr>
        <w:t>smooth</w:t>
      </w:r>
      <w:r>
        <w:rPr>
          <w:spacing w:val="-9"/>
          <w:sz w:val="20"/>
        </w:rPr>
        <w:t> </w:t>
      </w:r>
      <w:r>
        <w:rPr>
          <w:sz w:val="20"/>
        </w:rPr>
        <w:t>running</w:t>
      </w:r>
      <w:r>
        <w:rPr>
          <w:spacing w:val="-6"/>
          <w:sz w:val="20"/>
        </w:rPr>
        <w:t> </w:t>
      </w:r>
      <w:r>
        <w:rPr>
          <w:sz w:val="20"/>
        </w:rPr>
        <w:t>of</w:t>
      </w:r>
      <w:r>
        <w:rPr>
          <w:spacing w:val="-6"/>
          <w:sz w:val="20"/>
        </w:rPr>
        <w:t> </w:t>
      </w:r>
      <w:r>
        <w:rPr>
          <w:sz w:val="20"/>
        </w:rPr>
        <w:t>HR</w:t>
      </w:r>
      <w:r>
        <w:rPr>
          <w:spacing w:val="-6"/>
          <w:sz w:val="20"/>
        </w:rPr>
        <w:t> </w:t>
      </w:r>
      <w:r>
        <w:rPr>
          <w:sz w:val="20"/>
        </w:rPr>
        <w:t>operations.</w:t>
      </w:r>
      <w:r>
        <w:rPr>
          <w:spacing w:val="-3"/>
          <w:sz w:val="20"/>
        </w:rPr>
        <w:t> </w:t>
      </w:r>
      <w:r>
        <w:rPr>
          <w:sz w:val="20"/>
        </w:rPr>
        <w:t>Given</w:t>
      </w:r>
      <w:r>
        <w:rPr>
          <w:spacing w:val="-6"/>
          <w:sz w:val="20"/>
        </w:rPr>
        <w:t> </w:t>
      </w:r>
      <w:r>
        <w:rPr>
          <w:sz w:val="20"/>
        </w:rPr>
        <w:t>the continued and anticipated increase in demands on OTP-HR and the need for the continued provision of services, these additional positions are critical for the Office to achieve the Prosecutor’s vision and respond to the challenges faced.</w:t>
      </w:r>
    </w:p>
    <w:p>
      <w:pPr>
        <w:pStyle w:val="ListParagraph"/>
        <w:numPr>
          <w:ilvl w:val="0"/>
          <w:numId w:val="4"/>
        </w:numPr>
        <w:tabs>
          <w:tab w:pos="2967" w:val="left" w:leader="none"/>
        </w:tabs>
        <w:spacing w:line="240" w:lineRule="auto" w:before="123" w:after="0"/>
        <w:ind w:left="2246" w:right="2242" w:firstLine="0"/>
        <w:jc w:val="both"/>
        <w:rPr>
          <w:sz w:val="20"/>
        </w:rPr>
      </w:pPr>
      <w:r>
        <w:rPr>
          <w:sz w:val="20"/>
        </w:rPr>
        <w:t>FPCU is requesting two GTA positions to manage the dramatic increase in the Unit’s workload: one </w:t>
      </w:r>
      <w:r>
        <w:rPr>
          <w:i/>
          <w:sz w:val="20"/>
        </w:rPr>
        <w:t>Associate Administrative Officer </w:t>
      </w:r>
      <w:r>
        <w:rPr>
          <w:sz w:val="20"/>
        </w:rPr>
        <w:t>(P-2) and one </w:t>
      </w:r>
      <w:r>
        <w:rPr>
          <w:i/>
          <w:sz w:val="20"/>
        </w:rPr>
        <w:t>Finance and General</w:t>
      </w:r>
      <w:r>
        <w:rPr>
          <w:i/>
          <w:sz w:val="20"/>
        </w:rPr>
        <w:t> Administration</w:t>
      </w:r>
      <w:r>
        <w:rPr>
          <w:i/>
          <w:spacing w:val="-1"/>
          <w:sz w:val="20"/>
        </w:rPr>
        <w:t> </w:t>
      </w:r>
      <w:r>
        <w:rPr>
          <w:i/>
          <w:sz w:val="20"/>
        </w:rPr>
        <w:t>Assistant </w:t>
      </w:r>
      <w:r>
        <w:rPr>
          <w:sz w:val="20"/>
        </w:rPr>
        <w:t>(GS-OL). Each of</w:t>
      </w:r>
      <w:r>
        <w:rPr>
          <w:spacing w:val="-1"/>
          <w:sz w:val="20"/>
        </w:rPr>
        <w:t> </w:t>
      </w:r>
      <w:r>
        <w:rPr>
          <w:sz w:val="20"/>
        </w:rPr>
        <w:t>these positions</w:t>
      </w:r>
      <w:r>
        <w:rPr>
          <w:spacing w:val="-2"/>
          <w:sz w:val="20"/>
        </w:rPr>
        <w:t> </w:t>
      </w:r>
      <w:r>
        <w:rPr>
          <w:sz w:val="20"/>
        </w:rPr>
        <w:t>accounts for 0.75 FTE. In 2015, eight staff (including the senior manager) were involved in financial and budgetary tasks. Since</w:t>
      </w:r>
      <w:r>
        <w:rPr>
          <w:spacing w:val="-12"/>
          <w:sz w:val="20"/>
        </w:rPr>
        <w:t> </w:t>
      </w:r>
      <w:r>
        <w:rPr>
          <w:sz w:val="20"/>
        </w:rPr>
        <w:t>then,</w:t>
      </w:r>
      <w:r>
        <w:rPr>
          <w:spacing w:val="-6"/>
          <w:sz w:val="20"/>
        </w:rPr>
        <w:t> </w:t>
      </w:r>
      <w:r>
        <w:rPr>
          <w:sz w:val="20"/>
        </w:rPr>
        <w:t>OTP</w:t>
      </w:r>
      <w:r>
        <w:rPr>
          <w:spacing w:val="-13"/>
          <w:sz w:val="20"/>
        </w:rPr>
        <w:t> </w:t>
      </w:r>
      <w:r>
        <w:rPr>
          <w:sz w:val="20"/>
        </w:rPr>
        <w:t>activities</w:t>
      </w:r>
      <w:r>
        <w:rPr>
          <w:spacing w:val="-9"/>
          <w:sz w:val="20"/>
        </w:rPr>
        <w:t> </w:t>
      </w:r>
      <w:r>
        <w:rPr>
          <w:sz w:val="20"/>
        </w:rPr>
        <w:t>have</w:t>
      </w:r>
      <w:r>
        <w:rPr>
          <w:spacing w:val="-7"/>
          <w:sz w:val="20"/>
        </w:rPr>
        <w:t> </w:t>
      </w:r>
      <w:r>
        <w:rPr>
          <w:sz w:val="20"/>
        </w:rPr>
        <w:t>further</w:t>
      </w:r>
      <w:r>
        <w:rPr>
          <w:spacing w:val="-9"/>
          <w:sz w:val="20"/>
        </w:rPr>
        <w:t> </w:t>
      </w:r>
      <w:r>
        <w:rPr>
          <w:sz w:val="20"/>
        </w:rPr>
        <w:t>increased</w:t>
      </w:r>
      <w:r>
        <w:rPr>
          <w:spacing w:val="-8"/>
          <w:sz w:val="20"/>
        </w:rPr>
        <w:t> </w:t>
      </w:r>
      <w:r>
        <w:rPr>
          <w:sz w:val="20"/>
        </w:rPr>
        <w:t>and</w:t>
      </w:r>
      <w:r>
        <w:rPr>
          <w:spacing w:val="-8"/>
          <w:sz w:val="20"/>
        </w:rPr>
        <w:t> </w:t>
      </w:r>
      <w:r>
        <w:rPr>
          <w:sz w:val="20"/>
        </w:rPr>
        <w:t>become</w:t>
      </w:r>
      <w:r>
        <w:rPr>
          <w:spacing w:val="-7"/>
          <w:sz w:val="20"/>
        </w:rPr>
        <w:t> </w:t>
      </w:r>
      <w:r>
        <w:rPr>
          <w:sz w:val="20"/>
        </w:rPr>
        <w:t>more</w:t>
      </w:r>
      <w:r>
        <w:rPr>
          <w:spacing w:val="-11"/>
          <w:sz w:val="20"/>
        </w:rPr>
        <w:t> </w:t>
      </w:r>
      <w:r>
        <w:rPr>
          <w:sz w:val="20"/>
        </w:rPr>
        <w:t>complex.</w:t>
      </w:r>
      <w:r>
        <w:rPr>
          <w:spacing w:val="-11"/>
          <w:sz w:val="20"/>
        </w:rPr>
        <w:t> </w:t>
      </w:r>
      <w:r>
        <w:rPr>
          <w:sz w:val="20"/>
        </w:rPr>
        <w:t>The</w:t>
      </w:r>
      <w:r>
        <w:rPr>
          <w:spacing w:val="-7"/>
          <w:sz w:val="20"/>
        </w:rPr>
        <w:t> </w:t>
      </w:r>
      <w:r>
        <w:rPr>
          <w:sz w:val="20"/>
        </w:rPr>
        <w:t>budget</w:t>
      </w:r>
      <w:r>
        <w:rPr>
          <w:spacing w:val="-7"/>
          <w:sz w:val="20"/>
        </w:rPr>
        <w:t> </w:t>
      </w:r>
      <w:r>
        <w:rPr>
          <w:sz w:val="20"/>
        </w:rPr>
        <w:t>has grown by almost 50 per cent; the number of active investigations has doubled from 5 to 10 (up 100 per cent); and the number of approved OTP staff (excluding individual contractors and STAs) has grown by</w:t>
      </w:r>
      <w:r>
        <w:rPr>
          <w:spacing w:val="-3"/>
          <w:sz w:val="20"/>
        </w:rPr>
        <w:t> </w:t>
      </w:r>
      <w:r>
        <w:rPr>
          <w:sz w:val="20"/>
        </w:rPr>
        <w:t>about</w:t>
      </w:r>
      <w:r>
        <w:rPr>
          <w:spacing w:val="-1"/>
          <w:sz w:val="20"/>
        </w:rPr>
        <w:t> </w:t>
      </w:r>
      <w:r>
        <w:rPr>
          <w:sz w:val="20"/>
        </w:rPr>
        <w:t>69 per</w:t>
      </w:r>
      <w:r>
        <w:rPr>
          <w:spacing w:val="-3"/>
          <w:sz w:val="20"/>
        </w:rPr>
        <w:t> </w:t>
      </w:r>
      <w:r>
        <w:rPr>
          <w:sz w:val="20"/>
        </w:rPr>
        <w:t>cent. All of</w:t>
      </w:r>
      <w:r>
        <w:rPr>
          <w:spacing w:val="-3"/>
          <w:sz w:val="20"/>
        </w:rPr>
        <w:t> </w:t>
      </w:r>
      <w:r>
        <w:rPr>
          <w:sz w:val="20"/>
        </w:rPr>
        <w:t>this has a</w:t>
      </w:r>
      <w:r>
        <w:rPr>
          <w:spacing w:val="-1"/>
          <w:sz w:val="20"/>
        </w:rPr>
        <w:t> </w:t>
      </w:r>
      <w:r>
        <w:rPr>
          <w:sz w:val="20"/>
        </w:rPr>
        <w:t>direct</w:t>
      </w:r>
      <w:r>
        <w:rPr>
          <w:spacing w:val="-1"/>
          <w:sz w:val="20"/>
        </w:rPr>
        <w:t> </w:t>
      </w:r>
      <w:r>
        <w:rPr>
          <w:sz w:val="20"/>
        </w:rPr>
        <w:t>impact on the number of activities, transactions, controls and certification that must be managed in FPCU. In comparison, the addition of 1.5 FTE represents a marginal increase. In order to ensure the effective provision of core budgetary and financial services to the Office and guarantee efficient engagement with the relevant functions of the Registry, staffing additions to the FPCU are needed.</w:t>
      </w:r>
    </w:p>
    <w:p>
      <w:pPr>
        <w:pStyle w:val="ListParagraph"/>
        <w:numPr>
          <w:ilvl w:val="0"/>
          <w:numId w:val="4"/>
        </w:numPr>
        <w:tabs>
          <w:tab w:pos="2967" w:val="left" w:leader="none"/>
        </w:tabs>
        <w:spacing w:line="240" w:lineRule="auto" w:before="117" w:after="0"/>
        <w:ind w:left="2246" w:right="2241" w:firstLine="0"/>
        <w:jc w:val="both"/>
        <w:rPr>
          <w:sz w:val="20"/>
        </w:rPr>
      </w:pPr>
      <w:r>
        <w:rPr>
          <w:sz w:val="20"/>
        </w:rPr>
        <w:t>As reflected above, the opening of the investigation in relation to the situation in Ukraine following referral by 43 States Parties has given rise to increased resource requirements in order to support urgent deployment of the Office to</w:t>
      </w:r>
      <w:r>
        <w:rPr>
          <w:spacing w:val="-4"/>
          <w:sz w:val="20"/>
        </w:rPr>
        <w:t> </w:t>
      </w:r>
      <w:r>
        <w:rPr>
          <w:sz w:val="20"/>
        </w:rPr>
        <w:t>collect information</w:t>
      </w:r>
      <w:r>
        <w:rPr>
          <w:spacing w:val="-4"/>
          <w:sz w:val="20"/>
        </w:rPr>
        <w:t> </w:t>
      </w:r>
      <w:r>
        <w:rPr>
          <w:sz w:val="20"/>
        </w:rPr>
        <w:t>and evidence</w:t>
      </w:r>
      <w:r>
        <w:rPr>
          <w:spacing w:val="-7"/>
          <w:sz w:val="20"/>
        </w:rPr>
        <w:t> </w:t>
      </w:r>
      <w:r>
        <w:rPr>
          <w:sz w:val="20"/>
        </w:rPr>
        <w:t>in</w:t>
      </w:r>
      <w:r>
        <w:rPr>
          <w:spacing w:val="-8"/>
          <w:sz w:val="20"/>
        </w:rPr>
        <w:t> </w:t>
      </w:r>
      <w:r>
        <w:rPr>
          <w:sz w:val="20"/>
        </w:rPr>
        <w:t>relation</w:t>
      </w:r>
      <w:r>
        <w:rPr>
          <w:spacing w:val="-13"/>
          <w:sz w:val="20"/>
        </w:rPr>
        <w:t> </w:t>
      </w:r>
      <w:r>
        <w:rPr>
          <w:sz w:val="20"/>
        </w:rPr>
        <w:t>to</w:t>
      </w:r>
      <w:r>
        <w:rPr>
          <w:spacing w:val="-12"/>
          <w:sz w:val="20"/>
        </w:rPr>
        <w:t> </w:t>
      </w:r>
      <w:r>
        <w:rPr>
          <w:sz w:val="20"/>
        </w:rPr>
        <w:t>alleged</w:t>
      </w:r>
      <w:r>
        <w:rPr>
          <w:spacing w:val="-8"/>
          <w:sz w:val="20"/>
        </w:rPr>
        <w:t> </w:t>
      </w:r>
      <w:r>
        <w:rPr>
          <w:sz w:val="20"/>
        </w:rPr>
        <w:t>crimes</w:t>
      </w:r>
      <w:r>
        <w:rPr>
          <w:spacing w:val="-10"/>
          <w:sz w:val="20"/>
        </w:rPr>
        <w:t> </w:t>
      </w:r>
      <w:r>
        <w:rPr>
          <w:sz w:val="20"/>
        </w:rPr>
        <w:t>that</w:t>
      </w:r>
      <w:r>
        <w:rPr>
          <w:spacing w:val="-7"/>
          <w:sz w:val="20"/>
        </w:rPr>
        <w:t> </w:t>
      </w:r>
      <w:r>
        <w:rPr>
          <w:sz w:val="20"/>
        </w:rPr>
        <w:t>continues</w:t>
      </w:r>
      <w:r>
        <w:rPr>
          <w:spacing w:val="-10"/>
          <w:sz w:val="20"/>
        </w:rPr>
        <w:t> </w:t>
      </w:r>
      <w:r>
        <w:rPr>
          <w:sz w:val="20"/>
        </w:rPr>
        <w:t>to</w:t>
      </w:r>
      <w:r>
        <w:rPr>
          <w:spacing w:val="-8"/>
          <w:sz w:val="20"/>
        </w:rPr>
        <w:t> </w:t>
      </w:r>
      <w:r>
        <w:rPr>
          <w:sz w:val="20"/>
        </w:rPr>
        <w:t>be</w:t>
      </w:r>
      <w:r>
        <w:rPr>
          <w:spacing w:val="-11"/>
          <w:sz w:val="20"/>
        </w:rPr>
        <w:t> </w:t>
      </w:r>
      <w:r>
        <w:rPr>
          <w:sz w:val="20"/>
        </w:rPr>
        <w:t>generated</w:t>
      </w:r>
      <w:r>
        <w:rPr>
          <w:spacing w:val="-13"/>
          <w:sz w:val="20"/>
        </w:rPr>
        <w:t> </w:t>
      </w:r>
      <w:r>
        <w:rPr>
          <w:sz w:val="20"/>
        </w:rPr>
        <w:t>as</w:t>
      </w:r>
      <w:r>
        <w:rPr>
          <w:spacing w:val="-10"/>
          <w:sz w:val="20"/>
        </w:rPr>
        <w:t> </w:t>
      </w:r>
      <w:r>
        <w:rPr>
          <w:sz w:val="20"/>
        </w:rPr>
        <w:t>the</w:t>
      </w:r>
      <w:r>
        <w:rPr>
          <w:spacing w:val="-7"/>
          <w:sz w:val="20"/>
        </w:rPr>
        <w:t> </w:t>
      </w:r>
      <w:r>
        <w:rPr>
          <w:sz w:val="20"/>
        </w:rPr>
        <w:t>conflict</w:t>
      </w:r>
      <w:r>
        <w:rPr>
          <w:spacing w:val="-7"/>
          <w:sz w:val="20"/>
        </w:rPr>
        <w:t> </w:t>
      </w:r>
      <w:r>
        <w:rPr>
          <w:sz w:val="20"/>
        </w:rPr>
        <w:t>continues. The</w:t>
      </w:r>
      <w:r>
        <w:rPr>
          <w:spacing w:val="-13"/>
          <w:sz w:val="20"/>
        </w:rPr>
        <w:t> </w:t>
      </w:r>
      <w:r>
        <w:rPr>
          <w:sz w:val="20"/>
        </w:rPr>
        <w:t>Office</w:t>
      </w:r>
      <w:r>
        <w:rPr>
          <w:spacing w:val="-12"/>
          <w:sz w:val="20"/>
        </w:rPr>
        <w:t> </w:t>
      </w:r>
      <w:r>
        <w:rPr>
          <w:sz w:val="20"/>
        </w:rPr>
        <w:t>also</w:t>
      </w:r>
      <w:r>
        <w:rPr>
          <w:spacing w:val="-13"/>
          <w:sz w:val="20"/>
        </w:rPr>
        <w:t> </w:t>
      </w:r>
      <w:r>
        <w:rPr>
          <w:sz w:val="20"/>
        </w:rPr>
        <w:t>requires</w:t>
      </w:r>
      <w:r>
        <w:rPr>
          <w:spacing w:val="-12"/>
          <w:sz w:val="20"/>
        </w:rPr>
        <w:t> </w:t>
      </w:r>
      <w:r>
        <w:rPr>
          <w:sz w:val="20"/>
        </w:rPr>
        <w:t>resources</w:t>
      </w:r>
      <w:r>
        <w:rPr>
          <w:spacing w:val="-13"/>
          <w:sz w:val="20"/>
        </w:rPr>
        <w:t> </w:t>
      </w:r>
      <w:r>
        <w:rPr>
          <w:sz w:val="20"/>
        </w:rPr>
        <w:t>in</w:t>
      </w:r>
      <w:r>
        <w:rPr>
          <w:spacing w:val="-12"/>
          <w:sz w:val="20"/>
        </w:rPr>
        <w:t> </w:t>
      </w:r>
      <w:r>
        <w:rPr>
          <w:sz w:val="20"/>
        </w:rPr>
        <w:t>order</w:t>
      </w:r>
      <w:r>
        <w:rPr>
          <w:spacing w:val="-13"/>
          <w:sz w:val="20"/>
        </w:rPr>
        <w:t> </w:t>
      </w:r>
      <w:r>
        <w:rPr>
          <w:sz w:val="20"/>
        </w:rPr>
        <w:t>to</w:t>
      </w:r>
      <w:r>
        <w:rPr>
          <w:spacing w:val="-12"/>
          <w:sz w:val="20"/>
        </w:rPr>
        <w:t> </w:t>
      </w:r>
      <w:r>
        <w:rPr>
          <w:sz w:val="20"/>
        </w:rPr>
        <w:t>effectively</w:t>
      </w:r>
      <w:r>
        <w:rPr>
          <w:spacing w:val="-13"/>
          <w:sz w:val="20"/>
        </w:rPr>
        <w:t> </w:t>
      </w:r>
      <w:r>
        <w:rPr>
          <w:sz w:val="20"/>
        </w:rPr>
        <w:t>engage</w:t>
      </w:r>
      <w:r>
        <w:rPr>
          <w:spacing w:val="-12"/>
          <w:sz w:val="20"/>
        </w:rPr>
        <w:t> </w:t>
      </w:r>
      <w:r>
        <w:rPr>
          <w:sz w:val="20"/>
        </w:rPr>
        <w:t>with</w:t>
      </w:r>
      <w:r>
        <w:rPr>
          <w:spacing w:val="-13"/>
          <w:sz w:val="20"/>
        </w:rPr>
        <w:t> </w:t>
      </w:r>
      <w:r>
        <w:rPr>
          <w:sz w:val="20"/>
        </w:rPr>
        <w:t>the</w:t>
      </w:r>
      <w:r>
        <w:rPr>
          <w:spacing w:val="-11"/>
          <w:sz w:val="20"/>
        </w:rPr>
        <w:t> </w:t>
      </w:r>
      <w:r>
        <w:rPr>
          <w:sz w:val="20"/>
        </w:rPr>
        <w:t>wide</w:t>
      </w:r>
      <w:r>
        <w:rPr>
          <w:spacing w:val="-10"/>
          <w:sz w:val="20"/>
        </w:rPr>
        <w:t> </w:t>
      </w:r>
      <w:r>
        <w:rPr>
          <w:sz w:val="20"/>
        </w:rPr>
        <w:t>range</w:t>
      </w:r>
      <w:r>
        <w:rPr>
          <w:spacing w:val="-11"/>
          <w:sz w:val="20"/>
        </w:rPr>
        <w:t> </w:t>
      </w:r>
      <w:r>
        <w:rPr>
          <w:sz w:val="20"/>
        </w:rPr>
        <w:t>of</w:t>
      </w:r>
      <w:r>
        <w:rPr>
          <w:spacing w:val="-13"/>
          <w:sz w:val="20"/>
        </w:rPr>
        <w:t> </w:t>
      </w:r>
      <w:r>
        <w:rPr>
          <w:sz w:val="20"/>
        </w:rPr>
        <w:t>actors presently involved in actions relevant to the documentation and investigation of alleged crimes, including national authorities, civil society organisations and relevant international and regional institutions. Without the provision of additional resources, the existing investigative</w:t>
      </w:r>
      <w:r>
        <w:rPr>
          <w:spacing w:val="-13"/>
          <w:sz w:val="20"/>
        </w:rPr>
        <w:t> </w:t>
      </w:r>
      <w:r>
        <w:rPr>
          <w:sz w:val="20"/>
        </w:rPr>
        <w:t>and</w:t>
      </w:r>
      <w:r>
        <w:rPr>
          <w:spacing w:val="-12"/>
          <w:sz w:val="20"/>
        </w:rPr>
        <w:t> </w:t>
      </w:r>
      <w:r>
        <w:rPr>
          <w:sz w:val="20"/>
        </w:rPr>
        <w:t>analytical</w:t>
      </w:r>
      <w:r>
        <w:rPr>
          <w:spacing w:val="-13"/>
          <w:sz w:val="20"/>
        </w:rPr>
        <w:t> </w:t>
      </w:r>
      <w:r>
        <w:rPr>
          <w:sz w:val="20"/>
        </w:rPr>
        <w:t>capacity</w:t>
      </w:r>
      <w:r>
        <w:rPr>
          <w:spacing w:val="-12"/>
          <w:sz w:val="20"/>
        </w:rPr>
        <w:t> </w:t>
      </w:r>
      <w:r>
        <w:rPr>
          <w:sz w:val="20"/>
        </w:rPr>
        <w:t>of</w:t>
      </w:r>
      <w:r>
        <w:rPr>
          <w:spacing w:val="-13"/>
          <w:sz w:val="20"/>
        </w:rPr>
        <w:t> </w:t>
      </w:r>
      <w:r>
        <w:rPr>
          <w:sz w:val="20"/>
        </w:rPr>
        <w:t>the</w:t>
      </w:r>
      <w:r>
        <w:rPr>
          <w:spacing w:val="-12"/>
          <w:sz w:val="20"/>
        </w:rPr>
        <w:t> </w:t>
      </w:r>
      <w:r>
        <w:rPr>
          <w:sz w:val="20"/>
        </w:rPr>
        <w:t>Team</w:t>
      </w:r>
      <w:r>
        <w:rPr>
          <w:spacing w:val="-13"/>
          <w:sz w:val="20"/>
        </w:rPr>
        <w:t> </w:t>
      </w:r>
      <w:r>
        <w:rPr>
          <w:sz w:val="20"/>
        </w:rPr>
        <w:t>would</w:t>
      </w:r>
      <w:r>
        <w:rPr>
          <w:spacing w:val="-12"/>
          <w:sz w:val="20"/>
        </w:rPr>
        <w:t> </w:t>
      </w:r>
      <w:r>
        <w:rPr>
          <w:sz w:val="20"/>
        </w:rPr>
        <w:t>be</w:t>
      </w:r>
      <w:r>
        <w:rPr>
          <w:spacing w:val="-13"/>
          <w:sz w:val="20"/>
        </w:rPr>
        <w:t> </w:t>
      </w:r>
      <w:r>
        <w:rPr>
          <w:sz w:val="20"/>
        </w:rPr>
        <w:t>stretched</w:t>
      </w:r>
      <w:r>
        <w:rPr>
          <w:spacing w:val="-12"/>
          <w:sz w:val="20"/>
        </w:rPr>
        <w:t> </w:t>
      </w:r>
      <w:r>
        <w:rPr>
          <w:sz w:val="20"/>
        </w:rPr>
        <w:t>beyond</w:t>
      </w:r>
      <w:r>
        <w:rPr>
          <w:spacing w:val="-13"/>
          <w:sz w:val="20"/>
        </w:rPr>
        <w:t> </w:t>
      </w:r>
      <w:r>
        <w:rPr>
          <w:sz w:val="20"/>
        </w:rPr>
        <w:t>current</w:t>
      </w:r>
      <w:r>
        <w:rPr>
          <w:spacing w:val="-12"/>
          <w:sz w:val="20"/>
        </w:rPr>
        <w:t> </w:t>
      </w:r>
      <w:r>
        <w:rPr>
          <w:sz w:val="20"/>
        </w:rPr>
        <w:t>capacity, negatively impacting work across all situations.</w:t>
      </w:r>
    </w:p>
    <w:p>
      <w:pPr>
        <w:pStyle w:val="BodyText"/>
      </w:pPr>
    </w:p>
    <w:p>
      <w:pPr>
        <w:pStyle w:val="BodyText"/>
        <w:spacing w:before="6"/>
        <w:rPr>
          <w:sz w:val="17"/>
        </w:rPr>
      </w:pPr>
      <w:r>
        <w:rPr/>
        <w:pict>
          <v:rect style="position:absolute;margin-left:113.330002pt;margin-top:11.300648pt;width:144.050pt;height:.48004pt;mso-position-horizontal-relative:page;mso-position-vertical-relative:paragraph;z-index:-15705088;mso-wrap-distance-left:0;mso-wrap-distance-right:0" id="docshape124" filled="true" fillcolor="#000000" stroked="false">
            <v:fill type="solid"/>
            <w10:wrap type="topAndBottom"/>
          </v:rect>
        </w:pict>
      </w:r>
    </w:p>
    <w:p>
      <w:pPr>
        <w:spacing w:before="86"/>
        <w:ind w:left="2246" w:right="2195" w:firstLine="0"/>
        <w:jc w:val="left"/>
        <w:rPr>
          <w:sz w:val="16"/>
        </w:rPr>
      </w:pPr>
      <w:r>
        <w:rPr>
          <w:position w:val="5"/>
          <w:sz w:val="10"/>
        </w:rPr>
        <w:t>71</w:t>
      </w:r>
      <w:r>
        <w:rPr>
          <w:spacing w:val="40"/>
          <w:position w:val="5"/>
          <w:sz w:val="10"/>
        </w:rPr>
        <w:t> </w:t>
      </w:r>
      <w:r>
        <w:rPr>
          <w:sz w:val="16"/>
        </w:rPr>
        <w:t>See</w:t>
      </w:r>
      <w:r>
        <w:rPr>
          <w:spacing w:val="28"/>
          <w:sz w:val="16"/>
        </w:rPr>
        <w:t> </w:t>
      </w:r>
      <w:r>
        <w:rPr>
          <w:i/>
          <w:sz w:val="16"/>
        </w:rPr>
        <w:t>Independent</w:t>
      </w:r>
      <w:r>
        <w:rPr>
          <w:i/>
          <w:spacing w:val="27"/>
          <w:sz w:val="16"/>
        </w:rPr>
        <w:t> </w:t>
      </w:r>
      <w:r>
        <w:rPr>
          <w:i/>
          <w:sz w:val="16"/>
        </w:rPr>
        <w:t>Expert</w:t>
      </w:r>
      <w:r>
        <w:rPr>
          <w:i/>
          <w:spacing w:val="25"/>
          <w:sz w:val="16"/>
        </w:rPr>
        <w:t> </w:t>
      </w:r>
      <w:r>
        <w:rPr>
          <w:i/>
          <w:sz w:val="16"/>
        </w:rPr>
        <w:t>Review</w:t>
      </w:r>
      <w:r>
        <w:rPr>
          <w:i/>
          <w:spacing w:val="26"/>
          <w:sz w:val="16"/>
        </w:rPr>
        <w:t> </w:t>
      </w:r>
      <w:r>
        <w:rPr>
          <w:i/>
          <w:sz w:val="16"/>
        </w:rPr>
        <w:t>of</w:t>
      </w:r>
      <w:r>
        <w:rPr>
          <w:i/>
          <w:spacing w:val="25"/>
          <w:sz w:val="16"/>
        </w:rPr>
        <w:t> </w:t>
      </w:r>
      <w:r>
        <w:rPr>
          <w:i/>
          <w:sz w:val="16"/>
        </w:rPr>
        <w:t>the</w:t>
      </w:r>
      <w:r>
        <w:rPr>
          <w:i/>
          <w:spacing w:val="27"/>
          <w:sz w:val="16"/>
        </w:rPr>
        <w:t> </w:t>
      </w:r>
      <w:r>
        <w:rPr>
          <w:i/>
          <w:sz w:val="16"/>
        </w:rPr>
        <w:t>International</w:t>
      </w:r>
      <w:r>
        <w:rPr>
          <w:i/>
          <w:spacing w:val="25"/>
          <w:sz w:val="16"/>
        </w:rPr>
        <w:t> </w:t>
      </w:r>
      <w:r>
        <w:rPr>
          <w:i/>
          <w:sz w:val="16"/>
        </w:rPr>
        <w:t>Criminal</w:t>
      </w:r>
      <w:r>
        <w:rPr>
          <w:i/>
          <w:spacing w:val="25"/>
          <w:sz w:val="16"/>
        </w:rPr>
        <w:t> </w:t>
      </w:r>
      <w:r>
        <w:rPr>
          <w:i/>
          <w:sz w:val="16"/>
        </w:rPr>
        <w:t>Court</w:t>
      </w:r>
      <w:r>
        <w:rPr>
          <w:i/>
          <w:spacing w:val="25"/>
          <w:sz w:val="16"/>
        </w:rPr>
        <w:t> </w:t>
      </w:r>
      <w:r>
        <w:rPr>
          <w:i/>
          <w:sz w:val="16"/>
        </w:rPr>
        <w:t>and</w:t>
      </w:r>
      <w:r>
        <w:rPr>
          <w:i/>
          <w:spacing w:val="28"/>
          <w:sz w:val="16"/>
        </w:rPr>
        <w:t> </w:t>
      </w:r>
      <w:r>
        <w:rPr>
          <w:i/>
          <w:sz w:val="16"/>
        </w:rPr>
        <w:t>the</w:t>
      </w:r>
      <w:r>
        <w:rPr>
          <w:i/>
          <w:spacing w:val="27"/>
          <w:sz w:val="16"/>
        </w:rPr>
        <w:t> </w:t>
      </w:r>
      <w:r>
        <w:rPr>
          <w:i/>
          <w:sz w:val="16"/>
        </w:rPr>
        <w:t>Rome</w:t>
      </w:r>
      <w:r>
        <w:rPr>
          <w:i/>
          <w:spacing w:val="27"/>
          <w:sz w:val="16"/>
        </w:rPr>
        <w:t> </w:t>
      </w:r>
      <w:r>
        <w:rPr>
          <w:i/>
          <w:sz w:val="16"/>
        </w:rPr>
        <w:t>Statute</w:t>
      </w:r>
      <w:r>
        <w:rPr>
          <w:i/>
          <w:spacing w:val="36"/>
          <w:sz w:val="16"/>
        </w:rPr>
        <w:t> </w:t>
      </w:r>
      <w:r>
        <w:rPr>
          <w:i/>
          <w:sz w:val="16"/>
        </w:rPr>
        <w:t>–</w:t>
      </w:r>
      <w:r>
        <w:rPr>
          <w:i/>
          <w:spacing w:val="28"/>
          <w:sz w:val="16"/>
        </w:rPr>
        <w:t> </w:t>
      </w:r>
      <w:r>
        <w:rPr>
          <w:i/>
          <w:sz w:val="16"/>
        </w:rPr>
        <w:t>Final</w:t>
      </w:r>
      <w:r>
        <w:rPr>
          <w:i/>
          <w:spacing w:val="25"/>
          <w:sz w:val="16"/>
        </w:rPr>
        <w:t> </w:t>
      </w:r>
      <w:r>
        <w:rPr>
          <w:i/>
          <w:sz w:val="16"/>
        </w:rPr>
        <w:t>Report</w:t>
      </w:r>
      <w:r>
        <w:rPr>
          <w:sz w:val="16"/>
        </w:rPr>
        <w:t>,</w:t>
      </w:r>
      <w:r>
        <w:rPr>
          <w:spacing w:val="40"/>
          <w:sz w:val="16"/>
        </w:rPr>
        <w:t> </w:t>
      </w:r>
      <w:r>
        <w:rPr>
          <w:sz w:val="16"/>
        </w:rPr>
        <w:t>30 September 2020, paras. 158 and 160, and R55-R56.</w:t>
      </w:r>
    </w:p>
    <w:p>
      <w:pPr>
        <w:spacing w:after="0"/>
        <w:jc w:val="left"/>
        <w:rPr>
          <w:sz w:val="16"/>
        </w:rPr>
        <w:sectPr>
          <w:headerReference w:type="default" r:id="rId42"/>
          <w:headerReference w:type="even" r:id="rId43"/>
          <w:footerReference w:type="default" r:id="rId44"/>
          <w:footerReference w:type="even" r:id="rId45"/>
          <w:pgSz w:w="11910" w:h="16840"/>
          <w:pgMar w:header="957" w:footer="940" w:top="1140" w:bottom="1140" w:left="20" w:right="20"/>
          <w:pgNumType w:start="55"/>
        </w:sectPr>
      </w:pPr>
    </w:p>
    <w:p>
      <w:pPr>
        <w:pStyle w:val="ListParagraph"/>
        <w:numPr>
          <w:ilvl w:val="0"/>
          <w:numId w:val="4"/>
        </w:numPr>
        <w:tabs>
          <w:tab w:pos="2967" w:val="left" w:leader="none"/>
        </w:tabs>
        <w:spacing w:line="240" w:lineRule="auto" w:before="124" w:after="0"/>
        <w:ind w:left="2246" w:right="2245" w:firstLine="0"/>
        <w:jc w:val="both"/>
        <w:rPr>
          <w:sz w:val="20"/>
        </w:rPr>
      </w:pPr>
      <w:r>
        <w:rPr>
          <w:sz w:val="20"/>
        </w:rPr>
        <w:t>In this context, the Office intends to establish enhancing investigation and cooperation</w:t>
      </w:r>
      <w:r>
        <w:rPr>
          <w:spacing w:val="-5"/>
          <w:sz w:val="20"/>
        </w:rPr>
        <w:t> </w:t>
      </w:r>
      <w:r>
        <w:rPr>
          <w:sz w:val="20"/>
        </w:rPr>
        <w:t>capacity in</w:t>
      </w:r>
      <w:r>
        <w:rPr>
          <w:spacing w:val="-5"/>
          <w:sz w:val="20"/>
        </w:rPr>
        <w:t> </w:t>
      </w:r>
      <w:r>
        <w:rPr>
          <w:sz w:val="20"/>
        </w:rPr>
        <w:t>the situation country. These efforts</w:t>
      </w:r>
      <w:r>
        <w:rPr>
          <w:spacing w:val="-1"/>
          <w:sz w:val="20"/>
        </w:rPr>
        <w:t> </w:t>
      </w:r>
      <w:r>
        <w:rPr>
          <w:sz w:val="20"/>
        </w:rPr>
        <w:t>require budgetary funds</w:t>
      </w:r>
      <w:r>
        <w:rPr>
          <w:spacing w:val="-1"/>
          <w:sz w:val="20"/>
        </w:rPr>
        <w:t> </w:t>
      </w:r>
      <w:r>
        <w:rPr>
          <w:sz w:val="20"/>
        </w:rPr>
        <w:t>to</w:t>
      </w:r>
      <w:r>
        <w:rPr>
          <w:spacing w:val="-5"/>
          <w:sz w:val="20"/>
        </w:rPr>
        <w:t> </w:t>
      </w:r>
      <w:r>
        <w:rPr>
          <w:sz w:val="20"/>
        </w:rPr>
        <w:t>build an adequate team of investigators, analysts, forensic experts, lawyers and international cooperation</w:t>
      </w:r>
      <w:r>
        <w:rPr>
          <w:spacing w:val="-5"/>
          <w:sz w:val="20"/>
        </w:rPr>
        <w:t> </w:t>
      </w:r>
      <w:r>
        <w:rPr>
          <w:sz w:val="20"/>
        </w:rPr>
        <w:t>advisers</w:t>
      </w:r>
      <w:r>
        <w:rPr>
          <w:spacing w:val="-6"/>
          <w:sz w:val="20"/>
        </w:rPr>
        <w:t> </w:t>
      </w:r>
      <w:r>
        <w:rPr>
          <w:sz w:val="20"/>
        </w:rPr>
        <w:t>that will be deployed</w:t>
      </w:r>
      <w:r>
        <w:rPr>
          <w:spacing w:val="-5"/>
          <w:sz w:val="20"/>
        </w:rPr>
        <w:t> </w:t>
      </w:r>
      <w:r>
        <w:rPr>
          <w:sz w:val="20"/>
        </w:rPr>
        <w:t>in</w:t>
      </w:r>
      <w:r>
        <w:rPr>
          <w:spacing w:val="-5"/>
          <w:sz w:val="20"/>
        </w:rPr>
        <w:t> </w:t>
      </w:r>
      <w:r>
        <w:rPr>
          <w:sz w:val="20"/>
        </w:rPr>
        <w:t>the field on</w:t>
      </w:r>
      <w:r>
        <w:rPr>
          <w:spacing w:val="-5"/>
          <w:sz w:val="20"/>
        </w:rPr>
        <w:t> </w:t>
      </w:r>
      <w:r>
        <w:rPr>
          <w:sz w:val="20"/>
        </w:rPr>
        <w:t>a</w:t>
      </w:r>
      <w:r>
        <w:rPr>
          <w:spacing w:val="-3"/>
          <w:sz w:val="20"/>
        </w:rPr>
        <w:t> </w:t>
      </w:r>
      <w:r>
        <w:rPr>
          <w:sz w:val="20"/>
        </w:rPr>
        <w:t>permanent</w:t>
      </w:r>
      <w:r>
        <w:rPr>
          <w:spacing w:val="-3"/>
          <w:sz w:val="20"/>
        </w:rPr>
        <w:t> </w:t>
      </w:r>
      <w:r>
        <w:rPr>
          <w:sz w:val="20"/>
        </w:rPr>
        <w:t>basis. Reflecting</w:t>
      </w:r>
      <w:r>
        <w:rPr>
          <w:spacing w:val="-5"/>
          <w:sz w:val="20"/>
        </w:rPr>
        <w:t> </w:t>
      </w:r>
      <w:r>
        <w:rPr>
          <w:sz w:val="20"/>
        </w:rPr>
        <w:t>this, the</w:t>
      </w:r>
      <w:r>
        <w:rPr>
          <w:spacing w:val="-13"/>
          <w:sz w:val="20"/>
        </w:rPr>
        <w:t> </w:t>
      </w:r>
      <w:r>
        <w:rPr>
          <w:sz w:val="20"/>
        </w:rPr>
        <w:t>Office</w:t>
      </w:r>
      <w:r>
        <w:rPr>
          <w:spacing w:val="-12"/>
          <w:sz w:val="20"/>
        </w:rPr>
        <w:t> </w:t>
      </w:r>
      <w:r>
        <w:rPr>
          <w:sz w:val="20"/>
        </w:rPr>
        <w:t>requests</w:t>
      </w:r>
      <w:r>
        <w:rPr>
          <w:spacing w:val="-13"/>
          <w:sz w:val="20"/>
        </w:rPr>
        <w:t> </w:t>
      </w:r>
      <w:r>
        <w:rPr>
          <w:sz w:val="20"/>
        </w:rPr>
        <w:t>24</w:t>
      </w:r>
      <w:r>
        <w:rPr>
          <w:spacing w:val="-12"/>
          <w:sz w:val="20"/>
        </w:rPr>
        <w:t> </w:t>
      </w:r>
      <w:r>
        <w:rPr>
          <w:sz w:val="20"/>
        </w:rPr>
        <w:t>GTA</w:t>
      </w:r>
      <w:r>
        <w:rPr>
          <w:spacing w:val="-13"/>
          <w:sz w:val="20"/>
        </w:rPr>
        <w:t> </w:t>
      </w:r>
      <w:r>
        <w:rPr>
          <w:sz w:val="20"/>
        </w:rPr>
        <w:t>positions</w:t>
      </w:r>
      <w:r>
        <w:rPr>
          <w:sz w:val="20"/>
          <w:vertAlign w:val="superscript"/>
        </w:rPr>
        <w:t>72</w:t>
      </w:r>
      <w:r>
        <w:rPr>
          <w:spacing w:val="-12"/>
          <w:sz w:val="20"/>
          <w:vertAlign w:val="baseline"/>
        </w:rPr>
        <w:t> </w:t>
      </w:r>
      <w:r>
        <w:rPr>
          <w:sz w:val="20"/>
          <w:vertAlign w:val="baseline"/>
        </w:rPr>
        <w:t>(18.25</w:t>
      </w:r>
      <w:r>
        <w:rPr>
          <w:spacing w:val="-13"/>
          <w:sz w:val="20"/>
          <w:vertAlign w:val="baseline"/>
        </w:rPr>
        <w:t> </w:t>
      </w:r>
      <w:r>
        <w:rPr>
          <w:sz w:val="20"/>
          <w:vertAlign w:val="baseline"/>
        </w:rPr>
        <w:t>FTE)</w:t>
      </w:r>
      <w:r>
        <w:rPr>
          <w:spacing w:val="-12"/>
          <w:sz w:val="20"/>
          <w:vertAlign w:val="baseline"/>
        </w:rPr>
        <w:t> </w:t>
      </w:r>
      <w:r>
        <w:rPr>
          <w:sz w:val="20"/>
          <w:vertAlign w:val="baseline"/>
        </w:rPr>
        <w:t>for</w:t>
      </w:r>
      <w:r>
        <w:rPr>
          <w:spacing w:val="-13"/>
          <w:sz w:val="20"/>
          <w:vertAlign w:val="baseline"/>
        </w:rPr>
        <w:t> </w:t>
      </w:r>
      <w:r>
        <w:rPr>
          <w:sz w:val="20"/>
          <w:vertAlign w:val="baseline"/>
        </w:rPr>
        <w:t>the</w:t>
      </w:r>
      <w:r>
        <w:rPr>
          <w:spacing w:val="-12"/>
          <w:sz w:val="20"/>
          <w:vertAlign w:val="baseline"/>
        </w:rPr>
        <w:t> </w:t>
      </w:r>
      <w:r>
        <w:rPr>
          <w:sz w:val="20"/>
          <w:vertAlign w:val="baseline"/>
        </w:rPr>
        <w:t>newly</w:t>
      </w:r>
      <w:r>
        <w:rPr>
          <w:spacing w:val="-13"/>
          <w:sz w:val="20"/>
          <w:vertAlign w:val="baseline"/>
        </w:rPr>
        <w:t> </w:t>
      </w:r>
      <w:r>
        <w:rPr>
          <w:sz w:val="20"/>
          <w:vertAlign w:val="baseline"/>
        </w:rPr>
        <w:t>established</w:t>
      </w:r>
      <w:r>
        <w:rPr>
          <w:spacing w:val="-12"/>
          <w:sz w:val="20"/>
          <w:vertAlign w:val="baseline"/>
        </w:rPr>
        <w:t> </w:t>
      </w:r>
      <w:r>
        <w:rPr>
          <w:sz w:val="20"/>
          <w:vertAlign w:val="baseline"/>
        </w:rPr>
        <w:t>Ukraine</w:t>
      </w:r>
      <w:r>
        <w:rPr>
          <w:spacing w:val="-13"/>
          <w:sz w:val="20"/>
          <w:vertAlign w:val="baseline"/>
        </w:rPr>
        <w:t> </w:t>
      </w:r>
      <w:r>
        <w:rPr>
          <w:sz w:val="20"/>
          <w:vertAlign w:val="baseline"/>
        </w:rPr>
        <w:t>team,</w:t>
      </w:r>
      <w:r>
        <w:rPr>
          <w:sz w:val="20"/>
          <w:vertAlign w:val="superscript"/>
        </w:rPr>
        <w:t>73</w:t>
      </w:r>
      <w:r>
        <w:rPr>
          <w:sz w:val="20"/>
          <w:vertAlign w:val="baseline"/>
        </w:rPr>
        <w:t> led by a Principal Trial Lawyer.</w:t>
      </w:r>
      <w:r>
        <w:rPr>
          <w:sz w:val="20"/>
          <w:vertAlign w:val="superscript"/>
        </w:rPr>
        <w:t>74</w:t>
      </w:r>
    </w:p>
    <w:p>
      <w:pPr>
        <w:pStyle w:val="ListParagraph"/>
        <w:numPr>
          <w:ilvl w:val="0"/>
          <w:numId w:val="4"/>
        </w:numPr>
        <w:tabs>
          <w:tab w:pos="2967" w:val="left" w:leader="none"/>
        </w:tabs>
        <w:spacing w:line="240" w:lineRule="auto" w:before="123" w:after="0"/>
        <w:ind w:left="2246" w:right="2252" w:firstLine="0"/>
        <w:jc w:val="both"/>
        <w:rPr>
          <w:sz w:val="20"/>
        </w:rPr>
      </w:pPr>
      <w:r>
        <w:rPr>
          <w:sz w:val="20"/>
        </w:rPr>
        <w:t>These resources will be complemented by seven (7) NPOs deployed to the same field office, as well as by those who will be allocated to Headquarters.</w:t>
      </w:r>
    </w:p>
    <w:p>
      <w:pPr>
        <w:pStyle w:val="ListParagraph"/>
        <w:numPr>
          <w:ilvl w:val="0"/>
          <w:numId w:val="4"/>
        </w:numPr>
        <w:tabs>
          <w:tab w:pos="2967" w:val="left" w:leader="none"/>
        </w:tabs>
        <w:spacing w:line="240" w:lineRule="auto" w:before="121" w:after="0"/>
        <w:ind w:left="2246" w:right="2237" w:firstLine="0"/>
        <w:jc w:val="both"/>
        <w:rPr>
          <w:sz w:val="20"/>
        </w:rPr>
      </w:pPr>
      <w:r>
        <w:rPr>
          <w:sz w:val="20"/>
        </w:rPr>
        <w:t>The </w:t>
      </w:r>
      <w:r>
        <w:rPr>
          <w:i/>
          <w:sz w:val="20"/>
        </w:rPr>
        <w:t>Legal Officer </w:t>
      </w:r>
      <w:r>
        <w:rPr>
          <w:sz w:val="20"/>
        </w:rPr>
        <w:t>– UN-based (New York) (P-3) (0.5 FTE), continued in OEA, is retained</w:t>
      </w:r>
      <w:r>
        <w:rPr>
          <w:spacing w:val="-4"/>
          <w:sz w:val="20"/>
        </w:rPr>
        <w:t> </w:t>
      </w:r>
      <w:r>
        <w:rPr>
          <w:sz w:val="20"/>
        </w:rPr>
        <w:t>as</w:t>
      </w:r>
      <w:r>
        <w:rPr>
          <w:spacing w:val="-5"/>
          <w:sz w:val="20"/>
        </w:rPr>
        <w:t> </w:t>
      </w:r>
      <w:r>
        <w:rPr>
          <w:sz w:val="20"/>
        </w:rPr>
        <w:t>a United</w:t>
      </w:r>
      <w:r>
        <w:rPr>
          <w:spacing w:val="-4"/>
          <w:sz w:val="20"/>
        </w:rPr>
        <w:t> </w:t>
      </w:r>
      <w:r>
        <w:rPr>
          <w:sz w:val="20"/>
        </w:rPr>
        <w:t>Nations</w:t>
      </w:r>
      <w:r>
        <w:rPr>
          <w:spacing w:val="-1"/>
          <w:sz w:val="20"/>
        </w:rPr>
        <w:t> </w:t>
      </w:r>
      <w:r>
        <w:rPr>
          <w:sz w:val="20"/>
        </w:rPr>
        <w:t>staff</w:t>
      </w:r>
      <w:r>
        <w:rPr>
          <w:spacing w:val="-4"/>
          <w:sz w:val="20"/>
        </w:rPr>
        <w:t> </w:t>
      </w:r>
      <w:r>
        <w:rPr>
          <w:sz w:val="20"/>
        </w:rPr>
        <w:t>member by UNOLA</w:t>
      </w:r>
      <w:r>
        <w:rPr>
          <w:spacing w:val="-5"/>
          <w:sz w:val="20"/>
        </w:rPr>
        <w:t> </w:t>
      </w:r>
      <w:r>
        <w:rPr>
          <w:sz w:val="20"/>
        </w:rPr>
        <w:t>to process</w:t>
      </w:r>
      <w:r>
        <w:rPr>
          <w:spacing w:val="-5"/>
          <w:sz w:val="20"/>
        </w:rPr>
        <w:t> </w:t>
      </w:r>
      <w:r>
        <w:rPr>
          <w:sz w:val="20"/>
        </w:rPr>
        <w:t>and</w:t>
      </w:r>
      <w:r>
        <w:rPr>
          <w:spacing w:val="-4"/>
          <w:sz w:val="20"/>
        </w:rPr>
        <w:t> </w:t>
      </w:r>
      <w:r>
        <w:rPr>
          <w:sz w:val="20"/>
        </w:rPr>
        <w:t>coordinate,</w:t>
      </w:r>
      <w:r>
        <w:rPr>
          <w:spacing w:val="-1"/>
          <w:sz w:val="20"/>
        </w:rPr>
        <w:t> </w:t>
      </w:r>
      <w:r>
        <w:rPr>
          <w:sz w:val="20"/>
        </w:rPr>
        <w:t>within</w:t>
      </w:r>
      <w:r>
        <w:rPr>
          <w:spacing w:val="-4"/>
          <w:sz w:val="20"/>
        </w:rPr>
        <w:t> </w:t>
      </w:r>
      <w:r>
        <w:rPr>
          <w:sz w:val="20"/>
        </w:rPr>
        <w:t>the UN system, all requests for assistance from the OTP. This is an essential component of the efficient and timely execution of all requests. Since the position also handles requests for assistance sent by the Registrar on behalf of Chambers or defence counsel, the remaining costs of the position will be shared by the Immediate Office of the Registrar. On the same conditions,</w:t>
      </w:r>
      <w:r>
        <w:rPr>
          <w:spacing w:val="-13"/>
          <w:sz w:val="20"/>
        </w:rPr>
        <w:t> </w:t>
      </w:r>
      <w:r>
        <w:rPr>
          <w:sz w:val="20"/>
        </w:rPr>
        <w:t>further</w:t>
      </w:r>
      <w:r>
        <w:rPr>
          <w:spacing w:val="-12"/>
          <w:sz w:val="20"/>
        </w:rPr>
        <w:t> </w:t>
      </w:r>
      <w:r>
        <w:rPr>
          <w:sz w:val="20"/>
        </w:rPr>
        <w:t>to</w:t>
      </w:r>
      <w:r>
        <w:rPr>
          <w:spacing w:val="-13"/>
          <w:sz w:val="20"/>
        </w:rPr>
        <w:t> </w:t>
      </w:r>
      <w:r>
        <w:rPr>
          <w:sz w:val="20"/>
        </w:rPr>
        <w:t>an</w:t>
      </w:r>
      <w:r>
        <w:rPr>
          <w:spacing w:val="-12"/>
          <w:sz w:val="20"/>
        </w:rPr>
        <w:t> </w:t>
      </w:r>
      <w:r>
        <w:rPr>
          <w:sz w:val="20"/>
        </w:rPr>
        <w:t>agreement</w:t>
      </w:r>
      <w:r>
        <w:rPr>
          <w:spacing w:val="-13"/>
          <w:sz w:val="20"/>
        </w:rPr>
        <w:t> </w:t>
      </w:r>
      <w:r>
        <w:rPr>
          <w:sz w:val="20"/>
        </w:rPr>
        <w:t>between</w:t>
      </w:r>
      <w:r>
        <w:rPr>
          <w:spacing w:val="-12"/>
          <w:sz w:val="20"/>
        </w:rPr>
        <w:t> </w:t>
      </w:r>
      <w:r>
        <w:rPr>
          <w:sz w:val="20"/>
        </w:rPr>
        <w:t>UNOLA</w:t>
      </w:r>
      <w:r>
        <w:rPr>
          <w:spacing w:val="-13"/>
          <w:sz w:val="20"/>
        </w:rPr>
        <w:t> </w:t>
      </w:r>
      <w:r>
        <w:rPr>
          <w:sz w:val="20"/>
        </w:rPr>
        <w:t>and</w:t>
      </w:r>
      <w:r>
        <w:rPr>
          <w:spacing w:val="-12"/>
          <w:sz w:val="20"/>
        </w:rPr>
        <w:t> </w:t>
      </w:r>
      <w:r>
        <w:rPr>
          <w:sz w:val="20"/>
        </w:rPr>
        <w:t>the</w:t>
      </w:r>
      <w:r>
        <w:rPr>
          <w:spacing w:val="-13"/>
          <w:sz w:val="20"/>
        </w:rPr>
        <w:t> </w:t>
      </w:r>
      <w:r>
        <w:rPr>
          <w:sz w:val="20"/>
        </w:rPr>
        <w:t>Court,</w:t>
      </w:r>
      <w:r>
        <w:rPr>
          <w:spacing w:val="-12"/>
          <w:sz w:val="20"/>
        </w:rPr>
        <w:t> </w:t>
      </w:r>
      <w:r>
        <w:rPr>
          <w:sz w:val="20"/>
        </w:rPr>
        <w:t>a</w:t>
      </w:r>
      <w:r>
        <w:rPr>
          <w:spacing w:val="-13"/>
          <w:sz w:val="20"/>
        </w:rPr>
        <w:t> </w:t>
      </w:r>
      <w:r>
        <w:rPr>
          <w:sz w:val="20"/>
        </w:rPr>
        <w:t>second</w:t>
      </w:r>
      <w:r>
        <w:rPr>
          <w:spacing w:val="-12"/>
          <w:sz w:val="20"/>
        </w:rPr>
        <w:t> </w:t>
      </w:r>
      <w:r>
        <w:rPr>
          <w:sz w:val="20"/>
        </w:rPr>
        <w:t>UN-based</w:t>
      </w:r>
      <w:r>
        <w:rPr>
          <w:spacing w:val="-13"/>
          <w:sz w:val="20"/>
        </w:rPr>
        <w:t> </w:t>
      </w:r>
      <w:r>
        <w:rPr>
          <w:sz w:val="20"/>
        </w:rPr>
        <w:t>GTA position</w:t>
      </w:r>
      <w:r>
        <w:rPr>
          <w:spacing w:val="-8"/>
          <w:sz w:val="20"/>
        </w:rPr>
        <w:t> </w:t>
      </w:r>
      <w:r>
        <w:rPr>
          <w:sz w:val="20"/>
        </w:rPr>
        <w:t>at</w:t>
      </w:r>
      <w:r>
        <w:rPr>
          <w:spacing w:val="-7"/>
          <w:sz w:val="20"/>
        </w:rPr>
        <w:t> </w:t>
      </w:r>
      <w:r>
        <w:rPr>
          <w:sz w:val="20"/>
        </w:rPr>
        <w:t>the</w:t>
      </w:r>
      <w:r>
        <w:rPr>
          <w:spacing w:val="-7"/>
          <w:sz w:val="20"/>
        </w:rPr>
        <w:t> </w:t>
      </w:r>
      <w:r>
        <w:rPr>
          <w:sz w:val="20"/>
        </w:rPr>
        <w:t>P-2</w:t>
      </w:r>
      <w:r>
        <w:rPr>
          <w:spacing w:val="-13"/>
          <w:sz w:val="20"/>
        </w:rPr>
        <w:t> </w:t>
      </w:r>
      <w:r>
        <w:rPr>
          <w:sz w:val="20"/>
        </w:rPr>
        <w:t>level</w:t>
      </w:r>
      <w:r>
        <w:rPr>
          <w:spacing w:val="-11"/>
          <w:sz w:val="20"/>
        </w:rPr>
        <w:t> </w:t>
      </w:r>
      <w:r>
        <w:rPr>
          <w:sz w:val="20"/>
        </w:rPr>
        <w:t>(0.5</w:t>
      </w:r>
      <w:r>
        <w:rPr>
          <w:spacing w:val="-8"/>
          <w:sz w:val="20"/>
        </w:rPr>
        <w:t> </w:t>
      </w:r>
      <w:r>
        <w:rPr>
          <w:sz w:val="20"/>
        </w:rPr>
        <w:t>FTE)</w:t>
      </w:r>
      <w:r>
        <w:rPr>
          <w:spacing w:val="-8"/>
          <w:sz w:val="20"/>
        </w:rPr>
        <w:t> </w:t>
      </w:r>
      <w:r>
        <w:rPr>
          <w:sz w:val="20"/>
        </w:rPr>
        <w:t>is</w:t>
      </w:r>
      <w:r>
        <w:rPr>
          <w:spacing w:val="-10"/>
          <w:sz w:val="20"/>
        </w:rPr>
        <w:t> </w:t>
      </w:r>
      <w:r>
        <w:rPr>
          <w:sz w:val="20"/>
        </w:rPr>
        <w:t>requested</w:t>
      </w:r>
      <w:r>
        <w:rPr>
          <w:spacing w:val="-8"/>
          <w:sz w:val="20"/>
        </w:rPr>
        <w:t> </w:t>
      </w:r>
      <w:r>
        <w:rPr>
          <w:sz w:val="20"/>
        </w:rPr>
        <w:t>for</w:t>
      </w:r>
      <w:r>
        <w:rPr>
          <w:spacing w:val="-8"/>
          <w:sz w:val="20"/>
        </w:rPr>
        <w:t> </w:t>
      </w:r>
      <w:r>
        <w:rPr>
          <w:sz w:val="20"/>
        </w:rPr>
        <w:t>2023</w:t>
      </w:r>
      <w:r>
        <w:rPr>
          <w:spacing w:val="-8"/>
          <w:sz w:val="20"/>
        </w:rPr>
        <w:t> </w:t>
      </w:r>
      <w:r>
        <w:rPr>
          <w:sz w:val="20"/>
        </w:rPr>
        <w:t>to</w:t>
      </w:r>
      <w:r>
        <w:rPr>
          <w:spacing w:val="-8"/>
          <w:sz w:val="20"/>
        </w:rPr>
        <w:t> </w:t>
      </w:r>
      <w:r>
        <w:rPr>
          <w:sz w:val="20"/>
        </w:rPr>
        <w:t>support</w:t>
      </w:r>
      <w:r>
        <w:rPr>
          <w:spacing w:val="-12"/>
          <w:sz w:val="20"/>
        </w:rPr>
        <w:t> </w:t>
      </w:r>
      <w:r>
        <w:rPr>
          <w:sz w:val="20"/>
        </w:rPr>
        <w:t>the</w:t>
      </w:r>
      <w:r>
        <w:rPr>
          <w:spacing w:val="-12"/>
          <w:sz w:val="20"/>
        </w:rPr>
        <w:t> </w:t>
      </w:r>
      <w:r>
        <w:rPr>
          <w:sz w:val="20"/>
        </w:rPr>
        <w:t>approved</w:t>
      </w:r>
      <w:r>
        <w:rPr>
          <w:spacing w:val="-13"/>
          <w:sz w:val="20"/>
        </w:rPr>
        <w:t> </w:t>
      </w:r>
      <w:r>
        <w:rPr>
          <w:sz w:val="20"/>
        </w:rPr>
        <w:t>P-3</w:t>
      </w:r>
      <w:r>
        <w:rPr>
          <w:spacing w:val="-7"/>
          <w:sz w:val="20"/>
        </w:rPr>
        <w:t> </w:t>
      </w:r>
      <w:r>
        <w:rPr>
          <w:sz w:val="20"/>
        </w:rPr>
        <w:t>position, in view of the significantly increased workload arising from requests from the Court (both OTP</w:t>
      </w:r>
      <w:r>
        <w:rPr>
          <w:spacing w:val="-11"/>
          <w:sz w:val="20"/>
        </w:rPr>
        <w:t> </w:t>
      </w:r>
      <w:r>
        <w:rPr>
          <w:sz w:val="20"/>
        </w:rPr>
        <w:t>and</w:t>
      </w:r>
      <w:r>
        <w:rPr>
          <w:spacing w:val="-8"/>
          <w:sz w:val="20"/>
        </w:rPr>
        <w:t> </w:t>
      </w:r>
      <w:r>
        <w:rPr>
          <w:sz w:val="20"/>
        </w:rPr>
        <w:t>Registry),</w:t>
      </w:r>
      <w:r>
        <w:rPr>
          <w:spacing w:val="-6"/>
          <w:sz w:val="20"/>
        </w:rPr>
        <w:t> </w:t>
      </w:r>
      <w:r>
        <w:rPr>
          <w:sz w:val="20"/>
        </w:rPr>
        <w:t>including</w:t>
      </w:r>
      <w:r>
        <w:rPr>
          <w:spacing w:val="-13"/>
          <w:sz w:val="20"/>
        </w:rPr>
        <w:t> </w:t>
      </w:r>
      <w:r>
        <w:rPr>
          <w:sz w:val="20"/>
        </w:rPr>
        <w:t>that</w:t>
      </w:r>
      <w:r>
        <w:rPr>
          <w:spacing w:val="-7"/>
          <w:sz w:val="20"/>
        </w:rPr>
        <w:t> </w:t>
      </w:r>
      <w:r>
        <w:rPr>
          <w:sz w:val="20"/>
        </w:rPr>
        <w:t>related</w:t>
      </w:r>
      <w:r>
        <w:rPr>
          <w:spacing w:val="-8"/>
          <w:sz w:val="20"/>
        </w:rPr>
        <w:t> </w:t>
      </w:r>
      <w:r>
        <w:rPr>
          <w:sz w:val="20"/>
        </w:rPr>
        <w:t>to</w:t>
      </w:r>
      <w:r>
        <w:rPr>
          <w:spacing w:val="-13"/>
          <w:sz w:val="20"/>
        </w:rPr>
        <w:t> </w:t>
      </w:r>
      <w:r>
        <w:rPr>
          <w:sz w:val="20"/>
        </w:rPr>
        <w:t>field</w:t>
      </w:r>
      <w:r>
        <w:rPr>
          <w:spacing w:val="-12"/>
          <w:sz w:val="20"/>
        </w:rPr>
        <w:t> </w:t>
      </w:r>
      <w:r>
        <w:rPr>
          <w:sz w:val="20"/>
        </w:rPr>
        <w:t>activities</w:t>
      </w:r>
      <w:r>
        <w:rPr>
          <w:spacing w:val="-10"/>
          <w:sz w:val="20"/>
        </w:rPr>
        <w:t> </w:t>
      </w:r>
      <w:r>
        <w:rPr>
          <w:sz w:val="20"/>
        </w:rPr>
        <w:t>and</w:t>
      </w:r>
      <w:r>
        <w:rPr>
          <w:spacing w:val="-4"/>
          <w:sz w:val="20"/>
        </w:rPr>
        <w:t> </w:t>
      </w:r>
      <w:r>
        <w:rPr>
          <w:sz w:val="20"/>
        </w:rPr>
        <w:t>disclosure</w:t>
      </w:r>
      <w:r>
        <w:rPr>
          <w:spacing w:val="-11"/>
          <w:sz w:val="20"/>
        </w:rPr>
        <w:t> </w:t>
      </w:r>
      <w:r>
        <w:rPr>
          <w:sz w:val="20"/>
        </w:rPr>
        <w:t>obligations,</w:t>
      </w:r>
      <w:r>
        <w:rPr>
          <w:spacing w:val="-6"/>
          <w:sz w:val="20"/>
        </w:rPr>
        <w:t> </w:t>
      </w:r>
      <w:r>
        <w:rPr>
          <w:sz w:val="20"/>
        </w:rPr>
        <w:t>within the</w:t>
      </w:r>
      <w:r>
        <w:rPr>
          <w:spacing w:val="-3"/>
          <w:sz w:val="20"/>
        </w:rPr>
        <w:t> </w:t>
      </w:r>
      <w:r>
        <w:rPr>
          <w:sz w:val="20"/>
        </w:rPr>
        <w:t>framework</w:t>
      </w:r>
      <w:r>
        <w:rPr>
          <w:spacing w:val="-9"/>
          <w:sz w:val="20"/>
        </w:rPr>
        <w:t> </w:t>
      </w:r>
      <w:r>
        <w:rPr>
          <w:sz w:val="20"/>
        </w:rPr>
        <w:t>of</w:t>
      </w:r>
      <w:r>
        <w:rPr>
          <w:spacing w:val="-5"/>
          <w:sz w:val="20"/>
        </w:rPr>
        <w:t> </w:t>
      </w:r>
      <w:r>
        <w:rPr>
          <w:sz w:val="20"/>
        </w:rPr>
        <w:t>the</w:t>
      </w:r>
      <w:r>
        <w:rPr>
          <w:spacing w:val="-3"/>
          <w:sz w:val="20"/>
        </w:rPr>
        <w:t> </w:t>
      </w:r>
      <w:r>
        <w:rPr>
          <w:sz w:val="20"/>
        </w:rPr>
        <w:t>Relationship</w:t>
      </w:r>
      <w:r>
        <w:rPr>
          <w:spacing w:val="-5"/>
          <w:sz w:val="20"/>
        </w:rPr>
        <w:t> </w:t>
      </w:r>
      <w:r>
        <w:rPr>
          <w:sz w:val="20"/>
        </w:rPr>
        <w:t>Agreement</w:t>
      </w:r>
      <w:r>
        <w:rPr>
          <w:spacing w:val="-3"/>
          <w:sz w:val="20"/>
        </w:rPr>
        <w:t> </w:t>
      </w:r>
      <w:r>
        <w:rPr>
          <w:sz w:val="20"/>
        </w:rPr>
        <w:t>between</w:t>
      </w:r>
      <w:r>
        <w:rPr>
          <w:spacing w:val="-9"/>
          <w:sz w:val="20"/>
        </w:rPr>
        <w:t> </w:t>
      </w:r>
      <w:r>
        <w:rPr>
          <w:sz w:val="20"/>
        </w:rPr>
        <w:t>the</w:t>
      </w:r>
      <w:r>
        <w:rPr>
          <w:spacing w:val="-3"/>
          <w:sz w:val="20"/>
        </w:rPr>
        <w:t> </w:t>
      </w:r>
      <w:r>
        <w:rPr>
          <w:sz w:val="20"/>
        </w:rPr>
        <w:t>UN</w:t>
      </w:r>
      <w:r>
        <w:rPr>
          <w:spacing w:val="-1"/>
          <w:sz w:val="20"/>
        </w:rPr>
        <w:t> </w:t>
      </w:r>
      <w:r>
        <w:rPr>
          <w:sz w:val="20"/>
        </w:rPr>
        <w:t>and</w:t>
      </w:r>
      <w:r>
        <w:rPr>
          <w:spacing w:val="-5"/>
          <w:sz w:val="20"/>
        </w:rPr>
        <w:t> </w:t>
      </w:r>
      <w:r>
        <w:rPr>
          <w:sz w:val="20"/>
        </w:rPr>
        <w:t>the</w:t>
      </w:r>
      <w:r>
        <w:rPr>
          <w:spacing w:val="-3"/>
          <w:sz w:val="20"/>
        </w:rPr>
        <w:t> </w:t>
      </w:r>
      <w:r>
        <w:rPr>
          <w:sz w:val="20"/>
        </w:rPr>
        <w:t>Court.</w:t>
      </w:r>
      <w:r>
        <w:rPr>
          <w:spacing w:val="-2"/>
          <w:sz w:val="20"/>
        </w:rPr>
        <w:t> </w:t>
      </w:r>
      <w:r>
        <w:rPr>
          <w:sz w:val="20"/>
        </w:rPr>
        <w:t>The</w:t>
      </w:r>
      <w:r>
        <w:rPr>
          <w:spacing w:val="-3"/>
          <w:sz w:val="20"/>
        </w:rPr>
        <w:t> </w:t>
      </w:r>
      <w:r>
        <w:rPr>
          <w:sz w:val="20"/>
        </w:rPr>
        <w:t>requested GTA funds include the amounts necessary to cover the costs of these two UN-based </w:t>
      </w:r>
      <w:r>
        <w:rPr>
          <w:spacing w:val="-2"/>
          <w:sz w:val="20"/>
        </w:rPr>
        <w:t>positions.</w:t>
      </w:r>
    </w:p>
    <w:p>
      <w:pPr>
        <w:pStyle w:val="BodyText"/>
        <w:rPr>
          <w:sz w:val="21"/>
        </w:rPr>
      </w:pPr>
    </w:p>
    <w:p>
      <w:pPr>
        <w:spacing w:before="0"/>
        <w:ind w:left="2246" w:right="0" w:firstLine="0"/>
        <w:jc w:val="left"/>
        <w:rPr>
          <w:i/>
          <w:sz w:val="20"/>
        </w:rPr>
      </w:pPr>
      <w:r>
        <w:rPr>
          <w:i/>
          <w:sz w:val="20"/>
        </w:rPr>
        <w:t>National</w:t>
      </w:r>
      <w:r>
        <w:rPr>
          <w:i/>
          <w:spacing w:val="-9"/>
          <w:sz w:val="20"/>
        </w:rPr>
        <w:t> </w:t>
      </w:r>
      <w:r>
        <w:rPr>
          <w:i/>
          <w:sz w:val="20"/>
        </w:rPr>
        <w:t>Professional</w:t>
      </w:r>
      <w:r>
        <w:rPr>
          <w:i/>
          <w:spacing w:val="-8"/>
          <w:sz w:val="20"/>
        </w:rPr>
        <w:t> </w:t>
      </w:r>
      <w:r>
        <w:rPr>
          <w:i/>
          <w:spacing w:val="-2"/>
          <w:sz w:val="20"/>
        </w:rPr>
        <w:t>Officers</w:t>
      </w:r>
    </w:p>
    <w:p>
      <w:pPr>
        <w:pStyle w:val="BodyText"/>
        <w:spacing w:before="6"/>
        <w:rPr>
          <w:i/>
        </w:rPr>
      </w:pPr>
    </w:p>
    <w:p>
      <w:pPr>
        <w:pStyle w:val="ListParagraph"/>
        <w:numPr>
          <w:ilvl w:val="0"/>
          <w:numId w:val="4"/>
        </w:numPr>
        <w:tabs>
          <w:tab w:pos="2967" w:val="left" w:leader="none"/>
        </w:tabs>
        <w:spacing w:line="240" w:lineRule="auto" w:before="0" w:after="0"/>
        <w:ind w:left="2246" w:right="2239" w:firstLine="0"/>
        <w:jc w:val="both"/>
        <w:rPr>
          <w:sz w:val="20"/>
        </w:rPr>
      </w:pPr>
      <w:r>
        <w:rPr>
          <w:sz w:val="20"/>
        </w:rPr>
        <w:t>Seven</w:t>
      </w:r>
      <w:r>
        <w:rPr>
          <w:spacing w:val="-9"/>
          <w:sz w:val="20"/>
        </w:rPr>
        <w:t> </w:t>
      </w:r>
      <w:r>
        <w:rPr>
          <w:sz w:val="20"/>
        </w:rPr>
        <w:t>National</w:t>
      </w:r>
      <w:r>
        <w:rPr>
          <w:spacing w:val="-3"/>
          <w:sz w:val="20"/>
        </w:rPr>
        <w:t> </w:t>
      </w:r>
      <w:r>
        <w:rPr>
          <w:sz w:val="20"/>
        </w:rPr>
        <w:t>Professional</w:t>
      </w:r>
      <w:r>
        <w:rPr>
          <w:spacing w:val="-8"/>
          <w:sz w:val="20"/>
        </w:rPr>
        <w:t> </w:t>
      </w:r>
      <w:r>
        <w:rPr>
          <w:sz w:val="20"/>
        </w:rPr>
        <w:t>Officers</w:t>
      </w:r>
      <w:r>
        <w:rPr>
          <w:spacing w:val="-11"/>
          <w:sz w:val="20"/>
        </w:rPr>
        <w:t> </w:t>
      </w:r>
      <w:r>
        <w:rPr>
          <w:sz w:val="20"/>
        </w:rPr>
        <w:t>(NPO)</w:t>
      </w:r>
      <w:r>
        <w:rPr>
          <w:spacing w:val="-9"/>
          <w:sz w:val="20"/>
        </w:rPr>
        <w:t> </w:t>
      </w:r>
      <w:r>
        <w:rPr>
          <w:sz w:val="20"/>
        </w:rPr>
        <w:t>are</w:t>
      </w:r>
      <w:r>
        <w:rPr>
          <w:spacing w:val="-8"/>
          <w:sz w:val="20"/>
        </w:rPr>
        <w:t> </w:t>
      </w:r>
      <w:r>
        <w:rPr>
          <w:sz w:val="20"/>
        </w:rPr>
        <w:t>requested</w:t>
      </w:r>
      <w:r>
        <w:rPr>
          <w:spacing w:val="-9"/>
          <w:sz w:val="20"/>
        </w:rPr>
        <w:t> </w:t>
      </w:r>
      <w:r>
        <w:rPr>
          <w:sz w:val="20"/>
        </w:rPr>
        <w:t>to</w:t>
      </w:r>
      <w:r>
        <w:rPr>
          <w:spacing w:val="-13"/>
          <w:sz w:val="20"/>
        </w:rPr>
        <w:t> </w:t>
      </w:r>
      <w:r>
        <w:rPr>
          <w:sz w:val="20"/>
        </w:rPr>
        <w:t>staff</w:t>
      </w:r>
      <w:r>
        <w:rPr>
          <w:spacing w:val="-8"/>
          <w:sz w:val="20"/>
        </w:rPr>
        <w:t> </w:t>
      </w:r>
      <w:r>
        <w:rPr>
          <w:sz w:val="20"/>
        </w:rPr>
        <w:t>the</w:t>
      </w:r>
      <w:r>
        <w:rPr>
          <w:spacing w:val="-8"/>
          <w:sz w:val="20"/>
        </w:rPr>
        <w:t> </w:t>
      </w:r>
      <w:r>
        <w:rPr>
          <w:sz w:val="20"/>
        </w:rPr>
        <w:t>field</w:t>
      </w:r>
      <w:r>
        <w:rPr>
          <w:spacing w:val="-9"/>
          <w:sz w:val="20"/>
        </w:rPr>
        <w:t> </w:t>
      </w:r>
      <w:r>
        <w:rPr>
          <w:sz w:val="20"/>
        </w:rPr>
        <w:t>office</w:t>
      </w:r>
      <w:r>
        <w:rPr>
          <w:spacing w:val="-8"/>
          <w:sz w:val="20"/>
        </w:rPr>
        <w:t> </w:t>
      </w:r>
      <w:r>
        <w:rPr>
          <w:sz w:val="20"/>
        </w:rPr>
        <w:t>of the</w:t>
      </w:r>
      <w:r>
        <w:rPr>
          <w:spacing w:val="-2"/>
          <w:sz w:val="20"/>
        </w:rPr>
        <w:t> </w:t>
      </w:r>
      <w:r>
        <w:rPr>
          <w:sz w:val="20"/>
        </w:rPr>
        <w:t>Ukraine</w:t>
      </w:r>
      <w:r>
        <w:rPr>
          <w:spacing w:val="-2"/>
          <w:sz w:val="20"/>
        </w:rPr>
        <w:t> </w:t>
      </w:r>
      <w:r>
        <w:rPr>
          <w:sz w:val="20"/>
        </w:rPr>
        <w:t>Unified</w:t>
      </w:r>
      <w:r>
        <w:rPr>
          <w:spacing w:val="-8"/>
          <w:sz w:val="20"/>
        </w:rPr>
        <w:t> </w:t>
      </w:r>
      <w:r>
        <w:rPr>
          <w:sz w:val="20"/>
        </w:rPr>
        <w:t>Team.</w:t>
      </w:r>
      <w:r>
        <w:rPr>
          <w:spacing w:val="-1"/>
          <w:sz w:val="20"/>
        </w:rPr>
        <w:t> </w:t>
      </w:r>
      <w:r>
        <w:rPr>
          <w:sz w:val="20"/>
        </w:rPr>
        <w:t>The</w:t>
      </w:r>
      <w:r>
        <w:rPr>
          <w:spacing w:val="-2"/>
          <w:sz w:val="20"/>
        </w:rPr>
        <w:t> </w:t>
      </w:r>
      <w:r>
        <w:rPr>
          <w:sz w:val="20"/>
        </w:rPr>
        <w:t>cost</w:t>
      </w:r>
      <w:r>
        <w:rPr>
          <w:spacing w:val="-2"/>
          <w:sz w:val="20"/>
        </w:rPr>
        <w:t> </w:t>
      </w:r>
      <w:r>
        <w:rPr>
          <w:sz w:val="20"/>
        </w:rPr>
        <w:t>of</w:t>
      </w:r>
      <w:r>
        <w:rPr>
          <w:spacing w:val="-4"/>
          <w:sz w:val="20"/>
        </w:rPr>
        <w:t> </w:t>
      </w:r>
      <w:r>
        <w:rPr>
          <w:sz w:val="20"/>
        </w:rPr>
        <w:t>these</w:t>
      </w:r>
      <w:r>
        <w:rPr>
          <w:spacing w:val="-2"/>
          <w:sz w:val="20"/>
        </w:rPr>
        <w:t> </w:t>
      </w:r>
      <w:r>
        <w:rPr>
          <w:sz w:val="20"/>
        </w:rPr>
        <w:t>positions</w:t>
      </w:r>
      <w:r>
        <w:rPr>
          <w:spacing w:val="-5"/>
          <w:sz w:val="20"/>
        </w:rPr>
        <w:t> </w:t>
      </w:r>
      <w:r>
        <w:rPr>
          <w:sz w:val="20"/>
        </w:rPr>
        <w:t>is</w:t>
      </w:r>
      <w:r>
        <w:rPr>
          <w:spacing w:val="-5"/>
          <w:sz w:val="20"/>
        </w:rPr>
        <w:t> </w:t>
      </w:r>
      <w:r>
        <w:rPr>
          <w:sz w:val="20"/>
        </w:rPr>
        <w:t>included</w:t>
      </w:r>
      <w:r>
        <w:rPr>
          <w:spacing w:val="-4"/>
          <w:sz w:val="20"/>
        </w:rPr>
        <w:t> </w:t>
      </w:r>
      <w:r>
        <w:rPr>
          <w:sz w:val="20"/>
        </w:rPr>
        <w:t>under</w:t>
      </w:r>
      <w:r>
        <w:rPr>
          <w:spacing w:val="-4"/>
          <w:sz w:val="20"/>
        </w:rPr>
        <w:t> </w:t>
      </w:r>
      <w:r>
        <w:rPr>
          <w:sz w:val="20"/>
        </w:rPr>
        <w:t>General</w:t>
      </w:r>
      <w:r>
        <w:rPr>
          <w:spacing w:val="-2"/>
          <w:sz w:val="20"/>
        </w:rPr>
        <w:t> </w:t>
      </w:r>
      <w:r>
        <w:rPr>
          <w:sz w:val="20"/>
        </w:rPr>
        <w:t>Temporary Assistance in the budget proposal. The breakdown of NPO positions is shown in the table below.</w:t>
      </w:r>
      <w:r>
        <w:rPr>
          <w:spacing w:val="-1"/>
          <w:sz w:val="20"/>
        </w:rPr>
        <w:t> </w:t>
      </w:r>
      <w:r>
        <w:rPr>
          <w:sz w:val="20"/>
        </w:rPr>
        <w:t>The</w:t>
      </w:r>
      <w:r>
        <w:rPr>
          <w:spacing w:val="-2"/>
          <w:sz w:val="20"/>
        </w:rPr>
        <w:t> </w:t>
      </w:r>
      <w:r>
        <w:rPr>
          <w:sz w:val="20"/>
        </w:rPr>
        <w:t>creation</w:t>
      </w:r>
      <w:r>
        <w:rPr>
          <w:spacing w:val="-4"/>
          <w:sz w:val="20"/>
        </w:rPr>
        <w:t> </w:t>
      </w:r>
      <w:r>
        <w:rPr>
          <w:sz w:val="20"/>
        </w:rPr>
        <w:t>of</w:t>
      </w:r>
      <w:r>
        <w:rPr>
          <w:spacing w:val="-4"/>
          <w:sz w:val="20"/>
        </w:rPr>
        <w:t> </w:t>
      </w:r>
      <w:r>
        <w:rPr>
          <w:sz w:val="20"/>
        </w:rPr>
        <w:t>these</w:t>
      </w:r>
      <w:r>
        <w:rPr>
          <w:spacing w:val="-2"/>
          <w:sz w:val="20"/>
        </w:rPr>
        <w:t> </w:t>
      </w:r>
      <w:r>
        <w:rPr>
          <w:sz w:val="20"/>
        </w:rPr>
        <w:t>positions</w:t>
      </w:r>
      <w:r>
        <w:rPr>
          <w:spacing w:val="-5"/>
          <w:sz w:val="20"/>
        </w:rPr>
        <w:t> </w:t>
      </w:r>
      <w:r>
        <w:rPr>
          <w:sz w:val="20"/>
        </w:rPr>
        <w:t>in the</w:t>
      </w:r>
      <w:r>
        <w:rPr>
          <w:spacing w:val="-2"/>
          <w:sz w:val="20"/>
        </w:rPr>
        <w:t> </w:t>
      </w:r>
      <w:r>
        <w:rPr>
          <w:sz w:val="20"/>
        </w:rPr>
        <w:t>NPO</w:t>
      </w:r>
      <w:r>
        <w:rPr>
          <w:spacing w:val="-5"/>
          <w:sz w:val="20"/>
        </w:rPr>
        <w:t> </w:t>
      </w:r>
      <w:r>
        <w:rPr>
          <w:sz w:val="20"/>
        </w:rPr>
        <w:t>category</w:t>
      </w:r>
      <w:r>
        <w:rPr>
          <w:spacing w:val="-8"/>
          <w:sz w:val="20"/>
        </w:rPr>
        <w:t> </w:t>
      </w:r>
      <w:r>
        <w:rPr>
          <w:sz w:val="20"/>
        </w:rPr>
        <w:t>allows</w:t>
      </w:r>
      <w:r>
        <w:rPr>
          <w:spacing w:val="-5"/>
          <w:sz w:val="20"/>
        </w:rPr>
        <w:t> </w:t>
      </w:r>
      <w:r>
        <w:rPr>
          <w:sz w:val="20"/>
        </w:rPr>
        <w:t>the Office</w:t>
      </w:r>
      <w:r>
        <w:rPr>
          <w:spacing w:val="-2"/>
          <w:sz w:val="20"/>
        </w:rPr>
        <w:t> </w:t>
      </w:r>
      <w:r>
        <w:rPr>
          <w:sz w:val="20"/>
        </w:rPr>
        <w:t>to</w:t>
      </w:r>
      <w:r>
        <w:rPr>
          <w:spacing w:val="-4"/>
          <w:sz w:val="20"/>
        </w:rPr>
        <w:t> </w:t>
      </w:r>
      <w:r>
        <w:rPr>
          <w:sz w:val="20"/>
        </w:rPr>
        <w:t>secure</w:t>
      </w:r>
      <w:r>
        <w:rPr>
          <w:spacing w:val="-2"/>
          <w:sz w:val="20"/>
        </w:rPr>
        <w:t> </w:t>
      </w:r>
      <w:r>
        <w:rPr>
          <w:sz w:val="20"/>
        </w:rPr>
        <w:t>these resources with efficiencies of €248.5 thousand compared to a scenario in which similar positions</w:t>
      </w:r>
      <w:r>
        <w:rPr>
          <w:spacing w:val="-7"/>
          <w:sz w:val="20"/>
        </w:rPr>
        <w:t> </w:t>
      </w:r>
      <w:r>
        <w:rPr>
          <w:sz w:val="20"/>
        </w:rPr>
        <w:t>were</w:t>
      </w:r>
      <w:r>
        <w:rPr>
          <w:spacing w:val="-8"/>
          <w:sz w:val="20"/>
        </w:rPr>
        <w:t> </w:t>
      </w:r>
      <w:r>
        <w:rPr>
          <w:sz w:val="20"/>
        </w:rPr>
        <w:t>recruited</w:t>
      </w:r>
      <w:r>
        <w:rPr>
          <w:spacing w:val="-9"/>
          <w:sz w:val="20"/>
        </w:rPr>
        <w:t> </w:t>
      </w:r>
      <w:r>
        <w:rPr>
          <w:sz w:val="20"/>
        </w:rPr>
        <w:t>as</w:t>
      </w:r>
      <w:r>
        <w:rPr>
          <w:spacing w:val="-7"/>
          <w:sz w:val="20"/>
        </w:rPr>
        <w:t> </w:t>
      </w:r>
      <w:r>
        <w:rPr>
          <w:sz w:val="20"/>
        </w:rPr>
        <w:t>international</w:t>
      </w:r>
      <w:r>
        <w:rPr>
          <w:spacing w:val="-4"/>
          <w:sz w:val="20"/>
        </w:rPr>
        <w:t> </w:t>
      </w:r>
      <w:r>
        <w:rPr>
          <w:sz w:val="20"/>
        </w:rPr>
        <w:t>staff,</w:t>
      </w:r>
      <w:r>
        <w:rPr>
          <w:spacing w:val="-3"/>
          <w:sz w:val="20"/>
        </w:rPr>
        <w:t> </w:t>
      </w:r>
      <w:r>
        <w:rPr>
          <w:sz w:val="20"/>
        </w:rPr>
        <w:t>while</w:t>
      </w:r>
      <w:r>
        <w:rPr>
          <w:spacing w:val="-8"/>
          <w:sz w:val="20"/>
        </w:rPr>
        <w:t> </w:t>
      </w:r>
      <w:r>
        <w:rPr>
          <w:sz w:val="20"/>
        </w:rPr>
        <w:t>also</w:t>
      </w:r>
      <w:r>
        <w:rPr>
          <w:spacing w:val="-9"/>
          <w:sz w:val="20"/>
        </w:rPr>
        <w:t> </w:t>
      </w:r>
      <w:r>
        <w:rPr>
          <w:sz w:val="20"/>
        </w:rPr>
        <w:t>allowing</w:t>
      </w:r>
      <w:r>
        <w:rPr>
          <w:spacing w:val="-9"/>
          <w:sz w:val="20"/>
        </w:rPr>
        <w:t> </w:t>
      </w:r>
      <w:r>
        <w:rPr>
          <w:sz w:val="20"/>
        </w:rPr>
        <w:t>the</w:t>
      </w:r>
      <w:r>
        <w:rPr>
          <w:spacing w:val="-8"/>
          <w:sz w:val="20"/>
        </w:rPr>
        <w:t> </w:t>
      </w:r>
      <w:r>
        <w:rPr>
          <w:sz w:val="20"/>
        </w:rPr>
        <w:t>Ukraine</w:t>
      </w:r>
      <w:r>
        <w:rPr>
          <w:spacing w:val="-4"/>
          <w:sz w:val="20"/>
        </w:rPr>
        <w:t> </w:t>
      </w:r>
      <w:r>
        <w:rPr>
          <w:sz w:val="20"/>
        </w:rPr>
        <w:t>Unified</w:t>
      </w:r>
      <w:r>
        <w:rPr>
          <w:spacing w:val="-9"/>
          <w:sz w:val="20"/>
        </w:rPr>
        <w:t> </w:t>
      </w:r>
      <w:r>
        <w:rPr>
          <w:sz w:val="20"/>
        </w:rPr>
        <w:t>Team to benefit from the knowledge and experience of staff members with an in-depth understanding of contextual factors relevant to the situation.</w:t>
      </w:r>
    </w:p>
    <w:p>
      <w:pPr>
        <w:pStyle w:val="BodyText"/>
        <w:spacing w:before="8"/>
        <w:rPr>
          <w:sz w:val="10"/>
        </w:rPr>
      </w:pPr>
    </w:p>
    <w:tbl>
      <w:tblPr>
        <w:tblW w:w="0" w:type="auto"/>
        <w:jc w:val="left"/>
        <w:tblInd w:w="2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19"/>
        <w:gridCol w:w="1645"/>
        <w:gridCol w:w="857"/>
        <w:gridCol w:w="837"/>
        <w:gridCol w:w="944"/>
        <w:gridCol w:w="793"/>
      </w:tblGrid>
      <w:tr>
        <w:trPr>
          <w:trHeight w:val="268" w:hRule="atLeast"/>
        </w:trPr>
        <w:tc>
          <w:tcPr>
            <w:tcW w:w="2319" w:type="dxa"/>
            <w:tcBorders>
              <w:top w:val="single" w:sz="4" w:space="0" w:color="000000"/>
              <w:bottom w:val="single" w:sz="4" w:space="0" w:color="000000"/>
            </w:tcBorders>
          </w:tcPr>
          <w:p>
            <w:pPr>
              <w:pStyle w:val="TableParagraph"/>
              <w:spacing w:line="229" w:lineRule="exact" w:before="19"/>
              <w:ind w:left="14"/>
              <w:jc w:val="left"/>
              <w:rPr>
                <w:i/>
                <w:sz w:val="20"/>
              </w:rPr>
            </w:pPr>
            <w:r>
              <w:rPr>
                <w:i/>
                <w:spacing w:val="-2"/>
                <w:sz w:val="20"/>
              </w:rPr>
              <w:t>Title</w:t>
            </w:r>
          </w:p>
        </w:tc>
        <w:tc>
          <w:tcPr>
            <w:tcW w:w="1645" w:type="dxa"/>
            <w:tcBorders>
              <w:top w:val="single" w:sz="4" w:space="0" w:color="000000"/>
              <w:bottom w:val="single" w:sz="4" w:space="0" w:color="000000"/>
            </w:tcBorders>
          </w:tcPr>
          <w:p>
            <w:pPr>
              <w:pStyle w:val="TableParagraph"/>
              <w:spacing w:line="229" w:lineRule="exact" w:before="19"/>
              <w:ind w:right="146"/>
              <w:rPr>
                <w:i/>
                <w:sz w:val="20"/>
              </w:rPr>
            </w:pPr>
            <w:r>
              <w:rPr>
                <w:i/>
                <w:spacing w:val="-2"/>
                <w:sz w:val="20"/>
              </w:rPr>
              <w:t>Grade</w:t>
            </w:r>
          </w:p>
        </w:tc>
        <w:tc>
          <w:tcPr>
            <w:tcW w:w="857" w:type="dxa"/>
            <w:tcBorders>
              <w:top w:val="single" w:sz="4" w:space="0" w:color="000000"/>
              <w:bottom w:val="single" w:sz="4" w:space="0" w:color="000000"/>
            </w:tcBorders>
          </w:tcPr>
          <w:p>
            <w:pPr>
              <w:pStyle w:val="TableParagraph"/>
              <w:spacing w:line="229" w:lineRule="exact" w:before="19"/>
              <w:ind w:right="59"/>
              <w:rPr>
                <w:i/>
                <w:sz w:val="20"/>
              </w:rPr>
            </w:pPr>
            <w:r>
              <w:rPr>
                <w:i/>
                <w:spacing w:val="-2"/>
                <w:sz w:val="20"/>
              </w:rPr>
              <w:t>Number</w:t>
            </w:r>
          </w:p>
        </w:tc>
        <w:tc>
          <w:tcPr>
            <w:tcW w:w="837" w:type="dxa"/>
            <w:tcBorders>
              <w:top w:val="single" w:sz="4" w:space="0" w:color="000000"/>
              <w:bottom w:val="single" w:sz="4" w:space="0" w:color="000000"/>
            </w:tcBorders>
          </w:tcPr>
          <w:p>
            <w:pPr>
              <w:pStyle w:val="TableParagraph"/>
              <w:spacing w:line="229" w:lineRule="exact" w:before="19"/>
              <w:ind w:right="171"/>
              <w:rPr>
                <w:i/>
                <w:sz w:val="20"/>
              </w:rPr>
            </w:pPr>
            <w:r>
              <w:rPr>
                <w:i/>
                <w:spacing w:val="-2"/>
                <w:sz w:val="20"/>
              </w:rPr>
              <w:t>Months</w:t>
            </w:r>
          </w:p>
        </w:tc>
        <w:tc>
          <w:tcPr>
            <w:tcW w:w="944" w:type="dxa"/>
            <w:tcBorders>
              <w:top w:val="single" w:sz="4" w:space="0" w:color="000000"/>
              <w:bottom w:val="single" w:sz="4" w:space="0" w:color="000000"/>
            </w:tcBorders>
          </w:tcPr>
          <w:p>
            <w:pPr>
              <w:pStyle w:val="TableParagraph"/>
              <w:spacing w:line="229" w:lineRule="exact" w:before="19"/>
              <w:ind w:left="166"/>
              <w:jc w:val="left"/>
              <w:rPr>
                <w:i/>
                <w:sz w:val="20"/>
              </w:rPr>
            </w:pPr>
            <w:r>
              <w:rPr>
                <w:i/>
                <w:spacing w:val="-5"/>
                <w:sz w:val="20"/>
              </w:rPr>
              <w:t>FTE</w:t>
            </w:r>
          </w:p>
        </w:tc>
        <w:tc>
          <w:tcPr>
            <w:tcW w:w="793" w:type="dxa"/>
            <w:tcBorders>
              <w:top w:val="single" w:sz="4" w:space="0" w:color="000000"/>
              <w:bottom w:val="single" w:sz="4" w:space="0" w:color="000000"/>
            </w:tcBorders>
          </w:tcPr>
          <w:p>
            <w:pPr>
              <w:pStyle w:val="TableParagraph"/>
              <w:jc w:val="left"/>
              <w:rPr>
                <w:sz w:val="18"/>
              </w:rPr>
            </w:pPr>
          </w:p>
        </w:tc>
      </w:tr>
      <w:tr>
        <w:trPr>
          <w:trHeight w:val="272" w:hRule="atLeast"/>
        </w:trPr>
        <w:tc>
          <w:tcPr>
            <w:tcW w:w="2319" w:type="dxa"/>
            <w:tcBorders>
              <w:top w:val="single" w:sz="4" w:space="0" w:color="000000"/>
            </w:tcBorders>
          </w:tcPr>
          <w:p>
            <w:pPr>
              <w:pStyle w:val="TableParagraph"/>
              <w:spacing w:before="19"/>
              <w:ind w:left="14"/>
              <w:jc w:val="left"/>
              <w:rPr>
                <w:i/>
                <w:sz w:val="20"/>
              </w:rPr>
            </w:pPr>
            <w:r>
              <w:rPr>
                <w:i/>
                <w:sz w:val="20"/>
              </w:rPr>
              <w:t>Unified</w:t>
            </w:r>
            <w:r>
              <w:rPr>
                <w:i/>
                <w:spacing w:val="-7"/>
                <w:sz w:val="20"/>
              </w:rPr>
              <w:t> </w:t>
            </w:r>
            <w:r>
              <w:rPr>
                <w:i/>
                <w:sz w:val="20"/>
              </w:rPr>
              <w:t>Team</w:t>
            </w:r>
            <w:r>
              <w:rPr>
                <w:i/>
                <w:spacing w:val="-5"/>
                <w:sz w:val="20"/>
              </w:rPr>
              <w:t> </w:t>
            </w:r>
            <w:r>
              <w:rPr>
                <w:i/>
                <w:sz w:val="20"/>
              </w:rPr>
              <w:t>UKR</w:t>
            </w:r>
            <w:r>
              <w:rPr>
                <w:i/>
                <w:spacing w:val="-1"/>
                <w:sz w:val="20"/>
              </w:rPr>
              <w:t> </w:t>
            </w:r>
            <w:r>
              <w:rPr>
                <w:i/>
                <w:sz w:val="20"/>
              </w:rPr>
              <w:t>-</w:t>
            </w:r>
            <w:r>
              <w:rPr>
                <w:i/>
                <w:spacing w:val="-3"/>
                <w:sz w:val="20"/>
              </w:rPr>
              <w:t> </w:t>
            </w:r>
            <w:r>
              <w:rPr>
                <w:i/>
                <w:spacing w:val="-4"/>
                <w:sz w:val="20"/>
              </w:rPr>
              <w:t>Field</w:t>
            </w:r>
          </w:p>
        </w:tc>
        <w:tc>
          <w:tcPr>
            <w:tcW w:w="1645" w:type="dxa"/>
            <w:tcBorders>
              <w:top w:val="single" w:sz="4" w:space="0" w:color="000000"/>
            </w:tcBorders>
          </w:tcPr>
          <w:p>
            <w:pPr>
              <w:pStyle w:val="TableParagraph"/>
              <w:jc w:val="left"/>
              <w:rPr>
                <w:sz w:val="18"/>
              </w:rPr>
            </w:pPr>
          </w:p>
        </w:tc>
        <w:tc>
          <w:tcPr>
            <w:tcW w:w="857" w:type="dxa"/>
            <w:tcBorders>
              <w:top w:val="single" w:sz="4" w:space="0" w:color="000000"/>
            </w:tcBorders>
          </w:tcPr>
          <w:p>
            <w:pPr>
              <w:pStyle w:val="TableParagraph"/>
              <w:jc w:val="left"/>
              <w:rPr>
                <w:sz w:val="18"/>
              </w:rPr>
            </w:pPr>
          </w:p>
        </w:tc>
        <w:tc>
          <w:tcPr>
            <w:tcW w:w="837" w:type="dxa"/>
            <w:tcBorders>
              <w:top w:val="single" w:sz="4" w:space="0" w:color="000000"/>
            </w:tcBorders>
          </w:tcPr>
          <w:p>
            <w:pPr>
              <w:pStyle w:val="TableParagraph"/>
              <w:jc w:val="left"/>
              <w:rPr>
                <w:sz w:val="18"/>
              </w:rPr>
            </w:pPr>
          </w:p>
        </w:tc>
        <w:tc>
          <w:tcPr>
            <w:tcW w:w="944" w:type="dxa"/>
            <w:tcBorders>
              <w:top w:val="single" w:sz="4" w:space="0" w:color="000000"/>
            </w:tcBorders>
          </w:tcPr>
          <w:p>
            <w:pPr>
              <w:pStyle w:val="TableParagraph"/>
              <w:jc w:val="left"/>
              <w:rPr>
                <w:sz w:val="18"/>
              </w:rPr>
            </w:pPr>
          </w:p>
        </w:tc>
        <w:tc>
          <w:tcPr>
            <w:tcW w:w="793" w:type="dxa"/>
            <w:tcBorders>
              <w:top w:val="single" w:sz="4" w:space="0" w:color="000000"/>
            </w:tcBorders>
          </w:tcPr>
          <w:p>
            <w:pPr>
              <w:pStyle w:val="TableParagraph"/>
              <w:jc w:val="left"/>
              <w:rPr>
                <w:sz w:val="18"/>
              </w:rPr>
            </w:pPr>
          </w:p>
        </w:tc>
      </w:tr>
      <w:tr>
        <w:trPr>
          <w:trHeight w:val="271" w:hRule="atLeast"/>
        </w:trPr>
        <w:tc>
          <w:tcPr>
            <w:tcW w:w="2319" w:type="dxa"/>
          </w:tcPr>
          <w:p>
            <w:pPr>
              <w:pStyle w:val="TableParagraph"/>
              <w:spacing w:before="16"/>
              <w:ind w:left="14"/>
              <w:jc w:val="left"/>
              <w:rPr>
                <w:sz w:val="20"/>
              </w:rPr>
            </w:pPr>
            <w:r>
              <w:rPr>
                <w:spacing w:val="-2"/>
                <w:sz w:val="20"/>
              </w:rPr>
              <w:t>Analyst</w:t>
            </w:r>
          </w:p>
        </w:tc>
        <w:tc>
          <w:tcPr>
            <w:tcW w:w="1645" w:type="dxa"/>
          </w:tcPr>
          <w:p>
            <w:pPr>
              <w:pStyle w:val="TableParagraph"/>
              <w:spacing w:before="16"/>
              <w:ind w:right="168"/>
              <w:rPr>
                <w:sz w:val="20"/>
              </w:rPr>
            </w:pPr>
            <w:r>
              <w:rPr>
                <w:spacing w:val="-2"/>
                <w:sz w:val="20"/>
              </w:rPr>
              <w:t>NO-</w:t>
            </w:r>
            <w:r>
              <w:rPr>
                <w:spacing w:val="-10"/>
                <w:sz w:val="20"/>
              </w:rPr>
              <w:t>C</w:t>
            </w:r>
          </w:p>
        </w:tc>
        <w:tc>
          <w:tcPr>
            <w:tcW w:w="857" w:type="dxa"/>
          </w:tcPr>
          <w:p>
            <w:pPr>
              <w:pStyle w:val="TableParagraph"/>
              <w:spacing w:before="16"/>
              <w:ind w:right="65"/>
              <w:rPr>
                <w:sz w:val="20"/>
              </w:rPr>
            </w:pPr>
            <w:r>
              <w:rPr>
                <w:w w:val="100"/>
                <w:sz w:val="20"/>
              </w:rPr>
              <w:t>2</w:t>
            </w:r>
          </w:p>
        </w:tc>
        <w:tc>
          <w:tcPr>
            <w:tcW w:w="837" w:type="dxa"/>
          </w:tcPr>
          <w:p>
            <w:pPr>
              <w:pStyle w:val="TableParagraph"/>
              <w:spacing w:before="16"/>
              <w:ind w:right="177"/>
              <w:rPr>
                <w:sz w:val="20"/>
              </w:rPr>
            </w:pPr>
            <w:r>
              <w:rPr>
                <w:spacing w:val="-5"/>
                <w:sz w:val="20"/>
              </w:rPr>
              <w:t>16</w:t>
            </w:r>
          </w:p>
        </w:tc>
        <w:tc>
          <w:tcPr>
            <w:tcW w:w="944" w:type="dxa"/>
          </w:tcPr>
          <w:p>
            <w:pPr>
              <w:pStyle w:val="TableParagraph"/>
              <w:spacing w:before="16"/>
              <w:ind w:left="171"/>
              <w:jc w:val="left"/>
              <w:rPr>
                <w:sz w:val="20"/>
              </w:rPr>
            </w:pPr>
            <w:r>
              <w:rPr>
                <w:spacing w:val="-4"/>
                <w:sz w:val="20"/>
              </w:rPr>
              <w:t>1.50</w:t>
            </w:r>
          </w:p>
        </w:tc>
        <w:tc>
          <w:tcPr>
            <w:tcW w:w="793" w:type="dxa"/>
          </w:tcPr>
          <w:p>
            <w:pPr>
              <w:pStyle w:val="TableParagraph"/>
              <w:spacing w:before="16"/>
              <w:ind w:right="1"/>
              <w:rPr>
                <w:sz w:val="20"/>
              </w:rPr>
            </w:pPr>
            <w:r>
              <w:rPr>
                <w:spacing w:val="-5"/>
                <w:sz w:val="20"/>
              </w:rPr>
              <w:t>New</w:t>
            </w:r>
          </w:p>
        </w:tc>
      </w:tr>
      <w:tr>
        <w:trPr>
          <w:trHeight w:val="271" w:hRule="atLeast"/>
        </w:trPr>
        <w:tc>
          <w:tcPr>
            <w:tcW w:w="2319" w:type="dxa"/>
          </w:tcPr>
          <w:p>
            <w:pPr>
              <w:pStyle w:val="TableParagraph"/>
              <w:spacing w:before="18"/>
              <w:ind w:left="14"/>
              <w:jc w:val="left"/>
              <w:rPr>
                <w:sz w:val="20"/>
              </w:rPr>
            </w:pPr>
            <w:r>
              <w:rPr>
                <w:spacing w:val="-2"/>
                <w:sz w:val="20"/>
              </w:rPr>
              <w:t>Investigator</w:t>
            </w:r>
          </w:p>
        </w:tc>
        <w:tc>
          <w:tcPr>
            <w:tcW w:w="1645" w:type="dxa"/>
          </w:tcPr>
          <w:p>
            <w:pPr>
              <w:pStyle w:val="TableParagraph"/>
              <w:spacing w:before="18"/>
              <w:ind w:right="168"/>
              <w:rPr>
                <w:sz w:val="20"/>
              </w:rPr>
            </w:pPr>
            <w:r>
              <w:rPr>
                <w:spacing w:val="-2"/>
                <w:sz w:val="20"/>
              </w:rPr>
              <w:t>NO-</w:t>
            </w:r>
            <w:r>
              <w:rPr>
                <w:spacing w:val="-10"/>
                <w:sz w:val="20"/>
              </w:rPr>
              <w:t>C</w:t>
            </w:r>
          </w:p>
        </w:tc>
        <w:tc>
          <w:tcPr>
            <w:tcW w:w="857" w:type="dxa"/>
          </w:tcPr>
          <w:p>
            <w:pPr>
              <w:pStyle w:val="TableParagraph"/>
              <w:spacing w:before="18"/>
              <w:ind w:right="65"/>
              <w:rPr>
                <w:sz w:val="20"/>
              </w:rPr>
            </w:pPr>
            <w:r>
              <w:rPr>
                <w:w w:val="100"/>
                <w:sz w:val="20"/>
              </w:rPr>
              <w:t>3</w:t>
            </w:r>
          </w:p>
        </w:tc>
        <w:tc>
          <w:tcPr>
            <w:tcW w:w="837" w:type="dxa"/>
          </w:tcPr>
          <w:p>
            <w:pPr>
              <w:pStyle w:val="TableParagraph"/>
              <w:spacing w:before="18"/>
              <w:ind w:right="177"/>
              <w:rPr>
                <w:sz w:val="20"/>
              </w:rPr>
            </w:pPr>
            <w:r>
              <w:rPr>
                <w:spacing w:val="-5"/>
                <w:sz w:val="20"/>
              </w:rPr>
              <w:t>18</w:t>
            </w:r>
          </w:p>
        </w:tc>
        <w:tc>
          <w:tcPr>
            <w:tcW w:w="944" w:type="dxa"/>
          </w:tcPr>
          <w:p>
            <w:pPr>
              <w:pStyle w:val="TableParagraph"/>
              <w:spacing w:before="18"/>
              <w:ind w:left="171"/>
              <w:jc w:val="left"/>
              <w:rPr>
                <w:sz w:val="20"/>
              </w:rPr>
            </w:pPr>
            <w:r>
              <w:rPr>
                <w:spacing w:val="-4"/>
                <w:sz w:val="20"/>
              </w:rPr>
              <w:t>2.25</w:t>
            </w:r>
          </w:p>
        </w:tc>
        <w:tc>
          <w:tcPr>
            <w:tcW w:w="793" w:type="dxa"/>
          </w:tcPr>
          <w:p>
            <w:pPr>
              <w:pStyle w:val="TableParagraph"/>
              <w:spacing w:before="18"/>
              <w:ind w:right="1"/>
              <w:rPr>
                <w:sz w:val="20"/>
              </w:rPr>
            </w:pPr>
            <w:r>
              <w:rPr>
                <w:spacing w:val="-5"/>
                <w:sz w:val="20"/>
              </w:rPr>
              <w:t>New</w:t>
            </w:r>
          </w:p>
        </w:tc>
      </w:tr>
      <w:tr>
        <w:trPr>
          <w:trHeight w:val="268" w:hRule="atLeast"/>
        </w:trPr>
        <w:tc>
          <w:tcPr>
            <w:tcW w:w="2319" w:type="dxa"/>
          </w:tcPr>
          <w:p>
            <w:pPr>
              <w:pStyle w:val="TableParagraph"/>
              <w:spacing w:before="15"/>
              <w:ind w:left="14"/>
              <w:jc w:val="left"/>
              <w:rPr>
                <w:sz w:val="20"/>
              </w:rPr>
            </w:pPr>
            <w:r>
              <w:rPr>
                <w:sz w:val="20"/>
              </w:rPr>
              <w:t>Forensic</w:t>
            </w:r>
            <w:r>
              <w:rPr>
                <w:spacing w:val="-3"/>
                <w:sz w:val="20"/>
              </w:rPr>
              <w:t> </w:t>
            </w:r>
            <w:r>
              <w:rPr>
                <w:spacing w:val="-2"/>
                <w:sz w:val="20"/>
              </w:rPr>
              <w:t>Officer</w:t>
            </w:r>
          </w:p>
        </w:tc>
        <w:tc>
          <w:tcPr>
            <w:tcW w:w="1645" w:type="dxa"/>
          </w:tcPr>
          <w:p>
            <w:pPr>
              <w:pStyle w:val="TableParagraph"/>
              <w:spacing w:before="15"/>
              <w:ind w:right="168"/>
              <w:rPr>
                <w:sz w:val="20"/>
              </w:rPr>
            </w:pPr>
            <w:r>
              <w:rPr>
                <w:spacing w:val="-2"/>
                <w:sz w:val="20"/>
              </w:rPr>
              <w:t>NO-</w:t>
            </w:r>
            <w:r>
              <w:rPr>
                <w:spacing w:val="-10"/>
                <w:sz w:val="20"/>
              </w:rPr>
              <w:t>C</w:t>
            </w:r>
          </w:p>
        </w:tc>
        <w:tc>
          <w:tcPr>
            <w:tcW w:w="857" w:type="dxa"/>
          </w:tcPr>
          <w:p>
            <w:pPr>
              <w:pStyle w:val="TableParagraph"/>
              <w:spacing w:before="15"/>
              <w:ind w:right="65"/>
              <w:rPr>
                <w:sz w:val="20"/>
              </w:rPr>
            </w:pPr>
            <w:r>
              <w:rPr>
                <w:w w:val="100"/>
                <w:sz w:val="20"/>
              </w:rPr>
              <w:t>1</w:t>
            </w:r>
          </w:p>
        </w:tc>
        <w:tc>
          <w:tcPr>
            <w:tcW w:w="837" w:type="dxa"/>
          </w:tcPr>
          <w:p>
            <w:pPr>
              <w:pStyle w:val="TableParagraph"/>
              <w:spacing w:before="15"/>
              <w:ind w:right="177"/>
              <w:rPr>
                <w:sz w:val="20"/>
              </w:rPr>
            </w:pPr>
            <w:r>
              <w:rPr>
                <w:w w:val="100"/>
                <w:sz w:val="20"/>
              </w:rPr>
              <w:t>8</w:t>
            </w:r>
          </w:p>
        </w:tc>
        <w:tc>
          <w:tcPr>
            <w:tcW w:w="944" w:type="dxa"/>
          </w:tcPr>
          <w:p>
            <w:pPr>
              <w:pStyle w:val="TableParagraph"/>
              <w:spacing w:before="15"/>
              <w:ind w:left="171"/>
              <w:jc w:val="left"/>
              <w:rPr>
                <w:sz w:val="20"/>
              </w:rPr>
            </w:pPr>
            <w:r>
              <w:rPr>
                <w:spacing w:val="-4"/>
                <w:sz w:val="20"/>
              </w:rPr>
              <w:t>0.75</w:t>
            </w:r>
          </w:p>
        </w:tc>
        <w:tc>
          <w:tcPr>
            <w:tcW w:w="793" w:type="dxa"/>
          </w:tcPr>
          <w:p>
            <w:pPr>
              <w:pStyle w:val="TableParagraph"/>
              <w:spacing w:before="15"/>
              <w:ind w:right="1"/>
              <w:rPr>
                <w:sz w:val="20"/>
              </w:rPr>
            </w:pPr>
            <w:r>
              <w:rPr>
                <w:spacing w:val="-5"/>
                <w:sz w:val="20"/>
              </w:rPr>
              <w:t>New</w:t>
            </w:r>
          </w:p>
        </w:tc>
      </w:tr>
      <w:tr>
        <w:trPr>
          <w:trHeight w:val="264" w:hRule="atLeast"/>
        </w:trPr>
        <w:tc>
          <w:tcPr>
            <w:tcW w:w="2319" w:type="dxa"/>
            <w:tcBorders>
              <w:bottom w:val="single" w:sz="4" w:space="0" w:color="000000"/>
            </w:tcBorders>
          </w:tcPr>
          <w:p>
            <w:pPr>
              <w:pStyle w:val="TableParagraph"/>
              <w:spacing w:line="229" w:lineRule="exact" w:before="15"/>
              <w:ind w:left="14"/>
              <w:jc w:val="left"/>
              <w:rPr>
                <w:sz w:val="20"/>
              </w:rPr>
            </w:pPr>
            <w:r>
              <w:rPr>
                <w:sz w:val="20"/>
              </w:rPr>
              <w:t>Country</w:t>
            </w:r>
            <w:r>
              <w:rPr>
                <w:spacing w:val="-8"/>
                <w:sz w:val="20"/>
              </w:rPr>
              <w:t> </w:t>
            </w:r>
            <w:r>
              <w:rPr>
                <w:spacing w:val="-2"/>
                <w:sz w:val="20"/>
              </w:rPr>
              <w:t>Expert</w:t>
            </w:r>
          </w:p>
        </w:tc>
        <w:tc>
          <w:tcPr>
            <w:tcW w:w="1645" w:type="dxa"/>
            <w:tcBorders>
              <w:bottom w:val="single" w:sz="4" w:space="0" w:color="000000"/>
            </w:tcBorders>
          </w:tcPr>
          <w:p>
            <w:pPr>
              <w:pStyle w:val="TableParagraph"/>
              <w:spacing w:line="229" w:lineRule="exact" w:before="15"/>
              <w:ind w:right="168"/>
              <w:rPr>
                <w:sz w:val="20"/>
              </w:rPr>
            </w:pPr>
            <w:r>
              <w:rPr>
                <w:spacing w:val="-2"/>
                <w:sz w:val="20"/>
              </w:rPr>
              <w:t>NO-</w:t>
            </w:r>
            <w:r>
              <w:rPr>
                <w:spacing w:val="-10"/>
                <w:sz w:val="20"/>
              </w:rPr>
              <w:t>C</w:t>
            </w:r>
          </w:p>
        </w:tc>
        <w:tc>
          <w:tcPr>
            <w:tcW w:w="857" w:type="dxa"/>
            <w:tcBorders>
              <w:bottom w:val="single" w:sz="4" w:space="0" w:color="000000"/>
            </w:tcBorders>
          </w:tcPr>
          <w:p>
            <w:pPr>
              <w:pStyle w:val="TableParagraph"/>
              <w:spacing w:line="229" w:lineRule="exact" w:before="15"/>
              <w:ind w:right="65"/>
              <w:rPr>
                <w:sz w:val="20"/>
              </w:rPr>
            </w:pPr>
            <w:r>
              <w:rPr>
                <w:w w:val="100"/>
                <w:sz w:val="20"/>
              </w:rPr>
              <w:t>1</w:t>
            </w:r>
          </w:p>
        </w:tc>
        <w:tc>
          <w:tcPr>
            <w:tcW w:w="837" w:type="dxa"/>
            <w:tcBorders>
              <w:bottom w:val="single" w:sz="4" w:space="0" w:color="000000"/>
            </w:tcBorders>
          </w:tcPr>
          <w:p>
            <w:pPr>
              <w:pStyle w:val="TableParagraph"/>
              <w:spacing w:line="229" w:lineRule="exact" w:before="15"/>
              <w:ind w:right="177"/>
              <w:rPr>
                <w:sz w:val="20"/>
              </w:rPr>
            </w:pPr>
            <w:r>
              <w:rPr>
                <w:w w:val="100"/>
                <w:sz w:val="20"/>
              </w:rPr>
              <w:t>8</w:t>
            </w:r>
          </w:p>
        </w:tc>
        <w:tc>
          <w:tcPr>
            <w:tcW w:w="944" w:type="dxa"/>
            <w:tcBorders>
              <w:bottom w:val="single" w:sz="4" w:space="0" w:color="000000"/>
            </w:tcBorders>
          </w:tcPr>
          <w:p>
            <w:pPr>
              <w:pStyle w:val="TableParagraph"/>
              <w:spacing w:line="229" w:lineRule="exact" w:before="15"/>
              <w:ind w:left="171"/>
              <w:jc w:val="left"/>
              <w:rPr>
                <w:sz w:val="20"/>
              </w:rPr>
            </w:pPr>
            <w:r>
              <w:rPr>
                <w:spacing w:val="-4"/>
                <w:sz w:val="20"/>
              </w:rPr>
              <w:t>0.75</w:t>
            </w:r>
          </w:p>
        </w:tc>
        <w:tc>
          <w:tcPr>
            <w:tcW w:w="793" w:type="dxa"/>
            <w:tcBorders>
              <w:bottom w:val="single" w:sz="4" w:space="0" w:color="000000"/>
            </w:tcBorders>
          </w:tcPr>
          <w:p>
            <w:pPr>
              <w:pStyle w:val="TableParagraph"/>
              <w:spacing w:line="229" w:lineRule="exact" w:before="15"/>
              <w:ind w:right="1"/>
              <w:rPr>
                <w:sz w:val="20"/>
              </w:rPr>
            </w:pPr>
            <w:r>
              <w:rPr>
                <w:spacing w:val="-5"/>
                <w:sz w:val="20"/>
              </w:rPr>
              <w:t>New</w:t>
            </w:r>
          </w:p>
        </w:tc>
      </w:tr>
      <w:tr>
        <w:trPr>
          <w:trHeight w:val="273" w:hRule="atLeast"/>
        </w:trPr>
        <w:tc>
          <w:tcPr>
            <w:tcW w:w="2319" w:type="dxa"/>
            <w:tcBorders>
              <w:top w:val="single" w:sz="4" w:space="0" w:color="000000"/>
              <w:bottom w:val="single" w:sz="4" w:space="0" w:color="000000"/>
            </w:tcBorders>
          </w:tcPr>
          <w:p>
            <w:pPr>
              <w:pStyle w:val="TableParagraph"/>
              <w:spacing w:line="229" w:lineRule="exact" w:before="24"/>
              <w:ind w:left="14"/>
              <w:jc w:val="left"/>
              <w:rPr>
                <w:b/>
                <w:sz w:val="20"/>
              </w:rPr>
            </w:pPr>
            <w:r>
              <w:rPr>
                <w:b/>
                <w:spacing w:val="-2"/>
                <w:sz w:val="20"/>
              </w:rPr>
              <w:t>Total</w:t>
            </w:r>
          </w:p>
        </w:tc>
        <w:tc>
          <w:tcPr>
            <w:tcW w:w="1645" w:type="dxa"/>
            <w:tcBorders>
              <w:top w:val="single" w:sz="4" w:space="0" w:color="000000"/>
              <w:bottom w:val="single" w:sz="4" w:space="0" w:color="000000"/>
            </w:tcBorders>
          </w:tcPr>
          <w:p>
            <w:pPr>
              <w:pStyle w:val="TableParagraph"/>
              <w:jc w:val="left"/>
              <w:rPr>
                <w:sz w:val="18"/>
              </w:rPr>
            </w:pPr>
          </w:p>
        </w:tc>
        <w:tc>
          <w:tcPr>
            <w:tcW w:w="857" w:type="dxa"/>
            <w:tcBorders>
              <w:top w:val="single" w:sz="4" w:space="0" w:color="000000"/>
              <w:bottom w:val="single" w:sz="4" w:space="0" w:color="000000"/>
            </w:tcBorders>
          </w:tcPr>
          <w:p>
            <w:pPr>
              <w:pStyle w:val="TableParagraph"/>
              <w:spacing w:line="229" w:lineRule="exact" w:before="24"/>
              <w:ind w:right="65"/>
              <w:rPr>
                <w:b/>
                <w:sz w:val="20"/>
              </w:rPr>
            </w:pPr>
            <w:r>
              <w:rPr>
                <w:b/>
                <w:w w:val="100"/>
                <w:sz w:val="20"/>
              </w:rPr>
              <w:t>7</w:t>
            </w:r>
          </w:p>
        </w:tc>
        <w:tc>
          <w:tcPr>
            <w:tcW w:w="837" w:type="dxa"/>
            <w:tcBorders>
              <w:top w:val="single" w:sz="4" w:space="0" w:color="000000"/>
              <w:bottom w:val="single" w:sz="4" w:space="0" w:color="000000"/>
            </w:tcBorders>
          </w:tcPr>
          <w:p>
            <w:pPr>
              <w:pStyle w:val="TableParagraph"/>
              <w:spacing w:line="229" w:lineRule="exact" w:before="24"/>
              <w:ind w:right="177"/>
              <w:rPr>
                <w:b/>
                <w:sz w:val="20"/>
              </w:rPr>
            </w:pPr>
            <w:r>
              <w:rPr>
                <w:b/>
                <w:spacing w:val="-5"/>
                <w:sz w:val="20"/>
              </w:rPr>
              <w:t>56</w:t>
            </w:r>
          </w:p>
        </w:tc>
        <w:tc>
          <w:tcPr>
            <w:tcW w:w="944" w:type="dxa"/>
            <w:tcBorders>
              <w:top w:val="single" w:sz="4" w:space="0" w:color="000000"/>
              <w:bottom w:val="single" w:sz="4" w:space="0" w:color="000000"/>
            </w:tcBorders>
          </w:tcPr>
          <w:p>
            <w:pPr>
              <w:pStyle w:val="TableParagraph"/>
              <w:spacing w:line="229" w:lineRule="exact" w:before="24"/>
              <w:ind w:left="171"/>
              <w:jc w:val="left"/>
              <w:rPr>
                <w:b/>
                <w:sz w:val="20"/>
              </w:rPr>
            </w:pPr>
            <w:r>
              <w:rPr>
                <w:b/>
                <w:spacing w:val="-4"/>
                <w:sz w:val="20"/>
              </w:rPr>
              <w:t>4.67</w:t>
            </w:r>
          </w:p>
        </w:tc>
        <w:tc>
          <w:tcPr>
            <w:tcW w:w="793" w:type="dxa"/>
            <w:tcBorders>
              <w:top w:val="single" w:sz="4" w:space="0" w:color="000000"/>
              <w:bottom w:val="single" w:sz="4" w:space="0" w:color="000000"/>
            </w:tcBorders>
          </w:tcPr>
          <w:p>
            <w:pPr>
              <w:pStyle w:val="TableParagraph"/>
              <w:jc w:val="left"/>
              <w:rPr>
                <w:sz w:val="18"/>
              </w:rPr>
            </w:pPr>
          </w:p>
        </w:tc>
      </w:tr>
    </w:tbl>
    <w:p>
      <w:pPr>
        <w:pStyle w:val="BodyText"/>
        <w:spacing w:before="2"/>
        <w:rPr>
          <w:sz w:val="21"/>
        </w:rPr>
      </w:pPr>
    </w:p>
    <w:p>
      <w:pPr>
        <w:pStyle w:val="Heading3"/>
        <w:tabs>
          <w:tab w:pos="8076" w:val="left" w:leader="none"/>
        </w:tabs>
      </w:pPr>
      <w:r>
        <w:rPr/>
        <w:t>Non-staff</w:t>
      </w:r>
      <w:r>
        <w:rPr>
          <w:spacing w:val="-4"/>
        </w:rPr>
        <w:t> </w:t>
      </w:r>
      <w:r>
        <w:rPr>
          <w:spacing w:val="-2"/>
        </w:rPr>
        <w:t>resources</w:t>
      </w:r>
      <w:r>
        <w:rPr/>
        <w:tab/>
        <w:t>€1,120.1</w:t>
      </w:r>
      <w:r>
        <w:rPr>
          <w:spacing w:val="-6"/>
        </w:rPr>
        <w:t> </w:t>
      </w:r>
      <w:r>
        <w:rPr>
          <w:spacing w:val="-2"/>
        </w:rPr>
        <w:t>thousand</w:t>
      </w:r>
    </w:p>
    <w:p>
      <w:pPr>
        <w:pStyle w:val="BodyText"/>
        <w:spacing w:before="11"/>
        <w:rPr>
          <w:b/>
        </w:rPr>
      </w:pPr>
    </w:p>
    <w:p>
      <w:pPr>
        <w:pStyle w:val="ListParagraph"/>
        <w:numPr>
          <w:ilvl w:val="0"/>
          <w:numId w:val="4"/>
        </w:numPr>
        <w:tabs>
          <w:tab w:pos="2967" w:val="left" w:leader="none"/>
        </w:tabs>
        <w:spacing w:line="240" w:lineRule="auto" w:before="0" w:after="0"/>
        <w:ind w:left="2246" w:right="2246" w:firstLine="0"/>
        <w:jc w:val="both"/>
        <w:rPr>
          <w:sz w:val="20"/>
        </w:rPr>
      </w:pPr>
      <w:r>
        <w:rPr>
          <w:sz w:val="20"/>
        </w:rPr>
        <w:t>Non-staff resources are requested for travel, hospitality, contractual services, training and consultants. The requested resources are recurrent unless otherwise indicated.</w:t>
      </w:r>
    </w:p>
    <w:p>
      <w:pPr>
        <w:pStyle w:val="BodyText"/>
        <w:spacing w:before="10"/>
      </w:pPr>
    </w:p>
    <w:p>
      <w:pPr>
        <w:tabs>
          <w:tab w:pos="8282" w:val="left" w:leader="none"/>
        </w:tabs>
        <w:spacing w:before="1"/>
        <w:ind w:left="2246" w:right="0" w:firstLine="0"/>
        <w:jc w:val="left"/>
        <w:rPr>
          <w:i/>
          <w:sz w:val="20"/>
        </w:rPr>
      </w:pPr>
      <w:r>
        <w:rPr>
          <w:i/>
          <w:spacing w:val="-2"/>
          <w:sz w:val="20"/>
        </w:rPr>
        <w:t>Travel</w:t>
      </w:r>
      <w:r>
        <w:rPr>
          <w:i/>
          <w:sz w:val="20"/>
        </w:rPr>
        <w:tab/>
        <w:t>€515.1</w:t>
      </w:r>
      <w:r>
        <w:rPr>
          <w:i/>
          <w:spacing w:val="-3"/>
          <w:sz w:val="20"/>
        </w:rPr>
        <w:t> </w:t>
      </w:r>
      <w:r>
        <w:rPr>
          <w:i/>
          <w:spacing w:val="-2"/>
          <w:sz w:val="20"/>
        </w:rPr>
        <w:t>thousand</w:t>
      </w:r>
    </w:p>
    <w:p>
      <w:pPr>
        <w:pStyle w:val="BodyText"/>
        <w:spacing w:before="5"/>
        <w:rPr>
          <w:i/>
        </w:rPr>
      </w:pPr>
    </w:p>
    <w:p>
      <w:pPr>
        <w:pStyle w:val="ListParagraph"/>
        <w:numPr>
          <w:ilvl w:val="0"/>
          <w:numId w:val="4"/>
        </w:numPr>
        <w:tabs>
          <w:tab w:pos="2967" w:val="left" w:leader="none"/>
        </w:tabs>
        <w:spacing w:line="240" w:lineRule="auto" w:before="0" w:after="0"/>
        <w:ind w:left="2246" w:right="2246" w:firstLine="0"/>
        <w:jc w:val="both"/>
        <w:rPr>
          <w:sz w:val="20"/>
        </w:rPr>
      </w:pPr>
      <w:r>
        <w:rPr>
          <w:sz w:val="20"/>
        </w:rPr>
        <w:t>In order to foster political support and enhance cooperation among States Parties, non-States Parties, international organizations, other cooperation partners and affected communities</w:t>
      </w:r>
      <w:r>
        <w:rPr>
          <w:spacing w:val="-10"/>
          <w:sz w:val="20"/>
        </w:rPr>
        <w:t> </w:t>
      </w:r>
      <w:r>
        <w:rPr>
          <w:sz w:val="20"/>
        </w:rPr>
        <w:t>it</w:t>
      </w:r>
      <w:r>
        <w:rPr>
          <w:spacing w:val="-7"/>
          <w:sz w:val="20"/>
        </w:rPr>
        <w:t> </w:t>
      </w:r>
      <w:r>
        <w:rPr>
          <w:sz w:val="20"/>
        </w:rPr>
        <w:t>is</w:t>
      </w:r>
      <w:r>
        <w:rPr>
          <w:spacing w:val="-5"/>
          <w:sz w:val="20"/>
        </w:rPr>
        <w:t> </w:t>
      </w:r>
      <w:r>
        <w:rPr>
          <w:sz w:val="20"/>
        </w:rPr>
        <w:t>necessary</w:t>
      </w:r>
      <w:r>
        <w:rPr>
          <w:spacing w:val="-4"/>
          <w:sz w:val="20"/>
        </w:rPr>
        <w:t> </w:t>
      </w:r>
      <w:r>
        <w:rPr>
          <w:sz w:val="20"/>
        </w:rPr>
        <w:t>for</w:t>
      </w:r>
      <w:r>
        <w:rPr>
          <w:spacing w:val="-4"/>
          <w:sz w:val="20"/>
        </w:rPr>
        <w:t> </w:t>
      </w:r>
      <w:r>
        <w:rPr>
          <w:sz w:val="20"/>
        </w:rPr>
        <w:t>the</w:t>
      </w:r>
      <w:r>
        <w:rPr>
          <w:spacing w:val="-2"/>
          <w:sz w:val="20"/>
        </w:rPr>
        <w:t> </w:t>
      </w:r>
      <w:r>
        <w:rPr>
          <w:sz w:val="20"/>
        </w:rPr>
        <w:t>Prosecutor</w:t>
      </w:r>
      <w:r>
        <w:rPr>
          <w:spacing w:val="-8"/>
          <w:sz w:val="20"/>
        </w:rPr>
        <w:t> </w:t>
      </w:r>
      <w:r>
        <w:rPr>
          <w:sz w:val="20"/>
        </w:rPr>
        <w:t>to</w:t>
      </w:r>
      <w:r>
        <w:rPr>
          <w:spacing w:val="-8"/>
          <w:sz w:val="20"/>
        </w:rPr>
        <w:t> </w:t>
      </w:r>
      <w:r>
        <w:rPr>
          <w:sz w:val="20"/>
        </w:rPr>
        <w:t>undertake</w:t>
      </w:r>
      <w:r>
        <w:rPr>
          <w:spacing w:val="-7"/>
          <w:sz w:val="20"/>
        </w:rPr>
        <w:t> </w:t>
      </w:r>
      <w:r>
        <w:rPr>
          <w:sz w:val="20"/>
        </w:rPr>
        <w:t>missions</w:t>
      </w:r>
      <w:r>
        <w:rPr>
          <w:spacing w:val="-5"/>
          <w:sz w:val="20"/>
        </w:rPr>
        <w:t> </w:t>
      </w:r>
      <w:r>
        <w:rPr>
          <w:sz w:val="20"/>
        </w:rPr>
        <w:t>abroad.</w:t>
      </w:r>
      <w:r>
        <w:rPr>
          <w:spacing w:val="-6"/>
          <w:sz w:val="20"/>
        </w:rPr>
        <w:t> </w:t>
      </w:r>
      <w:r>
        <w:rPr>
          <w:sz w:val="20"/>
        </w:rPr>
        <w:t>In</w:t>
      </w:r>
      <w:r>
        <w:rPr>
          <w:spacing w:val="-4"/>
          <w:sz w:val="20"/>
        </w:rPr>
        <w:t> </w:t>
      </w:r>
      <w:r>
        <w:rPr>
          <w:sz w:val="20"/>
        </w:rPr>
        <w:t>doing</w:t>
      </w:r>
      <w:r>
        <w:rPr>
          <w:spacing w:val="-8"/>
          <w:sz w:val="20"/>
        </w:rPr>
        <w:t> </w:t>
      </w:r>
      <w:r>
        <w:rPr>
          <w:sz w:val="20"/>
        </w:rPr>
        <w:t>so,</w:t>
      </w:r>
      <w:r>
        <w:rPr>
          <w:spacing w:val="-6"/>
          <w:sz w:val="20"/>
        </w:rPr>
        <w:t> </w:t>
      </w:r>
      <w:r>
        <w:rPr>
          <w:sz w:val="20"/>
        </w:rPr>
        <w:t>the Prosecutor seeks to further the Office’s investigations and efforts to arrest and prosecute individuals sought by the Court, thereby maximizing the impact of the Rome Statute.</w:t>
      </w:r>
    </w:p>
    <w:p>
      <w:pPr>
        <w:pStyle w:val="ListParagraph"/>
        <w:numPr>
          <w:ilvl w:val="0"/>
          <w:numId w:val="4"/>
        </w:numPr>
        <w:tabs>
          <w:tab w:pos="2967" w:val="left" w:leader="none"/>
        </w:tabs>
        <w:spacing w:line="240" w:lineRule="auto" w:before="123" w:after="0"/>
        <w:ind w:left="2246" w:right="2243" w:firstLine="0"/>
        <w:jc w:val="both"/>
        <w:rPr>
          <w:sz w:val="20"/>
        </w:rPr>
      </w:pPr>
      <w:r>
        <w:rPr>
          <w:sz w:val="20"/>
        </w:rPr>
        <w:t>In many instances, personal high-level engagement directly by the Prosecutor has yielded positive results in further advancing investigations and prosecutions, and generally</w:t>
      </w:r>
    </w:p>
    <w:p>
      <w:pPr>
        <w:pStyle w:val="BodyText"/>
        <w:spacing w:before="11"/>
        <w:rPr>
          <w:sz w:val="12"/>
        </w:rPr>
      </w:pPr>
      <w:r>
        <w:rPr/>
        <w:pict>
          <v:rect style="position:absolute;margin-left:113.330002pt;margin-top:8.659698pt;width:144.050pt;height:.47998pt;mso-position-horizontal-relative:page;mso-position-vertical-relative:paragraph;z-index:-15704576;mso-wrap-distance-left:0;mso-wrap-distance-right:0" id="docshape125" filled="true" fillcolor="#000000" stroked="false">
            <v:fill type="solid"/>
            <w10:wrap type="topAndBottom"/>
          </v:rect>
        </w:pict>
      </w:r>
    </w:p>
    <w:p>
      <w:pPr>
        <w:spacing w:before="86"/>
        <w:ind w:left="2246" w:right="0" w:firstLine="0"/>
        <w:jc w:val="left"/>
        <w:rPr>
          <w:sz w:val="16"/>
        </w:rPr>
      </w:pPr>
      <w:r>
        <w:rPr>
          <w:position w:val="5"/>
          <w:sz w:val="10"/>
        </w:rPr>
        <w:t>72</w:t>
      </w:r>
      <w:r>
        <w:rPr>
          <w:spacing w:val="12"/>
          <w:position w:val="5"/>
          <w:sz w:val="10"/>
        </w:rPr>
        <w:t> </w:t>
      </w:r>
      <w:r>
        <w:rPr>
          <w:sz w:val="16"/>
        </w:rPr>
        <w:t>One</w:t>
      </w:r>
      <w:r>
        <w:rPr>
          <w:spacing w:val="-3"/>
          <w:sz w:val="16"/>
        </w:rPr>
        <w:t> </w:t>
      </w:r>
      <w:r>
        <w:rPr>
          <w:sz w:val="16"/>
        </w:rPr>
        <w:t>Trial</w:t>
      </w:r>
      <w:r>
        <w:rPr>
          <w:spacing w:val="-1"/>
          <w:sz w:val="16"/>
        </w:rPr>
        <w:t> </w:t>
      </w:r>
      <w:r>
        <w:rPr>
          <w:sz w:val="16"/>
        </w:rPr>
        <w:t>Lawyer</w:t>
      </w:r>
      <w:r>
        <w:rPr>
          <w:spacing w:val="-4"/>
          <w:sz w:val="16"/>
        </w:rPr>
        <w:t> </w:t>
      </w:r>
      <w:r>
        <w:rPr>
          <w:sz w:val="16"/>
        </w:rPr>
        <w:t>P-4</w:t>
      </w:r>
      <w:r>
        <w:rPr>
          <w:spacing w:val="-2"/>
          <w:sz w:val="16"/>
        </w:rPr>
        <w:t> </w:t>
      </w:r>
      <w:r>
        <w:rPr>
          <w:sz w:val="16"/>
        </w:rPr>
        <w:t>is requested</w:t>
      </w:r>
      <w:r>
        <w:rPr>
          <w:spacing w:val="-2"/>
          <w:sz w:val="16"/>
        </w:rPr>
        <w:t> </w:t>
      </w:r>
      <w:r>
        <w:rPr>
          <w:sz w:val="16"/>
        </w:rPr>
        <w:t>to</w:t>
      </w:r>
      <w:r>
        <w:rPr>
          <w:spacing w:val="-2"/>
          <w:sz w:val="16"/>
        </w:rPr>
        <w:t> </w:t>
      </w:r>
      <w:r>
        <w:rPr>
          <w:sz w:val="16"/>
        </w:rPr>
        <w:t>be</w:t>
      </w:r>
      <w:r>
        <w:rPr>
          <w:spacing w:val="-4"/>
          <w:sz w:val="16"/>
        </w:rPr>
        <w:t> </w:t>
      </w:r>
      <w:r>
        <w:rPr>
          <w:sz w:val="16"/>
        </w:rPr>
        <w:t>continued</w:t>
      </w:r>
      <w:r>
        <w:rPr>
          <w:spacing w:val="-2"/>
          <w:sz w:val="16"/>
        </w:rPr>
        <w:t> </w:t>
      </w:r>
      <w:r>
        <w:rPr>
          <w:sz w:val="16"/>
        </w:rPr>
        <w:t>in</w:t>
      </w:r>
      <w:r>
        <w:rPr>
          <w:spacing w:val="-2"/>
          <w:sz w:val="16"/>
        </w:rPr>
        <w:t> </w:t>
      </w:r>
      <w:r>
        <w:rPr>
          <w:spacing w:val="-4"/>
          <w:sz w:val="16"/>
        </w:rPr>
        <w:t>2023.</w:t>
      </w:r>
    </w:p>
    <w:p>
      <w:pPr>
        <w:spacing w:before="3"/>
        <w:ind w:left="2246" w:right="2195" w:firstLine="0"/>
        <w:jc w:val="left"/>
        <w:rPr>
          <w:sz w:val="16"/>
        </w:rPr>
      </w:pPr>
      <w:r>
        <w:rPr>
          <w:position w:val="5"/>
          <w:sz w:val="10"/>
        </w:rPr>
        <w:t>73</w:t>
      </w:r>
      <w:r>
        <w:rPr>
          <w:spacing w:val="23"/>
          <w:position w:val="5"/>
          <w:sz w:val="10"/>
        </w:rPr>
        <w:t> </w:t>
      </w:r>
      <w:r>
        <w:rPr>
          <w:sz w:val="16"/>
        </w:rPr>
        <w:t>Other resources in support functions will be allocated to the field office or to the HQ. The number and roles of</w:t>
      </w:r>
      <w:r>
        <w:rPr>
          <w:spacing w:val="40"/>
          <w:sz w:val="16"/>
        </w:rPr>
        <w:t> </w:t>
      </w:r>
      <w:r>
        <w:rPr>
          <w:sz w:val="16"/>
        </w:rPr>
        <w:t>these other resources can be found in the Integrated Services Division section of this narrative.</w:t>
      </w:r>
    </w:p>
    <w:p>
      <w:pPr>
        <w:spacing w:line="181" w:lineRule="exact" w:before="0"/>
        <w:ind w:left="2246" w:right="0" w:firstLine="0"/>
        <w:jc w:val="left"/>
        <w:rPr>
          <w:sz w:val="16"/>
        </w:rPr>
      </w:pPr>
      <w:r>
        <w:rPr>
          <w:position w:val="5"/>
          <w:sz w:val="10"/>
        </w:rPr>
        <w:t>74</w:t>
      </w:r>
      <w:r>
        <w:rPr>
          <w:spacing w:val="12"/>
          <w:position w:val="5"/>
          <w:sz w:val="10"/>
        </w:rPr>
        <w:t> </w:t>
      </w:r>
      <w:r>
        <w:rPr>
          <w:sz w:val="16"/>
        </w:rPr>
        <w:t>See</w:t>
      </w:r>
      <w:r>
        <w:rPr>
          <w:spacing w:val="-3"/>
          <w:sz w:val="16"/>
        </w:rPr>
        <w:t> </w:t>
      </w:r>
      <w:r>
        <w:rPr>
          <w:sz w:val="16"/>
        </w:rPr>
        <w:t>Established</w:t>
      </w:r>
      <w:r>
        <w:rPr>
          <w:spacing w:val="-2"/>
          <w:sz w:val="16"/>
        </w:rPr>
        <w:t> </w:t>
      </w:r>
      <w:r>
        <w:rPr>
          <w:sz w:val="16"/>
        </w:rPr>
        <w:t>post</w:t>
      </w:r>
      <w:r>
        <w:rPr>
          <w:spacing w:val="-5"/>
          <w:sz w:val="16"/>
        </w:rPr>
        <w:t> </w:t>
      </w:r>
      <w:r>
        <w:rPr>
          <w:spacing w:val="-4"/>
          <w:sz w:val="16"/>
        </w:rPr>
        <w:t>list.</w:t>
      </w:r>
    </w:p>
    <w:p>
      <w:pPr>
        <w:spacing w:after="0" w:line="181" w:lineRule="exact"/>
        <w:jc w:val="left"/>
        <w:rPr>
          <w:sz w:val="16"/>
        </w:rPr>
        <w:sectPr>
          <w:pgSz w:w="11910" w:h="16840"/>
          <w:pgMar w:header="953" w:footer="940" w:top="1140" w:bottom="1140" w:left="20" w:right="20"/>
        </w:sectPr>
      </w:pPr>
    </w:p>
    <w:p>
      <w:pPr>
        <w:pStyle w:val="BodyText"/>
        <w:spacing w:before="120"/>
        <w:ind w:left="2246" w:right="2241"/>
        <w:jc w:val="both"/>
      </w:pPr>
      <w:r>
        <w:rPr/>
        <w:t>building critical diplomatic and political support, by helping to address concerns and questions at the highest levels of decision-making.</w:t>
      </w:r>
      <w:r>
        <w:rPr>
          <w:spacing w:val="-1"/>
        </w:rPr>
        <w:t> </w:t>
      </w:r>
      <w:r>
        <w:rPr/>
        <w:t>The Prosecutor occasionally participates in other</w:t>
      </w:r>
      <w:r>
        <w:rPr>
          <w:spacing w:val="-4"/>
        </w:rPr>
        <w:t> </w:t>
      </w:r>
      <w:r>
        <w:rPr/>
        <w:t>international</w:t>
      </w:r>
      <w:r>
        <w:rPr>
          <w:spacing w:val="-2"/>
        </w:rPr>
        <w:t> </w:t>
      </w:r>
      <w:r>
        <w:rPr/>
        <w:t>events where strategic</w:t>
      </w:r>
      <w:r>
        <w:rPr>
          <w:spacing w:val="-2"/>
        </w:rPr>
        <w:t> </w:t>
      </w:r>
      <w:r>
        <w:rPr/>
        <w:t>benefits for</w:t>
      </w:r>
      <w:r>
        <w:rPr>
          <w:spacing w:val="-4"/>
        </w:rPr>
        <w:t> </w:t>
      </w:r>
      <w:r>
        <w:rPr/>
        <w:t>the</w:t>
      </w:r>
      <w:r>
        <w:rPr>
          <w:spacing w:val="-7"/>
        </w:rPr>
        <w:t> </w:t>
      </w:r>
      <w:r>
        <w:rPr/>
        <w:t>Office</w:t>
      </w:r>
      <w:r>
        <w:rPr>
          <w:spacing w:val="-2"/>
        </w:rPr>
        <w:t> </w:t>
      </w:r>
      <w:r>
        <w:rPr/>
        <w:t>are</w:t>
      </w:r>
      <w:r>
        <w:rPr>
          <w:spacing w:val="-2"/>
        </w:rPr>
        <w:t> </w:t>
      </w:r>
      <w:r>
        <w:rPr/>
        <w:t>identified</w:t>
      </w:r>
      <w:r>
        <w:rPr>
          <w:spacing w:val="-4"/>
        </w:rPr>
        <w:t> </w:t>
      </w:r>
      <w:r>
        <w:rPr/>
        <w:t>and,</w:t>
      </w:r>
      <w:r>
        <w:rPr>
          <w:spacing w:val="-1"/>
        </w:rPr>
        <w:t> </w:t>
      </w:r>
      <w:r>
        <w:rPr/>
        <w:t>with</w:t>
      </w:r>
      <w:r>
        <w:rPr>
          <w:spacing w:val="-4"/>
        </w:rPr>
        <w:t> </w:t>
      </w:r>
      <w:r>
        <w:rPr/>
        <w:t>a view to limiting the travel budget, where costs are covered by the organizers independently of the Office. The travel budget also covers limited missions by PIU and travel by external special</w:t>
      </w:r>
      <w:r>
        <w:rPr>
          <w:spacing w:val="-7"/>
        </w:rPr>
        <w:t> </w:t>
      </w:r>
      <w:r>
        <w:rPr/>
        <w:t>advisers</w:t>
      </w:r>
      <w:r>
        <w:rPr>
          <w:spacing w:val="-5"/>
        </w:rPr>
        <w:t> </w:t>
      </w:r>
      <w:r>
        <w:rPr/>
        <w:t>to</w:t>
      </w:r>
      <w:r>
        <w:rPr>
          <w:spacing w:val="-4"/>
        </w:rPr>
        <w:t> </w:t>
      </w:r>
      <w:r>
        <w:rPr/>
        <w:t>the</w:t>
      </w:r>
      <w:r>
        <w:rPr>
          <w:spacing w:val="-2"/>
        </w:rPr>
        <w:t> </w:t>
      </w:r>
      <w:r>
        <w:rPr/>
        <w:t>Prosecutor</w:t>
      </w:r>
      <w:r>
        <w:rPr>
          <w:spacing w:val="-8"/>
        </w:rPr>
        <w:t> </w:t>
      </w:r>
      <w:r>
        <w:rPr/>
        <w:t>appointed</w:t>
      </w:r>
      <w:r>
        <w:rPr>
          <w:spacing w:val="-4"/>
        </w:rPr>
        <w:t> </w:t>
      </w:r>
      <w:r>
        <w:rPr/>
        <w:t>under</w:t>
      </w:r>
      <w:r>
        <w:rPr>
          <w:spacing w:val="-4"/>
        </w:rPr>
        <w:t> </w:t>
      </w:r>
      <w:r>
        <w:rPr/>
        <w:t>article</w:t>
      </w:r>
      <w:r>
        <w:rPr>
          <w:spacing w:val="-2"/>
        </w:rPr>
        <w:t> </w:t>
      </w:r>
      <w:r>
        <w:rPr/>
        <w:t>42(9) of</w:t>
      </w:r>
      <w:r>
        <w:rPr>
          <w:spacing w:val="-8"/>
        </w:rPr>
        <w:t> </w:t>
      </w:r>
      <w:r>
        <w:rPr/>
        <w:t>the</w:t>
      </w:r>
      <w:r>
        <w:rPr>
          <w:spacing w:val="-2"/>
        </w:rPr>
        <w:t> </w:t>
      </w:r>
      <w:r>
        <w:rPr/>
        <w:t>Rome</w:t>
      </w:r>
      <w:r>
        <w:rPr>
          <w:spacing w:val="-2"/>
        </w:rPr>
        <w:t> </w:t>
      </w:r>
      <w:r>
        <w:rPr/>
        <w:t>Statute</w:t>
      </w:r>
      <w:r>
        <w:rPr>
          <w:spacing w:val="-2"/>
        </w:rPr>
        <w:t> </w:t>
      </w:r>
      <w:r>
        <w:rPr/>
        <w:t>who,</w:t>
      </w:r>
      <w:r>
        <w:rPr>
          <w:spacing w:val="-1"/>
        </w:rPr>
        <w:t> </w:t>
      </w:r>
      <w:r>
        <w:rPr/>
        <w:t>by virtue of their mandate, are occasionally required to travel to the seat of the Court.</w:t>
      </w:r>
    </w:p>
    <w:p>
      <w:pPr>
        <w:pStyle w:val="ListParagraph"/>
        <w:numPr>
          <w:ilvl w:val="0"/>
          <w:numId w:val="4"/>
        </w:numPr>
        <w:tabs>
          <w:tab w:pos="2967" w:val="left" w:leader="none"/>
        </w:tabs>
        <w:spacing w:line="240" w:lineRule="auto" w:before="124" w:after="0"/>
        <w:ind w:left="2246" w:right="2239" w:firstLine="0"/>
        <w:jc w:val="both"/>
        <w:rPr>
          <w:sz w:val="20"/>
        </w:rPr>
      </w:pPr>
      <w:r>
        <w:rPr>
          <w:sz w:val="20"/>
        </w:rPr>
        <w:t>OEA</w:t>
      </w:r>
      <w:r>
        <w:rPr>
          <w:spacing w:val="-4"/>
          <w:sz w:val="20"/>
        </w:rPr>
        <w:t> </w:t>
      </w:r>
      <w:r>
        <w:rPr>
          <w:sz w:val="20"/>
        </w:rPr>
        <w:t>staff</w:t>
      </w:r>
      <w:r>
        <w:rPr>
          <w:spacing w:val="-12"/>
          <w:sz w:val="20"/>
        </w:rPr>
        <w:t> </w:t>
      </w:r>
      <w:r>
        <w:rPr>
          <w:sz w:val="20"/>
        </w:rPr>
        <w:t>conduct</w:t>
      </w:r>
      <w:r>
        <w:rPr>
          <w:spacing w:val="-11"/>
          <w:sz w:val="20"/>
        </w:rPr>
        <w:t> </w:t>
      </w:r>
      <w:r>
        <w:rPr>
          <w:sz w:val="20"/>
        </w:rPr>
        <w:t>missions</w:t>
      </w:r>
      <w:r>
        <w:rPr>
          <w:spacing w:val="-9"/>
          <w:sz w:val="20"/>
        </w:rPr>
        <w:t> </w:t>
      </w:r>
      <w:r>
        <w:rPr>
          <w:sz w:val="20"/>
        </w:rPr>
        <w:t>on</w:t>
      </w:r>
      <w:r>
        <w:rPr>
          <w:spacing w:val="-12"/>
          <w:sz w:val="20"/>
        </w:rPr>
        <w:t> </w:t>
      </w:r>
      <w:r>
        <w:rPr>
          <w:sz w:val="20"/>
        </w:rPr>
        <w:t>transversal</w:t>
      </w:r>
      <w:r>
        <w:rPr>
          <w:spacing w:val="-6"/>
          <w:sz w:val="20"/>
        </w:rPr>
        <w:t> </w:t>
      </w:r>
      <w:r>
        <w:rPr>
          <w:sz w:val="20"/>
        </w:rPr>
        <w:t>cooperation</w:t>
      </w:r>
      <w:r>
        <w:rPr>
          <w:spacing w:val="-7"/>
          <w:sz w:val="20"/>
        </w:rPr>
        <w:t> </w:t>
      </w:r>
      <w:r>
        <w:rPr>
          <w:sz w:val="20"/>
        </w:rPr>
        <w:t>and</w:t>
      </w:r>
      <w:r>
        <w:rPr>
          <w:spacing w:val="-12"/>
          <w:sz w:val="20"/>
        </w:rPr>
        <w:t> </w:t>
      </w:r>
      <w:r>
        <w:rPr>
          <w:sz w:val="20"/>
        </w:rPr>
        <w:t>external</w:t>
      </w:r>
      <w:r>
        <w:rPr>
          <w:spacing w:val="-6"/>
          <w:sz w:val="20"/>
        </w:rPr>
        <w:t> </w:t>
      </w:r>
      <w:r>
        <w:rPr>
          <w:sz w:val="20"/>
        </w:rPr>
        <w:t>relations</w:t>
      </w:r>
      <w:r>
        <w:rPr>
          <w:spacing w:val="-9"/>
          <w:sz w:val="20"/>
        </w:rPr>
        <w:t> </w:t>
      </w:r>
      <w:r>
        <w:rPr>
          <w:sz w:val="20"/>
        </w:rPr>
        <w:t>issues and</w:t>
      </w:r>
      <w:r>
        <w:rPr>
          <w:spacing w:val="-9"/>
          <w:sz w:val="20"/>
        </w:rPr>
        <w:t> </w:t>
      </w:r>
      <w:r>
        <w:rPr>
          <w:sz w:val="20"/>
        </w:rPr>
        <w:t>in</w:t>
      </w:r>
      <w:r>
        <w:rPr>
          <w:spacing w:val="-9"/>
          <w:sz w:val="20"/>
        </w:rPr>
        <w:t> </w:t>
      </w:r>
      <w:r>
        <w:rPr>
          <w:sz w:val="20"/>
        </w:rPr>
        <w:t>relation</w:t>
      </w:r>
      <w:r>
        <w:rPr>
          <w:spacing w:val="-9"/>
          <w:sz w:val="20"/>
        </w:rPr>
        <w:t> </w:t>
      </w:r>
      <w:r>
        <w:rPr>
          <w:sz w:val="20"/>
        </w:rPr>
        <w:t>to</w:t>
      </w:r>
      <w:r>
        <w:rPr>
          <w:spacing w:val="-9"/>
          <w:sz w:val="20"/>
        </w:rPr>
        <w:t> </w:t>
      </w:r>
      <w:r>
        <w:rPr>
          <w:sz w:val="20"/>
        </w:rPr>
        <w:t>situations</w:t>
      </w:r>
      <w:r>
        <w:rPr>
          <w:spacing w:val="-6"/>
          <w:sz w:val="20"/>
        </w:rPr>
        <w:t> </w:t>
      </w:r>
      <w:r>
        <w:rPr>
          <w:sz w:val="20"/>
        </w:rPr>
        <w:t>under</w:t>
      </w:r>
      <w:r>
        <w:rPr>
          <w:spacing w:val="-9"/>
          <w:sz w:val="20"/>
        </w:rPr>
        <w:t> </w:t>
      </w:r>
      <w:r>
        <w:rPr>
          <w:sz w:val="20"/>
        </w:rPr>
        <w:t>preliminary</w:t>
      </w:r>
      <w:r>
        <w:rPr>
          <w:spacing w:val="-9"/>
          <w:sz w:val="20"/>
        </w:rPr>
        <w:t> </w:t>
      </w:r>
      <w:r>
        <w:rPr>
          <w:sz w:val="20"/>
        </w:rPr>
        <w:t>examination</w:t>
      </w:r>
      <w:r>
        <w:rPr>
          <w:spacing w:val="-9"/>
          <w:sz w:val="20"/>
        </w:rPr>
        <w:t> </w:t>
      </w:r>
      <w:r>
        <w:rPr>
          <w:sz w:val="20"/>
        </w:rPr>
        <w:t>or</w:t>
      </w:r>
      <w:r>
        <w:rPr>
          <w:spacing w:val="-9"/>
          <w:sz w:val="20"/>
        </w:rPr>
        <w:t> </w:t>
      </w:r>
      <w:r>
        <w:rPr>
          <w:sz w:val="20"/>
        </w:rPr>
        <w:t>investigation</w:t>
      </w:r>
      <w:r>
        <w:rPr>
          <w:spacing w:val="-9"/>
          <w:sz w:val="20"/>
        </w:rPr>
        <w:t> </w:t>
      </w:r>
      <w:r>
        <w:rPr>
          <w:sz w:val="20"/>
        </w:rPr>
        <w:t>in</w:t>
      </w:r>
      <w:r>
        <w:rPr>
          <w:spacing w:val="-9"/>
          <w:sz w:val="20"/>
        </w:rPr>
        <w:t> </w:t>
      </w:r>
      <w:r>
        <w:rPr>
          <w:sz w:val="20"/>
        </w:rPr>
        <w:t>order</w:t>
      </w:r>
      <w:r>
        <w:rPr>
          <w:spacing w:val="-9"/>
          <w:sz w:val="20"/>
        </w:rPr>
        <w:t> </w:t>
      </w:r>
      <w:r>
        <w:rPr>
          <w:sz w:val="20"/>
        </w:rPr>
        <w:t>to</w:t>
      </w:r>
      <w:r>
        <w:rPr>
          <w:spacing w:val="-9"/>
          <w:sz w:val="20"/>
        </w:rPr>
        <w:t> </w:t>
      </w:r>
      <w:r>
        <w:rPr>
          <w:sz w:val="20"/>
        </w:rPr>
        <w:t>secure and foster cooperation or gather information and attend key meetings with State officials. OEA staff will also continue to accompany the Prosecutor, including on situation-related missions. These missions continue to be targeted and planned so as to use the travel budget as</w:t>
      </w:r>
      <w:r>
        <w:rPr>
          <w:spacing w:val="-5"/>
          <w:sz w:val="20"/>
        </w:rPr>
        <w:t> </w:t>
      </w:r>
      <w:r>
        <w:rPr>
          <w:sz w:val="20"/>
        </w:rPr>
        <w:t>efficiently</w:t>
      </w:r>
      <w:r>
        <w:rPr>
          <w:spacing w:val="-8"/>
          <w:sz w:val="20"/>
        </w:rPr>
        <w:t> </w:t>
      </w:r>
      <w:r>
        <w:rPr>
          <w:sz w:val="20"/>
        </w:rPr>
        <w:t>as</w:t>
      </w:r>
      <w:r>
        <w:rPr>
          <w:spacing w:val="-5"/>
          <w:sz w:val="20"/>
        </w:rPr>
        <w:t> </w:t>
      </w:r>
      <w:r>
        <w:rPr>
          <w:sz w:val="20"/>
        </w:rPr>
        <w:t>possible.</w:t>
      </w:r>
      <w:r>
        <w:rPr>
          <w:spacing w:val="-1"/>
          <w:sz w:val="20"/>
        </w:rPr>
        <w:t> </w:t>
      </w:r>
      <w:r>
        <w:rPr>
          <w:sz w:val="20"/>
        </w:rPr>
        <w:t>At</w:t>
      </w:r>
      <w:r>
        <w:rPr>
          <w:spacing w:val="-7"/>
          <w:sz w:val="20"/>
        </w:rPr>
        <w:t> </w:t>
      </w:r>
      <w:r>
        <w:rPr>
          <w:sz w:val="20"/>
        </w:rPr>
        <w:t>the</w:t>
      </w:r>
      <w:r>
        <w:rPr>
          <w:spacing w:val="-2"/>
          <w:sz w:val="20"/>
        </w:rPr>
        <w:t> </w:t>
      </w:r>
      <w:r>
        <w:rPr>
          <w:sz w:val="20"/>
        </w:rPr>
        <w:t>same</w:t>
      </w:r>
      <w:r>
        <w:rPr>
          <w:spacing w:val="-2"/>
          <w:sz w:val="20"/>
        </w:rPr>
        <w:t> </w:t>
      </w:r>
      <w:r>
        <w:rPr>
          <w:sz w:val="20"/>
        </w:rPr>
        <w:t>time,</w:t>
      </w:r>
      <w:r>
        <w:rPr>
          <w:spacing w:val="-6"/>
          <w:sz w:val="20"/>
        </w:rPr>
        <w:t> </w:t>
      </w:r>
      <w:r>
        <w:rPr>
          <w:sz w:val="20"/>
        </w:rPr>
        <w:t>the</w:t>
      </w:r>
      <w:r>
        <w:rPr>
          <w:spacing w:val="-2"/>
          <w:sz w:val="20"/>
        </w:rPr>
        <w:t> </w:t>
      </w:r>
      <w:r>
        <w:rPr>
          <w:sz w:val="20"/>
        </w:rPr>
        <w:t>cost</w:t>
      </w:r>
      <w:r>
        <w:rPr>
          <w:spacing w:val="-2"/>
          <w:sz w:val="20"/>
        </w:rPr>
        <w:t> </w:t>
      </w:r>
      <w:r>
        <w:rPr>
          <w:sz w:val="20"/>
        </w:rPr>
        <w:t>of</w:t>
      </w:r>
      <w:r>
        <w:rPr>
          <w:spacing w:val="-4"/>
          <w:sz w:val="20"/>
        </w:rPr>
        <w:t> </w:t>
      </w:r>
      <w:r>
        <w:rPr>
          <w:sz w:val="20"/>
        </w:rPr>
        <w:t>travel</w:t>
      </w:r>
      <w:r>
        <w:rPr>
          <w:spacing w:val="-7"/>
          <w:sz w:val="20"/>
        </w:rPr>
        <w:t> </w:t>
      </w:r>
      <w:r>
        <w:rPr>
          <w:sz w:val="20"/>
        </w:rPr>
        <w:t>has</w:t>
      </w:r>
      <w:r>
        <w:rPr>
          <w:spacing w:val="-5"/>
          <w:sz w:val="20"/>
        </w:rPr>
        <w:t> </w:t>
      </w:r>
      <w:r>
        <w:rPr>
          <w:sz w:val="20"/>
        </w:rPr>
        <w:t>increased</w:t>
      </w:r>
      <w:r>
        <w:rPr>
          <w:spacing w:val="-8"/>
          <w:sz w:val="20"/>
        </w:rPr>
        <w:t> </w:t>
      </w:r>
      <w:r>
        <w:rPr>
          <w:sz w:val="20"/>
        </w:rPr>
        <w:t>because</w:t>
      </w:r>
      <w:r>
        <w:rPr>
          <w:spacing w:val="-2"/>
          <w:sz w:val="20"/>
        </w:rPr>
        <w:t> </w:t>
      </w:r>
      <w:r>
        <w:rPr>
          <w:sz w:val="20"/>
        </w:rPr>
        <w:t>of</w:t>
      </w:r>
      <w:r>
        <w:rPr>
          <w:spacing w:val="-4"/>
          <w:sz w:val="20"/>
        </w:rPr>
        <w:t> </w:t>
      </w:r>
      <w:r>
        <w:rPr>
          <w:sz w:val="20"/>
        </w:rPr>
        <w:t>safety measures and other COVID-19 related expenses. The volume of travel is likewise expected to increase due to the need to address.</w:t>
      </w:r>
    </w:p>
    <w:p>
      <w:pPr>
        <w:pStyle w:val="ListParagraph"/>
        <w:numPr>
          <w:ilvl w:val="0"/>
          <w:numId w:val="4"/>
        </w:numPr>
        <w:tabs>
          <w:tab w:pos="2967" w:val="left" w:leader="none"/>
        </w:tabs>
        <w:spacing w:line="240" w:lineRule="auto" w:before="119" w:after="0"/>
        <w:ind w:left="2246" w:right="2239" w:firstLine="0"/>
        <w:jc w:val="both"/>
        <w:rPr>
          <w:sz w:val="20"/>
        </w:rPr>
      </w:pPr>
      <w:r>
        <w:rPr>
          <w:sz w:val="20"/>
        </w:rPr>
        <w:t>A large component of the Unified Team - Ukraine will be based in the situation country. However,</w:t>
      </w:r>
      <w:r>
        <w:rPr>
          <w:spacing w:val="-5"/>
          <w:sz w:val="20"/>
        </w:rPr>
        <w:t> </w:t>
      </w:r>
      <w:r>
        <w:rPr>
          <w:sz w:val="20"/>
        </w:rPr>
        <w:t>the</w:t>
      </w:r>
      <w:r>
        <w:rPr>
          <w:spacing w:val="-6"/>
          <w:sz w:val="20"/>
        </w:rPr>
        <w:t> </w:t>
      </w:r>
      <w:r>
        <w:rPr>
          <w:sz w:val="20"/>
        </w:rPr>
        <w:t>team</w:t>
      </w:r>
      <w:r>
        <w:rPr>
          <w:spacing w:val="-6"/>
          <w:sz w:val="20"/>
        </w:rPr>
        <w:t> </w:t>
      </w:r>
      <w:r>
        <w:rPr>
          <w:sz w:val="20"/>
        </w:rPr>
        <w:t>requires</w:t>
      </w:r>
      <w:r>
        <w:rPr>
          <w:spacing w:val="-4"/>
          <w:sz w:val="20"/>
        </w:rPr>
        <w:t> </w:t>
      </w:r>
      <w:r>
        <w:rPr>
          <w:sz w:val="20"/>
        </w:rPr>
        <w:t>funds</w:t>
      </w:r>
      <w:r>
        <w:rPr>
          <w:spacing w:val="-4"/>
          <w:sz w:val="20"/>
        </w:rPr>
        <w:t> </w:t>
      </w:r>
      <w:r>
        <w:rPr>
          <w:sz w:val="20"/>
        </w:rPr>
        <w:t>to</w:t>
      </w:r>
      <w:r>
        <w:rPr>
          <w:spacing w:val="-7"/>
          <w:sz w:val="20"/>
        </w:rPr>
        <w:t> </w:t>
      </w:r>
      <w:r>
        <w:rPr>
          <w:sz w:val="20"/>
        </w:rPr>
        <w:t>cover</w:t>
      </w:r>
      <w:r>
        <w:rPr>
          <w:spacing w:val="-3"/>
          <w:sz w:val="20"/>
        </w:rPr>
        <w:t> </w:t>
      </w:r>
      <w:r>
        <w:rPr>
          <w:sz w:val="20"/>
        </w:rPr>
        <w:t>the</w:t>
      </w:r>
      <w:r>
        <w:rPr>
          <w:spacing w:val="-1"/>
          <w:sz w:val="20"/>
        </w:rPr>
        <w:t> </w:t>
      </w:r>
      <w:r>
        <w:rPr>
          <w:sz w:val="20"/>
        </w:rPr>
        <w:t>cost</w:t>
      </w:r>
      <w:r>
        <w:rPr>
          <w:spacing w:val="-1"/>
          <w:sz w:val="20"/>
        </w:rPr>
        <w:t> </w:t>
      </w:r>
      <w:r>
        <w:rPr>
          <w:sz w:val="20"/>
        </w:rPr>
        <w:t>of</w:t>
      </w:r>
      <w:r>
        <w:rPr>
          <w:spacing w:val="-3"/>
          <w:sz w:val="20"/>
        </w:rPr>
        <w:t> </w:t>
      </w:r>
      <w:r>
        <w:rPr>
          <w:sz w:val="20"/>
        </w:rPr>
        <w:t>missions</w:t>
      </w:r>
      <w:r>
        <w:rPr>
          <w:spacing w:val="-9"/>
          <w:sz w:val="20"/>
        </w:rPr>
        <w:t> </w:t>
      </w:r>
      <w:r>
        <w:rPr>
          <w:sz w:val="20"/>
        </w:rPr>
        <w:t>to</w:t>
      </w:r>
      <w:r>
        <w:rPr>
          <w:spacing w:val="-3"/>
          <w:sz w:val="20"/>
        </w:rPr>
        <w:t> </w:t>
      </w:r>
      <w:r>
        <w:rPr>
          <w:sz w:val="20"/>
        </w:rPr>
        <w:t>interview</w:t>
      </w:r>
      <w:r>
        <w:rPr>
          <w:spacing w:val="-4"/>
          <w:sz w:val="20"/>
        </w:rPr>
        <w:t> </w:t>
      </w:r>
      <w:r>
        <w:rPr>
          <w:sz w:val="20"/>
        </w:rPr>
        <w:t>victims and witnesses who fled the Ukraine to take refuge in neighbouring countries, as well as missions</w:t>
      </w:r>
      <w:r>
        <w:rPr>
          <w:spacing w:val="-13"/>
          <w:sz w:val="20"/>
        </w:rPr>
        <w:t> </w:t>
      </w:r>
      <w:r>
        <w:rPr>
          <w:sz w:val="20"/>
        </w:rPr>
        <w:t>undertaken</w:t>
      </w:r>
      <w:r>
        <w:rPr>
          <w:spacing w:val="-12"/>
          <w:sz w:val="20"/>
        </w:rPr>
        <w:t> </w:t>
      </w:r>
      <w:r>
        <w:rPr>
          <w:sz w:val="20"/>
        </w:rPr>
        <w:t>by</w:t>
      </w:r>
      <w:r>
        <w:rPr>
          <w:spacing w:val="-13"/>
          <w:sz w:val="20"/>
        </w:rPr>
        <w:t> </w:t>
      </w:r>
      <w:r>
        <w:rPr>
          <w:sz w:val="20"/>
        </w:rPr>
        <w:t>staff</w:t>
      </w:r>
      <w:r>
        <w:rPr>
          <w:spacing w:val="-8"/>
          <w:sz w:val="20"/>
        </w:rPr>
        <w:t> </w:t>
      </w:r>
      <w:r>
        <w:rPr>
          <w:sz w:val="20"/>
        </w:rPr>
        <w:t>from</w:t>
      </w:r>
      <w:r>
        <w:rPr>
          <w:spacing w:val="-12"/>
          <w:sz w:val="20"/>
        </w:rPr>
        <w:t> </w:t>
      </w:r>
      <w:r>
        <w:rPr>
          <w:sz w:val="20"/>
        </w:rPr>
        <w:t>the</w:t>
      </w:r>
      <w:r>
        <w:rPr>
          <w:spacing w:val="-8"/>
          <w:sz w:val="20"/>
        </w:rPr>
        <w:t> </w:t>
      </w:r>
      <w:r>
        <w:rPr>
          <w:sz w:val="20"/>
        </w:rPr>
        <w:t>Headquarters</w:t>
      </w:r>
      <w:r>
        <w:rPr>
          <w:spacing w:val="-11"/>
          <w:sz w:val="20"/>
        </w:rPr>
        <w:t> </w:t>
      </w:r>
      <w:r>
        <w:rPr>
          <w:sz w:val="20"/>
        </w:rPr>
        <w:t>and</w:t>
      </w:r>
      <w:r>
        <w:rPr>
          <w:spacing w:val="-13"/>
          <w:sz w:val="20"/>
        </w:rPr>
        <w:t> </w:t>
      </w:r>
      <w:r>
        <w:rPr>
          <w:sz w:val="20"/>
        </w:rPr>
        <w:t>experts</w:t>
      </w:r>
      <w:r>
        <w:rPr>
          <w:spacing w:val="-10"/>
          <w:sz w:val="20"/>
        </w:rPr>
        <w:t> </w:t>
      </w:r>
      <w:r>
        <w:rPr>
          <w:sz w:val="20"/>
        </w:rPr>
        <w:t>who</w:t>
      </w:r>
      <w:r>
        <w:rPr>
          <w:spacing w:val="-13"/>
          <w:sz w:val="20"/>
        </w:rPr>
        <w:t> </w:t>
      </w:r>
      <w:r>
        <w:rPr>
          <w:sz w:val="20"/>
        </w:rPr>
        <w:t>join</w:t>
      </w:r>
      <w:r>
        <w:rPr>
          <w:spacing w:val="-12"/>
          <w:sz w:val="20"/>
        </w:rPr>
        <w:t> </w:t>
      </w:r>
      <w:r>
        <w:rPr>
          <w:sz w:val="20"/>
        </w:rPr>
        <w:t>the</w:t>
      </w:r>
      <w:r>
        <w:rPr>
          <w:spacing w:val="-11"/>
          <w:sz w:val="20"/>
        </w:rPr>
        <w:t> </w:t>
      </w:r>
      <w:r>
        <w:rPr>
          <w:sz w:val="20"/>
        </w:rPr>
        <w:t>team</w:t>
      </w:r>
      <w:r>
        <w:rPr>
          <w:spacing w:val="-12"/>
          <w:sz w:val="20"/>
        </w:rPr>
        <w:t> </w:t>
      </w:r>
      <w:r>
        <w:rPr>
          <w:sz w:val="20"/>
        </w:rPr>
        <w:t>to</w:t>
      </w:r>
      <w:r>
        <w:rPr>
          <w:spacing w:val="-9"/>
          <w:sz w:val="20"/>
        </w:rPr>
        <w:t> </w:t>
      </w:r>
      <w:r>
        <w:rPr>
          <w:sz w:val="20"/>
        </w:rPr>
        <w:t>perform special tasks in relation to the investigative and analytical activities.</w:t>
      </w:r>
    </w:p>
    <w:p>
      <w:pPr>
        <w:pStyle w:val="ListParagraph"/>
        <w:numPr>
          <w:ilvl w:val="0"/>
          <w:numId w:val="4"/>
        </w:numPr>
        <w:tabs>
          <w:tab w:pos="2967" w:val="left" w:leader="none"/>
        </w:tabs>
        <w:spacing w:line="240" w:lineRule="auto" w:before="122" w:after="0"/>
        <w:ind w:left="2246" w:right="2252" w:firstLine="0"/>
        <w:jc w:val="both"/>
        <w:rPr>
          <w:sz w:val="20"/>
        </w:rPr>
      </w:pPr>
      <w:r>
        <w:rPr>
          <w:sz w:val="20"/>
        </w:rPr>
        <w:t>An</w:t>
      </w:r>
      <w:r>
        <w:rPr>
          <w:spacing w:val="40"/>
          <w:sz w:val="20"/>
        </w:rPr>
        <w:t> </w:t>
      </w:r>
      <w:r>
        <w:rPr>
          <w:sz w:val="20"/>
        </w:rPr>
        <w:t>increase</w:t>
      </w:r>
      <w:r>
        <w:rPr>
          <w:spacing w:val="40"/>
          <w:sz w:val="20"/>
        </w:rPr>
        <w:t> </w:t>
      </w:r>
      <w:r>
        <w:rPr>
          <w:sz w:val="20"/>
        </w:rPr>
        <w:t>is</w:t>
      </w:r>
      <w:r>
        <w:rPr>
          <w:spacing w:val="40"/>
          <w:sz w:val="20"/>
        </w:rPr>
        <w:t> </w:t>
      </w:r>
      <w:r>
        <w:rPr>
          <w:sz w:val="20"/>
        </w:rPr>
        <w:t>requested</w:t>
      </w:r>
      <w:r>
        <w:rPr>
          <w:spacing w:val="40"/>
          <w:sz w:val="20"/>
        </w:rPr>
        <w:t> </w:t>
      </w:r>
      <w:r>
        <w:rPr>
          <w:sz w:val="20"/>
        </w:rPr>
        <w:t>for</w:t>
      </w:r>
      <w:r>
        <w:rPr>
          <w:spacing w:val="40"/>
          <w:sz w:val="20"/>
        </w:rPr>
        <w:t> </w:t>
      </w:r>
      <w:r>
        <w:rPr>
          <w:sz w:val="20"/>
        </w:rPr>
        <w:t>the</w:t>
      </w:r>
      <w:r>
        <w:rPr>
          <w:spacing w:val="40"/>
          <w:sz w:val="20"/>
        </w:rPr>
        <w:t> </w:t>
      </w:r>
      <w:r>
        <w:rPr>
          <w:sz w:val="20"/>
        </w:rPr>
        <w:t>Prosecutor</w:t>
      </w:r>
      <w:r>
        <w:rPr>
          <w:spacing w:val="40"/>
          <w:sz w:val="20"/>
        </w:rPr>
        <w:t> </w:t>
      </w:r>
      <w:r>
        <w:rPr>
          <w:sz w:val="20"/>
        </w:rPr>
        <w:t>and</w:t>
      </w:r>
      <w:r>
        <w:rPr>
          <w:spacing w:val="40"/>
          <w:sz w:val="20"/>
        </w:rPr>
        <w:t> </w:t>
      </w:r>
      <w:r>
        <w:rPr>
          <w:sz w:val="20"/>
        </w:rPr>
        <w:t>his</w:t>
      </w:r>
      <w:r>
        <w:rPr>
          <w:spacing w:val="40"/>
          <w:sz w:val="20"/>
        </w:rPr>
        <w:t> </w:t>
      </w:r>
      <w:r>
        <w:rPr>
          <w:sz w:val="20"/>
        </w:rPr>
        <w:t>team</w:t>
      </w:r>
      <w:r>
        <w:rPr>
          <w:spacing w:val="40"/>
          <w:sz w:val="20"/>
        </w:rPr>
        <w:t> </w:t>
      </w:r>
      <w:r>
        <w:rPr>
          <w:sz w:val="20"/>
        </w:rPr>
        <w:t>to</w:t>
      </w:r>
      <w:r>
        <w:rPr>
          <w:spacing w:val="40"/>
          <w:sz w:val="20"/>
        </w:rPr>
        <w:t> </w:t>
      </w:r>
      <w:r>
        <w:rPr>
          <w:sz w:val="20"/>
        </w:rPr>
        <w:t>travel</w:t>
      </w:r>
      <w:r>
        <w:rPr>
          <w:spacing w:val="40"/>
          <w:sz w:val="20"/>
        </w:rPr>
        <w:t> </w:t>
      </w:r>
      <w:r>
        <w:rPr>
          <w:sz w:val="20"/>
        </w:rPr>
        <w:t>to</w:t>
      </w:r>
      <w:r>
        <w:rPr>
          <w:spacing w:val="40"/>
          <w:sz w:val="20"/>
        </w:rPr>
        <w:t> </w:t>
      </w:r>
      <w:r>
        <w:rPr>
          <w:sz w:val="20"/>
        </w:rPr>
        <w:t>the twenty-second session of the Assembly, which is planned to be held in New York.</w:t>
      </w:r>
    </w:p>
    <w:p>
      <w:pPr>
        <w:pStyle w:val="ListParagraph"/>
        <w:numPr>
          <w:ilvl w:val="0"/>
          <w:numId w:val="4"/>
        </w:numPr>
        <w:tabs>
          <w:tab w:pos="2967" w:val="left" w:leader="none"/>
        </w:tabs>
        <w:spacing w:line="240" w:lineRule="auto" w:before="116" w:after="0"/>
        <w:ind w:left="2246" w:right="2247" w:firstLine="0"/>
        <w:jc w:val="both"/>
        <w:rPr>
          <w:sz w:val="20"/>
        </w:rPr>
      </w:pPr>
      <w:r>
        <w:rPr>
          <w:sz w:val="20"/>
        </w:rPr>
        <w:t>Other staff of the Programme undertake</w:t>
      </w:r>
      <w:r>
        <w:rPr>
          <w:spacing w:val="-2"/>
          <w:sz w:val="20"/>
        </w:rPr>
        <w:t> </w:t>
      </w:r>
      <w:r>
        <w:rPr>
          <w:sz w:val="20"/>
        </w:rPr>
        <w:t>a limited number of</w:t>
      </w:r>
      <w:r>
        <w:rPr>
          <w:spacing w:val="-4"/>
          <w:sz w:val="20"/>
        </w:rPr>
        <w:t> </w:t>
      </w:r>
      <w:r>
        <w:rPr>
          <w:sz w:val="20"/>
        </w:rPr>
        <w:t>missions in pursuit of their respective functions.</w:t>
      </w:r>
    </w:p>
    <w:p>
      <w:pPr>
        <w:pStyle w:val="BodyText"/>
        <w:rPr>
          <w:sz w:val="21"/>
        </w:rPr>
      </w:pPr>
    </w:p>
    <w:p>
      <w:pPr>
        <w:tabs>
          <w:tab w:pos="8383" w:val="left" w:leader="none"/>
        </w:tabs>
        <w:spacing w:before="0"/>
        <w:ind w:left="2246" w:right="0" w:firstLine="0"/>
        <w:jc w:val="both"/>
        <w:rPr>
          <w:i/>
          <w:sz w:val="20"/>
        </w:rPr>
      </w:pPr>
      <w:r>
        <w:rPr>
          <w:i/>
          <w:spacing w:val="-2"/>
          <w:sz w:val="20"/>
        </w:rPr>
        <w:t>Hospitality</w:t>
      </w:r>
      <w:r>
        <w:rPr>
          <w:i/>
          <w:sz w:val="20"/>
        </w:rPr>
        <w:tab/>
        <w:t>€15.0</w:t>
      </w:r>
      <w:r>
        <w:rPr>
          <w:i/>
          <w:spacing w:val="-3"/>
          <w:sz w:val="20"/>
        </w:rPr>
        <w:t> </w:t>
      </w:r>
      <w:r>
        <w:rPr>
          <w:i/>
          <w:spacing w:val="-2"/>
          <w:sz w:val="20"/>
        </w:rPr>
        <w:t>thousand</w:t>
      </w:r>
    </w:p>
    <w:p>
      <w:pPr>
        <w:pStyle w:val="BodyText"/>
        <w:spacing w:before="10"/>
        <w:rPr>
          <w:i/>
        </w:rPr>
      </w:pPr>
    </w:p>
    <w:p>
      <w:pPr>
        <w:pStyle w:val="ListParagraph"/>
        <w:numPr>
          <w:ilvl w:val="0"/>
          <w:numId w:val="4"/>
        </w:numPr>
        <w:tabs>
          <w:tab w:pos="2967" w:val="left" w:leader="none"/>
        </w:tabs>
        <w:spacing w:line="240" w:lineRule="auto" w:before="1" w:after="0"/>
        <w:ind w:left="2246" w:right="2242" w:firstLine="0"/>
        <w:jc w:val="both"/>
        <w:rPr>
          <w:sz w:val="20"/>
        </w:rPr>
      </w:pPr>
      <w:r>
        <w:rPr>
          <w:sz w:val="20"/>
        </w:rPr>
        <w:t>Since the start of the Prosecutor took up his position, the Office has received a significant increase in requests for high-level meetings from States and regional and international organisations. The requested amount for hospitality in 2023 reflects this increase in high-level engagements.</w:t>
      </w:r>
    </w:p>
    <w:p>
      <w:pPr>
        <w:pStyle w:val="ListParagraph"/>
        <w:numPr>
          <w:ilvl w:val="0"/>
          <w:numId w:val="4"/>
        </w:numPr>
        <w:tabs>
          <w:tab w:pos="2967" w:val="left" w:leader="none"/>
        </w:tabs>
        <w:spacing w:line="240" w:lineRule="auto" w:before="121" w:after="0"/>
        <w:ind w:left="2246" w:right="2235" w:firstLine="0"/>
        <w:jc w:val="both"/>
        <w:rPr>
          <w:sz w:val="20"/>
        </w:rPr>
      </w:pPr>
      <w:r>
        <w:rPr>
          <w:sz w:val="20"/>
        </w:rPr>
        <w:t>These resources are for hospitality to cater for international delegations, diplomats and high-level dignitaries visiting the OTP. Some of these resources are earmarked for Court-wide events with costs shared among the organs.</w:t>
      </w:r>
    </w:p>
    <w:p>
      <w:pPr>
        <w:pStyle w:val="BodyText"/>
        <w:rPr>
          <w:sz w:val="21"/>
        </w:rPr>
      </w:pPr>
    </w:p>
    <w:p>
      <w:pPr>
        <w:tabs>
          <w:tab w:pos="8282" w:val="left" w:leader="none"/>
        </w:tabs>
        <w:spacing w:before="0"/>
        <w:ind w:left="2246" w:right="0" w:firstLine="0"/>
        <w:jc w:val="both"/>
        <w:rPr>
          <w:i/>
          <w:sz w:val="20"/>
        </w:rPr>
      </w:pPr>
      <w:r>
        <w:rPr>
          <w:i/>
          <w:sz w:val="20"/>
        </w:rPr>
        <w:t>Contractual</w:t>
      </w:r>
      <w:r>
        <w:rPr>
          <w:i/>
          <w:spacing w:val="-5"/>
          <w:sz w:val="20"/>
        </w:rPr>
        <w:t> </w:t>
      </w:r>
      <w:r>
        <w:rPr>
          <w:i/>
          <w:spacing w:val="-2"/>
          <w:sz w:val="20"/>
        </w:rPr>
        <w:t>services</w:t>
      </w:r>
      <w:r>
        <w:rPr>
          <w:i/>
          <w:sz w:val="20"/>
        </w:rPr>
        <w:tab/>
        <w:t>€290.0</w:t>
      </w:r>
      <w:r>
        <w:rPr>
          <w:i/>
          <w:spacing w:val="-3"/>
          <w:sz w:val="20"/>
        </w:rPr>
        <w:t> </w:t>
      </w:r>
      <w:r>
        <w:rPr>
          <w:i/>
          <w:spacing w:val="-2"/>
          <w:sz w:val="20"/>
        </w:rPr>
        <w:t>thousand</w:t>
      </w:r>
    </w:p>
    <w:p>
      <w:pPr>
        <w:pStyle w:val="BodyText"/>
        <w:spacing w:before="6"/>
        <w:rPr>
          <w:i/>
        </w:rPr>
      </w:pPr>
    </w:p>
    <w:p>
      <w:pPr>
        <w:pStyle w:val="ListParagraph"/>
        <w:numPr>
          <w:ilvl w:val="0"/>
          <w:numId w:val="4"/>
        </w:numPr>
        <w:tabs>
          <w:tab w:pos="2967" w:val="left" w:leader="none"/>
        </w:tabs>
        <w:spacing w:line="240" w:lineRule="auto" w:before="0" w:after="0"/>
        <w:ind w:left="2246" w:right="2239" w:firstLine="0"/>
        <w:jc w:val="both"/>
        <w:rPr>
          <w:sz w:val="20"/>
        </w:rPr>
      </w:pPr>
      <w:r>
        <w:rPr>
          <w:sz w:val="20"/>
        </w:rPr>
        <w:t>Since the start of the Prosecutor took up his position, the Office has received a significant increase in requests for high-level meetings from States and regional and international organisations. The requested amount for contractual services in 2023 reflects this increase in high-level engagements.</w:t>
      </w:r>
    </w:p>
    <w:p>
      <w:pPr>
        <w:pStyle w:val="ListParagraph"/>
        <w:numPr>
          <w:ilvl w:val="0"/>
          <w:numId w:val="4"/>
        </w:numPr>
        <w:tabs>
          <w:tab w:pos="2967" w:val="left" w:leader="none"/>
        </w:tabs>
        <w:spacing w:line="240" w:lineRule="auto" w:before="122" w:after="0"/>
        <w:ind w:left="2246" w:right="2245" w:firstLine="0"/>
        <w:jc w:val="both"/>
        <w:rPr>
          <w:sz w:val="20"/>
        </w:rPr>
      </w:pPr>
      <w:r>
        <w:rPr>
          <w:sz w:val="20"/>
        </w:rPr>
        <w:t>Funds</w:t>
      </w:r>
      <w:r>
        <w:rPr>
          <w:spacing w:val="-13"/>
          <w:sz w:val="20"/>
        </w:rPr>
        <w:t> </w:t>
      </w:r>
      <w:r>
        <w:rPr>
          <w:sz w:val="20"/>
        </w:rPr>
        <w:t>to</w:t>
      </w:r>
      <w:r>
        <w:rPr>
          <w:spacing w:val="-12"/>
          <w:sz w:val="20"/>
        </w:rPr>
        <w:t> </w:t>
      </w:r>
      <w:r>
        <w:rPr>
          <w:sz w:val="20"/>
        </w:rPr>
        <w:t>support</w:t>
      </w:r>
      <w:r>
        <w:rPr>
          <w:spacing w:val="-13"/>
          <w:sz w:val="20"/>
        </w:rPr>
        <w:t> </w:t>
      </w:r>
      <w:r>
        <w:rPr>
          <w:sz w:val="20"/>
        </w:rPr>
        <w:t>independent</w:t>
      </w:r>
      <w:r>
        <w:rPr>
          <w:spacing w:val="-9"/>
          <w:sz w:val="20"/>
        </w:rPr>
        <w:t> </w:t>
      </w:r>
      <w:r>
        <w:rPr>
          <w:sz w:val="20"/>
        </w:rPr>
        <w:t>public</w:t>
      </w:r>
      <w:r>
        <w:rPr>
          <w:spacing w:val="-8"/>
          <w:sz w:val="20"/>
        </w:rPr>
        <w:t> </w:t>
      </w:r>
      <w:r>
        <w:rPr>
          <w:sz w:val="20"/>
        </w:rPr>
        <w:t>information</w:t>
      </w:r>
      <w:r>
        <w:rPr>
          <w:spacing w:val="-13"/>
          <w:sz w:val="20"/>
        </w:rPr>
        <w:t> </w:t>
      </w:r>
      <w:r>
        <w:rPr>
          <w:sz w:val="20"/>
        </w:rPr>
        <w:t>missions</w:t>
      </w:r>
      <w:r>
        <w:rPr>
          <w:spacing w:val="-11"/>
          <w:sz w:val="20"/>
        </w:rPr>
        <w:t> </w:t>
      </w:r>
      <w:r>
        <w:rPr>
          <w:sz w:val="20"/>
        </w:rPr>
        <w:t>in</w:t>
      </w:r>
      <w:r>
        <w:rPr>
          <w:spacing w:val="-13"/>
          <w:sz w:val="20"/>
        </w:rPr>
        <w:t> </w:t>
      </w:r>
      <w:r>
        <w:rPr>
          <w:sz w:val="20"/>
        </w:rPr>
        <w:t>countries</w:t>
      </w:r>
      <w:r>
        <w:rPr>
          <w:spacing w:val="-11"/>
          <w:sz w:val="20"/>
        </w:rPr>
        <w:t> </w:t>
      </w:r>
      <w:r>
        <w:rPr>
          <w:sz w:val="20"/>
        </w:rPr>
        <w:t>of</w:t>
      </w:r>
      <w:r>
        <w:rPr>
          <w:spacing w:val="-9"/>
          <w:sz w:val="20"/>
        </w:rPr>
        <w:t> </w:t>
      </w:r>
      <w:r>
        <w:rPr>
          <w:sz w:val="20"/>
        </w:rPr>
        <w:t>operation, for the rental of appropriate facilities for press conferences and for the production and distribution of informational material (€40.0 thousand) are also requested.</w:t>
      </w:r>
    </w:p>
    <w:p>
      <w:pPr>
        <w:pStyle w:val="BodyText"/>
        <w:rPr>
          <w:sz w:val="21"/>
        </w:rPr>
      </w:pPr>
    </w:p>
    <w:p>
      <w:pPr>
        <w:tabs>
          <w:tab w:pos="8282" w:val="left" w:leader="none"/>
        </w:tabs>
        <w:spacing w:before="0"/>
        <w:ind w:left="2246" w:right="0" w:firstLine="0"/>
        <w:jc w:val="both"/>
        <w:rPr>
          <w:i/>
          <w:sz w:val="20"/>
        </w:rPr>
      </w:pPr>
      <w:r>
        <w:rPr>
          <w:i/>
          <w:spacing w:val="-2"/>
          <w:sz w:val="20"/>
        </w:rPr>
        <w:t>Training</w:t>
      </w:r>
      <w:r>
        <w:rPr>
          <w:i/>
          <w:sz w:val="20"/>
        </w:rPr>
        <w:tab/>
        <w:t>€100.0</w:t>
      </w:r>
      <w:r>
        <w:rPr>
          <w:i/>
          <w:spacing w:val="-3"/>
          <w:sz w:val="20"/>
        </w:rPr>
        <w:t> </w:t>
      </w:r>
      <w:r>
        <w:rPr>
          <w:i/>
          <w:spacing w:val="-2"/>
          <w:sz w:val="20"/>
        </w:rPr>
        <w:t>thousand</w:t>
      </w:r>
    </w:p>
    <w:p>
      <w:pPr>
        <w:pStyle w:val="BodyText"/>
        <w:spacing w:before="10"/>
        <w:rPr>
          <w:i/>
        </w:rPr>
      </w:pPr>
    </w:p>
    <w:p>
      <w:pPr>
        <w:pStyle w:val="ListParagraph"/>
        <w:numPr>
          <w:ilvl w:val="0"/>
          <w:numId w:val="4"/>
        </w:numPr>
        <w:tabs>
          <w:tab w:pos="2967" w:val="left" w:leader="none"/>
        </w:tabs>
        <w:spacing w:line="240" w:lineRule="auto" w:before="1" w:after="0"/>
        <w:ind w:left="2246" w:right="2242" w:firstLine="0"/>
        <w:jc w:val="both"/>
        <w:rPr>
          <w:sz w:val="20"/>
        </w:rPr>
      </w:pPr>
      <w:r>
        <w:rPr>
          <w:sz w:val="20"/>
        </w:rPr>
        <w:t>Training is</w:t>
      </w:r>
      <w:r>
        <w:rPr>
          <w:spacing w:val="-5"/>
          <w:sz w:val="20"/>
        </w:rPr>
        <w:t> </w:t>
      </w:r>
      <w:r>
        <w:rPr>
          <w:sz w:val="20"/>
        </w:rPr>
        <w:t>vital</w:t>
      </w:r>
      <w:r>
        <w:rPr>
          <w:spacing w:val="-2"/>
          <w:sz w:val="20"/>
        </w:rPr>
        <w:t> </w:t>
      </w:r>
      <w:r>
        <w:rPr>
          <w:sz w:val="20"/>
        </w:rPr>
        <w:t>to</w:t>
      </w:r>
      <w:r>
        <w:rPr>
          <w:spacing w:val="-4"/>
          <w:sz w:val="20"/>
        </w:rPr>
        <w:t> </w:t>
      </w:r>
      <w:r>
        <w:rPr>
          <w:sz w:val="20"/>
        </w:rPr>
        <w:t>creating</w:t>
      </w:r>
      <w:r>
        <w:rPr>
          <w:spacing w:val="-4"/>
          <w:sz w:val="20"/>
        </w:rPr>
        <w:t> </w:t>
      </w:r>
      <w:r>
        <w:rPr>
          <w:sz w:val="20"/>
        </w:rPr>
        <w:t>a</w:t>
      </w:r>
      <w:r>
        <w:rPr>
          <w:spacing w:val="-2"/>
          <w:sz w:val="20"/>
        </w:rPr>
        <w:t> </w:t>
      </w:r>
      <w:r>
        <w:rPr>
          <w:sz w:val="20"/>
        </w:rPr>
        <w:t>cohesive,</w:t>
      </w:r>
      <w:r>
        <w:rPr>
          <w:spacing w:val="-1"/>
          <w:sz w:val="20"/>
        </w:rPr>
        <w:t> </w:t>
      </w:r>
      <w:r>
        <w:rPr>
          <w:sz w:val="20"/>
        </w:rPr>
        <w:t>shared working</w:t>
      </w:r>
      <w:r>
        <w:rPr>
          <w:spacing w:val="-4"/>
          <w:sz w:val="20"/>
        </w:rPr>
        <w:t> </w:t>
      </w:r>
      <w:r>
        <w:rPr>
          <w:sz w:val="20"/>
        </w:rPr>
        <w:t>culture within</w:t>
      </w:r>
      <w:r>
        <w:rPr>
          <w:spacing w:val="-4"/>
          <w:sz w:val="20"/>
        </w:rPr>
        <w:t> </w:t>
      </w:r>
      <w:r>
        <w:rPr>
          <w:sz w:val="20"/>
        </w:rPr>
        <w:t>the OTP and enhancing</w:t>
      </w:r>
      <w:r>
        <w:rPr>
          <w:spacing w:val="-5"/>
          <w:sz w:val="20"/>
        </w:rPr>
        <w:t> </w:t>
      </w:r>
      <w:r>
        <w:rPr>
          <w:sz w:val="20"/>
        </w:rPr>
        <w:t>the</w:t>
      </w:r>
      <w:r>
        <w:rPr>
          <w:spacing w:val="-1"/>
          <w:sz w:val="20"/>
        </w:rPr>
        <w:t> </w:t>
      </w:r>
      <w:r>
        <w:rPr>
          <w:sz w:val="20"/>
        </w:rPr>
        <w:t>quality</w:t>
      </w:r>
      <w:r>
        <w:rPr>
          <w:spacing w:val="-5"/>
          <w:sz w:val="20"/>
        </w:rPr>
        <w:t> </w:t>
      </w:r>
      <w:r>
        <w:rPr>
          <w:sz w:val="20"/>
        </w:rPr>
        <w:t>of</w:t>
      </w:r>
      <w:r>
        <w:rPr>
          <w:spacing w:val="-5"/>
          <w:sz w:val="20"/>
        </w:rPr>
        <w:t> </w:t>
      </w:r>
      <w:r>
        <w:rPr>
          <w:sz w:val="20"/>
        </w:rPr>
        <w:t>the</w:t>
      </w:r>
      <w:r>
        <w:rPr>
          <w:spacing w:val="-3"/>
          <w:sz w:val="20"/>
        </w:rPr>
        <w:t> </w:t>
      </w:r>
      <w:r>
        <w:rPr>
          <w:sz w:val="20"/>
        </w:rPr>
        <w:t>Office’s</w:t>
      </w:r>
      <w:r>
        <w:rPr>
          <w:spacing w:val="-1"/>
          <w:sz w:val="20"/>
        </w:rPr>
        <w:t> </w:t>
      </w:r>
      <w:r>
        <w:rPr>
          <w:sz w:val="20"/>
        </w:rPr>
        <w:t>deliverables,</w:t>
      </w:r>
      <w:r>
        <w:rPr>
          <w:spacing w:val="-2"/>
          <w:sz w:val="20"/>
        </w:rPr>
        <w:t> </w:t>
      </w:r>
      <w:r>
        <w:rPr>
          <w:sz w:val="20"/>
        </w:rPr>
        <w:t>its</w:t>
      </w:r>
      <w:r>
        <w:rPr>
          <w:spacing w:val="-6"/>
          <w:sz w:val="20"/>
        </w:rPr>
        <w:t> </w:t>
      </w:r>
      <w:r>
        <w:rPr>
          <w:sz w:val="20"/>
        </w:rPr>
        <w:t>overall</w:t>
      </w:r>
      <w:r>
        <w:rPr>
          <w:spacing w:val="-8"/>
          <w:sz w:val="20"/>
        </w:rPr>
        <w:t> </w:t>
      </w:r>
      <w:r>
        <w:rPr>
          <w:sz w:val="20"/>
        </w:rPr>
        <w:t>performance</w:t>
      </w:r>
      <w:r>
        <w:rPr>
          <w:spacing w:val="-3"/>
          <w:sz w:val="20"/>
        </w:rPr>
        <w:t> </w:t>
      </w:r>
      <w:r>
        <w:rPr>
          <w:sz w:val="20"/>
        </w:rPr>
        <w:t>and</w:t>
      </w:r>
      <w:r>
        <w:rPr>
          <w:spacing w:val="-9"/>
          <w:sz w:val="20"/>
        </w:rPr>
        <w:t> </w:t>
      </w:r>
      <w:r>
        <w:rPr>
          <w:sz w:val="20"/>
        </w:rPr>
        <w:t>its</w:t>
      </w:r>
      <w:r>
        <w:rPr>
          <w:spacing w:val="-6"/>
          <w:sz w:val="20"/>
        </w:rPr>
        <w:t> </w:t>
      </w:r>
      <w:r>
        <w:rPr>
          <w:sz w:val="20"/>
        </w:rPr>
        <w:t>efficiency. Training has been identified by the IER report as a key tool to strengthen and improve the skills of the staff as well as to provide</w:t>
      </w:r>
      <w:r>
        <w:rPr>
          <w:spacing w:val="-2"/>
          <w:sz w:val="20"/>
        </w:rPr>
        <w:t> </w:t>
      </w:r>
      <w:r>
        <w:rPr>
          <w:sz w:val="20"/>
        </w:rPr>
        <w:t>motivation and engagement.</w:t>
      </w:r>
      <w:r>
        <w:rPr>
          <w:sz w:val="20"/>
          <w:vertAlign w:val="superscript"/>
        </w:rPr>
        <w:t>75</w:t>
      </w:r>
      <w:r>
        <w:rPr>
          <w:sz w:val="20"/>
          <w:vertAlign w:val="baseline"/>
        </w:rPr>
        <w:t> The requested amount is €100.0 thousand, which is the same as in 2022 and well below the level of funding that was approved in pre-COVID-19 pandemic years (€290.0 thousand).</w:t>
      </w:r>
    </w:p>
    <w:p>
      <w:pPr>
        <w:pStyle w:val="ListParagraph"/>
        <w:numPr>
          <w:ilvl w:val="0"/>
          <w:numId w:val="4"/>
        </w:numPr>
        <w:tabs>
          <w:tab w:pos="2967" w:val="left" w:leader="none"/>
        </w:tabs>
        <w:spacing w:line="240" w:lineRule="auto" w:before="118" w:after="0"/>
        <w:ind w:left="2246" w:right="2247" w:firstLine="0"/>
        <w:jc w:val="both"/>
        <w:rPr>
          <w:sz w:val="20"/>
        </w:rPr>
      </w:pPr>
      <w:r>
        <w:rPr>
          <w:sz w:val="20"/>
        </w:rPr>
        <w:t>For general training, the Office will rely on online training courses</w:t>
      </w:r>
      <w:r>
        <w:rPr>
          <w:spacing w:val="-1"/>
          <w:sz w:val="20"/>
        </w:rPr>
        <w:t> </w:t>
      </w:r>
      <w:r>
        <w:rPr>
          <w:sz w:val="20"/>
        </w:rPr>
        <w:t>made available through</w:t>
      </w:r>
      <w:r>
        <w:rPr>
          <w:spacing w:val="-13"/>
          <w:sz w:val="20"/>
        </w:rPr>
        <w:t> </w:t>
      </w:r>
      <w:r>
        <w:rPr>
          <w:sz w:val="20"/>
        </w:rPr>
        <w:t>the</w:t>
      </w:r>
      <w:r>
        <w:rPr>
          <w:spacing w:val="-11"/>
          <w:sz w:val="20"/>
        </w:rPr>
        <w:t> </w:t>
      </w:r>
      <w:r>
        <w:rPr>
          <w:sz w:val="20"/>
        </w:rPr>
        <w:t>Court’s</w:t>
      </w:r>
      <w:r>
        <w:rPr>
          <w:spacing w:val="-10"/>
          <w:sz w:val="20"/>
        </w:rPr>
        <w:t> </w:t>
      </w:r>
      <w:r>
        <w:rPr>
          <w:sz w:val="20"/>
        </w:rPr>
        <w:t>HR</w:t>
      </w:r>
      <w:r>
        <w:rPr>
          <w:spacing w:val="-13"/>
          <w:sz w:val="20"/>
        </w:rPr>
        <w:t> </w:t>
      </w:r>
      <w:r>
        <w:rPr>
          <w:sz w:val="20"/>
        </w:rPr>
        <w:t>e-learning</w:t>
      </w:r>
      <w:r>
        <w:rPr>
          <w:spacing w:val="-12"/>
          <w:sz w:val="20"/>
        </w:rPr>
        <w:t> </w:t>
      </w:r>
      <w:r>
        <w:rPr>
          <w:sz w:val="20"/>
        </w:rPr>
        <w:t>platform</w:t>
      </w:r>
      <w:r>
        <w:rPr>
          <w:spacing w:val="-8"/>
          <w:sz w:val="20"/>
        </w:rPr>
        <w:t> </w:t>
      </w:r>
      <w:r>
        <w:rPr>
          <w:sz w:val="20"/>
        </w:rPr>
        <w:t>(LinkedIn</w:t>
      </w:r>
      <w:r>
        <w:rPr>
          <w:spacing w:val="-9"/>
          <w:sz w:val="20"/>
        </w:rPr>
        <w:t> </w:t>
      </w:r>
      <w:r>
        <w:rPr>
          <w:sz w:val="20"/>
        </w:rPr>
        <w:t>Learning,</w:t>
      </w:r>
      <w:r>
        <w:rPr>
          <w:spacing w:val="-12"/>
          <w:sz w:val="20"/>
        </w:rPr>
        <w:t> </w:t>
      </w:r>
      <w:r>
        <w:rPr>
          <w:sz w:val="20"/>
        </w:rPr>
        <w:t>etc.).</w:t>
      </w:r>
      <w:r>
        <w:rPr>
          <w:spacing w:val="-7"/>
          <w:sz w:val="20"/>
        </w:rPr>
        <w:t> </w:t>
      </w:r>
      <w:r>
        <w:rPr>
          <w:sz w:val="20"/>
        </w:rPr>
        <w:t>The</w:t>
      </w:r>
      <w:r>
        <w:rPr>
          <w:spacing w:val="-8"/>
          <w:sz w:val="20"/>
        </w:rPr>
        <w:t> </w:t>
      </w:r>
      <w:r>
        <w:rPr>
          <w:sz w:val="20"/>
        </w:rPr>
        <w:t>Office</w:t>
      </w:r>
      <w:r>
        <w:rPr>
          <w:spacing w:val="-8"/>
          <w:sz w:val="20"/>
        </w:rPr>
        <w:t> </w:t>
      </w:r>
      <w:r>
        <w:rPr>
          <w:sz w:val="20"/>
        </w:rPr>
        <w:t>is</w:t>
      </w:r>
      <w:r>
        <w:rPr>
          <w:spacing w:val="-14"/>
          <w:sz w:val="20"/>
        </w:rPr>
        <w:t> </w:t>
      </w:r>
      <w:r>
        <w:rPr>
          <w:sz w:val="20"/>
        </w:rPr>
        <w:t>however</w:t>
      </w:r>
    </w:p>
    <w:p>
      <w:pPr>
        <w:pStyle w:val="BodyText"/>
        <w:spacing w:before="9"/>
        <w:rPr>
          <w:sz w:val="21"/>
        </w:rPr>
      </w:pPr>
      <w:r>
        <w:rPr/>
        <w:pict>
          <v:rect style="position:absolute;margin-left:113.330002pt;margin-top:13.724817pt;width:144.050pt;height:.48004pt;mso-position-horizontal-relative:page;mso-position-vertical-relative:paragraph;z-index:-15704064;mso-wrap-distance-left:0;mso-wrap-distance-right:0" id="docshape126" filled="true" fillcolor="#000000" stroked="false">
            <v:fill type="solid"/>
            <w10:wrap type="topAndBottom"/>
          </v:rect>
        </w:pict>
      </w:r>
    </w:p>
    <w:p>
      <w:pPr>
        <w:spacing w:before="86"/>
        <w:ind w:left="2246" w:right="2195" w:firstLine="0"/>
        <w:jc w:val="left"/>
        <w:rPr>
          <w:sz w:val="16"/>
        </w:rPr>
      </w:pPr>
      <w:r>
        <w:rPr>
          <w:position w:val="5"/>
          <w:sz w:val="10"/>
        </w:rPr>
        <w:t>75</w:t>
      </w:r>
      <w:r>
        <w:rPr>
          <w:spacing w:val="40"/>
          <w:position w:val="5"/>
          <w:sz w:val="10"/>
        </w:rPr>
        <w:t> </w:t>
      </w:r>
      <w:r>
        <w:rPr>
          <w:sz w:val="16"/>
        </w:rPr>
        <w:t>See</w:t>
      </w:r>
      <w:r>
        <w:rPr>
          <w:spacing w:val="28"/>
          <w:sz w:val="16"/>
        </w:rPr>
        <w:t> </w:t>
      </w:r>
      <w:r>
        <w:rPr>
          <w:i/>
          <w:sz w:val="16"/>
        </w:rPr>
        <w:t>Independent</w:t>
      </w:r>
      <w:r>
        <w:rPr>
          <w:i/>
          <w:spacing w:val="25"/>
          <w:sz w:val="16"/>
        </w:rPr>
        <w:t> </w:t>
      </w:r>
      <w:r>
        <w:rPr>
          <w:i/>
          <w:sz w:val="16"/>
        </w:rPr>
        <w:t>Expert</w:t>
      </w:r>
      <w:r>
        <w:rPr>
          <w:i/>
          <w:spacing w:val="25"/>
          <w:sz w:val="16"/>
        </w:rPr>
        <w:t> </w:t>
      </w:r>
      <w:r>
        <w:rPr>
          <w:i/>
          <w:sz w:val="16"/>
        </w:rPr>
        <w:t>Review</w:t>
      </w:r>
      <w:r>
        <w:rPr>
          <w:i/>
          <w:spacing w:val="26"/>
          <w:sz w:val="16"/>
        </w:rPr>
        <w:t> </w:t>
      </w:r>
      <w:r>
        <w:rPr>
          <w:i/>
          <w:sz w:val="16"/>
        </w:rPr>
        <w:t>of</w:t>
      </w:r>
      <w:r>
        <w:rPr>
          <w:i/>
          <w:spacing w:val="25"/>
          <w:sz w:val="16"/>
        </w:rPr>
        <w:t> </w:t>
      </w:r>
      <w:r>
        <w:rPr>
          <w:i/>
          <w:sz w:val="16"/>
        </w:rPr>
        <w:t>the</w:t>
      </w:r>
      <w:r>
        <w:rPr>
          <w:i/>
          <w:spacing w:val="27"/>
          <w:sz w:val="16"/>
        </w:rPr>
        <w:t> </w:t>
      </w:r>
      <w:r>
        <w:rPr>
          <w:i/>
          <w:sz w:val="16"/>
        </w:rPr>
        <w:t>International</w:t>
      </w:r>
      <w:r>
        <w:rPr>
          <w:i/>
          <w:spacing w:val="25"/>
          <w:sz w:val="16"/>
        </w:rPr>
        <w:t> </w:t>
      </w:r>
      <w:r>
        <w:rPr>
          <w:i/>
          <w:sz w:val="16"/>
        </w:rPr>
        <w:t>Criminal</w:t>
      </w:r>
      <w:r>
        <w:rPr>
          <w:i/>
          <w:spacing w:val="25"/>
          <w:sz w:val="16"/>
        </w:rPr>
        <w:t> </w:t>
      </w:r>
      <w:r>
        <w:rPr>
          <w:i/>
          <w:sz w:val="16"/>
        </w:rPr>
        <w:t>Court</w:t>
      </w:r>
      <w:r>
        <w:rPr>
          <w:i/>
          <w:spacing w:val="25"/>
          <w:sz w:val="16"/>
        </w:rPr>
        <w:t> </w:t>
      </w:r>
      <w:r>
        <w:rPr>
          <w:i/>
          <w:sz w:val="16"/>
        </w:rPr>
        <w:t>and</w:t>
      </w:r>
      <w:r>
        <w:rPr>
          <w:i/>
          <w:spacing w:val="28"/>
          <w:sz w:val="16"/>
        </w:rPr>
        <w:t> </w:t>
      </w:r>
      <w:r>
        <w:rPr>
          <w:i/>
          <w:sz w:val="16"/>
        </w:rPr>
        <w:t>the</w:t>
      </w:r>
      <w:r>
        <w:rPr>
          <w:i/>
          <w:spacing w:val="27"/>
          <w:sz w:val="16"/>
        </w:rPr>
        <w:t> </w:t>
      </w:r>
      <w:r>
        <w:rPr>
          <w:i/>
          <w:sz w:val="16"/>
        </w:rPr>
        <w:t>Rome</w:t>
      </w:r>
      <w:r>
        <w:rPr>
          <w:i/>
          <w:spacing w:val="27"/>
          <w:sz w:val="16"/>
        </w:rPr>
        <w:t> </w:t>
      </w:r>
      <w:r>
        <w:rPr>
          <w:i/>
          <w:sz w:val="16"/>
        </w:rPr>
        <w:t>Statute</w:t>
      </w:r>
      <w:r>
        <w:rPr>
          <w:i/>
          <w:spacing w:val="30"/>
          <w:sz w:val="16"/>
        </w:rPr>
        <w:t> </w:t>
      </w:r>
      <w:r>
        <w:rPr>
          <w:i/>
          <w:sz w:val="16"/>
        </w:rPr>
        <w:t>–</w:t>
      </w:r>
      <w:r>
        <w:rPr>
          <w:i/>
          <w:spacing w:val="28"/>
          <w:sz w:val="16"/>
        </w:rPr>
        <w:t> </w:t>
      </w:r>
      <w:r>
        <w:rPr>
          <w:i/>
          <w:sz w:val="16"/>
        </w:rPr>
        <w:t>Final</w:t>
      </w:r>
      <w:r>
        <w:rPr>
          <w:i/>
          <w:spacing w:val="25"/>
          <w:sz w:val="16"/>
        </w:rPr>
        <w:t> </w:t>
      </w:r>
      <w:r>
        <w:rPr>
          <w:i/>
          <w:sz w:val="16"/>
        </w:rPr>
        <w:t>Report</w:t>
      </w:r>
      <w:r>
        <w:rPr>
          <w:sz w:val="16"/>
        </w:rPr>
        <w:t>,</w:t>
      </w:r>
      <w:r>
        <w:rPr>
          <w:spacing w:val="40"/>
          <w:sz w:val="16"/>
        </w:rPr>
        <w:t> </w:t>
      </w:r>
      <w:r>
        <w:rPr>
          <w:sz w:val="16"/>
        </w:rPr>
        <w:t>30 September 2020, paras. 133, 172-174, and R67-R68.</w:t>
      </w:r>
    </w:p>
    <w:p>
      <w:pPr>
        <w:spacing w:after="0"/>
        <w:jc w:val="left"/>
        <w:rPr>
          <w:sz w:val="16"/>
        </w:rPr>
        <w:sectPr>
          <w:pgSz w:w="11910" w:h="16840"/>
          <w:pgMar w:header="957" w:footer="940" w:top="1140" w:bottom="1140" w:left="20" w:right="20"/>
        </w:sectPr>
      </w:pPr>
    </w:p>
    <w:p>
      <w:pPr>
        <w:pStyle w:val="BodyText"/>
        <w:spacing w:before="124"/>
        <w:ind w:left="2246" w:right="2242"/>
        <w:jc w:val="both"/>
      </w:pPr>
      <w:r>
        <w:rPr/>
        <w:t>mindful</w:t>
      </w:r>
      <w:r>
        <w:rPr>
          <w:spacing w:val="-13"/>
        </w:rPr>
        <w:t> </w:t>
      </w:r>
      <w:r>
        <w:rPr/>
        <w:t>of</w:t>
      </w:r>
      <w:r>
        <w:rPr>
          <w:spacing w:val="-12"/>
        </w:rPr>
        <w:t> </w:t>
      </w:r>
      <w:r>
        <w:rPr/>
        <w:t>the</w:t>
      </w:r>
      <w:r>
        <w:rPr>
          <w:spacing w:val="-13"/>
        </w:rPr>
        <w:t> </w:t>
      </w:r>
      <w:r>
        <w:rPr/>
        <w:t>fact</w:t>
      </w:r>
      <w:r>
        <w:rPr>
          <w:spacing w:val="-12"/>
        </w:rPr>
        <w:t> </w:t>
      </w:r>
      <w:r>
        <w:rPr/>
        <w:t>that</w:t>
      </w:r>
      <w:r>
        <w:rPr>
          <w:spacing w:val="-13"/>
        </w:rPr>
        <w:t> </w:t>
      </w:r>
      <w:r>
        <w:rPr/>
        <w:t>it</w:t>
      </w:r>
      <w:r>
        <w:rPr>
          <w:spacing w:val="-12"/>
        </w:rPr>
        <w:t> </w:t>
      </w:r>
      <w:r>
        <w:rPr/>
        <w:t>must</w:t>
      </w:r>
      <w:r>
        <w:rPr>
          <w:spacing w:val="-13"/>
        </w:rPr>
        <w:t> </w:t>
      </w:r>
      <w:r>
        <w:rPr/>
        <w:t>also</w:t>
      </w:r>
      <w:r>
        <w:rPr>
          <w:spacing w:val="-12"/>
        </w:rPr>
        <w:t> </w:t>
      </w:r>
      <w:r>
        <w:rPr/>
        <w:t>provide</w:t>
      </w:r>
      <w:r>
        <w:rPr>
          <w:spacing w:val="-13"/>
        </w:rPr>
        <w:t> </w:t>
      </w:r>
      <w:r>
        <w:rPr/>
        <w:t>adequate</w:t>
      </w:r>
      <w:r>
        <w:rPr>
          <w:spacing w:val="-12"/>
        </w:rPr>
        <w:t> </w:t>
      </w:r>
      <w:r>
        <w:rPr/>
        <w:t>specialised</w:t>
      </w:r>
      <w:r>
        <w:rPr>
          <w:spacing w:val="-13"/>
        </w:rPr>
        <w:t> </w:t>
      </w:r>
      <w:r>
        <w:rPr/>
        <w:t>training,</w:t>
      </w:r>
      <w:r>
        <w:rPr>
          <w:spacing w:val="-12"/>
        </w:rPr>
        <w:t> </w:t>
      </w:r>
      <w:r>
        <w:rPr/>
        <w:t>enhancing</w:t>
      </w:r>
      <w:r>
        <w:rPr>
          <w:spacing w:val="-13"/>
        </w:rPr>
        <w:t> </w:t>
      </w:r>
      <w:r>
        <w:rPr/>
        <w:t>the</w:t>
      </w:r>
      <w:r>
        <w:rPr>
          <w:spacing w:val="-12"/>
        </w:rPr>
        <w:t> </w:t>
      </w:r>
      <w:r>
        <w:rPr/>
        <w:t>skills of staff based on operational and cooperation needs. The HR e-learning platform does not provide for all specific forms of training that may be necessary.</w:t>
      </w:r>
    </w:p>
    <w:p>
      <w:pPr>
        <w:pStyle w:val="ListParagraph"/>
        <w:numPr>
          <w:ilvl w:val="0"/>
          <w:numId w:val="4"/>
        </w:numPr>
        <w:tabs>
          <w:tab w:pos="2967" w:val="left" w:leader="none"/>
        </w:tabs>
        <w:spacing w:line="240" w:lineRule="auto" w:before="122" w:after="0"/>
        <w:ind w:left="2246" w:right="2240" w:firstLine="0"/>
        <w:jc w:val="both"/>
        <w:rPr>
          <w:sz w:val="20"/>
        </w:rPr>
      </w:pPr>
      <w:r>
        <w:rPr>
          <w:sz w:val="20"/>
        </w:rPr>
        <w:t>Moreover, as in many national systems, certain categories of professionals within the Office are required to</w:t>
      </w:r>
      <w:r>
        <w:rPr>
          <w:spacing w:val="-2"/>
          <w:sz w:val="20"/>
        </w:rPr>
        <w:t> </w:t>
      </w:r>
      <w:r>
        <w:rPr>
          <w:sz w:val="20"/>
        </w:rPr>
        <w:t>attend specific training</w:t>
      </w:r>
      <w:r>
        <w:rPr>
          <w:spacing w:val="-2"/>
          <w:sz w:val="20"/>
        </w:rPr>
        <w:t> </w:t>
      </w:r>
      <w:r>
        <w:rPr>
          <w:sz w:val="20"/>
        </w:rPr>
        <w:t>to maintain their qualification or</w:t>
      </w:r>
      <w:r>
        <w:rPr>
          <w:spacing w:val="-2"/>
          <w:sz w:val="20"/>
        </w:rPr>
        <w:t> </w:t>
      </w:r>
      <w:r>
        <w:rPr>
          <w:sz w:val="20"/>
        </w:rPr>
        <w:t>to obtain certification to the requisite standards.</w:t>
      </w:r>
    </w:p>
    <w:p>
      <w:pPr>
        <w:pStyle w:val="ListParagraph"/>
        <w:numPr>
          <w:ilvl w:val="0"/>
          <w:numId w:val="4"/>
        </w:numPr>
        <w:tabs>
          <w:tab w:pos="2967" w:val="left" w:leader="none"/>
        </w:tabs>
        <w:spacing w:line="240" w:lineRule="auto" w:before="121" w:after="0"/>
        <w:ind w:left="2246" w:right="2245" w:firstLine="0"/>
        <w:jc w:val="both"/>
        <w:rPr>
          <w:sz w:val="20"/>
        </w:rPr>
      </w:pPr>
      <w:r>
        <w:rPr>
          <w:sz w:val="20"/>
        </w:rPr>
        <w:t>The Office will continue to work with</w:t>
      </w:r>
      <w:r>
        <w:rPr>
          <w:spacing w:val="-1"/>
          <w:sz w:val="20"/>
        </w:rPr>
        <w:t> </w:t>
      </w:r>
      <w:r>
        <w:rPr>
          <w:sz w:val="20"/>
        </w:rPr>
        <w:t>the other organs, organizations</w:t>
      </w:r>
      <w:r>
        <w:rPr>
          <w:spacing w:val="-2"/>
          <w:sz w:val="20"/>
        </w:rPr>
        <w:t> </w:t>
      </w:r>
      <w:r>
        <w:rPr>
          <w:sz w:val="20"/>
        </w:rPr>
        <w:t>and</w:t>
      </w:r>
      <w:r>
        <w:rPr>
          <w:spacing w:val="-1"/>
          <w:sz w:val="20"/>
        </w:rPr>
        <w:t> </w:t>
      </w:r>
      <w:r>
        <w:rPr>
          <w:sz w:val="20"/>
        </w:rPr>
        <w:t>national authorities</w:t>
      </w:r>
      <w:r>
        <w:rPr>
          <w:spacing w:val="-10"/>
          <w:sz w:val="20"/>
        </w:rPr>
        <w:t> </w:t>
      </w:r>
      <w:r>
        <w:rPr>
          <w:sz w:val="20"/>
        </w:rPr>
        <w:t>to</w:t>
      </w:r>
      <w:r>
        <w:rPr>
          <w:spacing w:val="-8"/>
          <w:sz w:val="20"/>
        </w:rPr>
        <w:t> </w:t>
      </w:r>
      <w:r>
        <w:rPr>
          <w:sz w:val="20"/>
        </w:rPr>
        <w:t>ensure</w:t>
      </w:r>
      <w:r>
        <w:rPr>
          <w:spacing w:val="-7"/>
          <w:sz w:val="20"/>
        </w:rPr>
        <w:t> </w:t>
      </w:r>
      <w:r>
        <w:rPr>
          <w:sz w:val="20"/>
        </w:rPr>
        <w:t>maximum</w:t>
      </w:r>
      <w:r>
        <w:rPr>
          <w:spacing w:val="-7"/>
          <w:sz w:val="20"/>
        </w:rPr>
        <w:t> </w:t>
      </w:r>
      <w:r>
        <w:rPr>
          <w:sz w:val="20"/>
        </w:rPr>
        <w:t>cost-effectiveness,</w:t>
      </w:r>
      <w:r>
        <w:rPr>
          <w:spacing w:val="-6"/>
          <w:sz w:val="20"/>
        </w:rPr>
        <w:t> </w:t>
      </w:r>
      <w:r>
        <w:rPr>
          <w:sz w:val="20"/>
        </w:rPr>
        <w:t>for</w:t>
      </w:r>
      <w:r>
        <w:rPr>
          <w:spacing w:val="-8"/>
          <w:sz w:val="20"/>
        </w:rPr>
        <w:t> </w:t>
      </w:r>
      <w:r>
        <w:rPr>
          <w:sz w:val="20"/>
        </w:rPr>
        <w:t>example,</w:t>
      </w:r>
      <w:r>
        <w:rPr>
          <w:spacing w:val="-6"/>
          <w:sz w:val="20"/>
        </w:rPr>
        <w:t> </w:t>
      </w:r>
      <w:r>
        <w:rPr>
          <w:sz w:val="20"/>
        </w:rPr>
        <w:t>by</w:t>
      </w:r>
      <w:r>
        <w:rPr>
          <w:spacing w:val="-8"/>
          <w:sz w:val="20"/>
        </w:rPr>
        <w:t> </w:t>
      </w:r>
      <w:r>
        <w:rPr>
          <w:sz w:val="20"/>
        </w:rPr>
        <w:t>looking</w:t>
      </w:r>
      <w:r>
        <w:rPr>
          <w:spacing w:val="-8"/>
          <w:sz w:val="20"/>
        </w:rPr>
        <w:t> </w:t>
      </w:r>
      <w:r>
        <w:rPr>
          <w:sz w:val="20"/>
        </w:rPr>
        <w:t>for</w:t>
      </w:r>
      <w:r>
        <w:rPr>
          <w:spacing w:val="-3"/>
          <w:sz w:val="20"/>
        </w:rPr>
        <w:t> </w:t>
      </w:r>
      <w:r>
        <w:rPr>
          <w:sz w:val="20"/>
        </w:rPr>
        <w:t>synergies</w:t>
      </w:r>
      <w:r>
        <w:rPr>
          <w:spacing w:val="-10"/>
          <w:sz w:val="20"/>
        </w:rPr>
        <w:t> </w:t>
      </w:r>
      <w:r>
        <w:rPr>
          <w:sz w:val="20"/>
        </w:rPr>
        <w:t>and opportunities</w:t>
      </w:r>
      <w:r>
        <w:rPr>
          <w:spacing w:val="-13"/>
          <w:sz w:val="20"/>
        </w:rPr>
        <w:t> </w:t>
      </w:r>
      <w:r>
        <w:rPr>
          <w:sz w:val="20"/>
        </w:rPr>
        <w:t>to</w:t>
      </w:r>
      <w:r>
        <w:rPr>
          <w:spacing w:val="-12"/>
          <w:sz w:val="20"/>
        </w:rPr>
        <w:t> </w:t>
      </w:r>
      <w:r>
        <w:rPr>
          <w:sz w:val="20"/>
        </w:rPr>
        <w:t>engage</w:t>
      </w:r>
      <w:r>
        <w:rPr>
          <w:spacing w:val="-13"/>
          <w:sz w:val="20"/>
        </w:rPr>
        <w:t> </w:t>
      </w:r>
      <w:r>
        <w:rPr>
          <w:sz w:val="20"/>
        </w:rPr>
        <w:t>in</w:t>
      </w:r>
      <w:r>
        <w:rPr>
          <w:spacing w:val="-12"/>
          <w:sz w:val="20"/>
        </w:rPr>
        <w:t> </w:t>
      </w:r>
      <w:r>
        <w:rPr>
          <w:sz w:val="20"/>
        </w:rPr>
        <w:t>joint</w:t>
      </w:r>
      <w:r>
        <w:rPr>
          <w:spacing w:val="-13"/>
          <w:sz w:val="20"/>
        </w:rPr>
        <w:t> </w:t>
      </w:r>
      <w:r>
        <w:rPr>
          <w:sz w:val="20"/>
        </w:rPr>
        <w:t>training,</w:t>
      </w:r>
      <w:r>
        <w:rPr>
          <w:spacing w:val="-7"/>
          <w:sz w:val="20"/>
        </w:rPr>
        <w:t> </w:t>
      </w:r>
      <w:r>
        <w:rPr>
          <w:sz w:val="20"/>
        </w:rPr>
        <w:t>sharing</w:t>
      </w:r>
      <w:r>
        <w:rPr>
          <w:spacing w:val="-12"/>
          <w:sz w:val="20"/>
        </w:rPr>
        <w:t> </w:t>
      </w:r>
      <w:r>
        <w:rPr>
          <w:sz w:val="20"/>
        </w:rPr>
        <w:t>annual</w:t>
      </w:r>
      <w:r>
        <w:rPr>
          <w:spacing w:val="-12"/>
          <w:sz w:val="20"/>
        </w:rPr>
        <w:t> </w:t>
      </w:r>
      <w:r>
        <w:rPr>
          <w:sz w:val="20"/>
        </w:rPr>
        <w:t>advocacy</w:t>
      </w:r>
      <w:r>
        <w:rPr>
          <w:spacing w:val="-13"/>
          <w:sz w:val="20"/>
        </w:rPr>
        <w:t> </w:t>
      </w:r>
      <w:r>
        <w:rPr>
          <w:sz w:val="20"/>
        </w:rPr>
        <w:t>and</w:t>
      </w:r>
      <w:r>
        <w:rPr>
          <w:spacing w:val="-12"/>
          <w:sz w:val="20"/>
        </w:rPr>
        <w:t> </w:t>
      </w:r>
      <w:r>
        <w:rPr>
          <w:sz w:val="20"/>
        </w:rPr>
        <w:t>appellate</w:t>
      </w:r>
      <w:r>
        <w:rPr>
          <w:spacing w:val="-12"/>
          <w:sz w:val="20"/>
        </w:rPr>
        <w:t> </w:t>
      </w:r>
      <w:r>
        <w:rPr>
          <w:sz w:val="20"/>
        </w:rPr>
        <w:t>training</w:t>
      </w:r>
      <w:r>
        <w:rPr>
          <w:spacing w:val="-13"/>
          <w:sz w:val="20"/>
        </w:rPr>
        <w:t> </w:t>
      </w:r>
      <w:r>
        <w:rPr>
          <w:sz w:val="20"/>
        </w:rPr>
        <w:t>costs with</w:t>
      </w:r>
      <w:r>
        <w:rPr>
          <w:spacing w:val="-13"/>
          <w:sz w:val="20"/>
        </w:rPr>
        <w:t> </w:t>
      </w:r>
      <w:r>
        <w:rPr>
          <w:sz w:val="20"/>
        </w:rPr>
        <w:t>the</w:t>
      </w:r>
      <w:r>
        <w:rPr>
          <w:spacing w:val="-12"/>
          <w:sz w:val="20"/>
        </w:rPr>
        <w:t> </w:t>
      </w:r>
      <w:r>
        <w:rPr>
          <w:sz w:val="20"/>
        </w:rPr>
        <w:t>ad</w:t>
      </w:r>
      <w:r>
        <w:rPr>
          <w:spacing w:val="-12"/>
          <w:sz w:val="20"/>
        </w:rPr>
        <w:t> </w:t>
      </w:r>
      <w:r>
        <w:rPr>
          <w:sz w:val="20"/>
        </w:rPr>
        <w:t>hoc</w:t>
      </w:r>
      <w:r>
        <w:rPr>
          <w:spacing w:val="-12"/>
          <w:sz w:val="20"/>
        </w:rPr>
        <w:t> </w:t>
      </w:r>
      <w:r>
        <w:rPr>
          <w:sz w:val="20"/>
        </w:rPr>
        <w:t>tribunals</w:t>
      </w:r>
      <w:r>
        <w:rPr>
          <w:spacing w:val="-10"/>
          <w:sz w:val="20"/>
        </w:rPr>
        <w:t> </w:t>
      </w:r>
      <w:r>
        <w:rPr>
          <w:sz w:val="20"/>
        </w:rPr>
        <w:t>or</w:t>
      </w:r>
      <w:r>
        <w:rPr>
          <w:spacing w:val="-13"/>
          <w:sz w:val="20"/>
        </w:rPr>
        <w:t> </w:t>
      </w:r>
      <w:r>
        <w:rPr>
          <w:sz w:val="20"/>
        </w:rPr>
        <w:t>engaging</w:t>
      </w:r>
      <w:r>
        <w:rPr>
          <w:spacing w:val="-12"/>
          <w:sz w:val="20"/>
        </w:rPr>
        <w:t> </w:t>
      </w:r>
      <w:r>
        <w:rPr>
          <w:sz w:val="20"/>
        </w:rPr>
        <w:t>reputable</w:t>
      </w:r>
      <w:r>
        <w:rPr>
          <w:spacing w:val="-8"/>
          <w:sz w:val="20"/>
        </w:rPr>
        <w:t> </w:t>
      </w:r>
      <w:r>
        <w:rPr>
          <w:sz w:val="20"/>
        </w:rPr>
        <w:t>organizations</w:t>
      </w:r>
      <w:r>
        <w:rPr>
          <w:spacing w:val="-13"/>
          <w:sz w:val="20"/>
        </w:rPr>
        <w:t> </w:t>
      </w:r>
      <w:r>
        <w:rPr>
          <w:sz w:val="20"/>
        </w:rPr>
        <w:t>that</w:t>
      </w:r>
      <w:r>
        <w:rPr>
          <w:spacing w:val="-12"/>
          <w:sz w:val="20"/>
        </w:rPr>
        <w:t> </w:t>
      </w:r>
      <w:r>
        <w:rPr>
          <w:sz w:val="20"/>
        </w:rPr>
        <w:t>are</w:t>
      </w:r>
      <w:r>
        <w:rPr>
          <w:spacing w:val="-11"/>
          <w:sz w:val="20"/>
        </w:rPr>
        <w:t> </w:t>
      </w:r>
      <w:r>
        <w:rPr>
          <w:sz w:val="20"/>
        </w:rPr>
        <w:t>willing</w:t>
      </w:r>
      <w:r>
        <w:rPr>
          <w:spacing w:val="-13"/>
          <w:sz w:val="20"/>
        </w:rPr>
        <w:t> </w:t>
      </w:r>
      <w:r>
        <w:rPr>
          <w:sz w:val="20"/>
        </w:rPr>
        <w:t>to</w:t>
      </w:r>
      <w:r>
        <w:rPr>
          <w:spacing w:val="-8"/>
          <w:sz w:val="20"/>
        </w:rPr>
        <w:t> </w:t>
      </w:r>
      <w:r>
        <w:rPr>
          <w:sz w:val="20"/>
        </w:rPr>
        <w:t>offer</w:t>
      </w:r>
      <w:r>
        <w:rPr>
          <w:spacing w:val="-13"/>
          <w:sz w:val="20"/>
        </w:rPr>
        <w:t> </w:t>
      </w:r>
      <w:r>
        <w:rPr>
          <w:sz w:val="20"/>
        </w:rPr>
        <w:t>services on a pro bono basis.</w:t>
      </w:r>
    </w:p>
    <w:p>
      <w:pPr>
        <w:pStyle w:val="BodyText"/>
        <w:spacing w:before="8"/>
      </w:pPr>
    </w:p>
    <w:p>
      <w:pPr>
        <w:tabs>
          <w:tab w:pos="8282" w:val="left" w:leader="none"/>
        </w:tabs>
        <w:spacing w:before="0"/>
        <w:ind w:left="2246" w:right="0" w:firstLine="0"/>
        <w:jc w:val="both"/>
        <w:rPr>
          <w:i/>
          <w:sz w:val="20"/>
        </w:rPr>
      </w:pPr>
      <w:r>
        <w:rPr>
          <w:i/>
          <w:spacing w:val="-2"/>
          <w:sz w:val="20"/>
        </w:rPr>
        <w:t>Consultants</w:t>
      </w:r>
      <w:r>
        <w:rPr>
          <w:i/>
          <w:sz w:val="20"/>
        </w:rPr>
        <w:tab/>
        <w:t>€100.0</w:t>
      </w:r>
      <w:r>
        <w:rPr>
          <w:i/>
          <w:spacing w:val="-3"/>
          <w:sz w:val="20"/>
        </w:rPr>
        <w:t> </w:t>
      </w:r>
      <w:r>
        <w:rPr>
          <w:i/>
          <w:spacing w:val="-2"/>
          <w:sz w:val="20"/>
        </w:rPr>
        <w:t>thousand</w:t>
      </w:r>
    </w:p>
    <w:p>
      <w:pPr>
        <w:pStyle w:val="BodyText"/>
        <w:spacing w:before="10"/>
        <w:rPr>
          <w:i/>
        </w:rPr>
      </w:pPr>
    </w:p>
    <w:p>
      <w:pPr>
        <w:pStyle w:val="ListParagraph"/>
        <w:numPr>
          <w:ilvl w:val="0"/>
          <w:numId w:val="4"/>
        </w:numPr>
        <w:tabs>
          <w:tab w:pos="2967" w:val="left" w:leader="none"/>
        </w:tabs>
        <w:spacing w:line="240" w:lineRule="auto" w:before="1" w:after="0"/>
        <w:ind w:left="2246" w:right="2243" w:firstLine="0"/>
        <w:jc w:val="both"/>
        <w:rPr>
          <w:sz w:val="20"/>
        </w:rPr>
      </w:pPr>
      <w:r>
        <w:rPr>
          <w:sz w:val="20"/>
        </w:rPr>
        <w:t>The requested amount equates to approximately seven work-months at P-5 level, although the actual level of the consultants will be determined on the basis of the work required and individual experience. The budget remains centralized in IOP to ensure coordination across operational activities. The funds requested are the same as in the 2022 approved budget.</w:t>
      </w:r>
    </w:p>
    <w:p>
      <w:pPr>
        <w:pStyle w:val="ListParagraph"/>
        <w:numPr>
          <w:ilvl w:val="0"/>
          <w:numId w:val="4"/>
        </w:numPr>
        <w:tabs>
          <w:tab w:pos="2967" w:val="left" w:leader="none"/>
        </w:tabs>
        <w:spacing w:line="240" w:lineRule="auto" w:before="122" w:after="0"/>
        <w:ind w:left="2246" w:right="2240" w:firstLine="0"/>
        <w:jc w:val="both"/>
        <w:rPr>
          <w:sz w:val="20"/>
        </w:rPr>
      </w:pPr>
      <w:r>
        <w:rPr>
          <w:sz w:val="20"/>
        </w:rPr>
        <w:t>In accordance with article 42(9) of the Rome Statute, the Prosecutor will continue to engage the services of consultants on thematic issues such as sexual and gender-based crimes, crimes against children and cultural heritage.</w:t>
      </w:r>
    </w:p>
    <w:p>
      <w:pPr>
        <w:pStyle w:val="ListParagraph"/>
        <w:numPr>
          <w:ilvl w:val="0"/>
          <w:numId w:val="4"/>
        </w:numPr>
        <w:tabs>
          <w:tab w:pos="2967" w:val="left" w:leader="none"/>
        </w:tabs>
        <w:spacing w:line="240" w:lineRule="auto" w:before="122" w:after="0"/>
        <w:ind w:left="2246" w:right="2250" w:firstLine="0"/>
        <w:jc w:val="both"/>
        <w:rPr>
          <w:sz w:val="20"/>
        </w:rPr>
      </w:pPr>
      <w:r>
        <w:rPr>
          <w:sz w:val="20"/>
        </w:rPr>
        <w:t>Consultancy funds</w:t>
      </w:r>
      <w:r>
        <w:rPr>
          <w:spacing w:val="-1"/>
          <w:sz w:val="20"/>
        </w:rPr>
        <w:t> </w:t>
      </w:r>
      <w:r>
        <w:rPr>
          <w:sz w:val="20"/>
        </w:rPr>
        <w:t>will also be used as</w:t>
      </w:r>
      <w:r>
        <w:rPr>
          <w:spacing w:val="-1"/>
          <w:sz w:val="20"/>
        </w:rPr>
        <w:t> </w:t>
      </w:r>
      <w:r>
        <w:rPr>
          <w:sz w:val="20"/>
        </w:rPr>
        <w:t>needed to</w:t>
      </w:r>
      <w:r>
        <w:rPr>
          <w:spacing w:val="-5"/>
          <w:sz w:val="20"/>
        </w:rPr>
        <w:t> </w:t>
      </w:r>
      <w:r>
        <w:rPr>
          <w:sz w:val="20"/>
        </w:rPr>
        <w:t>engage specific expert assistance in</w:t>
      </w:r>
      <w:r>
        <w:rPr>
          <w:spacing w:val="-4"/>
          <w:sz w:val="20"/>
        </w:rPr>
        <w:t> </w:t>
      </w:r>
      <w:r>
        <w:rPr>
          <w:sz w:val="20"/>
        </w:rPr>
        <w:t>investigative</w:t>
      </w:r>
      <w:r>
        <w:rPr>
          <w:spacing w:val="-2"/>
          <w:sz w:val="20"/>
        </w:rPr>
        <w:t> </w:t>
      </w:r>
      <w:r>
        <w:rPr>
          <w:sz w:val="20"/>
        </w:rPr>
        <w:t>and</w:t>
      </w:r>
      <w:r>
        <w:rPr>
          <w:spacing w:val="-4"/>
          <w:sz w:val="20"/>
        </w:rPr>
        <w:t> </w:t>
      </w:r>
      <w:r>
        <w:rPr>
          <w:sz w:val="20"/>
        </w:rPr>
        <w:t>trial</w:t>
      </w:r>
      <w:r>
        <w:rPr>
          <w:spacing w:val="-2"/>
          <w:sz w:val="20"/>
        </w:rPr>
        <w:t> </w:t>
      </w:r>
      <w:r>
        <w:rPr>
          <w:sz w:val="20"/>
        </w:rPr>
        <w:t>support</w:t>
      </w:r>
      <w:r>
        <w:rPr>
          <w:spacing w:val="-2"/>
          <w:sz w:val="20"/>
        </w:rPr>
        <w:t> </w:t>
      </w:r>
      <w:r>
        <w:rPr>
          <w:sz w:val="20"/>
        </w:rPr>
        <w:t>activities.</w:t>
      </w:r>
      <w:r>
        <w:rPr>
          <w:spacing w:val="-1"/>
          <w:sz w:val="20"/>
        </w:rPr>
        <w:t> </w:t>
      </w:r>
      <w:r>
        <w:rPr>
          <w:sz w:val="20"/>
        </w:rPr>
        <w:t>All</w:t>
      </w:r>
      <w:r>
        <w:rPr>
          <w:spacing w:val="-2"/>
          <w:sz w:val="20"/>
        </w:rPr>
        <w:t> </w:t>
      </w:r>
      <w:r>
        <w:rPr>
          <w:sz w:val="20"/>
        </w:rPr>
        <w:t>efforts will</w:t>
      </w:r>
      <w:r>
        <w:rPr>
          <w:spacing w:val="-2"/>
          <w:sz w:val="20"/>
        </w:rPr>
        <w:t> </w:t>
      </w:r>
      <w:r>
        <w:rPr>
          <w:sz w:val="20"/>
        </w:rPr>
        <w:t>continue</w:t>
      </w:r>
      <w:r>
        <w:rPr>
          <w:spacing w:val="-2"/>
          <w:sz w:val="20"/>
        </w:rPr>
        <w:t> </w:t>
      </w:r>
      <w:r>
        <w:rPr>
          <w:sz w:val="20"/>
        </w:rPr>
        <w:t>to</w:t>
      </w:r>
      <w:r>
        <w:rPr>
          <w:spacing w:val="-4"/>
          <w:sz w:val="20"/>
        </w:rPr>
        <w:t> </w:t>
      </w:r>
      <w:r>
        <w:rPr>
          <w:sz w:val="20"/>
        </w:rPr>
        <w:t>be</w:t>
      </w:r>
      <w:r>
        <w:rPr>
          <w:spacing w:val="-2"/>
          <w:sz w:val="20"/>
        </w:rPr>
        <w:t> </w:t>
      </w:r>
      <w:r>
        <w:rPr>
          <w:sz w:val="20"/>
        </w:rPr>
        <w:t>made</w:t>
      </w:r>
      <w:r>
        <w:rPr>
          <w:spacing w:val="-2"/>
          <w:sz w:val="20"/>
        </w:rPr>
        <w:t> </w:t>
      </w:r>
      <w:r>
        <w:rPr>
          <w:sz w:val="20"/>
        </w:rPr>
        <w:t>to keep</w:t>
      </w:r>
      <w:r>
        <w:rPr>
          <w:spacing w:val="-4"/>
          <w:sz w:val="20"/>
        </w:rPr>
        <w:t> </w:t>
      </w:r>
      <w:r>
        <w:rPr>
          <w:sz w:val="20"/>
        </w:rPr>
        <w:t>such costs to a minimum through planning and scrutiny of such expenses.</w:t>
      </w:r>
    </w:p>
    <w:p>
      <w:pPr>
        <w:pStyle w:val="BodyText"/>
        <w:spacing w:before="6"/>
      </w:pPr>
    </w:p>
    <w:p>
      <w:pPr>
        <w:tabs>
          <w:tab w:pos="8282" w:val="left" w:leader="none"/>
        </w:tabs>
        <w:spacing w:before="0"/>
        <w:ind w:left="2246" w:right="0" w:firstLine="0"/>
        <w:jc w:val="both"/>
        <w:rPr>
          <w:i/>
          <w:sz w:val="20"/>
        </w:rPr>
      </w:pPr>
      <w:r>
        <w:rPr>
          <w:i/>
          <w:sz w:val="20"/>
        </w:rPr>
        <w:t>General</w:t>
      </w:r>
      <w:r>
        <w:rPr>
          <w:i/>
          <w:spacing w:val="-8"/>
          <w:sz w:val="20"/>
        </w:rPr>
        <w:t> </w:t>
      </w:r>
      <w:r>
        <w:rPr>
          <w:i/>
          <w:sz w:val="20"/>
        </w:rPr>
        <w:t>Operating</w:t>
      </w:r>
      <w:r>
        <w:rPr>
          <w:i/>
          <w:spacing w:val="-9"/>
          <w:sz w:val="20"/>
        </w:rPr>
        <w:t> </w:t>
      </w:r>
      <w:r>
        <w:rPr>
          <w:i/>
          <w:spacing w:val="-2"/>
          <w:sz w:val="20"/>
        </w:rPr>
        <w:t>Expenses</w:t>
      </w:r>
      <w:r>
        <w:rPr>
          <w:i/>
          <w:sz w:val="20"/>
        </w:rPr>
        <w:tab/>
        <w:t>€100.0</w:t>
      </w:r>
      <w:r>
        <w:rPr>
          <w:i/>
          <w:spacing w:val="-3"/>
          <w:sz w:val="20"/>
        </w:rPr>
        <w:t> </w:t>
      </w:r>
      <w:r>
        <w:rPr>
          <w:i/>
          <w:spacing w:val="-2"/>
          <w:sz w:val="20"/>
        </w:rPr>
        <w:t>thousand</w:t>
      </w:r>
    </w:p>
    <w:p>
      <w:pPr>
        <w:pStyle w:val="BodyText"/>
        <w:spacing w:before="11"/>
        <w:rPr>
          <w:i/>
        </w:rPr>
      </w:pPr>
    </w:p>
    <w:p>
      <w:pPr>
        <w:pStyle w:val="ListParagraph"/>
        <w:numPr>
          <w:ilvl w:val="0"/>
          <w:numId w:val="4"/>
        </w:numPr>
        <w:tabs>
          <w:tab w:pos="2967" w:val="left" w:leader="none"/>
        </w:tabs>
        <w:spacing w:line="240" w:lineRule="auto" w:before="0" w:after="0"/>
        <w:ind w:left="2246" w:right="2241" w:firstLine="0"/>
        <w:jc w:val="both"/>
        <w:rPr>
          <w:sz w:val="20"/>
        </w:rPr>
      </w:pPr>
      <w:r>
        <w:rPr>
          <w:sz w:val="20"/>
        </w:rPr>
        <w:t>General</w:t>
      </w:r>
      <w:r>
        <w:rPr>
          <w:spacing w:val="-2"/>
          <w:sz w:val="20"/>
        </w:rPr>
        <w:t> </w:t>
      </w:r>
      <w:r>
        <w:rPr>
          <w:sz w:val="20"/>
        </w:rPr>
        <w:t>Operating</w:t>
      </w:r>
      <w:r>
        <w:rPr>
          <w:spacing w:val="-8"/>
          <w:sz w:val="20"/>
        </w:rPr>
        <w:t> </w:t>
      </w:r>
      <w:r>
        <w:rPr>
          <w:sz w:val="20"/>
        </w:rPr>
        <w:t>Expenses</w:t>
      </w:r>
      <w:r>
        <w:rPr>
          <w:spacing w:val="-5"/>
          <w:sz w:val="20"/>
        </w:rPr>
        <w:t> </w:t>
      </w:r>
      <w:r>
        <w:rPr>
          <w:sz w:val="20"/>
        </w:rPr>
        <w:t>address</w:t>
      </w:r>
      <w:r>
        <w:rPr>
          <w:spacing w:val="-5"/>
          <w:sz w:val="20"/>
        </w:rPr>
        <w:t> </w:t>
      </w:r>
      <w:r>
        <w:rPr>
          <w:sz w:val="20"/>
        </w:rPr>
        <w:t>the</w:t>
      </w:r>
      <w:r>
        <w:rPr>
          <w:spacing w:val="-2"/>
          <w:sz w:val="20"/>
        </w:rPr>
        <w:t> </w:t>
      </w:r>
      <w:r>
        <w:rPr>
          <w:sz w:val="20"/>
        </w:rPr>
        <w:t>needs</w:t>
      </w:r>
      <w:r>
        <w:rPr>
          <w:spacing w:val="-5"/>
          <w:sz w:val="20"/>
        </w:rPr>
        <w:t> </w:t>
      </w:r>
      <w:r>
        <w:rPr>
          <w:sz w:val="20"/>
        </w:rPr>
        <w:t>of</w:t>
      </w:r>
      <w:r>
        <w:rPr>
          <w:spacing w:val="-4"/>
          <w:sz w:val="20"/>
        </w:rPr>
        <w:t> </w:t>
      </w:r>
      <w:r>
        <w:rPr>
          <w:sz w:val="20"/>
        </w:rPr>
        <w:t>the</w:t>
      </w:r>
      <w:r>
        <w:rPr>
          <w:spacing w:val="-2"/>
          <w:sz w:val="20"/>
        </w:rPr>
        <w:t> </w:t>
      </w:r>
      <w:r>
        <w:rPr>
          <w:sz w:val="20"/>
        </w:rPr>
        <w:t>Office</w:t>
      </w:r>
      <w:r>
        <w:rPr>
          <w:spacing w:val="-7"/>
          <w:sz w:val="20"/>
        </w:rPr>
        <w:t> </w:t>
      </w:r>
      <w:r>
        <w:rPr>
          <w:sz w:val="20"/>
        </w:rPr>
        <w:t>with</w:t>
      </w:r>
      <w:r>
        <w:rPr>
          <w:spacing w:val="-4"/>
          <w:sz w:val="20"/>
        </w:rPr>
        <w:t> </w:t>
      </w:r>
      <w:r>
        <w:rPr>
          <w:sz w:val="20"/>
        </w:rPr>
        <w:t>respect</w:t>
      </w:r>
      <w:r>
        <w:rPr>
          <w:spacing w:val="-2"/>
          <w:sz w:val="20"/>
        </w:rPr>
        <w:t> </w:t>
      </w:r>
      <w:r>
        <w:rPr>
          <w:sz w:val="20"/>
        </w:rPr>
        <w:t>to</w:t>
      </w:r>
      <w:r>
        <w:rPr>
          <w:spacing w:val="-8"/>
          <w:sz w:val="20"/>
        </w:rPr>
        <w:t> </w:t>
      </w:r>
      <w:r>
        <w:rPr>
          <w:sz w:val="20"/>
        </w:rPr>
        <w:t>aspects of operational activities, supporting in particular the expenses incurred in relation to engagement with witnesses and victims by the Unified Teams. To ensure proper accountability and transparency with respect to the use of such funds, GEO expense funds will</w:t>
      </w:r>
      <w:r>
        <w:rPr>
          <w:spacing w:val="-2"/>
          <w:sz w:val="20"/>
        </w:rPr>
        <w:t> </w:t>
      </w:r>
      <w:r>
        <w:rPr>
          <w:sz w:val="20"/>
        </w:rPr>
        <w:t>be</w:t>
      </w:r>
      <w:r>
        <w:rPr>
          <w:spacing w:val="-7"/>
          <w:sz w:val="20"/>
        </w:rPr>
        <w:t> </w:t>
      </w:r>
      <w:r>
        <w:rPr>
          <w:sz w:val="20"/>
        </w:rPr>
        <w:t>allocated</w:t>
      </w:r>
      <w:r>
        <w:rPr>
          <w:spacing w:val="-4"/>
          <w:sz w:val="20"/>
        </w:rPr>
        <w:t> </w:t>
      </w:r>
      <w:r>
        <w:rPr>
          <w:sz w:val="20"/>
        </w:rPr>
        <w:t>to</w:t>
      </w:r>
      <w:r>
        <w:rPr>
          <w:spacing w:val="-8"/>
          <w:sz w:val="20"/>
        </w:rPr>
        <w:t> </w:t>
      </w:r>
      <w:r>
        <w:rPr>
          <w:sz w:val="20"/>
        </w:rPr>
        <w:t>the</w:t>
      </w:r>
      <w:r>
        <w:rPr>
          <w:spacing w:val="-2"/>
          <w:sz w:val="20"/>
        </w:rPr>
        <w:t> </w:t>
      </w:r>
      <w:r>
        <w:rPr>
          <w:sz w:val="20"/>
        </w:rPr>
        <w:t>Unified</w:t>
      </w:r>
      <w:r>
        <w:rPr>
          <w:spacing w:val="-8"/>
          <w:sz w:val="20"/>
        </w:rPr>
        <w:t> </w:t>
      </w:r>
      <w:r>
        <w:rPr>
          <w:sz w:val="20"/>
        </w:rPr>
        <w:t>Teams</w:t>
      </w:r>
      <w:r>
        <w:rPr>
          <w:spacing w:val="-5"/>
          <w:sz w:val="20"/>
        </w:rPr>
        <w:t> </w:t>
      </w:r>
      <w:r>
        <w:rPr>
          <w:sz w:val="20"/>
        </w:rPr>
        <w:t>for</w:t>
      </w:r>
      <w:r>
        <w:rPr>
          <w:spacing w:val="-4"/>
          <w:sz w:val="20"/>
        </w:rPr>
        <w:t> </w:t>
      </w:r>
      <w:r>
        <w:rPr>
          <w:sz w:val="20"/>
        </w:rPr>
        <w:t>use</w:t>
      </w:r>
      <w:r>
        <w:rPr>
          <w:spacing w:val="-7"/>
          <w:sz w:val="20"/>
        </w:rPr>
        <w:t> </w:t>
      </w:r>
      <w:r>
        <w:rPr>
          <w:sz w:val="20"/>
        </w:rPr>
        <w:t>in</w:t>
      </w:r>
      <w:r>
        <w:rPr>
          <w:spacing w:val="-8"/>
          <w:sz w:val="20"/>
        </w:rPr>
        <w:t> </w:t>
      </w:r>
      <w:r>
        <w:rPr>
          <w:sz w:val="20"/>
        </w:rPr>
        <w:t>their</w:t>
      </w:r>
      <w:r>
        <w:rPr>
          <w:spacing w:val="-4"/>
          <w:sz w:val="20"/>
        </w:rPr>
        <w:t> </w:t>
      </w:r>
      <w:r>
        <w:rPr>
          <w:sz w:val="20"/>
        </w:rPr>
        <w:t>operational</w:t>
      </w:r>
      <w:r>
        <w:rPr>
          <w:spacing w:val="-7"/>
          <w:sz w:val="20"/>
        </w:rPr>
        <w:t> </w:t>
      </w:r>
      <w:r>
        <w:rPr>
          <w:sz w:val="20"/>
        </w:rPr>
        <w:t>engagements. As</w:t>
      </w:r>
      <w:r>
        <w:rPr>
          <w:spacing w:val="-5"/>
          <w:sz w:val="20"/>
        </w:rPr>
        <w:t> </w:t>
      </w:r>
      <w:r>
        <w:rPr>
          <w:sz w:val="20"/>
        </w:rPr>
        <w:t>reflected above,</w:t>
      </w:r>
      <w:r>
        <w:rPr>
          <w:spacing w:val="-11"/>
          <w:sz w:val="20"/>
        </w:rPr>
        <w:t> </w:t>
      </w:r>
      <w:r>
        <w:rPr>
          <w:sz w:val="20"/>
        </w:rPr>
        <w:t>the</w:t>
      </w:r>
      <w:r>
        <w:rPr>
          <w:spacing w:val="-10"/>
          <w:sz w:val="20"/>
        </w:rPr>
        <w:t> </w:t>
      </w:r>
      <w:r>
        <w:rPr>
          <w:sz w:val="20"/>
        </w:rPr>
        <w:t>majority</w:t>
      </w:r>
      <w:r>
        <w:rPr>
          <w:spacing w:val="-6"/>
          <w:sz w:val="20"/>
        </w:rPr>
        <w:t> </w:t>
      </w:r>
      <w:r>
        <w:rPr>
          <w:sz w:val="20"/>
        </w:rPr>
        <w:t>of</w:t>
      </w:r>
      <w:r>
        <w:rPr>
          <w:spacing w:val="-7"/>
          <w:sz w:val="20"/>
        </w:rPr>
        <w:t> </w:t>
      </w:r>
      <w:r>
        <w:rPr>
          <w:sz w:val="20"/>
        </w:rPr>
        <w:t>Unified</w:t>
      </w:r>
      <w:r>
        <w:rPr>
          <w:spacing w:val="-12"/>
          <w:sz w:val="20"/>
        </w:rPr>
        <w:t> </w:t>
      </w:r>
      <w:r>
        <w:rPr>
          <w:sz w:val="20"/>
        </w:rPr>
        <w:t>Teams</w:t>
      </w:r>
      <w:r>
        <w:rPr>
          <w:spacing w:val="-13"/>
          <w:sz w:val="20"/>
        </w:rPr>
        <w:t> </w:t>
      </w:r>
      <w:r>
        <w:rPr>
          <w:sz w:val="20"/>
        </w:rPr>
        <w:t>are</w:t>
      </w:r>
      <w:r>
        <w:rPr>
          <w:spacing w:val="-10"/>
          <w:sz w:val="20"/>
        </w:rPr>
        <w:t> </w:t>
      </w:r>
      <w:r>
        <w:rPr>
          <w:sz w:val="20"/>
        </w:rPr>
        <w:t>in</w:t>
      </w:r>
      <w:r>
        <w:rPr>
          <w:spacing w:val="-7"/>
          <w:sz w:val="20"/>
        </w:rPr>
        <w:t> </w:t>
      </w:r>
      <w:r>
        <w:rPr>
          <w:sz w:val="20"/>
        </w:rPr>
        <w:t>Programme</w:t>
      </w:r>
      <w:r>
        <w:rPr>
          <w:spacing w:val="-10"/>
          <w:sz w:val="20"/>
        </w:rPr>
        <w:t> </w:t>
      </w:r>
      <w:r>
        <w:rPr>
          <w:sz w:val="20"/>
        </w:rPr>
        <w:t>2600</w:t>
      </w:r>
      <w:r>
        <w:rPr>
          <w:spacing w:val="-12"/>
          <w:sz w:val="20"/>
        </w:rPr>
        <w:t> </w:t>
      </w:r>
      <w:r>
        <w:rPr>
          <w:sz w:val="20"/>
        </w:rPr>
        <w:t>and</w:t>
      </w:r>
      <w:r>
        <w:rPr>
          <w:spacing w:val="-7"/>
          <w:sz w:val="20"/>
        </w:rPr>
        <w:t> </w:t>
      </w:r>
      <w:r>
        <w:rPr>
          <w:sz w:val="20"/>
        </w:rPr>
        <w:t>Programme</w:t>
      </w:r>
      <w:r>
        <w:rPr>
          <w:spacing w:val="-10"/>
          <w:sz w:val="20"/>
        </w:rPr>
        <w:t> </w:t>
      </w:r>
      <w:r>
        <w:rPr>
          <w:sz w:val="20"/>
        </w:rPr>
        <w:t>2700,</w:t>
      </w:r>
      <w:r>
        <w:rPr>
          <w:spacing w:val="-5"/>
          <w:sz w:val="20"/>
        </w:rPr>
        <w:t> </w:t>
      </w:r>
      <w:r>
        <w:rPr>
          <w:sz w:val="20"/>
        </w:rPr>
        <w:t>with</w:t>
      </w:r>
      <w:r>
        <w:rPr>
          <w:spacing w:val="-7"/>
          <w:sz w:val="20"/>
        </w:rPr>
        <w:t> </w:t>
      </w:r>
      <w:r>
        <w:rPr>
          <w:sz w:val="20"/>
        </w:rPr>
        <w:t>the Unified Team</w:t>
      </w:r>
      <w:r>
        <w:rPr>
          <w:spacing w:val="40"/>
          <w:sz w:val="20"/>
        </w:rPr>
        <w:t> </w:t>
      </w:r>
      <w:r>
        <w:rPr>
          <w:sz w:val="20"/>
        </w:rPr>
        <w:t>in</w:t>
      </w:r>
      <w:r>
        <w:rPr>
          <w:spacing w:val="40"/>
          <w:sz w:val="20"/>
        </w:rPr>
        <w:t> </w:t>
      </w:r>
      <w:r>
        <w:rPr>
          <w:sz w:val="20"/>
        </w:rPr>
        <w:t>relation to</w:t>
      </w:r>
      <w:r>
        <w:rPr>
          <w:spacing w:val="40"/>
          <w:sz w:val="20"/>
        </w:rPr>
        <w:t> </w:t>
      </w:r>
      <w:r>
        <w:rPr>
          <w:sz w:val="20"/>
        </w:rPr>
        <w:t>the</w:t>
      </w:r>
      <w:r>
        <w:rPr>
          <w:spacing w:val="40"/>
          <w:sz w:val="20"/>
        </w:rPr>
        <w:t> </w:t>
      </w:r>
      <w:r>
        <w:rPr>
          <w:sz w:val="20"/>
        </w:rPr>
        <w:t>situation in</w:t>
      </w:r>
      <w:r>
        <w:rPr>
          <w:spacing w:val="40"/>
          <w:sz w:val="20"/>
        </w:rPr>
        <w:t> </w:t>
      </w:r>
      <w:r>
        <w:rPr>
          <w:sz w:val="20"/>
        </w:rPr>
        <w:t>Ukraine</w:t>
      </w:r>
      <w:r>
        <w:rPr>
          <w:spacing w:val="40"/>
          <w:sz w:val="20"/>
        </w:rPr>
        <w:t> </w:t>
      </w:r>
      <w:r>
        <w:rPr>
          <w:sz w:val="20"/>
        </w:rPr>
        <w:t>allocated under</w:t>
      </w:r>
      <w:r>
        <w:rPr>
          <w:spacing w:val="40"/>
          <w:sz w:val="20"/>
        </w:rPr>
        <w:t> </w:t>
      </w:r>
      <w:r>
        <w:rPr>
          <w:sz w:val="20"/>
        </w:rPr>
        <w:t>Programme</w:t>
      </w:r>
      <w:r>
        <w:rPr>
          <w:spacing w:val="40"/>
          <w:sz w:val="20"/>
        </w:rPr>
        <w:t> </w:t>
      </w:r>
      <w:r>
        <w:rPr>
          <w:sz w:val="20"/>
        </w:rPr>
        <w:t>2500 (Sub-Programme 2570).</w:t>
      </w:r>
    </w:p>
    <w:p>
      <w:pPr>
        <w:spacing w:after="0" w:line="240" w:lineRule="auto"/>
        <w:jc w:val="both"/>
        <w:rPr>
          <w:sz w:val="20"/>
        </w:rPr>
        <w:sectPr>
          <w:pgSz w:w="11910" w:h="16840"/>
          <w:pgMar w:header="953" w:footer="940" w:top="1140" w:bottom="1140" w:left="20" w:right="20"/>
        </w:sectPr>
      </w:pPr>
    </w:p>
    <w:p>
      <w:pPr>
        <w:spacing w:before="120"/>
        <w:ind w:left="2246" w:right="0" w:firstLine="0"/>
        <w:jc w:val="left"/>
        <w:rPr>
          <w:b/>
          <w:sz w:val="20"/>
        </w:rPr>
      </w:pPr>
      <w:r>
        <w:rPr>
          <w:b/>
          <w:sz w:val="20"/>
        </w:rPr>
        <w:t>Table</w:t>
      </w:r>
      <w:r>
        <w:rPr>
          <w:b/>
          <w:spacing w:val="-7"/>
          <w:sz w:val="20"/>
        </w:rPr>
        <w:t> </w:t>
      </w:r>
      <w:r>
        <w:rPr>
          <w:b/>
          <w:sz w:val="20"/>
        </w:rPr>
        <w:t>13:</w:t>
      </w:r>
      <w:r>
        <w:rPr>
          <w:b/>
          <w:spacing w:val="-8"/>
          <w:sz w:val="20"/>
        </w:rPr>
        <w:t> </w:t>
      </w:r>
      <w:r>
        <w:rPr>
          <w:b/>
          <w:sz w:val="20"/>
        </w:rPr>
        <w:t>Programme</w:t>
      </w:r>
      <w:r>
        <w:rPr>
          <w:b/>
          <w:spacing w:val="-6"/>
          <w:sz w:val="20"/>
        </w:rPr>
        <w:t> </w:t>
      </w:r>
      <w:r>
        <w:rPr>
          <w:b/>
          <w:sz w:val="20"/>
        </w:rPr>
        <w:t>A:</w:t>
      </w:r>
      <w:r>
        <w:rPr>
          <w:b/>
          <w:spacing w:val="-8"/>
          <w:sz w:val="20"/>
        </w:rPr>
        <w:t> </w:t>
      </w:r>
      <w:r>
        <w:rPr>
          <w:b/>
          <w:sz w:val="20"/>
        </w:rPr>
        <w:t>Prosecutor</w:t>
      </w:r>
      <w:r>
        <w:rPr>
          <w:b/>
          <w:spacing w:val="-6"/>
          <w:sz w:val="20"/>
        </w:rPr>
        <w:t> </w:t>
      </w:r>
      <w:r>
        <w:rPr>
          <w:b/>
          <w:sz w:val="20"/>
        </w:rPr>
        <w:t>Pillar:</w:t>
      </w:r>
      <w:r>
        <w:rPr>
          <w:b/>
          <w:spacing w:val="-3"/>
          <w:sz w:val="20"/>
        </w:rPr>
        <w:t> </w:t>
      </w:r>
      <w:r>
        <w:rPr>
          <w:b/>
          <w:sz w:val="20"/>
        </w:rPr>
        <w:t>Proposed</w:t>
      </w:r>
      <w:r>
        <w:rPr>
          <w:b/>
          <w:spacing w:val="-9"/>
          <w:sz w:val="20"/>
        </w:rPr>
        <w:t> </w:t>
      </w:r>
      <w:r>
        <w:rPr>
          <w:b/>
          <w:sz w:val="20"/>
        </w:rPr>
        <w:t>budget</w:t>
      </w:r>
      <w:r>
        <w:rPr>
          <w:b/>
          <w:spacing w:val="-3"/>
          <w:sz w:val="20"/>
        </w:rPr>
        <w:t> </w:t>
      </w:r>
      <w:r>
        <w:rPr>
          <w:b/>
          <w:sz w:val="20"/>
        </w:rPr>
        <w:t>for</w:t>
      </w:r>
      <w:r>
        <w:rPr>
          <w:b/>
          <w:spacing w:val="-6"/>
          <w:sz w:val="20"/>
        </w:rPr>
        <w:t> </w:t>
      </w:r>
      <w:r>
        <w:rPr>
          <w:b/>
          <w:spacing w:val="-4"/>
          <w:sz w:val="20"/>
        </w:rPr>
        <w:t>2023</w:t>
      </w:r>
    </w:p>
    <w:tbl>
      <w:tblPr>
        <w:tblW w:w="0" w:type="auto"/>
        <w:jc w:val="left"/>
        <w:tblInd w:w="1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75"/>
        <w:gridCol w:w="1210"/>
        <w:gridCol w:w="828"/>
        <w:gridCol w:w="1131"/>
        <w:gridCol w:w="1079"/>
        <w:gridCol w:w="1070"/>
        <w:gridCol w:w="802"/>
        <w:gridCol w:w="1054"/>
      </w:tblGrid>
      <w:tr>
        <w:trPr>
          <w:trHeight w:val="310" w:hRule="atLeast"/>
        </w:trPr>
        <w:tc>
          <w:tcPr>
            <w:tcW w:w="5644" w:type="dxa"/>
            <w:gridSpan w:val="4"/>
            <w:tcBorders>
              <w:top w:val="single" w:sz="4" w:space="0" w:color="000000"/>
            </w:tcBorders>
          </w:tcPr>
          <w:p>
            <w:pPr>
              <w:pStyle w:val="TableParagraph"/>
              <w:tabs>
                <w:tab w:pos="2782" w:val="left" w:leader="none"/>
                <w:tab w:pos="5644" w:val="left" w:leader="none"/>
              </w:tabs>
              <w:spacing w:line="180" w:lineRule="exact" w:before="110"/>
              <w:ind w:left="2475" w:right="-15"/>
              <w:jc w:val="left"/>
              <w:rPr>
                <w:sz w:val="16"/>
              </w:rPr>
            </w:pPr>
            <w:r>
              <w:rPr>
                <w:sz w:val="16"/>
                <w:u w:val="single"/>
              </w:rPr>
              <w:tab/>
              <w:t>2021</w:t>
            </w:r>
            <w:r>
              <w:rPr>
                <w:spacing w:val="-3"/>
                <w:sz w:val="16"/>
                <w:u w:val="single"/>
              </w:rPr>
              <w:t> </w:t>
            </w:r>
            <w:r>
              <w:rPr>
                <w:sz w:val="16"/>
                <w:u w:val="single"/>
              </w:rPr>
              <w:t>Expenditures</w:t>
            </w:r>
            <w:r>
              <w:rPr>
                <w:spacing w:val="-4"/>
                <w:sz w:val="16"/>
                <w:u w:val="single"/>
              </w:rPr>
              <w:t> </w:t>
            </w:r>
            <w:r>
              <w:rPr>
                <w:sz w:val="16"/>
                <w:u w:val="single"/>
              </w:rPr>
              <w:t>(thousands</w:t>
            </w:r>
            <w:r>
              <w:rPr>
                <w:spacing w:val="-4"/>
                <w:sz w:val="16"/>
                <w:u w:val="single"/>
              </w:rPr>
              <w:t> </w:t>
            </w:r>
            <w:r>
              <w:rPr>
                <w:sz w:val="16"/>
                <w:u w:val="single"/>
              </w:rPr>
              <w:t>of</w:t>
            </w:r>
            <w:r>
              <w:rPr>
                <w:spacing w:val="-4"/>
                <w:sz w:val="16"/>
                <w:u w:val="single"/>
              </w:rPr>
              <w:t> </w:t>
            </w:r>
            <w:r>
              <w:rPr>
                <w:spacing w:val="-2"/>
                <w:sz w:val="16"/>
                <w:u w:val="single"/>
              </w:rPr>
              <w:t>euros)</w:t>
            </w:r>
            <w:r>
              <w:rPr>
                <w:sz w:val="16"/>
                <w:u w:val="single"/>
              </w:rPr>
              <w:tab/>
            </w:r>
          </w:p>
        </w:tc>
        <w:tc>
          <w:tcPr>
            <w:tcW w:w="1079" w:type="dxa"/>
            <w:vMerge w:val="restart"/>
            <w:tcBorders>
              <w:top w:val="single" w:sz="4" w:space="0" w:color="000000"/>
              <w:bottom w:val="single" w:sz="12" w:space="0" w:color="000000"/>
            </w:tcBorders>
          </w:tcPr>
          <w:p>
            <w:pPr>
              <w:pStyle w:val="TableParagraph"/>
              <w:spacing w:line="183" w:lineRule="exact" w:before="139"/>
              <w:ind w:left="228" w:right="183"/>
              <w:jc w:val="center"/>
              <w:rPr>
                <w:sz w:val="16"/>
              </w:rPr>
            </w:pPr>
            <w:r>
              <w:rPr>
                <w:spacing w:val="-4"/>
                <w:sz w:val="16"/>
              </w:rPr>
              <w:t>2022</w:t>
            </w:r>
          </w:p>
          <w:p>
            <w:pPr>
              <w:pStyle w:val="TableParagraph"/>
              <w:spacing w:line="183" w:lineRule="exact"/>
              <w:ind w:left="225" w:right="183"/>
              <w:jc w:val="center"/>
              <w:rPr>
                <w:sz w:val="16"/>
              </w:rPr>
            </w:pPr>
            <w:r>
              <w:rPr>
                <w:spacing w:val="-2"/>
                <w:sz w:val="16"/>
              </w:rPr>
              <w:t>Approved</w:t>
            </w:r>
          </w:p>
          <w:p>
            <w:pPr>
              <w:pStyle w:val="TableParagraph"/>
              <w:spacing w:line="172" w:lineRule="exact" w:before="3"/>
              <w:ind w:left="228" w:right="178"/>
              <w:jc w:val="center"/>
              <w:rPr>
                <w:sz w:val="16"/>
              </w:rPr>
            </w:pPr>
            <w:r>
              <w:rPr>
                <w:spacing w:val="-2"/>
                <w:sz w:val="16"/>
              </w:rPr>
              <w:t>Budget</w:t>
            </w:r>
          </w:p>
        </w:tc>
        <w:tc>
          <w:tcPr>
            <w:tcW w:w="1872" w:type="dxa"/>
            <w:gridSpan w:val="2"/>
            <w:tcBorders>
              <w:top w:val="single" w:sz="4" w:space="0" w:color="000000"/>
            </w:tcBorders>
          </w:tcPr>
          <w:p>
            <w:pPr>
              <w:pStyle w:val="TableParagraph"/>
              <w:tabs>
                <w:tab w:pos="328" w:val="left" w:leader="none"/>
                <w:tab w:pos="1797" w:val="left" w:leader="none"/>
              </w:tabs>
              <w:spacing w:line="180" w:lineRule="exact" w:before="110"/>
              <w:ind w:left="55"/>
              <w:jc w:val="left"/>
              <w:rPr>
                <w:sz w:val="16"/>
              </w:rPr>
            </w:pPr>
            <w:r>
              <w:rPr>
                <w:sz w:val="16"/>
                <w:u w:val="single"/>
              </w:rPr>
              <w:tab/>
              <w:t>Resource</w:t>
            </w:r>
            <w:r>
              <w:rPr>
                <w:spacing w:val="-2"/>
                <w:sz w:val="16"/>
                <w:u w:val="single"/>
              </w:rPr>
              <w:t> Changes</w:t>
            </w:r>
            <w:r>
              <w:rPr>
                <w:sz w:val="16"/>
                <w:u w:val="single"/>
              </w:rPr>
              <w:tab/>
            </w:r>
          </w:p>
        </w:tc>
        <w:tc>
          <w:tcPr>
            <w:tcW w:w="1054" w:type="dxa"/>
            <w:tcBorders>
              <w:top w:val="single" w:sz="4" w:space="0" w:color="000000"/>
            </w:tcBorders>
          </w:tcPr>
          <w:p>
            <w:pPr>
              <w:pStyle w:val="TableParagraph"/>
              <w:jc w:val="left"/>
              <w:rPr>
                <w:sz w:val="14"/>
              </w:rPr>
            </w:pPr>
          </w:p>
        </w:tc>
      </w:tr>
      <w:tr>
        <w:trPr>
          <w:trHeight w:val="359" w:hRule="atLeast"/>
        </w:trPr>
        <w:tc>
          <w:tcPr>
            <w:tcW w:w="2475" w:type="dxa"/>
            <w:tcBorders>
              <w:bottom w:val="single" w:sz="12" w:space="0" w:color="000000"/>
            </w:tcBorders>
          </w:tcPr>
          <w:p>
            <w:pPr>
              <w:pStyle w:val="TableParagraph"/>
              <w:spacing w:line="165" w:lineRule="exact"/>
              <w:ind w:left="117"/>
              <w:jc w:val="left"/>
              <w:rPr>
                <w:b/>
                <w:sz w:val="16"/>
              </w:rPr>
            </w:pPr>
            <w:r>
              <w:rPr>
                <w:b/>
                <w:sz w:val="16"/>
              </w:rPr>
              <w:t>Programme</w:t>
            </w:r>
            <w:r>
              <w:rPr>
                <w:b/>
                <w:spacing w:val="-4"/>
                <w:sz w:val="16"/>
              </w:rPr>
              <w:t> </w:t>
            </w:r>
            <w:r>
              <w:rPr>
                <w:b/>
                <w:spacing w:val="-10"/>
                <w:sz w:val="16"/>
              </w:rPr>
              <w:t>A</w:t>
            </w:r>
          </w:p>
          <w:p>
            <w:pPr>
              <w:pStyle w:val="TableParagraph"/>
              <w:spacing w:line="172" w:lineRule="exact" w:before="3"/>
              <w:ind w:left="117"/>
              <w:jc w:val="left"/>
              <w:rPr>
                <w:b/>
                <w:sz w:val="16"/>
              </w:rPr>
            </w:pPr>
            <w:r>
              <w:rPr>
                <w:b/>
                <w:spacing w:val="-2"/>
                <w:sz w:val="16"/>
              </w:rPr>
              <w:t>Prosecutor</w:t>
            </w:r>
          </w:p>
        </w:tc>
        <w:tc>
          <w:tcPr>
            <w:tcW w:w="1210" w:type="dxa"/>
            <w:tcBorders>
              <w:bottom w:val="single" w:sz="12" w:space="0" w:color="000000"/>
            </w:tcBorders>
          </w:tcPr>
          <w:p>
            <w:pPr>
              <w:pStyle w:val="TableParagraph"/>
              <w:spacing w:before="7"/>
              <w:jc w:val="left"/>
              <w:rPr>
                <w:b/>
                <w:sz w:val="14"/>
              </w:rPr>
            </w:pPr>
          </w:p>
          <w:p>
            <w:pPr>
              <w:pStyle w:val="TableParagraph"/>
              <w:spacing w:line="172" w:lineRule="exact"/>
              <w:ind w:left="393"/>
              <w:jc w:val="left"/>
              <w:rPr>
                <w:sz w:val="16"/>
              </w:rPr>
            </w:pPr>
            <w:r>
              <w:rPr>
                <w:spacing w:val="-2"/>
                <w:sz w:val="16"/>
              </w:rPr>
              <w:t>Total</w:t>
            </w:r>
          </w:p>
        </w:tc>
        <w:tc>
          <w:tcPr>
            <w:tcW w:w="828" w:type="dxa"/>
            <w:tcBorders>
              <w:bottom w:val="single" w:sz="12" w:space="0" w:color="000000"/>
            </w:tcBorders>
          </w:tcPr>
          <w:p>
            <w:pPr>
              <w:pStyle w:val="TableParagraph"/>
              <w:spacing w:line="165" w:lineRule="exact"/>
              <w:ind w:left="192"/>
              <w:jc w:val="left"/>
              <w:rPr>
                <w:sz w:val="16"/>
              </w:rPr>
            </w:pPr>
            <w:r>
              <w:rPr>
                <w:spacing w:val="-2"/>
                <w:sz w:val="16"/>
              </w:rPr>
              <w:t>Cont.</w:t>
            </w:r>
          </w:p>
          <w:p>
            <w:pPr>
              <w:pStyle w:val="TableParagraph"/>
              <w:spacing w:line="172" w:lineRule="exact" w:before="3"/>
              <w:ind w:left="202"/>
              <w:jc w:val="left"/>
              <w:rPr>
                <w:sz w:val="16"/>
              </w:rPr>
            </w:pPr>
            <w:r>
              <w:rPr>
                <w:spacing w:val="-4"/>
                <w:sz w:val="16"/>
              </w:rPr>
              <w:t>Fund</w:t>
            </w:r>
          </w:p>
        </w:tc>
        <w:tc>
          <w:tcPr>
            <w:tcW w:w="1131" w:type="dxa"/>
            <w:tcBorders>
              <w:bottom w:val="single" w:sz="12" w:space="0" w:color="000000"/>
            </w:tcBorders>
          </w:tcPr>
          <w:p>
            <w:pPr>
              <w:pStyle w:val="TableParagraph"/>
              <w:spacing w:before="7"/>
              <w:jc w:val="left"/>
              <w:rPr>
                <w:b/>
                <w:sz w:val="14"/>
              </w:rPr>
            </w:pPr>
          </w:p>
          <w:p>
            <w:pPr>
              <w:pStyle w:val="TableParagraph"/>
              <w:spacing w:line="172" w:lineRule="exact"/>
              <w:ind w:right="116"/>
              <w:rPr>
                <w:sz w:val="16"/>
              </w:rPr>
            </w:pPr>
            <w:r>
              <w:rPr>
                <w:sz w:val="16"/>
              </w:rPr>
              <w:t>Total</w:t>
            </w:r>
            <w:r>
              <w:rPr>
                <w:spacing w:val="-7"/>
                <w:sz w:val="16"/>
              </w:rPr>
              <w:t> </w:t>
            </w:r>
            <w:r>
              <w:rPr>
                <w:sz w:val="16"/>
              </w:rPr>
              <w:t>Incl.</w:t>
            </w:r>
            <w:r>
              <w:rPr>
                <w:spacing w:val="-6"/>
                <w:sz w:val="16"/>
              </w:rPr>
              <w:t> </w:t>
            </w:r>
            <w:r>
              <w:rPr>
                <w:spacing w:val="-5"/>
                <w:sz w:val="16"/>
              </w:rPr>
              <w:t>CF</w:t>
            </w:r>
          </w:p>
        </w:tc>
        <w:tc>
          <w:tcPr>
            <w:tcW w:w="1079" w:type="dxa"/>
            <w:vMerge/>
            <w:tcBorders>
              <w:top w:val="nil"/>
              <w:bottom w:val="single" w:sz="12" w:space="0" w:color="000000"/>
            </w:tcBorders>
          </w:tcPr>
          <w:p>
            <w:pPr>
              <w:rPr>
                <w:sz w:val="2"/>
                <w:szCs w:val="2"/>
              </w:rPr>
            </w:pPr>
          </w:p>
        </w:tc>
        <w:tc>
          <w:tcPr>
            <w:tcW w:w="1070" w:type="dxa"/>
            <w:tcBorders>
              <w:bottom w:val="single" w:sz="12" w:space="0" w:color="000000"/>
            </w:tcBorders>
          </w:tcPr>
          <w:p>
            <w:pPr>
              <w:pStyle w:val="TableParagraph"/>
              <w:spacing w:before="7"/>
              <w:jc w:val="left"/>
              <w:rPr>
                <w:b/>
                <w:sz w:val="14"/>
              </w:rPr>
            </w:pPr>
          </w:p>
          <w:p>
            <w:pPr>
              <w:pStyle w:val="TableParagraph"/>
              <w:spacing w:line="172" w:lineRule="exact"/>
              <w:ind w:right="134"/>
              <w:rPr>
                <w:sz w:val="16"/>
              </w:rPr>
            </w:pPr>
            <w:r>
              <w:rPr>
                <w:spacing w:val="-2"/>
                <w:sz w:val="16"/>
              </w:rPr>
              <w:t>Amount</w:t>
            </w:r>
          </w:p>
        </w:tc>
        <w:tc>
          <w:tcPr>
            <w:tcW w:w="802" w:type="dxa"/>
            <w:tcBorders>
              <w:bottom w:val="single" w:sz="12" w:space="0" w:color="000000"/>
            </w:tcBorders>
          </w:tcPr>
          <w:p>
            <w:pPr>
              <w:pStyle w:val="TableParagraph"/>
              <w:spacing w:before="7"/>
              <w:jc w:val="left"/>
              <w:rPr>
                <w:b/>
                <w:sz w:val="14"/>
              </w:rPr>
            </w:pPr>
          </w:p>
          <w:p>
            <w:pPr>
              <w:pStyle w:val="TableParagraph"/>
              <w:spacing w:line="172" w:lineRule="exact"/>
              <w:ind w:right="184"/>
              <w:rPr>
                <w:sz w:val="16"/>
              </w:rPr>
            </w:pPr>
            <w:r>
              <w:rPr>
                <w:w w:val="98"/>
                <w:sz w:val="16"/>
              </w:rPr>
              <w:t>%</w:t>
            </w:r>
          </w:p>
        </w:tc>
        <w:tc>
          <w:tcPr>
            <w:tcW w:w="1054" w:type="dxa"/>
            <w:tcBorders>
              <w:bottom w:val="single" w:sz="12" w:space="0" w:color="000000"/>
            </w:tcBorders>
          </w:tcPr>
          <w:p>
            <w:pPr>
              <w:pStyle w:val="TableParagraph"/>
              <w:spacing w:line="165" w:lineRule="exact"/>
              <w:ind w:left="54" w:right="139"/>
              <w:jc w:val="center"/>
              <w:rPr>
                <w:sz w:val="16"/>
              </w:rPr>
            </w:pPr>
            <w:r>
              <w:rPr>
                <w:spacing w:val="-2"/>
                <w:sz w:val="16"/>
              </w:rPr>
              <w:t>Proposed</w:t>
            </w:r>
          </w:p>
          <w:p>
            <w:pPr>
              <w:pStyle w:val="TableParagraph"/>
              <w:spacing w:line="172" w:lineRule="exact" w:before="3"/>
              <w:ind w:left="61" w:right="138"/>
              <w:jc w:val="center"/>
              <w:rPr>
                <w:sz w:val="16"/>
              </w:rPr>
            </w:pPr>
            <w:r>
              <w:rPr>
                <w:sz w:val="16"/>
              </w:rPr>
              <w:t>2023</w:t>
            </w:r>
            <w:r>
              <w:rPr>
                <w:spacing w:val="2"/>
                <w:sz w:val="16"/>
              </w:rPr>
              <w:t> </w:t>
            </w:r>
            <w:r>
              <w:rPr>
                <w:spacing w:val="-2"/>
                <w:sz w:val="16"/>
              </w:rPr>
              <w:t>Budget</w:t>
            </w:r>
          </w:p>
        </w:tc>
      </w:tr>
      <w:tr>
        <w:trPr>
          <w:trHeight w:val="231" w:hRule="atLeast"/>
        </w:trPr>
        <w:tc>
          <w:tcPr>
            <w:tcW w:w="2475" w:type="dxa"/>
            <w:tcBorders>
              <w:top w:val="single" w:sz="12" w:space="0" w:color="000000"/>
            </w:tcBorders>
          </w:tcPr>
          <w:p>
            <w:pPr>
              <w:pStyle w:val="TableParagraph"/>
              <w:spacing w:before="13"/>
              <w:ind w:left="117"/>
              <w:jc w:val="left"/>
              <w:rPr>
                <w:sz w:val="16"/>
              </w:rPr>
            </w:pPr>
            <w:r>
              <w:rPr>
                <w:w w:val="95"/>
                <w:sz w:val="16"/>
              </w:rPr>
              <w:t>Professional</w:t>
            </w:r>
            <w:r>
              <w:rPr>
                <w:spacing w:val="28"/>
                <w:sz w:val="16"/>
              </w:rPr>
              <w:t> </w:t>
            </w:r>
            <w:r>
              <w:rPr>
                <w:spacing w:val="-2"/>
                <w:sz w:val="16"/>
              </w:rPr>
              <w:t>staff</w:t>
            </w:r>
          </w:p>
        </w:tc>
        <w:tc>
          <w:tcPr>
            <w:tcW w:w="1210" w:type="dxa"/>
            <w:tcBorders>
              <w:top w:val="single" w:sz="12" w:space="0" w:color="000000"/>
            </w:tcBorders>
            <w:shd w:val="clear" w:color="auto" w:fill="D9D9D9"/>
          </w:tcPr>
          <w:p>
            <w:pPr>
              <w:pStyle w:val="TableParagraph"/>
              <w:jc w:val="left"/>
              <w:rPr>
                <w:sz w:val="14"/>
              </w:rPr>
            </w:pPr>
          </w:p>
        </w:tc>
        <w:tc>
          <w:tcPr>
            <w:tcW w:w="828" w:type="dxa"/>
            <w:tcBorders>
              <w:top w:val="single" w:sz="12" w:space="0" w:color="000000"/>
            </w:tcBorders>
            <w:shd w:val="clear" w:color="auto" w:fill="D9D9D9"/>
          </w:tcPr>
          <w:p>
            <w:pPr>
              <w:pStyle w:val="TableParagraph"/>
              <w:jc w:val="left"/>
              <w:rPr>
                <w:sz w:val="14"/>
              </w:rPr>
            </w:pPr>
          </w:p>
        </w:tc>
        <w:tc>
          <w:tcPr>
            <w:tcW w:w="1131" w:type="dxa"/>
            <w:tcBorders>
              <w:top w:val="single" w:sz="12" w:space="0" w:color="000000"/>
            </w:tcBorders>
            <w:shd w:val="clear" w:color="auto" w:fill="D9D9D9"/>
          </w:tcPr>
          <w:p>
            <w:pPr>
              <w:pStyle w:val="TableParagraph"/>
              <w:jc w:val="left"/>
              <w:rPr>
                <w:sz w:val="14"/>
              </w:rPr>
            </w:pPr>
          </w:p>
        </w:tc>
        <w:tc>
          <w:tcPr>
            <w:tcW w:w="1079" w:type="dxa"/>
            <w:tcBorders>
              <w:top w:val="single" w:sz="12" w:space="0" w:color="000000"/>
            </w:tcBorders>
          </w:tcPr>
          <w:p>
            <w:pPr>
              <w:pStyle w:val="TableParagraph"/>
              <w:spacing w:before="13"/>
              <w:ind w:right="52"/>
              <w:rPr>
                <w:sz w:val="16"/>
              </w:rPr>
            </w:pPr>
            <w:r>
              <w:rPr>
                <w:spacing w:val="-2"/>
                <w:sz w:val="16"/>
              </w:rPr>
              <w:t>2,833.9</w:t>
            </w:r>
          </w:p>
        </w:tc>
        <w:tc>
          <w:tcPr>
            <w:tcW w:w="1070" w:type="dxa"/>
            <w:tcBorders>
              <w:top w:val="single" w:sz="12" w:space="0" w:color="000000"/>
            </w:tcBorders>
          </w:tcPr>
          <w:p>
            <w:pPr>
              <w:pStyle w:val="TableParagraph"/>
              <w:spacing w:before="13"/>
              <w:ind w:right="137"/>
              <w:rPr>
                <w:sz w:val="16"/>
              </w:rPr>
            </w:pPr>
            <w:r>
              <w:rPr>
                <w:spacing w:val="-2"/>
                <w:sz w:val="16"/>
              </w:rPr>
              <w:t>1,348.0</w:t>
            </w:r>
          </w:p>
        </w:tc>
        <w:tc>
          <w:tcPr>
            <w:tcW w:w="802" w:type="dxa"/>
            <w:tcBorders>
              <w:top w:val="single" w:sz="12" w:space="0" w:color="000000"/>
            </w:tcBorders>
          </w:tcPr>
          <w:p>
            <w:pPr>
              <w:pStyle w:val="TableParagraph"/>
              <w:spacing w:before="13"/>
              <w:ind w:right="180"/>
              <w:rPr>
                <w:sz w:val="16"/>
              </w:rPr>
            </w:pPr>
            <w:r>
              <w:rPr>
                <w:spacing w:val="-4"/>
                <w:sz w:val="16"/>
              </w:rPr>
              <w:t>47.6</w:t>
            </w:r>
          </w:p>
        </w:tc>
        <w:tc>
          <w:tcPr>
            <w:tcW w:w="1054" w:type="dxa"/>
            <w:tcBorders>
              <w:top w:val="single" w:sz="12" w:space="0" w:color="000000"/>
            </w:tcBorders>
          </w:tcPr>
          <w:p>
            <w:pPr>
              <w:pStyle w:val="TableParagraph"/>
              <w:spacing w:before="13"/>
              <w:ind w:right="106"/>
              <w:rPr>
                <w:sz w:val="16"/>
              </w:rPr>
            </w:pPr>
            <w:r>
              <w:rPr>
                <w:spacing w:val="-2"/>
                <w:sz w:val="16"/>
              </w:rPr>
              <w:t>4,181.9</w:t>
            </w:r>
          </w:p>
        </w:tc>
      </w:tr>
      <w:tr>
        <w:trPr>
          <w:trHeight w:val="223" w:hRule="atLeast"/>
        </w:trPr>
        <w:tc>
          <w:tcPr>
            <w:tcW w:w="2475" w:type="dxa"/>
            <w:tcBorders>
              <w:bottom w:val="single" w:sz="4" w:space="0" w:color="000000"/>
            </w:tcBorders>
          </w:tcPr>
          <w:p>
            <w:pPr>
              <w:pStyle w:val="TableParagraph"/>
              <w:spacing w:before="8"/>
              <w:ind w:left="117"/>
              <w:jc w:val="left"/>
              <w:rPr>
                <w:sz w:val="16"/>
              </w:rPr>
            </w:pPr>
            <w:r>
              <w:rPr>
                <w:sz w:val="16"/>
              </w:rPr>
              <w:t>General</w:t>
            </w:r>
            <w:r>
              <w:rPr>
                <w:spacing w:val="-6"/>
                <w:sz w:val="16"/>
              </w:rPr>
              <w:t> </w:t>
            </w:r>
            <w:r>
              <w:rPr>
                <w:sz w:val="16"/>
              </w:rPr>
              <w:t>Service</w:t>
            </w:r>
            <w:r>
              <w:rPr>
                <w:spacing w:val="-4"/>
                <w:sz w:val="16"/>
              </w:rPr>
              <w:t> staff</w:t>
            </w:r>
          </w:p>
        </w:tc>
        <w:tc>
          <w:tcPr>
            <w:tcW w:w="1210" w:type="dxa"/>
            <w:tcBorders>
              <w:bottom w:val="single" w:sz="4" w:space="0" w:color="000000"/>
            </w:tcBorders>
            <w:shd w:val="clear" w:color="auto" w:fill="D9D9D9"/>
          </w:tcPr>
          <w:p>
            <w:pPr>
              <w:pStyle w:val="TableParagraph"/>
              <w:jc w:val="left"/>
              <w:rPr>
                <w:sz w:val="14"/>
              </w:rPr>
            </w:pPr>
          </w:p>
        </w:tc>
        <w:tc>
          <w:tcPr>
            <w:tcW w:w="828" w:type="dxa"/>
            <w:tcBorders>
              <w:bottom w:val="single" w:sz="4" w:space="0" w:color="000000"/>
            </w:tcBorders>
            <w:shd w:val="clear" w:color="auto" w:fill="D9D9D9"/>
          </w:tcPr>
          <w:p>
            <w:pPr>
              <w:pStyle w:val="TableParagraph"/>
              <w:jc w:val="left"/>
              <w:rPr>
                <w:sz w:val="14"/>
              </w:rPr>
            </w:pPr>
          </w:p>
        </w:tc>
        <w:tc>
          <w:tcPr>
            <w:tcW w:w="1131" w:type="dxa"/>
            <w:tcBorders>
              <w:bottom w:val="single" w:sz="4" w:space="0" w:color="000000"/>
            </w:tcBorders>
            <w:shd w:val="clear" w:color="auto" w:fill="D9D9D9"/>
          </w:tcPr>
          <w:p>
            <w:pPr>
              <w:pStyle w:val="TableParagraph"/>
              <w:jc w:val="left"/>
              <w:rPr>
                <w:sz w:val="14"/>
              </w:rPr>
            </w:pPr>
          </w:p>
        </w:tc>
        <w:tc>
          <w:tcPr>
            <w:tcW w:w="1079" w:type="dxa"/>
            <w:tcBorders>
              <w:bottom w:val="single" w:sz="4" w:space="0" w:color="000000"/>
            </w:tcBorders>
          </w:tcPr>
          <w:p>
            <w:pPr>
              <w:pStyle w:val="TableParagraph"/>
              <w:spacing w:before="8"/>
              <w:ind w:right="52"/>
              <w:rPr>
                <w:sz w:val="16"/>
              </w:rPr>
            </w:pPr>
            <w:r>
              <w:rPr>
                <w:spacing w:val="-2"/>
                <w:sz w:val="16"/>
              </w:rPr>
              <w:t>781.0</w:t>
            </w:r>
          </w:p>
        </w:tc>
        <w:tc>
          <w:tcPr>
            <w:tcW w:w="1070" w:type="dxa"/>
            <w:tcBorders>
              <w:bottom w:val="single" w:sz="4" w:space="0" w:color="000000"/>
            </w:tcBorders>
          </w:tcPr>
          <w:p>
            <w:pPr>
              <w:pStyle w:val="TableParagraph"/>
              <w:spacing w:before="8"/>
              <w:ind w:right="137"/>
              <w:rPr>
                <w:sz w:val="16"/>
              </w:rPr>
            </w:pPr>
            <w:r>
              <w:rPr>
                <w:spacing w:val="-4"/>
                <w:sz w:val="16"/>
              </w:rPr>
              <w:t>19.6</w:t>
            </w:r>
          </w:p>
        </w:tc>
        <w:tc>
          <w:tcPr>
            <w:tcW w:w="802" w:type="dxa"/>
            <w:tcBorders>
              <w:bottom w:val="single" w:sz="4" w:space="0" w:color="000000"/>
            </w:tcBorders>
          </w:tcPr>
          <w:p>
            <w:pPr>
              <w:pStyle w:val="TableParagraph"/>
              <w:spacing w:before="8"/>
              <w:ind w:right="185"/>
              <w:rPr>
                <w:sz w:val="16"/>
              </w:rPr>
            </w:pPr>
            <w:r>
              <w:rPr>
                <w:spacing w:val="-5"/>
                <w:sz w:val="16"/>
              </w:rPr>
              <w:t>2.5</w:t>
            </w:r>
          </w:p>
        </w:tc>
        <w:tc>
          <w:tcPr>
            <w:tcW w:w="1054" w:type="dxa"/>
            <w:tcBorders>
              <w:bottom w:val="single" w:sz="4" w:space="0" w:color="000000"/>
            </w:tcBorders>
          </w:tcPr>
          <w:p>
            <w:pPr>
              <w:pStyle w:val="TableParagraph"/>
              <w:spacing w:before="8"/>
              <w:ind w:right="106"/>
              <w:rPr>
                <w:sz w:val="16"/>
              </w:rPr>
            </w:pPr>
            <w:r>
              <w:rPr>
                <w:spacing w:val="-2"/>
                <w:sz w:val="16"/>
              </w:rPr>
              <w:t>800.6</w:t>
            </w:r>
          </w:p>
        </w:tc>
      </w:tr>
      <w:tr>
        <w:trPr>
          <w:trHeight w:val="225" w:hRule="atLeast"/>
        </w:trPr>
        <w:tc>
          <w:tcPr>
            <w:tcW w:w="2475" w:type="dxa"/>
            <w:tcBorders>
              <w:top w:val="single" w:sz="4" w:space="0" w:color="000000"/>
              <w:bottom w:val="single" w:sz="4" w:space="0" w:color="000000"/>
            </w:tcBorders>
          </w:tcPr>
          <w:p>
            <w:pPr>
              <w:pStyle w:val="TableParagraph"/>
              <w:spacing w:before="9"/>
              <w:ind w:right="104"/>
              <w:rPr>
                <w:i/>
                <w:sz w:val="16"/>
              </w:rPr>
            </w:pPr>
            <w:r>
              <w:rPr>
                <w:i/>
                <w:sz w:val="16"/>
              </w:rPr>
              <w:t>Subtotal</w:t>
            </w:r>
            <w:r>
              <w:rPr>
                <w:i/>
                <w:spacing w:val="-1"/>
                <w:sz w:val="16"/>
              </w:rPr>
              <w:t> </w:t>
            </w:r>
            <w:r>
              <w:rPr>
                <w:i/>
                <w:spacing w:val="-2"/>
                <w:sz w:val="16"/>
              </w:rPr>
              <w:t>staff</w:t>
            </w:r>
          </w:p>
        </w:tc>
        <w:tc>
          <w:tcPr>
            <w:tcW w:w="1210" w:type="dxa"/>
            <w:tcBorders>
              <w:top w:val="single" w:sz="4" w:space="0" w:color="000000"/>
              <w:bottom w:val="single" w:sz="4" w:space="0" w:color="000000"/>
            </w:tcBorders>
          </w:tcPr>
          <w:p>
            <w:pPr>
              <w:pStyle w:val="TableParagraph"/>
              <w:spacing w:before="9"/>
              <w:ind w:right="189"/>
              <w:rPr>
                <w:i/>
                <w:sz w:val="16"/>
              </w:rPr>
            </w:pPr>
            <w:r>
              <w:rPr>
                <w:i/>
                <w:w w:val="98"/>
                <w:sz w:val="16"/>
              </w:rPr>
              <w:t>-</w:t>
            </w:r>
          </w:p>
        </w:tc>
        <w:tc>
          <w:tcPr>
            <w:tcW w:w="828" w:type="dxa"/>
            <w:tcBorders>
              <w:top w:val="single" w:sz="4" w:space="0" w:color="000000"/>
              <w:bottom w:val="single" w:sz="4" w:space="0" w:color="000000"/>
            </w:tcBorders>
          </w:tcPr>
          <w:p>
            <w:pPr>
              <w:pStyle w:val="TableParagraph"/>
              <w:spacing w:before="9"/>
              <w:ind w:right="109"/>
              <w:rPr>
                <w:i/>
                <w:sz w:val="16"/>
              </w:rPr>
            </w:pPr>
            <w:r>
              <w:rPr>
                <w:i/>
                <w:w w:val="98"/>
                <w:sz w:val="16"/>
              </w:rPr>
              <w:t>-</w:t>
            </w:r>
          </w:p>
        </w:tc>
        <w:tc>
          <w:tcPr>
            <w:tcW w:w="1131" w:type="dxa"/>
            <w:tcBorders>
              <w:top w:val="single" w:sz="4" w:space="0" w:color="000000"/>
              <w:bottom w:val="single" w:sz="4" w:space="0" w:color="000000"/>
            </w:tcBorders>
          </w:tcPr>
          <w:p>
            <w:pPr>
              <w:pStyle w:val="TableParagraph"/>
              <w:spacing w:before="9"/>
              <w:ind w:right="102"/>
              <w:rPr>
                <w:i/>
                <w:sz w:val="16"/>
              </w:rPr>
            </w:pPr>
            <w:r>
              <w:rPr>
                <w:i/>
                <w:w w:val="98"/>
                <w:sz w:val="16"/>
              </w:rPr>
              <w:t>-</w:t>
            </w:r>
          </w:p>
        </w:tc>
        <w:tc>
          <w:tcPr>
            <w:tcW w:w="1079" w:type="dxa"/>
            <w:tcBorders>
              <w:top w:val="single" w:sz="4" w:space="0" w:color="000000"/>
              <w:bottom w:val="single" w:sz="4" w:space="0" w:color="000000"/>
            </w:tcBorders>
          </w:tcPr>
          <w:p>
            <w:pPr>
              <w:pStyle w:val="TableParagraph"/>
              <w:spacing w:before="9"/>
              <w:ind w:right="52"/>
              <w:rPr>
                <w:i/>
                <w:sz w:val="16"/>
              </w:rPr>
            </w:pPr>
            <w:r>
              <w:rPr>
                <w:i/>
                <w:spacing w:val="-2"/>
                <w:sz w:val="16"/>
              </w:rPr>
              <w:t>3,614.9</w:t>
            </w:r>
          </w:p>
        </w:tc>
        <w:tc>
          <w:tcPr>
            <w:tcW w:w="1070" w:type="dxa"/>
            <w:tcBorders>
              <w:top w:val="single" w:sz="4" w:space="0" w:color="000000"/>
              <w:bottom w:val="single" w:sz="4" w:space="0" w:color="000000"/>
            </w:tcBorders>
          </w:tcPr>
          <w:p>
            <w:pPr>
              <w:pStyle w:val="TableParagraph"/>
              <w:spacing w:before="9"/>
              <w:ind w:right="137"/>
              <w:rPr>
                <w:i/>
                <w:sz w:val="16"/>
              </w:rPr>
            </w:pPr>
            <w:r>
              <w:rPr>
                <w:i/>
                <w:spacing w:val="-2"/>
                <w:sz w:val="16"/>
              </w:rPr>
              <w:t>1,367.6</w:t>
            </w:r>
          </w:p>
        </w:tc>
        <w:tc>
          <w:tcPr>
            <w:tcW w:w="802" w:type="dxa"/>
            <w:tcBorders>
              <w:top w:val="single" w:sz="4" w:space="0" w:color="000000"/>
              <w:bottom w:val="single" w:sz="4" w:space="0" w:color="000000"/>
            </w:tcBorders>
          </w:tcPr>
          <w:p>
            <w:pPr>
              <w:pStyle w:val="TableParagraph"/>
              <w:spacing w:before="9"/>
              <w:ind w:right="180"/>
              <w:rPr>
                <w:i/>
                <w:sz w:val="16"/>
              </w:rPr>
            </w:pPr>
            <w:r>
              <w:rPr>
                <w:i/>
                <w:spacing w:val="-4"/>
                <w:sz w:val="16"/>
              </w:rPr>
              <w:t>37.8</w:t>
            </w:r>
          </w:p>
        </w:tc>
        <w:tc>
          <w:tcPr>
            <w:tcW w:w="1054" w:type="dxa"/>
            <w:tcBorders>
              <w:top w:val="single" w:sz="4" w:space="0" w:color="000000"/>
              <w:bottom w:val="single" w:sz="4" w:space="0" w:color="000000"/>
            </w:tcBorders>
          </w:tcPr>
          <w:p>
            <w:pPr>
              <w:pStyle w:val="TableParagraph"/>
              <w:spacing w:before="9"/>
              <w:ind w:right="106"/>
              <w:rPr>
                <w:i/>
                <w:sz w:val="16"/>
              </w:rPr>
            </w:pPr>
            <w:r>
              <w:rPr>
                <w:i/>
                <w:spacing w:val="-2"/>
                <w:sz w:val="16"/>
              </w:rPr>
              <w:t>4,982.5</w:t>
            </w:r>
          </w:p>
        </w:tc>
      </w:tr>
      <w:tr>
        <w:trPr>
          <w:trHeight w:val="231" w:hRule="atLeast"/>
        </w:trPr>
        <w:tc>
          <w:tcPr>
            <w:tcW w:w="2475" w:type="dxa"/>
            <w:tcBorders>
              <w:top w:val="single" w:sz="4" w:space="0" w:color="000000"/>
            </w:tcBorders>
          </w:tcPr>
          <w:p>
            <w:pPr>
              <w:pStyle w:val="TableParagraph"/>
              <w:spacing w:before="14"/>
              <w:ind w:left="117"/>
              <w:jc w:val="left"/>
              <w:rPr>
                <w:sz w:val="16"/>
              </w:rPr>
            </w:pPr>
            <w:r>
              <w:rPr>
                <w:sz w:val="16"/>
              </w:rPr>
              <w:t>General</w:t>
            </w:r>
            <w:r>
              <w:rPr>
                <w:spacing w:val="-4"/>
                <w:sz w:val="16"/>
              </w:rPr>
              <w:t> </w:t>
            </w:r>
            <w:r>
              <w:rPr>
                <w:sz w:val="16"/>
              </w:rPr>
              <w:t>temporary</w:t>
            </w:r>
            <w:r>
              <w:rPr>
                <w:spacing w:val="-1"/>
                <w:sz w:val="16"/>
              </w:rPr>
              <w:t> </w:t>
            </w:r>
            <w:r>
              <w:rPr>
                <w:spacing w:val="-2"/>
                <w:sz w:val="16"/>
              </w:rPr>
              <w:t>assistance</w:t>
            </w:r>
          </w:p>
        </w:tc>
        <w:tc>
          <w:tcPr>
            <w:tcW w:w="1210" w:type="dxa"/>
            <w:tcBorders>
              <w:top w:val="single" w:sz="4" w:space="0" w:color="000000"/>
            </w:tcBorders>
          </w:tcPr>
          <w:p>
            <w:pPr>
              <w:pStyle w:val="TableParagraph"/>
              <w:spacing w:before="14"/>
              <w:ind w:right="189"/>
              <w:rPr>
                <w:sz w:val="16"/>
              </w:rPr>
            </w:pPr>
            <w:r>
              <w:rPr>
                <w:w w:val="98"/>
                <w:sz w:val="16"/>
              </w:rPr>
              <w:t>-</w:t>
            </w:r>
          </w:p>
        </w:tc>
        <w:tc>
          <w:tcPr>
            <w:tcW w:w="828" w:type="dxa"/>
            <w:tcBorders>
              <w:top w:val="single" w:sz="4" w:space="0" w:color="000000"/>
            </w:tcBorders>
          </w:tcPr>
          <w:p>
            <w:pPr>
              <w:pStyle w:val="TableParagraph"/>
              <w:spacing w:before="14"/>
              <w:ind w:right="109"/>
              <w:rPr>
                <w:sz w:val="16"/>
              </w:rPr>
            </w:pPr>
            <w:r>
              <w:rPr>
                <w:w w:val="98"/>
                <w:sz w:val="16"/>
              </w:rPr>
              <w:t>-</w:t>
            </w:r>
          </w:p>
        </w:tc>
        <w:tc>
          <w:tcPr>
            <w:tcW w:w="1131" w:type="dxa"/>
            <w:tcBorders>
              <w:top w:val="single" w:sz="4" w:space="0" w:color="000000"/>
            </w:tcBorders>
          </w:tcPr>
          <w:p>
            <w:pPr>
              <w:pStyle w:val="TableParagraph"/>
              <w:spacing w:before="14"/>
              <w:ind w:right="102"/>
              <w:rPr>
                <w:sz w:val="16"/>
              </w:rPr>
            </w:pPr>
            <w:r>
              <w:rPr>
                <w:w w:val="98"/>
                <w:sz w:val="16"/>
              </w:rPr>
              <w:t>-</w:t>
            </w:r>
          </w:p>
        </w:tc>
        <w:tc>
          <w:tcPr>
            <w:tcW w:w="1079" w:type="dxa"/>
            <w:tcBorders>
              <w:top w:val="single" w:sz="4" w:space="0" w:color="000000"/>
            </w:tcBorders>
          </w:tcPr>
          <w:p>
            <w:pPr>
              <w:pStyle w:val="TableParagraph"/>
              <w:spacing w:before="14"/>
              <w:ind w:right="52"/>
              <w:rPr>
                <w:sz w:val="16"/>
              </w:rPr>
            </w:pPr>
            <w:r>
              <w:rPr>
                <w:spacing w:val="-2"/>
                <w:sz w:val="16"/>
              </w:rPr>
              <w:t>252.4</w:t>
            </w:r>
          </w:p>
        </w:tc>
        <w:tc>
          <w:tcPr>
            <w:tcW w:w="1070" w:type="dxa"/>
            <w:tcBorders>
              <w:top w:val="single" w:sz="4" w:space="0" w:color="000000"/>
            </w:tcBorders>
          </w:tcPr>
          <w:p>
            <w:pPr>
              <w:pStyle w:val="TableParagraph"/>
              <w:spacing w:before="14"/>
              <w:ind w:right="137"/>
              <w:rPr>
                <w:sz w:val="16"/>
              </w:rPr>
            </w:pPr>
            <w:r>
              <w:rPr>
                <w:spacing w:val="-2"/>
                <w:sz w:val="16"/>
              </w:rPr>
              <w:t>3,138.6</w:t>
            </w:r>
          </w:p>
        </w:tc>
        <w:tc>
          <w:tcPr>
            <w:tcW w:w="802" w:type="dxa"/>
            <w:tcBorders>
              <w:top w:val="single" w:sz="4" w:space="0" w:color="000000"/>
            </w:tcBorders>
          </w:tcPr>
          <w:p>
            <w:pPr>
              <w:pStyle w:val="TableParagraph"/>
              <w:spacing w:before="14"/>
              <w:ind w:right="180"/>
              <w:rPr>
                <w:sz w:val="16"/>
              </w:rPr>
            </w:pPr>
            <w:r>
              <w:rPr>
                <w:spacing w:val="-2"/>
                <w:sz w:val="16"/>
              </w:rPr>
              <w:t>1,243.5</w:t>
            </w:r>
          </w:p>
        </w:tc>
        <w:tc>
          <w:tcPr>
            <w:tcW w:w="1054" w:type="dxa"/>
            <w:tcBorders>
              <w:top w:val="single" w:sz="4" w:space="0" w:color="000000"/>
            </w:tcBorders>
          </w:tcPr>
          <w:p>
            <w:pPr>
              <w:pStyle w:val="TableParagraph"/>
              <w:spacing w:before="14"/>
              <w:ind w:right="106"/>
              <w:rPr>
                <w:sz w:val="16"/>
              </w:rPr>
            </w:pPr>
            <w:r>
              <w:rPr>
                <w:spacing w:val="-2"/>
                <w:sz w:val="16"/>
              </w:rPr>
              <w:t>3,391.0</w:t>
            </w:r>
          </w:p>
        </w:tc>
      </w:tr>
      <w:tr>
        <w:trPr>
          <w:trHeight w:val="225" w:hRule="atLeast"/>
        </w:trPr>
        <w:tc>
          <w:tcPr>
            <w:tcW w:w="2475" w:type="dxa"/>
          </w:tcPr>
          <w:p>
            <w:pPr>
              <w:pStyle w:val="TableParagraph"/>
              <w:spacing w:before="7"/>
              <w:ind w:right="117"/>
              <w:rPr>
                <w:sz w:val="16"/>
              </w:rPr>
            </w:pPr>
            <w:r>
              <w:rPr>
                <w:sz w:val="16"/>
              </w:rPr>
              <w:t>Temporary</w:t>
            </w:r>
            <w:r>
              <w:rPr>
                <w:spacing w:val="-3"/>
                <w:sz w:val="16"/>
              </w:rPr>
              <w:t> </w:t>
            </w:r>
            <w:r>
              <w:rPr>
                <w:sz w:val="16"/>
              </w:rPr>
              <w:t>assistance</w:t>
            </w:r>
            <w:r>
              <w:rPr>
                <w:spacing w:val="-4"/>
                <w:sz w:val="16"/>
              </w:rPr>
              <w:t> </w:t>
            </w:r>
            <w:r>
              <w:rPr>
                <w:sz w:val="16"/>
              </w:rPr>
              <w:t>for</w:t>
            </w:r>
            <w:r>
              <w:rPr>
                <w:spacing w:val="-5"/>
                <w:sz w:val="16"/>
              </w:rPr>
              <w:t> </w:t>
            </w:r>
            <w:r>
              <w:rPr>
                <w:spacing w:val="-2"/>
                <w:sz w:val="16"/>
              </w:rPr>
              <w:t>meetings</w:t>
            </w:r>
          </w:p>
        </w:tc>
        <w:tc>
          <w:tcPr>
            <w:tcW w:w="1210" w:type="dxa"/>
          </w:tcPr>
          <w:p>
            <w:pPr>
              <w:pStyle w:val="TableParagraph"/>
              <w:spacing w:before="7"/>
              <w:ind w:right="189"/>
              <w:rPr>
                <w:sz w:val="16"/>
              </w:rPr>
            </w:pPr>
            <w:r>
              <w:rPr>
                <w:w w:val="98"/>
                <w:sz w:val="16"/>
              </w:rPr>
              <w:t>-</w:t>
            </w:r>
          </w:p>
        </w:tc>
        <w:tc>
          <w:tcPr>
            <w:tcW w:w="828" w:type="dxa"/>
          </w:tcPr>
          <w:p>
            <w:pPr>
              <w:pStyle w:val="TableParagraph"/>
              <w:spacing w:before="7"/>
              <w:ind w:right="109"/>
              <w:rPr>
                <w:sz w:val="16"/>
              </w:rPr>
            </w:pPr>
            <w:r>
              <w:rPr>
                <w:w w:val="98"/>
                <w:sz w:val="16"/>
              </w:rPr>
              <w:t>-</w:t>
            </w:r>
          </w:p>
        </w:tc>
        <w:tc>
          <w:tcPr>
            <w:tcW w:w="1131" w:type="dxa"/>
          </w:tcPr>
          <w:p>
            <w:pPr>
              <w:pStyle w:val="TableParagraph"/>
              <w:spacing w:before="7"/>
              <w:ind w:right="102"/>
              <w:rPr>
                <w:sz w:val="16"/>
              </w:rPr>
            </w:pPr>
            <w:r>
              <w:rPr>
                <w:w w:val="98"/>
                <w:sz w:val="16"/>
              </w:rPr>
              <w:t>-</w:t>
            </w:r>
          </w:p>
        </w:tc>
        <w:tc>
          <w:tcPr>
            <w:tcW w:w="1079" w:type="dxa"/>
          </w:tcPr>
          <w:p>
            <w:pPr>
              <w:pStyle w:val="TableParagraph"/>
              <w:spacing w:before="7"/>
              <w:ind w:right="53"/>
              <w:rPr>
                <w:sz w:val="16"/>
              </w:rPr>
            </w:pPr>
            <w:r>
              <w:rPr>
                <w:w w:val="98"/>
                <w:sz w:val="16"/>
              </w:rPr>
              <w:t>-</w:t>
            </w:r>
          </w:p>
        </w:tc>
        <w:tc>
          <w:tcPr>
            <w:tcW w:w="1070" w:type="dxa"/>
          </w:tcPr>
          <w:p>
            <w:pPr>
              <w:pStyle w:val="TableParagraph"/>
              <w:spacing w:before="7"/>
              <w:ind w:right="139"/>
              <w:rPr>
                <w:sz w:val="16"/>
              </w:rPr>
            </w:pPr>
            <w:r>
              <w:rPr>
                <w:w w:val="98"/>
                <w:sz w:val="16"/>
              </w:rPr>
              <w:t>-</w:t>
            </w:r>
          </w:p>
        </w:tc>
        <w:tc>
          <w:tcPr>
            <w:tcW w:w="802" w:type="dxa"/>
          </w:tcPr>
          <w:p>
            <w:pPr>
              <w:pStyle w:val="TableParagraph"/>
              <w:spacing w:before="7"/>
              <w:ind w:right="182"/>
              <w:rPr>
                <w:sz w:val="16"/>
              </w:rPr>
            </w:pPr>
            <w:r>
              <w:rPr>
                <w:w w:val="98"/>
                <w:sz w:val="16"/>
              </w:rPr>
              <w:t>-</w:t>
            </w:r>
          </w:p>
        </w:tc>
        <w:tc>
          <w:tcPr>
            <w:tcW w:w="1054" w:type="dxa"/>
          </w:tcPr>
          <w:p>
            <w:pPr>
              <w:pStyle w:val="TableParagraph"/>
              <w:spacing w:before="7"/>
              <w:ind w:right="107"/>
              <w:rPr>
                <w:sz w:val="16"/>
              </w:rPr>
            </w:pPr>
            <w:r>
              <w:rPr>
                <w:w w:val="98"/>
                <w:sz w:val="16"/>
              </w:rPr>
              <w:t>-</w:t>
            </w:r>
          </w:p>
        </w:tc>
      </w:tr>
      <w:tr>
        <w:trPr>
          <w:trHeight w:val="223" w:hRule="atLeast"/>
        </w:trPr>
        <w:tc>
          <w:tcPr>
            <w:tcW w:w="2475" w:type="dxa"/>
            <w:tcBorders>
              <w:bottom w:val="single" w:sz="4" w:space="0" w:color="000000"/>
            </w:tcBorders>
          </w:tcPr>
          <w:p>
            <w:pPr>
              <w:pStyle w:val="TableParagraph"/>
              <w:spacing w:before="7"/>
              <w:ind w:left="117"/>
              <w:jc w:val="left"/>
              <w:rPr>
                <w:sz w:val="16"/>
              </w:rPr>
            </w:pPr>
            <w:r>
              <w:rPr>
                <w:spacing w:val="-2"/>
                <w:sz w:val="16"/>
              </w:rPr>
              <w:t>Overtime</w:t>
            </w:r>
          </w:p>
        </w:tc>
        <w:tc>
          <w:tcPr>
            <w:tcW w:w="1210" w:type="dxa"/>
            <w:tcBorders>
              <w:bottom w:val="single" w:sz="4" w:space="0" w:color="000000"/>
            </w:tcBorders>
          </w:tcPr>
          <w:p>
            <w:pPr>
              <w:pStyle w:val="TableParagraph"/>
              <w:spacing w:before="7"/>
              <w:ind w:right="189"/>
              <w:rPr>
                <w:sz w:val="16"/>
              </w:rPr>
            </w:pPr>
            <w:r>
              <w:rPr>
                <w:w w:val="98"/>
                <w:sz w:val="16"/>
              </w:rPr>
              <w:t>-</w:t>
            </w:r>
          </w:p>
        </w:tc>
        <w:tc>
          <w:tcPr>
            <w:tcW w:w="828" w:type="dxa"/>
            <w:tcBorders>
              <w:bottom w:val="single" w:sz="4" w:space="0" w:color="000000"/>
            </w:tcBorders>
          </w:tcPr>
          <w:p>
            <w:pPr>
              <w:pStyle w:val="TableParagraph"/>
              <w:spacing w:before="7"/>
              <w:ind w:right="109"/>
              <w:rPr>
                <w:sz w:val="16"/>
              </w:rPr>
            </w:pPr>
            <w:r>
              <w:rPr>
                <w:w w:val="98"/>
                <w:sz w:val="16"/>
              </w:rPr>
              <w:t>-</w:t>
            </w:r>
          </w:p>
        </w:tc>
        <w:tc>
          <w:tcPr>
            <w:tcW w:w="1131" w:type="dxa"/>
            <w:tcBorders>
              <w:bottom w:val="single" w:sz="4" w:space="0" w:color="000000"/>
            </w:tcBorders>
          </w:tcPr>
          <w:p>
            <w:pPr>
              <w:pStyle w:val="TableParagraph"/>
              <w:spacing w:before="7"/>
              <w:ind w:right="102"/>
              <w:rPr>
                <w:sz w:val="16"/>
              </w:rPr>
            </w:pPr>
            <w:r>
              <w:rPr>
                <w:w w:val="98"/>
                <w:sz w:val="16"/>
              </w:rPr>
              <w:t>-</w:t>
            </w:r>
          </w:p>
        </w:tc>
        <w:tc>
          <w:tcPr>
            <w:tcW w:w="1079" w:type="dxa"/>
            <w:tcBorders>
              <w:bottom w:val="single" w:sz="4" w:space="0" w:color="000000"/>
            </w:tcBorders>
          </w:tcPr>
          <w:p>
            <w:pPr>
              <w:pStyle w:val="TableParagraph"/>
              <w:spacing w:before="7"/>
              <w:ind w:right="53"/>
              <w:rPr>
                <w:sz w:val="16"/>
              </w:rPr>
            </w:pPr>
            <w:r>
              <w:rPr>
                <w:w w:val="98"/>
                <w:sz w:val="16"/>
              </w:rPr>
              <w:t>-</w:t>
            </w:r>
          </w:p>
        </w:tc>
        <w:tc>
          <w:tcPr>
            <w:tcW w:w="1070" w:type="dxa"/>
            <w:tcBorders>
              <w:bottom w:val="single" w:sz="4" w:space="0" w:color="000000"/>
            </w:tcBorders>
          </w:tcPr>
          <w:p>
            <w:pPr>
              <w:pStyle w:val="TableParagraph"/>
              <w:spacing w:before="7"/>
              <w:ind w:right="139"/>
              <w:rPr>
                <w:sz w:val="16"/>
              </w:rPr>
            </w:pPr>
            <w:r>
              <w:rPr>
                <w:w w:val="98"/>
                <w:sz w:val="16"/>
              </w:rPr>
              <w:t>-</w:t>
            </w:r>
          </w:p>
        </w:tc>
        <w:tc>
          <w:tcPr>
            <w:tcW w:w="802" w:type="dxa"/>
            <w:tcBorders>
              <w:bottom w:val="single" w:sz="4" w:space="0" w:color="000000"/>
            </w:tcBorders>
          </w:tcPr>
          <w:p>
            <w:pPr>
              <w:pStyle w:val="TableParagraph"/>
              <w:spacing w:before="7"/>
              <w:ind w:right="182"/>
              <w:rPr>
                <w:sz w:val="16"/>
              </w:rPr>
            </w:pPr>
            <w:r>
              <w:rPr>
                <w:w w:val="98"/>
                <w:sz w:val="16"/>
              </w:rPr>
              <w:t>-</w:t>
            </w:r>
          </w:p>
        </w:tc>
        <w:tc>
          <w:tcPr>
            <w:tcW w:w="1054" w:type="dxa"/>
            <w:tcBorders>
              <w:bottom w:val="single" w:sz="4" w:space="0" w:color="000000"/>
            </w:tcBorders>
          </w:tcPr>
          <w:p>
            <w:pPr>
              <w:pStyle w:val="TableParagraph"/>
              <w:spacing w:before="7"/>
              <w:ind w:right="107"/>
              <w:rPr>
                <w:sz w:val="16"/>
              </w:rPr>
            </w:pPr>
            <w:r>
              <w:rPr>
                <w:w w:val="98"/>
                <w:sz w:val="16"/>
              </w:rPr>
              <w:t>-</w:t>
            </w:r>
          </w:p>
        </w:tc>
      </w:tr>
      <w:tr>
        <w:trPr>
          <w:trHeight w:val="225" w:hRule="atLeast"/>
        </w:trPr>
        <w:tc>
          <w:tcPr>
            <w:tcW w:w="2475" w:type="dxa"/>
            <w:tcBorders>
              <w:top w:val="single" w:sz="4" w:space="0" w:color="000000"/>
              <w:bottom w:val="single" w:sz="4" w:space="0" w:color="000000"/>
            </w:tcBorders>
          </w:tcPr>
          <w:p>
            <w:pPr>
              <w:pStyle w:val="TableParagraph"/>
              <w:spacing w:before="14"/>
              <w:ind w:right="102"/>
              <w:rPr>
                <w:i/>
                <w:sz w:val="16"/>
              </w:rPr>
            </w:pPr>
            <w:r>
              <w:rPr>
                <w:i/>
                <w:sz w:val="16"/>
              </w:rPr>
              <w:t>Subtotal</w:t>
            </w:r>
            <w:r>
              <w:rPr>
                <w:i/>
                <w:spacing w:val="-2"/>
                <w:sz w:val="16"/>
              </w:rPr>
              <w:t> </w:t>
            </w:r>
            <w:r>
              <w:rPr>
                <w:i/>
                <w:sz w:val="16"/>
              </w:rPr>
              <w:t>other</w:t>
            </w:r>
            <w:r>
              <w:rPr>
                <w:i/>
                <w:spacing w:val="1"/>
                <w:sz w:val="16"/>
              </w:rPr>
              <w:t> </w:t>
            </w:r>
            <w:r>
              <w:rPr>
                <w:i/>
                <w:spacing w:val="-2"/>
                <w:sz w:val="16"/>
              </w:rPr>
              <w:t>staff</w:t>
            </w:r>
          </w:p>
        </w:tc>
        <w:tc>
          <w:tcPr>
            <w:tcW w:w="1210" w:type="dxa"/>
            <w:tcBorders>
              <w:top w:val="single" w:sz="4" w:space="0" w:color="000000"/>
              <w:bottom w:val="single" w:sz="4" w:space="0" w:color="000000"/>
            </w:tcBorders>
          </w:tcPr>
          <w:p>
            <w:pPr>
              <w:pStyle w:val="TableParagraph"/>
              <w:spacing w:before="14"/>
              <w:ind w:right="189"/>
              <w:rPr>
                <w:i/>
                <w:sz w:val="16"/>
              </w:rPr>
            </w:pPr>
            <w:r>
              <w:rPr>
                <w:i/>
                <w:w w:val="98"/>
                <w:sz w:val="16"/>
              </w:rPr>
              <w:t>-</w:t>
            </w:r>
          </w:p>
        </w:tc>
        <w:tc>
          <w:tcPr>
            <w:tcW w:w="828" w:type="dxa"/>
            <w:tcBorders>
              <w:top w:val="single" w:sz="4" w:space="0" w:color="000000"/>
              <w:bottom w:val="single" w:sz="4" w:space="0" w:color="000000"/>
            </w:tcBorders>
          </w:tcPr>
          <w:p>
            <w:pPr>
              <w:pStyle w:val="TableParagraph"/>
              <w:spacing w:before="14"/>
              <w:ind w:right="109"/>
              <w:rPr>
                <w:i/>
                <w:sz w:val="16"/>
              </w:rPr>
            </w:pPr>
            <w:r>
              <w:rPr>
                <w:i/>
                <w:w w:val="98"/>
                <w:sz w:val="16"/>
              </w:rPr>
              <w:t>-</w:t>
            </w:r>
          </w:p>
        </w:tc>
        <w:tc>
          <w:tcPr>
            <w:tcW w:w="1131" w:type="dxa"/>
            <w:tcBorders>
              <w:top w:val="single" w:sz="4" w:space="0" w:color="000000"/>
              <w:bottom w:val="single" w:sz="4" w:space="0" w:color="000000"/>
            </w:tcBorders>
          </w:tcPr>
          <w:p>
            <w:pPr>
              <w:pStyle w:val="TableParagraph"/>
              <w:spacing w:before="14"/>
              <w:ind w:right="102"/>
              <w:rPr>
                <w:i/>
                <w:sz w:val="16"/>
              </w:rPr>
            </w:pPr>
            <w:r>
              <w:rPr>
                <w:i/>
                <w:w w:val="98"/>
                <w:sz w:val="16"/>
              </w:rPr>
              <w:t>-</w:t>
            </w:r>
          </w:p>
        </w:tc>
        <w:tc>
          <w:tcPr>
            <w:tcW w:w="1079" w:type="dxa"/>
            <w:tcBorders>
              <w:top w:val="single" w:sz="4" w:space="0" w:color="000000"/>
              <w:bottom w:val="single" w:sz="4" w:space="0" w:color="000000"/>
            </w:tcBorders>
          </w:tcPr>
          <w:p>
            <w:pPr>
              <w:pStyle w:val="TableParagraph"/>
              <w:spacing w:before="14"/>
              <w:ind w:right="52"/>
              <w:rPr>
                <w:i/>
                <w:sz w:val="16"/>
              </w:rPr>
            </w:pPr>
            <w:r>
              <w:rPr>
                <w:i/>
                <w:spacing w:val="-2"/>
                <w:sz w:val="16"/>
              </w:rPr>
              <w:t>252.4</w:t>
            </w:r>
          </w:p>
        </w:tc>
        <w:tc>
          <w:tcPr>
            <w:tcW w:w="1070" w:type="dxa"/>
            <w:tcBorders>
              <w:top w:val="single" w:sz="4" w:space="0" w:color="000000"/>
              <w:bottom w:val="single" w:sz="4" w:space="0" w:color="000000"/>
            </w:tcBorders>
          </w:tcPr>
          <w:p>
            <w:pPr>
              <w:pStyle w:val="TableParagraph"/>
              <w:spacing w:before="14"/>
              <w:ind w:right="137"/>
              <w:rPr>
                <w:i/>
                <w:sz w:val="16"/>
              </w:rPr>
            </w:pPr>
            <w:r>
              <w:rPr>
                <w:i/>
                <w:spacing w:val="-2"/>
                <w:sz w:val="16"/>
              </w:rPr>
              <w:t>3,138.6</w:t>
            </w:r>
          </w:p>
        </w:tc>
        <w:tc>
          <w:tcPr>
            <w:tcW w:w="802" w:type="dxa"/>
            <w:tcBorders>
              <w:top w:val="single" w:sz="4" w:space="0" w:color="000000"/>
              <w:bottom w:val="single" w:sz="4" w:space="0" w:color="000000"/>
            </w:tcBorders>
          </w:tcPr>
          <w:p>
            <w:pPr>
              <w:pStyle w:val="TableParagraph"/>
              <w:spacing w:before="14"/>
              <w:ind w:right="180"/>
              <w:rPr>
                <w:i/>
                <w:sz w:val="16"/>
              </w:rPr>
            </w:pPr>
            <w:r>
              <w:rPr>
                <w:i/>
                <w:spacing w:val="-2"/>
                <w:sz w:val="16"/>
              </w:rPr>
              <w:t>1,243.5</w:t>
            </w:r>
          </w:p>
        </w:tc>
        <w:tc>
          <w:tcPr>
            <w:tcW w:w="1054" w:type="dxa"/>
            <w:tcBorders>
              <w:top w:val="single" w:sz="4" w:space="0" w:color="000000"/>
              <w:bottom w:val="single" w:sz="4" w:space="0" w:color="000000"/>
            </w:tcBorders>
          </w:tcPr>
          <w:p>
            <w:pPr>
              <w:pStyle w:val="TableParagraph"/>
              <w:spacing w:before="14"/>
              <w:ind w:right="106"/>
              <w:rPr>
                <w:i/>
                <w:sz w:val="16"/>
              </w:rPr>
            </w:pPr>
            <w:r>
              <w:rPr>
                <w:i/>
                <w:spacing w:val="-2"/>
                <w:sz w:val="16"/>
              </w:rPr>
              <w:t>3,391.0</w:t>
            </w:r>
          </w:p>
        </w:tc>
      </w:tr>
      <w:tr>
        <w:trPr>
          <w:trHeight w:val="231" w:hRule="atLeast"/>
        </w:trPr>
        <w:tc>
          <w:tcPr>
            <w:tcW w:w="2475" w:type="dxa"/>
            <w:tcBorders>
              <w:top w:val="single" w:sz="4" w:space="0" w:color="000000"/>
            </w:tcBorders>
          </w:tcPr>
          <w:p>
            <w:pPr>
              <w:pStyle w:val="TableParagraph"/>
              <w:spacing w:before="14"/>
              <w:ind w:left="117"/>
              <w:jc w:val="left"/>
              <w:rPr>
                <w:sz w:val="16"/>
              </w:rPr>
            </w:pPr>
            <w:r>
              <w:rPr>
                <w:spacing w:val="-2"/>
                <w:sz w:val="16"/>
              </w:rPr>
              <w:t>Travel</w:t>
            </w:r>
          </w:p>
        </w:tc>
        <w:tc>
          <w:tcPr>
            <w:tcW w:w="1210" w:type="dxa"/>
            <w:tcBorders>
              <w:top w:val="single" w:sz="4" w:space="0" w:color="000000"/>
            </w:tcBorders>
          </w:tcPr>
          <w:p>
            <w:pPr>
              <w:pStyle w:val="TableParagraph"/>
              <w:spacing w:before="14"/>
              <w:ind w:right="189"/>
              <w:rPr>
                <w:sz w:val="16"/>
              </w:rPr>
            </w:pPr>
            <w:r>
              <w:rPr>
                <w:w w:val="98"/>
                <w:sz w:val="16"/>
              </w:rPr>
              <w:t>-</w:t>
            </w:r>
          </w:p>
        </w:tc>
        <w:tc>
          <w:tcPr>
            <w:tcW w:w="828" w:type="dxa"/>
            <w:tcBorders>
              <w:top w:val="single" w:sz="4" w:space="0" w:color="000000"/>
            </w:tcBorders>
          </w:tcPr>
          <w:p>
            <w:pPr>
              <w:pStyle w:val="TableParagraph"/>
              <w:spacing w:before="14"/>
              <w:ind w:right="109"/>
              <w:rPr>
                <w:sz w:val="16"/>
              </w:rPr>
            </w:pPr>
            <w:r>
              <w:rPr>
                <w:w w:val="98"/>
                <w:sz w:val="16"/>
              </w:rPr>
              <w:t>-</w:t>
            </w:r>
          </w:p>
        </w:tc>
        <w:tc>
          <w:tcPr>
            <w:tcW w:w="1131" w:type="dxa"/>
            <w:tcBorders>
              <w:top w:val="single" w:sz="4" w:space="0" w:color="000000"/>
            </w:tcBorders>
          </w:tcPr>
          <w:p>
            <w:pPr>
              <w:pStyle w:val="TableParagraph"/>
              <w:spacing w:before="14"/>
              <w:ind w:right="102"/>
              <w:rPr>
                <w:sz w:val="16"/>
              </w:rPr>
            </w:pPr>
            <w:r>
              <w:rPr>
                <w:w w:val="98"/>
                <w:sz w:val="16"/>
              </w:rPr>
              <w:t>-</w:t>
            </w:r>
          </w:p>
        </w:tc>
        <w:tc>
          <w:tcPr>
            <w:tcW w:w="1079" w:type="dxa"/>
            <w:tcBorders>
              <w:top w:val="single" w:sz="4" w:space="0" w:color="000000"/>
            </w:tcBorders>
          </w:tcPr>
          <w:p>
            <w:pPr>
              <w:pStyle w:val="TableParagraph"/>
              <w:spacing w:before="14"/>
              <w:ind w:right="51"/>
              <w:rPr>
                <w:sz w:val="16"/>
              </w:rPr>
            </w:pPr>
            <w:r>
              <w:rPr>
                <w:spacing w:val="-4"/>
                <w:sz w:val="16"/>
              </w:rPr>
              <w:t>31.8</w:t>
            </w:r>
          </w:p>
        </w:tc>
        <w:tc>
          <w:tcPr>
            <w:tcW w:w="1070" w:type="dxa"/>
            <w:tcBorders>
              <w:top w:val="single" w:sz="4" w:space="0" w:color="000000"/>
            </w:tcBorders>
          </w:tcPr>
          <w:p>
            <w:pPr>
              <w:pStyle w:val="TableParagraph"/>
              <w:spacing w:before="14"/>
              <w:ind w:right="137"/>
              <w:rPr>
                <w:sz w:val="16"/>
              </w:rPr>
            </w:pPr>
            <w:r>
              <w:rPr>
                <w:spacing w:val="-2"/>
                <w:sz w:val="16"/>
              </w:rPr>
              <w:t>483.3</w:t>
            </w:r>
          </w:p>
        </w:tc>
        <w:tc>
          <w:tcPr>
            <w:tcW w:w="802" w:type="dxa"/>
            <w:tcBorders>
              <w:top w:val="single" w:sz="4" w:space="0" w:color="000000"/>
            </w:tcBorders>
          </w:tcPr>
          <w:p>
            <w:pPr>
              <w:pStyle w:val="TableParagraph"/>
              <w:spacing w:before="14"/>
              <w:ind w:right="180"/>
              <w:rPr>
                <w:sz w:val="16"/>
              </w:rPr>
            </w:pPr>
            <w:r>
              <w:rPr>
                <w:spacing w:val="-2"/>
                <w:sz w:val="16"/>
              </w:rPr>
              <w:t>1,519.8</w:t>
            </w:r>
          </w:p>
        </w:tc>
        <w:tc>
          <w:tcPr>
            <w:tcW w:w="1054" w:type="dxa"/>
            <w:tcBorders>
              <w:top w:val="single" w:sz="4" w:space="0" w:color="000000"/>
            </w:tcBorders>
          </w:tcPr>
          <w:p>
            <w:pPr>
              <w:pStyle w:val="TableParagraph"/>
              <w:spacing w:before="14"/>
              <w:ind w:right="106"/>
              <w:rPr>
                <w:sz w:val="16"/>
              </w:rPr>
            </w:pPr>
            <w:r>
              <w:rPr>
                <w:spacing w:val="-2"/>
                <w:sz w:val="16"/>
              </w:rPr>
              <w:t>515.1</w:t>
            </w:r>
          </w:p>
        </w:tc>
      </w:tr>
      <w:tr>
        <w:trPr>
          <w:trHeight w:val="228" w:hRule="atLeast"/>
        </w:trPr>
        <w:tc>
          <w:tcPr>
            <w:tcW w:w="2475" w:type="dxa"/>
          </w:tcPr>
          <w:p>
            <w:pPr>
              <w:pStyle w:val="TableParagraph"/>
              <w:spacing w:before="7"/>
              <w:ind w:left="117"/>
              <w:jc w:val="left"/>
              <w:rPr>
                <w:sz w:val="16"/>
              </w:rPr>
            </w:pPr>
            <w:r>
              <w:rPr>
                <w:spacing w:val="-2"/>
                <w:sz w:val="16"/>
              </w:rPr>
              <w:t>Hospitality</w:t>
            </w:r>
          </w:p>
        </w:tc>
        <w:tc>
          <w:tcPr>
            <w:tcW w:w="1210" w:type="dxa"/>
          </w:tcPr>
          <w:p>
            <w:pPr>
              <w:pStyle w:val="TableParagraph"/>
              <w:spacing w:before="7"/>
              <w:ind w:right="189"/>
              <w:rPr>
                <w:sz w:val="16"/>
              </w:rPr>
            </w:pPr>
            <w:r>
              <w:rPr>
                <w:w w:val="98"/>
                <w:sz w:val="16"/>
              </w:rPr>
              <w:t>-</w:t>
            </w:r>
          </w:p>
        </w:tc>
        <w:tc>
          <w:tcPr>
            <w:tcW w:w="828" w:type="dxa"/>
          </w:tcPr>
          <w:p>
            <w:pPr>
              <w:pStyle w:val="TableParagraph"/>
              <w:spacing w:before="7"/>
              <w:ind w:right="109"/>
              <w:rPr>
                <w:sz w:val="16"/>
              </w:rPr>
            </w:pPr>
            <w:r>
              <w:rPr>
                <w:w w:val="98"/>
                <w:sz w:val="16"/>
              </w:rPr>
              <w:t>-</w:t>
            </w:r>
          </w:p>
        </w:tc>
        <w:tc>
          <w:tcPr>
            <w:tcW w:w="1131" w:type="dxa"/>
          </w:tcPr>
          <w:p>
            <w:pPr>
              <w:pStyle w:val="TableParagraph"/>
              <w:spacing w:before="7"/>
              <w:ind w:right="102"/>
              <w:rPr>
                <w:sz w:val="16"/>
              </w:rPr>
            </w:pPr>
            <w:r>
              <w:rPr>
                <w:w w:val="98"/>
                <w:sz w:val="16"/>
              </w:rPr>
              <w:t>-</w:t>
            </w:r>
          </w:p>
        </w:tc>
        <w:tc>
          <w:tcPr>
            <w:tcW w:w="1079" w:type="dxa"/>
          </w:tcPr>
          <w:p>
            <w:pPr>
              <w:pStyle w:val="TableParagraph"/>
              <w:spacing w:before="7"/>
              <w:ind w:right="56"/>
              <w:rPr>
                <w:sz w:val="16"/>
              </w:rPr>
            </w:pPr>
            <w:r>
              <w:rPr>
                <w:spacing w:val="-5"/>
                <w:sz w:val="16"/>
              </w:rPr>
              <w:t>5.0</w:t>
            </w:r>
          </w:p>
        </w:tc>
        <w:tc>
          <w:tcPr>
            <w:tcW w:w="1070" w:type="dxa"/>
          </w:tcPr>
          <w:p>
            <w:pPr>
              <w:pStyle w:val="TableParagraph"/>
              <w:spacing w:before="7"/>
              <w:ind w:right="137"/>
              <w:rPr>
                <w:sz w:val="16"/>
              </w:rPr>
            </w:pPr>
            <w:r>
              <w:rPr>
                <w:spacing w:val="-4"/>
                <w:sz w:val="16"/>
              </w:rPr>
              <w:t>10.0</w:t>
            </w:r>
          </w:p>
        </w:tc>
        <w:tc>
          <w:tcPr>
            <w:tcW w:w="802" w:type="dxa"/>
          </w:tcPr>
          <w:p>
            <w:pPr>
              <w:pStyle w:val="TableParagraph"/>
              <w:spacing w:before="7"/>
              <w:ind w:right="180"/>
              <w:rPr>
                <w:sz w:val="16"/>
              </w:rPr>
            </w:pPr>
            <w:r>
              <w:rPr>
                <w:spacing w:val="-2"/>
                <w:sz w:val="16"/>
              </w:rPr>
              <w:t>200.0</w:t>
            </w:r>
          </w:p>
        </w:tc>
        <w:tc>
          <w:tcPr>
            <w:tcW w:w="1054" w:type="dxa"/>
          </w:tcPr>
          <w:p>
            <w:pPr>
              <w:pStyle w:val="TableParagraph"/>
              <w:spacing w:before="7"/>
              <w:ind w:right="105"/>
              <w:rPr>
                <w:sz w:val="16"/>
              </w:rPr>
            </w:pPr>
            <w:r>
              <w:rPr>
                <w:spacing w:val="-4"/>
                <w:sz w:val="16"/>
              </w:rPr>
              <w:t>15.0</w:t>
            </w:r>
          </w:p>
        </w:tc>
      </w:tr>
      <w:tr>
        <w:trPr>
          <w:trHeight w:val="228" w:hRule="atLeast"/>
        </w:trPr>
        <w:tc>
          <w:tcPr>
            <w:tcW w:w="2475" w:type="dxa"/>
          </w:tcPr>
          <w:p>
            <w:pPr>
              <w:pStyle w:val="TableParagraph"/>
              <w:spacing w:before="10"/>
              <w:ind w:left="117"/>
              <w:jc w:val="left"/>
              <w:rPr>
                <w:sz w:val="16"/>
              </w:rPr>
            </w:pPr>
            <w:r>
              <w:rPr>
                <w:w w:val="95"/>
                <w:sz w:val="16"/>
              </w:rPr>
              <w:t>Contractual</w:t>
            </w:r>
            <w:r>
              <w:rPr>
                <w:spacing w:val="33"/>
                <w:sz w:val="16"/>
              </w:rPr>
              <w:t> </w:t>
            </w:r>
            <w:r>
              <w:rPr>
                <w:spacing w:val="-2"/>
                <w:sz w:val="16"/>
              </w:rPr>
              <w:t>services</w:t>
            </w:r>
          </w:p>
        </w:tc>
        <w:tc>
          <w:tcPr>
            <w:tcW w:w="1210" w:type="dxa"/>
          </w:tcPr>
          <w:p>
            <w:pPr>
              <w:pStyle w:val="TableParagraph"/>
              <w:spacing w:before="10"/>
              <w:ind w:right="189"/>
              <w:rPr>
                <w:sz w:val="16"/>
              </w:rPr>
            </w:pPr>
            <w:r>
              <w:rPr>
                <w:w w:val="98"/>
                <w:sz w:val="16"/>
              </w:rPr>
              <w:t>-</w:t>
            </w:r>
          </w:p>
        </w:tc>
        <w:tc>
          <w:tcPr>
            <w:tcW w:w="828" w:type="dxa"/>
          </w:tcPr>
          <w:p>
            <w:pPr>
              <w:pStyle w:val="TableParagraph"/>
              <w:spacing w:before="10"/>
              <w:ind w:right="109"/>
              <w:rPr>
                <w:sz w:val="16"/>
              </w:rPr>
            </w:pPr>
            <w:r>
              <w:rPr>
                <w:w w:val="98"/>
                <w:sz w:val="16"/>
              </w:rPr>
              <w:t>-</w:t>
            </w:r>
          </w:p>
        </w:tc>
        <w:tc>
          <w:tcPr>
            <w:tcW w:w="1131" w:type="dxa"/>
          </w:tcPr>
          <w:p>
            <w:pPr>
              <w:pStyle w:val="TableParagraph"/>
              <w:spacing w:before="10"/>
              <w:ind w:right="102"/>
              <w:rPr>
                <w:sz w:val="16"/>
              </w:rPr>
            </w:pPr>
            <w:r>
              <w:rPr>
                <w:w w:val="98"/>
                <w:sz w:val="16"/>
              </w:rPr>
              <w:t>-</w:t>
            </w:r>
          </w:p>
        </w:tc>
        <w:tc>
          <w:tcPr>
            <w:tcW w:w="1079" w:type="dxa"/>
          </w:tcPr>
          <w:p>
            <w:pPr>
              <w:pStyle w:val="TableParagraph"/>
              <w:spacing w:before="10"/>
              <w:ind w:right="53"/>
              <w:rPr>
                <w:sz w:val="16"/>
              </w:rPr>
            </w:pPr>
            <w:r>
              <w:rPr>
                <w:w w:val="98"/>
                <w:sz w:val="16"/>
              </w:rPr>
              <w:t>-</w:t>
            </w:r>
          </w:p>
        </w:tc>
        <w:tc>
          <w:tcPr>
            <w:tcW w:w="1070" w:type="dxa"/>
          </w:tcPr>
          <w:p>
            <w:pPr>
              <w:pStyle w:val="TableParagraph"/>
              <w:spacing w:before="10"/>
              <w:ind w:right="137"/>
              <w:rPr>
                <w:sz w:val="16"/>
              </w:rPr>
            </w:pPr>
            <w:r>
              <w:rPr>
                <w:spacing w:val="-2"/>
                <w:sz w:val="16"/>
              </w:rPr>
              <w:t>290.0</w:t>
            </w:r>
          </w:p>
        </w:tc>
        <w:tc>
          <w:tcPr>
            <w:tcW w:w="802" w:type="dxa"/>
          </w:tcPr>
          <w:p>
            <w:pPr>
              <w:pStyle w:val="TableParagraph"/>
              <w:spacing w:before="10"/>
              <w:ind w:right="182"/>
              <w:rPr>
                <w:sz w:val="16"/>
              </w:rPr>
            </w:pPr>
            <w:r>
              <w:rPr>
                <w:w w:val="98"/>
                <w:sz w:val="16"/>
              </w:rPr>
              <w:t>-</w:t>
            </w:r>
          </w:p>
        </w:tc>
        <w:tc>
          <w:tcPr>
            <w:tcW w:w="1054" w:type="dxa"/>
          </w:tcPr>
          <w:p>
            <w:pPr>
              <w:pStyle w:val="TableParagraph"/>
              <w:spacing w:before="10"/>
              <w:ind w:right="106"/>
              <w:rPr>
                <w:sz w:val="16"/>
              </w:rPr>
            </w:pPr>
            <w:r>
              <w:rPr>
                <w:spacing w:val="-2"/>
                <w:sz w:val="16"/>
              </w:rPr>
              <w:t>290.0</w:t>
            </w:r>
          </w:p>
        </w:tc>
      </w:tr>
      <w:tr>
        <w:trPr>
          <w:trHeight w:val="225" w:hRule="atLeast"/>
        </w:trPr>
        <w:tc>
          <w:tcPr>
            <w:tcW w:w="2475" w:type="dxa"/>
          </w:tcPr>
          <w:p>
            <w:pPr>
              <w:pStyle w:val="TableParagraph"/>
              <w:spacing w:before="7"/>
              <w:ind w:left="117"/>
              <w:jc w:val="left"/>
              <w:rPr>
                <w:sz w:val="16"/>
              </w:rPr>
            </w:pPr>
            <w:r>
              <w:rPr>
                <w:spacing w:val="-2"/>
                <w:sz w:val="16"/>
              </w:rPr>
              <w:t>Training</w:t>
            </w:r>
          </w:p>
        </w:tc>
        <w:tc>
          <w:tcPr>
            <w:tcW w:w="1210" w:type="dxa"/>
          </w:tcPr>
          <w:p>
            <w:pPr>
              <w:pStyle w:val="TableParagraph"/>
              <w:spacing w:before="7"/>
              <w:ind w:right="189"/>
              <w:rPr>
                <w:sz w:val="16"/>
              </w:rPr>
            </w:pPr>
            <w:r>
              <w:rPr>
                <w:w w:val="98"/>
                <w:sz w:val="16"/>
              </w:rPr>
              <w:t>-</w:t>
            </w:r>
          </w:p>
        </w:tc>
        <w:tc>
          <w:tcPr>
            <w:tcW w:w="828" w:type="dxa"/>
          </w:tcPr>
          <w:p>
            <w:pPr>
              <w:pStyle w:val="TableParagraph"/>
              <w:spacing w:before="7"/>
              <w:ind w:right="109"/>
              <w:rPr>
                <w:sz w:val="16"/>
              </w:rPr>
            </w:pPr>
            <w:r>
              <w:rPr>
                <w:w w:val="98"/>
                <w:sz w:val="16"/>
              </w:rPr>
              <w:t>-</w:t>
            </w:r>
          </w:p>
        </w:tc>
        <w:tc>
          <w:tcPr>
            <w:tcW w:w="1131" w:type="dxa"/>
          </w:tcPr>
          <w:p>
            <w:pPr>
              <w:pStyle w:val="TableParagraph"/>
              <w:spacing w:before="7"/>
              <w:ind w:right="102"/>
              <w:rPr>
                <w:sz w:val="16"/>
              </w:rPr>
            </w:pPr>
            <w:r>
              <w:rPr>
                <w:w w:val="98"/>
                <w:sz w:val="16"/>
              </w:rPr>
              <w:t>-</w:t>
            </w:r>
          </w:p>
        </w:tc>
        <w:tc>
          <w:tcPr>
            <w:tcW w:w="1079" w:type="dxa"/>
          </w:tcPr>
          <w:p>
            <w:pPr>
              <w:pStyle w:val="TableParagraph"/>
              <w:spacing w:before="7"/>
              <w:ind w:right="52"/>
              <w:rPr>
                <w:sz w:val="16"/>
              </w:rPr>
            </w:pPr>
            <w:r>
              <w:rPr>
                <w:spacing w:val="-2"/>
                <w:sz w:val="16"/>
              </w:rPr>
              <w:t>100.0</w:t>
            </w:r>
          </w:p>
        </w:tc>
        <w:tc>
          <w:tcPr>
            <w:tcW w:w="1070" w:type="dxa"/>
          </w:tcPr>
          <w:p>
            <w:pPr>
              <w:pStyle w:val="TableParagraph"/>
              <w:spacing w:before="7"/>
              <w:ind w:right="139"/>
              <w:rPr>
                <w:sz w:val="16"/>
              </w:rPr>
            </w:pPr>
            <w:r>
              <w:rPr>
                <w:w w:val="98"/>
                <w:sz w:val="16"/>
              </w:rPr>
              <w:t>-</w:t>
            </w:r>
          </w:p>
        </w:tc>
        <w:tc>
          <w:tcPr>
            <w:tcW w:w="802" w:type="dxa"/>
          </w:tcPr>
          <w:p>
            <w:pPr>
              <w:pStyle w:val="TableParagraph"/>
              <w:spacing w:before="7"/>
              <w:ind w:right="182"/>
              <w:rPr>
                <w:sz w:val="16"/>
              </w:rPr>
            </w:pPr>
            <w:r>
              <w:rPr>
                <w:w w:val="98"/>
                <w:sz w:val="16"/>
              </w:rPr>
              <w:t>-</w:t>
            </w:r>
          </w:p>
        </w:tc>
        <w:tc>
          <w:tcPr>
            <w:tcW w:w="1054" w:type="dxa"/>
          </w:tcPr>
          <w:p>
            <w:pPr>
              <w:pStyle w:val="TableParagraph"/>
              <w:spacing w:before="7"/>
              <w:ind w:right="106"/>
              <w:rPr>
                <w:sz w:val="16"/>
              </w:rPr>
            </w:pPr>
            <w:r>
              <w:rPr>
                <w:spacing w:val="-2"/>
                <w:sz w:val="16"/>
              </w:rPr>
              <w:t>100.0</w:t>
            </w:r>
          </w:p>
        </w:tc>
      </w:tr>
      <w:tr>
        <w:trPr>
          <w:trHeight w:val="225" w:hRule="atLeast"/>
        </w:trPr>
        <w:tc>
          <w:tcPr>
            <w:tcW w:w="2475" w:type="dxa"/>
          </w:tcPr>
          <w:p>
            <w:pPr>
              <w:pStyle w:val="TableParagraph"/>
              <w:spacing w:before="7"/>
              <w:ind w:left="117"/>
              <w:jc w:val="left"/>
              <w:rPr>
                <w:sz w:val="16"/>
              </w:rPr>
            </w:pPr>
            <w:r>
              <w:rPr>
                <w:spacing w:val="-2"/>
                <w:sz w:val="16"/>
              </w:rPr>
              <w:t>Consultants</w:t>
            </w:r>
          </w:p>
        </w:tc>
        <w:tc>
          <w:tcPr>
            <w:tcW w:w="1210" w:type="dxa"/>
          </w:tcPr>
          <w:p>
            <w:pPr>
              <w:pStyle w:val="TableParagraph"/>
              <w:spacing w:before="7"/>
              <w:ind w:right="189"/>
              <w:rPr>
                <w:sz w:val="16"/>
              </w:rPr>
            </w:pPr>
            <w:r>
              <w:rPr>
                <w:w w:val="98"/>
                <w:sz w:val="16"/>
              </w:rPr>
              <w:t>-</w:t>
            </w:r>
          </w:p>
        </w:tc>
        <w:tc>
          <w:tcPr>
            <w:tcW w:w="828" w:type="dxa"/>
          </w:tcPr>
          <w:p>
            <w:pPr>
              <w:pStyle w:val="TableParagraph"/>
              <w:spacing w:before="7"/>
              <w:ind w:right="109"/>
              <w:rPr>
                <w:sz w:val="16"/>
              </w:rPr>
            </w:pPr>
            <w:r>
              <w:rPr>
                <w:w w:val="98"/>
                <w:sz w:val="16"/>
              </w:rPr>
              <w:t>-</w:t>
            </w:r>
          </w:p>
        </w:tc>
        <w:tc>
          <w:tcPr>
            <w:tcW w:w="1131" w:type="dxa"/>
          </w:tcPr>
          <w:p>
            <w:pPr>
              <w:pStyle w:val="TableParagraph"/>
              <w:spacing w:before="7"/>
              <w:ind w:right="102"/>
              <w:rPr>
                <w:sz w:val="16"/>
              </w:rPr>
            </w:pPr>
            <w:r>
              <w:rPr>
                <w:w w:val="98"/>
                <w:sz w:val="16"/>
              </w:rPr>
              <w:t>-</w:t>
            </w:r>
          </w:p>
        </w:tc>
        <w:tc>
          <w:tcPr>
            <w:tcW w:w="1079" w:type="dxa"/>
          </w:tcPr>
          <w:p>
            <w:pPr>
              <w:pStyle w:val="TableParagraph"/>
              <w:spacing w:before="7"/>
              <w:ind w:right="52"/>
              <w:rPr>
                <w:sz w:val="16"/>
              </w:rPr>
            </w:pPr>
            <w:r>
              <w:rPr>
                <w:spacing w:val="-2"/>
                <w:sz w:val="16"/>
              </w:rPr>
              <w:t>100.0</w:t>
            </w:r>
          </w:p>
        </w:tc>
        <w:tc>
          <w:tcPr>
            <w:tcW w:w="1070" w:type="dxa"/>
          </w:tcPr>
          <w:p>
            <w:pPr>
              <w:pStyle w:val="TableParagraph"/>
              <w:spacing w:before="7"/>
              <w:ind w:right="139"/>
              <w:rPr>
                <w:sz w:val="16"/>
              </w:rPr>
            </w:pPr>
            <w:r>
              <w:rPr>
                <w:w w:val="98"/>
                <w:sz w:val="16"/>
              </w:rPr>
              <w:t>-</w:t>
            </w:r>
          </w:p>
        </w:tc>
        <w:tc>
          <w:tcPr>
            <w:tcW w:w="802" w:type="dxa"/>
          </w:tcPr>
          <w:p>
            <w:pPr>
              <w:pStyle w:val="TableParagraph"/>
              <w:spacing w:before="7"/>
              <w:ind w:right="182"/>
              <w:rPr>
                <w:sz w:val="16"/>
              </w:rPr>
            </w:pPr>
            <w:r>
              <w:rPr>
                <w:w w:val="98"/>
                <w:sz w:val="16"/>
              </w:rPr>
              <w:t>-</w:t>
            </w:r>
          </w:p>
        </w:tc>
        <w:tc>
          <w:tcPr>
            <w:tcW w:w="1054" w:type="dxa"/>
          </w:tcPr>
          <w:p>
            <w:pPr>
              <w:pStyle w:val="TableParagraph"/>
              <w:spacing w:before="7"/>
              <w:ind w:right="106"/>
              <w:rPr>
                <w:sz w:val="16"/>
              </w:rPr>
            </w:pPr>
            <w:r>
              <w:rPr>
                <w:spacing w:val="-2"/>
                <w:sz w:val="16"/>
              </w:rPr>
              <w:t>100.0</w:t>
            </w:r>
          </w:p>
        </w:tc>
      </w:tr>
      <w:tr>
        <w:trPr>
          <w:trHeight w:val="227" w:hRule="atLeast"/>
        </w:trPr>
        <w:tc>
          <w:tcPr>
            <w:tcW w:w="2475" w:type="dxa"/>
          </w:tcPr>
          <w:p>
            <w:pPr>
              <w:pStyle w:val="TableParagraph"/>
              <w:spacing w:before="7"/>
              <w:ind w:left="117"/>
              <w:jc w:val="left"/>
              <w:rPr>
                <w:sz w:val="16"/>
              </w:rPr>
            </w:pPr>
            <w:r>
              <w:rPr>
                <w:sz w:val="16"/>
              </w:rPr>
              <w:t>General</w:t>
            </w:r>
            <w:r>
              <w:rPr>
                <w:spacing w:val="-3"/>
                <w:sz w:val="16"/>
              </w:rPr>
              <w:t> </w:t>
            </w:r>
            <w:r>
              <w:rPr>
                <w:sz w:val="16"/>
              </w:rPr>
              <w:t>operating</w:t>
            </w:r>
            <w:r>
              <w:rPr>
                <w:spacing w:val="-1"/>
                <w:sz w:val="16"/>
              </w:rPr>
              <w:t> </w:t>
            </w:r>
            <w:r>
              <w:rPr>
                <w:spacing w:val="-2"/>
                <w:sz w:val="16"/>
              </w:rPr>
              <w:t>expenses</w:t>
            </w:r>
          </w:p>
        </w:tc>
        <w:tc>
          <w:tcPr>
            <w:tcW w:w="1210" w:type="dxa"/>
          </w:tcPr>
          <w:p>
            <w:pPr>
              <w:pStyle w:val="TableParagraph"/>
              <w:spacing w:before="7"/>
              <w:ind w:right="189"/>
              <w:rPr>
                <w:sz w:val="16"/>
              </w:rPr>
            </w:pPr>
            <w:r>
              <w:rPr>
                <w:w w:val="98"/>
                <w:sz w:val="16"/>
              </w:rPr>
              <w:t>-</w:t>
            </w:r>
          </w:p>
        </w:tc>
        <w:tc>
          <w:tcPr>
            <w:tcW w:w="828" w:type="dxa"/>
          </w:tcPr>
          <w:p>
            <w:pPr>
              <w:pStyle w:val="TableParagraph"/>
              <w:spacing w:before="7"/>
              <w:ind w:right="109"/>
              <w:rPr>
                <w:sz w:val="16"/>
              </w:rPr>
            </w:pPr>
            <w:r>
              <w:rPr>
                <w:w w:val="98"/>
                <w:sz w:val="16"/>
              </w:rPr>
              <w:t>-</w:t>
            </w:r>
          </w:p>
        </w:tc>
        <w:tc>
          <w:tcPr>
            <w:tcW w:w="1131" w:type="dxa"/>
          </w:tcPr>
          <w:p>
            <w:pPr>
              <w:pStyle w:val="TableParagraph"/>
              <w:spacing w:before="7"/>
              <w:ind w:right="102"/>
              <w:rPr>
                <w:sz w:val="16"/>
              </w:rPr>
            </w:pPr>
            <w:r>
              <w:rPr>
                <w:w w:val="98"/>
                <w:sz w:val="16"/>
              </w:rPr>
              <w:t>-</w:t>
            </w:r>
          </w:p>
        </w:tc>
        <w:tc>
          <w:tcPr>
            <w:tcW w:w="1079" w:type="dxa"/>
          </w:tcPr>
          <w:p>
            <w:pPr>
              <w:pStyle w:val="TableParagraph"/>
              <w:spacing w:before="7"/>
              <w:ind w:right="53"/>
              <w:rPr>
                <w:sz w:val="16"/>
              </w:rPr>
            </w:pPr>
            <w:r>
              <w:rPr>
                <w:w w:val="98"/>
                <w:sz w:val="16"/>
              </w:rPr>
              <w:t>-</w:t>
            </w:r>
          </w:p>
        </w:tc>
        <w:tc>
          <w:tcPr>
            <w:tcW w:w="1070" w:type="dxa"/>
          </w:tcPr>
          <w:p>
            <w:pPr>
              <w:pStyle w:val="TableParagraph"/>
              <w:spacing w:before="7"/>
              <w:ind w:right="137"/>
              <w:rPr>
                <w:sz w:val="16"/>
              </w:rPr>
            </w:pPr>
            <w:r>
              <w:rPr>
                <w:spacing w:val="-2"/>
                <w:sz w:val="16"/>
              </w:rPr>
              <w:t>100.0</w:t>
            </w:r>
          </w:p>
        </w:tc>
        <w:tc>
          <w:tcPr>
            <w:tcW w:w="802" w:type="dxa"/>
          </w:tcPr>
          <w:p>
            <w:pPr>
              <w:pStyle w:val="TableParagraph"/>
              <w:spacing w:before="7"/>
              <w:ind w:right="182"/>
              <w:rPr>
                <w:sz w:val="16"/>
              </w:rPr>
            </w:pPr>
            <w:r>
              <w:rPr>
                <w:w w:val="98"/>
                <w:sz w:val="16"/>
              </w:rPr>
              <w:t>-</w:t>
            </w:r>
          </w:p>
        </w:tc>
        <w:tc>
          <w:tcPr>
            <w:tcW w:w="1054" w:type="dxa"/>
          </w:tcPr>
          <w:p>
            <w:pPr>
              <w:pStyle w:val="TableParagraph"/>
              <w:spacing w:before="7"/>
              <w:ind w:right="106"/>
              <w:rPr>
                <w:sz w:val="16"/>
              </w:rPr>
            </w:pPr>
            <w:r>
              <w:rPr>
                <w:spacing w:val="-2"/>
                <w:sz w:val="16"/>
              </w:rPr>
              <w:t>100.0</w:t>
            </w:r>
          </w:p>
        </w:tc>
      </w:tr>
      <w:tr>
        <w:trPr>
          <w:trHeight w:val="227" w:hRule="atLeast"/>
        </w:trPr>
        <w:tc>
          <w:tcPr>
            <w:tcW w:w="2475" w:type="dxa"/>
          </w:tcPr>
          <w:p>
            <w:pPr>
              <w:pStyle w:val="TableParagraph"/>
              <w:spacing w:before="10"/>
              <w:ind w:left="117"/>
              <w:jc w:val="left"/>
              <w:rPr>
                <w:sz w:val="16"/>
              </w:rPr>
            </w:pPr>
            <w:r>
              <w:rPr>
                <w:sz w:val="16"/>
              </w:rPr>
              <w:t>Supplies</w:t>
            </w:r>
            <w:r>
              <w:rPr>
                <w:spacing w:val="-4"/>
                <w:sz w:val="16"/>
              </w:rPr>
              <w:t> </w:t>
            </w:r>
            <w:r>
              <w:rPr>
                <w:sz w:val="16"/>
              </w:rPr>
              <w:t>and</w:t>
            </w:r>
            <w:r>
              <w:rPr>
                <w:spacing w:val="-2"/>
                <w:sz w:val="16"/>
              </w:rPr>
              <w:t> materials</w:t>
            </w:r>
          </w:p>
        </w:tc>
        <w:tc>
          <w:tcPr>
            <w:tcW w:w="1210" w:type="dxa"/>
          </w:tcPr>
          <w:p>
            <w:pPr>
              <w:pStyle w:val="TableParagraph"/>
              <w:spacing w:before="10"/>
              <w:ind w:right="189"/>
              <w:rPr>
                <w:sz w:val="16"/>
              </w:rPr>
            </w:pPr>
            <w:r>
              <w:rPr>
                <w:w w:val="98"/>
                <w:sz w:val="16"/>
              </w:rPr>
              <w:t>-</w:t>
            </w:r>
          </w:p>
        </w:tc>
        <w:tc>
          <w:tcPr>
            <w:tcW w:w="828" w:type="dxa"/>
          </w:tcPr>
          <w:p>
            <w:pPr>
              <w:pStyle w:val="TableParagraph"/>
              <w:spacing w:before="10"/>
              <w:ind w:right="109"/>
              <w:rPr>
                <w:sz w:val="16"/>
              </w:rPr>
            </w:pPr>
            <w:r>
              <w:rPr>
                <w:w w:val="98"/>
                <w:sz w:val="16"/>
              </w:rPr>
              <w:t>-</w:t>
            </w:r>
          </w:p>
        </w:tc>
        <w:tc>
          <w:tcPr>
            <w:tcW w:w="1131" w:type="dxa"/>
          </w:tcPr>
          <w:p>
            <w:pPr>
              <w:pStyle w:val="TableParagraph"/>
              <w:spacing w:before="10"/>
              <w:ind w:right="102"/>
              <w:rPr>
                <w:sz w:val="16"/>
              </w:rPr>
            </w:pPr>
            <w:r>
              <w:rPr>
                <w:w w:val="98"/>
                <w:sz w:val="16"/>
              </w:rPr>
              <w:t>-</w:t>
            </w:r>
          </w:p>
        </w:tc>
        <w:tc>
          <w:tcPr>
            <w:tcW w:w="1079" w:type="dxa"/>
          </w:tcPr>
          <w:p>
            <w:pPr>
              <w:pStyle w:val="TableParagraph"/>
              <w:spacing w:before="10"/>
              <w:ind w:right="53"/>
              <w:rPr>
                <w:sz w:val="16"/>
              </w:rPr>
            </w:pPr>
            <w:r>
              <w:rPr>
                <w:w w:val="98"/>
                <w:sz w:val="16"/>
              </w:rPr>
              <w:t>-</w:t>
            </w:r>
          </w:p>
        </w:tc>
        <w:tc>
          <w:tcPr>
            <w:tcW w:w="1070" w:type="dxa"/>
          </w:tcPr>
          <w:p>
            <w:pPr>
              <w:pStyle w:val="TableParagraph"/>
              <w:spacing w:before="10"/>
              <w:ind w:right="139"/>
              <w:rPr>
                <w:sz w:val="16"/>
              </w:rPr>
            </w:pPr>
            <w:r>
              <w:rPr>
                <w:w w:val="98"/>
                <w:sz w:val="16"/>
              </w:rPr>
              <w:t>-</w:t>
            </w:r>
          </w:p>
        </w:tc>
        <w:tc>
          <w:tcPr>
            <w:tcW w:w="802" w:type="dxa"/>
          </w:tcPr>
          <w:p>
            <w:pPr>
              <w:pStyle w:val="TableParagraph"/>
              <w:spacing w:before="10"/>
              <w:ind w:right="182"/>
              <w:rPr>
                <w:sz w:val="16"/>
              </w:rPr>
            </w:pPr>
            <w:r>
              <w:rPr>
                <w:w w:val="98"/>
                <w:sz w:val="16"/>
              </w:rPr>
              <w:t>-</w:t>
            </w:r>
          </w:p>
        </w:tc>
        <w:tc>
          <w:tcPr>
            <w:tcW w:w="1054" w:type="dxa"/>
          </w:tcPr>
          <w:p>
            <w:pPr>
              <w:pStyle w:val="TableParagraph"/>
              <w:spacing w:before="10"/>
              <w:ind w:right="107"/>
              <w:rPr>
                <w:sz w:val="16"/>
              </w:rPr>
            </w:pPr>
            <w:r>
              <w:rPr>
                <w:w w:val="98"/>
                <w:sz w:val="16"/>
              </w:rPr>
              <w:t>-</w:t>
            </w:r>
          </w:p>
        </w:tc>
      </w:tr>
      <w:tr>
        <w:trPr>
          <w:trHeight w:val="223" w:hRule="atLeast"/>
        </w:trPr>
        <w:tc>
          <w:tcPr>
            <w:tcW w:w="2475" w:type="dxa"/>
            <w:tcBorders>
              <w:bottom w:val="single" w:sz="4" w:space="0" w:color="000000"/>
            </w:tcBorders>
          </w:tcPr>
          <w:p>
            <w:pPr>
              <w:pStyle w:val="TableParagraph"/>
              <w:spacing w:before="7"/>
              <w:ind w:left="117"/>
              <w:jc w:val="left"/>
              <w:rPr>
                <w:sz w:val="16"/>
              </w:rPr>
            </w:pPr>
            <w:r>
              <w:rPr>
                <w:sz w:val="16"/>
              </w:rPr>
              <w:t>Furniture</w:t>
            </w:r>
            <w:r>
              <w:rPr>
                <w:spacing w:val="-4"/>
                <w:sz w:val="16"/>
              </w:rPr>
              <w:t> </w:t>
            </w:r>
            <w:r>
              <w:rPr>
                <w:sz w:val="16"/>
              </w:rPr>
              <w:t>and</w:t>
            </w:r>
            <w:r>
              <w:rPr>
                <w:spacing w:val="-2"/>
                <w:sz w:val="16"/>
              </w:rPr>
              <w:t> equipment</w:t>
            </w:r>
          </w:p>
        </w:tc>
        <w:tc>
          <w:tcPr>
            <w:tcW w:w="1210" w:type="dxa"/>
            <w:tcBorders>
              <w:bottom w:val="single" w:sz="4" w:space="0" w:color="000000"/>
            </w:tcBorders>
          </w:tcPr>
          <w:p>
            <w:pPr>
              <w:pStyle w:val="TableParagraph"/>
              <w:spacing w:before="7"/>
              <w:ind w:right="189"/>
              <w:rPr>
                <w:sz w:val="16"/>
              </w:rPr>
            </w:pPr>
            <w:r>
              <w:rPr>
                <w:w w:val="98"/>
                <w:sz w:val="16"/>
              </w:rPr>
              <w:t>-</w:t>
            </w:r>
          </w:p>
        </w:tc>
        <w:tc>
          <w:tcPr>
            <w:tcW w:w="828" w:type="dxa"/>
            <w:tcBorders>
              <w:bottom w:val="single" w:sz="4" w:space="0" w:color="000000"/>
            </w:tcBorders>
          </w:tcPr>
          <w:p>
            <w:pPr>
              <w:pStyle w:val="TableParagraph"/>
              <w:spacing w:before="7"/>
              <w:ind w:right="109"/>
              <w:rPr>
                <w:sz w:val="16"/>
              </w:rPr>
            </w:pPr>
            <w:r>
              <w:rPr>
                <w:w w:val="98"/>
                <w:sz w:val="16"/>
              </w:rPr>
              <w:t>-</w:t>
            </w:r>
          </w:p>
        </w:tc>
        <w:tc>
          <w:tcPr>
            <w:tcW w:w="1131" w:type="dxa"/>
            <w:tcBorders>
              <w:bottom w:val="single" w:sz="4" w:space="0" w:color="000000"/>
            </w:tcBorders>
          </w:tcPr>
          <w:p>
            <w:pPr>
              <w:pStyle w:val="TableParagraph"/>
              <w:spacing w:before="7"/>
              <w:ind w:right="102"/>
              <w:rPr>
                <w:sz w:val="16"/>
              </w:rPr>
            </w:pPr>
            <w:r>
              <w:rPr>
                <w:w w:val="98"/>
                <w:sz w:val="16"/>
              </w:rPr>
              <w:t>-</w:t>
            </w:r>
          </w:p>
        </w:tc>
        <w:tc>
          <w:tcPr>
            <w:tcW w:w="1079" w:type="dxa"/>
            <w:tcBorders>
              <w:bottom w:val="single" w:sz="4" w:space="0" w:color="000000"/>
            </w:tcBorders>
          </w:tcPr>
          <w:p>
            <w:pPr>
              <w:pStyle w:val="TableParagraph"/>
              <w:spacing w:before="7"/>
              <w:ind w:right="53"/>
              <w:rPr>
                <w:sz w:val="16"/>
              </w:rPr>
            </w:pPr>
            <w:r>
              <w:rPr>
                <w:w w:val="98"/>
                <w:sz w:val="16"/>
              </w:rPr>
              <w:t>-</w:t>
            </w:r>
          </w:p>
        </w:tc>
        <w:tc>
          <w:tcPr>
            <w:tcW w:w="1070" w:type="dxa"/>
            <w:tcBorders>
              <w:bottom w:val="single" w:sz="4" w:space="0" w:color="000000"/>
            </w:tcBorders>
          </w:tcPr>
          <w:p>
            <w:pPr>
              <w:pStyle w:val="TableParagraph"/>
              <w:spacing w:before="7"/>
              <w:ind w:right="139"/>
              <w:rPr>
                <w:sz w:val="16"/>
              </w:rPr>
            </w:pPr>
            <w:r>
              <w:rPr>
                <w:w w:val="98"/>
                <w:sz w:val="16"/>
              </w:rPr>
              <w:t>-</w:t>
            </w:r>
          </w:p>
        </w:tc>
        <w:tc>
          <w:tcPr>
            <w:tcW w:w="802" w:type="dxa"/>
            <w:tcBorders>
              <w:bottom w:val="single" w:sz="4" w:space="0" w:color="000000"/>
            </w:tcBorders>
          </w:tcPr>
          <w:p>
            <w:pPr>
              <w:pStyle w:val="TableParagraph"/>
              <w:spacing w:before="7"/>
              <w:ind w:right="182"/>
              <w:rPr>
                <w:sz w:val="16"/>
              </w:rPr>
            </w:pPr>
            <w:r>
              <w:rPr>
                <w:w w:val="98"/>
                <w:sz w:val="16"/>
              </w:rPr>
              <w:t>-</w:t>
            </w:r>
          </w:p>
        </w:tc>
        <w:tc>
          <w:tcPr>
            <w:tcW w:w="1054" w:type="dxa"/>
            <w:tcBorders>
              <w:bottom w:val="single" w:sz="4" w:space="0" w:color="000000"/>
            </w:tcBorders>
          </w:tcPr>
          <w:p>
            <w:pPr>
              <w:pStyle w:val="TableParagraph"/>
              <w:spacing w:before="7"/>
              <w:ind w:right="107"/>
              <w:rPr>
                <w:sz w:val="16"/>
              </w:rPr>
            </w:pPr>
            <w:r>
              <w:rPr>
                <w:w w:val="98"/>
                <w:sz w:val="16"/>
              </w:rPr>
              <w:t>-</w:t>
            </w:r>
          </w:p>
        </w:tc>
      </w:tr>
      <w:tr>
        <w:trPr>
          <w:trHeight w:val="225" w:hRule="atLeast"/>
        </w:trPr>
        <w:tc>
          <w:tcPr>
            <w:tcW w:w="2475" w:type="dxa"/>
            <w:tcBorders>
              <w:top w:val="single" w:sz="4" w:space="0" w:color="000000"/>
              <w:bottom w:val="single" w:sz="4" w:space="0" w:color="000000"/>
            </w:tcBorders>
          </w:tcPr>
          <w:p>
            <w:pPr>
              <w:pStyle w:val="TableParagraph"/>
              <w:spacing w:before="9"/>
              <w:ind w:right="102"/>
              <w:rPr>
                <w:i/>
                <w:sz w:val="16"/>
              </w:rPr>
            </w:pPr>
            <w:r>
              <w:rPr>
                <w:i/>
                <w:w w:val="95"/>
                <w:sz w:val="16"/>
              </w:rPr>
              <w:t>Subtotal</w:t>
            </w:r>
            <w:r>
              <w:rPr>
                <w:i/>
                <w:spacing w:val="40"/>
                <w:sz w:val="16"/>
              </w:rPr>
              <w:t> </w:t>
            </w:r>
            <w:r>
              <w:rPr>
                <w:i/>
                <w:w w:val="95"/>
                <w:sz w:val="16"/>
              </w:rPr>
              <w:t>non-</w:t>
            </w:r>
            <w:r>
              <w:rPr>
                <w:i/>
                <w:spacing w:val="-4"/>
                <w:w w:val="95"/>
                <w:sz w:val="16"/>
              </w:rPr>
              <w:t>staff</w:t>
            </w:r>
          </w:p>
        </w:tc>
        <w:tc>
          <w:tcPr>
            <w:tcW w:w="1210" w:type="dxa"/>
            <w:tcBorders>
              <w:top w:val="single" w:sz="4" w:space="0" w:color="000000"/>
              <w:bottom w:val="single" w:sz="4" w:space="0" w:color="000000"/>
            </w:tcBorders>
          </w:tcPr>
          <w:p>
            <w:pPr>
              <w:pStyle w:val="TableParagraph"/>
              <w:spacing w:before="9"/>
              <w:ind w:right="189"/>
              <w:rPr>
                <w:i/>
                <w:sz w:val="16"/>
              </w:rPr>
            </w:pPr>
            <w:r>
              <w:rPr>
                <w:i/>
                <w:w w:val="98"/>
                <w:sz w:val="16"/>
              </w:rPr>
              <w:t>-</w:t>
            </w:r>
          </w:p>
        </w:tc>
        <w:tc>
          <w:tcPr>
            <w:tcW w:w="828" w:type="dxa"/>
            <w:tcBorders>
              <w:top w:val="single" w:sz="4" w:space="0" w:color="000000"/>
              <w:bottom w:val="single" w:sz="4" w:space="0" w:color="000000"/>
            </w:tcBorders>
          </w:tcPr>
          <w:p>
            <w:pPr>
              <w:pStyle w:val="TableParagraph"/>
              <w:spacing w:before="9"/>
              <w:ind w:right="109"/>
              <w:rPr>
                <w:i/>
                <w:sz w:val="16"/>
              </w:rPr>
            </w:pPr>
            <w:r>
              <w:rPr>
                <w:i/>
                <w:w w:val="98"/>
                <w:sz w:val="16"/>
              </w:rPr>
              <w:t>-</w:t>
            </w:r>
          </w:p>
        </w:tc>
        <w:tc>
          <w:tcPr>
            <w:tcW w:w="1131" w:type="dxa"/>
            <w:tcBorders>
              <w:top w:val="single" w:sz="4" w:space="0" w:color="000000"/>
              <w:bottom w:val="single" w:sz="4" w:space="0" w:color="000000"/>
            </w:tcBorders>
          </w:tcPr>
          <w:p>
            <w:pPr>
              <w:pStyle w:val="TableParagraph"/>
              <w:spacing w:before="9"/>
              <w:ind w:right="102"/>
              <w:rPr>
                <w:i/>
                <w:sz w:val="16"/>
              </w:rPr>
            </w:pPr>
            <w:r>
              <w:rPr>
                <w:i/>
                <w:w w:val="98"/>
                <w:sz w:val="16"/>
              </w:rPr>
              <w:t>-</w:t>
            </w:r>
          </w:p>
        </w:tc>
        <w:tc>
          <w:tcPr>
            <w:tcW w:w="1079" w:type="dxa"/>
            <w:tcBorders>
              <w:top w:val="single" w:sz="4" w:space="0" w:color="000000"/>
              <w:bottom w:val="single" w:sz="4" w:space="0" w:color="000000"/>
            </w:tcBorders>
          </w:tcPr>
          <w:p>
            <w:pPr>
              <w:pStyle w:val="TableParagraph"/>
              <w:spacing w:before="9"/>
              <w:ind w:right="52"/>
              <w:rPr>
                <w:i/>
                <w:sz w:val="16"/>
              </w:rPr>
            </w:pPr>
            <w:r>
              <w:rPr>
                <w:i/>
                <w:spacing w:val="-2"/>
                <w:sz w:val="16"/>
              </w:rPr>
              <w:t>236.8</w:t>
            </w:r>
          </w:p>
        </w:tc>
        <w:tc>
          <w:tcPr>
            <w:tcW w:w="1070" w:type="dxa"/>
            <w:tcBorders>
              <w:top w:val="single" w:sz="4" w:space="0" w:color="000000"/>
              <w:bottom w:val="single" w:sz="4" w:space="0" w:color="000000"/>
            </w:tcBorders>
          </w:tcPr>
          <w:p>
            <w:pPr>
              <w:pStyle w:val="TableParagraph"/>
              <w:spacing w:before="9"/>
              <w:ind w:right="137"/>
              <w:rPr>
                <w:i/>
                <w:sz w:val="16"/>
              </w:rPr>
            </w:pPr>
            <w:r>
              <w:rPr>
                <w:i/>
                <w:spacing w:val="-2"/>
                <w:sz w:val="16"/>
              </w:rPr>
              <w:t>883.3</w:t>
            </w:r>
          </w:p>
        </w:tc>
        <w:tc>
          <w:tcPr>
            <w:tcW w:w="802" w:type="dxa"/>
            <w:tcBorders>
              <w:top w:val="single" w:sz="4" w:space="0" w:color="000000"/>
              <w:bottom w:val="single" w:sz="4" w:space="0" w:color="000000"/>
            </w:tcBorders>
          </w:tcPr>
          <w:p>
            <w:pPr>
              <w:pStyle w:val="TableParagraph"/>
              <w:spacing w:before="9"/>
              <w:ind w:right="180"/>
              <w:rPr>
                <w:i/>
                <w:sz w:val="16"/>
              </w:rPr>
            </w:pPr>
            <w:r>
              <w:rPr>
                <w:i/>
                <w:spacing w:val="-2"/>
                <w:sz w:val="16"/>
              </w:rPr>
              <w:t>373.0</w:t>
            </w:r>
          </w:p>
        </w:tc>
        <w:tc>
          <w:tcPr>
            <w:tcW w:w="1054" w:type="dxa"/>
            <w:tcBorders>
              <w:top w:val="single" w:sz="4" w:space="0" w:color="000000"/>
              <w:bottom w:val="single" w:sz="4" w:space="0" w:color="000000"/>
            </w:tcBorders>
          </w:tcPr>
          <w:p>
            <w:pPr>
              <w:pStyle w:val="TableParagraph"/>
              <w:spacing w:before="9"/>
              <w:ind w:right="106"/>
              <w:rPr>
                <w:i/>
                <w:sz w:val="16"/>
              </w:rPr>
            </w:pPr>
            <w:r>
              <w:rPr>
                <w:i/>
                <w:spacing w:val="-2"/>
                <w:sz w:val="16"/>
              </w:rPr>
              <w:t>1,120.1</w:t>
            </w:r>
          </w:p>
        </w:tc>
      </w:tr>
      <w:tr>
        <w:trPr>
          <w:trHeight w:val="230" w:hRule="atLeast"/>
        </w:trPr>
        <w:tc>
          <w:tcPr>
            <w:tcW w:w="2475" w:type="dxa"/>
            <w:tcBorders>
              <w:top w:val="single" w:sz="4" w:space="0" w:color="000000"/>
              <w:bottom w:val="single" w:sz="12" w:space="0" w:color="000000"/>
            </w:tcBorders>
          </w:tcPr>
          <w:p>
            <w:pPr>
              <w:pStyle w:val="TableParagraph"/>
              <w:spacing w:before="14"/>
              <w:ind w:left="117"/>
              <w:jc w:val="left"/>
              <w:rPr>
                <w:b/>
                <w:sz w:val="16"/>
              </w:rPr>
            </w:pPr>
            <w:r>
              <w:rPr>
                <w:b/>
                <w:spacing w:val="-2"/>
                <w:sz w:val="16"/>
              </w:rPr>
              <w:t>Total</w:t>
            </w:r>
          </w:p>
        </w:tc>
        <w:tc>
          <w:tcPr>
            <w:tcW w:w="1210" w:type="dxa"/>
            <w:tcBorders>
              <w:top w:val="single" w:sz="4" w:space="0" w:color="000000"/>
              <w:bottom w:val="single" w:sz="12" w:space="0" w:color="000000"/>
            </w:tcBorders>
          </w:tcPr>
          <w:p>
            <w:pPr>
              <w:pStyle w:val="TableParagraph"/>
              <w:spacing w:before="14"/>
              <w:ind w:right="189"/>
              <w:rPr>
                <w:b/>
                <w:sz w:val="16"/>
              </w:rPr>
            </w:pPr>
            <w:r>
              <w:rPr>
                <w:b/>
                <w:w w:val="98"/>
                <w:sz w:val="16"/>
              </w:rPr>
              <w:t>-</w:t>
            </w:r>
          </w:p>
        </w:tc>
        <w:tc>
          <w:tcPr>
            <w:tcW w:w="828" w:type="dxa"/>
            <w:tcBorders>
              <w:top w:val="single" w:sz="4" w:space="0" w:color="000000"/>
              <w:bottom w:val="single" w:sz="12" w:space="0" w:color="000000"/>
            </w:tcBorders>
          </w:tcPr>
          <w:p>
            <w:pPr>
              <w:pStyle w:val="TableParagraph"/>
              <w:spacing w:before="14"/>
              <w:ind w:right="109"/>
              <w:rPr>
                <w:b/>
                <w:sz w:val="16"/>
              </w:rPr>
            </w:pPr>
            <w:r>
              <w:rPr>
                <w:b/>
                <w:w w:val="98"/>
                <w:sz w:val="16"/>
              </w:rPr>
              <w:t>-</w:t>
            </w:r>
          </w:p>
        </w:tc>
        <w:tc>
          <w:tcPr>
            <w:tcW w:w="1131" w:type="dxa"/>
            <w:tcBorders>
              <w:top w:val="single" w:sz="4" w:space="0" w:color="000000"/>
              <w:bottom w:val="single" w:sz="12" w:space="0" w:color="000000"/>
            </w:tcBorders>
          </w:tcPr>
          <w:p>
            <w:pPr>
              <w:pStyle w:val="TableParagraph"/>
              <w:spacing w:before="14"/>
              <w:ind w:right="102"/>
              <w:rPr>
                <w:b/>
                <w:sz w:val="16"/>
              </w:rPr>
            </w:pPr>
            <w:r>
              <w:rPr>
                <w:b/>
                <w:w w:val="98"/>
                <w:sz w:val="16"/>
              </w:rPr>
              <w:t>-</w:t>
            </w:r>
          </w:p>
        </w:tc>
        <w:tc>
          <w:tcPr>
            <w:tcW w:w="1079" w:type="dxa"/>
            <w:tcBorders>
              <w:top w:val="single" w:sz="4" w:space="0" w:color="000000"/>
              <w:bottom w:val="single" w:sz="12" w:space="0" w:color="000000"/>
            </w:tcBorders>
          </w:tcPr>
          <w:p>
            <w:pPr>
              <w:pStyle w:val="TableParagraph"/>
              <w:spacing w:before="14"/>
              <w:ind w:right="52"/>
              <w:rPr>
                <w:b/>
                <w:sz w:val="16"/>
              </w:rPr>
            </w:pPr>
            <w:r>
              <w:rPr>
                <w:b/>
                <w:spacing w:val="-2"/>
                <w:sz w:val="16"/>
              </w:rPr>
              <w:t>4,104.1</w:t>
            </w:r>
          </w:p>
        </w:tc>
        <w:tc>
          <w:tcPr>
            <w:tcW w:w="1070" w:type="dxa"/>
            <w:tcBorders>
              <w:top w:val="single" w:sz="4" w:space="0" w:color="000000"/>
              <w:bottom w:val="single" w:sz="12" w:space="0" w:color="000000"/>
            </w:tcBorders>
          </w:tcPr>
          <w:p>
            <w:pPr>
              <w:pStyle w:val="TableParagraph"/>
              <w:spacing w:before="14"/>
              <w:ind w:right="137"/>
              <w:rPr>
                <w:b/>
                <w:sz w:val="16"/>
              </w:rPr>
            </w:pPr>
            <w:r>
              <w:rPr>
                <w:b/>
                <w:spacing w:val="-2"/>
                <w:sz w:val="16"/>
              </w:rPr>
              <w:t>5,389.5</w:t>
            </w:r>
          </w:p>
        </w:tc>
        <w:tc>
          <w:tcPr>
            <w:tcW w:w="802" w:type="dxa"/>
            <w:tcBorders>
              <w:top w:val="single" w:sz="4" w:space="0" w:color="000000"/>
              <w:bottom w:val="single" w:sz="12" w:space="0" w:color="000000"/>
            </w:tcBorders>
          </w:tcPr>
          <w:p>
            <w:pPr>
              <w:pStyle w:val="TableParagraph"/>
              <w:spacing w:before="14"/>
              <w:ind w:right="180"/>
              <w:rPr>
                <w:b/>
                <w:sz w:val="16"/>
              </w:rPr>
            </w:pPr>
            <w:r>
              <w:rPr>
                <w:b/>
                <w:spacing w:val="-2"/>
                <w:sz w:val="16"/>
              </w:rPr>
              <w:t>131.3</w:t>
            </w:r>
          </w:p>
        </w:tc>
        <w:tc>
          <w:tcPr>
            <w:tcW w:w="1054" w:type="dxa"/>
            <w:tcBorders>
              <w:top w:val="single" w:sz="4" w:space="0" w:color="000000"/>
              <w:bottom w:val="single" w:sz="12" w:space="0" w:color="000000"/>
            </w:tcBorders>
          </w:tcPr>
          <w:p>
            <w:pPr>
              <w:pStyle w:val="TableParagraph"/>
              <w:spacing w:before="14"/>
              <w:ind w:right="106"/>
              <w:rPr>
                <w:b/>
                <w:sz w:val="16"/>
              </w:rPr>
            </w:pPr>
            <w:r>
              <w:rPr>
                <w:b/>
                <w:spacing w:val="-2"/>
                <w:sz w:val="16"/>
              </w:rPr>
              <w:t>9,493.6</w:t>
            </w:r>
          </w:p>
        </w:tc>
      </w:tr>
    </w:tbl>
    <w:p>
      <w:pPr>
        <w:pStyle w:val="BodyText"/>
        <w:spacing w:before="9"/>
        <w:rPr>
          <w:b/>
          <w:sz w:val="21"/>
        </w:rPr>
      </w:pPr>
    </w:p>
    <w:p>
      <w:pPr>
        <w:spacing w:before="0"/>
        <w:ind w:left="2246" w:right="0" w:firstLine="0"/>
        <w:jc w:val="left"/>
        <w:rPr>
          <w:b/>
          <w:sz w:val="20"/>
        </w:rPr>
      </w:pPr>
      <w:r>
        <w:rPr>
          <w:b/>
          <w:sz w:val="20"/>
        </w:rPr>
        <w:t>Table</w:t>
      </w:r>
      <w:r>
        <w:rPr>
          <w:b/>
          <w:spacing w:val="-6"/>
          <w:sz w:val="20"/>
        </w:rPr>
        <w:t> </w:t>
      </w:r>
      <w:r>
        <w:rPr>
          <w:b/>
          <w:sz w:val="20"/>
        </w:rPr>
        <w:t>14:</w:t>
      </w:r>
      <w:r>
        <w:rPr>
          <w:b/>
          <w:spacing w:val="-7"/>
          <w:sz w:val="20"/>
        </w:rPr>
        <w:t> </w:t>
      </w:r>
      <w:r>
        <w:rPr>
          <w:b/>
          <w:sz w:val="20"/>
        </w:rPr>
        <w:t>Prosecutor</w:t>
      </w:r>
      <w:r>
        <w:rPr>
          <w:b/>
          <w:spacing w:val="-10"/>
          <w:sz w:val="20"/>
        </w:rPr>
        <w:t> </w:t>
      </w:r>
      <w:r>
        <w:rPr>
          <w:b/>
          <w:sz w:val="20"/>
        </w:rPr>
        <w:t>Pillar:</w:t>
      </w:r>
      <w:r>
        <w:rPr>
          <w:b/>
          <w:spacing w:val="-7"/>
          <w:sz w:val="20"/>
        </w:rPr>
        <w:t> </w:t>
      </w:r>
      <w:r>
        <w:rPr>
          <w:b/>
          <w:sz w:val="20"/>
        </w:rPr>
        <w:t>Proposed</w:t>
      </w:r>
      <w:r>
        <w:rPr>
          <w:b/>
          <w:spacing w:val="-3"/>
          <w:sz w:val="20"/>
        </w:rPr>
        <w:t> </w:t>
      </w:r>
      <w:r>
        <w:rPr>
          <w:b/>
          <w:sz w:val="20"/>
        </w:rPr>
        <w:t>staffing</w:t>
      </w:r>
      <w:r>
        <w:rPr>
          <w:b/>
          <w:spacing w:val="-7"/>
          <w:sz w:val="20"/>
        </w:rPr>
        <w:t> </w:t>
      </w:r>
      <w:r>
        <w:rPr>
          <w:b/>
          <w:sz w:val="20"/>
        </w:rPr>
        <w:t>for</w:t>
      </w:r>
      <w:r>
        <w:rPr>
          <w:b/>
          <w:spacing w:val="-1"/>
          <w:sz w:val="20"/>
        </w:rPr>
        <w:t> </w:t>
      </w:r>
      <w:r>
        <w:rPr>
          <w:b/>
          <w:spacing w:val="-4"/>
          <w:sz w:val="20"/>
        </w:rPr>
        <w:t>2023</w:t>
      </w:r>
    </w:p>
    <w:tbl>
      <w:tblPr>
        <w:tblW w:w="0" w:type="auto"/>
        <w:jc w:val="left"/>
        <w:tblInd w:w="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6"/>
        <w:gridCol w:w="678"/>
        <w:gridCol w:w="607"/>
        <w:gridCol w:w="563"/>
        <w:gridCol w:w="557"/>
        <w:gridCol w:w="583"/>
        <w:gridCol w:w="545"/>
        <w:gridCol w:w="668"/>
        <w:gridCol w:w="715"/>
        <w:gridCol w:w="489"/>
        <w:gridCol w:w="795"/>
        <w:gridCol w:w="568"/>
        <w:gridCol w:w="578"/>
        <w:gridCol w:w="566"/>
        <w:gridCol w:w="813"/>
        <w:gridCol w:w="524"/>
      </w:tblGrid>
      <w:tr>
        <w:trPr>
          <w:trHeight w:val="479" w:hRule="atLeast"/>
        </w:trPr>
        <w:tc>
          <w:tcPr>
            <w:tcW w:w="1186"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ind w:left="67"/>
              <w:jc w:val="left"/>
              <w:rPr>
                <w:sz w:val="14"/>
              </w:rPr>
            </w:pPr>
            <w:r>
              <w:rPr>
                <w:spacing w:val="-4"/>
                <w:sz w:val="14"/>
              </w:rPr>
              <w:t>2500</w:t>
            </w:r>
          </w:p>
        </w:tc>
        <w:tc>
          <w:tcPr>
            <w:tcW w:w="678"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ind w:right="152"/>
              <w:rPr>
                <w:sz w:val="14"/>
              </w:rPr>
            </w:pPr>
            <w:r>
              <w:rPr>
                <w:spacing w:val="-5"/>
                <w:sz w:val="14"/>
              </w:rPr>
              <w:t>USG</w:t>
            </w:r>
          </w:p>
        </w:tc>
        <w:tc>
          <w:tcPr>
            <w:tcW w:w="607"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ind w:right="169"/>
              <w:rPr>
                <w:sz w:val="14"/>
              </w:rPr>
            </w:pPr>
            <w:r>
              <w:rPr>
                <w:spacing w:val="-5"/>
                <w:sz w:val="14"/>
              </w:rPr>
              <w:t>ASG</w:t>
            </w:r>
          </w:p>
        </w:tc>
        <w:tc>
          <w:tcPr>
            <w:tcW w:w="563"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ind w:right="167"/>
              <w:rPr>
                <w:sz w:val="14"/>
              </w:rPr>
            </w:pPr>
            <w:r>
              <w:rPr>
                <w:w w:val="95"/>
                <w:sz w:val="14"/>
              </w:rPr>
              <w:t>D-</w:t>
            </w:r>
            <w:r>
              <w:rPr>
                <w:spacing w:val="-10"/>
                <w:sz w:val="14"/>
              </w:rPr>
              <w:t>2</w:t>
            </w:r>
          </w:p>
        </w:tc>
        <w:tc>
          <w:tcPr>
            <w:tcW w:w="557"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ind w:right="163"/>
              <w:rPr>
                <w:sz w:val="14"/>
              </w:rPr>
            </w:pPr>
            <w:r>
              <w:rPr>
                <w:w w:val="95"/>
                <w:sz w:val="14"/>
              </w:rPr>
              <w:t>D-</w:t>
            </w:r>
            <w:r>
              <w:rPr>
                <w:spacing w:val="-10"/>
                <w:sz w:val="14"/>
              </w:rPr>
              <w:t>1</w:t>
            </w:r>
          </w:p>
        </w:tc>
        <w:tc>
          <w:tcPr>
            <w:tcW w:w="583"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ind w:left="157" w:right="112"/>
              <w:jc w:val="center"/>
              <w:rPr>
                <w:sz w:val="14"/>
              </w:rPr>
            </w:pPr>
            <w:r>
              <w:rPr>
                <w:w w:val="95"/>
                <w:sz w:val="14"/>
              </w:rPr>
              <w:t>P-</w:t>
            </w:r>
            <w:r>
              <w:rPr>
                <w:spacing w:val="-10"/>
                <w:sz w:val="14"/>
              </w:rPr>
              <w:t>5</w:t>
            </w:r>
          </w:p>
        </w:tc>
        <w:tc>
          <w:tcPr>
            <w:tcW w:w="545"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ind w:right="129"/>
              <w:rPr>
                <w:sz w:val="14"/>
              </w:rPr>
            </w:pPr>
            <w:r>
              <w:rPr>
                <w:w w:val="95"/>
                <w:sz w:val="14"/>
              </w:rPr>
              <w:t>P-</w:t>
            </w:r>
            <w:r>
              <w:rPr>
                <w:spacing w:val="-10"/>
                <w:sz w:val="14"/>
              </w:rPr>
              <w:t>4</w:t>
            </w:r>
          </w:p>
        </w:tc>
        <w:tc>
          <w:tcPr>
            <w:tcW w:w="668"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ind w:right="201"/>
              <w:rPr>
                <w:sz w:val="14"/>
              </w:rPr>
            </w:pPr>
            <w:r>
              <w:rPr>
                <w:w w:val="95"/>
                <w:sz w:val="14"/>
              </w:rPr>
              <w:t>P-</w:t>
            </w:r>
            <w:r>
              <w:rPr>
                <w:spacing w:val="-10"/>
                <w:sz w:val="14"/>
              </w:rPr>
              <w:t>3</w:t>
            </w:r>
          </w:p>
        </w:tc>
        <w:tc>
          <w:tcPr>
            <w:tcW w:w="715"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ind w:right="176"/>
              <w:rPr>
                <w:sz w:val="14"/>
              </w:rPr>
            </w:pPr>
            <w:r>
              <w:rPr>
                <w:w w:val="95"/>
                <w:sz w:val="14"/>
              </w:rPr>
              <w:t>P-</w:t>
            </w:r>
            <w:r>
              <w:rPr>
                <w:spacing w:val="-10"/>
                <w:sz w:val="14"/>
              </w:rPr>
              <w:t>2</w:t>
            </w:r>
          </w:p>
        </w:tc>
        <w:tc>
          <w:tcPr>
            <w:tcW w:w="489"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ind w:right="70"/>
              <w:rPr>
                <w:sz w:val="14"/>
              </w:rPr>
            </w:pPr>
            <w:r>
              <w:rPr>
                <w:w w:val="95"/>
                <w:sz w:val="14"/>
              </w:rPr>
              <w:t>P-</w:t>
            </w:r>
            <w:r>
              <w:rPr>
                <w:spacing w:val="-10"/>
                <w:sz w:val="14"/>
              </w:rPr>
              <w:t>1</w:t>
            </w:r>
          </w:p>
        </w:tc>
        <w:tc>
          <w:tcPr>
            <w:tcW w:w="795" w:type="dxa"/>
            <w:tcBorders>
              <w:top w:val="single" w:sz="4" w:space="0" w:color="000000"/>
              <w:bottom w:val="single" w:sz="4" w:space="0" w:color="000000"/>
            </w:tcBorders>
          </w:tcPr>
          <w:p>
            <w:pPr>
              <w:pStyle w:val="TableParagraph"/>
              <w:spacing w:line="151" w:lineRule="exact"/>
              <w:ind w:left="367"/>
              <w:jc w:val="left"/>
              <w:rPr>
                <w:i/>
                <w:sz w:val="14"/>
              </w:rPr>
            </w:pPr>
            <w:r>
              <w:rPr>
                <w:i/>
                <w:spacing w:val="-2"/>
                <w:sz w:val="14"/>
              </w:rPr>
              <w:t>Total</w:t>
            </w:r>
          </w:p>
          <w:p>
            <w:pPr>
              <w:pStyle w:val="TableParagraph"/>
              <w:spacing w:line="158" w:lineRule="exact"/>
              <w:ind w:left="68" w:right="121" w:firstLine="201"/>
              <w:jc w:val="left"/>
              <w:rPr>
                <w:i/>
                <w:sz w:val="14"/>
              </w:rPr>
            </w:pPr>
            <w:r>
              <w:rPr>
                <w:i/>
                <w:spacing w:val="-2"/>
                <w:sz w:val="14"/>
              </w:rPr>
              <w:t>P-Staff</w:t>
            </w:r>
            <w:r>
              <w:rPr>
                <w:i/>
                <w:spacing w:val="40"/>
                <w:sz w:val="14"/>
              </w:rPr>
              <w:t> </w:t>
            </w:r>
            <w:r>
              <w:rPr>
                <w:i/>
                <w:sz w:val="14"/>
              </w:rPr>
              <w:t>and</w:t>
            </w:r>
            <w:r>
              <w:rPr>
                <w:i/>
                <w:spacing w:val="1"/>
                <w:sz w:val="14"/>
              </w:rPr>
              <w:t> </w:t>
            </w:r>
            <w:r>
              <w:rPr>
                <w:i/>
                <w:spacing w:val="-2"/>
                <w:sz w:val="14"/>
              </w:rPr>
              <w:t>Above</w:t>
            </w:r>
          </w:p>
        </w:tc>
        <w:tc>
          <w:tcPr>
            <w:tcW w:w="568"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ind w:right="99"/>
              <w:rPr>
                <w:sz w:val="14"/>
              </w:rPr>
            </w:pPr>
            <w:r>
              <w:rPr>
                <w:w w:val="95"/>
                <w:sz w:val="14"/>
              </w:rPr>
              <w:t>NO-</w:t>
            </w:r>
            <w:r>
              <w:rPr>
                <w:spacing w:val="-10"/>
                <w:sz w:val="14"/>
              </w:rPr>
              <w:t>C</w:t>
            </w:r>
          </w:p>
        </w:tc>
        <w:tc>
          <w:tcPr>
            <w:tcW w:w="578"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ind w:right="90"/>
              <w:rPr>
                <w:sz w:val="14"/>
              </w:rPr>
            </w:pPr>
            <w:r>
              <w:rPr>
                <w:w w:val="95"/>
                <w:sz w:val="14"/>
              </w:rPr>
              <w:t>GS-</w:t>
            </w:r>
            <w:r>
              <w:rPr>
                <w:spacing w:val="-5"/>
                <w:sz w:val="14"/>
              </w:rPr>
              <w:t>PL</w:t>
            </w:r>
          </w:p>
        </w:tc>
        <w:tc>
          <w:tcPr>
            <w:tcW w:w="566"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ind w:right="64"/>
              <w:rPr>
                <w:sz w:val="14"/>
              </w:rPr>
            </w:pPr>
            <w:r>
              <w:rPr>
                <w:w w:val="95"/>
                <w:sz w:val="14"/>
              </w:rPr>
              <w:t>GS-</w:t>
            </w:r>
            <w:r>
              <w:rPr>
                <w:spacing w:val="-5"/>
                <w:sz w:val="14"/>
              </w:rPr>
              <w:t>OL</w:t>
            </w:r>
          </w:p>
        </w:tc>
        <w:tc>
          <w:tcPr>
            <w:tcW w:w="813" w:type="dxa"/>
            <w:tcBorders>
              <w:top w:val="single" w:sz="4" w:space="0" w:color="000000"/>
              <w:bottom w:val="single" w:sz="4" w:space="0" w:color="000000"/>
            </w:tcBorders>
          </w:tcPr>
          <w:p>
            <w:pPr>
              <w:pStyle w:val="TableParagraph"/>
              <w:spacing w:line="151" w:lineRule="exact"/>
              <w:ind w:left="376"/>
              <w:jc w:val="left"/>
              <w:rPr>
                <w:i/>
                <w:sz w:val="14"/>
              </w:rPr>
            </w:pPr>
            <w:r>
              <w:rPr>
                <w:i/>
                <w:spacing w:val="-2"/>
                <w:sz w:val="14"/>
              </w:rPr>
              <w:t>Total</w:t>
            </w:r>
          </w:p>
          <w:p>
            <w:pPr>
              <w:pStyle w:val="TableParagraph"/>
              <w:spacing w:line="158" w:lineRule="exact"/>
              <w:ind w:left="54" w:right="134" w:firstLine="197"/>
              <w:jc w:val="left"/>
              <w:rPr>
                <w:i/>
                <w:sz w:val="14"/>
              </w:rPr>
            </w:pPr>
            <w:r>
              <w:rPr>
                <w:i/>
                <w:sz w:val="14"/>
              </w:rPr>
              <w:t>GS</w:t>
            </w:r>
            <w:r>
              <w:rPr>
                <w:i/>
                <w:spacing w:val="-9"/>
                <w:sz w:val="14"/>
              </w:rPr>
              <w:t> </w:t>
            </w:r>
            <w:r>
              <w:rPr>
                <w:i/>
                <w:sz w:val="14"/>
              </w:rPr>
              <w:t>and</w:t>
            </w:r>
            <w:r>
              <w:rPr>
                <w:i/>
                <w:spacing w:val="40"/>
                <w:sz w:val="14"/>
              </w:rPr>
              <w:t> </w:t>
            </w:r>
            <w:r>
              <w:rPr>
                <w:i/>
                <w:sz w:val="14"/>
              </w:rPr>
              <w:t>Other</w:t>
            </w:r>
            <w:r>
              <w:rPr>
                <w:i/>
                <w:spacing w:val="-5"/>
                <w:sz w:val="14"/>
              </w:rPr>
              <w:t> </w:t>
            </w:r>
            <w:r>
              <w:rPr>
                <w:i/>
                <w:spacing w:val="-2"/>
                <w:sz w:val="14"/>
              </w:rPr>
              <w:t>Staff</w:t>
            </w:r>
          </w:p>
        </w:tc>
        <w:tc>
          <w:tcPr>
            <w:tcW w:w="524" w:type="dxa"/>
            <w:tcBorders>
              <w:top w:val="single" w:sz="4" w:space="0" w:color="000000"/>
              <w:bottom w:val="single" w:sz="4" w:space="0" w:color="000000"/>
            </w:tcBorders>
          </w:tcPr>
          <w:p>
            <w:pPr>
              <w:pStyle w:val="TableParagraph"/>
              <w:spacing w:before="5"/>
              <w:jc w:val="left"/>
              <w:rPr>
                <w:b/>
                <w:sz w:val="12"/>
              </w:rPr>
            </w:pPr>
          </w:p>
          <w:p>
            <w:pPr>
              <w:pStyle w:val="TableParagraph"/>
              <w:spacing w:line="158" w:lineRule="exact"/>
              <w:ind w:left="172" w:hanging="34"/>
              <w:jc w:val="left"/>
              <w:rPr>
                <w:b/>
                <w:sz w:val="14"/>
              </w:rPr>
            </w:pPr>
            <w:r>
              <w:rPr>
                <w:b/>
                <w:spacing w:val="-4"/>
                <w:sz w:val="14"/>
              </w:rPr>
              <w:t>Total</w:t>
            </w:r>
            <w:r>
              <w:rPr>
                <w:b/>
                <w:spacing w:val="40"/>
                <w:sz w:val="14"/>
              </w:rPr>
              <w:t> </w:t>
            </w:r>
            <w:r>
              <w:rPr>
                <w:b/>
                <w:spacing w:val="-4"/>
                <w:sz w:val="14"/>
              </w:rPr>
              <w:t>Staff</w:t>
            </w:r>
          </w:p>
        </w:tc>
      </w:tr>
      <w:tr>
        <w:trPr>
          <w:trHeight w:val="233" w:hRule="atLeast"/>
        </w:trPr>
        <w:tc>
          <w:tcPr>
            <w:tcW w:w="1186" w:type="dxa"/>
            <w:tcBorders>
              <w:top w:val="single" w:sz="4" w:space="0" w:color="000000"/>
            </w:tcBorders>
          </w:tcPr>
          <w:p>
            <w:pPr>
              <w:pStyle w:val="TableParagraph"/>
              <w:spacing w:before="28"/>
              <w:ind w:left="67"/>
              <w:jc w:val="left"/>
              <w:rPr>
                <w:b/>
                <w:sz w:val="14"/>
              </w:rPr>
            </w:pPr>
            <w:r>
              <w:rPr>
                <w:b/>
                <w:spacing w:val="-2"/>
                <w:sz w:val="14"/>
              </w:rPr>
              <w:t>Established</w:t>
            </w:r>
            <w:r>
              <w:rPr>
                <w:b/>
                <w:spacing w:val="11"/>
                <w:sz w:val="14"/>
              </w:rPr>
              <w:t> </w:t>
            </w:r>
            <w:r>
              <w:rPr>
                <w:b/>
                <w:spacing w:val="-2"/>
                <w:sz w:val="14"/>
              </w:rPr>
              <w:t>Posts</w:t>
            </w:r>
          </w:p>
        </w:tc>
        <w:tc>
          <w:tcPr>
            <w:tcW w:w="678" w:type="dxa"/>
            <w:tcBorders>
              <w:top w:val="single" w:sz="4" w:space="0" w:color="000000"/>
            </w:tcBorders>
          </w:tcPr>
          <w:p>
            <w:pPr>
              <w:pStyle w:val="TableParagraph"/>
              <w:jc w:val="left"/>
              <w:rPr>
                <w:sz w:val="14"/>
              </w:rPr>
            </w:pPr>
          </w:p>
        </w:tc>
        <w:tc>
          <w:tcPr>
            <w:tcW w:w="607" w:type="dxa"/>
            <w:tcBorders>
              <w:top w:val="single" w:sz="4" w:space="0" w:color="000000"/>
            </w:tcBorders>
          </w:tcPr>
          <w:p>
            <w:pPr>
              <w:pStyle w:val="TableParagraph"/>
              <w:jc w:val="left"/>
              <w:rPr>
                <w:sz w:val="14"/>
              </w:rPr>
            </w:pPr>
          </w:p>
        </w:tc>
        <w:tc>
          <w:tcPr>
            <w:tcW w:w="563" w:type="dxa"/>
            <w:tcBorders>
              <w:top w:val="single" w:sz="4" w:space="0" w:color="000000"/>
            </w:tcBorders>
          </w:tcPr>
          <w:p>
            <w:pPr>
              <w:pStyle w:val="TableParagraph"/>
              <w:jc w:val="left"/>
              <w:rPr>
                <w:sz w:val="14"/>
              </w:rPr>
            </w:pPr>
          </w:p>
        </w:tc>
        <w:tc>
          <w:tcPr>
            <w:tcW w:w="557" w:type="dxa"/>
            <w:tcBorders>
              <w:top w:val="single" w:sz="4" w:space="0" w:color="000000"/>
            </w:tcBorders>
          </w:tcPr>
          <w:p>
            <w:pPr>
              <w:pStyle w:val="TableParagraph"/>
              <w:jc w:val="left"/>
              <w:rPr>
                <w:sz w:val="14"/>
              </w:rPr>
            </w:pPr>
          </w:p>
        </w:tc>
        <w:tc>
          <w:tcPr>
            <w:tcW w:w="583" w:type="dxa"/>
            <w:tcBorders>
              <w:top w:val="single" w:sz="4" w:space="0" w:color="000000"/>
            </w:tcBorders>
          </w:tcPr>
          <w:p>
            <w:pPr>
              <w:pStyle w:val="TableParagraph"/>
              <w:jc w:val="left"/>
              <w:rPr>
                <w:sz w:val="14"/>
              </w:rPr>
            </w:pPr>
          </w:p>
        </w:tc>
        <w:tc>
          <w:tcPr>
            <w:tcW w:w="545" w:type="dxa"/>
            <w:tcBorders>
              <w:top w:val="single" w:sz="4" w:space="0" w:color="000000"/>
            </w:tcBorders>
          </w:tcPr>
          <w:p>
            <w:pPr>
              <w:pStyle w:val="TableParagraph"/>
              <w:jc w:val="left"/>
              <w:rPr>
                <w:sz w:val="14"/>
              </w:rPr>
            </w:pPr>
          </w:p>
        </w:tc>
        <w:tc>
          <w:tcPr>
            <w:tcW w:w="668" w:type="dxa"/>
            <w:tcBorders>
              <w:top w:val="single" w:sz="4" w:space="0" w:color="000000"/>
            </w:tcBorders>
          </w:tcPr>
          <w:p>
            <w:pPr>
              <w:pStyle w:val="TableParagraph"/>
              <w:jc w:val="left"/>
              <w:rPr>
                <w:sz w:val="14"/>
              </w:rPr>
            </w:pPr>
          </w:p>
        </w:tc>
        <w:tc>
          <w:tcPr>
            <w:tcW w:w="715" w:type="dxa"/>
            <w:tcBorders>
              <w:top w:val="single" w:sz="4" w:space="0" w:color="000000"/>
            </w:tcBorders>
          </w:tcPr>
          <w:p>
            <w:pPr>
              <w:pStyle w:val="TableParagraph"/>
              <w:jc w:val="left"/>
              <w:rPr>
                <w:sz w:val="14"/>
              </w:rPr>
            </w:pPr>
          </w:p>
        </w:tc>
        <w:tc>
          <w:tcPr>
            <w:tcW w:w="489" w:type="dxa"/>
            <w:tcBorders>
              <w:top w:val="single" w:sz="4" w:space="0" w:color="000000"/>
            </w:tcBorders>
          </w:tcPr>
          <w:p>
            <w:pPr>
              <w:pStyle w:val="TableParagraph"/>
              <w:jc w:val="left"/>
              <w:rPr>
                <w:sz w:val="14"/>
              </w:rPr>
            </w:pPr>
          </w:p>
        </w:tc>
        <w:tc>
          <w:tcPr>
            <w:tcW w:w="795" w:type="dxa"/>
            <w:tcBorders>
              <w:top w:val="single" w:sz="4" w:space="0" w:color="000000"/>
            </w:tcBorders>
          </w:tcPr>
          <w:p>
            <w:pPr>
              <w:pStyle w:val="TableParagraph"/>
              <w:jc w:val="left"/>
              <w:rPr>
                <w:sz w:val="14"/>
              </w:rPr>
            </w:pPr>
          </w:p>
        </w:tc>
        <w:tc>
          <w:tcPr>
            <w:tcW w:w="568" w:type="dxa"/>
            <w:tcBorders>
              <w:top w:val="single" w:sz="4" w:space="0" w:color="000000"/>
            </w:tcBorders>
          </w:tcPr>
          <w:p>
            <w:pPr>
              <w:pStyle w:val="TableParagraph"/>
              <w:jc w:val="left"/>
              <w:rPr>
                <w:sz w:val="14"/>
              </w:rPr>
            </w:pPr>
          </w:p>
        </w:tc>
        <w:tc>
          <w:tcPr>
            <w:tcW w:w="578" w:type="dxa"/>
            <w:tcBorders>
              <w:top w:val="single" w:sz="4" w:space="0" w:color="000000"/>
            </w:tcBorders>
          </w:tcPr>
          <w:p>
            <w:pPr>
              <w:pStyle w:val="TableParagraph"/>
              <w:jc w:val="left"/>
              <w:rPr>
                <w:sz w:val="14"/>
              </w:rPr>
            </w:pPr>
          </w:p>
        </w:tc>
        <w:tc>
          <w:tcPr>
            <w:tcW w:w="566" w:type="dxa"/>
            <w:tcBorders>
              <w:top w:val="single" w:sz="4" w:space="0" w:color="000000"/>
            </w:tcBorders>
          </w:tcPr>
          <w:p>
            <w:pPr>
              <w:pStyle w:val="TableParagraph"/>
              <w:jc w:val="left"/>
              <w:rPr>
                <w:sz w:val="14"/>
              </w:rPr>
            </w:pPr>
          </w:p>
        </w:tc>
        <w:tc>
          <w:tcPr>
            <w:tcW w:w="813" w:type="dxa"/>
            <w:tcBorders>
              <w:top w:val="single" w:sz="4" w:space="0" w:color="000000"/>
            </w:tcBorders>
          </w:tcPr>
          <w:p>
            <w:pPr>
              <w:pStyle w:val="TableParagraph"/>
              <w:jc w:val="left"/>
              <w:rPr>
                <w:sz w:val="14"/>
              </w:rPr>
            </w:pPr>
          </w:p>
        </w:tc>
        <w:tc>
          <w:tcPr>
            <w:tcW w:w="524" w:type="dxa"/>
            <w:tcBorders>
              <w:top w:val="single" w:sz="4" w:space="0" w:color="000000"/>
            </w:tcBorders>
          </w:tcPr>
          <w:p>
            <w:pPr>
              <w:pStyle w:val="TableParagraph"/>
              <w:jc w:val="left"/>
              <w:rPr>
                <w:sz w:val="14"/>
              </w:rPr>
            </w:pPr>
          </w:p>
        </w:tc>
      </w:tr>
      <w:tr>
        <w:trPr>
          <w:trHeight w:val="221" w:hRule="atLeast"/>
        </w:trPr>
        <w:tc>
          <w:tcPr>
            <w:tcW w:w="1186" w:type="dxa"/>
            <w:tcBorders>
              <w:bottom w:val="single" w:sz="12" w:space="0" w:color="000000"/>
            </w:tcBorders>
          </w:tcPr>
          <w:p>
            <w:pPr>
              <w:pStyle w:val="TableParagraph"/>
              <w:spacing w:before="20"/>
              <w:ind w:left="67"/>
              <w:jc w:val="left"/>
              <w:rPr>
                <w:sz w:val="14"/>
              </w:rPr>
            </w:pPr>
            <w:r>
              <w:rPr>
                <w:w w:val="95"/>
                <w:sz w:val="14"/>
              </w:rPr>
              <w:t>Approved</w:t>
            </w:r>
            <w:r>
              <w:rPr>
                <w:spacing w:val="22"/>
                <w:sz w:val="14"/>
              </w:rPr>
              <w:t> </w:t>
            </w:r>
            <w:r>
              <w:rPr>
                <w:spacing w:val="-4"/>
                <w:sz w:val="14"/>
              </w:rPr>
              <w:t>2022</w:t>
            </w:r>
          </w:p>
        </w:tc>
        <w:tc>
          <w:tcPr>
            <w:tcW w:w="678" w:type="dxa"/>
            <w:tcBorders>
              <w:bottom w:val="single" w:sz="12" w:space="0" w:color="000000"/>
            </w:tcBorders>
          </w:tcPr>
          <w:p>
            <w:pPr>
              <w:pStyle w:val="TableParagraph"/>
              <w:spacing w:before="20"/>
              <w:ind w:right="155"/>
              <w:rPr>
                <w:sz w:val="14"/>
              </w:rPr>
            </w:pPr>
            <w:r>
              <w:rPr>
                <w:w w:val="99"/>
                <w:sz w:val="14"/>
              </w:rPr>
              <w:t>1</w:t>
            </w:r>
          </w:p>
        </w:tc>
        <w:tc>
          <w:tcPr>
            <w:tcW w:w="607" w:type="dxa"/>
            <w:tcBorders>
              <w:bottom w:val="single" w:sz="12" w:space="0" w:color="000000"/>
            </w:tcBorders>
          </w:tcPr>
          <w:p>
            <w:pPr>
              <w:pStyle w:val="TableParagraph"/>
              <w:spacing w:before="20"/>
              <w:ind w:right="170"/>
              <w:rPr>
                <w:sz w:val="14"/>
              </w:rPr>
            </w:pPr>
            <w:r>
              <w:rPr>
                <w:w w:val="99"/>
                <w:sz w:val="14"/>
              </w:rPr>
              <w:t>-</w:t>
            </w:r>
          </w:p>
        </w:tc>
        <w:tc>
          <w:tcPr>
            <w:tcW w:w="563" w:type="dxa"/>
            <w:tcBorders>
              <w:bottom w:val="single" w:sz="12" w:space="0" w:color="000000"/>
            </w:tcBorders>
          </w:tcPr>
          <w:p>
            <w:pPr>
              <w:pStyle w:val="TableParagraph"/>
              <w:spacing w:before="20"/>
              <w:ind w:right="171"/>
              <w:rPr>
                <w:sz w:val="14"/>
              </w:rPr>
            </w:pPr>
            <w:r>
              <w:rPr>
                <w:w w:val="99"/>
                <w:sz w:val="14"/>
              </w:rPr>
              <w:t>-</w:t>
            </w:r>
          </w:p>
        </w:tc>
        <w:tc>
          <w:tcPr>
            <w:tcW w:w="557" w:type="dxa"/>
            <w:tcBorders>
              <w:bottom w:val="single" w:sz="12" w:space="0" w:color="000000"/>
            </w:tcBorders>
          </w:tcPr>
          <w:p>
            <w:pPr>
              <w:pStyle w:val="TableParagraph"/>
              <w:spacing w:before="20"/>
              <w:ind w:right="168"/>
              <w:rPr>
                <w:sz w:val="14"/>
              </w:rPr>
            </w:pPr>
            <w:r>
              <w:rPr>
                <w:w w:val="99"/>
                <w:sz w:val="14"/>
              </w:rPr>
              <w:t>1</w:t>
            </w:r>
          </w:p>
        </w:tc>
        <w:tc>
          <w:tcPr>
            <w:tcW w:w="583" w:type="dxa"/>
            <w:tcBorders>
              <w:bottom w:val="single" w:sz="12" w:space="0" w:color="000000"/>
            </w:tcBorders>
          </w:tcPr>
          <w:p>
            <w:pPr>
              <w:pStyle w:val="TableParagraph"/>
              <w:spacing w:before="20"/>
              <w:ind w:left="170"/>
              <w:jc w:val="center"/>
              <w:rPr>
                <w:sz w:val="14"/>
              </w:rPr>
            </w:pPr>
            <w:r>
              <w:rPr>
                <w:w w:val="99"/>
                <w:sz w:val="14"/>
              </w:rPr>
              <w:t>3</w:t>
            </w:r>
          </w:p>
        </w:tc>
        <w:tc>
          <w:tcPr>
            <w:tcW w:w="545" w:type="dxa"/>
            <w:tcBorders>
              <w:bottom w:val="single" w:sz="12" w:space="0" w:color="000000"/>
            </w:tcBorders>
          </w:tcPr>
          <w:p>
            <w:pPr>
              <w:pStyle w:val="TableParagraph"/>
              <w:spacing w:before="20"/>
              <w:ind w:right="129"/>
              <w:rPr>
                <w:sz w:val="14"/>
              </w:rPr>
            </w:pPr>
            <w:r>
              <w:rPr>
                <w:w w:val="99"/>
                <w:sz w:val="14"/>
              </w:rPr>
              <w:t>4</w:t>
            </w:r>
          </w:p>
        </w:tc>
        <w:tc>
          <w:tcPr>
            <w:tcW w:w="668" w:type="dxa"/>
            <w:tcBorders>
              <w:bottom w:val="single" w:sz="12" w:space="0" w:color="000000"/>
            </w:tcBorders>
          </w:tcPr>
          <w:p>
            <w:pPr>
              <w:pStyle w:val="TableParagraph"/>
              <w:spacing w:before="20"/>
              <w:ind w:right="201"/>
              <w:rPr>
                <w:sz w:val="14"/>
              </w:rPr>
            </w:pPr>
            <w:r>
              <w:rPr>
                <w:w w:val="99"/>
                <w:sz w:val="14"/>
              </w:rPr>
              <w:t>5</w:t>
            </w:r>
          </w:p>
        </w:tc>
        <w:tc>
          <w:tcPr>
            <w:tcW w:w="715" w:type="dxa"/>
            <w:tcBorders>
              <w:bottom w:val="single" w:sz="12" w:space="0" w:color="000000"/>
            </w:tcBorders>
          </w:tcPr>
          <w:p>
            <w:pPr>
              <w:pStyle w:val="TableParagraph"/>
              <w:spacing w:before="20"/>
              <w:ind w:right="176"/>
              <w:rPr>
                <w:sz w:val="14"/>
              </w:rPr>
            </w:pPr>
            <w:r>
              <w:rPr>
                <w:w w:val="99"/>
                <w:sz w:val="14"/>
              </w:rPr>
              <w:t>7</w:t>
            </w:r>
          </w:p>
        </w:tc>
        <w:tc>
          <w:tcPr>
            <w:tcW w:w="489" w:type="dxa"/>
            <w:tcBorders>
              <w:bottom w:val="single" w:sz="12" w:space="0" w:color="000000"/>
            </w:tcBorders>
          </w:tcPr>
          <w:p>
            <w:pPr>
              <w:pStyle w:val="TableParagraph"/>
              <w:spacing w:before="20"/>
              <w:ind w:right="69"/>
              <w:rPr>
                <w:sz w:val="14"/>
              </w:rPr>
            </w:pPr>
            <w:r>
              <w:rPr>
                <w:w w:val="99"/>
                <w:sz w:val="14"/>
              </w:rPr>
              <w:t>-</w:t>
            </w:r>
          </w:p>
        </w:tc>
        <w:tc>
          <w:tcPr>
            <w:tcW w:w="795" w:type="dxa"/>
            <w:tcBorders>
              <w:bottom w:val="single" w:sz="12" w:space="0" w:color="000000"/>
            </w:tcBorders>
          </w:tcPr>
          <w:p>
            <w:pPr>
              <w:pStyle w:val="TableParagraph"/>
              <w:spacing w:before="20"/>
              <w:ind w:right="123"/>
              <w:rPr>
                <w:i/>
                <w:sz w:val="14"/>
              </w:rPr>
            </w:pPr>
            <w:r>
              <w:rPr>
                <w:i/>
                <w:spacing w:val="-5"/>
                <w:sz w:val="14"/>
              </w:rPr>
              <w:t>21</w:t>
            </w:r>
          </w:p>
        </w:tc>
        <w:tc>
          <w:tcPr>
            <w:tcW w:w="568" w:type="dxa"/>
            <w:tcBorders>
              <w:bottom w:val="single" w:sz="12" w:space="0" w:color="000000"/>
            </w:tcBorders>
          </w:tcPr>
          <w:p>
            <w:pPr>
              <w:pStyle w:val="TableParagraph"/>
              <w:spacing w:before="20"/>
              <w:ind w:right="102"/>
              <w:rPr>
                <w:sz w:val="14"/>
              </w:rPr>
            </w:pPr>
            <w:r>
              <w:rPr>
                <w:w w:val="99"/>
                <w:sz w:val="14"/>
              </w:rPr>
              <w:t>-</w:t>
            </w:r>
          </w:p>
        </w:tc>
        <w:tc>
          <w:tcPr>
            <w:tcW w:w="578" w:type="dxa"/>
            <w:tcBorders>
              <w:bottom w:val="single" w:sz="12" w:space="0" w:color="000000"/>
            </w:tcBorders>
          </w:tcPr>
          <w:p>
            <w:pPr>
              <w:pStyle w:val="TableParagraph"/>
              <w:spacing w:before="20"/>
              <w:ind w:right="89"/>
              <w:rPr>
                <w:sz w:val="14"/>
              </w:rPr>
            </w:pPr>
            <w:r>
              <w:rPr>
                <w:w w:val="99"/>
                <w:sz w:val="14"/>
              </w:rPr>
              <w:t>-</w:t>
            </w:r>
          </w:p>
        </w:tc>
        <w:tc>
          <w:tcPr>
            <w:tcW w:w="566" w:type="dxa"/>
            <w:tcBorders>
              <w:bottom w:val="single" w:sz="12" w:space="0" w:color="000000"/>
            </w:tcBorders>
          </w:tcPr>
          <w:p>
            <w:pPr>
              <w:pStyle w:val="TableParagraph"/>
              <w:spacing w:before="20"/>
              <w:ind w:right="59"/>
              <w:rPr>
                <w:sz w:val="14"/>
              </w:rPr>
            </w:pPr>
            <w:r>
              <w:rPr>
                <w:spacing w:val="-5"/>
                <w:sz w:val="14"/>
              </w:rPr>
              <w:t>11</w:t>
            </w:r>
          </w:p>
        </w:tc>
        <w:tc>
          <w:tcPr>
            <w:tcW w:w="813" w:type="dxa"/>
            <w:tcBorders>
              <w:bottom w:val="single" w:sz="12" w:space="0" w:color="000000"/>
            </w:tcBorders>
          </w:tcPr>
          <w:p>
            <w:pPr>
              <w:pStyle w:val="TableParagraph"/>
              <w:spacing w:before="20"/>
              <w:ind w:right="132"/>
              <w:rPr>
                <w:i/>
                <w:sz w:val="14"/>
              </w:rPr>
            </w:pPr>
            <w:r>
              <w:rPr>
                <w:i/>
                <w:spacing w:val="-5"/>
                <w:sz w:val="14"/>
              </w:rPr>
              <w:t>11</w:t>
            </w:r>
          </w:p>
        </w:tc>
        <w:tc>
          <w:tcPr>
            <w:tcW w:w="524" w:type="dxa"/>
            <w:tcBorders>
              <w:bottom w:val="single" w:sz="12" w:space="0" w:color="000000"/>
            </w:tcBorders>
          </w:tcPr>
          <w:p>
            <w:pPr>
              <w:pStyle w:val="TableParagraph"/>
              <w:spacing w:before="20"/>
              <w:ind w:right="56"/>
              <w:rPr>
                <w:b/>
                <w:sz w:val="14"/>
              </w:rPr>
            </w:pPr>
            <w:r>
              <w:rPr>
                <w:b/>
                <w:spacing w:val="-5"/>
                <w:sz w:val="14"/>
              </w:rPr>
              <w:t>32</w:t>
            </w:r>
          </w:p>
        </w:tc>
      </w:tr>
      <w:tr>
        <w:trPr>
          <w:trHeight w:val="227" w:hRule="atLeast"/>
        </w:trPr>
        <w:tc>
          <w:tcPr>
            <w:tcW w:w="1186" w:type="dxa"/>
            <w:tcBorders>
              <w:top w:val="single" w:sz="12" w:space="0" w:color="000000"/>
              <w:bottom w:val="single" w:sz="6" w:space="0" w:color="000000"/>
            </w:tcBorders>
          </w:tcPr>
          <w:p>
            <w:pPr>
              <w:pStyle w:val="TableParagraph"/>
              <w:spacing w:before="27"/>
              <w:ind w:left="67"/>
              <w:jc w:val="left"/>
              <w:rPr>
                <w:sz w:val="14"/>
              </w:rPr>
            </w:pPr>
            <w:r>
              <w:rPr>
                <w:spacing w:val="-5"/>
                <w:sz w:val="14"/>
              </w:rPr>
              <w:t>New</w:t>
            </w:r>
          </w:p>
        </w:tc>
        <w:tc>
          <w:tcPr>
            <w:tcW w:w="678" w:type="dxa"/>
            <w:tcBorders>
              <w:top w:val="single" w:sz="12" w:space="0" w:color="000000"/>
              <w:bottom w:val="single" w:sz="6" w:space="0" w:color="000000"/>
            </w:tcBorders>
          </w:tcPr>
          <w:p>
            <w:pPr>
              <w:pStyle w:val="TableParagraph"/>
              <w:spacing w:before="27"/>
              <w:ind w:right="154"/>
              <w:rPr>
                <w:sz w:val="14"/>
              </w:rPr>
            </w:pPr>
            <w:r>
              <w:rPr>
                <w:w w:val="99"/>
                <w:sz w:val="14"/>
              </w:rPr>
              <w:t>-</w:t>
            </w:r>
          </w:p>
        </w:tc>
        <w:tc>
          <w:tcPr>
            <w:tcW w:w="607" w:type="dxa"/>
            <w:tcBorders>
              <w:top w:val="single" w:sz="12" w:space="0" w:color="000000"/>
              <w:bottom w:val="single" w:sz="6" w:space="0" w:color="000000"/>
            </w:tcBorders>
          </w:tcPr>
          <w:p>
            <w:pPr>
              <w:pStyle w:val="TableParagraph"/>
              <w:spacing w:before="27"/>
              <w:ind w:right="170"/>
              <w:rPr>
                <w:sz w:val="14"/>
              </w:rPr>
            </w:pPr>
            <w:r>
              <w:rPr>
                <w:w w:val="99"/>
                <w:sz w:val="14"/>
              </w:rPr>
              <w:t>-</w:t>
            </w:r>
          </w:p>
        </w:tc>
        <w:tc>
          <w:tcPr>
            <w:tcW w:w="563" w:type="dxa"/>
            <w:tcBorders>
              <w:top w:val="single" w:sz="12" w:space="0" w:color="000000"/>
              <w:bottom w:val="single" w:sz="6" w:space="0" w:color="000000"/>
            </w:tcBorders>
          </w:tcPr>
          <w:p>
            <w:pPr>
              <w:pStyle w:val="TableParagraph"/>
              <w:spacing w:before="27"/>
              <w:ind w:right="171"/>
              <w:rPr>
                <w:sz w:val="14"/>
              </w:rPr>
            </w:pPr>
            <w:r>
              <w:rPr>
                <w:w w:val="99"/>
                <w:sz w:val="14"/>
              </w:rPr>
              <w:t>-</w:t>
            </w:r>
          </w:p>
        </w:tc>
        <w:tc>
          <w:tcPr>
            <w:tcW w:w="557" w:type="dxa"/>
            <w:tcBorders>
              <w:top w:val="single" w:sz="12" w:space="0" w:color="000000"/>
              <w:bottom w:val="single" w:sz="6" w:space="0" w:color="000000"/>
            </w:tcBorders>
          </w:tcPr>
          <w:p>
            <w:pPr>
              <w:pStyle w:val="TableParagraph"/>
              <w:spacing w:before="27"/>
              <w:ind w:right="167"/>
              <w:rPr>
                <w:sz w:val="14"/>
              </w:rPr>
            </w:pPr>
            <w:r>
              <w:rPr>
                <w:w w:val="99"/>
                <w:sz w:val="14"/>
              </w:rPr>
              <w:t>-</w:t>
            </w:r>
          </w:p>
        </w:tc>
        <w:tc>
          <w:tcPr>
            <w:tcW w:w="583" w:type="dxa"/>
            <w:tcBorders>
              <w:top w:val="single" w:sz="12" w:space="0" w:color="000000"/>
              <w:bottom w:val="single" w:sz="6" w:space="0" w:color="000000"/>
            </w:tcBorders>
          </w:tcPr>
          <w:p>
            <w:pPr>
              <w:pStyle w:val="TableParagraph"/>
              <w:spacing w:before="27"/>
              <w:ind w:left="194"/>
              <w:jc w:val="center"/>
              <w:rPr>
                <w:sz w:val="14"/>
              </w:rPr>
            </w:pPr>
            <w:r>
              <w:rPr>
                <w:w w:val="99"/>
                <w:sz w:val="14"/>
              </w:rPr>
              <w:t>-</w:t>
            </w:r>
          </w:p>
        </w:tc>
        <w:tc>
          <w:tcPr>
            <w:tcW w:w="545" w:type="dxa"/>
            <w:tcBorders>
              <w:top w:val="single" w:sz="12" w:space="0" w:color="000000"/>
              <w:bottom w:val="single" w:sz="6" w:space="0" w:color="000000"/>
            </w:tcBorders>
          </w:tcPr>
          <w:p>
            <w:pPr>
              <w:pStyle w:val="TableParagraph"/>
              <w:spacing w:before="27"/>
              <w:ind w:right="129"/>
              <w:rPr>
                <w:sz w:val="14"/>
              </w:rPr>
            </w:pPr>
            <w:r>
              <w:rPr>
                <w:w w:val="99"/>
                <w:sz w:val="14"/>
              </w:rPr>
              <w:t>1</w:t>
            </w:r>
          </w:p>
        </w:tc>
        <w:tc>
          <w:tcPr>
            <w:tcW w:w="668" w:type="dxa"/>
            <w:tcBorders>
              <w:top w:val="single" w:sz="12" w:space="0" w:color="000000"/>
              <w:bottom w:val="single" w:sz="6" w:space="0" w:color="000000"/>
            </w:tcBorders>
          </w:tcPr>
          <w:p>
            <w:pPr>
              <w:pStyle w:val="TableParagraph"/>
              <w:spacing w:before="27"/>
              <w:ind w:right="201"/>
              <w:rPr>
                <w:sz w:val="14"/>
              </w:rPr>
            </w:pPr>
            <w:r>
              <w:rPr>
                <w:w w:val="99"/>
                <w:sz w:val="14"/>
              </w:rPr>
              <w:t>1</w:t>
            </w:r>
          </w:p>
        </w:tc>
        <w:tc>
          <w:tcPr>
            <w:tcW w:w="715" w:type="dxa"/>
            <w:tcBorders>
              <w:top w:val="single" w:sz="12" w:space="0" w:color="000000"/>
              <w:bottom w:val="single" w:sz="6" w:space="0" w:color="000000"/>
            </w:tcBorders>
          </w:tcPr>
          <w:p>
            <w:pPr>
              <w:pStyle w:val="TableParagraph"/>
              <w:spacing w:before="27"/>
              <w:ind w:right="176"/>
              <w:rPr>
                <w:sz w:val="14"/>
              </w:rPr>
            </w:pPr>
            <w:r>
              <w:rPr>
                <w:w w:val="99"/>
                <w:sz w:val="14"/>
              </w:rPr>
              <w:t>1</w:t>
            </w:r>
          </w:p>
        </w:tc>
        <w:tc>
          <w:tcPr>
            <w:tcW w:w="489" w:type="dxa"/>
            <w:tcBorders>
              <w:top w:val="single" w:sz="12" w:space="0" w:color="000000"/>
              <w:bottom w:val="single" w:sz="6" w:space="0" w:color="000000"/>
            </w:tcBorders>
          </w:tcPr>
          <w:p>
            <w:pPr>
              <w:pStyle w:val="TableParagraph"/>
              <w:spacing w:before="27"/>
              <w:ind w:right="69"/>
              <w:rPr>
                <w:sz w:val="14"/>
              </w:rPr>
            </w:pPr>
            <w:r>
              <w:rPr>
                <w:w w:val="99"/>
                <w:sz w:val="14"/>
              </w:rPr>
              <w:t>-</w:t>
            </w:r>
          </w:p>
        </w:tc>
        <w:tc>
          <w:tcPr>
            <w:tcW w:w="795" w:type="dxa"/>
            <w:tcBorders>
              <w:top w:val="single" w:sz="12" w:space="0" w:color="000000"/>
              <w:bottom w:val="single" w:sz="6" w:space="0" w:color="000000"/>
            </w:tcBorders>
          </w:tcPr>
          <w:p>
            <w:pPr>
              <w:pStyle w:val="TableParagraph"/>
              <w:spacing w:before="27"/>
              <w:ind w:right="130"/>
              <w:rPr>
                <w:i/>
                <w:sz w:val="14"/>
              </w:rPr>
            </w:pPr>
            <w:r>
              <w:rPr>
                <w:i/>
                <w:w w:val="99"/>
                <w:sz w:val="14"/>
              </w:rPr>
              <w:t>3</w:t>
            </w:r>
          </w:p>
        </w:tc>
        <w:tc>
          <w:tcPr>
            <w:tcW w:w="568" w:type="dxa"/>
            <w:tcBorders>
              <w:top w:val="single" w:sz="12" w:space="0" w:color="000000"/>
              <w:bottom w:val="single" w:sz="6" w:space="0" w:color="000000"/>
            </w:tcBorders>
          </w:tcPr>
          <w:p>
            <w:pPr>
              <w:pStyle w:val="TableParagraph"/>
              <w:spacing w:before="27"/>
              <w:ind w:right="102"/>
              <w:rPr>
                <w:sz w:val="14"/>
              </w:rPr>
            </w:pPr>
            <w:r>
              <w:rPr>
                <w:w w:val="99"/>
                <w:sz w:val="14"/>
              </w:rPr>
              <w:t>-</w:t>
            </w:r>
          </w:p>
        </w:tc>
        <w:tc>
          <w:tcPr>
            <w:tcW w:w="578" w:type="dxa"/>
            <w:tcBorders>
              <w:top w:val="single" w:sz="12" w:space="0" w:color="000000"/>
              <w:bottom w:val="single" w:sz="6" w:space="0" w:color="000000"/>
            </w:tcBorders>
          </w:tcPr>
          <w:p>
            <w:pPr>
              <w:pStyle w:val="TableParagraph"/>
              <w:spacing w:before="27"/>
              <w:ind w:right="89"/>
              <w:rPr>
                <w:sz w:val="14"/>
              </w:rPr>
            </w:pPr>
            <w:r>
              <w:rPr>
                <w:w w:val="99"/>
                <w:sz w:val="14"/>
              </w:rPr>
              <w:t>-</w:t>
            </w:r>
          </w:p>
        </w:tc>
        <w:tc>
          <w:tcPr>
            <w:tcW w:w="566" w:type="dxa"/>
            <w:tcBorders>
              <w:top w:val="single" w:sz="12" w:space="0" w:color="000000"/>
              <w:bottom w:val="single" w:sz="6" w:space="0" w:color="000000"/>
            </w:tcBorders>
          </w:tcPr>
          <w:p>
            <w:pPr>
              <w:pStyle w:val="TableParagraph"/>
              <w:spacing w:before="27"/>
              <w:ind w:right="66"/>
              <w:rPr>
                <w:sz w:val="14"/>
              </w:rPr>
            </w:pPr>
            <w:r>
              <w:rPr>
                <w:w w:val="99"/>
                <w:sz w:val="14"/>
              </w:rPr>
              <w:t>1</w:t>
            </w:r>
          </w:p>
        </w:tc>
        <w:tc>
          <w:tcPr>
            <w:tcW w:w="813" w:type="dxa"/>
            <w:tcBorders>
              <w:top w:val="single" w:sz="12" w:space="0" w:color="000000"/>
              <w:bottom w:val="single" w:sz="6" w:space="0" w:color="000000"/>
            </w:tcBorders>
          </w:tcPr>
          <w:p>
            <w:pPr>
              <w:pStyle w:val="TableParagraph"/>
              <w:spacing w:before="27"/>
              <w:ind w:right="139"/>
              <w:rPr>
                <w:i/>
                <w:sz w:val="14"/>
              </w:rPr>
            </w:pPr>
            <w:r>
              <w:rPr>
                <w:i/>
                <w:w w:val="99"/>
                <w:sz w:val="14"/>
              </w:rPr>
              <w:t>1</w:t>
            </w:r>
          </w:p>
        </w:tc>
        <w:tc>
          <w:tcPr>
            <w:tcW w:w="524" w:type="dxa"/>
            <w:tcBorders>
              <w:top w:val="single" w:sz="12" w:space="0" w:color="000000"/>
              <w:bottom w:val="single" w:sz="6" w:space="0" w:color="000000"/>
            </w:tcBorders>
          </w:tcPr>
          <w:p>
            <w:pPr>
              <w:pStyle w:val="TableParagraph"/>
              <w:spacing w:before="27"/>
              <w:ind w:right="63"/>
              <w:rPr>
                <w:b/>
                <w:sz w:val="14"/>
              </w:rPr>
            </w:pPr>
            <w:r>
              <w:rPr>
                <w:b/>
                <w:w w:val="99"/>
                <w:sz w:val="14"/>
              </w:rPr>
              <w:t>4</w:t>
            </w:r>
          </w:p>
        </w:tc>
      </w:tr>
      <w:tr>
        <w:trPr>
          <w:trHeight w:val="222" w:hRule="atLeast"/>
        </w:trPr>
        <w:tc>
          <w:tcPr>
            <w:tcW w:w="1186" w:type="dxa"/>
            <w:tcBorders>
              <w:top w:val="single" w:sz="6" w:space="0" w:color="000000"/>
              <w:bottom w:val="single" w:sz="4" w:space="0" w:color="000000"/>
            </w:tcBorders>
          </w:tcPr>
          <w:p>
            <w:pPr>
              <w:pStyle w:val="TableParagraph"/>
              <w:spacing w:before="21"/>
              <w:ind w:left="67"/>
              <w:jc w:val="left"/>
              <w:rPr>
                <w:sz w:val="14"/>
              </w:rPr>
            </w:pPr>
            <w:r>
              <w:rPr>
                <w:spacing w:val="-2"/>
                <w:sz w:val="14"/>
              </w:rPr>
              <w:t>Redeployed</w:t>
            </w:r>
          </w:p>
        </w:tc>
        <w:tc>
          <w:tcPr>
            <w:tcW w:w="678" w:type="dxa"/>
            <w:tcBorders>
              <w:top w:val="single" w:sz="6" w:space="0" w:color="000000"/>
              <w:bottom w:val="single" w:sz="4" w:space="0" w:color="000000"/>
            </w:tcBorders>
          </w:tcPr>
          <w:p>
            <w:pPr>
              <w:pStyle w:val="TableParagraph"/>
              <w:spacing w:before="21"/>
              <w:ind w:right="154"/>
              <w:rPr>
                <w:sz w:val="14"/>
              </w:rPr>
            </w:pPr>
            <w:r>
              <w:rPr>
                <w:w w:val="99"/>
                <w:sz w:val="14"/>
              </w:rPr>
              <w:t>-</w:t>
            </w:r>
          </w:p>
        </w:tc>
        <w:tc>
          <w:tcPr>
            <w:tcW w:w="607" w:type="dxa"/>
            <w:tcBorders>
              <w:top w:val="single" w:sz="6" w:space="0" w:color="000000"/>
              <w:bottom w:val="single" w:sz="4" w:space="0" w:color="000000"/>
            </w:tcBorders>
          </w:tcPr>
          <w:p>
            <w:pPr>
              <w:pStyle w:val="TableParagraph"/>
              <w:spacing w:before="21"/>
              <w:ind w:right="170"/>
              <w:rPr>
                <w:sz w:val="14"/>
              </w:rPr>
            </w:pPr>
            <w:r>
              <w:rPr>
                <w:w w:val="99"/>
                <w:sz w:val="14"/>
              </w:rPr>
              <w:t>-</w:t>
            </w:r>
          </w:p>
        </w:tc>
        <w:tc>
          <w:tcPr>
            <w:tcW w:w="563" w:type="dxa"/>
            <w:tcBorders>
              <w:top w:val="single" w:sz="6" w:space="0" w:color="000000"/>
              <w:bottom w:val="single" w:sz="4" w:space="0" w:color="000000"/>
            </w:tcBorders>
          </w:tcPr>
          <w:p>
            <w:pPr>
              <w:pStyle w:val="TableParagraph"/>
              <w:spacing w:before="21"/>
              <w:ind w:right="171"/>
              <w:rPr>
                <w:sz w:val="14"/>
              </w:rPr>
            </w:pPr>
            <w:r>
              <w:rPr>
                <w:w w:val="99"/>
                <w:sz w:val="14"/>
              </w:rPr>
              <w:t>-</w:t>
            </w:r>
          </w:p>
        </w:tc>
        <w:tc>
          <w:tcPr>
            <w:tcW w:w="557" w:type="dxa"/>
            <w:tcBorders>
              <w:top w:val="single" w:sz="6" w:space="0" w:color="000000"/>
              <w:bottom w:val="single" w:sz="4" w:space="0" w:color="000000"/>
            </w:tcBorders>
          </w:tcPr>
          <w:p>
            <w:pPr>
              <w:pStyle w:val="TableParagraph"/>
              <w:spacing w:before="21"/>
              <w:ind w:right="167"/>
              <w:rPr>
                <w:sz w:val="14"/>
              </w:rPr>
            </w:pPr>
            <w:r>
              <w:rPr>
                <w:w w:val="99"/>
                <w:sz w:val="14"/>
              </w:rPr>
              <w:t>-</w:t>
            </w:r>
          </w:p>
        </w:tc>
        <w:tc>
          <w:tcPr>
            <w:tcW w:w="583" w:type="dxa"/>
            <w:tcBorders>
              <w:top w:val="single" w:sz="6" w:space="0" w:color="000000"/>
              <w:bottom w:val="single" w:sz="4" w:space="0" w:color="000000"/>
            </w:tcBorders>
          </w:tcPr>
          <w:p>
            <w:pPr>
              <w:pStyle w:val="TableParagraph"/>
              <w:spacing w:before="21"/>
              <w:ind w:left="194"/>
              <w:jc w:val="center"/>
              <w:rPr>
                <w:sz w:val="14"/>
              </w:rPr>
            </w:pPr>
            <w:r>
              <w:rPr>
                <w:w w:val="99"/>
                <w:sz w:val="14"/>
              </w:rPr>
              <w:t>-</w:t>
            </w:r>
          </w:p>
        </w:tc>
        <w:tc>
          <w:tcPr>
            <w:tcW w:w="545" w:type="dxa"/>
            <w:tcBorders>
              <w:top w:val="single" w:sz="6" w:space="0" w:color="000000"/>
              <w:bottom w:val="single" w:sz="4" w:space="0" w:color="000000"/>
            </w:tcBorders>
          </w:tcPr>
          <w:p>
            <w:pPr>
              <w:pStyle w:val="TableParagraph"/>
              <w:spacing w:before="21"/>
              <w:ind w:right="128"/>
              <w:rPr>
                <w:sz w:val="14"/>
              </w:rPr>
            </w:pPr>
            <w:r>
              <w:rPr>
                <w:w w:val="99"/>
                <w:sz w:val="14"/>
              </w:rPr>
              <w:t>-</w:t>
            </w:r>
          </w:p>
        </w:tc>
        <w:tc>
          <w:tcPr>
            <w:tcW w:w="668" w:type="dxa"/>
            <w:tcBorders>
              <w:top w:val="single" w:sz="6" w:space="0" w:color="000000"/>
              <w:bottom w:val="single" w:sz="4" w:space="0" w:color="000000"/>
            </w:tcBorders>
          </w:tcPr>
          <w:p>
            <w:pPr>
              <w:pStyle w:val="TableParagraph"/>
              <w:spacing w:before="21"/>
              <w:ind w:right="201"/>
              <w:rPr>
                <w:sz w:val="14"/>
              </w:rPr>
            </w:pPr>
            <w:r>
              <w:rPr>
                <w:w w:val="99"/>
                <w:sz w:val="14"/>
              </w:rPr>
              <w:t>3</w:t>
            </w:r>
          </w:p>
        </w:tc>
        <w:tc>
          <w:tcPr>
            <w:tcW w:w="715" w:type="dxa"/>
            <w:tcBorders>
              <w:top w:val="single" w:sz="6" w:space="0" w:color="000000"/>
              <w:bottom w:val="single" w:sz="4" w:space="0" w:color="000000"/>
            </w:tcBorders>
          </w:tcPr>
          <w:p>
            <w:pPr>
              <w:pStyle w:val="TableParagraph"/>
              <w:spacing w:before="21"/>
              <w:ind w:right="176"/>
              <w:rPr>
                <w:sz w:val="14"/>
              </w:rPr>
            </w:pPr>
            <w:r>
              <w:rPr>
                <w:w w:val="99"/>
                <w:sz w:val="14"/>
              </w:rPr>
              <w:t>5</w:t>
            </w:r>
          </w:p>
        </w:tc>
        <w:tc>
          <w:tcPr>
            <w:tcW w:w="489" w:type="dxa"/>
            <w:tcBorders>
              <w:top w:val="single" w:sz="6" w:space="0" w:color="000000"/>
              <w:bottom w:val="single" w:sz="4" w:space="0" w:color="000000"/>
            </w:tcBorders>
          </w:tcPr>
          <w:p>
            <w:pPr>
              <w:pStyle w:val="TableParagraph"/>
              <w:spacing w:before="21"/>
              <w:ind w:right="69"/>
              <w:rPr>
                <w:sz w:val="14"/>
              </w:rPr>
            </w:pPr>
            <w:r>
              <w:rPr>
                <w:w w:val="99"/>
                <w:sz w:val="14"/>
              </w:rPr>
              <w:t>-</w:t>
            </w:r>
          </w:p>
        </w:tc>
        <w:tc>
          <w:tcPr>
            <w:tcW w:w="795" w:type="dxa"/>
            <w:tcBorders>
              <w:top w:val="single" w:sz="6" w:space="0" w:color="000000"/>
              <w:bottom w:val="single" w:sz="4" w:space="0" w:color="000000"/>
            </w:tcBorders>
          </w:tcPr>
          <w:p>
            <w:pPr>
              <w:pStyle w:val="TableParagraph"/>
              <w:spacing w:before="21"/>
              <w:ind w:right="130"/>
              <w:rPr>
                <w:i/>
                <w:sz w:val="14"/>
              </w:rPr>
            </w:pPr>
            <w:r>
              <w:rPr>
                <w:i/>
                <w:w w:val="99"/>
                <w:sz w:val="14"/>
              </w:rPr>
              <w:t>8</w:t>
            </w:r>
          </w:p>
        </w:tc>
        <w:tc>
          <w:tcPr>
            <w:tcW w:w="568" w:type="dxa"/>
            <w:tcBorders>
              <w:top w:val="single" w:sz="6" w:space="0" w:color="000000"/>
              <w:bottom w:val="single" w:sz="4" w:space="0" w:color="000000"/>
            </w:tcBorders>
          </w:tcPr>
          <w:p>
            <w:pPr>
              <w:pStyle w:val="TableParagraph"/>
              <w:spacing w:before="21"/>
              <w:ind w:right="102"/>
              <w:rPr>
                <w:sz w:val="14"/>
              </w:rPr>
            </w:pPr>
            <w:r>
              <w:rPr>
                <w:w w:val="99"/>
                <w:sz w:val="14"/>
              </w:rPr>
              <w:t>-</w:t>
            </w:r>
          </w:p>
        </w:tc>
        <w:tc>
          <w:tcPr>
            <w:tcW w:w="578" w:type="dxa"/>
            <w:tcBorders>
              <w:top w:val="single" w:sz="6" w:space="0" w:color="000000"/>
              <w:bottom w:val="single" w:sz="4" w:space="0" w:color="000000"/>
            </w:tcBorders>
          </w:tcPr>
          <w:p>
            <w:pPr>
              <w:pStyle w:val="TableParagraph"/>
              <w:spacing w:before="21"/>
              <w:ind w:right="90"/>
              <w:rPr>
                <w:sz w:val="14"/>
              </w:rPr>
            </w:pPr>
            <w:r>
              <w:rPr>
                <w:w w:val="99"/>
                <w:sz w:val="14"/>
              </w:rPr>
              <w:t>1</w:t>
            </w:r>
          </w:p>
        </w:tc>
        <w:tc>
          <w:tcPr>
            <w:tcW w:w="566" w:type="dxa"/>
            <w:tcBorders>
              <w:top w:val="single" w:sz="6" w:space="0" w:color="000000"/>
              <w:bottom w:val="single" w:sz="4" w:space="0" w:color="000000"/>
            </w:tcBorders>
          </w:tcPr>
          <w:p>
            <w:pPr>
              <w:pStyle w:val="TableParagraph"/>
              <w:spacing w:before="21"/>
              <w:ind w:right="61"/>
              <w:rPr>
                <w:sz w:val="14"/>
              </w:rPr>
            </w:pPr>
            <w:r>
              <w:rPr>
                <w:spacing w:val="-5"/>
                <w:sz w:val="14"/>
              </w:rPr>
              <w:t>(2)</w:t>
            </w:r>
          </w:p>
        </w:tc>
        <w:tc>
          <w:tcPr>
            <w:tcW w:w="813" w:type="dxa"/>
            <w:tcBorders>
              <w:top w:val="single" w:sz="6" w:space="0" w:color="000000"/>
              <w:bottom w:val="single" w:sz="4" w:space="0" w:color="000000"/>
            </w:tcBorders>
          </w:tcPr>
          <w:p>
            <w:pPr>
              <w:pStyle w:val="TableParagraph"/>
              <w:spacing w:before="21"/>
              <w:ind w:right="134"/>
              <w:rPr>
                <w:i/>
                <w:sz w:val="14"/>
              </w:rPr>
            </w:pPr>
            <w:r>
              <w:rPr>
                <w:i/>
                <w:spacing w:val="-5"/>
                <w:sz w:val="14"/>
              </w:rPr>
              <w:t>(1)</w:t>
            </w:r>
          </w:p>
        </w:tc>
        <w:tc>
          <w:tcPr>
            <w:tcW w:w="524" w:type="dxa"/>
            <w:tcBorders>
              <w:top w:val="single" w:sz="6" w:space="0" w:color="000000"/>
              <w:bottom w:val="single" w:sz="4" w:space="0" w:color="000000"/>
            </w:tcBorders>
          </w:tcPr>
          <w:p>
            <w:pPr>
              <w:pStyle w:val="TableParagraph"/>
              <w:spacing w:before="21"/>
              <w:ind w:right="63"/>
              <w:rPr>
                <w:b/>
                <w:sz w:val="14"/>
              </w:rPr>
            </w:pPr>
            <w:r>
              <w:rPr>
                <w:b/>
                <w:w w:val="99"/>
                <w:sz w:val="14"/>
              </w:rPr>
              <w:t>7</w:t>
            </w:r>
          </w:p>
        </w:tc>
      </w:tr>
      <w:tr>
        <w:trPr>
          <w:trHeight w:val="225" w:hRule="atLeast"/>
        </w:trPr>
        <w:tc>
          <w:tcPr>
            <w:tcW w:w="1186" w:type="dxa"/>
            <w:tcBorders>
              <w:top w:val="single" w:sz="4" w:space="0" w:color="000000"/>
              <w:bottom w:val="single" w:sz="4" w:space="0" w:color="000000"/>
            </w:tcBorders>
          </w:tcPr>
          <w:p>
            <w:pPr>
              <w:pStyle w:val="TableParagraph"/>
              <w:spacing w:before="28"/>
              <w:ind w:left="67"/>
              <w:jc w:val="left"/>
              <w:rPr>
                <w:sz w:val="14"/>
              </w:rPr>
            </w:pPr>
            <w:r>
              <w:rPr>
                <w:spacing w:val="-2"/>
                <w:sz w:val="14"/>
              </w:rPr>
              <w:t>Reclassified</w:t>
            </w:r>
          </w:p>
        </w:tc>
        <w:tc>
          <w:tcPr>
            <w:tcW w:w="678" w:type="dxa"/>
            <w:tcBorders>
              <w:top w:val="single" w:sz="4" w:space="0" w:color="000000"/>
              <w:bottom w:val="single" w:sz="4" w:space="0" w:color="000000"/>
            </w:tcBorders>
          </w:tcPr>
          <w:p>
            <w:pPr>
              <w:pStyle w:val="TableParagraph"/>
              <w:spacing w:before="28"/>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8"/>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8"/>
              <w:ind w:right="171"/>
              <w:rPr>
                <w:sz w:val="14"/>
              </w:rPr>
            </w:pPr>
            <w:r>
              <w:rPr>
                <w:w w:val="99"/>
                <w:sz w:val="14"/>
              </w:rPr>
              <w:t>-</w:t>
            </w:r>
          </w:p>
        </w:tc>
        <w:tc>
          <w:tcPr>
            <w:tcW w:w="557" w:type="dxa"/>
            <w:tcBorders>
              <w:top w:val="single" w:sz="4" w:space="0" w:color="000000"/>
              <w:bottom w:val="single" w:sz="4" w:space="0" w:color="000000"/>
            </w:tcBorders>
          </w:tcPr>
          <w:p>
            <w:pPr>
              <w:pStyle w:val="TableParagraph"/>
              <w:spacing w:before="28"/>
              <w:ind w:right="167"/>
              <w:rPr>
                <w:sz w:val="14"/>
              </w:rPr>
            </w:pPr>
            <w:r>
              <w:rPr>
                <w:w w:val="99"/>
                <w:sz w:val="14"/>
              </w:rPr>
              <w:t>-</w:t>
            </w:r>
          </w:p>
        </w:tc>
        <w:tc>
          <w:tcPr>
            <w:tcW w:w="583" w:type="dxa"/>
            <w:tcBorders>
              <w:top w:val="single" w:sz="4" w:space="0" w:color="000000"/>
              <w:bottom w:val="single" w:sz="4" w:space="0" w:color="000000"/>
            </w:tcBorders>
          </w:tcPr>
          <w:p>
            <w:pPr>
              <w:pStyle w:val="TableParagraph"/>
              <w:spacing w:before="28"/>
              <w:ind w:left="194"/>
              <w:jc w:val="center"/>
              <w:rPr>
                <w:sz w:val="14"/>
              </w:rPr>
            </w:pPr>
            <w:r>
              <w:rPr>
                <w:w w:val="99"/>
                <w:sz w:val="14"/>
              </w:rPr>
              <w:t>-</w:t>
            </w:r>
          </w:p>
        </w:tc>
        <w:tc>
          <w:tcPr>
            <w:tcW w:w="545" w:type="dxa"/>
            <w:tcBorders>
              <w:top w:val="single" w:sz="4" w:space="0" w:color="000000"/>
              <w:bottom w:val="single" w:sz="4" w:space="0" w:color="000000"/>
            </w:tcBorders>
          </w:tcPr>
          <w:p>
            <w:pPr>
              <w:pStyle w:val="TableParagraph"/>
              <w:spacing w:before="28"/>
              <w:ind w:right="128"/>
              <w:rPr>
                <w:sz w:val="14"/>
              </w:rPr>
            </w:pPr>
            <w:r>
              <w:rPr>
                <w:w w:val="99"/>
                <w:sz w:val="14"/>
              </w:rPr>
              <w:t>-</w:t>
            </w:r>
          </w:p>
        </w:tc>
        <w:tc>
          <w:tcPr>
            <w:tcW w:w="668" w:type="dxa"/>
            <w:tcBorders>
              <w:top w:val="single" w:sz="4" w:space="0" w:color="000000"/>
              <w:bottom w:val="single" w:sz="4" w:space="0" w:color="000000"/>
            </w:tcBorders>
          </w:tcPr>
          <w:p>
            <w:pPr>
              <w:pStyle w:val="TableParagraph"/>
              <w:spacing w:before="28"/>
              <w:ind w:right="200"/>
              <w:rPr>
                <w:sz w:val="14"/>
              </w:rPr>
            </w:pPr>
            <w:r>
              <w:rPr>
                <w:w w:val="99"/>
                <w:sz w:val="14"/>
              </w:rPr>
              <w:t>-</w:t>
            </w:r>
          </w:p>
        </w:tc>
        <w:tc>
          <w:tcPr>
            <w:tcW w:w="715" w:type="dxa"/>
            <w:tcBorders>
              <w:top w:val="single" w:sz="4" w:space="0" w:color="000000"/>
              <w:bottom w:val="single" w:sz="4" w:space="0" w:color="000000"/>
            </w:tcBorders>
          </w:tcPr>
          <w:p>
            <w:pPr>
              <w:pStyle w:val="TableParagraph"/>
              <w:spacing w:before="28"/>
              <w:ind w:right="176"/>
              <w:rPr>
                <w:sz w:val="14"/>
              </w:rPr>
            </w:pPr>
            <w:r>
              <w:rPr>
                <w:w w:val="99"/>
                <w:sz w:val="14"/>
              </w:rPr>
              <w:t>-</w:t>
            </w:r>
          </w:p>
        </w:tc>
        <w:tc>
          <w:tcPr>
            <w:tcW w:w="489" w:type="dxa"/>
            <w:tcBorders>
              <w:top w:val="single" w:sz="4" w:space="0" w:color="000000"/>
              <w:bottom w:val="single" w:sz="4" w:space="0" w:color="000000"/>
            </w:tcBorders>
          </w:tcPr>
          <w:p>
            <w:pPr>
              <w:pStyle w:val="TableParagraph"/>
              <w:spacing w:before="28"/>
              <w:ind w:right="69"/>
              <w:rPr>
                <w:sz w:val="14"/>
              </w:rPr>
            </w:pPr>
            <w:r>
              <w:rPr>
                <w:w w:val="99"/>
                <w:sz w:val="14"/>
              </w:rPr>
              <w:t>-</w:t>
            </w:r>
          </w:p>
        </w:tc>
        <w:tc>
          <w:tcPr>
            <w:tcW w:w="795" w:type="dxa"/>
            <w:tcBorders>
              <w:top w:val="single" w:sz="4" w:space="0" w:color="000000"/>
              <w:bottom w:val="single" w:sz="4" w:space="0" w:color="000000"/>
            </w:tcBorders>
          </w:tcPr>
          <w:p>
            <w:pPr>
              <w:pStyle w:val="TableParagraph"/>
              <w:spacing w:before="28"/>
              <w:ind w:right="129"/>
              <w:rPr>
                <w:i/>
                <w:sz w:val="14"/>
              </w:rPr>
            </w:pPr>
            <w:r>
              <w:rPr>
                <w:i/>
                <w:w w:val="99"/>
                <w:sz w:val="14"/>
              </w:rPr>
              <w:t>-</w:t>
            </w:r>
          </w:p>
        </w:tc>
        <w:tc>
          <w:tcPr>
            <w:tcW w:w="568" w:type="dxa"/>
            <w:tcBorders>
              <w:top w:val="single" w:sz="4" w:space="0" w:color="000000"/>
              <w:bottom w:val="single" w:sz="4" w:space="0" w:color="000000"/>
            </w:tcBorders>
          </w:tcPr>
          <w:p>
            <w:pPr>
              <w:pStyle w:val="TableParagraph"/>
              <w:spacing w:before="28"/>
              <w:ind w:right="102"/>
              <w:rPr>
                <w:sz w:val="14"/>
              </w:rPr>
            </w:pPr>
            <w:r>
              <w:rPr>
                <w:w w:val="99"/>
                <w:sz w:val="14"/>
              </w:rPr>
              <w:t>-</w:t>
            </w:r>
          </w:p>
        </w:tc>
        <w:tc>
          <w:tcPr>
            <w:tcW w:w="578" w:type="dxa"/>
            <w:tcBorders>
              <w:top w:val="single" w:sz="4" w:space="0" w:color="000000"/>
              <w:bottom w:val="single" w:sz="4" w:space="0" w:color="000000"/>
            </w:tcBorders>
          </w:tcPr>
          <w:p>
            <w:pPr>
              <w:pStyle w:val="TableParagraph"/>
              <w:spacing w:before="28"/>
              <w:ind w:right="89"/>
              <w:rPr>
                <w:sz w:val="14"/>
              </w:rPr>
            </w:pPr>
            <w:r>
              <w:rPr>
                <w:w w:val="99"/>
                <w:sz w:val="14"/>
              </w:rPr>
              <w:t>-</w:t>
            </w:r>
          </w:p>
        </w:tc>
        <w:tc>
          <w:tcPr>
            <w:tcW w:w="566" w:type="dxa"/>
            <w:tcBorders>
              <w:top w:val="single" w:sz="4" w:space="0" w:color="000000"/>
              <w:bottom w:val="single" w:sz="4" w:space="0" w:color="000000"/>
            </w:tcBorders>
          </w:tcPr>
          <w:p>
            <w:pPr>
              <w:pStyle w:val="TableParagraph"/>
              <w:spacing w:before="28"/>
              <w:ind w:right="65"/>
              <w:rPr>
                <w:sz w:val="14"/>
              </w:rPr>
            </w:pPr>
            <w:r>
              <w:rPr>
                <w:w w:val="99"/>
                <w:sz w:val="14"/>
              </w:rPr>
              <w:t>-</w:t>
            </w:r>
          </w:p>
        </w:tc>
        <w:tc>
          <w:tcPr>
            <w:tcW w:w="813" w:type="dxa"/>
            <w:tcBorders>
              <w:top w:val="single" w:sz="4" w:space="0" w:color="000000"/>
              <w:bottom w:val="single" w:sz="4" w:space="0" w:color="000000"/>
            </w:tcBorders>
          </w:tcPr>
          <w:p>
            <w:pPr>
              <w:pStyle w:val="TableParagraph"/>
              <w:spacing w:before="28"/>
              <w:ind w:right="138"/>
              <w:rPr>
                <w:i/>
                <w:sz w:val="14"/>
              </w:rPr>
            </w:pPr>
            <w:r>
              <w:rPr>
                <w:i/>
                <w:w w:val="99"/>
                <w:sz w:val="14"/>
              </w:rPr>
              <w:t>-</w:t>
            </w:r>
          </w:p>
        </w:tc>
        <w:tc>
          <w:tcPr>
            <w:tcW w:w="524" w:type="dxa"/>
            <w:tcBorders>
              <w:top w:val="single" w:sz="4" w:space="0" w:color="000000"/>
              <w:bottom w:val="single" w:sz="4" w:space="0" w:color="000000"/>
            </w:tcBorders>
          </w:tcPr>
          <w:p>
            <w:pPr>
              <w:pStyle w:val="TableParagraph"/>
              <w:spacing w:before="28"/>
              <w:ind w:right="62"/>
              <w:rPr>
                <w:b/>
                <w:sz w:val="14"/>
              </w:rPr>
            </w:pPr>
            <w:r>
              <w:rPr>
                <w:b/>
                <w:w w:val="99"/>
                <w:sz w:val="14"/>
              </w:rPr>
              <w:t>-</w:t>
            </w:r>
          </w:p>
        </w:tc>
      </w:tr>
      <w:tr>
        <w:trPr>
          <w:trHeight w:val="230" w:hRule="atLeast"/>
        </w:trPr>
        <w:tc>
          <w:tcPr>
            <w:tcW w:w="1186" w:type="dxa"/>
            <w:tcBorders>
              <w:top w:val="single" w:sz="4" w:space="0" w:color="000000"/>
              <w:bottom w:val="single" w:sz="4" w:space="0" w:color="000000"/>
            </w:tcBorders>
          </w:tcPr>
          <w:p>
            <w:pPr>
              <w:pStyle w:val="TableParagraph"/>
              <w:spacing w:before="28"/>
              <w:ind w:left="67"/>
              <w:jc w:val="left"/>
              <w:rPr>
                <w:sz w:val="14"/>
              </w:rPr>
            </w:pPr>
            <w:r>
              <w:rPr>
                <w:spacing w:val="-2"/>
                <w:sz w:val="14"/>
              </w:rPr>
              <w:t>Returned</w:t>
            </w:r>
          </w:p>
        </w:tc>
        <w:tc>
          <w:tcPr>
            <w:tcW w:w="678" w:type="dxa"/>
            <w:tcBorders>
              <w:top w:val="single" w:sz="4" w:space="0" w:color="000000"/>
              <w:bottom w:val="single" w:sz="4" w:space="0" w:color="000000"/>
            </w:tcBorders>
          </w:tcPr>
          <w:p>
            <w:pPr>
              <w:pStyle w:val="TableParagraph"/>
              <w:spacing w:before="28"/>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8"/>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8"/>
              <w:ind w:right="171"/>
              <w:rPr>
                <w:sz w:val="14"/>
              </w:rPr>
            </w:pPr>
            <w:r>
              <w:rPr>
                <w:w w:val="99"/>
                <w:sz w:val="14"/>
              </w:rPr>
              <w:t>-</w:t>
            </w:r>
          </w:p>
        </w:tc>
        <w:tc>
          <w:tcPr>
            <w:tcW w:w="557" w:type="dxa"/>
            <w:tcBorders>
              <w:top w:val="single" w:sz="4" w:space="0" w:color="000000"/>
              <w:bottom w:val="single" w:sz="4" w:space="0" w:color="000000"/>
            </w:tcBorders>
          </w:tcPr>
          <w:p>
            <w:pPr>
              <w:pStyle w:val="TableParagraph"/>
              <w:spacing w:before="28"/>
              <w:ind w:right="167"/>
              <w:rPr>
                <w:sz w:val="14"/>
              </w:rPr>
            </w:pPr>
            <w:r>
              <w:rPr>
                <w:w w:val="99"/>
                <w:sz w:val="14"/>
              </w:rPr>
              <w:t>-</w:t>
            </w:r>
          </w:p>
        </w:tc>
        <w:tc>
          <w:tcPr>
            <w:tcW w:w="583" w:type="dxa"/>
            <w:tcBorders>
              <w:top w:val="single" w:sz="4" w:space="0" w:color="000000"/>
              <w:bottom w:val="single" w:sz="4" w:space="0" w:color="000000"/>
            </w:tcBorders>
          </w:tcPr>
          <w:p>
            <w:pPr>
              <w:pStyle w:val="TableParagraph"/>
              <w:spacing w:before="28"/>
              <w:ind w:left="194"/>
              <w:jc w:val="center"/>
              <w:rPr>
                <w:sz w:val="14"/>
              </w:rPr>
            </w:pPr>
            <w:r>
              <w:rPr>
                <w:w w:val="99"/>
                <w:sz w:val="14"/>
              </w:rPr>
              <w:t>-</w:t>
            </w:r>
          </w:p>
        </w:tc>
        <w:tc>
          <w:tcPr>
            <w:tcW w:w="545" w:type="dxa"/>
            <w:tcBorders>
              <w:top w:val="single" w:sz="4" w:space="0" w:color="000000"/>
              <w:bottom w:val="single" w:sz="4" w:space="0" w:color="000000"/>
            </w:tcBorders>
          </w:tcPr>
          <w:p>
            <w:pPr>
              <w:pStyle w:val="TableParagraph"/>
              <w:spacing w:before="28"/>
              <w:ind w:right="128"/>
              <w:rPr>
                <w:sz w:val="14"/>
              </w:rPr>
            </w:pPr>
            <w:r>
              <w:rPr>
                <w:w w:val="99"/>
                <w:sz w:val="14"/>
              </w:rPr>
              <w:t>-</w:t>
            </w:r>
          </w:p>
        </w:tc>
        <w:tc>
          <w:tcPr>
            <w:tcW w:w="668" w:type="dxa"/>
            <w:tcBorders>
              <w:top w:val="single" w:sz="4" w:space="0" w:color="000000"/>
              <w:bottom w:val="single" w:sz="4" w:space="0" w:color="000000"/>
            </w:tcBorders>
          </w:tcPr>
          <w:p>
            <w:pPr>
              <w:pStyle w:val="TableParagraph"/>
              <w:spacing w:before="28"/>
              <w:ind w:right="200"/>
              <w:rPr>
                <w:sz w:val="14"/>
              </w:rPr>
            </w:pPr>
            <w:r>
              <w:rPr>
                <w:w w:val="99"/>
                <w:sz w:val="14"/>
              </w:rPr>
              <w:t>-</w:t>
            </w:r>
          </w:p>
        </w:tc>
        <w:tc>
          <w:tcPr>
            <w:tcW w:w="715" w:type="dxa"/>
            <w:tcBorders>
              <w:top w:val="single" w:sz="4" w:space="0" w:color="000000"/>
              <w:bottom w:val="single" w:sz="4" w:space="0" w:color="000000"/>
            </w:tcBorders>
          </w:tcPr>
          <w:p>
            <w:pPr>
              <w:pStyle w:val="TableParagraph"/>
              <w:spacing w:before="28"/>
              <w:ind w:right="176"/>
              <w:rPr>
                <w:sz w:val="14"/>
              </w:rPr>
            </w:pPr>
            <w:r>
              <w:rPr>
                <w:w w:val="99"/>
                <w:sz w:val="14"/>
              </w:rPr>
              <w:t>-</w:t>
            </w:r>
          </w:p>
        </w:tc>
        <w:tc>
          <w:tcPr>
            <w:tcW w:w="489" w:type="dxa"/>
            <w:tcBorders>
              <w:top w:val="single" w:sz="4" w:space="0" w:color="000000"/>
              <w:bottom w:val="single" w:sz="4" w:space="0" w:color="000000"/>
            </w:tcBorders>
          </w:tcPr>
          <w:p>
            <w:pPr>
              <w:pStyle w:val="TableParagraph"/>
              <w:spacing w:before="28"/>
              <w:ind w:right="69"/>
              <w:rPr>
                <w:sz w:val="14"/>
              </w:rPr>
            </w:pPr>
            <w:r>
              <w:rPr>
                <w:w w:val="99"/>
                <w:sz w:val="14"/>
              </w:rPr>
              <w:t>-</w:t>
            </w:r>
          </w:p>
        </w:tc>
        <w:tc>
          <w:tcPr>
            <w:tcW w:w="795" w:type="dxa"/>
            <w:tcBorders>
              <w:top w:val="single" w:sz="4" w:space="0" w:color="000000"/>
              <w:bottom w:val="single" w:sz="4" w:space="0" w:color="000000"/>
            </w:tcBorders>
          </w:tcPr>
          <w:p>
            <w:pPr>
              <w:pStyle w:val="TableParagraph"/>
              <w:spacing w:before="28"/>
              <w:ind w:right="129"/>
              <w:rPr>
                <w:i/>
                <w:sz w:val="14"/>
              </w:rPr>
            </w:pPr>
            <w:r>
              <w:rPr>
                <w:i/>
                <w:w w:val="99"/>
                <w:sz w:val="14"/>
              </w:rPr>
              <w:t>-</w:t>
            </w:r>
          </w:p>
        </w:tc>
        <w:tc>
          <w:tcPr>
            <w:tcW w:w="568" w:type="dxa"/>
            <w:tcBorders>
              <w:top w:val="single" w:sz="4" w:space="0" w:color="000000"/>
              <w:bottom w:val="single" w:sz="4" w:space="0" w:color="000000"/>
            </w:tcBorders>
          </w:tcPr>
          <w:p>
            <w:pPr>
              <w:pStyle w:val="TableParagraph"/>
              <w:spacing w:before="28"/>
              <w:ind w:right="102"/>
              <w:rPr>
                <w:sz w:val="14"/>
              </w:rPr>
            </w:pPr>
            <w:r>
              <w:rPr>
                <w:w w:val="99"/>
                <w:sz w:val="14"/>
              </w:rPr>
              <w:t>-</w:t>
            </w:r>
          </w:p>
        </w:tc>
        <w:tc>
          <w:tcPr>
            <w:tcW w:w="578" w:type="dxa"/>
            <w:tcBorders>
              <w:top w:val="single" w:sz="4" w:space="0" w:color="000000"/>
              <w:bottom w:val="single" w:sz="4" w:space="0" w:color="000000"/>
            </w:tcBorders>
          </w:tcPr>
          <w:p>
            <w:pPr>
              <w:pStyle w:val="TableParagraph"/>
              <w:spacing w:before="28"/>
              <w:ind w:right="89"/>
              <w:rPr>
                <w:sz w:val="14"/>
              </w:rPr>
            </w:pPr>
            <w:r>
              <w:rPr>
                <w:w w:val="99"/>
                <w:sz w:val="14"/>
              </w:rPr>
              <w:t>-</w:t>
            </w:r>
          </w:p>
        </w:tc>
        <w:tc>
          <w:tcPr>
            <w:tcW w:w="566" w:type="dxa"/>
            <w:tcBorders>
              <w:top w:val="single" w:sz="4" w:space="0" w:color="000000"/>
              <w:bottom w:val="single" w:sz="4" w:space="0" w:color="000000"/>
            </w:tcBorders>
          </w:tcPr>
          <w:p>
            <w:pPr>
              <w:pStyle w:val="TableParagraph"/>
              <w:spacing w:before="28"/>
              <w:ind w:right="65"/>
              <w:rPr>
                <w:sz w:val="14"/>
              </w:rPr>
            </w:pPr>
            <w:r>
              <w:rPr>
                <w:w w:val="99"/>
                <w:sz w:val="14"/>
              </w:rPr>
              <w:t>-</w:t>
            </w:r>
          </w:p>
        </w:tc>
        <w:tc>
          <w:tcPr>
            <w:tcW w:w="813" w:type="dxa"/>
            <w:tcBorders>
              <w:top w:val="single" w:sz="4" w:space="0" w:color="000000"/>
              <w:bottom w:val="single" w:sz="4" w:space="0" w:color="000000"/>
            </w:tcBorders>
          </w:tcPr>
          <w:p>
            <w:pPr>
              <w:pStyle w:val="TableParagraph"/>
              <w:spacing w:before="28"/>
              <w:ind w:right="138"/>
              <w:rPr>
                <w:i/>
                <w:sz w:val="14"/>
              </w:rPr>
            </w:pPr>
            <w:r>
              <w:rPr>
                <w:i/>
                <w:w w:val="99"/>
                <w:sz w:val="14"/>
              </w:rPr>
              <w:t>-</w:t>
            </w:r>
          </w:p>
        </w:tc>
        <w:tc>
          <w:tcPr>
            <w:tcW w:w="524" w:type="dxa"/>
            <w:tcBorders>
              <w:top w:val="single" w:sz="4" w:space="0" w:color="000000"/>
              <w:bottom w:val="single" w:sz="4" w:space="0" w:color="000000"/>
            </w:tcBorders>
          </w:tcPr>
          <w:p>
            <w:pPr>
              <w:pStyle w:val="TableParagraph"/>
              <w:spacing w:before="28"/>
              <w:ind w:right="62"/>
              <w:rPr>
                <w:b/>
                <w:sz w:val="14"/>
              </w:rPr>
            </w:pPr>
            <w:r>
              <w:rPr>
                <w:b/>
                <w:w w:val="99"/>
                <w:sz w:val="14"/>
              </w:rPr>
              <w:t>-</w:t>
            </w:r>
          </w:p>
        </w:tc>
      </w:tr>
      <w:tr>
        <w:trPr>
          <w:trHeight w:val="224" w:hRule="atLeast"/>
        </w:trPr>
        <w:tc>
          <w:tcPr>
            <w:tcW w:w="1186" w:type="dxa"/>
            <w:tcBorders>
              <w:top w:val="single" w:sz="4" w:space="0" w:color="000000"/>
              <w:bottom w:val="single" w:sz="12" w:space="0" w:color="000000"/>
            </w:tcBorders>
          </w:tcPr>
          <w:p>
            <w:pPr>
              <w:pStyle w:val="TableParagraph"/>
              <w:spacing w:before="23"/>
              <w:ind w:left="67"/>
              <w:jc w:val="left"/>
              <w:rPr>
                <w:b/>
                <w:sz w:val="14"/>
              </w:rPr>
            </w:pPr>
            <w:r>
              <w:rPr>
                <w:b/>
                <w:sz w:val="14"/>
              </w:rPr>
              <w:t>Proposed</w:t>
            </w:r>
            <w:r>
              <w:rPr>
                <w:b/>
                <w:spacing w:val="-6"/>
                <w:sz w:val="14"/>
              </w:rPr>
              <w:t> </w:t>
            </w:r>
            <w:r>
              <w:rPr>
                <w:b/>
                <w:spacing w:val="-4"/>
                <w:sz w:val="14"/>
              </w:rPr>
              <w:t>2023</w:t>
            </w:r>
          </w:p>
        </w:tc>
        <w:tc>
          <w:tcPr>
            <w:tcW w:w="678" w:type="dxa"/>
            <w:tcBorders>
              <w:top w:val="single" w:sz="4" w:space="0" w:color="000000"/>
              <w:bottom w:val="single" w:sz="12" w:space="0" w:color="000000"/>
            </w:tcBorders>
          </w:tcPr>
          <w:p>
            <w:pPr>
              <w:pStyle w:val="TableParagraph"/>
              <w:spacing w:before="23"/>
              <w:ind w:right="155"/>
              <w:rPr>
                <w:b/>
                <w:sz w:val="14"/>
              </w:rPr>
            </w:pPr>
            <w:r>
              <w:rPr>
                <w:b/>
                <w:w w:val="99"/>
                <w:sz w:val="14"/>
              </w:rPr>
              <w:t>1</w:t>
            </w:r>
          </w:p>
        </w:tc>
        <w:tc>
          <w:tcPr>
            <w:tcW w:w="607" w:type="dxa"/>
            <w:tcBorders>
              <w:top w:val="single" w:sz="4" w:space="0" w:color="000000"/>
              <w:bottom w:val="single" w:sz="12" w:space="0" w:color="000000"/>
            </w:tcBorders>
          </w:tcPr>
          <w:p>
            <w:pPr>
              <w:pStyle w:val="TableParagraph"/>
              <w:spacing w:before="23"/>
              <w:ind w:right="170"/>
              <w:rPr>
                <w:b/>
                <w:sz w:val="14"/>
              </w:rPr>
            </w:pPr>
            <w:r>
              <w:rPr>
                <w:b/>
                <w:w w:val="99"/>
                <w:sz w:val="14"/>
              </w:rPr>
              <w:t>-</w:t>
            </w:r>
          </w:p>
        </w:tc>
        <w:tc>
          <w:tcPr>
            <w:tcW w:w="563" w:type="dxa"/>
            <w:tcBorders>
              <w:top w:val="single" w:sz="4" w:space="0" w:color="000000"/>
              <w:bottom w:val="single" w:sz="12" w:space="0" w:color="000000"/>
            </w:tcBorders>
          </w:tcPr>
          <w:p>
            <w:pPr>
              <w:pStyle w:val="TableParagraph"/>
              <w:spacing w:before="23"/>
              <w:ind w:right="171"/>
              <w:rPr>
                <w:b/>
                <w:sz w:val="14"/>
              </w:rPr>
            </w:pPr>
            <w:r>
              <w:rPr>
                <w:b/>
                <w:w w:val="99"/>
                <w:sz w:val="14"/>
              </w:rPr>
              <w:t>-</w:t>
            </w:r>
          </w:p>
        </w:tc>
        <w:tc>
          <w:tcPr>
            <w:tcW w:w="557" w:type="dxa"/>
            <w:tcBorders>
              <w:top w:val="single" w:sz="4" w:space="0" w:color="000000"/>
              <w:bottom w:val="single" w:sz="12" w:space="0" w:color="000000"/>
            </w:tcBorders>
          </w:tcPr>
          <w:p>
            <w:pPr>
              <w:pStyle w:val="TableParagraph"/>
              <w:spacing w:before="23"/>
              <w:ind w:right="168"/>
              <w:rPr>
                <w:b/>
                <w:sz w:val="14"/>
              </w:rPr>
            </w:pPr>
            <w:r>
              <w:rPr>
                <w:b/>
                <w:w w:val="99"/>
                <w:sz w:val="14"/>
              </w:rPr>
              <w:t>1</w:t>
            </w:r>
          </w:p>
        </w:tc>
        <w:tc>
          <w:tcPr>
            <w:tcW w:w="583" w:type="dxa"/>
            <w:tcBorders>
              <w:top w:val="single" w:sz="4" w:space="0" w:color="000000"/>
              <w:bottom w:val="single" w:sz="12" w:space="0" w:color="000000"/>
            </w:tcBorders>
          </w:tcPr>
          <w:p>
            <w:pPr>
              <w:pStyle w:val="TableParagraph"/>
              <w:spacing w:before="23"/>
              <w:ind w:left="170"/>
              <w:jc w:val="center"/>
              <w:rPr>
                <w:b/>
                <w:sz w:val="14"/>
              </w:rPr>
            </w:pPr>
            <w:r>
              <w:rPr>
                <w:b/>
                <w:w w:val="99"/>
                <w:sz w:val="14"/>
              </w:rPr>
              <w:t>3</w:t>
            </w:r>
          </w:p>
        </w:tc>
        <w:tc>
          <w:tcPr>
            <w:tcW w:w="545" w:type="dxa"/>
            <w:tcBorders>
              <w:top w:val="single" w:sz="4" w:space="0" w:color="000000"/>
              <w:bottom w:val="single" w:sz="12" w:space="0" w:color="000000"/>
            </w:tcBorders>
          </w:tcPr>
          <w:p>
            <w:pPr>
              <w:pStyle w:val="TableParagraph"/>
              <w:spacing w:before="23"/>
              <w:ind w:right="129"/>
              <w:rPr>
                <w:b/>
                <w:sz w:val="14"/>
              </w:rPr>
            </w:pPr>
            <w:r>
              <w:rPr>
                <w:b/>
                <w:w w:val="99"/>
                <w:sz w:val="14"/>
              </w:rPr>
              <w:t>5</w:t>
            </w:r>
          </w:p>
        </w:tc>
        <w:tc>
          <w:tcPr>
            <w:tcW w:w="668" w:type="dxa"/>
            <w:tcBorders>
              <w:top w:val="single" w:sz="4" w:space="0" w:color="000000"/>
              <w:bottom w:val="single" w:sz="12" w:space="0" w:color="000000"/>
            </w:tcBorders>
          </w:tcPr>
          <w:p>
            <w:pPr>
              <w:pStyle w:val="TableParagraph"/>
              <w:spacing w:before="23"/>
              <w:ind w:right="201"/>
              <w:rPr>
                <w:b/>
                <w:sz w:val="14"/>
              </w:rPr>
            </w:pPr>
            <w:r>
              <w:rPr>
                <w:b/>
                <w:w w:val="99"/>
                <w:sz w:val="14"/>
              </w:rPr>
              <w:t>9</w:t>
            </w:r>
          </w:p>
        </w:tc>
        <w:tc>
          <w:tcPr>
            <w:tcW w:w="715" w:type="dxa"/>
            <w:tcBorders>
              <w:top w:val="single" w:sz="4" w:space="0" w:color="000000"/>
              <w:bottom w:val="single" w:sz="12" w:space="0" w:color="000000"/>
            </w:tcBorders>
          </w:tcPr>
          <w:p>
            <w:pPr>
              <w:pStyle w:val="TableParagraph"/>
              <w:spacing w:before="23"/>
              <w:ind w:right="169"/>
              <w:rPr>
                <w:b/>
                <w:sz w:val="14"/>
              </w:rPr>
            </w:pPr>
            <w:r>
              <w:rPr>
                <w:b/>
                <w:spacing w:val="-5"/>
                <w:sz w:val="14"/>
              </w:rPr>
              <w:t>13</w:t>
            </w:r>
          </w:p>
        </w:tc>
        <w:tc>
          <w:tcPr>
            <w:tcW w:w="489" w:type="dxa"/>
            <w:tcBorders>
              <w:top w:val="single" w:sz="4" w:space="0" w:color="000000"/>
              <w:bottom w:val="single" w:sz="12" w:space="0" w:color="000000"/>
            </w:tcBorders>
          </w:tcPr>
          <w:p>
            <w:pPr>
              <w:pStyle w:val="TableParagraph"/>
              <w:spacing w:before="23"/>
              <w:ind w:right="69"/>
              <w:rPr>
                <w:b/>
                <w:sz w:val="14"/>
              </w:rPr>
            </w:pPr>
            <w:r>
              <w:rPr>
                <w:b/>
                <w:w w:val="99"/>
                <w:sz w:val="14"/>
              </w:rPr>
              <w:t>-</w:t>
            </w:r>
          </w:p>
        </w:tc>
        <w:tc>
          <w:tcPr>
            <w:tcW w:w="795" w:type="dxa"/>
            <w:tcBorders>
              <w:top w:val="single" w:sz="4" w:space="0" w:color="000000"/>
              <w:bottom w:val="single" w:sz="12" w:space="0" w:color="000000"/>
            </w:tcBorders>
          </w:tcPr>
          <w:p>
            <w:pPr>
              <w:pStyle w:val="TableParagraph"/>
              <w:spacing w:before="23"/>
              <w:ind w:right="123"/>
              <w:rPr>
                <w:b/>
                <w:i/>
                <w:sz w:val="14"/>
              </w:rPr>
            </w:pPr>
            <w:r>
              <w:rPr>
                <w:b/>
                <w:i/>
                <w:spacing w:val="-5"/>
                <w:sz w:val="14"/>
              </w:rPr>
              <w:t>32</w:t>
            </w:r>
          </w:p>
        </w:tc>
        <w:tc>
          <w:tcPr>
            <w:tcW w:w="568" w:type="dxa"/>
            <w:tcBorders>
              <w:top w:val="single" w:sz="4" w:space="0" w:color="000000"/>
              <w:bottom w:val="single" w:sz="12" w:space="0" w:color="000000"/>
            </w:tcBorders>
          </w:tcPr>
          <w:p>
            <w:pPr>
              <w:pStyle w:val="TableParagraph"/>
              <w:spacing w:before="23"/>
              <w:ind w:right="102"/>
              <w:rPr>
                <w:b/>
                <w:sz w:val="14"/>
              </w:rPr>
            </w:pPr>
            <w:r>
              <w:rPr>
                <w:b/>
                <w:w w:val="99"/>
                <w:sz w:val="14"/>
              </w:rPr>
              <w:t>-</w:t>
            </w:r>
          </w:p>
        </w:tc>
        <w:tc>
          <w:tcPr>
            <w:tcW w:w="578" w:type="dxa"/>
            <w:tcBorders>
              <w:top w:val="single" w:sz="4" w:space="0" w:color="000000"/>
              <w:bottom w:val="single" w:sz="12" w:space="0" w:color="000000"/>
            </w:tcBorders>
          </w:tcPr>
          <w:p>
            <w:pPr>
              <w:pStyle w:val="TableParagraph"/>
              <w:spacing w:before="23"/>
              <w:ind w:right="90"/>
              <w:rPr>
                <w:b/>
                <w:sz w:val="14"/>
              </w:rPr>
            </w:pPr>
            <w:r>
              <w:rPr>
                <w:b/>
                <w:w w:val="99"/>
                <w:sz w:val="14"/>
              </w:rPr>
              <w:t>1</w:t>
            </w:r>
          </w:p>
        </w:tc>
        <w:tc>
          <w:tcPr>
            <w:tcW w:w="566" w:type="dxa"/>
            <w:tcBorders>
              <w:top w:val="single" w:sz="4" w:space="0" w:color="000000"/>
              <w:bottom w:val="single" w:sz="12" w:space="0" w:color="000000"/>
            </w:tcBorders>
          </w:tcPr>
          <w:p>
            <w:pPr>
              <w:pStyle w:val="TableParagraph"/>
              <w:spacing w:before="23"/>
              <w:ind w:right="59"/>
              <w:rPr>
                <w:b/>
                <w:sz w:val="14"/>
              </w:rPr>
            </w:pPr>
            <w:r>
              <w:rPr>
                <w:b/>
                <w:spacing w:val="-5"/>
                <w:sz w:val="14"/>
              </w:rPr>
              <w:t>10</w:t>
            </w:r>
          </w:p>
        </w:tc>
        <w:tc>
          <w:tcPr>
            <w:tcW w:w="813" w:type="dxa"/>
            <w:tcBorders>
              <w:top w:val="single" w:sz="4" w:space="0" w:color="000000"/>
              <w:bottom w:val="single" w:sz="12" w:space="0" w:color="000000"/>
            </w:tcBorders>
          </w:tcPr>
          <w:p>
            <w:pPr>
              <w:pStyle w:val="TableParagraph"/>
              <w:spacing w:before="23"/>
              <w:ind w:right="132"/>
              <w:rPr>
                <w:b/>
                <w:i/>
                <w:sz w:val="14"/>
              </w:rPr>
            </w:pPr>
            <w:r>
              <w:rPr>
                <w:b/>
                <w:i/>
                <w:spacing w:val="-5"/>
                <w:sz w:val="14"/>
              </w:rPr>
              <w:t>11</w:t>
            </w:r>
          </w:p>
        </w:tc>
        <w:tc>
          <w:tcPr>
            <w:tcW w:w="524" w:type="dxa"/>
            <w:tcBorders>
              <w:top w:val="single" w:sz="4" w:space="0" w:color="000000"/>
              <w:bottom w:val="single" w:sz="12" w:space="0" w:color="000000"/>
            </w:tcBorders>
          </w:tcPr>
          <w:p>
            <w:pPr>
              <w:pStyle w:val="TableParagraph"/>
              <w:spacing w:before="23"/>
              <w:ind w:right="56"/>
              <w:rPr>
                <w:b/>
                <w:sz w:val="14"/>
              </w:rPr>
            </w:pPr>
            <w:r>
              <w:rPr>
                <w:b/>
                <w:spacing w:val="-5"/>
                <w:sz w:val="14"/>
              </w:rPr>
              <w:t>43</w:t>
            </w:r>
          </w:p>
        </w:tc>
      </w:tr>
      <w:tr>
        <w:trPr>
          <w:trHeight w:val="571" w:hRule="atLeast"/>
        </w:trPr>
        <w:tc>
          <w:tcPr>
            <w:tcW w:w="1186" w:type="dxa"/>
            <w:tcBorders>
              <w:top w:val="single" w:sz="12" w:space="0" w:color="000000"/>
            </w:tcBorders>
          </w:tcPr>
          <w:p>
            <w:pPr>
              <w:pStyle w:val="TableParagraph"/>
              <w:spacing w:before="1"/>
              <w:jc w:val="left"/>
              <w:rPr>
                <w:b/>
                <w:sz w:val="19"/>
              </w:rPr>
            </w:pPr>
          </w:p>
          <w:p>
            <w:pPr>
              <w:pStyle w:val="TableParagraph"/>
              <w:spacing w:line="242" w:lineRule="auto"/>
              <w:ind w:left="67" w:right="232"/>
              <w:jc w:val="left"/>
              <w:rPr>
                <w:b/>
                <w:sz w:val="14"/>
              </w:rPr>
            </w:pPr>
            <w:r>
              <w:rPr>
                <w:b/>
                <w:sz w:val="14"/>
              </w:rPr>
              <w:t>GTA</w:t>
            </w:r>
            <w:r>
              <w:rPr>
                <w:b/>
                <w:spacing w:val="-9"/>
                <w:sz w:val="14"/>
              </w:rPr>
              <w:t> </w:t>
            </w:r>
            <w:r>
              <w:rPr>
                <w:b/>
                <w:sz w:val="14"/>
              </w:rPr>
              <w:t>Positions</w:t>
            </w:r>
            <w:r>
              <w:rPr>
                <w:b/>
                <w:spacing w:val="40"/>
                <w:sz w:val="14"/>
              </w:rPr>
              <w:t> </w:t>
            </w:r>
            <w:r>
              <w:rPr>
                <w:b/>
                <w:spacing w:val="-2"/>
                <w:sz w:val="14"/>
              </w:rPr>
              <w:t>(FTE)</w:t>
            </w:r>
          </w:p>
        </w:tc>
        <w:tc>
          <w:tcPr>
            <w:tcW w:w="678" w:type="dxa"/>
            <w:tcBorders>
              <w:top w:val="single" w:sz="12" w:space="0" w:color="000000"/>
            </w:tcBorders>
          </w:tcPr>
          <w:p>
            <w:pPr>
              <w:pStyle w:val="TableParagraph"/>
              <w:jc w:val="left"/>
              <w:rPr>
                <w:sz w:val="14"/>
              </w:rPr>
            </w:pPr>
          </w:p>
        </w:tc>
        <w:tc>
          <w:tcPr>
            <w:tcW w:w="607" w:type="dxa"/>
            <w:tcBorders>
              <w:top w:val="single" w:sz="12" w:space="0" w:color="000000"/>
            </w:tcBorders>
          </w:tcPr>
          <w:p>
            <w:pPr>
              <w:pStyle w:val="TableParagraph"/>
              <w:jc w:val="left"/>
              <w:rPr>
                <w:sz w:val="14"/>
              </w:rPr>
            </w:pPr>
          </w:p>
        </w:tc>
        <w:tc>
          <w:tcPr>
            <w:tcW w:w="563" w:type="dxa"/>
            <w:tcBorders>
              <w:top w:val="single" w:sz="12" w:space="0" w:color="000000"/>
            </w:tcBorders>
          </w:tcPr>
          <w:p>
            <w:pPr>
              <w:pStyle w:val="TableParagraph"/>
              <w:jc w:val="left"/>
              <w:rPr>
                <w:sz w:val="14"/>
              </w:rPr>
            </w:pPr>
          </w:p>
        </w:tc>
        <w:tc>
          <w:tcPr>
            <w:tcW w:w="557" w:type="dxa"/>
            <w:tcBorders>
              <w:top w:val="single" w:sz="12" w:space="0" w:color="000000"/>
            </w:tcBorders>
          </w:tcPr>
          <w:p>
            <w:pPr>
              <w:pStyle w:val="TableParagraph"/>
              <w:jc w:val="left"/>
              <w:rPr>
                <w:sz w:val="14"/>
              </w:rPr>
            </w:pPr>
          </w:p>
        </w:tc>
        <w:tc>
          <w:tcPr>
            <w:tcW w:w="583" w:type="dxa"/>
            <w:tcBorders>
              <w:top w:val="single" w:sz="12" w:space="0" w:color="000000"/>
            </w:tcBorders>
          </w:tcPr>
          <w:p>
            <w:pPr>
              <w:pStyle w:val="TableParagraph"/>
              <w:jc w:val="left"/>
              <w:rPr>
                <w:sz w:val="14"/>
              </w:rPr>
            </w:pPr>
          </w:p>
        </w:tc>
        <w:tc>
          <w:tcPr>
            <w:tcW w:w="545" w:type="dxa"/>
            <w:tcBorders>
              <w:top w:val="single" w:sz="12" w:space="0" w:color="000000"/>
            </w:tcBorders>
          </w:tcPr>
          <w:p>
            <w:pPr>
              <w:pStyle w:val="TableParagraph"/>
              <w:jc w:val="left"/>
              <w:rPr>
                <w:sz w:val="14"/>
              </w:rPr>
            </w:pPr>
          </w:p>
        </w:tc>
        <w:tc>
          <w:tcPr>
            <w:tcW w:w="668" w:type="dxa"/>
            <w:tcBorders>
              <w:top w:val="single" w:sz="12" w:space="0" w:color="000000"/>
            </w:tcBorders>
          </w:tcPr>
          <w:p>
            <w:pPr>
              <w:pStyle w:val="TableParagraph"/>
              <w:jc w:val="left"/>
              <w:rPr>
                <w:sz w:val="14"/>
              </w:rPr>
            </w:pPr>
          </w:p>
        </w:tc>
        <w:tc>
          <w:tcPr>
            <w:tcW w:w="715" w:type="dxa"/>
            <w:tcBorders>
              <w:top w:val="single" w:sz="12" w:space="0" w:color="000000"/>
            </w:tcBorders>
          </w:tcPr>
          <w:p>
            <w:pPr>
              <w:pStyle w:val="TableParagraph"/>
              <w:jc w:val="left"/>
              <w:rPr>
                <w:sz w:val="14"/>
              </w:rPr>
            </w:pPr>
          </w:p>
        </w:tc>
        <w:tc>
          <w:tcPr>
            <w:tcW w:w="489" w:type="dxa"/>
            <w:tcBorders>
              <w:top w:val="single" w:sz="12" w:space="0" w:color="000000"/>
            </w:tcBorders>
          </w:tcPr>
          <w:p>
            <w:pPr>
              <w:pStyle w:val="TableParagraph"/>
              <w:jc w:val="left"/>
              <w:rPr>
                <w:sz w:val="14"/>
              </w:rPr>
            </w:pPr>
          </w:p>
        </w:tc>
        <w:tc>
          <w:tcPr>
            <w:tcW w:w="795" w:type="dxa"/>
            <w:tcBorders>
              <w:top w:val="single" w:sz="12" w:space="0" w:color="000000"/>
            </w:tcBorders>
          </w:tcPr>
          <w:p>
            <w:pPr>
              <w:pStyle w:val="TableParagraph"/>
              <w:jc w:val="left"/>
              <w:rPr>
                <w:sz w:val="14"/>
              </w:rPr>
            </w:pPr>
          </w:p>
        </w:tc>
        <w:tc>
          <w:tcPr>
            <w:tcW w:w="568" w:type="dxa"/>
            <w:tcBorders>
              <w:top w:val="single" w:sz="12" w:space="0" w:color="000000"/>
            </w:tcBorders>
          </w:tcPr>
          <w:p>
            <w:pPr>
              <w:pStyle w:val="TableParagraph"/>
              <w:jc w:val="left"/>
              <w:rPr>
                <w:sz w:val="14"/>
              </w:rPr>
            </w:pPr>
          </w:p>
        </w:tc>
        <w:tc>
          <w:tcPr>
            <w:tcW w:w="578" w:type="dxa"/>
            <w:tcBorders>
              <w:top w:val="single" w:sz="12" w:space="0" w:color="000000"/>
            </w:tcBorders>
          </w:tcPr>
          <w:p>
            <w:pPr>
              <w:pStyle w:val="TableParagraph"/>
              <w:jc w:val="left"/>
              <w:rPr>
                <w:sz w:val="14"/>
              </w:rPr>
            </w:pPr>
          </w:p>
        </w:tc>
        <w:tc>
          <w:tcPr>
            <w:tcW w:w="566" w:type="dxa"/>
            <w:tcBorders>
              <w:top w:val="single" w:sz="12" w:space="0" w:color="000000"/>
            </w:tcBorders>
          </w:tcPr>
          <w:p>
            <w:pPr>
              <w:pStyle w:val="TableParagraph"/>
              <w:jc w:val="left"/>
              <w:rPr>
                <w:sz w:val="14"/>
              </w:rPr>
            </w:pPr>
          </w:p>
        </w:tc>
        <w:tc>
          <w:tcPr>
            <w:tcW w:w="813" w:type="dxa"/>
            <w:tcBorders>
              <w:top w:val="single" w:sz="12" w:space="0" w:color="000000"/>
            </w:tcBorders>
          </w:tcPr>
          <w:p>
            <w:pPr>
              <w:pStyle w:val="TableParagraph"/>
              <w:jc w:val="left"/>
              <w:rPr>
                <w:sz w:val="14"/>
              </w:rPr>
            </w:pPr>
          </w:p>
        </w:tc>
        <w:tc>
          <w:tcPr>
            <w:tcW w:w="524" w:type="dxa"/>
            <w:tcBorders>
              <w:top w:val="single" w:sz="12" w:space="0" w:color="000000"/>
            </w:tcBorders>
          </w:tcPr>
          <w:p>
            <w:pPr>
              <w:pStyle w:val="TableParagraph"/>
              <w:jc w:val="left"/>
              <w:rPr>
                <w:sz w:val="14"/>
              </w:rPr>
            </w:pPr>
          </w:p>
        </w:tc>
      </w:tr>
      <w:tr>
        <w:trPr>
          <w:trHeight w:val="204" w:hRule="atLeast"/>
        </w:trPr>
        <w:tc>
          <w:tcPr>
            <w:tcW w:w="1186" w:type="dxa"/>
            <w:tcBorders>
              <w:bottom w:val="single" w:sz="12" w:space="0" w:color="000000"/>
            </w:tcBorders>
          </w:tcPr>
          <w:p>
            <w:pPr>
              <w:pStyle w:val="TableParagraph"/>
              <w:spacing w:before="3"/>
              <w:ind w:left="67"/>
              <w:jc w:val="left"/>
              <w:rPr>
                <w:sz w:val="14"/>
              </w:rPr>
            </w:pPr>
            <w:r>
              <w:rPr>
                <w:w w:val="95"/>
                <w:sz w:val="14"/>
              </w:rPr>
              <w:t>Approved</w:t>
            </w:r>
            <w:r>
              <w:rPr>
                <w:spacing w:val="22"/>
                <w:sz w:val="14"/>
              </w:rPr>
              <w:t> </w:t>
            </w:r>
            <w:r>
              <w:rPr>
                <w:spacing w:val="-4"/>
                <w:sz w:val="14"/>
              </w:rPr>
              <w:t>2022</w:t>
            </w:r>
          </w:p>
        </w:tc>
        <w:tc>
          <w:tcPr>
            <w:tcW w:w="678" w:type="dxa"/>
            <w:tcBorders>
              <w:bottom w:val="single" w:sz="12" w:space="0" w:color="000000"/>
            </w:tcBorders>
          </w:tcPr>
          <w:p>
            <w:pPr>
              <w:pStyle w:val="TableParagraph"/>
              <w:spacing w:before="3"/>
              <w:ind w:right="154"/>
              <w:rPr>
                <w:sz w:val="14"/>
              </w:rPr>
            </w:pPr>
            <w:r>
              <w:rPr>
                <w:w w:val="99"/>
                <w:sz w:val="14"/>
              </w:rPr>
              <w:t>-</w:t>
            </w:r>
          </w:p>
        </w:tc>
        <w:tc>
          <w:tcPr>
            <w:tcW w:w="607" w:type="dxa"/>
            <w:tcBorders>
              <w:bottom w:val="single" w:sz="12" w:space="0" w:color="000000"/>
            </w:tcBorders>
          </w:tcPr>
          <w:p>
            <w:pPr>
              <w:pStyle w:val="TableParagraph"/>
              <w:spacing w:before="3"/>
              <w:ind w:right="170"/>
              <w:rPr>
                <w:sz w:val="14"/>
              </w:rPr>
            </w:pPr>
            <w:r>
              <w:rPr>
                <w:w w:val="99"/>
                <w:sz w:val="14"/>
              </w:rPr>
              <w:t>-</w:t>
            </w:r>
          </w:p>
        </w:tc>
        <w:tc>
          <w:tcPr>
            <w:tcW w:w="563" w:type="dxa"/>
            <w:tcBorders>
              <w:bottom w:val="single" w:sz="12" w:space="0" w:color="000000"/>
            </w:tcBorders>
          </w:tcPr>
          <w:p>
            <w:pPr>
              <w:pStyle w:val="TableParagraph"/>
              <w:spacing w:before="3"/>
              <w:ind w:right="171"/>
              <w:rPr>
                <w:sz w:val="14"/>
              </w:rPr>
            </w:pPr>
            <w:r>
              <w:rPr>
                <w:w w:val="99"/>
                <w:sz w:val="14"/>
              </w:rPr>
              <w:t>-</w:t>
            </w:r>
          </w:p>
        </w:tc>
        <w:tc>
          <w:tcPr>
            <w:tcW w:w="557" w:type="dxa"/>
            <w:tcBorders>
              <w:bottom w:val="single" w:sz="12" w:space="0" w:color="000000"/>
            </w:tcBorders>
          </w:tcPr>
          <w:p>
            <w:pPr>
              <w:pStyle w:val="TableParagraph"/>
              <w:spacing w:before="3"/>
              <w:ind w:right="167"/>
              <w:rPr>
                <w:sz w:val="14"/>
              </w:rPr>
            </w:pPr>
            <w:r>
              <w:rPr>
                <w:w w:val="99"/>
                <w:sz w:val="14"/>
              </w:rPr>
              <w:t>-</w:t>
            </w:r>
          </w:p>
        </w:tc>
        <w:tc>
          <w:tcPr>
            <w:tcW w:w="583" w:type="dxa"/>
            <w:tcBorders>
              <w:bottom w:val="single" w:sz="12" w:space="0" w:color="000000"/>
            </w:tcBorders>
          </w:tcPr>
          <w:p>
            <w:pPr>
              <w:pStyle w:val="TableParagraph"/>
              <w:spacing w:before="3"/>
              <w:ind w:left="194"/>
              <w:jc w:val="center"/>
              <w:rPr>
                <w:sz w:val="14"/>
              </w:rPr>
            </w:pPr>
            <w:r>
              <w:rPr>
                <w:w w:val="99"/>
                <w:sz w:val="14"/>
              </w:rPr>
              <w:t>-</w:t>
            </w:r>
          </w:p>
        </w:tc>
        <w:tc>
          <w:tcPr>
            <w:tcW w:w="545" w:type="dxa"/>
            <w:tcBorders>
              <w:bottom w:val="single" w:sz="12" w:space="0" w:color="000000"/>
            </w:tcBorders>
          </w:tcPr>
          <w:p>
            <w:pPr>
              <w:pStyle w:val="TableParagraph"/>
              <w:spacing w:before="3"/>
              <w:ind w:right="124"/>
              <w:rPr>
                <w:sz w:val="14"/>
              </w:rPr>
            </w:pPr>
            <w:r>
              <w:rPr>
                <w:spacing w:val="-4"/>
                <w:sz w:val="14"/>
              </w:rPr>
              <w:t>0.50</w:t>
            </w:r>
          </w:p>
        </w:tc>
        <w:tc>
          <w:tcPr>
            <w:tcW w:w="668" w:type="dxa"/>
            <w:tcBorders>
              <w:bottom w:val="single" w:sz="12" w:space="0" w:color="000000"/>
            </w:tcBorders>
          </w:tcPr>
          <w:p>
            <w:pPr>
              <w:pStyle w:val="TableParagraph"/>
              <w:spacing w:before="3"/>
              <w:ind w:right="197"/>
              <w:rPr>
                <w:sz w:val="14"/>
              </w:rPr>
            </w:pPr>
            <w:r>
              <w:rPr>
                <w:spacing w:val="-4"/>
                <w:sz w:val="14"/>
              </w:rPr>
              <w:t>0.50</w:t>
            </w:r>
          </w:p>
        </w:tc>
        <w:tc>
          <w:tcPr>
            <w:tcW w:w="715" w:type="dxa"/>
            <w:tcBorders>
              <w:bottom w:val="single" w:sz="12" w:space="0" w:color="000000"/>
            </w:tcBorders>
          </w:tcPr>
          <w:p>
            <w:pPr>
              <w:pStyle w:val="TableParagraph"/>
              <w:spacing w:before="3"/>
              <w:ind w:right="172"/>
              <w:rPr>
                <w:sz w:val="14"/>
              </w:rPr>
            </w:pPr>
            <w:r>
              <w:rPr>
                <w:spacing w:val="-4"/>
                <w:sz w:val="14"/>
              </w:rPr>
              <w:t>1.00</w:t>
            </w:r>
          </w:p>
        </w:tc>
        <w:tc>
          <w:tcPr>
            <w:tcW w:w="489" w:type="dxa"/>
            <w:tcBorders>
              <w:bottom w:val="single" w:sz="12" w:space="0" w:color="000000"/>
            </w:tcBorders>
          </w:tcPr>
          <w:p>
            <w:pPr>
              <w:pStyle w:val="TableParagraph"/>
              <w:spacing w:before="3"/>
              <w:ind w:right="69"/>
              <w:rPr>
                <w:sz w:val="14"/>
              </w:rPr>
            </w:pPr>
            <w:r>
              <w:rPr>
                <w:w w:val="99"/>
                <w:sz w:val="14"/>
              </w:rPr>
              <w:t>-</w:t>
            </w:r>
          </w:p>
        </w:tc>
        <w:tc>
          <w:tcPr>
            <w:tcW w:w="795" w:type="dxa"/>
            <w:tcBorders>
              <w:bottom w:val="single" w:sz="12" w:space="0" w:color="000000"/>
            </w:tcBorders>
          </w:tcPr>
          <w:p>
            <w:pPr>
              <w:pStyle w:val="TableParagraph"/>
              <w:spacing w:before="3"/>
              <w:ind w:right="126"/>
              <w:rPr>
                <w:i/>
                <w:sz w:val="14"/>
              </w:rPr>
            </w:pPr>
            <w:r>
              <w:rPr>
                <w:i/>
                <w:spacing w:val="-4"/>
                <w:sz w:val="14"/>
              </w:rPr>
              <w:t>2.00</w:t>
            </w:r>
          </w:p>
        </w:tc>
        <w:tc>
          <w:tcPr>
            <w:tcW w:w="568" w:type="dxa"/>
            <w:tcBorders>
              <w:bottom w:val="single" w:sz="12" w:space="0" w:color="000000"/>
            </w:tcBorders>
          </w:tcPr>
          <w:p>
            <w:pPr>
              <w:pStyle w:val="TableParagraph"/>
              <w:spacing w:before="3"/>
              <w:ind w:right="102"/>
              <w:rPr>
                <w:sz w:val="14"/>
              </w:rPr>
            </w:pPr>
            <w:r>
              <w:rPr>
                <w:w w:val="99"/>
                <w:sz w:val="14"/>
              </w:rPr>
              <w:t>-</w:t>
            </w:r>
          </w:p>
        </w:tc>
        <w:tc>
          <w:tcPr>
            <w:tcW w:w="578" w:type="dxa"/>
            <w:tcBorders>
              <w:bottom w:val="single" w:sz="12" w:space="0" w:color="000000"/>
            </w:tcBorders>
          </w:tcPr>
          <w:p>
            <w:pPr>
              <w:pStyle w:val="TableParagraph"/>
              <w:spacing w:before="3"/>
              <w:ind w:right="89"/>
              <w:rPr>
                <w:sz w:val="14"/>
              </w:rPr>
            </w:pPr>
            <w:r>
              <w:rPr>
                <w:w w:val="99"/>
                <w:sz w:val="14"/>
              </w:rPr>
              <w:t>-</w:t>
            </w:r>
          </w:p>
        </w:tc>
        <w:tc>
          <w:tcPr>
            <w:tcW w:w="566" w:type="dxa"/>
            <w:tcBorders>
              <w:bottom w:val="single" w:sz="12" w:space="0" w:color="000000"/>
            </w:tcBorders>
          </w:tcPr>
          <w:p>
            <w:pPr>
              <w:pStyle w:val="TableParagraph"/>
              <w:spacing w:before="3"/>
              <w:ind w:right="65"/>
              <w:rPr>
                <w:sz w:val="14"/>
              </w:rPr>
            </w:pPr>
            <w:r>
              <w:rPr>
                <w:w w:val="99"/>
                <w:sz w:val="14"/>
              </w:rPr>
              <w:t>-</w:t>
            </w:r>
          </w:p>
        </w:tc>
        <w:tc>
          <w:tcPr>
            <w:tcW w:w="813" w:type="dxa"/>
            <w:tcBorders>
              <w:bottom w:val="single" w:sz="12" w:space="0" w:color="000000"/>
            </w:tcBorders>
          </w:tcPr>
          <w:p>
            <w:pPr>
              <w:pStyle w:val="TableParagraph"/>
              <w:spacing w:before="3"/>
              <w:ind w:right="138"/>
              <w:rPr>
                <w:i/>
                <w:sz w:val="14"/>
              </w:rPr>
            </w:pPr>
            <w:r>
              <w:rPr>
                <w:i/>
                <w:w w:val="99"/>
                <w:sz w:val="14"/>
              </w:rPr>
              <w:t>-</w:t>
            </w:r>
          </w:p>
        </w:tc>
        <w:tc>
          <w:tcPr>
            <w:tcW w:w="524" w:type="dxa"/>
            <w:tcBorders>
              <w:bottom w:val="single" w:sz="12" w:space="0" w:color="000000"/>
            </w:tcBorders>
          </w:tcPr>
          <w:p>
            <w:pPr>
              <w:pStyle w:val="TableParagraph"/>
              <w:spacing w:before="3"/>
              <w:ind w:right="59"/>
              <w:rPr>
                <w:b/>
                <w:sz w:val="14"/>
              </w:rPr>
            </w:pPr>
            <w:r>
              <w:rPr>
                <w:b/>
                <w:spacing w:val="-4"/>
                <w:sz w:val="14"/>
              </w:rPr>
              <w:t>2.00</w:t>
            </w:r>
          </w:p>
        </w:tc>
      </w:tr>
      <w:tr>
        <w:trPr>
          <w:trHeight w:val="229" w:hRule="atLeast"/>
        </w:trPr>
        <w:tc>
          <w:tcPr>
            <w:tcW w:w="1186" w:type="dxa"/>
            <w:tcBorders>
              <w:top w:val="single" w:sz="12" w:space="0" w:color="000000"/>
              <w:bottom w:val="single" w:sz="4" w:space="0" w:color="000000"/>
            </w:tcBorders>
          </w:tcPr>
          <w:p>
            <w:pPr>
              <w:pStyle w:val="TableParagraph"/>
              <w:spacing w:before="28"/>
              <w:ind w:left="67"/>
              <w:jc w:val="left"/>
              <w:rPr>
                <w:sz w:val="14"/>
              </w:rPr>
            </w:pPr>
            <w:r>
              <w:rPr>
                <w:spacing w:val="-2"/>
                <w:sz w:val="14"/>
              </w:rPr>
              <w:t>Continued</w:t>
            </w:r>
          </w:p>
        </w:tc>
        <w:tc>
          <w:tcPr>
            <w:tcW w:w="678" w:type="dxa"/>
            <w:tcBorders>
              <w:top w:val="single" w:sz="12" w:space="0" w:color="000000"/>
              <w:bottom w:val="single" w:sz="4" w:space="0" w:color="000000"/>
            </w:tcBorders>
          </w:tcPr>
          <w:p>
            <w:pPr>
              <w:pStyle w:val="TableParagraph"/>
              <w:spacing w:before="28"/>
              <w:ind w:right="154"/>
              <w:rPr>
                <w:sz w:val="14"/>
              </w:rPr>
            </w:pPr>
            <w:r>
              <w:rPr>
                <w:w w:val="99"/>
                <w:sz w:val="14"/>
              </w:rPr>
              <w:t>-</w:t>
            </w:r>
          </w:p>
        </w:tc>
        <w:tc>
          <w:tcPr>
            <w:tcW w:w="607" w:type="dxa"/>
            <w:tcBorders>
              <w:top w:val="single" w:sz="12" w:space="0" w:color="000000"/>
              <w:bottom w:val="single" w:sz="4" w:space="0" w:color="000000"/>
            </w:tcBorders>
          </w:tcPr>
          <w:p>
            <w:pPr>
              <w:pStyle w:val="TableParagraph"/>
              <w:spacing w:before="28"/>
              <w:ind w:right="170"/>
              <w:rPr>
                <w:sz w:val="14"/>
              </w:rPr>
            </w:pPr>
            <w:r>
              <w:rPr>
                <w:w w:val="99"/>
                <w:sz w:val="14"/>
              </w:rPr>
              <w:t>-</w:t>
            </w:r>
          </w:p>
        </w:tc>
        <w:tc>
          <w:tcPr>
            <w:tcW w:w="563" w:type="dxa"/>
            <w:tcBorders>
              <w:top w:val="single" w:sz="12" w:space="0" w:color="000000"/>
              <w:bottom w:val="single" w:sz="4" w:space="0" w:color="000000"/>
            </w:tcBorders>
          </w:tcPr>
          <w:p>
            <w:pPr>
              <w:pStyle w:val="TableParagraph"/>
              <w:spacing w:before="28"/>
              <w:ind w:right="171"/>
              <w:rPr>
                <w:sz w:val="14"/>
              </w:rPr>
            </w:pPr>
            <w:r>
              <w:rPr>
                <w:w w:val="99"/>
                <w:sz w:val="14"/>
              </w:rPr>
              <w:t>-</w:t>
            </w:r>
          </w:p>
        </w:tc>
        <w:tc>
          <w:tcPr>
            <w:tcW w:w="557" w:type="dxa"/>
            <w:tcBorders>
              <w:top w:val="single" w:sz="12" w:space="0" w:color="000000"/>
              <w:bottom w:val="single" w:sz="4" w:space="0" w:color="000000"/>
            </w:tcBorders>
          </w:tcPr>
          <w:p>
            <w:pPr>
              <w:pStyle w:val="TableParagraph"/>
              <w:spacing w:before="28"/>
              <w:ind w:right="167"/>
              <w:rPr>
                <w:sz w:val="14"/>
              </w:rPr>
            </w:pPr>
            <w:r>
              <w:rPr>
                <w:w w:val="99"/>
                <w:sz w:val="14"/>
              </w:rPr>
              <w:t>-</w:t>
            </w:r>
          </w:p>
        </w:tc>
        <w:tc>
          <w:tcPr>
            <w:tcW w:w="583" w:type="dxa"/>
            <w:tcBorders>
              <w:top w:val="single" w:sz="12" w:space="0" w:color="000000"/>
              <w:bottom w:val="single" w:sz="4" w:space="0" w:color="000000"/>
            </w:tcBorders>
          </w:tcPr>
          <w:p>
            <w:pPr>
              <w:pStyle w:val="TableParagraph"/>
              <w:spacing w:before="28"/>
              <w:ind w:left="194"/>
              <w:jc w:val="center"/>
              <w:rPr>
                <w:sz w:val="14"/>
              </w:rPr>
            </w:pPr>
            <w:r>
              <w:rPr>
                <w:w w:val="99"/>
                <w:sz w:val="14"/>
              </w:rPr>
              <w:t>-</w:t>
            </w:r>
          </w:p>
        </w:tc>
        <w:tc>
          <w:tcPr>
            <w:tcW w:w="545" w:type="dxa"/>
            <w:tcBorders>
              <w:top w:val="single" w:sz="12" w:space="0" w:color="000000"/>
              <w:bottom w:val="single" w:sz="4" w:space="0" w:color="000000"/>
            </w:tcBorders>
          </w:tcPr>
          <w:p>
            <w:pPr>
              <w:pStyle w:val="TableParagraph"/>
              <w:spacing w:before="28"/>
              <w:ind w:right="124"/>
              <w:rPr>
                <w:sz w:val="14"/>
              </w:rPr>
            </w:pPr>
            <w:r>
              <w:rPr>
                <w:spacing w:val="-4"/>
                <w:sz w:val="14"/>
              </w:rPr>
              <w:t>1.00</w:t>
            </w:r>
          </w:p>
        </w:tc>
        <w:tc>
          <w:tcPr>
            <w:tcW w:w="668" w:type="dxa"/>
            <w:tcBorders>
              <w:top w:val="single" w:sz="12" w:space="0" w:color="000000"/>
              <w:bottom w:val="single" w:sz="4" w:space="0" w:color="000000"/>
            </w:tcBorders>
          </w:tcPr>
          <w:p>
            <w:pPr>
              <w:pStyle w:val="TableParagraph"/>
              <w:spacing w:before="28"/>
              <w:ind w:right="197"/>
              <w:rPr>
                <w:sz w:val="14"/>
              </w:rPr>
            </w:pPr>
            <w:r>
              <w:rPr>
                <w:spacing w:val="-4"/>
                <w:sz w:val="14"/>
              </w:rPr>
              <w:t>0.50</w:t>
            </w:r>
          </w:p>
        </w:tc>
        <w:tc>
          <w:tcPr>
            <w:tcW w:w="715" w:type="dxa"/>
            <w:tcBorders>
              <w:top w:val="single" w:sz="12" w:space="0" w:color="000000"/>
              <w:bottom w:val="single" w:sz="4" w:space="0" w:color="000000"/>
            </w:tcBorders>
          </w:tcPr>
          <w:p>
            <w:pPr>
              <w:pStyle w:val="TableParagraph"/>
              <w:spacing w:before="28"/>
              <w:ind w:right="172"/>
              <w:rPr>
                <w:sz w:val="14"/>
              </w:rPr>
            </w:pPr>
            <w:r>
              <w:rPr>
                <w:spacing w:val="-4"/>
                <w:sz w:val="14"/>
              </w:rPr>
              <w:t>1.00</w:t>
            </w:r>
          </w:p>
        </w:tc>
        <w:tc>
          <w:tcPr>
            <w:tcW w:w="489" w:type="dxa"/>
            <w:tcBorders>
              <w:top w:val="single" w:sz="12" w:space="0" w:color="000000"/>
              <w:bottom w:val="single" w:sz="4" w:space="0" w:color="000000"/>
            </w:tcBorders>
          </w:tcPr>
          <w:p>
            <w:pPr>
              <w:pStyle w:val="TableParagraph"/>
              <w:spacing w:before="28"/>
              <w:ind w:right="69"/>
              <w:rPr>
                <w:sz w:val="14"/>
              </w:rPr>
            </w:pPr>
            <w:r>
              <w:rPr>
                <w:w w:val="99"/>
                <w:sz w:val="14"/>
              </w:rPr>
              <w:t>-</w:t>
            </w:r>
          </w:p>
        </w:tc>
        <w:tc>
          <w:tcPr>
            <w:tcW w:w="795" w:type="dxa"/>
            <w:tcBorders>
              <w:top w:val="single" w:sz="12" w:space="0" w:color="000000"/>
              <w:bottom w:val="single" w:sz="4" w:space="0" w:color="000000"/>
            </w:tcBorders>
          </w:tcPr>
          <w:p>
            <w:pPr>
              <w:pStyle w:val="TableParagraph"/>
              <w:spacing w:before="28"/>
              <w:ind w:right="126"/>
              <w:rPr>
                <w:i/>
                <w:sz w:val="14"/>
              </w:rPr>
            </w:pPr>
            <w:r>
              <w:rPr>
                <w:i/>
                <w:spacing w:val="-4"/>
                <w:sz w:val="14"/>
              </w:rPr>
              <w:t>2.50</w:t>
            </w:r>
          </w:p>
        </w:tc>
        <w:tc>
          <w:tcPr>
            <w:tcW w:w="568" w:type="dxa"/>
            <w:tcBorders>
              <w:top w:val="single" w:sz="12" w:space="0" w:color="000000"/>
              <w:bottom w:val="single" w:sz="4" w:space="0" w:color="000000"/>
            </w:tcBorders>
          </w:tcPr>
          <w:p>
            <w:pPr>
              <w:pStyle w:val="TableParagraph"/>
              <w:spacing w:before="28"/>
              <w:ind w:right="102"/>
              <w:rPr>
                <w:sz w:val="14"/>
              </w:rPr>
            </w:pPr>
            <w:r>
              <w:rPr>
                <w:w w:val="99"/>
                <w:sz w:val="14"/>
              </w:rPr>
              <w:t>-</w:t>
            </w:r>
          </w:p>
        </w:tc>
        <w:tc>
          <w:tcPr>
            <w:tcW w:w="578" w:type="dxa"/>
            <w:tcBorders>
              <w:top w:val="single" w:sz="12" w:space="0" w:color="000000"/>
              <w:bottom w:val="single" w:sz="4" w:space="0" w:color="000000"/>
            </w:tcBorders>
          </w:tcPr>
          <w:p>
            <w:pPr>
              <w:pStyle w:val="TableParagraph"/>
              <w:spacing w:before="28"/>
              <w:ind w:right="89"/>
              <w:rPr>
                <w:sz w:val="14"/>
              </w:rPr>
            </w:pPr>
            <w:r>
              <w:rPr>
                <w:w w:val="99"/>
                <w:sz w:val="14"/>
              </w:rPr>
              <w:t>-</w:t>
            </w:r>
          </w:p>
        </w:tc>
        <w:tc>
          <w:tcPr>
            <w:tcW w:w="566" w:type="dxa"/>
            <w:tcBorders>
              <w:top w:val="single" w:sz="12" w:space="0" w:color="000000"/>
              <w:bottom w:val="single" w:sz="4" w:space="0" w:color="000000"/>
            </w:tcBorders>
          </w:tcPr>
          <w:p>
            <w:pPr>
              <w:pStyle w:val="TableParagraph"/>
              <w:spacing w:before="28"/>
              <w:ind w:right="65"/>
              <w:rPr>
                <w:sz w:val="14"/>
              </w:rPr>
            </w:pPr>
            <w:r>
              <w:rPr>
                <w:w w:val="99"/>
                <w:sz w:val="14"/>
              </w:rPr>
              <w:t>-</w:t>
            </w:r>
          </w:p>
        </w:tc>
        <w:tc>
          <w:tcPr>
            <w:tcW w:w="813" w:type="dxa"/>
            <w:tcBorders>
              <w:top w:val="single" w:sz="12" w:space="0" w:color="000000"/>
              <w:bottom w:val="single" w:sz="4" w:space="0" w:color="000000"/>
            </w:tcBorders>
          </w:tcPr>
          <w:p>
            <w:pPr>
              <w:pStyle w:val="TableParagraph"/>
              <w:spacing w:before="28"/>
              <w:ind w:right="138"/>
              <w:rPr>
                <w:i/>
                <w:sz w:val="14"/>
              </w:rPr>
            </w:pPr>
            <w:r>
              <w:rPr>
                <w:i/>
                <w:w w:val="99"/>
                <w:sz w:val="14"/>
              </w:rPr>
              <w:t>-</w:t>
            </w:r>
          </w:p>
        </w:tc>
        <w:tc>
          <w:tcPr>
            <w:tcW w:w="524" w:type="dxa"/>
            <w:tcBorders>
              <w:top w:val="single" w:sz="12" w:space="0" w:color="000000"/>
              <w:bottom w:val="single" w:sz="4" w:space="0" w:color="000000"/>
            </w:tcBorders>
          </w:tcPr>
          <w:p>
            <w:pPr>
              <w:pStyle w:val="TableParagraph"/>
              <w:spacing w:before="28"/>
              <w:ind w:right="59"/>
              <w:rPr>
                <w:b/>
                <w:sz w:val="14"/>
              </w:rPr>
            </w:pPr>
            <w:r>
              <w:rPr>
                <w:b/>
                <w:spacing w:val="-4"/>
                <w:sz w:val="14"/>
              </w:rPr>
              <w:t>2.50</w:t>
            </w:r>
          </w:p>
        </w:tc>
      </w:tr>
      <w:tr>
        <w:trPr>
          <w:trHeight w:val="225" w:hRule="atLeast"/>
        </w:trPr>
        <w:tc>
          <w:tcPr>
            <w:tcW w:w="1186" w:type="dxa"/>
            <w:tcBorders>
              <w:top w:val="single" w:sz="4" w:space="0" w:color="000000"/>
              <w:bottom w:val="single" w:sz="4" w:space="0" w:color="000000"/>
            </w:tcBorders>
          </w:tcPr>
          <w:p>
            <w:pPr>
              <w:pStyle w:val="TableParagraph"/>
              <w:spacing w:before="23"/>
              <w:ind w:left="67"/>
              <w:jc w:val="left"/>
              <w:rPr>
                <w:sz w:val="14"/>
              </w:rPr>
            </w:pPr>
            <w:r>
              <w:rPr>
                <w:spacing w:val="-5"/>
                <w:sz w:val="14"/>
              </w:rPr>
              <w:t>New</w:t>
            </w:r>
          </w:p>
        </w:tc>
        <w:tc>
          <w:tcPr>
            <w:tcW w:w="678" w:type="dxa"/>
            <w:tcBorders>
              <w:top w:val="single" w:sz="4" w:space="0" w:color="000000"/>
              <w:bottom w:val="single" w:sz="4" w:space="0" w:color="000000"/>
            </w:tcBorders>
          </w:tcPr>
          <w:p>
            <w:pPr>
              <w:pStyle w:val="TableParagraph"/>
              <w:spacing w:before="23"/>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3"/>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3"/>
              <w:ind w:right="171"/>
              <w:rPr>
                <w:sz w:val="14"/>
              </w:rPr>
            </w:pPr>
            <w:r>
              <w:rPr>
                <w:w w:val="99"/>
                <w:sz w:val="14"/>
              </w:rPr>
              <w:t>-</w:t>
            </w:r>
          </w:p>
        </w:tc>
        <w:tc>
          <w:tcPr>
            <w:tcW w:w="557" w:type="dxa"/>
            <w:tcBorders>
              <w:top w:val="single" w:sz="4" w:space="0" w:color="000000"/>
              <w:bottom w:val="single" w:sz="4" w:space="0" w:color="000000"/>
            </w:tcBorders>
          </w:tcPr>
          <w:p>
            <w:pPr>
              <w:pStyle w:val="TableParagraph"/>
              <w:spacing w:before="23"/>
              <w:ind w:right="167"/>
              <w:rPr>
                <w:sz w:val="14"/>
              </w:rPr>
            </w:pPr>
            <w:r>
              <w:rPr>
                <w:w w:val="99"/>
                <w:sz w:val="14"/>
              </w:rPr>
              <w:t>-</w:t>
            </w:r>
          </w:p>
        </w:tc>
        <w:tc>
          <w:tcPr>
            <w:tcW w:w="583" w:type="dxa"/>
            <w:tcBorders>
              <w:top w:val="single" w:sz="4" w:space="0" w:color="000000"/>
              <w:bottom w:val="single" w:sz="4" w:space="0" w:color="000000"/>
            </w:tcBorders>
          </w:tcPr>
          <w:p>
            <w:pPr>
              <w:pStyle w:val="TableParagraph"/>
              <w:spacing w:before="23"/>
              <w:ind w:left="157" w:right="156"/>
              <w:jc w:val="center"/>
              <w:rPr>
                <w:sz w:val="14"/>
              </w:rPr>
            </w:pPr>
            <w:r>
              <w:rPr>
                <w:spacing w:val="-4"/>
                <w:sz w:val="14"/>
              </w:rPr>
              <w:t>1.50</w:t>
            </w:r>
          </w:p>
        </w:tc>
        <w:tc>
          <w:tcPr>
            <w:tcW w:w="545" w:type="dxa"/>
            <w:tcBorders>
              <w:top w:val="single" w:sz="4" w:space="0" w:color="000000"/>
              <w:bottom w:val="single" w:sz="4" w:space="0" w:color="000000"/>
            </w:tcBorders>
          </w:tcPr>
          <w:p>
            <w:pPr>
              <w:pStyle w:val="TableParagraph"/>
              <w:spacing w:before="23"/>
              <w:ind w:right="124"/>
              <w:rPr>
                <w:sz w:val="14"/>
              </w:rPr>
            </w:pPr>
            <w:r>
              <w:rPr>
                <w:spacing w:val="-4"/>
                <w:sz w:val="14"/>
              </w:rPr>
              <w:t>1.50</w:t>
            </w:r>
          </w:p>
        </w:tc>
        <w:tc>
          <w:tcPr>
            <w:tcW w:w="668" w:type="dxa"/>
            <w:tcBorders>
              <w:top w:val="single" w:sz="4" w:space="0" w:color="000000"/>
              <w:bottom w:val="single" w:sz="4" w:space="0" w:color="000000"/>
            </w:tcBorders>
          </w:tcPr>
          <w:p>
            <w:pPr>
              <w:pStyle w:val="TableParagraph"/>
              <w:spacing w:before="23"/>
              <w:ind w:right="197"/>
              <w:rPr>
                <w:sz w:val="14"/>
              </w:rPr>
            </w:pPr>
            <w:r>
              <w:rPr>
                <w:spacing w:val="-4"/>
                <w:sz w:val="14"/>
              </w:rPr>
              <w:t>7.50</w:t>
            </w:r>
          </w:p>
        </w:tc>
        <w:tc>
          <w:tcPr>
            <w:tcW w:w="715" w:type="dxa"/>
            <w:tcBorders>
              <w:top w:val="single" w:sz="4" w:space="0" w:color="000000"/>
              <w:bottom w:val="single" w:sz="4" w:space="0" w:color="000000"/>
            </w:tcBorders>
          </w:tcPr>
          <w:p>
            <w:pPr>
              <w:pStyle w:val="TableParagraph"/>
              <w:spacing w:before="23"/>
              <w:ind w:right="172"/>
              <w:rPr>
                <w:sz w:val="14"/>
              </w:rPr>
            </w:pPr>
            <w:r>
              <w:rPr>
                <w:spacing w:val="-4"/>
                <w:sz w:val="14"/>
              </w:rPr>
              <w:t>5.75</w:t>
            </w:r>
          </w:p>
        </w:tc>
        <w:tc>
          <w:tcPr>
            <w:tcW w:w="489" w:type="dxa"/>
            <w:tcBorders>
              <w:top w:val="single" w:sz="4" w:space="0" w:color="000000"/>
              <w:bottom w:val="single" w:sz="4" w:space="0" w:color="000000"/>
            </w:tcBorders>
          </w:tcPr>
          <w:p>
            <w:pPr>
              <w:pStyle w:val="TableParagraph"/>
              <w:spacing w:before="23"/>
              <w:ind w:right="66"/>
              <w:rPr>
                <w:sz w:val="14"/>
              </w:rPr>
            </w:pPr>
            <w:r>
              <w:rPr>
                <w:spacing w:val="-4"/>
                <w:sz w:val="14"/>
              </w:rPr>
              <w:t>0.75</w:t>
            </w:r>
          </w:p>
        </w:tc>
        <w:tc>
          <w:tcPr>
            <w:tcW w:w="795" w:type="dxa"/>
            <w:tcBorders>
              <w:top w:val="single" w:sz="4" w:space="0" w:color="000000"/>
              <w:bottom w:val="single" w:sz="4" w:space="0" w:color="000000"/>
            </w:tcBorders>
          </w:tcPr>
          <w:p>
            <w:pPr>
              <w:pStyle w:val="TableParagraph"/>
              <w:spacing w:before="23"/>
              <w:ind w:right="127"/>
              <w:rPr>
                <w:i/>
                <w:sz w:val="14"/>
              </w:rPr>
            </w:pPr>
            <w:r>
              <w:rPr>
                <w:i/>
                <w:spacing w:val="-2"/>
                <w:sz w:val="14"/>
              </w:rPr>
              <w:t>17.00</w:t>
            </w:r>
          </w:p>
        </w:tc>
        <w:tc>
          <w:tcPr>
            <w:tcW w:w="568" w:type="dxa"/>
            <w:tcBorders>
              <w:top w:val="single" w:sz="4" w:space="0" w:color="000000"/>
              <w:bottom w:val="single" w:sz="4" w:space="0" w:color="000000"/>
            </w:tcBorders>
          </w:tcPr>
          <w:p>
            <w:pPr>
              <w:pStyle w:val="TableParagraph"/>
              <w:spacing w:before="23"/>
              <w:ind w:right="99"/>
              <w:rPr>
                <w:sz w:val="14"/>
              </w:rPr>
            </w:pPr>
            <w:r>
              <w:rPr>
                <w:spacing w:val="-4"/>
                <w:sz w:val="14"/>
              </w:rPr>
              <w:t>4.67</w:t>
            </w:r>
          </w:p>
        </w:tc>
        <w:tc>
          <w:tcPr>
            <w:tcW w:w="578" w:type="dxa"/>
            <w:tcBorders>
              <w:top w:val="single" w:sz="4" w:space="0" w:color="000000"/>
              <w:bottom w:val="single" w:sz="4" w:space="0" w:color="000000"/>
            </w:tcBorders>
          </w:tcPr>
          <w:p>
            <w:pPr>
              <w:pStyle w:val="TableParagraph"/>
              <w:spacing w:before="23"/>
              <w:ind w:right="89"/>
              <w:rPr>
                <w:sz w:val="14"/>
              </w:rPr>
            </w:pPr>
            <w:r>
              <w:rPr>
                <w:w w:val="99"/>
                <w:sz w:val="14"/>
              </w:rPr>
              <w:t>-</w:t>
            </w:r>
          </w:p>
        </w:tc>
        <w:tc>
          <w:tcPr>
            <w:tcW w:w="566" w:type="dxa"/>
            <w:tcBorders>
              <w:top w:val="single" w:sz="4" w:space="0" w:color="000000"/>
              <w:bottom w:val="single" w:sz="4" w:space="0" w:color="000000"/>
            </w:tcBorders>
          </w:tcPr>
          <w:p>
            <w:pPr>
              <w:pStyle w:val="TableParagraph"/>
              <w:spacing w:before="23"/>
              <w:ind w:right="61"/>
              <w:rPr>
                <w:sz w:val="14"/>
              </w:rPr>
            </w:pPr>
            <w:r>
              <w:rPr>
                <w:spacing w:val="-4"/>
                <w:sz w:val="14"/>
              </w:rPr>
              <w:t>6.00</w:t>
            </w:r>
          </w:p>
        </w:tc>
        <w:tc>
          <w:tcPr>
            <w:tcW w:w="813" w:type="dxa"/>
            <w:tcBorders>
              <w:top w:val="single" w:sz="4" w:space="0" w:color="000000"/>
              <w:bottom w:val="single" w:sz="4" w:space="0" w:color="000000"/>
            </w:tcBorders>
          </w:tcPr>
          <w:p>
            <w:pPr>
              <w:pStyle w:val="TableParagraph"/>
              <w:spacing w:before="23"/>
              <w:ind w:right="135"/>
              <w:rPr>
                <w:i/>
                <w:sz w:val="14"/>
              </w:rPr>
            </w:pPr>
            <w:r>
              <w:rPr>
                <w:i/>
                <w:spacing w:val="-2"/>
                <w:sz w:val="14"/>
              </w:rPr>
              <w:t>10.67</w:t>
            </w:r>
          </w:p>
        </w:tc>
        <w:tc>
          <w:tcPr>
            <w:tcW w:w="524" w:type="dxa"/>
            <w:tcBorders>
              <w:top w:val="single" w:sz="4" w:space="0" w:color="000000"/>
              <w:bottom w:val="single" w:sz="4" w:space="0" w:color="000000"/>
            </w:tcBorders>
          </w:tcPr>
          <w:p>
            <w:pPr>
              <w:pStyle w:val="TableParagraph"/>
              <w:spacing w:before="23"/>
              <w:ind w:right="59"/>
              <w:rPr>
                <w:b/>
                <w:sz w:val="14"/>
              </w:rPr>
            </w:pPr>
            <w:r>
              <w:rPr>
                <w:b/>
                <w:spacing w:val="-2"/>
                <w:sz w:val="14"/>
              </w:rPr>
              <w:t>27.67</w:t>
            </w:r>
          </w:p>
        </w:tc>
      </w:tr>
      <w:tr>
        <w:trPr>
          <w:trHeight w:val="225" w:hRule="atLeast"/>
        </w:trPr>
        <w:tc>
          <w:tcPr>
            <w:tcW w:w="1186" w:type="dxa"/>
            <w:tcBorders>
              <w:top w:val="single" w:sz="4" w:space="0" w:color="000000"/>
              <w:bottom w:val="single" w:sz="4" w:space="0" w:color="000000"/>
            </w:tcBorders>
          </w:tcPr>
          <w:p>
            <w:pPr>
              <w:pStyle w:val="TableParagraph"/>
              <w:spacing w:before="23"/>
              <w:ind w:left="67"/>
              <w:jc w:val="left"/>
              <w:rPr>
                <w:sz w:val="14"/>
              </w:rPr>
            </w:pPr>
            <w:r>
              <w:rPr>
                <w:spacing w:val="-2"/>
                <w:sz w:val="14"/>
              </w:rPr>
              <w:t>Redeployed</w:t>
            </w:r>
          </w:p>
        </w:tc>
        <w:tc>
          <w:tcPr>
            <w:tcW w:w="678" w:type="dxa"/>
            <w:tcBorders>
              <w:top w:val="single" w:sz="4" w:space="0" w:color="000000"/>
              <w:bottom w:val="single" w:sz="4" w:space="0" w:color="000000"/>
            </w:tcBorders>
          </w:tcPr>
          <w:p>
            <w:pPr>
              <w:pStyle w:val="TableParagraph"/>
              <w:spacing w:before="23"/>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3"/>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3"/>
              <w:ind w:right="171"/>
              <w:rPr>
                <w:sz w:val="14"/>
              </w:rPr>
            </w:pPr>
            <w:r>
              <w:rPr>
                <w:w w:val="99"/>
                <w:sz w:val="14"/>
              </w:rPr>
              <w:t>-</w:t>
            </w:r>
          </w:p>
        </w:tc>
        <w:tc>
          <w:tcPr>
            <w:tcW w:w="557" w:type="dxa"/>
            <w:tcBorders>
              <w:top w:val="single" w:sz="4" w:space="0" w:color="000000"/>
              <w:bottom w:val="single" w:sz="4" w:space="0" w:color="000000"/>
            </w:tcBorders>
          </w:tcPr>
          <w:p>
            <w:pPr>
              <w:pStyle w:val="TableParagraph"/>
              <w:spacing w:before="23"/>
              <w:ind w:right="167"/>
              <w:rPr>
                <w:sz w:val="14"/>
              </w:rPr>
            </w:pPr>
            <w:r>
              <w:rPr>
                <w:w w:val="99"/>
                <w:sz w:val="14"/>
              </w:rPr>
              <w:t>-</w:t>
            </w:r>
          </w:p>
        </w:tc>
        <w:tc>
          <w:tcPr>
            <w:tcW w:w="583" w:type="dxa"/>
            <w:tcBorders>
              <w:top w:val="single" w:sz="4" w:space="0" w:color="000000"/>
              <w:bottom w:val="single" w:sz="4" w:space="0" w:color="000000"/>
            </w:tcBorders>
          </w:tcPr>
          <w:p>
            <w:pPr>
              <w:pStyle w:val="TableParagraph"/>
              <w:spacing w:before="23"/>
              <w:ind w:left="194"/>
              <w:jc w:val="center"/>
              <w:rPr>
                <w:sz w:val="14"/>
              </w:rPr>
            </w:pPr>
            <w:r>
              <w:rPr>
                <w:w w:val="99"/>
                <w:sz w:val="14"/>
              </w:rPr>
              <w:t>-</w:t>
            </w:r>
          </w:p>
        </w:tc>
        <w:tc>
          <w:tcPr>
            <w:tcW w:w="545" w:type="dxa"/>
            <w:tcBorders>
              <w:top w:val="single" w:sz="4" w:space="0" w:color="000000"/>
              <w:bottom w:val="single" w:sz="4" w:space="0" w:color="000000"/>
            </w:tcBorders>
          </w:tcPr>
          <w:p>
            <w:pPr>
              <w:pStyle w:val="TableParagraph"/>
              <w:spacing w:before="23"/>
              <w:ind w:right="124"/>
              <w:rPr>
                <w:sz w:val="14"/>
              </w:rPr>
            </w:pPr>
            <w:r>
              <w:rPr>
                <w:spacing w:val="-4"/>
                <w:sz w:val="14"/>
              </w:rPr>
              <w:t>1.00</w:t>
            </w:r>
          </w:p>
        </w:tc>
        <w:tc>
          <w:tcPr>
            <w:tcW w:w="668" w:type="dxa"/>
            <w:tcBorders>
              <w:top w:val="single" w:sz="4" w:space="0" w:color="000000"/>
              <w:bottom w:val="single" w:sz="4" w:space="0" w:color="000000"/>
            </w:tcBorders>
          </w:tcPr>
          <w:p>
            <w:pPr>
              <w:pStyle w:val="TableParagraph"/>
              <w:spacing w:before="23"/>
              <w:ind w:right="197"/>
              <w:rPr>
                <w:sz w:val="14"/>
              </w:rPr>
            </w:pPr>
            <w:r>
              <w:rPr>
                <w:spacing w:val="-4"/>
                <w:sz w:val="14"/>
              </w:rPr>
              <w:t>1.00</w:t>
            </w:r>
          </w:p>
        </w:tc>
        <w:tc>
          <w:tcPr>
            <w:tcW w:w="715" w:type="dxa"/>
            <w:tcBorders>
              <w:top w:val="single" w:sz="4" w:space="0" w:color="000000"/>
              <w:bottom w:val="single" w:sz="4" w:space="0" w:color="000000"/>
            </w:tcBorders>
          </w:tcPr>
          <w:p>
            <w:pPr>
              <w:pStyle w:val="TableParagraph"/>
              <w:spacing w:before="23"/>
              <w:ind w:right="176"/>
              <w:rPr>
                <w:sz w:val="14"/>
              </w:rPr>
            </w:pPr>
            <w:r>
              <w:rPr>
                <w:w w:val="99"/>
                <w:sz w:val="14"/>
              </w:rPr>
              <w:t>-</w:t>
            </w:r>
          </w:p>
        </w:tc>
        <w:tc>
          <w:tcPr>
            <w:tcW w:w="489" w:type="dxa"/>
            <w:tcBorders>
              <w:top w:val="single" w:sz="4" w:space="0" w:color="000000"/>
              <w:bottom w:val="single" w:sz="4" w:space="0" w:color="000000"/>
            </w:tcBorders>
          </w:tcPr>
          <w:p>
            <w:pPr>
              <w:pStyle w:val="TableParagraph"/>
              <w:spacing w:before="23"/>
              <w:ind w:right="69"/>
              <w:rPr>
                <w:sz w:val="14"/>
              </w:rPr>
            </w:pPr>
            <w:r>
              <w:rPr>
                <w:w w:val="99"/>
                <w:sz w:val="14"/>
              </w:rPr>
              <w:t>-</w:t>
            </w:r>
          </w:p>
        </w:tc>
        <w:tc>
          <w:tcPr>
            <w:tcW w:w="795" w:type="dxa"/>
            <w:tcBorders>
              <w:top w:val="single" w:sz="4" w:space="0" w:color="000000"/>
              <w:bottom w:val="single" w:sz="4" w:space="0" w:color="000000"/>
            </w:tcBorders>
          </w:tcPr>
          <w:p>
            <w:pPr>
              <w:pStyle w:val="TableParagraph"/>
              <w:spacing w:before="23"/>
              <w:ind w:right="126"/>
              <w:rPr>
                <w:i/>
                <w:sz w:val="14"/>
              </w:rPr>
            </w:pPr>
            <w:r>
              <w:rPr>
                <w:i/>
                <w:spacing w:val="-4"/>
                <w:sz w:val="14"/>
              </w:rPr>
              <w:t>2.00</w:t>
            </w:r>
          </w:p>
        </w:tc>
        <w:tc>
          <w:tcPr>
            <w:tcW w:w="568" w:type="dxa"/>
            <w:tcBorders>
              <w:top w:val="single" w:sz="4" w:space="0" w:color="000000"/>
              <w:bottom w:val="single" w:sz="4" w:space="0" w:color="000000"/>
            </w:tcBorders>
          </w:tcPr>
          <w:p>
            <w:pPr>
              <w:pStyle w:val="TableParagraph"/>
              <w:spacing w:before="23"/>
              <w:ind w:right="102"/>
              <w:rPr>
                <w:sz w:val="14"/>
              </w:rPr>
            </w:pPr>
            <w:r>
              <w:rPr>
                <w:w w:val="99"/>
                <w:sz w:val="14"/>
              </w:rPr>
              <w:t>-</w:t>
            </w:r>
          </w:p>
        </w:tc>
        <w:tc>
          <w:tcPr>
            <w:tcW w:w="578" w:type="dxa"/>
            <w:tcBorders>
              <w:top w:val="single" w:sz="4" w:space="0" w:color="000000"/>
              <w:bottom w:val="single" w:sz="4" w:space="0" w:color="000000"/>
            </w:tcBorders>
          </w:tcPr>
          <w:p>
            <w:pPr>
              <w:pStyle w:val="TableParagraph"/>
              <w:spacing w:before="23"/>
              <w:ind w:right="89"/>
              <w:rPr>
                <w:sz w:val="14"/>
              </w:rPr>
            </w:pPr>
            <w:r>
              <w:rPr>
                <w:w w:val="99"/>
                <w:sz w:val="14"/>
              </w:rPr>
              <w:t>-</w:t>
            </w:r>
          </w:p>
        </w:tc>
        <w:tc>
          <w:tcPr>
            <w:tcW w:w="566" w:type="dxa"/>
            <w:tcBorders>
              <w:top w:val="single" w:sz="4" w:space="0" w:color="000000"/>
              <w:bottom w:val="single" w:sz="4" w:space="0" w:color="000000"/>
            </w:tcBorders>
          </w:tcPr>
          <w:p>
            <w:pPr>
              <w:pStyle w:val="TableParagraph"/>
              <w:spacing w:before="23"/>
              <w:ind w:right="65"/>
              <w:rPr>
                <w:sz w:val="14"/>
              </w:rPr>
            </w:pPr>
            <w:r>
              <w:rPr>
                <w:w w:val="99"/>
                <w:sz w:val="14"/>
              </w:rPr>
              <w:t>-</w:t>
            </w:r>
          </w:p>
        </w:tc>
        <w:tc>
          <w:tcPr>
            <w:tcW w:w="813" w:type="dxa"/>
            <w:tcBorders>
              <w:top w:val="single" w:sz="4" w:space="0" w:color="000000"/>
              <w:bottom w:val="single" w:sz="4" w:space="0" w:color="000000"/>
            </w:tcBorders>
          </w:tcPr>
          <w:p>
            <w:pPr>
              <w:pStyle w:val="TableParagraph"/>
              <w:spacing w:before="23"/>
              <w:ind w:right="138"/>
              <w:rPr>
                <w:i/>
                <w:sz w:val="14"/>
              </w:rPr>
            </w:pPr>
            <w:r>
              <w:rPr>
                <w:i/>
                <w:w w:val="99"/>
                <w:sz w:val="14"/>
              </w:rPr>
              <w:t>-</w:t>
            </w:r>
          </w:p>
        </w:tc>
        <w:tc>
          <w:tcPr>
            <w:tcW w:w="524" w:type="dxa"/>
            <w:tcBorders>
              <w:top w:val="single" w:sz="4" w:space="0" w:color="000000"/>
              <w:bottom w:val="single" w:sz="4" w:space="0" w:color="000000"/>
            </w:tcBorders>
          </w:tcPr>
          <w:p>
            <w:pPr>
              <w:pStyle w:val="TableParagraph"/>
              <w:spacing w:before="23"/>
              <w:ind w:right="59"/>
              <w:rPr>
                <w:b/>
                <w:sz w:val="14"/>
              </w:rPr>
            </w:pPr>
            <w:r>
              <w:rPr>
                <w:b/>
                <w:spacing w:val="-4"/>
                <w:sz w:val="14"/>
              </w:rPr>
              <w:t>2.00</w:t>
            </w:r>
          </w:p>
        </w:tc>
      </w:tr>
      <w:tr>
        <w:trPr>
          <w:trHeight w:val="230" w:hRule="atLeast"/>
        </w:trPr>
        <w:tc>
          <w:tcPr>
            <w:tcW w:w="1186" w:type="dxa"/>
            <w:tcBorders>
              <w:top w:val="single" w:sz="4" w:space="0" w:color="000000"/>
              <w:bottom w:val="single" w:sz="4" w:space="0" w:color="000000"/>
            </w:tcBorders>
          </w:tcPr>
          <w:p>
            <w:pPr>
              <w:pStyle w:val="TableParagraph"/>
              <w:spacing w:before="28"/>
              <w:ind w:left="67"/>
              <w:jc w:val="left"/>
              <w:rPr>
                <w:sz w:val="14"/>
              </w:rPr>
            </w:pPr>
            <w:r>
              <w:rPr>
                <w:spacing w:val="-2"/>
                <w:sz w:val="14"/>
              </w:rPr>
              <w:t>Reclassified</w:t>
            </w:r>
          </w:p>
        </w:tc>
        <w:tc>
          <w:tcPr>
            <w:tcW w:w="678" w:type="dxa"/>
            <w:tcBorders>
              <w:top w:val="single" w:sz="4" w:space="0" w:color="000000"/>
              <w:bottom w:val="single" w:sz="4" w:space="0" w:color="000000"/>
            </w:tcBorders>
          </w:tcPr>
          <w:p>
            <w:pPr>
              <w:pStyle w:val="TableParagraph"/>
              <w:spacing w:before="28"/>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8"/>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8"/>
              <w:ind w:right="171"/>
              <w:rPr>
                <w:sz w:val="14"/>
              </w:rPr>
            </w:pPr>
            <w:r>
              <w:rPr>
                <w:w w:val="99"/>
                <w:sz w:val="14"/>
              </w:rPr>
              <w:t>-</w:t>
            </w:r>
          </w:p>
        </w:tc>
        <w:tc>
          <w:tcPr>
            <w:tcW w:w="557" w:type="dxa"/>
            <w:tcBorders>
              <w:top w:val="single" w:sz="4" w:space="0" w:color="000000"/>
              <w:bottom w:val="single" w:sz="4" w:space="0" w:color="000000"/>
            </w:tcBorders>
          </w:tcPr>
          <w:p>
            <w:pPr>
              <w:pStyle w:val="TableParagraph"/>
              <w:spacing w:before="28"/>
              <w:ind w:right="167"/>
              <w:rPr>
                <w:sz w:val="14"/>
              </w:rPr>
            </w:pPr>
            <w:r>
              <w:rPr>
                <w:w w:val="99"/>
                <w:sz w:val="14"/>
              </w:rPr>
              <w:t>-</w:t>
            </w:r>
          </w:p>
        </w:tc>
        <w:tc>
          <w:tcPr>
            <w:tcW w:w="583" w:type="dxa"/>
            <w:tcBorders>
              <w:top w:val="single" w:sz="4" w:space="0" w:color="000000"/>
              <w:bottom w:val="single" w:sz="4" w:space="0" w:color="000000"/>
            </w:tcBorders>
          </w:tcPr>
          <w:p>
            <w:pPr>
              <w:pStyle w:val="TableParagraph"/>
              <w:spacing w:before="28"/>
              <w:ind w:left="194"/>
              <w:jc w:val="center"/>
              <w:rPr>
                <w:sz w:val="14"/>
              </w:rPr>
            </w:pPr>
            <w:r>
              <w:rPr>
                <w:w w:val="99"/>
                <w:sz w:val="14"/>
              </w:rPr>
              <w:t>-</w:t>
            </w:r>
          </w:p>
        </w:tc>
        <w:tc>
          <w:tcPr>
            <w:tcW w:w="545" w:type="dxa"/>
            <w:tcBorders>
              <w:top w:val="single" w:sz="4" w:space="0" w:color="000000"/>
              <w:bottom w:val="single" w:sz="4" w:space="0" w:color="000000"/>
            </w:tcBorders>
          </w:tcPr>
          <w:p>
            <w:pPr>
              <w:pStyle w:val="TableParagraph"/>
              <w:spacing w:before="28"/>
              <w:ind w:right="128"/>
              <w:rPr>
                <w:sz w:val="14"/>
              </w:rPr>
            </w:pPr>
            <w:r>
              <w:rPr>
                <w:w w:val="99"/>
                <w:sz w:val="14"/>
              </w:rPr>
              <w:t>-</w:t>
            </w:r>
          </w:p>
        </w:tc>
        <w:tc>
          <w:tcPr>
            <w:tcW w:w="668" w:type="dxa"/>
            <w:tcBorders>
              <w:top w:val="single" w:sz="4" w:space="0" w:color="000000"/>
              <w:bottom w:val="single" w:sz="4" w:space="0" w:color="000000"/>
            </w:tcBorders>
          </w:tcPr>
          <w:p>
            <w:pPr>
              <w:pStyle w:val="TableParagraph"/>
              <w:spacing w:before="28"/>
              <w:ind w:right="200"/>
              <w:rPr>
                <w:sz w:val="14"/>
              </w:rPr>
            </w:pPr>
            <w:r>
              <w:rPr>
                <w:w w:val="99"/>
                <w:sz w:val="14"/>
              </w:rPr>
              <w:t>-</w:t>
            </w:r>
          </w:p>
        </w:tc>
        <w:tc>
          <w:tcPr>
            <w:tcW w:w="715" w:type="dxa"/>
            <w:tcBorders>
              <w:top w:val="single" w:sz="4" w:space="0" w:color="000000"/>
              <w:bottom w:val="single" w:sz="4" w:space="0" w:color="000000"/>
            </w:tcBorders>
          </w:tcPr>
          <w:p>
            <w:pPr>
              <w:pStyle w:val="TableParagraph"/>
              <w:spacing w:before="28"/>
              <w:ind w:right="176"/>
              <w:rPr>
                <w:sz w:val="14"/>
              </w:rPr>
            </w:pPr>
            <w:r>
              <w:rPr>
                <w:w w:val="99"/>
                <w:sz w:val="14"/>
              </w:rPr>
              <w:t>-</w:t>
            </w:r>
          </w:p>
        </w:tc>
        <w:tc>
          <w:tcPr>
            <w:tcW w:w="489" w:type="dxa"/>
            <w:tcBorders>
              <w:top w:val="single" w:sz="4" w:space="0" w:color="000000"/>
              <w:bottom w:val="single" w:sz="4" w:space="0" w:color="000000"/>
            </w:tcBorders>
          </w:tcPr>
          <w:p>
            <w:pPr>
              <w:pStyle w:val="TableParagraph"/>
              <w:spacing w:before="28"/>
              <w:ind w:right="69"/>
              <w:rPr>
                <w:sz w:val="14"/>
              </w:rPr>
            </w:pPr>
            <w:r>
              <w:rPr>
                <w:w w:val="99"/>
                <w:sz w:val="14"/>
              </w:rPr>
              <w:t>-</w:t>
            </w:r>
          </w:p>
        </w:tc>
        <w:tc>
          <w:tcPr>
            <w:tcW w:w="795" w:type="dxa"/>
            <w:tcBorders>
              <w:top w:val="single" w:sz="4" w:space="0" w:color="000000"/>
              <w:bottom w:val="single" w:sz="4" w:space="0" w:color="000000"/>
            </w:tcBorders>
          </w:tcPr>
          <w:p>
            <w:pPr>
              <w:pStyle w:val="TableParagraph"/>
              <w:spacing w:before="28"/>
              <w:ind w:right="129"/>
              <w:rPr>
                <w:i/>
                <w:sz w:val="14"/>
              </w:rPr>
            </w:pPr>
            <w:r>
              <w:rPr>
                <w:i/>
                <w:w w:val="99"/>
                <w:sz w:val="14"/>
              </w:rPr>
              <w:t>-</w:t>
            </w:r>
          </w:p>
        </w:tc>
        <w:tc>
          <w:tcPr>
            <w:tcW w:w="568" w:type="dxa"/>
            <w:tcBorders>
              <w:top w:val="single" w:sz="4" w:space="0" w:color="000000"/>
              <w:bottom w:val="single" w:sz="4" w:space="0" w:color="000000"/>
            </w:tcBorders>
          </w:tcPr>
          <w:p>
            <w:pPr>
              <w:pStyle w:val="TableParagraph"/>
              <w:spacing w:before="28"/>
              <w:ind w:right="102"/>
              <w:rPr>
                <w:sz w:val="14"/>
              </w:rPr>
            </w:pPr>
            <w:r>
              <w:rPr>
                <w:w w:val="99"/>
                <w:sz w:val="14"/>
              </w:rPr>
              <w:t>-</w:t>
            </w:r>
          </w:p>
        </w:tc>
        <w:tc>
          <w:tcPr>
            <w:tcW w:w="578" w:type="dxa"/>
            <w:tcBorders>
              <w:top w:val="single" w:sz="4" w:space="0" w:color="000000"/>
              <w:bottom w:val="single" w:sz="4" w:space="0" w:color="000000"/>
            </w:tcBorders>
          </w:tcPr>
          <w:p>
            <w:pPr>
              <w:pStyle w:val="TableParagraph"/>
              <w:spacing w:before="28"/>
              <w:ind w:right="89"/>
              <w:rPr>
                <w:sz w:val="14"/>
              </w:rPr>
            </w:pPr>
            <w:r>
              <w:rPr>
                <w:w w:val="99"/>
                <w:sz w:val="14"/>
              </w:rPr>
              <w:t>-</w:t>
            </w:r>
          </w:p>
        </w:tc>
        <w:tc>
          <w:tcPr>
            <w:tcW w:w="566" w:type="dxa"/>
            <w:tcBorders>
              <w:top w:val="single" w:sz="4" w:space="0" w:color="000000"/>
              <w:bottom w:val="single" w:sz="4" w:space="0" w:color="000000"/>
            </w:tcBorders>
          </w:tcPr>
          <w:p>
            <w:pPr>
              <w:pStyle w:val="TableParagraph"/>
              <w:spacing w:before="28"/>
              <w:ind w:right="65"/>
              <w:rPr>
                <w:sz w:val="14"/>
              </w:rPr>
            </w:pPr>
            <w:r>
              <w:rPr>
                <w:w w:val="99"/>
                <w:sz w:val="14"/>
              </w:rPr>
              <w:t>-</w:t>
            </w:r>
          </w:p>
        </w:tc>
        <w:tc>
          <w:tcPr>
            <w:tcW w:w="813" w:type="dxa"/>
            <w:tcBorders>
              <w:top w:val="single" w:sz="4" w:space="0" w:color="000000"/>
              <w:bottom w:val="single" w:sz="4" w:space="0" w:color="000000"/>
            </w:tcBorders>
          </w:tcPr>
          <w:p>
            <w:pPr>
              <w:pStyle w:val="TableParagraph"/>
              <w:spacing w:before="28"/>
              <w:ind w:right="138"/>
              <w:rPr>
                <w:i/>
                <w:sz w:val="14"/>
              </w:rPr>
            </w:pPr>
            <w:r>
              <w:rPr>
                <w:i/>
                <w:w w:val="99"/>
                <w:sz w:val="14"/>
              </w:rPr>
              <w:t>-</w:t>
            </w:r>
          </w:p>
        </w:tc>
        <w:tc>
          <w:tcPr>
            <w:tcW w:w="524" w:type="dxa"/>
            <w:tcBorders>
              <w:top w:val="single" w:sz="4" w:space="0" w:color="000000"/>
              <w:bottom w:val="single" w:sz="4" w:space="0" w:color="000000"/>
            </w:tcBorders>
          </w:tcPr>
          <w:p>
            <w:pPr>
              <w:pStyle w:val="TableParagraph"/>
              <w:spacing w:before="28"/>
              <w:ind w:right="62"/>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3"/>
              <w:ind w:left="67"/>
              <w:jc w:val="left"/>
              <w:rPr>
                <w:sz w:val="14"/>
              </w:rPr>
            </w:pPr>
            <w:r>
              <w:rPr>
                <w:spacing w:val="-2"/>
                <w:sz w:val="14"/>
              </w:rPr>
              <w:t>Converted</w:t>
            </w:r>
          </w:p>
        </w:tc>
        <w:tc>
          <w:tcPr>
            <w:tcW w:w="678" w:type="dxa"/>
            <w:tcBorders>
              <w:top w:val="single" w:sz="4" w:space="0" w:color="000000"/>
              <w:bottom w:val="single" w:sz="4" w:space="0" w:color="000000"/>
            </w:tcBorders>
          </w:tcPr>
          <w:p>
            <w:pPr>
              <w:pStyle w:val="TableParagraph"/>
              <w:spacing w:before="23"/>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3"/>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3"/>
              <w:ind w:right="171"/>
              <w:rPr>
                <w:sz w:val="14"/>
              </w:rPr>
            </w:pPr>
            <w:r>
              <w:rPr>
                <w:w w:val="99"/>
                <w:sz w:val="14"/>
              </w:rPr>
              <w:t>-</w:t>
            </w:r>
          </w:p>
        </w:tc>
        <w:tc>
          <w:tcPr>
            <w:tcW w:w="557" w:type="dxa"/>
            <w:tcBorders>
              <w:top w:val="single" w:sz="4" w:space="0" w:color="000000"/>
              <w:bottom w:val="single" w:sz="4" w:space="0" w:color="000000"/>
            </w:tcBorders>
          </w:tcPr>
          <w:p>
            <w:pPr>
              <w:pStyle w:val="TableParagraph"/>
              <w:spacing w:before="23"/>
              <w:ind w:right="167"/>
              <w:rPr>
                <w:sz w:val="14"/>
              </w:rPr>
            </w:pPr>
            <w:r>
              <w:rPr>
                <w:w w:val="99"/>
                <w:sz w:val="14"/>
              </w:rPr>
              <w:t>-</w:t>
            </w:r>
          </w:p>
        </w:tc>
        <w:tc>
          <w:tcPr>
            <w:tcW w:w="583" w:type="dxa"/>
            <w:tcBorders>
              <w:top w:val="single" w:sz="4" w:space="0" w:color="000000"/>
              <w:bottom w:val="single" w:sz="4" w:space="0" w:color="000000"/>
            </w:tcBorders>
          </w:tcPr>
          <w:p>
            <w:pPr>
              <w:pStyle w:val="TableParagraph"/>
              <w:spacing w:before="23"/>
              <w:ind w:left="194"/>
              <w:jc w:val="center"/>
              <w:rPr>
                <w:sz w:val="14"/>
              </w:rPr>
            </w:pPr>
            <w:r>
              <w:rPr>
                <w:w w:val="99"/>
                <w:sz w:val="14"/>
              </w:rPr>
              <w:t>-</w:t>
            </w:r>
          </w:p>
        </w:tc>
        <w:tc>
          <w:tcPr>
            <w:tcW w:w="545" w:type="dxa"/>
            <w:tcBorders>
              <w:top w:val="single" w:sz="4" w:space="0" w:color="000000"/>
              <w:bottom w:val="single" w:sz="4" w:space="0" w:color="000000"/>
            </w:tcBorders>
          </w:tcPr>
          <w:p>
            <w:pPr>
              <w:pStyle w:val="TableParagraph"/>
              <w:spacing w:before="23"/>
              <w:ind w:right="128"/>
              <w:rPr>
                <w:sz w:val="14"/>
              </w:rPr>
            </w:pPr>
            <w:r>
              <w:rPr>
                <w:w w:val="99"/>
                <w:sz w:val="14"/>
              </w:rPr>
              <w:t>-</w:t>
            </w:r>
          </w:p>
        </w:tc>
        <w:tc>
          <w:tcPr>
            <w:tcW w:w="668" w:type="dxa"/>
            <w:tcBorders>
              <w:top w:val="single" w:sz="4" w:space="0" w:color="000000"/>
              <w:bottom w:val="single" w:sz="4" w:space="0" w:color="000000"/>
            </w:tcBorders>
          </w:tcPr>
          <w:p>
            <w:pPr>
              <w:pStyle w:val="TableParagraph"/>
              <w:spacing w:before="23"/>
              <w:ind w:right="196"/>
              <w:rPr>
                <w:sz w:val="14"/>
              </w:rPr>
            </w:pPr>
            <w:r>
              <w:rPr>
                <w:spacing w:val="-2"/>
                <w:sz w:val="14"/>
              </w:rPr>
              <w:t>(1.00)</w:t>
            </w:r>
          </w:p>
        </w:tc>
        <w:tc>
          <w:tcPr>
            <w:tcW w:w="715" w:type="dxa"/>
            <w:tcBorders>
              <w:top w:val="single" w:sz="4" w:space="0" w:color="000000"/>
              <w:bottom w:val="single" w:sz="4" w:space="0" w:color="000000"/>
            </w:tcBorders>
          </w:tcPr>
          <w:p>
            <w:pPr>
              <w:pStyle w:val="TableParagraph"/>
              <w:spacing w:before="23"/>
              <w:ind w:right="172"/>
              <w:rPr>
                <w:sz w:val="14"/>
              </w:rPr>
            </w:pPr>
            <w:r>
              <w:rPr>
                <w:spacing w:val="-2"/>
                <w:sz w:val="14"/>
              </w:rPr>
              <w:t>(1.00)</w:t>
            </w:r>
          </w:p>
        </w:tc>
        <w:tc>
          <w:tcPr>
            <w:tcW w:w="489" w:type="dxa"/>
            <w:tcBorders>
              <w:top w:val="single" w:sz="4" w:space="0" w:color="000000"/>
              <w:bottom w:val="single" w:sz="4" w:space="0" w:color="000000"/>
            </w:tcBorders>
          </w:tcPr>
          <w:p>
            <w:pPr>
              <w:pStyle w:val="TableParagraph"/>
              <w:spacing w:before="23"/>
              <w:ind w:right="69"/>
              <w:rPr>
                <w:sz w:val="14"/>
              </w:rPr>
            </w:pPr>
            <w:r>
              <w:rPr>
                <w:w w:val="99"/>
                <w:sz w:val="14"/>
              </w:rPr>
              <w:t>-</w:t>
            </w:r>
          </w:p>
        </w:tc>
        <w:tc>
          <w:tcPr>
            <w:tcW w:w="795" w:type="dxa"/>
            <w:tcBorders>
              <w:top w:val="single" w:sz="4" w:space="0" w:color="000000"/>
              <w:bottom w:val="single" w:sz="4" w:space="0" w:color="000000"/>
            </w:tcBorders>
          </w:tcPr>
          <w:p>
            <w:pPr>
              <w:pStyle w:val="TableParagraph"/>
              <w:spacing w:before="23"/>
              <w:ind w:right="126"/>
              <w:rPr>
                <w:i/>
                <w:sz w:val="14"/>
              </w:rPr>
            </w:pPr>
            <w:r>
              <w:rPr>
                <w:i/>
                <w:spacing w:val="-2"/>
                <w:sz w:val="14"/>
              </w:rPr>
              <w:t>(2.00)</w:t>
            </w:r>
          </w:p>
        </w:tc>
        <w:tc>
          <w:tcPr>
            <w:tcW w:w="568" w:type="dxa"/>
            <w:tcBorders>
              <w:top w:val="single" w:sz="4" w:space="0" w:color="000000"/>
              <w:bottom w:val="single" w:sz="4" w:space="0" w:color="000000"/>
            </w:tcBorders>
          </w:tcPr>
          <w:p>
            <w:pPr>
              <w:pStyle w:val="TableParagraph"/>
              <w:spacing w:before="23"/>
              <w:ind w:right="102"/>
              <w:rPr>
                <w:sz w:val="14"/>
              </w:rPr>
            </w:pPr>
            <w:r>
              <w:rPr>
                <w:w w:val="99"/>
                <w:sz w:val="14"/>
              </w:rPr>
              <w:t>-</w:t>
            </w:r>
          </w:p>
        </w:tc>
        <w:tc>
          <w:tcPr>
            <w:tcW w:w="578" w:type="dxa"/>
            <w:tcBorders>
              <w:top w:val="single" w:sz="4" w:space="0" w:color="000000"/>
              <w:bottom w:val="single" w:sz="4" w:space="0" w:color="000000"/>
            </w:tcBorders>
          </w:tcPr>
          <w:p>
            <w:pPr>
              <w:pStyle w:val="TableParagraph"/>
              <w:spacing w:before="23"/>
              <w:ind w:right="89"/>
              <w:rPr>
                <w:sz w:val="14"/>
              </w:rPr>
            </w:pPr>
            <w:r>
              <w:rPr>
                <w:w w:val="99"/>
                <w:sz w:val="14"/>
              </w:rPr>
              <w:t>-</w:t>
            </w:r>
          </w:p>
        </w:tc>
        <w:tc>
          <w:tcPr>
            <w:tcW w:w="566" w:type="dxa"/>
            <w:tcBorders>
              <w:top w:val="single" w:sz="4" w:space="0" w:color="000000"/>
              <w:bottom w:val="single" w:sz="4" w:space="0" w:color="000000"/>
            </w:tcBorders>
          </w:tcPr>
          <w:p>
            <w:pPr>
              <w:pStyle w:val="TableParagraph"/>
              <w:spacing w:before="23"/>
              <w:ind w:right="65"/>
              <w:rPr>
                <w:sz w:val="14"/>
              </w:rPr>
            </w:pPr>
            <w:r>
              <w:rPr>
                <w:w w:val="99"/>
                <w:sz w:val="14"/>
              </w:rPr>
              <w:t>-</w:t>
            </w:r>
          </w:p>
        </w:tc>
        <w:tc>
          <w:tcPr>
            <w:tcW w:w="813" w:type="dxa"/>
            <w:tcBorders>
              <w:top w:val="single" w:sz="4" w:space="0" w:color="000000"/>
              <w:bottom w:val="single" w:sz="4" w:space="0" w:color="000000"/>
            </w:tcBorders>
          </w:tcPr>
          <w:p>
            <w:pPr>
              <w:pStyle w:val="TableParagraph"/>
              <w:spacing w:before="23"/>
              <w:ind w:right="138"/>
              <w:rPr>
                <w:i/>
                <w:sz w:val="14"/>
              </w:rPr>
            </w:pPr>
            <w:r>
              <w:rPr>
                <w:i/>
                <w:w w:val="99"/>
                <w:sz w:val="14"/>
              </w:rPr>
              <w:t>-</w:t>
            </w:r>
          </w:p>
        </w:tc>
        <w:tc>
          <w:tcPr>
            <w:tcW w:w="524" w:type="dxa"/>
            <w:tcBorders>
              <w:top w:val="single" w:sz="4" w:space="0" w:color="000000"/>
              <w:bottom w:val="single" w:sz="4" w:space="0" w:color="000000"/>
            </w:tcBorders>
          </w:tcPr>
          <w:p>
            <w:pPr>
              <w:pStyle w:val="TableParagraph"/>
              <w:spacing w:before="23"/>
              <w:ind w:right="58"/>
              <w:rPr>
                <w:b/>
                <w:sz w:val="14"/>
              </w:rPr>
            </w:pPr>
            <w:r>
              <w:rPr>
                <w:b/>
                <w:spacing w:val="-2"/>
                <w:sz w:val="14"/>
              </w:rPr>
              <w:t>(2.00)</w:t>
            </w:r>
          </w:p>
        </w:tc>
      </w:tr>
      <w:tr>
        <w:trPr>
          <w:trHeight w:val="229" w:hRule="atLeast"/>
        </w:trPr>
        <w:tc>
          <w:tcPr>
            <w:tcW w:w="1186" w:type="dxa"/>
            <w:tcBorders>
              <w:top w:val="single" w:sz="4" w:space="0" w:color="000000"/>
              <w:bottom w:val="single" w:sz="12" w:space="0" w:color="000000"/>
            </w:tcBorders>
          </w:tcPr>
          <w:p>
            <w:pPr>
              <w:pStyle w:val="TableParagraph"/>
              <w:spacing w:before="28"/>
              <w:ind w:left="67"/>
              <w:jc w:val="left"/>
              <w:rPr>
                <w:b/>
                <w:sz w:val="14"/>
              </w:rPr>
            </w:pPr>
            <w:r>
              <w:rPr>
                <w:b/>
                <w:sz w:val="14"/>
              </w:rPr>
              <w:t>Proposed</w:t>
            </w:r>
            <w:r>
              <w:rPr>
                <w:b/>
                <w:spacing w:val="-6"/>
                <w:sz w:val="14"/>
              </w:rPr>
              <w:t> </w:t>
            </w:r>
            <w:r>
              <w:rPr>
                <w:b/>
                <w:spacing w:val="-4"/>
                <w:sz w:val="14"/>
              </w:rPr>
              <w:t>2023</w:t>
            </w:r>
          </w:p>
        </w:tc>
        <w:tc>
          <w:tcPr>
            <w:tcW w:w="678" w:type="dxa"/>
            <w:tcBorders>
              <w:top w:val="single" w:sz="4" w:space="0" w:color="000000"/>
              <w:bottom w:val="single" w:sz="12" w:space="0" w:color="000000"/>
            </w:tcBorders>
          </w:tcPr>
          <w:p>
            <w:pPr>
              <w:pStyle w:val="TableParagraph"/>
              <w:spacing w:before="28"/>
              <w:ind w:right="154"/>
              <w:rPr>
                <w:b/>
                <w:sz w:val="14"/>
              </w:rPr>
            </w:pPr>
            <w:r>
              <w:rPr>
                <w:b/>
                <w:w w:val="99"/>
                <w:sz w:val="14"/>
              </w:rPr>
              <w:t>-</w:t>
            </w:r>
          </w:p>
        </w:tc>
        <w:tc>
          <w:tcPr>
            <w:tcW w:w="607" w:type="dxa"/>
            <w:tcBorders>
              <w:top w:val="single" w:sz="4" w:space="0" w:color="000000"/>
              <w:bottom w:val="single" w:sz="12" w:space="0" w:color="000000"/>
            </w:tcBorders>
          </w:tcPr>
          <w:p>
            <w:pPr>
              <w:pStyle w:val="TableParagraph"/>
              <w:spacing w:before="28"/>
              <w:ind w:right="170"/>
              <w:rPr>
                <w:b/>
                <w:sz w:val="14"/>
              </w:rPr>
            </w:pPr>
            <w:r>
              <w:rPr>
                <w:b/>
                <w:w w:val="99"/>
                <w:sz w:val="14"/>
              </w:rPr>
              <w:t>-</w:t>
            </w:r>
          </w:p>
        </w:tc>
        <w:tc>
          <w:tcPr>
            <w:tcW w:w="563" w:type="dxa"/>
            <w:tcBorders>
              <w:top w:val="single" w:sz="4" w:space="0" w:color="000000"/>
              <w:bottom w:val="single" w:sz="12" w:space="0" w:color="000000"/>
            </w:tcBorders>
          </w:tcPr>
          <w:p>
            <w:pPr>
              <w:pStyle w:val="TableParagraph"/>
              <w:spacing w:before="28"/>
              <w:ind w:right="171"/>
              <w:rPr>
                <w:b/>
                <w:sz w:val="14"/>
              </w:rPr>
            </w:pPr>
            <w:r>
              <w:rPr>
                <w:b/>
                <w:w w:val="99"/>
                <w:sz w:val="14"/>
              </w:rPr>
              <w:t>-</w:t>
            </w:r>
          </w:p>
        </w:tc>
        <w:tc>
          <w:tcPr>
            <w:tcW w:w="557" w:type="dxa"/>
            <w:tcBorders>
              <w:top w:val="single" w:sz="4" w:space="0" w:color="000000"/>
              <w:bottom w:val="single" w:sz="12" w:space="0" w:color="000000"/>
            </w:tcBorders>
          </w:tcPr>
          <w:p>
            <w:pPr>
              <w:pStyle w:val="TableParagraph"/>
              <w:spacing w:before="28"/>
              <w:ind w:right="167"/>
              <w:rPr>
                <w:b/>
                <w:sz w:val="14"/>
              </w:rPr>
            </w:pPr>
            <w:r>
              <w:rPr>
                <w:b/>
                <w:w w:val="99"/>
                <w:sz w:val="14"/>
              </w:rPr>
              <w:t>-</w:t>
            </w:r>
          </w:p>
        </w:tc>
        <w:tc>
          <w:tcPr>
            <w:tcW w:w="583" w:type="dxa"/>
            <w:tcBorders>
              <w:top w:val="single" w:sz="4" w:space="0" w:color="000000"/>
              <w:bottom w:val="single" w:sz="12" w:space="0" w:color="000000"/>
            </w:tcBorders>
          </w:tcPr>
          <w:p>
            <w:pPr>
              <w:pStyle w:val="TableParagraph"/>
              <w:spacing w:before="28"/>
              <w:ind w:left="157" w:right="156"/>
              <w:jc w:val="center"/>
              <w:rPr>
                <w:b/>
                <w:sz w:val="14"/>
              </w:rPr>
            </w:pPr>
            <w:r>
              <w:rPr>
                <w:b/>
                <w:spacing w:val="-4"/>
                <w:sz w:val="14"/>
              </w:rPr>
              <w:t>1.50</w:t>
            </w:r>
          </w:p>
        </w:tc>
        <w:tc>
          <w:tcPr>
            <w:tcW w:w="545" w:type="dxa"/>
            <w:tcBorders>
              <w:top w:val="single" w:sz="4" w:space="0" w:color="000000"/>
              <w:bottom w:val="single" w:sz="12" w:space="0" w:color="000000"/>
            </w:tcBorders>
          </w:tcPr>
          <w:p>
            <w:pPr>
              <w:pStyle w:val="TableParagraph"/>
              <w:spacing w:before="28"/>
              <w:ind w:right="124"/>
              <w:rPr>
                <w:b/>
                <w:sz w:val="14"/>
              </w:rPr>
            </w:pPr>
            <w:r>
              <w:rPr>
                <w:b/>
                <w:spacing w:val="-4"/>
                <w:sz w:val="14"/>
              </w:rPr>
              <w:t>3.50</w:t>
            </w:r>
          </w:p>
        </w:tc>
        <w:tc>
          <w:tcPr>
            <w:tcW w:w="668" w:type="dxa"/>
            <w:tcBorders>
              <w:top w:val="single" w:sz="4" w:space="0" w:color="000000"/>
              <w:bottom w:val="single" w:sz="12" w:space="0" w:color="000000"/>
            </w:tcBorders>
          </w:tcPr>
          <w:p>
            <w:pPr>
              <w:pStyle w:val="TableParagraph"/>
              <w:spacing w:before="28"/>
              <w:ind w:right="197"/>
              <w:rPr>
                <w:b/>
                <w:sz w:val="14"/>
              </w:rPr>
            </w:pPr>
            <w:r>
              <w:rPr>
                <w:b/>
                <w:spacing w:val="-4"/>
                <w:sz w:val="14"/>
              </w:rPr>
              <w:t>8.00</w:t>
            </w:r>
          </w:p>
        </w:tc>
        <w:tc>
          <w:tcPr>
            <w:tcW w:w="715" w:type="dxa"/>
            <w:tcBorders>
              <w:top w:val="single" w:sz="4" w:space="0" w:color="000000"/>
              <w:bottom w:val="single" w:sz="12" w:space="0" w:color="000000"/>
            </w:tcBorders>
          </w:tcPr>
          <w:p>
            <w:pPr>
              <w:pStyle w:val="TableParagraph"/>
              <w:spacing w:before="28"/>
              <w:ind w:right="172"/>
              <w:rPr>
                <w:b/>
                <w:sz w:val="14"/>
              </w:rPr>
            </w:pPr>
            <w:r>
              <w:rPr>
                <w:b/>
                <w:spacing w:val="-4"/>
                <w:sz w:val="14"/>
              </w:rPr>
              <w:t>5.75</w:t>
            </w:r>
          </w:p>
        </w:tc>
        <w:tc>
          <w:tcPr>
            <w:tcW w:w="489" w:type="dxa"/>
            <w:tcBorders>
              <w:top w:val="single" w:sz="4" w:space="0" w:color="000000"/>
              <w:bottom w:val="single" w:sz="12" w:space="0" w:color="000000"/>
            </w:tcBorders>
          </w:tcPr>
          <w:p>
            <w:pPr>
              <w:pStyle w:val="TableParagraph"/>
              <w:spacing w:before="28"/>
              <w:ind w:right="66"/>
              <w:rPr>
                <w:b/>
                <w:sz w:val="14"/>
              </w:rPr>
            </w:pPr>
            <w:r>
              <w:rPr>
                <w:b/>
                <w:spacing w:val="-4"/>
                <w:sz w:val="14"/>
              </w:rPr>
              <w:t>0.75</w:t>
            </w:r>
          </w:p>
        </w:tc>
        <w:tc>
          <w:tcPr>
            <w:tcW w:w="795" w:type="dxa"/>
            <w:tcBorders>
              <w:top w:val="single" w:sz="4" w:space="0" w:color="000000"/>
              <w:bottom w:val="single" w:sz="12" w:space="0" w:color="000000"/>
            </w:tcBorders>
          </w:tcPr>
          <w:p>
            <w:pPr>
              <w:pStyle w:val="TableParagraph"/>
              <w:spacing w:before="28"/>
              <w:ind w:right="127"/>
              <w:rPr>
                <w:b/>
                <w:i/>
                <w:sz w:val="14"/>
              </w:rPr>
            </w:pPr>
            <w:r>
              <w:rPr>
                <w:b/>
                <w:i/>
                <w:spacing w:val="-2"/>
                <w:sz w:val="14"/>
              </w:rPr>
              <w:t>19.50</w:t>
            </w:r>
          </w:p>
        </w:tc>
        <w:tc>
          <w:tcPr>
            <w:tcW w:w="568" w:type="dxa"/>
            <w:tcBorders>
              <w:top w:val="single" w:sz="4" w:space="0" w:color="000000"/>
              <w:bottom w:val="single" w:sz="12" w:space="0" w:color="000000"/>
            </w:tcBorders>
          </w:tcPr>
          <w:p>
            <w:pPr>
              <w:pStyle w:val="TableParagraph"/>
              <w:spacing w:before="28"/>
              <w:ind w:right="99"/>
              <w:rPr>
                <w:b/>
                <w:sz w:val="14"/>
              </w:rPr>
            </w:pPr>
            <w:r>
              <w:rPr>
                <w:b/>
                <w:spacing w:val="-4"/>
                <w:sz w:val="14"/>
              </w:rPr>
              <w:t>4.67</w:t>
            </w:r>
          </w:p>
        </w:tc>
        <w:tc>
          <w:tcPr>
            <w:tcW w:w="578" w:type="dxa"/>
            <w:tcBorders>
              <w:top w:val="single" w:sz="4" w:space="0" w:color="000000"/>
              <w:bottom w:val="single" w:sz="12" w:space="0" w:color="000000"/>
            </w:tcBorders>
          </w:tcPr>
          <w:p>
            <w:pPr>
              <w:pStyle w:val="TableParagraph"/>
              <w:spacing w:before="28"/>
              <w:ind w:right="89"/>
              <w:rPr>
                <w:b/>
                <w:sz w:val="14"/>
              </w:rPr>
            </w:pPr>
            <w:r>
              <w:rPr>
                <w:b/>
                <w:w w:val="99"/>
                <w:sz w:val="14"/>
              </w:rPr>
              <w:t>-</w:t>
            </w:r>
          </w:p>
        </w:tc>
        <w:tc>
          <w:tcPr>
            <w:tcW w:w="566" w:type="dxa"/>
            <w:tcBorders>
              <w:top w:val="single" w:sz="4" w:space="0" w:color="000000"/>
              <w:bottom w:val="single" w:sz="12" w:space="0" w:color="000000"/>
            </w:tcBorders>
          </w:tcPr>
          <w:p>
            <w:pPr>
              <w:pStyle w:val="TableParagraph"/>
              <w:spacing w:before="28"/>
              <w:ind w:right="61"/>
              <w:rPr>
                <w:b/>
                <w:sz w:val="14"/>
              </w:rPr>
            </w:pPr>
            <w:r>
              <w:rPr>
                <w:b/>
                <w:spacing w:val="-4"/>
                <w:sz w:val="14"/>
              </w:rPr>
              <w:t>6.00</w:t>
            </w:r>
          </w:p>
        </w:tc>
        <w:tc>
          <w:tcPr>
            <w:tcW w:w="813" w:type="dxa"/>
            <w:tcBorders>
              <w:top w:val="single" w:sz="4" w:space="0" w:color="000000"/>
              <w:bottom w:val="single" w:sz="12" w:space="0" w:color="000000"/>
            </w:tcBorders>
          </w:tcPr>
          <w:p>
            <w:pPr>
              <w:pStyle w:val="TableParagraph"/>
              <w:spacing w:before="28"/>
              <w:ind w:right="135"/>
              <w:rPr>
                <w:b/>
                <w:i/>
                <w:sz w:val="14"/>
              </w:rPr>
            </w:pPr>
            <w:r>
              <w:rPr>
                <w:b/>
                <w:i/>
                <w:spacing w:val="-2"/>
                <w:sz w:val="14"/>
              </w:rPr>
              <w:t>10.67</w:t>
            </w:r>
          </w:p>
        </w:tc>
        <w:tc>
          <w:tcPr>
            <w:tcW w:w="524" w:type="dxa"/>
            <w:tcBorders>
              <w:top w:val="single" w:sz="4" w:space="0" w:color="000000"/>
              <w:bottom w:val="single" w:sz="12" w:space="0" w:color="000000"/>
            </w:tcBorders>
          </w:tcPr>
          <w:p>
            <w:pPr>
              <w:pStyle w:val="TableParagraph"/>
              <w:spacing w:before="28"/>
              <w:ind w:right="59"/>
              <w:rPr>
                <w:b/>
                <w:sz w:val="14"/>
              </w:rPr>
            </w:pPr>
            <w:r>
              <w:rPr>
                <w:b/>
                <w:spacing w:val="-2"/>
                <w:sz w:val="14"/>
              </w:rPr>
              <w:t>30.17</w:t>
            </w:r>
          </w:p>
        </w:tc>
      </w:tr>
    </w:tbl>
    <w:p>
      <w:pPr>
        <w:spacing w:after="0"/>
        <w:rPr>
          <w:sz w:val="14"/>
        </w:rPr>
        <w:sectPr>
          <w:pgSz w:w="11910" w:h="16840"/>
          <w:pgMar w:header="957" w:footer="940" w:top="1140" w:bottom="1140" w:left="20" w:right="20"/>
        </w:sectPr>
      </w:pPr>
    </w:p>
    <w:p>
      <w:pPr>
        <w:pStyle w:val="ListParagraph"/>
        <w:numPr>
          <w:ilvl w:val="2"/>
          <w:numId w:val="3"/>
        </w:numPr>
        <w:tabs>
          <w:tab w:pos="2246" w:val="left" w:leader="none"/>
          <w:tab w:pos="2247" w:val="left" w:leader="none"/>
        </w:tabs>
        <w:spacing w:line="491" w:lineRule="auto" w:before="124" w:after="0"/>
        <w:ind w:left="2246" w:right="4978" w:hanging="567"/>
        <w:jc w:val="left"/>
        <w:rPr>
          <w:b/>
          <w:sz w:val="20"/>
        </w:rPr>
      </w:pPr>
      <w:bookmarkStart w:name="_bookmark25" w:id="26"/>
      <w:bookmarkEnd w:id="26"/>
      <w:r>
        <w:rPr>
          <w:b/>
          <w:sz w:val="20"/>
        </w:rPr>
        <w:t>P</w:t>
      </w:r>
      <w:r>
        <w:rPr>
          <w:b/>
          <w:sz w:val="20"/>
        </w:rPr>
        <w:t>rogramme</w:t>
      </w:r>
      <w:r>
        <w:rPr>
          <w:b/>
          <w:spacing w:val="-5"/>
          <w:sz w:val="20"/>
        </w:rPr>
        <w:t> </w:t>
      </w:r>
      <w:r>
        <w:rPr>
          <w:b/>
          <w:sz w:val="20"/>
        </w:rPr>
        <w:t>B1:</w:t>
      </w:r>
      <w:r>
        <w:rPr>
          <w:b/>
          <w:spacing w:val="-6"/>
          <w:sz w:val="20"/>
        </w:rPr>
        <w:t> </w:t>
      </w:r>
      <w:r>
        <w:rPr>
          <w:b/>
          <w:sz w:val="20"/>
        </w:rPr>
        <w:t>Prosecution</w:t>
      </w:r>
      <w:r>
        <w:rPr>
          <w:b/>
          <w:spacing w:val="-7"/>
          <w:sz w:val="20"/>
        </w:rPr>
        <w:t> </w:t>
      </w:r>
      <w:r>
        <w:rPr>
          <w:b/>
          <w:sz w:val="20"/>
        </w:rPr>
        <w:t>Pillar</w:t>
      </w:r>
      <w:r>
        <w:rPr>
          <w:b/>
          <w:spacing w:val="-1"/>
          <w:sz w:val="20"/>
        </w:rPr>
        <w:t> </w:t>
      </w:r>
      <w:r>
        <w:rPr>
          <w:b/>
          <w:sz w:val="20"/>
        </w:rPr>
        <w:t>–</w:t>
      </w:r>
      <w:r>
        <w:rPr>
          <w:b/>
          <w:spacing w:val="-5"/>
          <w:sz w:val="20"/>
        </w:rPr>
        <w:t> </w:t>
      </w:r>
      <w:r>
        <w:rPr>
          <w:b/>
          <w:sz w:val="20"/>
        </w:rPr>
        <w:t>Programme</w:t>
      </w:r>
      <w:r>
        <w:rPr>
          <w:b/>
          <w:spacing w:val="-5"/>
          <w:sz w:val="20"/>
        </w:rPr>
        <w:t> </w:t>
      </w:r>
      <w:r>
        <w:rPr>
          <w:b/>
          <w:sz w:val="20"/>
        </w:rPr>
        <w:t>2600 </w:t>
      </w:r>
      <w:r>
        <w:rPr>
          <w:b/>
          <w:spacing w:val="-2"/>
          <w:sz w:val="20"/>
        </w:rPr>
        <w:t>Introduction</w:t>
      </w:r>
    </w:p>
    <w:p>
      <w:pPr>
        <w:pStyle w:val="BodyText"/>
        <w:spacing w:before="3"/>
        <w:rPr>
          <w:b/>
          <w:sz w:val="29"/>
        </w:rPr>
      </w:pPr>
      <w:r>
        <w:rPr/>
        <w:drawing>
          <wp:anchor distT="0" distB="0" distL="0" distR="0" allowOverlap="1" layoutInCell="1" locked="0" behindDoc="0" simplePos="0" relativeHeight="49">
            <wp:simplePos x="0" y="0"/>
            <wp:positionH relativeFrom="page">
              <wp:posOffset>2997912</wp:posOffset>
            </wp:positionH>
            <wp:positionV relativeFrom="paragraph">
              <wp:posOffset>229364</wp:posOffset>
            </wp:positionV>
            <wp:extent cx="1458185" cy="3278981"/>
            <wp:effectExtent l="0" t="0" r="0" b="0"/>
            <wp:wrapTopAndBottom/>
            <wp:docPr id="7" name="image6.png"/>
            <wp:cNvGraphicFramePr>
              <a:graphicFrameLocks noChangeAspect="1"/>
            </wp:cNvGraphicFramePr>
            <a:graphic>
              <a:graphicData uri="http://schemas.openxmlformats.org/drawingml/2006/picture">
                <pic:pic>
                  <pic:nvPicPr>
                    <pic:cNvPr id="8" name="image6.png"/>
                    <pic:cNvPicPr/>
                  </pic:nvPicPr>
                  <pic:blipFill>
                    <a:blip r:embed="rId46" cstate="print"/>
                    <a:stretch>
                      <a:fillRect/>
                    </a:stretch>
                  </pic:blipFill>
                  <pic:spPr>
                    <a:xfrm>
                      <a:off x="0" y="0"/>
                      <a:ext cx="1458185" cy="3278981"/>
                    </a:xfrm>
                    <a:prstGeom prst="rect">
                      <a:avLst/>
                    </a:prstGeom>
                  </pic:spPr>
                </pic:pic>
              </a:graphicData>
            </a:graphic>
          </wp:anchor>
        </w:drawing>
      </w:r>
    </w:p>
    <w:p>
      <w:pPr>
        <w:pStyle w:val="BodyText"/>
        <w:rPr>
          <w:b/>
          <w:sz w:val="22"/>
        </w:rPr>
      </w:pPr>
    </w:p>
    <w:p>
      <w:pPr>
        <w:pStyle w:val="BodyText"/>
        <w:spacing w:before="10"/>
        <w:rPr>
          <w:b/>
          <w:sz w:val="31"/>
        </w:rPr>
      </w:pPr>
    </w:p>
    <w:p>
      <w:pPr>
        <w:pStyle w:val="ListParagraph"/>
        <w:numPr>
          <w:ilvl w:val="0"/>
          <w:numId w:val="7"/>
        </w:numPr>
        <w:tabs>
          <w:tab w:pos="2246" w:val="left" w:leader="none"/>
          <w:tab w:pos="2247" w:val="left" w:leader="none"/>
        </w:tabs>
        <w:spacing w:line="240" w:lineRule="auto" w:before="0" w:after="0"/>
        <w:ind w:left="2246" w:right="0" w:hanging="568"/>
        <w:jc w:val="left"/>
        <w:rPr>
          <w:b/>
          <w:sz w:val="20"/>
        </w:rPr>
      </w:pPr>
      <w:r>
        <w:rPr>
          <w:b/>
          <w:sz w:val="20"/>
        </w:rPr>
        <w:t>The</w:t>
      </w:r>
      <w:r>
        <w:rPr>
          <w:b/>
          <w:spacing w:val="-3"/>
          <w:sz w:val="20"/>
        </w:rPr>
        <w:t> </w:t>
      </w:r>
      <w:r>
        <w:rPr>
          <w:b/>
          <w:sz w:val="20"/>
        </w:rPr>
        <w:t>Deputy</w:t>
      </w:r>
      <w:r>
        <w:rPr>
          <w:b/>
          <w:spacing w:val="-8"/>
          <w:sz w:val="20"/>
        </w:rPr>
        <w:t> </w:t>
      </w:r>
      <w:r>
        <w:rPr>
          <w:b/>
          <w:spacing w:val="-2"/>
          <w:sz w:val="20"/>
        </w:rPr>
        <w:t>Prosecutors</w:t>
      </w:r>
    </w:p>
    <w:p>
      <w:pPr>
        <w:pStyle w:val="BodyText"/>
        <w:spacing w:before="10"/>
        <w:rPr>
          <w:b/>
        </w:rPr>
      </w:pPr>
    </w:p>
    <w:p>
      <w:pPr>
        <w:pStyle w:val="ListParagraph"/>
        <w:numPr>
          <w:ilvl w:val="0"/>
          <w:numId w:val="4"/>
        </w:numPr>
        <w:tabs>
          <w:tab w:pos="2967" w:val="left" w:leader="none"/>
        </w:tabs>
        <w:spacing w:line="240" w:lineRule="auto" w:before="0" w:after="0"/>
        <w:ind w:left="2246" w:right="2246" w:firstLine="0"/>
        <w:jc w:val="both"/>
        <w:rPr>
          <w:sz w:val="20"/>
        </w:rPr>
      </w:pPr>
      <w:bookmarkStart w:name="_bookmark26" w:id="27"/>
      <w:bookmarkEnd w:id="27"/>
      <w:r>
        <w:rPr>
          <w:sz w:val="20"/>
        </w:rPr>
        <w:t>O</w:t>
      </w:r>
      <w:r>
        <w:rPr>
          <w:sz w:val="20"/>
        </w:rPr>
        <w:t>n 7 March, 2021, the two Deputy Prosecutors elected by the Assembly of the States Parties, Mr Mame Mandiaye Niang and Ms Nazhat Shameem Khan were sworn in. Under</w:t>
      </w:r>
      <w:r>
        <w:rPr>
          <w:spacing w:val="-9"/>
          <w:sz w:val="20"/>
        </w:rPr>
        <w:t> </w:t>
      </w:r>
      <w:r>
        <w:rPr>
          <w:sz w:val="20"/>
        </w:rPr>
        <w:t>the</w:t>
      </w:r>
      <w:r>
        <w:rPr>
          <w:spacing w:val="-3"/>
          <w:sz w:val="20"/>
        </w:rPr>
        <w:t> </w:t>
      </w:r>
      <w:r>
        <w:rPr>
          <w:sz w:val="20"/>
        </w:rPr>
        <w:t>delegated</w:t>
      </w:r>
      <w:r>
        <w:rPr>
          <w:spacing w:val="-9"/>
          <w:sz w:val="20"/>
        </w:rPr>
        <w:t> </w:t>
      </w:r>
      <w:r>
        <w:rPr>
          <w:sz w:val="20"/>
        </w:rPr>
        <w:t>authority</w:t>
      </w:r>
      <w:r>
        <w:rPr>
          <w:spacing w:val="-5"/>
          <w:sz w:val="20"/>
        </w:rPr>
        <w:t> </w:t>
      </w:r>
      <w:r>
        <w:rPr>
          <w:sz w:val="20"/>
        </w:rPr>
        <w:t>of</w:t>
      </w:r>
      <w:r>
        <w:rPr>
          <w:spacing w:val="-9"/>
          <w:sz w:val="20"/>
        </w:rPr>
        <w:t> </w:t>
      </w:r>
      <w:r>
        <w:rPr>
          <w:sz w:val="20"/>
        </w:rPr>
        <w:t>the</w:t>
      </w:r>
      <w:r>
        <w:rPr>
          <w:spacing w:val="-8"/>
          <w:sz w:val="20"/>
        </w:rPr>
        <w:t> </w:t>
      </w:r>
      <w:r>
        <w:rPr>
          <w:sz w:val="20"/>
        </w:rPr>
        <w:t>Prosecutor,</w:t>
      </w:r>
      <w:r>
        <w:rPr>
          <w:spacing w:val="-7"/>
          <w:sz w:val="20"/>
        </w:rPr>
        <w:t> </w:t>
      </w:r>
      <w:r>
        <w:rPr>
          <w:sz w:val="20"/>
        </w:rPr>
        <w:t>the</w:t>
      </w:r>
      <w:r>
        <w:rPr>
          <w:spacing w:val="-8"/>
          <w:sz w:val="20"/>
        </w:rPr>
        <w:t> </w:t>
      </w:r>
      <w:r>
        <w:rPr>
          <w:sz w:val="20"/>
        </w:rPr>
        <w:t>two</w:t>
      </w:r>
      <w:r>
        <w:rPr>
          <w:spacing w:val="-9"/>
          <w:sz w:val="20"/>
        </w:rPr>
        <w:t> </w:t>
      </w:r>
      <w:r>
        <w:rPr>
          <w:sz w:val="20"/>
        </w:rPr>
        <w:t>Deputy</w:t>
      </w:r>
      <w:r>
        <w:rPr>
          <w:spacing w:val="-5"/>
          <w:sz w:val="20"/>
        </w:rPr>
        <w:t> </w:t>
      </w:r>
      <w:r>
        <w:rPr>
          <w:sz w:val="20"/>
        </w:rPr>
        <w:t>Prosecutors</w:t>
      </w:r>
      <w:r>
        <w:rPr>
          <w:spacing w:val="-11"/>
          <w:sz w:val="20"/>
        </w:rPr>
        <w:t> </w:t>
      </w:r>
      <w:r>
        <w:rPr>
          <w:sz w:val="20"/>
        </w:rPr>
        <w:t>manage</w:t>
      </w:r>
      <w:r>
        <w:rPr>
          <w:spacing w:val="-8"/>
          <w:sz w:val="20"/>
        </w:rPr>
        <w:t> </w:t>
      </w:r>
      <w:r>
        <w:rPr>
          <w:sz w:val="20"/>
        </w:rPr>
        <w:t>the</w:t>
      </w:r>
      <w:r>
        <w:rPr>
          <w:spacing w:val="-8"/>
          <w:sz w:val="20"/>
        </w:rPr>
        <w:t> </w:t>
      </w:r>
      <w:r>
        <w:rPr>
          <w:sz w:val="20"/>
        </w:rPr>
        <w:t>two prosecution pillars</w:t>
      </w:r>
      <w:r>
        <w:rPr>
          <w:spacing w:val="-1"/>
          <w:sz w:val="20"/>
        </w:rPr>
        <w:t> </w:t>
      </w:r>
      <w:r>
        <w:rPr>
          <w:sz w:val="20"/>
        </w:rPr>
        <w:t>across</w:t>
      </w:r>
      <w:r>
        <w:rPr>
          <w:spacing w:val="-1"/>
          <w:sz w:val="20"/>
        </w:rPr>
        <w:t> </w:t>
      </w:r>
      <w:r>
        <w:rPr>
          <w:sz w:val="20"/>
        </w:rPr>
        <w:t>which the Prosecutor has</w:t>
      </w:r>
      <w:r>
        <w:rPr>
          <w:spacing w:val="-1"/>
          <w:sz w:val="20"/>
        </w:rPr>
        <w:t> </w:t>
      </w:r>
      <w:r>
        <w:rPr>
          <w:sz w:val="20"/>
        </w:rPr>
        <w:t>assigned the situations</w:t>
      </w:r>
      <w:r>
        <w:rPr>
          <w:spacing w:val="-1"/>
          <w:sz w:val="20"/>
        </w:rPr>
        <w:t> </w:t>
      </w:r>
      <w:r>
        <w:rPr>
          <w:sz w:val="20"/>
        </w:rPr>
        <w:t>addressed by the Office based on a unified team concept.</w:t>
      </w:r>
    </w:p>
    <w:p>
      <w:pPr>
        <w:pStyle w:val="ListParagraph"/>
        <w:numPr>
          <w:ilvl w:val="0"/>
          <w:numId w:val="4"/>
        </w:numPr>
        <w:tabs>
          <w:tab w:pos="2967" w:val="left" w:leader="none"/>
        </w:tabs>
        <w:spacing w:line="240" w:lineRule="auto" w:before="123" w:after="0"/>
        <w:ind w:left="2246" w:right="2239" w:firstLine="0"/>
        <w:jc w:val="both"/>
        <w:rPr>
          <w:sz w:val="20"/>
        </w:rPr>
      </w:pPr>
      <w:r>
        <w:rPr>
          <w:sz w:val="20"/>
        </w:rPr>
        <w:t>At the time of</w:t>
      </w:r>
      <w:r>
        <w:rPr>
          <w:spacing w:val="-5"/>
          <w:sz w:val="20"/>
        </w:rPr>
        <w:t> </w:t>
      </w:r>
      <w:r>
        <w:rPr>
          <w:sz w:val="20"/>
        </w:rPr>
        <w:t>the submission</w:t>
      </w:r>
      <w:r>
        <w:rPr>
          <w:spacing w:val="-5"/>
          <w:sz w:val="20"/>
        </w:rPr>
        <w:t> </w:t>
      </w:r>
      <w:r>
        <w:rPr>
          <w:sz w:val="20"/>
        </w:rPr>
        <w:t>of</w:t>
      </w:r>
      <w:r>
        <w:rPr>
          <w:spacing w:val="-1"/>
          <w:sz w:val="20"/>
        </w:rPr>
        <w:t> </w:t>
      </w:r>
      <w:r>
        <w:rPr>
          <w:sz w:val="20"/>
        </w:rPr>
        <w:t>2022</w:t>
      </w:r>
      <w:r>
        <w:rPr>
          <w:spacing w:val="-1"/>
          <w:sz w:val="20"/>
        </w:rPr>
        <w:t> </w:t>
      </w:r>
      <w:r>
        <w:rPr>
          <w:sz w:val="20"/>
        </w:rPr>
        <w:t>budget proposal,</w:t>
      </w:r>
      <w:r>
        <w:rPr>
          <w:spacing w:val="-3"/>
          <w:sz w:val="20"/>
        </w:rPr>
        <w:t> </w:t>
      </w:r>
      <w:r>
        <w:rPr>
          <w:sz w:val="20"/>
        </w:rPr>
        <w:t>the Prosecutor</w:t>
      </w:r>
      <w:r>
        <w:rPr>
          <w:spacing w:val="-1"/>
          <w:sz w:val="20"/>
        </w:rPr>
        <w:t> </w:t>
      </w:r>
      <w:r>
        <w:rPr>
          <w:sz w:val="20"/>
        </w:rPr>
        <w:t>had</w:t>
      </w:r>
      <w:r>
        <w:rPr>
          <w:spacing w:val="-1"/>
          <w:sz w:val="20"/>
        </w:rPr>
        <w:t> </w:t>
      </w:r>
      <w:r>
        <w:rPr>
          <w:sz w:val="20"/>
        </w:rPr>
        <w:t>held</w:t>
      </w:r>
      <w:r>
        <w:rPr>
          <w:spacing w:val="-1"/>
          <w:sz w:val="20"/>
        </w:rPr>
        <w:t> </w:t>
      </w:r>
      <w:r>
        <w:rPr>
          <w:sz w:val="20"/>
        </w:rPr>
        <w:t>his position for one month. While the vision of the Prosecutor was duly reflected in the pillar- based reorganization of</w:t>
      </w:r>
      <w:r>
        <w:rPr>
          <w:spacing w:val="-4"/>
          <w:sz w:val="20"/>
        </w:rPr>
        <w:t> </w:t>
      </w:r>
      <w:r>
        <w:rPr>
          <w:sz w:val="20"/>
        </w:rPr>
        <w:t>the Office,</w:t>
      </w:r>
      <w:r>
        <w:rPr>
          <w:spacing w:val="-1"/>
          <w:sz w:val="20"/>
        </w:rPr>
        <w:t> </w:t>
      </w:r>
      <w:r>
        <w:rPr>
          <w:sz w:val="20"/>
        </w:rPr>
        <w:t>the</w:t>
      </w:r>
      <w:r>
        <w:rPr>
          <w:spacing w:val="-2"/>
          <w:sz w:val="20"/>
        </w:rPr>
        <w:t> </w:t>
      </w:r>
      <w:r>
        <w:rPr>
          <w:sz w:val="20"/>
        </w:rPr>
        <w:t>refinement of</w:t>
      </w:r>
      <w:r>
        <w:rPr>
          <w:spacing w:val="-4"/>
          <w:sz w:val="20"/>
        </w:rPr>
        <w:t> </w:t>
      </w:r>
      <w:r>
        <w:rPr>
          <w:sz w:val="20"/>
        </w:rPr>
        <w:t>some structural</w:t>
      </w:r>
      <w:r>
        <w:rPr>
          <w:spacing w:val="-2"/>
          <w:sz w:val="20"/>
        </w:rPr>
        <w:t> </w:t>
      </w:r>
      <w:r>
        <w:rPr>
          <w:sz w:val="20"/>
        </w:rPr>
        <w:t>and</w:t>
      </w:r>
      <w:r>
        <w:rPr>
          <w:spacing w:val="-4"/>
          <w:sz w:val="20"/>
        </w:rPr>
        <w:t> </w:t>
      </w:r>
      <w:r>
        <w:rPr>
          <w:sz w:val="20"/>
        </w:rPr>
        <w:t>operational</w:t>
      </w:r>
      <w:r>
        <w:rPr>
          <w:spacing w:val="-2"/>
          <w:sz w:val="20"/>
        </w:rPr>
        <w:t> </w:t>
      </w:r>
      <w:r>
        <w:rPr>
          <w:sz w:val="20"/>
        </w:rPr>
        <w:t>details were</w:t>
      </w:r>
      <w:r>
        <w:rPr>
          <w:spacing w:val="-13"/>
          <w:sz w:val="20"/>
        </w:rPr>
        <w:t> </w:t>
      </w:r>
      <w:r>
        <w:rPr>
          <w:sz w:val="20"/>
        </w:rPr>
        <w:t>necessarily</w:t>
      </w:r>
      <w:r>
        <w:rPr>
          <w:spacing w:val="-12"/>
          <w:sz w:val="20"/>
        </w:rPr>
        <w:t> </w:t>
      </w:r>
      <w:r>
        <w:rPr>
          <w:sz w:val="20"/>
        </w:rPr>
        <w:t>left</w:t>
      </w:r>
      <w:r>
        <w:rPr>
          <w:spacing w:val="-13"/>
          <w:sz w:val="20"/>
        </w:rPr>
        <w:t> </w:t>
      </w:r>
      <w:r>
        <w:rPr>
          <w:sz w:val="20"/>
        </w:rPr>
        <w:t>to</w:t>
      </w:r>
      <w:r>
        <w:rPr>
          <w:spacing w:val="-12"/>
          <w:sz w:val="20"/>
        </w:rPr>
        <w:t> </w:t>
      </w:r>
      <w:r>
        <w:rPr>
          <w:sz w:val="20"/>
        </w:rPr>
        <w:t>a</w:t>
      </w:r>
      <w:r>
        <w:rPr>
          <w:spacing w:val="-13"/>
          <w:sz w:val="20"/>
        </w:rPr>
        <w:t> </w:t>
      </w:r>
      <w:r>
        <w:rPr>
          <w:sz w:val="20"/>
        </w:rPr>
        <w:t>thorough</w:t>
      </w:r>
      <w:r>
        <w:rPr>
          <w:spacing w:val="-12"/>
          <w:sz w:val="20"/>
        </w:rPr>
        <w:t> </w:t>
      </w:r>
      <w:r>
        <w:rPr>
          <w:sz w:val="20"/>
        </w:rPr>
        <w:t>evaluation</w:t>
      </w:r>
      <w:r>
        <w:rPr>
          <w:spacing w:val="-13"/>
          <w:sz w:val="20"/>
        </w:rPr>
        <w:t> </w:t>
      </w:r>
      <w:r>
        <w:rPr>
          <w:sz w:val="20"/>
        </w:rPr>
        <w:t>to</w:t>
      </w:r>
      <w:r>
        <w:rPr>
          <w:spacing w:val="-12"/>
          <w:sz w:val="20"/>
        </w:rPr>
        <w:t> </w:t>
      </w:r>
      <w:r>
        <w:rPr>
          <w:sz w:val="20"/>
        </w:rPr>
        <w:t>be</w:t>
      </w:r>
      <w:r>
        <w:rPr>
          <w:spacing w:val="-13"/>
          <w:sz w:val="20"/>
        </w:rPr>
        <w:t> </w:t>
      </w:r>
      <w:r>
        <w:rPr>
          <w:sz w:val="20"/>
        </w:rPr>
        <w:t>performed</w:t>
      </w:r>
      <w:r>
        <w:rPr>
          <w:spacing w:val="-12"/>
          <w:sz w:val="20"/>
        </w:rPr>
        <w:t> </w:t>
      </w:r>
      <w:r>
        <w:rPr>
          <w:sz w:val="20"/>
        </w:rPr>
        <w:t>during</w:t>
      </w:r>
      <w:r>
        <w:rPr>
          <w:spacing w:val="-13"/>
          <w:sz w:val="20"/>
        </w:rPr>
        <w:t> </w:t>
      </w:r>
      <w:r>
        <w:rPr>
          <w:sz w:val="20"/>
        </w:rPr>
        <w:t>2022</w:t>
      </w:r>
      <w:r>
        <w:rPr>
          <w:spacing w:val="-12"/>
          <w:sz w:val="20"/>
        </w:rPr>
        <w:t> </w:t>
      </w:r>
      <w:r>
        <w:rPr>
          <w:sz w:val="20"/>
        </w:rPr>
        <w:t>as</w:t>
      </w:r>
      <w:r>
        <w:rPr>
          <w:spacing w:val="-13"/>
          <w:sz w:val="20"/>
        </w:rPr>
        <w:t> </w:t>
      </w:r>
      <w:r>
        <w:rPr>
          <w:sz w:val="20"/>
        </w:rPr>
        <w:t>implementation of</w:t>
      </w:r>
      <w:r>
        <w:rPr>
          <w:spacing w:val="-10"/>
          <w:sz w:val="20"/>
        </w:rPr>
        <w:t> </w:t>
      </w:r>
      <w:r>
        <w:rPr>
          <w:sz w:val="20"/>
        </w:rPr>
        <w:t>the</w:t>
      </w:r>
      <w:r>
        <w:rPr>
          <w:spacing w:val="-7"/>
          <w:sz w:val="20"/>
        </w:rPr>
        <w:t> </w:t>
      </w:r>
      <w:r>
        <w:rPr>
          <w:sz w:val="20"/>
        </w:rPr>
        <w:t>pillar-based</w:t>
      </w:r>
      <w:r>
        <w:rPr>
          <w:spacing w:val="-8"/>
          <w:sz w:val="20"/>
        </w:rPr>
        <w:t> </w:t>
      </w:r>
      <w:r>
        <w:rPr>
          <w:sz w:val="20"/>
        </w:rPr>
        <w:t>structure</w:t>
      </w:r>
      <w:r>
        <w:rPr>
          <w:spacing w:val="-11"/>
          <w:sz w:val="20"/>
        </w:rPr>
        <w:t> </w:t>
      </w:r>
      <w:r>
        <w:rPr>
          <w:sz w:val="20"/>
        </w:rPr>
        <w:t>of</w:t>
      </w:r>
      <w:r>
        <w:rPr>
          <w:spacing w:val="-8"/>
          <w:sz w:val="20"/>
        </w:rPr>
        <w:t> </w:t>
      </w:r>
      <w:r>
        <w:rPr>
          <w:sz w:val="20"/>
        </w:rPr>
        <w:t>the</w:t>
      </w:r>
      <w:r>
        <w:rPr>
          <w:spacing w:val="-7"/>
          <w:sz w:val="20"/>
        </w:rPr>
        <w:t> </w:t>
      </w:r>
      <w:r>
        <w:rPr>
          <w:sz w:val="20"/>
        </w:rPr>
        <w:t>Office</w:t>
      </w:r>
      <w:r>
        <w:rPr>
          <w:spacing w:val="-7"/>
          <w:sz w:val="20"/>
        </w:rPr>
        <w:t> </w:t>
      </w:r>
      <w:r>
        <w:rPr>
          <w:sz w:val="20"/>
        </w:rPr>
        <w:t>was</w:t>
      </w:r>
      <w:r>
        <w:rPr>
          <w:spacing w:val="-13"/>
          <w:sz w:val="20"/>
        </w:rPr>
        <w:t> </w:t>
      </w:r>
      <w:r>
        <w:rPr>
          <w:sz w:val="20"/>
        </w:rPr>
        <w:t>taken</w:t>
      </w:r>
      <w:r>
        <w:rPr>
          <w:spacing w:val="-8"/>
          <w:sz w:val="20"/>
        </w:rPr>
        <w:t> </w:t>
      </w:r>
      <w:r>
        <w:rPr>
          <w:sz w:val="20"/>
        </w:rPr>
        <w:t>forward.</w:t>
      </w:r>
      <w:r>
        <w:rPr>
          <w:spacing w:val="-11"/>
          <w:sz w:val="20"/>
        </w:rPr>
        <w:t> </w:t>
      </w:r>
      <w:r>
        <w:rPr>
          <w:sz w:val="20"/>
        </w:rPr>
        <w:t>For</w:t>
      </w:r>
      <w:r>
        <w:rPr>
          <w:spacing w:val="-8"/>
          <w:sz w:val="20"/>
        </w:rPr>
        <w:t> </w:t>
      </w:r>
      <w:r>
        <w:rPr>
          <w:sz w:val="20"/>
        </w:rPr>
        <w:t>instance,</w:t>
      </w:r>
      <w:r>
        <w:rPr>
          <w:spacing w:val="-11"/>
          <w:sz w:val="20"/>
        </w:rPr>
        <w:t> </w:t>
      </w:r>
      <w:r>
        <w:rPr>
          <w:sz w:val="20"/>
        </w:rPr>
        <w:t>in</w:t>
      </w:r>
      <w:r>
        <w:rPr>
          <w:spacing w:val="-13"/>
          <w:sz w:val="20"/>
        </w:rPr>
        <w:t> </w:t>
      </w:r>
      <w:r>
        <w:rPr>
          <w:sz w:val="20"/>
        </w:rPr>
        <w:t>the</w:t>
      </w:r>
      <w:r>
        <w:rPr>
          <w:spacing w:val="-12"/>
          <w:sz w:val="20"/>
        </w:rPr>
        <w:t> </w:t>
      </w:r>
      <w:r>
        <w:rPr>
          <w:sz w:val="20"/>
        </w:rPr>
        <w:t>2022</w:t>
      </w:r>
      <w:r>
        <w:rPr>
          <w:spacing w:val="-8"/>
          <w:sz w:val="20"/>
        </w:rPr>
        <w:t> </w:t>
      </w:r>
      <w:r>
        <w:rPr>
          <w:sz w:val="20"/>
        </w:rPr>
        <w:t>budget proposal the two Deputy Prosecutors’ pillars were presented as one programme as the decision on the allocation of situations and cases to be allocated to each deputy Prosecutor had not yet been finalised.</w:t>
      </w:r>
    </w:p>
    <w:p>
      <w:pPr>
        <w:pStyle w:val="ListParagraph"/>
        <w:numPr>
          <w:ilvl w:val="0"/>
          <w:numId w:val="4"/>
        </w:numPr>
        <w:tabs>
          <w:tab w:pos="2967" w:val="left" w:leader="none"/>
        </w:tabs>
        <w:spacing w:line="240" w:lineRule="auto" w:before="119" w:after="0"/>
        <w:ind w:left="2246" w:right="2251" w:firstLine="0"/>
        <w:jc w:val="both"/>
        <w:rPr>
          <w:sz w:val="20"/>
        </w:rPr>
      </w:pPr>
      <w:r>
        <w:rPr>
          <w:sz w:val="20"/>
        </w:rPr>
        <w:t>This budget proposal provides a more detailed and complete view of how the pillar-based system will be implemented.</w:t>
      </w:r>
    </w:p>
    <w:p>
      <w:pPr>
        <w:spacing w:after="0" w:line="240" w:lineRule="auto"/>
        <w:jc w:val="both"/>
        <w:rPr>
          <w:sz w:val="20"/>
        </w:rPr>
        <w:sectPr>
          <w:pgSz w:w="11910" w:h="16840"/>
          <w:pgMar w:header="953" w:footer="940" w:top="1140" w:bottom="1140" w:left="20" w:right="20"/>
        </w:sectPr>
      </w:pPr>
    </w:p>
    <w:p>
      <w:pPr>
        <w:pStyle w:val="ListParagraph"/>
        <w:numPr>
          <w:ilvl w:val="0"/>
          <w:numId w:val="4"/>
        </w:numPr>
        <w:tabs>
          <w:tab w:pos="2967" w:val="left" w:leader="none"/>
        </w:tabs>
        <w:spacing w:line="240" w:lineRule="auto" w:before="120" w:after="0"/>
        <w:ind w:left="2246" w:right="2244" w:firstLine="0"/>
        <w:jc w:val="both"/>
        <w:rPr>
          <w:sz w:val="20"/>
        </w:rPr>
      </w:pPr>
      <w:r>
        <w:rPr>
          <w:sz w:val="20"/>
        </w:rPr>
        <w:t>Programme 2600 is headed by Deputy Prosecutor Nazhat Shameem Khan and contains unified teams addressing the situations shown in the table below:</w:t>
      </w:r>
    </w:p>
    <w:p>
      <w:pPr>
        <w:pStyle w:val="BodyText"/>
        <w:spacing w:before="5" w:after="1"/>
        <w:rPr>
          <w:sz w:val="10"/>
        </w:rPr>
      </w:pPr>
    </w:p>
    <w:tbl>
      <w:tblPr>
        <w:tblW w:w="0" w:type="auto"/>
        <w:jc w:val="left"/>
        <w:tblInd w:w="3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37"/>
        <w:gridCol w:w="1781"/>
      </w:tblGrid>
      <w:tr>
        <w:trPr>
          <w:trHeight w:val="273" w:hRule="atLeast"/>
        </w:trPr>
        <w:tc>
          <w:tcPr>
            <w:tcW w:w="2637" w:type="dxa"/>
            <w:tcBorders>
              <w:top w:val="single" w:sz="4" w:space="0" w:color="000000"/>
              <w:bottom w:val="single" w:sz="4" w:space="0" w:color="000000"/>
            </w:tcBorders>
          </w:tcPr>
          <w:p>
            <w:pPr>
              <w:pStyle w:val="TableParagraph"/>
              <w:spacing w:before="19"/>
              <w:ind w:left="14"/>
              <w:jc w:val="left"/>
              <w:rPr>
                <w:b/>
                <w:sz w:val="20"/>
              </w:rPr>
            </w:pPr>
            <w:r>
              <w:rPr>
                <w:b/>
                <w:spacing w:val="-2"/>
                <w:sz w:val="20"/>
              </w:rPr>
              <w:t>Situation</w:t>
            </w:r>
          </w:p>
        </w:tc>
        <w:tc>
          <w:tcPr>
            <w:tcW w:w="1781" w:type="dxa"/>
            <w:tcBorders>
              <w:top w:val="single" w:sz="4" w:space="0" w:color="000000"/>
              <w:bottom w:val="single" w:sz="4" w:space="0" w:color="000000"/>
            </w:tcBorders>
          </w:tcPr>
          <w:p>
            <w:pPr>
              <w:pStyle w:val="TableParagraph"/>
              <w:spacing w:before="19"/>
              <w:rPr>
                <w:b/>
                <w:sz w:val="20"/>
              </w:rPr>
            </w:pPr>
            <w:r>
              <w:rPr>
                <w:b/>
                <w:sz w:val="20"/>
              </w:rPr>
              <w:t>WBS</w:t>
            </w:r>
            <w:r>
              <w:rPr>
                <w:b/>
                <w:spacing w:val="-2"/>
                <w:sz w:val="20"/>
              </w:rPr>
              <w:t> </w:t>
            </w:r>
            <w:r>
              <w:rPr>
                <w:b/>
                <w:spacing w:val="-4"/>
                <w:sz w:val="20"/>
              </w:rPr>
              <w:t>code</w:t>
            </w:r>
          </w:p>
        </w:tc>
      </w:tr>
      <w:tr>
        <w:trPr>
          <w:trHeight w:val="268" w:hRule="atLeast"/>
        </w:trPr>
        <w:tc>
          <w:tcPr>
            <w:tcW w:w="2637" w:type="dxa"/>
            <w:tcBorders>
              <w:top w:val="single" w:sz="4" w:space="0" w:color="000000"/>
              <w:bottom w:val="single" w:sz="4" w:space="0" w:color="000000"/>
            </w:tcBorders>
          </w:tcPr>
          <w:p>
            <w:pPr>
              <w:pStyle w:val="TableParagraph"/>
              <w:spacing w:line="229" w:lineRule="exact" w:before="19"/>
              <w:ind w:left="14"/>
              <w:jc w:val="left"/>
              <w:rPr>
                <w:i/>
                <w:sz w:val="20"/>
              </w:rPr>
            </w:pPr>
            <w:r>
              <w:rPr>
                <w:i/>
                <w:spacing w:val="-2"/>
                <w:sz w:val="20"/>
              </w:rPr>
              <w:t>Investigation</w:t>
            </w:r>
          </w:p>
        </w:tc>
        <w:tc>
          <w:tcPr>
            <w:tcW w:w="1781" w:type="dxa"/>
            <w:tcBorders>
              <w:top w:val="single" w:sz="4" w:space="0" w:color="000000"/>
              <w:bottom w:val="single" w:sz="4" w:space="0" w:color="000000"/>
            </w:tcBorders>
          </w:tcPr>
          <w:p>
            <w:pPr>
              <w:pStyle w:val="TableParagraph"/>
              <w:jc w:val="left"/>
              <w:rPr>
                <w:sz w:val="18"/>
              </w:rPr>
            </w:pPr>
          </w:p>
        </w:tc>
      </w:tr>
      <w:tr>
        <w:trPr>
          <w:trHeight w:val="268" w:hRule="atLeast"/>
        </w:trPr>
        <w:tc>
          <w:tcPr>
            <w:tcW w:w="2637" w:type="dxa"/>
            <w:tcBorders>
              <w:top w:val="single" w:sz="4" w:space="0" w:color="000000"/>
              <w:bottom w:val="single" w:sz="4" w:space="0" w:color="000000"/>
            </w:tcBorders>
          </w:tcPr>
          <w:p>
            <w:pPr>
              <w:pStyle w:val="TableParagraph"/>
              <w:spacing w:line="229" w:lineRule="exact" w:before="20"/>
              <w:ind w:left="14"/>
              <w:jc w:val="left"/>
              <w:rPr>
                <w:sz w:val="20"/>
              </w:rPr>
            </w:pPr>
            <w:r>
              <w:rPr>
                <w:spacing w:val="-2"/>
                <w:sz w:val="20"/>
              </w:rPr>
              <w:t>Afghanistan</w:t>
            </w:r>
          </w:p>
        </w:tc>
        <w:tc>
          <w:tcPr>
            <w:tcW w:w="1781" w:type="dxa"/>
            <w:tcBorders>
              <w:top w:val="single" w:sz="4" w:space="0" w:color="000000"/>
              <w:bottom w:val="single" w:sz="4" w:space="0" w:color="000000"/>
            </w:tcBorders>
          </w:tcPr>
          <w:p>
            <w:pPr>
              <w:pStyle w:val="TableParagraph"/>
              <w:spacing w:line="229" w:lineRule="exact" w:before="20"/>
              <w:ind w:right="7"/>
              <w:rPr>
                <w:sz w:val="20"/>
              </w:rPr>
            </w:pPr>
            <w:r>
              <w:rPr>
                <w:spacing w:val="-2"/>
                <w:sz w:val="20"/>
              </w:rPr>
              <w:t>FOP-</w:t>
            </w:r>
            <w:r>
              <w:rPr>
                <w:spacing w:val="-5"/>
                <w:sz w:val="20"/>
              </w:rPr>
              <w:t>AFG</w:t>
            </w:r>
          </w:p>
        </w:tc>
      </w:tr>
      <w:tr>
        <w:trPr>
          <w:trHeight w:val="273" w:hRule="atLeast"/>
        </w:trPr>
        <w:tc>
          <w:tcPr>
            <w:tcW w:w="2637" w:type="dxa"/>
            <w:tcBorders>
              <w:top w:val="single" w:sz="4" w:space="0" w:color="000000"/>
              <w:bottom w:val="single" w:sz="4" w:space="0" w:color="000000"/>
            </w:tcBorders>
          </w:tcPr>
          <w:p>
            <w:pPr>
              <w:pStyle w:val="TableParagraph"/>
              <w:spacing w:before="19"/>
              <w:ind w:left="14"/>
              <w:jc w:val="left"/>
              <w:rPr>
                <w:sz w:val="20"/>
              </w:rPr>
            </w:pPr>
            <w:r>
              <w:rPr>
                <w:spacing w:val="-2"/>
                <w:sz w:val="20"/>
              </w:rPr>
              <w:t>Bangladesh/Myanmar</w:t>
            </w:r>
          </w:p>
        </w:tc>
        <w:tc>
          <w:tcPr>
            <w:tcW w:w="1781" w:type="dxa"/>
            <w:tcBorders>
              <w:top w:val="single" w:sz="4" w:space="0" w:color="000000"/>
              <w:bottom w:val="single" w:sz="4" w:space="0" w:color="000000"/>
            </w:tcBorders>
          </w:tcPr>
          <w:p>
            <w:pPr>
              <w:pStyle w:val="TableParagraph"/>
              <w:spacing w:before="19"/>
              <w:ind w:right="4"/>
              <w:rPr>
                <w:sz w:val="20"/>
              </w:rPr>
            </w:pPr>
            <w:r>
              <w:rPr>
                <w:spacing w:val="-2"/>
                <w:sz w:val="20"/>
              </w:rPr>
              <w:t>FOP-</w:t>
            </w:r>
            <w:r>
              <w:rPr>
                <w:spacing w:val="-5"/>
                <w:sz w:val="20"/>
              </w:rPr>
              <w:t>MMR</w:t>
            </w:r>
          </w:p>
        </w:tc>
      </w:tr>
      <w:tr>
        <w:trPr>
          <w:trHeight w:val="268" w:hRule="atLeast"/>
        </w:trPr>
        <w:tc>
          <w:tcPr>
            <w:tcW w:w="2637" w:type="dxa"/>
            <w:tcBorders>
              <w:top w:val="single" w:sz="4" w:space="0" w:color="000000"/>
              <w:bottom w:val="single" w:sz="4" w:space="0" w:color="000000"/>
            </w:tcBorders>
          </w:tcPr>
          <w:p>
            <w:pPr>
              <w:pStyle w:val="TableParagraph"/>
              <w:spacing w:line="229" w:lineRule="exact" w:before="19"/>
              <w:ind w:left="14"/>
              <w:jc w:val="left"/>
              <w:rPr>
                <w:sz w:val="20"/>
              </w:rPr>
            </w:pPr>
            <w:r>
              <w:rPr>
                <w:spacing w:val="-2"/>
                <w:sz w:val="20"/>
              </w:rPr>
              <w:t>Georgia</w:t>
            </w:r>
          </w:p>
        </w:tc>
        <w:tc>
          <w:tcPr>
            <w:tcW w:w="1781" w:type="dxa"/>
            <w:tcBorders>
              <w:top w:val="single" w:sz="4" w:space="0" w:color="000000"/>
              <w:bottom w:val="single" w:sz="4" w:space="0" w:color="000000"/>
            </w:tcBorders>
          </w:tcPr>
          <w:p>
            <w:pPr>
              <w:pStyle w:val="TableParagraph"/>
              <w:spacing w:line="229" w:lineRule="exact" w:before="19"/>
              <w:ind w:right="1"/>
              <w:rPr>
                <w:sz w:val="20"/>
              </w:rPr>
            </w:pPr>
            <w:r>
              <w:rPr>
                <w:spacing w:val="-2"/>
                <w:sz w:val="20"/>
              </w:rPr>
              <w:t>FOP-</w:t>
            </w:r>
            <w:r>
              <w:rPr>
                <w:spacing w:val="-5"/>
                <w:sz w:val="20"/>
              </w:rPr>
              <w:t>GEO</w:t>
            </w:r>
          </w:p>
        </w:tc>
      </w:tr>
      <w:tr>
        <w:trPr>
          <w:trHeight w:val="268" w:hRule="atLeast"/>
        </w:trPr>
        <w:tc>
          <w:tcPr>
            <w:tcW w:w="2637" w:type="dxa"/>
            <w:tcBorders>
              <w:top w:val="single" w:sz="4" w:space="0" w:color="000000"/>
              <w:bottom w:val="single" w:sz="4" w:space="0" w:color="000000"/>
            </w:tcBorders>
          </w:tcPr>
          <w:p>
            <w:pPr>
              <w:pStyle w:val="TableParagraph"/>
              <w:spacing w:line="229" w:lineRule="exact" w:before="19"/>
              <w:ind w:left="14"/>
              <w:jc w:val="left"/>
              <w:rPr>
                <w:sz w:val="20"/>
              </w:rPr>
            </w:pPr>
            <w:r>
              <w:rPr>
                <w:spacing w:val="-2"/>
                <w:sz w:val="20"/>
              </w:rPr>
              <w:t>Libya</w:t>
            </w:r>
          </w:p>
        </w:tc>
        <w:tc>
          <w:tcPr>
            <w:tcW w:w="1781" w:type="dxa"/>
            <w:tcBorders>
              <w:top w:val="single" w:sz="4" w:space="0" w:color="000000"/>
              <w:bottom w:val="single" w:sz="4" w:space="0" w:color="000000"/>
            </w:tcBorders>
          </w:tcPr>
          <w:p>
            <w:pPr>
              <w:pStyle w:val="TableParagraph"/>
              <w:spacing w:line="229" w:lineRule="exact" w:before="19"/>
              <w:ind w:right="1"/>
              <w:rPr>
                <w:sz w:val="20"/>
              </w:rPr>
            </w:pPr>
            <w:r>
              <w:rPr>
                <w:spacing w:val="-2"/>
                <w:sz w:val="20"/>
              </w:rPr>
              <w:t>FOP-</w:t>
            </w:r>
            <w:r>
              <w:rPr>
                <w:spacing w:val="-5"/>
                <w:sz w:val="20"/>
              </w:rPr>
              <w:t>LBY</w:t>
            </w:r>
          </w:p>
        </w:tc>
      </w:tr>
      <w:tr>
        <w:trPr>
          <w:trHeight w:val="273" w:hRule="atLeast"/>
        </w:trPr>
        <w:tc>
          <w:tcPr>
            <w:tcW w:w="2637" w:type="dxa"/>
            <w:tcBorders>
              <w:top w:val="single" w:sz="4" w:space="0" w:color="000000"/>
              <w:bottom w:val="single" w:sz="4" w:space="0" w:color="000000"/>
            </w:tcBorders>
          </w:tcPr>
          <w:p>
            <w:pPr>
              <w:pStyle w:val="TableParagraph"/>
              <w:spacing w:before="19"/>
              <w:ind w:left="14"/>
              <w:jc w:val="left"/>
              <w:rPr>
                <w:sz w:val="20"/>
              </w:rPr>
            </w:pPr>
            <w:r>
              <w:rPr>
                <w:spacing w:val="-2"/>
                <w:sz w:val="20"/>
              </w:rPr>
              <w:t>Palestine</w:t>
            </w:r>
          </w:p>
        </w:tc>
        <w:tc>
          <w:tcPr>
            <w:tcW w:w="1781" w:type="dxa"/>
            <w:tcBorders>
              <w:top w:val="single" w:sz="4" w:space="0" w:color="000000"/>
              <w:bottom w:val="single" w:sz="4" w:space="0" w:color="000000"/>
            </w:tcBorders>
          </w:tcPr>
          <w:p>
            <w:pPr>
              <w:pStyle w:val="TableParagraph"/>
              <w:spacing w:before="19"/>
              <w:ind w:right="6"/>
              <w:rPr>
                <w:sz w:val="20"/>
              </w:rPr>
            </w:pPr>
            <w:r>
              <w:rPr>
                <w:spacing w:val="-2"/>
                <w:sz w:val="20"/>
              </w:rPr>
              <w:t>FOP-</w:t>
            </w:r>
            <w:r>
              <w:rPr>
                <w:spacing w:val="-5"/>
                <w:sz w:val="20"/>
              </w:rPr>
              <w:t>PAL</w:t>
            </w:r>
          </w:p>
        </w:tc>
      </w:tr>
      <w:tr>
        <w:trPr>
          <w:trHeight w:val="268" w:hRule="atLeast"/>
        </w:trPr>
        <w:tc>
          <w:tcPr>
            <w:tcW w:w="2637" w:type="dxa"/>
            <w:tcBorders>
              <w:top w:val="single" w:sz="4" w:space="0" w:color="000000"/>
              <w:bottom w:val="single" w:sz="4" w:space="0" w:color="000000"/>
            </w:tcBorders>
          </w:tcPr>
          <w:p>
            <w:pPr>
              <w:pStyle w:val="TableParagraph"/>
              <w:spacing w:line="229" w:lineRule="exact" w:before="19"/>
              <w:ind w:left="14"/>
              <w:jc w:val="left"/>
              <w:rPr>
                <w:sz w:val="20"/>
              </w:rPr>
            </w:pPr>
            <w:r>
              <w:rPr>
                <w:spacing w:val="-2"/>
                <w:sz w:val="20"/>
              </w:rPr>
              <w:t>Philippines</w:t>
            </w:r>
          </w:p>
        </w:tc>
        <w:tc>
          <w:tcPr>
            <w:tcW w:w="1781" w:type="dxa"/>
            <w:tcBorders>
              <w:top w:val="single" w:sz="4" w:space="0" w:color="000000"/>
              <w:bottom w:val="single" w:sz="4" w:space="0" w:color="000000"/>
            </w:tcBorders>
          </w:tcPr>
          <w:p>
            <w:pPr>
              <w:pStyle w:val="TableParagraph"/>
              <w:spacing w:line="229" w:lineRule="exact" w:before="19"/>
              <w:ind w:right="6"/>
              <w:rPr>
                <w:sz w:val="20"/>
              </w:rPr>
            </w:pPr>
            <w:r>
              <w:rPr>
                <w:spacing w:val="-2"/>
                <w:sz w:val="20"/>
              </w:rPr>
              <w:t>FOP-</w:t>
            </w:r>
            <w:r>
              <w:rPr>
                <w:spacing w:val="-5"/>
                <w:sz w:val="20"/>
              </w:rPr>
              <w:t>PHL</w:t>
            </w:r>
          </w:p>
        </w:tc>
      </w:tr>
      <w:tr>
        <w:trPr>
          <w:trHeight w:val="266" w:hRule="atLeast"/>
        </w:trPr>
        <w:tc>
          <w:tcPr>
            <w:tcW w:w="2637" w:type="dxa"/>
            <w:tcBorders>
              <w:top w:val="single" w:sz="4" w:space="0" w:color="000000"/>
              <w:bottom w:val="single" w:sz="6" w:space="0" w:color="000000"/>
            </w:tcBorders>
          </w:tcPr>
          <w:p>
            <w:pPr>
              <w:pStyle w:val="TableParagraph"/>
              <w:spacing w:line="227" w:lineRule="exact" w:before="19"/>
              <w:ind w:left="14"/>
              <w:jc w:val="left"/>
              <w:rPr>
                <w:sz w:val="20"/>
              </w:rPr>
            </w:pPr>
            <w:r>
              <w:rPr>
                <w:spacing w:val="-2"/>
                <w:sz w:val="20"/>
              </w:rPr>
              <w:t>Sudan</w:t>
            </w:r>
          </w:p>
        </w:tc>
        <w:tc>
          <w:tcPr>
            <w:tcW w:w="1781" w:type="dxa"/>
            <w:tcBorders>
              <w:top w:val="single" w:sz="4" w:space="0" w:color="000000"/>
              <w:bottom w:val="single" w:sz="6" w:space="0" w:color="000000"/>
            </w:tcBorders>
          </w:tcPr>
          <w:p>
            <w:pPr>
              <w:pStyle w:val="TableParagraph"/>
              <w:spacing w:line="227" w:lineRule="exact" w:before="19"/>
              <w:ind w:right="7"/>
              <w:rPr>
                <w:sz w:val="20"/>
              </w:rPr>
            </w:pPr>
            <w:r>
              <w:rPr>
                <w:spacing w:val="-2"/>
                <w:sz w:val="20"/>
              </w:rPr>
              <w:t>FOP-</w:t>
            </w:r>
            <w:r>
              <w:rPr>
                <w:spacing w:val="-5"/>
                <w:sz w:val="20"/>
              </w:rPr>
              <w:t>SUD</w:t>
            </w:r>
          </w:p>
        </w:tc>
      </w:tr>
      <w:tr>
        <w:trPr>
          <w:trHeight w:val="270" w:hRule="atLeast"/>
        </w:trPr>
        <w:tc>
          <w:tcPr>
            <w:tcW w:w="2637" w:type="dxa"/>
            <w:tcBorders>
              <w:top w:val="single" w:sz="6" w:space="0" w:color="000000"/>
              <w:bottom w:val="single" w:sz="4" w:space="0" w:color="000000"/>
            </w:tcBorders>
          </w:tcPr>
          <w:p>
            <w:pPr>
              <w:pStyle w:val="TableParagraph"/>
              <w:spacing w:before="17"/>
              <w:ind w:left="14"/>
              <w:jc w:val="left"/>
              <w:rPr>
                <w:sz w:val="20"/>
              </w:rPr>
            </w:pPr>
            <w:r>
              <w:rPr>
                <w:spacing w:val="-2"/>
                <w:sz w:val="20"/>
              </w:rPr>
              <w:t>Venezuela</w:t>
            </w:r>
          </w:p>
        </w:tc>
        <w:tc>
          <w:tcPr>
            <w:tcW w:w="1781" w:type="dxa"/>
            <w:tcBorders>
              <w:top w:val="single" w:sz="6" w:space="0" w:color="000000"/>
              <w:bottom w:val="single" w:sz="4" w:space="0" w:color="000000"/>
            </w:tcBorders>
          </w:tcPr>
          <w:p>
            <w:pPr>
              <w:pStyle w:val="TableParagraph"/>
              <w:spacing w:before="17"/>
              <w:ind w:right="1"/>
              <w:rPr>
                <w:sz w:val="20"/>
              </w:rPr>
            </w:pPr>
            <w:r>
              <w:rPr>
                <w:spacing w:val="-2"/>
                <w:sz w:val="20"/>
              </w:rPr>
              <w:t>FOP-</w:t>
            </w:r>
            <w:r>
              <w:rPr>
                <w:spacing w:val="-5"/>
                <w:sz w:val="20"/>
              </w:rPr>
              <w:t>VEN</w:t>
            </w:r>
          </w:p>
        </w:tc>
      </w:tr>
      <w:tr>
        <w:trPr>
          <w:trHeight w:val="268" w:hRule="atLeast"/>
        </w:trPr>
        <w:tc>
          <w:tcPr>
            <w:tcW w:w="2637" w:type="dxa"/>
            <w:tcBorders>
              <w:top w:val="single" w:sz="4" w:space="0" w:color="000000"/>
              <w:bottom w:val="single" w:sz="4" w:space="0" w:color="000000"/>
            </w:tcBorders>
          </w:tcPr>
          <w:p>
            <w:pPr>
              <w:pStyle w:val="TableParagraph"/>
              <w:spacing w:line="229" w:lineRule="exact" w:before="19"/>
              <w:ind w:left="14"/>
              <w:jc w:val="left"/>
              <w:rPr>
                <w:i/>
                <w:sz w:val="20"/>
              </w:rPr>
            </w:pPr>
            <w:r>
              <w:rPr>
                <w:i/>
                <w:spacing w:val="-2"/>
                <w:sz w:val="20"/>
              </w:rPr>
              <w:t>Trial</w:t>
            </w:r>
          </w:p>
        </w:tc>
        <w:tc>
          <w:tcPr>
            <w:tcW w:w="1781" w:type="dxa"/>
            <w:tcBorders>
              <w:top w:val="single" w:sz="4" w:space="0" w:color="000000"/>
              <w:bottom w:val="single" w:sz="4" w:space="0" w:color="000000"/>
            </w:tcBorders>
          </w:tcPr>
          <w:p>
            <w:pPr>
              <w:pStyle w:val="TableParagraph"/>
              <w:jc w:val="left"/>
              <w:rPr>
                <w:sz w:val="18"/>
              </w:rPr>
            </w:pPr>
          </w:p>
        </w:tc>
      </w:tr>
      <w:tr>
        <w:trPr>
          <w:trHeight w:val="268" w:hRule="atLeast"/>
        </w:trPr>
        <w:tc>
          <w:tcPr>
            <w:tcW w:w="2637" w:type="dxa"/>
            <w:tcBorders>
              <w:top w:val="single" w:sz="4" w:space="0" w:color="000000"/>
              <w:bottom w:val="single" w:sz="4" w:space="0" w:color="000000"/>
            </w:tcBorders>
          </w:tcPr>
          <w:p>
            <w:pPr>
              <w:pStyle w:val="TableParagraph"/>
              <w:spacing w:line="229" w:lineRule="exact" w:before="19"/>
              <w:ind w:left="14"/>
              <w:jc w:val="left"/>
              <w:rPr>
                <w:sz w:val="20"/>
              </w:rPr>
            </w:pPr>
            <w:r>
              <w:rPr>
                <w:spacing w:val="-2"/>
                <w:sz w:val="20"/>
              </w:rPr>
              <w:t>Kenya</w:t>
            </w:r>
          </w:p>
        </w:tc>
        <w:tc>
          <w:tcPr>
            <w:tcW w:w="1781" w:type="dxa"/>
            <w:tcBorders>
              <w:top w:val="single" w:sz="4" w:space="0" w:color="000000"/>
              <w:bottom w:val="single" w:sz="4" w:space="0" w:color="000000"/>
            </w:tcBorders>
          </w:tcPr>
          <w:p>
            <w:pPr>
              <w:pStyle w:val="TableParagraph"/>
              <w:spacing w:line="229" w:lineRule="exact" w:before="19"/>
              <w:ind w:right="-15"/>
              <w:rPr>
                <w:sz w:val="20"/>
              </w:rPr>
            </w:pPr>
            <w:r>
              <w:rPr>
                <w:spacing w:val="-2"/>
                <w:sz w:val="20"/>
              </w:rPr>
              <w:t>CIS-</w:t>
            </w:r>
            <w:r>
              <w:rPr>
                <w:spacing w:val="-5"/>
                <w:sz w:val="20"/>
              </w:rPr>
              <w:t>KEN</w:t>
            </w:r>
          </w:p>
        </w:tc>
      </w:tr>
      <w:tr>
        <w:trPr>
          <w:trHeight w:val="273" w:hRule="atLeast"/>
        </w:trPr>
        <w:tc>
          <w:tcPr>
            <w:tcW w:w="2637" w:type="dxa"/>
            <w:tcBorders>
              <w:top w:val="single" w:sz="4" w:space="0" w:color="000000"/>
              <w:bottom w:val="single" w:sz="4" w:space="0" w:color="000000"/>
            </w:tcBorders>
          </w:tcPr>
          <w:p>
            <w:pPr>
              <w:pStyle w:val="TableParagraph"/>
              <w:spacing w:before="19"/>
              <w:ind w:left="14"/>
              <w:jc w:val="left"/>
              <w:rPr>
                <w:sz w:val="20"/>
              </w:rPr>
            </w:pPr>
            <w:r>
              <w:rPr>
                <w:spacing w:val="-2"/>
                <w:sz w:val="20"/>
              </w:rPr>
              <w:t>Sudan</w:t>
            </w:r>
          </w:p>
        </w:tc>
        <w:tc>
          <w:tcPr>
            <w:tcW w:w="1781" w:type="dxa"/>
            <w:tcBorders>
              <w:top w:val="single" w:sz="4" w:space="0" w:color="000000"/>
              <w:bottom w:val="single" w:sz="4" w:space="0" w:color="000000"/>
            </w:tcBorders>
          </w:tcPr>
          <w:p>
            <w:pPr>
              <w:pStyle w:val="TableParagraph"/>
              <w:spacing w:before="19"/>
              <w:ind w:right="3"/>
              <w:rPr>
                <w:sz w:val="20"/>
              </w:rPr>
            </w:pPr>
            <w:r>
              <w:rPr>
                <w:spacing w:val="-2"/>
                <w:sz w:val="20"/>
              </w:rPr>
              <w:t>CIS-</w:t>
            </w:r>
            <w:r>
              <w:rPr>
                <w:spacing w:val="-5"/>
                <w:sz w:val="20"/>
              </w:rPr>
              <w:t>SUD</w:t>
            </w:r>
          </w:p>
        </w:tc>
      </w:tr>
    </w:tbl>
    <w:p>
      <w:pPr>
        <w:pStyle w:val="BodyText"/>
        <w:spacing w:before="3"/>
        <w:rPr>
          <w:sz w:val="21"/>
        </w:rPr>
      </w:pPr>
    </w:p>
    <w:p>
      <w:pPr>
        <w:pStyle w:val="Heading3"/>
        <w:numPr>
          <w:ilvl w:val="0"/>
          <w:numId w:val="7"/>
        </w:numPr>
        <w:tabs>
          <w:tab w:pos="2246" w:val="left" w:leader="none"/>
          <w:tab w:pos="2247" w:val="left" w:leader="none"/>
        </w:tabs>
        <w:spacing w:line="240" w:lineRule="auto" w:before="1" w:after="0"/>
        <w:ind w:left="2246" w:right="0" w:hanging="568"/>
        <w:jc w:val="left"/>
      </w:pPr>
      <w:r>
        <w:rPr/>
        <w:t>Unified</w:t>
      </w:r>
      <w:r>
        <w:rPr>
          <w:spacing w:val="-5"/>
        </w:rPr>
        <w:t> </w:t>
      </w:r>
      <w:r>
        <w:rPr>
          <w:spacing w:val="-2"/>
        </w:rPr>
        <w:t>teams</w:t>
      </w:r>
    </w:p>
    <w:p>
      <w:pPr>
        <w:pStyle w:val="BodyText"/>
        <w:spacing w:before="6"/>
        <w:rPr>
          <w:b/>
        </w:rPr>
      </w:pPr>
    </w:p>
    <w:p>
      <w:pPr>
        <w:pStyle w:val="ListParagraph"/>
        <w:numPr>
          <w:ilvl w:val="0"/>
          <w:numId w:val="4"/>
        </w:numPr>
        <w:tabs>
          <w:tab w:pos="2967" w:val="left" w:leader="none"/>
        </w:tabs>
        <w:spacing w:line="240" w:lineRule="auto" w:before="0" w:after="0"/>
        <w:ind w:left="2246" w:right="2244" w:firstLine="0"/>
        <w:jc w:val="both"/>
        <w:rPr>
          <w:sz w:val="20"/>
        </w:rPr>
      </w:pPr>
      <w:r>
        <w:rPr>
          <w:sz w:val="20"/>
        </w:rPr>
        <w:t>Unified</w:t>
      </w:r>
      <w:r>
        <w:rPr>
          <w:spacing w:val="-9"/>
          <w:sz w:val="20"/>
        </w:rPr>
        <w:t> </w:t>
      </w:r>
      <w:r>
        <w:rPr>
          <w:sz w:val="20"/>
        </w:rPr>
        <w:t>Teams</w:t>
      </w:r>
      <w:r>
        <w:rPr>
          <w:spacing w:val="-6"/>
          <w:sz w:val="20"/>
        </w:rPr>
        <w:t> </w:t>
      </w:r>
      <w:r>
        <w:rPr>
          <w:sz w:val="20"/>
        </w:rPr>
        <w:t>are</w:t>
      </w:r>
      <w:r>
        <w:rPr>
          <w:spacing w:val="-8"/>
          <w:sz w:val="20"/>
        </w:rPr>
        <w:t> </w:t>
      </w:r>
      <w:r>
        <w:rPr>
          <w:sz w:val="20"/>
        </w:rPr>
        <w:t>constituted</w:t>
      </w:r>
      <w:r>
        <w:rPr>
          <w:spacing w:val="-9"/>
          <w:sz w:val="20"/>
        </w:rPr>
        <w:t> </w:t>
      </w:r>
      <w:r>
        <w:rPr>
          <w:sz w:val="20"/>
        </w:rPr>
        <w:t>to</w:t>
      </w:r>
      <w:r>
        <w:rPr>
          <w:spacing w:val="-9"/>
          <w:sz w:val="20"/>
        </w:rPr>
        <w:t> </w:t>
      </w:r>
      <w:r>
        <w:rPr>
          <w:sz w:val="20"/>
        </w:rPr>
        <w:t>address</w:t>
      </w:r>
      <w:r>
        <w:rPr>
          <w:spacing w:val="-11"/>
          <w:sz w:val="20"/>
        </w:rPr>
        <w:t> </w:t>
      </w:r>
      <w:r>
        <w:rPr>
          <w:sz w:val="20"/>
        </w:rPr>
        <w:t>each</w:t>
      </w:r>
      <w:r>
        <w:rPr>
          <w:spacing w:val="-9"/>
          <w:sz w:val="20"/>
        </w:rPr>
        <w:t> </w:t>
      </w:r>
      <w:r>
        <w:rPr>
          <w:sz w:val="20"/>
        </w:rPr>
        <w:t>situation</w:t>
      </w:r>
      <w:r>
        <w:rPr>
          <w:spacing w:val="-9"/>
          <w:sz w:val="20"/>
        </w:rPr>
        <w:t> </w:t>
      </w:r>
      <w:r>
        <w:rPr>
          <w:sz w:val="20"/>
        </w:rPr>
        <w:t>addressed</w:t>
      </w:r>
      <w:r>
        <w:rPr>
          <w:spacing w:val="-5"/>
          <w:sz w:val="20"/>
        </w:rPr>
        <w:t> </w:t>
      </w:r>
      <w:r>
        <w:rPr>
          <w:sz w:val="20"/>
        </w:rPr>
        <w:t>by</w:t>
      </w:r>
      <w:r>
        <w:rPr>
          <w:spacing w:val="-9"/>
          <w:sz w:val="20"/>
        </w:rPr>
        <w:t> </w:t>
      </w:r>
      <w:r>
        <w:rPr>
          <w:sz w:val="20"/>
        </w:rPr>
        <w:t>the</w:t>
      </w:r>
      <w:r>
        <w:rPr>
          <w:spacing w:val="-8"/>
          <w:sz w:val="20"/>
        </w:rPr>
        <w:t> </w:t>
      </w:r>
      <w:r>
        <w:rPr>
          <w:sz w:val="20"/>
        </w:rPr>
        <w:t>Office</w:t>
      </w:r>
      <w:r>
        <w:rPr>
          <w:spacing w:val="-8"/>
          <w:sz w:val="20"/>
        </w:rPr>
        <w:t> </w:t>
      </w:r>
      <w:r>
        <w:rPr>
          <w:sz w:val="20"/>
        </w:rPr>
        <w:t>and incorporate lawyers, investigators, analysts, international cooperation advisers and country experts.</w:t>
      </w:r>
      <w:r>
        <w:rPr>
          <w:spacing w:val="-13"/>
          <w:sz w:val="20"/>
        </w:rPr>
        <w:t> </w:t>
      </w:r>
      <w:r>
        <w:rPr>
          <w:sz w:val="20"/>
        </w:rPr>
        <w:t>By</w:t>
      </w:r>
      <w:r>
        <w:rPr>
          <w:spacing w:val="-12"/>
          <w:sz w:val="20"/>
        </w:rPr>
        <w:t> </w:t>
      </w:r>
      <w:r>
        <w:rPr>
          <w:sz w:val="20"/>
        </w:rPr>
        <w:t>integrating</w:t>
      </w:r>
      <w:r>
        <w:rPr>
          <w:spacing w:val="-13"/>
          <w:sz w:val="20"/>
        </w:rPr>
        <w:t> </w:t>
      </w:r>
      <w:r>
        <w:rPr>
          <w:sz w:val="20"/>
        </w:rPr>
        <w:t>staff</w:t>
      </w:r>
      <w:r>
        <w:rPr>
          <w:spacing w:val="-12"/>
          <w:sz w:val="20"/>
        </w:rPr>
        <w:t> </w:t>
      </w:r>
      <w:r>
        <w:rPr>
          <w:sz w:val="20"/>
        </w:rPr>
        <w:t>involved</w:t>
      </w:r>
      <w:r>
        <w:rPr>
          <w:spacing w:val="-13"/>
          <w:sz w:val="20"/>
        </w:rPr>
        <w:t> </w:t>
      </w:r>
      <w:r>
        <w:rPr>
          <w:sz w:val="20"/>
        </w:rPr>
        <w:t>across</w:t>
      </w:r>
      <w:r>
        <w:rPr>
          <w:spacing w:val="-12"/>
          <w:sz w:val="20"/>
        </w:rPr>
        <w:t> </w:t>
      </w:r>
      <w:r>
        <w:rPr>
          <w:sz w:val="20"/>
        </w:rPr>
        <w:t>the</w:t>
      </w:r>
      <w:r>
        <w:rPr>
          <w:spacing w:val="-13"/>
          <w:sz w:val="20"/>
        </w:rPr>
        <w:t> </w:t>
      </w:r>
      <w:r>
        <w:rPr>
          <w:sz w:val="20"/>
        </w:rPr>
        <w:t>investigative,</w:t>
      </w:r>
      <w:r>
        <w:rPr>
          <w:spacing w:val="-12"/>
          <w:sz w:val="20"/>
        </w:rPr>
        <w:t> </w:t>
      </w:r>
      <w:r>
        <w:rPr>
          <w:sz w:val="20"/>
        </w:rPr>
        <w:t>analytical</w:t>
      </w:r>
      <w:r>
        <w:rPr>
          <w:spacing w:val="-13"/>
          <w:sz w:val="20"/>
        </w:rPr>
        <w:t> </w:t>
      </w:r>
      <w:r>
        <w:rPr>
          <w:sz w:val="20"/>
        </w:rPr>
        <w:t>and</w:t>
      </w:r>
      <w:r>
        <w:rPr>
          <w:spacing w:val="-12"/>
          <w:sz w:val="20"/>
        </w:rPr>
        <w:t> </w:t>
      </w:r>
      <w:r>
        <w:rPr>
          <w:sz w:val="20"/>
        </w:rPr>
        <w:t>trial</w:t>
      </w:r>
      <w:r>
        <w:rPr>
          <w:spacing w:val="-13"/>
          <w:sz w:val="20"/>
        </w:rPr>
        <w:t> </w:t>
      </w:r>
      <w:r>
        <w:rPr>
          <w:sz w:val="20"/>
        </w:rPr>
        <w:t>proceedings stages</w:t>
      </w:r>
      <w:r>
        <w:rPr>
          <w:spacing w:val="-13"/>
          <w:sz w:val="20"/>
        </w:rPr>
        <w:t> </w:t>
      </w:r>
      <w:r>
        <w:rPr>
          <w:sz w:val="20"/>
        </w:rPr>
        <w:t>of</w:t>
      </w:r>
      <w:r>
        <w:rPr>
          <w:spacing w:val="-12"/>
          <w:sz w:val="20"/>
        </w:rPr>
        <w:t> </w:t>
      </w:r>
      <w:r>
        <w:rPr>
          <w:sz w:val="20"/>
        </w:rPr>
        <w:t>work</w:t>
      </w:r>
      <w:r>
        <w:rPr>
          <w:spacing w:val="-13"/>
          <w:sz w:val="20"/>
        </w:rPr>
        <w:t> </w:t>
      </w:r>
      <w:r>
        <w:rPr>
          <w:sz w:val="20"/>
        </w:rPr>
        <w:t>in</w:t>
      </w:r>
      <w:r>
        <w:rPr>
          <w:spacing w:val="-12"/>
          <w:sz w:val="20"/>
        </w:rPr>
        <w:t> </w:t>
      </w:r>
      <w:r>
        <w:rPr>
          <w:sz w:val="20"/>
        </w:rPr>
        <w:t>relation</w:t>
      </w:r>
      <w:r>
        <w:rPr>
          <w:spacing w:val="-13"/>
          <w:sz w:val="20"/>
        </w:rPr>
        <w:t> </w:t>
      </w:r>
      <w:r>
        <w:rPr>
          <w:sz w:val="20"/>
        </w:rPr>
        <w:t>to</w:t>
      </w:r>
      <w:r>
        <w:rPr>
          <w:spacing w:val="-12"/>
          <w:sz w:val="20"/>
        </w:rPr>
        <w:t> </w:t>
      </w:r>
      <w:r>
        <w:rPr>
          <w:sz w:val="20"/>
        </w:rPr>
        <w:t>a</w:t>
      </w:r>
      <w:r>
        <w:rPr>
          <w:spacing w:val="-13"/>
          <w:sz w:val="20"/>
        </w:rPr>
        <w:t> </w:t>
      </w:r>
      <w:r>
        <w:rPr>
          <w:sz w:val="20"/>
        </w:rPr>
        <w:t>situation,</w:t>
      </w:r>
      <w:r>
        <w:rPr>
          <w:spacing w:val="-12"/>
          <w:sz w:val="20"/>
        </w:rPr>
        <w:t> </w:t>
      </w:r>
      <w:r>
        <w:rPr>
          <w:sz w:val="20"/>
        </w:rPr>
        <w:t>the</w:t>
      </w:r>
      <w:r>
        <w:rPr>
          <w:spacing w:val="-13"/>
          <w:sz w:val="20"/>
        </w:rPr>
        <w:t> </w:t>
      </w:r>
      <w:r>
        <w:rPr>
          <w:sz w:val="20"/>
        </w:rPr>
        <w:t>Unified</w:t>
      </w:r>
      <w:r>
        <w:rPr>
          <w:spacing w:val="-12"/>
          <w:sz w:val="20"/>
        </w:rPr>
        <w:t> </w:t>
      </w:r>
      <w:r>
        <w:rPr>
          <w:sz w:val="20"/>
        </w:rPr>
        <w:t>Teams</w:t>
      </w:r>
      <w:r>
        <w:rPr>
          <w:spacing w:val="-13"/>
          <w:sz w:val="20"/>
        </w:rPr>
        <w:t> </w:t>
      </w:r>
      <w:r>
        <w:rPr>
          <w:sz w:val="20"/>
        </w:rPr>
        <w:t>build</w:t>
      </w:r>
      <w:r>
        <w:rPr>
          <w:spacing w:val="-12"/>
          <w:sz w:val="20"/>
        </w:rPr>
        <w:t> </w:t>
      </w:r>
      <w:r>
        <w:rPr>
          <w:sz w:val="20"/>
        </w:rPr>
        <w:t>situation-specific</w:t>
      </w:r>
      <w:r>
        <w:rPr>
          <w:spacing w:val="-13"/>
          <w:sz w:val="20"/>
        </w:rPr>
        <w:t> </w:t>
      </w:r>
      <w:r>
        <w:rPr>
          <w:sz w:val="20"/>
        </w:rPr>
        <w:t>knowledge that maintain a continuity of resources and expertise. This modality also ensures enhanced standardization</w:t>
      </w:r>
      <w:r>
        <w:rPr>
          <w:spacing w:val="-5"/>
          <w:sz w:val="20"/>
        </w:rPr>
        <w:t> </w:t>
      </w:r>
      <w:r>
        <w:rPr>
          <w:sz w:val="20"/>
        </w:rPr>
        <w:t>of</w:t>
      </w:r>
      <w:r>
        <w:rPr>
          <w:spacing w:val="-5"/>
          <w:sz w:val="20"/>
        </w:rPr>
        <w:t> </w:t>
      </w:r>
      <w:r>
        <w:rPr>
          <w:sz w:val="20"/>
        </w:rPr>
        <w:t>working</w:t>
      </w:r>
      <w:r>
        <w:rPr>
          <w:spacing w:val="-8"/>
          <w:sz w:val="20"/>
        </w:rPr>
        <w:t> </w:t>
      </w:r>
      <w:r>
        <w:rPr>
          <w:sz w:val="20"/>
        </w:rPr>
        <w:t>methods</w:t>
      </w:r>
      <w:r>
        <w:rPr>
          <w:spacing w:val="-10"/>
          <w:sz w:val="20"/>
        </w:rPr>
        <w:t> </w:t>
      </w:r>
      <w:r>
        <w:rPr>
          <w:sz w:val="20"/>
        </w:rPr>
        <w:t>to</w:t>
      </w:r>
      <w:r>
        <w:rPr>
          <w:spacing w:val="-5"/>
          <w:sz w:val="20"/>
        </w:rPr>
        <w:t> </w:t>
      </w:r>
      <w:r>
        <w:rPr>
          <w:sz w:val="20"/>
        </w:rPr>
        <w:t>facilitate</w:t>
      </w:r>
      <w:r>
        <w:rPr>
          <w:spacing w:val="-7"/>
          <w:sz w:val="20"/>
        </w:rPr>
        <w:t> </w:t>
      </w:r>
      <w:r>
        <w:rPr>
          <w:sz w:val="20"/>
        </w:rPr>
        <w:t>the</w:t>
      </w:r>
      <w:r>
        <w:rPr>
          <w:spacing w:val="-3"/>
          <w:sz w:val="20"/>
        </w:rPr>
        <w:t> </w:t>
      </w:r>
      <w:r>
        <w:rPr>
          <w:sz w:val="20"/>
        </w:rPr>
        <w:t>transition</w:t>
      </w:r>
      <w:r>
        <w:rPr>
          <w:spacing w:val="-5"/>
          <w:sz w:val="20"/>
        </w:rPr>
        <w:t> </w:t>
      </w:r>
      <w:r>
        <w:rPr>
          <w:sz w:val="20"/>
        </w:rPr>
        <w:t>from</w:t>
      </w:r>
      <w:r>
        <w:rPr>
          <w:spacing w:val="-7"/>
          <w:sz w:val="20"/>
        </w:rPr>
        <w:t> </w:t>
      </w:r>
      <w:r>
        <w:rPr>
          <w:sz w:val="20"/>
        </w:rPr>
        <w:t>preliminary</w:t>
      </w:r>
      <w:r>
        <w:rPr>
          <w:spacing w:val="-8"/>
          <w:sz w:val="20"/>
        </w:rPr>
        <w:t> </w:t>
      </w:r>
      <w:r>
        <w:rPr>
          <w:sz w:val="20"/>
        </w:rPr>
        <w:t>examination to the investigation and trial phases.</w:t>
      </w:r>
    </w:p>
    <w:p>
      <w:pPr>
        <w:pStyle w:val="ListParagraph"/>
        <w:numPr>
          <w:ilvl w:val="0"/>
          <w:numId w:val="4"/>
        </w:numPr>
        <w:tabs>
          <w:tab w:pos="2967" w:val="left" w:leader="none"/>
        </w:tabs>
        <w:spacing w:line="240" w:lineRule="auto" w:before="123" w:after="0"/>
        <w:ind w:left="2246" w:right="2240" w:firstLine="0"/>
        <w:jc w:val="both"/>
        <w:rPr>
          <w:sz w:val="20"/>
        </w:rPr>
      </w:pPr>
      <w:r>
        <w:rPr>
          <w:sz w:val="20"/>
        </w:rPr>
        <w:t>In</w:t>
      </w:r>
      <w:r>
        <w:rPr>
          <w:spacing w:val="-4"/>
          <w:sz w:val="20"/>
        </w:rPr>
        <w:t> </w:t>
      </w:r>
      <w:r>
        <w:rPr>
          <w:sz w:val="20"/>
        </w:rPr>
        <w:t>line</w:t>
      </w:r>
      <w:r>
        <w:rPr>
          <w:spacing w:val="-2"/>
          <w:sz w:val="20"/>
        </w:rPr>
        <w:t> </w:t>
      </w:r>
      <w:r>
        <w:rPr>
          <w:sz w:val="20"/>
        </w:rPr>
        <w:t>with</w:t>
      </w:r>
      <w:r>
        <w:rPr>
          <w:spacing w:val="-8"/>
          <w:sz w:val="20"/>
        </w:rPr>
        <w:t> </w:t>
      </w:r>
      <w:r>
        <w:rPr>
          <w:sz w:val="20"/>
        </w:rPr>
        <w:t>the</w:t>
      </w:r>
      <w:r>
        <w:rPr>
          <w:spacing w:val="-2"/>
          <w:sz w:val="20"/>
        </w:rPr>
        <w:t> </w:t>
      </w:r>
      <w:r>
        <w:rPr>
          <w:sz w:val="20"/>
        </w:rPr>
        <w:t>priority</w:t>
      </w:r>
      <w:r>
        <w:rPr>
          <w:spacing w:val="-8"/>
          <w:sz w:val="20"/>
        </w:rPr>
        <w:t> </w:t>
      </w:r>
      <w:r>
        <w:rPr>
          <w:sz w:val="20"/>
        </w:rPr>
        <w:t>of</w:t>
      </w:r>
      <w:r>
        <w:rPr>
          <w:spacing w:val="-4"/>
          <w:sz w:val="20"/>
        </w:rPr>
        <w:t> </w:t>
      </w:r>
      <w:r>
        <w:rPr>
          <w:sz w:val="20"/>
        </w:rPr>
        <w:t>the</w:t>
      </w:r>
      <w:r>
        <w:rPr>
          <w:spacing w:val="-2"/>
          <w:sz w:val="20"/>
        </w:rPr>
        <w:t> </w:t>
      </w:r>
      <w:r>
        <w:rPr>
          <w:sz w:val="20"/>
        </w:rPr>
        <w:t>Prosecutor</w:t>
      </w:r>
      <w:r>
        <w:rPr>
          <w:spacing w:val="-8"/>
          <w:sz w:val="20"/>
        </w:rPr>
        <w:t> </w:t>
      </w:r>
      <w:r>
        <w:rPr>
          <w:sz w:val="20"/>
        </w:rPr>
        <w:t>to</w:t>
      </w:r>
      <w:r>
        <w:rPr>
          <w:spacing w:val="-8"/>
          <w:sz w:val="20"/>
        </w:rPr>
        <w:t> </w:t>
      </w:r>
      <w:r>
        <w:rPr>
          <w:sz w:val="20"/>
        </w:rPr>
        <w:t>render</w:t>
      </w:r>
      <w:r>
        <w:rPr>
          <w:spacing w:val="-8"/>
          <w:sz w:val="20"/>
        </w:rPr>
        <w:t> </w:t>
      </w:r>
      <w:r>
        <w:rPr>
          <w:sz w:val="20"/>
        </w:rPr>
        <w:t>the</w:t>
      </w:r>
      <w:r>
        <w:rPr>
          <w:spacing w:val="-7"/>
          <w:sz w:val="20"/>
        </w:rPr>
        <w:t> </w:t>
      </w:r>
      <w:r>
        <w:rPr>
          <w:sz w:val="20"/>
        </w:rPr>
        <w:t>investigative</w:t>
      </w:r>
      <w:r>
        <w:rPr>
          <w:spacing w:val="-7"/>
          <w:sz w:val="20"/>
        </w:rPr>
        <w:t> </w:t>
      </w:r>
      <w:r>
        <w:rPr>
          <w:sz w:val="20"/>
        </w:rPr>
        <w:t>activities</w:t>
      </w:r>
      <w:r>
        <w:rPr>
          <w:spacing w:val="-10"/>
          <w:sz w:val="20"/>
        </w:rPr>
        <w:t> </w:t>
      </w:r>
      <w:r>
        <w:rPr>
          <w:sz w:val="20"/>
        </w:rPr>
        <w:t>of</w:t>
      </w:r>
      <w:r>
        <w:rPr>
          <w:spacing w:val="-4"/>
          <w:sz w:val="20"/>
        </w:rPr>
        <w:t> </w:t>
      </w:r>
      <w:r>
        <w:rPr>
          <w:sz w:val="20"/>
        </w:rPr>
        <w:t>the Office more effective and to bring its work closer to affected communities, the Office is implementing</w:t>
      </w:r>
      <w:r>
        <w:rPr>
          <w:spacing w:val="-8"/>
          <w:sz w:val="20"/>
        </w:rPr>
        <w:t> </w:t>
      </w:r>
      <w:r>
        <w:rPr>
          <w:sz w:val="20"/>
        </w:rPr>
        <w:t>a</w:t>
      </w:r>
      <w:r>
        <w:rPr>
          <w:spacing w:val="-7"/>
          <w:sz w:val="20"/>
        </w:rPr>
        <w:t> </w:t>
      </w:r>
      <w:r>
        <w:rPr>
          <w:sz w:val="20"/>
        </w:rPr>
        <w:t>strategy</w:t>
      </w:r>
      <w:r>
        <w:rPr>
          <w:spacing w:val="-8"/>
          <w:sz w:val="20"/>
        </w:rPr>
        <w:t> </w:t>
      </w:r>
      <w:r>
        <w:rPr>
          <w:sz w:val="20"/>
        </w:rPr>
        <w:t>of</w:t>
      </w:r>
      <w:r>
        <w:rPr>
          <w:spacing w:val="-13"/>
          <w:sz w:val="20"/>
        </w:rPr>
        <w:t> </w:t>
      </w:r>
      <w:r>
        <w:rPr>
          <w:sz w:val="20"/>
        </w:rPr>
        <w:t>increased</w:t>
      </w:r>
      <w:r>
        <w:rPr>
          <w:spacing w:val="-7"/>
          <w:sz w:val="20"/>
        </w:rPr>
        <w:t> </w:t>
      </w:r>
      <w:r>
        <w:rPr>
          <w:sz w:val="20"/>
        </w:rPr>
        <w:t>filed</w:t>
      </w:r>
      <w:r>
        <w:rPr>
          <w:spacing w:val="-8"/>
          <w:sz w:val="20"/>
        </w:rPr>
        <w:t> </w:t>
      </w:r>
      <w:r>
        <w:rPr>
          <w:sz w:val="20"/>
        </w:rPr>
        <w:t>presence.</w:t>
      </w:r>
      <w:r>
        <w:rPr>
          <w:spacing w:val="-11"/>
          <w:sz w:val="20"/>
        </w:rPr>
        <w:t> </w:t>
      </w:r>
      <w:r>
        <w:rPr>
          <w:sz w:val="20"/>
        </w:rPr>
        <w:t>This</w:t>
      </w:r>
      <w:r>
        <w:rPr>
          <w:spacing w:val="-10"/>
          <w:sz w:val="20"/>
        </w:rPr>
        <w:t> </w:t>
      </w:r>
      <w:r>
        <w:rPr>
          <w:sz w:val="20"/>
        </w:rPr>
        <w:t>new</w:t>
      </w:r>
      <w:r>
        <w:rPr>
          <w:spacing w:val="-10"/>
          <w:sz w:val="20"/>
        </w:rPr>
        <w:t> </w:t>
      </w:r>
      <w:r>
        <w:rPr>
          <w:sz w:val="20"/>
        </w:rPr>
        <w:t>approach</w:t>
      </w:r>
      <w:r>
        <w:rPr>
          <w:spacing w:val="-13"/>
          <w:sz w:val="20"/>
        </w:rPr>
        <w:t> </w:t>
      </w:r>
      <w:r>
        <w:rPr>
          <w:sz w:val="20"/>
        </w:rPr>
        <w:t>is</w:t>
      </w:r>
      <w:r>
        <w:rPr>
          <w:spacing w:val="-4"/>
          <w:sz w:val="20"/>
        </w:rPr>
        <w:t> </w:t>
      </w:r>
      <w:r>
        <w:rPr>
          <w:sz w:val="20"/>
        </w:rPr>
        <w:t>visible</w:t>
      </w:r>
      <w:r>
        <w:rPr>
          <w:spacing w:val="-11"/>
          <w:sz w:val="20"/>
        </w:rPr>
        <w:t> </w:t>
      </w:r>
      <w:r>
        <w:rPr>
          <w:sz w:val="20"/>
        </w:rPr>
        <w:t>in</w:t>
      </w:r>
      <w:r>
        <w:rPr>
          <w:spacing w:val="-8"/>
          <w:sz w:val="20"/>
        </w:rPr>
        <w:t> </w:t>
      </w:r>
      <w:r>
        <w:rPr>
          <w:sz w:val="20"/>
        </w:rPr>
        <w:t>the</w:t>
      </w:r>
      <w:r>
        <w:rPr>
          <w:spacing w:val="-7"/>
          <w:sz w:val="20"/>
        </w:rPr>
        <w:t> </w:t>
      </w:r>
      <w:r>
        <w:rPr>
          <w:sz w:val="20"/>
        </w:rPr>
        <w:t>2023 Proposed</w:t>
      </w:r>
      <w:r>
        <w:rPr>
          <w:spacing w:val="-4"/>
          <w:sz w:val="20"/>
        </w:rPr>
        <w:t> </w:t>
      </w:r>
      <w:r>
        <w:rPr>
          <w:sz w:val="20"/>
        </w:rPr>
        <w:t>Programme</w:t>
      </w:r>
      <w:r>
        <w:rPr>
          <w:spacing w:val="-7"/>
          <w:sz w:val="20"/>
        </w:rPr>
        <w:t> </w:t>
      </w:r>
      <w:r>
        <w:rPr>
          <w:sz w:val="20"/>
        </w:rPr>
        <w:t>Budget,</w:t>
      </w:r>
      <w:r>
        <w:rPr>
          <w:spacing w:val="-1"/>
          <w:sz w:val="20"/>
        </w:rPr>
        <w:t> </w:t>
      </w:r>
      <w:r>
        <w:rPr>
          <w:sz w:val="20"/>
        </w:rPr>
        <w:t>where</w:t>
      </w:r>
      <w:r>
        <w:rPr>
          <w:spacing w:val="-2"/>
          <w:sz w:val="20"/>
        </w:rPr>
        <w:t> </w:t>
      </w:r>
      <w:r>
        <w:rPr>
          <w:sz w:val="20"/>
        </w:rPr>
        <w:t>parts</w:t>
      </w:r>
      <w:r>
        <w:rPr>
          <w:spacing w:val="-5"/>
          <w:sz w:val="20"/>
        </w:rPr>
        <w:t> </w:t>
      </w:r>
      <w:r>
        <w:rPr>
          <w:sz w:val="20"/>
        </w:rPr>
        <w:t>of</w:t>
      </w:r>
      <w:r>
        <w:rPr>
          <w:spacing w:val="-4"/>
          <w:sz w:val="20"/>
        </w:rPr>
        <w:t> </w:t>
      </w:r>
      <w:r>
        <w:rPr>
          <w:sz w:val="20"/>
        </w:rPr>
        <w:t>some</w:t>
      </w:r>
      <w:r>
        <w:rPr>
          <w:spacing w:val="-2"/>
          <w:sz w:val="20"/>
        </w:rPr>
        <w:t> </w:t>
      </w:r>
      <w:r>
        <w:rPr>
          <w:sz w:val="20"/>
        </w:rPr>
        <w:t>of</w:t>
      </w:r>
      <w:r>
        <w:rPr>
          <w:spacing w:val="-4"/>
          <w:sz w:val="20"/>
        </w:rPr>
        <w:t> </w:t>
      </w:r>
      <w:r>
        <w:rPr>
          <w:sz w:val="20"/>
        </w:rPr>
        <w:t>the</w:t>
      </w:r>
      <w:r>
        <w:rPr>
          <w:spacing w:val="-2"/>
          <w:sz w:val="20"/>
        </w:rPr>
        <w:t> </w:t>
      </w:r>
      <w:r>
        <w:rPr>
          <w:sz w:val="20"/>
        </w:rPr>
        <w:t>Unified</w:t>
      </w:r>
      <w:r>
        <w:rPr>
          <w:spacing w:val="-4"/>
          <w:sz w:val="20"/>
        </w:rPr>
        <w:t> </w:t>
      </w:r>
      <w:r>
        <w:rPr>
          <w:sz w:val="20"/>
        </w:rPr>
        <w:t>Teams</w:t>
      </w:r>
      <w:r>
        <w:rPr>
          <w:spacing w:val="-5"/>
          <w:sz w:val="20"/>
        </w:rPr>
        <w:t> </w:t>
      </w:r>
      <w:r>
        <w:rPr>
          <w:sz w:val="20"/>
        </w:rPr>
        <w:t>are</w:t>
      </w:r>
      <w:r>
        <w:rPr>
          <w:spacing w:val="-2"/>
          <w:sz w:val="20"/>
        </w:rPr>
        <w:t> </w:t>
      </w:r>
      <w:r>
        <w:rPr>
          <w:sz w:val="20"/>
        </w:rPr>
        <w:t>stationed</w:t>
      </w:r>
      <w:r>
        <w:rPr>
          <w:spacing w:val="-4"/>
          <w:sz w:val="20"/>
        </w:rPr>
        <w:t> </w:t>
      </w:r>
      <w:r>
        <w:rPr>
          <w:sz w:val="20"/>
        </w:rPr>
        <w:t>in</w:t>
      </w:r>
      <w:r>
        <w:rPr>
          <w:spacing w:val="-4"/>
          <w:sz w:val="20"/>
        </w:rPr>
        <w:t> </w:t>
      </w:r>
      <w:r>
        <w:rPr>
          <w:sz w:val="20"/>
        </w:rPr>
        <w:t>the situation countries. The details of this allocation is shown further down in the tables which list the staff resources (Established and GTA) of this pillar.</w:t>
      </w:r>
    </w:p>
    <w:p>
      <w:pPr>
        <w:pStyle w:val="BodyText"/>
        <w:spacing w:before="8"/>
      </w:pPr>
    </w:p>
    <w:p>
      <w:pPr>
        <w:pStyle w:val="Heading3"/>
        <w:numPr>
          <w:ilvl w:val="0"/>
          <w:numId w:val="7"/>
        </w:numPr>
        <w:tabs>
          <w:tab w:pos="2246" w:val="left" w:leader="none"/>
          <w:tab w:pos="2247" w:val="left" w:leader="none"/>
        </w:tabs>
        <w:spacing w:line="240" w:lineRule="auto" w:before="0" w:after="0"/>
        <w:ind w:left="2246" w:right="0" w:hanging="568"/>
        <w:jc w:val="left"/>
      </w:pPr>
      <w:r>
        <w:rPr/>
        <w:t>Preliminary</w:t>
      </w:r>
      <w:r>
        <w:rPr>
          <w:spacing w:val="-11"/>
        </w:rPr>
        <w:t> </w:t>
      </w:r>
      <w:r>
        <w:rPr/>
        <w:t>Examination</w:t>
      </w:r>
      <w:r>
        <w:rPr>
          <w:spacing w:val="-10"/>
        </w:rPr>
        <w:t> </w:t>
      </w:r>
      <w:r>
        <w:rPr>
          <w:spacing w:val="-2"/>
        </w:rPr>
        <w:t>Section</w:t>
      </w:r>
    </w:p>
    <w:p>
      <w:pPr>
        <w:pStyle w:val="BodyText"/>
        <w:spacing w:before="10"/>
        <w:rPr>
          <w:b/>
        </w:rPr>
      </w:pPr>
    </w:p>
    <w:p>
      <w:pPr>
        <w:pStyle w:val="ListParagraph"/>
        <w:numPr>
          <w:ilvl w:val="0"/>
          <w:numId w:val="4"/>
        </w:numPr>
        <w:tabs>
          <w:tab w:pos="2967" w:val="left" w:leader="none"/>
        </w:tabs>
        <w:spacing w:line="240" w:lineRule="auto" w:before="1" w:after="0"/>
        <w:ind w:left="2246" w:right="2246" w:firstLine="0"/>
        <w:jc w:val="both"/>
        <w:rPr>
          <w:sz w:val="20"/>
        </w:rPr>
      </w:pPr>
      <w:r>
        <w:rPr>
          <w:sz w:val="20"/>
        </w:rPr>
        <w:t>The</w:t>
      </w:r>
      <w:r>
        <w:rPr>
          <w:spacing w:val="-13"/>
          <w:sz w:val="20"/>
        </w:rPr>
        <w:t> </w:t>
      </w:r>
      <w:r>
        <w:rPr>
          <w:sz w:val="20"/>
        </w:rPr>
        <w:t>Preliminary</w:t>
      </w:r>
      <w:r>
        <w:rPr>
          <w:spacing w:val="-12"/>
          <w:sz w:val="20"/>
        </w:rPr>
        <w:t> </w:t>
      </w:r>
      <w:r>
        <w:rPr>
          <w:sz w:val="20"/>
        </w:rPr>
        <w:t>Examination</w:t>
      </w:r>
      <w:r>
        <w:rPr>
          <w:spacing w:val="-9"/>
          <w:sz w:val="20"/>
        </w:rPr>
        <w:t> </w:t>
      </w:r>
      <w:r>
        <w:rPr>
          <w:sz w:val="20"/>
        </w:rPr>
        <w:t>Section</w:t>
      </w:r>
      <w:r>
        <w:rPr>
          <w:spacing w:val="-13"/>
          <w:sz w:val="20"/>
        </w:rPr>
        <w:t> </w:t>
      </w:r>
      <w:r>
        <w:rPr>
          <w:sz w:val="20"/>
        </w:rPr>
        <w:t>(PES)</w:t>
      </w:r>
      <w:r>
        <w:rPr>
          <w:spacing w:val="-12"/>
          <w:sz w:val="20"/>
        </w:rPr>
        <w:t> </w:t>
      </w:r>
      <w:r>
        <w:rPr>
          <w:sz w:val="20"/>
        </w:rPr>
        <w:t>continues</w:t>
      </w:r>
      <w:r>
        <w:rPr>
          <w:spacing w:val="-11"/>
          <w:sz w:val="20"/>
        </w:rPr>
        <w:t> </w:t>
      </w:r>
      <w:r>
        <w:rPr>
          <w:sz w:val="20"/>
        </w:rPr>
        <w:t>to</w:t>
      </w:r>
      <w:r>
        <w:rPr>
          <w:spacing w:val="-9"/>
          <w:sz w:val="20"/>
        </w:rPr>
        <w:t> </w:t>
      </w:r>
      <w:r>
        <w:rPr>
          <w:sz w:val="20"/>
        </w:rPr>
        <w:t>support</w:t>
      </w:r>
      <w:r>
        <w:rPr>
          <w:spacing w:val="-13"/>
          <w:sz w:val="20"/>
        </w:rPr>
        <w:t> </w:t>
      </w:r>
      <w:r>
        <w:rPr>
          <w:sz w:val="20"/>
        </w:rPr>
        <w:t>the</w:t>
      </w:r>
      <w:r>
        <w:rPr>
          <w:spacing w:val="-12"/>
          <w:sz w:val="20"/>
        </w:rPr>
        <w:t> </w:t>
      </w:r>
      <w:r>
        <w:rPr>
          <w:sz w:val="20"/>
        </w:rPr>
        <w:t>exercise</w:t>
      </w:r>
      <w:r>
        <w:rPr>
          <w:spacing w:val="-8"/>
          <w:sz w:val="20"/>
        </w:rPr>
        <w:t> </w:t>
      </w:r>
      <w:r>
        <w:rPr>
          <w:sz w:val="20"/>
        </w:rPr>
        <w:t>of</w:t>
      </w:r>
      <w:r>
        <w:rPr>
          <w:spacing w:val="-9"/>
          <w:sz w:val="20"/>
        </w:rPr>
        <w:t> </w:t>
      </w:r>
      <w:r>
        <w:rPr>
          <w:sz w:val="20"/>
        </w:rPr>
        <w:t>the responsibilities of the Office for determining whether a situation meets the legal criteria established by the Rome Statute to warrant investigation. PES ensures that the Office effectively conducts a preliminary examination of all communications and situations that come to its attention based on the statutory criteria and the information available.</w:t>
      </w:r>
    </w:p>
    <w:p>
      <w:pPr>
        <w:pStyle w:val="ListParagraph"/>
        <w:numPr>
          <w:ilvl w:val="0"/>
          <w:numId w:val="4"/>
        </w:numPr>
        <w:tabs>
          <w:tab w:pos="2967" w:val="left" w:leader="none"/>
        </w:tabs>
        <w:spacing w:line="240" w:lineRule="auto" w:before="122" w:after="0"/>
        <w:ind w:left="2246" w:right="2242" w:firstLine="0"/>
        <w:jc w:val="both"/>
        <w:rPr>
          <w:sz w:val="20"/>
        </w:rPr>
      </w:pPr>
      <w:r>
        <w:rPr>
          <w:sz w:val="20"/>
        </w:rPr>
        <w:t>Preliminary</w:t>
      </w:r>
      <w:r>
        <w:rPr>
          <w:spacing w:val="-13"/>
          <w:sz w:val="20"/>
        </w:rPr>
        <w:t> </w:t>
      </w:r>
      <w:r>
        <w:rPr>
          <w:sz w:val="20"/>
        </w:rPr>
        <w:t>examinations</w:t>
      </w:r>
      <w:r>
        <w:rPr>
          <w:spacing w:val="-12"/>
          <w:sz w:val="20"/>
        </w:rPr>
        <w:t> </w:t>
      </w:r>
      <w:r>
        <w:rPr>
          <w:sz w:val="20"/>
        </w:rPr>
        <w:t>also</w:t>
      </w:r>
      <w:r>
        <w:rPr>
          <w:spacing w:val="-13"/>
          <w:sz w:val="20"/>
        </w:rPr>
        <w:t> </w:t>
      </w:r>
      <w:r>
        <w:rPr>
          <w:sz w:val="20"/>
        </w:rPr>
        <w:t>serve</w:t>
      </w:r>
      <w:r>
        <w:rPr>
          <w:spacing w:val="-12"/>
          <w:sz w:val="20"/>
        </w:rPr>
        <w:t> </w:t>
      </w:r>
      <w:r>
        <w:rPr>
          <w:sz w:val="20"/>
        </w:rPr>
        <w:t>to</w:t>
      </w:r>
      <w:r>
        <w:rPr>
          <w:spacing w:val="-13"/>
          <w:sz w:val="20"/>
        </w:rPr>
        <w:t> </w:t>
      </w:r>
      <w:r>
        <w:rPr>
          <w:sz w:val="20"/>
        </w:rPr>
        <w:t>lay</w:t>
      </w:r>
      <w:r>
        <w:rPr>
          <w:spacing w:val="-12"/>
          <w:sz w:val="20"/>
        </w:rPr>
        <w:t> </w:t>
      </w:r>
      <w:r>
        <w:rPr>
          <w:sz w:val="20"/>
        </w:rPr>
        <w:t>a</w:t>
      </w:r>
      <w:r>
        <w:rPr>
          <w:spacing w:val="-13"/>
          <w:sz w:val="20"/>
        </w:rPr>
        <w:t> </w:t>
      </w:r>
      <w:r>
        <w:rPr>
          <w:sz w:val="20"/>
        </w:rPr>
        <w:t>foundation</w:t>
      </w:r>
      <w:r>
        <w:rPr>
          <w:spacing w:val="-12"/>
          <w:sz w:val="20"/>
        </w:rPr>
        <w:t> </w:t>
      </w:r>
      <w:r>
        <w:rPr>
          <w:sz w:val="20"/>
        </w:rPr>
        <w:t>for</w:t>
      </w:r>
      <w:r>
        <w:rPr>
          <w:spacing w:val="-13"/>
          <w:sz w:val="20"/>
        </w:rPr>
        <w:t> </w:t>
      </w:r>
      <w:r>
        <w:rPr>
          <w:sz w:val="20"/>
        </w:rPr>
        <w:t>cooperation</w:t>
      </w:r>
      <w:r>
        <w:rPr>
          <w:spacing w:val="-12"/>
          <w:sz w:val="20"/>
        </w:rPr>
        <w:t> </w:t>
      </w:r>
      <w:r>
        <w:rPr>
          <w:sz w:val="20"/>
        </w:rPr>
        <w:t>in</w:t>
      </w:r>
      <w:r>
        <w:rPr>
          <w:spacing w:val="-13"/>
          <w:sz w:val="20"/>
        </w:rPr>
        <w:t> </w:t>
      </w:r>
      <w:r>
        <w:rPr>
          <w:sz w:val="20"/>
        </w:rPr>
        <w:t>situations where</w:t>
      </w:r>
      <w:r>
        <w:rPr>
          <w:spacing w:val="-2"/>
          <w:sz w:val="20"/>
        </w:rPr>
        <w:t> </w:t>
      </w:r>
      <w:r>
        <w:rPr>
          <w:sz w:val="20"/>
        </w:rPr>
        <w:t>investigations</w:t>
      </w:r>
      <w:r>
        <w:rPr>
          <w:spacing w:val="-5"/>
          <w:sz w:val="20"/>
        </w:rPr>
        <w:t> </w:t>
      </w:r>
      <w:r>
        <w:rPr>
          <w:sz w:val="20"/>
        </w:rPr>
        <w:t>are</w:t>
      </w:r>
      <w:r>
        <w:rPr>
          <w:spacing w:val="-2"/>
          <w:sz w:val="20"/>
        </w:rPr>
        <w:t> </w:t>
      </w:r>
      <w:r>
        <w:rPr>
          <w:sz w:val="20"/>
        </w:rPr>
        <w:t>opened. Further</w:t>
      </w:r>
      <w:r>
        <w:rPr>
          <w:spacing w:val="-4"/>
          <w:sz w:val="20"/>
        </w:rPr>
        <w:t> </w:t>
      </w:r>
      <w:r>
        <w:rPr>
          <w:sz w:val="20"/>
        </w:rPr>
        <w:t>to the</w:t>
      </w:r>
      <w:r>
        <w:rPr>
          <w:spacing w:val="-2"/>
          <w:sz w:val="20"/>
        </w:rPr>
        <w:t> </w:t>
      </w:r>
      <w:r>
        <w:rPr>
          <w:sz w:val="20"/>
        </w:rPr>
        <w:t>recommendations of</w:t>
      </w:r>
      <w:r>
        <w:rPr>
          <w:spacing w:val="-4"/>
          <w:sz w:val="20"/>
        </w:rPr>
        <w:t> </w:t>
      </w:r>
      <w:r>
        <w:rPr>
          <w:sz w:val="20"/>
        </w:rPr>
        <w:t>the</w:t>
      </w:r>
      <w:r>
        <w:rPr>
          <w:spacing w:val="-2"/>
          <w:sz w:val="20"/>
        </w:rPr>
        <w:t> </w:t>
      </w:r>
      <w:r>
        <w:rPr>
          <w:sz w:val="20"/>
        </w:rPr>
        <w:t>Independent</w:t>
      </w:r>
      <w:r>
        <w:rPr>
          <w:spacing w:val="-7"/>
          <w:sz w:val="20"/>
        </w:rPr>
        <w:t> </w:t>
      </w:r>
      <w:r>
        <w:rPr>
          <w:sz w:val="20"/>
        </w:rPr>
        <w:t>Expert Review (IER), the Prosecutor has sought to expedite and, where appropriate, close several preliminary examinations.</w:t>
      </w:r>
    </w:p>
    <w:p>
      <w:pPr>
        <w:pStyle w:val="ListParagraph"/>
        <w:numPr>
          <w:ilvl w:val="0"/>
          <w:numId w:val="4"/>
        </w:numPr>
        <w:tabs>
          <w:tab w:pos="2967" w:val="left" w:leader="none"/>
        </w:tabs>
        <w:spacing w:line="240" w:lineRule="auto" w:before="117" w:after="0"/>
        <w:ind w:left="2246" w:right="2239" w:firstLine="0"/>
        <w:jc w:val="both"/>
        <w:rPr>
          <w:sz w:val="20"/>
        </w:rPr>
      </w:pPr>
      <w:r>
        <w:rPr>
          <w:sz w:val="20"/>
        </w:rPr>
        <w:t>In 2023, a proportion of PES staffing resources are being allocated to the Unified Teams</w:t>
      </w:r>
      <w:r>
        <w:rPr>
          <w:spacing w:val="-13"/>
          <w:sz w:val="20"/>
        </w:rPr>
        <w:t> </w:t>
      </w:r>
      <w:r>
        <w:rPr>
          <w:sz w:val="20"/>
        </w:rPr>
        <w:t>so</w:t>
      </w:r>
      <w:r>
        <w:rPr>
          <w:spacing w:val="-12"/>
          <w:sz w:val="20"/>
        </w:rPr>
        <w:t> </w:t>
      </w:r>
      <w:r>
        <w:rPr>
          <w:sz w:val="20"/>
        </w:rPr>
        <w:t>as</w:t>
      </w:r>
      <w:r>
        <w:rPr>
          <w:spacing w:val="-13"/>
          <w:sz w:val="20"/>
        </w:rPr>
        <w:t> </w:t>
      </w:r>
      <w:r>
        <w:rPr>
          <w:sz w:val="20"/>
        </w:rPr>
        <w:t>to</w:t>
      </w:r>
      <w:r>
        <w:rPr>
          <w:spacing w:val="-12"/>
          <w:sz w:val="20"/>
        </w:rPr>
        <w:t> </w:t>
      </w:r>
      <w:r>
        <w:rPr>
          <w:sz w:val="20"/>
        </w:rPr>
        <w:t>transfer</w:t>
      </w:r>
      <w:r>
        <w:rPr>
          <w:spacing w:val="-13"/>
          <w:sz w:val="20"/>
        </w:rPr>
        <w:t> </w:t>
      </w:r>
      <w:r>
        <w:rPr>
          <w:sz w:val="20"/>
        </w:rPr>
        <w:t>the</w:t>
      </w:r>
      <w:r>
        <w:rPr>
          <w:spacing w:val="-12"/>
          <w:sz w:val="20"/>
        </w:rPr>
        <w:t> </w:t>
      </w:r>
      <w:r>
        <w:rPr>
          <w:sz w:val="20"/>
        </w:rPr>
        <w:t>knowledge</w:t>
      </w:r>
      <w:r>
        <w:rPr>
          <w:spacing w:val="-13"/>
          <w:sz w:val="20"/>
        </w:rPr>
        <w:t> </w:t>
      </w:r>
      <w:r>
        <w:rPr>
          <w:sz w:val="20"/>
        </w:rPr>
        <w:t>and</w:t>
      </w:r>
      <w:r>
        <w:rPr>
          <w:spacing w:val="-12"/>
          <w:sz w:val="20"/>
        </w:rPr>
        <w:t> </w:t>
      </w:r>
      <w:r>
        <w:rPr>
          <w:sz w:val="20"/>
        </w:rPr>
        <w:t>skills</w:t>
      </w:r>
      <w:r>
        <w:rPr>
          <w:spacing w:val="-13"/>
          <w:sz w:val="20"/>
        </w:rPr>
        <w:t> </w:t>
      </w:r>
      <w:r>
        <w:rPr>
          <w:sz w:val="20"/>
        </w:rPr>
        <w:t>of</w:t>
      </w:r>
      <w:r>
        <w:rPr>
          <w:spacing w:val="-12"/>
          <w:sz w:val="20"/>
        </w:rPr>
        <w:t> </w:t>
      </w:r>
      <w:r>
        <w:rPr>
          <w:sz w:val="20"/>
        </w:rPr>
        <w:t>relevant</w:t>
      </w:r>
      <w:r>
        <w:rPr>
          <w:spacing w:val="-13"/>
          <w:sz w:val="20"/>
        </w:rPr>
        <w:t> </w:t>
      </w:r>
      <w:r>
        <w:rPr>
          <w:sz w:val="20"/>
        </w:rPr>
        <w:t>staff</w:t>
      </w:r>
      <w:r>
        <w:rPr>
          <w:spacing w:val="-12"/>
          <w:sz w:val="20"/>
        </w:rPr>
        <w:t> </w:t>
      </w:r>
      <w:r>
        <w:rPr>
          <w:sz w:val="20"/>
        </w:rPr>
        <w:t>members</w:t>
      </w:r>
      <w:r>
        <w:rPr>
          <w:spacing w:val="-13"/>
          <w:sz w:val="20"/>
        </w:rPr>
        <w:t> </w:t>
      </w:r>
      <w:r>
        <w:rPr>
          <w:sz w:val="20"/>
        </w:rPr>
        <w:t>to</w:t>
      </w:r>
      <w:r>
        <w:rPr>
          <w:spacing w:val="-12"/>
          <w:sz w:val="20"/>
        </w:rPr>
        <w:t> </w:t>
      </w:r>
      <w:r>
        <w:rPr>
          <w:sz w:val="20"/>
        </w:rPr>
        <w:t>support</w:t>
      </w:r>
      <w:r>
        <w:rPr>
          <w:spacing w:val="-13"/>
          <w:sz w:val="20"/>
        </w:rPr>
        <w:t> </w:t>
      </w:r>
      <w:r>
        <w:rPr>
          <w:sz w:val="20"/>
        </w:rPr>
        <w:t>ongoing investigations.</w:t>
      </w:r>
      <w:r>
        <w:rPr>
          <w:spacing w:val="-13"/>
          <w:sz w:val="20"/>
        </w:rPr>
        <w:t> </w:t>
      </w:r>
      <w:r>
        <w:rPr>
          <w:sz w:val="20"/>
        </w:rPr>
        <w:t>In</w:t>
      </w:r>
      <w:r>
        <w:rPr>
          <w:spacing w:val="-12"/>
          <w:sz w:val="20"/>
        </w:rPr>
        <w:t> </w:t>
      </w:r>
      <w:r>
        <w:rPr>
          <w:sz w:val="20"/>
        </w:rPr>
        <w:t>doing</w:t>
      </w:r>
      <w:r>
        <w:rPr>
          <w:spacing w:val="-13"/>
          <w:sz w:val="20"/>
        </w:rPr>
        <w:t> </w:t>
      </w:r>
      <w:r>
        <w:rPr>
          <w:sz w:val="20"/>
        </w:rPr>
        <w:t>so,</w:t>
      </w:r>
      <w:r>
        <w:rPr>
          <w:spacing w:val="-15"/>
          <w:sz w:val="20"/>
        </w:rPr>
        <w:t> </w:t>
      </w:r>
      <w:r>
        <w:rPr>
          <w:sz w:val="20"/>
        </w:rPr>
        <w:t>the</w:t>
      </w:r>
      <w:r>
        <w:rPr>
          <w:spacing w:val="-12"/>
          <w:sz w:val="20"/>
        </w:rPr>
        <w:t> </w:t>
      </w:r>
      <w:r>
        <w:rPr>
          <w:sz w:val="20"/>
        </w:rPr>
        <w:t>Office</w:t>
      </w:r>
      <w:r>
        <w:rPr>
          <w:spacing w:val="-13"/>
          <w:sz w:val="20"/>
        </w:rPr>
        <w:t> </w:t>
      </w:r>
      <w:r>
        <w:rPr>
          <w:sz w:val="20"/>
        </w:rPr>
        <w:t>seeks</w:t>
      </w:r>
      <w:r>
        <w:rPr>
          <w:spacing w:val="-19"/>
          <w:sz w:val="20"/>
        </w:rPr>
        <w:t> </w:t>
      </w:r>
      <w:r>
        <w:rPr>
          <w:sz w:val="20"/>
        </w:rPr>
        <w:t>to</w:t>
      </w:r>
      <w:r>
        <w:rPr>
          <w:spacing w:val="-12"/>
          <w:sz w:val="20"/>
        </w:rPr>
        <w:t> </w:t>
      </w:r>
      <w:r>
        <w:rPr>
          <w:sz w:val="20"/>
        </w:rPr>
        <w:t>maximise</w:t>
      </w:r>
      <w:r>
        <w:rPr>
          <w:spacing w:val="-13"/>
          <w:sz w:val="20"/>
        </w:rPr>
        <w:t> </w:t>
      </w:r>
      <w:r>
        <w:rPr>
          <w:sz w:val="20"/>
        </w:rPr>
        <w:t>the</w:t>
      </w:r>
      <w:r>
        <w:rPr>
          <w:spacing w:val="-12"/>
          <w:sz w:val="20"/>
        </w:rPr>
        <w:t> </w:t>
      </w:r>
      <w:r>
        <w:rPr>
          <w:sz w:val="20"/>
        </w:rPr>
        <w:t>utilisation</w:t>
      </w:r>
      <w:r>
        <w:rPr>
          <w:spacing w:val="-13"/>
          <w:sz w:val="20"/>
        </w:rPr>
        <w:t> </w:t>
      </w:r>
      <w:r>
        <w:rPr>
          <w:sz w:val="20"/>
        </w:rPr>
        <w:t>of</w:t>
      </w:r>
      <w:r>
        <w:rPr>
          <w:spacing w:val="-17"/>
          <w:sz w:val="20"/>
        </w:rPr>
        <w:t> </w:t>
      </w:r>
      <w:r>
        <w:rPr>
          <w:sz w:val="20"/>
        </w:rPr>
        <w:t>analytical</w:t>
      </w:r>
      <w:r>
        <w:rPr>
          <w:spacing w:val="-15"/>
          <w:sz w:val="20"/>
        </w:rPr>
        <w:t> </w:t>
      </w:r>
      <w:r>
        <w:rPr>
          <w:sz w:val="20"/>
        </w:rPr>
        <w:t>resources</w:t>
      </w:r>
    </w:p>
    <w:p>
      <w:pPr>
        <w:pStyle w:val="BodyText"/>
        <w:spacing w:before="2"/>
        <w:ind w:left="2246" w:right="2243"/>
        <w:jc w:val="both"/>
      </w:pPr>
      <w:r>
        <w:rPr/>
        <w:t>- as well as provide the opportunity for staff to rotate on assignment thereby enriching their professional</w:t>
      </w:r>
      <w:r>
        <w:rPr>
          <w:spacing w:val="-13"/>
        </w:rPr>
        <w:t> </w:t>
      </w:r>
      <w:r>
        <w:rPr/>
        <w:t>experience.</w:t>
      </w:r>
      <w:r>
        <w:rPr>
          <w:spacing w:val="-12"/>
        </w:rPr>
        <w:t> </w:t>
      </w:r>
      <w:r>
        <w:rPr/>
        <w:t>This</w:t>
      </w:r>
      <w:r>
        <w:rPr>
          <w:spacing w:val="-13"/>
        </w:rPr>
        <w:t> </w:t>
      </w:r>
      <w:r>
        <w:rPr/>
        <w:t>reflects</w:t>
      </w:r>
      <w:r>
        <w:rPr>
          <w:spacing w:val="-12"/>
        </w:rPr>
        <w:t> </w:t>
      </w:r>
      <w:r>
        <w:rPr/>
        <w:t>one</w:t>
      </w:r>
      <w:r>
        <w:rPr>
          <w:spacing w:val="-13"/>
        </w:rPr>
        <w:t> </w:t>
      </w:r>
      <w:r>
        <w:rPr/>
        <w:t>of</w:t>
      </w:r>
      <w:r>
        <w:rPr>
          <w:spacing w:val="-12"/>
        </w:rPr>
        <w:t> </w:t>
      </w:r>
      <w:r>
        <w:rPr/>
        <w:t>the</w:t>
      </w:r>
      <w:r>
        <w:rPr>
          <w:spacing w:val="-13"/>
        </w:rPr>
        <w:t> </w:t>
      </w:r>
      <w:r>
        <w:rPr/>
        <w:t>goals</w:t>
      </w:r>
      <w:r>
        <w:rPr>
          <w:spacing w:val="-12"/>
        </w:rPr>
        <w:t> </w:t>
      </w:r>
      <w:r>
        <w:rPr/>
        <w:t>of</w:t>
      </w:r>
      <w:r>
        <w:rPr>
          <w:spacing w:val="-13"/>
        </w:rPr>
        <w:t> </w:t>
      </w:r>
      <w:r>
        <w:rPr/>
        <w:t>the</w:t>
      </w:r>
      <w:r>
        <w:rPr>
          <w:spacing w:val="-12"/>
        </w:rPr>
        <w:t> </w:t>
      </w:r>
      <w:r>
        <w:rPr/>
        <w:t>evolution</w:t>
      </w:r>
      <w:r>
        <w:rPr>
          <w:spacing w:val="-13"/>
        </w:rPr>
        <w:t> </w:t>
      </w:r>
      <w:r>
        <w:rPr/>
        <w:t>from</w:t>
      </w:r>
      <w:r>
        <w:rPr>
          <w:spacing w:val="-12"/>
        </w:rPr>
        <w:t> </w:t>
      </w:r>
      <w:r>
        <w:rPr/>
        <w:t>Integrated</w:t>
      </w:r>
      <w:r>
        <w:rPr>
          <w:spacing w:val="-13"/>
        </w:rPr>
        <w:t> </w:t>
      </w:r>
      <w:r>
        <w:rPr/>
        <w:t>Teams to Unified Teams reflected in the budget submission for the Office in 2022.</w:t>
      </w:r>
    </w:p>
    <w:p>
      <w:pPr>
        <w:pStyle w:val="BodyText"/>
        <w:spacing w:before="11"/>
      </w:pPr>
    </w:p>
    <w:p>
      <w:pPr>
        <w:pStyle w:val="Heading3"/>
        <w:numPr>
          <w:ilvl w:val="0"/>
          <w:numId w:val="7"/>
        </w:numPr>
        <w:tabs>
          <w:tab w:pos="2246" w:val="left" w:leader="none"/>
          <w:tab w:pos="2247" w:val="left" w:leader="none"/>
        </w:tabs>
        <w:spacing w:line="240" w:lineRule="auto" w:before="0" w:after="0"/>
        <w:ind w:left="2246" w:right="0" w:hanging="568"/>
        <w:jc w:val="left"/>
      </w:pPr>
      <w:r>
        <w:rPr/>
        <w:t>Gender</w:t>
      </w:r>
      <w:r>
        <w:rPr>
          <w:spacing w:val="-8"/>
        </w:rPr>
        <w:t> </w:t>
      </w:r>
      <w:r>
        <w:rPr/>
        <w:t>and</w:t>
      </w:r>
      <w:r>
        <w:rPr>
          <w:spacing w:val="-4"/>
        </w:rPr>
        <w:t> </w:t>
      </w:r>
      <w:r>
        <w:rPr/>
        <w:t>Children</w:t>
      </w:r>
      <w:r>
        <w:rPr>
          <w:spacing w:val="-8"/>
        </w:rPr>
        <w:t> </w:t>
      </w:r>
      <w:r>
        <w:rPr>
          <w:spacing w:val="-4"/>
        </w:rPr>
        <w:t>Unit</w:t>
      </w:r>
    </w:p>
    <w:p>
      <w:pPr>
        <w:pStyle w:val="BodyText"/>
        <w:spacing w:before="10"/>
        <w:rPr>
          <w:b/>
        </w:rPr>
      </w:pPr>
    </w:p>
    <w:p>
      <w:pPr>
        <w:pStyle w:val="ListParagraph"/>
        <w:numPr>
          <w:ilvl w:val="0"/>
          <w:numId w:val="4"/>
        </w:numPr>
        <w:tabs>
          <w:tab w:pos="2967" w:val="left" w:leader="none"/>
        </w:tabs>
        <w:spacing w:line="240" w:lineRule="auto" w:before="1" w:after="0"/>
        <w:ind w:left="2246" w:right="2247" w:firstLine="0"/>
        <w:jc w:val="both"/>
        <w:rPr>
          <w:sz w:val="20"/>
        </w:rPr>
      </w:pPr>
      <w:r>
        <w:rPr>
          <w:sz w:val="20"/>
        </w:rPr>
        <w:t>The Gender and Children Unit (GCU) will report hierarchically to one Deputy Prosecutor</w:t>
      </w:r>
      <w:r>
        <w:rPr>
          <w:spacing w:val="-1"/>
          <w:sz w:val="20"/>
        </w:rPr>
        <w:t> </w:t>
      </w:r>
      <w:r>
        <w:rPr>
          <w:sz w:val="20"/>
        </w:rPr>
        <w:t>but will</w:t>
      </w:r>
      <w:r>
        <w:rPr>
          <w:spacing w:val="-4"/>
          <w:sz w:val="20"/>
        </w:rPr>
        <w:t> </w:t>
      </w:r>
      <w:r>
        <w:rPr>
          <w:sz w:val="20"/>
        </w:rPr>
        <w:t>also</w:t>
      </w:r>
      <w:r>
        <w:rPr>
          <w:spacing w:val="-6"/>
          <w:sz w:val="20"/>
        </w:rPr>
        <w:t> </w:t>
      </w:r>
      <w:r>
        <w:rPr>
          <w:sz w:val="20"/>
        </w:rPr>
        <w:t>report functionally</w:t>
      </w:r>
      <w:r>
        <w:rPr>
          <w:spacing w:val="-6"/>
          <w:sz w:val="20"/>
        </w:rPr>
        <w:t> </w:t>
      </w:r>
      <w:r>
        <w:rPr>
          <w:sz w:val="20"/>
        </w:rPr>
        <w:t>to</w:t>
      </w:r>
      <w:r>
        <w:rPr>
          <w:spacing w:val="-1"/>
          <w:sz w:val="20"/>
        </w:rPr>
        <w:t> </w:t>
      </w:r>
      <w:r>
        <w:rPr>
          <w:sz w:val="20"/>
        </w:rPr>
        <w:t>the second</w:t>
      </w:r>
      <w:r>
        <w:rPr>
          <w:spacing w:val="-1"/>
          <w:sz w:val="20"/>
        </w:rPr>
        <w:t> </w:t>
      </w:r>
      <w:r>
        <w:rPr>
          <w:sz w:val="20"/>
        </w:rPr>
        <w:t>Deputy</w:t>
      </w:r>
      <w:r>
        <w:rPr>
          <w:spacing w:val="-1"/>
          <w:sz w:val="20"/>
        </w:rPr>
        <w:t> </w:t>
      </w:r>
      <w:r>
        <w:rPr>
          <w:sz w:val="20"/>
        </w:rPr>
        <w:t>Prosecutor, thus</w:t>
      </w:r>
      <w:r>
        <w:rPr>
          <w:spacing w:val="-2"/>
          <w:sz w:val="20"/>
        </w:rPr>
        <w:t> </w:t>
      </w:r>
      <w:r>
        <w:rPr>
          <w:sz w:val="20"/>
        </w:rPr>
        <w:t>providing specific expertise to both pillars.</w:t>
      </w:r>
    </w:p>
    <w:p>
      <w:pPr>
        <w:spacing w:after="0" w:line="240" w:lineRule="auto"/>
        <w:jc w:val="both"/>
        <w:rPr>
          <w:sz w:val="20"/>
        </w:rPr>
        <w:sectPr>
          <w:pgSz w:w="11910" w:h="16840"/>
          <w:pgMar w:header="957" w:footer="940" w:top="1140" w:bottom="1140" w:left="20" w:right="20"/>
        </w:sectPr>
      </w:pPr>
    </w:p>
    <w:p>
      <w:pPr>
        <w:pStyle w:val="ListParagraph"/>
        <w:numPr>
          <w:ilvl w:val="0"/>
          <w:numId w:val="4"/>
        </w:numPr>
        <w:tabs>
          <w:tab w:pos="2967" w:val="left" w:leader="none"/>
        </w:tabs>
        <w:spacing w:line="240" w:lineRule="auto" w:before="124" w:after="0"/>
        <w:ind w:left="2246" w:right="2241" w:firstLine="0"/>
        <w:jc w:val="both"/>
        <w:rPr>
          <w:sz w:val="20"/>
        </w:rPr>
      </w:pPr>
      <w:r>
        <w:rPr>
          <w:sz w:val="20"/>
        </w:rPr>
        <w:t>Sexual and gender-based crimes, and crimes against or which affect children, are not</w:t>
      </w:r>
      <w:r>
        <w:rPr>
          <w:spacing w:val="-7"/>
          <w:sz w:val="20"/>
        </w:rPr>
        <w:t> </w:t>
      </w:r>
      <w:r>
        <w:rPr>
          <w:sz w:val="20"/>
        </w:rPr>
        <w:t>incidental</w:t>
      </w:r>
      <w:r>
        <w:rPr>
          <w:spacing w:val="-12"/>
          <w:sz w:val="20"/>
        </w:rPr>
        <w:t> </w:t>
      </w:r>
      <w:r>
        <w:rPr>
          <w:sz w:val="20"/>
        </w:rPr>
        <w:t>to</w:t>
      </w:r>
      <w:r>
        <w:rPr>
          <w:spacing w:val="-8"/>
          <w:sz w:val="20"/>
        </w:rPr>
        <w:t> </w:t>
      </w:r>
      <w:r>
        <w:rPr>
          <w:sz w:val="20"/>
        </w:rPr>
        <w:t>conflict</w:t>
      </w:r>
      <w:r>
        <w:rPr>
          <w:spacing w:val="-7"/>
          <w:sz w:val="20"/>
        </w:rPr>
        <w:t> </w:t>
      </w:r>
      <w:r>
        <w:rPr>
          <w:sz w:val="20"/>
        </w:rPr>
        <w:t>but</w:t>
      </w:r>
      <w:r>
        <w:rPr>
          <w:spacing w:val="-7"/>
          <w:sz w:val="20"/>
        </w:rPr>
        <w:t> </w:t>
      </w:r>
      <w:r>
        <w:rPr>
          <w:sz w:val="20"/>
        </w:rPr>
        <w:t>are</w:t>
      </w:r>
      <w:r>
        <w:rPr>
          <w:spacing w:val="-7"/>
          <w:sz w:val="20"/>
        </w:rPr>
        <w:t> </w:t>
      </w:r>
      <w:r>
        <w:rPr>
          <w:sz w:val="20"/>
        </w:rPr>
        <w:t>often</w:t>
      </w:r>
      <w:r>
        <w:rPr>
          <w:spacing w:val="-8"/>
          <w:sz w:val="20"/>
        </w:rPr>
        <w:t> </w:t>
      </w:r>
      <w:r>
        <w:rPr>
          <w:sz w:val="20"/>
        </w:rPr>
        <w:t>a</w:t>
      </w:r>
      <w:r>
        <w:rPr>
          <w:spacing w:val="-11"/>
          <w:sz w:val="20"/>
        </w:rPr>
        <w:t> </w:t>
      </w:r>
      <w:r>
        <w:rPr>
          <w:sz w:val="20"/>
        </w:rPr>
        <w:t>calculated</w:t>
      </w:r>
      <w:r>
        <w:rPr>
          <w:spacing w:val="-13"/>
          <w:sz w:val="20"/>
        </w:rPr>
        <w:t> </w:t>
      </w:r>
      <w:r>
        <w:rPr>
          <w:sz w:val="20"/>
        </w:rPr>
        <w:t>and</w:t>
      </w:r>
      <w:r>
        <w:rPr>
          <w:spacing w:val="-7"/>
          <w:sz w:val="20"/>
        </w:rPr>
        <w:t> </w:t>
      </w:r>
      <w:r>
        <w:rPr>
          <w:sz w:val="20"/>
        </w:rPr>
        <w:t>desired</w:t>
      </w:r>
      <w:r>
        <w:rPr>
          <w:spacing w:val="-8"/>
          <w:sz w:val="20"/>
        </w:rPr>
        <w:t> </w:t>
      </w:r>
      <w:r>
        <w:rPr>
          <w:sz w:val="20"/>
        </w:rPr>
        <w:t>means</w:t>
      </w:r>
      <w:r>
        <w:rPr>
          <w:spacing w:val="-10"/>
          <w:sz w:val="20"/>
        </w:rPr>
        <w:t> </w:t>
      </w:r>
      <w:r>
        <w:rPr>
          <w:sz w:val="20"/>
        </w:rPr>
        <w:t>of</w:t>
      </w:r>
      <w:r>
        <w:rPr>
          <w:spacing w:val="-8"/>
          <w:sz w:val="20"/>
        </w:rPr>
        <w:t> </w:t>
      </w:r>
      <w:r>
        <w:rPr>
          <w:sz w:val="20"/>
        </w:rPr>
        <w:t>inflicting</w:t>
      </w:r>
      <w:r>
        <w:rPr>
          <w:spacing w:val="-8"/>
          <w:sz w:val="20"/>
        </w:rPr>
        <w:t> </w:t>
      </w:r>
      <w:r>
        <w:rPr>
          <w:sz w:val="20"/>
        </w:rPr>
        <w:t>harm</w:t>
      </w:r>
      <w:r>
        <w:rPr>
          <w:spacing w:val="-7"/>
          <w:sz w:val="20"/>
        </w:rPr>
        <w:t> </w:t>
      </w:r>
      <w:r>
        <w:rPr>
          <w:sz w:val="20"/>
        </w:rPr>
        <w:t>upon an</w:t>
      </w:r>
      <w:r>
        <w:rPr>
          <w:spacing w:val="-4"/>
          <w:sz w:val="20"/>
        </w:rPr>
        <w:t> </w:t>
      </w:r>
      <w:r>
        <w:rPr>
          <w:sz w:val="20"/>
        </w:rPr>
        <w:t>entire</w:t>
      </w:r>
      <w:r>
        <w:rPr>
          <w:spacing w:val="-2"/>
          <w:sz w:val="20"/>
        </w:rPr>
        <w:t> </w:t>
      </w:r>
      <w:r>
        <w:rPr>
          <w:sz w:val="20"/>
        </w:rPr>
        <w:t>community.</w:t>
      </w:r>
      <w:r>
        <w:rPr>
          <w:spacing w:val="-6"/>
          <w:sz w:val="20"/>
        </w:rPr>
        <w:t> </w:t>
      </w:r>
      <w:r>
        <w:rPr>
          <w:sz w:val="20"/>
        </w:rPr>
        <w:t>The</w:t>
      </w:r>
      <w:r>
        <w:rPr>
          <w:spacing w:val="-2"/>
          <w:sz w:val="20"/>
        </w:rPr>
        <w:t> </w:t>
      </w:r>
      <w:r>
        <w:rPr>
          <w:sz w:val="20"/>
        </w:rPr>
        <w:t>Prosecutor</w:t>
      </w:r>
      <w:r>
        <w:rPr>
          <w:spacing w:val="-4"/>
          <w:sz w:val="20"/>
        </w:rPr>
        <w:t> </w:t>
      </w:r>
      <w:r>
        <w:rPr>
          <w:sz w:val="20"/>
        </w:rPr>
        <w:t>has outlined</w:t>
      </w:r>
      <w:r>
        <w:rPr>
          <w:spacing w:val="-4"/>
          <w:sz w:val="20"/>
        </w:rPr>
        <w:t> </w:t>
      </w:r>
      <w:r>
        <w:rPr>
          <w:sz w:val="20"/>
        </w:rPr>
        <w:t>an</w:t>
      </w:r>
      <w:r>
        <w:rPr>
          <w:spacing w:val="-8"/>
          <w:sz w:val="20"/>
        </w:rPr>
        <w:t> </w:t>
      </w:r>
      <w:r>
        <w:rPr>
          <w:sz w:val="20"/>
        </w:rPr>
        <w:t>increased</w:t>
      </w:r>
      <w:r>
        <w:rPr>
          <w:spacing w:val="-4"/>
          <w:sz w:val="20"/>
        </w:rPr>
        <w:t> </w:t>
      </w:r>
      <w:r>
        <w:rPr>
          <w:sz w:val="20"/>
        </w:rPr>
        <w:t>imperative</w:t>
      </w:r>
      <w:r>
        <w:rPr>
          <w:spacing w:val="-7"/>
          <w:sz w:val="20"/>
        </w:rPr>
        <w:t> </w:t>
      </w:r>
      <w:r>
        <w:rPr>
          <w:sz w:val="20"/>
        </w:rPr>
        <w:t>to</w:t>
      </w:r>
      <w:r>
        <w:rPr>
          <w:spacing w:val="-4"/>
          <w:sz w:val="20"/>
        </w:rPr>
        <w:t> </w:t>
      </w:r>
      <w:r>
        <w:rPr>
          <w:sz w:val="20"/>
        </w:rPr>
        <w:t>ensure</w:t>
      </w:r>
      <w:r>
        <w:rPr>
          <w:spacing w:val="-2"/>
          <w:sz w:val="20"/>
        </w:rPr>
        <w:t> </w:t>
      </w:r>
      <w:r>
        <w:rPr>
          <w:sz w:val="20"/>
        </w:rPr>
        <w:t>an</w:t>
      </w:r>
      <w:r>
        <w:rPr>
          <w:spacing w:val="-8"/>
          <w:sz w:val="20"/>
        </w:rPr>
        <w:t> </w:t>
      </w:r>
      <w:r>
        <w:rPr>
          <w:sz w:val="20"/>
        </w:rPr>
        <w:t>even more</w:t>
      </w:r>
      <w:r>
        <w:rPr>
          <w:spacing w:val="-10"/>
          <w:sz w:val="20"/>
        </w:rPr>
        <w:t> </w:t>
      </w:r>
      <w:r>
        <w:rPr>
          <w:sz w:val="20"/>
        </w:rPr>
        <w:t>strategic</w:t>
      </w:r>
      <w:r>
        <w:rPr>
          <w:spacing w:val="-11"/>
          <w:sz w:val="20"/>
        </w:rPr>
        <w:t> </w:t>
      </w:r>
      <w:r>
        <w:rPr>
          <w:sz w:val="20"/>
        </w:rPr>
        <w:t>and</w:t>
      </w:r>
      <w:r>
        <w:rPr>
          <w:spacing w:val="-12"/>
          <w:sz w:val="20"/>
        </w:rPr>
        <w:t> </w:t>
      </w:r>
      <w:r>
        <w:rPr>
          <w:sz w:val="20"/>
        </w:rPr>
        <w:t>focused</w:t>
      </w:r>
      <w:r>
        <w:rPr>
          <w:spacing w:val="-12"/>
          <w:sz w:val="20"/>
        </w:rPr>
        <w:t> </w:t>
      </w:r>
      <w:r>
        <w:rPr>
          <w:sz w:val="20"/>
        </w:rPr>
        <w:t>approach</w:t>
      </w:r>
      <w:r>
        <w:rPr>
          <w:spacing w:val="-13"/>
          <w:sz w:val="20"/>
        </w:rPr>
        <w:t> </w:t>
      </w:r>
      <w:r>
        <w:rPr>
          <w:sz w:val="20"/>
        </w:rPr>
        <w:t>to</w:t>
      </w:r>
      <w:r>
        <w:rPr>
          <w:spacing w:val="-12"/>
          <w:sz w:val="20"/>
        </w:rPr>
        <w:t> </w:t>
      </w:r>
      <w:r>
        <w:rPr>
          <w:sz w:val="20"/>
        </w:rPr>
        <w:t>investigating</w:t>
      </w:r>
      <w:r>
        <w:rPr>
          <w:spacing w:val="-12"/>
          <w:sz w:val="20"/>
        </w:rPr>
        <w:t> </w:t>
      </w:r>
      <w:r>
        <w:rPr>
          <w:sz w:val="20"/>
        </w:rPr>
        <w:t>and</w:t>
      </w:r>
      <w:r>
        <w:rPr>
          <w:spacing w:val="-12"/>
          <w:sz w:val="20"/>
        </w:rPr>
        <w:t> </w:t>
      </w:r>
      <w:r>
        <w:rPr>
          <w:sz w:val="20"/>
        </w:rPr>
        <w:t>prosecuting</w:t>
      </w:r>
      <w:r>
        <w:rPr>
          <w:spacing w:val="-12"/>
          <w:sz w:val="20"/>
        </w:rPr>
        <w:t> </w:t>
      </w:r>
      <w:r>
        <w:rPr>
          <w:sz w:val="20"/>
        </w:rPr>
        <w:t>these</w:t>
      </w:r>
      <w:r>
        <w:rPr>
          <w:spacing w:val="-10"/>
          <w:sz w:val="20"/>
        </w:rPr>
        <w:t> </w:t>
      </w:r>
      <w:r>
        <w:rPr>
          <w:sz w:val="20"/>
        </w:rPr>
        <w:t>extremely</w:t>
      </w:r>
      <w:r>
        <w:rPr>
          <w:spacing w:val="-13"/>
          <w:sz w:val="20"/>
        </w:rPr>
        <w:t> </w:t>
      </w:r>
      <w:r>
        <w:rPr>
          <w:sz w:val="20"/>
        </w:rPr>
        <w:t>serious and</w:t>
      </w:r>
      <w:r>
        <w:rPr>
          <w:spacing w:val="-9"/>
          <w:sz w:val="20"/>
        </w:rPr>
        <w:t> </w:t>
      </w:r>
      <w:r>
        <w:rPr>
          <w:sz w:val="20"/>
        </w:rPr>
        <w:t>traditionally</w:t>
      </w:r>
      <w:r>
        <w:rPr>
          <w:spacing w:val="-5"/>
          <w:sz w:val="20"/>
        </w:rPr>
        <w:t> </w:t>
      </w:r>
      <w:r>
        <w:rPr>
          <w:sz w:val="20"/>
        </w:rPr>
        <w:t>underreported</w:t>
      </w:r>
      <w:r>
        <w:rPr>
          <w:spacing w:val="-9"/>
          <w:sz w:val="20"/>
        </w:rPr>
        <w:t> </w:t>
      </w:r>
      <w:r>
        <w:rPr>
          <w:sz w:val="20"/>
        </w:rPr>
        <w:t>crimes.</w:t>
      </w:r>
      <w:r>
        <w:rPr>
          <w:spacing w:val="-7"/>
          <w:sz w:val="20"/>
        </w:rPr>
        <w:t> </w:t>
      </w:r>
      <w:r>
        <w:rPr>
          <w:sz w:val="20"/>
        </w:rPr>
        <w:t>The</w:t>
      </w:r>
      <w:r>
        <w:rPr>
          <w:spacing w:val="-3"/>
          <w:sz w:val="20"/>
        </w:rPr>
        <w:t> </w:t>
      </w:r>
      <w:r>
        <w:rPr>
          <w:sz w:val="20"/>
        </w:rPr>
        <w:t>Prosecutor</w:t>
      </w:r>
      <w:r>
        <w:rPr>
          <w:spacing w:val="-5"/>
          <w:sz w:val="20"/>
        </w:rPr>
        <w:t> </w:t>
      </w:r>
      <w:r>
        <w:rPr>
          <w:sz w:val="20"/>
        </w:rPr>
        <w:t>will</w:t>
      </w:r>
      <w:r>
        <w:rPr>
          <w:spacing w:val="-8"/>
          <w:sz w:val="20"/>
        </w:rPr>
        <w:t> </w:t>
      </w:r>
      <w:r>
        <w:rPr>
          <w:sz w:val="20"/>
        </w:rPr>
        <w:t>receive</w:t>
      </w:r>
      <w:r>
        <w:rPr>
          <w:spacing w:val="-3"/>
          <w:sz w:val="20"/>
        </w:rPr>
        <w:t> </w:t>
      </w:r>
      <w:r>
        <w:rPr>
          <w:sz w:val="20"/>
        </w:rPr>
        <w:t>strategic</w:t>
      </w:r>
      <w:r>
        <w:rPr>
          <w:spacing w:val="-8"/>
          <w:sz w:val="20"/>
        </w:rPr>
        <w:t> </w:t>
      </w:r>
      <w:r>
        <w:rPr>
          <w:sz w:val="20"/>
        </w:rPr>
        <w:t>advice</w:t>
      </w:r>
      <w:r>
        <w:rPr>
          <w:spacing w:val="-8"/>
          <w:sz w:val="20"/>
        </w:rPr>
        <w:t> </w:t>
      </w:r>
      <w:r>
        <w:rPr>
          <w:sz w:val="20"/>
        </w:rPr>
        <w:t>from</w:t>
      </w:r>
      <w:r>
        <w:rPr>
          <w:spacing w:val="-3"/>
          <w:sz w:val="20"/>
        </w:rPr>
        <w:t> </w:t>
      </w:r>
      <w:r>
        <w:rPr>
          <w:sz w:val="20"/>
        </w:rPr>
        <w:t>the Head, Gender and Children Unit, who will participate regularly in senior management </w:t>
      </w:r>
      <w:r>
        <w:rPr>
          <w:spacing w:val="-2"/>
          <w:sz w:val="20"/>
        </w:rPr>
        <w:t>meetings.</w:t>
      </w:r>
    </w:p>
    <w:p>
      <w:pPr>
        <w:pStyle w:val="ListParagraph"/>
        <w:numPr>
          <w:ilvl w:val="0"/>
          <w:numId w:val="4"/>
        </w:numPr>
        <w:tabs>
          <w:tab w:pos="3020" w:val="left" w:leader="none"/>
        </w:tabs>
        <w:spacing w:line="240" w:lineRule="auto" w:before="124" w:after="0"/>
        <w:ind w:left="2246" w:right="2242" w:firstLine="0"/>
        <w:jc w:val="both"/>
        <w:rPr>
          <w:sz w:val="20"/>
        </w:rPr>
      </w:pPr>
      <w:r>
        <w:rPr>
          <w:sz w:val="20"/>
        </w:rPr>
        <w:t>With the reinforced focus on GCU, the Office will strive to ensure that the occurrences</w:t>
      </w:r>
      <w:r>
        <w:rPr>
          <w:spacing w:val="-10"/>
          <w:sz w:val="20"/>
        </w:rPr>
        <w:t> </w:t>
      </w:r>
      <w:r>
        <w:rPr>
          <w:sz w:val="20"/>
        </w:rPr>
        <w:t>and</w:t>
      </w:r>
      <w:r>
        <w:rPr>
          <w:spacing w:val="-8"/>
          <w:sz w:val="20"/>
        </w:rPr>
        <w:t> </w:t>
      </w:r>
      <w:r>
        <w:rPr>
          <w:sz w:val="20"/>
        </w:rPr>
        <w:t>patterns</w:t>
      </w:r>
      <w:r>
        <w:rPr>
          <w:spacing w:val="-10"/>
          <w:sz w:val="20"/>
        </w:rPr>
        <w:t> </w:t>
      </w:r>
      <w:r>
        <w:rPr>
          <w:sz w:val="20"/>
        </w:rPr>
        <w:t>of</w:t>
      </w:r>
      <w:r>
        <w:rPr>
          <w:spacing w:val="-8"/>
          <w:sz w:val="20"/>
        </w:rPr>
        <w:t> </w:t>
      </w:r>
      <w:r>
        <w:rPr>
          <w:sz w:val="20"/>
        </w:rPr>
        <w:t>such</w:t>
      </w:r>
      <w:r>
        <w:rPr>
          <w:spacing w:val="-13"/>
          <w:sz w:val="20"/>
        </w:rPr>
        <w:t> </w:t>
      </w:r>
      <w:r>
        <w:rPr>
          <w:sz w:val="20"/>
        </w:rPr>
        <w:t>crimes</w:t>
      </w:r>
      <w:r>
        <w:rPr>
          <w:spacing w:val="-9"/>
          <w:sz w:val="20"/>
        </w:rPr>
        <w:t> </w:t>
      </w:r>
      <w:r>
        <w:rPr>
          <w:sz w:val="20"/>
        </w:rPr>
        <w:t>are</w:t>
      </w:r>
      <w:r>
        <w:rPr>
          <w:spacing w:val="-7"/>
          <w:sz w:val="20"/>
        </w:rPr>
        <w:t> </w:t>
      </w:r>
      <w:r>
        <w:rPr>
          <w:sz w:val="20"/>
        </w:rPr>
        <w:t>identified</w:t>
      </w:r>
      <w:r>
        <w:rPr>
          <w:spacing w:val="-13"/>
          <w:sz w:val="20"/>
        </w:rPr>
        <w:t> </w:t>
      </w:r>
      <w:r>
        <w:rPr>
          <w:sz w:val="20"/>
        </w:rPr>
        <w:t>at</w:t>
      </w:r>
      <w:r>
        <w:rPr>
          <w:spacing w:val="-6"/>
          <w:sz w:val="20"/>
        </w:rPr>
        <w:t> </w:t>
      </w:r>
      <w:r>
        <w:rPr>
          <w:sz w:val="20"/>
        </w:rPr>
        <w:t>the</w:t>
      </w:r>
      <w:r>
        <w:rPr>
          <w:spacing w:val="-7"/>
          <w:sz w:val="20"/>
        </w:rPr>
        <w:t> </w:t>
      </w:r>
      <w:r>
        <w:rPr>
          <w:sz w:val="20"/>
        </w:rPr>
        <w:t>earliest</w:t>
      </w:r>
      <w:r>
        <w:rPr>
          <w:spacing w:val="-7"/>
          <w:sz w:val="20"/>
        </w:rPr>
        <w:t> </w:t>
      </w:r>
      <w:r>
        <w:rPr>
          <w:sz w:val="20"/>
        </w:rPr>
        <w:t>possible</w:t>
      </w:r>
      <w:r>
        <w:rPr>
          <w:spacing w:val="-7"/>
          <w:sz w:val="20"/>
        </w:rPr>
        <w:t> </w:t>
      </w:r>
      <w:r>
        <w:rPr>
          <w:sz w:val="20"/>
        </w:rPr>
        <w:t>opportunity</w:t>
      </w:r>
      <w:r>
        <w:rPr>
          <w:spacing w:val="-8"/>
          <w:sz w:val="20"/>
        </w:rPr>
        <w:t> </w:t>
      </w:r>
      <w:r>
        <w:rPr>
          <w:sz w:val="20"/>
        </w:rPr>
        <w:t>and incorporated at all stages of the investigative and trial process in line with the Prosecutor’s strategic priorities and policies.</w:t>
      </w:r>
    </w:p>
    <w:p>
      <w:pPr>
        <w:pStyle w:val="ListParagraph"/>
        <w:numPr>
          <w:ilvl w:val="0"/>
          <w:numId w:val="4"/>
        </w:numPr>
        <w:tabs>
          <w:tab w:pos="2967" w:val="left" w:leader="none"/>
        </w:tabs>
        <w:spacing w:line="240" w:lineRule="auto" w:before="117" w:after="0"/>
        <w:ind w:left="2246" w:right="2239" w:firstLine="0"/>
        <w:jc w:val="both"/>
        <w:rPr>
          <w:sz w:val="20"/>
        </w:rPr>
      </w:pPr>
      <w:r>
        <w:rPr>
          <w:sz w:val="20"/>
        </w:rPr>
        <w:t>The experts in GCU will help overcome the reluctance of survivors to speak out about their experiences, often because of their unfamiliarity with the process itself. To encourage participation, survivors must therefore be provided with enough information to familiarize themselves with the process, be encouraged to ask questions and receive all the answers.</w:t>
      </w:r>
      <w:r>
        <w:rPr>
          <w:spacing w:val="-7"/>
          <w:sz w:val="20"/>
        </w:rPr>
        <w:t> </w:t>
      </w:r>
      <w:r>
        <w:rPr>
          <w:sz w:val="20"/>
        </w:rPr>
        <w:t>In</w:t>
      </w:r>
      <w:r>
        <w:rPr>
          <w:spacing w:val="-9"/>
          <w:sz w:val="20"/>
        </w:rPr>
        <w:t> </w:t>
      </w:r>
      <w:r>
        <w:rPr>
          <w:sz w:val="20"/>
        </w:rPr>
        <w:t>that</w:t>
      </w:r>
      <w:r>
        <w:rPr>
          <w:spacing w:val="-3"/>
          <w:sz w:val="20"/>
        </w:rPr>
        <w:t> </w:t>
      </w:r>
      <w:r>
        <w:rPr>
          <w:sz w:val="20"/>
        </w:rPr>
        <w:t>way,</w:t>
      </w:r>
      <w:r>
        <w:rPr>
          <w:spacing w:val="-7"/>
          <w:sz w:val="20"/>
        </w:rPr>
        <w:t> </w:t>
      </w:r>
      <w:r>
        <w:rPr>
          <w:sz w:val="20"/>
        </w:rPr>
        <w:t>they</w:t>
      </w:r>
      <w:r>
        <w:rPr>
          <w:spacing w:val="-5"/>
          <w:sz w:val="20"/>
        </w:rPr>
        <w:t> </w:t>
      </w:r>
      <w:r>
        <w:rPr>
          <w:sz w:val="20"/>
        </w:rPr>
        <w:t>will</w:t>
      </w:r>
      <w:r>
        <w:rPr>
          <w:spacing w:val="-3"/>
          <w:sz w:val="20"/>
        </w:rPr>
        <w:t> </w:t>
      </w:r>
      <w:r>
        <w:rPr>
          <w:sz w:val="20"/>
        </w:rPr>
        <w:t>understand</w:t>
      </w:r>
      <w:r>
        <w:rPr>
          <w:spacing w:val="-9"/>
          <w:sz w:val="20"/>
        </w:rPr>
        <w:t> </w:t>
      </w:r>
      <w:r>
        <w:rPr>
          <w:sz w:val="20"/>
        </w:rPr>
        <w:t>the</w:t>
      </w:r>
      <w:r>
        <w:rPr>
          <w:spacing w:val="-3"/>
          <w:sz w:val="20"/>
        </w:rPr>
        <w:t> </w:t>
      </w:r>
      <w:r>
        <w:rPr>
          <w:sz w:val="20"/>
        </w:rPr>
        <w:t>role</w:t>
      </w:r>
      <w:r>
        <w:rPr>
          <w:spacing w:val="-3"/>
          <w:sz w:val="20"/>
        </w:rPr>
        <w:t> </w:t>
      </w:r>
      <w:r>
        <w:rPr>
          <w:sz w:val="20"/>
        </w:rPr>
        <w:t>of</w:t>
      </w:r>
      <w:r>
        <w:rPr>
          <w:spacing w:val="-5"/>
          <w:sz w:val="20"/>
        </w:rPr>
        <w:t> </w:t>
      </w:r>
      <w:r>
        <w:rPr>
          <w:sz w:val="20"/>
        </w:rPr>
        <w:t>GCU,</w:t>
      </w:r>
      <w:r>
        <w:rPr>
          <w:spacing w:val="-7"/>
          <w:sz w:val="20"/>
        </w:rPr>
        <w:t> </w:t>
      </w:r>
      <w:r>
        <w:rPr>
          <w:sz w:val="20"/>
        </w:rPr>
        <w:t>the</w:t>
      </w:r>
      <w:r>
        <w:rPr>
          <w:spacing w:val="-3"/>
          <w:sz w:val="20"/>
        </w:rPr>
        <w:t> </w:t>
      </w:r>
      <w:r>
        <w:rPr>
          <w:sz w:val="20"/>
        </w:rPr>
        <w:t>purpose</w:t>
      </w:r>
      <w:r>
        <w:rPr>
          <w:spacing w:val="-3"/>
          <w:sz w:val="20"/>
        </w:rPr>
        <w:t> </w:t>
      </w:r>
      <w:r>
        <w:rPr>
          <w:sz w:val="20"/>
        </w:rPr>
        <w:t>of</w:t>
      </w:r>
      <w:r>
        <w:rPr>
          <w:spacing w:val="-5"/>
          <w:sz w:val="20"/>
        </w:rPr>
        <w:t> </w:t>
      </w:r>
      <w:r>
        <w:rPr>
          <w:sz w:val="20"/>
        </w:rPr>
        <w:t>its</w:t>
      </w:r>
      <w:r>
        <w:rPr>
          <w:spacing w:val="-6"/>
          <w:sz w:val="20"/>
        </w:rPr>
        <w:t> </w:t>
      </w:r>
      <w:r>
        <w:rPr>
          <w:sz w:val="20"/>
        </w:rPr>
        <w:t>investigations, the</w:t>
      </w:r>
      <w:r>
        <w:rPr>
          <w:spacing w:val="-3"/>
          <w:sz w:val="20"/>
        </w:rPr>
        <w:t> </w:t>
      </w:r>
      <w:r>
        <w:rPr>
          <w:sz w:val="20"/>
        </w:rPr>
        <w:t>manner in which</w:t>
      </w:r>
      <w:r>
        <w:rPr>
          <w:spacing w:val="-5"/>
          <w:sz w:val="20"/>
        </w:rPr>
        <w:t> </w:t>
      </w:r>
      <w:r>
        <w:rPr>
          <w:sz w:val="20"/>
        </w:rPr>
        <w:t>their</w:t>
      </w:r>
      <w:r>
        <w:rPr>
          <w:spacing w:val="-5"/>
          <w:sz w:val="20"/>
        </w:rPr>
        <w:t> </w:t>
      </w:r>
      <w:r>
        <w:rPr>
          <w:sz w:val="20"/>
        </w:rPr>
        <w:t>stories</w:t>
      </w:r>
      <w:r>
        <w:rPr>
          <w:spacing w:val="-1"/>
          <w:sz w:val="20"/>
        </w:rPr>
        <w:t> </w:t>
      </w:r>
      <w:r>
        <w:rPr>
          <w:sz w:val="20"/>
        </w:rPr>
        <w:t>will be used,</w:t>
      </w:r>
      <w:r>
        <w:rPr>
          <w:spacing w:val="-2"/>
          <w:sz w:val="20"/>
        </w:rPr>
        <w:t> </w:t>
      </w:r>
      <w:r>
        <w:rPr>
          <w:sz w:val="20"/>
        </w:rPr>
        <w:t>the possible</w:t>
      </w:r>
      <w:r>
        <w:rPr>
          <w:spacing w:val="-3"/>
          <w:sz w:val="20"/>
        </w:rPr>
        <w:t> </w:t>
      </w:r>
      <w:r>
        <w:rPr>
          <w:sz w:val="20"/>
        </w:rPr>
        <w:t>implications</w:t>
      </w:r>
      <w:r>
        <w:rPr>
          <w:spacing w:val="-1"/>
          <w:sz w:val="20"/>
        </w:rPr>
        <w:t> </w:t>
      </w:r>
      <w:r>
        <w:rPr>
          <w:sz w:val="20"/>
        </w:rPr>
        <w:t>of</w:t>
      </w:r>
      <w:r>
        <w:rPr>
          <w:spacing w:val="-5"/>
          <w:sz w:val="20"/>
        </w:rPr>
        <w:t> </w:t>
      </w:r>
      <w:r>
        <w:rPr>
          <w:sz w:val="20"/>
        </w:rPr>
        <w:t>their</w:t>
      </w:r>
      <w:r>
        <w:rPr>
          <w:spacing w:val="-5"/>
          <w:sz w:val="20"/>
        </w:rPr>
        <w:t> </w:t>
      </w:r>
      <w:r>
        <w:rPr>
          <w:sz w:val="20"/>
        </w:rPr>
        <w:t>cooperation and participation in an investigation/prosecution and, very importantly, the subsequent </w:t>
      </w:r>
      <w:r>
        <w:rPr>
          <w:spacing w:val="-2"/>
          <w:sz w:val="20"/>
        </w:rPr>
        <w:t>stages.</w:t>
      </w:r>
    </w:p>
    <w:p>
      <w:pPr>
        <w:pStyle w:val="ListParagraph"/>
        <w:numPr>
          <w:ilvl w:val="0"/>
          <w:numId w:val="4"/>
        </w:numPr>
        <w:tabs>
          <w:tab w:pos="2967" w:val="left" w:leader="none"/>
        </w:tabs>
        <w:spacing w:line="240" w:lineRule="auto" w:before="124" w:after="0"/>
        <w:ind w:left="2246" w:right="2245" w:firstLine="0"/>
        <w:jc w:val="both"/>
        <w:rPr>
          <w:sz w:val="20"/>
        </w:rPr>
      </w:pPr>
      <w:r>
        <w:rPr>
          <w:sz w:val="20"/>
        </w:rPr>
        <w:t>The</w:t>
      </w:r>
      <w:r>
        <w:rPr>
          <w:spacing w:val="-3"/>
          <w:sz w:val="20"/>
        </w:rPr>
        <w:t> </w:t>
      </w:r>
      <w:r>
        <w:rPr>
          <w:sz w:val="20"/>
        </w:rPr>
        <w:t>work of GCU</w:t>
      </w:r>
      <w:r>
        <w:rPr>
          <w:spacing w:val="-1"/>
          <w:sz w:val="20"/>
        </w:rPr>
        <w:t> </w:t>
      </w:r>
      <w:r>
        <w:rPr>
          <w:sz w:val="20"/>
        </w:rPr>
        <w:t>will</w:t>
      </w:r>
      <w:r>
        <w:rPr>
          <w:spacing w:val="-3"/>
          <w:sz w:val="20"/>
        </w:rPr>
        <w:t> </w:t>
      </w:r>
      <w:r>
        <w:rPr>
          <w:sz w:val="20"/>
        </w:rPr>
        <w:t>be</w:t>
      </w:r>
      <w:r>
        <w:rPr>
          <w:spacing w:val="-3"/>
          <w:sz w:val="20"/>
        </w:rPr>
        <w:t> </w:t>
      </w:r>
      <w:r>
        <w:rPr>
          <w:sz w:val="20"/>
        </w:rPr>
        <w:t>integrated</w:t>
      </w:r>
      <w:r>
        <w:rPr>
          <w:spacing w:val="-5"/>
          <w:sz w:val="20"/>
        </w:rPr>
        <w:t> </w:t>
      </w:r>
      <w:r>
        <w:rPr>
          <w:sz w:val="20"/>
        </w:rPr>
        <w:t>into the</w:t>
      </w:r>
      <w:r>
        <w:rPr>
          <w:spacing w:val="-3"/>
          <w:sz w:val="20"/>
        </w:rPr>
        <w:t> </w:t>
      </w:r>
      <w:r>
        <w:rPr>
          <w:sz w:val="20"/>
        </w:rPr>
        <w:t>prosecution pillars</w:t>
      </w:r>
      <w:r>
        <w:rPr>
          <w:spacing w:val="-1"/>
          <w:sz w:val="20"/>
        </w:rPr>
        <w:t> </w:t>
      </w:r>
      <w:r>
        <w:rPr>
          <w:sz w:val="20"/>
        </w:rPr>
        <w:t>to</w:t>
      </w:r>
      <w:r>
        <w:rPr>
          <w:spacing w:val="-5"/>
          <w:sz w:val="20"/>
        </w:rPr>
        <w:t> </w:t>
      </w:r>
      <w:r>
        <w:rPr>
          <w:sz w:val="20"/>
        </w:rPr>
        <w:t>ensure</w:t>
      </w:r>
      <w:r>
        <w:rPr>
          <w:spacing w:val="-3"/>
          <w:sz w:val="20"/>
        </w:rPr>
        <w:t> </w:t>
      </w:r>
      <w:r>
        <w:rPr>
          <w:sz w:val="20"/>
        </w:rPr>
        <w:t>that staff are properly assisted in all phases of the</w:t>
      </w:r>
      <w:r>
        <w:rPr>
          <w:spacing w:val="-2"/>
          <w:sz w:val="20"/>
        </w:rPr>
        <w:t> </w:t>
      </w:r>
      <w:r>
        <w:rPr>
          <w:sz w:val="20"/>
        </w:rPr>
        <w:t>activities of the Office with specialized knowledge and</w:t>
      </w:r>
      <w:r>
        <w:rPr>
          <w:spacing w:val="-4"/>
          <w:sz w:val="20"/>
        </w:rPr>
        <w:t> </w:t>
      </w:r>
      <w:r>
        <w:rPr>
          <w:sz w:val="20"/>
        </w:rPr>
        <w:t>expertise. GCU, with</w:t>
      </w:r>
      <w:r>
        <w:rPr>
          <w:spacing w:val="-4"/>
          <w:sz w:val="20"/>
        </w:rPr>
        <w:t> </w:t>
      </w:r>
      <w:r>
        <w:rPr>
          <w:sz w:val="20"/>
        </w:rPr>
        <w:t>the support of</w:t>
      </w:r>
      <w:r>
        <w:rPr>
          <w:spacing w:val="-4"/>
          <w:sz w:val="20"/>
        </w:rPr>
        <w:t> </w:t>
      </w:r>
      <w:r>
        <w:rPr>
          <w:sz w:val="20"/>
        </w:rPr>
        <w:t>the Prosecutor</w:t>
      </w:r>
      <w:r>
        <w:rPr>
          <w:spacing w:val="-4"/>
          <w:sz w:val="20"/>
        </w:rPr>
        <w:t> </w:t>
      </w:r>
      <w:r>
        <w:rPr>
          <w:sz w:val="20"/>
        </w:rPr>
        <w:t>and</w:t>
      </w:r>
      <w:r>
        <w:rPr>
          <w:spacing w:val="-4"/>
          <w:sz w:val="20"/>
        </w:rPr>
        <w:t> </w:t>
      </w:r>
      <w:r>
        <w:rPr>
          <w:sz w:val="20"/>
        </w:rPr>
        <w:t>Deputy</w:t>
      </w:r>
      <w:r>
        <w:rPr>
          <w:spacing w:val="-4"/>
          <w:sz w:val="20"/>
        </w:rPr>
        <w:t> </w:t>
      </w:r>
      <w:r>
        <w:rPr>
          <w:sz w:val="20"/>
        </w:rPr>
        <w:t>Prosecutors, will</w:t>
      </w:r>
      <w:r>
        <w:rPr>
          <w:spacing w:val="-2"/>
          <w:sz w:val="20"/>
        </w:rPr>
        <w:t> </w:t>
      </w:r>
      <w:r>
        <w:rPr>
          <w:sz w:val="20"/>
        </w:rPr>
        <w:t>ensure that staff receive both core and specialized training on the subject and that resources are appropriately allocated, as well as coordinating a network of gender focal points across the teams with professionals of different profiles (analysts, investigators, lawyers).</w:t>
      </w:r>
    </w:p>
    <w:p>
      <w:pPr>
        <w:pStyle w:val="ListParagraph"/>
        <w:numPr>
          <w:ilvl w:val="0"/>
          <w:numId w:val="4"/>
        </w:numPr>
        <w:tabs>
          <w:tab w:pos="2967" w:val="left" w:leader="none"/>
        </w:tabs>
        <w:spacing w:line="240" w:lineRule="auto" w:before="118" w:after="0"/>
        <w:ind w:left="2246" w:right="2246" w:firstLine="0"/>
        <w:jc w:val="both"/>
        <w:rPr>
          <w:sz w:val="20"/>
        </w:rPr>
      </w:pPr>
      <w:r>
        <w:rPr>
          <w:sz w:val="20"/>
        </w:rPr>
        <w:t>The</w:t>
      </w:r>
      <w:r>
        <w:rPr>
          <w:spacing w:val="-7"/>
          <w:sz w:val="20"/>
        </w:rPr>
        <w:t> </w:t>
      </w:r>
      <w:r>
        <w:rPr>
          <w:sz w:val="20"/>
        </w:rPr>
        <w:t>activities</w:t>
      </w:r>
      <w:r>
        <w:rPr>
          <w:spacing w:val="-5"/>
          <w:sz w:val="20"/>
        </w:rPr>
        <w:t> </w:t>
      </w:r>
      <w:r>
        <w:rPr>
          <w:sz w:val="20"/>
        </w:rPr>
        <w:t>undertaken</w:t>
      </w:r>
      <w:r>
        <w:rPr>
          <w:spacing w:val="-4"/>
          <w:sz w:val="20"/>
        </w:rPr>
        <w:t> </w:t>
      </w:r>
      <w:r>
        <w:rPr>
          <w:sz w:val="20"/>
        </w:rPr>
        <w:t>by</w:t>
      </w:r>
      <w:r>
        <w:rPr>
          <w:spacing w:val="-4"/>
          <w:sz w:val="20"/>
        </w:rPr>
        <w:t> </w:t>
      </w:r>
      <w:r>
        <w:rPr>
          <w:sz w:val="20"/>
        </w:rPr>
        <w:t>GCU</w:t>
      </w:r>
      <w:r>
        <w:rPr>
          <w:spacing w:val="-5"/>
          <w:sz w:val="20"/>
        </w:rPr>
        <w:t> </w:t>
      </w:r>
      <w:r>
        <w:rPr>
          <w:sz w:val="20"/>
        </w:rPr>
        <w:t>will</w:t>
      </w:r>
      <w:r>
        <w:rPr>
          <w:spacing w:val="-2"/>
          <w:sz w:val="20"/>
        </w:rPr>
        <w:t> </w:t>
      </w:r>
      <w:r>
        <w:rPr>
          <w:sz w:val="20"/>
        </w:rPr>
        <w:t>also</w:t>
      </w:r>
      <w:r>
        <w:rPr>
          <w:spacing w:val="-4"/>
          <w:sz w:val="20"/>
        </w:rPr>
        <w:t> </w:t>
      </w:r>
      <w:r>
        <w:rPr>
          <w:sz w:val="20"/>
        </w:rPr>
        <w:t>ensure</w:t>
      </w:r>
      <w:r>
        <w:rPr>
          <w:spacing w:val="-2"/>
          <w:sz w:val="20"/>
        </w:rPr>
        <w:t> </w:t>
      </w:r>
      <w:r>
        <w:rPr>
          <w:sz w:val="20"/>
        </w:rPr>
        <w:t>that</w:t>
      </w:r>
      <w:r>
        <w:rPr>
          <w:spacing w:val="-7"/>
          <w:sz w:val="20"/>
        </w:rPr>
        <w:t> </w:t>
      </w:r>
      <w:r>
        <w:rPr>
          <w:sz w:val="20"/>
        </w:rPr>
        <w:t>children</w:t>
      </w:r>
      <w:r>
        <w:rPr>
          <w:spacing w:val="-4"/>
          <w:sz w:val="20"/>
        </w:rPr>
        <w:t> </w:t>
      </w:r>
      <w:r>
        <w:rPr>
          <w:sz w:val="20"/>
        </w:rPr>
        <w:t>are</w:t>
      </w:r>
      <w:r>
        <w:rPr>
          <w:spacing w:val="-2"/>
          <w:sz w:val="20"/>
        </w:rPr>
        <w:t> </w:t>
      </w:r>
      <w:r>
        <w:rPr>
          <w:sz w:val="20"/>
        </w:rPr>
        <w:t>recognised</w:t>
      </w:r>
      <w:r>
        <w:rPr>
          <w:spacing w:val="-8"/>
          <w:sz w:val="20"/>
        </w:rPr>
        <w:t> </w:t>
      </w:r>
      <w:r>
        <w:rPr>
          <w:sz w:val="20"/>
        </w:rPr>
        <w:t>as</w:t>
      </w:r>
      <w:r>
        <w:rPr>
          <w:spacing w:val="-5"/>
          <w:sz w:val="20"/>
        </w:rPr>
        <w:t> </w:t>
      </w:r>
      <w:r>
        <w:rPr>
          <w:sz w:val="20"/>
        </w:rPr>
        <w:t>a separate class of victims and ensure their effective participation in investigations and prosecutions. The impact of crime on children can be extremely severe and long term. This must be taken into account when assessing support needs during investigations and as a relevant</w:t>
      </w:r>
      <w:r>
        <w:rPr>
          <w:spacing w:val="-13"/>
          <w:sz w:val="20"/>
        </w:rPr>
        <w:t> </w:t>
      </w:r>
      <w:r>
        <w:rPr>
          <w:sz w:val="20"/>
        </w:rPr>
        <w:t>factor</w:t>
      </w:r>
      <w:r>
        <w:rPr>
          <w:spacing w:val="-12"/>
          <w:sz w:val="20"/>
        </w:rPr>
        <w:t> </w:t>
      </w:r>
      <w:r>
        <w:rPr>
          <w:sz w:val="20"/>
        </w:rPr>
        <w:t>in</w:t>
      </w:r>
      <w:r>
        <w:rPr>
          <w:spacing w:val="-13"/>
          <w:sz w:val="20"/>
        </w:rPr>
        <w:t> </w:t>
      </w:r>
      <w:r>
        <w:rPr>
          <w:sz w:val="20"/>
        </w:rPr>
        <w:t>sentencing.</w:t>
      </w:r>
      <w:r>
        <w:rPr>
          <w:spacing w:val="-12"/>
          <w:sz w:val="20"/>
        </w:rPr>
        <w:t> </w:t>
      </w:r>
      <w:r>
        <w:rPr>
          <w:sz w:val="20"/>
        </w:rPr>
        <w:t>Accountability</w:t>
      </w:r>
      <w:r>
        <w:rPr>
          <w:spacing w:val="-13"/>
          <w:sz w:val="20"/>
        </w:rPr>
        <w:t> </w:t>
      </w:r>
      <w:r>
        <w:rPr>
          <w:sz w:val="20"/>
        </w:rPr>
        <w:t>for</w:t>
      </w:r>
      <w:r>
        <w:rPr>
          <w:spacing w:val="-12"/>
          <w:sz w:val="20"/>
        </w:rPr>
        <w:t> </w:t>
      </w:r>
      <w:r>
        <w:rPr>
          <w:sz w:val="20"/>
        </w:rPr>
        <w:t>crimes</w:t>
      </w:r>
      <w:r>
        <w:rPr>
          <w:spacing w:val="-13"/>
          <w:sz w:val="20"/>
        </w:rPr>
        <w:t> </w:t>
      </w:r>
      <w:r>
        <w:rPr>
          <w:sz w:val="20"/>
        </w:rPr>
        <w:t>against</w:t>
      </w:r>
      <w:r>
        <w:rPr>
          <w:spacing w:val="-12"/>
          <w:sz w:val="20"/>
        </w:rPr>
        <w:t> </w:t>
      </w:r>
      <w:r>
        <w:rPr>
          <w:sz w:val="20"/>
        </w:rPr>
        <w:t>and</w:t>
      </w:r>
      <w:r>
        <w:rPr>
          <w:spacing w:val="-13"/>
          <w:sz w:val="20"/>
        </w:rPr>
        <w:t> </w:t>
      </w:r>
      <w:r>
        <w:rPr>
          <w:sz w:val="20"/>
        </w:rPr>
        <w:t>which</w:t>
      </w:r>
      <w:r>
        <w:rPr>
          <w:spacing w:val="-12"/>
          <w:sz w:val="20"/>
        </w:rPr>
        <w:t> </w:t>
      </w:r>
      <w:r>
        <w:rPr>
          <w:sz w:val="20"/>
        </w:rPr>
        <w:t>affect</w:t>
      </w:r>
      <w:r>
        <w:rPr>
          <w:spacing w:val="-13"/>
          <w:sz w:val="20"/>
        </w:rPr>
        <w:t> </w:t>
      </w:r>
      <w:r>
        <w:rPr>
          <w:sz w:val="20"/>
        </w:rPr>
        <w:t>children</w:t>
      </w:r>
      <w:r>
        <w:rPr>
          <w:spacing w:val="-12"/>
          <w:sz w:val="20"/>
        </w:rPr>
        <w:t> </w:t>
      </w:r>
      <w:r>
        <w:rPr>
          <w:sz w:val="20"/>
        </w:rPr>
        <w:t>will be a priority for the Office.</w:t>
      </w:r>
    </w:p>
    <w:p>
      <w:pPr>
        <w:pStyle w:val="ListParagraph"/>
        <w:numPr>
          <w:ilvl w:val="0"/>
          <w:numId w:val="4"/>
        </w:numPr>
        <w:tabs>
          <w:tab w:pos="2967" w:val="left" w:leader="none"/>
        </w:tabs>
        <w:spacing w:line="240" w:lineRule="auto" w:before="123" w:after="0"/>
        <w:ind w:left="2246" w:right="2242" w:firstLine="0"/>
        <w:jc w:val="both"/>
        <w:rPr>
          <w:sz w:val="20"/>
        </w:rPr>
      </w:pPr>
      <w:r>
        <w:rPr>
          <w:sz w:val="20"/>
        </w:rPr>
        <w:t>In</w:t>
      </w:r>
      <w:r>
        <w:rPr>
          <w:spacing w:val="-13"/>
          <w:sz w:val="20"/>
        </w:rPr>
        <w:t> </w:t>
      </w:r>
      <w:r>
        <w:rPr>
          <w:sz w:val="20"/>
        </w:rPr>
        <w:t>this</w:t>
      </w:r>
      <w:r>
        <w:rPr>
          <w:spacing w:val="-12"/>
          <w:sz w:val="20"/>
        </w:rPr>
        <w:t> </w:t>
      </w:r>
      <w:r>
        <w:rPr>
          <w:sz w:val="20"/>
        </w:rPr>
        <w:t>budget</w:t>
      </w:r>
      <w:r>
        <w:rPr>
          <w:spacing w:val="-8"/>
          <w:sz w:val="20"/>
        </w:rPr>
        <w:t> </w:t>
      </w:r>
      <w:r>
        <w:rPr>
          <w:sz w:val="20"/>
        </w:rPr>
        <w:t>submission</w:t>
      </w:r>
      <w:r>
        <w:rPr>
          <w:spacing w:val="-8"/>
          <w:sz w:val="20"/>
        </w:rPr>
        <w:t> </w:t>
      </w:r>
      <w:r>
        <w:rPr>
          <w:sz w:val="20"/>
        </w:rPr>
        <w:t>two</w:t>
      </w:r>
      <w:r>
        <w:rPr>
          <w:spacing w:val="-13"/>
          <w:sz w:val="20"/>
        </w:rPr>
        <w:t> </w:t>
      </w:r>
      <w:r>
        <w:rPr>
          <w:sz w:val="20"/>
        </w:rPr>
        <w:t>new</w:t>
      </w:r>
      <w:r>
        <w:rPr>
          <w:spacing w:val="-12"/>
          <w:sz w:val="20"/>
        </w:rPr>
        <w:t> </w:t>
      </w:r>
      <w:r>
        <w:rPr>
          <w:sz w:val="20"/>
        </w:rPr>
        <w:t>posts</w:t>
      </w:r>
      <w:r>
        <w:rPr>
          <w:spacing w:val="-10"/>
          <w:sz w:val="20"/>
        </w:rPr>
        <w:t> </w:t>
      </w:r>
      <w:r>
        <w:rPr>
          <w:sz w:val="20"/>
        </w:rPr>
        <w:t>are</w:t>
      </w:r>
      <w:r>
        <w:rPr>
          <w:spacing w:val="-7"/>
          <w:sz w:val="20"/>
        </w:rPr>
        <w:t> </w:t>
      </w:r>
      <w:r>
        <w:rPr>
          <w:sz w:val="20"/>
        </w:rPr>
        <w:t>requested</w:t>
      </w:r>
      <w:r>
        <w:rPr>
          <w:spacing w:val="-8"/>
          <w:sz w:val="20"/>
        </w:rPr>
        <w:t> </w:t>
      </w:r>
      <w:r>
        <w:rPr>
          <w:sz w:val="20"/>
        </w:rPr>
        <w:t>to</w:t>
      </w:r>
      <w:r>
        <w:rPr>
          <w:spacing w:val="-8"/>
          <w:sz w:val="20"/>
        </w:rPr>
        <w:t> </w:t>
      </w:r>
      <w:r>
        <w:rPr>
          <w:sz w:val="20"/>
        </w:rPr>
        <w:t>strengthen</w:t>
      </w:r>
      <w:r>
        <w:rPr>
          <w:spacing w:val="-8"/>
          <w:sz w:val="20"/>
        </w:rPr>
        <w:t> </w:t>
      </w:r>
      <w:r>
        <w:rPr>
          <w:sz w:val="20"/>
        </w:rPr>
        <w:t>GCU</w:t>
      </w:r>
      <w:r>
        <w:rPr>
          <w:spacing w:val="-13"/>
          <w:sz w:val="20"/>
        </w:rPr>
        <w:t> </w:t>
      </w:r>
      <w:r>
        <w:rPr>
          <w:sz w:val="20"/>
        </w:rPr>
        <w:t>and</w:t>
      </w:r>
      <w:r>
        <w:rPr>
          <w:spacing w:val="-12"/>
          <w:sz w:val="20"/>
        </w:rPr>
        <w:t> </w:t>
      </w:r>
      <w:r>
        <w:rPr>
          <w:sz w:val="20"/>
        </w:rPr>
        <w:t>allow the unit to play the required strategic role across situations addressed by the Office, as out lined</w:t>
      </w:r>
      <w:r>
        <w:rPr>
          <w:spacing w:val="-9"/>
          <w:sz w:val="20"/>
        </w:rPr>
        <w:t> </w:t>
      </w:r>
      <w:r>
        <w:rPr>
          <w:sz w:val="20"/>
        </w:rPr>
        <w:t>above.</w:t>
      </w:r>
      <w:r>
        <w:rPr>
          <w:spacing w:val="-6"/>
          <w:sz w:val="20"/>
        </w:rPr>
        <w:t> </w:t>
      </w:r>
      <w:r>
        <w:rPr>
          <w:sz w:val="20"/>
        </w:rPr>
        <w:t>Specifically,</w:t>
      </w:r>
      <w:r>
        <w:rPr>
          <w:spacing w:val="-12"/>
          <w:sz w:val="20"/>
        </w:rPr>
        <w:t> </w:t>
      </w:r>
      <w:r>
        <w:rPr>
          <w:sz w:val="20"/>
        </w:rPr>
        <w:t>the</w:t>
      </w:r>
      <w:r>
        <w:rPr>
          <w:spacing w:val="-8"/>
          <w:sz w:val="20"/>
        </w:rPr>
        <w:t> </w:t>
      </w:r>
      <w:r>
        <w:rPr>
          <w:sz w:val="20"/>
        </w:rPr>
        <w:t>Office</w:t>
      </w:r>
      <w:r>
        <w:rPr>
          <w:spacing w:val="-8"/>
          <w:sz w:val="20"/>
        </w:rPr>
        <w:t> </w:t>
      </w:r>
      <w:r>
        <w:rPr>
          <w:sz w:val="20"/>
        </w:rPr>
        <w:t>requests</w:t>
      </w:r>
      <w:r>
        <w:rPr>
          <w:spacing w:val="-11"/>
          <w:sz w:val="20"/>
        </w:rPr>
        <w:t> </w:t>
      </w:r>
      <w:r>
        <w:rPr>
          <w:sz w:val="20"/>
        </w:rPr>
        <w:t>the</w:t>
      </w:r>
      <w:r>
        <w:rPr>
          <w:spacing w:val="-8"/>
          <w:sz w:val="20"/>
        </w:rPr>
        <w:t> </w:t>
      </w:r>
      <w:r>
        <w:rPr>
          <w:sz w:val="20"/>
        </w:rPr>
        <w:t>addition</w:t>
      </w:r>
      <w:r>
        <w:rPr>
          <w:spacing w:val="-9"/>
          <w:sz w:val="20"/>
        </w:rPr>
        <w:t> </w:t>
      </w:r>
      <w:r>
        <w:rPr>
          <w:sz w:val="20"/>
        </w:rPr>
        <w:t>of</w:t>
      </w:r>
      <w:r>
        <w:rPr>
          <w:spacing w:val="-13"/>
          <w:sz w:val="20"/>
        </w:rPr>
        <w:t> </w:t>
      </w:r>
      <w:r>
        <w:rPr>
          <w:sz w:val="20"/>
        </w:rPr>
        <w:t>the</w:t>
      </w:r>
      <w:r>
        <w:rPr>
          <w:spacing w:val="-7"/>
          <w:sz w:val="20"/>
        </w:rPr>
        <w:t> </w:t>
      </w:r>
      <w:r>
        <w:rPr>
          <w:sz w:val="20"/>
        </w:rPr>
        <w:t>positions</w:t>
      </w:r>
      <w:r>
        <w:rPr>
          <w:spacing w:val="-11"/>
          <w:sz w:val="20"/>
        </w:rPr>
        <w:t> </w:t>
      </w:r>
      <w:r>
        <w:rPr>
          <w:sz w:val="20"/>
        </w:rPr>
        <w:t>of</w:t>
      </w:r>
      <w:r>
        <w:rPr>
          <w:spacing w:val="-9"/>
          <w:sz w:val="20"/>
        </w:rPr>
        <w:t> </w:t>
      </w:r>
      <w:r>
        <w:rPr>
          <w:sz w:val="20"/>
        </w:rPr>
        <w:t>expert</w:t>
      </w:r>
      <w:r>
        <w:rPr>
          <w:spacing w:val="-13"/>
          <w:sz w:val="20"/>
        </w:rPr>
        <w:t> </w:t>
      </w:r>
      <w:r>
        <w:rPr>
          <w:sz w:val="20"/>
        </w:rPr>
        <w:t>on</w:t>
      </w:r>
      <w:r>
        <w:rPr>
          <w:spacing w:val="-8"/>
          <w:sz w:val="20"/>
        </w:rPr>
        <w:t> </w:t>
      </w:r>
      <w:r>
        <w:rPr>
          <w:sz w:val="20"/>
        </w:rPr>
        <w:t>SGBC (P-3) and expert on crimes against children (P-3). The composition of GCU will be further assessed once the new organizational structure is in place and activities begin to be implemented.</w:t>
      </w:r>
      <w:r>
        <w:rPr>
          <w:spacing w:val="-2"/>
          <w:sz w:val="20"/>
        </w:rPr>
        <w:t> </w:t>
      </w:r>
      <w:r>
        <w:rPr>
          <w:sz w:val="20"/>
        </w:rPr>
        <w:t>The</w:t>
      </w:r>
      <w:r>
        <w:rPr>
          <w:spacing w:val="-3"/>
          <w:sz w:val="20"/>
        </w:rPr>
        <w:t> </w:t>
      </w:r>
      <w:r>
        <w:rPr>
          <w:sz w:val="20"/>
        </w:rPr>
        <w:t>addition</w:t>
      </w:r>
      <w:r>
        <w:rPr>
          <w:spacing w:val="-5"/>
          <w:sz w:val="20"/>
        </w:rPr>
        <w:t> </w:t>
      </w:r>
      <w:r>
        <w:rPr>
          <w:sz w:val="20"/>
        </w:rPr>
        <w:t>of</w:t>
      </w:r>
      <w:r>
        <w:rPr>
          <w:spacing w:val="-5"/>
          <w:sz w:val="20"/>
        </w:rPr>
        <w:t> </w:t>
      </w:r>
      <w:r>
        <w:rPr>
          <w:sz w:val="20"/>
        </w:rPr>
        <w:t>these posts</w:t>
      </w:r>
      <w:r>
        <w:rPr>
          <w:spacing w:val="-1"/>
          <w:sz w:val="20"/>
        </w:rPr>
        <w:t> </w:t>
      </w:r>
      <w:r>
        <w:rPr>
          <w:sz w:val="20"/>
        </w:rPr>
        <w:t>will</w:t>
      </w:r>
      <w:r>
        <w:rPr>
          <w:spacing w:val="-3"/>
          <w:sz w:val="20"/>
        </w:rPr>
        <w:t> </w:t>
      </w:r>
      <w:r>
        <w:rPr>
          <w:sz w:val="20"/>
        </w:rPr>
        <w:t>also increase</w:t>
      </w:r>
      <w:r>
        <w:rPr>
          <w:spacing w:val="-3"/>
          <w:sz w:val="20"/>
        </w:rPr>
        <w:t> </w:t>
      </w:r>
      <w:r>
        <w:rPr>
          <w:sz w:val="20"/>
        </w:rPr>
        <w:t>the</w:t>
      </w:r>
      <w:r>
        <w:rPr>
          <w:spacing w:val="-3"/>
          <w:sz w:val="20"/>
        </w:rPr>
        <w:t> </w:t>
      </w:r>
      <w:r>
        <w:rPr>
          <w:sz w:val="20"/>
        </w:rPr>
        <w:t>ability of</w:t>
      </w:r>
      <w:r>
        <w:rPr>
          <w:spacing w:val="-5"/>
          <w:sz w:val="20"/>
        </w:rPr>
        <w:t> </w:t>
      </w:r>
      <w:r>
        <w:rPr>
          <w:sz w:val="20"/>
        </w:rPr>
        <w:t>the</w:t>
      </w:r>
      <w:r>
        <w:rPr>
          <w:spacing w:val="-3"/>
          <w:sz w:val="20"/>
        </w:rPr>
        <w:t> </w:t>
      </w:r>
      <w:r>
        <w:rPr>
          <w:sz w:val="20"/>
        </w:rPr>
        <w:t>GCU</w:t>
      </w:r>
      <w:r>
        <w:rPr>
          <w:spacing w:val="-6"/>
          <w:sz w:val="20"/>
        </w:rPr>
        <w:t> </w:t>
      </w:r>
      <w:r>
        <w:rPr>
          <w:sz w:val="20"/>
        </w:rPr>
        <w:t>to</w:t>
      </w:r>
      <w:r>
        <w:rPr>
          <w:spacing w:val="-5"/>
          <w:sz w:val="20"/>
        </w:rPr>
        <w:t> </w:t>
      </w:r>
      <w:r>
        <w:rPr>
          <w:sz w:val="20"/>
        </w:rPr>
        <w:t>absorb additional expertise with respect to SGBC and crimes against children through the secondment of national experts by States Parties to the Office addressing these thematic areas.</w:t>
      </w:r>
      <w:r>
        <w:rPr>
          <w:spacing w:val="-1"/>
          <w:sz w:val="20"/>
        </w:rPr>
        <w:t> </w:t>
      </w:r>
      <w:r>
        <w:rPr>
          <w:sz w:val="20"/>
        </w:rPr>
        <w:t>Through</w:t>
      </w:r>
      <w:r>
        <w:rPr>
          <w:spacing w:val="-4"/>
          <w:sz w:val="20"/>
        </w:rPr>
        <w:t> </w:t>
      </w:r>
      <w:r>
        <w:rPr>
          <w:sz w:val="20"/>
        </w:rPr>
        <w:t>the establishment</w:t>
      </w:r>
      <w:r>
        <w:rPr>
          <w:spacing w:val="-2"/>
          <w:sz w:val="20"/>
        </w:rPr>
        <w:t> </w:t>
      </w:r>
      <w:r>
        <w:rPr>
          <w:sz w:val="20"/>
        </w:rPr>
        <w:t>of</w:t>
      </w:r>
      <w:r>
        <w:rPr>
          <w:spacing w:val="-4"/>
          <w:sz w:val="20"/>
        </w:rPr>
        <w:t> </w:t>
      </w:r>
      <w:r>
        <w:rPr>
          <w:sz w:val="20"/>
        </w:rPr>
        <w:t>a</w:t>
      </w:r>
      <w:r>
        <w:rPr>
          <w:spacing w:val="-2"/>
          <w:sz w:val="20"/>
        </w:rPr>
        <w:t> </w:t>
      </w:r>
      <w:r>
        <w:rPr>
          <w:sz w:val="20"/>
        </w:rPr>
        <w:t>core</w:t>
      </w:r>
      <w:r>
        <w:rPr>
          <w:spacing w:val="-2"/>
          <w:sz w:val="20"/>
        </w:rPr>
        <w:t> </w:t>
      </w:r>
      <w:r>
        <w:rPr>
          <w:sz w:val="20"/>
        </w:rPr>
        <w:t>basis of</w:t>
      </w:r>
      <w:r>
        <w:rPr>
          <w:spacing w:val="-4"/>
          <w:sz w:val="20"/>
        </w:rPr>
        <w:t> </w:t>
      </w:r>
      <w:r>
        <w:rPr>
          <w:sz w:val="20"/>
        </w:rPr>
        <w:t>expertise</w:t>
      </w:r>
      <w:r>
        <w:rPr>
          <w:spacing w:val="-7"/>
          <w:sz w:val="20"/>
        </w:rPr>
        <w:t> </w:t>
      </w:r>
      <w:r>
        <w:rPr>
          <w:sz w:val="20"/>
        </w:rPr>
        <w:t>within the</w:t>
      </w:r>
      <w:r>
        <w:rPr>
          <w:spacing w:val="-2"/>
          <w:sz w:val="20"/>
        </w:rPr>
        <w:t> </w:t>
      </w:r>
      <w:r>
        <w:rPr>
          <w:sz w:val="20"/>
        </w:rPr>
        <w:t>Office</w:t>
      </w:r>
      <w:r>
        <w:rPr>
          <w:spacing w:val="-2"/>
          <w:sz w:val="20"/>
        </w:rPr>
        <w:t> </w:t>
      </w:r>
      <w:r>
        <w:rPr>
          <w:sz w:val="20"/>
        </w:rPr>
        <w:t>this will set</w:t>
      </w:r>
      <w:r>
        <w:rPr>
          <w:spacing w:val="-2"/>
          <w:sz w:val="20"/>
        </w:rPr>
        <w:t> </w:t>
      </w:r>
      <w:r>
        <w:rPr>
          <w:sz w:val="20"/>
        </w:rPr>
        <w:t>a stronger platform through which such contributions can be effectively leveraged and the impact of the work of the Unit multiplied across situations.</w:t>
      </w:r>
    </w:p>
    <w:p>
      <w:pPr>
        <w:pStyle w:val="ListParagraph"/>
        <w:numPr>
          <w:ilvl w:val="0"/>
          <w:numId w:val="4"/>
        </w:numPr>
        <w:tabs>
          <w:tab w:pos="2967" w:val="left" w:leader="none"/>
        </w:tabs>
        <w:spacing w:line="240" w:lineRule="auto" w:before="121" w:after="0"/>
        <w:ind w:left="2246" w:right="2243" w:firstLine="0"/>
        <w:jc w:val="both"/>
        <w:rPr>
          <w:sz w:val="20"/>
        </w:rPr>
      </w:pPr>
      <w:r>
        <w:rPr>
          <w:sz w:val="20"/>
        </w:rPr>
        <w:t>Resources for assisting with psychological support to victims and witnesses who had</w:t>
      </w:r>
      <w:r>
        <w:rPr>
          <w:spacing w:val="-10"/>
          <w:sz w:val="20"/>
        </w:rPr>
        <w:t> </w:t>
      </w:r>
      <w:r>
        <w:rPr>
          <w:sz w:val="20"/>
        </w:rPr>
        <w:t>been</w:t>
      </w:r>
      <w:r>
        <w:rPr>
          <w:spacing w:val="-13"/>
          <w:sz w:val="20"/>
        </w:rPr>
        <w:t> </w:t>
      </w:r>
      <w:r>
        <w:rPr>
          <w:sz w:val="20"/>
        </w:rPr>
        <w:t>previously</w:t>
      </w:r>
      <w:r>
        <w:rPr>
          <w:spacing w:val="-12"/>
          <w:sz w:val="20"/>
        </w:rPr>
        <w:t> </w:t>
      </w:r>
      <w:r>
        <w:rPr>
          <w:sz w:val="20"/>
        </w:rPr>
        <w:t>included</w:t>
      </w:r>
      <w:r>
        <w:rPr>
          <w:spacing w:val="-13"/>
          <w:sz w:val="20"/>
        </w:rPr>
        <w:t> </w:t>
      </w:r>
      <w:r>
        <w:rPr>
          <w:sz w:val="20"/>
        </w:rPr>
        <w:t>in</w:t>
      </w:r>
      <w:r>
        <w:rPr>
          <w:spacing w:val="-7"/>
          <w:sz w:val="20"/>
        </w:rPr>
        <w:t> </w:t>
      </w:r>
      <w:r>
        <w:rPr>
          <w:sz w:val="20"/>
        </w:rPr>
        <w:t>GCU</w:t>
      </w:r>
      <w:r>
        <w:rPr>
          <w:spacing w:val="-10"/>
          <w:sz w:val="20"/>
        </w:rPr>
        <w:t> </w:t>
      </w:r>
      <w:r>
        <w:rPr>
          <w:sz w:val="20"/>
        </w:rPr>
        <w:t>will</w:t>
      </w:r>
      <w:r>
        <w:rPr>
          <w:spacing w:val="-7"/>
          <w:sz w:val="20"/>
        </w:rPr>
        <w:t> </w:t>
      </w:r>
      <w:r>
        <w:rPr>
          <w:sz w:val="20"/>
        </w:rPr>
        <w:t>be</w:t>
      </w:r>
      <w:r>
        <w:rPr>
          <w:spacing w:val="-7"/>
          <w:sz w:val="20"/>
        </w:rPr>
        <w:t> </w:t>
      </w:r>
      <w:r>
        <w:rPr>
          <w:sz w:val="20"/>
        </w:rPr>
        <w:t>allocated</w:t>
      </w:r>
      <w:r>
        <w:rPr>
          <w:spacing w:val="-8"/>
          <w:sz w:val="20"/>
        </w:rPr>
        <w:t> </w:t>
      </w:r>
      <w:r>
        <w:rPr>
          <w:sz w:val="20"/>
        </w:rPr>
        <w:t>to</w:t>
      </w:r>
      <w:r>
        <w:rPr>
          <w:spacing w:val="-13"/>
          <w:sz w:val="20"/>
        </w:rPr>
        <w:t> </w:t>
      </w:r>
      <w:r>
        <w:rPr>
          <w:sz w:val="20"/>
        </w:rPr>
        <w:t>the</w:t>
      </w:r>
      <w:r>
        <w:rPr>
          <w:spacing w:val="-12"/>
          <w:sz w:val="20"/>
        </w:rPr>
        <w:t> </w:t>
      </w:r>
      <w:r>
        <w:rPr>
          <w:sz w:val="20"/>
        </w:rPr>
        <w:t>integrated</w:t>
      </w:r>
      <w:r>
        <w:rPr>
          <w:spacing w:val="-8"/>
          <w:sz w:val="20"/>
        </w:rPr>
        <w:t> </w:t>
      </w:r>
      <w:r>
        <w:rPr>
          <w:sz w:val="20"/>
        </w:rPr>
        <w:t>services</w:t>
      </w:r>
      <w:r>
        <w:rPr>
          <w:spacing w:val="-10"/>
          <w:sz w:val="20"/>
        </w:rPr>
        <w:t> </w:t>
      </w:r>
      <w:r>
        <w:rPr>
          <w:sz w:val="20"/>
        </w:rPr>
        <w:t>pillar,</w:t>
      </w:r>
      <w:r>
        <w:rPr>
          <w:spacing w:val="-6"/>
          <w:sz w:val="20"/>
        </w:rPr>
        <w:t> </w:t>
      </w:r>
      <w:r>
        <w:rPr>
          <w:sz w:val="20"/>
        </w:rPr>
        <w:t>under POS - 2830.</w:t>
      </w:r>
    </w:p>
    <w:p>
      <w:pPr>
        <w:pStyle w:val="BodyText"/>
        <w:spacing w:before="11"/>
      </w:pPr>
    </w:p>
    <w:p>
      <w:pPr>
        <w:pStyle w:val="Heading3"/>
        <w:tabs>
          <w:tab w:pos="5739" w:val="left" w:leader="none"/>
        </w:tabs>
        <w:ind w:left="5"/>
        <w:jc w:val="center"/>
      </w:pPr>
      <w:r>
        <w:rPr/>
        <w:t>Budget</w:t>
      </w:r>
      <w:r>
        <w:rPr>
          <w:spacing w:val="-6"/>
        </w:rPr>
        <w:t> </w:t>
      </w:r>
      <w:r>
        <w:rPr>
          <w:spacing w:val="-2"/>
        </w:rPr>
        <w:t>resources</w:t>
      </w:r>
      <w:r>
        <w:rPr/>
        <w:tab/>
        <w:t>€18,169.0</w:t>
      </w:r>
      <w:r>
        <w:rPr>
          <w:spacing w:val="-6"/>
        </w:rPr>
        <w:t> </w:t>
      </w:r>
      <w:r>
        <w:rPr>
          <w:spacing w:val="-2"/>
        </w:rPr>
        <w:t>thousand</w:t>
      </w:r>
    </w:p>
    <w:p>
      <w:pPr>
        <w:pStyle w:val="BodyText"/>
        <w:spacing w:before="6"/>
        <w:rPr>
          <w:b/>
        </w:rPr>
      </w:pPr>
    </w:p>
    <w:p>
      <w:pPr>
        <w:pStyle w:val="ListParagraph"/>
        <w:numPr>
          <w:ilvl w:val="0"/>
          <w:numId w:val="4"/>
        </w:numPr>
        <w:tabs>
          <w:tab w:pos="2967" w:val="left" w:leader="none"/>
        </w:tabs>
        <w:spacing w:line="240" w:lineRule="auto" w:before="0" w:after="0"/>
        <w:ind w:left="2246" w:right="2244" w:firstLine="0"/>
        <w:jc w:val="both"/>
        <w:rPr>
          <w:sz w:val="20"/>
        </w:rPr>
      </w:pPr>
      <w:r>
        <w:rPr>
          <w:sz w:val="20"/>
        </w:rPr>
        <w:t>The</w:t>
      </w:r>
      <w:r>
        <w:rPr>
          <w:spacing w:val="-13"/>
          <w:sz w:val="20"/>
        </w:rPr>
        <w:t> </w:t>
      </w:r>
      <w:r>
        <w:rPr>
          <w:sz w:val="20"/>
        </w:rPr>
        <w:t>Programme’s</w:t>
      </w:r>
      <w:r>
        <w:rPr>
          <w:spacing w:val="-12"/>
          <w:sz w:val="20"/>
        </w:rPr>
        <w:t> </w:t>
      </w:r>
      <w:r>
        <w:rPr>
          <w:sz w:val="20"/>
        </w:rPr>
        <w:t>activities</w:t>
      </w:r>
      <w:r>
        <w:rPr>
          <w:spacing w:val="-13"/>
          <w:sz w:val="20"/>
        </w:rPr>
        <w:t> </w:t>
      </w:r>
      <w:r>
        <w:rPr>
          <w:sz w:val="20"/>
        </w:rPr>
        <w:t>are</w:t>
      </w:r>
      <w:r>
        <w:rPr>
          <w:spacing w:val="-12"/>
          <w:sz w:val="20"/>
        </w:rPr>
        <w:t> </w:t>
      </w:r>
      <w:r>
        <w:rPr>
          <w:sz w:val="20"/>
        </w:rPr>
        <w:t>characterized</w:t>
      </w:r>
      <w:r>
        <w:rPr>
          <w:spacing w:val="-13"/>
          <w:sz w:val="20"/>
        </w:rPr>
        <w:t> </w:t>
      </w:r>
      <w:r>
        <w:rPr>
          <w:sz w:val="20"/>
        </w:rPr>
        <w:t>by,</w:t>
      </w:r>
      <w:r>
        <w:rPr>
          <w:spacing w:val="-12"/>
          <w:sz w:val="20"/>
        </w:rPr>
        <w:t> </w:t>
      </w:r>
      <w:r>
        <w:rPr>
          <w:sz w:val="20"/>
        </w:rPr>
        <w:t>and</w:t>
      </w:r>
      <w:r>
        <w:rPr>
          <w:spacing w:val="-13"/>
          <w:sz w:val="20"/>
        </w:rPr>
        <w:t> </w:t>
      </w:r>
      <w:r>
        <w:rPr>
          <w:sz w:val="20"/>
        </w:rPr>
        <w:t>dependent</w:t>
      </w:r>
      <w:r>
        <w:rPr>
          <w:spacing w:val="-12"/>
          <w:sz w:val="20"/>
        </w:rPr>
        <w:t> </w:t>
      </w:r>
      <w:r>
        <w:rPr>
          <w:sz w:val="20"/>
        </w:rPr>
        <w:t>upon,</w:t>
      </w:r>
      <w:r>
        <w:rPr>
          <w:spacing w:val="-13"/>
          <w:sz w:val="20"/>
        </w:rPr>
        <w:t> </w:t>
      </w:r>
      <w:r>
        <w:rPr>
          <w:sz w:val="20"/>
        </w:rPr>
        <w:t>the</w:t>
      </w:r>
      <w:r>
        <w:rPr>
          <w:spacing w:val="-12"/>
          <w:sz w:val="20"/>
        </w:rPr>
        <w:t> </w:t>
      </w:r>
      <w:r>
        <w:rPr>
          <w:sz w:val="20"/>
        </w:rPr>
        <w:t>collective work of professionals specialized in the field of international criminal law, investigations, analysis and other areas relevant to criminal investigations. The vast majority of the budget is therefore concentrated in staff resources.</w:t>
      </w:r>
    </w:p>
    <w:p>
      <w:pPr>
        <w:pStyle w:val="ListParagraph"/>
        <w:numPr>
          <w:ilvl w:val="0"/>
          <w:numId w:val="4"/>
        </w:numPr>
        <w:tabs>
          <w:tab w:pos="2967" w:val="left" w:leader="none"/>
        </w:tabs>
        <w:spacing w:line="240" w:lineRule="auto" w:before="122" w:after="0"/>
        <w:ind w:left="2246" w:right="2242" w:firstLine="0"/>
        <w:jc w:val="both"/>
        <w:rPr>
          <w:sz w:val="20"/>
        </w:rPr>
      </w:pPr>
      <w:r>
        <w:rPr>
          <w:sz w:val="20"/>
        </w:rPr>
        <w:t>Focus</w:t>
      </w:r>
      <w:r>
        <w:rPr>
          <w:spacing w:val="-13"/>
          <w:sz w:val="20"/>
        </w:rPr>
        <w:t> </w:t>
      </w:r>
      <w:r>
        <w:rPr>
          <w:sz w:val="20"/>
        </w:rPr>
        <w:t>has</w:t>
      </w:r>
      <w:r>
        <w:rPr>
          <w:spacing w:val="-12"/>
          <w:sz w:val="20"/>
        </w:rPr>
        <w:t> </w:t>
      </w:r>
      <w:r>
        <w:rPr>
          <w:sz w:val="20"/>
        </w:rPr>
        <w:t>been</w:t>
      </w:r>
      <w:r>
        <w:rPr>
          <w:spacing w:val="-13"/>
          <w:sz w:val="20"/>
        </w:rPr>
        <w:t> </w:t>
      </w:r>
      <w:r>
        <w:rPr>
          <w:sz w:val="20"/>
        </w:rPr>
        <w:t>placed</w:t>
      </w:r>
      <w:r>
        <w:rPr>
          <w:spacing w:val="-12"/>
          <w:sz w:val="20"/>
        </w:rPr>
        <w:t> </w:t>
      </w:r>
      <w:r>
        <w:rPr>
          <w:sz w:val="20"/>
        </w:rPr>
        <w:t>on</w:t>
      </w:r>
      <w:r>
        <w:rPr>
          <w:spacing w:val="-13"/>
          <w:sz w:val="20"/>
        </w:rPr>
        <w:t> </w:t>
      </w:r>
      <w:r>
        <w:rPr>
          <w:sz w:val="20"/>
        </w:rPr>
        <w:t>finding</w:t>
      </w:r>
      <w:r>
        <w:rPr>
          <w:spacing w:val="-12"/>
          <w:sz w:val="20"/>
        </w:rPr>
        <w:t> </w:t>
      </w:r>
      <w:r>
        <w:rPr>
          <w:sz w:val="20"/>
        </w:rPr>
        <w:t>savings</w:t>
      </w:r>
      <w:r>
        <w:rPr>
          <w:spacing w:val="-13"/>
          <w:sz w:val="20"/>
        </w:rPr>
        <w:t> </w:t>
      </w:r>
      <w:r>
        <w:rPr>
          <w:sz w:val="20"/>
        </w:rPr>
        <w:t>and</w:t>
      </w:r>
      <w:r>
        <w:rPr>
          <w:spacing w:val="-12"/>
          <w:sz w:val="20"/>
        </w:rPr>
        <w:t> </w:t>
      </w:r>
      <w:r>
        <w:rPr>
          <w:sz w:val="20"/>
        </w:rPr>
        <w:t>efficiencies</w:t>
      </w:r>
      <w:r>
        <w:rPr>
          <w:spacing w:val="-13"/>
          <w:sz w:val="20"/>
        </w:rPr>
        <w:t> </w:t>
      </w:r>
      <w:r>
        <w:rPr>
          <w:sz w:val="20"/>
        </w:rPr>
        <w:t>by</w:t>
      </w:r>
      <w:r>
        <w:rPr>
          <w:spacing w:val="-12"/>
          <w:sz w:val="20"/>
        </w:rPr>
        <w:t> </w:t>
      </w:r>
      <w:r>
        <w:rPr>
          <w:sz w:val="20"/>
        </w:rPr>
        <w:t>eliminating</w:t>
      </w:r>
      <w:r>
        <w:rPr>
          <w:spacing w:val="-13"/>
          <w:sz w:val="20"/>
        </w:rPr>
        <w:t> </w:t>
      </w:r>
      <w:r>
        <w:rPr>
          <w:sz w:val="20"/>
        </w:rPr>
        <w:t>waste</w:t>
      </w:r>
      <w:r>
        <w:rPr>
          <w:spacing w:val="-12"/>
          <w:sz w:val="20"/>
        </w:rPr>
        <w:t> </w:t>
      </w:r>
      <w:r>
        <w:rPr>
          <w:sz w:val="20"/>
        </w:rPr>
        <w:t>from processes, re-examining internal procedures and streamlining cooperation with other divisions and parties where possible. The lessons learned from the COVID-19 pandemic continue to contribute to this exercise as well.</w:t>
      </w:r>
    </w:p>
    <w:p>
      <w:pPr>
        <w:spacing w:after="0" w:line="240" w:lineRule="auto"/>
        <w:jc w:val="both"/>
        <w:rPr>
          <w:sz w:val="20"/>
        </w:rPr>
        <w:sectPr>
          <w:pgSz w:w="11910" w:h="16840"/>
          <w:pgMar w:header="953" w:footer="940" w:top="1140" w:bottom="1140" w:left="20" w:right="20"/>
        </w:sectPr>
      </w:pPr>
    </w:p>
    <w:p>
      <w:pPr>
        <w:pStyle w:val="ListParagraph"/>
        <w:numPr>
          <w:ilvl w:val="0"/>
          <w:numId w:val="4"/>
        </w:numPr>
        <w:tabs>
          <w:tab w:pos="2967" w:val="left" w:leader="none"/>
        </w:tabs>
        <w:spacing w:line="240" w:lineRule="auto" w:before="120" w:after="0"/>
        <w:ind w:left="2246" w:right="2250" w:firstLine="0"/>
        <w:jc w:val="both"/>
        <w:rPr>
          <w:sz w:val="20"/>
        </w:rPr>
      </w:pPr>
      <w:r>
        <w:rPr>
          <w:sz w:val="20"/>
        </w:rPr>
        <w:t>All existing resources have been assigned to cases and situations, including to absorb new investigation and prosecution needs to the extent possible.</w:t>
      </w:r>
    </w:p>
    <w:p>
      <w:pPr>
        <w:pStyle w:val="BodyText"/>
        <w:spacing w:before="11"/>
      </w:pPr>
    </w:p>
    <w:p>
      <w:pPr>
        <w:pStyle w:val="Heading3"/>
        <w:tabs>
          <w:tab w:pos="7980" w:val="left" w:leader="none"/>
        </w:tabs>
      </w:pPr>
      <w:r>
        <w:rPr/>
        <w:t>Staff</w:t>
      </w:r>
      <w:r>
        <w:rPr>
          <w:spacing w:val="-2"/>
        </w:rPr>
        <w:t> resources</w:t>
      </w:r>
      <w:r>
        <w:rPr/>
        <w:tab/>
        <w:t>€16,678.2</w:t>
      </w:r>
      <w:r>
        <w:rPr>
          <w:spacing w:val="-6"/>
        </w:rPr>
        <w:t> </w:t>
      </w:r>
      <w:r>
        <w:rPr>
          <w:spacing w:val="-2"/>
        </w:rPr>
        <w:t>thousand</w:t>
      </w:r>
    </w:p>
    <w:p>
      <w:pPr>
        <w:pStyle w:val="BodyText"/>
        <w:spacing w:before="11"/>
        <w:rPr>
          <w:b/>
        </w:rPr>
      </w:pPr>
    </w:p>
    <w:p>
      <w:pPr>
        <w:tabs>
          <w:tab w:pos="8032" w:val="left" w:leader="none"/>
        </w:tabs>
        <w:spacing w:before="0"/>
        <w:ind w:left="2246" w:right="0" w:firstLine="0"/>
        <w:jc w:val="left"/>
        <w:rPr>
          <w:i/>
          <w:sz w:val="20"/>
        </w:rPr>
      </w:pPr>
      <w:r>
        <w:rPr>
          <w:i/>
          <w:sz w:val="20"/>
        </w:rPr>
        <w:t>Established</w:t>
      </w:r>
      <w:r>
        <w:rPr>
          <w:i/>
          <w:spacing w:val="-8"/>
          <w:sz w:val="20"/>
        </w:rPr>
        <w:t> </w:t>
      </w:r>
      <w:r>
        <w:rPr>
          <w:i/>
          <w:sz w:val="20"/>
        </w:rPr>
        <w:t>posts:</w:t>
      </w:r>
      <w:r>
        <w:rPr>
          <w:i/>
          <w:spacing w:val="-11"/>
          <w:sz w:val="20"/>
        </w:rPr>
        <w:t> </w:t>
      </w:r>
      <w:r>
        <w:rPr>
          <w:i/>
          <w:sz w:val="20"/>
        </w:rPr>
        <w:t>Professional</w:t>
      </w:r>
      <w:r>
        <w:rPr>
          <w:i/>
          <w:spacing w:val="-6"/>
          <w:sz w:val="20"/>
        </w:rPr>
        <w:t> </w:t>
      </w:r>
      <w:r>
        <w:rPr>
          <w:i/>
          <w:sz w:val="20"/>
        </w:rPr>
        <w:t>and</w:t>
      </w:r>
      <w:r>
        <w:rPr>
          <w:i/>
          <w:spacing w:val="-8"/>
          <w:sz w:val="20"/>
        </w:rPr>
        <w:t> </w:t>
      </w:r>
      <w:r>
        <w:rPr>
          <w:i/>
          <w:sz w:val="20"/>
        </w:rPr>
        <w:t>General</w:t>
      </w:r>
      <w:r>
        <w:rPr>
          <w:i/>
          <w:spacing w:val="-9"/>
          <w:sz w:val="20"/>
        </w:rPr>
        <w:t> </w:t>
      </w:r>
      <w:r>
        <w:rPr>
          <w:i/>
          <w:spacing w:val="-2"/>
          <w:sz w:val="20"/>
        </w:rPr>
        <w:t>Service</w:t>
      </w:r>
      <w:r>
        <w:rPr>
          <w:i/>
          <w:sz w:val="20"/>
        </w:rPr>
        <w:tab/>
        <w:t>€11,904.2</w:t>
      </w:r>
      <w:r>
        <w:rPr>
          <w:i/>
          <w:spacing w:val="-4"/>
          <w:sz w:val="20"/>
        </w:rPr>
        <w:t> </w:t>
      </w:r>
      <w:r>
        <w:rPr>
          <w:i/>
          <w:spacing w:val="-2"/>
          <w:sz w:val="20"/>
        </w:rPr>
        <w:t>thousand</w:t>
      </w:r>
    </w:p>
    <w:p>
      <w:pPr>
        <w:pStyle w:val="BodyText"/>
        <w:spacing w:before="10"/>
        <w:rPr>
          <w:i/>
        </w:rPr>
      </w:pPr>
    </w:p>
    <w:p>
      <w:pPr>
        <w:pStyle w:val="ListParagraph"/>
        <w:numPr>
          <w:ilvl w:val="0"/>
          <w:numId w:val="4"/>
        </w:numPr>
        <w:tabs>
          <w:tab w:pos="2967" w:val="left" w:leader="none"/>
        </w:tabs>
        <w:spacing w:line="240" w:lineRule="auto" w:before="1" w:after="0"/>
        <w:ind w:left="2246" w:right="2241" w:firstLine="0"/>
        <w:jc w:val="both"/>
        <w:rPr>
          <w:sz w:val="20"/>
        </w:rPr>
      </w:pPr>
      <w:r>
        <w:rPr>
          <w:sz w:val="20"/>
        </w:rPr>
        <w:t>The</w:t>
      </w:r>
      <w:r>
        <w:rPr>
          <w:spacing w:val="-13"/>
          <w:sz w:val="20"/>
        </w:rPr>
        <w:t> </w:t>
      </w:r>
      <w:r>
        <w:rPr>
          <w:sz w:val="20"/>
        </w:rPr>
        <w:t>2600</w:t>
      </w:r>
      <w:r>
        <w:rPr>
          <w:spacing w:val="-12"/>
          <w:sz w:val="20"/>
        </w:rPr>
        <w:t> </w:t>
      </w:r>
      <w:r>
        <w:rPr>
          <w:sz w:val="20"/>
        </w:rPr>
        <w:t>Programme</w:t>
      </w:r>
      <w:r>
        <w:rPr>
          <w:spacing w:val="-13"/>
          <w:sz w:val="20"/>
        </w:rPr>
        <w:t> </w:t>
      </w:r>
      <w:r>
        <w:rPr>
          <w:sz w:val="20"/>
        </w:rPr>
        <w:t>prosecution</w:t>
      </w:r>
      <w:r>
        <w:rPr>
          <w:spacing w:val="-12"/>
          <w:sz w:val="20"/>
        </w:rPr>
        <w:t> </w:t>
      </w:r>
      <w:r>
        <w:rPr>
          <w:sz w:val="20"/>
        </w:rPr>
        <w:t>pillar</w:t>
      </w:r>
      <w:r>
        <w:rPr>
          <w:spacing w:val="-13"/>
          <w:sz w:val="20"/>
        </w:rPr>
        <w:t> </w:t>
      </w:r>
      <w:r>
        <w:rPr>
          <w:sz w:val="20"/>
        </w:rPr>
        <w:t>is</w:t>
      </w:r>
      <w:r>
        <w:rPr>
          <w:spacing w:val="-12"/>
          <w:sz w:val="20"/>
        </w:rPr>
        <w:t> </w:t>
      </w:r>
      <w:r>
        <w:rPr>
          <w:sz w:val="20"/>
        </w:rPr>
        <w:t>headed</w:t>
      </w:r>
      <w:r>
        <w:rPr>
          <w:spacing w:val="-13"/>
          <w:sz w:val="20"/>
        </w:rPr>
        <w:t> </w:t>
      </w:r>
      <w:r>
        <w:rPr>
          <w:sz w:val="20"/>
        </w:rPr>
        <w:t>by</w:t>
      </w:r>
      <w:r>
        <w:rPr>
          <w:spacing w:val="-12"/>
          <w:sz w:val="20"/>
        </w:rPr>
        <w:t> </w:t>
      </w:r>
      <w:r>
        <w:rPr>
          <w:sz w:val="20"/>
        </w:rPr>
        <w:t>one</w:t>
      </w:r>
      <w:r>
        <w:rPr>
          <w:spacing w:val="-13"/>
          <w:sz w:val="20"/>
        </w:rPr>
        <w:t> </w:t>
      </w:r>
      <w:r>
        <w:rPr>
          <w:sz w:val="20"/>
        </w:rPr>
        <w:t>Deputy</w:t>
      </w:r>
      <w:r>
        <w:rPr>
          <w:spacing w:val="-12"/>
          <w:sz w:val="20"/>
        </w:rPr>
        <w:t> </w:t>
      </w:r>
      <w:r>
        <w:rPr>
          <w:sz w:val="20"/>
        </w:rPr>
        <w:t>Prosecutor</w:t>
      </w:r>
      <w:r>
        <w:rPr>
          <w:spacing w:val="-13"/>
          <w:sz w:val="20"/>
        </w:rPr>
        <w:t> </w:t>
      </w:r>
      <w:r>
        <w:rPr>
          <w:sz w:val="20"/>
        </w:rPr>
        <w:t>(ASG), assisted</w:t>
      </w:r>
      <w:r>
        <w:rPr>
          <w:spacing w:val="-13"/>
          <w:sz w:val="20"/>
        </w:rPr>
        <w:t> </w:t>
      </w:r>
      <w:r>
        <w:rPr>
          <w:sz w:val="20"/>
        </w:rPr>
        <w:t>by</w:t>
      </w:r>
      <w:r>
        <w:rPr>
          <w:spacing w:val="-12"/>
          <w:sz w:val="20"/>
        </w:rPr>
        <w:t> </w:t>
      </w:r>
      <w:r>
        <w:rPr>
          <w:sz w:val="20"/>
        </w:rPr>
        <w:t>one</w:t>
      </w:r>
      <w:r>
        <w:rPr>
          <w:spacing w:val="-13"/>
          <w:sz w:val="20"/>
        </w:rPr>
        <w:t> </w:t>
      </w:r>
      <w:r>
        <w:rPr>
          <w:sz w:val="20"/>
        </w:rPr>
        <w:t>Personal</w:t>
      </w:r>
      <w:r>
        <w:rPr>
          <w:spacing w:val="-12"/>
          <w:sz w:val="20"/>
        </w:rPr>
        <w:t> </w:t>
      </w:r>
      <w:r>
        <w:rPr>
          <w:sz w:val="20"/>
        </w:rPr>
        <w:t>Assistant,</w:t>
      </w:r>
      <w:r>
        <w:rPr>
          <w:spacing w:val="-13"/>
          <w:sz w:val="20"/>
        </w:rPr>
        <w:t> </w:t>
      </w:r>
      <w:r>
        <w:rPr>
          <w:sz w:val="20"/>
        </w:rPr>
        <w:t>one</w:t>
      </w:r>
      <w:r>
        <w:rPr>
          <w:spacing w:val="-12"/>
          <w:sz w:val="20"/>
        </w:rPr>
        <w:t> </w:t>
      </w:r>
      <w:r>
        <w:rPr>
          <w:sz w:val="20"/>
        </w:rPr>
        <w:t>Special</w:t>
      </w:r>
      <w:r>
        <w:rPr>
          <w:spacing w:val="-13"/>
          <w:sz w:val="20"/>
        </w:rPr>
        <w:t> </w:t>
      </w:r>
      <w:r>
        <w:rPr>
          <w:sz w:val="20"/>
        </w:rPr>
        <w:t>Assistant</w:t>
      </w:r>
      <w:r>
        <w:rPr>
          <w:spacing w:val="-12"/>
          <w:sz w:val="20"/>
        </w:rPr>
        <w:t> </w:t>
      </w:r>
      <w:r>
        <w:rPr>
          <w:sz w:val="20"/>
        </w:rPr>
        <w:t>to</w:t>
      </w:r>
      <w:r>
        <w:rPr>
          <w:spacing w:val="-13"/>
          <w:sz w:val="20"/>
        </w:rPr>
        <w:t> </w:t>
      </w:r>
      <w:r>
        <w:rPr>
          <w:sz w:val="20"/>
        </w:rPr>
        <w:t>the</w:t>
      </w:r>
      <w:r>
        <w:rPr>
          <w:spacing w:val="-12"/>
          <w:sz w:val="20"/>
        </w:rPr>
        <w:t> </w:t>
      </w:r>
      <w:r>
        <w:rPr>
          <w:sz w:val="20"/>
        </w:rPr>
        <w:t>deputy</w:t>
      </w:r>
      <w:r>
        <w:rPr>
          <w:spacing w:val="-13"/>
          <w:sz w:val="20"/>
        </w:rPr>
        <w:t> </w:t>
      </w:r>
      <w:r>
        <w:rPr>
          <w:sz w:val="20"/>
        </w:rPr>
        <w:t>Prosecutor,</w:t>
      </w:r>
      <w:r>
        <w:rPr>
          <w:spacing w:val="-12"/>
          <w:sz w:val="20"/>
        </w:rPr>
        <w:t> </w:t>
      </w:r>
      <w:r>
        <w:rPr>
          <w:sz w:val="20"/>
        </w:rPr>
        <w:t>one</w:t>
      </w:r>
      <w:r>
        <w:rPr>
          <w:spacing w:val="-12"/>
          <w:sz w:val="20"/>
        </w:rPr>
        <w:t> </w:t>
      </w:r>
      <w:r>
        <w:rPr>
          <w:sz w:val="20"/>
        </w:rPr>
        <w:t>Senior Coordinator</w:t>
      </w:r>
      <w:r>
        <w:rPr>
          <w:spacing w:val="-13"/>
          <w:sz w:val="20"/>
        </w:rPr>
        <w:t> </w:t>
      </w:r>
      <w:r>
        <w:rPr>
          <w:sz w:val="20"/>
        </w:rPr>
        <w:t>(Legal)</w:t>
      </w:r>
      <w:r>
        <w:rPr>
          <w:sz w:val="20"/>
          <w:vertAlign w:val="superscript"/>
        </w:rPr>
        <w:t>76</w:t>
      </w:r>
      <w:r>
        <w:rPr>
          <w:spacing w:val="-11"/>
          <w:sz w:val="20"/>
          <w:vertAlign w:val="baseline"/>
        </w:rPr>
        <w:t> </w:t>
      </w:r>
      <w:r>
        <w:rPr>
          <w:sz w:val="20"/>
          <w:vertAlign w:val="baseline"/>
        </w:rPr>
        <w:t>and</w:t>
      </w:r>
      <w:r>
        <w:rPr>
          <w:spacing w:val="-10"/>
          <w:sz w:val="20"/>
          <w:vertAlign w:val="baseline"/>
        </w:rPr>
        <w:t> </w:t>
      </w:r>
      <w:r>
        <w:rPr>
          <w:sz w:val="20"/>
          <w:vertAlign w:val="baseline"/>
        </w:rPr>
        <w:t>one</w:t>
      </w:r>
      <w:r>
        <w:rPr>
          <w:spacing w:val="-9"/>
          <w:sz w:val="20"/>
          <w:vertAlign w:val="baseline"/>
        </w:rPr>
        <w:t> </w:t>
      </w:r>
      <w:r>
        <w:rPr>
          <w:sz w:val="20"/>
          <w:vertAlign w:val="baseline"/>
        </w:rPr>
        <w:t>Senior</w:t>
      </w:r>
      <w:r>
        <w:rPr>
          <w:spacing w:val="-13"/>
          <w:sz w:val="20"/>
          <w:vertAlign w:val="baseline"/>
        </w:rPr>
        <w:t> </w:t>
      </w:r>
      <w:r>
        <w:rPr>
          <w:sz w:val="20"/>
          <w:vertAlign w:val="baseline"/>
        </w:rPr>
        <w:t>Coordinator</w:t>
      </w:r>
      <w:r>
        <w:rPr>
          <w:spacing w:val="-12"/>
          <w:sz w:val="20"/>
          <w:vertAlign w:val="baseline"/>
        </w:rPr>
        <w:t> </w:t>
      </w:r>
      <w:r>
        <w:rPr>
          <w:sz w:val="20"/>
          <w:vertAlign w:val="baseline"/>
        </w:rPr>
        <w:t>(Investigation/Analysis)</w:t>
      </w:r>
      <w:r>
        <w:rPr>
          <w:spacing w:val="-10"/>
          <w:sz w:val="20"/>
          <w:vertAlign w:val="baseline"/>
        </w:rPr>
        <w:t> </w:t>
      </w:r>
      <w:r>
        <w:rPr>
          <w:sz w:val="20"/>
          <w:vertAlign w:val="baseline"/>
        </w:rPr>
        <w:t>who</w:t>
      </w:r>
      <w:r>
        <w:rPr>
          <w:spacing w:val="-13"/>
          <w:sz w:val="20"/>
          <w:vertAlign w:val="baseline"/>
        </w:rPr>
        <w:t> </w:t>
      </w:r>
      <w:r>
        <w:rPr>
          <w:sz w:val="20"/>
          <w:vertAlign w:val="baseline"/>
        </w:rPr>
        <w:t>are</w:t>
      </w:r>
      <w:r>
        <w:rPr>
          <w:spacing w:val="-12"/>
          <w:sz w:val="20"/>
          <w:vertAlign w:val="baseline"/>
        </w:rPr>
        <w:t> </w:t>
      </w:r>
      <w:r>
        <w:rPr>
          <w:sz w:val="20"/>
          <w:vertAlign w:val="baseline"/>
        </w:rPr>
        <w:t>allocated to the Deputy Prosecutor Staffing.</w:t>
      </w:r>
    </w:p>
    <w:p>
      <w:pPr>
        <w:pStyle w:val="ListParagraph"/>
        <w:numPr>
          <w:ilvl w:val="0"/>
          <w:numId w:val="4"/>
        </w:numPr>
        <w:tabs>
          <w:tab w:pos="2967" w:val="left" w:leader="none"/>
        </w:tabs>
        <w:spacing w:line="240" w:lineRule="auto" w:before="121" w:after="0"/>
        <w:ind w:left="2246" w:right="2239" w:firstLine="0"/>
        <w:jc w:val="both"/>
        <w:rPr>
          <w:sz w:val="20"/>
        </w:rPr>
      </w:pPr>
      <w:r>
        <w:rPr>
          <w:sz w:val="20"/>
        </w:rPr>
        <w:t>The</w:t>
      </w:r>
      <w:r>
        <w:rPr>
          <w:spacing w:val="-8"/>
          <w:sz w:val="20"/>
        </w:rPr>
        <w:t> </w:t>
      </w:r>
      <w:r>
        <w:rPr>
          <w:sz w:val="20"/>
        </w:rPr>
        <w:t>pillar</w:t>
      </w:r>
      <w:r>
        <w:rPr>
          <w:spacing w:val="-9"/>
          <w:sz w:val="20"/>
        </w:rPr>
        <w:t> </w:t>
      </w:r>
      <w:r>
        <w:rPr>
          <w:sz w:val="20"/>
        </w:rPr>
        <w:t>will</w:t>
      </w:r>
      <w:r>
        <w:rPr>
          <w:spacing w:val="-8"/>
          <w:sz w:val="20"/>
        </w:rPr>
        <w:t> </w:t>
      </w:r>
      <w:r>
        <w:rPr>
          <w:sz w:val="20"/>
        </w:rPr>
        <w:t>benefit</w:t>
      </w:r>
      <w:r>
        <w:rPr>
          <w:spacing w:val="-8"/>
          <w:sz w:val="20"/>
        </w:rPr>
        <w:t> </w:t>
      </w:r>
      <w:r>
        <w:rPr>
          <w:sz w:val="20"/>
        </w:rPr>
        <w:t>from</w:t>
      </w:r>
      <w:r>
        <w:rPr>
          <w:spacing w:val="-8"/>
          <w:sz w:val="20"/>
        </w:rPr>
        <w:t> </w:t>
      </w:r>
      <w:r>
        <w:rPr>
          <w:sz w:val="20"/>
        </w:rPr>
        <w:t>the</w:t>
      </w:r>
      <w:r>
        <w:rPr>
          <w:spacing w:val="-8"/>
          <w:sz w:val="20"/>
        </w:rPr>
        <w:t> </w:t>
      </w:r>
      <w:r>
        <w:rPr>
          <w:sz w:val="20"/>
        </w:rPr>
        <w:t>reallocation</w:t>
      </w:r>
      <w:r>
        <w:rPr>
          <w:spacing w:val="-6"/>
          <w:sz w:val="20"/>
        </w:rPr>
        <w:t> </w:t>
      </w:r>
      <w:r>
        <w:rPr>
          <w:sz w:val="20"/>
        </w:rPr>
        <w:t>of</w:t>
      </w:r>
      <w:r>
        <w:rPr>
          <w:spacing w:val="-9"/>
          <w:sz w:val="20"/>
        </w:rPr>
        <w:t> </w:t>
      </w:r>
      <w:r>
        <w:rPr>
          <w:sz w:val="20"/>
        </w:rPr>
        <w:t>the</w:t>
      </w:r>
      <w:r>
        <w:rPr>
          <w:spacing w:val="-8"/>
          <w:sz w:val="20"/>
        </w:rPr>
        <w:t> </w:t>
      </w:r>
      <w:r>
        <w:rPr>
          <w:sz w:val="20"/>
        </w:rPr>
        <w:t>post</w:t>
      </w:r>
      <w:r>
        <w:rPr>
          <w:spacing w:val="-8"/>
          <w:sz w:val="20"/>
        </w:rPr>
        <w:t> </w:t>
      </w:r>
      <w:r>
        <w:rPr>
          <w:sz w:val="20"/>
        </w:rPr>
        <w:t>of</w:t>
      </w:r>
      <w:r>
        <w:rPr>
          <w:spacing w:val="-6"/>
          <w:sz w:val="20"/>
        </w:rPr>
        <w:t> </w:t>
      </w:r>
      <w:r>
        <w:rPr>
          <w:sz w:val="20"/>
        </w:rPr>
        <w:t>former</w:t>
      </w:r>
      <w:r>
        <w:rPr>
          <w:spacing w:val="-9"/>
          <w:sz w:val="20"/>
        </w:rPr>
        <w:t> </w:t>
      </w:r>
      <w:r>
        <w:rPr>
          <w:sz w:val="20"/>
        </w:rPr>
        <w:t>Director,</w:t>
      </w:r>
      <w:r>
        <w:rPr>
          <w:spacing w:val="-3"/>
          <w:sz w:val="20"/>
        </w:rPr>
        <w:t> </w:t>
      </w:r>
      <w:r>
        <w:rPr>
          <w:sz w:val="20"/>
        </w:rPr>
        <w:t>Office</w:t>
      </w:r>
      <w:r>
        <w:rPr>
          <w:spacing w:val="-7"/>
          <w:sz w:val="20"/>
        </w:rPr>
        <w:t> </w:t>
      </w:r>
      <w:r>
        <w:rPr>
          <w:sz w:val="20"/>
        </w:rPr>
        <w:t>of External Affairs (Sub-Programme 2530) which will be repurposed to a Principal Trial Lawyer (D-1) in Sub-Programme 2630. This is consistent with the vision of the Prosecutor to strengthen the teams managing trials and investigations and thereby increase results in cases brought before the Court.</w:t>
      </w:r>
    </w:p>
    <w:p>
      <w:pPr>
        <w:pStyle w:val="ListParagraph"/>
        <w:numPr>
          <w:ilvl w:val="0"/>
          <w:numId w:val="4"/>
        </w:numPr>
        <w:tabs>
          <w:tab w:pos="2967" w:val="left" w:leader="none"/>
        </w:tabs>
        <w:spacing w:line="240" w:lineRule="auto" w:before="118" w:after="0"/>
        <w:ind w:left="2246" w:right="2247" w:firstLine="0"/>
        <w:jc w:val="both"/>
        <w:rPr>
          <w:sz w:val="20"/>
        </w:rPr>
      </w:pPr>
      <w:r>
        <w:rPr>
          <w:sz w:val="20"/>
        </w:rPr>
        <w:t>The other</w:t>
      </w:r>
      <w:r>
        <w:rPr>
          <w:spacing w:val="-1"/>
          <w:sz w:val="20"/>
        </w:rPr>
        <w:t> </w:t>
      </w:r>
      <w:r>
        <w:rPr>
          <w:sz w:val="20"/>
        </w:rPr>
        <w:t>post of</w:t>
      </w:r>
      <w:r>
        <w:rPr>
          <w:spacing w:val="-1"/>
          <w:sz w:val="20"/>
        </w:rPr>
        <w:t> </w:t>
      </w:r>
      <w:r>
        <w:rPr>
          <w:sz w:val="20"/>
        </w:rPr>
        <w:t>Principal Trial Lawyer, which</w:t>
      </w:r>
      <w:r>
        <w:rPr>
          <w:spacing w:val="-1"/>
          <w:sz w:val="20"/>
        </w:rPr>
        <w:t> </w:t>
      </w:r>
      <w:r>
        <w:rPr>
          <w:sz w:val="20"/>
        </w:rPr>
        <w:t>resulted</w:t>
      </w:r>
      <w:r>
        <w:rPr>
          <w:spacing w:val="-1"/>
          <w:sz w:val="20"/>
        </w:rPr>
        <w:t> </w:t>
      </w:r>
      <w:r>
        <w:rPr>
          <w:sz w:val="20"/>
        </w:rPr>
        <w:t>from the repurposing</w:t>
      </w:r>
      <w:r>
        <w:rPr>
          <w:spacing w:val="-1"/>
          <w:sz w:val="20"/>
        </w:rPr>
        <w:t> </w:t>
      </w:r>
      <w:r>
        <w:rPr>
          <w:sz w:val="20"/>
        </w:rPr>
        <w:t>of</w:t>
      </w:r>
      <w:r>
        <w:rPr>
          <w:spacing w:val="-1"/>
          <w:sz w:val="20"/>
        </w:rPr>
        <w:t> </w:t>
      </w:r>
      <w:r>
        <w:rPr>
          <w:sz w:val="20"/>
        </w:rPr>
        <w:t>a previous D-1 post in the former Prosecution Division, has been reallocated to the 2500 Programme to lead the Unified Team - Ukraine.</w:t>
      </w:r>
    </w:p>
    <w:p>
      <w:pPr>
        <w:pStyle w:val="ListParagraph"/>
        <w:numPr>
          <w:ilvl w:val="0"/>
          <w:numId w:val="4"/>
        </w:numPr>
        <w:tabs>
          <w:tab w:pos="2967" w:val="left" w:leader="none"/>
        </w:tabs>
        <w:spacing w:line="240" w:lineRule="auto" w:before="122" w:after="0"/>
        <w:ind w:left="2967" w:right="0" w:hanging="721"/>
        <w:jc w:val="both"/>
        <w:rPr>
          <w:sz w:val="20"/>
        </w:rPr>
      </w:pPr>
      <w:r>
        <w:rPr>
          <w:sz w:val="20"/>
        </w:rPr>
        <w:t>This</w:t>
      </w:r>
      <w:r>
        <w:rPr>
          <w:spacing w:val="-10"/>
          <w:sz w:val="20"/>
        </w:rPr>
        <w:t> </w:t>
      </w:r>
      <w:r>
        <w:rPr>
          <w:sz w:val="20"/>
        </w:rPr>
        <w:t>prosecution</w:t>
      </w:r>
      <w:r>
        <w:rPr>
          <w:spacing w:val="-8"/>
          <w:sz w:val="20"/>
        </w:rPr>
        <w:t> </w:t>
      </w:r>
      <w:r>
        <w:rPr>
          <w:sz w:val="20"/>
        </w:rPr>
        <w:t>pillar</w:t>
      </w:r>
      <w:r>
        <w:rPr>
          <w:spacing w:val="-5"/>
          <w:sz w:val="20"/>
        </w:rPr>
        <w:t> </w:t>
      </w:r>
      <w:r>
        <w:rPr>
          <w:sz w:val="20"/>
        </w:rPr>
        <w:t>will</w:t>
      </w:r>
      <w:r>
        <w:rPr>
          <w:spacing w:val="-2"/>
          <w:sz w:val="20"/>
        </w:rPr>
        <w:t> </w:t>
      </w:r>
      <w:r>
        <w:rPr>
          <w:sz w:val="20"/>
        </w:rPr>
        <w:t>have</w:t>
      </w:r>
      <w:r>
        <w:rPr>
          <w:spacing w:val="-7"/>
          <w:sz w:val="20"/>
        </w:rPr>
        <w:t> </w:t>
      </w:r>
      <w:r>
        <w:rPr>
          <w:sz w:val="20"/>
        </w:rPr>
        <w:t>the</w:t>
      </w:r>
      <w:r>
        <w:rPr>
          <w:spacing w:val="-6"/>
          <w:sz w:val="20"/>
        </w:rPr>
        <w:t> </w:t>
      </w:r>
      <w:r>
        <w:rPr>
          <w:sz w:val="20"/>
        </w:rPr>
        <w:t>following</w:t>
      </w:r>
      <w:r>
        <w:rPr>
          <w:spacing w:val="-9"/>
          <w:sz w:val="20"/>
        </w:rPr>
        <w:t> </w:t>
      </w:r>
      <w:r>
        <w:rPr>
          <w:sz w:val="20"/>
        </w:rPr>
        <w:t>established</w:t>
      </w:r>
      <w:r>
        <w:rPr>
          <w:spacing w:val="-8"/>
          <w:sz w:val="20"/>
        </w:rPr>
        <w:t> </w:t>
      </w:r>
      <w:r>
        <w:rPr>
          <w:spacing w:val="-2"/>
          <w:sz w:val="20"/>
        </w:rPr>
        <w:t>posts:</w:t>
      </w:r>
    </w:p>
    <w:p>
      <w:pPr>
        <w:pStyle w:val="BodyText"/>
        <w:spacing w:before="5"/>
        <w:rPr>
          <w:sz w:val="10"/>
        </w:rPr>
      </w:pPr>
    </w:p>
    <w:tbl>
      <w:tblPr>
        <w:tblW w:w="0" w:type="auto"/>
        <w:jc w:val="left"/>
        <w:tblInd w:w="2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12"/>
        <w:gridCol w:w="1884"/>
        <w:gridCol w:w="1002"/>
      </w:tblGrid>
      <w:tr>
        <w:trPr>
          <w:trHeight w:val="268" w:hRule="atLeast"/>
        </w:trPr>
        <w:tc>
          <w:tcPr>
            <w:tcW w:w="4512" w:type="dxa"/>
            <w:tcBorders>
              <w:top w:val="single" w:sz="4" w:space="0" w:color="000000"/>
              <w:bottom w:val="single" w:sz="4" w:space="0" w:color="000000"/>
            </w:tcBorders>
          </w:tcPr>
          <w:p>
            <w:pPr>
              <w:pStyle w:val="TableParagraph"/>
              <w:spacing w:line="229" w:lineRule="exact" w:before="19"/>
              <w:ind w:left="14"/>
              <w:jc w:val="left"/>
              <w:rPr>
                <w:i/>
                <w:sz w:val="20"/>
              </w:rPr>
            </w:pPr>
            <w:r>
              <w:rPr>
                <w:i/>
                <w:spacing w:val="-2"/>
                <w:sz w:val="20"/>
              </w:rPr>
              <w:t>Title</w:t>
            </w:r>
          </w:p>
        </w:tc>
        <w:tc>
          <w:tcPr>
            <w:tcW w:w="1884" w:type="dxa"/>
            <w:tcBorders>
              <w:top w:val="single" w:sz="4" w:space="0" w:color="000000"/>
              <w:bottom w:val="single" w:sz="4" w:space="0" w:color="000000"/>
            </w:tcBorders>
          </w:tcPr>
          <w:p>
            <w:pPr>
              <w:pStyle w:val="TableParagraph"/>
              <w:spacing w:line="229" w:lineRule="exact" w:before="19"/>
              <w:ind w:left="943"/>
              <w:jc w:val="left"/>
              <w:rPr>
                <w:i/>
                <w:sz w:val="20"/>
              </w:rPr>
            </w:pPr>
            <w:r>
              <w:rPr>
                <w:i/>
                <w:spacing w:val="-2"/>
                <w:sz w:val="20"/>
              </w:rPr>
              <w:t>Grade</w:t>
            </w:r>
          </w:p>
        </w:tc>
        <w:tc>
          <w:tcPr>
            <w:tcW w:w="1002" w:type="dxa"/>
            <w:tcBorders>
              <w:top w:val="single" w:sz="4" w:space="0" w:color="000000"/>
              <w:bottom w:val="single" w:sz="4" w:space="0" w:color="000000"/>
            </w:tcBorders>
          </w:tcPr>
          <w:p>
            <w:pPr>
              <w:pStyle w:val="TableParagraph"/>
              <w:spacing w:line="229" w:lineRule="exact" w:before="19"/>
              <w:ind w:right="1"/>
              <w:rPr>
                <w:i/>
                <w:sz w:val="20"/>
              </w:rPr>
            </w:pPr>
            <w:r>
              <w:rPr>
                <w:i/>
                <w:spacing w:val="-2"/>
                <w:sz w:val="20"/>
              </w:rPr>
              <w:t>Number</w:t>
            </w:r>
          </w:p>
        </w:tc>
      </w:tr>
      <w:tr>
        <w:trPr>
          <w:trHeight w:val="271" w:hRule="atLeast"/>
        </w:trPr>
        <w:tc>
          <w:tcPr>
            <w:tcW w:w="4512" w:type="dxa"/>
            <w:tcBorders>
              <w:top w:val="single" w:sz="4" w:space="0" w:color="000000"/>
            </w:tcBorders>
          </w:tcPr>
          <w:p>
            <w:pPr>
              <w:pStyle w:val="TableParagraph"/>
              <w:spacing w:before="19"/>
              <w:ind w:left="14"/>
              <w:jc w:val="left"/>
              <w:rPr>
                <w:sz w:val="20"/>
              </w:rPr>
            </w:pPr>
            <w:r>
              <w:rPr>
                <w:sz w:val="20"/>
              </w:rPr>
              <w:t>Deputy</w:t>
            </w:r>
            <w:r>
              <w:rPr>
                <w:spacing w:val="-3"/>
                <w:sz w:val="20"/>
              </w:rPr>
              <w:t> </w:t>
            </w:r>
            <w:r>
              <w:rPr>
                <w:spacing w:val="-2"/>
                <w:sz w:val="20"/>
              </w:rPr>
              <w:t>Prosecutor</w:t>
            </w:r>
          </w:p>
        </w:tc>
        <w:tc>
          <w:tcPr>
            <w:tcW w:w="1884" w:type="dxa"/>
            <w:tcBorders>
              <w:top w:val="single" w:sz="4" w:space="0" w:color="000000"/>
            </w:tcBorders>
          </w:tcPr>
          <w:p>
            <w:pPr>
              <w:pStyle w:val="TableParagraph"/>
              <w:spacing w:before="19"/>
              <w:ind w:left="943"/>
              <w:jc w:val="left"/>
              <w:rPr>
                <w:sz w:val="20"/>
              </w:rPr>
            </w:pPr>
            <w:r>
              <w:rPr>
                <w:spacing w:val="-5"/>
                <w:sz w:val="20"/>
              </w:rPr>
              <w:t>ASG</w:t>
            </w:r>
          </w:p>
        </w:tc>
        <w:tc>
          <w:tcPr>
            <w:tcW w:w="1002" w:type="dxa"/>
            <w:tcBorders>
              <w:top w:val="single" w:sz="4" w:space="0" w:color="000000"/>
            </w:tcBorders>
          </w:tcPr>
          <w:p>
            <w:pPr>
              <w:pStyle w:val="TableParagraph"/>
              <w:spacing w:before="19"/>
              <w:ind w:right="7"/>
              <w:rPr>
                <w:sz w:val="20"/>
              </w:rPr>
            </w:pPr>
            <w:r>
              <w:rPr>
                <w:w w:val="100"/>
                <w:sz w:val="20"/>
              </w:rPr>
              <w:t>1</w:t>
            </w:r>
          </w:p>
        </w:tc>
      </w:tr>
      <w:tr>
        <w:trPr>
          <w:trHeight w:val="275" w:hRule="atLeast"/>
        </w:trPr>
        <w:tc>
          <w:tcPr>
            <w:tcW w:w="4512" w:type="dxa"/>
          </w:tcPr>
          <w:p>
            <w:pPr>
              <w:pStyle w:val="TableParagraph"/>
              <w:spacing w:before="22"/>
              <w:ind w:left="14"/>
              <w:jc w:val="left"/>
              <w:rPr>
                <w:sz w:val="20"/>
              </w:rPr>
            </w:pPr>
            <w:r>
              <w:rPr>
                <w:sz w:val="20"/>
              </w:rPr>
              <w:t>Special</w:t>
            </w:r>
            <w:r>
              <w:rPr>
                <w:spacing w:val="-6"/>
                <w:sz w:val="20"/>
              </w:rPr>
              <w:t> </w:t>
            </w:r>
            <w:r>
              <w:rPr>
                <w:sz w:val="20"/>
              </w:rPr>
              <w:t>Assistant</w:t>
            </w:r>
            <w:r>
              <w:rPr>
                <w:spacing w:val="-5"/>
                <w:sz w:val="20"/>
              </w:rPr>
              <w:t> </w:t>
            </w:r>
            <w:r>
              <w:rPr>
                <w:sz w:val="20"/>
              </w:rPr>
              <w:t>to</w:t>
            </w:r>
            <w:r>
              <w:rPr>
                <w:spacing w:val="-7"/>
                <w:sz w:val="20"/>
              </w:rPr>
              <w:t> </w:t>
            </w:r>
            <w:r>
              <w:rPr>
                <w:sz w:val="20"/>
              </w:rPr>
              <w:t>the</w:t>
            </w:r>
            <w:r>
              <w:rPr>
                <w:spacing w:val="-5"/>
                <w:sz w:val="20"/>
              </w:rPr>
              <w:t> </w:t>
            </w:r>
            <w:r>
              <w:rPr>
                <w:sz w:val="20"/>
              </w:rPr>
              <w:t>Deputy</w:t>
            </w:r>
            <w:r>
              <w:rPr>
                <w:spacing w:val="-7"/>
                <w:sz w:val="20"/>
              </w:rPr>
              <w:t> </w:t>
            </w:r>
            <w:r>
              <w:rPr>
                <w:spacing w:val="-2"/>
                <w:sz w:val="20"/>
              </w:rPr>
              <w:t>Prosecutor</w:t>
            </w:r>
            <w:r>
              <w:rPr>
                <w:spacing w:val="-2"/>
                <w:sz w:val="20"/>
                <w:vertAlign w:val="superscript"/>
              </w:rPr>
              <w:t>77</w:t>
            </w:r>
          </w:p>
        </w:tc>
        <w:tc>
          <w:tcPr>
            <w:tcW w:w="1884" w:type="dxa"/>
          </w:tcPr>
          <w:p>
            <w:pPr>
              <w:pStyle w:val="TableParagraph"/>
              <w:spacing w:before="22"/>
              <w:ind w:left="943"/>
              <w:jc w:val="left"/>
              <w:rPr>
                <w:sz w:val="20"/>
              </w:rPr>
            </w:pPr>
            <w:r>
              <w:rPr>
                <w:spacing w:val="-2"/>
                <w:sz w:val="20"/>
              </w:rPr>
              <w:t>P-</w:t>
            </w:r>
            <w:r>
              <w:rPr>
                <w:spacing w:val="-10"/>
                <w:sz w:val="20"/>
              </w:rPr>
              <w:t>3</w:t>
            </w:r>
          </w:p>
        </w:tc>
        <w:tc>
          <w:tcPr>
            <w:tcW w:w="1002" w:type="dxa"/>
          </w:tcPr>
          <w:p>
            <w:pPr>
              <w:pStyle w:val="TableParagraph"/>
              <w:spacing w:before="22"/>
              <w:ind w:right="7"/>
              <w:rPr>
                <w:sz w:val="20"/>
              </w:rPr>
            </w:pPr>
            <w:r>
              <w:rPr>
                <w:w w:val="100"/>
                <w:sz w:val="20"/>
              </w:rPr>
              <w:t>1</w:t>
            </w:r>
          </w:p>
        </w:tc>
      </w:tr>
      <w:tr>
        <w:trPr>
          <w:trHeight w:val="268" w:hRule="atLeast"/>
        </w:trPr>
        <w:tc>
          <w:tcPr>
            <w:tcW w:w="4512" w:type="dxa"/>
          </w:tcPr>
          <w:p>
            <w:pPr>
              <w:pStyle w:val="TableParagraph"/>
              <w:spacing w:before="15"/>
              <w:ind w:left="14"/>
              <w:jc w:val="left"/>
              <w:rPr>
                <w:sz w:val="20"/>
              </w:rPr>
            </w:pPr>
            <w:r>
              <w:rPr>
                <w:sz w:val="20"/>
              </w:rPr>
              <w:t>Personal</w:t>
            </w:r>
            <w:r>
              <w:rPr>
                <w:spacing w:val="-2"/>
                <w:sz w:val="20"/>
              </w:rPr>
              <w:t> </w:t>
            </w:r>
            <w:r>
              <w:rPr>
                <w:sz w:val="20"/>
              </w:rPr>
              <w:t>Assistant</w:t>
            </w:r>
            <w:r>
              <w:rPr>
                <w:spacing w:val="-6"/>
                <w:sz w:val="20"/>
              </w:rPr>
              <w:t> </w:t>
            </w:r>
            <w:r>
              <w:rPr>
                <w:sz w:val="20"/>
              </w:rPr>
              <w:t>to</w:t>
            </w:r>
            <w:r>
              <w:rPr>
                <w:spacing w:val="-8"/>
                <w:sz w:val="20"/>
              </w:rPr>
              <w:t> </w:t>
            </w:r>
            <w:r>
              <w:rPr>
                <w:sz w:val="20"/>
              </w:rPr>
              <w:t>the</w:t>
            </w:r>
            <w:r>
              <w:rPr>
                <w:spacing w:val="-6"/>
                <w:sz w:val="20"/>
              </w:rPr>
              <w:t> </w:t>
            </w:r>
            <w:r>
              <w:rPr>
                <w:sz w:val="20"/>
              </w:rPr>
              <w:t>Deputy</w:t>
            </w:r>
            <w:r>
              <w:rPr>
                <w:spacing w:val="-7"/>
                <w:sz w:val="20"/>
              </w:rPr>
              <w:t> </w:t>
            </w:r>
            <w:r>
              <w:rPr>
                <w:spacing w:val="-2"/>
                <w:sz w:val="20"/>
              </w:rPr>
              <w:t>Prosecutor</w:t>
            </w:r>
          </w:p>
        </w:tc>
        <w:tc>
          <w:tcPr>
            <w:tcW w:w="1884" w:type="dxa"/>
          </w:tcPr>
          <w:p>
            <w:pPr>
              <w:pStyle w:val="TableParagraph"/>
              <w:spacing w:before="15"/>
              <w:ind w:left="943"/>
              <w:jc w:val="left"/>
              <w:rPr>
                <w:sz w:val="20"/>
              </w:rPr>
            </w:pPr>
            <w:r>
              <w:rPr>
                <w:spacing w:val="-2"/>
                <w:sz w:val="20"/>
              </w:rPr>
              <w:t>GS-</w:t>
            </w:r>
            <w:r>
              <w:rPr>
                <w:spacing w:val="-7"/>
                <w:sz w:val="20"/>
              </w:rPr>
              <w:t>OL</w:t>
            </w:r>
          </w:p>
        </w:tc>
        <w:tc>
          <w:tcPr>
            <w:tcW w:w="1002" w:type="dxa"/>
          </w:tcPr>
          <w:p>
            <w:pPr>
              <w:pStyle w:val="TableParagraph"/>
              <w:spacing w:before="15"/>
              <w:ind w:right="7"/>
              <w:rPr>
                <w:sz w:val="20"/>
              </w:rPr>
            </w:pPr>
            <w:r>
              <w:rPr>
                <w:w w:val="100"/>
                <w:sz w:val="20"/>
              </w:rPr>
              <w:t>1</w:t>
            </w:r>
          </w:p>
        </w:tc>
      </w:tr>
      <w:tr>
        <w:trPr>
          <w:trHeight w:val="264" w:hRule="atLeast"/>
        </w:trPr>
        <w:tc>
          <w:tcPr>
            <w:tcW w:w="4512" w:type="dxa"/>
            <w:tcBorders>
              <w:bottom w:val="single" w:sz="4" w:space="0" w:color="000000"/>
            </w:tcBorders>
          </w:tcPr>
          <w:p>
            <w:pPr>
              <w:pStyle w:val="TableParagraph"/>
              <w:spacing w:line="229" w:lineRule="exact" w:before="15"/>
              <w:ind w:left="14"/>
              <w:jc w:val="left"/>
              <w:rPr>
                <w:sz w:val="20"/>
              </w:rPr>
            </w:pPr>
            <w:r>
              <w:rPr>
                <w:sz w:val="20"/>
              </w:rPr>
              <w:t>Senior</w:t>
            </w:r>
            <w:r>
              <w:rPr>
                <w:spacing w:val="-7"/>
                <w:sz w:val="20"/>
              </w:rPr>
              <w:t> </w:t>
            </w:r>
            <w:r>
              <w:rPr>
                <w:sz w:val="20"/>
              </w:rPr>
              <w:t>Coordinator</w:t>
            </w:r>
            <w:r>
              <w:rPr>
                <w:spacing w:val="-4"/>
                <w:sz w:val="20"/>
              </w:rPr>
              <w:t> </w:t>
            </w:r>
            <w:r>
              <w:rPr>
                <w:spacing w:val="-2"/>
                <w:sz w:val="20"/>
              </w:rPr>
              <w:t>(Investigation/Analysis)</w:t>
            </w:r>
          </w:p>
        </w:tc>
        <w:tc>
          <w:tcPr>
            <w:tcW w:w="1884" w:type="dxa"/>
            <w:tcBorders>
              <w:bottom w:val="single" w:sz="4" w:space="0" w:color="000000"/>
            </w:tcBorders>
          </w:tcPr>
          <w:p>
            <w:pPr>
              <w:pStyle w:val="TableParagraph"/>
              <w:spacing w:line="229" w:lineRule="exact" w:before="15"/>
              <w:ind w:left="943"/>
              <w:jc w:val="left"/>
              <w:rPr>
                <w:sz w:val="20"/>
              </w:rPr>
            </w:pPr>
            <w:r>
              <w:rPr>
                <w:spacing w:val="-2"/>
                <w:sz w:val="20"/>
              </w:rPr>
              <w:t>P-</w:t>
            </w:r>
            <w:r>
              <w:rPr>
                <w:spacing w:val="-10"/>
                <w:sz w:val="20"/>
              </w:rPr>
              <w:t>5</w:t>
            </w:r>
          </w:p>
        </w:tc>
        <w:tc>
          <w:tcPr>
            <w:tcW w:w="1002" w:type="dxa"/>
            <w:tcBorders>
              <w:bottom w:val="single" w:sz="4" w:space="0" w:color="000000"/>
            </w:tcBorders>
          </w:tcPr>
          <w:p>
            <w:pPr>
              <w:pStyle w:val="TableParagraph"/>
              <w:spacing w:line="229" w:lineRule="exact" w:before="15"/>
              <w:ind w:right="7"/>
              <w:rPr>
                <w:sz w:val="20"/>
              </w:rPr>
            </w:pPr>
            <w:r>
              <w:rPr>
                <w:w w:val="100"/>
                <w:sz w:val="20"/>
              </w:rPr>
              <w:t>1</w:t>
            </w:r>
          </w:p>
        </w:tc>
      </w:tr>
      <w:tr>
        <w:trPr>
          <w:trHeight w:val="273" w:hRule="atLeast"/>
        </w:trPr>
        <w:tc>
          <w:tcPr>
            <w:tcW w:w="4512" w:type="dxa"/>
            <w:tcBorders>
              <w:top w:val="single" w:sz="4" w:space="0" w:color="000000"/>
              <w:bottom w:val="single" w:sz="4" w:space="0" w:color="000000"/>
            </w:tcBorders>
          </w:tcPr>
          <w:p>
            <w:pPr>
              <w:pStyle w:val="TableParagraph"/>
              <w:jc w:val="left"/>
              <w:rPr>
                <w:sz w:val="18"/>
              </w:rPr>
            </w:pPr>
          </w:p>
        </w:tc>
        <w:tc>
          <w:tcPr>
            <w:tcW w:w="1884" w:type="dxa"/>
            <w:tcBorders>
              <w:top w:val="single" w:sz="4" w:space="0" w:color="000000"/>
              <w:bottom w:val="single" w:sz="4" w:space="0" w:color="000000"/>
            </w:tcBorders>
          </w:tcPr>
          <w:p>
            <w:pPr>
              <w:pStyle w:val="TableParagraph"/>
              <w:jc w:val="left"/>
              <w:rPr>
                <w:sz w:val="18"/>
              </w:rPr>
            </w:pPr>
          </w:p>
        </w:tc>
        <w:tc>
          <w:tcPr>
            <w:tcW w:w="1002" w:type="dxa"/>
            <w:tcBorders>
              <w:top w:val="single" w:sz="4" w:space="0" w:color="000000"/>
              <w:bottom w:val="single" w:sz="4" w:space="0" w:color="000000"/>
            </w:tcBorders>
          </w:tcPr>
          <w:p>
            <w:pPr>
              <w:pStyle w:val="TableParagraph"/>
              <w:spacing w:before="20"/>
              <w:ind w:right="7"/>
              <w:rPr>
                <w:b/>
                <w:sz w:val="20"/>
              </w:rPr>
            </w:pPr>
            <w:r>
              <w:rPr>
                <w:b/>
                <w:w w:val="100"/>
                <w:sz w:val="20"/>
              </w:rPr>
              <w:t>4</w:t>
            </w:r>
          </w:p>
        </w:tc>
      </w:tr>
      <w:tr>
        <w:trPr>
          <w:trHeight w:val="268" w:hRule="atLeast"/>
        </w:trPr>
        <w:tc>
          <w:tcPr>
            <w:tcW w:w="4512" w:type="dxa"/>
            <w:tcBorders>
              <w:top w:val="single" w:sz="4" w:space="0" w:color="000000"/>
              <w:bottom w:val="single" w:sz="4" w:space="0" w:color="000000"/>
            </w:tcBorders>
          </w:tcPr>
          <w:p>
            <w:pPr>
              <w:pStyle w:val="TableParagraph"/>
              <w:spacing w:line="229" w:lineRule="exact" w:before="19"/>
              <w:ind w:left="14"/>
              <w:jc w:val="left"/>
              <w:rPr>
                <w:i/>
                <w:sz w:val="20"/>
              </w:rPr>
            </w:pPr>
            <w:r>
              <w:rPr>
                <w:i/>
                <w:sz w:val="20"/>
              </w:rPr>
              <w:t>Gender</w:t>
            </w:r>
            <w:r>
              <w:rPr>
                <w:i/>
                <w:spacing w:val="-9"/>
                <w:sz w:val="20"/>
              </w:rPr>
              <w:t> </w:t>
            </w:r>
            <w:r>
              <w:rPr>
                <w:i/>
                <w:sz w:val="20"/>
              </w:rPr>
              <w:t>and</w:t>
            </w:r>
            <w:r>
              <w:rPr>
                <w:i/>
                <w:spacing w:val="-6"/>
                <w:sz w:val="20"/>
              </w:rPr>
              <w:t> </w:t>
            </w:r>
            <w:r>
              <w:rPr>
                <w:i/>
                <w:sz w:val="20"/>
              </w:rPr>
              <w:t>Children </w:t>
            </w:r>
            <w:r>
              <w:rPr>
                <w:i/>
                <w:spacing w:val="-4"/>
                <w:sz w:val="20"/>
              </w:rPr>
              <w:t>Unit</w:t>
            </w:r>
          </w:p>
        </w:tc>
        <w:tc>
          <w:tcPr>
            <w:tcW w:w="1884" w:type="dxa"/>
            <w:tcBorders>
              <w:top w:val="single" w:sz="4" w:space="0" w:color="000000"/>
              <w:bottom w:val="single" w:sz="4" w:space="0" w:color="000000"/>
            </w:tcBorders>
          </w:tcPr>
          <w:p>
            <w:pPr>
              <w:pStyle w:val="TableParagraph"/>
              <w:jc w:val="left"/>
              <w:rPr>
                <w:sz w:val="18"/>
              </w:rPr>
            </w:pPr>
          </w:p>
        </w:tc>
        <w:tc>
          <w:tcPr>
            <w:tcW w:w="1002" w:type="dxa"/>
            <w:tcBorders>
              <w:top w:val="single" w:sz="4" w:space="0" w:color="000000"/>
              <w:bottom w:val="single" w:sz="4" w:space="0" w:color="000000"/>
            </w:tcBorders>
          </w:tcPr>
          <w:p>
            <w:pPr>
              <w:pStyle w:val="TableParagraph"/>
              <w:jc w:val="left"/>
              <w:rPr>
                <w:sz w:val="18"/>
              </w:rPr>
            </w:pPr>
          </w:p>
        </w:tc>
      </w:tr>
      <w:tr>
        <w:trPr>
          <w:trHeight w:val="268" w:hRule="atLeast"/>
        </w:trPr>
        <w:tc>
          <w:tcPr>
            <w:tcW w:w="4512" w:type="dxa"/>
            <w:tcBorders>
              <w:top w:val="single" w:sz="4" w:space="0" w:color="000000"/>
              <w:bottom w:val="single" w:sz="4" w:space="0" w:color="000000"/>
            </w:tcBorders>
          </w:tcPr>
          <w:p>
            <w:pPr>
              <w:pStyle w:val="TableParagraph"/>
              <w:spacing w:line="229" w:lineRule="exact" w:before="19"/>
              <w:ind w:left="14"/>
              <w:jc w:val="left"/>
              <w:rPr>
                <w:sz w:val="20"/>
              </w:rPr>
            </w:pPr>
            <w:r>
              <w:rPr>
                <w:sz w:val="20"/>
              </w:rPr>
              <w:t>Head,</w:t>
            </w:r>
            <w:r>
              <w:rPr>
                <w:spacing w:val="-2"/>
                <w:sz w:val="20"/>
              </w:rPr>
              <w:t> </w:t>
            </w:r>
            <w:r>
              <w:rPr>
                <w:sz w:val="20"/>
              </w:rPr>
              <w:t>Gender</w:t>
            </w:r>
            <w:r>
              <w:rPr>
                <w:spacing w:val="-8"/>
                <w:sz w:val="20"/>
              </w:rPr>
              <w:t> </w:t>
            </w:r>
            <w:r>
              <w:rPr>
                <w:sz w:val="20"/>
              </w:rPr>
              <w:t>and</w:t>
            </w:r>
            <w:r>
              <w:rPr>
                <w:spacing w:val="-8"/>
                <w:sz w:val="20"/>
              </w:rPr>
              <w:t> </w:t>
            </w:r>
            <w:r>
              <w:rPr>
                <w:sz w:val="20"/>
              </w:rPr>
              <w:t>Children</w:t>
            </w:r>
            <w:r>
              <w:rPr>
                <w:spacing w:val="-3"/>
                <w:sz w:val="20"/>
              </w:rPr>
              <w:t> </w:t>
            </w:r>
            <w:r>
              <w:rPr>
                <w:spacing w:val="-4"/>
                <w:sz w:val="20"/>
              </w:rPr>
              <w:t>Unit</w:t>
            </w:r>
          </w:p>
        </w:tc>
        <w:tc>
          <w:tcPr>
            <w:tcW w:w="1884" w:type="dxa"/>
            <w:tcBorders>
              <w:top w:val="single" w:sz="4" w:space="0" w:color="000000"/>
              <w:bottom w:val="single" w:sz="4" w:space="0" w:color="000000"/>
            </w:tcBorders>
          </w:tcPr>
          <w:p>
            <w:pPr>
              <w:pStyle w:val="TableParagraph"/>
              <w:spacing w:line="229" w:lineRule="exact" w:before="19"/>
              <w:ind w:left="943"/>
              <w:jc w:val="left"/>
              <w:rPr>
                <w:sz w:val="20"/>
              </w:rPr>
            </w:pPr>
            <w:r>
              <w:rPr>
                <w:spacing w:val="-2"/>
                <w:sz w:val="20"/>
              </w:rPr>
              <w:t>P-</w:t>
            </w:r>
            <w:r>
              <w:rPr>
                <w:spacing w:val="-10"/>
                <w:sz w:val="20"/>
              </w:rPr>
              <w:t>4</w:t>
            </w:r>
          </w:p>
        </w:tc>
        <w:tc>
          <w:tcPr>
            <w:tcW w:w="1002" w:type="dxa"/>
            <w:tcBorders>
              <w:top w:val="single" w:sz="4" w:space="0" w:color="000000"/>
              <w:bottom w:val="single" w:sz="4" w:space="0" w:color="000000"/>
            </w:tcBorders>
          </w:tcPr>
          <w:p>
            <w:pPr>
              <w:pStyle w:val="TableParagraph"/>
              <w:spacing w:line="229" w:lineRule="exact" w:before="19"/>
              <w:ind w:right="7"/>
              <w:rPr>
                <w:sz w:val="20"/>
              </w:rPr>
            </w:pPr>
            <w:r>
              <w:rPr>
                <w:w w:val="100"/>
                <w:sz w:val="20"/>
              </w:rPr>
              <w:t>1</w:t>
            </w:r>
          </w:p>
        </w:tc>
      </w:tr>
      <w:tr>
        <w:trPr>
          <w:trHeight w:val="273" w:hRule="atLeast"/>
        </w:trPr>
        <w:tc>
          <w:tcPr>
            <w:tcW w:w="4512" w:type="dxa"/>
            <w:tcBorders>
              <w:top w:val="single" w:sz="4" w:space="0" w:color="000000"/>
              <w:bottom w:val="single" w:sz="4" w:space="0" w:color="000000"/>
            </w:tcBorders>
          </w:tcPr>
          <w:p>
            <w:pPr>
              <w:pStyle w:val="TableParagraph"/>
              <w:jc w:val="left"/>
              <w:rPr>
                <w:sz w:val="18"/>
              </w:rPr>
            </w:pPr>
          </w:p>
        </w:tc>
        <w:tc>
          <w:tcPr>
            <w:tcW w:w="1884" w:type="dxa"/>
            <w:tcBorders>
              <w:top w:val="single" w:sz="4" w:space="0" w:color="000000"/>
              <w:bottom w:val="single" w:sz="4" w:space="0" w:color="000000"/>
            </w:tcBorders>
          </w:tcPr>
          <w:p>
            <w:pPr>
              <w:pStyle w:val="TableParagraph"/>
              <w:jc w:val="left"/>
              <w:rPr>
                <w:sz w:val="18"/>
              </w:rPr>
            </w:pPr>
          </w:p>
        </w:tc>
        <w:tc>
          <w:tcPr>
            <w:tcW w:w="1002" w:type="dxa"/>
            <w:tcBorders>
              <w:top w:val="single" w:sz="4" w:space="0" w:color="000000"/>
              <w:bottom w:val="single" w:sz="4" w:space="0" w:color="000000"/>
            </w:tcBorders>
          </w:tcPr>
          <w:p>
            <w:pPr>
              <w:pStyle w:val="TableParagraph"/>
              <w:spacing w:before="19"/>
              <w:ind w:right="7"/>
              <w:rPr>
                <w:b/>
                <w:sz w:val="20"/>
              </w:rPr>
            </w:pPr>
            <w:r>
              <w:rPr>
                <w:b/>
                <w:w w:val="100"/>
                <w:sz w:val="20"/>
              </w:rPr>
              <w:t>1</w:t>
            </w:r>
          </w:p>
        </w:tc>
      </w:tr>
      <w:tr>
        <w:trPr>
          <w:trHeight w:val="268" w:hRule="atLeast"/>
        </w:trPr>
        <w:tc>
          <w:tcPr>
            <w:tcW w:w="4512" w:type="dxa"/>
            <w:tcBorders>
              <w:top w:val="single" w:sz="4" w:space="0" w:color="000000"/>
              <w:bottom w:val="single" w:sz="4" w:space="0" w:color="000000"/>
            </w:tcBorders>
          </w:tcPr>
          <w:p>
            <w:pPr>
              <w:pStyle w:val="TableParagraph"/>
              <w:spacing w:line="229" w:lineRule="exact" w:before="19"/>
              <w:ind w:left="14"/>
              <w:jc w:val="left"/>
              <w:rPr>
                <w:i/>
                <w:sz w:val="20"/>
              </w:rPr>
            </w:pPr>
            <w:r>
              <w:rPr>
                <w:i/>
                <w:sz w:val="20"/>
              </w:rPr>
              <w:t>Preliminary</w:t>
            </w:r>
            <w:r>
              <w:rPr>
                <w:i/>
                <w:spacing w:val="-13"/>
                <w:sz w:val="20"/>
              </w:rPr>
              <w:t> </w:t>
            </w:r>
            <w:r>
              <w:rPr>
                <w:i/>
                <w:sz w:val="20"/>
              </w:rPr>
              <w:t>Examination</w:t>
            </w:r>
            <w:r>
              <w:rPr>
                <w:i/>
                <w:spacing w:val="-11"/>
                <w:sz w:val="20"/>
              </w:rPr>
              <w:t> </w:t>
            </w:r>
            <w:r>
              <w:rPr>
                <w:i/>
                <w:spacing w:val="-2"/>
                <w:sz w:val="20"/>
              </w:rPr>
              <w:t>Section</w:t>
            </w:r>
          </w:p>
        </w:tc>
        <w:tc>
          <w:tcPr>
            <w:tcW w:w="1884" w:type="dxa"/>
            <w:tcBorders>
              <w:top w:val="single" w:sz="4" w:space="0" w:color="000000"/>
              <w:bottom w:val="single" w:sz="4" w:space="0" w:color="000000"/>
            </w:tcBorders>
          </w:tcPr>
          <w:p>
            <w:pPr>
              <w:pStyle w:val="TableParagraph"/>
              <w:jc w:val="left"/>
              <w:rPr>
                <w:sz w:val="18"/>
              </w:rPr>
            </w:pPr>
          </w:p>
        </w:tc>
        <w:tc>
          <w:tcPr>
            <w:tcW w:w="1002" w:type="dxa"/>
            <w:tcBorders>
              <w:top w:val="single" w:sz="4" w:space="0" w:color="000000"/>
              <w:bottom w:val="single" w:sz="4" w:space="0" w:color="000000"/>
            </w:tcBorders>
          </w:tcPr>
          <w:p>
            <w:pPr>
              <w:pStyle w:val="TableParagraph"/>
              <w:jc w:val="left"/>
              <w:rPr>
                <w:sz w:val="18"/>
              </w:rPr>
            </w:pPr>
          </w:p>
        </w:tc>
      </w:tr>
      <w:tr>
        <w:trPr>
          <w:trHeight w:val="268" w:hRule="atLeast"/>
        </w:trPr>
        <w:tc>
          <w:tcPr>
            <w:tcW w:w="4512" w:type="dxa"/>
            <w:tcBorders>
              <w:top w:val="single" w:sz="4" w:space="0" w:color="000000"/>
            </w:tcBorders>
          </w:tcPr>
          <w:p>
            <w:pPr>
              <w:pStyle w:val="TableParagraph"/>
              <w:spacing w:line="229" w:lineRule="exact" w:before="19"/>
              <w:ind w:left="14"/>
              <w:jc w:val="left"/>
              <w:rPr>
                <w:sz w:val="20"/>
              </w:rPr>
            </w:pPr>
            <w:r>
              <w:rPr>
                <w:sz w:val="20"/>
              </w:rPr>
              <w:t>Legal</w:t>
            </w:r>
            <w:r>
              <w:rPr>
                <w:spacing w:val="-5"/>
                <w:sz w:val="20"/>
              </w:rPr>
              <w:t> </w:t>
            </w:r>
            <w:r>
              <w:rPr>
                <w:spacing w:val="-2"/>
                <w:sz w:val="20"/>
              </w:rPr>
              <w:t>Adviser</w:t>
            </w:r>
          </w:p>
        </w:tc>
        <w:tc>
          <w:tcPr>
            <w:tcW w:w="1884" w:type="dxa"/>
            <w:tcBorders>
              <w:top w:val="single" w:sz="4" w:space="0" w:color="000000"/>
            </w:tcBorders>
          </w:tcPr>
          <w:p>
            <w:pPr>
              <w:pStyle w:val="TableParagraph"/>
              <w:spacing w:line="229" w:lineRule="exact" w:before="19"/>
              <w:ind w:left="943"/>
              <w:jc w:val="left"/>
              <w:rPr>
                <w:sz w:val="20"/>
              </w:rPr>
            </w:pPr>
            <w:r>
              <w:rPr>
                <w:spacing w:val="-2"/>
                <w:sz w:val="20"/>
              </w:rPr>
              <w:t>P-</w:t>
            </w:r>
            <w:r>
              <w:rPr>
                <w:spacing w:val="-10"/>
                <w:sz w:val="20"/>
              </w:rPr>
              <w:t>4</w:t>
            </w:r>
          </w:p>
        </w:tc>
        <w:tc>
          <w:tcPr>
            <w:tcW w:w="1002" w:type="dxa"/>
            <w:tcBorders>
              <w:top w:val="single" w:sz="4" w:space="0" w:color="000000"/>
            </w:tcBorders>
          </w:tcPr>
          <w:p>
            <w:pPr>
              <w:pStyle w:val="TableParagraph"/>
              <w:spacing w:line="229" w:lineRule="exact" w:before="19"/>
              <w:ind w:right="7"/>
              <w:rPr>
                <w:sz w:val="20"/>
              </w:rPr>
            </w:pPr>
            <w:r>
              <w:rPr>
                <w:w w:val="100"/>
                <w:sz w:val="20"/>
              </w:rPr>
              <w:t>1</w:t>
            </w:r>
          </w:p>
        </w:tc>
      </w:tr>
      <w:tr>
        <w:trPr>
          <w:trHeight w:val="275" w:hRule="atLeast"/>
        </w:trPr>
        <w:tc>
          <w:tcPr>
            <w:tcW w:w="4512" w:type="dxa"/>
          </w:tcPr>
          <w:p>
            <w:pPr>
              <w:pStyle w:val="TableParagraph"/>
              <w:spacing w:before="20"/>
              <w:ind w:left="14"/>
              <w:jc w:val="left"/>
              <w:rPr>
                <w:sz w:val="20"/>
              </w:rPr>
            </w:pPr>
            <w:r>
              <w:rPr>
                <w:sz w:val="20"/>
              </w:rPr>
              <w:t>Legal</w:t>
            </w:r>
            <w:r>
              <w:rPr>
                <w:spacing w:val="-5"/>
                <w:sz w:val="20"/>
              </w:rPr>
              <w:t> </w:t>
            </w:r>
            <w:r>
              <w:rPr>
                <w:spacing w:val="-2"/>
                <w:sz w:val="20"/>
              </w:rPr>
              <w:t>Officer</w:t>
            </w:r>
            <w:r>
              <w:rPr>
                <w:spacing w:val="-2"/>
                <w:sz w:val="20"/>
                <w:vertAlign w:val="superscript"/>
              </w:rPr>
              <w:t>78</w:t>
            </w:r>
          </w:p>
        </w:tc>
        <w:tc>
          <w:tcPr>
            <w:tcW w:w="1884" w:type="dxa"/>
          </w:tcPr>
          <w:p>
            <w:pPr>
              <w:pStyle w:val="TableParagraph"/>
              <w:spacing w:before="20"/>
              <w:ind w:left="943"/>
              <w:jc w:val="left"/>
              <w:rPr>
                <w:sz w:val="20"/>
              </w:rPr>
            </w:pPr>
            <w:r>
              <w:rPr>
                <w:spacing w:val="-2"/>
                <w:sz w:val="20"/>
              </w:rPr>
              <w:t>P-</w:t>
            </w:r>
            <w:r>
              <w:rPr>
                <w:spacing w:val="-10"/>
                <w:sz w:val="20"/>
              </w:rPr>
              <w:t>3</w:t>
            </w:r>
          </w:p>
        </w:tc>
        <w:tc>
          <w:tcPr>
            <w:tcW w:w="1002" w:type="dxa"/>
          </w:tcPr>
          <w:p>
            <w:pPr>
              <w:pStyle w:val="TableParagraph"/>
              <w:spacing w:before="20"/>
              <w:ind w:right="7"/>
              <w:rPr>
                <w:sz w:val="20"/>
              </w:rPr>
            </w:pPr>
            <w:r>
              <w:rPr>
                <w:w w:val="100"/>
                <w:sz w:val="20"/>
              </w:rPr>
              <w:t>1</w:t>
            </w:r>
          </w:p>
        </w:tc>
      </w:tr>
      <w:tr>
        <w:trPr>
          <w:trHeight w:val="271" w:hRule="atLeast"/>
        </w:trPr>
        <w:tc>
          <w:tcPr>
            <w:tcW w:w="4512" w:type="dxa"/>
          </w:tcPr>
          <w:p>
            <w:pPr>
              <w:pStyle w:val="TableParagraph"/>
              <w:spacing w:before="18"/>
              <w:ind w:left="14"/>
              <w:jc w:val="left"/>
              <w:rPr>
                <w:sz w:val="20"/>
              </w:rPr>
            </w:pPr>
            <w:r>
              <w:rPr>
                <w:spacing w:val="-2"/>
                <w:sz w:val="20"/>
              </w:rPr>
              <w:t>Analyst</w:t>
            </w:r>
          </w:p>
        </w:tc>
        <w:tc>
          <w:tcPr>
            <w:tcW w:w="1884" w:type="dxa"/>
          </w:tcPr>
          <w:p>
            <w:pPr>
              <w:pStyle w:val="TableParagraph"/>
              <w:spacing w:before="18"/>
              <w:ind w:left="943"/>
              <w:jc w:val="left"/>
              <w:rPr>
                <w:sz w:val="20"/>
              </w:rPr>
            </w:pPr>
            <w:r>
              <w:rPr>
                <w:spacing w:val="-2"/>
                <w:sz w:val="20"/>
              </w:rPr>
              <w:t>P-</w:t>
            </w:r>
            <w:r>
              <w:rPr>
                <w:spacing w:val="-10"/>
                <w:sz w:val="20"/>
              </w:rPr>
              <w:t>3</w:t>
            </w:r>
          </w:p>
        </w:tc>
        <w:tc>
          <w:tcPr>
            <w:tcW w:w="1002" w:type="dxa"/>
          </w:tcPr>
          <w:p>
            <w:pPr>
              <w:pStyle w:val="TableParagraph"/>
              <w:spacing w:before="18"/>
              <w:ind w:right="7"/>
              <w:rPr>
                <w:sz w:val="20"/>
              </w:rPr>
            </w:pPr>
            <w:r>
              <w:rPr>
                <w:w w:val="100"/>
                <w:sz w:val="20"/>
              </w:rPr>
              <w:t>1</w:t>
            </w:r>
          </w:p>
        </w:tc>
      </w:tr>
      <w:tr>
        <w:trPr>
          <w:trHeight w:val="268" w:hRule="atLeast"/>
        </w:trPr>
        <w:tc>
          <w:tcPr>
            <w:tcW w:w="4512" w:type="dxa"/>
          </w:tcPr>
          <w:p>
            <w:pPr>
              <w:pStyle w:val="TableParagraph"/>
              <w:spacing w:before="15"/>
              <w:ind w:left="14"/>
              <w:jc w:val="left"/>
              <w:rPr>
                <w:sz w:val="20"/>
              </w:rPr>
            </w:pPr>
            <w:r>
              <w:rPr>
                <w:sz w:val="20"/>
              </w:rPr>
              <w:t>Associate</w:t>
            </w:r>
            <w:r>
              <w:rPr>
                <w:spacing w:val="-8"/>
                <w:sz w:val="20"/>
              </w:rPr>
              <w:t> </w:t>
            </w:r>
            <w:r>
              <w:rPr>
                <w:sz w:val="20"/>
              </w:rPr>
              <w:t>Legal</w:t>
            </w:r>
            <w:r>
              <w:rPr>
                <w:spacing w:val="-2"/>
                <w:sz w:val="20"/>
              </w:rPr>
              <w:t> Officer</w:t>
            </w:r>
          </w:p>
        </w:tc>
        <w:tc>
          <w:tcPr>
            <w:tcW w:w="1884" w:type="dxa"/>
          </w:tcPr>
          <w:p>
            <w:pPr>
              <w:pStyle w:val="TableParagraph"/>
              <w:spacing w:before="15"/>
              <w:ind w:left="943"/>
              <w:jc w:val="left"/>
              <w:rPr>
                <w:sz w:val="20"/>
              </w:rPr>
            </w:pPr>
            <w:r>
              <w:rPr>
                <w:spacing w:val="-2"/>
                <w:sz w:val="20"/>
              </w:rPr>
              <w:t>P-</w:t>
            </w:r>
            <w:r>
              <w:rPr>
                <w:spacing w:val="-10"/>
                <w:sz w:val="20"/>
              </w:rPr>
              <w:t>2</w:t>
            </w:r>
          </w:p>
        </w:tc>
        <w:tc>
          <w:tcPr>
            <w:tcW w:w="1002" w:type="dxa"/>
          </w:tcPr>
          <w:p>
            <w:pPr>
              <w:pStyle w:val="TableParagraph"/>
              <w:spacing w:before="15"/>
              <w:ind w:right="7"/>
              <w:rPr>
                <w:sz w:val="20"/>
              </w:rPr>
            </w:pPr>
            <w:r>
              <w:rPr>
                <w:w w:val="100"/>
                <w:sz w:val="20"/>
              </w:rPr>
              <w:t>1</w:t>
            </w:r>
          </w:p>
        </w:tc>
      </w:tr>
      <w:tr>
        <w:trPr>
          <w:trHeight w:val="264" w:hRule="atLeast"/>
        </w:trPr>
        <w:tc>
          <w:tcPr>
            <w:tcW w:w="4512" w:type="dxa"/>
            <w:tcBorders>
              <w:bottom w:val="single" w:sz="4" w:space="0" w:color="000000"/>
            </w:tcBorders>
          </w:tcPr>
          <w:p>
            <w:pPr>
              <w:pStyle w:val="TableParagraph"/>
              <w:spacing w:line="229" w:lineRule="exact" w:before="15"/>
              <w:ind w:left="14"/>
              <w:jc w:val="left"/>
              <w:rPr>
                <w:sz w:val="20"/>
              </w:rPr>
            </w:pPr>
            <w:r>
              <w:rPr>
                <w:sz w:val="20"/>
              </w:rPr>
              <w:t>Assistant</w:t>
            </w:r>
            <w:r>
              <w:rPr>
                <w:spacing w:val="-5"/>
                <w:sz w:val="20"/>
              </w:rPr>
              <w:t> </w:t>
            </w:r>
            <w:r>
              <w:rPr>
                <w:spacing w:val="-2"/>
                <w:sz w:val="20"/>
              </w:rPr>
              <w:t>Analyst</w:t>
            </w:r>
          </w:p>
        </w:tc>
        <w:tc>
          <w:tcPr>
            <w:tcW w:w="1884" w:type="dxa"/>
            <w:tcBorders>
              <w:bottom w:val="single" w:sz="4" w:space="0" w:color="000000"/>
            </w:tcBorders>
          </w:tcPr>
          <w:p>
            <w:pPr>
              <w:pStyle w:val="TableParagraph"/>
              <w:spacing w:line="229" w:lineRule="exact" w:before="15"/>
              <w:ind w:left="943"/>
              <w:jc w:val="left"/>
              <w:rPr>
                <w:sz w:val="20"/>
              </w:rPr>
            </w:pPr>
            <w:r>
              <w:rPr>
                <w:spacing w:val="-2"/>
                <w:sz w:val="20"/>
              </w:rPr>
              <w:t>P-</w:t>
            </w:r>
            <w:r>
              <w:rPr>
                <w:spacing w:val="-10"/>
                <w:sz w:val="20"/>
              </w:rPr>
              <w:t>1</w:t>
            </w:r>
          </w:p>
        </w:tc>
        <w:tc>
          <w:tcPr>
            <w:tcW w:w="1002" w:type="dxa"/>
            <w:tcBorders>
              <w:bottom w:val="single" w:sz="4" w:space="0" w:color="000000"/>
            </w:tcBorders>
          </w:tcPr>
          <w:p>
            <w:pPr>
              <w:pStyle w:val="TableParagraph"/>
              <w:spacing w:line="229" w:lineRule="exact" w:before="15"/>
              <w:ind w:right="7"/>
              <w:rPr>
                <w:sz w:val="20"/>
              </w:rPr>
            </w:pPr>
            <w:r>
              <w:rPr>
                <w:w w:val="100"/>
                <w:sz w:val="20"/>
              </w:rPr>
              <w:t>1</w:t>
            </w:r>
          </w:p>
        </w:tc>
      </w:tr>
      <w:tr>
        <w:trPr>
          <w:trHeight w:val="273" w:hRule="atLeast"/>
        </w:trPr>
        <w:tc>
          <w:tcPr>
            <w:tcW w:w="4512" w:type="dxa"/>
            <w:tcBorders>
              <w:top w:val="single" w:sz="4" w:space="0" w:color="000000"/>
              <w:bottom w:val="single" w:sz="4" w:space="0" w:color="000000"/>
            </w:tcBorders>
          </w:tcPr>
          <w:p>
            <w:pPr>
              <w:pStyle w:val="TableParagraph"/>
              <w:jc w:val="left"/>
              <w:rPr>
                <w:sz w:val="18"/>
              </w:rPr>
            </w:pPr>
          </w:p>
        </w:tc>
        <w:tc>
          <w:tcPr>
            <w:tcW w:w="1884" w:type="dxa"/>
            <w:tcBorders>
              <w:top w:val="single" w:sz="4" w:space="0" w:color="000000"/>
              <w:bottom w:val="single" w:sz="4" w:space="0" w:color="000000"/>
            </w:tcBorders>
          </w:tcPr>
          <w:p>
            <w:pPr>
              <w:pStyle w:val="TableParagraph"/>
              <w:jc w:val="left"/>
              <w:rPr>
                <w:sz w:val="18"/>
              </w:rPr>
            </w:pPr>
          </w:p>
        </w:tc>
        <w:tc>
          <w:tcPr>
            <w:tcW w:w="1002" w:type="dxa"/>
            <w:tcBorders>
              <w:top w:val="single" w:sz="4" w:space="0" w:color="000000"/>
              <w:bottom w:val="single" w:sz="4" w:space="0" w:color="000000"/>
            </w:tcBorders>
          </w:tcPr>
          <w:p>
            <w:pPr>
              <w:pStyle w:val="TableParagraph"/>
              <w:spacing w:before="19"/>
              <w:ind w:right="7"/>
              <w:rPr>
                <w:b/>
                <w:sz w:val="20"/>
              </w:rPr>
            </w:pPr>
            <w:r>
              <w:rPr>
                <w:b/>
                <w:w w:val="100"/>
                <w:sz w:val="20"/>
              </w:rPr>
              <w:t>5</w:t>
            </w:r>
          </w:p>
        </w:tc>
      </w:tr>
      <w:tr>
        <w:trPr>
          <w:trHeight w:val="268" w:hRule="atLeast"/>
        </w:trPr>
        <w:tc>
          <w:tcPr>
            <w:tcW w:w="4512" w:type="dxa"/>
            <w:tcBorders>
              <w:top w:val="single" w:sz="4" w:space="0" w:color="000000"/>
              <w:bottom w:val="single" w:sz="4" w:space="0" w:color="000000"/>
            </w:tcBorders>
          </w:tcPr>
          <w:p>
            <w:pPr>
              <w:pStyle w:val="TableParagraph"/>
              <w:spacing w:line="229" w:lineRule="exact" w:before="19"/>
              <w:ind w:left="14"/>
              <w:jc w:val="left"/>
              <w:rPr>
                <w:i/>
                <w:sz w:val="20"/>
              </w:rPr>
            </w:pPr>
            <w:r>
              <w:rPr>
                <w:i/>
                <w:sz w:val="20"/>
              </w:rPr>
              <w:t>Unified</w:t>
            </w:r>
            <w:r>
              <w:rPr>
                <w:i/>
                <w:spacing w:val="-9"/>
                <w:sz w:val="20"/>
              </w:rPr>
              <w:t> </w:t>
            </w:r>
            <w:r>
              <w:rPr>
                <w:i/>
                <w:sz w:val="20"/>
              </w:rPr>
              <w:t>Teams</w:t>
            </w:r>
            <w:r>
              <w:rPr>
                <w:i/>
                <w:spacing w:val="-6"/>
                <w:sz w:val="20"/>
              </w:rPr>
              <w:t> </w:t>
            </w:r>
            <w:r>
              <w:rPr>
                <w:i/>
                <w:spacing w:val="-4"/>
                <w:sz w:val="20"/>
              </w:rPr>
              <w:t>(HQ)</w:t>
            </w:r>
          </w:p>
        </w:tc>
        <w:tc>
          <w:tcPr>
            <w:tcW w:w="1884" w:type="dxa"/>
            <w:tcBorders>
              <w:top w:val="single" w:sz="4" w:space="0" w:color="000000"/>
              <w:bottom w:val="single" w:sz="4" w:space="0" w:color="000000"/>
            </w:tcBorders>
          </w:tcPr>
          <w:p>
            <w:pPr>
              <w:pStyle w:val="TableParagraph"/>
              <w:jc w:val="left"/>
              <w:rPr>
                <w:sz w:val="18"/>
              </w:rPr>
            </w:pPr>
          </w:p>
        </w:tc>
        <w:tc>
          <w:tcPr>
            <w:tcW w:w="1002" w:type="dxa"/>
            <w:tcBorders>
              <w:top w:val="single" w:sz="4" w:space="0" w:color="000000"/>
              <w:bottom w:val="single" w:sz="4" w:space="0" w:color="000000"/>
            </w:tcBorders>
          </w:tcPr>
          <w:p>
            <w:pPr>
              <w:pStyle w:val="TableParagraph"/>
              <w:jc w:val="left"/>
              <w:rPr>
                <w:sz w:val="18"/>
              </w:rPr>
            </w:pPr>
          </w:p>
        </w:tc>
      </w:tr>
      <w:tr>
        <w:trPr>
          <w:trHeight w:val="268" w:hRule="atLeast"/>
        </w:trPr>
        <w:tc>
          <w:tcPr>
            <w:tcW w:w="4512" w:type="dxa"/>
            <w:tcBorders>
              <w:top w:val="single" w:sz="4" w:space="0" w:color="000000"/>
              <w:bottom w:val="single" w:sz="4" w:space="0" w:color="000000"/>
            </w:tcBorders>
          </w:tcPr>
          <w:p>
            <w:pPr>
              <w:pStyle w:val="TableParagraph"/>
              <w:spacing w:line="229" w:lineRule="exact" w:before="19"/>
              <w:ind w:left="14"/>
              <w:jc w:val="left"/>
              <w:rPr>
                <w:i/>
                <w:sz w:val="20"/>
              </w:rPr>
            </w:pPr>
            <w:r>
              <w:rPr>
                <w:i/>
                <w:sz w:val="20"/>
              </w:rPr>
              <w:t>International</w:t>
            </w:r>
            <w:r>
              <w:rPr>
                <w:i/>
                <w:spacing w:val="-10"/>
                <w:sz w:val="20"/>
              </w:rPr>
              <w:t> </w:t>
            </w:r>
            <w:r>
              <w:rPr>
                <w:i/>
                <w:sz w:val="20"/>
              </w:rPr>
              <w:t>Cooperation</w:t>
            </w:r>
            <w:r>
              <w:rPr>
                <w:i/>
                <w:spacing w:val="-11"/>
                <w:sz w:val="20"/>
              </w:rPr>
              <w:t> </w:t>
            </w:r>
            <w:r>
              <w:rPr>
                <w:i/>
                <w:spacing w:val="-2"/>
                <w:sz w:val="20"/>
              </w:rPr>
              <w:t>Advisers</w:t>
            </w:r>
          </w:p>
        </w:tc>
        <w:tc>
          <w:tcPr>
            <w:tcW w:w="1884" w:type="dxa"/>
            <w:tcBorders>
              <w:top w:val="single" w:sz="4" w:space="0" w:color="000000"/>
              <w:bottom w:val="single" w:sz="4" w:space="0" w:color="000000"/>
            </w:tcBorders>
          </w:tcPr>
          <w:p>
            <w:pPr>
              <w:pStyle w:val="TableParagraph"/>
              <w:jc w:val="left"/>
              <w:rPr>
                <w:sz w:val="18"/>
              </w:rPr>
            </w:pPr>
          </w:p>
        </w:tc>
        <w:tc>
          <w:tcPr>
            <w:tcW w:w="1002" w:type="dxa"/>
            <w:tcBorders>
              <w:top w:val="single" w:sz="4" w:space="0" w:color="000000"/>
              <w:bottom w:val="single" w:sz="4" w:space="0" w:color="000000"/>
            </w:tcBorders>
          </w:tcPr>
          <w:p>
            <w:pPr>
              <w:pStyle w:val="TableParagraph"/>
              <w:jc w:val="left"/>
              <w:rPr>
                <w:sz w:val="18"/>
              </w:rPr>
            </w:pPr>
          </w:p>
        </w:tc>
      </w:tr>
      <w:tr>
        <w:trPr>
          <w:trHeight w:val="273" w:hRule="atLeast"/>
        </w:trPr>
        <w:tc>
          <w:tcPr>
            <w:tcW w:w="4512" w:type="dxa"/>
            <w:tcBorders>
              <w:top w:val="single" w:sz="4" w:space="0" w:color="000000"/>
              <w:bottom w:val="single" w:sz="4" w:space="0" w:color="000000"/>
            </w:tcBorders>
          </w:tcPr>
          <w:p>
            <w:pPr>
              <w:pStyle w:val="TableParagraph"/>
              <w:spacing w:before="20"/>
              <w:ind w:left="14"/>
              <w:jc w:val="left"/>
              <w:rPr>
                <w:sz w:val="20"/>
              </w:rPr>
            </w:pPr>
            <w:r>
              <w:rPr>
                <w:sz w:val="20"/>
              </w:rPr>
              <w:t>International</w:t>
            </w:r>
            <w:r>
              <w:rPr>
                <w:spacing w:val="-11"/>
                <w:sz w:val="20"/>
              </w:rPr>
              <w:t> </w:t>
            </w:r>
            <w:r>
              <w:rPr>
                <w:sz w:val="20"/>
              </w:rPr>
              <w:t>Cooperation</w:t>
            </w:r>
            <w:r>
              <w:rPr>
                <w:spacing w:val="-8"/>
                <w:sz w:val="20"/>
              </w:rPr>
              <w:t> </w:t>
            </w:r>
            <w:r>
              <w:rPr>
                <w:spacing w:val="-2"/>
                <w:sz w:val="20"/>
              </w:rPr>
              <w:t>Adviser</w:t>
            </w:r>
          </w:p>
        </w:tc>
        <w:tc>
          <w:tcPr>
            <w:tcW w:w="1884" w:type="dxa"/>
            <w:tcBorders>
              <w:top w:val="single" w:sz="4" w:space="0" w:color="000000"/>
              <w:bottom w:val="single" w:sz="4" w:space="0" w:color="000000"/>
            </w:tcBorders>
          </w:tcPr>
          <w:p>
            <w:pPr>
              <w:pStyle w:val="TableParagraph"/>
              <w:spacing w:before="20"/>
              <w:ind w:left="943"/>
              <w:jc w:val="left"/>
              <w:rPr>
                <w:sz w:val="20"/>
              </w:rPr>
            </w:pPr>
            <w:r>
              <w:rPr>
                <w:spacing w:val="-2"/>
                <w:sz w:val="20"/>
              </w:rPr>
              <w:t>P-</w:t>
            </w:r>
            <w:r>
              <w:rPr>
                <w:spacing w:val="-10"/>
                <w:sz w:val="20"/>
              </w:rPr>
              <w:t>3</w:t>
            </w:r>
          </w:p>
        </w:tc>
        <w:tc>
          <w:tcPr>
            <w:tcW w:w="1002" w:type="dxa"/>
            <w:tcBorders>
              <w:top w:val="single" w:sz="4" w:space="0" w:color="000000"/>
              <w:bottom w:val="single" w:sz="4" w:space="0" w:color="000000"/>
            </w:tcBorders>
          </w:tcPr>
          <w:p>
            <w:pPr>
              <w:pStyle w:val="TableParagraph"/>
              <w:spacing w:before="20"/>
              <w:ind w:right="7"/>
              <w:rPr>
                <w:sz w:val="20"/>
              </w:rPr>
            </w:pPr>
            <w:r>
              <w:rPr>
                <w:w w:val="100"/>
                <w:sz w:val="20"/>
              </w:rPr>
              <w:t>2</w:t>
            </w:r>
          </w:p>
        </w:tc>
      </w:tr>
      <w:tr>
        <w:trPr>
          <w:trHeight w:val="268" w:hRule="atLeast"/>
        </w:trPr>
        <w:tc>
          <w:tcPr>
            <w:tcW w:w="4512" w:type="dxa"/>
            <w:tcBorders>
              <w:top w:val="single" w:sz="4" w:space="0" w:color="000000"/>
              <w:bottom w:val="single" w:sz="4" w:space="0" w:color="000000"/>
            </w:tcBorders>
          </w:tcPr>
          <w:p>
            <w:pPr>
              <w:pStyle w:val="TableParagraph"/>
              <w:jc w:val="left"/>
              <w:rPr>
                <w:sz w:val="18"/>
              </w:rPr>
            </w:pPr>
          </w:p>
        </w:tc>
        <w:tc>
          <w:tcPr>
            <w:tcW w:w="1884" w:type="dxa"/>
            <w:tcBorders>
              <w:top w:val="single" w:sz="4" w:space="0" w:color="000000"/>
              <w:bottom w:val="single" w:sz="4" w:space="0" w:color="000000"/>
            </w:tcBorders>
          </w:tcPr>
          <w:p>
            <w:pPr>
              <w:pStyle w:val="TableParagraph"/>
              <w:jc w:val="left"/>
              <w:rPr>
                <w:sz w:val="18"/>
              </w:rPr>
            </w:pPr>
          </w:p>
        </w:tc>
        <w:tc>
          <w:tcPr>
            <w:tcW w:w="1002" w:type="dxa"/>
            <w:tcBorders>
              <w:top w:val="single" w:sz="4" w:space="0" w:color="000000"/>
              <w:bottom w:val="single" w:sz="4" w:space="0" w:color="000000"/>
            </w:tcBorders>
          </w:tcPr>
          <w:p>
            <w:pPr>
              <w:pStyle w:val="TableParagraph"/>
              <w:spacing w:line="229" w:lineRule="exact" w:before="19"/>
              <w:ind w:right="7"/>
              <w:rPr>
                <w:b/>
                <w:sz w:val="20"/>
              </w:rPr>
            </w:pPr>
            <w:r>
              <w:rPr>
                <w:b/>
                <w:w w:val="100"/>
                <w:sz w:val="20"/>
              </w:rPr>
              <w:t>2</w:t>
            </w:r>
          </w:p>
        </w:tc>
      </w:tr>
      <w:tr>
        <w:trPr>
          <w:trHeight w:val="268" w:hRule="atLeast"/>
        </w:trPr>
        <w:tc>
          <w:tcPr>
            <w:tcW w:w="4512" w:type="dxa"/>
            <w:tcBorders>
              <w:top w:val="single" w:sz="4" w:space="0" w:color="000000"/>
              <w:bottom w:val="single" w:sz="4" w:space="0" w:color="000000"/>
            </w:tcBorders>
          </w:tcPr>
          <w:p>
            <w:pPr>
              <w:pStyle w:val="TableParagraph"/>
              <w:spacing w:line="229" w:lineRule="exact" w:before="19"/>
              <w:ind w:left="14"/>
              <w:jc w:val="left"/>
              <w:rPr>
                <w:i/>
                <w:sz w:val="20"/>
              </w:rPr>
            </w:pPr>
            <w:r>
              <w:rPr>
                <w:i/>
                <w:spacing w:val="-2"/>
                <w:sz w:val="20"/>
              </w:rPr>
              <w:t>Analysts</w:t>
            </w:r>
          </w:p>
        </w:tc>
        <w:tc>
          <w:tcPr>
            <w:tcW w:w="1884" w:type="dxa"/>
            <w:tcBorders>
              <w:top w:val="single" w:sz="4" w:space="0" w:color="000000"/>
              <w:bottom w:val="single" w:sz="4" w:space="0" w:color="000000"/>
            </w:tcBorders>
          </w:tcPr>
          <w:p>
            <w:pPr>
              <w:pStyle w:val="TableParagraph"/>
              <w:jc w:val="left"/>
              <w:rPr>
                <w:sz w:val="18"/>
              </w:rPr>
            </w:pPr>
          </w:p>
        </w:tc>
        <w:tc>
          <w:tcPr>
            <w:tcW w:w="1002" w:type="dxa"/>
            <w:tcBorders>
              <w:top w:val="single" w:sz="4" w:space="0" w:color="000000"/>
              <w:bottom w:val="single" w:sz="4" w:space="0" w:color="000000"/>
            </w:tcBorders>
          </w:tcPr>
          <w:p>
            <w:pPr>
              <w:pStyle w:val="TableParagraph"/>
              <w:jc w:val="left"/>
              <w:rPr>
                <w:sz w:val="18"/>
              </w:rPr>
            </w:pPr>
          </w:p>
        </w:tc>
      </w:tr>
      <w:tr>
        <w:trPr>
          <w:trHeight w:val="274" w:hRule="atLeast"/>
        </w:trPr>
        <w:tc>
          <w:tcPr>
            <w:tcW w:w="4512" w:type="dxa"/>
            <w:tcBorders>
              <w:top w:val="single" w:sz="4" w:space="0" w:color="000000"/>
            </w:tcBorders>
          </w:tcPr>
          <w:p>
            <w:pPr>
              <w:pStyle w:val="TableParagraph"/>
              <w:spacing w:before="19"/>
              <w:ind w:left="14"/>
              <w:jc w:val="left"/>
              <w:rPr>
                <w:sz w:val="20"/>
              </w:rPr>
            </w:pPr>
            <w:r>
              <w:rPr>
                <w:spacing w:val="-2"/>
                <w:sz w:val="20"/>
              </w:rPr>
              <w:t>Analyst</w:t>
            </w:r>
          </w:p>
        </w:tc>
        <w:tc>
          <w:tcPr>
            <w:tcW w:w="1884" w:type="dxa"/>
            <w:tcBorders>
              <w:top w:val="single" w:sz="4" w:space="0" w:color="000000"/>
            </w:tcBorders>
          </w:tcPr>
          <w:p>
            <w:pPr>
              <w:pStyle w:val="TableParagraph"/>
              <w:spacing w:before="19"/>
              <w:ind w:left="943"/>
              <w:jc w:val="left"/>
              <w:rPr>
                <w:sz w:val="20"/>
              </w:rPr>
            </w:pPr>
            <w:r>
              <w:rPr>
                <w:spacing w:val="-2"/>
                <w:sz w:val="20"/>
              </w:rPr>
              <w:t>P-</w:t>
            </w:r>
            <w:r>
              <w:rPr>
                <w:spacing w:val="-10"/>
                <w:sz w:val="20"/>
              </w:rPr>
              <w:t>3</w:t>
            </w:r>
          </w:p>
        </w:tc>
        <w:tc>
          <w:tcPr>
            <w:tcW w:w="1002" w:type="dxa"/>
            <w:tcBorders>
              <w:top w:val="single" w:sz="4" w:space="0" w:color="000000"/>
            </w:tcBorders>
          </w:tcPr>
          <w:p>
            <w:pPr>
              <w:pStyle w:val="TableParagraph"/>
              <w:spacing w:before="19"/>
              <w:ind w:right="7"/>
              <w:rPr>
                <w:sz w:val="20"/>
              </w:rPr>
            </w:pPr>
            <w:r>
              <w:rPr>
                <w:w w:val="100"/>
                <w:sz w:val="20"/>
              </w:rPr>
              <w:t>4</w:t>
            </w:r>
          </w:p>
        </w:tc>
      </w:tr>
      <w:tr>
        <w:trPr>
          <w:trHeight w:val="271" w:hRule="atLeast"/>
        </w:trPr>
        <w:tc>
          <w:tcPr>
            <w:tcW w:w="4512" w:type="dxa"/>
          </w:tcPr>
          <w:p>
            <w:pPr>
              <w:pStyle w:val="TableParagraph"/>
              <w:spacing w:before="18"/>
              <w:ind w:left="14"/>
              <w:jc w:val="left"/>
              <w:rPr>
                <w:sz w:val="20"/>
              </w:rPr>
            </w:pPr>
            <w:r>
              <w:rPr>
                <w:sz w:val="20"/>
              </w:rPr>
              <w:t>Associate</w:t>
            </w:r>
            <w:r>
              <w:rPr>
                <w:spacing w:val="-7"/>
                <w:sz w:val="20"/>
              </w:rPr>
              <w:t> </w:t>
            </w:r>
            <w:r>
              <w:rPr>
                <w:spacing w:val="-2"/>
                <w:sz w:val="20"/>
              </w:rPr>
              <w:t>Analyst</w:t>
            </w:r>
          </w:p>
        </w:tc>
        <w:tc>
          <w:tcPr>
            <w:tcW w:w="1884" w:type="dxa"/>
          </w:tcPr>
          <w:p>
            <w:pPr>
              <w:pStyle w:val="TableParagraph"/>
              <w:spacing w:before="18"/>
              <w:ind w:left="943"/>
              <w:jc w:val="left"/>
              <w:rPr>
                <w:sz w:val="20"/>
              </w:rPr>
            </w:pPr>
            <w:r>
              <w:rPr>
                <w:spacing w:val="-2"/>
                <w:sz w:val="20"/>
              </w:rPr>
              <w:t>P-</w:t>
            </w:r>
            <w:r>
              <w:rPr>
                <w:spacing w:val="-10"/>
                <w:sz w:val="20"/>
              </w:rPr>
              <w:t>2</w:t>
            </w:r>
          </w:p>
        </w:tc>
        <w:tc>
          <w:tcPr>
            <w:tcW w:w="1002" w:type="dxa"/>
          </w:tcPr>
          <w:p>
            <w:pPr>
              <w:pStyle w:val="TableParagraph"/>
              <w:spacing w:before="18"/>
              <w:ind w:right="7"/>
              <w:rPr>
                <w:sz w:val="20"/>
              </w:rPr>
            </w:pPr>
            <w:r>
              <w:rPr>
                <w:w w:val="100"/>
                <w:sz w:val="20"/>
              </w:rPr>
              <w:t>2</w:t>
            </w:r>
          </w:p>
        </w:tc>
      </w:tr>
      <w:tr>
        <w:trPr>
          <w:trHeight w:val="268" w:hRule="atLeast"/>
        </w:trPr>
        <w:tc>
          <w:tcPr>
            <w:tcW w:w="4512" w:type="dxa"/>
          </w:tcPr>
          <w:p>
            <w:pPr>
              <w:pStyle w:val="TableParagraph"/>
              <w:spacing w:before="15"/>
              <w:ind w:left="14"/>
              <w:jc w:val="left"/>
              <w:rPr>
                <w:sz w:val="20"/>
              </w:rPr>
            </w:pPr>
            <w:r>
              <w:rPr>
                <w:sz w:val="20"/>
              </w:rPr>
              <w:t>Analysis</w:t>
            </w:r>
            <w:r>
              <w:rPr>
                <w:spacing w:val="-5"/>
                <w:sz w:val="20"/>
              </w:rPr>
              <w:t> </w:t>
            </w:r>
            <w:r>
              <w:rPr>
                <w:spacing w:val="-2"/>
                <w:sz w:val="20"/>
              </w:rPr>
              <w:t>Assistant</w:t>
            </w:r>
          </w:p>
        </w:tc>
        <w:tc>
          <w:tcPr>
            <w:tcW w:w="1884" w:type="dxa"/>
          </w:tcPr>
          <w:p>
            <w:pPr>
              <w:pStyle w:val="TableParagraph"/>
              <w:spacing w:before="15"/>
              <w:ind w:left="943"/>
              <w:jc w:val="left"/>
              <w:rPr>
                <w:sz w:val="20"/>
              </w:rPr>
            </w:pPr>
            <w:r>
              <w:rPr>
                <w:spacing w:val="-2"/>
                <w:sz w:val="20"/>
              </w:rPr>
              <w:t>GS-</w:t>
            </w:r>
            <w:r>
              <w:rPr>
                <w:spacing w:val="-7"/>
                <w:sz w:val="20"/>
              </w:rPr>
              <w:t>OL</w:t>
            </w:r>
          </w:p>
        </w:tc>
        <w:tc>
          <w:tcPr>
            <w:tcW w:w="1002" w:type="dxa"/>
          </w:tcPr>
          <w:p>
            <w:pPr>
              <w:pStyle w:val="TableParagraph"/>
              <w:spacing w:before="15"/>
              <w:ind w:right="7"/>
              <w:rPr>
                <w:sz w:val="20"/>
              </w:rPr>
            </w:pPr>
            <w:r>
              <w:rPr>
                <w:w w:val="100"/>
                <w:sz w:val="20"/>
              </w:rPr>
              <w:t>2</w:t>
            </w:r>
          </w:p>
        </w:tc>
      </w:tr>
      <w:tr>
        <w:trPr>
          <w:trHeight w:val="268" w:hRule="atLeast"/>
        </w:trPr>
        <w:tc>
          <w:tcPr>
            <w:tcW w:w="4512" w:type="dxa"/>
          </w:tcPr>
          <w:p>
            <w:pPr>
              <w:pStyle w:val="TableParagraph"/>
              <w:spacing w:before="16"/>
              <w:ind w:left="14"/>
              <w:jc w:val="left"/>
              <w:rPr>
                <w:sz w:val="20"/>
              </w:rPr>
            </w:pPr>
            <w:r>
              <w:rPr>
                <w:sz w:val="20"/>
              </w:rPr>
              <w:t>Legal</w:t>
            </w:r>
            <w:r>
              <w:rPr>
                <w:spacing w:val="-5"/>
                <w:sz w:val="20"/>
              </w:rPr>
              <w:t> </w:t>
            </w:r>
            <w:r>
              <w:rPr>
                <w:spacing w:val="-2"/>
                <w:sz w:val="20"/>
              </w:rPr>
              <w:t>Officer</w:t>
            </w:r>
          </w:p>
        </w:tc>
        <w:tc>
          <w:tcPr>
            <w:tcW w:w="1884" w:type="dxa"/>
          </w:tcPr>
          <w:p>
            <w:pPr>
              <w:pStyle w:val="TableParagraph"/>
              <w:spacing w:before="16"/>
              <w:ind w:left="943"/>
              <w:jc w:val="left"/>
              <w:rPr>
                <w:sz w:val="20"/>
              </w:rPr>
            </w:pPr>
            <w:r>
              <w:rPr>
                <w:spacing w:val="-2"/>
                <w:sz w:val="20"/>
              </w:rPr>
              <w:t>P-</w:t>
            </w:r>
            <w:r>
              <w:rPr>
                <w:spacing w:val="-10"/>
                <w:sz w:val="20"/>
              </w:rPr>
              <w:t>3</w:t>
            </w:r>
          </w:p>
        </w:tc>
        <w:tc>
          <w:tcPr>
            <w:tcW w:w="1002" w:type="dxa"/>
          </w:tcPr>
          <w:p>
            <w:pPr>
              <w:pStyle w:val="TableParagraph"/>
              <w:spacing w:before="16"/>
              <w:ind w:right="7"/>
              <w:rPr>
                <w:sz w:val="20"/>
              </w:rPr>
            </w:pPr>
            <w:r>
              <w:rPr>
                <w:w w:val="100"/>
                <w:sz w:val="20"/>
              </w:rPr>
              <w:t>1</w:t>
            </w:r>
          </w:p>
        </w:tc>
      </w:tr>
      <w:tr>
        <w:trPr>
          <w:trHeight w:val="271" w:hRule="atLeast"/>
        </w:trPr>
        <w:tc>
          <w:tcPr>
            <w:tcW w:w="4512" w:type="dxa"/>
          </w:tcPr>
          <w:p>
            <w:pPr>
              <w:pStyle w:val="TableParagraph"/>
              <w:spacing w:before="15"/>
              <w:ind w:left="14"/>
              <w:jc w:val="left"/>
              <w:rPr>
                <w:sz w:val="20"/>
              </w:rPr>
            </w:pPr>
            <w:r>
              <w:rPr>
                <w:sz w:val="20"/>
              </w:rPr>
              <w:t>Associate</w:t>
            </w:r>
            <w:r>
              <w:rPr>
                <w:spacing w:val="-8"/>
                <w:sz w:val="20"/>
              </w:rPr>
              <w:t> </w:t>
            </w:r>
            <w:r>
              <w:rPr>
                <w:sz w:val="20"/>
              </w:rPr>
              <w:t>Legal</w:t>
            </w:r>
            <w:r>
              <w:rPr>
                <w:spacing w:val="-1"/>
                <w:sz w:val="20"/>
              </w:rPr>
              <w:t> </w:t>
            </w:r>
            <w:r>
              <w:rPr>
                <w:spacing w:val="-2"/>
                <w:sz w:val="20"/>
              </w:rPr>
              <w:t>Officer</w:t>
            </w:r>
          </w:p>
        </w:tc>
        <w:tc>
          <w:tcPr>
            <w:tcW w:w="1884" w:type="dxa"/>
          </w:tcPr>
          <w:p>
            <w:pPr>
              <w:pStyle w:val="TableParagraph"/>
              <w:spacing w:before="15"/>
              <w:ind w:left="943"/>
              <w:jc w:val="left"/>
              <w:rPr>
                <w:sz w:val="20"/>
              </w:rPr>
            </w:pPr>
            <w:r>
              <w:rPr>
                <w:spacing w:val="-2"/>
                <w:sz w:val="20"/>
              </w:rPr>
              <w:t>P-</w:t>
            </w:r>
            <w:r>
              <w:rPr>
                <w:spacing w:val="-10"/>
                <w:sz w:val="20"/>
              </w:rPr>
              <w:t>2</w:t>
            </w:r>
          </w:p>
        </w:tc>
        <w:tc>
          <w:tcPr>
            <w:tcW w:w="1002" w:type="dxa"/>
          </w:tcPr>
          <w:p>
            <w:pPr>
              <w:pStyle w:val="TableParagraph"/>
              <w:spacing w:before="15"/>
              <w:ind w:right="7"/>
              <w:rPr>
                <w:sz w:val="20"/>
              </w:rPr>
            </w:pPr>
            <w:r>
              <w:rPr>
                <w:w w:val="100"/>
                <w:sz w:val="20"/>
              </w:rPr>
              <w:t>1</w:t>
            </w:r>
          </w:p>
        </w:tc>
      </w:tr>
      <w:tr>
        <w:trPr>
          <w:trHeight w:val="271" w:hRule="atLeast"/>
        </w:trPr>
        <w:tc>
          <w:tcPr>
            <w:tcW w:w="4512" w:type="dxa"/>
          </w:tcPr>
          <w:p>
            <w:pPr>
              <w:pStyle w:val="TableParagraph"/>
              <w:spacing w:before="18"/>
              <w:ind w:left="14"/>
              <w:jc w:val="left"/>
              <w:rPr>
                <w:sz w:val="20"/>
              </w:rPr>
            </w:pPr>
            <w:r>
              <w:rPr>
                <w:sz w:val="20"/>
              </w:rPr>
              <w:t>Associate</w:t>
            </w:r>
            <w:r>
              <w:rPr>
                <w:spacing w:val="-7"/>
                <w:sz w:val="20"/>
              </w:rPr>
              <w:t> </w:t>
            </w:r>
            <w:r>
              <w:rPr>
                <w:spacing w:val="-2"/>
                <w:sz w:val="20"/>
              </w:rPr>
              <w:t>Analyst</w:t>
            </w:r>
          </w:p>
        </w:tc>
        <w:tc>
          <w:tcPr>
            <w:tcW w:w="1884" w:type="dxa"/>
          </w:tcPr>
          <w:p>
            <w:pPr>
              <w:pStyle w:val="TableParagraph"/>
              <w:spacing w:before="18"/>
              <w:ind w:left="943"/>
              <w:jc w:val="left"/>
              <w:rPr>
                <w:sz w:val="20"/>
              </w:rPr>
            </w:pPr>
            <w:r>
              <w:rPr>
                <w:spacing w:val="-2"/>
                <w:sz w:val="20"/>
              </w:rPr>
              <w:t>P-</w:t>
            </w:r>
            <w:r>
              <w:rPr>
                <w:spacing w:val="-10"/>
                <w:sz w:val="20"/>
              </w:rPr>
              <w:t>2</w:t>
            </w:r>
          </w:p>
        </w:tc>
        <w:tc>
          <w:tcPr>
            <w:tcW w:w="1002" w:type="dxa"/>
          </w:tcPr>
          <w:p>
            <w:pPr>
              <w:pStyle w:val="TableParagraph"/>
              <w:spacing w:before="18"/>
              <w:ind w:right="7"/>
              <w:rPr>
                <w:sz w:val="20"/>
              </w:rPr>
            </w:pPr>
            <w:r>
              <w:rPr>
                <w:w w:val="100"/>
                <w:sz w:val="20"/>
              </w:rPr>
              <w:t>2</w:t>
            </w:r>
          </w:p>
        </w:tc>
      </w:tr>
      <w:tr>
        <w:trPr>
          <w:trHeight w:val="264" w:hRule="atLeast"/>
        </w:trPr>
        <w:tc>
          <w:tcPr>
            <w:tcW w:w="4512" w:type="dxa"/>
            <w:tcBorders>
              <w:bottom w:val="single" w:sz="4" w:space="0" w:color="000000"/>
            </w:tcBorders>
          </w:tcPr>
          <w:p>
            <w:pPr>
              <w:pStyle w:val="TableParagraph"/>
              <w:spacing w:line="229" w:lineRule="exact" w:before="15"/>
              <w:ind w:left="14"/>
              <w:jc w:val="left"/>
              <w:rPr>
                <w:sz w:val="20"/>
              </w:rPr>
            </w:pPr>
            <w:r>
              <w:rPr>
                <w:sz w:val="20"/>
              </w:rPr>
              <w:t>Assistant</w:t>
            </w:r>
            <w:r>
              <w:rPr>
                <w:spacing w:val="-6"/>
                <w:sz w:val="20"/>
              </w:rPr>
              <w:t> </w:t>
            </w:r>
            <w:r>
              <w:rPr>
                <w:spacing w:val="-2"/>
                <w:sz w:val="20"/>
              </w:rPr>
              <w:t>Analyst</w:t>
            </w:r>
          </w:p>
        </w:tc>
        <w:tc>
          <w:tcPr>
            <w:tcW w:w="1884" w:type="dxa"/>
            <w:tcBorders>
              <w:bottom w:val="single" w:sz="4" w:space="0" w:color="000000"/>
            </w:tcBorders>
          </w:tcPr>
          <w:p>
            <w:pPr>
              <w:pStyle w:val="TableParagraph"/>
              <w:spacing w:line="229" w:lineRule="exact" w:before="15"/>
              <w:ind w:left="943"/>
              <w:jc w:val="left"/>
              <w:rPr>
                <w:sz w:val="20"/>
              </w:rPr>
            </w:pPr>
            <w:r>
              <w:rPr>
                <w:spacing w:val="-2"/>
                <w:sz w:val="20"/>
              </w:rPr>
              <w:t>P-</w:t>
            </w:r>
            <w:r>
              <w:rPr>
                <w:spacing w:val="-10"/>
                <w:sz w:val="20"/>
              </w:rPr>
              <w:t>1</w:t>
            </w:r>
          </w:p>
        </w:tc>
        <w:tc>
          <w:tcPr>
            <w:tcW w:w="1002" w:type="dxa"/>
            <w:tcBorders>
              <w:bottom w:val="single" w:sz="4" w:space="0" w:color="000000"/>
            </w:tcBorders>
          </w:tcPr>
          <w:p>
            <w:pPr>
              <w:pStyle w:val="TableParagraph"/>
              <w:spacing w:line="229" w:lineRule="exact" w:before="15"/>
              <w:ind w:right="7"/>
              <w:rPr>
                <w:sz w:val="20"/>
              </w:rPr>
            </w:pPr>
            <w:r>
              <w:rPr>
                <w:w w:val="100"/>
                <w:sz w:val="20"/>
              </w:rPr>
              <w:t>1</w:t>
            </w:r>
          </w:p>
        </w:tc>
      </w:tr>
      <w:tr>
        <w:trPr>
          <w:trHeight w:val="273" w:hRule="atLeast"/>
        </w:trPr>
        <w:tc>
          <w:tcPr>
            <w:tcW w:w="4512" w:type="dxa"/>
            <w:tcBorders>
              <w:top w:val="single" w:sz="4" w:space="0" w:color="000000"/>
              <w:bottom w:val="single" w:sz="4" w:space="0" w:color="000000"/>
            </w:tcBorders>
          </w:tcPr>
          <w:p>
            <w:pPr>
              <w:pStyle w:val="TableParagraph"/>
              <w:jc w:val="left"/>
              <w:rPr>
                <w:sz w:val="18"/>
              </w:rPr>
            </w:pPr>
          </w:p>
        </w:tc>
        <w:tc>
          <w:tcPr>
            <w:tcW w:w="1884" w:type="dxa"/>
            <w:tcBorders>
              <w:top w:val="single" w:sz="4" w:space="0" w:color="000000"/>
              <w:bottom w:val="single" w:sz="4" w:space="0" w:color="000000"/>
            </w:tcBorders>
          </w:tcPr>
          <w:p>
            <w:pPr>
              <w:pStyle w:val="TableParagraph"/>
              <w:jc w:val="left"/>
              <w:rPr>
                <w:sz w:val="18"/>
              </w:rPr>
            </w:pPr>
          </w:p>
        </w:tc>
        <w:tc>
          <w:tcPr>
            <w:tcW w:w="1002" w:type="dxa"/>
            <w:tcBorders>
              <w:top w:val="single" w:sz="4" w:space="0" w:color="000000"/>
              <w:bottom w:val="single" w:sz="4" w:space="0" w:color="000000"/>
            </w:tcBorders>
          </w:tcPr>
          <w:p>
            <w:pPr>
              <w:pStyle w:val="TableParagraph"/>
              <w:spacing w:before="19"/>
              <w:ind w:right="7"/>
              <w:rPr>
                <w:b/>
                <w:sz w:val="20"/>
              </w:rPr>
            </w:pPr>
            <w:r>
              <w:rPr>
                <w:b/>
                <w:spacing w:val="-5"/>
                <w:sz w:val="20"/>
              </w:rPr>
              <w:t>13</w:t>
            </w:r>
          </w:p>
        </w:tc>
      </w:tr>
    </w:tbl>
    <w:p>
      <w:pPr>
        <w:pStyle w:val="BodyText"/>
      </w:pPr>
    </w:p>
    <w:p>
      <w:pPr>
        <w:pStyle w:val="BodyText"/>
        <w:rPr>
          <w:sz w:val="25"/>
        </w:rPr>
      </w:pPr>
      <w:r>
        <w:rPr/>
        <w:pict>
          <v:rect style="position:absolute;margin-left:113.330002pt;margin-top:15.596947pt;width:144.050pt;height:.48004pt;mso-position-horizontal-relative:page;mso-position-vertical-relative:paragraph;z-index:-15703040;mso-wrap-distance-left:0;mso-wrap-distance-right:0" id="docshape127" filled="true" fillcolor="#000000" stroked="false">
            <v:fill type="solid"/>
            <w10:wrap type="topAndBottom"/>
          </v:rect>
        </w:pict>
      </w:r>
    </w:p>
    <w:p>
      <w:pPr>
        <w:spacing w:line="183" w:lineRule="exact" w:before="86"/>
        <w:ind w:left="2246" w:right="0" w:firstLine="0"/>
        <w:jc w:val="left"/>
        <w:rPr>
          <w:sz w:val="16"/>
        </w:rPr>
      </w:pPr>
      <w:r>
        <w:rPr>
          <w:position w:val="5"/>
          <w:sz w:val="10"/>
        </w:rPr>
        <w:t>76</w:t>
      </w:r>
      <w:r>
        <w:rPr>
          <w:spacing w:val="12"/>
          <w:position w:val="5"/>
          <w:sz w:val="10"/>
        </w:rPr>
        <w:t> </w:t>
      </w:r>
      <w:r>
        <w:rPr>
          <w:sz w:val="16"/>
        </w:rPr>
        <w:t>This</w:t>
      </w:r>
      <w:r>
        <w:rPr>
          <w:spacing w:val="-4"/>
          <w:sz w:val="16"/>
        </w:rPr>
        <w:t> </w:t>
      </w:r>
      <w:r>
        <w:rPr>
          <w:sz w:val="16"/>
        </w:rPr>
        <w:t>is</w:t>
      </w:r>
      <w:r>
        <w:rPr>
          <w:spacing w:val="-4"/>
          <w:sz w:val="16"/>
        </w:rPr>
        <w:t> </w:t>
      </w:r>
      <w:r>
        <w:rPr>
          <w:sz w:val="16"/>
        </w:rPr>
        <w:t>a</w:t>
      </w:r>
      <w:r>
        <w:rPr>
          <w:spacing w:val="2"/>
          <w:sz w:val="16"/>
        </w:rPr>
        <w:t> </w:t>
      </w:r>
      <w:r>
        <w:rPr>
          <w:sz w:val="16"/>
        </w:rPr>
        <w:t>GTA</w:t>
      </w:r>
      <w:r>
        <w:rPr>
          <w:spacing w:val="-4"/>
          <w:sz w:val="16"/>
        </w:rPr>
        <w:t> </w:t>
      </w:r>
      <w:r>
        <w:rPr>
          <w:sz w:val="16"/>
        </w:rPr>
        <w:t>position:</w:t>
      </w:r>
      <w:r>
        <w:rPr>
          <w:spacing w:val="-5"/>
          <w:sz w:val="16"/>
        </w:rPr>
        <w:t> </w:t>
      </w:r>
      <w:r>
        <w:rPr>
          <w:sz w:val="16"/>
        </w:rPr>
        <w:t>see</w:t>
      </w:r>
      <w:r>
        <w:rPr>
          <w:spacing w:val="-3"/>
          <w:sz w:val="16"/>
        </w:rPr>
        <w:t> </w:t>
      </w:r>
      <w:r>
        <w:rPr>
          <w:sz w:val="16"/>
        </w:rPr>
        <w:t>the</w:t>
      </w:r>
      <w:r>
        <w:rPr>
          <w:spacing w:val="-3"/>
          <w:sz w:val="16"/>
        </w:rPr>
        <w:t> </w:t>
      </w:r>
      <w:r>
        <w:rPr>
          <w:sz w:val="16"/>
        </w:rPr>
        <w:t>GTA</w:t>
      </w:r>
      <w:r>
        <w:rPr>
          <w:spacing w:val="-4"/>
          <w:sz w:val="16"/>
        </w:rPr>
        <w:t> </w:t>
      </w:r>
      <w:r>
        <w:rPr>
          <w:sz w:val="16"/>
        </w:rPr>
        <w:t>staff table</w:t>
      </w:r>
      <w:r>
        <w:rPr>
          <w:spacing w:val="-3"/>
          <w:sz w:val="16"/>
        </w:rPr>
        <w:t> </w:t>
      </w:r>
      <w:r>
        <w:rPr>
          <w:sz w:val="16"/>
        </w:rPr>
        <w:t>for</w:t>
      </w:r>
      <w:r>
        <w:rPr>
          <w:spacing w:val="-4"/>
          <w:sz w:val="16"/>
        </w:rPr>
        <w:t> </w:t>
      </w:r>
      <w:r>
        <w:rPr>
          <w:spacing w:val="-2"/>
          <w:sz w:val="16"/>
        </w:rPr>
        <w:t>details.</w:t>
      </w:r>
    </w:p>
    <w:p>
      <w:pPr>
        <w:spacing w:line="182" w:lineRule="exact" w:before="0"/>
        <w:ind w:left="2246" w:right="0" w:firstLine="0"/>
        <w:jc w:val="left"/>
        <w:rPr>
          <w:sz w:val="16"/>
        </w:rPr>
      </w:pPr>
      <w:r>
        <w:rPr>
          <w:position w:val="5"/>
          <w:sz w:val="10"/>
        </w:rPr>
        <w:t>77</w:t>
      </w:r>
      <w:r>
        <w:rPr>
          <w:spacing w:val="14"/>
          <w:position w:val="5"/>
          <w:sz w:val="10"/>
        </w:rPr>
        <w:t> </w:t>
      </w:r>
      <w:r>
        <w:rPr>
          <w:sz w:val="16"/>
        </w:rPr>
        <w:t>This</w:t>
      </w:r>
      <w:r>
        <w:rPr>
          <w:spacing w:val="-3"/>
          <w:sz w:val="16"/>
        </w:rPr>
        <w:t> </w:t>
      </w:r>
      <w:r>
        <w:rPr>
          <w:sz w:val="16"/>
        </w:rPr>
        <w:t>post</w:t>
      </w:r>
      <w:r>
        <w:rPr>
          <w:spacing w:val="-4"/>
          <w:sz w:val="16"/>
        </w:rPr>
        <w:t> </w:t>
      </w:r>
      <w:r>
        <w:rPr>
          <w:sz w:val="16"/>
        </w:rPr>
        <w:t>will</w:t>
      </w:r>
      <w:r>
        <w:rPr>
          <w:spacing w:val="-4"/>
          <w:sz w:val="16"/>
        </w:rPr>
        <w:t> </w:t>
      </w:r>
      <w:r>
        <w:rPr>
          <w:sz w:val="16"/>
        </w:rPr>
        <w:t>remain</w:t>
      </w:r>
      <w:r>
        <w:rPr>
          <w:spacing w:val="-1"/>
          <w:sz w:val="16"/>
        </w:rPr>
        <w:t> </w:t>
      </w:r>
      <w:r>
        <w:rPr>
          <w:sz w:val="16"/>
        </w:rPr>
        <w:t>unfunded</w:t>
      </w:r>
      <w:r>
        <w:rPr>
          <w:spacing w:val="-1"/>
          <w:sz w:val="16"/>
        </w:rPr>
        <w:t> </w:t>
      </w:r>
      <w:r>
        <w:rPr>
          <w:sz w:val="16"/>
        </w:rPr>
        <w:t>in</w:t>
      </w:r>
      <w:r>
        <w:rPr>
          <w:spacing w:val="-1"/>
          <w:sz w:val="16"/>
        </w:rPr>
        <w:t> </w:t>
      </w:r>
      <w:r>
        <w:rPr>
          <w:spacing w:val="-4"/>
          <w:sz w:val="16"/>
        </w:rPr>
        <w:t>2023.</w:t>
      </w:r>
    </w:p>
    <w:p>
      <w:pPr>
        <w:spacing w:line="183" w:lineRule="exact" w:before="0"/>
        <w:ind w:left="2246" w:right="0" w:firstLine="0"/>
        <w:jc w:val="left"/>
        <w:rPr>
          <w:sz w:val="16"/>
        </w:rPr>
      </w:pPr>
      <w:r>
        <w:rPr>
          <w:position w:val="5"/>
          <w:sz w:val="10"/>
        </w:rPr>
        <w:t>78</w:t>
      </w:r>
      <w:r>
        <w:rPr>
          <w:spacing w:val="13"/>
          <w:position w:val="5"/>
          <w:sz w:val="10"/>
        </w:rPr>
        <w:t> </w:t>
      </w:r>
      <w:r>
        <w:rPr>
          <w:sz w:val="16"/>
        </w:rPr>
        <w:t>This</w:t>
      </w:r>
      <w:r>
        <w:rPr>
          <w:spacing w:val="-4"/>
          <w:sz w:val="16"/>
        </w:rPr>
        <w:t> </w:t>
      </w:r>
      <w:r>
        <w:rPr>
          <w:sz w:val="16"/>
        </w:rPr>
        <w:t>post</w:t>
      </w:r>
      <w:r>
        <w:rPr>
          <w:spacing w:val="-4"/>
          <w:sz w:val="16"/>
        </w:rPr>
        <w:t> </w:t>
      </w:r>
      <w:r>
        <w:rPr>
          <w:sz w:val="16"/>
        </w:rPr>
        <w:t>is</w:t>
      </w:r>
      <w:r>
        <w:rPr>
          <w:spacing w:val="-4"/>
          <w:sz w:val="16"/>
        </w:rPr>
        <w:t> </w:t>
      </w:r>
      <w:r>
        <w:rPr>
          <w:sz w:val="16"/>
        </w:rPr>
        <w:t>requested</w:t>
      </w:r>
      <w:r>
        <w:rPr>
          <w:spacing w:val="-1"/>
          <w:sz w:val="16"/>
        </w:rPr>
        <w:t> </w:t>
      </w:r>
      <w:r>
        <w:rPr>
          <w:sz w:val="16"/>
        </w:rPr>
        <w:t>for</w:t>
      </w:r>
      <w:r>
        <w:rPr>
          <w:spacing w:val="-4"/>
          <w:sz w:val="16"/>
        </w:rPr>
        <w:t> </w:t>
      </w:r>
      <w:r>
        <w:rPr>
          <w:spacing w:val="-2"/>
          <w:sz w:val="16"/>
        </w:rPr>
        <w:t>conversion.</w:t>
      </w:r>
    </w:p>
    <w:p>
      <w:pPr>
        <w:spacing w:after="0" w:line="183" w:lineRule="exact"/>
        <w:jc w:val="left"/>
        <w:rPr>
          <w:sz w:val="16"/>
        </w:rPr>
        <w:sectPr>
          <w:pgSz w:w="11910" w:h="16840"/>
          <w:pgMar w:header="957" w:footer="940" w:top="1140" w:bottom="1140" w:left="20" w:right="20"/>
        </w:sectPr>
      </w:pPr>
    </w:p>
    <w:p>
      <w:pPr>
        <w:pStyle w:val="BodyText"/>
        <w:spacing w:before="9"/>
        <w:rPr>
          <w:sz w:val="10"/>
        </w:rPr>
      </w:pPr>
    </w:p>
    <w:tbl>
      <w:tblPr>
        <w:tblW w:w="0" w:type="auto"/>
        <w:jc w:val="left"/>
        <w:tblInd w:w="2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09"/>
        <w:gridCol w:w="2286"/>
        <w:gridCol w:w="1002"/>
      </w:tblGrid>
      <w:tr>
        <w:trPr>
          <w:trHeight w:val="273" w:hRule="atLeast"/>
        </w:trPr>
        <w:tc>
          <w:tcPr>
            <w:tcW w:w="4109" w:type="dxa"/>
            <w:tcBorders>
              <w:top w:val="single" w:sz="4" w:space="0" w:color="000000"/>
              <w:bottom w:val="single" w:sz="4" w:space="0" w:color="000000"/>
            </w:tcBorders>
          </w:tcPr>
          <w:p>
            <w:pPr>
              <w:pStyle w:val="TableParagraph"/>
              <w:spacing w:line="229" w:lineRule="exact" w:before="24"/>
              <w:ind w:left="14"/>
              <w:jc w:val="left"/>
              <w:rPr>
                <w:i/>
                <w:sz w:val="20"/>
              </w:rPr>
            </w:pPr>
            <w:r>
              <w:rPr>
                <w:i/>
                <w:spacing w:val="-2"/>
                <w:sz w:val="20"/>
              </w:rPr>
              <w:t>Title</w:t>
            </w:r>
          </w:p>
        </w:tc>
        <w:tc>
          <w:tcPr>
            <w:tcW w:w="2286" w:type="dxa"/>
            <w:tcBorders>
              <w:top w:val="single" w:sz="4" w:space="0" w:color="000000"/>
              <w:bottom w:val="single" w:sz="4" w:space="0" w:color="000000"/>
            </w:tcBorders>
          </w:tcPr>
          <w:p>
            <w:pPr>
              <w:pStyle w:val="TableParagraph"/>
              <w:spacing w:line="229" w:lineRule="exact" w:before="24"/>
              <w:ind w:left="1346"/>
              <w:jc w:val="left"/>
              <w:rPr>
                <w:i/>
                <w:sz w:val="20"/>
              </w:rPr>
            </w:pPr>
            <w:r>
              <w:rPr>
                <w:i/>
                <w:spacing w:val="-2"/>
                <w:sz w:val="20"/>
              </w:rPr>
              <w:t>Grade</w:t>
            </w:r>
          </w:p>
        </w:tc>
        <w:tc>
          <w:tcPr>
            <w:tcW w:w="1002" w:type="dxa"/>
            <w:tcBorders>
              <w:top w:val="single" w:sz="4" w:space="0" w:color="000000"/>
              <w:bottom w:val="single" w:sz="4" w:space="0" w:color="000000"/>
            </w:tcBorders>
          </w:tcPr>
          <w:p>
            <w:pPr>
              <w:pStyle w:val="TableParagraph"/>
              <w:spacing w:line="229" w:lineRule="exact" w:before="24"/>
              <w:rPr>
                <w:i/>
                <w:sz w:val="20"/>
              </w:rPr>
            </w:pPr>
            <w:r>
              <w:rPr>
                <w:i/>
                <w:spacing w:val="-2"/>
                <w:sz w:val="20"/>
              </w:rPr>
              <w:t>Number</w:t>
            </w:r>
          </w:p>
        </w:tc>
      </w:tr>
      <w:tr>
        <w:trPr>
          <w:trHeight w:val="268" w:hRule="atLeast"/>
        </w:trPr>
        <w:tc>
          <w:tcPr>
            <w:tcW w:w="4109" w:type="dxa"/>
            <w:tcBorders>
              <w:top w:val="single" w:sz="4" w:space="0" w:color="000000"/>
              <w:bottom w:val="single" w:sz="4" w:space="0" w:color="000000"/>
            </w:tcBorders>
          </w:tcPr>
          <w:p>
            <w:pPr>
              <w:pStyle w:val="TableParagraph"/>
              <w:spacing w:line="229" w:lineRule="exact" w:before="19"/>
              <w:ind w:left="14"/>
              <w:jc w:val="left"/>
              <w:rPr>
                <w:i/>
                <w:sz w:val="20"/>
              </w:rPr>
            </w:pPr>
            <w:r>
              <w:rPr>
                <w:i/>
                <w:spacing w:val="-2"/>
                <w:sz w:val="20"/>
              </w:rPr>
              <w:t>Investigators</w:t>
            </w:r>
          </w:p>
        </w:tc>
        <w:tc>
          <w:tcPr>
            <w:tcW w:w="2286" w:type="dxa"/>
            <w:tcBorders>
              <w:top w:val="single" w:sz="4" w:space="0" w:color="000000"/>
              <w:bottom w:val="single" w:sz="4" w:space="0" w:color="000000"/>
            </w:tcBorders>
          </w:tcPr>
          <w:p>
            <w:pPr>
              <w:pStyle w:val="TableParagraph"/>
              <w:jc w:val="left"/>
              <w:rPr>
                <w:sz w:val="18"/>
              </w:rPr>
            </w:pPr>
          </w:p>
        </w:tc>
        <w:tc>
          <w:tcPr>
            <w:tcW w:w="1002" w:type="dxa"/>
            <w:tcBorders>
              <w:top w:val="single" w:sz="4" w:space="0" w:color="000000"/>
              <w:bottom w:val="single" w:sz="4" w:space="0" w:color="000000"/>
            </w:tcBorders>
          </w:tcPr>
          <w:p>
            <w:pPr>
              <w:pStyle w:val="TableParagraph"/>
              <w:jc w:val="left"/>
              <w:rPr>
                <w:sz w:val="18"/>
              </w:rPr>
            </w:pPr>
          </w:p>
        </w:tc>
      </w:tr>
      <w:tr>
        <w:trPr>
          <w:trHeight w:val="272" w:hRule="atLeast"/>
        </w:trPr>
        <w:tc>
          <w:tcPr>
            <w:tcW w:w="4109" w:type="dxa"/>
            <w:tcBorders>
              <w:top w:val="single" w:sz="4" w:space="0" w:color="000000"/>
            </w:tcBorders>
          </w:tcPr>
          <w:p>
            <w:pPr>
              <w:pStyle w:val="TableParagraph"/>
              <w:spacing w:before="19"/>
              <w:ind w:left="14"/>
              <w:jc w:val="left"/>
              <w:rPr>
                <w:sz w:val="20"/>
              </w:rPr>
            </w:pPr>
            <w:r>
              <w:rPr>
                <w:sz w:val="20"/>
              </w:rPr>
              <w:t>Team</w:t>
            </w:r>
            <w:r>
              <w:rPr>
                <w:spacing w:val="-2"/>
                <w:sz w:val="20"/>
              </w:rPr>
              <w:t> Leader</w:t>
            </w:r>
          </w:p>
        </w:tc>
        <w:tc>
          <w:tcPr>
            <w:tcW w:w="2286" w:type="dxa"/>
            <w:tcBorders>
              <w:top w:val="single" w:sz="4" w:space="0" w:color="000000"/>
            </w:tcBorders>
          </w:tcPr>
          <w:p>
            <w:pPr>
              <w:pStyle w:val="TableParagraph"/>
              <w:spacing w:before="19"/>
              <w:ind w:left="1346"/>
              <w:jc w:val="left"/>
              <w:rPr>
                <w:sz w:val="20"/>
              </w:rPr>
            </w:pPr>
            <w:r>
              <w:rPr>
                <w:spacing w:val="-2"/>
                <w:sz w:val="20"/>
              </w:rPr>
              <w:t>P-</w:t>
            </w:r>
            <w:r>
              <w:rPr>
                <w:spacing w:val="-10"/>
                <w:sz w:val="20"/>
              </w:rPr>
              <w:t>4</w:t>
            </w:r>
          </w:p>
        </w:tc>
        <w:tc>
          <w:tcPr>
            <w:tcW w:w="1002" w:type="dxa"/>
            <w:tcBorders>
              <w:top w:val="single" w:sz="4" w:space="0" w:color="000000"/>
            </w:tcBorders>
          </w:tcPr>
          <w:p>
            <w:pPr>
              <w:pStyle w:val="TableParagraph"/>
              <w:spacing w:before="19"/>
              <w:ind w:right="6"/>
              <w:rPr>
                <w:sz w:val="20"/>
              </w:rPr>
            </w:pPr>
            <w:r>
              <w:rPr>
                <w:w w:val="100"/>
                <w:sz w:val="20"/>
              </w:rPr>
              <w:t>2</w:t>
            </w:r>
          </w:p>
        </w:tc>
      </w:tr>
      <w:tr>
        <w:trPr>
          <w:trHeight w:val="271" w:hRule="atLeast"/>
        </w:trPr>
        <w:tc>
          <w:tcPr>
            <w:tcW w:w="4109" w:type="dxa"/>
          </w:tcPr>
          <w:p>
            <w:pPr>
              <w:pStyle w:val="TableParagraph"/>
              <w:spacing w:before="15"/>
              <w:ind w:left="14"/>
              <w:jc w:val="left"/>
              <w:rPr>
                <w:sz w:val="20"/>
              </w:rPr>
            </w:pPr>
            <w:r>
              <w:rPr>
                <w:sz w:val="20"/>
              </w:rPr>
              <w:t>Senior</w:t>
            </w:r>
            <w:r>
              <w:rPr>
                <w:spacing w:val="-5"/>
                <w:sz w:val="20"/>
              </w:rPr>
              <w:t> </w:t>
            </w:r>
            <w:r>
              <w:rPr>
                <w:spacing w:val="-2"/>
                <w:sz w:val="20"/>
              </w:rPr>
              <w:t>Investigator</w:t>
            </w:r>
          </w:p>
        </w:tc>
        <w:tc>
          <w:tcPr>
            <w:tcW w:w="2286" w:type="dxa"/>
          </w:tcPr>
          <w:p>
            <w:pPr>
              <w:pStyle w:val="TableParagraph"/>
              <w:spacing w:before="15"/>
              <w:ind w:left="1346"/>
              <w:jc w:val="left"/>
              <w:rPr>
                <w:sz w:val="20"/>
              </w:rPr>
            </w:pPr>
            <w:r>
              <w:rPr>
                <w:spacing w:val="-2"/>
                <w:sz w:val="20"/>
              </w:rPr>
              <w:t>P-</w:t>
            </w:r>
            <w:r>
              <w:rPr>
                <w:spacing w:val="-10"/>
                <w:sz w:val="20"/>
              </w:rPr>
              <w:t>4</w:t>
            </w:r>
          </w:p>
        </w:tc>
        <w:tc>
          <w:tcPr>
            <w:tcW w:w="1002" w:type="dxa"/>
          </w:tcPr>
          <w:p>
            <w:pPr>
              <w:pStyle w:val="TableParagraph"/>
              <w:spacing w:before="15"/>
              <w:ind w:right="6"/>
              <w:rPr>
                <w:sz w:val="20"/>
              </w:rPr>
            </w:pPr>
            <w:r>
              <w:rPr>
                <w:w w:val="100"/>
                <w:sz w:val="20"/>
              </w:rPr>
              <w:t>3</w:t>
            </w:r>
          </w:p>
        </w:tc>
      </w:tr>
      <w:tr>
        <w:trPr>
          <w:trHeight w:val="271" w:hRule="atLeast"/>
        </w:trPr>
        <w:tc>
          <w:tcPr>
            <w:tcW w:w="4109" w:type="dxa"/>
          </w:tcPr>
          <w:p>
            <w:pPr>
              <w:pStyle w:val="TableParagraph"/>
              <w:spacing w:before="18"/>
              <w:ind w:left="14"/>
              <w:jc w:val="left"/>
              <w:rPr>
                <w:sz w:val="20"/>
              </w:rPr>
            </w:pPr>
            <w:r>
              <w:rPr>
                <w:spacing w:val="-2"/>
                <w:sz w:val="20"/>
              </w:rPr>
              <w:t>Investigator</w:t>
            </w:r>
          </w:p>
        </w:tc>
        <w:tc>
          <w:tcPr>
            <w:tcW w:w="2286" w:type="dxa"/>
          </w:tcPr>
          <w:p>
            <w:pPr>
              <w:pStyle w:val="TableParagraph"/>
              <w:spacing w:before="18"/>
              <w:ind w:left="1346"/>
              <w:jc w:val="left"/>
              <w:rPr>
                <w:sz w:val="20"/>
              </w:rPr>
            </w:pPr>
            <w:r>
              <w:rPr>
                <w:spacing w:val="-2"/>
                <w:sz w:val="20"/>
              </w:rPr>
              <w:t>P-</w:t>
            </w:r>
            <w:r>
              <w:rPr>
                <w:spacing w:val="-10"/>
                <w:sz w:val="20"/>
              </w:rPr>
              <w:t>3</w:t>
            </w:r>
          </w:p>
        </w:tc>
        <w:tc>
          <w:tcPr>
            <w:tcW w:w="1002" w:type="dxa"/>
          </w:tcPr>
          <w:p>
            <w:pPr>
              <w:pStyle w:val="TableParagraph"/>
              <w:spacing w:before="18"/>
              <w:ind w:right="6"/>
              <w:rPr>
                <w:sz w:val="20"/>
              </w:rPr>
            </w:pPr>
            <w:r>
              <w:rPr>
                <w:spacing w:val="-5"/>
                <w:sz w:val="20"/>
              </w:rPr>
              <w:t>15</w:t>
            </w:r>
          </w:p>
        </w:tc>
      </w:tr>
      <w:tr>
        <w:trPr>
          <w:trHeight w:val="264" w:hRule="atLeast"/>
        </w:trPr>
        <w:tc>
          <w:tcPr>
            <w:tcW w:w="4109" w:type="dxa"/>
            <w:tcBorders>
              <w:bottom w:val="single" w:sz="4" w:space="0" w:color="000000"/>
            </w:tcBorders>
          </w:tcPr>
          <w:p>
            <w:pPr>
              <w:pStyle w:val="TableParagraph"/>
              <w:spacing w:line="229" w:lineRule="exact" w:before="16"/>
              <w:ind w:left="14"/>
              <w:jc w:val="left"/>
              <w:rPr>
                <w:sz w:val="20"/>
              </w:rPr>
            </w:pPr>
            <w:r>
              <w:rPr>
                <w:sz w:val="20"/>
              </w:rPr>
              <w:t>Associate</w:t>
            </w:r>
            <w:r>
              <w:rPr>
                <w:spacing w:val="-7"/>
                <w:sz w:val="20"/>
              </w:rPr>
              <w:t> </w:t>
            </w:r>
            <w:r>
              <w:rPr>
                <w:spacing w:val="-2"/>
                <w:sz w:val="20"/>
              </w:rPr>
              <w:t>Investigator</w:t>
            </w:r>
          </w:p>
        </w:tc>
        <w:tc>
          <w:tcPr>
            <w:tcW w:w="2286" w:type="dxa"/>
            <w:tcBorders>
              <w:bottom w:val="single" w:sz="4" w:space="0" w:color="000000"/>
            </w:tcBorders>
          </w:tcPr>
          <w:p>
            <w:pPr>
              <w:pStyle w:val="TableParagraph"/>
              <w:spacing w:line="229" w:lineRule="exact" w:before="16"/>
              <w:ind w:left="1346"/>
              <w:jc w:val="left"/>
              <w:rPr>
                <w:sz w:val="20"/>
              </w:rPr>
            </w:pPr>
            <w:r>
              <w:rPr>
                <w:spacing w:val="-2"/>
                <w:sz w:val="20"/>
              </w:rPr>
              <w:t>P-</w:t>
            </w:r>
            <w:r>
              <w:rPr>
                <w:spacing w:val="-10"/>
                <w:sz w:val="20"/>
              </w:rPr>
              <w:t>2</w:t>
            </w:r>
          </w:p>
        </w:tc>
        <w:tc>
          <w:tcPr>
            <w:tcW w:w="1002" w:type="dxa"/>
            <w:tcBorders>
              <w:bottom w:val="single" w:sz="4" w:space="0" w:color="000000"/>
            </w:tcBorders>
          </w:tcPr>
          <w:p>
            <w:pPr>
              <w:pStyle w:val="TableParagraph"/>
              <w:spacing w:line="229" w:lineRule="exact" w:before="16"/>
              <w:ind w:right="6"/>
              <w:rPr>
                <w:sz w:val="20"/>
              </w:rPr>
            </w:pPr>
            <w:r>
              <w:rPr>
                <w:spacing w:val="-5"/>
                <w:sz w:val="20"/>
              </w:rPr>
              <w:t>10</w:t>
            </w:r>
          </w:p>
        </w:tc>
      </w:tr>
      <w:tr>
        <w:trPr>
          <w:trHeight w:val="273" w:hRule="atLeast"/>
        </w:trPr>
        <w:tc>
          <w:tcPr>
            <w:tcW w:w="4109" w:type="dxa"/>
            <w:tcBorders>
              <w:top w:val="single" w:sz="4" w:space="0" w:color="000000"/>
              <w:bottom w:val="single" w:sz="4" w:space="0" w:color="000000"/>
            </w:tcBorders>
          </w:tcPr>
          <w:p>
            <w:pPr>
              <w:pStyle w:val="TableParagraph"/>
              <w:jc w:val="left"/>
              <w:rPr>
                <w:sz w:val="18"/>
              </w:rPr>
            </w:pPr>
          </w:p>
        </w:tc>
        <w:tc>
          <w:tcPr>
            <w:tcW w:w="2286" w:type="dxa"/>
            <w:tcBorders>
              <w:top w:val="single" w:sz="4" w:space="0" w:color="000000"/>
              <w:bottom w:val="single" w:sz="4" w:space="0" w:color="000000"/>
            </w:tcBorders>
          </w:tcPr>
          <w:p>
            <w:pPr>
              <w:pStyle w:val="TableParagraph"/>
              <w:jc w:val="left"/>
              <w:rPr>
                <w:sz w:val="18"/>
              </w:rPr>
            </w:pPr>
          </w:p>
        </w:tc>
        <w:tc>
          <w:tcPr>
            <w:tcW w:w="1002" w:type="dxa"/>
            <w:tcBorders>
              <w:top w:val="single" w:sz="4" w:space="0" w:color="000000"/>
              <w:bottom w:val="single" w:sz="4" w:space="0" w:color="000000"/>
            </w:tcBorders>
          </w:tcPr>
          <w:p>
            <w:pPr>
              <w:pStyle w:val="TableParagraph"/>
              <w:spacing w:before="19"/>
              <w:ind w:right="6"/>
              <w:rPr>
                <w:b/>
                <w:sz w:val="20"/>
              </w:rPr>
            </w:pPr>
            <w:r>
              <w:rPr>
                <w:b/>
                <w:spacing w:val="-5"/>
                <w:sz w:val="20"/>
              </w:rPr>
              <w:t>30</w:t>
            </w:r>
          </w:p>
        </w:tc>
      </w:tr>
      <w:tr>
        <w:trPr>
          <w:trHeight w:val="268" w:hRule="atLeast"/>
        </w:trPr>
        <w:tc>
          <w:tcPr>
            <w:tcW w:w="4109" w:type="dxa"/>
            <w:tcBorders>
              <w:top w:val="single" w:sz="4" w:space="0" w:color="000000"/>
              <w:bottom w:val="single" w:sz="4" w:space="0" w:color="000000"/>
            </w:tcBorders>
          </w:tcPr>
          <w:p>
            <w:pPr>
              <w:pStyle w:val="TableParagraph"/>
              <w:spacing w:line="229" w:lineRule="exact" w:before="19"/>
              <w:ind w:left="14"/>
              <w:jc w:val="left"/>
              <w:rPr>
                <w:i/>
                <w:sz w:val="20"/>
              </w:rPr>
            </w:pPr>
            <w:r>
              <w:rPr>
                <w:i/>
                <w:spacing w:val="-2"/>
                <w:sz w:val="20"/>
              </w:rPr>
              <w:t>Lawyers</w:t>
            </w:r>
          </w:p>
        </w:tc>
        <w:tc>
          <w:tcPr>
            <w:tcW w:w="2286" w:type="dxa"/>
            <w:tcBorders>
              <w:top w:val="single" w:sz="4" w:space="0" w:color="000000"/>
              <w:bottom w:val="single" w:sz="4" w:space="0" w:color="000000"/>
            </w:tcBorders>
          </w:tcPr>
          <w:p>
            <w:pPr>
              <w:pStyle w:val="TableParagraph"/>
              <w:jc w:val="left"/>
              <w:rPr>
                <w:sz w:val="18"/>
              </w:rPr>
            </w:pPr>
          </w:p>
        </w:tc>
        <w:tc>
          <w:tcPr>
            <w:tcW w:w="1002" w:type="dxa"/>
            <w:tcBorders>
              <w:top w:val="single" w:sz="4" w:space="0" w:color="000000"/>
              <w:bottom w:val="single" w:sz="4" w:space="0" w:color="000000"/>
            </w:tcBorders>
          </w:tcPr>
          <w:p>
            <w:pPr>
              <w:pStyle w:val="TableParagraph"/>
              <w:jc w:val="left"/>
              <w:rPr>
                <w:sz w:val="18"/>
              </w:rPr>
            </w:pPr>
          </w:p>
        </w:tc>
      </w:tr>
      <w:tr>
        <w:trPr>
          <w:trHeight w:val="272" w:hRule="atLeast"/>
        </w:trPr>
        <w:tc>
          <w:tcPr>
            <w:tcW w:w="4109" w:type="dxa"/>
            <w:tcBorders>
              <w:top w:val="single" w:sz="4" w:space="0" w:color="000000"/>
            </w:tcBorders>
          </w:tcPr>
          <w:p>
            <w:pPr>
              <w:pStyle w:val="TableParagraph"/>
              <w:spacing w:before="19"/>
              <w:ind w:left="14"/>
              <w:jc w:val="left"/>
              <w:rPr>
                <w:sz w:val="20"/>
              </w:rPr>
            </w:pPr>
            <w:r>
              <w:rPr>
                <w:sz w:val="20"/>
              </w:rPr>
              <w:t>Principal</w:t>
            </w:r>
            <w:r>
              <w:rPr>
                <w:spacing w:val="-6"/>
                <w:sz w:val="20"/>
              </w:rPr>
              <w:t> </w:t>
            </w:r>
            <w:r>
              <w:rPr>
                <w:sz w:val="20"/>
              </w:rPr>
              <w:t>Trial</w:t>
            </w:r>
            <w:r>
              <w:rPr>
                <w:spacing w:val="-6"/>
                <w:sz w:val="20"/>
              </w:rPr>
              <w:t> </w:t>
            </w:r>
            <w:r>
              <w:rPr>
                <w:spacing w:val="-2"/>
                <w:sz w:val="20"/>
              </w:rPr>
              <w:t>Lawyer</w:t>
            </w:r>
            <w:r>
              <w:rPr>
                <w:spacing w:val="-2"/>
                <w:sz w:val="20"/>
                <w:vertAlign w:val="superscript"/>
              </w:rPr>
              <w:t>79</w:t>
            </w:r>
          </w:p>
        </w:tc>
        <w:tc>
          <w:tcPr>
            <w:tcW w:w="2286" w:type="dxa"/>
            <w:tcBorders>
              <w:top w:val="single" w:sz="4" w:space="0" w:color="000000"/>
            </w:tcBorders>
          </w:tcPr>
          <w:p>
            <w:pPr>
              <w:pStyle w:val="TableParagraph"/>
              <w:spacing w:before="19"/>
              <w:ind w:left="1346"/>
              <w:jc w:val="left"/>
              <w:rPr>
                <w:sz w:val="20"/>
              </w:rPr>
            </w:pPr>
            <w:r>
              <w:rPr>
                <w:spacing w:val="-2"/>
                <w:sz w:val="20"/>
              </w:rPr>
              <w:t>D-</w:t>
            </w:r>
            <w:r>
              <w:rPr>
                <w:spacing w:val="-10"/>
                <w:sz w:val="20"/>
              </w:rPr>
              <w:t>1</w:t>
            </w:r>
          </w:p>
        </w:tc>
        <w:tc>
          <w:tcPr>
            <w:tcW w:w="1002" w:type="dxa"/>
            <w:tcBorders>
              <w:top w:val="single" w:sz="4" w:space="0" w:color="000000"/>
            </w:tcBorders>
          </w:tcPr>
          <w:p>
            <w:pPr>
              <w:pStyle w:val="TableParagraph"/>
              <w:spacing w:before="19"/>
              <w:ind w:right="6"/>
              <w:rPr>
                <w:sz w:val="20"/>
              </w:rPr>
            </w:pPr>
            <w:r>
              <w:rPr>
                <w:w w:val="100"/>
                <w:sz w:val="20"/>
              </w:rPr>
              <w:t>1</w:t>
            </w:r>
          </w:p>
        </w:tc>
      </w:tr>
      <w:tr>
        <w:trPr>
          <w:trHeight w:val="268" w:hRule="atLeast"/>
        </w:trPr>
        <w:tc>
          <w:tcPr>
            <w:tcW w:w="4109" w:type="dxa"/>
          </w:tcPr>
          <w:p>
            <w:pPr>
              <w:pStyle w:val="TableParagraph"/>
              <w:spacing w:before="15"/>
              <w:ind w:left="14"/>
              <w:jc w:val="left"/>
              <w:rPr>
                <w:sz w:val="20"/>
              </w:rPr>
            </w:pPr>
            <w:r>
              <w:rPr>
                <w:sz w:val="20"/>
              </w:rPr>
              <w:t>Senior</w:t>
            </w:r>
            <w:r>
              <w:rPr>
                <w:spacing w:val="-6"/>
                <w:sz w:val="20"/>
              </w:rPr>
              <w:t> </w:t>
            </w:r>
            <w:r>
              <w:rPr>
                <w:sz w:val="20"/>
              </w:rPr>
              <w:t>Trial</w:t>
            </w:r>
            <w:r>
              <w:rPr>
                <w:spacing w:val="-3"/>
                <w:sz w:val="20"/>
              </w:rPr>
              <w:t> </w:t>
            </w:r>
            <w:r>
              <w:rPr>
                <w:spacing w:val="-2"/>
                <w:sz w:val="20"/>
              </w:rPr>
              <w:t>Lawyer</w:t>
            </w:r>
          </w:p>
        </w:tc>
        <w:tc>
          <w:tcPr>
            <w:tcW w:w="2286" w:type="dxa"/>
          </w:tcPr>
          <w:p>
            <w:pPr>
              <w:pStyle w:val="TableParagraph"/>
              <w:spacing w:before="15"/>
              <w:ind w:left="1346"/>
              <w:jc w:val="left"/>
              <w:rPr>
                <w:sz w:val="20"/>
              </w:rPr>
            </w:pPr>
            <w:r>
              <w:rPr>
                <w:spacing w:val="-2"/>
                <w:sz w:val="20"/>
              </w:rPr>
              <w:t>P-</w:t>
            </w:r>
            <w:r>
              <w:rPr>
                <w:spacing w:val="-10"/>
                <w:sz w:val="20"/>
              </w:rPr>
              <w:t>5</w:t>
            </w:r>
          </w:p>
        </w:tc>
        <w:tc>
          <w:tcPr>
            <w:tcW w:w="1002" w:type="dxa"/>
          </w:tcPr>
          <w:p>
            <w:pPr>
              <w:pStyle w:val="TableParagraph"/>
              <w:spacing w:before="15"/>
              <w:ind w:right="6"/>
              <w:rPr>
                <w:sz w:val="20"/>
              </w:rPr>
            </w:pPr>
            <w:r>
              <w:rPr>
                <w:w w:val="100"/>
                <w:sz w:val="20"/>
              </w:rPr>
              <w:t>3</w:t>
            </w:r>
          </w:p>
        </w:tc>
      </w:tr>
      <w:tr>
        <w:trPr>
          <w:trHeight w:val="271" w:hRule="atLeast"/>
        </w:trPr>
        <w:tc>
          <w:tcPr>
            <w:tcW w:w="4109" w:type="dxa"/>
          </w:tcPr>
          <w:p>
            <w:pPr>
              <w:pStyle w:val="TableParagraph"/>
              <w:spacing w:before="15"/>
              <w:ind w:left="14"/>
              <w:jc w:val="left"/>
              <w:rPr>
                <w:sz w:val="20"/>
              </w:rPr>
            </w:pPr>
            <w:r>
              <w:rPr>
                <w:sz w:val="20"/>
              </w:rPr>
              <w:t>Trial</w:t>
            </w:r>
            <w:r>
              <w:rPr>
                <w:spacing w:val="-5"/>
                <w:sz w:val="20"/>
              </w:rPr>
              <w:t> </w:t>
            </w:r>
            <w:r>
              <w:rPr>
                <w:spacing w:val="-2"/>
                <w:sz w:val="20"/>
              </w:rPr>
              <w:t>Lawyer</w:t>
            </w:r>
          </w:p>
        </w:tc>
        <w:tc>
          <w:tcPr>
            <w:tcW w:w="2286" w:type="dxa"/>
          </w:tcPr>
          <w:p>
            <w:pPr>
              <w:pStyle w:val="TableParagraph"/>
              <w:spacing w:before="15"/>
              <w:ind w:left="1346"/>
              <w:jc w:val="left"/>
              <w:rPr>
                <w:sz w:val="20"/>
              </w:rPr>
            </w:pPr>
            <w:r>
              <w:rPr>
                <w:spacing w:val="-2"/>
                <w:sz w:val="20"/>
              </w:rPr>
              <w:t>P-</w:t>
            </w:r>
            <w:r>
              <w:rPr>
                <w:spacing w:val="-10"/>
                <w:sz w:val="20"/>
              </w:rPr>
              <w:t>4</w:t>
            </w:r>
          </w:p>
        </w:tc>
        <w:tc>
          <w:tcPr>
            <w:tcW w:w="1002" w:type="dxa"/>
          </w:tcPr>
          <w:p>
            <w:pPr>
              <w:pStyle w:val="TableParagraph"/>
              <w:spacing w:before="15"/>
              <w:ind w:right="6"/>
              <w:rPr>
                <w:sz w:val="20"/>
              </w:rPr>
            </w:pPr>
            <w:r>
              <w:rPr>
                <w:w w:val="100"/>
                <w:sz w:val="20"/>
              </w:rPr>
              <w:t>4</w:t>
            </w:r>
          </w:p>
        </w:tc>
      </w:tr>
      <w:tr>
        <w:trPr>
          <w:trHeight w:val="271" w:hRule="atLeast"/>
        </w:trPr>
        <w:tc>
          <w:tcPr>
            <w:tcW w:w="4109" w:type="dxa"/>
          </w:tcPr>
          <w:p>
            <w:pPr>
              <w:pStyle w:val="TableParagraph"/>
              <w:spacing w:before="18"/>
              <w:ind w:left="14"/>
              <w:jc w:val="left"/>
              <w:rPr>
                <w:sz w:val="20"/>
              </w:rPr>
            </w:pPr>
            <w:r>
              <w:rPr>
                <w:sz w:val="20"/>
              </w:rPr>
              <w:t>Trial</w:t>
            </w:r>
            <w:r>
              <w:rPr>
                <w:spacing w:val="-5"/>
                <w:sz w:val="20"/>
              </w:rPr>
              <w:t> </w:t>
            </w:r>
            <w:r>
              <w:rPr>
                <w:spacing w:val="-2"/>
                <w:sz w:val="20"/>
              </w:rPr>
              <w:t>Lawyer</w:t>
            </w:r>
          </w:p>
        </w:tc>
        <w:tc>
          <w:tcPr>
            <w:tcW w:w="2286" w:type="dxa"/>
          </w:tcPr>
          <w:p>
            <w:pPr>
              <w:pStyle w:val="TableParagraph"/>
              <w:spacing w:before="18"/>
              <w:ind w:left="1346"/>
              <w:jc w:val="left"/>
              <w:rPr>
                <w:sz w:val="20"/>
              </w:rPr>
            </w:pPr>
            <w:r>
              <w:rPr>
                <w:spacing w:val="-2"/>
                <w:sz w:val="20"/>
              </w:rPr>
              <w:t>P-</w:t>
            </w:r>
            <w:r>
              <w:rPr>
                <w:spacing w:val="-10"/>
                <w:sz w:val="20"/>
              </w:rPr>
              <w:t>3</w:t>
            </w:r>
          </w:p>
        </w:tc>
        <w:tc>
          <w:tcPr>
            <w:tcW w:w="1002" w:type="dxa"/>
          </w:tcPr>
          <w:p>
            <w:pPr>
              <w:pStyle w:val="TableParagraph"/>
              <w:spacing w:before="18"/>
              <w:ind w:right="6"/>
              <w:rPr>
                <w:sz w:val="20"/>
              </w:rPr>
            </w:pPr>
            <w:r>
              <w:rPr>
                <w:w w:val="100"/>
                <w:sz w:val="20"/>
              </w:rPr>
              <w:t>6</w:t>
            </w:r>
          </w:p>
        </w:tc>
      </w:tr>
      <w:tr>
        <w:trPr>
          <w:trHeight w:val="268" w:hRule="atLeast"/>
        </w:trPr>
        <w:tc>
          <w:tcPr>
            <w:tcW w:w="4109" w:type="dxa"/>
          </w:tcPr>
          <w:p>
            <w:pPr>
              <w:pStyle w:val="TableParagraph"/>
              <w:spacing w:before="15"/>
              <w:ind w:left="14"/>
              <w:jc w:val="left"/>
              <w:rPr>
                <w:sz w:val="20"/>
              </w:rPr>
            </w:pPr>
            <w:r>
              <w:rPr>
                <w:sz w:val="20"/>
              </w:rPr>
              <w:t>Legal</w:t>
            </w:r>
            <w:r>
              <w:rPr>
                <w:spacing w:val="-5"/>
                <w:sz w:val="20"/>
              </w:rPr>
              <w:t> </w:t>
            </w:r>
            <w:r>
              <w:rPr>
                <w:spacing w:val="-2"/>
                <w:sz w:val="20"/>
              </w:rPr>
              <w:t>Officer</w:t>
            </w:r>
          </w:p>
        </w:tc>
        <w:tc>
          <w:tcPr>
            <w:tcW w:w="2286" w:type="dxa"/>
          </w:tcPr>
          <w:p>
            <w:pPr>
              <w:pStyle w:val="TableParagraph"/>
              <w:spacing w:before="15"/>
              <w:ind w:left="1346"/>
              <w:jc w:val="left"/>
              <w:rPr>
                <w:sz w:val="20"/>
              </w:rPr>
            </w:pPr>
            <w:r>
              <w:rPr>
                <w:spacing w:val="-2"/>
                <w:sz w:val="20"/>
              </w:rPr>
              <w:t>P-</w:t>
            </w:r>
            <w:r>
              <w:rPr>
                <w:spacing w:val="-10"/>
                <w:sz w:val="20"/>
              </w:rPr>
              <w:t>3</w:t>
            </w:r>
          </w:p>
        </w:tc>
        <w:tc>
          <w:tcPr>
            <w:tcW w:w="1002" w:type="dxa"/>
          </w:tcPr>
          <w:p>
            <w:pPr>
              <w:pStyle w:val="TableParagraph"/>
              <w:spacing w:before="15"/>
              <w:ind w:right="6"/>
              <w:rPr>
                <w:sz w:val="20"/>
              </w:rPr>
            </w:pPr>
            <w:r>
              <w:rPr>
                <w:w w:val="100"/>
                <w:sz w:val="20"/>
              </w:rPr>
              <w:t>1</w:t>
            </w:r>
          </w:p>
        </w:tc>
      </w:tr>
      <w:tr>
        <w:trPr>
          <w:trHeight w:val="268" w:hRule="atLeast"/>
        </w:trPr>
        <w:tc>
          <w:tcPr>
            <w:tcW w:w="4109" w:type="dxa"/>
          </w:tcPr>
          <w:p>
            <w:pPr>
              <w:pStyle w:val="TableParagraph"/>
              <w:spacing w:before="15"/>
              <w:ind w:left="14"/>
              <w:jc w:val="left"/>
              <w:rPr>
                <w:sz w:val="20"/>
              </w:rPr>
            </w:pPr>
            <w:r>
              <w:rPr>
                <w:sz w:val="20"/>
              </w:rPr>
              <w:t>Associate</w:t>
            </w:r>
            <w:r>
              <w:rPr>
                <w:spacing w:val="-7"/>
                <w:sz w:val="20"/>
              </w:rPr>
              <w:t> </w:t>
            </w:r>
            <w:r>
              <w:rPr>
                <w:sz w:val="20"/>
              </w:rPr>
              <w:t>Trial</w:t>
            </w:r>
            <w:r>
              <w:rPr>
                <w:spacing w:val="-7"/>
                <w:sz w:val="20"/>
              </w:rPr>
              <w:t> </w:t>
            </w:r>
            <w:r>
              <w:rPr>
                <w:spacing w:val="-2"/>
                <w:sz w:val="20"/>
              </w:rPr>
              <w:t>Lawyer</w:t>
            </w:r>
          </w:p>
        </w:tc>
        <w:tc>
          <w:tcPr>
            <w:tcW w:w="2286" w:type="dxa"/>
          </w:tcPr>
          <w:p>
            <w:pPr>
              <w:pStyle w:val="TableParagraph"/>
              <w:spacing w:before="15"/>
              <w:ind w:left="1346"/>
              <w:jc w:val="left"/>
              <w:rPr>
                <w:sz w:val="20"/>
              </w:rPr>
            </w:pPr>
            <w:r>
              <w:rPr>
                <w:spacing w:val="-2"/>
                <w:sz w:val="20"/>
              </w:rPr>
              <w:t>P-</w:t>
            </w:r>
            <w:r>
              <w:rPr>
                <w:spacing w:val="-10"/>
                <w:sz w:val="20"/>
              </w:rPr>
              <w:t>2</w:t>
            </w:r>
          </w:p>
        </w:tc>
        <w:tc>
          <w:tcPr>
            <w:tcW w:w="1002" w:type="dxa"/>
          </w:tcPr>
          <w:p>
            <w:pPr>
              <w:pStyle w:val="TableParagraph"/>
              <w:spacing w:before="15"/>
              <w:ind w:right="6"/>
              <w:rPr>
                <w:sz w:val="20"/>
              </w:rPr>
            </w:pPr>
            <w:r>
              <w:rPr>
                <w:w w:val="100"/>
                <w:sz w:val="20"/>
              </w:rPr>
              <w:t>6</w:t>
            </w:r>
          </w:p>
        </w:tc>
      </w:tr>
      <w:tr>
        <w:trPr>
          <w:trHeight w:val="271" w:hRule="atLeast"/>
        </w:trPr>
        <w:tc>
          <w:tcPr>
            <w:tcW w:w="4109" w:type="dxa"/>
          </w:tcPr>
          <w:p>
            <w:pPr>
              <w:pStyle w:val="TableParagraph"/>
              <w:spacing w:before="15"/>
              <w:ind w:left="14"/>
              <w:jc w:val="left"/>
              <w:rPr>
                <w:sz w:val="20"/>
              </w:rPr>
            </w:pPr>
            <w:r>
              <w:rPr>
                <w:sz w:val="20"/>
              </w:rPr>
              <w:t>Assistant</w:t>
            </w:r>
            <w:r>
              <w:rPr>
                <w:spacing w:val="-7"/>
                <w:sz w:val="20"/>
              </w:rPr>
              <w:t> </w:t>
            </w:r>
            <w:r>
              <w:rPr>
                <w:sz w:val="20"/>
              </w:rPr>
              <w:t>Legal</w:t>
            </w:r>
            <w:r>
              <w:rPr>
                <w:spacing w:val="-7"/>
                <w:sz w:val="20"/>
              </w:rPr>
              <w:t> </w:t>
            </w:r>
            <w:r>
              <w:rPr>
                <w:spacing w:val="-2"/>
                <w:sz w:val="20"/>
              </w:rPr>
              <w:t>Officer</w:t>
            </w:r>
          </w:p>
        </w:tc>
        <w:tc>
          <w:tcPr>
            <w:tcW w:w="2286" w:type="dxa"/>
          </w:tcPr>
          <w:p>
            <w:pPr>
              <w:pStyle w:val="TableParagraph"/>
              <w:spacing w:before="15"/>
              <w:ind w:left="1346"/>
              <w:jc w:val="left"/>
              <w:rPr>
                <w:sz w:val="20"/>
              </w:rPr>
            </w:pPr>
            <w:r>
              <w:rPr>
                <w:spacing w:val="-2"/>
                <w:sz w:val="20"/>
              </w:rPr>
              <w:t>P-</w:t>
            </w:r>
            <w:r>
              <w:rPr>
                <w:spacing w:val="-10"/>
                <w:sz w:val="20"/>
              </w:rPr>
              <w:t>1</w:t>
            </w:r>
          </w:p>
        </w:tc>
        <w:tc>
          <w:tcPr>
            <w:tcW w:w="1002" w:type="dxa"/>
          </w:tcPr>
          <w:p>
            <w:pPr>
              <w:pStyle w:val="TableParagraph"/>
              <w:spacing w:before="15"/>
              <w:ind w:right="6"/>
              <w:rPr>
                <w:sz w:val="20"/>
              </w:rPr>
            </w:pPr>
            <w:r>
              <w:rPr>
                <w:w w:val="100"/>
                <w:sz w:val="20"/>
              </w:rPr>
              <w:t>3</w:t>
            </w:r>
          </w:p>
        </w:tc>
      </w:tr>
      <w:tr>
        <w:trPr>
          <w:trHeight w:val="271" w:hRule="atLeast"/>
        </w:trPr>
        <w:tc>
          <w:tcPr>
            <w:tcW w:w="4109" w:type="dxa"/>
          </w:tcPr>
          <w:p>
            <w:pPr>
              <w:pStyle w:val="TableParagraph"/>
              <w:spacing w:before="18"/>
              <w:ind w:left="14"/>
              <w:jc w:val="left"/>
              <w:rPr>
                <w:sz w:val="20"/>
              </w:rPr>
            </w:pPr>
            <w:r>
              <w:rPr>
                <w:sz w:val="20"/>
              </w:rPr>
              <w:t>Case</w:t>
            </w:r>
            <w:r>
              <w:rPr>
                <w:spacing w:val="-4"/>
                <w:sz w:val="20"/>
              </w:rPr>
              <w:t> </w:t>
            </w:r>
            <w:r>
              <w:rPr>
                <w:spacing w:val="-2"/>
                <w:sz w:val="20"/>
              </w:rPr>
              <w:t>Manager</w:t>
            </w:r>
          </w:p>
        </w:tc>
        <w:tc>
          <w:tcPr>
            <w:tcW w:w="2286" w:type="dxa"/>
          </w:tcPr>
          <w:p>
            <w:pPr>
              <w:pStyle w:val="TableParagraph"/>
              <w:spacing w:before="18"/>
              <w:ind w:left="1346"/>
              <w:jc w:val="left"/>
              <w:rPr>
                <w:sz w:val="20"/>
              </w:rPr>
            </w:pPr>
            <w:r>
              <w:rPr>
                <w:spacing w:val="-2"/>
                <w:sz w:val="20"/>
              </w:rPr>
              <w:t>P-</w:t>
            </w:r>
            <w:r>
              <w:rPr>
                <w:spacing w:val="-10"/>
                <w:sz w:val="20"/>
              </w:rPr>
              <w:t>1</w:t>
            </w:r>
          </w:p>
        </w:tc>
        <w:tc>
          <w:tcPr>
            <w:tcW w:w="1002" w:type="dxa"/>
          </w:tcPr>
          <w:p>
            <w:pPr>
              <w:pStyle w:val="TableParagraph"/>
              <w:spacing w:before="18"/>
              <w:ind w:right="6"/>
              <w:rPr>
                <w:sz w:val="20"/>
              </w:rPr>
            </w:pPr>
            <w:r>
              <w:rPr>
                <w:w w:val="100"/>
                <w:sz w:val="20"/>
              </w:rPr>
              <w:t>4</w:t>
            </w:r>
          </w:p>
        </w:tc>
      </w:tr>
      <w:tr>
        <w:trPr>
          <w:trHeight w:val="264" w:hRule="atLeast"/>
        </w:trPr>
        <w:tc>
          <w:tcPr>
            <w:tcW w:w="4109" w:type="dxa"/>
            <w:tcBorders>
              <w:bottom w:val="single" w:sz="4" w:space="0" w:color="000000"/>
            </w:tcBorders>
          </w:tcPr>
          <w:p>
            <w:pPr>
              <w:pStyle w:val="TableParagraph"/>
              <w:spacing w:line="229" w:lineRule="exact" w:before="15"/>
              <w:ind w:left="14"/>
              <w:jc w:val="left"/>
              <w:rPr>
                <w:sz w:val="20"/>
              </w:rPr>
            </w:pPr>
            <w:r>
              <w:rPr>
                <w:sz w:val="20"/>
              </w:rPr>
              <w:t>Trial</w:t>
            </w:r>
            <w:r>
              <w:rPr>
                <w:spacing w:val="-6"/>
                <w:sz w:val="20"/>
              </w:rPr>
              <w:t> </w:t>
            </w:r>
            <w:r>
              <w:rPr>
                <w:sz w:val="20"/>
              </w:rPr>
              <w:t>Support </w:t>
            </w:r>
            <w:r>
              <w:rPr>
                <w:spacing w:val="-2"/>
                <w:sz w:val="20"/>
              </w:rPr>
              <w:t>Assistant</w:t>
            </w:r>
          </w:p>
        </w:tc>
        <w:tc>
          <w:tcPr>
            <w:tcW w:w="2286" w:type="dxa"/>
            <w:tcBorders>
              <w:bottom w:val="single" w:sz="4" w:space="0" w:color="000000"/>
            </w:tcBorders>
          </w:tcPr>
          <w:p>
            <w:pPr>
              <w:pStyle w:val="TableParagraph"/>
              <w:spacing w:line="229" w:lineRule="exact" w:before="15"/>
              <w:ind w:left="1346"/>
              <w:jc w:val="left"/>
              <w:rPr>
                <w:sz w:val="20"/>
              </w:rPr>
            </w:pPr>
            <w:r>
              <w:rPr>
                <w:spacing w:val="-2"/>
                <w:sz w:val="20"/>
              </w:rPr>
              <w:t>GS-</w:t>
            </w:r>
            <w:r>
              <w:rPr>
                <w:spacing w:val="-7"/>
                <w:sz w:val="20"/>
              </w:rPr>
              <w:t>OL</w:t>
            </w:r>
          </w:p>
        </w:tc>
        <w:tc>
          <w:tcPr>
            <w:tcW w:w="1002" w:type="dxa"/>
            <w:tcBorders>
              <w:bottom w:val="single" w:sz="4" w:space="0" w:color="000000"/>
            </w:tcBorders>
          </w:tcPr>
          <w:p>
            <w:pPr>
              <w:pStyle w:val="TableParagraph"/>
              <w:spacing w:line="229" w:lineRule="exact" w:before="15"/>
              <w:ind w:right="6"/>
              <w:rPr>
                <w:sz w:val="20"/>
              </w:rPr>
            </w:pPr>
            <w:r>
              <w:rPr>
                <w:w w:val="100"/>
                <w:sz w:val="20"/>
              </w:rPr>
              <w:t>2</w:t>
            </w:r>
          </w:p>
        </w:tc>
      </w:tr>
      <w:tr>
        <w:trPr>
          <w:trHeight w:val="269" w:hRule="atLeast"/>
        </w:trPr>
        <w:tc>
          <w:tcPr>
            <w:tcW w:w="4109" w:type="dxa"/>
            <w:tcBorders>
              <w:top w:val="single" w:sz="4" w:space="0" w:color="000000"/>
              <w:bottom w:val="single" w:sz="4" w:space="0" w:color="000000"/>
            </w:tcBorders>
          </w:tcPr>
          <w:p>
            <w:pPr>
              <w:pStyle w:val="TableParagraph"/>
              <w:jc w:val="left"/>
              <w:rPr>
                <w:sz w:val="18"/>
              </w:rPr>
            </w:pPr>
          </w:p>
        </w:tc>
        <w:tc>
          <w:tcPr>
            <w:tcW w:w="2286" w:type="dxa"/>
            <w:tcBorders>
              <w:top w:val="single" w:sz="4" w:space="0" w:color="000000"/>
              <w:bottom w:val="single" w:sz="4" w:space="0" w:color="000000"/>
            </w:tcBorders>
          </w:tcPr>
          <w:p>
            <w:pPr>
              <w:pStyle w:val="TableParagraph"/>
              <w:jc w:val="left"/>
              <w:rPr>
                <w:sz w:val="18"/>
              </w:rPr>
            </w:pPr>
          </w:p>
        </w:tc>
        <w:tc>
          <w:tcPr>
            <w:tcW w:w="1002" w:type="dxa"/>
            <w:tcBorders>
              <w:top w:val="single" w:sz="4" w:space="0" w:color="000000"/>
              <w:bottom w:val="single" w:sz="4" w:space="0" w:color="000000"/>
            </w:tcBorders>
          </w:tcPr>
          <w:p>
            <w:pPr>
              <w:pStyle w:val="TableParagraph"/>
              <w:spacing w:line="229" w:lineRule="exact" w:before="20"/>
              <w:ind w:right="6"/>
              <w:rPr>
                <w:b/>
                <w:sz w:val="20"/>
              </w:rPr>
            </w:pPr>
            <w:r>
              <w:rPr>
                <w:b/>
                <w:spacing w:val="-5"/>
                <w:sz w:val="20"/>
              </w:rPr>
              <w:t>30</w:t>
            </w:r>
          </w:p>
        </w:tc>
      </w:tr>
      <w:tr>
        <w:trPr>
          <w:trHeight w:val="273" w:hRule="atLeast"/>
        </w:trPr>
        <w:tc>
          <w:tcPr>
            <w:tcW w:w="4109" w:type="dxa"/>
            <w:tcBorders>
              <w:top w:val="single" w:sz="4" w:space="0" w:color="000000"/>
              <w:bottom w:val="single" w:sz="4" w:space="0" w:color="000000"/>
            </w:tcBorders>
          </w:tcPr>
          <w:p>
            <w:pPr>
              <w:pStyle w:val="TableParagraph"/>
              <w:spacing w:line="229" w:lineRule="exact" w:before="24"/>
              <w:ind w:left="14"/>
              <w:jc w:val="left"/>
              <w:rPr>
                <w:i/>
                <w:sz w:val="20"/>
              </w:rPr>
            </w:pPr>
            <w:r>
              <w:rPr>
                <w:i/>
                <w:sz w:val="20"/>
              </w:rPr>
              <w:t>Unified</w:t>
            </w:r>
            <w:r>
              <w:rPr>
                <w:i/>
                <w:spacing w:val="-9"/>
                <w:sz w:val="20"/>
              </w:rPr>
              <w:t> </w:t>
            </w:r>
            <w:r>
              <w:rPr>
                <w:i/>
                <w:sz w:val="20"/>
              </w:rPr>
              <w:t>Teams</w:t>
            </w:r>
            <w:r>
              <w:rPr>
                <w:i/>
                <w:spacing w:val="-6"/>
                <w:sz w:val="20"/>
              </w:rPr>
              <w:t> </w:t>
            </w:r>
            <w:r>
              <w:rPr>
                <w:i/>
                <w:spacing w:val="-2"/>
                <w:sz w:val="20"/>
              </w:rPr>
              <w:t>(Field)</w:t>
            </w:r>
          </w:p>
        </w:tc>
        <w:tc>
          <w:tcPr>
            <w:tcW w:w="2286" w:type="dxa"/>
            <w:tcBorders>
              <w:top w:val="single" w:sz="4" w:space="0" w:color="000000"/>
              <w:bottom w:val="single" w:sz="4" w:space="0" w:color="000000"/>
            </w:tcBorders>
          </w:tcPr>
          <w:p>
            <w:pPr>
              <w:pStyle w:val="TableParagraph"/>
              <w:jc w:val="left"/>
              <w:rPr>
                <w:sz w:val="18"/>
              </w:rPr>
            </w:pPr>
          </w:p>
        </w:tc>
        <w:tc>
          <w:tcPr>
            <w:tcW w:w="1002" w:type="dxa"/>
            <w:tcBorders>
              <w:top w:val="single" w:sz="4" w:space="0" w:color="000000"/>
              <w:bottom w:val="single" w:sz="4" w:space="0" w:color="000000"/>
            </w:tcBorders>
          </w:tcPr>
          <w:p>
            <w:pPr>
              <w:pStyle w:val="TableParagraph"/>
              <w:jc w:val="left"/>
              <w:rPr>
                <w:sz w:val="18"/>
              </w:rPr>
            </w:pPr>
          </w:p>
        </w:tc>
      </w:tr>
      <w:tr>
        <w:trPr>
          <w:trHeight w:val="268" w:hRule="atLeast"/>
        </w:trPr>
        <w:tc>
          <w:tcPr>
            <w:tcW w:w="4109" w:type="dxa"/>
            <w:tcBorders>
              <w:top w:val="single" w:sz="4" w:space="0" w:color="000000"/>
              <w:bottom w:val="single" w:sz="4" w:space="0" w:color="000000"/>
            </w:tcBorders>
          </w:tcPr>
          <w:p>
            <w:pPr>
              <w:pStyle w:val="TableParagraph"/>
              <w:spacing w:line="229" w:lineRule="exact" w:before="19"/>
              <w:ind w:left="14"/>
              <w:jc w:val="left"/>
              <w:rPr>
                <w:i/>
                <w:sz w:val="20"/>
              </w:rPr>
            </w:pPr>
            <w:r>
              <w:rPr>
                <w:i/>
                <w:spacing w:val="-2"/>
                <w:sz w:val="20"/>
              </w:rPr>
              <w:t>Venezuela</w:t>
            </w:r>
          </w:p>
        </w:tc>
        <w:tc>
          <w:tcPr>
            <w:tcW w:w="2286" w:type="dxa"/>
            <w:tcBorders>
              <w:top w:val="single" w:sz="4" w:space="0" w:color="000000"/>
              <w:bottom w:val="single" w:sz="4" w:space="0" w:color="000000"/>
            </w:tcBorders>
          </w:tcPr>
          <w:p>
            <w:pPr>
              <w:pStyle w:val="TableParagraph"/>
              <w:jc w:val="left"/>
              <w:rPr>
                <w:sz w:val="18"/>
              </w:rPr>
            </w:pPr>
          </w:p>
        </w:tc>
        <w:tc>
          <w:tcPr>
            <w:tcW w:w="1002" w:type="dxa"/>
            <w:tcBorders>
              <w:top w:val="single" w:sz="4" w:space="0" w:color="000000"/>
              <w:bottom w:val="single" w:sz="4" w:space="0" w:color="000000"/>
            </w:tcBorders>
          </w:tcPr>
          <w:p>
            <w:pPr>
              <w:pStyle w:val="TableParagraph"/>
              <w:jc w:val="left"/>
              <w:rPr>
                <w:sz w:val="18"/>
              </w:rPr>
            </w:pPr>
          </w:p>
        </w:tc>
      </w:tr>
      <w:tr>
        <w:trPr>
          <w:trHeight w:val="272" w:hRule="atLeast"/>
        </w:trPr>
        <w:tc>
          <w:tcPr>
            <w:tcW w:w="4109" w:type="dxa"/>
            <w:tcBorders>
              <w:top w:val="single" w:sz="4" w:space="0" w:color="000000"/>
            </w:tcBorders>
          </w:tcPr>
          <w:p>
            <w:pPr>
              <w:pStyle w:val="TableParagraph"/>
              <w:spacing w:before="19"/>
              <w:ind w:left="14"/>
              <w:jc w:val="left"/>
              <w:rPr>
                <w:sz w:val="20"/>
              </w:rPr>
            </w:pPr>
            <w:r>
              <w:rPr>
                <w:sz w:val="20"/>
              </w:rPr>
              <w:t>International</w:t>
            </w:r>
            <w:r>
              <w:rPr>
                <w:spacing w:val="-11"/>
                <w:sz w:val="20"/>
              </w:rPr>
              <w:t> </w:t>
            </w:r>
            <w:r>
              <w:rPr>
                <w:sz w:val="20"/>
              </w:rPr>
              <w:t>Cooperation</w:t>
            </w:r>
            <w:r>
              <w:rPr>
                <w:spacing w:val="-8"/>
                <w:sz w:val="20"/>
              </w:rPr>
              <w:t> </w:t>
            </w:r>
            <w:r>
              <w:rPr>
                <w:spacing w:val="-2"/>
                <w:sz w:val="20"/>
              </w:rPr>
              <w:t>Adviser</w:t>
            </w:r>
          </w:p>
        </w:tc>
        <w:tc>
          <w:tcPr>
            <w:tcW w:w="2286" w:type="dxa"/>
            <w:tcBorders>
              <w:top w:val="single" w:sz="4" w:space="0" w:color="000000"/>
            </w:tcBorders>
          </w:tcPr>
          <w:p>
            <w:pPr>
              <w:pStyle w:val="TableParagraph"/>
              <w:spacing w:before="19"/>
              <w:ind w:left="1346"/>
              <w:jc w:val="left"/>
              <w:rPr>
                <w:sz w:val="20"/>
              </w:rPr>
            </w:pPr>
            <w:r>
              <w:rPr>
                <w:spacing w:val="-2"/>
                <w:sz w:val="20"/>
              </w:rPr>
              <w:t>P-</w:t>
            </w:r>
            <w:r>
              <w:rPr>
                <w:spacing w:val="-10"/>
                <w:sz w:val="20"/>
              </w:rPr>
              <w:t>4</w:t>
            </w:r>
          </w:p>
        </w:tc>
        <w:tc>
          <w:tcPr>
            <w:tcW w:w="1002" w:type="dxa"/>
            <w:tcBorders>
              <w:top w:val="single" w:sz="4" w:space="0" w:color="000000"/>
            </w:tcBorders>
          </w:tcPr>
          <w:p>
            <w:pPr>
              <w:pStyle w:val="TableParagraph"/>
              <w:spacing w:before="19"/>
              <w:ind w:right="6"/>
              <w:rPr>
                <w:sz w:val="20"/>
              </w:rPr>
            </w:pPr>
            <w:r>
              <w:rPr>
                <w:w w:val="100"/>
                <w:sz w:val="20"/>
              </w:rPr>
              <w:t>1</w:t>
            </w:r>
          </w:p>
        </w:tc>
      </w:tr>
      <w:tr>
        <w:trPr>
          <w:trHeight w:val="271" w:hRule="atLeast"/>
        </w:trPr>
        <w:tc>
          <w:tcPr>
            <w:tcW w:w="4109" w:type="dxa"/>
          </w:tcPr>
          <w:p>
            <w:pPr>
              <w:pStyle w:val="TableParagraph"/>
              <w:spacing w:before="15"/>
              <w:ind w:left="14"/>
              <w:jc w:val="left"/>
              <w:rPr>
                <w:sz w:val="20"/>
              </w:rPr>
            </w:pPr>
            <w:r>
              <w:rPr>
                <w:sz w:val="20"/>
              </w:rPr>
              <w:t>Trial</w:t>
            </w:r>
            <w:r>
              <w:rPr>
                <w:spacing w:val="-5"/>
                <w:sz w:val="20"/>
              </w:rPr>
              <w:t> </w:t>
            </w:r>
            <w:r>
              <w:rPr>
                <w:spacing w:val="-2"/>
                <w:sz w:val="20"/>
              </w:rPr>
              <w:t>Lawyer</w:t>
            </w:r>
          </w:p>
        </w:tc>
        <w:tc>
          <w:tcPr>
            <w:tcW w:w="2286" w:type="dxa"/>
          </w:tcPr>
          <w:p>
            <w:pPr>
              <w:pStyle w:val="TableParagraph"/>
              <w:spacing w:before="15"/>
              <w:ind w:left="1346"/>
              <w:jc w:val="left"/>
              <w:rPr>
                <w:sz w:val="20"/>
              </w:rPr>
            </w:pPr>
            <w:r>
              <w:rPr>
                <w:spacing w:val="-2"/>
                <w:sz w:val="20"/>
              </w:rPr>
              <w:t>P-</w:t>
            </w:r>
            <w:r>
              <w:rPr>
                <w:spacing w:val="-10"/>
                <w:sz w:val="20"/>
              </w:rPr>
              <w:t>4</w:t>
            </w:r>
          </w:p>
        </w:tc>
        <w:tc>
          <w:tcPr>
            <w:tcW w:w="1002" w:type="dxa"/>
          </w:tcPr>
          <w:p>
            <w:pPr>
              <w:pStyle w:val="TableParagraph"/>
              <w:spacing w:before="15"/>
              <w:ind w:right="6"/>
              <w:rPr>
                <w:sz w:val="20"/>
              </w:rPr>
            </w:pPr>
            <w:r>
              <w:rPr>
                <w:w w:val="100"/>
                <w:sz w:val="20"/>
              </w:rPr>
              <w:t>1</w:t>
            </w:r>
          </w:p>
        </w:tc>
      </w:tr>
      <w:tr>
        <w:trPr>
          <w:trHeight w:val="271" w:hRule="atLeast"/>
        </w:trPr>
        <w:tc>
          <w:tcPr>
            <w:tcW w:w="4109" w:type="dxa"/>
          </w:tcPr>
          <w:p>
            <w:pPr>
              <w:pStyle w:val="TableParagraph"/>
              <w:spacing w:before="18"/>
              <w:ind w:left="14"/>
              <w:jc w:val="left"/>
              <w:rPr>
                <w:sz w:val="20"/>
              </w:rPr>
            </w:pPr>
            <w:r>
              <w:rPr>
                <w:sz w:val="20"/>
              </w:rPr>
              <w:t>Associate</w:t>
            </w:r>
            <w:r>
              <w:rPr>
                <w:spacing w:val="-7"/>
                <w:sz w:val="20"/>
              </w:rPr>
              <w:t> </w:t>
            </w:r>
            <w:r>
              <w:rPr>
                <w:spacing w:val="-2"/>
                <w:sz w:val="20"/>
              </w:rPr>
              <w:t>Analyst</w:t>
            </w:r>
          </w:p>
        </w:tc>
        <w:tc>
          <w:tcPr>
            <w:tcW w:w="2286" w:type="dxa"/>
          </w:tcPr>
          <w:p>
            <w:pPr>
              <w:pStyle w:val="TableParagraph"/>
              <w:spacing w:before="18"/>
              <w:ind w:left="1346"/>
              <w:jc w:val="left"/>
              <w:rPr>
                <w:sz w:val="20"/>
              </w:rPr>
            </w:pPr>
            <w:r>
              <w:rPr>
                <w:spacing w:val="-2"/>
                <w:sz w:val="20"/>
              </w:rPr>
              <w:t>P-</w:t>
            </w:r>
            <w:r>
              <w:rPr>
                <w:spacing w:val="-10"/>
                <w:sz w:val="20"/>
              </w:rPr>
              <w:t>2</w:t>
            </w:r>
          </w:p>
        </w:tc>
        <w:tc>
          <w:tcPr>
            <w:tcW w:w="1002" w:type="dxa"/>
          </w:tcPr>
          <w:p>
            <w:pPr>
              <w:pStyle w:val="TableParagraph"/>
              <w:spacing w:before="18"/>
              <w:ind w:right="6"/>
              <w:rPr>
                <w:sz w:val="20"/>
              </w:rPr>
            </w:pPr>
            <w:r>
              <w:rPr>
                <w:w w:val="100"/>
                <w:sz w:val="20"/>
              </w:rPr>
              <w:t>1</w:t>
            </w:r>
          </w:p>
        </w:tc>
      </w:tr>
      <w:tr>
        <w:trPr>
          <w:trHeight w:val="264" w:hRule="atLeast"/>
        </w:trPr>
        <w:tc>
          <w:tcPr>
            <w:tcW w:w="4109" w:type="dxa"/>
            <w:tcBorders>
              <w:bottom w:val="single" w:sz="4" w:space="0" w:color="000000"/>
            </w:tcBorders>
          </w:tcPr>
          <w:p>
            <w:pPr>
              <w:pStyle w:val="TableParagraph"/>
              <w:spacing w:line="229" w:lineRule="exact" w:before="15"/>
              <w:ind w:left="14"/>
              <w:jc w:val="left"/>
              <w:rPr>
                <w:sz w:val="20"/>
              </w:rPr>
            </w:pPr>
            <w:r>
              <w:rPr>
                <w:sz w:val="20"/>
              </w:rPr>
              <w:t>Assistant</w:t>
            </w:r>
            <w:r>
              <w:rPr>
                <w:spacing w:val="-7"/>
                <w:sz w:val="20"/>
              </w:rPr>
              <w:t> </w:t>
            </w:r>
            <w:r>
              <w:rPr>
                <w:sz w:val="20"/>
              </w:rPr>
              <w:t>Legal</w:t>
            </w:r>
            <w:r>
              <w:rPr>
                <w:spacing w:val="-7"/>
                <w:sz w:val="20"/>
              </w:rPr>
              <w:t> </w:t>
            </w:r>
            <w:r>
              <w:rPr>
                <w:spacing w:val="-2"/>
                <w:sz w:val="20"/>
              </w:rPr>
              <w:t>Officer</w:t>
            </w:r>
          </w:p>
        </w:tc>
        <w:tc>
          <w:tcPr>
            <w:tcW w:w="2286" w:type="dxa"/>
            <w:tcBorders>
              <w:bottom w:val="single" w:sz="4" w:space="0" w:color="000000"/>
            </w:tcBorders>
          </w:tcPr>
          <w:p>
            <w:pPr>
              <w:pStyle w:val="TableParagraph"/>
              <w:spacing w:line="229" w:lineRule="exact" w:before="15"/>
              <w:ind w:left="1346"/>
              <w:jc w:val="left"/>
              <w:rPr>
                <w:sz w:val="20"/>
              </w:rPr>
            </w:pPr>
            <w:r>
              <w:rPr>
                <w:spacing w:val="-2"/>
                <w:sz w:val="20"/>
              </w:rPr>
              <w:t>P-</w:t>
            </w:r>
            <w:r>
              <w:rPr>
                <w:spacing w:val="-10"/>
                <w:sz w:val="20"/>
              </w:rPr>
              <w:t>1</w:t>
            </w:r>
          </w:p>
        </w:tc>
        <w:tc>
          <w:tcPr>
            <w:tcW w:w="1002" w:type="dxa"/>
            <w:tcBorders>
              <w:bottom w:val="single" w:sz="4" w:space="0" w:color="000000"/>
            </w:tcBorders>
          </w:tcPr>
          <w:p>
            <w:pPr>
              <w:pStyle w:val="TableParagraph"/>
              <w:spacing w:line="229" w:lineRule="exact" w:before="15"/>
              <w:ind w:right="6"/>
              <w:rPr>
                <w:sz w:val="20"/>
              </w:rPr>
            </w:pPr>
            <w:r>
              <w:rPr>
                <w:w w:val="100"/>
                <w:sz w:val="20"/>
              </w:rPr>
              <w:t>1</w:t>
            </w:r>
          </w:p>
        </w:tc>
      </w:tr>
      <w:tr>
        <w:trPr>
          <w:trHeight w:val="273" w:hRule="atLeast"/>
        </w:trPr>
        <w:tc>
          <w:tcPr>
            <w:tcW w:w="4109" w:type="dxa"/>
            <w:tcBorders>
              <w:top w:val="single" w:sz="4" w:space="0" w:color="000000"/>
              <w:bottom w:val="single" w:sz="4" w:space="0" w:color="000000"/>
            </w:tcBorders>
          </w:tcPr>
          <w:p>
            <w:pPr>
              <w:pStyle w:val="TableParagraph"/>
              <w:jc w:val="left"/>
              <w:rPr>
                <w:sz w:val="18"/>
              </w:rPr>
            </w:pPr>
          </w:p>
        </w:tc>
        <w:tc>
          <w:tcPr>
            <w:tcW w:w="2286" w:type="dxa"/>
            <w:tcBorders>
              <w:top w:val="single" w:sz="4" w:space="0" w:color="000000"/>
              <w:bottom w:val="single" w:sz="4" w:space="0" w:color="000000"/>
            </w:tcBorders>
          </w:tcPr>
          <w:p>
            <w:pPr>
              <w:pStyle w:val="TableParagraph"/>
              <w:jc w:val="left"/>
              <w:rPr>
                <w:sz w:val="18"/>
              </w:rPr>
            </w:pPr>
          </w:p>
        </w:tc>
        <w:tc>
          <w:tcPr>
            <w:tcW w:w="1002" w:type="dxa"/>
            <w:tcBorders>
              <w:top w:val="single" w:sz="4" w:space="0" w:color="000000"/>
              <w:bottom w:val="single" w:sz="4" w:space="0" w:color="000000"/>
            </w:tcBorders>
          </w:tcPr>
          <w:p>
            <w:pPr>
              <w:pStyle w:val="TableParagraph"/>
              <w:spacing w:before="20"/>
              <w:ind w:right="6"/>
              <w:rPr>
                <w:b/>
                <w:sz w:val="20"/>
              </w:rPr>
            </w:pPr>
            <w:r>
              <w:rPr>
                <w:b/>
                <w:w w:val="100"/>
                <w:sz w:val="20"/>
              </w:rPr>
              <w:t>4</w:t>
            </w:r>
          </w:p>
        </w:tc>
      </w:tr>
      <w:tr>
        <w:trPr>
          <w:trHeight w:val="268" w:hRule="atLeast"/>
        </w:trPr>
        <w:tc>
          <w:tcPr>
            <w:tcW w:w="4109" w:type="dxa"/>
            <w:tcBorders>
              <w:top w:val="single" w:sz="4" w:space="0" w:color="000000"/>
              <w:bottom w:val="single" w:sz="4" w:space="0" w:color="000000"/>
            </w:tcBorders>
          </w:tcPr>
          <w:p>
            <w:pPr>
              <w:pStyle w:val="TableParagraph"/>
              <w:spacing w:line="229" w:lineRule="exact" w:before="19"/>
              <w:ind w:left="14"/>
              <w:jc w:val="left"/>
              <w:rPr>
                <w:i/>
                <w:sz w:val="20"/>
              </w:rPr>
            </w:pPr>
            <w:r>
              <w:rPr>
                <w:i/>
                <w:spacing w:val="-2"/>
                <w:sz w:val="20"/>
              </w:rPr>
              <w:t>Bangladesh/Myanmar</w:t>
            </w:r>
          </w:p>
        </w:tc>
        <w:tc>
          <w:tcPr>
            <w:tcW w:w="2286" w:type="dxa"/>
            <w:tcBorders>
              <w:top w:val="single" w:sz="4" w:space="0" w:color="000000"/>
              <w:bottom w:val="single" w:sz="4" w:space="0" w:color="000000"/>
            </w:tcBorders>
          </w:tcPr>
          <w:p>
            <w:pPr>
              <w:pStyle w:val="TableParagraph"/>
              <w:jc w:val="left"/>
              <w:rPr>
                <w:sz w:val="18"/>
              </w:rPr>
            </w:pPr>
          </w:p>
        </w:tc>
        <w:tc>
          <w:tcPr>
            <w:tcW w:w="1002" w:type="dxa"/>
            <w:tcBorders>
              <w:top w:val="single" w:sz="4" w:space="0" w:color="000000"/>
              <w:bottom w:val="single" w:sz="4" w:space="0" w:color="000000"/>
            </w:tcBorders>
          </w:tcPr>
          <w:p>
            <w:pPr>
              <w:pStyle w:val="TableParagraph"/>
              <w:jc w:val="left"/>
              <w:rPr>
                <w:sz w:val="18"/>
              </w:rPr>
            </w:pPr>
          </w:p>
        </w:tc>
      </w:tr>
      <w:tr>
        <w:trPr>
          <w:trHeight w:val="272" w:hRule="atLeast"/>
        </w:trPr>
        <w:tc>
          <w:tcPr>
            <w:tcW w:w="4109" w:type="dxa"/>
            <w:tcBorders>
              <w:top w:val="single" w:sz="4" w:space="0" w:color="000000"/>
            </w:tcBorders>
          </w:tcPr>
          <w:p>
            <w:pPr>
              <w:pStyle w:val="TableParagraph"/>
              <w:spacing w:before="19"/>
              <w:ind w:left="14"/>
              <w:jc w:val="left"/>
              <w:rPr>
                <w:sz w:val="20"/>
              </w:rPr>
            </w:pPr>
            <w:r>
              <w:rPr>
                <w:sz w:val="20"/>
              </w:rPr>
              <w:t>International</w:t>
            </w:r>
            <w:r>
              <w:rPr>
                <w:spacing w:val="-11"/>
                <w:sz w:val="20"/>
              </w:rPr>
              <w:t> </w:t>
            </w:r>
            <w:r>
              <w:rPr>
                <w:sz w:val="20"/>
              </w:rPr>
              <w:t>Cooperation</w:t>
            </w:r>
            <w:r>
              <w:rPr>
                <w:spacing w:val="-8"/>
                <w:sz w:val="20"/>
              </w:rPr>
              <w:t> </w:t>
            </w:r>
            <w:r>
              <w:rPr>
                <w:spacing w:val="-2"/>
                <w:sz w:val="20"/>
              </w:rPr>
              <w:t>Adviser</w:t>
            </w:r>
          </w:p>
        </w:tc>
        <w:tc>
          <w:tcPr>
            <w:tcW w:w="2286" w:type="dxa"/>
            <w:tcBorders>
              <w:top w:val="single" w:sz="4" w:space="0" w:color="000000"/>
            </w:tcBorders>
          </w:tcPr>
          <w:p>
            <w:pPr>
              <w:pStyle w:val="TableParagraph"/>
              <w:spacing w:before="19"/>
              <w:ind w:left="1346"/>
              <w:jc w:val="left"/>
              <w:rPr>
                <w:sz w:val="20"/>
              </w:rPr>
            </w:pPr>
            <w:r>
              <w:rPr>
                <w:spacing w:val="-2"/>
                <w:sz w:val="20"/>
              </w:rPr>
              <w:t>P-</w:t>
            </w:r>
            <w:r>
              <w:rPr>
                <w:spacing w:val="-10"/>
                <w:sz w:val="20"/>
              </w:rPr>
              <w:t>3</w:t>
            </w:r>
          </w:p>
        </w:tc>
        <w:tc>
          <w:tcPr>
            <w:tcW w:w="1002" w:type="dxa"/>
            <w:tcBorders>
              <w:top w:val="single" w:sz="4" w:space="0" w:color="000000"/>
            </w:tcBorders>
          </w:tcPr>
          <w:p>
            <w:pPr>
              <w:pStyle w:val="TableParagraph"/>
              <w:spacing w:before="19"/>
              <w:ind w:right="6"/>
              <w:rPr>
                <w:sz w:val="20"/>
              </w:rPr>
            </w:pPr>
            <w:r>
              <w:rPr>
                <w:w w:val="100"/>
                <w:sz w:val="20"/>
              </w:rPr>
              <w:t>1</w:t>
            </w:r>
          </w:p>
        </w:tc>
      </w:tr>
      <w:tr>
        <w:trPr>
          <w:trHeight w:val="268" w:hRule="atLeast"/>
        </w:trPr>
        <w:tc>
          <w:tcPr>
            <w:tcW w:w="4109" w:type="dxa"/>
          </w:tcPr>
          <w:p>
            <w:pPr>
              <w:pStyle w:val="TableParagraph"/>
              <w:spacing w:before="15"/>
              <w:ind w:left="14"/>
              <w:jc w:val="left"/>
              <w:rPr>
                <w:sz w:val="20"/>
              </w:rPr>
            </w:pPr>
            <w:r>
              <w:rPr>
                <w:sz w:val="20"/>
              </w:rPr>
              <w:t>Senior</w:t>
            </w:r>
            <w:r>
              <w:rPr>
                <w:spacing w:val="-5"/>
                <w:sz w:val="20"/>
              </w:rPr>
              <w:t> </w:t>
            </w:r>
            <w:r>
              <w:rPr>
                <w:spacing w:val="-2"/>
                <w:sz w:val="20"/>
              </w:rPr>
              <w:t>Investigator</w:t>
            </w:r>
          </w:p>
        </w:tc>
        <w:tc>
          <w:tcPr>
            <w:tcW w:w="2286" w:type="dxa"/>
          </w:tcPr>
          <w:p>
            <w:pPr>
              <w:pStyle w:val="TableParagraph"/>
              <w:spacing w:before="15"/>
              <w:ind w:left="1346"/>
              <w:jc w:val="left"/>
              <w:rPr>
                <w:sz w:val="20"/>
              </w:rPr>
            </w:pPr>
            <w:r>
              <w:rPr>
                <w:spacing w:val="-2"/>
                <w:sz w:val="20"/>
              </w:rPr>
              <w:t>P-</w:t>
            </w:r>
            <w:r>
              <w:rPr>
                <w:spacing w:val="-10"/>
                <w:sz w:val="20"/>
              </w:rPr>
              <w:t>4</w:t>
            </w:r>
          </w:p>
        </w:tc>
        <w:tc>
          <w:tcPr>
            <w:tcW w:w="1002" w:type="dxa"/>
          </w:tcPr>
          <w:p>
            <w:pPr>
              <w:pStyle w:val="TableParagraph"/>
              <w:spacing w:before="15"/>
              <w:ind w:right="6"/>
              <w:rPr>
                <w:sz w:val="20"/>
              </w:rPr>
            </w:pPr>
            <w:r>
              <w:rPr>
                <w:w w:val="100"/>
                <w:sz w:val="20"/>
              </w:rPr>
              <w:t>1</w:t>
            </w:r>
          </w:p>
        </w:tc>
      </w:tr>
      <w:tr>
        <w:trPr>
          <w:trHeight w:val="271" w:hRule="atLeast"/>
        </w:trPr>
        <w:tc>
          <w:tcPr>
            <w:tcW w:w="4109" w:type="dxa"/>
          </w:tcPr>
          <w:p>
            <w:pPr>
              <w:pStyle w:val="TableParagraph"/>
              <w:spacing w:before="15"/>
              <w:ind w:left="14"/>
              <w:jc w:val="left"/>
              <w:rPr>
                <w:sz w:val="20"/>
              </w:rPr>
            </w:pPr>
            <w:r>
              <w:rPr>
                <w:sz w:val="20"/>
              </w:rPr>
              <w:t>Associate</w:t>
            </w:r>
            <w:r>
              <w:rPr>
                <w:spacing w:val="-7"/>
                <w:sz w:val="20"/>
              </w:rPr>
              <w:t> </w:t>
            </w:r>
            <w:r>
              <w:rPr>
                <w:spacing w:val="-2"/>
                <w:sz w:val="20"/>
              </w:rPr>
              <w:t>Investigator</w:t>
            </w:r>
          </w:p>
        </w:tc>
        <w:tc>
          <w:tcPr>
            <w:tcW w:w="2286" w:type="dxa"/>
          </w:tcPr>
          <w:p>
            <w:pPr>
              <w:pStyle w:val="TableParagraph"/>
              <w:spacing w:before="15"/>
              <w:ind w:left="1346"/>
              <w:jc w:val="left"/>
              <w:rPr>
                <w:sz w:val="20"/>
              </w:rPr>
            </w:pPr>
            <w:r>
              <w:rPr>
                <w:spacing w:val="-2"/>
                <w:sz w:val="20"/>
              </w:rPr>
              <w:t>P-</w:t>
            </w:r>
            <w:r>
              <w:rPr>
                <w:spacing w:val="-10"/>
                <w:sz w:val="20"/>
              </w:rPr>
              <w:t>2</w:t>
            </w:r>
          </w:p>
        </w:tc>
        <w:tc>
          <w:tcPr>
            <w:tcW w:w="1002" w:type="dxa"/>
          </w:tcPr>
          <w:p>
            <w:pPr>
              <w:pStyle w:val="TableParagraph"/>
              <w:spacing w:before="15"/>
              <w:ind w:right="6"/>
              <w:rPr>
                <w:sz w:val="20"/>
              </w:rPr>
            </w:pPr>
            <w:r>
              <w:rPr>
                <w:w w:val="100"/>
                <w:sz w:val="20"/>
              </w:rPr>
              <w:t>2</w:t>
            </w:r>
          </w:p>
        </w:tc>
      </w:tr>
      <w:tr>
        <w:trPr>
          <w:trHeight w:val="267" w:hRule="atLeast"/>
        </w:trPr>
        <w:tc>
          <w:tcPr>
            <w:tcW w:w="4109" w:type="dxa"/>
            <w:tcBorders>
              <w:bottom w:val="single" w:sz="4" w:space="0" w:color="000000"/>
            </w:tcBorders>
          </w:tcPr>
          <w:p>
            <w:pPr>
              <w:pStyle w:val="TableParagraph"/>
              <w:spacing w:line="229" w:lineRule="exact" w:before="18"/>
              <w:ind w:left="14"/>
              <w:jc w:val="left"/>
              <w:rPr>
                <w:sz w:val="20"/>
              </w:rPr>
            </w:pPr>
            <w:r>
              <w:rPr>
                <w:sz w:val="20"/>
              </w:rPr>
              <w:t>Associate</w:t>
            </w:r>
            <w:r>
              <w:rPr>
                <w:spacing w:val="-7"/>
                <w:sz w:val="20"/>
              </w:rPr>
              <w:t> </w:t>
            </w:r>
            <w:r>
              <w:rPr>
                <w:sz w:val="20"/>
              </w:rPr>
              <w:t>Trial</w:t>
            </w:r>
            <w:r>
              <w:rPr>
                <w:spacing w:val="-7"/>
                <w:sz w:val="20"/>
              </w:rPr>
              <w:t> </w:t>
            </w:r>
            <w:r>
              <w:rPr>
                <w:spacing w:val="-2"/>
                <w:sz w:val="20"/>
              </w:rPr>
              <w:t>Lawyer</w:t>
            </w:r>
          </w:p>
        </w:tc>
        <w:tc>
          <w:tcPr>
            <w:tcW w:w="2286" w:type="dxa"/>
            <w:tcBorders>
              <w:bottom w:val="single" w:sz="4" w:space="0" w:color="000000"/>
            </w:tcBorders>
          </w:tcPr>
          <w:p>
            <w:pPr>
              <w:pStyle w:val="TableParagraph"/>
              <w:spacing w:line="229" w:lineRule="exact" w:before="18"/>
              <w:ind w:left="1346"/>
              <w:jc w:val="left"/>
              <w:rPr>
                <w:sz w:val="20"/>
              </w:rPr>
            </w:pPr>
            <w:r>
              <w:rPr>
                <w:spacing w:val="-2"/>
                <w:sz w:val="20"/>
              </w:rPr>
              <w:t>P-</w:t>
            </w:r>
            <w:r>
              <w:rPr>
                <w:spacing w:val="-10"/>
                <w:sz w:val="20"/>
              </w:rPr>
              <w:t>2</w:t>
            </w:r>
          </w:p>
        </w:tc>
        <w:tc>
          <w:tcPr>
            <w:tcW w:w="1002" w:type="dxa"/>
            <w:tcBorders>
              <w:bottom w:val="single" w:sz="4" w:space="0" w:color="000000"/>
            </w:tcBorders>
          </w:tcPr>
          <w:p>
            <w:pPr>
              <w:pStyle w:val="TableParagraph"/>
              <w:spacing w:line="229" w:lineRule="exact" w:before="18"/>
              <w:ind w:right="6"/>
              <w:rPr>
                <w:sz w:val="20"/>
              </w:rPr>
            </w:pPr>
            <w:r>
              <w:rPr>
                <w:w w:val="100"/>
                <w:sz w:val="20"/>
              </w:rPr>
              <w:t>1</w:t>
            </w:r>
          </w:p>
        </w:tc>
      </w:tr>
      <w:tr>
        <w:trPr>
          <w:trHeight w:val="268" w:hRule="atLeast"/>
        </w:trPr>
        <w:tc>
          <w:tcPr>
            <w:tcW w:w="4109" w:type="dxa"/>
            <w:tcBorders>
              <w:top w:val="single" w:sz="4" w:space="0" w:color="000000"/>
              <w:bottom w:val="single" w:sz="4" w:space="0" w:color="000000"/>
            </w:tcBorders>
          </w:tcPr>
          <w:p>
            <w:pPr>
              <w:pStyle w:val="TableParagraph"/>
              <w:jc w:val="left"/>
              <w:rPr>
                <w:sz w:val="18"/>
              </w:rPr>
            </w:pPr>
          </w:p>
        </w:tc>
        <w:tc>
          <w:tcPr>
            <w:tcW w:w="2286" w:type="dxa"/>
            <w:tcBorders>
              <w:top w:val="single" w:sz="4" w:space="0" w:color="000000"/>
              <w:bottom w:val="single" w:sz="4" w:space="0" w:color="000000"/>
            </w:tcBorders>
          </w:tcPr>
          <w:p>
            <w:pPr>
              <w:pStyle w:val="TableParagraph"/>
              <w:jc w:val="left"/>
              <w:rPr>
                <w:sz w:val="18"/>
              </w:rPr>
            </w:pPr>
          </w:p>
        </w:tc>
        <w:tc>
          <w:tcPr>
            <w:tcW w:w="1002" w:type="dxa"/>
            <w:tcBorders>
              <w:top w:val="single" w:sz="4" w:space="0" w:color="000000"/>
              <w:bottom w:val="single" w:sz="4" w:space="0" w:color="000000"/>
            </w:tcBorders>
          </w:tcPr>
          <w:p>
            <w:pPr>
              <w:pStyle w:val="TableParagraph"/>
              <w:spacing w:line="229" w:lineRule="exact" w:before="20"/>
              <w:ind w:right="6"/>
              <w:rPr>
                <w:b/>
                <w:sz w:val="20"/>
              </w:rPr>
            </w:pPr>
            <w:r>
              <w:rPr>
                <w:b/>
                <w:w w:val="100"/>
                <w:sz w:val="20"/>
              </w:rPr>
              <w:t>5</w:t>
            </w:r>
          </w:p>
        </w:tc>
      </w:tr>
      <w:tr>
        <w:trPr>
          <w:trHeight w:val="273" w:hRule="atLeast"/>
        </w:trPr>
        <w:tc>
          <w:tcPr>
            <w:tcW w:w="4109" w:type="dxa"/>
            <w:tcBorders>
              <w:top w:val="single" w:sz="4" w:space="0" w:color="000000"/>
              <w:bottom w:val="single" w:sz="4" w:space="0" w:color="000000"/>
            </w:tcBorders>
          </w:tcPr>
          <w:p>
            <w:pPr>
              <w:pStyle w:val="TableParagraph"/>
              <w:spacing w:before="19"/>
              <w:ind w:left="14"/>
              <w:jc w:val="left"/>
              <w:rPr>
                <w:i/>
                <w:sz w:val="20"/>
              </w:rPr>
            </w:pPr>
            <w:r>
              <w:rPr>
                <w:i/>
                <w:spacing w:val="-2"/>
                <w:sz w:val="20"/>
              </w:rPr>
              <w:t>Sudan</w:t>
            </w:r>
          </w:p>
        </w:tc>
        <w:tc>
          <w:tcPr>
            <w:tcW w:w="2286" w:type="dxa"/>
            <w:tcBorders>
              <w:top w:val="single" w:sz="4" w:space="0" w:color="000000"/>
              <w:bottom w:val="single" w:sz="4" w:space="0" w:color="000000"/>
            </w:tcBorders>
          </w:tcPr>
          <w:p>
            <w:pPr>
              <w:pStyle w:val="TableParagraph"/>
              <w:jc w:val="left"/>
              <w:rPr>
                <w:sz w:val="18"/>
              </w:rPr>
            </w:pPr>
          </w:p>
        </w:tc>
        <w:tc>
          <w:tcPr>
            <w:tcW w:w="1002" w:type="dxa"/>
            <w:tcBorders>
              <w:top w:val="single" w:sz="4" w:space="0" w:color="000000"/>
              <w:bottom w:val="single" w:sz="4" w:space="0" w:color="000000"/>
            </w:tcBorders>
          </w:tcPr>
          <w:p>
            <w:pPr>
              <w:pStyle w:val="TableParagraph"/>
              <w:jc w:val="left"/>
              <w:rPr>
                <w:sz w:val="18"/>
              </w:rPr>
            </w:pPr>
          </w:p>
        </w:tc>
      </w:tr>
      <w:tr>
        <w:trPr>
          <w:trHeight w:val="272" w:hRule="atLeast"/>
        </w:trPr>
        <w:tc>
          <w:tcPr>
            <w:tcW w:w="4109" w:type="dxa"/>
            <w:tcBorders>
              <w:top w:val="single" w:sz="4" w:space="0" w:color="000000"/>
            </w:tcBorders>
          </w:tcPr>
          <w:p>
            <w:pPr>
              <w:pStyle w:val="TableParagraph"/>
              <w:spacing w:before="19"/>
              <w:ind w:left="14"/>
              <w:jc w:val="left"/>
              <w:rPr>
                <w:sz w:val="20"/>
              </w:rPr>
            </w:pPr>
            <w:r>
              <w:rPr>
                <w:spacing w:val="-2"/>
                <w:sz w:val="20"/>
              </w:rPr>
              <w:t>Investigator</w:t>
            </w:r>
          </w:p>
        </w:tc>
        <w:tc>
          <w:tcPr>
            <w:tcW w:w="2286" w:type="dxa"/>
            <w:tcBorders>
              <w:top w:val="single" w:sz="4" w:space="0" w:color="000000"/>
            </w:tcBorders>
          </w:tcPr>
          <w:p>
            <w:pPr>
              <w:pStyle w:val="TableParagraph"/>
              <w:spacing w:before="19"/>
              <w:ind w:left="1346"/>
              <w:jc w:val="left"/>
              <w:rPr>
                <w:sz w:val="20"/>
              </w:rPr>
            </w:pPr>
            <w:r>
              <w:rPr>
                <w:spacing w:val="-2"/>
                <w:sz w:val="20"/>
              </w:rPr>
              <w:t>P-</w:t>
            </w:r>
            <w:r>
              <w:rPr>
                <w:spacing w:val="-10"/>
                <w:sz w:val="20"/>
              </w:rPr>
              <w:t>3</w:t>
            </w:r>
          </w:p>
        </w:tc>
        <w:tc>
          <w:tcPr>
            <w:tcW w:w="1002" w:type="dxa"/>
            <w:tcBorders>
              <w:top w:val="single" w:sz="4" w:space="0" w:color="000000"/>
            </w:tcBorders>
          </w:tcPr>
          <w:p>
            <w:pPr>
              <w:pStyle w:val="TableParagraph"/>
              <w:spacing w:before="19"/>
              <w:ind w:right="6"/>
              <w:rPr>
                <w:sz w:val="20"/>
              </w:rPr>
            </w:pPr>
            <w:r>
              <w:rPr>
                <w:w w:val="100"/>
                <w:sz w:val="20"/>
              </w:rPr>
              <w:t>1</w:t>
            </w:r>
          </w:p>
        </w:tc>
      </w:tr>
      <w:tr>
        <w:trPr>
          <w:trHeight w:val="264" w:hRule="atLeast"/>
        </w:trPr>
        <w:tc>
          <w:tcPr>
            <w:tcW w:w="4109" w:type="dxa"/>
            <w:tcBorders>
              <w:bottom w:val="single" w:sz="4" w:space="0" w:color="000000"/>
            </w:tcBorders>
          </w:tcPr>
          <w:p>
            <w:pPr>
              <w:pStyle w:val="TableParagraph"/>
              <w:spacing w:line="229" w:lineRule="exact" w:before="15"/>
              <w:ind w:left="14"/>
              <w:jc w:val="left"/>
              <w:rPr>
                <w:sz w:val="20"/>
              </w:rPr>
            </w:pPr>
            <w:r>
              <w:rPr>
                <w:sz w:val="20"/>
              </w:rPr>
              <w:t>Trial</w:t>
            </w:r>
            <w:r>
              <w:rPr>
                <w:spacing w:val="-5"/>
                <w:sz w:val="20"/>
              </w:rPr>
              <w:t> </w:t>
            </w:r>
            <w:r>
              <w:rPr>
                <w:spacing w:val="-2"/>
                <w:sz w:val="20"/>
              </w:rPr>
              <w:t>Lawyer</w:t>
            </w:r>
          </w:p>
        </w:tc>
        <w:tc>
          <w:tcPr>
            <w:tcW w:w="2286" w:type="dxa"/>
            <w:tcBorders>
              <w:bottom w:val="single" w:sz="4" w:space="0" w:color="000000"/>
            </w:tcBorders>
          </w:tcPr>
          <w:p>
            <w:pPr>
              <w:pStyle w:val="TableParagraph"/>
              <w:spacing w:line="229" w:lineRule="exact" w:before="15"/>
              <w:ind w:left="1346"/>
              <w:jc w:val="left"/>
              <w:rPr>
                <w:sz w:val="20"/>
              </w:rPr>
            </w:pPr>
            <w:r>
              <w:rPr>
                <w:spacing w:val="-2"/>
                <w:sz w:val="20"/>
              </w:rPr>
              <w:t>P-</w:t>
            </w:r>
            <w:r>
              <w:rPr>
                <w:spacing w:val="-10"/>
                <w:sz w:val="20"/>
              </w:rPr>
              <w:t>3</w:t>
            </w:r>
          </w:p>
        </w:tc>
        <w:tc>
          <w:tcPr>
            <w:tcW w:w="1002" w:type="dxa"/>
            <w:tcBorders>
              <w:bottom w:val="single" w:sz="4" w:space="0" w:color="000000"/>
            </w:tcBorders>
          </w:tcPr>
          <w:p>
            <w:pPr>
              <w:pStyle w:val="TableParagraph"/>
              <w:spacing w:line="229" w:lineRule="exact" w:before="15"/>
              <w:ind w:right="6"/>
              <w:rPr>
                <w:sz w:val="20"/>
              </w:rPr>
            </w:pPr>
            <w:r>
              <w:rPr>
                <w:w w:val="100"/>
                <w:sz w:val="20"/>
              </w:rPr>
              <w:t>1</w:t>
            </w:r>
          </w:p>
        </w:tc>
      </w:tr>
      <w:tr>
        <w:trPr>
          <w:trHeight w:val="268" w:hRule="atLeast"/>
        </w:trPr>
        <w:tc>
          <w:tcPr>
            <w:tcW w:w="4109" w:type="dxa"/>
            <w:tcBorders>
              <w:top w:val="single" w:sz="4" w:space="0" w:color="000000"/>
              <w:bottom w:val="single" w:sz="4" w:space="0" w:color="000000"/>
            </w:tcBorders>
          </w:tcPr>
          <w:p>
            <w:pPr>
              <w:pStyle w:val="TableParagraph"/>
              <w:jc w:val="left"/>
              <w:rPr>
                <w:sz w:val="18"/>
              </w:rPr>
            </w:pPr>
          </w:p>
        </w:tc>
        <w:tc>
          <w:tcPr>
            <w:tcW w:w="2286" w:type="dxa"/>
            <w:tcBorders>
              <w:top w:val="single" w:sz="4" w:space="0" w:color="000000"/>
              <w:bottom w:val="single" w:sz="4" w:space="0" w:color="000000"/>
            </w:tcBorders>
          </w:tcPr>
          <w:p>
            <w:pPr>
              <w:pStyle w:val="TableParagraph"/>
              <w:jc w:val="left"/>
              <w:rPr>
                <w:sz w:val="18"/>
              </w:rPr>
            </w:pPr>
          </w:p>
        </w:tc>
        <w:tc>
          <w:tcPr>
            <w:tcW w:w="1002" w:type="dxa"/>
            <w:tcBorders>
              <w:top w:val="single" w:sz="4" w:space="0" w:color="000000"/>
              <w:bottom w:val="single" w:sz="4" w:space="0" w:color="000000"/>
            </w:tcBorders>
          </w:tcPr>
          <w:p>
            <w:pPr>
              <w:pStyle w:val="TableParagraph"/>
              <w:spacing w:line="229" w:lineRule="exact" w:before="19"/>
              <w:ind w:right="6"/>
              <w:rPr>
                <w:b/>
                <w:sz w:val="20"/>
              </w:rPr>
            </w:pPr>
            <w:r>
              <w:rPr>
                <w:b/>
                <w:w w:val="100"/>
                <w:sz w:val="20"/>
              </w:rPr>
              <w:t>2</w:t>
            </w:r>
          </w:p>
        </w:tc>
      </w:tr>
      <w:tr>
        <w:trPr>
          <w:trHeight w:val="273" w:hRule="atLeast"/>
        </w:trPr>
        <w:tc>
          <w:tcPr>
            <w:tcW w:w="4109" w:type="dxa"/>
            <w:tcBorders>
              <w:top w:val="single" w:sz="4" w:space="0" w:color="000000"/>
              <w:bottom w:val="single" w:sz="4" w:space="0" w:color="000000"/>
            </w:tcBorders>
          </w:tcPr>
          <w:p>
            <w:pPr>
              <w:pStyle w:val="TableParagraph"/>
              <w:spacing w:line="229" w:lineRule="exact" w:before="24"/>
              <w:ind w:left="14"/>
              <w:jc w:val="left"/>
              <w:rPr>
                <w:b/>
                <w:sz w:val="20"/>
              </w:rPr>
            </w:pPr>
            <w:r>
              <w:rPr>
                <w:b/>
                <w:spacing w:val="-2"/>
                <w:sz w:val="20"/>
              </w:rPr>
              <w:t>Total</w:t>
            </w:r>
          </w:p>
        </w:tc>
        <w:tc>
          <w:tcPr>
            <w:tcW w:w="2286" w:type="dxa"/>
            <w:tcBorders>
              <w:top w:val="single" w:sz="4" w:space="0" w:color="000000"/>
              <w:bottom w:val="single" w:sz="4" w:space="0" w:color="000000"/>
            </w:tcBorders>
          </w:tcPr>
          <w:p>
            <w:pPr>
              <w:pStyle w:val="TableParagraph"/>
              <w:jc w:val="left"/>
              <w:rPr>
                <w:sz w:val="18"/>
              </w:rPr>
            </w:pPr>
          </w:p>
        </w:tc>
        <w:tc>
          <w:tcPr>
            <w:tcW w:w="1002" w:type="dxa"/>
            <w:tcBorders>
              <w:top w:val="single" w:sz="4" w:space="0" w:color="000000"/>
              <w:bottom w:val="single" w:sz="4" w:space="0" w:color="000000"/>
            </w:tcBorders>
          </w:tcPr>
          <w:p>
            <w:pPr>
              <w:pStyle w:val="TableParagraph"/>
              <w:spacing w:line="229" w:lineRule="exact" w:before="24"/>
              <w:ind w:right="6"/>
              <w:rPr>
                <w:b/>
                <w:sz w:val="20"/>
              </w:rPr>
            </w:pPr>
            <w:r>
              <w:rPr>
                <w:b/>
                <w:spacing w:val="-5"/>
                <w:sz w:val="20"/>
              </w:rPr>
              <w:t>96</w:t>
            </w:r>
          </w:p>
        </w:tc>
      </w:tr>
    </w:tbl>
    <w:p>
      <w:pPr>
        <w:pStyle w:val="ListParagraph"/>
        <w:numPr>
          <w:ilvl w:val="0"/>
          <w:numId w:val="4"/>
        </w:numPr>
        <w:tabs>
          <w:tab w:pos="2967" w:val="left" w:leader="none"/>
        </w:tabs>
        <w:spacing w:line="240" w:lineRule="auto" w:before="136" w:after="0"/>
        <w:ind w:left="2246" w:right="2241" w:firstLine="0"/>
        <w:jc w:val="both"/>
        <w:rPr>
          <w:sz w:val="20"/>
        </w:rPr>
      </w:pPr>
      <w:r>
        <w:rPr>
          <w:sz w:val="20"/>
        </w:rPr>
        <w:t>At the time of the submission of 2022 budget proposal, the</w:t>
      </w:r>
      <w:r>
        <w:rPr>
          <w:spacing w:val="-1"/>
          <w:sz w:val="20"/>
        </w:rPr>
        <w:t> </w:t>
      </w:r>
      <w:r>
        <w:rPr>
          <w:sz w:val="20"/>
        </w:rPr>
        <w:t>Prosecutor had been at the helm of the Office for about one month. While the vision of the Prosecutor was duly reflected in the pillar-based reorganization of the Office, the refinement of some structural and operational details were necessarily left to a thorough evaluation to be performed</w:t>
      </w:r>
      <w:r>
        <w:rPr>
          <w:spacing w:val="40"/>
          <w:sz w:val="20"/>
        </w:rPr>
        <w:t> </w:t>
      </w:r>
      <w:r>
        <w:rPr>
          <w:sz w:val="20"/>
        </w:rPr>
        <w:t>during</w:t>
      </w:r>
      <w:r>
        <w:rPr>
          <w:spacing w:val="-4"/>
          <w:sz w:val="20"/>
        </w:rPr>
        <w:t> </w:t>
      </w:r>
      <w:r>
        <w:rPr>
          <w:sz w:val="20"/>
        </w:rPr>
        <w:t>2022. For instance, in the 2022 proposal the two Deputy Prosecutors’ pillars were presented as one programme since the decision on the split of situations and cases to be allocated to each deputy Prosecutor had not yet been finalised.</w:t>
      </w:r>
    </w:p>
    <w:p>
      <w:pPr>
        <w:pStyle w:val="ListParagraph"/>
        <w:numPr>
          <w:ilvl w:val="0"/>
          <w:numId w:val="4"/>
        </w:numPr>
        <w:tabs>
          <w:tab w:pos="2967" w:val="left" w:leader="none"/>
        </w:tabs>
        <w:spacing w:line="240" w:lineRule="auto" w:before="119" w:after="0"/>
        <w:ind w:left="2246" w:right="2243" w:firstLine="0"/>
        <w:jc w:val="both"/>
        <w:rPr>
          <w:sz w:val="20"/>
        </w:rPr>
      </w:pPr>
      <w:r>
        <w:rPr>
          <w:sz w:val="20"/>
        </w:rPr>
        <w:t>Benefitting</w:t>
      </w:r>
      <w:r>
        <w:rPr>
          <w:spacing w:val="-10"/>
          <w:sz w:val="20"/>
        </w:rPr>
        <w:t> </w:t>
      </w:r>
      <w:r>
        <w:rPr>
          <w:sz w:val="20"/>
        </w:rPr>
        <w:t>from</w:t>
      </w:r>
      <w:r>
        <w:rPr>
          <w:spacing w:val="-9"/>
          <w:sz w:val="20"/>
        </w:rPr>
        <w:t> </w:t>
      </w:r>
      <w:r>
        <w:rPr>
          <w:sz w:val="20"/>
        </w:rPr>
        <w:t>the</w:t>
      </w:r>
      <w:r>
        <w:rPr>
          <w:spacing w:val="-9"/>
          <w:sz w:val="20"/>
        </w:rPr>
        <w:t> </w:t>
      </w:r>
      <w:r>
        <w:rPr>
          <w:sz w:val="20"/>
        </w:rPr>
        <w:t>assessment</w:t>
      </w:r>
      <w:r>
        <w:rPr>
          <w:spacing w:val="-9"/>
          <w:sz w:val="20"/>
        </w:rPr>
        <w:t> </w:t>
      </w:r>
      <w:r>
        <w:rPr>
          <w:sz w:val="20"/>
        </w:rPr>
        <w:t>done</w:t>
      </w:r>
      <w:r>
        <w:rPr>
          <w:spacing w:val="-9"/>
          <w:sz w:val="20"/>
        </w:rPr>
        <w:t> </w:t>
      </w:r>
      <w:r>
        <w:rPr>
          <w:sz w:val="20"/>
        </w:rPr>
        <w:t>in</w:t>
      </w:r>
      <w:r>
        <w:rPr>
          <w:spacing w:val="-10"/>
          <w:sz w:val="20"/>
        </w:rPr>
        <w:t> </w:t>
      </w:r>
      <w:r>
        <w:rPr>
          <w:sz w:val="20"/>
        </w:rPr>
        <w:t>2022,</w:t>
      </w:r>
      <w:r>
        <w:rPr>
          <w:spacing w:val="-8"/>
          <w:sz w:val="20"/>
        </w:rPr>
        <w:t> </w:t>
      </w:r>
      <w:r>
        <w:rPr>
          <w:sz w:val="20"/>
        </w:rPr>
        <w:t>the</w:t>
      </w:r>
      <w:r>
        <w:rPr>
          <w:spacing w:val="-9"/>
          <w:sz w:val="20"/>
        </w:rPr>
        <w:t> </w:t>
      </w:r>
      <w:r>
        <w:rPr>
          <w:sz w:val="20"/>
        </w:rPr>
        <w:t>needs</w:t>
      </w:r>
      <w:r>
        <w:rPr>
          <w:spacing w:val="-12"/>
          <w:sz w:val="20"/>
        </w:rPr>
        <w:t> </w:t>
      </w:r>
      <w:r>
        <w:rPr>
          <w:sz w:val="20"/>
        </w:rPr>
        <w:t>of</w:t>
      </w:r>
      <w:r>
        <w:rPr>
          <w:spacing w:val="-10"/>
          <w:sz w:val="20"/>
        </w:rPr>
        <w:t> </w:t>
      </w:r>
      <w:r>
        <w:rPr>
          <w:sz w:val="20"/>
        </w:rPr>
        <w:t>the</w:t>
      </w:r>
      <w:r>
        <w:rPr>
          <w:spacing w:val="-9"/>
          <w:sz w:val="20"/>
        </w:rPr>
        <w:t> </w:t>
      </w:r>
      <w:r>
        <w:rPr>
          <w:sz w:val="20"/>
        </w:rPr>
        <w:t>different</w:t>
      </w:r>
      <w:r>
        <w:rPr>
          <w:spacing w:val="-9"/>
          <w:sz w:val="20"/>
        </w:rPr>
        <w:t> </w:t>
      </w:r>
      <w:r>
        <w:rPr>
          <w:sz w:val="20"/>
        </w:rPr>
        <w:t>pillars</w:t>
      </w:r>
      <w:r>
        <w:rPr>
          <w:spacing w:val="-12"/>
          <w:sz w:val="20"/>
        </w:rPr>
        <w:t> </w:t>
      </w:r>
      <w:r>
        <w:rPr>
          <w:sz w:val="20"/>
        </w:rPr>
        <w:t>have been further detailed. The 2023 budget proposal reflects this evaluation. The increased workload</w:t>
      </w:r>
      <w:r>
        <w:rPr>
          <w:spacing w:val="-5"/>
          <w:sz w:val="20"/>
        </w:rPr>
        <w:t> </w:t>
      </w:r>
      <w:r>
        <w:rPr>
          <w:sz w:val="20"/>
        </w:rPr>
        <w:t>in</w:t>
      </w:r>
      <w:r>
        <w:rPr>
          <w:spacing w:val="-5"/>
          <w:sz w:val="20"/>
        </w:rPr>
        <w:t> </w:t>
      </w:r>
      <w:r>
        <w:rPr>
          <w:sz w:val="20"/>
        </w:rPr>
        <w:t>the</w:t>
      </w:r>
      <w:r>
        <w:rPr>
          <w:spacing w:val="-3"/>
          <w:sz w:val="20"/>
        </w:rPr>
        <w:t> </w:t>
      </w:r>
      <w:r>
        <w:rPr>
          <w:sz w:val="20"/>
        </w:rPr>
        <w:t>Prosecutor’s</w:t>
      </w:r>
      <w:r>
        <w:rPr>
          <w:spacing w:val="-1"/>
          <w:sz w:val="20"/>
        </w:rPr>
        <w:t> </w:t>
      </w:r>
      <w:r>
        <w:rPr>
          <w:sz w:val="20"/>
        </w:rPr>
        <w:t>pillar</w:t>
      </w:r>
      <w:r>
        <w:rPr>
          <w:spacing w:val="-5"/>
          <w:sz w:val="20"/>
        </w:rPr>
        <w:t> </w:t>
      </w:r>
      <w:r>
        <w:rPr>
          <w:sz w:val="20"/>
        </w:rPr>
        <w:t>(Programme</w:t>
      </w:r>
      <w:r>
        <w:rPr>
          <w:spacing w:val="-3"/>
          <w:sz w:val="20"/>
        </w:rPr>
        <w:t> </w:t>
      </w:r>
      <w:r>
        <w:rPr>
          <w:sz w:val="20"/>
        </w:rPr>
        <w:t>2500) following</w:t>
      </w:r>
      <w:r>
        <w:rPr>
          <w:spacing w:val="-5"/>
          <w:sz w:val="20"/>
        </w:rPr>
        <w:t> </w:t>
      </w:r>
      <w:r>
        <w:rPr>
          <w:sz w:val="20"/>
        </w:rPr>
        <w:t>the</w:t>
      </w:r>
      <w:r>
        <w:rPr>
          <w:spacing w:val="-3"/>
          <w:sz w:val="20"/>
        </w:rPr>
        <w:t> </w:t>
      </w:r>
      <w:r>
        <w:rPr>
          <w:sz w:val="20"/>
        </w:rPr>
        <w:t>opening of</w:t>
      </w:r>
      <w:r>
        <w:rPr>
          <w:spacing w:val="-5"/>
          <w:sz w:val="20"/>
        </w:rPr>
        <w:t> </w:t>
      </w:r>
      <w:r>
        <w:rPr>
          <w:sz w:val="20"/>
        </w:rPr>
        <w:t>the Ukraine investigation</w:t>
      </w:r>
      <w:r>
        <w:rPr>
          <w:spacing w:val="-8"/>
          <w:sz w:val="20"/>
        </w:rPr>
        <w:t> </w:t>
      </w:r>
      <w:r>
        <w:rPr>
          <w:sz w:val="20"/>
        </w:rPr>
        <w:t>and</w:t>
      </w:r>
      <w:r>
        <w:rPr>
          <w:spacing w:val="-8"/>
          <w:sz w:val="20"/>
        </w:rPr>
        <w:t> </w:t>
      </w:r>
      <w:r>
        <w:rPr>
          <w:sz w:val="20"/>
        </w:rPr>
        <w:t>the</w:t>
      </w:r>
      <w:r>
        <w:rPr>
          <w:spacing w:val="-7"/>
          <w:sz w:val="20"/>
        </w:rPr>
        <w:t> </w:t>
      </w:r>
      <w:r>
        <w:rPr>
          <w:sz w:val="20"/>
        </w:rPr>
        <w:t>reorganization</w:t>
      </w:r>
      <w:r>
        <w:rPr>
          <w:spacing w:val="-4"/>
          <w:sz w:val="20"/>
        </w:rPr>
        <w:t> </w:t>
      </w:r>
      <w:r>
        <w:rPr>
          <w:sz w:val="20"/>
        </w:rPr>
        <w:t>of</w:t>
      </w:r>
      <w:r>
        <w:rPr>
          <w:spacing w:val="-4"/>
          <w:sz w:val="20"/>
        </w:rPr>
        <w:t> </w:t>
      </w:r>
      <w:r>
        <w:rPr>
          <w:sz w:val="20"/>
        </w:rPr>
        <w:t>the</w:t>
      </w:r>
      <w:r>
        <w:rPr>
          <w:spacing w:val="-2"/>
          <w:sz w:val="20"/>
        </w:rPr>
        <w:t> </w:t>
      </w:r>
      <w:r>
        <w:rPr>
          <w:sz w:val="20"/>
        </w:rPr>
        <w:t>Office</w:t>
      </w:r>
      <w:r>
        <w:rPr>
          <w:spacing w:val="-2"/>
          <w:sz w:val="20"/>
        </w:rPr>
        <w:t> </w:t>
      </w:r>
      <w:r>
        <w:rPr>
          <w:sz w:val="20"/>
        </w:rPr>
        <w:t>of</w:t>
      </w:r>
      <w:r>
        <w:rPr>
          <w:spacing w:val="-8"/>
          <w:sz w:val="20"/>
        </w:rPr>
        <w:t> </w:t>
      </w:r>
      <w:r>
        <w:rPr>
          <w:sz w:val="20"/>
        </w:rPr>
        <w:t>External</w:t>
      </w:r>
      <w:r>
        <w:rPr>
          <w:spacing w:val="-7"/>
          <w:sz w:val="20"/>
        </w:rPr>
        <w:t> </w:t>
      </w:r>
      <w:r>
        <w:rPr>
          <w:sz w:val="20"/>
        </w:rPr>
        <w:t>Affairs</w:t>
      </w:r>
      <w:r>
        <w:rPr>
          <w:spacing w:val="-10"/>
          <w:sz w:val="20"/>
        </w:rPr>
        <w:t> </w:t>
      </w:r>
      <w:r>
        <w:rPr>
          <w:sz w:val="20"/>
        </w:rPr>
        <w:t>calls</w:t>
      </w:r>
      <w:r>
        <w:rPr>
          <w:spacing w:val="-5"/>
          <w:sz w:val="20"/>
        </w:rPr>
        <w:t> </w:t>
      </w:r>
      <w:r>
        <w:rPr>
          <w:sz w:val="20"/>
        </w:rPr>
        <w:t>for</w:t>
      </w:r>
      <w:r>
        <w:rPr>
          <w:spacing w:val="-4"/>
          <w:sz w:val="20"/>
        </w:rPr>
        <w:t> </w:t>
      </w:r>
      <w:r>
        <w:rPr>
          <w:sz w:val="20"/>
        </w:rPr>
        <w:t>a</w:t>
      </w:r>
      <w:r>
        <w:rPr>
          <w:spacing w:val="-7"/>
          <w:sz w:val="20"/>
        </w:rPr>
        <w:t> </w:t>
      </w:r>
      <w:r>
        <w:rPr>
          <w:sz w:val="20"/>
        </w:rPr>
        <w:t>strengthened Immediate Office. The redeployment of the Special Assistant (P-3) from the IOP to the Deputy Prosecutor pillar could not be implemented. Nevertheless, the Deputy Prosecutor needs a Special Assistant to support her activities. This is why one Special Assistant to the</w:t>
      </w:r>
    </w:p>
    <w:p>
      <w:pPr>
        <w:pStyle w:val="BodyText"/>
      </w:pPr>
    </w:p>
    <w:p>
      <w:pPr>
        <w:pStyle w:val="BodyText"/>
      </w:pPr>
    </w:p>
    <w:p>
      <w:pPr>
        <w:pStyle w:val="BodyText"/>
        <w:spacing w:before="3"/>
        <w:rPr>
          <w:sz w:val="13"/>
        </w:rPr>
      </w:pPr>
      <w:r>
        <w:rPr/>
        <w:pict>
          <v:rect style="position:absolute;margin-left:113.330002pt;margin-top:8.831585pt;width:144.050pt;height:.48004pt;mso-position-horizontal-relative:page;mso-position-vertical-relative:paragraph;z-index:-15702528;mso-wrap-distance-left:0;mso-wrap-distance-right:0" id="docshape128" filled="true" fillcolor="#000000" stroked="false">
            <v:fill type="solid"/>
            <w10:wrap type="topAndBottom"/>
          </v:rect>
        </w:pict>
      </w:r>
    </w:p>
    <w:p>
      <w:pPr>
        <w:spacing w:before="86"/>
        <w:ind w:left="2246" w:right="0" w:firstLine="0"/>
        <w:jc w:val="left"/>
        <w:rPr>
          <w:sz w:val="16"/>
        </w:rPr>
      </w:pPr>
      <w:r>
        <w:rPr>
          <w:position w:val="5"/>
          <w:sz w:val="10"/>
        </w:rPr>
        <w:t>79</w:t>
      </w:r>
      <w:r>
        <w:rPr>
          <w:spacing w:val="11"/>
          <w:position w:val="5"/>
          <w:sz w:val="10"/>
        </w:rPr>
        <w:t> </w:t>
      </w:r>
      <w:r>
        <w:rPr>
          <w:sz w:val="16"/>
        </w:rPr>
        <w:t>Repurposed</w:t>
      </w:r>
      <w:r>
        <w:rPr>
          <w:spacing w:val="-3"/>
          <w:sz w:val="16"/>
        </w:rPr>
        <w:t> </w:t>
      </w:r>
      <w:r>
        <w:rPr>
          <w:sz w:val="16"/>
        </w:rPr>
        <w:t>from</w:t>
      </w:r>
      <w:r>
        <w:rPr>
          <w:spacing w:val="-5"/>
          <w:sz w:val="16"/>
        </w:rPr>
        <w:t> </w:t>
      </w:r>
      <w:r>
        <w:rPr>
          <w:sz w:val="16"/>
        </w:rPr>
        <w:t>Director,</w:t>
      </w:r>
      <w:r>
        <w:rPr>
          <w:spacing w:val="-6"/>
          <w:sz w:val="16"/>
        </w:rPr>
        <w:t> </w:t>
      </w:r>
      <w:r>
        <w:rPr>
          <w:sz w:val="16"/>
        </w:rPr>
        <w:t>Office</w:t>
      </w:r>
      <w:r>
        <w:rPr>
          <w:spacing w:val="-4"/>
          <w:sz w:val="16"/>
        </w:rPr>
        <w:t> </w:t>
      </w:r>
      <w:r>
        <w:rPr>
          <w:sz w:val="16"/>
        </w:rPr>
        <w:t>of</w:t>
      </w:r>
      <w:r>
        <w:rPr>
          <w:spacing w:val="-5"/>
          <w:sz w:val="16"/>
        </w:rPr>
        <w:t> </w:t>
      </w:r>
      <w:r>
        <w:rPr>
          <w:sz w:val="16"/>
        </w:rPr>
        <w:t>External</w:t>
      </w:r>
      <w:r>
        <w:rPr>
          <w:spacing w:val="-6"/>
          <w:sz w:val="16"/>
        </w:rPr>
        <w:t> </w:t>
      </w:r>
      <w:r>
        <w:rPr>
          <w:sz w:val="16"/>
        </w:rPr>
        <w:t>Affairs</w:t>
      </w:r>
      <w:r>
        <w:rPr>
          <w:spacing w:val="-5"/>
          <w:sz w:val="16"/>
        </w:rPr>
        <w:t> </w:t>
      </w:r>
      <w:r>
        <w:rPr>
          <w:sz w:val="16"/>
        </w:rPr>
        <w:t>(D-1),</w:t>
      </w:r>
      <w:r>
        <w:rPr>
          <w:spacing w:val="-7"/>
          <w:sz w:val="16"/>
        </w:rPr>
        <w:t> </w:t>
      </w:r>
      <w:r>
        <w:rPr>
          <w:sz w:val="16"/>
        </w:rPr>
        <w:t>formerly</w:t>
      </w:r>
      <w:r>
        <w:rPr>
          <w:spacing w:val="-3"/>
          <w:sz w:val="16"/>
        </w:rPr>
        <w:t> </w:t>
      </w:r>
      <w:r>
        <w:rPr>
          <w:sz w:val="16"/>
        </w:rPr>
        <w:t>in</w:t>
      </w:r>
      <w:r>
        <w:rPr>
          <w:spacing w:val="1"/>
          <w:sz w:val="16"/>
        </w:rPr>
        <w:t> </w:t>
      </w:r>
      <w:r>
        <w:rPr>
          <w:sz w:val="16"/>
        </w:rPr>
        <w:t>Sub-Programme</w:t>
      </w:r>
      <w:r>
        <w:rPr>
          <w:spacing w:val="-4"/>
          <w:sz w:val="16"/>
        </w:rPr>
        <w:t> </w:t>
      </w:r>
      <w:r>
        <w:rPr>
          <w:spacing w:val="-2"/>
          <w:sz w:val="16"/>
        </w:rPr>
        <w:t>2530.</w:t>
      </w:r>
    </w:p>
    <w:p>
      <w:pPr>
        <w:spacing w:after="0"/>
        <w:jc w:val="left"/>
        <w:rPr>
          <w:sz w:val="16"/>
        </w:rPr>
        <w:sectPr>
          <w:pgSz w:w="11910" w:h="16840"/>
          <w:pgMar w:header="953" w:footer="940" w:top="1140" w:bottom="1140" w:left="20" w:right="20"/>
        </w:sectPr>
      </w:pPr>
    </w:p>
    <w:p>
      <w:pPr>
        <w:pStyle w:val="BodyText"/>
        <w:spacing w:before="120"/>
        <w:ind w:left="2246" w:right="2195"/>
      </w:pPr>
      <w:r>
        <w:rPr/>
        <w:t>Deputy</w:t>
      </w:r>
      <w:r>
        <w:rPr>
          <w:spacing w:val="30"/>
        </w:rPr>
        <w:t> </w:t>
      </w:r>
      <w:r>
        <w:rPr/>
        <w:t>Prosecutor</w:t>
      </w:r>
      <w:r>
        <w:rPr>
          <w:spacing w:val="30"/>
        </w:rPr>
        <w:t> </w:t>
      </w:r>
      <w:r>
        <w:rPr/>
        <w:t>(P-3)</w:t>
      </w:r>
      <w:r>
        <w:rPr>
          <w:spacing w:val="35"/>
        </w:rPr>
        <w:t> </w:t>
      </w:r>
      <w:r>
        <w:rPr/>
        <w:t>is</w:t>
      </w:r>
      <w:r>
        <w:rPr>
          <w:spacing w:val="28"/>
        </w:rPr>
        <w:t> </w:t>
      </w:r>
      <w:r>
        <w:rPr/>
        <w:t>requested</w:t>
      </w:r>
      <w:r>
        <w:rPr>
          <w:spacing w:val="35"/>
        </w:rPr>
        <w:t> </w:t>
      </w:r>
      <w:r>
        <w:rPr/>
        <w:t>in</w:t>
      </w:r>
      <w:r>
        <w:rPr>
          <w:spacing w:val="35"/>
        </w:rPr>
        <w:t> </w:t>
      </w:r>
      <w:r>
        <w:rPr/>
        <w:t>the</w:t>
      </w:r>
      <w:r>
        <w:rPr>
          <w:spacing w:val="36"/>
        </w:rPr>
        <w:t> </w:t>
      </w:r>
      <w:r>
        <w:rPr/>
        <w:t>2023</w:t>
      </w:r>
      <w:r>
        <w:rPr>
          <w:spacing w:val="35"/>
        </w:rPr>
        <w:t> </w:t>
      </w:r>
      <w:r>
        <w:rPr/>
        <w:t>PPB.</w:t>
      </w:r>
      <w:r>
        <w:rPr>
          <w:spacing w:val="32"/>
        </w:rPr>
        <w:t> </w:t>
      </w:r>
      <w:r>
        <w:rPr/>
        <w:t>This</w:t>
      </w:r>
      <w:r>
        <w:rPr>
          <w:spacing w:val="33"/>
        </w:rPr>
        <w:t> </w:t>
      </w:r>
      <w:r>
        <w:rPr/>
        <w:t>post</w:t>
      </w:r>
      <w:r>
        <w:rPr>
          <w:spacing w:val="36"/>
        </w:rPr>
        <w:t> </w:t>
      </w:r>
      <w:r>
        <w:rPr/>
        <w:t>will</w:t>
      </w:r>
      <w:r>
        <w:rPr>
          <w:spacing w:val="32"/>
        </w:rPr>
        <w:t> </w:t>
      </w:r>
      <w:r>
        <w:rPr/>
        <w:t>be</w:t>
      </w:r>
      <w:r>
        <w:rPr>
          <w:spacing w:val="31"/>
        </w:rPr>
        <w:t> </w:t>
      </w:r>
      <w:r>
        <w:rPr/>
        <w:t>left</w:t>
      </w:r>
      <w:r>
        <w:rPr>
          <w:spacing w:val="36"/>
        </w:rPr>
        <w:t> </w:t>
      </w:r>
      <w:r>
        <w:rPr/>
        <w:t>unfunded in 2023.</w:t>
      </w:r>
    </w:p>
    <w:p>
      <w:pPr>
        <w:pStyle w:val="ListParagraph"/>
        <w:numPr>
          <w:ilvl w:val="0"/>
          <w:numId w:val="4"/>
        </w:numPr>
        <w:tabs>
          <w:tab w:pos="2967" w:val="left" w:leader="none"/>
        </w:tabs>
        <w:spacing w:line="240" w:lineRule="auto" w:before="121" w:after="0"/>
        <w:ind w:left="2246" w:right="2243" w:firstLine="0"/>
        <w:jc w:val="both"/>
        <w:rPr>
          <w:sz w:val="20"/>
        </w:rPr>
      </w:pPr>
      <w:r>
        <w:rPr>
          <w:sz w:val="20"/>
        </w:rPr>
        <w:t>One GTA position, Legal Officer (P-3), is requested for conversion. The position has been requested and approved since 2017. The conversion is justified by the continuous structural need of the role and functions</w:t>
      </w:r>
      <w:r>
        <w:rPr>
          <w:spacing w:val="-1"/>
          <w:sz w:val="20"/>
        </w:rPr>
        <w:t> </w:t>
      </w:r>
      <w:r>
        <w:rPr>
          <w:sz w:val="20"/>
        </w:rPr>
        <w:t>involved and</w:t>
      </w:r>
      <w:r>
        <w:rPr>
          <w:spacing w:val="-5"/>
          <w:sz w:val="20"/>
        </w:rPr>
        <w:t> </w:t>
      </w:r>
      <w:r>
        <w:rPr>
          <w:sz w:val="20"/>
        </w:rPr>
        <w:t>is</w:t>
      </w:r>
      <w:r>
        <w:rPr>
          <w:spacing w:val="-1"/>
          <w:sz w:val="20"/>
        </w:rPr>
        <w:t> </w:t>
      </w:r>
      <w:r>
        <w:rPr>
          <w:sz w:val="20"/>
        </w:rPr>
        <w:t>compliant with the applicable Staff Regulations and Rules as well as with the established policies of the Court for this matter. The</w:t>
      </w:r>
      <w:r>
        <w:rPr>
          <w:spacing w:val="-13"/>
          <w:sz w:val="20"/>
        </w:rPr>
        <w:t> </w:t>
      </w:r>
      <w:r>
        <w:rPr>
          <w:sz w:val="20"/>
        </w:rPr>
        <w:t>conversion</w:t>
      </w:r>
      <w:r>
        <w:rPr>
          <w:spacing w:val="-12"/>
          <w:sz w:val="20"/>
        </w:rPr>
        <w:t> </w:t>
      </w:r>
      <w:r>
        <w:rPr>
          <w:sz w:val="20"/>
        </w:rPr>
        <w:t>of</w:t>
      </w:r>
      <w:r>
        <w:rPr>
          <w:spacing w:val="-13"/>
          <w:sz w:val="20"/>
        </w:rPr>
        <w:t> </w:t>
      </w:r>
      <w:r>
        <w:rPr>
          <w:sz w:val="20"/>
        </w:rPr>
        <w:t>this</w:t>
      </w:r>
      <w:r>
        <w:rPr>
          <w:spacing w:val="-12"/>
          <w:sz w:val="20"/>
        </w:rPr>
        <w:t> </w:t>
      </w:r>
      <w:r>
        <w:rPr>
          <w:sz w:val="20"/>
        </w:rPr>
        <w:t>position</w:t>
      </w:r>
      <w:r>
        <w:rPr>
          <w:spacing w:val="-13"/>
          <w:sz w:val="20"/>
        </w:rPr>
        <w:t> </w:t>
      </w:r>
      <w:r>
        <w:rPr>
          <w:sz w:val="20"/>
        </w:rPr>
        <w:t>has</w:t>
      </w:r>
      <w:r>
        <w:rPr>
          <w:spacing w:val="-12"/>
          <w:sz w:val="20"/>
        </w:rPr>
        <w:t> </w:t>
      </w:r>
      <w:r>
        <w:rPr>
          <w:sz w:val="20"/>
        </w:rPr>
        <w:t>a</w:t>
      </w:r>
      <w:r>
        <w:rPr>
          <w:spacing w:val="-13"/>
          <w:sz w:val="20"/>
        </w:rPr>
        <w:t> </w:t>
      </w:r>
      <w:r>
        <w:rPr>
          <w:sz w:val="20"/>
        </w:rPr>
        <w:t>positive</w:t>
      </w:r>
      <w:r>
        <w:rPr>
          <w:spacing w:val="-12"/>
          <w:sz w:val="20"/>
        </w:rPr>
        <w:t> </w:t>
      </w:r>
      <w:r>
        <w:rPr>
          <w:sz w:val="20"/>
        </w:rPr>
        <w:t>financial</w:t>
      </w:r>
      <w:r>
        <w:rPr>
          <w:spacing w:val="-13"/>
          <w:sz w:val="20"/>
        </w:rPr>
        <w:t> </w:t>
      </w:r>
      <w:r>
        <w:rPr>
          <w:sz w:val="20"/>
        </w:rPr>
        <w:t>impact</w:t>
      </w:r>
      <w:r>
        <w:rPr>
          <w:spacing w:val="-12"/>
          <w:sz w:val="20"/>
        </w:rPr>
        <w:t> </w:t>
      </w:r>
      <w:r>
        <w:rPr>
          <w:sz w:val="20"/>
        </w:rPr>
        <w:t>(€10.3</w:t>
      </w:r>
      <w:r>
        <w:rPr>
          <w:spacing w:val="-13"/>
          <w:sz w:val="20"/>
        </w:rPr>
        <w:t> </w:t>
      </w:r>
      <w:r>
        <w:rPr>
          <w:sz w:val="20"/>
        </w:rPr>
        <w:t>thousand)</w:t>
      </w:r>
      <w:r>
        <w:rPr>
          <w:spacing w:val="-12"/>
          <w:sz w:val="20"/>
        </w:rPr>
        <w:t> </w:t>
      </w:r>
      <w:r>
        <w:rPr>
          <w:sz w:val="20"/>
        </w:rPr>
        <w:t>on</w:t>
      </w:r>
      <w:r>
        <w:rPr>
          <w:spacing w:val="-13"/>
          <w:sz w:val="20"/>
        </w:rPr>
        <w:t> </w:t>
      </w:r>
      <w:r>
        <w:rPr>
          <w:sz w:val="20"/>
        </w:rPr>
        <w:t>the</w:t>
      </w:r>
      <w:r>
        <w:rPr>
          <w:spacing w:val="-12"/>
          <w:sz w:val="20"/>
        </w:rPr>
        <w:t> </w:t>
      </w:r>
      <w:r>
        <w:rPr>
          <w:sz w:val="20"/>
        </w:rPr>
        <w:t>budget proposal as</w:t>
      </w:r>
      <w:r>
        <w:rPr>
          <w:spacing w:val="-1"/>
          <w:sz w:val="20"/>
        </w:rPr>
        <w:t> </w:t>
      </w:r>
      <w:r>
        <w:rPr>
          <w:sz w:val="20"/>
        </w:rPr>
        <w:t>it will be subject to the reduction due to the application of the relevant vacancy </w:t>
      </w:r>
      <w:r>
        <w:rPr>
          <w:spacing w:val="-2"/>
          <w:sz w:val="20"/>
        </w:rPr>
        <w:t>rate.</w:t>
      </w:r>
    </w:p>
    <w:p>
      <w:pPr>
        <w:pStyle w:val="BodyText"/>
        <w:spacing w:before="2"/>
        <w:rPr>
          <w:sz w:val="21"/>
        </w:rPr>
      </w:pPr>
    </w:p>
    <w:p>
      <w:pPr>
        <w:tabs>
          <w:tab w:pos="8133" w:val="left" w:leader="none"/>
        </w:tabs>
        <w:spacing w:before="0"/>
        <w:ind w:left="2246" w:right="0" w:firstLine="0"/>
        <w:jc w:val="left"/>
        <w:rPr>
          <w:i/>
          <w:sz w:val="20"/>
        </w:rPr>
      </w:pPr>
      <w:r>
        <w:rPr>
          <w:i/>
          <w:sz w:val="20"/>
        </w:rPr>
        <w:t>General</w:t>
      </w:r>
      <w:r>
        <w:rPr>
          <w:i/>
          <w:spacing w:val="-9"/>
          <w:sz w:val="20"/>
        </w:rPr>
        <w:t> </w:t>
      </w:r>
      <w:r>
        <w:rPr>
          <w:i/>
          <w:sz w:val="20"/>
        </w:rPr>
        <w:t>temporary</w:t>
      </w:r>
      <w:r>
        <w:rPr>
          <w:i/>
          <w:spacing w:val="-4"/>
          <w:sz w:val="20"/>
        </w:rPr>
        <w:t> </w:t>
      </w:r>
      <w:r>
        <w:rPr>
          <w:i/>
          <w:spacing w:val="-2"/>
          <w:sz w:val="20"/>
        </w:rPr>
        <w:t>assistance</w:t>
      </w:r>
      <w:r>
        <w:rPr>
          <w:i/>
          <w:sz w:val="20"/>
        </w:rPr>
        <w:tab/>
        <w:t>€4,774.0</w:t>
      </w:r>
      <w:r>
        <w:rPr>
          <w:i/>
          <w:spacing w:val="-4"/>
          <w:sz w:val="20"/>
        </w:rPr>
        <w:t> </w:t>
      </w:r>
      <w:r>
        <w:rPr>
          <w:i/>
          <w:spacing w:val="-2"/>
          <w:sz w:val="20"/>
        </w:rPr>
        <w:t>thousand</w:t>
      </w:r>
    </w:p>
    <w:p>
      <w:pPr>
        <w:pStyle w:val="BodyText"/>
        <w:spacing w:before="6"/>
        <w:rPr>
          <w:i/>
        </w:rPr>
      </w:pPr>
    </w:p>
    <w:p>
      <w:pPr>
        <w:pStyle w:val="ListParagraph"/>
        <w:numPr>
          <w:ilvl w:val="0"/>
          <w:numId w:val="4"/>
        </w:numPr>
        <w:tabs>
          <w:tab w:pos="2967" w:val="left" w:leader="none"/>
        </w:tabs>
        <w:spacing w:line="240" w:lineRule="auto" w:before="0" w:after="0"/>
        <w:ind w:left="2246" w:right="2245" w:firstLine="0"/>
        <w:jc w:val="both"/>
        <w:rPr>
          <w:sz w:val="20"/>
        </w:rPr>
      </w:pPr>
      <w:r>
        <w:rPr>
          <w:sz w:val="20"/>
        </w:rPr>
        <w:t>Resources</w:t>
      </w:r>
      <w:r>
        <w:rPr>
          <w:spacing w:val="-2"/>
          <w:sz w:val="20"/>
        </w:rPr>
        <w:t> </w:t>
      </w:r>
      <w:r>
        <w:rPr>
          <w:sz w:val="20"/>
        </w:rPr>
        <w:t>are requested for the continuation of existing GTA positions previously approved</w:t>
      </w:r>
      <w:r>
        <w:rPr>
          <w:spacing w:val="-8"/>
          <w:sz w:val="20"/>
        </w:rPr>
        <w:t> </w:t>
      </w:r>
      <w:r>
        <w:rPr>
          <w:sz w:val="20"/>
        </w:rPr>
        <w:t>in</w:t>
      </w:r>
      <w:r>
        <w:rPr>
          <w:spacing w:val="-4"/>
          <w:sz w:val="20"/>
        </w:rPr>
        <w:t> </w:t>
      </w:r>
      <w:r>
        <w:rPr>
          <w:sz w:val="20"/>
        </w:rPr>
        <w:t>the</w:t>
      </w:r>
      <w:r>
        <w:rPr>
          <w:spacing w:val="-7"/>
          <w:sz w:val="20"/>
        </w:rPr>
        <w:t> </w:t>
      </w:r>
      <w:r>
        <w:rPr>
          <w:sz w:val="20"/>
        </w:rPr>
        <w:t>2022</w:t>
      </w:r>
      <w:r>
        <w:rPr>
          <w:spacing w:val="-4"/>
          <w:sz w:val="20"/>
        </w:rPr>
        <w:t> </w:t>
      </w:r>
      <w:r>
        <w:rPr>
          <w:sz w:val="20"/>
        </w:rPr>
        <w:t>budget.</w:t>
      </w:r>
      <w:r>
        <w:rPr>
          <w:spacing w:val="-6"/>
          <w:sz w:val="20"/>
        </w:rPr>
        <w:t> </w:t>
      </w:r>
      <w:r>
        <w:rPr>
          <w:sz w:val="20"/>
        </w:rPr>
        <w:t>Thirteen</w:t>
      </w:r>
      <w:r>
        <w:rPr>
          <w:spacing w:val="-4"/>
          <w:sz w:val="20"/>
        </w:rPr>
        <w:t> </w:t>
      </w:r>
      <w:r>
        <w:rPr>
          <w:sz w:val="20"/>
        </w:rPr>
        <w:t>new</w:t>
      </w:r>
      <w:r>
        <w:rPr>
          <w:spacing w:val="-10"/>
          <w:sz w:val="20"/>
        </w:rPr>
        <w:t> </w:t>
      </w:r>
      <w:r>
        <w:rPr>
          <w:sz w:val="20"/>
        </w:rPr>
        <w:t>GTA</w:t>
      </w:r>
      <w:r>
        <w:rPr>
          <w:spacing w:val="-5"/>
          <w:sz w:val="20"/>
        </w:rPr>
        <w:t> </w:t>
      </w:r>
      <w:r>
        <w:rPr>
          <w:sz w:val="20"/>
        </w:rPr>
        <w:t>positions</w:t>
      </w:r>
      <w:r>
        <w:rPr>
          <w:spacing w:val="-5"/>
          <w:sz w:val="20"/>
        </w:rPr>
        <w:t> </w:t>
      </w:r>
      <w:r>
        <w:rPr>
          <w:sz w:val="20"/>
        </w:rPr>
        <w:t>(10.00</w:t>
      </w:r>
      <w:r>
        <w:rPr>
          <w:spacing w:val="-4"/>
          <w:sz w:val="20"/>
        </w:rPr>
        <w:t> </w:t>
      </w:r>
      <w:r>
        <w:rPr>
          <w:sz w:val="20"/>
        </w:rPr>
        <w:t>FTE)</w:t>
      </w:r>
      <w:r>
        <w:rPr>
          <w:spacing w:val="-8"/>
          <w:sz w:val="20"/>
        </w:rPr>
        <w:t> </w:t>
      </w:r>
      <w:r>
        <w:rPr>
          <w:sz w:val="20"/>
        </w:rPr>
        <w:t>are</w:t>
      </w:r>
      <w:r>
        <w:rPr>
          <w:spacing w:val="-2"/>
          <w:sz w:val="20"/>
        </w:rPr>
        <w:t> </w:t>
      </w:r>
      <w:r>
        <w:rPr>
          <w:sz w:val="20"/>
        </w:rPr>
        <w:t>requested.</w:t>
      </w:r>
      <w:r>
        <w:rPr>
          <w:spacing w:val="-6"/>
          <w:sz w:val="20"/>
        </w:rPr>
        <w:t> </w:t>
      </w:r>
      <w:r>
        <w:rPr>
          <w:sz w:val="20"/>
        </w:rPr>
        <w:t>These resources are crucial to enabling the Programme to continue conducting its mandate effectively in 2023.</w:t>
      </w:r>
    </w:p>
    <w:p>
      <w:pPr>
        <w:pStyle w:val="ListParagraph"/>
        <w:numPr>
          <w:ilvl w:val="0"/>
          <w:numId w:val="4"/>
        </w:numPr>
        <w:tabs>
          <w:tab w:pos="2967" w:val="left" w:leader="none"/>
        </w:tabs>
        <w:spacing w:line="240" w:lineRule="auto" w:before="122" w:after="0"/>
        <w:ind w:left="2967" w:right="0" w:hanging="721"/>
        <w:jc w:val="both"/>
        <w:rPr>
          <w:sz w:val="20"/>
        </w:rPr>
      </w:pPr>
      <w:r>
        <w:rPr>
          <w:sz w:val="20"/>
        </w:rPr>
        <w:t>GTA</w:t>
      </w:r>
      <w:r>
        <w:rPr>
          <w:spacing w:val="-3"/>
          <w:sz w:val="20"/>
        </w:rPr>
        <w:t> </w:t>
      </w:r>
      <w:r>
        <w:rPr>
          <w:sz w:val="20"/>
        </w:rPr>
        <w:t>positions</w:t>
      </w:r>
      <w:r>
        <w:rPr>
          <w:spacing w:val="-7"/>
          <w:sz w:val="20"/>
        </w:rPr>
        <w:t> </w:t>
      </w:r>
      <w:r>
        <w:rPr>
          <w:sz w:val="20"/>
        </w:rPr>
        <w:t>are</w:t>
      </w:r>
      <w:r>
        <w:rPr>
          <w:spacing w:val="-4"/>
          <w:sz w:val="20"/>
        </w:rPr>
        <w:t> </w:t>
      </w:r>
      <w:r>
        <w:rPr>
          <w:sz w:val="20"/>
        </w:rPr>
        <w:t>requested</w:t>
      </w:r>
      <w:r>
        <w:rPr>
          <w:spacing w:val="-6"/>
          <w:sz w:val="20"/>
        </w:rPr>
        <w:t> </w:t>
      </w:r>
      <w:r>
        <w:rPr>
          <w:sz w:val="20"/>
        </w:rPr>
        <w:t>on</w:t>
      </w:r>
      <w:r>
        <w:rPr>
          <w:spacing w:val="-7"/>
          <w:sz w:val="20"/>
        </w:rPr>
        <w:t> </w:t>
      </w:r>
      <w:r>
        <w:rPr>
          <w:sz w:val="20"/>
        </w:rPr>
        <w:t>a</w:t>
      </w:r>
      <w:r>
        <w:rPr>
          <w:spacing w:val="-4"/>
          <w:sz w:val="20"/>
        </w:rPr>
        <w:t> </w:t>
      </w:r>
      <w:r>
        <w:rPr>
          <w:sz w:val="20"/>
        </w:rPr>
        <w:t>multi-year</w:t>
      </w:r>
      <w:r>
        <w:rPr>
          <w:spacing w:val="-6"/>
          <w:sz w:val="20"/>
        </w:rPr>
        <w:t> </w:t>
      </w:r>
      <w:r>
        <w:rPr>
          <w:sz w:val="20"/>
        </w:rPr>
        <w:t>basis,</w:t>
      </w:r>
      <w:r>
        <w:rPr>
          <w:spacing w:val="-3"/>
          <w:sz w:val="20"/>
        </w:rPr>
        <w:t> </w:t>
      </w:r>
      <w:r>
        <w:rPr>
          <w:sz w:val="20"/>
        </w:rPr>
        <w:t>as</w:t>
      </w:r>
      <w:r>
        <w:rPr>
          <w:spacing w:val="-7"/>
          <w:sz w:val="20"/>
        </w:rPr>
        <w:t> </w:t>
      </w:r>
      <w:r>
        <w:rPr>
          <w:spacing w:val="-2"/>
          <w:sz w:val="20"/>
        </w:rPr>
        <w:t>follows:</w:t>
      </w:r>
    </w:p>
    <w:p>
      <w:pPr>
        <w:pStyle w:val="BodyText"/>
        <w:spacing w:before="5"/>
        <w:rPr>
          <w:sz w:val="10"/>
        </w:rPr>
      </w:pPr>
    </w:p>
    <w:tbl>
      <w:tblPr>
        <w:tblW w:w="0" w:type="auto"/>
        <w:jc w:val="left"/>
        <w:tblInd w:w="2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03"/>
        <w:gridCol w:w="749"/>
        <w:gridCol w:w="698"/>
        <w:gridCol w:w="1067"/>
        <w:gridCol w:w="979"/>
        <w:gridCol w:w="994"/>
      </w:tblGrid>
      <w:tr>
        <w:trPr>
          <w:trHeight w:val="268" w:hRule="atLeast"/>
        </w:trPr>
        <w:tc>
          <w:tcPr>
            <w:tcW w:w="2903" w:type="dxa"/>
            <w:tcBorders>
              <w:top w:val="single" w:sz="4" w:space="0" w:color="000000"/>
              <w:bottom w:val="single" w:sz="4" w:space="0" w:color="000000"/>
            </w:tcBorders>
          </w:tcPr>
          <w:p>
            <w:pPr>
              <w:pStyle w:val="TableParagraph"/>
              <w:spacing w:line="229" w:lineRule="exact" w:before="19"/>
              <w:ind w:left="14"/>
              <w:jc w:val="left"/>
              <w:rPr>
                <w:i/>
                <w:sz w:val="20"/>
              </w:rPr>
            </w:pPr>
            <w:r>
              <w:rPr>
                <w:i/>
                <w:spacing w:val="-2"/>
                <w:sz w:val="20"/>
              </w:rPr>
              <w:t>Title</w:t>
            </w:r>
          </w:p>
        </w:tc>
        <w:tc>
          <w:tcPr>
            <w:tcW w:w="749" w:type="dxa"/>
            <w:tcBorders>
              <w:top w:val="single" w:sz="4" w:space="0" w:color="000000"/>
              <w:bottom w:val="single" w:sz="4" w:space="0" w:color="000000"/>
            </w:tcBorders>
          </w:tcPr>
          <w:p>
            <w:pPr>
              <w:pStyle w:val="TableParagraph"/>
              <w:spacing w:line="229" w:lineRule="exact" w:before="19"/>
              <w:ind w:left="107"/>
              <w:jc w:val="left"/>
              <w:rPr>
                <w:i/>
                <w:sz w:val="20"/>
              </w:rPr>
            </w:pPr>
            <w:r>
              <w:rPr>
                <w:i/>
                <w:spacing w:val="-2"/>
                <w:sz w:val="20"/>
              </w:rPr>
              <w:t>Grade</w:t>
            </w:r>
          </w:p>
        </w:tc>
        <w:tc>
          <w:tcPr>
            <w:tcW w:w="698" w:type="dxa"/>
            <w:tcBorders>
              <w:top w:val="single" w:sz="4" w:space="0" w:color="000000"/>
              <w:bottom w:val="single" w:sz="4" w:space="0" w:color="000000"/>
            </w:tcBorders>
          </w:tcPr>
          <w:p>
            <w:pPr>
              <w:pStyle w:val="TableParagraph"/>
              <w:spacing w:line="229" w:lineRule="exact" w:before="19"/>
              <w:ind w:right="-15"/>
              <w:rPr>
                <w:i/>
                <w:sz w:val="20"/>
              </w:rPr>
            </w:pPr>
            <w:r>
              <w:rPr>
                <w:i/>
                <w:spacing w:val="-2"/>
                <w:sz w:val="20"/>
              </w:rPr>
              <w:t>Number</w:t>
            </w:r>
          </w:p>
        </w:tc>
        <w:tc>
          <w:tcPr>
            <w:tcW w:w="1067" w:type="dxa"/>
            <w:tcBorders>
              <w:top w:val="single" w:sz="4" w:space="0" w:color="000000"/>
              <w:bottom w:val="single" w:sz="4" w:space="0" w:color="000000"/>
            </w:tcBorders>
          </w:tcPr>
          <w:p>
            <w:pPr>
              <w:pStyle w:val="TableParagraph"/>
              <w:spacing w:line="229" w:lineRule="exact" w:before="19"/>
              <w:ind w:right="458"/>
              <w:rPr>
                <w:i/>
                <w:sz w:val="20"/>
              </w:rPr>
            </w:pPr>
            <w:r>
              <w:rPr>
                <w:i/>
                <w:spacing w:val="-2"/>
                <w:sz w:val="20"/>
              </w:rPr>
              <w:t>Months</w:t>
            </w:r>
          </w:p>
        </w:tc>
        <w:tc>
          <w:tcPr>
            <w:tcW w:w="979" w:type="dxa"/>
            <w:tcBorders>
              <w:top w:val="single" w:sz="4" w:space="0" w:color="000000"/>
              <w:bottom w:val="single" w:sz="4" w:space="0" w:color="000000"/>
            </w:tcBorders>
          </w:tcPr>
          <w:p>
            <w:pPr>
              <w:pStyle w:val="TableParagraph"/>
              <w:spacing w:line="229" w:lineRule="exact" w:before="19"/>
              <w:ind w:right="158"/>
              <w:rPr>
                <w:i/>
                <w:sz w:val="20"/>
              </w:rPr>
            </w:pPr>
            <w:r>
              <w:rPr>
                <w:i/>
                <w:spacing w:val="-5"/>
                <w:sz w:val="20"/>
              </w:rPr>
              <w:t>FTE</w:t>
            </w:r>
          </w:p>
        </w:tc>
        <w:tc>
          <w:tcPr>
            <w:tcW w:w="994" w:type="dxa"/>
            <w:tcBorders>
              <w:top w:val="single" w:sz="4" w:space="0" w:color="000000"/>
              <w:bottom w:val="single" w:sz="4" w:space="0" w:color="000000"/>
            </w:tcBorders>
          </w:tcPr>
          <w:p>
            <w:pPr>
              <w:pStyle w:val="TableParagraph"/>
              <w:jc w:val="left"/>
              <w:rPr>
                <w:sz w:val="18"/>
              </w:rPr>
            </w:pPr>
          </w:p>
        </w:tc>
      </w:tr>
      <w:tr>
        <w:trPr>
          <w:trHeight w:val="277" w:hRule="atLeast"/>
        </w:trPr>
        <w:tc>
          <w:tcPr>
            <w:tcW w:w="2903" w:type="dxa"/>
            <w:tcBorders>
              <w:top w:val="single" w:sz="4" w:space="0" w:color="000000"/>
            </w:tcBorders>
          </w:tcPr>
          <w:p>
            <w:pPr>
              <w:pStyle w:val="TableParagraph"/>
              <w:spacing w:before="24"/>
              <w:ind w:left="14"/>
              <w:jc w:val="left"/>
              <w:rPr>
                <w:sz w:val="20"/>
              </w:rPr>
            </w:pPr>
            <w:r>
              <w:rPr>
                <w:sz w:val="20"/>
              </w:rPr>
              <w:t>Senior</w:t>
            </w:r>
            <w:r>
              <w:rPr>
                <w:spacing w:val="-7"/>
                <w:sz w:val="20"/>
              </w:rPr>
              <w:t> </w:t>
            </w:r>
            <w:r>
              <w:rPr>
                <w:sz w:val="20"/>
              </w:rPr>
              <w:t>Coordinator</w:t>
            </w:r>
            <w:r>
              <w:rPr>
                <w:spacing w:val="-6"/>
                <w:sz w:val="20"/>
              </w:rPr>
              <w:t> </w:t>
            </w:r>
            <w:r>
              <w:rPr>
                <w:spacing w:val="-2"/>
                <w:sz w:val="20"/>
              </w:rPr>
              <w:t>(Legal)</w:t>
            </w:r>
          </w:p>
        </w:tc>
        <w:tc>
          <w:tcPr>
            <w:tcW w:w="749" w:type="dxa"/>
            <w:tcBorders>
              <w:top w:val="single" w:sz="4" w:space="0" w:color="000000"/>
            </w:tcBorders>
          </w:tcPr>
          <w:p>
            <w:pPr>
              <w:pStyle w:val="TableParagraph"/>
              <w:spacing w:before="24"/>
              <w:ind w:left="107"/>
              <w:jc w:val="left"/>
              <w:rPr>
                <w:sz w:val="20"/>
              </w:rPr>
            </w:pPr>
            <w:r>
              <w:rPr>
                <w:spacing w:val="-2"/>
                <w:sz w:val="20"/>
              </w:rPr>
              <w:t>P-</w:t>
            </w:r>
            <w:r>
              <w:rPr>
                <w:spacing w:val="-10"/>
                <w:sz w:val="20"/>
              </w:rPr>
              <w:t>5</w:t>
            </w:r>
          </w:p>
        </w:tc>
        <w:tc>
          <w:tcPr>
            <w:tcW w:w="698" w:type="dxa"/>
            <w:tcBorders>
              <w:top w:val="single" w:sz="4" w:space="0" w:color="000000"/>
            </w:tcBorders>
          </w:tcPr>
          <w:p>
            <w:pPr>
              <w:pStyle w:val="TableParagraph"/>
              <w:spacing w:before="24"/>
              <w:ind w:right="-15"/>
              <w:rPr>
                <w:sz w:val="20"/>
              </w:rPr>
            </w:pPr>
            <w:r>
              <w:rPr>
                <w:w w:val="100"/>
                <w:sz w:val="20"/>
              </w:rPr>
              <w:t>1</w:t>
            </w:r>
          </w:p>
        </w:tc>
        <w:tc>
          <w:tcPr>
            <w:tcW w:w="1067" w:type="dxa"/>
            <w:tcBorders>
              <w:top w:val="single" w:sz="4" w:space="0" w:color="000000"/>
            </w:tcBorders>
          </w:tcPr>
          <w:p>
            <w:pPr>
              <w:pStyle w:val="TableParagraph"/>
              <w:spacing w:before="24"/>
              <w:ind w:right="464"/>
              <w:rPr>
                <w:sz w:val="20"/>
              </w:rPr>
            </w:pPr>
            <w:r>
              <w:rPr>
                <w:spacing w:val="-5"/>
                <w:sz w:val="20"/>
              </w:rPr>
              <w:t>12</w:t>
            </w:r>
          </w:p>
        </w:tc>
        <w:tc>
          <w:tcPr>
            <w:tcW w:w="979" w:type="dxa"/>
            <w:tcBorders>
              <w:top w:val="single" w:sz="4" w:space="0" w:color="000000"/>
            </w:tcBorders>
          </w:tcPr>
          <w:p>
            <w:pPr>
              <w:pStyle w:val="TableParagraph"/>
              <w:spacing w:before="24"/>
              <w:ind w:right="156"/>
              <w:rPr>
                <w:sz w:val="20"/>
              </w:rPr>
            </w:pPr>
            <w:r>
              <w:rPr>
                <w:spacing w:val="-5"/>
                <w:sz w:val="20"/>
              </w:rPr>
              <w:t>1.0</w:t>
            </w:r>
          </w:p>
        </w:tc>
        <w:tc>
          <w:tcPr>
            <w:tcW w:w="994" w:type="dxa"/>
            <w:tcBorders>
              <w:top w:val="single" w:sz="4" w:space="0" w:color="000000"/>
            </w:tcBorders>
          </w:tcPr>
          <w:p>
            <w:pPr>
              <w:pStyle w:val="TableParagraph"/>
              <w:spacing w:before="24"/>
              <w:ind w:right="-15"/>
              <w:rPr>
                <w:sz w:val="20"/>
              </w:rPr>
            </w:pPr>
            <w:r>
              <w:rPr>
                <w:spacing w:val="-2"/>
                <w:sz w:val="20"/>
              </w:rPr>
              <w:t>Continued</w:t>
            </w:r>
          </w:p>
        </w:tc>
      </w:tr>
      <w:tr>
        <w:trPr>
          <w:trHeight w:val="264" w:hRule="atLeast"/>
        </w:trPr>
        <w:tc>
          <w:tcPr>
            <w:tcW w:w="2903" w:type="dxa"/>
            <w:tcBorders>
              <w:bottom w:val="single" w:sz="4" w:space="0" w:color="000000"/>
            </w:tcBorders>
          </w:tcPr>
          <w:p>
            <w:pPr>
              <w:pStyle w:val="TableParagraph"/>
              <w:spacing w:line="229" w:lineRule="exact" w:before="16"/>
              <w:ind w:left="14"/>
              <w:jc w:val="left"/>
              <w:rPr>
                <w:sz w:val="20"/>
              </w:rPr>
            </w:pPr>
            <w:r>
              <w:rPr>
                <w:sz w:val="20"/>
              </w:rPr>
              <w:t>Assistant</w:t>
            </w:r>
            <w:r>
              <w:rPr>
                <w:spacing w:val="-5"/>
                <w:sz w:val="20"/>
              </w:rPr>
              <w:t> </w:t>
            </w:r>
            <w:r>
              <w:rPr>
                <w:sz w:val="20"/>
              </w:rPr>
              <w:t>to</w:t>
            </w:r>
            <w:r>
              <w:rPr>
                <w:spacing w:val="-6"/>
                <w:sz w:val="20"/>
              </w:rPr>
              <w:t> </w:t>
            </w:r>
            <w:r>
              <w:rPr>
                <w:sz w:val="20"/>
              </w:rPr>
              <w:t>the</w:t>
            </w:r>
            <w:r>
              <w:rPr>
                <w:spacing w:val="-4"/>
                <w:sz w:val="20"/>
              </w:rPr>
              <w:t> </w:t>
            </w:r>
            <w:r>
              <w:rPr>
                <w:sz w:val="20"/>
              </w:rPr>
              <w:t>Deputy</w:t>
            </w:r>
            <w:r>
              <w:rPr>
                <w:spacing w:val="-6"/>
                <w:sz w:val="20"/>
              </w:rPr>
              <w:t> </w:t>
            </w:r>
            <w:r>
              <w:rPr>
                <w:spacing w:val="-2"/>
                <w:sz w:val="20"/>
              </w:rPr>
              <w:t>Prosecutor</w:t>
            </w:r>
          </w:p>
        </w:tc>
        <w:tc>
          <w:tcPr>
            <w:tcW w:w="749" w:type="dxa"/>
            <w:tcBorders>
              <w:bottom w:val="single" w:sz="4" w:space="0" w:color="000000"/>
            </w:tcBorders>
          </w:tcPr>
          <w:p>
            <w:pPr>
              <w:pStyle w:val="TableParagraph"/>
              <w:spacing w:line="229" w:lineRule="exact" w:before="16"/>
              <w:ind w:left="107"/>
              <w:jc w:val="left"/>
              <w:rPr>
                <w:sz w:val="20"/>
              </w:rPr>
            </w:pPr>
            <w:r>
              <w:rPr>
                <w:spacing w:val="-2"/>
                <w:sz w:val="20"/>
              </w:rPr>
              <w:t>P-</w:t>
            </w:r>
            <w:r>
              <w:rPr>
                <w:spacing w:val="-10"/>
                <w:sz w:val="20"/>
              </w:rPr>
              <w:t>1</w:t>
            </w:r>
          </w:p>
        </w:tc>
        <w:tc>
          <w:tcPr>
            <w:tcW w:w="698" w:type="dxa"/>
            <w:tcBorders>
              <w:bottom w:val="single" w:sz="4" w:space="0" w:color="000000"/>
            </w:tcBorders>
          </w:tcPr>
          <w:p>
            <w:pPr>
              <w:pStyle w:val="TableParagraph"/>
              <w:spacing w:line="229" w:lineRule="exact" w:before="16"/>
              <w:ind w:right="-15"/>
              <w:rPr>
                <w:sz w:val="20"/>
              </w:rPr>
            </w:pPr>
            <w:r>
              <w:rPr>
                <w:w w:val="100"/>
                <w:sz w:val="20"/>
              </w:rPr>
              <w:t>1</w:t>
            </w:r>
          </w:p>
        </w:tc>
        <w:tc>
          <w:tcPr>
            <w:tcW w:w="1067" w:type="dxa"/>
            <w:tcBorders>
              <w:bottom w:val="single" w:sz="4" w:space="0" w:color="000000"/>
            </w:tcBorders>
          </w:tcPr>
          <w:p>
            <w:pPr>
              <w:pStyle w:val="TableParagraph"/>
              <w:spacing w:line="229" w:lineRule="exact" w:before="16"/>
              <w:ind w:right="464"/>
              <w:rPr>
                <w:sz w:val="20"/>
              </w:rPr>
            </w:pPr>
            <w:r>
              <w:rPr>
                <w:w w:val="100"/>
                <w:sz w:val="20"/>
              </w:rPr>
              <w:t>9</w:t>
            </w:r>
          </w:p>
        </w:tc>
        <w:tc>
          <w:tcPr>
            <w:tcW w:w="979" w:type="dxa"/>
            <w:tcBorders>
              <w:bottom w:val="single" w:sz="4" w:space="0" w:color="000000"/>
            </w:tcBorders>
          </w:tcPr>
          <w:p>
            <w:pPr>
              <w:pStyle w:val="TableParagraph"/>
              <w:spacing w:line="229" w:lineRule="exact" w:before="16"/>
              <w:ind w:right="156"/>
              <w:rPr>
                <w:sz w:val="20"/>
              </w:rPr>
            </w:pPr>
            <w:r>
              <w:rPr>
                <w:spacing w:val="-4"/>
                <w:sz w:val="20"/>
              </w:rPr>
              <w:t>0.75</w:t>
            </w:r>
          </w:p>
        </w:tc>
        <w:tc>
          <w:tcPr>
            <w:tcW w:w="994" w:type="dxa"/>
            <w:tcBorders>
              <w:bottom w:val="single" w:sz="4" w:space="0" w:color="000000"/>
            </w:tcBorders>
          </w:tcPr>
          <w:p>
            <w:pPr>
              <w:pStyle w:val="TableParagraph"/>
              <w:spacing w:line="229" w:lineRule="exact" w:before="16"/>
              <w:ind w:right="-15"/>
              <w:rPr>
                <w:sz w:val="20"/>
              </w:rPr>
            </w:pPr>
            <w:r>
              <w:rPr>
                <w:spacing w:val="-5"/>
                <w:sz w:val="20"/>
              </w:rPr>
              <w:t>New</w:t>
            </w:r>
          </w:p>
        </w:tc>
      </w:tr>
      <w:tr>
        <w:trPr>
          <w:trHeight w:val="268" w:hRule="atLeast"/>
        </w:trPr>
        <w:tc>
          <w:tcPr>
            <w:tcW w:w="2903" w:type="dxa"/>
            <w:tcBorders>
              <w:top w:val="single" w:sz="4" w:space="0" w:color="000000"/>
              <w:bottom w:val="single" w:sz="4" w:space="0" w:color="000000"/>
            </w:tcBorders>
          </w:tcPr>
          <w:p>
            <w:pPr>
              <w:pStyle w:val="TableParagraph"/>
              <w:jc w:val="left"/>
              <w:rPr>
                <w:sz w:val="18"/>
              </w:rPr>
            </w:pPr>
          </w:p>
        </w:tc>
        <w:tc>
          <w:tcPr>
            <w:tcW w:w="749" w:type="dxa"/>
            <w:tcBorders>
              <w:top w:val="single" w:sz="4" w:space="0" w:color="000000"/>
              <w:bottom w:val="single" w:sz="4" w:space="0" w:color="000000"/>
            </w:tcBorders>
          </w:tcPr>
          <w:p>
            <w:pPr>
              <w:pStyle w:val="TableParagraph"/>
              <w:jc w:val="left"/>
              <w:rPr>
                <w:sz w:val="18"/>
              </w:rPr>
            </w:pPr>
          </w:p>
        </w:tc>
        <w:tc>
          <w:tcPr>
            <w:tcW w:w="698" w:type="dxa"/>
            <w:tcBorders>
              <w:top w:val="single" w:sz="4" w:space="0" w:color="000000"/>
              <w:bottom w:val="single" w:sz="4" w:space="0" w:color="000000"/>
            </w:tcBorders>
          </w:tcPr>
          <w:p>
            <w:pPr>
              <w:pStyle w:val="TableParagraph"/>
              <w:spacing w:line="229" w:lineRule="exact" w:before="19"/>
              <w:ind w:right="-15"/>
              <w:rPr>
                <w:b/>
                <w:sz w:val="20"/>
              </w:rPr>
            </w:pPr>
            <w:r>
              <w:rPr>
                <w:b/>
                <w:w w:val="100"/>
                <w:sz w:val="20"/>
              </w:rPr>
              <w:t>2</w:t>
            </w:r>
          </w:p>
        </w:tc>
        <w:tc>
          <w:tcPr>
            <w:tcW w:w="1067" w:type="dxa"/>
            <w:tcBorders>
              <w:top w:val="single" w:sz="4" w:space="0" w:color="000000"/>
              <w:bottom w:val="single" w:sz="4" w:space="0" w:color="000000"/>
            </w:tcBorders>
          </w:tcPr>
          <w:p>
            <w:pPr>
              <w:pStyle w:val="TableParagraph"/>
              <w:spacing w:line="229" w:lineRule="exact" w:before="19"/>
              <w:ind w:right="464"/>
              <w:rPr>
                <w:b/>
                <w:sz w:val="20"/>
              </w:rPr>
            </w:pPr>
            <w:r>
              <w:rPr>
                <w:b/>
                <w:spacing w:val="-5"/>
                <w:sz w:val="20"/>
              </w:rPr>
              <w:t>21</w:t>
            </w:r>
          </w:p>
        </w:tc>
        <w:tc>
          <w:tcPr>
            <w:tcW w:w="979" w:type="dxa"/>
            <w:tcBorders>
              <w:top w:val="single" w:sz="4" w:space="0" w:color="000000"/>
              <w:bottom w:val="single" w:sz="4" w:space="0" w:color="000000"/>
            </w:tcBorders>
          </w:tcPr>
          <w:p>
            <w:pPr>
              <w:pStyle w:val="TableParagraph"/>
              <w:spacing w:line="229" w:lineRule="exact" w:before="19"/>
              <w:ind w:right="156"/>
              <w:rPr>
                <w:b/>
                <w:sz w:val="20"/>
              </w:rPr>
            </w:pPr>
            <w:r>
              <w:rPr>
                <w:b/>
                <w:spacing w:val="-4"/>
                <w:sz w:val="20"/>
              </w:rPr>
              <w:t>1.75</w:t>
            </w:r>
          </w:p>
        </w:tc>
        <w:tc>
          <w:tcPr>
            <w:tcW w:w="994" w:type="dxa"/>
            <w:tcBorders>
              <w:top w:val="single" w:sz="4" w:space="0" w:color="000000"/>
              <w:bottom w:val="single" w:sz="4" w:space="0" w:color="000000"/>
            </w:tcBorders>
          </w:tcPr>
          <w:p>
            <w:pPr>
              <w:pStyle w:val="TableParagraph"/>
              <w:jc w:val="left"/>
              <w:rPr>
                <w:sz w:val="18"/>
              </w:rPr>
            </w:pPr>
          </w:p>
        </w:tc>
      </w:tr>
      <w:tr>
        <w:trPr>
          <w:trHeight w:val="273" w:hRule="atLeast"/>
        </w:trPr>
        <w:tc>
          <w:tcPr>
            <w:tcW w:w="2903" w:type="dxa"/>
            <w:tcBorders>
              <w:top w:val="single" w:sz="4" w:space="0" w:color="000000"/>
              <w:bottom w:val="single" w:sz="4" w:space="0" w:color="000000"/>
            </w:tcBorders>
          </w:tcPr>
          <w:p>
            <w:pPr>
              <w:pStyle w:val="TableParagraph"/>
              <w:spacing w:before="19"/>
              <w:ind w:left="14"/>
              <w:jc w:val="left"/>
              <w:rPr>
                <w:i/>
                <w:sz w:val="20"/>
              </w:rPr>
            </w:pPr>
            <w:r>
              <w:rPr>
                <w:i/>
                <w:spacing w:val="-4"/>
                <w:sz w:val="20"/>
              </w:rPr>
              <w:t>Gender</w:t>
            </w:r>
            <w:r>
              <w:rPr>
                <w:i/>
                <w:spacing w:val="-9"/>
                <w:sz w:val="20"/>
              </w:rPr>
              <w:t> </w:t>
            </w:r>
            <w:r>
              <w:rPr>
                <w:i/>
                <w:spacing w:val="-4"/>
                <w:sz w:val="20"/>
              </w:rPr>
              <w:t>and</w:t>
            </w:r>
            <w:r>
              <w:rPr>
                <w:i/>
                <w:spacing w:val="-6"/>
                <w:sz w:val="20"/>
              </w:rPr>
              <w:t> </w:t>
            </w:r>
            <w:r>
              <w:rPr>
                <w:i/>
                <w:spacing w:val="-4"/>
                <w:sz w:val="20"/>
              </w:rPr>
              <w:t>Children</w:t>
            </w:r>
            <w:r>
              <w:rPr>
                <w:i/>
                <w:spacing w:val="-11"/>
                <w:sz w:val="20"/>
              </w:rPr>
              <w:t> </w:t>
            </w:r>
            <w:r>
              <w:rPr>
                <w:i/>
                <w:spacing w:val="-4"/>
                <w:sz w:val="20"/>
              </w:rPr>
              <w:t>Unit</w:t>
            </w:r>
          </w:p>
        </w:tc>
        <w:tc>
          <w:tcPr>
            <w:tcW w:w="749" w:type="dxa"/>
            <w:tcBorders>
              <w:top w:val="single" w:sz="4" w:space="0" w:color="000000"/>
              <w:bottom w:val="single" w:sz="4" w:space="0" w:color="000000"/>
            </w:tcBorders>
          </w:tcPr>
          <w:p>
            <w:pPr>
              <w:pStyle w:val="TableParagraph"/>
              <w:jc w:val="left"/>
              <w:rPr>
                <w:sz w:val="20"/>
              </w:rPr>
            </w:pPr>
          </w:p>
        </w:tc>
        <w:tc>
          <w:tcPr>
            <w:tcW w:w="698" w:type="dxa"/>
            <w:tcBorders>
              <w:top w:val="single" w:sz="4" w:space="0" w:color="000000"/>
              <w:bottom w:val="single" w:sz="4" w:space="0" w:color="000000"/>
            </w:tcBorders>
          </w:tcPr>
          <w:p>
            <w:pPr>
              <w:pStyle w:val="TableParagraph"/>
              <w:jc w:val="left"/>
              <w:rPr>
                <w:sz w:val="20"/>
              </w:rPr>
            </w:pPr>
          </w:p>
        </w:tc>
        <w:tc>
          <w:tcPr>
            <w:tcW w:w="1067" w:type="dxa"/>
            <w:tcBorders>
              <w:top w:val="single" w:sz="4" w:space="0" w:color="000000"/>
              <w:bottom w:val="single" w:sz="4" w:space="0" w:color="000000"/>
            </w:tcBorders>
          </w:tcPr>
          <w:p>
            <w:pPr>
              <w:pStyle w:val="TableParagraph"/>
              <w:jc w:val="left"/>
              <w:rPr>
                <w:sz w:val="20"/>
              </w:rPr>
            </w:pPr>
          </w:p>
        </w:tc>
        <w:tc>
          <w:tcPr>
            <w:tcW w:w="979" w:type="dxa"/>
            <w:tcBorders>
              <w:top w:val="single" w:sz="4" w:space="0" w:color="000000"/>
              <w:bottom w:val="single" w:sz="4" w:space="0" w:color="000000"/>
            </w:tcBorders>
          </w:tcPr>
          <w:p>
            <w:pPr>
              <w:pStyle w:val="TableParagraph"/>
              <w:jc w:val="left"/>
              <w:rPr>
                <w:sz w:val="20"/>
              </w:rPr>
            </w:pPr>
          </w:p>
        </w:tc>
        <w:tc>
          <w:tcPr>
            <w:tcW w:w="994" w:type="dxa"/>
            <w:tcBorders>
              <w:top w:val="single" w:sz="4" w:space="0" w:color="000000"/>
              <w:bottom w:val="single" w:sz="4" w:space="0" w:color="000000"/>
            </w:tcBorders>
          </w:tcPr>
          <w:p>
            <w:pPr>
              <w:pStyle w:val="TableParagraph"/>
              <w:jc w:val="left"/>
              <w:rPr>
                <w:sz w:val="20"/>
              </w:rPr>
            </w:pPr>
          </w:p>
        </w:tc>
      </w:tr>
      <w:tr>
        <w:trPr>
          <w:trHeight w:val="272" w:hRule="atLeast"/>
        </w:trPr>
        <w:tc>
          <w:tcPr>
            <w:tcW w:w="2903" w:type="dxa"/>
            <w:tcBorders>
              <w:top w:val="single" w:sz="4" w:space="0" w:color="000000"/>
            </w:tcBorders>
          </w:tcPr>
          <w:p>
            <w:pPr>
              <w:pStyle w:val="TableParagraph"/>
              <w:spacing w:before="19"/>
              <w:ind w:left="14"/>
              <w:jc w:val="left"/>
              <w:rPr>
                <w:sz w:val="20"/>
              </w:rPr>
            </w:pPr>
            <w:r>
              <w:rPr>
                <w:sz w:val="20"/>
              </w:rPr>
              <w:t>Children</w:t>
            </w:r>
            <w:r>
              <w:rPr>
                <w:spacing w:val="-5"/>
                <w:sz w:val="20"/>
              </w:rPr>
              <w:t> </w:t>
            </w:r>
            <w:r>
              <w:rPr>
                <w:spacing w:val="-2"/>
                <w:sz w:val="20"/>
              </w:rPr>
              <w:t>Expert</w:t>
            </w:r>
          </w:p>
        </w:tc>
        <w:tc>
          <w:tcPr>
            <w:tcW w:w="749" w:type="dxa"/>
            <w:tcBorders>
              <w:top w:val="single" w:sz="4" w:space="0" w:color="000000"/>
            </w:tcBorders>
          </w:tcPr>
          <w:p>
            <w:pPr>
              <w:pStyle w:val="TableParagraph"/>
              <w:spacing w:before="19"/>
              <w:ind w:left="107"/>
              <w:jc w:val="left"/>
              <w:rPr>
                <w:sz w:val="20"/>
              </w:rPr>
            </w:pPr>
            <w:r>
              <w:rPr>
                <w:spacing w:val="-2"/>
                <w:sz w:val="20"/>
              </w:rPr>
              <w:t>P-</w:t>
            </w:r>
            <w:r>
              <w:rPr>
                <w:spacing w:val="-10"/>
                <w:sz w:val="20"/>
              </w:rPr>
              <w:t>3</w:t>
            </w:r>
          </w:p>
        </w:tc>
        <w:tc>
          <w:tcPr>
            <w:tcW w:w="698" w:type="dxa"/>
            <w:tcBorders>
              <w:top w:val="single" w:sz="4" w:space="0" w:color="000000"/>
            </w:tcBorders>
          </w:tcPr>
          <w:p>
            <w:pPr>
              <w:pStyle w:val="TableParagraph"/>
              <w:spacing w:before="19"/>
              <w:ind w:right="-15"/>
              <w:rPr>
                <w:sz w:val="20"/>
              </w:rPr>
            </w:pPr>
            <w:r>
              <w:rPr>
                <w:w w:val="100"/>
                <w:sz w:val="20"/>
              </w:rPr>
              <w:t>1</w:t>
            </w:r>
          </w:p>
        </w:tc>
        <w:tc>
          <w:tcPr>
            <w:tcW w:w="1067" w:type="dxa"/>
            <w:tcBorders>
              <w:top w:val="single" w:sz="4" w:space="0" w:color="000000"/>
            </w:tcBorders>
          </w:tcPr>
          <w:p>
            <w:pPr>
              <w:pStyle w:val="TableParagraph"/>
              <w:spacing w:before="19"/>
              <w:ind w:right="464"/>
              <w:rPr>
                <w:sz w:val="20"/>
              </w:rPr>
            </w:pPr>
            <w:r>
              <w:rPr>
                <w:w w:val="100"/>
                <w:sz w:val="20"/>
              </w:rPr>
              <w:t>9</w:t>
            </w:r>
          </w:p>
        </w:tc>
        <w:tc>
          <w:tcPr>
            <w:tcW w:w="979" w:type="dxa"/>
            <w:tcBorders>
              <w:top w:val="single" w:sz="4" w:space="0" w:color="000000"/>
            </w:tcBorders>
          </w:tcPr>
          <w:p>
            <w:pPr>
              <w:pStyle w:val="TableParagraph"/>
              <w:spacing w:before="19"/>
              <w:ind w:right="156"/>
              <w:rPr>
                <w:sz w:val="20"/>
              </w:rPr>
            </w:pPr>
            <w:r>
              <w:rPr>
                <w:spacing w:val="-4"/>
                <w:sz w:val="20"/>
              </w:rPr>
              <w:t>0.75</w:t>
            </w:r>
          </w:p>
        </w:tc>
        <w:tc>
          <w:tcPr>
            <w:tcW w:w="994" w:type="dxa"/>
            <w:tcBorders>
              <w:top w:val="single" w:sz="4" w:space="0" w:color="000000"/>
            </w:tcBorders>
          </w:tcPr>
          <w:p>
            <w:pPr>
              <w:pStyle w:val="TableParagraph"/>
              <w:spacing w:before="19"/>
              <w:ind w:right="-15"/>
              <w:rPr>
                <w:sz w:val="20"/>
              </w:rPr>
            </w:pPr>
            <w:r>
              <w:rPr>
                <w:spacing w:val="-5"/>
                <w:sz w:val="20"/>
              </w:rPr>
              <w:t>New</w:t>
            </w:r>
          </w:p>
        </w:tc>
      </w:tr>
      <w:tr>
        <w:trPr>
          <w:trHeight w:val="264" w:hRule="atLeast"/>
        </w:trPr>
        <w:tc>
          <w:tcPr>
            <w:tcW w:w="2903" w:type="dxa"/>
            <w:tcBorders>
              <w:bottom w:val="single" w:sz="4" w:space="0" w:color="000000"/>
            </w:tcBorders>
          </w:tcPr>
          <w:p>
            <w:pPr>
              <w:pStyle w:val="TableParagraph"/>
              <w:spacing w:line="229" w:lineRule="exact" w:before="15"/>
              <w:ind w:left="14"/>
              <w:jc w:val="left"/>
              <w:rPr>
                <w:sz w:val="20"/>
              </w:rPr>
            </w:pPr>
            <w:r>
              <w:rPr>
                <w:sz w:val="20"/>
              </w:rPr>
              <w:t>SGBC</w:t>
            </w:r>
            <w:r>
              <w:rPr>
                <w:spacing w:val="-2"/>
                <w:sz w:val="20"/>
              </w:rPr>
              <w:t> Expert</w:t>
            </w:r>
          </w:p>
        </w:tc>
        <w:tc>
          <w:tcPr>
            <w:tcW w:w="749" w:type="dxa"/>
            <w:tcBorders>
              <w:bottom w:val="single" w:sz="4" w:space="0" w:color="000000"/>
            </w:tcBorders>
          </w:tcPr>
          <w:p>
            <w:pPr>
              <w:pStyle w:val="TableParagraph"/>
              <w:spacing w:line="229" w:lineRule="exact" w:before="15"/>
              <w:ind w:left="107"/>
              <w:jc w:val="left"/>
              <w:rPr>
                <w:sz w:val="20"/>
              </w:rPr>
            </w:pPr>
            <w:r>
              <w:rPr>
                <w:spacing w:val="-2"/>
                <w:sz w:val="20"/>
              </w:rPr>
              <w:t>P-</w:t>
            </w:r>
            <w:r>
              <w:rPr>
                <w:spacing w:val="-10"/>
                <w:sz w:val="20"/>
              </w:rPr>
              <w:t>3</w:t>
            </w:r>
          </w:p>
        </w:tc>
        <w:tc>
          <w:tcPr>
            <w:tcW w:w="698" w:type="dxa"/>
            <w:tcBorders>
              <w:bottom w:val="single" w:sz="4" w:space="0" w:color="000000"/>
            </w:tcBorders>
          </w:tcPr>
          <w:p>
            <w:pPr>
              <w:pStyle w:val="TableParagraph"/>
              <w:spacing w:line="229" w:lineRule="exact" w:before="15"/>
              <w:ind w:right="-15"/>
              <w:rPr>
                <w:sz w:val="20"/>
              </w:rPr>
            </w:pPr>
            <w:r>
              <w:rPr>
                <w:w w:val="100"/>
                <w:sz w:val="20"/>
              </w:rPr>
              <w:t>1</w:t>
            </w:r>
          </w:p>
        </w:tc>
        <w:tc>
          <w:tcPr>
            <w:tcW w:w="1067" w:type="dxa"/>
            <w:tcBorders>
              <w:bottom w:val="single" w:sz="4" w:space="0" w:color="000000"/>
            </w:tcBorders>
          </w:tcPr>
          <w:p>
            <w:pPr>
              <w:pStyle w:val="TableParagraph"/>
              <w:spacing w:line="229" w:lineRule="exact" w:before="15"/>
              <w:ind w:right="464"/>
              <w:rPr>
                <w:sz w:val="20"/>
              </w:rPr>
            </w:pPr>
            <w:r>
              <w:rPr>
                <w:w w:val="100"/>
                <w:sz w:val="20"/>
              </w:rPr>
              <w:t>9</w:t>
            </w:r>
          </w:p>
        </w:tc>
        <w:tc>
          <w:tcPr>
            <w:tcW w:w="979" w:type="dxa"/>
            <w:tcBorders>
              <w:bottom w:val="single" w:sz="4" w:space="0" w:color="000000"/>
            </w:tcBorders>
          </w:tcPr>
          <w:p>
            <w:pPr>
              <w:pStyle w:val="TableParagraph"/>
              <w:spacing w:line="229" w:lineRule="exact" w:before="15"/>
              <w:ind w:right="156"/>
              <w:rPr>
                <w:sz w:val="20"/>
              </w:rPr>
            </w:pPr>
            <w:r>
              <w:rPr>
                <w:spacing w:val="-4"/>
                <w:sz w:val="20"/>
              </w:rPr>
              <w:t>0.75</w:t>
            </w:r>
          </w:p>
        </w:tc>
        <w:tc>
          <w:tcPr>
            <w:tcW w:w="994" w:type="dxa"/>
            <w:tcBorders>
              <w:bottom w:val="single" w:sz="4" w:space="0" w:color="000000"/>
            </w:tcBorders>
          </w:tcPr>
          <w:p>
            <w:pPr>
              <w:pStyle w:val="TableParagraph"/>
              <w:spacing w:line="229" w:lineRule="exact" w:before="15"/>
              <w:ind w:right="-15"/>
              <w:rPr>
                <w:sz w:val="20"/>
              </w:rPr>
            </w:pPr>
            <w:r>
              <w:rPr>
                <w:spacing w:val="-5"/>
                <w:sz w:val="20"/>
              </w:rPr>
              <w:t>New</w:t>
            </w:r>
          </w:p>
        </w:tc>
      </w:tr>
      <w:tr>
        <w:trPr>
          <w:trHeight w:val="273" w:hRule="atLeast"/>
        </w:trPr>
        <w:tc>
          <w:tcPr>
            <w:tcW w:w="2903" w:type="dxa"/>
            <w:tcBorders>
              <w:top w:val="single" w:sz="4" w:space="0" w:color="000000"/>
              <w:bottom w:val="single" w:sz="4" w:space="0" w:color="000000"/>
            </w:tcBorders>
          </w:tcPr>
          <w:p>
            <w:pPr>
              <w:pStyle w:val="TableParagraph"/>
              <w:jc w:val="left"/>
              <w:rPr>
                <w:sz w:val="20"/>
              </w:rPr>
            </w:pPr>
          </w:p>
        </w:tc>
        <w:tc>
          <w:tcPr>
            <w:tcW w:w="749" w:type="dxa"/>
            <w:tcBorders>
              <w:top w:val="single" w:sz="4" w:space="0" w:color="000000"/>
              <w:bottom w:val="single" w:sz="4" w:space="0" w:color="000000"/>
            </w:tcBorders>
          </w:tcPr>
          <w:p>
            <w:pPr>
              <w:pStyle w:val="TableParagraph"/>
              <w:jc w:val="left"/>
              <w:rPr>
                <w:sz w:val="20"/>
              </w:rPr>
            </w:pPr>
          </w:p>
        </w:tc>
        <w:tc>
          <w:tcPr>
            <w:tcW w:w="698" w:type="dxa"/>
            <w:tcBorders>
              <w:top w:val="single" w:sz="4" w:space="0" w:color="000000"/>
              <w:bottom w:val="single" w:sz="4" w:space="0" w:color="000000"/>
            </w:tcBorders>
          </w:tcPr>
          <w:p>
            <w:pPr>
              <w:pStyle w:val="TableParagraph"/>
              <w:spacing w:before="19"/>
              <w:ind w:right="-15"/>
              <w:rPr>
                <w:b/>
                <w:sz w:val="20"/>
              </w:rPr>
            </w:pPr>
            <w:r>
              <w:rPr>
                <w:b/>
                <w:w w:val="100"/>
                <w:sz w:val="20"/>
              </w:rPr>
              <w:t>2</w:t>
            </w:r>
          </w:p>
        </w:tc>
        <w:tc>
          <w:tcPr>
            <w:tcW w:w="1067" w:type="dxa"/>
            <w:tcBorders>
              <w:top w:val="single" w:sz="4" w:space="0" w:color="000000"/>
              <w:bottom w:val="single" w:sz="4" w:space="0" w:color="000000"/>
            </w:tcBorders>
          </w:tcPr>
          <w:p>
            <w:pPr>
              <w:pStyle w:val="TableParagraph"/>
              <w:spacing w:before="19"/>
              <w:ind w:right="464"/>
              <w:rPr>
                <w:b/>
                <w:sz w:val="20"/>
              </w:rPr>
            </w:pPr>
            <w:r>
              <w:rPr>
                <w:b/>
                <w:spacing w:val="-5"/>
                <w:sz w:val="20"/>
              </w:rPr>
              <w:t>18</w:t>
            </w:r>
          </w:p>
        </w:tc>
        <w:tc>
          <w:tcPr>
            <w:tcW w:w="979" w:type="dxa"/>
            <w:tcBorders>
              <w:top w:val="single" w:sz="4" w:space="0" w:color="000000"/>
              <w:bottom w:val="single" w:sz="4" w:space="0" w:color="000000"/>
            </w:tcBorders>
          </w:tcPr>
          <w:p>
            <w:pPr>
              <w:pStyle w:val="TableParagraph"/>
              <w:spacing w:before="19"/>
              <w:ind w:right="156"/>
              <w:rPr>
                <w:b/>
                <w:sz w:val="20"/>
              </w:rPr>
            </w:pPr>
            <w:r>
              <w:rPr>
                <w:b/>
                <w:spacing w:val="-5"/>
                <w:sz w:val="20"/>
              </w:rPr>
              <w:t>1.5</w:t>
            </w:r>
          </w:p>
        </w:tc>
        <w:tc>
          <w:tcPr>
            <w:tcW w:w="994" w:type="dxa"/>
            <w:tcBorders>
              <w:top w:val="single" w:sz="4" w:space="0" w:color="000000"/>
              <w:bottom w:val="single" w:sz="4" w:space="0" w:color="000000"/>
            </w:tcBorders>
          </w:tcPr>
          <w:p>
            <w:pPr>
              <w:pStyle w:val="TableParagraph"/>
              <w:jc w:val="left"/>
              <w:rPr>
                <w:sz w:val="20"/>
              </w:rPr>
            </w:pPr>
          </w:p>
        </w:tc>
      </w:tr>
      <w:tr>
        <w:trPr>
          <w:trHeight w:val="268" w:hRule="atLeast"/>
        </w:trPr>
        <w:tc>
          <w:tcPr>
            <w:tcW w:w="2903" w:type="dxa"/>
            <w:tcBorders>
              <w:top w:val="single" w:sz="4" w:space="0" w:color="000000"/>
              <w:bottom w:val="single" w:sz="4" w:space="0" w:color="000000"/>
            </w:tcBorders>
          </w:tcPr>
          <w:p>
            <w:pPr>
              <w:pStyle w:val="TableParagraph"/>
              <w:spacing w:line="229" w:lineRule="exact" w:before="20"/>
              <w:ind w:left="14"/>
              <w:jc w:val="left"/>
              <w:rPr>
                <w:i/>
                <w:sz w:val="20"/>
              </w:rPr>
            </w:pPr>
            <w:r>
              <w:rPr>
                <w:i/>
                <w:spacing w:val="-6"/>
                <w:sz w:val="20"/>
              </w:rPr>
              <w:t>Preliminary</w:t>
            </w:r>
            <w:r>
              <w:rPr>
                <w:i/>
                <w:spacing w:val="2"/>
                <w:sz w:val="20"/>
              </w:rPr>
              <w:t> </w:t>
            </w:r>
            <w:r>
              <w:rPr>
                <w:i/>
                <w:spacing w:val="-6"/>
                <w:sz w:val="20"/>
              </w:rPr>
              <w:t>Examination</w:t>
            </w:r>
            <w:r>
              <w:rPr>
                <w:i/>
                <w:spacing w:val="10"/>
                <w:sz w:val="20"/>
              </w:rPr>
              <w:t> </w:t>
            </w:r>
            <w:r>
              <w:rPr>
                <w:i/>
                <w:spacing w:val="-6"/>
                <w:sz w:val="20"/>
              </w:rPr>
              <w:t>Section</w:t>
            </w:r>
          </w:p>
        </w:tc>
        <w:tc>
          <w:tcPr>
            <w:tcW w:w="749" w:type="dxa"/>
            <w:tcBorders>
              <w:top w:val="single" w:sz="4" w:space="0" w:color="000000"/>
              <w:bottom w:val="single" w:sz="4" w:space="0" w:color="000000"/>
            </w:tcBorders>
          </w:tcPr>
          <w:p>
            <w:pPr>
              <w:pStyle w:val="TableParagraph"/>
              <w:jc w:val="left"/>
              <w:rPr>
                <w:sz w:val="18"/>
              </w:rPr>
            </w:pPr>
          </w:p>
        </w:tc>
        <w:tc>
          <w:tcPr>
            <w:tcW w:w="698" w:type="dxa"/>
            <w:tcBorders>
              <w:top w:val="single" w:sz="4" w:space="0" w:color="000000"/>
              <w:bottom w:val="single" w:sz="4" w:space="0" w:color="000000"/>
            </w:tcBorders>
          </w:tcPr>
          <w:p>
            <w:pPr>
              <w:pStyle w:val="TableParagraph"/>
              <w:jc w:val="left"/>
              <w:rPr>
                <w:sz w:val="18"/>
              </w:rPr>
            </w:pPr>
          </w:p>
        </w:tc>
        <w:tc>
          <w:tcPr>
            <w:tcW w:w="1067" w:type="dxa"/>
            <w:tcBorders>
              <w:top w:val="single" w:sz="4" w:space="0" w:color="000000"/>
              <w:bottom w:val="single" w:sz="4" w:space="0" w:color="000000"/>
            </w:tcBorders>
          </w:tcPr>
          <w:p>
            <w:pPr>
              <w:pStyle w:val="TableParagraph"/>
              <w:jc w:val="left"/>
              <w:rPr>
                <w:sz w:val="18"/>
              </w:rPr>
            </w:pPr>
          </w:p>
        </w:tc>
        <w:tc>
          <w:tcPr>
            <w:tcW w:w="979" w:type="dxa"/>
            <w:tcBorders>
              <w:top w:val="single" w:sz="4" w:space="0" w:color="000000"/>
              <w:bottom w:val="single" w:sz="4" w:space="0" w:color="000000"/>
            </w:tcBorders>
          </w:tcPr>
          <w:p>
            <w:pPr>
              <w:pStyle w:val="TableParagraph"/>
              <w:jc w:val="left"/>
              <w:rPr>
                <w:sz w:val="18"/>
              </w:rPr>
            </w:pPr>
          </w:p>
        </w:tc>
        <w:tc>
          <w:tcPr>
            <w:tcW w:w="994" w:type="dxa"/>
            <w:tcBorders>
              <w:top w:val="single" w:sz="4" w:space="0" w:color="000000"/>
              <w:bottom w:val="single" w:sz="4" w:space="0" w:color="000000"/>
            </w:tcBorders>
          </w:tcPr>
          <w:p>
            <w:pPr>
              <w:pStyle w:val="TableParagraph"/>
              <w:jc w:val="left"/>
              <w:rPr>
                <w:sz w:val="18"/>
              </w:rPr>
            </w:pPr>
          </w:p>
        </w:tc>
      </w:tr>
      <w:tr>
        <w:trPr>
          <w:trHeight w:val="268" w:hRule="atLeast"/>
        </w:trPr>
        <w:tc>
          <w:tcPr>
            <w:tcW w:w="2903" w:type="dxa"/>
            <w:tcBorders>
              <w:top w:val="single" w:sz="4" w:space="0" w:color="000000"/>
              <w:bottom w:val="single" w:sz="4" w:space="0" w:color="000000"/>
            </w:tcBorders>
          </w:tcPr>
          <w:p>
            <w:pPr>
              <w:pStyle w:val="TableParagraph"/>
              <w:spacing w:line="229" w:lineRule="exact" w:before="19"/>
              <w:ind w:left="14"/>
              <w:jc w:val="left"/>
              <w:rPr>
                <w:sz w:val="20"/>
              </w:rPr>
            </w:pPr>
            <w:r>
              <w:rPr>
                <w:spacing w:val="-2"/>
                <w:sz w:val="20"/>
              </w:rPr>
              <w:t>Analyst</w:t>
            </w:r>
          </w:p>
        </w:tc>
        <w:tc>
          <w:tcPr>
            <w:tcW w:w="749" w:type="dxa"/>
            <w:tcBorders>
              <w:top w:val="single" w:sz="4" w:space="0" w:color="000000"/>
              <w:bottom w:val="single" w:sz="4" w:space="0" w:color="000000"/>
            </w:tcBorders>
          </w:tcPr>
          <w:p>
            <w:pPr>
              <w:pStyle w:val="TableParagraph"/>
              <w:spacing w:line="229" w:lineRule="exact" w:before="19"/>
              <w:ind w:left="107"/>
              <w:jc w:val="left"/>
              <w:rPr>
                <w:sz w:val="20"/>
              </w:rPr>
            </w:pPr>
            <w:r>
              <w:rPr>
                <w:spacing w:val="-2"/>
                <w:sz w:val="20"/>
              </w:rPr>
              <w:t>P-</w:t>
            </w:r>
            <w:r>
              <w:rPr>
                <w:spacing w:val="-10"/>
                <w:sz w:val="20"/>
              </w:rPr>
              <w:t>3</w:t>
            </w:r>
          </w:p>
        </w:tc>
        <w:tc>
          <w:tcPr>
            <w:tcW w:w="698" w:type="dxa"/>
            <w:tcBorders>
              <w:top w:val="single" w:sz="4" w:space="0" w:color="000000"/>
              <w:bottom w:val="single" w:sz="4" w:space="0" w:color="000000"/>
            </w:tcBorders>
          </w:tcPr>
          <w:p>
            <w:pPr>
              <w:pStyle w:val="TableParagraph"/>
              <w:spacing w:line="229" w:lineRule="exact" w:before="19"/>
              <w:ind w:right="-15"/>
              <w:rPr>
                <w:sz w:val="20"/>
              </w:rPr>
            </w:pPr>
            <w:r>
              <w:rPr>
                <w:w w:val="100"/>
                <w:sz w:val="20"/>
              </w:rPr>
              <w:t>1</w:t>
            </w:r>
          </w:p>
        </w:tc>
        <w:tc>
          <w:tcPr>
            <w:tcW w:w="1067" w:type="dxa"/>
            <w:tcBorders>
              <w:top w:val="single" w:sz="4" w:space="0" w:color="000000"/>
              <w:bottom w:val="single" w:sz="4" w:space="0" w:color="000000"/>
            </w:tcBorders>
          </w:tcPr>
          <w:p>
            <w:pPr>
              <w:pStyle w:val="TableParagraph"/>
              <w:spacing w:line="229" w:lineRule="exact" w:before="19"/>
              <w:ind w:right="464"/>
              <w:rPr>
                <w:sz w:val="20"/>
              </w:rPr>
            </w:pPr>
            <w:r>
              <w:rPr>
                <w:spacing w:val="-5"/>
                <w:sz w:val="20"/>
              </w:rPr>
              <w:t>12</w:t>
            </w:r>
          </w:p>
        </w:tc>
        <w:tc>
          <w:tcPr>
            <w:tcW w:w="979" w:type="dxa"/>
            <w:tcBorders>
              <w:top w:val="single" w:sz="4" w:space="0" w:color="000000"/>
              <w:bottom w:val="single" w:sz="4" w:space="0" w:color="000000"/>
            </w:tcBorders>
          </w:tcPr>
          <w:p>
            <w:pPr>
              <w:pStyle w:val="TableParagraph"/>
              <w:spacing w:line="229" w:lineRule="exact" w:before="19"/>
              <w:ind w:right="156"/>
              <w:rPr>
                <w:sz w:val="20"/>
              </w:rPr>
            </w:pPr>
            <w:r>
              <w:rPr>
                <w:spacing w:val="-5"/>
                <w:sz w:val="20"/>
              </w:rPr>
              <w:t>1.0</w:t>
            </w:r>
          </w:p>
        </w:tc>
        <w:tc>
          <w:tcPr>
            <w:tcW w:w="994" w:type="dxa"/>
            <w:tcBorders>
              <w:top w:val="single" w:sz="4" w:space="0" w:color="000000"/>
              <w:bottom w:val="single" w:sz="4" w:space="0" w:color="000000"/>
            </w:tcBorders>
          </w:tcPr>
          <w:p>
            <w:pPr>
              <w:pStyle w:val="TableParagraph"/>
              <w:spacing w:line="229" w:lineRule="exact" w:before="19"/>
              <w:ind w:right="-15"/>
              <w:rPr>
                <w:sz w:val="20"/>
              </w:rPr>
            </w:pPr>
            <w:r>
              <w:rPr>
                <w:spacing w:val="-2"/>
                <w:sz w:val="20"/>
              </w:rPr>
              <w:t>Continued</w:t>
            </w:r>
          </w:p>
        </w:tc>
      </w:tr>
      <w:tr>
        <w:trPr>
          <w:trHeight w:val="273" w:hRule="atLeast"/>
        </w:trPr>
        <w:tc>
          <w:tcPr>
            <w:tcW w:w="2903" w:type="dxa"/>
            <w:tcBorders>
              <w:top w:val="single" w:sz="4" w:space="0" w:color="000000"/>
              <w:bottom w:val="single" w:sz="4" w:space="0" w:color="000000"/>
            </w:tcBorders>
          </w:tcPr>
          <w:p>
            <w:pPr>
              <w:pStyle w:val="TableParagraph"/>
              <w:jc w:val="left"/>
              <w:rPr>
                <w:sz w:val="20"/>
              </w:rPr>
            </w:pPr>
          </w:p>
        </w:tc>
        <w:tc>
          <w:tcPr>
            <w:tcW w:w="749" w:type="dxa"/>
            <w:tcBorders>
              <w:top w:val="single" w:sz="4" w:space="0" w:color="000000"/>
              <w:bottom w:val="single" w:sz="4" w:space="0" w:color="000000"/>
            </w:tcBorders>
          </w:tcPr>
          <w:p>
            <w:pPr>
              <w:pStyle w:val="TableParagraph"/>
              <w:jc w:val="left"/>
              <w:rPr>
                <w:sz w:val="20"/>
              </w:rPr>
            </w:pPr>
          </w:p>
        </w:tc>
        <w:tc>
          <w:tcPr>
            <w:tcW w:w="698" w:type="dxa"/>
            <w:tcBorders>
              <w:top w:val="single" w:sz="4" w:space="0" w:color="000000"/>
              <w:bottom w:val="single" w:sz="4" w:space="0" w:color="000000"/>
            </w:tcBorders>
          </w:tcPr>
          <w:p>
            <w:pPr>
              <w:pStyle w:val="TableParagraph"/>
              <w:spacing w:before="19"/>
              <w:ind w:right="-15"/>
              <w:rPr>
                <w:b/>
                <w:sz w:val="20"/>
              </w:rPr>
            </w:pPr>
            <w:r>
              <w:rPr>
                <w:b/>
                <w:w w:val="100"/>
                <w:sz w:val="20"/>
              </w:rPr>
              <w:t>1</w:t>
            </w:r>
          </w:p>
        </w:tc>
        <w:tc>
          <w:tcPr>
            <w:tcW w:w="1067" w:type="dxa"/>
            <w:tcBorders>
              <w:top w:val="single" w:sz="4" w:space="0" w:color="000000"/>
              <w:bottom w:val="single" w:sz="4" w:space="0" w:color="000000"/>
            </w:tcBorders>
          </w:tcPr>
          <w:p>
            <w:pPr>
              <w:pStyle w:val="TableParagraph"/>
              <w:spacing w:before="19"/>
              <w:ind w:right="464"/>
              <w:rPr>
                <w:b/>
                <w:sz w:val="20"/>
              </w:rPr>
            </w:pPr>
            <w:r>
              <w:rPr>
                <w:b/>
                <w:spacing w:val="-5"/>
                <w:sz w:val="20"/>
              </w:rPr>
              <w:t>12</w:t>
            </w:r>
          </w:p>
        </w:tc>
        <w:tc>
          <w:tcPr>
            <w:tcW w:w="979" w:type="dxa"/>
            <w:tcBorders>
              <w:top w:val="single" w:sz="4" w:space="0" w:color="000000"/>
              <w:bottom w:val="single" w:sz="4" w:space="0" w:color="000000"/>
            </w:tcBorders>
          </w:tcPr>
          <w:p>
            <w:pPr>
              <w:pStyle w:val="TableParagraph"/>
              <w:spacing w:before="19"/>
              <w:ind w:right="156"/>
              <w:rPr>
                <w:b/>
                <w:sz w:val="20"/>
              </w:rPr>
            </w:pPr>
            <w:r>
              <w:rPr>
                <w:b/>
                <w:spacing w:val="-5"/>
                <w:sz w:val="20"/>
              </w:rPr>
              <w:t>1.0</w:t>
            </w:r>
          </w:p>
        </w:tc>
        <w:tc>
          <w:tcPr>
            <w:tcW w:w="994" w:type="dxa"/>
            <w:tcBorders>
              <w:top w:val="single" w:sz="4" w:space="0" w:color="000000"/>
              <w:bottom w:val="single" w:sz="4" w:space="0" w:color="000000"/>
            </w:tcBorders>
          </w:tcPr>
          <w:p>
            <w:pPr>
              <w:pStyle w:val="TableParagraph"/>
              <w:jc w:val="left"/>
              <w:rPr>
                <w:sz w:val="20"/>
              </w:rPr>
            </w:pPr>
          </w:p>
        </w:tc>
      </w:tr>
      <w:tr>
        <w:trPr>
          <w:trHeight w:val="268" w:hRule="atLeast"/>
        </w:trPr>
        <w:tc>
          <w:tcPr>
            <w:tcW w:w="2903" w:type="dxa"/>
            <w:tcBorders>
              <w:top w:val="single" w:sz="4" w:space="0" w:color="000000"/>
              <w:bottom w:val="single" w:sz="4" w:space="0" w:color="000000"/>
            </w:tcBorders>
          </w:tcPr>
          <w:p>
            <w:pPr>
              <w:pStyle w:val="TableParagraph"/>
              <w:spacing w:line="229" w:lineRule="exact" w:before="19"/>
              <w:ind w:left="14"/>
              <w:jc w:val="left"/>
              <w:rPr>
                <w:i/>
                <w:sz w:val="20"/>
              </w:rPr>
            </w:pPr>
            <w:r>
              <w:rPr>
                <w:i/>
                <w:spacing w:val="-4"/>
                <w:sz w:val="20"/>
              </w:rPr>
              <w:t>Unified</w:t>
            </w:r>
            <w:r>
              <w:rPr>
                <w:i/>
                <w:spacing w:val="-10"/>
                <w:sz w:val="20"/>
              </w:rPr>
              <w:t> </w:t>
            </w:r>
            <w:r>
              <w:rPr>
                <w:i/>
                <w:spacing w:val="-4"/>
                <w:sz w:val="20"/>
              </w:rPr>
              <w:t>Teams</w:t>
            </w:r>
            <w:r>
              <w:rPr>
                <w:i/>
                <w:spacing w:val="-9"/>
                <w:sz w:val="20"/>
              </w:rPr>
              <w:t> </w:t>
            </w:r>
            <w:r>
              <w:rPr>
                <w:i/>
                <w:spacing w:val="-4"/>
                <w:sz w:val="20"/>
              </w:rPr>
              <w:t>(HQ)</w:t>
            </w:r>
          </w:p>
        </w:tc>
        <w:tc>
          <w:tcPr>
            <w:tcW w:w="749" w:type="dxa"/>
            <w:tcBorders>
              <w:top w:val="single" w:sz="4" w:space="0" w:color="000000"/>
              <w:bottom w:val="single" w:sz="4" w:space="0" w:color="000000"/>
            </w:tcBorders>
          </w:tcPr>
          <w:p>
            <w:pPr>
              <w:pStyle w:val="TableParagraph"/>
              <w:jc w:val="left"/>
              <w:rPr>
                <w:sz w:val="18"/>
              </w:rPr>
            </w:pPr>
          </w:p>
        </w:tc>
        <w:tc>
          <w:tcPr>
            <w:tcW w:w="698" w:type="dxa"/>
            <w:tcBorders>
              <w:top w:val="single" w:sz="4" w:space="0" w:color="000000"/>
              <w:bottom w:val="single" w:sz="4" w:space="0" w:color="000000"/>
            </w:tcBorders>
          </w:tcPr>
          <w:p>
            <w:pPr>
              <w:pStyle w:val="TableParagraph"/>
              <w:jc w:val="left"/>
              <w:rPr>
                <w:sz w:val="18"/>
              </w:rPr>
            </w:pPr>
          </w:p>
        </w:tc>
        <w:tc>
          <w:tcPr>
            <w:tcW w:w="1067" w:type="dxa"/>
            <w:tcBorders>
              <w:top w:val="single" w:sz="4" w:space="0" w:color="000000"/>
              <w:bottom w:val="single" w:sz="4" w:space="0" w:color="000000"/>
            </w:tcBorders>
          </w:tcPr>
          <w:p>
            <w:pPr>
              <w:pStyle w:val="TableParagraph"/>
              <w:jc w:val="left"/>
              <w:rPr>
                <w:sz w:val="18"/>
              </w:rPr>
            </w:pPr>
          </w:p>
        </w:tc>
        <w:tc>
          <w:tcPr>
            <w:tcW w:w="979" w:type="dxa"/>
            <w:tcBorders>
              <w:top w:val="single" w:sz="4" w:space="0" w:color="000000"/>
              <w:bottom w:val="single" w:sz="4" w:space="0" w:color="000000"/>
            </w:tcBorders>
          </w:tcPr>
          <w:p>
            <w:pPr>
              <w:pStyle w:val="TableParagraph"/>
              <w:jc w:val="left"/>
              <w:rPr>
                <w:sz w:val="18"/>
              </w:rPr>
            </w:pPr>
          </w:p>
        </w:tc>
        <w:tc>
          <w:tcPr>
            <w:tcW w:w="994" w:type="dxa"/>
            <w:tcBorders>
              <w:top w:val="single" w:sz="4" w:space="0" w:color="000000"/>
              <w:bottom w:val="single" w:sz="4" w:space="0" w:color="000000"/>
            </w:tcBorders>
          </w:tcPr>
          <w:p>
            <w:pPr>
              <w:pStyle w:val="TableParagraph"/>
              <w:jc w:val="left"/>
              <w:rPr>
                <w:sz w:val="18"/>
              </w:rPr>
            </w:pPr>
          </w:p>
        </w:tc>
      </w:tr>
      <w:tr>
        <w:trPr>
          <w:trHeight w:val="268" w:hRule="atLeast"/>
        </w:trPr>
        <w:tc>
          <w:tcPr>
            <w:tcW w:w="2903" w:type="dxa"/>
            <w:tcBorders>
              <w:top w:val="single" w:sz="4" w:space="0" w:color="000000"/>
              <w:bottom w:val="single" w:sz="4" w:space="0" w:color="000000"/>
            </w:tcBorders>
          </w:tcPr>
          <w:p>
            <w:pPr>
              <w:pStyle w:val="TableParagraph"/>
              <w:spacing w:line="229" w:lineRule="exact" w:before="19"/>
              <w:ind w:left="14"/>
              <w:jc w:val="left"/>
              <w:rPr>
                <w:i/>
                <w:sz w:val="20"/>
              </w:rPr>
            </w:pPr>
            <w:r>
              <w:rPr>
                <w:i/>
                <w:spacing w:val="-6"/>
                <w:sz w:val="20"/>
              </w:rPr>
              <w:t>International</w:t>
            </w:r>
            <w:r>
              <w:rPr>
                <w:i/>
                <w:spacing w:val="12"/>
                <w:sz w:val="20"/>
              </w:rPr>
              <w:t> </w:t>
            </w:r>
            <w:r>
              <w:rPr>
                <w:i/>
                <w:spacing w:val="-6"/>
                <w:sz w:val="20"/>
              </w:rPr>
              <w:t>Cooperation</w:t>
            </w:r>
            <w:r>
              <w:rPr>
                <w:i/>
                <w:spacing w:val="5"/>
                <w:sz w:val="20"/>
              </w:rPr>
              <w:t> </w:t>
            </w:r>
            <w:r>
              <w:rPr>
                <w:i/>
                <w:spacing w:val="-6"/>
                <w:sz w:val="20"/>
              </w:rPr>
              <w:t>Advisers</w:t>
            </w:r>
          </w:p>
        </w:tc>
        <w:tc>
          <w:tcPr>
            <w:tcW w:w="749" w:type="dxa"/>
            <w:tcBorders>
              <w:top w:val="single" w:sz="4" w:space="0" w:color="000000"/>
              <w:bottom w:val="single" w:sz="4" w:space="0" w:color="000000"/>
            </w:tcBorders>
          </w:tcPr>
          <w:p>
            <w:pPr>
              <w:pStyle w:val="TableParagraph"/>
              <w:jc w:val="left"/>
              <w:rPr>
                <w:sz w:val="18"/>
              </w:rPr>
            </w:pPr>
          </w:p>
        </w:tc>
        <w:tc>
          <w:tcPr>
            <w:tcW w:w="698" w:type="dxa"/>
            <w:tcBorders>
              <w:top w:val="single" w:sz="4" w:space="0" w:color="000000"/>
              <w:bottom w:val="single" w:sz="4" w:space="0" w:color="000000"/>
            </w:tcBorders>
          </w:tcPr>
          <w:p>
            <w:pPr>
              <w:pStyle w:val="TableParagraph"/>
              <w:jc w:val="left"/>
              <w:rPr>
                <w:sz w:val="18"/>
              </w:rPr>
            </w:pPr>
          </w:p>
        </w:tc>
        <w:tc>
          <w:tcPr>
            <w:tcW w:w="1067" w:type="dxa"/>
            <w:tcBorders>
              <w:top w:val="single" w:sz="4" w:space="0" w:color="000000"/>
              <w:bottom w:val="single" w:sz="4" w:space="0" w:color="000000"/>
            </w:tcBorders>
          </w:tcPr>
          <w:p>
            <w:pPr>
              <w:pStyle w:val="TableParagraph"/>
              <w:jc w:val="left"/>
              <w:rPr>
                <w:sz w:val="18"/>
              </w:rPr>
            </w:pPr>
          </w:p>
        </w:tc>
        <w:tc>
          <w:tcPr>
            <w:tcW w:w="979" w:type="dxa"/>
            <w:tcBorders>
              <w:top w:val="single" w:sz="4" w:space="0" w:color="000000"/>
              <w:bottom w:val="single" w:sz="4" w:space="0" w:color="000000"/>
            </w:tcBorders>
          </w:tcPr>
          <w:p>
            <w:pPr>
              <w:pStyle w:val="TableParagraph"/>
              <w:jc w:val="left"/>
              <w:rPr>
                <w:sz w:val="18"/>
              </w:rPr>
            </w:pPr>
          </w:p>
        </w:tc>
        <w:tc>
          <w:tcPr>
            <w:tcW w:w="994" w:type="dxa"/>
            <w:tcBorders>
              <w:top w:val="single" w:sz="4" w:space="0" w:color="000000"/>
              <w:bottom w:val="single" w:sz="4" w:space="0" w:color="000000"/>
            </w:tcBorders>
          </w:tcPr>
          <w:p>
            <w:pPr>
              <w:pStyle w:val="TableParagraph"/>
              <w:jc w:val="left"/>
              <w:rPr>
                <w:sz w:val="18"/>
              </w:rPr>
            </w:pPr>
          </w:p>
        </w:tc>
      </w:tr>
      <w:tr>
        <w:trPr>
          <w:trHeight w:val="275" w:hRule="atLeast"/>
        </w:trPr>
        <w:tc>
          <w:tcPr>
            <w:tcW w:w="2903" w:type="dxa"/>
            <w:tcBorders>
              <w:top w:val="single" w:sz="4" w:space="0" w:color="000000"/>
            </w:tcBorders>
          </w:tcPr>
          <w:p>
            <w:pPr>
              <w:pStyle w:val="TableParagraph"/>
              <w:spacing w:before="19"/>
              <w:ind w:left="14"/>
              <w:jc w:val="left"/>
              <w:rPr>
                <w:sz w:val="20"/>
              </w:rPr>
            </w:pPr>
            <w:r>
              <w:rPr>
                <w:sz w:val="20"/>
              </w:rPr>
              <w:t>International</w:t>
            </w:r>
            <w:r>
              <w:rPr>
                <w:spacing w:val="-11"/>
                <w:sz w:val="20"/>
              </w:rPr>
              <w:t> </w:t>
            </w:r>
            <w:r>
              <w:rPr>
                <w:sz w:val="20"/>
              </w:rPr>
              <w:t>Cooperation</w:t>
            </w:r>
            <w:r>
              <w:rPr>
                <w:spacing w:val="-8"/>
                <w:sz w:val="20"/>
              </w:rPr>
              <w:t> </w:t>
            </w:r>
            <w:r>
              <w:rPr>
                <w:spacing w:val="-2"/>
                <w:sz w:val="20"/>
              </w:rPr>
              <w:t>Adviser</w:t>
            </w:r>
          </w:p>
        </w:tc>
        <w:tc>
          <w:tcPr>
            <w:tcW w:w="749" w:type="dxa"/>
            <w:tcBorders>
              <w:top w:val="single" w:sz="4" w:space="0" w:color="000000"/>
            </w:tcBorders>
          </w:tcPr>
          <w:p>
            <w:pPr>
              <w:pStyle w:val="TableParagraph"/>
              <w:spacing w:before="19"/>
              <w:ind w:left="107"/>
              <w:jc w:val="left"/>
              <w:rPr>
                <w:sz w:val="20"/>
              </w:rPr>
            </w:pPr>
            <w:r>
              <w:rPr>
                <w:spacing w:val="-2"/>
                <w:sz w:val="20"/>
              </w:rPr>
              <w:t>P-</w:t>
            </w:r>
            <w:r>
              <w:rPr>
                <w:spacing w:val="-10"/>
                <w:sz w:val="20"/>
              </w:rPr>
              <w:t>3</w:t>
            </w:r>
          </w:p>
        </w:tc>
        <w:tc>
          <w:tcPr>
            <w:tcW w:w="698" w:type="dxa"/>
            <w:tcBorders>
              <w:top w:val="single" w:sz="4" w:space="0" w:color="000000"/>
            </w:tcBorders>
          </w:tcPr>
          <w:p>
            <w:pPr>
              <w:pStyle w:val="TableParagraph"/>
              <w:spacing w:before="19"/>
              <w:ind w:right="-15"/>
              <w:rPr>
                <w:sz w:val="20"/>
              </w:rPr>
            </w:pPr>
            <w:r>
              <w:rPr>
                <w:w w:val="100"/>
                <w:sz w:val="20"/>
              </w:rPr>
              <w:t>1</w:t>
            </w:r>
          </w:p>
        </w:tc>
        <w:tc>
          <w:tcPr>
            <w:tcW w:w="1067" w:type="dxa"/>
            <w:tcBorders>
              <w:top w:val="single" w:sz="4" w:space="0" w:color="000000"/>
            </w:tcBorders>
          </w:tcPr>
          <w:p>
            <w:pPr>
              <w:pStyle w:val="TableParagraph"/>
              <w:spacing w:before="19"/>
              <w:ind w:right="464"/>
              <w:rPr>
                <w:sz w:val="20"/>
              </w:rPr>
            </w:pPr>
            <w:r>
              <w:rPr>
                <w:spacing w:val="-5"/>
                <w:sz w:val="20"/>
              </w:rPr>
              <w:t>12</w:t>
            </w:r>
          </w:p>
        </w:tc>
        <w:tc>
          <w:tcPr>
            <w:tcW w:w="979" w:type="dxa"/>
            <w:tcBorders>
              <w:top w:val="single" w:sz="4" w:space="0" w:color="000000"/>
            </w:tcBorders>
          </w:tcPr>
          <w:p>
            <w:pPr>
              <w:pStyle w:val="TableParagraph"/>
              <w:spacing w:before="19"/>
              <w:ind w:right="156"/>
              <w:rPr>
                <w:sz w:val="20"/>
              </w:rPr>
            </w:pPr>
            <w:r>
              <w:rPr>
                <w:spacing w:val="-5"/>
                <w:sz w:val="20"/>
              </w:rPr>
              <w:t>1.0</w:t>
            </w:r>
          </w:p>
        </w:tc>
        <w:tc>
          <w:tcPr>
            <w:tcW w:w="994" w:type="dxa"/>
            <w:tcBorders>
              <w:top w:val="single" w:sz="4" w:space="0" w:color="000000"/>
            </w:tcBorders>
          </w:tcPr>
          <w:p>
            <w:pPr>
              <w:pStyle w:val="TableParagraph"/>
              <w:spacing w:before="19"/>
              <w:ind w:right="-15"/>
              <w:rPr>
                <w:sz w:val="20"/>
              </w:rPr>
            </w:pPr>
            <w:r>
              <w:rPr>
                <w:spacing w:val="-2"/>
                <w:sz w:val="20"/>
              </w:rPr>
              <w:t>Continued</w:t>
            </w:r>
          </w:p>
        </w:tc>
      </w:tr>
      <w:tr>
        <w:trPr>
          <w:trHeight w:val="267" w:hRule="atLeast"/>
        </w:trPr>
        <w:tc>
          <w:tcPr>
            <w:tcW w:w="2903" w:type="dxa"/>
            <w:tcBorders>
              <w:bottom w:val="single" w:sz="4" w:space="0" w:color="000000"/>
            </w:tcBorders>
          </w:tcPr>
          <w:p>
            <w:pPr>
              <w:pStyle w:val="TableParagraph"/>
              <w:spacing w:line="229" w:lineRule="exact" w:before="18"/>
              <w:ind w:left="14"/>
              <w:jc w:val="left"/>
              <w:rPr>
                <w:sz w:val="20"/>
              </w:rPr>
            </w:pPr>
            <w:r>
              <w:rPr>
                <w:sz w:val="20"/>
              </w:rPr>
              <w:t>International</w:t>
            </w:r>
            <w:r>
              <w:rPr>
                <w:spacing w:val="-11"/>
                <w:sz w:val="20"/>
              </w:rPr>
              <w:t> </w:t>
            </w:r>
            <w:r>
              <w:rPr>
                <w:sz w:val="20"/>
              </w:rPr>
              <w:t>Cooperation</w:t>
            </w:r>
            <w:r>
              <w:rPr>
                <w:spacing w:val="-8"/>
                <w:sz w:val="20"/>
              </w:rPr>
              <w:t> </w:t>
            </w:r>
            <w:r>
              <w:rPr>
                <w:spacing w:val="-2"/>
                <w:sz w:val="20"/>
              </w:rPr>
              <w:t>Adviser</w:t>
            </w:r>
          </w:p>
        </w:tc>
        <w:tc>
          <w:tcPr>
            <w:tcW w:w="749" w:type="dxa"/>
            <w:tcBorders>
              <w:bottom w:val="single" w:sz="4" w:space="0" w:color="000000"/>
            </w:tcBorders>
          </w:tcPr>
          <w:p>
            <w:pPr>
              <w:pStyle w:val="TableParagraph"/>
              <w:spacing w:line="229" w:lineRule="exact" w:before="18"/>
              <w:ind w:left="107"/>
              <w:jc w:val="left"/>
              <w:rPr>
                <w:sz w:val="20"/>
              </w:rPr>
            </w:pPr>
            <w:r>
              <w:rPr>
                <w:spacing w:val="-2"/>
                <w:sz w:val="20"/>
              </w:rPr>
              <w:t>P-</w:t>
            </w:r>
            <w:r>
              <w:rPr>
                <w:spacing w:val="-10"/>
                <w:sz w:val="20"/>
              </w:rPr>
              <w:t>3</w:t>
            </w:r>
          </w:p>
        </w:tc>
        <w:tc>
          <w:tcPr>
            <w:tcW w:w="698" w:type="dxa"/>
            <w:tcBorders>
              <w:bottom w:val="single" w:sz="4" w:space="0" w:color="000000"/>
            </w:tcBorders>
          </w:tcPr>
          <w:p>
            <w:pPr>
              <w:pStyle w:val="TableParagraph"/>
              <w:spacing w:line="229" w:lineRule="exact" w:before="18"/>
              <w:ind w:right="-15"/>
              <w:rPr>
                <w:sz w:val="20"/>
              </w:rPr>
            </w:pPr>
            <w:r>
              <w:rPr>
                <w:w w:val="100"/>
                <w:sz w:val="20"/>
              </w:rPr>
              <w:t>1</w:t>
            </w:r>
          </w:p>
        </w:tc>
        <w:tc>
          <w:tcPr>
            <w:tcW w:w="1067" w:type="dxa"/>
            <w:tcBorders>
              <w:bottom w:val="single" w:sz="4" w:space="0" w:color="000000"/>
            </w:tcBorders>
          </w:tcPr>
          <w:p>
            <w:pPr>
              <w:pStyle w:val="TableParagraph"/>
              <w:spacing w:line="229" w:lineRule="exact" w:before="18"/>
              <w:ind w:right="464"/>
              <w:rPr>
                <w:sz w:val="20"/>
              </w:rPr>
            </w:pPr>
            <w:r>
              <w:rPr>
                <w:w w:val="100"/>
                <w:sz w:val="20"/>
              </w:rPr>
              <w:t>9</w:t>
            </w:r>
          </w:p>
        </w:tc>
        <w:tc>
          <w:tcPr>
            <w:tcW w:w="979" w:type="dxa"/>
            <w:tcBorders>
              <w:bottom w:val="single" w:sz="4" w:space="0" w:color="000000"/>
            </w:tcBorders>
          </w:tcPr>
          <w:p>
            <w:pPr>
              <w:pStyle w:val="TableParagraph"/>
              <w:spacing w:line="229" w:lineRule="exact" w:before="18"/>
              <w:ind w:right="156"/>
              <w:rPr>
                <w:sz w:val="20"/>
              </w:rPr>
            </w:pPr>
            <w:r>
              <w:rPr>
                <w:spacing w:val="-4"/>
                <w:sz w:val="20"/>
              </w:rPr>
              <w:t>0.75</w:t>
            </w:r>
          </w:p>
        </w:tc>
        <w:tc>
          <w:tcPr>
            <w:tcW w:w="994" w:type="dxa"/>
            <w:tcBorders>
              <w:bottom w:val="single" w:sz="4" w:space="0" w:color="000000"/>
            </w:tcBorders>
          </w:tcPr>
          <w:p>
            <w:pPr>
              <w:pStyle w:val="TableParagraph"/>
              <w:spacing w:line="229" w:lineRule="exact" w:before="18"/>
              <w:ind w:right="-15"/>
              <w:rPr>
                <w:sz w:val="20"/>
              </w:rPr>
            </w:pPr>
            <w:r>
              <w:rPr>
                <w:spacing w:val="-5"/>
                <w:sz w:val="20"/>
              </w:rPr>
              <w:t>New</w:t>
            </w:r>
          </w:p>
        </w:tc>
      </w:tr>
      <w:tr>
        <w:trPr>
          <w:trHeight w:val="268" w:hRule="atLeast"/>
        </w:trPr>
        <w:tc>
          <w:tcPr>
            <w:tcW w:w="2903" w:type="dxa"/>
            <w:tcBorders>
              <w:top w:val="single" w:sz="4" w:space="0" w:color="000000"/>
              <w:bottom w:val="single" w:sz="4" w:space="0" w:color="000000"/>
            </w:tcBorders>
          </w:tcPr>
          <w:p>
            <w:pPr>
              <w:pStyle w:val="TableParagraph"/>
              <w:jc w:val="left"/>
              <w:rPr>
                <w:sz w:val="18"/>
              </w:rPr>
            </w:pPr>
          </w:p>
        </w:tc>
        <w:tc>
          <w:tcPr>
            <w:tcW w:w="749" w:type="dxa"/>
            <w:tcBorders>
              <w:top w:val="single" w:sz="4" w:space="0" w:color="000000"/>
              <w:bottom w:val="single" w:sz="4" w:space="0" w:color="000000"/>
            </w:tcBorders>
          </w:tcPr>
          <w:p>
            <w:pPr>
              <w:pStyle w:val="TableParagraph"/>
              <w:jc w:val="left"/>
              <w:rPr>
                <w:sz w:val="18"/>
              </w:rPr>
            </w:pPr>
          </w:p>
        </w:tc>
        <w:tc>
          <w:tcPr>
            <w:tcW w:w="698" w:type="dxa"/>
            <w:tcBorders>
              <w:top w:val="single" w:sz="4" w:space="0" w:color="000000"/>
              <w:bottom w:val="single" w:sz="4" w:space="0" w:color="000000"/>
            </w:tcBorders>
          </w:tcPr>
          <w:p>
            <w:pPr>
              <w:pStyle w:val="TableParagraph"/>
              <w:spacing w:line="229" w:lineRule="exact" w:before="19"/>
              <w:ind w:right="-15"/>
              <w:rPr>
                <w:b/>
                <w:sz w:val="20"/>
              </w:rPr>
            </w:pPr>
            <w:r>
              <w:rPr>
                <w:b/>
                <w:w w:val="100"/>
                <w:sz w:val="20"/>
              </w:rPr>
              <w:t>1</w:t>
            </w:r>
          </w:p>
        </w:tc>
        <w:tc>
          <w:tcPr>
            <w:tcW w:w="1067" w:type="dxa"/>
            <w:tcBorders>
              <w:top w:val="single" w:sz="4" w:space="0" w:color="000000"/>
              <w:bottom w:val="single" w:sz="4" w:space="0" w:color="000000"/>
            </w:tcBorders>
          </w:tcPr>
          <w:p>
            <w:pPr>
              <w:pStyle w:val="TableParagraph"/>
              <w:spacing w:line="229" w:lineRule="exact" w:before="19"/>
              <w:ind w:right="464"/>
              <w:rPr>
                <w:b/>
                <w:sz w:val="20"/>
              </w:rPr>
            </w:pPr>
            <w:r>
              <w:rPr>
                <w:b/>
                <w:spacing w:val="-5"/>
                <w:sz w:val="20"/>
              </w:rPr>
              <w:t>12</w:t>
            </w:r>
          </w:p>
        </w:tc>
        <w:tc>
          <w:tcPr>
            <w:tcW w:w="979" w:type="dxa"/>
            <w:tcBorders>
              <w:top w:val="single" w:sz="4" w:space="0" w:color="000000"/>
              <w:bottom w:val="single" w:sz="4" w:space="0" w:color="000000"/>
            </w:tcBorders>
          </w:tcPr>
          <w:p>
            <w:pPr>
              <w:pStyle w:val="TableParagraph"/>
              <w:spacing w:line="229" w:lineRule="exact" w:before="19"/>
              <w:ind w:right="156"/>
              <w:rPr>
                <w:b/>
                <w:sz w:val="20"/>
              </w:rPr>
            </w:pPr>
            <w:r>
              <w:rPr>
                <w:b/>
                <w:spacing w:val="-5"/>
                <w:sz w:val="20"/>
              </w:rPr>
              <w:t>1.0</w:t>
            </w:r>
          </w:p>
        </w:tc>
        <w:tc>
          <w:tcPr>
            <w:tcW w:w="994" w:type="dxa"/>
            <w:tcBorders>
              <w:top w:val="single" w:sz="4" w:space="0" w:color="000000"/>
              <w:bottom w:val="single" w:sz="4" w:space="0" w:color="000000"/>
            </w:tcBorders>
          </w:tcPr>
          <w:p>
            <w:pPr>
              <w:pStyle w:val="TableParagraph"/>
              <w:jc w:val="left"/>
              <w:rPr>
                <w:sz w:val="18"/>
              </w:rPr>
            </w:pPr>
          </w:p>
        </w:tc>
      </w:tr>
      <w:tr>
        <w:trPr>
          <w:trHeight w:val="268" w:hRule="atLeast"/>
        </w:trPr>
        <w:tc>
          <w:tcPr>
            <w:tcW w:w="2903" w:type="dxa"/>
            <w:tcBorders>
              <w:top w:val="single" w:sz="4" w:space="0" w:color="000000"/>
              <w:bottom w:val="single" w:sz="4" w:space="0" w:color="000000"/>
            </w:tcBorders>
          </w:tcPr>
          <w:p>
            <w:pPr>
              <w:pStyle w:val="TableParagraph"/>
              <w:spacing w:line="229" w:lineRule="exact" w:before="19"/>
              <w:ind w:left="14"/>
              <w:jc w:val="left"/>
              <w:rPr>
                <w:i/>
                <w:sz w:val="20"/>
              </w:rPr>
            </w:pPr>
            <w:r>
              <w:rPr>
                <w:i/>
                <w:spacing w:val="-2"/>
                <w:sz w:val="20"/>
              </w:rPr>
              <w:t>Analysts</w:t>
            </w:r>
          </w:p>
        </w:tc>
        <w:tc>
          <w:tcPr>
            <w:tcW w:w="749" w:type="dxa"/>
            <w:tcBorders>
              <w:top w:val="single" w:sz="4" w:space="0" w:color="000000"/>
              <w:bottom w:val="single" w:sz="4" w:space="0" w:color="000000"/>
            </w:tcBorders>
          </w:tcPr>
          <w:p>
            <w:pPr>
              <w:pStyle w:val="TableParagraph"/>
              <w:jc w:val="left"/>
              <w:rPr>
                <w:sz w:val="18"/>
              </w:rPr>
            </w:pPr>
          </w:p>
        </w:tc>
        <w:tc>
          <w:tcPr>
            <w:tcW w:w="698" w:type="dxa"/>
            <w:tcBorders>
              <w:top w:val="single" w:sz="4" w:space="0" w:color="000000"/>
              <w:bottom w:val="single" w:sz="4" w:space="0" w:color="000000"/>
            </w:tcBorders>
          </w:tcPr>
          <w:p>
            <w:pPr>
              <w:pStyle w:val="TableParagraph"/>
              <w:jc w:val="left"/>
              <w:rPr>
                <w:sz w:val="18"/>
              </w:rPr>
            </w:pPr>
          </w:p>
        </w:tc>
        <w:tc>
          <w:tcPr>
            <w:tcW w:w="1067" w:type="dxa"/>
            <w:tcBorders>
              <w:top w:val="single" w:sz="4" w:space="0" w:color="000000"/>
              <w:bottom w:val="single" w:sz="4" w:space="0" w:color="000000"/>
            </w:tcBorders>
          </w:tcPr>
          <w:p>
            <w:pPr>
              <w:pStyle w:val="TableParagraph"/>
              <w:jc w:val="left"/>
              <w:rPr>
                <w:sz w:val="18"/>
              </w:rPr>
            </w:pPr>
          </w:p>
        </w:tc>
        <w:tc>
          <w:tcPr>
            <w:tcW w:w="979" w:type="dxa"/>
            <w:tcBorders>
              <w:top w:val="single" w:sz="4" w:space="0" w:color="000000"/>
              <w:bottom w:val="single" w:sz="4" w:space="0" w:color="000000"/>
            </w:tcBorders>
          </w:tcPr>
          <w:p>
            <w:pPr>
              <w:pStyle w:val="TableParagraph"/>
              <w:jc w:val="left"/>
              <w:rPr>
                <w:sz w:val="18"/>
              </w:rPr>
            </w:pPr>
          </w:p>
        </w:tc>
        <w:tc>
          <w:tcPr>
            <w:tcW w:w="994" w:type="dxa"/>
            <w:tcBorders>
              <w:top w:val="single" w:sz="4" w:space="0" w:color="000000"/>
              <w:bottom w:val="single" w:sz="4" w:space="0" w:color="000000"/>
            </w:tcBorders>
          </w:tcPr>
          <w:p>
            <w:pPr>
              <w:pStyle w:val="TableParagraph"/>
              <w:jc w:val="left"/>
              <w:rPr>
                <w:sz w:val="18"/>
              </w:rPr>
            </w:pPr>
          </w:p>
        </w:tc>
      </w:tr>
      <w:tr>
        <w:trPr>
          <w:trHeight w:val="277" w:hRule="atLeast"/>
        </w:trPr>
        <w:tc>
          <w:tcPr>
            <w:tcW w:w="2903" w:type="dxa"/>
            <w:tcBorders>
              <w:top w:val="single" w:sz="4" w:space="0" w:color="000000"/>
            </w:tcBorders>
          </w:tcPr>
          <w:p>
            <w:pPr>
              <w:pStyle w:val="TableParagraph"/>
              <w:spacing w:before="24"/>
              <w:ind w:left="14"/>
              <w:jc w:val="left"/>
              <w:rPr>
                <w:sz w:val="20"/>
              </w:rPr>
            </w:pPr>
            <w:r>
              <w:rPr>
                <w:spacing w:val="-2"/>
                <w:sz w:val="20"/>
              </w:rPr>
              <w:t>Analyst</w:t>
            </w:r>
          </w:p>
        </w:tc>
        <w:tc>
          <w:tcPr>
            <w:tcW w:w="749" w:type="dxa"/>
            <w:tcBorders>
              <w:top w:val="single" w:sz="4" w:space="0" w:color="000000"/>
            </w:tcBorders>
          </w:tcPr>
          <w:p>
            <w:pPr>
              <w:pStyle w:val="TableParagraph"/>
              <w:spacing w:before="24"/>
              <w:ind w:left="107"/>
              <w:jc w:val="left"/>
              <w:rPr>
                <w:sz w:val="20"/>
              </w:rPr>
            </w:pPr>
            <w:r>
              <w:rPr>
                <w:spacing w:val="-2"/>
                <w:sz w:val="20"/>
              </w:rPr>
              <w:t>P-</w:t>
            </w:r>
            <w:r>
              <w:rPr>
                <w:spacing w:val="-10"/>
                <w:sz w:val="20"/>
              </w:rPr>
              <w:t>3</w:t>
            </w:r>
          </w:p>
        </w:tc>
        <w:tc>
          <w:tcPr>
            <w:tcW w:w="698" w:type="dxa"/>
            <w:tcBorders>
              <w:top w:val="single" w:sz="4" w:space="0" w:color="000000"/>
            </w:tcBorders>
          </w:tcPr>
          <w:p>
            <w:pPr>
              <w:pStyle w:val="TableParagraph"/>
              <w:spacing w:before="24"/>
              <w:ind w:right="-15"/>
              <w:rPr>
                <w:sz w:val="20"/>
              </w:rPr>
            </w:pPr>
            <w:r>
              <w:rPr>
                <w:w w:val="100"/>
                <w:sz w:val="20"/>
              </w:rPr>
              <w:t>4</w:t>
            </w:r>
          </w:p>
        </w:tc>
        <w:tc>
          <w:tcPr>
            <w:tcW w:w="1067" w:type="dxa"/>
            <w:tcBorders>
              <w:top w:val="single" w:sz="4" w:space="0" w:color="000000"/>
            </w:tcBorders>
          </w:tcPr>
          <w:p>
            <w:pPr>
              <w:pStyle w:val="TableParagraph"/>
              <w:spacing w:before="24"/>
              <w:ind w:right="464"/>
              <w:rPr>
                <w:sz w:val="20"/>
              </w:rPr>
            </w:pPr>
            <w:r>
              <w:rPr>
                <w:spacing w:val="-5"/>
                <w:sz w:val="20"/>
              </w:rPr>
              <w:t>48</w:t>
            </w:r>
          </w:p>
        </w:tc>
        <w:tc>
          <w:tcPr>
            <w:tcW w:w="979" w:type="dxa"/>
            <w:tcBorders>
              <w:top w:val="single" w:sz="4" w:space="0" w:color="000000"/>
            </w:tcBorders>
          </w:tcPr>
          <w:p>
            <w:pPr>
              <w:pStyle w:val="TableParagraph"/>
              <w:spacing w:before="24"/>
              <w:ind w:right="156"/>
              <w:rPr>
                <w:sz w:val="20"/>
              </w:rPr>
            </w:pPr>
            <w:r>
              <w:rPr>
                <w:spacing w:val="-5"/>
                <w:sz w:val="20"/>
              </w:rPr>
              <w:t>4.0</w:t>
            </w:r>
          </w:p>
        </w:tc>
        <w:tc>
          <w:tcPr>
            <w:tcW w:w="994" w:type="dxa"/>
            <w:tcBorders>
              <w:top w:val="single" w:sz="4" w:space="0" w:color="000000"/>
            </w:tcBorders>
          </w:tcPr>
          <w:p>
            <w:pPr>
              <w:pStyle w:val="TableParagraph"/>
              <w:spacing w:before="24"/>
              <w:ind w:right="-15"/>
              <w:rPr>
                <w:sz w:val="20"/>
              </w:rPr>
            </w:pPr>
            <w:r>
              <w:rPr>
                <w:spacing w:val="-2"/>
                <w:sz w:val="20"/>
              </w:rPr>
              <w:t>Continued</w:t>
            </w:r>
          </w:p>
        </w:tc>
      </w:tr>
      <w:tr>
        <w:trPr>
          <w:trHeight w:val="268" w:hRule="atLeast"/>
        </w:trPr>
        <w:tc>
          <w:tcPr>
            <w:tcW w:w="2903" w:type="dxa"/>
          </w:tcPr>
          <w:p>
            <w:pPr>
              <w:pStyle w:val="TableParagraph"/>
              <w:spacing w:before="15"/>
              <w:ind w:left="14"/>
              <w:jc w:val="left"/>
              <w:rPr>
                <w:sz w:val="20"/>
              </w:rPr>
            </w:pPr>
            <w:r>
              <w:rPr>
                <w:sz w:val="20"/>
              </w:rPr>
              <w:t>Analyst</w:t>
            </w:r>
            <w:r>
              <w:rPr>
                <w:spacing w:val="-3"/>
                <w:sz w:val="20"/>
              </w:rPr>
              <w:t> </w:t>
            </w:r>
            <w:r>
              <w:rPr>
                <w:spacing w:val="-2"/>
                <w:sz w:val="20"/>
              </w:rPr>
              <w:t>(Military)</w:t>
            </w:r>
          </w:p>
        </w:tc>
        <w:tc>
          <w:tcPr>
            <w:tcW w:w="749" w:type="dxa"/>
          </w:tcPr>
          <w:p>
            <w:pPr>
              <w:pStyle w:val="TableParagraph"/>
              <w:spacing w:before="15"/>
              <w:ind w:left="107"/>
              <w:jc w:val="left"/>
              <w:rPr>
                <w:sz w:val="20"/>
              </w:rPr>
            </w:pPr>
            <w:r>
              <w:rPr>
                <w:spacing w:val="-2"/>
                <w:sz w:val="20"/>
              </w:rPr>
              <w:t>P-</w:t>
            </w:r>
            <w:r>
              <w:rPr>
                <w:spacing w:val="-10"/>
                <w:sz w:val="20"/>
              </w:rPr>
              <w:t>3</w:t>
            </w:r>
          </w:p>
        </w:tc>
        <w:tc>
          <w:tcPr>
            <w:tcW w:w="698" w:type="dxa"/>
          </w:tcPr>
          <w:p>
            <w:pPr>
              <w:pStyle w:val="TableParagraph"/>
              <w:spacing w:before="15"/>
              <w:ind w:right="-15"/>
              <w:rPr>
                <w:sz w:val="20"/>
              </w:rPr>
            </w:pPr>
            <w:r>
              <w:rPr>
                <w:w w:val="100"/>
                <w:sz w:val="20"/>
              </w:rPr>
              <w:t>1</w:t>
            </w:r>
          </w:p>
        </w:tc>
        <w:tc>
          <w:tcPr>
            <w:tcW w:w="1067" w:type="dxa"/>
          </w:tcPr>
          <w:p>
            <w:pPr>
              <w:pStyle w:val="TableParagraph"/>
              <w:spacing w:before="15"/>
              <w:ind w:right="464"/>
              <w:rPr>
                <w:sz w:val="20"/>
              </w:rPr>
            </w:pPr>
            <w:r>
              <w:rPr>
                <w:spacing w:val="-5"/>
                <w:sz w:val="20"/>
              </w:rPr>
              <w:t>12</w:t>
            </w:r>
          </w:p>
        </w:tc>
        <w:tc>
          <w:tcPr>
            <w:tcW w:w="979" w:type="dxa"/>
          </w:tcPr>
          <w:p>
            <w:pPr>
              <w:pStyle w:val="TableParagraph"/>
              <w:spacing w:before="15"/>
              <w:ind w:right="156"/>
              <w:rPr>
                <w:sz w:val="20"/>
              </w:rPr>
            </w:pPr>
            <w:r>
              <w:rPr>
                <w:spacing w:val="-5"/>
                <w:sz w:val="20"/>
              </w:rPr>
              <w:t>1.0</w:t>
            </w:r>
          </w:p>
        </w:tc>
        <w:tc>
          <w:tcPr>
            <w:tcW w:w="994" w:type="dxa"/>
          </w:tcPr>
          <w:p>
            <w:pPr>
              <w:pStyle w:val="TableParagraph"/>
              <w:spacing w:before="15"/>
              <w:ind w:right="-15"/>
              <w:rPr>
                <w:sz w:val="20"/>
              </w:rPr>
            </w:pPr>
            <w:r>
              <w:rPr>
                <w:spacing w:val="-2"/>
                <w:sz w:val="20"/>
              </w:rPr>
              <w:t>Continued</w:t>
            </w:r>
          </w:p>
        </w:tc>
      </w:tr>
      <w:tr>
        <w:trPr>
          <w:trHeight w:val="264" w:hRule="atLeast"/>
        </w:trPr>
        <w:tc>
          <w:tcPr>
            <w:tcW w:w="2903" w:type="dxa"/>
            <w:tcBorders>
              <w:bottom w:val="single" w:sz="4" w:space="0" w:color="000000"/>
            </w:tcBorders>
          </w:tcPr>
          <w:p>
            <w:pPr>
              <w:pStyle w:val="TableParagraph"/>
              <w:spacing w:line="229" w:lineRule="exact" w:before="15"/>
              <w:ind w:left="14"/>
              <w:jc w:val="left"/>
              <w:rPr>
                <w:sz w:val="20"/>
              </w:rPr>
            </w:pPr>
            <w:r>
              <w:rPr>
                <w:sz w:val="20"/>
              </w:rPr>
              <w:t>Analysis</w:t>
            </w:r>
            <w:r>
              <w:rPr>
                <w:spacing w:val="-4"/>
                <w:sz w:val="20"/>
              </w:rPr>
              <w:t> </w:t>
            </w:r>
            <w:r>
              <w:rPr>
                <w:spacing w:val="-2"/>
                <w:sz w:val="20"/>
              </w:rPr>
              <w:t>Assistant</w:t>
            </w:r>
          </w:p>
        </w:tc>
        <w:tc>
          <w:tcPr>
            <w:tcW w:w="749" w:type="dxa"/>
            <w:tcBorders>
              <w:bottom w:val="single" w:sz="4" w:space="0" w:color="000000"/>
            </w:tcBorders>
          </w:tcPr>
          <w:p>
            <w:pPr>
              <w:pStyle w:val="TableParagraph"/>
              <w:spacing w:line="229" w:lineRule="exact" w:before="15"/>
              <w:ind w:left="107"/>
              <w:jc w:val="left"/>
              <w:rPr>
                <w:sz w:val="20"/>
              </w:rPr>
            </w:pPr>
            <w:r>
              <w:rPr>
                <w:spacing w:val="-2"/>
                <w:sz w:val="20"/>
              </w:rPr>
              <w:t>GS-</w:t>
            </w:r>
            <w:r>
              <w:rPr>
                <w:spacing w:val="-7"/>
                <w:sz w:val="20"/>
              </w:rPr>
              <w:t>OL</w:t>
            </w:r>
          </w:p>
        </w:tc>
        <w:tc>
          <w:tcPr>
            <w:tcW w:w="698" w:type="dxa"/>
            <w:tcBorders>
              <w:bottom w:val="single" w:sz="4" w:space="0" w:color="000000"/>
            </w:tcBorders>
          </w:tcPr>
          <w:p>
            <w:pPr>
              <w:pStyle w:val="TableParagraph"/>
              <w:spacing w:line="229" w:lineRule="exact" w:before="15"/>
              <w:ind w:right="-15"/>
              <w:rPr>
                <w:sz w:val="20"/>
              </w:rPr>
            </w:pPr>
            <w:r>
              <w:rPr>
                <w:w w:val="100"/>
                <w:sz w:val="20"/>
              </w:rPr>
              <w:t>6</w:t>
            </w:r>
          </w:p>
        </w:tc>
        <w:tc>
          <w:tcPr>
            <w:tcW w:w="1067" w:type="dxa"/>
            <w:tcBorders>
              <w:bottom w:val="single" w:sz="4" w:space="0" w:color="000000"/>
            </w:tcBorders>
          </w:tcPr>
          <w:p>
            <w:pPr>
              <w:pStyle w:val="TableParagraph"/>
              <w:spacing w:line="229" w:lineRule="exact" w:before="15"/>
              <w:ind w:right="464"/>
              <w:rPr>
                <w:sz w:val="20"/>
              </w:rPr>
            </w:pPr>
            <w:r>
              <w:rPr>
                <w:spacing w:val="-5"/>
                <w:sz w:val="20"/>
              </w:rPr>
              <w:t>72</w:t>
            </w:r>
          </w:p>
        </w:tc>
        <w:tc>
          <w:tcPr>
            <w:tcW w:w="979" w:type="dxa"/>
            <w:tcBorders>
              <w:bottom w:val="single" w:sz="4" w:space="0" w:color="000000"/>
            </w:tcBorders>
          </w:tcPr>
          <w:p>
            <w:pPr>
              <w:pStyle w:val="TableParagraph"/>
              <w:spacing w:line="229" w:lineRule="exact" w:before="15"/>
              <w:ind w:right="156"/>
              <w:rPr>
                <w:sz w:val="20"/>
              </w:rPr>
            </w:pPr>
            <w:r>
              <w:rPr>
                <w:spacing w:val="-5"/>
                <w:sz w:val="20"/>
              </w:rPr>
              <w:t>6.0</w:t>
            </w:r>
          </w:p>
        </w:tc>
        <w:tc>
          <w:tcPr>
            <w:tcW w:w="994" w:type="dxa"/>
            <w:tcBorders>
              <w:bottom w:val="single" w:sz="4" w:space="0" w:color="000000"/>
            </w:tcBorders>
          </w:tcPr>
          <w:p>
            <w:pPr>
              <w:pStyle w:val="TableParagraph"/>
              <w:spacing w:line="229" w:lineRule="exact" w:before="15"/>
              <w:ind w:right="-15"/>
              <w:rPr>
                <w:sz w:val="20"/>
              </w:rPr>
            </w:pPr>
            <w:r>
              <w:rPr>
                <w:spacing w:val="-2"/>
                <w:sz w:val="20"/>
              </w:rPr>
              <w:t>Continued</w:t>
            </w:r>
          </w:p>
        </w:tc>
      </w:tr>
      <w:tr>
        <w:trPr>
          <w:trHeight w:val="273" w:hRule="atLeast"/>
        </w:trPr>
        <w:tc>
          <w:tcPr>
            <w:tcW w:w="2903" w:type="dxa"/>
            <w:tcBorders>
              <w:top w:val="single" w:sz="4" w:space="0" w:color="000000"/>
              <w:bottom w:val="single" w:sz="4" w:space="0" w:color="000000"/>
            </w:tcBorders>
          </w:tcPr>
          <w:p>
            <w:pPr>
              <w:pStyle w:val="TableParagraph"/>
              <w:jc w:val="left"/>
              <w:rPr>
                <w:sz w:val="20"/>
              </w:rPr>
            </w:pPr>
          </w:p>
        </w:tc>
        <w:tc>
          <w:tcPr>
            <w:tcW w:w="749" w:type="dxa"/>
            <w:tcBorders>
              <w:top w:val="single" w:sz="4" w:space="0" w:color="000000"/>
              <w:bottom w:val="single" w:sz="4" w:space="0" w:color="000000"/>
            </w:tcBorders>
          </w:tcPr>
          <w:p>
            <w:pPr>
              <w:pStyle w:val="TableParagraph"/>
              <w:jc w:val="left"/>
              <w:rPr>
                <w:sz w:val="20"/>
              </w:rPr>
            </w:pPr>
          </w:p>
        </w:tc>
        <w:tc>
          <w:tcPr>
            <w:tcW w:w="698" w:type="dxa"/>
            <w:tcBorders>
              <w:top w:val="single" w:sz="4" w:space="0" w:color="000000"/>
              <w:bottom w:val="single" w:sz="4" w:space="0" w:color="000000"/>
            </w:tcBorders>
          </w:tcPr>
          <w:p>
            <w:pPr>
              <w:pStyle w:val="TableParagraph"/>
              <w:spacing w:before="19"/>
              <w:ind w:right="-15"/>
              <w:rPr>
                <w:b/>
                <w:sz w:val="20"/>
              </w:rPr>
            </w:pPr>
            <w:r>
              <w:rPr>
                <w:b/>
                <w:spacing w:val="-5"/>
                <w:sz w:val="20"/>
              </w:rPr>
              <w:t>11</w:t>
            </w:r>
          </w:p>
        </w:tc>
        <w:tc>
          <w:tcPr>
            <w:tcW w:w="1067" w:type="dxa"/>
            <w:tcBorders>
              <w:top w:val="single" w:sz="4" w:space="0" w:color="000000"/>
              <w:bottom w:val="single" w:sz="4" w:space="0" w:color="000000"/>
            </w:tcBorders>
          </w:tcPr>
          <w:p>
            <w:pPr>
              <w:pStyle w:val="TableParagraph"/>
              <w:spacing w:before="19"/>
              <w:ind w:right="459"/>
              <w:rPr>
                <w:b/>
                <w:sz w:val="20"/>
              </w:rPr>
            </w:pPr>
            <w:r>
              <w:rPr>
                <w:b/>
                <w:spacing w:val="-5"/>
                <w:sz w:val="20"/>
              </w:rPr>
              <w:t>132</w:t>
            </w:r>
          </w:p>
        </w:tc>
        <w:tc>
          <w:tcPr>
            <w:tcW w:w="979" w:type="dxa"/>
            <w:tcBorders>
              <w:top w:val="single" w:sz="4" w:space="0" w:color="000000"/>
              <w:bottom w:val="single" w:sz="4" w:space="0" w:color="000000"/>
            </w:tcBorders>
          </w:tcPr>
          <w:p>
            <w:pPr>
              <w:pStyle w:val="TableParagraph"/>
              <w:spacing w:before="19"/>
              <w:ind w:right="156"/>
              <w:rPr>
                <w:b/>
                <w:sz w:val="20"/>
              </w:rPr>
            </w:pPr>
            <w:r>
              <w:rPr>
                <w:b/>
                <w:spacing w:val="-4"/>
                <w:sz w:val="20"/>
              </w:rPr>
              <w:t>11.0</w:t>
            </w:r>
          </w:p>
        </w:tc>
        <w:tc>
          <w:tcPr>
            <w:tcW w:w="994" w:type="dxa"/>
            <w:tcBorders>
              <w:top w:val="single" w:sz="4" w:space="0" w:color="000000"/>
              <w:bottom w:val="single" w:sz="4" w:space="0" w:color="000000"/>
            </w:tcBorders>
          </w:tcPr>
          <w:p>
            <w:pPr>
              <w:pStyle w:val="TableParagraph"/>
              <w:jc w:val="left"/>
              <w:rPr>
                <w:sz w:val="20"/>
              </w:rPr>
            </w:pPr>
          </w:p>
        </w:tc>
      </w:tr>
      <w:tr>
        <w:trPr>
          <w:trHeight w:val="268" w:hRule="atLeast"/>
        </w:trPr>
        <w:tc>
          <w:tcPr>
            <w:tcW w:w="2903" w:type="dxa"/>
            <w:tcBorders>
              <w:top w:val="single" w:sz="4" w:space="0" w:color="000000"/>
              <w:bottom w:val="single" w:sz="4" w:space="0" w:color="000000"/>
            </w:tcBorders>
          </w:tcPr>
          <w:p>
            <w:pPr>
              <w:pStyle w:val="TableParagraph"/>
              <w:spacing w:line="229" w:lineRule="exact" w:before="19"/>
              <w:ind w:left="14"/>
              <w:jc w:val="left"/>
              <w:rPr>
                <w:i/>
                <w:sz w:val="20"/>
              </w:rPr>
            </w:pPr>
            <w:r>
              <w:rPr>
                <w:i/>
                <w:spacing w:val="-2"/>
                <w:sz w:val="20"/>
              </w:rPr>
              <w:t>Investigators</w:t>
            </w:r>
          </w:p>
        </w:tc>
        <w:tc>
          <w:tcPr>
            <w:tcW w:w="749" w:type="dxa"/>
            <w:tcBorders>
              <w:top w:val="single" w:sz="4" w:space="0" w:color="000000"/>
              <w:bottom w:val="single" w:sz="4" w:space="0" w:color="000000"/>
            </w:tcBorders>
          </w:tcPr>
          <w:p>
            <w:pPr>
              <w:pStyle w:val="TableParagraph"/>
              <w:jc w:val="left"/>
              <w:rPr>
                <w:sz w:val="18"/>
              </w:rPr>
            </w:pPr>
          </w:p>
        </w:tc>
        <w:tc>
          <w:tcPr>
            <w:tcW w:w="698" w:type="dxa"/>
            <w:tcBorders>
              <w:top w:val="single" w:sz="4" w:space="0" w:color="000000"/>
              <w:bottom w:val="single" w:sz="4" w:space="0" w:color="000000"/>
            </w:tcBorders>
          </w:tcPr>
          <w:p>
            <w:pPr>
              <w:pStyle w:val="TableParagraph"/>
              <w:jc w:val="left"/>
              <w:rPr>
                <w:sz w:val="18"/>
              </w:rPr>
            </w:pPr>
          </w:p>
        </w:tc>
        <w:tc>
          <w:tcPr>
            <w:tcW w:w="1067" w:type="dxa"/>
            <w:tcBorders>
              <w:top w:val="single" w:sz="4" w:space="0" w:color="000000"/>
              <w:bottom w:val="single" w:sz="4" w:space="0" w:color="000000"/>
            </w:tcBorders>
          </w:tcPr>
          <w:p>
            <w:pPr>
              <w:pStyle w:val="TableParagraph"/>
              <w:jc w:val="left"/>
              <w:rPr>
                <w:sz w:val="18"/>
              </w:rPr>
            </w:pPr>
          </w:p>
        </w:tc>
        <w:tc>
          <w:tcPr>
            <w:tcW w:w="979" w:type="dxa"/>
            <w:tcBorders>
              <w:top w:val="single" w:sz="4" w:space="0" w:color="000000"/>
              <w:bottom w:val="single" w:sz="4" w:space="0" w:color="000000"/>
            </w:tcBorders>
          </w:tcPr>
          <w:p>
            <w:pPr>
              <w:pStyle w:val="TableParagraph"/>
              <w:jc w:val="left"/>
              <w:rPr>
                <w:sz w:val="18"/>
              </w:rPr>
            </w:pPr>
          </w:p>
        </w:tc>
        <w:tc>
          <w:tcPr>
            <w:tcW w:w="994" w:type="dxa"/>
            <w:tcBorders>
              <w:top w:val="single" w:sz="4" w:space="0" w:color="000000"/>
              <w:bottom w:val="single" w:sz="4" w:space="0" w:color="000000"/>
            </w:tcBorders>
          </w:tcPr>
          <w:p>
            <w:pPr>
              <w:pStyle w:val="TableParagraph"/>
              <w:jc w:val="left"/>
              <w:rPr>
                <w:sz w:val="18"/>
              </w:rPr>
            </w:pPr>
          </w:p>
        </w:tc>
      </w:tr>
      <w:tr>
        <w:trPr>
          <w:trHeight w:val="272" w:hRule="atLeast"/>
        </w:trPr>
        <w:tc>
          <w:tcPr>
            <w:tcW w:w="2903" w:type="dxa"/>
            <w:tcBorders>
              <w:top w:val="single" w:sz="4" w:space="0" w:color="000000"/>
            </w:tcBorders>
          </w:tcPr>
          <w:p>
            <w:pPr>
              <w:pStyle w:val="TableParagraph"/>
              <w:spacing w:before="19"/>
              <w:ind w:left="14"/>
              <w:jc w:val="left"/>
              <w:rPr>
                <w:sz w:val="20"/>
              </w:rPr>
            </w:pPr>
            <w:r>
              <w:rPr>
                <w:sz w:val="20"/>
              </w:rPr>
              <w:t>Senior</w:t>
            </w:r>
            <w:r>
              <w:rPr>
                <w:spacing w:val="-5"/>
                <w:sz w:val="20"/>
              </w:rPr>
              <w:t> </w:t>
            </w:r>
            <w:r>
              <w:rPr>
                <w:spacing w:val="-2"/>
                <w:sz w:val="20"/>
              </w:rPr>
              <w:t>Investigator</w:t>
            </w:r>
          </w:p>
        </w:tc>
        <w:tc>
          <w:tcPr>
            <w:tcW w:w="749" w:type="dxa"/>
            <w:tcBorders>
              <w:top w:val="single" w:sz="4" w:space="0" w:color="000000"/>
            </w:tcBorders>
          </w:tcPr>
          <w:p>
            <w:pPr>
              <w:pStyle w:val="TableParagraph"/>
              <w:spacing w:before="19"/>
              <w:ind w:left="107"/>
              <w:jc w:val="left"/>
              <w:rPr>
                <w:sz w:val="20"/>
              </w:rPr>
            </w:pPr>
            <w:r>
              <w:rPr>
                <w:spacing w:val="-2"/>
                <w:sz w:val="20"/>
              </w:rPr>
              <w:t>P-</w:t>
            </w:r>
            <w:r>
              <w:rPr>
                <w:spacing w:val="-10"/>
                <w:sz w:val="20"/>
              </w:rPr>
              <w:t>4</w:t>
            </w:r>
          </w:p>
        </w:tc>
        <w:tc>
          <w:tcPr>
            <w:tcW w:w="698" w:type="dxa"/>
            <w:tcBorders>
              <w:top w:val="single" w:sz="4" w:space="0" w:color="000000"/>
            </w:tcBorders>
          </w:tcPr>
          <w:p>
            <w:pPr>
              <w:pStyle w:val="TableParagraph"/>
              <w:spacing w:before="19"/>
              <w:ind w:right="-15"/>
              <w:rPr>
                <w:sz w:val="20"/>
              </w:rPr>
            </w:pPr>
            <w:r>
              <w:rPr>
                <w:w w:val="100"/>
                <w:sz w:val="20"/>
              </w:rPr>
              <w:t>1</w:t>
            </w:r>
          </w:p>
        </w:tc>
        <w:tc>
          <w:tcPr>
            <w:tcW w:w="1067" w:type="dxa"/>
            <w:tcBorders>
              <w:top w:val="single" w:sz="4" w:space="0" w:color="000000"/>
            </w:tcBorders>
          </w:tcPr>
          <w:p>
            <w:pPr>
              <w:pStyle w:val="TableParagraph"/>
              <w:spacing w:before="19"/>
              <w:ind w:right="464"/>
              <w:rPr>
                <w:sz w:val="20"/>
              </w:rPr>
            </w:pPr>
            <w:r>
              <w:rPr>
                <w:spacing w:val="-5"/>
                <w:sz w:val="20"/>
              </w:rPr>
              <w:t>12</w:t>
            </w:r>
          </w:p>
        </w:tc>
        <w:tc>
          <w:tcPr>
            <w:tcW w:w="979" w:type="dxa"/>
            <w:tcBorders>
              <w:top w:val="single" w:sz="4" w:space="0" w:color="000000"/>
            </w:tcBorders>
          </w:tcPr>
          <w:p>
            <w:pPr>
              <w:pStyle w:val="TableParagraph"/>
              <w:spacing w:before="19"/>
              <w:ind w:right="156"/>
              <w:rPr>
                <w:sz w:val="20"/>
              </w:rPr>
            </w:pPr>
            <w:r>
              <w:rPr>
                <w:spacing w:val="-5"/>
                <w:sz w:val="20"/>
              </w:rPr>
              <w:t>1.0</w:t>
            </w:r>
          </w:p>
        </w:tc>
        <w:tc>
          <w:tcPr>
            <w:tcW w:w="994" w:type="dxa"/>
            <w:tcBorders>
              <w:top w:val="single" w:sz="4" w:space="0" w:color="000000"/>
            </w:tcBorders>
          </w:tcPr>
          <w:p>
            <w:pPr>
              <w:pStyle w:val="TableParagraph"/>
              <w:spacing w:before="19"/>
              <w:ind w:right="-15"/>
              <w:rPr>
                <w:sz w:val="20"/>
              </w:rPr>
            </w:pPr>
            <w:r>
              <w:rPr>
                <w:spacing w:val="-2"/>
                <w:sz w:val="20"/>
              </w:rPr>
              <w:t>Continued</w:t>
            </w:r>
          </w:p>
        </w:tc>
      </w:tr>
      <w:tr>
        <w:trPr>
          <w:trHeight w:val="271" w:hRule="atLeast"/>
        </w:trPr>
        <w:tc>
          <w:tcPr>
            <w:tcW w:w="2903" w:type="dxa"/>
          </w:tcPr>
          <w:p>
            <w:pPr>
              <w:pStyle w:val="TableParagraph"/>
              <w:spacing w:before="15"/>
              <w:ind w:left="14"/>
              <w:jc w:val="left"/>
              <w:rPr>
                <w:sz w:val="20"/>
              </w:rPr>
            </w:pPr>
            <w:r>
              <w:rPr>
                <w:sz w:val="20"/>
              </w:rPr>
              <w:t>Senior</w:t>
            </w:r>
            <w:r>
              <w:rPr>
                <w:spacing w:val="-5"/>
                <w:sz w:val="20"/>
              </w:rPr>
              <w:t> </w:t>
            </w:r>
            <w:r>
              <w:rPr>
                <w:spacing w:val="-2"/>
                <w:sz w:val="20"/>
              </w:rPr>
              <w:t>Investigator</w:t>
            </w:r>
          </w:p>
        </w:tc>
        <w:tc>
          <w:tcPr>
            <w:tcW w:w="749" w:type="dxa"/>
          </w:tcPr>
          <w:p>
            <w:pPr>
              <w:pStyle w:val="TableParagraph"/>
              <w:spacing w:before="15"/>
              <w:ind w:left="107"/>
              <w:jc w:val="left"/>
              <w:rPr>
                <w:sz w:val="20"/>
              </w:rPr>
            </w:pPr>
            <w:r>
              <w:rPr>
                <w:spacing w:val="-2"/>
                <w:sz w:val="20"/>
              </w:rPr>
              <w:t>P-</w:t>
            </w:r>
            <w:r>
              <w:rPr>
                <w:spacing w:val="-10"/>
                <w:sz w:val="20"/>
              </w:rPr>
              <w:t>4</w:t>
            </w:r>
          </w:p>
        </w:tc>
        <w:tc>
          <w:tcPr>
            <w:tcW w:w="698" w:type="dxa"/>
          </w:tcPr>
          <w:p>
            <w:pPr>
              <w:pStyle w:val="TableParagraph"/>
              <w:spacing w:before="15"/>
              <w:ind w:right="-15"/>
              <w:rPr>
                <w:sz w:val="20"/>
              </w:rPr>
            </w:pPr>
            <w:r>
              <w:rPr>
                <w:w w:val="100"/>
                <w:sz w:val="20"/>
              </w:rPr>
              <w:t>1</w:t>
            </w:r>
          </w:p>
        </w:tc>
        <w:tc>
          <w:tcPr>
            <w:tcW w:w="1067" w:type="dxa"/>
          </w:tcPr>
          <w:p>
            <w:pPr>
              <w:pStyle w:val="TableParagraph"/>
              <w:spacing w:before="15"/>
              <w:ind w:right="464"/>
              <w:rPr>
                <w:sz w:val="20"/>
              </w:rPr>
            </w:pPr>
            <w:r>
              <w:rPr>
                <w:spacing w:val="-5"/>
                <w:sz w:val="20"/>
              </w:rPr>
              <w:t>12</w:t>
            </w:r>
          </w:p>
        </w:tc>
        <w:tc>
          <w:tcPr>
            <w:tcW w:w="979" w:type="dxa"/>
          </w:tcPr>
          <w:p>
            <w:pPr>
              <w:pStyle w:val="TableParagraph"/>
              <w:spacing w:before="15"/>
              <w:ind w:right="156"/>
              <w:rPr>
                <w:sz w:val="20"/>
              </w:rPr>
            </w:pPr>
            <w:r>
              <w:rPr>
                <w:spacing w:val="-5"/>
                <w:sz w:val="20"/>
              </w:rPr>
              <w:t>1.0</w:t>
            </w:r>
          </w:p>
        </w:tc>
        <w:tc>
          <w:tcPr>
            <w:tcW w:w="994" w:type="dxa"/>
          </w:tcPr>
          <w:p>
            <w:pPr>
              <w:pStyle w:val="TableParagraph"/>
              <w:spacing w:before="15"/>
              <w:ind w:right="-15"/>
              <w:rPr>
                <w:sz w:val="20"/>
              </w:rPr>
            </w:pPr>
            <w:r>
              <w:rPr>
                <w:spacing w:val="-5"/>
                <w:sz w:val="20"/>
              </w:rPr>
              <w:t>New</w:t>
            </w:r>
          </w:p>
        </w:tc>
      </w:tr>
      <w:tr>
        <w:trPr>
          <w:trHeight w:val="271" w:hRule="atLeast"/>
        </w:trPr>
        <w:tc>
          <w:tcPr>
            <w:tcW w:w="2903" w:type="dxa"/>
          </w:tcPr>
          <w:p>
            <w:pPr>
              <w:pStyle w:val="TableParagraph"/>
              <w:spacing w:before="18"/>
              <w:ind w:left="14"/>
              <w:jc w:val="left"/>
              <w:rPr>
                <w:sz w:val="20"/>
              </w:rPr>
            </w:pPr>
            <w:r>
              <w:rPr>
                <w:sz w:val="20"/>
              </w:rPr>
              <w:t>Associate</w:t>
            </w:r>
            <w:r>
              <w:rPr>
                <w:spacing w:val="-7"/>
                <w:sz w:val="20"/>
              </w:rPr>
              <w:t> </w:t>
            </w:r>
            <w:r>
              <w:rPr>
                <w:spacing w:val="-2"/>
                <w:sz w:val="20"/>
              </w:rPr>
              <w:t>Investigator</w:t>
            </w:r>
          </w:p>
        </w:tc>
        <w:tc>
          <w:tcPr>
            <w:tcW w:w="749" w:type="dxa"/>
          </w:tcPr>
          <w:p>
            <w:pPr>
              <w:pStyle w:val="TableParagraph"/>
              <w:spacing w:before="18"/>
              <w:ind w:left="107"/>
              <w:jc w:val="left"/>
              <w:rPr>
                <w:sz w:val="20"/>
              </w:rPr>
            </w:pPr>
            <w:r>
              <w:rPr>
                <w:spacing w:val="-2"/>
                <w:sz w:val="20"/>
              </w:rPr>
              <w:t>P-</w:t>
            </w:r>
            <w:r>
              <w:rPr>
                <w:spacing w:val="-10"/>
                <w:sz w:val="20"/>
              </w:rPr>
              <w:t>2</w:t>
            </w:r>
          </w:p>
        </w:tc>
        <w:tc>
          <w:tcPr>
            <w:tcW w:w="698" w:type="dxa"/>
          </w:tcPr>
          <w:p>
            <w:pPr>
              <w:pStyle w:val="TableParagraph"/>
              <w:spacing w:before="18"/>
              <w:ind w:right="-15"/>
              <w:rPr>
                <w:sz w:val="20"/>
              </w:rPr>
            </w:pPr>
            <w:r>
              <w:rPr>
                <w:w w:val="100"/>
                <w:sz w:val="20"/>
              </w:rPr>
              <w:t>5</w:t>
            </w:r>
          </w:p>
        </w:tc>
        <w:tc>
          <w:tcPr>
            <w:tcW w:w="1067" w:type="dxa"/>
          </w:tcPr>
          <w:p>
            <w:pPr>
              <w:pStyle w:val="TableParagraph"/>
              <w:spacing w:before="18"/>
              <w:ind w:right="464"/>
              <w:rPr>
                <w:sz w:val="20"/>
              </w:rPr>
            </w:pPr>
            <w:r>
              <w:rPr>
                <w:spacing w:val="-5"/>
                <w:sz w:val="20"/>
              </w:rPr>
              <w:t>60</w:t>
            </w:r>
          </w:p>
        </w:tc>
        <w:tc>
          <w:tcPr>
            <w:tcW w:w="979" w:type="dxa"/>
          </w:tcPr>
          <w:p>
            <w:pPr>
              <w:pStyle w:val="TableParagraph"/>
              <w:spacing w:before="18"/>
              <w:ind w:right="156"/>
              <w:rPr>
                <w:sz w:val="20"/>
              </w:rPr>
            </w:pPr>
            <w:r>
              <w:rPr>
                <w:spacing w:val="-5"/>
                <w:sz w:val="20"/>
              </w:rPr>
              <w:t>5.0</w:t>
            </w:r>
          </w:p>
        </w:tc>
        <w:tc>
          <w:tcPr>
            <w:tcW w:w="994" w:type="dxa"/>
          </w:tcPr>
          <w:p>
            <w:pPr>
              <w:pStyle w:val="TableParagraph"/>
              <w:spacing w:before="18"/>
              <w:ind w:right="-15"/>
              <w:rPr>
                <w:sz w:val="20"/>
              </w:rPr>
            </w:pPr>
            <w:r>
              <w:rPr>
                <w:spacing w:val="-2"/>
                <w:sz w:val="20"/>
              </w:rPr>
              <w:t>Continued</w:t>
            </w:r>
          </w:p>
        </w:tc>
      </w:tr>
      <w:tr>
        <w:trPr>
          <w:trHeight w:val="495" w:hRule="atLeast"/>
        </w:trPr>
        <w:tc>
          <w:tcPr>
            <w:tcW w:w="2903" w:type="dxa"/>
            <w:tcBorders>
              <w:bottom w:val="single" w:sz="4" w:space="0" w:color="000000"/>
            </w:tcBorders>
          </w:tcPr>
          <w:p>
            <w:pPr>
              <w:pStyle w:val="TableParagraph"/>
              <w:spacing w:line="230" w:lineRule="atLeast" w:before="15"/>
              <w:ind w:left="14"/>
              <w:jc w:val="left"/>
              <w:rPr>
                <w:sz w:val="20"/>
              </w:rPr>
            </w:pPr>
            <w:r>
              <w:rPr>
                <w:sz w:val="20"/>
              </w:rPr>
              <w:t>Situation-Specific</w:t>
            </w:r>
            <w:r>
              <w:rPr>
                <w:spacing w:val="-13"/>
                <w:sz w:val="20"/>
              </w:rPr>
              <w:t> </w:t>
            </w:r>
            <w:r>
              <w:rPr>
                <w:sz w:val="20"/>
              </w:rPr>
              <w:t>Investigation </w:t>
            </w:r>
            <w:r>
              <w:rPr>
                <w:spacing w:val="-2"/>
                <w:sz w:val="20"/>
              </w:rPr>
              <w:t>Assistant</w:t>
            </w:r>
          </w:p>
        </w:tc>
        <w:tc>
          <w:tcPr>
            <w:tcW w:w="749" w:type="dxa"/>
            <w:tcBorders>
              <w:bottom w:val="single" w:sz="4" w:space="0" w:color="000000"/>
            </w:tcBorders>
          </w:tcPr>
          <w:p>
            <w:pPr>
              <w:pStyle w:val="TableParagraph"/>
              <w:spacing w:before="4"/>
              <w:jc w:val="left"/>
              <w:rPr>
                <w:sz w:val="21"/>
              </w:rPr>
            </w:pPr>
          </w:p>
          <w:p>
            <w:pPr>
              <w:pStyle w:val="TableParagraph"/>
              <w:spacing w:line="229" w:lineRule="exact"/>
              <w:ind w:left="107"/>
              <w:jc w:val="left"/>
              <w:rPr>
                <w:sz w:val="20"/>
              </w:rPr>
            </w:pPr>
            <w:r>
              <w:rPr>
                <w:spacing w:val="-2"/>
                <w:sz w:val="20"/>
              </w:rPr>
              <w:t>GS-</w:t>
            </w:r>
            <w:r>
              <w:rPr>
                <w:spacing w:val="-7"/>
                <w:sz w:val="20"/>
              </w:rPr>
              <w:t>OL</w:t>
            </w:r>
          </w:p>
        </w:tc>
        <w:tc>
          <w:tcPr>
            <w:tcW w:w="698" w:type="dxa"/>
            <w:tcBorders>
              <w:bottom w:val="single" w:sz="4" w:space="0" w:color="000000"/>
            </w:tcBorders>
          </w:tcPr>
          <w:p>
            <w:pPr>
              <w:pStyle w:val="TableParagraph"/>
              <w:spacing w:before="4"/>
              <w:jc w:val="left"/>
              <w:rPr>
                <w:sz w:val="21"/>
              </w:rPr>
            </w:pPr>
          </w:p>
          <w:p>
            <w:pPr>
              <w:pStyle w:val="TableParagraph"/>
              <w:spacing w:line="229" w:lineRule="exact"/>
              <w:ind w:right="-15"/>
              <w:rPr>
                <w:sz w:val="20"/>
              </w:rPr>
            </w:pPr>
            <w:r>
              <w:rPr>
                <w:w w:val="100"/>
                <w:sz w:val="20"/>
              </w:rPr>
              <w:t>2</w:t>
            </w:r>
          </w:p>
        </w:tc>
        <w:tc>
          <w:tcPr>
            <w:tcW w:w="1067" w:type="dxa"/>
            <w:tcBorders>
              <w:bottom w:val="single" w:sz="4" w:space="0" w:color="000000"/>
            </w:tcBorders>
          </w:tcPr>
          <w:p>
            <w:pPr>
              <w:pStyle w:val="TableParagraph"/>
              <w:spacing w:before="4"/>
              <w:jc w:val="left"/>
              <w:rPr>
                <w:sz w:val="21"/>
              </w:rPr>
            </w:pPr>
          </w:p>
          <w:p>
            <w:pPr>
              <w:pStyle w:val="TableParagraph"/>
              <w:spacing w:line="229" w:lineRule="exact"/>
              <w:ind w:right="464"/>
              <w:rPr>
                <w:sz w:val="20"/>
              </w:rPr>
            </w:pPr>
            <w:r>
              <w:rPr>
                <w:spacing w:val="-5"/>
                <w:sz w:val="20"/>
              </w:rPr>
              <w:t>24</w:t>
            </w:r>
          </w:p>
        </w:tc>
        <w:tc>
          <w:tcPr>
            <w:tcW w:w="979" w:type="dxa"/>
            <w:tcBorders>
              <w:bottom w:val="single" w:sz="4" w:space="0" w:color="000000"/>
            </w:tcBorders>
          </w:tcPr>
          <w:p>
            <w:pPr>
              <w:pStyle w:val="TableParagraph"/>
              <w:spacing w:before="4"/>
              <w:jc w:val="left"/>
              <w:rPr>
                <w:sz w:val="21"/>
              </w:rPr>
            </w:pPr>
          </w:p>
          <w:p>
            <w:pPr>
              <w:pStyle w:val="TableParagraph"/>
              <w:spacing w:line="229" w:lineRule="exact"/>
              <w:ind w:right="156"/>
              <w:rPr>
                <w:sz w:val="20"/>
              </w:rPr>
            </w:pPr>
            <w:r>
              <w:rPr>
                <w:spacing w:val="-5"/>
                <w:sz w:val="20"/>
              </w:rPr>
              <w:t>2.0</w:t>
            </w:r>
          </w:p>
        </w:tc>
        <w:tc>
          <w:tcPr>
            <w:tcW w:w="994" w:type="dxa"/>
            <w:tcBorders>
              <w:bottom w:val="single" w:sz="4" w:space="0" w:color="000000"/>
            </w:tcBorders>
          </w:tcPr>
          <w:p>
            <w:pPr>
              <w:pStyle w:val="TableParagraph"/>
              <w:spacing w:before="4"/>
              <w:jc w:val="left"/>
              <w:rPr>
                <w:sz w:val="21"/>
              </w:rPr>
            </w:pPr>
          </w:p>
          <w:p>
            <w:pPr>
              <w:pStyle w:val="TableParagraph"/>
              <w:spacing w:line="229" w:lineRule="exact"/>
              <w:ind w:right="-15"/>
              <w:rPr>
                <w:sz w:val="20"/>
              </w:rPr>
            </w:pPr>
            <w:r>
              <w:rPr>
                <w:spacing w:val="-2"/>
                <w:sz w:val="20"/>
              </w:rPr>
              <w:t>Continued</w:t>
            </w:r>
          </w:p>
        </w:tc>
      </w:tr>
      <w:tr>
        <w:trPr>
          <w:trHeight w:val="268" w:hRule="atLeast"/>
        </w:trPr>
        <w:tc>
          <w:tcPr>
            <w:tcW w:w="2903" w:type="dxa"/>
            <w:tcBorders>
              <w:top w:val="single" w:sz="4" w:space="0" w:color="000000"/>
              <w:bottom w:val="single" w:sz="4" w:space="0" w:color="000000"/>
            </w:tcBorders>
          </w:tcPr>
          <w:p>
            <w:pPr>
              <w:pStyle w:val="TableParagraph"/>
              <w:jc w:val="left"/>
              <w:rPr>
                <w:sz w:val="18"/>
              </w:rPr>
            </w:pPr>
          </w:p>
        </w:tc>
        <w:tc>
          <w:tcPr>
            <w:tcW w:w="749" w:type="dxa"/>
            <w:tcBorders>
              <w:top w:val="single" w:sz="4" w:space="0" w:color="000000"/>
              <w:bottom w:val="single" w:sz="4" w:space="0" w:color="000000"/>
            </w:tcBorders>
          </w:tcPr>
          <w:p>
            <w:pPr>
              <w:pStyle w:val="TableParagraph"/>
              <w:jc w:val="left"/>
              <w:rPr>
                <w:sz w:val="18"/>
              </w:rPr>
            </w:pPr>
          </w:p>
        </w:tc>
        <w:tc>
          <w:tcPr>
            <w:tcW w:w="698" w:type="dxa"/>
            <w:tcBorders>
              <w:top w:val="single" w:sz="4" w:space="0" w:color="000000"/>
              <w:bottom w:val="single" w:sz="4" w:space="0" w:color="000000"/>
            </w:tcBorders>
          </w:tcPr>
          <w:p>
            <w:pPr>
              <w:pStyle w:val="TableParagraph"/>
              <w:spacing w:line="229" w:lineRule="exact" w:before="20"/>
              <w:ind w:right="-15"/>
              <w:rPr>
                <w:b/>
                <w:sz w:val="20"/>
              </w:rPr>
            </w:pPr>
            <w:r>
              <w:rPr>
                <w:b/>
                <w:w w:val="100"/>
                <w:sz w:val="20"/>
              </w:rPr>
              <w:t>9</w:t>
            </w:r>
          </w:p>
        </w:tc>
        <w:tc>
          <w:tcPr>
            <w:tcW w:w="1067" w:type="dxa"/>
            <w:tcBorders>
              <w:top w:val="single" w:sz="4" w:space="0" w:color="000000"/>
              <w:bottom w:val="single" w:sz="4" w:space="0" w:color="000000"/>
            </w:tcBorders>
          </w:tcPr>
          <w:p>
            <w:pPr>
              <w:pStyle w:val="TableParagraph"/>
              <w:spacing w:line="229" w:lineRule="exact" w:before="20"/>
              <w:ind w:right="464"/>
              <w:rPr>
                <w:b/>
                <w:sz w:val="20"/>
              </w:rPr>
            </w:pPr>
            <w:r>
              <w:rPr>
                <w:b/>
                <w:spacing w:val="-5"/>
                <w:sz w:val="20"/>
              </w:rPr>
              <w:t>108</w:t>
            </w:r>
          </w:p>
        </w:tc>
        <w:tc>
          <w:tcPr>
            <w:tcW w:w="979" w:type="dxa"/>
            <w:tcBorders>
              <w:top w:val="single" w:sz="4" w:space="0" w:color="000000"/>
              <w:bottom w:val="single" w:sz="4" w:space="0" w:color="000000"/>
            </w:tcBorders>
          </w:tcPr>
          <w:p>
            <w:pPr>
              <w:pStyle w:val="TableParagraph"/>
              <w:spacing w:line="229" w:lineRule="exact" w:before="20"/>
              <w:ind w:right="156"/>
              <w:rPr>
                <w:b/>
                <w:sz w:val="20"/>
              </w:rPr>
            </w:pPr>
            <w:r>
              <w:rPr>
                <w:b/>
                <w:spacing w:val="-5"/>
                <w:sz w:val="20"/>
              </w:rPr>
              <w:t>9.0</w:t>
            </w:r>
          </w:p>
        </w:tc>
        <w:tc>
          <w:tcPr>
            <w:tcW w:w="994" w:type="dxa"/>
            <w:tcBorders>
              <w:top w:val="single" w:sz="4" w:space="0" w:color="000000"/>
              <w:bottom w:val="single" w:sz="4" w:space="0" w:color="000000"/>
            </w:tcBorders>
          </w:tcPr>
          <w:p>
            <w:pPr>
              <w:pStyle w:val="TableParagraph"/>
              <w:jc w:val="left"/>
              <w:rPr>
                <w:sz w:val="18"/>
              </w:rPr>
            </w:pPr>
          </w:p>
        </w:tc>
      </w:tr>
      <w:tr>
        <w:trPr>
          <w:trHeight w:val="273" w:hRule="atLeast"/>
        </w:trPr>
        <w:tc>
          <w:tcPr>
            <w:tcW w:w="2903" w:type="dxa"/>
            <w:tcBorders>
              <w:top w:val="single" w:sz="4" w:space="0" w:color="000000"/>
              <w:bottom w:val="single" w:sz="4" w:space="0" w:color="000000"/>
            </w:tcBorders>
          </w:tcPr>
          <w:p>
            <w:pPr>
              <w:pStyle w:val="TableParagraph"/>
              <w:spacing w:before="19"/>
              <w:ind w:left="14"/>
              <w:jc w:val="left"/>
              <w:rPr>
                <w:i/>
                <w:sz w:val="20"/>
              </w:rPr>
            </w:pPr>
            <w:r>
              <w:rPr>
                <w:i/>
                <w:spacing w:val="-2"/>
                <w:sz w:val="20"/>
              </w:rPr>
              <w:t>Lawyers</w:t>
            </w:r>
          </w:p>
        </w:tc>
        <w:tc>
          <w:tcPr>
            <w:tcW w:w="749" w:type="dxa"/>
            <w:tcBorders>
              <w:top w:val="single" w:sz="4" w:space="0" w:color="000000"/>
              <w:bottom w:val="single" w:sz="4" w:space="0" w:color="000000"/>
            </w:tcBorders>
          </w:tcPr>
          <w:p>
            <w:pPr>
              <w:pStyle w:val="TableParagraph"/>
              <w:jc w:val="left"/>
              <w:rPr>
                <w:sz w:val="20"/>
              </w:rPr>
            </w:pPr>
          </w:p>
        </w:tc>
        <w:tc>
          <w:tcPr>
            <w:tcW w:w="698" w:type="dxa"/>
            <w:tcBorders>
              <w:top w:val="single" w:sz="4" w:space="0" w:color="000000"/>
              <w:bottom w:val="single" w:sz="4" w:space="0" w:color="000000"/>
            </w:tcBorders>
          </w:tcPr>
          <w:p>
            <w:pPr>
              <w:pStyle w:val="TableParagraph"/>
              <w:jc w:val="left"/>
              <w:rPr>
                <w:sz w:val="20"/>
              </w:rPr>
            </w:pPr>
          </w:p>
        </w:tc>
        <w:tc>
          <w:tcPr>
            <w:tcW w:w="1067" w:type="dxa"/>
            <w:tcBorders>
              <w:top w:val="single" w:sz="4" w:space="0" w:color="000000"/>
              <w:bottom w:val="single" w:sz="4" w:space="0" w:color="000000"/>
            </w:tcBorders>
          </w:tcPr>
          <w:p>
            <w:pPr>
              <w:pStyle w:val="TableParagraph"/>
              <w:jc w:val="left"/>
              <w:rPr>
                <w:sz w:val="20"/>
              </w:rPr>
            </w:pPr>
          </w:p>
        </w:tc>
        <w:tc>
          <w:tcPr>
            <w:tcW w:w="979" w:type="dxa"/>
            <w:tcBorders>
              <w:top w:val="single" w:sz="4" w:space="0" w:color="000000"/>
              <w:bottom w:val="single" w:sz="4" w:space="0" w:color="000000"/>
            </w:tcBorders>
          </w:tcPr>
          <w:p>
            <w:pPr>
              <w:pStyle w:val="TableParagraph"/>
              <w:jc w:val="left"/>
              <w:rPr>
                <w:sz w:val="20"/>
              </w:rPr>
            </w:pPr>
          </w:p>
        </w:tc>
        <w:tc>
          <w:tcPr>
            <w:tcW w:w="994" w:type="dxa"/>
            <w:tcBorders>
              <w:top w:val="single" w:sz="4" w:space="0" w:color="000000"/>
              <w:bottom w:val="single" w:sz="4" w:space="0" w:color="000000"/>
            </w:tcBorders>
          </w:tcPr>
          <w:p>
            <w:pPr>
              <w:pStyle w:val="TableParagraph"/>
              <w:jc w:val="left"/>
              <w:rPr>
                <w:sz w:val="20"/>
              </w:rPr>
            </w:pPr>
          </w:p>
        </w:tc>
      </w:tr>
      <w:tr>
        <w:trPr>
          <w:trHeight w:val="272" w:hRule="atLeast"/>
        </w:trPr>
        <w:tc>
          <w:tcPr>
            <w:tcW w:w="2903" w:type="dxa"/>
            <w:tcBorders>
              <w:top w:val="single" w:sz="4" w:space="0" w:color="000000"/>
            </w:tcBorders>
          </w:tcPr>
          <w:p>
            <w:pPr>
              <w:pStyle w:val="TableParagraph"/>
              <w:spacing w:before="19"/>
              <w:ind w:left="14"/>
              <w:jc w:val="left"/>
              <w:rPr>
                <w:sz w:val="20"/>
              </w:rPr>
            </w:pPr>
            <w:r>
              <w:rPr>
                <w:sz w:val="20"/>
              </w:rPr>
              <w:t>Trial</w:t>
            </w:r>
            <w:r>
              <w:rPr>
                <w:spacing w:val="-5"/>
                <w:sz w:val="20"/>
              </w:rPr>
              <w:t> </w:t>
            </w:r>
            <w:r>
              <w:rPr>
                <w:spacing w:val="-2"/>
                <w:sz w:val="20"/>
              </w:rPr>
              <w:t>Lawyer</w:t>
            </w:r>
          </w:p>
        </w:tc>
        <w:tc>
          <w:tcPr>
            <w:tcW w:w="749" w:type="dxa"/>
            <w:tcBorders>
              <w:top w:val="single" w:sz="4" w:space="0" w:color="000000"/>
            </w:tcBorders>
          </w:tcPr>
          <w:p>
            <w:pPr>
              <w:pStyle w:val="TableParagraph"/>
              <w:spacing w:before="19"/>
              <w:ind w:left="107"/>
              <w:jc w:val="left"/>
              <w:rPr>
                <w:sz w:val="20"/>
              </w:rPr>
            </w:pPr>
            <w:r>
              <w:rPr>
                <w:spacing w:val="-2"/>
                <w:sz w:val="20"/>
              </w:rPr>
              <w:t>P-</w:t>
            </w:r>
            <w:r>
              <w:rPr>
                <w:spacing w:val="-10"/>
                <w:sz w:val="20"/>
              </w:rPr>
              <w:t>4</w:t>
            </w:r>
          </w:p>
        </w:tc>
        <w:tc>
          <w:tcPr>
            <w:tcW w:w="698" w:type="dxa"/>
            <w:tcBorders>
              <w:top w:val="single" w:sz="4" w:space="0" w:color="000000"/>
            </w:tcBorders>
          </w:tcPr>
          <w:p>
            <w:pPr>
              <w:pStyle w:val="TableParagraph"/>
              <w:spacing w:before="19"/>
              <w:ind w:right="-15"/>
              <w:rPr>
                <w:sz w:val="20"/>
              </w:rPr>
            </w:pPr>
            <w:r>
              <w:rPr>
                <w:w w:val="100"/>
                <w:sz w:val="20"/>
              </w:rPr>
              <w:t>2</w:t>
            </w:r>
          </w:p>
        </w:tc>
        <w:tc>
          <w:tcPr>
            <w:tcW w:w="1067" w:type="dxa"/>
            <w:tcBorders>
              <w:top w:val="single" w:sz="4" w:space="0" w:color="000000"/>
            </w:tcBorders>
          </w:tcPr>
          <w:p>
            <w:pPr>
              <w:pStyle w:val="TableParagraph"/>
              <w:spacing w:before="19"/>
              <w:ind w:right="464"/>
              <w:rPr>
                <w:sz w:val="20"/>
              </w:rPr>
            </w:pPr>
            <w:r>
              <w:rPr>
                <w:spacing w:val="-5"/>
                <w:sz w:val="20"/>
              </w:rPr>
              <w:t>24</w:t>
            </w:r>
          </w:p>
        </w:tc>
        <w:tc>
          <w:tcPr>
            <w:tcW w:w="979" w:type="dxa"/>
            <w:tcBorders>
              <w:top w:val="single" w:sz="4" w:space="0" w:color="000000"/>
            </w:tcBorders>
          </w:tcPr>
          <w:p>
            <w:pPr>
              <w:pStyle w:val="TableParagraph"/>
              <w:spacing w:before="19"/>
              <w:ind w:right="156"/>
              <w:rPr>
                <w:sz w:val="20"/>
              </w:rPr>
            </w:pPr>
            <w:r>
              <w:rPr>
                <w:spacing w:val="-5"/>
                <w:sz w:val="20"/>
              </w:rPr>
              <w:t>2.0</w:t>
            </w:r>
          </w:p>
        </w:tc>
        <w:tc>
          <w:tcPr>
            <w:tcW w:w="994" w:type="dxa"/>
            <w:tcBorders>
              <w:top w:val="single" w:sz="4" w:space="0" w:color="000000"/>
            </w:tcBorders>
          </w:tcPr>
          <w:p>
            <w:pPr>
              <w:pStyle w:val="TableParagraph"/>
              <w:spacing w:before="19"/>
              <w:ind w:right="-15"/>
              <w:rPr>
                <w:sz w:val="20"/>
              </w:rPr>
            </w:pPr>
            <w:r>
              <w:rPr>
                <w:spacing w:val="-2"/>
                <w:sz w:val="20"/>
              </w:rPr>
              <w:t>Continued</w:t>
            </w:r>
          </w:p>
        </w:tc>
      </w:tr>
      <w:tr>
        <w:trPr>
          <w:trHeight w:val="268" w:hRule="atLeast"/>
        </w:trPr>
        <w:tc>
          <w:tcPr>
            <w:tcW w:w="2903" w:type="dxa"/>
          </w:tcPr>
          <w:p>
            <w:pPr>
              <w:pStyle w:val="TableParagraph"/>
              <w:spacing w:before="15"/>
              <w:ind w:left="14"/>
              <w:jc w:val="left"/>
              <w:rPr>
                <w:sz w:val="20"/>
              </w:rPr>
            </w:pPr>
            <w:r>
              <w:rPr>
                <w:sz w:val="20"/>
              </w:rPr>
              <w:t>Trial</w:t>
            </w:r>
            <w:r>
              <w:rPr>
                <w:spacing w:val="-5"/>
                <w:sz w:val="20"/>
              </w:rPr>
              <w:t> </w:t>
            </w:r>
            <w:r>
              <w:rPr>
                <w:spacing w:val="-2"/>
                <w:sz w:val="20"/>
              </w:rPr>
              <w:t>Lawyer</w:t>
            </w:r>
          </w:p>
        </w:tc>
        <w:tc>
          <w:tcPr>
            <w:tcW w:w="749" w:type="dxa"/>
          </w:tcPr>
          <w:p>
            <w:pPr>
              <w:pStyle w:val="TableParagraph"/>
              <w:spacing w:before="15"/>
              <w:ind w:left="107"/>
              <w:jc w:val="left"/>
              <w:rPr>
                <w:sz w:val="20"/>
              </w:rPr>
            </w:pPr>
            <w:r>
              <w:rPr>
                <w:spacing w:val="-2"/>
                <w:sz w:val="20"/>
              </w:rPr>
              <w:t>P-</w:t>
            </w:r>
            <w:r>
              <w:rPr>
                <w:spacing w:val="-10"/>
                <w:sz w:val="20"/>
              </w:rPr>
              <w:t>3</w:t>
            </w:r>
          </w:p>
        </w:tc>
        <w:tc>
          <w:tcPr>
            <w:tcW w:w="698" w:type="dxa"/>
          </w:tcPr>
          <w:p>
            <w:pPr>
              <w:pStyle w:val="TableParagraph"/>
              <w:spacing w:before="15"/>
              <w:ind w:right="-15"/>
              <w:rPr>
                <w:sz w:val="20"/>
              </w:rPr>
            </w:pPr>
            <w:r>
              <w:rPr>
                <w:w w:val="100"/>
                <w:sz w:val="20"/>
              </w:rPr>
              <w:t>1</w:t>
            </w:r>
          </w:p>
        </w:tc>
        <w:tc>
          <w:tcPr>
            <w:tcW w:w="1067" w:type="dxa"/>
          </w:tcPr>
          <w:p>
            <w:pPr>
              <w:pStyle w:val="TableParagraph"/>
              <w:spacing w:before="15"/>
              <w:ind w:right="464"/>
              <w:rPr>
                <w:sz w:val="20"/>
              </w:rPr>
            </w:pPr>
            <w:r>
              <w:rPr>
                <w:spacing w:val="-5"/>
                <w:sz w:val="20"/>
              </w:rPr>
              <w:t>12</w:t>
            </w:r>
          </w:p>
        </w:tc>
        <w:tc>
          <w:tcPr>
            <w:tcW w:w="979" w:type="dxa"/>
          </w:tcPr>
          <w:p>
            <w:pPr>
              <w:pStyle w:val="TableParagraph"/>
              <w:spacing w:before="15"/>
              <w:ind w:right="156"/>
              <w:rPr>
                <w:sz w:val="20"/>
              </w:rPr>
            </w:pPr>
            <w:r>
              <w:rPr>
                <w:spacing w:val="-5"/>
                <w:sz w:val="20"/>
              </w:rPr>
              <w:t>1.0</w:t>
            </w:r>
          </w:p>
        </w:tc>
        <w:tc>
          <w:tcPr>
            <w:tcW w:w="994" w:type="dxa"/>
          </w:tcPr>
          <w:p>
            <w:pPr>
              <w:pStyle w:val="TableParagraph"/>
              <w:spacing w:before="15"/>
              <w:ind w:right="-15"/>
              <w:rPr>
                <w:sz w:val="20"/>
              </w:rPr>
            </w:pPr>
            <w:r>
              <w:rPr>
                <w:spacing w:val="-2"/>
                <w:sz w:val="20"/>
              </w:rPr>
              <w:t>Continued</w:t>
            </w:r>
          </w:p>
        </w:tc>
      </w:tr>
      <w:tr>
        <w:trPr>
          <w:trHeight w:val="268" w:hRule="atLeast"/>
        </w:trPr>
        <w:tc>
          <w:tcPr>
            <w:tcW w:w="2903" w:type="dxa"/>
          </w:tcPr>
          <w:p>
            <w:pPr>
              <w:pStyle w:val="TableParagraph"/>
              <w:spacing w:before="15"/>
              <w:ind w:left="14"/>
              <w:jc w:val="left"/>
              <w:rPr>
                <w:sz w:val="20"/>
              </w:rPr>
            </w:pPr>
            <w:r>
              <w:rPr>
                <w:sz w:val="20"/>
              </w:rPr>
              <w:t>Associate</w:t>
            </w:r>
            <w:r>
              <w:rPr>
                <w:spacing w:val="-7"/>
                <w:sz w:val="20"/>
              </w:rPr>
              <w:t> </w:t>
            </w:r>
            <w:r>
              <w:rPr>
                <w:sz w:val="20"/>
              </w:rPr>
              <w:t>Trial</w:t>
            </w:r>
            <w:r>
              <w:rPr>
                <w:spacing w:val="-7"/>
                <w:sz w:val="20"/>
              </w:rPr>
              <w:t> </w:t>
            </w:r>
            <w:r>
              <w:rPr>
                <w:spacing w:val="-2"/>
                <w:sz w:val="20"/>
              </w:rPr>
              <w:t>Lawyer</w:t>
            </w:r>
          </w:p>
        </w:tc>
        <w:tc>
          <w:tcPr>
            <w:tcW w:w="749" w:type="dxa"/>
          </w:tcPr>
          <w:p>
            <w:pPr>
              <w:pStyle w:val="TableParagraph"/>
              <w:spacing w:before="15"/>
              <w:ind w:left="107"/>
              <w:jc w:val="left"/>
              <w:rPr>
                <w:sz w:val="20"/>
              </w:rPr>
            </w:pPr>
            <w:r>
              <w:rPr>
                <w:spacing w:val="-2"/>
                <w:sz w:val="20"/>
              </w:rPr>
              <w:t>P-</w:t>
            </w:r>
            <w:r>
              <w:rPr>
                <w:spacing w:val="-10"/>
                <w:sz w:val="20"/>
              </w:rPr>
              <w:t>2</w:t>
            </w:r>
          </w:p>
        </w:tc>
        <w:tc>
          <w:tcPr>
            <w:tcW w:w="698" w:type="dxa"/>
          </w:tcPr>
          <w:p>
            <w:pPr>
              <w:pStyle w:val="TableParagraph"/>
              <w:spacing w:before="15"/>
              <w:ind w:right="-15"/>
              <w:rPr>
                <w:sz w:val="20"/>
              </w:rPr>
            </w:pPr>
            <w:r>
              <w:rPr>
                <w:w w:val="100"/>
                <w:sz w:val="20"/>
              </w:rPr>
              <w:t>1</w:t>
            </w:r>
          </w:p>
        </w:tc>
        <w:tc>
          <w:tcPr>
            <w:tcW w:w="1067" w:type="dxa"/>
          </w:tcPr>
          <w:p>
            <w:pPr>
              <w:pStyle w:val="TableParagraph"/>
              <w:spacing w:before="15"/>
              <w:ind w:right="464"/>
              <w:rPr>
                <w:sz w:val="20"/>
              </w:rPr>
            </w:pPr>
            <w:r>
              <w:rPr>
                <w:spacing w:val="-5"/>
                <w:sz w:val="20"/>
              </w:rPr>
              <w:t>12</w:t>
            </w:r>
          </w:p>
        </w:tc>
        <w:tc>
          <w:tcPr>
            <w:tcW w:w="979" w:type="dxa"/>
          </w:tcPr>
          <w:p>
            <w:pPr>
              <w:pStyle w:val="TableParagraph"/>
              <w:spacing w:before="15"/>
              <w:ind w:right="156"/>
              <w:rPr>
                <w:sz w:val="20"/>
              </w:rPr>
            </w:pPr>
            <w:r>
              <w:rPr>
                <w:spacing w:val="-5"/>
                <w:sz w:val="20"/>
              </w:rPr>
              <w:t>1.0</w:t>
            </w:r>
          </w:p>
        </w:tc>
        <w:tc>
          <w:tcPr>
            <w:tcW w:w="994" w:type="dxa"/>
          </w:tcPr>
          <w:p>
            <w:pPr>
              <w:pStyle w:val="TableParagraph"/>
              <w:spacing w:before="15"/>
              <w:ind w:right="-15"/>
              <w:rPr>
                <w:sz w:val="20"/>
              </w:rPr>
            </w:pPr>
            <w:r>
              <w:rPr>
                <w:spacing w:val="-2"/>
                <w:sz w:val="20"/>
              </w:rPr>
              <w:t>Continued</w:t>
            </w:r>
          </w:p>
        </w:tc>
      </w:tr>
      <w:tr>
        <w:trPr>
          <w:trHeight w:val="271" w:hRule="atLeast"/>
        </w:trPr>
        <w:tc>
          <w:tcPr>
            <w:tcW w:w="2903" w:type="dxa"/>
          </w:tcPr>
          <w:p>
            <w:pPr>
              <w:pStyle w:val="TableParagraph"/>
              <w:spacing w:before="15"/>
              <w:ind w:left="14"/>
              <w:jc w:val="left"/>
              <w:rPr>
                <w:sz w:val="20"/>
              </w:rPr>
            </w:pPr>
            <w:r>
              <w:rPr>
                <w:sz w:val="20"/>
              </w:rPr>
              <w:t>Assistant</w:t>
            </w:r>
            <w:r>
              <w:rPr>
                <w:spacing w:val="-7"/>
                <w:sz w:val="20"/>
              </w:rPr>
              <w:t> </w:t>
            </w:r>
            <w:r>
              <w:rPr>
                <w:sz w:val="20"/>
              </w:rPr>
              <w:t>Legal</w:t>
            </w:r>
            <w:r>
              <w:rPr>
                <w:spacing w:val="-7"/>
                <w:sz w:val="20"/>
              </w:rPr>
              <w:t> </w:t>
            </w:r>
            <w:r>
              <w:rPr>
                <w:spacing w:val="-2"/>
                <w:sz w:val="20"/>
              </w:rPr>
              <w:t>Officer</w:t>
            </w:r>
          </w:p>
        </w:tc>
        <w:tc>
          <w:tcPr>
            <w:tcW w:w="749" w:type="dxa"/>
          </w:tcPr>
          <w:p>
            <w:pPr>
              <w:pStyle w:val="TableParagraph"/>
              <w:spacing w:before="15"/>
              <w:ind w:left="107"/>
              <w:jc w:val="left"/>
              <w:rPr>
                <w:sz w:val="20"/>
              </w:rPr>
            </w:pPr>
            <w:r>
              <w:rPr>
                <w:spacing w:val="-2"/>
                <w:sz w:val="20"/>
              </w:rPr>
              <w:t>P-</w:t>
            </w:r>
            <w:r>
              <w:rPr>
                <w:spacing w:val="-10"/>
                <w:sz w:val="20"/>
              </w:rPr>
              <w:t>1</w:t>
            </w:r>
          </w:p>
        </w:tc>
        <w:tc>
          <w:tcPr>
            <w:tcW w:w="698" w:type="dxa"/>
          </w:tcPr>
          <w:p>
            <w:pPr>
              <w:pStyle w:val="TableParagraph"/>
              <w:spacing w:before="15"/>
              <w:ind w:right="-15"/>
              <w:rPr>
                <w:sz w:val="20"/>
              </w:rPr>
            </w:pPr>
            <w:r>
              <w:rPr>
                <w:w w:val="100"/>
                <w:sz w:val="20"/>
              </w:rPr>
              <w:t>1</w:t>
            </w:r>
          </w:p>
        </w:tc>
        <w:tc>
          <w:tcPr>
            <w:tcW w:w="1067" w:type="dxa"/>
          </w:tcPr>
          <w:p>
            <w:pPr>
              <w:pStyle w:val="TableParagraph"/>
              <w:spacing w:before="15"/>
              <w:ind w:right="464"/>
              <w:rPr>
                <w:sz w:val="20"/>
              </w:rPr>
            </w:pPr>
            <w:r>
              <w:rPr>
                <w:spacing w:val="-5"/>
                <w:sz w:val="20"/>
              </w:rPr>
              <w:t>12</w:t>
            </w:r>
          </w:p>
        </w:tc>
        <w:tc>
          <w:tcPr>
            <w:tcW w:w="979" w:type="dxa"/>
          </w:tcPr>
          <w:p>
            <w:pPr>
              <w:pStyle w:val="TableParagraph"/>
              <w:spacing w:before="15"/>
              <w:ind w:right="156"/>
              <w:rPr>
                <w:sz w:val="20"/>
              </w:rPr>
            </w:pPr>
            <w:r>
              <w:rPr>
                <w:spacing w:val="-5"/>
                <w:sz w:val="20"/>
              </w:rPr>
              <w:t>1.0</w:t>
            </w:r>
          </w:p>
        </w:tc>
        <w:tc>
          <w:tcPr>
            <w:tcW w:w="994" w:type="dxa"/>
          </w:tcPr>
          <w:p>
            <w:pPr>
              <w:pStyle w:val="TableParagraph"/>
              <w:spacing w:before="15"/>
              <w:ind w:right="-15"/>
              <w:rPr>
                <w:sz w:val="20"/>
              </w:rPr>
            </w:pPr>
            <w:r>
              <w:rPr>
                <w:spacing w:val="-2"/>
                <w:sz w:val="20"/>
              </w:rPr>
              <w:t>Continued</w:t>
            </w:r>
          </w:p>
        </w:tc>
      </w:tr>
      <w:tr>
        <w:trPr>
          <w:trHeight w:val="267" w:hRule="atLeast"/>
        </w:trPr>
        <w:tc>
          <w:tcPr>
            <w:tcW w:w="2903" w:type="dxa"/>
            <w:tcBorders>
              <w:bottom w:val="single" w:sz="4" w:space="0" w:color="000000"/>
            </w:tcBorders>
          </w:tcPr>
          <w:p>
            <w:pPr>
              <w:pStyle w:val="TableParagraph"/>
              <w:spacing w:line="229" w:lineRule="exact" w:before="18"/>
              <w:ind w:left="14"/>
              <w:jc w:val="left"/>
              <w:rPr>
                <w:sz w:val="20"/>
              </w:rPr>
            </w:pPr>
            <w:r>
              <w:rPr>
                <w:sz w:val="20"/>
              </w:rPr>
              <w:t>Case</w:t>
            </w:r>
            <w:r>
              <w:rPr>
                <w:spacing w:val="-4"/>
                <w:sz w:val="20"/>
              </w:rPr>
              <w:t> </w:t>
            </w:r>
            <w:r>
              <w:rPr>
                <w:spacing w:val="-2"/>
                <w:sz w:val="20"/>
              </w:rPr>
              <w:t>Manager</w:t>
            </w:r>
          </w:p>
        </w:tc>
        <w:tc>
          <w:tcPr>
            <w:tcW w:w="749" w:type="dxa"/>
            <w:tcBorders>
              <w:bottom w:val="single" w:sz="4" w:space="0" w:color="000000"/>
            </w:tcBorders>
          </w:tcPr>
          <w:p>
            <w:pPr>
              <w:pStyle w:val="TableParagraph"/>
              <w:spacing w:line="229" w:lineRule="exact" w:before="18"/>
              <w:ind w:left="107"/>
              <w:jc w:val="left"/>
              <w:rPr>
                <w:sz w:val="20"/>
              </w:rPr>
            </w:pPr>
            <w:r>
              <w:rPr>
                <w:spacing w:val="-2"/>
                <w:sz w:val="20"/>
              </w:rPr>
              <w:t>P-</w:t>
            </w:r>
            <w:r>
              <w:rPr>
                <w:spacing w:val="-10"/>
                <w:sz w:val="20"/>
              </w:rPr>
              <w:t>1</w:t>
            </w:r>
          </w:p>
        </w:tc>
        <w:tc>
          <w:tcPr>
            <w:tcW w:w="698" w:type="dxa"/>
            <w:tcBorders>
              <w:bottom w:val="single" w:sz="4" w:space="0" w:color="000000"/>
            </w:tcBorders>
          </w:tcPr>
          <w:p>
            <w:pPr>
              <w:pStyle w:val="TableParagraph"/>
              <w:spacing w:line="229" w:lineRule="exact" w:before="18"/>
              <w:ind w:right="-15"/>
              <w:rPr>
                <w:sz w:val="20"/>
              </w:rPr>
            </w:pPr>
            <w:r>
              <w:rPr>
                <w:w w:val="100"/>
                <w:sz w:val="20"/>
              </w:rPr>
              <w:t>1</w:t>
            </w:r>
          </w:p>
        </w:tc>
        <w:tc>
          <w:tcPr>
            <w:tcW w:w="1067" w:type="dxa"/>
            <w:tcBorders>
              <w:bottom w:val="single" w:sz="4" w:space="0" w:color="000000"/>
            </w:tcBorders>
          </w:tcPr>
          <w:p>
            <w:pPr>
              <w:pStyle w:val="TableParagraph"/>
              <w:spacing w:line="229" w:lineRule="exact" w:before="18"/>
              <w:ind w:right="464"/>
              <w:rPr>
                <w:sz w:val="20"/>
              </w:rPr>
            </w:pPr>
            <w:r>
              <w:rPr>
                <w:spacing w:val="-5"/>
                <w:sz w:val="20"/>
              </w:rPr>
              <w:t>12</w:t>
            </w:r>
          </w:p>
        </w:tc>
        <w:tc>
          <w:tcPr>
            <w:tcW w:w="979" w:type="dxa"/>
            <w:tcBorders>
              <w:bottom w:val="single" w:sz="4" w:space="0" w:color="000000"/>
            </w:tcBorders>
          </w:tcPr>
          <w:p>
            <w:pPr>
              <w:pStyle w:val="TableParagraph"/>
              <w:spacing w:line="229" w:lineRule="exact" w:before="18"/>
              <w:ind w:right="156"/>
              <w:rPr>
                <w:sz w:val="20"/>
              </w:rPr>
            </w:pPr>
            <w:r>
              <w:rPr>
                <w:spacing w:val="-5"/>
                <w:sz w:val="20"/>
              </w:rPr>
              <w:t>1.0</w:t>
            </w:r>
          </w:p>
        </w:tc>
        <w:tc>
          <w:tcPr>
            <w:tcW w:w="994" w:type="dxa"/>
            <w:tcBorders>
              <w:bottom w:val="single" w:sz="4" w:space="0" w:color="000000"/>
            </w:tcBorders>
          </w:tcPr>
          <w:p>
            <w:pPr>
              <w:pStyle w:val="TableParagraph"/>
              <w:spacing w:line="229" w:lineRule="exact" w:before="18"/>
              <w:ind w:right="-15"/>
              <w:rPr>
                <w:sz w:val="20"/>
              </w:rPr>
            </w:pPr>
            <w:r>
              <w:rPr>
                <w:spacing w:val="-2"/>
                <w:sz w:val="20"/>
              </w:rPr>
              <w:t>Continued</w:t>
            </w:r>
          </w:p>
        </w:tc>
      </w:tr>
      <w:tr>
        <w:trPr>
          <w:trHeight w:val="268" w:hRule="atLeast"/>
        </w:trPr>
        <w:tc>
          <w:tcPr>
            <w:tcW w:w="2903" w:type="dxa"/>
            <w:tcBorders>
              <w:top w:val="single" w:sz="4" w:space="0" w:color="000000"/>
              <w:bottom w:val="single" w:sz="4" w:space="0" w:color="000000"/>
            </w:tcBorders>
          </w:tcPr>
          <w:p>
            <w:pPr>
              <w:pStyle w:val="TableParagraph"/>
              <w:jc w:val="left"/>
              <w:rPr>
                <w:sz w:val="18"/>
              </w:rPr>
            </w:pPr>
          </w:p>
        </w:tc>
        <w:tc>
          <w:tcPr>
            <w:tcW w:w="749" w:type="dxa"/>
            <w:tcBorders>
              <w:top w:val="single" w:sz="4" w:space="0" w:color="000000"/>
              <w:bottom w:val="single" w:sz="4" w:space="0" w:color="000000"/>
            </w:tcBorders>
          </w:tcPr>
          <w:p>
            <w:pPr>
              <w:pStyle w:val="TableParagraph"/>
              <w:jc w:val="left"/>
              <w:rPr>
                <w:sz w:val="18"/>
              </w:rPr>
            </w:pPr>
          </w:p>
        </w:tc>
        <w:tc>
          <w:tcPr>
            <w:tcW w:w="698" w:type="dxa"/>
            <w:tcBorders>
              <w:top w:val="single" w:sz="4" w:space="0" w:color="000000"/>
              <w:bottom w:val="single" w:sz="4" w:space="0" w:color="000000"/>
            </w:tcBorders>
          </w:tcPr>
          <w:p>
            <w:pPr>
              <w:pStyle w:val="TableParagraph"/>
              <w:spacing w:line="229" w:lineRule="exact" w:before="19"/>
              <w:ind w:right="-15"/>
              <w:rPr>
                <w:b/>
                <w:sz w:val="20"/>
              </w:rPr>
            </w:pPr>
            <w:r>
              <w:rPr>
                <w:b/>
                <w:w w:val="100"/>
                <w:sz w:val="20"/>
              </w:rPr>
              <w:t>6</w:t>
            </w:r>
          </w:p>
        </w:tc>
        <w:tc>
          <w:tcPr>
            <w:tcW w:w="1067" w:type="dxa"/>
            <w:tcBorders>
              <w:top w:val="single" w:sz="4" w:space="0" w:color="000000"/>
              <w:bottom w:val="single" w:sz="4" w:space="0" w:color="000000"/>
            </w:tcBorders>
          </w:tcPr>
          <w:p>
            <w:pPr>
              <w:pStyle w:val="TableParagraph"/>
              <w:spacing w:line="229" w:lineRule="exact" w:before="19"/>
              <w:ind w:right="464"/>
              <w:rPr>
                <w:b/>
                <w:sz w:val="20"/>
              </w:rPr>
            </w:pPr>
            <w:r>
              <w:rPr>
                <w:b/>
                <w:spacing w:val="-5"/>
                <w:sz w:val="20"/>
              </w:rPr>
              <w:t>72</w:t>
            </w:r>
          </w:p>
        </w:tc>
        <w:tc>
          <w:tcPr>
            <w:tcW w:w="979" w:type="dxa"/>
            <w:tcBorders>
              <w:top w:val="single" w:sz="4" w:space="0" w:color="000000"/>
              <w:bottom w:val="single" w:sz="4" w:space="0" w:color="000000"/>
            </w:tcBorders>
          </w:tcPr>
          <w:p>
            <w:pPr>
              <w:pStyle w:val="TableParagraph"/>
              <w:spacing w:line="229" w:lineRule="exact" w:before="19"/>
              <w:ind w:right="156"/>
              <w:rPr>
                <w:b/>
                <w:sz w:val="20"/>
              </w:rPr>
            </w:pPr>
            <w:r>
              <w:rPr>
                <w:b/>
                <w:spacing w:val="-5"/>
                <w:sz w:val="20"/>
              </w:rPr>
              <w:t>6.0</w:t>
            </w:r>
          </w:p>
        </w:tc>
        <w:tc>
          <w:tcPr>
            <w:tcW w:w="994" w:type="dxa"/>
            <w:tcBorders>
              <w:top w:val="single" w:sz="4" w:space="0" w:color="000000"/>
              <w:bottom w:val="single" w:sz="4" w:space="0" w:color="000000"/>
            </w:tcBorders>
          </w:tcPr>
          <w:p>
            <w:pPr>
              <w:pStyle w:val="TableParagraph"/>
              <w:jc w:val="left"/>
              <w:rPr>
                <w:sz w:val="18"/>
              </w:rPr>
            </w:pPr>
          </w:p>
        </w:tc>
      </w:tr>
    </w:tbl>
    <w:p>
      <w:pPr>
        <w:spacing w:after="0"/>
        <w:jc w:val="left"/>
        <w:rPr>
          <w:sz w:val="18"/>
        </w:rPr>
        <w:sectPr>
          <w:pgSz w:w="11910" w:h="16840"/>
          <w:pgMar w:header="957" w:footer="940" w:top="1140" w:bottom="1140" w:left="20" w:right="20"/>
        </w:sectPr>
      </w:pPr>
    </w:p>
    <w:p>
      <w:pPr>
        <w:pStyle w:val="BodyText"/>
        <w:spacing w:before="9"/>
        <w:rPr>
          <w:sz w:val="10"/>
        </w:rPr>
      </w:pPr>
    </w:p>
    <w:tbl>
      <w:tblPr>
        <w:tblW w:w="0" w:type="auto"/>
        <w:jc w:val="left"/>
        <w:tblInd w:w="2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45"/>
        <w:gridCol w:w="1107"/>
        <w:gridCol w:w="698"/>
        <w:gridCol w:w="1019"/>
        <w:gridCol w:w="1027"/>
        <w:gridCol w:w="994"/>
      </w:tblGrid>
      <w:tr>
        <w:trPr>
          <w:trHeight w:val="273" w:hRule="atLeast"/>
        </w:trPr>
        <w:tc>
          <w:tcPr>
            <w:tcW w:w="2545" w:type="dxa"/>
            <w:tcBorders>
              <w:top w:val="single" w:sz="4" w:space="0" w:color="000000"/>
              <w:bottom w:val="single" w:sz="4" w:space="0" w:color="000000"/>
            </w:tcBorders>
          </w:tcPr>
          <w:p>
            <w:pPr>
              <w:pStyle w:val="TableParagraph"/>
              <w:spacing w:line="229" w:lineRule="exact" w:before="24"/>
              <w:ind w:left="14"/>
              <w:jc w:val="left"/>
              <w:rPr>
                <w:i/>
                <w:sz w:val="20"/>
              </w:rPr>
            </w:pPr>
            <w:r>
              <w:rPr>
                <w:i/>
                <w:spacing w:val="-2"/>
                <w:sz w:val="20"/>
              </w:rPr>
              <w:t>Title</w:t>
            </w:r>
          </w:p>
        </w:tc>
        <w:tc>
          <w:tcPr>
            <w:tcW w:w="1107" w:type="dxa"/>
            <w:tcBorders>
              <w:top w:val="single" w:sz="4" w:space="0" w:color="000000"/>
              <w:bottom w:val="single" w:sz="4" w:space="0" w:color="000000"/>
            </w:tcBorders>
          </w:tcPr>
          <w:p>
            <w:pPr>
              <w:pStyle w:val="TableParagraph"/>
              <w:spacing w:line="229" w:lineRule="exact" w:before="24"/>
              <w:ind w:left="465"/>
              <w:jc w:val="left"/>
              <w:rPr>
                <w:i/>
                <w:sz w:val="20"/>
              </w:rPr>
            </w:pPr>
            <w:r>
              <w:rPr>
                <w:i/>
                <w:spacing w:val="-2"/>
                <w:sz w:val="20"/>
              </w:rPr>
              <w:t>Grade</w:t>
            </w:r>
          </w:p>
        </w:tc>
        <w:tc>
          <w:tcPr>
            <w:tcW w:w="698" w:type="dxa"/>
            <w:tcBorders>
              <w:top w:val="single" w:sz="4" w:space="0" w:color="000000"/>
              <w:bottom w:val="single" w:sz="4" w:space="0" w:color="000000"/>
            </w:tcBorders>
          </w:tcPr>
          <w:p>
            <w:pPr>
              <w:pStyle w:val="TableParagraph"/>
              <w:spacing w:line="229" w:lineRule="exact" w:before="24"/>
              <w:ind w:right="-15"/>
              <w:rPr>
                <w:i/>
                <w:sz w:val="20"/>
              </w:rPr>
            </w:pPr>
            <w:r>
              <w:rPr>
                <w:i/>
                <w:spacing w:val="-2"/>
                <w:sz w:val="20"/>
              </w:rPr>
              <w:t>Number</w:t>
            </w:r>
          </w:p>
        </w:tc>
        <w:tc>
          <w:tcPr>
            <w:tcW w:w="1019" w:type="dxa"/>
            <w:tcBorders>
              <w:top w:val="single" w:sz="4" w:space="0" w:color="000000"/>
              <w:bottom w:val="single" w:sz="4" w:space="0" w:color="000000"/>
            </w:tcBorders>
          </w:tcPr>
          <w:p>
            <w:pPr>
              <w:pStyle w:val="TableParagraph"/>
              <w:spacing w:line="229" w:lineRule="exact" w:before="24"/>
              <w:ind w:right="410"/>
              <w:rPr>
                <w:i/>
                <w:sz w:val="20"/>
              </w:rPr>
            </w:pPr>
            <w:r>
              <w:rPr>
                <w:i/>
                <w:spacing w:val="-2"/>
                <w:sz w:val="20"/>
              </w:rPr>
              <w:t>Months</w:t>
            </w:r>
          </w:p>
        </w:tc>
        <w:tc>
          <w:tcPr>
            <w:tcW w:w="1027" w:type="dxa"/>
            <w:tcBorders>
              <w:top w:val="single" w:sz="4" w:space="0" w:color="000000"/>
              <w:bottom w:val="single" w:sz="4" w:space="0" w:color="000000"/>
            </w:tcBorders>
          </w:tcPr>
          <w:p>
            <w:pPr>
              <w:pStyle w:val="TableParagraph"/>
              <w:spacing w:line="229" w:lineRule="exact" w:before="24"/>
              <w:ind w:right="158"/>
              <w:rPr>
                <w:i/>
                <w:sz w:val="20"/>
              </w:rPr>
            </w:pPr>
            <w:r>
              <w:rPr>
                <w:i/>
                <w:spacing w:val="-5"/>
                <w:sz w:val="20"/>
              </w:rPr>
              <w:t>FTE</w:t>
            </w:r>
          </w:p>
        </w:tc>
        <w:tc>
          <w:tcPr>
            <w:tcW w:w="994" w:type="dxa"/>
            <w:tcBorders>
              <w:top w:val="single" w:sz="4" w:space="0" w:color="000000"/>
              <w:bottom w:val="single" w:sz="4" w:space="0" w:color="000000"/>
            </w:tcBorders>
          </w:tcPr>
          <w:p>
            <w:pPr>
              <w:pStyle w:val="TableParagraph"/>
              <w:jc w:val="left"/>
              <w:rPr>
                <w:sz w:val="20"/>
              </w:rPr>
            </w:pPr>
          </w:p>
        </w:tc>
      </w:tr>
      <w:tr>
        <w:trPr>
          <w:trHeight w:val="268" w:hRule="atLeast"/>
        </w:trPr>
        <w:tc>
          <w:tcPr>
            <w:tcW w:w="2545" w:type="dxa"/>
            <w:tcBorders>
              <w:top w:val="single" w:sz="4" w:space="0" w:color="000000"/>
              <w:bottom w:val="single" w:sz="4" w:space="0" w:color="000000"/>
            </w:tcBorders>
          </w:tcPr>
          <w:p>
            <w:pPr>
              <w:pStyle w:val="TableParagraph"/>
              <w:spacing w:line="229" w:lineRule="exact" w:before="19"/>
              <w:ind w:left="14"/>
              <w:jc w:val="left"/>
              <w:rPr>
                <w:i/>
                <w:sz w:val="20"/>
              </w:rPr>
            </w:pPr>
            <w:r>
              <w:rPr>
                <w:i/>
                <w:sz w:val="20"/>
              </w:rPr>
              <w:t>Country</w:t>
            </w:r>
            <w:r>
              <w:rPr>
                <w:i/>
                <w:spacing w:val="-7"/>
                <w:sz w:val="20"/>
              </w:rPr>
              <w:t> </w:t>
            </w:r>
            <w:r>
              <w:rPr>
                <w:i/>
                <w:spacing w:val="-2"/>
                <w:sz w:val="20"/>
              </w:rPr>
              <w:t>Experts</w:t>
            </w:r>
          </w:p>
        </w:tc>
        <w:tc>
          <w:tcPr>
            <w:tcW w:w="1107" w:type="dxa"/>
            <w:tcBorders>
              <w:top w:val="single" w:sz="4" w:space="0" w:color="000000"/>
              <w:bottom w:val="single" w:sz="4" w:space="0" w:color="000000"/>
            </w:tcBorders>
          </w:tcPr>
          <w:p>
            <w:pPr>
              <w:pStyle w:val="TableParagraph"/>
              <w:jc w:val="left"/>
              <w:rPr>
                <w:sz w:val="18"/>
              </w:rPr>
            </w:pPr>
          </w:p>
        </w:tc>
        <w:tc>
          <w:tcPr>
            <w:tcW w:w="698" w:type="dxa"/>
            <w:tcBorders>
              <w:top w:val="single" w:sz="4" w:space="0" w:color="000000"/>
              <w:bottom w:val="single" w:sz="4" w:space="0" w:color="000000"/>
            </w:tcBorders>
          </w:tcPr>
          <w:p>
            <w:pPr>
              <w:pStyle w:val="TableParagraph"/>
              <w:jc w:val="left"/>
              <w:rPr>
                <w:sz w:val="18"/>
              </w:rPr>
            </w:pPr>
          </w:p>
        </w:tc>
        <w:tc>
          <w:tcPr>
            <w:tcW w:w="1019" w:type="dxa"/>
            <w:tcBorders>
              <w:top w:val="single" w:sz="4" w:space="0" w:color="000000"/>
              <w:bottom w:val="single" w:sz="4" w:space="0" w:color="000000"/>
            </w:tcBorders>
          </w:tcPr>
          <w:p>
            <w:pPr>
              <w:pStyle w:val="TableParagraph"/>
              <w:jc w:val="left"/>
              <w:rPr>
                <w:sz w:val="18"/>
              </w:rPr>
            </w:pPr>
          </w:p>
        </w:tc>
        <w:tc>
          <w:tcPr>
            <w:tcW w:w="1027" w:type="dxa"/>
            <w:tcBorders>
              <w:top w:val="single" w:sz="4" w:space="0" w:color="000000"/>
              <w:bottom w:val="single" w:sz="4" w:space="0" w:color="000000"/>
            </w:tcBorders>
          </w:tcPr>
          <w:p>
            <w:pPr>
              <w:pStyle w:val="TableParagraph"/>
              <w:jc w:val="left"/>
              <w:rPr>
                <w:sz w:val="18"/>
              </w:rPr>
            </w:pPr>
          </w:p>
        </w:tc>
        <w:tc>
          <w:tcPr>
            <w:tcW w:w="994" w:type="dxa"/>
            <w:tcBorders>
              <w:top w:val="single" w:sz="4" w:space="0" w:color="000000"/>
              <w:bottom w:val="single" w:sz="4" w:space="0" w:color="000000"/>
            </w:tcBorders>
          </w:tcPr>
          <w:p>
            <w:pPr>
              <w:pStyle w:val="TableParagraph"/>
              <w:jc w:val="left"/>
              <w:rPr>
                <w:sz w:val="18"/>
              </w:rPr>
            </w:pPr>
          </w:p>
        </w:tc>
      </w:tr>
      <w:tr>
        <w:trPr>
          <w:trHeight w:val="272" w:hRule="atLeast"/>
        </w:trPr>
        <w:tc>
          <w:tcPr>
            <w:tcW w:w="2545" w:type="dxa"/>
            <w:tcBorders>
              <w:top w:val="single" w:sz="4" w:space="0" w:color="000000"/>
            </w:tcBorders>
          </w:tcPr>
          <w:p>
            <w:pPr>
              <w:pStyle w:val="TableParagraph"/>
              <w:spacing w:before="19"/>
              <w:ind w:left="14"/>
              <w:jc w:val="left"/>
              <w:rPr>
                <w:sz w:val="20"/>
              </w:rPr>
            </w:pPr>
            <w:r>
              <w:rPr>
                <w:sz w:val="20"/>
              </w:rPr>
              <w:t>Country</w:t>
            </w:r>
            <w:r>
              <w:rPr>
                <w:spacing w:val="-6"/>
                <w:sz w:val="20"/>
              </w:rPr>
              <w:t> </w:t>
            </w:r>
            <w:r>
              <w:rPr>
                <w:spacing w:val="-2"/>
                <w:sz w:val="20"/>
              </w:rPr>
              <w:t>Expert</w:t>
            </w:r>
            <w:r>
              <w:rPr>
                <w:spacing w:val="-2"/>
                <w:sz w:val="20"/>
                <w:vertAlign w:val="superscript"/>
              </w:rPr>
              <w:t>80</w:t>
            </w:r>
          </w:p>
        </w:tc>
        <w:tc>
          <w:tcPr>
            <w:tcW w:w="1107" w:type="dxa"/>
            <w:tcBorders>
              <w:top w:val="single" w:sz="4" w:space="0" w:color="000000"/>
            </w:tcBorders>
          </w:tcPr>
          <w:p>
            <w:pPr>
              <w:pStyle w:val="TableParagraph"/>
              <w:spacing w:before="19"/>
              <w:ind w:left="465"/>
              <w:jc w:val="left"/>
              <w:rPr>
                <w:sz w:val="20"/>
              </w:rPr>
            </w:pPr>
            <w:r>
              <w:rPr>
                <w:spacing w:val="-2"/>
                <w:sz w:val="20"/>
              </w:rPr>
              <w:t>P-</w:t>
            </w:r>
            <w:r>
              <w:rPr>
                <w:spacing w:val="-10"/>
                <w:sz w:val="20"/>
              </w:rPr>
              <w:t>3</w:t>
            </w:r>
          </w:p>
        </w:tc>
        <w:tc>
          <w:tcPr>
            <w:tcW w:w="698" w:type="dxa"/>
            <w:tcBorders>
              <w:top w:val="single" w:sz="4" w:space="0" w:color="000000"/>
            </w:tcBorders>
          </w:tcPr>
          <w:p>
            <w:pPr>
              <w:pStyle w:val="TableParagraph"/>
              <w:spacing w:before="19"/>
              <w:ind w:right="-15"/>
              <w:rPr>
                <w:sz w:val="20"/>
              </w:rPr>
            </w:pPr>
            <w:r>
              <w:rPr>
                <w:w w:val="100"/>
                <w:sz w:val="20"/>
              </w:rPr>
              <w:t>1</w:t>
            </w:r>
          </w:p>
        </w:tc>
        <w:tc>
          <w:tcPr>
            <w:tcW w:w="1019" w:type="dxa"/>
            <w:tcBorders>
              <w:top w:val="single" w:sz="4" w:space="0" w:color="000000"/>
            </w:tcBorders>
          </w:tcPr>
          <w:p>
            <w:pPr>
              <w:pStyle w:val="TableParagraph"/>
              <w:spacing w:before="19"/>
              <w:ind w:right="416"/>
              <w:rPr>
                <w:sz w:val="20"/>
              </w:rPr>
            </w:pPr>
            <w:r>
              <w:rPr>
                <w:w w:val="100"/>
                <w:sz w:val="20"/>
              </w:rPr>
              <w:t>9</w:t>
            </w:r>
          </w:p>
        </w:tc>
        <w:tc>
          <w:tcPr>
            <w:tcW w:w="1027" w:type="dxa"/>
            <w:tcBorders>
              <w:top w:val="single" w:sz="4" w:space="0" w:color="000000"/>
            </w:tcBorders>
          </w:tcPr>
          <w:p>
            <w:pPr>
              <w:pStyle w:val="TableParagraph"/>
              <w:spacing w:before="19"/>
              <w:ind w:right="156"/>
              <w:rPr>
                <w:sz w:val="20"/>
              </w:rPr>
            </w:pPr>
            <w:r>
              <w:rPr>
                <w:spacing w:val="-4"/>
                <w:sz w:val="20"/>
              </w:rPr>
              <w:t>0.75</w:t>
            </w:r>
          </w:p>
        </w:tc>
        <w:tc>
          <w:tcPr>
            <w:tcW w:w="994" w:type="dxa"/>
            <w:tcBorders>
              <w:top w:val="single" w:sz="4" w:space="0" w:color="000000"/>
            </w:tcBorders>
          </w:tcPr>
          <w:p>
            <w:pPr>
              <w:pStyle w:val="TableParagraph"/>
              <w:spacing w:before="19"/>
              <w:ind w:right="-15"/>
              <w:rPr>
                <w:sz w:val="20"/>
              </w:rPr>
            </w:pPr>
            <w:r>
              <w:rPr>
                <w:spacing w:val="-2"/>
                <w:sz w:val="20"/>
              </w:rPr>
              <w:t>Continued</w:t>
            </w:r>
          </w:p>
        </w:tc>
      </w:tr>
      <w:tr>
        <w:trPr>
          <w:trHeight w:val="269" w:hRule="atLeast"/>
        </w:trPr>
        <w:tc>
          <w:tcPr>
            <w:tcW w:w="2545" w:type="dxa"/>
            <w:tcBorders>
              <w:bottom w:val="single" w:sz="4" w:space="0" w:color="000000"/>
            </w:tcBorders>
          </w:tcPr>
          <w:p>
            <w:pPr>
              <w:pStyle w:val="TableParagraph"/>
              <w:spacing w:before="15"/>
              <w:ind w:left="14"/>
              <w:jc w:val="left"/>
              <w:rPr>
                <w:sz w:val="20"/>
              </w:rPr>
            </w:pPr>
            <w:r>
              <w:rPr>
                <w:sz w:val="20"/>
              </w:rPr>
              <w:t>Associate</w:t>
            </w:r>
            <w:r>
              <w:rPr>
                <w:spacing w:val="-7"/>
                <w:sz w:val="20"/>
              </w:rPr>
              <w:t> </w:t>
            </w:r>
            <w:r>
              <w:rPr>
                <w:sz w:val="20"/>
              </w:rPr>
              <w:t>Country</w:t>
            </w:r>
            <w:r>
              <w:rPr>
                <w:spacing w:val="-7"/>
                <w:sz w:val="20"/>
              </w:rPr>
              <w:t> </w:t>
            </w:r>
            <w:r>
              <w:rPr>
                <w:spacing w:val="-2"/>
                <w:sz w:val="20"/>
              </w:rPr>
              <w:t>Expert</w:t>
            </w:r>
          </w:p>
        </w:tc>
        <w:tc>
          <w:tcPr>
            <w:tcW w:w="1107" w:type="dxa"/>
            <w:tcBorders>
              <w:bottom w:val="single" w:sz="4" w:space="0" w:color="000000"/>
            </w:tcBorders>
          </w:tcPr>
          <w:p>
            <w:pPr>
              <w:pStyle w:val="TableParagraph"/>
              <w:spacing w:before="15"/>
              <w:ind w:left="465"/>
              <w:jc w:val="left"/>
              <w:rPr>
                <w:sz w:val="20"/>
              </w:rPr>
            </w:pPr>
            <w:r>
              <w:rPr>
                <w:spacing w:val="-2"/>
                <w:sz w:val="20"/>
              </w:rPr>
              <w:t>P-</w:t>
            </w:r>
            <w:r>
              <w:rPr>
                <w:spacing w:val="-10"/>
                <w:sz w:val="20"/>
              </w:rPr>
              <w:t>2</w:t>
            </w:r>
          </w:p>
        </w:tc>
        <w:tc>
          <w:tcPr>
            <w:tcW w:w="698" w:type="dxa"/>
            <w:tcBorders>
              <w:bottom w:val="single" w:sz="4" w:space="0" w:color="000000"/>
            </w:tcBorders>
          </w:tcPr>
          <w:p>
            <w:pPr>
              <w:pStyle w:val="TableParagraph"/>
              <w:spacing w:before="15"/>
              <w:ind w:right="-15"/>
              <w:rPr>
                <w:sz w:val="20"/>
              </w:rPr>
            </w:pPr>
            <w:r>
              <w:rPr>
                <w:w w:val="100"/>
                <w:sz w:val="20"/>
              </w:rPr>
              <w:t>4</w:t>
            </w:r>
          </w:p>
        </w:tc>
        <w:tc>
          <w:tcPr>
            <w:tcW w:w="1019" w:type="dxa"/>
            <w:tcBorders>
              <w:bottom w:val="single" w:sz="4" w:space="0" w:color="000000"/>
            </w:tcBorders>
          </w:tcPr>
          <w:p>
            <w:pPr>
              <w:pStyle w:val="TableParagraph"/>
              <w:spacing w:before="15"/>
              <w:ind w:right="416"/>
              <w:rPr>
                <w:sz w:val="20"/>
              </w:rPr>
            </w:pPr>
            <w:r>
              <w:rPr>
                <w:spacing w:val="-5"/>
                <w:sz w:val="20"/>
              </w:rPr>
              <w:t>36</w:t>
            </w:r>
          </w:p>
        </w:tc>
        <w:tc>
          <w:tcPr>
            <w:tcW w:w="1027" w:type="dxa"/>
            <w:tcBorders>
              <w:bottom w:val="single" w:sz="4" w:space="0" w:color="000000"/>
            </w:tcBorders>
          </w:tcPr>
          <w:p>
            <w:pPr>
              <w:pStyle w:val="TableParagraph"/>
              <w:spacing w:before="15"/>
              <w:ind w:right="156"/>
              <w:rPr>
                <w:sz w:val="20"/>
              </w:rPr>
            </w:pPr>
            <w:r>
              <w:rPr>
                <w:spacing w:val="-4"/>
                <w:sz w:val="20"/>
              </w:rPr>
              <w:t>3.00</w:t>
            </w:r>
          </w:p>
        </w:tc>
        <w:tc>
          <w:tcPr>
            <w:tcW w:w="994" w:type="dxa"/>
            <w:tcBorders>
              <w:bottom w:val="single" w:sz="4" w:space="0" w:color="000000"/>
            </w:tcBorders>
          </w:tcPr>
          <w:p>
            <w:pPr>
              <w:pStyle w:val="TableParagraph"/>
              <w:spacing w:before="15"/>
              <w:ind w:right="-15"/>
              <w:rPr>
                <w:sz w:val="20"/>
              </w:rPr>
            </w:pPr>
            <w:r>
              <w:rPr>
                <w:spacing w:val="-5"/>
                <w:sz w:val="20"/>
              </w:rPr>
              <w:t>New</w:t>
            </w:r>
          </w:p>
        </w:tc>
      </w:tr>
      <w:tr>
        <w:trPr>
          <w:trHeight w:val="268" w:hRule="atLeast"/>
        </w:trPr>
        <w:tc>
          <w:tcPr>
            <w:tcW w:w="2545" w:type="dxa"/>
            <w:tcBorders>
              <w:top w:val="single" w:sz="4" w:space="0" w:color="000000"/>
              <w:bottom w:val="single" w:sz="4" w:space="0" w:color="000000"/>
            </w:tcBorders>
          </w:tcPr>
          <w:p>
            <w:pPr>
              <w:pStyle w:val="TableParagraph"/>
              <w:jc w:val="left"/>
              <w:rPr>
                <w:sz w:val="18"/>
              </w:rPr>
            </w:pPr>
          </w:p>
        </w:tc>
        <w:tc>
          <w:tcPr>
            <w:tcW w:w="1107" w:type="dxa"/>
            <w:tcBorders>
              <w:top w:val="single" w:sz="4" w:space="0" w:color="000000"/>
              <w:bottom w:val="single" w:sz="4" w:space="0" w:color="000000"/>
            </w:tcBorders>
          </w:tcPr>
          <w:p>
            <w:pPr>
              <w:pStyle w:val="TableParagraph"/>
              <w:jc w:val="left"/>
              <w:rPr>
                <w:sz w:val="18"/>
              </w:rPr>
            </w:pPr>
          </w:p>
        </w:tc>
        <w:tc>
          <w:tcPr>
            <w:tcW w:w="698" w:type="dxa"/>
            <w:tcBorders>
              <w:top w:val="single" w:sz="4" w:space="0" w:color="000000"/>
              <w:bottom w:val="single" w:sz="4" w:space="0" w:color="000000"/>
            </w:tcBorders>
          </w:tcPr>
          <w:p>
            <w:pPr>
              <w:pStyle w:val="TableParagraph"/>
              <w:spacing w:line="230" w:lineRule="exact" w:before="19"/>
              <w:ind w:right="-15"/>
              <w:rPr>
                <w:b/>
                <w:sz w:val="20"/>
              </w:rPr>
            </w:pPr>
            <w:r>
              <w:rPr>
                <w:b/>
                <w:w w:val="100"/>
                <w:sz w:val="20"/>
              </w:rPr>
              <w:t>5</w:t>
            </w:r>
          </w:p>
        </w:tc>
        <w:tc>
          <w:tcPr>
            <w:tcW w:w="1019" w:type="dxa"/>
            <w:tcBorders>
              <w:top w:val="single" w:sz="4" w:space="0" w:color="000000"/>
              <w:bottom w:val="single" w:sz="4" w:space="0" w:color="000000"/>
            </w:tcBorders>
          </w:tcPr>
          <w:p>
            <w:pPr>
              <w:pStyle w:val="TableParagraph"/>
              <w:spacing w:line="230" w:lineRule="exact" w:before="19"/>
              <w:ind w:right="416"/>
              <w:rPr>
                <w:b/>
                <w:sz w:val="20"/>
              </w:rPr>
            </w:pPr>
            <w:r>
              <w:rPr>
                <w:b/>
                <w:spacing w:val="-5"/>
                <w:sz w:val="20"/>
              </w:rPr>
              <w:t>45</w:t>
            </w:r>
          </w:p>
        </w:tc>
        <w:tc>
          <w:tcPr>
            <w:tcW w:w="1027" w:type="dxa"/>
            <w:tcBorders>
              <w:top w:val="single" w:sz="4" w:space="0" w:color="000000"/>
              <w:bottom w:val="single" w:sz="4" w:space="0" w:color="000000"/>
            </w:tcBorders>
          </w:tcPr>
          <w:p>
            <w:pPr>
              <w:pStyle w:val="TableParagraph"/>
              <w:spacing w:line="230" w:lineRule="exact" w:before="19"/>
              <w:ind w:right="156"/>
              <w:rPr>
                <w:b/>
                <w:sz w:val="20"/>
              </w:rPr>
            </w:pPr>
            <w:r>
              <w:rPr>
                <w:b/>
                <w:spacing w:val="-4"/>
                <w:sz w:val="20"/>
              </w:rPr>
              <w:t>3.75</w:t>
            </w:r>
          </w:p>
        </w:tc>
        <w:tc>
          <w:tcPr>
            <w:tcW w:w="994" w:type="dxa"/>
            <w:tcBorders>
              <w:top w:val="single" w:sz="4" w:space="0" w:color="000000"/>
              <w:bottom w:val="single" w:sz="4" w:space="0" w:color="000000"/>
            </w:tcBorders>
          </w:tcPr>
          <w:p>
            <w:pPr>
              <w:pStyle w:val="TableParagraph"/>
              <w:jc w:val="left"/>
              <w:rPr>
                <w:sz w:val="18"/>
              </w:rPr>
            </w:pPr>
          </w:p>
        </w:tc>
      </w:tr>
      <w:tr>
        <w:trPr>
          <w:trHeight w:val="268" w:hRule="atLeast"/>
        </w:trPr>
        <w:tc>
          <w:tcPr>
            <w:tcW w:w="2545" w:type="dxa"/>
            <w:tcBorders>
              <w:top w:val="single" w:sz="4" w:space="0" w:color="000000"/>
              <w:bottom w:val="single" w:sz="4" w:space="0" w:color="000000"/>
            </w:tcBorders>
          </w:tcPr>
          <w:p>
            <w:pPr>
              <w:pStyle w:val="TableParagraph"/>
              <w:spacing w:line="229" w:lineRule="exact" w:before="19"/>
              <w:ind w:left="14"/>
              <w:jc w:val="left"/>
              <w:rPr>
                <w:i/>
                <w:sz w:val="20"/>
              </w:rPr>
            </w:pPr>
            <w:r>
              <w:rPr>
                <w:i/>
                <w:spacing w:val="-4"/>
                <w:sz w:val="20"/>
              </w:rPr>
              <w:t>Unified</w:t>
            </w:r>
            <w:r>
              <w:rPr>
                <w:i/>
                <w:spacing w:val="-10"/>
                <w:sz w:val="20"/>
              </w:rPr>
              <w:t> </w:t>
            </w:r>
            <w:r>
              <w:rPr>
                <w:i/>
                <w:spacing w:val="-4"/>
                <w:sz w:val="20"/>
              </w:rPr>
              <w:t>Teams</w:t>
            </w:r>
            <w:r>
              <w:rPr>
                <w:i/>
                <w:spacing w:val="-9"/>
                <w:sz w:val="20"/>
              </w:rPr>
              <w:t> </w:t>
            </w:r>
            <w:r>
              <w:rPr>
                <w:i/>
                <w:spacing w:val="-4"/>
                <w:sz w:val="20"/>
              </w:rPr>
              <w:t>(Field)</w:t>
            </w:r>
          </w:p>
        </w:tc>
        <w:tc>
          <w:tcPr>
            <w:tcW w:w="1107" w:type="dxa"/>
            <w:tcBorders>
              <w:top w:val="single" w:sz="4" w:space="0" w:color="000000"/>
              <w:bottom w:val="single" w:sz="4" w:space="0" w:color="000000"/>
            </w:tcBorders>
          </w:tcPr>
          <w:p>
            <w:pPr>
              <w:pStyle w:val="TableParagraph"/>
              <w:jc w:val="left"/>
              <w:rPr>
                <w:sz w:val="18"/>
              </w:rPr>
            </w:pPr>
          </w:p>
        </w:tc>
        <w:tc>
          <w:tcPr>
            <w:tcW w:w="698" w:type="dxa"/>
            <w:tcBorders>
              <w:top w:val="single" w:sz="4" w:space="0" w:color="000000"/>
              <w:bottom w:val="single" w:sz="4" w:space="0" w:color="000000"/>
            </w:tcBorders>
          </w:tcPr>
          <w:p>
            <w:pPr>
              <w:pStyle w:val="TableParagraph"/>
              <w:jc w:val="left"/>
              <w:rPr>
                <w:sz w:val="18"/>
              </w:rPr>
            </w:pPr>
          </w:p>
        </w:tc>
        <w:tc>
          <w:tcPr>
            <w:tcW w:w="1019" w:type="dxa"/>
            <w:tcBorders>
              <w:top w:val="single" w:sz="4" w:space="0" w:color="000000"/>
              <w:bottom w:val="single" w:sz="4" w:space="0" w:color="000000"/>
            </w:tcBorders>
          </w:tcPr>
          <w:p>
            <w:pPr>
              <w:pStyle w:val="TableParagraph"/>
              <w:jc w:val="left"/>
              <w:rPr>
                <w:sz w:val="18"/>
              </w:rPr>
            </w:pPr>
          </w:p>
        </w:tc>
        <w:tc>
          <w:tcPr>
            <w:tcW w:w="1027" w:type="dxa"/>
            <w:tcBorders>
              <w:top w:val="single" w:sz="4" w:space="0" w:color="000000"/>
              <w:bottom w:val="single" w:sz="4" w:space="0" w:color="000000"/>
            </w:tcBorders>
          </w:tcPr>
          <w:p>
            <w:pPr>
              <w:pStyle w:val="TableParagraph"/>
              <w:jc w:val="left"/>
              <w:rPr>
                <w:sz w:val="18"/>
              </w:rPr>
            </w:pPr>
          </w:p>
        </w:tc>
        <w:tc>
          <w:tcPr>
            <w:tcW w:w="994" w:type="dxa"/>
            <w:tcBorders>
              <w:top w:val="single" w:sz="4" w:space="0" w:color="000000"/>
              <w:bottom w:val="single" w:sz="4" w:space="0" w:color="000000"/>
            </w:tcBorders>
          </w:tcPr>
          <w:p>
            <w:pPr>
              <w:pStyle w:val="TableParagraph"/>
              <w:jc w:val="left"/>
              <w:rPr>
                <w:sz w:val="18"/>
              </w:rPr>
            </w:pPr>
          </w:p>
        </w:tc>
      </w:tr>
      <w:tr>
        <w:trPr>
          <w:trHeight w:val="273" w:hRule="atLeast"/>
        </w:trPr>
        <w:tc>
          <w:tcPr>
            <w:tcW w:w="2545" w:type="dxa"/>
            <w:tcBorders>
              <w:top w:val="single" w:sz="4" w:space="0" w:color="000000"/>
              <w:bottom w:val="single" w:sz="4" w:space="0" w:color="000000"/>
            </w:tcBorders>
          </w:tcPr>
          <w:p>
            <w:pPr>
              <w:pStyle w:val="TableParagraph"/>
              <w:spacing w:before="19"/>
              <w:ind w:left="14"/>
              <w:jc w:val="left"/>
              <w:rPr>
                <w:i/>
                <w:sz w:val="20"/>
              </w:rPr>
            </w:pPr>
            <w:r>
              <w:rPr>
                <w:i/>
                <w:spacing w:val="-2"/>
                <w:sz w:val="20"/>
              </w:rPr>
              <w:t>Venezuela</w:t>
            </w:r>
          </w:p>
        </w:tc>
        <w:tc>
          <w:tcPr>
            <w:tcW w:w="1107" w:type="dxa"/>
            <w:tcBorders>
              <w:top w:val="single" w:sz="4" w:space="0" w:color="000000"/>
              <w:bottom w:val="single" w:sz="4" w:space="0" w:color="000000"/>
            </w:tcBorders>
          </w:tcPr>
          <w:p>
            <w:pPr>
              <w:pStyle w:val="TableParagraph"/>
              <w:jc w:val="left"/>
              <w:rPr>
                <w:sz w:val="20"/>
              </w:rPr>
            </w:pPr>
          </w:p>
        </w:tc>
        <w:tc>
          <w:tcPr>
            <w:tcW w:w="698" w:type="dxa"/>
            <w:tcBorders>
              <w:top w:val="single" w:sz="4" w:space="0" w:color="000000"/>
              <w:bottom w:val="single" w:sz="4" w:space="0" w:color="000000"/>
            </w:tcBorders>
          </w:tcPr>
          <w:p>
            <w:pPr>
              <w:pStyle w:val="TableParagraph"/>
              <w:jc w:val="left"/>
              <w:rPr>
                <w:sz w:val="20"/>
              </w:rPr>
            </w:pPr>
          </w:p>
        </w:tc>
        <w:tc>
          <w:tcPr>
            <w:tcW w:w="1019" w:type="dxa"/>
            <w:tcBorders>
              <w:top w:val="single" w:sz="4" w:space="0" w:color="000000"/>
              <w:bottom w:val="single" w:sz="4" w:space="0" w:color="000000"/>
            </w:tcBorders>
          </w:tcPr>
          <w:p>
            <w:pPr>
              <w:pStyle w:val="TableParagraph"/>
              <w:jc w:val="left"/>
              <w:rPr>
                <w:sz w:val="20"/>
              </w:rPr>
            </w:pPr>
          </w:p>
        </w:tc>
        <w:tc>
          <w:tcPr>
            <w:tcW w:w="1027" w:type="dxa"/>
            <w:tcBorders>
              <w:top w:val="single" w:sz="4" w:space="0" w:color="000000"/>
              <w:bottom w:val="single" w:sz="4" w:space="0" w:color="000000"/>
            </w:tcBorders>
          </w:tcPr>
          <w:p>
            <w:pPr>
              <w:pStyle w:val="TableParagraph"/>
              <w:jc w:val="left"/>
              <w:rPr>
                <w:sz w:val="20"/>
              </w:rPr>
            </w:pPr>
          </w:p>
        </w:tc>
        <w:tc>
          <w:tcPr>
            <w:tcW w:w="994" w:type="dxa"/>
            <w:tcBorders>
              <w:top w:val="single" w:sz="4" w:space="0" w:color="000000"/>
              <w:bottom w:val="single" w:sz="4" w:space="0" w:color="000000"/>
            </w:tcBorders>
          </w:tcPr>
          <w:p>
            <w:pPr>
              <w:pStyle w:val="TableParagraph"/>
              <w:jc w:val="left"/>
              <w:rPr>
                <w:sz w:val="20"/>
              </w:rPr>
            </w:pPr>
          </w:p>
        </w:tc>
      </w:tr>
      <w:tr>
        <w:trPr>
          <w:trHeight w:val="268" w:hRule="atLeast"/>
        </w:trPr>
        <w:tc>
          <w:tcPr>
            <w:tcW w:w="2545" w:type="dxa"/>
            <w:tcBorders>
              <w:top w:val="single" w:sz="4" w:space="0" w:color="000000"/>
              <w:bottom w:val="single" w:sz="4" w:space="0" w:color="000000"/>
            </w:tcBorders>
          </w:tcPr>
          <w:p>
            <w:pPr>
              <w:pStyle w:val="TableParagraph"/>
              <w:spacing w:line="229" w:lineRule="exact" w:before="19"/>
              <w:ind w:left="14"/>
              <w:jc w:val="left"/>
              <w:rPr>
                <w:sz w:val="20"/>
              </w:rPr>
            </w:pPr>
            <w:r>
              <w:rPr>
                <w:spacing w:val="-2"/>
                <w:sz w:val="20"/>
              </w:rPr>
              <w:t>Administrative</w:t>
            </w:r>
            <w:r>
              <w:rPr>
                <w:spacing w:val="15"/>
                <w:sz w:val="20"/>
              </w:rPr>
              <w:t> </w:t>
            </w:r>
            <w:r>
              <w:rPr>
                <w:spacing w:val="-2"/>
                <w:sz w:val="20"/>
              </w:rPr>
              <w:t>Assistant</w:t>
            </w:r>
          </w:p>
        </w:tc>
        <w:tc>
          <w:tcPr>
            <w:tcW w:w="1107" w:type="dxa"/>
            <w:tcBorders>
              <w:top w:val="single" w:sz="4" w:space="0" w:color="000000"/>
              <w:bottom w:val="single" w:sz="4" w:space="0" w:color="000000"/>
            </w:tcBorders>
          </w:tcPr>
          <w:p>
            <w:pPr>
              <w:pStyle w:val="TableParagraph"/>
              <w:spacing w:line="229" w:lineRule="exact" w:before="19"/>
              <w:ind w:left="465"/>
              <w:jc w:val="left"/>
              <w:rPr>
                <w:sz w:val="20"/>
              </w:rPr>
            </w:pPr>
            <w:r>
              <w:rPr>
                <w:spacing w:val="-2"/>
                <w:sz w:val="20"/>
              </w:rPr>
              <w:t>GS-</w:t>
            </w:r>
            <w:r>
              <w:rPr>
                <w:spacing w:val="-7"/>
                <w:sz w:val="20"/>
              </w:rPr>
              <w:t>OL</w:t>
            </w:r>
          </w:p>
        </w:tc>
        <w:tc>
          <w:tcPr>
            <w:tcW w:w="698" w:type="dxa"/>
            <w:tcBorders>
              <w:top w:val="single" w:sz="4" w:space="0" w:color="000000"/>
              <w:bottom w:val="single" w:sz="4" w:space="0" w:color="000000"/>
            </w:tcBorders>
          </w:tcPr>
          <w:p>
            <w:pPr>
              <w:pStyle w:val="TableParagraph"/>
              <w:spacing w:line="229" w:lineRule="exact" w:before="19"/>
              <w:ind w:right="-15"/>
              <w:rPr>
                <w:sz w:val="20"/>
              </w:rPr>
            </w:pPr>
            <w:r>
              <w:rPr>
                <w:w w:val="100"/>
                <w:sz w:val="20"/>
              </w:rPr>
              <w:t>1</w:t>
            </w:r>
          </w:p>
        </w:tc>
        <w:tc>
          <w:tcPr>
            <w:tcW w:w="1019" w:type="dxa"/>
            <w:tcBorders>
              <w:top w:val="single" w:sz="4" w:space="0" w:color="000000"/>
              <w:bottom w:val="single" w:sz="4" w:space="0" w:color="000000"/>
            </w:tcBorders>
          </w:tcPr>
          <w:p>
            <w:pPr>
              <w:pStyle w:val="TableParagraph"/>
              <w:spacing w:line="229" w:lineRule="exact" w:before="19"/>
              <w:ind w:right="416"/>
              <w:rPr>
                <w:sz w:val="20"/>
              </w:rPr>
            </w:pPr>
            <w:r>
              <w:rPr>
                <w:w w:val="100"/>
                <w:sz w:val="20"/>
              </w:rPr>
              <w:t>9</w:t>
            </w:r>
          </w:p>
        </w:tc>
        <w:tc>
          <w:tcPr>
            <w:tcW w:w="1027" w:type="dxa"/>
            <w:tcBorders>
              <w:top w:val="single" w:sz="4" w:space="0" w:color="000000"/>
              <w:bottom w:val="single" w:sz="4" w:space="0" w:color="000000"/>
            </w:tcBorders>
          </w:tcPr>
          <w:p>
            <w:pPr>
              <w:pStyle w:val="TableParagraph"/>
              <w:spacing w:line="229" w:lineRule="exact" w:before="19"/>
              <w:ind w:right="156"/>
              <w:rPr>
                <w:sz w:val="20"/>
              </w:rPr>
            </w:pPr>
            <w:r>
              <w:rPr>
                <w:spacing w:val="-4"/>
                <w:sz w:val="20"/>
              </w:rPr>
              <w:t>0.75</w:t>
            </w:r>
          </w:p>
        </w:tc>
        <w:tc>
          <w:tcPr>
            <w:tcW w:w="994" w:type="dxa"/>
            <w:tcBorders>
              <w:top w:val="single" w:sz="4" w:space="0" w:color="000000"/>
              <w:bottom w:val="single" w:sz="4" w:space="0" w:color="000000"/>
            </w:tcBorders>
          </w:tcPr>
          <w:p>
            <w:pPr>
              <w:pStyle w:val="TableParagraph"/>
              <w:spacing w:line="229" w:lineRule="exact" w:before="19"/>
              <w:ind w:right="-15"/>
              <w:rPr>
                <w:sz w:val="20"/>
              </w:rPr>
            </w:pPr>
            <w:r>
              <w:rPr>
                <w:spacing w:val="-5"/>
                <w:sz w:val="20"/>
              </w:rPr>
              <w:t>New</w:t>
            </w:r>
          </w:p>
        </w:tc>
      </w:tr>
      <w:tr>
        <w:trPr>
          <w:trHeight w:val="268" w:hRule="atLeast"/>
        </w:trPr>
        <w:tc>
          <w:tcPr>
            <w:tcW w:w="2545" w:type="dxa"/>
            <w:tcBorders>
              <w:top w:val="single" w:sz="4" w:space="0" w:color="000000"/>
              <w:bottom w:val="single" w:sz="4" w:space="0" w:color="000000"/>
            </w:tcBorders>
          </w:tcPr>
          <w:p>
            <w:pPr>
              <w:pStyle w:val="TableParagraph"/>
              <w:jc w:val="left"/>
              <w:rPr>
                <w:sz w:val="18"/>
              </w:rPr>
            </w:pPr>
          </w:p>
        </w:tc>
        <w:tc>
          <w:tcPr>
            <w:tcW w:w="1107" w:type="dxa"/>
            <w:tcBorders>
              <w:top w:val="single" w:sz="4" w:space="0" w:color="000000"/>
              <w:bottom w:val="single" w:sz="4" w:space="0" w:color="000000"/>
            </w:tcBorders>
          </w:tcPr>
          <w:p>
            <w:pPr>
              <w:pStyle w:val="TableParagraph"/>
              <w:jc w:val="left"/>
              <w:rPr>
                <w:sz w:val="18"/>
              </w:rPr>
            </w:pPr>
          </w:p>
        </w:tc>
        <w:tc>
          <w:tcPr>
            <w:tcW w:w="698" w:type="dxa"/>
            <w:tcBorders>
              <w:top w:val="single" w:sz="4" w:space="0" w:color="000000"/>
              <w:bottom w:val="single" w:sz="4" w:space="0" w:color="000000"/>
            </w:tcBorders>
          </w:tcPr>
          <w:p>
            <w:pPr>
              <w:pStyle w:val="TableParagraph"/>
              <w:spacing w:line="229" w:lineRule="exact" w:before="19"/>
              <w:ind w:right="-15"/>
              <w:rPr>
                <w:b/>
                <w:sz w:val="20"/>
              </w:rPr>
            </w:pPr>
            <w:r>
              <w:rPr>
                <w:b/>
                <w:w w:val="100"/>
                <w:sz w:val="20"/>
              </w:rPr>
              <w:t>1</w:t>
            </w:r>
          </w:p>
        </w:tc>
        <w:tc>
          <w:tcPr>
            <w:tcW w:w="1019" w:type="dxa"/>
            <w:tcBorders>
              <w:top w:val="single" w:sz="4" w:space="0" w:color="000000"/>
              <w:bottom w:val="single" w:sz="4" w:space="0" w:color="000000"/>
            </w:tcBorders>
          </w:tcPr>
          <w:p>
            <w:pPr>
              <w:pStyle w:val="TableParagraph"/>
              <w:spacing w:line="229" w:lineRule="exact" w:before="19"/>
              <w:ind w:right="416"/>
              <w:rPr>
                <w:b/>
                <w:sz w:val="20"/>
              </w:rPr>
            </w:pPr>
            <w:r>
              <w:rPr>
                <w:b/>
                <w:w w:val="100"/>
                <w:sz w:val="20"/>
              </w:rPr>
              <w:t>9</w:t>
            </w:r>
          </w:p>
        </w:tc>
        <w:tc>
          <w:tcPr>
            <w:tcW w:w="1027" w:type="dxa"/>
            <w:tcBorders>
              <w:top w:val="single" w:sz="4" w:space="0" w:color="000000"/>
              <w:bottom w:val="single" w:sz="4" w:space="0" w:color="000000"/>
            </w:tcBorders>
          </w:tcPr>
          <w:p>
            <w:pPr>
              <w:pStyle w:val="TableParagraph"/>
              <w:spacing w:line="229" w:lineRule="exact" w:before="19"/>
              <w:ind w:right="156"/>
              <w:rPr>
                <w:b/>
                <w:sz w:val="20"/>
              </w:rPr>
            </w:pPr>
            <w:r>
              <w:rPr>
                <w:b/>
                <w:spacing w:val="-4"/>
                <w:sz w:val="20"/>
              </w:rPr>
              <w:t>0.75</w:t>
            </w:r>
          </w:p>
        </w:tc>
        <w:tc>
          <w:tcPr>
            <w:tcW w:w="994" w:type="dxa"/>
            <w:tcBorders>
              <w:top w:val="single" w:sz="4" w:space="0" w:color="000000"/>
              <w:bottom w:val="single" w:sz="4" w:space="0" w:color="000000"/>
            </w:tcBorders>
          </w:tcPr>
          <w:p>
            <w:pPr>
              <w:pStyle w:val="TableParagraph"/>
              <w:jc w:val="left"/>
              <w:rPr>
                <w:sz w:val="18"/>
              </w:rPr>
            </w:pPr>
          </w:p>
        </w:tc>
      </w:tr>
      <w:tr>
        <w:trPr>
          <w:trHeight w:val="273" w:hRule="atLeast"/>
        </w:trPr>
        <w:tc>
          <w:tcPr>
            <w:tcW w:w="2545" w:type="dxa"/>
            <w:tcBorders>
              <w:top w:val="single" w:sz="4" w:space="0" w:color="000000"/>
              <w:bottom w:val="single" w:sz="4" w:space="0" w:color="000000"/>
            </w:tcBorders>
          </w:tcPr>
          <w:p>
            <w:pPr>
              <w:pStyle w:val="TableParagraph"/>
              <w:spacing w:before="19"/>
              <w:ind w:left="14"/>
              <w:jc w:val="left"/>
              <w:rPr>
                <w:i/>
                <w:sz w:val="20"/>
              </w:rPr>
            </w:pPr>
            <w:r>
              <w:rPr>
                <w:i/>
                <w:spacing w:val="-2"/>
                <w:sz w:val="20"/>
              </w:rPr>
              <w:t>Sudan</w:t>
            </w:r>
          </w:p>
        </w:tc>
        <w:tc>
          <w:tcPr>
            <w:tcW w:w="1107" w:type="dxa"/>
            <w:tcBorders>
              <w:top w:val="single" w:sz="4" w:space="0" w:color="000000"/>
              <w:bottom w:val="single" w:sz="4" w:space="0" w:color="000000"/>
            </w:tcBorders>
          </w:tcPr>
          <w:p>
            <w:pPr>
              <w:pStyle w:val="TableParagraph"/>
              <w:jc w:val="left"/>
              <w:rPr>
                <w:sz w:val="20"/>
              </w:rPr>
            </w:pPr>
          </w:p>
        </w:tc>
        <w:tc>
          <w:tcPr>
            <w:tcW w:w="698" w:type="dxa"/>
            <w:tcBorders>
              <w:top w:val="single" w:sz="4" w:space="0" w:color="000000"/>
              <w:bottom w:val="single" w:sz="4" w:space="0" w:color="000000"/>
            </w:tcBorders>
          </w:tcPr>
          <w:p>
            <w:pPr>
              <w:pStyle w:val="TableParagraph"/>
              <w:jc w:val="left"/>
              <w:rPr>
                <w:sz w:val="20"/>
              </w:rPr>
            </w:pPr>
          </w:p>
        </w:tc>
        <w:tc>
          <w:tcPr>
            <w:tcW w:w="1019" w:type="dxa"/>
            <w:tcBorders>
              <w:top w:val="single" w:sz="4" w:space="0" w:color="000000"/>
              <w:bottom w:val="single" w:sz="4" w:space="0" w:color="000000"/>
            </w:tcBorders>
          </w:tcPr>
          <w:p>
            <w:pPr>
              <w:pStyle w:val="TableParagraph"/>
              <w:jc w:val="left"/>
              <w:rPr>
                <w:sz w:val="20"/>
              </w:rPr>
            </w:pPr>
          </w:p>
        </w:tc>
        <w:tc>
          <w:tcPr>
            <w:tcW w:w="1027" w:type="dxa"/>
            <w:tcBorders>
              <w:top w:val="single" w:sz="4" w:space="0" w:color="000000"/>
              <w:bottom w:val="single" w:sz="4" w:space="0" w:color="000000"/>
            </w:tcBorders>
          </w:tcPr>
          <w:p>
            <w:pPr>
              <w:pStyle w:val="TableParagraph"/>
              <w:jc w:val="left"/>
              <w:rPr>
                <w:sz w:val="20"/>
              </w:rPr>
            </w:pPr>
          </w:p>
        </w:tc>
        <w:tc>
          <w:tcPr>
            <w:tcW w:w="994" w:type="dxa"/>
            <w:tcBorders>
              <w:top w:val="single" w:sz="4" w:space="0" w:color="000000"/>
              <w:bottom w:val="single" w:sz="4" w:space="0" w:color="000000"/>
            </w:tcBorders>
          </w:tcPr>
          <w:p>
            <w:pPr>
              <w:pStyle w:val="TableParagraph"/>
              <w:jc w:val="left"/>
              <w:rPr>
                <w:sz w:val="20"/>
              </w:rPr>
            </w:pPr>
          </w:p>
        </w:tc>
      </w:tr>
      <w:tr>
        <w:trPr>
          <w:trHeight w:val="268" w:hRule="atLeast"/>
        </w:trPr>
        <w:tc>
          <w:tcPr>
            <w:tcW w:w="2545" w:type="dxa"/>
            <w:tcBorders>
              <w:top w:val="single" w:sz="4" w:space="0" w:color="000000"/>
              <w:bottom w:val="single" w:sz="4" w:space="0" w:color="000000"/>
            </w:tcBorders>
          </w:tcPr>
          <w:p>
            <w:pPr>
              <w:pStyle w:val="TableParagraph"/>
              <w:spacing w:line="229" w:lineRule="exact" w:before="19"/>
              <w:ind w:left="14"/>
              <w:jc w:val="left"/>
              <w:rPr>
                <w:sz w:val="20"/>
              </w:rPr>
            </w:pPr>
            <w:r>
              <w:rPr>
                <w:spacing w:val="-2"/>
                <w:sz w:val="20"/>
              </w:rPr>
              <w:t>Administrative</w:t>
            </w:r>
            <w:r>
              <w:rPr>
                <w:spacing w:val="15"/>
                <w:sz w:val="20"/>
              </w:rPr>
              <w:t> </w:t>
            </w:r>
            <w:r>
              <w:rPr>
                <w:spacing w:val="-2"/>
                <w:sz w:val="20"/>
              </w:rPr>
              <w:t>Assistant</w:t>
            </w:r>
          </w:p>
        </w:tc>
        <w:tc>
          <w:tcPr>
            <w:tcW w:w="1107" w:type="dxa"/>
            <w:tcBorders>
              <w:top w:val="single" w:sz="4" w:space="0" w:color="000000"/>
              <w:bottom w:val="single" w:sz="4" w:space="0" w:color="000000"/>
            </w:tcBorders>
          </w:tcPr>
          <w:p>
            <w:pPr>
              <w:pStyle w:val="TableParagraph"/>
              <w:spacing w:line="229" w:lineRule="exact" w:before="19"/>
              <w:ind w:left="465"/>
              <w:jc w:val="left"/>
              <w:rPr>
                <w:sz w:val="20"/>
              </w:rPr>
            </w:pPr>
            <w:r>
              <w:rPr>
                <w:spacing w:val="-2"/>
                <w:sz w:val="20"/>
              </w:rPr>
              <w:t>GS-</w:t>
            </w:r>
            <w:r>
              <w:rPr>
                <w:spacing w:val="-7"/>
                <w:sz w:val="20"/>
              </w:rPr>
              <w:t>OL</w:t>
            </w:r>
          </w:p>
        </w:tc>
        <w:tc>
          <w:tcPr>
            <w:tcW w:w="698" w:type="dxa"/>
            <w:tcBorders>
              <w:top w:val="single" w:sz="4" w:space="0" w:color="000000"/>
              <w:bottom w:val="single" w:sz="4" w:space="0" w:color="000000"/>
            </w:tcBorders>
          </w:tcPr>
          <w:p>
            <w:pPr>
              <w:pStyle w:val="TableParagraph"/>
              <w:spacing w:line="229" w:lineRule="exact" w:before="19"/>
              <w:ind w:right="-15"/>
              <w:rPr>
                <w:sz w:val="20"/>
              </w:rPr>
            </w:pPr>
            <w:r>
              <w:rPr>
                <w:w w:val="100"/>
                <w:sz w:val="20"/>
              </w:rPr>
              <w:t>1</w:t>
            </w:r>
          </w:p>
        </w:tc>
        <w:tc>
          <w:tcPr>
            <w:tcW w:w="1019" w:type="dxa"/>
            <w:tcBorders>
              <w:top w:val="single" w:sz="4" w:space="0" w:color="000000"/>
              <w:bottom w:val="single" w:sz="4" w:space="0" w:color="000000"/>
            </w:tcBorders>
          </w:tcPr>
          <w:p>
            <w:pPr>
              <w:pStyle w:val="TableParagraph"/>
              <w:spacing w:line="229" w:lineRule="exact" w:before="19"/>
              <w:ind w:right="416"/>
              <w:rPr>
                <w:sz w:val="20"/>
              </w:rPr>
            </w:pPr>
            <w:r>
              <w:rPr>
                <w:w w:val="100"/>
                <w:sz w:val="20"/>
              </w:rPr>
              <w:t>9</w:t>
            </w:r>
          </w:p>
        </w:tc>
        <w:tc>
          <w:tcPr>
            <w:tcW w:w="1027" w:type="dxa"/>
            <w:tcBorders>
              <w:top w:val="single" w:sz="4" w:space="0" w:color="000000"/>
              <w:bottom w:val="single" w:sz="4" w:space="0" w:color="000000"/>
            </w:tcBorders>
          </w:tcPr>
          <w:p>
            <w:pPr>
              <w:pStyle w:val="TableParagraph"/>
              <w:spacing w:line="229" w:lineRule="exact" w:before="19"/>
              <w:ind w:right="156"/>
              <w:rPr>
                <w:sz w:val="20"/>
              </w:rPr>
            </w:pPr>
            <w:r>
              <w:rPr>
                <w:spacing w:val="-4"/>
                <w:sz w:val="20"/>
              </w:rPr>
              <w:t>0.75</w:t>
            </w:r>
          </w:p>
        </w:tc>
        <w:tc>
          <w:tcPr>
            <w:tcW w:w="994" w:type="dxa"/>
            <w:tcBorders>
              <w:top w:val="single" w:sz="4" w:space="0" w:color="000000"/>
              <w:bottom w:val="single" w:sz="4" w:space="0" w:color="000000"/>
            </w:tcBorders>
          </w:tcPr>
          <w:p>
            <w:pPr>
              <w:pStyle w:val="TableParagraph"/>
              <w:spacing w:line="229" w:lineRule="exact" w:before="19"/>
              <w:ind w:right="-15"/>
              <w:rPr>
                <w:sz w:val="20"/>
              </w:rPr>
            </w:pPr>
            <w:r>
              <w:rPr>
                <w:spacing w:val="-5"/>
                <w:sz w:val="20"/>
              </w:rPr>
              <w:t>New</w:t>
            </w:r>
          </w:p>
        </w:tc>
      </w:tr>
      <w:tr>
        <w:trPr>
          <w:trHeight w:val="268" w:hRule="atLeast"/>
        </w:trPr>
        <w:tc>
          <w:tcPr>
            <w:tcW w:w="2545" w:type="dxa"/>
            <w:tcBorders>
              <w:top w:val="single" w:sz="4" w:space="0" w:color="000000"/>
              <w:bottom w:val="single" w:sz="4" w:space="0" w:color="000000"/>
            </w:tcBorders>
          </w:tcPr>
          <w:p>
            <w:pPr>
              <w:pStyle w:val="TableParagraph"/>
              <w:jc w:val="left"/>
              <w:rPr>
                <w:sz w:val="18"/>
              </w:rPr>
            </w:pPr>
          </w:p>
        </w:tc>
        <w:tc>
          <w:tcPr>
            <w:tcW w:w="1107" w:type="dxa"/>
            <w:tcBorders>
              <w:top w:val="single" w:sz="4" w:space="0" w:color="000000"/>
              <w:bottom w:val="single" w:sz="4" w:space="0" w:color="000000"/>
            </w:tcBorders>
          </w:tcPr>
          <w:p>
            <w:pPr>
              <w:pStyle w:val="TableParagraph"/>
              <w:jc w:val="left"/>
              <w:rPr>
                <w:sz w:val="18"/>
              </w:rPr>
            </w:pPr>
          </w:p>
        </w:tc>
        <w:tc>
          <w:tcPr>
            <w:tcW w:w="698" w:type="dxa"/>
            <w:tcBorders>
              <w:top w:val="single" w:sz="4" w:space="0" w:color="000000"/>
              <w:bottom w:val="single" w:sz="4" w:space="0" w:color="000000"/>
            </w:tcBorders>
          </w:tcPr>
          <w:p>
            <w:pPr>
              <w:pStyle w:val="TableParagraph"/>
              <w:spacing w:line="229" w:lineRule="exact" w:before="20"/>
              <w:ind w:right="-15"/>
              <w:rPr>
                <w:b/>
                <w:sz w:val="20"/>
              </w:rPr>
            </w:pPr>
            <w:r>
              <w:rPr>
                <w:b/>
                <w:w w:val="100"/>
                <w:sz w:val="20"/>
              </w:rPr>
              <w:t>1</w:t>
            </w:r>
          </w:p>
        </w:tc>
        <w:tc>
          <w:tcPr>
            <w:tcW w:w="1019" w:type="dxa"/>
            <w:tcBorders>
              <w:top w:val="single" w:sz="4" w:space="0" w:color="000000"/>
              <w:bottom w:val="single" w:sz="4" w:space="0" w:color="000000"/>
            </w:tcBorders>
          </w:tcPr>
          <w:p>
            <w:pPr>
              <w:pStyle w:val="TableParagraph"/>
              <w:spacing w:line="229" w:lineRule="exact" w:before="20"/>
              <w:ind w:right="416"/>
              <w:rPr>
                <w:b/>
                <w:sz w:val="20"/>
              </w:rPr>
            </w:pPr>
            <w:r>
              <w:rPr>
                <w:b/>
                <w:w w:val="100"/>
                <w:sz w:val="20"/>
              </w:rPr>
              <w:t>9</w:t>
            </w:r>
          </w:p>
        </w:tc>
        <w:tc>
          <w:tcPr>
            <w:tcW w:w="1027" w:type="dxa"/>
            <w:tcBorders>
              <w:top w:val="single" w:sz="4" w:space="0" w:color="000000"/>
              <w:bottom w:val="single" w:sz="4" w:space="0" w:color="000000"/>
            </w:tcBorders>
          </w:tcPr>
          <w:p>
            <w:pPr>
              <w:pStyle w:val="TableParagraph"/>
              <w:spacing w:line="229" w:lineRule="exact" w:before="20"/>
              <w:ind w:right="156"/>
              <w:rPr>
                <w:b/>
                <w:sz w:val="20"/>
              </w:rPr>
            </w:pPr>
            <w:r>
              <w:rPr>
                <w:b/>
                <w:spacing w:val="-4"/>
                <w:sz w:val="20"/>
              </w:rPr>
              <w:t>0.75</w:t>
            </w:r>
          </w:p>
        </w:tc>
        <w:tc>
          <w:tcPr>
            <w:tcW w:w="994" w:type="dxa"/>
            <w:tcBorders>
              <w:top w:val="single" w:sz="4" w:space="0" w:color="000000"/>
              <w:bottom w:val="single" w:sz="4" w:space="0" w:color="000000"/>
            </w:tcBorders>
          </w:tcPr>
          <w:p>
            <w:pPr>
              <w:pStyle w:val="TableParagraph"/>
              <w:jc w:val="left"/>
              <w:rPr>
                <w:sz w:val="18"/>
              </w:rPr>
            </w:pPr>
          </w:p>
        </w:tc>
      </w:tr>
      <w:tr>
        <w:trPr>
          <w:trHeight w:val="273" w:hRule="atLeast"/>
        </w:trPr>
        <w:tc>
          <w:tcPr>
            <w:tcW w:w="2545" w:type="dxa"/>
            <w:tcBorders>
              <w:top w:val="single" w:sz="4" w:space="0" w:color="000000"/>
              <w:bottom w:val="single" w:sz="4" w:space="0" w:color="000000"/>
            </w:tcBorders>
          </w:tcPr>
          <w:p>
            <w:pPr>
              <w:pStyle w:val="TableParagraph"/>
              <w:spacing w:before="19"/>
              <w:ind w:left="14"/>
              <w:jc w:val="left"/>
              <w:rPr>
                <w:i/>
                <w:sz w:val="20"/>
              </w:rPr>
            </w:pPr>
            <w:r>
              <w:rPr>
                <w:i/>
                <w:spacing w:val="-2"/>
                <w:sz w:val="20"/>
              </w:rPr>
              <w:t>Bangladesh/Myanmar</w:t>
            </w:r>
          </w:p>
        </w:tc>
        <w:tc>
          <w:tcPr>
            <w:tcW w:w="1107" w:type="dxa"/>
            <w:tcBorders>
              <w:top w:val="single" w:sz="4" w:space="0" w:color="000000"/>
              <w:bottom w:val="single" w:sz="4" w:space="0" w:color="000000"/>
            </w:tcBorders>
          </w:tcPr>
          <w:p>
            <w:pPr>
              <w:pStyle w:val="TableParagraph"/>
              <w:jc w:val="left"/>
              <w:rPr>
                <w:sz w:val="20"/>
              </w:rPr>
            </w:pPr>
          </w:p>
        </w:tc>
        <w:tc>
          <w:tcPr>
            <w:tcW w:w="698" w:type="dxa"/>
            <w:tcBorders>
              <w:top w:val="single" w:sz="4" w:space="0" w:color="000000"/>
              <w:bottom w:val="single" w:sz="4" w:space="0" w:color="000000"/>
            </w:tcBorders>
          </w:tcPr>
          <w:p>
            <w:pPr>
              <w:pStyle w:val="TableParagraph"/>
              <w:jc w:val="left"/>
              <w:rPr>
                <w:sz w:val="20"/>
              </w:rPr>
            </w:pPr>
          </w:p>
        </w:tc>
        <w:tc>
          <w:tcPr>
            <w:tcW w:w="1019" w:type="dxa"/>
            <w:tcBorders>
              <w:top w:val="single" w:sz="4" w:space="0" w:color="000000"/>
              <w:bottom w:val="single" w:sz="4" w:space="0" w:color="000000"/>
            </w:tcBorders>
          </w:tcPr>
          <w:p>
            <w:pPr>
              <w:pStyle w:val="TableParagraph"/>
              <w:jc w:val="left"/>
              <w:rPr>
                <w:sz w:val="20"/>
              </w:rPr>
            </w:pPr>
          </w:p>
        </w:tc>
        <w:tc>
          <w:tcPr>
            <w:tcW w:w="1027" w:type="dxa"/>
            <w:tcBorders>
              <w:top w:val="single" w:sz="4" w:space="0" w:color="000000"/>
              <w:bottom w:val="single" w:sz="4" w:space="0" w:color="000000"/>
            </w:tcBorders>
          </w:tcPr>
          <w:p>
            <w:pPr>
              <w:pStyle w:val="TableParagraph"/>
              <w:jc w:val="left"/>
              <w:rPr>
                <w:sz w:val="20"/>
              </w:rPr>
            </w:pPr>
          </w:p>
        </w:tc>
        <w:tc>
          <w:tcPr>
            <w:tcW w:w="994" w:type="dxa"/>
            <w:tcBorders>
              <w:top w:val="single" w:sz="4" w:space="0" w:color="000000"/>
              <w:bottom w:val="single" w:sz="4" w:space="0" w:color="000000"/>
            </w:tcBorders>
          </w:tcPr>
          <w:p>
            <w:pPr>
              <w:pStyle w:val="TableParagraph"/>
              <w:jc w:val="left"/>
              <w:rPr>
                <w:sz w:val="20"/>
              </w:rPr>
            </w:pPr>
          </w:p>
        </w:tc>
      </w:tr>
      <w:tr>
        <w:trPr>
          <w:trHeight w:val="272" w:hRule="atLeast"/>
        </w:trPr>
        <w:tc>
          <w:tcPr>
            <w:tcW w:w="2545" w:type="dxa"/>
            <w:tcBorders>
              <w:top w:val="single" w:sz="4" w:space="0" w:color="000000"/>
            </w:tcBorders>
          </w:tcPr>
          <w:p>
            <w:pPr>
              <w:pStyle w:val="TableParagraph"/>
              <w:spacing w:before="19"/>
              <w:ind w:left="14"/>
              <w:jc w:val="left"/>
              <w:rPr>
                <w:sz w:val="20"/>
              </w:rPr>
            </w:pPr>
            <w:r>
              <w:rPr>
                <w:sz w:val="20"/>
              </w:rPr>
              <w:t>Associate</w:t>
            </w:r>
            <w:r>
              <w:rPr>
                <w:spacing w:val="-7"/>
                <w:sz w:val="20"/>
              </w:rPr>
              <w:t> </w:t>
            </w:r>
            <w:r>
              <w:rPr>
                <w:sz w:val="20"/>
              </w:rPr>
              <w:t>Country</w:t>
            </w:r>
            <w:r>
              <w:rPr>
                <w:spacing w:val="-7"/>
                <w:sz w:val="20"/>
              </w:rPr>
              <w:t> </w:t>
            </w:r>
            <w:r>
              <w:rPr>
                <w:spacing w:val="-2"/>
                <w:sz w:val="20"/>
              </w:rPr>
              <w:t>Expert</w:t>
            </w:r>
          </w:p>
        </w:tc>
        <w:tc>
          <w:tcPr>
            <w:tcW w:w="1107" w:type="dxa"/>
            <w:tcBorders>
              <w:top w:val="single" w:sz="4" w:space="0" w:color="000000"/>
            </w:tcBorders>
          </w:tcPr>
          <w:p>
            <w:pPr>
              <w:pStyle w:val="TableParagraph"/>
              <w:spacing w:before="19"/>
              <w:ind w:left="465"/>
              <w:jc w:val="left"/>
              <w:rPr>
                <w:sz w:val="20"/>
              </w:rPr>
            </w:pPr>
            <w:r>
              <w:rPr>
                <w:spacing w:val="-2"/>
                <w:sz w:val="20"/>
              </w:rPr>
              <w:t>P-</w:t>
            </w:r>
            <w:r>
              <w:rPr>
                <w:spacing w:val="-10"/>
                <w:sz w:val="20"/>
              </w:rPr>
              <w:t>2</w:t>
            </w:r>
          </w:p>
        </w:tc>
        <w:tc>
          <w:tcPr>
            <w:tcW w:w="698" w:type="dxa"/>
            <w:tcBorders>
              <w:top w:val="single" w:sz="4" w:space="0" w:color="000000"/>
            </w:tcBorders>
          </w:tcPr>
          <w:p>
            <w:pPr>
              <w:pStyle w:val="TableParagraph"/>
              <w:spacing w:before="19"/>
              <w:ind w:right="-15"/>
              <w:rPr>
                <w:sz w:val="20"/>
              </w:rPr>
            </w:pPr>
            <w:r>
              <w:rPr>
                <w:w w:val="100"/>
                <w:sz w:val="20"/>
              </w:rPr>
              <w:t>1</w:t>
            </w:r>
          </w:p>
        </w:tc>
        <w:tc>
          <w:tcPr>
            <w:tcW w:w="1019" w:type="dxa"/>
            <w:tcBorders>
              <w:top w:val="single" w:sz="4" w:space="0" w:color="000000"/>
            </w:tcBorders>
          </w:tcPr>
          <w:p>
            <w:pPr>
              <w:pStyle w:val="TableParagraph"/>
              <w:spacing w:before="19"/>
              <w:ind w:right="416"/>
              <w:rPr>
                <w:sz w:val="20"/>
              </w:rPr>
            </w:pPr>
            <w:r>
              <w:rPr>
                <w:w w:val="100"/>
                <w:sz w:val="20"/>
              </w:rPr>
              <w:t>9</w:t>
            </w:r>
          </w:p>
        </w:tc>
        <w:tc>
          <w:tcPr>
            <w:tcW w:w="1027" w:type="dxa"/>
            <w:tcBorders>
              <w:top w:val="single" w:sz="4" w:space="0" w:color="000000"/>
            </w:tcBorders>
          </w:tcPr>
          <w:p>
            <w:pPr>
              <w:pStyle w:val="TableParagraph"/>
              <w:spacing w:before="19"/>
              <w:ind w:right="156"/>
              <w:rPr>
                <w:sz w:val="20"/>
              </w:rPr>
            </w:pPr>
            <w:r>
              <w:rPr>
                <w:spacing w:val="-4"/>
                <w:sz w:val="20"/>
              </w:rPr>
              <w:t>0.75</w:t>
            </w:r>
          </w:p>
        </w:tc>
        <w:tc>
          <w:tcPr>
            <w:tcW w:w="994" w:type="dxa"/>
            <w:tcBorders>
              <w:top w:val="single" w:sz="4" w:space="0" w:color="000000"/>
            </w:tcBorders>
          </w:tcPr>
          <w:p>
            <w:pPr>
              <w:pStyle w:val="TableParagraph"/>
              <w:spacing w:before="19"/>
              <w:ind w:right="-15"/>
              <w:rPr>
                <w:sz w:val="20"/>
              </w:rPr>
            </w:pPr>
            <w:r>
              <w:rPr>
                <w:spacing w:val="-5"/>
                <w:sz w:val="20"/>
              </w:rPr>
              <w:t>New</w:t>
            </w:r>
          </w:p>
        </w:tc>
      </w:tr>
      <w:tr>
        <w:trPr>
          <w:trHeight w:val="264" w:hRule="atLeast"/>
        </w:trPr>
        <w:tc>
          <w:tcPr>
            <w:tcW w:w="2545" w:type="dxa"/>
            <w:tcBorders>
              <w:bottom w:val="single" w:sz="4" w:space="0" w:color="000000"/>
            </w:tcBorders>
          </w:tcPr>
          <w:p>
            <w:pPr>
              <w:pStyle w:val="TableParagraph"/>
              <w:spacing w:line="229" w:lineRule="exact" w:before="15"/>
              <w:ind w:left="14"/>
              <w:jc w:val="left"/>
              <w:rPr>
                <w:sz w:val="20"/>
              </w:rPr>
            </w:pPr>
            <w:r>
              <w:rPr>
                <w:spacing w:val="-2"/>
                <w:sz w:val="20"/>
              </w:rPr>
              <w:t>Administrative</w:t>
            </w:r>
            <w:r>
              <w:rPr>
                <w:spacing w:val="15"/>
                <w:sz w:val="20"/>
              </w:rPr>
              <w:t> </w:t>
            </w:r>
            <w:r>
              <w:rPr>
                <w:spacing w:val="-2"/>
                <w:sz w:val="20"/>
              </w:rPr>
              <w:t>Assistant</w:t>
            </w:r>
          </w:p>
        </w:tc>
        <w:tc>
          <w:tcPr>
            <w:tcW w:w="1107" w:type="dxa"/>
            <w:tcBorders>
              <w:bottom w:val="single" w:sz="4" w:space="0" w:color="000000"/>
            </w:tcBorders>
          </w:tcPr>
          <w:p>
            <w:pPr>
              <w:pStyle w:val="TableParagraph"/>
              <w:spacing w:line="229" w:lineRule="exact" w:before="15"/>
              <w:ind w:left="465"/>
              <w:jc w:val="left"/>
              <w:rPr>
                <w:sz w:val="20"/>
              </w:rPr>
            </w:pPr>
            <w:r>
              <w:rPr>
                <w:spacing w:val="-2"/>
                <w:sz w:val="20"/>
              </w:rPr>
              <w:t>GS-</w:t>
            </w:r>
            <w:r>
              <w:rPr>
                <w:spacing w:val="-7"/>
                <w:sz w:val="20"/>
              </w:rPr>
              <w:t>OL</w:t>
            </w:r>
          </w:p>
        </w:tc>
        <w:tc>
          <w:tcPr>
            <w:tcW w:w="698" w:type="dxa"/>
            <w:tcBorders>
              <w:bottom w:val="single" w:sz="4" w:space="0" w:color="000000"/>
            </w:tcBorders>
          </w:tcPr>
          <w:p>
            <w:pPr>
              <w:pStyle w:val="TableParagraph"/>
              <w:spacing w:line="229" w:lineRule="exact" w:before="15"/>
              <w:ind w:right="-15"/>
              <w:rPr>
                <w:sz w:val="20"/>
              </w:rPr>
            </w:pPr>
            <w:r>
              <w:rPr>
                <w:w w:val="100"/>
                <w:sz w:val="20"/>
              </w:rPr>
              <w:t>1</w:t>
            </w:r>
          </w:p>
        </w:tc>
        <w:tc>
          <w:tcPr>
            <w:tcW w:w="1019" w:type="dxa"/>
            <w:tcBorders>
              <w:bottom w:val="single" w:sz="4" w:space="0" w:color="000000"/>
            </w:tcBorders>
          </w:tcPr>
          <w:p>
            <w:pPr>
              <w:pStyle w:val="TableParagraph"/>
              <w:spacing w:line="229" w:lineRule="exact" w:before="15"/>
              <w:ind w:right="416"/>
              <w:rPr>
                <w:sz w:val="20"/>
              </w:rPr>
            </w:pPr>
            <w:r>
              <w:rPr>
                <w:w w:val="100"/>
                <w:sz w:val="20"/>
              </w:rPr>
              <w:t>9</w:t>
            </w:r>
          </w:p>
        </w:tc>
        <w:tc>
          <w:tcPr>
            <w:tcW w:w="1027" w:type="dxa"/>
            <w:tcBorders>
              <w:bottom w:val="single" w:sz="4" w:space="0" w:color="000000"/>
            </w:tcBorders>
          </w:tcPr>
          <w:p>
            <w:pPr>
              <w:pStyle w:val="TableParagraph"/>
              <w:spacing w:line="229" w:lineRule="exact" w:before="15"/>
              <w:ind w:right="156"/>
              <w:rPr>
                <w:sz w:val="20"/>
              </w:rPr>
            </w:pPr>
            <w:r>
              <w:rPr>
                <w:spacing w:val="-4"/>
                <w:sz w:val="20"/>
              </w:rPr>
              <w:t>0.75</w:t>
            </w:r>
          </w:p>
        </w:tc>
        <w:tc>
          <w:tcPr>
            <w:tcW w:w="994" w:type="dxa"/>
            <w:tcBorders>
              <w:bottom w:val="single" w:sz="4" w:space="0" w:color="000000"/>
            </w:tcBorders>
          </w:tcPr>
          <w:p>
            <w:pPr>
              <w:pStyle w:val="TableParagraph"/>
              <w:spacing w:line="229" w:lineRule="exact" w:before="15"/>
              <w:ind w:right="-15"/>
              <w:rPr>
                <w:sz w:val="20"/>
              </w:rPr>
            </w:pPr>
            <w:r>
              <w:rPr>
                <w:spacing w:val="-5"/>
                <w:sz w:val="20"/>
              </w:rPr>
              <w:t>New</w:t>
            </w:r>
          </w:p>
        </w:tc>
      </w:tr>
      <w:tr>
        <w:trPr>
          <w:trHeight w:val="273" w:hRule="atLeast"/>
        </w:trPr>
        <w:tc>
          <w:tcPr>
            <w:tcW w:w="2545" w:type="dxa"/>
            <w:tcBorders>
              <w:top w:val="single" w:sz="4" w:space="0" w:color="000000"/>
              <w:bottom w:val="single" w:sz="4" w:space="0" w:color="000000"/>
            </w:tcBorders>
          </w:tcPr>
          <w:p>
            <w:pPr>
              <w:pStyle w:val="TableParagraph"/>
              <w:jc w:val="left"/>
              <w:rPr>
                <w:sz w:val="20"/>
              </w:rPr>
            </w:pPr>
          </w:p>
        </w:tc>
        <w:tc>
          <w:tcPr>
            <w:tcW w:w="1107" w:type="dxa"/>
            <w:tcBorders>
              <w:top w:val="single" w:sz="4" w:space="0" w:color="000000"/>
              <w:bottom w:val="single" w:sz="4" w:space="0" w:color="000000"/>
            </w:tcBorders>
          </w:tcPr>
          <w:p>
            <w:pPr>
              <w:pStyle w:val="TableParagraph"/>
              <w:jc w:val="left"/>
              <w:rPr>
                <w:sz w:val="20"/>
              </w:rPr>
            </w:pPr>
          </w:p>
        </w:tc>
        <w:tc>
          <w:tcPr>
            <w:tcW w:w="698" w:type="dxa"/>
            <w:tcBorders>
              <w:top w:val="single" w:sz="4" w:space="0" w:color="000000"/>
              <w:bottom w:val="single" w:sz="4" w:space="0" w:color="000000"/>
            </w:tcBorders>
          </w:tcPr>
          <w:p>
            <w:pPr>
              <w:pStyle w:val="TableParagraph"/>
              <w:spacing w:before="19"/>
              <w:ind w:right="-15"/>
              <w:rPr>
                <w:b/>
                <w:sz w:val="20"/>
              </w:rPr>
            </w:pPr>
            <w:r>
              <w:rPr>
                <w:b/>
                <w:w w:val="100"/>
                <w:sz w:val="20"/>
              </w:rPr>
              <w:t>2</w:t>
            </w:r>
          </w:p>
        </w:tc>
        <w:tc>
          <w:tcPr>
            <w:tcW w:w="1019" w:type="dxa"/>
            <w:tcBorders>
              <w:top w:val="single" w:sz="4" w:space="0" w:color="000000"/>
              <w:bottom w:val="single" w:sz="4" w:space="0" w:color="000000"/>
            </w:tcBorders>
          </w:tcPr>
          <w:p>
            <w:pPr>
              <w:pStyle w:val="TableParagraph"/>
              <w:spacing w:before="19"/>
              <w:ind w:right="416"/>
              <w:rPr>
                <w:b/>
                <w:sz w:val="20"/>
              </w:rPr>
            </w:pPr>
            <w:r>
              <w:rPr>
                <w:b/>
                <w:spacing w:val="-5"/>
                <w:sz w:val="20"/>
              </w:rPr>
              <w:t>18</w:t>
            </w:r>
          </w:p>
        </w:tc>
        <w:tc>
          <w:tcPr>
            <w:tcW w:w="1027" w:type="dxa"/>
            <w:tcBorders>
              <w:top w:val="single" w:sz="4" w:space="0" w:color="000000"/>
              <w:bottom w:val="single" w:sz="4" w:space="0" w:color="000000"/>
            </w:tcBorders>
          </w:tcPr>
          <w:p>
            <w:pPr>
              <w:pStyle w:val="TableParagraph"/>
              <w:spacing w:before="19"/>
              <w:ind w:right="156"/>
              <w:rPr>
                <w:b/>
                <w:sz w:val="20"/>
              </w:rPr>
            </w:pPr>
            <w:r>
              <w:rPr>
                <w:b/>
                <w:spacing w:val="-4"/>
                <w:sz w:val="20"/>
              </w:rPr>
              <w:t>1.50</w:t>
            </w:r>
          </w:p>
        </w:tc>
        <w:tc>
          <w:tcPr>
            <w:tcW w:w="994" w:type="dxa"/>
            <w:tcBorders>
              <w:top w:val="single" w:sz="4" w:space="0" w:color="000000"/>
              <w:bottom w:val="single" w:sz="4" w:space="0" w:color="000000"/>
            </w:tcBorders>
          </w:tcPr>
          <w:p>
            <w:pPr>
              <w:pStyle w:val="TableParagraph"/>
              <w:jc w:val="left"/>
              <w:rPr>
                <w:sz w:val="20"/>
              </w:rPr>
            </w:pPr>
          </w:p>
        </w:tc>
      </w:tr>
      <w:tr>
        <w:trPr>
          <w:trHeight w:val="268" w:hRule="atLeast"/>
        </w:trPr>
        <w:tc>
          <w:tcPr>
            <w:tcW w:w="2545" w:type="dxa"/>
            <w:tcBorders>
              <w:top w:val="single" w:sz="4" w:space="0" w:color="000000"/>
              <w:bottom w:val="single" w:sz="4" w:space="0" w:color="000000"/>
            </w:tcBorders>
          </w:tcPr>
          <w:p>
            <w:pPr>
              <w:pStyle w:val="TableParagraph"/>
              <w:spacing w:line="229" w:lineRule="exact" w:before="19"/>
              <w:ind w:left="14"/>
              <w:jc w:val="left"/>
              <w:rPr>
                <w:b/>
                <w:sz w:val="20"/>
              </w:rPr>
            </w:pPr>
            <w:r>
              <w:rPr>
                <w:b/>
                <w:spacing w:val="-2"/>
                <w:sz w:val="20"/>
              </w:rPr>
              <w:t>Total</w:t>
            </w:r>
          </w:p>
        </w:tc>
        <w:tc>
          <w:tcPr>
            <w:tcW w:w="1107" w:type="dxa"/>
            <w:tcBorders>
              <w:top w:val="single" w:sz="4" w:space="0" w:color="000000"/>
              <w:bottom w:val="single" w:sz="4" w:space="0" w:color="000000"/>
            </w:tcBorders>
          </w:tcPr>
          <w:p>
            <w:pPr>
              <w:pStyle w:val="TableParagraph"/>
              <w:jc w:val="left"/>
              <w:rPr>
                <w:sz w:val="18"/>
              </w:rPr>
            </w:pPr>
          </w:p>
        </w:tc>
        <w:tc>
          <w:tcPr>
            <w:tcW w:w="698" w:type="dxa"/>
            <w:tcBorders>
              <w:top w:val="single" w:sz="4" w:space="0" w:color="000000"/>
              <w:bottom w:val="single" w:sz="4" w:space="0" w:color="000000"/>
            </w:tcBorders>
          </w:tcPr>
          <w:p>
            <w:pPr>
              <w:pStyle w:val="TableParagraph"/>
              <w:spacing w:line="229" w:lineRule="exact" w:before="19"/>
              <w:ind w:right="-15"/>
              <w:rPr>
                <w:b/>
                <w:sz w:val="20"/>
              </w:rPr>
            </w:pPr>
            <w:r>
              <w:rPr>
                <w:b/>
                <w:spacing w:val="-5"/>
                <w:sz w:val="20"/>
              </w:rPr>
              <w:t>42</w:t>
            </w:r>
          </w:p>
        </w:tc>
        <w:tc>
          <w:tcPr>
            <w:tcW w:w="1019" w:type="dxa"/>
            <w:tcBorders>
              <w:top w:val="single" w:sz="4" w:space="0" w:color="000000"/>
              <w:bottom w:val="single" w:sz="4" w:space="0" w:color="000000"/>
            </w:tcBorders>
          </w:tcPr>
          <w:p>
            <w:pPr>
              <w:pStyle w:val="TableParagraph"/>
              <w:spacing w:line="229" w:lineRule="exact" w:before="19"/>
              <w:ind w:right="411"/>
              <w:rPr>
                <w:b/>
                <w:sz w:val="20"/>
              </w:rPr>
            </w:pPr>
            <w:r>
              <w:rPr>
                <w:b/>
                <w:spacing w:val="-5"/>
                <w:sz w:val="20"/>
              </w:rPr>
              <w:t>468</w:t>
            </w:r>
          </w:p>
        </w:tc>
        <w:tc>
          <w:tcPr>
            <w:tcW w:w="1027" w:type="dxa"/>
            <w:tcBorders>
              <w:top w:val="single" w:sz="4" w:space="0" w:color="000000"/>
              <w:bottom w:val="single" w:sz="4" w:space="0" w:color="000000"/>
            </w:tcBorders>
          </w:tcPr>
          <w:p>
            <w:pPr>
              <w:pStyle w:val="TableParagraph"/>
              <w:spacing w:line="229" w:lineRule="exact" w:before="19"/>
              <w:ind w:right="156"/>
              <w:rPr>
                <w:b/>
                <w:sz w:val="20"/>
              </w:rPr>
            </w:pPr>
            <w:r>
              <w:rPr>
                <w:b/>
                <w:spacing w:val="-2"/>
                <w:sz w:val="20"/>
              </w:rPr>
              <w:t>39.00</w:t>
            </w:r>
          </w:p>
        </w:tc>
        <w:tc>
          <w:tcPr>
            <w:tcW w:w="994" w:type="dxa"/>
            <w:tcBorders>
              <w:top w:val="single" w:sz="4" w:space="0" w:color="000000"/>
              <w:bottom w:val="single" w:sz="4" w:space="0" w:color="000000"/>
            </w:tcBorders>
          </w:tcPr>
          <w:p>
            <w:pPr>
              <w:pStyle w:val="TableParagraph"/>
              <w:jc w:val="left"/>
              <w:rPr>
                <w:sz w:val="18"/>
              </w:rPr>
            </w:pPr>
          </w:p>
        </w:tc>
      </w:tr>
    </w:tbl>
    <w:p>
      <w:pPr>
        <w:pStyle w:val="ListParagraph"/>
        <w:numPr>
          <w:ilvl w:val="0"/>
          <w:numId w:val="4"/>
        </w:numPr>
        <w:tabs>
          <w:tab w:pos="2967" w:val="left" w:leader="none"/>
        </w:tabs>
        <w:spacing w:line="240" w:lineRule="auto" w:before="128" w:after="0"/>
        <w:ind w:left="2246" w:right="2239" w:firstLine="0"/>
        <w:jc w:val="both"/>
        <w:rPr>
          <w:sz w:val="20"/>
        </w:rPr>
      </w:pPr>
      <w:r>
        <w:rPr>
          <w:sz w:val="20"/>
        </w:rPr>
        <w:t>As</w:t>
      </w:r>
      <w:r>
        <w:rPr>
          <w:spacing w:val="-6"/>
          <w:sz w:val="20"/>
        </w:rPr>
        <w:t> </w:t>
      </w:r>
      <w:r>
        <w:rPr>
          <w:sz w:val="20"/>
        </w:rPr>
        <w:t>elected</w:t>
      </w:r>
      <w:r>
        <w:rPr>
          <w:spacing w:val="-8"/>
          <w:sz w:val="20"/>
        </w:rPr>
        <w:t> </w:t>
      </w:r>
      <w:r>
        <w:rPr>
          <w:sz w:val="20"/>
        </w:rPr>
        <w:t>and</w:t>
      </w:r>
      <w:r>
        <w:rPr>
          <w:spacing w:val="-8"/>
          <w:sz w:val="20"/>
        </w:rPr>
        <w:t> </w:t>
      </w:r>
      <w:r>
        <w:rPr>
          <w:sz w:val="20"/>
        </w:rPr>
        <w:t>senior</w:t>
      </w:r>
      <w:r>
        <w:rPr>
          <w:spacing w:val="-6"/>
          <w:sz w:val="20"/>
        </w:rPr>
        <w:t> </w:t>
      </w:r>
      <w:r>
        <w:rPr>
          <w:sz w:val="20"/>
        </w:rPr>
        <w:t>members</w:t>
      </w:r>
      <w:r>
        <w:rPr>
          <w:spacing w:val="-6"/>
          <w:sz w:val="20"/>
        </w:rPr>
        <w:t> </w:t>
      </w:r>
      <w:r>
        <w:rPr>
          <w:sz w:val="20"/>
        </w:rPr>
        <w:t>of</w:t>
      </w:r>
      <w:r>
        <w:rPr>
          <w:spacing w:val="-8"/>
          <w:sz w:val="20"/>
        </w:rPr>
        <w:t> </w:t>
      </w:r>
      <w:r>
        <w:rPr>
          <w:sz w:val="20"/>
        </w:rPr>
        <w:t>the</w:t>
      </w:r>
      <w:r>
        <w:rPr>
          <w:spacing w:val="-3"/>
          <w:sz w:val="20"/>
        </w:rPr>
        <w:t> </w:t>
      </w:r>
      <w:r>
        <w:rPr>
          <w:sz w:val="20"/>
        </w:rPr>
        <w:t>Court,</w:t>
      </w:r>
      <w:r>
        <w:rPr>
          <w:spacing w:val="-2"/>
          <w:sz w:val="20"/>
        </w:rPr>
        <w:t> </w:t>
      </w:r>
      <w:r>
        <w:rPr>
          <w:sz w:val="20"/>
        </w:rPr>
        <w:t>the</w:t>
      </w:r>
      <w:r>
        <w:rPr>
          <w:spacing w:val="-3"/>
          <w:sz w:val="20"/>
        </w:rPr>
        <w:t> </w:t>
      </w:r>
      <w:r>
        <w:rPr>
          <w:sz w:val="20"/>
        </w:rPr>
        <w:t>Deputy</w:t>
      </w:r>
      <w:r>
        <w:rPr>
          <w:spacing w:val="-5"/>
          <w:sz w:val="20"/>
        </w:rPr>
        <w:t> </w:t>
      </w:r>
      <w:r>
        <w:rPr>
          <w:sz w:val="20"/>
        </w:rPr>
        <w:t>Prosecutors</w:t>
      </w:r>
      <w:r>
        <w:rPr>
          <w:spacing w:val="-10"/>
          <w:sz w:val="20"/>
        </w:rPr>
        <w:t> </w:t>
      </w:r>
      <w:r>
        <w:rPr>
          <w:sz w:val="20"/>
        </w:rPr>
        <w:t>are</w:t>
      </w:r>
      <w:r>
        <w:rPr>
          <w:spacing w:val="-7"/>
          <w:sz w:val="20"/>
        </w:rPr>
        <w:t> </w:t>
      </w:r>
      <w:r>
        <w:rPr>
          <w:sz w:val="20"/>
        </w:rPr>
        <w:t>required</w:t>
      </w:r>
      <w:r>
        <w:rPr>
          <w:spacing w:val="-8"/>
          <w:sz w:val="20"/>
        </w:rPr>
        <w:t> </w:t>
      </w:r>
      <w:r>
        <w:rPr>
          <w:sz w:val="20"/>
        </w:rPr>
        <w:t>to undertake</w:t>
      </w:r>
      <w:r>
        <w:rPr>
          <w:spacing w:val="-13"/>
          <w:sz w:val="20"/>
        </w:rPr>
        <w:t> </w:t>
      </w:r>
      <w:r>
        <w:rPr>
          <w:sz w:val="20"/>
        </w:rPr>
        <w:t>a</w:t>
      </w:r>
      <w:r>
        <w:rPr>
          <w:spacing w:val="-7"/>
          <w:sz w:val="20"/>
        </w:rPr>
        <w:t> </w:t>
      </w:r>
      <w:r>
        <w:rPr>
          <w:sz w:val="20"/>
        </w:rPr>
        <w:t>range</w:t>
      </w:r>
      <w:r>
        <w:rPr>
          <w:spacing w:val="-11"/>
          <w:sz w:val="20"/>
        </w:rPr>
        <w:t> </w:t>
      </w:r>
      <w:r>
        <w:rPr>
          <w:sz w:val="20"/>
        </w:rPr>
        <w:t>of</w:t>
      </w:r>
      <w:r>
        <w:rPr>
          <w:spacing w:val="-13"/>
          <w:sz w:val="20"/>
        </w:rPr>
        <w:t> </w:t>
      </w:r>
      <w:r>
        <w:rPr>
          <w:sz w:val="20"/>
        </w:rPr>
        <w:t>activities</w:t>
      </w:r>
      <w:r>
        <w:rPr>
          <w:spacing w:val="-12"/>
          <w:sz w:val="20"/>
        </w:rPr>
        <w:t> </w:t>
      </w:r>
      <w:r>
        <w:rPr>
          <w:sz w:val="20"/>
        </w:rPr>
        <w:t>that</w:t>
      </w:r>
      <w:r>
        <w:rPr>
          <w:spacing w:val="-7"/>
          <w:sz w:val="20"/>
        </w:rPr>
        <w:t> </w:t>
      </w:r>
      <w:r>
        <w:rPr>
          <w:sz w:val="20"/>
        </w:rPr>
        <w:t>require</w:t>
      </w:r>
      <w:r>
        <w:rPr>
          <w:spacing w:val="-12"/>
          <w:sz w:val="20"/>
        </w:rPr>
        <w:t> </w:t>
      </w:r>
      <w:r>
        <w:rPr>
          <w:sz w:val="20"/>
        </w:rPr>
        <w:t>executive</w:t>
      </w:r>
      <w:r>
        <w:rPr>
          <w:spacing w:val="-7"/>
          <w:sz w:val="20"/>
        </w:rPr>
        <w:t> </w:t>
      </w:r>
      <w:r>
        <w:rPr>
          <w:sz w:val="20"/>
        </w:rPr>
        <w:t>support</w:t>
      </w:r>
      <w:r>
        <w:rPr>
          <w:spacing w:val="-12"/>
          <w:sz w:val="20"/>
        </w:rPr>
        <w:t> </w:t>
      </w:r>
      <w:r>
        <w:rPr>
          <w:sz w:val="20"/>
        </w:rPr>
        <w:t>through</w:t>
      </w:r>
      <w:r>
        <w:rPr>
          <w:spacing w:val="-13"/>
          <w:sz w:val="20"/>
        </w:rPr>
        <w:t> </w:t>
      </w:r>
      <w:r>
        <w:rPr>
          <w:sz w:val="20"/>
        </w:rPr>
        <w:t>their</w:t>
      </w:r>
      <w:r>
        <w:rPr>
          <w:spacing w:val="-12"/>
          <w:sz w:val="20"/>
        </w:rPr>
        <w:t> </w:t>
      </w:r>
      <w:r>
        <w:rPr>
          <w:sz w:val="20"/>
        </w:rPr>
        <w:t>immediate</w:t>
      </w:r>
      <w:r>
        <w:rPr>
          <w:spacing w:val="-11"/>
          <w:sz w:val="20"/>
        </w:rPr>
        <w:t> </w:t>
      </w:r>
      <w:r>
        <w:rPr>
          <w:sz w:val="20"/>
        </w:rPr>
        <w:t>offices. The workload of these immediate offices has become increasingly burdensome, reflecting the overall increase in activities of the Office and the significant acceleration in the number of requests for engagement and cooperation received from States Parties and other partner entities. Additional</w:t>
      </w:r>
      <w:r>
        <w:rPr>
          <w:spacing w:val="-2"/>
          <w:sz w:val="20"/>
        </w:rPr>
        <w:t> </w:t>
      </w:r>
      <w:r>
        <w:rPr>
          <w:sz w:val="20"/>
        </w:rPr>
        <w:t>support</w:t>
      </w:r>
      <w:r>
        <w:rPr>
          <w:spacing w:val="-7"/>
          <w:sz w:val="20"/>
        </w:rPr>
        <w:t> </w:t>
      </w:r>
      <w:r>
        <w:rPr>
          <w:sz w:val="20"/>
        </w:rPr>
        <w:t>is</w:t>
      </w:r>
      <w:r>
        <w:rPr>
          <w:spacing w:val="-5"/>
          <w:sz w:val="20"/>
        </w:rPr>
        <w:t> </w:t>
      </w:r>
      <w:r>
        <w:rPr>
          <w:sz w:val="20"/>
        </w:rPr>
        <w:t>therefore</w:t>
      </w:r>
      <w:r>
        <w:rPr>
          <w:spacing w:val="-2"/>
          <w:sz w:val="20"/>
        </w:rPr>
        <w:t> </w:t>
      </w:r>
      <w:r>
        <w:rPr>
          <w:sz w:val="20"/>
        </w:rPr>
        <w:t>needed</w:t>
      </w:r>
      <w:r>
        <w:rPr>
          <w:spacing w:val="-8"/>
          <w:sz w:val="20"/>
        </w:rPr>
        <w:t> </w:t>
      </w:r>
      <w:r>
        <w:rPr>
          <w:sz w:val="20"/>
        </w:rPr>
        <w:t>to</w:t>
      </w:r>
      <w:r>
        <w:rPr>
          <w:spacing w:val="-4"/>
          <w:sz w:val="20"/>
        </w:rPr>
        <w:t> </w:t>
      </w:r>
      <w:r>
        <w:rPr>
          <w:sz w:val="20"/>
        </w:rPr>
        <w:t>address</w:t>
      </w:r>
      <w:r>
        <w:rPr>
          <w:spacing w:val="-5"/>
          <w:sz w:val="20"/>
        </w:rPr>
        <w:t> </w:t>
      </w:r>
      <w:r>
        <w:rPr>
          <w:sz w:val="20"/>
        </w:rPr>
        <w:t>the</w:t>
      </w:r>
      <w:r>
        <w:rPr>
          <w:spacing w:val="-2"/>
          <w:sz w:val="20"/>
        </w:rPr>
        <w:t> </w:t>
      </w:r>
      <w:r>
        <w:rPr>
          <w:sz w:val="20"/>
        </w:rPr>
        <w:t>identified</w:t>
      </w:r>
      <w:r>
        <w:rPr>
          <w:spacing w:val="-8"/>
          <w:sz w:val="20"/>
        </w:rPr>
        <w:t> </w:t>
      </w:r>
      <w:r>
        <w:rPr>
          <w:sz w:val="20"/>
        </w:rPr>
        <w:t>needs</w:t>
      </w:r>
      <w:r>
        <w:rPr>
          <w:spacing w:val="-5"/>
          <w:sz w:val="20"/>
        </w:rPr>
        <w:t> </w:t>
      </w:r>
      <w:r>
        <w:rPr>
          <w:sz w:val="20"/>
        </w:rPr>
        <w:t>of</w:t>
      </w:r>
      <w:r>
        <w:rPr>
          <w:spacing w:val="-4"/>
          <w:sz w:val="20"/>
        </w:rPr>
        <w:t> </w:t>
      </w:r>
      <w:r>
        <w:rPr>
          <w:sz w:val="20"/>
        </w:rPr>
        <w:t>front</w:t>
      </w:r>
      <w:r>
        <w:rPr>
          <w:spacing w:val="-2"/>
          <w:sz w:val="20"/>
        </w:rPr>
        <w:t> </w:t>
      </w:r>
      <w:r>
        <w:rPr>
          <w:sz w:val="20"/>
        </w:rPr>
        <w:t>office under this pillar, including with respect to: diplomatic outreach and meetings with multiple external actors, including preparation of notes, speaking notes for events, and follow-up communications;</w:t>
      </w:r>
      <w:r>
        <w:rPr>
          <w:spacing w:val="-1"/>
          <w:sz w:val="20"/>
        </w:rPr>
        <w:t> </w:t>
      </w:r>
      <w:r>
        <w:rPr>
          <w:sz w:val="20"/>
        </w:rPr>
        <w:t>close supervision and oversight of</w:t>
      </w:r>
      <w:r>
        <w:rPr>
          <w:spacing w:val="-3"/>
          <w:sz w:val="20"/>
        </w:rPr>
        <w:t> </w:t>
      </w:r>
      <w:r>
        <w:rPr>
          <w:sz w:val="20"/>
        </w:rPr>
        <w:t>teams</w:t>
      </w:r>
      <w:r>
        <w:rPr>
          <w:spacing w:val="-4"/>
          <w:sz w:val="20"/>
        </w:rPr>
        <w:t> </w:t>
      </w:r>
      <w:r>
        <w:rPr>
          <w:sz w:val="20"/>
        </w:rPr>
        <w:t>and their</w:t>
      </w:r>
      <w:r>
        <w:rPr>
          <w:spacing w:val="-3"/>
          <w:sz w:val="20"/>
        </w:rPr>
        <w:t> </w:t>
      </w:r>
      <w:r>
        <w:rPr>
          <w:sz w:val="20"/>
        </w:rPr>
        <w:t>missions and</w:t>
      </w:r>
      <w:r>
        <w:rPr>
          <w:spacing w:val="-3"/>
          <w:sz w:val="20"/>
        </w:rPr>
        <w:t> </w:t>
      </w:r>
      <w:r>
        <w:rPr>
          <w:sz w:val="20"/>
        </w:rPr>
        <w:t>plans;</w:t>
      </w:r>
      <w:r>
        <w:rPr>
          <w:spacing w:val="-1"/>
          <w:sz w:val="20"/>
        </w:rPr>
        <w:t> </w:t>
      </w:r>
      <w:r>
        <w:rPr>
          <w:sz w:val="20"/>
        </w:rPr>
        <w:t>the provision of strategic advice with respect to the overall activities under the pillar and engagement</w:t>
      </w:r>
      <w:r>
        <w:rPr>
          <w:spacing w:val="-3"/>
          <w:sz w:val="20"/>
        </w:rPr>
        <w:t> </w:t>
      </w:r>
      <w:r>
        <w:rPr>
          <w:sz w:val="20"/>
        </w:rPr>
        <w:t>with</w:t>
      </w:r>
      <w:r>
        <w:rPr>
          <w:spacing w:val="-9"/>
          <w:sz w:val="20"/>
        </w:rPr>
        <w:t> </w:t>
      </w:r>
      <w:r>
        <w:rPr>
          <w:sz w:val="20"/>
        </w:rPr>
        <w:t>external</w:t>
      </w:r>
      <w:r>
        <w:rPr>
          <w:spacing w:val="-3"/>
          <w:sz w:val="20"/>
        </w:rPr>
        <w:t> </w:t>
      </w:r>
      <w:r>
        <w:rPr>
          <w:sz w:val="20"/>
        </w:rPr>
        <w:t>partners;</w:t>
      </w:r>
      <w:r>
        <w:rPr>
          <w:spacing w:val="-3"/>
          <w:sz w:val="20"/>
        </w:rPr>
        <w:t> </w:t>
      </w:r>
      <w:r>
        <w:rPr>
          <w:sz w:val="20"/>
        </w:rPr>
        <w:t>and</w:t>
      </w:r>
      <w:r>
        <w:rPr>
          <w:spacing w:val="-5"/>
          <w:sz w:val="20"/>
        </w:rPr>
        <w:t> </w:t>
      </w:r>
      <w:r>
        <w:rPr>
          <w:sz w:val="20"/>
        </w:rPr>
        <w:t>support for</w:t>
      </w:r>
      <w:r>
        <w:rPr>
          <w:spacing w:val="-5"/>
          <w:sz w:val="20"/>
        </w:rPr>
        <w:t> </w:t>
      </w:r>
      <w:r>
        <w:rPr>
          <w:sz w:val="20"/>
        </w:rPr>
        <w:t>a</w:t>
      </w:r>
      <w:r>
        <w:rPr>
          <w:spacing w:val="-3"/>
          <w:sz w:val="20"/>
        </w:rPr>
        <w:t> </w:t>
      </w:r>
      <w:r>
        <w:rPr>
          <w:sz w:val="20"/>
        </w:rPr>
        <w:t>range</w:t>
      </w:r>
      <w:r>
        <w:rPr>
          <w:spacing w:val="-3"/>
          <w:sz w:val="20"/>
        </w:rPr>
        <w:t> </w:t>
      </w:r>
      <w:r>
        <w:rPr>
          <w:sz w:val="20"/>
        </w:rPr>
        <w:t>of</w:t>
      </w:r>
      <w:r>
        <w:rPr>
          <w:spacing w:val="-1"/>
          <w:sz w:val="20"/>
        </w:rPr>
        <w:t> </w:t>
      </w:r>
      <w:r>
        <w:rPr>
          <w:sz w:val="20"/>
        </w:rPr>
        <w:t>administrative</w:t>
      </w:r>
      <w:r>
        <w:rPr>
          <w:spacing w:val="-3"/>
          <w:sz w:val="20"/>
        </w:rPr>
        <w:t> </w:t>
      </w:r>
      <w:r>
        <w:rPr>
          <w:sz w:val="20"/>
        </w:rPr>
        <w:t>tasks,</w:t>
      </w:r>
      <w:r>
        <w:rPr>
          <w:spacing w:val="-2"/>
          <w:sz w:val="20"/>
        </w:rPr>
        <w:t> </w:t>
      </w:r>
      <w:r>
        <w:rPr>
          <w:sz w:val="20"/>
        </w:rPr>
        <w:t>planning and staff issues.</w:t>
      </w:r>
    </w:p>
    <w:p>
      <w:pPr>
        <w:pStyle w:val="ListParagraph"/>
        <w:numPr>
          <w:ilvl w:val="0"/>
          <w:numId w:val="4"/>
        </w:numPr>
        <w:tabs>
          <w:tab w:pos="2967" w:val="left" w:leader="none"/>
        </w:tabs>
        <w:spacing w:line="240" w:lineRule="auto" w:before="120" w:after="0"/>
        <w:ind w:left="2246" w:right="2235" w:firstLine="0"/>
        <w:jc w:val="both"/>
        <w:rPr>
          <w:sz w:val="20"/>
        </w:rPr>
      </w:pPr>
      <w:r>
        <w:rPr>
          <w:sz w:val="20"/>
        </w:rPr>
        <w:t>As</w:t>
      </w:r>
      <w:r>
        <w:rPr>
          <w:spacing w:val="-13"/>
          <w:sz w:val="20"/>
        </w:rPr>
        <w:t> </w:t>
      </w:r>
      <w:r>
        <w:rPr>
          <w:sz w:val="20"/>
        </w:rPr>
        <w:t>reflected</w:t>
      </w:r>
      <w:r>
        <w:rPr>
          <w:spacing w:val="-12"/>
          <w:sz w:val="20"/>
        </w:rPr>
        <w:t> </w:t>
      </w:r>
      <w:r>
        <w:rPr>
          <w:sz w:val="20"/>
        </w:rPr>
        <w:t>above,</w:t>
      </w:r>
      <w:r>
        <w:rPr>
          <w:spacing w:val="-13"/>
          <w:sz w:val="20"/>
        </w:rPr>
        <w:t> </w:t>
      </w:r>
      <w:r>
        <w:rPr>
          <w:sz w:val="20"/>
        </w:rPr>
        <w:t>the</w:t>
      </w:r>
      <w:r>
        <w:rPr>
          <w:spacing w:val="-12"/>
          <w:sz w:val="20"/>
        </w:rPr>
        <w:t> </w:t>
      </w:r>
      <w:r>
        <w:rPr>
          <w:sz w:val="20"/>
        </w:rPr>
        <w:t>anticipated</w:t>
      </w:r>
      <w:r>
        <w:rPr>
          <w:spacing w:val="-13"/>
          <w:sz w:val="20"/>
        </w:rPr>
        <w:t> </w:t>
      </w:r>
      <w:r>
        <w:rPr>
          <w:sz w:val="20"/>
        </w:rPr>
        <w:t>redeployment</w:t>
      </w:r>
      <w:r>
        <w:rPr>
          <w:spacing w:val="-12"/>
          <w:sz w:val="20"/>
        </w:rPr>
        <w:t> </w:t>
      </w:r>
      <w:r>
        <w:rPr>
          <w:sz w:val="20"/>
        </w:rPr>
        <w:t>of</w:t>
      </w:r>
      <w:r>
        <w:rPr>
          <w:spacing w:val="-13"/>
          <w:sz w:val="20"/>
        </w:rPr>
        <w:t> </w:t>
      </w:r>
      <w:r>
        <w:rPr>
          <w:sz w:val="20"/>
        </w:rPr>
        <w:t>the</w:t>
      </w:r>
      <w:r>
        <w:rPr>
          <w:spacing w:val="-10"/>
          <w:sz w:val="20"/>
        </w:rPr>
        <w:t> </w:t>
      </w:r>
      <w:r>
        <w:rPr>
          <w:sz w:val="20"/>
        </w:rPr>
        <w:t>Special</w:t>
      </w:r>
      <w:r>
        <w:rPr>
          <w:spacing w:val="-9"/>
          <w:sz w:val="20"/>
        </w:rPr>
        <w:t> </w:t>
      </w:r>
      <w:r>
        <w:rPr>
          <w:sz w:val="20"/>
        </w:rPr>
        <w:t>Assistant</w:t>
      </w:r>
      <w:r>
        <w:rPr>
          <w:spacing w:val="-9"/>
          <w:sz w:val="20"/>
        </w:rPr>
        <w:t> </w:t>
      </w:r>
      <w:r>
        <w:rPr>
          <w:sz w:val="20"/>
        </w:rPr>
        <w:t>(P-3)</w:t>
      </w:r>
      <w:r>
        <w:rPr>
          <w:spacing w:val="-10"/>
          <w:sz w:val="20"/>
        </w:rPr>
        <w:t> </w:t>
      </w:r>
      <w:r>
        <w:rPr>
          <w:sz w:val="20"/>
        </w:rPr>
        <w:t>from the IOP to the Deputy Prosecutor pillar, as proposed in the 2022 budget, could not be implemented due to the extraordinary demands faced by the Immediate Office of the Prosecutor during this year. Nevertheless, in light of</w:t>
      </w:r>
      <w:r>
        <w:rPr>
          <w:spacing w:val="-3"/>
          <w:sz w:val="20"/>
        </w:rPr>
        <w:t> </w:t>
      </w:r>
      <w:r>
        <w:rPr>
          <w:sz w:val="20"/>
        </w:rPr>
        <w:t>the</w:t>
      </w:r>
      <w:r>
        <w:rPr>
          <w:spacing w:val="-1"/>
          <w:sz w:val="20"/>
        </w:rPr>
        <w:t> </w:t>
      </w:r>
      <w:r>
        <w:rPr>
          <w:sz w:val="20"/>
        </w:rPr>
        <w:t>increased demands outlined</w:t>
      </w:r>
      <w:r>
        <w:rPr>
          <w:spacing w:val="-3"/>
          <w:sz w:val="20"/>
        </w:rPr>
        <w:t> </w:t>
      </w:r>
      <w:r>
        <w:rPr>
          <w:sz w:val="20"/>
        </w:rPr>
        <w:t>above, the Deputy Prosecutor requires</w:t>
      </w:r>
      <w:r>
        <w:rPr>
          <w:spacing w:val="-1"/>
          <w:sz w:val="20"/>
        </w:rPr>
        <w:t> </w:t>
      </w:r>
      <w:r>
        <w:rPr>
          <w:sz w:val="20"/>
        </w:rPr>
        <w:t>a Special Assistant to support her activities. Reflecting this, request</w:t>
      </w:r>
      <w:r>
        <w:rPr>
          <w:spacing w:val="22"/>
          <w:sz w:val="20"/>
        </w:rPr>
        <w:t> </w:t>
      </w:r>
      <w:r>
        <w:rPr>
          <w:sz w:val="20"/>
        </w:rPr>
        <w:t>is</w:t>
      </w:r>
      <w:r>
        <w:rPr>
          <w:spacing w:val="19"/>
          <w:sz w:val="20"/>
        </w:rPr>
        <w:t> </w:t>
      </w:r>
      <w:r>
        <w:rPr>
          <w:sz w:val="20"/>
        </w:rPr>
        <w:t>made</w:t>
      </w:r>
      <w:r>
        <w:rPr>
          <w:spacing w:val="22"/>
          <w:sz w:val="20"/>
        </w:rPr>
        <w:t> </w:t>
      </w:r>
      <w:r>
        <w:rPr>
          <w:sz w:val="20"/>
        </w:rPr>
        <w:t>for</w:t>
      </w:r>
      <w:r>
        <w:rPr>
          <w:spacing w:val="20"/>
          <w:sz w:val="20"/>
        </w:rPr>
        <w:t> </w:t>
      </w:r>
      <w:r>
        <w:rPr>
          <w:sz w:val="20"/>
        </w:rPr>
        <w:t>the</w:t>
      </w:r>
      <w:r>
        <w:rPr>
          <w:spacing w:val="22"/>
          <w:sz w:val="20"/>
        </w:rPr>
        <w:t> </w:t>
      </w:r>
      <w:r>
        <w:rPr>
          <w:sz w:val="20"/>
        </w:rPr>
        <w:t>addition</w:t>
      </w:r>
      <w:r>
        <w:rPr>
          <w:spacing w:val="20"/>
          <w:sz w:val="20"/>
        </w:rPr>
        <w:t> </w:t>
      </w:r>
      <w:r>
        <w:rPr>
          <w:sz w:val="20"/>
        </w:rPr>
        <w:t>of</w:t>
      </w:r>
      <w:r>
        <w:rPr>
          <w:spacing w:val="20"/>
          <w:sz w:val="20"/>
        </w:rPr>
        <w:t> </w:t>
      </w:r>
      <w:r>
        <w:rPr>
          <w:sz w:val="20"/>
        </w:rPr>
        <w:t>a</w:t>
      </w:r>
      <w:r>
        <w:rPr>
          <w:spacing w:val="22"/>
          <w:sz w:val="20"/>
        </w:rPr>
        <w:t> </w:t>
      </w:r>
      <w:r>
        <w:rPr>
          <w:sz w:val="20"/>
        </w:rPr>
        <w:t>Special</w:t>
      </w:r>
      <w:r>
        <w:rPr>
          <w:spacing w:val="22"/>
          <w:sz w:val="20"/>
        </w:rPr>
        <w:t> </w:t>
      </w:r>
      <w:r>
        <w:rPr>
          <w:sz w:val="20"/>
        </w:rPr>
        <w:t>Assistant</w:t>
      </w:r>
      <w:r>
        <w:rPr>
          <w:spacing w:val="22"/>
          <w:sz w:val="20"/>
        </w:rPr>
        <w:t> </w:t>
      </w:r>
      <w:r>
        <w:rPr>
          <w:sz w:val="20"/>
        </w:rPr>
        <w:t>to</w:t>
      </w:r>
      <w:r>
        <w:rPr>
          <w:spacing w:val="20"/>
          <w:sz w:val="20"/>
        </w:rPr>
        <w:t> </w:t>
      </w:r>
      <w:r>
        <w:rPr>
          <w:sz w:val="20"/>
        </w:rPr>
        <w:t>the</w:t>
      </w:r>
      <w:r>
        <w:rPr>
          <w:spacing w:val="27"/>
          <w:sz w:val="20"/>
        </w:rPr>
        <w:t> </w:t>
      </w:r>
      <w:r>
        <w:rPr>
          <w:sz w:val="20"/>
        </w:rPr>
        <w:t>Deputy</w:t>
      </w:r>
      <w:r>
        <w:rPr>
          <w:spacing w:val="25"/>
          <w:sz w:val="20"/>
        </w:rPr>
        <w:t> </w:t>
      </w:r>
      <w:r>
        <w:rPr>
          <w:sz w:val="20"/>
        </w:rPr>
        <w:t>Prosecutor</w:t>
      </w:r>
      <w:r>
        <w:rPr>
          <w:spacing w:val="20"/>
          <w:sz w:val="20"/>
        </w:rPr>
        <w:t> </w:t>
      </w:r>
      <w:r>
        <w:rPr>
          <w:sz w:val="20"/>
        </w:rPr>
        <w:t>(P-3)</w:t>
      </w:r>
      <w:r>
        <w:rPr>
          <w:spacing w:val="20"/>
          <w:sz w:val="20"/>
        </w:rPr>
        <w:t> </w:t>
      </w:r>
      <w:r>
        <w:rPr>
          <w:sz w:val="20"/>
        </w:rPr>
        <w:t>in the</w:t>
      </w:r>
      <w:r>
        <w:rPr>
          <w:spacing w:val="-2"/>
          <w:sz w:val="20"/>
        </w:rPr>
        <w:t> </w:t>
      </w:r>
      <w:r>
        <w:rPr>
          <w:sz w:val="20"/>
        </w:rPr>
        <w:t>2023 PPB. This post will be left unfunded in 2023. In addition, one Assistant to the Deputy Prosecutor (P-1) (0.75 FTE) position is required to further strengthen the Deputy Prosecutor Staffing. The </w:t>
      </w:r>
      <w:r>
        <w:rPr>
          <w:i/>
          <w:sz w:val="20"/>
        </w:rPr>
        <w:t>Children Expert (P-3) </w:t>
      </w:r>
      <w:r>
        <w:rPr>
          <w:sz w:val="20"/>
        </w:rPr>
        <w:t>and </w:t>
      </w:r>
      <w:r>
        <w:rPr>
          <w:i/>
          <w:sz w:val="20"/>
        </w:rPr>
        <w:t>Sexual and Gender-Based Crimes</w:t>
      </w:r>
      <w:r>
        <w:rPr>
          <w:i/>
          <w:sz w:val="20"/>
        </w:rPr>
        <w:t> (SGBC) Expert (P-3) </w:t>
      </w:r>
      <w:r>
        <w:rPr>
          <w:sz w:val="20"/>
        </w:rPr>
        <w:t>positions are requested to provide legal and operational support to all unified teams regarding SGBC and crimes against children, including strategic approaches, interview modalities, legal characterization and gender analysis; to provide training to staff on SGBC and crimes against children, to develop/monitor best practice standards and to conduct research on legal developments relating to SGBC and crimes against children; and to</w:t>
      </w:r>
      <w:r>
        <w:rPr>
          <w:spacing w:val="-9"/>
          <w:sz w:val="20"/>
        </w:rPr>
        <w:t> </w:t>
      </w:r>
      <w:r>
        <w:rPr>
          <w:sz w:val="20"/>
        </w:rPr>
        <w:t>represent</w:t>
      </w:r>
      <w:r>
        <w:rPr>
          <w:spacing w:val="-7"/>
          <w:sz w:val="20"/>
        </w:rPr>
        <w:t> </w:t>
      </w:r>
      <w:r>
        <w:rPr>
          <w:sz w:val="20"/>
        </w:rPr>
        <w:t>the</w:t>
      </w:r>
      <w:r>
        <w:rPr>
          <w:spacing w:val="-7"/>
          <w:sz w:val="20"/>
        </w:rPr>
        <w:t> </w:t>
      </w:r>
      <w:r>
        <w:rPr>
          <w:sz w:val="20"/>
        </w:rPr>
        <w:t>Office</w:t>
      </w:r>
      <w:r>
        <w:rPr>
          <w:spacing w:val="-7"/>
          <w:sz w:val="20"/>
        </w:rPr>
        <w:t> </w:t>
      </w:r>
      <w:r>
        <w:rPr>
          <w:sz w:val="20"/>
        </w:rPr>
        <w:t>at</w:t>
      </w:r>
      <w:r>
        <w:rPr>
          <w:spacing w:val="-7"/>
          <w:sz w:val="20"/>
        </w:rPr>
        <w:t> </w:t>
      </w:r>
      <w:r>
        <w:rPr>
          <w:sz w:val="20"/>
        </w:rPr>
        <w:t>external</w:t>
      </w:r>
      <w:r>
        <w:rPr>
          <w:spacing w:val="-12"/>
          <w:sz w:val="20"/>
        </w:rPr>
        <w:t> </w:t>
      </w:r>
      <w:r>
        <w:rPr>
          <w:sz w:val="20"/>
        </w:rPr>
        <w:t>engagements</w:t>
      </w:r>
      <w:r>
        <w:rPr>
          <w:spacing w:val="-10"/>
          <w:sz w:val="20"/>
        </w:rPr>
        <w:t> </w:t>
      </w:r>
      <w:r>
        <w:rPr>
          <w:sz w:val="20"/>
        </w:rPr>
        <w:t>relating</w:t>
      </w:r>
      <w:r>
        <w:rPr>
          <w:spacing w:val="-8"/>
          <w:sz w:val="20"/>
        </w:rPr>
        <w:t> </w:t>
      </w:r>
      <w:r>
        <w:rPr>
          <w:sz w:val="20"/>
        </w:rPr>
        <w:t>to</w:t>
      </w:r>
      <w:r>
        <w:rPr>
          <w:spacing w:val="-8"/>
          <w:sz w:val="20"/>
        </w:rPr>
        <w:t> </w:t>
      </w:r>
      <w:r>
        <w:rPr>
          <w:sz w:val="20"/>
        </w:rPr>
        <w:t>SGBC</w:t>
      </w:r>
      <w:r>
        <w:rPr>
          <w:spacing w:val="-8"/>
          <w:sz w:val="20"/>
        </w:rPr>
        <w:t> </w:t>
      </w:r>
      <w:r>
        <w:rPr>
          <w:sz w:val="20"/>
        </w:rPr>
        <w:t>and</w:t>
      </w:r>
      <w:r>
        <w:rPr>
          <w:spacing w:val="-13"/>
          <w:sz w:val="20"/>
        </w:rPr>
        <w:t> </w:t>
      </w:r>
      <w:r>
        <w:rPr>
          <w:sz w:val="20"/>
        </w:rPr>
        <w:t>crimes</w:t>
      </w:r>
      <w:r>
        <w:rPr>
          <w:spacing w:val="-12"/>
          <w:sz w:val="20"/>
        </w:rPr>
        <w:t> </w:t>
      </w:r>
      <w:r>
        <w:rPr>
          <w:sz w:val="20"/>
        </w:rPr>
        <w:t>against</w:t>
      </w:r>
      <w:r>
        <w:rPr>
          <w:spacing w:val="-12"/>
          <w:sz w:val="20"/>
        </w:rPr>
        <w:t> </w:t>
      </w:r>
      <w:r>
        <w:rPr>
          <w:sz w:val="20"/>
        </w:rPr>
        <w:t>children as well as to maintain networks with experts, civil society and academia. As explained in paragraphs 315 to 322 above, children must be properly recognized as a separate class of victims and the Office must ensure their effective participation in investigations and prosecutions.</w:t>
      </w:r>
      <w:r>
        <w:rPr>
          <w:spacing w:val="-1"/>
          <w:sz w:val="20"/>
        </w:rPr>
        <w:t> </w:t>
      </w:r>
      <w:r>
        <w:rPr>
          <w:sz w:val="20"/>
        </w:rPr>
        <w:t>This</w:t>
      </w:r>
      <w:r>
        <w:rPr>
          <w:spacing w:val="-5"/>
          <w:sz w:val="20"/>
        </w:rPr>
        <w:t> </w:t>
      </w:r>
      <w:r>
        <w:rPr>
          <w:sz w:val="20"/>
        </w:rPr>
        <w:t>explains why</w:t>
      </w:r>
      <w:r>
        <w:rPr>
          <w:spacing w:val="-8"/>
          <w:sz w:val="20"/>
        </w:rPr>
        <w:t> </w:t>
      </w:r>
      <w:r>
        <w:rPr>
          <w:sz w:val="20"/>
        </w:rPr>
        <w:t>two</w:t>
      </w:r>
      <w:r>
        <w:rPr>
          <w:spacing w:val="-4"/>
          <w:sz w:val="20"/>
        </w:rPr>
        <w:t> </w:t>
      </w:r>
      <w:r>
        <w:rPr>
          <w:sz w:val="20"/>
        </w:rPr>
        <w:t>distinct specialized</w:t>
      </w:r>
      <w:r>
        <w:rPr>
          <w:spacing w:val="-4"/>
          <w:sz w:val="20"/>
        </w:rPr>
        <w:t> </w:t>
      </w:r>
      <w:r>
        <w:rPr>
          <w:sz w:val="20"/>
        </w:rPr>
        <w:t>positions, one</w:t>
      </w:r>
      <w:r>
        <w:rPr>
          <w:spacing w:val="-2"/>
          <w:sz w:val="20"/>
        </w:rPr>
        <w:t> </w:t>
      </w:r>
      <w:r>
        <w:rPr>
          <w:sz w:val="20"/>
        </w:rPr>
        <w:t>for</w:t>
      </w:r>
      <w:r>
        <w:rPr>
          <w:spacing w:val="-4"/>
          <w:sz w:val="20"/>
        </w:rPr>
        <w:t> </w:t>
      </w:r>
      <w:r>
        <w:rPr>
          <w:sz w:val="20"/>
        </w:rPr>
        <w:t>Children</w:t>
      </w:r>
      <w:r>
        <w:rPr>
          <w:spacing w:val="-4"/>
          <w:sz w:val="20"/>
        </w:rPr>
        <w:t> </w:t>
      </w:r>
      <w:r>
        <w:rPr>
          <w:sz w:val="20"/>
        </w:rPr>
        <w:t>and</w:t>
      </w:r>
      <w:r>
        <w:rPr>
          <w:spacing w:val="-4"/>
          <w:sz w:val="20"/>
        </w:rPr>
        <w:t> </w:t>
      </w:r>
      <w:r>
        <w:rPr>
          <w:sz w:val="20"/>
        </w:rPr>
        <w:t>one for SGBC, are required.</w:t>
      </w:r>
    </w:p>
    <w:p>
      <w:pPr>
        <w:pStyle w:val="ListParagraph"/>
        <w:numPr>
          <w:ilvl w:val="0"/>
          <w:numId w:val="4"/>
        </w:numPr>
        <w:tabs>
          <w:tab w:pos="2967" w:val="left" w:leader="none"/>
        </w:tabs>
        <w:spacing w:line="240" w:lineRule="auto" w:before="121" w:after="0"/>
        <w:ind w:left="2246" w:right="2242" w:firstLine="0"/>
        <w:jc w:val="both"/>
        <w:rPr>
          <w:sz w:val="20"/>
        </w:rPr>
      </w:pPr>
      <w:r>
        <w:rPr>
          <w:sz w:val="20"/>
        </w:rPr>
        <w:t>Reflecting the increased activity across the work of the Office and in particular identified</w:t>
      </w:r>
      <w:r>
        <w:rPr>
          <w:spacing w:val="-4"/>
          <w:sz w:val="20"/>
        </w:rPr>
        <w:t> </w:t>
      </w:r>
      <w:r>
        <w:rPr>
          <w:sz w:val="20"/>
        </w:rPr>
        <w:t>opportunities</w:t>
      </w:r>
      <w:r>
        <w:rPr>
          <w:spacing w:val="-5"/>
          <w:sz w:val="20"/>
        </w:rPr>
        <w:t> </w:t>
      </w:r>
      <w:r>
        <w:rPr>
          <w:sz w:val="20"/>
        </w:rPr>
        <w:t>with respect</w:t>
      </w:r>
      <w:r>
        <w:rPr>
          <w:spacing w:val="-2"/>
          <w:sz w:val="20"/>
        </w:rPr>
        <w:t> </w:t>
      </w:r>
      <w:r>
        <w:rPr>
          <w:sz w:val="20"/>
        </w:rPr>
        <w:t>to</w:t>
      </w:r>
      <w:r>
        <w:rPr>
          <w:spacing w:val="-8"/>
          <w:sz w:val="20"/>
        </w:rPr>
        <w:t> </w:t>
      </w:r>
      <w:r>
        <w:rPr>
          <w:sz w:val="20"/>
        </w:rPr>
        <w:t>enhancing</w:t>
      </w:r>
      <w:r>
        <w:rPr>
          <w:spacing w:val="-4"/>
          <w:sz w:val="20"/>
        </w:rPr>
        <w:t> </w:t>
      </w:r>
      <w:r>
        <w:rPr>
          <w:sz w:val="20"/>
        </w:rPr>
        <w:t>collaboration with</w:t>
      </w:r>
      <w:r>
        <w:rPr>
          <w:spacing w:val="-4"/>
          <w:sz w:val="20"/>
        </w:rPr>
        <w:t> </w:t>
      </w:r>
      <w:r>
        <w:rPr>
          <w:sz w:val="20"/>
        </w:rPr>
        <w:t>key</w:t>
      </w:r>
      <w:r>
        <w:rPr>
          <w:spacing w:val="-4"/>
          <w:sz w:val="20"/>
        </w:rPr>
        <w:t> </w:t>
      </w:r>
      <w:r>
        <w:rPr>
          <w:sz w:val="20"/>
        </w:rPr>
        <w:t>partners</w:t>
      </w:r>
      <w:r>
        <w:rPr>
          <w:spacing w:val="-5"/>
          <w:sz w:val="20"/>
        </w:rPr>
        <w:t> </w:t>
      </w:r>
      <w:r>
        <w:rPr>
          <w:sz w:val="20"/>
        </w:rPr>
        <w:t>in</w:t>
      </w:r>
      <w:r>
        <w:rPr>
          <w:spacing w:val="-4"/>
          <w:sz w:val="20"/>
        </w:rPr>
        <w:t> </w:t>
      </w:r>
      <w:r>
        <w:rPr>
          <w:sz w:val="20"/>
        </w:rPr>
        <w:t>support of investigations,</w:t>
      </w:r>
      <w:r>
        <w:rPr>
          <w:spacing w:val="-2"/>
          <w:sz w:val="20"/>
        </w:rPr>
        <w:t> </w:t>
      </w:r>
      <w:r>
        <w:rPr>
          <w:sz w:val="20"/>
        </w:rPr>
        <w:t>more</w:t>
      </w:r>
      <w:r>
        <w:rPr>
          <w:spacing w:val="-3"/>
          <w:sz w:val="20"/>
        </w:rPr>
        <w:t> </w:t>
      </w:r>
      <w:r>
        <w:rPr>
          <w:sz w:val="20"/>
        </w:rPr>
        <w:t>support is</w:t>
      </w:r>
      <w:r>
        <w:rPr>
          <w:spacing w:val="-1"/>
          <w:sz w:val="20"/>
        </w:rPr>
        <w:t> </w:t>
      </w:r>
      <w:r>
        <w:rPr>
          <w:sz w:val="20"/>
        </w:rPr>
        <w:t>needed</w:t>
      </w:r>
      <w:r>
        <w:rPr>
          <w:spacing w:val="-5"/>
          <w:sz w:val="20"/>
        </w:rPr>
        <w:t> </w:t>
      </w:r>
      <w:r>
        <w:rPr>
          <w:sz w:val="20"/>
        </w:rPr>
        <w:t>by</w:t>
      </w:r>
      <w:r>
        <w:rPr>
          <w:spacing w:val="-5"/>
          <w:sz w:val="20"/>
        </w:rPr>
        <w:t> </w:t>
      </w:r>
      <w:r>
        <w:rPr>
          <w:sz w:val="20"/>
        </w:rPr>
        <w:t>the Unified</w:t>
      </w:r>
      <w:r>
        <w:rPr>
          <w:spacing w:val="-5"/>
          <w:sz w:val="20"/>
        </w:rPr>
        <w:t> </w:t>
      </w:r>
      <w:r>
        <w:rPr>
          <w:sz w:val="20"/>
        </w:rPr>
        <w:t>Teams</w:t>
      </w:r>
      <w:r>
        <w:rPr>
          <w:spacing w:val="-1"/>
          <w:sz w:val="20"/>
        </w:rPr>
        <w:t> </w:t>
      </w:r>
      <w:r>
        <w:rPr>
          <w:sz w:val="20"/>
        </w:rPr>
        <w:t>with respect to cooperation, outreach,</w:t>
      </w:r>
      <w:r>
        <w:rPr>
          <w:spacing w:val="-13"/>
          <w:sz w:val="20"/>
        </w:rPr>
        <w:t> </w:t>
      </w:r>
      <w:r>
        <w:rPr>
          <w:sz w:val="20"/>
        </w:rPr>
        <w:t>and</w:t>
      </w:r>
      <w:r>
        <w:rPr>
          <w:spacing w:val="-12"/>
          <w:sz w:val="20"/>
        </w:rPr>
        <w:t> </w:t>
      </w:r>
      <w:r>
        <w:rPr>
          <w:sz w:val="20"/>
        </w:rPr>
        <w:t>positive</w:t>
      </w:r>
      <w:r>
        <w:rPr>
          <w:spacing w:val="-13"/>
          <w:sz w:val="20"/>
        </w:rPr>
        <w:t> </w:t>
      </w:r>
      <w:r>
        <w:rPr>
          <w:sz w:val="20"/>
        </w:rPr>
        <w:t>complementarity.</w:t>
      </w:r>
      <w:r>
        <w:rPr>
          <w:spacing w:val="-12"/>
          <w:sz w:val="20"/>
        </w:rPr>
        <w:t> </w:t>
      </w:r>
      <w:r>
        <w:rPr>
          <w:sz w:val="20"/>
        </w:rPr>
        <w:t>Both</w:t>
      </w:r>
      <w:r>
        <w:rPr>
          <w:spacing w:val="-13"/>
          <w:sz w:val="20"/>
        </w:rPr>
        <w:t> </w:t>
      </w:r>
      <w:r>
        <w:rPr>
          <w:sz w:val="20"/>
        </w:rPr>
        <w:t>Programme</w:t>
      </w:r>
      <w:r>
        <w:rPr>
          <w:spacing w:val="-12"/>
          <w:sz w:val="20"/>
        </w:rPr>
        <w:t> </w:t>
      </w:r>
      <w:r>
        <w:rPr>
          <w:sz w:val="20"/>
        </w:rPr>
        <w:t>2600</w:t>
      </w:r>
      <w:r>
        <w:rPr>
          <w:spacing w:val="-13"/>
          <w:sz w:val="20"/>
        </w:rPr>
        <w:t> </w:t>
      </w:r>
      <w:r>
        <w:rPr>
          <w:sz w:val="20"/>
        </w:rPr>
        <w:t>and</w:t>
      </w:r>
      <w:r>
        <w:rPr>
          <w:spacing w:val="-12"/>
          <w:sz w:val="20"/>
        </w:rPr>
        <w:t> </w:t>
      </w:r>
      <w:r>
        <w:rPr>
          <w:sz w:val="20"/>
        </w:rPr>
        <w:t>Programme</w:t>
      </w:r>
      <w:r>
        <w:rPr>
          <w:spacing w:val="-13"/>
          <w:sz w:val="20"/>
        </w:rPr>
        <w:t> </w:t>
      </w:r>
      <w:r>
        <w:rPr>
          <w:sz w:val="20"/>
        </w:rPr>
        <w:t>2700</w:t>
      </w:r>
      <w:r>
        <w:rPr>
          <w:spacing w:val="-12"/>
          <w:sz w:val="20"/>
        </w:rPr>
        <w:t> </w:t>
      </w:r>
      <w:r>
        <w:rPr>
          <w:sz w:val="20"/>
        </w:rPr>
        <w:t>request a new International Cooperation Adviser (P-3). The request is for 9 months, or 0.75 FTE.</w:t>
      </w:r>
    </w:p>
    <w:p>
      <w:pPr>
        <w:pStyle w:val="BodyText"/>
      </w:pPr>
    </w:p>
    <w:p>
      <w:pPr>
        <w:pStyle w:val="BodyText"/>
        <w:spacing w:before="5"/>
        <w:rPr>
          <w:sz w:val="11"/>
        </w:rPr>
      </w:pPr>
      <w:r>
        <w:rPr/>
        <w:pict>
          <v:rect style="position:absolute;margin-left:113.330002pt;margin-top:7.80307pt;width:144.050pt;height:.48004pt;mso-position-horizontal-relative:page;mso-position-vertical-relative:paragraph;z-index:-15702016;mso-wrap-distance-left:0;mso-wrap-distance-right:0" id="docshape136" filled="true" fillcolor="#000000" stroked="false">
            <v:fill type="solid"/>
            <w10:wrap type="topAndBottom"/>
          </v:rect>
        </w:pict>
      </w:r>
    </w:p>
    <w:p>
      <w:pPr>
        <w:spacing w:before="86"/>
        <w:ind w:left="2246" w:right="0" w:firstLine="0"/>
        <w:jc w:val="left"/>
        <w:rPr>
          <w:sz w:val="16"/>
        </w:rPr>
      </w:pPr>
      <w:r>
        <w:rPr>
          <w:position w:val="5"/>
          <w:sz w:val="10"/>
        </w:rPr>
        <w:t>80</w:t>
      </w:r>
      <w:r>
        <w:rPr>
          <w:spacing w:val="12"/>
          <w:position w:val="5"/>
          <w:sz w:val="10"/>
        </w:rPr>
        <w:t> </w:t>
      </w:r>
      <w:r>
        <w:rPr>
          <w:sz w:val="16"/>
        </w:rPr>
        <w:t>Former</w:t>
      </w:r>
      <w:r>
        <w:rPr>
          <w:spacing w:val="-4"/>
          <w:sz w:val="16"/>
        </w:rPr>
        <w:t> </w:t>
      </w:r>
      <w:r>
        <w:rPr>
          <w:sz w:val="16"/>
        </w:rPr>
        <w:t>Investigator</w:t>
      </w:r>
      <w:r>
        <w:rPr>
          <w:spacing w:val="-5"/>
          <w:sz w:val="16"/>
        </w:rPr>
        <w:t> </w:t>
      </w:r>
      <w:r>
        <w:rPr>
          <w:sz w:val="16"/>
        </w:rPr>
        <w:t>P-3</w:t>
      </w:r>
      <w:r>
        <w:rPr>
          <w:spacing w:val="-3"/>
          <w:sz w:val="16"/>
        </w:rPr>
        <w:t> </w:t>
      </w:r>
      <w:r>
        <w:rPr>
          <w:sz w:val="16"/>
        </w:rPr>
        <w:t>position</w:t>
      </w:r>
      <w:r>
        <w:rPr>
          <w:spacing w:val="-2"/>
          <w:sz w:val="16"/>
        </w:rPr>
        <w:t> repurposed.</w:t>
      </w:r>
    </w:p>
    <w:p>
      <w:pPr>
        <w:spacing w:after="0"/>
        <w:jc w:val="left"/>
        <w:rPr>
          <w:sz w:val="16"/>
        </w:rPr>
        <w:sectPr>
          <w:headerReference w:type="even" r:id="rId47"/>
          <w:headerReference w:type="default" r:id="rId48"/>
          <w:footerReference w:type="even" r:id="rId49"/>
          <w:footerReference w:type="default" r:id="rId50"/>
          <w:pgSz w:w="11910" w:h="16840"/>
          <w:pgMar w:header="953" w:footer="940" w:top="1140" w:bottom="1140" w:left="20" w:right="20"/>
          <w:pgNumType w:start="66"/>
        </w:sectPr>
      </w:pPr>
    </w:p>
    <w:p>
      <w:pPr>
        <w:pStyle w:val="ListParagraph"/>
        <w:numPr>
          <w:ilvl w:val="0"/>
          <w:numId w:val="4"/>
        </w:numPr>
        <w:tabs>
          <w:tab w:pos="2967" w:val="left" w:leader="none"/>
        </w:tabs>
        <w:spacing w:line="240" w:lineRule="auto" w:before="120" w:after="0"/>
        <w:ind w:left="2246" w:right="2241" w:firstLine="0"/>
        <w:jc w:val="both"/>
        <w:rPr>
          <w:sz w:val="20"/>
        </w:rPr>
      </w:pPr>
      <w:r>
        <w:rPr>
          <w:sz w:val="20"/>
        </w:rPr>
        <w:t>One </w:t>
      </w:r>
      <w:r>
        <w:rPr>
          <w:i/>
          <w:sz w:val="20"/>
        </w:rPr>
        <w:t>Senior Investigator </w:t>
      </w:r>
      <w:r>
        <w:rPr>
          <w:sz w:val="20"/>
        </w:rPr>
        <w:t>(P-4) position is required to strengthen the Libya Unified Team.</w:t>
      </w:r>
      <w:r>
        <w:rPr>
          <w:spacing w:val="-1"/>
          <w:sz w:val="20"/>
        </w:rPr>
        <w:t> </w:t>
      </w:r>
      <w:r>
        <w:rPr>
          <w:sz w:val="20"/>
        </w:rPr>
        <w:t>In</w:t>
      </w:r>
      <w:r>
        <w:rPr>
          <w:spacing w:val="-8"/>
          <w:sz w:val="20"/>
        </w:rPr>
        <w:t> </w:t>
      </w:r>
      <w:r>
        <w:rPr>
          <w:sz w:val="20"/>
        </w:rPr>
        <w:t>April</w:t>
      </w:r>
      <w:r>
        <w:rPr>
          <w:spacing w:val="-2"/>
          <w:sz w:val="20"/>
        </w:rPr>
        <w:t> </w:t>
      </w:r>
      <w:r>
        <w:rPr>
          <w:sz w:val="20"/>
        </w:rPr>
        <w:t>this</w:t>
      </w:r>
      <w:r>
        <w:rPr>
          <w:spacing w:val="-5"/>
          <w:sz w:val="20"/>
        </w:rPr>
        <w:t> </w:t>
      </w:r>
      <w:r>
        <w:rPr>
          <w:sz w:val="20"/>
        </w:rPr>
        <w:t>year</w:t>
      </w:r>
      <w:r>
        <w:rPr>
          <w:spacing w:val="-8"/>
          <w:sz w:val="20"/>
        </w:rPr>
        <w:t> </w:t>
      </w:r>
      <w:r>
        <w:rPr>
          <w:sz w:val="20"/>
        </w:rPr>
        <w:t>the</w:t>
      </w:r>
      <w:r>
        <w:rPr>
          <w:spacing w:val="-2"/>
          <w:sz w:val="20"/>
        </w:rPr>
        <w:t> </w:t>
      </w:r>
      <w:r>
        <w:rPr>
          <w:sz w:val="20"/>
        </w:rPr>
        <w:t>Prosecutor</w:t>
      </w:r>
      <w:r>
        <w:rPr>
          <w:spacing w:val="-4"/>
          <w:sz w:val="20"/>
        </w:rPr>
        <w:t> </w:t>
      </w:r>
      <w:r>
        <w:rPr>
          <w:sz w:val="20"/>
        </w:rPr>
        <w:t>outlined</w:t>
      </w:r>
      <w:r>
        <w:rPr>
          <w:spacing w:val="-4"/>
          <w:sz w:val="20"/>
        </w:rPr>
        <w:t> </w:t>
      </w:r>
      <w:r>
        <w:rPr>
          <w:sz w:val="20"/>
        </w:rPr>
        <w:t>a</w:t>
      </w:r>
      <w:r>
        <w:rPr>
          <w:spacing w:val="-7"/>
          <w:sz w:val="20"/>
        </w:rPr>
        <w:t> </w:t>
      </w:r>
      <w:r>
        <w:rPr>
          <w:sz w:val="20"/>
        </w:rPr>
        <w:t>renewed</w:t>
      </w:r>
      <w:r>
        <w:rPr>
          <w:spacing w:val="-4"/>
          <w:sz w:val="20"/>
        </w:rPr>
        <w:t> </w:t>
      </w:r>
      <w:r>
        <w:rPr>
          <w:sz w:val="20"/>
        </w:rPr>
        <w:t>strategy</w:t>
      </w:r>
      <w:r>
        <w:rPr>
          <w:spacing w:val="-4"/>
          <w:sz w:val="20"/>
        </w:rPr>
        <w:t> </w:t>
      </w:r>
      <w:r>
        <w:rPr>
          <w:sz w:val="20"/>
        </w:rPr>
        <w:t>with</w:t>
      </w:r>
      <w:r>
        <w:rPr>
          <w:spacing w:val="-8"/>
          <w:sz w:val="20"/>
        </w:rPr>
        <w:t> </w:t>
      </w:r>
      <w:r>
        <w:rPr>
          <w:sz w:val="20"/>
        </w:rPr>
        <w:t>respect</w:t>
      </w:r>
      <w:r>
        <w:rPr>
          <w:spacing w:val="-7"/>
          <w:sz w:val="20"/>
        </w:rPr>
        <w:t> </w:t>
      </w:r>
      <w:r>
        <w:rPr>
          <w:sz w:val="20"/>
        </w:rPr>
        <w:t>to</w:t>
      </w:r>
      <w:r>
        <w:rPr>
          <w:spacing w:val="-8"/>
          <w:sz w:val="20"/>
        </w:rPr>
        <w:t> </w:t>
      </w:r>
      <w:r>
        <w:rPr>
          <w:sz w:val="20"/>
        </w:rPr>
        <w:t>the</w:t>
      </w:r>
      <w:r>
        <w:rPr>
          <w:spacing w:val="-7"/>
          <w:sz w:val="20"/>
        </w:rPr>
        <w:t> </w:t>
      </w:r>
      <w:r>
        <w:rPr>
          <w:sz w:val="20"/>
        </w:rPr>
        <w:t>Libya situation,</w:t>
      </w:r>
      <w:r>
        <w:rPr>
          <w:spacing w:val="-9"/>
          <w:sz w:val="20"/>
        </w:rPr>
        <w:t> </w:t>
      </w:r>
      <w:r>
        <w:rPr>
          <w:sz w:val="20"/>
        </w:rPr>
        <w:t>detailing</w:t>
      </w:r>
      <w:r>
        <w:rPr>
          <w:spacing w:val="-13"/>
          <w:sz w:val="20"/>
        </w:rPr>
        <w:t> </w:t>
      </w:r>
      <w:r>
        <w:rPr>
          <w:sz w:val="20"/>
        </w:rPr>
        <w:t>a</w:t>
      </w:r>
      <w:r>
        <w:rPr>
          <w:spacing w:val="-3"/>
          <w:sz w:val="20"/>
        </w:rPr>
        <w:t> </w:t>
      </w:r>
      <w:r>
        <w:rPr>
          <w:sz w:val="20"/>
        </w:rPr>
        <w:t>set</w:t>
      </w:r>
      <w:r>
        <w:rPr>
          <w:spacing w:val="-9"/>
          <w:sz w:val="20"/>
        </w:rPr>
        <w:t> </w:t>
      </w:r>
      <w:r>
        <w:rPr>
          <w:sz w:val="20"/>
        </w:rPr>
        <w:t>of</w:t>
      </w:r>
      <w:r>
        <w:rPr>
          <w:spacing w:val="-10"/>
          <w:sz w:val="20"/>
        </w:rPr>
        <w:t> </w:t>
      </w:r>
      <w:r>
        <w:rPr>
          <w:sz w:val="20"/>
        </w:rPr>
        <w:t>key</w:t>
      </w:r>
      <w:r>
        <w:rPr>
          <w:spacing w:val="-10"/>
          <w:sz w:val="20"/>
        </w:rPr>
        <w:t> </w:t>
      </w:r>
      <w:r>
        <w:rPr>
          <w:sz w:val="20"/>
        </w:rPr>
        <w:t>priorities</w:t>
      </w:r>
      <w:r>
        <w:rPr>
          <w:spacing w:val="-11"/>
          <w:sz w:val="20"/>
        </w:rPr>
        <w:t> </w:t>
      </w:r>
      <w:r>
        <w:rPr>
          <w:sz w:val="20"/>
        </w:rPr>
        <w:t>and</w:t>
      </w:r>
      <w:r>
        <w:rPr>
          <w:spacing w:val="-10"/>
          <w:sz w:val="20"/>
        </w:rPr>
        <w:t> </w:t>
      </w:r>
      <w:r>
        <w:rPr>
          <w:sz w:val="20"/>
        </w:rPr>
        <w:t>associated</w:t>
      </w:r>
      <w:r>
        <w:rPr>
          <w:spacing w:val="-10"/>
          <w:sz w:val="20"/>
        </w:rPr>
        <w:t> </w:t>
      </w:r>
      <w:r>
        <w:rPr>
          <w:sz w:val="20"/>
        </w:rPr>
        <w:t>benchmarks. This</w:t>
      </w:r>
      <w:r>
        <w:rPr>
          <w:spacing w:val="-11"/>
          <w:sz w:val="20"/>
        </w:rPr>
        <w:t> </w:t>
      </w:r>
      <w:r>
        <w:rPr>
          <w:sz w:val="20"/>
        </w:rPr>
        <w:t>enhanced</w:t>
      </w:r>
      <w:r>
        <w:rPr>
          <w:spacing w:val="-10"/>
          <w:sz w:val="20"/>
        </w:rPr>
        <w:t> </w:t>
      </w:r>
      <w:r>
        <w:rPr>
          <w:sz w:val="20"/>
        </w:rPr>
        <w:t>strategic approach also reflected the position of the Libya situation as a priority given its status as a referral</w:t>
      </w:r>
      <w:r>
        <w:rPr>
          <w:spacing w:val="-13"/>
          <w:sz w:val="20"/>
        </w:rPr>
        <w:t> </w:t>
      </w:r>
      <w:r>
        <w:rPr>
          <w:sz w:val="20"/>
        </w:rPr>
        <w:t>from</w:t>
      </w:r>
      <w:r>
        <w:rPr>
          <w:spacing w:val="-12"/>
          <w:sz w:val="20"/>
        </w:rPr>
        <w:t> </w:t>
      </w:r>
      <w:r>
        <w:rPr>
          <w:sz w:val="20"/>
        </w:rPr>
        <w:t>the</w:t>
      </w:r>
      <w:r>
        <w:rPr>
          <w:spacing w:val="-13"/>
          <w:sz w:val="20"/>
        </w:rPr>
        <w:t> </w:t>
      </w:r>
      <w:r>
        <w:rPr>
          <w:sz w:val="20"/>
        </w:rPr>
        <w:t>United</w:t>
      </w:r>
      <w:r>
        <w:rPr>
          <w:spacing w:val="-12"/>
          <w:sz w:val="20"/>
        </w:rPr>
        <w:t> </w:t>
      </w:r>
      <w:r>
        <w:rPr>
          <w:sz w:val="20"/>
        </w:rPr>
        <w:t>Nations</w:t>
      </w:r>
      <w:r>
        <w:rPr>
          <w:spacing w:val="-13"/>
          <w:sz w:val="20"/>
        </w:rPr>
        <w:t> </w:t>
      </w:r>
      <w:r>
        <w:rPr>
          <w:sz w:val="20"/>
        </w:rPr>
        <w:t>Security</w:t>
      </w:r>
      <w:r>
        <w:rPr>
          <w:spacing w:val="-12"/>
          <w:sz w:val="20"/>
        </w:rPr>
        <w:t> </w:t>
      </w:r>
      <w:r>
        <w:rPr>
          <w:sz w:val="20"/>
        </w:rPr>
        <w:t>Council.</w:t>
      </w:r>
      <w:r>
        <w:rPr>
          <w:spacing w:val="-5"/>
          <w:sz w:val="20"/>
        </w:rPr>
        <w:t> </w:t>
      </w:r>
      <w:r>
        <w:rPr>
          <w:sz w:val="20"/>
        </w:rPr>
        <w:t>As</w:t>
      </w:r>
      <w:r>
        <w:rPr>
          <w:spacing w:val="-12"/>
          <w:sz w:val="20"/>
        </w:rPr>
        <w:t> </w:t>
      </w:r>
      <w:r>
        <w:rPr>
          <w:sz w:val="20"/>
        </w:rPr>
        <w:t>reflected</w:t>
      </w:r>
      <w:r>
        <w:rPr>
          <w:spacing w:val="-10"/>
          <w:sz w:val="20"/>
        </w:rPr>
        <w:t> </w:t>
      </w:r>
      <w:r>
        <w:rPr>
          <w:sz w:val="20"/>
        </w:rPr>
        <w:t>in</w:t>
      </w:r>
      <w:r>
        <w:rPr>
          <w:spacing w:val="-13"/>
          <w:sz w:val="20"/>
        </w:rPr>
        <w:t> </w:t>
      </w:r>
      <w:r>
        <w:rPr>
          <w:sz w:val="20"/>
        </w:rPr>
        <w:t>the</w:t>
      </w:r>
      <w:r>
        <w:rPr>
          <w:spacing w:val="-12"/>
          <w:sz w:val="20"/>
        </w:rPr>
        <w:t> </w:t>
      </w:r>
      <w:r>
        <w:rPr>
          <w:sz w:val="20"/>
        </w:rPr>
        <w:t>report</w:t>
      </w:r>
      <w:r>
        <w:rPr>
          <w:spacing w:val="-13"/>
          <w:sz w:val="20"/>
        </w:rPr>
        <w:t> </w:t>
      </w:r>
      <w:r>
        <w:rPr>
          <w:sz w:val="20"/>
        </w:rPr>
        <w:t>of</w:t>
      </w:r>
      <w:r>
        <w:rPr>
          <w:spacing w:val="-12"/>
          <w:sz w:val="20"/>
        </w:rPr>
        <w:t> </w:t>
      </w:r>
      <w:r>
        <w:rPr>
          <w:sz w:val="20"/>
        </w:rPr>
        <w:t>the</w:t>
      </w:r>
      <w:r>
        <w:rPr>
          <w:spacing w:val="-9"/>
          <w:sz w:val="20"/>
        </w:rPr>
        <w:t> </w:t>
      </w:r>
      <w:r>
        <w:rPr>
          <w:sz w:val="20"/>
        </w:rPr>
        <w:t>Prosecutor there</w:t>
      </w:r>
      <w:r>
        <w:rPr>
          <w:spacing w:val="-9"/>
          <w:sz w:val="20"/>
        </w:rPr>
        <w:t> </w:t>
      </w:r>
      <w:r>
        <w:rPr>
          <w:sz w:val="20"/>
        </w:rPr>
        <w:t>are</w:t>
      </w:r>
      <w:r>
        <w:rPr>
          <w:spacing w:val="-4"/>
          <w:sz w:val="20"/>
        </w:rPr>
        <w:t> </w:t>
      </w:r>
      <w:r>
        <w:rPr>
          <w:sz w:val="20"/>
        </w:rPr>
        <w:t>significant</w:t>
      </w:r>
      <w:r>
        <w:rPr>
          <w:spacing w:val="-9"/>
          <w:sz w:val="20"/>
        </w:rPr>
        <w:t> </w:t>
      </w:r>
      <w:r>
        <w:rPr>
          <w:sz w:val="20"/>
        </w:rPr>
        <w:t>investigative</w:t>
      </w:r>
      <w:r>
        <w:rPr>
          <w:spacing w:val="-9"/>
          <w:sz w:val="20"/>
        </w:rPr>
        <w:t> </w:t>
      </w:r>
      <w:r>
        <w:rPr>
          <w:sz w:val="20"/>
        </w:rPr>
        <w:t>opportunities</w:t>
      </w:r>
      <w:r>
        <w:rPr>
          <w:spacing w:val="-11"/>
          <w:sz w:val="20"/>
        </w:rPr>
        <w:t> </w:t>
      </w:r>
      <w:r>
        <w:rPr>
          <w:sz w:val="20"/>
        </w:rPr>
        <w:t>and</w:t>
      </w:r>
      <w:r>
        <w:rPr>
          <w:spacing w:val="-10"/>
          <w:sz w:val="20"/>
        </w:rPr>
        <w:t> </w:t>
      </w:r>
      <w:r>
        <w:rPr>
          <w:sz w:val="20"/>
        </w:rPr>
        <w:t>the</w:t>
      </w:r>
      <w:r>
        <w:rPr>
          <w:spacing w:val="-9"/>
          <w:sz w:val="20"/>
        </w:rPr>
        <w:t> </w:t>
      </w:r>
      <w:r>
        <w:rPr>
          <w:sz w:val="20"/>
        </w:rPr>
        <w:t>potential</w:t>
      </w:r>
      <w:r>
        <w:rPr>
          <w:spacing w:val="-9"/>
          <w:sz w:val="20"/>
        </w:rPr>
        <w:t> </w:t>
      </w:r>
      <w:r>
        <w:rPr>
          <w:sz w:val="20"/>
        </w:rPr>
        <w:t>to rapidly</w:t>
      </w:r>
      <w:r>
        <w:rPr>
          <w:spacing w:val="-10"/>
          <w:sz w:val="20"/>
        </w:rPr>
        <w:t> </w:t>
      </w:r>
      <w:r>
        <w:rPr>
          <w:sz w:val="20"/>
        </w:rPr>
        <w:t>advance</w:t>
      </w:r>
      <w:r>
        <w:rPr>
          <w:spacing w:val="-9"/>
          <w:sz w:val="20"/>
        </w:rPr>
        <w:t> </w:t>
      </w:r>
      <w:r>
        <w:rPr>
          <w:sz w:val="20"/>
        </w:rPr>
        <w:t>the</w:t>
      </w:r>
      <w:r>
        <w:rPr>
          <w:spacing w:val="-9"/>
          <w:sz w:val="20"/>
        </w:rPr>
        <w:t> </w:t>
      </w:r>
      <w:r>
        <w:rPr>
          <w:sz w:val="20"/>
        </w:rPr>
        <w:t>work of</w:t>
      </w:r>
      <w:r>
        <w:rPr>
          <w:spacing w:val="-12"/>
          <w:sz w:val="20"/>
        </w:rPr>
        <w:t> </w:t>
      </w:r>
      <w:r>
        <w:rPr>
          <w:sz w:val="20"/>
        </w:rPr>
        <w:t>the</w:t>
      </w:r>
      <w:r>
        <w:rPr>
          <w:spacing w:val="-7"/>
          <w:sz w:val="20"/>
        </w:rPr>
        <w:t> </w:t>
      </w:r>
      <w:r>
        <w:rPr>
          <w:sz w:val="20"/>
        </w:rPr>
        <w:t>Unified</w:t>
      </w:r>
      <w:r>
        <w:rPr>
          <w:spacing w:val="-13"/>
          <w:sz w:val="20"/>
        </w:rPr>
        <w:t> </w:t>
      </w:r>
      <w:r>
        <w:rPr>
          <w:sz w:val="20"/>
        </w:rPr>
        <w:t>Team</w:t>
      </w:r>
      <w:r>
        <w:rPr>
          <w:spacing w:val="-12"/>
          <w:sz w:val="20"/>
        </w:rPr>
        <w:t> </w:t>
      </w:r>
      <w:r>
        <w:rPr>
          <w:sz w:val="20"/>
        </w:rPr>
        <w:t>in</w:t>
      </w:r>
      <w:r>
        <w:rPr>
          <w:spacing w:val="-13"/>
          <w:sz w:val="20"/>
        </w:rPr>
        <w:t> </w:t>
      </w:r>
      <w:r>
        <w:rPr>
          <w:sz w:val="20"/>
        </w:rPr>
        <w:t>the</w:t>
      </w:r>
      <w:r>
        <w:rPr>
          <w:spacing w:val="-12"/>
          <w:sz w:val="20"/>
        </w:rPr>
        <w:t> </w:t>
      </w:r>
      <w:r>
        <w:rPr>
          <w:sz w:val="20"/>
        </w:rPr>
        <w:t>coming</w:t>
      </w:r>
      <w:r>
        <w:rPr>
          <w:spacing w:val="-13"/>
          <w:sz w:val="20"/>
        </w:rPr>
        <w:t> </w:t>
      </w:r>
      <w:r>
        <w:rPr>
          <w:sz w:val="20"/>
        </w:rPr>
        <w:t>months.</w:t>
      </w:r>
      <w:r>
        <w:rPr>
          <w:spacing w:val="-6"/>
          <w:sz w:val="20"/>
        </w:rPr>
        <w:t> </w:t>
      </w:r>
      <w:r>
        <w:rPr>
          <w:sz w:val="20"/>
        </w:rPr>
        <w:t>The</w:t>
      </w:r>
      <w:r>
        <w:rPr>
          <w:spacing w:val="-12"/>
          <w:sz w:val="20"/>
        </w:rPr>
        <w:t> </w:t>
      </w:r>
      <w:r>
        <w:rPr>
          <w:sz w:val="20"/>
        </w:rPr>
        <w:t>position</w:t>
      </w:r>
      <w:r>
        <w:rPr>
          <w:spacing w:val="-9"/>
          <w:sz w:val="20"/>
        </w:rPr>
        <w:t> </w:t>
      </w:r>
      <w:r>
        <w:rPr>
          <w:sz w:val="20"/>
        </w:rPr>
        <w:t>of</w:t>
      </w:r>
      <w:r>
        <w:rPr>
          <w:spacing w:val="-13"/>
          <w:sz w:val="20"/>
        </w:rPr>
        <w:t> </w:t>
      </w:r>
      <w:r>
        <w:rPr>
          <w:sz w:val="20"/>
        </w:rPr>
        <w:t>Senior</w:t>
      </w:r>
      <w:r>
        <w:rPr>
          <w:spacing w:val="-12"/>
          <w:sz w:val="20"/>
        </w:rPr>
        <w:t> </w:t>
      </w:r>
      <w:r>
        <w:rPr>
          <w:sz w:val="20"/>
        </w:rPr>
        <w:t>Investigator</w:t>
      </w:r>
      <w:r>
        <w:rPr>
          <w:spacing w:val="-13"/>
          <w:sz w:val="20"/>
        </w:rPr>
        <w:t> </w:t>
      </w:r>
      <w:r>
        <w:rPr>
          <w:sz w:val="20"/>
        </w:rPr>
        <w:t>will</w:t>
      </w:r>
      <w:r>
        <w:rPr>
          <w:spacing w:val="-12"/>
          <w:sz w:val="20"/>
        </w:rPr>
        <w:t> </w:t>
      </w:r>
      <w:r>
        <w:rPr>
          <w:sz w:val="20"/>
        </w:rPr>
        <w:t>be</w:t>
      </w:r>
      <w:r>
        <w:rPr>
          <w:spacing w:val="-12"/>
          <w:sz w:val="20"/>
        </w:rPr>
        <w:t> </w:t>
      </w:r>
      <w:r>
        <w:rPr>
          <w:sz w:val="20"/>
        </w:rPr>
        <w:t>crucial in leading the investigative aspect of the activities of the Unified Team. The position was requested in previous submissions as an approved GTA but eventually had to be funded through savings in other areas.</w:t>
      </w:r>
    </w:p>
    <w:p>
      <w:pPr>
        <w:pStyle w:val="ListParagraph"/>
        <w:numPr>
          <w:ilvl w:val="0"/>
          <w:numId w:val="4"/>
        </w:numPr>
        <w:tabs>
          <w:tab w:pos="2967" w:val="left" w:leader="none"/>
        </w:tabs>
        <w:spacing w:line="240" w:lineRule="auto" w:before="120" w:after="0"/>
        <w:ind w:left="2246" w:right="2235" w:firstLine="0"/>
        <w:jc w:val="both"/>
        <w:rPr>
          <w:sz w:val="20"/>
        </w:rPr>
      </w:pPr>
      <w:r>
        <w:rPr>
          <w:sz w:val="20"/>
        </w:rPr>
        <w:t>During his first year in Office, the Prosecutor has identified a specific need to enhance knowledge and awareness across Unified Teams with respect to key contextual factors relevant to situation countries. Developing a stronger understanding of the legal, political</w:t>
      </w:r>
      <w:r>
        <w:rPr>
          <w:spacing w:val="-13"/>
          <w:sz w:val="20"/>
        </w:rPr>
        <w:t> </w:t>
      </w:r>
      <w:r>
        <w:rPr>
          <w:sz w:val="20"/>
        </w:rPr>
        <w:t>and</w:t>
      </w:r>
      <w:r>
        <w:rPr>
          <w:spacing w:val="-12"/>
          <w:sz w:val="20"/>
        </w:rPr>
        <w:t> </w:t>
      </w:r>
      <w:r>
        <w:rPr>
          <w:sz w:val="20"/>
        </w:rPr>
        <w:t>social</w:t>
      </w:r>
      <w:r>
        <w:rPr>
          <w:spacing w:val="-13"/>
          <w:sz w:val="20"/>
        </w:rPr>
        <w:t> </w:t>
      </w:r>
      <w:r>
        <w:rPr>
          <w:sz w:val="20"/>
        </w:rPr>
        <w:t>context</w:t>
      </w:r>
      <w:r>
        <w:rPr>
          <w:spacing w:val="-12"/>
          <w:sz w:val="20"/>
        </w:rPr>
        <w:t> </w:t>
      </w:r>
      <w:r>
        <w:rPr>
          <w:sz w:val="20"/>
        </w:rPr>
        <w:t>in</w:t>
      </w:r>
      <w:r>
        <w:rPr>
          <w:spacing w:val="-13"/>
          <w:sz w:val="20"/>
        </w:rPr>
        <w:t> </w:t>
      </w:r>
      <w:r>
        <w:rPr>
          <w:sz w:val="20"/>
        </w:rPr>
        <w:t>which</w:t>
      </w:r>
      <w:r>
        <w:rPr>
          <w:spacing w:val="-12"/>
          <w:sz w:val="20"/>
        </w:rPr>
        <w:t> </w:t>
      </w:r>
      <w:r>
        <w:rPr>
          <w:sz w:val="20"/>
        </w:rPr>
        <w:t>crimes</w:t>
      </w:r>
      <w:r>
        <w:rPr>
          <w:spacing w:val="-13"/>
          <w:sz w:val="20"/>
        </w:rPr>
        <w:t> </w:t>
      </w:r>
      <w:r>
        <w:rPr>
          <w:sz w:val="20"/>
        </w:rPr>
        <w:t>took</w:t>
      </w:r>
      <w:r>
        <w:rPr>
          <w:spacing w:val="-12"/>
          <w:sz w:val="20"/>
        </w:rPr>
        <w:t> </w:t>
      </w:r>
      <w:r>
        <w:rPr>
          <w:sz w:val="20"/>
        </w:rPr>
        <w:t>place,</w:t>
      </w:r>
      <w:r>
        <w:rPr>
          <w:spacing w:val="-13"/>
          <w:sz w:val="20"/>
        </w:rPr>
        <w:t> </w:t>
      </w:r>
      <w:r>
        <w:rPr>
          <w:sz w:val="20"/>
        </w:rPr>
        <w:t>as</w:t>
      </w:r>
      <w:r>
        <w:rPr>
          <w:spacing w:val="-12"/>
          <w:sz w:val="20"/>
        </w:rPr>
        <w:t> </w:t>
      </w:r>
      <w:r>
        <w:rPr>
          <w:sz w:val="20"/>
        </w:rPr>
        <w:t>well</w:t>
      </w:r>
      <w:r>
        <w:rPr>
          <w:spacing w:val="-13"/>
          <w:sz w:val="20"/>
        </w:rPr>
        <w:t> </w:t>
      </w:r>
      <w:r>
        <w:rPr>
          <w:sz w:val="20"/>
        </w:rPr>
        <w:t>as</w:t>
      </w:r>
      <w:r>
        <w:rPr>
          <w:spacing w:val="-12"/>
          <w:sz w:val="20"/>
        </w:rPr>
        <w:t> </w:t>
      </w:r>
      <w:r>
        <w:rPr>
          <w:sz w:val="20"/>
        </w:rPr>
        <w:t>enhancing</w:t>
      </w:r>
      <w:r>
        <w:rPr>
          <w:spacing w:val="-13"/>
          <w:sz w:val="20"/>
        </w:rPr>
        <w:t> </w:t>
      </w:r>
      <w:r>
        <w:rPr>
          <w:sz w:val="20"/>
        </w:rPr>
        <w:t>an</w:t>
      </w:r>
      <w:r>
        <w:rPr>
          <w:spacing w:val="-12"/>
          <w:sz w:val="20"/>
        </w:rPr>
        <w:t> </w:t>
      </w:r>
      <w:r>
        <w:rPr>
          <w:sz w:val="20"/>
        </w:rPr>
        <w:t>understanding of the current political dynamics in place relevant to situations is crucial in accelerating investigations and building a more stable basis on which cases can be constructed.</w:t>
      </w:r>
    </w:p>
    <w:p>
      <w:pPr>
        <w:pStyle w:val="ListParagraph"/>
        <w:numPr>
          <w:ilvl w:val="0"/>
          <w:numId w:val="4"/>
        </w:numPr>
        <w:tabs>
          <w:tab w:pos="2967" w:val="left" w:leader="none"/>
        </w:tabs>
        <w:spacing w:line="240" w:lineRule="auto" w:before="123" w:after="0"/>
        <w:ind w:left="2246" w:right="2236" w:firstLine="0"/>
        <w:jc w:val="both"/>
        <w:rPr>
          <w:sz w:val="20"/>
        </w:rPr>
      </w:pPr>
      <w:r>
        <w:rPr>
          <w:sz w:val="20"/>
        </w:rPr>
        <w:t>To address this, the Office is seeking to equip the Unified Teams with additional country-specific expertise, requesting five (5) Associate Country Experts (P-2). These experts will be assigned to the Unified Teams managing the following situations: Afghanistan, Darfur (Sudan), Venezuela, Bangladesh/Myanmar, Libya.</w:t>
      </w:r>
    </w:p>
    <w:p>
      <w:pPr>
        <w:pStyle w:val="ListParagraph"/>
        <w:numPr>
          <w:ilvl w:val="0"/>
          <w:numId w:val="4"/>
        </w:numPr>
        <w:tabs>
          <w:tab w:pos="2967" w:val="left" w:leader="none"/>
        </w:tabs>
        <w:spacing w:line="240" w:lineRule="auto" w:before="122" w:after="0"/>
        <w:ind w:left="2246" w:right="2240" w:firstLine="0"/>
        <w:jc w:val="both"/>
        <w:rPr>
          <w:sz w:val="20"/>
        </w:rPr>
      </w:pPr>
      <w:r>
        <w:rPr>
          <w:sz w:val="20"/>
        </w:rPr>
        <w:t>In</w:t>
      </w:r>
      <w:r>
        <w:rPr>
          <w:spacing w:val="-5"/>
          <w:sz w:val="20"/>
        </w:rPr>
        <w:t> </w:t>
      </w:r>
      <w:r>
        <w:rPr>
          <w:sz w:val="20"/>
        </w:rPr>
        <w:t>line</w:t>
      </w:r>
      <w:r>
        <w:rPr>
          <w:spacing w:val="-8"/>
          <w:sz w:val="20"/>
        </w:rPr>
        <w:t> </w:t>
      </w:r>
      <w:r>
        <w:rPr>
          <w:sz w:val="20"/>
        </w:rPr>
        <w:t>with</w:t>
      </w:r>
      <w:r>
        <w:rPr>
          <w:spacing w:val="-9"/>
          <w:sz w:val="20"/>
        </w:rPr>
        <w:t> </w:t>
      </w:r>
      <w:r>
        <w:rPr>
          <w:sz w:val="20"/>
        </w:rPr>
        <w:t>the</w:t>
      </w:r>
      <w:r>
        <w:rPr>
          <w:spacing w:val="-8"/>
          <w:sz w:val="20"/>
        </w:rPr>
        <w:t> </w:t>
      </w:r>
      <w:r>
        <w:rPr>
          <w:sz w:val="20"/>
        </w:rPr>
        <w:t>Prosecutor’s</w:t>
      </w:r>
      <w:r>
        <w:rPr>
          <w:spacing w:val="-6"/>
          <w:sz w:val="20"/>
        </w:rPr>
        <w:t> </w:t>
      </w:r>
      <w:r>
        <w:rPr>
          <w:sz w:val="20"/>
        </w:rPr>
        <w:t>vision</w:t>
      </w:r>
      <w:r>
        <w:rPr>
          <w:spacing w:val="-9"/>
          <w:sz w:val="20"/>
        </w:rPr>
        <w:t> </w:t>
      </w:r>
      <w:r>
        <w:rPr>
          <w:sz w:val="20"/>
        </w:rPr>
        <w:t>to</w:t>
      </w:r>
      <w:r>
        <w:rPr>
          <w:spacing w:val="-9"/>
          <w:sz w:val="20"/>
        </w:rPr>
        <w:t> </w:t>
      </w:r>
      <w:r>
        <w:rPr>
          <w:sz w:val="20"/>
        </w:rPr>
        <w:t>increase</w:t>
      </w:r>
      <w:r>
        <w:rPr>
          <w:spacing w:val="-8"/>
          <w:sz w:val="20"/>
        </w:rPr>
        <w:t> </w:t>
      </w:r>
      <w:r>
        <w:rPr>
          <w:sz w:val="20"/>
        </w:rPr>
        <w:t>the</w:t>
      </w:r>
      <w:r>
        <w:rPr>
          <w:spacing w:val="-3"/>
          <w:sz w:val="20"/>
        </w:rPr>
        <w:t> </w:t>
      </w:r>
      <w:r>
        <w:rPr>
          <w:sz w:val="20"/>
        </w:rPr>
        <w:t>presence</w:t>
      </w:r>
      <w:r>
        <w:rPr>
          <w:spacing w:val="-3"/>
          <w:sz w:val="20"/>
        </w:rPr>
        <w:t> </w:t>
      </w:r>
      <w:r>
        <w:rPr>
          <w:sz w:val="20"/>
        </w:rPr>
        <w:t>of</w:t>
      </w:r>
      <w:r>
        <w:rPr>
          <w:spacing w:val="-5"/>
          <w:sz w:val="20"/>
        </w:rPr>
        <w:t> </w:t>
      </w:r>
      <w:r>
        <w:rPr>
          <w:sz w:val="20"/>
        </w:rPr>
        <w:t>the</w:t>
      </w:r>
      <w:r>
        <w:rPr>
          <w:spacing w:val="-3"/>
          <w:sz w:val="20"/>
        </w:rPr>
        <w:t> </w:t>
      </w:r>
      <w:r>
        <w:rPr>
          <w:sz w:val="20"/>
        </w:rPr>
        <w:t>Office</w:t>
      </w:r>
      <w:r>
        <w:rPr>
          <w:spacing w:val="-8"/>
          <w:sz w:val="20"/>
        </w:rPr>
        <w:t> </w:t>
      </w:r>
      <w:r>
        <w:rPr>
          <w:sz w:val="20"/>
        </w:rPr>
        <w:t>in</w:t>
      </w:r>
      <w:r>
        <w:rPr>
          <w:spacing w:val="-9"/>
          <w:sz w:val="20"/>
        </w:rPr>
        <w:t> </w:t>
      </w:r>
      <w:r>
        <w:rPr>
          <w:sz w:val="20"/>
        </w:rPr>
        <w:t>or</w:t>
      </w:r>
      <w:r>
        <w:rPr>
          <w:spacing w:val="-9"/>
          <w:sz w:val="20"/>
        </w:rPr>
        <w:t> </w:t>
      </w:r>
      <w:r>
        <w:rPr>
          <w:sz w:val="20"/>
        </w:rPr>
        <w:t>close to situation countries, a number of new field offices will be opened. The modality of the presence has been discussed with the Registry to ensure effective inter-organ coordination and maximise the efficient use of resources. Local administrative support is therefore necessary in Venezuela, Sudan and Bangladesh. Three Administrative Assistant (GS-OL) positions, one for each field presence, are requested for 2023.</w:t>
      </w:r>
    </w:p>
    <w:p>
      <w:pPr>
        <w:pStyle w:val="BodyText"/>
        <w:spacing w:before="8"/>
      </w:pPr>
    </w:p>
    <w:p>
      <w:pPr>
        <w:spacing w:before="1"/>
        <w:ind w:left="2246" w:right="0" w:firstLine="0"/>
        <w:jc w:val="left"/>
        <w:rPr>
          <w:i/>
          <w:sz w:val="20"/>
        </w:rPr>
      </w:pPr>
      <w:r>
        <w:rPr>
          <w:i/>
          <w:sz w:val="20"/>
        </w:rPr>
        <w:t>National</w:t>
      </w:r>
      <w:r>
        <w:rPr>
          <w:i/>
          <w:spacing w:val="-9"/>
          <w:sz w:val="20"/>
        </w:rPr>
        <w:t> </w:t>
      </w:r>
      <w:r>
        <w:rPr>
          <w:i/>
          <w:sz w:val="20"/>
        </w:rPr>
        <w:t>Professional</w:t>
      </w:r>
      <w:r>
        <w:rPr>
          <w:i/>
          <w:spacing w:val="-8"/>
          <w:sz w:val="20"/>
        </w:rPr>
        <w:t> </w:t>
      </w:r>
      <w:r>
        <w:rPr>
          <w:i/>
          <w:spacing w:val="-2"/>
          <w:sz w:val="20"/>
        </w:rPr>
        <w:t>Officers</w:t>
      </w:r>
    </w:p>
    <w:p>
      <w:pPr>
        <w:pStyle w:val="BodyText"/>
        <w:spacing w:before="10"/>
        <w:rPr>
          <w:i/>
        </w:rPr>
      </w:pPr>
    </w:p>
    <w:p>
      <w:pPr>
        <w:pStyle w:val="ListParagraph"/>
        <w:numPr>
          <w:ilvl w:val="0"/>
          <w:numId w:val="4"/>
        </w:numPr>
        <w:tabs>
          <w:tab w:pos="2967" w:val="left" w:leader="none"/>
        </w:tabs>
        <w:spacing w:line="240" w:lineRule="auto" w:before="0" w:after="0"/>
        <w:ind w:left="2246" w:right="2238" w:firstLine="0"/>
        <w:jc w:val="both"/>
        <w:rPr>
          <w:sz w:val="20"/>
        </w:rPr>
      </w:pPr>
      <w:r>
        <w:rPr>
          <w:sz w:val="20"/>
        </w:rPr>
        <w:t>Two</w:t>
      </w:r>
      <w:r>
        <w:rPr>
          <w:spacing w:val="-5"/>
          <w:sz w:val="20"/>
        </w:rPr>
        <w:t> </w:t>
      </w:r>
      <w:r>
        <w:rPr>
          <w:sz w:val="20"/>
        </w:rPr>
        <w:t>National</w:t>
      </w:r>
      <w:r>
        <w:rPr>
          <w:spacing w:val="-3"/>
          <w:sz w:val="20"/>
        </w:rPr>
        <w:t> </w:t>
      </w:r>
      <w:r>
        <w:rPr>
          <w:sz w:val="20"/>
        </w:rPr>
        <w:t>Professional</w:t>
      </w:r>
      <w:r>
        <w:rPr>
          <w:spacing w:val="-8"/>
          <w:sz w:val="20"/>
        </w:rPr>
        <w:t> </w:t>
      </w:r>
      <w:r>
        <w:rPr>
          <w:sz w:val="20"/>
        </w:rPr>
        <w:t>Officers</w:t>
      </w:r>
      <w:r>
        <w:rPr>
          <w:spacing w:val="-6"/>
          <w:sz w:val="20"/>
        </w:rPr>
        <w:t> </w:t>
      </w:r>
      <w:r>
        <w:rPr>
          <w:sz w:val="20"/>
        </w:rPr>
        <w:t>(NPO)</w:t>
      </w:r>
      <w:r>
        <w:rPr>
          <w:spacing w:val="-9"/>
          <w:sz w:val="20"/>
        </w:rPr>
        <w:t> </w:t>
      </w:r>
      <w:r>
        <w:rPr>
          <w:sz w:val="20"/>
        </w:rPr>
        <w:t>are</w:t>
      </w:r>
      <w:r>
        <w:rPr>
          <w:spacing w:val="-8"/>
          <w:sz w:val="20"/>
        </w:rPr>
        <w:t> </w:t>
      </w:r>
      <w:r>
        <w:rPr>
          <w:sz w:val="20"/>
        </w:rPr>
        <w:t>requested</w:t>
      </w:r>
      <w:r>
        <w:rPr>
          <w:spacing w:val="-9"/>
          <w:sz w:val="20"/>
        </w:rPr>
        <w:t> </w:t>
      </w:r>
      <w:r>
        <w:rPr>
          <w:sz w:val="20"/>
        </w:rPr>
        <w:t>to</w:t>
      </w:r>
      <w:r>
        <w:rPr>
          <w:spacing w:val="-9"/>
          <w:sz w:val="20"/>
        </w:rPr>
        <w:t> </w:t>
      </w:r>
      <w:r>
        <w:rPr>
          <w:sz w:val="20"/>
        </w:rPr>
        <w:t>staff</w:t>
      </w:r>
      <w:r>
        <w:rPr>
          <w:spacing w:val="-9"/>
          <w:sz w:val="20"/>
        </w:rPr>
        <w:t> </w:t>
      </w:r>
      <w:r>
        <w:rPr>
          <w:sz w:val="20"/>
        </w:rPr>
        <w:t>the</w:t>
      </w:r>
      <w:r>
        <w:rPr>
          <w:spacing w:val="-12"/>
          <w:sz w:val="20"/>
        </w:rPr>
        <w:t> </w:t>
      </w:r>
      <w:r>
        <w:rPr>
          <w:sz w:val="20"/>
        </w:rPr>
        <w:t>country</w:t>
      </w:r>
      <w:r>
        <w:rPr>
          <w:spacing w:val="-9"/>
          <w:sz w:val="20"/>
        </w:rPr>
        <w:t> </w:t>
      </w:r>
      <w:r>
        <w:rPr>
          <w:sz w:val="20"/>
        </w:rPr>
        <w:t>offices of the unified teams. The cost of these positions is included in the budget proposal under GTA. The breakdown of NPO positions is shown in the table below. Thanks to the implementation</w:t>
      </w:r>
      <w:r>
        <w:rPr>
          <w:spacing w:val="-5"/>
          <w:sz w:val="20"/>
        </w:rPr>
        <w:t> </w:t>
      </w:r>
      <w:r>
        <w:rPr>
          <w:sz w:val="20"/>
        </w:rPr>
        <w:t>of</w:t>
      </w:r>
      <w:r>
        <w:rPr>
          <w:spacing w:val="-5"/>
          <w:sz w:val="20"/>
        </w:rPr>
        <w:t> </w:t>
      </w:r>
      <w:r>
        <w:rPr>
          <w:sz w:val="20"/>
        </w:rPr>
        <w:t>the</w:t>
      </w:r>
      <w:r>
        <w:rPr>
          <w:spacing w:val="-3"/>
          <w:sz w:val="20"/>
        </w:rPr>
        <w:t> </w:t>
      </w:r>
      <w:r>
        <w:rPr>
          <w:sz w:val="20"/>
        </w:rPr>
        <w:t>NPO</w:t>
      </w:r>
      <w:r>
        <w:rPr>
          <w:spacing w:val="-6"/>
          <w:sz w:val="20"/>
        </w:rPr>
        <w:t> </w:t>
      </w:r>
      <w:r>
        <w:rPr>
          <w:sz w:val="20"/>
        </w:rPr>
        <w:t>category,</w:t>
      </w:r>
      <w:r>
        <w:rPr>
          <w:spacing w:val="-2"/>
          <w:sz w:val="20"/>
        </w:rPr>
        <w:t> </w:t>
      </w:r>
      <w:r>
        <w:rPr>
          <w:sz w:val="20"/>
        </w:rPr>
        <w:t>the</w:t>
      </w:r>
      <w:r>
        <w:rPr>
          <w:spacing w:val="-3"/>
          <w:sz w:val="20"/>
        </w:rPr>
        <w:t> </w:t>
      </w:r>
      <w:r>
        <w:rPr>
          <w:sz w:val="20"/>
        </w:rPr>
        <w:t>Office</w:t>
      </w:r>
      <w:r>
        <w:rPr>
          <w:spacing w:val="-8"/>
          <w:sz w:val="20"/>
        </w:rPr>
        <w:t> </w:t>
      </w:r>
      <w:r>
        <w:rPr>
          <w:sz w:val="20"/>
        </w:rPr>
        <w:t>can</w:t>
      </w:r>
      <w:r>
        <w:rPr>
          <w:spacing w:val="-5"/>
          <w:sz w:val="20"/>
        </w:rPr>
        <w:t> </w:t>
      </w:r>
      <w:r>
        <w:rPr>
          <w:sz w:val="20"/>
        </w:rPr>
        <w:t>secure</w:t>
      </w:r>
      <w:r>
        <w:rPr>
          <w:spacing w:val="-3"/>
          <w:sz w:val="20"/>
        </w:rPr>
        <w:t> </w:t>
      </w:r>
      <w:r>
        <w:rPr>
          <w:sz w:val="20"/>
        </w:rPr>
        <w:t>these</w:t>
      </w:r>
      <w:r>
        <w:rPr>
          <w:spacing w:val="-3"/>
          <w:sz w:val="20"/>
        </w:rPr>
        <w:t> </w:t>
      </w:r>
      <w:r>
        <w:rPr>
          <w:sz w:val="20"/>
        </w:rPr>
        <w:t>resources</w:t>
      </w:r>
      <w:r>
        <w:rPr>
          <w:spacing w:val="-6"/>
          <w:sz w:val="20"/>
        </w:rPr>
        <w:t> </w:t>
      </w:r>
      <w:r>
        <w:rPr>
          <w:sz w:val="20"/>
        </w:rPr>
        <w:t>with</w:t>
      </w:r>
      <w:r>
        <w:rPr>
          <w:spacing w:val="-5"/>
          <w:sz w:val="20"/>
        </w:rPr>
        <w:t> </w:t>
      </w:r>
      <w:r>
        <w:rPr>
          <w:sz w:val="20"/>
        </w:rPr>
        <w:t>efficiencies of €22.4 thousand compared to a situation in which the equivalent positions were recruited as international staff.</w:t>
      </w:r>
    </w:p>
    <w:p>
      <w:pPr>
        <w:pStyle w:val="BodyText"/>
        <w:spacing w:before="7"/>
        <w:rPr>
          <w:sz w:val="10"/>
        </w:rPr>
      </w:pPr>
    </w:p>
    <w:tbl>
      <w:tblPr>
        <w:tblW w:w="0" w:type="auto"/>
        <w:jc w:val="left"/>
        <w:tblInd w:w="2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39"/>
        <w:gridCol w:w="1824"/>
        <w:gridCol w:w="856"/>
        <w:gridCol w:w="836"/>
        <w:gridCol w:w="943"/>
        <w:gridCol w:w="792"/>
      </w:tblGrid>
      <w:tr>
        <w:trPr>
          <w:trHeight w:val="268" w:hRule="atLeast"/>
        </w:trPr>
        <w:tc>
          <w:tcPr>
            <w:tcW w:w="2139" w:type="dxa"/>
            <w:tcBorders>
              <w:top w:val="single" w:sz="4" w:space="0" w:color="000000"/>
              <w:bottom w:val="single" w:sz="4" w:space="0" w:color="000000"/>
            </w:tcBorders>
          </w:tcPr>
          <w:p>
            <w:pPr>
              <w:pStyle w:val="TableParagraph"/>
              <w:spacing w:line="229" w:lineRule="exact" w:before="19"/>
              <w:ind w:left="14"/>
              <w:jc w:val="left"/>
              <w:rPr>
                <w:i/>
                <w:sz w:val="20"/>
              </w:rPr>
            </w:pPr>
            <w:r>
              <w:rPr>
                <w:i/>
                <w:spacing w:val="-2"/>
                <w:sz w:val="20"/>
              </w:rPr>
              <w:t>Title</w:t>
            </w:r>
          </w:p>
        </w:tc>
        <w:tc>
          <w:tcPr>
            <w:tcW w:w="1824" w:type="dxa"/>
            <w:tcBorders>
              <w:top w:val="single" w:sz="4" w:space="0" w:color="000000"/>
              <w:bottom w:val="single" w:sz="4" w:space="0" w:color="000000"/>
            </w:tcBorders>
          </w:tcPr>
          <w:p>
            <w:pPr>
              <w:pStyle w:val="TableParagraph"/>
              <w:spacing w:line="229" w:lineRule="exact" w:before="19"/>
              <w:ind w:right="145"/>
              <w:rPr>
                <w:i/>
                <w:sz w:val="20"/>
              </w:rPr>
            </w:pPr>
            <w:r>
              <w:rPr>
                <w:i/>
                <w:spacing w:val="-2"/>
                <w:sz w:val="20"/>
              </w:rPr>
              <w:t>Grade</w:t>
            </w:r>
          </w:p>
        </w:tc>
        <w:tc>
          <w:tcPr>
            <w:tcW w:w="856" w:type="dxa"/>
            <w:tcBorders>
              <w:top w:val="single" w:sz="4" w:space="0" w:color="000000"/>
              <w:bottom w:val="single" w:sz="4" w:space="0" w:color="000000"/>
            </w:tcBorders>
          </w:tcPr>
          <w:p>
            <w:pPr>
              <w:pStyle w:val="TableParagraph"/>
              <w:spacing w:line="229" w:lineRule="exact" w:before="19"/>
              <w:ind w:right="57"/>
              <w:rPr>
                <w:i/>
                <w:sz w:val="20"/>
              </w:rPr>
            </w:pPr>
            <w:r>
              <w:rPr>
                <w:i/>
                <w:spacing w:val="-2"/>
                <w:sz w:val="20"/>
              </w:rPr>
              <w:t>Number</w:t>
            </w:r>
          </w:p>
        </w:tc>
        <w:tc>
          <w:tcPr>
            <w:tcW w:w="836" w:type="dxa"/>
            <w:tcBorders>
              <w:top w:val="single" w:sz="4" w:space="0" w:color="000000"/>
              <w:bottom w:val="single" w:sz="4" w:space="0" w:color="000000"/>
            </w:tcBorders>
          </w:tcPr>
          <w:p>
            <w:pPr>
              <w:pStyle w:val="TableParagraph"/>
              <w:spacing w:line="229" w:lineRule="exact" w:before="19"/>
              <w:ind w:right="168"/>
              <w:rPr>
                <w:i/>
                <w:sz w:val="20"/>
              </w:rPr>
            </w:pPr>
            <w:r>
              <w:rPr>
                <w:i/>
                <w:spacing w:val="-2"/>
                <w:sz w:val="20"/>
              </w:rPr>
              <w:t>Months</w:t>
            </w:r>
          </w:p>
        </w:tc>
        <w:tc>
          <w:tcPr>
            <w:tcW w:w="943" w:type="dxa"/>
            <w:tcBorders>
              <w:top w:val="single" w:sz="4" w:space="0" w:color="000000"/>
              <w:bottom w:val="single" w:sz="4" w:space="0" w:color="000000"/>
            </w:tcBorders>
          </w:tcPr>
          <w:p>
            <w:pPr>
              <w:pStyle w:val="TableParagraph"/>
              <w:spacing w:line="229" w:lineRule="exact" w:before="19"/>
              <w:ind w:left="169"/>
              <w:jc w:val="left"/>
              <w:rPr>
                <w:i/>
                <w:sz w:val="20"/>
              </w:rPr>
            </w:pPr>
            <w:r>
              <w:rPr>
                <w:i/>
                <w:spacing w:val="-5"/>
                <w:sz w:val="20"/>
              </w:rPr>
              <w:t>FTE</w:t>
            </w:r>
          </w:p>
        </w:tc>
        <w:tc>
          <w:tcPr>
            <w:tcW w:w="792" w:type="dxa"/>
            <w:tcBorders>
              <w:top w:val="single" w:sz="4" w:space="0" w:color="000000"/>
              <w:bottom w:val="single" w:sz="4" w:space="0" w:color="000000"/>
            </w:tcBorders>
          </w:tcPr>
          <w:p>
            <w:pPr>
              <w:pStyle w:val="TableParagraph"/>
              <w:jc w:val="left"/>
              <w:rPr>
                <w:sz w:val="18"/>
              </w:rPr>
            </w:pPr>
          </w:p>
        </w:tc>
      </w:tr>
      <w:tr>
        <w:trPr>
          <w:trHeight w:val="268" w:hRule="atLeast"/>
        </w:trPr>
        <w:tc>
          <w:tcPr>
            <w:tcW w:w="2139" w:type="dxa"/>
            <w:tcBorders>
              <w:top w:val="single" w:sz="4" w:space="0" w:color="000000"/>
              <w:bottom w:val="single" w:sz="4" w:space="0" w:color="000000"/>
            </w:tcBorders>
          </w:tcPr>
          <w:p>
            <w:pPr>
              <w:pStyle w:val="TableParagraph"/>
              <w:spacing w:line="229" w:lineRule="exact" w:before="19"/>
              <w:ind w:left="14"/>
              <w:jc w:val="left"/>
              <w:rPr>
                <w:i/>
                <w:sz w:val="20"/>
              </w:rPr>
            </w:pPr>
            <w:r>
              <w:rPr>
                <w:i/>
                <w:sz w:val="20"/>
              </w:rPr>
              <w:t>Unified</w:t>
            </w:r>
            <w:r>
              <w:rPr>
                <w:i/>
                <w:spacing w:val="-6"/>
                <w:sz w:val="20"/>
              </w:rPr>
              <w:t> </w:t>
            </w:r>
            <w:r>
              <w:rPr>
                <w:i/>
                <w:sz w:val="20"/>
              </w:rPr>
              <w:t>team</w:t>
            </w:r>
            <w:r>
              <w:rPr>
                <w:i/>
                <w:spacing w:val="-2"/>
                <w:sz w:val="20"/>
              </w:rPr>
              <w:t> (Field)</w:t>
            </w:r>
          </w:p>
        </w:tc>
        <w:tc>
          <w:tcPr>
            <w:tcW w:w="1824" w:type="dxa"/>
            <w:tcBorders>
              <w:top w:val="single" w:sz="4" w:space="0" w:color="000000"/>
              <w:bottom w:val="single" w:sz="4" w:space="0" w:color="000000"/>
            </w:tcBorders>
          </w:tcPr>
          <w:p>
            <w:pPr>
              <w:pStyle w:val="TableParagraph"/>
              <w:jc w:val="left"/>
              <w:rPr>
                <w:sz w:val="18"/>
              </w:rPr>
            </w:pPr>
          </w:p>
        </w:tc>
        <w:tc>
          <w:tcPr>
            <w:tcW w:w="856" w:type="dxa"/>
            <w:tcBorders>
              <w:top w:val="single" w:sz="4" w:space="0" w:color="000000"/>
              <w:bottom w:val="single" w:sz="4" w:space="0" w:color="000000"/>
            </w:tcBorders>
          </w:tcPr>
          <w:p>
            <w:pPr>
              <w:pStyle w:val="TableParagraph"/>
              <w:jc w:val="left"/>
              <w:rPr>
                <w:sz w:val="18"/>
              </w:rPr>
            </w:pPr>
          </w:p>
        </w:tc>
        <w:tc>
          <w:tcPr>
            <w:tcW w:w="836" w:type="dxa"/>
            <w:tcBorders>
              <w:top w:val="single" w:sz="4" w:space="0" w:color="000000"/>
              <w:bottom w:val="single" w:sz="4" w:space="0" w:color="000000"/>
            </w:tcBorders>
          </w:tcPr>
          <w:p>
            <w:pPr>
              <w:pStyle w:val="TableParagraph"/>
              <w:jc w:val="left"/>
              <w:rPr>
                <w:sz w:val="18"/>
              </w:rPr>
            </w:pPr>
          </w:p>
        </w:tc>
        <w:tc>
          <w:tcPr>
            <w:tcW w:w="943" w:type="dxa"/>
            <w:tcBorders>
              <w:top w:val="single" w:sz="4" w:space="0" w:color="000000"/>
              <w:bottom w:val="single" w:sz="4" w:space="0" w:color="000000"/>
            </w:tcBorders>
          </w:tcPr>
          <w:p>
            <w:pPr>
              <w:pStyle w:val="TableParagraph"/>
              <w:jc w:val="left"/>
              <w:rPr>
                <w:sz w:val="18"/>
              </w:rPr>
            </w:pPr>
          </w:p>
        </w:tc>
        <w:tc>
          <w:tcPr>
            <w:tcW w:w="792" w:type="dxa"/>
            <w:tcBorders>
              <w:top w:val="single" w:sz="4" w:space="0" w:color="000000"/>
              <w:bottom w:val="single" w:sz="4" w:space="0" w:color="000000"/>
            </w:tcBorders>
          </w:tcPr>
          <w:p>
            <w:pPr>
              <w:pStyle w:val="TableParagraph"/>
              <w:jc w:val="left"/>
              <w:rPr>
                <w:sz w:val="18"/>
              </w:rPr>
            </w:pPr>
          </w:p>
        </w:tc>
      </w:tr>
      <w:tr>
        <w:trPr>
          <w:trHeight w:val="274" w:hRule="atLeast"/>
        </w:trPr>
        <w:tc>
          <w:tcPr>
            <w:tcW w:w="2139" w:type="dxa"/>
            <w:tcBorders>
              <w:top w:val="single" w:sz="4" w:space="0" w:color="000000"/>
            </w:tcBorders>
          </w:tcPr>
          <w:p>
            <w:pPr>
              <w:pStyle w:val="TableParagraph"/>
              <w:spacing w:before="19"/>
              <w:ind w:left="14"/>
              <w:jc w:val="left"/>
              <w:rPr>
                <w:sz w:val="20"/>
              </w:rPr>
            </w:pPr>
            <w:r>
              <w:rPr>
                <w:spacing w:val="-2"/>
                <w:sz w:val="20"/>
              </w:rPr>
              <w:t>Analyst</w:t>
            </w:r>
          </w:p>
        </w:tc>
        <w:tc>
          <w:tcPr>
            <w:tcW w:w="1824" w:type="dxa"/>
            <w:tcBorders>
              <w:top w:val="single" w:sz="4" w:space="0" w:color="000000"/>
            </w:tcBorders>
          </w:tcPr>
          <w:p>
            <w:pPr>
              <w:pStyle w:val="TableParagraph"/>
              <w:spacing w:before="19"/>
              <w:ind w:right="167"/>
              <w:rPr>
                <w:sz w:val="20"/>
              </w:rPr>
            </w:pPr>
            <w:r>
              <w:rPr>
                <w:spacing w:val="-2"/>
                <w:sz w:val="20"/>
              </w:rPr>
              <w:t>NO-</w:t>
            </w:r>
            <w:r>
              <w:rPr>
                <w:spacing w:val="-10"/>
                <w:sz w:val="20"/>
              </w:rPr>
              <w:t>C</w:t>
            </w:r>
          </w:p>
        </w:tc>
        <w:tc>
          <w:tcPr>
            <w:tcW w:w="856" w:type="dxa"/>
            <w:tcBorders>
              <w:top w:val="single" w:sz="4" w:space="0" w:color="000000"/>
            </w:tcBorders>
          </w:tcPr>
          <w:p>
            <w:pPr>
              <w:pStyle w:val="TableParagraph"/>
              <w:spacing w:before="19"/>
              <w:ind w:right="63"/>
              <w:rPr>
                <w:sz w:val="20"/>
              </w:rPr>
            </w:pPr>
            <w:r>
              <w:rPr>
                <w:w w:val="100"/>
                <w:sz w:val="20"/>
              </w:rPr>
              <w:t>1</w:t>
            </w:r>
          </w:p>
        </w:tc>
        <w:tc>
          <w:tcPr>
            <w:tcW w:w="836" w:type="dxa"/>
            <w:tcBorders>
              <w:top w:val="single" w:sz="4" w:space="0" w:color="000000"/>
            </w:tcBorders>
          </w:tcPr>
          <w:p>
            <w:pPr>
              <w:pStyle w:val="TableParagraph"/>
              <w:spacing w:before="19"/>
              <w:ind w:right="174"/>
              <w:rPr>
                <w:sz w:val="20"/>
              </w:rPr>
            </w:pPr>
            <w:r>
              <w:rPr>
                <w:w w:val="100"/>
                <w:sz w:val="20"/>
              </w:rPr>
              <w:t>8</w:t>
            </w:r>
          </w:p>
        </w:tc>
        <w:tc>
          <w:tcPr>
            <w:tcW w:w="943" w:type="dxa"/>
            <w:tcBorders>
              <w:top w:val="single" w:sz="4" w:space="0" w:color="000000"/>
            </w:tcBorders>
          </w:tcPr>
          <w:p>
            <w:pPr>
              <w:pStyle w:val="TableParagraph"/>
              <w:spacing w:before="19"/>
              <w:ind w:left="174"/>
              <w:jc w:val="left"/>
              <w:rPr>
                <w:sz w:val="20"/>
              </w:rPr>
            </w:pPr>
            <w:r>
              <w:rPr>
                <w:spacing w:val="-4"/>
                <w:sz w:val="20"/>
              </w:rPr>
              <w:t>0.67</w:t>
            </w:r>
          </w:p>
        </w:tc>
        <w:tc>
          <w:tcPr>
            <w:tcW w:w="792" w:type="dxa"/>
            <w:tcBorders>
              <w:top w:val="single" w:sz="4" w:space="0" w:color="000000"/>
            </w:tcBorders>
          </w:tcPr>
          <w:p>
            <w:pPr>
              <w:pStyle w:val="TableParagraph"/>
              <w:spacing w:before="19"/>
              <w:ind w:right="-15"/>
              <w:rPr>
                <w:sz w:val="20"/>
              </w:rPr>
            </w:pPr>
            <w:r>
              <w:rPr>
                <w:spacing w:val="-5"/>
                <w:sz w:val="20"/>
              </w:rPr>
              <w:t>New</w:t>
            </w:r>
          </w:p>
        </w:tc>
      </w:tr>
      <w:tr>
        <w:trPr>
          <w:trHeight w:val="267" w:hRule="atLeast"/>
        </w:trPr>
        <w:tc>
          <w:tcPr>
            <w:tcW w:w="2139" w:type="dxa"/>
            <w:tcBorders>
              <w:bottom w:val="single" w:sz="4" w:space="0" w:color="000000"/>
            </w:tcBorders>
          </w:tcPr>
          <w:p>
            <w:pPr>
              <w:pStyle w:val="TableParagraph"/>
              <w:spacing w:line="229" w:lineRule="exact" w:before="18"/>
              <w:ind w:left="14"/>
              <w:jc w:val="left"/>
              <w:rPr>
                <w:sz w:val="20"/>
              </w:rPr>
            </w:pPr>
            <w:r>
              <w:rPr>
                <w:spacing w:val="-2"/>
                <w:sz w:val="20"/>
              </w:rPr>
              <w:t>Investigator</w:t>
            </w:r>
          </w:p>
        </w:tc>
        <w:tc>
          <w:tcPr>
            <w:tcW w:w="1824" w:type="dxa"/>
            <w:tcBorders>
              <w:bottom w:val="single" w:sz="4" w:space="0" w:color="000000"/>
            </w:tcBorders>
          </w:tcPr>
          <w:p>
            <w:pPr>
              <w:pStyle w:val="TableParagraph"/>
              <w:spacing w:line="229" w:lineRule="exact" w:before="18"/>
              <w:ind w:right="167"/>
              <w:rPr>
                <w:sz w:val="20"/>
              </w:rPr>
            </w:pPr>
            <w:r>
              <w:rPr>
                <w:spacing w:val="-2"/>
                <w:sz w:val="20"/>
              </w:rPr>
              <w:t>NO-</w:t>
            </w:r>
            <w:r>
              <w:rPr>
                <w:spacing w:val="-10"/>
                <w:sz w:val="20"/>
              </w:rPr>
              <w:t>C</w:t>
            </w:r>
          </w:p>
        </w:tc>
        <w:tc>
          <w:tcPr>
            <w:tcW w:w="856" w:type="dxa"/>
            <w:tcBorders>
              <w:bottom w:val="single" w:sz="4" w:space="0" w:color="000000"/>
            </w:tcBorders>
          </w:tcPr>
          <w:p>
            <w:pPr>
              <w:pStyle w:val="TableParagraph"/>
              <w:spacing w:line="229" w:lineRule="exact" w:before="18"/>
              <w:ind w:right="63"/>
              <w:rPr>
                <w:sz w:val="20"/>
              </w:rPr>
            </w:pPr>
            <w:r>
              <w:rPr>
                <w:w w:val="100"/>
                <w:sz w:val="20"/>
              </w:rPr>
              <w:t>1</w:t>
            </w:r>
          </w:p>
        </w:tc>
        <w:tc>
          <w:tcPr>
            <w:tcW w:w="836" w:type="dxa"/>
            <w:tcBorders>
              <w:bottom w:val="single" w:sz="4" w:space="0" w:color="000000"/>
            </w:tcBorders>
          </w:tcPr>
          <w:p>
            <w:pPr>
              <w:pStyle w:val="TableParagraph"/>
              <w:spacing w:line="229" w:lineRule="exact" w:before="18"/>
              <w:ind w:right="174"/>
              <w:rPr>
                <w:sz w:val="20"/>
              </w:rPr>
            </w:pPr>
            <w:r>
              <w:rPr>
                <w:w w:val="100"/>
                <w:sz w:val="20"/>
              </w:rPr>
              <w:t>8</w:t>
            </w:r>
          </w:p>
        </w:tc>
        <w:tc>
          <w:tcPr>
            <w:tcW w:w="943" w:type="dxa"/>
            <w:tcBorders>
              <w:bottom w:val="single" w:sz="4" w:space="0" w:color="000000"/>
            </w:tcBorders>
          </w:tcPr>
          <w:p>
            <w:pPr>
              <w:pStyle w:val="TableParagraph"/>
              <w:spacing w:line="229" w:lineRule="exact" w:before="18"/>
              <w:ind w:left="174"/>
              <w:jc w:val="left"/>
              <w:rPr>
                <w:sz w:val="20"/>
              </w:rPr>
            </w:pPr>
            <w:r>
              <w:rPr>
                <w:spacing w:val="-4"/>
                <w:sz w:val="20"/>
              </w:rPr>
              <w:t>0.67</w:t>
            </w:r>
          </w:p>
        </w:tc>
        <w:tc>
          <w:tcPr>
            <w:tcW w:w="792" w:type="dxa"/>
            <w:tcBorders>
              <w:bottom w:val="single" w:sz="4" w:space="0" w:color="000000"/>
            </w:tcBorders>
          </w:tcPr>
          <w:p>
            <w:pPr>
              <w:pStyle w:val="TableParagraph"/>
              <w:spacing w:line="229" w:lineRule="exact" w:before="18"/>
              <w:ind w:right="-15"/>
              <w:rPr>
                <w:sz w:val="20"/>
              </w:rPr>
            </w:pPr>
            <w:r>
              <w:rPr>
                <w:spacing w:val="-5"/>
                <w:sz w:val="20"/>
              </w:rPr>
              <w:t>New</w:t>
            </w:r>
          </w:p>
        </w:tc>
      </w:tr>
      <w:tr>
        <w:trPr>
          <w:trHeight w:val="268" w:hRule="atLeast"/>
        </w:trPr>
        <w:tc>
          <w:tcPr>
            <w:tcW w:w="2139" w:type="dxa"/>
            <w:tcBorders>
              <w:top w:val="single" w:sz="4" w:space="0" w:color="000000"/>
              <w:bottom w:val="single" w:sz="4" w:space="0" w:color="000000"/>
            </w:tcBorders>
          </w:tcPr>
          <w:p>
            <w:pPr>
              <w:pStyle w:val="TableParagraph"/>
              <w:spacing w:line="229" w:lineRule="exact" w:before="19"/>
              <w:ind w:left="14"/>
              <w:jc w:val="left"/>
              <w:rPr>
                <w:b/>
                <w:sz w:val="20"/>
              </w:rPr>
            </w:pPr>
            <w:r>
              <w:rPr>
                <w:b/>
                <w:spacing w:val="-2"/>
                <w:sz w:val="20"/>
              </w:rPr>
              <w:t>Total</w:t>
            </w:r>
          </w:p>
        </w:tc>
        <w:tc>
          <w:tcPr>
            <w:tcW w:w="1824" w:type="dxa"/>
            <w:tcBorders>
              <w:top w:val="single" w:sz="4" w:space="0" w:color="000000"/>
              <w:bottom w:val="single" w:sz="4" w:space="0" w:color="000000"/>
            </w:tcBorders>
          </w:tcPr>
          <w:p>
            <w:pPr>
              <w:pStyle w:val="TableParagraph"/>
              <w:jc w:val="left"/>
              <w:rPr>
                <w:sz w:val="18"/>
              </w:rPr>
            </w:pPr>
          </w:p>
        </w:tc>
        <w:tc>
          <w:tcPr>
            <w:tcW w:w="856" w:type="dxa"/>
            <w:tcBorders>
              <w:top w:val="single" w:sz="4" w:space="0" w:color="000000"/>
              <w:bottom w:val="single" w:sz="4" w:space="0" w:color="000000"/>
            </w:tcBorders>
          </w:tcPr>
          <w:p>
            <w:pPr>
              <w:pStyle w:val="TableParagraph"/>
              <w:spacing w:line="229" w:lineRule="exact" w:before="19"/>
              <w:ind w:right="63"/>
              <w:rPr>
                <w:b/>
                <w:sz w:val="20"/>
              </w:rPr>
            </w:pPr>
            <w:r>
              <w:rPr>
                <w:b/>
                <w:w w:val="100"/>
                <w:sz w:val="20"/>
              </w:rPr>
              <w:t>2</w:t>
            </w:r>
          </w:p>
        </w:tc>
        <w:tc>
          <w:tcPr>
            <w:tcW w:w="836" w:type="dxa"/>
            <w:tcBorders>
              <w:top w:val="single" w:sz="4" w:space="0" w:color="000000"/>
              <w:bottom w:val="single" w:sz="4" w:space="0" w:color="000000"/>
            </w:tcBorders>
          </w:tcPr>
          <w:p>
            <w:pPr>
              <w:pStyle w:val="TableParagraph"/>
              <w:spacing w:line="229" w:lineRule="exact" w:before="19"/>
              <w:ind w:right="174"/>
              <w:rPr>
                <w:b/>
                <w:sz w:val="20"/>
              </w:rPr>
            </w:pPr>
            <w:r>
              <w:rPr>
                <w:b/>
                <w:spacing w:val="-5"/>
                <w:sz w:val="20"/>
              </w:rPr>
              <w:t>16</w:t>
            </w:r>
          </w:p>
        </w:tc>
        <w:tc>
          <w:tcPr>
            <w:tcW w:w="943" w:type="dxa"/>
            <w:tcBorders>
              <w:top w:val="single" w:sz="4" w:space="0" w:color="000000"/>
              <w:bottom w:val="single" w:sz="4" w:space="0" w:color="000000"/>
            </w:tcBorders>
          </w:tcPr>
          <w:p>
            <w:pPr>
              <w:pStyle w:val="TableParagraph"/>
              <w:spacing w:line="229" w:lineRule="exact" w:before="19"/>
              <w:ind w:left="174"/>
              <w:jc w:val="left"/>
              <w:rPr>
                <w:b/>
                <w:sz w:val="20"/>
              </w:rPr>
            </w:pPr>
            <w:r>
              <w:rPr>
                <w:b/>
                <w:spacing w:val="-4"/>
                <w:sz w:val="20"/>
              </w:rPr>
              <w:t>1.34</w:t>
            </w:r>
          </w:p>
        </w:tc>
        <w:tc>
          <w:tcPr>
            <w:tcW w:w="792" w:type="dxa"/>
            <w:tcBorders>
              <w:top w:val="single" w:sz="4" w:space="0" w:color="000000"/>
              <w:bottom w:val="single" w:sz="4" w:space="0" w:color="000000"/>
            </w:tcBorders>
          </w:tcPr>
          <w:p>
            <w:pPr>
              <w:pStyle w:val="TableParagraph"/>
              <w:jc w:val="left"/>
              <w:rPr>
                <w:sz w:val="18"/>
              </w:rPr>
            </w:pPr>
          </w:p>
        </w:tc>
      </w:tr>
    </w:tbl>
    <w:p>
      <w:pPr>
        <w:pStyle w:val="BodyText"/>
        <w:spacing w:before="1"/>
        <w:rPr>
          <w:sz w:val="21"/>
        </w:rPr>
      </w:pPr>
    </w:p>
    <w:p>
      <w:pPr>
        <w:pStyle w:val="Heading3"/>
        <w:tabs>
          <w:tab w:pos="8076" w:val="left" w:leader="none"/>
        </w:tabs>
      </w:pPr>
      <w:r>
        <w:rPr/>
        <w:t>Non-staff</w:t>
      </w:r>
      <w:r>
        <w:rPr>
          <w:spacing w:val="-4"/>
        </w:rPr>
        <w:t> </w:t>
      </w:r>
      <w:r>
        <w:rPr>
          <w:spacing w:val="-2"/>
        </w:rPr>
        <w:t>resources</w:t>
      </w:r>
      <w:r>
        <w:rPr/>
        <w:tab/>
        <w:t>€1,490.8</w:t>
      </w:r>
      <w:r>
        <w:rPr>
          <w:spacing w:val="-6"/>
        </w:rPr>
        <w:t> </w:t>
      </w:r>
      <w:r>
        <w:rPr>
          <w:spacing w:val="-2"/>
        </w:rPr>
        <w:t>thousand</w:t>
      </w:r>
    </w:p>
    <w:p>
      <w:pPr>
        <w:pStyle w:val="BodyText"/>
        <w:spacing w:before="10"/>
        <w:rPr>
          <w:b/>
        </w:rPr>
      </w:pPr>
    </w:p>
    <w:p>
      <w:pPr>
        <w:pStyle w:val="ListParagraph"/>
        <w:numPr>
          <w:ilvl w:val="0"/>
          <w:numId w:val="4"/>
        </w:numPr>
        <w:tabs>
          <w:tab w:pos="2967" w:val="left" w:leader="none"/>
        </w:tabs>
        <w:spacing w:line="240" w:lineRule="auto" w:before="1" w:after="0"/>
        <w:ind w:left="2246" w:right="2237" w:firstLine="0"/>
        <w:jc w:val="both"/>
        <w:rPr>
          <w:sz w:val="20"/>
        </w:rPr>
      </w:pPr>
      <w:r>
        <w:rPr>
          <w:sz w:val="20"/>
        </w:rPr>
        <w:t>The requested amount is required for travel, contractual services and general operating expenses. When the proposed budget for 2022 was submitted, the two Deputy Prosecutors</w:t>
      </w:r>
      <w:r>
        <w:rPr>
          <w:spacing w:val="-12"/>
          <w:sz w:val="20"/>
        </w:rPr>
        <w:t> </w:t>
      </w:r>
      <w:r>
        <w:rPr>
          <w:sz w:val="20"/>
        </w:rPr>
        <w:t>had</w:t>
      </w:r>
      <w:r>
        <w:rPr>
          <w:spacing w:val="-8"/>
          <w:sz w:val="20"/>
        </w:rPr>
        <w:t> </w:t>
      </w:r>
      <w:r>
        <w:rPr>
          <w:sz w:val="20"/>
        </w:rPr>
        <w:t>not</w:t>
      </w:r>
      <w:r>
        <w:rPr>
          <w:spacing w:val="-7"/>
          <w:sz w:val="20"/>
        </w:rPr>
        <w:t> </w:t>
      </w:r>
      <w:r>
        <w:rPr>
          <w:sz w:val="20"/>
        </w:rPr>
        <w:t>yet</w:t>
      </w:r>
      <w:r>
        <w:rPr>
          <w:spacing w:val="-12"/>
          <w:sz w:val="20"/>
        </w:rPr>
        <w:t> </w:t>
      </w:r>
      <w:r>
        <w:rPr>
          <w:sz w:val="20"/>
        </w:rPr>
        <w:t>been</w:t>
      </w:r>
      <w:r>
        <w:rPr>
          <w:spacing w:val="-13"/>
          <w:sz w:val="20"/>
        </w:rPr>
        <w:t> </w:t>
      </w:r>
      <w:r>
        <w:rPr>
          <w:sz w:val="20"/>
        </w:rPr>
        <w:t>elected.</w:t>
      </w:r>
      <w:r>
        <w:rPr>
          <w:spacing w:val="-10"/>
          <w:sz w:val="20"/>
        </w:rPr>
        <w:t> </w:t>
      </w:r>
      <w:r>
        <w:rPr>
          <w:sz w:val="20"/>
        </w:rPr>
        <w:t>The</w:t>
      </w:r>
      <w:r>
        <w:rPr>
          <w:spacing w:val="-12"/>
          <w:sz w:val="20"/>
        </w:rPr>
        <w:t> </w:t>
      </w:r>
      <w:r>
        <w:rPr>
          <w:sz w:val="20"/>
        </w:rPr>
        <w:t>proposal</w:t>
      </w:r>
      <w:r>
        <w:rPr>
          <w:spacing w:val="-7"/>
          <w:sz w:val="20"/>
        </w:rPr>
        <w:t> </w:t>
      </w:r>
      <w:r>
        <w:rPr>
          <w:sz w:val="20"/>
        </w:rPr>
        <w:t>presented</w:t>
      </w:r>
      <w:r>
        <w:rPr>
          <w:spacing w:val="-13"/>
          <w:sz w:val="20"/>
        </w:rPr>
        <w:t> </w:t>
      </w:r>
      <w:r>
        <w:rPr>
          <w:sz w:val="20"/>
        </w:rPr>
        <w:t>the</w:t>
      </w:r>
      <w:r>
        <w:rPr>
          <w:spacing w:val="-11"/>
          <w:sz w:val="20"/>
        </w:rPr>
        <w:t> </w:t>
      </w:r>
      <w:r>
        <w:rPr>
          <w:sz w:val="20"/>
        </w:rPr>
        <w:t>resources</w:t>
      </w:r>
      <w:r>
        <w:rPr>
          <w:spacing w:val="-13"/>
          <w:sz w:val="20"/>
        </w:rPr>
        <w:t> </w:t>
      </w:r>
      <w:r>
        <w:rPr>
          <w:sz w:val="20"/>
        </w:rPr>
        <w:t>of</w:t>
      </w:r>
      <w:r>
        <w:rPr>
          <w:spacing w:val="-8"/>
          <w:sz w:val="20"/>
        </w:rPr>
        <w:t> </w:t>
      </w:r>
      <w:r>
        <w:rPr>
          <w:sz w:val="20"/>
        </w:rPr>
        <w:t>the</w:t>
      </w:r>
      <w:r>
        <w:rPr>
          <w:spacing w:val="-7"/>
          <w:sz w:val="20"/>
        </w:rPr>
        <w:t> </w:t>
      </w:r>
      <w:r>
        <w:rPr>
          <w:sz w:val="20"/>
        </w:rPr>
        <w:t>prosecution pillars</w:t>
      </w:r>
      <w:r>
        <w:rPr>
          <w:spacing w:val="-10"/>
          <w:sz w:val="20"/>
        </w:rPr>
        <w:t> </w:t>
      </w:r>
      <w:r>
        <w:rPr>
          <w:sz w:val="20"/>
        </w:rPr>
        <w:t>together</w:t>
      </w:r>
      <w:r>
        <w:rPr>
          <w:spacing w:val="-4"/>
          <w:sz w:val="20"/>
        </w:rPr>
        <w:t> </w:t>
      </w:r>
      <w:r>
        <w:rPr>
          <w:sz w:val="20"/>
        </w:rPr>
        <w:t>with</w:t>
      </w:r>
      <w:r>
        <w:rPr>
          <w:spacing w:val="-8"/>
          <w:sz w:val="20"/>
        </w:rPr>
        <w:t> </w:t>
      </w:r>
      <w:r>
        <w:rPr>
          <w:sz w:val="20"/>
        </w:rPr>
        <w:t>the</w:t>
      </w:r>
      <w:r>
        <w:rPr>
          <w:spacing w:val="-7"/>
          <w:sz w:val="20"/>
        </w:rPr>
        <w:t> </w:t>
      </w:r>
      <w:r>
        <w:rPr>
          <w:sz w:val="20"/>
        </w:rPr>
        <w:t>caveat</w:t>
      </w:r>
      <w:r>
        <w:rPr>
          <w:spacing w:val="-7"/>
          <w:sz w:val="20"/>
        </w:rPr>
        <w:t> </w:t>
      </w:r>
      <w:r>
        <w:rPr>
          <w:sz w:val="20"/>
        </w:rPr>
        <w:t>that</w:t>
      </w:r>
      <w:r>
        <w:rPr>
          <w:spacing w:val="-7"/>
          <w:sz w:val="20"/>
        </w:rPr>
        <w:t> </w:t>
      </w:r>
      <w:r>
        <w:rPr>
          <w:sz w:val="20"/>
        </w:rPr>
        <w:t>the</w:t>
      </w:r>
      <w:r>
        <w:rPr>
          <w:spacing w:val="-7"/>
          <w:sz w:val="20"/>
        </w:rPr>
        <w:t> </w:t>
      </w:r>
      <w:r>
        <w:rPr>
          <w:sz w:val="20"/>
        </w:rPr>
        <w:t>actual</w:t>
      </w:r>
      <w:r>
        <w:rPr>
          <w:spacing w:val="-2"/>
          <w:sz w:val="20"/>
        </w:rPr>
        <w:t> </w:t>
      </w:r>
      <w:r>
        <w:rPr>
          <w:sz w:val="20"/>
        </w:rPr>
        <w:t>split</w:t>
      </w:r>
      <w:r>
        <w:rPr>
          <w:spacing w:val="-2"/>
          <w:sz w:val="20"/>
        </w:rPr>
        <w:t> </w:t>
      </w:r>
      <w:r>
        <w:rPr>
          <w:sz w:val="20"/>
        </w:rPr>
        <w:t>of</w:t>
      </w:r>
      <w:r>
        <w:rPr>
          <w:spacing w:val="-8"/>
          <w:sz w:val="20"/>
        </w:rPr>
        <w:t> </w:t>
      </w:r>
      <w:r>
        <w:rPr>
          <w:sz w:val="20"/>
        </w:rPr>
        <w:t>staff</w:t>
      </w:r>
      <w:r>
        <w:rPr>
          <w:spacing w:val="-8"/>
          <w:sz w:val="20"/>
        </w:rPr>
        <w:t> </w:t>
      </w:r>
      <w:r>
        <w:rPr>
          <w:sz w:val="20"/>
        </w:rPr>
        <w:t>and</w:t>
      </w:r>
      <w:r>
        <w:rPr>
          <w:spacing w:val="-4"/>
          <w:sz w:val="20"/>
        </w:rPr>
        <w:t> </w:t>
      </w:r>
      <w:r>
        <w:rPr>
          <w:sz w:val="20"/>
        </w:rPr>
        <w:t>non-staff</w:t>
      </w:r>
      <w:r>
        <w:rPr>
          <w:spacing w:val="-8"/>
          <w:sz w:val="20"/>
        </w:rPr>
        <w:t> </w:t>
      </w:r>
      <w:r>
        <w:rPr>
          <w:sz w:val="20"/>
        </w:rPr>
        <w:t>costs</w:t>
      </w:r>
      <w:r>
        <w:rPr>
          <w:spacing w:val="-5"/>
          <w:sz w:val="20"/>
        </w:rPr>
        <w:t> </w:t>
      </w:r>
      <w:r>
        <w:rPr>
          <w:sz w:val="20"/>
        </w:rPr>
        <w:t>would</w:t>
      </w:r>
      <w:r>
        <w:rPr>
          <w:spacing w:val="-8"/>
          <w:sz w:val="20"/>
        </w:rPr>
        <w:t> </w:t>
      </w:r>
      <w:r>
        <w:rPr>
          <w:sz w:val="20"/>
        </w:rPr>
        <w:t>be</w:t>
      </w:r>
      <w:r>
        <w:rPr>
          <w:spacing w:val="-7"/>
          <w:sz w:val="20"/>
        </w:rPr>
        <w:t> </w:t>
      </w:r>
      <w:r>
        <w:rPr>
          <w:sz w:val="20"/>
        </w:rPr>
        <w:t>done once the Deputy Prosecutors had been elected and the split of situations and cases agreed. When the budget was approved, the funds for travel were split equally between the two pillars. Now</w:t>
      </w:r>
      <w:r>
        <w:rPr>
          <w:spacing w:val="-1"/>
          <w:sz w:val="20"/>
        </w:rPr>
        <w:t> </w:t>
      </w:r>
      <w:r>
        <w:rPr>
          <w:sz w:val="20"/>
        </w:rPr>
        <w:t>that the allocation has</w:t>
      </w:r>
      <w:r>
        <w:rPr>
          <w:spacing w:val="-1"/>
          <w:sz w:val="20"/>
        </w:rPr>
        <w:t> </w:t>
      </w:r>
      <w:r>
        <w:rPr>
          <w:sz w:val="20"/>
        </w:rPr>
        <w:t>been finalized, the request for funds</w:t>
      </w:r>
      <w:r>
        <w:rPr>
          <w:spacing w:val="-1"/>
          <w:sz w:val="20"/>
        </w:rPr>
        <w:t> </w:t>
      </w:r>
      <w:r>
        <w:rPr>
          <w:sz w:val="20"/>
        </w:rPr>
        <w:t>to finance missions has been linked to the actual situation and cases managed by each pillar. Unless otherwise indicated, the resource request is recurrent.</w:t>
      </w:r>
    </w:p>
    <w:p>
      <w:pPr>
        <w:pStyle w:val="BodyText"/>
        <w:spacing w:before="9"/>
      </w:pPr>
    </w:p>
    <w:p>
      <w:pPr>
        <w:tabs>
          <w:tab w:pos="8133" w:val="left" w:leader="none"/>
        </w:tabs>
        <w:spacing w:before="0"/>
        <w:ind w:left="2246" w:right="0" w:firstLine="0"/>
        <w:jc w:val="left"/>
        <w:rPr>
          <w:i/>
          <w:sz w:val="20"/>
        </w:rPr>
      </w:pPr>
      <w:r>
        <w:rPr>
          <w:i/>
          <w:spacing w:val="-2"/>
          <w:sz w:val="20"/>
        </w:rPr>
        <w:t>Travel</w:t>
      </w:r>
      <w:r>
        <w:rPr>
          <w:i/>
          <w:sz w:val="20"/>
        </w:rPr>
        <w:tab/>
        <w:t>€1,040.8</w:t>
      </w:r>
      <w:r>
        <w:rPr>
          <w:i/>
          <w:spacing w:val="-4"/>
          <w:sz w:val="20"/>
        </w:rPr>
        <w:t> </w:t>
      </w:r>
      <w:r>
        <w:rPr>
          <w:i/>
          <w:spacing w:val="-2"/>
          <w:sz w:val="20"/>
        </w:rPr>
        <w:t>thousand</w:t>
      </w:r>
    </w:p>
    <w:p>
      <w:pPr>
        <w:pStyle w:val="BodyText"/>
        <w:spacing w:before="11"/>
        <w:rPr>
          <w:i/>
        </w:rPr>
      </w:pPr>
    </w:p>
    <w:p>
      <w:pPr>
        <w:pStyle w:val="ListParagraph"/>
        <w:numPr>
          <w:ilvl w:val="0"/>
          <w:numId w:val="4"/>
        </w:numPr>
        <w:tabs>
          <w:tab w:pos="2967" w:val="left" w:leader="none"/>
        </w:tabs>
        <w:spacing w:line="240" w:lineRule="auto" w:before="0" w:after="0"/>
        <w:ind w:left="2246" w:right="2240" w:firstLine="0"/>
        <w:jc w:val="both"/>
        <w:rPr>
          <w:sz w:val="20"/>
        </w:rPr>
      </w:pPr>
      <w:r>
        <w:rPr>
          <w:sz w:val="20"/>
        </w:rPr>
        <w:t>The</w:t>
      </w:r>
      <w:r>
        <w:rPr>
          <w:spacing w:val="-7"/>
          <w:sz w:val="20"/>
        </w:rPr>
        <w:t> </w:t>
      </w:r>
      <w:r>
        <w:rPr>
          <w:sz w:val="20"/>
        </w:rPr>
        <w:t>Office</w:t>
      </w:r>
      <w:r>
        <w:rPr>
          <w:spacing w:val="-7"/>
          <w:sz w:val="20"/>
        </w:rPr>
        <w:t> </w:t>
      </w:r>
      <w:r>
        <w:rPr>
          <w:sz w:val="20"/>
        </w:rPr>
        <w:t>as</w:t>
      </w:r>
      <w:r>
        <w:rPr>
          <w:spacing w:val="-10"/>
          <w:sz w:val="20"/>
        </w:rPr>
        <w:t> </w:t>
      </w:r>
      <w:r>
        <w:rPr>
          <w:sz w:val="20"/>
        </w:rPr>
        <w:t>a</w:t>
      </w:r>
      <w:r>
        <w:rPr>
          <w:spacing w:val="-7"/>
          <w:sz w:val="20"/>
        </w:rPr>
        <w:t> </w:t>
      </w:r>
      <w:r>
        <w:rPr>
          <w:sz w:val="20"/>
        </w:rPr>
        <w:t>whole</w:t>
      </w:r>
      <w:r>
        <w:rPr>
          <w:spacing w:val="-7"/>
          <w:sz w:val="20"/>
        </w:rPr>
        <w:t> </w:t>
      </w:r>
      <w:r>
        <w:rPr>
          <w:sz w:val="20"/>
        </w:rPr>
        <w:t>continues</w:t>
      </w:r>
      <w:r>
        <w:rPr>
          <w:spacing w:val="-10"/>
          <w:sz w:val="20"/>
        </w:rPr>
        <w:t> </w:t>
      </w:r>
      <w:r>
        <w:rPr>
          <w:sz w:val="20"/>
        </w:rPr>
        <w:t>to</w:t>
      </w:r>
      <w:r>
        <w:rPr>
          <w:spacing w:val="-8"/>
          <w:sz w:val="20"/>
        </w:rPr>
        <w:t> </w:t>
      </w:r>
      <w:r>
        <w:rPr>
          <w:sz w:val="20"/>
        </w:rPr>
        <w:t>pay</w:t>
      </w:r>
      <w:r>
        <w:rPr>
          <w:spacing w:val="-13"/>
          <w:sz w:val="20"/>
        </w:rPr>
        <w:t> </w:t>
      </w:r>
      <w:r>
        <w:rPr>
          <w:sz w:val="20"/>
        </w:rPr>
        <w:t>considerable</w:t>
      </w:r>
      <w:r>
        <w:rPr>
          <w:spacing w:val="-6"/>
          <w:sz w:val="20"/>
        </w:rPr>
        <w:t> </w:t>
      </w:r>
      <w:r>
        <w:rPr>
          <w:sz w:val="20"/>
        </w:rPr>
        <w:t>attention</w:t>
      </w:r>
      <w:r>
        <w:rPr>
          <w:spacing w:val="-8"/>
          <w:sz w:val="20"/>
        </w:rPr>
        <w:t> </w:t>
      </w:r>
      <w:r>
        <w:rPr>
          <w:sz w:val="20"/>
        </w:rPr>
        <w:t>to</w:t>
      </w:r>
      <w:r>
        <w:rPr>
          <w:spacing w:val="-13"/>
          <w:sz w:val="20"/>
        </w:rPr>
        <w:t> </w:t>
      </w:r>
      <w:r>
        <w:rPr>
          <w:sz w:val="20"/>
        </w:rPr>
        <w:t>identifying</w:t>
      </w:r>
      <w:r>
        <w:rPr>
          <w:spacing w:val="-7"/>
          <w:sz w:val="20"/>
        </w:rPr>
        <w:t> </w:t>
      </w:r>
      <w:r>
        <w:rPr>
          <w:sz w:val="20"/>
        </w:rPr>
        <w:t>savings and efficiencies related to travel. Programme 2600 will manage eight investigations in different</w:t>
      </w:r>
      <w:r>
        <w:rPr>
          <w:spacing w:val="17"/>
          <w:sz w:val="20"/>
        </w:rPr>
        <w:t> </w:t>
      </w:r>
      <w:r>
        <w:rPr>
          <w:sz w:val="20"/>
        </w:rPr>
        <w:t>phases.</w:t>
      </w:r>
      <w:r>
        <w:rPr>
          <w:spacing w:val="13"/>
          <w:sz w:val="20"/>
        </w:rPr>
        <w:t> </w:t>
      </w:r>
      <w:r>
        <w:rPr>
          <w:sz w:val="20"/>
        </w:rPr>
        <w:t>The increased</w:t>
      </w:r>
      <w:r>
        <w:rPr>
          <w:spacing w:val="15"/>
          <w:sz w:val="20"/>
        </w:rPr>
        <w:t> </w:t>
      </w:r>
      <w:r>
        <w:rPr>
          <w:sz w:val="20"/>
        </w:rPr>
        <w:t>field presence</w:t>
      </w:r>
      <w:r>
        <w:rPr>
          <w:spacing w:val="17"/>
          <w:sz w:val="20"/>
        </w:rPr>
        <w:t> </w:t>
      </w:r>
      <w:r>
        <w:rPr>
          <w:sz w:val="20"/>
        </w:rPr>
        <w:t>of</w:t>
      </w:r>
      <w:r>
        <w:rPr>
          <w:spacing w:val="16"/>
          <w:sz w:val="20"/>
        </w:rPr>
        <w:t> </w:t>
      </w:r>
      <w:r>
        <w:rPr>
          <w:sz w:val="20"/>
        </w:rPr>
        <w:t>the</w:t>
      </w:r>
      <w:r>
        <w:rPr>
          <w:spacing w:val="17"/>
          <w:sz w:val="20"/>
        </w:rPr>
        <w:t> </w:t>
      </w:r>
      <w:r>
        <w:rPr>
          <w:sz w:val="20"/>
        </w:rPr>
        <w:t>Office</w:t>
      </w:r>
      <w:r>
        <w:rPr>
          <w:spacing w:val="17"/>
          <w:sz w:val="20"/>
        </w:rPr>
        <w:t> </w:t>
      </w:r>
      <w:r>
        <w:rPr>
          <w:sz w:val="20"/>
        </w:rPr>
        <w:t>and</w:t>
      </w:r>
      <w:r>
        <w:rPr>
          <w:spacing w:val="15"/>
          <w:sz w:val="20"/>
        </w:rPr>
        <w:t> </w:t>
      </w:r>
      <w:r>
        <w:rPr>
          <w:sz w:val="20"/>
        </w:rPr>
        <w:t>the</w:t>
      </w:r>
      <w:r>
        <w:rPr>
          <w:spacing w:val="17"/>
          <w:sz w:val="20"/>
        </w:rPr>
        <w:t> </w:t>
      </w:r>
      <w:r>
        <w:rPr>
          <w:sz w:val="20"/>
        </w:rPr>
        <w:t>adoption</w:t>
      </w:r>
      <w:r>
        <w:rPr>
          <w:spacing w:val="15"/>
          <w:sz w:val="20"/>
        </w:rPr>
        <w:t> </w:t>
      </w:r>
      <w:r>
        <w:rPr>
          <w:sz w:val="20"/>
        </w:rPr>
        <w:t>of a</w:t>
      </w:r>
      <w:r>
        <w:rPr>
          <w:spacing w:val="17"/>
          <w:sz w:val="20"/>
        </w:rPr>
        <w:t> </w:t>
      </w:r>
      <w:r>
        <w:rPr>
          <w:sz w:val="20"/>
        </w:rPr>
        <w:t>flexible</w:t>
      </w:r>
    </w:p>
    <w:p>
      <w:pPr>
        <w:spacing w:after="0" w:line="240" w:lineRule="auto"/>
        <w:jc w:val="both"/>
        <w:rPr>
          <w:sz w:val="20"/>
        </w:rPr>
        <w:sectPr>
          <w:pgSz w:w="11910" w:h="16840"/>
          <w:pgMar w:header="957" w:footer="940" w:top="1140" w:bottom="1140" w:left="20" w:right="20"/>
        </w:sectPr>
      </w:pPr>
    </w:p>
    <w:p>
      <w:pPr>
        <w:pStyle w:val="BodyText"/>
        <w:spacing w:before="124"/>
        <w:ind w:left="2246" w:right="2251"/>
        <w:jc w:val="both"/>
      </w:pPr>
      <w:r>
        <w:rPr/>
        <w:t>approach to the use of resources will help to offset a part of the travel costs for 2023. In addition,</w:t>
      </w:r>
      <w:r>
        <w:rPr>
          <w:spacing w:val="-9"/>
        </w:rPr>
        <w:t> </w:t>
      </w:r>
      <w:r>
        <w:rPr/>
        <w:t>measures</w:t>
      </w:r>
      <w:r>
        <w:rPr>
          <w:spacing w:val="-6"/>
        </w:rPr>
        <w:t> </w:t>
      </w:r>
      <w:r>
        <w:rPr/>
        <w:t>to</w:t>
      </w:r>
      <w:r>
        <w:rPr>
          <w:spacing w:val="-9"/>
        </w:rPr>
        <w:t> </w:t>
      </w:r>
      <w:r>
        <w:rPr/>
        <w:t>reduce</w:t>
      </w:r>
      <w:r>
        <w:rPr>
          <w:spacing w:val="-8"/>
        </w:rPr>
        <w:t> </w:t>
      </w:r>
      <w:r>
        <w:rPr/>
        <w:t>accommodation</w:t>
      </w:r>
      <w:r>
        <w:rPr>
          <w:spacing w:val="-9"/>
        </w:rPr>
        <w:t> </w:t>
      </w:r>
      <w:r>
        <w:rPr/>
        <w:t>and</w:t>
      </w:r>
      <w:r>
        <w:rPr>
          <w:spacing w:val="-9"/>
        </w:rPr>
        <w:t> </w:t>
      </w:r>
      <w:r>
        <w:rPr/>
        <w:t>DSA</w:t>
      </w:r>
      <w:r>
        <w:rPr>
          <w:spacing w:val="-6"/>
        </w:rPr>
        <w:t> </w:t>
      </w:r>
      <w:r>
        <w:rPr/>
        <w:t>costs</w:t>
      </w:r>
      <w:r>
        <w:rPr>
          <w:spacing w:val="-13"/>
        </w:rPr>
        <w:t> </w:t>
      </w:r>
      <w:r>
        <w:rPr/>
        <w:t>in</w:t>
      </w:r>
      <w:r>
        <w:rPr>
          <w:spacing w:val="-4"/>
        </w:rPr>
        <w:t> </w:t>
      </w:r>
      <w:r>
        <w:rPr/>
        <w:t>the</w:t>
      </w:r>
      <w:r>
        <w:rPr>
          <w:spacing w:val="-3"/>
        </w:rPr>
        <w:t> </w:t>
      </w:r>
      <w:r>
        <w:rPr/>
        <w:t>situation</w:t>
      </w:r>
      <w:r>
        <w:rPr>
          <w:spacing w:val="-9"/>
        </w:rPr>
        <w:t> </w:t>
      </w:r>
      <w:r>
        <w:rPr/>
        <w:t>countries</w:t>
      </w:r>
      <w:r>
        <w:rPr>
          <w:spacing w:val="-6"/>
        </w:rPr>
        <w:t> </w:t>
      </w:r>
      <w:r>
        <w:rPr/>
        <w:t>where teams are deployed on mission will continue to be sought.</w:t>
      </w:r>
    </w:p>
    <w:p>
      <w:pPr>
        <w:pStyle w:val="ListParagraph"/>
        <w:numPr>
          <w:ilvl w:val="0"/>
          <w:numId w:val="4"/>
        </w:numPr>
        <w:tabs>
          <w:tab w:pos="2967" w:val="left" w:leader="none"/>
        </w:tabs>
        <w:spacing w:line="240" w:lineRule="auto" w:before="122" w:after="0"/>
        <w:ind w:left="2246" w:right="2240" w:firstLine="0"/>
        <w:jc w:val="both"/>
        <w:rPr>
          <w:sz w:val="20"/>
        </w:rPr>
      </w:pPr>
      <w:r>
        <w:rPr>
          <w:sz w:val="20"/>
        </w:rPr>
        <w:t>The 2023 budget reflects an estimated increase in the volume of missions undertaken by Office staff compared to the past two years,</w:t>
      </w:r>
      <w:r>
        <w:rPr>
          <w:spacing w:val="-1"/>
          <w:sz w:val="20"/>
        </w:rPr>
        <w:t> </w:t>
      </w:r>
      <w:r>
        <w:rPr>
          <w:sz w:val="20"/>
        </w:rPr>
        <w:t>which were heavily conditioned by the pandemic limitations, as Unified Teams seek to reengage in-person with affected communities,</w:t>
      </w:r>
      <w:r>
        <w:rPr>
          <w:spacing w:val="-6"/>
          <w:sz w:val="20"/>
        </w:rPr>
        <w:t> </w:t>
      </w:r>
      <w:r>
        <w:rPr>
          <w:sz w:val="20"/>
        </w:rPr>
        <w:t>national</w:t>
      </w:r>
      <w:r>
        <w:rPr>
          <w:spacing w:val="-2"/>
          <w:sz w:val="20"/>
        </w:rPr>
        <w:t> </w:t>
      </w:r>
      <w:r>
        <w:rPr>
          <w:sz w:val="20"/>
        </w:rPr>
        <w:t>authorities</w:t>
      </w:r>
      <w:r>
        <w:rPr>
          <w:spacing w:val="-10"/>
          <w:sz w:val="20"/>
        </w:rPr>
        <w:t> </w:t>
      </w:r>
      <w:r>
        <w:rPr>
          <w:sz w:val="20"/>
        </w:rPr>
        <w:t>and</w:t>
      </w:r>
      <w:r>
        <w:rPr>
          <w:spacing w:val="-8"/>
          <w:sz w:val="20"/>
        </w:rPr>
        <w:t> </w:t>
      </w:r>
      <w:r>
        <w:rPr>
          <w:sz w:val="20"/>
        </w:rPr>
        <w:t>other</w:t>
      </w:r>
      <w:r>
        <w:rPr>
          <w:spacing w:val="-8"/>
          <w:sz w:val="20"/>
        </w:rPr>
        <w:t> </w:t>
      </w:r>
      <w:r>
        <w:rPr>
          <w:sz w:val="20"/>
        </w:rPr>
        <w:t>key</w:t>
      </w:r>
      <w:r>
        <w:rPr>
          <w:spacing w:val="-8"/>
          <w:sz w:val="20"/>
        </w:rPr>
        <w:t> </w:t>
      </w:r>
      <w:r>
        <w:rPr>
          <w:sz w:val="20"/>
        </w:rPr>
        <w:t>actors</w:t>
      </w:r>
      <w:r>
        <w:rPr>
          <w:spacing w:val="-5"/>
          <w:sz w:val="20"/>
        </w:rPr>
        <w:t> </w:t>
      </w:r>
      <w:r>
        <w:rPr>
          <w:sz w:val="20"/>
        </w:rPr>
        <w:t>in-person</w:t>
      </w:r>
      <w:r>
        <w:rPr>
          <w:spacing w:val="-4"/>
          <w:sz w:val="20"/>
        </w:rPr>
        <w:t> </w:t>
      </w:r>
      <w:r>
        <w:rPr>
          <w:sz w:val="20"/>
        </w:rPr>
        <w:t>to</w:t>
      </w:r>
      <w:r>
        <w:rPr>
          <w:spacing w:val="-8"/>
          <w:sz w:val="20"/>
        </w:rPr>
        <w:t> </w:t>
      </w:r>
      <w:r>
        <w:rPr>
          <w:sz w:val="20"/>
        </w:rPr>
        <w:t>accelerate</w:t>
      </w:r>
      <w:r>
        <w:rPr>
          <w:spacing w:val="-7"/>
          <w:sz w:val="20"/>
        </w:rPr>
        <w:t> </w:t>
      </w:r>
      <w:r>
        <w:rPr>
          <w:sz w:val="20"/>
        </w:rPr>
        <w:t>investigations. In addition to the necessary increases in the number of missions compared to the height of the pandemic, there is also a cost aggravation due to higher flight fares linked to surge in demand for flights globally</w:t>
      </w:r>
      <w:r>
        <w:rPr>
          <w:spacing w:val="-3"/>
          <w:sz w:val="20"/>
        </w:rPr>
        <w:t> </w:t>
      </w:r>
      <w:r>
        <w:rPr>
          <w:sz w:val="20"/>
        </w:rPr>
        <w:t>combined with</w:t>
      </w:r>
      <w:r>
        <w:rPr>
          <w:spacing w:val="-3"/>
          <w:sz w:val="20"/>
        </w:rPr>
        <w:t> </w:t>
      </w:r>
      <w:r>
        <w:rPr>
          <w:sz w:val="20"/>
        </w:rPr>
        <w:t>continued limited capacity of</w:t>
      </w:r>
      <w:r>
        <w:rPr>
          <w:spacing w:val="-3"/>
          <w:sz w:val="20"/>
        </w:rPr>
        <w:t> </w:t>
      </w:r>
      <w:r>
        <w:rPr>
          <w:sz w:val="20"/>
        </w:rPr>
        <w:t>airlines, as well as exogenous factors such as the recent increases in the cost of fuel. The funds requested for Programme 2600 take into account all these factors.</w:t>
      </w:r>
    </w:p>
    <w:p>
      <w:pPr>
        <w:pStyle w:val="ListParagraph"/>
        <w:numPr>
          <w:ilvl w:val="0"/>
          <w:numId w:val="4"/>
        </w:numPr>
        <w:tabs>
          <w:tab w:pos="2967" w:val="left" w:leader="none"/>
        </w:tabs>
        <w:spacing w:line="240" w:lineRule="auto" w:before="120" w:after="0"/>
        <w:ind w:left="2246" w:right="2237" w:firstLine="0"/>
        <w:jc w:val="both"/>
        <w:rPr>
          <w:sz w:val="20"/>
        </w:rPr>
      </w:pPr>
      <w:r>
        <w:rPr>
          <w:sz w:val="20"/>
        </w:rPr>
        <w:t>PES staff, supported as needed by OEA, conduct a limited number of missions in relation to situations under preliminary examination to secure and foster cooperation or to gather information and attend key meetings with state officials. These missions continue to be targeted and planned so as to use the travel budget as efficiently as possible.</w:t>
      </w:r>
    </w:p>
    <w:p>
      <w:pPr>
        <w:pStyle w:val="ListParagraph"/>
        <w:numPr>
          <w:ilvl w:val="0"/>
          <w:numId w:val="4"/>
        </w:numPr>
        <w:tabs>
          <w:tab w:pos="2967" w:val="left" w:leader="none"/>
        </w:tabs>
        <w:spacing w:line="240" w:lineRule="auto" w:before="121" w:after="0"/>
        <w:ind w:left="2246" w:right="2239" w:firstLine="0"/>
        <w:jc w:val="both"/>
        <w:rPr>
          <w:sz w:val="20"/>
        </w:rPr>
      </w:pPr>
      <w:r>
        <w:rPr>
          <w:sz w:val="20"/>
        </w:rPr>
        <w:t>Members of the Unified Teams will be required to regularly go on mission in support</w:t>
      </w:r>
      <w:r>
        <w:rPr>
          <w:spacing w:val="-2"/>
          <w:sz w:val="20"/>
        </w:rPr>
        <w:t> </w:t>
      </w:r>
      <w:r>
        <w:rPr>
          <w:sz w:val="20"/>
        </w:rPr>
        <w:t>of</w:t>
      </w:r>
      <w:r>
        <w:rPr>
          <w:spacing w:val="-4"/>
          <w:sz w:val="20"/>
        </w:rPr>
        <w:t> </w:t>
      </w:r>
      <w:r>
        <w:rPr>
          <w:sz w:val="20"/>
        </w:rPr>
        <w:t>ongoing</w:t>
      </w:r>
      <w:r>
        <w:rPr>
          <w:spacing w:val="-4"/>
          <w:sz w:val="20"/>
        </w:rPr>
        <w:t> </w:t>
      </w:r>
      <w:r>
        <w:rPr>
          <w:sz w:val="20"/>
        </w:rPr>
        <w:t>investigations.</w:t>
      </w:r>
      <w:r>
        <w:rPr>
          <w:spacing w:val="-6"/>
          <w:sz w:val="20"/>
        </w:rPr>
        <w:t> </w:t>
      </w:r>
      <w:r>
        <w:rPr>
          <w:sz w:val="20"/>
        </w:rPr>
        <w:t>Travel</w:t>
      </w:r>
      <w:r>
        <w:rPr>
          <w:spacing w:val="-2"/>
          <w:sz w:val="20"/>
        </w:rPr>
        <w:t> </w:t>
      </w:r>
      <w:r>
        <w:rPr>
          <w:sz w:val="20"/>
        </w:rPr>
        <w:t>is</w:t>
      </w:r>
      <w:r>
        <w:rPr>
          <w:spacing w:val="-5"/>
          <w:sz w:val="20"/>
        </w:rPr>
        <w:t> </w:t>
      </w:r>
      <w:r>
        <w:rPr>
          <w:sz w:val="20"/>
        </w:rPr>
        <w:t>also</w:t>
      </w:r>
      <w:r>
        <w:rPr>
          <w:spacing w:val="-4"/>
          <w:sz w:val="20"/>
        </w:rPr>
        <w:t> </w:t>
      </w:r>
      <w:r>
        <w:rPr>
          <w:sz w:val="20"/>
        </w:rPr>
        <w:t>required</w:t>
      </w:r>
      <w:r>
        <w:rPr>
          <w:spacing w:val="-4"/>
          <w:sz w:val="20"/>
        </w:rPr>
        <w:t> </w:t>
      </w:r>
      <w:r>
        <w:rPr>
          <w:sz w:val="20"/>
        </w:rPr>
        <w:t>at the pre-trial</w:t>
      </w:r>
      <w:r>
        <w:rPr>
          <w:spacing w:val="-2"/>
          <w:sz w:val="20"/>
        </w:rPr>
        <w:t> </w:t>
      </w:r>
      <w:r>
        <w:rPr>
          <w:sz w:val="20"/>
        </w:rPr>
        <w:t>and</w:t>
      </w:r>
      <w:r>
        <w:rPr>
          <w:spacing w:val="-4"/>
          <w:sz w:val="20"/>
        </w:rPr>
        <w:t> </w:t>
      </w:r>
      <w:r>
        <w:rPr>
          <w:sz w:val="20"/>
        </w:rPr>
        <w:t>trial stages of</w:t>
      </w:r>
      <w:r>
        <w:rPr>
          <w:spacing w:val="-4"/>
          <w:sz w:val="20"/>
        </w:rPr>
        <w:t> </w:t>
      </w:r>
      <w:r>
        <w:rPr>
          <w:sz w:val="20"/>
        </w:rPr>
        <w:t>a case to take article 68 statements, prepare witnesses and support witnesses testifying via video link. These travel costs are recurrent.</w:t>
      </w:r>
    </w:p>
    <w:p>
      <w:pPr>
        <w:pStyle w:val="ListParagraph"/>
        <w:numPr>
          <w:ilvl w:val="0"/>
          <w:numId w:val="4"/>
        </w:numPr>
        <w:tabs>
          <w:tab w:pos="2967" w:val="left" w:leader="none"/>
        </w:tabs>
        <w:spacing w:line="240" w:lineRule="auto" w:before="123" w:after="0"/>
        <w:ind w:left="2246" w:right="2247" w:firstLine="0"/>
        <w:jc w:val="both"/>
        <w:rPr>
          <w:sz w:val="20"/>
        </w:rPr>
      </w:pPr>
      <w:r>
        <w:rPr>
          <w:sz w:val="20"/>
        </w:rPr>
        <w:t>Lastly,</w:t>
      </w:r>
      <w:r>
        <w:rPr>
          <w:spacing w:val="40"/>
          <w:sz w:val="20"/>
        </w:rPr>
        <w:t> </w:t>
      </w:r>
      <w:r>
        <w:rPr>
          <w:sz w:val="20"/>
        </w:rPr>
        <w:t>an</w:t>
      </w:r>
      <w:r>
        <w:rPr>
          <w:spacing w:val="40"/>
          <w:sz w:val="20"/>
        </w:rPr>
        <w:t> </w:t>
      </w:r>
      <w:r>
        <w:rPr>
          <w:sz w:val="20"/>
        </w:rPr>
        <w:t>increase</w:t>
      </w:r>
      <w:r>
        <w:rPr>
          <w:spacing w:val="40"/>
          <w:sz w:val="20"/>
        </w:rPr>
        <w:t> </w:t>
      </w:r>
      <w:r>
        <w:rPr>
          <w:sz w:val="20"/>
        </w:rPr>
        <w:t>is</w:t>
      </w:r>
      <w:r>
        <w:rPr>
          <w:spacing w:val="40"/>
          <w:sz w:val="20"/>
        </w:rPr>
        <w:t> </w:t>
      </w:r>
      <w:r>
        <w:rPr>
          <w:sz w:val="20"/>
        </w:rPr>
        <w:t>requested</w:t>
      </w:r>
      <w:r>
        <w:rPr>
          <w:spacing w:val="40"/>
          <w:sz w:val="20"/>
        </w:rPr>
        <w:t> </w:t>
      </w:r>
      <w:r>
        <w:rPr>
          <w:sz w:val="20"/>
        </w:rPr>
        <w:t>for</w:t>
      </w:r>
      <w:r>
        <w:rPr>
          <w:spacing w:val="40"/>
          <w:sz w:val="20"/>
        </w:rPr>
        <w:t> </w:t>
      </w:r>
      <w:r>
        <w:rPr>
          <w:sz w:val="20"/>
        </w:rPr>
        <w:t>the</w:t>
      </w:r>
      <w:r>
        <w:rPr>
          <w:spacing w:val="40"/>
          <w:sz w:val="20"/>
        </w:rPr>
        <w:t> </w:t>
      </w:r>
      <w:r>
        <w:rPr>
          <w:sz w:val="20"/>
        </w:rPr>
        <w:t>Deputy</w:t>
      </w:r>
      <w:r>
        <w:rPr>
          <w:spacing w:val="40"/>
          <w:sz w:val="20"/>
        </w:rPr>
        <w:t> </w:t>
      </w:r>
      <w:r>
        <w:rPr>
          <w:sz w:val="20"/>
        </w:rPr>
        <w:t>Prosecutor</w:t>
      </w:r>
      <w:r>
        <w:rPr>
          <w:spacing w:val="40"/>
          <w:sz w:val="20"/>
        </w:rPr>
        <w:t> </w:t>
      </w:r>
      <w:r>
        <w:rPr>
          <w:sz w:val="20"/>
        </w:rPr>
        <w:t>to</w:t>
      </w:r>
      <w:r>
        <w:rPr>
          <w:spacing w:val="40"/>
          <w:sz w:val="20"/>
        </w:rPr>
        <w:t> </w:t>
      </w:r>
      <w:r>
        <w:rPr>
          <w:sz w:val="20"/>
        </w:rPr>
        <w:t>travel</w:t>
      </w:r>
      <w:r>
        <w:rPr>
          <w:spacing w:val="40"/>
          <w:sz w:val="20"/>
        </w:rPr>
        <w:t> </w:t>
      </w:r>
      <w:r>
        <w:rPr>
          <w:sz w:val="20"/>
        </w:rPr>
        <w:t>to</w:t>
      </w:r>
      <w:r>
        <w:rPr>
          <w:spacing w:val="40"/>
          <w:sz w:val="20"/>
        </w:rPr>
        <w:t> </w:t>
      </w:r>
      <w:r>
        <w:rPr>
          <w:sz w:val="20"/>
        </w:rPr>
        <w:t>the twenty-second session of the Assembly, which is planned to be held in New York.</w:t>
      </w:r>
    </w:p>
    <w:p>
      <w:pPr>
        <w:pStyle w:val="BodyText"/>
        <w:spacing w:before="10"/>
      </w:pPr>
    </w:p>
    <w:p>
      <w:pPr>
        <w:tabs>
          <w:tab w:pos="8282" w:val="left" w:leader="none"/>
        </w:tabs>
        <w:spacing w:before="0"/>
        <w:ind w:left="2246" w:right="0" w:firstLine="0"/>
        <w:jc w:val="both"/>
        <w:rPr>
          <w:i/>
          <w:sz w:val="20"/>
        </w:rPr>
      </w:pPr>
      <w:r>
        <w:rPr>
          <w:i/>
          <w:sz w:val="20"/>
        </w:rPr>
        <w:t>Contractual</w:t>
      </w:r>
      <w:r>
        <w:rPr>
          <w:i/>
          <w:spacing w:val="-5"/>
          <w:sz w:val="20"/>
        </w:rPr>
        <w:t> </w:t>
      </w:r>
      <w:r>
        <w:rPr>
          <w:i/>
          <w:spacing w:val="-2"/>
          <w:sz w:val="20"/>
        </w:rPr>
        <w:t>services</w:t>
      </w:r>
      <w:r>
        <w:rPr>
          <w:i/>
          <w:sz w:val="20"/>
        </w:rPr>
        <w:tab/>
        <w:t>€150.0</w:t>
      </w:r>
      <w:r>
        <w:rPr>
          <w:i/>
          <w:spacing w:val="-3"/>
          <w:sz w:val="20"/>
        </w:rPr>
        <w:t> </w:t>
      </w:r>
      <w:r>
        <w:rPr>
          <w:i/>
          <w:spacing w:val="-2"/>
          <w:sz w:val="20"/>
        </w:rPr>
        <w:t>thousand</w:t>
      </w:r>
    </w:p>
    <w:p>
      <w:pPr>
        <w:pStyle w:val="BodyText"/>
        <w:spacing w:before="6"/>
        <w:rPr>
          <w:i/>
        </w:rPr>
      </w:pPr>
    </w:p>
    <w:p>
      <w:pPr>
        <w:pStyle w:val="ListParagraph"/>
        <w:numPr>
          <w:ilvl w:val="0"/>
          <w:numId w:val="4"/>
        </w:numPr>
        <w:tabs>
          <w:tab w:pos="2967" w:val="left" w:leader="none"/>
        </w:tabs>
        <w:spacing w:line="240" w:lineRule="auto" w:before="0" w:after="0"/>
        <w:ind w:left="2246" w:right="2239" w:firstLine="0"/>
        <w:jc w:val="both"/>
        <w:rPr>
          <w:sz w:val="20"/>
        </w:rPr>
      </w:pPr>
      <w:r>
        <w:rPr>
          <w:sz w:val="20"/>
        </w:rPr>
        <w:t>Funds are requested to support the deployment of United Nations Volunteers staff to</w:t>
      </w:r>
      <w:r>
        <w:rPr>
          <w:spacing w:val="-10"/>
          <w:sz w:val="20"/>
        </w:rPr>
        <w:t> </w:t>
      </w:r>
      <w:r>
        <w:rPr>
          <w:sz w:val="20"/>
        </w:rPr>
        <w:t>support</w:t>
      </w:r>
      <w:r>
        <w:rPr>
          <w:spacing w:val="-8"/>
          <w:sz w:val="20"/>
        </w:rPr>
        <w:t> </w:t>
      </w:r>
      <w:r>
        <w:rPr>
          <w:sz w:val="20"/>
        </w:rPr>
        <w:t>the</w:t>
      </w:r>
      <w:r>
        <w:rPr>
          <w:spacing w:val="-8"/>
          <w:sz w:val="20"/>
        </w:rPr>
        <w:t> </w:t>
      </w:r>
      <w:r>
        <w:rPr>
          <w:sz w:val="20"/>
        </w:rPr>
        <w:t>work</w:t>
      </w:r>
      <w:r>
        <w:rPr>
          <w:spacing w:val="-13"/>
          <w:sz w:val="20"/>
        </w:rPr>
        <w:t> </w:t>
      </w:r>
      <w:r>
        <w:rPr>
          <w:sz w:val="20"/>
        </w:rPr>
        <w:t>of</w:t>
      </w:r>
      <w:r>
        <w:rPr>
          <w:spacing w:val="-8"/>
          <w:sz w:val="20"/>
        </w:rPr>
        <w:t> </w:t>
      </w:r>
      <w:r>
        <w:rPr>
          <w:sz w:val="20"/>
        </w:rPr>
        <w:t>this</w:t>
      </w:r>
      <w:r>
        <w:rPr>
          <w:spacing w:val="-11"/>
          <w:sz w:val="20"/>
        </w:rPr>
        <w:t> </w:t>
      </w:r>
      <w:r>
        <w:rPr>
          <w:sz w:val="20"/>
        </w:rPr>
        <w:t>pillar.</w:t>
      </w:r>
      <w:r>
        <w:rPr>
          <w:spacing w:val="-9"/>
          <w:sz w:val="20"/>
        </w:rPr>
        <w:t> </w:t>
      </w:r>
      <w:r>
        <w:rPr>
          <w:sz w:val="20"/>
        </w:rPr>
        <w:t>UN</w:t>
      </w:r>
      <w:r>
        <w:rPr>
          <w:spacing w:val="-11"/>
          <w:sz w:val="20"/>
        </w:rPr>
        <w:t> </w:t>
      </w:r>
      <w:r>
        <w:rPr>
          <w:sz w:val="20"/>
        </w:rPr>
        <w:t>Volunteers</w:t>
      </w:r>
      <w:r>
        <w:rPr>
          <w:spacing w:val="-11"/>
          <w:sz w:val="20"/>
        </w:rPr>
        <w:t> </w:t>
      </w:r>
      <w:r>
        <w:rPr>
          <w:sz w:val="20"/>
        </w:rPr>
        <w:t>are</w:t>
      </w:r>
      <w:r>
        <w:rPr>
          <w:spacing w:val="-13"/>
          <w:sz w:val="20"/>
        </w:rPr>
        <w:t> </w:t>
      </w:r>
      <w:r>
        <w:rPr>
          <w:sz w:val="20"/>
        </w:rPr>
        <w:t>a</w:t>
      </w:r>
      <w:r>
        <w:rPr>
          <w:spacing w:val="-7"/>
          <w:sz w:val="20"/>
        </w:rPr>
        <w:t> </w:t>
      </w:r>
      <w:r>
        <w:rPr>
          <w:sz w:val="20"/>
        </w:rPr>
        <w:t>talent-management</w:t>
      </w:r>
      <w:r>
        <w:rPr>
          <w:spacing w:val="-6"/>
          <w:sz w:val="20"/>
        </w:rPr>
        <w:t> </w:t>
      </w:r>
      <w:r>
        <w:rPr>
          <w:sz w:val="20"/>
        </w:rPr>
        <w:t>solutions</w:t>
      </w:r>
      <w:r>
        <w:rPr>
          <w:spacing w:val="-11"/>
          <w:sz w:val="20"/>
        </w:rPr>
        <w:t> </w:t>
      </w:r>
      <w:r>
        <w:rPr>
          <w:sz w:val="20"/>
        </w:rPr>
        <w:t>available to</w:t>
      </w:r>
      <w:r>
        <w:rPr>
          <w:spacing w:val="-4"/>
          <w:sz w:val="20"/>
        </w:rPr>
        <w:t> </w:t>
      </w:r>
      <w:r>
        <w:rPr>
          <w:sz w:val="20"/>
        </w:rPr>
        <w:t>the UN</w:t>
      </w:r>
      <w:r>
        <w:rPr>
          <w:spacing w:val="-5"/>
          <w:sz w:val="20"/>
        </w:rPr>
        <w:t> </w:t>
      </w:r>
      <w:r>
        <w:rPr>
          <w:sz w:val="20"/>
        </w:rPr>
        <w:t>system</w:t>
      </w:r>
      <w:r>
        <w:rPr>
          <w:spacing w:val="-7"/>
          <w:sz w:val="20"/>
        </w:rPr>
        <w:t> </w:t>
      </w:r>
      <w:r>
        <w:rPr>
          <w:sz w:val="20"/>
        </w:rPr>
        <w:t>and</w:t>
      </w:r>
      <w:r>
        <w:rPr>
          <w:spacing w:val="-4"/>
          <w:sz w:val="20"/>
        </w:rPr>
        <w:t> </w:t>
      </w:r>
      <w:r>
        <w:rPr>
          <w:sz w:val="20"/>
        </w:rPr>
        <w:t>linked</w:t>
      </w:r>
      <w:r>
        <w:rPr>
          <w:spacing w:val="-4"/>
          <w:sz w:val="20"/>
        </w:rPr>
        <w:t> </w:t>
      </w:r>
      <w:r>
        <w:rPr>
          <w:sz w:val="20"/>
        </w:rPr>
        <w:t>entities</w:t>
      </w:r>
      <w:r>
        <w:rPr>
          <w:spacing w:val="-5"/>
          <w:sz w:val="20"/>
        </w:rPr>
        <w:t> </w:t>
      </w:r>
      <w:r>
        <w:rPr>
          <w:sz w:val="20"/>
        </w:rPr>
        <w:t>including</w:t>
      </w:r>
      <w:r>
        <w:rPr>
          <w:spacing w:val="-4"/>
          <w:sz w:val="20"/>
        </w:rPr>
        <w:t> </w:t>
      </w:r>
      <w:r>
        <w:rPr>
          <w:sz w:val="20"/>
        </w:rPr>
        <w:t>the</w:t>
      </w:r>
      <w:r>
        <w:rPr>
          <w:spacing w:val="-2"/>
          <w:sz w:val="20"/>
        </w:rPr>
        <w:t> </w:t>
      </w:r>
      <w:r>
        <w:rPr>
          <w:sz w:val="20"/>
        </w:rPr>
        <w:t>ICC. The</w:t>
      </w:r>
      <w:r>
        <w:rPr>
          <w:spacing w:val="-2"/>
          <w:sz w:val="20"/>
        </w:rPr>
        <w:t> </w:t>
      </w:r>
      <w:r>
        <w:rPr>
          <w:sz w:val="20"/>
        </w:rPr>
        <w:t>ability</w:t>
      </w:r>
      <w:r>
        <w:rPr>
          <w:spacing w:val="-4"/>
          <w:sz w:val="20"/>
        </w:rPr>
        <w:t> </w:t>
      </w:r>
      <w:r>
        <w:rPr>
          <w:sz w:val="20"/>
        </w:rPr>
        <w:t>to</w:t>
      </w:r>
      <w:r>
        <w:rPr>
          <w:spacing w:val="-4"/>
          <w:sz w:val="20"/>
        </w:rPr>
        <w:t> </w:t>
      </w:r>
      <w:r>
        <w:rPr>
          <w:sz w:val="20"/>
        </w:rPr>
        <w:t>deploy</w:t>
      </w:r>
      <w:r>
        <w:rPr>
          <w:spacing w:val="-4"/>
          <w:sz w:val="20"/>
        </w:rPr>
        <w:t> </w:t>
      </w:r>
      <w:r>
        <w:rPr>
          <w:sz w:val="20"/>
        </w:rPr>
        <w:t>UN</w:t>
      </w:r>
      <w:r>
        <w:rPr>
          <w:spacing w:val="-5"/>
          <w:sz w:val="20"/>
        </w:rPr>
        <w:t> </w:t>
      </w:r>
      <w:r>
        <w:rPr>
          <w:sz w:val="20"/>
        </w:rPr>
        <w:t>volunteers and</w:t>
      </w:r>
      <w:r>
        <w:rPr>
          <w:spacing w:val="-4"/>
          <w:sz w:val="20"/>
        </w:rPr>
        <w:t> </w:t>
      </w:r>
      <w:r>
        <w:rPr>
          <w:sz w:val="20"/>
        </w:rPr>
        <w:t>will</w:t>
      </w:r>
      <w:r>
        <w:rPr>
          <w:spacing w:val="-7"/>
          <w:sz w:val="20"/>
        </w:rPr>
        <w:t> </w:t>
      </w:r>
      <w:r>
        <w:rPr>
          <w:sz w:val="20"/>
        </w:rPr>
        <w:t>allow</w:t>
      </w:r>
      <w:r>
        <w:rPr>
          <w:spacing w:val="-5"/>
          <w:sz w:val="20"/>
        </w:rPr>
        <w:t> </w:t>
      </w:r>
      <w:r>
        <w:rPr>
          <w:sz w:val="20"/>
        </w:rPr>
        <w:t>the</w:t>
      </w:r>
      <w:r>
        <w:rPr>
          <w:spacing w:val="-2"/>
          <w:sz w:val="20"/>
        </w:rPr>
        <w:t> </w:t>
      </w:r>
      <w:r>
        <w:rPr>
          <w:sz w:val="20"/>
        </w:rPr>
        <w:t>Office</w:t>
      </w:r>
      <w:r>
        <w:rPr>
          <w:spacing w:val="-2"/>
          <w:sz w:val="20"/>
        </w:rPr>
        <w:t> </w:t>
      </w:r>
      <w:r>
        <w:rPr>
          <w:sz w:val="20"/>
        </w:rPr>
        <w:t>to</w:t>
      </w:r>
      <w:r>
        <w:rPr>
          <w:spacing w:val="-4"/>
          <w:sz w:val="20"/>
        </w:rPr>
        <w:t> </w:t>
      </w:r>
      <w:r>
        <w:rPr>
          <w:sz w:val="20"/>
        </w:rPr>
        <w:t>draw</w:t>
      </w:r>
      <w:r>
        <w:rPr>
          <w:spacing w:val="-5"/>
          <w:sz w:val="20"/>
        </w:rPr>
        <w:t> </w:t>
      </w:r>
      <w:r>
        <w:rPr>
          <w:sz w:val="20"/>
        </w:rPr>
        <w:t>on</w:t>
      </w:r>
      <w:r>
        <w:rPr>
          <w:spacing w:val="-8"/>
          <w:sz w:val="20"/>
        </w:rPr>
        <w:t> </w:t>
      </w:r>
      <w:r>
        <w:rPr>
          <w:sz w:val="20"/>
        </w:rPr>
        <w:t>qualified,</w:t>
      </w:r>
      <w:r>
        <w:rPr>
          <w:spacing w:val="-1"/>
          <w:sz w:val="20"/>
        </w:rPr>
        <w:t> </w:t>
      </w:r>
      <w:r>
        <w:rPr>
          <w:sz w:val="20"/>
        </w:rPr>
        <w:t>highly</w:t>
      </w:r>
      <w:r>
        <w:rPr>
          <w:spacing w:val="-4"/>
          <w:sz w:val="20"/>
        </w:rPr>
        <w:t> </w:t>
      </w:r>
      <w:r>
        <w:rPr>
          <w:sz w:val="20"/>
        </w:rPr>
        <w:t>motivated</w:t>
      </w:r>
      <w:r>
        <w:rPr>
          <w:spacing w:val="-4"/>
          <w:sz w:val="20"/>
        </w:rPr>
        <w:t> </w:t>
      </w:r>
      <w:r>
        <w:rPr>
          <w:sz w:val="20"/>
        </w:rPr>
        <w:t>junior</w:t>
      </w:r>
      <w:r>
        <w:rPr>
          <w:spacing w:val="-8"/>
          <w:sz w:val="20"/>
        </w:rPr>
        <w:t> </w:t>
      </w:r>
      <w:r>
        <w:rPr>
          <w:sz w:val="20"/>
        </w:rPr>
        <w:t>professionals</w:t>
      </w:r>
      <w:r>
        <w:rPr>
          <w:spacing w:val="-5"/>
          <w:sz w:val="20"/>
        </w:rPr>
        <w:t> </w:t>
      </w:r>
      <w:r>
        <w:rPr>
          <w:sz w:val="20"/>
        </w:rPr>
        <w:t>to</w:t>
      </w:r>
      <w:r>
        <w:rPr>
          <w:spacing w:val="-8"/>
          <w:sz w:val="20"/>
        </w:rPr>
        <w:t> </w:t>
      </w:r>
      <w:r>
        <w:rPr>
          <w:sz w:val="20"/>
        </w:rPr>
        <w:t>meet the increased demands faced by the Office at limited cost in comparison with staffing categories. The deployment of UN volunteers will also provide the Office with a flexible solution as</w:t>
      </w:r>
      <w:r>
        <w:rPr>
          <w:spacing w:val="-5"/>
          <w:sz w:val="20"/>
        </w:rPr>
        <w:t> </w:t>
      </w:r>
      <w:r>
        <w:rPr>
          <w:sz w:val="20"/>
        </w:rPr>
        <w:t>different</w:t>
      </w:r>
      <w:r>
        <w:rPr>
          <w:spacing w:val="-2"/>
          <w:sz w:val="20"/>
        </w:rPr>
        <w:t> </w:t>
      </w:r>
      <w:r>
        <w:rPr>
          <w:sz w:val="20"/>
        </w:rPr>
        <w:t>categories</w:t>
      </w:r>
      <w:r>
        <w:rPr>
          <w:spacing w:val="-5"/>
          <w:sz w:val="20"/>
        </w:rPr>
        <w:t> </w:t>
      </w:r>
      <w:r>
        <w:rPr>
          <w:sz w:val="20"/>
        </w:rPr>
        <w:t>of UN Volunteers</w:t>
      </w:r>
      <w:r>
        <w:rPr>
          <w:spacing w:val="-5"/>
          <w:sz w:val="20"/>
        </w:rPr>
        <w:t> </w:t>
      </w:r>
      <w:r>
        <w:rPr>
          <w:sz w:val="20"/>
        </w:rPr>
        <w:t>are</w:t>
      </w:r>
      <w:r>
        <w:rPr>
          <w:spacing w:val="-2"/>
          <w:sz w:val="20"/>
        </w:rPr>
        <w:t> </w:t>
      </w:r>
      <w:r>
        <w:rPr>
          <w:sz w:val="20"/>
        </w:rPr>
        <w:t>available</w:t>
      </w:r>
      <w:r>
        <w:rPr>
          <w:spacing w:val="-2"/>
          <w:sz w:val="20"/>
        </w:rPr>
        <w:t> </w:t>
      </w:r>
      <w:r>
        <w:rPr>
          <w:sz w:val="20"/>
        </w:rPr>
        <w:t>to meet the specific needs of relevant Unified Teams and other sections within the Office. This is particularly valuable with respect to the work of the Unified Teams where UN Volunteers can be deployed to address specific junior-level substantive functions including data analysis, forensics, legal analysis</w:t>
      </w:r>
      <w:r>
        <w:rPr>
          <w:spacing w:val="-3"/>
          <w:sz w:val="20"/>
        </w:rPr>
        <w:t> </w:t>
      </w:r>
      <w:r>
        <w:rPr>
          <w:sz w:val="20"/>
        </w:rPr>
        <w:t>and</w:t>
      </w:r>
      <w:r>
        <w:rPr>
          <w:spacing w:val="-2"/>
          <w:sz w:val="20"/>
        </w:rPr>
        <w:t> </w:t>
      </w:r>
      <w:r>
        <w:rPr>
          <w:sz w:val="20"/>
        </w:rPr>
        <w:t>general support to</w:t>
      </w:r>
      <w:r>
        <w:rPr>
          <w:spacing w:val="-2"/>
          <w:sz w:val="20"/>
        </w:rPr>
        <w:t> </w:t>
      </w:r>
      <w:r>
        <w:rPr>
          <w:sz w:val="20"/>
        </w:rPr>
        <w:t>the activities</w:t>
      </w:r>
      <w:r>
        <w:rPr>
          <w:spacing w:val="-3"/>
          <w:sz w:val="20"/>
        </w:rPr>
        <w:t> </w:t>
      </w:r>
      <w:r>
        <w:rPr>
          <w:sz w:val="20"/>
        </w:rPr>
        <w:t>of</w:t>
      </w:r>
      <w:r>
        <w:rPr>
          <w:spacing w:val="-2"/>
          <w:sz w:val="20"/>
        </w:rPr>
        <w:t> </w:t>
      </w:r>
      <w:r>
        <w:rPr>
          <w:sz w:val="20"/>
        </w:rPr>
        <w:t>more senior</w:t>
      </w:r>
      <w:r>
        <w:rPr>
          <w:spacing w:val="-2"/>
          <w:sz w:val="20"/>
        </w:rPr>
        <w:t> </w:t>
      </w:r>
      <w:r>
        <w:rPr>
          <w:sz w:val="20"/>
        </w:rPr>
        <w:t>members of</w:t>
      </w:r>
      <w:r>
        <w:rPr>
          <w:spacing w:val="-2"/>
          <w:sz w:val="20"/>
        </w:rPr>
        <w:t> </w:t>
      </w:r>
      <w:r>
        <w:rPr>
          <w:sz w:val="20"/>
        </w:rPr>
        <w:t>the Unified</w:t>
      </w:r>
      <w:r>
        <w:rPr>
          <w:spacing w:val="-2"/>
          <w:sz w:val="20"/>
        </w:rPr>
        <w:t> </w:t>
      </w:r>
      <w:r>
        <w:rPr>
          <w:sz w:val="20"/>
        </w:rPr>
        <w:t>Teams.</w:t>
      </w:r>
    </w:p>
    <w:p>
      <w:pPr>
        <w:pStyle w:val="BodyText"/>
        <w:spacing w:before="10"/>
      </w:pPr>
    </w:p>
    <w:p>
      <w:pPr>
        <w:tabs>
          <w:tab w:pos="8282" w:val="left" w:leader="none"/>
        </w:tabs>
        <w:spacing w:before="1"/>
        <w:ind w:left="2246" w:right="0" w:firstLine="0"/>
        <w:jc w:val="both"/>
        <w:rPr>
          <w:i/>
          <w:sz w:val="20"/>
        </w:rPr>
      </w:pPr>
      <w:r>
        <w:rPr>
          <w:i/>
          <w:sz w:val="20"/>
        </w:rPr>
        <w:t>General</w:t>
      </w:r>
      <w:r>
        <w:rPr>
          <w:i/>
          <w:spacing w:val="-8"/>
          <w:sz w:val="20"/>
        </w:rPr>
        <w:t> </w:t>
      </w:r>
      <w:r>
        <w:rPr>
          <w:i/>
          <w:sz w:val="20"/>
        </w:rPr>
        <w:t>Operating</w:t>
      </w:r>
      <w:r>
        <w:rPr>
          <w:i/>
          <w:spacing w:val="-9"/>
          <w:sz w:val="20"/>
        </w:rPr>
        <w:t> </w:t>
      </w:r>
      <w:r>
        <w:rPr>
          <w:i/>
          <w:spacing w:val="-2"/>
          <w:sz w:val="20"/>
        </w:rPr>
        <w:t>Expenses</w:t>
      </w:r>
      <w:r>
        <w:rPr>
          <w:i/>
          <w:sz w:val="20"/>
        </w:rPr>
        <w:tab/>
        <w:t>€300.0</w:t>
      </w:r>
      <w:r>
        <w:rPr>
          <w:i/>
          <w:spacing w:val="-3"/>
          <w:sz w:val="20"/>
        </w:rPr>
        <w:t> </w:t>
      </w:r>
      <w:r>
        <w:rPr>
          <w:i/>
          <w:spacing w:val="-2"/>
          <w:sz w:val="20"/>
        </w:rPr>
        <w:t>thousand</w:t>
      </w:r>
    </w:p>
    <w:p>
      <w:pPr>
        <w:pStyle w:val="BodyText"/>
        <w:spacing w:before="10"/>
        <w:rPr>
          <w:i/>
        </w:rPr>
      </w:pPr>
    </w:p>
    <w:p>
      <w:pPr>
        <w:pStyle w:val="ListParagraph"/>
        <w:numPr>
          <w:ilvl w:val="0"/>
          <w:numId w:val="4"/>
        </w:numPr>
        <w:tabs>
          <w:tab w:pos="2967" w:val="left" w:leader="none"/>
        </w:tabs>
        <w:spacing w:line="240" w:lineRule="auto" w:before="0" w:after="0"/>
        <w:ind w:left="2246" w:right="2241" w:firstLine="0"/>
        <w:jc w:val="both"/>
        <w:rPr>
          <w:sz w:val="20"/>
        </w:rPr>
      </w:pPr>
      <w:r>
        <w:rPr>
          <w:sz w:val="20"/>
        </w:rPr>
        <w:t>General</w:t>
      </w:r>
      <w:r>
        <w:rPr>
          <w:spacing w:val="-2"/>
          <w:sz w:val="20"/>
        </w:rPr>
        <w:t> </w:t>
      </w:r>
      <w:r>
        <w:rPr>
          <w:sz w:val="20"/>
        </w:rPr>
        <w:t>Operating</w:t>
      </w:r>
      <w:r>
        <w:rPr>
          <w:spacing w:val="-8"/>
          <w:sz w:val="20"/>
        </w:rPr>
        <w:t> </w:t>
      </w:r>
      <w:r>
        <w:rPr>
          <w:sz w:val="20"/>
        </w:rPr>
        <w:t>Expenses</w:t>
      </w:r>
      <w:r>
        <w:rPr>
          <w:spacing w:val="-5"/>
          <w:sz w:val="20"/>
        </w:rPr>
        <w:t> </w:t>
      </w:r>
      <w:r>
        <w:rPr>
          <w:sz w:val="20"/>
        </w:rPr>
        <w:t>address</w:t>
      </w:r>
      <w:r>
        <w:rPr>
          <w:spacing w:val="-5"/>
          <w:sz w:val="20"/>
        </w:rPr>
        <w:t> </w:t>
      </w:r>
      <w:r>
        <w:rPr>
          <w:sz w:val="20"/>
        </w:rPr>
        <w:t>the</w:t>
      </w:r>
      <w:r>
        <w:rPr>
          <w:spacing w:val="-2"/>
          <w:sz w:val="20"/>
        </w:rPr>
        <w:t> </w:t>
      </w:r>
      <w:r>
        <w:rPr>
          <w:sz w:val="20"/>
        </w:rPr>
        <w:t>needs</w:t>
      </w:r>
      <w:r>
        <w:rPr>
          <w:spacing w:val="-5"/>
          <w:sz w:val="20"/>
        </w:rPr>
        <w:t> </w:t>
      </w:r>
      <w:r>
        <w:rPr>
          <w:sz w:val="20"/>
        </w:rPr>
        <w:t>of</w:t>
      </w:r>
      <w:r>
        <w:rPr>
          <w:spacing w:val="-4"/>
          <w:sz w:val="20"/>
        </w:rPr>
        <w:t> </w:t>
      </w:r>
      <w:r>
        <w:rPr>
          <w:sz w:val="20"/>
        </w:rPr>
        <w:t>the</w:t>
      </w:r>
      <w:r>
        <w:rPr>
          <w:spacing w:val="-2"/>
          <w:sz w:val="20"/>
        </w:rPr>
        <w:t> </w:t>
      </w:r>
      <w:r>
        <w:rPr>
          <w:sz w:val="20"/>
        </w:rPr>
        <w:t>Office</w:t>
      </w:r>
      <w:r>
        <w:rPr>
          <w:spacing w:val="-7"/>
          <w:sz w:val="20"/>
        </w:rPr>
        <w:t> </w:t>
      </w:r>
      <w:r>
        <w:rPr>
          <w:sz w:val="20"/>
        </w:rPr>
        <w:t>with</w:t>
      </w:r>
      <w:r>
        <w:rPr>
          <w:spacing w:val="-4"/>
          <w:sz w:val="20"/>
        </w:rPr>
        <w:t> </w:t>
      </w:r>
      <w:r>
        <w:rPr>
          <w:sz w:val="20"/>
        </w:rPr>
        <w:t>respect</w:t>
      </w:r>
      <w:r>
        <w:rPr>
          <w:spacing w:val="-2"/>
          <w:sz w:val="20"/>
        </w:rPr>
        <w:t> </w:t>
      </w:r>
      <w:r>
        <w:rPr>
          <w:sz w:val="20"/>
        </w:rPr>
        <w:t>to</w:t>
      </w:r>
      <w:r>
        <w:rPr>
          <w:spacing w:val="-8"/>
          <w:sz w:val="20"/>
        </w:rPr>
        <w:t> </w:t>
      </w:r>
      <w:r>
        <w:rPr>
          <w:sz w:val="20"/>
        </w:rPr>
        <w:t>aspects of operational activities, supporting in particular the expenses incurred in relation to engagement with witnesses and victims by the Unified Teams. To ensure proper accountability and transparency with respect to the use of such funds, GEO expense funds will</w:t>
      </w:r>
      <w:r>
        <w:rPr>
          <w:spacing w:val="-2"/>
          <w:sz w:val="20"/>
        </w:rPr>
        <w:t> </w:t>
      </w:r>
      <w:r>
        <w:rPr>
          <w:sz w:val="20"/>
        </w:rPr>
        <w:t>be</w:t>
      </w:r>
      <w:r>
        <w:rPr>
          <w:spacing w:val="-7"/>
          <w:sz w:val="20"/>
        </w:rPr>
        <w:t> </w:t>
      </w:r>
      <w:r>
        <w:rPr>
          <w:sz w:val="20"/>
        </w:rPr>
        <w:t>allocated</w:t>
      </w:r>
      <w:r>
        <w:rPr>
          <w:spacing w:val="-4"/>
          <w:sz w:val="20"/>
        </w:rPr>
        <w:t> </w:t>
      </w:r>
      <w:r>
        <w:rPr>
          <w:sz w:val="20"/>
        </w:rPr>
        <w:t>to</w:t>
      </w:r>
      <w:r>
        <w:rPr>
          <w:spacing w:val="-8"/>
          <w:sz w:val="20"/>
        </w:rPr>
        <w:t> </w:t>
      </w:r>
      <w:r>
        <w:rPr>
          <w:sz w:val="20"/>
        </w:rPr>
        <w:t>the</w:t>
      </w:r>
      <w:r>
        <w:rPr>
          <w:spacing w:val="-2"/>
          <w:sz w:val="20"/>
        </w:rPr>
        <w:t> </w:t>
      </w:r>
      <w:r>
        <w:rPr>
          <w:sz w:val="20"/>
        </w:rPr>
        <w:t>Unified</w:t>
      </w:r>
      <w:r>
        <w:rPr>
          <w:spacing w:val="-8"/>
          <w:sz w:val="20"/>
        </w:rPr>
        <w:t> </w:t>
      </w:r>
      <w:r>
        <w:rPr>
          <w:sz w:val="20"/>
        </w:rPr>
        <w:t>Teams</w:t>
      </w:r>
      <w:r>
        <w:rPr>
          <w:spacing w:val="-5"/>
          <w:sz w:val="20"/>
        </w:rPr>
        <w:t> </w:t>
      </w:r>
      <w:r>
        <w:rPr>
          <w:sz w:val="20"/>
        </w:rPr>
        <w:t>for</w:t>
      </w:r>
      <w:r>
        <w:rPr>
          <w:spacing w:val="-4"/>
          <w:sz w:val="20"/>
        </w:rPr>
        <w:t> </w:t>
      </w:r>
      <w:r>
        <w:rPr>
          <w:sz w:val="20"/>
        </w:rPr>
        <w:t>use</w:t>
      </w:r>
      <w:r>
        <w:rPr>
          <w:spacing w:val="-7"/>
          <w:sz w:val="20"/>
        </w:rPr>
        <w:t> </w:t>
      </w:r>
      <w:r>
        <w:rPr>
          <w:sz w:val="20"/>
        </w:rPr>
        <w:t>in</w:t>
      </w:r>
      <w:r>
        <w:rPr>
          <w:spacing w:val="-8"/>
          <w:sz w:val="20"/>
        </w:rPr>
        <w:t> </w:t>
      </w:r>
      <w:r>
        <w:rPr>
          <w:sz w:val="20"/>
        </w:rPr>
        <w:t>their</w:t>
      </w:r>
      <w:r>
        <w:rPr>
          <w:spacing w:val="-4"/>
          <w:sz w:val="20"/>
        </w:rPr>
        <w:t> </w:t>
      </w:r>
      <w:r>
        <w:rPr>
          <w:sz w:val="20"/>
        </w:rPr>
        <w:t>operational</w:t>
      </w:r>
      <w:r>
        <w:rPr>
          <w:spacing w:val="-7"/>
          <w:sz w:val="20"/>
        </w:rPr>
        <w:t> </w:t>
      </w:r>
      <w:r>
        <w:rPr>
          <w:sz w:val="20"/>
        </w:rPr>
        <w:t>engagements. As</w:t>
      </w:r>
      <w:r>
        <w:rPr>
          <w:spacing w:val="-5"/>
          <w:sz w:val="20"/>
        </w:rPr>
        <w:t> </w:t>
      </w:r>
      <w:r>
        <w:rPr>
          <w:sz w:val="20"/>
        </w:rPr>
        <w:t>reflected above,</w:t>
      </w:r>
      <w:r>
        <w:rPr>
          <w:spacing w:val="-11"/>
          <w:sz w:val="20"/>
        </w:rPr>
        <w:t> </w:t>
      </w:r>
      <w:r>
        <w:rPr>
          <w:sz w:val="20"/>
        </w:rPr>
        <w:t>the</w:t>
      </w:r>
      <w:r>
        <w:rPr>
          <w:spacing w:val="-10"/>
          <w:sz w:val="20"/>
        </w:rPr>
        <w:t> </w:t>
      </w:r>
      <w:r>
        <w:rPr>
          <w:sz w:val="20"/>
        </w:rPr>
        <w:t>majority</w:t>
      </w:r>
      <w:r>
        <w:rPr>
          <w:spacing w:val="-7"/>
          <w:sz w:val="20"/>
        </w:rPr>
        <w:t> </w:t>
      </w:r>
      <w:r>
        <w:rPr>
          <w:sz w:val="20"/>
        </w:rPr>
        <w:t>of</w:t>
      </w:r>
      <w:r>
        <w:rPr>
          <w:spacing w:val="-7"/>
          <w:sz w:val="20"/>
        </w:rPr>
        <w:t> </w:t>
      </w:r>
      <w:r>
        <w:rPr>
          <w:sz w:val="20"/>
        </w:rPr>
        <w:t>Unified</w:t>
      </w:r>
      <w:r>
        <w:rPr>
          <w:spacing w:val="-12"/>
          <w:sz w:val="20"/>
        </w:rPr>
        <w:t> </w:t>
      </w:r>
      <w:r>
        <w:rPr>
          <w:sz w:val="20"/>
        </w:rPr>
        <w:t>Teams</w:t>
      </w:r>
      <w:r>
        <w:rPr>
          <w:spacing w:val="-13"/>
          <w:sz w:val="20"/>
        </w:rPr>
        <w:t> </w:t>
      </w:r>
      <w:r>
        <w:rPr>
          <w:sz w:val="20"/>
        </w:rPr>
        <w:t>are</w:t>
      </w:r>
      <w:r>
        <w:rPr>
          <w:spacing w:val="-10"/>
          <w:sz w:val="20"/>
        </w:rPr>
        <w:t> </w:t>
      </w:r>
      <w:r>
        <w:rPr>
          <w:sz w:val="20"/>
        </w:rPr>
        <w:t>in</w:t>
      </w:r>
      <w:r>
        <w:rPr>
          <w:spacing w:val="-7"/>
          <w:sz w:val="20"/>
        </w:rPr>
        <w:t> </w:t>
      </w:r>
      <w:r>
        <w:rPr>
          <w:sz w:val="20"/>
        </w:rPr>
        <w:t>Programme</w:t>
      </w:r>
      <w:r>
        <w:rPr>
          <w:spacing w:val="-10"/>
          <w:sz w:val="20"/>
        </w:rPr>
        <w:t> </w:t>
      </w:r>
      <w:r>
        <w:rPr>
          <w:sz w:val="20"/>
        </w:rPr>
        <w:t>2600</w:t>
      </w:r>
      <w:r>
        <w:rPr>
          <w:spacing w:val="-12"/>
          <w:sz w:val="20"/>
        </w:rPr>
        <w:t> </w:t>
      </w:r>
      <w:r>
        <w:rPr>
          <w:sz w:val="20"/>
        </w:rPr>
        <w:t>and</w:t>
      </w:r>
      <w:r>
        <w:rPr>
          <w:spacing w:val="-7"/>
          <w:sz w:val="20"/>
        </w:rPr>
        <w:t> </w:t>
      </w:r>
      <w:r>
        <w:rPr>
          <w:sz w:val="20"/>
        </w:rPr>
        <w:t>Programme</w:t>
      </w:r>
      <w:r>
        <w:rPr>
          <w:spacing w:val="-10"/>
          <w:sz w:val="20"/>
        </w:rPr>
        <w:t> </w:t>
      </w:r>
      <w:r>
        <w:rPr>
          <w:sz w:val="20"/>
        </w:rPr>
        <w:t>2700,</w:t>
      </w:r>
      <w:r>
        <w:rPr>
          <w:spacing w:val="-5"/>
          <w:sz w:val="20"/>
        </w:rPr>
        <w:t> </w:t>
      </w:r>
      <w:r>
        <w:rPr>
          <w:sz w:val="20"/>
        </w:rPr>
        <w:t>with</w:t>
      </w:r>
      <w:r>
        <w:rPr>
          <w:spacing w:val="-7"/>
          <w:sz w:val="20"/>
        </w:rPr>
        <w:t> </w:t>
      </w:r>
      <w:r>
        <w:rPr>
          <w:sz w:val="20"/>
        </w:rPr>
        <w:t>the Unified Team</w:t>
      </w:r>
      <w:r>
        <w:rPr>
          <w:spacing w:val="40"/>
          <w:sz w:val="20"/>
        </w:rPr>
        <w:t> </w:t>
      </w:r>
      <w:r>
        <w:rPr>
          <w:sz w:val="20"/>
        </w:rPr>
        <w:t>in</w:t>
      </w:r>
      <w:r>
        <w:rPr>
          <w:spacing w:val="40"/>
          <w:sz w:val="20"/>
        </w:rPr>
        <w:t> </w:t>
      </w:r>
      <w:r>
        <w:rPr>
          <w:sz w:val="20"/>
        </w:rPr>
        <w:t>relation to</w:t>
      </w:r>
      <w:r>
        <w:rPr>
          <w:spacing w:val="40"/>
          <w:sz w:val="20"/>
        </w:rPr>
        <w:t> </w:t>
      </w:r>
      <w:r>
        <w:rPr>
          <w:sz w:val="20"/>
        </w:rPr>
        <w:t>the</w:t>
      </w:r>
      <w:r>
        <w:rPr>
          <w:spacing w:val="40"/>
          <w:sz w:val="20"/>
        </w:rPr>
        <w:t> </w:t>
      </w:r>
      <w:r>
        <w:rPr>
          <w:sz w:val="20"/>
        </w:rPr>
        <w:t>situation in</w:t>
      </w:r>
      <w:r>
        <w:rPr>
          <w:spacing w:val="40"/>
          <w:sz w:val="20"/>
        </w:rPr>
        <w:t> </w:t>
      </w:r>
      <w:r>
        <w:rPr>
          <w:sz w:val="20"/>
        </w:rPr>
        <w:t>Ukraine</w:t>
      </w:r>
      <w:r>
        <w:rPr>
          <w:spacing w:val="40"/>
          <w:sz w:val="20"/>
        </w:rPr>
        <w:t> </w:t>
      </w:r>
      <w:r>
        <w:rPr>
          <w:sz w:val="20"/>
        </w:rPr>
        <w:t>allocated under</w:t>
      </w:r>
      <w:r>
        <w:rPr>
          <w:spacing w:val="40"/>
          <w:sz w:val="20"/>
        </w:rPr>
        <w:t> </w:t>
      </w:r>
      <w:r>
        <w:rPr>
          <w:sz w:val="20"/>
        </w:rPr>
        <w:t>Programme</w:t>
      </w:r>
      <w:r>
        <w:rPr>
          <w:spacing w:val="40"/>
          <w:sz w:val="20"/>
        </w:rPr>
        <w:t> </w:t>
      </w:r>
      <w:r>
        <w:rPr>
          <w:sz w:val="20"/>
        </w:rPr>
        <w:t>2500 (Sub-Programme</w:t>
      </w:r>
      <w:r>
        <w:rPr>
          <w:spacing w:val="-13"/>
          <w:sz w:val="20"/>
        </w:rPr>
        <w:t> </w:t>
      </w:r>
      <w:r>
        <w:rPr>
          <w:sz w:val="20"/>
        </w:rPr>
        <w:t>2570).</w:t>
      </w:r>
      <w:r>
        <w:rPr>
          <w:spacing w:val="-12"/>
          <w:sz w:val="20"/>
        </w:rPr>
        <w:t> </w:t>
      </w:r>
      <w:r>
        <w:rPr>
          <w:sz w:val="20"/>
        </w:rPr>
        <w:t>The</w:t>
      </w:r>
      <w:r>
        <w:rPr>
          <w:spacing w:val="-13"/>
          <w:sz w:val="20"/>
        </w:rPr>
        <w:t> </w:t>
      </w:r>
      <w:r>
        <w:rPr>
          <w:sz w:val="20"/>
        </w:rPr>
        <w:t>funds</w:t>
      </w:r>
      <w:r>
        <w:rPr>
          <w:spacing w:val="-12"/>
          <w:sz w:val="20"/>
        </w:rPr>
        <w:t> </w:t>
      </w:r>
      <w:r>
        <w:rPr>
          <w:sz w:val="20"/>
        </w:rPr>
        <w:t>requested</w:t>
      </w:r>
      <w:r>
        <w:rPr>
          <w:spacing w:val="-13"/>
          <w:sz w:val="20"/>
        </w:rPr>
        <w:t> </w:t>
      </w:r>
      <w:r>
        <w:rPr>
          <w:sz w:val="20"/>
        </w:rPr>
        <w:t>for</w:t>
      </w:r>
      <w:r>
        <w:rPr>
          <w:spacing w:val="-12"/>
          <w:sz w:val="20"/>
        </w:rPr>
        <w:t> </w:t>
      </w:r>
      <w:r>
        <w:rPr>
          <w:sz w:val="20"/>
        </w:rPr>
        <w:t>this</w:t>
      </w:r>
      <w:r>
        <w:rPr>
          <w:spacing w:val="-13"/>
          <w:sz w:val="20"/>
        </w:rPr>
        <w:t> </w:t>
      </w:r>
      <w:r>
        <w:rPr>
          <w:sz w:val="20"/>
        </w:rPr>
        <w:t>Programme</w:t>
      </w:r>
      <w:r>
        <w:rPr>
          <w:spacing w:val="-12"/>
          <w:sz w:val="20"/>
        </w:rPr>
        <w:t> </w:t>
      </w:r>
      <w:r>
        <w:rPr>
          <w:sz w:val="20"/>
        </w:rPr>
        <w:t>are</w:t>
      </w:r>
      <w:r>
        <w:rPr>
          <w:spacing w:val="-13"/>
          <w:sz w:val="20"/>
        </w:rPr>
        <w:t> </w:t>
      </w:r>
      <w:r>
        <w:rPr>
          <w:sz w:val="20"/>
        </w:rPr>
        <w:t>correlated</w:t>
      </w:r>
      <w:r>
        <w:rPr>
          <w:spacing w:val="-12"/>
          <w:sz w:val="20"/>
        </w:rPr>
        <w:t> </w:t>
      </w:r>
      <w:r>
        <w:rPr>
          <w:sz w:val="20"/>
        </w:rPr>
        <w:t>to</w:t>
      </w:r>
      <w:r>
        <w:rPr>
          <w:spacing w:val="-13"/>
          <w:sz w:val="20"/>
        </w:rPr>
        <w:t> </w:t>
      </w:r>
      <w:r>
        <w:rPr>
          <w:sz w:val="20"/>
        </w:rPr>
        <w:t>the</w:t>
      </w:r>
      <w:r>
        <w:rPr>
          <w:spacing w:val="-12"/>
          <w:sz w:val="20"/>
        </w:rPr>
        <w:t> </w:t>
      </w:r>
      <w:r>
        <w:rPr>
          <w:sz w:val="20"/>
        </w:rPr>
        <w:t>volume of missions that the Unified Teams under the pillar led by Deputy Prosecutor Khan have planned to undertake. The volume of missions is a good indicator of the amounts of GOE that are necessary to support the operations of Programme 2600 and Programme 2700.</w:t>
      </w:r>
    </w:p>
    <w:p>
      <w:pPr>
        <w:spacing w:after="0" w:line="240" w:lineRule="auto"/>
        <w:jc w:val="both"/>
        <w:rPr>
          <w:sz w:val="20"/>
        </w:rPr>
        <w:sectPr>
          <w:pgSz w:w="11910" w:h="16840"/>
          <w:pgMar w:header="953" w:footer="940" w:top="1140" w:bottom="1140" w:left="20" w:right="20"/>
        </w:sectPr>
      </w:pPr>
    </w:p>
    <w:p>
      <w:pPr>
        <w:spacing w:before="120"/>
        <w:ind w:left="2246" w:right="0" w:firstLine="0"/>
        <w:jc w:val="left"/>
        <w:rPr>
          <w:b/>
          <w:sz w:val="20"/>
        </w:rPr>
      </w:pPr>
      <w:r>
        <w:rPr>
          <w:b/>
          <w:sz w:val="20"/>
        </w:rPr>
        <w:t>Table</w:t>
      </w:r>
      <w:r>
        <w:rPr>
          <w:b/>
          <w:spacing w:val="-7"/>
          <w:sz w:val="20"/>
        </w:rPr>
        <w:t> </w:t>
      </w:r>
      <w:r>
        <w:rPr>
          <w:b/>
          <w:sz w:val="20"/>
        </w:rPr>
        <w:t>15:</w:t>
      </w:r>
      <w:r>
        <w:rPr>
          <w:b/>
          <w:spacing w:val="-7"/>
          <w:sz w:val="20"/>
        </w:rPr>
        <w:t> </w:t>
      </w:r>
      <w:r>
        <w:rPr>
          <w:b/>
          <w:sz w:val="20"/>
        </w:rPr>
        <w:t>Deputy</w:t>
      </w:r>
      <w:r>
        <w:rPr>
          <w:b/>
          <w:spacing w:val="-8"/>
          <w:sz w:val="20"/>
        </w:rPr>
        <w:t> </w:t>
      </w:r>
      <w:r>
        <w:rPr>
          <w:b/>
          <w:sz w:val="20"/>
        </w:rPr>
        <w:t>Prosecutor:</w:t>
      </w:r>
      <w:r>
        <w:rPr>
          <w:b/>
          <w:spacing w:val="-8"/>
          <w:sz w:val="20"/>
        </w:rPr>
        <w:t> </w:t>
      </w:r>
      <w:r>
        <w:rPr>
          <w:b/>
          <w:sz w:val="20"/>
        </w:rPr>
        <w:t>Proposed</w:t>
      </w:r>
      <w:r>
        <w:rPr>
          <w:b/>
          <w:spacing w:val="-5"/>
          <w:sz w:val="20"/>
        </w:rPr>
        <w:t> </w:t>
      </w:r>
      <w:r>
        <w:rPr>
          <w:b/>
          <w:sz w:val="20"/>
        </w:rPr>
        <w:t>budget</w:t>
      </w:r>
      <w:r>
        <w:rPr>
          <w:b/>
          <w:spacing w:val="-7"/>
          <w:sz w:val="20"/>
        </w:rPr>
        <w:t> </w:t>
      </w:r>
      <w:r>
        <w:rPr>
          <w:b/>
          <w:sz w:val="20"/>
        </w:rPr>
        <w:t>for</w:t>
      </w:r>
      <w:r>
        <w:rPr>
          <w:b/>
          <w:spacing w:val="-6"/>
          <w:sz w:val="20"/>
        </w:rPr>
        <w:t> </w:t>
      </w:r>
      <w:r>
        <w:rPr>
          <w:b/>
          <w:spacing w:val="-4"/>
          <w:sz w:val="20"/>
        </w:rPr>
        <w:t>2023</w:t>
      </w:r>
    </w:p>
    <w:tbl>
      <w:tblPr>
        <w:tblW w:w="0" w:type="auto"/>
        <w:jc w:val="left"/>
        <w:tblInd w:w="1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61"/>
        <w:gridCol w:w="1095"/>
        <w:gridCol w:w="826"/>
        <w:gridCol w:w="1028"/>
        <w:gridCol w:w="1135"/>
        <w:gridCol w:w="1253"/>
        <w:gridCol w:w="754"/>
        <w:gridCol w:w="1097"/>
      </w:tblGrid>
      <w:tr>
        <w:trPr>
          <w:trHeight w:val="310" w:hRule="atLeast"/>
        </w:trPr>
        <w:tc>
          <w:tcPr>
            <w:tcW w:w="2461" w:type="dxa"/>
            <w:tcBorders>
              <w:top w:val="single" w:sz="4" w:space="0" w:color="000000"/>
            </w:tcBorders>
          </w:tcPr>
          <w:p>
            <w:pPr>
              <w:pStyle w:val="TableParagraph"/>
              <w:jc w:val="left"/>
              <w:rPr>
                <w:sz w:val="14"/>
              </w:rPr>
            </w:pPr>
          </w:p>
        </w:tc>
        <w:tc>
          <w:tcPr>
            <w:tcW w:w="2949" w:type="dxa"/>
            <w:gridSpan w:val="3"/>
            <w:tcBorders>
              <w:top w:val="single" w:sz="4" w:space="0" w:color="000000"/>
            </w:tcBorders>
          </w:tcPr>
          <w:p>
            <w:pPr>
              <w:pStyle w:val="TableParagraph"/>
              <w:spacing w:line="180" w:lineRule="exact" w:before="110"/>
              <w:ind w:left="-1"/>
              <w:jc w:val="left"/>
              <w:rPr>
                <w:sz w:val="16"/>
              </w:rPr>
            </w:pPr>
            <w:r>
              <w:rPr>
                <w:spacing w:val="55"/>
                <w:sz w:val="16"/>
                <w:u w:val="single"/>
              </w:rPr>
              <w:t>  </w:t>
            </w:r>
            <w:r>
              <w:rPr>
                <w:sz w:val="16"/>
                <w:u w:val="single"/>
              </w:rPr>
              <w:t>2021 Expenditures</w:t>
            </w:r>
            <w:r>
              <w:rPr>
                <w:spacing w:val="-3"/>
                <w:sz w:val="16"/>
                <w:u w:val="single"/>
              </w:rPr>
              <w:t> </w:t>
            </w:r>
            <w:r>
              <w:rPr>
                <w:sz w:val="16"/>
                <w:u w:val="single"/>
              </w:rPr>
              <w:t>(thousands</w:t>
            </w:r>
            <w:r>
              <w:rPr>
                <w:spacing w:val="-3"/>
                <w:sz w:val="16"/>
                <w:u w:val="single"/>
              </w:rPr>
              <w:t> </w:t>
            </w:r>
            <w:r>
              <w:rPr>
                <w:sz w:val="16"/>
                <w:u w:val="single"/>
              </w:rPr>
              <w:t>of</w:t>
            </w:r>
            <w:r>
              <w:rPr>
                <w:spacing w:val="-3"/>
                <w:sz w:val="16"/>
                <w:u w:val="single"/>
              </w:rPr>
              <w:t> </w:t>
            </w:r>
            <w:r>
              <w:rPr>
                <w:spacing w:val="-2"/>
                <w:sz w:val="16"/>
                <w:u w:val="single"/>
              </w:rPr>
              <w:t>euros)</w:t>
            </w:r>
            <w:r>
              <w:rPr>
                <w:spacing w:val="40"/>
                <w:sz w:val="16"/>
                <w:u w:val="single"/>
              </w:rPr>
              <w:t> </w:t>
            </w:r>
          </w:p>
        </w:tc>
        <w:tc>
          <w:tcPr>
            <w:tcW w:w="1135" w:type="dxa"/>
            <w:vMerge w:val="restart"/>
            <w:tcBorders>
              <w:top w:val="single" w:sz="4" w:space="0" w:color="000000"/>
              <w:bottom w:val="single" w:sz="12" w:space="0" w:color="000000"/>
            </w:tcBorders>
          </w:tcPr>
          <w:p>
            <w:pPr>
              <w:pStyle w:val="TableParagraph"/>
              <w:spacing w:line="183" w:lineRule="exact" w:before="139"/>
              <w:ind w:left="115" w:right="71"/>
              <w:jc w:val="center"/>
              <w:rPr>
                <w:sz w:val="16"/>
              </w:rPr>
            </w:pPr>
            <w:r>
              <w:rPr>
                <w:spacing w:val="-4"/>
                <w:sz w:val="16"/>
              </w:rPr>
              <w:t>2022</w:t>
            </w:r>
          </w:p>
          <w:p>
            <w:pPr>
              <w:pStyle w:val="TableParagraph"/>
              <w:spacing w:line="183" w:lineRule="exact"/>
              <w:ind w:left="115" w:right="74"/>
              <w:jc w:val="center"/>
              <w:rPr>
                <w:sz w:val="16"/>
              </w:rPr>
            </w:pPr>
            <w:r>
              <w:rPr>
                <w:spacing w:val="-2"/>
                <w:sz w:val="16"/>
              </w:rPr>
              <w:t>Approved</w:t>
            </w:r>
          </w:p>
          <w:p>
            <w:pPr>
              <w:pStyle w:val="TableParagraph"/>
              <w:spacing w:line="172" w:lineRule="exact" w:before="3"/>
              <w:ind w:left="115" w:right="66"/>
              <w:jc w:val="center"/>
              <w:rPr>
                <w:sz w:val="16"/>
              </w:rPr>
            </w:pPr>
            <w:r>
              <w:rPr>
                <w:spacing w:val="-2"/>
                <w:sz w:val="16"/>
              </w:rPr>
              <w:t>Budget</w:t>
            </w:r>
          </w:p>
        </w:tc>
        <w:tc>
          <w:tcPr>
            <w:tcW w:w="2007" w:type="dxa"/>
            <w:gridSpan w:val="2"/>
            <w:tcBorders>
              <w:top w:val="single" w:sz="4" w:space="0" w:color="000000"/>
            </w:tcBorders>
          </w:tcPr>
          <w:p>
            <w:pPr>
              <w:pStyle w:val="TableParagraph"/>
              <w:tabs>
                <w:tab w:pos="391" w:val="left" w:leader="none"/>
                <w:tab w:pos="1913" w:val="left" w:leader="none"/>
              </w:tabs>
              <w:spacing w:line="180" w:lineRule="exact" w:before="110"/>
              <w:ind w:left="55"/>
              <w:jc w:val="left"/>
              <w:rPr>
                <w:sz w:val="16"/>
              </w:rPr>
            </w:pPr>
            <w:r>
              <w:rPr>
                <w:sz w:val="16"/>
                <w:u w:val="single"/>
              </w:rPr>
              <w:tab/>
              <w:t>Resource</w:t>
            </w:r>
            <w:r>
              <w:rPr>
                <w:spacing w:val="-2"/>
                <w:sz w:val="16"/>
                <w:u w:val="single"/>
              </w:rPr>
              <w:t> Changes</w:t>
            </w:r>
            <w:r>
              <w:rPr>
                <w:sz w:val="16"/>
                <w:u w:val="single"/>
              </w:rPr>
              <w:tab/>
            </w:r>
          </w:p>
        </w:tc>
        <w:tc>
          <w:tcPr>
            <w:tcW w:w="1097" w:type="dxa"/>
            <w:tcBorders>
              <w:top w:val="single" w:sz="4" w:space="0" w:color="000000"/>
            </w:tcBorders>
          </w:tcPr>
          <w:p>
            <w:pPr>
              <w:pStyle w:val="TableParagraph"/>
              <w:jc w:val="left"/>
              <w:rPr>
                <w:sz w:val="14"/>
              </w:rPr>
            </w:pPr>
          </w:p>
        </w:tc>
      </w:tr>
      <w:tr>
        <w:trPr>
          <w:trHeight w:val="359" w:hRule="atLeast"/>
        </w:trPr>
        <w:tc>
          <w:tcPr>
            <w:tcW w:w="2461" w:type="dxa"/>
            <w:tcBorders>
              <w:bottom w:val="single" w:sz="12" w:space="0" w:color="000000"/>
            </w:tcBorders>
          </w:tcPr>
          <w:p>
            <w:pPr>
              <w:pStyle w:val="TableParagraph"/>
              <w:spacing w:line="165" w:lineRule="exact"/>
              <w:ind w:left="117"/>
              <w:jc w:val="left"/>
              <w:rPr>
                <w:b/>
                <w:sz w:val="16"/>
              </w:rPr>
            </w:pPr>
            <w:r>
              <w:rPr>
                <w:b/>
                <w:sz w:val="16"/>
              </w:rPr>
              <w:t>Programme</w:t>
            </w:r>
            <w:r>
              <w:rPr>
                <w:b/>
                <w:spacing w:val="-4"/>
                <w:sz w:val="16"/>
              </w:rPr>
              <w:t> </w:t>
            </w:r>
            <w:r>
              <w:rPr>
                <w:b/>
                <w:spacing w:val="-5"/>
                <w:sz w:val="16"/>
              </w:rPr>
              <w:t>B1</w:t>
            </w:r>
          </w:p>
          <w:p>
            <w:pPr>
              <w:pStyle w:val="TableParagraph"/>
              <w:spacing w:line="172" w:lineRule="exact" w:before="3"/>
              <w:ind w:left="117"/>
              <w:jc w:val="left"/>
              <w:rPr>
                <w:b/>
                <w:sz w:val="16"/>
              </w:rPr>
            </w:pPr>
            <w:r>
              <w:rPr>
                <w:b/>
                <w:spacing w:val="-2"/>
                <w:sz w:val="16"/>
              </w:rPr>
              <w:t>Deputy</w:t>
            </w:r>
            <w:r>
              <w:rPr>
                <w:b/>
                <w:spacing w:val="-1"/>
                <w:sz w:val="16"/>
              </w:rPr>
              <w:t> </w:t>
            </w:r>
            <w:r>
              <w:rPr>
                <w:b/>
                <w:spacing w:val="-2"/>
                <w:sz w:val="16"/>
              </w:rPr>
              <w:t>Prosecutor</w:t>
            </w:r>
          </w:p>
        </w:tc>
        <w:tc>
          <w:tcPr>
            <w:tcW w:w="1095" w:type="dxa"/>
            <w:tcBorders>
              <w:bottom w:val="single" w:sz="12" w:space="0" w:color="000000"/>
            </w:tcBorders>
          </w:tcPr>
          <w:p>
            <w:pPr>
              <w:pStyle w:val="TableParagraph"/>
              <w:spacing w:before="7"/>
              <w:jc w:val="left"/>
              <w:rPr>
                <w:b/>
                <w:sz w:val="14"/>
              </w:rPr>
            </w:pPr>
          </w:p>
          <w:p>
            <w:pPr>
              <w:pStyle w:val="TableParagraph"/>
              <w:spacing w:line="172" w:lineRule="exact"/>
              <w:ind w:left="340"/>
              <w:jc w:val="left"/>
              <w:rPr>
                <w:sz w:val="16"/>
              </w:rPr>
            </w:pPr>
            <w:r>
              <w:rPr>
                <w:spacing w:val="-2"/>
                <w:sz w:val="16"/>
              </w:rPr>
              <w:t>Total</w:t>
            </w:r>
          </w:p>
        </w:tc>
        <w:tc>
          <w:tcPr>
            <w:tcW w:w="826" w:type="dxa"/>
            <w:tcBorders>
              <w:bottom w:val="single" w:sz="12" w:space="0" w:color="000000"/>
            </w:tcBorders>
          </w:tcPr>
          <w:p>
            <w:pPr>
              <w:pStyle w:val="TableParagraph"/>
              <w:spacing w:line="165" w:lineRule="exact"/>
              <w:ind w:left="177"/>
              <w:jc w:val="left"/>
              <w:rPr>
                <w:sz w:val="16"/>
              </w:rPr>
            </w:pPr>
            <w:r>
              <w:rPr>
                <w:spacing w:val="-2"/>
                <w:sz w:val="16"/>
              </w:rPr>
              <w:t>Cont.</w:t>
            </w:r>
          </w:p>
          <w:p>
            <w:pPr>
              <w:pStyle w:val="TableParagraph"/>
              <w:spacing w:line="172" w:lineRule="exact" w:before="3"/>
              <w:ind w:left="187"/>
              <w:jc w:val="left"/>
              <w:rPr>
                <w:sz w:val="16"/>
              </w:rPr>
            </w:pPr>
            <w:r>
              <w:rPr>
                <w:spacing w:val="-4"/>
                <w:sz w:val="16"/>
              </w:rPr>
              <w:t>Fund</w:t>
            </w:r>
          </w:p>
        </w:tc>
        <w:tc>
          <w:tcPr>
            <w:tcW w:w="1028" w:type="dxa"/>
            <w:tcBorders>
              <w:bottom w:val="single" w:sz="12" w:space="0" w:color="000000"/>
            </w:tcBorders>
          </w:tcPr>
          <w:p>
            <w:pPr>
              <w:pStyle w:val="TableParagraph"/>
              <w:spacing w:line="165" w:lineRule="exact"/>
              <w:ind w:left="141" w:right="196"/>
              <w:jc w:val="center"/>
              <w:rPr>
                <w:sz w:val="16"/>
              </w:rPr>
            </w:pPr>
            <w:r>
              <w:rPr>
                <w:sz w:val="16"/>
              </w:rPr>
              <w:t>Total</w:t>
            </w:r>
            <w:r>
              <w:rPr>
                <w:spacing w:val="-6"/>
                <w:sz w:val="16"/>
              </w:rPr>
              <w:t> </w:t>
            </w:r>
            <w:r>
              <w:rPr>
                <w:spacing w:val="-2"/>
                <w:sz w:val="16"/>
              </w:rPr>
              <w:t>Incl.</w:t>
            </w:r>
          </w:p>
          <w:p>
            <w:pPr>
              <w:pStyle w:val="TableParagraph"/>
              <w:spacing w:line="172" w:lineRule="exact" w:before="3"/>
              <w:ind w:left="141" w:right="195"/>
              <w:jc w:val="center"/>
              <w:rPr>
                <w:sz w:val="16"/>
              </w:rPr>
            </w:pPr>
            <w:r>
              <w:rPr>
                <w:spacing w:val="-5"/>
                <w:sz w:val="16"/>
              </w:rPr>
              <w:t>CF</w:t>
            </w:r>
          </w:p>
        </w:tc>
        <w:tc>
          <w:tcPr>
            <w:tcW w:w="1135" w:type="dxa"/>
            <w:vMerge/>
            <w:tcBorders>
              <w:top w:val="nil"/>
              <w:bottom w:val="single" w:sz="12" w:space="0" w:color="000000"/>
            </w:tcBorders>
          </w:tcPr>
          <w:p>
            <w:pPr>
              <w:rPr>
                <w:sz w:val="2"/>
                <w:szCs w:val="2"/>
              </w:rPr>
            </w:pPr>
          </w:p>
        </w:tc>
        <w:tc>
          <w:tcPr>
            <w:tcW w:w="1253" w:type="dxa"/>
            <w:tcBorders>
              <w:bottom w:val="single" w:sz="12" w:space="0" w:color="000000"/>
            </w:tcBorders>
          </w:tcPr>
          <w:p>
            <w:pPr>
              <w:pStyle w:val="TableParagraph"/>
              <w:spacing w:before="7"/>
              <w:jc w:val="left"/>
              <w:rPr>
                <w:b/>
                <w:sz w:val="14"/>
              </w:rPr>
            </w:pPr>
          </w:p>
          <w:p>
            <w:pPr>
              <w:pStyle w:val="TableParagraph"/>
              <w:spacing w:line="172" w:lineRule="exact"/>
              <w:ind w:right="269"/>
              <w:rPr>
                <w:sz w:val="16"/>
              </w:rPr>
            </w:pPr>
            <w:r>
              <w:rPr>
                <w:spacing w:val="-2"/>
                <w:sz w:val="16"/>
              </w:rPr>
              <w:t>Amount</w:t>
            </w:r>
          </w:p>
        </w:tc>
        <w:tc>
          <w:tcPr>
            <w:tcW w:w="754" w:type="dxa"/>
            <w:tcBorders>
              <w:bottom w:val="single" w:sz="12" w:space="0" w:color="000000"/>
            </w:tcBorders>
          </w:tcPr>
          <w:p>
            <w:pPr>
              <w:pStyle w:val="TableParagraph"/>
              <w:spacing w:before="7"/>
              <w:jc w:val="left"/>
              <w:rPr>
                <w:b/>
                <w:sz w:val="14"/>
              </w:rPr>
            </w:pPr>
          </w:p>
          <w:p>
            <w:pPr>
              <w:pStyle w:val="TableParagraph"/>
              <w:spacing w:line="172" w:lineRule="exact"/>
              <w:ind w:right="199"/>
              <w:rPr>
                <w:sz w:val="16"/>
              </w:rPr>
            </w:pPr>
            <w:r>
              <w:rPr>
                <w:w w:val="98"/>
                <w:sz w:val="16"/>
              </w:rPr>
              <w:t>%</w:t>
            </w:r>
          </w:p>
        </w:tc>
        <w:tc>
          <w:tcPr>
            <w:tcW w:w="1097" w:type="dxa"/>
            <w:tcBorders>
              <w:bottom w:val="single" w:sz="12" w:space="0" w:color="000000"/>
            </w:tcBorders>
          </w:tcPr>
          <w:p>
            <w:pPr>
              <w:pStyle w:val="TableParagraph"/>
              <w:spacing w:line="165" w:lineRule="exact"/>
              <w:ind w:left="27" w:right="117"/>
              <w:jc w:val="center"/>
              <w:rPr>
                <w:sz w:val="16"/>
              </w:rPr>
            </w:pPr>
            <w:r>
              <w:rPr>
                <w:spacing w:val="-2"/>
                <w:sz w:val="16"/>
              </w:rPr>
              <w:t>Proposed</w:t>
            </w:r>
          </w:p>
          <w:p>
            <w:pPr>
              <w:pStyle w:val="TableParagraph"/>
              <w:spacing w:line="172" w:lineRule="exact" w:before="3"/>
              <w:ind w:left="35" w:right="117"/>
              <w:jc w:val="center"/>
              <w:rPr>
                <w:sz w:val="16"/>
              </w:rPr>
            </w:pPr>
            <w:r>
              <w:rPr>
                <w:sz w:val="16"/>
              </w:rPr>
              <w:t>2023</w:t>
            </w:r>
            <w:r>
              <w:rPr>
                <w:spacing w:val="2"/>
                <w:sz w:val="16"/>
              </w:rPr>
              <w:t> </w:t>
            </w:r>
            <w:r>
              <w:rPr>
                <w:spacing w:val="-2"/>
                <w:sz w:val="16"/>
              </w:rPr>
              <w:t>Budget</w:t>
            </w:r>
          </w:p>
        </w:tc>
      </w:tr>
      <w:tr>
        <w:trPr>
          <w:trHeight w:val="231" w:hRule="atLeast"/>
        </w:trPr>
        <w:tc>
          <w:tcPr>
            <w:tcW w:w="2461" w:type="dxa"/>
            <w:tcBorders>
              <w:top w:val="single" w:sz="12" w:space="0" w:color="000000"/>
            </w:tcBorders>
          </w:tcPr>
          <w:p>
            <w:pPr>
              <w:pStyle w:val="TableParagraph"/>
              <w:spacing w:before="13"/>
              <w:ind w:left="117"/>
              <w:jc w:val="left"/>
              <w:rPr>
                <w:sz w:val="16"/>
              </w:rPr>
            </w:pPr>
            <w:r>
              <w:rPr>
                <w:w w:val="95"/>
                <w:sz w:val="16"/>
              </w:rPr>
              <w:t>Professional</w:t>
            </w:r>
            <w:r>
              <w:rPr>
                <w:spacing w:val="28"/>
                <w:sz w:val="16"/>
              </w:rPr>
              <w:t> </w:t>
            </w:r>
            <w:r>
              <w:rPr>
                <w:spacing w:val="-2"/>
                <w:sz w:val="16"/>
              </w:rPr>
              <w:t>staff</w:t>
            </w:r>
          </w:p>
        </w:tc>
        <w:tc>
          <w:tcPr>
            <w:tcW w:w="1095" w:type="dxa"/>
            <w:tcBorders>
              <w:top w:val="single" w:sz="12" w:space="0" w:color="000000"/>
            </w:tcBorders>
            <w:shd w:val="clear" w:color="auto" w:fill="D9D9D9"/>
          </w:tcPr>
          <w:p>
            <w:pPr>
              <w:pStyle w:val="TableParagraph"/>
              <w:jc w:val="left"/>
              <w:rPr>
                <w:sz w:val="14"/>
              </w:rPr>
            </w:pPr>
          </w:p>
        </w:tc>
        <w:tc>
          <w:tcPr>
            <w:tcW w:w="826" w:type="dxa"/>
            <w:tcBorders>
              <w:top w:val="single" w:sz="12" w:space="0" w:color="000000"/>
            </w:tcBorders>
            <w:shd w:val="clear" w:color="auto" w:fill="D9D9D9"/>
          </w:tcPr>
          <w:p>
            <w:pPr>
              <w:pStyle w:val="TableParagraph"/>
              <w:jc w:val="left"/>
              <w:rPr>
                <w:sz w:val="14"/>
              </w:rPr>
            </w:pPr>
          </w:p>
        </w:tc>
        <w:tc>
          <w:tcPr>
            <w:tcW w:w="1028" w:type="dxa"/>
            <w:tcBorders>
              <w:top w:val="single" w:sz="12" w:space="0" w:color="000000"/>
            </w:tcBorders>
            <w:shd w:val="clear" w:color="auto" w:fill="D9D9D9"/>
          </w:tcPr>
          <w:p>
            <w:pPr>
              <w:pStyle w:val="TableParagraph"/>
              <w:jc w:val="left"/>
              <w:rPr>
                <w:sz w:val="14"/>
              </w:rPr>
            </w:pPr>
          </w:p>
        </w:tc>
        <w:tc>
          <w:tcPr>
            <w:tcW w:w="1135" w:type="dxa"/>
            <w:tcBorders>
              <w:top w:val="single" w:sz="12" w:space="0" w:color="000000"/>
            </w:tcBorders>
          </w:tcPr>
          <w:p>
            <w:pPr>
              <w:pStyle w:val="TableParagraph"/>
              <w:spacing w:before="13"/>
              <w:ind w:right="56"/>
              <w:rPr>
                <w:sz w:val="16"/>
              </w:rPr>
            </w:pPr>
            <w:r>
              <w:rPr>
                <w:spacing w:val="-2"/>
                <w:sz w:val="16"/>
              </w:rPr>
              <w:t>10,487.4</w:t>
            </w:r>
          </w:p>
        </w:tc>
        <w:tc>
          <w:tcPr>
            <w:tcW w:w="1253" w:type="dxa"/>
            <w:tcBorders>
              <w:top w:val="single" w:sz="12" w:space="0" w:color="000000"/>
            </w:tcBorders>
          </w:tcPr>
          <w:p>
            <w:pPr>
              <w:pStyle w:val="TableParagraph"/>
              <w:spacing w:before="13"/>
              <w:ind w:right="277"/>
              <w:rPr>
                <w:sz w:val="16"/>
              </w:rPr>
            </w:pPr>
            <w:r>
              <w:rPr>
                <w:spacing w:val="-2"/>
                <w:sz w:val="16"/>
              </w:rPr>
              <w:t>1,054.3</w:t>
            </w:r>
          </w:p>
        </w:tc>
        <w:tc>
          <w:tcPr>
            <w:tcW w:w="754" w:type="dxa"/>
            <w:tcBorders>
              <w:top w:val="single" w:sz="12" w:space="0" w:color="000000"/>
            </w:tcBorders>
          </w:tcPr>
          <w:p>
            <w:pPr>
              <w:pStyle w:val="TableParagraph"/>
              <w:spacing w:before="13"/>
              <w:ind w:right="199"/>
              <w:rPr>
                <w:sz w:val="16"/>
              </w:rPr>
            </w:pPr>
            <w:r>
              <w:rPr>
                <w:spacing w:val="-4"/>
                <w:sz w:val="16"/>
              </w:rPr>
              <w:t>10.1</w:t>
            </w:r>
          </w:p>
        </w:tc>
        <w:tc>
          <w:tcPr>
            <w:tcW w:w="1097" w:type="dxa"/>
            <w:tcBorders>
              <w:top w:val="single" w:sz="12" w:space="0" w:color="000000"/>
            </w:tcBorders>
          </w:tcPr>
          <w:p>
            <w:pPr>
              <w:pStyle w:val="TableParagraph"/>
              <w:spacing w:before="13"/>
              <w:ind w:right="106"/>
              <w:rPr>
                <w:sz w:val="16"/>
              </w:rPr>
            </w:pPr>
            <w:r>
              <w:rPr>
                <w:spacing w:val="-2"/>
                <w:sz w:val="16"/>
              </w:rPr>
              <w:t>11,541.7</w:t>
            </w:r>
          </w:p>
        </w:tc>
      </w:tr>
      <w:tr>
        <w:trPr>
          <w:trHeight w:val="223" w:hRule="atLeast"/>
        </w:trPr>
        <w:tc>
          <w:tcPr>
            <w:tcW w:w="2461" w:type="dxa"/>
            <w:tcBorders>
              <w:bottom w:val="single" w:sz="4" w:space="0" w:color="000000"/>
            </w:tcBorders>
          </w:tcPr>
          <w:p>
            <w:pPr>
              <w:pStyle w:val="TableParagraph"/>
              <w:spacing w:before="8"/>
              <w:ind w:left="117"/>
              <w:jc w:val="left"/>
              <w:rPr>
                <w:sz w:val="16"/>
              </w:rPr>
            </w:pPr>
            <w:r>
              <w:rPr>
                <w:sz w:val="16"/>
              </w:rPr>
              <w:t>General</w:t>
            </w:r>
            <w:r>
              <w:rPr>
                <w:spacing w:val="-6"/>
                <w:sz w:val="16"/>
              </w:rPr>
              <w:t> </w:t>
            </w:r>
            <w:r>
              <w:rPr>
                <w:sz w:val="16"/>
              </w:rPr>
              <w:t>Service</w:t>
            </w:r>
            <w:r>
              <w:rPr>
                <w:spacing w:val="-4"/>
                <w:sz w:val="16"/>
              </w:rPr>
              <w:t> staff</w:t>
            </w:r>
          </w:p>
        </w:tc>
        <w:tc>
          <w:tcPr>
            <w:tcW w:w="1095" w:type="dxa"/>
            <w:tcBorders>
              <w:bottom w:val="single" w:sz="4" w:space="0" w:color="000000"/>
            </w:tcBorders>
            <w:shd w:val="clear" w:color="auto" w:fill="D9D9D9"/>
          </w:tcPr>
          <w:p>
            <w:pPr>
              <w:pStyle w:val="TableParagraph"/>
              <w:jc w:val="left"/>
              <w:rPr>
                <w:sz w:val="14"/>
              </w:rPr>
            </w:pPr>
          </w:p>
        </w:tc>
        <w:tc>
          <w:tcPr>
            <w:tcW w:w="826" w:type="dxa"/>
            <w:tcBorders>
              <w:bottom w:val="single" w:sz="4" w:space="0" w:color="000000"/>
            </w:tcBorders>
            <w:shd w:val="clear" w:color="auto" w:fill="D9D9D9"/>
          </w:tcPr>
          <w:p>
            <w:pPr>
              <w:pStyle w:val="TableParagraph"/>
              <w:jc w:val="left"/>
              <w:rPr>
                <w:sz w:val="14"/>
              </w:rPr>
            </w:pPr>
          </w:p>
        </w:tc>
        <w:tc>
          <w:tcPr>
            <w:tcW w:w="1028" w:type="dxa"/>
            <w:tcBorders>
              <w:bottom w:val="single" w:sz="4" w:space="0" w:color="000000"/>
            </w:tcBorders>
            <w:shd w:val="clear" w:color="auto" w:fill="D9D9D9"/>
          </w:tcPr>
          <w:p>
            <w:pPr>
              <w:pStyle w:val="TableParagraph"/>
              <w:jc w:val="left"/>
              <w:rPr>
                <w:sz w:val="14"/>
              </w:rPr>
            </w:pPr>
          </w:p>
        </w:tc>
        <w:tc>
          <w:tcPr>
            <w:tcW w:w="1135" w:type="dxa"/>
            <w:tcBorders>
              <w:bottom w:val="single" w:sz="4" w:space="0" w:color="000000"/>
            </w:tcBorders>
          </w:tcPr>
          <w:p>
            <w:pPr>
              <w:pStyle w:val="TableParagraph"/>
              <w:spacing w:before="8"/>
              <w:ind w:right="56"/>
              <w:rPr>
                <w:sz w:val="16"/>
              </w:rPr>
            </w:pPr>
            <w:r>
              <w:rPr>
                <w:spacing w:val="-2"/>
                <w:sz w:val="16"/>
              </w:rPr>
              <w:t>213.0</w:t>
            </w:r>
          </w:p>
        </w:tc>
        <w:tc>
          <w:tcPr>
            <w:tcW w:w="1253" w:type="dxa"/>
            <w:tcBorders>
              <w:bottom w:val="single" w:sz="4" w:space="0" w:color="000000"/>
            </w:tcBorders>
          </w:tcPr>
          <w:p>
            <w:pPr>
              <w:pStyle w:val="TableParagraph"/>
              <w:spacing w:before="8"/>
              <w:ind w:right="276"/>
              <w:rPr>
                <w:sz w:val="16"/>
              </w:rPr>
            </w:pPr>
            <w:r>
              <w:rPr>
                <w:spacing w:val="-2"/>
                <w:sz w:val="16"/>
              </w:rPr>
              <w:t>149.5</w:t>
            </w:r>
          </w:p>
        </w:tc>
        <w:tc>
          <w:tcPr>
            <w:tcW w:w="754" w:type="dxa"/>
            <w:tcBorders>
              <w:bottom w:val="single" w:sz="4" w:space="0" w:color="000000"/>
            </w:tcBorders>
          </w:tcPr>
          <w:p>
            <w:pPr>
              <w:pStyle w:val="TableParagraph"/>
              <w:spacing w:before="8"/>
              <w:ind w:right="199"/>
              <w:rPr>
                <w:sz w:val="16"/>
              </w:rPr>
            </w:pPr>
            <w:r>
              <w:rPr>
                <w:spacing w:val="-4"/>
                <w:sz w:val="16"/>
              </w:rPr>
              <w:t>70.2</w:t>
            </w:r>
          </w:p>
        </w:tc>
        <w:tc>
          <w:tcPr>
            <w:tcW w:w="1097" w:type="dxa"/>
            <w:tcBorders>
              <w:bottom w:val="single" w:sz="4" w:space="0" w:color="000000"/>
            </w:tcBorders>
          </w:tcPr>
          <w:p>
            <w:pPr>
              <w:pStyle w:val="TableParagraph"/>
              <w:spacing w:before="8"/>
              <w:ind w:right="106"/>
              <w:rPr>
                <w:sz w:val="16"/>
              </w:rPr>
            </w:pPr>
            <w:r>
              <w:rPr>
                <w:spacing w:val="-2"/>
                <w:sz w:val="16"/>
              </w:rPr>
              <w:t>362.5</w:t>
            </w:r>
          </w:p>
        </w:tc>
      </w:tr>
      <w:tr>
        <w:trPr>
          <w:trHeight w:val="225" w:hRule="atLeast"/>
        </w:trPr>
        <w:tc>
          <w:tcPr>
            <w:tcW w:w="2461" w:type="dxa"/>
            <w:tcBorders>
              <w:top w:val="single" w:sz="4" w:space="0" w:color="000000"/>
              <w:bottom w:val="single" w:sz="4" w:space="0" w:color="000000"/>
            </w:tcBorders>
          </w:tcPr>
          <w:p>
            <w:pPr>
              <w:pStyle w:val="TableParagraph"/>
              <w:spacing w:before="9"/>
              <w:ind w:right="104"/>
              <w:rPr>
                <w:i/>
                <w:sz w:val="16"/>
              </w:rPr>
            </w:pPr>
            <w:r>
              <w:rPr>
                <w:i/>
                <w:sz w:val="16"/>
              </w:rPr>
              <w:t>Subtotal</w:t>
            </w:r>
            <w:r>
              <w:rPr>
                <w:i/>
                <w:spacing w:val="-1"/>
                <w:sz w:val="16"/>
              </w:rPr>
              <w:t> </w:t>
            </w:r>
            <w:r>
              <w:rPr>
                <w:i/>
                <w:spacing w:val="-2"/>
                <w:sz w:val="16"/>
              </w:rPr>
              <w:t>staff</w:t>
            </w:r>
          </w:p>
        </w:tc>
        <w:tc>
          <w:tcPr>
            <w:tcW w:w="1095" w:type="dxa"/>
            <w:tcBorders>
              <w:top w:val="single" w:sz="4" w:space="0" w:color="000000"/>
              <w:bottom w:val="single" w:sz="4" w:space="0" w:color="000000"/>
            </w:tcBorders>
          </w:tcPr>
          <w:p>
            <w:pPr>
              <w:pStyle w:val="TableParagraph"/>
              <w:spacing w:before="9"/>
              <w:ind w:right="175"/>
              <w:rPr>
                <w:i/>
                <w:sz w:val="16"/>
              </w:rPr>
            </w:pPr>
            <w:r>
              <w:rPr>
                <w:i/>
                <w:w w:val="98"/>
                <w:sz w:val="16"/>
              </w:rPr>
              <w:t>-</w:t>
            </w:r>
          </w:p>
        </w:tc>
        <w:tc>
          <w:tcPr>
            <w:tcW w:w="826" w:type="dxa"/>
            <w:tcBorders>
              <w:top w:val="single" w:sz="4" w:space="0" w:color="000000"/>
              <w:bottom w:val="single" w:sz="4" w:space="0" w:color="000000"/>
            </w:tcBorders>
          </w:tcPr>
          <w:p>
            <w:pPr>
              <w:pStyle w:val="TableParagraph"/>
              <w:spacing w:before="9"/>
              <w:ind w:right="152"/>
              <w:rPr>
                <w:i/>
                <w:sz w:val="16"/>
              </w:rPr>
            </w:pPr>
            <w:r>
              <w:rPr>
                <w:i/>
                <w:w w:val="98"/>
                <w:sz w:val="16"/>
              </w:rPr>
              <w:t>-</w:t>
            </w:r>
          </w:p>
        </w:tc>
        <w:tc>
          <w:tcPr>
            <w:tcW w:w="1028" w:type="dxa"/>
            <w:tcBorders>
              <w:top w:val="single" w:sz="4" w:space="0" w:color="000000"/>
              <w:bottom w:val="single" w:sz="4" w:space="0" w:color="000000"/>
            </w:tcBorders>
          </w:tcPr>
          <w:p>
            <w:pPr>
              <w:pStyle w:val="TableParagraph"/>
              <w:spacing w:before="9"/>
              <w:ind w:right="109"/>
              <w:rPr>
                <w:i/>
                <w:sz w:val="16"/>
              </w:rPr>
            </w:pPr>
            <w:r>
              <w:rPr>
                <w:i/>
                <w:w w:val="98"/>
                <w:sz w:val="16"/>
              </w:rPr>
              <w:t>-</w:t>
            </w:r>
          </w:p>
        </w:tc>
        <w:tc>
          <w:tcPr>
            <w:tcW w:w="1135" w:type="dxa"/>
            <w:tcBorders>
              <w:top w:val="single" w:sz="4" w:space="0" w:color="000000"/>
              <w:bottom w:val="single" w:sz="4" w:space="0" w:color="000000"/>
            </w:tcBorders>
          </w:tcPr>
          <w:p>
            <w:pPr>
              <w:pStyle w:val="TableParagraph"/>
              <w:spacing w:before="9"/>
              <w:ind w:right="56"/>
              <w:rPr>
                <w:i/>
                <w:sz w:val="16"/>
              </w:rPr>
            </w:pPr>
            <w:r>
              <w:rPr>
                <w:i/>
                <w:spacing w:val="-2"/>
                <w:sz w:val="16"/>
              </w:rPr>
              <w:t>10,700.4</w:t>
            </w:r>
          </w:p>
        </w:tc>
        <w:tc>
          <w:tcPr>
            <w:tcW w:w="1253" w:type="dxa"/>
            <w:tcBorders>
              <w:top w:val="single" w:sz="4" w:space="0" w:color="000000"/>
              <w:bottom w:val="single" w:sz="4" w:space="0" w:color="000000"/>
            </w:tcBorders>
          </w:tcPr>
          <w:p>
            <w:pPr>
              <w:pStyle w:val="TableParagraph"/>
              <w:spacing w:before="9"/>
              <w:ind w:right="277"/>
              <w:rPr>
                <w:i/>
                <w:sz w:val="16"/>
              </w:rPr>
            </w:pPr>
            <w:r>
              <w:rPr>
                <w:i/>
                <w:spacing w:val="-2"/>
                <w:sz w:val="16"/>
              </w:rPr>
              <w:t>1,203.8</w:t>
            </w:r>
          </w:p>
        </w:tc>
        <w:tc>
          <w:tcPr>
            <w:tcW w:w="754" w:type="dxa"/>
            <w:tcBorders>
              <w:top w:val="single" w:sz="4" w:space="0" w:color="000000"/>
              <w:bottom w:val="single" w:sz="4" w:space="0" w:color="000000"/>
            </w:tcBorders>
          </w:tcPr>
          <w:p>
            <w:pPr>
              <w:pStyle w:val="TableParagraph"/>
              <w:spacing w:before="9"/>
              <w:ind w:right="199"/>
              <w:rPr>
                <w:i/>
                <w:sz w:val="16"/>
              </w:rPr>
            </w:pPr>
            <w:r>
              <w:rPr>
                <w:i/>
                <w:spacing w:val="-4"/>
                <w:sz w:val="16"/>
              </w:rPr>
              <w:t>11.3</w:t>
            </w:r>
          </w:p>
        </w:tc>
        <w:tc>
          <w:tcPr>
            <w:tcW w:w="1097" w:type="dxa"/>
            <w:tcBorders>
              <w:top w:val="single" w:sz="4" w:space="0" w:color="000000"/>
              <w:bottom w:val="single" w:sz="4" w:space="0" w:color="000000"/>
            </w:tcBorders>
          </w:tcPr>
          <w:p>
            <w:pPr>
              <w:pStyle w:val="TableParagraph"/>
              <w:spacing w:before="9"/>
              <w:ind w:right="106"/>
              <w:rPr>
                <w:i/>
                <w:sz w:val="16"/>
              </w:rPr>
            </w:pPr>
            <w:r>
              <w:rPr>
                <w:i/>
                <w:spacing w:val="-2"/>
                <w:sz w:val="16"/>
              </w:rPr>
              <w:t>11,904.2</w:t>
            </w:r>
          </w:p>
        </w:tc>
      </w:tr>
      <w:tr>
        <w:trPr>
          <w:trHeight w:val="231" w:hRule="atLeast"/>
        </w:trPr>
        <w:tc>
          <w:tcPr>
            <w:tcW w:w="2461" w:type="dxa"/>
            <w:tcBorders>
              <w:top w:val="single" w:sz="4" w:space="0" w:color="000000"/>
            </w:tcBorders>
          </w:tcPr>
          <w:p>
            <w:pPr>
              <w:pStyle w:val="TableParagraph"/>
              <w:spacing w:before="14"/>
              <w:ind w:left="117"/>
              <w:jc w:val="left"/>
              <w:rPr>
                <w:sz w:val="16"/>
              </w:rPr>
            </w:pPr>
            <w:r>
              <w:rPr>
                <w:sz w:val="16"/>
              </w:rPr>
              <w:t>General</w:t>
            </w:r>
            <w:r>
              <w:rPr>
                <w:spacing w:val="-4"/>
                <w:sz w:val="16"/>
              </w:rPr>
              <w:t> </w:t>
            </w:r>
            <w:r>
              <w:rPr>
                <w:sz w:val="16"/>
              </w:rPr>
              <w:t>temporary</w:t>
            </w:r>
            <w:r>
              <w:rPr>
                <w:spacing w:val="-1"/>
                <w:sz w:val="16"/>
              </w:rPr>
              <w:t> </w:t>
            </w:r>
            <w:r>
              <w:rPr>
                <w:spacing w:val="-2"/>
                <w:sz w:val="16"/>
              </w:rPr>
              <w:t>assistance</w:t>
            </w:r>
          </w:p>
        </w:tc>
        <w:tc>
          <w:tcPr>
            <w:tcW w:w="1095" w:type="dxa"/>
            <w:tcBorders>
              <w:top w:val="single" w:sz="4" w:space="0" w:color="000000"/>
            </w:tcBorders>
          </w:tcPr>
          <w:p>
            <w:pPr>
              <w:pStyle w:val="TableParagraph"/>
              <w:spacing w:before="14"/>
              <w:ind w:right="175"/>
              <w:rPr>
                <w:sz w:val="16"/>
              </w:rPr>
            </w:pPr>
            <w:r>
              <w:rPr>
                <w:w w:val="98"/>
                <w:sz w:val="16"/>
              </w:rPr>
              <w:t>-</w:t>
            </w:r>
          </w:p>
        </w:tc>
        <w:tc>
          <w:tcPr>
            <w:tcW w:w="826" w:type="dxa"/>
            <w:tcBorders>
              <w:top w:val="single" w:sz="4" w:space="0" w:color="000000"/>
            </w:tcBorders>
          </w:tcPr>
          <w:p>
            <w:pPr>
              <w:pStyle w:val="TableParagraph"/>
              <w:spacing w:before="14"/>
              <w:ind w:right="152"/>
              <w:rPr>
                <w:sz w:val="16"/>
              </w:rPr>
            </w:pPr>
            <w:r>
              <w:rPr>
                <w:w w:val="98"/>
                <w:sz w:val="16"/>
              </w:rPr>
              <w:t>-</w:t>
            </w:r>
          </w:p>
        </w:tc>
        <w:tc>
          <w:tcPr>
            <w:tcW w:w="1028" w:type="dxa"/>
            <w:tcBorders>
              <w:top w:val="single" w:sz="4" w:space="0" w:color="000000"/>
            </w:tcBorders>
          </w:tcPr>
          <w:p>
            <w:pPr>
              <w:pStyle w:val="TableParagraph"/>
              <w:spacing w:before="14"/>
              <w:ind w:right="109"/>
              <w:rPr>
                <w:sz w:val="16"/>
              </w:rPr>
            </w:pPr>
            <w:r>
              <w:rPr>
                <w:w w:val="98"/>
                <w:sz w:val="16"/>
              </w:rPr>
              <w:t>-</w:t>
            </w:r>
          </w:p>
        </w:tc>
        <w:tc>
          <w:tcPr>
            <w:tcW w:w="1135" w:type="dxa"/>
            <w:tcBorders>
              <w:top w:val="single" w:sz="4" w:space="0" w:color="000000"/>
            </w:tcBorders>
          </w:tcPr>
          <w:p>
            <w:pPr>
              <w:pStyle w:val="TableParagraph"/>
              <w:spacing w:before="14"/>
              <w:ind w:right="56"/>
              <w:rPr>
                <w:sz w:val="16"/>
              </w:rPr>
            </w:pPr>
            <w:r>
              <w:rPr>
                <w:spacing w:val="-2"/>
                <w:sz w:val="16"/>
              </w:rPr>
              <w:t>3,516.5</w:t>
            </w:r>
          </w:p>
        </w:tc>
        <w:tc>
          <w:tcPr>
            <w:tcW w:w="1253" w:type="dxa"/>
            <w:tcBorders>
              <w:top w:val="single" w:sz="4" w:space="0" w:color="000000"/>
            </w:tcBorders>
          </w:tcPr>
          <w:p>
            <w:pPr>
              <w:pStyle w:val="TableParagraph"/>
              <w:spacing w:before="14"/>
              <w:ind w:right="277"/>
              <w:rPr>
                <w:sz w:val="16"/>
              </w:rPr>
            </w:pPr>
            <w:r>
              <w:rPr>
                <w:spacing w:val="-2"/>
                <w:sz w:val="16"/>
              </w:rPr>
              <w:t>1,257.5</w:t>
            </w:r>
          </w:p>
        </w:tc>
        <w:tc>
          <w:tcPr>
            <w:tcW w:w="754" w:type="dxa"/>
            <w:tcBorders>
              <w:top w:val="single" w:sz="4" w:space="0" w:color="000000"/>
            </w:tcBorders>
          </w:tcPr>
          <w:p>
            <w:pPr>
              <w:pStyle w:val="TableParagraph"/>
              <w:spacing w:before="14"/>
              <w:ind w:right="199"/>
              <w:rPr>
                <w:sz w:val="16"/>
              </w:rPr>
            </w:pPr>
            <w:r>
              <w:rPr>
                <w:spacing w:val="-4"/>
                <w:sz w:val="16"/>
              </w:rPr>
              <w:t>35.8</w:t>
            </w:r>
          </w:p>
        </w:tc>
        <w:tc>
          <w:tcPr>
            <w:tcW w:w="1097" w:type="dxa"/>
            <w:tcBorders>
              <w:top w:val="single" w:sz="4" w:space="0" w:color="000000"/>
            </w:tcBorders>
          </w:tcPr>
          <w:p>
            <w:pPr>
              <w:pStyle w:val="TableParagraph"/>
              <w:spacing w:before="14"/>
              <w:ind w:right="106"/>
              <w:rPr>
                <w:sz w:val="16"/>
              </w:rPr>
            </w:pPr>
            <w:r>
              <w:rPr>
                <w:spacing w:val="-2"/>
                <w:sz w:val="16"/>
              </w:rPr>
              <w:t>4,774.0</w:t>
            </w:r>
          </w:p>
        </w:tc>
      </w:tr>
      <w:tr>
        <w:trPr>
          <w:trHeight w:val="225" w:hRule="atLeast"/>
        </w:trPr>
        <w:tc>
          <w:tcPr>
            <w:tcW w:w="2461" w:type="dxa"/>
          </w:tcPr>
          <w:p>
            <w:pPr>
              <w:pStyle w:val="TableParagraph"/>
              <w:spacing w:before="7"/>
              <w:ind w:left="117"/>
              <w:jc w:val="left"/>
              <w:rPr>
                <w:sz w:val="16"/>
              </w:rPr>
            </w:pPr>
            <w:r>
              <w:rPr>
                <w:sz w:val="16"/>
              </w:rPr>
              <w:t>Temporary</w:t>
            </w:r>
            <w:r>
              <w:rPr>
                <w:spacing w:val="-3"/>
                <w:sz w:val="16"/>
              </w:rPr>
              <w:t> </w:t>
            </w:r>
            <w:r>
              <w:rPr>
                <w:sz w:val="16"/>
              </w:rPr>
              <w:t>assistance</w:t>
            </w:r>
            <w:r>
              <w:rPr>
                <w:spacing w:val="-4"/>
                <w:sz w:val="16"/>
              </w:rPr>
              <w:t> </w:t>
            </w:r>
            <w:r>
              <w:rPr>
                <w:sz w:val="16"/>
              </w:rPr>
              <w:t>for</w:t>
            </w:r>
            <w:r>
              <w:rPr>
                <w:spacing w:val="-2"/>
                <w:sz w:val="16"/>
              </w:rPr>
              <w:t> meetings</w:t>
            </w:r>
          </w:p>
        </w:tc>
        <w:tc>
          <w:tcPr>
            <w:tcW w:w="1095" w:type="dxa"/>
          </w:tcPr>
          <w:p>
            <w:pPr>
              <w:pStyle w:val="TableParagraph"/>
              <w:spacing w:before="7"/>
              <w:ind w:right="175"/>
              <w:rPr>
                <w:sz w:val="16"/>
              </w:rPr>
            </w:pPr>
            <w:r>
              <w:rPr>
                <w:w w:val="98"/>
                <w:sz w:val="16"/>
              </w:rPr>
              <w:t>-</w:t>
            </w:r>
          </w:p>
        </w:tc>
        <w:tc>
          <w:tcPr>
            <w:tcW w:w="826" w:type="dxa"/>
          </w:tcPr>
          <w:p>
            <w:pPr>
              <w:pStyle w:val="TableParagraph"/>
              <w:spacing w:before="7"/>
              <w:ind w:right="152"/>
              <w:rPr>
                <w:sz w:val="16"/>
              </w:rPr>
            </w:pPr>
            <w:r>
              <w:rPr>
                <w:w w:val="98"/>
                <w:sz w:val="16"/>
              </w:rPr>
              <w:t>-</w:t>
            </w:r>
          </w:p>
        </w:tc>
        <w:tc>
          <w:tcPr>
            <w:tcW w:w="1028" w:type="dxa"/>
          </w:tcPr>
          <w:p>
            <w:pPr>
              <w:pStyle w:val="TableParagraph"/>
              <w:spacing w:before="7"/>
              <w:ind w:right="109"/>
              <w:rPr>
                <w:sz w:val="16"/>
              </w:rPr>
            </w:pPr>
            <w:r>
              <w:rPr>
                <w:w w:val="98"/>
                <w:sz w:val="16"/>
              </w:rPr>
              <w:t>-</w:t>
            </w:r>
          </w:p>
        </w:tc>
        <w:tc>
          <w:tcPr>
            <w:tcW w:w="1135" w:type="dxa"/>
          </w:tcPr>
          <w:p>
            <w:pPr>
              <w:pStyle w:val="TableParagraph"/>
              <w:spacing w:before="7"/>
              <w:ind w:right="53"/>
              <w:rPr>
                <w:sz w:val="16"/>
              </w:rPr>
            </w:pPr>
            <w:r>
              <w:rPr>
                <w:w w:val="98"/>
                <w:sz w:val="16"/>
              </w:rPr>
              <w:t>-</w:t>
            </w:r>
          </w:p>
        </w:tc>
        <w:tc>
          <w:tcPr>
            <w:tcW w:w="1253" w:type="dxa"/>
          </w:tcPr>
          <w:p>
            <w:pPr>
              <w:pStyle w:val="TableParagraph"/>
              <w:spacing w:before="7"/>
              <w:ind w:right="278"/>
              <w:rPr>
                <w:sz w:val="16"/>
              </w:rPr>
            </w:pPr>
            <w:r>
              <w:rPr>
                <w:w w:val="98"/>
                <w:sz w:val="16"/>
              </w:rPr>
              <w:t>-</w:t>
            </w:r>
          </w:p>
        </w:tc>
        <w:tc>
          <w:tcPr>
            <w:tcW w:w="754" w:type="dxa"/>
          </w:tcPr>
          <w:p>
            <w:pPr>
              <w:pStyle w:val="TableParagraph"/>
              <w:spacing w:before="7"/>
              <w:ind w:right="197"/>
              <w:rPr>
                <w:sz w:val="16"/>
              </w:rPr>
            </w:pPr>
            <w:r>
              <w:rPr>
                <w:w w:val="98"/>
                <w:sz w:val="16"/>
              </w:rPr>
              <w:t>-</w:t>
            </w:r>
          </w:p>
        </w:tc>
        <w:tc>
          <w:tcPr>
            <w:tcW w:w="1097" w:type="dxa"/>
          </w:tcPr>
          <w:p>
            <w:pPr>
              <w:pStyle w:val="TableParagraph"/>
              <w:spacing w:before="7"/>
              <w:ind w:right="103"/>
              <w:rPr>
                <w:sz w:val="16"/>
              </w:rPr>
            </w:pPr>
            <w:r>
              <w:rPr>
                <w:w w:val="98"/>
                <w:sz w:val="16"/>
              </w:rPr>
              <w:t>-</w:t>
            </w:r>
          </w:p>
        </w:tc>
      </w:tr>
      <w:tr>
        <w:trPr>
          <w:trHeight w:val="223" w:hRule="atLeast"/>
        </w:trPr>
        <w:tc>
          <w:tcPr>
            <w:tcW w:w="2461" w:type="dxa"/>
            <w:tcBorders>
              <w:bottom w:val="single" w:sz="4" w:space="0" w:color="000000"/>
            </w:tcBorders>
          </w:tcPr>
          <w:p>
            <w:pPr>
              <w:pStyle w:val="TableParagraph"/>
              <w:spacing w:before="7"/>
              <w:ind w:left="117"/>
              <w:jc w:val="left"/>
              <w:rPr>
                <w:sz w:val="16"/>
              </w:rPr>
            </w:pPr>
            <w:r>
              <w:rPr>
                <w:spacing w:val="-2"/>
                <w:sz w:val="16"/>
              </w:rPr>
              <w:t>Overtime</w:t>
            </w:r>
          </w:p>
        </w:tc>
        <w:tc>
          <w:tcPr>
            <w:tcW w:w="1095" w:type="dxa"/>
            <w:tcBorders>
              <w:bottom w:val="single" w:sz="4" w:space="0" w:color="000000"/>
            </w:tcBorders>
          </w:tcPr>
          <w:p>
            <w:pPr>
              <w:pStyle w:val="TableParagraph"/>
              <w:spacing w:before="7"/>
              <w:ind w:right="175"/>
              <w:rPr>
                <w:sz w:val="16"/>
              </w:rPr>
            </w:pPr>
            <w:r>
              <w:rPr>
                <w:w w:val="98"/>
                <w:sz w:val="16"/>
              </w:rPr>
              <w:t>-</w:t>
            </w:r>
          </w:p>
        </w:tc>
        <w:tc>
          <w:tcPr>
            <w:tcW w:w="826" w:type="dxa"/>
            <w:tcBorders>
              <w:bottom w:val="single" w:sz="4" w:space="0" w:color="000000"/>
            </w:tcBorders>
          </w:tcPr>
          <w:p>
            <w:pPr>
              <w:pStyle w:val="TableParagraph"/>
              <w:spacing w:before="7"/>
              <w:ind w:right="152"/>
              <w:rPr>
                <w:sz w:val="16"/>
              </w:rPr>
            </w:pPr>
            <w:r>
              <w:rPr>
                <w:w w:val="98"/>
                <w:sz w:val="16"/>
              </w:rPr>
              <w:t>-</w:t>
            </w:r>
          </w:p>
        </w:tc>
        <w:tc>
          <w:tcPr>
            <w:tcW w:w="1028" w:type="dxa"/>
            <w:tcBorders>
              <w:bottom w:val="single" w:sz="4" w:space="0" w:color="000000"/>
            </w:tcBorders>
          </w:tcPr>
          <w:p>
            <w:pPr>
              <w:pStyle w:val="TableParagraph"/>
              <w:spacing w:before="7"/>
              <w:ind w:right="109"/>
              <w:rPr>
                <w:sz w:val="16"/>
              </w:rPr>
            </w:pPr>
            <w:r>
              <w:rPr>
                <w:w w:val="98"/>
                <w:sz w:val="16"/>
              </w:rPr>
              <w:t>-</w:t>
            </w:r>
          </w:p>
        </w:tc>
        <w:tc>
          <w:tcPr>
            <w:tcW w:w="1135" w:type="dxa"/>
            <w:tcBorders>
              <w:bottom w:val="single" w:sz="4" w:space="0" w:color="000000"/>
            </w:tcBorders>
          </w:tcPr>
          <w:p>
            <w:pPr>
              <w:pStyle w:val="TableParagraph"/>
              <w:spacing w:before="7"/>
              <w:ind w:right="53"/>
              <w:rPr>
                <w:sz w:val="16"/>
              </w:rPr>
            </w:pPr>
            <w:r>
              <w:rPr>
                <w:w w:val="98"/>
                <w:sz w:val="16"/>
              </w:rPr>
              <w:t>-</w:t>
            </w:r>
          </w:p>
        </w:tc>
        <w:tc>
          <w:tcPr>
            <w:tcW w:w="1253" w:type="dxa"/>
            <w:tcBorders>
              <w:bottom w:val="single" w:sz="4" w:space="0" w:color="000000"/>
            </w:tcBorders>
          </w:tcPr>
          <w:p>
            <w:pPr>
              <w:pStyle w:val="TableParagraph"/>
              <w:spacing w:before="7"/>
              <w:ind w:right="278"/>
              <w:rPr>
                <w:sz w:val="16"/>
              </w:rPr>
            </w:pPr>
            <w:r>
              <w:rPr>
                <w:w w:val="98"/>
                <w:sz w:val="16"/>
              </w:rPr>
              <w:t>-</w:t>
            </w:r>
          </w:p>
        </w:tc>
        <w:tc>
          <w:tcPr>
            <w:tcW w:w="754" w:type="dxa"/>
            <w:tcBorders>
              <w:bottom w:val="single" w:sz="4" w:space="0" w:color="000000"/>
            </w:tcBorders>
          </w:tcPr>
          <w:p>
            <w:pPr>
              <w:pStyle w:val="TableParagraph"/>
              <w:spacing w:before="7"/>
              <w:ind w:right="197"/>
              <w:rPr>
                <w:sz w:val="16"/>
              </w:rPr>
            </w:pPr>
            <w:r>
              <w:rPr>
                <w:w w:val="98"/>
                <w:sz w:val="16"/>
              </w:rPr>
              <w:t>-</w:t>
            </w:r>
          </w:p>
        </w:tc>
        <w:tc>
          <w:tcPr>
            <w:tcW w:w="1097" w:type="dxa"/>
            <w:tcBorders>
              <w:bottom w:val="single" w:sz="4" w:space="0" w:color="000000"/>
            </w:tcBorders>
          </w:tcPr>
          <w:p>
            <w:pPr>
              <w:pStyle w:val="TableParagraph"/>
              <w:spacing w:before="7"/>
              <w:ind w:right="103"/>
              <w:rPr>
                <w:sz w:val="16"/>
              </w:rPr>
            </w:pPr>
            <w:r>
              <w:rPr>
                <w:w w:val="98"/>
                <w:sz w:val="16"/>
              </w:rPr>
              <w:t>-</w:t>
            </w:r>
          </w:p>
        </w:tc>
      </w:tr>
      <w:tr>
        <w:trPr>
          <w:trHeight w:val="225" w:hRule="atLeast"/>
        </w:trPr>
        <w:tc>
          <w:tcPr>
            <w:tcW w:w="2461" w:type="dxa"/>
            <w:tcBorders>
              <w:top w:val="single" w:sz="4" w:space="0" w:color="000000"/>
              <w:bottom w:val="single" w:sz="4" w:space="0" w:color="000000"/>
            </w:tcBorders>
          </w:tcPr>
          <w:p>
            <w:pPr>
              <w:pStyle w:val="TableParagraph"/>
              <w:spacing w:before="14"/>
              <w:ind w:right="105"/>
              <w:rPr>
                <w:i/>
                <w:sz w:val="16"/>
              </w:rPr>
            </w:pPr>
            <w:r>
              <w:rPr>
                <w:i/>
                <w:sz w:val="16"/>
              </w:rPr>
              <w:t>Subtotal</w:t>
            </w:r>
            <w:r>
              <w:rPr>
                <w:i/>
                <w:spacing w:val="-2"/>
                <w:sz w:val="16"/>
              </w:rPr>
              <w:t> </w:t>
            </w:r>
            <w:r>
              <w:rPr>
                <w:i/>
                <w:sz w:val="16"/>
              </w:rPr>
              <w:t>other</w:t>
            </w:r>
            <w:r>
              <w:rPr>
                <w:i/>
                <w:spacing w:val="-1"/>
                <w:sz w:val="16"/>
              </w:rPr>
              <w:t> </w:t>
            </w:r>
            <w:r>
              <w:rPr>
                <w:i/>
                <w:spacing w:val="-2"/>
                <w:sz w:val="16"/>
              </w:rPr>
              <w:t>staff</w:t>
            </w:r>
          </w:p>
        </w:tc>
        <w:tc>
          <w:tcPr>
            <w:tcW w:w="1095" w:type="dxa"/>
            <w:tcBorders>
              <w:top w:val="single" w:sz="4" w:space="0" w:color="000000"/>
              <w:bottom w:val="single" w:sz="4" w:space="0" w:color="000000"/>
            </w:tcBorders>
          </w:tcPr>
          <w:p>
            <w:pPr>
              <w:pStyle w:val="TableParagraph"/>
              <w:spacing w:before="14"/>
              <w:ind w:right="175"/>
              <w:rPr>
                <w:i/>
                <w:sz w:val="16"/>
              </w:rPr>
            </w:pPr>
            <w:r>
              <w:rPr>
                <w:i/>
                <w:w w:val="98"/>
                <w:sz w:val="16"/>
              </w:rPr>
              <w:t>-</w:t>
            </w:r>
          </w:p>
        </w:tc>
        <w:tc>
          <w:tcPr>
            <w:tcW w:w="826" w:type="dxa"/>
            <w:tcBorders>
              <w:top w:val="single" w:sz="4" w:space="0" w:color="000000"/>
              <w:bottom w:val="single" w:sz="4" w:space="0" w:color="000000"/>
            </w:tcBorders>
          </w:tcPr>
          <w:p>
            <w:pPr>
              <w:pStyle w:val="TableParagraph"/>
              <w:spacing w:before="14"/>
              <w:ind w:right="152"/>
              <w:rPr>
                <w:i/>
                <w:sz w:val="16"/>
              </w:rPr>
            </w:pPr>
            <w:r>
              <w:rPr>
                <w:i/>
                <w:w w:val="98"/>
                <w:sz w:val="16"/>
              </w:rPr>
              <w:t>-</w:t>
            </w:r>
          </w:p>
        </w:tc>
        <w:tc>
          <w:tcPr>
            <w:tcW w:w="1028" w:type="dxa"/>
            <w:tcBorders>
              <w:top w:val="single" w:sz="4" w:space="0" w:color="000000"/>
              <w:bottom w:val="single" w:sz="4" w:space="0" w:color="000000"/>
            </w:tcBorders>
          </w:tcPr>
          <w:p>
            <w:pPr>
              <w:pStyle w:val="TableParagraph"/>
              <w:spacing w:before="14"/>
              <w:ind w:right="109"/>
              <w:rPr>
                <w:i/>
                <w:sz w:val="16"/>
              </w:rPr>
            </w:pPr>
            <w:r>
              <w:rPr>
                <w:i/>
                <w:w w:val="98"/>
                <w:sz w:val="16"/>
              </w:rPr>
              <w:t>-</w:t>
            </w:r>
          </w:p>
        </w:tc>
        <w:tc>
          <w:tcPr>
            <w:tcW w:w="1135" w:type="dxa"/>
            <w:tcBorders>
              <w:top w:val="single" w:sz="4" w:space="0" w:color="000000"/>
              <w:bottom w:val="single" w:sz="4" w:space="0" w:color="000000"/>
            </w:tcBorders>
          </w:tcPr>
          <w:p>
            <w:pPr>
              <w:pStyle w:val="TableParagraph"/>
              <w:spacing w:before="14"/>
              <w:ind w:right="56"/>
              <w:rPr>
                <w:i/>
                <w:sz w:val="16"/>
              </w:rPr>
            </w:pPr>
            <w:r>
              <w:rPr>
                <w:i/>
                <w:spacing w:val="-2"/>
                <w:sz w:val="16"/>
              </w:rPr>
              <w:t>3,516.5</w:t>
            </w:r>
          </w:p>
        </w:tc>
        <w:tc>
          <w:tcPr>
            <w:tcW w:w="1253" w:type="dxa"/>
            <w:tcBorders>
              <w:top w:val="single" w:sz="4" w:space="0" w:color="000000"/>
              <w:bottom w:val="single" w:sz="4" w:space="0" w:color="000000"/>
            </w:tcBorders>
          </w:tcPr>
          <w:p>
            <w:pPr>
              <w:pStyle w:val="TableParagraph"/>
              <w:spacing w:before="14"/>
              <w:ind w:right="277"/>
              <w:rPr>
                <w:i/>
                <w:sz w:val="16"/>
              </w:rPr>
            </w:pPr>
            <w:r>
              <w:rPr>
                <w:i/>
                <w:spacing w:val="-2"/>
                <w:sz w:val="16"/>
              </w:rPr>
              <w:t>1,257.5</w:t>
            </w:r>
          </w:p>
        </w:tc>
        <w:tc>
          <w:tcPr>
            <w:tcW w:w="754" w:type="dxa"/>
            <w:tcBorders>
              <w:top w:val="single" w:sz="4" w:space="0" w:color="000000"/>
              <w:bottom w:val="single" w:sz="4" w:space="0" w:color="000000"/>
            </w:tcBorders>
          </w:tcPr>
          <w:p>
            <w:pPr>
              <w:pStyle w:val="TableParagraph"/>
              <w:spacing w:before="14"/>
              <w:ind w:right="199"/>
              <w:rPr>
                <w:i/>
                <w:sz w:val="16"/>
              </w:rPr>
            </w:pPr>
            <w:r>
              <w:rPr>
                <w:i/>
                <w:spacing w:val="-4"/>
                <w:sz w:val="16"/>
              </w:rPr>
              <w:t>35.8</w:t>
            </w:r>
          </w:p>
        </w:tc>
        <w:tc>
          <w:tcPr>
            <w:tcW w:w="1097" w:type="dxa"/>
            <w:tcBorders>
              <w:top w:val="single" w:sz="4" w:space="0" w:color="000000"/>
              <w:bottom w:val="single" w:sz="4" w:space="0" w:color="000000"/>
            </w:tcBorders>
          </w:tcPr>
          <w:p>
            <w:pPr>
              <w:pStyle w:val="TableParagraph"/>
              <w:spacing w:before="14"/>
              <w:ind w:right="106"/>
              <w:rPr>
                <w:i/>
                <w:sz w:val="16"/>
              </w:rPr>
            </w:pPr>
            <w:r>
              <w:rPr>
                <w:i/>
                <w:spacing w:val="-2"/>
                <w:sz w:val="16"/>
              </w:rPr>
              <w:t>4,774.0</w:t>
            </w:r>
          </w:p>
        </w:tc>
      </w:tr>
      <w:tr>
        <w:trPr>
          <w:trHeight w:val="231" w:hRule="atLeast"/>
        </w:trPr>
        <w:tc>
          <w:tcPr>
            <w:tcW w:w="2461" w:type="dxa"/>
            <w:tcBorders>
              <w:top w:val="single" w:sz="4" w:space="0" w:color="000000"/>
            </w:tcBorders>
          </w:tcPr>
          <w:p>
            <w:pPr>
              <w:pStyle w:val="TableParagraph"/>
              <w:spacing w:before="14"/>
              <w:ind w:left="117"/>
              <w:jc w:val="left"/>
              <w:rPr>
                <w:sz w:val="16"/>
              </w:rPr>
            </w:pPr>
            <w:r>
              <w:rPr>
                <w:spacing w:val="-2"/>
                <w:sz w:val="16"/>
              </w:rPr>
              <w:t>Travel</w:t>
            </w:r>
          </w:p>
        </w:tc>
        <w:tc>
          <w:tcPr>
            <w:tcW w:w="1095" w:type="dxa"/>
            <w:tcBorders>
              <w:top w:val="single" w:sz="4" w:space="0" w:color="000000"/>
            </w:tcBorders>
          </w:tcPr>
          <w:p>
            <w:pPr>
              <w:pStyle w:val="TableParagraph"/>
              <w:spacing w:before="14"/>
              <w:ind w:right="175"/>
              <w:rPr>
                <w:sz w:val="16"/>
              </w:rPr>
            </w:pPr>
            <w:r>
              <w:rPr>
                <w:w w:val="98"/>
                <w:sz w:val="16"/>
              </w:rPr>
              <w:t>-</w:t>
            </w:r>
          </w:p>
        </w:tc>
        <w:tc>
          <w:tcPr>
            <w:tcW w:w="826" w:type="dxa"/>
            <w:tcBorders>
              <w:top w:val="single" w:sz="4" w:space="0" w:color="000000"/>
            </w:tcBorders>
          </w:tcPr>
          <w:p>
            <w:pPr>
              <w:pStyle w:val="TableParagraph"/>
              <w:spacing w:before="14"/>
              <w:ind w:right="152"/>
              <w:rPr>
                <w:sz w:val="16"/>
              </w:rPr>
            </w:pPr>
            <w:r>
              <w:rPr>
                <w:w w:val="98"/>
                <w:sz w:val="16"/>
              </w:rPr>
              <w:t>-</w:t>
            </w:r>
          </w:p>
        </w:tc>
        <w:tc>
          <w:tcPr>
            <w:tcW w:w="1028" w:type="dxa"/>
            <w:tcBorders>
              <w:top w:val="single" w:sz="4" w:space="0" w:color="000000"/>
            </w:tcBorders>
          </w:tcPr>
          <w:p>
            <w:pPr>
              <w:pStyle w:val="TableParagraph"/>
              <w:spacing w:before="14"/>
              <w:ind w:right="109"/>
              <w:rPr>
                <w:sz w:val="16"/>
              </w:rPr>
            </w:pPr>
            <w:r>
              <w:rPr>
                <w:w w:val="98"/>
                <w:sz w:val="16"/>
              </w:rPr>
              <w:t>-</w:t>
            </w:r>
          </w:p>
        </w:tc>
        <w:tc>
          <w:tcPr>
            <w:tcW w:w="1135" w:type="dxa"/>
            <w:tcBorders>
              <w:top w:val="single" w:sz="4" w:space="0" w:color="000000"/>
            </w:tcBorders>
          </w:tcPr>
          <w:p>
            <w:pPr>
              <w:pStyle w:val="TableParagraph"/>
              <w:spacing w:before="14"/>
              <w:ind w:right="56"/>
              <w:rPr>
                <w:sz w:val="16"/>
              </w:rPr>
            </w:pPr>
            <w:r>
              <w:rPr>
                <w:spacing w:val="-2"/>
                <w:sz w:val="16"/>
              </w:rPr>
              <w:t>941.3</w:t>
            </w:r>
          </w:p>
        </w:tc>
        <w:tc>
          <w:tcPr>
            <w:tcW w:w="1253" w:type="dxa"/>
            <w:tcBorders>
              <w:top w:val="single" w:sz="4" w:space="0" w:color="000000"/>
            </w:tcBorders>
          </w:tcPr>
          <w:p>
            <w:pPr>
              <w:pStyle w:val="TableParagraph"/>
              <w:spacing w:before="14"/>
              <w:ind w:right="276"/>
              <w:rPr>
                <w:sz w:val="16"/>
              </w:rPr>
            </w:pPr>
            <w:r>
              <w:rPr>
                <w:spacing w:val="-4"/>
                <w:sz w:val="16"/>
              </w:rPr>
              <w:t>99.5</w:t>
            </w:r>
          </w:p>
        </w:tc>
        <w:tc>
          <w:tcPr>
            <w:tcW w:w="754" w:type="dxa"/>
            <w:tcBorders>
              <w:top w:val="single" w:sz="4" w:space="0" w:color="000000"/>
            </w:tcBorders>
          </w:tcPr>
          <w:p>
            <w:pPr>
              <w:pStyle w:val="TableParagraph"/>
              <w:spacing w:before="14"/>
              <w:ind w:right="199"/>
              <w:rPr>
                <w:sz w:val="16"/>
              </w:rPr>
            </w:pPr>
            <w:r>
              <w:rPr>
                <w:spacing w:val="-4"/>
                <w:sz w:val="16"/>
              </w:rPr>
              <w:t>10.6</w:t>
            </w:r>
          </w:p>
        </w:tc>
        <w:tc>
          <w:tcPr>
            <w:tcW w:w="1097" w:type="dxa"/>
            <w:tcBorders>
              <w:top w:val="single" w:sz="4" w:space="0" w:color="000000"/>
            </w:tcBorders>
          </w:tcPr>
          <w:p>
            <w:pPr>
              <w:pStyle w:val="TableParagraph"/>
              <w:spacing w:before="14"/>
              <w:ind w:right="106"/>
              <w:rPr>
                <w:sz w:val="16"/>
              </w:rPr>
            </w:pPr>
            <w:r>
              <w:rPr>
                <w:spacing w:val="-2"/>
                <w:sz w:val="16"/>
              </w:rPr>
              <w:t>1,040.8</w:t>
            </w:r>
          </w:p>
        </w:tc>
      </w:tr>
      <w:tr>
        <w:trPr>
          <w:trHeight w:val="228" w:hRule="atLeast"/>
        </w:trPr>
        <w:tc>
          <w:tcPr>
            <w:tcW w:w="2461" w:type="dxa"/>
          </w:tcPr>
          <w:p>
            <w:pPr>
              <w:pStyle w:val="TableParagraph"/>
              <w:spacing w:before="7"/>
              <w:ind w:left="117"/>
              <w:jc w:val="left"/>
              <w:rPr>
                <w:sz w:val="16"/>
              </w:rPr>
            </w:pPr>
            <w:r>
              <w:rPr>
                <w:spacing w:val="-2"/>
                <w:sz w:val="16"/>
              </w:rPr>
              <w:t>Hospitality</w:t>
            </w:r>
          </w:p>
        </w:tc>
        <w:tc>
          <w:tcPr>
            <w:tcW w:w="1095" w:type="dxa"/>
          </w:tcPr>
          <w:p>
            <w:pPr>
              <w:pStyle w:val="TableParagraph"/>
              <w:spacing w:before="7"/>
              <w:ind w:right="175"/>
              <w:rPr>
                <w:sz w:val="16"/>
              </w:rPr>
            </w:pPr>
            <w:r>
              <w:rPr>
                <w:w w:val="98"/>
                <w:sz w:val="16"/>
              </w:rPr>
              <w:t>-</w:t>
            </w:r>
          </w:p>
        </w:tc>
        <w:tc>
          <w:tcPr>
            <w:tcW w:w="826" w:type="dxa"/>
          </w:tcPr>
          <w:p>
            <w:pPr>
              <w:pStyle w:val="TableParagraph"/>
              <w:spacing w:before="7"/>
              <w:ind w:right="152"/>
              <w:rPr>
                <w:sz w:val="16"/>
              </w:rPr>
            </w:pPr>
            <w:r>
              <w:rPr>
                <w:w w:val="98"/>
                <w:sz w:val="16"/>
              </w:rPr>
              <w:t>-</w:t>
            </w:r>
          </w:p>
        </w:tc>
        <w:tc>
          <w:tcPr>
            <w:tcW w:w="1028" w:type="dxa"/>
          </w:tcPr>
          <w:p>
            <w:pPr>
              <w:pStyle w:val="TableParagraph"/>
              <w:spacing w:before="7"/>
              <w:ind w:right="109"/>
              <w:rPr>
                <w:sz w:val="16"/>
              </w:rPr>
            </w:pPr>
            <w:r>
              <w:rPr>
                <w:w w:val="98"/>
                <w:sz w:val="16"/>
              </w:rPr>
              <w:t>-</w:t>
            </w:r>
          </w:p>
        </w:tc>
        <w:tc>
          <w:tcPr>
            <w:tcW w:w="1135" w:type="dxa"/>
          </w:tcPr>
          <w:p>
            <w:pPr>
              <w:pStyle w:val="TableParagraph"/>
              <w:spacing w:before="7"/>
              <w:ind w:right="53"/>
              <w:rPr>
                <w:sz w:val="16"/>
              </w:rPr>
            </w:pPr>
            <w:r>
              <w:rPr>
                <w:w w:val="98"/>
                <w:sz w:val="16"/>
              </w:rPr>
              <w:t>-</w:t>
            </w:r>
          </w:p>
        </w:tc>
        <w:tc>
          <w:tcPr>
            <w:tcW w:w="1253" w:type="dxa"/>
          </w:tcPr>
          <w:p>
            <w:pPr>
              <w:pStyle w:val="TableParagraph"/>
              <w:spacing w:before="7"/>
              <w:ind w:right="278"/>
              <w:rPr>
                <w:sz w:val="16"/>
              </w:rPr>
            </w:pPr>
            <w:r>
              <w:rPr>
                <w:w w:val="98"/>
                <w:sz w:val="16"/>
              </w:rPr>
              <w:t>-</w:t>
            </w:r>
          </w:p>
        </w:tc>
        <w:tc>
          <w:tcPr>
            <w:tcW w:w="754" w:type="dxa"/>
          </w:tcPr>
          <w:p>
            <w:pPr>
              <w:pStyle w:val="TableParagraph"/>
              <w:spacing w:before="7"/>
              <w:ind w:right="197"/>
              <w:rPr>
                <w:sz w:val="16"/>
              </w:rPr>
            </w:pPr>
            <w:r>
              <w:rPr>
                <w:w w:val="98"/>
                <w:sz w:val="16"/>
              </w:rPr>
              <w:t>-</w:t>
            </w:r>
          </w:p>
        </w:tc>
        <w:tc>
          <w:tcPr>
            <w:tcW w:w="1097" w:type="dxa"/>
          </w:tcPr>
          <w:p>
            <w:pPr>
              <w:pStyle w:val="TableParagraph"/>
              <w:spacing w:before="7"/>
              <w:ind w:right="103"/>
              <w:rPr>
                <w:sz w:val="16"/>
              </w:rPr>
            </w:pPr>
            <w:r>
              <w:rPr>
                <w:w w:val="98"/>
                <w:sz w:val="16"/>
              </w:rPr>
              <w:t>-</w:t>
            </w:r>
          </w:p>
        </w:tc>
      </w:tr>
      <w:tr>
        <w:trPr>
          <w:trHeight w:val="228" w:hRule="atLeast"/>
        </w:trPr>
        <w:tc>
          <w:tcPr>
            <w:tcW w:w="2461" w:type="dxa"/>
          </w:tcPr>
          <w:p>
            <w:pPr>
              <w:pStyle w:val="TableParagraph"/>
              <w:spacing w:before="10"/>
              <w:ind w:left="117"/>
              <w:jc w:val="left"/>
              <w:rPr>
                <w:sz w:val="16"/>
              </w:rPr>
            </w:pPr>
            <w:r>
              <w:rPr>
                <w:w w:val="95"/>
                <w:sz w:val="16"/>
              </w:rPr>
              <w:t>Contractual</w:t>
            </w:r>
            <w:r>
              <w:rPr>
                <w:spacing w:val="33"/>
                <w:sz w:val="16"/>
              </w:rPr>
              <w:t> </w:t>
            </w:r>
            <w:r>
              <w:rPr>
                <w:spacing w:val="-2"/>
                <w:sz w:val="16"/>
              </w:rPr>
              <w:t>services</w:t>
            </w:r>
          </w:p>
        </w:tc>
        <w:tc>
          <w:tcPr>
            <w:tcW w:w="1095" w:type="dxa"/>
          </w:tcPr>
          <w:p>
            <w:pPr>
              <w:pStyle w:val="TableParagraph"/>
              <w:spacing w:before="10"/>
              <w:ind w:right="175"/>
              <w:rPr>
                <w:sz w:val="16"/>
              </w:rPr>
            </w:pPr>
            <w:r>
              <w:rPr>
                <w:w w:val="98"/>
                <w:sz w:val="16"/>
              </w:rPr>
              <w:t>-</w:t>
            </w:r>
          </w:p>
        </w:tc>
        <w:tc>
          <w:tcPr>
            <w:tcW w:w="826" w:type="dxa"/>
          </w:tcPr>
          <w:p>
            <w:pPr>
              <w:pStyle w:val="TableParagraph"/>
              <w:spacing w:before="10"/>
              <w:ind w:right="152"/>
              <w:rPr>
                <w:sz w:val="16"/>
              </w:rPr>
            </w:pPr>
            <w:r>
              <w:rPr>
                <w:w w:val="98"/>
                <w:sz w:val="16"/>
              </w:rPr>
              <w:t>-</w:t>
            </w:r>
          </w:p>
        </w:tc>
        <w:tc>
          <w:tcPr>
            <w:tcW w:w="1028" w:type="dxa"/>
          </w:tcPr>
          <w:p>
            <w:pPr>
              <w:pStyle w:val="TableParagraph"/>
              <w:spacing w:before="10"/>
              <w:ind w:right="109"/>
              <w:rPr>
                <w:sz w:val="16"/>
              </w:rPr>
            </w:pPr>
            <w:r>
              <w:rPr>
                <w:w w:val="98"/>
                <w:sz w:val="16"/>
              </w:rPr>
              <w:t>-</w:t>
            </w:r>
          </w:p>
        </w:tc>
        <w:tc>
          <w:tcPr>
            <w:tcW w:w="1135" w:type="dxa"/>
          </w:tcPr>
          <w:p>
            <w:pPr>
              <w:pStyle w:val="TableParagraph"/>
              <w:spacing w:before="10"/>
              <w:ind w:right="53"/>
              <w:rPr>
                <w:sz w:val="16"/>
              </w:rPr>
            </w:pPr>
            <w:r>
              <w:rPr>
                <w:w w:val="98"/>
                <w:sz w:val="16"/>
              </w:rPr>
              <w:t>-</w:t>
            </w:r>
          </w:p>
        </w:tc>
        <w:tc>
          <w:tcPr>
            <w:tcW w:w="1253" w:type="dxa"/>
          </w:tcPr>
          <w:p>
            <w:pPr>
              <w:pStyle w:val="TableParagraph"/>
              <w:spacing w:before="10"/>
              <w:ind w:right="276"/>
              <w:rPr>
                <w:sz w:val="16"/>
              </w:rPr>
            </w:pPr>
            <w:r>
              <w:rPr>
                <w:spacing w:val="-2"/>
                <w:sz w:val="16"/>
              </w:rPr>
              <w:t>150.0</w:t>
            </w:r>
          </w:p>
        </w:tc>
        <w:tc>
          <w:tcPr>
            <w:tcW w:w="754" w:type="dxa"/>
          </w:tcPr>
          <w:p>
            <w:pPr>
              <w:pStyle w:val="TableParagraph"/>
              <w:spacing w:before="10"/>
              <w:ind w:right="197"/>
              <w:rPr>
                <w:sz w:val="16"/>
              </w:rPr>
            </w:pPr>
            <w:r>
              <w:rPr>
                <w:w w:val="98"/>
                <w:sz w:val="16"/>
              </w:rPr>
              <w:t>-</w:t>
            </w:r>
          </w:p>
        </w:tc>
        <w:tc>
          <w:tcPr>
            <w:tcW w:w="1097" w:type="dxa"/>
          </w:tcPr>
          <w:p>
            <w:pPr>
              <w:pStyle w:val="TableParagraph"/>
              <w:spacing w:before="10"/>
              <w:ind w:right="106"/>
              <w:rPr>
                <w:sz w:val="16"/>
              </w:rPr>
            </w:pPr>
            <w:r>
              <w:rPr>
                <w:spacing w:val="-2"/>
                <w:sz w:val="16"/>
              </w:rPr>
              <w:t>150.0</w:t>
            </w:r>
          </w:p>
        </w:tc>
      </w:tr>
      <w:tr>
        <w:trPr>
          <w:trHeight w:val="225" w:hRule="atLeast"/>
        </w:trPr>
        <w:tc>
          <w:tcPr>
            <w:tcW w:w="2461" w:type="dxa"/>
          </w:tcPr>
          <w:p>
            <w:pPr>
              <w:pStyle w:val="TableParagraph"/>
              <w:spacing w:before="7"/>
              <w:ind w:left="117"/>
              <w:jc w:val="left"/>
              <w:rPr>
                <w:sz w:val="16"/>
              </w:rPr>
            </w:pPr>
            <w:r>
              <w:rPr>
                <w:spacing w:val="-2"/>
                <w:sz w:val="16"/>
              </w:rPr>
              <w:t>Training</w:t>
            </w:r>
          </w:p>
        </w:tc>
        <w:tc>
          <w:tcPr>
            <w:tcW w:w="1095" w:type="dxa"/>
          </w:tcPr>
          <w:p>
            <w:pPr>
              <w:pStyle w:val="TableParagraph"/>
              <w:spacing w:before="7"/>
              <w:ind w:right="175"/>
              <w:rPr>
                <w:sz w:val="16"/>
              </w:rPr>
            </w:pPr>
            <w:r>
              <w:rPr>
                <w:w w:val="98"/>
                <w:sz w:val="16"/>
              </w:rPr>
              <w:t>-</w:t>
            </w:r>
          </w:p>
        </w:tc>
        <w:tc>
          <w:tcPr>
            <w:tcW w:w="826" w:type="dxa"/>
          </w:tcPr>
          <w:p>
            <w:pPr>
              <w:pStyle w:val="TableParagraph"/>
              <w:spacing w:before="7"/>
              <w:ind w:right="152"/>
              <w:rPr>
                <w:sz w:val="16"/>
              </w:rPr>
            </w:pPr>
            <w:r>
              <w:rPr>
                <w:w w:val="98"/>
                <w:sz w:val="16"/>
              </w:rPr>
              <w:t>-</w:t>
            </w:r>
          </w:p>
        </w:tc>
        <w:tc>
          <w:tcPr>
            <w:tcW w:w="1028" w:type="dxa"/>
          </w:tcPr>
          <w:p>
            <w:pPr>
              <w:pStyle w:val="TableParagraph"/>
              <w:spacing w:before="7"/>
              <w:ind w:right="109"/>
              <w:rPr>
                <w:sz w:val="16"/>
              </w:rPr>
            </w:pPr>
            <w:r>
              <w:rPr>
                <w:w w:val="98"/>
                <w:sz w:val="16"/>
              </w:rPr>
              <w:t>-</w:t>
            </w:r>
          </w:p>
        </w:tc>
        <w:tc>
          <w:tcPr>
            <w:tcW w:w="1135" w:type="dxa"/>
          </w:tcPr>
          <w:p>
            <w:pPr>
              <w:pStyle w:val="TableParagraph"/>
              <w:spacing w:before="7"/>
              <w:ind w:right="53"/>
              <w:rPr>
                <w:sz w:val="16"/>
              </w:rPr>
            </w:pPr>
            <w:r>
              <w:rPr>
                <w:w w:val="98"/>
                <w:sz w:val="16"/>
              </w:rPr>
              <w:t>-</w:t>
            </w:r>
          </w:p>
        </w:tc>
        <w:tc>
          <w:tcPr>
            <w:tcW w:w="1253" w:type="dxa"/>
          </w:tcPr>
          <w:p>
            <w:pPr>
              <w:pStyle w:val="TableParagraph"/>
              <w:spacing w:before="7"/>
              <w:ind w:right="278"/>
              <w:rPr>
                <w:sz w:val="16"/>
              </w:rPr>
            </w:pPr>
            <w:r>
              <w:rPr>
                <w:w w:val="98"/>
                <w:sz w:val="16"/>
              </w:rPr>
              <w:t>-</w:t>
            </w:r>
          </w:p>
        </w:tc>
        <w:tc>
          <w:tcPr>
            <w:tcW w:w="754" w:type="dxa"/>
          </w:tcPr>
          <w:p>
            <w:pPr>
              <w:pStyle w:val="TableParagraph"/>
              <w:spacing w:before="7"/>
              <w:ind w:right="197"/>
              <w:rPr>
                <w:sz w:val="16"/>
              </w:rPr>
            </w:pPr>
            <w:r>
              <w:rPr>
                <w:w w:val="98"/>
                <w:sz w:val="16"/>
              </w:rPr>
              <w:t>-</w:t>
            </w:r>
          </w:p>
        </w:tc>
        <w:tc>
          <w:tcPr>
            <w:tcW w:w="1097" w:type="dxa"/>
          </w:tcPr>
          <w:p>
            <w:pPr>
              <w:pStyle w:val="TableParagraph"/>
              <w:spacing w:before="7"/>
              <w:ind w:right="103"/>
              <w:rPr>
                <w:sz w:val="16"/>
              </w:rPr>
            </w:pPr>
            <w:r>
              <w:rPr>
                <w:w w:val="98"/>
                <w:sz w:val="16"/>
              </w:rPr>
              <w:t>-</w:t>
            </w:r>
          </w:p>
        </w:tc>
      </w:tr>
      <w:tr>
        <w:trPr>
          <w:trHeight w:val="225" w:hRule="atLeast"/>
        </w:trPr>
        <w:tc>
          <w:tcPr>
            <w:tcW w:w="2461" w:type="dxa"/>
          </w:tcPr>
          <w:p>
            <w:pPr>
              <w:pStyle w:val="TableParagraph"/>
              <w:spacing w:before="7"/>
              <w:ind w:left="117"/>
              <w:jc w:val="left"/>
              <w:rPr>
                <w:sz w:val="16"/>
              </w:rPr>
            </w:pPr>
            <w:r>
              <w:rPr>
                <w:spacing w:val="-2"/>
                <w:sz w:val="16"/>
              </w:rPr>
              <w:t>Consultants</w:t>
            </w:r>
          </w:p>
        </w:tc>
        <w:tc>
          <w:tcPr>
            <w:tcW w:w="1095" w:type="dxa"/>
          </w:tcPr>
          <w:p>
            <w:pPr>
              <w:pStyle w:val="TableParagraph"/>
              <w:spacing w:before="7"/>
              <w:ind w:right="175"/>
              <w:rPr>
                <w:sz w:val="16"/>
              </w:rPr>
            </w:pPr>
            <w:r>
              <w:rPr>
                <w:w w:val="98"/>
                <w:sz w:val="16"/>
              </w:rPr>
              <w:t>-</w:t>
            </w:r>
          </w:p>
        </w:tc>
        <w:tc>
          <w:tcPr>
            <w:tcW w:w="826" w:type="dxa"/>
          </w:tcPr>
          <w:p>
            <w:pPr>
              <w:pStyle w:val="TableParagraph"/>
              <w:spacing w:before="7"/>
              <w:ind w:right="152"/>
              <w:rPr>
                <w:sz w:val="16"/>
              </w:rPr>
            </w:pPr>
            <w:r>
              <w:rPr>
                <w:w w:val="98"/>
                <w:sz w:val="16"/>
              </w:rPr>
              <w:t>-</w:t>
            </w:r>
          </w:p>
        </w:tc>
        <w:tc>
          <w:tcPr>
            <w:tcW w:w="1028" w:type="dxa"/>
          </w:tcPr>
          <w:p>
            <w:pPr>
              <w:pStyle w:val="TableParagraph"/>
              <w:spacing w:before="7"/>
              <w:ind w:right="109"/>
              <w:rPr>
                <w:sz w:val="16"/>
              </w:rPr>
            </w:pPr>
            <w:r>
              <w:rPr>
                <w:w w:val="98"/>
                <w:sz w:val="16"/>
              </w:rPr>
              <w:t>-</w:t>
            </w:r>
          </w:p>
        </w:tc>
        <w:tc>
          <w:tcPr>
            <w:tcW w:w="1135" w:type="dxa"/>
          </w:tcPr>
          <w:p>
            <w:pPr>
              <w:pStyle w:val="TableParagraph"/>
              <w:spacing w:before="7"/>
              <w:ind w:right="53"/>
              <w:rPr>
                <w:sz w:val="16"/>
              </w:rPr>
            </w:pPr>
            <w:r>
              <w:rPr>
                <w:w w:val="98"/>
                <w:sz w:val="16"/>
              </w:rPr>
              <w:t>-</w:t>
            </w:r>
          </w:p>
        </w:tc>
        <w:tc>
          <w:tcPr>
            <w:tcW w:w="1253" w:type="dxa"/>
          </w:tcPr>
          <w:p>
            <w:pPr>
              <w:pStyle w:val="TableParagraph"/>
              <w:spacing w:before="7"/>
              <w:ind w:right="278"/>
              <w:rPr>
                <w:sz w:val="16"/>
              </w:rPr>
            </w:pPr>
            <w:r>
              <w:rPr>
                <w:w w:val="98"/>
                <w:sz w:val="16"/>
              </w:rPr>
              <w:t>-</w:t>
            </w:r>
          </w:p>
        </w:tc>
        <w:tc>
          <w:tcPr>
            <w:tcW w:w="754" w:type="dxa"/>
          </w:tcPr>
          <w:p>
            <w:pPr>
              <w:pStyle w:val="TableParagraph"/>
              <w:spacing w:before="7"/>
              <w:ind w:right="197"/>
              <w:rPr>
                <w:sz w:val="16"/>
              </w:rPr>
            </w:pPr>
            <w:r>
              <w:rPr>
                <w:w w:val="98"/>
                <w:sz w:val="16"/>
              </w:rPr>
              <w:t>-</w:t>
            </w:r>
          </w:p>
        </w:tc>
        <w:tc>
          <w:tcPr>
            <w:tcW w:w="1097" w:type="dxa"/>
          </w:tcPr>
          <w:p>
            <w:pPr>
              <w:pStyle w:val="TableParagraph"/>
              <w:spacing w:before="7"/>
              <w:ind w:right="103"/>
              <w:rPr>
                <w:sz w:val="16"/>
              </w:rPr>
            </w:pPr>
            <w:r>
              <w:rPr>
                <w:w w:val="98"/>
                <w:sz w:val="16"/>
              </w:rPr>
              <w:t>-</w:t>
            </w:r>
          </w:p>
        </w:tc>
      </w:tr>
      <w:tr>
        <w:trPr>
          <w:trHeight w:val="227" w:hRule="atLeast"/>
        </w:trPr>
        <w:tc>
          <w:tcPr>
            <w:tcW w:w="2461" w:type="dxa"/>
          </w:tcPr>
          <w:p>
            <w:pPr>
              <w:pStyle w:val="TableParagraph"/>
              <w:spacing w:before="7"/>
              <w:ind w:left="117"/>
              <w:jc w:val="left"/>
              <w:rPr>
                <w:sz w:val="16"/>
              </w:rPr>
            </w:pPr>
            <w:r>
              <w:rPr>
                <w:sz w:val="16"/>
              </w:rPr>
              <w:t>General</w:t>
            </w:r>
            <w:r>
              <w:rPr>
                <w:spacing w:val="-4"/>
                <w:sz w:val="16"/>
              </w:rPr>
              <w:t> </w:t>
            </w:r>
            <w:r>
              <w:rPr>
                <w:sz w:val="16"/>
              </w:rPr>
              <w:t>operating</w:t>
            </w:r>
            <w:r>
              <w:rPr>
                <w:spacing w:val="-1"/>
                <w:sz w:val="16"/>
              </w:rPr>
              <w:t> </w:t>
            </w:r>
            <w:r>
              <w:rPr>
                <w:spacing w:val="-2"/>
                <w:sz w:val="16"/>
              </w:rPr>
              <w:t>expenses</w:t>
            </w:r>
          </w:p>
        </w:tc>
        <w:tc>
          <w:tcPr>
            <w:tcW w:w="1095" w:type="dxa"/>
          </w:tcPr>
          <w:p>
            <w:pPr>
              <w:pStyle w:val="TableParagraph"/>
              <w:spacing w:before="7"/>
              <w:ind w:right="175"/>
              <w:rPr>
                <w:sz w:val="16"/>
              </w:rPr>
            </w:pPr>
            <w:r>
              <w:rPr>
                <w:w w:val="98"/>
                <w:sz w:val="16"/>
              </w:rPr>
              <w:t>-</w:t>
            </w:r>
          </w:p>
        </w:tc>
        <w:tc>
          <w:tcPr>
            <w:tcW w:w="826" w:type="dxa"/>
          </w:tcPr>
          <w:p>
            <w:pPr>
              <w:pStyle w:val="TableParagraph"/>
              <w:spacing w:before="7"/>
              <w:ind w:right="152"/>
              <w:rPr>
                <w:sz w:val="16"/>
              </w:rPr>
            </w:pPr>
            <w:r>
              <w:rPr>
                <w:w w:val="98"/>
                <w:sz w:val="16"/>
              </w:rPr>
              <w:t>-</w:t>
            </w:r>
          </w:p>
        </w:tc>
        <w:tc>
          <w:tcPr>
            <w:tcW w:w="1028" w:type="dxa"/>
          </w:tcPr>
          <w:p>
            <w:pPr>
              <w:pStyle w:val="TableParagraph"/>
              <w:spacing w:before="7"/>
              <w:ind w:right="109"/>
              <w:rPr>
                <w:sz w:val="16"/>
              </w:rPr>
            </w:pPr>
            <w:r>
              <w:rPr>
                <w:w w:val="98"/>
                <w:sz w:val="16"/>
              </w:rPr>
              <w:t>-</w:t>
            </w:r>
          </w:p>
        </w:tc>
        <w:tc>
          <w:tcPr>
            <w:tcW w:w="1135" w:type="dxa"/>
          </w:tcPr>
          <w:p>
            <w:pPr>
              <w:pStyle w:val="TableParagraph"/>
              <w:spacing w:before="7"/>
              <w:ind w:right="53"/>
              <w:rPr>
                <w:sz w:val="16"/>
              </w:rPr>
            </w:pPr>
            <w:r>
              <w:rPr>
                <w:w w:val="98"/>
                <w:sz w:val="16"/>
              </w:rPr>
              <w:t>-</w:t>
            </w:r>
          </w:p>
        </w:tc>
        <w:tc>
          <w:tcPr>
            <w:tcW w:w="1253" w:type="dxa"/>
          </w:tcPr>
          <w:p>
            <w:pPr>
              <w:pStyle w:val="TableParagraph"/>
              <w:spacing w:before="7"/>
              <w:ind w:right="276"/>
              <w:rPr>
                <w:sz w:val="16"/>
              </w:rPr>
            </w:pPr>
            <w:r>
              <w:rPr>
                <w:spacing w:val="-2"/>
                <w:sz w:val="16"/>
              </w:rPr>
              <w:t>300.0</w:t>
            </w:r>
          </w:p>
        </w:tc>
        <w:tc>
          <w:tcPr>
            <w:tcW w:w="754" w:type="dxa"/>
          </w:tcPr>
          <w:p>
            <w:pPr>
              <w:pStyle w:val="TableParagraph"/>
              <w:spacing w:before="7"/>
              <w:ind w:right="197"/>
              <w:rPr>
                <w:sz w:val="16"/>
              </w:rPr>
            </w:pPr>
            <w:r>
              <w:rPr>
                <w:w w:val="98"/>
                <w:sz w:val="16"/>
              </w:rPr>
              <w:t>-</w:t>
            </w:r>
          </w:p>
        </w:tc>
        <w:tc>
          <w:tcPr>
            <w:tcW w:w="1097" w:type="dxa"/>
          </w:tcPr>
          <w:p>
            <w:pPr>
              <w:pStyle w:val="TableParagraph"/>
              <w:spacing w:before="7"/>
              <w:ind w:right="106"/>
              <w:rPr>
                <w:sz w:val="16"/>
              </w:rPr>
            </w:pPr>
            <w:r>
              <w:rPr>
                <w:spacing w:val="-2"/>
                <w:sz w:val="16"/>
              </w:rPr>
              <w:t>300.0</w:t>
            </w:r>
          </w:p>
        </w:tc>
      </w:tr>
      <w:tr>
        <w:trPr>
          <w:trHeight w:val="227" w:hRule="atLeast"/>
        </w:trPr>
        <w:tc>
          <w:tcPr>
            <w:tcW w:w="2461" w:type="dxa"/>
          </w:tcPr>
          <w:p>
            <w:pPr>
              <w:pStyle w:val="TableParagraph"/>
              <w:spacing w:before="10"/>
              <w:ind w:left="117"/>
              <w:jc w:val="left"/>
              <w:rPr>
                <w:sz w:val="16"/>
              </w:rPr>
            </w:pPr>
            <w:r>
              <w:rPr>
                <w:sz w:val="16"/>
              </w:rPr>
              <w:t>Supplies</w:t>
            </w:r>
            <w:r>
              <w:rPr>
                <w:spacing w:val="-4"/>
                <w:sz w:val="16"/>
              </w:rPr>
              <w:t> </w:t>
            </w:r>
            <w:r>
              <w:rPr>
                <w:sz w:val="16"/>
              </w:rPr>
              <w:t>and</w:t>
            </w:r>
            <w:r>
              <w:rPr>
                <w:spacing w:val="-2"/>
                <w:sz w:val="16"/>
              </w:rPr>
              <w:t> materials</w:t>
            </w:r>
          </w:p>
        </w:tc>
        <w:tc>
          <w:tcPr>
            <w:tcW w:w="1095" w:type="dxa"/>
          </w:tcPr>
          <w:p>
            <w:pPr>
              <w:pStyle w:val="TableParagraph"/>
              <w:spacing w:before="10"/>
              <w:ind w:right="175"/>
              <w:rPr>
                <w:sz w:val="16"/>
              </w:rPr>
            </w:pPr>
            <w:r>
              <w:rPr>
                <w:w w:val="98"/>
                <w:sz w:val="16"/>
              </w:rPr>
              <w:t>-</w:t>
            </w:r>
          </w:p>
        </w:tc>
        <w:tc>
          <w:tcPr>
            <w:tcW w:w="826" w:type="dxa"/>
          </w:tcPr>
          <w:p>
            <w:pPr>
              <w:pStyle w:val="TableParagraph"/>
              <w:spacing w:before="10"/>
              <w:ind w:right="152"/>
              <w:rPr>
                <w:sz w:val="16"/>
              </w:rPr>
            </w:pPr>
            <w:r>
              <w:rPr>
                <w:w w:val="98"/>
                <w:sz w:val="16"/>
              </w:rPr>
              <w:t>-</w:t>
            </w:r>
          </w:p>
        </w:tc>
        <w:tc>
          <w:tcPr>
            <w:tcW w:w="1028" w:type="dxa"/>
          </w:tcPr>
          <w:p>
            <w:pPr>
              <w:pStyle w:val="TableParagraph"/>
              <w:spacing w:before="10"/>
              <w:ind w:right="109"/>
              <w:rPr>
                <w:sz w:val="16"/>
              </w:rPr>
            </w:pPr>
            <w:r>
              <w:rPr>
                <w:w w:val="98"/>
                <w:sz w:val="16"/>
              </w:rPr>
              <w:t>-</w:t>
            </w:r>
          </w:p>
        </w:tc>
        <w:tc>
          <w:tcPr>
            <w:tcW w:w="1135" w:type="dxa"/>
          </w:tcPr>
          <w:p>
            <w:pPr>
              <w:pStyle w:val="TableParagraph"/>
              <w:spacing w:before="10"/>
              <w:ind w:right="53"/>
              <w:rPr>
                <w:sz w:val="16"/>
              </w:rPr>
            </w:pPr>
            <w:r>
              <w:rPr>
                <w:w w:val="98"/>
                <w:sz w:val="16"/>
              </w:rPr>
              <w:t>-</w:t>
            </w:r>
          </w:p>
        </w:tc>
        <w:tc>
          <w:tcPr>
            <w:tcW w:w="1253" w:type="dxa"/>
          </w:tcPr>
          <w:p>
            <w:pPr>
              <w:pStyle w:val="TableParagraph"/>
              <w:spacing w:before="10"/>
              <w:ind w:right="278"/>
              <w:rPr>
                <w:sz w:val="16"/>
              </w:rPr>
            </w:pPr>
            <w:r>
              <w:rPr>
                <w:w w:val="98"/>
                <w:sz w:val="16"/>
              </w:rPr>
              <w:t>-</w:t>
            </w:r>
          </w:p>
        </w:tc>
        <w:tc>
          <w:tcPr>
            <w:tcW w:w="754" w:type="dxa"/>
          </w:tcPr>
          <w:p>
            <w:pPr>
              <w:pStyle w:val="TableParagraph"/>
              <w:spacing w:before="10"/>
              <w:ind w:right="197"/>
              <w:rPr>
                <w:sz w:val="16"/>
              </w:rPr>
            </w:pPr>
            <w:r>
              <w:rPr>
                <w:w w:val="98"/>
                <w:sz w:val="16"/>
              </w:rPr>
              <w:t>-</w:t>
            </w:r>
          </w:p>
        </w:tc>
        <w:tc>
          <w:tcPr>
            <w:tcW w:w="1097" w:type="dxa"/>
          </w:tcPr>
          <w:p>
            <w:pPr>
              <w:pStyle w:val="TableParagraph"/>
              <w:spacing w:before="10"/>
              <w:ind w:right="103"/>
              <w:rPr>
                <w:sz w:val="16"/>
              </w:rPr>
            </w:pPr>
            <w:r>
              <w:rPr>
                <w:w w:val="98"/>
                <w:sz w:val="16"/>
              </w:rPr>
              <w:t>-</w:t>
            </w:r>
          </w:p>
        </w:tc>
      </w:tr>
      <w:tr>
        <w:trPr>
          <w:trHeight w:val="223" w:hRule="atLeast"/>
        </w:trPr>
        <w:tc>
          <w:tcPr>
            <w:tcW w:w="2461" w:type="dxa"/>
            <w:tcBorders>
              <w:bottom w:val="single" w:sz="4" w:space="0" w:color="000000"/>
            </w:tcBorders>
          </w:tcPr>
          <w:p>
            <w:pPr>
              <w:pStyle w:val="TableParagraph"/>
              <w:spacing w:before="7"/>
              <w:ind w:left="117"/>
              <w:jc w:val="left"/>
              <w:rPr>
                <w:sz w:val="16"/>
              </w:rPr>
            </w:pPr>
            <w:r>
              <w:rPr>
                <w:sz w:val="16"/>
              </w:rPr>
              <w:t>Furniture</w:t>
            </w:r>
            <w:r>
              <w:rPr>
                <w:spacing w:val="-4"/>
                <w:sz w:val="16"/>
              </w:rPr>
              <w:t> </w:t>
            </w:r>
            <w:r>
              <w:rPr>
                <w:sz w:val="16"/>
              </w:rPr>
              <w:t>and</w:t>
            </w:r>
            <w:r>
              <w:rPr>
                <w:spacing w:val="-2"/>
                <w:sz w:val="16"/>
              </w:rPr>
              <w:t> equipment</w:t>
            </w:r>
          </w:p>
        </w:tc>
        <w:tc>
          <w:tcPr>
            <w:tcW w:w="1095" w:type="dxa"/>
            <w:tcBorders>
              <w:bottom w:val="single" w:sz="4" w:space="0" w:color="000000"/>
            </w:tcBorders>
          </w:tcPr>
          <w:p>
            <w:pPr>
              <w:pStyle w:val="TableParagraph"/>
              <w:spacing w:before="7"/>
              <w:ind w:right="175"/>
              <w:rPr>
                <w:sz w:val="16"/>
              </w:rPr>
            </w:pPr>
            <w:r>
              <w:rPr>
                <w:w w:val="98"/>
                <w:sz w:val="16"/>
              </w:rPr>
              <w:t>-</w:t>
            </w:r>
          </w:p>
        </w:tc>
        <w:tc>
          <w:tcPr>
            <w:tcW w:w="826" w:type="dxa"/>
            <w:tcBorders>
              <w:bottom w:val="single" w:sz="4" w:space="0" w:color="000000"/>
            </w:tcBorders>
          </w:tcPr>
          <w:p>
            <w:pPr>
              <w:pStyle w:val="TableParagraph"/>
              <w:spacing w:before="7"/>
              <w:ind w:right="152"/>
              <w:rPr>
                <w:sz w:val="16"/>
              </w:rPr>
            </w:pPr>
            <w:r>
              <w:rPr>
                <w:w w:val="98"/>
                <w:sz w:val="16"/>
              </w:rPr>
              <w:t>-</w:t>
            </w:r>
          </w:p>
        </w:tc>
        <w:tc>
          <w:tcPr>
            <w:tcW w:w="1028" w:type="dxa"/>
            <w:tcBorders>
              <w:bottom w:val="single" w:sz="4" w:space="0" w:color="000000"/>
            </w:tcBorders>
          </w:tcPr>
          <w:p>
            <w:pPr>
              <w:pStyle w:val="TableParagraph"/>
              <w:spacing w:before="7"/>
              <w:ind w:right="109"/>
              <w:rPr>
                <w:sz w:val="16"/>
              </w:rPr>
            </w:pPr>
            <w:r>
              <w:rPr>
                <w:w w:val="98"/>
                <w:sz w:val="16"/>
              </w:rPr>
              <w:t>-</w:t>
            </w:r>
          </w:p>
        </w:tc>
        <w:tc>
          <w:tcPr>
            <w:tcW w:w="1135" w:type="dxa"/>
            <w:tcBorders>
              <w:bottom w:val="single" w:sz="4" w:space="0" w:color="000000"/>
            </w:tcBorders>
          </w:tcPr>
          <w:p>
            <w:pPr>
              <w:pStyle w:val="TableParagraph"/>
              <w:spacing w:before="7"/>
              <w:ind w:right="53"/>
              <w:rPr>
                <w:sz w:val="16"/>
              </w:rPr>
            </w:pPr>
            <w:r>
              <w:rPr>
                <w:w w:val="98"/>
                <w:sz w:val="16"/>
              </w:rPr>
              <w:t>-</w:t>
            </w:r>
          </w:p>
        </w:tc>
        <w:tc>
          <w:tcPr>
            <w:tcW w:w="1253" w:type="dxa"/>
            <w:tcBorders>
              <w:bottom w:val="single" w:sz="4" w:space="0" w:color="000000"/>
            </w:tcBorders>
          </w:tcPr>
          <w:p>
            <w:pPr>
              <w:pStyle w:val="TableParagraph"/>
              <w:spacing w:before="7"/>
              <w:ind w:right="278"/>
              <w:rPr>
                <w:sz w:val="16"/>
              </w:rPr>
            </w:pPr>
            <w:r>
              <w:rPr>
                <w:w w:val="98"/>
                <w:sz w:val="16"/>
              </w:rPr>
              <w:t>-</w:t>
            </w:r>
          </w:p>
        </w:tc>
        <w:tc>
          <w:tcPr>
            <w:tcW w:w="754" w:type="dxa"/>
            <w:tcBorders>
              <w:bottom w:val="single" w:sz="4" w:space="0" w:color="000000"/>
            </w:tcBorders>
          </w:tcPr>
          <w:p>
            <w:pPr>
              <w:pStyle w:val="TableParagraph"/>
              <w:spacing w:before="7"/>
              <w:ind w:right="197"/>
              <w:rPr>
                <w:sz w:val="16"/>
              </w:rPr>
            </w:pPr>
            <w:r>
              <w:rPr>
                <w:w w:val="98"/>
                <w:sz w:val="16"/>
              </w:rPr>
              <w:t>-</w:t>
            </w:r>
          </w:p>
        </w:tc>
        <w:tc>
          <w:tcPr>
            <w:tcW w:w="1097" w:type="dxa"/>
            <w:tcBorders>
              <w:bottom w:val="single" w:sz="4" w:space="0" w:color="000000"/>
            </w:tcBorders>
          </w:tcPr>
          <w:p>
            <w:pPr>
              <w:pStyle w:val="TableParagraph"/>
              <w:spacing w:before="7"/>
              <w:ind w:right="103"/>
              <w:rPr>
                <w:sz w:val="16"/>
              </w:rPr>
            </w:pPr>
            <w:r>
              <w:rPr>
                <w:w w:val="98"/>
                <w:sz w:val="16"/>
              </w:rPr>
              <w:t>-</w:t>
            </w:r>
          </w:p>
        </w:tc>
      </w:tr>
      <w:tr>
        <w:trPr>
          <w:trHeight w:val="225" w:hRule="atLeast"/>
        </w:trPr>
        <w:tc>
          <w:tcPr>
            <w:tcW w:w="2461" w:type="dxa"/>
            <w:tcBorders>
              <w:top w:val="single" w:sz="4" w:space="0" w:color="000000"/>
              <w:bottom w:val="single" w:sz="4" w:space="0" w:color="000000"/>
            </w:tcBorders>
          </w:tcPr>
          <w:p>
            <w:pPr>
              <w:pStyle w:val="TableParagraph"/>
              <w:spacing w:before="9"/>
              <w:ind w:right="103"/>
              <w:rPr>
                <w:i/>
                <w:sz w:val="16"/>
              </w:rPr>
            </w:pPr>
            <w:r>
              <w:rPr>
                <w:i/>
                <w:w w:val="95"/>
                <w:sz w:val="16"/>
              </w:rPr>
              <w:t>Subtotal</w:t>
            </w:r>
            <w:r>
              <w:rPr>
                <w:i/>
                <w:spacing w:val="40"/>
                <w:sz w:val="16"/>
              </w:rPr>
              <w:t> </w:t>
            </w:r>
            <w:r>
              <w:rPr>
                <w:i/>
                <w:w w:val="95"/>
                <w:sz w:val="16"/>
              </w:rPr>
              <w:t>non-</w:t>
            </w:r>
            <w:r>
              <w:rPr>
                <w:i/>
                <w:spacing w:val="-4"/>
                <w:w w:val="95"/>
                <w:sz w:val="16"/>
              </w:rPr>
              <w:t>staff</w:t>
            </w:r>
          </w:p>
        </w:tc>
        <w:tc>
          <w:tcPr>
            <w:tcW w:w="1095" w:type="dxa"/>
            <w:tcBorders>
              <w:top w:val="single" w:sz="4" w:space="0" w:color="000000"/>
              <w:bottom w:val="single" w:sz="4" w:space="0" w:color="000000"/>
            </w:tcBorders>
          </w:tcPr>
          <w:p>
            <w:pPr>
              <w:pStyle w:val="TableParagraph"/>
              <w:spacing w:before="9"/>
              <w:ind w:right="175"/>
              <w:rPr>
                <w:i/>
                <w:sz w:val="16"/>
              </w:rPr>
            </w:pPr>
            <w:r>
              <w:rPr>
                <w:i/>
                <w:w w:val="98"/>
                <w:sz w:val="16"/>
              </w:rPr>
              <w:t>-</w:t>
            </w:r>
          </w:p>
        </w:tc>
        <w:tc>
          <w:tcPr>
            <w:tcW w:w="826" w:type="dxa"/>
            <w:tcBorders>
              <w:top w:val="single" w:sz="4" w:space="0" w:color="000000"/>
              <w:bottom w:val="single" w:sz="4" w:space="0" w:color="000000"/>
            </w:tcBorders>
          </w:tcPr>
          <w:p>
            <w:pPr>
              <w:pStyle w:val="TableParagraph"/>
              <w:spacing w:before="9"/>
              <w:ind w:right="152"/>
              <w:rPr>
                <w:i/>
                <w:sz w:val="16"/>
              </w:rPr>
            </w:pPr>
            <w:r>
              <w:rPr>
                <w:i/>
                <w:w w:val="98"/>
                <w:sz w:val="16"/>
              </w:rPr>
              <w:t>-</w:t>
            </w:r>
          </w:p>
        </w:tc>
        <w:tc>
          <w:tcPr>
            <w:tcW w:w="1028" w:type="dxa"/>
            <w:tcBorders>
              <w:top w:val="single" w:sz="4" w:space="0" w:color="000000"/>
              <w:bottom w:val="single" w:sz="4" w:space="0" w:color="000000"/>
            </w:tcBorders>
          </w:tcPr>
          <w:p>
            <w:pPr>
              <w:pStyle w:val="TableParagraph"/>
              <w:spacing w:before="9"/>
              <w:ind w:right="109"/>
              <w:rPr>
                <w:i/>
                <w:sz w:val="16"/>
              </w:rPr>
            </w:pPr>
            <w:r>
              <w:rPr>
                <w:i/>
                <w:w w:val="98"/>
                <w:sz w:val="16"/>
              </w:rPr>
              <w:t>-</w:t>
            </w:r>
          </w:p>
        </w:tc>
        <w:tc>
          <w:tcPr>
            <w:tcW w:w="1135" w:type="dxa"/>
            <w:tcBorders>
              <w:top w:val="single" w:sz="4" w:space="0" w:color="000000"/>
              <w:bottom w:val="single" w:sz="4" w:space="0" w:color="000000"/>
            </w:tcBorders>
          </w:tcPr>
          <w:p>
            <w:pPr>
              <w:pStyle w:val="TableParagraph"/>
              <w:spacing w:before="9"/>
              <w:ind w:right="56"/>
              <w:rPr>
                <w:i/>
                <w:sz w:val="16"/>
              </w:rPr>
            </w:pPr>
            <w:r>
              <w:rPr>
                <w:i/>
                <w:spacing w:val="-2"/>
                <w:sz w:val="16"/>
              </w:rPr>
              <w:t>941.3</w:t>
            </w:r>
          </w:p>
        </w:tc>
        <w:tc>
          <w:tcPr>
            <w:tcW w:w="1253" w:type="dxa"/>
            <w:tcBorders>
              <w:top w:val="single" w:sz="4" w:space="0" w:color="000000"/>
              <w:bottom w:val="single" w:sz="4" w:space="0" w:color="000000"/>
            </w:tcBorders>
          </w:tcPr>
          <w:p>
            <w:pPr>
              <w:pStyle w:val="TableParagraph"/>
              <w:spacing w:before="9"/>
              <w:ind w:right="276"/>
              <w:rPr>
                <w:i/>
                <w:sz w:val="16"/>
              </w:rPr>
            </w:pPr>
            <w:r>
              <w:rPr>
                <w:i/>
                <w:spacing w:val="-2"/>
                <w:sz w:val="16"/>
              </w:rPr>
              <w:t>549.5</w:t>
            </w:r>
          </w:p>
        </w:tc>
        <w:tc>
          <w:tcPr>
            <w:tcW w:w="754" w:type="dxa"/>
            <w:tcBorders>
              <w:top w:val="single" w:sz="4" w:space="0" w:color="000000"/>
              <w:bottom w:val="single" w:sz="4" w:space="0" w:color="000000"/>
            </w:tcBorders>
          </w:tcPr>
          <w:p>
            <w:pPr>
              <w:pStyle w:val="TableParagraph"/>
              <w:spacing w:before="9"/>
              <w:ind w:right="199"/>
              <w:rPr>
                <w:i/>
                <w:sz w:val="16"/>
              </w:rPr>
            </w:pPr>
            <w:r>
              <w:rPr>
                <w:i/>
                <w:spacing w:val="-4"/>
                <w:sz w:val="16"/>
              </w:rPr>
              <w:t>58.4</w:t>
            </w:r>
          </w:p>
        </w:tc>
        <w:tc>
          <w:tcPr>
            <w:tcW w:w="1097" w:type="dxa"/>
            <w:tcBorders>
              <w:top w:val="single" w:sz="4" w:space="0" w:color="000000"/>
              <w:bottom w:val="single" w:sz="4" w:space="0" w:color="000000"/>
            </w:tcBorders>
          </w:tcPr>
          <w:p>
            <w:pPr>
              <w:pStyle w:val="TableParagraph"/>
              <w:spacing w:before="9"/>
              <w:ind w:right="106"/>
              <w:rPr>
                <w:i/>
                <w:sz w:val="16"/>
              </w:rPr>
            </w:pPr>
            <w:r>
              <w:rPr>
                <w:i/>
                <w:spacing w:val="-2"/>
                <w:sz w:val="16"/>
              </w:rPr>
              <w:t>1,490.8</w:t>
            </w:r>
          </w:p>
        </w:tc>
      </w:tr>
      <w:tr>
        <w:trPr>
          <w:trHeight w:val="230" w:hRule="atLeast"/>
        </w:trPr>
        <w:tc>
          <w:tcPr>
            <w:tcW w:w="2461" w:type="dxa"/>
            <w:tcBorders>
              <w:top w:val="single" w:sz="4" w:space="0" w:color="000000"/>
              <w:bottom w:val="single" w:sz="12" w:space="0" w:color="000000"/>
            </w:tcBorders>
          </w:tcPr>
          <w:p>
            <w:pPr>
              <w:pStyle w:val="TableParagraph"/>
              <w:spacing w:before="14"/>
              <w:ind w:left="117"/>
              <w:jc w:val="left"/>
              <w:rPr>
                <w:b/>
                <w:sz w:val="16"/>
              </w:rPr>
            </w:pPr>
            <w:r>
              <w:rPr>
                <w:b/>
                <w:spacing w:val="-2"/>
                <w:sz w:val="16"/>
              </w:rPr>
              <w:t>Total</w:t>
            </w:r>
          </w:p>
        </w:tc>
        <w:tc>
          <w:tcPr>
            <w:tcW w:w="1095" w:type="dxa"/>
            <w:tcBorders>
              <w:top w:val="single" w:sz="4" w:space="0" w:color="000000"/>
              <w:bottom w:val="single" w:sz="12" w:space="0" w:color="000000"/>
            </w:tcBorders>
          </w:tcPr>
          <w:p>
            <w:pPr>
              <w:pStyle w:val="TableParagraph"/>
              <w:spacing w:before="14"/>
              <w:ind w:right="175"/>
              <w:rPr>
                <w:b/>
                <w:sz w:val="16"/>
              </w:rPr>
            </w:pPr>
            <w:r>
              <w:rPr>
                <w:b/>
                <w:w w:val="98"/>
                <w:sz w:val="16"/>
              </w:rPr>
              <w:t>-</w:t>
            </w:r>
          </w:p>
        </w:tc>
        <w:tc>
          <w:tcPr>
            <w:tcW w:w="826" w:type="dxa"/>
            <w:tcBorders>
              <w:top w:val="single" w:sz="4" w:space="0" w:color="000000"/>
              <w:bottom w:val="single" w:sz="12" w:space="0" w:color="000000"/>
            </w:tcBorders>
          </w:tcPr>
          <w:p>
            <w:pPr>
              <w:pStyle w:val="TableParagraph"/>
              <w:spacing w:before="14"/>
              <w:ind w:right="152"/>
              <w:rPr>
                <w:b/>
                <w:sz w:val="16"/>
              </w:rPr>
            </w:pPr>
            <w:r>
              <w:rPr>
                <w:b/>
                <w:w w:val="98"/>
                <w:sz w:val="16"/>
              </w:rPr>
              <w:t>-</w:t>
            </w:r>
          </w:p>
        </w:tc>
        <w:tc>
          <w:tcPr>
            <w:tcW w:w="1028" w:type="dxa"/>
            <w:tcBorders>
              <w:top w:val="single" w:sz="4" w:space="0" w:color="000000"/>
              <w:bottom w:val="single" w:sz="12" w:space="0" w:color="000000"/>
            </w:tcBorders>
          </w:tcPr>
          <w:p>
            <w:pPr>
              <w:pStyle w:val="TableParagraph"/>
              <w:spacing w:before="14"/>
              <w:ind w:right="109"/>
              <w:rPr>
                <w:b/>
                <w:sz w:val="16"/>
              </w:rPr>
            </w:pPr>
            <w:r>
              <w:rPr>
                <w:b/>
                <w:w w:val="98"/>
                <w:sz w:val="16"/>
              </w:rPr>
              <w:t>-</w:t>
            </w:r>
          </w:p>
        </w:tc>
        <w:tc>
          <w:tcPr>
            <w:tcW w:w="1135" w:type="dxa"/>
            <w:tcBorders>
              <w:top w:val="single" w:sz="4" w:space="0" w:color="000000"/>
              <w:bottom w:val="single" w:sz="12" w:space="0" w:color="000000"/>
            </w:tcBorders>
          </w:tcPr>
          <w:p>
            <w:pPr>
              <w:pStyle w:val="TableParagraph"/>
              <w:spacing w:before="14"/>
              <w:ind w:right="56"/>
              <w:rPr>
                <w:b/>
                <w:sz w:val="16"/>
              </w:rPr>
            </w:pPr>
            <w:r>
              <w:rPr>
                <w:b/>
                <w:spacing w:val="-2"/>
                <w:sz w:val="16"/>
              </w:rPr>
              <w:t>15,158.2</w:t>
            </w:r>
          </w:p>
        </w:tc>
        <w:tc>
          <w:tcPr>
            <w:tcW w:w="1253" w:type="dxa"/>
            <w:tcBorders>
              <w:top w:val="single" w:sz="4" w:space="0" w:color="000000"/>
              <w:bottom w:val="single" w:sz="12" w:space="0" w:color="000000"/>
            </w:tcBorders>
          </w:tcPr>
          <w:p>
            <w:pPr>
              <w:pStyle w:val="TableParagraph"/>
              <w:spacing w:before="14"/>
              <w:ind w:right="277"/>
              <w:rPr>
                <w:b/>
                <w:sz w:val="16"/>
              </w:rPr>
            </w:pPr>
            <w:r>
              <w:rPr>
                <w:b/>
                <w:spacing w:val="-2"/>
                <w:sz w:val="16"/>
              </w:rPr>
              <w:t>3,010.8</w:t>
            </w:r>
          </w:p>
        </w:tc>
        <w:tc>
          <w:tcPr>
            <w:tcW w:w="754" w:type="dxa"/>
            <w:tcBorders>
              <w:top w:val="single" w:sz="4" w:space="0" w:color="000000"/>
              <w:bottom w:val="single" w:sz="12" w:space="0" w:color="000000"/>
            </w:tcBorders>
          </w:tcPr>
          <w:p>
            <w:pPr>
              <w:pStyle w:val="TableParagraph"/>
              <w:spacing w:before="14"/>
              <w:ind w:right="199"/>
              <w:rPr>
                <w:b/>
                <w:sz w:val="16"/>
              </w:rPr>
            </w:pPr>
            <w:r>
              <w:rPr>
                <w:b/>
                <w:spacing w:val="-4"/>
                <w:sz w:val="16"/>
              </w:rPr>
              <w:t>19.9</w:t>
            </w:r>
          </w:p>
        </w:tc>
        <w:tc>
          <w:tcPr>
            <w:tcW w:w="1097" w:type="dxa"/>
            <w:tcBorders>
              <w:top w:val="single" w:sz="4" w:space="0" w:color="000000"/>
              <w:bottom w:val="single" w:sz="12" w:space="0" w:color="000000"/>
            </w:tcBorders>
          </w:tcPr>
          <w:p>
            <w:pPr>
              <w:pStyle w:val="TableParagraph"/>
              <w:spacing w:before="14"/>
              <w:ind w:right="106"/>
              <w:rPr>
                <w:b/>
                <w:sz w:val="16"/>
              </w:rPr>
            </w:pPr>
            <w:r>
              <w:rPr>
                <w:b/>
                <w:spacing w:val="-2"/>
                <w:sz w:val="16"/>
              </w:rPr>
              <w:t>18,169.0</w:t>
            </w:r>
          </w:p>
        </w:tc>
      </w:tr>
    </w:tbl>
    <w:p>
      <w:pPr>
        <w:pStyle w:val="BodyText"/>
        <w:spacing w:before="9"/>
        <w:rPr>
          <w:b/>
          <w:sz w:val="21"/>
        </w:rPr>
      </w:pPr>
    </w:p>
    <w:p>
      <w:pPr>
        <w:spacing w:before="0"/>
        <w:ind w:left="2246" w:right="0" w:firstLine="0"/>
        <w:jc w:val="left"/>
        <w:rPr>
          <w:b/>
          <w:sz w:val="20"/>
        </w:rPr>
      </w:pPr>
      <w:r>
        <w:rPr>
          <w:b/>
          <w:sz w:val="20"/>
        </w:rPr>
        <w:t>Table</w:t>
      </w:r>
      <w:r>
        <w:rPr>
          <w:b/>
          <w:spacing w:val="-6"/>
          <w:sz w:val="20"/>
        </w:rPr>
        <w:t> </w:t>
      </w:r>
      <w:r>
        <w:rPr>
          <w:b/>
          <w:sz w:val="20"/>
        </w:rPr>
        <w:t>16:</w:t>
      </w:r>
      <w:r>
        <w:rPr>
          <w:b/>
          <w:spacing w:val="-6"/>
          <w:sz w:val="20"/>
        </w:rPr>
        <w:t> </w:t>
      </w:r>
      <w:r>
        <w:rPr>
          <w:b/>
          <w:sz w:val="20"/>
        </w:rPr>
        <w:t>Deputy</w:t>
      </w:r>
      <w:r>
        <w:rPr>
          <w:b/>
          <w:spacing w:val="-8"/>
          <w:sz w:val="20"/>
        </w:rPr>
        <w:t> </w:t>
      </w:r>
      <w:r>
        <w:rPr>
          <w:b/>
          <w:sz w:val="20"/>
        </w:rPr>
        <w:t>Prosecutor:</w:t>
      </w:r>
      <w:r>
        <w:rPr>
          <w:b/>
          <w:spacing w:val="-7"/>
          <w:sz w:val="20"/>
        </w:rPr>
        <w:t> </w:t>
      </w:r>
      <w:r>
        <w:rPr>
          <w:b/>
          <w:sz w:val="20"/>
        </w:rPr>
        <w:t>Proposed</w:t>
      </w:r>
      <w:r>
        <w:rPr>
          <w:b/>
          <w:spacing w:val="-4"/>
          <w:sz w:val="20"/>
        </w:rPr>
        <w:t> </w:t>
      </w:r>
      <w:r>
        <w:rPr>
          <w:b/>
          <w:sz w:val="20"/>
        </w:rPr>
        <w:t>staffing</w:t>
      </w:r>
      <w:r>
        <w:rPr>
          <w:b/>
          <w:spacing w:val="-7"/>
          <w:sz w:val="20"/>
        </w:rPr>
        <w:t> </w:t>
      </w:r>
      <w:r>
        <w:rPr>
          <w:b/>
          <w:sz w:val="20"/>
        </w:rPr>
        <w:t>for</w:t>
      </w:r>
      <w:r>
        <w:rPr>
          <w:b/>
          <w:spacing w:val="-5"/>
          <w:sz w:val="20"/>
        </w:rPr>
        <w:t> </w:t>
      </w:r>
      <w:r>
        <w:rPr>
          <w:b/>
          <w:spacing w:val="-4"/>
          <w:sz w:val="20"/>
        </w:rPr>
        <w:t>2023</w:t>
      </w:r>
    </w:p>
    <w:tbl>
      <w:tblPr>
        <w:tblW w:w="0" w:type="auto"/>
        <w:jc w:val="left"/>
        <w:tblInd w:w="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6"/>
        <w:gridCol w:w="678"/>
        <w:gridCol w:w="607"/>
        <w:gridCol w:w="563"/>
        <w:gridCol w:w="557"/>
        <w:gridCol w:w="583"/>
        <w:gridCol w:w="546"/>
        <w:gridCol w:w="713"/>
        <w:gridCol w:w="668"/>
        <w:gridCol w:w="490"/>
        <w:gridCol w:w="793"/>
        <w:gridCol w:w="568"/>
        <w:gridCol w:w="578"/>
        <w:gridCol w:w="564"/>
        <w:gridCol w:w="820"/>
        <w:gridCol w:w="518"/>
      </w:tblGrid>
      <w:tr>
        <w:trPr>
          <w:trHeight w:val="479" w:hRule="atLeast"/>
        </w:trPr>
        <w:tc>
          <w:tcPr>
            <w:tcW w:w="1186"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ind w:left="67"/>
              <w:jc w:val="left"/>
              <w:rPr>
                <w:sz w:val="14"/>
              </w:rPr>
            </w:pPr>
            <w:r>
              <w:rPr>
                <w:spacing w:val="-4"/>
                <w:sz w:val="14"/>
              </w:rPr>
              <w:t>2600</w:t>
            </w:r>
          </w:p>
        </w:tc>
        <w:tc>
          <w:tcPr>
            <w:tcW w:w="678"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ind w:right="152"/>
              <w:rPr>
                <w:sz w:val="14"/>
              </w:rPr>
            </w:pPr>
            <w:r>
              <w:rPr>
                <w:spacing w:val="-5"/>
                <w:sz w:val="14"/>
              </w:rPr>
              <w:t>USG</w:t>
            </w:r>
          </w:p>
        </w:tc>
        <w:tc>
          <w:tcPr>
            <w:tcW w:w="607"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ind w:right="169"/>
              <w:rPr>
                <w:sz w:val="14"/>
              </w:rPr>
            </w:pPr>
            <w:r>
              <w:rPr>
                <w:spacing w:val="-5"/>
                <w:sz w:val="14"/>
              </w:rPr>
              <w:t>ASG</w:t>
            </w:r>
          </w:p>
        </w:tc>
        <w:tc>
          <w:tcPr>
            <w:tcW w:w="563"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ind w:right="167"/>
              <w:rPr>
                <w:sz w:val="14"/>
              </w:rPr>
            </w:pPr>
            <w:r>
              <w:rPr>
                <w:w w:val="95"/>
                <w:sz w:val="14"/>
              </w:rPr>
              <w:t>D-</w:t>
            </w:r>
            <w:r>
              <w:rPr>
                <w:spacing w:val="-10"/>
                <w:sz w:val="14"/>
              </w:rPr>
              <w:t>2</w:t>
            </w:r>
          </w:p>
        </w:tc>
        <w:tc>
          <w:tcPr>
            <w:tcW w:w="557"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ind w:right="163"/>
              <w:rPr>
                <w:sz w:val="14"/>
              </w:rPr>
            </w:pPr>
            <w:r>
              <w:rPr>
                <w:w w:val="95"/>
                <w:sz w:val="14"/>
              </w:rPr>
              <w:t>D-</w:t>
            </w:r>
            <w:r>
              <w:rPr>
                <w:spacing w:val="-10"/>
                <w:sz w:val="14"/>
              </w:rPr>
              <w:t>1</w:t>
            </w:r>
          </w:p>
        </w:tc>
        <w:tc>
          <w:tcPr>
            <w:tcW w:w="583"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ind w:left="157" w:right="112"/>
              <w:jc w:val="center"/>
              <w:rPr>
                <w:sz w:val="14"/>
              </w:rPr>
            </w:pPr>
            <w:r>
              <w:rPr>
                <w:w w:val="95"/>
                <w:sz w:val="14"/>
              </w:rPr>
              <w:t>P-</w:t>
            </w:r>
            <w:r>
              <w:rPr>
                <w:spacing w:val="-10"/>
                <w:sz w:val="14"/>
              </w:rPr>
              <w:t>5</w:t>
            </w:r>
          </w:p>
        </w:tc>
        <w:tc>
          <w:tcPr>
            <w:tcW w:w="546"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ind w:right="130"/>
              <w:rPr>
                <w:sz w:val="14"/>
              </w:rPr>
            </w:pPr>
            <w:r>
              <w:rPr>
                <w:w w:val="95"/>
                <w:sz w:val="14"/>
              </w:rPr>
              <w:t>P-</w:t>
            </w:r>
            <w:r>
              <w:rPr>
                <w:spacing w:val="-10"/>
                <w:sz w:val="14"/>
              </w:rPr>
              <w:t>4</w:t>
            </w:r>
          </w:p>
        </w:tc>
        <w:tc>
          <w:tcPr>
            <w:tcW w:w="713"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ind w:right="247"/>
              <w:rPr>
                <w:sz w:val="14"/>
              </w:rPr>
            </w:pPr>
            <w:r>
              <w:rPr>
                <w:w w:val="95"/>
                <w:sz w:val="14"/>
              </w:rPr>
              <w:t>P-</w:t>
            </w:r>
            <w:r>
              <w:rPr>
                <w:spacing w:val="-10"/>
                <w:sz w:val="14"/>
              </w:rPr>
              <w:t>3</w:t>
            </w:r>
          </w:p>
        </w:tc>
        <w:tc>
          <w:tcPr>
            <w:tcW w:w="668"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ind w:right="175"/>
              <w:rPr>
                <w:sz w:val="14"/>
              </w:rPr>
            </w:pPr>
            <w:r>
              <w:rPr>
                <w:w w:val="95"/>
                <w:sz w:val="14"/>
              </w:rPr>
              <w:t>P-</w:t>
            </w:r>
            <w:r>
              <w:rPr>
                <w:spacing w:val="-10"/>
                <w:sz w:val="14"/>
              </w:rPr>
              <w:t>2</w:t>
            </w:r>
          </w:p>
        </w:tc>
        <w:tc>
          <w:tcPr>
            <w:tcW w:w="490"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ind w:right="70"/>
              <w:rPr>
                <w:sz w:val="14"/>
              </w:rPr>
            </w:pPr>
            <w:r>
              <w:rPr>
                <w:w w:val="95"/>
                <w:sz w:val="14"/>
              </w:rPr>
              <w:t>P-</w:t>
            </w:r>
            <w:r>
              <w:rPr>
                <w:spacing w:val="-10"/>
                <w:sz w:val="14"/>
              </w:rPr>
              <w:t>1</w:t>
            </w:r>
          </w:p>
        </w:tc>
        <w:tc>
          <w:tcPr>
            <w:tcW w:w="793" w:type="dxa"/>
            <w:tcBorders>
              <w:top w:val="single" w:sz="4" w:space="0" w:color="000000"/>
              <w:bottom w:val="single" w:sz="4" w:space="0" w:color="000000"/>
            </w:tcBorders>
          </w:tcPr>
          <w:p>
            <w:pPr>
              <w:pStyle w:val="TableParagraph"/>
              <w:spacing w:line="151" w:lineRule="exact"/>
              <w:ind w:left="367"/>
              <w:jc w:val="left"/>
              <w:rPr>
                <w:i/>
                <w:sz w:val="14"/>
              </w:rPr>
            </w:pPr>
            <w:r>
              <w:rPr>
                <w:i/>
                <w:spacing w:val="-2"/>
                <w:sz w:val="14"/>
              </w:rPr>
              <w:t>Total</w:t>
            </w:r>
          </w:p>
          <w:p>
            <w:pPr>
              <w:pStyle w:val="TableParagraph"/>
              <w:spacing w:line="158" w:lineRule="exact"/>
              <w:ind w:left="68" w:right="119" w:firstLine="201"/>
              <w:jc w:val="left"/>
              <w:rPr>
                <w:i/>
                <w:sz w:val="14"/>
              </w:rPr>
            </w:pPr>
            <w:r>
              <w:rPr>
                <w:i/>
                <w:spacing w:val="-2"/>
                <w:sz w:val="14"/>
              </w:rPr>
              <w:t>P-Staff</w:t>
            </w:r>
            <w:r>
              <w:rPr>
                <w:i/>
                <w:spacing w:val="40"/>
                <w:sz w:val="14"/>
              </w:rPr>
              <w:t> </w:t>
            </w:r>
            <w:r>
              <w:rPr>
                <w:i/>
                <w:sz w:val="14"/>
              </w:rPr>
              <w:t>and</w:t>
            </w:r>
            <w:r>
              <w:rPr>
                <w:i/>
                <w:spacing w:val="1"/>
                <w:sz w:val="14"/>
              </w:rPr>
              <w:t> </w:t>
            </w:r>
            <w:r>
              <w:rPr>
                <w:i/>
                <w:spacing w:val="-2"/>
                <w:sz w:val="14"/>
              </w:rPr>
              <w:t>Above</w:t>
            </w:r>
          </w:p>
        </w:tc>
        <w:tc>
          <w:tcPr>
            <w:tcW w:w="568"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ind w:right="97"/>
              <w:rPr>
                <w:sz w:val="14"/>
              </w:rPr>
            </w:pPr>
            <w:r>
              <w:rPr>
                <w:w w:val="95"/>
                <w:sz w:val="14"/>
              </w:rPr>
              <w:t>NO-</w:t>
            </w:r>
            <w:r>
              <w:rPr>
                <w:spacing w:val="-10"/>
                <w:sz w:val="14"/>
              </w:rPr>
              <w:t>C</w:t>
            </w:r>
          </w:p>
        </w:tc>
        <w:tc>
          <w:tcPr>
            <w:tcW w:w="578"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ind w:right="88"/>
              <w:rPr>
                <w:sz w:val="14"/>
              </w:rPr>
            </w:pPr>
            <w:r>
              <w:rPr>
                <w:w w:val="95"/>
                <w:sz w:val="14"/>
              </w:rPr>
              <w:t>GS-</w:t>
            </w:r>
            <w:r>
              <w:rPr>
                <w:spacing w:val="-5"/>
                <w:sz w:val="14"/>
              </w:rPr>
              <w:t>PL</w:t>
            </w:r>
          </w:p>
        </w:tc>
        <w:tc>
          <w:tcPr>
            <w:tcW w:w="564"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ind w:right="60"/>
              <w:rPr>
                <w:sz w:val="14"/>
              </w:rPr>
            </w:pPr>
            <w:r>
              <w:rPr>
                <w:w w:val="95"/>
                <w:sz w:val="14"/>
              </w:rPr>
              <w:t>GS-</w:t>
            </w:r>
            <w:r>
              <w:rPr>
                <w:spacing w:val="-5"/>
                <w:sz w:val="14"/>
              </w:rPr>
              <w:t>OL</w:t>
            </w:r>
          </w:p>
        </w:tc>
        <w:tc>
          <w:tcPr>
            <w:tcW w:w="820" w:type="dxa"/>
            <w:tcBorders>
              <w:top w:val="single" w:sz="4" w:space="0" w:color="000000"/>
              <w:bottom w:val="single" w:sz="4" w:space="0" w:color="000000"/>
            </w:tcBorders>
          </w:tcPr>
          <w:p>
            <w:pPr>
              <w:pStyle w:val="TableParagraph"/>
              <w:spacing w:line="151" w:lineRule="exact"/>
              <w:ind w:left="380"/>
              <w:jc w:val="left"/>
              <w:rPr>
                <w:i/>
                <w:sz w:val="14"/>
              </w:rPr>
            </w:pPr>
            <w:r>
              <w:rPr>
                <w:i/>
                <w:spacing w:val="-2"/>
                <w:sz w:val="14"/>
              </w:rPr>
              <w:t>Total</w:t>
            </w:r>
          </w:p>
          <w:p>
            <w:pPr>
              <w:pStyle w:val="TableParagraph"/>
              <w:spacing w:line="158" w:lineRule="exact"/>
              <w:ind w:left="58" w:right="137" w:firstLine="197"/>
              <w:jc w:val="left"/>
              <w:rPr>
                <w:i/>
                <w:sz w:val="14"/>
              </w:rPr>
            </w:pPr>
            <w:r>
              <w:rPr>
                <w:i/>
                <w:sz w:val="14"/>
              </w:rPr>
              <w:t>GS</w:t>
            </w:r>
            <w:r>
              <w:rPr>
                <w:i/>
                <w:spacing w:val="-9"/>
                <w:sz w:val="14"/>
              </w:rPr>
              <w:t> </w:t>
            </w:r>
            <w:r>
              <w:rPr>
                <w:i/>
                <w:sz w:val="14"/>
              </w:rPr>
              <w:t>and</w:t>
            </w:r>
            <w:r>
              <w:rPr>
                <w:i/>
                <w:spacing w:val="40"/>
                <w:sz w:val="14"/>
              </w:rPr>
              <w:t> </w:t>
            </w:r>
            <w:r>
              <w:rPr>
                <w:i/>
                <w:sz w:val="14"/>
              </w:rPr>
              <w:t>Other</w:t>
            </w:r>
            <w:r>
              <w:rPr>
                <w:i/>
                <w:spacing w:val="-5"/>
                <w:sz w:val="14"/>
              </w:rPr>
              <w:t> </w:t>
            </w:r>
            <w:r>
              <w:rPr>
                <w:i/>
                <w:spacing w:val="-2"/>
                <w:sz w:val="14"/>
              </w:rPr>
              <w:t>Staff</w:t>
            </w:r>
          </w:p>
        </w:tc>
        <w:tc>
          <w:tcPr>
            <w:tcW w:w="518" w:type="dxa"/>
            <w:tcBorders>
              <w:top w:val="single" w:sz="4" w:space="0" w:color="000000"/>
              <w:bottom w:val="single" w:sz="4" w:space="0" w:color="000000"/>
            </w:tcBorders>
          </w:tcPr>
          <w:p>
            <w:pPr>
              <w:pStyle w:val="TableParagraph"/>
              <w:spacing w:before="5"/>
              <w:jc w:val="left"/>
              <w:rPr>
                <w:b/>
                <w:sz w:val="12"/>
              </w:rPr>
            </w:pPr>
          </w:p>
          <w:p>
            <w:pPr>
              <w:pStyle w:val="TableParagraph"/>
              <w:spacing w:line="158" w:lineRule="exact"/>
              <w:ind w:left="169" w:hanging="34"/>
              <w:jc w:val="left"/>
              <w:rPr>
                <w:b/>
                <w:sz w:val="14"/>
              </w:rPr>
            </w:pPr>
            <w:r>
              <w:rPr>
                <w:b/>
                <w:spacing w:val="-4"/>
                <w:sz w:val="14"/>
              </w:rPr>
              <w:t>Total</w:t>
            </w:r>
            <w:r>
              <w:rPr>
                <w:b/>
                <w:spacing w:val="40"/>
                <w:sz w:val="14"/>
              </w:rPr>
              <w:t> </w:t>
            </w:r>
            <w:r>
              <w:rPr>
                <w:b/>
                <w:spacing w:val="-4"/>
                <w:sz w:val="14"/>
              </w:rPr>
              <w:t>Staff</w:t>
            </w:r>
          </w:p>
        </w:tc>
      </w:tr>
      <w:tr>
        <w:trPr>
          <w:trHeight w:val="233" w:hRule="atLeast"/>
        </w:trPr>
        <w:tc>
          <w:tcPr>
            <w:tcW w:w="1186" w:type="dxa"/>
            <w:tcBorders>
              <w:top w:val="single" w:sz="4" w:space="0" w:color="000000"/>
            </w:tcBorders>
          </w:tcPr>
          <w:p>
            <w:pPr>
              <w:pStyle w:val="TableParagraph"/>
              <w:spacing w:before="28"/>
              <w:ind w:left="67"/>
              <w:jc w:val="left"/>
              <w:rPr>
                <w:b/>
                <w:sz w:val="14"/>
              </w:rPr>
            </w:pPr>
            <w:r>
              <w:rPr>
                <w:b/>
                <w:spacing w:val="-2"/>
                <w:sz w:val="14"/>
              </w:rPr>
              <w:t>Established</w:t>
            </w:r>
            <w:r>
              <w:rPr>
                <w:b/>
                <w:spacing w:val="11"/>
                <w:sz w:val="14"/>
              </w:rPr>
              <w:t> </w:t>
            </w:r>
            <w:r>
              <w:rPr>
                <w:b/>
                <w:spacing w:val="-2"/>
                <w:sz w:val="14"/>
              </w:rPr>
              <w:t>Posts</w:t>
            </w:r>
          </w:p>
        </w:tc>
        <w:tc>
          <w:tcPr>
            <w:tcW w:w="678" w:type="dxa"/>
            <w:tcBorders>
              <w:top w:val="single" w:sz="4" w:space="0" w:color="000000"/>
            </w:tcBorders>
          </w:tcPr>
          <w:p>
            <w:pPr>
              <w:pStyle w:val="TableParagraph"/>
              <w:jc w:val="left"/>
              <w:rPr>
                <w:sz w:val="14"/>
              </w:rPr>
            </w:pPr>
          </w:p>
        </w:tc>
        <w:tc>
          <w:tcPr>
            <w:tcW w:w="607" w:type="dxa"/>
            <w:tcBorders>
              <w:top w:val="single" w:sz="4" w:space="0" w:color="000000"/>
            </w:tcBorders>
          </w:tcPr>
          <w:p>
            <w:pPr>
              <w:pStyle w:val="TableParagraph"/>
              <w:jc w:val="left"/>
              <w:rPr>
                <w:sz w:val="14"/>
              </w:rPr>
            </w:pPr>
          </w:p>
        </w:tc>
        <w:tc>
          <w:tcPr>
            <w:tcW w:w="563" w:type="dxa"/>
            <w:tcBorders>
              <w:top w:val="single" w:sz="4" w:space="0" w:color="000000"/>
            </w:tcBorders>
          </w:tcPr>
          <w:p>
            <w:pPr>
              <w:pStyle w:val="TableParagraph"/>
              <w:jc w:val="left"/>
              <w:rPr>
                <w:sz w:val="14"/>
              </w:rPr>
            </w:pPr>
          </w:p>
        </w:tc>
        <w:tc>
          <w:tcPr>
            <w:tcW w:w="557" w:type="dxa"/>
            <w:tcBorders>
              <w:top w:val="single" w:sz="4" w:space="0" w:color="000000"/>
            </w:tcBorders>
          </w:tcPr>
          <w:p>
            <w:pPr>
              <w:pStyle w:val="TableParagraph"/>
              <w:jc w:val="left"/>
              <w:rPr>
                <w:sz w:val="14"/>
              </w:rPr>
            </w:pPr>
          </w:p>
        </w:tc>
        <w:tc>
          <w:tcPr>
            <w:tcW w:w="583" w:type="dxa"/>
            <w:tcBorders>
              <w:top w:val="single" w:sz="4" w:space="0" w:color="000000"/>
            </w:tcBorders>
          </w:tcPr>
          <w:p>
            <w:pPr>
              <w:pStyle w:val="TableParagraph"/>
              <w:jc w:val="left"/>
              <w:rPr>
                <w:sz w:val="14"/>
              </w:rPr>
            </w:pPr>
          </w:p>
        </w:tc>
        <w:tc>
          <w:tcPr>
            <w:tcW w:w="546" w:type="dxa"/>
            <w:tcBorders>
              <w:top w:val="single" w:sz="4" w:space="0" w:color="000000"/>
            </w:tcBorders>
          </w:tcPr>
          <w:p>
            <w:pPr>
              <w:pStyle w:val="TableParagraph"/>
              <w:jc w:val="left"/>
              <w:rPr>
                <w:sz w:val="14"/>
              </w:rPr>
            </w:pPr>
          </w:p>
        </w:tc>
        <w:tc>
          <w:tcPr>
            <w:tcW w:w="713" w:type="dxa"/>
            <w:tcBorders>
              <w:top w:val="single" w:sz="4" w:space="0" w:color="000000"/>
            </w:tcBorders>
          </w:tcPr>
          <w:p>
            <w:pPr>
              <w:pStyle w:val="TableParagraph"/>
              <w:jc w:val="left"/>
              <w:rPr>
                <w:sz w:val="14"/>
              </w:rPr>
            </w:pPr>
          </w:p>
        </w:tc>
        <w:tc>
          <w:tcPr>
            <w:tcW w:w="668" w:type="dxa"/>
            <w:tcBorders>
              <w:top w:val="single" w:sz="4" w:space="0" w:color="000000"/>
            </w:tcBorders>
          </w:tcPr>
          <w:p>
            <w:pPr>
              <w:pStyle w:val="TableParagraph"/>
              <w:jc w:val="left"/>
              <w:rPr>
                <w:sz w:val="14"/>
              </w:rPr>
            </w:pPr>
          </w:p>
        </w:tc>
        <w:tc>
          <w:tcPr>
            <w:tcW w:w="490" w:type="dxa"/>
            <w:tcBorders>
              <w:top w:val="single" w:sz="4" w:space="0" w:color="000000"/>
            </w:tcBorders>
          </w:tcPr>
          <w:p>
            <w:pPr>
              <w:pStyle w:val="TableParagraph"/>
              <w:jc w:val="left"/>
              <w:rPr>
                <w:sz w:val="14"/>
              </w:rPr>
            </w:pPr>
          </w:p>
        </w:tc>
        <w:tc>
          <w:tcPr>
            <w:tcW w:w="793" w:type="dxa"/>
            <w:tcBorders>
              <w:top w:val="single" w:sz="4" w:space="0" w:color="000000"/>
            </w:tcBorders>
          </w:tcPr>
          <w:p>
            <w:pPr>
              <w:pStyle w:val="TableParagraph"/>
              <w:jc w:val="left"/>
              <w:rPr>
                <w:sz w:val="14"/>
              </w:rPr>
            </w:pPr>
          </w:p>
        </w:tc>
        <w:tc>
          <w:tcPr>
            <w:tcW w:w="568" w:type="dxa"/>
            <w:tcBorders>
              <w:top w:val="single" w:sz="4" w:space="0" w:color="000000"/>
            </w:tcBorders>
          </w:tcPr>
          <w:p>
            <w:pPr>
              <w:pStyle w:val="TableParagraph"/>
              <w:jc w:val="left"/>
              <w:rPr>
                <w:sz w:val="14"/>
              </w:rPr>
            </w:pPr>
          </w:p>
        </w:tc>
        <w:tc>
          <w:tcPr>
            <w:tcW w:w="578" w:type="dxa"/>
            <w:tcBorders>
              <w:top w:val="single" w:sz="4" w:space="0" w:color="000000"/>
            </w:tcBorders>
          </w:tcPr>
          <w:p>
            <w:pPr>
              <w:pStyle w:val="TableParagraph"/>
              <w:jc w:val="left"/>
              <w:rPr>
                <w:sz w:val="14"/>
              </w:rPr>
            </w:pPr>
          </w:p>
        </w:tc>
        <w:tc>
          <w:tcPr>
            <w:tcW w:w="564" w:type="dxa"/>
            <w:tcBorders>
              <w:top w:val="single" w:sz="4" w:space="0" w:color="000000"/>
            </w:tcBorders>
          </w:tcPr>
          <w:p>
            <w:pPr>
              <w:pStyle w:val="TableParagraph"/>
              <w:jc w:val="left"/>
              <w:rPr>
                <w:sz w:val="14"/>
              </w:rPr>
            </w:pPr>
          </w:p>
        </w:tc>
        <w:tc>
          <w:tcPr>
            <w:tcW w:w="820" w:type="dxa"/>
            <w:tcBorders>
              <w:top w:val="single" w:sz="4" w:space="0" w:color="000000"/>
            </w:tcBorders>
          </w:tcPr>
          <w:p>
            <w:pPr>
              <w:pStyle w:val="TableParagraph"/>
              <w:jc w:val="left"/>
              <w:rPr>
                <w:sz w:val="14"/>
              </w:rPr>
            </w:pPr>
          </w:p>
        </w:tc>
        <w:tc>
          <w:tcPr>
            <w:tcW w:w="518" w:type="dxa"/>
            <w:tcBorders>
              <w:top w:val="single" w:sz="4" w:space="0" w:color="000000"/>
            </w:tcBorders>
          </w:tcPr>
          <w:p>
            <w:pPr>
              <w:pStyle w:val="TableParagraph"/>
              <w:jc w:val="left"/>
              <w:rPr>
                <w:sz w:val="14"/>
              </w:rPr>
            </w:pPr>
          </w:p>
        </w:tc>
      </w:tr>
      <w:tr>
        <w:trPr>
          <w:trHeight w:val="221" w:hRule="atLeast"/>
        </w:trPr>
        <w:tc>
          <w:tcPr>
            <w:tcW w:w="1186" w:type="dxa"/>
            <w:tcBorders>
              <w:bottom w:val="single" w:sz="12" w:space="0" w:color="000000"/>
            </w:tcBorders>
          </w:tcPr>
          <w:p>
            <w:pPr>
              <w:pStyle w:val="TableParagraph"/>
              <w:spacing w:before="20"/>
              <w:ind w:left="67"/>
              <w:jc w:val="left"/>
              <w:rPr>
                <w:sz w:val="14"/>
              </w:rPr>
            </w:pPr>
            <w:r>
              <w:rPr>
                <w:w w:val="95"/>
                <w:sz w:val="14"/>
              </w:rPr>
              <w:t>Approved</w:t>
            </w:r>
            <w:r>
              <w:rPr>
                <w:spacing w:val="22"/>
                <w:sz w:val="14"/>
              </w:rPr>
              <w:t> </w:t>
            </w:r>
            <w:r>
              <w:rPr>
                <w:spacing w:val="-4"/>
                <w:sz w:val="14"/>
              </w:rPr>
              <w:t>2022</w:t>
            </w:r>
          </w:p>
        </w:tc>
        <w:tc>
          <w:tcPr>
            <w:tcW w:w="678" w:type="dxa"/>
            <w:tcBorders>
              <w:bottom w:val="single" w:sz="12" w:space="0" w:color="000000"/>
            </w:tcBorders>
          </w:tcPr>
          <w:p>
            <w:pPr>
              <w:pStyle w:val="TableParagraph"/>
              <w:spacing w:before="20"/>
              <w:ind w:right="154"/>
              <w:rPr>
                <w:sz w:val="14"/>
              </w:rPr>
            </w:pPr>
            <w:r>
              <w:rPr>
                <w:w w:val="99"/>
                <w:sz w:val="14"/>
              </w:rPr>
              <w:t>-</w:t>
            </w:r>
          </w:p>
        </w:tc>
        <w:tc>
          <w:tcPr>
            <w:tcW w:w="607" w:type="dxa"/>
            <w:tcBorders>
              <w:bottom w:val="single" w:sz="12" w:space="0" w:color="000000"/>
            </w:tcBorders>
          </w:tcPr>
          <w:p>
            <w:pPr>
              <w:pStyle w:val="TableParagraph"/>
              <w:spacing w:before="20"/>
              <w:ind w:right="171"/>
              <w:rPr>
                <w:sz w:val="14"/>
              </w:rPr>
            </w:pPr>
            <w:r>
              <w:rPr>
                <w:w w:val="99"/>
                <w:sz w:val="14"/>
              </w:rPr>
              <w:t>1</w:t>
            </w:r>
          </w:p>
        </w:tc>
        <w:tc>
          <w:tcPr>
            <w:tcW w:w="563" w:type="dxa"/>
            <w:tcBorders>
              <w:bottom w:val="single" w:sz="12" w:space="0" w:color="000000"/>
            </w:tcBorders>
          </w:tcPr>
          <w:p>
            <w:pPr>
              <w:pStyle w:val="TableParagraph"/>
              <w:spacing w:before="20"/>
              <w:ind w:right="171"/>
              <w:rPr>
                <w:sz w:val="14"/>
              </w:rPr>
            </w:pPr>
            <w:r>
              <w:rPr>
                <w:w w:val="99"/>
                <w:sz w:val="14"/>
              </w:rPr>
              <w:t>-</w:t>
            </w:r>
          </w:p>
        </w:tc>
        <w:tc>
          <w:tcPr>
            <w:tcW w:w="557" w:type="dxa"/>
            <w:tcBorders>
              <w:bottom w:val="single" w:sz="12" w:space="0" w:color="000000"/>
            </w:tcBorders>
          </w:tcPr>
          <w:p>
            <w:pPr>
              <w:pStyle w:val="TableParagraph"/>
              <w:spacing w:before="20"/>
              <w:ind w:right="168"/>
              <w:rPr>
                <w:sz w:val="14"/>
              </w:rPr>
            </w:pPr>
            <w:r>
              <w:rPr>
                <w:w w:val="99"/>
                <w:sz w:val="14"/>
              </w:rPr>
              <w:t>1</w:t>
            </w:r>
          </w:p>
        </w:tc>
        <w:tc>
          <w:tcPr>
            <w:tcW w:w="583" w:type="dxa"/>
            <w:tcBorders>
              <w:bottom w:val="single" w:sz="12" w:space="0" w:color="000000"/>
            </w:tcBorders>
          </w:tcPr>
          <w:p>
            <w:pPr>
              <w:pStyle w:val="TableParagraph"/>
              <w:spacing w:before="20"/>
              <w:ind w:left="170"/>
              <w:jc w:val="center"/>
              <w:rPr>
                <w:sz w:val="14"/>
              </w:rPr>
            </w:pPr>
            <w:r>
              <w:rPr>
                <w:w w:val="99"/>
                <w:sz w:val="14"/>
              </w:rPr>
              <w:t>5</w:t>
            </w:r>
          </w:p>
        </w:tc>
        <w:tc>
          <w:tcPr>
            <w:tcW w:w="546" w:type="dxa"/>
            <w:tcBorders>
              <w:bottom w:val="single" w:sz="12" w:space="0" w:color="000000"/>
            </w:tcBorders>
          </w:tcPr>
          <w:p>
            <w:pPr>
              <w:pStyle w:val="TableParagraph"/>
              <w:spacing w:before="20"/>
              <w:ind w:right="122"/>
              <w:rPr>
                <w:sz w:val="14"/>
              </w:rPr>
            </w:pPr>
            <w:r>
              <w:rPr>
                <w:spacing w:val="-5"/>
                <w:sz w:val="14"/>
              </w:rPr>
              <w:t>13</w:t>
            </w:r>
          </w:p>
        </w:tc>
        <w:tc>
          <w:tcPr>
            <w:tcW w:w="713" w:type="dxa"/>
            <w:tcBorders>
              <w:bottom w:val="single" w:sz="12" w:space="0" w:color="000000"/>
            </w:tcBorders>
          </w:tcPr>
          <w:p>
            <w:pPr>
              <w:pStyle w:val="TableParagraph"/>
              <w:spacing w:before="20"/>
              <w:ind w:right="240"/>
              <w:rPr>
                <w:sz w:val="14"/>
              </w:rPr>
            </w:pPr>
            <w:r>
              <w:rPr>
                <w:spacing w:val="-5"/>
                <w:sz w:val="14"/>
              </w:rPr>
              <w:t>32</w:t>
            </w:r>
          </w:p>
        </w:tc>
        <w:tc>
          <w:tcPr>
            <w:tcW w:w="668" w:type="dxa"/>
            <w:tcBorders>
              <w:bottom w:val="single" w:sz="12" w:space="0" w:color="000000"/>
            </w:tcBorders>
          </w:tcPr>
          <w:p>
            <w:pPr>
              <w:pStyle w:val="TableParagraph"/>
              <w:spacing w:before="20"/>
              <w:ind w:right="168"/>
              <w:rPr>
                <w:sz w:val="14"/>
              </w:rPr>
            </w:pPr>
            <w:r>
              <w:rPr>
                <w:spacing w:val="-5"/>
                <w:sz w:val="14"/>
              </w:rPr>
              <w:t>30</w:t>
            </w:r>
          </w:p>
        </w:tc>
        <w:tc>
          <w:tcPr>
            <w:tcW w:w="490" w:type="dxa"/>
            <w:tcBorders>
              <w:bottom w:val="single" w:sz="12" w:space="0" w:color="000000"/>
            </w:tcBorders>
          </w:tcPr>
          <w:p>
            <w:pPr>
              <w:pStyle w:val="TableParagraph"/>
              <w:spacing w:before="20"/>
              <w:ind w:right="70"/>
              <w:rPr>
                <w:sz w:val="14"/>
              </w:rPr>
            </w:pPr>
            <w:r>
              <w:rPr>
                <w:w w:val="99"/>
                <w:sz w:val="14"/>
              </w:rPr>
              <w:t>7</w:t>
            </w:r>
          </w:p>
        </w:tc>
        <w:tc>
          <w:tcPr>
            <w:tcW w:w="793" w:type="dxa"/>
            <w:tcBorders>
              <w:bottom w:val="single" w:sz="12" w:space="0" w:color="000000"/>
            </w:tcBorders>
          </w:tcPr>
          <w:p>
            <w:pPr>
              <w:pStyle w:val="TableParagraph"/>
              <w:spacing w:before="20"/>
              <w:ind w:right="121"/>
              <w:rPr>
                <w:i/>
                <w:sz w:val="14"/>
              </w:rPr>
            </w:pPr>
            <w:r>
              <w:rPr>
                <w:i/>
                <w:spacing w:val="-5"/>
                <w:sz w:val="14"/>
              </w:rPr>
              <w:t>89</w:t>
            </w:r>
          </w:p>
        </w:tc>
        <w:tc>
          <w:tcPr>
            <w:tcW w:w="568" w:type="dxa"/>
            <w:tcBorders>
              <w:bottom w:val="single" w:sz="12" w:space="0" w:color="000000"/>
            </w:tcBorders>
          </w:tcPr>
          <w:p>
            <w:pPr>
              <w:pStyle w:val="TableParagraph"/>
              <w:spacing w:before="20"/>
              <w:ind w:right="100"/>
              <w:rPr>
                <w:sz w:val="14"/>
              </w:rPr>
            </w:pPr>
            <w:r>
              <w:rPr>
                <w:w w:val="99"/>
                <w:sz w:val="14"/>
              </w:rPr>
              <w:t>-</w:t>
            </w:r>
          </w:p>
        </w:tc>
        <w:tc>
          <w:tcPr>
            <w:tcW w:w="578" w:type="dxa"/>
            <w:tcBorders>
              <w:bottom w:val="single" w:sz="12" w:space="0" w:color="000000"/>
            </w:tcBorders>
          </w:tcPr>
          <w:p>
            <w:pPr>
              <w:pStyle w:val="TableParagraph"/>
              <w:spacing w:before="20"/>
              <w:ind w:right="87"/>
              <w:rPr>
                <w:sz w:val="14"/>
              </w:rPr>
            </w:pPr>
            <w:r>
              <w:rPr>
                <w:w w:val="99"/>
                <w:sz w:val="14"/>
              </w:rPr>
              <w:t>-</w:t>
            </w:r>
          </w:p>
        </w:tc>
        <w:tc>
          <w:tcPr>
            <w:tcW w:w="564" w:type="dxa"/>
            <w:tcBorders>
              <w:bottom w:val="single" w:sz="12" w:space="0" w:color="000000"/>
            </w:tcBorders>
          </w:tcPr>
          <w:p>
            <w:pPr>
              <w:pStyle w:val="TableParagraph"/>
              <w:spacing w:before="20"/>
              <w:ind w:right="62"/>
              <w:rPr>
                <w:sz w:val="14"/>
              </w:rPr>
            </w:pPr>
            <w:r>
              <w:rPr>
                <w:w w:val="99"/>
                <w:sz w:val="14"/>
              </w:rPr>
              <w:t>3</w:t>
            </w:r>
          </w:p>
        </w:tc>
        <w:tc>
          <w:tcPr>
            <w:tcW w:w="820" w:type="dxa"/>
            <w:tcBorders>
              <w:bottom w:val="single" w:sz="12" w:space="0" w:color="000000"/>
            </w:tcBorders>
          </w:tcPr>
          <w:p>
            <w:pPr>
              <w:pStyle w:val="TableParagraph"/>
              <w:spacing w:before="20"/>
              <w:ind w:right="142"/>
              <w:rPr>
                <w:i/>
                <w:sz w:val="14"/>
              </w:rPr>
            </w:pPr>
            <w:r>
              <w:rPr>
                <w:i/>
                <w:w w:val="99"/>
                <w:sz w:val="14"/>
              </w:rPr>
              <w:t>3</w:t>
            </w:r>
          </w:p>
        </w:tc>
        <w:tc>
          <w:tcPr>
            <w:tcW w:w="518" w:type="dxa"/>
            <w:tcBorders>
              <w:bottom w:val="single" w:sz="12" w:space="0" w:color="000000"/>
            </w:tcBorders>
          </w:tcPr>
          <w:p>
            <w:pPr>
              <w:pStyle w:val="TableParagraph"/>
              <w:spacing w:before="20"/>
              <w:ind w:right="53"/>
              <w:rPr>
                <w:b/>
                <w:sz w:val="14"/>
              </w:rPr>
            </w:pPr>
            <w:r>
              <w:rPr>
                <w:b/>
                <w:spacing w:val="-5"/>
                <w:sz w:val="14"/>
              </w:rPr>
              <w:t>92</w:t>
            </w:r>
          </w:p>
        </w:tc>
      </w:tr>
      <w:tr>
        <w:trPr>
          <w:trHeight w:val="227" w:hRule="atLeast"/>
        </w:trPr>
        <w:tc>
          <w:tcPr>
            <w:tcW w:w="1186" w:type="dxa"/>
            <w:tcBorders>
              <w:top w:val="single" w:sz="12" w:space="0" w:color="000000"/>
              <w:bottom w:val="single" w:sz="6" w:space="0" w:color="000000"/>
            </w:tcBorders>
          </w:tcPr>
          <w:p>
            <w:pPr>
              <w:pStyle w:val="TableParagraph"/>
              <w:spacing w:before="27"/>
              <w:ind w:left="67"/>
              <w:jc w:val="left"/>
              <w:rPr>
                <w:sz w:val="14"/>
              </w:rPr>
            </w:pPr>
            <w:r>
              <w:rPr>
                <w:spacing w:val="-5"/>
                <w:sz w:val="14"/>
              </w:rPr>
              <w:t>New</w:t>
            </w:r>
          </w:p>
        </w:tc>
        <w:tc>
          <w:tcPr>
            <w:tcW w:w="678" w:type="dxa"/>
            <w:tcBorders>
              <w:top w:val="single" w:sz="12" w:space="0" w:color="000000"/>
              <w:bottom w:val="single" w:sz="6" w:space="0" w:color="000000"/>
            </w:tcBorders>
          </w:tcPr>
          <w:p>
            <w:pPr>
              <w:pStyle w:val="TableParagraph"/>
              <w:spacing w:before="27"/>
              <w:ind w:right="154"/>
              <w:rPr>
                <w:sz w:val="14"/>
              </w:rPr>
            </w:pPr>
            <w:r>
              <w:rPr>
                <w:w w:val="99"/>
                <w:sz w:val="14"/>
              </w:rPr>
              <w:t>-</w:t>
            </w:r>
          </w:p>
        </w:tc>
        <w:tc>
          <w:tcPr>
            <w:tcW w:w="607" w:type="dxa"/>
            <w:tcBorders>
              <w:top w:val="single" w:sz="12" w:space="0" w:color="000000"/>
              <w:bottom w:val="single" w:sz="6" w:space="0" w:color="000000"/>
            </w:tcBorders>
          </w:tcPr>
          <w:p>
            <w:pPr>
              <w:pStyle w:val="TableParagraph"/>
              <w:spacing w:before="27"/>
              <w:ind w:right="170"/>
              <w:rPr>
                <w:sz w:val="14"/>
              </w:rPr>
            </w:pPr>
            <w:r>
              <w:rPr>
                <w:w w:val="99"/>
                <w:sz w:val="14"/>
              </w:rPr>
              <w:t>-</w:t>
            </w:r>
          </w:p>
        </w:tc>
        <w:tc>
          <w:tcPr>
            <w:tcW w:w="563" w:type="dxa"/>
            <w:tcBorders>
              <w:top w:val="single" w:sz="12" w:space="0" w:color="000000"/>
              <w:bottom w:val="single" w:sz="6" w:space="0" w:color="000000"/>
            </w:tcBorders>
          </w:tcPr>
          <w:p>
            <w:pPr>
              <w:pStyle w:val="TableParagraph"/>
              <w:spacing w:before="27"/>
              <w:ind w:right="171"/>
              <w:rPr>
                <w:sz w:val="14"/>
              </w:rPr>
            </w:pPr>
            <w:r>
              <w:rPr>
                <w:w w:val="99"/>
                <w:sz w:val="14"/>
              </w:rPr>
              <w:t>-</w:t>
            </w:r>
          </w:p>
        </w:tc>
        <w:tc>
          <w:tcPr>
            <w:tcW w:w="557" w:type="dxa"/>
            <w:tcBorders>
              <w:top w:val="single" w:sz="12" w:space="0" w:color="000000"/>
              <w:bottom w:val="single" w:sz="6" w:space="0" w:color="000000"/>
            </w:tcBorders>
          </w:tcPr>
          <w:p>
            <w:pPr>
              <w:pStyle w:val="TableParagraph"/>
              <w:spacing w:before="27"/>
              <w:ind w:right="167"/>
              <w:rPr>
                <w:sz w:val="14"/>
              </w:rPr>
            </w:pPr>
            <w:r>
              <w:rPr>
                <w:w w:val="99"/>
                <w:sz w:val="14"/>
              </w:rPr>
              <w:t>-</w:t>
            </w:r>
          </w:p>
        </w:tc>
        <w:tc>
          <w:tcPr>
            <w:tcW w:w="583" w:type="dxa"/>
            <w:tcBorders>
              <w:top w:val="single" w:sz="12" w:space="0" w:color="000000"/>
              <w:bottom w:val="single" w:sz="6" w:space="0" w:color="000000"/>
            </w:tcBorders>
          </w:tcPr>
          <w:p>
            <w:pPr>
              <w:pStyle w:val="TableParagraph"/>
              <w:spacing w:before="27"/>
              <w:ind w:left="194"/>
              <w:jc w:val="center"/>
              <w:rPr>
                <w:sz w:val="14"/>
              </w:rPr>
            </w:pPr>
            <w:r>
              <w:rPr>
                <w:w w:val="99"/>
                <w:sz w:val="14"/>
              </w:rPr>
              <w:t>-</w:t>
            </w:r>
          </w:p>
        </w:tc>
        <w:tc>
          <w:tcPr>
            <w:tcW w:w="546" w:type="dxa"/>
            <w:tcBorders>
              <w:top w:val="single" w:sz="12" w:space="0" w:color="000000"/>
              <w:bottom w:val="single" w:sz="6" w:space="0" w:color="000000"/>
            </w:tcBorders>
          </w:tcPr>
          <w:p>
            <w:pPr>
              <w:pStyle w:val="TableParagraph"/>
              <w:spacing w:before="27"/>
              <w:ind w:right="129"/>
              <w:rPr>
                <w:sz w:val="14"/>
              </w:rPr>
            </w:pPr>
            <w:r>
              <w:rPr>
                <w:w w:val="99"/>
                <w:sz w:val="14"/>
              </w:rPr>
              <w:t>-</w:t>
            </w:r>
          </w:p>
        </w:tc>
        <w:tc>
          <w:tcPr>
            <w:tcW w:w="713" w:type="dxa"/>
            <w:tcBorders>
              <w:top w:val="single" w:sz="12" w:space="0" w:color="000000"/>
              <w:bottom w:val="single" w:sz="6" w:space="0" w:color="000000"/>
            </w:tcBorders>
          </w:tcPr>
          <w:p>
            <w:pPr>
              <w:pStyle w:val="TableParagraph"/>
              <w:spacing w:before="27"/>
              <w:ind w:right="246"/>
              <w:rPr>
                <w:sz w:val="14"/>
              </w:rPr>
            </w:pPr>
            <w:r>
              <w:rPr>
                <w:w w:val="99"/>
                <w:sz w:val="14"/>
              </w:rPr>
              <w:t>-</w:t>
            </w:r>
          </w:p>
        </w:tc>
        <w:tc>
          <w:tcPr>
            <w:tcW w:w="668" w:type="dxa"/>
            <w:tcBorders>
              <w:top w:val="single" w:sz="12" w:space="0" w:color="000000"/>
              <w:bottom w:val="single" w:sz="6" w:space="0" w:color="000000"/>
            </w:tcBorders>
          </w:tcPr>
          <w:p>
            <w:pPr>
              <w:pStyle w:val="TableParagraph"/>
              <w:spacing w:before="27"/>
              <w:ind w:right="175"/>
              <w:rPr>
                <w:sz w:val="14"/>
              </w:rPr>
            </w:pPr>
            <w:r>
              <w:rPr>
                <w:w w:val="99"/>
                <w:sz w:val="14"/>
              </w:rPr>
              <w:t>-</w:t>
            </w:r>
          </w:p>
        </w:tc>
        <w:tc>
          <w:tcPr>
            <w:tcW w:w="490" w:type="dxa"/>
            <w:tcBorders>
              <w:top w:val="single" w:sz="12" w:space="0" w:color="000000"/>
              <w:bottom w:val="single" w:sz="6" w:space="0" w:color="000000"/>
            </w:tcBorders>
          </w:tcPr>
          <w:p>
            <w:pPr>
              <w:pStyle w:val="TableParagraph"/>
              <w:spacing w:before="27"/>
              <w:ind w:right="69"/>
              <w:rPr>
                <w:sz w:val="14"/>
              </w:rPr>
            </w:pPr>
            <w:r>
              <w:rPr>
                <w:w w:val="99"/>
                <w:sz w:val="14"/>
              </w:rPr>
              <w:t>-</w:t>
            </w:r>
          </w:p>
        </w:tc>
        <w:tc>
          <w:tcPr>
            <w:tcW w:w="793" w:type="dxa"/>
            <w:tcBorders>
              <w:top w:val="single" w:sz="12" w:space="0" w:color="000000"/>
              <w:bottom w:val="single" w:sz="6" w:space="0" w:color="000000"/>
            </w:tcBorders>
          </w:tcPr>
          <w:p>
            <w:pPr>
              <w:pStyle w:val="TableParagraph"/>
              <w:spacing w:before="27"/>
              <w:ind w:right="127"/>
              <w:rPr>
                <w:i/>
                <w:sz w:val="14"/>
              </w:rPr>
            </w:pPr>
            <w:r>
              <w:rPr>
                <w:i/>
                <w:w w:val="99"/>
                <w:sz w:val="14"/>
              </w:rPr>
              <w:t>-</w:t>
            </w:r>
          </w:p>
        </w:tc>
        <w:tc>
          <w:tcPr>
            <w:tcW w:w="568" w:type="dxa"/>
            <w:tcBorders>
              <w:top w:val="single" w:sz="12" w:space="0" w:color="000000"/>
              <w:bottom w:val="single" w:sz="6" w:space="0" w:color="000000"/>
            </w:tcBorders>
          </w:tcPr>
          <w:p>
            <w:pPr>
              <w:pStyle w:val="TableParagraph"/>
              <w:spacing w:before="27"/>
              <w:ind w:right="100"/>
              <w:rPr>
                <w:sz w:val="14"/>
              </w:rPr>
            </w:pPr>
            <w:r>
              <w:rPr>
                <w:w w:val="99"/>
                <w:sz w:val="14"/>
              </w:rPr>
              <w:t>-</w:t>
            </w:r>
          </w:p>
        </w:tc>
        <w:tc>
          <w:tcPr>
            <w:tcW w:w="578" w:type="dxa"/>
            <w:tcBorders>
              <w:top w:val="single" w:sz="12" w:space="0" w:color="000000"/>
              <w:bottom w:val="single" w:sz="6" w:space="0" w:color="000000"/>
            </w:tcBorders>
          </w:tcPr>
          <w:p>
            <w:pPr>
              <w:pStyle w:val="TableParagraph"/>
              <w:spacing w:before="27"/>
              <w:ind w:right="87"/>
              <w:rPr>
                <w:sz w:val="14"/>
              </w:rPr>
            </w:pPr>
            <w:r>
              <w:rPr>
                <w:w w:val="99"/>
                <w:sz w:val="14"/>
              </w:rPr>
              <w:t>-</w:t>
            </w:r>
          </w:p>
        </w:tc>
        <w:tc>
          <w:tcPr>
            <w:tcW w:w="564" w:type="dxa"/>
            <w:tcBorders>
              <w:top w:val="single" w:sz="12" w:space="0" w:color="000000"/>
              <w:bottom w:val="single" w:sz="6" w:space="0" w:color="000000"/>
            </w:tcBorders>
          </w:tcPr>
          <w:p>
            <w:pPr>
              <w:pStyle w:val="TableParagraph"/>
              <w:spacing w:before="27"/>
              <w:ind w:right="61"/>
              <w:rPr>
                <w:sz w:val="14"/>
              </w:rPr>
            </w:pPr>
            <w:r>
              <w:rPr>
                <w:w w:val="99"/>
                <w:sz w:val="14"/>
              </w:rPr>
              <w:t>-</w:t>
            </w:r>
          </w:p>
        </w:tc>
        <w:tc>
          <w:tcPr>
            <w:tcW w:w="820" w:type="dxa"/>
            <w:tcBorders>
              <w:top w:val="single" w:sz="12" w:space="0" w:color="000000"/>
              <w:bottom w:val="single" w:sz="6" w:space="0" w:color="000000"/>
            </w:tcBorders>
          </w:tcPr>
          <w:p>
            <w:pPr>
              <w:pStyle w:val="TableParagraph"/>
              <w:spacing w:before="27"/>
              <w:ind w:right="141"/>
              <w:rPr>
                <w:i/>
                <w:sz w:val="14"/>
              </w:rPr>
            </w:pPr>
            <w:r>
              <w:rPr>
                <w:i/>
                <w:w w:val="99"/>
                <w:sz w:val="14"/>
              </w:rPr>
              <w:t>-</w:t>
            </w:r>
          </w:p>
        </w:tc>
        <w:tc>
          <w:tcPr>
            <w:tcW w:w="518" w:type="dxa"/>
            <w:tcBorders>
              <w:top w:val="single" w:sz="12" w:space="0" w:color="000000"/>
              <w:bottom w:val="single" w:sz="6" w:space="0" w:color="000000"/>
            </w:tcBorders>
          </w:tcPr>
          <w:p>
            <w:pPr>
              <w:pStyle w:val="TableParagraph"/>
              <w:spacing w:before="27"/>
              <w:ind w:right="59"/>
              <w:rPr>
                <w:b/>
                <w:sz w:val="14"/>
              </w:rPr>
            </w:pPr>
            <w:r>
              <w:rPr>
                <w:b/>
                <w:w w:val="99"/>
                <w:sz w:val="14"/>
              </w:rPr>
              <w:t>-</w:t>
            </w:r>
          </w:p>
        </w:tc>
      </w:tr>
      <w:tr>
        <w:trPr>
          <w:trHeight w:val="222" w:hRule="atLeast"/>
        </w:trPr>
        <w:tc>
          <w:tcPr>
            <w:tcW w:w="1186" w:type="dxa"/>
            <w:tcBorders>
              <w:top w:val="single" w:sz="6" w:space="0" w:color="000000"/>
              <w:bottom w:val="single" w:sz="4" w:space="0" w:color="000000"/>
            </w:tcBorders>
          </w:tcPr>
          <w:p>
            <w:pPr>
              <w:pStyle w:val="TableParagraph"/>
              <w:spacing w:before="21"/>
              <w:ind w:left="67"/>
              <w:jc w:val="left"/>
              <w:rPr>
                <w:sz w:val="14"/>
              </w:rPr>
            </w:pPr>
            <w:r>
              <w:rPr>
                <w:spacing w:val="-2"/>
                <w:sz w:val="14"/>
              </w:rPr>
              <w:t>Redeployed</w:t>
            </w:r>
          </w:p>
        </w:tc>
        <w:tc>
          <w:tcPr>
            <w:tcW w:w="678" w:type="dxa"/>
            <w:tcBorders>
              <w:top w:val="single" w:sz="6" w:space="0" w:color="000000"/>
              <w:bottom w:val="single" w:sz="4" w:space="0" w:color="000000"/>
            </w:tcBorders>
          </w:tcPr>
          <w:p>
            <w:pPr>
              <w:pStyle w:val="TableParagraph"/>
              <w:spacing w:before="21"/>
              <w:ind w:right="154"/>
              <w:rPr>
                <w:sz w:val="14"/>
              </w:rPr>
            </w:pPr>
            <w:r>
              <w:rPr>
                <w:w w:val="99"/>
                <w:sz w:val="14"/>
              </w:rPr>
              <w:t>-</w:t>
            </w:r>
          </w:p>
        </w:tc>
        <w:tc>
          <w:tcPr>
            <w:tcW w:w="607" w:type="dxa"/>
            <w:tcBorders>
              <w:top w:val="single" w:sz="6" w:space="0" w:color="000000"/>
              <w:bottom w:val="single" w:sz="4" w:space="0" w:color="000000"/>
            </w:tcBorders>
          </w:tcPr>
          <w:p>
            <w:pPr>
              <w:pStyle w:val="TableParagraph"/>
              <w:spacing w:before="21"/>
              <w:ind w:right="170"/>
              <w:rPr>
                <w:sz w:val="14"/>
              </w:rPr>
            </w:pPr>
            <w:r>
              <w:rPr>
                <w:w w:val="99"/>
                <w:sz w:val="14"/>
              </w:rPr>
              <w:t>-</w:t>
            </w:r>
          </w:p>
        </w:tc>
        <w:tc>
          <w:tcPr>
            <w:tcW w:w="563" w:type="dxa"/>
            <w:tcBorders>
              <w:top w:val="single" w:sz="6" w:space="0" w:color="000000"/>
              <w:bottom w:val="single" w:sz="4" w:space="0" w:color="000000"/>
            </w:tcBorders>
          </w:tcPr>
          <w:p>
            <w:pPr>
              <w:pStyle w:val="TableParagraph"/>
              <w:spacing w:before="21"/>
              <w:ind w:right="171"/>
              <w:rPr>
                <w:sz w:val="14"/>
              </w:rPr>
            </w:pPr>
            <w:r>
              <w:rPr>
                <w:w w:val="99"/>
                <w:sz w:val="14"/>
              </w:rPr>
              <w:t>-</w:t>
            </w:r>
          </w:p>
        </w:tc>
        <w:tc>
          <w:tcPr>
            <w:tcW w:w="557" w:type="dxa"/>
            <w:tcBorders>
              <w:top w:val="single" w:sz="6" w:space="0" w:color="000000"/>
              <w:bottom w:val="single" w:sz="4" w:space="0" w:color="000000"/>
            </w:tcBorders>
          </w:tcPr>
          <w:p>
            <w:pPr>
              <w:pStyle w:val="TableParagraph"/>
              <w:spacing w:before="21"/>
              <w:ind w:right="167"/>
              <w:rPr>
                <w:sz w:val="14"/>
              </w:rPr>
            </w:pPr>
            <w:r>
              <w:rPr>
                <w:w w:val="99"/>
                <w:sz w:val="14"/>
              </w:rPr>
              <w:t>-</w:t>
            </w:r>
          </w:p>
        </w:tc>
        <w:tc>
          <w:tcPr>
            <w:tcW w:w="583" w:type="dxa"/>
            <w:tcBorders>
              <w:top w:val="single" w:sz="6" w:space="0" w:color="000000"/>
              <w:bottom w:val="single" w:sz="4" w:space="0" w:color="000000"/>
            </w:tcBorders>
          </w:tcPr>
          <w:p>
            <w:pPr>
              <w:pStyle w:val="TableParagraph"/>
              <w:spacing w:before="21"/>
              <w:ind w:left="194"/>
              <w:jc w:val="center"/>
              <w:rPr>
                <w:sz w:val="14"/>
              </w:rPr>
            </w:pPr>
            <w:r>
              <w:rPr>
                <w:w w:val="99"/>
                <w:sz w:val="14"/>
              </w:rPr>
              <w:t>-</w:t>
            </w:r>
          </w:p>
        </w:tc>
        <w:tc>
          <w:tcPr>
            <w:tcW w:w="546" w:type="dxa"/>
            <w:tcBorders>
              <w:top w:val="single" w:sz="6" w:space="0" w:color="000000"/>
              <w:bottom w:val="single" w:sz="4" w:space="0" w:color="000000"/>
            </w:tcBorders>
          </w:tcPr>
          <w:p>
            <w:pPr>
              <w:pStyle w:val="TableParagraph"/>
              <w:spacing w:before="21"/>
              <w:ind w:right="130"/>
              <w:rPr>
                <w:sz w:val="14"/>
              </w:rPr>
            </w:pPr>
            <w:r>
              <w:rPr>
                <w:w w:val="99"/>
                <w:sz w:val="14"/>
              </w:rPr>
              <w:t>1</w:t>
            </w:r>
          </w:p>
        </w:tc>
        <w:tc>
          <w:tcPr>
            <w:tcW w:w="713" w:type="dxa"/>
            <w:tcBorders>
              <w:top w:val="single" w:sz="6" w:space="0" w:color="000000"/>
              <w:bottom w:val="single" w:sz="4" w:space="0" w:color="000000"/>
            </w:tcBorders>
          </w:tcPr>
          <w:p>
            <w:pPr>
              <w:pStyle w:val="TableParagraph"/>
              <w:spacing w:before="21"/>
              <w:ind w:right="247"/>
              <w:rPr>
                <w:sz w:val="14"/>
              </w:rPr>
            </w:pPr>
            <w:r>
              <w:rPr>
                <w:w w:val="99"/>
                <w:sz w:val="14"/>
              </w:rPr>
              <w:t>1</w:t>
            </w:r>
          </w:p>
        </w:tc>
        <w:tc>
          <w:tcPr>
            <w:tcW w:w="668" w:type="dxa"/>
            <w:tcBorders>
              <w:top w:val="single" w:sz="6" w:space="0" w:color="000000"/>
              <w:bottom w:val="single" w:sz="4" w:space="0" w:color="000000"/>
            </w:tcBorders>
          </w:tcPr>
          <w:p>
            <w:pPr>
              <w:pStyle w:val="TableParagraph"/>
              <w:spacing w:before="21"/>
              <w:ind w:right="175"/>
              <w:rPr>
                <w:sz w:val="14"/>
              </w:rPr>
            </w:pPr>
            <w:r>
              <w:rPr>
                <w:w w:val="99"/>
                <w:sz w:val="14"/>
              </w:rPr>
              <w:t>-</w:t>
            </w:r>
          </w:p>
        </w:tc>
        <w:tc>
          <w:tcPr>
            <w:tcW w:w="490" w:type="dxa"/>
            <w:tcBorders>
              <w:top w:val="single" w:sz="6" w:space="0" w:color="000000"/>
              <w:bottom w:val="single" w:sz="4" w:space="0" w:color="000000"/>
            </w:tcBorders>
          </w:tcPr>
          <w:p>
            <w:pPr>
              <w:pStyle w:val="TableParagraph"/>
              <w:spacing w:before="21"/>
              <w:ind w:right="70"/>
              <w:rPr>
                <w:sz w:val="14"/>
              </w:rPr>
            </w:pPr>
            <w:r>
              <w:rPr>
                <w:w w:val="99"/>
                <w:sz w:val="14"/>
              </w:rPr>
              <w:t>3</w:t>
            </w:r>
          </w:p>
        </w:tc>
        <w:tc>
          <w:tcPr>
            <w:tcW w:w="793" w:type="dxa"/>
            <w:tcBorders>
              <w:top w:val="single" w:sz="6" w:space="0" w:color="000000"/>
              <w:bottom w:val="single" w:sz="4" w:space="0" w:color="000000"/>
            </w:tcBorders>
          </w:tcPr>
          <w:p>
            <w:pPr>
              <w:pStyle w:val="TableParagraph"/>
              <w:spacing w:before="21"/>
              <w:ind w:right="128"/>
              <w:rPr>
                <w:i/>
                <w:sz w:val="14"/>
              </w:rPr>
            </w:pPr>
            <w:r>
              <w:rPr>
                <w:i/>
                <w:w w:val="99"/>
                <w:sz w:val="14"/>
              </w:rPr>
              <w:t>5</w:t>
            </w:r>
          </w:p>
        </w:tc>
        <w:tc>
          <w:tcPr>
            <w:tcW w:w="568" w:type="dxa"/>
            <w:tcBorders>
              <w:top w:val="single" w:sz="6" w:space="0" w:color="000000"/>
              <w:bottom w:val="single" w:sz="4" w:space="0" w:color="000000"/>
            </w:tcBorders>
          </w:tcPr>
          <w:p>
            <w:pPr>
              <w:pStyle w:val="TableParagraph"/>
              <w:spacing w:before="21"/>
              <w:ind w:right="100"/>
              <w:rPr>
                <w:sz w:val="14"/>
              </w:rPr>
            </w:pPr>
            <w:r>
              <w:rPr>
                <w:w w:val="99"/>
                <w:sz w:val="14"/>
              </w:rPr>
              <w:t>-</w:t>
            </w:r>
          </w:p>
        </w:tc>
        <w:tc>
          <w:tcPr>
            <w:tcW w:w="578" w:type="dxa"/>
            <w:tcBorders>
              <w:top w:val="single" w:sz="6" w:space="0" w:color="000000"/>
              <w:bottom w:val="single" w:sz="4" w:space="0" w:color="000000"/>
            </w:tcBorders>
          </w:tcPr>
          <w:p>
            <w:pPr>
              <w:pStyle w:val="TableParagraph"/>
              <w:spacing w:before="21"/>
              <w:ind w:right="87"/>
              <w:rPr>
                <w:sz w:val="14"/>
              </w:rPr>
            </w:pPr>
            <w:r>
              <w:rPr>
                <w:w w:val="99"/>
                <w:sz w:val="14"/>
              </w:rPr>
              <w:t>-</w:t>
            </w:r>
          </w:p>
        </w:tc>
        <w:tc>
          <w:tcPr>
            <w:tcW w:w="564" w:type="dxa"/>
            <w:tcBorders>
              <w:top w:val="single" w:sz="6" w:space="0" w:color="000000"/>
              <w:bottom w:val="single" w:sz="4" w:space="0" w:color="000000"/>
            </w:tcBorders>
          </w:tcPr>
          <w:p>
            <w:pPr>
              <w:pStyle w:val="TableParagraph"/>
              <w:spacing w:before="21"/>
              <w:ind w:right="62"/>
              <w:rPr>
                <w:sz w:val="14"/>
              </w:rPr>
            </w:pPr>
            <w:r>
              <w:rPr>
                <w:w w:val="99"/>
                <w:sz w:val="14"/>
              </w:rPr>
              <w:t>2</w:t>
            </w:r>
          </w:p>
        </w:tc>
        <w:tc>
          <w:tcPr>
            <w:tcW w:w="820" w:type="dxa"/>
            <w:tcBorders>
              <w:top w:val="single" w:sz="6" w:space="0" w:color="000000"/>
              <w:bottom w:val="single" w:sz="4" w:space="0" w:color="000000"/>
            </w:tcBorders>
          </w:tcPr>
          <w:p>
            <w:pPr>
              <w:pStyle w:val="TableParagraph"/>
              <w:spacing w:before="21"/>
              <w:ind w:right="142"/>
              <w:rPr>
                <w:i/>
                <w:sz w:val="14"/>
              </w:rPr>
            </w:pPr>
            <w:r>
              <w:rPr>
                <w:i/>
                <w:w w:val="99"/>
                <w:sz w:val="14"/>
              </w:rPr>
              <w:t>2</w:t>
            </w:r>
          </w:p>
        </w:tc>
        <w:tc>
          <w:tcPr>
            <w:tcW w:w="518" w:type="dxa"/>
            <w:tcBorders>
              <w:top w:val="single" w:sz="6" w:space="0" w:color="000000"/>
              <w:bottom w:val="single" w:sz="4" w:space="0" w:color="000000"/>
            </w:tcBorders>
          </w:tcPr>
          <w:p>
            <w:pPr>
              <w:pStyle w:val="TableParagraph"/>
              <w:spacing w:before="21"/>
              <w:ind w:right="60"/>
              <w:rPr>
                <w:b/>
                <w:sz w:val="14"/>
              </w:rPr>
            </w:pPr>
            <w:r>
              <w:rPr>
                <w:b/>
                <w:w w:val="99"/>
                <w:sz w:val="14"/>
              </w:rPr>
              <w:t>7</w:t>
            </w:r>
          </w:p>
        </w:tc>
      </w:tr>
      <w:tr>
        <w:trPr>
          <w:trHeight w:val="225" w:hRule="atLeast"/>
        </w:trPr>
        <w:tc>
          <w:tcPr>
            <w:tcW w:w="1186" w:type="dxa"/>
            <w:tcBorders>
              <w:top w:val="single" w:sz="4" w:space="0" w:color="000000"/>
              <w:bottom w:val="single" w:sz="4" w:space="0" w:color="000000"/>
            </w:tcBorders>
          </w:tcPr>
          <w:p>
            <w:pPr>
              <w:pStyle w:val="TableParagraph"/>
              <w:spacing w:before="28"/>
              <w:ind w:left="67"/>
              <w:jc w:val="left"/>
              <w:rPr>
                <w:sz w:val="14"/>
              </w:rPr>
            </w:pPr>
            <w:r>
              <w:rPr>
                <w:spacing w:val="-2"/>
                <w:sz w:val="14"/>
              </w:rPr>
              <w:t>Reclassified</w:t>
            </w:r>
          </w:p>
        </w:tc>
        <w:tc>
          <w:tcPr>
            <w:tcW w:w="678" w:type="dxa"/>
            <w:tcBorders>
              <w:top w:val="single" w:sz="4" w:space="0" w:color="000000"/>
              <w:bottom w:val="single" w:sz="4" w:space="0" w:color="000000"/>
            </w:tcBorders>
          </w:tcPr>
          <w:p>
            <w:pPr>
              <w:pStyle w:val="TableParagraph"/>
              <w:spacing w:before="28"/>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8"/>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8"/>
              <w:ind w:right="171"/>
              <w:rPr>
                <w:sz w:val="14"/>
              </w:rPr>
            </w:pPr>
            <w:r>
              <w:rPr>
                <w:w w:val="99"/>
                <w:sz w:val="14"/>
              </w:rPr>
              <w:t>-</w:t>
            </w:r>
          </w:p>
        </w:tc>
        <w:tc>
          <w:tcPr>
            <w:tcW w:w="557" w:type="dxa"/>
            <w:tcBorders>
              <w:top w:val="single" w:sz="4" w:space="0" w:color="000000"/>
              <w:bottom w:val="single" w:sz="4" w:space="0" w:color="000000"/>
            </w:tcBorders>
          </w:tcPr>
          <w:p>
            <w:pPr>
              <w:pStyle w:val="TableParagraph"/>
              <w:spacing w:before="28"/>
              <w:ind w:right="167"/>
              <w:rPr>
                <w:sz w:val="14"/>
              </w:rPr>
            </w:pPr>
            <w:r>
              <w:rPr>
                <w:w w:val="99"/>
                <w:sz w:val="14"/>
              </w:rPr>
              <w:t>-</w:t>
            </w:r>
          </w:p>
        </w:tc>
        <w:tc>
          <w:tcPr>
            <w:tcW w:w="583" w:type="dxa"/>
            <w:tcBorders>
              <w:top w:val="single" w:sz="4" w:space="0" w:color="000000"/>
              <w:bottom w:val="single" w:sz="4" w:space="0" w:color="000000"/>
            </w:tcBorders>
          </w:tcPr>
          <w:p>
            <w:pPr>
              <w:pStyle w:val="TableParagraph"/>
              <w:spacing w:before="28"/>
              <w:ind w:left="194"/>
              <w:jc w:val="center"/>
              <w:rPr>
                <w:sz w:val="14"/>
              </w:rPr>
            </w:pPr>
            <w:r>
              <w:rPr>
                <w:w w:val="99"/>
                <w:sz w:val="14"/>
              </w:rPr>
              <w:t>-</w:t>
            </w:r>
          </w:p>
        </w:tc>
        <w:tc>
          <w:tcPr>
            <w:tcW w:w="546" w:type="dxa"/>
            <w:tcBorders>
              <w:top w:val="single" w:sz="4" w:space="0" w:color="000000"/>
              <w:bottom w:val="single" w:sz="4" w:space="0" w:color="000000"/>
            </w:tcBorders>
          </w:tcPr>
          <w:p>
            <w:pPr>
              <w:pStyle w:val="TableParagraph"/>
              <w:spacing w:before="28"/>
              <w:ind w:right="129"/>
              <w:rPr>
                <w:sz w:val="14"/>
              </w:rPr>
            </w:pPr>
            <w:r>
              <w:rPr>
                <w:w w:val="99"/>
                <w:sz w:val="14"/>
              </w:rPr>
              <w:t>-</w:t>
            </w:r>
          </w:p>
        </w:tc>
        <w:tc>
          <w:tcPr>
            <w:tcW w:w="713" w:type="dxa"/>
            <w:tcBorders>
              <w:top w:val="single" w:sz="4" w:space="0" w:color="000000"/>
              <w:bottom w:val="single" w:sz="4" w:space="0" w:color="000000"/>
            </w:tcBorders>
          </w:tcPr>
          <w:p>
            <w:pPr>
              <w:pStyle w:val="TableParagraph"/>
              <w:spacing w:before="28"/>
              <w:ind w:right="246"/>
              <w:rPr>
                <w:sz w:val="14"/>
              </w:rPr>
            </w:pPr>
            <w:r>
              <w:rPr>
                <w:w w:val="99"/>
                <w:sz w:val="14"/>
              </w:rPr>
              <w:t>-</w:t>
            </w:r>
          </w:p>
        </w:tc>
        <w:tc>
          <w:tcPr>
            <w:tcW w:w="668" w:type="dxa"/>
            <w:tcBorders>
              <w:top w:val="single" w:sz="4" w:space="0" w:color="000000"/>
              <w:bottom w:val="single" w:sz="4" w:space="0" w:color="000000"/>
            </w:tcBorders>
          </w:tcPr>
          <w:p>
            <w:pPr>
              <w:pStyle w:val="TableParagraph"/>
              <w:spacing w:before="28"/>
              <w:ind w:right="175"/>
              <w:rPr>
                <w:sz w:val="14"/>
              </w:rPr>
            </w:pPr>
            <w:r>
              <w:rPr>
                <w:w w:val="99"/>
                <w:sz w:val="14"/>
              </w:rPr>
              <w:t>-</w:t>
            </w:r>
          </w:p>
        </w:tc>
        <w:tc>
          <w:tcPr>
            <w:tcW w:w="490" w:type="dxa"/>
            <w:tcBorders>
              <w:top w:val="single" w:sz="4" w:space="0" w:color="000000"/>
              <w:bottom w:val="single" w:sz="4" w:space="0" w:color="000000"/>
            </w:tcBorders>
          </w:tcPr>
          <w:p>
            <w:pPr>
              <w:pStyle w:val="TableParagraph"/>
              <w:spacing w:before="28"/>
              <w:ind w:right="69"/>
              <w:rPr>
                <w:sz w:val="14"/>
              </w:rPr>
            </w:pPr>
            <w:r>
              <w:rPr>
                <w:w w:val="99"/>
                <w:sz w:val="14"/>
              </w:rPr>
              <w:t>-</w:t>
            </w:r>
          </w:p>
        </w:tc>
        <w:tc>
          <w:tcPr>
            <w:tcW w:w="793" w:type="dxa"/>
            <w:tcBorders>
              <w:top w:val="single" w:sz="4" w:space="0" w:color="000000"/>
              <w:bottom w:val="single" w:sz="4" w:space="0" w:color="000000"/>
            </w:tcBorders>
          </w:tcPr>
          <w:p>
            <w:pPr>
              <w:pStyle w:val="TableParagraph"/>
              <w:spacing w:before="28"/>
              <w:ind w:right="127"/>
              <w:rPr>
                <w:i/>
                <w:sz w:val="14"/>
              </w:rPr>
            </w:pPr>
            <w:r>
              <w:rPr>
                <w:i/>
                <w:w w:val="99"/>
                <w:sz w:val="14"/>
              </w:rPr>
              <w:t>-</w:t>
            </w:r>
          </w:p>
        </w:tc>
        <w:tc>
          <w:tcPr>
            <w:tcW w:w="568" w:type="dxa"/>
            <w:tcBorders>
              <w:top w:val="single" w:sz="4" w:space="0" w:color="000000"/>
              <w:bottom w:val="single" w:sz="4" w:space="0" w:color="000000"/>
            </w:tcBorders>
          </w:tcPr>
          <w:p>
            <w:pPr>
              <w:pStyle w:val="TableParagraph"/>
              <w:spacing w:before="28"/>
              <w:ind w:right="100"/>
              <w:rPr>
                <w:sz w:val="14"/>
              </w:rPr>
            </w:pPr>
            <w:r>
              <w:rPr>
                <w:w w:val="99"/>
                <w:sz w:val="14"/>
              </w:rPr>
              <w:t>-</w:t>
            </w:r>
          </w:p>
        </w:tc>
        <w:tc>
          <w:tcPr>
            <w:tcW w:w="578" w:type="dxa"/>
            <w:tcBorders>
              <w:top w:val="single" w:sz="4" w:space="0" w:color="000000"/>
              <w:bottom w:val="single" w:sz="4" w:space="0" w:color="000000"/>
            </w:tcBorders>
          </w:tcPr>
          <w:p>
            <w:pPr>
              <w:pStyle w:val="TableParagraph"/>
              <w:spacing w:before="28"/>
              <w:ind w:right="87"/>
              <w:rPr>
                <w:sz w:val="14"/>
              </w:rPr>
            </w:pPr>
            <w:r>
              <w:rPr>
                <w:w w:val="99"/>
                <w:sz w:val="14"/>
              </w:rPr>
              <w:t>-</w:t>
            </w:r>
          </w:p>
        </w:tc>
        <w:tc>
          <w:tcPr>
            <w:tcW w:w="564" w:type="dxa"/>
            <w:tcBorders>
              <w:top w:val="single" w:sz="4" w:space="0" w:color="000000"/>
              <w:bottom w:val="single" w:sz="4" w:space="0" w:color="000000"/>
            </w:tcBorders>
          </w:tcPr>
          <w:p>
            <w:pPr>
              <w:pStyle w:val="TableParagraph"/>
              <w:spacing w:before="28"/>
              <w:ind w:right="61"/>
              <w:rPr>
                <w:sz w:val="14"/>
              </w:rPr>
            </w:pPr>
            <w:r>
              <w:rPr>
                <w:w w:val="99"/>
                <w:sz w:val="14"/>
              </w:rPr>
              <w:t>-</w:t>
            </w:r>
          </w:p>
        </w:tc>
        <w:tc>
          <w:tcPr>
            <w:tcW w:w="820" w:type="dxa"/>
            <w:tcBorders>
              <w:top w:val="single" w:sz="4" w:space="0" w:color="000000"/>
              <w:bottom w:val="single" w:sz="4" w:space="0" w:color="000000"/>
            </w:tcBorders>
          </w:tcPr>
          <w:p>
            <w:pPr>
              <w:pStyle w:val="TableParagraph"/>
              <w:spacing w:before="28"/>
              <w:ind w:right="141"/>
              <w:rPr>
                <w:i/>
                <w:sz w:val="14"/>
              </w:rPr>
            </w:pPr>
            <w:r>
              <w:rPr>
                <w:i/>
                <w:w w:val="99"/>
                <w:sz w:val="14"/>
              </w:rPr>
              <w:t>-</w:t>
            </w:r>
          </w:p>
        </w:tc>
        <w:tc>
          <w:tcPr>
            <w:tcW w:w="518" w:type="dxa"/>
            <w:tcBorders>
              <w:top w:val="single" w:sz="4" w:space="0" w:color="000000"/>
              <w:bottom w:val="single" w:sz="4" w:space="0" w:color="000000"/>
            </w:tcBorders>
          </w:tcPr>
          <w:p>
            <w:pPr>
              <w:pStyle w:val="TableParagraph"/>
              <w:spacing w:before="28"/>
              <w:ind w:right="59"/>
              <w:rPr>
                <w:b/>
                <w:sz w:val="14"/>
              </w:rPr>
            </w:pPr>
            <w:r>
              <w:rPr>
                <w:b/>
                <w:w w:val="99"/>
                <w:sz w:val="14"/>
              </w:rPr>
              <w:t>-</w:t>
            </w:r>
          </w:p>
        </w:tc>
      </w:tr>
      <w:tr>
        <w:trPr>
          <w:trHeight w:val="230" w:hRule="atLeast"/>
        </w:trPr>
        <w:tc>
          <w:tcPr>
            <w:tcW w:w="1186" w:type="dxa"/>
            <w:tcBorders>
              <w:top w:val="single" w:sz="4" w:space="0" w:color="000000"/>
              <w:bottom w:val="single" w:sz="4" w:space="0" w:color="000000"/>
            </w:tcBorders>
          </w:tcPr>
          <w:p>
            <w:pPr>
              <w:pStyle w:val="TableParagraph"/>
              <w:spacing w:before="28"/>
              <w:ind w:left="67"/>
              <w:jc w:val="left"/>
              <w:rPr>
                <w:sz w:val="14"/>
              </w:rPr>
            </w:pPr>
            <w:r>
              <w:rPr>
                <w:spacing w:val="-2"/>
                <w:sz w:val="14"/>
              </w:rPr>
              <w:t>Returned</w:t>
            </w:r>
          </w:p>
        </w:tc>
        <w:tc>
          <w:tcPr>
            <w:tcW w:w="678" w:type="dxa"/>
            <w:tcBorders>
              <w:top w:val="single" w:sz="4" w:space="0" w:color="000000"/>
              <w:bottom w:val="single" w:sz="4" w:space="0" w:color="000000"/>
            </w:tcBorders>
          </w:tcPr>
          <w:p>
            <w:pPr>
              <w:pStyle w:val="TableParagraph"/>
              <w:spacing w:before="28"/>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8"/>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8"/>
              <w:ind w:right="171"/>
              <w:rPr>
                <w:sz w:val="14"/>
              </w:rPr>
            </w:pPr>
            <w:r>
              <w:rPr>
                <w:w w:val="99"/>
                <w:sz w:val="14"/>
              </w:rPr>
              <w:t>-</w:t>
            </w:r>
          </w:p>
        </w:tc>
        <w:tc>
          <w:tcPr>
            <w:tcW w:w="557" w:type="dxa"/>
            <w:tcBorders>
              <w:top w:val="single" w:sz="4" w:space="0" w:color="000000"/>
              <w:bottom w:val="single" w:sz="4" w:space="0" w:color="000000"/>
            </w:tcBorders>
          </w:tcPr>
          <w:p>
            <w:pPr>
              <w:pStyle w:val="TableParagraph"/>
              <w:spacing w:before="28"/>
              <w:ind w:right="167"/>
              <w:rPr>
                <w:sz w:val="14"/>
              </w:rPr>
            </w:pPr>
            <w:r>
              <w:rPr>
                <w:w w:val="99"/>
                <w:sz w:val="14"/>
              </w:rPr>
              <w:t>-</w:t>
            </w:r>
          </w:p>
        </w:tc>
        <w:tc>
          <w:tcPr>
            <w:tcW w:w="583" w:type="dxa"/>
            <w:tcBorders>
              <w:top w:val="single" w:sz="4" w:space="0" w:color="000000"/>
              <w:bottom w:val="single" w:sz="4" w:space="0" w:color="000000"/>
            </w:tcBorders>
          </w:tcPr>
          <w:p>
            <w:pPr>
              <w:pStyle w:val="TableParagraph"/>
              <w:spacing w:before="28"/>
              <w:ind w:left="194"/>
              <w:jc w:val="center"/>
              <w:rPr>
                <w:sz w:val="14"/>
              </w:rPr>
            </w:pPr>
            <w:r>
              <w:rPr>
                <w:w w:val="99"/>
                <w:sz w:val="14"/>
              </w:rPr>
              <w:t>-</w:t>
            </w:r>
          </w:p>
        </w:tc>
        <w:tc>
          <w:tcPr>
            <w:tcW w:w="546" w:type="dxa"/>
            <w:tcBorders>
              <w:top w:val="single" w:sz="4" w:space="0" w:color="000000"/>
              <w:bottom w:val="single" w:sz="4" w:space="0" w:color="000000"/>
            </w:tcBorders>
          </w:tcPr>
          <w:p>
            <w:pPr>
              <w:pStyle w:val="TableParagraph"/>
              <w:spacing w:before="28"/>
              <w:ind w:right="129"/>
              <w:rPr>
                <w:sz w:val="14"/>
              </w:rPr>
            </w:pPr>
            <w:r>
              <w:rPr>
                <w:w w:val="99"/>
                <w:sz w:val="14"/>
              </w:rPr>
              <w:t>-</w:t>
            </w:r>
          </w:p>
        </w:tc>
        <w:tc>
          <w:tcPr>
            <w:tcW w:w="713" w:type="dxa"/>
            <w:tcBorders>
              <w:top w:val="single" w:sz="4" w:space="0" w:color="000000"/>
              <w:bottom w:val="single" w:sz="4" w:space="0" w:color="000000"/>
            </w:tcBorders>
          </w:tcPr>
          <w:p>
            <w:pPr>
              <w:pStyle w:val="TableParagraph"/>
              <w:spacing w:before="28"/>
              <w:ind w:right="246"/>
              <w:rPr>
                <w:sz w:val="14"/>
              </w:rPr>
            </w:pPr>
            <w:r>
              <w:rPr>
                <w:w w:val="99"/>
                <w:sz w:val="14"/>
              </w:rPr>
              <w:t>-</w:t>
            </w:r>
          </w:p>
        </w:tc>
        <w:tc>
          <w:tcPr>
            <w:tcW w:w="668" w:type="dxa"/>
            <w:tcBorders>
              <w:top w:val="single" w:sz="4" w:space="0" w:color="000000"/>
              <w:bottom w:val="single" w:sz="4" w:space="0" w:color="000000"/>
            </w:tcBorders>
          </w:tcPr>
          <w:p>
            <w:pPr>
              <w:pStyle w:val="TableParagraph"/>
              <w:spacing w:before="28"/>
              <w:ind w:right="175"/>
              <w:rPr>
                <w:sz w:val="14"/>
              </w:rPr>
            </w:pPr>
            <w:r>
              <w:rPr>
                <w:w w:val="99"/>
                <w:sz w:val="14"/>
              </w:rPr>
              <w:t>-</w:t>
            </w:r>
          </w:p>
        </w:tc>
        <w:tc>
          <w:tcPr>
            <w:tcW w:w="490" w:type="dxa"/>
            <w:tcBorders>
              <w:top w:val="single" w:sz="4" w:space="0" w:color="000000"/>
              <w:bottom w:val="single" w:sz="4" w:space="0" w:color="000000"/>
            </w:tcBorders>
          </w:tcPr>
          <w:p>
            <w:pPr>
              <w:pStyle w:val="TableParagraph"/>
              <w:spacing w:before="28"/>
              <w:ind w:right="69"/>
              <w:rPr>
                <w:sz w:val="14"/>
              </w:rPr>
            </w:pPr>
            <w:r>
              <w:rPr>
                <w:w w:val="99"/>
                <w:sz w:val="14"/>
              </w:rPr>
              <w:t>-</w:t>
            </w:r>
          </w:p>
        </w:tc>
        <w:tc>
          <w:tcPr>
            <w:tcW w:w="793" w:type="dxa"/>
            <w:tcBorders>
              <w:top w:val="single" w:sz="4" w:space="0" w:color="000000"/>
              <w:bottom w:val="single" w:sz="4" w:space="0" w:color="000000"/>
            </w:tcBorders>
          </w:tcPr>
          <w:p>
            <w:pPr>
              <w:pStyle w:val="TableParagraph"/>
              <w:spacing w:before="28"/>
              <w:ind w:right="127"/>
              <w:rPr>
                <w:i/>
                <w:sz w:val="14"/>
              </w:rPr>
            </w:pPr>
            <w:r>
              <w:rPr>
                <w:i/>
                <w:w w:val="99"/>
                <w:sz w:val="14"/>
              </w:rPr>
              <w:t>-</w:t>
            </w:r>
          </w:p>
        </w:tc>
        <w:tc>
          <w:tcPr>
            <w:tcW w:w="568" w:type="dxa"/>
            <w:tcBorders>
              <w:top w:val="single" w:sz="4" w:space="0" w:color="000000"/>
              <w:bottom w:val="single" w:sz="4" w:space="0" w:color="000000"/>
            </w:tcBorders>
          </w:tcPr>
          <w:p>
            <w:pPr>
              <w:pStyle w:val="TableParagraph"/>
              <w:spacing w:before="28"/>
              <w:ind w:right="100"/>
              <w:rPr>
                <w:sz w:val="14"/>
              </w:rPr>
            </w:pPr>
            <w:r>
              <w:rPr>
                <w:w w:val="99"/>
                <w:sz w:val="14"/>
              </w:rPr>
              <w:t>-</w:t>
            </w:r>
          </w:p>
        </w:tc>
        <w:tc>
          <w:tcPr>
            <w:tcW w:w="578" w:type="dxa"/>
            <w:tcBorders>
              <w:top w:val="single" w:sz="4" w:space="0" w:color="000000"/>
              <w:bottom w:val="single" w:sz="4" w:space="0" w:color="000000"/>
            </w:tcBorders>
          </w:tcPr>
          <w:p>
            <w:pPr>
              <w:pStyle w:val="TableParagraph"/>
              <w:spacing w:before="28"/>
              <w:ind w:right="87"/>
              <w:rPr>
                <w:sz w:val="14"/>
              </w:rPr>
            </w:pPr>
            <w:r>
              <w:rPr>
                <w:w w:val="99"/>
                <w:sz w:val="14"/>
              </w:rPr>
              <w:t>-</w:t>
            </w:r>
          </w:p>
        </w:tc>
        <w:tc>
          <w:tcPr>
            <w:tcW w:w="564" w:type="dxa"/>
            <w:tcBorders>
              <w:top w:val="single" w:sz="4" w:space="0" w:color="000000"/>
              <w:bottom w:val="single" w:sz="4" w:space="0" w:color="000000"/>
            </w:tcBorders>
          </w:tcPr>
          <w:p>
            <w:pPr>
              <w:pStyle w:val="TableParagraph"/>
              <w:spacing w:before="28"/>
              <w:ind w:right="61"/>
              <w:rPr>
                <w:sz w:val="14"/>
              </w:rPr>
            </w:pPr>
            <w:r>
              <w:rPr>
                <w:w w:val="99"/>
                <w:sz w:val="14"/>
              </w:rPr>
              <w:t>-</w:t>
            </w:r>
          </w:p>
        </w:tc>
        <w:tc>
          <w:tcPr>
            <w:tcW w:w="820" w:type="dxa"/>
            <w:tcBorders>
              <w:top w:val="single" w:sz="4" w:space="0" w:color="000000"/>
              <w:bottom w:val="single" w:sz="4" w:space="0" w:color="000000"/>
            </w:tcBorders>
          </w:tcPr>
          <w:p>
            <w:pPr>
              <w:pStyle w:val="TableParagraph"/>
              <w:spacing w:before="28"/>
              <w:ind w:right="141"/>
              <w:rPr>
                <w:i/>
                <w:sz w:val="14"/>
              </w:rPr>
            </w:pPr>
            <w:r>
              <w:rPr>
                <w:i/>
                <w:w w:val="99"/>
                <w:sz w:val="14"/>
              </w:rPr>
              <w:t>-</w:t>
            </w:r>
          </w:p>
        </w:tc>
        <w:tc>
          <w:tcPr>
            <w:tcW w:w="518" w:type="dxa"/>
            <w:tcBorders>
              <w:top w:val="single" w:sz="4" w:space="0" w:color="000000"/>
              <w:bottom w:val="single" w:sz="4" w:space="0" w:color="000000"/>
            </w:tcBorders>
          </w:tcPr>
          <w:p>
            <w:pPr>
              <w:pStyle w:val="TableParagraph"/>
              <w:spacing w:before="28"/>
              <w:ind w:right="59"/>
              <w:rPr>
                <w:b/>
                <w:sz w:val="14"/>
              </w:rPr>
            </w:pPr>
            <w:r>
              <w:rPr>
                <w:b/>
                <w:w w:val="99"/>
                <w:sz w:val="14"/>
              </w:rPr>
              <w:t>-</w:t>
            </w:r>
          </w:p>
        </w:tc>
      </w:tr>
      <w:tr>
        <w:trPr>
          <w:trHeight w:val="224" w:hRule="atLeast"/>
        </w:trPr>
        <w:tc>
          <w:tcPr>
            <w:tcW w:w="1186" w:type="dxa"/>
            <w:tcBorders>
              <w:top w:val="single" w:sz="4" w:space="0" w:color="000000"/>
              <w:bottom w:val="single" w:sz="12" w:space="0" w:color="000000"/>
            </w:tcBorders>
          </w:tcPr>
          <w:p>
            <w:pPr>
              <w:pStyle w:val="TableParagraph"/>
              <w:spacing w:before="23"/>
              <w:ind w:left="67"/>
              <w:jc w:val="left"/>
              <w:rPr>
                <w:b/>
                <w:sz w:val="14"/>
              </w:rPr>
            </w:pPr>
            <w:r>
              <w:rPr>
                <w:b/>
                <w:sz w:val="14"/>
              </w:rPr>
              <w:t>Proposed</w:t>
            </w:r>
            <w:r>
              <w:rPr>
                <w:b/>
                <w:spacing w:val="-6"/>
                <w:sz w:val="14"/>
              </w:rPr>
              <w:t> </w:t>
            </w:r>
            <w:r>
              <w:rPr>
                <w:b/>
                <w:spacing w:val="-4"/>
                <w:sz w:val="14"/>
              </w:rPr>
              <w:t>2023</w:t>
            </w:r>
          </w:p>
        </w:tc>
        <w:tc>
          <w:tcPr>
            <w:tcW w:w="678" w:type="dxa"/>
            <w:tcBorders>
              <w:top w:val="single" w:sz="4" w:space="0" w:color="000000"/>
              <w:bottom w:val="single" w:sz="12" w:space="0" w:color="000000"/>
            </w:tcBorders>
          </w:tcPr>
          <w:p>
            <w:pPr>
              <w:pStyle w:val="TableParagraph"/>
              <w:spacing w:before="23"/>
              <w:ind w:right="154"/>
              <w:rPr>
                <w:b/>
                <w:sz w:val="14"/>
              </w:rPr>
            </w:pPr>
            <w:r>
              <w:rPr>
                <w:b/>
                <w:w w:val="99"/>
                <w:sz w:val="14"/>
              </w:rPr>
              <w:t>-</w:t>
            </w:r>
          </w:p>
        </w:tc>
        <w:tc>
          <w:tcPr>
            <w:tcW w:w="607" w:type="dxa"/>
            <w:tcBorders>
              <w:top w:val="single" w:sz="4" w:space="0" w:color="000000"/>
              <w:bottom w:val="single" w:sz="12" w:space="0" w:color="000000"/>
            </w:tcBorders>
          </w:tcPr>
          <w:p>
            <w:pPr>
              <w:pStyle w:val="TableParagraph"/>
              <w:spacing w:before="23"/>
              <w:ind w:right="171"/>
              <w:rPr>
                <w:b/>
                <w:sz w:val="14"/>
              </w:rPr>
            </w:pPr>
            <w:r>
              <w:rPr>
                <w:b/>
                <w:w w:val="99"/>
                <w:sz w:val="14"/>
              </w:rPr>
              <w:t>1</w:t>
            </w:r>
          </w:p>
        </w:tc>
        <w:tc>
          <w:tcPr>
            <w:tcW w:w="563" w:type="dxa"/>
            <w:tcBorders>
              <w:top w:val="single" w:sz="4" w:space="0" w:color="000000"/>
              <w:bottom w:val="single" w:sz="12" w:space="0" w:color="000000"/>
            </w:tcBorders>
          </w:tcPr>
          <w:p>
            <w:pPr>
              <w:pStyle w:val="TableParagraph"/>
              <w:spacing w:before="23"/>
              <w:ind w:right="171"/>
              <w:rPr>
                <w:b/>
                <w:sz w:val="14"/>
              </w:rPr>
            </w:pPr>
            <w:r>
              <w:rPr>
                <w:b/>
                <w:w w:val="99"/>
                <w:sz w:val="14"/>
              </w:rPr>
              <w:t>-</w:t>
            </w:r>
          </w:p>
        </w:tc>
        <w:tc>
          <w:tcPr>
            <w:tcW w:w="557" w:type="dxa"/>
            <w:tcBorders>
              <w:top w:val="single" w:sz="4" w:space="0" w:color="000000"/>
              <w:bottom w:val="single" w:sz="12" w:space="0" w:color="000000"/>
            </w:tcBorders>
          </w:tcPr>
          <w:p>
            <w:pPr>
              <w:pStyle w:val="TableParagraph"/>
              <w:spacing w:before="23"/>
              <w:ind w:right="168"/>
              <w:rPr>
                <w:b/>
                <w:sz w:val="14"/>
              </w:rPr>
            </w:pPr>
            <w:r>
              <w:rPr>
                <w:b/>
                <w:w w:val="99"/>
                <w:sz w:val="14"/>
              </w:rPr>
              <w:t>1</w:t>
            </w:r>
          </w:p>
        </w:tc>
        <w:tc>
          <w:tcPr>
            <w:tcW w:w="583" w:type="dxa"/>
            <w:tcBorders>
              <w:top w:val="single" w:sz="4" w:space="0" w:color="000000"/>
              <w:bottom w:val="single" w:sz="12" w:space="0" w:color="000000"/>
            </w:tcBorders>
          </w:tcPr>
          <w:p>
            <w:pPr>
              <w:pStyle w:val="TableParagraph"/>
              <w:spacing w:before="23"/>
              <w:ind w:left="170"/>
              <w:jc w:val="center"/>
              <w:rPr>
                <w:b/>
                <w:sz w:val="14"/>
              </w:rPr>
            </w:pPr>
            <w:r>
              <w:rPr>
                <w:b/>
                <w:w w:val="99"/>
                <w:sz w:val="14"/>
              </w:rPr>
              <w:t>5</w:t>
            </w:r>
          </w:p>
        </w:tc>
        <w:tc>
          <w:tcPr>
            <w:tcW w:w="546" w:type="dxa"/>
            <w:tcBorders>
              <w:top w:val="single" w:sz="4" w:space="0" w:color="000000"/>
              <w:bottom w:val="single" w:sz="12" w:space="0" w:color="000000"/>
            </w:tcBorders>
          </w:tcPr>
          <w:p>
            <w:pPr>
              <w:pStyle w:val="TableParagraph"/>
              <w:spacing w:before="23"/>
              <w:ind w:right="122"/>
              <w:rPr>
                <w:b/>
                <w:sz w:val="14"/>
              </w:rPr>
            </w:pPr>
            <w:r>
              <w:rPr>
                <w:b/>
                <w:spacing w:val="-5"/>
                <w:sz w:val="14"/>
              </w:rPr>
              <w:t>14</w:t>
            </w:r>
          </w:p>
        </w:tc>
        <w:tc>
          <w:tcPr>
            <w:tcW w:w="713" w:type="dxa"/>
            <w:tcBorders>
              <w:top w:val="single" w:sz="4" w:space="0" w:color="000000"/>
              <w:bottom w:val="single" w:sz="12" w:space="0" w:color="000000"/>
            </w:tcBorders>
          </w:tcPr>
          <w:p>
            <w:pPr>
              <w:pStyle w:val="TableParagraph"/>
              <w:spacing w:before="23"/>
              <w:ind w:right="240"/>
              <w:rPr>
                <w:b/>
                <w:sz w:val="14"/>
              </w:rPr>
            </w:pPr>
            <w:r>
              <w:rPr>
                <w:b/>
                <w:spacing w:val="-5"/>
                <w:sz w:val="14"/>
              </w:rPr>
              <w:t>33</w:t>
            </w:r>
          </w:p>
        </w:tc>
        <w:tc>
          <w:tcPr>
            <w:tcW w:w="668" w:type="dxa"/>
            <w:tcBorders>
              <w:top w:val="single" w:sz="4" w:space="0" w:color="000000"/>
              <w:bottom w:val="single" w:sz="12" w:space="0" w:color="000000"/>
            </w:tcBorders>
          </w:tcPr>
          <w:p>
            <w:pPr>
              <w:pStyle w:val="TableParagraph"/>
              <w:spacing w:before="23"/>
              <w:ind w:right="168"/>
              <w:rPr>
                <w:b/>
                <w:sz w:val="14"/>
              </w:rPr>
            </w:pPr>
            <w:r>
              <w:rPr>
                <w:b/>
                <w:spacing w:val="-5"/>
                <w:sz w:val="14"/>
              </w:rPr>
              <w:t>30</w:t>
            </w:r>
          </w:p>
        </w:tc>
        <w:tc>
          <w:tcPr>
            <w:tcW w:w="490" w:type="dxa"/>
            <w:tcBorders>
              <w:top w:val="single" w:sz="4" w:space="0" w:color="000000"/>
              <w:bottom w:val="single" w:sz="12" w:space="0" w:color="000000"/>
            </w:tcBorders>
          </w:tcPr>
          <w:p>
            <w:pPr>
              <w:pStyle w:val="TableParagraph"/>
              <w:spacing w:before="23"/>
              <w:ind w:right="63"/>
              <w:rPr>
                <w:b/>
                <w:sz w:val="14"/>
              </w:rPr>
            </w:pPr>
            <w:r>
              <w:rPr>
                <w:b/>
                <w:spacing w:val="-5"/>
                <w:sz w:val="14"/>
              </w:rPr>
              <w:t>10</w:t>
            </w:r>
          </w:p>
        </w:tc>
        <w:tc>
          <w:tcPr>
            <w:tcW w:w="793" w:type="dxa"/>
            <w:tcBorders>
              <w:top w:val="single" w:sz="4" w:space="0" w:color="000000"/>
              <w:bottom w:val="single" w:sz="12" w:space="0" w:color="000000"/>
            </w:tcBorders>
          </w:tcPr>
          <w:p>
            <w:pPr>
              <w:pStyle w:val="TableParagraph"/>
              <w:spacing w:before="23"/>
              <w:ind w:right="121"/>
              <w:rPr>
                <w:b/>
                <w:i/>
                <w:sz w:val="14"/>
              </w:rPr>
            </w:pPr>
            <w:r>
              <w:rPr>
                <w:b/>
                <w:i/>
                <w:spacing w:val="-5"/>
                <w:sz w:val="14"/>
              </w:rPr>
              <w:t>94</w:t>
            </w:r>
          </w:p>
        </w:tc>
        <w:tc>
          <w:tcPr>
            <w:tcW w:w="568" w:type="dxa"/>
            <w:tcBorders>
              <w:top w:val="single" w:sz="4" w:space="0" w:color="000000"/>
              <w:bottom w:val="single" w:sz="12" w:space="0" w:color="000000"/>
            </w:tcBorders>
          </w:tcPr>
          <w:p>
            <w:pPr>
              <w:pStyle w:val="TableParagraph"/>
              <w:spacing w:before="23"/>
              <w:ind w:right="100"/>
              <w:rPr>
                <w:b/>
                <w:sz w:val="14"/>
              </w:rPr>
            </w:pPr>
            <w:r>
              <w:rPr>
                <w:b/>
                <w:w w:val="99"/>
                <w:sz w:val="14"/>
              </w:rPr>
              <w:t>-</w:t>
            </w:r>
          </w:p>
        </w:tc>
        <w:tc>
          <w:tcPr>
            <w:tcW w:w="578" w:type="dxa"/>
            <w:tcBorders>
              <w:top w:val="single" w:sz="4" w:space="0" w:color="000000"/>
              <w:bottom w:val="single" w:sz="12" w:space="0" w:color="000000"/>
            </w:tcBorders>
          </w:tcPr>
          <w:p>
            <w:pPr>
              <w:pStyle w:val="TableParagraph"/>
              <w:spacing w:before="23"/>
              <w:ind w:right="87"/>
              <w:rPr>
                <w:b/>
                <w:sz w:val="14"/>
              </w:rPr>
            </w:pPr>
            <w:r>
              <w:rPr>
                <w:b/>
                <w:w w:val="99"/>
                <w:sz w:val="14"/>
              </w:rPr>
              <w:t>-</w:t>
            </w:r>
          </w:p>
        </w:tc>
        <w:tc>
          <w:tcPr>
            <w:tcW w:w="564" w:type="dxa"/>
            <w:tcBorders>
              <w:top w:val="single" w:sz="4" w:space="0" w:color="000000"/>
              <w:bottom w:val="single" w:sz="12" w:space="0" w:color="000000"/>
            </w:tcBorders>
          </w:tcPr>
          <w:p>
            <w:pPr>
              <w:pStyle w:val="TableParagraph"/>
              <w:spacing w:before="23"/>
              <w:ind w:right="62"/>
              <w:rPr>
                <w:b/>
                <w:sz w:val="14"/>
              </w:rPr>
            </w:pPr>
            <w:r>
              <w:rPr>
                <w:b/>
                <w:w w:val="99"/>
                <w:sz w:val="14"/>
              </w:rPr>
              <w:t>5</w:t>
            </w:r>
          </w:p>
        </w:tc>
        <w:tc>
          <w:tcPr>
            <w:tcW w:w="820" w:type="dxa"/>
            <w:tcBorders>
              <w:top w:val="single" w:sz="4" w:space="0" w:color="000000"/>
              <w:bottom w:val="single" w:sz="12" w:space="0" w:color="000000"/>
            </w:tcBorders>
          </w:tcPr>
          <w:p>
            <w:pPr>
              <w:pStyle w:val="TableParagraph"/>
              <w:spacing w:before="23"/>
              <w:ind w:right="142"/>
              <w:rPr>
                <w:b/>
                <w:i/>
                <w:sz w:val="14"/>
              </w:rPr>
            </w:pPr>
            <w:r>
              <w:rPr>
                <w:b/>
                <w:i/>
                <w:w w:val="99"/>
                <w:sz w:val="14"/>
              </w:rPr>
              <w:t>5</w:t>
            </w:r>
          </w:p>
        </w:tc>
        <w:tc>
          <w:tcPr>
            <w:tcW w:w="518" w:type="dxa"/>
            <w:tcBorders>
              <w:top w:val="single" w:sz="4" w:space="0" w:color="000000"/>
              <w:bottom w:val="single" w:sz="12" w:space="0" w:color="000000"/>
            </w:tcBorders>
          </w:tcPr>
          <w:p>
            <w:pPr>
              <w:pStyle w:val="TableParagraph"/>
              <w:spacing w:before="23"/>
              <w:ind w:right="53"/>
              <w:rPr>
                <w:b/>
                <w:sz w:val="14"/>
              </w:rPr>
            </w:pPr>
            <w:r>
              <w:rPr>
                <w:b/>
                <w:spacing w:val="-5"/>
                <w:sz w:val="14"/>
              </w:rPr>
              <w:t>99</w:t>
            </w:r>
          </w:p>
        </w:tc>
      </w:tr>
      <w:tr>
        <w:trPr>
          <w:trHeight w:val="571" w:hRule="atLeast"/>
        </w:trPr>
        <w:tc>
          <w:tcPr>
            <w:tcW w:w="1186" w:type="dxa"/>
            <w:tcBorders>
              <w:top w:val="single" w:sz="12" w:space="0" w:color="000000"/>
            </w:tcBorders>
          </w:tcPr>
          <w:p>
            <w:pPr>
              <w:pStyle w:val="TableParagraph"/>
              <w:spacing w:before="1"/>
              <w:jc w:val="left"/>
              <w:rPr>
                <w:b/>
                <w:sz w:val="19"/>
              </w:rPr>
            </w:pPr>
          </w:p>
          <w:p>
            <w:pPr>
              <w:pStyle w:val="TableParagraph"/>
              <w:spacing w:line="242" w:lineRule="auto"/>
              <w:ind w:left="67" w:right="232"/>
              <w:jc w:val="left"/>
              <w:rPr>
                <w:b/>
                <w:sz w:val="14"/>
              </w:rPr>
            </w:pPr>
            <w:r>
              <w:rPr>
                <w:b/>
                <w:sz w:val="14"/>
              </w:rPr>
              <w:t>GTA</w:t>
            </w:r>
            <w:r>
              <w:rPr>
                <w:b/>
                <w:spacing w:val="-9"/>
                <w:sz w:val="14"/>
              </w:rPr>
              <w:t> </w:t>
            </w:r>
            <w:r>
              <w:rPr>
                <w:b/>
                <w:sz w:val="14"/>
              </w:rPr>
              <w:t>Positions</w:t>
            </w:r>
            <w:r>
              <w:rPr>
                <w:b/>
                <w:spacing w:val="40"/>
                <w:sz w:val="14"/>
              </w:rPr>
              <w:t> </w:t>
            </w:r>
            <w:r>
              <w:rPr>
                <w:b/>
                <w:spacing w:val="-2"/>
                <w:sz w:val="14"/>
              </w:rPr>
              <w:t>(FTE)</w:t>
            </w:r>
          </w:p>
        </w:tc>
        <w:tc>
          <w:tcPr>
            <w:tcW w:w="678" w:type="dxa"/>
            <w:tcBorders>
              <w:top w:val="single" w:sz="12" w:space="0" w:color="000000"/>
            </w:tcBorders>
          </w:tcPr>
          <w:p>
            <w:pPr>
              <w:pStyle w:val="TableParagraph"/>
              <w:jc w:val="left"/>
              <w:rPr>
                <w:sz w:val="14"/>
              </w:rPr>
            </w:pPr>
          </w:p>
        </w:tc>
        <w:tc>
          <w:tcPr>
            <w:tcW w:w="607" w:type="dxa"/>
            <w:tcBorders>
              <w:top w:val="single" w:sz="12" w:space="0" w:color="000000"/>
            </w:tcBorders>
          </w:tcPr>
          <w:p>
            <w:pPr>
              <w:pStyle w:val="TableParagraph"/>
              <w:jc w:val="left"/>
              <w:rPr>
                <w:sz w:val="14"/>
              </w:rPr>
            </w:pPr>
          </w:p>
        </w:tc>
        <w:tc>
          <w:tcPr>
            <w:tcW w:w="563" w:type="dxa"/>
            <w:tcBorders>
              <w:top w:val="single" w:sz="12" w:space="0" w:color="000000"/>
            </w:tcBorders>
          </w:tcPr>
          <w:p>
            <w:pPr>
              <w:pStyle w:val="TableParagraph"/>
              <w:jc w:val="left"/>
              <w:rPr>
                <w:sz w:val="14"/>
              </w:rPr>
            </w:pPr>
          </w:p>
        </w:tc>
        <w:tc>
          <w:tcPr>
            <w:tcW w:w="557" w:type="dxa"/>
            <w:tcBorders>
              <w:top w:val="single" w:sz="12" w:space="0" w:color="000000"/>
            </w:tcBorders>
          </w:tcPr>
          <w:p>
            <w:pPr>
              <w:pStyle w:val="TableParagraph"/>
              <w:jc w:val="left"/>
              <w:rPr>
                <w:sz w:val="14"/>
              </w:rPr>
            </w:pPr>
          </w:p>
        </w:tc>
        <w:tc>
          <w:tcPr>
            <w:tcW w:w="583" w:type="dxa"/>
            <w:tcBorders>
              <w:top w:val="single" w:sz="12" w:space="0" w:color="000000"/>
            </w:tcBorders>
          </w:tcPr>
          <w:p>
            <w:pPr>
              <w:pStyle w:val="TableParagraph"/>
              <w:jc w:val="left"/>
              <w:rPr>
                <w:sz w:val="14"/>
              </w:rPr>
            </w:pPr>
          </w:p>
        </w:tc>
        <w:tc>
          <w:tcPr>
            <w:tcW w:w="546" w:type="dxa"/>
            <w:tcBorders>
              <w:top w:val="single" w:sz="12" w:space="0" w:color="000000"/>
            </w:tcBorders>
          </w:tcPr>
          <w:p>
            <w:pPr>
              <w:pStyle w:val="TableParagraph"/>
              <w:jc w:val="left"/>
              <w:rPr>
                <w:sz w:val="14"/>
              </w:rPr>
            </w:pPr>
          </w:p>
        </w:tc>
        <w:tc>
          <w:tcPr>
            <w:tcW w:w="713" w:type="dxa"/>
            <w:tcBorders>
              <w:top w:val="single" w:sz="12" w:space="0" w:color="000000"/>
            </w:tcBorders>
          </w:tcPr>
          <w:p>
            <w:pPr>
              <w:pStyle w:val="TableParagraph"/>
              <w:jc w:val="left"/>
              <w:rPr>
                <w:sz w:val="14"/>
              </w:rPr>
            </w:pPr>
          </w:p>
        </w:tc>
        <w:tc>
          <w:tcPr>
            <w:tcW w:w="668" w:type="dxa"/>
            <w:tcBorders>
              <w:top w:val="single" w:sz="12" w:space="0" w:color="000000"/>
            </w:tcBorders>
          </w:tcPr>
          <w:p>
            <w:pPr>
              <w:pStyle w:val="TableParagraph"/>
              <w:jc w:val="left"/>
              <w:rPr>
                <w:sz w:val="14"/>
              </w:rPr>
            </w:pPr>
          </w:p>
        </w:tc>
        <w:tc>
          <w:tcPr>
            <w:tcW w:w="490" w:type="dxa"/>
            <w:tcBorders>
              <w:top w:val="single" w:sz="12" w:space="0" w:color="000000"/>
            </w:tcBorders>
          </w:tcPr>
          <w:p>
            <w:pPr>
              <w:pStyle w:val="TableParagraph"/>
              <w:jc w:val="left"/>
              <w:rPr>
                <w:sz w:val="14"/>
              </w:rPr>
            </w:pPr>
          </w:p>
        </w:tc>
        <w:tc>
          <w:tcPr>
            <w:tcW w:w="793" w:type="dxa"/>
            <w:tcBorders>
              <w:top w:val="single" w:sz="12" w:space="0" w:color="000000"/>
            </w:tcBorders>
          </w:tcPr>
          <w:p>
            <w:pPr>
              <w:pStyle w:val="TableParagraph"/>
              <w:jc w:val="left"/>
              <w:rPr>
                <w:sz w:val="14"/>
              </w:rPr>
            </w:pPr>
          </w:p>
        </w:tc>
        <w:tc>
          <w:tcPr>
            <w:tcW w:w="568" w:type="dxa"/>
            <w:tcBorders>
              <w:top w:val="single" w:sz="12" w:space="0" w:color="000000"/>
            </w:tcBorders>
          </w:tcPr>
          <w:p>
            <w:pPr>
              <w:pStyle w:val="TableParagraph"/>
              <w:jc w:val="left"/>
              <w:rPr>
                <w:sz w:val="14"/>
              </w:rPr>
            </w:pPr>
          </w:p>
        </w:tc>
        <w:tc>
          <w:tcPr>
            <w:tcW w:w="578" w:type="dxa"/>
            <w:tcBorders>
              <w:top w:val="single" w:sz="12" w:space="0" w:color="000000"/>
            </w:tcBorders>
          </w:tcPr>
          <w:p>
            <w:pPr>
              <w:pStyle w:val="TableParagraph"/>
              <w:jc w:val="left"/>
              <w:rPr>
                <w:sz w:val="14"/>
              </w:rPr>
            </w:pPr>
          </w:p>
        </w:tc>
        <w:tc>
          <w:tcPr>
            <w:tcW w:w="564" w:type="dxa"/>
            <w:tcBorders>
              <w:top w:val="single" w:sz="12" w:space="0" w:color="000000"/>
            </w:tcBorders>
          </w:tcPr>
          <w:p>
            <w:pPr>
              <w:pStyle w:val="TableParagraph"/>
              <w:jc w:val="left"/>
              <w:rPr>
                <w:sz w:val="14"/>
              </w:rPr>
            </w:pPr>
          </w:p>
        </w:tc>
        <w:tc>
          <w:tcPr>
            <w:tcW w:w="820" w:type="dxa"/>
            <w:tcBorders>
              <w:top w:val="single" w:sz="12" w:space="0" w:color="000000"/>
            </w:tcBorders>
          </w:tcPr>
          <w:p>
            <w:pPr>
              <w:pStyle w:val="TableParagraph"/>
              <w:jc w:val="left"/>
              <w:rPr>
                <w:sz w:val="14"/>
              </w:rPr>
            </w:pPr>
          </w:p>
        </w:tc>
        <w:tc>
          <w:tcPr>
            <w:tcW w:w="518" w:type="dxa"/>
            <w:tcBorders>
              <w:top w:val="single" w:sz="12" w:space="0" w:color="000000"/>
            </w:tcBorders>
          </w:tcPr>
          <w:p>
            <w:pPr>
              <w:pStyle w:val="TableParagraph"/>
              <w:jc w:val="left"/>
              <w:rPr>
                <w:sz w:val="14"/>
              </w:rPr>
            </w:pPr>
          </w:p>
        </w:tc>
      </w:tr>
      <w:tr>
        <w:trPr>
          <w:trHeight w:val="204" w:hRule="atLeast"/>
        </w:trPr>
        <w:tc>
          <w:tcPr>
            <w:tcW w:w="1186" w:type="dxa"/>
            <w:tcBorders>
              <w:bottom w:val="single" w:sz="12" w:space="0" w:color="000000"/>
            </w:tcBorders>
          </w:tcPr>
          <w:p>
            <w:pPr>
              <w:pStyle w:val="TableParagraph"/>
              <w:spacing w:before="3"/>
              <w:ind w:left="67"/>
              <w:jc w:val="left"/>
              <w:rPr>
                <w:sz w:val="14"/>
              </w:rPr>
            </w:pPr>
            <w:r>
              <w:rPr>
                <w:w w:val="95"/>
                <w:sz w:val="14"/>
              </w:rPr>
              <w:t>Approved</w:t>
            </w:r>
            <w:r>
              <w:rPr>
                <w:spacing w:val="22"/>
                <w:sz w:val="14"/>
              </w:rPr>
              <w:t> </w:t>
            </w:r>
            <w:r>
              <w:rPr>
                <w:spacing w:val="-4"/>
                <w:sz w:val="14"/>
              </w:rPr>
              <w:t>2022</w:t>
            </w:r>
          </w:p>
        </w:tc>
        <w:tc>
          <w:tcPr>
            <w:tcW w:w="678" w:type="dxa"/>
            <w:tcBorders>
              <w:bottom w:val="single" w:sz="12" w:space="0" w:color="000000"/>
            </w:tcBorders>
          </w:tcPr>
          <w:p>
            <w:pPr>
              <w:pStyle w:val="TableParagraph"/>
              <w:spacing w:before="3"/>
              <w:ind w:right="154"/>
              <w:rPr>
                <w:sz w:val="14"/>
              </w:rPr>
            </w:pPr>
            <w:r>
              <w:rPr>
                <w:w w:val="99"/>
                <w:sz w:val="14"/>
              </w:rPr>
              <w:t>-</w:t>
            </w:r>
          </w:p>
        </w:tc>
        <w:tc>
          <w:tcPr>
            <w:tcW w:w="607" w:type="dxa"/>
            <w:tcBorders>
              <w:bottom w:val="single" w:sz="12" w:space="0" w:color="000000"/>
            </w:tcBorders>
          </w:tcPr>
          <w:p>
            <w:pPr>
              <w:pStyle w:val="TableParagraph"/>
              <w:spacing w:before="3"/>
              <w:ind w:right="170"/>
              <w:rPr>
                <w:sz w:val="14"/>
              </w:rPr>
            </w:pPr>
            <w:r>
              <w:rPr>
                <w:w w:val="99"/>
                <w:sz w:val="14"/>
              </w:rPr>
              <w:t>-</w:t>
            </w:r>
          </w:p>
        </w:tc>
        <w:tc>
          <w:tcPr>
            <w:tcW w:w="563" w:type="dxa"/>
            <w:tcBorders>
              <w:bottom w:val="single" w:sz="12" w:space="0" w:color="000000"/>
            </w:tcBorders>
          </w:tcPr>
          <w:p>
            <w:pPr>
              <w:pStyle w:val="TableParagraph"/>
              <w:spacing w:before="3"/>
              <w:ind w:right="171"/>
              <w:rPr>
                <w:sz w:val="14"/>
              </w:rPr>
            </w:pPr>
            <w:r>
              <w:rPr>
                <w:w w:val="99"/>
                <w:sz w:val="14"/>
              </w:rPr>
              <w:t>-</w:t>
            </w:r>
          </w:p>
        </w:tc>
        <w:tc>
          <w:tcPr>
            <w:tcW w:w="557" w:type="dxa"/>
            <w:tcBorders>
              <w:bottom w:val="single" w:sz="12" w:space="0" w:color="000000"/>
            </w:tcBorders>
          </w:tcPr>
          <w:p>
            <w:pPr>
              <w:pStyle w:val="TableParagraph"/>
              <w:spacing w:before="3"/>
              <w:ind w:right="167"/>
              <w:rPr>
                <w:sz w:val="14"/>
              </w:rPr>
            </w:pPr>
            <w:r>
              <w:rPr>
                <w:w w:val="99"/>
                <w:sz w:val="14"/>
              </w:rPr>
              <w:t>-</w:t>
            </w:r>
          </w:p>
        </w:tc>
        <w:tc>
          <w:tcPr>
            <w:tcW w:w="583" w:type="dxa"/>
            <w:tcBorders>
              <w:bottom w:val="single" w:sz="12" w:space="0" w:color="000000"/>
            </w:tcBorders>
          </w:tcPr>
          <w:p>
            <w:pPr>
              <w:pStyle w:val="TableParagraph"/>
              <w:spacing w:before="3"/>
              <w:ind w:left="157" w:right="156"/>
              <w:jc w:val="center"/>
              <w:rPr>
                <w:sz w:val="14"/>
              </w:rPr>
            </w:pPr>
            <w:r>
              <w:rPr>
                <w:spacing w:val="-4"/>
                <w:sz w:val="14"/>
              </w:rPr>
              <w:t>1.00</w:t>
            </w:r>
          </w:p>
        </w:tc>
        <w:tc>
          <w:tcPr>
            <w:tcW w:w="546" w:type="dxa"/>
            <w:tcBorders>
              <w:bottom w:val="single" w:sz="12" w:space="0" w:color="000000"/>
            </w:tcBorders>
          </w:tcPr>
          <w:p>
            <w:pPr>
              <w:pStyle w:val="TableParagraph"/>
              <w:spacing w:before="3"/>
              <w:ind w:right="125"/>
              <w:rPr>
                <w:sz w:val="14"/>
              </w:rPr>
            </w:pPr>
            <w:r>
              <w:rPr>
                <w:spacing w:val="-4"/>
                <w:sz w:val="14"/>
              </w:rPr>
              <w:t>3.00</w:t>
            </w:r>
          </w:p>
        </w:tc>
        <w:tc>
          <w:tcPr>
            <w:tcW w:w="713" w:type="dxa"/>
            <w:tcBorders>
              <w:bottom w:val="single" w:sz="12" w:space="0" w:color="000000"/>
            </w:tcBorders>
          </w:tcPr>
          <w:p>
            <w:pPr>
              <w:pStyle w:val="TableParagraph"/>
              <w:spacing w:before="3"/>
              <w:ind w:right="243"/>
              <w:rPr>
                <w:sz w:val="14"/>
              </w:rPr>
            </w:pPr>
            <w:r>
              <w:rPr>
                <w:spacing w:val="-2"/>
                <w:sz w:val="14"/>
              </w:rPr>
              <w:t>11.00</w:t>
            </w:r>
          </w:p>
        </w:tc>
        <w:tc>
          <w:tcPr>
            <w:tcW w:w="668" w:type="dxa"/>
            <w:tcBorders>
              <w:bottom w:val="single" w:sz="12" w:space="0" w:color="000000"/>
            </w:tcBorders>
          </w:tcPr>
          <w:p>
            <w:pPr>
              <w:pStyle w:val="TableParagraph"/>
              <w:spacing w:before="3"/>
              <w:ind w:right="171"/>
              <w:rPr>
                <w:sz w:val="14"/>
              </w:rPr>
            </w:pPr>
            <w:r>
              <w:rPr>
                <w:spacing w:val="-4"/>
                <w:sz w:val="14"/>
              </w:rPr>
              <w:t>1.00</w:t>
            </w:r>
          </w:p>
        </w:tc>
        <w:tc>
          <w:tcPr>
            <w:tcW w:w="490" w:type="dxa"/>
            <w:tcBorders>
              <w:bottom w:val="single" w:sz="12" w:space="0" w:color="000000"/>
            </w:tcBorders>
          </w:tcPr>
          <w:p>
            <w:pPr>
              <w:pStyle w:val="TableParagraph"/>
              <w:spacing w:before="3"/>
              <w:ind w:right="66"/>
              <w:rPr>
                <w:sz w:val="14"/>
              </w:rPr>
            </w:pPr>
            <w:r>
              <w:rPr>
                <w:spacing w:val="-4"/>
                <w:sz w:val="14"/>
              </w:rPr>
              <w:t>1.00</w:t>
            </w:r>
          </w:p>
        </w:tc>
        <w:tc>
          <w:tcPr>
            <w:tcW w:w="793" w:type="dxa"/>
            <w:tcBorders>
              <w:bottom w:val="single" w:sz="12" w:space="0" w:color="000000"/>
            </w:tcBorders>
          </w:tcPr>
          <w:p>
            <w:pPr>
              <w:pStyle w:val="TableParagraph"/>
              <w:spacing w:before="3"/>
              <w:ind w:right="125"/>
              <w:rPr>
                <w:i/>
                <w:sz w:val="14"/>
              </w:rPr>
            </w:pPr>
            <w:r>
              <w:rPr>
                <w:i/>
                <w:spacing w:val="-2"/>
                <w:sz w:val="14"/>
              </w:rPr>
              <w:t>17.00</w:t>
            </w:r>
          </w:p>
        </w:tc>
        <w:tc>
          <w:tcPr>
            <w:tcW w:w="568" w:type="dxa"/>
            <w:tcBorders>
              <w:bottom w:val="single" w:sz="12" w:space="0" w:color="000000"/>
            </w:tcBorders>
          </w:tcPr>
          <w:p>
            <w:pPr>
              <w:pStyle w:val="TableParagraph"/>
              <w:spacing w:before="3"/>
              <w:ind w:right="100"/>
              <w:rPr>
                <w:sz w:val="14"/>
              </w:rPr>
            </w:pPr>
            <w:r>
              <w:rPr>
                <w:w w:val="99"/>
                <w:sz w:val="14"/>
              </w:rPr>
              <w:t>-</w:t>
            </w:r>
          </w:p>
        </w:tc>
        <w:tc>
          <w:tcPr>
            <w:tcW w:w="578" w:type="dxa"/>
            <w:tcBorders>
              <w:bottom w:val="single" w:sz="12" w:space="0" w:color="000000"/>
            </w:tcBorders>
          </w:tcPr>
          <w:p>
            <w:pPr>
              <w:pStyle w:val="TableParagraph"/>
              <w:spacing w:before="3"/>
              <w:ind w:right="87"/>
              <w:rPr>
                <w:sz w:val="14"/>
              </w:rPr>
            </w:pPr>
            <w:r>
              <w:rPr>
                <w:w w:val="99"/>
                <w:sz w:val="14"/>
              </w:rPr>
              <w:t>-</w:t>
            </w:r>
          </w:p>
        </w:tc>
        <w:tc>
          <w:tcPr>
            <w:tcW w:w="564" w:type="dxa"/>
            <w:tcBorders>
              <w:bottom w:val="single" w:sz="12" w:space="0" w:color="000000"/>
            </w:tcBorders>
          </w:tcPr>
          <w:p>
            <w:pPr>
              <w:pStyle w:val="TableParagraph"/>
              <w:spacing w:before="3"/>
              <w:ind w:right="57"/>
              <w:rPr>
                <w:sz w:val="14"/>
              </w:rPr>
            </w:pPr>
            <w:r>
              <w:rPr>
                <w:spacing w:val="-4"/>
                <w:sz w:val="14"/>
              </w:rPr>
              <w:t>6.50</w:t>
            </w:r>
          </w:p>
        </w:tc>
        <w:tc>
          <w:tcPr>
            <w:tcW w:w="820" w:type="dxa"/>
            <w:tcBorders>
              <w:bottom w:val="single" w:sz="12" w:space="0" w:color="000000"/>
            </w:tcBorders>
          </w:tcPr>
          <w:p>
            <w:pPr>
              <w:pStyle w:val="TableParagraph"/>
              <w:spacing w:before="3"/>
              <w:ind w:right="138"/>
              <w:rPr>
                <w:i/>
                <w:sz w:val="14"/>
              </w:rPr>
            </w:pPr>
            <w:r>
              <w:rPr>
                <w:i/>
                <w:spacing w:val="-4"/>
                <w:sz w:val="14"/>
              </w:rPr>
              <w:t>6.50</w:t>
            </w:r>
          </w:p>
        </w:tc>
        <w:tc>
          <w:tcPr>
            <w:tcW w:w="518" w:type="dxa"/>
            <w:tcBorders>
              <w:bottom w:val="single" w:sz="12" w:space="0" w:color="000000"/>
            </w:tcBorders>
          </w:tcPr>
          <w:p>
            <w:pPr>
              <w:pStyle w:val="TableParagraph"/>
              <w:spacing w:before="3"/>
              <w:ind w:right="56"/>
              <w:rPr>
                <w:b/>
                <w:sz w:val="14"/>
              </w:rPr>
            </w:pPr>
            <w:r>
              <w:rPr>
                <w:b/>
                <w:spacing w:val="-2"/>
                <w:sz w:val="14"/>
              </w:rPr>
              <w:t>23.50</w:t>
            </w:r>
          </w:p>
        </w:tc>
      </w:tr>
      <w:tr>
        <w:trPr>
          <w:trHeight w:val="229" w:hRule="atLeast"/>
        </w:trPr>
        <w:tc>
          <w:tcPr>
            <w:tcW w:w="1186" w:type="dxa"/>
            <w:tcBorders>
              <w:top w:val="single" w:sz="12" w:space="0" w:color="000000"/>
              <w:bottom w:val="single" w:sz="4" w:space="0" w:color="000000"/>
            </w:tcBorders>
          </w:tcPr>
          <w:p>
            <w:pPr>
              <w:pStyle w:val="TableParagraph"/>
              <w:spacing w:before="28"/>
              <w:ind w:left="67"/>
              <w:jc w:val="left"/>
              <w:rPr>
                <w:sz w:val="14"/>
              </w:rPr>
            </w:pPr>
            <w:r>
              <w:rPr>
                <w:spacing w:val="-2"/>
                <w:sz w:val="14"/>
              </w:rPr>
              <w:t>Continued</w:t>
            </w:r>
          </w:p>
        </w:tc>
        <w:tc>
          <w:tcPr>
            <w:tcW w:w="678" w:type="dxa"/>
            <w:tcBorders>
              <w:top w:val="single" w:sz="12" w:space="0" w:color="000000"/>
              <w:bottom w:val="single" w:sz="4" w:space="0" w:color="000000"/>
            </w:tcBorders>
          </w:tcPr>
          <w:p>
            <w:pPr>
              <w:pStyle w:val="TableParagraph"/>
              <w:spacing w:before="28"/>
              <w:ind w:right="154"/>
              <w:rPr>
                <w:sz w:val="14"/>
              </w:rPr>
            </w:pPr>
            <w:r>
              <w:rPr>
                <w:w w:val="99"/>
                <w:sz w:val="14"/>
              </w:rPr>
              <w:t>-</w:t>
            </w:r>
          </w:p>
        </w:tc>
        <w:tc>
          <w:tcPr>
            <w:tcW w:w="607" w:type="dxa"/>
            <w:tcBorders>
              <w:top w:val="single" w:sz="12" w:space="0" w:color="000000"/>
              <w:bottom w:val="single" w:sz="4" w:space="0" w:color="000000"/>
            </w:tcBorders>
          </w:tcPr>
          <w:p>
            <w:pPr>
              <w:pStyle w:val="TableParagraph"/>
              <w:spacing w:before="28"/>
              <w:ind w:right="170"/>
              <w:rPr>
                <w:sz w:val="14"/>
              </w:rPr>
            </w:pPr>
            <w:r>
              <w:rPr>
                <w:w w:val="99"/>
                <w:sz w:val="14"/>
              </w:rPr>
              <w:t>-</w:t>
            </w:r>
          </w:p>
        </w:tc>
        <w:tc>
          <w:tcPr>
            <w:tcW w:w="563" w:type="dxa"/>
            <w:tcBorders>
              <w:top w:val="single" w:sz="12" w:space="0" w:color="000000"/>
              <w:bottom w:val="single" w:sz="4" w:space="0" w:color="000000"/>
            </w:tcBorders>
          </w:tcPr>
          <w:p>
            <w:pPr>
              <w:pStyle w:val="TableParagraph"/>
              <w:spacing w:before="28"/>
              <w:ind w:right="171"/>
              <w:rPr>
                <w:sz w:val="14"/>
              </w:rPr>
            </w:pPr>
            <w:r>
              <w:rPr>
                <w:w w:val="99"/>
                <w:sz w:val="14"/>
              </w:rPr>
              <w:t>-</w:t>
            </w:r>
          </w:p>
        </w:tc>
        <w:tc>
          <w:tcPr>
            <w:tcW w:w="557" w:type="dxa"/>
            <w:tcBorders>
              <w:top w:val="single" w:sz="12" w:space="0" w:color="000000"/>
              <w:bottom w:val="single" w:sz="4" w:space="0" w:color="000000"/>
            </w:tcBorders>
          </w:tcPr>
          <w:p>
            <w:pPr>
              <w:pStyle w:val="TableParagraph"/>
              <w:spacing w:before="28"/>
              <w:ind w:right="167"/>
              <w:rPr>
                <w:sz w:val="14"/>
              </w:rPr>
            </w:pPr>
            <w:r>
              <w:rPr>
                <w:w w:val="99"/>
                <w:sz w:val="14"/>
              </w:rPr>
              <w:t>-</w:t>
            </w:r>
          </w:p>
        </w:tc>
        <w:tc>
          <w:tcPr>
            <w:tcW w:w="583" w:type="dxa"/>
            <w:tcBorders>
              <w:top w:val="single" w:sz="12" w:space="0" w:color="000000"/>
              <w:bottom w:val="single" w:sz="4" w:space="0" w:color="000000"/>
            </w:tcBorders>
          </w:tcPr>
          <w:p>
            <w:pPr>
              <w:pStyle w:val="TableParagraph"/>
              <w:spacing w:before="28"/>
              <w:ind w:left="157" w:right="156"/>
              <w:jc w:val="center"/>
              <w:rPr>
                <w:sz w:val="14"/>
              </w:rPr>
            </w:pPr>
            <w:r>
              <w:rPr>
                <w:spacing w:val="-4"/>
                <w:sz w:val="14"/>
              </w:rPr>
              <w:t>1.00</w:t>
            </w:r>
          </w:p>
        </w:tc>
        <w:tc>
          <w:tcPr>
            <w:tcW w:w="546" w:type="dxa"/>
            <w:tcBorders>
              <w:top w:val="single" w:sz="12" w:space="0" w:color="000000"/>
              <w:bottom w:val="single" w:sz="4" w:space="0" w:color="000000"/>
            </w:tcBorders>
          </w:tcPr>
          <w:p>
            <w:pPr>
              <w:pStyle w:val="TableParagraph"/>
              <w:spacing w:before="28"/>
              <w:ind w:right="125"/>
              <w:rPr>
                <w:sz w:val="14"/>
              </w:rPr>
            </w:pPr>
            <w:r>
              <w:rPr>
                <w:spacing w:val="-4"/>
                <w:sz w:val="14"/>
              </w:rPr>
              <w:t>3.00</w:t>
            </w:r>
          </w:p>
        </w:tc>
        <w:tc>
          <w:tcPr>
            <w:tcW w:w="713" w:type="dxa"/>
            <w:tcBorders>
              <w:top w:val="single" w:sz="12" w:space="0" w:color="000000"/>
              <w:bottom w:val="single" w:sz="4" w:space="0" w:color="000000"/>
            </w:tcBorders>
          </w:tcPr>
          <w:p>
            <w:pPr>
              <w:pStyle w:val="TableParagraph"/>
              <w:spacing w:before="28"/>
              <w:ind w:right="243"/>
              <w:rPr>
                <w:sz w:val="14"/>
              </w:rPr>
            </w:pPr>
            <w:r>
              <w:rPr>
                <w:spacing w:val="-2"/>
                <w:sz w:val="14"/>
              </w:rPr>
              <w:t>12.00</w:t>
            </w:r>
          </w:p>
        </w:tc>
        <w:tc>
          <w:tcPr>
            <w:tcW w:w="668" w:type="dxa"/>
            <w:tcBorders>
              <w:top w:val="single" w:sz="12" w:space="0" w:color="000000"/>
              <w:bottom w:val="single" w:sz="4" w:space="0" w:color="000000"/>
            </w:tcBorders>
          </w:tcPr>
          <w:p>
            <w:pPr>
              <w:pStyle w:val="TableParagraph"/>
              <w:spacing w:before="28"/>
              <w:ind w:right="171"/>
              <w:rPr>
                <w:sz w:val="14"/>
              </w:rPr>
            </w:pPr>
            <w:r>
              <w:rPr>
                <w:spacing w:val="-4"/>
                <w:sz w:val="14"/>
              </w:rPr>
              <w:t>5.00</w:t>
            </w:r>
          </w:p>
        </w:tc>
        <w:tc>
          <w:tcPr>
            <w:tcW w:w="490" w:type="dxa"/>
            <w:tcBorders>
              <w:top w:val="single" w:sz="12" w:space="0" w:color="000000"/>
              <w:bottom w:val="single" w:sz="4" w:space="0" w:color="000000"/>
            </w:tcBorders>
          </w:tcPr>
          <w:p>
            <w:pPr>
              <w:pStyle w:val="TableParagraph"/>
              <w:spacing w:before="28"/>
              <w:ind w:right="66"/>
              <w:rPr>
                <w:sz w:val="14"/>
              </w:rPr>
            </w:pPr>
            <w:r>
              <w:rPr>
                <w:spacing w:val="-4"/>
                <w:sz w:val="14"/>
              </w:rPr>
              <w:t>2.00</w:t>
            </w:r>
          </w:p>
        </w:tc>
        <w:tc>
          <w:tcPr>
            <w:tcW w:w="793" w:type="dxa"/>
            <w:tcBorders>
              <w:top w:val="single" w:sz="12" w:space="0" w:color="000000"/>
              <w:bottom w:val="single" w:sz="4" w:space="0" w:color="000000"/>
            </w:tcBorders>
          </w:tcPr>
          <w:p>
            <w:pPr>
              <w:pStyle w:val="TableParagraph"/>
              <w:spacing w:before="28"/>
              <w:ind w:right="125"/>
              <w:rPr>
                <w:i/>
                <w:sz w:val="14"/>
              </w:rPr>
            </w:pPr>
            <w:r>
              <w:rPr>
                <w:i/>
                <w:spacing w:val="-2"/>
                <w:sz w:val="14"/>
              </w:rPr>
              <w:t>23.00</w:t>
            </w:r>
          </w:p>
        </w:tc>
        <w:tc>
          <w:tcPr>
            <w:tcW w:w="568" w:type="dxa"/>
            <w:tcBorders>
              <w:top w:val="single" w:sz="12" w:space="0" w:color="000000"/>
              <w:bottom w:val="single" w:sz="4" w:space="0" w:color="000000"/>
            </w:tcBorders>
          </w:tcPr>
          <w:p>
            <w:pPr>
              <w:pStyle w:val="TableParagraph"/>
              <w:spacing w:before="28"/>
              <w:ind w:right="100"/>
              <w:rPr>
                <w:sz w:val="14"/>
              </w:rPr>
            </w:pPr>
            <w:r>
              <w:rPr>
                <w:w w:val="99"/>
                <w:sz w:val="14"/>
              </w:rPr>
              <w:t>-</w:t>
            </w:r>
          </w:p>
        </w:tc>
        <w:tc>
          <w:tcPr>
            <w:tcW w:w="578" w:type="dxa"/>
            <w:tcBorders>
              <w:top w:val="single" w:sz="12" w:space="0" w:color="000000"/>
              <w:bottom w:val="single" w:sz="4" w:space="0" w:color="000000"/>
            </w:tcBorders>
          </w:tcPr>
          <w:p>
            <w:pPr>
              <w:pStyle w:val="TableParagraph"/>
              <w:spacing w:before="28"/>
              <w:ind w:right="87"/>
              <w:rPr>
                <w:sz w:val="14"/>
              </w:rPr>
            </w:pPr>
            <w:r>
              <w:rPr>
                <w:w w:val="99"/>
                <w:sz w:val="14"/>
              </w:rPr>
              <w:t>-</w:t>
            </w:r>
          </w:p>
        </w:tc>
        <w:tc>
          <w:tcPr>
            <w:tcW w:w="564" w:type="dxa"/>
            <w:tcBorders>
              <w:top w:val="single" w:sz="12" w:space="0" w:color="000000"/>
              <w:bottom w:val="single" w:sz="4" w:space="0" w:color="000000"/>
            </w:tcBorders>
          </w:tcPr>
          <w:p>
            <w:pPr>
              <w:pStyle w:val="TableParagraph"/>
              <w:spacing w:before="28"/>
              <w:ind w:right="57"/>
              <w:rPr>
                <w:sz w:val="14"/>
              </w:rPr>
            </w:pPr>
            <w:r>
              <w:rPr>
                <w:spacing w:val="-4"/>
                <w:sz w:val="14"/>
              </w:rPr>
              <w:t>7.50</w:t>
            </w:r>
          </w:p>
        </w:tc>
        <w:tc>
          <w:tcPr>
            <w:tcW w:w="820" w:type="dxa"/>
            <w:tcBorders>
              <w:top w:val="single" w:sz="12" w:space="0" w:color="000000"/>
              <w:bottom w:val="single" w:sz="4" w:space="0" w:color="000000"/>
            </w:tcBorders>
          </w:tcPr>
          <w:p>
            <w:pPr>
              <w:pStyle w:val="TableParagraph"/>
              <w:spacing w:before="28"/>
              <w:ind w:right="138"/>
              <w:rPr>
                <w:i/>
                <w:sz w:val="14"/>
              </w:rPr>
            </w:pPr>
            <w:r>
              <w:rPr>
                <w:i/>
                <w:spacing w:val="-4"/>
                <w:sz w:val="14"/>
              </w:rPr>
              <w:t>7.50</w:t>
            </w:r>
          </w:p>
        </w:tc>
        <w:tc>
          <w:tcPr>
            <w:tcW w:w="518" w:type="dxa"/>
            <w:tcBorders>
              <w:top w:val="single" w:sz="12" w:space="0" w:color="000000"/>
              <w:bottom w:val="single" w:sz="4" w:space="0" w:color="000000"/>
            </w:tcBorders>
          </w:tcPr>
          <w:p>
            <w:pPr>
              <w:pStyle w:val="TableParagraph"/>
              <w:spacing w:before="28"/>
              <w:ind w:right="56"/>
              <w:rPr>
                <w:b/>
                <w:sz w:val="14"/>
              </w:rPr>
            </w:pPr>
            <w:r>
              <w:rPr>
                <w:b/>
                <w:spacing w:val="-2"/>
                <w:sz w:val="14"/>
              </w:rPr>
              <w:t>30.50</w:t>
            </w:r>
          </w:p>
        </w:tc>
      </w:tr>
      <w:tr>
        <w:trPr>
          <w:trHeight w:val="225" w:hRule="atLeast"/>
        </w:trPr>
        <w:tc>
          <w:tcPr>
            <w:tcW w:w="1186" w:type="dxa"/>
            <w:tcBorders>
              <w:top w:val="single" w:sz="4" w:space="0" w:color="000000"/>
              <w:bottom w:val="single" w:sz="4" w:space="0" w:color="000000"/>
            </w:tcBorders>
          </w:tcPr>
          <w:p>
            <w:pPr>
              <w:pStyle w:val="TableParagraph"/>
              <w:spacing w:before="23"/>
              <w:ind w:left="67"/>
              <w:jc w:val="left"/>
              <w:rPr>
                <w:sz w:val="14"/>
              </w:rPr>
            </w:pPr>
            <w:r>
              <w:rPr>
                <w:spacing w:val="-5"/>
                <w:sz w:val="14"/>
              </w:rPr>
              <w:t>New</w:t>
            </w:r>
          </w:p>
        </w:tc>
        <w:tc>
          <w:tcPr>
            <w:tcW w:w="678" w:type="dxa"/>
            <w:tcBorders>
              <w:top w:val="single" w:sz="4" w:space="0" w:color="000000"/>
              <w:bottom w:val="single" w:sz="4" w:space="0" w:color="000000"/>
            </w:tcBorders>
          </w:tcPr>
          <w:p>
            <w:pPr>
              <w:pStyle w:val="TableParagraph"/>
              <w:spacing w:before="23"/>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3"/>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3"/>
              <w:ind w:right="171"/>
              <w:rPr>
                <w:sz w:val="14"/>
              </w:rPr>
            </w:pPr>
            <w:r>
              <w:rPr>
                <w:w w:val="99"/>
                <w:sz w:val="14"/>
              </w:rPr>
              <w:t>-</w:t>
            </w:r>
          </w:p>
        </w:tc>
        <w:tc>
          <w:tcPr>
            <w:tcW w:w="557" w:type="dxa"/>
            <w:tcBorders>
              <w:top w:val="single" w:sz="4" w:space="0" w:color="000000"/>
              <w:bottom w:val="single" w:sz="4" w:space="0" w:color="000000"/>
            </w:tcBorders>
          </w:tcPr>
          <w:p>
            <w:pPr>
              <w:pStyle w:val="TableParagraph"/>
              <w:spacing w:before="23"/>
              <w:ind w:right="167"/>
              <w:rPr>
                <w:sz w:val="14"/>
              </w:rPr>
            </w:pPr>
            <w:r>
              <w:rPr>
                <w:w w:val="99"/>
                <w:sz w:val="14"/>
              </w:rPr>
              <w:t>-</w:t>
            </w:r>
          </w:p>
        </w:tc>
        <w:tc>
          <w:tcPr>
            <w:tcW w:w="583" w:type="dxa"/>
            <w:tcBorders>
              <w:top w:val="single" w:sz="4" w:space="0" w:color="000000"/>
              <w:bottom w:val="single" w:sz="4" w:space="0" w:color="000000"/>
            </w:tcBorders>
          </w:tcPr>
          <w:p>
            <w:pPr>
              <w:pStyle w:val="TableParagraph"/>
              <w:spacing w:before="23"/>
              <w:ind w:left="194"/>
              <w:jc w:val="center"/>
              <w:rPr>
                <w:sz w:val="14"/>
              </w:rPr>
            </w:pPr>
            <w:r>
              <w:rPr>
                <w:w w:val="99"/>
                <w:sz w:val="14"/>
              </w:rPr>
              <w:t>-</w:t>
            </w:r>
          </w:p>
        </w:tc>
        <w:tc>
          <w:tcPr>
            <w:tcW w:w="546" w:type="dxa"/>
            <w:tcBorders>
              <w:top w:val="single" w:sz="4" w:space="0" w:color="000000"/>
              <w:bottom w:val="single" w:sz="4" w:space="0" w:color="000000"/>
            </w:tcBorders>
          </w:tcPr>
          <w:p>
            <w:pPr>
              <w:pStyle w:val="TableParagraph"/>
              <w:spacing w:before="23"/>
              <w:ind w:right="125"/>
              <w:rPr>
                <w:sz w:val="14"/>
              </w:rPr>
            </w:pPr>
            <w:r>
              <w:rPr>
                <w:spacing w:val="-4"/>
                <w:sz w:val="14"/>
              </w:rPr>
              <w:t>1.00</w:t>
            </w:r>
          </w:p>
        </w:tc>
        <w:tc>
          <w:tcPr>
            <w:tcW w:w="713" w:type="dxa"/>
            <w:tcBorders>
              <w:top w:val="single" w:sz="4" w:space="0" w:color="000000"/>
              <w:bottom w:val="single" w:sz="4" w:space="0" w:color="000000"/>
            </w:tcBorders>
          </w:tcPr>
          <w:p>
            <w:pPr>
              <w:pStyle w:val="TableParagraph"/>
              <w:spacing w:before="23"/>
              <w:ind w:right="243"/>
              <w:rPr>
                <w:sz w:val="14"/>
              </w:rPr>
            </w:pPr>
            <w:r>
              <w:rPr>
                <w:spacing w:val="-4"/>
                <w:sz w:val="14"/>
              </w:rPr>
              <w:t>2.25</w:t>
            </w:r>
          </w:p>
        </w:tc>
        <w:tc>
          <w:tcPr>
            <w:tcW w:w="668" w:type="dxa"/>
            <w:tcBorders>
              <w:top w:val="single" w:sz="4" w:space="0" w:color="000000"/>
              <w:bottom w:val="single" w:sz="4" w:space="0" w:color="000000"/>
            </w:tcBorders>
          </w:tcPr>
          <w:p>
            <w:pPr>
              <w:pStyle w:val="TableParagraph"/>
              <w:spacing w:before="23"/>
              <w:ind w:right="171"/>
              <w:rPr>
                <w:sz w:val="14"/>
              </w:rPr>
            </w:pPr>
            <w:r>
              <w:rPr>
                <w:spacing w:val="-4"/>
                <w:sz w:val="14"/>
              </w:rPr>
              <w:t>3.75</w:t>
            </w:r>
          </w:p>
        </w:tc>
        <w:tc>
          <w:tcPr>
            <w:tcW w:w="490" w:type="dxa"/>
            <w:tcBorders>
              <w:top w:val="single" w:sz="4" w:space="0" w:color="000000"/>
              <w:bottom w:val="single" w:sz="4" w:space="0" w:color="000000"/>
            </w:tcBorders>
          </w:tcPr>
          <w:p>
            <w:pPr>
              <w:pStyle w:val="TableParagraph"/>
              <w:spacing w:before="23"/>
              <w:ind w:right="66"/>
              <w:rPr>
                <w:sz w:val="14"/>
              </w:rPr>
            </w:pPr>
            <w:r>
              <w:rPr>
                <w:spacing w:val="-4"/>
                <w:sz w:val="14"/>
              </w:rPr>
              <w:t>0.75</w:t>
            </w:r>
          </w:p>
        </w:tc>
        <w:tc>
          <w:tcPr>
            <w:tcW w:w="793" w:type="dxa"/>
            <w:tcBorders>
              <w:top w:val="single" w:sz="4" w:space="0" w:color="000000"/>
              <w:bottom w:val="single" w:sz="4" w:space="0" w:color="000000"/>
            </w:tcBorders>
          </w:tcPr>
          <w:p>
            <w:pPr>
              <w:pStyle w:val="TableParagraph"/>
              <w:spacing w:before="23"/>
              <w:ind w:right="124"/>
              <w:rPr>
                <w:i/>
                <w:sz w:val="14"/>
              </w:rPr>
            </w:pPr>
            <w:r>
              <w:rPr>
                <w:i/>
                <w:spacing w:val="-4"/>
                <w:sz w:val="14"/>
              </w:rPr>
              <w:t>7.75</w:t>
            </w:r>
          </w:p>
        </w:tc>
        <w:tc>
          <w:tcPr>
            <w:tcW w:w="568" w:type="dxa"/>
            <w:tcBorders>
              <w:top w:val="single" w:sz="4" w:space="0" w:color="000000"/>
              <w:bottom w:val="single" w:sz="4" w:space="0" w:color="000000"/>
            </w:tcBorders>
          </w:tcPr>
          <w:p>
            <w:pPr>
              <w:pStyle w:val="TableParagraph"/>
              <w:spacing w:before="23"/>
              <w:ind w:right="97"/>
              <w:rPr>
                <w:sz w:val="14"/>
              </w:rPr>
            </w:pPr>
            <w:r>
              <w:rPr>
                <w:spacing w:val="-4"/>
                <w:sz w:val="14"/>
              </w:rPr>
              <w:t>1.33</w:t>
            </w:r>
          </w:p>
        </w:tc>
        <w:tc>
          <w:tcPr>
            <w:tcW w:w="578" w:type="dxa"/>
            <w:tcBorders>
              <w:top w:val="single" w:sz="4" w:space="0" w:color="000000"/>
              <w:bottom w:val="single" w:sz="4" w:space="0" w:color="000000"/>
            </w:tcBorders>
          </w:tcPr>
          <w:p>
            <w:pPr>
              <w:pStyle w:val="TableParagraph"/>
              <w:spacing w:before="23"/>
              <w:ind w:right="87"/>
              <w:rPr>
                <w:sz w:val="14"/>
              </w:rPr>
            </w:pPr>
            <w:r>
              <w:rPr>
                <w:w w:val="99"/>
                <w:sz w:val="14"/>
              </w:rPr>
              <w:t>-</w:t>
            </w:r>
          </w:p>
        </w:tc>
        <w:tc>
          <w:tcPr>
            <w:tcW w:w="564" w:type="dxa"/>
            <w:tcBorders>
              <w:top w:val="single" w:sz="4" w:space="0" w:color="000000"/>
              <w:bottom w:val="single" w:sz="4" w:space="0" w:color="000000"/>
            </w:tcBorders>
          </w:tcPr>
          <w:p>
            <w:pPr>
              <w:pStyle w:val="TableParagraph"/>
              <w:spacing w:before="23"/>
              <w:ind w:right="57"/>
              <w:rPr>
                <w:sz w:val="14"/>
              </w:rPr>
            </w:pPr>
            <w:r>
              <w:rPr>
                <w:spacing w:val="-4"/>
                <w:sz w:val="14"/>
              </w:rPr>
              <w:t>2.25</w:t>
            </w:r>
          </w:p>
        </w:tc>
        <w:tc>
          <w:tcPr>
            <w:tcW w:w="820" w:type="dxa"/>
            <w:tcBorders>
              <w:top w:val="single" w:sz="4" w:space="0" w:color="000000"/>
              <w:bottom w:val="single" w:sz="4" w:space="0" w:color="000000"/>
            </w:tcBorders>
          </w:tcPr>
          <w:p>
            <w:pPr>
              <w:pStyle w:val="TableParagraph"/>
              <w:spacing w:before="23"/>
              <w:ind w:right="138"/>
              <w:rPr>
                <w:i/>
                <w:sz w:val="14"/>
              </w:rPr>
            </w:pPr>
            <w:r>
              <w:rPr>
                <w:i/>
                <w:spacing w:val="-4"/>
                <w:sz w:val="14"/>
              </w:rPr>
              <w:t>3.58</w:t>
            </w:r>
          </w:p>
        </w:tc>
        <w:tc>
          <w:tcPr>
            <w:tcW w:w="518" w:type="dxa"/>
            <w:tcBorders>
              <w:top w:val="single" w:sz="4" w:space="0" w:color="000000"/>
              <w:bottom w:val="single" w:sz="4" w:space="0" w:color="000000"/>
            </w:tcBorders>
          </w:tcPr>
          <w:p>
            <w:pPr>
              <w:pStyle w:val="TableParagraph"/>
              <w:spacing w:before="23"/>
              <w:ind w:right="56"/>
              <w:rPr>
                <w:b/>
                <w:sz w:val="14"/>
              </w:rPr>
            </w:pPr>
            <w:r>
              <w:rPr>
                <w:b/>
                <w:spacing w:val="-2"/>
                <w:sz w:val="14"/>
              </w:rPr>
              <w:t>11.33</w:t>
            </w:r>
          </w:p>
        </w:tc>
      </w:tr>
      <w:tr>
        <w:trPr>
          <w:trHeight w:val="225" w:hRule="atLeast"/>
        </w:trPr>
        <w:tc>
          <w:tcPr>
            <w:tcW w:w="1186" w:type="dxa"/>
            <w:tcBorders>
              <w:top w:val="single" w:sz="4" w:space="0" w:color="000000"/>
              <w:bottom w:val="single" w:sz="4" w:space="0" w:color="000000"/>
            </w:tcBorders>
          </w:tcPr>
          <w:p>
            <w:pPr>
              <w:pStyle w:val="TableParagraph"/>
              <w:spacing w:before="23"/>
              <w:ind w:left="67"/>
              <w:jc w:val="left"/>
              <w:rPr>
                <w:sz w:val="14"/>
              </w:rPr>
            </w:pPr>
            <w:r>
              <w:rPr>
                <w:spacing w:val="-2"/>
                <w:sz w:val="14"/>
              </w:rPr>
              <w:t>Redeployed</w:t>
            </w:r>
          </w:p>
        </w:tc>
        <w:tc>
          <w:tcPr>
            <w:tcW w:w="678" w:type="dxa"/>
            <w:tcBorders>
              <w:top w:val="single" w:sz="4" w:space="0" w:color="000000"/>
              <w:bottom w:val="single" w:sz="4" w:space="0" w:color="000000"/>
            </w:tcBorders>
          </w:tcPr>
          <w:p>
            <w:pPr>
              <w:pStyle w:val="TableParagraph"/>
              <w:spacing w:before="23"/>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3"/>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3"/>
              <w:ind w:right="171"/>
              <w:rPr>
                <w:sz w:val="14"/>
              </w:rPr>
            </w:pPr>
            <w:r>
              <w:rPr>
                <w:w w:val="99"/>
                <w:sz w:val="14"/>
              </w:rPr>
              <w:t>-</w:t>
            </w:r>
          </w:p>
        </w:tc>
        <w:tc>
          <w:tcPr>
            <w:tcW w:w="557" w:type="dxa"/>
            <w:tcBorders>
              <w:top w:val="single" w:sz="4" w:space="0" w:color="000000"/>
              <w:bottom w:val="single" w:sz="4" w:space="0" w:color="000000"/>
            </w:tcBorders>
          </w:tcPr>
          <w:p>
            <w:pPr>
              <w:pStyle w:val="TableParagraph"/>
              <w:spacing w:before="23"/>
              <w:ind w:right="167"/>
              <w:rPr>
                <w:sz w:val="14"/>
              </w:rPr>
            </w:pPr>
            <w:r>
              <w:rPr>
                <w:w w:val="99"/>
                <w:sz w:val="14"/>
              </w:rPr>
              <w:t>-</w:t>
            </w:r>
          </w:p>
        </w:tc>
        <w:tc>
          <w:tcPr>
            <w:tcW w:w="583" w:type="dxa"/>
            <w:tcBorders>
              <w:top w:val="single" w:sz="4" w:space="0" w:color="000000"/>
              <w:bottom w:val="single" w:sz="4" w:space="0" w:color="000000"/>
            </w:tcBorders>
          </w:tcPr>
          <w:p>
            <w:pPr>
              <w:pStyle w:val="TableParagraph"/>
              <w:spacing w:before="23"/>
              <w:ind w:left="194"/>
              <w:jc w:val="center"/>
              <w:rPr>
                <w:sz w:val="14"/>
              </w:rPr>
            </w:pPr>
            <w:r>
              <w:rPr>
                <w:w w:val="99"/>
                <w:sz w:val="14"/>
              </w:rPr>
              <w:t>-</w:t>
            </w:r>
          </w:p>
        </w:tc>
        <w:tc>
          <w:tcPr>
            <w:tcW w:w="546" w:type="dxa"/>
            <w:tcBorders>
              <w:top w:val="single" w:sz="4" w:space="0" w:color="000000"/>
              <w:bottom w:val="single" w:sz="4" w:space="0" w:color="000000"/>
            </w:tcBorders>
          </w:tcPr>
          <w:p>
            <w:pPr>
              <w:pStyle w:val="TableParagraph"/>
              <w:spacing w:before="23"/>
              <w:ind w:right="129"/>
              <w:rPr>
                <w:sz w:val="14"/>
              </w:rPr>
            </w:pPr>
            <w:r>
              <w:rPr>
                <w:w w:val="99"/>
                <w:sz w:val="14"/>
              </w:rPr>
              <w:t>-</w:t>
            </w:r>
          </w:p>
        </w:tc>
        <w:tc>
          <w:tcPr>
            <w:tcW w:w="713" w:type="dxa"/>
            <w:tcBorders>
              <w:top w:val="single" w:sz="4" w:space="0" w:color="000000"/>
              <w:bottom w:val="single" w:sz="4" w:space="0" w:color="000000"/>
            </w:tcBorders>
          </w:tcPr>
          <w:p>
            <w:pPr>
              <w:pStyle w:val="TableParagraph"/>
              <w:spacing w:before="23"/>
              <w:ind w:right="242"/>
              <w:rPr>
                <w:sz w:val="14"/>
              </w:rPr>
            </w:pPr>
            <w:r>
              <w:rPr>
                <w:spacing w:val="-2"/>
                <w:sz w:val="14"/>
              </w:rPr>
              <w:t>(1.00)</w:t>
            </w:r>
          </w:p>
        </w:tc>
        <w:tc>
          <w:tcPr>
            <w:tcW w:w="668" w:type="dxa"/>
            <w:tcBorders>
              <w:top w:val="single" w:sz="4" w:space="0" w:color="000000"/>
              <w:bottom w:val="single" w:sz="4" w:space="0" w:color="000000"/>
            </w:tcBorders>
          </w:tcPr>
          <w:p>
            <w:pPr>
              <w:pStyle w:val="TableParagraph"/>
              <w:spacing w:before="23"/>
              <w:ind w:right="171"/>
              <w:rPr>
                <w:sz w:val="14"/>
              </w:rPr>
            </w:pPr>
            <w:r>
              <w:rPr>
                <w:spacing w:val="-4"/>
                <w:sz w:val="14"/>
              </w:rPr>
              <w:t>1.00</w:t>
            </w:r>
          </w:p>
        </w:tc>
        <w:tc>
          <w:tcPr>
            <w:tcW w:w="490" w:type="dxa"/>
            <w:tcBorders>
              <w:top w:val="single" w:sz="4" w:space="0" w:color="000000"/>
              <w:bottom w:val="single" w:sz="4" w:space="0" w:color="000000"/>
            </w:tcBorders>
          </w:tcPr>
          <w:p>
            <w:pPr>
              <w:pStyle w:val="TableParagraph"/>
              <w:spacing w:before="23"/>
              <w:ind w:right="69"/>
              <w:rPr>
                <w:sz w:val="14"/>
              </w:rPr>
            </w:pPr>
            <w:r>
              <w:rPr>
                <w:w w:val="99"/>
                <w:sz w:val="14"/>
              </w:rPr>
              <w:t>-</w:t>
            </w:r>
          </w:p>
        </w:tc>
        <w:tc>
          <w:tcPr>
            <w:tcW w:w="793" w:type="dxa"/>
            <w:tcBorders>
              <w:top w:val="single" w:sz="4" w:space="0" w:color="000000"/>
              <w:bottom w:val="single" w:sz="4" w:space="0" w:color="000000"/>
            </w:tcBorders>
          </w:tcPr>
          <w:p>
            <w:pPr>
              <w:pStyle w:val="TableParagraph"/>
              <w:spacing w:before="23"/>
              <w:ind w:right="127"/>
              <w:rPr>
                <w:i/>
                <w:sz w:val="14"/>
              </w:rPr>
            </w:pPr>
            <w:r>
              <w:rPr>
                <w:i/>
                <w:w w:val="99"/>
                <w:sz w:val="14"/>
              </w:rPr>
              <w:t>-</w:t>
            </w:r>
          </w:p>
        </w:tc>
        <w:tc>
          <w:tcPr>
            <w:tcW w:w="568" w:type="dxa"/>
            <w:tcBorders>
              <w:top w:val="single" w:sz="4" w:space="0" w:color="000000"/>
              <w:bottom w:val="single" w:sz="4" w:space="0" w:color="000000"/>
            </w:tcBorders>
          </w:tcPr>
          <w:p>
            <w:pPr>
              <w:pStyle w:val="TableParagraph"/>
              <w:spacing w:before="23"/>
              <w:ind w:right="100"/>
              <w:rPr>
                <w:sz w:val="14"/>
              </w:rPr>
            </w:pPr>
            <w:r>
              <w:rPr>
                <w:w w:val="99"/>
                <w:sz w:val="14"/>
              </w:rPr>
              <w:t>-</w:t>
            </w:r>
          </w:p>
        </w:tc>
        <w:tc>
          <w:tcPr>
            <w:tcW w:w="578" w:type="dxa"/>
            <w:tcBorders>
              <w:top w:val="single" w:sz="4" w:space="0" w:color="000000"/>
              <w:bottom w:val="single" w:sz="4" w:space="0" w:color="000000"/>
            </w:tcBorders>
          </w:tcPr>
          <w:p>
            <w:pPr>
              <w:pStyle w:val="TableParagraph"/>
              <w:spacing w:before="23"/>
              <w:ind w:right="87"/>
              <w:rPr>
                <w:sz w:val="14"/>
              </w:rPr>
            </w:pPr>
            <w:r>
              <w:rPr>
                <w:w w:val="99"/>
                <w:sz w:val="14"/>
              </w:rPr>
              <w:t>-</w:t>
            </w:r>
          </w:p>
        </w:tc>
        <w:tc>
          <w:tcPr>
            <w:tcW w:w="564" w:type="dxa"/>
            <w:tcBorders>
              <w:top w:val="single" w:sz="4" w:space="0" w:color="000000"/>
              <w:bottom w:val="single" w:sz="4" w:space="0" w:color="000000"/>
            </w:tcBorders>
          </w:tcPr>
          <w:p>
            <w:pPr>
              <w:pStyle w:val="TableParagraph"/>
              <w:spacing w:before="23"/>
              <w:ind w:right="61"/>
              <w:rPr>
                <w:sz w:val="14"/>
              </w:rPr>
            </w:pPr>
            <w:r>
              <w:rPr>
                <w:w w:val="99"/>
                <w:sz w:val="14"/>
              </w:rPr>
              <w:t>-</w:t>
            </w:r>
          </w:p>
        </w:tc>
        <w:tc>
          <w:tcPr>
            <w:tcW w:w="820" w:type="dxa"/>
            <w:tcBorders>
              <w:top w:val="single" w:sz="4" w:space="0" w:color="000000"/>
              <w:bottom w:val="single" w:sz="4" w:space="0" w:color="000000"/>
            </w:tcBorders>
          </w:tcPr>
          <w:p>
            <w:pPr>
              <w:pStyle w:val="TableParagraph"/>
              <w:spacing w:before="23"/>
              <w:ind w:right="141"/>
              <w:rPr>
                <w:i/>
                <w:sz w:val="14"/>
              </w:rPr>
            </w:pPr>
            <w:r>
              <w:rPr>
                <w:i/>
                <w:w w:val="99"/>
                <w:sz w:val="14"/>
              </w:rPr>
              <w:t>-</w:t>
            </w:r>
          </w:p>
        </w:tc>
        <w:tc>
          <w:tcPr>
            <w:tcW w:w="518" w:type="dxa"/>
            <w:tcBorders>
              <w:top w:val="single" w:sz="4" w:space="0" w:color="000000"/>
              <w:bottom w:val="single" w:sz="4" w:space="0" w:color="000000"/>
            </w:tcBorders>
          </w:tcPr>
          <w:p>
            <w:pPr>
              <w:pStyle w:val="TableParagraph"/>
              <w:spacing w:before="23"/>
              <w:ind w:right="59"/>
              <w:rPr>
                <w:b/>
                <w:sz w:val="14"/>
              </w:rPr>
            </w:pPr>
            <w:r>
              <w:rPr>
                <w:b/>
                <w:w w:val="99"/>
                <w:sz w:val="14"/>
              </w:rPr>
              <w:t>-</w:t>
            </w:r>
          </w:p>
        </w:tc>
      </w:tr>
      <w:tr>
        <w:trPr>
          <w:trHeight w:val="230" w:hRule="atLeast"/>
        </w:trPr>
        <w:tc>
          <w:tcPr>
            <w:tcW w:w="1186" w:type="dxa"/>
            <w:tcBorders>
              <w:top w:val="single" w:sz="4" w:space="0" w:color="000000"/>
              <w:bottom w:val="single" w:sz="4" w:space="0" w:color="000000"/>
            </w:tcBorders>
          </w:tcPr>
          <w:p>
            <w:pPr>
              <w:pStyle w:val="TableParagraph"/>
              <w:spacing w:before="28"/>
              <w:ind w:left="67"/>
              <w:jc w:val="left"/>
              <w:rPr>
                <w:sz w:val="14"/>
              </w:rPr>
            </w:pPr>
            <w:r>
              <w:rPr>
                <w:spacing w:val="-2"/>
                <w:sz w:val="14"/>
              </w:rPr>
              <w:t>Reclassified</w:t>
            </w:r>
          </w:p>
        </w:tc>
        <w:tc>
          <w:tcPr>
            <w:tcW w:w="678" w:type="dxa"/>
            <w:tcBorders>
              <w:top w:val="single" w:sz="4" w:space="0" w:color="000000"/>
              <w:bottom w:val="single" w:sz="4" w:space="0" w:color="000000"/>
            </w:tcBorders>
          </w:tcPr>
          <w:p>
            <w:pPr>
              <w:pStyle w:val="TableParagraph"/>
              <w:spacing w:before="28"/>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8"/>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8"/>
              <w:ind w:right="171"/>
              <w:rPr>
                <w:sz w:val="14"/>
              </w:rPr>
            </w:pPr>
            <w:r>
              <w:rPr>
                <w:w w:val="99"/>
                <w:sz w:val="14"/>
              </w:rPr>
              <w:t>-</w:t>
            </w:r>
          </w:p>
        </w:tc>
        <w:tc>
          <w:tcPr>
            <w:tcW w:w="557" w:type="dxa"/>
            <w:tcBorders>
              <w:top w:val="single" w:sz="4" w:space="0" w:color="000000"/>
              <w:bottom w:val="single" w:sz="4" w:space="0" w:color="000000"/>
            </w:tcBorders>
          </w:tcPr>
          <w:p>
            <w:pPr>
              <w:pStyle w:val="TableParagraph"/>
              <w:spacing w:before="28"/>
              <w:ind w:right="167"/>
              <w:rPr>
                <w:sz w:val="14"/>
              </w:rPr>
            </w:pPr>
            <w:r>
              <w:rPr>
                <w:w w:val="99"/>
                <w:sz w:val="14"/>
              </w:rPr>
              <w:t>-</w:t>
            </w:r>
          </w:p>
        </w:tc>
        <w:tc>
          <w:tcPr>
            <w:tcW w:w="583" w:type="dxa"/>
            <w:tcBorders>
              <w:top w:val="single" w:sz="4" w:space="0" w:color="000000"/>
              <w:bottom w:val="single" w:sz="4" w:space="0" w:color="000000"/>
            </w:tcBorders>
          </w:tcPr>
          <w:p>
            <w:pPr>
              <w:pStyle w:val="TableParagraph"/>
              <w:spacing w:before="28"/>
              <w:ind w:left="194"/>
              <w:jc w:val="center"/>
              <w:rPr>
                <w:sz w:val="14"/>
              </w:rPr>
            </w:pPr>
            <w:r>
              <w:rPr>
                <w:w w:val="99"/>
                <w:sz w:val="14"/>
              </w:rPr>
              <w:t>-</w:t>
            </w:r>
          </w:p>
        </w:tc>
        <w:tc>
          <w:tcPr>
            <w:tcW w:w="546" w:type="dxa"/>
            <w:tcBorders>
              <w:top w:val="single" w:sz="4" w:space="0" w:color="000000"/>
              <w:bottom w:val="single" w:sz="4" w:space="0" w:color="000000"/>
            </w:tcBorders>
          </w:tcPr>
          <w:p>
            <w:pPr>
              <w:pStyle w:val="TableParagraph"/>
              <w:spacing w:before="28"/>
              <w:ind w:right="129"/>
              <w:rPr>
                <w:sz w:val="14"/>
              </w:rPr>
            </w:pPr>
            <w:r>
              <w:rPr>
                <w:w w:val="99"/>
                <w:sz w:val="14"/>
              </w:rPr>
              <w:t>-</w:t>
            </w:r>
          </w:p>
        </w:tc>
        <w:tc>
          <w:tcPr>
            <w:tcW w:w="713" w:type="dxa"/>
            <w:tcBorders>
              <w:top w:val="single" w:sz="4" w:space="0" w:color="000000"/>
              <w:bottom w:val="single" w:sz="4" w:space="0" w:color="000000"/>
            </w:tcBorders>
          </w:tcPr>
          <w:p>
            <w:pPr>
              <w:pStyle w:val="TableParagraph"/>
              <w:spacing w:before="28"/>
              <w:ind w:right="246"/>
              <w:rPr>
                <w:sz w:val="14"/>
              </w:rPr>
            </w:pPr>
            <w:r>
              <w:rPr>
                <w:w w:val="99"/>
                <w:sz w:val="14"/>
              </w:rPr>
              <w:t>-</w:t>
            </w:r>
          </w:p>
        </w:tc>
        <w:tc>
          <w:tcPr>
            <w:tcW w:w="668" w:type="dxa"/>
            <w:tcBorders>
              <w:top w:val="single" w:sz="4" w:space="0" w:color="000000"/>
              <w:bottom w:val="single" w:sz="4" w:space="0" w:color="000000"/>
            </w:tcBorders>
          </w:tcPr>
          <w:p>
            <w:pPr>
              <w:pStyle w:val="TableParagraph"/>
              <w:spacing w:before="28"/>
              <w:ind w:right="175"/>
              <w:rPr>
                <w:sz w:val="14"/>
              </w:rPr>
            </w:pPr>
            <w:r>
              <w:rPr>
                <w:w w:val="99"/>
                <w:sz w:val="14"/>
              </w:rPr>
              <w:t>-</w:t>
            </w:r>
          </w:p>
        </w:tc>
        <w:tc>
          <w:tcPr>
            <w:tcW w:w="490" w:type="dxa"/>
            <w:tcBorders>
              <w:top w:val="single" w:sz="4" w:space="0" w:color="000000"/>
              <w:bottom w:val="single" w:sz="4" w:space="0" w:color="000000"/>
            </w:tcBorders>
          </w:tcPr>
          <w:p>
            <w:pPr>
              <w:pStyle w:val="TableParagraph"/>
              <w:spacing w:before="28"/>
              <w:ind w:right="69"/>
              <w:rPr>
                <w:sz w:val="14"/>
              </w:rPr>
            </w:pPr>
            <w:r>
              <w:rPr>
                <w:w w:val="99"/>
                <w:sz w:val="14"/>
              </w:rPr>
              <w:t>-</w:t>
            </w:r>
          </w:p>
        </w:tc>
        <w:tc>
          <w:tcPr>
            <w:tcW w:w="793" w:type="dxa"/>
            <w:tcBorders>
              <w:top w:val="single" w:sz="4" w:space="0" w:color="000000"/>
              <w:bottom w:val="single" w:sz="4" w:space="0" w:color="000000"/>
            </w:tcBorders>
          </w:tcPr>
          <w:p>
            <w:pPr>
              <w:pStyle w:val="TableParagraph"/>
              <w:spacing w:before="28"/>
              <w:ind w:right="127"/>
              <w:rPr>
                <w:i/>
                <w:sz w:val="14"/>
              </w:rPr>
            </w:pPr>
            <w:r>
              <w:rPr>
                <w:i/>
                <w:w w:val="99"/>
                <w:sz w:val="14"/>
              </w:rPr>
              <w:t>-</w:t>
            </w:r>
          </w:p>
        </w:tc>
        <w:tc>
          <w:tcPr>
            <w:tcW w:w="568" w:type="dxa"/>
            <w:tcBorders>
              <w:top w:val="single" w:sz="4" w:space="0" w:color="000000"/>
              <w:bottom w:val="single" w:sz="4" w:space="0" w:color="000000"/>
            </w:tcBorders>
          </w:tcPr>
          <w:p>
            <w:pPr>
              <w:pStyle w:val="TableParagraph"/>
              <w:spacing w:before="28"/>
              <w:ind w:right="100"/>
              <w:rPr>
                <w:sz w:val="14"/>
              </w:rPr>
            </w:pPr>
            <w:r>
              <w:rPr>
                <w:w w:val="99"/>
                <w:sz w:val="14"/>
              </w:rPr>
              <w:t>-</w:t>
            </w:r>
          </w:p>
        </w:tc>
        <w:tc>
          <w:tcPr>
            <w:tcW w:w="578" w:type="dxa"/>
            <w:tcBorders>
              <w:top w:val="single" w:sz="4" w:space="0" w:color="000000"/>
              <w:bottom w:val="single" w:sz="4" w:space="0" w:color="000000"/>
            </w:tcBorders>
          </w:tcPr>
          <w:p>
            <w:pPr>
              <w:pStyle w:val="TableParagraph"/>
              <w:spacing w:before="28"/>
              <w:ind w:right="87"/>
              <w:rPr>
                <w:sz w:val="14"/>
              </w:rPr>
            </w:pPr>
            <w:r>
              <w:rPr>
                <w:w w:val="99"/>
                <w:sz w:val="14"/>
              </w:rPr>
              <w:t>-</w:t>
            </w:r>
          </w:p>
        </w:tc>
        <w:tc>
          <w:tcPr>
            <w:tcW w:w="564" w:type="dxa"/>
            <w:tcBorders>
              <w:top w:val="single" w:sz="4" w:space="0" w:color="000000"/>
              <w:bottom w:val="single" w:sz="4" w:space="0" w:color="000000"/>
            </w:tcBorders>
          </w:tcPr>
          <w:p>
            <w:pPr>
              <w:pStyle w:val="TableParagraph"/>
              <w:spacing w:before="28"/>
              <w:ind w:right="61"/>
              <w:rPr>
                <w:sz w:val="14"/>
              </w:rPr>
            </w:pPr>
            <w:r>
              <w:rPr>
                <w:w w:val="99"/>
                <w:sz w:val="14"/>
              </w:rPr>
              <w:t>-</w:t>
            </w:r>
          </w:p>
        </w:tc>
        <w:tc>
          <w:tcPr>
            <w:tcW w:w="820" w:type="dxa"/>
            <w:tcBorders>
              <w:top w:val="single" w:sz="4" w:space="0" w:color="000000"/>
              <w:bottom w:val="single" w:sz="4" w:space="0" w:color="000000"/>
            </w:tcBorders>
          </w:tcPr>
          <w:p>
            <w:pPr>
              <w:pStyle w:val="TableParagraph"/>
              <w:spacing w:before="28"/>
              <w:ind w:right="141"/>
              <w:rPr>
                <w:i/>
                <w:sz w:val="14"/>
              </w:rPr>
            </w:pPr>
            <w:r>
              <w:rPr>
                <w:i/>
                <w:w w:val="99"/>
                <w:sz w:val="14"/>
              </w:rPr>
              <w:t>-</w:t>
            </w:r>
          </w:p>
        </w:tc>
        <w:tc>
          <w:tcPr>
            <w:tcW w:w="518" w:type="dxa"/>
            <w:tcBorders>
              <w:top w:val="single" w:sz="4" w:space="0" w:color="000000"/>
              <w:bottom w:val="single" w:sz="4" w:space="0" w:color="000000"/>
            </w:tcBorders>
          </w:tcPr>
          <w:p>
            <w:pPr>
              <w:pStyle w:val="TableParagraph"/>
              <w:spacing w:before="28"/>
              <w:ind w:right="59"/>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3"/>
              <w:ind w:left="67"/>
              <w:jc w:val="left"/>
              <w:rPr>
                <w:sz w:val="14"/>
              </w:rPr>
            </w:pPr>
            <w:r>
              <w:rPr>
                <w:spacing w:val="-2"/>
                <w:sz w:val="14"/>
              </w:rPr>
              <w:t>Converted</w:t>
            </w:r>
          </w:p>
        </w:tc>
        <w:tc>
          <w:tcPr>
            <w:tcW w:w="678" w:type="dxa"/>
            <w:tcBorders>
              <w:top w:val="single" w:sz="4" w:space="0" w:color="000000"/>
              <w:bottom w:val="single" w:sz="4" w:space="0" w:color="000000"/>
            </w:tcBorders>
          </w:tcPr>
          <w:p>
            <w:pPr>
              <w:pStyle w:val="TableParagraph"/>
              <w:spacing w:before="23"/>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3"/>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3"/>
              <w:ind w:right="171"/>
              <w:rPr>
                <w:sz w:val="14"/>
              </w:rPr>
            </w:pPr>
            <w:r>
              <w:rPr>
                <w:w w:val="99"/>
                <w:sz w:val="14"/>
              </w:rPr>
              <w:t>-</w:t>
            </w:r>
          </w:p>
        </w:tc>
        <w:tc>
          <w:tcPr>
            <w:tcW w:w="557" w:type="dxa"/>
            <w:tcBorders>
              <w:top w:val="single" w:sz="4" w:space="0" w:color="000000"/>
              <w:bottom w:val="single" w:sz="4" w:space="0" w:color="000000"/>
            </w:tcBorders>
          </w:tcPr>
          <w:p>
            <w:pPr>
              <w:pStyle w:val="TableParagraph"/>
              <w:spacing w:before="23"/>
              <w:ind w:right="167"/>
              <w:rPr>
                <w:sz w:val="14"/>
              </w:rPr>
            </w:pPr>
            <w:r>
              <w:rPr>
                <w:w w:val="99"/>
                <w:sz w:val="14"/>
              </w:rPr>
              <w:t>-</w:t>
            </w:r>
          </w:p>
        </w:tc>
        <w:tc>
          <w:tcPr>
            <w:tcW w:w="583" w:type="dxa"/>
            <w:tcBorders>
              <w:top w:val="single" w:sz="4" w:space="0" w:color="000000"/>
              <w:bottom w:val="single" w:sz="4" w:space="0" w:color="000000"/>
            </w:tcBorders>
          </w:tcPr>
          <w:p>
            <w:pPr>
              <w:pStyle w:val="TableParagraph"/>
              <w:spacing w:before="23"/>
              <w:ind w:left="194"/>
              <w:jc w:val="center"/>
              <w:rPr>
                <w:sz w:val="14"/>
              </w:rPr>
            </w:pPr>
            <w:r>
              <w:rPr>
                <w:w w:val="99"/>
                <w:sz w:val="14"/>
              </w:rPr>
              <w:t>-</w:t>
            </w:r>
          </w:p>
        </w:tc>
        <w:tc>
          <w:tcPr>
            <w:tcW w:w="546" w:type="dxa"/>
            <w:tcBorders>
              <w:top w:val="single" w:sz="4" w:space="0" w:color="000000"/>
              <w:bottom w:val="single" w:sz="4" w:space="0" w:color="000000"/>
            </w:tcBorders>
          </w:tcPr>
          <w:p>
            <w:pPr>
              <w:pStyle w:val="TableParagraph"/>
              <w:spacing w:before="23"/>
              <w:ind w:right="129"/>
              <w:rPr>
                <w:sz w:val="14"/>
              </w:rPr>
            </w:pPr>
            <w:r>
              <w:rPr>
                <w:w w:val="99"/>
                <w:sz w:val="14"/>
              </w:rPr>
              <w:t>-</w:t>
            </w:r>
          </w:p>
        </w:tc>
        <w:tc>
          <w:tcPr>
            <w:tcW w:w="713" w:type="dxa"/>
            <w:tcBorders>
              <w:top w:val="single" w:sz="4" w:space="0" w:color="000000"/>
              <w:bottom w:val="single" w:sz="4" w:space="0" w:color="000000"/>
            </w:tcBorders>
          </w:tcPr>
          <w:p>
            <w:pPr>
              <w:pStyle w:val="TableParagraph"/>
              <w:spacing w:before="23"/>
              <w:ind w:right="246"/>
              <w:rPr>
                <w:sz w:val="14"/>
              </w:rPr>
            </w:pPr>
            <w:r>
              <w:rPr>
                <w:w w:val="99"/>
                <w:sz w:val="14"/>
              </w:rPr>
              <w:t>-</w:t>
            </w:r>
          </w:p>
        </w:tc>
        <w:tc>
          <w:tcPr>
            <w:tcW w:w="668" w:type="dxa"/>
            <w:tcBorders>
              <w:top w:val="single" w:sz="4" w:space="0" w:color="000000"/>
              <w:bottom w:val="single" w:sz="4" w:space="0" w:color="000000"/>
            </w:tcBorders>
          </w:tcPr>
          <w:p>
            <w:pPr>
              <w:pStyle w:val="TableParagraph"/>
              <w:spacing w:before="23"/>
              <w:ind w:right="175"/>
              <w:rPr>
                <w:sz w:val="14"/>
              </w:rPr>
            </w:pPr>
            <w:r>
              <w:rPr>
                <w:w w:val="99"/>
                <w:sz w:val="14"/>
              </w:rPr>
              <w:t>-</w:t>
            </w:r>
          </w:p>
        </w:tc>
        <w:tc>
          <w:tcPr>
            <w:tcW w:w="490" w:type="dxa"/>
            <w:tcBorders>
              <w:top w:val="single" w:sz="4" w:space="0" w:color="000000"/>
              <w:bottom w:val="single" w:sz="4" w:space="0" w:color="000000"/>
            </w:tcBorders>
          </w:tcPr>
          <w:p>
            <w:pPr>
              <w:pStyle w:val="TableParagraph"/>
              <w:spacing w:before="23"/>
              <w:ind w:right="69"/>
              <w:rPr>
                <w:sz w:val="14"/>
              </w:rPr>
            </w:pPr>
            <w:r>
              <w:rPr>
                <w:w w:val="99"/>
                <w:sz w:val="14"/>
              </w:rPr>
              <w:t>-</w:t>
            </w:r>
          </w:p>
        </w:tc>
        <w:tc>
          <w:tcPr>
            <w:tcW w:w="793" w:type="dxa"/>
            <w:tcBorders>
              <w:top w:val="single" w:sz="4" w:space="0" w:color="000000"/>
              <w:bottom w:val="single" w:sz="4" w:space="0" w:color="000000"/>
            </w:tcBorders>
          </w:tcPr>
          <w:p>
            <w:pPr>
              <w:pStyle w:val="TableParagraph"/>
              <w:spacing w:before="23"/>
              <w:ind w:right="127"/>
              <w:rPr>
                <w:i/>
                <w:sz w:val="14"/>
              </w:rPr>
            </w:pPr>
            <w:r>
              <w:rPr>
                <w:i/>
                <w:w w:val="99"/>
                <w:sz w:val="14"/>
              </w:rPr>
              <w:t>-</w:t>
            </w:r>
          </w:p>
        </w:tc>
        <w:tc>
          <w:tcPr>
            <w:tcW w:w="568" w:type="dxa"/>
            <w:tcBorders>
              <w:top w:val="single" w:sz="4" w:space="0" w:color="000000"/>
              <w:bottom w:val="single" w:sz="4" w:space="0" w:color="000000"/>
            </w:tcBorders>
          </w:tcPr>
          <w:p>
            <w:pPr>
              <w:pStyle w:val="TableParagraph"/>
              <w:spacing w:before="23"/>
              <w:ind w:right="100"/>
              <w:rPr>
                <w:sz w:val="14"/>
              </w:rPr>
            </w:pPr>
            <w:r>
              <w:rPr>
                <w:w w:val="99"/>
                <w:sz w:val="14"/>
              </w:rPr>
              <w:t>-</w:t>
            </w:r>
          </w:p>
        </w:tc>
        <w:tc>
          <w:tcPr>
            <w:tcW w:w="578" w:type="dxa"/>
            <w:tcBorders>
              <w:top w:val="single" w:sz="4" w:space="0" w:color="000000"/>
              <w:bottom w:val="single" w:sz="4" w:space="0" w:color="000000"/>
            </w:tcBorders>
          </w:tcPr>
          <w:p>
            <w:pPr>
              <w:pStyle w:val="TableParagraph"/>
              <w:spacing w:before="23"/>
              <w:ind w:right="87"/>
              <w:rPr>
                <w:sz w:val="14"/>
              </w:rPr>
            </w:pPr>
            <w:r>
              <w:rPr>
                <w:w w:val="99"/>
                <w:sz w:val="14"/>
              </w:rPr>
              <w:t>-</w:t>
            </w:r>
          </w:p>
        </w:tc>
        <w:tc>
          <w:tcPr>
            <w:tcW w:w="564" w:type="dxa"/>
            <w:tcBorders>
              <w:top w:val="single" w:sz="4" w:space="0" w:color="000000"/>
              <w:bottom w:val="single" w:sz="4" w:space="0" w:color="000000"/>
            </w:tcBorders>
          </w:tcPr>
          <w:p>
            <w:pPr>
              <w:pStyle w:val="TableParagraph"/>
              <w:spacing w:before="23"/>
              <w:ind w:right="61"/>
              <w:rPr>
                <w:sz w:val="14"/>
              </w:rPr>
            </w:pPr>
            <w:r>
              <w:rPr>
                <w:w w:val="99"/>
                <w:sz w:val="14"/>
              </w:rPr>
              <w:t>-</w:t>
            </w:r>
          </w:p>
        </w:tc>
        <w:tc>
          <w:tcPr>
            <w:tcW w:w="820" w:type="dxa"/>
            <w:tcBorders>
              <w:top w:val="single" w:sz="4" w:space="0" w:color="000000"/>
              <w:bottom w:val="single" w:sz="4" w:space="0" w:color="000000"/>
            </w:tcBorders>
          </w:tcPr>
          <w:p>
            <w:pPr>
              <w:pStyle w:val="TableParagraph"/>
              <w:spacing w:before="23"/>
              <w:ind w:right="141"/>
              <w:rPr>
                <w:i/>
                <w:sz w:val="14"/>
              </w:rPr>
            </w:pPr>
            <w:r>
              <w:rPr>
                <w:i/>
                <w:w w:val="99"/>
                <w:sz w:val="14"/>
              </w:rPr>
              <w:t>-</w:t>
            </w:r>
          </w:p>
        </w:tc>
        <w:tc>
          <w:tcPr>
            <w:tcW w:w="518" w:type="dxa"/>
            <w:tcBorders>
              <w:top w:val="single" w:sz="4" w:space="0" w:color="000000"/>
              <w:bottom w:val="single" w:sz="4" w:space="0" w:color="000000"/>
            </w:tcBorders>
          </w:tcPr>
          <w:p>
            <w:pPr>
              <w:pStyle w:val="TableParagraph"/>
              <w:spacing w:before="23"/>
              <w:ind w:right="59"/>
              <w:rPr>
                <w:b/>
                <w:sz w:val="14"/>
              </w:rPr>
            </w:pPr>
            <w:r>
              <w:rPr>
                <w:b/>
                <w:w w:val="99"/>
                <w:sz w:val="14"/>
              </w:rPr>
              <w:t>-</w:t>
            </w:r>
          </w:p>
        </w:tc>
      </w:tr>
      <w:tr>
        <w:trPr>
          <w:trHeight w:val="229" w:hRule="atLeast"/>
        </w:trPr>
        <w:tc>
          <w:tcPr>
            <w:tcW w:w="1186" w:type="dxa"/>
            <w:tcBorders>
              <w:top w:val="single" w:sz="4" w:space="0" w:color="000000"/>
              <w:bottom w:val="single" w:sz="12" w:space="0" w:color="000000"/>
            </w:tcBorders>
          </w:tcPr>
          <w:p>
            <w:pPr>
              <w:pStyle w:val="TableParagraph"/>
              <w:spacing w:before="28"/>
              <w:ind w:left="67"/>
              <w:jc w:val="left"/>
              <w:rPr>
                <w:b/>
                <w:sz w:val="14"/>
              </w:rPr>
            </w:pPr>
            <w:r>
              <w:rPr>
                <w:b/>
                <w:sz w:val="14"/>
              </w:rPr>
              <w:t>Proposed</w:t>
            </w:r>
            <w:r>
              <w:rPr>
                <w:b/>
                <w:spacing w:val="-6"/>
                <w:sz w:val="14"/>
              </w:rPr>
              <w:t> </w:t>
            </w:r>
            <w:r>
              <w:rPr>
                <w:b/>
                <w:spacing w:val="-4"/>
                <w:sz w:val="14"/>
              </w:rPr>
              <w:t>2023</w:t>
            </w:r>
          </w:p>
        </w:tc>
        <w:tc>
          <w:tcPr>
            <w:tcW w:w="678" w:type="dxa"/>
            <w:tcBorders>
              <w:top w:val="single" w:sz="4" w:space="0" w:color="000000"/>
              <w:bottom w:val="single" w:sz="12" w:space="0" w:color="000000"/>
            </w:tcBorders>
          </w:tcPr>
          <w:p>
            <w:pPr>
              <w:pStyle w:val="TableParagraph"/>
              <w:spacing w:before="28"/>
              <w:ind w:right="154"/>
              <w:rPr>
                <w:b/>
                <w:sz w:val="14"/>
              </w:rPr>
            </w:pPr>
            <w:r>
              <w:rPr>
                <w:b/>
                <w:w w:val="99"/>
                <w:sz w:val="14"/>
              </w:rPr>
              <w:t>-</w:t>
            </w:r>
          </w:p>
        </w:tc>
        <w:tc>
          <w:tcPr>
            <w:tcW w:w="607" w:type="dxa"/>
            <w:tcBorders>
              <w:top w:val="single" w:sz="4" w:space="0" w:color="000000"/>
              <w:bottom w:val="single" w:sz="12" w:space="0" w:color="000000"/>
            </w:tcBorders>
          </w:tcPr>
          <w:p>
            <w:pPr>
              <w:pStyle w:val="TableParagraph"/>
              <w:spacing w:before="28"/>
              <w:ind w:right="170"/>
              <w:rPr>
                <w:b/>
                <w:sz w:val="14"/>
              </w:rPr>
            </w:pPr>
            <w:r>
              <w:rPr>
                <w:b/>
                <w:w w:val="99"/>
                <w:sz w:val="14"/>
              </w:rPr>
              <w:t>-</w:t>
            </w:r>
          </w:p>
        </w:tc>
        <w:tc>
          <w:tcPr>
            <w:tcW w:w="563" w:type="dxa"/>
            <w:tcBorders>
              <w:top w:val="single" w:sz="4" w:space="0" w:color="000000"/>
              <w:bottom w:val="single" w:sz="12" w:space="0" w:color="000000"/>
            </w:tcBorders>
          </w:tcPr>
          <w:p>
            <w:pPr>
              <w:pStyle w:val="TableParagraph"/>
              <w:spacing w:before="28"/>
              <w:ind w:right="171"/>
              <w:rPr>
                <w:b/>
                <w:sz w:val="14"/>
              </w:rPr>
            </w:pPr>
            <w:r>
              <w:rPr>
                <w:b/>
                <w:w w:val="99"/>
                <w:sz w:val="14"/>
              </w:rPr>
              <w:t>-</w:t>
            </w:r>
          </w:p>
        </w:tc>
        <w:tc>
          <w:tcPr>
            <w:tcW w:w="557" w:type="dxa"/>
            <w:tcBorders>
              <w:top w:val="single" w:sz="4" w:space="0" w:color="000000"/>
              <w:bottom w:val="single" w:sz="12" w:space="0" w:color="000000"/>
            </w:tcBorders>
          </w:tcPr>
          <w:p>
            <w:pPr>
              <w:pStyle w:val="TableParagraph"/>
              <w:spacing w:before="28"/>
              <w:ind w:right="167"/>
              <w:rPr>
                <w:b/>
                <w:sz w:val="14"/>
              </w:rPr>
            </w:pPr>
            <w:r>
              <w:rPr>
                <w:b/>
                <w:w w:val="99"/>
                <w:sz w:val="14"/>
              </w:rPr>
              <w:t>-</w:t>
            </w:r>
          </w:p>
        </w:tc>
        <w:tc>
          <w:tcPr>
            <w:tcW w:w="583" w:type="dxa"/>
            <w:tcBorders>
              <w:top w:val="single" w:sz="4" w:space="0" w:color="000000"/>
              <w:bottom w:val="single" w:sz="12" w:space="0" w:color="000000"/>
            </w:tcBorders>
          </w:tcPr>
          <w:p>
            <w:pPr>
              <w:pStyle w:val="TableParagraph"/>
              <w:spacing w:before="28"/>
              <w:ind w:left="157" w:right="156"/>
              <w:jc w:val="center"/>
              <w:rPr>
                <w:b/>
                <w:sz w:val="14"/>
              </w:rPr>
            </w:pPr>
            <w:r>
              <w:rPr>
                <w:b/>
                <w:spacing w:val="-4"/>
                <w:sz w:val="14"/>
              </w:rPr>
              <w:t>1.00</w:t>
            </w:r>
          </w:p>
        </w:tc>
        <w:tc>
          <w:tcPr>
            <w:tcW w:w="546" w:type="dxa"/>
            <w:tcBorders>
              <w:top w:val="single" w:sz="4" w:space="0" w:color="000000"/>
              <w:bottom w:val="single" w:sz="12" w:space="0" w:color="000000"/>
            </w:tcBorders>
          </w:tcPr>
          <w:p>
            <w:pPr>
              <w:pStyle w:val="TableParagraph"/>
              <w:spacing w:before="28"/>
              <w:ind w:right="125"/>
              <w:rPr>
                <w:b/>
                <w:sz w:val="14"/>
              </w:rPr>
            </w:pPr>
            <w:r>
              <w:rPr>
                <w:b/>
                <w:spacing w:val="-4"/>
                <w:sz w:val="14"/>
              </w:rPr>
              <w:t>4.00</w:t>
            </w:r>
          </w:p>
        </w:tc>
        <w:tc>
          <w:tcPr>
            <w:tcW w:w="713" w:type="dxa"/>
            <w:tcBorders>
              <w:top w:val="single" w:sz="4" w:space="0" w:color="000000"/>
              <w:bottom w:val="single" w:sz="12" w:space="0" w:color="000000"/>
            </w:tcBorders>
          </w:tcPr>
          <w:p>
            <w:pPr>
              <w:pStyle w:val="TableParagraph"/>
              <w:spacing w:before="28"/>
              <w:ind w:right="243"/>
              <w:rPr>
                <w:b/>
                <w:sz w:val="14"/>
              </w:rPr>
            </w:pPr>
            <w:r>
              <w:rPr>
                <w:b/>
                <w:spacing w:val="-2"/>
                <w:sz w:val="14"/>
              </w:rPr>
              <w:t>13.25</w:t>
            </w:r>
          </w:p>
        </w:tc>
        <w:tc>
          <w:tcPr>
            <w:tcW w:w="668" w:type="dxa"/>
            <w:tcBorders>
              <w:top w:val="single" w:sz="4" w:space="0" w:color="000000"/>
              <w:bottom w:val="single" w:sz="12" w:space="0" w:color="000000"/>
            </w:tcBorders>
          </w:tcPr>
          <w:p>
            <w:pPr>
              <w:pStyle w:val="TableParagraph"/>
              <w:spacing w:before="28"/>
              <w:ind w:right="171"/>
              <w:rPr>
                <w:b/>
                <w:sz w:val="14"/>
              </w:rPr>
            </w:pPr>
            <w:r>
              <w:rPr>
                <w:b/>
                <w:spacing w:val="-4"/>
                <w:sz w:val="14"/>
              </w:rPr>
              <w:t>9.75</w:t>
            </w:r>
          </w:p>
        </w:tc>
        <w:tc>
          <w:tcPr>
            <w:tcW w:w="490" w:type="dxa"/>
            <w:tcBorders>
              <w:top w:val="single" w:sz="4" w:space="0" w:color="000000"/>
              <w:bottom w:val="single" w:sz="12" w:space="0" w:color="000000"/>
            </w:tcBorders>
          </w:tcPr>
          <w:p>
            <w:pPr>
              <w:pStyle w:val="TableParagraph"/>
              <w:spacing w:before="28"/>
              <w:ind w:right="66"/>
              <w:rPr>
                <w:b/>
                <w:sz w:val="14"/>
              </w:rPr>
            </w:pPr>
            <w:r>
              <w:rPr>
                <w:b/>
                <w:spacing w:val="-4"/>
                <w:sz w:val="14"/>
              </w:rPr>
              <w:t>2.75</w:t>
            </w:r>
          </w:p>
        </w:tc>
        <w:tc>
          <w:tcPr>
            <w:tcW w:w="793" w:type="dxa"/>
            <w:tcBorders>
              <w:top w:val="single" w:sz="4" w:space="0" w:color="000000"/>
              <w:bottom w:val="single" w:sz="12" w:space="0" w:color="000000"/>
            </w:tcBorders>
          </w:tcPr>
          <w:p>
            <w:pPr>
              <w:pStyle w:val="TableParagraph"/>
              <w:spacing w:before="28"/>
              <w:ind w:right="125"/>
              <w:rPr>
                <w:b/>
                <w:i/>
                <w:sz w:val="14"/>
              </w:rPr>
            </w:pPr>
            <w:r>
              <w:rPr>
                <w:b/>
                <w:i/>
                <w:spacing w:val="-2"/>
                <w:sz w:val="14"/>
              </w:rPr>
              <w:t>30.75</w:t>
            </w:r>
          </w:p>
        </w:tc>
        <w:tc>
          <w:tcPr>
            <w:tcW w:w="568" w:type="dxa"/>
            <w:tcBorders>
              <w:top w:val="single" w:sz="4" w:space="0" w:color="000000"/>
              <w:bottom w:val="single" w:sz="12" w:space="0" w:color="000000"/>
            </w:tcBorders>
          </w:tcPr>
          <w:p>
            <w:pPr>
              <w:pStyle w:val="TableParagraph"/>
              <w:spacing w:before="28"/>
              <w:ind w:right="97"/>
              <w:rPr>
                <w:b/>
                <w:sz w:val="14"/>
              </w:rPr>
            </w:pPr>
            <w:r>
              <w:rPr>
                <w:b/>
                <w:spacing w:val="-4"/>
                <w:sz w:val="14"/>
              </w:rPr>
              <w:t>1.33</w:t>
            </w:r>
          </w:p>
        </w:tc>
        <w:tc>
          <w:tcPr>
            <w:tcW w:w="578" w:type="dxa"/>
            <w:tcBorders>
              <w:top w:val="single" w:sz="4" w:space="0" w:color="000000"/>
              <w:bottom w:val="single" w:sz="12" w:space="0" w:color="000000"/>
            </w:tcBorders>
          </w:tcPr>
          <w:p>
            <w:pPr>
              <w:pStyle w:val="TableParagraph"/>
              <w:spacing w:before="28"/>
              <w:ind w:right="87"/>
              <w:rPr>
                <w:b/>
                <w:sz w:val="14"/>
              </w:rPr>
            </w:pPr>
            <w:r>
              <w:rPr>
                <w:b/>
                <w:w w:val="99"/>
                <w:sz w:val="14"/>
              </w:rPr>
              <w:t>-</w:t>
            </w:r>
          </w:p>
        </w:tc>
        <w:tc>
          <w:tcPr>
            <w:tcW w:w="564" w:type="dxa"/>
            <w:tcBorders>
              <w:top w:val="single" w:sz="4" w:space="0" w:color="000000"/>
              <w:bottom w:val="single" w:sz="12" w:space="0" w:color="000000"/>
            </w:tcBorders>
          </w:tcPr>
          <w:p>
            <w:pPr>
              <w:pStyle w:val="TableParagraph"/>
              <w:spacing w:before="28"/>
              <w:ind w:right="57"/>
              <w:rPr>
                <w:b/>
                <w:sz w:val="14"/>
              </w:rPr>
            </w:pPr>
            <w:r>
              <w:rPr>
                <w:b/>
                <w:spacing w:val="-4"/>
                <w:sz w:val="14"/>
              </w:rPr>
              <w:t>9.75</w:t>
            </w:r>
          </w:p>
        </w:tc>
        <w:tc>
          <w:tcPr>
            <w:tcW w:w="820" w:type="dxa"/>
            <w:tcBorders>
              <w:top w:val="single" w:sz="4" w:space="0" w:color="000000"/>
              <w:bottom w:val="single" w:sz="12" w:space="0" w:color="000000"/>
            </w:tcBorders>
          </w:tcPr>
          <w:p>
            <w:pPr>
              <w:pStyle w:val="TableParagraph"/>
              <w:spacing w:before="28"/>
              <w:ind w:right="138"/>
              <w:rPr>
                <w:b/>
                <w:i/>
                <w:sz w:val="14"/>
              </w:rPr>
            </w:pPr>
            <w:r>
              <w:rPr>
                <w:b/>
                <w:i/>
                <w:spacing w:val="-2"/>
                <w:sz w:val="14"/>
              </w:rPr>
              <w:t>11.08</w:t>
            </w:r>
          </w:p>
        </w:tc>
        <w:tc>
          <w:tcPr>
            <w:tcW w:w="518" w:type="dxa"/>
            <w:tcBorders>
              <w:top w:val="single" w:sz="4" w:space="0" w:color="000000"/>
              <w:bottom w:val="single" w:sz="12" w:space="0" w:color="000000"/>
            </w:tcBorders>
          </w:tcPr>
          <w:p>
            <w:pPr>
              <w:pStyle w:val="TableParagraph"/>
              <w:spacing w:before="28"/>
              <w:ind w:right="56"/>
              <w:rPr>
                <w:b/>
                <w:sz w:val="14"/>
              </w:rPr>
            </w:pPr>
            <w:r>
              <w:rPr>
                <w:b/>
                <w:spacing w:val="-2"/>
                <w:sz w:val="14"/>
              </w:rPr>
              <w:t>41.83</w:t>
            </w:r>
          </w:p>
        </w:tc>
      </w:tr>
    </w:tbl>
    <w:p>
      <w:pPr>
        <w:spacing w:after="0"/>
        <w:rPr>
          <w:sz w:val="14"/>
        </w:rPr>
        <w:sectPr>
          <w:pgSz w:w="11910" w:h="16840"/>
          <w:pgMar w:header="957" w:footer="940" w:top="1140" w:bottom="1140" w:left="20" w:right="20"/>
        </w:sectPr>
      </w:pPr>
    </w:p>
    <w:p>
      <w:pPr>
        <w:pStyle w:val="ListParagraph"/>
        <w:numPr>
          <w:ilvl w:val="2"/>
          <w:numId w:val="3"/>
        </w:numPr>
        <w:tabs>
          <w:tab w:pos="2246" w:val="left" w:leader="none"/>
          <w:tab w:pos="2247" w:val="left" w:leader="none"/>
        </w:tabs>
        <w:spacing w:line="491" w:lineRule="auto" w:before="124" w:after="0"/>
        <w:ind w:left="2246" w:right="4978" w:hanging="567"/>
        <w:jc w:val="left"/>
        <w:rPr>
          <w:b/>
          <w:sz w:val="20"/>
        </w:rPr>
      </w:pPr>
      <w:bookmarkStart w:name="_bookmark27" w:id="28"/>
      <w:bookmarkEnd w:id="28"/>
      <w:r>
        <w:rPr>
          <w:b/>
          <w:sz w:val="20"/>
        </w:rPr>
        <w:t>P</w:t>
      </w:r>
      <w:r>
        <w:rPr>
          <w:b/>
          <w:sz w:val="20"/>
        </w:rPr>
        <w:t>rogramme</w:t>
      </w:r>
      <w:r>
        <w:rPr>
          <w:b/>
          <w:spacing w:val="-5"/>
          <w:sz w:val="20"/>
        </w:rPr>
        <w:t> </w:t>
      </w:r>
      <w:r>
        <w:rPr>
          <w:b/>
          <w:sz w:val="20"/>
        </w:rPr>
        <w:t>B2:</w:t>
      </w:r>
      <w:r>
        <w:rPr>
          <w:b/>
          <w:spacing w:val="-6"/>
          <w:sz w:val="20"/>
        </w:rPr>
        <w:t> </w:t>
      </w:r>
      <w:r>
        <w:rPr>
          <w:b/>
          <w:sz w:val="20"/>
        </w:rPr>
        <w:t>Prosecution</w:t>
      </w:r>
      <w:r>
        <w:rPr>
          <w:b/>
          <w:spacing w:val="-7"/>
          <w:sz w:val="20"/>
        </w:rPr>
        <w:t> </w:t>
      </w:r>
      <w:r>
        <w:rPr>
          <w:b/>
          <w:sz w:val="20"/>
        </w:rPr>
        <w:t>Pillar</w:t>
      </w:r>
      <w:r>
        <w:rPr>
          <w:b/>
          <w:spacing w:val="-1"/>
          <w:sz w:val="20"/>
        </w:rPr>
        <w:t> </w:t>
      </w:r>
      <w:r>
        <w:rPr>
          <w:b/>
          <w:sz w:val="20"/>
        </w:rPr>
        <w:t>–</w:t>
      </w:r>
      <w:r>
        <w:rPr>
          <w:b/>
          <w:spacing w:val="-5"/>
          <w:sz w:val="20"/>
        </w:rPr>
        <w:t> </w:t>
      </w:r>
      <w:r>
        <w:rPr>
          <w:b/>
          <w:sz w:val="20"/>
        </w:rPr>
        <w:t>Programme</w:t>
      </w:r>
      <w:r>
        <w:rPr>
          <w:b/>
          <w:spacing w:val="-5"/>
          <w:sz w:val="20"/>
        </w:rPr>
        <w:t> </w:t>
      </w:r>
      <w:r>
        <w:rPr>
          <w:b/>
          <w:sz w:val="20"/>
        </w:rPr>
        <w:t>2700 </w:t>
      </w:r>
      <w:r>
        <w:rPr>
          <w:b/>
          <w:spacing w:val="-2"/>
          <w:sz w:val="20"/>
        </w:rPr>
        <w:t>Introduction</w:t>
      </w:r>
    </w:p>
    <w:p>
      <w:pPr>
        <w:pStyle w:val="BodyText"/>
        <w:ind w:left="4744"/>
      </w:pPr>
      <w:r>
        <w:rPr/>
        <w:pict>
          <v:group style="width:117.9pt;height:119.4pt;mso-position-horizontal-relative:char;mso-position-vertical-relative:line" id="docshapegroup137" coordorigin="0,0" coordsize="2358,2388">
            <v:shape style="position:absolute;left:23;top:0;width:2243;height:898" type="#_x0000_t75" id="docshape138" stroked="false">
              <v:imagedata r:id="rId51" o:title=""/>
            </v:shape>
            <v:shape style="position:absolute;left:0;top:630;width:2358;height:384" type="#_x0000_t75" id="docshape139" stroked="false">
              <v:imagedata r:id="rId52" o:title=""/>
            </v:shape>
            <v:shape style="position:absolute;left:1171;top:973;width:17;height:499" type="#_x0000_t75" id="docshape140" stroked="false">
              <v:imagedata r:id="rId53" o:title=""/>
            </v:shape>
            <v:shape style="position:absolute;left:66;top:1523;width:2221;height:830" type="#_x0000_t75" id="docshape141" stroked="false">
              <v:imagedata r:id="rId54" o:title=""/>
            </v:shape>
            <v:shape style="position:absolute;left:129;top:2170;width:2188;height:214" type="#_x0000_t75" id="docshape142" stroked="false">
              <v:imagedata r:id="rId55" o:title=""/>
            </v:shape>
            <v:shape style="position:absolute;left:353;top:222;width:1667;height:725" type="#_x0000_t202" id="docshape143" filled="false" stroked="false">
              <v:textbox inset="0,0,0,0">
                <w:txbxContent>
                  <w:p>
                    <w:pPr>
                      <w:spacing w:line="183" w:lineRule="exact" w:before="0"/>
                      <w:ind w:left="0" w:right="19" w:firstLine="0"/>
                      <w:jc w:val="center"/>
                      <w:rPr>
                        <w:rFonts w:ascii="Calibri"/>
                        <w:b/>
                        <w:sz w:val="18"/>
                      </w:rPr>
                    </w:pPr>
                    <w:r>
                      <w:rPr>
                        <w:rFonts w:ascii="Calibri"/>
                        <w:b/>
                        <w:w w:val="95"/>
                        <w:sz w:val="18"/>
                      </w:rPr>
                      <w:t>PROGRAMME</w:t>
                    </w:r>
                    <w:r>
                      <w:rPr>
                        <w:rFonts w:ascii="Calibri"/>
                        <w:b/>
                        <w:spacing w:val="37"/>
                        <w:sz w:val="18"/>
                      </w:rPr>
                      <w:t> </w:t>
                    </w:r>
                    <w:r>
                      <w:rPr>
                        <w:rFonts w:ascii="Calibri"/>
                        <w:b/>
                        <w:spacing w:val="-5"/>
                        <w:sz w:val="18"/>
                      </w:rPr>
                      <w:t>B2</w:t>
                    </w:r>
                  </w:p>
                  <w:p>
                    <w:pPr>
                      <w:spacing w:before="52"/>
                      <w:ind w:left="0" w:right="18" w:firstLine="0"/>
                      <w:jc w:val="center"/>
                      <w:rPr>
                        <w:rFonts w:ascii="Calibri"/>
                        <w:b/>
                        <w:sz w:val="18"/>
                      </w:rPr>
                    </w:pPr>
                    <w:r>
                      <w:rPr>
                        <w:rFonts w:ascii="Calibri"/>
                        <w:b/>
                        <w:spacing w:val="-2"/>
                        <w:sz w:val="18"/>
                      </w:rPr>
                      <w:t>DEPUTY</w:t>
                    </w:r>
                    <w:r>
                      <w:rPr>
                        <w:rFonts w:ascii="Calibri"/>
                        <w:b/>
                        <w:spacing w:val="-1"/>
                        <w:sz w:val="18"/>
                      </w:rPr>
                      <w:t> </w:t>
                    </w:r>
                    <w:r>
                      <w:rPr>
                        <w:rFonts w:ascii="Calibri"/>
                        <w:b/>
                        <w:spacing w:val="-2"/>
                        <w:sz w:val="18"/>
                      </w:rPr>
                      <w:t>PROSECUTOR</w:t>
                    </w:r>
                  </w:p>
                  <w:p>
                    <w:pPr>
                      <w:spacing w:line="216" w:lineRule="exact" w:before="52"/>
                      <w:ind w:left="239" w:right="196" w:firstLine="0"/>
                      <w:jc w:val="center"/>
                      <w:rPr>
                        <w:rFonts w:ascii="Calibri"/>
                        <w:b/>
                        <w:sz w:val="18"/>
                      </w:rPr>
                    </w:pPr>
                    <w:r>
                      <w:rPr>
                        <w:rFonts w:ascii="Calibri"/>
                        <w:b/>
                        <w:color w:val="FFFFFF"/>
                        <w:spacing w:val="-4"/>
                        <w:sz w:val="18"/>
                      </w:rPr>
                      <w:t>2700</w:t>
                    </w:r>
                  </w:p>
                </w:txbxContent>
              </v:textbox>
              <w10:wrap type="none"/>
            </v:shape>
            <v:shape style="position:absolute;left:511;top:1702;width:1413;height:685" type="#_x0000_t202" id="docshape144" filled="false" stroked="false">
              <v:textbox inset="0,0,0,0">
                <w:txbxContent>
                  <w:p>
                    <w:pPr>
                      <w:spacing w:line="171" w:lineRule="exact" w:before="0"/>
                      <w:ind w:left="-1" w:right="18" w:firstLine="0"/>
                      <w:jc w:val="center"/>
                      <w:rPr>
                        <w:rFonts w:ascii="Calibri"/>
                        <w:b/>
                        <w:sz w:val="18"/>
                      </w:rPr>
                    </w:pPr>
                    <w:r>
                      <w:rPr>
                        <w:rFonts w:ascii="Calibri"/>
                        <w:b/>
                        <w:color w:val="FFFFFF"/>
                        <w:sz w:val="18"/>
                      </w:rPr>
                      <w:t>Deputy</w:t>
                    </w:r>
                    <w:r>
                      <w:rPr>
                        <w:rFonts w:ascii="Calibri"/>
                        <w:b/>
                        <w:color w:val="FFFFFF"/>
                        <w:spacing w:val="-9"/>
                        <w:sz w:val="18"/>
                      </w:rPr>
                      <w:t> </w:t>
                    </w:r>
                    <w:r>
                      <w:rPr>
                        <w:rFonts w:ascii="Calibri"/>
                        <w:b/>
                        <w:color w:val="FFFFFF"/>
                        <w:spacing w:val="-2"/>
                        <w:sz w:val="18"/>
                      </w:rPr>
                      <w:t>Prosecutor</w:t>
                    </w:r>
                  </w:p>
                  <w:p>
                    <w:pPr>
                      <w:spacing w:line="207" w:lineRule="exact" w:before="0"/>
                      <w:ind w:left="396" w:right="415" w:firstLine="0"/>
                      <w:jc w:val="center"/>
                      <w:rPr>
                        <w:rFonts w:ascii="Calibri"/>
                        <w:b/>
                        <w:sz w:val="18"/>
                      </w:rPr>
                    </w:pPr>
                    <w:r>
                      <w:rPr>
                        <w:rFonts w:ascii="Calibri"/>
                        <w:b/>
                        <w:color w:val="FFFFFF"/>
                        <w:spacing w:val="-2"/>
                        <w:sz w:val="18"/>
                      </w:rPr>
                      <w:t>Staffing</w:t>
                    </w:r>
                  </w:p>
                  <w:p>
                    <w:pPr>
                      <w:spacing w:line="216" w:lineRule="exact" w:before="90"/>
                      <w:ind w:left="58" w:right="18" w:firstLine="0"/>
                      <w:jc w:val="center"/>
                      <w:rPr>
                        <w:rFonts w:ascii="Calibri"/>
                        <w:b/>
                        <w:sz w:val="18"/>
                      </w:rPr>
                    </w:pPr>
                    <w:r>
                      <w:rPr>
                        <w:rFonts w:ascii="Calibri"/>
                        <w:b/>
                        <w:color w:val="FFFFFF"/>
                        <w:spacing w:val="-4"/>
                        <w:sz w:val="18"/>
                      </w:rPr>
                      <w:t>2710</w:t>
                    </w:r>
                  </w:p>
                </w:txbxContent>
              </v:textbox>
              <w10:wrap type="none"/>
            </v:shape>
          </v:group>
        </w:pict>
      </w:r>
      <w:r>
        <w:rPr/>
      </w:r>
    </w:p>
    <w:p>
      <w:pPr>
        <w:pStyle w:val="BodyText"/>
        <w:spacing w:before="1"/>
        <w:rPr>
          <w:b/>
          <w:sz w:val="11"/>
        </w:rPr>
      </w:pPr>
      <w:r>
        <w:rPr/>
        <w:pict>
          <v:group style="position:absolute;margin-left:242.985718pt;margin-top:7.576132pt;width:112.6pt;height:43.2pt;mso-position-horizontal-relative:page;mso-position-vertical-relative:paragraph;z-index:-15700992;mso-wrap-distance-left:0;mso-wrap-distance-right:0" id="docshapegroup145" coordorigin="4860,152" coordsize="2252,864">
            <v:shape style="position:absolute;left:4859;top:151;width:2224;height:830" type="#_x0000_t75" id="docshape146" stroked="false">
              <v:imagedata r:id="rId56" o:title=""/>
            </v:shape>
            <v:shape style="position:absolute;left:4924;top:799;width:2188;height:212" type="#_x0000_t75" id="docshape147" stroked="false">
              <v:imagedata r:id="rId57" o:title=""/>
            </v:shape>
            <v:shape style="position:absolute;left:4859;top:151;width:2252;height:864" type="#_x0000_t202" id="docshape148" filled="false" stroked="false">
              <v:textbox inset="0,0,0,0">
                <w:txbxContent>
                  <w:p>
                    <w:pPr>
                      <w:spacing w:line="211" w:lineRule="auto" w:before="65"/>
                      <w:ind w:left="219" w:right="182" w:firstLine="0"/>
                      <w:jc w:val="center"/>
                      <w:rPr>
                        <w:rFonts w:ascii="Calibri"/>
                        <w:b/>
                        <w:sz w:val="18"/>
                      </w:rPr>
                    </w:pPr>
                    <w:r>
                      <w:rPr>
                        <w:rFonts w:ascii="Calibri"/>
                        <w:b/>
                        <w:color w:val="FFFFFF"/>
                        <w:sz w:val="18"/>
                      </w:rPr>
                      <w:t>Appeals</w:t>
                    </w:r>
                    <w:r>
                      <w:rPr>
                        <w:rFonts w:ascii="Calibri"/>
                        <w:b/>
                        <w:color w:val="FFFFFF"/>
                        <w:spacing w:val="-10"/>
                        <w:sz w:val="18"/>
                      </w:rPr>
                      <w:t> </w:t>
                    </w:r>
                    <w:r>
                      <w:rPr>
                        <w:rFonts w:ascii="Calibri"/>
                        <w:b/>
                        <w:color w:val="FFFFFF"/>
                        <w:sz w:val="18"/>
                      </w:rPr>
                      <w:t>and</w:t>
                    </w:r>
                    <w:r>
                      <w:rPr>
                        <w:rFonts w:ascii="Calibri"/>
                        <w:b/>
                        <w:color w:val="FFFFFF"/>
                        <w:spacing w:val="-10"/>
                        <w:sz w:val="18"/>
                      </w:rPr>
                      <w:t> </w:t>
                    </w:r>
                    <w:r>
                      <w:rPr>
                        <w:rFonts w:ascii="Calibri"/>
                        <w:b/>
                        <w:color w:val="FFFFFF"/>
                        <w:sz w:val="18"/>
                      </w:rPr>
                      <w:t>Prosecution Legal</w:t>
                    </w:r>
                    <w:r>
                      <w:rPr>
                        <w:rFonts w:ascii="Calibri"/>
                        <w:b/>
                        <w:color w:val="FFFFFF"/>
                        <w:spacing w:val="-8"/>
                        <w:sz w:val="18"/>
                      </w:rPr>
                      <w:t> </w:t>
                    </w:r>
                    <w:r>
                      <w:rPr>
                        <w:rFonts w:ascii="Calibri"/>
                        <w:b/>
                        <w:color w:val="FFFFFF"/>
                        <w:sz w:val="18"/>
                      </w:rPr>
                      <w:t>Coordination </w:t>
                    </w:r>
                    <w:r>
                      <w:rPr>
                        <w:rFonts w:ascii="Calibri"/>
                        <w:b/>
                        <w:color w:val="FFFFFF"/>
                        <w:spacing w:val="-2"/>
                        <w:sz w:val="18"/>
                      </w:rPr>
                      <w:t>Section</w:t>
                    </w:r>
                  </w:p>
                  <w:p>
                    <w:pPr>
                      <w:spacing w:line="216" w:lineRule="exact" w:before="1"/>
                      <w:ind w:left="219" w:right="125" w:firstLine="0"/>
                      <w:jc w:val="center"/>
                      <w:rPr>
                        <w:rFonts w:ascii="Calibri"/>
                        <w:b/>
                        <w:sz w:val="18"/>
                      </w:rPr>
                    </w:pPr>
                    <w:r>
                      <w:rPr>
                        <w:rFonts w:ascii="Calibri"/>
                        <w:b/>
                        <w:color w:val="FFFFFF"/>
                        <w:spacing w:val="-4"/>
                        <w:sz w:val="18"/>
                      </w:rPr>
                      <w:t>2720</w:t>
                    </w:r>
                  </w:p>
                </w:txbxContent>
              </v:textbox>
              <w10:wrap type="none"/>
            </v:shape>
            <w10:wrap type="topAndBottom"/>
          </v:group>
        </w:pict>
      </w:r>
      <w:r>
        <w:rPr/>
        <w:pict>
          <v:group style="position:absolute;margin-left:244.539551pt;margin-top:56.745441pt;width:112.6pt;height:43.3pt;mso-position-horizontal-relative:page;mso-position-vertical-relative:paragraph;z-index:-15700480;mso-wrap-distance-left:0;mso-wrap-distance-right:0" id="docshapegroup149" coordorigin="4891,1135" coordsize="2252,866">
            <v:shape style="position:absolute;left:4890;top:1134;width:2221;height:830" type="#_x0000_t75" id="docshape150" stroked="false">
              <v:imagedata r:id="rId54" o:title=""/>
            </v:shape>
            <v:shape style="position:absolute;left:4955;top:1784;width:2188;height:212" type="#_x0000_t75" id="docshape151" stroked="false">
              <v:imagedata r:id="rId57" o:title=""/>
            </v:shape>
            <v:shape style="position:absolute;left:4890;top:1134;width:2252;height:866" type="#_x0000_t202" id="docshape152" filled="false" stroked="false">
              <v:textbox inset="0,0,0,0">
                <w:txbxContent>
                  <w:p>
                    <w:pPr>
                      <w:spacing w:line="400" w:lineRule="atLeast" w:before="61"/>
                      <w:ind w:left="990" w:right="563" w:hanging="385"/>
                      <w:jc w:val="left"/>
                      <w:rPr>
                        <w:rFonts w:ascii="Calibri"/>
                        <w:b/>
                        <w:sz w:val="18"/>
                      </w:rPr>
                    </w:pPr>
                    <w:r>
                      <w:rPr>
                        <w:rFonts w:ascii="Calibri"/>
                        <w:b/>
                        <w:color w:val="FFFFFF"/>
                        <w:sz w:val="18"/>
                      </w:rPr>
                      <w:t>Unified</w:t>
                    </w:r>
                    <w:r>
                      <w:rPr>
                        <w:rFonts w:ascii="Calibri"/>
                        <w:b/>
                        <w:color w:val="FFFFFF"/>
                        <w:spacing w:val="-11"/>
                        <w:sz w:val="18"/>
                      </w:rPr>
                      <w:t> </w:t>
                    </w:r>
                    <w:r>
                      <w:rPr>
                        <w:rFonts w:ascii="Calibri"/>
                        <w:b/>
                        <w:color w:val="FFFFFF"/>
                        <w:sz w:val="18"/>
                      </w:rPr>
                      <w:t>Teams </w:t>
                    </w:r>
                    <w:r>
                      <w:rPr>
                        <w:rFonts w:ascii="Calibri"/>
                        <w:b/>
                        <w:color w:val="FFFFFF"/>
                        <w:spacing w:val="-4"/>
                        <w:sz w:val="18"/>
                      </w:rPr>
                      <w:t>2730</w:t>
                    </w:r>
                  </w:p>
                </w:txbxContent>
              </v:textbox>
              <w10:wrap type="none"/>
            </v:shape>
            <w10:wrap type="topAndBottom"/>
          </v:group>
        </w:pict>
      </w:r>
    </w:p>
    <w:p>
      <w:pPr>
        <w:pStyle w:val="BodyText"/>
        <w:spacing w:before="4"/>
        <w:rPr>
          <w:b/>
          <w:sz w:val="8"/>
        </w:rPr>
      </w:pPr>
    </w:p>
    <w:p>
      <w:pPr>
        <w:pStyle w:val="BodyText"/>
        <w:spacing w:before="2"/>
        <w:rPr>
          <w:b/>
        </w:rPr>
      </w:pPr>
    </w:p>
    <w:p>
      <w:pPr>
        <w:spacing w:before="1"/>
        <w:ind w:left="2246" w:right="0" w:firstLine="0"/>
        <w:jc w:val="left"/>
        <w:rPr>
          <w:b/>
          <w:sz w:val="20"/>
        </w:rPr>
      </w:pPr>
      <w:r>
        <w:rPr>
          <w:b/>
          <w:sz w:val="20"/>
        </w:rPr>
        <w:t>The</w:t>
      </w:r>
      <w:r>
        <w:rPr>
          <w:b/>
          <w:spacing w:val="-3"/>
          <w:sz w:val="20"/>
        </w:rPr>
        <w:t> </w:t>
      </w:r>
      <w:r>
        <w:rPr>
          <w:b/>
          <w:sz w:val="20"/>
        </w:rPr>
        <w:t>Deputy</w:t>
      </w:r>
      <w:r>
        <w:rPr>
          <w:b/>
          <w:spacing w:val="-8"/>
          <w:sz w:val="20"/>
        </w:rPr>
        <w:t> </w:t>
      </w:r>
      <w:r>
        <w:rPr>
          <w:b/>
          <w:spacing w:val="-2"/>
          <w:sz w:val="20"/>
        </w:rPr>
        <w:t>Prosecutors</w:t>
      </w:r>
    </w:p>
    <w:p>
      <w:pPr>
        <w:pStyle w:val="BodyText"/>
        <w:spacing w:before="10"/>
        <w:rPr>
          <w:b/>
        </w:rPr>
      </w:pPr>
    </w:p>
    <w:p>
      <w:pPr>
        <w:pStyle w:val="ListParagraph"/>
        <w:numPr>
          <w:ilvl w:val="0"/>
          <w:numId w:val="4"/>
        </w:numPr>
        <w:tabs>
          <w:tab w:pos="2967" w:val="left" w:leader="none"/>
        </w:tabs>
        <w:spacing w:line="240" w:lineRule="auto" w:before="0" w:after="0"/>
        <w:ind w:left="2246" w:right="2246" w:firstLine="0"/>
        <w:jc w:val="both"/>
        <w:rPr>
          <w:sz w:val="20"/>
        </w:rPr>
      </w:pPr>
      <w:bookmarkStart w:name="_bookmark28" w:id="29"/>
      <w:bookmarkEnd w:id="29"/>
      <w:r>
        <w:rPr>
          <w:sz w:val="20"/>
        </w:rPr>
        <w:t>O</w:t>
      </w:r>
      <w:r>
        <w:rPr>
          <w:sz w:val="20"/>
        </w:rPr>
        <w:t>n 7 March, 2021, the two Deputy Prosecutors elected by the Assembly of the States Parties, Mr Mame Mandiaye Niang and Ms Nazhat Shameem Khan were sworn in. Under</w:t>
      </w:r>
      <w:r>
        <w:rPr>
          <w:spacing w:val="-9"/>
          <w:sz w:val="20"/>
        </w:rPr>
        <w:t> </w:t>
      </w:r>
      <w:r>
        <w:rPr>
          <w:sz w:val="20"/>
        </w:rPr>
        <w:t>the</w:t>
      </w:r>
      <w:r>
        <w:rPr>
          <w:spacing w:val="-3"/>
          <w:sz w:val="20"/>
        </w:rPr>
        <w:t> </w:t>
      </w:r>
      <w:r>
        <w:rPr>
          <w:sz w:val="20"/>
        </w:rPr>
        <w:t>delegated</w:t>
      </w:r>
      <w:r>
        <w:rPr>
          <w:spacing w:val="-9"/>
          <w:sz w:val="20"/>
        </w:rPr>
        <w:t> </w:t>
      </w:r>
      <w:r>
        <w:rPr>
          <w:sz w:val="20"/>
        </w:rPr>
        <w:t>authority</w:t>
      </w:r>
      <w:r>
        <w:rPr>
          <w:spacing w:val="-5"/>
          <w:sz w:val="20"/>
        </w:rPr>
        <w:t> </w:t>
      </w:r>
      <w:r>
        <w:rPr>
          <w:sz w:val="20"/>
        </w:rPr>
        <w:t>of</w:t>
      </w:r>
      <w:r>
        <w:rPr>
          <w:spacing w:val="-9"/>
          <w:sz w:val="20"/>
        </w:rPr>
        <w:t> </w:t>
      </w:r>
      <w:r>
        <w:rPr>
          <w:sz w:val="20"/>
        </w:rPr>
        <w:t>the</w:t>
      </w:r>
      <w:r>
        <w:rPr>
          <w:spacing w:val="-8"/>
          <w:sz w:val="20"/>
        </w:rPr>
        <w:t> </w:t>
      </w:r>
      <w:r>
        <w:rPr>
          <w:sz w:val="20"/>
        </w:rPr>
        <w:t>Prosecutor,</w:t>
      </w:r>
      <w:r>
        <w:rPr>
          <w:spacing w:val="-7"/>
          <w:sz w:val="20"/>
        </w:rPr>
        <w:t> </w:t>
      </w:r>
      <w:r>
        <w:rPr>
          <w:sz w:val="20"/>
        </w:rPr>
        <w:t>the</w:t>
      </w:r>
      <w:r>
        <w:rPr>
          <w:spacing w:val="-8"/>
          <w:sz w:val="20"/>
        </w:rPr>
        <w:t> </w:t>
      </w:r>
      <w:r>
        <w:rPr>
          <w:sz w:val="20"/>
        </w:rPr>
        <w:t>two</w:t>
      </w:r>
      <w:r>
        <w:rPr>
          <w:spacing w:val="-9"/>
          <w:sz w:val="20"/>
        </w:rPr>
        <w:t> </w:t>
      </w:r>
      <w:r>
        <w:rPr>
          <w:sz w:val="20"/>
        </w:rPr>
        <w:t>Deputy</w:t>
      </w:r>
      <w:r>
        <w:rPr>
          <w:spacing w:val="-5"/>
          <w:sz w:val="20"/>
        </w:rPr>
        <w:t> </w:t>
      </w:r>
      <w:r>
        <w:rPr>
          <w:sz w:val="20"/>
        </w:rPr>
        <w:t>Prosecutors</w:t>
      </w:r>
      <w:r>
        <w:rPr>
          <w:spacing w:val="-11"/>
          <w:sz w:val="20"/>
        </w:rPr>
        <w:t> </w:t>
      </w:r>
      <w:r>
        <w:rPr>
          <w:sz w:val="20"/>
        </w:rPr>
        <w:t>manage</w:t>
      </w:r>
      <w:r>
        <w:rPr>
          <w:spacing w:val="-8"/>
          <w:sz w:val="20"/>
        </w:rPr>
        <w:t> </w:t>
      </w:r>
      <w:r>
        <w:rPr>
          <w:sz w:val="20"/>
        </w:rPr>
        <w:t>the</w:t>
      </w:r>
      <w:r>
        <w:rPr>
          <w:spacing w:val="-8"/>
          <w:sz w:val="20"/>
        </w:rPr>
        <w:t> </w:t>
      </w:r>
      <w:r>
        <w:rPr>
          <w:sz w:val="20"/>
        </w:rPr>
        <w:t>two prosecution pillars</w:t>
      </w:r>
      <w:r>
        <w:rPr>
          <w:spacing w:val="-1"/>
          <w:sz w:val="20"/>
        </w:rPr>
        <w:t> </w:t>
      </w:r>
      <w:r>
        <w:rPr>
          <w:sz w:val="20"/>
        </w:rPr>
        <w:t>across</w:t>
      </w:r>
      <w:r>
        <w:rPr>
          <w:spacing w:val="-1"/>
          <w:sz w:val="20"/>
        </w:rPr>
        <w:t> </w:t>
      </w:r>
      <w:r>
        <w:rPr>
          <w:sz w:val="20"/>
        </w:rPr>
        <w:t>which the Prosecutor has</w:t>
      </w:r>
      <w:r>
        <w:rPr>
          <w:spacing w:val="-1"/>
          <w:sz w:val="20"/>
        </w:rPr>
        <w:t> </w:t>
      </w:r>
      <w:r>
        <w:rPr>
          <w:sz w:val="20"/>
        </w:rPr>
        <w:t>assigned the situations</w:t>
      </w:r>
      <w:r>
        <w:rPr>
          <w:spacing w:val="-1"/>
          <w:sz w:val="20"/>
        </w:rPr>
        <w:t> </w:t>
      </w:r>
      <w:r>
        <w:rPr>
          <w:sz w:val="20"/>
        </w:rPr>
        <w:t>addressed by the Office based on a unified team concept.</w:t>
      </w:r>
    </w:p>
    <w:p>
      <w:pPr>
        <w:pStyle w:val="ListParagraph"/>
        <w:numPr>
          <w:ilvl w:val="0"/>
          <w:numId w:val="4"/>
        </w:numPr>
        <w:tabs>
          <w:tab w:pos="2967" w:val="left" w:leader="none"/>
        </w:tabs>
        <w:spacing w:line="240" w:lineRule="auto" w:before="122" w:after="0"/>
        <w:ind w:left="2246" w:right="2239" w:firstLine="0"/>
        <w:jc w:val="both"/>
        <w:rPr>
          <w:sz w:val="20"/>
        </w:rPr>
      </w:pPr>
      <w:r>
        <w:rPr>
          <w:sz w:val="20"/>
        </w:rPr>
        <w:t>At the time of</w:t>
      </w:r>
      <w:r>
        <w:rPr>
          <w:spacing w:val="-6"/>
          <w:sz w:val="20"/>
        </w:rPr>
        <w:t> </w:t>
      </w:r>
      <w:r>
        <w:rPr>
          <w:sz w:val="20"/>
        </w:rPr>
        <w:t>the submission</w:t>
      </w:r>
      <w:r>
        <w:rPr>
          <w:spacing w:val="-6"/>
          <w:sz w:val="20"/>
        </w:rPr>
        <w:t> </w:t>
      </w:r>
      <w:r>
        <w:rPr>
          <w:sz w:val="20"/>
        </w:rPr>
        <w:t>of 2022</w:t>
      </w:r>
      <w:r>
        <w:rPr>
          <w:spacing w:val="-1"/>
          <w:sz w:val="20"/>
        </w:rPr>
        <w:t> </w:t>
      </w:r>
      <w:r>
        <w:rPr>
          <w:sz w:val="20"/>
        </w:rPr>
        <w:t>budget proposal,</w:t>
      </w:r>
      <w:r>
        <w:rPr>
          <w:spacing w:val="-3"/>
          <w:sz w:val="20"/>
        </w:rPr>
        <w:t> </w:t>
      </w:r>
      <w:r>
        <w:rPr>
          <w:sz w:val="20"/>
        </w:rPr>
        <w:t>the Prosecutor</w:t>
      </w:r>
      <w:r>
        <w:rPr>
          <w:spacing w:val="-1"/>
          <w:sz w:val="20"/>
        </w:rPr>
        <w:t> </w:t>
      </w:r>
      <w:r>
        <w:rPr>
          <w:sz w:val="20"/>
        </w:rPr>
        <w:t>had</w:t>
      </w:r>
      <w:r>
        <w:rPr>
          <w:spacing w:val="-1"/>
          <w:sz w:val="20"/>
        </w:rPr>
        <w:t> </w:t>
      </w:r>
      <w:r>
        <w:rPr>
          <w:sz w:val="20"/>
        </w:rPr>
        <w:t>held</w:t>
      </w:r>
      <w:r>
        <w:rPr>
          <w:spacing w:val="-1"/>
          <w:sz w:val="20"/>
        </w:rPr>
        <w:t> </w:t>
      </w:r>
      <w:r>
        <w:rPr>
          <w:sz w:val="20"/>
        </w:rPr>
        <w:t>his position for one month. While the vision of the Prosecutor was duly reflected in the pillar- based reorganization of</w:t>
      </w:r>
      <w:r>
        <w:rPr>
          <w:spacing w:val="-4"/>
          <w:sz w:val="20"/>
        </w:rPr>
        <w:t> </w:t>
      </w:r>
      <w:r>
        <w:rPr>
          <w:sz w:val="20"/>
        </w:rPr>
        <w:t>the Office,</w:t>
      </w:r>
      <w:r>
        <w:rPr>
          <w:spacing w:val="-1"/>
          <w:sz w:val="20"/>
        </w:rPr>
        <w:t> </w:t>
      </w:r>
      <w:r>
        <w:rPr>
          <w:sz w:val="20"/>
        </w:rPr>
        <w:t>the</w:t>
      </w:r>
      <w:r>
        <w:rPr>
          <w:spacing w:val="-2"/>
          <w:sz w:val="20"/>
        </w:rPr>
        <w:t> </w:t>
      </w:r>
      <w:r>
        <w:rPr>
          <w:sz w:val="20"/>
        </w:rPr>
        <w:t>refinement of</w:t>
      </w:r>
      <w:r>
        <w:rPr>
          <w:spacing w:val="-4"/>
          <w:sz w:val="20"/>
        </w:rPr>
        <w:t> </w:t>
      </w:r>
      <w:r>
        <w:rPr>
          <w:sz w:val="20"/>
        </w:rPr>
        <w:t>some structural</w:t>
      </w:r>
      <w:r>
        <w:rPr>
          <w:spacing w:val="-2"/>
          <w:sz w:val="20"/>
        </w:rPr>
        <w:t> </w:t>
      </w:r>
      <w:r>
        <w:rPr>
          <w:sz w:val="20"/>
        </w:rPr>
        <w:t>and</w:t>
      </w:r>
      <w:r>
        <w:rPr>
          <w:spacing w:val="-4"/>
          <w:sz w:val="20"/>
        </w:rPr>
        <w:t> </w:t>
      </w:r>
      <w:r>
        <w:rPr>
          <w:sz w:val="20"/>
        </w:rPr>
        <w:t>operational</w:t>
      </w:r>
      <w:r>
        <w:rPr>
          <w:spacing w:val="-2"/>
          <w:sz w:val="20"/>
        </w:rPr>
        <w:t> </w:t>
      </w:r>
      <w:r>
        <w:rPr>
          <w:sz w:val="20"/>
        </w:rPr>
        <w:t>details were</w:t>
      </w:r>
      <w:r>
        <w:rPr>
          <w:spacing w:val="-13"/>
          <w:sz w:val="20"/>
        </w:rPr>
        <w:t> </w:t>
      </w:r>
      <w:r>
        <w:rPr>
          <w:sz w:val="20"/>
        </w:rPr>
        <w:t>necessarily</w:t>
      </w:r>
      <w:r>
        <w:rPr>
          <w:spacing w:val="-12"/>
          <w:sz w:val="20"/>
        </w:rPr>
        <w:t> </w:t>
      </w:r>
      <w:r>
        <w:rPr>
          <w:sz w:val="20"/>
        </w:rPr>
        <w:t>left</w:t>
      </w:r>
      <w:r>
        <w:rPr>
          <w:spacing w:val="-13"/>
          <w:sz w:val="20"/>
        </w:rPr>
        <w:t> </w:t>
      </w:r>
      <w:r>
        <w:rPr>
          <w:sz w:val="20"/>
        </w:rPr>
        <w:t>to</w:t>
      </w:r>
      <w:r>
        <w:rPr>
          <w:spacing w:val="-12"/>
          <w:sz w:val="20"/>
        </w:rPr>
        <w:t> </w:t>
      </w:r>
      <w:r>
        <w:rPr>
          <w:sz w:val="20"/>
        </w:rPr>
        <w:t>a</w:t>
      </w:r>
      <w:r>
        <w:rPr>
          <w:spacing w:val="-13"/>
          <w:sz w:val="20"/>
        </w:rPr>
        <w:t> </w:t>
      </w:r>
      <w:r>
        <w:rPr>
          <w:sz w:val="20"/>
        </w:rPr>
        <w:t>thorough</w:t>
      </w:r>
      <w:r>
        <w:rPr>
          <w:spacing w:val="-12"/>
          <w:sz w:val="20"/>
        </w:rPr>
        <w:t> </w:t>
      </w:r>
      <w:r>
        <w:rPr>
          <w:sz w:val="20"/>
        </w:rPr>
        <w:t>evaluation</w:t>
      </w:r>
      <w:r>
        <w:rPr>
          <w:spacing w:val="-13"/>
          <w:sz w:val="20"/>
        </w:rPr>
        <w:t> </w:t>
      </w:r>
      <w:r>
        <w:rPr>
          <w:sz w:val="20"/>
        </w:rPr>
        <w:t>to</w:t>
      </w:r>
      <w:r>
        <w:rPr>
          <w:spacing w:val="-12"/>
          <w:sz w:val="20"/>
        </w:rPr>
        <w:t> </w:t>
      </w:r>
      <w:r>
        <w:rPr>
          <w:sz w:val="20"/>
        </w:rPr>
        <w:t>be</w:t>
      </w:r>
      <w:r>
        <w:rPr>
          <w:spacing w:val="-13"/>
          <w:sz w:val="20"/>
        </w:rPr>
        <w:t> </w:t>
      </w:r>
      <w:r>
        <w:rPr>
          <w:sz w:val="20"/>
        </w:rPr>
        <w:t>performed</w:t>
      </w:r>
      <w:r>
        <w:rPr>
          <w:spacing w:val="-12"/>
          <w:sz w:val="20"/>
        </w:rPr>
        <w:t> </w:t>
      </w:r>
      <w:r>
        <w:rPr>
          <w:sz w:val="20"/>
        </w:rPr>
        <w:t>during</w:t>
      </w:r>
      <w:r>
        <w:rPr>
          <w:spacing w:val="-13"/>
          <w:sz w:val="20"/>
        </w:rPr>
        <w:t> </w:t>
      </w:r>
      <w:r>
        <w:rPr>
          <w:sz w:val="20"/>
        </w:rPr>
        <w:t>2022</w:t>
      </w:r>
      <w:r>
        <w:rPr>
          <w:spacing w:val="-12"/>
          <w:sz w:val="20"/>
        </w:rPr>
        <w:t> </w:t>
      </w:r>
      <w:r>
        <w:rPr>
          <w:sz w:val="20"/>
        </w:rPr>
        <w:t>as</w:t>
      </w:r>
      <w:r>
        <w:rPr>
          <w:spacing w:val="-13"/>
          <w:sz w:val="20"/>
        </w:rPr>
        <w:t> </w:t>
      </w:r>
      <w:r>
        <w:rPr>
          <w:sz w:val="20"/>
        </w:rPr>
        <w:t>implementation of</w:t>
      </w:r>
      <w:r>
        <w:rPr>
          <w:spacing w:val="-10"/>
          <w:sz w:val="20"/>
        </w:rPr>
        <w:t> </w:t>
      </w:r>
      <w:r>
        <w:rPr>
          <w:sz w:val="20"/>
        </w:rPr>
        <w:t>the</w:t>
      </w:r>
      <w:r>
        <w:rPr>
          <w:spacing w:val="-7"/>
          <w:sz w:val="20"/>
        </w:rPr>
        <w:t> </w:t>
      </w:r>
      <w:r>
        <w:rPr>
          <w:sz w:val="20"/>
        </w:rPr>
        <w:t>pillar-based</w:t>
      </w:r>
      <w:r>
        <w:rPr>
          <w:spacing w:val="-8"/>
          <w:sz w:val="20"/>
        </w:rPr>
        <w:t> </w:t>
      </w:r>
      <w:r>
        <w:rPr>
          <w:sz w:val="20"/>
        </w:rPr>
        <w:t>structure</w:t>
      </w:r>
      <w:r>
        <w:rPr>
          <w:spacing w:val="-11"/>
          <w:sz w:val="20"/>
        </w:rPr>
        <w:t> </w:t>
      </w:r>
      <w:r>
        <w:rPr>
          <w:sz w:val="20"/>
        </w:rPr>
        <w:t>of</w:t>
      </w:r>
      <w:r>
        <w:rPr>
          <w:spacing w:val="-8"/>
          <w:sz w:val="20"/>
        </w:rPr>
        <w:t> </w:t>
      </w:r>
      <w:r>
        <w:rPr>
          <w:sz w:val="20"/>
        </w:rPr>
        <w:t>the</w:t>
      </w:r>
      <w:r>
        <w:rPr>
          <w:spacing w:val="-7"/>
          <w:sz w:val="20"/>
        </w:rPr>
        <w:t> </w:t>
      </w:r>
      <w:r>
        <w:rPr>
          <w:sz w:val="20"/>
        </w:rPr>
        <w:t>Office</w:t>
      </w:r>
      <w:r>
        <w:rPr>
          <w:spacing w:val="-7"/>
          <w:sz w:val="20"/>
        </w:rPr>
        <w:t> </w:t>
      </w:r>
      <w:r>
        <w:rPr>
          <w:sz w:val="20"/>
        </w:rPr>
        <w:t>was</w:t>
      </w:r>
      <w:r>
        <w:rPr>
          <w:spacing w:val="-13"/>
          <w:sz w:val="20"/>
        </w:rPr>
        <w:t> </w:t>
      </w:r>
      <w:r>
        <w:rPr>
          <w:sz w:val="20"/>
        </w:rPr>
        <w:t>taken</w:t>
      </w:r>
      <w:r>
        <w:rPr>
          <w:spacing w:val="-8"/>
          <w:sz w:val="20"/>
        </w:rPr>
        <w:t> </w:t>
      </w:r>
      <w:r>
        <w:rPr>
          <w:sz w:val="20"/>
        </w:rPr>
        <w:t>forward.</w:t>
      </w:r>
      <w:r>
        <w:rPr>
          <w:spacing w:val="-11"/>
          <w:sz w:val="20"/>
        </w:rPr>
        <w:t> </w:t>
      </w:r>
      <w:r>
        <w:rPr>
          <w:sz w:val="20"/>
        </w:rPr>
        <w:t>For</w:t>
      </w:r>
      <w:r>
        <w:rPr>
          <w:spacing w:val="-8"/>
          <w:sz w:val="20"/>
        </w:rPr>
        <w:t> </w:t>
      </w:r>
      <w:r>
        <w:rPr>
          <w:sz w:val="20"/>
        </w:rPr>
        <w:t>instance,</w:t>
      </w:r>
      <w:r>
        <w:rPr>
          <w:spacing w:val="-11"/>
          <w:sz w:val="20"/>
        </w:rPr>
        <w:t> </w:t>
      </w:r>
      <w:r>
        <w:rPr>
          <w:sz w:val="20"/>
        </w:rPr>
        <w:t>in</w:t>
      </w:r>
      <w:r>
        <w:rPr>
          <w:spacing w:val="-13"/>
          <w:sz w:val="20"/>
        </w:rPr>
        <w:t> </w:t>
      </w:r>
      <w:r>
        <w:rPr>
          <w:sz w:val="20"/>
        </w:rPr>
        <w:t>the</w:t>
      </w:r>
      <w:r>
        <w:rPr>
          <w:spacing w:val="-12"/>
          <w:sz w:val="20"/>
        </w:rPr>
        <w:t> </w:t>
      </w:r>
      <w:r>
        <w:rPr>
          <w:sz w:val="20"/>
        </w:rPr>
        <w:t>2022</w:t>
      </w:r>
      <w:r>
        <w:rPr>
          <w:spacing w:val="-8"/>
          <w:sz w:val="20"/>
        </w:rPr>
        <w:t> </w:t>
      </w:r>
      <w:r>
        <w:rPr>
          <w:sz w:val="20"/>
        </w:rPr>
        <w:t>budget proposal the two Deputy Prosecutors’ pillars were presented as one programme as the decision on the allocation of situations and cases to be allocated to each deputy Prosecutor had not yet been finalised.</w:t>
      </w:r>
    </w:p>
    <w:p>
      <w:pPr>
        <w:pStyle w:val="ListParagraph"/>
        <w:numPr>
          <w:ilvl w:val="0"/>
          <w:numId w:val="4"/>
        </w:numPr>
        <w:tabs>
          <w:tab w:pos="2967" w:val="left" w:leader="none"/>
        </w:tabs>
        <w:spacing w:line="240" w:lineRule="auto" w:before="119" w:after="0"/>
        <w:ind w:left="2246" w:right="2235" w:firstLine="0"/>
        <w:jc w:val="both"/>
        <w:rPr>
          <w:sz w:val="20"/>
        </w:rPr>
      </w:pPr>
      <w:r>
        <w:rPr>
          <w:sz w:val="20"/>
        </w:rPr>
        <w:t>This</w:t>
      </w:r>
      <w:r>
        <w:rPr>
          <w:spacing w:val="-9"/>
          <w:sz w:val="20"/>
        </w:rPr>
        <w:t> </w:t>
      </w:r>
      <w:r>
        <w:rPr>
          <w:sz w:val="20"/>
        </w:rPr>
        <w:t>budget</w:t>
      </w:r>
      <w:r>
        <w:rPr>
          <w:spacing w:val="-6"/>
          <w:sz w:val="20"/>
        </w:rPr>
        <w:t> </w:t>
      </w:r>
      <w:r>
        <w:rPr>
          <w:sz w:val="20"/>
        </w:rPr>
        <w:t>proposal</w:t>
      </w:r>
      <w:r>
        <w:rPr>
          <w:spacing w:val="-6"/>
          <w:sz w:val="20"/>
        </w:rPr>
        <w:t> </w:t>
      </w:r>
      <w:r>
        <w:rPr>
          <w:sz w:val="20"/>
        </w:rPr>
        <w:t>provides</w:t>
      </w:r>
      <w:r>
        <w:rPr>
          <w:spacing w:val="-9"/>
          <w:sz w:val="20"/>
        </w:rPr>
        <w:t> </w:t>
      </w:r>
      <w:r>
        <w:rPr>
          <w:sz w:val="20"/>
        </w:rPr>
        <w:t>a</w:t>
      </w:r>
      <w:r>
        <w:rPr>
          <w:spacing w:val="-6"/>
          <w:sz w:val="20"/>
        </w:rPr>
        <w:t> </w:t>
      </w:r>
      <w:r>
        <w:rPr>
          <w:sz w:val="20"/>
        </w:rPr>
        <w:t>more</w:t>
      </w:r>
      <w:r>
        <w:rPr>
          <w:spacing w:val="-1"/>
          <w:sz w:val="20"/>
        </w:rPr>
        <w:t> </w:t>
      </w:r>
      <w:r>
        <w:rPr>
          <w:sz w:val="20"/>
        </w:rPr>
        <w:t>detailed</w:t>
      </w:r>
      <w:r>
        <w:rPr>
          <w:spacing w:val="-12"/>
          <w:sz w:val="20"/>
        </w:rPr>
        <w:t> </w:t>
      </w:r>
      <w:r>
        <w:rPr>
          <w:sz w:val="20"/>
        </w:rPr>
        <w:t>and</w:t>
      </w:r>
      <w:r>
        <w:rPr>
          <w:spacing w:val="-7"/>
          <w:sz w:val="20"/>
        </w:rPr>
        <w:t> </w:t>
      </w:r>
      <w:r>
        <w:rPr>
          <w:sz w:val="20"/>
        </w:rPr>
        <w:t>complete</w:t>
      </w:r>
      <w:r>
        <w:rPr>
          <w:spacing w:val="-6"/>
          <w:sz w:val="20"/>
        </w:rPr>
        <w:t> </w:t>
      </w:r>
      <w:r>
        <w:rPr>
          <w:sz w:val="20"/>
        </w:rPr>
        <w:t>view</w:t>
      </w:r>
      <w:r>
        <w:rPr>
          <w:spacing w:val="-9"/>
          <w:sz w:val="20"/>
        </w:rPr>
        <w:t> </w:t>
      </w:r>
      <w:r>
        <w:rPr>
          <w:sz w:val="20"/>
        </w:rPr>
        <w:t>of</w:t>
      </w:r>
      <w:r>
        <w:rPr>
          <w:spacing w:val="-7"/>
          <w:sz w:val="20"/>
        </w:rPr>
        <w:t> </w:t>
      </w:r>
      <w:r>
        <w:rPr>
          <w:sz w:val="20"/>
        </w:rPr>
        <w:t>how</w:t>
      </w:r>
      <w:r>
        <w:rPr>
          <w:spacing w:val="-9"/>
          <w:sz w:val="20"/>
        </w:rPr>
        <w:t> </w:t>
      </w:r>
      <w:r>
        <w:rPr>
          <w:sz w:val="20"/>
        </w:rPr>
        <w:t>the</w:t>
      </w:r>
      <w:r>
        <w:rPr>
          <w:spacing w:val="-1"/>
          <w:sz w:val="20"/>
        </w:rPr>
        <w:t> </w:t>
      </w:r>
      <w:r>
        <w:rPr>
          <w:sz w:val="20"/>
        </w:rPr>
        <w:t>pillar- based system will be implemented.</w:t>
      </w:r>
    </w:p>
    <w:p>
      <w:pPr>
        <w:pStyle w:val="ListParagraph"/>
        <w:numPr>
          <w:ilvl w:val="0"/>
          <w:numId w:val="4"/>
        </w:numPr>
        <w:tabs>
          <w:tab w:pos="2967" w:val="left" w:leader="none"/>
        </w:tabs>
        <w:spacing w:line="240" w:lineRule="auto" w:before="121" w:after="0"/>
        <w:ind w:left="2246" w:right="2246" w:firstLine="0"/>
        <w:jc w:val="both"/>
        <w:rPr>
          <w:sz w:val="20"/>
        </w:rPr>
      </w:pPr>
      <w:r>
        <w:rPr>
          <w:sz w:val="20"/>
        </w:rPr>
        <w:t>Programme 2700 is headed by Deputy Prosecutor Mame Mandiaye Niang and manage the situations and cases shown in the table below:</w:t>
      </w:r>
    </w:p>
    <w:p>
      <w:pPr>
        <w:pStyle w:val="BodyText"/>
        <w:spacing w:before="6"/>
        <w:rPr>
          <w:sz w:val="10"/>
        </w:rPr>
      </w:pPr>
    </w:p>
    <w:tbl>
      <w:tblPr>
        <w:tblW w:w="0" w:type="auto"/>
        <w:jc w:val="left"/>
        <w:tblInd w:w="3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07"/>
        <w:gridCol w:w="1450"/>
      </w:tblGrid>
      <w:tr>
        <w:trPr>
          <w:trHeight w:val="268" w:hRule="atLeast"/>
        </w:trPr>
        <w:tc>
          <w:tcPr>
            <w:tcW w:w="3107" w:type="dxa"/>
            <w:tcBorders>
              <w:top w:val="single" w:sz="4" w:space="0" w:color="000000"/>
              <w:bottom w:val="single" w:sz="4" w:space="0" w:color="000000"/>
            </w:tcBorders>
          </w:tcPr>
          <w:p>
            <w:pPr>
              <w:pStyle w:val="TableParagraph"/>
              <w:spacing w:line="229" w:lineRule="exact" w:before="19"/>
              <w:ind w:left="14"/>
              <w:jc w:val="left"/>
              <w:rPr>
                <w:b/>
                <w:sz w:val="20"/>
              </w:rPr>
            </w:pPr>
            <w:r>
              <w:rPr>
                <w:b/>
                <w:spacing w:val="-2"/>
                <w:sz w:val="20"/>
              </w:rPr>
              <w:t>Situation</w:t>
            </w:r>
          </w:p>
        </w:tc>
        <w:tc>
          <w:tcPr>
            <w:tcW w:w="1450" w:type="dxa"/>
            <w:tcBorders>
              <w:top w:val="single" w:sz="4" w:space="0" w:color="000000"/>
              <w:bottom w:val="single" w:sz="4" w:space="0" w:color="000000"/>
            </w:tcBorders>
          </w:tcPr>
          <w:p>
            <w:pPr>
              <w:pStyle w:val="TableParagraph"/>
              <w:spacing w:line="229" w:lineRule="exact" w:before="19"/>
              <w:rPr>
                <w:b/>
                <w:sz w:val="20"/>
              </w:rPr>
            </w:pPr>
            <w:r>
              <w:rPr>
                <w:b/>
                <w:sz w:val="20"/>
              </w:rPr>
              <w:t>WBS</w:t>
            </w:r>
            <w:r>
              <w:rPr>
                <w:b/>
                <w:spacing w:val="-2"/>
                <w:sz w:val="20"/>
              </w:rPr>
              <w:t> </w:t>
            </w:r>
            <w:r>
              <w:rPr>
                <w:b/>
                <w:spacing w:val="-4"/>
                <w:sz w:val="20"/>
              </w:rPr>
              <w:t>code</w:t>
            </w:r>
          </w:p>
        </w:tc>
      </w:tr>
      <w:tr>
        <w:trPr>
          <w:trHeight w:val="268" w:hRule="atLeast"/>
        </w:trPr>
        <w:tc>
          <w:tcPr>
            <w:tcW w:w="3107" w:type="dxa"/>
            <w:tcBorders>
              <w:top w:val="single" w:sz="4" w:space="0" w:color="000000"/>
              <w:bottom w:val="single" w:sz="4" w:space="0" w:color="000000"/>
            </w:tcBorders>
          </w:tcPr>
          <w:p>
            <w:pPr>
              <w:pStyle w:val="TableParagraph"/>
              <w:spacing w:line="229" w:lineRule="exact" w:before="19"/>
              <w:ind w:left="14"/>
              <w:jc w:val="left"/>
              <w:rPr>
                <w:i/>
                <w:sz w:val="20"/>
              </w:rPr>
            </w:pPr>
            <w:r>
              <w:rPr>
                <w:i/>
                <w:spacing w:val="-2"/>
                <w:sz w:val="20"/>
              </w:rPr>
              <w:t>Investigation</w:t>
            </w:r>
          </w:p>
        </w:tc>
        <w:tc>
          <w:tcPr>
            <w:tcW w:w="1450" w:type="dxa"/>
            <w:tcBorders>
              <w:top w:val="single" w:sz="4" w:space="0" w:color="000000"/>
              <w:bottom w:val="single" w:sz="4" w:space="0" w:color="000000"/>
            </w:tcBorders>
          </w:tcPr>
          <w:p>
            <w:pPr>
              <w:pStyle w:val="TableParagraph"/>
              <w:jc w:val="left"/>
              <w:rPr>
                <w:sz w:val="18"/>
              </w:rPr>
            </w:pPr>
          </w:p>
        </w:tc>
      </w:tr>
      <w:tr>
        <w:trPr>
          <w:trHeight w:val="273" w:hRule="atLeast"/>
        </w:trPr>
        <w:tc>
          <w:tcPr>
            <w:tcW w:w="3107" w:type="dxa"/>
            <w:tcBorders>
              <w:top w:val="single" w:sz="4" w:space="0" w:color="000000"/>
              <w:bottom w:val="single" w:sz="4" w:space="0" w:color="000000"/>
            </w:tcBorders>
          </w:tcPr>
          <w:p>
            <w:pPr>
              <w:pStyle w:val="TableParagraph"/>
              <w:spacing w:before="19"/>
              <w:ind w:left="14"/>
              <w:jc w:val="left"/>
              <w:rPr>
                <w:sz w:val="20"/>
              </w:rPr>
            </w:pPr>
            <w:r>
              <w:rPr>
                <w:spacing w:val="-2"/>
                <w:sz w:val="20"/>
              </w:rPr>
              <w:t>Burundi</w:t>
            </w:r>
          </w:p>
        </w:tc>
        <w:tc>
          <w:tcPr>
            <w:tcW w:w="1450" w:type="dxa"/>
            <w:tcBorders>
              <w:top w:val="single" w:sz="4" w:space="0" w:color="000000"/>
              <w:bottom w:val="single" w:sz="4" w:space="0" w:color="000000"/>
            </w:tcBorders>
          </w:tcPr>
          <w:p>
            <w:pPr>
              <w:pStyle w:val="TableParagraph"/>
              <w:spacing w:before="19"/>
              <w:ind w:right="2"/>
              <w:rPr>
                <w:sz w:val="20"/>
              </w:rPr>
            </w:pPr>
            <w:r>
              <w:rPr>
                <w:spacing w:val="-2"/>
                <w:sz w:val="20"/>
              </w:rPr>
              <w:t>FOP-</w:t>
            </w:r>
            <w:r>
              <w:rPr>
                <w:spacing w:val="-5"/>
                <w:sz w:val="20"/>
              </w:rPr>
              <w:t>BDI</w:t>
            </w:r>
          </w:p>
        </w:tc>
      </w:tr>
      <w:tr>
        <w:trPr>
          <w:trHeight w:val="268" w:hRule="atLeast"/>
        </w:trPr>
        <w:tc>
          <w:tcPr>
            <w:tcW w:w="3107" w:type="dxa"/>
            <w:tcBorders>
              <w:top w:val="single" w:sz="4" w:space="0" w:color="000000"/>
              <w:bottom w:val="single" w:sz="4" w:space="0" w:color="000000"/>
            </w:tcBorders>
          </w:tcPr>
          <w:p>
            <w:pPr>
              <w:pStyle w:val="TableParagraph"/>
              <w:spacing w:line="229" w:lineRule="exact" w:before="19"/>
              <w:ind w:left="14"/>
              <w:jc w:val="left"/>
              <w:rPr>
                <w:sz w:val="20"/>
              </w:rPr>
            </w:pPr>
            <w:r>
              <w:rPr>
                <w:sz w:val="20"/>
              </w:rPr>
              <w:t>Côte</w:t>
            </w:r>
            <w:r>
              <w:rPr>
                <w:spacing w:val="-5"/>
                <w:sz w:val="20"/>
              </w:rPr>
              <w:t> </w:t>
            </w:r>
            <w:r>
              <w:rPr>
                <w:sz w:val="20"/>
              </w:rPr>
              <w:t>d’Ivoire </w:t>
            </w:r>
            <w:r>
              <w:rPr>
                <w:spacing w:val="-5"/>
                <w:sz w:val="20"/>
              </w:rPr>
              <w:t>II</w:t>
            </w:r>
          </w:p>
        </w:tc>
        <w:tc>
          <w:tcPr>
            <w:tcW w:w="1450" w:type="dxa"/>
            <w:tcBorders>
              <w:top w:val="single" w:sz="4" w:space="0" w:color="000000"/>
              <w:bottom w:val="single" w:sz="4" w:space="0" w:color="000000"/>
            </w:tcBorders>
          </w:tcPr>
          <w:p>
            <w:pPr>
              <w:pStyle w:val="TableParagraph"/>
              <w:spacing w:line="229" w:lineRule="exact" w:before="19"/>
              <w:ind w:right="1"/>
              <w:rPr>
                <w:sz w:val="20"/>
              </w:rPr>
            </w:pPr>
            <w:r>
              <w:rPr>
                <w:spacing w:val="-2"/>
                <w:sz w:val="20"/>
              </w:rPr>
              <w:t>FOP-</w:t>
            </w:r>
            <w:r>
              <w:rPr>
                <w:spacing w:val="-5"/>
                <w:sz w:val="20"/>
              </w:rPr>
              <w:t>CIV</w:t>
            </w:r>
          </w:p>
        </w:tc>
      </w:tr>
      <w:tr>
        <w:trPr>
          <w:trHeight w:val="268" w:hRule="atLeast"/>
        </w:trPr>
        <w:tc>
          <w:tcPr>
            <w:tcW w:w="3107" w:type="dxa"/>
            <w:tcBorders>
              <w:top w:val="single" w:sz="4" w:space="0" w:color="000000"/>
              <w:bottom w:val="single" w:sz="4" w:space="0" w:color="000000"/>
            </w:tcBorders>
          </w:tcPr>
          <w:p>
            <w:pPr>
              <w:pStyle w:val="TableParagraph"/>
              <w:spacing w:line="229" w:lineRule="exact" w:before="19"/>
              <w:ind w:left="14"/>
              <w:jc w:val="left"/>
              <w:rPr>
                <w:sz w:val="20"/>
              </w:rPr>
            </w:pPr>
            <w:r>
              <w:rPr>
                <w:sz w:val="20"/>
              </w:rPr>
              <w:t>Democratic</w:t>
            </w:r>
            <w:r>
              <w:rPr>
                <w:spacing w:val="-7"/>
                <w:sz w:val="20"/>
              </w:rPr>
              <w:t> </w:t>
            </w:r>
            <w:r>
              <w:rPr>
                <w:sz w:val="20"/>
              </w:rPr>
              <w:t>Republic</w:t>
            </w:r>
            <w:r>
              <w:rPr>
                <w:spacing w:val="-8"/>
                <w:sz w:val="20"/>
              </w:rPr>
              <w:t> </w:t>
            </w:r>
            <w:r>
              <w:rPr>
                <w:sz w:val="20"/>
              </w:rPr>
              <w:t>of</w:t>
            </w:r>
            <w:r>
              <w:rPr>
                <w:spacing w:val="-10"/>
                <w:sz w:val="20"/>
              </w:rPr>
              <w:t> </w:t>
            </w:r>
            <w:r>
              <w:rPr>
                <w:spacing w:val="-4"/>
                <w:sz w:val="20"/>
              </w:rPr>
              <w:t>Congo</w:t>
            </w:r>
          </w:p>
        </w:tc>
        <w:tc>
          <w:tcPr>
            <w:tcW w:w="1450" w:type="dxa"/>
            <w:tcBorders>
              <w:top w:val="single" w:sz="4" w:space="0" w:color="000000"/>
              <w:bottom w:val="single" w:sz="4" w:space="0" w:color="000000"/>
            </w:tcBorders>
          </w:tcPr>
          <w:p>
            <w:pPr>
              <w:pStyle w:val="TableParagraph"/>
              <w:spacing w:line="229" w:lineRule="exact" w:before="19"/>
              <w:ind w:right="2"/>
              <w:rPr>
                <w:sz w:val="20"/>
              </w:rPr>
            </w:pPr>
            <w:r>
              <w:rPr>
                <w:spacing w:val="-2"/>
                <w:sz w:val="20"/>
              </w:rPr>
              <w:t>FOP-</w:t>
            </w:r>
            <w:r>
              <w:rPr>
                <w:spacing w:val="-5"/>
                <w:sz w:val="20"/>
              </w:rPr>
              <w:t>DRC</w:t>
            </w:r>
          </w:p>
        </w:tc>
      </w:tr>
      <w:tr>
        <w:trPr>
          <w:trHeight w:val="273" w:hRule="atLeast"/>
        </w:trPr>
        <w:tc>
          <w:tcPr>
            <w:tcW w:w="3107" w:type="dxa"/>
            <w:tcBorders>
              <w:top w:val="single" w:sz="4" w:space="0" w:color="000000"/>
              <w:bottom w:val="single" w:sz="4" w:space="0" w:color="000000"/>
            </w:tcBorders>
          </w:tcPr>
          <w:p>
            <w:pPr>
              <w:pStyle w:val="TableParagraph"/>
              <w:spacing w:before="20"/>
              <w:ind w:left="14"/>
              <w:jc w:val="left"/>
              <w:rPr>
                <w:sz w:val="20"/>
              </w:rPr>
            </w:pPr>
            <w:r>
              <w:rPr>
                <w:spacing w:val="-2"/>
                <w:sz w:val="20"/>
              </w:rPr>
              <w:t>Uganda</w:t>
            </w:r>
          </w:p>
        </w:tc>
        <w:tc>
          <w:tcPr>
            <w:tcW w:w="1450" w:type="dxa"/>
            <w:tcBorders>
              <w:top w:val="single" w:sz="4" w:space="0" w:color="000000"/>
              <w:bottom w:val="single" w:sz="4" w:space="0" w:color="000000"/>
            </w:tcBorders>
          </w:tcPr>
          <w:p>
            <w:pPr>
              <w:pStyle w:val="TableParagraph"/>
              <w:spacing w:before="20"/>
              <w:ind w:right="7"/>
              <w:rPr>
                <w:sz w:val="20"/>
              </w:rPr>
            </w:pPr>
            <w:r>
              <w:rPr>
                <w:spacing w:val="-2"/>
                <w:sz w:val="20"/>
              </w:rPr>
              <w:t>FOP-</w:t>
            </w:r>
            <w:r>
              <w:rPr>
                <w:spacing w:val="-5"/>
                <w:sz w:val="20"/>
              </w:rPr>
              <w:t>UGA</w:t>
            </w:r>
          </w:p>
        </w:tc>
      </w:tr>
      <w:tr>
        <w:trPr>
          <w:trHeight w:val="268" w:hRule="atLeast"/>
        </w:trPr>
        <w:tc>
          <w:tcPr>
            <w:tcW w:w="3107" w:type="dxa"/>
            <w:tcBorders>
              <w:top w:val="single" w:sz="4" w:space="0" w:color="000000"/>
              <w:bottom w:val="single" w:sz="4" w:space="0" w:color="000000"/>
            </w:tcBorders>
          </w:tcPr>
          <w:p>
            <w:pPr>
              <w:pStyle w:val="TableParagraph"/>
              <w:spacing w:line="229" w:lineRule="exact" w:before="19"/>
              <w:ind w:left="14"/>
              <w:jc w:val="left"/>
              <w:rPr>
                <w:i/>
                <w:sz w:val="20"/>
              </w:rPr>
            </w:pPr>
            <w:r>
              <w:rPr>
                <w:i/>
                <w:sz w:val="20"/>
              </w:rPr>
              <w:t>Pre-</w:t>
            </w:r>
            <w:r>
              <w:rPr>
                <w:i/>
                <w:spacing w:val="-2"/>
                <w:sz w:val="20"/>
              </w:rPr>
              <w:t>Trial</w:t>
            </w:r>
          </w:p>
        </w:tc>
        <w:tc>
          <w:tcPr>
            <w:tcW w:w="1450" w:type="dxa"/>
            <w:tcBorders>
              <w:top w:val="single" w:sz="4" w:space="0" w:color="000000"/>
              <w:bottom w:val="single" w:sz="4" w:space="0" w:color="000000"/>
            </w:tcBorders>
          </w:tcPr>
          <w:p>
            <w:pPr>
              <w:pStyle w:val="TableParagraph"/>
              <w:jc w:val="left"/>
              <w:rPr>
                <w:sz w:val="18"/>
              </w:rPr>
            </w:pPr>
          </w:p>
        </w:tc>
      </w:tr>
      <w:tr>
        <w:trPr>
          <w:trHeight w:val="268" w:hRule="atLeast"/>
        </w:trPr>
        <w:tc>
          <w:tcPr>
            <w:tcW w:w="3107" w:type="dxa"/>
            <w:tcBorders>
              <w:top w:val="single" w:sz="4" w:space="0" w:color="000000"/>
              <w:bottom w:val="single" w:sz="4" w:space="0" w:color="000000"/>
            </w:tcBorders>
          </w:tcPr>
          <w:p>
            <w:pPr>
              <w:pStyle w:val="TableParagraph"/>
              <w:spacing w:line="229" w:lineRule="exact" w:before="19"/>
              <w:ind w:left="14"/>
              <w:jc w:val="left"/>
              <w:rPr>
                <w:sz w:val="20"/>
              </w:rPr>
            </w:pPr>
            <w:r>
              <w:rPr>
                <w:sz w:val="20"/>
              </w:rPr>
              <w:t>CAR</w:t>
            </w:r>
            <w:r>
              <w:rPr>
                <w:spacing w:val="-1"/>
                <w:sz w:val="20"/>
              </w:rPr>
              <w:t> </w:t>
            </w:r>
            <w:r>
              <w:rPr>
                <w:sz w:val="20"/>
              </w:rPr>
              <w:t>II.b</w:t>
            </w:r>
            <w:r>
              <w:rPr>
                <w:spacing w:val="-5"/>
                <w:sz w:val="20"/>
              </w:rPr>
              <w:t> </w:t>
            </w:r>
            <w:r>
              <w:rPr>
                <w:spacing w:val="-2"/>
                <w:sz w:val="20"/>
              </w:rPr>
              <w:t>(Mokom)</w:t>
            </w:r>
          </w:p>
        </w:tc>
        <w:tc>
          <w:tcPr>
            <w:tcW w:w="1450" w:type="dxa"/>
            <w:tcBorders>
              <w:top w:val="single" w:sz="4" w:space="0" w:color="000000"/>
              <w:bottom w:val="single" w:sz="4" w:space="0" w:color="000000"/>
            </w:tcBorders>
          </w:tcPr>
          <w:p>
            <w:pPr>
              <w:pStyle w:val="TableParagraph"/>
              <w:jc w:val="left"/>
              <w:rPr>
                <w:sz w:val="18"/>
              </w:rPr>
            </w:pPr>
          </w:p>
        </w:tc>
      </w:tr>
      <w:tr>
        <w:trPr>
          <w:trHeight w:val="273" w:hRule="atLeast"/>
        </w:trPr>
        <w:tc>
          <w:tcPr>
            <w:tcW w:w="3107" w:type="dxa"/>
            <w:tcBorders>
              <w:top w:val="single" w:sz="4" w:space="0" w:color="000000"/>
              <w:bottom w:val="single" w:sz="4" w:space="0" w:color="000000"/>
            </w:tcBorders>
          </w:tcPr>
          <w:p>
            <w:pPr>
              <w:pStyle w:val="TableParagraph"/>
              <w:spacing w:before="19"/>
              <w:ind w:left="14"/>
              <w:jc w:val="left"/>
              <w:rPr>
                <w:i/>
                <w:sz w:val="20"/>
              </w:rPr>
            </w:pPr>
            <w:r>
              <w:rPr>
                <w:i/>
                <w:spacing w:val="-2"/>
                <w:sz w:val="20"/>
              </w:rPr>
              <w:t>Trial</w:t>
            </w:r>
          </w:p>
        </w:tc>
        <w:tc>
          <w:tcPr>
            <w:tcW w:w="1450" w:type="dxa"/>
            <w:tcBorders>
              <w:top w:val="single" w:sz="4" w:space="0" w:color="000000"/>
              <w:bottom w:val="single" w:sz="4" w:space="0" w:color="000000"/>
            </w:tcBorders>
          </w:tcPr>
          <w:p>
            <w:pPr>
              <w:pStyle w:val="TableParagraph"/>
              <w:jc w:val="left"/>
              <w:rPr>
                <w:sz w:val="18"/>
              </w:rPr>
            </w:pPr>
          </w:p>
        </w:tc>
      </w:tr>
      <w:tr>
        <w:trPr>
          <w:trHeight w:val="268" w:hRule="atLeast"/>
        </w:trPr>
        <w:tc>
          <w:tcPr>
            <w:tcW w:w="3107" w:type="dxa"/>
            <w:tcBorders>
              <w:top w:val="single" w:sz="4" w:space="0" w:color="000000"/>
              <w:bottom w:val="single" w:sz="4" w:space="0" w:color="000000"/>
            </w:tcBorders>
          </w:tcPr>
          <w:p>
            <w:pPr>
              <w:pStyle w:val="TableParagraph"/>
              <w:spacing w:line="229" w:lineRule="exact" w:before="19"/>
              <w:ind w:left="14"/>
              <w:jc w:val="left"/>
              <w:rPr>
                <w:sz w:val="20"/>
              </w:rPr>
            </w:pPr>
            <w:r>
              <w:rPr>
                <w:sz w:val="20"/>
              </w:rPr>
              <w:t>CAR</w:t>
            </w:r>
            <w:r>
              <w:rPr>
                <w:spacing w:val="-3"/>
                <w:sz w:val="20"/>
              </w:rPr>
              <w:t> </w:t>
            </w:r>
            <w:r>
              <w:rPr>
                <w:sz w:val="20"/>
              </w:rPr>
              <w:t>II.a</w:t>
            </w:r>
            <w:r>
              <w:rPr>
                <w:spacing w:val="-3"/>
                <w:sz w:val="20"/>
              </w:rPr>
              <w:t> </w:t>
            </w:r>
            <w:r>
              <w:rPr>
                <w:spacing w:val="-2"/>
                <w:sz w:val="20"/>
              </w:rPr>
              <w:t>(Said)</w:t>
            </w:r>
          </w:p>
        </w:tc>
        <w:tc>
          <w:tcPr>
            <w:tcW w:w="1450" w:type="dxa"/>
            <w:tcBorders>
              <w:top w:val="single" w:sz="4" w:space="0" w:color="000000"/>
              <w:bottom w:val="single" w:sz="4" w:space="0" w:color="000000"/>
            </w:tcBorders>
          </w:tcPr>
          <w:p>
            <w:pPr>
              <w:pStyle w:val="TableParagraph"/>
              <w:spacing w:line="229" w:lineRule="exact" w:before="19"/>
              <w:rPr>
                <w:sz w:val="20"/>
              </w:rPr>
            </w:pPr>
            <w:r>
              <w:rPr>
                <w:sz w:val="20"/>
              </w:rPr>
              <w:t>CIS-CAR</w:t>
            </w:r>
            <w:r>
              <w:rPr>
                <w:spacing w:val="-6"/>
                <w:sz w:val="20"/>
              </w:rPr>
              <w:t> </w:t>
            </w:r>
            <w:r>
              <w:rPr>
                <w:spacing w:val="-4"/>
                <w:sz w:val="20"/>
              </w:rPr>
              <w:t>II.a</w:t>
            </w:r>
          </w:p>
        </w:tc>
      </w:tr>
      <w:tr>
        <w:trPr>
          <w:trHeight w:val="268" w:hRule="atLeast"/>
        </w:trPr>
        <w:tc>
          <w:tcPr>
            <w:tcW w:w="3107" w:type="dxa"/>
            <w:tcBorders>
              <w:top w:val="single" w:sz="4" w:space="0" w:color="000000"/>
              <w:bottom w:val="single" w:sz="4" w:space="0" w:color="000000"/>
            </w:tcBorders>
          </w:tcPr>
          <w:p>
            <w:pPr>
              <w:pStyle w:val="TableParagraph"/>
              <w:spacing w:line="229" w:lineRule="exact" w:before="19"/>
              <w:ind w:left="14"/>
              <w:jc w:val="left"/>
              <w:rPr>
                <w:sz w:val="20"/>
              </w:rPr>
            </w:pPr>
            <w:r>
              <w:rPr>
                <w:sz w:val="20"/>
              </w:rPr>
              <w:t>CAR</w:t>
            </w:r>
            <w:r>
              <w:rPr>
                <w:spacing w:val="-2"/>
                <w:sz w:val="20"/>
              </w:rPr>
              <w:t> </w:t>
            </w:r>
            <w:r>
              <w:rPr>
                <w:sz w:val="20"/>
              </w:rPr>
              <w:t>II.b</w:t>
            </w:r>
            <w:r>
              <w:rPr>
                <w:spacing w:val="-6"/>
                <w:sz w:val="20"/>
              </w:rPr>
              <w:t> </w:t>
            </w:r>
            <w:r>
              <w:rPr>
                <w:sz w:val="20"/>
              </w:rPr>
              <w:t>(Yekatom</w:t>
            </w:r>
            <w:r>
              <w:rPr>
                <w:spacing w:val="-5"/>
                <w:sz w:val="20"/>
              </w:rPr>
              <w:t> </w:t>
            </w:r>
            <w:r>
              <w:rPr>
                <w:sz w:val="20"/>
              </w:rPr>
              <w:t>&amp;</w:t>
            </w:r>
            <w:r>
              <w:rPr>
                <w:spacing w:val="-1"/>
                <w:sz w:val="20"/>
              </w:rPr>
              <w:t> </w:t>
            </w:r>
            <w:r>
              <w:rPr>
                <w:spacing w:val="-2"/>
                <w:sz w:val="20"/>
              </w:rPr>
              <w:t>Ngaïssona)</w:t>
            </w:r>
          </w:p>
        </w:tc>
        <w:tc>
          <w:tcPr>
            <w:tcW w:w="1450" w:type="dxa"/>
            <w:tcBorders>
              <w:top w:val="single" w:sz="4" w:space="0" w:color="000000"/>
              <w:bottom w:val="single" w:sz="4" w:space="0" w:color="000000"/>
            </w:tcBorders>
          </w:tcPr>
          <w:p>
            <w:pPr>
              <w:pStyle w:val="TableParagraph"/>
              <w:spacing w:line="229" w:lineRule="exact" w:before="19"/>
              <w:rPr>
                <w:sz w:val="20"/>
              </w:rPr>
            </w:pPr>
            <w:r>
              <w:rPr>
                <w:spacing w:val="-2"/>
                <w:sz w:val="20"/>
              </w:rPr>
              <w:t>CIS-</w:t>
            </w:r>
            <w:r>
              <w:rPr>
                <w:spacing w:val="-5"/>
                <w:sz w:val="20"/>
              </w:rPr>
              <w:t>4T3</w:t>
            </w:r>
          </w:p>
        </w:tc>
      </w:tr>
      <w:tr>
        <w:trPr>
          <w:trHeight w:val="273" w:hRule="atLeast"/>
        </w:trPr>
        <w:tc>
          <w:tcPr>
            <w:tcW w:w="3107" w:type="dxa"/>
            <w:tcBorders>
              <w:top w:val="single" w:sz="4" w:space="0" w:color="000000"/>
              <w:bottom w:val="single" w:sz="4" w:space="0" w:color="000000"/>
            </w:tcBorders>
          </w:tcPr>
          <w:p>
            <w:pPr>
              <w:pStyle w:val="TableParagraph"/>
              <w:spacing w:before="20"/>
              <w:ind w:left="14"/>
              <w:jc w:val="left"/>
              <w:rPr>
                <w:sz w:val="20"/>
              </w:rPr>
            </w:pPr>
            <w:r>
              <w:rPr>
                <w:sz w:val="20"/>
              </w:rPr>
              <w:t>Mali</w:t>
            </w:r>
            <w:r>
              <w:rPr>
                <w:spacing w:val="-2"/>
                <w:sz w:val="20"/>
              </w:rPr>
              <w:t> </w:t>
            </w:r>
            <w:r>
              <w:rPr>
                <w:sz w:val="20"/>
              </w:rPr>
              <w:t>(Al</w:t>
            </w:r>
            <w:r>
              <w:rPr>
                <w:spacing w:val="-2"/>
                <w:sz w:val="20"/>
              </w:rPr>
              <w:t> Hassan)</w:t>
            </w:r>
          </w:p>
        </w:tc>
        <w:tc>
          <w:tcPr>
            <w:tcW w:w="1450" w:type="dxa"/>
            <w:tcBorders>
              <w:top w:val="single" w:sz="4" w:space="0" w:color="000000"/>
              <w:bottom w:val="single" w:sz="4" w:space="0" w:color="000000"/>
            </w:tcBorders>
          </w:tcPr>
          <w:p>
            <w:pPr>
              <w:pStyle w:val="TableParagraph"/>
              <w:spacing w:before="20"/>
              <w:rPr>
                <w:sz w:val="20"/>
              </w:rPr>
            </w:pPr>
            <w:r>
              <w:rPr>
                <w:spacing w:val="-2"/>
                <w:sz w:val="20"/>
              </w:rPr>
              <w:t>CIS-</w:t>
            </w:r>
            <w:r>
              <w:rPr>
                <w:spacing w:val="-5"/>
                <w:sz w:val="20"/>
              </w:rPr>
              <w:t>8T2</w:t>
            </w:r>
          </w:p>
        </w:tc>
      </w:tr>
    </w:tbl>
    <w:p>
      <w:pPr>
        <w:spacing w:after="0"/>
        <w:rPr>
          <w:sz w:val="20"/>
        </w:rPr>
        <w:sectPr>
          <w:pgSz w:w="11910" w:h="16840"/>
          <w:pgMar w:header="953" w:footer="940" w:top="1140" w:bottom="1140" w:left="20" w:right="20"/>
        </w:sectPr>
      </w:pPr>
    </w:p>
    <w:p>
      <w:pPr>
        <w:pStyle w:val="Heading3"/>
        <w:numPr>
          <w:ilvl w:val="0"/>
          <w:numId w:val="8"/>
        </w:numPr>
        <w:tabs>
          <w:tab w:pos="2246" w:val="left" w:leader="none"/>
          <w:tab w:pos="2247" w:val="left" w:leader="none"/>
        </w:tabs>
        <w:spacing w:line="240" w:lineRule="auto" w:before="125" w:after="0"/>
        <w:ind w:left="2246" w:right="0" w:hanging="568"/>
        <w:jc w:val="left"/>
      </w:pPr>
      <w:r>
        <w:rPr/>
        <w:t>Unified</w:t>
      </w:r>
      <w:r>
        <w:rPr>
          <w:spacing w:val="-5"/>
        </w:rPr>
        <w:t> </w:t>
      </w:r>
      <w:r>
        <w:rPr>
          <w:spacing w:val="-2"/>
        </w:rPr>
        <w:t>teams</w:t>
      </w:r>
    </w:p>
    <w:p>
      <w:pPr>
        <w:pStyle w:val="BodyText"/>
        <w:spacing w:before="5"/>
        <w:rPr>
          <w:b/>
        </w:rPr>
      </w:pPr>
    </w:p>
    <w:p>
      <w:pPr>
        <w:pStyle w:val="ListParagraph"/>
        <w:numPr>
          <w:ilvl w:val="0"/>
          <w:numId w:val="4"/>
        </w:numPr>
        <w:tabs>
          <w:tab w:pos="2967" w:val="left" w:leader="none"/>
        </w:tabs>
        <w:spacing w:line="240" w:lineRule="auto" w:before="1" w:after="0"/>
        <w:ind w:left="2246" w:right="2244" w:firstLine="0"/>
        <w:jc w:val="both"/>
        <w:rPr>
          <w:sz w:val="20"/>
        </w:rPr>
      </w:pPr>
      <w:r>
        <w:rPr>
          <w:sz w:val="20"/>
        </w:rPr>
        <w:t>Unified</w:t>
      </w:r>
      <w:r>
        <w:rPr>
          <w:spacing w:val="-9"/>
          <w:sz w:val="20"/>
        </w:rPr>
        <w:t> </w:t>
      </w:r>
      <w:r>
        <w:rPr>
          <w:sz w:val="20"/>
        </w:rPr>
        <w:t>Teams</w:t>
      </w:r>
      <w:r>
        <w:rPr>
          <w:spacing w:val="-6"/>
          <w:sz w:val="20"/>
        </w:rPr>
        <w:t> </w:t>
      </w:r>
      <w:r>
        <w:rPr>
          <w:sz w:val="20"/>
        </w:rPr>
        <w:t>are</w:t>
      </w:r>
      <w:r>
        <w:rPr>
          <w:spacing w:val="-8"/>
          <w:sz w:val="20"/>
        </w:rPr>
        <w:t> </w:t>
      </w:r>
      <w:r>
        <w:rPr>
          <w:sz w:val="20"/>
        </w:rPr>
        <w:t>constituted</w:t>
      </w:r>
      <w:r>
        <w:rPr>
          <w:spacing w:val="-9"/>
          <w:sz w:val="20"/>
        </w:rPr>
        <w:t> </w:t>
      </w:r>
      <w:r>
        <w:rPr>
          <w:sz w:val="20"/>
        </w:rPr>
        <w:t>to</w:t>
      </w:r>
      <w:r>
        <w:rPr>
          <w:spacing w:val="-9"/>
          <w:sz w:val="20"/>
        </w:rPr>
        <w:t> </w:t>
      </w:r>
      <w:r>
        <w:rPr>
          <w:sz w:val="20"/>
        </w:rPr>
        <w:t>address</w:t>
      </w:r>
      <w:r>
        <w:rPr>
          <w:spacing w:val="-11"/>
          <w:sz w:val="20"/>
        </w:rPr>
        <w:t> </w:t>
      </w:r>
      <w:r>
        <w:rPr>
          <w:sz w:val="20"/>
        </w:rPr>
        <w:t>each</w:t>
      </w:r>
      <w:r>
        <w:rPr>
          <w:spacing w:val="-9"/>
          <w:sz w:val="20"/>
        </w:rPr>
        <w:t> </w:t>
      </w:r>
      <w:r>
        <w:rPr>
          <w:sz w:val="20"/>
        </w:rPr>
        <w:t>situation</w:t>
      </w:r>
      <w:r>
        <w:rPr>
          <w:spacing w:val="-9"/>
          <w:sz w:val="20"/>
        </w:rPr>
        <w:t> </w:t>
      </w:r>
      <w:r>
        <w:rPr>
          <w:sz w:val="20"/>
        </w:rPr>
        <w:t>addressed</w:t>
      </w:r>
      <w:r>
        <w:rPr>
          <w:spacing w:val="-5"/>
          <w:sz w:val="20"/>
        </w:rPr>
        <w:t> </w:t>
      </w:r>
      <w:r>
        <w:rPr>
          <w:sz w:val="20"/>
        </w:rPr>
        <w:t>by</w:t>
      </w:r>
      <w:r>
        <w:rPr>
          <w:spacing w:val="-9"/>
          <w:sz w:val="20"/>
        </w:rPr>
        <w:t> </w:t>
      </w:r>
      <w:r>
        <w:rPr>
          <w:sz w:val="20"/>
        </w:rPr>
        <w:t>the</w:t>
      </w:r>
      <w:r>
        <w:rPr>
          <w:spacing w:val="-8"/>
          <w:sz w:val="20"/>
        </w:rPr>
        <w:t> </w:t>
      </w:r>
      <w:r>
        <w:rPr>
          <w:sz w:val="20"/>
        </w:rPr>
        <w:t>Office</w:t>
      </w:r>
      <w:r>
        <w:rPr>
          <w:spacing w:val="-8"/>
          <w:sz w:val="20"/>
        </w:rPr>
        <w:t> </w:t>
      </w:r>
      <w:r>
        <w:rPr>
          <w:sz w:val="20"/>
        </w:rPr>
        <w:t>and incorporate lawyers, investigators, analysts, international cooperation advisers and country experts.</w:t>
      </w:r>
      <w:r>
        <w:rPr>
          <w:spacing w:val="-13"/>
          <w:sz w:val="20"/>
        </w:rPr>
        <w:t> </w:t>
      </w:r>
      <w:r>
        <w:rPr>
          <w:sz w:val="20"/>
        </w:rPr>
        <w:t>By</w:t>
      </w:r>
      <w:r>
        <w:rPr>
          <w:spacing w:val="-12"/>
          <w:sz w:val="20"/>
        </w:rPr>
        <w:t> </w:t>
      </w:r>
      <w:r>
        <w:rPr>
          <w:sz w:val="20"/>
        </w:rPr>
        <w:t>integrating</w:t>
      </w:r>
      <w:r>
        <w:rPr>
          <w:spacing w:val="-13"/>
          <w:sz w:val="20"/>
        </w:rPr>
        <w:t> </w:t>
      </w:r>
      <w:r>
        <w:rPr>
          <w:sz w:val="20"/>
        </w:rPr>
        <w:t>staff</w:t>
      </w:r>
      <w:r>
        <w:rPr>
          <w:spacing w:val="-12"/>
          <w:sz w:val="20"/>
        </w:rPr>
        <w:t> </w:t>
      </w:r>
      <w:r>
        <w:rPr>
          <w:sz w:val="20"/>
        </w:rPr>
        <w:t>involved</w:t>
      </w:r>
      <w:r>
        <w:rPr>
          <w:spacing w:val="-13"/>
          <w:sz w:val="20"/>
        </w:rPr>
        <w:t> </w:t>
      </w:r>
      <w:r>
        <w:rPr>
          <w:sz w:val="20"/>
        </w:rPr>
        <w:t>across</w:t>
      </w:r>
      <w:r>
        <w:rPr>
          <w:spacing w:val="-12"/>
          <w:sz w:val="20"/>
        </w:rPr>
        <w:t> </w:t>
      </w:r>
      <w:r>
        <w:rPr>
          <w:sz w:val="20"/>
        </w:rPr>
        <w:t>the</w:t>
      </w:r>
      <w:r>
        <w:rPr>
          <w:spacing w:val="-13"/>
          <w:sz w:val="20"/>
        </w:rPr>
        <w:t> </w:t>
      </w:r>
      <w:r>
        <w:rPr>
          <w:sz w:val="20"/>
        </w:rPr>
        <w:t>investigative,</w:t>
      </w:r>
      <w:r>
        <w:rPr>
          <w:spacing w:val="-12"/>
          <w:sz w:val="20"/>
        </w:rPr>
        <w:t> </w:t>
      </w:r>
      <w:r>
        <w:rPr>
          <w:sz w:val="20"/>
        </w:rPr>
        <w:t>analytical</w:t>
      </w:r>
      <w:r>
        <w:rPr>
          <w:spacing w:val="-13"/>
          <w:sz w:val="20"/>
        </w:rPr>
        <w:t> </w:t>
      </w:r>
      <w:r>
        <w:rPr>
          <w:sz w:val="20"/>
        </w:rPr>
        <w:t>and</w:t>
      </w:r>
      <w:r>
        <w:rPr>
          <w:spacing w:val="-12"/>
          <w:sz w:val="20"/>
        </w:rPr>
        <w:t> </w:t>
      </w:r>
      <w:r>
        <w:rPr>
          <w:sz w:val="20"/>
        </w:rPr>
        <w:t>trial</w:t>
      </w:r>
      <w:r>
        <w:rPr>
          <w:spacing w:val="-13"/>
          <w:sz w:val="20"/>
        </w:rPr>
        <w:t> </w:t>
      </w:r>
      <w:r>
        <w:rPr>
          <w:sz w:val="20"/>
        </w:rPr>
        <w:t>proceedings stages</w:t>
      </w:r>
      <w:r>
        <w:rPr>
          <w:spacing w:val="-13"/>
          <w:sz w:val="20"/>
        </w:rPr>
        <w:t> </w:t>
      </w:r>
      <w:r>
        <w:rPr>
          <w:sz w:val="20"/>
        </w:rPr>
        <w:t>of</w:t>
      </w:r>
      <w:r>
        <w:rPr>
          <w:spacing w:val="-12"/>
          <w:sz w:val="20"/>
        </w:rPr>
        <w:t> </w:t>
      </w:r>
      <w:r>
        <w:rPr>
          <w:sz w:val="20"/>
        </w:rPr>
        <w:t>work</w:t>
      </w:r>
      <w:r>
        <w:rPr>
          <w:spacing w:val="-13"/>
          <w:sz w:val="20"/>
        </w:rPr>
        <w:t> </w:t>
      </w:r>
      <w:r>
        <w:rPr>
          <w:sz w:val="20"/>
        </w:rPr>
        <w:t>in</w:t>
      </w:r>
      <w:r>
        <w:rPr>
          <w:spacing w:val="-12"/>
          <w:sz w:val="20"/>
        </w:rPr>
        <w:t> </w:t>
      </w:r>
      <w:r>
        <w:rPr>
          <w:sz w:val="20"/>
        </w:rPr>
        <w:t>relation</w:t>
      </w:r>
      <w:r>
        <w:rPr>
          <w:spacing w:val="-13"/>
          <w:sz w:val="20"/>
        </w:rPr>
        <w:t> </w:t>
      </w:r>
      <w:r>
        <w:rPr>
          <w:sz w:val="20"/>
        </w:rPr>
        <w:t>to</w:t>
      </w:r>
      <w:r>
        <w:rPr>
          <w:spacing w:val="-12"/>
          <w:sz w:val="20"/>
        </w:rPr>
        <w:t> </w:t>
      </w:r>
      <w:r>
        <w:rPr>
          <w:sz w:val="20"/>
        </w:rPr>
        <w:t>a</w:t>
      </w:r>
      <w:r>
        <w:rPr>
          <w:spacing w:val="-13"/>
          <w:sz w:val="20"/>
        </w:rPr>
        <w:t> </w:t>
      </w:r>
      <w:r>
        <w:rPr>
          <w:sz w:val="20"/>
        </w:rPr>
        <w:t>situation,</w:t>
      </w:r>
      <w:r>
        <w:rPr>
          <w:spacing w:val="-12"/>
          <w:sz w:val="20"/>
        </w:rPr>
        <w:t> </w:t>
      </w:r>
      <w:r>
        <w:rPr>
          <w:sz w:val="20"/>
        </w:rPr>
        <w:t>the</w:t>
      </w:r>
      <w:r>
        <w:rPr>
          <w:spacing w:val="-13"/>
          <w:sz w:val="20"/>
        </w:rPr>
        <w:t> </w:t>
      </w:r>
      <w:r>
        <w:rPr>
          <w:sz w:val="20"/>
        </w:rPr>
        <w:t>Unified</w:t>
      </w:r>
      <w:r>
        <w:rPr>
          <w:spacing w:val="-12"/>
          <w:sz w:val="20"/>
        </w:rPr>
        <w:t> </w:t>
      </w:r>
      <w:r>
        <w:rPr>
          <w:sz w:val="20"/>
        </w:rPr>
        <w:t>Teams</w:t>
      </w:r>
      <w:r>
        <w:rPr>
          <w:spacing w:val="-13"/>
          <w:sz w:val="20"/>
        </w:rPr>
        <w:t> </w:t>
      </w:r>
      <w:r>
        <w:rPr>
          <w:sz w:val="20"/>
        </w:rPr>
        <w:t>build</w:t>
      </w:r>
      <w:r>
        <w:rPr>
          <w:spacing w:val="-12"/>
          <w:sz w:val="20"/>
        </w:rPr>
        <w:t> </w:t>
      </w:r>
      <w:r>
        <w:rPr>
          <w:sz w:val="20"/>
        </w:rPr>
        <w:t>situation-specific</w:t>
      </w:r>
      <w:r>
        <w:rPr>
          <w:spacing w:val="-13"/>
          <w:sz w:val="20"/>
        </w:rPr>
        <w:t> </w:t>
      </w:r>
      <w:r>
        <w:rPr>
          <w:sz w:val="20"/>
        </w:rPr>
        <w:t>knowledge that maintain a continuity of resources and expertise. This modality also ensures enhanced standardization</w:t>
      </w:r>
      <w:r>
        <w:rPr>
          <w:spacing w:val="-5"/>
          <w:sz w:val="20"/>
        </w:rPr>
        <w:t> </w:t>
      </w:r>
      <w:r>
        <w:rPr>
          <w:sz w:val="20"/>
        </w:rPr>
        <w:t>of</w:t>
      </w:r>
      <w:r>
        <w:rPr>
          <w:spacing w:val="-5"/>
          <w:sz w:val="20"/>
        </w:rPr>
        <w:t> </w:t>
      </w:r>
      <w:r>
        <w:rPr>
          <w:sz w:val="20"/>
        </w:rPr>
        <w:t>working</w:t>
      </w:r>
      <w:r>
        <w:rPr>
          <w:spacing w:val="-8"/>
          <w:sz w:val="20"/>
        </w:rPr>
        <w:t> </w:t>
      </w:r>
      <w:r>
        <w:rPr>
          <w:sz w:val="20"/>
        </w:rPr>
        <w:t>methods</w:t>
      </w:r>
      <w:r>
        <w:rPr>
          <w:spacing w:val="-10"/>
          <w:sz w:val="20"/>
        </w:rPr>
        <w:t> </w:t>
      </w:r>
      <w:r>
        <w:rPr>
          <w:sz w:val="20"/>
        </w:rPr>
        <w:t>to</w:t>
      </w:r>
      <w:r>
        <w:rPr>
          <w:spacing w:val="-5"/>
          <w:sz w:val="20"/>
        </w:rPr>
        <w:t> </w:t>
      </w:r>
      <w:r>
        <w:rPr>
          <w:sz w:val="20"/>
        </w:rPr>
        <w:t>facilitate</w:t>
      </w:r>
      <w:r>
        <w:rPr>
          <w:spacing w:val="-7"/>
          <w:sz w:val="20"/>
        </w:rPr>
        <w:t> </w:t>
      </w:r>
      <w:r>
        <w:rPr>
          <w:sz w:val="20"/>
        </w:rPr>
        <w:t>the</w:t>
      </w:r>
      <w:r>
        <w:rPr>
          <w:spacing w:val="-3"/>
          <w:sz w:val="20"/>
        </w:rPr>
        <w:t> </w:t>
      </w:r>
      <w:r>
        <w:rPr>
          <w:sz w:val="20"/>
        </w:rPr>
        <w:t>transition</w:t>
      </w:r>
      <w:r>
        <w:rPr>
          <w:spacing w:val="-5"/>
          <w:sz w:val="20"/>
        </w:rPr>
        <w:t> </w:t>
      </w:r>
      <w:r>
        <w:rPr>
          <w:sz w:val="20"/>
        </w:rPr>
        <w:t>from</w:t>
      </w:r>
      <w:r>
        <w:rPr>
          <w:spacing w:val="-7"/>
          <w:sz w:val="20"/>
        </w:rPr>
        <w:t> </w:t>
      </w:r>
      <w:r>
        <w:rPr>
          <w:sz w:val="20"/>
        </w:rPr>
        <w:t>preliminary</w:t>
      </w:r>
      <w:r>
        <w:rPr>
          <w:spacing w:val="-8"/>
          <w:sz w:val="20"/>
        </w:rPr>
        <w:t> </w:t>
      </w:r>
      <w:r>
        <w:rPr>
          <w:sz w:val="20"/>
        </w:rPr>
        <w:t>examination to the investigation and trial phases.</w:t>
      </w:r>
    </w:p>
    <w:p>
      <w:pPr>
        <w:pStyle w:val="ListParagraph"/>
        <w:numPr>
          <w:ilvl w:val="0"/>
          <w:numId w:val="4"/>
        </w:numPr>
        <w:tabs>
          <w:tab w:pos="2967" w:val="left" w:leader="none"/>
        </w:tabs>
        <w:spacing w:line="240" w:lineRule="auto" w:before="123" w:after="0"/>
        <w:ind w:left="2246" w:right="2249" w:firstLine="0"/>
        <w:jc w:val="both"/>
        <w:rPr>
          <w:sz w:val="20"/>
        </w:rPr>
      </w:pPr>
      <w:r>
        <w:rPr>
          <w:sz w:val="20"/>
        </w:rPr>
        <w:t>The</w:t>
      </w:r>
      <w:r>
        <w:rPr>
          <w:spacing w:val="-2"/>
          <w:sz w:val="20"/>
        </w:rPr>
        <w:t> </w:t>
      </w:r>
      <w:r>
        <w:rPr>
          <w:sz w:val="20"/>
        </w:rPr>
        <w:t>details of</w:t>
      </w:r>
      <w:r>
        <w:rPr>
          <w:spacing w:val="-4"/>
          <w:sz w:val="20"/>
        </w:rPr>
        <w:t> </w:t>
      </w:r>
      <w:r>
        <w:rPr>
          <w:sz w:val="20"/>
        </w:rPr>
        <w:t>this</w:t>
      </w:r>
      <w:r>
        <w:rPr>
          <w:spacing w:val="-10"/>
          <w:sz w:val="20"/>
        </w:rPr>
        <w:t> </w:t>
      </w:r>
      <w:r>
        <w:rPr>
          <w:sz w:val="20"/>
        </w:rPr>
        <w:t>allocation</w:t>
      </w:r>
      <w:r>
        <w:rPr>
          <w:spacing w:val="-4"/>
          <w:sz w:val="20"/>
        </w:rPr>
        <w:t> </w:t>
      </w:r>
      <w:r>
        <w:rPr>
          <w:sz w:val="20"/>
        </w:rPr>
        <w:t>is</w:t>
      </w:r>
      <w:r>
        <w:rPr>
          <w:spacing w:val="-5"/>
          <w:sz w:val="20"/>
        </w:rPr>
        <w:t> </w:t>
      </w:r>
      <w:r>
        <w:rPr>
          <w:sz w:val="20"/>
        </w:rPr>
        <w:t>shown</w:t>
      </w:r>
      <w:r>
        <w:rPr>
          <w:spacing w:val="-4"/>
          <w:sz w:val="20"/>
        </w:rPr>
        <w:t> </w:t>
      </w:r>
      <w:r>
        <w:rPr>
          <w:sz w:val="20"/>
        </w:rPr>
        <w:t>further</w:t>
      </w:r>
      <w:r>
        <w:rPr>
          <w:spacing w:val="-4"/>
          <w:sz w:val="20"/>
        </w:rPr>
        <w:t> </w:t>
      </w:r>
      <w:r>
        <w:rPr>
          <w:sz w:val="20"/>
        </w:rPr>
        <w:t>down</w:t>
      </w:r>
      <w:r>
        <w:rPr>
          <w:spacing w:val="-4"/>
          <w:sz w:val="20"/>
        </w:rPr>
        <w:t> </w:t>
      </w:r>
      <w:r>
        <w:rPr>
          <w:sz w:val="20"/>
        </w:rPr>
        <w:t>in</w:t>
      </w:r>
      <w:r>
        <w:rPr>
          <w:spacing w:val="-8"/>
          <w:sz w:val="20"/>
        </w:rPr>
        <w:t> </w:t>
      </w:r>
      <w:r>
        <w:rPr>
          <w:sz w:val="20"/>
        </w:rPr>
        <w:t>the</w:t>
      </w:r>
      <w:r>
        <w:rPr>
          <w:spacing w:val="-7"/>
          <w:sz w:val="20"/>
        </w:rPr>
        <w:t> </w:t>
      </w:r>
      <w:r>
        <w:rPr>
          <w:sz w:val="20"/>
        </w:rPr>
        <w:t>tables</w:t>
      </w:r>
      <w:r>
        <w:rPr>
          <w:spacing w:val="-5"/>
          <w:sz w:val="20"/>
        </w:rPr>
        <w:t> </w:t>
      </w:r>
      <w:r>
        <w:rPr>
          <w:sz w:val="20"/>
        </w:rPr>
        <w:t>which</w:t>
      </w:r>
      <w:r>
        <w:rPr>
          <w:spacing w:val="-4"/>
          <w:sz w:val="20"/>
        </w:rPr>
        <w:t> </w:t>
      </w:r>
      <w:r>
        <w:rPr>
          <w:sz w:val="20"/>
        </w:rPr>
        <w:t>list</w:t>
      </w:r>
      <w:r>
        <w:rPr>
          <w:spacing w:val="-2"/>
          <w:sz w:val="20"/>
        </w:rPr>
        <w:t> </w:t>
      </w:r>
      <w:r>
        <w:rPr>
          <w:sz w:val="20"/>
        </w:rPr>
        <w:t>the</w:t>
      </w:r>
      <w:r>
        <w:rPr>
          <w:spacing w:val="-2"/>
          <w:sz w:val="20"/>
        </w:rPr>
        <w:t> </w:t>
      </w:r>
      <w:r>
        <w:rPr>
          <w:sz w:val="20"/>
        </w:rPr>
        <w:t>staff resources (Established and GTA) of this pillar.</w:t>
      </w:r>
    </w:p>
    <w:p>
      <w:pPr>
        <w:pStyle w:val="BodyText"/>
        <w:spacing w:before="11"/>
      </w:pPr>
    </w:p>
    <w:p>
      <w:pPr>
        <w:pStyle w:val="Heading3"/>
        <w:numPr>
          <w:ilvl w:val="0"/>
          <w:numId w:val="8"/>
        </w:numPr>
        <w:tabs>
          <w:tab w:pos="2246" w:val="left" w:leader="none"/>
          <w:tab w:pos="2247" w:val="left" w:leader="none"/>
        </w:tabs>
        <w:spacing w:line="240" w:lineRule="auto" w:before="0" w:after="0"/>
        <w:ind w:left="2246" w:right="0" w:hanging="568"/>
        <w:jc w:val="left"/>
      </w:pPr>
      <w:r>
        <w:rPr/>
        <w:t>Financial</w:t>
      </w:r>
      <w:r>
        <w:rPr>
          <w:spacing w:val="-12"/>
        </w:rPr>
        <w:t> </w:t>
      </w:r>
      <w:r>
        <w:rPr/>
        <w:t>Investigation</w:t>
      </w:r>
      <w:r>
        <w:rPr>
          <w:spacing w:val="-7"/>
        </w:rPr>
        <w:t> </w:t>
      </w:r>
      <w:r>
        <w:rPr>
          <w:spacing w:val="-4"/>
        </w:rPr>
        <w:t>Unit</w:t>
      </w:r>
    </w:p>
    <w:p>
      <w:pPr>
        <w:pStyle w:val="BodyText"/>
        <w:spacing w:before="6"/>
        <w:rPr>
          <w:b/>
        </w:rPr>
      </w:pPr>
    </w:p>
    <w:p>
      <w:pPr>
        <w:pStyle w:val="ListParagraph"/>
        <w:numPr>
          <w:ilvl w:val="0"/>
          <w:numId w:val="4"/>
        </w:numPr>
        <w:tabs>
          <w:tab w:pos="2967" w:val="left" w:leader="none"/>
        </w:tabs>
        <w:spacing w:line="240" w:lineRule="auto" w:before="0" w:after="0"/>
        <w:ind w:left="2246" w:right="2241" w:firstLine="0"/>
        <w:jc w:val="both"/>
        <w:rPr>
          <w:sz w:val="20"/>
        </w:rPr>
      </w:pPr>
      <w:r>
        <w:rPr>
          <w:sz w:val="20"/>
        </w:rPr>
        <w:t>The Office has identified a need to strengthen its capacity with respect to financial investigations</w:t>
      </w:r>
      <w:r>
        <w:rPr>
          <w:spacing w:val="-5"/>
          <w:sz w:val="20"/>
        </w:rPr>
        <w:t> </w:t>
      </w:r>
      <w:r>
        <w:rPr>
          <w:sz w:val="20"/>
        </w:rPr>
        <w:t>from</w:t>
      </w:r>
      <w:r>
        <w:rPr>
          <w:spacing w:val="-7"/>
          <w:sz w:val="20"/>
        </w:rPr>
        <w:t> </w:t>
      </w:r>
      <w:r>
        <w:rPr>
          <w:sz w:val="20"/>
        </w:rPr>
        <w:t>the</w:t>
      </w:r>
      <w:r>
        <w:rPr>
          <w:spacing w:val="-7"/>
          <w:sz w:val="20"/>
        </w:rPr>
        <w:t> </w:t>
      </w:r>
      <w:r>
        <w:rPr>
          <w:sz w:val="20"/>
        </w:rPr>
        <w:t>early</w:t>
      </w:r>
      <w:r>
        <w:rPr>
          <w:spacing w:val="-8"/>
          <w:sz w:val="20"/>
        </w:rPr>
        <w:t> </w:t>
      </w:r>
      <w:r>
        <w:rPr>
          <w:sz w:val="20"/>
        </w:rPr>
        <w:t>stages</w:t>
      </w:r>
      <w:r>
        <w:rPr>
          <w:spacing w:val="-10"/>
          <w:sz w:val="20"/>
        </w:rPr>
        <w:t> </w:t>
      </w:r>
      <w:r>
        <w:rPr>
          <w:sz w:val="20"/>
        </w:rPr>
        <w:t>of</w:t>
      </w:r>
      <w:r>
        <w:rPr>
          <w:spacing w:val="-8"/>
          <w:sz w:val="20"/>
        </w:rPr>
        <w:t> </w:t>
      </w:r>
      <w:r>
        <w:rPr>
          <w:sz w:val="20"/>
        </w:rPr>
        <w:t>work</w:t>
      </w:r>
      <w:r>
        <w:rPr>
          <w:spacing w:val="-8"/>
          <w:sz w:val="20"/>
        </w:rPr>
        <w:t> </w:t>
      </w:r>
      <w:r>
        <w:rPr>
          <w:sz w:val="20"/>
        </w:rPr>
        <w:t>on</w:t>
      </w:r>
      <w:r>
        <w:rPr>
          <w:spacing w:val="-8"/>
          <w:sz w:val="20"/>
        </w:rPr>
        <w:t> </w:t>
      </w:r>
      <w:r>
        <w:rPr>
          <w:sz w:val="20"/>
        </w:rPr>
        <w:t>lines</w:t>
      </w:r>
      <w:r>
        <w:rPr>
          <w:spacing w:val="-10"/>
          <w:sz w:val="20"/>
        </w:rPr>
        <w:t> </w:t>
      </w:r>
      <w:r>
        <w:rPr>
          <w:sz w:val="20"/>
        </w:rPr>
        <w:t>of</w:t>
      </w:r>
      <w:r>
        <w:rPr>
          <w:spacing w:val="-8"/>
          <w:sz w:val="20"/>
        </w:rPr>
        <w:t> </w:t>
      </w:r>
      <w:r>
        <w:rPr>
          <w:sz w:val="20"/>
        </w:rPr>
        <w:t>enquiry</w:t>
      </w:r>
      <w:r>
        <w:rPr>
          <w:spacing w:val="-4"/>
          <w:sz w:val="20"/>
        </w:rPr>
        <w:t> </w:t>
      </w:r>
      <w:r>
        <w:rPr>
          <w:sz w:val="20"/>
        </w:rPr>
        <w:t>in</w:t>
      </w:r>
      <w:r>
        <w:rPr>
          <w:spacing w:val="-8"/>
          <w:sz w:val="20"/>
        </w:rPr>
        <w:t> </w:t>
      </w:r>
      <w:r>
        <w:rPr>
          <w:sz w:val="20"/>
        </w:rPr>
        <w:t>situations. This</w:t>
      </w:r>
      <w:r>
        <w:rPr>
          <w:spacing w:val="-10"/>
          <w:sz w:val="20"/>
        </w:rPr>
        <w:t> </w:t>
      </w:r>
      <w:r>
        <w:rPr>
          <w:sz w:val="20"/>
        </w:rPr>
        <w:t>is</w:t>
      </w:r>
      <w:r>
        <w:rPr>
          <w:spacing w:val="-5"/>
          <w:sz w:val="20"/>
        </w:rPr>
        <w:t> </w:t>
      </w:r>
      <w:r>
        <w:rPr>
          <w:sz w:val="20"/>
        </w:rPr>
        <w:t>required in order to strengthen its ability to collect financial evidence for Article 5 crimes and to identify and trace proceeds, property, assets and instrumentalities of crimes for the purpose of an eventual forfeiture by the Chambers. It is therefore proposed to establish a Financial Investigation Unit in order to ensure that Unified Teams across the Office can draw on dedicated and specialized capacity in this area as part of their investigative work.</w:t>
      </w:r>
    </w:p>
    <w:p>
      <w:pPr>
        <w:pStyle w:val="ListParagraph"/>
        <w:numPr>
          <w:ilvl w:val="0"/>
          <w:numId w:val="4"/>
        </w:numPr>
        <w:tabs>
          <w:tab w:pos="2967" w:val="left" w:leader="none"/>
        </w:tabs>
        <w:spacing w:line="240" w:lineRule="auto" w:before="124" w:after="0"/>
        <w:ind w:left="2246" w:right="2238" w:firstLine="0"/>
        <w:jc w:val="both"/>
        <w:rPr>
          <w:sz w:val="20"/>
        </w:rPr>
      </w:pPr>
      <w:r>
        <w:rPr>
          <w:sz w:val="20"/>
        </w:rPr>
        <w:t>By enhancing its financial investigative capacity, not only will the OTP reinforce its investigations and prosecutions with relevant financial evidence, but as cases move towards</w:t>
      </w:r>
      <w:r>
        <w:rPr>
          <w:spacing w:val="-11"/>
          <w:sz w:val="20"/>
        </w:rPr>
        <w:t> </w:t>
      </w:r>
      <w:r>
        <w:rPr>
          <w:sz w:val="20"/>
        </w:rPr>
        <w:t>the</w:t>
      </w:r>
      <w:r>
        <w:rPr>
          <w:spacing w:val="-8"/>
          <w:sz w:val="20"/>
        </w:rPr>
        <w:t> </w:t>
      </w:r>
      <w:r>
        <w:rPr>
          <w:sz w:val="20"/>
        </w:rPr>
        <w:t>judicial</w:t>
      </w:r>
      <w:r>
        <w:rPr>
          <w:spacing w:val="-8"/>
          <w:sz w:val="20"/>
        </w:rPr>
        <w:t> </w:t>
      </w:r>
      <w:r>
        <w:rPr>
          <w:sz w:val="20"/>
        </w:rPr>
        <w:t>stages,</w:t>
      </w:r>
      <w:r>
        <w:rPr>
          <w:spacing w:val="-7"/>
          <w:sz w:val="20"/>
        </w:rPr>
        <w:t> </w:t>
      </w:r>
      <w:r>
        <w:rPr>
          <w:sz w:val="20"/>
        </w:rPr>
        <w:t>it</w:t>
      </w:r>
      <w:r>
        <w:rPr>
          <w:spacing w:val="-8"/>
          <w:sz w:val="20"/>
        </w:rPr>
        <w:t> </w:t>
      </w:r>
      <w:r>
        <w:rPr>
          <w:sz w:val="20"/>
        </w:rPr>
        <w:t>will</w:t>
      </w:r>
      <w:r>
        <w:rPr>
          <w:spacing w:val="-8"/>
          <w:sz w:val="20"/>
        </w:rPr>
        <w:t> </w:t>
      </w:r>
      <w:r>
        <w:rPr>
          <w:sz w:val="20"/>
        </w:rPr>
        <w:t>also</w:t>
      </w:r>
      <w:r>
        <w:rPr>
          <w:spacing w:val="-9"/>
          <w:sz w:val="20"/>
        </w:rPr>
        <w:t> </w:t>
      </w:r>
      <w:r>
        <w:rPr>
          <w:sz w:val="20"/>
        </w:rPr>
        <w:t>be</w:t>
      </w:r>
      <w:r>
        <w:rPr>
          <w:spacing w:val="-8"/>
          <w:sz w:val="20"/>
        </w:rPr>
        <w:t> </w:t>
      </w:r>
      <w:r>
        <w:rPr>
          <w:sz w:val="20"/>
        </w:rPr>
        <w:t>able</w:t>
      </w:r>
      <w:r>
        <w:rPr>
          <w:spacing w:val="-12"/>
          <w:sz w:val="20"/>
        </w:rPr>
        <w:t> </w:t>
      </w:r>
      <w:r>
        <w:rPr>
          <w:sz w:val="20"/>
        </w:rPr>
        <w:t>to</w:t>
      </w:r>
      <w:r>
        <w:rPr>
          <w:spacing w:val="-9"/>
          <w:sz w:val="20"/>
        </w:rPr>
        <w:t> </w:t>
      </w:r>
      <w:r>
        <w:rPr>
          <w:sz w:val="20"/>
        </w:rPr>
        <w:t>provide</w:t>
      </w:r>
      <w:r>
        <w:rPr>
          <w:spacing w:val="-8"/>
          <w:sz w:val="20"/>
        </w:rPr>
        <w:t> </w:t>
      </w:r>
      <w:r>
        <w:rPr>
          <w:sz w:val="20"/>
        </w:rPr>
        <w:t>the</w:t>
      </w:r>
      <w:r>
        <w:rPr>
          <w:spacing w:val="-8"/>
          <w:sz w:val="20"/>
        </w:rPr>
        <w:t> </w:t>
      </w:r>
      <w:r>
        <w:rPr>
          <w:sz w:val="20"/>
        </w:rPr>
        <w:t>Chambers</w:t>
      </w:r>
      <w:r>
        <w:rPr>
          <w:spacing w:val="-11"/>
          <w:sz w:val="20"/>
        </w:rPr>
        <w:t> </w:t>
      </w:r>
      <w:r>
        <w:rPr>
          <w:sz w:val="20"/>
        </w:rPr>
        <w:t>and</w:t>
      </w:r>
      <w:r>
        <w:rPr>
          <w:spacing w:val="-9"/>
          <w:sz w:val="20"/>
        </w:rPr>
        <w:t> </w:t>
      </w:r>
      <w:r>
        <w:rPr>
          <w:sz w:val="20"/>
        </w:rPr>
        <w:t>the</w:t>
      </w:r>
      <w:r>
        <w:rPr>
          <w:spacing w:val="-8"/>
          <w:sz w:val="20"/>
        </w:rPr>
        <w:t> </w:t>
      </w:r>
      <w:r>
        <w:rPr>
          <w:sz w:val="20"/>
        </w:rPr>
        <w:t>Registry</w:t>
      </w:r>
      <w:r>
        <w:rPr>
          <w:spacing w:val="-5"/>
          <w:sz w:val="20"/>
        </w:rPr>
        <w:t> </w:t>
      </w:r>
      <w:r>
        <w:rPr>
          <w:sz w:val="20"/>
        </w:rPr>
        <w:t>with comprehensive</w:t>
      </w:r>
      <w:r>
        <w:rPr>
          <w:spacing w:val="-12"/>
          <w:sz w:val="20"/>
        </w:rPr>
        <w:t> </w:t>
      </w:r>
      <w:r>
        <w:rPr>
          <w:sz w:val="20"/>
        </w:rPr>
        <w:t>and</w:t>
      </w:r>
      <w:r>
        <w:rPr>
          <w:spacing w:val="-12"/>
          <w:sz w:val="20"/>
        </w:rPr>
        <w:t> </w:t>
      </w:r>
      <w:r>
        <w:rPr>
          <w:sz w:val="20"/>
        </w:rPr>
        <w:t>relevant</w:t>
      </w:r>
      <w:r>
        <w:rPr>
          <w:spacing w:val="-11"/>
          <w:sz w:val="20"/>
        </w:rPr>
        <w:t> </w:t>
      </w:r>
      <w:r>
        <w:rPr>
          <w:sz w:val="20"/>
        </w:rPr>
        <w:t>information</w:t>
      </w:r>
      <w:r>
        <w:rPr>
          <w:spacing w:val="-12"/>
          <w:sz w:val="20"/>
        </w:rPr>
        <w:t> </w:t>
      </w:r>
      <w:r>
        <w:rPr>
          <w:sz w:val="20"/>
        </w:rPr>
        <w:t>about</w:t>
      </w:r>
      <w:r>
        <w:rPr>
          <w:spacing w:val="-11"/>
          <w:sz w:val="20"/>
        </w:rPr>
        <w:t> </w:t>
      </w:r>
      <w:r>
        <w:rPr>
          <w:sz w:val="20"/>
        </w:rPr>
        <w:t>the</w:t>
      </w:r>
      <w:r>
        <w:rPr>
          <w:spacing w:val="-10"/>
          <w:sz w:val="20"/>
        </w:rPr>
        <w:t> </w:t>
      </w:r>
      <w:r>
        <w:rPr>
          <w:sz w:val="20"/>
        </w:rPr>
        <w:t>known</w:t>
      </w:r>
      <w:r>
        <w:rPr>
          <w:spacing w:val="-12"/>
          <w:sz w:val="20"/>
        </w:rPr>
        <w:t> </w:t>
      </w:r>
      <w:r>
        <w:rPr>
          <w:sz w:val="20"/>
        </w:rPr>
        <w:t>assets</w:t>
      </w:r>
      <w:r>
        <w:rPr>
          <w:spacing w:val="-13"/>
          <w:sz w:val="20"/>
        </w:rPr>
        <w:t> </w:t>
      </w:r>
      <w:r>
        <w:rPr>
          <w:sz w:val="20"/>
        </w:rPr>
        <w:t>and</w:t>
      </w:r>
      <w:r>
        <w:rPr>
          <w:spacing w:val="-12"/>
          <w:sz w:val="20"/>
        </w:rPr>
        <w:t> </w:t>
      </w:r>
      <w:r>
        <w:rPr>
          <w:sz w:val="20"/>
        </w:rPr>
        <w:t>property</w:t>
      </w:r>
      <w:r>
        <w:rPr>
          <w:spacing w:val="-12"/>
          <w:sz w:val="20"/>
        </w:rPr>
        <w:t> </w:t>
      </w:r>
      <w:r>
        <w:rPr>
          <w:sz w:val="20"/>
        </w:rPr>
        <w:t>of</w:t>
      </w:r>
      <w:r>
        <w:rPr>
          <w:spacing w:val="-7"/>
          <w:sz w:val="20"/>
        </w:rPr>
        <w:t> </w:t>
      </w:r>
      <w:r>
        <w:rPr>
          <w:sz w:val="20"/>
        </w:rPr>
        <w:t>suspects</w:t>
      </w:r>
      <w:r>
        <w:rPr>
          <w:spacing w:val="-9"/>
          <w:sz w:val="20"/>
        </w:rPr>
        <w:t> </w:t>
      </w:r>
      <w:r>
        <w:rPr>
          <w:sz w:val="20"/>
        </w:rPr>
        <w:t>and request the required protective measures.</w:t>
      </w:r>
    </w:p>
    <w:p>
      <w:pPr>
        <w:pStyle w:val="ListParagraph"/>
        <w:numPr>
          <w:ilvl w:val="0"/>
          <w:numId w:val="4"/>
        </w:numPr>
        <w:tabs>
          <w:tab w:pos="2967" w:val="left" w:leader="none"/>
        </w:tabs>
        <w:spacing w:line="240" w:lineRule="auto" w:before="117" w:after="0"/>
        <w:ind w:left="2246" w:right="2242" w:firstLine="0"/>
        <w:jc w:val="both"/>
        <w:rPr>
          <w:sz w:val="20"/>
        </w:rPr>
      </w:pPr>
      <w:r>
        <w:rPr>
          <w:sz w:val="20"/>
        </w:rPr>
        <w:t>With asset tracing activities taking place at the investigation stage, the Court as a whole</w:t>
      </w:r>
      <w:r>
        <w:rPr>
          <w:spacing w:val="-6"/>
          <w:sz w:val="20"/>
        </w:rPr>
        <w:t> </w:t>
      </w:r>
      <w:r>
        <w:rPr>
          <w:sz w:val="20"/>
        </w:rPr>
        <w:t>will</w:t>
      </w:r>
      <w:r>
        <w:rPr>
          <w:spacing w:val="-6"/>
          <w:sz w:val="20"/>
        </w:rPr>
        <w:t> </w:t>
      </w:r>
      <w:r>
        <w:rPr>
          <w:sz w:val="20"/>
        </w:rPr>
        <w:t>be</w:t>
      </w:r>
      <w:r>
        <w:rPr>
          <w:spacing w:val="-10"/>
          <w:sz w:val="20"/>
        </w:rPr>
        <w:t> </w:t>
      </w:r>
      <w:r>
        <w:rPr>
          <w:sz w:val="20"/>
        </w:rPr>
        <w:t>more</w:t>
      </w:r>
      <w:r>
        <w:rPr>
          <w:spacing w:val="-10"/>
          <w:sz w:val="20"/>
        </w:rPr>
        <w:t> </w:t>
      </w:r>
      <w:r>
        <w:rPr>
          <w:sz w:val="20"/>
        </w:rPr>
        <w:t>effective</w:t>
      </w:r>
      <w:r>
        <w:rPr>
          <w:spacing w:val="-6"/>
          <w:sz w:val="20"/>
        </w:rPr>
        <w:t> </w:t>
      </w:r>
      <w:r>
        <w:rPr>
          <w:sz w:val="20"/>
        </w:rPr>
        <w:t>in</w:t>
      </w:r>
      <w:r>
        <w:rPr>
          <w:spacing w:val="-7"/>
          <w:sz w:val="20"/>
        </w:rPr>
        <w:t> </w:t>
      </w:r>
      <w:r>
        <w:rPr>
          <w:sz w:val="20"/>
        </w:rPr>
        <w:t>identifying</w:t>
      </w:r>
      <w:r>
        <w:rPr>
          <w:spacing w:val="-12"/>
          <w:sz w:val="20"/>
        </w:rPr>
        <w:t> </w:t>
      </w:r>
      <w:r>
        <w:rPr>
          <w:sz w:val="20"/>
        </w:rPr>
        <w:t>and</w:t>
      </w:r>
      <w:r>
        <w:rPr>
          <w:spacing w:val="-7"/>
          <w:sz w:val="20"/>
        </w:rPr>
        <w:t> </w:t>
      </w:r>
      <w:r>
        <w:rPr>
          <w:sz w:val="20"/>
        </w:rPr>
        <w:t>securing</w:t>
      </w:r>
      <w:r>
        <w:rPr>
          <w:spacing w:val="-12"/>
          <w:sz w:val="20"/>
        </w:rPr>
        <w:t> </w:t>
      </w:r>
      <w:r>
        <w:rPr>
          <w:sz w:val="20"/>
        </w:rPr>
        <w:t>assets</w:t>
      </w:r>
      <w:r>
        <w:rPr>
          <w:spacing w:val="-4"/>
          <w:sz w:val="20"/>
        </w:rPr>
        <w:t> </w:t>
      </w:r>
      <w:r>
        <w:rPr>
          <w:sz w:val="20"/>
        </w:rPr>
        <w:t>and</w:t>
      </w:r>
      <w:r>
        <w:rPr>
          <w:spacing w:val="-7"/>
          <w:sz w:val="20"/>
        </w:rPr>
        <w:t> </w:t>
      </w:r>
      <w:r>
        <w:rPr>
          <w:sz w:val="20"/>
        </w:rPr>
        <w:t>property</w:t>
      </w:r>
      <w:r>
        <w:rPr>
          <w:spacing w:val="-7"/>
          <w:sz w:val="20"/>
        </w:rPr>
        <w:t> </w:t>
      </w:r>
      <w:r>
        <w:rPr>
          <w:sz w:val="20"/>
        </w:rPr>
        <w:t>from</w:t>
      </w:r>
      <w:r>
        <w:rPr>
          <w:spacing w:val="-6"/>
          <w:sz w:val="20"/>
        </w:rPr>
        <w:t> </w:t>
      </w:r>
      <w:r>
        <w:rPr>
          <w:sz w:val="20"/>
        </w:rPr>
        <w:t>defendants to be used to cover defence costs, and to be used as reparations to victims in case of a conviction.</w:t>
      </w:r>
      <w:r>
        <w:rPr>
          <w:spacing w:val="-2"/>
          <w:sz w:val="20"/>
        </w:rPr>
        <w:t> </w:t>
      </w:r>
      <w:r>
        <w:rPr>
          <w:sz w:val="20"/>
        </w:rPr>
        <w:t>Effective financial</w:t>
      </w:r>
      <w:r>
        <w:rPr>
          <w:spacing w:val="-3"/>
          <w:sz w:val="20"/>
        </w:rPr>
        <w:t> </w:t>
      </w:r>
      <w:r>
        <w:rPr>
          <w:sz w:val="20"/>
        </w:rPr>
        <w:t>investigation</w:t>
      </w:r>
      <w:r>
        <w:rPr>
          <w:spacing w:val="-4"/>
          <w:sz w:val="20"/>
        </w:rPr>
        <w:t> </w:t>
      </w:r>
      <w:r>
        <w:rPr>
          <w:sz w:val="20"/>
        </w:rPr>
        <w:t>and</w:t>
      </w:r>
      <w:r>
        <w:rPr>
          <w:spacing w:val="-4"/>
          <w:sz w:val="20"/>
        </w:rPr>
        <w:t> </w:t>
      </w:r>
      <w:r>
        <w:rPr>
          <w:sz w:val="20"/>
        </w:rPr>
        <w:t>asset</w:t>
      </w:r>
      <w:r>
        <w:rPr>
          <w:spacing w:val="-3"/>
          <w:sz w:val="20"/>
        </w:rPr>
        <w:t> </w:t>
      </w:r>
      <w:r>
        <w:rPr>
          <w:sz w:val="20"/>
        </w:rPr>
        <w:t>tracing</w:t>
      </w:r>
      <w:r>
        <w:rPr>
          <w:spacing w:val="-4"/>
          <w:sz w:val="20"/>
        </w:rPr>
        <w:t> </w:t>
      </w:r>
      <w:r>
        <w:rPr>
          <w:sz w:val="20"/>
        </w:rPr>
        <w:t>activities</w:t>
      </w:r>
      <w:r>
        <w:rPr>
          <w:spacing w:val="-5"/>
          <w:sz w:val="20"/>
        </w:rPr>
        <w:t> </w:t>
      </w:r>
      <w:r>
        <w:rPr>
          <w:sz w:val="20"/>
        </w:rPr>
        <w:t>are</w:t>
      </w:r>
      <w:r>
        <w:rPr>
          <w:spacing w:val="-3"/>
          <w:sz w:val="20"/>
        </w:rPr>
        <w:t> </w:t>
      </w:r>
      <w:r>
        <w:rPr>
          <w:sz w:val="20"/>
        </w:rPr>
        <w:t>also</w:t>
      </w:r>
      <w:r>
        <w:rPr>
          <w:spacing w:val="-4"/>
          <w:sz w:val="20"/>
        </w:rPr>
        <w:t> </w:t>
      </w:r>
      <w:r>
        <w:rPr>
          <w:sz w:val="20"/>
        </w:rPr>
        <w:t>important to the Office’s capacity to trace and arrest fugitives</w:t>
      </w:r>
      <w:r>
        <w:rPr>
          <w:spacing w:val="-1"/>
          <w:sz w:val="20"/>
        </w:rPr>
        <w:t> </w:t>
      </w:r>
      <w:r>
        <w:rPr>
          <w:sz w:val="20"/>
        </w:rPr>
        <w:t>and to reduce the financial capability of a defendant</w:t>
      </w:r>
      <w:r>
        <w:rPr>
          <w:spacing w:val="-2"/>
          <w:sz w:val="20"/>
        </w:rPr>
        <w:t> </w:t>
      </w:r>
      <w:r>
        <w:rPr>
          <w:sz w:val="20"/>
        </w:rPr>
        <w:t>and</w:t>
      </w:r>
      <w:r>
        <w:rPr>
          <w:spacing w:val="-8"/>
          <w:sz w:val="20"/>
        </w:rPr>
        <w:t> </w:t>
      </w:r>
      <w:r>
        <w:rPr>
          <w:sz w:val="20"/>
        </w:rPr>
        <w:t>their</w:t>
      </w:r>
      <w:r>
        <w:rPr>
          <w:spacing w:val="-4"/>
          <w:sz w:val="20"/>
        </w:rPr>
        <w:t> </w:t>
      </w:r>
      <w:r>
        <w:rPr>
          <w:sz w:val="20"/>
        </w:rPr>
        <w:t>support</w:t>
      </w:r>
      <w:r>
        <w:rPr>
          <w:spacing w:val="-2"/>
          <w:sz w:val="20"/>
        </w:rPr>
        <w:t> </w:t>
      </w:r>
      <w:r>
        <w:rPr>
          <w:sz w:val="20"/>
        </w:rPr>
        <w:t>network</w:t>
      </w:r>
      <w:r>
        <w:rPr>
          <w:spacing w:val="-4"/>
          <w:sz w:val="20"/>
        </w:rPr>
        <w:t> </w:t>
      </w:r>
      <w:r>
        <w:rPr>
          <w:sz w:val="20"/>
        </w:rPr>
        <w:t>to</w:t>
      </w:r>
      <w:r>
        <w:rPr>
          <w:spacing w:val="-4"/>
          <w:sz w:val="20"/>
        </w:rPr>
        <w:t> </w:t>
      </w:r>
      <w:r>
        <w:rPr>
          <w:sz w:val="20"/>
        </w:rPr>
        <w:t>commit</w:t>
      </w:r>
      <w:r>
        <w:rPr>
          <w:spacing w:val="-7"/>
          <w:sz w:val="20"/>
        </w:rPr>
        <w:t> </w:t>
      </w:r>
      <w:r>
        <w:rPr>
          <w:sz w:val="20"/>
        </w:rPr>
        <w:t>crimes</w:t>
      </w:r>
      <w:r>
        <w:rPr>
          <w:spacing w:val="-5"/>
          <w:sz w:val="20"/>
        </w:rPr>
        <w:t> </w:t>
      </w:r>
      <w:r>
        <w:rPr>
          <w:sz w:val="20"/>
        </w:rPr>
        <w:t>and</w:t>
      </w:r>
      <w:r>
        <w:rPr>
          <w:spacing w:val="-4"/>
          <w:sz w:val="20"/>
        </w:rPr>
        <w:t> </w:t>
      </w:r>
      <w:r>
        <w:rPr>
          <w:sz w:val="20"/>
        </w:rPr>
        <w:t>to</w:t>
      </w:r>
      <w:r>
        <w:rPr>
          <w:spacing w:val="-4"/>
          <w:sz w:val="20"/>
        </w:rPr>
        <w:t> </w:t>
      </w:r>
      <w:r>
        <w:rPr>
          <w:sz w:val="20"/>
        </w:rPr>
        <w:t>interfere</w:t>
      </w:r>
      <w:r>
        <w:rPr>
          <w:spacing w:val="-2"/>
          <w:sz w:val="20"/>
        </w:rPr>
        <w:t> </w:t>
      </w:r>
      <w:r>
        <w:rPr>
          <w:sz w:val="20"/>
        </w:rPr>
        <w:t>with</w:t>
      </w:r>
      <w:r>
        <w:rPr>
          <w:spacing w:val="-4"/>
          <w:sz w:val="20"/>
        </w:rPr>
        <w:t> </w:t>
      </w:r>
      <w:r>
        <w:rPr>
          <w:sz w:val="20"/>
        </w:rPr>
        <w:t>the</w:t>
      </w:r>
      <w:r>
        <w:rPr>
          <w:spacing w:val="-2"/>
          <w:sz w:val="20"/>
        </w:rPr>
        <w:t> </w:t>
      </w:r>
      <w:r>
        <w:rPr>
          <w:sz w:val="20"/>
        </w:rPr>
        <w:t>proceedings.</w:t>
      </w:r>
    </w:p>
    <w:p>
      <w:pPr>
        <w:pStyle w:val="ListParagraph"/>
        <w:numPr>
          <w:ilvl w:val="0"/>
          <w:numId w:val="4"/>
        </w:numPr>
        <w:tabs>
          <w:tab w:pos="2967" w:val="left" w:leader="none"/>
        </w:tabs>
        <w:spacing w:line="240" w:lineRule="auto" w:before="123" w:after="0"/>
        <w:ind w:left="2246" w:right="2244" w:firstLine="0"/>
        <w:jc w:val="both"/>
        <w:rPr>
          <w:sz w:val="20"/>
        </w:rPr>
      </w:pPr>
      <w:r>
        <w:rPr>
          <w:sz w:val="20"/>
        </w:rPr>
        <w:t>In</w:t>
      </w:r>
      <w:r>
        <w:rPr>
          <w:spacing w:val="-5"/>
          <w:sz w:val="20"/>
        </w:rPr>
        <w:t> </w:t>
      </w:r>
      <w:r>
        <w:rPr>
          <w:sz w:val="20"/>
        </w:rPr>
        <w:t>recent</w:t>
      </w:r>
      <w:r>
        <w:rPr>
          <w:spacing w:val="-8"/>
          <w:sz w:val="20"/>
        </w:rPr>
        <w:t> </w:t>
      </w:r>
      <w:r>
        <w:rPr>
          <w:sz w:val="20"/>
        </w:rPr>
        <w:t>decisions,</w:t>
      </w:r>
      <w:r>
        <w:rPr>
          <w:spacing w:val="-12"/>
          <w:sz w:val="20"/>
        </w:rPr>
        <w:t> </w:t>
      </w:r>
      <w:r>
        <w:rPr>
          <w:sz w:val="20"/>
        </w:rPr>
        <w:t>the</w:t>
      </w:r>
      <w:r>
        <w:rPr>
          <w:spacing w:val="-8"/>
          <w:sz w:val="20"/>
        </w:rPr>
        <w:t> </w:t>
      </w:r>
      <w:r>
        <w:rPr>
          <w:sz w:val="20"/>
        </w:rPr>
        <w:t>Pre-Trial</w:t>
      </w:r>
      <w:r>
        <w:rPr>
          <w:spacing w:val="-8"/>
          <w:sz w:val="20"/>
        </w:rPr>
        <w:t> </w:t>
      </w:r>
      <w:r>
        <w:rPr>
          <w:sz w:val="20"/>
        </w:rPr>
        <w:t>Chamber</w:t>
      </w:r>
      <w:r>
        <w:rPr>
          <w:spacing w:val="-9"/>
          <w:sz w:val="20"/>
        </w:rPr>
        <w:t> </w:t>
      </w:r>
      <w:r>
        <w:rPr>
          <w:sz w:val="20"/>
        </w:rPr>
        <w:t>has</w:t>
      </w:r>
      <w:r>
        <w:rPr>
          <w:spacing w:val="-11"/>
          <w:sz w:val="20"/>
        </w:rPr>
        <w:t> </w:t>
      </w:r>
      <w:r>
        <w:rPr>
          <w:sz w:val="20"/>
        </w:rPr>
        <w:t>indicated</w:t>
      </w:r>
      <w:r>
        <w:rPr>
          <w:spacing w:val="-9"/>
          <w:sz w:val="20"/>
        </w:rPr>
        <w:t> </w:t>
      </w:r>
      <w:r>
        <w:rPr>
          <w:sz w:val="20"/>
        </w:rPr>
        <w:t>that</w:t>
      </w:r>
      <w:r>
        <w:rPr>
          <w:spacing w:val="-8"/>
          <w:sz w:val="20"/>
        </w:rPr>
        <w:t> </w:t>
      </w:r>
      <w:r>
        <w:rPr>
          <w:sz w:val="20"/>
        </w:rPr>
        <w:t>the</w:t>
      </w:r>
      <w:r>
        <w:rPr>
          <w:spacing w:val="-3"/>
          <w:sz w:val="20"/>
        </w:rPr>
        <w:t> </w:t>
      </w:r>
      <w:r>
        <w:rPr>
          <w:sz w:val="20"/>
        </w:rPr>
        <w:t>OTP</w:t>
      </w:r>
      <w:r>
        <w:rPr>
          <w:spacing w:val="-11"/>
          <w:sz w:val="20"/>
        </w:rPr>
        <w:t> </w:t>
      </w:r>
      <w:r>
        <w:rPr>
          <w:sz w:val="20"/>
        </w:rPr>
        <w:t>is</w:t>
      </w:r>
      <w:r>
        <w:rPr>
          <w:spacing w:val="-11"/>
          <w:sz w:val="20"/>
        </w:rPr>
        <w:t> </w:t>
      </w:r>
      <w:r>
        <w:rPr>
          <w:sz w:val="20"/>
        </w:rPr>
        <w:t>expected</w:t>
      </w:r>
      <w:r>
        <w:rPr>
          <w:spacing w:val="-9"/>
          <w:sz w:val="20"/>
        </w:rPr>
        <w:t> </w:t>
      </w:r>
      <w:r>
        <w:rPr>
          <w:sz w:val="20"/>
        </w:rPr>
        <w:t>to increase</w:t>
      </w:r>
      <w:r>
        <w:rPr>
          <w:spacing w:val="-13"/>
          <w:sz w:val="20"/>
        </w:rPr>
        <w:t> </w:t>
      </w:r>
      <w:r>
        <w:rPr>
          <w:sz w:val="20"/>
        </w:rPr>
        <w:t>its</w:t>
      </w:r>
      <w:r>
        <w:rPr>
          <w:spacing w:val="-12"/>
          <w:sz w:val="20"/>
        </w:rPr>
        <w:t> </w:t>
      </w:r>
      <w:r>
        <w:rPr>
          <w:sz w:val="20"/>
        </w:rPr>
        <w:t>efforts</w:t>
      </w:r>
      <w:r>
        <w:rPr>
          <w:spacing w:val="-13"/>
          <w:sz w:val="20"/>
        </w:rPr>
        <w:t> </w:t>
      </w:r>
      <w:r>
        <w:rPr>
          <w:sz w:val="20"/>
        </w:rPr>
        <w:t>with</w:t>
      </w:r>
      <w:r>
        <w:rPr>
          <w:spacing w:val="-12"/>
          <w:sz w:val="20"/>
        </w:rPr>
        <w:t> </w:t>
      </w:r>
      <w:r>
        <w:rPr>
          <w:sz w:val="20"/>
        </w:rPr>
        <w:t>regard</w:t>
      </w:r>
      <w:r>
        <w:rPr>
          <w:spacing w:val="-13"/>
          <w:sz w:val="20"/>
        </w:rPr>
        <w:t> </w:t>
      </w:r>
      <w:r>
        <w:rPr>
          <w:sz w:val="20"/>
        </w:rPr>
        <w:t>to</w:t>
      </w:r>
      <w:r>
        <w:rPr>
          <w:spacing w:val="-12"/>
          <w:sz w:val="20"/>
        </w:rPr>
        <w:t> </w:t>
      </w:r>
      <w:r>
        <w:rPr>
          <w:sz w:val="20"/>
        </w:rPr>
        <w:t>financial</w:t>
      </w:r>
      <w:r>
        <w:rPr>
          <w:spacing w:val="-13"/>
          <w:sz w:val="20"/>
        </w:rPr>
        <w:t> </w:t>
      </w:r>
      <w:r>
        <w:rPr>
          <w:sz w:val="20"/>
        </w:rPr>
        <w:t>investigations.</w:t>
      </w:r>
      <w:r>
        <w:rPr>
          <w:spacing w:val="-10"/>
          <w:sz w:val="20"/>
        </w:rPr>
        <w:t> </w:t>
      </w:r>
      <w:r>
        <w:rPr>
          <w:sz w:val="20"/>
        </w:rPr>
        <w:t>States</w:t>
      </w:r>
      <w:r>
        <w:rPr>
          <w:spacing w:val="-11"/>
          <w:sz w:val="20"/>
        </w:rPr>
        <w:t> </w:t>
      </w:r>
      <w:r>
        <w:rPr>
          <w:sz w:val="20"/>
        </w:rPr>
        <w:t>Parties</w:t>
      </w:r>
      <w:r>
        <w:rPr>
          <w:spacing w:val="-12"/>
          <w:sz w:val="20"/>
        </w:rPr>
        <w:t> </w:t>
      </w:r>
      <w:r>
        <w:rPr>
          <w:sz w:val="20"/>
        </w:rPr>
        <w:t>have</w:t>
      </w:r>
      <w:r>
        <w:rPr>
          <w:spacing w:val="-12"/>
          <w:sz w:val="20"/>
        </w:rPr>
        <w:t> </w:t>
      </w:r>
      <w:r>
        <w:rPr>
          <w:sz w:val="20"/>
        </w:rPr>
        <w:t>also</w:t>
      </w:r>
      <w:r>
        <w:rPr>
          <w:spacing w:val="-10"/>
          <w:sz w:val="20"/>
        </w:rPr>
        <w:t> </w:t>
      </w:r>
      <w:r>
        <w:rPr>
          <w:sz w:val="20"/>
        </w:rPr>
        <w:t>highlighted the need for the Office and the Court to strengthen financial investigation activities for multiple purposes.</w:t>
      </w:r>
      <w:r>
        <w:rPr>
          <w:sz w:val="20"/>
          <w:vertAlign w:val="superscript"/>
        </w:rPr>
        <w:t>81</w:t>
      </w:r>
      <w:r>
        <w:rPr>
          <w:sz w:val="20"/>
          <w:vertAlign w:val="baseline"/>
        </w:rPr>
        <w:t> Equally, the IER fully acknowledged the importance of financial investigations</w:t>
      </w:r>
      <w:r>
        <w:rPr>
          <w:spacing w:val="-5"/>
          <w:sz w:val="20"/>
          <w:vertAlign w:val="baseline"/>
        </w:rPr>
        <w:t> </w:t>
      </w:r>
      <w:r>
        <w:rPr>
          <w:sz w:val="20"/>
          <w:vertAlign w:val="baseline"/>
        </w:rPr>
        <w:t>and</w:t>
      </w:r>
      <w:r>
        <w:rPr>
          <w:spacing w:val="-4"/>
          <w:sz w:val="20"/>
          <w:vertAlign w:val="baseline"/>
        </w:rPr>
        <w:t> </w:t>
      </w:r>
      <w:r>
        <w:rPr>
          <w:sz w:val="20"/>
          <w:vertAlign w:val="baseline"/>
        </w:rPr>
        <w:t>asset</w:t>
      </w:r>
      <w:r>
        <w:rPr>
          <w:spacing w:val="-2"/>
          <w:sz w:val="20"/>
          <w:vertAlign w:val="baseline"/>
        </w:rPr>
        <w:t> </w:t>
      </w:r>
      <w:r>
        <w:rPr>
          <w:sz w:val="20"/>
          <w:vertAlign w:val="baseline"/>
        </w:rPr>
        <w:t>tracing</w:t>
      </w:r>
      <w:r>
        <w:rPr>
          <w:spacing w:val="-4"/>
          <w:sz w:val="20"/>
          <w:vertAlign w:val="baseline"/>
        </w:rPr>
        <w:t> </w:t>
      </w:r>
      <w:r>
        <w:rPr>
          <w:sz w:val="20"/>
          <w:vertAlign w:val="baseline"/>
        </w:rPr>
        <w:t>activities</w:t>
      </w:r>
      <w:r>
        <w:rPr>
          <w:spacing w:val="-1"/>
          <w:sz w:val="20"/>
          <w:vertAlign w:val="baseline"/>
        </w:rPr>
        <w:t> </w:t>
      </w:r>
      <w:r>
        <w:rPr>
          <w:sz w:val="20"/>
          <w:vertAlign w:val="baseline"/>
        </w:rPr>
        <w:t>taking place</w:t>
      </w:r>
      <w:r>
        <w:rPr>
          <w:spacing w:val="-2"/>
          <w:sz w:val="20"/>
          <w:vertAlign w:val="baseline"/>
        </w:rPr>
        <w:t> </w:t>
      </w:r>
      <w:r>
        <w:rPr>
          <w:sz w:val="20"/>
          <w:vertAlign w:val="baseline"/>
        </w:rPr>
        <w:t>at</w:t>
      </w:r>
      <w:r>
        <w:rPr>
          <w:spacing w:val="-2"/>
          <w:sz w:val="20"/>
          <w:vertAlign w:val="baseline"/>
        </w:rPr>
        <w:t> </w:t>
      </w:r>
      <w:r>
        <w:rPr>
          <w:sz w:val="20"/>
          <w:vertAlign w:val="baseline"/>
        </w:rPr>
        <w:t>the</w:t>
      </w:r>
      <w:r>
        <w:rPr>
          <w:spacing w:val="-2"/>
          <w:sz w:val="20"/>
          <w:vertAlign w:val="baseline"/>
        </w:rPr>
        <w:t> </w:t>
      </w:r>
      <w:r>
        <w:rPr>
          <w:sz w:val="20"/>
          <w:vertAlign w:val="baseline"/>
        </w:rPr>
        <w:t>investigation</w:t>
      </w:r>
      <w:r>
        <w:rPr>
          <w:spacing w:val="-4"/>
          <w:sz w:val="20"/>
          <w:vertAlign w:val="baseline"/>
        </w:rPr>
        <w:t> </w:t>
      </w:r>
      <w:r>
        <w:rPr>
          <w:sz w:val="20"/>
          <w:vertAlign w:val="baseline"/>
        </w:rPr>
        <w:t>stage</w:t>
      </w:r>
      <w:r>
        <w:rPr>
          <w:spacing w:val="-2"/>
          <w:sz w:val="20"/>
          <w:vertAlign w:val="baseline"/>
        </w:rPr>
        <w:t> </w:t>
      </w:r>
      <w:r>
        <w:rPr>
          <w:sz w:val="20"/>
          <w:vertAlign w:val="baseline"/>
        </w:rPr>
        <w:t>and strongly advocated for the creation of such capacity in the OTP.</w:t>
      </w:r>
      <w:r>
        <w:rPr>
          <w:sz w:val="20"/>
          <w:vertAlign w:val="superscript"/>
        </w:rPr>
        <w:t>82</w:t>
      </w:r>
    </w:p>
    <w:p>
      <w:pPr>
        <w:pStyle w:val="ListParagraph"/>
        <w:numPr>
          <w:ilvl w:val="0"/>
          <w:numId w:val="4"/>
        </w:numPr>
        <w:tabs>
          <w:tab w:pos="2967" w:val="left" w:leader="none"/>
        </w:tabs>
        <w:spacing w:line="240" w:lineRule="auto" w:before="118" w:after="0"/>
        <w:ind w:left="2246" w:right="2243" w:firstLine="0"/>
        <w:jc w:val="both"/>
        <w:rPr>
          <w:sz w:val="20"/>
        </w:rPr>
      </w:pPr>
      <w:r>
        <w:rPr>
          <w:sz w:val="20"/>
        </w:rPr>
        <w:t>The</w:t>
      </w:r>
      <w:r>
        <w:rPr>
          <w:spacing w:val="-3"/>
          <w:sz w:val="20"/>
        </w:rPr>
        <w:t> </w:t>
      </w:r>
      <w:r>
        <w:rPr>
          <w:sz w:val="20"/>
        </w:rPr>
        <w:t>financial</w:t>
      </w:r>
      <w:r>
        <w:rPr>
          <w:spacing w:val="-3"/>
          <w:sz w:val="20"/>
        </w:rPr>
        <w:t> </w:t>
      </w:r>
      <w:r>
        <w:rPr>
          <w:sz w:val="20"/>
        </w:rPr>
        <w:t>investigators</w:t>
      </w:r>
      <w:r>
        <w:rPr>
          <w:spacing w:val="-1"/>
          <w:sz w:val="20"/>
        </w:rPr>
        <w:t> </w:t>
      </w:r>
      <w:r>
        <w:rPr>
          <w:sz w:val="20"/>
        </w:rPr>
        <w:t>will</w:t>
      </w:r>
      <w:r>
        <w:rPr>
          <w:spacing w:val="-3"/>
          <w:sz w:val="20"/>
        </w:rPr>
        <w:t> </w:t>
      </w:r>
      <w:r>
        <w:rPr>
          <w:sz w:val="20"/>
        </w:rPr>
        <w:t>provide</w:t>
      </w:r>
      <w:r>
        <w:rPr>
          <w:spacing w:val="-3"/>
          <w:sz w:val="20"/>
        </w:rPr>
        <w:t> </w:t>
      </w:r>
      <w:r>
        <w:rPr>
          <w:sz w:val="20"/>
        </w:rPr>
        <w:t>expert</w:t>
      </w:r>
      <w:r>
        <w:rPr>
          <w:spacing w:val="-3"/>
          <w:sz w:val="20"/>
        </w:rPr>
        <w:t> </w:t>
      </w:r>
      <w:r>
        <w:rPr>
          <w:sz w:val="20"/>
        </w:rPr>
        <w:t>support</w:t>
      </w:r>
      <w:r>
        <w:rPr>
          <w:spacing w:val="-3"/>
          <w:sz w:val="20"/>
        </w:rPr>
        <w:t> </w:t>
      </w:r>
      <w:r>
        <w:rPr>
          <w:sz w:val="20"/>
        </w:rPr>
        <w:t>to</w:t>
      </w:r>
      <w:r>
        <w:rPr>
          <w:spacing w:val="-5"/>
          <w:sz w:val="20"/>
        </w:rPr>
        <w:t> </w:t>
      </w:r>
      <w:r>
        <w:rPr>
          <w:sz w:val="20"/>
        </w:rPr>
        <w:t>the</w:t>
      </w:r>
      <w:r>
        <w:rPr>
          <w:spacing w:val="-3"/>
          <w:sz w:val="20"/>
        </w:rPr>
        <w:t> </w:t>
      </w:r>
      <w:r>
        <w:rPr>
          <w:sz w:val="20"/>
        </w:rPr>
        <w:t>Unified</w:t>
      </w:r>
      <w:r>
        <w:rPr>
          <w:spacing w:val="-5"/>
          <w:sz w:val="20"/>
        </w:rPr>
        <w:t> </w:t>
      </w:r>
      <w:r>
        <w:rPr>
          <w:sz w:val="20"/>
        </w:rPr>
        <w:t>Teams</w:t>
      </w:r>
      <w:r>
        <w:rPr>
          <w:spacing w:val="-6"/>
          <w:sz w:val="20"/>
        </w:rPr>
        <w:t> </w:t>
      </w:r>
      <w:r>
        <w:rPr>
          <w:sz w:val="20"/>
        </w:rPr>
        <w:t>across both prosecutorial pillars in planning and implementing financial investigation and asset tracing activities from the outset of investigations. They will also be responsible, in collaboration with the Senior Coordinators, for the development of standards, operational procedures and trainings in the field of financial investigations; ensuring required coordination and interaction with the Registry, upon their intervention in the proceedings; and developing further cooperation with States and other relevant external entities working in this area. In this first year of the functioning of this new Unit, the Office will seek to complement this capacity through the allocation of seconded national experts.</w:t>
      </w:r>
    </w:p>
    <w:p>
      <w:pPr>
        <w:pStyle w:val="BodyText"/>
        <w:spacing w:before="3"/>
        <w:rPr>
          <w:sz w:val="21"/>
        </w:rPr>
      </w:pPr>
    </w:p>
    <w:p>
      <w:pPr>
        <w:pStyle w:val="Heading3"/>
        <w:numPr>
          <w:ilvl w:val="0"/>
          <w:numId w:val="8"/>
        </w:numPr>
        <w:tabs>
          <w:tab w:pos="2246" w:val="left" w:leader="none"/>
          <w:tab w:pos="2247" w:val="left" w:leader="none"/>
        </w:tabs>
        <w:spacing w:line="240" w:lineRule="auto" w:before="0" w:after="0"/>
        <w:ind w:left="2246" w:right="0" w:hanging="568"/>
        <w:jc w:val="left"/>
      </w:pPr>
      <w:r>
        <w:rPr/>
        <w:t>Appeals</w:t>
      </w:r>
      <w:r>
        <w:rPr>
          <w:spacing w:val="-5"/>
        </w:rPr>
        <w:t> </w:t>
      </w:r>
      <w:r>
        <w:rPr/>
        <w:t>and</w:t>
      </w:r>
      <w:r>
        <w:rPr>
          <w:spacing w:val="-9"/>
        </w:rPr>
        <w:t> </w:t>
      </w:r>
      <w:r>
        <w:rPr/>
        <w:t>Prosecution</w:t>
      </w:r>
      <w:r>
        <w:rPr>
          <w:spacing w:val="-9"/>
        </w:rPr>
        <w:t> </w:t>
      </w:r>
      <w:r>
        <w:rPr/>
        <w:t>Legal</w:t>
      </w:r>
      <w:r>
        <w:rPr>
          <w:spacing w:val="-6"/>
        </w:rPr>
        <w:t> </w:t>
      </w:r>
      <w:r>
        <w:rPr/>
        <w:t>Coordination</w:t>
      </w:r>
      <w:r>
        <w:rPr>
          <w:spacing w:val="-9"/>
        </w:rPr>
        <w:t> </w:t>
      </w:r>
      <w:r>
        <w:rPr>
          <w:spacing w:val="-2"/>
        </w:rPr>
        <w:t>Section</w:t>
      </w:r>
    </w:p>
    <w:p>
      <w:pPr>
        <w:pStyle w:val="BodyText"/>
        <w:spacing w:before="6"/>
        <w:rPr>
          <w:b/>
        </w:rPr>
      </w:pPr>
    </w:p>
    <w:p>
      <w:pPr>
        <w:pStyle w:val="ListParagraph"/>
        <w:numPr>
          <w:ilvl w:val="0"/>
          <w:numId w:val="4"/>
        </w:numPr>
        <w:tabs>
          <w:tab w:pos="2967" w:val="left" w:leader="none"/>
        </w:tabs>
        <w:spacing w:line="240" w:lineRule="auto" w:before="0" w:after="0"/>
        <w:ind w:left="2246" w:right="2239" w:firstLine="0"/>
        <w:jc w:val="both"/>
        <w:rPr>
          <w:sz w:val="20"/>
        </w:rPr>
      </w:pPr>
      <w:r>
        <w:rPr>
          <w:sz w:val="20"/>
        </w:rPr>
        <w:t>The Appeals and Prosecution Legal Coordination Section (APLCS or “Appeals Section”), headed by a Senior Appeals Counsel (P-5), reports hierarchically to the Deputy Prosecutor in the 2700 Programme. However, the Section also reports functionally to the second</w:t>
      </w:r>
      <w:r>
        <w:rPr>
          <w:spacing w:val="-4"/>
          <w:sz w:val="20"/>
        </w:rPr>
        <w:t> </w:t>
      </w:r>
      <w:r>
        <w:rPr>
          <w:sz w:val="20"/>
        </w:rPr>
        <w:t>Deputy Prosecutor</w:t>
      </w:r>
      <w:r>
        <w:rPr>
          <w:spacing w:val="-4"/>
          <w:sz w:val="20"/>
        </w:rPr>
        <w:t> </w:t>
      </w:r>
      <w:r>
        <w:rPr>
          <w:sz w:val="20"/>
        </w:rPr>
        <w:t>in the 2600 Programme,</w:t>
      </w:r>
      <w:r>
        <w:rPr>
          <w:spacing w:val="-1"/>
          <w:sz w:val="20"/>
        </w:rPr>
        <w:t> </w:t>
      </w:r>
      <w:r>
        <w:rPr>
          <w:sz w:val="20"/>
        </w:rPr>
        <w:t>thus</w:t>
      </w:r>
      <w:r>
        <w:rPr>
          <w:spacing w:val="-5"/>
          <w:sz w:val="20"/>
        </w:rPr>
        <w:t> </w:t>
      </w:r>
      <w:r>
        <w:rPr>
          <w:sz w:val="20"/>
        </w:rPr>
        <w:t>providing</w:t>
      </w:r>
      <w:r>
        <w:rPr>
          <w:spacing w:val="-4"/>
          <w:sz w:val="20"/>
        </w:rPr>
        <w:t> </w:t>
      </w:r>
      <w:r>
        <w:rPr>
          <w:sz w:val="20"/>
        </w:rPr>
        <w:t>specific</w:t>
      </w:r>
      <w:r>
        <w:rPr>
          <w:spacing w:val="-2"/>
          <w:sz w:val="20"/>
        </w:rPr>
        <w:t> </w:t>
      </w:r>
      <w:r>
        <w:rPr>
          <w:sz w:val="20"/>
        </w:rPr>
        <w:t>expertise</w:t>
      </w:r>
      <w:r>
        <w:rPr>
          <w:spacing w:val="-2"/>
          <w:sz w:val="20"/>
        </w:rPr>
        <w:t> </w:t>
      </w:r>
      <w:r>
        <w:rPr>
          <w:sz w:val="20"/>
        </w:rPr>
        <w:t>to both prosecution pillars.</w:t>
      </w:r>
    </w:p>
    <w:p>
      <w:pPr>
        <w:pStyle w:val="BodyText"/>
        <w:spacing w:before="8"/>
        <w:rPr>
          <w:sz w:val="27"/>
        </w:rPr>
      </w:pPr>
      <w:r>
        <w:rPr/>
        <w:pict>
          <v:rect style="position:absolute;margin-left:113.330002pt;margin-top:17.15472pt;width:144.050pt;height:.48004pt;mso-position-horizontal-relative:page;mso-position-vertical-relative:paragraph;z-index:-15699968;mso-wrap-distance-left:0;mso-wrap-distance-right:0" id="docshape153" filled="true" fillcolor="#000000" stroked="false">
            <v:fill type="solid"/>
            <w10:wrap type="topAndBottom"/>
          </v:rect>
        </w:pict>
      </w:r>
    </w:p>
    <w:p>
      <w:pPr>
        <w:spacing w:line="183" w:lineRule="exact" w:before="86"/>
        <w:ind w:left="2246" w:right="0" w:firstLine="0"/>
        <w:jc w:val="left"/>
        <w:rPr>
          <w:sz w:val="16"/>
        </w:rPr>
      </w:pPr>
      <w:r>
        <w:rPr>
          <w:position w:val="5"/>
          <w:sz w:val="10"/>
        </w:rPr>
        <w:t>81</w:t>
      </w:r>
      <w:r>
        <w:rPr>
          <w:spacing w:val="11"/>
          <w:position w:val="5"/>
          <w:sz w:val="10"/>
        </w:rPr>
        <w:t> </w:t>
      </w:r>
      <w:r>
        <w:rPr>
          <w:sz w:val="16"/>
        </w:rPr>
        <w:t>See</w:t>
      </w:r>
      <w:r>
        <w:rPr>
          <w:spacing w:val="-4"/>
          <w:sz w:val="16"/>
        </w:rPr>
        <w:t> </w:t>
      </w:r>
      <w:r>
        <w:rPr>
          <w:sz w:val="16"/>
        </w:rPr>
        <w:t>Assembly</w:t>
      </w:r>
      <w:r>
        <w:rPr>
          <w:spacing w:val="-3"/>
          <w:sz w:val="16"/>
        </w:rPr>
        <w:t> </w:t>
      </w:r>
      <w:r>
        <w:rPr>
          <w:sz w:val="16"/>
        </w:rPr>
        <w:t>of</w:t>
      </w:r>
      <w:r>
        <w:rPr>
          <w:spacing w:val="-6"/>
          <w:sz w:val="16"/>
        </w:rPr>
        <w:t> </w:t>
      </w:r>
      <w:r>
        <w:rPr>
          <w:sz w:val="16"/>
        </w:rPr>
        <w:t>States Parties</w:t>
      </w:r>
      <w:r>
        <w:rPr>
          <w:spacing w:val="3"/>
          <w:sz w:val="16"/>
        </w:rPr>
        <w:t> </w:t>
      </w:r>
      <w:r>
        <w:rPr>
          <w:sz w:val="16"/>
        </w:rPr>
        <w:t>-</w:t>
      </w:r>
      <w:r>
        <w:rPr>
          <w:spacing w:val="-5"/>
          <w:sz w:val="16"/>
        </w:rPr>
        <w:t> </w:t>
      </w:r>
      <w:r>
        <w:rPr>
          <w:sz w:val="16"/>
        </w:rPr>
        <w:t>Paris</w:t>
      </w:r>
      <w:r>
        <w:rPr>
          <w:spacing w:val="-5"/>
          <w:sz w:val="16"/>
        </w:rPr>
        <w:t> </w:t>
      </w:r>
      <w:r>
        <w:rPr>
          <w:sz w:val="16"/>
        </w:rPr>
        <w:t>Declaration</w:t>
      </w:r>
      <w:r>
        <w:rPr>
          <w:spacing w:val="-4"/>
          <w:sz w:val="16"/>
        </w:rPr>
        <w:t> </w:t>
      </w:r>
      <w:r>
        <w:rPr>
          <w:sz w:val="16"/>
        </w:rPr>
        <w:t>2017</w:t>
      </w:r>
      <w:r>
        <w:rPr>
          <w:spacing w:val="-3"/>
          <w:sz w:val="16"/>
        </w:rPr>
        <w:t> </w:t>
      </w:r>
      <w:r>
        <w:rPr>
          <w:sz w:val="16"/>
        </w:rPr>
        <w:t>(</w:t>
      </w:r>
      <w:r>
        <w:rPr>
          <w:spacing w:val="-5"/>
          <w:sz w:val="16"/>
        </w:rPr>
        <w:t> </w:t>
      </w:r>
      <w:r>
        <w:rPr>
          <w:sz w:val="16"/>
        </w:rPr>
        <w:t>ICC-ASP-16-</w:t>
      </w:r>
      <w:r>
        <w:rPr>
          <w:spacing w:val="-4"/>
          <w:sz w:val="16"/>
        </w:rPr>
        <w:t>17).</w:t>
      </w:r>
    </w:p>
    <w:p>
      <w:pPr>
        <w:spacing w:before="0"/>
        <w:ind w:left="2246" w:right="2195" w:firstLine="0"/>
        <w:jc w:val="left"/>
        <w:rPr>
          <w:sz w:val="16"/>
        </w:rPr>
      </w:pPr>
      <w:r>
        <w:rPr>
          <w:position w:val="5"/>
          <w:sz w:val="10"/>
        </w:rPr>
        <w:t>82</w:t>
      </w:r>
      <w:r>
        <w:rPr>
          <w:spacing w:val="14"/>
          <w:position w:val="5"/>
          <w:sz w:val="10"/>
        </w:rPr>
        <w:t> </w:t>
      </w:r>
      <w:r>
        <w:rPr>
          <w:sz w:val="16"/>
        </w:rPr>
        <w:t>See</w:t>
      </w:r>
      <w:r>
        <w:rPr>
          <w:spacing w:val="-2"/>
          <w:sz w:val="16"/>
        </w:rPr>
        <w:t> </w:t>
      </w:r>
      <w:r>
        <w:rPr>
          <w:sz w:val="16"/>
        </w:rPr>
        <w:t>pages</w:t>
      </w:r>
      <w:r>
        <w:rPr>
          <w:spacing w:val="-3"/>
          <w:sz w:val="16"/>
        </w:rPr>
        <w:t> </w:t>
      </w:r>
      <w:r>
        <w:rPr>
          <w:sz w:val="16"/>
        </w:rPr>
        <w:t>246</w:t>
      </w:r>
      <w:r>
        <w:rPr>
          <w:spacing w:val="-1"/>
          <w:sz w:val="16"/>
        </w:rPr>
        <w:t> </w:t>
      </w:r>
      <w:r>
        <w:rPr>
          <w:sz w:val="16"/>
        </w:rPr>
        <w:t>to</w:t>
      </w:r>
      <w:r>
        <w:rPr>
          <w:spacing w:val="-1"/>
          <w:sz w:val="16"/>
        </w:rPr>
        <w:t> </w:t>
      </w:r>
      <w:r>
        <w:rPr>
          <w:sz w:val="16"/>
        </w:rPr>
        <w:t>247</w:t>
      </w:r>
      <w:r>
        <w:rPr>
          <w:spacing w:val="-1"/>
          <w:sz w:val="16"/>
        </w:rPr>
        <w:t> </w:t>
      </w:r>
      <w:r>
        <w:rPr>
          <w:sz w:val="16"/>
        </w:rPr>
        <w:t>and</w:t>
      </w:r>
      <w:r>
        <w:rPr>
          <w:spacing w:val="-1"/>
          <w:sz w:val="16"/>
        </w:rPr>
        <w:t> </w:t>
      </w:r>
      <w:r>
        <w:rPr>
          <w:sz w:val="16"/>
        </w:rPr>
        <w:t>Recommendations</w:t>
      </w:r>
      <w:r>
        <w:rPr>
          <w:spacing w:val="-3"/>
          <w:sz w:val="16"/>
        </w:rPr>
        <w:t> </w:t>
      </w:r>
      <w:r>
        <w:rPr>
          <w:sz w:val="16"/>
        </w:rPr>
        <w:t>283</w:t>
      </w:r>
      <w:r>
        <w:rPr>
          <w:spacing w:val="-1"/>
          <w:sz w:val="16"/>
        </w:rPr>
        <w:t> </w:t>
      </w:r>
      <w:r>
        <w:rPr>
          <w:sz w:val="16"/>
        </w:rPr>
        <w:t>and</w:t>
      </w:r>
      <w:r>
        <w:rPr>
          <w:spacing w:val="-1"/>
          <w:sz w:val="16"/>
        </w:rPr>
        <w:t> </w:t>
      </w:r>
      <w:r>
        <w:rPr>
          <w:sz w:val="16"/>
        </w:rPr>
        <w:t>287</w:t>
      </w:r>
      <w:r>
        <w:rPr>
          <w:spacing w:val="-1"/>
          <w:sz w:val="16"/>
        </w:rPr>
        <w:t> </w:t>
      </w:r>
      <w:r>
        <w:rPr>
          <w:sz w:val="16"/>
        </w:rPr>
        <w:t>of</w:t>
      </w:r>
      <w:r>
        <w:rPr>
          <w:spacing w:val="-3"/>
          <w:sz w:val="16"/>
        </w:rPr>
        <w:t> </w:t>
      </w:r>
      <w:r>
        <w:rPr>
          <w:sz w:val="16"/>
        </w:rPr>
        <w:t>the</w:t>
      </w:r>
      <w:r>
        <w:rPr>
          <w:spacing w:val="-2"/>
          <w:sz w:val="16"/>
        </w:rPr>
        <w:t> </w:t>
      </w:r>
      <w:r>
        <w:rPr>
          <w:sz w:val="16"/>
        </w:rPr>
        <w:t>Report</w:t>
      </w:r>
      <w:r>
        <w:rPr>
          <w:spacing w:val="-4"/>
          <w:sz w:val="16"/>
        </w:rPr>
        <w:t> </w:t>
      </w:r>
      <w:r>
        <w:rPr>
          <w:sz w:val="16"/>
        </w:rPr>
        <w:t>of</w:t>
      </w:r>
      <w:r>
        <w:rPr>
          <w:spacing w:val="-3"/>
          <w:sz w:val="16"/>
        </w:rPr>
        <w:t> </w:t>
      </w:r>
      <w:r>
        <w:rPr>
          <w:sz w:val="16"/>
        </w:rPr>
        <w:t>the</w:t>
      </w:r>
      <w:r>
        <w:rPr>
          <w:spacing w:val="-2"/>
          <w:sz w:val="16"/>
        </w:rPr>
        <w:t> </w:t>
      </w:r>
      <w:r>
        <w:rPr>
          <w:sz w:val="16"/>
        </w:rPr>
        <w:t>Independent</w:t>
      </w:r>
      <w:r>
        <w:rPr>
          <w:spacing w:val="-4"/>
          <w:sz w:val="16"/>
        </w:rPr>
        <w:t> </w:t>
      </w:r>
      <w:r>
        <w:rPr>
          <w:sz w:val="16"/>
        </w:rPr>
        <w:t>Review</w:t>
      </w:r>
      <w:r>
        <w:rPr>
          <w:spacing w:val="-3"/>
          <w:sz w:val="16"/>
        </w:rPr>
        <w:t> </w:t>
      </w:r>
      <w:r>
        <w:rPr>
          <w:sz w:val="16"/>
        </w:rPr>
        <w:t>Expert</w:t>
      </w:r>
      <w:r>
        <w:rPr>
          <w:spacing w:val="-4"/>
          <w:sz w:val="16"/>
        </w:rPr>
        <w:t> </w:t>
      </w:r>
      <w:r>
        <w:rPr>
          <w:sz w:val="16"/>
        </w:rPr>
        <w:t>of</w:t>
      </w:r>
      <w:r>
        <w:rPr>
          <w:spacing w:val="-3"/>
          <w:sz w:val="16"/>
        </w:rPr>
        <w:t> </w:t>
      </w:r>
      <w:r>
        <w:rPr>
          <w:sz w:val="16"/>
        </w:rPr>
        <w:t>the</w:t>
      </w:r>
      <w:r>
        <w:rPr>
          <w:spacing w:val="40"/>
          <w:sz w:val="16"/>
        </w:rPr>
        <w:t> </w:t>
      </w:r>
      <w:r>
        <w:rPr>
          <w:sz w:val="16"/>
        </w:rPr>
        <w:t>International Criminal Court and the Rome Statute System.</w:t>
      </w:r>
    </w:p>
    <w:p>
      <w:pPr>
        <w:spacing w:after="0"/>
        <w:jc w:val="left"/>
        <w:rPr>
          <w:sz w:val="16"/>
        </w:rPr>
        <w:sectPr>
          <w:pgSz w:w="11910" w:h="16840"/>
          <w:pgMar w:header="957" w:footer="940" w:top="1140" w:bottom="1140" w:left="20" w:right="20"/>
        </w:sectPr>
      </w:pPr>
    </w:p>
    <w:p>
      <w:pPr>
        <w:pStyle w:val="ListParagraph"/>
        <w:numPr>
          <w:ilvl w:val="0"/>
          <w:numId w:val="4"/>
        </w:numPr>
        <w:tabs>
          <w:tab w:pos="2967" w:val="left" w:leader="none"/>
        </w:tabs>
        <w:spacing w:line="240" w:lineRule="auto" w:before="124" w:after="0"/>
        <w:ind w:left="2246" w:right="2238" w:firstLine="0"/>
        <w:jc w:val="both"/>
        <w:rPr>
          <w:sz w:val="20"/>
        </w:rPr>
      </w:pPr>
      <w:r>
        <w:rPr>
          <w:sz w:val="20"/>
        </w:rPr>
        <w:t>Over the years, the Appeals Section has been conducting an increasing volume of complex appellate work, both in written filings and oral hearings on final and interlocutory appeals</w:t>
      </w:r>
      <w:r>
        <w:rPr>
          <w:spacing w:val="-13"/>
          <w:sz w:val="20"/>
        </w:rPr>
        <w:t> </w:t>
      </w:r>
      <w:r>
        <w:rPr>
          <w:sz w:val="20"/>
        </w:rPr>
        <w:t>before</w:t>
      </w:r>
      <w:r>
        <w:rPr>
          <w:spacing w:val="-12"/>
          <w:sz w:val="20"/>
        </w:rPr>
        <w:t> </w:t>
      </w:r>
      <w:r>
        <w:rPr>
          <w:sz w:val="20"/>
        </w:rPr>
        <w:t>the</w:t>
      </w:r>
      <w:r>
        <w:rPr>
          <w:spacing w:val="-13"/>
          <w:sz w:val="20"/>
        </w:rPr>
        <w:t> </w:t>
      </w:r>
      <w:r>
        <w:rPr>
          <w:sz w:val="20"/>
        </w:rPr>
        <w:t>Appeals</w:t>
      </w:r>
      <w:r>
        <w:rPr>
          <w:spacing w:val="-12"/>
          <w:sz w:val="20"/>
        </w:rPr>
        <w:t> </w:t>
      </w:r>
      <w:r>
        <w:rPr>
          <w:sz w:val="20"/>
        </w:rPr>
        <w:t>Chamber,</w:t>
      </w:r>
      <w:r>
        <w:rPr>
          <w:spacing w:val="-11"/>
          <w:sz w:val="20"/>
        </w:rPr>
        <w:t> </w:t>
      </w:r>
      <w:r>
        <w:rPr>
          <w:sz w:val="20"/>
        </w:rPr>
        <w:t>which</w:t>
      </w:r>
      <w:r>
        <w:rPr>
          <w:spacing w:val="-11"/>
          <w:sz w:val="20"/>
        </w:rPr>
        <w:t> </w:t>
      </w:r>
      <w:r>
        <w:rPr>
          <w:sz w:val="20"/>
        </w:rPr>
        <w:t>is</w:t>
      </w:r>
      <w:r>
        <w:rPr>
          <w:spacing w:val="-13"/>
          <w:sz w:val="20"/>
        </w:rPr>
        <w:t> </w:t>
      </w:r>
      <w:r>
        <w:rPr>
          <w:sz w:val="20"/>
        </w:rPr>
        <w:t>expected</w:t>
      </w:r>
      <w:r>
        <w:rPr>
          <w:spacing w:val="-12"/>
          <w:sz w:val="20"/>
        </w:rPr>
        <w:t> </w:t>
      </w:r>
      <w:r>
        <w:rPr>
          <w:sz w:val="20"/>
        </w:rPr>
        <w:t>to</w:t>
      </w:r>
      <w:r>
        <w:rPr>
          <w:spacing w:val="-13"/>
          <w:sz w:val="20"/>
        </w:rPr>
        <w:t> </w:t>
      </w:r>
      <w:r>
        <w:rPr>
          <w:sz w:val="20"/>
        </w:rPr>
        <w:t>continue</w:t>
      </w:r>
      <w:r>
        <w:rPr>
          <w:spacing w:val="-9"/>
          <w:sz w:val="20"/>
        </w:rPr>
        <w:t> </w:t>
      </w:r>
      <w:r>
        <w:rPr>
          <w:sz w:val="20"/>
        </w:rPr>
        <w:t>in</w:t>
      </w:r>
      <w:r>
        <w:rPr>
          <w:spacing w:val="-12"/>
          <w:sz w:val="20"/>
        </w:rPr>
        <w:t> </w:t>
      </w:r>
      <w:r>
        <w:rPr>
          <w:sz w:val="20"/>
        </w:rPr>
        <w:t>2023</w:t>
      </w:r>
      <w:r>
        <w:rPr>
          <w:spacing w:val="-13"/>
          <w:sz w:val="20"/>
        </w:rPr>
        <w:t> </w:t>
      </w:r>
      <w:r>
        <w:rPr>
          <w:sz w:val="20"/>
        </w:rPr>
        <w:t>and</w:t>
      </w:r>
      <w:r>
        <w:rPr>
          <w:spacing w:val="-12"/>
          <w:sz w:val="20"/>
        </w:rPr>
        <w:t> </w:t>
      </w:r>
      <w:r>
        <w:rPr>
          <w:sz w:val="20"/>
        </w:rPr>
        <w:t>beyond.</w:t>
      </w:r>
      <w:r>
        <w:rPr>
          <w:spacing w:val="-10"/>
          <w:sz w:val="20"/>
        </w:rPr>
        <w:t> </w:t>
      </w:r>
      <w:r>
        <w:rPr>
          <w:sz w:val="20"/>
        </w:rPr>
        <w:t>This also extends to post-appellate work such as on reparations, compensation, revision, and enforcement and reduction of sentence proceedings and ancillary litigation such as that relating to articles 19 and 53 of the Rome Statute.</w:t>
      </w:r>
    </w:p>
    <w:p>
      <w:pPr>
        <w:pStyle w:val="ListParagraph"/>
        <w:numPr>
          <w:ilvl w:val="0"/>
          <w:numId w:val="4"/>
        </w:numPr>
        <w:tabs>
          <w:tab w:pos="2967" w:val="left" w:leader="none"/>
        </w:tabs>
        <w:spacing w:line="240" w:lineRule="auto" w:before="123" w:after="0"/>
        <w:ind w:left="2246" w:right="2242" w:firstLine="0"/>
        <w:jc w:val="both"/>
        <w:rPr>
          <w:sz w:val="20"/>
        </w:rPr>
      </w:pPr>
      <w:r>
        <w:rPr>
          <w:sz w:val="20"/>
        </w:rPr>
        <w:t>The Appeals Section is also the primary legal advisory section in the Office, servicing all components of the unified teams. The legal advisory work for trial teams includes providing legal advice on complex issues, drafting and settling charges and documents containing the charges, attending formalized evidence review sessions, drafting on multiple legal and procedural issues in pre-trial and closing briefs and trial filings, and coordinating</w:t>
      </w:r>
      <w:r>
        <w:rPr>
          <w:spacing w:val="-4"/>
          <w:sz w:val="20"/>
        </w:rPr>
        <w:t> </w:t>
      </w:r>
      <w:r>
        <w:rPr>
          <w:sz w:val="20"/>
        </w:rPr>
        <w:t>legal positions among</w:t>
      </w:r>
      <w:r>
        <w:rPr>
          <w:spacing w:val="-4"/>
          <w:sz w:val="20"/>
        </w:rPr>
        <w:t> </w:t>
      </w:r>
      <w:r>
        <w:rPr>
          <w:sz w:val="20"/>
        </w:rPr>
        <w:t>trial</w:t>
      </w:r>
      <w:r>
        <w:rPr>
          <w:spacing w:val="-2"/>
          <w:sz w:val="20"/>
        </w:rPr>
        <w:t> </w:t>
      </w:r>
      <w:r>
        <w:rPr>
          <w:sz w:val="20"/>
        </w:rPr>
        <w:t>teams. As the</w:t>
      </w:r>
      <w:r>
        <w:rPr>
          <w:spacing w:val="-2"/>
          <w:sz w:val="20"/>
        </w:rPr>
        <w:t> </w:t>
      </w:r>
      <w:r>
        <w:rPr>
          <w:sz w:val="20"/>
        </w:rPr>
        <w:t>centre</w:t>
      </w:r>
      <w:r>
        <w:rPr>
          <w:spacing w:val="-2"/>
          <w:sz w:val="20"/>
        </w:rPr>
        <w:t> </w:t>
      </w:r>
      <w:r>
        <w:rPr>
          <w:sz w:val="20"/>
        </w:rPr>
        <w:t>of legal research</w:t>
      </w:r>
      <w:r>
        <w:rPr>
          <w:spacing w:val="-4"/>
          <w:sz w:val="20"/>
        </w:rPr>
        <w:t> </w:t>
      </w:r>
      <w:r>
        <w:rPr>
          <w:sz w:val="20"/>
        </w:rPr>
        <w:t>in the Office, the</w:t>
      </w:r>
      <w:r>
        <w:rPr>
          <w:spacing w:val="-12"/>
          <w:sz w:val="20"/>
        </w:rPr>
        <w:t> </w:t>
      </w:r>
      <w:r>
        <w:rPr>
          <w:sz w:val="20"/>
        </w:rPr>
        <w:t>Section</w:t>
      </w:r>
      <w:r>
        <w:rPr>
          <w:spacing w:val="-7"/>
          <w:sz w:val="20"/>
        </w:rPr>
        <w:t> </w:t>
      </w:r>
      <w:r>
        <w:rPr>
          <w:sz w:val="20"/>
        </w:rPr>
        <w:t>also</w:t>
      </w:r>
      <w:r>
        <w:rPr>
          <w:spacing w:val="-7"/>
          <w:sz w:val="20"/>
        </w:rPr>
        <w:t> </w:t>
      </w:r>
      <w:r>
        <w:rPr>
          <w:sz w:val="20"/>
        </w:rPr>
        <w:t>keeps</w:t>
      </w:r>
      <w:r>
        <w:rPr>
          <w:spacing w:val="-13"/>
          <w:sz w:val="20"/>
        </w:rPr>
        <w:t> </w:t>
      </w:r>
      <w:r>
        <w:rPr>
          <w:sz w:val="20"/>
        </w:rPr>
        <w:t>updated</w:t>
      </w:r>
      <w:r>
        <w:rPr>
          <w:spacing w:val="-12"/>
          <w:sz w:val="20"/>
        </w:rPr>
        <w:t> </w:t>
      </w:r>
      <w:r>
        <w:rPr>
          <w:sz w:val="20"/>
        </w:rPr>
        <w:t>case</w:t>
      </w:r>
      <w:r>
        <w:rPr>
          <w:spacing w:val="-10"/>
          <w:sz w:val="20"/>
        </w:rPr>
        <w:t> </w:t>
      </w:r>
      <w:r>
        <w:rPr>
          <w:sz w:val="20"/>
        </w:rPr>
        <w:t>digests</w:t>
      </w:r>
      <w:r>
        <w:rPr>
          <w:spacing w:val="-13"/>
          <w:sz w:val="20"/>
        </w:rPr>
        <w:t> </w:t>
      </w:r>
      <w:r>
        <w:rPr>
          <w:sz w:val="20"/>
        </w:rPr>
        <w:t>of</w:t>
      </w:r>
      <w:r>
        <w:rPr>
          <w:spacing w:val="-12"/>
          <w:sz w:val="20"/>
        </w:rPr>
        <w:t> </w:t>
      </w:r>
      <w:r>
        <w:rPr>
          <w:sz w:val="20"/>
        </w:rPr>
        <w:t>all</w:t>
      </w:r>
      <w:r>
        <w:rPr>
          <w:spacing w:val="-11"/>
          <w:sz w:val="20"/>
        </w:rPr>
        <w:t> </w:t>
      </w:r>
      <w:r>
        <w:rPr>
          <w:sz w:val="20"/>
        </w:rPr>
        <w:t>decisions</w:t>
      </w:r>
      <w:r>
        <w:rPr>
          <w:spacing w:val="-9"/>
          <w:sz w:val="20"/>
        </w:rPr>
        <w:t> </w:t>
      </w:r>
      <w:r>
        <w:rPr>
          <w:sz w:val="20"/>
        </w:rPr>
        <w:t>of</w:t>
      </w:r>
      <w:r>
        <w:rPr>
          <w:spacing w:val="-13"/>
          <w:sz w:val="20"/>
        </w:rPr>
        <w:t> </w:t>
      </w:r>
      <w:r>
        <w:rPr>
          <w:sz w:val="20"/>
        </w:rPr>
        <w:t>the</w:t>
      </w:r>
      <w:r>
        <w:rPr>
          <w:spacing w:val="-11"/>
          <w:sz w:val="20"/>
        </w:rPr>
        <w:t> </w:t>
      </w:r>
      <w:r>
        <w:rPr>
          <w:sz w:val="20"/>
        </w:rPr>
        <w:t>three</w:t>
      </w:r>
      <w:r>
        <w:rPr>
          <w:spacing w:val="-10"/>
          <w:sz w:val="20"/>
        </w:rPr>
        <w:t> </w:t>
      </w:r>
      <w:r>
        <w:rPr>
          <w:sz w:val="20"/>
        </w:rPr>
        <w:t>Chambers,</w:t>
      </w:r>
      <w:r>
        <w:rPr>
          <w:spacing w:val="-10"/>
          <w:sz w:val="20"/>
        </w:rPr>
        <w:t> </w:t>
      </w:r>
      <w:r>
        <w:rPr>
          <w:sz w:val="20"/>
        </w:rPr>
        <w:t>which</w:t>
      </w:r>
      <w:r>
        <w:rPr>
          <w:spacing w:val="-12"/>
          <w:sz w:val="20"/>
        </w:rPr>
        <w:t> </w:t>
      </w:r>
      <w:r>
        <w:rPr>
          <w:sz w:val="20"/>
        </w:rPr>
        <w:t>trial teams use in their work; analyses Chambers’ decisions; provides memos on procedural and substantive issues; and organizes legal training and meetings for prosecutors, investigators and others in the Office.</w:t>
      </w:r>
    </w:p>
    <w:p>
      <w:pPr>
        <w:pStyle w:val="ListParagraph"/>
        <w:numPr>
          <w:ilvl w:val="0"/>
          <w:numId w:val="4"/>
        </w:numPr>
        <w:tabs>
          <w:tab w:pos="2967" w:val="left" w:leader="none"/>
        </w:tabs>
        <w:spacing w:line="240" w:lineRule="auto" w:before="120" w:after="0"/>
        <w:ind w:left="2246" w:right="2238" w:firstLine="0"/>
        <w:jc w:val="both"/>
        <w:rPr>
          <w:sz w:val="20"/>
        </w:rPr>
      </w:pPr>
      <w:r>
        <w:rPr>
          <w:sz w:val="20"/>
        </w:rPr>
        <w:t>Litigation before the Pre-Trial, Trial and Appeals Chambers has become increasingly voluminous and complex, and therefore trial teams have a major need for coordinated legal advice and positions, and assistance in their written submissions. The Senior Appeals Counsel and the Section’s lawyers are ever</w:t>
      </w:r>
      <w:r>
        <w:rPr>
          <w:spacing w:val="-3"/>
          <w:sz w:val="20"/>
        </w:rPr>
        <w:t> </w:t>
      </w:r>
      <w:r>
        <w:rPr>
          <w:sz w:val="20"/>
        </w:rPr>
        <w:t>more called upon by trial teams to assist in those tasks. At the same time, the appeals and post-appeals work conducted by the Section has constantly been growing in volume, size and complexity.</w:t>
      </w:r>
    </w:p>
    <w:p>
      <w:pPr>
        <w:pStyle w:val="ListParagraph"/>
        <w:numPr>
          <w:ilvl w:val="0"/>
          <w:numId w:val="4"/>
        </w:numPr>
        <w:tabs>
          <w:tab w:pos="2967" w:val="left" w:leader="none"/>
        </w:tabs>
        <w:spacing w:line="240" w:lineRule="auto" w:before="119" w:after="0"/>
        <w:ind w:left="2246" w:right="2245" w:firstLine="0"/>
        <w:jc w:val="both"/>
        <w:rPr>
          <w:sz w:val="20"/>
        </w:rPr>
      </w:pPr>
      <w:r>
        <w:rPr>
          <w:sz w:val="20"/>
        </w:rPr>
        <w:t>The</w:t>
      </w:r>
      <w:r>
        <w:rPr>
          <w:spacing w:val="-7"/>
          <w:sz w:val="20"/>
        </w:rPr>
        <w:t> </w:t>
      </w:r>
      <w:r>
        <w:rPr>
          <w:sz w:val="20"/>
        </w:rPr>
        <w:t>Section</w:t>
      </w:r>
      <w:r>
        <w:rPr>
          <w:spacing w:val="-12"/>
          <w:sz w:val="20"/>
        </w:rPr>
        <w:t> </w:t>
      </w:r>
      <w:r>
        <w:rPr>
          <w:sz w:val="20"/>
        </w:rPr>
        <w:t>also</w:t>
      </w:r>
      <w:r>
        <w:rPr>
          <w:spacing w:val="-12"/>
          <w:sz w:val="20"/>
        </w:rPr>
        <w:t> </w:t>
      </w:r>
      <w:r>
        <w:rPr>
          <w:sz w:val="20"/>
        </w:rPr>
        <w:t>monitors</w:t>
      </w:r>
      <w:r>
        <w:rPr>
          <w:spacing w:val="-13"/>
          <w:sz w:val="20"/>
        </w:rPr>
        <w:t> </w:t>
      </w:r>
      <w:r>
        <w:rPr>
          <w:sz w:val="20"/>
        </w:rPr>
        <w:t>the</w:t>
      </w:r>
      <w:r>
        <w:rPr>
          <w:spacing w:val="-9"/>
          <w:sz w:val="20"/>
        </w:rPr>
        <w:t> </w:t>
      </w:r>
      <w:r>
        <w:rPr>
          <w:sz w:val="20"/>
        </w:rPr>
        <w:t>numerous</w:t>
      </w:r>
      <w:r>
        <w:rPr>
          <w:spacing w:val="-13"/>
          <w:sz w:val="20"/>
        </w:rPr>
        <w:t> </w:t>
      </w:r>
      <w:r>
        <w:rPr>
          <w:sz w:val="20"/>
        </w:rPr>
        <w:t>and</w:t>
      </w:r>
      <w:r>
        <w:rPr>
          <w:spacing w:val="-6"/>
          <w:sz w:val="20"/>
        </w:rPr>
        <w:t> </w:t>
      </w:r>
      <w:r>
        <w:rPr>
          <w:sz w:val="20"/>
        </w:rPr>
        <w:t>often</w:t>
      </w:r>
      <w:r>
        <w:rPr>
          <w:spacing w:val="-12"/>
          <w:sz w:val="20"/>
        </w:rPr>
        <w:t> </w:t>
      </w:r>
      <w:r>
        <w:rPr>
          <w:sz w:val="20"/>
        </w:rPr>
        <w:t>very</w:t>
      </w:r>
      <w:r>
        <w:rPr>
          <w:spacing w:val="-12"/>
          <w:sz w:val="20"/>
        </w:rPr>
        <w:t> </w:t>
      </w:r>
      <w:r>
        <w:rPr>
          <w:sz w:val="20"/>
        </w:rPr>
        <w:t>voluminous</w:t>
      </w:r>
      <w:r>
        <w:rPr>
          <w:spacing w:val="-9"/>
          <w:sz w:val="20"/>
        </w:rPr>
        <w:t> </w:t>
      </w:r>
      <w:r>
        <w:rPr>
          <w:sz w:val="20"/>
        </w:rPr>
        <w:t>Court</w:t>
      </w:r>
      <w:r>
        <w:rPr>
          <w:spacing w:val="-11"/>
          <w:sz w:val="20"/>
        </w:rPr>
        <w:t> </w:t>
      </w:r>
      <w:r>
        <w:rPr>
          <w:sz w:val="20"/>
        </w:rPr>
        <w:t>decisions issued each year, reviews them for possible appeal, brings requests to appeal as necessary and responds to Defence requests. The Appeals Chamber now holds lengthy oral appeal hearings</w:t>
      </w:r>
      <w:r>
        <w:rPr>
          <w:spacing w:val="-13"/>
          <w:sz w:val="20"/>
        </w:rPr>
        <w:t> </w:t>
      </w:r>
      <w:r>
        <w:rPr>
          <w:sz w:val="20"/>
        </w:rPr>
        <w:t>for</w:t>
      </w:r>
      <w:r>
        <w:rPr>
          <w:spacing w:val="-12"/>
          <w:sz w:val="20"/>
        </w:rPr>
        <w:t> </w:t>
      </w:r>
      <w:r>
        <w:rPr>
          <w:sz w:val="20"/>
        </w:rPr>
        <w:t>most</w:t>
      </w:r>
      <w:r>
        <w:rPr>
          <w:spacing w:val="-13"/>
          <w:sz w:val="20"/>
        </w:rPr>
        <w:t> </w:t>
      </w:r>
      <w:r>
        <w:rPr>
          <w:sz w:val="20"/>
        </w:rPr>
        <w:t>final</w:t>
      </w:r>
      <w:r>
        <w:rPr>
          <w:spacing w:val="-12"/>
          <w:sz w:val="20"/>
        </w:rPr>
        <w:t> </w:t>
      </w:r>
      <w:r>
        <w:rPr>
          <w:sz w:val="20"/>
        </w:rPr>
        <w:t>and</w:t>
      </w:r>
      <w:r>
        <w:rPr>
          <w:spacing w:val="-13"/>
          <w:sz w:val="20"/>
        </w:rPr>
        <w:t> </w:t>
      </w:r>
      <w:r>
        <w:rPr>
          <w:sz w:val="20"/>
        </w:rPr>
        <w:t>interlocutory</w:t>
      </w:r>
      <w:r>
        <w:rPr>
          <w:spacing w:val="-12"/>
          <w:sz w:val="20"/>
        </w:rPr>
        <w:t> </w:t>
      </w:r>
      <w:r>
        <w:rPr>
          <w:sz w:val="20"/>
        </w:rPr>
        <w:t>appeals,</w:t>
      </w:r>
      <w:r>
        <w:rPr>
          <w:spacing w:val="-13"/>
          <w:sz w:val="20"/>
        </w:rPr>
        <w:t> </w:t>
      </w:r>
      <w:r>
        <w:rPr>
          <w:sz w:val="20"/>
        </w:rPr>
        <w:t>involving</w:t>
      </w:r>
      <w:r>
        <w:rPr>
          <w:spacing w:val="-12"/>
          <w:sz w:val="20"/>
        </w:rPr>
        <w:t> </w:t>
      </w:r>
      <w:r>
        <w:rPr>
          <w:sz w:val="20"/>
        </w:rPr>
        <w:t>numerous</w:t>
      </w:r>
      <w:r>
        <w:rPr>
          <w:spacing w:val="-13"/>
          <w:sz w:val="20"/>
        </w:rPr>
        <w:t> </w:t>
      </w:r>
      <w:r>
        <w:rPr>
          <w:sz w:val="20"/>
        </w:rPr>
        <w:t>questions</w:t>
      </w:r>
      <w:r>
        <w:rPr>
          <w:spacing w:val="-12"/>
          <w:sz w:val="20"/>
        </w:rPr>
        <w:t> </w:t>
      </w:r>
      <w:r>
        <w:rPr>
          <w:sz w:val="20"/>
        </w:rPr>
        <w:t>raised</w:t>
      </w:r>
      <w:r>
        <w:rPr>
          <w:spacing w:val="-13"/>
          <w:sz w:val="20"/>
        </w:rPr>
        <w:t> </w:t>
      </w:r>
      <w:r>
        <w:rPr>
          <w:sz w:val="20"/>
        </w:rPr>
        <w:t>before and during the hearings, and this also increases the work handled by the Senior Appeals Counsel and Section appeals counsels.</w:t>
      </w:r>
    </w:p>
    <w:p>
      <w:pPr>
        <w:pStyle w:val="ListParagraph"/>
        <w:numPr>
          <w:ilvl w:val="0"/>
          <w:numId w:val="4"/>
        </w:numPr>
        <w:tabs>
          <w:tab w:pos="2967" w:val="left" w:leader="none"/>
        </w:tabs>
        <w:spacing w:line="240" w:lineRule="auto" w:before="122" w:after="0"/>
        <w:ind w:left="2246" w:right="2239" w:firstLine="0"/>
        <w:jc w:val="both"/>
        <w:rPr>
          <w:sz w:val="20"/>
        </w:rPr>
      </w:pPr>
      <w:r>
        <w:rPr>
          <w:sz w:val="20"/>
        </w:rPr>
        <w:t>The Section drafts and provides significant input on policies and guideline documents produced</w:t>
      </w:r>
      <w:r>
        <w:rPr>
          <w:spacing w:val="-4"/>
          <w:sz w:val="20"/>
        </w:rPr>
        <w:t> </w:t>
      </w:r>
      <w:r>
        <w:rPr>
          <w:sz w:val="20"/>
        </w:rPr>
        <w:t>by</w:t>
      </w:r>
      <w:r>
        <w:rPr>
          <w:spacing w:val="-8"/>
          <w:sz w:val="20"/>
        </w:rPr>
        <w:t> </w:t>
      </w:r>
      <w:r>
        <w:rPr>
          <w:sz w:val="20"/>
        </w:rPr>
        <w:t>the</w:t>
      </w:r>
      <w:r>
        <w:rPr>
          <w:spacing w:val="-2"/>
          <w:sz w:val="20"/>
        </w:rPr>
        <w:t> </w:t>
      </w:r>
      <w:r>
        <w:rPr>
          <w:sz w:val="20"/>
        </w:rPr>
        <w:t>Office.</w:t>
      </w:r>
      <w:r>
        <w:rPr>
          <w:spacing w:val="-1"/>
          <w:sz w:val="20"/>
        </w:rPr>
        <w:t> </w:t>
      </w:r>
      <w:r>
        <w:rPr>
          <w:sz w:val="20"/>
        </w:rPr>
        <w:t>Additionally,</w:t>
      </w:r>
      <w:r>
        <w:rPr>
          <w:spacing w:val="-1"/>
          <w:sz w:val="20"/>
        </w:rPr>
        <w:t> </w:t>
      </w:r>
      <w:r>
        <w:rPr>
          <w:sz w:val="20"/>
        </w:rPr>
        <w:t>the</w:t>
      </w:r>
      <w:r>
        <w:rPr>
          <w:spacing w:val="-2"/>
          <w:sz w:val="20"/>
        </w:rPr>
        <w:t> </w:t>
      </w:r>
      <w:r>
        <w:rPr>
          <w:sz w:val="20"/>
        </w:rPr>
        <w:t>Senior</w:t>
      </w:r>
      <w:r>
        <w:rPr>
          <w:spacing w:val="-8"/>
          <w:sz w:val="20"/>
        </w:rPr>
        <w:t> </w:t>
      </w:r>
      <w:r>
        <w:rPr>
          <w:sz w:val="20"/>
        </w:rPr>
        <w:t>Appeals</w:t>
      </w:r>
      <w:r>
        <w:rPr>
          <w:spacing w:val="-5"/>
          <w:sz w:val="20"/>
        </w:rPr>
        <w:t> </w:t>
      </w:r>
      <w:r>
        <w:rPr>
          <w:sz w:val="20"/>
        </w:rPr>
        <w:t>Counsel</w:t>
      </w:r>
      <w:r>
        <w:rPr>
          <w:spacing w:val="-2"/>
          <w:sz w:val="20"/>
        </w:rPr>
        <w:t> </w:t>
      </w:r>
      <w:r>
        <w:rPr>
          <w:sz w:val="20"/>
        </w:rPr>
        <w:t>participates</w:t>
      </w:r>
      <w:r>
        <w:rPr>
          <w:spacing w:val="-5"/>
          <w:sz w:val="20"/>
        </w:rPr>
        <w:t> </w:t>
      </w:r>
      <w:r>
        <w:rPr>
          <w:sz w:val="20"/>
        </w:rPr>
        <w:t>in discussions and decision-making in relation to all legal, policy and strategic matters in the Office, and reviews the most significant filings and other documents presented by all trial teams, PES and other sections of the Office. The Senior Appeals Counsel has additional functions that include reviewing filings produced by trial teams and management functions with respect to ensuring provision of training to staff and participating in various working groups designed to improve the performance of the Office, both in cases and in relation to staff development.</w:t>
      </w:r>
    </w:p>
    <w:p>
      <w:pPr>
        <w:pStyle w:val="ListParagraph"/>
        <w:numPr>
          <w:ilvl w:val="0"/>
          <w:numId w:val="4"/>
        </w:numPr>
        <w:tabs>
          <w:tab w:pos="2967" w:val="left" w:leader="none"/>
        </w:tabs>
        <w:spacing w:line="240" w:lineRule="auto" w:before="120" w:after="0"/>
        <w:ind w:left="2246" w:right="2240" w:firstLine="0"/>
        <w:jc w:val="both"/>
        <w:rPr>
          <w:sz w:val="20"/>
        </w:rPr>
      </w:pPr>
      <w:r>
        <w:rPr>
          <w:sz w:val="20"/>
        </w:rPr>
        <w:t>The Appeals Section provides support and coordination in organizing extensive training</w:t>
      </w:r>
      <w:r>
        <w:rPr>
          <w:spacing w:val="35"/>
          <w:sz w:val="20"/>
        </w:rPr>
        <w:t> </w:t>
      </w:r>
      <w:r>
        <w:rPr>
          <w:sz w:val="20"/>
        </w:rPr>
        <w:t>and</w:t>
      </w:r>
      <w:r>
        <w:rPr>
          <w:spacing w:val="39"/>
          <w:sz w:val="20"/>
        </w:rPr>
        <w:t> </w:t>
      </w:r>
      <w:r>
        <w:rPr>
          <w:sz w:val="20"/>
        </w:rPr>
        <w:t>lectures</w:t>
      </w:r>
      <w:r>
        <w:rPr>
          <w:spacing w:val="38"/>
          <w:sz w:val="20"/>
        </w:rPr>
        <w:t> </w:t>
      </w:r>
      <w:r>
        <w:rPr>
          <w:sz w:val="20"/>
        </w:rPr>
        <w:t>for</w:t>
      </w:r>
      <w:r>
        <w:rPr>
          <w:spacing w:val="35"/>
          <w:sz w:val="20"/>
        </w:rPr>
        <w:t> </w:t>
      </w:r>
      <w:r>
        <w:rPr>
          <w:sz w:val="20"/>
        </w:rPr>
        <w:t>prosecutors</w:t>
      </w:r>
      <w:r>
        <w:rPr>
          <w:spacing w:val="33"/>
          <w:sz w:val="20"/>
        </w:rPr>
        <w:t> </w:t>
      </w:r>
      <w:r>
        <w:rPr>
          <w:sz w:val="20"/>
        </w:rPr>
        <w:t>and</w:t>
      </w:r>
      <w:r>
        <w:rPr>
          <w:spacing w:val="39"/>
          <w:sz w:val="20"/>
        </w:rPr>
        <w:t> </w:t>
      </w:r>
      <w:r>
        <w:rPr>
          <w:sz w:val="20"/>
        </w:rPr>
        <w:t>staff</w:t>
      </w:r>
      <w:r>
        <w:rPr>
          <w:spacing w:val="35"/>
          <w:sz w:val="20"/>
        </w:rPr>
        <w:t> </w:t>
      </w:r>
      <w:r>
        <w:rPr>
          <w:sz w:val="20"/>
        </w:rPr>
        <w:t>from</w:t>
      </w:r>
      <w:r>
        <w:rPr>
          <w:spacing w:val="40"/>
          <w:sz w:val="20"/>
        </w:rPr>
        <w:t> </w:t>
      </w:r>
      <w:r>
        <w:rPr>
          <w:sz w:val="20"/>
        </w:rPr>
        <w:t>other</w:t>
      </w:r>
      <w:r>
        <w:rPr>
          <w:spacing w:val="35"/>
          <w:sz w:val="20"/>
        </w:rPr>
        <w:t> </w:t>
      </w:r>
      <w:r>
        <w:rPr>
          <w:sz w:val="20"/>
        </w:rPr>
        <w:t>parts</w:t>
      </w:r>
      <w:r>
        <w:rPr>
          <w:spacing w:val="38"/>
          <w:sz w:val="20"/>
        </w:rPr>
        <w:t> </w:t>
      </w:r>
      <w:r>
        <w:rPr>
          <w:sz w:val="20"/>
        </w:rPr>
        <w:t>of</w:t>
      </w:r>
      <w:r>
        <w:rPr>
          <w:spacing w:val="35"/>
          <w:sz w:val="20"/>
        </w:rPr>
        <w:t> </w:t>
      </w:r>
      <w:r>
        <w:rPr>
          <w:sz w:val="20"/>
        </w:rPr>
        <w:t>the</w:t>
      </w:r>
      <w:r>
        <w:rPr>
          <w:spacing w:val="40"/>
          <w:sz w:val="20"/>
        </w:rPr>
        <w:t> </w:t>
      </w:r>
      <w:r>
        <w:rPr>
          <w:sz w:val="20"/>
        </w:rPr>
        <w:t>Office</w:t>
      </w:r>
      <w:r>
        <w:rPr>
          <w:spacing w:val="40"/>
          <w:sz w:val="20"/>
        </w:rPr>
        <w:t> </w:t>
      </w:r>
      <w:r>
        <w:rPr>
          <w:sz w:val="20"/>
        </w:rPr>
        <w:t>on</w:t>
      </w:r>
      <w:r>
        <w:rPr>
          <w:spacing w:val="35"/>
          <w:sz w:val="20"/>
        </w:rPr>
        <w:t> </w:t>
      </w:r>
      <w:r>
        <w:rPr>
          <w:sz w:val="20"/>
        </w:rPr>
        <w:t>topics such</w:t>
      </w:r>
      <w:r>
        <w:rPr>
          <w:spacing w:val="-3"/>
          <w:sz w:val="20"/>
        </w:rPr>
        <w:t> </w:t>
      </w:r>
      <w:r>
        <w:rPr>
          <w:sz w:val="20"/>
        </w:rPr>
        <w:t>as</w:t>
      </w:r>
      <w:r>
        <w:rPr>
          <w:spacing w:val="-1"/>
          <w:sz w:val="20"/>
        </w:rPr>
        <w:t> </w:t>
      </w:r>
      <w:r>
        <w:rPr>
          <w:sz w:val="20"/>
        </w:rPr>
        <w:t>written</w:t>
      </w:r>
      <w:r>
        <w:rPr>
          <w:spacing w:val="-4"/>
          <w:sz w:val="20"/>
        </w:rPr>
        <w:t> </w:t>
      </w:r>
      <w:r>
        <w:rPr>
          <w:sz w:val="20"/>
        </w:rPr>
        <w:t>and oral</w:t>
      </w:r>
      <w:r>
        <w:rPr>
          <w:spacing w:val="-2"/>
          <w:sz w:val="20"/>
        </w:rPr>
        <w:t> </w:t>
      </w:r>
      <w:r>
        <w:rPr>
          <w:sz w:val="20"/>
        </w:rPr>
        <w:t>advocacy,</w:t>
      </w:r>
      <w:r>
        <w:rPr>
          <w:spacing w:val="-2"/>
          <w:sz w:val="20"/>
        </w:rPr>
        <w:t> </w:t>
      </w:r>
      <w:r>
        <w:rPr>
          <w:sz w:val="20"/>
        </w:rPr>
        <w:t>international</w:t>
      </w:r>
      <w:r>
        <w:rPr>
          <w:spacing w:val="-2"/>
          <w:sz w:val="20"/>
        </w:rPr>
        <w:t> </w:t>
      </w:r>
      <w:r>
        <w:rPr>
          <w:sz w:val="20"/>
        </w:rPr>
        <w:t>human</w:t>
      </w:r>
      <w:r>
        <w:rPr>
          <w:spacing w:val="-4"/>
          <w:sz w:val="20"/>
        </w:rPr>
        <w:t> </w:t>
      </w:r>
      <w:r>
        <w:rPr>
          <w:sz w:val="20"/>
        </w:rPr>
        <w:t>rights</w:t>
      </w:r>
      <w:r>
        <w:rPr>
          <w:spacing w:val="-1"/>
          <w:sz w:val="20"/>
        </w:rPr>
        <w:t> </w:t>
      </w:r>
      <w:r>
        <w:rPr>
          <w:sz w:val="20"/>
        </w:rPr>
        <w:t>law</w:t>
      </w:r>
      <w:r>
        <w:rPr>
          <w:spacing w:val="-5"/>
          <w:sz w:val="20"/>
        </w:rPr>
        <w:t> </w:t>
      </w:r>
      <w:r>
        <w:rPr>
          <w:sz w:val="20"/>
        </w:rPr>
        <w:t>and</w:t>
      </w:r>
      <w:r>
        <w:rPr>
          <w:spacing w:val="-4"/>
          <w:sz w:val="20"/>
        </w:rPr>
        <w:t> </w:t>
      </w:r>
      <w:r>
        <w:rPr>
          <w:sz w:val="20"/>
        </w:rPr>
        <w:t>international</w:t>
      </w:r>
      <w:r>
        <w:rPr>
          <w:spacing w:val="-2"/>
          <w:sz w:val="20"/>
        </w:rPr>
        <w:t> </w:t>
      </w:r>
      <w:r>
        <w:rPr>
          <w:sz w:val="20"/>
        </w:rPr>
        <w:t>criminal law. This includes, </w:t>
      </w:r>
      <w:r>
        <w:rPr>
          <w:i/>
          <w:sz w:val="20"/>
        </w:rPr>
        <w:t>inter alia</w:t>
      </w:r>
      <w:r>
        <w:rPr>
          <w:sz w:val="20"/>
        </w:rPr>
        <w:t>, a legal meeting for all OTP prosecutors, where legal and procedural developments</w:t>
      </w:r>
      <w:r>
        <w:rPr>
          <w:spacing w:val="-1"/>
          <w:sz w:val="20"/>
        </w:rPr>
        <w:t> </w:t>
      </w:r>
      <w:r>
        <w:rPr>
          <w:sz w:val="20"/>
        </w:rPr>
        <w:t>relevant</w:t>
      </w:r>
      <w:r>
        <w:rPr>
          <w:spacing w:val="-3"/>
          <w:sz w:val="20"/>
        </w:rPr>
        <w:t> </w:t>
      </w:r>
      <w:r>
        <w:rPr>
          <w:sz w:val="20"/>
        </w:rPr>
        <w:t>to the Office</w:t>
      </w:r>
      <w:r>
        <w:rPr>
          <w:spacing w:val="-3"/>
          <w:sz w:val="20"/>
        </w:rPr>
        <w:t> </w:t>
      </w:r>
      <w:r>
        <w:rPr>
          <w:sz w:val="20"/>
        </w:rPr>
        <w:t>are</w:t>
      </w:r>
      <w:r>
        <w:rPr>
          <w:spacing w:val="-3"/>
          <w:sz w:val="20"/>
        </w:rPr>
        <w:t> </w:t>
      </w:r>
      <w:r>
        <w:rPr>
          <w:sz w:val="20"/>
        </w:rPr>
        <w:t>discussed, and regular</w:t>
      </w:r>
      <w:r>
        <w:rPr>
          <w:spacing w:val="-5"/>
          <w:sz w:val="20"/>
        </w:rPr>
        <w:t> </w:t>
      </w:r>
      <w:r>
        <w:rPr>
          <w:sz w:val="20"/>
        </w:rPr>
        <w:t>internal</w:t>
      </w:r>
      <w:r>
        <w:rPr>
          <w:spacing w:val="-3"/>
          <w:sz w:val="20"/>
        </w:rPr>
        <w:t> </w:t>
      </w:r>
      <w:r>
        <w:rPr>
          <w:sz w:val="20"/>
        </w:rPr>
        <w:t>advocacy training – encompassing oral motion advocacy and witness examination training – in both English and French.</w:t>
      </w:r>
    </w:p>
    <w:p>
      <w:pPr>
        <w:pStyle w:val="BodyText"/>
        <w:spacing w:before="2"/>
        <w:rPr>
          <w:sz w:val="21"/>
        </w:rPr>
      </w:pPr>
    </w:p>
    <w:p>
      <w:pPr>
        <w:pStyle w:val="Heading3"/>
        <w:tabs>
          <w:tab w:pos="5739" w:val="left" w:leader="none"/>
        </w:tabs>
        <w:ind w:left="5"/>
        <w:jc w:val="center"/>
      </w:pPr>
      <w:r>
        <w:rPr/>
        <w:t>Budget</w:t>
      </w:r>
      <w:r>
        <w:rPr>
          <w:spacing w:val="-6"/>
        </w:rPr>
        <w:t> </w:t>
      </w:r>
      <w:r>
        <w:rPr>
          <w:spacing w:val="-2"/>
        </w:rPr>
        <w:t>resources</w:t>
      </w:r>
      <w:r>
        <w:rPr/>
        <w:tab/>
        <w:t>€12,956.9</w:t>
      </w:r>
      <w:r>
        <w:rPr>
          <w:spacing w:val="-6"/>
        </w:rPr>
        <w:t> </w:t>
      </w:r>
      <w:r>
        <w:rPr>
          <w:spacing w:val="-2"/>
        </w:rPr>
        <w:t>thousand</w:t>
      </w:r>
    </w:p>
    <w:p>
      <w:pPr>
        <w:pStyle w:val="BodyText"/>
        <w:spacing w:before="5"/>
        <w:rPr>
          <w:b/>
        </w:rPr>
      </w:pPr>
    </w:p>
    <w:p>
      <w:pPr>
        <w:pStyle w:val="ListParagraph"/>
        <w:numPr>
          <w:ilvl w:val="0"/>
          <w:numId w:val="4"/>
        </w:numPr>
        <w:tabs>
          <w:tab w:pos="2967" w:val="left" w:leader="none"/>
        </w:tabs>
        <w:spacing w:line="240" w:lineRule="auto" w:before="1" w:after="0"/>
        <w:ind w:left="2246" w:right="2245" w:firstLine="0"/>
        <w:jc w:val="both"/>
        <w:rPr>
          <w:sz w:val="20"/>
        </w:rPr>
      </w:pPr>
      <w:r>
        <w:rPr>
          <w:sz w:val="20"/>
        </w:rPr>
        <w:t>As in the case of Programme 2600, the activities of Programme 2700 are characterized by, and dependent upon, the use of professionals specialized in the field of international</w:t>
      </w:r>
      <w:r>
        <w:rPr>
          <w:spacing w:val="-1"/>
          <w:sz w:val="20"/>
        </w:rPr>
        <w:t> </w:t>
      </w:r>
      <w:r>
        <w:rPr>
          <w:sz w:val="20"/>
        </w:rPr>
        <w:t>criminal</w:t>
      </w:r>
      <w:r>
        <w:rPr>
          <w:spacing w:val="-1"/>
          <w:sz w:val="20"/>
        </w:rPr>
        <w:t> </w:t>
      </w:r>
      <w:r>
        <w:rPr>
          <w:sz w:val="20"/>
        </w:rPr>
        <w:t>law. The vast</w:t>
      </w:r>
      <w:r>
        <w:rPr>
          <w:spacing w:val="-1"/>
          <w:sz w:val="20"/>
        </w:rPr>
        <w:t> </w:t>
      </w:r>
      <w:r>
        <w:rPr>
          <w:sz w:val="20"/>
        </w:rPr>
        <w:t>majority of the budget is therefore</w:t>
      </w:r>
      <w:r>
        <w:rPr>
          <w:spacing w:val="-1"/>
          <w:sz w:val="20"/>
        </w:rPr>
        <w:t> </w:t>
      </w:r>
      <w:r>
        <w:rPr>
          <w:sz w:val="20"/>
        </w:rPr>
        <w:t>concentrated</w:t>
      </w:r>
      <w:r>
        <w:rPr>
          <w:spacing w:val="-3"/>
          <w:sz w:val="20"/>
        </w:rPr>
        <w:t> </w:t>
      </w:r>
      <w:r>
        <w:rPr>
          <w:sz w:val="20"/>
        </w:rPr>
        <w:t>in staff </w:t>
      </w:r>
      <w:r>
        <w:rPr>
          <w:spacing w:val="-2"/>
          <w:sz w:val="20"/>
        </w:rPr>
        <w:t>resources.</w:t>
      </w:r>
    </w:p>
    <w:p>
      <w:pPr>
        <w:pStyle w:val="ListParagraph"/>
        <w:numPr>
          <w:ilvl w:val="0"/>
          <w:numId w:val="4"/>
        </w:numPr>
        <w:tabs>
          <w:tab w:pos="2967" w:val="left" w:leader="none"/>
        </w:tabs>
        <w:spacing w:line="240" w:lineRule="auto" w:before="122" w:after="0"/>
        <w:ind w:left="2246" w:right="2240" w:firstLine="0"/>
        <w:jc w:val="both"/>
        <w:rPr>
          <w:sz w:val="20"/>
        </w:rPr>
      </w:pPr>
      <w:r>
        <w:rPr>
          <w:sz w:val="20"/>
        </w:rPr>
        <w:t>The</w:t>
      </w:r>
      <w:r>
        <w:rPr>
          <w:spacing w:val="-2"/>
          <w:sz w:val="20"/>
        </w:rPr>
        <w:t> </w:t>
      </w:r>
      <w:r>
        <w:rPr>
          <w:sz w:val="20"/>
        </w:rPr>
        <w:t>resources allocated</w:t>
      </w:r>
      <w:r>
        <w:rPr>
          <w:spacing w:val="-4"/>
          <w:sz w:val="20"/>
        </w:rPr>
        <w:t> </w:t>
      </w:r>
      <w:r>
        <w:rPr>
          <w:sz w:val="20"/>
        </w:rPr>
        <w:t>to Programme 2600</w:t>
      </w:r>
      <w:r>
        <w:rPr>
          <w:spacing w:val="-4"/>
          <w:sz w:val="20"/>
        </w:rPr>
        <w:t> </w:t>
      </w:r>
      <w:r>
        <w:rPr>
          <w:sz w:val="20"/>
        </w:rPr>
        <w:t>and Programme</w:t>
      </w:r>
      <w:r>
        <w:rPr>
          <w:spacing w:val="-7"/>
          <w:sz w:val="20"/>
        </w:rPr>
        <w:t> </w:t>
      </w:r>
      <w:r>
        <w:rPr>
          <w:sz w:val="20"/>
        </w:rPr>
        <w:t>2700</w:t>
      </w:r>
      <w:r>
        <w:rPr>
          <w:spacing w:val="-4"/>
          <w:sz w:val="20"/>
        </w:rPr>
        <w:t> </w:t>
      </w:r>
      <w:r>
        <w:rPr>
          <w:sz w:val="20"/>
        </w:rPr>
        <w:t>are</w:t>
      </w:r>
      <w:r>
        <w:rPr>
          <w:spacing w:val="-2"/>
          <w:sz w:val="20"/>
        </w:rPr>
        <w:t> </w:t>
      </w:r>
      <w:r>
        <w:rPr>
          <w:sz w:val="20"/>
        </w:rPr>
        <w:t>based on</w:t>
      </w:r>
      <w:r>
        <w:rPr>
          <w:spacing w:val="-4"/>
          <w:sz w:val="20"/>
        </w:rPr>
        <w:t> </w:t>
      </w:r>
      <w:r>
        <w:rPr>
          <w:sz w:val="20"/>
        </w:rPr>
        <w:t>the split of situations and cases between the two Deputy Prosecution pillars decided by the Prosecutor.</w:t>
      </w:r>
      <w:r>
        <w:rPr>
          <w:spacing w:val="-6"/>
          <w:sz w:val="20"/>
        </w:rPr>
        <w:t> </w:t>
      </w:r>
      <w:r>
        <w:rPr>
          <w:sz w:val="20"/>
        </w:rPr>
        <w:t>Most</w:t>
      </w:r>
      <w:r>
        <w:rPr>
          <w:spacing w:val="-7"/>
          <w:sz w:val="20"/>
        </w:rPr>
        <w:t> </w:t>
      </w:r>
      <w:r>
        <w:rPr>
          <w:sz w:val="20"/>
        </w:rPr>
        <w:t>of</w:t>
      </w:r>
      <w:r>
        <w:rPr>
          <w:spacing w:val="-8"/>
          <w:sz w:val="20"/>
        </w:rPr>
        <w:t> </w:t>
      </w:r>
      <w:r>
        <w:rPr>
          <w:sz w:val="20"/>
        </w:rPr>
        <w:t>the</w:t>
      </w:r>
      <w:r>
        <w:rPr>
          <w:spacing w:val="-11"/>
          <w:sz w:val="20"/>
        </w:rPr>
        <w:t> </w:t>
      </w:r>
      <w:r>
        <w:rPr>
          <w:sz w:val="20"/>
        </w:rPr>
        <w:t>current</w:t>
      </w:r>
      <w:r>
        <w:rPr>
          <w:spacing w:val="-7"/>
          <w:sz w:val="20"/>
        </w:rPr>
        <w:t> </w:t>
      </w:r>
      <w:r>
        <w:rPr>
          <w:sz w:val="20"/>
        </w:rPr>
        <w:t>trials</w:t>
      </w:r>
      <w:r>
        <w:rPr>
          <w:spacing w:val="-10"/>
          <w:sz w:val="20"/>
        </w:rPr>
        <w:t> </w:t>
      </w:r>
      <w:r>
        <w:rPr>
          <w:sz w:val="20"/>
        </w:rPr>
        <w:t>are</w:t>
      </w:r>
      <w:r>
        <w:rPr>
          <w:spacing w:val="-11"/>
          <w:sz w:val="20"/>
        </w:rPr>
        <w:t> </w:t>
      </w:r>
      <w:r>
        <w:rPr>
          <w:sz w:val="20"/>
        </w:rPr>
        <w:t>assigned</w:t>
      </w:r>
      <w:r>
        <w:rPr>
          <w:spacing w:val="-8"/>
          <w:sz w:val="20"/>
        </w:rPr>
        <w:t> </w:t>
      </w:r>
      <w:r>
        <w:rPr>
          <w:sz w:val="20"/>
        </w:rPr>
        <w:t>to</w:t>
      </w:r>
      <w:r>
        <w:rPr>
          <w:spacing w:val="-8"/>
          <w:sz w:val="20"/>
        </w:rPr>
        <w:t> </w:t>
      </w:r>
      <w:r>
        <w:rPr>
          <w:sz w:val="20"/>
        </w:rPr>
        <w:t>Programme</w:t>
      </w:r>
      <w:r>
        <w:rPr>
          <w:spacing w:val="-7"/>
          <w:sz w:val="20"/>
        </w:rPr>
        <w:t> </w:t>
      </w:r>
      <w:r>
        <w:rPr>
          <w:sz w:val="20"/>
        </w:rPr>
        <w:t>2700.</w:t>
      </w:r>
      <w:r>
        <w:rPr>
          <w:spacing w:val="-6"/>
          <w:sz w:val="20"/>
        </w:rPr>
        <w:t> </w:t>
      </w:r>
      <w:r>
        <w:rPr>
          <w:sz w:val="20"/>
        </w:rPr>
        <w:t>Therefore,</w:t>
      </w:r>
      <w:r>
        <w:rPr>
          <w:spacing w:val="-6"/>
          <w:sz w:val="20"/>
        </w:rPr>
        <w:t> </w:t>
      </w:r>
      <w:r>
        <w:rPr>
          <w:sz w:val="20"/>
        </w:rPr>
        <w:t>the</w:t>
      </w:r>
      <w:r>
        <w:rPr>
          <w:spacing w:val="-7"/>
          <w:sz w:val="20"/>
        </w:rPr>
        <w:t> </w:t>
      </w:r>
      <w:r>
        <w:rPr>
          <w:sz w:val="20"/>
        </w:rPr>
        <w:t>weight of lawyers in</w:t>
      </w:r>
      <w:r>
        <w:rPr>
          <w:spacing w:val="-4"/>
          <w:sz w:val="20"/>
        </w:rPr>
        <w:t> </w:t>
      </w:r>
      <w:r>
        <w:rPr>
          <w:sz w:val="20"/>
        </w:rPr>
        <w:t>the</w:t>
      </w:r>
      <w:r>
        <w:rPr>
          <w:spacing w:val="-2"/>
          <w:sz w:val="20"/>
        </w:rPr>
        <w:t> </w:t>
      </w:r>
      <w:r>
        <w:rPr>
          <w:sz w:val="20"/>
        </w:rPr>
        <w:t>staff</w:t>
      </w:r>
      <w:r>
        <w:rPr>
          <w:spacing w:val="-3"/>
          <w:sz w:val="20"/>
        </w:rPr>
        <w:t> </w:t>
      </w:r>
      <w:r>
        <w:rPr>
          <w:sz w:val="20"/>
        </w:rPr>
        <w:t>composition</w:t>
      </w:r>
      <w:r>
        <w:rPr>
          <w:spacing w:val="-4"/>
          <w:sz w:val="20"/>
        </w:rPr>
        <w:t> </w:t>
      </w:r>
      <w:r>
        <w:rPr>
          <w:sz w:val="20"/>
        </w:rPr>
        <w:t>of</w:t>
      </w:r>
      <w:r>
        <w:rPr>
          <w:spacing w:val="-4"/>
          <w:sz w:val="20"/>
        </w:rPr>
        <w:t> </w:t>
      </w:r>
      <w:r>
        <w:rPr>
          <w:sz w:val="20"/>
        </w:rPr>
        <w:t>this pillar</w:t>
      </w:r>
      <w:r>
        <w:rPr>
          <w:spacing w:val="-4"/>
          <w:sz w:val="20"/>
        </w:rPr>
        <w:t> </w:t>
      </w:r>
      <w:r>
        <w:rPr>
          <w:sz w:val="20"/>
        </w:rPr>
        <w:t>is</w:t>
      </w:r>
      <w:r>
        <w:rPr>
          <w:spacing w:val="-5"/>
          <w:sz w:val="20"/>
        </w:rPr>
        <w:t> </w:t>
      </w:r>
      <w:r>
        <w:rPr>
          <w:sz w:val="20"/>
        </w:rPr>
        <w:t>higher</w:t>
      </w:r>
      <w:r>
        <w:rPr>
          <w:spacing w:val="-4"/>
          <w:sz w:val="20"/>
        </w:rPr>
        <w:t> </w:t>
      </w:r>
      <w:r>
        <w:rPr>
          <w:sz w:val="20"/>
        </w:rPr>
        <w:t>than that</w:t>
      </w:r>
      <w:r>
        <w:rPr>
          <w:spacing w:val="-2"/>
          <w:sz w:val="20"/>
        </w:rPr>
        <w:t> </w:t>
      </w:r>
      <w:r>
        <w:rPr>
          <w:sz w:val="20"/>
        </w:rPr>
        <w:t>of</w:t>
      </w:r>
      <w:r>
        <w:rPr>
          <w:spacing w:val="-4"/>
          <w:sz w:val="20"/>
        </w:rPr>
        <w:t> </w:t>
      </w:r>
      <w:r>
        <w:rPr>
          <w:sz w:val="20"/>
        </w:rPr>
        <w:t>other</w:t>
      </w:r>
      <w:r>
        <w:rPr>
          <w:spacing w:val="-4"/>
          <w:sz w:val="20"/>
        </w:rPr>
        <w:t> </w:t>
      </w:r>
      <w:r>
        <w:rPr>
          <w:sz w:val="20"/>
        </w:rPr>
        <w:t>profiles,</w:t>
      </w:r>
      <w:r>
        <w:rPr>
          <w:spacing w:val="-1"/>
          <w:sz w:val="20"/>
        </w:rPr>
        <w:t> </w:t>
      </w:r>
      <w:r>
        <w:rPr>
          <w:sz w:val="20"/>
        </w:rPr>
        <w:t>such</w:t>
      </w:r>
      <w:r>
        <w:rPr>
          <w:spacing w:val="-4"/>
          <w:sz w:val="20"/>
        </w:rPr>
        <w:t> </w:t>
      </w:r>
      <w:r>
        <w:rPr>
          <w:sz w:val="20"/>
        </w:rPr>
        <w:t>as, for instance, investigators and analysts.</w:t>
      </w:r>
    </w:p>
    <w:p>
      <w:pPr>
        <w:pStyle w:val="ListParagraph"/>
        <w:numPr>
          <w:ilvl w:val="0"/>
          <w:numId w:val="4"/>
        </w:numPr>
        <w:tabs>
          <w:tab w:pos="2967" w:val="left" w:leader="none"/>
        </w:tabs>
        <w:spacing w:line="240" w:lineRule="auto" w:before="122" w:after="0"/>
        <w:ind w:left="2246" w:right="2238" w:firstLine="0"/>
        <w:jc w:val="both"/>
        <w:rPr>
          <w:sz w:val="20"/>
        </w:rPr>
      </w:pPr>
      <w:r>
        <w:rPr>
          <w:sz w:val="20"/>
        </w:rPr>
        <w:t>Under Programme 2700, investigative activities have a greater focus on the provision</w:t>
      </w:r>
      <w:r>
        <w:rPr>
          <w:spacing w:val="35"/>
          <w:sz w:val="20"/>
        </w:rPr>
        <w:t> </w:t>
      </w:r>
      <w:r>
        <w:rPr>
          <w:sz w:val="20"/>
        </w:rPr>
        <w:t>of</w:t>
      </w:r>
      <w:r>
        <w:rPr>
          <w:spacing w:val="35"/>
          <w:sz w:val="20"/>
        </w:rPr>
        <w:t> </w:t>
      </w:r>
      <w:r>
        <w:rPr>
          <w:sz w:val="20"/>
        </w:rPr>
        <w:t>direct</w:t>
      </w:r>
      <w:r>
        <w:rPr>
          <w:spacing w:val="32"/>
          <w:sz w:val="20"/>
        </w:rPr>
        <w:t> </w:t>
      </w:r>
      <w:r>
        <w:rPr>
          <w:sz w:val="20"/>
        </w:rPr>
        <w:t>support</w:t>
      </w:r>
      <w:r>
        <w:rPr>
          <w:spacing w:val="32"/>
          <w:sz w:val="20"/>
        </w:rPr>
        <w:t> </w:t>
      </w:r>
      <w:r>
        <w:rPr>
          <w:sz w:val="20"/>
        </w:rPr>
        <w:t>to</w:t>
      </w:r>
      <w:r>
        <w:rPr>
          <w:spacing w:val="30"/>
          <w:sz w:val="20"/>
        </w:rPr>
        <w:t> </w:t>
      </w:r>
      <w:r>
        <w:rPr>
          <w:sz w:val="20"/>
        </w:rPr>
        <w:t>ongoing</w:t>
      </w:r>
      <w:r>
        <w:rPr>
          <w:spacing w:val="30"/>
          <w:sz w:val="20"/>
        </w:rPr>
        <w:t> </w:t>
      </w:r>
      <w:r>
        <w:rPr>
          <w:sz w:val="20"/>
        </w:rPr>
        <w:t>trial</w:t>
      </w:r>
      <w:r>
        <w:rPr>
          <w:spacing w:val="32"/>
          <w:sz w:val="20"/>
        </w:rPr>
        <w:t> </w:t>
      </w:r>
      <w:r>
        <w:rPr>
          <w:sz w:val="20"/>
        </w:rPr>
        <w:t>proceedings.</w:t>
      </w:r>
      <w:r>
        <w:rPr>
          <w:spacing w:val="28"/>
          <w:sz w:val="20"/>
        </w:rPr>
        <w:t> </w:t>
      </w:r>
      <w:r>
        <w:rPr>
          <w:sz w:val="20"/>
        </w:rPr>
        <w:t>This</w:t>
      </w:r>
      <w:r>
        <w:rPr>
          <w:spacing w:val="28"/>
          <w:sz w:val="20"/>
        </w:rPr>
        <w:t> </w:t>
      </w:r>
      <w:r>
        <w:rPr>
          <w:sz w:val="20"/>
        </w:rPr>
        <w:t>implies</w:t>
      </w:r>
      <w:r>
        <w:rPr>
          <w:spacing w:val="28"/>
          <w:sz w:val="20"/>
        </w:rPr>
        <w:t> </w:t>
      </w:r>
      <w:r>
        <w:rPr>
          <w:sz w:val="20"/>
        </w:rPr>
        <w:t>a</w:t>
      </w:r>
      <w:r>
        <w:rPr>
          <w:spacing w:val="32"/>
          <w:sz w:val="20"/>
        </w:rPr>
        <w:t> </w:t>
      </w:r>
      <w:r>
        <w:rPr>
          <w:sz w:val="20"/>
        </w:rPr>
        <w:t>relatively</w:t>
      </w:r>
      <w:r>
        <w:rPr>
          <w:spacing w:val="25"/>
          <w:sz w:val="20"/>
        </w:rPr>
        <w:t> </w:t>
      </w:r>
      <w:r>
        <w:rPr>
          <w:sz w:val="20"/>
        </w:rPr>
        <w:t>lower</w:t>
      </w:r>
    </w:p>
    <w:p>
      <w:pPr>
        <w:spacing w:after="0" w:line="240" w:lineRule="auto"/>
        <w:jc w:val="both"/>
        <w:rPr>
          <w:sz w:val="20"/>
        </w:rPr>
        <w:sectPr>
          <w:pgSz w:w="11910" w:h="16840"/>
          <w:pgMar w:header="953" w:footer="940" w:top="1140" w:bottom="1140" w:left="20" w:right="20"/>
        </w:sectPr>
      </w:pPr>
    </w:p>
    <w:p>
      <w:pPr>
        <w:pStyle w:val="BodyText"/>
        <w:spacing w:before="120"/>
        <w:ind w:left="2246" w:right="2243"/>
        <w:jc w:val="both"/>
      </w:pPr>
      <w:r>
        <w:rPr/>
        <w:t>volume</w:t>
      </w:r>
      <w:r>
        <w:rPr>
          <w:spacing w:val="-13"/>
        </w:rPr>
        <w:t> </w:t>
      </w:r>
      <w:r>
        <w:rPr/>
        <w:t>of</w:t>
      </w:r>
      <w:r>
        <w:rPr>
          <w:spacing w:val="-12"/>
        </w:rPr>
        <w:t> </w:t>
      </w:r>
      <w:r>
        <w:rPr/>
        <w:t>missions</w:t>
      </w:r>
      <w:r>
        <w:rPr>
          <w:spacing w:val="-13"/>
        </w:rPr>
        <w:t> </w:t>
      </w:r>
      <w:r>
        <w:rPr/>
        <w:t>to</w:t>
      </w:r>
      <w:r>
        <w:rPr>
          <w:spacing w:val="-12"/>
        </w:rPr>
        <w:t> </w:t>
      </w:r>
      <w:r>
        <w:rPr/>
        <w:t>the</w:t>
      </w:r>
      <w:r>
        <w:rPr>
          <w:spacing w:val="-13"/>
        </w:rPr>
        <w:t> </w:t>
      </w:r>
      <w:r>
        <w:rPr/>
        <w:t>field</w:t>
      </w:r>
      <w:r>
        <w:rPr>
          <w:spacing w:val="-12"/>
        </w:rPr>
        <w:t> </w:t>
      </w:r>
      <w:r>
        <w:rPr/>
        <w:t>in</w:t>
      </w:r>
      <w:r>
        <w:rPr>
          <w:spacing w:val="-13"/>
        </w:rPr>
        <w:t> </w:t>
      </w:r>
      <w:r>
        <w:rPr/>
        <w:t>comparison</w:t>
      </w:r>
      <w:r>
        <w:rPr>
          <w:spacing w:val="-12"/>
        </w:rPr>
        <w:t> </w:t>
      </w:r>
      <w:r>
        <w:rPr/>
        <w:t>to</w:t>
      </w:r>
      <w:r>
        <w:rPr>
          <w:spacing w:val="-13"/>
        </w:rPr>
        <w:t> </w:t>
      </w:r>
      <w:r>
        <w:rPr/>
        <w:t>the</w:t>
      </w:r>
      <w:r>
        <w:rPr>
          <w:spacing w:val="-12"/>
        </w:rPr>
        <w:t> </w:t>
      </w:r>
      <w:r>
        <w:rPr/>
        <w:t>other</w:t>
      </w:r>
      <w:r>
        <w:rPr>
          <w:spacing w:val="-13"/>
        </w:rPr>
        <w:t> </w:t>
      </w:r>
      <w:r>
        <w:rPr/>
        <w:t>prosecution</w:t>
      </w:r>
      <w:r>
        <w:rPr>
          <w:spacing w:val="-12"/>
        </w:rPr>
        <w:t> </w:t>
      </w:r>
      <w:r>
        <w:rPr/>
        <w:t>pillar.</w:t>
      </w:r>
      <w:r>
        <w:rPr>
          <w:spacing w:val="-13"/>
        </w:rPr>
        <w:t> </w:t>
      </w:r>
      <w:r>
        <w:rPr/>
        <w:t>Existing</w:t>
      </w:r>
      <w:r>
        <w:rPr>
          <w:spacing w:val="-12"/>
        </w:rPr>
        <w:t> </w:t>
      </w:r>
      <w:r>
        <w:rPr/>
        <w:t>country offices offer the necessary logistical support. Therefore, the 2023 budget proposal does not include requests for additional country office presence for staff from Programme 2700.</w:t>
      </w:r>
    </w:p>
    <w:p>
      <w:pPr>
        <w:pStyle w:val="ListParagraph"/>
        <w:numPr>
          <w:ilvl w:val="0"/>
          <w:numId w:val="4"/>
        </w:numPr>
        <w:tabs>
          <w:tab w:pos="2967" w:val="left" w:leader="none"/>
        </w:tabs>
        <w:spacing w:line="240" w:lineRule="auto" w:before="121" w:after="0"/>
        <w:ind w:left="2246" w:right="2250" w:firstLine="0"/>
        <w:jc w:val="both"/>
        <w:rPr>
          <w:sz w:val="20"/>
        </w:rPr>
      </w:pPr>
      <w:r>
        <w:rPr>
          <w:sz w:val="20"/>
        </w:rPr>
        <w:t>All existing resources have been assigned to cases and situations, including to absorb new investigation and prosecution needs to the extent possible.</w:t>
      </w:r>
    </w:p>
    <w:p>
      <w:pPr>
        <w:pStyle w:val="BodyText"/>
        <w:rPr>
          <w:sz w:val="21"/>
        </w:rPr>
      </w:pPr>
    </w:p>
    <w:p>
      <w:pPr>
        <w:pStyle w:val="Heading3"/>
        <w:tabs>
          <w:tab w:pos="7980" w:val="left" w:leader="none"/>
        </w:tabs>
        <w:jc w:val="both"/>
      </w:pPr>
      <w:r>
        <w:rPr/>
        <w:t>Staff</w:t>
      </w:r>
      <w:r>
        <w:rPr>
          <w:spacing w:val="-2"/>
        </w:rPr>
        <w:t> resources</w:t>
      </w:r>
      <w:r>
        <w:rPr/>
        <w:tab/>
        <w:t>€12,271.7</w:t>
      </w:r>
      <w:r>
        <w:rPr>
          <w:spacing w:val="-6"/>
        </w:rPr>
        <w:t> </w:t>
      </w:r>
      <w:r>
        <w:rPr>
          <w:spacing w:val="-2"/>
        </w:rPr>
        <w:t>thousand</w:t>
      </w:r>
    </w:p>
    <w:p>
      <w:pPr>
        <w:pStyle w:val="BodyText"/>
        <w:spacing w:before="11"/>
        <w:rPr>
          <w:b/>
        </w:rPr>
      </w:pPr>
    </w:p>
    <w:p>
      <w:pPr>
        <w:tabs>
          <w:tab w:pos="8133" w:val="left" w:leader="none"/>
        </w:tabs>
        <w:spacing w:before="0"/>
        <w:ind w:left="2246" w:right="0" w:firstLine="0"/>
        <w:jc w:val="both"/>
        <w:rPr>
          <w:i/>
          <w:sz w:val="20"/>
        </w:rPr>
      </w:pPr>
      <w:r>
        <w:rPr>
          <w:i/>
          <w:sz w:val="20"/>
        </w:rPr>
        <w:t>Established</w:t>
      </w:r>
      <w:r>
        <w:rPr>
          <w:i/>
          <w:spacing w:val="-8"/>
          <w:sz w:val="20"/>
        </w:rPr>
        <w:t> </w:t>
      </w:r>
      <w:r>
        <w:rPr>
          <w:i/>
          <w:sz w:val="20"/>
        </w:rPr>
        <w:t>posts:</w:t>
      </w:r>
      <w:r>
        <w:rPr>
          <w:i/>
          <w:spacing w:val="-11"/>
          <w:sz w:val="20"/>
        </w:rPr>
        <w:t> </w:t>
      </w:r>
      <w:r>
        <w:rPr>
          <w:i/>
          <w:sz w:val="20"/>
        </w:rPr>
        <w:t>Professional</w:t>
      </w:r>
      <w:r>
        <w:rPr>
          <w:i/>
          <w:spacing w:val="-6"/>
          <w:sz w:val="20"/>
        </w:rPr>
        <w:t> </w:t>
      </w:r>
      <w:r>
        <w:rPr>
          <w:i/>
          <w:sz w:val="20"/>
        </w:rPr>
        <w:t>and</w:t>
      </w:r>
      <w:r>
        <w:rPr>
          <w:i/>
          <w:spacing w:val="-8"/>
          <w:sz w:val="20"/>
        </w:rPr>
        <w:t> </w:t>
      </w:r>
      <w:r>
        <w:rPr>
          <w:i/>
          <w:sz w:val="20"/>
        </w:rPr>
        <w:t>General</w:t>
      </w:r>
      <w:r>
        <w:rPr>
          <w:i/>
          <w:spacing w:val="-9"/>
          <w:sz w:val="20"/>
        </w:rPr>
        <w:t> </w:t>
      </w:r>
      <w:r>
        <w:rPr>
          <w:i/>
          <w:spacing w:val="-2"/>
          <w:sz w:val="20"/>
        </w:rPr>
        <w:t>Service</w:t>
      </w:r>
      <w:r>
        <w:rPr>
          <w:i/>
          <w:sz w:val="20"/>
        </w:rPr>
        <w:tab/>
        <w:t>€9,165.6</w:t>
      </w:r>
      <w:r>
        <w:rPr>
          <w:i/>
          <w:spacing w:val="-4"/>
          <w:sz w:val="20"/>
        </w:rPr>
        <w:t> </w:t>
      </w:r>
      <w:r>
        <w:rPr>
          <w:i/>
          <w:spacing w:val="-2"/>
          <w:sz w:val="20"/>
        </w:rPr>
        <w:t>thousand</w:t>
      </w:r>
    </w:p>
    <w:p>
      <w:pPr>
        <w:pStyle w:val="BodyText"/>
        <w:spacing w:before="10"/>
        <w:rPr>
          <w:i/>
        </w:rPr>
      </w:pPr>
    </w:p>
    <w:p>
      <w:pPr>
        <w:pStyle w:val="ListParagraph"/>
        <w:numPr>
          <w:ilvl w:val="0"/>
          <w:numId w:val="4"/>
        </w:numPr>
        <w:tabs>
          <w:tab w:pos="2967" w:val="left" w:leader="none"/>
        </w:tabs>
        <w:spacing w:line="240" w:lineRule="auto" w:before="0" w:after="0"/>
        <w:ind w:left="2246" w:right="2240" w:firstLine="0"/>
        <w:jc w:val="both"/>
        <w:rPr>
          <w:sz w:val="20"/>
        </w:rPr>
      </w:pPr>
      <w:r>
        <w:rPr>
          <w:sz w:val="20"/>
        </w:rPr>
        <w:t>The</w:t>
      </w:r>
      <w:r>
        <w:rPr>
          <w:spacing w:val="-13"/>
          <w:sz w:val="20"/>
        </w:rPr>
        <w:t> </w:t>
      </w:r>
      <w:r>
        <w:rPr>
          <w:sz w:val="20"/>
        </w:rPr>
        <w:t>Programme</w:t>
      </w:r>
      <w:r>
        <w:rPr>
          <w:spacing w:val="-12"/>
          <w:sz w:val="20"/>
        </w:rPr>
        <w:t> </w:t>
      </w:r>
      <w:r>
        <w:rPr>
          <w:sz w:val="20"/>
        </w:rPr>
        <w:t>2700</w:t>
      </w:r>
      <w:r>
        <w:rPr>
          <w:spacing w:val="-13"/>
          <w:sz w:val="20"/>
        </w:rPr>
        <w:t> </w:t>
      </w:r>
      <w:r>
        <w:rPr>
          <w:sz w:val="20"/>
        </w:rPr>
        <w:t>prosecution</w:t>
      </w:r>
      <w:r>
        <w:rPr>
          <w:spacing w:val="-12"/>
          <w:sz w:val="20"/>
        </w:rPr>
        <w:t> </w:t>
      </w:r>
      <w:r>
        <w:rPr>
          <w:sz w:val="20"/>
        </w:rPr>
        <w:t>pillar</w:t>
      </w:r>
      <w:r>
        <w:rPr>
          <w:spacing w:val="-13"/>
          <w:sz w:val="20"/>
        </w:rPr>
        <w:t> </w:t>
      </w:r>
      <w:r>
        <w:rPr>
          <w:sz w:val="20"/>
        </w:rPr>
        <w:t>is</w:t>
      </w:r>
      <w:r>
        <w:rPr>
          <w:spacing w:val="-12"/>
          <w:sz w:val="20"/>
        </w:rPr>
        <w:t> </w:t>
      </w:r>
      <w:r>
        <w:rPr>
          <w:sz w:val="20"/>
        </w:rPr>
        <w:t>headed</w:t>
      </w:r>
      <w:r>
        <w:rPr>
          <w:spacing w:val="-13"/>
          <w:sz w:val="20"/>
        </w:rPr>
        <w:t> </w:t>
      </w:r>
      <w:r>
        <w:rPr>
          <w:sz w:val="20"/>
        </w:rPr>
        <w:t>by</w:t>
      </w:r>
      <w:r>
        <w:rPr>
          <w:spacing w:val="-12"/>
          <w:sz w:val="20"/>
        </w:rPr>
        <w:t> </w:t>
      </w:r>
      <w:r>
        <w:rPr>
          <w:sz w:val="20"/>
        </w:rPr>
        <w:t>one</w:t>
      </w:r>
      <w:r>
        <w:rPr>
          <w:spacing w:val="-13"/>
          <w:sz w:val="20"/>
        </w:rPr>
        <w:t> </w:t>
      </w:r>
      <w:r>
        <w:rPr>
          <w:sz w:val="20"/>
        </w:rPr>
        <w:t>Deputy</w:t>
      </w:r>
      <w:r>
        <w:rPr>
          <w:spacing w:val="-12"/>
          <w:sz w:val="20"/>
        </w:rPr>
        <w:t> </w:t>
      </w:r>
      <w:r>
        <w:rPr>
          <w:sz w:val="20"/>
        </w:rPr>
        <w:t>Prosecutor</w:t>
      </w:r>
      <w:r>
        <w:rPr>
          <w:spacing w:val="-13"/>
          <w:sz w:val="20"/>
        </w:rPr>
        <w:t> </w:t>
      </w:r>
      <w:r>
        <w:rPr>
          <w:sz w:val="20"/>
        </w:rPr>
        <w:t>(ASG), assisted by one Administrative Assistant. One Senior Coordinator (Legal) and one Senior Coordinator</w:t>
      </w:r>
      <w:r>
        <w:rPr>
          <w:spacing w:val="-5"/>
          <w:sz w:val="20"/>
        </w:rPr>
        <w:t> </w:t>
      </w:r>
      <w:r>
        <w:rPr>
          <w:sz w:val="20"/>
        </w:rPr>
        <w:t>(Investigation/Analysis)</w:t>
      </w:r>
      <w:r>
        <w:rPr>
          <w:spacing w:val="-5"/>
          <w:sz w:val="20"/>
        </w:rPr>
        <w:t> </w:t>
      </w:r>
      <w:r>
        <w:rPr>
          <w:sz w:val="20"/>
        </w:rPr>
        <w:t>as</w:t>
      </w:r>
      <w:r>
        <w:rPr>
          <w:spacing w:val="-6"/>
          <w:sz w:val="20"/>
        </w:rPr>
        <w:t> </w:t>
      </w:r>
      <w:r>
        <w:rPr>
          <w:sz w:val="20"/>
        </w:rPr>
        <w:t>well</w:t>
      </w:r>
      <w:r>
        <w:rPr>
          <w:spacing w:val="-3"/>
          <w:sz w:val="20"/>
        </w:rPr>
        <w:t> </w:t>
      </w:r>
      <w:r>
        <w:rPr>
          <w:sz w:val="20"/>
        </w:rPr>
        <w:t>as</w:t>
      </w:r>
      <w:r>
        <w:rPr>
          <w:spacing w:val="-6"/>
          <w:sz w:val="20"/>
        </w:rPr>
        <w:t> </w:t>
      </w:r>
      <w:r>
        <w:rPr>
          <w:sz w:val="20"/>
        </w:rPr>
        <w:t>a</w:t>
      </w:r>
      <w:r>
        <w:rPr>
          <w:spacing w:val="-3"/>
          <w:sz w:val="20"/>
        </w:rPr>
        <w:t> </w:t>
      </w:r>
      <w:r>
        <w:rPr>
          <w:sz w:val="20"/>
        </w:rPr>
        <w:t>Special Assistant</w:t>
      </w:r>
      <w:r>
        <w:rPr>
          <w:spacing w:val="-3"/>
          <w:sz w:val="20"/>
        </w:rPr>
        <w:t> </w:t>
      </w:r>
      <w:r>
        <w:rPr>
          <w:sz w:val="20"/>
        </w:rPr>
        <w:t>to</w:t>
      </w:r>
      <w:r>
        <w:rPr>
          <w:spacing w:val="-5"/>
          <w:sz w:val="20"/>
        </w:rPr>
        <w:t> </w:t>
      </w:r>
      <w:r>
        <w:rPr>
          <w:sz w:val="20"/>
        </w:rPr>
        <w:t>the</w:t>
      </w:r>
      <w:r>
        <w:rPr>
          <w:spacing w:val="-3"/>
          <w:sz w:val="20"/>
        </w:rPr>
        <w:t> </w:t>
      </w:r>
      <w:r>
        <w:rPr>
          <w:sz w:val="20"/>
        </w:rPr>
        <w:t>Deputy</w:t>
      </w:r>
      <w:r>
        <w:rPr>
          <w:spacing w:val="-5"/>
          <w:sz w:val="20"/>
        </w:rPr>
        <w:t> </w:t>
      </w:r>
      <w:r>
        <w:rPr>
          <w:sz w:val="20"/>
        </w:rPr>
        <w:t>Prosecutor are allocated to the Deputy Prosecutor Staffing.</w:t>
      </w:r>
    </w:p>
    <w:p>
      <w:pPr>
        <w:pStyle w:val="ListParagraph"/>
        <w:numPr>
          <w:ilvl w:val="0"/>
          <w:numId w:val="4"/>
        </w:numPr>
        <w:tabs>
          <w:tab w:pos="2967" w:val="left" w:leader="none"/>
        </w:tabs>
        <w:spacing w:line="240" w:lineRule="auto" w:before="118" w:after="0"/>
        <w:ind w:left="2967" w:right="0" w:hanging="721"/>
        <w:jc w:val="both"/>
        <w:rPr>
          <w:sz w:val="20"/>
        </w:rPr>
      </w:pPr>
      <w:r>
        <w:rPr>
          <w:sz w:val="20"/>
        </w:rPr>
        <w:t>This</w:t>
      </w:r>
      <w:r>
        <w:rPr>
          <w:spacing w:val="-10"/>
          <w:sz w:val="20"/>
        </w:rPr>
        <w:t> </w:t>
      </w:r>
      <w:r>
        <w:rPr>
          <w:sz w:val="20"/>
        </w:rPr>
        <w:t>prosecution</w:t>
      </w:r>
      <w:r>
        <w:rPr>
          <w:spacing w:val="-8"/>
          <w:sz w:val="20"/>
        </w:rPr>
        <w:t> </w:t>
      </w:r>
      <w:r>
        <w:rPr>
          <w:sz w:val="20"/>
        </w:rPr>
        <w:t>pillar</w:t>
      </w:r>
      <w:r>
        <w:rPr>
          <w:spacing w:val="-5"/>
          <w:sz w:val="20"/>
        </w:rPr>
        <w:t> </w:t>
      </w:r>
      <w:r>
        <w:rPr>
          <w:sz w:val="20"/>
        </w:rPr>
        <w:t>will</w:t>
      </w:r>
      <w:r>
        <w:rPr>
          <w:spacing w:val="-2"/>
          <w:sz w:val="20"/>
        </w:rPr>
        <w:t> </w:t>
      </w:r>
      <w:r>
        <w:rPr>
          <w:sz w:val="20"/>
        </w:rPr>
        <w:t>have</w:t>
      </w:r>
      <w:r>
        <w:rPr>
          <w:spacing w:val="-7"/>
          <w:sz w:val="20"/>
        </w:rPr>
        <w:t> </w:t>
      </w:r>
      <w:r>
        <w:rPr>
          <w:sz w:val="20"/>
        </w:rPr>
        <w:t>the</w:t>
      </w:r>
      <w:r>
        <w:rPr>
          <w:spacing w:val="-6"/>
          <w:sz w:val="20"/>
        </w:rPr>
        <w:t> </w:t>
      </w:r>
      <w:r>
        <w:rPr>
          <w:sz w:val="20"/>
        </w:rPr>
        <w:t>following</w:t>
      </w:r>
      <w:r>
        <w:rPr>
          <w:spacing w:val="-9"/>
          <w:sz w:val="20"/>
        </w:rPr>
        <w:t> </w:t>
      </w:r>
      <w:r>
        <w:rPr>
          <w:sz w:val="20"/>
        </w:rPr>
        <w:t>established</w:t>
      </w:r>
      <w:r>
        <w:rPr>
          <w:spacing w:val="-8"/>
          <w:sz w:val="20"/>
        </w:rPr>
        <w:t> </w:t>
      </w:r>
      <w:r>
        <w:rPr>
          <w:spacing w:val="-2"/>
          <w:sz w:val="20"/>
        </w:rPr>
        <w:t>posts:</w:t>
      </w:r>
    </w:p>
    <w:p>
      <w:pPr>
        <w:pStyle w:val="BodyText"/>
        <w:spacing w:before="4" w:after="1"/>
        <w:rPr>
          <w:sz w:val="10"/>
        </w:rPr>
      </w:pPr>
    </w:p>
    <w:tbl>
      <w:tblPr>
        <w:tblW w:w="0" w:type="auto"/>
        <w:jc w:val="left"/>
        <w:tblInd w:w="2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84"/>
        <w:gridCol w:w="1883"/>
        <w:gridCol w:w="1128"/>
      </w:tblGrid>
      <w:tr>
        <w:trPr>
          <w:trHeight w:val="273" w:hRule="atLeast"/>
        </w:trPr>
        <w:tc>
          <w:tcPr>
            <w:tcW w:w="4384" w:type="dxa"/>
            <w:tcBorders>
              <w:top w:val="single" w:sz="4" w:space="0" w:color="000000"/>
              <w:bottom w:val="single" w:sz="4" w:space="0" w:color="000000"/>
            </w:tcBorders>
          </w:tcPr>
          <w:p>
            <w:pPr>
              <w:pStyle w:val="TableParagraph"/>
              <w:spacing w:before="19"/>
              <w:ind w:left="14"/>
              <w:jc w:val="left"/>
              <w:rPr>
                <w:i/>
                <w:sz w:val="20"/>
              </w:rPr>
            </w:pPr>
            <w:r>
              <w:rPr>
                <w:i/>
                <w:spacing w:val="-2"/>
                <w:sz w:val="20"/>
              </w:rPr>
              <w:t>Title</w:t>
            </w:r>
          </w:p>
        </w:tc>
        <w:tc>
          <w:tcPr>
            <w:tcW w:w="1883" w:type="dxa"/>
            <w:tcBorders>
              <w:top w:val="single" w:sz="4" w:space="0" w:color="000000"/>
              <w:bottom w:val="single" w:sz="4" w:space="0" w:color="000000"/>
            </w:tcBorders>
          </w:tcPr>
          <w:p>
            <w:pPr>
              <w:pStyle w:val="TableParagraph"/>
              <w:spacing w:before="19"/>
              <w:ind w:left="816"/>
              <w:jc w:val="left"/>
              <w:rPr>
                <w:i/>
                <w:sz w:val="20"/>
              </w:rPr>
            </w:pPr>
            <w:r>
              <w:rPr>
                <w:i/>
                <w:spacing w:val="-2"/>
                <w:sz w:val="20"/>
              </w:rPr>
              <w:t>Grade</w:t>
            </w:r>
          </w:p>
        </w:tc>
        <w:tc>
          <w:tcPr>
            <w:tcW w:w="1128" w:type="dxa"/>
            <w:tcBorders>
              <w:top w:val="single" w:sz="4" w:space="0" w:color="000000"/>
              <w:bottom w:val="single" w:sz="4" w:space="0" w:color="000000"/>
            </w:tcBorders>
          </w:tcPr>
          <w:p>
            <w:pPr>
              <w:pStyle w:val="TableParagraph"/>
              <w:spacing w:before="19"/>
              <w:ind w:right="-15"/>
              <w:rPr>
                <w:i/>
                <w:sz w:val="20"/>
              </w:rPr>
            </w:pPr>
            <w:r>
              <w:rPr>
                <w:i/>
                <w:spacing w:val="-2"/>
                <w:sz w:val="20"/>
              </w:rPr>
              <w:t>Number</w:t>
            </w:r>
          </w:p>
        </w:tc>
      </w:tr>
      <w:tr>
        <w:trPr>
          <w:trHeight w:val="272" w:hRule="atLeast"/>
        </w:trPr>
        <w:tc>
          <w:tcPr>
            <w:tcW w:w="4384" w:type="dxa"/>
            <w:tcBorders>
              <w:top w:val="single" w:sz="4" w:space="0" w:color="000000"/>
            </w:tcBorders>
          </w:tcPr>
          <w:p>
            <w:pPr>
              <w:pStyle w:val="TableParagraph"/>
              <w:spacing w:before="19"/>
              <w:ind w:left="14"/>
              <w:jc w:val="left"/>
              <w:rPr>
                <w:sz w:val="20"/>
              </w:rPr>
            </w:pPr>
            <w:r>
              <w:rPr>
                <w:sz w:val="20"/>
              </w:rPr>
              <w:t>Deputy</w:t>
            </w:r>
            <w:r>
              <w:rPr>
                <w:spacing w:val="-3"/>
                <w:sz w:val="20"/>
              </w:rPr>
              <w:t> </w:t>
            </w:r>
            <w:r>
              <w:rPr>
                <w:spacing w:val="-2"/>
                <w:sz w:val="20"/>
              </w:rPr>
              <w:t>Prosecutor</w:t>
            </w:r>
          </w:p>
        </w:tc>
        <w:tc>
          <w:tcPr>
            <w:tcW w:w="1883" w:type="dxa"/>
            <w:tcBorders>
              <w:top w:val="single" w:sz="4" w:space="0" w:color="000000"/>
            </w:tcBorders>
          </w:tcPr>
          <w:p>
            <w:pPr>
              <w:pStyle w:val="TableParagraph"/>
              <w:spacing w:before="19"/>
              <w:ind w:left="816"/>
              <w:jc w:val="left"/>
              <w:rPr>
                <w:sz w:val="20"/>
              </w:rPr>
            </w:pPr>
            <w:r>
              <w:rPr>
                <w:spacing w:val="-5"/>
                <w:sz w:val="20"/>
              </w:rPr>
              <w:t>ASG</w:t>
            </w:r>
          </w:p>
        </w:tc>
        <w:tc>
          <w:tcPr>
            <w:tcW w:w="1128" w:type="dxa"/>
            <w:tcBorders>
              <w:top w:val="single" w:sz="4" w:space="0" w:color="000000"/>
            </w:tcBorders>
          </w:tcPr>
          <w:p>
            <w:pPr>
              <w:pStyle w:val="TableParagraph"/>
              <w:spacing w:before="19"/>
              <w:ind w:right="4"/>
              <w:rPr>
                <w:sz w:val="20"/>
              </w:rPr>
            </w:pPr>
            <w:r>
              <w:rPr>
                <w:w w:val="100"/>
                <w:sz w:val="20"/>
              </w:rPr>
              <w:t>1</w:t>
            </w:r>
          </w:p>
        </w:tc>
      </w:tr>
      <w:tr>
        <w:trPr>
          <w:trHeight w:val="264" w:hRule="atLeast"/>
        </w:trPr>
        <w:tc>
          <w:tcPr>
            <w:tcW w:w="4384" w:type="dxa"/>
          </w:tcPr>
          <w:p>
            <w:pPr>
              <w:pStyle w:val="TableParagraph"/>
              <w:spacing w:line="229" w:lineRule="exact" w:before="15"/>
              <w:ind w:left="14"/>
              <w:jc w:val="left"/>
              <w:rPr>
                <w:sz w:val="20"/>
              </w:rPr>
            </w:pPr>
            <w:r>
              <w:rPr>
                <w:sz w:val="20"/>
              </w:rPr>
              <w:t>Personal</w:t>
            </w:r>
            <w:r>
              <w:rPr>
                <w:spacing w:val="-2"/>
                <w:sz w:val="20"/>
              </w:rPr>
              <w:t> </w:t>
            </w:r>
            <w:r>
              <w:rPr>
                <w:sz w:val="20"/>
              </w:rPr>
              <w:t>Assistant</w:t>
            </w:r>
            <w:r>
              <w:rPr>
                <w:spacing w:val="-6"/>
                <w:sz w:val="20"/>
              </w:rPr>
              <w:t> </w:t>
            </w:r>
            <w:r>
              <w:rPr>
                <w:sz w:val="20"/>
              </w:rPr>
              <w:t>to</w:t>
            </w:r>
            <w:r>
              <w:rPr>
                <w:spacing w:val="-8"/>
                <w:sz w:val="20"/>
              </w:rPr>
              <w:t> </w:t>
            </w:r>
            <w:r>
              <w:rPr>
                <w:sz w:val="20"/>
              </w:rPr>
              <w:t>the</w:t>
            </w:r>
            <w:r>
              <w:rPr>
                <w:spacing w:val="-6"/>
                <w:sz w:val="20"/>
              </w:rPr>
              <w:t> </w:t>
            </w:r>
            <w:r>
              <w:rPr>
                <w:sz w:val="20"/>
              </w:rPr>
              <w:t>Deputy</w:t>
            </w:r>
            <w:r>
              <w:rPr>
                <w:spacing w:val="-7"/>
                <w:sz w:val="20"/>
              </w:rPr>
              <w:t> </w:t>
            </w:r>
            <w:r>
              <w:rPr>
                <w:spacing w:val="-2"/>
                <w:sz w:val="20"/>
              </w:rPr>
              <w:t>Prosecutor</w:t>
            </w:r>
          </w:p>
        </w:tc>
        <w:tc>
          <w:tcPr>
            <w:tcW w:w="1883" w:type="dxa"/>
          </w:tcPr>
          <w:p>
            <w:pPr>
              <w:pStyle w:val="TableParagraph"/>
              <w:spacing w:line="229" w:lineRule="exact" w:before="15"/>
              <w:ind w:left="816"/>
              <w:jc w:val="left"/>
              <w:rPr>
                <w:sz w:val="20"/>
              </w:rPr>
            </w:pPr>
            <w:r>
              <w:rPr>
                <w:spacing w:val="-2"/>
                <w:sz w:val="20"/>
              </w:rPr>
              <w:t>GS-</w:t>
            </w:r>
            <w:r>
              <w:rPr>
                <w:spacing w:val="-7"/>
                <w:sz w:val="20"/>
              </w:rPr>
              <w:t>OL</w:t>
            </w:r>
          </w:p>
        </w:tc>
        <w:tc>
          <w:tcPr>
            <w:tcW w:w="1128" w:type="dxa"/>
          </w:tcPr>
          <w:p>
            <w:pPr>
              <w:pStyle w:val="TableParagraph"/>
              <w:spacing w:line="229" w:lineRule="exact" w:before="15"/>
              <w:ind w:right="4"/>
              <w:rPr>
                <w:sz w:val="20"/>
              </w:rPr>
            </w:pPr>
            <w:r>
              <w:rPr>
                <w:w w:val="100"/>
                <w:sz w:val="20"/>
              </w:rPr>
              <w:t>1</w:t>
            </w:r>
          </w:p>
        </w:tc>
      </w:tr>
      <w:tr>
        <w:trPr>
          <w:trHeight w:val="275" w:hRule="atLeast"/>
        </w:trPr>
        <w:tc>
          <w:tcPr>
            <w:tcW w:w="4384" w:type="dxa"/>
          </w:tcPr>
          <w:p>
            <w:pPr>
              <w:pStyle w:val="TableParagraph"/>
              <w:spacing w:before="20"/>
              <w:ind w:left="14"/>
              <w:jc w:val="left"/>
              <w:rPr>
                <w:sz w:val="20"/>
              </w:rPr>
            </w:pPr>
            <w:r>
              <w:rPr>
                <w:sz w:val="20"/>
              </w:rPr>
              <w:t>Special</w:t>
            </w:r>
            <w:r>
              <w:rPr>
                <w:spacing w:val="-6"/>
                <w:sz w:val="20"/>
              </w:rPr>
              <w:t> </w:t>
            </w:r>
            <w:r>
              <w:rPr>
                <w:sz w:val="20"/>
              </w:rPr>
              <w:t>Assistant</w:t>
            </w:r>
            <w:r>
              <w:rPr>
                <w:spacing w:val="-5"/>
                <w:sz w:val="20"/>
              </w:rPr>
              <w:t> </w:t>
            </w:r>
            <w:r>
              <w:rPr>
                <w:sz w:val="20"/>
              </w:rPr>
              <w:t>to</w:t>
            </w:r>
            <w:r>
              <w:rPr>
                <w:spacing w:val="-7"/>
                <w:sz w:val="20"/>
              </w:rPr>
              <w:t> </w:t>
            </w:r>
            <w:r>
              <w:rPr>
                <w:sz w:val="20"/>
              </w:rPr>
              <w:t>the</w:t>
            </w:r>
            <w:r>
              <w:rPr>
                <w:spacing w:val="-2"/>
                <w:sz w:val="20"/>
              </w:rPr>
              <w:t> </w:t>
            </w:r>
            <w:r>
              <w:rPr>
                <w:sz w:val="20"/>
              </w:rPr>
              <w:t>Deputy</w:t>
            </w:r>
            <w:r>
              <w:rPr>
                <w:spacing w:val="-7"/>
                <w:sz w:val="20"/>
              </w:rPr>
              <w:t> </w:t>
            </w:r>
            <w:r>
              <w:rPr>
                <w:spacing w:val="-2"/>
                <w:sz w:val="20"/>
              </w:rPr>
              <w:t>Prosecutor</w:t>
            </w:r>
            <w:r>
              <w:rPr>
                <w:spacing w:val="-2"/>
                <w:sz w:val="20"/>
                <w:vertAlign w:val="superscript"/>
              </w:rPr>
              <w:t>83</w:t>
            </w:r>
          </w:p>
        </w:tc>
        <w:tc>
          <w:tcPr>
            <w:tcW w:w="1883" w:type="dxa"/>
          </w:tcPr>
          <w:p>
            <w:pPr>
              <w:pStyle w:val="TableParagraph"/>
              <w:spacing w:before="20"/>
              <w:ind w:left="816"/>
              <w:jc w:val="left"/>
              <w:rPr>
                <w:sz w:val="20"/>
              </w:rPr>
            </w:pPr>
            <w:r>
              <w:rPr>
                <w:spacing w:val="-2"/>
                <w:sz w:val="20"/>
              </w:rPr>
              <w:t>P-</w:t>
            </w:r>
            <w:r>
              <w:rPr>
                <w:spacing w:val="-10"/>
                <w:sz w:val="20"/>
              </w:rPr>
              <w:t>3</w:t>
            </w:r>
          </w:p>
        </w:tc>
        <w:tc>
          <w:tcPr>
            <w:tcW w:w="1128" w:type="dxa"/>
          </w:tcPr>
          <w:p>
            <w:pPr>
              <w:pStyle w:val="TableParagraph"/>
              <w:spacing w:before="20"/>
              <w:ind w:right="4"/>
              <w:rPr>
                <w:sz w:val="20"/>
              </w:rPr>
            </w:pPr>
            <w:r>
              <w:rPr>
                <w:w w:val="100"/>
                <w:sz w:val="20"/>
              </w:rPr>
              <w:t>1</w:t>
            </w:r>
          </w:p>
        </w:tc>
      </w:tr>
      <w:tr>
        <w:trPr>
          <w:trHeight w:val="271" w:hRule="atLeast"/>
        </w:trPr>
        <w:tc>
          <w:tcPr>
            <w:tcW w:w="4384" w:type="dxa"/>
          </w:tcPr>
          <w:p>
            <w:pPr>
              <w:pStyle w:val="TableParagraph"/>
              <w:spacing w:before="18"/>
              <w:ind w:left="14"/>
              <w:jc w:val="left"/>
              <w:rPr>
                <w:sz w:val="20"/>
              </w:rPr>
            </w:pPr>
            <w:r>
              <w:rPr>
                <w:sz w:val="20"/>
              </w:rPr>
              <w:t>Senior</w:t>
            </w:r>
            <w:r>
              <w:rPr>
                <w:spacing w:val="-7"/>
                <w:sz w:val="20"/>
              </w:rPr>
              <w:t> </w:t>
            </w:r>
            <w:r>
              <w:rPr>
                <w:sz w:val="20"/>
              </w:rPr>
              <w:t>Coordinator</w:t>
            </w:r>
            <w:r>
              <w:rPr>
                <w:spacing w:val="-6"/>
                <w:sz w:val="20"/>
              </w:rPr>
              <w:t> </w:t>
            </w:r>
            <w:r>
              <w:rPr>
                <w:spacing w:val="-2"/>
                <w:sz w:val="20"/>
              </w:rPr>
              <w:t>(Legal)</w:t>
            </w:r>
          </w:p>
        </w:tc>
        <w:tc>
          <w:tcPr>
            <w:tcW w:w="1883" w:type="dxa"/>
          </w:tcPr>
          <w:p>
            <w:pPr>
              <w:pStyle w:val="TableParagraph"/>
              <w:spacing w:before="18"/>
              <w:ind w:left="816"/>
              <w:jc w:val="left"/>
              <w:rPr>
                <w:sz w:val="20"/>
              </w:rPr>
            </w:pPr>
            <w:r>
              <w:rPr>
                <w:spacing w:val="-2"/>
                <w:sz w:val="20"/>
              </w:rPr>
              <w:t>P-</w:t>
            </w:r>
            <w:r>
              <w:rPr>
                <w:spacing w:val="-10"/>
                <w:sz w:val="20"/>
              </w:rPr>
              <w:t>5</w:t>
            </w:r>
          </w:p>
        </w:tc>
        <w:tc>
          <w:tcPr>
            <w:tcW w:w="1128" w:type="dxa"/>
          </w:tcPr>
          <w:p>
            <w:pPr>
              <w:pStyle w:val="TableParagraph"/>
              <w:spacing w:before="18"/>
              <w:ind w:right="4"/>
              <w:rPr>
                <w:sz w:val="20"/>
              </w:rPr>
            </w:pPr>
            <w:r>
              <w:rPr>
                <w:w w:val="100"/>
                <w:sz w:val="20"/>
              </w:rPr>
              <w:t>1</w:t>
            </w:r>
          </w:p>
        </w:tc>
      </w:tr>
      <w:tr>
        <w:trPr>
          <w:trHeight w:val="264" w:hRule="atLeast"/>
        </w:trPr>
        <w:tc>
          <w:tcPr>
            <w:tcW w:w="4384" w:type="dxa"/>
            <w:tcBorders>
              <w:bottom w:val="single" w:sz="4" w:space="0" w:color="000000"/>
            </w:tcBorders>
          </w:tcPr>
          <w:p>
            <w:pPr>
              <w:pStyle w:val="TableParagraph"/>
              <w:spacing w:line="229" w:lineRule="exact" w:before="15"/>
              <w:ind w:left="14"/>
              <w:jc w:val="left"/>
              <w:rPr>
                <w:sz w:val="20"/>
              </w:rPr>
            </w:pPr>
            <w:r>
              <w:rPr>
                <w:sz w:val="20"/>
              </w:rPr>
              <w:t>Senior</w:t>
            </w:r>
            <w:r>
              <w:rPr>
                <w:spacing w:val="-7"/>
                <w:sz w:val="20"/>
              </w:rPr>
              <w:t> </w:t>
            </w:r>
            <w:r>
              <w:rPr>
                <w:sz w:val="20"/>
              </w:rPr>
              <w:t>Coordinator</w:t>
            </w:r>
            <w:r>
              <w:rPr>
                <w:spacing w:val="-6"/>
                <w:sz w:val="20"/>
              </w:rPr>
              <w:t> </w:t>
            </w:r>
            <w:r>
              <w:rPr>
                <w:spacing w:val="-2"/>
                <w:sz w:val="20"/>
              </w:rPr>
              <w:t>(Investigation/Analysis)</w:t>
            </w:r>
          </w:p>
        </w:tc>
        <w:tc>
          <w:tcPr>
            <w:tcW w:w="1883" w:type="dxa"/>
            <w:tcBorders>
              <w:bottom w:val="single" w:sz="4" w:space="0" w:color="000000"/>
            </w:tcBorders>
          </w:tcPr>
          <w:p>
            <w:pPr>
              <w:pStyle w:val="TableParagraph"/>
              <w:spacing w:line="229" w:lineRule="exact" w:before="15"/>
              <w:ind w:left="816"/>
              <w:jc w:val="left"/>
              <w:rPr>
                <w:sz w:val="20"/>
              </w:rPr>
            </w:pPr>
            <w:r>
              <w:rPr>
                <w:spacing w:val="-2"/>
                <w:sz w:val="20"/>
              </w:rPr>
              <w:t>P-</w:t>
            </w:r>
            <w:r>
              <w:rPr>
                <w:spacing w:val="-10"/>
                <w:sz w:val="20"/>
              </w:rPr>
              <w:t>5</w:t>
            </w:r>
          </w:p>
        </w:tc>
        <w:tc>
          <w:tcPr>
            <w:tcW w:w="1128" w:type="dxa"/>
            <w:tcBorders>
              <w:bottom w:val="single" w:sz="4" w:space="0" w:color="000000"/>
            </w:tcBorders>
          </w:tcPr>
          <w:p>
            <w:pPr>
              <w:pStyle w:val="TableParagraph"/>
              <w:spacing w:line="229" w:lineRule="exact" w:before="15"/>
              <w:ind w:right="4"/>
              <w:rPr>
                <w:sz w:val="20"/>
              </w:rPr>
            </w:pPr>
            <w:r>
              <w:rPr>
                <w:w w:val="100"/>
                <w:sz w:val="20"/>
              </w:rPr>
              <w:t>1</w:t>
            </w:r>
          </w:p>
        </w:tc>
      </w:tr>
      <w:tr>
        <w:trPr>
          <w:trHeight w:val="268" w:hRule="atLeast"/>
        </w:trPr>
        <w:tc>
          <w:tcPr>
            <w:tcW w:w="4384" w:type="dxa"/>
            <w:tcBorders>
              <w:top w:val="single" w:sz="4" w:space="0" w:color="000000"/>
              <w:bottom w:val="single" w:sz="4" w:space="0" w:color="000000"/>
            </w:tcBorders>
          </w:tcPr>
          <w:p>
            <w:pPr>
              <w:pStyle w:val="TableParagraph"/>
              <w:jc w:val="left"/>
              <w:rPr>
                <w:sz w:val="18"/>
              </w:rPr>
            </w:pPr>
          </w:p>
        </w:tc>
        <w:tc>
          <w:tcPr>
            <w:tcW w:w="1883" w:type="dxa"/>
            <w:tcBorders>
              <w:top w:val="single" w:sz="4" w:space="0" w:color="000000"/>
              <w:bottom w:val="single" w:sz="4" w:space="0" w:color="000000"/>
            </w:tcBorders>
          </w:tcPr>
          <w:p>
            <w:pPr>
              <w:pStyle w:val="TableParagraph"/>
              <w:jc w:val="left"/>
              <w:rPr>
                <w:sz w:val="18"/>
              </w:rPr>
            </w:pPr>
          </w:p>
        </w:tc>
        <w:tc>
          <w:tcPr>
            <w:tcW w:w="1128" w:type="dxa"/>
            <w:tcBorders>
              <w:top w:val="single" w:sz="4" w:space="0" w:color="000000"/>
              <w:bottom w:val="single" w:sz="4" w:space="0" w:color="000000"/>
            </w:tcBorders>
          </w:tcPr>
          <w:p>
            <w:pPr>
              <w:pStyle w:val="TableParagraph"/>
              <w:spacing w:line="229" w:lineRule="exact" w:before="19"/>
              <w:ind w:right="4"/>
              <w:rPr>
                <w:b/>
                <w:sz w:val="20"/>
              </w:rPr>
            </w:pPr>
            <w:r>
              <w:rPr>
                <w:b/>
                <w:w w:val="100"/>
                <w:sz w:val="20"/>
              </w:rPr>
              <w:t>5</w:t>
            </w:r>
          </w:p>
        </w:tc>
      </w:tr>
      <w:tr>
        <w:trPr>
          <w:trHeight w:val="273" w:hRule="atLeast"/>
        </w:trPr>
        <w:tc>
          <w:tcPr>
            <w:tcW w:w="4384" w:type="dxa"/>
            <w:tcBorders>
              <w:top w:val="single" w:sz="4" w:space="0" w:color="000000"/>
              <w:bottom w:val="single" w:sz="4" w:space="0" w:color="000000"/>
            </w:tcBorders>
          </w:tcPr>
          <w:p>
            <w:pPr>
              <w:pStyle w:val="TableParagraph"/>
              <w:spacing w:before="19"/>
              <w:ind w:left="14"/>
              <w:jc w:val="left"/>
              <w:rPr>
                <w:i/>
                <w:sz w:val="20"/>
              </w:rPr>
            </w:pPr>
            <w:r>
              <w:rPr>
                <w:i/>
                <w:sz w:val="20"/>
              </w:rPr>
              <w:t>Appeals</w:t>
            </w:r>
            <w:r>
              <w:rPr>
                <w:i/>
                <w:spacing w:val="-6"/>
                <w:sz w:val="20"/>
              </w:rPr>
              <w:t> </w:t>
            </w:r>
            <w:r>
              <w:rPr>
                <w:i/>
                <w:spacing w:val="-2"/>
                <w:sz w:val="20"/>
              </w:rPr>
              <w:t>Section</w:t>
            </w:r>
          </w:p>
        </w:tc>
        <w:tc>
          <w:tcPr>
            <w:tcW w:w="1883" w:type="dxa"/>
            <w:tcBorders>
              <w:top w:val="single" w:sz="4" w:space="0" w:color="000000"/>
              <w:bottom w:val="single" w:sz="4" w:space="0" w:color="000000"/>
            </w:tcBorders>
          </w:tcPr>
          <w:p>
            <w:pPr>
              <w:pStyle w:val="TableParagraph"/>
              <w:jc w:val="left"/>
              <w:rPr>
                <w:sz w:val="18"/>
              </w:rPr>
            </w:pPr>
          </w:p>
        </w:tc>
        <w:tc>
          <w:tcPr>
            <w:tcW w:w="1128" w:type="dxa"/>
            <w:tcBorders>
              <w:top w:val="single" w:sz="4" w:space="0" w:color="000000"/>
              <w:bottom w:val="single" w:sz="4" w:space="0" w:color="000000"/>
            </w:tcBorders>
          </w:tcPr>
          <w:p>
            <w:pPr>
              <w:pStyle w:val="TableParagraph"/>
              <w:jc w:val="left"/>
              <w:rPr>
                <w:sz w:val="18"/>
              </w:rPr>
            </w:pPr>
          </w:p>
        </w:tc>
      </w:tr>
      <w:tr>
        <w:trPr>
          <w:trHeight w:val="272" w:hRule="atLeast"/>
        </w:trPr>
        <w:tc>
          <w:tcPr>
            <w:tcW w:w="4384" w:type="dxa"/>
            <w:tcBorders>
              <w:top w:val="single" w:sz="4" w:space="0" w:color="000000"/>
            </w:tcBorders>
          </w:tcPr>
          <w:p>
            <w:pPr>
              <w:pStyle w:val="TableParagraph"/>
              <w:spacing w:before="19"/>
              <w:ind w:left="14"/>
              <w:jc w:val="left"/>
              <w:rPr>
                <w:sz w:val="20"/>
              </w:rPr>
            </w:pPr>
            <w:r>
              <w:rPr>
                <w:sz w:val="20"/>
              </w:rPr>
              <w:t>Senior</w:t>
            </w:r>
            <w:r>
              <w:rPr>
                <w:spacing w:val="-7"/>
                <w:sz w:val="20"/>
              </w:rPr>
              <w:t> </w:t>
            </w:r>
            <w:r>
              <w:rPr>
                <w:sz w:val="20"/>
              </w:rPr>
              <w:t>Appeals</w:t>
            </w:r>
            <w:r>
              <w:rPr>
                <w:spacing w:val="-3"/>
                <w:sz w:val="20"/>
              </w:rPr>
              <w:t> </w:t>
            </w:r>
            <w:r>
              <w:rPr>
                <w:spacing w:val="-2"/>
                <w:sz w:val="20"/>
              </w:rPr>
              <w:t>Counsel</w:t>
            </w:r>
          </w:p>
        </w:tc>
        <w:tc>
          <w:tcPr>
            <w:tcW w:w="1883" w:type="dxa"/>
            <w:tcBorders>
              <w:top w:val="single" w:sz="4" w:space="0" w:color="000000"/>
            </w:tcBorders>
          </w:tcPr>
          <w:p>
            <w:pPr>
              <w:pStyle w:val="TableParagraph"/>
              <w:spacing w:before="19"/>
              <w:ind w:left="816"/>
              <w:jc w:val="left"/>
              <w:rPr>
                <w:sz w:val="20"/>
              </w:rPr>
            </w:pPr>
            <w:r>
              <w:rPr>
                <w:spacing w:val="-2"/>
                <w:sz w:val="20"/>
              </w:rPr>
              <w:t>P-</w:t>
            </w:r>
            <w:r>
              <w:rPr>
                <w:spacing w:val="-10"/>
                <w:sz w:val="20"/>
              </w:rPr>
              <w:t>5</w:t>
            </w:r>
          </w:p>
        </w:tc>
        <w:tc>
          <w:tcPr>
            <w:tcW w:w="1128" w:type="dxa"/>
            <w:tcBorders>
              <w:top w:val="single" w:sz="4" w:space="0" w:color="000000"/>
            </w:tcBorders>
          </w:tcPr>
          <w:p>
            <w:pPr>
              <w:pStyle w:val="TableParagraph"/>
              <w:spacing w:before="19"/>
              <w:ind w:right="4"/>
              <w:rPr>
                <w:sz w:val="20"/>
              </w:rPr>
            </w:pPr>
            <w:r>
              <w:rPr>
                <w:w w:val="100"/>
                <w:sz w:val="20"/>
              </w:rPr>
              <w:t>1</w:t>
            </w:r>
          </w:p>
        </w:tc>
      </w:tr>
      <w:tr>
        <w:trPr>
          <w:trHeight w:val="268" w:hRule="atLeast"/>
        </w:trPr>
        <w:tc>
          <w:tcPr>
            <w:tcW w:w="4384" w:type="dxa"/>
          </w:tcPr>
          <w:p>
            <w:pPr>
              <w:pStyle w:val="TableParagraph"/>
              <w:spacing w:before="15"/>
              <w:ind w:left="14"/>
              <w:jc w:val="left"/>
              <w:rPr>
                <w:sz w:val="20"/>
              </w:rPr>
            </w:pPr>
            <w:r>
              <w:rPr>
                <w:sz w:val="20"/>
              </w:rPr>
              <w:t>Appeals</w:t>
            </w:r>
            <w:r>
              <w:rPr>
                <w:spacing w:val="-2"/>
                <w:sz w:val="20"/>
              </w:rPr>
              <w:t> Counsel</w:t>
            </w:r>
          </w:p>
        </w:tc>
        <w:tc>
          <w:tcPr>
            <w:tcW w:w="1883" w:type="dxa"/>
          </w:tcPr>
          <w:p>
            <w:pPr>
              <w:pStyle w:val="TableParagraph"/>
              <w:spacing w:before="15"/>
              <w:ind w:left="816"/>
              <w:jc w:val="left"/>
              <w:rPr>
                <w:sz w:val="20"/>
              </w:rPr>
            </w:pPr>
            <w:r>
              <w:rPr>
                <w:spacing w:val="-2"/>
                <w:sz w:val="20"/>
              </w:rPr>
              <w:t>P-</w:t>
            </w:r>
            <w:r>
              <w:rPr>
                <w:spacing w:val="-10"/>
                <w:sz w:val="20"/>
              </w:rPr>
              <w:t>4</w:t>
            </w:r>
          </w:p>
        </w:tc>
        <w:tc>
          <w:tcPr>
            <w:tcW w:w="1128" w:type="dxa"/>
          </w:tcPr>
          <w:p>
            <w:pPr>
              <w:pStyle w:val="TableParagraph"/>
              <w:spacing w:before="15"/>
              <w:ind w:right="4"/>
              <w:rPr>
                <w:sz w:val="20"/>
              </w:rPr>
            </w:pPr>
            <w:r>
              <w:rPr>
                <w:w w:val="100"/>
                <w:sz w:val="20"/>
              </w:rPr>
              <w:t>3</w:t>
            </w:r>
          </w:p>
        </w:tc>
      </w:tr>
      <w:tr>
        <w:trPr>
          <w:trHeight w:val="271" w:hRule="atLeast"/>
        </w:trPr>
        <w:tc>
          <w:tcPr>
            <w:tcW w:w="4384" w:type="dxa"/>
          </w:tcPr>
          <w:p>
            <w:pPr>
              <w:pStyle w:val="TableParagraph"/>
              <w:spacing w:before="16"/>
              <w:ind w:left="14"/>
              <w:jc w:val="left"/>
              <w:rPr>
                <w:sz w:val="20"/>
              </w:rPr>
            </w:pPr>
            <w:r>
              <w:rPr>
                <w:sz w:val="20"/>
              </w:rPr>
              <w:t>Appeals</w:t>
            </w:r>
            <w:r>
              <w:rPr>
                <w:spacing w:val="-2"/>
                <w:sz w:val="20"/>
              </w:rPr>
              <w:t> Counsel</w:t>
            </w:r>
          </w:p>
        </w:tc>
        <w:tc>
          <w:tcPr>
            <w:tcW w:w="1883" w:type="dxa"/>
          </w:tcPr>
          <w:p>
            <w:pPr>
              <w:pStyle w:val="TableParagraph"/>
              <w:spacing w:before="16"/>
              <w:ind w:left="816"/>
              <w:jc w:val="left"/>
              <w:rPr>
                <w:sz w:val="20"/>
              </w:rPr>
            </w:pPr>
            <w:r>
              <w:rPr>
                <w:spacing w:val="-2"/>
                <w:sz w:val="20"/>
              </w:rPr>
              <w:t>P-</w:t>
            </w:r>
            <w:r>
              <w:rPr>
                <w:spacing w:val="-10"/>
                <w:sz w:val="20"/>
              </w:rPr>
              <w:t>3</w:t>
            </w:r>
          </w:p>
        </w:tc>
        <w:tc>
          <w:tcPr>
            <w:tcW w:w="1128" w:type="dxa"/>
          </w:tcPr>
          <w:p>
            <w:pPr>
              <w:pStyle w:val="TableParagraph"/>
              <w:spacing w:before="16"/>
              <w:ind w:right="4"/>
              <w:rPr>
                <w:sz w:val="20"/>
              </w:rPr>
            </w:pPr>
            <w:r>
              <w:rPr>
                <w:w w:val="100"/>
                <w:sz w:val="20"/>
              </w:rPr>
              <w:t>3</w:t>
            </w:r>
          </w:p>
        </w:tc>
      </w:tr>
      <w:tr>
        <w:trPr>
          <w:trHeight w:val="271" w:hRule="atLeast"/>
        </w:trPr>
        <w:tc>
          <w:tcPr>
            <w:tcW w:w="4384" w:type="dxa"/>
          </w:tcPr>
          <w:p>
            <w:pPr>
              <w:pStyle w:val="TableParagraph"/>
              <w:spacing w:before="18"/>
              <w:ind w:left="14"/>
              <w:jc w:val="left"/>
              <w:rPr>
                <w:sz w:val="20"/>
              </w:rPr>
            </w:pPr>
            <w:r>
              <w:rPr>
                <w:sz w:val="20"/>
              </w:rPr>
              <w:t>Case</w:t>
            </w:r>
            <w:r>
              <w:rPr>
                <w:spacing w:val="-4"/>
                <w:sz w:val="20"/>
              </w:rPr>
              <w:t> </w:t>
            </w:r>
            <w:r>
              <w:rPr>
                <w:spacing w:val="-2"/>
                <w:sz w:val="20"/>
              </w:rPr>
              <w:t>Manager</w:t>
            </w:r>
          </w:p>
        </w:tc>
        <w:tc>
          <w:tcPr>
            <w:tcW w:w="1883" w:type="dxa"/>
          </w:tcPr>
          <w:p>
            <w:pPr>
              <w:pStyle w:val="TableParagraph"/>
              <w:spacing w:before="18"/>
              <w:ind w:left="816"/>
              <w:jc w:val="left"/>
              <w:rPr>
                <w:sz w:val="20"/>
              </w:rPr>
            </w:pPr>
            <w:r>
              <w:rPr>
                <w:spacing w:val="-2"/>
                <w:sz w:val="20"/>
              </w:rPr>
              <w:t>P-</w:t>
            </w:r>
            <w:r>
              <w:rPr>
                <w:spacing w:val="-10"/>
                <w:sz w:val="20"/>
              </w:rPr>
              <w:t>1</w:t>
            </w:r>
          </w:p>
        </w:tc>
        <w:tc>
          <w:tcPr>
            <w:tcW w:w="1128" w:type="dxa"/>
          </w:tcPr>
          <w:p>
            <w:pPr>
              <w:pStyle w:val="TableParagraph"/>
              <w:spacing w:before="18"/>
              <w:ind w:right="4"/>
              <w:rPr>
                <w:sz w:val="20"/>
              </w:rPr>
            </w:pPr>
            <w:r>
              <w:rPr>
                <w:w w:val="100"/>
                <w:sz w:val="20"/>
              </w:rPr>
              <w:t>1</w:t>
            </w:r>
          </w:p>
        </w:tc>
      </w:tr>
      <w:tr>
        <w:trPr>
          <w:trHeight w:val="264" w:hRule="atLeast"/>
        </w:trPr>
        <w:tc>
          <w:tcPr>
            <w:tcW w:w="4384" w:type="dxa"/>
            <w:tcBorders>
              <w:bottom w:val="single" w:sz="4" w:space="0" w:color="000000"/>
            </w:tcBorders>
          </w:tcPr>
          <w:p>
            <w:pPr>
              <w:pStyle w:val="TableParagraph"/>
              <w:spacing w:line="229" w:lineRule="exact" w:before="15"/>
              <w:ind w:left="14"/>
              <w:jc w:val="left"/>
              <w:rPr>
                <w:sz w:val="20"/>
              </w:rPr>
            </w:pPr>
            <w:r>
              <w:rPr>
                <w:sz w:val="20"/>
              </w:rPr>
              <w:t>Trial</w:t>
            </w:r>
            <w:r>
              <w:rPr>
                <w:spacing w:val="-6"/>
                <w:sz w:val="20"/>
              </w:rPr>
              <w:t> </w:t>
            </w:r>
            <w:r>
              <w:rPr>
                <w:sz w:val="20"/>
              </w:rPr>
              <w:t>Support</w:t>
            </w:r>
            <w:r>
              <w:rPr>
                <w:spacing w:val="1"/>
                <w:sz w:val="20"/>
              </w:rPr>
              <w:t> </w:t>
            </w:r>
            <w:r>
              <w:rPr>
                <w:spacing w:val="-2"/>
                <w:sz w:val="20"/>
              </w:rPr>
              <w:t>Assistant</w:t>
            </w:r>
          </w:p>
        </w:tc>
        <w:tc>
          <w:tcPr>
            <w:tcW w:w="1883" w:type="dxa"/>
            <w:tcBorders>
              <w:bottom w:val="single" w:sz="4" w:space="0" w:color="000000"/>
            </w:tcBorders>
          </w:tcPr>
          <w:p>
            <w:pPr>
              <w:pStyle w:val="TableParagraph"/>
              <w:spacing w:line="229" w:lineRule="exact" w:before="15"/>
              <w:ind w:left="816"/>
              <w:jc w:val="left"/>
              <w:rPr>
                <w:sz w:val="20"/>
              </w:rPr>
            </w:pPr>
            <w:r>
              <w:rPr>
                <w:spacing w:val="-2"/>
                <w:sz w:val="20"/>
              </w:rPr>
              <w:t>GS-</w:t>
            </w:r>
            <w:r>
              <w:rPr>
                <w:spacing w:val="-7"/>
                <w:sz w:val="20"/>
              </w:rPr>
              <w:t>OL</w:t>
            </w:r>
          </w:p>
        </w:tc>
        <w:tc>
          <w:tcPr>
            <w:tcW w:w="1128" w:type="dxa"/>
            <w:tcBorders>
              <w:bottom w:val="single" w:sz="4" w:space="0" w:color="000000"/>
            </w:tcBorders>
          </w:tcPr>
          <w:p>
            <w:pPr>
              <w:pStyle w:val="TableParagraph"/>
              <w:spacing w:line="229" w:lineRule="exact" w:before="15"/>
              <w:ind w:right="4"/>
              <w:rPr>
                <w:sz w:val="20"/>
              </w:rPr>
            </w:pPr>
            <w:r>
              <w:rPr>
                <w:w w:val="100"/>
                <w:sz w:val="20"/>
              </w:rPr>
              <w:t>1</w:t>
            </w:r>
          </w:p>
        </w:tc>
      </w:tr>
      <w:tr>
        <w:trPr>
          <w:trHeight w:val="268" w:hRule="atLeast"/>
        </w:trPr>
        <w:tc>
          <w:tcPr>
            <w:tcW w:w="4384" w:type="dxa"/>
            <w:tcBorders>
              <w:top w:val="single" w:sz="4" w:space="0" w:color="000000"/>
              <w:bottom w:val="single" w:sz="4" w:space="0" w:color="000000"/>
            </w:tcBorders>
          </w:tcPr>
          <w:p>
            <w:pPr>
              <w:pStyle w:val="TableParagraph"/>
              <w:jc w:val="left"/>
              <w:rPr>
                <w:sz w:val="18"/>
              </w:rPr>
            </w:pPr>
          </w:p>
        </w:tc>
        <w:tc>
          <w:tcPr>
            <w:tcW w:w="1883" w:type="dxa"/>
            <w:tcBorders>
              <w:top w:val="single" w:sz="4" w:space="0" w:color="000000"/>
              <w:bottom w:val="single" w:sz="4" w:space="0" w:color="000000"/>
            </w:tcBorders>
          </w:tcPr>
          <w:p>
            <w:pPr>
              <w:pStyle w:val="TableParagraph"/>
              <w:jc w:val="left"/>
              <w:rPr>
                <w:sz w:val="18"/>
              </w:rPr>
            </w:pPr>
          </w:p>
        </w:tc>
        <w:tc>
          <w:tcPr>
            <w:tcW w:w="1128" w:type="dxa"/>
            <w:tcBorders>
              <w:top w:val="single" w:sz="4" w:space="0" w:color="000000"/>
              <w:bottom w:val="single" w:sz="4" w:space="0" w:color="000000"/>
            </w:tcBorders>
          </w:tcPr>
          <w:p>
            <w:pPr>
              <w:pStyle w:val="TableParagraph"/>
              <w:spacing w:line="229" w:lineRule="exact" w:before="19"/>
              <w:ind w:right="4"/>
              <w:rPr>
                <w:b/>
                <w:sz w:val="20"/>
              </w:rPr>
            </w:pPr>
            <w:r>
              <w:rPr>
                <w:b/>
                <w:w w:val="100"/>
                <w:sz w:val="20"/>
              </w:rPr>
              <w:t>9</w:t>
            </w:r>
          </w:p>
        </w:tc>
      </w:tr>
      <w:tr>
        <w:trPr>
          <w:trHeight w:val="273" w:hRule="atLeast"/>
        </w:trPr>
        <w:tc>
          <w:tcPr>
            <w:tcW w:w="4384" w:type="dxa"/>
            <w:tcBorders>
              <w:top w:val="single" w:sz="4" w:space="0" w:color="000000"/>
              <w:bottom w:val="single" w:sz="4" w:space="0" w:color="000000"/>
            </w:tcBorders>
          </w:tcPr>
          <w:p>
            <w:pPr>
              <w:pStyle w:val="TableParagraph"/>
              <w:spacing w:before="19"/>
              <w:ind w:left="14"/>
              <w:jc w:val="left"/>
              <w:rPr>
                <w:i/>
                <w:sz w:val="20"/>
              </w:rPr>
            </w:pPr>
            <w:r>
              <w:rPr>
                <w:i/>
                <w:sz w:val="20"/>
              </w:rPr>
              <w:t>Unified</w:t>
            </w:r>
            <w:r>
              <w:rPr>
                <w:i/>
                <w:spacing w:val="-9"/>
                <w:sz w:val="20"/>
              </w:rPr>
              <w:t> </w:t>
            </w:r>
            <w:r>
              <w:rPr>
                <w:i/>
                <w:sz w:val="20"/>
              </w:rPr>
              <w:t>Teams</w:t>
            </w:r>
            <w:r>
              <w:rPr>
                <w:i/>
                <w:spacing w:val="-6"/>
                <w:sz w:val="20"/>
              </w:rPr>
              <w:t> </w:t>
            </w:r>
            <w:r>
              <w:rPr>
                <w:i/>
                <w:spacing w:val="-4"/>
                <w:sz w:val="20"/>
              </w:rPr>
              <w:t>(HQ)</w:t>
            </w:r>
          </w:p>
        </w:tc>
        <w:tc>
          <w:tcPr>
            <w:tcW w:w="1883" w:type="dxa"/>
            <w:tcBorders>
              <w:top w:val="single" w:sz="4" w:space="0" w:color="000000"/>
              <w:bottom w:val="single" w:sz="4" w:space="0" w:color="000000"/>
            </w:tcBorders>
          </w:tcPr>
          <w:p>
            <w:pPr>
              <w:pStyle w:val="TableParagraph"/>
              <w:jc w:val="left"/>
              <w:rPr>
                <w:sz w:val="18"/>
              </w:rPr>
            </w:pPr>
          </w:p>
        </w:tc>
        <w:tc>
          <w:tcPr>
            <w:tcW w:w="1128" w:type="dxa"/>
            <w:tcBorders>
              <w:top w:val="single" w:sz="4" w:space="0" w:color="000000"/>
              <w:bottom w:val="single" w:sz="4" w:space="0" w:color="000000"/>
            </w:tcBorders>
          </w:tcPr>
          <w:p>
            <w:pPr>
              <w:pStyle w:val="TableParagraph"/>
              <w:jc w:val="left"/>
              <w:rPr>
                <w:sz w:val="18"/>
              </w:rPr>
            </w:pPr>
          </w:p>
        </w:tc>
      </w:tr>
      <w:tr>
        <w:trPr>
          <w:trHeight w:val="268" w:hRule="atLeast"/>
        </w:trPr>
        <w:tc>
          <w:tcPr>
            <w:tcW w:w="4384" w:type="dxa"/>
            <w:tcBorders>
              <w:top w:val="single" w:sz="4" w:space="0" w:color="000000"/>
              <w:bottom w:val="single" w:sz="4" w:space="0" w:color="000000"/>
            </w:tcBorders>
          </w:tcPr>
          <w:p>
            <w:pPr>
              <w:pStyle w:val="TableParagraph"/>
              <w:spacing w:line="229" w:lineRule="exact" w:before="19"/>
              <w:ind w:left="14"/>
              <w:jc w:val="left"/>
              <w:rPr>
                <w:i/>
                <w:sz w:val="20"/>
              </w:rPr>
            </w:pPr>
            <w:r>
              <w:rPr>
                <w:i/>
                <w:sz w:val="20"/>
              </w:rPr>
              <w:t>International</w:t>
            </w:r>
            <w:r>
              <w:rPr>
                <w:i/>
                <w:spacing w:val="-10"/>
                <w:sz w:val="20"/>
              </w:rPr>
              <w:t> </w:t>
            </w:r>
            <w:r>
              <w:rPr>
                <w:i/>
                <w:sz w:val="20"/>
              </w:rPr>
              <w:t>Cooperation</w:t>
            </w:r>
            <w:r>
              <w:rPr>
                <w:i/>
                <w:spacing w:val="-11"/>
                <w:sz w:val="20"/>
              </w:rPr>
              <w:t> </w:t>
            </w:r>
            <w:r>
              <w:rPr>
                <w:i/>
                <w:spacing w:val="-2"/>
                <w:sz w:val="20"/>
              </w:rPr>
              <w:t>Advisers</w:t>
            </w:r>
          </w:p>
        </w:tc>
        <w:tc>
          <w:tcPr>
            <w:tcW w:w="1883" w:type="dxa"/>
            <w:tcBorders>
              <w:top w:val="single" w:sz="4" w:space="0" w:color="000000"/>
              <w:bottom w:val="single" w:sz="4" w:space="0" w:color="000000"/>
            </w:tcBorders>
          </w:tcPr>
          <w:p>
            <w:pPr>
              <w:pStyle w:val="TableParagraph"/>
              <w:jc w:val="left"/>
              <w:rPr>
                <w:sz w:val="18"/>
              </w:rPr>
            </w:pPr>
          </w:p>
        </w:tc>
        <w:tc>
          <w:tcPr>
            <w:tcW w:w="1128" w:type="dxa"/>
            <w:tcBorders>
              <w:top w:val="single" w:sz="4" w:space="0" w:color="000000"/>
              <w:bottom w:val="single" w:sz="4" w:space="0" w:color="000000"/>
            </w:tcBorders>
          </w:tcPr>
          <w:p>
            <w:pPr>
              <w:pStyle w:val="TableParagraph"/>
              <w:jc w:val="left"/>
              <w:rPr>
                <w:sz w:val="18"/>
              </w:rPr>
            </w:pPr>
          </w:p>
        </w:tc>
      </w:tr>
      <w:tr>
        <w:trPr>
          <w:trHeight w:val="272" w:hRule="atLeast"/>
        </w:trPr>
        <w:tc>
          <w:tcPr>
            <w:tcW w:w="4384" w:type="dxa"/>
            <w:tcBorders>
              <w:top w:val="single" w:sz="4" w:space="0" w:color="000000"/>
            </w:tcBorders>
          </w:tcPr>
          <w:p>
            <w:pPr>
              <w:pStyle w:val="TableParagraph"/>
              <w:spacing w:before="20"/>
              <w:ind w:left="14"/>
              <w:jc w:val="left"/>
              <w:rPr>
                <w:sz w:val="20"/>
              </w:rPr>
            </w:pPr>
            <w:r>
              <w:rPr>
                <w:sz w:val="20"/>
              </w:rPr>
              <w:t>International</w:t>
            </w:r>
            <w:r>
              <w:rPr>
                <w:spacing w:val="-11"/>
                <w:sz w:val="20"/>
              </w:rPr>
              <w:t> </w:t>
            </w:r>
            <w:r>
              <w:rPr>
                <w:sz w:val="20"/>
              </w:rPr>
              <w:t>Cooperation</w:t>
            </w:r>
            <w:r>
              <w:rPr>
                <w:spacing w:val="-8"/>
                <w:sz w:val="20"/>
              </w:rPr>
              <w:t> </w:t>
            </w:r>
            <w:r>
              <w:rPr>
                <w:spacing w:val="-2"/>
                <w:sz w:val="20"/>
              </w:rPr>
              <w:t>Adviser</w:t>
            </w:r>
          </w:p>
        </w:tc>
        <w:tc>
          <w:tcPr>
            <w:tcW w:w="1883" w:type="dxa"/>
            <w:tcBorders>
              <w:top w:val="single" w:sz="4" w:space="0" w:color="000000"/>
            </w:tcBorders>
          </w:tcPr>
          <w:p>
            <w:pPr>
              <w:pStyle w:val="TableParagraph"/>
              <w:spacing w:before="20"/>
              <w:ind w:left="816"/>
              <w:jc w:val="left"/>
              <w:rPr>
                <w:sz w:val="20"/>
              </w:rPr>
            </w:pPr>
            <w:r>
              <w:rPr>
                <w:spacing w:val="-2"/>
                <w:sz w:val="20"/>
              </w:rPr>
              <w:t>P-</w:t>
            </w:r>
            <w:r>
              <w:rPr>
                <w:spacing w:val="-10"/>
                <w:sz w:val="20"/>
              </w:rPr>
              <w:t>3</w:t>
            </w:r>
          </w:p>
        </w:tc>
        <w:tc>
          <w:tcPr>
            <w:tcW w:w="1128" w:type="dxa"/>
            <w:tcBorders>
              <w:top w:val="single" w:sz="4" w:space="0" w:color="000000"/>
            </w:tcBorders>
          </w:tcPr>
          <w:p>
            <w:pPr>
              <w:pStyle w:val="TableParagraph"/>
              <w:spacing w:before="20"/>
              <w:ind w:right="4"/>
              <w:rPr>
                <w:sz w:val="20"/>
              </w:rPr>
            </w:pPr>
            <w:r>
              <w:rPr>
                <w:w w:val="100"/>
                <w:sz w:val="20"/>
              </w:rPr>
              <w:t>2</w:t>
            </w:r>
          </w:p>
        </w:tc>
      </w:tr>
      <w:tr>
        <w:trPr>
          <w:trHeight w:val="269" w:hRule="atLeast"/>
        </w:trPr>
        <w:tc>
          <w:tcPr>
            <w:tcW w:w="4384" w:type="dxa"/>
            <w:tcBorders>
              <w:bottom w:val="single" w:sz="4" w:space="0" w:color="000000"/>
            </w:tcBorders>
          </w:tcPr>
          <w:p>
            <w:pPr>
              <w:pStyle w:val="TableParagraph"/>
              <w:spacing w:before="15"/>
              <w:ind w:left="14"/>
              <w:jc w:val="left"/>
              <w:rPr>
                <w:sz w:val="20"/>
              </w:rPr>
            </w:pPr>
            <w:r>
              <w:rPr>
                <w:sz w:val="20"/>
              </w:rPr>
              <w:t>Associate</w:t>
            </w:r>
            <w:r>
              <w:rPr>
                <w:spacing w:val="-11"/>
                <w:sz w:val="20"/>
              </w:rPr>
              <w:t> </w:t>
            </w:r>
            <w:r>
              <w:rPr>
                <w:sz w:val="20"/>
              </w:rPr>
              <w:t>International</w:t>
            </w:r>
            <w:r>
              <w:rPr>
                <w:spacing w:val="-11"/>
                <w:sz w:val="20"/>
              </w:rPr>
              <w:t> </w:t>
            </w:r>
            <w:r>
              <w:rPr>
                <w:sz w:val="20"/>
              </w:rPr>
              <w:t>cooperation</w:t>
            </w:r>
            <w:r>
              <w:rPr>
                <w:spacing w:val="-8"/>
                <w:sz w:val="20"/>
              </w:rPr>
              <w:t> </w:t>
            </w:r>
            <w:r>
              <w:rPr>
                <w:spacing w:val="-2"/>
                <w:sz w:val="20"/>
              </w:rPr>
              <w:t>Adviser</w:t>
            </w:r>
          </w:p>
        </w:tc>
        <w:tc>
          <w:tcPr>
            <w:tcW w:w="1883" w:type="dxa"/>
            <w:tcBorders>
              <w:bottom w:val="single" w:sz="4" w:space="0" w:color="000000"/>
            </w:tcBorders>
          </w:tcPr>
          <w:p>
            <w:pPr>
              <w:pStyle w:val="TableParagraph"/>
              <w:spacing w:before="15"/>
              <w:ind w:left="816"/>
              <w:jc w:val="left"/>
              <w:rPr>
                <w:sz w:val="20"/>
              </w:rPr>
            </w:pPr>
            <w:r>
              <w:rPr>
                <w:spacing w:val="-2"/>
                <w:sz w:val="20"/>
              </w:rPr>
              <w:t>P-</w:t>
            </w:r>
            <w:r>
              <w:rPr>
                <w:spacing w:val="-10"/>
                <w:sz w:val="20"/>
              </w:rPr>
              <w:t>2</w:t>
            </w:r>
          </w:p>
        </w:tc>
        <w:tc>
          <w:tcPr>
            <w:tcW w:w="1128" w:type="dxa"/>
            <w:tcBorders>
              <w:bottom w:val="single" w:sz="4" w:space="0" w:color="000000"/>
            </w:tcBorders>
          </w:tcPr>
          <w:p>
            <w:pPr>
              <w:pStyle w:val="TableParagraph"/>
              <w:spacing w:before="15"/>
              <w:ind w:right="4"/>
              <w:rPr>
                <w:sz w:val="20"/>
              </w:rPr>
            </w:pPr>
            <w:r>
              <w:rPr>
                <w:w w:val="100"/>
                <w:sz w:val="20"/>
              </w:rPr>
              <w:t>2</w:t>
            </w:r>
          </w:p>
        </w:tc>
      </w:tr>
      <w:tr>
        <w:trPr>
          <w:trHeight w:val="268" w:hRule="atLeast"/>
        </w:trPr>
        <w:tc>
          <w:tcPr>
            <w:tcW w:w="4384" w:type="dxa"/>
            <w:tcBorders>
              <w:top w:val="single" w:sz="4" w:space="0" w:color="000000"/>
              <w:bottom w:val="single" w:sz="4" w:space="0" w:color="000000"/>
            </w:tcBorders>
          </w:tcPr>
          <w:p>
            <w:pPr>
              <w:pStyle w:val="TableParagraph"/>
              <w:jc w:val="left"/>
              <w:rPr>
                <w:sz w:val="18"/>
              </w:rPr>
            </w:pPr>
          </w:p>
        </w:tc>
        <w:tc>
          <w:tcPr>
            <w:tcW w:w="1883" w:type="dxa"/>
            <w:tcBorders>
              <w:top w:val="single" w:sz="4" w:space="0" w:color="000000"/>
              <w:bottom w:val="single" w:sz="4" w:space="0" w:color="000000"/>
            </w:tcBorders>
          </w:tcPr>
          <w:p>
            <w:pPr>
              <w:pStyle w:val="TableParagraph"/>
              <w:jc w:val="left"/>
              <w:rPr>
                <w:sz w:val="18"/>
              </w:rPr>
            </w:pPr>
          </w:p>
        </w:tc>
        <w:tc>
          <w:tcPr>
            <w:tcW w:w="1128" w:type="dxa"/>
            <w:tcBorders>
              <w:top w:val="single" w:sz="4" w:space="0" w:color="000000"/>
              <w:bottom w:val="single" w:sz="4" w:space="0" w:color="000000"/>
            </w:tcBorders>
          </w:tcPr>
          <w:p>
            <w:pPr>
              <w:pStyle w:val="TableParagraph"/>
              <w:spacing w:line="229" w:lineRule="exact" w:before="19"/>
              <w:ind w:right="4"/>
              <w:rPr>
                <w:b/>
                <w:sz w:val="20"/>
              </w:rPr>
            </w:pPr>
            <w:r>
              <w:rPr>
                <w:b/>
                <w:w w:val="100"/>
                <w:sz w:val="20"/>
              </w:rPr>
              <w:t>4</w:t>
            </w:r>
          </w:p>
        </w:tc>
      </w:tr>
      <w:tr>
        <w:trPr>
          <w:trHeight w:val="268" w:hRule="atLeast"/>
        </w:trPr>
        <w:tc>
          <w:tcPr>
            <w:tcW w:w="4384" w:type="dxa"/>
            <w:tcBorders>
              <w:top w:val="single" w:sz="4" w:space="0" w:color="000000"/>
              <w:bottom w:val="single" w:sz="4" w:space="0" w:color="000000"/>
            </w:tcBorders>
          </w:tcPr>
          <w:p>
            <w:pPr>
              <w:pStyle w:val="TableParagraph"/>
              <w:spacing w:line="229" w:lineRule="exact" w:before="19"/>
              <w:ind w:left="14"/>
              <w:jc w:val="left"/>
              <w:rPr>
                <w:i/>
                <w:sz w:val="20"/>
              </w:rPr>
            </w:pPr>
            <w:r>
              <w:rPr>
                <w:i/>
                <w:spacing w:val="-2"/>
                <w:sz w:val="20"/>
              </w:rPr>
              <w:t>Analysts</w:t>
            </w:r>
          </w:p>
        </w:tc>
        <w:tc>
          <w:tcPr>
            <w:tcW w:w="1883" w:type="dxa"/>
            <w:tcBorders>
              <w:top w:val="single" w:sz="4" w:space="0" w:color="000000"/>
              <w:bottom w:val="single" w:sz="4" w:space="0" w:color="000000"/>
            </w:tcBorders>
          </w:tcPr>
          <w:p>
            <w:pPr>
              <w:pStyle w:val="TableParagraph"/>
              <w:jc w:val="left"/>
              <w:rPr>
                <w:sz w:val="18"/>
              </w:rPr>
            </w:pPr>
          </w:p>
        </w:tc>
        <w:tc>
          <w:tcPr>
            <w:tcW w:w="1128" w:type="dxa"/>
            <w:tcBorders>
              <w:top w:val="single" w:sz="4" w:space="0" w:color="000000"/>
              <w:bottom w:val="single" w:sz="4" w:space="0" w:color="000000"/>
            </w:tcBorders>
          </w:tcPr>
          <w:p>
            <w:pPr>
              <w:pStyle w:val="TableParagraph"/>
              <w:jc w:val="left"/>
              <w:rPr>
                <w:sz w:val="18"/>
              </w:rPr>
            </w:pPr>
          </w:p>
        </w:tc>
      </w:tr>
      <w:tr>
        <w:trPr>
          <w:trHeight w:val="274" w:hRule="atLeast"/>
        </w:trPr>
        <w:tc>
          <w:tcPr>
            <w:tcW w:w="4384" w:type="dxa"/>
            <w:tcBorders>
              <w:top w:val="single" w:sz="4" w:space="0" w:color="000000"/>
            </w:tcBorders>
          </w:tcPr>
          <w:p>
            <w:pPr>
              <w:pStyle w:val="TableParagraph"/>
              <w:spacing w:before="19"/>
              <w:ind w:left="14"/>
              <w:jc w:val="left"/>
              <w:rPr>
                <w:sz w:val="20"/>
              </w:rPr>
            </w:pPr>
            <w:r>
              <w:rPr>
                <w:sz w:val="20"/>
              </w:rPr>
              <w:t>Analyst</w:t>
            </w:r>
            <w:r>
              <w:rPr>
                <w:spacing w:val="-6"/>
                <w:sz w:val="20"/>
              </w:rPr>
              <w:t> </w:t>
            </w:r>
            <w:r>
              <w:rPr>
                <w:sz w:val="20"/>
              </w:rPr>
              <w:t>(Crime</w:t>
            </w:r>
            <w:r>
              <w:rPr>
                <w:spacing w:val="-6"/>
                <w:sz w:val="20"/>
              </w:rPr>
              <w:t> </w:t>
            </w:r>
            <w:r>
              <w:rPr>
                <w:spacing w:val="-2"/>
                <w:sz w:val="20"/>
              </w:rPr>
              <w:t>Pattern)</w:t>
            </w:r>
          </w:p>
        </w:tc>
        <w:tc>
          <w:tcPr>
            <w:tcW w:w="1883" w:type="dxa"/>
            <w:tcBorders>
              <w:top w:val="single" w:sz="4" w:space="0" w:color="000000"/>
            </w:tcBorders>
          </w:tcPr>
          <w:p>
            <w:pPr>
              <w:pStyle w:val="TableParagraph"/>
              <w:spacing w:before="19"/>
              <w:ind w:left="816"/>
              <w:jc w:val="left"/>
              <w:rPr>
                <w:sz w:val="20"/>
              </w:rPr>
            </w:pPr>
            <w:r>
              <w:rPr>
                <w:spacing w:val="-2"/>
                <w:sz w:val="20"/>
              </w:rPr>
              <w:t>P-</w:t>
            </w:r>
            <w:r>
              <w:rPr>
                <w:spacing w:val="-10"/>
                <w:sz w:val="20"/>
              </w:rPr>
              <w:t>3</w:t>
            </w:r>
          </w:p>
        </w:tc>
        <w:tc>
          <w:tcPr>
            <w:tcW w:w="1128" w:type="dxa"/>
            <w:tcBorders>
              <w:top w:val="single" w:sz="4" w:space="0" w:color="000000"/>
            </w:tcBorders>
          </w:tcPr>
          <w:p>
            <w:pPr>
              <w:pStyle w:val="TableParagraph"/>
              <w:spacing w:before="19"/>
              <w:ind w:right="4"/>
              <w:rPr>
                <w:sz w:val="20"/>
              </w:rPr>
            </w:pPr>
            <w:r>
              <w:rPr>
                <w:w w:val="100"/>
                <w:sz w:val="20"/>
              </w:rPr>
              <w:t>1</w:t>
            </w:r>
          </w:p>
        </w:tc>
      </w:tr>
      <w:tr>
        <w:trPr>
          <w:trHeight w:val="271" w:hRule="atLeast"/>
        </w:trPr>
        <w:tc>
          <w:tcPr>
            <w:tcW w:w="4384" w:type="dxa"/>
          </w:tcPr>
          <w:p>
            <w:pPr>
              <w:pStyle w:val="TableParagraph"/>
              <w:spacing w:before="18"/>
              <w:ind w:left="14"/>
              <w:jc w:val="left"/>
              <w:rPr>
                <w:sz w:val="20"/>
              </w:rPr>
            </w:pPr>
            <w:r>
              <w:rPr>
                <w:spacing w:val="-2"/>
                <w:sz w:val="20"/>
              </w:rPr>
              <w:t>Analyst</w:t>
            </w:r>
          </w:p>
        </w:tc>
        <w:tc>
          <w:tcPr>
            <w:tcW w:w="1883" w:type="dxa"/>
          </w:tcPr>
          <w:p>
            <w:pPr>
              <w:pStyle w:val="TableParagraph"/>
              <w:spacing w:before="18"/>
              <w:ind w:left="816"/>
              <w:jc w:val="left"/>
              <w:rPr>
                <w:sz w:val="20"/>
              </w:rPr>
            </w:pPr>
            <w:r>
              <w:rPr>
                <w:spacing w:val="-2"/>
                <w:sz w:val="20"/>
              </w:rPr>
              <w:t>P-</w:t>
            </w:r>
            <w:r>
              <w:rPr>
                <w:spacing w:val="-10"/>
                <w:sz w:val="20"/>
              </w:rPr>
              <w:t>3</w:t>
            </w:r>
          </w:p>
        </w:tc>
        <w:tc>
          <w:tcPr>
            <w:tcW w:w="1128" w:type="dxa"/>
          </w:tcPr>
          <w:p>
            <w:pPr>
              <w:pStyle w:val="TableParagraph"/>
              <w:spacing w:before="18"/>
              <w:ind w:right="4"/>
              <w:rPr>
                <w:sz w:val="20"/>
              </w:rPr>
            </w:pPr>
            <w:r>
              <w:rPr>
                <w:w w:val="100"/>
                <w:sz w:val="20"/>
              </w:rPr>
              <w:t>1</w:t>
            </w:r>
          </w:p>
        </w:tc>
      </w:tr>
      <w:tr>
        <w:trPr>
          <w:trHeight w:val="265" w:hRule="atLeast"/>
        </w:trPr>
        <w:tc>
          <w:tcPr>
            <w:tcW w:w="4384" w:type="dxa"/>
            <w:tcBorders>
              <w:bottom w:val="single" w:sz="4" w:space="0" w:color="000000"/>
            </w:tcBorders>
          </w:tcPr>
          <w:p>
            <w:pPr>
              <w:pStyle w:val="TableParagraph"/>
              <w:spacing w:line="230" w:lineRule="exact" w:before="15"/>
              <w:ind w:left="14"/>
              <w:jc w:val="left"/>
              <w:rPr>
                <w:sz w:val="20"/>
              </w:rPr>
            </w:pPr>
            <w:r>
              <w:rPr>
                <w:sz w:val="20"/>
              </w:rPr>
              <w:t>Associate</w:t>
            </w:r>
            <w:r>
              <w:rPr>
                <w:spacing w:val="-7"/>
                <w:sz w:val="20"/>
              </w:rPr>
              <w:t> </w:t>
            </w:r>
            <w:r>
              <w:rPr>
                <w:spacing w:val="-2"/>
                <w:sz w:val="20"/>
              </w:rPr>
              <w:t>Analyst</w:t>
            </w:r>
          </w:p>
        </w:tc>
        <w:tc>
          <w:tcPr>
            <w:tcW w:w="1883" w:type="dxa"/>
            <w:tcBorders>
              <w:bottom w:val="single" w:sz="4" w:space="0" w:color="000000"/>
            </w:tcBorders>
          </w:tcPr>
          <w:p>
            <w:pPr>
              <w:pStyle w:val="TableParagraph"/>
              <w:spacing w:line="230" w:lineRule="exact" w:before="15"/>
              <w:ind w:left="816"/>
              <w:jc w:val="left"/>
              <w:rPr>
                <w:sz w:val="20"/>
              </w:rPr>
            </w:pPr>
            <w:r>
              <w:rPr>
                <w:spacing w:val="-2"/>
                <w:sz w:val="20"/>
              </w:rPr>
              <w:t>P-</w:t>
            </w:r>
            <w:r>
              <w:rPr>
                <w:spacing w:val="-10"/>
                <w:sz w:val="20"/>
              </w:rPr>
              <w:t>2</w:t>
            </w:r>
          </w:p>
        </w:tc>
        <w:tc>
          <w:tcPr>
            <w:tcW w:w="1128" w:type="dxa"/>
            <w:tcBorders>
              <w:bottom w:val="single" w:sz="4" w:space="0" w:color="000000"/>
            </w:tcBorders>
          </w:tcPr>
          <w:p>
            <w:pPr>
              <w:pStyle w:val="TableParagraph"/>
              <w:spacing w:line="230" w:lineRule="exact" w:before="15"/>
              <w:ind w:right="4"/>
              <w:rPr>
                <w:sz w:val="20"/>
              </w:rPr>
            </w:pPr>
            <w:r>
              <w:rPr>
                <w:w w:val="100"/>
                <w:sz w:val="20"/>
              </w:rPr>
              <w:t>2</w:t>
            </w:r>
          </w:p>
        </w:tc>
      </w:tr>
      <w:tr>
        <w:trPr>
          <w:trHeight w:val="268" w:hRule="atLeast"/>
        </w:trPr>
        <w:tc>
          <w:tcPr>
            <w:tcW w:w="4384" w:type="dxa"/>
            <w:tcBorders>
              <w:top w:val="single" w:sz="4" w:space="0" w:color="000000"/>
              <w:bottom w:val="single" w:sz="4" w:space="0" w:color="000000"/>
            </w:tcBorders>
          </w:tcPr>
          <w:p>
            <w:pPr>
              <w:pStyle w:val="TableParagraph"/>
              <w:jc w:val="left"/>
              <w:rPr>
                <w:sz w:val="18"/>
              </w:rPr>
            </w:pPr>
          </w:p>
        </w:tc>
        <w:tc>
          <w:tcPr>
            <w:tcW w:w="1883" w:type="dxa"/>
            <w:tcBorders>
              <w:top w:val="single" w:sz="4" w:space="0" w:color="000000"/>
              <w:bottom w:val="single" w:sz="4" w:space="0" w:color="000000"/>
            </w:tcBorders>
          </w:tcPr>
          <w:p>
            <w:pPr>
              <w:pStyle w:val="TableParagraph"/>
              <w:jc w:val="left"/>
              <w:rPr>
                <w:sz w:val="18"/>
              </w:rPr>
            </w:pPr>
          </w:p>
        </w:tc>
        <w:tc>
          <w:tcPr>
            <w:tcW w:w="1128" w:type="dxa"/>
            <w:tcBorders>
              <w:top w:val="single" w:sz="4" w:space="0" w:color="000000"/>
              <w:bottom w:val="single" w:sz="4" w:space="0" w:color="000000"/>
            </w:tcBorders>
          </w:tcPr>
          <w:p>
            <w:pPr>
              <w:pStyle w:val="TableParagraph"/>
              <w:spacing w:line="229" w:lineRule="exact" w:before="19"/>
              <w:ind w:right="4"/>
              <w:rPr>
                <w:b/>
                <w:sz w:val="20"/>
              </w:rPr>
            </w:pPr>
            <w:r>
              <w:rPr>
                <w:b/>
                <w:w w:val="100"/>
                <w:sz w:val="20"/>
              </w:rPr>
              <w:t>4</w:t>
            </w: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27"/>
        </w:rPr>
      </w:pPr>
      <w:r>
        <w:rPr/>
        <w:pict>
          <v:rect style="position:absolute;margin-left:113.330002pt;margin-top:16.979652pt;width:144.050pt;height:.48004pt;mso-position-horizontal-relative:page;mso-position-vertical-relative:paragraph;z-index:-15699456;mso-wrap-distance-left:0;mso-wrap-distance-right:0" id="docshape154" filled="true" fillcolor="#000000" stroked="false">
            <v:fill type="solid"/>
            <w10:wrap type="topAndBottom"/>
          </v:rect>
        </w:pict>
      </w:r>
    </w:p>
    <w:p>
      <w:pPr>
        <w:spacing w:before="86"/>
        <w:ind w:left="2246" w:right="0" w:firstLine="0"/>
        <w:jc w:val="both"/>
        <w:rPr>
          <w:sz w:val="16"/>
        </w:rPr>
      </w:pPr>
      <w:r>
        <w:rPr>
          <w:position w:val="5"/>
          <w:sz w:val="10"/>
        </w:rPr>
        <w:t>83</w:t>
      </w:r>
      <w:r>
        <w:rPr>
          <w:spacing w:val="14"/>
          <w:position w:val="5"/>
          <w:sz w:val="10"/>
        </w:rPr>
        <w:t> </w:t>
      </w:r>
      <w:r>
        <w:rPr>
          <w:sz w:val="16"/>
        </w:rPr>
        <w:t>This</w:t>
      </w:r>
      <w:r>
        <w:rPr>
          <w:spacing w:val="-3"/>
          <w:sz w:val="16"/>
        </w:rPr>
        <w:t> </w:t>
      </w:r>
      <w:r>
        <w:rPr>
          <w:sz w:val="16"/>
        </w:rPr>
        <w:t>post</w:t>
      </w:r>
      <w:r>
        <w:rPr>
          <w:spacing w:val="-4"/>
          <w:sz w:val="16"/>
        </w:rPr>
        <w:t> </w:t>
      </w:r>
      <w:r>
        <w:rPr>
          <w:sz w:val="16"/>
        </w:rPr>
        <w:t>will</w:t>
      </w:r>
      <w:r>
        <w:rPr>
          <w:spacing w:val="-4"/>
          <w:sz w:val="16"/>
        </w:rPr>
        <w:t> </w:t>
      </w:r>
      <w:r>
        <w:rPr>
          <w:sz w:val="16"/>
        </w:rPr>
        <w:t>be</w:t>
      </w:r>
      <w:r>
        <w:rPr>
          <w:spacing w:val="-1"/>
          <w:sz w:val="16"/>
        </w:rPr>
        <w:t> </w:t>
      </w:r>
      <w:r>
        <w:rPr>
          <w:sz w:val="16"/>
        </w:rPr>
        <w:t>left</w:t>
      </w:r>
      <w:r>
        <w:rPr>
          <w:spacing w:val="1"/>
          <w:sz w:val="16"/>
        </w:rPr>
        <w:t> </w:t>
      </w:r>
      <w:r>
        <w:rPr>
          <w:sz w:val="16"/>
        </w:rPr>
        <w:t>unfunded</w:t>
      </w:r>
      <w:r>
        <w:rPr>
          <w:spacing w:val="-1"/>
          <w:sz w:val="16"/>
        </w:rPr>
        <w:t> </w:t>
      </w:r>
      <w:r>
        <w:rPr>
          <w:sz w:val="16"/>
        </w:rPr>
        <w:t>in</w:t>
      </w:r>
      <w:r>
        <w:rPr>
          <w:spacing w:val="-1"/>
          <w:sz w:val="16"/>
        </w:rPr>
        <w:t> </w:t>
      </w:r>
      <w:r>
        <w:rPr>
          <w:spacing w:val="-2"/>
          <w:sz w:val="16"/>
        </w:rPr>
        <w:t>2023.</w:t>
      </w:r>
    </w:p>
    <w:p>
      <w:pPr>
        <w:spacing w:after="0"/>
        <w:jc w:val="both"/>
        <w:rPr>
          <w:sz w:val="16"/>
        </w:rPr>
        <w:sectPr>
          <w:pgSz w:w="11910" w:h="16840"/>
          <w:pgMar w:header="957" w:footer="940" w:top="1140" w:bottom="1140" w:left="20" w:right="20"/>
        </w:sectPr>
      </w:pPr>
    </w:p>
    <w:p>
      <w:pPr>
        <w:pStyle w:val="BodyText"/>
        <w:spacing w:before="9"/>
        <w:rPr>
          <w:sz w:val="10"/>
        </w:rPr>
      </w:pPr>
    </w:p>
    <w:tbl>
      <w:tblPr>
        <w:tblW w:w="0" w:type="auto"/>
        <w:jc w:val="left"/>
        <w:tblInd w:w="2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47"/>
        <w:gridCol w:w="2720"/>
        <w:gridCol w:w="1128"/>
      </w:tblGrid>
      <w:tr>
        <w:trPr>
          <w:trHeight w:val="273" w:hRule="atLeast"/>
        </w:trPr>
        <w:tc>
          <w:tcPr>
            <w:tcW w:w="3547" w:type="dxa"/>
            <w:tcBorders>
              <w:top w:val="single" w:sz="4" w:space="0" w:color="000000"/>
              <w:bottom w:val="single" w:sz="4" w:space="0" w:color="000000"/>
            </w:tcBorders>
          </w:tcPr>
          <w:p>
            <w:pPr>
              <w:pStyle w:val="TableParagraph"/>
              <w:spacing w:line="229" w:lineRule="exact" w:before="24"/>
              <w:ind w:left="14"/>
              <w:jc w:val="left"/>
              <w:rPr>
                <w:i/>
                <w:sz w:val="20"/>
              </w:rPr>
            </w:pPr>
            <w:r>
              <w:rPr>
                <w:i/>
                <w:spacing w:val="-2"/>
                <w:sz w:val="20"/>
              </w:rPr>
              <w:t>Title</w:t>
            </w:r>
          </w:p>
        </w:tc>
        <w:tc>
          <w:tcPr>
            <w:tcW w:w="2720" w:type="dxa"/>
            <w:tcBorders>
              <w:top w:val="single" w:sz="4" w:space="0" w:color="000000"/>
              <w:bottom w:val="single" w:sz="4" w:space="0" w:color="000000"/>
            </w:tcBorders>
          </w:tcPr>
          <w:p>
            <w:pPr>
              <w:pStyle w:val="TableParagraph"/>
              <w:spacing w:line="229" w:lineRule="exact" w:before="24"/>
              <w:ind w:left="1653"/>
              <w:jc w:val="left"/>
              <w:rPr>
                <w:i/>
                <w:sz w:val="20"/>
              </w:rPr>
            </w:pPr>
            <w:r>
              <w:rPr>
                <w:i/>
                <w:spacing w:val="-2"/>
                <w:sz w:val="20"/>
              </w:rPr>
              <w:t>Grade</w:t>
            </w:r>
          </w:p>
        </w:tc>
        <w:tc>
          <w:tcPr>
            <w:tcW w:w="1128" w:type="dxa"/>
            <w:tcBorders>
              <w:top w:val="single" w:sz="4" w:space="0" w:color="000000"/>
              <w:bottom w:val="single" w:sz="4" w:space="0" w:color="000000"/>
            </w:tcBorders>
          </w:tcPr>
          <w:p>
            <w:pPr>
              <w:pStyle w:val="TableParagraph"/>
              <w:spacing w:line="229" w:lineRule="exact" w:before="24"/>
              <w:ind w:right="-15"/>
              <w:rPr>
                <w:i/>
                <w:sz w:val="20"/>
              </w:rPr>
            </w:pPr>
            <w:r>
              <w:rPr>
                <w:i/>
                <w:spacing w:val="-2"/>
                <w:sz w:val="20"/>
              </w:rPr>
              <w:t>Number</w:t>
            </w:r>
          </w:p>
        </w:tc>
      </w:tr>
      <w:tr>
        <w:trPr>
          <w:trHeight w:val="268" w:hRule="atLeast"/>
        </w:trPr>
        <w:tc>
          <w:tcPr>
            <w:tcW w:w="3547" w:type="dxa"/>
            <w:tcBorders>
              <w:top w:val="single" w:sz="4" w:space="0" w:color="000000"/>
              <w:bottom w:val="single" w:sz="4" w:space="0" w:color="000000"/>
            </w:tcBorders>
          </w:tcPr>
          <w:p>
            <w:pPr>
              <w:pStyle w:val="TableParagraph"/>
              <w:spacing w:line="229" w:lineRule="exact" w:before="19"/>
              <w:ind w:left="14"/>
              <w:jc w:val="left"/>
              <w:rPr>
                <w:i/>
                <w:sz w:val="20"/>
              </w:rPr>
            </w:pPr>
            <w:r>
              <w:rPr>
                <w:i/>
                <w:spacing w:val="-2"/>
                <w:sz w:val="20"/>
              </w:rPr>
              <w:t>Investigators</w:t>
            </w:r>
          </w:p>
        </w:tc>
        <w:tc>
          <w:tcPr>
            <w:tcW w:w="2720" w:type="dxa"/>
            <w:tcBorders>
              <w:top w:val="single" w:sz="4" w:space="0" w:color="000000"/>
              <w:bottom w:val="single" w:sz="4" w:space="0" w:color="000000"/>
            </w:tcBorders>
          </w:tcPr>
          <w:p>
            <w:pPr>
              <w:pStyle w:val="TableParagraph"/>
              <w:jc w:val="left"/>
              <w:rPr>
                <w:sz w:val="18"/>
              </w:rPr>
            </w:pPr>
          </w:p>
        </w:tc>
        <w:tc>
          <w:tcPr>
            <w:tcW w:w="1128" w:type="dxa"/>
            <w:tcBorders>
              <w:top w:val="single" w:sz="4" w:space="0" w:color="000000"/>
              <w:bottom w:val="single" w:sz="4" w:space="0" w:color="000000"/>
            </w:tcBorders>
          </w:tcPr>
          <w:p>
            <w:pPr>
              <w:pStyle w:val="TableParagraph"/>
              <w:jc w:val="left"/>
              <w:rPr>
                <w:sz w:val="18"/>
              </w:rPr>
            </w:pPr>
          </w:p>
        </w:tc>
      </w:tr>
      <w:tr>
        <w:trPr>
          <w:trHeight w:val="272" w:hRule="atLeast"/>
        </w:trPr>
        <w:tc>
          <w:tcPr>
            <w:tcW w:w="3547" w:type="dxa"/>
            <w:tcBorders>
              <w:top w:val="single" w:sz="4" w:space="0" w:color="000000"/>
            </w:tcBorders>
          </w:tcPr>
          <w:p>
            <w:pPr>
              <w:pStyle w:val="TableParagraph"/>
              <w:spacing w:before="19"/>
              <w:ind w:left="14"/>
              <w:jc w:val="left"/>
              <w:rPr>
                <w:sz w:val="20"/>
              </w:rPr>
            </w:pPr>
            <w:r>
              <w:rPr>
                <w:sz w:val="20"/>
              </w:rPr>
              <w:t>Team</w:t>
            </w:r>
            <w:r>
              <w:rPr>
                <w:spacing w:val="-2"/>
                <w:sz w:val="20"/>
              </w:rPr>
              <w:t> Leader</w:t>
            </w:r>
          </w:p>
        </w:tc>
        <w:tc>
          <w:tcPr>
            <w:tcW w:w="2720" w:type="dxa"/>
            <w:tcBorders>
              <w:top w:val="single" w:sz="4" w:space="0" w:color="000000"/>
            </w:tcBorders>
          </w:tcPr>
          <w:p>
            <w:pPr>
              <w:pStyle w:val="TableParagraph"/>
              <w:spacing w:before="19"/>
              <w:ind w:left="1653"/>
              <w:jc w:val="left"/>
              <w:rPr>
                <w:sz w:val="20"/>
              </w:rPr>
            </w:pPr>
            <w:r>
              <w:rPr>
                <w:spacing w:val="-2"/>
                <w:sz w:val="20"/>
              </w:rPr>
              <w:t>P-</w:t>
            </w:r>
            <w:r>
              <w:rPr>
                <w:spacing w:val="-10"/>
                <w:sz w:val="20"/>
              </w:rPr>
              <w:t>4</w:t>
            </w:r>
          </w:p>
        </w:tc>
        <w:tc>
          <w:tcPr>
            <w:tcW w:w="1128" w:type="dxa"/>
            <w:tcBorders>
              <w:top w:val="single" w:sz="4" w:space="0" w:color="000000"/>
            </w:tcBorders>
          </w:tcPr>
          <w:p>
            <w:pPr>
              <w:pStyle w:val="TableParagraph"/>
              <w:spacing w:before="19"/>
              <w:ind w:right="4"/>
              <w:rPr>
                <w:sz w:val="20"/>
              </w:rPr>
            </w:pPr>
            <w:r>
              <w:rPr>
                <w:w w:val="100"/>
                <w:sz w:val="20"/>
              </w:rPr>
              <w:t>1</w:t>
            </w:r>
          </w:p>
        </w:tc>
      </w:tr>
      <w:tr>
        <w:trPr>
          <w:trHeight w:val="271" w:hRule="atLeast"/>
        </w:trPr>
        <w:tc>
          <w:tcPr>
            <w:tcW w:w="3547" w:type="dxa"/>
          </w:tcPr>
          <w:p>
            <w:pPr>
              <w:pStyle w:val="TableParagraph"/>
              <w:spacing w:before="15"/>
              <w:ind w:left="14"/>
              <w:jc w:val="left"/>
              <w:rPr>
                <w:sz w:val="20"/>
              </w:rPr>
            </w:pPr>
            <w:r>
              <w:rPr>
                <w:sz w:val="20"/>
              </w:rPr>
              <w:t>Senior</w:t>
            </w:r>
            <w:r>
              <w:rPr>
                <w:spacing w:val="-5"/>
                <w:sz w:val="20"/>
              </w:rPr>
              <w:t> </w:t>
            </w:r>
            <w:r>
              <w:rPr>
                <w:spacing w:val="-2"/>
                <w:sz w:val="20"/>
              </w:rPr>
              <w:t>Investigator</w:t>
            </w:r>
          </w:p>
        </w:tc>
        <w:tc>
          <w:tcPr>
            <w:tcW w:w="2720" w:type="dxa"/>
          </w:tcPr>
          <w:p>
            <w:pPr>
              <w:pStyle w:val="TableParagraph"/>
              <w:spacing w:before="15"/>
              <w:ind w:left="1653"/>
              <w:jc w:val="left"/>
              <w:rPr>
                <w:sz w:val="20"/>
              </w:rPr>
            </w:pPr>
            <w:r>
              <w:rPr>
                <w:spacing w:val="-2"/>
                <w:sz w:val="20"/>
              </w:rPr>
              <w:t>P-</w:t>
            </w:r>
            <w:r>
              <w:rPr>
                <w:spacing w:val="-10"/>
                <w:sz w:val="20"/>
              </w:rPr>
              <w:t>4</w:t>
            </w:r>
          </w:p>
        </w:tc>
        <w:tc>
          <w:tcPr>
            <w:tcW w:w="1128" w:type="dxa"/>
          </w:tcPr>
          <w:p>
            <w:pPr>
              <w:pStyle w:val="TableParagraph"/>
              <w:spacing w:before="15"/>
              <w:ind w:right="4"/>
              <w:rPr>
                <w:sz w:val="20"/>
              </w:rPr>
            </w:pPr>
            <w:r>
              <w:rPr>
                <w:w w:val="100"/>
                <w:sz w:val="20"/>
              </w:rPr>
              <w:t>1</w:t>
            </w:r>
          </w:p>
        </w:tc>
      </w:tr>
      <w:tr>
        <w:trPr>
          <w:trHeight w:val="271" w:hRule="atLeast"/>
        </w:trPr>
        <w:tc>
          <w:tcPr>
            <w:tcW w:w="3547" w:type="dxa"/>
          </w:tcPr>
          <w:p>
            <w:pPr>
              <w:pStyle w:val="TableParagraph"/>
              <w:spacing w:before="18"/>
              <w:ind w:left="14"/>
              <w:jc w:val="left"/>
              <w:rPr>
                <w:sz w:val="20"/>
              </w:rPr>
            </w:pPr>
            <w:r>
              <w:rPr>
                <w:spacing w:val="-2"/>
                <w:sz w:val="20"/>
              </w:rPr>
              <w:t>Investigator</w:t>
            </w:r>
          </w:p>
        </w:tc>
        <w:tc>
          <w:tcPr>
            <w:tcW w:w="2720" w:type="dxa"/>
          </w:tcPr>
          <w:p>
            <w:pPr>
              <w:pStyle w:val="TableParagraph"/>
              <w:spacing w:before="18"/>
              <w:ind w:left="1653"/>
              <w:jc w:val="left"/>
              <w:rPr>
                <w:sz w:val="20"/>
              </w:rPr>
            </w:pPr>
            <w:r>
              <w:rPr>
                <w:spacing w:val="-2"/>
                <w:sz w:val="20"/>
              </w:rPr>
              <w:t>P-</w:t>
            </w:r>
            <w:r>
              <w:rPr>
                <w:spacing w:val="-10"/>
                <w:sz w:val="20"/>
              </w:rPr>
              <w:t>3</w:t>
            </w:r>
          </w:p>
        </w:tc>
        <w:tc>
          <w:tcPr>
            <w:tcW w:w="1128" w:type="dxa"/>
          </w:tcPr>
          <w:p>
            <w:pPr>
              <w:pStyle w:val="TableParagraph"/>
              <w:spacing w:before="18"/>
              <w:ind w:right="4"/>
              <w:rPr>
                <w:sz w:val="20"/>
              </w:rPr>
            </w:pPr>
            <w:r>
              <w:rPr>
                <w:w w:val="100"/>
                <w:sz w:val="20"/>
              </w:rPr>
              <w:t>5</w:t>
            </w:r>
          </w:p>
        </w:tc>
      </w:tr>
      <w:tr>
        <w:trPr>
          <w:trHeight w:val="264" w:hRule="atLeast"/>
        </w:trPr>
        <w:tc>
          <w:tcPr>
            <w:tcW w:w="3547" w:type="dxa"/>
            <w:tcBorders>
              <w:bottom w:val="single" w:sz="4" w:space="0" w:color="000000"/>
            </w:tcBorders>
          </w:tcPr>
          <w:p>
            <w:pPr>
              <w:pStyle w:val="TableParagraph"/>
              <w:spacing w:line="229" w:lineRule="exact" w:before="16"/>
              <w:ind w:left="14"/>
              <w:jc w:val="left"/>
              <w:rPr>
                <w:sz w:val="20"/>
              </w:rPr>
            </w:pPr>
            <w:r>
              <w:rPr>
                <w:sz w:val="20"/>
              </w:rPr>
              <w:t>Associate</w:t>
            </w:r>
            <w:r>
              <w:rPr>
                <w:spacing w:val="-7"/>
                <w:sz w:val="20"/>
              </w:rPr>
              <w:t> </w:t>
            </w:r>
            <w:r>
              <w:rPr>
                <w:spacing w:val="-2"/>
                <w:sz w:val="20"/>
              </w:rPr>
              <w:t>Investigator</w:t>
            </w:r>
          </w:p>
        </w:tc>
        <w:tc>
          <w:tcPr>
            <w:tcW w:w="2720" w:type="dxa"/>
            <w:tcBorders>
              <w:bottom w:val="single" w:sz="4" w:space="0" w:color="000000"/>
            </w:tcBorders>
          </w:tcPr>
          <w:p>
            <w:pPr>
              <w:pStyle w:val="TableParagraph"/>
              <w:spacing w:line="229" w:lineRule="exact" w:before="16"/>
              <w:ind w:left="1653"/>
              <w:jc w:val="left"/>
              <w:rPr>
                <w:sz w:val="20"/>
              </w:rPr>
            </w:pPr>
            <w:r>
              <w:rPr>
                <w:spacing w:val="-2"/>
                <w:sz w:val="20"/>
              </w:rPr>
              <w:t>P-</w:t>
            </w:r>
            <w:r>
              <w:rPr>
                <w:spacing w:val="-10"/>
                <w:sz w:val="20"/>
              </w:rPr>
              <w:t>2</w:t>
            </w:r>
          </w:p>
        </w:tc>
        <w:tc>
          <w:tcPr>
            <w:tcW w:w="1128" w:type="dxa"/>
            <w:tcBorders>
              <w:bottom w:val="single" w:sz="4" w:space="0" w:color="000000"/>
            </w:tcBorders>
          </w:tcPr>
          <w:p>
            <w:pPr>
              <w:pStyle w:val="TableParagraph"/>
              <w:spacing w:line="229" w:lineRule="exact" w:before="16"/>
              <w:ind w:right="4"/>
              <w:rPr>
                <w:sz w:val="20"/>
              </w:rPr>
            </w:pPr>
            <w:r>
              <w:rPr>
                <w:w w:val="100"/>
                <w:sz w:val="20"/>
              </w:rPr>
              <w:t>9</w:t>
            </w:r>
          </w:p>
        </w:tc>
      </w:tr>
      <w:tr>
        <w:trPr>
          <w:trHeight w:val="273" w:hRule="atLeast"/>
        </w:trPr>
        <w:tc>
          <w:tcPr>
            <w:tcW w:w="3547" w:type="dxa"/>
            <w:tcBorders>
              <w:top w:val="single" w:sz="4" w:space="0" w:color="000000"/>
              <w:bottom w:val="single" w:sz="4" w:space="0" w:color="000000"/>
            </w:tcBorders>
          </w:tcPr>
          <w:p>
            <w:pPr>
              <w:pStyle w:val="TableParagraph"/>
              <w:jc w:val="left"/>
              <w:rPr>
                <w:sz w:val="20"/>
              </w:rPr>
            </w:pPr>
          </w:p>
        </w:tc>
        <w:tc>
          <w:tcPr>
            <w:tcW w:w="2720" w:type="dxa"/>
            <w:tcBorders>
              <w:top w:val="single" w:sz="4" w:space="0" w:color="000000"/>
              <w:bottom w:val="single" w:sz="4" w:space="0" w:color="000000"/>
            </w:tcBorders>
          </w:tcPr>
          <w:p>
            <w:pPr>
              <w:pStyle w:val="TableParagraph"/>
              <w:jc w:val="left"/>
              <w:rPr>
                <w:sz w:val="20"/>
              </w:rPr>
            </w:pPr>
          </w:p>
        </w:tc>
        <w:tc>
          <w:tcPr>
            <w:tcW w:w="1128" w:type="dxa"/>
            <w:tcBorders>
              <w:top w:val="single" w:sz="4" w:space="0" w:color="000000"/>
              <w:bottom w:val="single" w:sz="4" w:space="0" w:color="000000"/>
            </w:tcBorders>
          </w:tcPr>
          <w:p>
            <w:pPr>
              <w:pStyle w:val="TableParagraph"/>
              <w:spacing w:before="19"/>
              <w:ind w:right="4"/>
              <w:rPr>
                <w:b/>
                <w:sz w:val="20"/>
              </w:rPr>
            </w:pPr>
            <w:r>
              <w:rPr>
                <w:b/>
                <w:spacing w:val="-5"/>
                <w:sz w:val="20"/>
              </w:rPr>
              <w:t>16</w:t>
            </w:r>
          </w:p>
        </w:tc>
      </w:tr>
      <w:tr>
        <w:trPr>
          <w:trHeight w:val="268" w:hRule="atLeast"/>
        </w:trPr>
        <w:tc>
          <w:tcPr>
            <w:tcW w:w="3547" w:type="dxa"/>
            <w:tcBorders>
              <w:top w:val="single" w:sz="4" w:space="0" w:color="000000"/>
              <w:bottom w:val="single" w:sz="4" w:space="0" w:color="000000"/>
            </w:tcBorders>
          </w:tcPr>
          <w:p>
            <w:pPr>
              <w:pStyle w:val="TableParagraph"/>
              <w:spacing w:line="229" w:lineRule="exact" w:before="19"/>
              <w:ind w:left="14"/>
              <w:jc w:val="left"/>
              <w:rPr>
                <w:i/>
                <w:sz w:val="20"/>
              </w:rPr>
            </w:pPr>
            <w:r>
              <w:rPr>
                <w:i/>
                <w:spacing w:val="-2"/>
                <w:sz w:val="20"/>
              </w:rPr>
              <w:t>Lawyers</w:t>
            </w:r>
          </w:p>
        </w:tc>
        <w:tc>
          <w:tcPr>
            <w:tcW w:w="2720" w:type="dxa"/>
            <w:tcBorders>
              <w:top w:val="single" w:sz="4" w:space="0" w:color="000000"/>
              <w:bottom w:val="single" w:sz="4" w:space="0" w:color="000000"/>
            </w:tcBorders>
          </w:tcPr>
          <w:p>
            <w:pPr>
              <w:pStyle w:val="TableParagraph"/>
              <w:jc w:val="left"/>
              <w:rPr>
                <w:sz w:val="18"/>
              </w:rPr>
            </w:pPr>
          </w:p>
        </w:tc>
        <w:tc>
          <w:tcPr>
            <w:tcW w:w="1128" w:type="dxa"/>
            <w:tcBorders>
              <w:top w:val="single" w:sz="4" w:space="0" w:color="000000"/>
              <w:bottom w:val="single" w:sz="4" w:space="0" w:color="000000"/>
            </w:tcBorders>
          </w:tcPr>
          <w:p>
            <w:pPr>
              <w:pStyle w:val="TableParagraph"/>
              <w:jc w:val="left"/>
              <w:rPr>
                <w:sz w:val="18"/>
              </w:rPr>
            </w:pPr>
          </w:p>
        </w:tc>
      </w:tr>
      <w:tr>
        <w:trPr>
          <w:trHeight w:val="272" w:hRule="atLeast"/>
        </w:trPr>
        <w:tc>
          <w:tcPr>
            <w:tcW w:w="3547" w:type="dxa"/>
            <w:tcBorders>
              <w:top w:val="single" w:sz="4" w:space="0" w:color="000000"/>
            </w:tcBorders>
          </w:tcPr>
          <w:p>
            <w:pPr>
              <w:pStyle w:val="TableParagraph"/>
              <w:spacing w:before="19"/>
              <w:ind w:left="14"/>
              <w:jc w:val="left"/>
              <w:rPr>
                <w:sz w:val="20"/>
              </w:rPr>
            </w:pPr>
            <w:r>
              <w:rPr>
                <w:sz w:val="20"/>
              </w:rPr>
              <w:t>Senior</w:t>
            </w:r>
            <w:r>
              <w:rPr>
                <w:spacing w:val="-6"/>
                <w:sz w:val="20"/>
              </w:rPr>
              <w:t> </w:t>
            </w:r>
            <w:r>
              <w:rPr>
                <w:sz w:val="20"/>
              </w:rPr>
              <w:t>Trial</w:t>
            </w:r>
            <w:r>
              <w:rPr>
                <w:spacing w:val="-4"/>
                <w:sz w:val="20"/>
              </w:rPr>
              <w:t> </w:t>
            </w:r>
            <w:r>
              <w:rPr>
                <w:spacing w:val="-2"/>
                <w:sz w:val="20"/>
              </w:rPr>
              <w:t>Lawyer</w:t>
            </w:r>
          </w:p>
        </w:tc>
        <w:tc>
          <w:tcPr>
            <w:tcW w:w="2720" w:type="dxa"/>
            <w:tcBorders>
              <w:top w:val="single" w:sz="4" w:space="0" w:color="000000"/>
            </w:tcBorders>
          </w:tcPr>
          <w:p>
            <w:pPr>
              <w:pStyle w:val="TableParagraph"/>
              <w:spacing w:before="19"/>
              <w:ind w:left="1653"/>
              <w:jc w:val="left"/>
              <w:rPr>
                <w:sz w:val="20"/>
              </w:rPr>
            </w:pPr>
            <w:r>
              <w:rPr>
                <w:spacing w:val="-2"/>
                <w:sz w:val="20"/>
              </w:rPr>
              <w:t>P-</w:t>
            </w:r>
            <w:r>
              <w:rPr>
                <w:spacing w:val="-10"/>
                <w:sz w:val="20"/>
              </w:rPr>
              <w:t>5</w:t>
            </w:r>
          </w:p>
        </w:tc>
        <w:tc>
          <w:tcPr>
            <w:tcW w:w="1128" w:type="dxa"/>
            <w:tcBorders>
              <w:top w:val="single" w:sz="4" w:space="0" w:color="000000"/>
            </w:tcBorders>
          </w:tcPr>
          <w:p>
            <w:pPr>
              <w:pStyle w:val="TableParagraph"/>
              <w:spacing w:before="19"/>
              <w:ind w:right="4"/>
              <w:rPr>
                <w:sz w:val="20"/>
              </w:rPr>
            </w:pPr>
            <w:r>
              <w:rPr>
                <w:w w:val="100"/>
                <w:sz w:val="20"/>
              </w:rPr>
              <w:t>5</w:t>
            </w:r>
          </w:p>
        </w:tc>
      </w:tr>
      <w:tr>
        <w:trPr>
          <w:trHeight w:val="268" w:hRule="atLeast"/>
        </w:trPr>
        <w:tc>
          <w:tcPr>
            <w:tcW w:w="3547" w:type="dxa"/>
          </w:tcPr>
          <w:p>
            <w:pPr>
              <w:pStyle w:val="TableParagraph"/>
              <w:spacing w:before="15"/>
              <w:ind w:left="14"/>
              <w:jc w:val="left"/>
              <w:rPr>
                <w:sz w:val="20"/>
              </w:rPr>
            </w:pPr>
            <w:r>
              <w:rPr>
                <w:sz w:val="20"/>
              </w:rPr>
              <w:t>Trial</w:t>
            </w:r>
            <w:r>
              <w:rPr>
                <w:spacing w:val="-5"/>
                <w:sz w:val="20"/>
              </w:rPr>
              <w:t> </w:t>
            </w:r>
            <w:r>
              <w:rPr>
                <w:spacing w:val="-2"/>
                <w:sz w:val="20"/>
              </w:rPr>
              <w:t>Lawyer</w:t>
            </w:r>
          </w:p>
        </w:tc>
        <w:tc>
          <w:tcPr>
            <w:tcW w:w="2720" w:type="dxa"/>
          </w:tcPr>
          <w:p>
            <w:pPr>
              <w:pStyle w:val="TableParagraph"/>
              <w:spacing w:before="15"/>
              <w:ind w:left="1653"/>
              <w:jc w:val="left"/>
              <w:rPr>
                <w:sz w:val="20"/>
              </w:rPr>
            </w:pPr>
            <w:r>
              <w:rPr>
                <w:spacing w:val="-2"/>
                <w:sz w:val="20"/>
              </w:rPr>
              <w:t>P-</w:t>
            </w:r>
            <w:r>
              <w:rPr>
                <w:spacing w:val="-10"/>
                <w:sz w:val="20"/>
              </w:rPr>
              <w:t>4</w:t>
            </w:r>
          </w:p>
        </w:tc>
        <w:tc>
          <w:tcPr>
            <w:tcW w:w="1128" w:type="dxa"/>
          </w:tcPr>
          <w:p>
            <w:pPr>
              <w:pStyle w:val="TableParagraph"/>
              <w:spacing w:before="15"/>
              <w:ind w:right="4"/>
              <w:rPr>
                <w:sz w:val="20"/>
              </w:rPr>
            </w:pPr>
            <w:r>
              <w:rPr>
                <w:w w:val="100"/>
                <w:sz w:val="20"/>
              </w:rPr>
              <w:t>6</w:t>
            </w:r>
          </w:p>
        </w:tc>
      </w:tr>
      <w:tr>
        <w:trPr>
          <w:trHeight w:val="271" w:hRule="atLeast"/>
        </w:trPr>
        <w:tc>
          <w:tcPr>
            <w:tcW w:w="3547" w:type="dxa"/>
          </w:tcPr>
          <w:p>
            <w:pPr>
              <w:pStyle w:val="TableParagraph"/>
              <w:spacing w:before="15"/>
              <w:ind w:left="14"/>
              <w:jc w:val="left"/>
              <w:rPr>
                <w:sz w:val="20"/>
              </w:rPr>
            </w:pPr>
            <w:r>
              <w:rPr>
                <w:sz w:val="20"/>
              </w:rPr>
              <w:t>Trial</w:t>
            </w:r>
            <w:r>
              <w:rPr>
                <w:spacing w:val="-5"/>
                <w:sz w:val="20"/>
              </w:rPr>
              <w:t> </w:t>
            </w:r>
            <w:r>
              <w:rPr>
                <w:spacing w:val="-2"/>
                <w:sz w:val="20"/>
              </w:rPr>
              <w:t>Lawyer</w:t>
            </w:r>
          </w:p>
        </w:tc>
        <w:tc>
          <w:tcPr>
            <w:tcW w:w="2720" w:type="dxa"/>
          </w:tcPr>
          <w:p>
            <w:pPr>
              <w:pStyle w:val="TableParagraph"/>
              <w:spacing w:before="15"/>
              <w:ind w:left="1653"/>
              <w:jc w:val="left"/>
              <w:rPr>
                <w:sz w:val="20"/>
              </w:rPr>
            </w:pPr>
            <w:r>
              <w:rPr>
                <w:spacing w:val="-2"/>
                <w:sz w:val="20"/>
              </w:rPr>
              <w:t>P-</w:t>
            </w:r>
            <w:r>
              <w:rPr>
                <w:spacing w:val="-10"/>
                <w:sz w:val="20"/>
              </w:rPr>
              <w:t>3</w:t>
            </w:r>
          </w:p>
        </w:tc>
        <w:tc>
          <w:tcPr>
            <w:tcW w:w="1128" w:type="dxa"/>
          </w:tcPr>
          <w:p>
            <w:pPr>
              <w:pStyle w:val="TableParagraph"/>
              <w:spacing w:before="15"/>
              <w:ind w:right="4"/>
              <w:rPr>
                <w:sz w:val="20"/>
              </w:rPr>
            </w:pPr>
            <w:r>
              <w:rPr>
                <w:w w:val="100"/>
                <w:sz w:val="20"/>
              </w:rPr>
              <w:t>7</w:t>
            </w:r>
          </w:p>
        </w:tc>
      </w:tr>
      <w:tr>
        <w:trPr>
          <w:trHeight w:val="271" w:hRule="atLeast"/>
        </w:trPr>
        <w:tc>
          <w:tcPr>
            <w:tcW w:w="3547" w:type="dxa"/>
          </w:tcPr>
          <w:p>
            <w:pPr>
              <w:pStyle w:val="TableParagraph"/>
              <w:spacing w:before="18"/>
              <w:ind w:left="14"/>
              <w:jc w:val="left"/>
              <w:rPr>
                <w:sz w:val="20"/>
              </w:rPr>
            </w:pPr>
            <w:r>
              <w:rPr>
                <w:sz w:val="20"/>
              </w:rPr>
              <w:t>Associate</w:t>
            </w:r>
            <w:r>
              <w:rPr>
                <w:spacing w:val="-7"/>
                <w:sz w:val="20"/>
              </w:rPr>
              <w:t> </w:t>
            </w:r>
            <w:r>
              <w:rPr>
                <w:sz w:val="20"/>
              </w:rPr>
              <w:t>Trial</w:t>
            </w:r>
            <w:r>
              <w:rPr>
                <w:spacing w:val="-7"/>
                <w:sz w:val="20"/>
              </w:rPr>
              <w:t> </w:t>
            </w:r>
            <w:r>
              <w:rPr>
                <w:spacing w:val="-2"/>
                <w:sz w:val="20"/>
              </w:rPr>
              <w:t>Lawyer</w:t>
            </w:r>
          </w:p>
        </w:tc>
        <w:tc>
          <w:tcPr>
            <w:tcW w:w="2720" w:type="dxa"/>
          </w:tcPr>
          <w:p>
            <w:pPr>
              <w:pStyle w:val="TableParagraph"/>
              <w:spacing w:before="18"/>
              <w:ind w:left="1653"/>
              <w:jc w:val="left"/>
              <w:rPr>
                <w:sz w:val="20"/>
              </w:rPr>
            </w:pPr>
            <w:r>
              <w:rPr>
                <w:spacing w:val="-2"/>
                <w:sz w:val="20"/>
              </w:rPr>
              <w:t>P-</w:t>
            </w:r>
            <w:r>
              <w:rPr>
                <w:spacing w:val="-10"/>
                <w:sz w:val="20"/>
              </w:rPr>
              <w:t>2</w:t>
            </w:r>
          </w:p>
        </w:tc>
        <w:tc>
          <w:tcPr>
            <w:tcW w:w="1128" w:type="dxa"/>
          </w:tcPr>
          <w:p>
            <w:pPr>
              <w:pStyle w:val="TableParagraph"/>
              <w:spacing w:before="18"/>
              <w:ind w:right="4"/>
              <w:rPr>
                <w:sz w:val="20"/>
              </w:rPr>
            </w:pPr>
            <w:r>
              <w:rPr>
                <w:spacing w:val="-5"/>
                <w:sz w:val="20"/>
              </w:rPr>
              <w:t>12</w:t>
            </w:r>
          </w:p>
        </w:tc>
      </w:tr>
      <w:tr>
        <w:trPr>
          <w:trHeight w:val="268" w:hRule="atLeast"/>
        </w:trPr>
        <w:tc>
          <w:tcPr>
            <w:tcW w:w="3547" w:type="dxa"/>
          </w:tcPr>
          <w:p>
            <w:pPr>
              <w:pStyle w:val="TableParagraph"/>
              <w:spacing w:before="15"/>
              <w:ind w:left="14"/>
              <w:jc w:val="left"/>
              <w:rPr>
                <w:sz w:val="20"/>
              </w:rPr>
            </w:pPr>
            <w:r>
              <w:rPr>
                <w:sz w:val="20"/>
              </w:rPr>
              <w:t>Assistant</w:t>
            </w:r>
            <w:r>
              <w:rPr>
                <w:spacing w:val="-7"/>
                <w:sz w:val="20"/>
              </w:rPr>
              <w:t> </w:t>
            </w:r>
            <w:r>
              <w:rPr>
                <w:sz w:val="20"/>
              </w:rPr>
              <w:t>Legal</w:t>
            </w:r>
            <w:r>
              <w:rPr>
                <w:spacing w:val="-7"/>
                <w:sz w:val="20"/>
              </w:rPr>
              <w:t> </w:t>
            </w:r>
            <w:r>
              <w:rPr>
                <w:spacing w:val="-2"/>
                <w:sz w:val="20"/>
              </w:rPr>
              <w:t>Officer</w:t>
            </w:r>
          </w:p>
        </w:tc>
        <w:tc>
          <w:tcPr>
            <w:tcW w:w="2720" w:type="dxa"/>
          </w:tcPr>
          <w:p>
            <w:pPr>
              <w:pStyle w:val="TableParagraph"/>
              <w:spacing w:before="15"/>
              <w:ind w:left="1653"/>
              <w:jc w:val="left"/>
              <w:rPr>
                <w:sz w:val="20"/>
              </w:rPr>
            </w:pPr>
            <w:r>
              <w:rPr>
                <w:spacing w:val="-2"/>
                <w:sz w:val="20"/>
              </w:rPr>
              <w:t>P-</w:t>
            </w:r>
            <w:r>
              <w:rPr>
                <w:spacing w:val="-10"/>
                <w:sz w:val="20"/>
              </w:rPr>
              <w:t>1</w:t>
            </w:r>
          </w:p>
        </w:tc>
        <w:tc>
          <w:tcPr>
            <w:tcW w:w="1128" w:type="dxa"/>
          </w:tcPr>
          <w:p>
            <w:pPr>
              <w:pStyle w:val="TableParagraph"/>
              <w:spacing w:before="15"/>
              <w:ind w:right="4"/>
              <w:rPr>
                <w:sz w:val="20"/>
              </w:rPr>
            </w:pPr>
            <w:r>
              <w:rPr>
                <w:w w:val="100"/>
                <w:sz w:val="20"/>
              </w:rPr>
              <w:t>6</w:t>
            </w:r>
          </w:p>
        </w:tc>
      </w:tr>
      <w:tr>
        <w:trPr>
          <w:trHeight w:val="268" w:hRule="atLeast"/>
        </w:trPr>
        <w:tc>
          <w:tcPr>
            <w:tcW w:w="3547" w:type="dxa"/>
          </w:tcPr>
          <w:p>
            <w:pPr>
              <w:pStyle w:val="TableParagraph"/>
              <w:spacing w:before="15"/>
              <w:ind w:left="14"/>
              <w:jc w:val="left"/>
              <w:rPr>
                <w:sz w:val="20"/>
              </w:rPr>
            </w:pPr>
            <w:r>
              <w:rPr>
                <w:sz w:val="20"/>
              </w:rPr>
              <w:t>Case</w:t>
            </w:r>
            <w:r>
              <w:rPr>
                <w:spacing w:val="-4"/>
                <w:sz w:val="20"/>
              </w:rPr>
              <w:t> </w:t>
            </w:r>
            <w:r>
              <w:rPr>
                <w:spacing w:val="-2"/>
                <w:sz w:val="20"/>
              </w:rPr>
              <w:t>Manager</w:t>
            </w:r>
          </w:p>
        </w:tc>
        <w:tc>
          <w:tcPr>
            <w:tcW w:w="2720" w:type="dxa"/>
          </w:tcPr>
          <w:p>
            <w:pPr>
              <w:pStyle w:val="TableParagraph"/>
              <w:spacing w:before="15"/>
              <w:ind w:left="1653"/>
              <w:jc w:val="left"/>
              <w:rPr>
                <w:sz w:val="20"/>
              </w:rPr>
            </w:pPr>
            <w:r>
              <w:rPr>
                <w:spacing w:val="-2"/>
                <w:sz w:val="20"/>
              </w:rPr>
              <w:t>P-</w:t>
            </w:r>
            <w:r>
              <w:rPr>
                <w:spacing w:val="-10"/>
                <w:sz w:val="20"/>
              </w:rPr>
              <w:t>1</w:t>
            </w:r>
          </w:p>
        </w:tc>
        <w:tc>
          <w:tcPr>
            <w:tcW w:w="1128" w:type="dxa"/>
          </w:tcPr>
          <w:p>
            <w:pPr>
              <w:pStyle w:val="TableParagraph"/>
              <w:spacing w:before="15"/>
              <w:ind w:right="4"/>
              <w:rPr>
                <w:sz w:val="20"/>
              </w:rPr>
            </w:pPr>
            <w:r>
              <w:rPr>
                <w:w w:val="100"/>
                <w:sz w:val="20"/>
              </w:rPr>
              <w:t>3</w:t>
            </w:r>
          </w:p>
        </w:tc>
      </w:tr>
      <w:tr>
        <w:trPr>
          <w:trHeight w:val="269" w:hRule="atLeast"/>
        </w:trPr>
        <w:tc>
          <w:tcPr>
            <w:tcW w:w="3547" w:type="dxa"/>
            <w:tcBorders>
              <w:bottom w:val="single" w:sz="4" w:space="0" w:color="000000"/>
            </w:tcBorders>
          </w:tcPr>
          <w:p>
            <w:pPr>
              <w:pStyle w:val="TableParagraph"/>
              <w:spacing w:before="15"/>
              <w:ind w:left="14"/>
              <w:jc w:val="left"/>
              <w:rPr>
                <w:sz w:val="20"/>
              </w:rPr>
            </w:pPr>
            <w:r>
              <w:rPr>
                <w:sz w:val="20"/>
              </w:rPr>
              <w:t>Trial</w:t>
            </w:r>
            <w:r>
              <w:rPr>
                <w:spacing w:val="-6"/>
                <w:sz w:val="20"/>
              </w:rPr>
              <w:t> </w:t>
            </w:r>
            <w:r>
              <w:rPr>
                <w:sz w:val="20"/>
              </w:rPr>
              <w:t>Support </w:t>
            </w:r>
            <w:r>
              <w:rPr>
                <w:spacing w:val="-2"/>
                <w:sz w:val="20"/>
              </w:rPr>
              <w:t>Assistant</w:t>
            </w:r>
          </w:p>
        </w:tc>
        <w:tc>
          <w:tcPr>
            <w:tcW w:w="2720" w:type="dxa"/>
            <w:tcBorders>
              <w:bottom w:val="single" w:sz="4" w:space="0" w:color="000000"/>
            </w:tcBorders>
          </w:tcPr>
          <w:p>
            <w:pPr>
              <w:pStyle w:val="TableParagraph"/>
              <w:spacing w:before="15"/>
              <w:ind w:left="1653"/>
              <w:jc w:val="left"/>
              <w:rPr>
                <w:sz w:val="20"/>
              </w:rPr>
            </w:pPr>
            <w:r>
              <w:rPr>
                <w:spacing w:val="-2"/>
                <w:sz w:val="20"/>
              </w:rPr>
              <w:t>GS-</w:t>
            </w:r>
            <w:r>
              <w:rPr>
                <w:spacing w:val="-7"/>
                <w:sz w:val="20"/>
              </w:rPr>
              <w:t>OL</w:t>
            </w:r>
          </w:p>
        </w:tc>
        <w:tc>
          <w:tcPr>
            <w:tcW w:w="1128" w:type="dxa"/>
            <w:tcBorders>
              <w:bottom w:val="single" w:sz="4" w:space="0" w:color="000000"/>
            </w:tcBorders>
          </w:tcPr>
          <w:p>
            <w:pPr>
              <w:pStyle w:val="TableParagraph"/>
              <w:spacing w:before="15"/>
              <w:ind w:right="4"/>
              <w:rPr>
                <w:sz w:val="20"/>
              </w:rPr>
            </w:pPr>
            <w:r>
              <w:rPr>
                <w:w w:val="100"/>
                <w:sz w:val="20"/>
              </w:rPr>
              <w:t>2</w:t>
            </w:r>
          </w:p>
        </w:tc>
      </w:tr>
      <w:tr>
        <w:trPr>
          <w:trHeight w:val="268" w:hRule="atLeast"/>
        </w:trPr>
        <w:tc>
          <w:tcPr>
            <w:tcW w:w="3547" w:type="dxa"/>
            <w:tcBorders>
              <w:top w:val="single" w:sz="4" w:space="0" w:color="000000"/>
              <w:bottom w:val="single" w:sz="4" w:space="0" w:color="000000"/>
            </w:tcBorders>
          </w:tcPr>
          <w:p>
            <w:pPr>
              <w:pStyle w:val="TableParagraph"/>
              <w:jc w:val="left"/>
              <w:rPr>
                <w:sz w:val="18"/>
              </w:rPr>
            </w:pPr>
          </w:p>
        </w:tc>
        <w:tc>
          <w:tcPr>
            <w:tcW w:w="2720" w:type="dxa"/>
            <w:tcBorders>
              <w:top w:val="single" w:sz="4" w:space="0" w:color="000000"/>
              <w:bottom w:val="single" w:sz="4" w:space="0" w:color="000000"/>
            </w:tcBorders>
          </w:tcPr>
          <w:p>
            <w:pPr>
              <w:pStyle w:val="TableParagraph"/>
              <w:jc w:val="left"/>
              <w:rPr>
                <w:sz w:val="18"/>
              </w:rPr>
            </w:pPr>
          </w:p>
        </w:tc>
        <w:tc>
          <w:tcPr>
            <w:tcW w:w="1128" w:type="dxa"/>
            <w:tcBorders>
              <w:top w:val="single" w:sz="4" w:space="0" w:color="000000"/>
              <w:bottom w:val="single" w:sz="4" w:space="0" w:color="000000"/>
            </w:tcBorders>
          </w:tcPr>
          <w:p>
            <w:pPr>
              <w:pStyle w:val="TableParagraph"/>
              <w:spacing w:line="229" w:lineRule="exact" w:before="19"/>
              <w:ind w:right="4"/>
              <w:rPr>
                <w:b/>
                <w:sz w:val="20"/>
              </w:rPr>
            </w:pPr>
            <w:r>
              <w:rPr>
                <w:b/>
                <w:spacing w:val="-5"/>
                <w:sz w:val="20"/>
              </w:rPr>
              <w:t>41</w:t>
            </w:r>
          </w:p>
        </w:tc>
      </w:tr>
      <w:tr>
        <w:trPr>
          <w:trHeight w:val="268" w:hRule="atLeast"/>
        </w:trPr>
        <w:tc>
          <w:tcPr>
            <w:tcW w:w="3547" w:type="dxa"/>
            <w:tcBorders>
              <w:top w:val="single" w:sz="4" w:space="0" w:color="000000"/>
              <w:bottom w:val="single" w:sz="4" w:space="0" w:color="000000"/>
            </w:tcBorders>
          </w:tcPr>
          <w:p>
            <w:pPr>
              <w:pStyle w:val="TableParagraph"/>
              <w:spacing w:line="229" w:lineRule="exact" w:before="19"/>
              <w:ind w:left="14"/>
              <w:jc w:val="left"/>
              <w:rPr>
                <w:b/>
                <w:sz w:val="20"/>
              </w:rPr>
            </w:pPr>
            <w:r>
              <w:rPr>
                <w:b/>
                <w:spacing w:val="-2"/>
                <w:sz w:val="20"/>
              </w:rPr>
              <w:t>Total</w:t>
            </w:r>
          </w:p>
        </w:tc>
        <w:tc>
          <w:tcPr>
            <w:tcW w:w="2720" w:type="dxa"/>
            <w:tcBorders>
              <w:top w:val="single" w:sz="4" w:space="0" w:color="000000"/>
              <w:bottom w:val="single" w:sz="4" w:space="0" w:color="000000"/>
            </w:tcBorders>
          </w:tcPr>
          <w:p>
            <w:pPr>
              <w:pStyle w:val="TableParagraph"/>
              <w:jc w:val="left"/>
              <w:rPr>
                <w:sz w:val="18"/>
              </w:rPr>
            </w:pPr>
          </w:p>
        </w:tc>
        <w:tc>
          <w:tcPr>
            <w:tcW w:w="1128" w:type="dxa"/>
            <w:tcBorders>
              <w:top w:val="single" w:sz="4" w:space="0" w:color="000000"/>
              <w:bottom w:val="single" w:sz="4" w:space="0" w:color="000000"/>
            </w:tcBorders>
          </w:tcPr>
          <w:p>
            <w:pPr>
              <w:pStyle w:val="TableParagraph"/>
              <w:spacing w:line="229" w:lineRule="exact" w:before="19"/>
              <w:ind w:right="4"/>
              <w:rPr>
                <w:b/>
                <w:sz w:val="20"/>
              </w:rPr>
            </w:pPr>
            <w:r>
              <w:rPr>
                <w:b/>
                <w:spacing w:val="-5"/>
                <w:sz w:val="20"/>
              </w:rPr>
              <w:t>79</w:t>
            </w:r>
          </w:p>
        </w:tc>
      </w:tr>
    </w:tbl>
    <w:p>
      <w:pPr>
        <w:pStyle w:val="ListParagraph"/>
        <w:numPr>
          <w:ilvl w:val="0"/>
          <w:numId w:val="4"/>
        </w:numPr>
        <w:tabs>
          <w:tab w:pos="2967" w:val="left" w:leader="none"/>
        </w:tabs>
        <w:spacing w:line="240" w:lineRule="auto" w:before="129" w:after="0"/>
        <w:ind w:left="2246" w:right="2242" w:firstLine="0"/>
        <w:jc w:val="both"/>
        <w:rPr>
          <w:sz w:val="20"/>
        </w:rPr>
      </w:pPr>
      <w:r>
        <w:rPr>
          <w:sz w:val="20"/>
        </w:rPr>
        <w:t>At the time of the submission of 2022 budget proposal, the</w:t>
      </w:r>
      <w:r>
        <w:rPr>
          <w:spacing w:val="-1"/>
          <w:sz w:val="20"/>
        </w:rPr>
        <w:t> </w:t>
      </w:r>
      <w:r>
        <w:rPr>
          <w:sz w:val="20"/>
        </w:rPr>
        <w:t>Prosecutor had been at the helm of the Office for about one month. While the vision of the Prosecutor was duly reflected in the pillar-based reorganization of the Office, the refinement of some structural and operational details were necessarily left to a thorough evaluation to be performed</w:t>
      </w:r>
      <w:r>
        <w:rPr>
          <w:spacing w:val="40"/>
          <w:sz w:val="20"/>
        </w:rPr>
        <w:t> </w:t>
      </w:r>
      <w:r>
        <w:rPr>
          <w:sz w:val="20"/>
        </w:rPr>
        <w:t>during</w:t>
      </w:r>
      <w:r>
        <w:rPr>
          <w:spacing w:val="-4"/>
          <w:sz w:val="20"/>
        </w:rPr>
        <w:t> </w:t>
      </w:r>
      <w:r>
        <w:rPr>
          <w:sz w:val="20"/>
        </w:rPr>
        <w:t>2022. For instance, in the 2022 proposal the two Deputy Prosecutors’ pillars were presented as one programme since the decision on the split of situations and cases to be allocated to each deputy Prosecutor had not yet been finalised.</w:t>
      </w:r>
    </w:p>
    <w:p>
      <w:pPr>
        <w:pStyle w:val="ListParagraph"/>
        <w:numPr>
          <w:ilvl w:val="0"/>
          <w:numId w:val="4"/>
        </w:numPr>
        <w:tabs>
          <w:tab w:pos="2967" w:val="left" w:leader="none"/>
        </w:tabs>
        <w:spacing w:line="240" w:lineRule="auto" w:before="123" w:after="0"/>
        <w:ind w:left="2246" w:right="2238" w:firstLine="0"/>
        <w:jc w:val="both"/>
        <w:rPr>
          <w:sz w:val="20"/>
        </w:rPr>
      </w:pPr>
      <w:r>
        <w:rPr>
          <w:sz w:val="20"/>
        </w:rPr>
        <w:t>Benefitting</w:t>
      </w:r>
      <w:r>
        <w:rPr>
          <w:spacing w:val="-10"/>
          <w:sz w:val="20"/>
        </w:rPr>
        <w:t> </w:t>
      </w:r>
      <w:r>
        <w:rPr>
          <w:sz w:val="20"/>
        </w:rPr>
        <w:t>from</w:t>
      </w:r>
      <w:r>
        <w:rPr>
          <w:spacing w:val="-9"/>
          <w:sz w:val="20"/>
        </w:rPr>
        <w:t> </w:t>
      </w:r>
      <w:r>
        <w:rPr>
          <w:sz w:val="20"/>
        </w:rPr>
        <w:t>the</w:t>
      </w:r>
      <w:r>
        <w:rPr>
          <w:spacing w:val="-9"/>
          <w:sz w:val="20"/>
        </w:rPr>
        <w:t> </w:t>
      </w:r>
      <w:r>
        <w:rPr>
          <w:sz w:val="20"/>
        </w:rPr>
        <w:t>assessment</w:t>
      </w:r>
      <w:r>
        <w:rPr>
          <w:spacing w:val="-9"/>
          <w:sz w:val="20"/>
        </w:rPr>
        <w:t> </w:t>
      </w:r>
      <w:r>
        <w:rPr>
          <w:sz w:val="20"/>
        </w:rPr>
        <w:t>done</w:t>
      </w:r>
      <w:r>
        <w:rPr>
          <w:spacing w:val="-9"/>
          <w:sz w:val="20"/>
        </w:rPr>
        <w:t> </w:t>
      </w:r>
      <w:r>
        <w:rPr>
          <w:sz w:val="20"/>
        </w:rPr>
        <w:t>in</w:t>
      </w:r>
      <w:r>
        <w:rPr>
          <w:spacing w:val="-10"/>
          <w:sz w:val="20"/>
        </w:rPr>
        <w:t> </w:t>
      </w:r>
      <w:r>
        <w:rPr>
          <w:sz w:val="20"/>
        </w:rPr>
        <w:t>2022,</w:t>
      </w:r>
      <w:r>
        <w:rPr>
          <w:spacing w:val="-8"/>
          <w:sz w:val="20"/>
        </w:rPr>
        <w:t> </w:t>
      </w:r>
      <w:r>
        <w:rPr>
          <w:sz w:val="20"/>
        </w:rPr>
        <w:t>the</w:t>
      </w:r>
      <w:r>
        <w:rPr>
          <w:spacing w:val="-9"/>
          <w:sz w:val="20"/>
        </w:rPr>
        <w:t> </w:t>
      </w:r>
      <w:r>
        <w:rPr>
          <w:sz w:val="20"/>
        </w:rPr>
        <w:t>needs</w:t>
      </w:r>
      <w:r>
        <w:rPr>
          <w:spacing w:val="-12"/>
          <w:sz w:val="20"/>
        </w:rPr>
        <w:t> </w:t>
      </w:r>
      <w:r>
        <w:rPr>
          <w:sz w:val="20"/>
        </w:rPr>
        <w:t>of</w:t>
      </w:r>
      <w:r>
        <w:rPr>
          <w:spacing w:val="-10"/>
          <w:sz w:val="20"/>
        </w:rPr>
        <w:t> </w:t>
      </w:r>
      <w:r>
        <w:rPr>
          <w:sz w:val="20"/>
        </w:rPr>
        <w:t>the</w:t>
      </w:r>
      <w:r>
        <w:rPr>
          <w:spacing w:val="-9"/>
          <w:sz w:val="20"/>
        </w:rPr>
        <w:t> </w:t>
      </w:r>
      <w:r>
        <w:rPr>
          <w:sz w:val="20"/>
        </w:rPr>
        <w:t>different</w:t>
      </w:r>
      <w:r>
        <w:rPr>
          <w:spacing w:val="-9"/>
          <w:sz w:val="20"/>
        </w:rPr>
        <w:t> </w:t>
      </w:r>
      <w:r>
        <w:rPr>
          <w:sz w:val="20"/>
        </w:rPr>
        <w:t>pillars</w:t>
      </w:r>
      <w:r>
        <w:rPr>
          <w:spacing w:val="-12"/>
          <w:sz w:val="20"/>
        </w:rPr>
        <w:t> </w:t>
      </w:r>
      <w:r>
        <w:rPr>
          <w:sz w:val="20"/>
        </w:rPr>
        <w:t>have been further detailed. The 2023 budget proposal reflects this evaluation. The increased workload in the Integrated Services Division (Programme 2800) made the redeployment of the Special Assistant to the Director of Prosecution (P-3) from the ISD to the Deputy Prosecutor</w:t>
      </w:r>
      <w:r>
        <w:rPr>
          <w:spacing w:val="-5"/>
          <w:sz w:val="20"/>
        </w:rPr>
        <w:t> </w:t>
      </w:r>
      <w:r>
        <w:rPr>
          <w:sz w:val="20"/>
        </w:rPr>
        <w:t>pillar</w:t>
      </w:r>
      <w:r>
        <w:rPr>
          <w:spacing w:val="-5"/>
          <w:sz w:val="20"/>
        </w:rPr>
        <w:t> </w:t>
      </w:r>
      <w:r>
        <w:rPr>
          <w:sz w:val="20"/>
        </w:rPr>
        <w:t>not</w:t>
      </w:r>
      <w:r>
        <w:rPr>
          <w:spacing w:val="-3"/>
          <w:sz w:val="20"/>
        </w:rPr>
        <w:t> </w:t>
      </w:r>
      <w:r>
        <w:rPr>
          <w:sz w:val="20"/>
        </w:rPr>
        <w:t>feasible.</w:t>
      </w:r>
      <w:r>
        <w:rPr>
          <w:spacing w:val="-2"/>
          <w:sz w:val="20"/>
        </w:rPr>
        <w:t> </w:t>
      </w:r>
      <w:r>
        <w:rPr>
          <w:sz w:val="20"/>
        </w:rPr>
        <w:t>Nevertheless,</w:t>
      </w:r>
      <w:r>
        <w:rPr>
          <w:spacing w:val="-7"/>
          <w:sz w:val="20"/>
        </w:rPr>
        <w:t> </w:t>
      </w:r>
      <w:r>
        <w:rPr>
          <w:sz w:val="20"/>
        </w:rPr>
        <w:t>the</w:t>
      </w:r>
      <w:r>
        <w:rPr>
          <w:spacing w:val="-3"/>
          <w:sz w:val="20"/>
        </w:rPr>
        <w:t> </w:t>
      </w:r>
      <w:r>
        <w:rPr>
          <w:sz w:val="20"/>
        </w:rPr>
        <w:t>Deputy</w:t>
      </w:r>
      <w:r>
        <w:rPr>
          <w:spacing w:val="-5"/>
          <w:sz w:val="20"/>
        </w:rPr>
        <w:t> </w:t>
      </w:r>
      <w:r>
        <w:rPr>
          <w:sz w:val="20"/>
        </w:rPr>
        <w:t>Prosecutor</w:t>
      </w:r>
      <w:r>
        <w:rPr>
          <w:spacing w:val="-9"/>
          <w:sz w:val="20"/>
        </w:rPr>
        <w:t> </w:t>
      </w:r>
      <w:r>
        <w:rPr>
          <w:sz w:val="20"/>
        </w:rPr>
        <w:t>needs</w:t>
      </w:r>
      <w:r>
        <w:rPr>
          <w:spacing w:val="-6"/>
          <w:sz w:val="20"/>
        </w:rPr>
        <w:t> </w:t>
      </w:r>
      <w:r>
        <w:rPr>
          <w:sz w:val="20"/>
        </w:rPr>
        <w:t>a</w:t>
      </w:r>
      <w:r>
        <w:rPr>
          <w:spacing w:val="-3"/>
          <w:sz w:val="20"/>
        </w:rPr>
        <w:t> </w:t>
      </w:r>
      <w:r>
        <w:rPr>
          <w:sz w:val="20"/>
        </w:rPr>
        <w:t>Special</w:t>
      </w:r>
      <w:r>
        <w:rPr>
          <w:spacing w:val="-3"/>
          <w:sz w:val="20"/>
        </w:rPr>
        <w:t> </w:t>
      </w:r>
      <w:r>
        <w:rPr>
          <w:sz w:val="20"/>
        </w:rPr>
        <w:t>Assistant to support his activities.</w:t>
      </w:r>
      <w:r>
        <w:rPr>
          <w:spacing w:val="-1"/>
          <w:sz w:val="20"/>
        </w:rPr>
        <w:t> </w:t>
      </w:r>
      <w:r>
        <w:rPr>
          <w:sz w:val="20"/>
        </w:rPr>
        <w:t>This</w:t>
      </w:r>
      <w:r>
        <w:rPr>
          <w:spacing w:val="-5"/>
          <w:sz w:val="20"/>
        </w:rPr>
        <w:t> </w:t>
      </w:r>
      <w:r>
        <w:rPr>
          <w:sz w:val="20"/>
        </w:rPr>
        <w:t>is why one Special Assistant</w:t>
      </w:r>
      <w:r>
        <w:rPr>
          <w:spacing w:val="-2"/>
          <w:sz w:val="20"/>
        </w:rPr>
        <w:t> </w:t>
      </w:r>
      <w:r>
        <w:rPr>
          <w:sz w:val="20"/>
        </w:rPr>
        <w:t>to</w:t>
      </w:r>
      <w:r>
        <w:rPr>
          <w:spacing w:val="-4"/>
          <w:sz w:val="20"/>
        </w:rPr>
        <w:t> </w:t>
      </w:r>
      <w:r>
        <w:rPr>
          <w:sz w:val="20"/>
        </w:rPr>
        <w:t>the</w:t>
      </w:r>
      <w:r>
        <w:rPr>
          <w:spacing w:val="-2"/>
          <w:sz w:val="20"/>
        </w:rPr>
        <w:t> </w:t>
      </w:r>
      <w:r>
        <w:rPr>
          <w:sz w:val="20"/>
        </w:rPr>
        <w:t>Deputy Prosecutor (P-3) is requested in the 2023 PPB. This post will be left unfunded in 2023.</w:t>
      </w:r>
    </w:p>
    <w:p>
      <w:pPr>
        <w:pStyle w:val="BodyText"/>
        <w:spacing w:before="8"/>
      </w:pPr>
    </w:p>
    <w:p>
      <w:pPr>
        <w:tabs>
          <w:tab w:pos="5890" w:val="left" w:leader="none"/>
        </w:tabs>
        <w:spacing w:before="1"/>
        <w:ind w:left="3" w:right="0" w:firstLine="0"/>
        <w:jc w:val="center"/>
        <w:rPr>
          <w:i/>
          <w:sz w:val="20"/>
        </w:rPr>
      </w:pPr>
      <w:r>
        <w:rPr>
          <w:i/>
          <w:sz w:val="20"/>
        </w:rPr>
        <w:t>General</w:t>
      </w:r>
      <w:r>
        <w:rPr>
          <w:i/>
          <w:spacing w:val="-9"/>
          <w:sz w:val="20"/>
        </w:rPr>
        <w:t> </w:t>
      </w:r>
      <w:r>
        <w:rPr>
          <w:i/>
          <w:sz w:val="20"/>
        </w:rPr>
        <w:t>temporary</w:t>
      </w:r>
      <w:r>
        <w:rPr>
          <w:i/>
          <w:spacing w:val="-4"/>
          <w:sz w:val="20"/>
        </w:rPr>
        <w:t> </w:t>
      </w:r>
      <w:r>
        <w:rPr>
          <w:i/>
          <w:spacing w:val="-2"/>
          <w:sz w:val="20"/>
        </w:rPr>
        <w:t>assistance</w:t>
      </w:r>
      <w:r>
        <w:rPr>
          <w:i/>
          <w:sz w:val="20"/>
        </w:rPr>
        <w:tab/>
        <w:t>€3,106.1</w:t>
      </w:r>
      <w:r>
        <w:rPr>
          <w:i/>
          <w:spacing w:val="-4"/>
          <w:sz w:val="20"/>
        </w:rPr>
        <w:t> </w:t>
      </w:r>
      <w:r>
        <w:rPr>
          <w:i/>
          <w:spacing w:val="-2"/>
          <w:sz w:val="20"/>
        </w:rPr>
        <w:t>thousand</w:t>
      </w:r>
    </w:p>
    <w:p>
      <w:pPr>
        <w:pStyle w:val="BodyText"/>
        <w:spacing w:before="10"/>
        <w:rPr>
          <w:i/>
        </w:rPr>
      </w:pPr>
    </w:p>
    <w:p>
      <w:pPr>
        <w:pStyle w:val="ListParagraph"/>
        <w:numPr>
          <w:ilvl w:val="0"/>
          <w:numId w:val="4"/>
        </w:numPr>
        <w:tabs>
          <w:tab w:pos="2967" w:val="left" w:leader="none"/>
        </w:tabs>
        <w:spacing w:line="240" w:lineRule="auto" w:before="0" w:after="0"/>
        <w:ind w:left="2246" w:right="2248" w:firstLine="0"/>
        <w:jc w:val="both"/>
        <w:rPr>
          <w:sz w:val="20"/>
        </w:rPr>
      </w:pPr>
      <w:r>
        <w:rPr>
          <w:sz w:val="20"/>
        </w:rPr>
        <w:t>Resources</w:t>
      </w:r>
      <w:r>
        <w:rPr>
          <w:spacing w:val="-2"/>
          <w:sz w:val="20"/>
        </w:rPr>
        <w:t> </w:t>
      </w:r>
      <w:r>
        <w:rPr>
          <w:sz w:val="20"/>
        </w:rPr>
        <w:t>are requested for the continuation of existing GTA positions previously approved in the 2022 budget. No new GTA positions are requested. These resources are crucial to enabling the Programme to continue conducting its mandate effectively in 2023.</w:t>
      </w:r>
    </w:p>
    <w:p>
      <w:pPr>
        <w:pStyle w:val="ListParagraph"/>
        <w:numPr>
          <w:ilvl w:val="0"/>
          <w:numId w:val="4"/>
        </w:numPr>
        <w:tabs>
          <w:tab w:pos="2967" w:val="left" w:leader="none"/>
        </w:tabs>
        <w:spacing w:line="240" w:lineRule="auto" w:before="121" w:after="0"/>
        <w:ind w:left="2967" w:right="0" w:hanging="721"/>
        <w:jc w:val="both"/>
        <w:rPr>
          <w:sz w:val="20"/>
        </w:rPr>
      </w:pPr>
      <w:r>
        <w:rPr>
          <w:sz w:val="20"/>
        </w:rPr>
        <w:t>GTA</w:t>
      </w:r>
      <w:r>
        <w:rPr>
          <w:spacing w:val="-3"/>
          <w:sz w:val="20"/>
        </w:rPr>
        <w:t> </w:t>
      </w:r>
      <w:r>
        <w:rPr>
          <w:sz w:val="20"/>
        </w:rPr>
        <w:t>positions</w:t>
      </w:r>
      <w:r>
        <w:rPr>
          <w:spacing w:val="-7"/>
          <w:sz w:val="20"/>
        </w:rPr>
        <w:t> </w:t>
      </w:r>
      <w:r>
        <w:rPr>
          <w:sz w:val="20"/>
        </w:rPr>
        <w:t>are</w:t>
      </w:r>
      <w:r>
        <w:rPr>
          <w:spacing w:val="-4"/>
          <w:sz w:val="20"/>
        </w:rPr>
        <w:t> </w:t>
      </w:r>
      <w:r>
        <w:rPr>
          <w:sz w:val="20"/>
        </w:rPr>
        <w:t>requested</w:t>
      </w:r>
      <w:r>
        <w:rPr>
          <w:spacing w:val="-6"/>
          <w:sz w:val="20"/>
        </w:rPr>
        <w:t> </w:t>
      </w:r>
      <w:r>
        <w:rPr>
          <w:sz w:val="20"/>
        </w:rPr>
        <w:t>on</w:t>
      </w:r>
      <w:r>
        <w:rPr>
          <w:spacing w:val="-6"/>
          <w:sz w:val="20"/>
        </w:rPr>
        <w:t> </w:t>
      </w:r>
      <w:r>
        <w:rPr>
          <w:sz w:val="20"/>
        </w:rPr>
        <w:t>a</w:t>
      </w:r>
      <w:r>
        <w:rPr>
          <w:spacing w:val="-4"/>
          <w:sz w:val="20"/>
        </w:rPr>
        <w:t> </w:t>
      </w:r>
      <w:r>
        <w:rPr>
          <w:sz w:val="20"/>
        </w:rPr>
        <w:t>multi-year</w:t>
      </w:r>
      <w:r>
        <w:rPr>
          <w:spacing w:val="-6"/>
          <w:sz w:val="20"/>
        </w:rPr>
        <w:t> </w:t>
      </w:r>
      <w:r>
        <w:rPr>
          <w:sz w:val="20"/>
        </w:rPr>
        <w:t>basis,</w:t>
      </w:r>
      <w:r>
        <w:rPr>
          <w:spacing w:val="-4"/>
          <w:sz w:val="20"/>
        </w:rPr>
        <w:t> </w:t>
      </w:r>
      <w:r>
        <w:rPr>
          <w:sz w:val="20"/>
        </w:rPr>
        <w:t>as</w:t>
      </w:r>
      <w:r>
        <w:rPr>
          <w:spacing w:val="-6"/>
          <w:sz w:val="20"/>
        </w:rPr>
        <w:t> </w:t>
      </w:r>
      <w:r>
        <w:rPr>
          <w:spacing w:val="-2"/>
          <w:sz w:val="20"/>
        </w:rPr>
        <w:t>follows:</w:t>
      </w:r>
    </w:p>
    <w:p>
      <w:pPr>
        <w:pStyle w:val="BodyText"/>
        <w:spacing w:before="5"/>
        <w:rPr>
          <w:sz w:val="10"/>
        </w:rPr>
      </w:pPr>
    </w:p>
    <w:tbl>
      <w:tblPr>
        <w:tblW w:w="0" w:type="auto"/>
        <w:jc w:val="left"/>
        <w:tblInd w:w="2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57"/>
        <w:gridCol w:w="924"/>
        <w:gridCol w:w="719"/>
        <w:gridCol w:w="848"/>
        <w:gridCol w:w="803"/>
        <w:gridCol w:w="1037"/>
      </w:tblGrid>
      <w:tr>
        <w:trPr>
          <w:trHeight w:val="268" w:hRule="atLeast"/>
        </w:trPr>
        <w:tc>
          <w:tcPr>
            <w:tcW w:w="3057" w:type="dxa"/>
            <w:tcBorders>
              <w:top w:val="single" w:sz="4" w:space="0" w:color="000000"/>
              <w:bottom w:val="single" w:sz="4" w:space="0" w:color="000000"/>
            </w:tcBorders>
          </w:tcPr>
          <w:p>
            <w:pPr>
              <w:pStyle w:val="TableParagraph"/>
              <w:spacing w:line="229" w:lineRule="exact" w:before="20"/>
              <w:ind w:left="14"/>
              <w:jc w:val="left"/>
              <w:rPr>
                <w:i/>
                <w:sz w:val="20"/>
              </w:rPr>
            </w:pPr>
            <w:r>
              <w:rPr>
                <w:i/>
                <w:spacing w:val="-2"/>
                <w:sz w:val="20"/>
              </w:rPr>
              <w:t>Title</w:t>
            </w:r>
          </w:p>
        </w:tc>
        <w:tc>
          <w:tcPr>
            <w:tcW w:w="924" w:type="dxa"/>
            <w:tcBorders>
              <w:top w:val="single" w:sz="4" w:space="0" w:color="000000"/>
              <w:bottom w:val="single" w:sz="4" w:space="0" w:color="000000"/>
            </w:tcBorders>
          </w:tcPr>
          <w:p>
            <w:pPr>
              <w:pStyle w:val="TableParagraph"/>
              <w:spacing w:line="229" w:lineRule="exact" w:before="20"/>
              <w:ind w:left="261"/>
              <w:jc w:val="left"/>
              <w:rPr>
                <w:i/>
                <w:sz w:val="20"/>
              </w:rPr>
            </w:pPr>
            <w:r>
              <w:rPr>
                <w:i/>
                <w:spacing w:val="-2"/>
                <w:sz w:val="20"/>
              </w:rPr>
              <w:t>Grade</w:t>
            </w:r>
          </w:p>
        </w:tc>
        <w:tc>
          <w:tcPr>
            <w:tcW w:w="719" w:type="dxa"/>
            <w:tcBorders>
              <w:top w:val="single" w:sz="4" w:space="0" w:color="000000"/>
              <w:bottom w:val="single" w:sz="4" w:space="0" w:color="000000"/>
            </w:tcBorders>
          </w:tcPr>
          <w:p>
            <w:pPr>
              <w:pStyle w:val="TableParagraph"/>
              <w:spacing w:line="229" w:lineRule="exact" w:before="20"/>
              <w:ind w:right="-15"/>
              <w:rPr>
                <w:i/>
                <w:sz w:val="20"/>
              </w:rPr>
            </w:pPr>
            <w:r>
              <w:rPr>
                <w:i/>
                <w:spacing w:val="-2"/>
                <w:sz w:val="20"/>
              </w:rPr>
              <w:t>Number</w:t>
            </w:r>
          </w:p>
        </w:tc>
        <w:tc>
          <w:tcPr>
            <w:tcW w:w="848" w:type="dxa"/>
            <w:tcBorders>
              <w:top w:val="single" w:sz="4" w:space="0" w:color="000000"/>
              <w:bottom w:val="single" w:sz="4" w:space="0" w:color="000000"/>
            </w:tcBorders>
          </w:tcPr>
          <w:p>
            <w:pPr>
              <w:pStyle w:val="TableParagraph"/>
              <w:spacing w:line="229" w:lineRule="exact" w:before="20"/>
              <w:ind w:right="238"/>
              <w:rPr>
                <w:i/>
                <w:sz w:val="20"/>
              </w:rPr>
            </w:pPr>
            <w:r>
              <w:rPr>
                <w:i/>
                <w:spacing w:val="-2"/>
                <w:sz w:val="20"/>
              </w:rPr>
              <w:t>Months</w:t>
            </w:r>
          </w:p>
        </w:tc>
        <w:tc>
          <w:tcPr>
            <w:tcW w:w="803" w:type="dxa"/>
            <w:tcBorders>
              <w:top w:val="single" w:sz="4" w:space="0" w:color="000000"/>
              <w:bottom w:val="single" w:sz="4" w:space="0" w:color="000000"/>
            </w:tcBorders>
          </w:tcPr>
          <w:p>
            <w:pPr>
              <w:pStyle w:val="TableParagraph"/>
              <w:spacing w:line="229" w:lineRule="exact" w:before="20"/>
              <w:ind w:left="231" w:right="190"/>
              <w:jc w:val="center"/>
              <w:rPr>
                <w:i/>
                <w:sz w:val="20"/>
              </w:rPr>
            </w:pPr>
            <w:r>
              <w:rPr>
                <w:i/>
                <w:spacing w:val="-5"/>
                <w:sz w:val="20"/>
              </w:rPr>
              <w:t>FTE</w:t>
            </w:r>
          </w:p>
        </w:tc>
        <w:tc>
          <w:tcPr>
            <w:tcW w:w="1037" w:type="dxa"/>
            <w:tcBorders>
              <w:top w:val="single" w:sz="4" w:space="0" w:color="000000"/>
              <w:bottom w:val="single" w:sz="4" w:space="0" w:color="000000"/>
            </w:tcBorders>
          </w:tcPr>
          <w:p>
            <w:pPr>
              <w:pStyle w:val="TableParagraph"/>
              <w:jc w:val="left"/>
              <w:rPr>
                <w:sz w:val="18"/>
              </w:rPr>
            </w:pPr>
          </w:p>
        </w:tc>
      </w:tr>
      <w:tr>
        <w:trPr>
          <w:trHeight w:val="498" w:hRule="atLeast"/>
        </w:trPr>
        <w:tc>
          <w:tcPr>
            <w:tcW w:w="3057" w:type="dxa"/>
            <w:tcBorders>
              <w:top w:val="single" w:sz="4" w:space="0" w:color="000000"/>
              <w:bottom w:val="single" w:sz="4" w:space="0" w:color="000000"/>
            </w:tcBorders>
          </w:tcPr>
          <w:p>
            <w:pPr>
              <w:pStyle w:val="TableParagraph"/>
              <w:spacing w:line="230" w:lineRule="atLeast" w:before="19"/>
              <w:ind w:left="14"/>
              <w:jc w:val="left"/>
              <w:rPr>
                <w:sz w:val="20"/>
              </w:rPr>
            </w:pPr>
            <w:r>
              <w:rPr>
                <w:sz w:val="20"/>
              </w:rPr>
              <w:t>Personal</w:t>
            </w:r>
            <w:r>
              <w:rPr>
                <w:spacing w:val="-5"/>
                <w:sz w:val="20"/>
              </w:rPr>
              <w:t> </w:t>
            </w:r>
            <w:r>
              <w:rPr>
                <w:sz w:val="20"/>
              </w:rPr>
              <w:t>Assistant</w:t>
            </w:r>
            <w:r>
              <w:rPr>
                <w:spacing w:val="-10"/>
                <w:sz w:val="20"/>
              </w:rPr>
              <w:t> </w:t>
            </w:r>
            <w:r>
              <w:rPr>
                <w:sz w:val="20"/>
              </w:rPr>
              <w:t>to</w:t>
            </w:r>
            <w:r>
              <w:rPr>
                <w:spacing w:val="-11"/>
                <w:sz w:val="20"/>
              </w:rPr>
              <w:t> </w:t>
            </w:r>
            <w:r>
              <w:rPr>
                <w:sz w:val="20"/>
              </w:rPr>
              <w:t>the</w:t>
            </w:r>
            <w:r>
              <w:rPr>
                <w:spacing w:val="-10"/>
                <w:sz w:val="20"/>
              </w:rPr>
              <w:t> </w:t>
            </w:r>
            <w:r>
              <w:rPr>
                <w:sz w:val="20"/>
              </w:rPr>
              <w:t>Deputy </w:t>
            </w:r>
            <w:r>
              <w:rPr>
                <w:spacing w:val="-2"/>
                <w:sz w:val="20"/>
              </w:rPr>
              <w:t>Prosecutor</w:t>
            </w:r>
          </w:p>
        </w:tc>
        <w:tc>
          <w:tcPr>
            <w:tcW w:w="924" w:type="dxa"/>
            <w:tcBorders>
              <w:top w:val="single" w:sz="4" w:space="0" w:color="000000"/>
              <w:bottom w:val="single" w:sz="4" w:space="0" w:color="000000"/>
            </w:tcBorders>
          </w:tcPr>
          <w:p>
            <w:pPr>
              <w:pStyle w:val="TableParagraph"/>
              <w:spacing w:before="8"/>
              <w:jc w:val="left"/>
              <w:rPr>
                <w:sz w:val="21"/>
              </w:rPr>
            </w:pPr>
          </w:p>
          <w:p>
            <w:pPr>
              <w:pStyle w:val="TableParagraph"/>
              <w:spacing w:line="229" w:lineRule="exact"/>
              <w:ind w:left="261"/>
              <w:jc w:val="left"/>
              <w:rPr>
                <w:sz w:val="20"/>
              </w:rPr>
            </w:pPr>
            <w:r>
              <w:rPr>
                <w:spacing w:val="-2"/>
                <w:sz w:val="20"/>
              </w:rPr>
              <w:t>GS-</w:t>
            </w:r>
            <w:r>
              <w:rPr>
                <w:spacing w:val="-7"/>
                <w:sz w:val="20"/>
              </w:rPr>
              <w:t>OL</w:t>
            </w:r>
          </w:p>
        </w:tc>
        <w:tc>
          <w:tcPr>
            <w:tcW w:w="719" w:type="dxa"/>
            <w:tcBorders>
              <w:top w:val="single" w:sz="4" w:space="0" w:color="000000"/>
              <w:bottom w:val="single" w:sz="4" w:space="0" w:color="000000"/>
            </w:tcBorders>
          </w:tcPr>
          <w:p>
            <w:pPr>
              <w:pStyle w:val="TableParagraph"/>
              <w:spacing w:before="8"/>
              <w:jc w:val="left"/>
              <w:rPr>
                <w:sz w:val="21"/>
              </w:rPr>
            </w:pPr>
          </w:p>
          <w:p>
            <w:pPr>
              <w:pStyle w:val="TableParagraph"/>
              <w:spacing w:line="229" w:lineRule="exact"/>
              <w:ind w:right="-15"/>
              <w:rPr>
                <w:sz w:val="20"/>
              </w:rPr>
            </w:pPr>
            <w:r>
              <w:rPr>
                <w:w w:val="100"/>
                <w:sz w:val="20"/>
              </w:rPr>
              <w:t>1</w:t>
            </w:r>
          </w:p>
        </w:tc>
        <w:tc>
          <w:tcPr>
            <w:tcW w:w="848" w:type="dxa"/>
            <w:tcBorders>
              <w:top w:val="single" w:sz="4" w:space="0" w:color="000000"/>
              <w:bottom w:val="single" w:sz="4" w:space="0" w:color="000000"/>
            </w:tcBorders>
          </w:tcPr>
          <w:p>
            <w:pPr>
              <w:pStyle w:val="TableParagraph"/>
              <w:spacing w:before="8"/>
              <w:jc w:val="left"/>
              <w:rPr>
                <w:sz w:val="21"/>
              </w:rPr>
            </w:pPr>
          </w:p>
          <w:p>
            <w:pPr>
              <w:pStyle w:val="TableParagraph"/>
              <w:spacing w:line="229" w:lineRule="exact"/>
              <w:ind w:right="246"/>
              <w:rPr>
                <w:sz w:val="20"/>
              </w:rPr>
            </w:pPr>
            <w:r>
              <w:rPr>
                <w:spacing w:val="-5"/>
                <w:sz w:val="20"/>
              </w:rPr>
              <w:t>12</w:t>
            </w:r>
          </w:p>
        </w:tc>
        <w:tc>
          <w:tcPr>
            <w:tcW w:w="803" w:type="dxa"/>
            <w:tcBorders>
              <w:top w:val="single" w:sz="4" w:space="0" w:color="000000"/>
              <w:bottom w:val="single" w:sz="4" w:space="0" w:color="000000"/>
            </w:tcBorders>
          </w:tcPr>
          <w:p>
            <w:pPr>
              <w:pStyle w:val="TableParagraph"/>
              <w:spacing w:before="8"/>
              <w:jc w:val="left"/>
              <w:rPr>
                <w:sz w:val="21"/>
              </w:rPr>
            </w:pPr>
          </w:p>
          <w:p>
            <w:pPr>
              <w:pStyle w:val="TableParagraph"/>
              <w:spacing w:line="229" w:lineRule="exact"/>
              <w:ind w:left="231" w:right="83"/>
              <w:jc w:val="center"/>
              <w:rPr>
                <w:sz w:val="20"/>
              </w:rPr>
            </w:pPr>
            <w:r>
              <w:rPr>
                <w:spacing w:val="-5"/>
                <w:sz w:val="20"/>
              </w:rPr>
              <w:t>1.0</w:t>
            </w:r>
          </w:p>
        </w:tc>
        <w:tc>
          <w:tcPr>
            <w:tcW w:w="1037" w:type="dxa"/>
            <w:tcBorders>
              <w:top w:val="single" w:sz="4" w:space="0" w:color="000000"/>
              <w:bottom w:val="single" w:sz="4" w:space="0" w:color="000000"/>
            </w:tcBorders>
          </w:tcPr>
          <w:p>
            <w:pPr>
              <w:pStyle w:val="TableParagraph"/>
              <w:spacing w:before="8"/>
              <w:jc w:val="left"/>
              <w:rPr>
                <w:sz w:val="21"/>
              </w:rPr>
            </w:pPr>
          </w:p>
          <w:p>
            <w:pPr>
              <w:pStyle w:val="TableParagraph"/>
              <w:spacing w:line="229" w:lineRule="exact"/>
              <w:ind w:right="-15"/>
              <w:rPr>
                <w:sz w:val="20"/>
              </w:rPr>
            </w:pPr>
            <w:r>
              <w:rPr>
                <w:spacing w:val="-2"/>
                <w:sz w:val="20"/>
              </w:rPr>
              <w:t>Continued</w:t>
            </w:r>
          </w:p>
        </w:tc>
      </w:tr>
      <w:tr>
        <w:trPr>
          <w:trHeight w:val="273" w:hRule="atLeast"/>
        </w:trPr>
        <w:tc>
          <w:tcPr>
            <w:tcW w:w="3057" w:type="dxa"/>
            <w:tcBorders>
              <w:top w:val="single" w:sz="4" w:space="0" w:color="000000"/>
              <w:bottom w:val="single" w:sz="4" w:space="0" w:color="000000"/>
            </w:tcBorders>
          </w:tcPr>
          <w:p>
            <w:pPr>
              <w:pStyle w:val="TableParagraph"/>
              <w:spacing w:before="19"/>
              <w:ind w:left="14"/>
              <w:jc w:val="left"/>
              <w:rPr>
                <w:sz w:val="20"/>
              </w:rPr>
            </w:pPr>
            <w:r>
              <w:rPr>
                <w:sz w:val="20"/>
              </w:rPr>
              <w:t>Assistant</w:t>
            </w:r>
            <w:r>
              <w:rPr>
                <w:spacing w:val="-5"/>
                <w:sz w:val="20"/>
              </w:rPr>
              <w:t> </w:t>
            </w:r>
            <w:r>
              <w:rPr>
                <w:sz w:val="20"/>
              </w:rPr>
              <w:t>to</w:t>
            </w:r>
            <w:r>
              <w:rPr>
                <w:spacing w:val="-6"/>
                <w:sz w:val="20"/>
              </w:rPr>
              <w:t> </w:t>
            </w:r>
            <w:r>
              <w:rPr>
                <w:sz w:val="20"/>
              </w:rPr>
              <w:t>the</w:t>
            </w:r>
            <w:r>
              <w:rPr>
                <w:spacing w:val="-4"/>
                <w:sz w:val="20"/>
              </w:rPr>
              <w:t> </w:t>
            </w:r>
            <w:r>
              <w:rPr>
                <w:sz w:val="20"/>
              </w:rPr>
              <w:t>Deputy</w:t>
            </w:r>
            <w:r>
              <w:rPr>
                <w:spacing w:val="-6"/>
                <w:sz w:val="20"/>
              </w:rPr>
              <w:t> </w:t>
            </w:r>
            <w:r>
              <w:rPr>
                <w:spacing w:val="-2"/>
                <w:sz w:val="20"/>
              </w:rPr>
              <w:t>Prosecutor</w:t>
            </w:r>
          </w:p>
        </w:tc>
        <w:tc>
          <w:tcPr>
            <w:tcW w:w="924" w:type="dxa"/>
            <w:tcBorders>
              <w:top w:val="single" w:sz="4" w:space="0" w:color="000000"/>
              <w:bottom w:val="single" w:sz="4" w:space="0" w:color="000000"/>
            </w:tcBorders>
          </w:tcPr>
          <w:p>
            <w:pPr>
              <w:pStyle w:val="TableParagraph"/>
              <w:spacing w:before="19"/>
              <w:ind w:left="261"/>
              <w:jc w:val="left"/>
              <w:rPr>
                <w:sz w:val="20"/>
              </w:rPr>
            </w:pPr>
            <w:r>
              <w:rPr>
                <w:spacing w:val="-2"/>
                <w:sz w:val="20"/>
              </w:rPr>
              <w:t>P-</w:t>
            </w:r>
            <w:r>
              <w:rPr>
                <w:spacing w:val="-10"/>
                <w:sz w:val="20"/>
              </w:rPr>
              <w:t>1</w:t>
            </w:r>
          </w:p>
        </w:tc>
        <w:tc>
          <w:tcPr>
            <w:tcW w:w="719" w:type="dxa"/>
            <w:tcBorders>
              <w:top w:val="single" w:sz="4" w:space="0" w:color="000000"/>
              <w:bottom w:val="single" w:sz="4" w:space="0" w:color="000000"/>
            </w:tcBorders>
          </w:tcPr>
          <w:p>
            <w:pPr>
              <w:pStyle w:val="TableParagraph"/>
              <w:spacing w:before="19"/>
              <w:ind w:right="-15"/>
              <w:rPr>
                <w:sz w:val="20"/>
              </w:rPr>
            </w:pPr>
            <w:r>
              <w:rPr>
                <w:w w:val="100"/>
                <w:sz w:val="20"/>
              </w:rPr>
              <w:t>1</w:t>
            </w:r>
          </w:p>
        </w:tc>
        <w:tc>
          <w:tcPr>
            <w:tcW w:w="848" w:type="dxa"/>
            <w:tcBorders>
              <w:top w:val="single" w:sz="4" w:space="0" w:color="000000"/>
              <w:bottom w:val="single" w:sz="4" w:space="0" w:color="000000"/>
            </w:tcBorders>
          </w:tcPr>
          <w:p>
            <w:pPr>
              <w:pStyle w:val="TableParagraph"/>
              <w:spacing w:before="19"/>
              <w:ind w:right="246"/>
              <w:rPr>
                <w:sz w:val="20"/>
              </w:rPr>
            </w:pPr>
            <w:r>
              <w:rPr>
                <w:w w:val="100"/>
                <w:sz w:val="20"/>
              </w:rPr>
              <w:t>9</w:t>
            </w:r>
          </w:p>
        </w:tc>
        <w:tc>
          <w:tcPr>
            <w:tcW w:w="803" w:type="dxa"/>
            <w:tcBorders>
              <w:top w:val="single" w:sz="4" w:space="0" w:color="000000"/>
              <w:bottom w:val="single" w:sz="4" w:space="0" w:color="000000"/>
            </w:tcBorders>
          </w:tcPr>
          <w:p>
            <w:pPr>
              <w:pStyle w:val="TableParagraph"/>
              <w:spacing w:before="19"/>
              <w:ind w:left="231" w:right="183"/>
              <w:jc w:val="center"/>
              <w:rPr>
                <w:sz w:val="20"/>
              </w:rPr>
            </w:pPr>
            <w:r>
              <w:rPr>
                <w:spacing w:val="-4"/>
                <w:sz w:val="20"/>
              </w:rPr>
              <w:t>0.75</w:t>
            </w:r>
          </w:p>
        </w:tc>
        <w:tc>
          <w:tcPr>
            <w:tcW w:w="1037" w:type="dxa"/>
            <w:tcBorders>
              <w:top w:val="single" w:sz="4" w:space="0" w:color="000000"/>
              <w:bottom w:val="single" w:sz="4" w:space="0" w:color="000000"/>
            </w:tcBorders>
          </w:tcPr>
          <w:p>
            <w:pPr>
              <w:pStyle w:val="TableParagraph"/>
              <w:spacing w:before="19"/>
              <w:ind w:right="-15"/>
              <w:rPr>
                <w:sz w:val="20"/>
              </w:rPr>
            </w:pPr>
            <w:r>
              <w:rPr>
                <w:spacing w:val="-5"/>
                <w:sz w:val="20"/>
              </w:rPr>
              <w:t>New</w:t>
            </w:r>
          </w:p>
        </w:tc>
      </w:tr>
      <w:tr>
        <w:trPr>
          <w:trHeight w:val="268" w:hRule="atLeast"/>
        </w:trPr>
        <w:tc>
          <w:tcPr>
            <w:tcW w:w="3057" w:type="dxa"/>
            <w:tcBorders>
              <w:top w:val="single" w:sz="4" w:space="0" w:color="000000"/>
              <w:bottom w:val="single" w:sz="4" w:space="0" w:color="000000"/>
            </w:tcBorders>
          </w:tcPr>
          <w:p>
            <w:pPr>
              <w:pStyle w:val="TableParagraph"/>
              <w:jc w:val="left"/>
              <w:rPr>
                <w:sz w:val="18"/>
              </w:rPr>
            </w:pPr>
          </w:p>
        </w:tc>
        <w:tc>
          <w:tcPr>
            <w:tcW w:w="924" w:type="dxa"/>
            <w:tcBorders>
              <w:top w:val="single" w:sz="4" w:space="0" w:color="000000"/>
              <w:bottom w:val="single" w:sz="4" w:space="0" w:color="000000"/>
            </w:tcBorders>
          </w:tcPr>
          <w:p>
            <w:pPr>
              <w:pStyle w:val="TableParagraph"/>
              <w:jc w:val="left"/>
              <w:rPr>
                <w:sz w:val="18"/>
              </w:rPr>
            </w:pPr>
          </w:p>
        </w:tc>
        <w:tc>
          <w:tcPr>
            <w:tcW w:w="719" w:type="dxa"/>
            <w:tcBorders>
              <w:top w:val="single" w:sz="4" w:space="0" w:color="000000"/>
              <w:bottom w:val="single" w:sz="4" w:space="0" w:color="000000"/>
            </w:tcBorders>
          </w:tcPr>
          <w:p>
            <w:pPr>
              <w:pStyle w:val="TableParagraph"/>
              <w:spacing w:line="229" w:lineRule="exact" w:before="19"/>
              <w:ind w:right="-15"/>
              <w:rPr>
                <w:b/>
                <w:sz w:val="20"/>
              </w:rPr>
            </w:pPr>
            <w:r>
              <w:rPr>
                <w:b/>
                <w:w w:val="100"/>
                <w:sz w:val="20"/>
              </w:rPr>
              <w:t>2</w:t>
            </w:r>
          </w:p>
        </w:tc>
        <w:tc>
          <w:tcPr>
            <w:tcW w:w="848" w:type="dxa"/>
            <w:tcBorders>
              <w:top w:val="single" w:sz="4" w:space="0" w:color="000000"/>
              <w:bottom w:val="single" w:sz="4" w:space="0" w:color="000000"/>
            </w:tcBorders>
          </w:tcPr>
          <w:p>
            <w:pPr>
              <w:pStyle w:val="TableParagraph"/>
              <w:spacing w:line="229" w:lineRule="exact" w:before="19"/>
              <w:ind w:right="246"/>
              <w:rPr>
                <w:b/>
                <w:sz w:val="20"/>
              </w:rPr>
            </w:pPr>
            <w:r>
              <w:rPr>
                <w:b/>
                <w:spacing w:val="-5"/>
                <w:sz w:val="20"/>
              </w:rPr>
              <w:t>21</w:t>
            </w:r>
          </w:p>
        </w:tc>
        <w:tc>
          <w:tcPr>
            <w:tcW w:w="803" w:type="dxa"/>
            <w:tcBorders>
              <w:top w:val="single" w:sz="4" w:space="0" w:color="000000"/>
              <w:bottom w:val="single" w:sz="4" w:space="0" w:color="000000"/>
            </w:tcBorders>
          </w:tcPr>
          <w:p>
            <w:pPr>
              <w:pStyle w:val="TableParagraph"/>
              <w:spacing w:line="229" w:lineRule="exact" w:before="19"/>
              <w:ind w:left="231" w:right="183"/>
              <w:jc w:val="center"/>
              <w:rPr>
                <w:b/>
                <w:sz w:val="20"/>
              </w:rPr>
            </w:pPr>
            <w:r>
              <w:rPr>
                <w:b/>
                <w:spacing w:val="-4"/>
                <w:sz w:val="20"/>
              </w:rPr>
              <w:t>1.75</w:t>
            </w:r>
          </w:p>
        </w:tc>
        <w:tc>
          <w:tcPr>
            <w:tcW w:w="1037" w:type="dxa"/>
            <w:tcBorders>
              <w:top w:val="single" w:sz="4" w:space="0" w:color="000000"/>
              <w:bottom w:val="single" w:sz="4" w:space="0" w:color="000000"/>
            </w:tcBorders>
          </w:tcPr>
          <w:p>
            <w:pPr>
              <w:pStyle w:val="TableParagraph"/>
              <w:jc w:val="left"/>
              <w:rPr>
                <w:sz w:val="18"/>
              </w:rPr>
            </w:pPr>
          </w:p>
        </w:tc>
      </w:tr>
      <w:tr>
        <w:trPr>
          <w:trHeight w:val="268" w:hRule="atLeast"/>
        </w:trPr>
        <w:tc>
          <w:tcPr>
            <w:tcW w:w="3057" w:type="dxa"/>
            <w:tcBorders>
              <w:top w:val="single" w:sz="4" w:space="0" w:color="000000"/>
              <w:bottom w:val="single" w:sz="4" w:space="0" w:color="000000"/>
            </w:tcBorders>
          </w:tcPr>
          <w:p>
            <w:pPr>
              <w:pStyle w:val="TableParagraph"/>
              <w:spacing w:line="229" w:lineRule="exact" w:before="19"/>
              <w:ind w:left="14"/>
              <w:jc w:val="left"/>
              <w:rPr>
                <w:i/>
                <w:sz w:val="20"/>
              </w:rPr>
            </w:pPr>
            <w:r>
              <w:rPr>
                <w:i/>
                <w:sz w:val="20"/>
              </w:rPr>
              <w:t>Appeals</w:t>
            </w:r>
            <w:r>
              <w:rPr>
                <w:i/>
                <w:spacing w:val="-6"/>
                <w:sz w:val="20"/>
              </w:rPr>
              <w:t> </w:t>
            </w:r>
            <w:r>
              <w:rPr>
                <w:i/>
                <w:spacing w:val="-2"/>
                <w:sz w:val="20"/>
              </w:rPr>
              <w:t>Section</w:t>
            </w:r>
          </w:p>
        </w:tc>
        <w:tc>
          <w:tcPr>
            <w:tcW w:w="924" w:type="dxa"/>
            <w:tcBorders>
              <w:top w:val="single" w:sz="4" w:space="0" w:color="000000"/>
              <w:bottom w:val="single" w:sz="4" w:space="0" w:color="000000"/>
            </w:tcBorders>
          </w:tcPr>
          <w:p>
            <w:pPr>
              <w:pStyle w:val="TableParagraph"/>
              <w:jc w:val="left"/>
              <w:rPr>
                <w:sz w:val="18"/>
              </w:rPr>
            </w:pPr>
          </w:p>
        </w:tc>
        <w:tc>
          <w:tcPr>
            <w:tcW w:w="719" w:type="dxa"/>
            <w:tcBorders>
              <w:top w:val="single" w:sz="4" w:space="0" w:color="000000"/>
              <w:bottom w:val="single" w:sz="4" w:space="0" w:color="000000"/>
            </w:tcBorders>
          </w:tcPr>
          <w:p>
            <w:pPr>
              <w:pStyle w:val="TableParagraph"/>
              <w:jc w:val="left"/>
              <w:rPr>
                <w:sz w:val="18"/>
              </w:rPr>
            </w:pPr>
          </w:p>
        </w:tc>
        <w:tc>
          <w:tcPr>
            <w:tcW w:w="848" w:type="dxa"/>
            <w:tcBorders>
              <w:top w:val="single" w:sz="4" w:space="0" w:color="000000"/>
              <w:bottom w:val="single" w:sz="4" w:space="0" w:color="000000"/>
            </w:tcBorders>
          </w:tcPr>
          <w:p>
            <w:pPr>
              <w:pStyle w:val="TableParagraph"/>
              <w:jc w:val="left"/>
              <w:rPr>
                <w:sz w:val="18"/>
              </w:rPr>
            </w:pPr>
          </w:p>
        </w:tc>
        <w:tc>
          <w:tcPr>
            <w:tcW w:w="803" w:type="dxa"/>
            <w:tcBorders>
              <w:top w:val="single" w:sz="4" w:space="0" w:color="000000"/>
              <w:bottom w:val="single" w:sz="4" w:space="0" w:color="000000"/>
            </w:tcBorders>
          </w:tcPr>
          <w:p>
            <w:pPr>
              <w:pStyle w:val="TableParagraph"/>
              <w:jc w:val="left"/>
              <w:rPr>
                <w:sz w:val="18"/>
              </w:rPr>
            </w:pPr>
          </w:p>
        </w:tc>
        <w:tc>
          <w:tcPr>
            <w:tcW w:w="1037" w:type="dxa"/>
            <w:tcBorders>
              <w:top w:val="single" w:sz="4" w:space="0" w:color="000000"/>
              <w:bottom w:val="single" w:sz="4" w:space="0" w:color="000000"/>
            </w:tcBorders>
          </w:tcPr>
          <w:p>
            <w:pPr>
              <w:pStyle w:val="TableParagraph"/>
              <w:jc w:val="left"/>
              <w:rPr>
                <w:sz w:val="18"/>
              </w:rPr>
            </w:pPr>
          </w:p>
        </w:tc>
      </w:tr>
      <w:tr>
        <w:trPr>
          <w:trHeight w:val="273" w:hRule="atLeast"/>
        </w:trPr>
        <w:tc>
          <w:tcPr>
            <w:tcW w:w="3057" w:type="dxa"/>
            <w:tcBorders>
              <w:top w:val="single" w:sz="4" w:space="0" w:color="000000"/>
              <w:bottom w:val="single" w:sz="4" w:space="0" w:color="000000"/>
            </w:tcBorders>
          </w:tcPr>
          <w:p>
            <w:pPr>
              <w:pStyle w:val="TableParagraph"/>
              <w:spacing w:before="19"/>
              <w:ind w:left="14"/>
              <w:jc w:val="left"/>
              <w:rPr>
                <w:sz w:val="20"/>
              </w:rPr>
            </w:pPr>
            <w:r>
              <w:rPr>
                <w:sz w:val="20"/>
              </w:rPr>
              <w:t>Associate</w:t>
            </w:r>
            <w:r>
              <w:rPr>
                <w:spacing w:val="-7"/>
                <w:sz w:val="20"/>
              </w:rPr>
              <w:t> </w:t>
            </w:r>
            <w:r>
              <w:rPr>
                <w:sz w:val="20"/>
              </w:rPr>
              <w:t>Appeals</w:t>
            </w:r>
            <w:r>
              <w:rPr>
                <w:spacing w:val="-8"/>
                <w:sz w:val="20"/>
              </w:rPr>
              <w:t> </w:t>
            </w:r>
            <w:r>
              <w:rPr>
                <w:spacing w:val="-2"/>
                <w:sz w:val="20"/>
              </w:rPr>
              <w:t>Counsel</w:t>
            </w:r>
          </w:p>
        </w:tc>
        <w:tc>
          <w:tcPr>
            <w:tcW w:w="924" w:type="dxa"/>
            <w:tcBorders>
              <w:top w:val="single" w:sz="4" w:space="0" w:color="000000"/>
              <w:bottom w:val="single" w:sz="4" w:space="0" w:color="000000"/>
            </w:tcBorders>
          </w:tcPr>
          <w:p>
            <w:pPr>
              <w:pStyle w:val="TableParagraph"/>
              <w:spacing w:before="19"/>
              <w:ind w:left="261"/>
              <w:jc w:val="left"/>
              <w:rPr>
                <w:sz w:val="20"/>
              </w:rPr>
            </w:pPr>
            <w:r>
              <w:rPr>
                <w:spacing w:val="-2"/>
                <w:sz w:val="20"/>
              </w:rPr>
              <w:t>P-</w:t>
            </w:r>
            <w:r>
              <w:rPr>
                <w:spacing w:val="-10"/>
                <w:sz w:val="20"/>
              </w:rPr>
              <w:t>2</w:t>
            </w:r>
          </w:p>
        </w:tc>
        <w:tc>
          <w:tcPr>
            <w:tcW w:w="719" w:type="dxa"/>
            <w:tcBorders>
              <w:top w:val="single" w:sz="4" w:space="0" w:color="000000"/>
              <w:bottom w:val="single" w:sz="4" w:space="0" w:color="000000"/>
            </w:tcBorders>
          </w:tcPr>
          <w:p>
            <w:pPr>
              <w:pStyle w:val="TableParagraph"/>
              <w:spacing w:before="19"/>
              <w:ind w:right="-15"/>
              <w:rPr>
                <w:sz w:val="20"/>
              </w:rPr>
            </w:pPr>
            <w:r>
              <w:rPr>
                <w:w w:val="100"/>
                <w:sz w:val="20"/>
              </w:rPr>
              <w:t>1</w:t>
            </w:r>
          </w:p>
        </w:tc>
        <w:tc>
          <w:tcPr>
            <w:tcW w:w="848" w:type="dxa"/>
            <w:tcBorders>
              <w:top w:val="single" w:sz="4" w:space="0" w:color="000000"/>
              <w:bottom w:val="single" w:sz="4" w:space="0" w:color="000000"/>
            </w:tcBorders>
          </w:tcPr>
          <w:p>
            <w:pPr>
              <w:pStyle w:val="TableParagraph"/>
              <w:spacing w:before="19"/>
              <w:ind w:right="246"/>
              <w:rPr>
                <w:sz w:val="20"/>
              </w:rPr>
            </w:pPr>
            <w:r>
              <w:rPr>
                <w:spacing w:val="-5"/>
                <w:sz w:val="20"/>
              </w:rPr>
              <w:t>12</w:t>
            </w:r>
          </w:p>
        </w:tc>
        <w:tc>
          <w:tcPr>
            <w:tcW w:w="803" w:type="dxa"/>
            <w:tcBorders>
              <w:top w:val="single" w:sz="4" w:space="0" w:color="000000"/>
              <w:bottom w:val="single" w:sz="4" w:space="0" w:color="000000"/>
            </w:tcBorders>
          </w:tcPr>
          <w:p>
            <w:pPr>
              <w:pStyle w:val="TableParagraph"/>
              <w:spacing w:before="19"/>
              <w:ind w:left="231" w:right="83"/>
              <w:jc w:val="center"/>
              <w:rPr>
                <w:sz w:val="20"/>
              </w:rPr>
            </w:pPr>
            <w:r>
              <w:rPr>
                <w:spacing w:val="-5"/>
                <w:sz w:val="20"/>
              </w:rPr>
              <w:t>1.0</w:t>
            </w:r>
          </w:p>
        </w:tc>
        <w:tc>
          <w:tcPr>
            <w:tcW w:w="1037" w:type="dxa"/>
            <w:tcBorders>
              <w:top w:val="single" w:sz="4" w:space="0" w:color="000000"/>
              <w:bottom w:val="single" w:sz="4" w:space="0" w:color="000000"/>
            </w:tcBorders>
          </w:tcPr>
          <w:p>
            <w:pPr>
              <w:pStyle w:val="TableParagraph"/>
              <w:spacing w:before="19"/>
              <w:ind w:right="-15"/>
              <w:rPr>
                <w:sz w:val="20"/>
              </w:rPr>
            </w:pPr>
            <w:r>
              <w:rPr>
                <w:spacing w:val="-2"/>
                <w:sz w:val="20"/>
              </w:rPr>
              <w:t>Continued</w:t>
            </w:r>
          </w:p>
        </w:tc>
      </w:tr>
      <w:tr>
        <w:trPr>
          <w:trHeight w:val="268" w:hRule="atLeast"/>
        </w:trPr>
        <w:tc>
          <w:tcPr>
            <w:tcW w:w="3057" w:type="dxa"/>
            <w:tcBorders>
              <w:top w:val="single" w:sz="4" w:space="0" w:color="000000"/>
              <w:bottom w:val="single" w:sz="4" w:space="0" w:color="000000"/>
            </w:tcBorders>
          </w:tcPr>
          <w:p>
            <w:pPr>
              <w:pStyle w:val="TableParagraph"/>
              <w:jc w:val="left"/>
              <w:rPr>
                <w:sz w:val="18"/>
              </w:rPr>
            </w:pPr>
          </w:p>
        </w:tc>
        <w:tc>
          <w:tcPr>
            <w:tcW w:w="924" w:type="dxa"/>
            <w:tcBorders>
              <w:top w:val="single" w:sz="4" w:space="0" w:color="000000"/>
              <w:bottom w:val="single" w:sz="4" w:space="0" w:color="000000"/>
            </w:tcBorders>
          </w:tcPr>
          <w:p>
            <w:pPr>
              <w:pStyle w:val="TableParagraph"/>
              <w:jc w:val="left"/>
              <w:rPr>
                <w:sz w:val="18"/>
              </w:rPr>
            </w:pPr>
          </w:p>
        </w:tc>
        <w:tc>
          <w:tcPr>
            <w:tcW w:w="719" w:type="dxa"/>
            <w:tcBorders>
              <w:top w:val="single" w:sz="4" w:space="0" w:color="000000"/>
              <w:bottom w:val="single" w:sz="4" w:space="0" w:color="000000"/>
            </w:tcBorders>
          </w:tcPr>
          <w:p>
            <w:pPr>
              <w:pStyle w:val="TableParagraph"/>
              <w:spacing w:line="229" w:lineRule="exact" w:before="19"/>
              <w:ind w:right="-15"/>
              <w:rPr>
                <w:b/>
                <w:sz w:val="20"/>
              </w:rPr>
            </w:pPr>
            <w:r>
              <w:rPr>
                <w:b/>
                <w:w w:val="100"/>
                <w:sz w:val="20"/>
              </w:rPr>
              <w:t>1</w:t>
            </w:r>
          </w:p>
        </w:tc>
        <w:tc>
          <w:tcPr>
            <w:tcW w:w="848" w:type="dxa"/>
            <w:tcBorders>
              <w:top w:val="single" w:sz="4" w:space="0" w:color="000000"/>
              <w:bottom w:val="single" w:sz="4" w:space="0" w:color="000000"/>
            </w:tcBorders>
          </w:tcPr>
          <w:p>
            <w:pPr>
              <w:pStyle w:val="TableParagraph"/>
              <w:spacing w:line="229" w:lineRule="exact" w:before="19"/>
              <w:ind w:right="246"/>
              <w:rPr>
                <w:b/>
                <w:sz w:val="20"/>
              </w:rPr>
            </w:pPr>
            <w:r>
              <w:rPr>
                <w:b/>
                <w:spacing w:val="-5"/>
                <w:sz w:val="20"/>
              </w:rPr>
              <w:t>12</w:t>
            </w:r>
          </w:p>
        </w:tc>
        <w:tc>
          <w:tcPr>
            <w:tcW w:w="803" w:type="dxa"/>
            <w:tcBorders>
              <w:top w:val="single" w:sz="4" w:space="0" w:color="000000"/>
              <w:bottom w:val="single" w:sz="4" w:space="0" w:color="000000"/>
            </w:tcBorders>
          </w:tcPr>
          <w:p>
            <w:pPr>
              <w:pStyle w:val="TableParagraph"/>
              <w:spacing w:line="229" w:lineRule="exact" w:before="19"/>
              <w:ind w:left="231" w:right="83"/>
              <w:jc w:val="center"/>
              <w:rPr>
                <w:b/>
                <w:sz w:val="20"/>
              </w:rPr>
            </w:pPr>
            <w:r>
              <w:rPr>
                <w:b/>
                <w:spacing w:val="-5"/>
                <w:sz w:val="20"/>
              </w:rPr>
              <w:t>1.0</w:t>
            </w:r>
          </w:p>
        </w:tc>
        <w:tc>
          <w:tcPr>
            <w:tcW w:w="1037" w:type="dxa"/>
            <w:tcBorders>
              <w:top w:val="single" w:sz="4" w:space="0" w:color="000000"/>
              <w:bottom w:val="single" w:sz="4" w:space="0" w:color="000000"/>
            </w:tcBorders>
          </w:tcPr>
          <w:p>
            <w:pPr>
              <w:pStyle w:val="TableParagraph"/>
              <w:jc w:val="left"/>
              <w:rPr>
                <w:sz w:val="18"/>
              </w:rPr>
            </w:pPr>
          </w:p>
        </w:tc>
      </w:tr>
      <w:tr>
        <w:trPr>
          <w:trHeight w:val="268" w:hRule="atLeast"/>
        </w:trPr>
        <w:tc>
          <w:tcPr>
            <w:tcW w:w="3057" w:type="dxa"/>
            <w:tcBorders>
              <w:top w:val="single" w:sz="4" w:space="0" w:color="000000"/>
              <w:bottom w:val="single" w:sz="4" w:space="0" w:color="000000"/>
            </w:tcBorders>
          </w:tcPr>
          <w:p>
            <w:pPr>
              <w:pStyle w:val="TableParagraph"/>
              <w:spacing w:line="229" w:lineRule="exact" w:before="19"/>
              <w:ind w:left="14"/>
              <w:jc w:val="left"/>
              <w:rPr>
                <w:i/>
                <w:sz w:val="20"/>
              </w:rPr>
            </w:pPr>
            <w:r>
              <w:rPr>
                <w:i/>
                <w:spacing w:val="-4"/>
                <w:sz w:val="20"/>
              </w:rPr>
              <w:t>Unified</w:t>
            </w:r>
            <w:r>
              <w:rPr>
                <w:i/>
                <w:spacing w:val="-10"/>
                <w:sz w:val="20"/>
              </w:rPr>
              <w:t> </w:t>
            </w:r>
            <w:r>
              <w:rPr>
                <w:i/>
                <w:spacing w:val="-4"/>
                <w:sz w:val="20"/>
              </w:rPr>
              <w:t>Teams</w:t>
            </w:r>
            <w:r>
              <w:rPr>
                <w:i/>
                <w:spacing w:val="-9"/>
                <w:sz w:val="20"/>
              </w:rPr>
              <w:t> </w:t>
            </w:r>
            <w:r>
              <w:rPr>
                <w:i/>
                <w:spacing w:val="-4"/>
                <w:sz w:val="20"/>
              </w:rPr>
              <w:t>(HQ)</w:t>
            </w:r>
          </w:p>
        </w:tc>
        <w:tc>
          <w:tcPr>
            <w:tcW w:w="924" w:type="dxa"/>
            <w:tcBorders>
              <w:top w:val="single" w:sz="4" w:space="0" w:color="000000"/>
              <w:bottom w:val="single" w:sz="4" w:space="0" w:color="000000"/>
            </w:tcBorders>
          </w:tcPr>
          <w:p>
            <w:pPr>
              <w:pStyle w:val="TableParagraph"/>
              <w:jc w:val="left"/>
              <w:rPr>
                <w:sz w:val="18"/>
              </w:rPr>
            </w:pPr>
          </w:p>
        </w:tc>
        <w:tc>
          <w:tcPr>
            <w:tcW w:w="719" w:type="dxa"/>
            <w:tcBorders>
              <w:top w:val="single" w:sz="4" w:space="0" w:color="000000"/>
              <w:bottom w:val="single" w:sz="4" w:space="0" w:color="000000"/>
            </w:tcBorders>
          </w:tcPr>
          <w:p>
            <w:pPr>
              <w:pStyle w:val="TableParagraph"/>
              <w:jc w:val="left"/>
              <w:rPr>
                <w:sz w:val="18"/>
              </w:rPr>
            </w:pPr>
          </w:p>
        </w:tc>
        <w:tc>
          <w:tcPr>
            <w:tcW w:w="848" w:type="dxa"/>
            <w:tcBorders>
              <w:top w:val="single" w:sz="4" w:space="0" w:color="000000"/>
              <w:bottom w:val="single" w:sz="4" w:space="0" w:color="000000"/>
            </w:tcBorders>
          </w:tcPr>
          <w:p>
            <w:pPr>
              <w:pStyle w:val="TableParagraph"/>
              <w:jc w:val="left"/>
              <w:rPr>
                <w:sz w:val="18"/>
              </w:rPr>
            </w:pPr>
          </w:p>
        </w:tc>
        <w:tc>
          <w:tcPr>
            <w:tcW w:w="803" w:type="dxa"/>
            <w:tcBorders>
              <w:top w:val="single" w:sz="4" w:space="0" w:color="000000"/>
              <w:bottom w:val="single" w:sz="4" w:space="0" w:color="000000"/>
            </w:tcBorders>
          </w:tcPr>
          <w:p>
            <w:pPr>
              <w:pStyle w:val="TableParagraph"/>
              <w:jc w:val="left"/>
              <w:rPr>
                <w:sz w:val="18"/>
              </w:rPr>
            </w:pPr>
          </w:p>
        </w:tc>
        <w:tc>
          <w:tcPr>
            <w:tcW w:w="1037" w:type="dxa"/>
            <w:tcBorders>
              <w:top w:val="single" w:sz="4" w:space="0" w:color="000000"/>
              <w:bottom w:val="single" w:sz="4" w:space="0" w:color="000000"/>
            </w:tcBorders>
          </w:tcPr>
          <w:p>
            <w:pPr>
              <w:pStyle w:val="TableParagraph"/>
              <w:jc w:val="left"/>
              <w:rPr>
                <w:sz w:val="18"/>
              </w:rPr>
            </w:pPr>
          </w:p>
        </w:tc>
      </w:tr>
      <w:tr>
        <w:trPr>
          <w:trHeight w:val="273" w:hRule="atLeast"/>
        </w:trPr>
        <w:tc>
          <w:tcPr>
            <w:tcW w:w="3057" w:type="dxa"/>
            <w:tcBorders>
              <w:top w:val="single" w:sz="4" w:space="0" w:color="000000"/>
              <w:bottom w:val="single" w:sz="4" w:space="0" w:color="000000"/>
            </w:tcBorders>
          </w:tcPr>
          <w:p>
            <w:pPr>
              <w:pStyle w:val="TableParagraph"/>
              <w:spacing w:before="19"/>
              <w:ind w:left="14"/>
              <w:jc w:val="left"/>
              <w:rPr>
                <w:i/>
                <w:sz w:val="20"/>
              </w:rPr>
            </w:pPr>
            <w:r>
              <w:rPr>
                <w:i/>
                <w:spacing w:val="-2"/>
                <w:sz w:val="20"/>
              </w:rPr>
              <w:t>Analysts</w:t>
            </w:r>
          </w:p>
        </w:tc>
        <w:tc>
          <w:tcPr>
            <w:tcW w:w="924" w:type="dxa"/>
            <w:tcBorders>
              <w:top w:val="single" w:sz="4" w:space="0" w:color="000000"/>
              <w:bottom w:val="single" w:sz="4" w:space="0" w:color="000000"/>
            </w:tcBorders>
          </w:tcPr>
          <w:p>
            <w:pPr>
              <w:pStyle w:val="TableParagraph"/>
              <w:jc w:val="left"/>
              <w:rPr>
                <w:sz w:val="20"/>
              </w:rPr>
            </w:pPr>
          </w:p>
        </w:tc>
        <w:tc>
          <w:tcPr>
            <w:tcW w:w="719" w:type="dxa"/>
            <w:tcBorders>
              <w:top w:val="single" w:sz="4" w:space="0" w:color="000000"/>
              <w:bottom w:val="single" w:sz="4" w:space="0" w:color="000000"/>
            </w:tcBorders>
          </w:tcPr>
          <w:p>
            <w:pPr>
              <w:pStyle w:val="TableParagraph"/>
              <w:jc w:val="left"/>
              <w:rPr>
                <w:sz w:val="20"/>
              </w:rPr>
            </w:pPr>
          </w:p>
        </w:tc>
        <w:tc>
          <w:tcPr>
            <w:tcW w:w="848" w:type="dxa"/>
            <w:tcBorders>
              <w:top w:val="single" w:sz="4" w:space="0" w:color="000000"/>
              <w:bottom w:val="single" w:sz="4" w:space="0" w:color="000000"/>
            </w:tcBorders>
          </w:tcPr>
          <w:p>
            <w:pPr>
              <w:pStyle w:val="TableParagraph"/>
              <w:jc w:val="left"/>
              <w:rPr>
                <w:sz w:val="20"/>
              </w:rPr>
            </w:pPr>
          </w:p>
        </w:tc>
        <w:tc>
          <w:tcPr>
            <w:tcW w:w="803" w:type="dxa"/>
            <w:tcBorders>
              <w:top w:val="single" w:sz="4" w:space="0" w:color="000000"/>
              <w:bottom w:val="single" w:sz="4" w:space="0" w:color="000000"/>
            </w:tcBorders>
          </w:tcPr>
          <w:p>
            <w:pPr>
              <w:pStyle w:val="TableParagraph"/>
              <w:jc w:val="left"/>
              <w:rPr>
                <w:sz w:val="20"/>
              </w:rPr>
            </w:pPr>
          </w:p>
        </w:tc>
        <w:tc>
          <w:tcPr>
            <w:tcW w:w="1037" w:type="dxa"/>
            <w:tcBorders>
              <w:top w:val="single" w:sz="4" w:space="0" w:color="000000"/>
              <w:bottom w:val="single" w:sz="4" w:space="0" w:color="000000"/>
            </w:tcBorders>
          </w:tcPr>
          <w:p>
            <w:pPr>
              <w:pStyle w:val="TableParagraph"/>
              <w:jc w:val="left"/>
              <w:rPr>
                <w:sz w:val="20"/>
              </w:rPr>
            </w:pPr>
          </w:p>
        </w:tc>
      </w:tr>
      <w:tr>
        <w:trPr>
          <w:trHeight w:val="272" w:hRule="atLeast"/>
        </w:trPr>
        <w:tc>
          <w:tcPr>
            <w:tcW w:w="3057" w:type="dxa"/>
            <w:tcBorders>
              <w:top w:val="single" w:sz="4" w:space="0" w:color="000000"/>
            </w:tcBorders>
          </w:tcPr>
          <w:p>
            <w:pPr>
              <w:pStyle w:val="TableParagraph"/>
              <w:spacing w:before="19"/>
              <w:ind w:left="14"/>
              <w:jc w:val="left"/>
              <w:rPr>
                <w:sz w:val="20"/>
              </w:rPr>
            </w:pPr>
            <w:r>
              <w:rPr>
                <w:spacing w:val="-2"/>
                <w:sz w:val="20"/>
              </w:rPr>
              <w:t>Analyst</w:t>
            </w:r>
          </w:p>
        </w:tc>
        <w:tc>
          <w:tcPr>
            <w:tcW w:w="924" w:type="dxa"/>
            <w:tcBorders>
              <w:top w:val="single" w:sz="4" w:space="0" w:color="000000"/>
            </w:tcBorders>
          </w:tcPr>
          <w:p>
            <w:pPr>
              <w:pStyle w:val="TableParagraph"/>
              <w:spacing w:before="19"/>
              <w:ind w:left="261"/>
              <w:jc w:val="left"/>
              <w:rPr>
                <w:sz w:val="20"/>
              </w:rPr>
            </w:pPr>
            <w:r>
              <w:rPr>
                <w:spacing w:val="-2"/>
                <w:sz w:val="20"/>
              </w:rPr>
              <w:t>P-</w:t>
            </w:r>
            <w:r>
              <w:rPr>
                <w:spacing w:val="-10"/>
                <w:sz w:val="20"/>
              </w:rPr>
              <w:t>3</w:t>
            </w:r>
          </w:p>
        </w:tc>
        <w:tc>
          <w:tcPr>
            <w:tcW w:w="719" w:type="dxa"/>
            <w:tcBorders>
              <w:top w:val="single" w:sz="4" w:space="0" w:color="000000"/>
            </w:tcBorders>
          </w:tcPr>
          <w:p>
            <w:pPr>
              <w:pStyle w:val="TableParagraph"/>
              <w:spacing w:before="19"/>
              <w:ind w:right="-15"/>
              <w:rPr>
                <w:sz w:val="20"/>
              </w:rPr>
            </w:pPr>
            <w:r>
              <w:rPr>
                <w:w w:val="100"/>
                <w:sz w:val="20"/>
              </w:rPr>
              <w:t>2</w:t>
            </w:r>
          </w:p>
        </w:tc>
        <w:tc>
          <w:tcPr>
            <w:tcW w:w="848" w:type="dxa"/>
            <w:tcBorders>
              <w:top w:val="single" w:sz="4" w:space="0" w:color="000000"/>
            </w:tcBorders>
          </w:tcPr>
          <w:p>
            <w:pPr>
              <w:pStyle w:val="TableParagraph"/>
              <w:spacing w:before="19"/>
              <w:ind w:right="246"/>
              <w:rPr>
                <w:sz w:val="20"/>
              </w:rPr>
            </w:pPr>
            <w:r>
              <w:rPr>
                <w:spacing w:val="-5"/>
                <w:sz w:val="20"/>
              </w:rPr>
              <w:t>24</w:t>
            </w:r>
          </w:p>
        </w:tc>
        <w:tc>
          <w:tcPr>
            <w:tcW w:w="803" w:type="dxa"/>
            <w:tcBorders>
              <w:top w:val="single" w:sz="4" w:space="0" w:color="000000"/>
            </w:tcBorders>
          </w:tcPr>
          <w:p>
            <w:pPr>
              <w:pStyle w:val="TableParagraph"/>
              <w:spacing w:before="19"/>
              <w:ind w:left="231" w:right="83"/>
              <w:jc w:val="center"/>
              <w:rPr>
                <w:sz w:val="20"/>
              </w:rPr>
            </w:pPr>
            <w:r>
              <w:rPr>
                <w:spacing w:val="-5"/>
                <w:sz w:val="20"/>
              </w:rPr>
              <w:t>2.0</w:t>
            </w:r>
          </w:p>
        </w:tc>
        <w:tc>
          <w:tcPr>
            <w:tcW w:w="1037" w:type="dxa"/>
            <w:tcBorders>
              <w:top w:val="single" w:sz="4" w:space="0" w:color="000000"/>
            </w:tcBorders>
          </w:tcPr>
          <w:p>
            <w:pPr>
              <w:pStyle w:val="TableParagraph"/>
              <w:spacing w:before="19"/>
              <w:ind w:right="-15"/>
              <w:rPr>
                <w:sz w:val="20"/>
              </w:rPr>
            </w:pPr>
            <w:r>
              <w:rPr>
                <w:spacing w:val="-2"/>
                <w:sz w:val="20"/>
              </w:rPr>
              <w:t>Continued</w:t>
            </w:r>
          </w:p>
        </w:tc>
      </w:tr>
      <w:tr>
        <w:trPr>
          <w:trHeight w:val="264" w:hRule="atLeast"/>
        </w:trPr>
        <w:tc>
          <w:tcPr>
            <w:tcW w:w="3057" w:type="dxa"/>
            <w:tcBorders>
              <w:bottom w:val="single" w:sz="4" w:space="0" w:color="000000"/>
            </w:tcBorders>
          </w:tcPr>
          <w:p>
            <w:pPr>
              <w:pStyle w:val="TableParagraph"/>
              <w:spacing w:line="229" w:lineRule="exact" w:before="15"/>
              <w:ind w:left="14"/>
              <w:jc w:val="left"/>
              <w:rPr>
                <w:sz w:val="20"/>
              </w:rPr>
            </w:pPr>
            <w:r>
              <w:rPr>
                <w:sz w:val="20"/>
              </w:rPr>
              <w:t>Analysis</w:t>
            </w:r>
            <w:r>
              <w:rPr>
                <w:spacing w:val="-5"/>
                <w:sz w:val="20"/>
              </w:rPr>
              <w:t> </w:t>
            </w:r>
            <w:r>
              <w:rPr>
                <w:spacing w:val="-2"/>
                <w:sz w:val="20"/>
              </w:rPr>
              <w:t>Assistant</w:t>
            </w:r>
          </w:p>
        </w:tc>
        <w:tc>
          <w:tcPr>
            <w:tcW w:w="924" w:type="dxa"/>
            <w:tcBorders>
              <w:bottom w:val="single" w:sz="4" w:space="0" w:color="000000"/>
            </w:tcBorders>
          </w:tcPr>
          <w:p>
            <w:pPr>
              <w:pStyle w:val="TableParagraph"/>
              <w:spacing w:line="229" w:lineRule="exact" w:before="15"/>
              <w:ind w:left="261"/>
              <w:jc w:val="left"/>
              <w:rPr>
                <w:sz w:val="20"/>
              </w:rPr>
            </w:pPr>
            <w:r>
              <w:rPr>
                <w:spacing w:val="-2"/>
                <w:sz w:val="20"/>
              </w:rPr>
              <w:t>GS-</w:t>
            </w:r>
            <w:r>
              <w:rPr>
                <w:spacing w:val="-7"/>
                <w:sz w:val="20"/>
              </w:rPr>
              <w:t>OL</w:t>
            </w:r>
          </w:p>
        </w:tc>
        <w:tc>
          <w:tcPr>
            <w:tcW w:w="719" w:type="dxa"/>
            <w:tcBorders>
              <w:bottom w:val="single" w:sz="4" w:space="0" w:color="000000"/>
            </w:tcBorders>
          </w:tcPr>
          <w:p>
            <w:pPr>
              <w:pStyle w:val="TableParagraph"/>
              <w:spacing w:line="229" w:lineRule="exact" w:before="15"/>
              <w:ind w:right="-15"/>
              <w:rPr>
                <w:sz w:val="20"/>
              </w:rPr>
            </w:pPr>
            <w:r>
              <w:rPr>
                <w:w w:val="100"/>
                <w:sz w:val="20"/>
              </w:rPr>
              <w:t>2</w:t>
            </w:r>
          </w:p>
        </w:tc>
        <w:tc>
          <w:tcPr>
            <w:tcW w:w="848" w:type="dxa"/>
            <w:tcBorders>
              <w:bottom w:val="single" w:sz="4" w:space="0" w:color="000000"/>
            </w:tcBorders>
          </w:tcPr>
          <w:p>
            <w:pPr>
              <w:pStyle w:val="TableParagraph"/>
              <w:spacing w:line="229" w:lineRule="exact" w:before="15"/>
              <w:ind w:right="246"/>
              <w:rPr>
                <w:sz w:val="20"/>
              </w:rPr>
            </w:pPr>
            <w:r>
              <w:rPr>
                <w:spacing w:val="-5"/>
                <w:sz w:val="20"/>
              </w:rPr>
              <w:t>24</w:t>
            </w:r>
          </w:p>
        </w:tc>
        <w:tc>
          <w:tcPr>
            <w:tcW w:w="803" w:type="dxa"/>
            <w:tcBorders>
              <w:bottom w:val="single" w:sz="4" w:space="0" w:color="000000"/>
            </w:tcBorders>
          </w:tcPr>
          <w:p>
            <w:pPr>
              <w:pStyle w:val="TableParagraph"/>
              <w:spacing w:line="229" w:lineRule="exact" w:before="15"/>
              <w:ind w:left="231" w:right="83"/>
              <w:jc w:val="center"/>
              <w:rPr>
                <w:sz w:val="20"/>
              </w:rPr>
            </w:pPr>
            <w:r>
              <w:rPr>
                <w:spacing w:val="-5"/>
                <w:sz w:val="20"/>
              </w:rPr>
              <w:t>2.0</w:t>
            </w:r>
          </w:p>
        </w:tc>
        <w:tc>
          <w:tcPr>
            <w:tcW w:w="1037" w:type="dxa"/>
            <w:tcBorders>
              <w:bottom w:val="single" w:sz="4" w:space="0" w:color="000000"/>
            </w:tcBorders>
          </w:tcPr>
          <w:p>
            <w:pPr>
              <w:pStyle w:val="TableParagraph"/>
              <w:spacing w:line="229" w:lineRule="exact" w:before="15"/>
              <w:ind w:right="-15"/>
              <w:rPr>
                <w:sz w:val="20"/>
              </w:rPr>
            </w:pPr>
            <w:r>
              <w:rPr>
                <w:spacing w:val="-2"/>
                <w:sz w:val="20"/>
              </w:rPr>
              <w:t>Continued</w:t>
            </w:r>
          </w:p>
        </w:tc>
      </w:tr>
      <w:tr>
        <w:trPr>
          <w:trHeight w:val="273" w:hRule="atLeast"/>
        </w:trPr>
        <w:tc>
          <w:tcPr>
            <w:tcW w:w="3057" w:type="dxa"/>
            <w:tcBorders>
              <w:top w:val="single" w:sz="4" w:space="0" w:color="000000"/>
              <w:bottom w:val="single" w:sz="4" w:space="0" w:color="000000"/>
            </w:tcBorders>
          </w:tcPr>
          <w:p>
            <w:pPr>
              <w:pStyle w:val="TableParagraph"/>
              <w:jc w:val="left"/>
              <w:rPr>
                <w:sz w:val="20"/>
              </w:rPr>
            </w:pPr>
          </w:p>
        </w:tc>
        <w:tc>
          <w:tcPr>
            <w:tcW w:w="924" w:type="dxa"/>
            <w:tcBorders>
              <w:top w:val="single" w:sz="4" w:space="0" w:color="000000"/>
              <w:bottom w:val="single" w:sz="4" w:space="0" w:color="000000"/>
            </w:tcBorders>
          </w:tcPr>
          <w:p>
            <w:pPr>
              <w:pStyle w:val="TableParagraph"/>
              <w:jc w:val="left"/>
              <w:rPr>
                <w:sz w:val="20"/>
              </w:rPr>
            </w:pPr>
          </w:p>
        </w:tc>
        <w:tc>
          <w:tcPr>
            <w:tcW w:w="719" w:type="dxa"/>
            <w:tcBorders>
              <w:top w:val="single" w:sz="4" w:space="0" w:color="000000"/>
              <w:bottom w:val="single" w:sz="4" w:space="0" w:color="000000"/>
            </w:tcBorders>
          </w:tcPr>
          <w:p>
            <w:pPr>
              <w:pStyle w:val="TableParagraph"/>
              <w:spacing w:before="19"/>
              <w:ind w:right="-15"/>
              <w:rPr>
                <w:b/>
                <w:sz w:val="20"/>
              </w:rPr>
            </w:pPr>
            <w:r>
              <w:rPr>
                <w:b/>
                <w:w w:val="100"/>
                <w:sz w:val="20"/>
              </w:rPr>
              <w:t>4</w:t>
            </w:r>
          </w:p>
        </w:tc>
        <w:tc>
          <w:tcPr>
            <w:tcW w:w="848" w:type="dxa"/>
            <w:tcBorders>
              <w:top w:val="single" w:sz="4" w:space="0" w:color="000000"/>
              <w:bottom w:val="single" w:sz="4" w:space="0" w:color="000000"/>
            </w:tcBorders>
          </w:tcPr>
          <w:p>
            <w:pPr>
              <w:pStyle w:val="TableParagraph"/>
              <w:spacing w:before="19"/>
              <w:ind w:right="246"/>
              <w:rPr>
                <w:b/>
                <w:sz w:val="20"/>
              </w:rPr>
            </w:pPr>
            <w:r>
              <w:rPr>
                <w:b/>
                <w:spacing w:val="-5"/>
                <w:sz w:val="20"/>
              </w:rPr>
              <w:t>48</w:t>
            </w:r>
          </w:p>
        </w:tc>
        <w:tc>
          <w:tcPr>
            <w:tcW w:w="803" w:type="dxa"/>
            <w:tcBorders>
              <w:top w:val="single" w:sz="4" w:space="0" w:color="000000"/>
              <w:bottom w:val="single" w:sz="4" w:space="0" w:color="000000"/>
            </w:tcBorders>
          </w:tcPr>
          <w:p>
            <w:pPr>
              <w:pStyle w:val="TableParagraph"/>
              <w:spacing w:before="19"/>
              <w:ind w:left="231" w:right="83"/>
              <w:jc w:val="center"/>
              <w:rPr>
                <w:b/>
                <w:sz w:val="20"/>
              </w:rPr>
            </w:pPr>
            <w:r>
              <w:rPr>
                <w:b/>
                <w:spacing w:val="-5"/>
                <w:sz w:val="20"/>
              </w:rPr>
              <w:t>4.0</w:t>
            </w:r>
          </w:p>
        </w:tc>
        <w:tc>
          <w:tcPr>
            <w:tcW w:w="1037" w:type="dxa"/>
            <w:tcBorders>
              <w:top w:val="single" w:sz="4" w:space="0" w:color="000000"/>
              <w:bottom w:val="single" w:sz="4" w:space="0" w:color="000000"/>
            </w:tcBorders>
          </w:tcPr>
          <w:p>
            <w:pPr>
              <w:pStyle w:val="TableParagraph"/>
              <w:jc w:val="left"/>
              <w:rPr>
                <w:sz w:val="20"/>
              </w:rPr>
            </w:pPr>
          </w:p>
        </w:tc>
      </w:tr>
    </w:tbl>
    <w:p>
      <w:pPr>
        <w:spacing w:after="0"/>
        <w:jc w:val="left"/>
        <w:rPr>
          <w:sz w:val="20"/>
        </w:rPr>
        <w:sectPr>
          <w:pgSz w:w="11910" w:h="16840"/>
          <w:pgMar w:header="953" w:footer="940" w:top="1140" w:bottom="1140" w:left="20" w:right="20"/>
        </w:sectPr>
      </w:pPr>
    </w:p>
    <w:tbl>
      <w:tblPr>
        <w:tblW w:w="0" w:type="auto"/>
        <w:jc w:val="left"/>
        <w:tblInd w:w="1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88"/>
        <w:gridCol w:w="942"/>
        <w:gridCol w:w="720"/>
        <w:gridCol w:w="801"/>
        <w:gridCol w:w="852"/>
        <w:gridCol w:w="2200"/>
      </w:tblGrid>
      <w:tr>
        <w:trPr>
          <w:trHeight w:val="402" w:hRule="atLeast"/>
        </w:trPr>
        <w:tc>
          <w:tcPr>
            <w:tcW w:w="4188" w:type="dxa"/>
            <w:tcBorders>
              <w:top w:val="single" w:sz="2" w:space="0" w:color="000000"/>
              <w:bottom w:val="single" w:sz="4" w:space="0" w:color="000000"/>
            </w:tcBorders>
          </w:tcPr>
          <w:p>
            <w:pPr>
              <w:pStyle w:val="TableParagraph"/>
              <w:spacing w:before="151"/>
              <w:ind w:left="1162"/>
              <w:jc w:val="left"/>
              <w:rPr>
                <w:i/>
                <w:sz w:val="20"/>
              </w:rPr>
            </w:pPr>
            <w:r>
              <w:rPr>
                <w:i/>
                <w:spacing w:val="-2"/>
                <w:sz w:val="20"/>
              </w:rPr>
              <w:t>Title</w:t>
            </w:r>
          </w:p>
        </w:tc>
        <w:tc>
          <w:tcPr>
            <w:tcW w:w="942" w:type="dxa"/>
            <w:tcBorders>
              <w:top w:val="single" w:sz="2" w:space="0" w:color="000000"/>
              <w:bottom w:val="single" w:sz="4" w:space="0" w:color="000000"/>
            </w:tcBorders>
          </w:tcPr>
          <w:p>
            <w:pPr>
              <w:pStyle w:val="TableParagraph"/>
              <w:spacing w:before="151"/>
              <w:ind w:left="277"/>
              <w:jc w:val="left"/>
              <w:rPr>
                <w:i/>
                <w:sz w:val="20"/>
              </w:rPr>
            </w:pPr>
            <w:r>
              <w:rPr>
                <w:i/>
                <w:spacing w:val="-2"/>
                <w:sz w:val="20"/>
              </w:rPr>
              <w:t>Grade</w:t>
            </w:r>
          </w:p>
        </w:tc>
        <w:tc>
          <w:tcPr>
            <w:tcW w:w="720" w:type="dxa"/>
            <w:tcBorders>
              <w:top w:val="single" w:sz="2" w:space="0" w:color="000000"/>
              <w:bottom w:val="single" w:sz="4" w:space="0" w:color="000000"/>
            </w:tcBorders>
          </w:tcPr>
          <w:p>
            <w:pPr>
              <w:pStyle w:val="TableParagraph"/>
              <w:spacing w:before="151"/>
              <w:ind w:right="-15"/>
              <w:rPr>
                <w:i/>
                <w:sz w:val="20"/>
              </w:rPr>
            </w:pPr>
            <w:r>
              <w:rPr>
                <w:i/>
                <w:spacing w:val="-2"/>
                <w:sz w:val="20"/>
              </w:rPr>
              <w:t>Number</w:t>
            </w:r>
          </w:p>
        </w:tc>
        <w:tc>
          <w:tcPr>
            <w:tcW w:w="801" w:type="dxa"/>
            <w:tcBorders>
              <w:top w:val="single" w:sz="2" w:space="0" w:color="000000"/>
              <w:bottom w:val="single" w:sz="4" w:space="0" w:color="000000"/>
            </w:tcBorders>
          </w:tcPr>
          <w:p>
            <w:pPr>
              <w:pStyle w:val="TableParagraph"/>
              <w:spacing w:before="151"/>
              <w:ind w:left="-1" w:right="194"/>
              <w:rPr>
                <w:i/>
                <w:sz w:val="20"/>
              </w:rPr>
            </w:pPr>
            <w:r>
              <w:rPr>
                <w:i/>
                <w:spacing w:val="-2"/>
                <w:sz w:val="20"/>
              </w:rPr>
              <w:t>Months</w:t>
            </w:r>
          </w:p>
        </w:tc>
        <w:tc>
          <w:tcPr>
            <w:tcW w:w="852" w:type="dxa"/>
            <w:tcBorders>
              <w:top w:val="single" w:sz="2" w:space="0" w:color="000000"/>
              <w:bottom w:val="single" w:sz="4" w:space="0" w:color="000000"/>
            </w:tcBorders>
          </w:tcPr>
          <w:p>
            <w:pPr>
              <w:pStyle w:val="TableParagraph"/>
              <w:spacing w:before="151"/>
              <w:ind w:right="203"/>
              <w:rPr>
                <w:i/>
                <w:sz w:val="20"/>
              </w:rPr>
            </w:pPr>
            <w:r>
              <w:rPr>
                <w:i/>
                <w:spacing w:val="-5"/>
                <w:sz w:val="20"/>
              </w:rPr>
              <w:t>FTE</w:t>
            </w:r>
          </w:p>
        </w:tc>
        <w:tc>
          <w:tcPr>
            <w:tcW w:w="2200" w:type="dxa"/>
            <w:tcBorders>
              <w:top w:val="single" w:sz="2" w:space="0" w:color="000000"/>
              <w:bottom w:val="single" w:sz="4" w:space="0" w:color="000000"/>
            </w:tcBorders>
          </w:tcPr>
          <w:p>
            <w:pPr>
              <w:pStyle w:val="TableParagraph"/>
              <w:jc w:val="left"/>
              <w:rPr>
                <w:sz w:val="18"/>
              </w:rPr>
            </w:pPr>
          </w:p>
        </w:tc>
      </w:tr>
      <w:tr>
        <w:trPr>
          <w:trHeight w:val="268" w:hRule="atLeast"/>
        </w:trPr>
        <w:tc>
          <w:tcPr>
            <w:tcW w:w="4188" w:type="dxa"/>
            <w:tcBorders>
              <w:top w:val="single" w:sz="4" w:space="0" w:color="000000"/>
              <w:bottom w:val="single" w:sz="4" w:space="0" w:color="000000"/>
            </w:tcBorders>
          </w:tcPr>
          <w:p>
            <w:pPr>
              <w:pStyle w:val="TableParagraph"/>
              <w:spacing w:before="16"/>
              <w:ind w:left="1162"/>
              <w:jc w:val="left"/>
              <w:rPr>
                <w:i/>
                <w:sz w:val="20"/>
              </w:rPr>
            </w:pPr>
            <w:r>
              <w:rPr>
                <w:i/>
                <w:spacing w:val="-2"/>
                <w:sz w:val="20"/>
              </w:rPr>
              <w:t>Investigators</w:t>
            </w:r>
          </w:p>
        </w:tc>
        <w:tc>
          <w:tcPr>
            <w:tcW w:w="942" w:type="dxa"/>
            <w:tcBorders>
              <w:top w:val="single" w:sz="4" w:space="0" w:color="000000"/>
              <w:bottom w:val="single" w:sz="4" w:space="0" w:color="000000"/>
            </w:tcBorders>
          </w:tcPr>
          <w:p>
            <w:pPr>
              <w:pStyle w:val="TableParagraph"/>
              <w:jc w:val="left"/>
              <w:rPr>
                <w:sz w:val="18"/>
              </w:rPr>
            </w:pPr>
          </w:p>
        </w:tc>
        <w:tc>
          <w:tcPr>
            <w:tcW w:w="720" w:type="dxa"/>
            <w:tcBorders>
              <w:top w:val="single" w:sz="4" w:space="0" w:color="000000"/>
              <w:bottom w:val="single" w:sz="4" w:space="0" w:color="000000"/>
            </w:tcBorders>
          </w:tcPr>
          <w:p>
            <w:pPr>
              <w:pStyle w:val="TableParagraph"/>
              <w:jc w:val="left"/>
              <w:rPr>
                <w:sz w:val="18"/>
              </w:rPr>
            </w:pPr>
          </w:p>
        </w:tc>
        <w:tc>
          <w:tcPr>
            <w:tcW w:w="801" w:type="dxa"/>
            <w:tcBorders>
              <w:top w:val="single" w:sz="4" w:space="0" w:color="000000"/>
              <w:bottom w:val="single" w:sz="4" w:space="0" w:color="000000"/>
            </w:tcBorders>
          </w:tcPr>
          <w:p>
            <w:pPr>
              <w:pStyle w:val="TableParagraph"/>
              <w:jc w:val="left"/>
              <w:rPr>
                <w:sz w:val="18"/>
              </w:rPr>
            </w:pPr>
          </w:p>
        </w:tc>
        <w:tc>
          <w:tcPr>
            <w:tcW w:w="852" w:type="dxa"/>
            <w:tcBorders>
              <w:top w:val="single" w:sz="4" w:space="0" w:color="000000"/>
              <w:bottom w:val="single" w:sz="4" w:space="0" w:color="000000"/>
            </w:tcBorders>
          </w:tcPr>
          <w:p>
            <w:pPr>
              <w:pStyle w:val="TableParagraph"/>
              <w:jc w:val="left"/>
              <w:rPr>
                <w:sz w:val="18"/>
              </w:rPr>
            </w:pPr>
          </w:p>
        </w:tc>
        <w:tc>
          <w:tcPr>
            <w:tcW w:w="2200" w:type="dxa"/>
            <w:tcBorders>
              <w:top w:val="single" w:sz="4" w:space="0" w:color="000000"/>
              <w:bottom w:val="single" w:sz="4" w:space="0" w:color="000000"/>
            </w:tcBorders>
          </w:tcPr>
          <w:p>
            <w:pPr>
              <w:pStyle w:val="TableParagraph"/>
              <w:jc w:val="left"/>
              <w:rPr>
                <w:sz w:val="18"/>
              </w:rPr>
            </w:pPr>
          </w:p>
        </w:tc>
      </w:tr>
      <w:tr>
        <w:trPr>
          <w:trHeight w:val="272" w:hRule="atLeast"/>
        </w:trPr>
        <w:tc>
          <w:tcPr>
            <w:tcW w:w="4188" w:type="dxa"/>
            <w:tcBorders>
              <w:top w:val="single" w:sz="4" w:space="0" w:color="000000"/>
            </w:tcBorders>
          </w:tcPr>
          <w:p>
            <w:pPr>
              <w:pStyle w:val="TableParagraph"/>
              <w:spacing w:before="16"/>
              <w:ind w:left="1162"/>
              <w:jc w:val="left"/>
              <w:rPr>
                <w:sz w:val="20"/>
              </w:rPr>
            </w:pPr>
            <w:r>
              <w:rPr>
                <w:spacing w:val="-2"/>
                <w:sz w:val="20"/>
              </w:rPr>
              <w:t>Investigator</w:t>
            </w:r>
          </w:p>
        </w:tc>
        <w:tc>
          <w:tcPr>
            <w:tcW w:w="942" w:type="dxa"/>
            <w:tcBorders>
              <w:top w:val="single" w:sz="4" w:space="0" w:color="000000"/>
            </w:tcBorders>
          </w:tcPr>
          <w:p>
            <w:pPr>
              <w:pStyle w:val="TableParagraph"/>
              <w:spacing w:before="16"/>
              <w:ind w:left="277"/>
              <w:jc w:val="left"/>
              <w:rPr>
                <w:sz w:val="20"/>
              </w:rPr>
            </w:pPr>
            <w:r>
              <w:rPr>
                <w:spacing w:val="-2"/>
                <w:sz w:val="20"/>
              </w:rPr>
              <w:t>P-</w:t>
            </w:r>
            <w:r>
              <w:rPr>
                <w:spacing w:val="-10"/>
                <w:sz w:val="20"/>
              </w:rPr>
              <w:t>3</w:t>
            </w:r>
          </w:p>
        </w:tc>
        <w:tc>
          <w:tcPr>
            <w:tcW w:w="720" w:type="dxa"/>
            <w:tcBorders>
              <w:top w:val="single" w:sz="4" w:space="0" w:color="000000"/>
            </w:tcBorders>
          </w:tcPr>
          <w:p>
            <w:pPr>
              <w:pStyle w:val="TableParagraph"/>
              <w:spacing w:before="16"/>
              <w:ind w:right="1"/>
              <w:rPr>
                <w:sz w:val="20"/>
              </w:rPr>
            </w:pPr>
            <w:r>
              <w:rPr>
                <w:w w:val="100"/>
                <w:sz w:val="20"/>
              </w:rPr>
              <w:t>5</w:t>
            </w:r>
          </w:p>
        </w:tc>
        <w:tc>
          <w:tcPr>
            <w:tcW w:w="801" w:type="dxa"/>
            <w:tcBorders>
              <w:top w:val="single" w:sz="4" w:space="0" w:color="000000"/>
            </w:tcBorders>
          </w:tcPr>
          <w:p>
            <w:pPr>
              <w:pStyle w:val="TableParagraph"/>
              <w:spacing w:before="16"/>
              <w:ind w:left="-1" w:right="200"/>
              <w:rPr>
                <w:sz w:val="20"/>
              </w:rPr>
            </w:pPr>
            <w:r>
              <w:rPr>
                <w:spacing w:val="-5"/>
                <w:sz w:val="20"/>
              </w:rPr>
              <w:t>60</w:t>
            </w:r>
          </w:p>
        </w:tc>
        <w:tc>
          <w:tcPr>
            <w:tcW w:w="852" w:type="dxa"/>
            <w:tcBorders>
              <w:top w:val="single" w:sz="4" w:space="0" w:color="000000"/>
            </w:tcBorders>
          </w:tcPr>
          <w:p>
            <w:pPr>
              <w:pStyle w:val="TableParagraph"/>
              <w:spacing w:before="16"/>
              <w:ind w:right="202"/>
              <w:rPr>
                <w:sz w:val="20"/>
              </w:rPr>
            </w:pPr>
            <w:r>
              <w:rPr>
                <w:spacing w:val="-5"/>
                <w:sz w:val="20"/>
              </w:rPr>
              <w:t>5.0</w:t>
            </w:r>
          </w:p>
        </w:tc>
        <w:tc>
          <w:tcPr>
            <w:tcW w:w="2200" w:type="dxa"/>
            <w:tcBorders>
              <w:top w:val="single" w:sz="4" w:space="0" w:color="000000"/>
            </w:tcBorders>
          </w:tcPr>
          <w:p>
            <w:pPr>
              <w:pStyle w:val="TableParagraph"/>
              <w:spacing w:before="16"/>
              <w:ind w:right="1159"/>
              <w:rPr>
                <w:sz w:val="20"/>
              </w:rPr>
            </w:pPr>
            <w:r>
              <w:rPr>
                <w:spacing w:val="-2"/>
                <w:sz w:val="20"/>
              </w:rPr>
              <w:t>Continued</w:t>
            </w:r>
          </w:p>
        </w:tc>
      </w:tr>
      <w:tr>
        <w:trPr>
          <w:trHeight w:val="271" w:hRule="atLeast"/>
        </w:trPr>
        <w:tc>
          <w:tcPr>
            <w:tcW w:w="4188" w:type="dxa"/>
          </w:tcPr>
          <w:p>
            <w:pPr>
              <w:pStyle w:val="TableParagraph"/>
              <w:spacing w:before="12"/>
              <w:ind w:left="1162"/>
              <w:jc w:val="left"/>
              <w:rPr>
                <w:sz w:val="20"/>
              </w:rPr>
            </w:pPr>
            <w:r>
              <w:rPr>
                <w:sz w:val="20"/>
              </w:rPr>
              <w:t>Associate</w:t>
            </w:r>
            <w:r>
              <w:rPr>
                <w:spacing w:val="-7"/>
                <w:sz w:val="20"/>
              </w:rPr>
              <w:t> </w:t>
            </w:r>
            <w:r>
              <w:rPr>
                <w:spacing w:val="-2"/>
                <w:sz w:val="20"/>
              </w:rPr>
              <w:t>Investigator</w:t>
            </w:r>
          </w:p>
        </w:tc>
        <w:tc>
          <w:tcPr>
            <w:tcW w:w="942" w:type="dxa"/>
          </w:tcPr>
          <w:p>
            <w:pPr>
              <w:pStyle w:val="TableParagraph"/>
              <w:spacing w:before="12"/>
              <w:ind w:left="277"/>
              <w:jc w:val="left"/>
              <w:rPr>
                <w:sz w:val="20"/>
              </w:rPr>
            </w:pPr>
            <w:r>
              <w:rPr>
                <w:spacing w:val="-2"/>
                <w:sz w:val="20"/>
              </w:rPr>
              <w:t>P-</w:t>
            </w:r>
            <w:r>
              <w:rPr>
                <w:spacing w:val="-10"/>
                <w:sz w:val="20"/>
              </w:rPr>
              <w:t>2</w:t>
            </w:r>
          </w:p>
        </w:tc>
        <w:tc>
          <w:tcPr>
            <w:tcW w:w="720" w:type="dxa"/>
          </w:tcPr>
          <w:p>
            <w:pPr>
              <w:pStyle w:val="TableParagraph"/>
              <w:spacing w:before="12"/>
              <w:ind w:right="1"/>
              <w:rPr>
                <w:sz w:val="20"/>
              </w:rPr>
            </w:pPr>
            <w:r>
              <w:rPr>
                <w:w w:val="100"/>
                <w:sz w:val="20"/>
              </w:rPr>
              <w:t>3</w:t>
            </w:r>
          </w:p>
        </w:tc>
        <w:tc>
          <w:tcPr>
            <w:tcW w:w="801" w:type="dxa"/>
          </w:tcPr>
          <w:p>
            <w:pPr>
              <w:pStyle w:val="TableParagraph"/>
              <w:spacing w:before="12"/>
              <w:ind w:left="-1" w:right="200"/>
              <w:rPr>
                <w:sz w:val="20"/>
              </w:rPr>
            </w:pPr>
            <w:r>
              <w:rPr>
                <w:spacing w:val="-5"/>
                <w:sz w:val="20"/>
              </w:rPr>
              <w:t>36</w:t>
            </w:r>
          </w:p>
        </w:tc>
        <w:tc>
          <w:tcPr>
            <w:tcW w:w="852" w:type="dxa"/>
          </w:tcPr>
          <w:p>
            <w:pPr>
              <w:pStyle w:val="TableParagraph"/>
              <w:spacing w:before="12"/>
              <w:ind w:right="202"/>
              <w:rPr>
                <w:sz w:val="20"/>
              </w:rPr>
            </w:pPr>
            <w:r>
              <w:rPr>
                <w:spacing w:val="-5"/>
                <w:sz w:val="20"/>
              </w:rPr>
              <w:t>3.0</w:t>
            </w:r>
          </w:p>
        </w:tc>
        <w:tc>
          <w:tcPr>
            <w:tcW w:w="2200" w:type="dxa"/>
          </w:tcPr>
          <w:p>
            <w:pPr>
              <w:pStyle w:val="TableParagraph"/>
              <w:spacing w:before="12"/>
              <w:ind w:right="1159"/>
              <w:rPr>
                <w:sz w:val="20"/>
              </w:rPr>
            </w:pPr>
            <w:r>
              <w:rPr>
                <w:spacing w:val="-2"/>
                <w:sz w:val="20"/>
              </w:rPr>
              <w:t>Continued</w:t>
            </w:r>
          </w:p>
        </w:tc>
      </w:tr>
      <w:tr>
        <w:trPr>
          <w:trHeight w:val="498" w:hRule="atLeast"/>
        </w:trPr>
        <w:tc>
          <w:tcPr>
            <w:tcW w:w="4188" w:type="dxa"/>
            <w:tcBorders>
              <w:bottom w:val="single" w:sz="4" w:space="0" w:color="000000"/>
            </w:tcBorders>
          </w:tcPr>
          <w:p>
            <w:pPr>
              <w:pStyle w:val="TableParagraph"/>
              <w:spacing w:before="15"/>
              <w:ind w:left="1162"/>
              <w:jc w:val="left"/>
              <w:rPr>
                <w:sz w:val="20"/>
              </w:rPr>
            </w:pPr>
            <w:r>
              <w:rPr>
                <w:sz w:val="20"/>
              </w:rPr>
              <w:t>Situation-Specific</w:t>
            </w:r>
            <w:r>
              <w:rPr>
                <w:spacing w:val="-13"/>
                <w:sz w:val="20"/>
              </w:rPr>
              <w:t> </w:t>
            </w:r>
            <w:r>
              <w:rPr>
                <w:sz w:val="20"/>
              </w:rPr>
              <w:t>Investigation </w:t>
            </w:r>
            <w:r>
              <w:rPr>
                <w:spacing w:val="-2"/>
                <w:sz w:val="20"/>
              </w:rPr>
              <w:t>Assistant</w:t>
            </w:r>
          </w:p>
        </w:tc>
        <w:tc>
          <w:tcPr>
            <w:tcW w:w="942" w:type="dxa"/>
            <w:tcBorders>
              <w:bottom w:val="single" w:sz="4" w:space="0" w:color="000000"/>
            </w:tcBorders>
          </w:tcPr>
          <w:p>
            <w:pPr>
              <w:pStyle w:val="TableParagraph"/>
              <w:spacing w:before="4"/>
              <w:jc w:val="left"/>
              <w:rPr>
                <w:sz w:val="21"/>
              </w:rPr>
            </w:pPr>
          </w:p>
          <w:p>
            <w:pPr>
              <w:pStyle w:val="TableParagraph"/>
              <w:ind w:left="277"/>
              <w:jc w:val="left"/>
              <w:rPr>
                <w:sz w:val="20"/>
              </w:rPr>
            </w:pPr>
            <w:r>
              <w:rPr>
                <w:spacing w:val="-2"/>
                <w:sz w:val="20"/>
              </w:rPr>
              <w:t>GS-</w:t>
            </w:r>
            <w:r>
              <w:rPr>
                <w:spacing w:val="-7"/>
                <w:sz w:val="20"/>
              </w:rPr>
              <w:t>OL</w:t>
            </w:r>
          </w:p>
        </w:tc>
        <w:tc>
          <w:tcPr>
            <w:tcW w:w="720" w:type="dxa"/>
            <w:tcBorders>
              <w:bottom w:val="single" w:sz="4" w:space="0" w:color="000000"/>
            </w:tcBorders>
          </w:tcPr>
          <w:p>
            <w:pPr>
              <w:pStyle w:val="TableParagraph"/>
              <w:spacing w:before="4"/>
              <w:jc w:val="left"/>
              <w:rPr>
                <w:sz w:val="21"/>
              </w:rPr>
            </w:pPr>
          </w:p>
          <w:p>
            <w:pPr>
              <w:pStyle w:val="TableParagraph"/>
              <w:ind w:right="1"/>
              <w:rPr>
                <w:sz w:val="20"/>
              </w:rPr>
            </w:pPr>
            <w:r>
              <w:rPr>
                <w:w w:val="100"/>
                <w:sz w:val="20"/>
              </w:rPr>
              <w:t>4</w:t>
            </w:r>
          </w:p>
        </w:tc>
        <w:tc>
          <w:tcPr>
            <w:tcW w:w="801" w:type="dxa"/>
            <w:tcBorders>
              <w:bottom w:val="single" w:sz="4" w:space="0" w:color="000000"/>
            </w:tcBorders>
          </w:tcPr>
          <w:p>
            <w:pPr>
              <w:pStyle w:val="TableParagraph"/>
              <w:spacing w:before="4"/>
              <w:jc w:val="left"/>
              <w:rPr>
                <w:sz w:val="21"/>
              </w:rPr>
            </w:pPr>
          </w:p>
          <w:p>
            <w:pPr>
              <w:pStyle w:val="TableParagraph"/>
              <w:ind w:left="-1" w:right="200"/>
              <w:rPr>
                <w:sz w:val="20"/>
              </w:rPr>
            </w:pPr>
            <w:r>
              <w:rPr>
                <w:spacing w:val="-5"/>
                <w:sz w:val="20"/>
              </w:rPr>
              <w:t>48</w:t>
            </w:r>
          </w:p>
        </w:tc>
        <w:tc>
          <w:tcPr>
            <w:tcW w:w="852" w:type="dxa"/>
            <w:tcBorders>
              <w:bottom w:val="single" w:sz="4" w:space="0" w:color="000000"/>
            </w:tcBorders>
          </w:tcPr>
          <w:p>
            <w:pPr>
              <w:pStyle w:val="TableParagraph"/>
              <w:spacing w:before="4"/>
              <w:jc w:val="left"/>
              <w:rPr>
                <w:sz w:val="21"/>
              </w:rPr>
            </w:pPr>
          </w:p>
          <w:p>
            <w:pPr>
              <w:pStyle w:val="TableParagraph"/>
              <w:ind w:right="202"/>
              <w:rPr>
                <w:sz w:val="20"/>
              </w:rPr>
            </w:pPr>
            <w:r>
              <w:rPr>
                <w:spacing w:val="-5"/>
                <w:sz w:val="20"/>
              </w:rPr>
              <w:t>4.0</w:t>
            </w:r>
          </w:p>
        </w:tc>
        <w:tc>
          <w:tcPr>
            <w:tcW w:w="2200" w:type="dxa"/>
            <w:tcBorders>
              <w:bottom w:val="single" w:sz="4" w:space="0" w:color="000000"/>
            </w:tcBorders>
          </w:tcPr>
          <w:p>
            <w:pPr>
              <w:pStyle w:val="TableParagraph"/>
              <w:spacing w:before="4"/>
              <w:jc w:val="left"/>
              <w:rPr>
                <w:sz w:val="21"/>
              </w:rPr>
            </w:pPr>
          </w:p>
          <w:p>
            <w:pPr>
              <w:pStyle w:val="TableParagraph"/>
              <w:ind w:right="1159"/>
              <w:rPr>
                <w:sz w:val="20"/>
              </w:rPr>
            </w:pPr>
            <w:r>
              <w:rPr>
                <w:spacing w:val="-2"/>
                <w:sz w:val="20"/>
              </w:rPr>
              <w:t>Continued</w:t>
            </w:r>
          </w:p>
        </w:tc>
      </w:tr>
      <w:tr>
        <w:trPr>
          <w:trHeight w:val="268" w:hRule="atLeast"/>
        </w:trPr>
        <w:tc>
          <w:tcPr>
            <w:tcW w:w="4188" w:type="dxa"/>
            <w:tcBorders>
              <w:top w:val="single" w:sz="4" w:space="0" w:color="000000"/>
              <w:bottom w:val="single" w:sz="4" w:space="0" w:color="000000"/>
            </w:tcBorders>
          </w:tcPr>
          <w:p>
            <w:pPr>
              <w:pStyle w:val="TableParagraph"/>
              <w:jc w:val="left"/>
              <w:rPr>
                <w:sz w:val="18"/>
              </w:rPr>
            </w:pPr>
          </w:p>
        </w:tc>
        <w:tc>
          <w:tcPr>
            <w:tcW w:w="942" w:type="dxa"/>
            <w:tcBorders>
              <w:top w:val="single" w:sz="4" w:space="0" w:color="000000"/>
              <w:bottom w:val="single" w:sz="4" w:space="0" w:color="000000"/>
            </w:tcBorders>
          </w:tcPr>
          <w:p>
            <w:pPr>
              <w:pStyle w:val="TableParagraph"/>
              <w:jc w:val="left"/>
              <w:rPr>
                <w:sz w:val="18"/>
              </w:rPr>
            </w:pPr>
          </w:p>
        </w:tc>
        <w:tc>
          <w:tcPr>
            <w:tcW w:w="720" w:type="dxa"/>
            <w:tcBorders>
              <w:top w:val="single" w:sz="4" w:space="0" w:color="000000"/>
              <w:bottom w:val="single" w:sz="4" w:space="0" w:color="000000"/>
            </w:tcBorders>
          </w:tcPr>
          <w:p>
            <w:pPr>
              <w:pStyle w:val="TableParagraph"/>
              <w:spacing w:before="16"/>
              <w:ind w:right="1"/>
              <w:rPr>
                <w:b/>
                <w:sz w:val="20"/>
              </w:rPr>
            </w:pPr>
            <w:r>
              <w:rPr>
                <w:b/>
                <w:spacing w:val="-5"/>
                <w:sz w:val="20"/>
              </w:rPr>
              <w:t>12</w:t>
            </w:r>
          </w:p>
        </w:tc>
        <w:tc>
          <w:tcPr>
            <w:tcW w:w="801" w:type="dxa"/>
            <w:tcBorders>
              <w:top w:val="single" w:sz="4" w:space="0" w:color="000000"/>
              <w:bottom w:val="single" w:sz="4" w:space="0" w:color="000000"/>
            </w:tcBorders>
          </w:tcPr>
          <w:p>
            <w:pPr>
              <w:pStyle w:val="TableParagraph"/>
              <w:spacing w:before="16"/>
              <w:ind w:left="-1" w:right="200"/>
              <w:rPr>
                <w:b/>
                <w:sz w:val="20"/>
              </w:rPr>
            </w:pPr>
            <w:r>
              <w:rPr>
                <w:b/>
                <w:spacing w:val="-5"/>
                <w:sz w:val="20"/>
              </w:rPr>
              <w:t>144</w:t>
            </w:r>
          </w:p>
        </w:tc>
        <w:tc>
          <w:tcPr>
            <w:tcW w:w="852" w:type="dxa"/>
            <w:tcBorders>
              <w:top w:val="single" w:sz="4" w:space="0" w:color="000000"/>
              <w:bottom w:val="single" w:sz="4" w:space="0" w:color="000000"/>
            </w:tcBorders>
          </w:tcPr>
          <w:p>
            <w:pPr>
              <w:pStyle w:val="TableParagraph"/>
              <w:spacing w:before="16"/>
              <w:ind w:right="202"/>
              <w:rPr>
                <w:b/>
                <w:sz w:val="20"/>
              </w:rPr>
            </w:pPr>
            <w:r>
              <w:rPr>
                <w:b/>
                <w:spacing w:val="-4"/>
                <w:sz w:val="20"/>
              </w:rPr>
              <w:t>12.0</w:t>
            </w:r>
          </w:p>
        </w:tc>
        <w:tc>
          <w:tcPr>
            <w:tcW w:w="2200" w:type="dxa"/>
            <w:tcBorders>
              <w:top w:val="single" w:sz="4" w:space="0" w:color="000000"/>
              <w:bottom w:val="single" w:sz="4" w:space="0" w:color="000000"/>
            </w:tcBorders>
          </w:tcPr>
          <w:p>
            <w:pPr>
              <w:pStyle w:val="TableParagraph"/>
              <w:jc w:val="left"/>
              <w:rPr>
                <w:sz w:val="18"/>
              </w:rPr>
            </w:pPr>
          </w:p>
        </w:tc>
      </w:tr>
      <w:tr>
        <w:trPr>
          <w:trHeight w:val="273" w:hRule="atLeast"/>
        </w:trPr>
        <w:tc>
          <w:tcPr>
            <w:tcW w:w="4188" w:type="dxa"/>
            <w:tcBorders>
              <w:top w:val="single" w:sz="4" w:space="0" w:color="000000"/>
              <w:bottom w:val="single" w:sz="4" w:space="0" w:color="000000"/>
            </w:tcBorders>
          </w:tcPr>
          <w:p>
            <w:pPr>
              <w:pStyle w:val="TableParagraph"/>
              <w:spacing w:before="16"/>
              <w:ind w:left="1162"/>
              <w:jc w:val="left"/>
              <w:rPr>
                <w:i/>
                <w:sz w:val="20"/>
              </w:rPr>
            </w:pPr>
            <w:r>
              <w:rPr>
                <w:i/>
                <w:sz w:val="20"/>
              </w:rPr>
              <w:t>Financial</w:t>
            </w:r>
            <w:r>
              <w:rPr>
                <w:i/>
                <w:spacing w:val="-12"/>
                <w:sz w:val="20"/>
              </w:rPr>
              <w:t> </w:t>
            </w:r>
            <w:r>
              <w:rPr>
                <w:i/>
                <w:sz w:val="20"/>
              </w:rPr>
              <w:t>Investigation</w:t>
            </w:r>
            <w:r>
              <w:rPr>
                <w:i/>
                <w:spacing w:val="-11"/>
                <w:sz w:val="20"/>
              </w:rPr>
              <w:t> </w:t>
            </w:r>
            <w:r>
              <w:rPr>
                <w:i/>
                <w:spacing w:val="-4"/>
                <w:sz w:val="20"/>
              </w:rPr>
              <w:t>Unit</w:t>
            </w:r>
          </w:p>
        </w:tc>
        <w:tc>
          <w:tcPr>
            <w:tcW w:w="942" w:type="dxa"/>
            <w:tcBorders>
              <w:top w:val="single" w:sz="4" w:space="0" w:color="000000"/>
              <w:bottom w:val="single" w:sz="4" w:space="0" w:color="000000"/>
            </w:tcBorders>
          </w:tcPr>
          <w:p>
            <w:pPr>
              <w:pStyle w:val="TableParagraph"/>
              <w:jc w:val="left"/>
              <w:rPr>
                <w:sz w:val="18"/>
              </w:rPr>
            </w:pPr>
          </w:p>
        </w:tc>
        <w:tc>
          <w:tcPr>
            <w:tcW w:w="720" w:type="dxa"/>
            <w:tcBorders>
              <w:top w:val="single" w:sz="4" w:space="0" w:color="000000"/>
              <w:bottom w:val="single" w:sz="4" w:space="0" w:color="000000"/>
            </w:tcBorders>
          </w:tcPr>
          <w:p>
            <w:pPr>
              <w:pStyle w:val="TableParagraph"/>
              <w:jc w:val="left"/>
              <w:rPr>
                <w:sz w:val="18"/>
              </w:rPr>
            </w:pPr>
          </w:p>
        </w:tc>
        <w:tc>
          <w:tcPr>
            <w:tcW w:w="801" w:type="dxa"/>
            <w:tcBorders>
              <w:top w:val="single" w:sz="4" w:space="0" w:color="000000"/>
              <w:bottom w:val="single" w:sz="4" w:space="0" w:color="000000"/>
            </w:tcBorders>
          </w:tcPr>
          <w:p>
            <w:pPr>
              <w:pStyle w:val="TableParagraph"/>
              <w:jc w:val="left"/>
              <w:rPr>
                <w:sz w:val="18"/>
              </w:rPr>
            </w:pPr>
          </w:p>
        </w:tc>
        <w:tc>
          <w:tcPr>
            <w:tcW w:w="852" w:type="dxa"/>
            <w:tcBorders>
              <w:top w:val="single" w:sz="4" w:space="0" w:color="000000"/>
              <w:bottom w:val="single" w:sz="4" w:space="0" w:color="000000"/>
            </w:tcBorders>
          </w:tcPr>
          <w:p>
            <w:pPr>
              <w:pStyle w:val="TableParagraph"/>
              <w:jc w:val="left"/>
              <w:rPr>
                <w:sz w:val="18"/>
              </w:rPr>
            </w:pPr>
          </w:p>
        </w:tc>
        <w:tc>
          <w:tcPr>
            <w:tcW w:w="2200" w:type="dxa"/>
            <w:tcBorders>
              <w:top w:val="single" w:sz="4" w:space="0" w:color="000000"/>
              <w:bottom w:val="single" w:sz="4" w:space="0" w:color="000000"/>
            </w:tcBorders>
          </w:tcPr>
          <w:p>
            <w:pPr>
              <w:pStyle w:val="TableParagraph"/>
              <w:jc w:val="left"/>
              <w:rPr>
                <w:sz w:val="18"/>
              </w:rPr>
            </w:pPr>
          </w:p>
        </w:tc>
      </w:tr>
      <w:tr>
        <w:trPr>
          <w:trHeight w:val="272" w:hRule="atLeast"/>
        </w:trPr>
        <w:tc>
          <w:tcPr>
            <w:tcW w:w="4188" w:type="dxa"/>
            <w:tcBorders>
              <w:top w:val="single" w:sz="4" w:space="0" w:color="000000"/>
            </w:tcBorders>
          </w:tcPr>
          <w:p>
            <w:pPr>
              <w:pStyle w:val="TableParagraph"/>
              <w:spacing w:before="16"/>
              <w:ind w:left="1162"/>
              <w:jc w:val="left"/>
              <w:rPr>
                <w:sz w:val="20"/>
              </w:rPr>
            </w:pPr>
            <w:r>
              <w:rPr>
                <w:spacing w:val="-2"/>
                <w:sz w:val="20"/>
              </w:rPr>
              <w:t>Investigator</w:t>
            </w:r>
            <w:r>
              <w:rPr>
                <w:spacing w:val="-2"/>
                <w:sz w:val="20"/>
                <w:vertAlign w:val="superscript"/>
              </w:rPr>
              <w:t>84</w:t>
            </w:r>
          </w:p>
        </w:tc>
        <w:tc>
          <w:tcPr>
            <w:tcW w:w="942" w:type="dxa"/>
            <w:tcBorders>
              <w:top w:val="single" w:sz="4" w:space="0" w:color="000000"/>
            </w:tcBorders>
          </w:tcPr>
          <w:p>
            <w:pPr>
              <w:pStyle w:val="TableParagraph"/>
              <w:spacing w:before="16"/>
              <w:ind w:left="277"/>
              <w:jc w:val="left"/>
              <w:rPr>
                <w:sz w:val="20"/>
              </w:rPr>
            </w:pPr>
            <w:r>
              <w:rPr>
                <w:spacing w:val="-2"/>
                <w:sz w:val="20"/>
              </w:rPr>
              <w:t>P-</w:t>
            </w:r>
            <w:r>
              <w:rPr>
                <w:spacing w:val="-10"/>
                <w:sz w:val="20"/>
              </w:rPr>
              <w:t>3</w:t>
            </w:r>
          </w:p>
        </w:tc>
        <w:tc>
          <w:tcPr>
            <w:tcW w:w="720" w:type="dxa"/>
            <w:tcBorders>
              <w:top w:val="single" w:sz="4" w:space="0" w:color="000000"/>
            </w:tcBorders>
          </w:tcPr>
          <w:p>
            <w:pPr>
              <w:pStyle w:val="TableParagraph"/>
              <w:spacing w:before="16"/>
              <w:ind w:right="1"/>
              <w:rPr>
                <w:sz w:val="20"/>
              </w:rPr>
            </w:pPr>
            <w:r>
              <w:rPr>
                <w:w w:val="100"/>
                <w:sz w:val="20"/>
              </w:rPr>
              <w:t>1</w:t>
            </w:r>
          </w:p>
        </w:tc>
        <w:tc>
          <w:tcPr>
            <w:tcW w:w="801" w:type="dxa"/>
            <w:tcBorders>
              <w:top w:val="single" w:sz="4" w:space="0" w:color="000000"/>
            </w:tcBorders>
          </w:tcPr>
          <w:p>
            <w:pPr>
              <w:pStyle w:val="TableParagraph"/>
              <w:spacing w:before="16"/>
              <w:ind w:left="-1" w:right="200"/>
              <w:rPr>
                <w:sz w:val="20"/>
              </w:rPr>
            </w:pPr>
            <w:r>
              <w:rPr>
                <w:spacing w:val="-5"/>
                <w:sz w:val="20"/>
              </w:rPr>
              <w:t>12</w:t>
            </w:r>
          </w:p>
        </w:tc>
        <w:tc>
          <w:tcPr>
            <w:tcW w:w="852" w:type="dxa"/>
            <w:tcBorders>
              <w:top w:val="single" w:sz="4" w:space="0" w:color="000000"/>
            </w:tcBorders>
          </w:tcPr>
          <w:p>
            <w:pPr>
              <w:pStyle w:val="TableParagraph"/>
              <w:spacing w:before="16"/>
              <w:ind w:right="202"/>
              <w:rPr>
                <w:sz w:val="20"/>
              </w:rPr>
            </w:pPr>
            <w:r>
              <w:rPr>
                <w:spacing w:val="-5"/>
                <w:sz w:val="20"/>
              </w:rPr>
              <w:t>1.0</w:t>
            </w:r>
          </w:p>
        </w:tc>
        <w:tc>
          <w:tcPr>
            <w:tcW w:w="2200" w:type="dxa"/>
            <w:tcBorders>
              <w:top w:val="single" w:sz="4" w:space="0" w:color="000000"/>
            </w:tcBorders>
          </w:tcPr>
          <w:p>
            <w:pPr>
              <w:pStyle w:val="TableParagraph"/>
              <w:spacing w:before="16"/>
              <w:ind w:right="1159"/>
              <w:rPr>
                <w:sz w:val="20"/>
              </w:rPr>
            </w:pPr>
            <w:r>
              <w:rPr>
                <w:spacing w:val="-2"/>
                <w:sz w:val="20"/>
              </w:rPr>
              <w:t>Continued</w:t>
            </w:r>
          </w:p>
        </w:tc>
      </w:tr>
      <w:tr>
        <w:trPr>
          <w:trHeight w:val="264" w:hRule="atLeast"/>
        </w:trPr>
        <w:tc>
          <w:tcPr>
            <w:tcW w:w="4188" w:type="dxa"/>
            <w:tcBorders>
              <w:bottom w:val="single" w:sz="4" w:space="0" w:color="000000"/>
            </w:tcBorders>
          </w:tcPr>
          <w:p>
            <w:pPr>
              <w:pStyle w:val="TableParagraph"/>
              <w:spacing w:before="12"/>
              <w:ind w:left="1162"/>
              <w:jc w:val="left"/>
              <w:rPr>
                <w:sz w:val="20"/>
              </w:rPr>
            </w:pPr>
            <w:r>
              <w:rPr>
                <w:spacing w:val="-2"/>
                <w:sz w:val="20"/>
              </w:rPr>
              <w:t>Investigator</w:t>
            </w:r>
          </w:p>
        </w:tc>
        <w:tc>
          <w:tcPr>
            <w:tcW w:w="942" w:type="dxa"/>
            <w:tcBorders>
              <w:bottom w:val="single" w:sz="4" w:space="0" w:color="000000"/>
            </w:tcBorders>
          </w:tcPr>
          <w:p>
            <w:pPr>
              <w:pStyle w:val="TableParagraph"/>
              <w:spacing w:before="12"/>
              <w:ind w:left="277"/>
              <w:jc w:val="left"/>
              <w:rPr>
                <w:sz w:val="20"/>
              </w:rPr>
            </w:pPr>
            <w:r>
              <w:rPr>
                <w:spacing w:val="-2"/>
                <w:sz w:val="20"/>
              </w:rPr>
              <w:t>P-</w:t>
            </w:r>
            <w:r>
              <w:rPr>
                <w:spacing w:val="-10"/>
                <w:sz w:val="20"/>
              </w:rPr>
              <w:t>3</w:t>
            </w:r>
          </w:p>
        </w:tc>
        <w:tc>
          <w:tcPr>
            <w:tcW w:w="720" w:type="dxa"/>
            <w:tcBorders>
              <w:bottom w:val="single" w:sz="4" w:space="0" w:color="000000"/>
            </w:tcBorders>
          </w:tcPr>
          <w:p>
            <w:pPr>
              <w:pStyle w:val="TableParagraph"/>
              <w:spacing w:before="12"/>
              <w:ind w:right="1"/>
              <w:rPr>
                <w:sz w:val="20"/>
              </w:rPr>
            </w:pPr>
            <w:r>
              <w:rPr>
                <w:w w:val="100"/>
                <w:sz w:val="20"/>
              </w:rPr>
              <w:t>1</w:t>
            </w:r>
          </w:p>
        </w:tc>
        <w:tc>
          <w:tcPr>
            <w:tcW w:w="801" w:type="dxa"/>
            <w:tcBorders>
              <w:bottom w:val="single" w:sz="4" w:space="0" w:color="000000"/>
            </w:tcBorders>
          </w:tcPr>
          <w:p>
            <w:pPr>
              <w:pStyle w:val="TableParagraph"/>
              <w:spacing w:before="12"/>
              <w:ind w:right="200"/>
              <w:rPr>
                <w:sz w:val="20"/>
              </w:rPr>
            </w:pPr>
            <w:r>
              <w:rPr>
                <w:w w:val="100"/>
                <w:sz w:val="20"/>
              </w:rPr>
              <w:t>9</w:t>
            </w:r>
          </w:p>
        </w:tc>
        <w:tc>
          <w:tcPr>
            <w:tcW w:w="852" w:type="dxa"/>
            <w:tcBorders>
              <w:bottom w:val="single" w:sz="4" w:space="0" w:color="000000"/>
            </w:tcBorders>
          </w:tcPr>
          <w:p>
            <w:pPr>
              <w:pStyle w:val="TableParagraph"/>
              <w:spacing w:before="12"/>
              <w:ind w:right="202"/>
              <w:rPr>
                <w:sz w:val="20"/>
              </w:rPr>
            </w:pPr>
            <w:r>
              <w:rPr>
                <w:spacing w:val="-4"/>
                <w:sz w:val="20"/>
              </w:rPr>
              <w:t>0.75</w:t>
            </w:r>
          </w:p>
        </w:tc>
        <w:tc>
          <w:tcPr>
            <w:tcW w:w="2200" w:type="dxa"/>
            <w:tcBorders>
              <w:bottom w:val="single" w:sz="4" w:space="0" w:color="000000"/>
            </w:tcBorders>
          </w:tcPr>
          <w:p>
            <w:pPr>
              <w:pStyle w:val="TableParagraph"/>
              <w:spacing w:before="12"/>
              <w:ind w:right="1162"/>
              <w:rPr>
                <w:sz w:val="20"/>
              </w:rPr>
            </w:pPr>
            <w:r>
              <w:rPr>
                <w:spacing w:val="-5"/>
                <w:sz w:val="20"/>
              </w:rPr>
              <w:t>New</w:t>
            </w:r>
          </w:p>
        </w:tc>
      </w:tr>
      <w:tr>
        <w:trPr>
          <w:trHeight w:val="268" w:hRule="atLeast"/>
        </w:trPr>
        <w:tc>
          <w:tcPr>
            <w:tcW w:w="4188" w:type="dxa"/>
            <w:tcBorders>
              <w:top w:val="single" w:sz="4" w:space="0" w:color="000000"/>
              <w:bottom w:val="single" w:sz="4" w:space="0" w:color="000000"/>
            </w:tcBorders>
          </w:tcPr>
          <w:p>
            <w:pPr>
              <w:pStyle w:val="TableParagraph"/>
              <w:jc w:val="left"/>
              <w:rPr>
                <w:sz w:val="18"/>
              </w:rPr>
            </w:pPr>
          </w:p>
        </w:tc>
        <w:tc>
          <w:tcPr>
            <w:tcW w:w="942" w:type="dxa"/>
            <w:tcBorders>
              <w:top w:val="single" w:sz="4" w:space="0" w:color="000000"/>
              <w:bottom w:val="single" w:sz="4" w:space="0" w:color="000000"/>
            </w:tcBorders>
          </w:tcPr>
          <w:p>
            <w:pPr>
              <w:pStyle w:val="TableParagraph"/>
              <w:jc w:val="left"/>
              <w:rPr>
                <w:sz w:val="18"/>
              </w:rPr>
            </w:pPr>
          </w:p>
        </w:tc>
        <w:tc>
          <w:tcPr>
            <w:tcW w:w="720" w:type="dxa"/>
            <w:tcBorders>
              <w:top w:val="single" w:sz="4" w:space="0" w:color="000000"/>
              <w:bottom w:val="single" w:sz="4" w:space="0" w:color="000000"/>
            </w:tcBorders>
          </w:tcPr>
          <w:p>
            <w:pPr>
              <w:pStyle w:val="TableParagraph"/>
              <w:spacing w:before="16"/>
              <w:ind w:right="1"/>
              <w:rPr>
                <w:b/>
                <w:sz w:val="20"/>
              </w:rPr>
            </w:pPr>
            <w:r>
              <w:rPr>
                <w:b/>
                <w:w w:val="100"/>
                <w:sz w:val="20"/>
              </w:rPr>
              <w:t>2</w:t>
            </w:r>
          </w:p>
        </w:tc>
        <w:tc>
          <w:tcPr>
            <w:tcW w:w="801" w:type="dxa"/>
            <w:tcBorders>
              <w:top w:val="single" w:sz="4" w:space="0" w:color="000000"/>
              <w:bottom w:val="single" w:sz="4" w:space="0" w:color="000000"/>
            </w:tcBorders>
          </w:tcPr>
          <w:p>
            <w:pPr>
              <w:pStyle w:val="TableParagraph"/>
              <w:spacing w:before="16"/>
              <w:ind w:left="-1" w:right="200"/>
              <w:rPr>
                <w:b/>
                <w:sz w:val="20"/>
              </w:rPr>
            </w:pPr>
            <w:r>
              <w:rPr>
                <w:b/>
                <w:spacing w:val="-5"/>
                <w:sz w:val="20"/>
              </w:rPr>
              <w:t>21</w:t>
            </w:r>
          </w:p>
        </w:tc>
        <w:tc>
          <w:tcPr>
            <w:tcW w:w="852" w:type="dxa"/>
            <w:tcBorders>
              <w:top w:val="single" w:sz="4" w:space="0" w:color="000000"/>
              <w:bottom w:val="single" w:sz="4" w:space="0" w:color="000000"/>
            </w:tcBorders>
          </w:tcPr>
          <w:p>
            <w:pPr>
              <w:pStyle w:val="TableParagraph"/>
              <w:spacing w:before="16"/>
              <w:ind w:right="202"/>
              <w:rPr>
                <w:b/>
                <w:sz w:val="20"/>
              </w:rPr>
            </w:pPr>
            <w:r>
              <w:rPr>
                <w:b/>
                <w:spacing w:val="-4"/>
                <w:sz w:val="20"/>
              </w:rPr>
              <w:t>1.75</w:t>
            </w:r>
          </w:p>
        </w:tc>
        <w:tc>
          <w:tcPr>
            <w:tcW w:w="2200" w:type="dxa"/>
            <w:tcBorders>
              <w:top w:val="single" w:sz="4" w:space="0" w:color="000000"/>
              <w:bottom w:val="single" w:sz="4" w:space="0" w:color="000000"/>
            </w:tcBorders>
          </w:tcPr>
          <w:p>
            <w:pPr>
              <w:pStyle w:val="TableParagraph"/>
              <w:jc w:val="left"/>
              <w:rPr>
                <w:sz w:val="18"/>
              </w:rPr>
            </w:pPr>
          </w:p>
        </w:tc>
      </w:tr>
      <w:tr>
        <w:trPr>
          <w:trHeight w:val="273" w:hRule="atLeast"/>
        </w:trPr>
        <w:tc>
          <w:tcPr>
            <w:tcW w:w="4188" w:type="dxa"/>
            <w:tcBorders>
              <w:top w:val="single" w:sz="4" w:space="0" w:color="000000"/>
              <w:bottom w:val="single" w:sz="4" w:space="0" w:color="000000"/>
            </w:tcBorders>
          </w:tcPr>
          <w:p>
            <w:pPr>
              <w:pStyle w:val="TableParagraph"/>
              <w:spacing w:before="17"/>
              <w:ind w:left="1162"/>
              <w:jc w:val="left"/>
              <w:rPr>
                <w:i/>
                <w:sz w:val="20"/>
              </w:rPr>
            </w:pPr>
            <w:r>
              <w:rPr>
                <w:i/>
                <w:spacing w:val="-2"/>
                <w:sz w:val="20"/>
              </w:rPr>
              <w:t>Lawyers</w:t>
            </w:r>
          </w:p>
        </w:tc>
        <w:tc>
          <w:tcPr>
            <w:tcW w:w="942" w:type="dxa"/>
            <w:tcBorders>
              <w:top w:val="single" w:sz="4" w:space="0" w:color="000000"/>
              <w:bottom w:val="single" w:sz="4" w:space="0" w:color="000000"/>
            </w:tcBorders>
          </w:tcPr>
          <w:p>
            <w:pPr>
              <w:pStyle w:val="TableParagraph"/>
              <w:jc w:val="left"/>
              <w:rPr>
                <w:sz w:val="18"/>
              </w:rPr>
            </w:pPr>
          </w:p>
        </w:tc>
        <w:tc>
          <w:tcPr>
            <w:tcW w:w="720" w:type="dxa"/>
            <w:tcBorders>
              <w:top w:val="single" w:sz="4" w:space="0" w:color="000000"/>
              <w:bottom w:val="single" w:sz="4" w:space="0" w:color="000000"/>
            </w:tcBorders>
          </w:tcPr>
          <w:p>
            <w:pPr>
              <w:pStyle w:val="TableParagraph"/>
              <w:jc w:val="left"/>
              <w:rPr>
                <w:sz w:val="18"/>
              </w:rPr>
            </w:pPr>
          </w:p>
        </w:tc>
        <w:tc>
          <w:tcPr>
            <w:tcW w:w="801" w:type="dxa"/>
            <w:tcBorders>
              <w:top w:val="single" w:sz="4" w:space="0" w:color="000000"/>
              <w:bottom w:val="single" w:sz="4" w:space="0" w:color="000000"/>
            </w:tcBorders>
          </w:tcPr>
          <w:p>
            <w:pPr>
              <w:pStyle w:val="TableParagraph"/>
              <w:jc w:val="left"/>
              <w:rPr>
                <w:sz w:val="18"/>
              </w:rPr>
            </w:pPr>
          </w:p>
        </w:tc>
        <w:tc>
          <w:tcPr>
            <w:tcW w:w="852" w:type="dxa"/>
            <w:tcBorders>
              <w:top w:val="single" w:sz="4" w:space="0" w:color="000000"/>
              <w:bottom w:val="single" w:sz="4" w:space="0" w:color="000000"/>
            </w:tcBorders>
          </w:tcPr>
          <w:p>
            <w:pPr>
              <w:pStyle w:val="TableParagraph"/>
              <w:jc w:val="left"/>
              <w:rPr>
                <w:sz w:val="18"/>
              </w:rPr>
            </w:pPr>
          </w:p>
        </w:tc>
        <w:tc>
          <w:tcPr>
            <w:tcW w:w="2200" w:type="dxa"/>
            <w:tcBorders>
              <w:top w:val="single" w:sz="4" w:space="0" w:color="000000"/>
              <w:bottom w:val="single" w:sz="4" w:space="0" w:color="000000"/>
            </w:tcBorders>
          </w:tcPr>
          <w:p>
            <w:pPr>
              <w:pStyle w:val="TableParagraph"/>
              <w:jc w:val="left"/>
              <w:rPr>
                <w:sz w:val="18"/>
              </w:rPr>
            </w:pPr>
          </w:p>
        </w:tc>
      </w:tr>
      <w:tr>
        <w:trPr>
          <w:trHeight w:val="272" w:hRule="atLeast"/>
        </w:trPr>
        <w:tc>
          <w:tcPr>
            <w:tcW w:w="4188" w:type="dxa"/>
            <w:tcBorders>
              <w:top w:val="single" w:sz="4" w:space="0" w:color="000000"/>
            </w:tcBorders>
          </w:tcPr>
          <w:p>
            <w:pPr>
              <w:pStyle w:val="TableParagraph"/>
              <w:spacing w:before="16"/>
              <w:ind w:left="1162"/>
              <w:jc w:val="left"/>
              <w:rPr>
                <w:sz w:val="20"/>
              </w:rPr>
            </w:pPr>
            <w:r>
              <w:rPr>
                <w:sz w:val="20"/>
              </w:rPr>
              <w:t>Trial</w:t>
            </w:r>
            <w:r>
              <w:rPr>
                <w:spacing w:val="-5"/>
                <w:sz w:val="20"/>
              </w:rPr>
              <w:t> </w:t>
            </w:r>
            <w:r>
              <w:rPr>
                <w:spacing w:val="-2"/>
                <w:sz w:val="20"/>
              </w:rPr>
              <w:t>Lawyer</w:t>
            </w:r>
          </w:p>
        </w:tc>
        <w:tc>
          <w:tcPr>
            <w:tcW w:w="942" w:type="dxa"/>
            <w:tcBorders>
              <w:top w:val="single" w:sz="4" w:space="0" w:color="000000"/>
            </w:tcBorders>
          </w:tcPr>
          <w:p>
            <w:pPr>
              <w:pStyle w:val="TableParagraph"/>
              <w:spacing w:before="16"/>
              <w:ind w:left="277"/>
              <w:jc w:val="left"/>
              <w:rPr>
                <w:sz w:val="20"/>
              </w:rPr>
            </w:pPr>
            <w:r>
              <w:rPr>
                <w:spacing w:val="-2"/>
                <w:sz w:val="20"/>
              </w:rPr>
              <w:t>P-</w:t>
            </w:r>
            <w:r>
              <w:rPr>
                <w:spacing w:val="-10"/>
                <w:sz w:val="20"/>
              </w:rPr>
              <w:t>4</w:t>
            </w:r>
          </w:p>
        </w:tc>
        <w:tc>
          <w:tcPr>
            <w:tcW w:w="720" w:type="dxa"/>
            <w:tcBorders>
              <w:top w:val="single" w:sz="4" w:space="0" w:color="000000"/>
            </w:tcBorders>
          </w:tcPr>
          <w:p>
            <w:pPr>
              <w:pStyle w:val="TableParagraph"/>
              <w:spacing w:before="16"/>
              <w:ind w:right="1"/>
              <w:rPr>
                <w:sz w:val="20"/>
              </w:rPr>
            </w:pPr>
            <w:r>
              <w:rPr>
                <w:w w:val="100"/>
                <w:sz w:val="20"/>
              </w:rPr>
              <w:t>1</w:t>
            </w:r>
          </w:p>
        </w:tc>
        <w:tc>
          <w:tcPr>
            <w:tcW w:w="801" w:type="dxa"/>
            <w:tcBorders>
              <w:top w:val="single" w:sz="4" w:space="0" w:color="000000"/>
            </w:tcBorders>
          </w:tcPr>
          <w:p>
            <w:pPr>
              <w:pStyle w:val="TableParagraph"/>
              <w:spacing w:before="16"/>
              <w:ind w:left="-1" w:right="200"/>
              <w:rPr>
                <w:sz w:val="20"/>
              </w:rPr>
            </w:pPr>
            <w:r>
              <w:rPr>
                <w:spacing w:val="-5"/>
                <w:sz w:val="20"/>
              </w:rPr>
              <w:t>12</w:t>
            </w:r>
          </w:p>
        </w:tc>
        <w:tc>
          <w:tcPr>
            <w:tcW w:w="852" w:type="dxa"/>
            <w:tcBorders>
              <w:top w:val="single" w:sz="4" w:space="0" w:color="000000"/>
            </w:tcBorders>
          </w:tcPr>
          <w:p>
            <w:pPr>
              <w:pStyle w:val="TableParagraph"/>
              <w:spacing w:before="16"/>
              <w:ind w:right="202"/>
              <w:rPr>
                <w:sz w:val="20"/>
              </w:rPr>
            </w:pPr>
            <w:r>
              <w:rPr>
                <w:spacing w:val="-5"/>
                <w:sz w:val="20"/>
              </w:rPr>
              <w:t>1.0</w:t>
            </w:r>
          </w:p>
        </w:tc>
        <w:tc>
          <w:tcPr>
            <w:tcW w:w="2200" w:type="dxa"/>
            <w:tcBorders>
              <w:top w:val="single" w:sz="4" w:space="0" w:color="000000"/>
            </w:tcBorders>
          </w:tcPr>
          <w:p>
            <w:pPr>
              <w:pStyle w:val="TableParagraph"/>
              <w:spacing w:before="16"/>
              <w:ind w:right="1159"/>
              <w:rPr>
                <w:sz w:val="20"/>
              </w:rPr>
            </w:pPr>
            <w:r>
              <w:rPr>
                <w:spacing w:val="-2"/>
                <w:sz w:val="20"/>
              </w:rPr>
              <w:t>Continued</w:t>
            </w:r>
          </w:p>
        </w:tc>
      </w:tr>
      <w:tr>
        <w:trPr>
          <w:trHeight w:val="268" w:hRule="atLeast"/>
        </w:trPr>
        <w:tc>
          <w:tcPr>
            <w:tcW w:w="4188" w:type="dxa"/>
          </w:tcPr>
          <w:p>
            <w:pPr>
              <w:pStyle w:val="TableParagraph"/>
              <w:spacing w:before="12"/>
              <w:ind w:left="1162"/>
              <w:jc w:val="left"/>
              <w:rPr>
                <w:sz w:val="20"/>
              </w:rPr>
            </w:pPr>
            <w:r>
              <w:rPr>
                <w:sz w:val="20"/>
              </w:rPr>
              <w:t>Trial</w:t>
            </w:r>
            <w:r>
              <w:rPr>
                <w:spacing w:val="-5"/>
                <w:sz w:val="20"/>
              </w:rPr>
              <w:t> </w:t>
            </w:r>
            <w:r>
              <w:rPr>
                <w:spacing w:val="-2"/>
                <w:sz w:val="20"/>
              </w:rPr>
              <w:t>Lawyer</w:t>
            </w:r>
          </w:p>
        </w:tc>
        <w:tc>
          <w:tcPr>
            <w:tcW w:w="942" w:type="dxa"/>
          </w:tcPr>
          <w:p>
            <w:pPr>
              <w:pStyle w:val="TableParagraph"/>
              <w:spacing w:before="12"/>
              <w:ind w:left="277"/>
              <w:jc w:val="left"/>
              <w:rPr>
                <w:sz w:val="20"/>
              </w:rPr>
            </w:pPr>
            <w:r>
              <w:rPr>
                <w:spacing w:val="-2"/>
                <w:sz w:val="20"/>
              </w:rPr>
              <w:t>P-</w:t>
            </w:r>
            <w:r>
              <w:rPr>
                <w:spacing w:val="-10"/>
                <w:sz w:val="20"/>
              </w:rPr>
              <w:t>3</w:t>
            </w:r>
          </w:p>
        </w:tc>
        <w:tc>
          <w:tcPr>
            <w:tcW w:w="720" w:type="dxa"/>
          </w:tcPr>
          <w:p>
            <w:pPr>
              <w:pStyle w:val="TableParagraph"/>
              <w:spacing w:before="12"/>
              <w:ind w:right="1"/>
              <w:rPr>
                <w:sz w:val="20"/>
              </w:rPr>
            </w:pPr>
            <w:r>
              <w:rPr>
                <w:w w:val="100"/>
                <w:sz w:val="20"/>
              </w:rPr>
              <w:t>1</w:t>
            </w:r>
          </w:p>
        </w:tc>
        <w:tc>
          <w:tcPr>
            <w:tcW w:w="801" w:type="dxa"/>
          </w:tcPr>
          <w:p>
            <w:pPr>
              <w:pStyle w:val="TableParagraph"/>
              <w:spacing w:before="12"/>
              <w:ind w:left="-1" w:right="200"/>
              <w:rPr>
                <w:sz w:val="20"/>
              </w:rPr>
            </w:pPr>
            <w:r>
              <w:rPr>
                <w:spacing w:val="-5"/>
                <w:sz w:val="20"/>
              </w:rPr>
              <w:t>12</w:t>
            </w:r>
          </w:p>
        </w:tc>
        <w:tc>
          <w:tcPr>
            <w:tcW w:w="852" w:type="dxa"/>
          </w:tcPr>
          <w:p>
            <w:pPr>
              <w:pStyle w:val="TableParagraph"/>
              <w:spacing w:before="12"/>
              <w:ind w:right="202"/>
              <w:rPr>
                <w:sz w:val="20"/>
              </w:rPr>
            </w:pPr>
            <w:r>
              <w:rPr>
                <w:spacing w:val="-5"/>
                <w:sz w:val="20"/>
              </w:rPr>
              <w:t>1.0</w:t>
            </w:r>
          </w:p>
        </w:tc>
        <w:tc>
          <w:tcPr>
            <w:tcW w:w="2200" w:type="dxa"/>
          </w:tcPr>
          <w:p>
            <w:pPr>
              <w:pStyle w:val="TableParagraph"/>
              <w:spacing w:before="12"/>
              <w:ind w:right="1159"/>
              <w:rPr>
                <w:sz w:val="20"/>
              </w:rPr>
            </w:pPr>
            <w:r>
              <w:rPr>
                <w:spacing w:val="-2"/>
                <w:sz w:val="20"/>
              </w:rPr>
              <w:t>Continued</w:t>
            </w:r>
          </w:p>
        </w:tc>
      </w:tr>
      <w:tr>
        <w:trPr>
          <w:trHeight w:val="271" w:hRule="atLeast"/>
        </w:trPr>
        <w:tc>
          <w:tcPr>
            <w:tcW w:w="4188" w:type="dxa"/>
          </w:tcPr>
          <w:p>
            <w:pPr>
              <w:pStyle w:val="TableParagraph"/>
              <w:spacing w:before="12"/>
              <w:ind w:left="1162"/>
              <w:jc w:val="left"/>
              <w:rPr>
                <w:sz w:val="20"/>
              </w:rPr>
            </w:pPr>
            <w:r>
              <w:rPr>
                <w:sz w:val="20"/>
              </w:rPr>
              <w:t>Associate</w:t>
            </w:r>
            <w:r>
              <w:rPr>
                <w:spacing w:val="-7"/>
                <w:sz w:val="20"/>
              </w:rPr>
              <w:t> </w:t>
            </w:r>
            <w:r>
              <w:rPr>
                <w:sz w:val="20"/>
              </w:rPr>
              <w:t>Trial</w:t>
            </w:r>
            <w:r>
              <w:rPr>
                <w:spacing w:val="-7"/>
                <w:sz w:val="20"/>
              </w:rPr>
              <w:t> </w:t>
            </w:r>
            <w:r>
              <w:rPr>
                <w:spacing w:val="-2"/>
                <w:sz w:val="20"/>
              </w:rPr>
              <w:t>Lawyer</w:t>
            </w:r>
          </w:p>
        </w:tc>
        <w:tc>
          <w:tcPr>
            <w:tcW w:w="942" w:type="dxa"/>
          </w:tcPr>
          <w:p>
            <w:pPr>
              <w:pStyle w:val="TableParagraph"/>
              <w:spacing w:before="12"/>
              <w:ind w:left="277"/>
              <w:jc w:val="left"/>
              <w:rPr>
                <w:sz w:val="20"/>
              </w:rPr>
            </w:pPr>
            <w:r>
              <w:rPr>
                <w:spacing w:val="-2"/>
                <w:sz w:val="20"/>
              </w:rPr>
              <w:t>P-</w:t>
            </w:r>
            <w:r>
              <w:rPr>
                <w:spacing w:val="-10"/>
                <w:sz w:val="20"/>
              </w:rPr>
              <w:t>2</w:t>
            </w:r>
          </w:p>
        </w:tc>
        <w:tc>
          <w:tcPr>
            <w:tcW w:w="720" w:type="dxa"/>
          </w:tcPr>
          <w:p>
            <w:pPr>
              <w:pStyle w:val="TableParagraph"/>
              <w:spacing w:before="12"/>
              <w:ind w:right="1"/>
              <w:rPr>
                <w:sz w:val="20"/>
              </w:rPr>
            </w:pPr>
            <w:r>
              <w:rPr>
                <w:w w:val="100"/>
                <w:sz w:val="20"/>
              </w:rPr>
              <w:t>1</w:t>
            </w:r>
          </w:p>
        </w:tc>
        <w:tc>
          <w:tcPr>
            <w:tcW w:w="801" w:type="dxa"/>
          </w:tcPr>
          <w:p>
            <w:pPr>
              <w:pStyle w:val="TableParagraph"/>
              <w:spacing w:before="12"/>
              <w:ind w:left="-1" w:right="200"/>
              <w:rPr>
                <w:sz w:val="20"/>
              </w:rPr>
            </w:pPr>
            <w:r>
              <w:rPr>
                <w:spacing w:val="-5"/>
                <w:sz w:val="20"/>
              </w:rPr>
              <w:t>12</w:t>
            </w:r>
          </w:p>
        </w:tc>
        <w:tc>
          <w:tcPr>
            <w:tcW w:w="852" w:type="dxa"/>
          </w:tcPr>
          <w:p>
            <w:pPr>
              <w:pStyle w:val="TableParagraph"/>
              <w:spacing w:before="12"/>
              <w:ind w:right="202"/>
              <w:rPr>
                <w:sz w:val="20"/>
              </w:rPr>
            </w:pPr>
            <w:r>
              <w:rPr>
                <w:spacing w:val="-5"/>
                <w:sz w:val="20"/>
              </w:rPr>
              <w:t>1.0</w:t>
            </w:r>
          </w:p>
        </w:tc>
        <w:tc>
          <w:tcPr>
            <w:tcW w:w="2200" w:type="dxa"/>
          </w:tcPr>
          <w:p>
            <w:pPr>
              <w:pStyle w:val="TableParagraph"/>
              <w:spacing w:before="12"/>
              <w:ind w:right="1159"/>
              <w:rPr>
                <w:sz w:val="20"/>
              </w:rPr>
            </w:pPr>
            <w:r>
              <w:rPr>
                <w:spacing w:val="-2"/>
                <w:sz w:val="20"/>
              </w:rPr>
              <w:t>Continued</w:t>
            </w:r>
          </w:p>
        </w:tc>
      </w:tr>
      <w:tr>
        <w:trPr>
          <w:trHeight w:val="271" w:hRule="atLeast"/>
        </w:trPr>
        <w:tc>
          <w:tcPr>
            <w:tcW w:w="4188" w:type="dxa"/>
          </w:tcPr>
          <w:p>
            <w:pPr>
              <w:pStyle w:val="TableParagraph"/>
              <w:spacing w:before="15"/>
              <w:ind w:left="1162"/>
              <w:jc w:val="left"/>
              <w:rPr>
                <w:sz w:val="20"/>
              </w:rPr>
            </w:pPr>
            <w:r>
              <w:rPr>
                <w:sz w:val="20"/>
              </w:rPr>
              <w:t>Case</w:t>
            </w:r>
            <w:r>
              <w:rPr>
                <w:spacing w:val="-8"/>
                <w:sz w:val="20"/>
              </w:rPr>
              <w:t> </w:t>
            </w:r>
            <w:r>
              <w:rPr>
                <w:sz w:val="20"/>
              </w:rPr>
              <w:t>Management</w:t>
            </w:r>
            <w:r>
              <w:rPr>
                <w:spacing w:val="-6"/>
                <w:sz w:val="20"/>
              </w:rPr>
              <w:t> </w:t>
            </w:r>
            <w:r>
              <w:rPr>
                <w:spacing w:val="-2"/>
                <w:sz w:val="20"/>
              </w:rPr>
              <w:t>Coordinator</w:t>
            </w:r>
          </w:p>
        </w:tc>
        <w:tc>
          <w:tcPr>
            <w:tcW w:w="942" w:type="dxa"/>
          </w:tcPr>
          <w:p>
            <w:pPr>
              <w:pStyle w:val="TableParagraph"/>
              <w:spacing w:before="15"/>
              <w:ind w:left="277"/>
              <w:jc w:val="left"/>
              <w:rPr>
                <w:sz w:val="20"/>
              </w:rPr>
            </w:pPr>
            <w:r>
              <w:rPr>
                <w:spacing w:val="-2"/>
                <w:sz w:val="20"/>
              </w:rPr>
              <w:t>P-</w:t>
            </w:r>
            <w:r>
              <w:rPr>
                <w:spacing w:val="-10"/>
                <w:sz w:val="20"/>
              </w:rPr>
              <w:t>2</w:t>
            </w:r>
          </w:p>
        </w:tc>
        <w:tc>
          <w:tcPr>
            <w:tcW w:w="720" w:type="dxa"/>
          </w:tcPr>
          <w:p>
            <w:pPr>
              <w:pStyle w:val="TableParagraph"/>
              <w:spacing w:before="15"/>
              <w:ind w:right="1"/>
              <w:rPr>
                <w:sz w:val="20"/>
              </w:rPr>
            </w:pPr>
            <w:r>
              <w:rPr>
                <w:w w:val="100"/>
                <w:sz w:val="20"/>
              </w:rPr>
              <w:t>1</w:t>
            </w:r>
          </w:p>
        </w:tc>
        <w:tc>
          <w:tcPr>
            <w:tcW w:w="801" w:type="dxa"/>
          </w:tcPr>
          <w:p>
            <w:pPr>
              <w:pStyle w:val="TableParagraph"/>
              <w:spacing w:before="15"/>
              <w:ind w:left="-1" w:right="200"/>
              <w:rPr>
                <w:sz w:val="20"/>
              </w:rPr>
            </w:pPr>
            <w:r>
              <w:rPr>
                <w:spacing w:val="-5"/>
                <w:sz w:val="20"/>
              </w:rPr>
              <w:t>12</w:t>
            </w:r>
          </w:p>
        </w:tc>
        <w:tc>
          <w:tcPr>
            <w:tcW w:w="852" w:type="dxa"/>
          </w:tcPr>
          <w:p>
            <w:pPr>
              <w:pStyle w:val="TableParagraph"/>
              <w:spacing w:before="15"/>
              <w:ind w:right="202"/>
              <w:rPr>
                <w:sz w:val="20"/>
              </w:rPr>
            </w:pPr>
            <w:r>
              <w:rPr>
                <w:spacing w:val="-5"/>
                <w:sz w:val="20"/>
              </w:rPr>
              <w:t>1.0</w:t>
            </w:r>
          </w:p>
        </w:tc>
        <w:tc>
          <w:tcPr>
            <w:tcW w:w="2200" w:type="dxa"/>
          </w:tcPr>
          <w:p>
            <w:pPr>
              <w:pStyle w:val="TableParagraph"/>
              <w:spacing w:before="15"/>
              <w:ind w:right="1159"/>
              <w:rPr>
                <w:sz w:val="20"/>
              </w:rPr>
            </w:pPr>
            <w:r>
              <w:rPr>
                <w:spacing w:val="-2"/>
                <w:sz w:val="20"/>
              </w:rPr>
              <w:t>Continued</w:t>
            </w:r>
          </w:p>
        </w:tc>
      </w:tr>
      <w:tr>
        <w:trPr>
          <w:trHeight w:val="268" w:hRule="atLeast"/>
        </w:trPr>
        <w:tc>
          <w:tcPr>
            <w:tcW w:w="4188" w:type="dxa"/>
          </w:tcPr>
          <w:p>
            <w:pPr>
              <w:pStyle w:val="TableParagraph"/>
              <w:spacing w:before="12"/>
              <w:ind w:left="1162"/>
              <w:jc w:val="left"/>
              <w:rPr>
                <w:sz w:val="20"/>
              </w:rPr>
            </w:pPr>
            <w:r>
              <w:rPr>
                <w:sz w:val="20"/>
              </w:rPr>
              <w:t>Assistant</w:t>
            </w:r>
            <w:r>
              <w:rPr>
                <w:spacing w:val="-7"/>
                <w:sz w:val="20"/>
              </w:rPr>
              <w:t> </w:t>
            </w:r>
            <w:r>
              <w:rPr>
                <w:sz w:val="20"/>
              </w:rPr>
              <w:t>Legal</w:t>
            </w:r>
            <w:r>
              <w:rPr>
                <w:spacing w:val="-7"/>
                <w:sz w:val="20"/>
              </w:rPr>
              <w:t> </w:t>
            </w:r>
            <w:r>
              <w:rPr>
                <w:spacing w:val="-2"/>
                <w:sz w:val="20"/>
              </w:rPr>
              <w:t>Officer</w:t>
            </w:r>
          </w:p>
        </w:tc>
        <w:tc>
          <w:tcPr>
            <w:tcW w:w="942" w:type="dxa"/>
          </w:tcPr>
          <w:p>
            <w:pPr>
              <w:pStyle w:val="TableParagraph"/>
              <w:spacing w:before="12"/>
              <w:ind w:left="277"/>
              <w:jc w:val="left"/>
              <w:rPr>
                <w:sz w:val="20"/>
              </w:rPr>
            </w:pPr>
            <w:r>
              <w:rPr>
                <w:spacing w:val="-2"/>
                <w:sz w:val="20"/>
              </w:rPr>
              <w:t>P-</w:t>
            </w:r>
            <w:r>
              <w:rPr>
                <w:spacing w:val="-10"/>
                <w:sz w:val="20"/>
              </w:rPr>
              <w:t>1</w:t>
            </w:r>
          </w:p>
        </w:tc>
        <w:tc>
          <w:tcPr>
            <w:tcW w:w="720" w:type="dxa"/>
          </w:tcPr>
          <w:p>
            <w:pPr>
              <w:pStyle w:val="TableParagraph"/>
              <w:spacing w:before="12"/>
              <w:ind w:right="1"/>
              <w:rPr>
                <w:sz w:val="20"/>
              </w:rPr>
            </w:pPr>
            <w:r>
              <w:rPr>
                <w:w w:val="100"/>
                <w:sz w:val="20"/>
              </w:rPr>
              <w:t>3</w:t>
            </w:r>
          </w:p>
        </w:tc>
        <w:tc>
          <w:tcPr>
            <w:tcW w:w="801" w:type="dxa"/>
          </w:tcPr>
          <w:p>
            <w:pPr>
              <w:pStyle w:val="TableParagraph"/>
              <w:spacing w:before="12"/>
              <w:ind w:left="-1" w:right="200"/>
              <w:rPr>
                <w:sz w:val="20"/>
              </w:rPr>
            </w:pPr>
            <w:r>
              <w:rPr>
                <w:spacing w:val="-5"/>
                <w:sz w:val="20"/>
              </w:rPr>
              <w:t>36</w:t>
            </w:r>
          </w:p>
        </w:tc>
        <w:tc>
          <w:tcPr>
            <w:tcW w:w="852" w:type="dxa"/>
          </w:tcPr>
          <w:p>
            <w:pPr>
              <w:pStyle w:val="TableParagraph"/>
              <w:spacing w:before="12"/>
              <w:ind w:right="202"/>
              <w:rPr>
                <w:sz w:val="20"/>
              </w:rPr>
            </w:pPr>
            <w:r>
              <w:rPr>
                <w:spacing w:val="-5"/>
                <w:sz w:val="20"/>
              </w:rPr>
              <w:t>3.0</w:t>
            </w:r>
          </w:p>
        </w:tc>
        <w:tc>
          <w:tcPr>
            <w:tcW w:w="2200" w:type="dxa"/>
          </w:tcPr>
          <w:p>
            <w:pPr>
              <w:pStyle w:val="TableParagraph"/>
              <w:spacing w:before="12"/>
              <w:ind w:right="1159"/>
              <w:rPr>
                <w:sz w:val="20"/>
              </w:rPr>
            </w:pPr>
            <w:r>
              <w:rPr>
                <w:spacing w:val="-2"/>
                <w:sz w:val="20"/>
              </w:rPr>
              <w:t>Continued</w:t>
            </w:r>
          </w:p>
        </w:tc>
      </w:tr>
      <w:tr>
        <w:trPr>
          <w:trHeight w:val="265" w:hRule="atLeast"/>
        </w:trPr>
        <w:tc>
          <w:tcPr>
            <w:tcW w:w="4188" w:type="dxa"/>
            <w:tcBorders>
              <w:bottom w:val="single" w:sz="4" w:space="0" w:color="000000"/>
            </w:tcBorders>
          </w:tcPr>
          <w:p>
            <w:pPr>
              <w:pStyle w:val="TableParagraph"/>
              <w:spacing w:before="12"/>
              <w:ind w:left="1162"/>
              <w:jc w:val="left"/>
              <w:rPr>
                <w:sz w:val="20"/>
              </w:rPr>
            </w:pPr>
            <w:r>
              <w:rPr>
                <w:sz w:val="20"/>
              </w:rPr>
              <w:t>Trial</w:t>
            </w:r>
            <w:r>
              <w:rPr>
                <w:spacing w:val="-6"/>
                <w:sz w:val="20"/>
              </w:rPr>
              <w:t> </w:t>
            </w:r>
            <w:r>
              <w:rPr>
                <w:sz w:val="20"/>
              </w:rPr>
              <w:t>Support </w:t>
            </w:r>
            <w:r>
              <w:rPr>
                <w:spacing w:val="-2"/>
                <w:sz w:val="20"/>
              </w:rPr>
              <w:t>Assistant</w:t>
            </w:r>
          </w:p>
        </w:tc>
        <w:tc>
          <w:tcPr>
            <w:tcW w:w="942" w:type="dxa"/>
            <w:tcBorders>
              <w:bottom w:val="single" w:sz="4" w:space="0" w:color="000000"/>
            </w:tcBorders>
          </w:tcPr>
          <w:p>
            <w:pPr>
              <w:pStyle w:val="TableParagraph"/>
              <w:spacing w:before="12"/>
              <w:ind w:left="277"/>
              <w:jc w:val="left"/>
              <w:rPr>
                <w:sz w:val="20"/>
              </w:rPr>
            </w:pPr>
            <w:r>
              <w:rPr>
                <w:spacing w:val="-2"/>
                <w:sz w:val="20"/>
              </w:rPr>
              <w:t>GS-</w:t>
            </w:r>
            <w:r>
              <w:rPr>
                <w:spacing w:val="-7"/>
                <w:sz w:val="20"/>
              </w:rPr>
              <w:t>OL</w:t>
            </w:r>
          </w:p>
        </w:tc>
        <w:tc>
          <w:tcPr>
            <w:tcW w:w="720" w:type="dxa"/>
            <w:tcBorders>
              <w:bottom w:val="single" w:sz="4" w:space="0" w:color="000000"/>
            </w:tcBorders>
          </w:tcPr>
          <w:p>
            <w:pPr>
              <w:pStyle w:val="TableParagraph"/>
              <w:spacing w:before="12"/>
              <w:ind w:right="1"/>
              <w:rPr>
                <w:sz w:val="20"/>
              </w:rPr>
            </w:pPr>
            <w:r>
              <w:rPr>
                <w:w w:val="100"/>
                <w:sz w:val="20"/>
              </w:rPr>
              <w:t>1</w:t>
            </w:r>
          </w:p>
        </w:tc>
        <w:tc>
          <w:tcPr>
            <w:tcW w:w="801" w:type="dxa"/>
            <w:tcBorders>
              <w:bottom w:val="single" w:sz="4" w:space="0" w:color="000000"/>
            </w:tcBorders>
          </w:tcPr>
          <w:p>
            <w:pPr>
              <w:pStyle w:val="TableParagraph"/>
              <w:spacing w:before="12"/>
              <w:ind w:left="-1" w:right="200"/>
              <w:rPr>
                <w:sz w:val="20"/>
              </w:rPr>
            </w:pPr>
            <w:r>
              <w:rPr>
                <w:spacing w:val="-5"/>
                <w:sz w:val="20"/>
              </w:rPr>
              <w:t>12</w:t>
            </w:r>
          </w:p>
        </w:tc>
        <w:tc>
          <w:tcPr>
            <w:tcW w:w="852" w:type="dxa"/>
            <w:tcBorders>
              <w:bottom w:val="single" w:sz="4" w:space="0" w:color="000000"/>
            </w:tcBorders>
          </w:tcPr>
          <w:p>
            <w:pPr>
              <w:pStyle w:val="TableParagraph"/>
              <w:spacing w:before="12"/>
              <w:ind w:right="202"/>
              <w:rPr>
                <w:sz w:val="20"/>
              </w:rPr>
            </w:pPr>
            <w:r>
              <w:rPr>
                <w:spacing w:val="-5"/>
                <w:sz w:val="20"/>
              </w:rPr>
              <w:t>1.0</w:t>
            </w:r>
          </w:p>
        </w:tc>
        <w:tc>
          <w:tcPr>
            <w:tcW w:w="2200" w:type="dxa"/>
            <w:tcBorders>
              <w:bottom w:val="single" w:sz="4" w:space="0" w:color="000000"/>
            </w:tcBorders>
          </w:tcPr>
          <w:p>
            <w:pPr>
              <w:pStyle w:val="TableParagraph"/>
              <w:spacing w:before="12"/>
              <w:ind w:right="1159"/>
              <w:rPr>
                <w:sz w:val="20"/>
              </w:rPr>
            </w:pPr>
            <w:r>
              <w:rPr>
                <w:spacing w:val="-2"/>
                <w:sz w:val="20"/>
              </w:rPr>
              <w:t>Continued</w:t>
            </w:r>
          </w:p>
        </w:tc>
      </w:tr>
      <w:tr>
        <w:trPr>
          <w:trHeight w:val="273" w:hRule="atLeast"/>
        </w:trPr>
        <w:tc>
          <w:tcPr>
            <w:tcW w:w="4188" w:type="dxa"/>
            <w:tcBorders>
              <w:top w:val="single" w:sz="4" w:space="0" w:color="000000"/>
              <w:bottom w:val="single" w:sz="4" w:space="0" w:color="000000"/>
            </w:tcBorders>
          </w:tcPr>
          <w:p>
            <w:pPr>
              <w:pStyle w:val="TableParagraph"/>
              <w:jc w:val="left"/>
              <w:rPr>
                <w:sz w:val="18"/>
              </w:rPr>
            </w:pPr>
          </w:p>
        </w:tc>
        <w:tc>
          <w:tcPr>
            <w:tcW w:w="942" w:type="dxa"/>
            <w:tcBorders>
              <w:top w:val="single" w:sz="4" w:space="0" w:color="000000"/>
              <w:bottom w:val="single" w:sz="4" w:space="0" w:color="000000"/>
            </w:tcBorders>
          </w:tcPr>
          <w:p>
            <w:pPr>
              <w:pStyle w:val="TableParagraph"/>
              <w:jc w:val="left"/>
              <w:rPr>
                <w:sz w:val="18"/>
              </w:rPr>
            </w:pPr>
          </w:p>
        </w:tc>
        <w:tc>
          <w:tcPr>
            <w:tcW w:w="720" w:type="dxa"/>
            <w:tcBorders>
              <w:top w:val="single" w:sz="4" w:space="0" w:color="000000"/>
              <w:bottom w:val="single" w:sz="4" w:space="0" w:color="000000"/>
            </w:tcBorders>
          </w:tcPr>
          <w:p>
            <w:pPr>
              <w:pStyle w:val="TableParagraph"/>
              <w:spacing w:before="16"/>
              <w:ind w:right="1"/>
              <w:rPr>
                <w:b/>
                <w:sz w:val="20"/>
              </w:rPr>
            </w:pPr>
            <w:r>
              <w:rPr>
                <w:b/>
                <w:w w:val="100"/>
                <w:sz w:val="20"/>
              </w:rPr>
              <w:t>8</w:t>
            </w:r>
          </w:p>
        </w:tc>
        <w:tc>
          <w:tcPr>
            <w:tcW w:w="801" w:type="dxa"/>
            <w:tcBorders>
              <w:top w:val="single" w:sz="4" w:space="0" w:color="000000"/>
              <w:bottom w:val="single" w:sz="4" w:space="0" w:color="000000"/>
            </w:tcBorders>
          </w:tcPr>
          <w:p>
            <w:pPr>
              <w:pStyle w:val="TableParagraph"/>
              <w:spacing w:before="16"/>
              <w:ind w:left="-1" w:right="200"/>
              <w:rPr>
                <w:b/>
                <w:sz w:val="20"/>
              </w:rPr>
            </w:pPr>
            <w:r>
              <w:rPr>
                <w:b/>
                <w:spacing w:val="-5"/>
                <w:sz w:val="20"/>
              </w:rPr>
              <w:t>96</w:t>
            </w:r>
          </w:p>
        </w:tc>
        <w:tc>
          <w:tcPr>
            <w:tcW w:w="852" w:type="dxa"/>
            <w:tcBorders>
              <w:top w:val="single" w:sz="4" w:space="0" w:color="000000"/>
              <w:bottom w:val="single" w:sz="4" w:space="0" w:color="000000"/>
            </w:tcBorders>
          </w:tcPr>
          <w:p>
            <w:pPr>
              <w:pStyle w:val="TableParagraph"/>
              <w:spacing w:before="16"/>
              <w:ind w:right="202"/>
              <w:rPr>
                <w:b/>
                <w:sz w:val="20"/>
              </w:rPr>
            </w:pPr>
            <w:r>
              <w:rPr>
                <w:b/>
                <w:spacing w:val="-5"/>
                <w:sz w:val="20"/>
              </w:rPr>
              <w:t>8.0</w:t>
            </w:r>
          </w:p>
        </w:tc>
        <w:tc>
          <w:tcPr>
            <w:tcW w:w="2200" w:type="dxa"/>
            <w:tcBorders>
              <w:top w:val="single" w:sz="4" w:space="0" w:color="000000"/>
              <w:bottom w:val="single" w:sz="4" w:space="0" w:color="000000"/>
            </w:tcBorders>
          </w:tcPr>
          <w:p>
            <w:pPr>
              <w:pStyle w:val="TableParagraph"/>
              <w:jc w:val="left"/>
              <w:rPr>
                <w:sz w:val="18"/>
              </w:rPr>
            </w:pPr>
          </w:p>
        </w:tc>
      </w:tr>
      <w:tr>
        <w:trPr>
          <w:trHeight w:val="268" w:hRule="atLeast"/>
        </w:trPr>
        <w:tc>
          <w:tcPr>
            <w:tcW w:w="4188" w:type="dxa"/>
            <w:tcBorders>
              <w:top w:val="single" w:sz="4" w:space="0" w:color="000000"/>
              <w:bottom w:val="single" w:sz="4" w:space="0" w:color="000000"/>
            </w:tcBorders>
          </w:tcPr>
          <w:p>
            <w:pPr>
              <w:pStyle w:val="TableParagraph"/>
              <w:spacing w:before="16"/>
              <w:ind w:left="1162"/>
              <w:jc w:val="left"/>
              <w:rPr>
                <w:i/>
                <w:sz w:val="20"/>
              </w:rPr>
            </w:pPr>
            <w:r>
              <w:rPr>
                <w:i/>
                <w:sz w:val="20"/>
              </w:rPr>
              <w:t>International</w:t>
            </w:r>
            <w:r>
              <w:rPr>
                <w:i/>
                <w:spacing w:val="-10"/>
                <w:sz w:val="20"/>
              </w:rPr>
              <w:t> </w:t>
            </w:r>
            <w:r>
              <w:rPr>
                <w:i/>
                <w:sz w:val="20"/>
              </w:rPr>
              <w:t>Cooperation</w:t>
            </w:r>
            <w:r>
              <w:rPr>
                <w:i/>
                <w:spacing w:val="-11"/>
                <w:sz w:val="20"/>
              </w:rPr>
              <w:t> </w:t>
            </w:r>
            <w:r>
              <w:rPr>
                <w:i/>
                <w:spacing w:val="-2"/>
                <w:sz w:val="20"/>
              </w:rPr>
              <w:t>Advisers</w:t>
            </w:r>
          </w:p>
        </w:tc>
        <w:tc>
          <w:tcPr>
            <w:tcW w:w="942" w:type="dxa"/>
            <w:tcBorders>
              <w:top w:val="single" w:sz="4" w:space="0" w:color="000000"/>
              <w:bottom w:val="single" w:sz="4" w:space="0" w:color="000000"/>
            </w:tcBorders>
          </w:tcPr>
          <w:p>
            <w:pPr>
              <w:pStyle w:val="TableParagraph"/>
              <w:jc w:val="left"/>
              <w:rPr>
                <w:sz w:val="18"/>
              </w:rPr>
            </w:pPr>
          </w:p>
        </w:tc>
        <w:tc>
          <w:tcPr>
            <w:tcW w:w="720" w:type="dxa"/>
            <w:tcBorders>
              <w:top w:val="single" w:sz="4" w:space="0" w:color="000000"/>
              <w:bottom w:val="single" w:sz="4" w:space="0" w:color="000000"/>
            </w:tcBorders>
          </w:tcPr>
          <w:p>
            <w:pPr>
              <w:pStyle w:val="TableParagraph"/>
              <w:jc w:val="left"/>
              <w:rPr>
                <w:sz w:val="18"/>
              </w:rPr>
            </w:pPr>
          </w:p>
        </w:tc>
        <w:tc>
          <w:tcPr>
            <w:tcW w:w="801" w:type="dxa"/>
            <w:tcBorders>
              <w:top w:val="single" w:sz="4" w:space="0" w:color="000000"/>
              <w:bottom w:val="single" w:sz="4" w:space="0" w:color="000000"/>
            </w:tcBorders>
          </w:tcPr>
          <w:p>
            <w:pPr>
              <w:pStyle w:val="TableParagraph"/>
              <w:jc w:val="left"/>
              <w:rPr>
                <w:sz w:val="18"/>
              </w:rPr>
            </w:pPr>
          </w:p>
        </w:tc>
        <w:tc>
          <w:tcPr>
            <w:tcW w:w="852" w:type="dxa"/>
            <w:tcBorders>
              <w:top w:val="single" w:sz="4" w:space="0" w:color="000000"/>
              <w:bottom w:val="single" w:sz="4" w:space="0" w:color="000000"/>
            </w:tcBorders>
          </w:tcPr>
          <w:p>
            <w:pPr>
              <w:pStyle w:val="TableParagraph"/>
              <w:jc w:val="left"/>
              <w:rPr>
                <w:sz w:val="18"/>
              </w:rPr>
            </w:pPr>
          </w:p>
        </w:tc>
        <w:tc>
          <w:tcPr>
            <w:tcW w:w="2200" w:type="dxa"/>
            <w:tcBorders>
              <w:top w:val="single" w:sz="4" w:space="0" w:color="000000"/>
              <w:bottom w:val="single" w:sz="4" w:space="0" w:color="000000"/>
            </w:tcBorders>
          </w:tcPr>
          <w:p>
            <w:pPr>
              <w:pStyle w:val="TableParagraph"/>
              <w:jc w:val="left"/>
              <w:rPr>
                <w:sz w:val="18"/>
              </w:rPr>
            </w:pPr>
          </w:p>
        </w:tc>
      </w:tr>
      <w:tr>
        <w:trPr>
          <w:trHeight w:val="268" w:hRule="atLeast"/>
        </w:trPr>
        <w:tc>
          <w:tcPr>
            <w:tcW w:w="4188" w:type="dxa"/>
            <w:tcBorders>
              <w:top w:val="single" w:sz="4" w:space="0" w:color="000000"/>
              <w:bottom w:val="single" w:sz="4" w:space="0" w:color="000000"/>
            </w:tcBorders>
          </w:tcPr>
          <w:p>
            <w:pPr>
              <w:pStyle w:val="TableParagraph"/>
              <w:spacing w:before="16"/>
              <w:ind w:left="1162"/>
              <w:jc w:val="left"/>
              <w:rPr>
                <w:sz w:val="20"/>
              </w:rPr>
            </w:pPr>
            <w:r>
              <w:rPr>
                <w:sz w:val="20"/>
              </w:rPr>
              <w:t>International</w:t>
            </w:r>
            <w:r>
              <w:rPr>
                <w:spacing w:val="-11"/>
                <w:sz w:val="20"/>
              </w:rPr>
              <w:t> </w:t>
            </w:r>
            <w:r>
              <w:rPr>
                <w:sz w:val="20"/>
              </w:rPr>
              <w:t>Cooperation</w:t>
            </w:r>
            <w:r>
              <w:rPr>
                <w:spacing w:val="-8"/>
                <w:sz w:val="20"/>
              </w:rPr>
              <w:t> </w:t>
            </w:r>
            <w:r>
              <w:rPr>
                <w:spacing w:val="-2"/>
                <w:sz w:val="20"/>
              </w:rPr>
              <w:t>Adviser</w:t>
            </w:r>
          </w:p>
        </w:tc>
        <w:tc>
          <w:tcPr>
            <w:tcW w:w="942" w:type="dxa"/>
            <w:tcBorders>
              <w:top w:val="single" w:sz="4" w:space="0" w:color="000000"/>
              <w:bottom w:val="single" w:sz="4" w:space="0" w:color="000000"/>
            </w:tcBorders>
          </w:tcPr>
          <w:p>
            <w:pPr>
              <w:pStyle w:val="TableParagraph"/>
              <w:spacing w:before="16"/>
              <w:ind w:left="277"/>
              <w:jc w:val="left"/>
              <w:rPr>
                <w:sz w:val="20"/>
              </w:rPr>
            </w:pPr>
            <w:r>
              <w:rPr>
                <w:spacing w:val="-2"/>
                <w:sz w:val="20"/>
              </w:rPr>
              <w:t>P-</w:t>
            </w:r>
            <w:r>
              <w:rPr>
                <w:spacing w:val="-10"/>
                <w:sz w:val="20"/>
              </w:rPr>
              <w:t>3</w:t>
            </w:r>
          </w:p>
        </w:tc>
        <w:tc>
          <w:tcPr>
            <w:tcW w:w="720" w:type="dxa"/>
            <w:tcBorders>
              <w:top w:val="single" w:sz="4" w:space="0" w:color="000000"/>
              <w:bottom w:val="single" w:sz="4" w:space="0" w:color="000000"/>
            </w:tcBorders>
          </w:tcPr>
          <w:p>
            <w:pPr>
              <w:pStyle w:val="TableParagraph"/>
              <w:spacing w:before="16"/>
              <w:ind w:right="1"/>
              <w:rPr>
                <w:sz w:val="20"/>
              </w:rPr>
            </w:pPr>
            <w:r>
              <w:rPr>
                <w:w w:val="100"/>
                <w:sz w:val="20"/>
              </w:rPr>
              <w:t>1</w:t>
            </w:r>
          </w:p>
        </w:tc>
        <w:tc>
          <w:tcPr>
            <w:tcW w:w="801" w:type="dxa"/>
            <w:tcBorders>
              <w:top w:val="single" w:sz="4" w:space="0" w:color="000000"/>
              <w:bottom w:val="single" w:sz="4" w:space="0" w:color="000000"/>
            </w:tcBorders>
          </w:tcPr>
          <w:p>
            <w:pPr>
              <w:pStyle w:val="TableParagraph"/>
              <w:spacing w:before="16"/>
              <w:ind w:right="200"/>
              <w:rPr>
                <w:sz w:val="20"/>
              </w:rPr>
            </w:pPr>
            <w:r>
              <w:rPr>
                <w:w w:val="100"/>
                <w:sz w:val="20"/>
              </w:rPr>
              <w:t>9</w:t>
            </w:r>
          </w:p>
        </w:tc>
        <w:tc>
          <w:tcPr>
            <w:tcW w:w="852" w:type="dxa"/>
            <w:tcBorders>
              <w:top w:val="single" w:sz="4" w:space="0" w:color="000000"/>
              <w:bottom w:val="single" w:sz="4" w:space="0" w:color="000000"/>
            </w:tcBorders>
          </w:tcPr>
          <w:p>
            <w:pPr>
              <w:pStyle w:val="TableParagraph"/>
              <w:spacing w:before="16"/>
              <w:ind w:right="202"/>
              <w:rPr>
                <w:sz w:val="20"/>
              </w:rPr>
            </w:pPr>
            <w:r>
              <w:rPr>
                <w:spacing w:val="-4"/>
                <w:sz w:val="20"/>
              </w:rPr>
              <w:t>0.75</w:t>
            </w:r>
          </w:p>
        </w:tc>
        <w:tc>
          <w:tcPr>
            <w:tcW w:w="2200" w:type="dxa"/>
            <w:tcBorders>
              <w:top w:val="single" w:sz="4" w:space="0" w:color="000000"/>
              <w:bottom w:val="single" w:sz="4" w:space="0" w:color="000000"/>
            </w:tcBorders>
          </w:tcPr>
          <w:p>
            <w:pPr>
              <w:pStyle w:val="TableParagraph"/>
              <w:spacing w:before="16"/>
              <w:ind w:right="1162"/>
              <w:rPr>
                <w:sz w:val="20"/>
              </w:rPr>
            </w:pPr>
            <w:r>
              <w:rPr>
                <w:spacing w:val="-5"/>
                <w:sz w:val="20"/>
              </w:rPr>
              <w:t>New</w:t>
            </w:r>
          </w:p>
        </w:tc>
      </w:tr>
      <w:tr>
        <w:trPr>
          <w:trHeight w:val="273" w:hRule="atLeast"/>
        </w:trPr>
        <w:tc>
          <w:tcPr>
            <w:tcW w:w="4188" w:type="dxa"/>
            <w:tcBorders>
              <w:top w:val="single" w:sz="4" w:space="0" w:color="000000"/>
              <w:bottom w:val="single" w:sz="4" w:space="0" w:color="000000"/>
            </w:tcBorders>
          </w:tcPr>
          <w:p>
            <w:pPr>
              <w:pStyle w:val="TableParagraph"/>
              <w:jc w:val="left"/>
              <w:rPr>
                <w:sz w:val="18"/>
              </w:rPr>
            </w:pPr>
          </w:p>
        </w:tc>
        <w:tc>
          <w:tcPr>
            <w:tcW w:w="942" w:type="dxa"/>
            <w:tcBorders>
              <w:top w:val="single" w:sz="4" w:space="0" w:color="000000"/>
              <w:bottom w:val="single" w:sz="4" w:space="0" w:color="000000"/>
            </w:tcBorders>
          </w:tcPr>
          <w:p>
            <w:pPr>
              <w:pStyle w:val="TableParagraph"/>
              <w:jc w:val="left"/>
              <w:rPr>
                <w:sz w:val="18"/>
              </w:rPr>
            </w:pPr>
          </w:p>
        </w:tc>
        <w:tc>
          <w:tcPr>
            <w:tcW w:w="720" w:type="dxa"/>
            <w:tcBorders>
              <w:top w:val="single" w:sz="4" w:space="0" w:color="000000"/>
              <w:bottom w:val="single" w:sz="4" w:space="0" w:color="000000"/>
            </w:tcBorders>
          </w:tcPr>
          <w:p>
            <w:pPr>
              <w:pStyle w:val="TableParagraph"/>
              <w:spacing w:before="16"/>
              <w:ind w:right="1"/>
              <w:rPr>
                <w:b/>
                <w:sz w:val="20"/>
              </w:rPr>
            </w:pPr>
            <w:r>
              <w:rPr>
                <w:b/>
                <w:w w:val="100"/>
                <w:sz w:val="20"/>
              </w:rPr>
              <w:t>1</w:t>
            </w:r>
          </w:p>
        </w:tc>
        <w:tc>
          <w:tcPr>
            <w:tcW w:w="801" w:type="dxa"/>
            <w:tcBorders>
              <w:top w:val="single" w:sz="4" w:space="0" w:color="000000"/>
              <w:bottom w:val="single" w:sz="4" w:space="0" w:color="000000"/>
            </w:tcBorders>
          </w:tcPr>
          <w:p>
            <w:pPr>
              <w:pStyle w:val="TableParagraph"/>
              <w:spacing w:before="16"/>
              <w:ind w:right="200"/>
              <w:rPr>
                <w:b/>
                <w:sz w:val="20"/>
              </w:rPr>
            </w:pPr>
            <w:r>
              <w:rPr>
                <w:b/>
                <w:w w:val="100"/>
                <w:sz w:val="20"/>
              </w:rPr>
              <w:t>9</w:t>
            </w:r>
          </w:p>
        </w:tc>
        <w:tc>
          <w:tcPr>
            <w:tcW w:w="852" w:type="dxa"/>
            <w:tcBorders>
              <w:top w:val="single" w:sz="4" w:space="0" w:color="000000"/>
              <w:bottom w:val="single" w:sz="4" w:space="0" w:color="000000"/>
            </w:tcBorders>
          </w:tcPr>
          <w:p>
            <w:pPr>
              <w:pStyle w:val="TableParagraph"/>
              <w:spacing w:before="16"/>
              <w:ind w:right="202"/>
              <w:rPr>
                <w:b/>
                <w:sz w:val="20"/>
              </w:rPr>
            </w:pPr>
            <w:r>
              <w:rPr>
                <w:b/>
                <w:spacing w:val="-4"/>
                <w:sz w:val="20"/>
              </w:rPr>
              <w:t>0.75</w:t>
            </w:r>
          </w:p>
        </w:tc>
        <w:tc>
          <w:tcPr>
            <w:tcW w:w="2200" w:type="dxa"/>
            <w:tcBorders>
              <w:top w:val="single" w:sz="4" w:space="0" w:color="000000"/>
              <w:bottom w:val="single" w:sz="4" w:space="0" w:color="000000"/>
            </w:tcBorders>
          </w:tcPr>
          <w:p>
            <w:pPr>
              <w:pStyle w:val="TableParagraph"/>
              <w:jc w:val="left"/>
              <w:rPr>
                <w:sz w:val="18"/>
              </w:rPr>
            </w:pPr>
          </w:p>
        </w:tc>
      </w:tr>
      <w:tr>
        <w:trPr>
          <w:trHeight w:val="268" w:hRule="atLeast"/>
        </w:trPr>
        <w:tc>
          <w:tcPr>
            <w:tcW w:w="4188" w:type="dxa"/>
            <w:tcBorders>
              <w:top w:val="single" w:sz="4" w:space="0" w:color="000000"/>
              <w:bottom w:val="single" w:sz="4" w:space="0" w:color="000000"/>
            </w:tcBorders>
          </w:tcPr>
          <w:p>
            <w:pPr>
              <w:pStyle w:val="TableParagraph"/>
              <w:spacing w:before="16"/>
              <w:ind w:left="1162"/>
              <w:jc w:val="left"/>
              <w:rPr>
                <w:b/>
                <w:sz w:val="20"/>
              </w:rPr>
            </w:pPr>
            <w:r>
              <w:rPr>
                <w:b/>
                <w:spacing w:val="-2"/>
                <w:sz w:val="20"/>
              </w:rPr>
              <w:t>Total</w:t>
            </w:r>
          </w:p>
        </w:tc>
        <w:tc>
          <w:tcPr>
            <w:tcW w:w="942" w:type="dxa"/>
            <w:tcBorders>
              <w:top w:val="single" w:sz="4" w:space="0" w:color="000000"/>
              <w:bottom w:val="single" w:sz="4" w:space="0" w:color="000000"/>
            </w:tcBorders>
          </w:tcPr>
          <w:p>
            <w:pPr>
              <w:pStyle w:val="TableParagraph"/>
              <w:jc w:val="left"/>
              <w:rPr>
                <w:sz w:val="18"/>
              </w:rPr>
            </w:pPr>
          </w:p>
        </w:tc>
        <w:tc>
          <w:tcPr>
            <w:tcW w:w="720" w:type="dxa"/>
            <w:tcBorders>
              <w:top w:val="single" w:sz="4" w:space="0" w:color="000000"/>
              <w:bottom w:val="single" w:sz="4" w:space="0" w:color="000000"/>
            </w:tcBorders>
          </w:tcPr>
          <w:p>
            <w:pPr>
              <w:pStyle w:val="TableParagraph"/>
              <w:spacing w:before="16"/>
              <w:ind w:right="1"/>
              <w:rPr>
                <w:b/>
                <w:sz w:val="20"/>
              </w:rPr>
            </w:pPr>
            <w:r>
              <w:rPr>
                <w:b/>
                <w:spacing w:val="-5"/>
                <w:sz w:val="20"/>
              </w:rPr>
              <w:t>30</w:t>
            </w:r>
          </w:p>
        </w:tc>
        <w:tc>
          <w:tcPr>
            <w:tcW w:w="801" w:type="dxa"/>
            <w:tcBorders>
              <w:top w:val="single" w:sz="4" w:space="0" w:color="000000"/>
              <w:bottom w:val="single" w:sz="4" w:space="0" w:color="000000"/>
            </w:tcBorders>
          </w:tcPr>
          <w:p>
            <w:pPr>
              <w:pStyle w:val="TableParagraph"/>
              <w:spacing w:before="16"/>
              <w:ind w:left="-1" w:right="195"/>
              <w:rPr>
                <w:b/>
                <w:sz w:val="20"/>
              </w:rPr>
            </w:pPr>
            <w:r>
              <w:rPr>
                <w:b/>
                <w:spacing w:val="-5"/>
                <w:sz w:val="20"/>
              </w:rPr>
              <w:t>351</w:t>
            </w:r>
          </w:p>
        </w:tc>
        <w:tc>
          <w:tcPr>
            <w:tcW w:w="852" w:type="dxa"/>
            <w:tcBorders>
              <w:top w:val="single" w:sz="4" w:space="0" w:color="000000"/>
              <w:bottom w:val="single" w:sz="4" w:space="0" w:color="000000"/>
            </w:tcBorders>
          </w:tcPr>
          <w:p>
            <w:pPr>
              <w:pStyle w:val="TableParagraph"/>
              <w:spacing w:before="16"/>
              <w:ind w:right="202"/>
              <w:rPr>
                <w:b/>
                <w:sz w:val="20"/>
              </w:rPr>
            </w:pPr>
            <w:r>
              <w:rPr>
                <w:b/>
                <w:spacing w:val="-2"/>
                <w:sz w:val="20"/>
              </w:rPr>
              <w:t>29.25</w:t>
            </w:r>
          </w:p>
        </w:tc>
        <w:tc>
          <w:tcPr>
            <w:tcW w:w="2200" w:type="dxa"/>
            <w:tcBorders>
              <w:top w:val="single" w:sz="4" w:space="0" w:color="000000"/>
              <w:bottom w:val="single" w:sz="4" w:space="0" w:color="000000"/>
            </w:tcBorders>
          </w:tcPr>
          <w:p>
            <w:pPr>
              <w:pStyle w:val="TableParagraph"/>
              <w:jc w:val="left"/>
              <w:rPr>
                <w:sz w:val="18"/>
              </w:rPr>
            </w:pPr>
          </w:p>
        </w:tc>
      </w:tr>
    </w:tbl>
    <w:p>
      <w:pPr>
        <w:pStyle w:val="ListParagraph"/>
        <w:numPr>
          <w:ilvl w:val="0"/>
          <w:numId w:val="4"/>
        </w:numPr>
        <w:tabs>
          <w:tab w:pos="2967" w:val="left" w:leader="none"/>
        </w:tabs>
        <w:spacing w:line="240" w:lineRule="auto" w:before="129" w:after="0"/>
        <w:ind w:left="2246" w:right="2242" w:firstLine="0"/>
        <w:jc w:val="both"/>
        <w:rPr>
          <w:sz w:val="20"/>
        </w:rPr>
      </w:pPr>
      <w:r>
        <w:rPr/>
        <w:pict>
          <v:shape style="position:absolute;margin-left:113.330002pt;margin-top:63.859947pt;width:368.8pt;height:.5pt;mso-position-horizontal-relative:page;mso-position-vertical-relative:page;z-index:-43814912" id="docshape161" coordorigin="2267,1277" coordsize="7376,10" path="m7553,1277l6963,1277,6953,1277,6953,1277,6314,1277,6305,1277,5580,1277,5570,1277,2267,1277,2267,1287,5570,1287,5580,1287,6305,1287,6314,1287,6953,1287,6953,1287,6963,1287,7553,1287,7553,1277xm8398,1277l7563,1277,7553,1277,7553,1287,7563,1287,8398,1287,8398,1277xm8408,1277l8399,1277,8399,1287,8408,1287,8408,1277xm9642,1277l8408,1277,8408,1287,9642,1287,9642,1277xe" filled="true" fillcolor="#000000" stroked="false">
            <v:path arrowok="t"/>
            <v:fill type="solid"/>
            <w10:wrap type="none"/>
          </v:shape>
        </w:pict>
      </w:r>
      <w:r>
        <w:rPr>
          <w:sz w:val="20"/>
        </w:rPr>
        <w:t>As reflected under Programme 2600, as elected and senior members of the Court, the Deputy Prosecutors</w:t>
      </w:r>
      <w:r>
        <w:rPr>
          <w:spacing w:val="-1"/>
          <w:sz w:val="20"/>
        </w:rPr>
        <w:t> </w:t>
      </w:r>
      <w:r>
        <w:rPr>
          <w:sz w:val="20"/>
        </w:rPr>
        <w:t>are required to undertake a range of</w:t>
      </w:r>
      <w:r>
        <w:rPr>
          <w:spacing w:val="-5"/>
          <w:sz w:val="20"/>
        </w:rPr>
        <w:t> </w:t>
      </w:r>
      <w:r>
        <w:rPr>
          <w:sz w:val="20"/>
        </w:rPr>
        <w:t>activities</w:t>
      </w:r>
      <w:r>
        <w:rPr>
          <w:spacing w:val="-1"/>
          <w:sz w:val="20"/>
        </w:rPr>
        <w:t> </w:t>
      </w:r>
      <w:r>
        <w:rPr>
          <w:sz w:val="20"/>
        </w:rPr>
        <w:t>that require executive support through their immediate offices. The workload of these immediate offices has become increasingly burdensome, reflecting the overall increase in activities of the Office and the significant acceleration in the number of requests for engagement and cooperation received from States Parties and other partner entities in the last year.</w:t>
      </w:r>
    </w:p>
    <w:p>
      <w:pPr>
        <w:pStyle w:val="ListParagraph"/>
        <w:numPr>
          <w:ilvl w:val="0"/>
          <w:numId w:val="4"/>
        </w:numPr>
        <w:tabs>
          <w:tab w:pos="2967" w:val="left" w:leader="none"/>
        </w:tabs>
        <w:spacing w:line="240" w:lineRule="auto" w:before="118" w:after="0"/>
        <w:ind w:left="2246" w:right="2239" w:firstLine="0"/>
        <w:jc w:val="both"/>
        <w:rPr>
          <w:sz w:val="20"/>
        </w:rPr>
      </w:pPr>
      <w:r>
        <w:rPr>
          <w:sz w:val="20"/>
        </w:rPr>
        <w:t>Additional</w:t>
      </w:r>
      <w:r>
        <w:rPr>
          <w:spacing w:val="-3"/>
          <w:sz w:val="20"/>
        </w:rPr>
        <w:t> </w:t>
      </w:r>
      <w:r>
        <w:rPr>
          <w:sz w:val="20"/>
        </w:rPr>
        <w:t>support</w:t>
      </w:r>
      <w:r>
        <w:rPr>
          <w:spacing w:val="-8"/>
          <w:sz w:val="20"/>
        </w:rPr>
        <w:t> </w:t>
      </w:r>
      <w:r>
        <w:rPr>
          <w:sz w:val="20"/>
        </w:rPr>
        <w:t>is</w:t>
      </w:r>
      <w:r>
        <w:rPr>
          <w:spacing w:val="-11"/>
          <w:sz w:val="20"/>
        </w:rPr>
        <w:t> </w:t>
      </w:r>
      <w:r>
        <w:rPr>
          <w:sz w:val="20"/>
        </w:rPr>
        <w:t>therefore</w:t>
      </w:r>
      <w:r>
        <w:rPr>
          <w:spacing w:val="-8"/>
          <w:sz w:val="20"/>
        </w:rPr>
        <w:t> </w:t>
      </w:r>
      <w:r>
        <w:rPr>
          <w:sz w:val="20"/>
        </w:rPr>
        <w:t>needed</w:t>
      </w:r>
      <w:r>
        <w:rPr>
          <w:spacing w:val="-9"/>
          <w:sz w:val="20"/>
        </w:rPr>
        <w:t> </w:t>
      </w:r>
      <w:r>
        <w:rPr>
          <w:sz w:val="20"/>
        </w:rPr>
        <w:t>to</w:t>
      </w:r>
      <w:r>
        <w:rPr>
          <w:spacing w:val="-9"/>
          <w:sz w:val="20"/>
        </w:rPr>
        <w:t> </w:t>
      </w:r>
      <w:r>
        <w:rPr>
          <w:sz w:val="20"/>
        </w:rPr>
        <w:t>address</w:t>
      </w:r>
      <w:r>
        <w:rPr>
          <w:spacing w:val="-11"/>
          <w:sz w:val="20"/>
        </w:rPr>
        <w:t> </w:t>
      </w:r>
      <w:r>
        <w:rPr>
          <w:sz w:val="20"/>
        </w:rPr>
        <w:t>the</w:t>
      </w:r>
      <w:r>
        <w:rPr>
          <w:spacing w:val="-8"/>
          <w:sz w:val="20"/>
        </w:rPr>
        <w:t> </w:t>
      </w:r>
      <w:r>
        <w:rPr>
          <w:sz w:val="20"/>
        </w:rPr>
        <w:t>identified</w:t>
      </w:r>
      <w:r>
        <w:rPr>
          <w:spacing w:val="-5"/>
          <w:sz w:val="20"/>
        </w:rPr>
        <w:t> </w:t>
      </w:r>
      <w:r>
        <w:rPr>
          <w:sz w:val="20"/>
        </w:rPr>
        <w:t>needs</w:t>
      </w:r>
      <w:r>
        <w:rPr>
          <w:spacing w:val="-6"/>
          <w:sz w:val="20"/>
        </w:rPr>
        <w:t> </w:t>
      </w:r>
      <w:r>
        <w:rPr>
          <w:sz w:val="20"/>
        </w:rPr>
        <w:t>of</w:t>
      </w:r>
      <w:r>
        <w:rPr>
          <w:spacing w:val="-9"/>
          <w:sz w:val="20"/>
        </w:rPr>
        <w:t> </w:t>
      </w:r>
      <w:r>
        <w:rPr>
          <w:sz w:val="20"/>
        </w:rPr>
        <w:t>the Deputy Prosecutor Staffing under this pillar, including with respect to: diplomatic outreach and meetings with multiple external actors, including preparation of notes, speaking notes for events, and follow-up communications; close supervision and oversight of teams and their missions and plans; the provision of strategic advice with respect to the overall activities under the pillar and engagement with external partners; and support for a range of administrative tasks, planning and staff issues. To address this need, one Assistant to the Deputy</w:t>
      </w:r>
      <w:r>
        <w:rPr>
          <w:spacing w:val="-8"/>
          <w:sz w:val="20"/>
        </w:rPr>
        <w:t> </w:t>
      </w:r>
      <w:r>
        <w:rPr>
          <w:sz w:val="20"/>
        </w:rPr>
        <w:t>Prosecutor</w:t>
      </w:r>
      <w:r>
        <w:rPr>
          <w:spacing w:val="-4"/>
          <w:sz w:val="20"/>
        </w:rPr>
        <w:t> </w:t>
      </w:r>
      <w:r>
        <w:rPr>
          <w:sz w:val="20"/>
        </w:rPr>
        <w:t>(P-1)</w:t>
      </w:r>
      <w:r>
        <w:rPr>
          <w:spacing w:val="-8"/>
          <w:sz w:val="20"/>
        </w:rPr>
        <w:t> </w:t>
      </w:r>
      <w:r>
        <w:rPr>
          <w:sz w:val="20"/>
        </w:rPr>
        <w:t>(0.75</w:t>
      </w:r>
      <w:r>
        <w:rPr>
          <w:spacing w:val="-4"/>
          <w:sz w:val="20"/>
        </w:rPr>
        <w:t> </w:t>
      </w:r>
      <w:r>
        <w:rPr>
          <w:sz w:val="20"/>
        </w:rPr>
        <w:t>FTE)</w:t>
      </w:r>
      <w:r>
        <w:rPr>
          <w:spacing w:val="-8"/>
          <w:sz w:val="20"/>
        </w:rPr>
        <w:t> </w:t>
      </w:r>
      <w:r>
        <w:rPr>
          <w:sz w:val="20"/>
        </w:rPr>
        <w:t>position</w:t>
      </w:r>
      <w:r>
        <w:rPr>
          <w:spacing w:val="-8"/>
          <w:sz w:val="20"/>
        </w:rPr>
        <w:t> </w:t>
      </w:r>
      <w:r>
        <w:rPr>
          <w:sz w:val="20"/>
        </w:rPr>
        <w:t>is</w:t>
      </w:r>
      <w:r>
        <w:rPr>
          <w:spacing w:val="-10"/>
          <w:sz w:val="20"/>
        </w:rPr>
        <w:t> </w:t>
      </w:r>
      <w:r>
        <w:rPr>
          <w:sz w:val="20"/>
        </w:rPr>
        <w:t>required</w:t>
      </w:r>
      <w:r>
        <w:rPr>
          <w:spacing w:val="-4"/>
          <w:sz w:val="20"/>
        </w:rPr>
        <w:t> </w:t>
      </w:r>
      <w:r>
        <w:rPr>
          <w:sz w:val="20"/>
        </w:rPr>
        <w:t>to</w:t>
      </w:r>
      <w:r>
        <w:rPr>
          <w:spacing w:val="-4"/>
          <w:sz w:val="20"/>
        </w:rPr>
        <w:t> </w:t>
      </w:r>
      <w:r>
        <w:rPr>
          <w:sz w:val="20"/>
        </w:rPr>
        <w:t>strengthen</w:t>
      </w:r>
      <w:r>
        <w:rPr>
          <w:spacing w:val="-8"/>
          <w:sz w:val="20"/>
        </w:rPr>
        <w:t> </w:t>
      </w:r>
      <w:r>
        <w:rPr>
          <w:sz w:val="20"/>
        </w:rPr>
        <w:t>the Deputy</w:t>
      </w:r>
      <w:r>
        <w:rPr>
          <w:spacing w:val="-8"/>
          <w:sz w:val="20"/>
        </w:rPr>
        <w:t> </w:t>
      </w:r>
      <w:r>
        <w:rPr>
          <w:sz w:val="20"/>
        </w:rPr>
        <w:t>Prosecutor Staffing under this pillar.</w:t>
      </w:r>
    </w:p>
    <w:p>
      <w:pPr>
        <w:pStyle w:val="ListParagraph"/>
        <w:numPr>
          <w:ilvl w:val="0"/>
          <w:numId w:val="4"/>
        </w:numPr>
        <w:tabs>
          <w:tab w:pos="2967" w:val="left" w:leader="none"/>
        </w:tabs>
        <w:spacing w:line="240" w:lineRule="auto" w:before="124" w:after="0"/>
        <w:ind w:left="2246" w:right="2243" w:firstLine="0"/>
        <w:jc w:val="both"/>
        <w:rPr>
          <w:sz w:val="20"/>
        </w:rPr>
      </w:pPr>
      <w:r>
        <w:rPr>
          <w:sz w:val="20"/>
        </w:rPr>
        <w:t>Reflecting the increased activity across the work of the Office and in particular identified</w:t>
      </w:r>
      <w:r>
        <w:rPr>
          <w:spacing w:val="-4"/>
          <w:sz w:val="20"/>
        </w:rPr>
        <w:t> </w:t>
      </w:r>
      <w:r>
        <w:rPr>
          <w:sz w:val="20"/>
        </w:rPr>
        <w:t>opportunities</w:t>
      </w:r>
      <w:r>
        <w:rPr>
          <w:spacing w:val="-5"/>
          <w:sz w:val="20"/>
        </w:rPr>
        <w:t> </w:t>
      </w:r>
      <w:r>
        <w:rPr>
          <w:sz w:val="20"/>
        </w:rPr>
        <w:t>with respect</w:t>
      </w:r>
      <w:r>
        <w:rPr>
          <w:spacing w:val="-2"/>
          <w:sz w:val="20"/>
        </w:rPr>
        <w:t> </w:t>
      </w:r>
      <w:r>
        <w:rPr>
          <w:sz w:val="20"/>
        </w:rPr>
        <w:t>to</w:t>
      </w:r>
      <w:r>
        <w:rPr>
          <w:spacing w:val="-8"/>
          <w:sz w:val="20"/>
        </w:rPr>
        <w:t> </w:t>
      </w:r>
      <w:r>
        <w:rPr>
          <w:sz w:val="20"/>
        </w:rPr>
        <w:t>enhancing</w:t>
      </w:r>
      <w:r>
        <w:rPr>
          <w:spacing w:val="-4"/>
          <w:sz w:val="20"/>
        </w:rPr>
        <w:t> </w:t>
      </w:r>
      <w:r>
        <w:rPr>
          <w:sz w:val="20"/>
        </w:rPr>
        <w:t>collaboration with</w:t>
      </w:r>
      <w:r>
        <w:rPr>
          <w:spacing w:val="-4"/>
          <w:sz w:val="20"/>
        </w:rPr>
        <w:t> </w:t>
      </w:r>
      <w:r>
        <w:rPr>
          <w:sz w:val="20"/>
        </w:rPr>
        <w:t>key</w:t>
      </w:r>
      <w:r>
        <w:rPr>
          <w:spacing w:val="-4"/>
          <w:sz w:val="20"/>
        </w:rPr>
        <w:t> </w:t>
      </w:r>
      <w:r>
        <w:rPr>
          <w:sz w:val="20"/>
        </w:rPr>
        <w:t>partners</w:t>
      </w:r>
      <w:r>
        <w:rPr>
          <w:spacing w:val="-5"/>
          <w:sz w:val="20"/>
        </w:rPr>
        <w:t> </w:t>
      </w:r>
      <w:r>
        <w:rPr>
          <w:sz w:val="20"/>
        </w:rPr>
        <w:t>in</w:t>
      </w:r>
      <w:r>
        <w:rPr>
          <w:spacing w:val="-4"/>
          <w:sz w:val="20"/>
        </w:rPr>
        <w:t> </w:t>
      </w:r>
      <w:r>
        <w:rPr>
          <w:sz w:val="20"/>
        </w:rPr>
        <w:t>support of investigations,</w:t>
      </w:r>
      <w:r>
        <w:rPr>
          <w:spacing w:val="-2"/>
          <w:sz w:val="20"/>
        </w:rPr>
        <w:t> </w:t>
      </w:r>
      <w:r>
        <w:rPr>
          <w:sz w:val="20"/>
        </w:rPr>
        <w:t>more</w:t>
      </w:r>
      <w:r>
        <w:rPr>
          <w:spacing w:val="-3"/>
          <w:sz w:val="20"/>
        </w:rPr>
        <w:t> </w:t>
      </w:r>
      <w:r>
        <w:rPr>
          <w:sz w:val="20"/>
        </w:rPr>
        <w:t>support is</w:t>
      </w:r>
      <w:r>
        <w:rPr>
          <w:spacing w:val="-1"/>
          <w:sz w:val="20"/>
        </w:rPr>
        <w:t> </w:t>
      </w:r>
      <w:r>
        <w:rPr>
          <w:sz w:val="20"/>
        </w:rPr>
        <w:t>needed</w:t>
      </w:r>
      <w:r>
        <w:rPr>
          <w:spacing w:val="-5"/>
          <w:sz w:val="20"/>
        </w:rPr>
        <w:t> </w:t>
      </w:r>
      <w:r>
        <w:rPr>
          <w:sz w:val="20"/>
        </w:rPr>
        <w:t>by</w:t>
      </w:r>
      <w:r>
        <w:rPr>
          <w:spacing w:val="-5"/>
          <w:sz w:val="20"/>
        </w:rPr>
        <w:t> </w:t>
      </w:r>
      <w:r>
        <w:rPr>
          <w:sz w:val="20"/>
        </w:rPr>
        <w:t>the Unified</w:t>
      </w:r>
      <w:r>
        <w:rPr>
          <w:spacing w:val="-5"/>
          <w:sz w:val="20"/>
        </w:rPr>
        <w:t> </w:t>
      </w:r>
      <w:r>
        <w:rPr>
          <w:sz w:val="20"/>
        </w:rPr>
        <w:t>Teams</w:t>
      </w:r>
      <w:r>
        <w:rPr>
          <w:spacing w:val="-1"/>
          <w:sz w:val="20"/>
        </w:rPr>
        <w:t> </w:t>
      </w:r>
      <w:r>
        <w:rPr>
          <w:sz w:val="20"/>
        </w:rPr>
        <w:t>with respect to cooperation, outreach,</w:t>
      </w:r>
      <w:r>
        <w:rPr>
          <w:spacing w:val="-13"/>
          <w:sz w:val="20"/>
        </w:rPr>
        <w:t> </w:t>
      </w:r>
      <w:r>
        <w:rPr>
          <w:sz w:val="20"/>
        </w:rPr>
        <w:t>and</w:t>
      </w:r>
      <w:r>
        <w:rPr>
          <w:spacing w:val="-12"/>
          <w:sz w:val="20"/>
        </w:rPr>
        <w:t> </w:t>
      </w:r>
      <w:r>
        <w:rPr>
          <w:sz w:val="20"/>
        </w:rPr>
        <w:t>positive</w:t>
      </w:r>
      <w:r>
        <w:rPr>
          <w:spacing w:val="-13"/>
          <w:sz w:val="20"/>
        </w:rPr>
        <w:t> </w:t>
      </w:r>
      <w:r>
        <w:rPr>
          <w:sz w:val="20"/>
        </w:rPr>
        <w:t>complementarity.</w:t>
      </w:r>
      <w:r>
        <w:rPr>
          <w:spacing w:val="-12"/>
          <w:sz w:val="20"/>
        </w:rPr>
        <w:t> </w:t>
      </w:r>
      <w:r>
        <w:rPr>
          <w:sz w:val="20"/>
        </w:rPr>
        <w:t>Both</w:t>
      </w:r>
      <w:r>
        <w:rPr>
          <w:spacing w:val="-13"/>
          <w:sz w:val="20"/>
        </w:rPr>
        <w:t> </w:t>
      </w:r>
      <w:r>
        <w:rPr>
          <w:sz w:val="20"/>
        </w:rPr>
        <w:t>Programme</w:t>
      </w:r>
      <w:r>
        <w:rPr>
          <w:spacing w:val="-12"/>
          <w:sz w:val="20"/>
        </w:rPr>
        <w:t> </w:t>
      </w:r>
      <w:r>
        <w:rPr>
          <w:sz w:val="20"/>
        </w:rPr>
        <w:t>2600</w:t>
      </w:r>
      <w:r>
        <w:rPr>
          <w:spacing w:val="-13"/>
          <w:sz w:val="20"/>
        </w:rPr>
        <w:t> </w:t>
      </w:r>
      <w:r>
        <w:rPr>
          <w:sz w:val="20"/>
        </w:rPr>
        <w:t>and</w:t>
      </w:r>
      <w:r>
        <w:rPr>
          <w:spacing w:val="-12"/>
          <w:sz w:val="20"/>
        </w:rPr>
        <w:t> </w:t>
      </w:r>
      <w:r>
        <w:rPr>
          <w:sz w:val="20"/>
        </w:rPr>
        <w:t>Programme</w:t>
      </w:r>
      <w:r>
        <w:rPr>
          <w:spacing w:val="-13"/>
          <w:sz w:val="20"/>
        </w:rPr>
        <w:t> </w:t>
      </w:r>
      <w:r>
        <w:rPr>
          <w:sz w:val="20"/>
        </w:rPr>
        <w:t>2700</w:t>
      </w:r>
      <w:r>
        <w:rPr>
          <w:spacing w:val="-12"/>
          <w:sz w:val="20"/>
        </w:rPr>
        <w:t> </w:t>
      </w:r>
      <w:r>
        <w:rPr>
          <w:sz w:val="20"/>
        </w:rPr>
        <w:t>request a new International Cooperation Adviser (P-3). The request is for 9 months, or 0.75 FTE.</w:t>
      </w:r>
    </w:p>
    <w:p>
      <w:pPr>
        <w:pStyle w:val="ListParagraph"/>
        <w:numPr>
          <w:ilvl w:val="0"/>
          <w:numId w:val="4"/>
        </w:numPr>
        <w:tabs>
          <w:tab w:pos="2967" w:val="left" w:leader="none"/>
        </w:tabs>
        <w:spacing w:line="240" w:lineRule="auto" w:before="118" w:after="0"/>
        <w:ind w:left="2246" w:right="2244" w:firstLine="0"/>
        <w:jc w:val="both"/>
        <w:rPr>
          <w:sz w:val="20"/>
        </w:rPr>
      </w:pPr>
      <w:r>
        <w:rPr>
          <w:sz w:val="20"/>
        </w:rPr>
        <w:t>As explained in paragraphs 357 to 361 above, the Office has identified a key need to significantly enhance its financial investigative capacity. To address this the Office proposes</w:t>
      </w:r>
      <w:r>
        <w:rPr>
          <w:spacing w:val="-7"/>
          <w:sz w:val="20"/>
        </w:rPr>
        <w:t> </w:t>
      </w:r>
      <w:r>
        <w:rPr>
          <w:sz w:val="20"/>
        </w:rPr>
        <w:t>the</w:t>
      </w:r>
      <w:r>
        <w:rPr>
          <w:spacing w:val="-4"/>
          <w:sz w:val="20"/>
        </w:rPr>
        <w:t> </w:t>
      </w:r>
      <w:r>
        <w:rPr>
          <w:sz w:val="20"/>
        </w:rPr>
        <w:t>establishment of</w:t>
      </w:r>
      <w:r>
        <w:rPr>
          <w:spacing w:val="-6"/>
          <w:sz w:val="20"/>
        </w:rPr>
        <w:t> </w:t>
      </w:r>
      <w:r>
        <w:rPr>
          <w:sz w:val="20"/>
        </w:rPr>
        <w:t>a</w:t>
      </w:r>
      <w:r>
        <w:rPr>
          <w:spacing w:val="-4"/>
          <w:sz w:val="20"/>
        </w:rPr>
        <w:t> </w:t>
      </w:r>
      <w:r>
        <w:rPr>
          <w:sz w:val="20"/>
        </w:rPr>
        <w:t>Financial</w:t>
      </w:r>
      <w:r>
        <w:rPr>
          <w:spacing w:val="-4"/>
          <w:sz w:val="20"/>
        </w:rPr>
        <w:t> </w:t>
      </w:r>
      <w:r>
        <w:rPr>
          <w:sz w:val="20"/>
        </w:rPr>
        <w:t>Investigation</w:t>
      </w:r>
      <w:r>
        <w:rPr>
          <w:spacing w:val="-6"/>
          <w:sz w:val="20"/>
        </w:rPr>
        <w:t> </w:t>
      </w:r>
      <w:r>
        <w:rPr>
          <w:sz w:val="20"/>
        </w:rPr>
        <w:t>Unit</w:t>
      </w:r>
      <w:r>
        <w:rPr>
          <w:spacing w:val="-9"/>
          <w:sz w:val="20"/>
        </w:rPr>
        <w:t> </w:t>
      </w:r>
      <w:r>
        <w:rPr>
          <w:sz w:val="20"/>
        </w:rPr>
        <w:t>which</w:t>
      </w:r>
      <w:r>
        <w:rPr>
          <w:spacing w:val="-6"/>
          <w:sz w:val="20"/>
        </w:rPr>
        <w:t> </w:t>
      </w:r>
      <w:r>
        <w:rPr>
          <w:sz w:val="20"/>
        </w:rPr>
        <w:t>will</w:t>
      </w:r>
      <w:r>
        <w:rPr>
          <w:spacing w:val="-4"/>
          <w:sz w:val="20"/>
        </w:rPr>
        <w:t> </w:t>
      </w:r>
      <w:r>
        <w:rPr>
          <w:sz w:val="20"/>
        </w:rPr>
        <w:t>report hierarchically to Programme 2700, but will assist both Deputy Prosecutors’ teams. The minimal initial capacity</w:t>
      </w:r>
      <w:r>
        <w:rPr>
          <w:spacing w:val="-4"/>
          <w:sz w:val="20"/>
        </w:rPr>
        <w:t> </w:t>
      </w:r>
      <w:r>
        <w:rPr>
          <w:sz w:val="20"/>
        </w:rPr>
        <w:t>for</w:t>
      </w:r>
      <w:r>
        <w:rPr>
          <w:spacing w:val="-4"/>
          <w:sz w:val="20"/>
        </w:rPr>
        <w:t> </w:t>
      </w:r>
      <w:r>
        <w:rPr>
          <w:sz w:val="20"/>
        </w:rPr>
        <w:t>such</w:t>
      </w:r>
      <w:r>
        <w:rPr>
          <w:spacing w:val="-8"/>
          <w:sz w:val="20"/>
        </w:rPr>
        <w:t> </w:t>
      </w:r>
      <w:r>
        <w:rPr>
          <w:sz w:val="20"/>
        </w:rPr>
        <w:t>an</w:t>
      </w:r>
      <w:r>
        <w:rPr>
          <w:spacing w:val="-4"/>
          <w:sz w:val="20"/>
        </w:rPr>
        <w:t> </w:t>
      </w:r>
      <w:r>
        <w:rPr>
          <w:sz w:val="20"/>
        </w:rPr>
        <w:t>Office</w:t>
      </w:r>
      <w:r>
        <w:rPr>
          <w:spacing w:val="-3"/>
          <w:sz w:val="20"/>
        </w:rPr>
        <w:t> </w:t>
      </w:r>
      <w:r>
        <w:rPr>
          <w:sz w:val="20"/>
        </w:rPr>
        <w:t>needs</w:t>
      </w:r>
      <w:r>
        <w:rPr>
          <w:spacing w:val="-5"/>
          <w:sz w:val="20"/>
        </w:rPr>
        <w:t> </w:t>
      </w:r>
      <w:r>
        <w:rPr>
          <w:sz w:val="20"/>
        </w:rPr>
        <w:t>to</w:t>
      </w:r>
      <w:r>
        <w:rPr>
          <w:spacing w:val="-8"/>
          <w:sz w:val="20"/>
        </w:rPr>
        <w:t> </w:t>
      </w:r>
      <w:r>
        <w:rPr>
          <w:sz w:val="20"/>
        </w:rPr>
        <w:t>be</w:t>
      </w:r>
      <w:r>
        <w:rPr>
          <w:spacing w:val="-7"/>
          <w:sz w:val="20"/>
        </w:rPr>
        <w:t> </w:t>
      </w:r>
      <w:r>
        <w:rPr>
          <w:sz w:val="20"/>
        </w:rPr>
        <w:t>at</w:t>
      </w:r>
      <w:r>
        <w:rPr>
          <w:spacing w:val="-3"/>
          <w:sz w:val="20"/>
        </w:rPr>
        <w:t> </w:t>
      </w:r>
      <w:r>
        <w:rPr>
          <w:sz w:val="20"/>
        </w:rPr>
        <w:t>least</w:t>
      </w:r>
      <w:r>
        <w:rPr>
          <w:spacing w:val="-3"/>
          <w:sz w:val="20"/>
        </w:rPr>
        <w:t> </w:t>
      </w:r>
      <w:r>
        <w:rPr>
          <w:sz w:val="20"/>
        </w:rPr>
        <w:t>two</w:t>
      </w:r>
      <w:r>
        <w:rPr>
          <w:spacing w:val="-8"/>
          <w:sz w:val="20"/>
        </w:rPr>
        <w:t> </w:t>
      </w:r>
      <w:r>
        <w:rPr>
          <w:sz w:val="20"/>
        </w:rPr>
        <w:t>investigators.</w:t>
      </w:r>
      <w:r>
        <w:rPr>
          <w:spacing w:val="-2"/>
          <w:sz w:val="20"/>
        </w:rPr>
        <w:t> </w:t>
      </w:r>
      <w:r>
        <w:rPr>
          <w:sz w:val="20"/>
        </w:rPr>
        <w:t>While</w:t>
      </w:r>
      <w:r>
        <w:rPr>
          <w:spacing w:val="-3"/>
          <w:sz w:val="20"/>
        </w:rPr>
        <w:t> </w:t>
      </w:r>
      <w:r>
        <w:rPr>
          <w:sz w:val="20"/>
        </w:rPr>
        <w:t>one</w:t>
      </w:r>
      <w:r>
        <w:rPr>
          <w:spacing w:val="-3"/>
          <w:sz w:val="20"/>
        </w:rPr>
        <w:t> </w:t>
      </w:r>
      <w:r>
        <w:rPr>
          <w:sz w:val="20"/>
        </w:rPr>
        <w:t>resource</w:t>
      </w:r>
      <w:r>
        <w:rPr>
          <w:spacing w:val="-3"/>
          <w:sz w:val="20"/>
        </w:rPr>
        <w:t> </w:t>
      </w:r>
      <w:r>
        <w:rPr>
          <w:sz w:val="20"/>
        </w:rPr>
        <w:t>will</w:t>
      </w:r>
      <w:r>
        <w:rPr>
          <w:spacing w:val="-3"/>
          <w:sz w:val="20"/>
        </w:rPr>
        <w:t> </w:t>
      </w:r>
      <w:r>
        <w:rPr>
          <w:sz w:val="20"/>
        </w:rPr>
        <w:t>be redeployed from other teams, a second one is requested as a new GTA (9 months, or 0.75 FTE). Where possible, the Office will seek to supplement this core expertise through the secondment of national experts.</w:t>
      </w:r>
    </w:p>
    <w:p>
      <w:pPr>
        <w:pStyle w:val="BodyText"/>
      </w:pPr>
    </w:p>
    <w:p>
      <w:pPr>
        <w:pStyle w:val="BodyText"/>
        <w:spacing w:before="8"/>
        <w:rPr>
          <w:sz w:val="28"/>
        </w:rPr>
      </w:pPr>
      <w:r>
        <w:rPr/>
        <w:pict>
          <v:rect style="position:absolute;margin-left:113.330002pt;margin-top:17.731115pt;width:144.050pt;height:.48004pt;mso-position-horizontal-relative:page;mso-position-vertical-relative:paragraph;z-index:-15698944;mso-wrap-distance-left:0;mso-wrap-distance-right:0" id="docshape162" filled="true" fillcolor="#000000" stroked="false">
            <v:fill type="solid"/>
            <w10:wrap type="topAndBottom"/>
          </v:rect>
        </w:pict>
      </w:r>
    </w:p>
    <w:p>
      <w:pPr>
        <w:spacing w:before="86"/>
        <w:ind w:left="2246" w:right="2195" w:firstLine="0"/>
        <w:jc w:val="left"/>
        <w:rPr>
          <w:sz w:val="16"/>
        </w:rPr>
      </w:pPr>
      <w:r>
        <w:rPr>
          <w:position w:val="5"/>
          <w:sz w:val="10"/>
        </w:rPr>
        <w:t>84</w:t>
      </w:r>
      <w:r>
        <w:rPr>
          <w:spacing w:val="29"/>
          <w:position w:val="5"/>
          <w:sz w:val="10"/>
        </w:rPr>
        <w:t> </w:t>
      </w:r>
      <w:r>
        <w:rPr>
          <w:sz w:val="16"/>
        </w:rPr>
        <w:t>To assume the role of Head of FIU (Financial Investigation Unit). One additional GTA</w:t>
      </w:r>
      <w:r>
        <w:rPr>
          <w:spacing w:val="24"/>
          <w:sz w:val="16"/>
        </w:rPr>
        <w:t> </w:t>
      </w:r>
      <w:r>
        <w:rPr>
          <w:sz w:val="16"/>
        </w:rPr>
        <w:t>position is requested.</w:t>
      </w:r>
      <w:r>
        <w:rPr>
          <w:spacing w:val="40"/>
          <w:sz w:val="16"/>
        </w:rPr>
        <w:t> </w:t>
      </w:r>
      <w:r>
        <w:rPr>
          <w:sz w:val="16"/>
        </w:rPr>
        <w:t>Other investigators to be secured through secondments in 2023.</w:t>
      </w:r>
    </w:p>
    <w:p>
      <w:pPr>
        <w:spacing w:after="0"/>
        <w:jc w:val="left"/>
        <w:rPr>
          <w:sz w:val="16"/>
        </w:rPr>
        <w:sectPr>
          <w:headerReference w:type="default" r:id="rId58"/>
          <w:headerReference w:type="even" r:id="rId59"/>
          <w:footerReference w:type="default" r:id="rId60"/>
          <w:footerReference w:type="even" r:id="rId61"/>
          <w:pgSz w:w="11910" w:h="16840"/>
          <w:pgMar w:header="953" w:footer="940" w:top="1140" w:bottom="1140" w:left="20" w:right="20"/>
          <w:pgNumType w:start="75"/>
        </w:sectPr>
      </w:pPr>
    </w:p>
    <w:p>
      <w:pPr>
        <w:pStyle w:val="Heading3"/>
        <w:tabs>
          <w:tab w:pos="5979" w:val="left" w:leader="none"/>
        </w:tabs>
        <w:spacing w:before="124"/>
        <w:ind w:left="1"/>
        <w:jc w:val="center"/>
      </w:pPr>
      <w:r>
        <w:rPr/>
        <w:t>Non-staff</w:t>
      </w:r>
      <w:r>
        <w:rPr>
          <w:spacing w:val="-4"/>
        </w:rPr>
        <w:t> </w:t>
      </w:r>
      <w:r>
        <w:rPr>
          <w:spacing w:val="-2"/>
        </w:rPr>
        <w:t>resources</w:t>
      </w:r>
      <w:r>
        <w:rPr/>
        <w:tab/>
        <w:t>€685.2</w:t>
      </w:r>
      <w:r>
        <w:rPr>
          <w:spacing w:val="-3"/>
        </w:rPr>
        <w:t> </w:t>
      </w:r>
      <w:r>
        <w:rPr>
          <w:spacing w:val="-2"/>
        </w:rPr>
        <w:t>thousand</w:t>
      </w:r>
    </w:p>
    <w:p>
      <w:pPr>
        <w:pStyle w:val="BodyText"/>
        <w:spacing w:before="11"/>
        <w:rPr>
          <w:b/>
        </w:rPr>
      </w:pPr>
    </w:p>
    <w:p>
      <w:pPr>
        <w:pStyle w:val="ListParagraph"/>
        <w:numPr>
          <w:ilvl w:val="0"/>
          <w:numId w:val="4"/>
        </w:numPr>
        <w:tabs>
          <w:tab w:pos="2967" w:val="left" w:leader="none"/>
        </w:tabs>
        <w:spacing w:line="240" w:lineRule="auto" w:before="0" w:after="0"/>
        <w:ind w:left="2246" w:right="2235" w:firstLine="0"/>
        <w:jc w:val="both"/>
        <w:rPr>
          <w:sz w:val="20"/>
        </w:rPr>
      </w:pPr>
      <w:r>
        <w:rPr>
          <w:sz w:val="20"/>
        </w:rPr>
        <w:t>The requested amount is required for travel, contractual services and general operating expenses. When the proposed budget for 2022 was submitted, the two Deputy Prosecutors</w:t>
      </w:r>
      <w:r>
        <w:rPr>
          <w:spacing w:val="-12"/>
          <w:sz w:val="20"/>
        </w:rPr>
        <w:t> </w:t>
      </w:r>
      <w:r>
        <w:rPr>
          <w:sz w:val="20"/>
        </w:rPr>
        <w:t>had</w:t>
      </w:r>
      <w:r>
        <w:rPr>
          <w:spacing w:val="-8"/>
          <w:sz w:val="20"/>
        </w:rPr>
        <w:t> </w:t>
      </w:r>
      <w:r>
        <w:rPr>
          <w:sz w:val="20"/>
        </w:rPr>
        <w:t>not</w:t>
      </w:r>
      <w:r>
        <w:rPr>
          <w:spacing w:val="-7"/>
          <w:sz w:val="20"/>
        </w:rPr>
        <w:t> </w:t>
      </w:r>
      <w:r>
        <w:rPr>
          <w:sz w:val="20"/>
        </w:rPr>
        <w:t>yet</w:t>
      </w:r>
      <w:r>
        <w:rPr>
          <w:spacing w:val="-12"/>
          <w:sz w:val="20"/>
        </w:rPr>
        <w:t> </w:t>
      </w:r>
      <w:r>
        <w:rPr>
          <w:sz w:val="20"/>
        </w:rPr>
        <w:t>been</w:t>
      </w:r>
      <w:r>
        <w:rPr>
          <w:spacing w:val="-13"/>
          <w:sz w:val="20"/>
        </w:rPr>
        <w:t> </w:t>
      </w:r>
      <w:r>
        <w:rPr>
          <w:sz w:val="20"/>
        </w:rPr>
        <w:t>elected.</w:t>
      </w:r>
      <w:r>
        <w:rPr>
          <w:spacing w:val="-10"/>
          <w:sz w:val="20"/>
        </w:rPr>
        <w:t> </w:t>
      </w:r>
      <w:r>
        <w:rPr>
          <w:sz w:val="20"/>
        </w:rPr>
        <w:t>The</w:t>
      </w:r>
      <w:r>
        <w:rPr>
          <w:spacing w:val="-12"/>
          <w:sz w:val="20"/>
        </w:rPr>
        <w:t> </w:t>
      </w:r>
      <w:r>
        <w:rPr>
          <w:sz w:val="20"/>
        </w:rPr>
        <w:t>proposal</w:t>
      </w:r>
      <w:r>
        <w:rPr>
          <w:spacing w:val="-7"/>
          <w:sz w:val="20"/>
        </w:rPr>
        <w:t> </w:t>
      </w:r>
      <w:r>
        <w:rPr>
          <w:sz w:val="20"/>
        </w:rPr>
        <w:t>presented</w:t>
      </w:r>
      <w:r>
        <w:rPr>
          <w:spacing w:val="-13"/>
          <w:sz w:val="20"/>
        </w:rPr>
        <w:t> </w:t>
      </w:r>
      <w:r>
        <w:rPr>
          <w:sz w:val="20"/>
        </w:rPr>
        <w:t>the</w:t>
      </w:r>
      <w:r>
        <w:rPr>
          <w:spacing w:val="-11"/>
          <w:sz w:val="20"/>
        </w:rPr>
        <w:t> </w:t>
      </w:r>
      <w:r>
        <w:rPr>
          <w:sz w:val="20"/>
        </w:rPr>
        <w:t>resources</w:t>
      </w:r>
      <w:r>
        <w:rPr>
          <w:spacing w:val="-13"/>
          <w:sz w:val="20"/>
        </w:rPr>
        <w:t> </w:t>
      </w:r>
      <w:r>
        <w:rPr>
          <w:sz w:val="20"/>
        </w:rPr>
        <w:t>of</w:t>
      </w:r>
      <w:r>
        <w:rPr>
          <w:spacing w:val="-7"/>
          <w:sz w:val="20"/>
        </w:rPr>
        <w:t> </w:t>
      </w:r>
      <w:r>
        <w:rPr>
          <w:sz w:val="20"/>
        </w:rPr>
        <w:t>the</w:t>
      </w:r>
      <w:r>
        <w:rPr>
          <w:spacing w:val="-7"/>
          <w:sz w:val="20"/>
        </w:rPr>
        <w:t> </w:t>
      </w:r>
      <w:r>
        <w:rPr>
          <w:sz w:val="20"/>
        </w:rPr>
        <w:t>prosecution pillars</w:t>
      </w:r>
      <w:r>
        <w:rPr>
          <w:spacing w:val="-10"/>
          <w:sz w:val="20"/>
        </w:rPr>
        <w:t> </w:t>
      </w:r>
      <w:r>
        <w:rPr>
          <w:sz w:val="20"/>
        </w:rPr>
        <w:t>together</w:t>
      </w:r>
      <w:r>
        <w:rPr>
          <w:spacing w:val="-4"/>
          <w:sz w:val="20"/>
        </w:rPr>
        <w:t> </w:t>
      </w:r>
      <w:r>
        <w:rPr>
          <w:sz w:val="20"/>
        </w:rPr>
        <w:t>with</w:t>
      </w:r>
      <w:r>
        <w:rPr>
          <w:spacing w:val="-8"/>
          <w:sz w:val="20"/>
        </w:rPr>
        <w:t> </w:t>
      </w:r>
      <w:r>
        <w:rPr>
          <w:sz w:val="20"/>
        </w:rPr>
        <w:t>the</w:t>
      </w:r>
      <w:r>
        <w:rPr>
          <w:spacing w:val="-7"/>
          <w:sz w:val="20"/>
        </w:rPr>
        <w:t> </w:t>
      </w:r>
      <w:r>
        <w:rPr>
          <w:sz w:val="20"/>
        </w:rPr>
        <w:t>caveat</w:t>
      </w:r>
      <w:r>
        <w:rPr>
          <w:spacing w:val="-7"/>
          <w:sz w:val="20"/>
        </w:rPr>
        <w:t> </w:t>
      </w:r>
      <w:r>
        <w:rPr>
          <w:sz w:val="20"/>
        </w:rPr>
        <w:t>that</w:t>
      </w:r>
      <w:r>
        <w:rPr>
          <w:spacing w:val="-7"/>
          <w:sz w:val="20"/>
        </w:rPr>
        <w:t> </w:t>
      </w:r>
      <w:r>
        <w:rPr>
          <w:sz w:val="20"/>
        </w:rPr>
        <w:t>the</w:t>
      </w:r>
      <w:r>
        <w:rPr>
          <w:spacing w:val="-7"/>
          <w:sz w:val="20"/>
        </w:rPr>
        <w:t> </w:t>
      </w:r>
      <w:r>
        <w:rPr>
          <w:sz w:val="20"/>
        </w:rPr>
        <w:t>actual</w:t>
      </w:r>
      <w:r>
        <w:rPr>
          <w:spacing w:val="-2"/>
          <w:sz w:val="20"/>
        </w:rPr>
        <w:t> </w:t>
      </w:r>
      <w:r>
        <w:rPr>
          <w:sz w:val="20"/>
        </w:rPr>
        <w:t>split</w:t>
      </w:r>
      <w:r>
        <w:rPr>
          <w:spacing w:val="-2"/>
          <w:sz w:val="20"/>
        </w:rPr>
        <w:t> </w:t>
      </w:r>
      <w:r>
        <w:rPr>
          <w:sz w:val="20"/>
        </w:rPr>
        <w:t>of</w:t>
      </w:r>
      <w:r>
        <w:rPr>
          <w:spacing w:val="-8"/>
          <w:sz w:val="20"/>
        </w:rPr>
        <w:t> </w:t>
      </w:r>
      <w:r>
        <w:rPr>
          <w:sz w:val="20"/>
        </w:rPr>
        <w:t>staff</w:t>
      </w:r>
      <w:r>
        <w:rPr>
          <w:spacing w:val="-8"/>
          <w:sz w:val="20"/>
        </w:rPr>
        <w:t> </w:t>
      </w:r>
      <w:r>
        <w:rPr>
          <w:sz w:val="20"/>
        </w:rPr>
        <w:t>and</w:t>
      </w:r>
      <w:r>
        <w:rPr>
          <w:spacing w:val="-4"/>
          <w:sz w:val="20"/>
        </w:rPr>
        <w:t> </w:t>
      </w:r>
      <w:r>
        <w:rPr>
          <w:sz w:val="20"/>
        </w:rPr>
        <w:t>non-staff</w:t>
      </w:r>
      <w:r>
        <w:rPr>
          <w:spacing w:val="-8"/>
          <w:sz w:val="20"/>
        </w:rPr>
        <w:t> </w:t>
      </w:r>
      <w:r>
        <w:rPr>
          <w:sz w:val="20"/>
        </w:rPr>
        <w:t>costs</w:t>
      </w:r>
      <w:r>
        <w:rPr>
          <w:spacing w:val="-5"/>
          <w:sz w:val="20"/>
        </w:rPr>
        <w:t> </w:t>
      </w:r>
      <w:r>
        <w:rPr>
          <w:sz w:val="20"/>
        </w:rPr>
        <w:t>would</w:t>
      </w:r>
      <w:r>
        <w:rPr>
          <w:spacing w:val="-8"/>
          <w:sz w:val="20"/>
        </w:rPr>
        <w:t> </w:t>
      </w:r>
      <w:r>
        <w:rPr>
          <w:sz w:val="20"/>
        </w:rPr>
        <w:t>be</w:t>
      </w:r>
      <w:r>
        <w:rPr>
          <w:spacing w:val="-7"/>
          <w:sz w:val="20"/>
        </w:rPr>
        <w:t> </w:t>
      </w:r>
      <w:r>
        <w:rPr>
          <w:sz w:val="20"/>
        </w:rPr>
        <w:t>done once</w:t>
      </w:r>
      <w:r>
        <w:rPr>
          <w:spacing w:val="-6"/>
          <w:sz w:val="20"/>
        </w:rPr>
        <w:t> </w:t>
      </w:r>
      <w:r>
        <w:rPr>
          <w:sz w:val="20"/>
        </w:rPr>
        <w:t>the</w:t>
      </w:r>
      <w:r>
        <w:rPr>
          <w:spacing w:val="-1"/>
          <w:sz w:val="20"/>
        </w:rPr>
        <w:t> </w:t>
      </w:r>
      <w:r>
        <w:rPr>
          <w:sz w:val="20"/>
        </w:rPr>
        <w:t>Deputy</w:t>
      </w:r>
      <w:r>
        <w:rPr>
          <w:spacing w:val="-3"/>
          <w:sz w:val="20"/>
        </w:rPr>
        <w:t> </w:t>
      </w:r>
      <w:r>
        <w:rPr>
          <w:sz w:val="20"/>
        </w:rPr>
        <w:t>Prosecutors were</w:t>
      </w:r>
      <w:r>
        <w:rPr>
          <w:spacing w:val="-6"/>
          <w:sz w:val="20"/>
        </w:rPr>
        <w:t> </w:t>
      </w:r>
      <w:r>
        <w:rPr>
          <w:sz w:val="20"/>
        </w:rPr>
        <w:t>elected</w:t>
      </w:r>
      <w:r>
        <w:rPr>
          <w:spacing w:val="-7"/>
          <w:sz w:val="20"/>
        </w:rPr>
        <w:t> </w:t>
      </w:r>
      <w:r>
        <w:rPr>
          <w:sz w:val="20"/>
        </w:rPr>
        <w:t>and</w:t>
      </w:r>
      <w:r>
        <w:rPr>
          <w:spacing w:val="-3"/>
          <w:sz w:val="20"/>
        </w:rPr>
        <w:t> </w:t>
      </w:r>
      <w:r>
        <w:rPr>
          <w:sz w:val="20"/>
        </w:rPr>
        <w:t>the split</w:t>
      </w:r>
      <w:r>
        <w:rPr>
          <w:spacing w:val="-1"/>
          <w:sz w:val="20"/>
        </w:rPr>
        <w:t> </w:t>
      </w:r>
      <w:r>
        <w:rPr>
          <w:sz w:val="20"/>
        </w:rPr>
        <w:t>of situations</w:t>
      </w:r>
      <w:r>
        <w:rPr>
          <w:spacing w:val="-4"/>
          <w:sz w:val="20"/>
        </w:rPr>
        <w:t> </w:t>
      </w:r>
      <w:r>
        <w:rPr>
          <w:sz w:val="20"/>
        </w:rPr>
        <w:t>and</w:t>
      </w:r>
      <w:r>
        <w:rPr>
          <w:spacing w:val="-7"/>
          <w:sz w:val="20"/>
        </w:rPr>
        <w:t> </w:t>
      </w:r>
      <w:r>
        <w:rPr>
          <w:sz w:val="20"/>
        </w:rPr>
        <w:t>cases</w:t>
      </w:r>
      <w:r>
        <w:rPr>
          <w:spacing w:val="-4"/>
          <w:sz w:val="20"/>
        </w:rPr>
        <w:t> </w:t>
      </w:r>
      <w:r>
        <w:rPr>
          <w:sz w:val="20"/>
        </w:rPr>
        <w:t>agreed.</w:t>
      </w:r>
      <w:r>
        <w:rPr>
          <w:spacing w:val="-5"/>
          <w:sz w:val="20"/>
        </w:rPr>
        <w:t> </w:t>
      </w:r>
      <w:r>
        <w:rPr>
          <w:sz w:val="20"/>
        </w:rPr>
        <w:t>When the</w:t>
      </w:r>
      <w:r>
        <w:rPr>
          <w:spacing w:val="-13"/>
          <w:sz w:val="20"/>
        </w:rPr>
        <w:t> </w:t>
      </w:r>
      <w:r>
        <w:rPr>
          <w:sz w:val="20"/>
        </w:rPr>
        <w:t>budget</w:t>
      </w:r>
      <w:r>
        <w:rPr>
          <w:spacing w:val="-8"/>
          <w:sz w:val="20"/>
        </w:rPr>
        <w:t> </w:t>
      </w:r>
      <w:r>
        <w:rPr>
          <w:sz w:val="20"/>
        </w:rPr>
        <w:t>was</w:t>
      </w:r>
      <w:r>
        <w:rPr>
          <w:spacing w:val="-11"/>
          <w:sz w:val="20"/>
        </w:rPr>
        <w:t> </w:t>
      </w:r>
      <w:r>
        <w:rPr>
          <w:sz w:val="20"/>
        </w:rPr>
        <w:t>approved,</w:t>
      </w:r>
      <w:r>
        <w:rPr>
          <w:spacing w:val="-12"/>
          <w:sz w:val="20"/>
        </w:rPr>
        <w:t> </w:t>
      </w:r>
      <w:r>
        <w:rPr>
          <w:sz w:val="20"/>
        </w:rPr>
        <w:t>the</w:t>
      </w:r>
      <w:r>
        <w:rPr>
          <w:spacing w:val="-8"/>
          <w:sz w:val="20"/>
        </w:rPr>
        <w:t> </w:t>
      </w:r>
      <w:r>
        <w:rPr>
          <w:sz w:val="20"/>
        </w:rPr>
        <w:t>funds</w:t>
      </w:r>
      <w:r>
        <w:rPr>
          <w:spacing w:val="-11"/>
          <w:sz w:val="20"/>
        </w:rPr>
        <w:t> </w:t>
      </w:r>
      <w:r>
        <w:rPr>
          <w:sz w:val="20"/>
        </w:rPr>
        <w:t>for</w:t>
      </w:r>
      <w:r>
        <w:rPr>
          <w:spacing w:val="-13"/>
          <w:sz w:val="20"/>
        </w:rPr>
        <w:t> </w:t>
      </w:r>
      <w:r>
        <w:rPr>
          <w:sz w:val="20"/>
        </w:rPr>
        <w:t>travel</w:t>
      </w:r>
      <w:r>
        <w:rPr>
          <w:spacing w:val="-7"/>
          <w:sz w:val="20"/>
        </w:rPr>
        <w:t> </w:t>
      </w:r>
      <w:r>
        <w:rPr>
          <w:sz w:val="20"/>
        </w:rPr>
        <w:t>were</w:t>
      </w:r>
      <w:r>
        <w:rPr>
          <w:spacing w:val="-8"/>
          <w:sz w:val="20"/>
        </w:rPr>
        <w:t> </w:t>
      </w:r>
      <w:r>
        <w:rPr>
          <w:sz w:val="20"/>
        </w:rPr>
        <w:t>split</w:t>
      </w:r>
      <w:r>
        <w:rPr>
          <w:spacing w:val="-13"/>
          <w:sz w:val="20"/>
        </w:rPr>
        <w:t> </w:t>
      </w:r>
      <w:r>
        <w:rPr>
          <w:sz w:val="20"/>
        </w:rPr>
        <w:t>equally</w:t>
      </w:r>
      <w:r>
        <w:rPr>
          <w:spacing w:val="-8"/>
          <w:sz w:val="20"/>
        </w:rPr>
        <w:t> </w:t>
      </w:r>
      <w:r>
        <w:rPr>
          <w:sz w:val="20"/>
        </w:rPr>
        <w:t>between</w:t>
      </w:r>
      <w:r>
        <w:rPr>
          <w:spacing w:val="-9"/>
          <w:sz w:val="20"/>
        </w:rPr>
        <w:t> </w:t>
      </w:r>
      <w:r>
        <w:rPr>
          <w:sz w:val="20"/>
        </w:rPr>
        <w:t>the</w:t>
      </w:r>
      <w:r>
        <w:rPr>
          <w:spacing w:val="-13"/>
          <w:sz w:val="20"/>
        </w:rPr>
        <w:t> </w:t>
      </w:r>
      <w:r>
        <w:rPr>
          <w:sz w:val="20"/>
        </w:rPr>
        <w:t>two</w:t>
      </w:r>
      <w:r>
        <w:rPr>
          <w:spacing w:val="-8"/>
          <w:sz w:val="20"/>
        </w:rPr>
        <w:t> </w:t>
      </w:r>
      <w:r>
        <w:rPr>
          <w:sz w:val="20"/>
        </w:rPr>
        <w:t>pillars.</w:t>
      </w:r>
      <w:r>
        <w:rPr>
          <w:spacing w:val="-7"/>
          <w:sz w:val="20"/>
        </w:rPr>
        <w:t> </w:t>
      </w:r>
      <w:r>
        <w:rPr>
          <w:sz w:val="20"/>
        </w:rPr>
        <w:t>Now that the allocation has been finalized, the request for funds to finance missions has been linked to the actual situation and cases managed by each pillar. Unless otherwise indicated, the resource request is recurrent.</w:t>
      </w:r>
    </w:p>
    <w:p>
      <w:pPr>
        <w:pStyle w:val="BodyText"/>
        <w:spacing w:before="2"/>
        <w:rPr>
          <w:sz w:val="21"/>
        </w:rPr>
      </w:pPr>
    </w:p>
    <w:p>
      <w:pPr>
        <w:tabs>
          <w:tab w:pos="6039" w:val="left" w:leader="none"/>
        </w:tabs>
        <w:spacing w:before="1"/>
        <w:ind w:left="4" w:right="0" w:firstLine="0"/>
        <w:jc w:val="center"/>
        <w:rPr>
          <w:i/>
          <w:sz w:val="20"/>
        </w:rPr>
      </w:pPr>
      <w:r>
        <w:rPr>
          <w:i/>
          <w:spacing w:val="-2"/>
          <w:sz w:val="20"/>
        </w:rPr>
        <w:t>Travel</w:t>
      </w:r>
      <w:r>
        <w:rPr>
          <w:i/>
          <w:sz w:val="20"/>
        </w:rPr>
        <w:tab/>
        <w:t>€425.2</w:t>
      </w:r>
      <w:r>
        <w:rPr>
          <w:i/>
          <w:spacing w:val="-3"/>
          <w:sz w:val="20"/>
        </w:rPr>
        <w:t> </w:t>
      </w:r>
      <w:r>
        <w:rPr>
          <w:i/>
          <w:spacing w:val="-2"/>
          <w:sz w:val="20"/>
        </w:rPr>
        <w:t>thousand</w:t>
      </w:r>
    </w:p>
    <w:p>
      <w:pPr>
        <w:pStyle w:val="BodyText"/>
        <w:spacing w:before="6"/>
        <w:rPr>
          <w:i/>
        </w:rPr>
      </w:pPr>
    </w:p>
    <w:p>
      <w:pPr>
        <w:pStyle w:val="ListParagraph"/>
        <w:numPr>
          <w:ilvl w:val="0"/>
          <w:numId w:val="4"/>
        </w:numPr>
        <w:tabs>
          <w:tab w:pos="2967" w:val="left" w:leader="none"/>
        </w:tabs>
        <w:spacing w:line="240" w:lineRule="auto" w:before="0" w:after="0"/>
        <w:ind w:left="2246" w:right="2241" w:firstLine="0"/>
        <w:jc w:val="both"/>
        <w:rPr>
          <w:sz w:val="20"/>
        </w:rPr>
      </w:pPr>
      <w:r>
        <w:rPr>
          <w:sz w:val="20"/>
        </w:rPr>
        <w:t>Due to the higher weight of trials in the workload of this pillar, the number of missions is lower in comparison to that of Programme 2600. The funds requested to cover the</w:t>
      </w:r>
      <w:r>
        <w:rPr>
          <w:spacing w:val="-2"/>
          <w:sz w:val="20"/>
        </w:rPr>
        <w:t> </w:t>
      </w:r>
      <w:r>
        <w:rPr>
          <w:sz w:val="20"/>
        </w:rPr>
        <w:t>cost</w:t>
      </w:r>
      <w:r>
        <w:rPr>
          <w:spacing w:val="-2"/>
          <w:sz w:val="20"/>
        </w:rPr>
        <w:t> </w:t>
      </w:r>
      <w:r>
        <w:rPr>
          <w:sz w:val="20"/>
        </w:rPr>
        <w:t>of</w:t>
      </w:r>
      <w:r>
        <w:rPr>
          <w:spacing w:val="-4"/>
          <w:sz w:val="20"/>
        </w:rPr>
        <w:t> </w:t>
      </w:r>
      <w:r>
        <w:rPr>
          <w:sz w:val="20"/>
        </w:rPr>
        <w:t>missions</w:t>
      </w:r>
      <w:r>
        <w:rPr>
          <w:spacing w:val="-5"/>
          <w:sz w:val="20"/>
        </w:rPr>
        <w:t> </w:t>
      </w:r>
      <w:r>
        <w:rPr>
          <w:sz w:val="20"/>
        </w:rPr>
        <w:t>to</w:t>
      </w:r>
      <w:r>
        <w:rPr>
          <w:spacing w:val="-8"/>
          <w:sz w:val="20"/>
        </w:rPr>
        <w:t> </w:t>
      </w:r>
      <w:r>
        <w:rPr>
          <w:sz w:val="20"/>
        </w:rPr>
        <w:t>the</w:t>
      </w:r>
      <w:r>
        <w:rPr>
          <w:spacing w:val="-2"/>
          <w:sz w:val="20"/>
        </w:rPr>
        <w:t> </w:t>
      </w:r>
      <w:r>
        <w:rPr>
          <w:sz w:val="20"/>
        </w:rPr>
        <w:t>situation</w:t>
      </w:r>
      <w:r>
        <w:rPr>
          <w:spacing w:val="-4"/>
          <w:sz w:val="20"/>
        </w:rPr>
        <w:t> </w:t>
      </w:r>
      <w:r>
        <w:rPr>
          <w:sz w:val="20"/>
        </w:rPr>
        <w:t>countries</w:t>
      </w:r>
      <w:r>
        <w:rPr>
          <w:spacing w:val="-5"/>
          <w:sz w:val="20"/>
        </w:rPr>
        <w:t> </w:t>
      </w:r>
      <w:r>
        <w:rPr>
          <w:sz w:val="20"/>
        </w:rPr>
        <w:t>affected</w:t>
      </w:r>
      <w:r>
        <w:rPr>
          <w:spacing w:val="-4"/>
          <w:sz w:val="20"/>
        </w:rPr>
        <w:t> </w:t>
      </w:r>
      <w:r>
        <w:rPr>
          <w:sz w:val="20"/>
        </w:rPr>
        <w:t>and</w:t>
      </w:r>
      <w:r>
        <w:rPr>
          <w:spacing w:val="-4"/>
          <w:sz w:val="20"/>
        </w:rPr>
        <w:t> </w:t>
      </w:r>
      <w:r>
        <w:rPr>
          <w:sz w:val="20"/>
        </w:rPr>
        <w:t>other</w:t>
      </w:r>
      <w:r>
        <w:rPr>
          <w:spacing w:val="-4"/>
          <w:sz w:val="20"/>
        </w:rPr>
        <w:t> </w:t>
      </w:r>
      <w:r>
        <w:rPr>
          <w:sz w:val="20"/>
        </w:rPr>
        <w:t>locations</w:t>
      </w:r>
      <w:r>
        <w:rPr>
          <w:spacing w:val="-5"/>
          <w:sz w:val="20"/>
        </w:rPr>
        <w:t> </w:t>
      </w:r>
      <w:r>
        <w:rPr>
          <w:sz w:val="20"/>
        </w:rPr>
        <w:t>where</w:t>
      </w:r>
      <w:r>
        <w:rPr>
          <w:spacing w:val="-2"/>
          <w:sz w:val="20"/>
        </w:rPr>
        <w:t> </w:t>
      </w:r>
      <w:r>
        <w:rPr>
          <w:sz w:val="20"/>
        </w:rPr>
        <w:t>victims</w:t>
      </w:r>
      <w:r>
        <w:rPr>
          <w:spacing w:val="-5"/>
          <w:sz w:val="20"/>
        </w:rPr>
        <w:t> </w:t>
      </w:r>
      <w:r>
        <w:rPr>
          <w:sz w:val="20"/>
        </w:rPr>
        <w:t>and witnesses are located amounts to €405.1 thousand. Travel of prosecutors is required at the pre-trial</w:t>
      </w:r>
      <w:r>
        <w:rPr>
          <w:spacing w:val="-7"/>
          <w:sz w:val="20"/>
        </w:rPr>
        <w:t> </w:t>
      </w:r>
      <w:r>
        <w:rPr>
          <w:sz w:val="20"/>
        </w:rPr>
        <w:t>and</w:t>
      </w:r>
      <w:r>
        <w:rPr>
          <w:spacing w:val="-8"/>
          <w:sz w:val="20"/>
        </w:rPr>
        <w:t> </w:t>
      </w:r>
      <w:r>
        <w:rPr>
          <w:sz w:val="20"/>
        </w:rPr>
        <w:t>trial</w:t>
      </w:r>
      <w:r>
        <w:rPr>
          <w:spacing w:val="-7"/>
          <w:sz w:val="20"/>
        </w:rPr>
        <w:t> </w:t>
      </w:r>
      <w:r>
        <w:rPr>
          <w:sz w:val="20"/>
        </w:rPr>
        <w:t>stages</w:t>
      </w:r>
      <w:r>
        <w:rPr>
          <w:spacing w:val="-10"/>
          <w:sz w:val="20"/>
        </w:rPr>
        <w:t> </w:t>
      </w:r>
      <w:r>
        <w:rPr>
          <w:sz w:val="20"/>
        </w:rPr>
        <w:t>of</w:t>
      </w:r>
      <w:r>
        <w:rPr>
          <w:spacing w:val="-8"/>
          <w:sz w:val="20"/>
        </w:rPr>
        <w:t> </w:t>
      </w:r>
      <w:r>
        <w:rPr>
          <w:sz w:val="20"/>
        </w:rPr>
        <w:t>a</w:t>
      </w:r>
      <w:r>
        <w:rPr>
          <w:spacing w:val="-7"/>
          <w:sz w:val="20"/>
        </w:rPr>
        <w:t> </w:t>
      </w:r>
      <w:r>
        <w:rPr>
          <w:sz w:val="20"/>
        </w:rPr>
        <w:t>case</w:t>
      </w:r>
      <w:r>
        <w:rPr>
          <w:spacing w:val="-7"/>
          <w:sz w:val="20"/>
        </w:rPr>
        <w:t> </w:t>
      </w:r>
      <w:r>
        <w:rPr>
          <w:sz w:val="20"/>
        </w:rPr>
        <w:t>to</w:t>
      </w:r>
      <w:r>
        <w:rPr>
          <w:spacing w:val="-8"/>
          <w:sz w:val="20"/>
        </w:rPr>
        <w:t> </w:t>
      </w:r>
      <w:r>
        <w:rPr>
          <w:sz w:val="20"/>
        </w:rPr>
        <w:t>take</w:t>
      </w:r>
      <w:r>
        <w:rPr>
          <w:spacing w:val="-2"/>
          <w:sz w:val="20"/>
        </w:rPr>
        <w:t> </w:t>
      </w:r>
      <w:r>
        <w:rPr>
          <w:sz w:val="20"/>
        </w:rPr>
        <w:t>article</w:t>
      </w:r>
      <w:r>
        <w:rPr>
          <w:spacing w:val="-2"/>
          <w:sz w:val="20"/>
        </w:rPr>
        <w:t> </w:t>
      </w:r>
      <w:r>
        <w:rPr>
          <w:sz w:val="20"/>
        </w:rPr>
        <w:t>68</w:t>
      </w:r>
      <w:r>
        <w:rPr>
          <w:spacing w:val="-4"/>
          <w:sz w:val="20"/>
        </w:rPr>
        <w:t> </w:t>
      </w:r>
      <w:r>
        <w:rPr>
          <w:sz w:val="20"/>
        </w:rPr>
        <w:t>statements,</w:t>
      </w:r>
      <w:r>
        <w:rPr>
          <w:spacing w:val="-1"/>
          <w:sz w:val="20"/>
        </w:rPr>
        <w:t> </w:t>
      </w:r>
      <w:r>
        <w:rPr>
          <w:sz w:val="20"/>
        </w:rPr>
        <w:t>prepare</w:t>
      </w:r>
      <w:r>
        <w:rPr>
          <w:spacing w:val="-7"/>
          <w:sz w:val="20"/>
        </w:rPr>
        <w:t> </w:t>
      </w:r>
      <w:r>
        <w:rPr>
          <w:sz w:val="20"/>
        </w:rPr>
        <w:t>witnesses</w:t>
      </w:r>
      <w:r>
        <w:rPr>
          <w:spacing w:val="-10"/>
          <w:sz w:val="20"/>
        </w:rPr>
        <w:t> </w:t>
      </w:r>
      <w:r>
        <w:rPr>
          <w:sz w:val="20"/>
        </w:rPr>
        <w:t>and</w:t>
      </w:r>
      <w:r>
        <w:rPr>
          <w:spacing w:val="-8"/>
          <w:sz w:val="20"/>
        </w:rPr>
        <w:t> </w:t>
      </w:r>
      <w:r>
        <w:rPr>
          <w:sz w:val="20"/>
        </w:rPr>
        <w:t>support witnesses testifying via video link.</w:t>
      </w:r>
    </w:p>
    <w:p>
      <w:pPr>
        <w:pStyle w:val="ListParagraph"/>
        <w:numPr>
          <w:ilvl w:val="0"/>
          <w:numId w:val="4"/>
        </w:numPr>
        <w:tabs>
          <w:tab w:pos="2967" w:val="left" w:leader="none"/>
        </w:tabs>
        <w:spacing w:line="240" w:lineRule="auto" w:before="123" w:after="0"/>
        <w:ind w:left="2246" w:right="2247" w:firstLine="0"/>
        <w:jc w:val="both"/>
        <w:rPr>
          <w:sz w:val="20"/>
        </w:rPr>
      </w:pPr>
      <w:r>
        <w:rPr>
          <w:sz w:val="20"/>
        </w:rPr>
        <w:t>Lastly,</w:t>
      </w:r>
      <w:r>
        <w:rPr>
          <w:spacing w:val="40"/>
          <w:sz w:val="20"/>
        </w:rPr>
        <w:t> </w:t>
      </w:r>
      <w:r>
        <w:rPr>
          <w:sz w:val="20"/>
        </w:rPr>
        <w:t>an</w:t>
      </w:r>
      <w:r>
        <w:rPr>
          <w:spacing w:val="40"/>
          <w:sz w:val="20"/>
        </w:rPr>
        <w:t> </w:t>
      </w:r>
      <w:r>
        <w:rPr>
          <w:sz w:val="20"/>
        </w:rPr>
        <w:t>increase</w:t>
      </w:r>
      <w:r>
        <w:rPr>
          <w:spacing w:val="40"/>
          <w:sz w:val="20"/>
        </w:rPr>
        <w:t> </w:t>
      </w:r>
      <w:r>
        <w:rPr>
          <w:sz w:val="20"/>
        </w:rPr>
        <w:t>is</w:t>
      </w:r>
      <w:r>
        <w:rPr>
          <w:spacing w:val="40"/>
          <w:sz w:val="20"/>
        </w:rPr>
        <w:t> </w:t>
      </w:r>
      <w:r>
        <w:rPr>
          <w:sz w:val="20"/>
        </w:rPr>
        <w:t>requested</w:t>
      </w:r>
      <w:r>
        <w:rPr>
          <w:spacing w:val="40"/>
          <w:sz w:val="20"/>
        </w:rPr>
        <w:t> </w:t>
      </w:r>
      <w:r>
        <w:rPr>
          <w:sz w:val="20"/>
        </w:rPr>
        <w:t>for</w:t>
      </w:r>
      <w:r>
        <w:rPr>
          <w:spacing w:val="40"/>
          <w:sz w:val="20"/>
        </w:rPr>
        <w:t> </w:t>
      </w:r>
      <w:r>
        <w:rPr>
          <w:sz w:val="20"/>
        </w:rPr>
        <w:t>the</w:t>
      </w:r>
      <w:r>
        <w:rPr>
          <w:spacing w:val="40"/>
          <w:sz w:val="20"/>
        </w:rPr>
        <w:t> </w:t>
      </w:r>
      <w:r>
        <w:rPr>
          <w:sz w:val="20"/>
        </w:rPr>
        <w:t>Deputy</w:t>
      </w:r>
      <w:r>
        <w:rPr>
          <w:spacing w:val="40"/>
          <w:sz w:val="20"/>
        </w:rPr>
        <w:t> </w:t>
      </w:r>
      <w:r>
        <w:rPr>
          <w:sz w:val="20"/>
        </w:rPr>
        <w:t>Prosecutor</w:t>
      </w:r>
      <w:r>
        <w:rPr>
          <w:spacing w:val="40"/>
          <w:sz w:val="20"/>
        </w:rPr>
        <w:t> </w:t>
      </w:r>
      <w:r>
        <w:rPr>
          <w:sz w:val="20"/>
        </w:rPr>
        <w:t>to</w:t>
      </w:r>
      <w:r>
        <w:rPr>
          <w:spacing w:val="40"/>
          <w:sz w:val="20"/>
        </w:rPr>
        <w:t> </w:t>
      </w:r>
      <w:r>
        <w:rPr>
          <w:sz w:val="20"/>
        </w:rPr>
        <w:t>travel</w:t>
      </w:r>
      <w:r>
        <w:rPr>
          <w:spacing w:val="40"/>
          <w:sz w:val="20"/>
        </w:rPr>
        <w:t> </w:t>
      </w:r>
      <w:r>
        <w:rPr>
          <w:sz w:val="20"/>
        </w:rPr>
        <w:t>to</w:t>
      </w:r>
      <w:r>
        <w:rPr>
          <w:spacing w:val="40"/>
          <w:sz w:val="20"/>
        </w:rPr>
        <w:t> </w:t>
      </w:r>
      <w:r>
        <w:rPr>
          <w:sz w:val="20"/>
        </w:rPr>
        <w:t>the twenty-second session of the Assembly, which is planned to be held in New York.</w:t>
      </w:r>
    </w:p>
    <w:p>
      <w:pPr>
        <w:pStyle w:val="ListParagraph"/>
        <w:numPr>
          <w:ilvl w:val="0"/>
          <w:numId w:val="4"/>
        </w:numPr>
        <w:tabs>
          <w:tab w:pos="2967" w:val="left" w:leader="none"/>
        </w:tabs>
        <w:spacing w:line="240" w:lineRule="auto" w:before="121" w:after="0"/>
        <w:ind w:left="2967" w:right="0" w:hanging="721"/>
        <w:jc w:val="both"/>
        <w:rPr>
          <w:sz w:val="20"/>
        </w:rPr>
      </w:pPr>
      <w:r>
        <w:rPr>
          <w:sz w:val="20"/>
        </w:rPr>
        <w:t>Travel</w:t>
      </w:r>
      <w:r>
        <w:rPr>
          <w:spacing w:val="-3"/>
          <w:sz w:val="20"/>
        </w:rPr>
        <w:t> </w:t>
      </w:r>
      <w:r>
        <w:rPr>
          <w:sz w:val="20"/>
        </w:rPr>
        <w:t>costs</w:t>
      </w:r>
      <w:r>
        <w:rPr>
          <w:spacing w:val="-6"/>
          <w:sz w:val="20"/>
        </w:rPr>
        <w:t> </w:t>
      </w:r>
      <w:r>
        <w:rPr>
          <w:sz w:val="20"/>
        </w:rPr>
        <w:t>are</w:t>
      </w:r>
      <w:r>
        <w:rPr>
          <w:spacing w:val="-2"/>
          <w:sz w:val="20"/>
        </w:rPr>
        <w:t> recurrent.</w:t>
      </w:r>
    </w:p>
    <w:p>
      <w:pPr>
        <w:pStyle w:val="BodyText"/>
        <w:spacing w:before="10"/>
      </w:pPr>
    </w:p>
    <w:p>
      <w:pPr>
        <w:tabs>
          <w:tab w:pos="6044" w:val="left" w:leader="none"/>
        </w:tabs>
        <w:spacing w:before="0"/>
        <w:ind w:left="4" w:right="0" w:firstLine="0"/>
        <w:jc w:val="center"/>
        <w:rPr>
          <w:i/>
          <w:sz w:val="20"/>
        </w:rPr>
      </w:pPr>
      <w:r>
        <w:rPr>
          <w:i/>
          <w:sz w:val="20"/>
        </w:rPr>
        <w:t>Contractual</w:t>
      </w:r>
      <w:r>
        <w:rPr>
          <w:i/>
          <w:spacing w:val="-5"/>
          <w:sz w:val="20"/>
        </w:rPr>
        <w:t> </w:t>
      </w:r>
      <w:r>
        <w:rPr>
          <w:i/>
          <w:spacing w:val="-2"/>
          <w:sz w:val="20"/>
        </w:rPr>
        <w:t>services</w:t>
      </w:r>
      <w:r>
        <w:rPr>
          <w:i/>
          <w:sz w:val="20"/>
        </w:rPr>
        <w:tab/>
        <w:t>€100.0</w:t>
      </w:r>
      <w:r>
        <w:rPr>
          <w:i/>
          <w:spacing w:val="-13"/>
          <w:sz w:val="20"/>
        </w:rPr>
        <w:t> </w:t>
      </w:r>
      <w:r>
        <w:rPr>
          <w:i/>
          <w:spacing w:val="-2"/>
          <w:sz w:val="20"/>
        </w:rPr>
        <w:t>thousand</w:t>
      </w:r>
    </w:p>
    <w:p>
      <w:pPr>
        <w:pStyle w:val="BodyText"/>
        <w:spacing w:before="10"/>
        <w:rPr>
          <w:i/>
        </w:rPr>
      </w:pPr>
    </w:p>
    <w:p>
      <w:pPr>
        <w:pStyle w:val="ListParagraph"/>
        <w:numPr>
          <w:ilvl w:val="0"/>
          <w:numId w:val="4"/>
        </w:numPr>
        <w:tabs>
          <w:tab w:pos="2967" w:val="left" w:leader="none"/>
        </w:tabs>
        <w:spacing w:line="240" w:lineRule="auto" w:before="1" w:after="0"/>
        <w:ind w:left="2246" w:right="2240" w:firstLine="0"/>
        <w:jc w:val="both"/>
        <w:rPr>
          <w:sz w:val="20"/>
        </w:rPr>
      </w:pPr>
      <w:r>
        <w:rPr>
          <w:sz w:val="20"/>
        </w:rPr>
        <w:t>Funds</w:t>
      </w:r>
      <w:r>
        <w:rPr>
          <w:spacing w:val="-13"/>
          <w:sz w:val="20"/>
        </w:rPr>
        <w:t> </w:t>
      </w:r>
      <w:r>
        <w:rPr>
          <w:sz w:val="20"/>
        </w:rPr>
        <w:t>are</w:t>
      </w:r>
      <w:r>
        <w:rPr>
          <w:spacing w:val="-12"/>
          <w:sz w:val="20"/>
        </w:rPr>
        <w:t> </w:t>
      </w:r>
      <w:r>
        <w:rPr>
          <w:sz w:val="20"/>
        </w:rPr>
        <w:t>requested</w:t>
      </w:r>
      <w:r>
        <w:rPr>
          <w:spacing w:val="-13"/>
          <w:sz w:val="20"/>
        </w:rPr>
        <w:t> </w:t>
      </w:r>
      <w:r>
        <w:rPr>
          <w:sz w:val="20"/>
        </w:rPr>
        <w:t>to</w:t>
      </w:r>
      <w:r>
        <w:rPr>
          <w:spacing w:val="-12"/>
          <w:sz w:val="20"/>
        </w:rPr>
        <w:t> </w:t>
      </w:r>
      <w:r>
        <w:rPr>
          <w:sz w:val="20"/>
        </w:rPr>
        <w:t>support</w:t>
      </w:r>
      <w:r>
        <w:rPr>
          <w:spacing w:val="-13"/>
          <w:sz w:val="20"/>
        </w:rPr>
        <w:t> </w:t>
      </w:r>
      <w:r>
        <w:rPr>
          <w:sz w:val="20"/>
        </w:rPr>
        <w:t>the</w:t>
      </w:r>
      <w:r>
        <w:rPr>
          <w:spacing w:val="-12"/>
          <w:sz w:val="20"/>
        </w:rPr>
        <w:t> </w:t>
      </w:r>
      <w:r>
        <w:rPr>
          <w:sz w:val="20"/>
        </w:rPr>
        <w:t>deployment</w:t>
      </w:r>
      <w:r>
        <w:rPr>
          <w:spacing w:val="-10"/>
          <w:sz w:val="20"/>
        </w:rPr>
        <w:t> </w:t>
      </w:r>
      <w:r>
        <w:rPr>
          <w:sz w:val="20"/>
        </w:rPr>
        <w:t>of</w:t>
      </w:r>
      <w:r>
        <w:rPr>
          <w:spacing w:val="-10"/>
          <w:sz w:val="20"/>
        </w:rPr>
        <w:t> </w:t>
      </w:r>
      <w:r>
        <w:rPr>
          <w:sz w:val="20"/>
        </w:rPr>
        <w:t>United</w:t>
      </w:r>
      <w:r>
        <w:rPr>
          <w:spacing w:val="-13"/>
          <w:sz w:val="20"/>
        </w:rPr>
        <w:t> </w:t>
      </w:r>
      <w:r>
        <w:rPr>
          <w:sz w:val="20"/>
        </w:rPr>
        <w:t>Nations</w:t>
      </w:r>
      <w:r>
        <w:rPr>
          <w:spacing w:val="-12"/>
          <w:sz w:val="20"/>
        </w:rPr>
        <w:t> </w:t>
      </w:r>
      <w:r>
        <w:rPr>
          <w:sz w:val="20"/>
        </w:rPr>
        <w:t>Volunteers</w:t>
      </w:r>
      <w:r>
        <w:rPr>
          <w:spacing w:val="-11"/>
          <w:sz w:val="20"/>
        </w:rPr>
        <w:t> </w:t>
      </w:r>
      <w:r>
        <w:rPr>
          <w:sz w:val="20"/>
        </w:rPr>
        <w:t>staff</w:t>
      </w:r>
      <w:r>
        <w:rPr>
          <w:spacing w:val="-13"/>
          <w:sz w:val="20"/>
        </w:rPr>
        <w:t> </w:t>
      </w:r>
      <w:r>
        <w:rPr>
          <w:sz w:val="20"/>
        </w:rPr>
        <w:t>to support</w:t>
      </w:r>
      <w:r>
        <w:rPr>
          <w:spacing w:val="-9"/>
          <w:sz w:val="20"/>
        </w:rPr>
        <w:t> </w:t>
      </w:r>
      <w:r>
        <w:rPr>
          <w:sz w:val="20"/>
        </w:rPr>
        <w:t>the</w:t>
      </w:r>
      <w:r>
        <w:rPr>
          <w:spacing w:val="-7"/>
          <w:sz w:val="20"/>
        </w:rPr>
        <w:t> </w:t>
      </w:r>
      <w:r>
        <w:rPr>
          <w:sz w:val="20"/>
        </w:rPr>
        <w:t>work</w:t>
      </w:r>
      <w:r>
        <w:rPr>
          <w:spacing w:val="-13"/>
          <w:sz w:val="20"/>
        </w:rPr>
        <w:t> </w:t>
      </w:r>
      <w:r>
        <w:rPr>
          <w:sz w:val="20"/>
        </w:rPr>
        <w:t>of</w:t>
      </w:r>
      <w:r>
        <w:rPr>
          <w:spacing w:val="-8"/>
          <w:sz w:val="20"/>
        </w:rPr>
        <w:t> </w:t>
      </w:r>
      <w:r>
        <w:rPr>
          <w:sz w:val="20"/>
        </w:rPr>
        <w:t>this</w:t>
      </w:r>
      <w:r>
        <w:rPr>
          <w:spacing w:val="-10"/>
          <w:sz w:val="20"/>
        </w:rPr>
        <w:t> </w:t>
      </w:r>
      <w:r>
        <w:rPr>
          <w:sz w:val="20"/>
        </w:rPr>
        <w:t>pillar.</w:t>
      </w:r>
      <w:r>
        <w:rPr>
          <w:spacing w:val="-7"/>
          <w:sz w:val="20"/>
        </w:rPr>
        <w:t> </w:t>
      </w:r>
      <w:r>
        <w:rPr>
          <w:sz w:val="20"/>
        </w:rPr>
        <w:t>UN</w:t>
      </w:r>
      <w:r>
        <w:rPr>
          <w:spacing w:val="-10"/>
          <w:sz w:val="20"/>
        </w:rPr>
        <w:t> </w:t>
      </w:r>
      <w:r>
        <w:rPr>
          <w:sz w:val="20"/>
        </w:rPr>
        <w:t>Volunteers</w:t>
      </w:r>
      <w:r>
        <w:rPr>
          <w:spacing w:val="-13"/>
          <w:sz w:val="20"/>
        </w:rPr>
        <w:t> </w:t>
      </w:r>
      <w:r>
        <w:rPr>
          <w:sz w:val="20"/>
        </w:rPr>
        <w:t>are</w:t>
      </w:r>
      <w:r>
        <w:rPr>
          <w:spacing w:val="-11"/>
          <w:sz w:val="20"/>
        </w:rPr>
        <w:t> </w:t>
      </w:r>
      <w:r>
        <w:rPr>
          <w:sz w:val="20"/>
        </w:rPr>
        <w:t>a</w:t>
      </w:r>
      <w:r>
        <w:rPr>
          <w:spacing w:val="-7"/>
          <w:sz w:val="20"/>
        </w:rPr>
        <w:t> </w:t>
      </w:r>
      <w:r>
        <w:rPr>
          <w:sz w:val="20"/>
        </w:rPr>
        <w:t>talent-management</w:t>
      </w:r>
      <w:r>
        <w:rPr>
          <w:spacing w:val="-7"/>
          <w:sz w:val="20"/>
        </w:rPr>
        <w:t> </w:t>
      </w:r>
      <w:r>
        <w:rPr>
          <w:sz w:val="20"/>
        </w:rPr>
        <w:t>solutions</w:t>
      </w:r>
      <w:r>
        <w:rPr>
          <w:spacing w:val="-13"/>
          <w:sz w:val="20"/>
        </w:rPr>
        <w:t> </w:t>
      </w:r>
      <w:r>
        <w:rPr>
          <w:sz w:val="20"/>
        </w:rPr>
        <w:t>available</w:t>
      </w:r>
      <w:r>
        <w:rPr>
          <w:spacing w:val="-11"/>
          <w:sz w:val="20"/>
        </w:rPr>
        <w:t> </w:t>
      </w:r>
      <w:r>
        <w:rPr>
          <w:sz w:val="20"/>
        </w:rPr>
        <w:t>to the</w:t>
      </w:r>
      <w:r>
        <w:rPr>
          <w:spacing w:val="-13"/>
          <w:sz w:val="20"/>
        </w:rPr>
        <w:t> </w:t>
      </w:r>
      <w:r>
        <w:rPr>
          <w:sz w:val="20"/>
        </w:rPr>
        <w:t>UN</w:t>
      </w:r>
      <w:r>
        <w:rPr>
          <w:spacing w:val="-12"/>
          <w:sz w:val="20"/>
        </w:rPr>
        <w:t> </w:t>
      </w:r>
      <w:r>
        <w:rPr>
          <w:sz w:val="20"/>
        </w:rPr>
        <w:t>system</w:t>
      </w:r>
      <w:r>
        <w:rPr>
          <w:spacing w:val="-12"/>
          <w:sz w:val="20"/>
        </w:rPr>
        <w:t> </w:t>
      </w:r>
      <w:r>
        <w:rPr>
          <w:sz w:val="20"/>
        </w:rPr>
        <w:t>and</w:t>
      </w:r>
      <w:r>
        <w:rPr>
          <w:spacing w:val="-11"/>
          <w:sz w:val="20"/>
        </w:rPr>
        <w:t> </w:t>
      </w:r>
      <w:r>
        <w:rPr>
          <w:sz w:val="20"/>
        </w:rPr>
        <w:t>linked</w:t>
      </w:r>
      <w:r>
        <w:rPr>
          <w:spacing w:val="-13"/>
          <w:sz w:val="20"/>
        </w:rPr>
        <w:t> </w:t>
      </w:r>
      <w:r>
        <w:rPr>
          <w:sz w:val="20"/>
        </w:rPr>
        <w:t>entities</w:t>
      </w:r>
      <w:r>
        <w:rPr>
          <w:spacing w:val="-12"/>
          <w:sz w:val="20"/>
        </w:rPr>
        <w:t> </w:t>
      </w:r>
      <w:r>
        <w:rPr>
          <w:sz w:val="20"/>
        </w:rPr>
        <w:t>including</w:t>
      </w:r>
      <w:r>
        <w:rPr>
          <w:spacing w:val="-11"/>
          <w:sz w:val="20"/>
        </w:rPr>
        <w:t> </w:t>
      </w:r>
      <w:r>
        <w:rPr>
          <w:sz w:val="20"/>
        </w:rPr>
        <w:t>the</w:t>
      </w:r>
      <w:r>
        <w:rPr>
          <w:spacing w:val="-10"/>
          <w:sz w:val="20"/>
        </w:rPr>
        <w:t> </w:t>
      </w:r>
      <w:r>
        <w:rPr>
          <w:sz w:val="20"/>
        </w:rPr>
        <w:t>ICC.</w:t>
      </w:r>
      <w:r>
        <w:rPr>
          <w:spacing w:val="-13"/>
          <w:sz w:val="20"/>
        </w:rPr>
        <w:t> </w:t>
      </w:r>
      <w:r>
        <w:rPr>
          <w:sz w:val="20"/>
        </w:rPr>
        <w:t>The</w:t>
      </w:r>
      <w:r>
        <w:rPr>
          <w:spacing w:val="-12"/>
          <w:sz w:val="20"/>
        </w:rPr>
        <w:t> </w:t>
      </w:r>
      <w:r>
        <w:rPr>
          <w:sz w:val="20"/>
        </w:rPr>
        <w:t>ability</w:t>
      </w:r>
      <w:r>
        <w:rPr>
          <w:spacing w:val="-13"/>
          <w:sz w:val="20"/>
        </w:rPr>
        <w:t> </w:t>
      </w:r>
      <w:r>
        <w:rPr>
          <w:sz w:val="20"/>
        </w:rPr>
        <w:t>to</w:t>
      </w:r>
      <w:r>
        <w:rPr>
          <w:spacing w:val="-12"/>
          <w:sz w:val="20"/>
        </w:rPr>
        <w:t> </w:t>
      </w:r>
      <w:r>
        <w:rPr>
          <w:sz w:val="20"/>
        </w:rPr>
        <w:t>deploy</w:t>
      </w:r>
      <w:r>
        <w:rPr>
          <w:spacing w:val="-11"/>
          <w:sz w:val="20"/>
        </w:rPr>
        <w:t> </w:t>
      </w:r>
      <w:r>
        <w:rPr>
          <w:sz w:val="20"/>
        </w:rPr>
        <w:t>UN</w:t>
      </w:r>
      <w:r>
        <w:rPr>
          <w:spacing w:val="-12"/>
          <w:sz w:val="20"/>
        </w:rPr>
        <w:t> </w:t>
      </w:r>
      <w:r>
        <w:rPr>
          <w:sz w:val="20"/>
        </w:rPr>
        <w:t>volunteers</w:t>
      </w:r>
      <w:r>
        <w:rPr>
          <w:spacing w:val="-13"/>
          <w:sz w:val="20"/>
        </w:rPr>
        <w:t> </w:t>
      </w:r>
      <w:r>
        <w:rPr>
          <w:sz w:val="20"/>
        </w:rPr>
        <w:t>and will</w:t>
      </w:r>
      <w:r>
        <w:rPr>
          <w:spacing w:val="-1"/>
          <w:sz w:val="20"/>
        </w:rPr>
        <w:t> </w:t>
      </w:r>
      <w:r>
        <w:rPr>
          <w:sz w:val="20"/>
        </w:rPr>
        <w:t>allow</w:t>
      </w:r>
      <w:r>
        <w:rPr>
          <w:spacing w:val="-4"/>
          <w:sz w:val="20"/>
        </w:rPr>
        <w:t> </w:t>
      </w:r>
      <w:r>
        <w:rPr>
          <w:sz w:val="20"/>
        </w:rPr>
        <w:t>the Office</w:t>
      </w:r>
      <w:r>
        <w:rPr>
          <w:spacing w:val="-1"/>
          <w:sz w:val="20"/>
        </w:rPr>
        <w:t> </w:t>
      </w:r>
      <w:r>
        <w:rPr>
          <w:sz w:val="20"/>
        </w:rPr>
        <w:t>to draw</w:t>
      </w:r>
      <w:r>
        <w:rPr>
          <w:spacing w:val="-4"/>
          <w:sz w:val="20"/>
        </w:rPr>
        <w:t> </w:t>
      </w:r>
      <w:r>
        <w:rPr>
          <w:sz w:val="20"/>
        </w:rPr>
        <w:t>on</w:t>
      </w:r>
      <w:r>
        <w:rPr>
          <w:spacing w:val="-2"/>
          <w:sz w:val="20"/>
        </w:rPr>
        <w:t> </w:t>
      </w:r>
      <w:r>
        <w:rPr>
          <w:sz w:val="20"/>
        </w:rPr>
        <w:t>qualified,</w:t>
      </w:r>
      <w:r>
        <w:rPr>
          <w:spacing w:val="-1"/>
          <w:sz w:val="20"/>
        </w:rPr>
        <w:t> </w:t>
      </w:r>
      <w:r>
        <w:rPr>
          <w:sz w:val="20"/>
        </w:rPr>
        <w:t>highly</w:t>
      </w:r>
      <w:r>
        <w:rPr>
          <w:spacing w:val="-2"/>
          <w:sz w:val="20"/>
        </w:rPr>
        <w:t> </w:t>
      </w:r>
      <w:r>
        <w:rPr>
          <w:sz w:val="20"/>
        </w:rPr>
        <w:t>motivated</w:t>
      </w:r>
      <w:r>
        <w:rPr>
          <w:spacing w:val="-2"/>
          <w:sz w:val="20"/>
        </w:rPr>
        <w:t> </w:t>
      </w:r>
      <w:r>
        <w:rPr>
          <w:sz w:val="20"/>
        </w:rPr>
        <w:t>junior</w:t>
      </w:r>
      <w:r>
        <w:rPr>
          <w:spacing w:val="-2"/>
          <w:sz w:val="20"/>
        </w:rPr>
        <w:t> </w:t>
      </w:r>
      <w:r>
        <w:rPr>
          <w:sz w:val="20"/>
        </w:rPr>
        <w:t>professionals</w:t>
      </w:r>
      <w:r>
        <w:rPr>
          <w:spacing w:val="-4"/>
          <w:sz w:val="20"/>
        </w:rPr>
        <w:t> </w:t>
      </w:r>
      <w:r>
        <w:rPr>
          <w:sz w:val="20"/>
        </w:rPr>
        <w:t>to</w:t>
      </w:r>
      <w:r>
        <w:rPr>
          <w:spacing w:val="-2"/>
          <w:sz w:val="20"/>
        </w:rPr>
        <w:t> </w:t>
      </w:r>
      <w:r>
        <w:rPr>
          <w:sz w:val="20"/>
        </w:rPr>
        <w:t>meet</w:t>
      </w:r>
      <w:r>
        <w:rPr>
          <w:spacing w:val="-1"/>
          <w:sz w:val="20"/>
        </w:rPr>
        <w:t> </w:t>
      </w:r>
      <w:r>
        <w:rPr>
          <w:sz w:val="20"/>
        </w:rPr>
        <w:t>the increased</w:t>
      </w:r>
      <w:r>
        <w:rPr>
          <w:spacing w:val="-9"/>
          <w:sz w:val="20"/>
        </w:rPr>
        <w:t> </w:t>
      </w:r>
      <w:r>
        <w:rPr>
          <w:sz w:val="20"/>
        </w:rPr>
        <w:t>demands</w:t>
      </w:r>
      <w:r>
        <w:rPr>
          <w:spacing w:val="-10"/>
          <w:sz w:val="20"/>
        </w:rPr>
        <w:t> </w:t>
      </w:r>
      <w:r>
        <w:rPr>
          <w:sz w:val="20"/>
        </w:rPr>
        <w:t>faced</w:t>
      </w:r>
      <w:r>
        <w:rPr>
          <w:spacing w:val="-8"/>
          <w:sz w:val="20"/>
        </w:rPr>
        <w:t> </w:t>
      </w:r>
      <w:r>
        <w:rPr>
          <w:sz w:val="20"/>
        </w:rPr>
        <w:t>by</w:t>
      </w:r>
      <w:r>
        <w:rPr>
          <w:spacing w:val="-9"/>
          <w:sz w:val="20"/>
        </w:rPr>
        <w:t> </w:t>
      </w:r>
      <w:r>
        <w:rPr>
          <w:sz w:val="20"/>
        </w:rPr>
        <w:t>the</w:t>
      </w:r>
      <w:r>
        <w:rPr>
          <w:spacing w:val="-8"/>
          <w:sz w:val="20"/>
        </w:rPr>
        <w:t> </w:t>
      </w:r>
      <w:r>
        <w:rPr>
          <w:sz w:val="20"/>
        </w:rPr>
        <w:t>Office</w:t>
      </w:r>
      <w:r>
        <w:rPr>
          <w:spacing w:val="-8"/>
          <w:sz w:val="20"/>
        </w:rPr>
        <w:t> </w:t>
      </w:r>
      <w:r>
        <w:rPr>
          <w:sz w:val="20"/>
        </w:rPr>
        <w:t>at</w:t>
      </w:r>
      <w:r>
        <w:rPr>
          <w:spacing w:val="-8"/>
          <w:sz w:val="20"/>
        </w:rPr>
        <w:t> </w:t>
      </w:r>
      <w:r>
        <w:rPr>
          <w:sz w:val="20"/>
        </w:rPr>
        <w:t>limited</w:t>
      </w:r>
      <w:r>
        <w:rPr>
          <w:spacing w:val="-9"/>
          <w:sz w:val="20"/>
        </w:rPr>
        <w:t> </w:t>
      </w:r>
      <w:r>
        <w:rPr>
          <w:sz w:val="20"/>
        </w:rPr>
        <w:t>cost</w:t>
      </w:r>
      <w:r>
        <w:rPr>
          <w:spacing w:val="-8"/>
          <w:sz w:val="20"/>
        </w:rPr>
        <w:t> </w:t>
      </w:r>
      <w:r>
        <w:rPr>
          <w:sz w:val="20"/>
        </w:rPr>
        <w:t>in</w:t>
      </w:r>
      <w:r>
        <w:rPr>
          <w:spacing w:val="-9"/>
          <w:sz w:val="20"/>
        </w:rPr>
        <w:t> </w:t>
      </w:r>
      <w:r>
        <w:rPr>
          <w:sz w:val="20"/>
        </w:rPr>
        <w:t>comparison</w:t>
      </w:r>
      <w:r>
        <w:rPr>
          <w:spacing w:val="-9"/>
          <w:sz w:val="20"/>
        </w:rPr>
        <w:t> </w:t>
      </w:r>
      <w:r>
        <w:rPr>
          <w:sz w:val="20"/>
        </w:rPr>
        <w:t>with</w:t>
      </w:r>
      <w:r>
        <w:rPr>
          <w:spacing w:val="-9"/>
          <w:sz w:val="20"/>
        </w:rPr>
        <w:t> </w:t>
      </w:r>
      <w:r>
        <w:rPr>
          <w:sz w:val="20"/>
        </w:rPr>
        <w:t>staffing</w:t>
      </w:r>
      <w:r>
        <w:rPr>
          <w:spacing w:val="-9"/>
          <w:sz w:val="20"/>
        </w:rPr>
        <w:t> </w:t>
      </w:r>
      <w:r>
        <w:rPr>
          <w:sz w:val="20"/>
        </w:rPr>
        <w:t>categories. The deployment of UN volunteers will also provide the Office with a flexible solution as different categories of UN Volunteers are available to meet the specific needs of relevant Unified</w:t>
      </w:r>
      <w:r>
        <w:rPr>
          <w:spacing w:val="-10"/>
          <w:sz w:val="20"/>
        </w:rPr>
        <w:t> </w:t>
      </w:r>
      <w:r>
        <w:rPr>
          <w:sz w:val="20"/>
        </w:rPr>
        <w:t>Teams</w:t>
      </w:r>
      <w:r>
        <w:rPr>
          <w:spacing w:val="-11"/>
          <w:sz w:val="20"/>
        </w:rPr>
        <w:t> </w:t>
      </w:r>
      <w:r>
        <w:rPr>
          <w:sz w:val="20"/>
        </w:rPr>
        <w:t>and</w:t>
      </w:r>
      <w:r>
        <w:rPr>
          <w:spacing w:val="-10"/>
          <w:sz w:val="20"/>
        </w:rPr>
        <w:t> </w:t>
      </w:r>
      <w:r>
        <w:rPr>
          <w:sz w:val="20"/>
        </w:rPr>
        <w:t>other</w:t>
      </w:r>
      <w:r>
        <w:rPr>
          <w:spacing w:val="-6"/>
          <w:sz w:val="20"/>
        </w:rPr>
        <w:t> </w:t>
      </w:r>
      <w:r>
        <w:rPr>
          <w:sz w:val="20"/>
        </w:rPr>
        <w:t>sections</w:t>
      </w:r>
      <w:r>
        <w:rPr>
          <w:spacing w:val="-11"/>
          <w:sz w:val="20"/>
        </w:rPr>
        <w:t> </w:t>
      </w:r>
      <w:r>
        <w:rPr>
          <w:sz w:val="20"/>
        </w:rPr>
        <w:t>within</w:t>
      </w:r>
      <w:r>
        <w:rPr>
          <w:spacing w:val="-10"/>
          <w:sz w:val="20"/>
        </w:rPr>
        <w:t> </w:t>
      </w:r>
      <w:r>
        <w:rPr>
          <w:sz w:val="20"/>
        </w:rPr>
        <w:t>the</w:t>
      </w:r>
      <w:r>
        <w:rPr>
          <w:spacing w:val="-9"/>
          <w:sz w:val="20"/>
        </w:rPr>
        <w:t> </w:t>
      </w:r>
      <w:r>
        <w:rPr>
          <w:sz w:val="20"/>
        </w:rPr>
        <w:t>Office.</w:t>
      </w:r>
      <w:r>
        <w:rPr>
          <w:spacing w:val="-8"/>
          <w:sz w:val="20"/>
        </w:rPr>
        <w:t> </w:t>
      </w:r>
      <w:r>
        <w:rPr>
          <w:sz w:val="20"/>
        </w:rPr>
        <w:t>This</w:t>
      </w:r>
      <w:r>
        <w:rPr>
          <w:spacing w:val="-11"/>
          <w:sz w:val="20"/>
        </w:rPr>
        <w:t> </w:t>
      </w:r>
      <w:r>
        <w:rPr>
          <w:sz w:val="20"/>
        </w:rPr>
        <w:t>is</w:t>
      </w:r>
      <w:r>
        <w:rPr>
          <w:spacing w:val="-11"/>
          <w:sz w:val="20"/>
        </w:rPr>
        <w:t> </w:t>
      </w:r>
      <w:r>
        <w:rPr>
          <w:sz w:val="20"/>
        </w:rPr>
        <w:t>particularly</w:t>
      </w:r>
      <w:r>
        <w:rPr>
          <w:spacing w:val="-10"/>
          <w:sz w:val="20"/>
        </w:rPr>
        <w:t> </w:t>
      </w:r>
      <w:r>
        <w:rPr>
          <w:sz w:val="20"/>
        </w:rPr>
        <w:t>valuable</w:t>
      </w:r>
      <w:r>
        <w:rPr>
          <w:spacing w:val="-9"/>
          <w:sz w:val="20"/>
        </w:rPr>
        <w:t> </w:t>
      </w:r>
      <w:r>
        <w:rPr>
          <w:sz w:val="20"/>
        </w:rPr>
        <w:t>with</w:t>
      </w:r>
      <w:r>
        <w:rPr>
          <w:spacing w:val="-10"/>
          <w:sz w:val="20"/>
        </w:rPr>
        <w:t> </w:t>
      </w:r>
      <w:r>
        <w:rPr>
          <w:sz w:val="20"/>
        </w:rPr>
        <w:t>respect to</w:t>
      </w:r>
      <w:r>
        <w:rPr>
          <w:spacing w:val="-13"/>
          <w:sz w:val="20"/>
        </w:rPr>
        <w:t> </w:t>
      </w:r>
      <w:r>
        <w:rPr>
          <w:sz w:val="20"/>
        </w:rPr>
        <w:t>the</w:t>
      </w:r>
      <w:r>
        <w:rPr>
          <w:spacing w:val="-12"/>
          <w:sz w:val="20"/>
        </w:rPr>
        <w:t> </w:t>
      </w:r>
      <w:r>
        <w:rPr>
          <w:sz w:val="20"/>
        </w:rPr>
        <w:t>work</w:t>
      </w:r>
      <w:r>
        <w:rPr>
          <w:spacing w:val="-13"/>
          <w:sz w:val="20"/>
        </w:rPr>
        <w:t> </w:t>
      </w:r>
      <w:r>
        <w:rPr>
          <w:sz w:val="20"/>
        </w:rPr>
        <w:t>of</w:t>
      </w:r>
      <w:r>
        <w:rPr>
          <w:spacing w:val="-12"/>
          <w:sz w:val="20"/>
        </w:rPr>
        <w:t> </w:t>
      </w:r>
      <w:r>
        <w:rPr>
          <w:sz w:val="20"/>
        </w:rPr>
        <w:t>the</w:t>
      </w:r>
      <w:r>
        <w:rPr>
          <w:spacing w:val="-13"/>
          <w:sz w:val="20"/>
        </w:rPr>
        <w:t> </w:t>
      </w:r>
      <w:r>
        <w:rPr>
          <w:sz w:val="20"/>
        </w:rPr>
        <w:t>Unified</w:t>
      </w:r>
      <w:r>
        <w:rPr>
          <w:spacing w:val="-12"/>
          <w:sz w:val="20"/>
        </w:rPr>
        <w:t> </w:t>
      </w:r>
      <w:r>
        <w:rPr>
          <w:sz w:val="20"/>
        </w:rPr>
        <w:t>Teams</w:t>
      </w:r>
      <w:r>
        <w:rPr>
          <w:spacing w:val="-13"/>
          <w:sz w:val="20"/>
        </w:rPr>
        <w:t> </w:t>
      </w:r>
      <w:r>
        <w:rPr>
          <w:sz w:val="20"/>
        </w:rPr>
        <w:t>in</w:t>
      </w:r>
      <w:r>
        <w:rPr>
          <w:spacing w:val="-12"/>
          <w:sz w:val="20"/>
        </w:rPr>
        <w:t> </w:t>
      </w:r>
      <w:r>
        <w:rPr>
          <w:sz w:val="20"/>
        </w:rPr>
        <w:t>this</w:t>
      </w:r>
      <w:r>
        <w:rPr>
          <w:spacing w:val="-13"/>
          <w:sz w:val="20"/>
        </w:rPr>
        <w:t> </w:t>
      </w:r>
      <w:r>
        <w:rPr>
          <w:sz w:val="20"/>
        </w:rPr>
        <w:t>programme</w:t>
      </w:r>
      <w:r>
        <w:rPr>
          <w:spacing w:val="-12"/>
          <w:sz w:val="20"/>
        </w:rPr>
        <w:t> </w:t>
      </w:r>
      <w:r>
        <w:rPr>
          <w:sz w:val="20"/>
        </w:rPr>
        <w:t>where</w:t>
      </w:r>
      <w:r>
        <w:rPr>
          <w:spacing w:val="-13"/>
          <w:sz w:val="20"/>
        </w:rPr>
        <w:t> </w:t>
      </w:r>
      <w:r>
        <w:rPr>
          <w:sz w:val="20"/>
        </w:rPr>
        <w:t>UN</w:t>
      </w:r>
      <w:r>
        <w:rPr>
          <w:spacing w:val="-12"/>
          <w:sz w:val="20"/>
        </w:rPr>
        <w:t> </w:t>
      </w:r>
      <w:r>
        <w:rPr>
          <w:sz w:val="20"/>
        </w:rPr>
        <w:t>Volunteers</w:t>
      </w:r>
      <w:r>
        <w:rPr>
          <w:spacing w:val="-12"/>
          <w:sz w:val="20"/>
        </w:rPr>
        <w:t> </w:t>
      </w:r>
      <w:r>
        <w:rPr>
          <w:sz w:val="20"/>
        </w:rPr>
        <w:t>can</w:t>
      </w:r>
      <w:r>
        <w:rPr>
          <w:spacing w:val="-12"/>
          <w:sz w:val="20"/>
        </w:rPr>
        <w:t> </w:t>
      </w:r>
      <w:r>
        <w:rPr>
          <w:sz w:val="20"/>
        </w:rPr>
        <w:t>be</w:t>
      </w:r>
      <w:r>
        <w:rPr>
          <w:spacing w:val="-13"/>
          <w:sz w:val="20"/>
        </w:rPr>
        <w:t> </w:t>
      </w:r>
      <w:r>
        <w:rPr>
          <w:sz w:val="20"/>
        </w:rPr>
        <w:t>deployed</w:t>
      </w:r>
      <w:r>
        <w:rPr>
          <w:spacing w:val="-12"/>
          <w:sz w:val="20"/>
        </w:rPr>
        <w:t> </w:t>
      </w:r>
      <w:r>
        <w:rPr>
          <w:sz w:val="20"/>
        </w:rPr>
        <w:t>to address</w:t>
      </w:r>
      <w:r>
        <w:rPr>
          <w:spacing w:val="-2"/>
          <w:sz w:val="20"/>
        </w:rPr>
        <w:t> </w:t>
      </w:r>
      <w:r>
        <w:rPr>
          <w:sz w:val="20"/>
        </w:rPr>
        <w:t>specific</w:t>
      </w:r>
      <w:r>
        <w:rPr>
          <w:spacing w:val="-4"/>
          <w:sz w:val="20"/>
        </w:rPr>
        <w:t> </w:t>
      </w:r>
      <w:r>
        <w:rPr>
          <w:sz w:val="20"/>
        </w:rPr>
        <w:t>junior-level substantive functions</w:t>
      </w:r>
      <w:r>
        <w:rPr>
          <w:spacing w:val="-2"/>
          <w:sz w:val="20"/>
        </w:rPr>
        <w:t> </w:t>
      </w:r>
      <w:r>
        <w:rPr>
          <w:sz w:val="20"/>
        </w:rPr>
        <w:t>including</w:t>
      </w:r>
      <w:r>
        <w:rPr>
          <w:spacing w:val="-1"/>
          <w:sz w:val="20"/>
        </w:rPr>
        <w:t> </w:t>
      </w:r>
      <w:r>
        <w:rPr>
          <w:sz w:val="20"/>
        </w:rPr>
        <w:t>trial support, legal</w:t>
      </w:r>
      <w:r>
        <w:rPr>
          <w:spacing w:val="-4"/>
          <w:sz w:val="20"/>
        </w:rPr>
        <w:t> </w:t>
      </w:r>
      <w:r>
        <w:rPr>
          <w:sz w:val="20"/>
        </w:rPr>
        <w:t>analysis</w:t>
      </w:r>
      <w:r>
        <w:rPr>
          <w:spacing w:val="-6"/>
          <w:sz w:val="20"/>
        </w:rPr>
        <w:t> </w:t>
      </w:r>
      <w:r>
        <w:rPr>
          <w:sz w:val="20"/>
        </w:rPr>
        <w:t>and general</w:t>
      </w:r>
      <w:r>
        <w:rPr>
          <w:spacing w:val="-2"/>
          <w:sz w:val="20"/>
        </w:rPr>
        <w:t> </w:t>
      </w:r>
      <w:r>
        <w:rPr>
          <w:sz w:val="20"/>
        </w:rPr>
        <w:t>support</w:t>
      </w:r>
      <w:r>
        <w:rPr>
          <w:spacing w:val="-2"/>
          <w:sz w:val="20"/>
        </w:rPr>
        <w:t> </w:t>
      </w:r>
      <w:r>
        <w:rPr>
          <w:sz w:val="20"/>
        </w:rPr>
        <w:t>to</w:t>
      </w:r>
      <w:r>
        <w:rPr>
          <w:spacing w:val="-3"/>
          <w:sz w:val="20"/>
        </w:rPr>
        <w:t> </w:t>
      </w:r>
      <w:r>
        <w:rPr>
          <w:sz w:val="20"/>
        </w:rPr>
        <w:t>the</w:t>
      </w:r>
      <w:r>
        <w:rPr>
          <w:spacing w:val="-2"/>
          <w:sz w:val="20"/>
        </w:rPr>
        <w:t> </w:t>
      </w:r>
      <w:r>
        <w:rPr>
          <w:sz w:val="20"/>
        </w:rPr>
        <w:t>activities of</w:t>
      </w:r>
      <w:r>
        <w:rPr>
          <w:spacing w:val="-3"/>
          <w:sz w:val="20"/>
        </w:rPr>
        <w:t> </w:t>
      </w:r>
      <w:r>
        <w:rPr>
          <w:sz w:val="20"/>
        </w:rPr>
        <w:t>more senior</w:t>
      </w:r>
      <w:r>
        <w:rPr>
          <w:spacing w:val="-3"/>
          <w:sz w:val="20"/>
        </w:rPr>
        <w:t> </w:t>
      </w:r>
      <w:r>
        <w:rPr>
          <w:sz w:val="20"/>
        </w:rPr>
        <w:t>members</w:t>
      </w:r>
      <w:r>
        <w:rPr>
          <w:spacing w:val="-5"/>
          <w:sz w:val="20"/>
        </w:rPr>
        <w:t> </w:t>
      </w:r>
      <w:r>
        <w:rPr>
          <w:sz w:val="20"/>
        </w:rPr>
        <w:t>of</w:t>
      </w:r>
      <w:r>
        <w:rPr>
          <w:spacing w:val="-3"/>
          <w:sz w:val="20"/>
        </w:rPr>
        <w:t> </w:t>
      </w:r>
      <w:r>
        <w:rPr>
          <w:sz w:val="20"/>
        </w:rPr>
        <w:t>the Unified</w:t>
      </w:r>
      <w:r>
        <w:rPr>
          <w:spacing w:val="-3"/>
          <w:sz w:val="20"/>
        </w:rPr>
        <w:t> </w:t>
      </w:r>
      <w:r>
        <w:rPr>
          <w:sz w:val="20"/>
        </w:rPr>
        <w:t>Teams.</w:t>
      </w:r>
    </w:p>
    <w:p>
      <w:pPr>
        <w:pStyle w:val="BodyText"/>
        <w:spacing w:before="10"/>
      </w:pPr>
    </w:p>
    <w:p>
      <w:pPr>
        <w:tabs>
          <w:tab w:pos="6039" w:val="left" w:leader="none"/>
        </w:tabs>
        <w:spacing w:before="0"/>
        <w:ind w:left="4" w:right="0" w:firstLine="0"/>
        <w:jc w:val="center"/>
        <w:rPr>
          <w:i/>
          <w:sz w:val="20"/>
        </w:rPr>
      </w:pPr>
      <w:r>
        <w:rPr>
          <w:i/>
          <w:sz w:val="20"/>
        </w:rPr>
        <w:t>General</w:t>
      </w:r>
      <w:r>
        <w:rPr>
          <w:i/>
          <w:spacing w:val="-8"/>
          <w:sz w:val="20"/>
        </w:rPr>
        <w:t> </w:t>
      </w:r>
      <w:r>
        <w:rPr>
          <w:i/>
          <w:sz w:val="20"/>
        </w:rPr>
        <w:t>Operating</w:t>
      </w:r>
      <w:r>
        <w:rPr>
          <w:i/>
          <w:spacing w:val="-9"/>
          <w:sz w:val="20"/>
        </w:rPr>
        <w:t> </w:t>
      </w:r>
      <w:r>
        <w:rPr>
          <w:i/>
          <w:spacing w:val="-2"/>
          <w:sz w:val="20"/>
        </w:rPr>
        <w:t>Expenses</w:t>
      </w:r>
      <w:r>
        <w:rPr>
          <w:i/>
          <w:sz w:val="20"/>
        </w:rPr>
        <w:tab/>
        <w:t>€160.0</w:t>
      </w:r>
      <w:r>
        <w:rPr>
          <w:i/>
          <w:spacing w:val="-3"/>
          <w:sz w:val="20"/>
        </w:rPr>
        <w:t> </w:t>
      </w:r>
      <w:r>
        <w:rPr>
          <w:i/>
          <w:spacing w:val="-2"/>
          <w:sz w:val="20"/>
        </w:rPr>
        <w:t>thousand</w:t>
      </w:r>
    </w:p>
    <w:p>
      <w:pPr>
        <w:pStyle w:val="BodyText"/>
        <w:spacing w:before="6"/>
        <w:rPr>
          <w:i/>
        </w:rPr>
      </w:pPr>
    </w:p>
    <w:p>
      <w:pPr>
        <w:pStyle w:val="ListParagraph"/>
        <w:numPr>
          <w:ilvl w:val="0"/>
          <w:numId w:val="4"/>
        </w:numPr>
        <w:tabs>
          <w:tab w:pos="2967" w:val="left" w:leader="none"/>
        </w:tabs>
        <w:spacing w:line="240" w:lineRule="auto" w:before="0" w:after="0"/>
        <w:ind w:left="2246" w:right="2241" w:firstLine="0"/>
        <w:jc w:val="both"/>
        <w:rPr>
          <w:sz w:val="20"/>
        </w:rPr>
      </w:pPr>
      <w:r>
        <w:rPr>
          <w:sz w:val="20"/>
        </w:rPr>
        <w:t>The</w:t>
      </w:r>
      <w:r>
        <w:rPr>
          <w:spacing w:val="-7"/>
          <w:sz w:val="20"/>
        </w:rPr>
        <w:t> </w:t>
      </w:r>
      <w:r>
        <w:rPr>
          <w:sz w:val="20"/>
        </w:rPr>
        <w:t>same</w:t>
      </w:r>
      <w:r>
        <w:rPr>
          <w:spacing w:val="-7"/>
          <w:sz w:val="20"/>
        </w:rPr>
        <w:t> </w:t>
      </w:r>
      <w:r>
        <w:rPr>
          <w:sz w:val="20"/>
        </w:rPr>
        <w:t>principle</w:t>
      </w:r>
      <w:r>
        <w:rPr>
          <w:spacing w:val="-7"/>
          <w:sz w:val="20"/>
        </w:rPr>
        <w:t> </w:t>
      </w:r>
      <w:r>
        <w:rPr>
          <w:sz w:val="20"/>
        </w:rPr>
        <w:t>of</w:t>
      </w:r>
      <w:r>
        <w:rPr>
          <w:spacing w:val="-8"/>
          <w:sz w:val="20"/>
        </w:rPr>
        <w:t> </w:t>
      </w:r>
      <w:r>
        <w:rPr>
          <w:sz w:val="20"/>
        </w:rPr>
        <w:t>situation</w:t>
      </w:r>
      <w:r>
        <w:rPr>
          <w:spacing w:val="-8"/>
          <w:sz w:val="20"/>
        </w:rPr>
        <w:t> </w:t>
      </w:r>
      <w:r>
        <w:rPr>
          <w:sz w:val="20"/>
        </w:rPr>
        <w:t>split</w:t>
      </w:r>
      <w:r>
        <w:rPr>
          <w:spacing w:val="-7"/>
          <w:sz w:val="20"/>
        </w:rPr>
        <w:t> </w:t>
      </w:r>
      <w:r>
        <w:rPr>
          <w:sz w:val="20"/>
        </w:rPr>
        <w:t>and</w:t>
      </w:r>
      <w:r>
        <w:rPr>
          <w:spacing w:val="-8"/>
          <w:sz w:val="20"/>
        </w:rPr>
        <w:t> </w:t>
      </w:r>
      <w:r>
        <w:rPr>
          <w:sz w:val="20"/>
        </w:rPr>
        <w:t>nature</w:t>
      </w:r>
      <w:r>
        <w:rPr>
          <w:spacing w:val="-2"/>
          <w:sz w:val="20"/>
        </w:rPr>
        <w:t> </w:t>
      </w:r>
      <w:r>
        <w:rPr>
          <w:sz w:val="20"/>
        </w:rPr>
        <w:t>of</w:t>
      </w:r>
      <w:r>
        <w:rPr>
          <w:spacing w:val="-8"/>
          <w:sz w:val="20"/>
        </w:rPr>
        <w:t> </w:t>
      </w:r>
      <w:r>
        <w:rPr>
          <w:sz w:val="20"/>
        </w:rPr>
        <w:t>the</w:t>
      </w:r>
      <w:r>
        <w:rPr>
          <w:spacing w:val="-7"/>
          <w:sz w:val="20"/>
        </w:rPr>
        <w:t> </w:t>
      </w:r>
      <w:r>
        <w:rPr>
          <w:sz w:val="20"/>
        </w:rPr>
        <w:t>activities</w:t>
      </w:r>
      <w:r>
        <w:rPr>
          <w:spacing w:val="-5"/>
          <w:sz w:val="20"/>
        </w:rPr>
        <w:t> </w:t>
      </w:r>
      <w:r>
        <w:rPr>
          <w:sz w:val="20"/>
        </w:rPr>
        <w:t>used</w:t>
      </w:r>
      <w:r>
        <w:rPr>
          <w:spacing w:val="-8"/>
          <w:sz w:val="20"/>
        </w:rPr>
        <w:t> </w:t>
      </w:r>
      <w:r>
        <w:rPr>
          <w:sz w:val="20"/>
        </w:rPr>
        <w:t>for</w:t>
      </w:r>
      <w:r>
        <w:rPr>
          <w:spacing w:val="-8"/>
          <w:sz w:val="20"/>
        </w:rPr>
        <w:t> </w:t>
      </w:r>
      <w:r>
        <w:rPr>
          <w:sz w:val="20"/>
        </w:rPr>
        <w:t>travel</w:t>
      </w:r>
      <w:r>
        <w:rPr>
          <w:spacing w:val="-7"/>
          <w:sz w:val="20"/>
        </w:rPr>
        <w:t> </w:t>
      </w:r>
      <w:r>
        <w:rPr>
          <w:sz w:val="20"/>
        </w:rPr>
        <w:t>costs has been applied to the request for funds for general operating expenses estimated to be incurred by Programme 2700 in 2023. This budget line caters for operational support, in particular, expenses incurred in relation to witnesses and victims with whom the unified teams</w:t>
      </w:r>
      <w:r>
        <w:rPr>
          <w:spacing w:val="-1"/>
          <w:sz w:val="20"/>
        </w:rPr>
        <w:t> </w:t>
      </w:r>
      <w:r>
        <w:rPr>
          <w:sz w:val="20"/>
        </w:rPr>
        <w:t>interact. Previously, the funds</w:t>
      </w:r>
      <w:r>
        <w:rPr>
          <w:spacing w:val="-1"/>
          <w:sz w:val="20"/>
        </w:rPr>
        <w:t> </w:t>
      </w:r>
      <w:r>
        <w:rPr>
          <w:sz w:val="20"/>
        </w:rPr>
        <w:t>for this</w:t>
      </w:r>
      <w:r>
        <w:rPr>
          <w:spacing w:val="-1"/>
          <w:sz w:val="20"/>
        </w:rPr>
        <w:t> </w:t>
      </w:r>
      <w:r>
        <w:rPr>
          <w:sz w:val="20"/>
        </w:rPr>
        <w:t>type of</w:t>
      </w:r>
      <w:r>
        <w:rPr>
          <w:spacing w:val="-5"/>
          <w:sz w:val="20"/>
        </w:rPr>
        <w:t> </w:t>
      </w:r>
      <w:r>
        <w:rPr>
          <w:sz w:val="20"/>
        </w:rPr>
        <w:t>expenditure were centralized</w:t>
      </w:r>
      <w:r>
        <w:rPr>
          <w:spacing w:val="-5"/>
          <w:sz w:val="20"/>
        </w:rPr>
        <w:t> </w:t>
      </w:r>
      <w:r>
        <w:rPr>
          <w:sz w:val="20"/>
        </w:rPr>
        <w:t>in POS</w:t>
      </w:r>
      <w:r>
        <w:rPr>
          <w:spacing w:val="-1"/>
          <w:sz w:val="20"/>
        </w:rPr>
        <w:t> </w:t>
      </w:r>
      <w:r>
        <w:rPr>
          <w:sz w:val="20"/>
        </w:rPr>
        <w:t>in the</w:t>
      </w:r>
      <w:r>
        <w:rPr>
          <w:spacing w:val="-1"/>
          <w:sz w:val="20"/>
        </w:rPr>
        <w:t> </w:t>
      </w:r>
      <w:r>
        <w:rPr>
          <w:sz w:val="20"/>
        </w:rPr>
        <w:t>Investigation Division. The investigators</w:t>
      </w:r>
      <w:r>
        <w:rPr>
          <w:spacing w:val="-4"/>
          <w:sz w:val="20"/>
        </w:rPr>
        <w:t> </w:t>
      </w:r>
      <w:r>
        <w:rPr>
          <w:sz w:val="20"/>
        </w:rPr>
        <w:t>allocated</w:t>
      </w:r>
      <w:r>
        <w:rPr>
          <w:spacing w:val="-3"/>
          <w:sz w:val="20"/>
        </w:rPr>
        <w:t> </w:t>
      </w:r>
      <w:r>
        <w:rPr>
          <w:sz w:val="20"/>
        </w:rPr>
        <w:t>to</w:t>
      </w:r>
      <w:r>
        <w:rPr>
          <w:spacing w:val="-3"/>
          <w:sz w:val="20"/>
        </w:rPr>
        <w:t> </w:t>
      </w:r>
      <w:r>
        <w:rPr>
          <w:sz w:val="20"/>
        </w:rPr>
        <w:t>the</w:t>
      </w:r>
      <w:r>
        <w:rPr>
          <w:spacing w:val="-6"/>
          <w:sz w:val="20"/>
        </w:rPr>
        <w:t> </w:t>
      </w:r>
      <w:r>
        <w:rPr>
          <w:sz w:val="20"/>
        </w:rPr>
        <w:t>Integrated</w:t>
      </w:r>
      <w:r>
        <w:rPr>
          <w:spacing w:val="-3"/>
          <w:sz w:val="20"/>
        </w:rPr>
        <w:t> </w:t>
      </w:r>
      <w:r>
        <w:rPr>
          <w:sz w:val="20"/>
        </w:rPr>
        <w:t>Teams (now unified teams) were also in the Investigation Division. In the new pillar structure implemented</w:t>
      </w:r>
      <w:r>
        <w:rPr>
          <w:spacing w:val="40"/>
          <w:sz w:val="20"/>
        </w:rPr>
        <w:t> </w:t>
      </w:r>
      <w:r>
        <w:rPr>
          <w:sz w:val="20"/>
        </w:rPr>
        <w:t>since</w:t>
      </w:r>
      <w:r>
        <w:rPr>
          <w:spacing w:val="-1"/>
          <w:sz w:val="20"/>
        </w:rPr>
        <w:t> </w:t>
      </w:r>
      <w:r>
        <w:rPr>
          <w:sz w:val="20"/>
        </w:rPr>
        <w:t>2022,</w:t>
      </w:r>
      <w:r>
        <w:rPr>
          <w:spacing w:val="-1"/>
          <w:sz w:val="20"/>
        </w:rPr>
        <w:t> </w:t>
      </w:r>
      <w:r>
        <w:rPr>
          <w:sz w:val="20"/>
        </w:rPr>
        <w:t>the</w:t>
      </w:r>
      <w:r>
        <w:rPr>
          <w:spacing w:val="-2"/>
          <w:sz w:val="20"/>
        </w:rPr>
        <w:t> </w:t>
      </w:r>
      <w:r>
        <w:rPr>
          <w:sz w:val="20"/>
        </w:rPr>
        <w:t>unified</w:t>
      </w:r>
      <w:r>
        <w:rPr>
          <w:spacing w:val="-4"/>
          <w:sz w:val="20"/>
        </w:rPr>
        <w:t> </w:t>
      </w:r>
      <w:r>
        <w:rPr>
          <w:sz w:val="20"/>
        </w:rPr>
        <w:t>teams</w:t>
      </w:r>
      <w:r>
        <w:rPr>
          <w:spacing w:val="-5"/>
          <w:sz w:val="20"/>
        </w:rPr>
        <w:t> </w:t>
      </w:r>
      <w:r>
        <w:rPr>
          <w:sz w:val="20"/>
        </w:rPr>
        <w:t>are</w:t>
      </w:r>
      <w:r>
        <w:rPr>
          <w:spacing w:val="-2"/>
          <w:sz w:val="20"/>
        </w:rPr>
        <w:t> </w:t>
      </w:r>
      <w:r>
        <w:rPr>
          <w:sz w:val="20"/>
        </w:rPr>
        <w:t>split</w:t>
      </w:r>
      <w:r>
        <w:rPr>
          <w:spacing w:val="-2"/>
          <w:sz w:val="20"/>
        </w:rPr>
        <w:t> </w:t>
      </w:r>
      <w:r>
        <w:rPr>
          <w:sz w:val="20"/>
        </w:rPr>
        <w:t>into</w:t>
      </w:r>
      <w:r>
        <w:rPr>
          <w:spacing w:val="-4"/>
          <w:sz w:val="20"/>
        </w:rPr>
        <w:t> </w:t>
      </w:r>
      <w:r>
        <w:rPr>
          <w:sz w:val="20"/>
        </w:rPr>
        <w:t>the</w:t>
      </w:r>
      <w:r>
        <w:rPr>
          <w:spacing w:val="-2"/>
          <w:sz w:val="20"/>
        </w:rPr>
        <w:t> </w:t>
      </w:r>
      <w:r>
        <w:rPr>
          <w:sz w:val="20"/>
        </w:rPr>
        <w:t>Deputy</w:t>
      </w:r>
      <w:r>
        <w:rPr>
          <w:spacing w:val="-4"/>
          <w:sz w:val="20"/>
        </w:rPr>
        <w:t> </w:t>
      </w:r>
      <w:r>
        <w:rPr>
          <w:sz w:val="20"/>
        </w:rPr>
        <w:t>Prosecution</w:t>
      </w:r>
      <w:r>
        <w:rPr>
          <w:spacing w:val="-4"/>
          <w:sz w:val="20"/>
        </w:rPr>
        <w:t> </w:t>
      </w:r>
      <w:r>
        <w:rPr>
          <w:sz w:val="20"/>
        </w:rPr>
        <w:t>pillars (Programme</w:t>
      </w:r>
      <w:r>
        <w:rPr>
          <w:spacing w:val="-2"/>
          <w:sz w:val="20"/>
        </w:rPr>
        <w:t> </w:t>
      </w:r>
      <w:r>
        <w:rPr>
          <w:sz w:val="20"/>
        </w:rPr>
        <w:t>2600 and Programme 2700) according to the situations allocation</w:t>
      </w:r>
      <w:r>
        <w:rPr>
          <w:spacing w:val="-4"/>
          <w:sz w:val="20"/>
        </w:rPr>
        <w:t> </w:t>
      </w:r>
      <w:r>
        <w:rPr>
          <w:sz w:val="20"/>
        </w:rPr>
        <w:t>decided by the Prosecutor, and POS</w:t>
      </w:r>
      <w:r>
        <w:rPr>
          <w:spacing w:val="-6"/>
          <w:sz w:val="20"/>
        </w:rPr>
        <w:t> </w:t>
      </w:r>
      <w:r>
        <w:rPr>
          <w:sz w:val="20"/>
        </w:rPr>
        <w:t>is</w:t>
      </w:r>
      <w:r>
        <w:rPr>
          <w:spacing w:val="-6"/>
          <w:sz w:val="20"/>
        </w:rPr>
        <w:t> </w:t>
      </w:r>
      <w:r>
        <w:rPr>
          <w:sz w:val="20"/>
        </w:rPr>
        <w:t>under</w:t>
      </w:r>
      <w:r>
        <w:rPr>
          <w:spacing w:val="-9"/>
          <w:sz w:val="20"/>
        </w:rPr>
        <w:t> </w:t>
      </w:r>
      <w:r>
        <w:rPr>
          <w:sz w:val="20"/>
        </w:rPr>
        <w:t>the</w:t>
      </w:r>
      <w:r>
        <w:rPr>
          <w:spacing w:val="-3"/>
          <w:sz w:val="20"/>
        </w:rPr>
        <w:t> </w:t>
      </w:r>
      <w:r>
        <w:rPr>
          <w:sz w:val="20"/>
        </w:rPr>
        <w:t>Integrated</w:t>
      </w:r>
      <w:r>
        <w:rPr>
          <w:spacing w:val="-9"/>
          <w:sz w:val="20"/>
        </w:rPr>
        <w:t> </w:t>
      </w:r>
      <w:r>
        <w:rPr>
          <w:sz w:val="20"/>
        </w:rPr>
        <w:t>Services</w:t>
      </w:r>
      <w:r>
        <w:rPr>
          <w:spacing w:val="-6"/>
          <w:sz w:val="20"/>
        </w:rPr>
        <w:t> </w:t>
      </w:r>
      <w:r>
        <w:rPr>
          <w:sz w:val="20"/>
        </w:rPr>
        <w:t>Division</w:t>
      </w:r>
      <w:r>
        <w:rPr>
          <w:spacing w:val="-9"/>
          <w:sz w:val="20"/>
        </w:rPr>
        <w:t> </w:t>
      </w:r>
      <w:r>
        <w:rPr>
          <w:sz w:val="20"/>
        </w:rPr>
        <w:t>(Programme</w:t>
      </w:r>
      <w:r>
        <w:rPr>
          <w:spacing w:val="-8"/>
          <w:sz w:val="20"/>
        </w:rPr>
        <w:t> </w:t>
      </w:r>
      <w:r>
        <w:rPr>
          <w:sz w:val="20"/>
        </w:rPr>
        <w:t>2800).</w:t>
      </w:r>
      <w:r>
        <w:rPr>
          <w:spacing w:val="-7"/>
          <w:sz w:val="20"/>
        </w:rPr>
        <w:t> </w:t>
      </w:r>
      <w:r>
        <w:rPr>
          <w:sz w:val="20"/>
        </w:rPr>
        <w:t>As</w:t>
      </w:r>
      <w:r>
        <w:rPr>
          <w:spacing w:val="-6"/>
          <w:sz w:val="20"/>
        </w:rPr>
        <w:t> </w:t>
      </w:r>
      <w:r>
        <w:rPr>
          <w:sz w:val="20"/>
        </w:rPr>
        <w:t>investigators</w:t>
      </w:r>
      <w:r>
        <w:rPr>
          <w:spacing w:val="-11"/>
          <w:sz w:val="20"/>
        </w:rPr>
        <w:t> </w:t>
      </w:r>
      <w:r>
        <w:rPr>
          <w:sz w:val="20"/>
        </w:rPr>
        <w:t>deployed to the field incur expenses in relation to witnesses and victims, to ensure proper accountability and transparency, it was decided to allocate funds to the unified teams in Programme 2600 and Programme 2700, and request separate general operating expenses funds for the activities managed by POS (such as logistical support to operations) under Programme 2800. The funds requested for the Deputy Prosecution pillar under this budget line</w:t>
      </w:r>
      <w:r>
        <w:rPr>
          <w:spacing w:val="-13"/>
          <w:sz w:val="20"/>
        </w:rPr>
        <w:t> </w:t>
      </w:r>
      <w:r>
        <w:rPr>
          <w:sz w:val="20"/>
        </w:rPr>
        <w:t>are</w:t>
      </w:r>
      <w:r>
        <w:rPr>
          <w:spacing w:val="-12"/>
          <w:sz w:val="20"/>
        </w:rPr>
        <w:t> </w:t>
      </w:r>
      <w:r>
        <w:rPr>
          <w:sz w:val="20"/>
        </w:rPr>
        <w:t>correlated</w:t>
      </w:r>
      <w:r>
        <w:rPr>
          <w:spacing w:val="-13"/>
          <w:sz w:val="20"/>
        </w:rPr>
        <w:t> </w:t>
      </w:r>
      <w:r>
        <w:rPr>
          <w:sz w:val="20"/>
        </w:rPr>
        <w:t>to</w:t>
      </w:r>
      <w:r>
        <w:rPr>
          <w:spacing w:val="-12"/>
          <w:sz w:val="20"/>
        </w:rPr>
        <w:t> </w:t>
      </w:r>
      <w:r>
        <w:rPr>
          <w:sz w:val="20"/>
        </w:rPr>
        <w:t>the</w:t>
      </w:r>
      <w:r>
        <w:rPr>
          <w:spacing w:val="-13"/>
          <w:sz w:val="20"/>
        </w:rPr>
        <w:t> </w:t>
      </w:r>
      <w:r>
        <w:rPr>
          <w:sz w:val="20"/>
        </w:rPr>
        <w:t>volume</w:t>
      </w:r>
      <w:r>
        <w:rPr>
          <w:spacing w:val="-12"/>
          <w:sz w:val="20"/>
        </w:rPr>
        <w:t> </w:t>
      </w:r>
      <w:r>
        <w:rPr>
          <w:sz w:val="20"/>
        </w:rPr>
        <w:t>of</w:t>
      </w:r>
      <w:r>
        <w:rPr>
          <w:spacing w:val="-13"/>
          <w:sz w:val="20"/>
        </w:rPr>
        <w:t> </w:t>
      </w:r>
      <w:r>
        <w:rPr>
          <w:sz w:val="20"/>
        </w:rPr>
        <w:t>missions</w:t>
      </w:r>
      <w:r>
        <w:rPr>
          <w:spacing w:val="-12"/>
          <w:sz w:val="20"/>
        </w:rPr>
        <w:t> </w:t>
      </w:r>
      <w:r>
        <w:rPr>
          <w:sz w:val="20"/>
        </w:rPr>
        <w:t>that</w:t>
      </w:r>
      <w:r>
        <w:rPr>
          <w:spacing w:val="-13"/>
          <w:sz w:val="20"/>
        </w:rPr>
        <w:t> </w:t>
      </w:r>
      <w:r>
        <w:rPr>
          <w:sz w:val="20"/>
        </w:rPr>
        <w:t>the</w:t>
      </w:r>
      <w:r>
        <w:rPr>
          <w:spacing w:val="-12"/>
          <w:sz w:val="20"/>
        </w:rPr>
        <w:t> </w:t>
      </w:r>
      <w:r>
        <w:rPr>
          <w:sz w:val="20"/>
        </w:rPr>
        <w:t>unified</w:t>
      </w:r>
      <w:r>
        <w:rPr>
          <w:spacing w:val="-13"/>
          <w:sz w:val="20"/>
        </w:rPr>
        <w:t> </w:t>
      </w:r>
      <w:r>
        <w:rPr>
          <w:sz w:val="20"/>
        </w:rPr>
        <w:t>teams</w:t>
      </w:r>
      <w:r>
        <w:rPr>
          <w:spacing w:val="-12"/>
          <w:sz w:val="20"/>
        </w:rPr>
        <w:t> </w:t>
      </w:r>
      <w:r>
        <w:rPr>
          <w:sz w:val="20"/>
        </w:rPr>
        <w:t>in</w:t>
      </w:r>
      <w:r>
        <w:rPr>
          <w:spacing w:val="-13"/>
          <w:sz w:val="20"/>
        </w:rPr>
        <w:t> </w:t>
      </w:r>
      <w:r>
        <w:rPr>
          <w:sz w:val="20"/>
        </w:rPr>
        <w:t>each</w:t>
      </w:r>
      <w:r>
        <w:rPr>
          <w:spacing w:val="-12"/>
          <w:sz w:val="20"/>
        </w:rPr>
        <w:t> </w:t>
      </w:r>
      <w:r>
        <w:rPr>
          <w:sz w:val="20"/>
        </w:rPr>
        <w:t>pillar</w:t>
      </w:r>
      <w:r>
        <w:rPr>
          <w:spacing w:val="-13"/>
          <w:sz w:val="20"/>
        </w:rPr>
        <w:t> </w:t>
      </w:r>
      <w:r>
        <w:rPr>
          <w:sz w:val="20"/>
        </w:rPr>
        <w:t>have</w:t>
      </w:r>
      <w:r>
        <w:rPr>
          <w:spacing w:val="-12"/>
          <w:sz w:val="20"/>
        </w:rPr>
        <w:t> </w:t>
      </w:r>
      <w:r>
        <w:rPr>
          <w:sz w:val="20"/>
        </w:rPr>
        <w:t>planned to</w:t>
      </w:r>
      <w:r>
        <w:rPr>
          <w:spacing w:val="-8"/>
          <w:sz w:val="20"/>
        </w:rPr>
        <w:t> </w:t>
      </w:r>
      <w:r>
        <w:rPr>
          <w:sz w:val="20"/>
        </w:rPr>
        <w:t>undertake.</w:t>
      </w:r>
      <w:r>
        <w:rPr>
          <w:spacing w:val="-6"/>
          <w:sz w:val="20"/>
        </w:rPr>
        <w:t> </w:t>
      </w:r>
      <w:r>
        <w:rPr>
          <w:sz w:val="20"/>
        </w:rPr>
        <w:t>The</w:t>
      </w:r>
      <w:r>
        <w:rPr>
          <w:spacing w:val="-7"/>
          <w:sz w:val="20"/>
        </w:rPr>
        <w:t> </w:t>
      </w:r>
      <w:r>
        <w:rPr>
          <w:sz w:val="20"/>
        </w:rPr>
        <w:t>volume</w:t>
      </w:r>
      <w:r>
        <w:rPr>
          <w:spacing w:val="-7"/>
          <w:sz w:val="20"/>
        </w:rPr>
        <w:t> </w:t>
      </w:r>
      <w:r>
        <w:rPr>
          <w:sz w:val="20"/>
        </w:rPr>
        <w:t>of</w:t>
      </w:r>
      <w:r>
        <w:rPr>
          <w:spacing w:val="-13"/>
          <w:sz w:val="20"/>
        </w:rPr>
        <w:t> </w:t>
      </w:r>
      <w:r>
        <w:rPr>
          <w:sz w:val="20"/>
        </w:rPr>
        <w:t>missions</w:t>
      </w:r>
      <w:r>
        <w:rPr>
          <w:spacing w:val="-9"/>
          <w:sz w:val="20"/>
        </w:rPr>
        <w:t> </w:t>
      </w:r>
      <w:r>
        <w:rPr>
          <w:sz w:val="20"/>
        </w:rPr>
        <w:t>is</w:t>
      </w:r>
      <w:r>
        <w:rPr>
          <w:spacing w:val="-10"/>
          <w:sz w:val="20"/>
        </w:rPr>
        <w:t> </w:t>
      </w:r>
      <w:r>
        <w:rPr>
          <w:sz w:val="20"/>
        </w:rPr>
        <w:t>a</w:t>
      </w:r>
      <w:r>
        <w:rPr>
          <w:spacing w:val="-7"/>
          <w:sz w:val="20"/>
        </w:rPr>
        <w:t> </w:t>
      </w:r>
      <w:r>
        <w:rPr>
          <w:sz w:val="20"/>
        </w:rPr>
        <w:t>good</w:t>
      </w:r>
      <w:r>
        <w:rPr>
          <w:spacing w:val="-8"/>
          <w:sz w:val="20"/>
        </w:rPr>
        <w:t> </w:t>
      </w:r>
      <w:r>
        <w:rPr>
          <w:sz w:val="20"/>
        </w:rPr>
        <w:t>indicator</w:t>
      </w:r>
      <w:r>
        <w:rPr>
          <w:spacing w:val="-8"/>
          <w:sz w:val="20"/>
        </w:rPr>
        <w:t> </w:t>
      </w:r>
      <w:r>
        <w:rPr>
          <w:sz w:val="20"/>
        </w:rPr>
        <w:t>of</w:t>
      </w:r>
      <w:r>
        <w:rPr>
          <w:spacing w:val="-8"/>
          <w:sz w:val="20"/>
        </w:rPr>
        <w:t> </w:t>
      </w:r>
      <w:r>
        <w:rPr>
          <w:sz w:val="20"/>
        </w:rPr>
        <w:t>the</w:t>
      </w:r>
      <w:r>
        <w:rPr>
          <w:spacing w:val="-7"/>
          <w:sz w:val="20"/>
        </w:rPr>
        <w:t> </w:t>
      </w:r>
      <w:r>
        <w:rPr>
          <w:sz w:val="20"/>
        </w:rPr>
        <w:t>amounts</w:t>
      </w:r>
      <w:r>
        <w:rPr>
          <w:spacing w:val="-10"/>
          <w:sz w:val="20"/>
        </w:rPr>
        <w:t> </w:t>
      </w:r>
      <w:r>
        <w:rPr>
          <w:sz w:val="20"/>
        </w:rPr>
        <w:t>of</w:t>
      </w:r>
      <w:r>
        <w:rPr>
          <w:spacing w:val="-8"/>
          <w:sz w:val="20"/>
        </w:rPr>
        <w:t> </w:t>
      </w:r>
      <w:r>
        <w:rPr>
          <w:sz w:val="20"/>
        </w:rPr>
        <w:t>general</w:t>
      </w:r>
      <w:r>
        <w:rPr>
          <w:spacing w:val="-7"/>
          <w:sz w:val="20"/>
        </w:rPr>
        <w:t> </w:t>
      </w:r>
      <w:r>
        <w:rPr>
          <w:sz w:val="20"/>
        </w:rPr>
        <w:t>operating expenses</w:t>
      </w:r>
      <w:r>
        <w:rPr>
          <w:spacing w:val="40"/>
          <w:sz w:val="20"/>
        </w:rPr>
        <w:t> </w:t>
      </w:r>
      <w:r>
        <w:rPr>
          <w:sz w:val="20"/>
        </w:rPr>
        <w:t>that</w:t>
      </w:r>
      <w:r>
        <w:rPr>
          <w:spacing w:val="40"/>
          <w:sz w:val="20"/>
        </w:rPr>
        <w:t> </w:t>
      </w:r>
      <w:r>
        <w:rPr>
          <w:sz w:val="20"/>
        </w:rPr>
        <w:t>are</w:t>
      </w:r>
      <w:r>
        <w:rPr>
          <w:spacing w:val="40"/>
          <w:sz w:val="20"/>
        </w:rPr>
        <w:t> </w:t>
      </w:r>
      <w:r>
        <w:rPr>
          <w:sz w:val="20"/>
        </w:rPr>
        <w:t>necessary</w:t>
      </w:r>
      <w:r>
        <w:rPr>
          <w:spacing w:val="40"/>
          <w:sz w:val="20"/>
        </w:rPr>
        <w:t> </w:t>
      </w:r>
      <w:r>
        <w:rPr>
          <w:sz w:val="20"/>
        </w:rPr>
        <w:t>to</w:t>
      </w:r>
      <w:r>
        <w:rPr>
          <w:spacing w:val="40"/>
          <w:sz w:val="20"/>
        </w:rPr>
        <w:t> </w:t>
      </w:r>
      <w:r>
        <w:rPr>
          <w:sz w:val="20"/>
        </w:rPr>
        <w:t>support</w:t>
      </w:r>
      <w:r>
        <w:rPr>
          <w:spacing w:val="40"/>
          <w:sz w:val="20"/>
        </w:rPr>
        <w:t> </w:t>
      </w:r>
      <w:r>
        <w:rPr>
          <w:sz w:val="20"/>
        </w:rPr>
        <w:t>the</w:t>
      </w:r>
      <w:r>
        <w:rPr>
          <w:spacing w:val="40"/>
          <w:sz w:val="20"/>
        </w:rPr>
        <w:t> </w:t>
      </w:r>
      <w:r>
        <w:rPr>
          <w:sz w:val="20"/>
        </w:rPr>
        <w:t>operations</w:t>
      </w:r>
      <w:r>
        <w:rPr>
          <w:spacing w:val="40"/>
          <w:sz w:val="20"/>
        </w:rPr>
        <w:t> </w:t>
      </w:r>
      <w:r>
        <w:rPr>
          <w:sz w:val="20"/>
        </w:rPr>
        <w:t>of</w:t>
      </w:r>
      <w:r>
        <w:rPr>
          <w:spacing w:val="40"/>
          <w:sz w:val="20"/>
        </w:rPr>
        <w:t> </w:t>
      </w:r>
      <w:r>
        <w:rPr>
          <w:sz w:val="20"/>
        </w:rPr>
        <w:t>Programme</w:t>
      </w:r>
      <w:r>
        <w:rPr>
          <w:spacing w:val="40"/>
          <w:sz w:val="20"/>
        </w:rPr>
        <w:t> </w:t>
      </w:r>
      <w:r>
        <w:rPr>
          <w:sz w:val="20"/>
        </w:rPr>
        <w:t>2600</w:t>
      </w:r>
      <w:r>
        <w:rPr>
          <w:spacing w:val="40"/>
          <w:sz w:val="20"/>
        </w:rPr>
        <w:t> </w:t>
      </w:r>
      <w:r>
        <w:rPr>
          <w:sz w:val="20"/>
        </w:rPr>
        <w:t>and Programme 2700.</w:t>
      </w:r>
    </w:p>
    <w:p>
      <w:pPr>
        <w:spacing w:after="0" w:line="240" w:lineRule="auto"/>
        <w:jc w:val="both"/>
        <w:rPr>
          <w:sz w:val="20"/>
        </w:rPr>
        <w:sectPr>
          <w:pgSz w:w="11910" w:h="16840"/>
          <w:pgMar w:header="953" w:footer="940" w:top="1140" w:bottom="1140" w:left="20" w:right="20"/>
        </w:sectPr>
      </w:pPr>
    </w:p>
    <w:p>
      <w:pPr>
        <w:spacing w:before="120"/>
        <w:ind w:left="2246" w:right="0" w:firstLine="0"/>
        <w:jc w:val="left"/>
        <w:rPr>
          <w:b/>
          <w:sz w:val="20"/>
        </w:rPr>
      </w:pPr>
      <w:r>
        <w:rPr>
          <w:b/>
          <w:sz w:val="20"/>
        </w:rPr>
        <w:t>Table</w:t>
      </w:r>
      <w:r>
        <w:rPr>
          <w:b/>
          <w:spacing w:val="-7"/>
          <w:sz w:val="20"/>
        </w:rPr>
        <w:t> </w:t>
      </w:r>
      <w:r>
        <w:rPr>
          <w:b/>
          <w:sz w:val="20"/>
        </w:rPr>
        <w:t>17:</w:t>
      </w:r>
      <w:r>
        <w:rPr>
          <w:b/>
          <w:spacing w:val="-7"/>
          <w:sz w:val="20"/>
        </w:rPr>
        <w:t> </w:t>
      </w:r>
      <w:r>
        <w:rPr>
          <w:b/>
          <w:sz w:val="20"/>
        </w:rPr>
        <w:t>Deputy</w:t>
      </w:r>
      <w:r>
        <w:rPr>
          <w:b/>
          <w:spacing w:val="-8"/>
          <w:sz w:val="20"/>
        </w:rPr>
        <w:t> </w:t>
      </w:r>
      <w:r>
        <w:rPr>
          <w:b/>
          <w:sz w:val="20"/>
        </w:rPr>
        <w:t>Prosecutor:</w:t>
      </w:r>
      <w:r>
        <w:rPr>
          <w:b/>
          <w:spacing w:val="-8"/>
          <w:sz w:val="20"/>
        </w:rPr>
        <w:t> </w:t>
      </w:r>
      <w:r>
        <w:rPr>
          <w:b/>
          <w:sz w:val="20"/>
        </w:rPr>
        <w:t>Proposed</w:t>
      </w:r>
      <w:r>
        <w:rPr>
          <w:b/>
          <w:spacing w:val="-5"/>
          <w:sz w:val="20"/>
        </w:rPr>
        <w:t> </w:t>
      </w:r>
      <w:r>
        <w:rPr>
          <w:b/>
          <w:sz w:val="20"/>
        </w:rPr>
        <w:t>budget</w:t>
      </w:r>
      <w:r>
        <w:rPr>
          <w:b/>
          <w:spacing w:val="-7"/>
          <w:sz w:val="20"/>
        </w:rPr>
        <w:t> </w:t>
      </w:r>
      <w:r>
        <w:rPr>
          <w:b/>
          <w:sz w:val="20"/>
        </w:rPr>
        <w:t>for</w:t>
      </w:r>
      <w:r>
        <w:rPr>
          <w:b/>
          <w:spacing w:val="-6"/>
          <w:sz w:val="20"/>
        </w:rPr>
        <w:t> </w:t>
      </w:r>
      <w:r>
        <w:rPr>
          <w:b/>
          <w:spacing w:val="-4"/>
          <w:sz w:val="20"/>
        </w:rPr>
        <w:t>2023</w:t>
      </w:r>
    </w:p>
    <w:tbl>
      <w:tblPr>
        <w:tblW w:w="0" w:type="auto"/>
        <w:jc w:val="left"/>
        <w:tblInd w:w="1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61"/>
        <w:gridCol w:w="1066"/>
        <w:gridCol w:w="804"/>
        <w:gridCol w:w="1010"/>
        <w:gridCol w:w="1137"/>
        <w:gridCol w:w="1257"/>
        <w:gridCol w:w="813"/>
        <w:gridCol w:w="1096"/>
      </w:tblGrid>
      <w:tr>
        <w:trPr>
          <w:trHeight w:val="310" w:hRule="atLeast"/>
        </w:trPr>
        <w:tc>
          <w:tcPr>
            <w:tcW w:w="2461" w:type="dxa"/>
            <w:tcBorders>
              <w:top w:val="single" w:sz="4" w:space="0" w:color="000000"/>
            </w:tcBorders>
          </w:tcPr>
          <w:p>
            <w:pPr>
              <w:pStyle w:val="TableParagraph"/>
              <w:jc w:val="left"/>
              <w:rPr>
                <w:sz w:val="14"/>
              </w:rPr>
            </w:pPr>
          </w:p>
        </w:tc>
        <w:tc>
          <w:tcPr>
            <w:tcW w:w="2880" w:type="dxa"/>
            <w:gridSpan w:val="3"/>
            <w:tcBorders>
              <w:top w:val="single" w:sz="4" w:space="0" w:color="000000"/>
            </w:tcBorders>
          </w:tcPr>
          <w:p>
            <w:pPr>
              <w:pStyle w:val="TableParagraph"/>
              <w:spacing w:line="180" w:lineRule="exact" w:before="110"/>
              <w:ind w:left="-1" w:right="-15"/>
              <w:jc w:val="left"/>
              <w:rPr>
                <w:sz w:val="16"/>
              </w:rPr>
            </w:pPr>
            <w:r>
              <w:rPr>
                <w:spacing w:val="38"/>
                <w:sz w:val="16"/>
                <w:u w:val="single"/>
              </w:rPr>
              <w:t>  </w:t>
            </w:r>
            <w:r>
              <w:rPr>
                <w:sz w:val="16"/>
                <w:u w:val="single"/>
              </w:rPr>
              <w:t>2021 Expenditures</w:t>
            </w:r>
            <w:r>
              <w:rPr>
                <w:spacing w:val="-3"/>
                <w:sz w:val="16"/>
                <w:u w:val="single"/>
              </w:rPr>
              <w:t> </w:t>
            </w:r>
            <w:r>
              <w:rPr>
                <w:sz w:val="16"/>
                <w:u w:val="single"/>
              </w:rPr>
              <w:t>(thousands</w:t>
            </w:r>
            <w:r>
              <w:rPr>
                <w:spacing w:val="-3"/>
                <w:sz w:val="16"/>
                <w:u w:val="single"/>
              </w:rPr>
              <w:t> </w:t>
            </w:r>
            <w:r>
              <w:rPr>
                <w:sz w:val="16"/>
                <w:u w:val="single"/>
              </w:rPr>
              <w:t>of</w:t>
            </w:r>
            <w:r>
              <w:rPr>
                <w:spacing w:val="-3"/>
                <w:sz w:val="16"/>
                <w:u w:val="single"/>
              </w:rPr>
              <w:t> </w:t>
            </w:r>
            <w:r>
              <w:rPr>
                <w:spacing w:val="-2"/>
                <w:sz w:val="16"/>
                <w:u w:val="single"/>
              </w:rPr>
              <w:t>euros)</w:t>
            </w:r>
            <w:r>
              <w:rPr>
                <w:spacing w:val="40"/>
                <w:sz w:val="16"/>
                <w:u w:val="single"/>
              </w:rPr>
              <w:t> </w:t>
            </w:r>
          </w:p>
        </w:tc>
        <w:tc>
          <w:tcPr>
            <w:tcW w:w="1137" w:type="dxa"/>
            <w:vMerge w:val="restart"/>
            <w:tcBorders>
              <w:top w:val="single" w:sz="4" w:space="0" w:color="000000"/>
              <w:bottom w:val="single" w:sz="12" w:space="0" w:color="000000"/>
            </w:tcBorders>
          </w:tcPr>
          <w:p>
            <w:pPr>
              <w:pStyle w:val="TableParagraph"/>
              <w:spacing w:line="183" w:lineRule="exact" w:before="139"/>
              <w:ind w:left="262" w:right="206"/>
              <w:jc w:val="center"/>
              <w:rPr>
                <w:sz w:val="16"/>
              </w:rPr>
            </w:pPr>
            <w:r>
              <w:rPr>
                <w:spacing w:val="-4"/>
                <w:sz w:val="16"/>
              </w:rPr>
              <w:t>2022</w:t>
            </w:r>
          </w:p>
          <w:p>
            <w:pPr>
              <w:pStyle w:val="TableParagraph"/>
              <w:spacing w:line="183" w:lineRule="exact"/>
              <w:ind w:left="262" w:right="210"/>
              <w:jc w:val="center"/>
              <w:rPr>
                <w:sz w:val="16"/>
              </w:rPr>
            </w:pPr>
            <w:r>
              <w:rPr>
                <w:spacing w:val="-2"/>
                <w:sz w:val="16"/>
              </w:rPr>
              <w:t>Approved</w:t>
            </w:r>
          </w:p>
          <w:p>
            <w:pPr>
              <w:pStyle w:val="TableParagraph"/>
              <w:spacing w:line="172" w:lineRule="exact" w:before="3"/>
              <w:ind w:left="262" w:right="201"/>
              <w:jc w:val="center"/>
              <w:rPr>
                <w:sz w:val="16"/>
              </w:rPr>
            </w:pPr>
            <w:r>
              <w:rPr>
                <w:spacing w:val="-2"/>
                <w:sz w:val="16"/>
              </w:rPr>
              <w:t>Budget</w:t>
            </w:r>
          </w:p>
        </w:tc>
        <w:tc>
          <w:tcPr>
            <w:tcW w:w="2070" w:type="dxa"/>
            <w:gridSpan w:val="2"/>
            <w:tcBorders>
              <w:top w:val="single" w:sz="4" w:space="0" w:color="000000"/>
            </w:tcBorders>
          </w:tcPr>
          <w:p>
            <w:pPr>
              <w:pStyle w:val="TableParagraph"/>
              <w:tabs>
                <w:tab w:pos="424" w:val="left" w:leader="none"/>
                <w:tab w:pos="1980" w:val="left" w:leader="none"/>
              </w:tabs>
              <w:spacing w:line="180" w:lineRule="exact" w:before="110"/>
              <w:ind w:left="54"/>
              <w:jc w:val="left"/>
              <w:rPr>
                <w:sz w:val="16"/>
              </w:rPr>
            </w:pPr>
            <w:r>
              <w:rPr>
                <w:sz w:val="16"/>
                <w:u w:val="single"/>
              </w:rPr>
              <w:tab/>
              <w:t>Resource</w:t>
            </w:r>
            <w:r>
              <w:rPr>
                <w:spacing w:val="-2"/>
                <w:sz w:val="16"/>
                <w:u w:val="single"/>
              </w:rPr>
              <w:t> Changes</w:t>
            </w:r>
            <w:r>
              <w:rPr>
                <w:sz w:val="16"/>
                <w:u w:val="single"/>
              </w:rPr>
              <w:tab/>
            </w:r>
          </w:p>
        </w:tc>
        <w:tc>
          <w:tcPr>
            <w:tcW w:w="1096" w:type="dxa"/>
            <w:tcBorders>
              <w:top w:val="single" w:sz="4" w:space="0" w:color="000000"/>
            </w:tcBorders>
          </w:tcPr>
          <w:p>
            <w:pPr>
              <w:pStyle w:val="TableParagraph"/>
              <w:jc w:val="left"/>
              <w:rPr>
                <w:sz w:val="14"/>
              </w:rPr>
            </w:pPr>
          </w:p>
        </w:tc>
      </w:tr>
      <w:tr>
        <w:trPr>
          <w:trHeight w:val="359" w:hRule="atLeast"/>
        </w:trPr>
        <w:tc>
          <w:tcPr>
            <w:tcW w:w="2461" w:type="dxa"/>
            <w:tcBorders>
              <w:bottom w:val="single" w:sz="12" w:space="0" w:color="000000"/>
            </w:tcBorders>
          </w:tcPr>
          <w:p>
            <w:pPr>
              <w:pStyle w:val="TableParagraph"/>
              <w:spacing w:line="165" w:lineRule="exact"/>
              <w:ind w:left="117"/>
              <w:jc w:val="left"/>
              <w:rPr>
                <w:b/>
                <w:sz w:val="16"/>
              </w:rPr>
            </w:pPr>
            <w:r>
              <w:rPr>
                <w:b/>
                <w:sz w:val="16"/>
              </w:rPr>
              <w:t>Programme</w:t>
            </w:r>
            <w:r>
              <w:rPr>
                <w:b/>
                <w:spacing w:val="-4"/>
                <w:sz w:val="16"/>
              </w:rPr>
              <w:t> </w:t>
            </w:r>
            <w:r>
              <w:rPr>
                <w:b/>
                <w:spacing w:val="-5"/>
                <w:sz w:val="16"/>
              </w:rPr>
              <w:t>B2</w:t>
            </w:r>
          </w:p>
          <w:p>
            <w:pPr>
              <w:pStyle w:val="TableParagraph"/>
              <w:spacing w:line="172" w:lineRule="exact" w:before="3"/>
              <w:ind w:left="117"/>
              <w:jc w:val="left"/>
              <w:rPr>
                <w:b/>
                <w:sz w:val="16"/>
              </w:rPr>
            </w:pPr>
            <w:r>
              <w:rPr>
                <w:b/>
                <w:spacing w:val="-2"/>
                <w:sz w:val="16"/>
              </w:rPr>
              <w:t>Deputy</w:t>
            </w:r>
            <w:r>
              <w:rPr>
                <w:b/>
                <w:spacing w:val="-1"/>
                <w:sz w:val="16"/>
              </w:rPr>
              <w:t> </w:t>
            </w:r>
            <w:r>
              <w:rPr>
                <w:b/>
                <w:spacing w:val="-2"/>
                <w:sz w:val="16"/>
              </w:rPr>
              <w:t>Prosecutor</w:t>
            </w:r>
          </w:p>
        </w:tc>
        <w:tc>
          <w:tcPr>
            <w:tcW w:w="1066" w:type="dxa"/>
            <w:tcBorders>
              <w:bottom w:val="single" w:sz="12" w:space="0" w:color="000000"/>
            </w:tcBorders>
          </w:tcPr>
          <w:p>
            <w:pPr>
              <w:pStyle w:val="TableParagraph"/>
              <w:spacing w:before="7"/>
              <w:jc w:val="left"/>
              <w:rPr>
                <w:b/>
                <w:sz w:val="14"/>
              </w:rPr>
            </w:pPr>
          </w:p>
          <w:p>
            <w:pPr>
              <w:pStyle w:val="TableParagraph"/>
              <w:spacing w:line="172" w:lineRule="exact"/>
              <w:ind w:left="331"/>
              <w:jc w:val="left"/>
              <w:rPr>
                <w:sz w:val="16"/>
              </w:rPr>
            </w:pPr>
            <w:r>
              <w:rPr>
                <w:spacing w:val="-2"/>
                <w:sz w:val="16"/>
              </w:rPr>
              <w:t>Total</w:t>
            </w:r>
          </w:p>
        </w:tc>
        <w:tc>
          <w:tcPr>
            <w:tcW w:w="804" w:type="dxa"/>
            <w:tcBorders>
              <w:bottom w:val="single" w:sz="12" w:space="0" w:color="000000"/>
            </w:tcBorders>
          </w:tcPr>
          <w:p>
            <w:pPr>
              <w:pStyle w:val="TableParagraph"/>
              <w:spacing w:line="165" w:lineRule="exact"/>
              <w:ind w:left="172"/>
              <w:jc w:val="left"/>
              <w:rPr>
                <w:sz w:val="16"/>
              </w:rPr>
            </w:pPr>
            <w:r>
              <w:rPr>
                <w:spacing w:val="-2"/>
                <w:sz w:val="16"/>
              </w:rPr>
              <w:t>Cont.</w:t>
            </w:r>
          </w:p>
          <w:p>
            <w:pPr>
              <w:pStyle w:val="TableParagraph"/>
              <w:spacing w:line="172" w:lineRule="exact" w:before="3"/>
              <w:ind w:left="182"/>
              <w:jc w:val="left"/>
              <w:rPr>
                <w:sz w:val="16"/>
              </w:rPr>
            </w:pPr>
            <w:r>
              <w:rPr>
                <w:spacing w:val="-4"/>
                <w:sz w:val="16"/>
              </w:rPr>
              <w:t>Fund</w:t>
            </w:r>
          </w:p>
        </w:tc>
        <w:tc>
          <w:tcPr>
            <w:tcW w:w="1010" w:type="dxa"/>
            <w:tcBorders>
              <w:bottom w:val="single" w:sz="12" w:space="0" w:color="000000"/>
            </w:tcBorders>
          </w:tcPr>
          <w:p>
            <w:pPr>
              <w:pStyle w:val="TableParagraph"/>
              <w:spacing w:line="165" w:lineRule="exact"/>
              <w:ind w:left="139" w:right="180"/>
              <w:jc w:val="center"/>
              <w:rPr>
                <w:sz w:val="16"/>
              </w:rPr>
            </w:pPr>
            <w:r>
              <w:rPr>
                <w:sz w:val="16"/>
              </w:rPr>
              <w:t>Total</w:t>
            </w:r>
            <w:r>
              <w:rPr>
                <w:spacing w:val="-6"/>
                <w:sz w:val="16"/>
              </w:rPr>
              <w:t> </w:t>
            </w:r>
            <w:r>
              <w:rPr>
                <w:spacing w:val="-2"/>
                <w:sz w:val="16"/>
              </w:rPr>
              <w:t>Incl.</w:t>
            </w:r>
          </w:p>
          <w:p>
            <w:pPr>
              <w:pStyle w:val="TableParagraph"/>
              <w:spacing w:line="172" w:lineRule="exact" w:before="3"/>
              <w:ind w:left="130" w:right="180"/>
              <w:jc w:val="center"/>
              <w:rPr>
                <w:sz w:val="16"/>
              </w:rPr>
            </w:pPr>
            <w:r>
              <w:rPr>
                <w:spacing w:val="-5"/>
                <w:sz w:val="16"/>
              </w:rPr>
              <w:t>CF</w:t>
            </w:r>
          </w:p>
        </w:tc>
        <w:tc>
          <w:tcPr>
            <w:tcW w:w="1137" w:type="dxa"/>
            <w:vMerge/>
            <w:tcBorders>
              <w:top w:val="nil"/>
              <w:bottom w:val="single" w:sz="12" w:space="0" w:color="000000"/>
            </w:tcBorders>
          </w:tcPr>
          <w:p>
            <w:pPr>
              <w:rPr>
                <w:sz w:val="2"/>
                <w:szCs w:val="2"/>
              </w:rPr>
            </w:pPr>
          </w:p>
        </w:tc>
        <w:tc>
          <w:tcPr>
            <w:tcW w:w="1257" w:type="dxa"/>
            <w:tcBorders>
              <w:bottom w:val="single" w:sz="12" w:space="0" w:color="000000"/>
            </w:tcBorders>
          </w:tcPr>
          <w:p>
            <w:pPr>
              <w:pStyle w:val="TableParagraph"/>
              <w:spacing w:before="7"/>
              <w:jc w:val="left"/>
              <w:rPr>
                <w:b/>
                <w:sz w:val="14"/>
              </w:rPr>
            </w:pPr>
          </w:p>
          <w:p>
            <w:pPr>
              <w:pStyle w:val="TableParagraph"/>
              <w:spacing w:line="172" w:lineRule="exact"/>
              <w:ind w:right="215"/>
              <w:rPr>
                <w:sz w:val="16"/>
              </w:rPr>
            </w:pPr>
            <w:r>
              <w:rPr>
                <w:spacing w:val="-2"/>
                <w:sz w:val="16"/>
              </w:rPr>
              <w:t>Amount</w:t>
            </w:r>
          </w:p>
        </w:tc>
        <w:tc>
          <w:tcPr>
            <w:tcW w:w="813" w:type="dxa"/>
            <w:tcBorders>
              <w:bottom w:val="single" w:sz="12" w:space="0" w:color="000000"/>
            </w:tcBorders>
          </w:tcPr>
          <w:p>
            <w:pPr>
              <w:pStyle w:val="TableParagraph"/>
              <w:spacing w:before="7"/>
              <w:jc w:val="left"/>
              <w:rPr>
                <w:b/>
                <w:sz w:val="14"/>
              </w:rPr>
            </w:pPr>
          </w:p>
          <w:p>
            <w:pPr>
              <w:pStyle w:val="TableParagraph"/>
              <w:spacing w:line="172" w:lineRule="exact"/>
              <w:ind w:right="195"/>
              <w:rPr>
                <w:sz w:val="16"/>
              </w:rPr>
            </w:pPr>
            <w:r>
              <w:rPr>
                <w:w w:val="98"/>
                <w:sz w:val="16"/>
              </w:rPr>
              <w:t>%</w:t>
            </w:r>
          </w:p>
        </w:tc>
        <w:tc>
          <w:tcPr>
            <w:tcW w:w="1096" w:type="dxa"/>
            <w:tcBorders>
              <w:bottom w:val="single" w:sz="12" w:space="0" w:color="000000"/>
            </w:tcBorders>
          </w:tcPr>
          <w:p>
            <w:pPr>
              <w:pStyle w:val="TableParagraph"/>
              <w:spacing w:line="165" w:lineRule="exact"/>
              <w:ind w:left="75" w:right="156"/>
              <w:jc w:val="center"/>
              <w:rPr>
                <w:sz w:val="16"/>
              </w:rPr>
            </w:pPr>
            <w:r>
              <w:rPr>
                <w:spacing w:val="-2"/>
                <w:sz w:val="16"/>
              </w:rPr>
              <w:t>Proposed</w:t>
            </w:r>
          </w:p>
          <w:p>
            <w:pPr>
              <w:pStyle w:val="TableParagraph"/>
              <w:spacing w:line="172" w:lineRule="exact" w:before="3"/>
              <w:ind w:left="83" w:right="156"/>
              <w:jc w:val="center"/>
              <w:rPr>
                <w:sz w:val="16"/>
              </w:rPr>
            </w:pPr>
            <w:r>
              <w:rPr>
                <w:sz w:val="16"/>
              </w:rPr>
              <w:t>2023</w:t>
            </w:r>
            <w:r>
              <w:rPr>
                <w:spacing w:val="2"/>
                <w:sz w:val="16"/>
              </w:rPr>
              <w:t> </w:t>
            </w:r>
            <w:r>
              <w:rPr>
                <w:spacing w:val="-2"/>
                <w:sz w:val="16"/>
              </w:rPr>
              <w:t>Budget</w:t>
            </w:r>
          </w:p>
        </w:tc>
      </w:tr>
      <w:tr>
        <w:trPr>
          <w:trHeight w:val="231" w:hRule="atLeast"/>
        </w:trPr>
        <w:tc>
          <w:tcPr>
            <w:tcW w:w="2461" w:type="dxa"/>
            <w:tcBorders>
              <w:top w:val="single" w:sz="12" w:space="0" w:color="000000"/>
            </w:tcBorders>
          </w:tcPr>
          <w:p>
            <w:pPr>
              <w:pStyle w:val="TableParagraph"/>
              <w:spacing w:before="13"/>
              <w:ind w:left="117"/>
              <w:jc w:val="left"/>
              <w:rPr>
                <w:sz w:val="16"/>
              </w:rPr>
            </w:pPr>
            <w:r>
              <w:rPr>
                <w:w w:val="95"/>
                <w:sz w:val="16"/>
              </w:rPr>
              <w:t>Professional</w:t>
            </w:r>
            <w:r>
              <w:rPr>
                <w:spacing w:val="28"/>
                <w:sz w:val="16"/>
              </w:rPr>
              <w:t> </w:t>
            </w:r>
            <w:r>
              <w:rPr>
                <w:spacing w:val="-2"/>
                <w:sz w:val="16"/>
              </w:rPr>
              <w:t>staff</w:t>
            </w:r>
          </w:p>
        </w:tc>
        <w:tc>
          <w:tcPr>
            <w:tcW w:w="1066" w:type="dxa"/>
            <w:tcBorders>
              <w:top w:val="single" w:sz="12" w:space="0" w:color="000000"/>
            </w:tcBorders>
            <w:shd w:val="clear" w:color="auto" w:fill="D9D9D9"/>
          </w:tcPr>
          <w:p>
            <w:pPr>
              <w:pStyle w:val="TableParagraph"/>
              <w:jc w:val="left"/>
              <w:rPr>
                <w:sz w:val="14"/>
              </w:rPr>
            </w:pPr>
          </w:p>
        </w:tc>
        <w:tc>
          <w:tcPr>
            <w:tcW w:w="804" w:type="dxa"/>
            <w:tcBorders>
              <w:top w:val="single" w:sz="12" w:space="0" w:color="000000"/>
            </w:tcBorders>
            <w:shd w:val="clear" w:color="auto" w:fill="D9D9D9"/>
          </w:tcPr>
          <w:p>
            <w:pPr>
              <w:pStyle w:val="TableParagraph"/>
              <w:jc w:val="left"/>
              <w:rPr>
                <w:sz w:val="14"/>
              </w:rPr>
            </w:pPr>
          </w:p>
        </w:tc>
        <w:tc>
          <w:tcPr>
            <w:tcW w:w="1010" w:type="dxa"/>
            <w:tcBorders>
              <w:top w:val="single" w:sz="12" w:space="0" w:color="000000"/>
            </w:tcBorders>
            <w:shd w:val="clear" w:color="auto" w:fill="D9D9D9"/>
          </w:tcPr>
          <w:p>
            <w:pPr>
              <w:pStyle w:val="TableParagraph"/>
              <w:jc w:val="left"/>
              <w:rPr>
                <w:sz w:val="14"/>
              </w:rPr>
            </w:pPr>
          </w:p>
        </w:tc>
        <w:tc>
          <w:tcPr>
            <w:tcW w:w="1137" w:type="dxa"/>
            <w:tcBorders>
              <w:top w:val="single" w:sz="12" w:space="0" w:color="000000"/>
            </w:tcBorders>
          </w:tcPr>
          <w:p>
            <w:pPr>
              <w:pStyle w:val="TableParagraph"/>
              <w:spacing w:before="13"/>
              <w:ind w:right="52"/>
              <w:rPr>
                <w:sz w:val="16"/>
              </w:rPr>
            </w:pPr>
            <w:r>
              <w:rPr>
                <w:spacing w:val="-2"/>
                <w:sz w:val="16"/>
              </w:rPr>
              <w:t>9,902.8</w:t>
            </w:r>
          </w:p>
        </w:tc>
        <w:tc>
          <w:tcPr>
            <w:tcW w:w="1257" w:type="dxa"/>
            <w:tcBorders>
              <w:top w:val="single" w:sz="12" w:space="0" w:color="000000"/>
            </w:tcBorders>
          </w:tcPr>
          <w:p>
            <w:pPr>
              <w:pStyle w:val="TableParagraph"/>
              <w:spacing w:before="13"/>
              <w:ind w:right="226"/>
              <w:rPr>
                <w:sz w:val="16"/>
              </w:rPr>
            </w:pPr>
            <w:r>
              <w:rPr>
                <w:spacing w:val="-2"/>
                <w:sz w:val="16"/>
              </w:rPr>
              <w:t>(954.7)</w:t>
            </w:r>
          </w:p>
        </w:tc>
        <w:tc>
          <w:tcPr>
            <w:tcW w:w="813" w:type="dxa"/>
            <w:tcBorders>
              <w:top w:val="single" w:sz="12" w:space="0" w:color="000000"/>
            </w:tcBorders>
          </w:tcPr>
          <w:p>
            <w:pPr>
              <w:pStyle w:val="TableParagraph"/>
              <w:spacing w:before="13"/>
              <w:ind w:right="198"/>
              <w:rPr>
                <w:sz w:val="16"/>
              </w:rPr>
            </w:pPr>
            <w:r>
              <w:rPr>
                <w:spacing w:val="-2"/>
                <w:sz w:val="16"/>
              </w:rPr>
              <w:t>(9.6)</w:t>
            </w:r>
          </w:p>
        </w:tc>
        <w:tc>
          <w:tcPr>
            <w:tcW w:w="1096" w:type="dxa"/>
            <w:tcBorders>
              <w:top w:val="single" w:sz="12" w:space="0" w:color="000000"/>
            </w:tcBorders>
          </w:tcPr>
          <w:p>
            <w:pPr>
              <w:pStyle w:val="TableParagraph"/>
              <w:spacing w:before="13"/>
              <w:ind w:right="101"/>
              <w:rPr>
                <w:sz w:val="16"/>
              </w:rPr>
            </w:pPr>
            <w:r>
              <w:rPr>
                <w:spacing w:val="-2"/>
                <w:sz w:val="16"/>
              </w:rPr>
              <w:t>8,948.1</w:t>
            </w:r>
          </w:p>
        </w:tc>
      </w:tr>
      <w:tr>
        <w:trPr>
          <w:trHeight w:val="223" w:hRule="atLeast"/>
        </w:trPr>
        <w:tc>
          <w:tcPr>
            <w:tcW w:w="2461" w:type="dxa"/>
            <w:tcBorders>
              <w:bottom w:val="single" w:sz="4" w:space="0" w:color="000000"/>
            </w:tcBorders>
          </w:tcPr>
          <w:p>
            <w:pPr>
              <w:pStyle w:val="TableParagraph"/>
              <w:spacing w:before="8"/>
              <w:ind w:left="117"/>
              <w:jc w:val="left"/>
              <w:rPr>
                <w:sz w:val="16"/>
              </w:rPr>
            </w:pPr>
            <w:r>
              <w:rPr>
                <w:sz w:val="16"/>
              </w:rPr>
              <w:t>General</w:t>
            </w:r>
            <w:r>
              <w:rPr>
                <w:spacing w:val="-6"/>
                <w:sz w:val="16"/>
              </w:rPr>
              <w:t> </w:t>
            </w:r>
            <w:r>
              <w:rPr>
                <w:sz w:val="16"/>
              </w:rPr>
              <w:t>Service</w:t>
            </w:r>
            <w:r>
              <w:rPr>
                <w:spacing w:val="-4"/>
                <w:sz w:val="16"/>
              </w:rPr>
              <w:t> staff</w:t>
            </w:r>
          </w:p>
        </w:tc>
        <w:tc>
          <w:tcPr>
            <w:tcW w:w="1066" w:type="dxa"/>
            <w:tcBorders>
              <w:bottom w:val="single" w:sz="4" w:space="0" w:color="000000"/>
            </w:tcBorders>
            <w:shd w:val="clear" w:color="auto" w:fill="D9D9D9"/>
          </w:tcPr>
          <w:p>
            <w:pPr>
              <w:pStyle w:val="TableParagraph"/>
              <w:jc w:val="left"/>
              <w:rPr>
                <w:sz w:val="14"/>
              </w:rPr>
            </w:pPr>
          </w:p>
        </w:tc>
        <w:tc>
          <w:tcPr>
            <w:tcW w:w="804" w:type="dxa"/>
            <w:tcBorders>
              <w:bottom w:val="single" w:sz="4" w:space="0" w:color="000000"/>
            </w:tcBorders>
            <w:shd w:val="clear" w:color="auto" w:fill="D9D9D9"/>
          </w:tcPr>
          <w:p>
            <w:pPr>
              <w:pStyle w:val="TableParagraph"/>
              <w:jc w:val="left"/>
              <w:rPr>
                <w:sz w:val="14"/>
              </w:rPr>
            </w:pPr>
          </w:p>
        </w:tc>
        <w:tc>
          <w:tcPr>
            <w:tcW w:w="1010" w:type="dxa"/>
            <w:tcBorders>
              <w:bottom w:val="single" w:sz="4" w:space="0" w:color="000000"/>
            </w:tcBorders>
            <w:shd w:val="clear" w:color="auto" w:fill="D9D9D9"/>
          </w:tcPr>
          <w:p>
            <w:pPr>
              <w:pStyle w:val="TableParagraph"/>
              <w:jc w:val="left"/>
              <w:rPr>
                <w:sz w:val="14"/>
              </w:rPr>
            </w:pPr>
          </w:p>
        </w:tc>
        <w:tc>
          <w:tcPr>
            <w:tcW w:w="1137" w:type="dxa"/>
            <w:tcBorders>
              <w:bottom w:val="single" w:sz="4" w:space="0" w:color="000000"/>
            </w:tcBorders>
          </w:tcPr>
          <w:p>
            <w:pPr>
              <w:pStyle w:val="TableParagraph"/>
              <w:spacing w:before="8"/>
              <w:ind w:right="51"/>
              <w:rPr>
                <w:sz w:val="16"/>
              </w:rPr>
            </w:pPr>
            <w:r>
              <w:rPr>
                <w:spacing w:val="-2"/>
                <w:sz w:val="16"/>
              </w:rPr>
              <w:t>284.0</w:t>
            </w:r>
          </w:p>
        </w:tc>
        <w:tc>
          <w:tcPr>
            <w:tcW w:w="1257" w:type="dxa"/>
            <w:tcBorders>
              <w:bottom w:val="single" w:sz="4" w:space="0" w:color="000000"/>
            </w:tcBorders>
          </w:tcPr>
          <w:p>
            <w:pPr>
              <w:pStyle w:val="TableParagraph"/>
              <w:spacing w:before="8"/>
              <w:ind w:right="227"/>
              <w:rPr>
                <w:sz w:val="16"/>
              </w:rPr>
            </w:pPr>
            <w:r>
              <w:rPr>
                <w:spacing w:val="-2"/>
                <w:sz w:val="16"/>
              </w:rPr>
              <w:t>(66.5)</w:t>
            </w:r>
          </w:p>
        </w:tc>
        <w:tc>
          <w:tcPr>
            <w:tcW w:w="813" w:type="dxa"/>
            <w:tcBorders>
              <w:bottom w:val="single" w:sz="4" w:space="0" w:color="000000"/>
            </w:tcBorders>
          </w:tcPr>
          <w:p>
            <w:pPr>
              <w:pStyle w:val="TableParagraph"/>
              <w:spacing w:before="8"/>
              <w:ind w:right="198"/>
              <w:rPr>
                <w:sz w:val="16"/>
              </w:rPr>
            </w:pPr>
            <w:r>
              <w:rPr>
                <w:spacing w:val="-2"/>
                <w:sz w:val="16"/>
              </w:rPr>
              <w:t>(23.4)</w:t>
            </w:r>
          </w:p>
        </w:tc>
        <w:tc>
          <w:tcPr>
            <w:tcW w:w="1096" w:type="dxa"/>
            <w:tcBorders>
              <w:bottom w:val="single" w:sz="4" w:space="0" w:color="000000"/>
            </w:tcBorders>
          </w:tcPr>
          <w:p>
            <w:pPr>
              <w:pStyle w:val="TableParagraph"/>
              <w:spacing w:before="8"/>
              <w:ind w:right="101"/>
              <w:rPr>
                <w:sz w:val="16"/>
              </w:rPr>
            </w:pPr>
            <w:r>
              <w:rPr>
                <w:spacing w:val="-2"/>
                <w:sz w:val="16"/>
              </w:rPr>
              <w:t>217.5</w:t>
            </w:r>
          </w:p>
        </w:tc>
      </w:tr>
      <w:tr>
        <w:trPr>
          <w:trHeight w:val="225" w:hRule="atLeast"/>
        </w:trPr>
        <w:tc>
          <w:tcPr>
            <w:tcW w:w="2461" w:type="dxa"/>
            <w:tcBorders>
              <w:top w:val="single" w:sz="4" w:space="0" w:color="000000"/>
              <w:bottom w:val="single" w:sz="4" w:space="0" w:color="000000"/>
            </w:tcBorders>
          </w:tcPr>
          <w:p>
            <w:pPr>
              <w:pStyle w:val="TableParagraph"/>
              <w:spacing w:before="9"/>
              <w:ind w:right="104"/>
              <w:rPr>
                <w:i/>
                <w:sz w:val="16"/>
              </w:rPr>
            </w:pPr>
            <w:r>
              <w:rPr>
                <w:i/>
                <w:sz w:val="16"/>
              </w:rPr>
              <w:t>Subtotal</w:t>
            </w:r>
            <w:r>
              <w:rPr>
                <w:i/>
                <w:spacing w:val="-1"/>
                <w:sz w:val="16"/>
              </w:rPr>
              <w:t> </w:t>
            </w:r>
            <w:r>
              <w:rPr>
                <w:i/>
                <w:spacing w:val="-2"/>
                <w:sz w:val="16"/>
              </w:rPr>
              <w:t>staff</w:t>
            </w:r>
          </w:p>
        </w:tc>
        <w:tc>
          <w:tcPr>
            <w:tcW w:w="1066" w:type="dxa"/>
            <w:tcBorders>
              <w:top w:val="single" w:sz="4" w:space="0" w:color="000000"/>
              <w:bottom w:val="single" w:sz="4" w:space="0" w:color="000000"/>
            </w:tcBorders>
          </w:tcPr>
          <w:p>
            <w:pPr>
              <w:pStyle w:val="TableParagraph"/>
              <w:spacing w:before="9"/>
              <w:ind w:right="170"/>
              <w:rPr>
                <w:i/>
                <w:sz w:val="16"/>
              </w:rPr>
            </w:pPr>
            <w:r>
              <w:rPr>
                <w:i/>
                <w:w w:val="98"/>
                <w:sz w:val="16"/>
              </w:rPr>
              <w:t>-</w:t>
            </w:r>
          </w:p>
        </w:tc>
        <w:tc>
          <w:tcPr>
            <w:tcW w:w="804" w:type="dxa"/>
            <w:tcBorders>
              <w:top w:val="single" w:sz="4" w:space="0" w:color="000000"/>
              <w:bottom w:val="single" w:sz="4" w:space="0" w:color="000000"/>
            </w:tcBorders>
          </w:tcPr>
          <w:p>
            <w:pPr>
              <w:pStyle w:val="TableParagraph"/>
              <w:spacing w:before="9"/>
              <w:ind w:right="149"/>
              <w:rPr>
                <w:i/>
                <w:sz w:val="16"/>
              </w:rPr>
            </w:pPr>
            <w:r>
              <w:rPr>
                <w:i/>
                <w:w w:val="98"/>
                <w:sz w:val="16"/>
              </w:rPr>
              <w:t>-</w:t>
            </w:r>
          </w:p>
        </w:tc>
        <w:tc>
          <w:tcPr>
            <w:tcW w:w="1010" w:type="dxa"/>
            <w:tcBorders>
              <w:top w:val="single" w:sz="4" w:space="0" w:color="000000"/>
              <w:bottom w:val="single" w:sz="4" w:space="0" w:color="000000"/>
            </w:tcBorders>
          </w:tcPr>
          <w:p>
            <w:pPr>
              <w:pStyle w:val="TableParagraph"/>
              <w:spacing w:before="9"/>
              <w:ind w:right="107"/>
              <w:rPr>
                <w:i/>
                <w:sz w:val="16"/>
              </w:rPr>
            </w:pPr>
            <w:r>
              <w:rPr>
                <w:i/>
                <w:w w:val="98"/>
                <w:sz w:val="16"/>
              </w:rPr>
              <w:t>-</w:t>
            </w:r>
          </w:p>
        </w:tc>
        <w:tc>
          <w:tcPr>
            <w:tcW w:w="1137" w:type="dxa"/>
            <w:tcBorders>
              <w:top w:val="single" w:sz="4" w:space="0" w:color="000000"/>
              <w:bottom w:val="single" w:sz="4" w:space="0" w:color="000000"/>
            </w:tcBorders>
          </w:tcPr>
          <w:p>
            <w:pPr>
              <w:pStyle w:val="TableParagraph"/>
              <w:spacing w:before="9"/>
              <w:ind w:right="52"/>
              <w:rPr>
                <w:i/>
                <w:sz w:val="16"/>
              </w:rPr>
            </w:pPr>
            <w:r>
              <w:rPr>
                <w:i/>
                <w:spacing w:val="-2"/>
                <w:sz w:val="16"/>
              </w:rPr>
              <w:t>10,186.8</w:t>
            </w:r>
          </w:p>
        </w:tc>
        <w:tc>
          <w:tcPr>
            <w:tcW w:w="1257" w:type="dxa"/>
            <w:tcBorders>
              <w:top w:val="single" w:sz="4" w:space="0" w:color="000000"/>
              <w:bottom w:val="single" w:sz="4" w:space="0" w:color="000000"/>
            </w:tcBorders>
          </w:tcPr>
          <w:p>
            <w:pPr>
              <w:pStyle w:val="TableParagraph"/>
              <w:spacing w:before="9"/>
              <w:ind w:right="221"/>
              <w:rPr>
                <w:i/>
                <w:sz w:val="16"/>
              </w:rPr>
            </w:pPr>
            <w:r>
              <w:rPr>
                <w:i/>
                <w:spacing w:val="-2"/>
                <w:sz w:val="16"/>
              </w:rPr>
              <w:t>(1,021.2)</w:t>
            </w:r>
          </w:p>
        </w:tc>
        <w:tc>
          <w:tcPr>
            <w:tcW w:w="813" w:type="dxa"/>
            <w:tcBorders>
              <w:top w:val="single" w:sz="4" w:space="0" w:color="000000"/>
              <w:bottom w:val="single" w:sz="4" w:space="0" w:color="000000"/>
            </w:tcBorders>
          </w:tcPr>
          <w:p>
            <w:pPr>
              <w:pStyle w:val="TableParagraph"/>
              <w:spacing w:before="9"/>
              <w:ind w:right="198"/>
              <w:rPr>
                <w:i/>
                <w:sz w:val="16"/>
              </w:rPr>
            </w:pPr>
            <w:r>
              <w:rPr>
                <w:i/>
                <w:spacing w:val="-2"/>
                <w:sz w:val="16"/>
              </w:rPr>
              <w:t>(10.0)</w:t>
            </w:r>
          </w:p>
        </w:tc>
        <w:tc>
          <w:tcPr>
            <w:tcW w:w="1096" w:type="dxa"/>
            <w:tcBorders>
              <w:top w:val="single" w:sz="4" w:space="0" w:color="000000"/>
              <w:bottom w:val="single" w:sz="4" w:space="0" w:color="000000"/>
            </w:tcBorders>
          </w:tcPr>
          <w:p>
            <w:pPr>
              <w:pStyle w:val="TableParagraph"/>
              <w:spacing w:before="9"/>
              <w:ind w:right="101"/>
              <w:rPr>
                <w:i/>
                <w:sz w:val="16"/>
              </w:rPr>
            </w:pPr>
            <w:r>
              <w:rPr>
                <w:i/>
                <w:spacing w:val="-2"/>
                <w:sz w:val="16"/>
              </w:rPr>
              <w:t>9,165.6</w:t>
            </w:r>
          </w:p>
        </w:tc>
      </w:tr>
      <w:tr>
        <w:trPr>
          <w:trHeight w:val="231" w:hRule="atLeast"/>
        </w:trPr>
        <w:tc>
          <w:tcPr>
            <w:tcW w:w="2461" w:type="dxa"/>
            <w:tcBorders>
              <w:top w:val="single" w:sz="4" w:space="0" w:color="000000"/>
            </w:tcBorders>
          </w:tcPr>
          <w:p>
            <w:pPr>
              <w:pStyle w:val="TableParagraph"/>
              <w:spacing w:before="14"/>
              <w:ind w:left="117"/>
              <w:jc w:val="left"/>
              <w:rPr>
                <w:sz w:val="16"/>
              </w:rPr>
            </w:pPr>
            <w:r>
              <w:rPr>
                <w:sz w:val="16"/>
              </w:rPr>
              <w:t>General</w:t>
            </w:r>
            <w:r>
              <w:rPr>
                <w:spacing w:val="-4"/>
                <w:sz w:val="16"/>
              </w:rPr>
              <w:t> </w:t>
            </w:r>
            <w:r>
              <w:rPr>
                <w:sz w:val="16"/>
              </w:rPr>
              <w:t>temporary</w:t>
            </w:r>
            <w:r>
              <w:rPr>
                <w:spacing w:val="-1"/>
                <w:sz w:val="16"/>
              </w:rPr>
              <w:t> </w:t>
            </w:r>
            <w:r>
              <w:rPr>
                <w:spacing w:val="-2"/>
                <w:sz w:val="16"/>
              </w:rPr>
              <w:t>assistance</w:t>
            </w:r>
          </w:p>
        </w:tc>
        <w:tc>
          <w:tcPr>
            <w:tcW w:w="1066" w:type="dxa"/>
            <w:tcBorders>
              <w:top w:val="single" w:sz="4" w:space="0" w:color="000000"/>
            </w:tcBorders>
          </w:tcPr>
          <w:p>
            <w:pPr>
              <w:pStyle w:val="TableParagraph"/>
              <w:spacing w:before="14"/>
              <w:ind w:right="170"/>
              <w:rPr>
                <w:sz w:val="16"/>
              </w:rPr>
            </w:pPr>
            <w:r>
              <w:rPr>
                <w:w w:val="98"/>
                <w:sz w:val="16"/>
              </w:rPr>
              <w:t>-</w:t>
            </w:r>
          </w:p>
        </w:tc>
        <w:tc>
          <w:tcPr>
            <w:tcW w:w="804" w:type="dxa"/>
            <w:tcBorders>
              <w:top w:val="single" w:sz="4" w:space="0" w:color="000000"/>
            </w:tcBorders>
          </w:tcPr>
          <w:p>
            <w:pPr>
              <w:pStyle w:val="TableParagraph"/>
              <w:spacing w:before="14"/>
              <w:ind w:right="149"/>
              <w:rPr>
                <w:sz w:val="16"/>
              </w:rPr>
            </w:pPr>
            <w:r>
              <w:rPr>
                <w:w w:val="98"/>
                <w:sz w:val="16"/>
              </w:rPr>
              <w:t>-</w:t>
            </w:r>
          </w:p>
        </w:tc>
        <w:tc>
          <w:tcPr>
            <w:tcW w:w="1010" w:type="dxa"/>
            <w:tcBorders>
              <w:top w:val="single" w:sz="4" w:space="0" w:color="000000"/>
            </w:tcBorders>
          </w:tcPr>
          <w:p>
            <w:pPr>
              <w:pStyle w:val="TableParagraph"/>
              <w:spacing w:before="14"/>
              <w:ind w:right="107"/>
              <w:rPr>
                <w:sz w:val="16"/>
              </w:rPr>
            </w:pPr>
            <w:r>
              <w:rPr>
                <w:w w:val="98"/>
                <w:sz w:val="16"/>
              </w:rPr>
              <w:t>-</w:t>
            </w:r>
          </w:p>
        </w:tc>
        <w:tc>
          <w:tcPr>
            <w:tcW w:w="1137" w:type="dxa"/>
            <w:tcBorders>
              <w:top w:val="single" w:sz="4" w:space="0" w:color="000000"/>
            </w:tcBorders>
          </w:tcPr>
          <w:p>
            <w:pPr>
              <w:pStyle w:val="TableParagraph"/>
              <w:spacing w:before="14"/>
              <w:ind w:right="52"/>
              <w:rPr>
                <w:sz w:val="16"/>
              </w:rPr>
            </w:pPr>
            <w:r>
              <w:rPr>
                <w:spacing w:val="-2"/>
                <w:sz w:val="16"/>
              </w:rPr>
              <w:t>3,142.3</w:t>
            </w:r>
          </w:p>
        </w:tc>
        <w:tc>
          <w:tcPr>
            <w:tcW w:w="1257" w:type="dxa"/>
            <w:tcBorders>
              <w:top w:val="single" w:sz="4" w:space="0" w:color="000000"/>
            </w:tcBorders>
          </w:tcPr>
          <w:p>
            <w:pPr>
              <w:pStyle w:val="TableParagraph"/>
              <w:spacing w:before="14"/>
              <w:ind w:right="227"/>
              <w:rPr>
                <w:sz w:val="16"/>
              </w:rPr>
            </w:pPr>
            <w:r>
              <w:rPr>
                <w:spacing w:val="-2"/>
                <w:sz w:val="16"/>
              </w:rPr>
              <w:t>(36.2)</w:t>
            </w:r>
          </w:p>
        </w:tc>
        <w:tc>
          <w:tcPr>
            <w:tcW w:w="813" w:type="dxa"/>
            <w:tcBorders>
              <w:top w:val="single" w:sz="4" w:space="0" w:color="000000"/>
            </w:tcBorders>
          </w:tcPr>
          <w:p>
            <w:pPr>
              <w:pStyle w:val="TableParagraph"/>
              <w:spacing w:before="14"/>
              <w:ind w:right="198"/>
              <w:rPr>
                <w:sz w:val="16"/>
              </w:rPr>
            </w:pPr>
            <w:r>
              <w:rPr>
                <w:spacing w:val="-2"/>
                <w:sz w:val="16"/>
              </w:rPr>
              <w:t>(1.2)</w:t>
            </w:r>
          </w:p>
        </w:tc>
        <w:tc>
          <w:tcPr>
            <w:tcW w:w="1096" w:type="dxa"/>
            <w:tcBorders>
              <w:top w:val="single" w:sz="4" w:space="0" w:color="000000"/>
            </w:tcBorders>
          </w:tcPr>
          <w:p>
            <w:pPr>
              <w:pStyle w:val="TableParagraph"/>
              <w:spacing w:before="14"/>
              <w:ind w:right="101"/>
              <w:rPr>
                <w:sz w:val="16"/>
              </w:rPr>
            </w:pPr>
            <w:r>
              <w:rPr>
                <w:spacing w:val="-2"/>
                <w:sz w:val="16"/>
              </w:rPr>
              <w:t>3,106.1</w:t>
            </w:r>
          </w:p>
        </w:tc>
      </w:tr>
      <w:tr>
        <w:trPr>
          <w:trHeight w:val="225" w:hRule="atLeast"/>
        </w:trPr>
        <w:tc>
          <w:tcPr>
            <w:tcW w:w="2461" w:type="dxa"/>
          </w:tcPr>
          <w:p>
            <w:pPr>
              <w:pStyle w:val="TableParagraph"/>
              <w:spacing w:before="7"/>
              <w:ind w:left="117"/>
              <w:jc w:val="left"/>
              <w:rPr>
                <w:sz w:val="16"/>
              </w:rPr>
            </w:pPr>
            <w:r>
              <w:rPr>
                <w:sz w:val="16"/>
              </w:rPr>
              <w:t>Temporary</w:t>
            </w:r>
            <w:r>
              <w:rPr>
                <w:spacing w:val="-3"/>
                <w:sz w:val="16"/>
              </w:rPr>
              <w:t> </w:t>
            </w:r>
            <w:r>
              <w:rPr>
                <w:sz w:val="16"/>
              </w:rPr>
              <w:t>assistance</w:t>
            </w:r>
            <w:r>
              <w:rPr>
                <w:spacing w:val="-4"/>
                <w:sz w:val="16"/>
              </w:rPr>
              <w:t> </w:t>
            </w:r>
            <w:r>
              <w:rPr>
                <w:sz w:val="16"/>
              </w:rPr>
              <w:t>for</w:t>
            </w:r>
            <w:r>
              <w:rPr>
                <w:spacing w:val="-5"/>
                <w:sz w:val="16"/>
              </w:rPr>
              <w:t> </w:t>
            </w:r>
            <w:r>
              <w:rPr>
                <w:spacing w:val="-2"/>
                <w:sz w:val="16"/>
              </w:rPr>
              <w:t>meetings</w:t>
            </w:r>
          </w:p>
        </w:tc>
        <w:tc>
          <w:tcPr>
            <w:tcW w:w="1066" w:type="dxa"/>
          </w:tcPr>
          <w:p>
            <w:pPr>
              <w:pStyle w:val="TableParagraph"/>
              <w:spacing w:before="7"/>
              <w:ind w:right="170"/>
              <w:rPr>
                <w:sz w:val="16"/>
              </w:rPr>
            </w:pPr>
            <w:r>
              <w:rPr>
                <w:w w:val="98"/>
                <w:sz w:val="16"/>
              </w:rPr>
              <w:t>-</w:t>
            </w:r>
          </w:p>
        </w:tc>
        <w:tc>
          <w:tcPr>
            <w:tcW w:w="804" w:type="dxa"/>
          </w:tcPr>
          <w:p>
            <w:pPr>
              <w:pStyle w:val="TableParagraph"/>
              <w:spacing w:before="7"/>
              <w:ind w:right="149"/>
              <w:rPr>
                <w:sz w:val="16"/>
              </w:rPr>
            </w:pPr>
            <w:r>
              <w:rPr>
                <w:w w:val="98"/>
                <w:sz w:val="16"/>
              </w:rPr>
              <w:t>-</w:t>
            </w:r>
          </w:p>
        </w:tc>
        <w:tc>
          <w:tcPr>
            <w:tcW w:w="1010" w:type="dxa"/>
          </w:tcPr>
          <w:p>
            <w:pPr>
              <w:pStyle w:val="TableParagraph"/>
              <w:spacing w:before="7"/>
              <w:ind w:right="107"/>
              <w:rPr>
                <w:sz w:val="16"/>
              </w:rPr>
            </w:pPr>
            <w:r>
              <w:rPr>
                <w:w w:val="98"/>
                <w:sz w:val="16"/>
              </w:rPr>
              <w:t>-</w:t>
            </w:r>
          </w:p>
        </w:tc>
        <w:tc>
          <w:tcPr>
            <w:tcW w:w="1137" w:type="dxa"/>
          </w:tcPr>
          <w:p>
            <w:pPr>
              <w:pStyle w:val="TableParagraph"/>
              <w:spacing w:before="7"/>
              <w:ind w:right="48"/>
              <w:rPr>
                <w:sz w:val="16"/>
              </w:rPr>
            </w:pPr>
            <w:r>
              <w:rPr>
                <w:w w:val="98"/>
                <w:sz w:val="16"/>
              </w:rPr>
              <w:t>-</w:t>
            </w:r>
          </w:p>
        </w:tc>
        <w:tc>
          <w:tcPr>
            <w:tcW w:w="1257" w:type="dxa"/>
          </w:tcPr>
          <w:p>
            <w:pPr>
              <w:pStyle w:val="TableParagraph"/>
              <w:spacing w:before="7"/>
              <w:ind w:right="225"/>
              <w:rPr>
                <w:sz w:val="16"/>
              </w:rPr>
            </w:pPr>
            <w:r>
              <w:rPr>
                <w:w w:val="98"/>
                <w:sz w:val="16"/>
              </w:rPr>
              <w:t>-</w:t>
            </w:r>
          </w:p>
        </w:tc>
        <w:tc>
          <w:tcPr>
            <w:tcW w:w="813" w:type="dxa"/>
          </w:tcPr>
          <w:p>
            <w:pPr>
              <w:pStyle w:val="TableParagraph"/>
              <w:spacing w:before="7"/>
              <w:ind w:right="193"/>
              <w:rPr>
                <w:sz w:val="16"/>
              </w:rPr>
            </w:pPr>
            <w:r>
              <w:rPr>
                <w:w w:val="98"/>
                <w:sz w:val="16"/>
              </w:rPr>
              <w:t>-</w:t>
            </w:r>
          </w:p>
        </w:tc>
        <w:tc>
          <w:tcPr>
            <w:tcW w:w="1096" w:type="dxa"/>
          </w:tcPr>
          <w:p>
            <w:pPr>
              <w:pStyle w:val="TableParagraph"/>
              <w:spacing w:before="7"/>
              <w:ind w:right="98"/>
              <w:rPr>
                <w:sz w:val="16"/>
              </w:rPr>
            </w:pPr>
            <w:r>
              <w:rPr>
                <w:w w:val="98"/>
                <w:sz w:val="16"/>
              </w:rPr>
              <w:t>-</w:t>
            </w:r>
          </w:p>
        </w:tc>
      </w:tr>
      <w:tr>
        <w:trPr>
          <w:trHeight w:val="223" w:hRule="atLeast"/>
        </w:trPr>
        <w:tc>
          <w:tcPr>
            <w:tcW w:w="2461" w:type="dxa"/>
            <w:tcBorders>
              <w:bottom w:val="single" w:sz="4" w:space="0" w:color="000000"/>
            </w:tcBorders>
          </w:tcPr>
          <w:p>
            <w:pPr>
              <w:pStyle w:val="TableParagraph"/>
              <w:spacing w:before="7"/>
              <w:ind w:left="117"/>
              <w:jc w:val="left"/>
              <w:rPr>
                <w:sz w:val="16"/>
              </w:rPr>
            </w:pPr>
            <w:r>
              <w:rPr>
                <w:spacing w:val="-2"/>
                <w:sz w:val="16"/>
              </w:rPr>
              <w:t>Overtime</w:t>
            </w:r>
          </w:p>
        </w:tc>
        <w:tc>
          <w:tcPr>
            <w:tcW w:w="1066" w:type="dxa"/>
            <w:tcBorders>
              <w:bottom w:val="single" w:sz="4" w:space="0" w:color="000000"/>
            </w:tcBorders>
          </w:tcPr>
          <w:p>
            <w:pPr>
              <w:pStyle w:val="TableParagraph"/>
              <w:spacing w:before="7"/>
              <w:ind w:right="170"/>
              <w:rPr>
                <w:sz w:val="16"/>
              </w:rPr>
            </w:pPr>
            <w:r>
              <w:rPr>
                <w:w w:val="98"/>
                <w:sz w:val="16"/>
              </w:rPr>
              <w:t>-</w:t>
            </w:r>
          </w:p>
        </w:tc>
        <w:tc>
          <w:tcPr>
            <w:tcW w:w="804" w:type="dxa"/>
            <w:tcBorders>
              <w:bottom w:val="single" w:sz="4" w:space="0" w:color="000000"/>
            </w:tcBorders>
          </w:tcPr>
          <w:p>
            <w:pPr>
              <w:pStyle w:val="TableParagraph"/>
              <w:spacing w:before="7"/>
              <w:ind w:right="149"/>
              <w:rPr>
                <w:sz w:val="16"/>
              </w:rPr>
            </w:pPr>
            <w:r>
              <w:rPr>
                <w:w w:val="98"/>
                <w:sz w:val="16"/>
              </w:rPr>
              <w:t>-</w:t>
            </w:r>
          </w:p>
        </w:tc>
        <w:tc>
          <w:tcPr>
            <w:tcW w:w="1010" w:type="dxa"/>
            <w:tcBorders>
              <w:bottom w:val="single" w:sz="4" w:space="0" w:color="000000"/>
            </w:tcBorders>
          </w:tcPr>
          <w:p>
            <w:pPr>
              <w:pStyle w:val="TableParagraph"/>
              <w:spacing w:before="7"/>
              <w:ind w:right="107"/>
              <w:rPr>
                <w:sz w:val="16"/>
              </w:rPr>
            </w:pPr>
            <w:r>
              <w:rPr>
                <w:w w:val="98"/>
                <w:sz w:val="16"/>
              </w:rPr>
              <w:t>-</w:t>
            </w:r>
          </w:p>
        </w:tc>
        <w:tc>
          <w:tcPr>
            <w:tcW w:w="1137" w:type="dxa"/>
            <w:tcBorders>
              <w:bottom w:val="single" w:sz="4" w:space="0" w:color="000000"/>
            </w:tcBorders>
          </w:tcPr>
          <w:p>
            <w:pPr>
              <w:pStyle w:val="TableParagraph"/>
              <w:spacing w:before="7"/>
              <w:ind w:right="48"/>
              <w:rPr>
                <w:sz w:val="16"/>
              </w:rPr>
            </w:pPr>
            <w:r>
              <w:rPr>
                <w:w w:val="98"/>
                <w:sz w:val="16"/>
              </w:rPr>
              <w:t>-</w:t>
            </w:r>
          </w:p>
        </w:tc>
        <w:tc>
          <w:tcPr>
            <w:tcW w:w="1257" w:type="dxa"/>
            <w:tcBorders>
              <w:bottom w:val="single" w:sz="4" w:space="0" w:color="000000"/>
            </w:tcBorders>
          </w:tcPr>
          <w:p>
            <w:pPr>
              <w:pStyle w:val="TableParagraph"/>
              <w:spacing w:before="7"/>
              <w:ind w:right="225"/>
              <w:rPr>
                <w:sz w:val="16"/>
              </w:rPr>
            </w:pPr>
            <w:r>
              <w:rPr>
                <w:w w:val="98"/>
                <w:sz w:val="16"/>
              </w:rPr>
              <w:t>-</w:t>
            </w:r>
          </w:p>
        </w:tc>
        <w:tc>
          <w:tcPr>
            <w:tcW w:w="813" w:type="dxa"/>
            <w:tcBorders>
              <w:bottom w:val="single" w:sz="4" w:space="0" w:color="000000"/>
            </w:tcBorders>
          </w:tcPr>
          <w:p>
            <w:pPr>
              <w:pStyle w:val="TableParagraph"/>
              <w:spacing w:before="7"/>
              <w:ind w:right="193"/>
              <w:rPr>
                <w:sz w:val="16"/>
              </w:rPr>
            </w:pPr>
            <w:r>
              <w:rPr>
                <w:w w:val="98"/>
                <w:sz w:val="16"/>
              </w:rPr>
              <w:t>-</w:t>
            </w:r>
          </w:p>
        </w:tc>
        <w:tc>
          <w:tcPr>
            <w:tcW w:w="1096" w:type="dxa"/>
            <w:tcBorders>
              <w:bottom w:val="single" w:sz="4" w:space="0" w:color="000000"/>
            </w:tcBorders>
          </w:tcPr>
          <w:p>
            <w:pPr>
              <w:pStyle w:val="TableParagraph"/>
              <w:spacing w:before="7"/>
              <w:ind w:right="98"/>
              <w:rPr>
                <w:sz w:val="16"/>
              </w:rPr>
            </w:pPr>
            <w:r>
              <w:rPr>
                <w:w w:val="98"/>
                <w:sz w:val="16"/>
              </w:rPr>
              <w:t>-</w:t>
            </w:r>
          </w:p>
        </w:tc>
      </w:tr>
      <w:tr>
        <w:trPr>
          <w:trHeight w:val="225" w:hRule="atLeast"/>
        </w:trPr>
        <w:tc>
          <w:tcPr>
            <w:tcW w:w="2461" w:type="dxa"/>
            <w:tcBorders>
              <w:top w:val="single" w:sz="4" w:space="0" w:color="000000"/>
              <w:bottom w:val="single" w:sz="4" w:space="0" w:color="000000"/>
            </w:tcBorders>
          </w:tcPr>
          <w:p>
            <w:pPr>
              <w:pStyle w:val="TableParagraph"/>
              <w:spacing w:before="14"/>
              <w:ind w:right="105"/>
              <w:rPr>
                <w:i/>
                <w:sz w:val="16"/>
              </w:rPr>
            </w:pPr>
            <w:r>
              <w:rPr>
                <w:i/>
                <w:sz w:val="16"/>
              </w:rPr>
              <w:t>Subtotal</w:t>
            </w:r>
            <w:r>
              <w:rPr>
                <w:i/>
                <w:spacing w:val="-2"/>
                <w:sz w:val="16"/>
              </w:rPr>
              <w:t> </w:t>
            </w:r>
            <w:r>
              <w:rPr>
                <w:i/>
                <w:sz w:val="16"/>
              </w:rPr>
              <w:t>other</w:t>
            </w:r>
            <w:r>
              <w:rPr>
                <w:i/>
                <w:spacing w:val="-1"/>
                <w:sz w:val="16"/>
              </w:rPr>
              <w:t> </w:t>
            </w:r>
            <w:r>
              <w:rPr>
                <w:i/>
                <w:spacing w:val="-2"/>
                <w:sz w:val="16"/>
              </w:rPr>
              <w:t>staff</w:t>
            </w:r>
          </w:p>
        </w:tc>
        <w:tc>
          <w:tcPr>
            <w:tcW w:w="1066" w:type="dxa"/>
            <w:tcBorders>
              <w:top w:val="single" w:sz="4" w:space="0" w:color="000000"/>
              <w:bottom w:val="single" w:sz="4" w:space="0" w:color="000000"/>
            </w:tcBorders>
          </w:tcPr>
          <w:p>
            <w:pPr>
              <w:pStyle w:val="TableParagraph"/>
              <w:spacing w:before="14"/>
              <w:ind w:right="170"/>
              <w:rPr>
                <w:i/>
                <w:sz w:val="16"/>
              </w:rPr>
            </w:pPr>
            <w:r>
              <w:rPr>
                <w:i/>
                <w:w w:val="98"/>
                <w:sz w:val="16"/>
              </w:rPr>
              <w:t>-</w:t>
            </w:r>
          </w:p>
        </w:tc>
        <w:tc>
          <w:tcPr>
            <w:tcW w:w="804" w:type="dxa"/>
            <w:tcBorders>
              <w:top w:val="single" w:sz="4" w:space="0" w:color="000000"/>
              <w:bottom w:val="single" w:sz="4" w:space="0" w:color="000000"/>
            </w:tcBorders>
          </w:tcPr>
          <w:p>
            <w:pPr>
              <w:pStyle w:val="TableParagraph"/>
              <w:spacing w:before="14"/>
              <w:ind w:right="149"/>
              <w:rPr>
                <w:i/>
                <w:sz w:val="16"/>
              </w:rPr>
            </w:pPr>
            <w:r>
              <w:rPr>
                <w:i/>
                <w:w w:val="98"/>
                <w:sz w:val="16"/>
              </w:rPr>
              <w:t>-</w:t>
            </w:r>
          </w:p>
        </w:tc>
        <w:tc>
          <w:tcPr>
            <w:tcW w:w="1010" w:type="dxa"/>
            <w:tcBorders>
              <w:top w:val="single" w:sz="4" w:space="0" w:color="000000"/>
              <w:bottom w:val="single" w:sz="4" w:space="0" w:color="000000"/>
            </w:tcBorders>
          </w:tcPr>
          <w:p>
            <w:pPr>
              <w:pStyle w:val="TableParagraph"/>
              <w:spacing w:before="14"/>
              <w:ind w:right="107"/>
              <w:rPr>
                <w:i/>
                <w:sz w:val="16"/>
              </w:rPr>
            </w:pPr>
            <w:r>
              <w:rPr>
                <w:i/>
                <w:w w:val="98"/>
                <w:sz w:val="16"/>
              </w:rPr>
              <w:t>-</w:t>
            </w:r>
          </w:p>
        </w:tc>
        <w:tc>
          <w:tcPr>
            <w:tcW w:w="1137" w:type="dxa"/>
            <w:tcBorders>
              <w:top w:val="single" w:sz="4" w:space="0" w:color="000000"/>
              <w:bottom w:val="single" w:sz="4" w:space="0" w:color="000000"/>
            </w:tcBorders>
          </w:tcPr>
          <w:p>
            <w:pPr>
              <w:pStyle w:val="TableParagraph"/>
              <w:spacing w:before="14"/>
              <w:ind w:right="52"/>
              <w:rPr>
                <w:i/>
                <w:sz w:val="16"/>
              </w:rPr>
            </w:pPr>
            <w:r>
              <w:rPr>
                <w:i/>
                <w:spacing w:val="-2"/>
                <w:sz w:val="16"/>
              </w:rPr>
              <w:t>3,142.3</w:t>
            </w:r>
          </w:p>
        </w:tc>
        <w:tc>
          <w:tcPr>
            <w:tcW w:w="1257" w:type="dxa"/>
            <w:tcBorders>
              <w:top w:val="single" w:sz="4" w:space="0" w:color="000000"/>
              <w:bottom w:val="single" w:sz="4" w:space="0" w:color="000000"/>
            </w:tcBorders>
          </w:tcPr>
          <w:p>
            <w:pPr>
              <w:pStyle w:val="TableParagraph"/>
              <w:spacing w:before="14"/>
              <w:ind w:right="221"/>
              <w:rPr>
                <w:i/>
                <w:sz w:val="16"/>
              </w:rPr>
            </w:pPr>
            <w:r>
              <w:rPr>
                <w:i/>
                <w:spacing w:val="-2"/>
                <w:sz w:val="16"/>
              </w:rPr>
              <w:t>(36.2)</w:t>
            </w:r>
          </w:p>
        </w:tc>
        <w:tc>
          <w:tcPr>
            <w:tcW w:w="813" w:type="dxa"/>
            <w:tcBorders>
              <w:top w:val="single" w:sz="4" w:space="0" w:color="000000"/>
              <w:bottom w:val="single" w:sz="4" w:space="0" w:color="000000"/>
            </w:tcBorders>
          </w:tcPr>
          <w:p>
            <w:pPr>
              <w:pStyle w:val="TableParagraph"/>
              <w:spacing w:before="14"/>
              <w:ind w:right="198"/>
              <w:rPr>
                <w:i/>
                <w:sz w:val="16"/>
              </w:rPr>
            </w:pPr>
            <w:r>
              <w:rPr>
                <w:i/>
                <w:spacing w:val="-2"/>
                <w:sz w:val="16"/>
              </w:rPr>
              <w:t>(1.2)</w:t>
            </w:r>
          </w:p>
        </w:tc>
        <w:tc>
          <w:tcPr>
            <w:tcW w:w="1096" w:type="dxa"/>
            <w:tcBorders>
              <w:top w:val="single" w:sz="4" w:space="0" w:color="000000"/>
              <w:bottom w:val="single" w:sz="4" w:space="0" w:color="000000"/>
            </w:tcBorders>
          </w:tcPr>
          <w:p>
            <w:pPr>
              <w:pStyle w:val="TableParagraph"/>
              <w:spacing w:before="14"/>
              <w:ind w:right="101"/>
              <w:rPr>
                <w:i/>
                <w:sz w:val="16"/>
              </w:rPr>
            </w:pPr>
            <w:r>
              <w:rPr>
                <w:i/>
                <w:spacing w:val="-2"/>
                <w:sz w:val="16"/>
              </w:rPr>
              <w:t>3,106.1</w:t>
            </w:r>
          </w:p>
        </w:tc>
      </w:tr>
      <w:tr>
        <w:trPr>
          <w:trHeight w:val="231" w:hRule="atLeast"/>
        </w:trPr>
        <w:tc>
          <w:tcPr>
            <w:tcW w:w="2461" w:type="dxa"/>
            <w:tcBorders>
              <w:top w:val="single" w:sz="4" w:space="0" w:color="000000"/>
            </w:tcBorders>
          </w:tcPr>
          <w:p>
            <w:pPr>
              <w:pStyle w:val="TableParagraph"/>
              <w:spacing w:before="14"/>
              <w:ind w:left="117"/>
              <w:jc w:val="left"/>
              <w:rPr>
                <w:sz w:val="16"/>
              </w:rPr>
            </w:pPr>
            <w:r>
              <w:rPr>
                <w:spacing w:val="-2"/>
                <w:sz w:val="16"/>
              </w:rPr>
              <w:t>Travel</w:t>
            </w:r>
          </w:p>
        </w:tc>
        <w:tc>
          <w:tcPr>
            <w:tcW w:w="1066" w:type="dxa"/>
            <w:tcBorders>
              <w:top w:val="single" w:sz="4" w:space="0" w:color="000000"/>
            </w:tcBorders>
          </w:tcPr>
          <w:p>
            <w:pPr>
              <w:pStyle w:val="TableParagraph"/>
              <w:spacing w:before="14"/>
              <w:ind w:right="170"/>
              <w:rPr>
                <w:sz w:val="16"/>
              </w:rPr>
            </w:pPr>
            <w:r>
              <w:rPr>
                <w:w w:val="98"/>
                <w:sz w:val="16"/>
              </w:rPr>
              <w:t>-</w:t>
            </w:r>
          </w:p>
        </w:tc>
        <w:tc>
          <w:tcPr>
            <w:tcW w:w="804" w:type="dxa"/>
            <w:tcBorders>
              <w:top w:val="single" w:sz="4" w:space="0" w:color="000000"/>
            </w:tcBorders>
          </w:tcPr>
          <w:p>
            <w:pPr>
              <w:pStyle w:val="TableParagraph"/>
              <w:spacing w:before="14"/>
              <w:ind w:right="149"/>
              <w:rPr>
                <w:sz w:val="16"/>
              </w:rPr>
            </w:pPr>
            <w:r>
              <w:rPr>
                <w:w w:val="98"/>
                <w:sz w:val="16"/>
              </w:rPr>
              <w:t>-</w:t>
            </w:r>
          </w:p>
        </w:tc>
        <w:tc>
          <w:tcPr>
            <w:tcW w:w="1010" w:type="dxa"/>
            <w:tcBorders>
              <w:top w:val="single" w:sz="4" w:space="0" w:color="000000"/>
            </w:tcBorders>
          </w:tcPr>
          <w:p>
            <w:pPr>
              <w:pStyle w:val="TableParagraph"/>
              <w:spacing w:before="14"/>
              <w:ind w:right="107"/>
              <w:rPr>
                <w:sz w:val="16"/>
              </w:rPr>
            </w:pPr>
            <w:r>
              <w:rPr>
                <w:w w:val="98"/>
                <w:sz w:val="16"/>
              </w:rPr>
              <w:t>-</w:t>
            </w:r>
          </w:p>
        </w:tc>
        <w:tc>
          <w:tcPr>
            <w:tcW w:w="1137" w:type="dxa"/>
            <w:tcBorders>
              <w:top w:val="single" w:sz="4" w:space="0" w:color="000000"/>
            </w:tcBorders>
          </w:tcPr>
          <w:p>
            <w:pPr>
              <w:pStyle w:val="TableParagraph"/>
              <w:spacing w:before="14"/>
              <w:ind w:right="51"/>
              <w:rPr>
                <w:sz w:val="16"/>
              </w:rPr>
            </w:pPr>
            <w:r>
              <w:rPr>
                <w:spacing w:val="-2"/>
                <w:sz w:val="16"/>
              </w:rPr>
              <w:t>583.0</w:t>
            </w:r>
          </w:p>
        </w:tc>
        <w:tc>
          <w:tcPr>
            <w:tcW w:w="1257" w:type="dxa"/>
            <w:tcBorders>
              <w:top w:val="single" w:sz="4" w:space="0" w:color="000000"/>
            </w:tcBorders>
          </w:tcPr>
          <w:p>
            <w:pPr>
              <w:pStyle w:val="TableParagraph"/>
              <w:spacing w:before="14"/>
              <w:ind w:right="226"/>
              <w:rPr>
                <w:sz w:val="16"/>
              </w:rPr>
            </w:pPr>
            <w:r>
              <w:rPr>
                <w:spacing w:val="-2"/>
                <w:sz w:val="16"/>
              </w:rPr>
              <w:t>(157.8)</w:t>
            </w:r>
          </w:p>
        </w:tc>
        <w:tc>
          <w:tcPr>
            <w:tcW w:w="813" w:type="dxa"/>
            <w:tcBorders>
              <w:top w:val="single" w:sz="4" w:space="0" w:color="000000"/>
            </w:tcBorders>
          </w:tcPr>
          <w:p>
            <w:pPr>
              <w:pStyle w:val="TableParagraph"/>
              <w:spacing w:before="14"/>
              <w:ind w:right="198"/>
              <w:rPr>
                <w:sz w:val="16"/>
              </w:rPr>
            </w:pPr>
            <w:r>
              <w:rPr>
                <w:spacing w:val="-2"/>
                <w:sz w:val="16"/>
              </w:rPr>
              <w:t>(27.1)</w:t>
            </w:r>
          </w:p>
        </w:tc>
        <w:tc>
          <w:tcPr>
            <w:tcW w:w="1096" w:type="dxa"/>
            <w:tcBorders>
              <w:top w:val="single" w:sz="4" w:space="0" w:color="000000"/>
            </w:tcBorders>
          </w:tcPr>
          <w:p>
            <w:pPr>
              <w:pStyle w:val="TableParagraph"/>
              <w:spacing w:before="14"/>
              <w:ind w:right="101"/>
              <w:rPr>
                <w:sz w:val="16"/>
              </w:rPr>
            </w:pPr>
            <w:r>
              <w:rPr>
                <w:spacing w:val="-2"/>
                <w:sz w:val="16"/>
              </w:rPr>
              <w:t>425.2</w:t>
            </w:r>
          </w:p>
        </w:tc>
      </w:tr>
      <w:tr>
        <w:trPr>
          <w:trHeight w:val="228" w:hRule="atLeast"/>
        </w:trPr>
        <w:tc>
          <w:tcPr>
            <w:tcW w:w="2461" w:type="dxa"/>
          </w:tcPr>
          <w:p>
            <w:pPr>
              <w:pStyle w:val="TableParagraph"/>
              <w:spacing w:before="7"/>
              <w:ind w:left="117"/>
              <w:jc w:val="left"/>
              <w:rPr>
                <w:sz w:val="16"/>
              </w:rPr>
            </w:pPr>
            <w:r>
              <w:rPr>
                <w:spacing w:val="-2"/>
                <w:sz w:val="16"/>
              </w:rPr>
              <w:t>Hospitality</w:t>
            </w:r>
          </w:p>
        </w:tc>
        <w:tc>
          <w:tcPr>
            <w:tcW w:w="1066" w:type="dxa"/>
          </w:tcPr>
          <w:p>
            <w:pPr>
              <w:pStyle w:val="TableParagraph"/>
              <w:spacing w:before="7"/>
              <w:ind w:right="170"/>
              <w:rPr>
                <w:sz w:val="16"/>
              </w:rPr>
            </w:pPr>
            <w:r>
              <w:rPr>
                <w:w w:val="98"/>
                <w:sz w:val="16"/>
              </w:rPr>
              <w:t>-</w:t>
            </w:r>
          </w:p>
        </w:tc>
        <w:tc>
          <w:tcPr>
            <w:tcW w:w="804" w:type="dxa"/>
          </w:tcPr>
          <w:p>
            <w:pPr>
              <w:pStyle w:val="TableParagraph"/>
              <w:spacing w:before="7"/>
              <w:ind w:right="149"/>
              <w:rPr>
                <w:sz w:val="16"/>
              </w:rPr>
            </w:pPr>
            <w:r>
              <w:rPr>
                <w:w w:val="98"/>
                <w:sz w:val="16"/>
              </w:rPr>
              <w:t>-</w:t>
            </w:r>
          </w:p>
        </w:tc>
        <w:tc>
          <w:tcPr>
            <w:tcW w:w="1010" w:type="dxa"/>
          </w:tcPr>
          <w:p>
            <w:pPr>
              <w:pStyle w:val="TableParagraph"/>
              <w:spacing w:before="7"/>
              <w:ind w:right="107"/>
              <w:rPr>
                <w:sz w:val="16"/>
              </w:rPr>
            </w:pPr>
            <w:r>
              <w:rPr>
                <w:w w:val="98"/>
                <w:sz w:val="16"/>
              </w:rPr>
              <w:t>-</w:t>
            </w:r>
          </w:p>
        </w:tc>
        <w:tc>
          <w:tcPr>
            <w:tcW w:w="1137" w:type="dxa"/>
          </w:tcPr>
          <w:p>
            <w:pPr>
              <w:pStyle w:val="TableParagraph"/>
              <w:spacing w:before="7"/>
              <w:ind w:right="48"/>
              <w:rPr>
                <w:sz w:val="16"/>
              </w:rPr>
            </w:pPr>
            <w:r>
              <w:rPr>
                <w:w w:val="98"/>
                <w:sz w:val="16"/>
              </w:rPr>
              <w:t>-</w:t>
            </w:r>
          </w:p>
        </w:tc>
        <w:tc>
          <w:tcPr>
            <w:tcW w:w="1257" w:type="dxa"/>
          </w:tcPr>
          <w:p>
            <w:pPr>
              <w:pStyle w:val="TableParagraph"/>
              <w:spacing w:before="7"/>
              <w:ind w:right="225"/>
              <w:rPr>
                <w:sz w:val="16"/>
              </w:rPr>
            </w:pPr>
            <w:r>
              <w:rPr>
                <w:w w:val="98"/>
                <w:sz w:val="16"/>
              </w:rPr>
              <w:t>-</w:t>
            </w:r>
          </w:p>
        </w:tc>
        <w:tc>
          <w:tcPr>
            <w:tcW w:w="813" w:type="dxa"/>
          </w:tcPr>
          <w:p>
            <w:pPr>
              <w:pStyle w:val="TableParagraph"/>
              <w:spacing w:before="7"/>
              <w:ind w:right="193"/>
              <w:rPr>
                <w:sz w:val="16"/>
              </w:rPr>
            </w:pPr>
            <w:r>
              <w:rPr>
                <w:w w:val="98"/>
                <w:sz w:val="16"/>
              </w:rPr>
              <w:t>-</w:t>
            </w:r>
          </w:p>
        </w:tc>
        <w:tc>
          <w:tcPr>
            <w:tcW w:w="1096" w:type="dxa"/>
          </w:tcPr>
          <w:p>
            <w:pPr>
              <w:pStyle w:val="TableParagraph"/>
              <w:spacing w:before="7"/>
              <w:ind w:right="98"/>
              <w:rPr>
                <w:sz w:val="16"/>
              </w:rPr>
            </w:pPr>
            <w:r>
              <w:rPr>
                <w:w w:val="98"/>
                <w:sz w:val="16"/>
              </w:rPr>
              <w:t>-</w:t>
            </w:r>
          </w:p>
        </w:tc>
      </w:tr>
      <w:tr>
        <w:trPr>
          <w:trHeight w:val="228" w:hRule="atLeast"/>
        </w:trPr>
        <w:tc>
          <w:tcPr>
            <w:tcW w:w="2461" w:type="dxa"/>
          </w:tcPr>
          <w:p>
            <w:pPr>
              <w:pStyle w:val="TableParagraph"/>
              <w:spacing w:before="10"/>
              <w:ind w:left="117"/>
              <w:jc w:val="left"/>
              <w:rPr>
                <w:sz w:val="16"/>
              </w:rPr>
            </w:pPr>
            <w:r>
              <w:rPr>
                <w:w w:val="95"/>
                <w:sz w:val="16"/>
              </w:rPr>
              <w:t>Contractual</w:t>
            </w:r>
            <w:r>
              <w:rPr>
                <w:spacing w:val="33"/>
                <w:sz w:val="16"/>
              </w:rPr>
              <w:t> </w:t>
            </w:r>
            <w:r>
              <w:rPr>
                <w:spacing w:val="-2"/>
                <w:sz w:val="16"/>
              </w:rPr>
              <w:t>services</w:t>
            </w:r>
          </w:p>
        </w:tc>
        <w:tc>
          <w:tcPr>
            <w:tcW w:w="1066" w:type="dxa"/>
          </w:tcPr>
          <w:p>
            <w:pPr>
              <w:pStyle w:val="TableParagraph"/>
              <w:spacing w:before="10"/>
              <w:ind w:right="170"/>
              <w:rPr>
                <w:sz w:val="16"/>
              </w:rPr>
            </w:pPr>
            <w:r>
              <w:rPr>
                <w:w w:val="98"/>
                <w:sz w:val="16"/>
              </w:rPr>
              <w:t>-</w:t>
            </w:r>
          </w:p>
        </w:tc>
        <w:tc>
          <w:tcPr>
            <w:tcW w:w="804" w:type="dxa"/>
          </w:tcPr>
          <w:p>
            <w:pPr>
              <w:pStyle w:val="TableParagraph"/>
              <w:spacing w:before="10"/>
              <w:ind w:right="149"/>
              <w:rPr>
                <w:sz w:val="16"/>
              </w:rPr>
            </w:pPr>
            <w:r>
              <w:rPr>
                <w:w w:val="98"/>
                <w:sz w:val="16"/>
              </w:rPr>
              <w:t>-</w:t>
            </w:r>
          </w:p>
        </w:tc>
        <w:tc>
          <w:tcPr>
            <w:tcW w:w="1010" w:type="dxa"/>
          </w:tcPr>
          <w:p>
            <w:pPr>
              <w:pStyle w:val="TableParagraph"/>
              <w:spacing w:before="10"/>
              <w:ind w:right="107"/>
              <w:rPr>
                <w:sz w:val="16"/>
              </w:rPr>
            </w:pPr>
            <w:r>
              <w:rPr>
                <w:w w:val="98"/>
                <w:sz w:val="16"/>
              </w:rPr>
              <w:t>-</w:t>
            </w:r>
          </w:p>
        </w:tc>
        <w:tc>
          <w:tcPr>
            <w:tcW w:w="1137" w:type="dxa"/>
          </w:tcPr>
          <w:p>
            <w:pPr>
              <w:pStyle w:val="TableParagraph"/>
              <w:spacing w:before="10"/>
              <w:ind w:right="48"/>
              <w:rPr>
                <w:sz w:val="16"/>
              </w:rPr>
            </w:pPr>
            <w:r>
              <w:rPr>
                <w:w w:val="98"/>
                <w:sz w:val="16"/>
              </w:rPr>
              <w:t>-</w:t>
            </w:r>
          </w:p>
        </w:tc>
        <w:tc>
          <w:tcPr>
            <w:tcW w:w="1257" w:type="dxa"/>
          </w:tcPr>
          <w:p>
            <w:pPr>
              <w:pStyle w:val="TableParagraph"/>
              <w:spacing w:before="10"/>
              <w:ind w:right="223"/>
              <w:rPr>
                <w:sz w:val="16"/>
              </w:rPr>
            </w:pPr>
            <w:r>
              <w:rPr>
                <w:spacing w:val="-2"/>
                <w:sz w:val="16"/>
              </w:rPr>
              <w:t>100.0</w:t>
            </w:r>
          </w:p>
        </w:tc>
        <w:tc>
          <w:tcPr>
            <w:tcW w:w="813" w:type="dxa"/>
          </w:tcPr>
          <w:p>
            <w:pPr>
              <w:pStyle w:val="TableParagraph"/>
              <w:spacing w:before="10"/>
              <w:ind w:right="193"/>
              <w:rPr>
                <w:sz w:val="16"/>
              </w:rPr>
            </w:pPr>
            <w:r>
              <w:rPr>
                <w:w w:val="98"/>
                <w:sz w:val="16"/>
              </w:rPr>
              <w:t>-</w:t>
            </w:r>
          </w:p>
        </w:tc>
        <w:tc>
          <w:tcPr>
            <w:tcW w:w="1096" w:type="dxa"/>
          </w:tcPr>
          <w:p>
            <w:pPr>
              <w:pStyle w:val="TableParagraph"/>
              <w:spacing w:before="10"/>
              <w:ind w:right="101"/>
              <w:rPr>
                <w:sz w:val="16"/>
              </w:rPr>
            </w:pPr>
            <w:r>
              <w:rPr>
                <w:spacing w:val="-2"/>
                <w:sz w:val="16"/>
              </w:rPr>
              <w:t>100.0</w:t>
            </w:r>
          </w:p>
        </w:tc>
      </w:tr>
      <w:tr>
        <w:trPr>
          <w:trHeight w:val="225" w:hRule="atLeast"/>
        </w:trPr>
        <w:tc>
          <w:tcPr>
            <w:tcW w:w="2461" w:type="dxa"/>
          </w:tcPr>
          <w:p>
            <w:pPr>
              <w:pStyle w:val="TableParagraph"/>
              <w:spacing w:before="7"/>
              <w:ind w:left="117"/>
              <w:jc w:val="left"/>
              <w:rPr>
                <w:sz w:val="16"/>
              </w:rPr>
            </w:pPr>
            <w:r>
              <w:rPr>
                <w:spacing w:val="-2"/>
                <w:sz w:val="16"/>
              </w:rPr>
              <w:t>Training</w:t>
            </w:r>
          </w:p>
        </w:tc>
        <w:tc>
          <w:tcPr>
            <w:tcW w:w="1066" w:type="dxa"/>
          </w:tcPr>
          <w:p>
            <w:pPr>
              <w:pStyle w:val="TableParagraph"/>
              <w:spacing w:before="7"/>
              <w:ind w:right="170"/>
              <w:rPr>
                <w:sz w:val="16"/>
              </w:rPr>
            </w:pPr>
            <w:r>
              <w:rPr>
                <w:w w:val="98"/>
                <w:sz w:val="16"/>
              </w:rPr>
              <w:t>-</w:t>
            </w:r>
          </w:p>
        </w:tc>
        <w:tc>
          <w:tcPr>
            <w:tcW w:w="804" w:type="dxa"/>
          </w:tcPr>
          <w:p>
            <w:pPr>
              <w:pStyle w:val="TableParagraph"/>
              <w:spacing w:before="7"/>
              <w:ind w:right="149"/>
              <w:rPr>
                <w:sz w:val="16"/>
              </w:rPr>
            </w:pPr>
            <w:r>
              <w:rPr>
                <w:w w:val="98"/>
                <w:sz w:val="16"/>
              </w:rPr>
              <w:t>-</w:t>
            </w:r>
          </w:p>
        </w:tc>
        <w:tc>
          <w:tcPr>
            <w:tcW w:w="1010" w:type="dxa"/>
          </w:tcPr>
          <w:p>
            <w:pPr>
              <w:pStyle w:val="TableParagraph"/>
              <w:spacing w:before="7"/>
              <w:ind w:right="107"/>
              <w:rPr>
                <w:sz w:val="16"/>
              </w:rPr>
            </w:pPr>
            <w:r>
              <w:rPr>
                <w:w w:val="98"/>
                <w:sz w:val="16"/>
              </w:rPr>
              <w:t>-</w:t>
            </w:r>
          </w:p>
        </w:tc>
        <w:tc>
          <w:tcPr>
            <w:tcW w:w="1137" w:type="dxa"/>
          </w:tcPr>
          <w:p>
            <w:pPr>
              <w:pStyle w:val="TableParagraph"/>
              <w:spacing w:before="7"/>
              <w:ind w:right="48"/>
              <w:rPr>
                <w:sz w:val="16"/>
              </w:rPr>
            </w:pPr>
            <w:r>
              <w:rPr>
                <w:w w:val="98"/>
                <w:sz w:val="16"/>
              </w:rPr>
              <w:t>-</w:t>
            </w:r>
          </w:p>
        </w:tc>
        <w:tc>
          <w:tcPr>
            <w:tcW w:w="1257" w:type="dxa"/>
          </w:tcPr>
          <w:p>
            <w:pPr>
              <w:pStyle w:val="TableParagraph"/>
              <w:spacing w:before="7"/>
              <w:ind w:right="225"/>
              <w:rPr>
                <w:sz w:val="16"/>
              </w:rPr>
            </w:pPr>
            <w:r>
              <w:rPr>
                <w:w w:val="98"/>
                <w:sz w:val="16"/>
              </w:rPr>
              <w:t>-</w:t>
            </w:r>
          </w:p>
        </w:tc>
        <w:tc>
          <w:tcPr>
            <w:tcW w:w="813" w:type="dxa"/>
          </w:tcPr>
          <w:p>
            <w:pPr>
              <w:pStyle w:val="TableParagraph"/>
              <w:spacing w:before="7"/>
              <w:ind w:right="193"/>
              <w:rPr>
                <w:sz w:val="16"/>
              </w:rPr>
            </w:pPr>
            <w:r>
              <w:rPr>
                <w:w w:val="98"/>
                <w:sz w:val="16"/>
              </w:rPr>
              <w:t>-</w:t>
            </w:r>
          </w:p>
        </w:tc>
        <w:tc>
          <w:tcPr>
            <w:tcW w:w="1096" w:type="dxa"/>
          </w:tcPr>
          <w:p>
            <w:pPr>
              <w:pStyle w:val="TableParagraph"/>
              <w:spacing w:before="7"/>
              <w:ind w:right="98"/>
              <w:rPr>
                <w:sz w:val="16"/>
              </w:rPr>
            </w:pPr>
            <w:r>
              <w:rPr>
                <w:w w:val="98"/>
                <w:sz w:val="16"/>
              </w:rPr>
              <w:t>-</w:t>
            </w:r>
          </w:p>
        </w:tc>
      </w:tr>
      <w:tr>
        <w:trPr>
          <w:trHeight w:val="225" w:hRule="atLeast"/>
        </w:trPr>
        <w:tc>
          <w:tcPr>
            <w:tcW w:w="2461" w:type="dxa"/>
          </w:tcPr>
          <w:p>
            <w:pPr>
              <w:pStyle w:val="TableParagraph"/>
              <w:spacing w:before="7"/>
              <w:ind w:left="117"/>
              <w:jc w:val="left"/>
              <w:rPr>
                <w:sz w:val="16"/>
              </w:rPr>
            </w:pPr>
            <w:r>
              <w:rPr>
                <w:spacing w:val="-2"/>
                <w:sz w:val="16"/>
              </w:rPr>
              <w:t>Consultants</w:t>
            </w:r>
          </w:p>
        </w:tc>
        <w:tc>
          <w:tcPr>
            <w:tcW w:w="1066" w:type="dxa"/>
          </w:tcPr>
          <w:p>
            <w:pPr>
              <w:pStyle w:val="TableParagraph"/>
              <w:spacing w:before="7"/>
              <w:ind w:right="170"/>
              <w:rPr>
                <w:sz w:val="16"/>
              </w:rPr>
            </w:pPr>
            <w:r>
              <w:rPr>
                <w:w w:val="98"/>
                <w:sz w:val="16"/>
              </w:rPr>
              <w:t>-</w:t>
            </w:r>
          </w:p>
        </w:tc>
        <w:tc>
          <w:tcPr>
            <w:tcW w:w="804" w:type="dxa"/>
          </w:tcPr>
          <w:p>
            <w:pPr>
              <w:pStyle w:val="TableParagraph"/>
              <w:spacing w:before="7"/>
              <w:ind w:right="149"/>
              <w:rPr>
                <w:sz w:val="16"/>
              </w:rPr>
            </w:pPr>
            <w:r>
              <w:rPr>
                <w:w w:val="98"/>
                <w:sz w:val="16"/>
              </w:rPr>
              <w:t>-</w:t>
            </w:r>
          </w:p>
        </w:tc>
        <w:tc>
          <w:tcPr>
            <w:tcW w:w="1010" w:type="dxa"/>
          </w:tcPr>
          <w:p>
            <w:pPr>
              <w:pStyle w:val="TableParagraph"/>
              <w:spacing w:before="7"/>
              <w:ind w:right="107"/>
              <w:rPr>
                <w:sz w:val="16"/>
              </w:rPr>
            </w:pPr>
            <w:r>
              <w:rPr>
                <w:w w:val="98"/>
                <w:sz w:val="16"/>
              </w:rPr>
              <w:t>-</w:t>
            </w:r>
          </w:p>
        </w:tc>
        <w:tc>
          <w:tcPr>
            <w:tcW w:w="1137" w:type="dxa"/>
          </w:tcPr>
          <w:p>
            <w:pPr>
              <w:pStyle w:val="TableParagraph"/>
              <w:spacing w:before="7"/>
              <w:ind w:right="48"/>
              <w:rPr>
                <w:sz w:val="16"/>
              </w:rPr>
            </w:pPr>
            <w:r>
              <w:rPr>
                <w:w w:val="98"/>
                <w:sz w:val="16"/>
              </w:rPr>
              <w:t>-</w:t>
            </w:r>
          </w:p>
        </w:tc>
        <w:tc>
          <w:tcPr>
            <w:tcW w:w="1257" w:type="dxa"/>
          </w:tcPr>
          <w:p>
            <w:pPr>
              <w:pStyle w:val="TableParagraph"/>
              <w:spacing w:before="7"/>
              <w:ind w:right="225"/>
              <w:rPr>
                <w:sz w:val="16"/>
              </w:rPr>
            </w:pPr>
            <w:r>
              <w:rPr>
                <w:w w:val="98"/>
                <w:sz w:val="16"/>
              </w:rPr>
              <w:t>-</w:t>
            </w:r>
          </w:p>
        </w:tc>
        <w:tc>
          <w:tcPr>
            <w:tcW w:w="813" w:type="dxa"/>
          </w:tcPr>
          <w:p>
            <w:pPr>
              <w:pStyle w:val="TableParagraph"/>
              <w:spacing w:before="7"/>
              <w:ind w:right="193"/>
              <w:rPr>
                <w:sz w:val="16"/>
              </w:rPr>
            </w:pPr>
            <w:r>
              <w:rPr>
                <w:w w:val="98"/>
                <w:sz w:val="16"/>
              </w:rPr>
              <w:t>-</w:t>
            </w:r>
          </w:p>
        </w:tc>
        <w:tc>
          <w:tcPr>
            <w:tcW w:w="1096" w:type="dxa"/>
          </w:tcPr>
          <w:p>
            <w:pPr>
              <w:pStyle w:val="TableParagraph"/>
              <w:spacing w:before="7"/>
              <w:ind w:right="98"/>
              <w:rPr>
                <w:sz w:val="16"/>
              </w:rPr>
            </w:pPr>
            <w:r>
              <w:rPr>
                <w:w w:val="98"/>
                <w:sz w:val="16"/>
              </w:rPr>
              <w:t>-</w:t>
            </w:r>
          </w:p>
        </w:tc>
      </w:tr>
      <w:tr>
        <w:trPr>
          <w:trHeight w:val="227" w:hRule="atLeast"/>
        </w:trPr>
        <w:tc>
          <w:tcPr>
            <w:tcW w:w="2461" w:type="dxa"/>
          </w:tcPr>
          <w:p>
            <w:pPr>
              <w:pStyle w:val="TableParagraph"/>
              <w:spacing w:before="7"/>
              <w:ind w:left="117"/>
              <w:jc w:val="left"/>
              <w:rPr>
                <w:sz w:val="16"/>
              </w:rPr>
            </w:pPr>
            <w:r>
              <w:rPr>
                <w:sz w:val="16"/>
              </w:rPr>
              <w:t>General</w:t>
            </w:r>
            <w:r>
              <w:rPr>
                <w:spacing w:val="-4"/>
                <w:sz w:val="16"/>
              </w:rPr>
              <w:t> </w:t>
            </w:r>
            <w:r>
              <w:rPr>
                <w:sz w:val="16"/>
              </w:rPr>
              <w:t>operating</w:t>
            </w:r>
            <w:r>
              <w:rPr>
                <w:spacing w:val="-1"/>
                <w:sz w:val="16"/>
              </w:rPr>
              <w:t> </w:t>
            </w:r>
            <w:r>
              <w:rPr>
                <w:spacing w:val="-2"/>
                <w:sz w:val="16"/>
              </w:rPr>
              <w:t>expenses</w:t>
            </w:r>
          </w:p>
        </w:tc>
        <w:tc>
          <w:tcPr>
            <w:tcW w:w="1066" w:type="dxa"/>
          </w:tcPr>
          <w:p>
            <w:pPr>
              <w:pStyle w:val="TableParagraph"/>
              <w:spacing w:before="7"/>
              <w:ind w:right="170"/>
              <w:rPr>
                <w:sz w:val="16"/>
              </w:rPr>
            </w:pPr>
            <w:r>
              <w:rPr>
                <w:w w:val="98"/>
                <w:sz w:val="16"/>
              </w:rPr>
              <w:t>-</w:t>
            </w:r>
          </w:p>
        </w:tc>
        <w:tc>
          <w:tcPr>
            <w:tcW w:w="804" w:type="dxa"/>
          </w:tcPr>
          <w:p>
            <w:pPr>
              <w:pStyle w:val="TableParagraph"/>
              <w:spacing w:before="7"/>
              <w:ind w:right="149"/>
              <w:rPr>
                <w:sz w:val="16"/>
              </w:rPr>
            </w:pPr>
            <w:r>
              <w:rPr>
                <w:w w:val="98"/>
                <w:sz w:val="16"/>
              </w:rPr>
              <w:t>-</w:t>
            </w:r>
          </w:p>
        </w:tc>
        <w:tc>
          <w:tcPr>
            <w:tcW w:w="1010" w:type="dxa"/>
          </w:tcPr>
          <w:p>
            <w:pPr>
              <w:pStyle w:val="TableParagraph"/>
              <w:spacing w:before="7"/>
              <w:ind w:right="107"/>
              <w:rPr>
                <w:sz w:val="16"/>
              </w:rPr>
            </w:pPr>
            <w:r>
              <w:rPr>
                <w:w w:val="98"/>
                <w:sz w:val="16"/>
              </w:rPr>
              <w:t>-</w:t>
            </w:r>
          </w:p>
        </w:tc>
        <w:tc>
          <w:tcPr>
            <w:tcW w:w="1137" w:type="dxa"/>
          </w:tcPr>
          <w:p>
            <w:pPr>
              <w:pStyle w:val="TableParagraph"/>
              <w:spacing w:before="7"/>
              <w:ind w:right="48"/>
              <w:rPr>
                <w:sz w:val="16"/>
              </w:rPr>
            </w:pPr>
            <w:r>
              <w:rPr>
                <w:w w:val="98"/>
                <w:sz w:val="16"/>
              </w:rPr>
              <w:t>-</w:t>
            </w:r>
          </w:p>
        </w:tc>
        <w:tc>
          <w:tcPr>
            <w:tcW w:w="1257" w:type="dxa"/>
          </w:tcPr>
          <w:p>
            <w:pPr>
              <w:pStyle w:val="TableParagraph"/>
              <w:spacing w:before="7"/>
              <w:ind w:right="223"/>
              <w:rPr>
                <w:sz w:val="16"/>
              </w:rPr>
            </w:pPr>
            <w:r>
              <w:rPr>
                <w:spacing w:val="-2"/>
                <w:sz w:val="16"/>
              </w:rPr>
              <w:t>160.0</w:t>
            </w:r>
          </w:p>
        </w:tc>
        <w:tc>
          <w:tcPr>
            <w:tcW w:w="813" w:type="dxa"/>
          </w:tcPr>
          <w:p>
            <w:pPr>
              <w:pStyle w:val="TableParagraph"/>
              <w:spacing w:before="7"/>
              <w:ind w:right="193"/>
              <w:rPr>
                <w:sz w:val="16"/>
              </w:rPr>
            </w:pPr>
            <w:r>
              <w:rPr>
                <w:w w:val="98"/>
                <w:sz w:val="16"/>
              </w:rPr>
              <w:t>-</w:t>
            </w:r>
          </w:p>
        </w:tc>
        <w:tc>
          <w:tcPr>
            <w:tcW w:w="1096" w:type="dxa"/>
          </w:tcPr>
          <w:p>
            <w:pPr>
              <w:pStyle w:val="TableParagraph"/>
              <w:spacing w:before="7"/>
              <w:ind w:right="101"/>
              <w:rPr>
                <w:sz w:val="16"/>
              </w:rPr>
            </w:pPr>
            <w:r>
              <w:rPr>
                <w:spacing w:val="-2"/>
                <w:sz w:val="16"/>
              </w:rPr>
              <w:t>160.0</w:t>
            </w:r>
          </w:p>
        </w:tc>
      </w:tr>
      <w:tr>
        <w:trPr>
          <w:trHeight w:val="227" w:hRule="atLeast"/>
        </w:trPr>
        <w:tc>
          <w:tcPr>
            <w:tcW w:w="2461" w:type="dxa"/>
          </w:tcPr>
          <w:p>
            <w:pPr>
              <w:pStyle w:val="TableParagraph"/>
              <w:spacing w:before="10"/>
              <w:ind w:left="117"/>
              <w:jc w:val="left"/>
              <w:rPr>
                <w:sz w:val="16"/>
              </w:rPr>
            </w:pPr>
            <w:r>
              <w:rPr>
                <w:sz w:val="16"/>
              </w:rPr>
              <w:t>Supplies</w:t>
            </w:r>
            <w:r>
              <w:rPr>
                <w:spacing w:val="-4"/>
                <w:sz w:val="16"/>
              </w:rPr>
              <w:t> </w:t>
            </w:r>
            <w:r>
              <w:rPr>
                <w:sz w:val="16"/>
              </w:rPr>
              <w:t>and</w:t>
            </w:r>
            <w:r>
              <w:rPr>
                <w:spacing w:val="-2"/>
                <w:sz w:val="16"/>
              </w:rPr>
              <w:t> materials</w:t>
            </w:r>
          </w:p>
        </w:tc>
        <w:tc>
          <w:tcPr>
            <w:tcW w:w="1066" w:type="dxa"/>
          </w:tcPr>
          <w:p>
            <w:pPr>
              <w:pStyle w:val="TableParagraph"/>
              <w:spacing w:before="10"/>
              <w:ind w:right="170"/>
              <w:rPr>
                <w:sz w:val="16"/>
              </w:rPr>
            </w:pPr>
            <w:r>
              <w:rPr>
                <w:w w:val="98"/>
                <w:sz w:val="16"/>
              </w:rPr>
              <w:t>-</w:t>
            </w:r>
          </w:p>
        </w:tc>
        <w:tc>
          <w:tcPr>
            <w:tcW w:w="804" w:type="dxa"/>
          </w:tcPr>
          <w:p>
            <w:pPr>
              <w:pStyle w:val="TableParagraph"/>
              <w:spacing w:before="10"/>
              <w:ind w:right="149"/>
              <w:rPr>
                <w:sz w:val="16"/>
              </w:rPr>
            </w:pPr>
            <w:r>
              <w:rPr>
                <w:w w:val="98"/>
                <w:sz w:val="16"/>
              </w:rPr>
              <w:t>-</w:t>
            </w:r>
          </w:p>
        </w:tc>
        <w:tc>
          <w:tcPr>
            <w:tcW w:w="1010" w:type="dxa"/>
          </w:tcPr>
          <w:p>
            <w:pPr>
              <w:pStyle w:val="TableParagraph"/>
              <w:spacing w:before="10"/>
              <w:ind w:right="107"/>
              <w:rPr>
                <w:sz w:val="16"/>
              </w:rPr>
            </w:pPr>
            <w:r>
              <w:rPr>
                <w:w w:val="98"/>
                <w:sz w:val="16"/>
              </w:rPr>
              <w:t>-</w:t>
            </w:r>
          </w:p>
        </w:tc>
        <w:tc>
          <w:tcPr>
            <w:tcW w:w="1137" w:type="dxa"/>
          </w:tcPr>
          <w:p>
            <w:pPr>
              <w:pStyle w:val="TableParagraph"/>
              <w:spacing w:before="10"/>
              <w:ind w:right="48"/>
              <w:rPr>
                <w:sz w:val="16"/>
              </w:rPr>
            </w:pPr>
            <w:r>
              <w:rPr>
                <w:w w:val="98"/>
                <w:sz w:val="16"/>
              </w:rPr>
              <w:t>-</w:t>
            </w:r>
          </w:p>
        </w:tc>
        <w:tc>
          <w:tcPr>
            <w:tcW w:w="1257" w:type="dxa"/>
          </w:tcPr>
          <w:p>
            <w:pPr>
              <w:pStyle w:val="TableParagraph"/>
              <w:spacing w:before="10"/>
              <w:ind w:right="225"/>
              <w:rPr>
                <w:sz w:val="16"/>
              </w:rPr>
            </w:pPr>
            <w:r>
              <w:rPr>
                <w:w w:val="98"/>
                <w:sz w:val="16"/>
              </w:rPr>
              <w:t>-</w:t>
            </w:r>
          </w:p>
        </w:tc>
        <w:tc>
          <w:tcPr>
            <w:tcW w:w="813" w:type="dxa"/>
          </w:tcPr>
          <w:p>
            <w:pPr>
              <w:pStyle w:val="TableParagraph"/>
              <w:spacing w:before="10"/>
              <w:ind w:right="193"/>
              <w:rPr>
                <w:sz w:val="16"/>
              </w:rPr>
            </w:pPr>
            <w:r>
              <w:rPr>
                <w:w w:val="98"/>
                <w:sz w:val="16"/>
              </w:rPr>
              <w:t>-</w:t>
            </w:r>
          </w:p>
        </w:tc>
        <w:tc>
          <w:tcPr>
            <w:tcW w:w="1096" w:type="dxa"/>
          </w:tcPr>
          <w:p>
            <w:pPr>
              <w:pStyle w:val="TableParagraph"/>
              <w:spacing w:before="10"/>
              <w:ind w:right="98"/>
              <w:rPr>
                <w:sz w:val="16"/>
              </w:rPr>
            </w:pPr>
            <w:r>
              <w:rPr>
                <w:w w:val="98"/>
                <w:sz w:val="16"/>
              </w:rPr>
              <w:t>-</w:t>
            </w:r>
          </w:p>
        </w:tc>
      </w:tr>
      <w:tr>
        <w:trPr>
          <w:trHeight w:val="223" w:hRule="atLeast"/>
        </w:trPr>
        <w:tc>
          <w:tcPr>
            <w:tcW w:w="2461" w:type="dxa"/>
            <w:tcBorders>
              <w:bottom w:val="single" w:sz="4" w:space="0" w:color="000000"/>
            </w:tcBorders>
          </w:tcPr>
          <w:p>
            <w:pPr>
              <w:pStyle w:val="TableParagraph"/>
              <w:spacing w:before="7"/>
              <w:ind w:left="117"/>
              <w:jc w:val="left"/>
              <w:rPr>
                <w:sz w:val="16"/>
              </w:rPr>
            </w:pPr>
            <w:r>
              <w:rPr>
                <w:sz w:val="16"/>
              </w:rPr>
              <w:t>Furniture</w:t>
            </w:r>
            <w:r>
              <w:rPr>
                <w:spacing w:val="-4"/>
                <w:sz w:val="16"/>
              </w:rPr>
              <w:t> </w:t>
            </w:r>
            <w:r>
              <w:rPr>
                <w:sz w:val="16"/>
              </w:rPr>
              <w:t>and</w:t>
            </w:r>
            <w:r>
              <w:rPr>
                <w:spacing w:val="-2"/>
                <w:sz w:val="16"/>
              </w:rPr>
              <w:t> equipment</w:t>
            </w:r>
          </w:p>
        </w:tc>
        <w:tc>
          <w:tcPr>
            <w:tcW w:w="1066" w:type="dxa"/>
            <w:tcBorders>
              <w:bottom w:val="single" w:sz="4" w:space="0" w:color="000000"/>
            </w:tcBorders>
          </w:tcPr>
          <w:p>
            <w:pPr>
              <w:pStyle w:val="TableParagraph"/>
              <w:spacing w:before="7"/>
              <w:ind w:right="170"/>
              <w:rPr>
                <w:sz w:val="16"/>
              </w:rPr>
            </w:pPr>
            <w:r>
              <w:rPr>
                <w:w w:val="98"/>
                <w:sz w:val="16"/>
              </w:rPr>
              <w:t>-</w:t>
            </w:r>
          </w:p>
        </w:tc>
        <w:tc>
          <w:tcPr>
            <w:tcW w:w="804" w:type="dxa"/>
            <w:tcBorders>
              <w:bottom w:val="single" w:sz="4" w:space="0" w:color="000000"/>
            </w:tcBorders>
          </w:tcPr>
          <w:p>
            <w:pPr>
              <w:pStyle w:val="TableParagraph"/>
              <w:spacing w:before="7"/>
              <w:ind w:right="149"/>
              <w:rPr>
                <w:sz w:val="16"/>
              </w:rPr>
            </w:pPr>
            <w:r>
              <w:rPr>
                <w:w w:val="98"/>
                <w:sz w:val="16"/>
              </w:rPr>
              <w:t>-</w:t>
            </w:r>
          </w:p>
        </w:tc>
        <w:tc>
          <w:tcPr>
            <w:tcW w:w="1010" w:type="dxa"/>
            <w:tcBorders>
              <w:bottom w:val="single" w:sz="4" w:space="0" w:color="000000"/>
            </w:tcBorders>
          </w:tcPr>
          <w:p>
            <w:pPr>
              <w:pStyle w:val="TableParagraph"/>
              <w:spacing w:before="7"/>
              <w:ind w:right="107"/>
              <w:rPr>
                <w:sz w:val="16"/>
              </w:rPr>
            </w:pPr>
            <w:r>
              <w:rPr>
                <w:w w:val="98"/>
                <w:sz w:val="16"/>
              </w:rPr>
              <w:t>-</w:t>
            </w:r>
          </w:p>
        </w:tc>
        <w:tc>
          <w:tcPr>
            <w:tcW w:w="1137" w:type="dxa"/>
            <w:tcBorders>
              <w:bottom w:val="single" w:sz="4" w:space="0" w:color="000000"/>
            </w:tcBorders>
          </w:tcPr>
          <w:p>
            <w:pPr>
              <w:pStyle w:val="TableParagraph"/>
              <w:spacing w:before="7"/>
              <w:ind w:right="48"/>
              <w:rPr>
                <w:sz w:val="16"/>
              </w:rPr>
            </w:pPr>
            <w:r>
              <w:rPr>
                <w:w w:val="98"/>
                <w:sz w:val="16"/>
              </w:rPr>
              <w:t>-</w:t>
            </w:r>
          </w:p>
        </w:tc>
        <w:tc>
          <w:tcPr>
            <w:tcW w:w="1257" w:type="dxa"/>
            <w:tcBorders>
              <w:bottom w:val="single" w:sz="4" w:space="0" w:color="000000"/>
            </w:tcBorders>
          </w:tcPr>
          <w:p>
            <w:pPr>
              <w:pStyle w:val="TableParagraph"/>
              <w:spacing w:before="7"/>
              <w:ind w:right="225"/>
              <w:rPr>
                <w:sz w:val="16"/>
              </w:rPr>
            </w:pPr>
            <w:r>
              <w:rPr>
                <w:w w:val="98"/>
                <w:sz w:val="16"/>
              </w:rPr>
              <w:t>-</w:t>
            </w:r>
          </w:p>
        </w:tc>
        <w:tc>
          <w:tcPr>
            <w:tcW w:w="813" w:type="dxa"/>
            <w:tcBorders>
              <w:bottom w:val="single" w:sz="4" w:space="0" w:color="000000"/>
            </w:tcBorders>
          </w:tcPr>
          <w:p>
            <w:pPr>
              <w:pStyle w:val="TableParagraph"/>
              <w:spacing w:before="7"/>
              <w:ind w:right="193"/>
              <w:rPr>
                <w:sz w:val="16"/>
              </w:rPr>
            </w:pPr>
            <w:r>
              <w:rPr>
                <w:w w:val="98"/>
                <w:sz w:val="16"/>
              </w:rPr>
              <w:t>-</w:t>
            </w:r>
          </w:p>
        </w:tc>
        <w:tc>
          <w:tcPr>
            <w:tcW w:w="1096" w:type="dxa"/>
            <w:tcBorders>
              <w:bottom w:val="single" w:sz="4" w:space="0" w:color="000000"/>
            </w:tcBorders>
          </w:tcPr>
          <w:p>
            <w:pPr>
              <w:pStyle w:val="TableParagraph"/>
              <w:spacing w:before="7"/>
              <w:ind w:right="98"/>
              <w:rPr>
                <w:sz w:val="16"/>
              </w:rPr>
            </w:pPr>
            <w:r>
              <w:rPr>
                <w:w w:val="98"/>
                <w:sz w:val="16"/>
              </w:rPr>
              <w:t>-</w:t>
            </w:r>
          </w:p>
        </w:tc>
      </w:tr>
      <w:tr>
        <w:trPr>
          <w:trHeight w:val="225" w:hRule="atLeast"/>
        </w:trPr>
        <w:tc>
          <w:tcPr>
            <w:tcW w:w="2461" w:type="dxa"/>
            <w:tcBorders>
              <w:top w:val="single" w:sz="4" w:space="0" w:color="000000"/>
              <w:bottom w:val="single" w:sz="4" w:space="0" w:color="000000"/>
            </w:tcBorders>
          </w:tcPr>
          <w:p>
            <w:pPr>
              <w:pStyle w:val="TableParagraph"/>
              <w:spacing w:before="9"/>
              <w:ind w:right="103"/>
              <w:rPr>
                <w:i/>
                <w:sz w:val="16"/>
              </w:rPr>
            </w:pPr>
            <w:r>
              <w:rPr>
                <w:i/>
                <w:w w:val="95"/>
                <w:sz w:val="16"/>
              </w:rPr>
              <w:t>Subtotal</w:t>
            </w:r>
            <w:r>
              <w:rPr>
                <w:i/>
                <w:spacing w:val="40"/>
                <w:sz w:val="16"/>
              </w:rPr>
              <w:t> </w:t>
            </w:r>
            <w:r>
              <w:rPr>
                <w:i/>
                <w:w w:val="95"/>
                <w:sz w:val="16"/>
              </w:rPr>
              <w:t>non-</w:t>
            </w:r>
            <w:r>
              <w:rPr>
                <w:i/>
                <w:spacing w:val="-4"/>
                <w:w w:val="95"/>
                <w:sz w:val="16"/>
              </w:rPr>
              <w:t>staff</w:t>
            </w:r>
          </w:p>
        </w:tc>
        <w:tc>
          <w:tcPr>
            <w:tcW w:w="1066" w:type="dxa"/>
            <w:tcBorders>
              <w:top w:val="single" w:sz="4" w:space="0" w:color="000000"/>
              <w:bottom w:val="single" w:sz="4" w:space="0" w:color="000000"/>
            </w:tcBorders>
          </w:tcPr>
          <w:p>
            <w:pPr>
              <w:pStyle w:val="TableParagraph"/>
              <w:spacing w:before="9"/>
              <w:ind w:right="170"/>
              <w:rPr>
                <w:i/>
                <w:sz w:val="16"/>
              </w:rPr>
            </w:pPr>
            <w:r>
              <w:rPr>
                <w:i/>
                <w:w w:val="98"/>
                <w:sz w:val="16"/>
              </w:rPr>
              <w:t>-</w:t>
            </w:r>
          </w:p>
        </w:tc>
        <w:tc>
          <w:tcPr>
            <w:tcW w:w="804" w:type="dxa"/>
            <w:tcBorders>
              <w:top w:val="single" w:sz="4" w:space="0" w:color="000000"/>
              <w:bottom w:val="single" w:sz="4" w:space="0" w:color="000000"/>
            </w:tcBorders>
          </w:tcPr>
          <w:p>
            <w:pPr>
              <w:pStyle w:val="TableParagraph"/>
              <w:spacing w:before="9"/>
              <w:ind w:right="149"/>
              <w:rPr>
                <w:i/>
                <w:sz w:val="16"/>
              </w:rPr>
            </w:pPr>
            <w:r>
              <w:rPr>
                <w:i/>
                <w:w w:val="98"/>
                <w:sz w:val="16"/>
              </w:rPr>
              <w:t>-</w:t>
            </w:r>
          </w:p>
        </w:tc>
        <w:tc>
          <w:tcPr>
            <w:tcW w:w="1010" w:type="dxa"/>
            <w:tcBorders>
              <w:top w:val="single" w:sz="4" w:space="0" w:color="000000"/>
              <w:bottom w:val="single" w:sz="4" w:space="0" w:color="000000"/>
            </w:tcBorders>
          </w:tcPr>
          <w:p>
            <w:pPr>
              <w:pStyle w:val="TableParagraph"/>
              <w:spacing w:before="9"/>
              <w:ind w:right="107"/>
              <w:rPr>
                <w:i/>
                <w:sz w:val="16"/>
              </w:rPr>
            </w:pPr>
            <w:r>
              <w:rPr>
                <w:i/>
                <w:w w:val="98"/>
                <w:sz w:val="16"/>
              </w:rPr>
              <w:t>-</w:t>
            </w:r>
          </w:p>
        </w:tc>
        <w:tc>
          <w:tcPr>
            <w:tcW w:w="1137" w:type="dxa"/>
            <w:tcBorders>
              <w:top w:val="single" w:sz="4" w:space="0" w:color="000000"/>
              <w:bottom w:val="single" w:sz="4" w:space="0" w:color="000000"/>
            </w:tcBorders>
          </w:tcPr>
          <w:p>
            <w:pPr>
              <w:pStyle w:val="TableParagraph"/>
              <w:spacing w:before="9"/>
              <w:ind w:right="51"/>
              <w:rPr>
                <w:i/>
                <w:sz w:val="16"/>
              </w:rPr>
            </w:pPr>
            <w:r>
              <w:rPr>
                <w:i/>
                <w:spacing w:val="-2"/>
                <w:sz w:val="16"/>
              </w:rPr>
              <w:t>583.0</w:t>
            </w:r>
          </w:p>
        </w:tc>
        <w:tc>
          <w:tcPr>
            <w:tcW w:w="1257" w:type="dxa"/>
            <w:tcBorders>
              <w:top w:val="single" w:sz="4" w:space="0" w:color="000000"/>
              <w:bottom w:val="single" w:sz="4" w:space="0" w:color="000000"/>
            </w:tcBorders>
          </w:tcPr>
          <w:p>
            <w:pPr>
              <w:pStyle w:val="TableParagraph"/>
              <w:spacing w:before="9"/>
              <w:ind w:right="223"/>
              <w:rPr>
                <w:i/>
                <w:sz w:val="16"/>
              </w:rPr>
            </w:pPr>
            <w:r>
              <w:rPr>
                <w:i/>
                <w:spacing w:val="-2"/>
                <w:sz w:val="16"/>
              </w:rPr>
              <w:t>102.2</w:t>
            </w:r>
          </w:p>
        </w:tc>
        <w:tc>
          <w:tcPr>
            <w:tcW w:w="813" w:type="dxa"/>
            <w:tcBorders>
              <w:top w:val="single" w:sz="4" w:space="0" w:color="000000"/>
              <w:bottom w:val="single" w:sz="4" w:space="0" w:color="000000"/>
            </w:tcBorders>
          </w:tcPr>
          <w:p>
            <w:pPr>
              <w:pStyle w:val="TableParagraph"/>
              <w:spacing w:before="9"/>
              <w:ind w:right="195"/>
              <w:rPr>
                <w:i/>
                <w:sz w:val="16"/>
              </w:rPr>
            </w:pPr>
            <w:r>
              <w:rPr>
                <w:i/>
                <w:spacing w:val="-4"/>
                <w:sz w:val="16"/>
              </w:rPr>
              <w:t>17.5</w:t>
            </w:r>
          </w:p>
        </w:tc>
        <w:tc>
          <w:tcPr>
            <w:tcW w:w="1096" w:type="dxa"/>
            <w:tcBorders>
              <w:top w:val="single" w:sz="4" w:space="0" w:color="000000"/>
              <w:bottom w:val="single" w:sz="4" w:space="0" w:color="000000"/>
            </w:tcBorders>
          </w:tcPr>
          <w:p>
            <w:pPr>
              <w:pStyle w:val="TableParagraph"/>
              <w:spacing w:before="9"/>
              <w:ind w:right="101"/>
              <w:rPr>
                <w:i/>
                <w:sz w:val="16"/>
              </w:rPr>
            </w:pPr>
            <w:r>
              <w:rPr>
                <w:i/>
                <w:spacing w:val="-2"/>
                <w:sz w:val="16"/>
              </w:rPr>
              <w:t>685.2</w:t>
            </w:r>
          </w:p>
        </w:tc>
      </w:tr>
      <w:tr>
        <w:trPr>
          <w:trHeight w:val="230" w:hRule="atLeast"/>
        </w:trPr>
        <w:tc>
          <w:tcPr>
            <w:tcW w:w="2461" w:type="dxa"/>
            <w:tcBorders>
              <w:top w:val="single" w:sz="4" w:space="0" w:color="000000"/>
              <w:bottom w:val="single" w:sz="12" w:space="0" w:color="000000"/>
            </w:tcBorders>
          </w:tcPr>
          <w:p>
            <w:pPr>
              <w:pStyle w:val="TableParagraph"/>
              <w:spacing w:before="14"/>
              <w:ind w:left="117"/>
              <w:jc w:val="left"/>
              <w:rPr>
                <w:b/>
                <w:sz w:val="16"/>
              </w:rPr>
            </w:pPr>
            <w:r>
              <w:rPr>
                <w:b/>
                <w:spacing w:val="-2"/>
                <w:sz w:val="16"/>
              </w:rPr>
              <w:t>Total</w:t>
            </w:r>
          </w:p>
        </w:tc>
        <w:tc>
          <w:tcPr>
            <w:tcW w:w="1066" w:type="dxa"/>
            <w:tcBorders>
              <w:top w:val="single" w:sz="4" w:space="0" w:color="000000"/>
              <w:bottom w:val="single" w:sz="12" w:space="0" w:color="000000"/>
            </w:tcBorders>
          </w:tcPr>
          <w:p>
            <w:pPr>
              <w:pStyle w:val="TableParagraph"/>
              <w:spacing w:before="14"/>
              <w:ind w:right="170"/>
              <w:rPr>
                <w:b/>
                <w:sz w:val="16"/>
              </w:rPr>
            </w:pPr>
            <w:r>
              <w:rPr>
                <w:b/>
                <w:w w:val="98"/>
                <w:sz w:val="16"/>
              </w:rPr>
              <w:t>-</w:t>
            </w:r>
          </w:p>
        </w:tc>
        <w:tc>
          <w:tcPr>
            <w:tcW w:w="804" w:type="dxa"/>
            <w:tcBorders>
              <w:top w:val="single" w:sz="4" w:space="0" w:color="000000"/>
              <w:bottom w:val="single" w:sz="12" w:space="0" w:color="000000"/>
            </w:tcBorders>
          </w:tcPr>
          <w:p>
            <w:pPr>
              <w:pStyle w:val="TableParagraph"/>
              <w:spacing w:before="14"/>
              <w:ind w:right="149"/>
              <w:rPr>
                <w:b/>
                <w:sz w:val="16"/>
              </w:rPr>
            </w:pPr>
            <w:r>
              <w:rPr>
                <w:b/>
                <w:w w:val="98"/>
                <w:sz w:val="16"/>
              </w:rPr>
              <w:t>-</w:t>
            </w:r>
          </w:p>
        </w:tc>
        <w:tc>
          <w:tcPr>
            <w:tcW w:w="1010" w:type="dxa"/>
            <w:tcBorders>
              <w:top w:val="single" w:sz="4" w:space="0" w:color="000000"/>
              <w:bottom w:val="single" w:sz="12" w:space="0" w:color="000000"/>
            </w:tcBorders>
          </w:tcPr>
          <w:p>
            <w:pPr>
              <w:pStyle w:val="TableParagraph"/>
              <w:spacing w:before="14"/>
              <w:ind w:right="107"/>
              <w:rPr>
                <w:b/>
                <w:sz w:val="16"/>
              </w:rPr>
            </w:pPr>
            <w:r>
              <w:rPr>
                <w:b/>
                <w:w w:val="98"/>
                <w:sz w:val="16"/>
              </w:rPr>
              <w:t>-</w:t>
            </w:r>
          </w:p>
        </w:tc>
        <w:tc>
          <w:tcPr>
            <w:tcW w:w="1137" w:type="dxa"/>
            <w:tcBorders>
              <w:top w:val="single" w:sz="4" w:space="0" w:color="000000"/>
              <w:bottom w:val="single" w:sz="12" w:space="0" w:color="000000"/>
            </w:tcBorders>
          </w:tcPr>
          <w:p>
            <w:pPr>
              <w:pStyle w:val="TableParagraph"/>
              <w:spacing w:before="14"/>
              <w:ind w:right="52"/>
              <w:rPr>
                <w:b/>
                <w:sz w:val="16"/>
              </w:rPr>
            </w:pPr>
            <w:r>
              <w:rPr>
                <w:b/>
                <w:spacing w:val="-2"/>
                <w:sz w:val="16"/>
              </w:rPr>
              <w:t>13,912.1</w:t>
            </w:r>
          </w:p>
        </w:tc>
        <w:tc>
          <w:tcPr>
            <w:tcW w:w="1257" w:type="dxa"/>
            <w:tcBorders>
              <w:top w:val="single" w:sz="4" w:space="0" w:color="000000"/>
              <w:bottom w:val="single" w:sz="12" w:space="0" w:color="000000"/>
            </w:tcBorders>
          </w:tcPr>
          <w:p>
            <w:pPr>
              <w:pStyle w:val="TableParagraph"/>
              <w:spacing w:before="14"/>
              <w:ind w:right="226"/>
              <w:rPr>
                <w:b/>
                <w:sz w:val="16"/>
              </w:rPr>
            </w:pPr>
            <w:r>
              <w:rPr>
                <w:b/>
                <w:spacing w:val="-2"/>
                <w:sz w:val="16"/>
              </w:rPr>
              <w:t>(955.2)</w:t>
            </w:r>
          </w:p>
        </w:tc>
        <w:tc>
          <w:tcPr>
            <w:tcW w:w="813" w:type="dxa"/>
            <w:tcBorders>
              <w:top w:val="single" w:sz="4" w:space="0" w:color="000000"/>
              <w:bottom w:val="single" w:sz="12" w:space="0" w:color="000000"/>
            </w:tcBorders>
          </w:tcPr>
          <w:p>
            <w:pPr>
              <w:pStyle w:val="TableParagraph"/>
              <w:spacing w:before="14"/>
              <w:ind w:right="198"/>
              <w:rPr>
                <w:b/>
                <w:sz w:val="16"/>
              </w:rPr>
            </w:pPr>
            <w:r>
              <w:rPr>
                <w:b/>
                <w:spacing w:val="-2"/>
                <w:sz w:val="16"/>
              </w:rPr>
              <w:t>(6.9)</w:t>
            </w:r>
          </w:p>
        </w:tc>
        <w:tc>
          <w:tcPr>
            <w:tcW w:w="1096" w:type="dxa"/>
            <w:tcBorders>
              <w:top w:val="single" w:sz="4" w:space="0" w:color="000000"/>
              <w:bottom w:val="single" w:sz="12" w:space="0" w:color="000000"/>
            </w:tcBorders>
          </w:tcPr>
          <w:p>
            <w:pPr>
              <w:pStyle w:val="TableParagraph"/>
              <w:spacing w:before="14"/>
              <w:ind w:right="101"/>
              <w:rPr>
                <w:b/>
                <w:sz w:val="16"/>
              </w:rPr>
            </w:pPr>
            <w:r>
              <w:rPr>
                <w:b/>
                <w:spacing w:val="-2"/>
                <w:sz w:val="16"/>
              </w:rPr>
              <w:t>12,956.9</w:t>
            </w:r>
          </w:p>
        </w:tc>
      </w:tr>
    </w:tbl>
    <w:p>
      <w:pPr>
        <w:pStyle w:val="BodyText"/>
        <w:spacing w:before="9"/>
        <w:rPr>
          <w:b/>
          <w:sz w:val="21"/>
        </w:rPr>
      </w:pPr>
    </w:p>
    <w:p>
      <w:pPr>
        <w:spacing w:before="0"/>
        <w:ind w:left="2246" w:right="0" w:firstLine="0"/>
        <w:jc w:val="left"/>
        <w:rPr>
          <w:b/>
          <w:sz w:val="20"/>
        </w:rPr>
      </w:pPr>
      <w:r>
        <w:rPr>
          <w:b/>
          <w:sz w:val="20"/>
        </w:rPr>
        <w:t>Table</w:t>
      </w:r>
      <w:r>
        <w:rPr>
          <w:b/>
          <w:spacing w:val="-6"/>
          <w:sz w:val="20"/>
        </w:rPr>
        <w:t> </w:t>
      </w:r>
      <w:r>
        <w:rPr>
          <w:b/>
          <w:sz w:val="20"/>
        </w:rPr>
        <w:t>18:</w:t>
      </w:r>
      <w:r>
        <w:rPr>
          <w:b/>
          <w:spacing w:val="-8"/>
          <w:sz w:val="20"/>
        </w:rPr>
        <w:t> </w:t>
      </w:r>
      <w:r>
        <w:rPr>
          <w:b/>
          <w:sz w:val="20"/>
        </w:rPr>
        <w:t>Deputy</w:t>
      </w:r>
      <w:r>
        <w:rPr>
          <w:b/>
          <w:spacing w:val="-7"/>
          <w:sz w:val="20"/>
        </w:rPr>
        <w:t> </w:t>
      </w:r>
      <w:r>
        <w:rPr>
          <w:b/>
          <w:sz w:val="20"/>
        </w:rPr>
        <w:t>Prosecutor:</w:t>
      </w:r>
      <w:r>
        <w:rPr>
          <w:b/>
          <w:spacing w:val="-8"/>
          <w:sz w:val="20"/>
        </w:rPr>
        <w:t> </w:t>
      </w:r>
      <w:r>
        <w:rPr>
          <w:b/>
          <w:sz w:val="20"/>
        </w:rPr>
        <w:t>Proposed</w:t>
      </w:r>
      <w:r>
        <w:rPr>
          <w:b/>
          <w:spacing w:val="-4"/>
          <w:sz w:val="20"/>
        </w:rPr>
        <w:t> </w:t>
      </w:r>
      <w:r>
        <w:rPr>
          <w:b/>
          <w:sz w:val="20"/>
        </w:rPr>
        <w:t>staffing</w:t>
      </w:r>
      <w:r>
        <w:rPr>
          <w:b/>
          <w:spacing w:val="-8"/>
          <w:sz w:val="20"/>
        </w:rPr>
        <w:t> </w:t>
      </w:r>
      <w:r>
        <w:rPr>
          <w:b/>
          <w:sz w:val="20"/>
        </w:rPr>
        <w:t>for</w:t>
      </w:r>
      <w:r>
        <w:rPr>
          <w:b/>
          <w:spacing w:val="-5"/>
          <w:sz w:val="20"/>
        </w:rPr>
        <w:t> </w:t>
      </w:r>
      <w:r>
        <w:rPr>
          <w:b/>
          <w:spacing w:val="-4"/>
          <w:sz w:val="20"/>
        </w:rPr>
        <w:t>2023</w:t>
      </w:r>
    </w:p>
    <w:tbl>
      <w:tblPr>
        <w:tblW w:w="0" w:type="auto"/>
        <w:jc w:val="left"/>
        <w:tblInd w:w="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6"/>
        <w:gridCol w:w="678"/>
        <w:gridCol w:w="607"/>
        <w:gridCol w:w="563"/>
        <w:gridCol w:w="581"/>
        <w:gridCol w:w="512"/>
        <w:gridCol w:w="594"/>
        <w:gridCol w:w="668"/>
        <w:gridCol w:w="714"/>
        <w:gridCol w:w="490"/>
        <w:gridCol w:w="793"/>
        <w:gridCol w:w="568"/>
        <w:gridCol w:w="580"/>
        <w:gridCol w:w="563"/>
        <w:gridCol w:w="813"/>
        <w:gridCol w:w="525"/>
      </w:tblGrid>
      <w:tr>
        <w:trPr>
          <w:trHeight w:val="479" w:hRule="atLeast"/>
        </w:trPr>
        <w:tc>
          <w:tcPr>
            <w:tcW w:w="1186"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ind w:left="67"/>
              <w:jc w:val="left"/>
              <w:rPr>
                <w:sz w:val="14"/>
              </w:rPr>
            </w:pPr>
            <w:r>
              <w:rPr>
                <w:spacing w:val="-4"/>
                <w:sz w:val="14"/>
              </w:rPr>
              <w:t>2700</w:t>
            </w:r>
          </w:p>
        </w:tc>
        <w:tc>
          <w:tcPr>
            <w:tcW w:w="678"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ind w:right="152"/>
              <w:rPr>
                <w:sz w:val="14"/>
              </w:rPr>
            </w:pPr>
            <w:r>
              <w:rPr>
                <w:spacing w:val="-5"/>
                <w:sz w:val="14"/>
              </w:rPr>
              <w:t>USG</w:t>
            </w:r>
          </w:p>
        </w:tc>
        <w:tc>
          <w:tcPr>
            <w:tcW w:w="607"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ind w:right="169"/>
              <w:rPr>
                <w:sz w:val="14"/>
              </w:rPr>
            </w:pPr>
            <w:r>
              <w:rPr>
                <w:spacing w:val="-5"/>
                <w:sz w:val="14"/>
              </w:rPr>
              <w:t>ASG</w:t>
            </w:r>
          </w:p>
        </w:tc>
        <w:tc>
          <w:tcPr>
            <w:tcW w:w="563"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ind w:right="167"/>
              <w:rPr>
                <w:sz w:val="14"/>
              </w:rPr>
            </w:pPr>
            <w:r>
              <w:rPr>
                <w:w w:val="95"/>
                <w:sz w:val="14"/>
              </w:rPr>
              <w:t>D-</w:t>
            </w:r>
            <w:r>
              <w:rPr>
                <w:spacing w:val="-10"/>
                <w:sz w:val="14"/>
              </w:rPr>
              <w:t>2</w:t>
            </w:r>
          </w:p>
        </w:tc>
        <w:tc>
          <w:tcPr>
            <w:tcW w:w="581"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ind w:right="187"/>
              <w:rPr>
                <w:sz w:val="14"/>
              </w:rPr>
            </w:pPr>
            <w:r>
              <w:rPr>
                <w:w w:val="95"/>
                <w:sz w:val="14"/>
              </w:rPr>
              <w:t>D-</w:t>
            </w:r>
            <w:r>
              <w:rPr>
                <w:spacing w:val="-10"/>
                <w:sz w:val="14"/>
              </w:rPr>
              <w:t>1</w:t>
            </w:r>
          </w:p>
        </w:tc>
        <w:tc>
          <w:tcPr>
            <w:tcW w:w="512"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ind w:right="122"/>
              <w:rPr>
                <w:sz w:val="14"/>
              </w:rPr>
            </w:pPr>
            <w:r>
              <w:rPr>
                <w:w w:val="95"/>
                <w:sz w:val="14"/>
              </w:rPr>
              <w:t>P-</w:t>
            </w:r>
            <w:r>
              <w:rPr>
                <w:spacing w:val="-10"/>
                <w:sz w:val="14"/>
              </w:rPr>
              <w:t>5</w:t>
            </w:r>
          </w:p>
        </w:tc>
        <w:tc>
          <w:tcPr>
            <w:tcW w:w="594"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ind w:right="131"/>
              <w:rPr>
                <w:sz w:val="14"/>
              </w:rPr>
            </w:pPr>
            <w:r>
              <w:rPr>
                <w:w w:val="95"/>
                <w:sz w:val="14"/>
              </w:rPr>
              <w:t>P-</w:t>
            </w:r>
            <w:r>
              <w:rPr>
                <w:spacing w:val="-10"/>
                <w:sz w:val="14"/>
              </w:rPr>
              <w:t>4</w:t>
            </w:r>
          </w:p>
        </w:tc>
        <w:tc>
          <w:tcPr>
            <w:tcW w:w="668"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ind w:right="203"/>
              <w:rPr>
                <w:sz w:val="14"/>
              </w:rPr>
            </w:pPr>
            <w:r>
              <w:rPr>
                <w:w w:val="95"/>
                <w:sz w:val="14"/>
              </w:rPr>
              <w:t>P-</w:t>
            </w:r>
            <w:r>
              <w:rPr>
                <w:spacing w:val="-10"/>
                <w:sz w:val="14"/>
              </w:rPr>
              <w:t>3</w:t>
            </w:r>
          </w:p>
        </w:tc>
        <w:tc>
          <w:tcPr>
            <w:tcW w:w="714"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ind w:right="177"/>
              <w:rPr>
                <w:sz w:val="14"/>
              </w:rPr>
            </w:pPr>
            <w:r>
              <w:rPr>
                <w:w w:val="95"/>
                <w:sz w:val="14"/>
              </w:rPr>
              <w:t>P-</w:t>
            </w:r>
            <w:r>
              <w:rPr>
                <w:spacing w:val="-10"/>
                <w:sz w:val="14"/>
              </w:rPr>
              <w:t>2</w:t>
            </w:r>
          </w:p>
        </w:tc>
        <w:tc>
          <w:tcPr>
            <w:tcW w:w="490"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ind w:right="72"/>
              <w:rPr>
                <w:sz w:val="14"/>
              </w:rPr>
            </w:pPr>
            <w:r>
              <w:rPr>
                <w:w w:val="95"/>
                <w:sz w:val="14"/>
              </w:rPr>
              <w:t>P-</w:t>
            </w:r>
            <w:r>
              <w:rPr>
                <w:spacing w:val="-10"/>
                <w:sz w:val="14"/>
              </w:rPr>
              <w:t>1</w:t>
            </w:r>
          </w:p>
        </w:tc>
        <w:tc>
          <w:tcPr>
            <w:tcW w:w="793" w:type="dxa"/>
            <w:tcBorders>
              <w:top w:val="single" w:sz="4" w:space="0" w:color="000000"/>
              <w:bottom w:val="single" w:sz="4" w:space="0" w:color="000000"/>
            </w:tcBorders>
          </w:tcPr>
          <w:p>
            <w:pPr>
              <w:pStyle w:val="TableParagraph"/>
              <w:spacing w:line="151" w:lineRule="exact"/>
              <w:ind w:left="365"/>
              <w:jc w:val="left"/>
              <w:rPr>
                <w:i/>
                <w:sz w:val="14"/>
              </w:rPr>
            </w:pPr>
            <w:r>
              <w:rPr>
                <w:i/>
                <w:spacing w:val="-2"/>
                <w:sz w:val="14"/>
              </w:rPr>
              <w:t>Total</w:t>
            </w:r>
          </w:p>
          <w:p>
            <w:pPr>
              <w:pStyle w:val="TableParagraph"/>
              <w:spacing w:line="158" w:lineRule="exact"/>
              <w:ind w:left="66" w:right="121" w:firstLine="201"/>
              <w:jc w:val="left"/>
              <w:rPr>
                <w:i/>
                <w:sz w:val="14"/>
              </w:rPr>
            </w:pPr>
            <w:r>
              <w:rPr>
                <w:i/>
                <w:spacing w:val="-2"/>
                <w:sz w:val="14"/>
              </w:rPr>
              <w:t>P-Staff</w:t>
            </w:r>
            <w:r>
              <w:rPr>
                <w:i/>
                <w:spacing w:val="40"/>
                <w:sz w:val="14"/>
              </w:rPr>
              <w:t> </w:t>
            </w:r>
            <w:r>
              <w:rPr>
                <w:i/>
                <w:sz w:val="14"/>
              </w:rPr>
              <w:t>and</w:t>
            </w:r>
            <w:r>
              <w:rPr>
                <w:i/>
                <w:spacing w:val="1"/>
                <w:sz w:val="14"/>
              </w:rPr>
              <w:t> </w:t>
            </w:r>
            <w:r>
              <w:rPr>
                <w:i/>
                <w:spacing w:val="-2"/>
                <w:sz w:val="14"/>
              </w:rPr>
              <w:t>Above</w:t>
            </w:r>
          </w:p>
        </w:tc>
        <w:tc>
          <w:tcPr>
            <w:tcW w:w="568"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ind w:right="99"/>
              <w:rPr>
                <w:sz w:val="14"/>
              </w:rPr>
            </w:pPr>
            <w:r>
              <w:rPr>
                <w:w w:val="95"/>
                <w:sz w:val="14"/>
              </w:rPr>
              <w:t>NO-</w:t>
            </w:r>
            <w:r>
              <w:rPr>
                <w:spacing w:val="-10"/>
                <w:sz w:val="14"/>
              </w:rPr>
              <w:t>C</w:t>
            </w:r>
          </w:p>
        </w:tc>
        <w:tc>
          <w:tcPr>
            <w:tcW w:w="580"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ind w:right="92"/>
              <w:rPr>
                <w:sz w:val="14"/>
              </w:rPr>
            </w:pPr>
            <w:r>
              <w:rPr>
                <w:w w:val="95"/>
                <w:sz w:val="14"/>
              </w:rPr>
              <w:t>GS-</w:t>
            </w:r>
            <w:r>
              <w:rPr>
                <w:spacing w:val="-5"/>
                <w:sz w:val="14"/>
              </w:rPr>
              <w:t>PL</w:t>
            </w:r>
          </w:p>
        </w:tc>
        <w:tc>
          <w:tcPr>
            <w:tcW w:w="563"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ind w:right="63"/>
              <w:rPr>
                <w:sz w:val="14"/>
              </w:rPr>
            </w:pPr>
            <w:r>
              <w:rPr>
                <w:w w:val="95"/>
                <w:sz w:val="14"/>
              </w:rPr>
              <w:t>GS-</w:t>
            </w:r>
            <w:r>
              <w:rPr>
                <w:spacing w:val="-5"/>
                <w:sz w:val="14"/>
              </w:rPr>
              <w:t>OL</w:t>
            </w:r>
          </w:p>
        </w:tc>
        <w:tc>
          <w:tcPr>
            <w:tcW w:w="813" w:type="dxa"/>
            <w:tcBorders>
              <w:top w:val="single" w:sz="4" w:space="0" w:color="000000"/>
              <w:bottom w:val="single" w:sz="4" w:space="0" w:color="000000"/>
            </w:tcBorders>
          </w:tcPr>
          <w:p>
            <w:pPr>
              <w:pStyle w:val="TableParagraph"/>
              <w:spacing w:line="151" w:lineRule="exact"/>
              <w:ind w:left="377"/>
              <w:jc w:val="left"/>
              <w:rPr>
                <w:i/>
                <w:sz w:val="14"/>
              </w:rPr>
            </w:pPr>
            <w:r>
              <w:rPr>
                <w:i/>
                <w:spacing w:val="-2"/>
                <w:sz w:val="14"/>
              </w:rPr>
              <w:t>Total</w:t>
            </w:r>
          </w:p>
          <w:p>
            <w:pPr>
              <w:pStyle w:val="TableParagraph"/>
              <w:spacing w:line="158" w:lineRule="exact"/>
              <w:ind w:left="55" w:right="133" w:firstLine="197"/>
              <w:jc w:val="left"/>
              <w:rPr>
                <w:i/>
                <w:sz w:val="14"/>
              </w:rPr>
            </w:pPr>
            <w:r>
              <w:rPr>
                <w:i/>
                <w:sz w:val="14"/>
              </w:rPr>
              <w:t>GS</w:t>
            </w:r>
            <w:r>
              <w:rPr>
                <w:i/>
                <w:spacing w:val="-9"/>
                <w:sz w:val="14"/>
              </w:rPr>
              <w:t> </w:t>
            </w:r>
            <w:r>
              <w:rPr>
                <w:i/>
                <w:sz w:val="14"/>
              </w:rPr>
              <w:t>and</w:t>
            </w:r>
            <w:r>
              <w:rPr>
                <w:i/>
                <w:spacing w:val="40"/>
                <w:sz w:val="14"/>
              </w:rPr>
              <w:t> </w:t>
            </w:r>
            <w:r>
              <w:rPr>
                <w:i/>
                <w:sz w:val="14"/>
              </w:rPr>
              <w:t>Other</w:t>
            </w:r>
            <w:r>
              <w:rPr>
                <w:i/>
                <w:spacing w:val="-5"/>
                <w:sz w:val="14"/>
              </w:rPr>
              <w:t> </w:t>
            </w:r>
            <w:r>
              <w:rPr>
                <w:i/>
                <w:spacing w:val="-2"/>
                <w:sz w:val="14"/>
              </w:rPr>
              <w:t>Staff</w:t>
            </w:r>
          </w:p>
        </w:tc>
        <w:tc>
          <w:tcPr>
            <w:tcW w:w="525" w:type="dxa"/>
            <w:tcBorders>
              <w:top w:val="single" w:sz="4" w:space="0" w:color="000000"/>
              <w:bottom w:val="single" w:sz="4" w:space="0" w:color="000000"/>
            </w:tcBorders>
          </w:tcPr>
          <w:p>
            <w:pPr>
              <w:pStyle w:val="TableParagraph"/>
              <w:spacing w:before="5"/>
              <w:jc w:val="left"/>
              <w:rPr>
                <w:b/>
                <w:sz w:val="12"/>
              </w:rPr>
            </w:pPr>
          </w:p>
          <w:p>
            <w:pPr>
              <w:pStyle w:val="TableParagraph"/>
              <w:spacing w:line="158" w:lineRule="exact"/>
              <w:ind w:left="173" w:hanging="34"/>
              <w:jc w:val="left"/>
              <w:rPr>
                <w:b/>
                <w:sz w:val="14"/>
              </w:rPr>
            </w:pPr>
            <w:r>
              <w:rPr>
                <w:b/>
                <w:spacing w:val="-4"/>
                <w:sz w:val="14"/>
              </w:rPr>
              <w:t>Total</w:t>
            </w:r>
            <w:r>
              <w:rPr>
                <w:b/>
                <w:spacing w:val="40"/>
                <w:sz w:val="14"/>
              </w:rPr>
              <w:t> </w:t>
            </w:r>
            <w:r>
              <w:rPr>
                <w:b/>
                <w:spacing w:val="-4"/>
                <w:sz w:val="14"/>
              </w:rPr>
              <w:t>Staff</w:t>
            </w:r>
          </w:p>
        </w:tc>
      </w:tr>
      <w:tr>
        <w:trPr>
          <w:trHeight w:val="233" w:hRule="atLeast"/>
        </w:trPr>
        <w:tc>
          <w:tcPr>
            <w:tcW w:w="1186" w:type="dxa"/>
            <w:tcBorders>
              <w:top w:val="single" w:sz="4" w:space="0" w:color="000000"/>
            </w:tcBorders>
          </w:tcPr>
          <w:p>
            <w:pPr>
              <w:pStyle w:val="TableParagraph"/>
              <w:spacing w:before="28"/>
              <w:ind w:left="67"/>
              <w:jc w:val="left"/>
              <w:rPr>
                <w:b/>
                <w:sz w:val="14"/>
              </w:rPr>
            </w:pPr>
            <w:r>
              <w:rPr>
                <w:b/>
                <w:spacing w:val="-2"/>
                <w:sz w:val="14"/>
              </w:rPr>
              <w:t>Established</w:t>
            </w:r>
            <w:r>
              <w:rPr>
                <w:b/>
                <w:spacing w:val="11"/>
                <w:sz w:val="14"/>
              </w:rPr>
              <w:t> </w:t>
            </w:r>
            <w:r>
              <w:rPr>
                <w:b/>
                <w:spacing w:val="-2"/>
                <w:sz w:val="14"/>
              </w:rPr>
              <w:t>Posts</w:t>
            </w:r>
          </w:p>
        </w:tc>
        <w:tc>
          <w:tcPr>
            <w:tcW w:w="678" w:type="dxa"/>
            <w:tcBorders>
              <w:top w:val="single" w:sz="4" w:space="0" w:color="000000"/>
            </w:tcBorders>
          </w:tcPr>
          <w:p>
            <w:pPr>
              <w:pStyle w:val="TableParagraph"/>
              <w:jc w:val="left"/>
              <w:rPr>
                <w:sz w:val="14"/>
              </w:rPr>
            </w:pPr>
          </w:p>
        </w:tc>
        <w:tc>
          <w:tcPr>
            <w:tcW w:w="607" w:type="dxa"/>
            <w:tcBorders>
              <w:top w:val="single" w:sz="4" w:space="0" w:color="000000"/>
            </w:tcBorders>
          </w:tcPr>
          <w:p>
            <w:pPr>
              <w:pStyle w:val="TableParagraph"/>
              <w:jc w:val="left"/>
              <w:rPr>
                <w:sz w:val="14"/>
              </w:rPr>
            </w:pPr>
          </w:p>
        </w:tc>
        <w:tc>
          <w:tcPr>
            <w:tcW w:w="563" w:type="dxa"/>
            <w:tcBorders>
              <w:top w:val="single" w:sz="4" w:space="0" w:color="000000"/>
            </w:tcBorders>
          </w:tcPr>
          <w:p>
            <w:pPr>
              <w:pStyle w:val="TableParagraph"/>
              <w:jc w:val="left"/>
              <w:rPr>
                <w:sz w:val="14"/>
              </w:rPr>
            </w:pPr>
          </w:p>
        </w:tc>
        <w:tc>
          <w:tcPr>
            <w:tcW w:w="581" w:type="dxa"/>
            <w:tcBorders>
              <w:top w:val="single" w:sz="4" w:space="0" w:color="000000"/>
            </w:tcBorders>
          </w:tcPr>
          <w:p>
            <w:pPr>
              <w:pStyle w:val="TableParagraph"/>
              <w:jc w:val="left"/>
              <w:rPr>
                <w:sz w:val="14"/>
              </w:rPr>
            </w:pPr>
          </w:p>
        </w:tc>
        <w:tc>
          <w:tcPr>
            <w:tcW w:w="512" w:type="dxa"/>
            <w:tcBorders>
              <w:top w:val="single" w:sz="4" w:space="0" w:color="000000"/>
            </w:tcBorders>
          </w:tcPr>
          <w:p>
            <w:pPr>
              <w:pStyle w:val="TableParagraph"/>
              <w:jc w:val="left"/>
              <w:rPr>
                <w:sz w:val="14"/>
              </w:rPr>
            </w:pPr>
          </w:p>
        </w:tc>
        <w:tc>
          <w:tcPr>
            <w:tcW w:w="594" w:type="dxa"/>
            <w:tcBorders>
              <w:top w:val="single" w:sz="4" w:space="0" w:color="000000"/>
            </w:tcBorders>
          </w:tcPr>
          <w:p>
            <w:pPr>
              <w:pStyle w:val="TableParagraph"/>
              <w:jc w:val="left"/>
              <w:rPr>
                <w:sz w:val="14"/>
              </w:rPr>
            </w:pPr>
          </w:p>
        </w:tc>
        <w:tc>
          <w:tcPr>
            <w:tcW w:w="668" w:type="dxa"/>
            <w:tcBorders>
              <w:top w:val="single" w:sz="4" w:space="0" w:color="000000"/>
            </w:tcBorders>
          </w:tcPr>
          <w:p>
            <w:pPr>
              <w:pStyle w:val="TableParagraph"/>
              <w:jc w:val="left"/>
              <w:rPr>
                <w:sz w:val="14"/>
              </w:rPr>
            </w:pPr>
          </w:p>
        </w:tc>
        <w:tc>
          <w:tcPr>
            <w:tcW w:w="714" w:type="dxa"/>
            <w:tcBorders>
              <w:top w:val="single" w:sz="4" w:space="0" w:color="000000"/>
            </w:tcBorders>
          </w:tcPr>
          <w:p>
            <w:pPr>
              <w:pStyle w:val="TableParagraph"/>
              <w:jc w:val="left"/>
              <w:rPr>
                <w:sz w:val="14"/>
              </w:rPr>
            </w:pPr>
          </w:p>
        </w:tc>
        <w:tc>
          <w:tcPr>
            <w:tcW w:w="490" w:type="dxa"/>
            <w:tcBorders>
              <w:top w:val="single" w:sz="4" w:space="0" w:color="000000"/>
            </w:tcBorders>
          </w:tcPr>
          <w:p>
            <w:pPr>
              <w:pStyle w:val="TableParagraph"/>
              <w:jc w:val="left"/>
              <w:rPr>
                <w:sz w:val="14"/>
              </w:rPr>
            </w:pPr>
          </w:p>
        </w:tc>
        <w:tc>
          <w:tcPr>
            <w:tcW w:w="793" w:type="dxa"/>
            <w:tcBorders>
              <w:top w:val="single" w:sz="4" w:space="0" w:color="000000"/>
            </w:tcBorders>
          </w:tcPr>
          <w:p>
            <w:pPr>
              <w:pStyle w:val="TableParagraph"/>
              <w:jc w:val="left"/>
              <w:rPr>
                <w:sz w:val="14"/>
              </w:rPr>
            </w:pPr>
          </w:p>
        </w:tc>
        <w:tc>
          <w:tcPr>
            <w:tcW w:w="568" w:type="dxa"/>
            <w:tcBorders>
              <w:top w:val="single" w:sz="4" w:space="0" w:color="000000"/>
            </w:tcBorders>
          </w:tcPr>
          <w:p>
            <w:pPr>
              <w:pStyle w:val="TableParagraph"/>
              <w:jc w:val="left"/>
              <w:rPr>
                <w:sz w:val="14"/>
              </w:rPr>
            </w:pPr>
          </w:p>
        </w:tc>
        <w:tc>
          <w:tcPr>
            <w:tcW w:w="580" w:type="dxa"/>
            <w:tcBorders>
              <w:top w:val="single" w:sz="4" w:space="0" w:color="000000"/>
            </w:tcBorders>
          </w:tcPr>
          <w:p>
            <w:pPr>
              <w:pStyle w:val="TableParagraph"/>
              <w:jc w:val="left"/>
              <w:rPr>
                <w:sz w:val="14"/>
              </w:rPr>
            </w:pPr>
          </w:p>
        </w:tc>
        <w:tc>
          <w:tcPr>
            <w:tcW w:w="563" w:type="dxa"/>
            <w:tcBorders>
              <w:top w:val="single" w:sz="4" w:space="0" w:color="000000"/>
            </w:tcBorders>
          </w:tcPr>
          <w:p>
            <w:pPr>
              <w:pStyle w:val="TableParagraph"/>
              <w:jc w:val="left"/>
              <w:rPr>
                <w:sz w:val="14"/>
              </w:rPr>
            </w:pPr>
          </w:p>
        </w:tc>
        <w:tc>
          <w:tcPr>
            <w:tcW w:w="813" w:type="dxa"/>
            <w:tcBorders>
              <w:top w:val="single" w:sz="4" w:space="0" w:color="000000"/>
            </w:tcBorders>
          </w:tcPr>
          <w:p>
            <w:pPr>
              <w:pStyle w:val="TableParagraph"/>
              <w:jc w:val="left"/>
              <w:rPr>
                <w:sz w:val="14"/>
              </w:rPr>
            </w:pPr>
          </w:p>
        </w:tc>
        <w:tc>
          <w:tcPr>
            <w:tcW w:w="525" w:type="dxa"/>
            <w:tcBorders>
              <w:top w:val="single" w:sz="4" w:space="0" w:color="000000"/>
            </w:tcBorders>
          </w:tcPr>
          <w:p>
            <w:pPr>
              <w:pStyle w:val="TableParagraph"/>
              <w:jc w:val="left"/>
              <w:rPr>
                <w:sz w:val="14"/>
              </w:rPr>
            </w:pPr>
          </w:p>
        </w:tc>
      </w:tr>
      <w:tr>
        <w:trPr>
          <w:trHeight w:val="221" w:hRule="atLeast"/>
        </w:trPr>
        <w:tc>
          <w:tcPr>
            <w:tcW w:w="1186" w:type="dxa"/>
            <w:tcBorders>
              <w:bottom w:val="single" w:sz="12" w:space="0" w:color="000000"/>
            </w:tcBorders>
          </w:tcPr>
          <w:p>
            <w:pPr>
              <w:pStyle w:val="TableParagraph"/>
              <w:spacing w:before="20"/>
              <w:ind w:left="67"/>
              <w:jc w:val="left"/>
              <w:rPr>
                <w:sz w:val="14"/>
              </w:rPr>
            </w:pPr>
            <w:r>
              <w:rPr>
                <w:w w:val="95"/>
                <w:sz w:val="14"/>
              </w:rPr>
              <w:t>Approved</w:t>
            </w:r>
            <w:r>
              <w:rPr>
                <w:spacing w:val="22"/>
                <w:sz w:val="14"/>
              </w:rPr>
              <w:t> </w:t>
            </w:r>
            <w:r>
              <w:rPr>
                <w:spacing w:val="-4"/>
                <w:sz w:val="14"/>
              </w:rPr>
              <w:t>2022</w:t>
            </w:r>
          </w:p>
        </w:tc>
        <w:tc>
          <w:tcPr>
            <w:tcW w:w="678" w:type="dxa"/>
            <w:tcBorders>
              <w:bottom w:val="single" w:sz="12" w:space="0" w:color="000000"/>
            </w:tcBorders>
          </w:tcPr>
          <w:p>
            <w:pPr>
              <w:pStyle w:val="TableParagraph"/>
              <w:spacing w:before="20"/>
              <w:ind w:right="154"/>
              <w:rPr>
                <w:sz w:val="14"/>
              </w:rPr>
            </w:pPr>
            <w:r>
              <w:rPr>
                <w:w w:val="99"/>
                <w:sz w:val="14"/>
              </w:rPr>
              <w:t>-</w:t>
            </w:r>
          </w:p>
        </w:tc>
        <w:tc>
          <w:tcPr>
            <w:tcW w:w="607" w:type="dxa"/>
            <w:tcBorders>
              <w:bottom w:val="single" w:sz="12" w:space="0" w:color="000000"/>
            </w:tcBorders>
          </w:tcPr>
          <w:p>
            <w:pPr>
              <w:pStyle w:val="TableParagraph"/>
              <w:spacing w:before="20"/>
              <w:ind w:right="171"/>
              <w:rPr>
                <w:sz w:val="14"/>
              </w:rPr>
            </w:pPr>
            <w:r>
              <w:rPr>
                <w:w w:val="99"/>
                <w:sz w:val="14"/>
              </w:rPr>
              <w:t>1</w:t>
            </w:r>
          </w:p>
        </w:tc>
        <w:tc>
          <w:tcPr>
            <w:tcW w:w="563" w:type="dxa"/>
            <w:tcBorders>
              <w:bottom w:val="single" w:sz="12" w:space="0" w:color="000000"/>
            </w:tcBorders>
          </w:tcPr>
          <w:p>
            <w:pPr>
              <w:pStyle w:val="TableParagraph"/>
              <w:spacing w:before="20"/>
              <w:ind w:right="171"/>
              <w:rPr>
                <w:sz w:val="14"/>
              </w:rPr>
            </w:pPr>
            <w:r>
              <w:rPr>
                <w:w w:val="99"/>
                <w:sz w:val="14"/>
              </w:rPr>
              <w:t>-</w:t>
            </w:r>
          </w:p>
        </w:tc>
        <w:tc>
          <w:tcPr>
            <w:tcW w:w="581" w:type="dxa"/>
            <w:tcBorders>
              <w:bottom w:val="single" w:sz="12" w:space="0" w:color="000000"/>
            </w:tcBorders>
          </w:tcPr>
          <w:p>
            <w:pPr>
              <w:pStyle w:val="TableParagraph"/>
              <w:spacing w:before="20"/>
              <w:ind w:right="191"/>
              <w:rPr>
                <w:sz w:val="14"/>
              </w:rPr>
            </w:pPr>
            <w:r>
              <w:rPr>
                <w:w w:val="99"/>
                <w:sz w:val="14"/>
              </w:rPr>
              <w:t>-</w:t>
            </w:r>
          </w:p>
        </w:tc>
        <w:tc>
          <w:tcPr>
            <w:tcW w:w="512" w:type="dxa"/>
            <w:tcBorders>
              <w:bottom w:val="single" w:sz="12" w:space="0" w:color="000000"/>
            </w:tcBorders>
          </w:tcPr>
          <w:p>
            <w:pPr>
              <w:pStyle w:val="TableParagraph"/>
              <w:spacing w:before="20"/>
              <w:ind w:right="122"/>
              <w:rPr>
                <w:sz w:val="14"/>
              </w:rPr>
            </w:pPr>
            <w:r>
              <w:rPr>
                <w:w w:val="99"/>
                <w:sz w:val="14"/>
              </w:rPr>
              <w:t>7</w:t>
            </w:r>
          </w:p>
        </w:tc>
        <w:tc>
          <w:tcPr>
            <w:tcW w:w="594" w:type="dxa"/>
            <w:tcBorders>
              <w:bottom w:val="single" w:sz="12" w:space="0" w:color="000000"/>
            </w:tcBorders>
          </w:tcPr>
          <w:p>
            <w:pPr>
              <w:pStyle w:val="TableParagraph"/>
              <w:spacing w:before="20"/>
              <w:ind w:right="123"/>
              <w:rPr>
                <w:sz w:val="14"/>
              </w:rPr>
            </w:pPr>
            <w:r>
              <w:rPr>
                <w:spacing w:val="-5"/>
                <w:sz w:val="14"/>
              </w:rPr>
              <w:t>13</w:t>
            </w:r>
          </w:p>
        </w:tc>
        <w:tc>
          <w:tcPr>
            <w:tcW w:w="668" w:type="dxa"/>
            <w:tcBorders>
              <w:bottom w:val="single" w:sz="12" w:space="0" w:color="000000"/>
            </w:tcBorders>
          </w:tcPr>
          <w:p>
            <w:pPr>
              <w:pStyle w:val="TableParagraph"/>
              <w:spacing w:before="20"/>
              <w:ind w:right="196"/>
              <w:rPr>
                <w:sz w:val="14"/>
              </w:rPr>
            </w:pPr>
            <w:r>
              <w:rPr>
                <w:spacing w:val="-5"/>
                <w:sz w:val="14"/>
              </w:rPr>
              <w:t>22</w:t>
            </w:r>
          </w:p>
        </w:tc>
        <w:tc>
          <w:tcPr>
            <w:tcW w:w="714" w:type="dxa"/>
            <w:tcBorders>
              <w:bottom w:val="single" w:sz="12" w:space="0" w:color="000000"/>
            </w:tcBorders>
          </w:tcPr>
          <w:p>
            <w:pPr>
              <w:pStyle w:val="TableParagraph"/>
              <w:spacing w:before="20"/>
              <w:ind w:right="170"/>
              <w:rPr>
                <w:sz w:val="14"/>
              </w:rPr>
            </w:pPr>
            <w:r>
              <w:rPr>
                <w:spacing w:val="-5"/>
                <w:sz w:val="14"/>
              </w:rPr>
              <w:t>28</w:t>
            </w:r>
          </w:p>
        </w:tc>
        <w:tc>
          <w:tcPr>
            <w:tcW w:w="490" w:type="dxa"/>
            <w:tcBorders>
              <w:bottom w:val="single" w:sz="12" w:space="0" w:color="000000"/>
            </w:tcBorders>
          </w:tcPr>
          <w:p>
            <w:pPr>
              <w:pStyle w:val="TableParagraph"/>
              <w:spacing w:before="20"/>
              <w:ind w:right="65"/>
              <w:rPr>
                <w:sz w:val="14"/>
              </w:rPr>
            </w:pPr>
            <w:r>
              <w:rPr>
                <w:spacing w:val="-5"/>
                <w:sz w:val="14"/>
              </w:rPr>
              <w:t>13</w:t>
            </w:r>
          </w:p>
        </w:tc>
        <w:tc>
          <w:tcPr>
            <w:tcW w:w="793" w:type="dxa"/>
            <w:tcBorders>
              <w:bottom w:val="single" w:sz="12" w:space="0" w:color="000000"/>
            </w:tcBorders>
          </w:tcPr>
          <w:p>
            <w:pPr>
              <w:pStyle w:val="TableParagraph"/>
              <w:spacing w:before="20"/>
              <w:ind w:right="123"/>
              <w:rPr>
                <w:i/>
                <w:sz w:val="14"/>
              </w:rPr>
            </w:pPr>
            <w:r>
              <w:rPr>
                <w:i/>
                <w:spacing w:val="-5"/>
                <w:sz w:val="14"/>
              </w:rPr>
              <w:t>84</w:t>
            </w:r>
          </w:p>
        </w:tc>
        <w:tc>
          <w:tcPr>
            <w:tcW w:w="568" w:type="dxa"/>
            <w:tcBorders>
              <w:bottom w:val="single" w:sz="12" w:space="0" w:color="000000"/>
            </w:tcBorders>
          </w:tcPr>
          <w:p>
            <w:pPr>
              <w:pStyle w:val="TableParagraph"/>
              <w:spacing w:before="20"/>
              <w:ind w:right="102"/>
              <w:rPr>
                <w:sz w:val="14"/>
              </w:rPr>
            </w:pPr>
            <w:r>
              <w:rPr>
                <w:w w:val="99"/>
                <w:sz w:val="14"/>
              </w:rPr>
              <w:t>-</w:t>
            </w:r>
          </w:p>
        </w:tc>
        <w:tc>
          <w:tcPr>
            <w:tcW w:w="580" w:type="dxa"/>
            <w:tcBorders>
              <w:bottom w:val="single" w:sz="12" w:space="0" w:color="000000"/>
            </w:tcBorders>
          </w:tcPr>
          <w:p>
            <w:pPr>
              <w:pStyle w:val="TableParagraph"/>
              <w:spacing w:before="20"/>
              <w:ind w:right="91"/>
              <w:rPr>
                <w:sz w:val="14"/>
              </w:rPr>
            </w:pPr>
            <w:r>
              <w:rPr>
                <w:w w:val="99"/>
                <w:sz w:val="14"/>
              </w:rPr>
              <w:t>-</w:t>
            </w:r>
          </w:p>
        </w:tc>
        <w:tc>
          <w:tcPr>
            <w:tcW w:w="563" w:type="dxa"/>
            <w:tcBorders>
              <w:bottom w:val="single" w:sz="12" w:space="0" w:color="000000"/>
            </w:tcBorders>
          </w:tcPr>
          <w:p>
            <w:pPr>
              <w:pStyle w:val="TableParagraph"/>
              <w:spacing w:before="20"/>
              <w:ind w:right="65"/>
              <w:rPr>
                <w:sz w:val="14"/>
              </w:rPr>
            </w:pPr>
            <w:r>
              <w:rPr>
                <w:w w:val="99"/>
                <w:sz w:val="14"/>
              </w:rPr>
              <w:t>4</w:t>
            </w:r>
          </w:p>
        </w:tc>
        <w:tc>
          <w:tcPr>
            <w:tcW w:w="813" w:type="dxa"/>
            <w:tcBorders>
              <w:bottom w:val="single" w:sz="12" w:space="0" w:color="000000"/>
            </w:tcBorders>
          </w:tcPr>
          <w:p>
            <w:pPr>
              <w:pStyle w:val="TableParagraph"/>
              <w:spacing w:before="20"/>
              <w:ind w:right="138"/>
              <w:rPr>
                <w:i/>
                <w:sz w:val="14"/>
              </w:rPr>
            </w:pPr>
            <w:r>
              <w:rPr>
                <w:i/>
                <w:w w:val="99"/>
                <w:sz w:val="14"/>
              </w:rPr>
              <w:t>4</w:t>
            </w:r>
          </w:p>
        </w:tc>
        <w:tc>
          <w:tcPr>
            <w:tcW w:w="525" w:type="dxa"/>
            <w:tcBorders>
              <w:bottom w:val="single" w:sz="12" w:space="0" w:color="000000"/>
            </w:tcBorders>
          </w:tcPr>
          <w:p>
            <w:pPr>
              <w:pStyle w:val="TableParagraph"/>
              <w:spacing w:before="20"/>
              <w:ind w:right="56"/>
              <w:rPr>
                <w:b/>
                <w:sz w:val="14"/>
              </w:rPr>
            </w:pPr>
            <w:r>
              <w:rPr>
                <w:b/>
                <w:spacing w:val="-5"/>
                <w:sz w:val="14"/>
              </w:rPr>
              <w:t>88</w:t>
            </w:r>
          </w:p>
        </w:tc>
      </w:tr>
      <w:tr>
        <w:trPr>
          <w:trHeight w:val="227" w:hRule="atLeast"/>
        </w:trPr>
        <w:tc>
          <w:tcPr>
            <w:tcW w:w="1186" w:type="dxa"/>
            <w:tcBorders>
              <w:top w:val="single" w:sz="12" w:space="0" w:color="000000"/>
              <w:bottom w:val="single" w:sz="6" w:space="0" w:color="000000"/>
            </w:tcBorders>
          </w:tcPr>
          <w:p>
            <w:pPr>
              <w:pStyle w:val="TableParagraph"/>
              <w:spacing w:before="27"/>
              <w:ind w:left="67"/>
              <w:jc w:val="left"/>
              <w:rPr>
                <w:sz w:val="14"/>
              </w:rPr>
            </w:pPr>
            <w:r>
              <w:rPr>
                <w:spacing w:val="-5"/>
                <w:sz w:val="14"/>
              </w:rPr>
              <w:t>New</w:t>
            </w:r>
          </w:p>
        </w:tc>
        <w:tc>
          <w:tcPr>
            <w:tcW w:w="678" w:type="dxa"/>
            <w:tcBorders>
              <w:top w:val="single" w:sz="12" w:space="0" w:color="000000"/>
              <w:bottom w:val="single" w:sz="6" w:space="0" w:color="000000"/>
            </w:tcBorders>
          </w:tcPr>
          <w:p>
            <w:pPr>
              <w:pStyle w:val="TableParagraph"/>
              <w:spacing w:before="27"/>
              <w:ind w:right="154"/>
              <w:rPr>
                <w:sz w:val="14"/>
              </w:rPr>
            </w:pPr>
            <w:r>
              <w:rPr>
                <w:w w:val="99"/>
                <w:sz w:val="14"/>
              </w:rPr>
              <w:t>-</w:t>
            </w:r>
          </w:p>
        </w:tc>
        <w:tc>
          <w:tcPr>
            <w:tcW w:w="607" w:type="dxa"/>
            <w:tcBorders>
              <w:top w:val="single" w:sz="12" w:space="0" w:color="000000"/>
              <w:bottom w:val="single" w:sz="6" w:space="0" w:color="000000"/>
            </w:tcBorders>
          </w:tcPr>
          <w:p>
            <w:pPr>
              <w:pStyle w:val="TableParagraph"/>
              <w:spacing w:before="27"/>
              <w:ind w:right="170"/>
              <w:rPr>
                <w:sz w:val="14"/>
              </w:rPr>
            </w:pPr>
            <w:r>
              <w:rPr>
                <w:w w:val="99"/>
                <w:sz w:val="14"/>
              </w:rPr>
              <w:t>-</w:t>
            </w:r>
          </w:p>
        </w:tc>
        <w:tc>
          <w:tcPr>
            <w:tcW w:w="563" w:type="dxa"/>
            <w:tcBorders>
              <w:top w:val="single" w:sz="12" w:space="0" w:color="000000"/>
              <w:bottom w:val="single" w:sz="6" w:space="0" w:color="000000"/>
            </w:tcBorders>
          </w:tcPr>
          <w:p>
            <w:pPr>
              <w:pStyle w:val="TableParagraph"/>
              <w:spacing w:before="27"/>
              <w:ind w:right="171"/>
              <w:rPr>
                <w:sz w:val="14"/>
              </w:rPr>
            </w:pPr>
            <w:r>
              <w:rPr>
                <w:w w:val="99"/>
                <w:sz w:val="14"/>
              </w:rPr>
              <w:t>-</w:t>
            </w:r>
          </w:p>
        </w:tc>
        <w:tc>
          <w:tcPr>
            <w:tcW w:w="581" w:type="dxa"/>
            <w:tcBorders>
              <w:top w:val="single" w:sz="12" w:space="0" w:color="000000"/>
              <w:bottom w:val="single" w:sz="6" w:space="0" w:color="000000"/>
            </w:tcBorders>
          </w:tcPr>
          <w:p>
            <w:pPr>
              <w:pStyle w:val="TableParagraph"/>
              <w:spacing w:before="27"/>
              <w:ind w:right="191"/>
              <w:rPr>
                <w:sz w:val="14"/>
              </w:rPr>
            </w:pPr>
            <w:r>
              <w:rPr>
                <w:w w:val="99"/>
                <w:sz w:val="14"/>
              </w:rPr>
              <w:t>-</w:t>
            </w:r>
          </w:p>
        </w:tc>
        <w:tc>
          <w:tcPr>
            <w:tcW w:w="512" w:type="dxa"/>
            <w:tcBorders>
              <w:top w:val="single" w:sz="12" w:space="0" w:color="000000"/>
              <w:bottom w:val="single" w:sz="6" w:space="0" w:color="000000"/>
            </w:tcBorders>
          </w:tcPr>
          <w:p>
            <w:pPr>
              <w:pStyle w:val="TableParagraph"/>
              <w:spacing w:before="27"/>
              <w:ind w:right="121"/>
              <w:rPr>
                <w:sz w:val="14"/>
              </w:rPr>
            </w:pPr>
            <w:r>
              <w:rPr>
                <w:w w:val="99"/>
                <w:sz w:val="14"/>
              </w:rPr>
              <w:t>-</w:t>
            </w:r>
          </w:p>
        </w:tc>
        <w:tc>
          <w:tcPr>
            <w:tcW w:w="594" w:type="dxa"/>
            <w:tcBorders>
              <w:top w:val="single" w:sz="12" w:space="0" w:color="000000"/>
              <w:bottom w:val="single" w:sz="6" w:space="0" w:color="000000"/>
            </w:tcBorders>
          </w:tcPr>
          <w:p>
            <w:pPr>
              <w:pStyle w:val="TableParagraph"/>
              <w:spacing w:before="27"/>
              <w:ind w:right="130"/>
              <w:rPr>
                <w:sz w:val="14"/>
              </w:rPr>
            </w:pPr>
            <w:r>
              <w:rPr>
                <w:w w:val="99"/>
                <w:sz w:val="14"/>
              </w:rPr>
              <w:t>-</w:t>
            </w:r>
          </w:p>
        </w:tc>
        <w:tc>
          <w:tcPr>
            <w:tcW w:w="668" w:type="dxa"/>
            <w:tcBorders>
              <w:top w:val="single" w:sz="12" w:space="0" w:color="000000"/>
              <w:bottom w:val="single" w:sz="6" w:space="0" w:color="000000"/>
            </w:tcBorders>
          </w:tcPr>
          <w:p>
            <w:pPr>
              <w:pStyle w:val="TableParagraph"/>
              <w:spacing w:before="27"/>
              <w:ind w:right="202"/>
              <w:rPr>
                <w:sz w:val="14"/>
              </w:rPr>
            </w:pPr>
            <w:r>
              <w:rPr>
                <w:w w:val="99"/>
                <w:sz w:val="14"/>
              </w:rPr>
              <w:t>-</w:t>
            </w:r>
          </w:p>
        </w:tc>
        <w:tc>
          <w:tcPr>
            <w:tcW w:w="714" w:type="dxa"/>
            <w:tcBorders>
              <w:top w:val="single" w:sz="12" w:space="0" w:color="000000"/>
              <w:bottom w:val="single" w:sz="6" w:space="0" w:color="000000"/>
            </w:tcBorders>
          </w:tcPr>
          <w:p>
            <w:pPr>
              <w:pStyle w:val="TableParagraph"/>
              <w:spacing w:before="27"/>
              <w:ind w:right="177"/>
              <w:rPr>
                <w:sz w:val="14"/>
              </w:rPr>
            </w:pPr>
            <w:r>
              <w:rPr>
                <w:w w:val="99"/>
                <w:sz w:val="14"/>
              </w:rPr>
              <w:t>-</w:t>
            </w:r>
          </w:p>
        </w:tc>
        <w:tc>
          <w:tcPr>
            <w:tcW w:w="490" w:type="dxa"/>
            <w:tcBorders>
              <w:top w:val="single" w:sz="12" w:space="0" w:color="000000"/>
              <w:bottom w:val="single" w:sz="6" w:space="0" w:color="000000"/>
            </w:tcBorders>
          </w:tcPr>
          <w:p>
            <w:pPr>
              <w:pStyle w:val="TableParagraph"/>
              <w:spacing w:before="27"/>
              <w:ind w:right="71"/>
              <w:rPr>
                <w:sz w:val="14"/>
              </w:rPr>
            </w:pPr>
            <w:r>
              <w:rPr>
                <w:w w:val="99"/>
                <w:sz w:val="14"/>
              </w:rPr>
              <w:t>-</w:t>
            </w:r>
          </w:p>
        </w:tc>
        <w:tc>
          <w:tcPr>
            <w:tcW w:w="793" w:type="dxa"/>
            <w:tcBorders>
              <w:top w:val="single" w:sz="12" w:space="0" w:color="000000"/>
              <w:bottom w:val="single" w:sz="6" w:space="0" w:color="000000"/>
            </w:tcBorders>
          </w:tcPr>
          <w:p>
            <w:pPr>
              <w:pStyle w:val="TableParagraph"/>
              <w:spacing w:before="27"/>
              <w:ind w:right="129"/>
              <w:rPr>
                <w:i/>
                <w:sz w:val="14"/>
              </w:rPr>
            </w:pPr>
            <w:r>
              <w:rPr>
                <w:i/>
                <w:w w:val="99"/>
                <w:sz w:val="14"/>
              </w:rPr>
              <w:t>-</w:t>
            </w:r>
          </w:p>
        </w:tc>
        <w:tc>
          <w:tcPr>
            <w:tcW w:w="568" w:type="dxa"/>
            <w:tcBorders>
              <w:top w:val="single" w:sz="12" w:space="0" w:color="000000"/>
              <w:bottom w:val="single" w:sz="6" w:space="0" w:color="000000"/>
            </w:tcBorders>
          </w:tcPr>
          <w:p>
            <w:pPr>
              <w:pStyle w:val="TableParagraph"/>
              <w:spacing w:before="27"/>
              <w:ind w:right="102"/>
              <w:rPr>
                <w:sz w:val="14"/>
              </w:rPr>
            </w:pPr>
            <w:r>
              <w:rPr>
                <w:w w:val="99"/>
                <w:sz w:val="14"/>
              </w:rPr>
              <w:t>-</w:t>
            </w:r>
          </w:p>
        </w:tc>
        <w:tc>
          <w:tcPr>
            <w:tcW w:w="580" w:type="dxa"/>
            <w:tcBorders>
              <w:top w:val="single" w:sz="12" w:space="0" w:color="000000"/>
              <w:bottom w:val="single" w:sz="6" w:space="0" w:color="000000"/>
            </w:tcBorders>
          </w:tcPr>
          <w:p>
            <w:pPr>
              <w:pStyle w:val="TableParagraph"/>
              <w:spacing w:before="27"/>
              <w:ind w:right="91"/>
              <w:rPr>
                <w:sz w:val="14"/>
              </w:rPr>
            </w:pPr>
            <w:r>
              <w:rPr>
                <w:w w:val="99"/>
                <w:sz w:val="14"/>
              </w:rPr>
              <w:t>-</w:t>
            </w:r>
          </w:p>
        </w:tc>
        <w:tc>
          <w:tcPr>
            <w:tcW w:w="563" w:type="dxa"/>
            <w:tcBorders>
              <w:top w:val="single" w:sz="12" w:space="0" w:color="000000"/>
              <w:bottom w:val="single" w:sz="6" w:space="0" w:color="000000"/>
            </w:tcBorders>
          </w:tcPr>
          <w:p>
            <w:pPr>
              <w:pStyle w:val="TableParagraph"/>
              <w:spacing w:before="27"/>
              <w:ind w:right="64"/>
              <w:rPr>
                <w:sz w:val="14"/>
              </w:rPr>
            </w:pPr>
            <w:r>
              <w:rPr>
                <w:w w:val="99"/>
                <w:sz w:val="14"/>
              </w:rPr>
              <w:t>-</w:t>
            </w:r>
          </w:p>
        </w:tc>
        <w:tc>
          <w:tcPr>
            <w:tcW w:w="813" w:type="dxa"/>
            <w:tcBorders>
              <w:top w:val="single" w:sz="12" w:space="0" w:color="000000"/>
              <w:bottom w:val="single" w:sz="6" w:space="0" w:color="000000"/>
            </w:tcBorders>
          </w:tcPr>
          <w:p>
            <w:pPr>
              <w:pStyle w:val="TableParagraph"/>
              <w:spacing w:before="27"/>
              <w:ind w:right="137"/>
              <w:rPr>
                <w:i/>
                <w:sz w:val="14"/>
              </w:rPr>
            </w:pPr>
            <w:r>
              <w:rPr>
                <w:i/>
                <w:w w:val="99"/>
                <w:sz w:val="14"/>
              </w:rPr>
              <w:t>-</w:t>
            </w:r>
          </w:p>
        </w:tc>
        <w:tc>
          <w:tcPr>
            <w:tcW w:w="525" w:type="dxa"/>
            <w:tcBorders>
              <w:top w:val="single" w:sz="12" w:space="0" w:color="000000"/>
              <w:bottom w:val="single" w:sz="6" w:space="0" w:color="000000"/>
            </w:tcBorders>
          </w:tcPr>
          <w:p>
            <w:pPr>
              <w:pStyle w:val="TableParagraph"/>
              <w:spacing w:before="27"/>
              <w:ind w:right="62"/>
              <w:rPr>
                <w:b/>
                <w:sz w:val="14"/>
              </w:rPr>
            </w:pPr>
            <w:r>
              <w:rPr>
                <w:b/>
                <w:w w:val="99"/>
                <w:sz w:val="14"/>
              </w:rPr>
              <w:t>-</w:t>
            </w:r>
          </w:p>
        </w:tc>
      </w:tr>
      <w:tr>
        <w:trPr>
          <w:trHeight w:val="222" w:hRule="atLeast"/>
        </w:trPr>
        <w:tc>
          <w:tcPr>
            <w:tcW w:w="1186" w:type="dxa"/>
            <w:tcBorders>
              <w:top w:val="single" w:sz="6" w:space="0" w:color="000000"/>
              <w:bottom w:val="single" w:sz="4" w:space="0" w:color="000000"/>
            </w:tcBorders>
          </w:tcPr>
          <w:p>
            <w:pPr>
              <w:pStyle w:val="TableParagraph"/>
              <w:spacing w:before="21"/>
              <w:ind w:left="67"/>
              <w:jc w:val="left"/>
              <w:rPr>
                <w:sz w:val="14"/>
              </w:rPr>
            </w:pPr>
            <w:r>
              <w:rPr>
                <w:spacing w:val="-2"/>
                <w:sz w:val="14"/>
              </w:rPr>
              <w:t>Redeployed</w:t>
            </w:r>
          </w:p>
        </w:tc>
        <w:tc>
          <w:tcPr>
            <w:tcW w:w="678" w:type="dxa"/>
            <w:tcBorders>
              <w:top w:val="single" w:sz="6" w:space="0" w:color="000000"/>
              <w:bottom w:val="single" w:sz="4" w:space="0" w:color="000000"/>
            </w:tcBorders>
          </w:tcPr>
          <w:p>
            <w:pPr>
              <w:pStyle w:val="TableParagraph"/>
              <w:spacing w:before="21"/>
              <w:ind w:right="154"/>
              <w:rPr>
                <w:sz w:val="14"/>
              </w:rPr>
            </w:pPr>
            <w:r>
              <w:rPr>
                <w:w w:val="99"/>
                <w:sz w:val="14"/>
              </w:rPr>
              <w:t>-</w:t>
            </w:r>
          </w:p>
        </w:tc>
        <w:tc>
          <w:tcPr>
            <w:tcW w:w="607" w:type="dxa"/>
            <w:tcBorders>
              <w:top w:val="single" w:sz="6" w:space="0" w:color="000000"/>
              <w:bottom w:val="single" w:sz="4" w:space="0" w:color="000000"/>
            </w:tcBorders>
          </w:tcPr>
          <w:p>
            <w:pPr>
              <w:pStyle w:val="TableParagraph"/>
              <w:spacing w:before="21"/>
              <w:ind w:right="170"/>
              <w:rPr>
                <w:sz w:val="14"/>
              </w:rPr>
            </w:pPr>
            <w:r>
              <w:rPr>
                <w:w w:val="99"/>
                <w:sz w:val="14"/>
              </w:rPr>
              <w:t>-</w:t>
            </w:r>
          </w:p>
        </w:tc>
        <w:tc>
          <w:tcPr>
            <w:tcW w:w="563" w:type="dxa"/>
            <w:tcBorders>
              <w:top w:val="single" w:sz="6" w:space="0" w:color="000000"/>
              <w:bottom w:val="single" w:sz="4" w:space="0" w:color="000000"/>
            </w:tcBorders>
          </w:tcPr>
          <w:p>
            <w:pPr>
              <w:pStyle w:val="TableParagraph"/>
              <w:spacing w:before="21"/>
              <w:ind w:right="171"/>
              <w:rPr>
                <w:sz w:val="14"/>
              </w:rPr>
            </w:pPr>
            <w:r>
              <w:rPr>
                <w:w w:val="99"/>
                <w:sz w:val="14"/>
              </w:rPr>
              <w:t>-</w:t>
            </w:r>
          </w:p>
        </w:tc>
        <w:tc>
          <w:tcPr>
            <w:tcW w:w="581" w:type="dxa"/>
            <w:tcBorders>
              <w:top w:val="single" w:sz="6" w:space="0" w:color="000000"/>
              <w:bottom w:val="single" w:sz="4" w:space="0" w:color="000000"/>
            </w:tcBorders>
          </w:tcPr>
          <w:p>
            <w:pPr>
              <w:pStyle w:val="TableParagraph"/>
              <w:spacing w:before="21"/>
              <w:ind w:right="191"/>
              <w:rPr>
                <w:sz w:val="14"/>
              </w:rPr>
            </w:pPr>
            <w:r>
              <w:rPr>
                <w:w w:val="99"/>
                <w:sz w:val="14"/>
              </w:rPr>
              <w:t>-</w:t>
            </w:r>
          </w:p>
        </w:tc>
        <w:tc>
          <w:tcPr>
            <w:tcW w:w="512" w:type="dxa"/>
            <w:tcBorders>
              <w:top w:val="single" w:sz="6" w:space="0" w:color="000000"/>
              <w:bottom w:val="single" w:sz="4" w:space="0" w:color="000000"/>
            </w:tcBorders>
          </w:tcPr>
          <w:p>
            <w:pPr>
              <w:pStyle w:val="TableParagraph"/>
              <w:spacing w:before="21"/>
              <w:ind w:right="121"/>
              <w:rPr>
                <w:sz w:val="14"/>
              </w:rPr>
            </w:pPr>
            <w:r>
              <w:rPr>
                <w:w w:val="99"/>
                <w:sz w:val="14"/>
              </w:rPr>
              <w:t>-</w:t>
            </w:r>
          </w:p>
        </w:tc>
        <w:tc>
          <w:tcPr>
            <w:tcW w:w="594" w:type="dxa"/>
            <w:tcBorders>
              <w:top w:val="single" w:sz="6" w:space="0" w:color="000000"/>
              <w:bottom w:val="single" w:sz="4" w:space="0" w:color="000000"/>
            </w:tcBorders>
          </w:tcPr>
          <w:p>
            <w:pPr>
              <w:pStyle w:val="TableParagraph"/>
              <w:spacing w:before="21"/>
              <w:ind w:right="125"/>
              <w:rPr>
                <w:sz w:val="14"/>
              </w:rPr>
            </w:pPr>
            <w:r>
              <w:rPr>
                <w:spacing w:val="-5"/>
                <w:sz w:val="14"/>
              </w:rPr>
              <w:t>(1)</w:t>
            </w:r>
          </w:p>
        </w:tc>
        <w:tc>
          <w:tcPr>
            <w:tcW w:w="668" w:type="dxa"/>
            <w:tcBorders>
              <w:top w:val="single" w:sz="6" w:space="0" w:color="000000"/>
              <w:bottom w:val="single" w:sz="4" w:space="0" w:color="000000"/>
            </w:tcBorders>
          </w:tcPr>
          <w:p>
            <w:pPr>
              <w:pStyle w:val="TableParagraph"/>
              <w:spacing w:before="21"/>
              <w:ind w:right="198"/>
              <w:rPr>
                <w:sz w:val="14"/>
              </w:rPr>
            </w:pPr>
            <w:r>
              <w:rPr>
                <w:spacing w:val="-5"/>
                <w:sz w:val="14"/>
              </w:rPr>
              <w:t>(4)</w:t>
            </w:r>
          </w:p>
        </w:tc>
        <w:tc>
          <w:tcPr>
            <w:tcW w:w="714" w:type="dxa"/>
            <w:tcBorders>
              <w:top w:val="single" w:sz="6" w:space="0" w:color="000000"/>
              <w:bottom w:val="single" w:sz="4" w:space="0" w:color="000000"/>
            </w:tcBorders>
          </w:tcPr>
          <w:p>
            <w:pPr>
              <w:pStyle w:val="TableParagraph"/>
              <w:spacing w:before="21"/>
              <w:ind w:right="172"/>
              <w:rPr>
                <w:sz w:val="14"/>
              </w:rPr>
            </w:pPr>
            <w:r>
              <w:rPr>
                <w:spacing w:val="-5"/>
                <w:sz w:val="14"/>
              </w:rPr>
              <w:t>(4)</w:t>
            </w:r>
          </w:p>
        </w:tc>
        <w:tc>
          <w:tcPr>
            <w:tcW w:w="490" w:type="dxa"/>
            <w:tcBorders>
              <w:top w:val="single" w:sz="6" w:space="0" w:color="000000"/>
              <w:bottom w:val="single" w:sz="4" w:space="0" w:color="000000"/>
            </w:tcBorders>
          </w:tcPr>
          <w:p>
            <w:pPr>
              <w:pStyle w:val="TableParagraph"/>
              <w:spacing w:before="21"/>
              <w:ind w:right="67"/>
              <w:rPr>
                <w:sz w:val="14"/>
              </w:rPr>
            </w:pPr>
            <w:r>
              <w:rPr>
                <w:spacing w:val="-5"/>
                <w:sz w:val="14"/>
              </w:rPr>
              <w:t>(2)</w:t>
            </w:r>
          </w:p>
        </w:tc>
        <w:tc>
          <w:tcPr>
            <w:tcW w:w="793" w:type="dxa"/>
            <w:tcBorders>
              <w:top w:val="single" w:sz="6" w:space="0" w:color="000000"/>
              <w:bottom w:val="single" w:sz="4" w:space="0" w:color="000000"/>
            </w:tcBorders>
          </w:tcPr>
          <w:p>
            <w:pPr>
              <w:pStyle w:val="TableParagraph"/>
              <w:spacing w:before="21"/>
              <w:ind w:right="125"/>
              <w:rPr>
                <w:i/>
                <w:sz w:val="14"/>
              </w:rPr>
            </w:pPr>
            <w:r>
              <w:rPr>
                <w:i/>
                <w:spacing w:val="-4"/>
                <w:sz w:val="14"/>
              </w:rPr>
              <w:t>(11)</w:t>
            </w:r>
          </w:p>
        </w:tc>
        <w:tc>
          <w:tcPr>
            <w:tcW w:w="568" w:type="dxa"/>
            <w:tcBorders>
              <w:top w:val="single" w:sz="6" w:space="0" w:color="000000"/>
              <w:bottom w:val="single" w:sz="4" w:space="0" w:color="000000"/>
            </w:tcBorders>
          </w:tcPr>
          <w:p>
            <w:pPr>
              <w:pStyle w:val="TableParagraph"/>
              <w:spacing w:before="21"/>
              <w:ind w:right="102"/>
              <w:rPr>
                <w:sz w:val="14"/>
              </w:rPr>
            </w:pPr>
            <w:r>
              <w:rPr>
                <w:w w:val="99"/>
                <w:sz w:val="14"/>
              </w:rPr>
              <w:t>-</w:t>
            </w:r>
          </w:p>
        </w:tc>
        <w:tc>
          <w:tcPr>
            <w:tcW w:w="580" w:type="dxa"/>
            <w:tcBorders>
              <w:top w:val="single" w:sz="6" w:space="0" w:color="000000"/>
              <w:bottom w:val="single" w:sz="4" w:space="0" w:color="000000"/>
            </w:tcBorders>
          </w:tcPr>
          <w:p>
            <w:pPr>
              <w:pStyle w:val="TableParagraph"/>
              <w:spacing w:before="21"/>
              <w:ind w:right="91"/>
              <w:rPr>
                <w:sz w:val="14"/>
              </w:rPr>
            </w:pPr>
            <w:r>
              <w:rPr>
                <w:w w:val="99"/>
                <w:sz w:val="14"/>
              </w:rPr>
              <w:t>-</w:t>
            </w:r>
          </w:p>
        </w:tc>
        <w:tc>
          <w:tcPr>
            <w:tcW w:w="563" w:type="dxa"/>
            <w:tcBorders>
              <w:top w:val="single" w:sz="6" w:space="0" w:color="000000"/>
              <w:bottom w:val="single" w:sz="4" w:space="0" w:color="000000"/>
            </w:tcBorders>
          </w:tcPr>
          <w:p>
            <w:pPr>
              <w:pStyle w:val="TableParagraph"/>
              <w:spacing w:before="21"/>
              <w:ind w:right="60"/>
              <w:rPr>
                <w:sz w:val="14"/>
              </w:rPr>
            </w:pPr>
            <w:r>
              <w:rPr>
                <w:spacing w:val="-5"/>
                <w:sz w:val="14"/>
              </w:rPr>
              <w:t>(1)</w:t>
            </w:r>
          </w:p>
        </w:tc>
        <w:tc>
          <w:tcPr>
            <w:tcW w:w="813" w:type="dxa"/>
            <w:tcBorders>
              <w:top w:val="single" w:sz="6" w:space="0" w:color="000000"/>
              <w:bottom w:val="single" w:sz="4" w:space="0" w:color="000000"/>
            </w:tcBorders>
          </w:tcPr>
          <w:p>
            <w:pPr>
              <w:pStyle w:val="TableParagraph"/>
              <w:spacing w:before="21"/>
              <w:ind w:right="133"/>
              <w:rPr>
                <w:i/>
                <w:sz w:val="14"/>
              </w:rPr>
            </w:pPr>
            <w:r>
              <w:rPr>
                <w:i/>
                <w:spacing w:val="-5"/>
                <w:sz w:val="14"/>
              </w:rPr>
              <w:t>(1)</w:t>
            </w:r>
          </w:p>
        </w:tc>
        <w:tc>
          <w:tcPr>
            <w:tcW w:w="525" w:type="dxa"/>
            <w:tcBorders>
              <w:top w:val="single" w:sz="6" w:space="0" w:color="000000"/>
              <w:bottom w:val="single" w:sz="4" w:space="0" w:color="000000"/>
            </w:tcBorders>
          </w:tcPr>
          <w:p>
            <w:pPr>
              <w:pStyle w:val="TableParagraph"/>
              <w:spacing w:before="21"/>
              <w:ind w:right="58"/>
              <w:rPr>
                <w:b/>
                <w:sz w:val="14"/>
              </w:rPr>
            </w:pPr>
            <w:r>
              <w:rPr>
                <w:b/>
                <w:spacing w:val="-4"/>
                <w:sz w:val="14"/>
              </w:rPr>
              <w:t>(12)</w:t>
            </w:r>
          </w:p>
        </w:tc>
      </w:tr>
      <w:tr>
        <w:trPr>
          <w:trHeight w:val="225" w:hRule="atLeast"/>
        </w:trPr>
        <w:tc>
          <w:tcPr>
            <w:tcW w:w="1186" w:type="dxa"/>
            <w:tcBorders>
              <w:top w:val="single" w:sz="4" w:space="0" w:color="000000"/>
              <w:bottom w:val="single" w:sz="4" w:space="0" w:color="000000"/>
            </w:tcBorders>
          </w:tcPr>
          <w:p>
            <w:pPr>
              <w:pStyle w:val="TableParagraph"/>
              <w:spacing w:before="28"/>
              <w:ind w:left="67"/>
              <w:jc w:val="left"/>
              <w:rPr>
                <w:sz w:val="14"/>
              </w:rPr>
            </w:pPr>
            <w:r>
              <w:rPr>
                <w:spacing w:val="-2"/>
                <w:sz w:val="14"/>
              </w:rPr>
              <w:t>Reclassified</w:t>
            </w:r>
          </w:p>
        </w:tc>
        <w:tc>
          <w:tcPr>
            <w:tcW w:w="678" w:type="dxa"/>
            <w:tcBorders>
              <w:top w:val="single" w:sz="4" w:space="0" w:color="000000"/>
              <w:bottom w:val="single" w:sz="4" w:space="0" w:color="000000"/>
            </w:tcBorders>
          </w:tcPr>
          <w:p>
            <w:pPr>
              <w:pStyle w:val="TableParagraph"/>
              <w:spacing w:before="28"/>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8"/>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8"/>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8"/>
              <w:ind w:right="191"/>
              <w:rPr>
                <w:sz w:val="14"/>
              </w:rPr>
            </w:pPr>
            <w:r>
              <w:rPr>
                <w:w w:val="99"/>
                <w:sz w:val="14"/>
              </w:rPr>
              <w:t>-</w:t>
            </w:r>
          </w:p>
        </w:tc>
        <w:tc>
          <w:tcPr>
            <w:tcW w:w="512" w:type="dxa"/>
            <w:tcBorders>
              <w:top w:val="single" w:sz="4" w:space="0" w:color="000000"/>
              <w:bottom w:val="single" w:sz="4" w:space="0" w:color="000000"/>
            </w:tcBorders>
          </w:tcPr>
          <w:p>
            <w:pPr>
              <w:pStyle w:val="TableParagraph"/>
              <w:spacing w:before="28"/>
              <w:ind w:right="121"/>
              <w:rPr>
                <w:sz w:val="14"/>
              </w:rPr>
            </w:pPr>
            <w:r>
              <w:rPr>
                <w:w w:val="99"/>
                <w:sz w:val="14"/>
              </w:rPr>
              <w:t>-</w:t>
            </w:r>
          </w:p>
        </w:tc>
        <w:tc>
          <w:tcPr>
            <w:tcW w:w="594" w:type="dxa"/>
            <w:tcBorders>
              <w:top w:val="single" w:sz="4" w:space="0" w:color="000000"/>
              <w:bottom w:val="single" w:sz="4" w:space="0" w:color="000000"/>
            </w:tcBorders>
          </w:tcPr>
          <w:p>
            <w:pPr>
              <w:pStyle w:val="TableParagraph"/>
              <w:spacing w:before="28"/>
              <w:ind w:right="130"/>
              <w:rPr>
                <w:sz w:val="14"/>
              </w:rPr>
            </w:pPr>
            <w:r>
              <w:rPr>
                <w:w w:val="99"/>
                <w:sz w:val="14"/>
              </w:rPr>
              <w:t>-</w:t>
            </w:r>
          </w:p>
        </w:tc>
        <w:tc>
          <w:tcPr>
            <w:tcW w:w="668" w:type="dxa"/>
            <w:tcBorders>
              <w:top w:val="single" w:sz="4" w:space="0" w:color="000000"/>
              <w:bottom w:val="single" w:sz="4" w:space="0" w:color="000000"/>
            </w:tcBorders>
          </w:tcPr>
          <w:p>
            <w:pPr>
              <w:pStyle w:val="TableParagraph"/>
              <w:spacing w:before="28"/>
              <w:ind w:right="202"/>
              <w:rPr>
                <w:sz w:val="14"/>
              </w:rPr>
            </w:pPr>
            <w:r>
              <w:rPr>
                <w:w w:val="99"/>
                <w:sz w:val="14"/>
              </w:rPr>
              <w:t>-</w:t>
            </w:r>
          </w:p>
        </w:tc>
        <w:tc>
          <w:tcPr>
            <w:tcW w:w="714" w:type="dxa"/>
            <w:tcBorders>
              <w:top w:val="single" w:sz="4" w:space="0" w:color="000000"/>
              <w:bottom w:val="single" w:sz="4" w:space="0" w:color="000000"/>
            </w:tcBorders>
          </w:tcPr>
          <w:p>
            <w:pPr>
              <w:pStyle w:val="TableParagraph"/>
              <w:spacing w:before="28"/>
              <w:ind w:right="177"/>
              <w:rPr>
                <w:sz w:val="14"/>
              </w:rPr>
            </w:pPr>
            <w:r>
              <w:rPr>
                <w:w w:val="99"/>
                <w:sz w:val="14"/>
              </w:rPr>
              <w:t>-</w:t>
            </w:r>
          </w:p>
        </w:tc>
        <w:tc>
          <w:tcPr>
            <w:tcW w:w="490" w:type="dxa"/>
            <w:tcBorders>
              <w:top w:val="single" w:sz="4" w:space="0" w:color="000000"/>
              <w:bottom w:val="single" w:sz="4" w:space="0" w:color="000000"/>
            </w:tcBorders>
          </w:tcPr>
          <w:p>
            <w:pPr>
              <w:pStyle w:val="TableParagraph"/>
              <w:spacing w:before="28"/>
              <w:ind w:right="71"/>
              <w:rPr>
                <w:sz w:val="14"/>
              </w:rPr>
            </w:pPr>
            <w:r>
              <w:rPr>
                <w:w w:val="99"/>
                <w:sz w:val="14"/>
              </w:rPr>
              <w:t>-</w:t>
            </w:r>
          </w:p>
        </w:tc>
        <w:tc>
          <w:tcPr>
            <w:tcW w:w="793" w:type="dxa"/>
            <w:tcBorders>
              <w:top w:val="single" w:sz="4" w:space="0" w:color="000000"/>
              <w:bottom w:val="single" w:sz="4" w:space="0" w:color="000000"/>
            </w:tcBorders>
          </w:tcPr>
          <w:p>
            <w:pPr>
              <w:pStyle w:val="TableParagraph"/>
              <w:spacing w:before="28"/>
              <w:ind w:right="129"/>
              <w:rPr>
                <w:i/>
                <w:sz w:val="14"/>
              </w:rPr>
            </w:pPr>
            <w:r>
              <w:rPr>
                <w:i/>
                <w:w w:val="99"/>
                <w:sz w:val="14"/>
              </w:rPr>
              <w:t>-</w:t>
            </w:r>
          </w:p>
        </w:tc>
        <w:tc>
          <w:tcPr>
            <w:tcW w:w="568" w:type="dxa"/>
            <w:tcBorders>
              <w:top w:val="single" w:sz="4" w:space="0" w:color="000000"/>
              <w:bottom w:val="single" w:sz="4" w:space="0" w:color="000000"/>
            </w:tcBorders>
          </w:tcPr>
          <w:p>
            <w:pPr>
              <w:pStyle w:val="TableParagraph"/>
              <w:spacing w:before="28"/>
              <w:ind w:right="102"/>
              <w:rPr>
                <w:sz w:val="14"/>
              </w:rPr>
            </w:pPr>
            <w:r>
              <w:rPr>
                <w:w w:val="99"/>
                <w:sz w:val="14"/>
              </w:rPr>
              <w:t>-</w:t>
            </w:r>
          </w:p>
        </w:tc>
        <w:tc>
          <w:tcPr>
            <w:tcW w:w="580" w:type="dxa"/>
            <w:tcBorders>
              <w:top w:val="single" w:sz="4" w:space="0" w:color="000000"/>
              <w:bottom w:val="single" w:sz="4" w:space="0" w:color="000000"/>
            </w:tcBorders>
          </w:tcPr>
          <w:p>
            <w:pPr>
              <w:pStyle w:val="TableParagraph"/>
              <w:spacing w:before="28"/>
              <w:ind w:right="91"/>
              <w:rPr>
                <w:sz w:val="14"/>
              </w:rPr>
            </w:pPr>
            <w:r>
              <w:rPr>
                <w:w w:val="99"/>
                <w:sz w:val="14"/>
              </w:rPr>
              <w:t>-</w:t>
            </w:r>
          </w:p>
        </w:tc>
        <w:tc>
          <w:tcPr>
            <w:tcW w:w="563" w:type="dxa"/>
            <w:tcBorders>
              <w:top w:val="single" w:sz="4" w:space="0" w:color="000000"/>
              <w:bottom w:val="single" w:sz="4" w:space="0" w:color="000000"/>
            </w:tcBorders>
          </w:tcPr>
          <w:p>
            <w:pPr>
              <w:pStyle w:val="TableParagraph"/>
              <w:spacing w:before="28"/>
              <w:ind w:right="64"/>
              <w:rPr>
                <w:sz w:val="14"/>
              </w:rPr>
            </w:pPr>
            <w:r>
              <w:rPr>
                <w:w w:val="99"/>
                <w:sz w:val="14"/>
              </w:rPr>
              <w:t>-</w:t>
            </w:r>
          </w:p>
        </w:tc>
        <w:tc>
          <w:tcPr>
            <w:tcW w:w="813" w:type="dxa"/>
            <w:tcBorders>
              <w:top w:val="single" w:sz="4" w:space="0" w:color="000000"/>
              <w:bottom w:val="single" w:sz="4" w:space="0" w:color="000000"/>
            </w:tcBorders>
          </w:tcPr>
          <w:p>
            <w:pPr>
              <w:pStyle w:val="TableParagraph"/>
              <w:spacing w:before="28"/>
              <w:ind w:right="137"/>
              <w:rPr>
                <w:i/>
                <w:sz w:val="14"/>
              </w:rPr>
            </w:pPr>
            <w:r>
              <w:rPr>
                <w:i/>
                <w:w w:val="99"/>
                <w:sz w:val="14"/>
              </w:rPr>
              <w:t>-</w:t>
            </w:r>
          </w:p>
        </w:tc>
        <w:tc>
          <w:tcPr>
            <w:tcW w:w="525" w:type="dxa"/>
            <w:tcBorders>
              <w:top w:val="single" w:sz="4" w:space="0" w:color="000000"/>
              <w:bottom w:val="single" w:sz="4" w:space="0" w:color="000000"/>
            </w:tcBorders>
          </w:tcPr>
          <w:p>
            <w:pPr>
              <w:pStyle w:val="TableParagraph"/>
              <w:spacing w:before="28"/>
              <w:ind w:right="62"/>
              <w:rPr>
                <w:b/>
                <w:sz w:val="14"/>
              </w:rPr>
            </w:pPr>
            <w:r>
              <w:rPr>
                <w:b/>
                <w:w w:val="99"/>
                <w:sz w:val="14"/>
              </w:rPr>
              <w:t>-</w:t>
            </w:r>
          </w:p>
        </w:tc>
      </w:tr>
      <w:tr>
        <w:trPr>
          <w:trHeight w:val="230" w:hRule="atLeast"/>
        </w:trPr>
        <w:tc>
          <w:tcPr>
            <w:tcW w:w="1186" w:type="dxa"/>
            <w:tcBorders>
              <w:top w:val="single" w:sz="4" w:space="0" w:color="000000"/>
              <w:bottom w:val="single" w:sz="4" w:space="0" w:color="000000"/>
            </w:tcBorders>
          </w:tcPr>
          <w:p>
            <w:pPr>
              <w:pStyle w:val="TableParagraph"/>
              <w:spacing w:before="28"/>
              <w:ind w:left="67"/>
              <w:jc w:val="left"/>
              <w:rPr>
                <w:sz w:val="14"/>
              </w:rPr>
            </w:pPr>
            <w:r>
              <w:rPr>
                <w:spacing w:val="-2"/>
                <w:sz w:val="14"/>
              </w:rPr>
              <w:t>Returned</w:t>
            </w:r>
          </w:p>
        </w:tc>
        <w:tc>
          <w:tcPr>
            <w:tcW w:w="678" w:type="dxa"/>
            <w:tcBorders>
              <w:top w:val="single" w:sz="4" w:space="0" w:color="000000"/>
              <w:bottom w:val="single" w:sz="4" w:space="0" w:color="000000"/>
            </w:tcBorders>
          </w:tcPr>
          <w:p>
            <w:pPr>
              <w:pStyle w:val="TableParagraph"/>
              <w:spacing w:before="28"/>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8"/>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8"/>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8"/>
              <w:ind w:right="191"/>
              <w:rPr>
                <w:sz w:val="14"/>
              </w:rPr>
            </w:pPr>
            <w:r>
              <w:rPr>
                <w:w w:val="99"/>
                <w:sz w:val="14"/>
              </w:rPr>
              <w:t>-</w:t>
            </w:r>
          </w:p>
        </w:tc>
        <w:tc>
          <w:tcPr>
            <w:tcW w:w="512" w:type="dxa"/>
            <w:tcBorders>
              <w:top w:val="single" w:sz="4" w:space="0" w:color="000000"/>
              <w:bottom w:val="single" w:sz="4" w:space="0" w:color="000000"/>
            </w:tcBorders>
          </w:tcPr>
          <w:p>
            <w:pPr>
              <w:pStyle w:val="TableParagraph"/>
              <w:spacing w:before="28"/>
              <w:ind w:right="121"/>
              <w:rPr>
                <w:sz w:val="14"/>
              </w:rPr>
            </w:pPr>
            <w:r>
              <w:rPr>
                <w:w w:val="99"/>
                <w:sz w:val="14"/>
              </w:rPr>
              <w:t>-</w:t>
            </w:r>
          </w:p>
        </w:tc>
        <w:tc>
          <w:tcPr>
            <w:tcW w:w="594" w:type="dxa"/>
            <w:tcBorders>
              <w:top w:val="single" w:sz="4" w:space="0" w:color="000000"/>
              <w:bottom w:val="single" w:sz="4" w:space="0" w:color="000000"/>
            </w:tcBorders>
          </w:tcPr>
          <w:p>
            <w:pPr>
              <w:pStyle w:val="TableParagraph"/>
              <w:spacing w:before="28"/>
              <w:ind w:right="130"/>
              <w:rPr>
                <w:sz w:val="14"/>
              </w:rPr>
            </w:pPr>
            <w:r>
              <w:rPr>
                <w:w w:val="99"/>
                <w:sz w:val="14"/>
              </w:rPr>
              <w:t>-</w:t>
            </w:r>
          </w:p>
        </w:tc>
        <w:tc>
          <w:tcPr>
            <w:tcW w:w="668" w:type="dxa"/>
            <w:tcBorders>
              <w:top w:val="single" w:sz="4" w:space="0" w:color="000000"/>
              <w:bottom w:val="single" w:sz="4" w:space="0" w:color="000000"/>
            </w:tcBorders>
          </w:tcPr>
          <w:p>
            <w:pPr>
              <w:pStyle w:val="TableParagraph"/>
              <w:spacing w:before="28"/>
              <w:ind w:right="202"/>
              <w:rPr>
                <w:sz w:val="14"/>
              </w:rPr>
            </w:pPr>
            <w:r>
              <w:rPr>
                <w:w w:val="99"/>
                <w:sz w:val="14"/>
              </w:rPr>
              <w:t>-</w:t>
            </w:r>
          </w:p>
        </w:tc>
        <w:tc>
          <w:tcPr>
            <w:tcW w:w="714" w:type="dxa"/>
            <w:tcBorders>
              <w:top w:val="single" w:sz="4" w:space="0" w:color="000000"/>
              <w:bottom w:val="single" w:sz="4" w:space="0" w:color="000000"/>
            </w:tcBorders>
          </w:tcPr>
          <w:p>
            <w:pPr>
              <w:pStyle w:val="TableParagraph"/>
              <w:spacing w:before="28"/>
              <w:ind w:right="177"/>
              <w:rPr>
                <w:sz w:val="14"/>
              </w:rPr>
            </w:pPr>
            <w:r>
              <w:rPr>
                <w:w w:val="99"/>
                <w:sz w:val="14"/>
              </w:rPr>
              <w:t>-</w:t>
            </w:r>
          </w:p>
        </w:tc>
        <w:tc>
          <w:tcPr>
            <w:tcW w:w="490" w:type="dxa"/>
            <w:tcBorders>
              <w:top w:val="single" w:sz="4" w:space="0" w:color="000000"/>
              <w:bottom w:val="single" w:sz="4" w:space="0" w:color="000000"/>
            </w:tcBorders>
          </w:tcPr>
          <w:p>
            <w:pPr>
              <w:pStyle w:val="TableParagraph"/>
              <w:spacing w:before="28"/>
              <w:ind w:right="71"/>
              <w:rPr>
                <w:sz w:val="14"/>
              </w:rPr>
            </w:pPr>
            <w:r>
              <w:rPr>
                <w:w w:val="99"/>
                <w:sz w:val="14"/>
              </w:rPr>
              <w:t>-</w:t>
            </w:r>
          </w:p>
        </w:tc>
        <w:tc>
          <w:tcPr>
            <w:tcW w:w="793" w:type="dxa"/>
            <w:tcBorders>
              <w:top w:val="single" w:sz="4" w:space="0" w:color="000000"/>
              <w:bottom w:val="single" w:sz="4" w:space="0" w:color="000000"/>
            </w:tcBorders>
          </w:tcPr>
          <w:p>
            <w:pPr>
              <w:pStyle w:val="TableParagraph"/>
              <w:spacing w:before="28"/>
              <w:ind w:right="129"/>
              <w:rPr>
                <w:i/>
                <w:sz w:val="14"/>
              </w:rPr>
            </w:pPr>
            <w:r>
              <w:rPr>
                <w:i/>
                <w:w w:val="99"/>
                <w:sz w:val="14"/>
              </w:rPr>
              <w:t>-</w:t>
            </w:r>
          </w:p>
        </w:tc>
        <w:tc>
          <w:tcPr>
            <w:tcW w:w="568" w:type="dxa"/>
            <w:tcBorders>
              <w:top w:val="single" w:sz="4" w:space="0" w:color="000000"/>
              <w:bottom w:val="single" w:sz="4" w:space="0" w:color="000000"/>
            </w:tcBorders>
          </w:tcPr>
          <w:p>
            <w:pPr>
              <w:pStyle w:val="TableParagraph"/>
              <w:spacing w:before="28"/>
              <w:ind w:right="102"/>
              <w:rPr>
                <w:sz w:val="14"/>
              </w:rPr>
            </w:pPr>
            <w:r>
              <w:rPr>
                <w:w w:val="99"/>
                <w:sz w:val="14"/>
              </w:rPr>
              <w:t>-</w:t>
            </w:r>
          </w:p>
        </w:tc>
        <w:tc>
          <w:tcPr>
            <w:tcW w:w="580" w:type="dxa"/>
            <w:tcBorders>
              <w:top w:val="single" w:sz="4" w:space="0" w:color="000000"/>
              <w:bottom w:val="single" w:sz="4" w:space="0" w:color="000000"/>
            </w:tcBorders>
          </w:tcPr>
          <w:p>
            <w:pPr>
              <w:pStyle w:val="TableParagraph"/>
              <w:spacing w:before="28"/>
              <w:ind w:right="91"/>
              <w:rPr>
                <w:sz w:val="14"/>
              </w:rPr>
            </w:pPr>
            <w:r>
              <w:rPr>
                <w:w w:val="99"/>
                <w:sz w:val="14"/>
              </w:rPr>
              <w:t>-</w:t>
            </w:r>
          </w:p>
        </w:tc>
        <w:tc>
          <w:tcPr>
            <w:tcW w:w="563" w:type="dxa"/>
            <w:tcBorders>
              <w:top w:val="single" w:sz="4" w:space="0" w:color="000000"/>
              <w:bottom w:val="single" w:sz="4" w:space="0" w:color="000000"/>
            </w:tcBorders>
          </w:tcPr>
          <w:p>
            <w:pPr>
              <w:pStyle w:val="TableParagraph"/>
              <w:spacing w:before="28"/>
              <w:ind w:right="64"/>
              <w:rPr>
                <w:sz w:val="14"/>
              </w:rPr>
            </w:pPr>
            <w:r>
              <w:rPr>
                <w:w w:val="99"/>
                <w:sz w:val="14"/>
              </w:rPr>
              <w:t>-</w:t>
            </w:r>
          </w:p>
        </w:tc>
        <w:tc>
          <w:tcPr>
            <w:tcW w:w="813" w:type="dxa"/>
            <w:tcBorders>
              <w:top w:val="single" w:sz="4" w:space="0" w:color="000000"/>
              <w:bottom w:val="single" w:sz="4" w:space="0" w:color="000000"/>
            </w:tcBorders>
          </w:tcPr>
          <w:p>
            <w:pPr>
              <w:pStyle w:val="TableParagraph"/>
              <w:spacing w:before="28"/>
              <w:ind w:right="137"/>
              <w:rPr>
                <w:i/>
                <w:sz w:val="14"/>
              </w:rPr>
            </w:pPr>
            <w:r>
              <w:rPr>
                <w:i/>
                <w:w w:val="99"/>
                <w:sz w:val="14"/>
              </w:rPr>
              <w:t>-</w:t>
            </w:r>
          </w:p>
        </w:tc>
        <w:tc>
          <w:tcPr>
            <w:tcW w:w="525" w:type="dxa"/>
            <w:tcBorders>
              <w:top w:val="single" w:sz="4" w:space="0" w:color="000000"/>
              <w:bottom w:val="single" w:sz="4" w:space="0" w:color="000000"/>
            </w:tcBorders>
          </w:tcPr>
          <w:p>
            <w:pPr>
              <w:pStyle w:val="TableParagraph"/>
              <w:spacing w:before="28"/>
              <w:ind w:right="62"/>
              <w:rPr>
                <w:b/>
                <w:sz w:val="14"/>
              </w:rPr>
            </w:pPr>
            <w:r>
              <w:rPr>
                <w:b/>
                <w:w w:val="99"/>
                <w:sz w:val="14"/>
              </w:rPr>
              <w:t>-</w:t>
            </w:r>
          </w:p>
        </w:tc>
      </w:tr>
      <w:tr>
        <w:trPr>
          <w:trHeight w:val="224" w:hRule="atLeast"/>
        </w:trPr>
        <w:tc>
          <w:tcPr>
            <w:tcW w:w="1186" w:type="dxa"/>
            <w:tcBorders>
              <w:top w:val="single" w:sz="4" w:space="0" w:color="000000"/>
              <w:bottom w:val="single" w:sz="12" w:space="0" w:color="000000"/>
            </w:tcBorders>
          </w:tcPr>
          <w:p>
            <w:pPr>
              <w:pStyle w:val="TableParagraph"/>
              <w:spacing w:before="23"/>
              <w:ind w:left="67"/>
              <w:jc w:val="left"/>
              <w:rPr>
                <w:b/>
                <w:sz w:val="14"/>
              </w:rPr>
            </w:pPr>
            <w:r>
              <w:rPr>
                <w:b/>
                <w:sz w:val="14"/>
              </w:rPr>
              <w:t>Proposed</w:t>
            </w:r>
            <w:r>
              <w:rPr>
                <w:b/>
                <w:spacing w:val="-6"/>
                <w:sz w:val="14"/>
              </w:rPr>
              <w:t> </w:t>
            </w:r>
            <w:r>
              <w:rPr>
                <w:b/>
                <w:spacing w:val="-4"/>
                <w:sz w:val="14"/>
              </w:rPr>
              <w:t>2023</w:t>
            </w:r>
          </w:p>
        </w:tc>
        <w:tc>
          <w:tcPr>
            <w:tcW w:w="678" w:type="dxa"/>
            <w:tcBorders>
              <w:top w:val="single" w:sz="4" w:space="0" w:color="000000"/>
              <w:bottom w:val="single" w:sz="12" w:space="0" w:color="000000"/>
            </w:tcBorders>
          </w:tcPr>
          <w:p>
            <w:pPr>
              <w:pStyle w:val="TableParagraph"/>
              <w:spacing w:before="23"/>
              <w:ind w:right="154"/>
              <w:rPr>
                <w:b/>
                <w:sz w:val="14"/>
              </w:rPr>
            </w:pPr>
            <w:r>
              <w:rPr>
                <w:b/>
                <w:w w:val="99"/>
                <w:sz w:val="14"/>
              </w:rPr>
              <w:t>-</w:t>
            </w:r>
          </w:p>
        </w:tc>
        <w:tc>
          <w:tcPr>
            <w:tcW w:w="607" w:type="dxa"/>
            <w:tcBorders>
              <w:top w:val="single" w:sz="4" w:space="0" w:color="000000"/>
              <w:bottom w:val="single" w:sz="12" w:space="0" w:color="000000"/>
            </w:tcBorders>
          </w:tcPr>
          <w:p>
            <w:pPr>
              <w:pStyle w:val="TableParagraph"/>
              <w:spacing w:before="23"/>
              <w:ind w:right="171"/>
              <w:rPr>
                <w:b/>
                <w:sz w:val="14"/>
              </w:rPr>
            </w:pPr>
            <w:r>
              <w:rPr>
                <w:b/>
                <w:w w:val="99"/>
                <w:sz w:val="14"/>
              </w:rPr>
              <w:t>1</w:t>
            </w:r>
          </w:p>
        </w:tc>
        <w:tc>
          <w:tcPr>
            <w:tcW w:w="563" w:type="dxa"/>
            <w:tcBorders>
              <w:top w:val="single" w:sz="4" w:space="0" w:color="000000"/>
              <w:bottom w:val="single" w:sz="12" w:space="0" w:color="000000"/>
            </w:tcBorders>
          </w:tcPr>
          <w:p>
            <w:pPr>
              <w:pStyle w:val="TableParagraph"/>
              <w:spacing w:before="23"/>
              <w:ind w:right="171"/>
              <w:rPr>
                <w:b/>
                <w:sz w:val="14"/>
              </w:rPr>
            </w:pPr>
            <w:r>
              <w:rPr>
                <w:b/>
                <w:w w:val="99"/>
                <w:sz w:val="14"/>
              </w:rPr>
              <w:t>-</w:t>
            </w:r>
          </w:p>
        </w:tc>
        <w:tc>
          <w:tcPr>
            <w:tcW w:w="581" w:type="dxa"/>
            <w:tcBorders>
              <w:top w:val="single" w:sz="4" w:space="0" w:color="000000"/>
              <w:bottom w:val="single" w:sz="12" w:space="0" w:color="000000"/>
            </w:tcBorders>
          </w:tcPr>
          <w:p>
            <w:pPr>
              <w:pStyle w:val="TableParagraph"/>
              <w:spacing w:before="23"/>
              <w:ind w:right="191"/>
              <w:rPr>
                <w:b/>
                <w:sz w:val="14"/>
              </w:rPr>
            </w:pPr>
            <w:r>
              <w:rPr>
                <w:b/>
                <w:w w:val="99"/>
                <w:sz w:val="14"/>
              </w:rPr>
              <w:t>-</w:t>
            </w:r>
          </w:p>
        </w:tc>
        <w:tc>
          <w:tcPr>
            <w:tcW w:w="512" w:type="dxa"/>
            <w:tcBorders>
              <w:top w:val="single" w:sz="4" w:space="0" w:color="000000"/>
              <w:bottom w:val="single" w:sz="12" w:space="0" w:color="000000"/>
            </w:tcBorders>
          </w:tcPr>
          <w:p>
            <w:pPr>
              <w:pStyle w:val="TableParagraph"/>
              <w:spacing w:before="23"/>
              <w:ind w:right="122"/>
              <w:rPr>
                <w:b/>
                <w:sz w:val="14"/>
              </w:rPr>
            </w:pPr>
            <w:r>
              <w:rPr>
                <w:b/>
                <w:w w:val="99"/>
                <w:sz w:val="14"/>
              </w:rPr>
              <w:t>7</w:t>
            </w:r>
          </w:p>
        </w:tc>
        <w:tc>
          <w:tcPr>
            <w:tcW w:w="594" w:type="dxa"/>
            <w:tcBorders>
              <w:top w:val="single" w:sz="4" w:space="0" w:color="000000"/>
              <w:bottom w:val="single" w:sz="12" w:space="0" w:color="000000"/>
            </w:tcBorders>
          </w:tcPr>
          <w:p>
            <w:pPr>
              <w:pStyle w:val="TableParagraph"/>
              <w:spacing w:before="23"/>
              <w:ind w:right="123"/>
              <w:rPr>
                <w:b/>
                <w:sz w:val="14"/>
              </w:rPr>
            </w:pPr>
            <w:r>
              <w:rPr>
                <w:b/>
                <w:spacing w:val="-5"/>
                <w:sz w:val="14"/>
              </w:rPr>
              <w:t>12</w:t>
            </w:r>
          </w:p>
        </w:tc>
        <w:tc>
          <w:tcPr>
            <w:tcW w:w="668" w:type="dxa"/>
            <w:tcBorders>
              <w:top w:val="single" w:sz="4" w:space="0" w:color="000000"/>
              <w:bottom w:val="single" w:sz="12" w:space="0" w:color="000000"/>
            </w:tcBorders>
          </w:tcPr>
          <w:p>
            <w:pPr>
              <w:pStyle w:val="TableParagraph"/>
              <w:spacing w:before="23"/>
              <w:ind w:right="196"/>
              <w:rPr>
                <w:b/>
                <w:sz w:val="14"/>
              </w:rPr>
            </w:pPr>
            <w:r>
              <w:rPr>
                <w:b/>
                <w:spacing w:val="-5"/>
                <w:sz w:val="14"/>
              </w:rPr>
              <w:t>18</w:t>
            </w:r>
          </w:p>
        </w:tc>
        <w:tc>
          <w:tcPr>
            <w:tcW w:w="714" w:type="dxa"/>
            <w:tcBorders>
              <w:top w:val="single" w:sz="4" w:space="0" w:color="000000"/>
              <w:bottom w:val="single" w:sz="12" w:space="0" w:color="000000"/>
            </w:tcBorders>
          </w:tcPr>
          <w:p>
            <w:pPr>
              <w:pStyle w:val="TableParagraph"/>
              <w:spacing w:before="23"/>
              <w:ind w:right="170"/>
              <w:rPr>
                <w:b/>
                <w:sz w:val="14"/>
              </w:rPr>
            </w:pPr>
            <w:r>
              <w:rPr>
                <w:b/>
                <w:spacing w:val="-5"/>
                <w:sz w:val="14"/>
              </w:rPr>
              <w:t>24</w:t>
            </w:r>
          </w:p>
        </w:tc>
        <w:tc>
          <w:tcPr>
            <w:tcW w:w="490" w:type="dxa"/>
            <w:tcBorders>
              <w:top w:val="single" w:sz="4" w:space="0" w:color="000000"/>
              <w:bottom w:val="single" w:sz="12" w:space="0" w:color="000000"/>
            </w:tcBorders>
          </w:tcPr>
          <w:p>
            <w:pPr>
              <w:pStyle w:val="TableParagraph"/>
              <w:spacing w:before="23"/>
              <w:ind w:right="65"/>
              <w:rPr>
                <w:b/>
                <w:sz w:val="14"/>
              </w:rPr>
            </w:pPr>
            <w:r>
              <w:rPr>
                <w:b/>
                <w:spacing w:val="-5"/>
                <w:sz w:val="14"/>
              </w:rPr>
              <w:t>11</w:t>
            </w:r>
          </w:p>
        </w:tc>
        <w:tc>
          <w:tcPr>
            <w:tcW w:w="793" w:type="dxa"/>
            <w:tcBorders>
              <w:top w:val="single" w:sz="4" w:space="0" w:color="000000"/>
              <w:bottom w:val="single" w:sz="12" w:space="0" w:color="000000"/>
            </w:tcBorders>
          </w:tcPr>
          <w:p>
            <w:pPr>
              <w:pStyle w:val="TableParagraph"/>
              <w:spacing w:before="23"/>
              <w:ind w:right="123"/>
              <w:rPr>
                <w:b/>
                <w:i/>
                <w:sz w:val="14"/>
              </w:rPr>
            </w:pPr>
            <w:r>
              <w:rPr>
                <w:b/>
                <w:i/>
                <w:spacing w:val="-5"/>
                <w:sz w:val="14"/>
              </w:rPr>
              <w:t>73</w:t>
            </w:r>
          </w:p>
        </w:tc>
        <w:tc>
          <w:tcPr>
            <w:tcW w:w="568" w:type="dxa"/>
            <w:tcBorders>
              <w:top w:val="single" w:sz="4" w:space="0" w:color="000000"/>
              <w:bottom w:val="single" w:sz="12" w:space="0" w:color="000000"/>
            </w:tcBorders>
          </w:tcPr>
          <w:p>
            <w:pPr>
              <w:pStyle w:val="TableParagraph"/>
              <w:spacing w:before="23"/>
              <w:ind w:right="102"/>
              <w:rPr>
                <w:b/>
                <w:sz w:val="14"/>
              </w:rPr>
            </w:pPr>
            <w:r>
              <w:rPr>
                <w:b/>
                <w:w w:val="99"/>
                <w:sz w:val="14"/>
              </w:rPr>
              <w:t>-</w:t>
            </w:r>
          </w:p>
        </w:tc>
        <w:tc>
          <w:tcPr>
            <w:tcW w:w="580" w:type="dxa"/>
            <w:tcBorders>
              <w:top w:val="single" w:sz="4" w:space="0" w:color="000000"/>
              <w:bottom w:val="single" w:sz="12" w:space="0" w:color="000000"/>
            </w:tcBorders>
          </w:tcPr>
          <w:p>
            <w:pPr>
              <w:pStyle w:val="TableParagraph"/>
              <w:spacing w:before="23"/>
              <w:ind w:right="91"/>
              <w:rPr>
                <w:b/>
                <w:sz w:val="14"/>
              </w:rPr>
            </w:pPr>
            <w:r>
              <w:rPr>
                <w:b/>
                <w:w w:val="99"/>
                <w:sz w:val="14"/>
              </w:rPr>
              <w:t>-</w:t>
            </w:r>
          </w:p>
        </w:tc>
        <w:tc>
          <w:tcPr>
            <w:tcW w:w="563" w:type="dxa"/>
            <w:tcBorders>
              <w:top w:val="single" w:sz="4" w:space="0" w:color="000000"/>
              <w:bottom w:val="single" w:sz="12" w:space="0" w:color="000000"/>
            </w:tcBorders>
          </w:tcPr>
          <w:p>
            <w:pPr>
              <w:pStyle w:val="TableParagraph"/>
              <w:spacing w:before="23"/>
              <w:ind w:right="65"/>
              <w:rPr>
                <w:b/>
                <w:sz w:val="14"/>
              </w:rPr>
            </w:pPr>
            <w:r>
              <w:rPr>
                <w:b/>
                <w:w w:val="99"/>
                <w:sz w:val="14"/>
              </w:rPr>
              <w:t>3</w:t>
            </w:r>
          </w:p>
        </w:tc>
        <w:tc>
          <w:tcPr>
            <w:tcW w:w="813" w:type="dxa"/>
            <w:tcBorders>
              <w:top w:val="single" w:sz="4" w:space="0" w:color="000000"/>
              <w:bottom w:val="single" w:sz="12" w:space="0" w:color="000000"/>
            </w:tcBorders>
          </w:tcPr>
          <w:p>
            <w:pPr>
              <w:pStyle w:val="TableParagraph"/>
              <w:spacing w:before="23"/>
              <w:ind w:right="138"/>
              <w:rPr>
                <w:b/>
                <w:i/>
                <w:sz w:val="14"/>
              </w:rPr>
            </w:pPr>
            <w:r>
              <w:rPr>
                <w:b/>
                <w:i/>
                <w:w w:val="99"/>
                <w:sz w:val="14"/>
              </w:rPr>
              <w:t>3</w:t>
            </w:r>
          </w:p>
        </w:tc>
        <w:tc>
          <w:tcPr>
            <w:tcW w:w="525" w:type="dxa"/>
            <w:tcBorders>
              <w:top w:val="single" w:sz="4" w:space="0" w:color="000000"/>
              <w:bottom w:val="single" w:sz="12" w:space="0" w:color="000000"/>
            </w:tcBorders>
          </w:tcPr>
          <w:p>
            <w:pPr>
              <w:pStyle w:val="TableParagraph"/>
              <w:spacing w:before="23"/>
              <w:ind w:right="56"/>
              <w:rPr>
                <w:b/>
                <w:sz w:val="14"/>
              </w:rPr>
            </w:pPr>
            <w:r>
              <w:rPr>
                <w:b/>
                <w:spacing w:val="-5"/>
                <w:sz w:val="14"/>
              </w:rPr>
              <w:t>76</w:t>
            </w:r>
          </w:p>
        </w:tc>
      </w:tr>
      <w:tr>
        <w:trPr>
          <w:trHeight w:val="571" w:hRule="atLeast"/>
        </w:trPr>
        <w:tc>
          <w:tcPr>
            <w:tcW w:w="1186" w:type="dxa"/>
            <w:tcBorders>
              <w:top w:val="single" w:sz="12" w:space="0" w:color="000000"/>
            </w:tcBorders>
          </w:tcPr>
          <w:p>
            <w:pPr>
              <w:pStyle w:val="TableParagraph"/>
              <w:spacing w:before="1"/>
              <w:jc w:val="left"/>
              <w:rPr>
                <w:b/>
                <w:sz w:val="19"/>
              </w:rPr>
            </w:pPr>
          </w:p>
          <w:p>
            <w:pPr>
              <w:pStyle w:val="TableParagraph"/>
              <w:spacing w:line="242" w:lineRule="auto"/>
              <w:ind w:left="67" w:right="232"/>
              <w:jc w:val="left"/>
              <w:rPr>
                <w:b/>
                <w:sz w:val="14"/>
              </w:rPr>
            </w:pPr>
            <w:r>
              <w:rPr>
                <w:b/>
                <w:sz w:val="14"/>
              </w:rPr>
              <w:t>GTA</w:t>
            </w:r>
            <w:r>
              <w:rPr>
                <w:b/>
                <w:spacing w:val="-9"/>
                <w:sz w:val="14"/>
              </w:rPr>
              <w:t> </w:t>
            </w:r>
            <w:r>
              <w:rPr>
                <w:b/>
                <w:sz w:val="14"/>
              </w:rPr>
              <w:t>Positions</w:t>
            </w:r>
            <w:r>
              <w:rPr>
                <w:b/>
                <w:spacing w:val="40"/>
                <w:sz w:val="14"/>
              </w:rPr>
              <w:t> </w:t>
            </w:r>
            <w:r>
              <w:rPr>
                <w:b/>
                <w:spacing w:val="-2"/>
                <w:sz w:val="14"/>
              </w:rPr>
              <w:t>(FTE)</w:t>
            </w:r>
          </w:p>
        </w:tc>
        <w:tc>
          <w:tcPr>
            <w:tcW w:w="678" w:type="dxa"/>
            <w:tcBorders>
              <w:top w:val="single" w:sz="12" w:space="0" w:color="000000"/>
            </w:tcBorders>
          </w:tcPr>
          <w:p>
            <w:pPr>
              <w:pStyle w:val="TableParagraph"/>
              <w:jc w:val="left"/>
              <w:rPr>
                <w:sz w:val="14"/>
              </w:rPr>
            </w:pPr>
          </w:p>
        </w:tc>
        <w:tc>
          <w:tcPr>
            <w:tcW w:w="607" w:type="dxa"/>
            <w:tcBorders>
              <w:top w:val="single" w:sz="12" w:space="0" w:color="000000"/>
            </w:tcBorders>
          </w:tcPr>
          <w:p>
            <w:pPr>
              <w:pStyle w:val="TableParagraph"/>
              <w:jc w:val="left"/>
              <w:rPr>
                <w:sz w:val="14"/>
              </w:rPr>
            </w:pPr>
          </w:p>
        </w:tc>
        <w:tc>
          <w:tcPr>
            <w:tcW w:w="563" w:type="dxa"/>
            <w:tcBorders>
              <w:top w:val="single" w:sz="12" w:space="0" w:color="000000"/>
            </w:tcBorders>
          </w:tcPr>
          <w:p>
            <w:pPr>
              <w:pStyle w:val="TableParagraph"/>
              <w:jc w:val="left"/>
              <w:rPr>
                <w:sz w:val="14"/>
              </w:rPr>
            </w:pPr>
          </w:p>
        </w:tc>
        <w:tc>
          <w:tcPr>
            <w:tcW w:w="581" w:type="dxa"/>
            <w:tcBorders>
              <w:top w:val="single" w:sz="12" w:space="0" w:color="000000"/>
            </w:tcBorders>
          </w:tcPr>
          <w:p>
            <w:pPr>
              <w:pStyle w:val="TableParagraph"/>
              <w:jc w:val="left"/>
              <w:rPr>
                <w:sz w:val="14"/>
              </w:rPr>
            </w:pPr>
          </w:p>
        </w:tc>
        <w:tc>
          <w:tcPr>
            <w:tcW w:w="512" w:type="dxa"/>
            <w:tcBorders>
              <w:top w:val="single" w:sz="12" w:space="0" w:color="000000"/>
            </w:tcBorders>
          </w:tcPr>
          <w:p>
            <w:pPr>
              <w:pStyle w:val="TableParagraph"/>
              <w:jc w:val="left"/>
              <w:rPr>
                <w:sz w:val="14"/>
              </w:rPr>
            </w:pPr>
          </w:p>
        </w:tc>
        <w:tc>
          <w:tcPr>
            <w:tcW w:w="594" w:type="dxa"/>
            <w:tcBorders>
              <w:top w:val="single" w:sz="12" w:space="0" w:color="000000"/>
            </w:tcBorders>
          </w:tcPr>
          <w:p>
            <w:pPr>
              <w:pStyle w:val="TableParagraph"/>
              <w:jc w:val="left"/>
              <w:rPr>
                <w:sz w:val="14"/>
              </w:rPr>
            </w:pPr>
          </w:p>
        </w:tc>
        <w:tc>
          <w:tcPr>
            <w:tcW w:w="668" w:type="dxa"/>
            <w:tcBorders>
              <w:top w:val="single" w:sz="12" w:space="0" w:color="000000"/>
            </w:tcBorders>
          </w:tcPr>
          <w:p>
            <w:pPr>
              <w:pStyle w:val="TableParagraph"/>
              <w:jc w:val="left"/>
              <w:rPr>
                <w:sz w:val="14"/>
              </w:rPr>
            </w:pPr>
          </w:p>
        </w:tc>
        <w:tc>
          <w:tcPr>
            <w:tcW w:w="714" w:type="dxa"/>
            <w:tcBorders>
              <w:top w:val="single" w:sz="12" w:space="0" w:color="000000"/>
            </w:tcBorders>
          </w:tcPr>
          <w:p>
            <w:pPr>
              <w:pStyle w:val="TableParagraph"/>
              <w:jc w:val="left"/>
              <w:rPr>
                <w:sz w:val="14"/>
              </w:rPr>
            </w:pPr>
          </w:p>
        </w:tc>
        <w:tc>
          <w:tcPr>
            <w:tcW w:w="490" w:type="dxa"/>
            <w:tcBorders>
              <w:top w:val="single" w:sz="12" w:space="0" w:color="000000"/>
            </w:tcBorders>
          </w:tcPr>
          <w:p>
            <w:pPr>
              <w:pStyle w:val="TableParagraph"/>
              <w:jc w:val="left"/>
              <w:rPr>
                <w:sz w:val="14"/>
              </w:rPr>
            </w:pPr>
          </w:p>
        </w:tc>
        <w:tc>
          <w:tcPr>
            <w:tcW w:w="793" w:type="dxa"/>
            <w:tcBorders>
              <w:top w:val="single" w:sz="12" w:space="0" w:color="000000"/>
            </w:tcBorders>
          </w:tcPr>
          <w:p>
            <w:pPr>
              <w:pStyle w:val="TableParagraph"/>
              <w:jc w:val="left"/>
              <w:rPr>
                <w:sz w:val="14"/>
              </w:rPr>
            </w:pPr>
          </w:p>
        </w:tc>
        <w:tc>
          <w:tcPr>
            <w:tcW w:w="568" w:type="dxa"/>
            <w:tcBorders>
              <w:top w:val="single" w:sz="12" w:space="0" w:color="000000"/>
            </w:tcBorders>
          </w:tcPr>
          <w:p>
            <w:pPr>
              <w:pStyle w:val="TableParagraph"/>
              <w:jc w:val="left"/>
              <w:rPr>
                <w:sz w:val="14"/>
              </w:rPr>
            </w:pPr>
          </w:p>
        </w:tc>
        <w:tc>
          <w:tcPr>
            <w:tcW w:w="580" w:type="dxa"/>
            <w:tcBorders>
              <w:top w:val="single" w:sz="12" w:space="0" w:color="000000"/>
            </w:tcBorders>
          </w:tcPr>
          <w:p>
            <w:pPr>
              <w:pStyle w:val="TableParagraph"/>
              <w:jc w:val="left"/>
              <w:rPr>
                <w:sz w:val="14"/>
              </w:rPr>
            </w:pPr>
          </w:p>
        </w:tc>
        <w:tc>
          <w:tcPr>
            <w:tcW w:w="563" w:type="dxa"/>
            <w:tcBorders>
              <w:top w:val="single" w:sz="12" w:space="0" w:color="000000"/>
            </w:tcBorders>
          </w:tcPr>
          <w:p>
            <w:pPr>
              <w:pStyle w:val="TableParagraph"/>
              <w:jc w:val="left"/>
              <w:rPr>
                <w:sz w:val="14"/>
              </w:rPr>
            </w:pPr>
          </w:p>
        </w:tc>
        <w:tc>
          <w:tcPr>
            <w:tcW w:w="813" w:type="dxa"/>
            <w:tcBorders>
              <w:top w:val="single" w:sz="12" w:space="0" w:color="000000"/>
            </w:tcBorders>
          </w:tcPr>
          <w:p>
            <w:pPr>
              <w:pStyle w:val="TableParagraph"/>
              <w:jc w:val="left"/>
              <w:rPr>
                <w:sz w:val="14"/>
              </w:rPr>
            </w:pPr>
          </w:p>
        </w:tc>
        <w:tc>
          <w:tcPr>
            <w:tcW w:w="525" w:type="dxa"/>
            <w:tcBorders>
              <w:top w:val="single" w:sz="12" w:space="0" w:color="000000"/>
            </w:tcBorders>
          </w:tcPr>
          <w:p>
            <w:pPr>
              <w:pStyle w:val="TableParagraph"/>
              <w:jc w:val="left"/>
              <w:rPr>
                <w:sz w:val="14"/>
              </w:rPr>
            </w:pPr>
          </w:p>
        </w:tc>
      </w:tr>
      <w:tr>
        <w:trPr>
          <w:trHeight w:val="204" w:hRule="atLeast"/>
        </w:trPr>
        <w:tc>
          <w:tcPr>
            <w:tcW w:w="1186" w:type="dxa"/>
            <w:tcBorders>
              <w:bottom w:val="single" w:sz="12" w:space="0" w:color="000000"/>
            </w:tcBorders>
          </w:tcPr>
          <w:p>
            <w:pPr>
              <w:pStyle w:val="TableParagraph"/>
              <w:spacing w:before="3"/>
              <w:ind w:left="67"/>
              <w:jc w:val="left"/>
              <w:rPr>
                <w:sz w:val="14"/>
              </w:rPr>
            </w:pPr>
            <w:r>
              <w:rPr>
                <w:w w:val="95"/>
                <w:sz w:val="14"/>
              </w:rPr>
              <w:t>Approved</w:t>
            </w:r>
            <w:r>
              <w:rPr>
                <w:spacing w:val="22"/>
                <w:sz w:val="14"/>
              </w:rPr>
              <w:t> </w:t>
            </w:r>
            <w:r>
              <w:rPr>
                <w:spacing w:val="-4"/>
                <w:sz w:val="14"/>
              </w:rPr>
              <w:t>2022</w:t>
            </w:r>
          </w:p>
        </w:tc>
        <w:tc>
          <w:tcPr>
            <w:tcW w:w="678" w:type="dxa"/>
            <w:tcBorders>
              <w:bottom w:val="single" w:sz="12" w:space="0" w:color="000000"/>
            </w:tcBorders>
          </w:tcPr>
          <w:p>
            <w:pPr>
              <w:pStyle w:val="TableParagraph"/>
              <w:spacing w:before="3"/>
              <w:ind w:right="154"/>
              <w:rPr>
                <w:sz w:val="14"/>
              </w:rPr>
            </w:pPr>
            <w:r>
              <w:rPr>
                <w:w w:val="99"/>
                <w:sz w:val="14"/>
              </w:rPr>
              <w:t>-</w:t>
            </w:r>
          </w:p>
        </w:tc>
        <w:tc>
          <w:tcPr>
            <w:tcW w:w="607" w:type="dxa"/>
            <w:tcBorders>
              <w:bottom w:val="single" w:sz="12" w:space="0" w:color="000000"/>
            </w:tcBorders>
          </w:tcPr>
          <w:p>
            <w:pPr>
              <w:pStyle w:val="TableParagraph"/>
              <w:spacing w:before="3"/>
              <w:ind w:right="170"/>
              <w:rPr>
                <w:sz w:val="14"/>
              </w:rPr>
            </w:pPr>
            <w:r>
              <w:rPr>
                <w:w w:val="99"/>
                <w:sz w:val="14"/>
              </w:rPr>
              <w:t>-</w:t>
            </w:r>
          </w:p>
        </w:tc>
        <w:tc>
          <w:tcPr>
            <w:tcW w:w="563" w:type="dxa"/>
            <w:tcBorders>
              <w:bottom w:val="single" w:sz="12" w:space="0" w:color="000000"/>
            </w:tcBorders>
          </w:tcPr>
          <w:p>
            <w:pPr>
              <w:pStyle w:val="TableParagraph"/>
              <w:spacing w:before="3"/>
              <w:ind w:right="171"/>
              <w:rPr>
                <w:sz w:val="14"/>
              </w:rPr>
            </w:pPr>
            <w:r>
              <w:rPr>
                <w:w w:val="99"/>
                <w:sz w:val="14"/>
              </w:rPr>
              <w:t>-</w:t>
            </w:r>
          </w:p>
        </w:tc>
        <w:tc>
          <w:tcPr>
            <w:tcW w:w="581" w:type="dxa"/>
            <w:tcBorders>
              <w:bottom w:val="single" w:sz="12" w:space="0" w:color="000000"/>
            </w:tcBorders>
          </w:tcPr>
          <w:p>
            <w:pPr>
              <w:pStyle w:val="TableParagraph"/>
              <w:spacing w:before="3"/>
              <w:ind w:right="191"/>
              <w:rPr>
                <w:sz w:val="14"/>
              </w:rPr>
            </w:pPr>
            <w:r>
              <w:rPr>
                <w:w w:val="99"/>
                <w:sz w:val="14"/>
              </w:rPr>
              <w:t>-</w:t>
            </w:r>
          </w:p>
        </w:tc>
        <w:tc>
          <w:tcPr>
            <w:tcW w:w="512" w:type="dxa"/>
            <w:tcBorders>
              <w:bottom w:val="single" w:sz="12" w:space="0" w:color="000000"/>
            </w:tcBorders>
          </w:tcPr>
          <w:p>
            <w:pPr>
              <w:pStyle w:val="TableParagraph"/>
              <w:spacing w:before="3"/>
              <w:ind w:right="121"/>
              <w:rPr>
                <w:sz w:val="14"/>
              </w:rPr>
            </w:pPr>
            <w:r>
              <w:rPr>
                <w:w w:val="99"/>
                <w:sz w:val="14"/>
              </w:rPr>
              <w:t>-</w:t>
            </w:r>
          </w:p>
        </w:tc>
        <w:tc>
          <w:tcPr>
            <w:tcW w:w="594" w:type="dxa"/>
            <w:tcBorders>
              <w:bottom w:val="single" w:sz="12" w:space="0" w:color="000000"/>
            </w:tcBorders>
          </w:tcPr>
          <w:p>
            <w:pPr>
              <w:pStyle w:val="TableParagraph"/>
              <w:spacing w:before="3"/>
              <w:ind w:right="126"/>
              <w:rPr>
                <w:sz w:val="14"/>
              </w:rPr>
            </w:pPr>
            <w:r>
              <w:rPr>
                <w:spacing w:val="-4"/>
                <w:sz w:val="14"/>
              </w:rPr>
              <w:t>2.00</w:t>
            </w:r>
          </w:p>
        </w:tc>
        <w:tc>
          <w:tcPr>
            <w:tcW w:w="668" w:type="dxa"/>
            <w:tcBorders>
              <w:bottom w:val="single" w:sz="12" w:space="0" w:color="000000"/>
            </w:tcBorders>
          </w:tcPr>
          <w:p>
            <w:pPr>
              <w:pStyle w:val="TableParagraph"/>
              <w:spacing w:before="3"/>
              <w:ind w:right="199"/>
              <w:rPr>
                <w:sz w:val="14"/>
              </w:rPr>
            </w:pPr>
            <w:r>
              <w:rPr>
                <w:spacing w:val="-2"/>
                <w:sz w:val="14"/>
              </w:rPr>
              <w:t>11.00</w:t>
            </w:r>
          </w:p>
        </w:tc>
        <w:tc>
          <w:tcPr>
            <w:tcW w:w="714" w:type="dxa"/>
            <w:tcBorders>
              <w:bottom w:val="single" w:sz="12" w:space="0" w:color="000000"/>
            </w:tcBorders>
          </w:tcPr>
          <w:p>
            <w:pPr>
              <w:pStyle w:val="TableParagraph"/>
              <w:spacing w:before="3"/>
              <w:ind w:right="174"/>
              <w:rPr>
                <w:sz w:val="14"/>
              </w:rPr>
            </w:pPr>
            <w:r>
              <w:rPr>
                <w:spacing w:val="-2"/>
                <w:sz w:val="14"/>
              </w:rPr>
              <w:t>10.50</w:t>
            </w:r>
          </w:p>
        </w:tc>
        <w:tc>
          <w:tcPr>
            <w:tcW w:w="490" w:type="dxa"/>
            <w:tcBorders>
              <w:bottom w:val="single" w:sz="12" w:space="0" w:color="000000"/>
            </w:tcBorders>
          </w:tcPr>
          <w:p>
            <w:pPr>
              <w:pStyle w:val="TableParagraph"/>
              <w:spacing w:before="3"/>
              <w:ind w:right="68"/>
              <w:rPr>
                <w:sz w:val="14"/>
              </w:rPr>
            </w:pPr>
            <w:r>
              <w:rPr>
                <w:spacing w:val="-4"/>
                <w:sz w:val="14"/>
              </w:rPr>
              <w:t>4.00</w:t>
            </w:r>
          </w:p>
        </w:tc>
        <w:tc>
          <w:tcPr>
            <w:tcW w:w="793" w:type="dxa"/>
            <w:tcBorders>
              <w:bottom w:val="single" w:sz="12" w:space="0" w:color="000000"/>
            </w:tcBorders>
          </w:tcPr>
          <w:p>
            <w:pPr>
              <w:pStyle w:val="TableParagraph"/>
              <w:spacing w:before="3"/>
              <w:ind w:right="127"/>
              <w:rPr>
                <w:i/>
                <w:sz w:val="14"/>
              </w:rPr>
            </w:pPr>
            <w:r>
              <w:rPr>
                <w:i/>
                <w:spacing w:val="-2"/>
                <w:sz w:val="14"/>
              </w:rPr>
              <w:t>27.50</w:t>
            </w:r>
          </w:p>
        </w:tc>
        <w:tc>
          <w:tcPr>
            <w:tcW w:w="568" w:type="dxa"/>
            <w:tcBorders>
              <w:bottom w:val="single" w:sz="12" w:space="0" w:color="000000"/>
            </w:tcBorders>
          </w:tcPr>
          <w:p>
            <w:pPr>
              <w:pStyle w:val="TableParagraph"/>
              <w:spacing w:before="3"/>
              <w:ind w:right="102"/>
              <w:rPr>
                <w:sz w:val="14"/>
              </w:rPr>
            </w:pPr>
            <w:r>
              <w:rPr>
                <w:w w:val="99"/>
                <w:sz w:val="14"/>
              </w:rPr>
              <w:t>-</w:t>
            </w:r>
          </w:p>
        </w:tc>
        <w:tc>
          <w:tcPr>
            <w:tcW w:w="580" w:type="dxa"/>
            <w:tcBorders>
              <w:bottom w:val="single" w:sz="12" w:space="0" w:color="000000"/>
            </w:tcBorders>
          </w:tcPr>
          <w:p>
            <w:pPr>
              <w:pStyle w:val="TableParagraph"/>
              <w:spacing w:before="3"/>
              <w:ind w:right="88"/>
              <w:rPr>
                <w:sz w:val="14"/>
              </w:rPr>
            </w:pPr>
            <w:r>
              <w:rPr>
                <w:spacing w:val="-4"/>
                <w:sz w:val="14"/>
              </w:rPr>
              <w:t>1.00</w:t>
            </w:r>
          </w:p>
        </w:tc>
        <w:tc>
          <w:tcPr>
            <w:tcW w:w="563" w:type="dxa"/>
            <w:tcBorders>
              <w:bottom w:val="single" w:sz="12" w:space="0" w:color="000000"/>
            </w:tcBorders>
          </w:tcPr>
          <w:p>
            <w:pPr>
              <w:pStyle w:val="TableParagraph"/>
              <w:spacing w:before="3"/>
              <w:ind w:right="60"/>
              <w:rPr>
                <w:sz w:val="14"/>
              </w:rPr>
            </w:pPr>
            <w:r>
              <w:rPr>
                <w:spacing w:val="-4"/>
                <w:sz w:val="14"/>
              </w:rPr>
              <w:t>7.50</w:t>
            </w:r>
          </w:p>
        </w:tc>
        <w:tc>
          <w:tcPr>
            <w:tcW w:w="813" w:type="dxa"/>
            <w:tcBorders>
              <w:bottom w:val="single" w:sz="12" w:space="0" w:color="000000"/>
            </w:tcBorders>
          </w:tcPr>
          <w:p>
            <w:pPr>
              <w:pStyle w:val="TableParagraph"/>
              <w:spacing w:before="3"/>
              <w:ind w:right="134"/>
              <w:rPr>
                <w:i/>
                <w:sz w:val="14"/>
              </w:rPr>
            </w:pPr>
            <w:r>
              <w:rPr>
                <w:i/>
                <w:spacing w:val="-4"/>
                <w:sz w:val="14"/>
              </w:rPr>
              <w:t>8.50</w:t>
            </w:r>
          </w:p>
        </w:tc>
        <w:tc>
          <w:tcPr>
            <w:tcW w:w="525" w:type="dxa"/>
            <w:tcBorders>
              <w:bottom w:val="single" w:sz="12" w:space="0" w:color="000000"/>
            </w:tcBorders>
          </w:tcPr>
          <w:p>
            <w:pPr>
              <w:pStyle w:val="TableParagraph"/>
              <w:spacing w:before="3"/>
              <w:ind w:right="59"/>
              <w:rPr>
                <w:b/>
                <w:sz w:val="14"/>
              </w:rPr>
            </w:pPr>
            <w:r>
              <w:rPr>
                <w:b/>
                <w:spacing w:val="-2"/>
                <w:sz w:val="14"/>
              </w:rPr>
              <w:t>36.00</w:t>
            </w:r>
          </w:p>
        </w:tc>
      </w:tr>
      <w:tr>
        <w:trPr>
          <w:trHeight w:val="229" w:hRule="atLeast"/>
        </w:trPr>
        <w:tc>
          <w:tcPr>
            <w:tcW w:w="1186" w:type="dxa"/>
            <w:tcBorders>
              <w:top w:val="single" w:sz="12" w:space="0" w:color="000000"/>
              <w:bottom w:val="single" w:sz="4" w:space="0" w:color="000000"/>
            </w:tcBorders>
          </w:tcPr>
          <w:p>
            <w:pPr>
              <w:pStyle w:val="TableParagraph"/>
              <w:spacing w:before="28"/>
              <w:ind w:left="67"/>
              <w:jc w:val="left"/>
              <w:rPr>
                <w:sz w:val="14"/>
              </w:rPr>
            </w:pPr>
            <w:r>
              <w:rPr>
                <w:spacing w:val="-2"/>
                <w:sz w:val="14"/>
              </w:rPr>
              <w:t>Continued</w:t>
            </w:r>
          </w:p>
        </w:tc>
        <w:tc>
          <w:tcPr>
            <w:tcW w:w="678" w:type="dxa"/>
            <w:tcBorders>
              <w:top w:val="single" w:sz="12" w:space="0" w:color="000000"/>
              <w:bottom w:val="single" w:sz="4" w:space="0" w:color="000000"/>
            </w:tcBorders>
          </w:tcPr>
          <w:p>
            <w:pPr>
              <w:pStyle w:val="TableParagraph"/>
              <w:spacing w:before="28"/>
              <w:ind w:right="154"/>
              <w:rPr>
                <w:sz w:val="14"/>
              </w:rPr>
            </w:pPr>
            <w:r>
              <w:rPr>
                <w:w w:val="99"/>
                <w:sz w:val="14"/>
              </w:rPr>
              <w:t>-</w:t>
            </w:r>
          </w:p>
        </w:tc>
        <w:tc>
          <w:tcPr>
            <w:tcW w:w="607" w:type="dxa"/>
            <w:tcBorders>
              <w:top w:val="single" w:sz="12" w:space="0" w:color="000000"/>
              <w:bottom w:val="single" w:sz="4" w:space="0" w:color="000000"/>
            </w:tcBorders>
          </w:tcPr>
          <w:p>
            <w:pPr>
              <w:pStyle w:val="TableParagraph"/>
              <w:spacing w:before="28"/>
              <w:ind w:right="170"/>
              <w:rPr>
                <w:sz w:val="14"/>
              </w:rPr>
            </w:pPr>
            <w:r>
              <w:rPr>
                <w:w w:val="99"/>
                <w:sz w:val="14"/>
              </w:rPr>
              <w:t>-</w:t>
            </w:r>
          </w:p>
        </w:tc>
        <w:tc>
          <w:tcPr>
            <w:tcW w:w="563" w:type="dxa"/>
            <w:tcBorders>
              <w:top w:val="single" w:sz="12" w:space="0" w:color="000000"/>
              <w:bottom w:val="single" w:sz="4" w:space="0" w:color="000000"/>
            </w:tcBorders>
          </w:tcPr>
          <w:p>
            <w:pPr>
              <w:pStyle w:val="TableParagraph"/>
              <w:spacing w:before="28"/>
              <w:ind w:right="171"/>
              <w:rPr>
                <w:sz w:val="14"/>
              </w:rPr>
            </w:pPr>
            <w:r>
              <w:rPr>
                <w:w w:val="99"/>
                <w:sz w:val="14"/>
              </w:rPr>
              <w:t>-</w:t>
            </w:r>
          </w:p>
        </w:tc>
        <w:tc>
          <w:tcPr>
            <w:tcW w:w="581" w:type="dxa"/>
            <w:tcBorders>
              <w:top w:val="single" w:sz="12" w:space="0" w:color="000000"/>
              <w:bottom w:val="single" w:sz="4" w:space="0" w:color="000000"/>
            </w:tcBorders>
          </w:tcPr>
          <w:p>
            <w:pPr>
              <w:pStyle w:val="TableParagraph"/>
              <w:spacing w:before="28"/>
              <w:ind w:right="191"/>
              <w:rPr>
                <w:sz w:val="14"/>
              </w:rPr>
            </w:pPr>
            <w:r>
              <w:rPr>
                <w:w w:val="99"/>
                <w:sz w:val="14"/>
              </w:rPr>
              <w:t>-</w:t>
            </w:r>
          </w:p>
        </w:tc>
        <w:tc>
          <w:tcPr>
            <w:tcW w:w="512" w:type="dxa"/>
            <w:tcBorders>
              <w:top w:val="single" w:sz="12" w:space="0" w:color="000000"/>
              <w:bottom w:val="single" w:sz="4" w:space="0" w:color="000000"/>
            </w:tcBorders>
          </w:tcPr>
          <w:p>
            <w:pPr>
              <w:pStyle w:val="TableParagraph"/>
              <w:spacing w:before="28"/>
              <w:ind w:right="121"/>
              <w:rPr>
                <w:sz w:val="14"/>
              </w:rPr>
            </w:pPr>
            <w:r>
              <w:rPr>
                <w:w w:val="99"/>
                <w:sz w:val="14"/>
              </w:rPr>
              <w:t>-</w:t>
            </w:r>
          </w:p>
        </w:tc>
        <w:tc>
          <w:tcPr>
            <w:tcW w:w="594" w:type="dxa"/>
            <w:tcBorders>
              <w:top w:val="single" w:sz="12" w:space="0" w:color="000000"/>
              <w:bottom w:val="single" w:sz="4" w:space="0" w:color="000000"/>
            </w:tcBorders>
          </w:tcPr>
          <w:p>
            <w:pPr>
              <w:pStyle w:val="TableParagraph"/>
              <w:spacing w:before="28"/>
              <w:ind w:right="126"/>
              <w:rPr>
                <w:sz w:val="14"/>
              </w:rPr>
            </w:pPr>
            <w:r>
              <w:rPr>
                <w:spacing w:val="-4"/>
                <w:sz w:val="14"/>
              </w:rPr>
              <w:t>2.00</w:t>
            </w:r>
          </w:p>
        </w:tc>
        <w:tc>
          <w:tcPr>
            <w:tcW w:w="668" w:type="dxa"/>
            <w:tcBorders>
              <w:top w:val="single" w:sz="12" w:space="0" w:color="000000"/>
              <w:bottom w:val="single" w:sz="4" w:space="0" w:color="000000"/>
            </w:tcBorders>
          </w:tcPr>
          <w:p>
            <w:pPr>
              <w:pStyle w:val="TableParagraph"/>
              <w:spacing w:before="28"/>
              <w:ind w:right="199"/>
              <w:rPr>
                <w:sz w:val="14"/>
              </w:rPr>
            </w:pPr>
            <w:r>
              <w:rPr>
                <w:spacing w:val="-2"/>
                <w:sz w:val="14"/>
              </w:rPr>
              <w:t>10.00</w:t>
            </w:r>
          </w:p>
        </w:tc>
        <w:tc>
          <w:tcPr>
            <w:tcW w:w="714" w:type="dxa"/>
            <w:tcBorders>
              <w:top w:val="single" w:sz="12" w:space="0" w:color="000000"/>
              <w:bottom w:val="single" w:sz="4" w:space="0" w:color="000000"/>
            </w:tcBorders>
          </w:tcPr>
          <w:p>
            <w:pPr>
              <w:pStyle w:val="TableParagraph"/>
              <w:spacing w:before="28"/>
              <w:ind w:right="173"/>
              <w:rPr>
                <w:sz w:val="14"/>
              </w:rPr>
            </w:pPr>
            <w:r>
              <w:rPr>
                <w:spacing w:val="-4"/>
                <w:sz w:val="14"/>
              </w:rPr>
              <w:t>6.50</w:t>
            </w:r>
          </w:p>
        </w:tc>
        <w:tc>
          <w:tcPr>
            <w:tcW w:w="490" w:type="dxa"/>
            <w:tcBorders>
              <w:top w:val="single" w:sz="12" w:space="0" w:color="000000"/>
              <w:bottom w:val="single" w:sz="4" w:space="0" w:color="000000"/>
            </w:tcBorders>
          </w:tcPr>
          <w:p>
            <w:pPr>
              <w:pStyle w:val="TableParagraph"/>
              <w:spacing w:before="28"/>
              <w:ind w:right="68"/>
              <w:rPr>
                <w:sz w:val="14"/>
              </w:rPr>
            </w:pPr>
            <w:r>
              <w:rPr>
                <w:spacing w:val="-4"/>
                <w:sz w:val="14"/>
              </w:rPr>
              <w:t>3.00</w:t>
            </w:r>
          </w:p>
        </w:tc>
        <w:tc>
          <w:tcPr>
            <w:tcW w:w="793" w:type="dxa"/>
            <w:tcBorders>
              <w:top w:val="single" w:sz="12" w:space="0" w:color="000000"/>
              <w:bottom w:val="single" w:sz="4" w:space="0" w:color="000000"/>
            </w:tcBorders>
          </w:tcPr>
          <w:p>
            <w:pPr>
              <w:pStyle w:val="TableParagraph"/>
              <w:spacing w:before="28"/>
              <w:ind w:right="127"/>
              <w:rPr>
                <w:i/>
                <w:sz w:val="14"/>
              </w:rPr>
            </w:pPr>
            <w:r>
              <w:rPr>
                <w:i/>
                <w:spacing w:val="-2"/>
                <w:sz w:val="14"/>
              </w:rPr>
              <w:t>21.50</w:t>
            </w:r>
          </w:p>
        </w:tc>
        <w:tc>
          <w:tcPr>
            <w:tcW w:w="568" w:type="dxa"/>
            <w:tcBorders>
              <w:top w:val="single" w:sz="12" w:space="0" w:color="000000"/>
              <w:bottom w:val="single" w:sz="4" w:space="0" w:color="000000"/>
            </w:tcBorders>
          </w:tcPr>
          <w:p>
            <w:pPr>
              <w:pStyle w:val="TableParagraph"/>
              <w:spacing w:before="28"/>
              <w:ind w:right="102"/>
              <w:rPr>
                <w:sz w:val="14"/>
              </w:rPr>
            </w:pPr>
            <w:r>
              <w:rPr>
                <w:w w:val="99"/>
                <w:sz w:val="14"/>
              </w:rPr>
              <w:t>-</w:t>
            </w:r>
          </w:p>
        </w:tc>
        <w:tc>
          <w:tcPr>
            <w:tcW w:w="580" w:type="dxa"/>
            <w:tcBorders>
              <w:top w:val="single" w:sz="12" w:space="0" w:color="000000"/>
              <w:bottom w:val="single" w:sz="4" w:space="0" w:color="000000"/>
            </w:tcBorders>
          </w:tcPr>
          <w:p>
            <w:pPr>
              <w:pStyle w:val="TableParagraph"/>
              <w:spacing w:before="28"/>
              <w:ind w:right="88"/>
              <w:rPr>
                <w:sz w:val="14"/>
              </w:rPr>
            </w:pPr>
            <w:r>
              <w:rPr>
                <w:spacing w:val="-4"/>
                <w:sz w:val="14"/>
              </w:rPr>
              <w:t>1.00</w:t>
            </w:r>
          </w:p>
        </w:tc>
        <w:tc>
          <w:tcPr>
            <w:tcW w:w="563" w:type="dxa"/>
            <w:tcBorders>
              <w:top w:val="single" w:sz="12" w:space="0" w:color="000000"/>
              <w:bottom w:val="single" w:sz="4" w:space="0" w:color="000000"/>
            </w:tcBorders>
          </w:tcPr>
          <w:p>
            <w:pPr>
              <w:pStyle w:val="TableParagraph"/>
              <w:spacing w:before="28"/>
              <w:ind w:right="60"/>
              <w:rPr>
                <w:sz w:val="14"/>
              </w:rPr>
            </w:pPr>
            <w:r>
              <w:rPr>
                <w:spacing w:val="-4"/>
                <w:sz w:val="14"/>
              </w:rPr>
              <w:t>6.50</w:t>
            </w:r>
          </w:p>
        </w:tc>
        <w:tc>
          <w:tcPr>
            <w:tcW w:w="813" w:type="dxa"/>
            <w:tcBorders>
              <w:top w:val="single" w:sz="12" w:space="0" w:color="000000"/>
              <w:bottom w:val="single" w:sz="4" w:space="0" w:color="000000"/>
            </w:tcBorders>
          </w:tcPr>
          <w:p>
            <w:pPr>
              <w:pStyle w:val="TableParagraph"/>
              <w:spacing w:before="28"/>
              <w:ind w:right="134"/>
              <w:rPr>
                <w:i/>
                <w:sz w:val="14"/>
              </w:rPr>
            </w:pPr>
            <w:r>
              <w:rPr>
                <w:i/>
                <w:spacing w:val="-4"/>
                <w:sz w:val="14"/>
              </w:rPr>
              <w:t>7.50</w:t>
            </w:r>
          </w:p>
        </w:tc>
        <w:tc>
          <w:tcPr>
            <w:tcW w:w="525" w:type="dxa"/>
            <w:tcBorders>
              <w:top w:val="single" w:sz="12" w:space="0" w:color="000000"/>
              <w:bottom w:val="single" w:sz="4" w:space="0" w:color="000000"/>
            </w:tcBorders>
          </w:tcPr>
          <w:p>
            <w:pPr>
              <w:pStyle w:val="TableParagraph"/>
              <w:spacing w:before="28"/>
              <w:ind w:right="59"/>
              <w:rPr>
                <w:b/>
                <w:sz w:val="14"/>
              </w:rPr>
            </w:pPr>
            <w:r>
              <w:rPr>
                <w:b/>
                <w:spacing w:val="-2"/>
                <w:sz w:val="14"/>
              </w:rPr>
              <w:t>29.00</w:t>
            </w:r>
          </w:p>
        </w:tc>
      </w:tr>
      <w:tr>
        <w:trPr>
          <w:trHeight w:val="225" w:hRule="atLeast"/>
        </w:trPr>
        <w:tc>
          <w:tcPr>
            <w:tcW w:w="1186" w:type="dxa"/>
            <w:tcBorders>
              <w:top w:val="single" w:sz="4" w:space="0" w:color="000000"/>
              <w:bottom w:val="single" w:sz="4" w:space="0" w:color="000000"/>
            </w:tcBorders>
          </w:tcPr>
          <w:p>
            <w:pPr>
              <w:pStyle w:val="TableParagraph"/>
              <w:spacing w:before="23"/>
              <w:ind w:left="67"/>
              <w:jc w:val="left"/>
              <w:rPr>
                <w:sz w:val="14"/>
              </w:rPr>
            </w:pPr>
            <w:r>
              <w:rPr>
                <w:spacing w:val="-5"/>
                <w:sz w:val="14"/>
              </w:rPr>
              <w:t>New</w:t>
            </w:r>
          </w:p>
        </w:tc>
        <w:tc>
          <w:tcPr>
            <w:tcW w:w="678" w:type="dxa"/>
            <w:tcBorders>
              <w:top w:val="single" w:sz="4" w:space="0" w:color="000000"/>
              <w:bottom w:val="single" w:sz="4" w:space="0" w:color="000000"/>
            </w:tcBorders>
          </w:tcPr>
          <w:p>
            <w:pPr>
              <w:pStyle w:val="TableParagraph"/>
              <w:spacing w:before="23"/>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3"/>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3"/>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3"/>
              <w:ind w:right="191"/>
              <w:rPr>
                <w:sz w:val="14"/>
              </w:rPr>
            </w:pPr>
            <w:r>
              <w:rPr>
                <w:w w:val="99"/>
                <w:sz w:val="14"/>
              </w:rPr>
              <w:t>-</w:t>
            </w:r>
          </w:p>
        </w:tc>
        <w:tc>
          <w:tcPr>
            <w:tcW w:w="512" w:type="dxa"/>
            <w:tcBorders>
              <w:top w:val="single" w:sz="4" w:space="0" w:color="000000"/>
              <w:bottom w:val="single" w:sz="4" w:space="0" w:color="000000"/>
            </w:tcBorders>
          </w:tcPr>
          <w:p>
            <w:pPr>
              <w:pStyle w:val="TableParagraph"/>
              <w:spacing w:before="23"/>
              <w:ind w:right="121"/>
              <w:rPr>
                <w:sz w:val="14"/>
              </w:rPr>
            </w:pPr>
            <w:r>
              <w:rPr>
                <w:w w:val="99"/>
                <w:sz w:val="14"/>
              </w:rPr>
              <w:t>-</w:t>
            </w:r>
          </w:p>
        </w:tc>
        <w:tc>
          <w:tcPr>
            <w:tcW w:w="594" w:type="dxa"/>
            <w:tcBorders>
              <w:top w:val="single" w:sz="4" w:space="0" w:color="000000"/>
              <w:bottom w:val="single" w:sz="4" w:space="0" w:color="000000"/>
            </w:tcBorders>
          </w:tcPr>
          <w:p>
            <w:pPr>
              <w:pStyle w:val="TableParagraph"/>
              <w:spacing w:before="23"/>
              <w:ind w:right="130"/>
              <w:rPr>
                <w:sz w:val="14"/>
              </w:rPr>
            </w:pPr>
            <w:r>
              <w:rPr>
                <w:w w:val="99"/>
                <w:sz w:val="14"/>
              </w:rPr>
              <w:t>-</w:t>
            </w:r>
          </w:p>
        </w:tc>
        <w:tc>
          <w:tcPr>
            <w:tcW w:w="668" w:type="dxa"/>
            <w:tcBorders>
              <w:top w:val="single" w:sz="4" w:space="0" w:color="000000"/>
              <w:bottom w:val="single" w:sz="4" w:space="0" w:color="000000"/>
            </w:tcBorders>
          </w:tcPr>
          <w:p>
            <w:pPr>
              <w:pStyle w:val="TableParagraph"/>
              <w:spacing w:before="23"/>
              <w:ind w:right="199"/>
              <w:rPr>
                <w:sz w:val="14"/>
              </w:rPr>
            </w:pPr>
            <w:r>
              <w:rPr>
                <w:spacing w:val="-4"/>
                <w:sz w:val="14"/>
              </w:rPr>
              <w:t>1.50</w:t>
            </w:r>
          </w:p>
        </w:tc>
        <w:tc>
          <w:tcPr>
            <w:tcW w:w="714" w:type="dxa"/>
            <w:tcBorders>
              <w:top w:val="single" w:sz="4" w:space="0" w:color="000000"/>
              <w:bottom w:val="single" w:sz="4" w:space="0" w:color="000000"/>
            </w:tcBorders>
          </w:tcPr>
          <w:p>
            <w:pPr>
              <w:pStyle w:val="TableParagraph"/>
              <w:spacing w:before="23"/>
              <w:ind w:right="177"/>
              <w:rPr>
                <w:sz w:val="14"/>
              </w:rPr>
            </w:pPr>
            <w:r>
              <w:rPr>
                <w:w w:val="99"/>
                <w:sz w:val="14"/>
              </w:rPr>
              <w:t>-</w:t>
            </w:r>
          </w:p>
        </w:tc>
        <w:tc>
          <w:tcPr>
            <w:tcW w:w="490" w:type="dxa"/>
            <w:tcBorders>
              <w:top w:val="single" w:sz="4" w:space="0" w:color="000000"/>
              <w:bottom w:val="single" w:sz="4" w:space="0" w:color="000000"/>
            </w:tcBorders>
          </w:tcPr>
          <w:p>
            <w:pPr>
              <w:pStyle w:val="TableParagraph"/>
              <w:spacing w:before="23"/>
              <w:ind w:right="68"/>
              <w:rPr>
                <w:sz w:val="14"/>
              </w:rPr>
            </w:pPr>
            <w:r>
              <w:rPr>
                <w:spacing w:val="-4"/>
                <w:sz w:val="14"/>
              </w:rPr>
              <w:t>0.75</w:t>
            </w:r>
          </w:p>
        </w:tc>
        <w:tc>
          <w:tcPr>
            <w:tcW w:w="793" w:type="dxa"/>
            <w:tcBorders>
              <w:top w:val="single" w:sz="4" w:space="0" w:color="000000"/>
              <w:bottom w:val="single" w:sz="4" w:space="0" w:color="000000"/>
            </w:tcBorders>
          </w:tcPr>
          <w:p>
            <w:pPr>
              <w:pStyle w:val="TableParagraph"/>
              <w:spacing w:before="23"/>
              <w:ind w:right="126"/>
              <w:rPr>
                <w:i/>
                <w:sz w:val="14"/>
              </w:rPr>
            </w:pPr>
            <w:r>
              <w:rPr>
                <w:i/>
                <w:spacing w:val="-4"/>
                <w:sz w:val="14"/>
              </w:rPr>
              <w:t>2.25</w:t>
            </w:r>
          </w:p>
        </w:tc>
        <w:tc>
          <w:tcPr>
            <w:tcW w:w="568" w:type="dxa"/>
            <w:tcBorders>
              <w:top w:val="single" w:sz="4" w:space="0" w:color="000000"/>
              <w:bottom w:val="single" w:sz="4" w:space="0" w:color="000000"/>
            </w:tcBorders>
          </w:tcPr>
          <w:p>
            <w:pPr>
              <w:pStyle w:val="TableParagraph"/>
              <w:spacing w:before="23"/>
              <w:ind w:right="102"/>
              <w:rPr>
                <w:sz w:val="14"/>
              </w:rPr>
            </w:pPr>
            <w:r>
              <w:rPr>
                <w:w w:val="99"/>
                <w:sz w:val="14"/>
              </w:rPr>
              <w:t>-</w:t>
            </w:r>
          </w:p>
        </w:tc>
        <w:tc>
          <w:tcPr>
            <w:tcW w:w="580" w:type="dxa"/>
            <w:tcBorders>
              <w:top w:val="single" w:sz="4" w:space="0" w:color="000000"/>
              <w:bottom w:val="single" w:sz="4" w:space="0" w:color="000000"/>
            </w:tcBorders>
          </w:tcPr>
          <w:p>
            <w:pPr>
              <w:pStyle w:val="TableParagraph"/>
              <w:spacing w:before="23"/>
              <w:ind w:right="91"/>
              <w:rPr>
                <w:sz w:val="14"/>
              </w:rPr>
            </w:pPr>
            <w:r>
              <w:rPr>
                <w:w w:val="99"/>
                <w:sz w:val="14"/>
              </w:rPr>
              <w:t>-</w:t>
            </w:r>
          </w:p>
        </w:tc>
        <w:tc>
          <w:tcPr>
            <w:tcW w:w="563" w:type="dxa"/>
            <w:tcBorders>
              <w:top w:val="single" w:sz="4" w:space="0" w:color="000000"/>
              <w:bottom w:val="single" w:sz="4" w:space="0" w:color="000000"/>
            </w:tcBorders>
          </w:tcPr>
          <w:p>
            <w:pPr>
              <w:pStyle w:val="TableParagraph"/>
              <w:spacing w:before="23"/>
              <w:ind w:right="64"/>
              <w:rPr>
                <w:sz w:val="14"/>
              </w:rPr>
            </w:pPr>
            <w:r>
              <w:rPr>
                <w:w w:val="99"/>
                <w:sz w:val="14"/>
              </w:rPr>
              <w:t>-</w:t>
            </w:r>
          </w:p>
        </w:tc>
        <w:tc>
          <w:tcPr>
            <w:tcW w:w="813" w:type="dxa"/>
            <w:tcBorders>
              <w:top w:val="single" w:sz="4" w:space="0" w:color="000000"/>
              <w:bottom w:val="single" w:sz="4" w:space="0" w:color="000000"/>
            </w:tcBorders>
          </w:tcPr>
          <w:p>
            <w:pPr>
              <w:pStyle w:val="TableParagraph"/>
              <w:spacing w:before="23"/>
              <w:ind w:right="137"/>
              <w:rPr>
                <w:i/>
                <w:sz w:val="14"/>
              </w:rPr>
            </w:pPr>
            <w:r>
              <w:rPr>
                <w:i/>
                <w:w w:val="99"/>
                <w:sz w:val="14"/>
              </w:rPr>
              <w:t>-</w:t>
            </w:r>
          </w:p>
        </w:tc>
        <w:tc>
          <w:tcPr>
            <w:tcW w:w="525" w:type="dxa"/>
            <w:tcBorders>
              <w:top w:val="single" w:sz="4" w:space="0" w:color="000000"/>
              <w:bottom w:val="single" w:sz="4" w:space="0" w:color="000000"/>
            </w:tcBorders>
          </w:tcPr>
          <w:p>
            <w:pPr>
              <w:pStyle w:val="TableParagraph"/>
              <w:spacing w:before="23"/>
              <w:ind w:right="59"/>
              <w:rPr>
                <w:b/>
                <w:sz w:val="14"/>
              </w:rPr>
            </w:pPr>
            <w:r>
              <w:rPr>
                <w:b/>
                <w:spacing w:val="-4"/>
                <w:sz w:val="14"/>
              </w:rPr>
              <w:t>2.25</w:t>
            </w:r>
          </w:p>
        </w:tc>
      </w:tr>
      <w:tr>
        <w:trPr>
          <w:trHeight w:val="225" w:hRule="atLeast"/>
        </w:trPr>
        <w:tc>
          <w:tcPr>
            <w:tcW w:w="1186" w:type="dxa"/>
            <w:tcBorders>
              <w:top w:val="single" w:sz="4" w:space="0" w:color="000000"/>
              <w:bottom w:val="single" w:sz="4" w:space="0" w:color="000000"/>
            </w:tcBorders>
          </w:tcPr>
          <w:p>
            <w:pPr>
              <w:pStyle w:val="TableParagraph"/>
              <w:spacing w:before="23"/>
              <w:ind w:left="67"/>
              <w:jc w:val="left"/>
              <w:rPr>
                <w:sz w:val="14"/>
              </w:rPr>
            </w:pPr>
            <w:r>
              <w:rPr>
                <w:spacing w:val="-2"/>
                <w:sz w:val="14"/>
              </w:rPr>
              <w:t>Redeployed</w:t>
            </w:r>
          </w:p>
        </w:tc>
        <w:tc>
          <w:tcPr>
            <w:tcW w:w="678" w:type="dxa"/>
            <w:tcBorders>
              <w:top w:val="single" w:sz="4" w:space="0" w:color="000000"/>
              <w:bottom w:val="single" w:sz="4" w:space="0" w:color="000000"/>
            </w:tcBorders>
          </w:tcPr>
          <w:p>
            <w:pPr>
              <w:pStyle w:val="TableParagraph"/>
              <w:spacing w:before="23"/>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3"/>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3"/>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3"/>
              <w:ind w:right="191"/>
              <w:rPr>
                <w:sz w:val="14"/>
              </w:rPr>
            </w:pPr>
            <w:r>
              <w:rPr>
                <w:w w:val="99"/>
                <w:sz w:val="14"/>
              </w:rPr>
              <w:t>-</w:t>
            </w:r>
          </w:p>
        </w:tc>
        <w:tc>
          <w:tcPr>
            <w:tcW w:w="512" w:type="dxa"/>
            <w:tcBorders>
              <w:top w:val="single" w:sz="4" w:space="0" w:color="000000"/>
              <w:bottom w:val="single" w:sz="4" w:space="0" w:color="000000"/>
            </w:tcBorders>
          </w:tcPr>
          <w:p>
            <w:pPr>
              <w:pStyle w:val="TableParagraph"/>
              <w:spacing w:before="23"/>
              <w:ind w:right="121"/>
              <w:rPr>
                <w:sz w:val="14"/>
              </w:rPr>
            </w:pPr>
            <w:r>
              <w:rPr>
                <w:w w:val="99"/>
                <w:sz w:val="14"/>
              </w:rPr>
              <w:t>-</w:t>
            </w:r>
          </w:p>
        </w:tc>
        <w:tc>
          <w:tcPr>
            <w:tcW w:w="594" w:type="dxa"/>
            <w:tcBorders>
              <w:top w:val="single" w:sz="4" w:space="0" w:color="000000"/>
              <w:bottom w:val="single" w:sz="4" w:space="0" w:color="000000"/>
            </w:tcBorders>
          </w:tcPr>
          <w:p>
            <w:pPr>
              <w:pStyle w:val="TableParagraph"/>
              <w:spacing w:before="23"/>
              <w:ind w:right="126"/>
              <w:rPr>
                <w:sz w:val="14"/>
              </w:rPr>
            </w:pPr>
            <w:r>
              <w:rPr>
                <w:spacing w:val="-2"/>
                <w:sz w:val="14"/>
              </w:rPr>
              <w:t>(1.00)</w:t>
            </w:r>
          </w:p>
        </w:tc>
        <w:tc>
          <w:tcPr>
            <w:tcW w:w="668" w:type="dxa"/>
            <w:tcBorders>
              <w:top w:val="single" w:sz="4" w:space="0" w:color="000000"/>
              <w:bottom w:val="single" w:sz="4" w:space="0" w:color="000000"/>
            </w:tcBorders>
          </w:tcPr>
          <w:p>
            <w:pPr>
              <w:pStyle w:val="TableParagraph"/>
              <w:spacing w:before="23"/>
              <w:ind w:right="198"/>
              <w:rPr>
                <w:sz w:val="14"/>
              </w:rPr>
            </w:pPr>
            <w:r>
              <w:rPr>
                <w:spacing w:val="-2"/>
                <w:sz w:val="14"/>
              </w:rPr>
              <w:t>(1.00)</w:t>
            </w:r>
          </w:p>
        </w:tc>
        <w:tc>
          <w:tcPr>
            <w:tcW w:w="714" w:type="dxa"/>
            <w:tcBorders>
              <w:top w:val="single" w:sz="4" w:space="0" w:color="000000"/>
              <w:bottom w:val="single" w:sz="4" w:space="0" w:color="000000"/>
            </w:tcBorders>
          </w:tcPr>
          <w:p>
            <w:pPr>
              <w:pStyle w:val="TableParagraph"/>
              <w:spacing w:before="23"/>
              <w:ind w:right="173"/>
              <w:rPr>
                <w:sz w:val="14"/>
              </w:rPr>
            </w:pPr>
            <w:r>
              <w:rPr>
                <w:spacing w:val="-2"/>
                <w:sz w:val="14"/>
              </w:rPr>
              <w:t>(1.00)</w:t>
            </w:r>
          </w:p>
        </w:tc>
        <w:tc>
          <w:tcPr>
            <w:tcW w:w="490" w:type="dxa"/>
            <w:tcBorders>
              <w:top w:val="single" w:sz="4" w:space="0" w:color="000000"/>
              <w:bottom w:val="single" w:sz="4" w:space="0" w:color="000000"/>
            </w:tcBorders>
          </w:tcPr>
          <w:p>
            <w:pPr>
              <w:pStyle w:val="TableParagraph"/>
              <w:spacing w:before="23"/>
              <w:ind w:right="71"/>
              <w:rPr>
                <w:sz w:val="14"/>
              </w:rPr>
            </w:pPr>
            <w:r>
              <w:rPr>
                <w:w w:val="99"/>
                <w:sz w:val="14"/>
              </w:rPr>
              <w:t>-</w:t>
            </w:r>
          </w:p>
        </w:tc>
        <w:tc>
          <w:tcPr>
            <w:tcW w:w="793" w:type="dxa"/>
            <w:tcBorders>
              <w:top w:val="single" w:sz="4" w:space="0" w:color="000000"/>
              <w:bottom w:val="single" w:sz="4" w:space="0" w:color="000000"/>
            </w:tcBorders>
          </w:tcPr>
          <w:p>
            <w:pPr>
              <w:pStyle w:val="TableParagraph"/>
              <w:spacing w:before="23"/>
              <w:ind w:right="126"/>
              <w:rPr>
                <w:i/>
                <w:sz w:val="14"/>
              </w:rPr>
            </w:pPr>
            <w:r>
              <w:rPr>
                <w:i/>
                <w:spacing w:val="-2"/>
                <w:sz w:val="14"/>
              </w:rPr>
              <w:t>(3.00)</w:t>
            </w:r>
          </w:p>
        </w:tc>
        <w:tc>
          <w:tcPr>
            <w:tcW w:w="568" w:type="dxa"/>
            <w:tcBorders>
              <w:top w:val="single" w:sz="4" w:space="0" w:color="000000"/>
              <w:bottom w:val="single" w:sz="4" w:space="0" w:color="000000"/>
            </w:tcBorders>
          </w:tcPr>
          <w:p>
            <w:pPr>
              <w:pStyle w:val="TableParagraph"/>
              <w:spacing w:before="23"/>
              <w:ind w:right="102"/>
              <w:rPr>
                <w:sz w:val="14"/>
              </w:rPr>
            </w:pPr>
            <w:r>
              <w:rPr>
                <w:w w:val="99"/>
                <w:sz w:val="14"/>
              </w:rPr>
              <w:t>-</w:t>
            </w:r>
          </w:p>
        </w:tc>
        <w:tc>
          <w:tcPr>
            <w:tcW w:w="580" w:type="dxa"/>
            <w:tcBorders>
              <w:top w:val="single" w:sz="4" w:space="0" w:color="000000"/>
              <w:bottom w:val="single" w:sz="4" w:space="0" w:color="000000"/>
            </w:tcBorders>
          </w:tcPr>
          <w:p>
            <w:pPr>
              <w:pStyle w:val="TableParagraph"/>
              <w:spacing w:before="23"/>
              <w:ind w:right="91"/>
              <w:rPr>
                <w:sz w:val="14"/>
              </w:rPr>
            </w:pPr>
            <w:r>
              <w:rPr>
                <w:w w:val="99"/>
                <w:sz w:val="14"/>
              </w:rPr>
              <w:t>-</w:t>
            </w:r>
          </w:p>
        </w:tc>
        <w:tc>
          <w:tcPr>
            <w:tcW w:w="563" w:type="dxa"/>
            <w:tcBorders>
              <w:top w:val="single" w:sz="4" w:space="0" w:color="000000"/>
              <w:bottom w:val="single" w:sz="4" w:space="0" w:color="000000"/>
            </w:tcBorders>
          </w:tcPr>
          <w:p>
            <w:pPr>
              <w:pStyle w:val="TableParagraph"/>
              <w:spacing w:before="23"/>
              <w:ind w:right="64"/>
              <w:rPr>
                <w:sz w:val="14"/>
              </w:rPr>
            </w:pPr>
            <w:r>
              <w:rPr>
                <w:w w:val="99"/>
                <w:sz w:val="14"/>
              </w:rPr>
              <w:t>-</w:t>
            </w:r>
          </w:p>
        </w:tc>
        <w:tc>
          <w:tcPr>
            <w:tcW w:w="813" w:type="dxa"/>
            <w:tcBorders>
              <w:top w:val="single" w:sz="4" w:space="0" w:color="000000"/>
              <w:bottom w:val="single" w:sz="4" w:space="0" w:color="000000"/>
            </w:tcBorders>
          </w:tcPr>
          <w:p>
            <w:pPr>
              <w:pStyle w:val="TableParagraph"/>
              <w:spacing w:before="23"/>
              <w:ind w:right="137"/>
              <w:rPr>
                <w:i/>
                <w:sz w:val="14"/>
              </w:rPr>
            </w:pPr>
            <w:r>
              <w:rPr>
                <w:i/>
                <w:w w:val="99"/>
                <w:sz w:val="14"/>
              </w:rPr>
              <w:t>-</w:t>
            </w:r>
          </w:p>
        </w:tc>
        <w:tc>
          <w:tcPr>
            <w:tcW w:w="525" w:type="dxa"/>
            <w:tcBorders>
              <w:top w:val="single" w:sz="4" w:space="0" w:color="000000"/>
              <w:bottom w:val="single" w:sz="4" w:space="0" w:color="000000"/>
            </w:tcBorders>
          </w:tcPr>
          <w:p>
            <w:pPr>
              <w:pStyle w:val="TableParagraph"/>
              <w:spacing w:before="23"/>
              <w:ind w:right="58"/>
              <w:rPr>
                <w:b/>
                <w:sz w:val="14"/>
              </w:rPr>
            </w:pPr>
            <w:r>
              <w:rPr>
                <w:b/>
                <w:spacing w:val="-2"/>
                <w:sz w:val="14"/>
              </w:rPr>
              <w:t>(3.00)</w:t>
            </w:r>
          </w:p>
        </w:tc>
      </w:tr>
      <w:tr>
        <w:trPr>
          <w:trHeight w:val="230" w:hRule="atLeast"/>
        </w:trPr>
        <w:tc>
          <w:tcPr>
            <w:tcW w:w="1186" w:type="dxa"/>
            <w:tcBorders>
              <w:top w:val="single" w:sz="4" w:space="0" w:color="000000"/>
              <w:bottom w:val="single" w:sz="4" w:space="0" w:color="000000"/>
            </w:tcBorders>
          </w:tcPr>
          <w:p>
            <w:pPr>
              <w:pStyle w:val="TableParagraph"/>
              <w:spacing w:before="28"/>
              <w:ind w:left="67"/>
              <w:jc w:val="left"/>
              <w:rPr>
                <w:sz w:val="14"/>
              </w:rPr>
            </w:pPr>
            <w:r>
              <w:rPr>
                <w:spacing w:val="-2"/>
                <w:sz w:val="14"/>
              </w:rPr>
              <w:t>Reclassified</w:t>
            </w:r>
          </w:p>
        </w:tc>
        <w:tc>
          <w:tcPr>
            <w:tcW w:w="678" w:type="dxa"/>
            <w:tcBorders>
              <w:top w:val="single" w:sz="4" w:space="0" w:color="000000"/>
              <w:bottom w:val="single" w:sz="4" w:space="0" w:color="000000"/>
            </w:tcBorders>
          </w:tcPr>
          <w:p>
            <w:pPr>
              <w:pStyle w:val="TableParagraph"/>
              <w:spacing w:before="28"/>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8"/>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8"/>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8"/>
              <w:ind w:right="191"/>
              <w:rPr>
                <w:sz w:val="14"/>
              </w:rPr>
            </w:pPr>
            <w:r>
              <w:rPr>
                <w:w w:val="99"/>
                <w:sz w:val="14"/>
              </w:rPr>
              <w:t>-</w:t>
            </w:r>
          </w:p>
        </w:tc>
        <w:tc>
          <w:tcPr>
            <w:tcW w:w="512" w:type="dxa"/>
            <w:tcBorders>
              <w:top w:val="single" w:sz="4" w:space="0" w:color="000000"/>
              <w:bottom w:val="single" w:sz="4" w:space="0" w:color="000000"/>
            </w:tcBorders>
          </w:tcPr>
          <w:p>
            <w:pPr>
              <w:pStyle w:val="TableParagraph"/>
              <w:spacing w:before="28"/>
              <w:ind w:right="121"/>
              <w:rPr>
                <w:sz w:val="14"/>
              </w:rPr>
            </w:pPr>
            <w:r>
              <w:rPr>
                <w:w w:val="99"/>
                <w:sz w:val="14"/>
              </w:rPr>
              <w:t>-</w:t>
            </w:r>
          </w:p>
        </w:tc>
        <w:tc>
          <w:tcPr>
            <w:tcW w:w="594" w:type="dxa"/>
            <w:tcBorders>
              <w:top w:val="single" w:sz="4" w:space="0" w:color="000000"/>
              <w:bottom w:val="single" w:sz="4" w:space="0" w:color="000000"/>
            </w:tcBorders>
          </w:tcPr>
          <w:p>
            <w:pPr>
              <w:pStyle w:val="TableParagraph"/>
              <w:spacing w:before="28"/>
              <w:ind w:right="130"/>
              <w:rPr>
                <w:sz w:val="14"/>
              </w:rPr>
            </w:pPr>
            <w:r>
              <w:rPr>
                <w:w w:val="99"/>
                <w:sz w:val="14"/>
              </w:rPr>
              <w:t>-</w:t>
            </w:r>
          </w:p>
        </w:tc>
        <w:tc>
          <w:tcPr>
            <w:tcW w:w="668" w:type="dxa"/>
            <w:tcBorders>
              <w:top w:val="single" w:sz="4" w:space="0" w:color="000000"/>
              <w:bottom w:val="single" w:sz="4" w:space="0" w:color="000000"/>
            </w:tcBorders>
          </w:tcPr>
          <w:p>
            <w:pPr>
              <w:pStyle w:val="TableParagraph"/>
              <w:spacing w:before="28"/>
              <w:ind w:right="202"/>
              <w:rPr>
                <w:sz w:val="14"/>
              </w:rPr>
            </w:pPr>
            <w:r>
              <w:rPr>
                <w:w w:val="99"/>
                <w:sz w:val="14"/>
              </w:rPr>
              <w:t>-</w:t>
            </w:r>
          </w:p>
        </w:tc>
        <w:tc>
          <w:tcPr>
            <w:tcW w:w="714" w:type="dxa"/>
            <w:tcBorders>
              <w:top w:val="single" w:sz="4" w:space="0" w:color="000000"/>
              <w:bottom w:val="single" w:sz="4" w:space="0" w:color="000000"/>
            </w:tcBorders>
          </w:tcPr>
          <w:p>
            <w:pPr>
              <w:pStyle w:val="TableParagraph"/>
              <w:spacing w:before="28"/>
              <w:ind w:right="177"/>
              <w:rPr>
                <w:sz w:val="14"/>
              </w:rPr>
            </w:pPr>
            <w:r>
              <w:rPr>
                <w:w w:val="99"/>
                <w:sz w:val="14"/>
              </w:rPr>
              <w:t>-</w:t>
            </w:r>
          </w:p>
        </w:tc>
        <w:tc>
          <w:tcPr>
            <w:tcW w:w="490" w:type="dxa"/>
            <w:tcBorders>
              <w:top w:val="single" w:sz="4" w:space="0" w:color="000000"/>
              <w:bottom w:val="single" w:sz="4" w:space="0" w:color="000000"/>
            </w:tcBorders>
          </w:tcPr>
          <w:p>
            <w:pPr>
              <w:pStyle w:val="TableParagraph"/>
              <w:spacing w:before="28"/>
              <w:ind w:right="71"/>
              <w:rPr>
                <w:sz w:val="14"/>
              </w:rPr>
            </w:pPr>
            <w:r>
              <w:rPr>
                <w:w w:val="99"/>
                <w:sz w:val="14"/>
              </w:rPr>
              <w:t>-</w:t>
            </w:r>
          </w:p>
        </w:tc>
        <w:tc>
          <w:tcPr>
            <w:tcW w:w="793" w:type="dxa"/>
            <w:tcBorders>
              <w:top w:val="single" w:sz="4" w:space="0" w:color="000000"/>
              <w:bottom w:val="single" w:sz="4" w:space="0" w:color="000000"/>
            </w:tcBorders>
          </w:tcPr>
          <w:p>
            <w:pPr>
              <w:pStyle w:val="TableParagraph"/>
              <w:spacing w:before="28"/>
              <w:ind w:right="129"/>
              <w:rPr>
                <w:i/>
                <w:sz w:val="14"/>
              </w:rPr>
            </w:pPr>
            <w:r>
              <w:rPr>
                <w:i/>
                <w:w w:val="99"/>
                <w:sz w:val="14"/>
              </w:rPr>
              <w:t>-</w:t>
            </w:r>
          </w:p>
        </w:tc>
        <w:tc>
          <w:tcPr>
            <w:tcW w:w="568" w:type="dxa"/>
            <w:tcBorders>
              <w:top w:val="single" w:sz="4" w:space="0" w:color="000000"/>
              <w:bottom w:val="single" w:sz="4" w:space="0" w:color="000000"/>
            </w:tcBorders>
          </w:tcPr>
          <w:p>
            <w:pPr>
              <w:pStyle w:val="TableParagraph"/>
              <w:spacing w:before="28"/>
              <w:ind w:right="102"/>
              <w:rPr>
                <w:sz w:val="14"/>
              </w:rPr>
            </w:pPr>
            <w:r>
              <w:rPr>
                <w:w w:val="99"/>
                <w:sz w:val="14"/>
              </w:rPr>
              <w:t>-</w:t>
            </w:r>
          </w:p>
        </w:tc>
        <w:tc>
          <w:tcPr>
            <w:tcW w:w="580" w:type="dxa"/>
            <w:tcBorders>
              <w:top w:val="single" w:sz="4" w:space="0" w:color="000000"/>
              <w:bottom w:val="single" w:sz="4" w:space="0" w:color="000000"/>
            </w:tcBorders>
          </w:tcPr>
          <w:p>
            <w:pPr>
              <w:pStyle w:val="TableParagraph"/>
              <w:spacing w:before="28"/>
              <w:ind w:right="91"/>
              <w:rPr>
                <w:sz w:val="14"/>
              </w:rPr>
            </w:pPr>
            <w:r>
              <w:rPr>
                <w:w w:val="99"/>
                <w:sz w:val="14"/>
              </w:rPr>
              <w:t>-</w:t>
            </w:r>
          </w:p>
        </w:tc>
        <w:tc>
          <w:tcPr>
            <w:tcW w:w="563" w:type="dxa"/>
            <w:tcBorders>
              <w:top w:val="single" w:sz="4" w:space="0" w:color="000000"/>
              <w:bottom w:val="single" w:sz="4" w:space="0" w:color="000000"/>
            </w:tcBorders>
          </w:tcPr>
          <w:p>
            <w:pPr>
              <w:pStyle w:val="TableParagraph"/>
              <w:spacing w:before="28"/>
              <w:ind w:right="64"/>
              <w:rPr>
                <w:sz w:val="14"/>
              </w:rPr>
            </w:pPr>
            <w:r>
              <w:rPr>
                <w:w w:val="99"/>
                <w:sz w:val="14"/>
              </w:rPr>
              <w:t>-</w:t>
            </w:r>
          </w:p>
        </w:tc>
        <w:tc>
          <w:tcPr>
            <w:tcW w:w="813" w:type="dxa"/>
            <w:tcBorders>
              <w:top w:val="single" w:sz="4" w:space="0" w:color="000000"/>
              <w:bottom w:val="single" w:sz="4" w:space="0" w:color="000000"/>
            </w:tcBorders>
          </w:tcPr>
          <w:p>
            <w:pPr>
              <w:pStyle w:val="TableParagraph"/>
              <w:spacing w:before="28"/>
              <w:ind w:right="137"/>
              <w:rPr>
                <w:i/>
                <w:sz w:val="14"/>
              </w:rPr>
            </w:pPr>
            <w:r>
              <w:rPr>
                <w:i/>
                <w:w w:val="99"/>
                <w:sz w:val="14"/>
              </w:rPr>
              <w:t>-</w:t>
            </w:r>
          </w:p>
        </w:tc>
        <w:tc>
          <w:tcPr>
            <w:tcW w:w="525" w:type="dxa"/>
            <w:tcBorders>
              <w:top w:val="single" w:sz="4" w:space="0" w:color="000000"/>
              <w:bottom w:val="single" w:sz="4" w:space="0" w:color="000000"/>
            </w:tcBorders>
          </w:tcPr>
          <w:p>
            <w:pPr>
              <w:pStyle w:val="TableParagraph"/>
              <w:spacing w:before="28"/>
              <w:ind w:right="62"/>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3"/>
              <w:ind w:left="67"/>
              <w:jc w:val="left"/>
              <w:rPr>
                <w:sz w:val="14"/>
              </w:rPr>
            </w:pPr>
            <w:r>
              <w:rPr>
                <w:spacing w:val="-2"/>
                <w:sz w:val="14"/>
              </w:rPr>
              <w:t>Converted</w:t>
            </w:r>
          </w:p>
        </w:tc>
        <w:tc>
          <w:tcPr>
            <w:tcW w:w="678" w:type="dxa"/>
            <w:tcBorders>
              <w:top w:val="single" w:sz="4" w:space="0" w:color="000000"/>
              <w:bottom w:val="single" w:sz="4" w:space="0" w:color="000000"/>
            </w:tcBorders>
          </w:tcPr>
          <w:p>
            <w:pPr>
              <w:pStyle w:val="TableParagraph"/>
              <w:spacing w:before="23"/>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3"/>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3"/>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3"/>
              <w:ind w:right="191"/>
              <w:rPr>
                <w:sz w:val="14"/>
              </w:rPr>
            </w:pPr>
            <w:r>
              <w:rPr>
                <w:w w:val="99"/>
                <w:sz w:val="14"/>
              </w:rPr>
              <w:t>-</w:t>
            </w:r>
          </w:p>
        </w:tc>
        <w:tc>
          <w:tcPr>
            <w:tcW w:w="512" w:type="dxa"/>
            <w:tcBorders>
              <w:top w:val="single" w:sz="4" w:space="0" w:color="000000"/>
              <w:bottom w:val="single" w:sz="4" w:space="0" w:color="000000"/>
            </w:tcBorders>
          </w:tcPr>
          <w:p>
            <w:pPr>
              <w:pStyle w:val="TableParagraph"/>
              <w:spacing w:before="23"/>
              <w:ind w:right="121"/>
              <w:rPr>
                <w:sz w:val="14"/>
              </w:rPr>
            </w:pPr>
            <w:r>
              <w:rPr>
                <w:w w:val="99"/>
                <w:sz w:val="14"/>
              </w:rPr>
              <w:t>-</w:t>
            </w:r>
          </w:p>
        </w:tc>
        <w:tc>
          <w:tcPr>
            <w:tcW w:w="594" w:type="dxa"/>
            <w:tcBorders>
              <w:top w:val="single" w:sz="4" w:space="0" w:color="000000"/>
              <w:bottom w:val="single" w:sz="4" w:space="0" w:color="000000"/>
            </w:tcBorders>
          </w:tcPr>
          <w:p>
            <w:pPr>
              <w:pStyle w:val="TableParagraph"/>
              <w:spacing w:before="23"/>
              <w:ind w:right="130"/>
              <w:rPr>
                <w:sz w:val="14"/>
              </w:rPr>
            </w:pPr>
            <w:r>
              <w:rPr>
                <w:w w:val="99"/>
                <w:sz w:val="14"/>
              </w:rPr>
              <w:t>-</w:t>
            </w:r>
          </w:p>
        </w:tc>
        <w:tc>
          <w:tcPr>
            <w:tcW w:w="668" w:type="dxa"/>
            <w:tcBorders>
              <w:top w:val="single" w:sz="4" w:space="0" w:color="000000"/>
              <w:bottom w:val="single" w:sz="4" w:space="0" w:color="000000"/>
            </w:tcBorders>
          </w:tcPr>
          <w:p>
            <w:pPr>
              <w:pStyle w:val="TableParagraph"/>
              <w:spacing w:before="23"/>
              <w:ind w:right="202"/>
              <w:rPr>
                <w:sz w:val="14"/>
              </w:rPr>
            </w:pPr>
            <w:r>
              <w:rPr>
                <w:w w:val="99"/>
                <w:sz w:val="14"/>
              </w:rPr>
              <w:t>-</w:t>
            </w:r>
          </w:p>
        </w:tc>
        <w:tc>
          <w:tcPr>
            <w:tcW w:w="714" w:type="dxa"/>
            <w:tcBorders>
              <w:top w:val="single" w:sz="4" w:space="0" w:color="000000"/>
              <w:bottom w:val="single" w:sz="4" w:space="0" w:color="000000"/>
            </w:tcBorders>
          </w:tcPr>
          <w:p>
            <w:pPr>
              <w:pStyle w:val="TableParagraph"/>
              <w:spacing w:before="23"/>
              <w:ind w:right="177"/>
              <w:rPr>
                <w:sz w:val="14"/>
              </w:rPr>
            </w:pPr>
            <w:r>
              <w:rPr>
                <w:w w:val="99"/>
                <w:sz w:val="14"/>
              </w:rPr>
              <w:t>-</w:t>
            </w:r>
          </w:p>
        </w:tc>
        <w:tc>
          <w:tcPr>
            <w:tcW w:w="490" w:type="dxa"/>
            <w:tcBorders>
              <w:top w:val="single" w:sz="4" w:space="0" w:color="000000"/>
              <w:bottom w:val="single" w:sz="4" w:space="0" w:color="000000"/>
            </w:tcBorders>
          </w:tcPr>
          <w:p>
            <w:pPr>
              <w:pStyle w:val="TableParagraph"/>
              <w:spacing w:before="23"/>
              <w:ind w:right="71"/>
              <w:rPr>
                <w:sz w:val="14"/>
              </w:rPr>
            </w:pPr>
            <w:r>
              <w:rPr>
                <w:w w:val="99"/>
                <w:sz w:val="14"/>
              </w:rPr>
              <w:t>-</w:t>
            </w:r>
          </w:p>
        </w:tc>
        <w:tc>
          <w:tcPr>
            <w:tcW w:w="793" w:type="dxa"/>
            <w:tcBorders>
              <w:top w:val="single" w:sz="4" w:space="0" w:color="000000"/>
              <w:bottom w:val="single" w:sz="4" w:space="0" w:color="000000"/>
            </w:tcBorders>
          </w:tcPr>
          <w:p>
            <w:pPr>
              <w:pStyle w:val="TableParagraph"/>
              <w:spacing w:before="23"/>
              <w:ind w:right="129"/>
              <w:rPr>
                <w:i/>
                <w:sz w:val="14"/>
              </w:rPr>
            </w:pPr>
            <w:r>
              <w:rPr>
                <w:i/>
                <w:w w:val="99"/>
                <w:sz w:val="14"/>
              </w:rPr>
              <w:t>-</w:t>
            </w:r>
          </w:p>
        </w:tc>
        <w:tc>
          <w:tcPr>
            <w:tcW w:w="568" w:type="dxa"/>
            <w:tcBorders>
              <w:top w:val="single" w:sz="4" w:space="0" w:color="000000"/>
              <w:bottom w:val="single" w:sz="4" w:space="0" w:color="000000"/>
            </w:tcBorders>
          </w:tcPr>
          <w:p>
            <w:pPr>
              <w:pStyle w:val="TableParagraph"/>
              <w:spacing w:before="23"/>
              <w:ind w:right="102"/>
              <w:rPr>
                <w:sz w:val="14"/>
              </w:rPr>
            </w:pPr>
            <w:r>
              <w:rPr>
                <w:w w:val="99"/>
                <w:sz w:val="14"/>
              </w:rPr>
              <w:t>-</w:t>
            </w:r>
          </w:p>
        </w:tc>
        <w:tc>
          <w:tcPr>
            <w:tcW w:w="580" w:type="dxa"/>
            <w:tcBorders>
              <w:top w:val="single" w:sz="4" w:space="0" w:color="000000"/>
              <w:bottom w:val="single" w:sz="4" w:space="0" w:color="000000"/>
            </w:tcBorders>
          </w:tcPr>
          <w:p>
            <w:pPr>
              <w:pStyle w:val="TableParagraph"/>
              <w:spacing w:before="23"/>
              <w:ind w:right="91"/>
              <w:rPr>
                <w:sz w:val="14"/>
              </w:rPr>
            </w:pPr>
            <w:r>
              <w:rPr>
                <w:w w:val="99"/>
                <w:sz w:val="14"/>
              </w:rPr>
              <w:t>-</w:t>
            </w:r>
          </w:p>
        </w:tc>
        <w:tc>
          <w:tcPr>
            <w:tcW w:w="563" w:type="dxa"/>
            <w:tcBorders>
              <w:top w:val="single" w:sz="4" w:space="0" w:color="000000"/>
              <w:bottom w:val="single" w:sz="4" w:space="0" w:color="000000"/>
            </w:tcBorders>
          </w:tcPr>
          <w:p>
            <w:pPr>
              <w:pStyle w:val="TableParagraph"/>
              <w:spacing w:before="23"/>
              <w:ind w:right="64"/>
              <w:rPr>
                <w:sz w:val="14"/>
              </w:rPr>
            </w:pPr>
            <w:r>
              <w:rPr>
                <w:w w:val="99"/>
                <w:sz w:val="14"/>
              </w:rPr>
              <w:t>-</w:t>
            </w:r>
          </w:p>
        </w:tc>
        <w:tc>
          <w:tcPr>
            <w:tcW w:w="813" w:type="dxa"/>
            <w:tcBorders>
              <w:top w:val="single" w:sz="4" w:space="0" w:color="000000"/>
              <w:bottom w:val="single" w:sz="4" w:space="0" w:color="000000"/>
            </w:tcBorders>
          </w:tcPr>
          <w:p>
            <w:pPr>
              <w:pStyle w:val="TableParagraph"/>
              <w:spacing w:before="23"/>
              <w:ind w:right="137"/>
              <w:rPr>
                <w:i/>
                <w:sz w:val="14"/>
              </w:rPr>
            </w:pPr>
            <w:r>
              <w:rPr>
                <w:i/>
                <w:w w:val="99"/>
                <w:sz w:val="14"/>
              </w:rPr>
              <w:t>-</w:t>
            </w:r>
          </w:p>
        </w:tc>
        <w:tc>
          <w:tcPr>
            <w:tcW w:w="525" w:type="dxa"/>
            <w:tcBorders>
              <w:top w:val="single" w:sz="4" w:space="0" w:color="000000"/>
              <w:bottom w:val="single" w:sz="4" w:space="0" w:color="000000"/>
            </w:tcBorders>
          </w:tcPr>
          <w:p>
            <w:pPr>
              <w:pStyle w:val="TableParagraph"/>
              <w:spacing w:before="23"/>
              <w:ind w:right="62"/>
              <w:rPr>
                <w:b/>
                <w:sz w:val="14"/>
              </w:rPr>
            </w:pPr>
            <w:r>
              <w:rPr>
                <w:b/>
                <w:w w:val="99"/>
                <w:sz w:val="14"/>
              </w:rPr>
              <w:t>-</w:t>
            </w:r>
          </w:p>
        </w:tc>
      </w:tr>
      <w:tr>
        <w:trPr>
          <w:trHeight w:val="229" w:hRule="atLeast"/>
        </w:trPr>
        <w:tc>
          <w:tcPr>
            <w:tcW w:w="1186" w:type="dxa"/>
            <w:tcBorders>
              <w:top w:val="single" w:sz="4" w:space="0" w:color="000000"/>
              <w:bottom w:val="single" w:sz="12" w:space="0" w:color="000000"/>
            </w:tcBorders>
          </w:tcPr>
          <w:p>
            <w:pPr>
              <w:pStyle w:val="TableParagraph"/>
              <w:spacing w:before="28"/>
              <w:ind w:left="67"/>
              <w:jc w:val="left"/>
              <w:rPr>
                <w:b/>
                <w:sz w:val="14"/>
              </w:rPr>
            </w:pPr>
            <w:r>
              <w:rPr>
                <w:b/>
                <w:sz w:val="14"/>
              </w:rPr>
              <w:t>Proposed</w:t>
            </w:r>
            <w:r>
              <w:rPr>
                <w:b/>
                <w:spacing w:val="-6"/>
                <w:sz w:val="14"/>
              </w:rPr>
              <w:t> </w:t>
            </w:r>
            <w:r>
              <w:rPr>
                <w:b/>
                <w:spacing w:val="-4"/>
                <w:sz w:val="14"/>
              </w:rPr>
              <w:t>2023</w:t>
            </w:r>
          </w:p>
        </w:tc>
        <w:tc>
          <w:tcPr>
            <w:tcW w:w="678" w:type="dxa"/>
            <w:tcBorders>
              <w:top w:val="single" w:sz="4" w:space="0" w:color="000000"/>
              <w:bottom w:val="single" w:sz="12" w:space="0" w:color="000000"/>
            </w:tcBorders>
          </w:tcPr>
          <w:p>
            <w:pPr>
              <w:pStyle w:val="TableParagraph"/>
              <w:spacing w:before="28"/>
              <w:ind w:right="154"/>
              <w:rPr>
                <w:b/>
                <w:sz w:val="14"/>
              </w:rPr>
            </w:pPr>
            <w:r>
              <w:rPr>
                <w:b/>
                <w:w w:val="99"/>
                <w:sz w:val="14"/>
              </w:rPr>
              <w:t>-</w:t>
            </w:r>
          </w:p>
        </w:tc>
        <w:tc>
          <w:tcPr>
            <w:tcW w:w="607" w:type="dxa"/>
            <w:tcBorders>
              <w:top w:val="single" w:sz="4" w:space="0" w:color="000000"/>
              <w:bottom w:val="single" w:sz="12" w:space="0" w:color="000000"/>
            </w:tcBorders>
          </w:tcPr>
          <w:p>
            <w:pPr>
              <w:pStyle w:val="TableParagraph"/>
              <w:spacing w:before="28"/>
              <w:ind w:right="170"/>
              <w:rPr>
                <w:b/>
                <w:sz w:val="14"/>
              </w:rPr>
            </w:pPr>
            <w:r>
              <w:rPr>
                <w:b/>
                <w:w w:val="99"/>
                <w:sz w:val="14"/>
              </w:rPr>
              <w:t>-</w:t>
            </w:r>
          </w:p>
        </w:tc>
        <w:tc>
          <w:tcPr>
            <w:tcW w:w="563" w:type="dxa"/>
            <w:tcBorders>
              <w:top w:val="single" w:sz="4" w:space="0" w:color="000000"/>
              <w:bottom w:val="single" w:sz="12" w:space="0" w:color="000000"/>
            </w:tcBorders>
          </w:tcPr>
          <w:p>
            <w:pPr>
              <w:pStyle w:val="TableParagraph"/>
              <w:spacing w:before="28"/>
              <w:ind w:right="171"/>
              <w:rPr>
                <w:b/>
                <w:sz w:val="14"/>
              </w:rPr>
            </w:pPr>
            <w:r>
              <w:rPr>
                <w:b/>
                <w:w w:val="99"/>
                <w:sz w:val="14"/>
              </w:rPr>
              <w:t>-</w:t>
            </w:r>
          </w:p>
        </w:tc>
        <w:tc>
          <w:tcPr>
            <w:tcW w:w="581" w:type="dxa"/>
            <w:tcBorders>
              <w:top w:val="single" w:sz="4" w:space="0" w:color="000000"/>
              <w:bottom w:val="single" w:sz="12" w:space="0" w:color="000000"/>
            </w:tcBorders>
          </w:tcPr>
          <w:p>
            <w:pPr>
              <w:pStyle w:val="TableParagraph"/>
              <w:spacing w:before="28"/>
              <w:ind w:right="191"/>
              <w:rPr>
                <w:b/>
                <w:sz w:val="14"/>
              </w:rPr>
            </w:pPr>
            <w:r>
              <w:rPr>
                <w:b/>
                <w:w w:val="99"/>
                <w:sz w:val="14"/>
              </w:rPr>
              <w:t>-</w:t>
            </w:r>
          </w:p>
        </w:tc>
        <w:tc>
          <w:tcPr>
            <w:tcW w:w="512" w:type="dxa"/>
            <w:tcBorders>
              <w:top w:val="single" w:sz="4" w:space="0" w:color="000000"/>
              <w:bottom w:val="single" w:sz="12" w:space="0" w:color="000000"/>
            </w:tcBorders>
          </w:tcPr>
          <w:p>
            <w:pPr>
              <w:pStyle w:val="TableParagraph"/>
              <w:spacing w:before="28"/>
              <w:ind w:right="121"/>
              <w:rPr>
                <w:b/>
                <w:sz w:val="14"/>
              </w:rPr>
            </w:pPr>
            <w:r>
              <w:rPr>
                <w:b/>
                <w:w w:val="99"/>
                <w:sz w:val="14"/>
              </w:rPr>
              <w:t>-</w:t>
            </w:r>
          </w:p>
        </w:tc>
        <w:tc>
          <w:tcPr>
            <w:tcW w:w="594" w:type="dxa"/>
            <w:tcBorders>
              <w:top w:val="single" w:sz="4" w:space="0" w:color="000000"/>
              <w:bottom w:val="single" w:sz="12" w:space="0" w:color="000000"/>
            </w:tcBorders>
          </w:tcPr>
          <w:p>
            <w:pPr>
              <w:pStyle w:val="TableParagraph"/>
              <w:spacing w:before="28"/>
              <w:ind w:right="126"/>
              <w:rPr>
                <w:b/>
                <w:sz w:val="14"/>
              </w:rPr>
            </w:pPr>
            <w:r>
              <w:rPr>
                <w:b/>
                <w:spacing w:val="-4"/>
                <w:sz w:val="14"/>
              </w:rPr>
              <w:t>1.00</w:t>
            </w:r>
          </w:p>
        </w:tc>
        <w:tc>
          <w:tcPr>
            <w:tcW w:w="668" w:type="dxa"/>
            <w:tcBorders>
              <w:top w:val="single" w:sz="4" w:space="0" w:color="000000"/>
              <w:bottom w:val="single" w:sz="12" w:space="0" w:color="000000"/>
            </w:tcBorders>
          </w:tcPr>
          <w:p>
            <w:pPr>
              <w:pStyle w:val="TableParagraph"/>
              <w:spacing w:before="28"/>
              <w:ind w:right="199"/>
              <w:rPr>
                <w:b/>
                <w:sz w:val="14"/>
              </w:rPr>
            </w:pPr>
            <w:r>
              <w:rPr>
                <w:b/>
                <w:spacing w:val="-2"/>
                <w:sz w:val="14"/>
              </w:rPr>
              <w:t>10.50</w:t>
            </w:r>
          </w:p>
        </w:tc>
        <w:tc>
          <w:tcPr>
            <w:tcW w:w="714" w:type="dxa"/>
            <w:tcBorders>
              <w:top w:val="single" w:sz="4" w:space="0" w:color="000000"/>
              <w:bottom w:val="single" w:sz="12" w:space="0" w:color="000000"/>
            </w:tcBorders>
          </w:tcPr>
          <w:p>
            <w:pPr>
              <w:pStyle w:val="TableParagraph"/>
              <w:spacing w:before="28"/>
              <w:ind w:right="173"/>
              <w:rPr>
                <w:b/>
                <w:sz w:val="14"/>
              </w:rPr>
            </w:pPr>
            <w:r>
              <w:rPr>
                <w:b/>
                <w:spacing w:val="-4"/>
                <w:sz w:val="14"/>
              </w:rPr>
              <w:t>5.50</w:t>
            </w:r>
          </w:p>
        </w:tc>
        <w:tc>
          <w:tcPr>
            <w:tcW w:w="490" w:type="dxa"/>
            <w:tcBorders>
              <w:top w:val="single" w:sz="4" w:space="0" w:color="000000"/>
              <w:bottom w:val="single" w:sz="12" w:space="0" w:color="000000"/>
            </w:tcBorders>
          </w:tcPr>
          <w:p>
            <w:pPr>
              <w:pStyle w:val="TableParagraph"/>
              <w:spacing w:before="28"/>
              <w:ind w:right="68"/>
              <w:rPr>
                <w:b/>
                <w:sz w:val="14"/>
              </w:rPr>
            </w:pPr>
            <w:r>
              <w:rPr>
                <w:b/>
                <w:spacing w:val="-4"/>
                <w:sz w:val="14"/>
              </w:rPr>
              <w:t>3.75</w:t>
            </w:r>
          </w:p>
        </w:tc>
        <w:tc>
          <w:tcPr>
            <w:tcW w:w="793" w:type="dxa"/>
            <w:tcBorders>
              <w:top w:val="single" w:sz="4" w:space="0" w:color="000000"/>
              <w:bottom w:val="single" w:sz="12" w:space="0" w:color="000000"/>
            </w:tcBorders>
          </w:tcPr>
          <w:p>
            <w:pPr>
              <w:pStyle w:val="TableParagraph"/>
              <w:spacing w:before="28"/>
              <w:ind w:right="127"/>
              <w:rPr>
                <w:b/>
                <w:i/>
                <w:sz w:val="14"/>
              </w:rPr>
            </w:pPr>
            <w:r>
              <w:rPr>
                <w:b/>
                <w:i/>
                <w:spacing w:val="-2"/>
                <w:sz w:val="14"/>
              </w:rPr>
              <w:t>20.75</w:t>
            </w:r>
          </w:p>
        </w:tc>
        <w:tc>
          <w:tcPr>
            <w:tcW w:w="568" w:type="dxa"/>
            <w:tcBorders>
              <w:top w:val="single" w:sz="4" w:space="0" w:color="000000"/>
              <w:bottom w:val="single" w:sz="12" w:space="0" w:color="000000"/>
            </w:tcBorders>
          </w:tcPr>
          <w:p>
            <w:pPr>
              <w:pStyle w:val="TableParagraph"/>
              <w:spacing w:before="28"/>
              <w:ind w:right="102"/>
              <w:rPr>
                <w:b/>
                <w:sz w:val="14"/>
              </w:rPr>
            </w:pPr>
            <w:r>
              <w:rPr>
                <w:b/>
                <w:w w:val="99"/>
                <w:sz w:val="14"/>
              </w:rPr>
              <w:t>-</w:t>
            </w:r>
          </w:p>
        </w:tc>
        <w:tc>
          <w:tcPr>
            <w:tcW w:w="580" w:type="dxa"/>
            <w:tcBorders>
              <w:top w:val="single" w:sz="4" w:space="0" w:color="000000"/>
              <w:bottom w:val="single" w:sz="12" w:space="0" w:color="000000"/>
            </w:tcBorders>
          </w:tcPr>
          <w:p>
            <w:pPr>
              <w:pStyle w:val="TableParagraph"/>
              <w:spacing w:before="28"/>
              <w:ind w:right="88"/>
              <w:rPr>
                <w:b/>
                <w:sz w:val="14"/>
              </w:rPr>
            </w:pPr>
            <w:r>
              <w:rPr>
                <w:b/>
                <w:spacing w:val="-4"/>
                <w:sz w:val="14"/>
              </w:rPr>
              <w:t>1.00</w:t>
            </w:r>
          </w:p>
        </w:tc>
        <w:tc>
          <w:tcPr>
            <w:tcW w:w="563" w:type="dxa"/>
            <w:tcBorders>
              <w:top w:val="single" w:sz="4" w:space="0" w:color="000000"/>
              <w:bottom w:val="single" w:sz="12" w:space="0" w:color="000000"/>
            </w:tcBorders>
          </w:tcPr>
          <w:p>
            <w:pPr>
              <w:pStyle w:val="TableParagraph"/>
              <w:spacing w:before="28"/>
              <w:ind w:right="60"/>
              <w:rPr>
                <w:b/>
                <w:sz w:val="14"/>
              </w:rPr>
            </w:pPr>
            <w:r>
              <w:rPr>
                <w:b/>
                <w:spacing w:val="-4"/>
                <w:sz w:val="14"/>
              </w:rPr>
              <w:t>6.50</w:t>
            </w:r>
          </w:p>
        </w:tc>
        <w:tc>
          <w:tcPr>
            <w:tcW w:w="813" w:type="dxa"/>
            <w:tcBorders>
              <w:top w:val="single" w:sz="4" w:space="0" w:color="000000"/>
              <w:bottom w:val="single" w:sz="12" w:space="0" w:color="000000"/>
            </w:tcBorders>
          </w:tcPr>
          <w:p>
            <w:pPr>
              <w:pStyle w:val="TableParagraph"/>
              <w:spacing w:before="28"/>
              <w:ind w:right="134"/>
              <w:rPr>
                <w:b/>
                <w:i/>
                <w:sz w:val="14"/>
              </w:rPr>
            </w:pPr>
            <w:r>
              <w:rPr>
                <w:b/>
                <w:i/>
                <w:spacing w:val="-4"/>
                <w:sz w:val="14"/>
              </w:rPr>
              <w:t>7.50</w:t>
            </w:r>
          </w:p>
        </w:tc>
        <w:tc>
          <w:tcPr>
            <w:tcW w:w="525" w:type="dxa"/>
            <w:tcBorders>
              <w:top w:val="single" w:sz="4" w:space="0" w:color="000000"/>
              <w:bottom w:val="single" w:sz="12" w:space="0" w:color="000000"/>
            </w:tcBorders>
          </w:tcPr>
          <w:p>
            <w:pPr>
              <w:pStyle w:val="TableParagraph"/>
              <w:spacing w:before="28"/>
              <w:ind w:right="59"/>
              <w:rPr>
                <w:b/>
                <w:sz w:val="14"/>
              </w:rPr>
            </w:pPr>
            <w:r>
              <w:rPr>
                <w:b/>
                <w:spacing w:val="-2"/>
                <w:sz w:val="14"/>
              </w:rPr>
              <w:t>28.25</w:t>
            </w:r>
          </w:p>
        </w:tc>
      </w:tr>
    </w:tbl>
    <w:p>
      <w:pPr>
        <w:spacing w:after="0"/>
        <w:rPr>
          <w:sz w:val="14"/>
        </w:rPr>
        <w:sectPr>
          <w:headerReference w:type="default" r:id="rId62"/>
          <w:headerReference w:type="even" r:id="rId63"/>
          <w:footerReference w:type="default" r:id="rId64"/>
          <w:footerReference w:type="even" r:id="rId65"/>
          <w:pgSz w:w="11910" w:h="16840"/>
          <w:pgMar w:header="957" w:footer="940" w:top="1140" w:bottom="1140" w:left="20" w:right="20"/>
          <w:pgNumType w:start="77"/>
        </w:sectPr>
      </w:pPr>
    </w:p>
    <w:p>
      <w:pPr>
        <w:pStyle w:val="ListParagraph"/>
        <w:numPr>
          <w:ilvl w:val="0"/>
          <w:numId w:val="8"/>
        </w:numPr>
        <w:tabs>
          <w:tab w:pos="2246" w:val="left" w:leader="none"/>
          <w:tab w:pos="2247" w:val="left" w:leader="none"/>
        </w:tabs>
        <w:spacing w:line="491" w:lineRule="auto" w:before="124" w:after="0"/>
        <w:ind w:left="2246" w:right="4431" w:hanging="567"/>
        <w:jc w:val="left"/>
        <w:rPr>
          <w:b/>
          <w:sz w:val="20"/>
        </w:rPr>
      </w:pPr>
      <w:bookmarkStart w:name="_bookmark29" w:id="30"/>
      <w:bookmarkEnd w:id="30"/>
      <w:r>
        <w:rPr>
          <w:b/>
          <w:sz w:val="20"/>
        </w:rPr>
        <w:t>P</w:t>
      </w:r>
      <w:r>
        <w:rPr>
          <w:b/>
          <w:sz w:val="20"/>
        </w:rPr>
        <w:t>rogramme</w:t>
      </w:r>
      <w:r>
        <w:rPr>
          <w:b/>
          <w:spacing w:val="-5"/>
          <w:sz w:val="20"/>
        </w:rPr>
        <w:t> </w:t>
      </w:r>
      <w:r>
        <w:rPr>
          <w:b/>
          <w:sz w:val="20"/>
        </w:rPr>
        <w:t>C:</w:t>
      </w:r>
      <w:r>
        <w:rPr>
          <w:b/>
          <w:spacing w:val="-2"/>
          <w:sz w:val="20"/>
        </w:rPr>
        <w:t> </w:t>
      </w:r>
      <w:r>
        <w:rPr>
          <w:b/>
          <w:sz w:val="20"/>
        </w:rPr>
        <w:t>Integrated</w:t>
      </w:r>
      <w:r>
        <w:rPr>
          <w:b/>
          <w:spacing w:val="-8"/>
          <w:sz w:val="20"/>
        </w:rPr>
        <w:t> </w:t>
      </w:r>
      <w:r>
        <w:rPr>
          <w:b/>
          <w:sz w:val="20"/>
        </w:rPr>
        <w:t>Services</w:t>
      </w:r>
      <w:r>
        <w:rPr>
          <w:b/>
          <w:spacing w:val="-8"/>
          <w:sz w:val="20"/>
        </w:rPr>
        <w:t> </w:t>
      </w:r>
      <w:r>
        <w:rPr>
          <w:b/>
          <w:sz w:val="20"/>
        </w:rPr>
        <w:t>Pillar –</w:t>
      </w:r>
      <w:r>
        <w:rPr>
          <w:b/>
          <w:spacing w:val="-6"/>
          <w:sz w:val="20"/>
        </w:rPr>
        <w:t> </w:t>
      </w:r>
      <w:r>
        <w:rPr>
          <w:b/>
          <w:sz w:val="20"/>
        </w:rPr>
        <w:t>Programme</w:t>
      </w:r>
      <w:r>
        <w:rPr>
          <w:b/>
          <w:spacing w:val="-5"/>
          <w:sz w:val="20"/>
        </w:rPr>
        <w:t> </w:t>
      </w:r>
      <w:r>
        <w:rPr>
          <w:b/>
          <w:sz w:val="20"/>
        </w:rPr>
        <w:t>2800 </w:t>
      </w:r>
      <w:r>
        <w:rPr>
          <w:b/>
          <w:spacing w:val="-2"/>
          <w:sz w:val="20"/>
        </w:rPr>
        <w:t>Introduction</w:t>
      </w:r>
    </w:p>
    <w:p>
      <w:pPr>
        <w:pStyle w:val="BodyText"/>
        <w:spacing w:before="9"/>
        <w:rPr>
          <w:b/>
          <w:sz w:val="17"/>
        </w:rPr>
      </w:pPr>
      <w:r>
        <w:rPr/>
        <w:drawing>
          <wp:anchor distT="0" distB="0" distL="0" distR="0" allowOverlap="1" layoutInCell="1" locked="0" behindDoc="0" simplePos="0" relativeHeight="60">
            <wp:simplePos x="0" y="0"/>
            <wp:positionH relativeFrom="page">
              <wp:posOffset>2127414</wp:posOffset>
            </wp:positionH>
            <wp:positionV relativeFrom="paragraph">
              <wp:posOffset>145425</wp:posOffset>
            </wp:positionV>
            <wp:extent cx="3318454" cy="2776632"/>
            <wp:effectExtent l="0" t="0" r="0" b="0"/>
            <wp:wrapTopAndBottom/>
            <wp:docPr id="9" name="image14.png"/>
            <wp:cNvGraphicFramePr>
              <a:graphicFrameLocks noChangeAspect="1"/>
            </wp:cNvGraphicFramePr>
            <a:graphic>
              <a:graphicData uri="http://schemas.openxmlformats.org/drawingml/2006/picture">
                <pic:pic>
                  <pic:nvPicPr>
                    <pic:cNvPr id="10" name="image14.png"/>
                    <pic:cNvPicPr/>
                  </pic:nvPicPr>
                  <pic:blipFill>
                    <a:blip r:embed="rId66" cstate="print"/>
                    <a:stretch>
                      <a:fillRect/>
                    </a:stretch>
                  </pic:blipFill>
                  <pic:spPr>
                    <a:xfrm>
                      <a:off x="0" y="0"/>
                      <a:ext cx="3318454" cy="2776632"/>
                    </a:xfrm>
                    <a:prstGeom prst="rect">
                      <a:avLst/>
                    </a:prstGeom>
                  </pic:spPr>
                </pic:pic>
              </a:graphicData>
            </a:graphic>
          </wp:anchor>
        </w:drawing>
      </w:r>
    </w:p>
    <w:p>
      <w:pPr>
        <w:pStyle w:val="BodyText"/>
        <w:spacing w:before="9"/>
        <w:rPr>
          <w:b/>
          <w:sz w:val="21"/>
        </w:rPr>
      </w:pPr>
    </w:p>
    <w:p>
      <w:pPr>
        <w:pStyle w:val="ListParagraph"/>
        <w:numPr>
          <w:ilvl w:val="0"/>
          <w:numId w:val="4"/>
        </w:numPr>
        <w:tabs>
          <w:tab w:pos="2967" w:val="left" w:leader="none"/>
        </w:tabs>
        <w:spacing w:line="240" w:lineRule="auto" w:before="0" w:after="0"/>
        <w:ind w:left="2246" w:right="2243" w:firstLine="0"/>
        <w:jc w:val="both"/>
        <w:rPr>
          <w:sz w:val="20"/>
        </w:rPr>
      </w:pPr>
      <w:bookmarkStart w:name="_bookmark30" w:id="31"/>
      <w:bookmarkEnd w:id="31"/>
      <w:r>
        <w:rPr>
          <w:sz w:val="20"/>
        </w:rPr>
        <w:t>E</w:t>
      </w:r>
      <w:r>
        <w:rPr>
          <w:sz w:val="20"/>
        </w:rPr>
        <w:t>ssential to the reorganization of the Office’s structure is the creation of an integrated services pillar that will centralize the specialized support functions that provide cross-cutting</w:t>
      </w:r>
      <w:r>
        <w:rPr>
          <w:spacing w:val="-13"/>
          <w:sz w:val="20"/>
        </w:rPr>
        <w:t> </w:t>
      </w:r>
      <w:r>
        <w:rPr>
          <w:sz w:val="20"/>
        </w:rPr>
        <w:t>support</w:t>
      </w:r>
      <w:r>
        <w:rPr>
          <w:spacing w:val="-12"/>
          <w:sz w:val="20"/>
        </w:rPr>
        <w:t> </w:t>
      </w:r>
      <w:r>
        <w:rPr>
          <w:sz w:val="20"/>
        </w:rPr>
        <w:t>to</w:t>
      </w:r>
      <w:r>
        <w:rPr>
          <w:spacing w:val="-13"/>
          <w:sz w:val="20"/>
        </w:rPr>
        <w:t> </w:t>
      </w:r>
      <w:r>
        <w:rPr>
          <w:sz w:val="20"/>
        </w:rPr>
        <w:t>the</w:t>
      </w:r>
      <w:r>
        <w:rPr>
          <w:spacing w:val="-12"/>
          <w:sz w:val="20"/>
        </w:rPr>
        <w:t> </w:t>
      </w:r>
      <w:r>
        <w:rPr>
          <w:sz w:val="20"/>
        </w:rPr>
        <w:t>Office.</w:t>
      </w:r>
      <w:r>
        <w:rPr>
          <w:spacing w:val="-13"/>
          <w:sz w:val="20"/>
        </w:rPr>
        <w:t> </w:t>
      </w:r>
      <w:r>
        <w:rPr>
          <w:sz w:val="20"/>
        </w:rPr>
        <w:t>This</w:t>
      </w:r>
      <w:r>
        <w:rPr>
          <w:spacing w:val="-12"/>
          <w:sz w:val="20"/>
        </w:rPr>
        <w:t> </w:t>
      </w:r>
      <w:r>
        <w:rPr>
          <w:sz w:val="20"/>
        </w:rPr>
        <w:t>pillar</w:t>
      </w:r>
      <w:r>
        <w:rPr>
          <w:spacing w:val="-13"/>
          <w:sz w:val="20"/>
        </w:rPr>
        <w:t> </w:t>
      </w:r>
      <w:r>
        <w:rPr>
          <w:sz w:val="20"/>
        </w:rPr>
        <w:t>will</w:t>
      </w:r>
      <w:r>
        <w:rPr>
          <w:spacing w:val="-12"/>
          <w:sz w:val="20"/>
        </w:rPr>
        <w:t> </w:t>
      </w:r>
      <w:r>
        <w:rPr>
          <w:sz w:val="20"/>
        </w:rPr>
        <w:t>be</w:t>
      </w:r>
      <w:r>
        <w:rPr>
          <w:spacing w:val="-13"/>
          <w:sz w:val="20"/>
        </w:rPr>
        <w:t> </w:t>
      </w:r>
      <w:r>
        <w:rPr>
          <w:sz w:val="20"/>
        </w:rPr>
        <w:t>headed</w:t>
      </w:r>
      <w:r>
        <w:rPr>
          <w:spacing w:val="-12"/>
          <w:sz w:val="20"/>
        </w:rPr>
        <w:t> </w:t>
      </w:r>
      <w:r>
        <w:rPr>
          <w:sz w:val="20"/>
        </w:rPr>
        <w:t>by</w:t>
      </w:r>
      <w:r>
        <w:rPr>
          <w:spacing w:val="-13"/>
          <w:sz w:val="20"/>
        </w:rPr>
        <w:t> </w:t>
      </w:r>
      <w:r>
        <w:rPr>
          <w:sz w:val="20"/>
        </w:rPr>
        <w:t>a</w:t>
      </w:r>
      <w:r>
        <w:rPr>
          <w:spacing w:val="-12"/>
          <w:sz w:val="20"/>
        </w:rPr>
        <w:t> </w:t>
      </w:r>
      <w:r>
        <w:rPr>
          <w:sz w:val="20"/>
        </w:rPr>
        <w:t>newly</w:t>
      </w:r>
      <w:r>
        <w:rPr>
          <w:spacing w:val="-13"/>
          <w:sz w:val="20"/>
        </w:rPr>
        <w:t> </w:t>
      </w:r>
      <w:r>
        <w:rPr>
          <w:sz w:val="20"/>
        </w:rPr>
        <w:t>established</w:t>
      </w:r>
      <w:r>
        <w:rPr>
          <w:spacing w:val="-12"/>
          <w:sz w:val="20"/>
        </w:rPr>
        <w:t> </w:t>
      </w:r>
      <w:r>
        <w:rPr>
          <w:sz w:val="20"/>
        </w:rPr>
        <w:t>Director, Integrated</w:t>
      </w:r>
      <w:r>
        <w:rPr>
          <w:spacing w:val="-9"/>
          <w:sz w:val="20"/>
        </w:rPr>
        <w:t> </w:t>
      </w:r>
      <w:r>
        <w:rPr>
          <w:sz w:val="20"/>
        </w:rPr>
        <w:t>Services</w:t>
      </w:r>
      <w:r>
        <w:rPr>
          <w:spacing w:val="-7"/>
          <w:sz w:val="20"/>
        </w:rPr>
        <w:t> </w:t>
      </w:r>
      <w:r>
        <w:rPr>
          <w:sz w:val="20"/>
        </w:rPr>
        <w:t>(D-1)</w:t>
      </w:r>
      <w:r>
        <w:rPr>
          <w:spacing w:val="-9"/>
          <w:sz w:val="20"/>
        </w:rPr>
        <w:t> </w:t>
      </w:r>
      <w:r>
        <w:rPr>
          <w:sz w:val="20"/>
        </w:rPr>
        <w:t>and</w:t>
      </w:r>
      <w:r>
        <w:rPr>
          <w:spacing w:val="-6"/>
          <w:sz w:val="20"/>
        </w:rPr>
        <w:t> </w:t>
      </w:r>
      <w:r>
        <w:rPr>
          <w:sz w:val="20"/>
        </w:rPr>
        <w:t>supported</w:t>
      </w:r>
      <w:r>
        <w:rPr>
          <w:spacing w:val="-9"/>
          <w:sz w:val="20"/>
        </w:rPr>
        <w:t> </w:t>
      </w:r>
      <w:r>
        <w:rPr>
          <w:sz w:val="20"/>
        </w:rPr>
        <w:t>by</w:t>
      </w:r>
      <w:r>
        <w:rPr>
          <w:spacing w:val="-9"/>
          <w:sz w:val="20"/>
        </w:rPr>
        <w:t> </w:t>
      </w:r>
      <w:r>
        <w:rPr>
          <w:sz w:val="20"/>
        </w:rPr>
        <w:t>a</w:t>
      </w:r>
      <w:r>
        <w:rPr>
          <w:spacing w:val="-8"/>
          <w:sz w:val="20"/>
        </w:rPr>
        <w:t> </w:t>
      </w:r>
      <w:r>
        <w:rPr>
          <w:sz w:val="20"/>
        </w:rPr>
        <w:t>Management</w:t>
      </w:r>
      <w:r>
        <w:rPr>
          <w:spacing w:val="-9"/>
          <w:sz w:val="20"/>
        </w:rPr>
        <w:t> </w:t>
      </w:r>
      <w:r>
        <w:rPr>
          <w:sz w:val="20"/>
        </w:rPr>
        <w:t>and</w:t>
      </w:r>
      <w:r>
        <w:rPr>
          <w:spacing w:val="-6"/>
          <w:sz w:val="20"/>
        </w:rPr>
        <w:t> </w:t>
      </w:r>
      <w:r>
        <w:rPr>
          <w:sz w:val="20"/>
        </w:rPr>
        <w:t>Administrative</w:t>
      </w:r>
      <w:r>
        <w:rPr>
          <w:spacing w:val="-4"/>
          <w:sz w:val="20"/>
        </w:rPr>
        <w:t> </w:t>
      </w:r>
      <w:r>
        <w:rPr>
          <w:sz w:val="20"/>
        </w:rPr>
        <w:t>Support</w:t>
      </w:r>
      <w:r>
        <w:rPr>
          <w:spacing w:val="-8"/>
          <w:sz w:val="20"/>
        </w:rPr>
        <w:t> </w:t>
      </w:r>
      <w:r>
        <w:rPr>
          <w:sz w:val="20"/>
        </w:rPr>
        <w:t>Unit.</w:t>
      </w:r>
    </w:p>
    <w:p>
      <w:pPr>
        <w:pStyle w:val="ListParagraph"/>
        <w:numPr>
          <w:ilvl w:val="0"/>
          <w:numId w:val="4"/>
        </w:numPr>
        <w:tabs>
          <w:tab w:pos="2966" w:val="left" w:leader="none"/>
          <w:tab w:pos="2967" w:val="left" w:leader="none"/>
        </w:tabs>
        <w:spacing w:line="240" w:lineRule="auto" w:before="118" w:after="0"/>
        <w:ind w:left="2967" w:right="0" w:hanging="721"/>
        <w:jc w:val="left"/>
        <w:rPr>
          <w:sz w:val="20"/>
        </w:rPr>
      </w:pPr>
      <w:r>
        <w:rPr>
          <w:sz w:val="20"/>
        </w:rPr>
        <w:t>The</w:t>
      </w:r>
      <w:r>
        <w:rPr>
          <w:spacing w:val="-9"/>
          <w:sz w:val="20"/>
        </w:rPr>
        <w:t> </w:t>
      </w:r>
      <w:r>
        <w:rPr>
          <w:sz w:val="20"/>
        </w:rPr>
        <w:t>following</w:t>
      </w:r>
      <w:r>
        <w:rPr>
          <w:spacing w:val="-6"/>
          <w:sz w:val="20"/>
        </w:rPr>
        <w:t> </w:t>
      </w:r>
      <w:r>
        <w:rPr>
          <w:sz w:val="20"/>
        </w:rPr>
        <w:t>sections/units</w:t>
      </w:r>
      <w:r>
        <w:rPr>
          <w:spacing w:val="-6"/>
          <w:sz w:val="20"/>
        </w:rPr>
        <w:t> </w:t>
      </w:r>
      <w:r>
        <w:rPr>
          <w:sz w:val="20"/>
        </w:rPr>
        <w:t>will</w:t>
      </w:r>
      <w:r>
        <w:rPr>
          <w:spacing w:val="-9"/>
          <w:sz w:val="20"/>
        </w:rPr>
        <w:t> </w:t>
      </w:r>
      <w:r>
        <w:rPr>
          <w:sz w:val="20"/>
        </w:rPr>
        <w:t>comprise</w:t>
      </w:r>
      <w:r>
        <w:rPr>
          <w:spacing w:val="-8"/>
          <w:sz w:val="20"/>
        </w:rPr>
        <w:t> </w:t>
      </w:r>
      <w:r>
        <w:rPr>
          <w:sz w:val="20"/>
        </w:rPr>
        <w:t>this</w:t>
      </w:r>
      <w:r>
        <w:rPr>
          <w:spacing w:val="-11"/>
          <w:sz w:val="20"/>
        </w:rPr>
        <w:t> </w:t>
      </w:r>
      <w:r>
        <w:rPr>
          <w:sz w:val="20"/>
        </w:rPr>
        <w:t>integrated</w:t>
      </w:r>
      <w:r>
        <w:rPr>
          <w:spacing w:val="-6"/>
          <w:sz w:val="20"/>
        </w:rPr>
        <w:t> </w:t>
      </w:r>
      <w:r>
        <w:rPr>
          <w:sz w:val="20"/>
        </w:rPr>
        <w:t>services</w:t>
      </w:r>
      <w:r>
        <w:rPr>
          <w:spacing w:val="-6"/>
          <w:sz w:val="20"/>
        </w:rPr>
        <w:t> </w:t>
      </w:r>
      <w:r>
        <w:rPr>
          <w:spacing w:val="-2"/>
          <w:sz w:val="20"/>
        </w:rPr>
        <w:t>pillar:</w:t>
      </w:r>
    </w:p>
    <w:p>
      <w:pPr>
        <w:pStyle w:val="ListParagraph"/>
        <w:numPr>
          <w:ilvl w:val="0"/>
          <w:numId w:val="9"/>
        </w:numPr>
        <w:tabs>
          <w:tab w:pos="3523" w:val="left" w:leader="none"/>
          <w:tab w:pos="3524" w:val="left" w:leader="none"/>
        </w:tabs>
        <w:spacing w:line="240" w:lineRule="auto" w:before="120" w:after="0"/>
        <w:ind w:left="3523" w:right="0" w:hanging="567"/>
        <w:jc w:val="left"/>
        <w:rPr>
          <w:sz w:val="20"/>
        </w:rPr>
      </w:pPr>
      <w:r>
        <w:rPr>
          <w:sz w:val="20"/>
        </w:rPr>
        <w:t>Planning</w:t>
      </w:r>
      <w:r>
        <w:rPr>
          <w:spacing w:val="-8"/>
          <w:sz w:val="20"/>
        </w:rPr>
        <w:t> </w:t>
      </w:r>
      <w:r>
        <w:rPr>
          <w:sz w:val="20"/>
        </w:rPr>
        <w:t>and</w:t>
      </w:r>
      <w:r>
        <w:rPr>
          <w:spacing w:val="-7"/>
          <w:sz w:val="20"/>
        </w:rPr>
        <w:t> </w:t>
      </w:r>
      <w:r>
        <w:rPr>
          <w:sz w:val="20"/>
        </w:rPr>
        <w:t>Operations</w:t>
      </w:r>
      <w:r>
        <w:rPr>
          <w:spacing w:val="-9"/>
          <w:sz w:val="20"/>
        </w:rPr>
        <w:t> </w:t>
      </w:r>
      <w:r>
        <w:rPr>
          <w:sz w:val="20"/>
        </w:rPr>
        <w:t>Section</w:t>
      </w:r>
      <w:r>
        <w:rPr>
          <w:spacing w:val="-2"/>
          <w:sz w:val="20"/>
        </w:rPr>
        <w:t> </w:t>
      </w:r>
      <w:r>
        <w:rPr>
          <w:spacing w:val="-4"/>
          <w:sz w:val="20"/>
        </w:rPr>
        <w:t>(POS)</w:t>
      </w:r>
    </w:p>
    <w:p>
      <w:pPr>
        <w:pStyle w:val="ListParagraph"/>
        <w:numPr>
          <w:ilvl w:val="1"/>
          <w:numId w:val="9"/>
        </w:numPr>
        <w:tabs>
          <w:tab w:pos="4090" w:val="left" w:leader="none"/>
          <w:tab w:pos="4091" w:val="left" w:leader="none"/>
        </w:tabs>
        <w:spacing w:line="240" w:lineRule="auto" w:before="120" w:after="0"/>
        <w:ind w:left="4090" w:right="0" w:hanging="568"/>
        <w:jc w:val="left"/>
        <w:rPr>
          <w:sz w:val="20"/>
        </w:rPr>
      </w:pPr>
      <w:r>
        <w:rPr>
          <w:sz w:val="20"/>
        </w:rPr>
        <w:t>Suspects</w:t>
      </w:r>
      <w:r>
        <w:rPr>
          <w:spacing w:val="-8"/>
          <w:sz w:val="20"/>
        </w:rPr>
        <w:t> </w:t>
      </w:r>
      <w:r>
        <w:rPr>
          <w:sz w:val="20"/>
        </w:rPr>
        <w:t>At</w:t>
      </w:r>
      <w:r>
        <w:rPr>
          <w:spacing w:val="-6"/>
          <w:sz w:val="20"/>
        </w:rPr>
        <w:t> </w:t>
      </w:r>
      <w:r>
        <w:rPr>
          <w:sz w:val="20"/>
        </w:rPr>
        <w:t>Large</w:t>
      </w:r>
      <w:r>
        <w:rPr>
          <w:spacing w:val="-5"/>
          <w:sz w:val="20"/>
        </w:rPr>
        <w:t> </w:t>
      </w:r>
      <w:r>
        <w:rPr>
          <w:sz w:val="20"/>
        </w:rPr>
        <w:t>Tracking</w:t>
      </w:r>
      <w:r>
        <w:rPr>
          <w:spacing w:val="-7"/>
          <w:sz w:val="20"/>
        </w:rPr>
        <w:t> </w:t>
      </w:r>
      <w:r>
        <w:rPr>
          <w:sz w:val="20"/>
        </w:rPr>
        <w:t>Team </w:t>
      </w:r>
      <w:r>
        <w:rPr>
          <w:spacing w:val="-2"/>
          <w:sz w:val="20"/>
        </w:rPr>
        <w:t>(SALTT)</w:t>
      </w:r>
    </w:p>
    <w:p>
      <w:pPr>
        <w:pStyle w:val="ListParagraph"/>
        <w:numPr>
          <w:ilvl w:val="1"/>
          <w:numId w:val="9"/>
        </w:numPr>
        <w:tabs>
          <w:tab w:pos="4090" w:val="left" w:leader="none"/>
          <w:tab w:pos="4091" w:val="left" w:leader="none"/>
        </w:tabs>
        <w:spacing w:line="240" w:lineRule="auto" w:before="104" w:after="0"/>
        <w:ind w:left="4090" w:right="0" w:hanging="568"/>
        <w:jc w:val="left"/>
        <w:rPr>
          <w:sz w:val="20"/>
        </w:rPr>
      </w:pPr>
      <w:r>
        <w:rPr>
          <w:sz w:val="20"/>
        </w:rPr>
        <w:t>Security</w:t>
      </w:r>
      <w:r>
        <w:rPr>
          <w:spacing w:val="-11"/>
          <w:sz w:val="20"/>
        </w:rPr>
        <w:t> </w:t>
      </w:r>
      <w:r>
        <w:rPr>
          <w:sz w:val="20"/>
        </w:rPr>
        <w:t>and</w:t>
      </w:r>
      <w:r>
        <w:rPr>
          <w:spacing w:val="-5"/>
          <w:sz w:val="20"/>
        </w:rPr>
        <w:t> </w:t>
      </w:r>
      <w:r>
        <w:rPr>
          <w:sz w:val="20"/>
        </w:rPr>
        <w:t>Protection</w:t>
      </w:r>
      <w:r>
        <w:rPr>
          <w:spacing w:val="-8"/>
          <w:sz w:val="20"/>
        </w:rPr>
        <w:t> </w:t>
      </w:r>
      <w:r>
        <w:rPr>
          <w:spacing w:val="-4"/>
          <w:sz w:val="20"/>
        </w:rPr>
        <w:t>Unit</w:t>
      </w:r>
    </w:p>
    <w:p>
      <w:pPr>
        <w:pStyle w:val="ListParagraph"/>
        <w:numPr>
          <w:ilvl w:val="1"/>
          <w:numId w:val="9"/>
        </w:numPr>
        <w:tabs>
          <w:tab w:pos="4090" w:val="left" w:leader="none"/>
          <w:tab w:pos="4091" w:val="left" w:leader="none"/>
        </w:tabs>
        <w:spacing w:line="240" w:lineRule="auto" w:before="104" w:after="0"/>
        <w:ind w:left="4090" w:right="0" w:hanging="568"/>
        <w:jc w:val="left"/>
        <w:rPr>
          <w:sz w:val="20"/>
        </w:rPr>
      </w:pPr>
      <w:r>
        <w:rPr>
          <w:sz w:val="20"/>
        </w:rPr>
        <w:t>Field</w:t>
      </w:r>
      <w:r>
        <w:rPr>
          <w:spacing w:val="-9"/>
          <w:sz w:val="20"/>
        </w:rPr>
        <w:t> </w:t>
      </w:r>
      <w:r>
        <w:rPr>
          <w:sz w:val="20"/>
        </w:rPr>
        <w:t>Operations</w:t>
      </w:r>
      <w:r>
        <w:rPr>
          <w:spacing w:val="-7"/>
          <w:sz w:val="20"/>
        </w:rPr>
        <w:t> </w:t>
      </w:r>
      <w:r>
        <w:rPr>
          <w:spacing w:val="-4"/>
          <w:sz w:val="20"/>
        </w:rPr>
        <w:t>Unit</w:t>
      </w:r>
    </w:p>
    <w:p>
      <w:pPr>
        <w:pStyle w:val="ListParagraph"/>
        <w:numPr>
          <w:ilvl w:val="1"/>
          <w:numId w:val="9"/>
        </w:numPr>
        <w:tabs>
          <w:tab w:pos="4090" w:val="left" w:leader="none"/>
          <w:tab w:pos="4091" w:val="left" w:leader="none"/>
        </w:tabs>
        <w:spacing w:line="240" w:lineRule="auto" w:before="103" w:after="0"/>
        <w:ind w:left="4090" w:right="0" w:hanging="568"/>
        <w:jc w:val="left"/>
        <w:rPr>
          <w:sz w:val="20"/>
        </w:rPr>
      </w:pPr>
      <w:r>
        <w:rPr>
          <w:sz w:val="20"/>
        </w:rPr>
        <w:t>Planning</w:t>
      </w:r>
      <w:r>
        <w:rPr>
          <w:spacing w:val="-4"/>
          <w:sz w:val="20"/>
        </w:rPr>
        <w:t> Unit</w:t>
      </w:r>
    </w:p>
    <w:p>
      <w:pPr>
        <w:pStyle w:val="ListParagraph"/>
        <w:numPr>
          <w:ilvl w:val="0"/>
          <w:numId w:val="9"/>
        </w:numPr>
        <w:tabs>
          <w:tab w:pos="3523" w:val="left" w:leader="none"/>
          <w:tab w:pos="3524" w:val="left" w:leader="none"/>
        </w:tabs>
        <w:spacing w:line="240" w:lineRule="auto" w:before="104" w:after="0"/>
        <w:ind w:left="3523" w:right="0" w:hanging="567"/>
        <w:jc w:val="left"/>
        <w:rPr>
          <w:sz w:val="20"/>
        </w:rPr>
      </w:pPr>
      <w:r>
        <w:rPr>
          <w:sz w:val="20"/>
        </w:rPr>
        <w:t>Forensic</w:t>
      </w:r>
      <w:r>
        <w:rPr>
          <w:spacing w:val="-8"/>
          <w:sz w:val="20"/>
        </w:rPr>
        <w:t> </w:t>
      </w:r>
      <w:r>
        <w:rPr>
          <w:sz w:val="20"/>
        </w:rPr>
        <w:t>Science</w:t>
      </w:r>
      <w:r>
        <w:rPr>
          <w:spacing w:val="-5"/>
          <w:sz w:val="20"/>
        </w:rPr>
        <w:t> </w:t>
      </w:r>
      <w:r>
        <w:rPr>
          <w:sz w:val="20"/>
        </w:rPr>
        <w:t>Section</w:t>
      </w:r>
      <w:r>
        <w:rPr>
          <w:spacing w:val="-10"/>
          <w:sz w:val="20"/>
        </w:rPr>
        <w:t> </w:t>
      </w:r>
      <w:r>
        <w:rPr>
          <w:spacing w:val="-4"/>
          <w:sz w:val="20"/>
        </w:rPr>
        <w:t>(FSS)</w:t>
      </w:r>
    </w:p>
    <w:p>
      <w:pPr>
        <w:pStyle w:val="ListParagraph"/>
        <w:numPr>
          <w:ilvl w:val="1"/>
          <w:numId w:val="9"/>
        </w:numPr>
        <w:tabs>
          <w:tab w:pos="4090" w:val="left" w:leader="none"/>
          <w:tab w:pos="4091" w:val="left" w:leader="none"/>
        </w:tabs>
        <w:spacing w:line="240" w:lineRule="auto" w:before="120" w:after="0"/>
        <w:ind w:left="4090" w:right="0" w:hanging="568"/>
        <w:jc w:val="left"/>
        <w:rPr>
          <w:sz w:val="20"/>
        </w:rPr>
      </w:pPr>
      <w:r>
        <w:rPr>
          <w:sz w:val="20"/>
        </w:rPr>
        <w:t>Forensic</w:t>
      </w:r>
      <w:r>
        <w:rPr>
          <w:spacing w:val="-5"/>
          <w:sz w:val="20"/>
        </w:rPr>
        <w:t> </w:t>
      </w:r>
      <w:r>
        <w:rPr>
          <w:spacing w:val="-4"/>
          <w:sz w:val="20"/>
        </w:rPr>
        <w:t>Unit</w:t>
      </w:r>
    </w:p>
    <w:p>
      <w:pPr>
        <w:pStyle w:val="ListParagraph"/>
        <w:numPr>
          <w:ilvl w:val="1"/>
          <w:numId w:val="9"/>
        </w:numPr>
        <w:tabs>
          <w:tab w:pos="4090" w:val="left" w:leader="none"/>
          <w:tab w:pos="4091" w:val="left" w:leader="none"/>
        </w:tabs>
        <w:spacing w:line="240" w:lineRule="auto" w:before="103" w:after="0"/>
        <w:ind w:left="4090" w:right="0" w:hanging="568"/>
        <w:jc w:val="left"/>
        <w:rPr>
          <w:sz w:val="20"/>
        </w:rPr>
      </w:pPr>
      <w:r>
        <w:rPr>
          <w:sz w:val="20"/>
        </w:rPr>
        <w:t>Imagery</w:t>
      </w:r>
      <w:r>
        <w:rPr>
          <w:spacing w:val="-7"/>
          <w:sz w:val="20"/>
        </w:rPr>
        <w:t> </w:t>
      </w:r>
      <w:r>
        <w:rPr>
          <w:spacing w:val="-4"/>
          <w:sz w:val="20"/>
        </w:rPr>
        <w:t>Unit</w:t>
      </w:r>
    </w:p>
    <w:p>
      <w:pPr>
        <w:pStyle w:val="ListParagraph"/>
        <w:numPr>
          <w:ilvl w:val="0"/>
          <w:numId w:val="9"/>
        </w:numPr>
        <w:tabs>
          <w:tab w:pos="3523" w:val="left" w:leader="none"/>
          <w:tab w:pos="3524" w:val="left" w:leader="none"/>
        </w:tabs>
        <w:spacing w:line="240" w:lineRule="auto" w:before="100" w:after="0"/>
        <w:ind w:left="3523" w:right="0" w:hanging="567"/>
        <w:jc w:val="left"/>
        <w:rPr>
          <w:sz w:val="20"/>
        </w:rPr>
      </w:pPr>
      <w:r>
        <w:rPr>
          <w:sz w:val="20"/>
        </w:rPr>
        <w:t>Information,</w:t>
      </w:r>
      <w:r>
        <w:rPr>
          <w:spacing w:val="-4"/>
          <w:sz w:val="20"/>
        </w:rPr>
        <w:t> </w:t>
      </w:r>
      <w:r>
        <w:rPr>
          <w:sz w:val="20"/>
        </w:rPr>
        <w:t>Knowledge</w:t>
      </w:r>
      <w:r>
        <w:rPr>
          <w:spacing w:val="-9"/>
          <w:sz w:val="20"/>
        </w:rPr>
        <w:t> </w:t>
      </w:r>
      <w:r>
        <w:rPr>
          <w:sz w:val="20"/>
        </w:rPr>
        <w:t>and</w:t>
      </w:r>
      <w:r>
        <w:rPr>
          <w:spacing w:val="-10"/>
          <w:sz w:val="20"/>
        </w:rPr>
        <w:t> </w:t>
      </w:r>
      <w:r>
        <w:rPr>
          <w:sz w:val="20"/>
        </w:rPr>
        <w:t>Evidence</w:t>
      </w:r>
      <w:r>
        <w:rPr>
          <w:spacing w:val="-9"/>
          <w:sz w:val="20"/>
        </w:rPr>
        <w:t> </w:t>
      </w:r>
      <w:r>
        <w:rPr>
          <w:sz w:val="20"/>
        </w:rPr>
        <w:t>Management</w:t>
      </w:r>
      <w:r>
        <w:rPr>
          <w:spacing w:val="-9"/>
          <w:sz w:val="20"/>
        </w:rPr>
        <w:t> </w:t>
      </w:r>
      <w:r>
        <w:rPr>
          <w:sz w:val="20"/>
        </w:rPr>
        <w:t>Section</w:t>
      </w:r>
      <w:r>
        <w:rPr>
          <w:spacing w:val="-10"/>
          <w:sz w:val="20"/>
        </w:rPr>
        <w:t> </w:t>
      </w:r>
      <w:r>
        <w:rPr>
          <w:spacing w:val="-2"/>
          <w:sz w:val="20"/>
        </w:rPr>
        <w:t>(IKEMS)</w:t>
      </w:r>
    </w:p>
    <w:p>
      <w:pPr>
        <w:pStyle w:val="ListParagraph"/>
        <w:numPr>
          <w:ilvl w:val="1"/>
          <w:numId w:val="9"/>
        </w:numPr>
        <w:tabs>
          <w:tab w:pos="4090" w:val="left" w:leader="none"/>
          <w:tab w:pos="4091" w:val="left" w:leader="none"/>
        </w:tabs>
        <w:spacing w:line="240" w:lineRule="auto" w:before="119" w:after="0"/>
        <w:ind w:left="4090" w:right="0" w:hanging="568"/>
        <w:jc w:val="left"/>
        <w:rPr>
          <w:sz w:val="20"/>
        </w:rPr>
      </w:pPr>
      <w:r>
        <w:rPr>
          <w:sz w:val="20"/>
        </w:rPr>
        <w:t>Business</w:t>
      </w:r>
      <w:r>
        <w:rPr>
          <w:spacing w:val="-8"/>
          <w:sz w:val="20"/>
        </w:rPr>
        <w:t> </w:t>
      </w:r>
      <w:r>
        <w:rPr>
          <w:sz w:val="20"/>
        </w:rPr>
        <w:t>Solutions</w:t>
      </w:r>
      <w:r>
        <w:rPr>
          <w:spacing w:val="-11"/>
          <w:sz w:val="20"/>
        </w:rPr>
        <w:t> </w:t>
      </w:r>
      <w:r>
        <w:rPr>
          <w:sz w:val="20"/>
        </w:rPr>
        <w:t>Development</w:t>
      </w:r>
      <w:r>
        <w:rPr>
          <w:spacing w:val="-8"/>
          <w:sz w:val="20"/>
        </w:rPr>
        <w:t> </w:t>
      </w:r>
      <w:r>
        <w:rPr>
          <w:spacing w:val="-4"/>
          <w:sz w:val="20"/>
        </w:rPr>
        <w:t>Unit</w:t>
      </w:r>
    </w:p>
    <w:p>
      <w:pPr>
        <w:pStyle w:val="ListParagraph"/>
        <w:numPr>
          <w:ilvl w:val="1"/>
          <w:numId w:val="9"/>
        </w:numPr>
        <w:tabs>
          <w:tab w:pos="4090" w:val="left" w:leader="none"/>
          <w:tab w:pos="4091" w:val="left" w:leader="none"/>
        </w:tabs>
        <w:spacing w:line="240" w:lineRule="auto" w:before="104" w:after="0"/>
        <w:ind w:left="4090" w:right="0" w:hanging="568"/>
        <w:jc w:val="left"/>
        <w:rPr>
          <w:sz w:val="20"/>
        </w:rPr>
      </w:pPr>
      <w:r>
        <w:rPr>
          <w:sz w:val="20"/>
        </w:rPr>
        <w:t>Information</w:t>
      </w:r>
      <w:r>
        <w:rPr>
          <w:spacing w:val="-9"/>
          <w:sz w:val="20"/>
        </w:rPr>
        <w:t> </w:t>
      </w:r>
      <w:r>
        <w:rPr>
          <w:sz w:val="20"/>
        </w:rPr>
        <w:t>and</w:t>
      </w:r>
      <w:r>
        <w:rPr>
          <w:spacing w:val="-11"/>
          <w:sz w:val="20"/>
        </w:rPr>
        <w:t> </w:t>
      </w:r>
      <w:r>
        <w:rPr>
          <w:sz w:val="20"/>
        </w:rPr>
        <w:t>Evidence</w:t>
      </w:r>
      <w:r>
        <w:rPr>
          <w:spacing w:val="-4"/>
          <w:sz w:val="20"/>
        </w:rPr>
        <w:t> Unit</w:t>
      </w:r>
    </w:p>
    <w:p>
      <w:pPr>
        <w:pStyle w:val="ListParagraph"/>
        <w:numPr>
          <w:ilvl w:val="1"/>
          <w:numId w:val="9"/>
        </w:numPr>
        <w:tabs>
          <w:tab w:pos="4090" w:val="left" w:leader="none"/>
          <w:tab w:pos="4091" w:val="left" w:leader="none"/>
        </w:tabs>
        <w:spacing w:line="240" w:lineRule="auto" w:before="104" w:after="0"/>
        <w:ind w:left="4090" w:right="0" w:hanging="568"/>
        <w:jc w:val="left"/>
        <w:rPr>
          <w:sz w:val="20"/>
        </w:rPr>
      </w:pPr>
      <w:r>
        <w:rPr>
          <w:sz w:val="20"/>
        </w:rPr>
        <w:t>Cyber</w:t>
      </w:r>
      <w:r>
        <w:rPr>
          <w:spacing w:val="-2"/>
          <w:sz w:val="20"/>
        </w:rPr>
        <w:t> </w:t>
      </w:r>
      <w:r>
        <w:rPr>
          <w:spacing w:val="-4"/>
          <w:sz w:val="20"/>
        </w:rPr>
        <w:t>Unit</w:t>
      </w:r>
    </w:p>
    <w:p>
      <w:pPr>
        <w:pStyle w:val="ListParagraph"/>
        <w:numPr>
          <w:ilvl w:val="1"/>
          <w:numId w:val="9"/>
        </w:numPr>
        <w:tabs>
          <w:tab w:pos="4090" w:val="left" w:leader="none"/>
          <w:tab w:pos="4091" w:val="left" w:leader="none"/>
        </w:tabs>
        <w:spacing w:line="240" w:lineRule="auto" w:before="103" w:after="0"/>
        <w:ind w:left="4090" w:right="0" w:hanging="568"/>
        <w:jc w:val="left"/>
        <w:rPr>
          <w:sz w:val="20"/>
        </w:rPr>
      </w:pPr>
      <w:r>
        <w:rPr>
          <w:sz w:val="20"/>
        </w:rPr>
        <w:t>eDiscovery</w:t>
      </w:r>
      <w:r>
        <w:rPr>
          <w:spacing w:val="-8"/>
          <w:sz w:val="20"/>
        </w:rPr>
        <w:t> </w:t>
      </w:r>
      <w:r>
        <w:rPr>
          <w:sz w:val="20"/>
        </w:rPr>
        <w:t>and</w:t>
      </w:r>
      <w:r>
        <w:rPr>
          <w:spacing w:val="-6"/>
          <w:sz w:val="20"/>
        </w:rPr>
        <w:t> </w:t>
      </w:r>
      <w:r>
        <w:rPr>
          <w:sz w:val="20"/>
        </w:rPr>
        <w:t>Data</w:t>
      </w:r>
      <w:r>
        <w:rPr>
          <w:spacing w:val="-3"/>
          <w:sz w:val="20"/>
        </w:rPr>
        <w:t> </w:t>
      </w:r>
      <w:r>
        <w:rPr>
          <w:sz w:val="20"/>
        </w:rPr>
        <w:t>Analysis</w:t>
      </w:r>
      <w:r>
        <w:rPr>
          <w:spacing w:val="-6"/>
          <w:sz w:val="20"/>
        </w:rPr>
        <w:t> </w:t>
      </w:r>
      <w:r>
        <w:rPr>
          <w:spacing w:val="-4"/>
          <w:sz w:val="20"/>
        </w:rPr>
        <w:t>Unit</w:t>
      </w:r>
    </w:p>
    <w:p>
      <w:pPr>
        <w:pStyle w:val="ListParagraph"/>
        <w:numPr>
          <w:ilvl w:val="0"/>
          <w:numId w:val="9"/>
        </w:numPr>
        <w:tabs>
          <w:tab w:pos="3523" w:val="left" w:leader="none"/>
          <w:tab w:pos="3524" w:val="left" w:leader="none"/>
        </w:tabs>
        <w:spacing w:line="240" w:lineRule="auto" w:before="104" w:after="0"/>
        <w:ind w:left="3523" w:right="0" w:hanging="567"/>
        <w:jc w:val="left"/>
        <w:rPr>
          <w:sz w:val="20"/>
        </w:rPr>
      </w:pPr>
      <w:r>
        <w:rPr>
          <w:sz w:val="20"/>
        </w:rPr>
        <w:t>Language</w:t>
      </w:r>
      <w:r>
        <w:rPr>
          <w:spacing w:val="-4"/>
          <w:sz w:val="20"/>
        </w:rPr>
        <w:t> </w:t>
      </w:r>
      <w:r>
        <w:rPr>
          <w:sz w:val="20"/>
        </w:rPr>
        <w:t>Services</w:t>
      </w:r>
      <w:r>
        <w:rPr>
          <w:spacing w:val="-10"/>
          <w:sz w:val="20"/>
        </w:rPr>
        <w:t> </w:t>
      </w:r>
      <w:r>
        <w:rPr>
          <w:sz w:val="20"/>
        </w:rPr>
        <w:t>Unit</w:t>
      </w:r>
      <w:r>
        <w:rPr>
          <w:spacing w:val="-3"/>
          <w:sz w:val="20"/>
        </w:rPr>
        <w:t> </w:t>
      </w:r>
      <w:r>
        <w:rPr>
          <w:spacing w:val="-4"/>
          <w:sz w:val="20"/>
        </w:rPr>
        <w:t>(LSU)</w:t>
      </w:r>
    </w:p>
    <w:p>
      <w:pPr>
        <w:pStyle w:val="ListParagraph"/>
        <w:numPr>
          <w:ilvl w:val="0"/>
          <w:numId w:val="9"/>
        </w:numPr>
        <w:tabs>
          <w:tab w:pos="3523" w:val="left" w:leader="none"/>
          <w:tab w:pos="3524" w:val="left" w:leader="none"/>
        </w:tabs>
        <w:spacing w:line="240" w:lineRule="auto" w:before="120" w:after="0"/>
        <w:ind w:left="3523" w:right="0" w:hanging="567"/>
        <w:jc w:val="left"/>
        <w:rPr>
          <w:sz w:val="20"/>
        </w:rPr>
      </w:pPr>
      <w:r>
        <w:rPr>
          <w:sz w:val="20"/>
        </w:rPr>
        <w:t>Management</w:t>
      </w:r>
      <w:r>
        <w:rPr>
          <w:spacing w:val="-10"/>
          <w:sz w:val="20"/>
        </w:rPr>
        <w:t> </w:t>
      </w:r>
      <w:r>
        <w:rPr>
          <w:sz w:val="20"/>
        </w:rPr>
        <w:t>and</w:t>
      </w:r>
      <w:r>
        <w:rPr>
          <w:spacing w:val="-11"/>
          <w:sz w:val="20"/>
        </w:rPr>
        <w:t> </w:t>
      </w:r>
      <w:r>
        <w:rPr>
          <w:sz w:val="20"/>
        </w:rPr>
        <w:t>Administrative</w:t>
      </w:r>
      <w:r>
        <w:rPr>
          <w:spacing w:val="-6"/>
          <w:sz w:val="20"/>
        </w:rPr>
        <w:t> </w:t>
      </w:r>
      <w:r>
        <w:rPr>
          <w:sz w:val="20"/>
        </w:rPr>
        <w:t>Support</w:t>
      </w:r>
      <w:r>
        <w:rPr>
          <w:spacing w:val="-9"/>
          <w:sz w:val="20"/>
        </w:rPr>
        <w:t> </w:t>
      </w:r>
      <w:r>
        <w:rPr>
          <w:spacing w:val="-4"/>
          <w:sz w:val="20"/>
        </w:rPr>
        <w:t>Unit</w:t>
      </w:r>
    </w:p>
    <w:p>
      <w:pPr>
        <w:pStyle w:val="ListParagraph"/>
        <w:numPr>
          <w:ilvl w:val="0"/>
          <w:numId w:val="4"/>
        </w:numPr>
        <w:tabs>
          <w:tab w:pos="2967" w:val="left" w:leader="none"/>
        </w:tabs>
        <w:spacing w:line="240" w:lineRule="auto" w:before="120" w:after="0"/>
        <w:ind w:left="2246" w:right="2241" w:firstLine="0"/>
        <w:jc w:val="both"/>
        <w:rPr>
          <w:sz w:val="20"/>
        </w:rPr>
      </w:pPr>
      <w:r>
        <w:rPr>
          <w:sz w:val="20"/>
        </w:rPr>
        <w:t>In order to ensure the success of the Office’s reorganization and its current and future</w:t>
      </w:r>
      <w:r>
        <w:rPr>
          <w:spacing w:val="-10"/>
          <w:sz w:val="20"/>
        </w:rPr>
        <w:t> </w:t>
      </w:r>
      <w:r>
        <w:rPr>
          <w:sz w:val="20"/>
        </w:rPr>
        <w:t>operations,</w:t>
      </w:r>
      <w:r>
        <w:rPr>
          <w:spacing w:val="-6"/>
          <w:sz w:val="20"/>
        </w:rPr>
        <w:t> </w:t>
      </w:r>
      <w:r>
        <w:rPr>
          <w:sz w:val="20"/>
        </w:rPr>
        <w:t>adequate</w:t>
      </w:r>
      <w:r>
        <w:rPr>
          <w:spacing w:val="-7"/>
          <w:sz w:val="20"/>
        </w:rPr>
        <w:t> </w:t>
      </w:r>
      <w:r>
        <w:rPr>
          <w:sz w:val="20"/>
        </w:rPr>
        <w:t>staff</w:t>
      </w:r>
      <w:r>
        <w:rPr>
          <w:spacing w:val="-13"/>
          <w:sz w:val="20"/>
        </w:rPr>
        <w:t> </w:t>
      </w:r>
      <w:r>
        <w:rPr>
          <w:sz w:val="20"/>
        </w:rPr>
        <w:t>and</w:t>
      </w:r>
      <w:r>
        <w:rPr>
          <w:spacing w:val="-8"/>
          <w:sz w:val="20"/>
        </w:rPr>
        <w:t> </w:t>
      </w:r>
      <w:r>
        <w:rPr>
          <w:sz w:val="20"/>
        </w:rPr>
        <w:t>non-staff</w:t>
      </w:r>
      <w:r>
        <w:rPr>
          <w:spacing w:val="-8"/>
          <w:sz w:val="20"/>
        </w:rPr>
        <w:t> </w:t>
      </w:r>
      <w:r>
        <w:rPr>
          <w:sz w:val="20"/>
        </w:rPr>
        <w:t>resources</w:t>
      </w:r>
      <w:r>
        <w:rPr>
          <w:spacing w:val="-13"/>
          <w:sz w:val="20"/>
        </w:rPr>
        <w:t> </w:t>
      </w:r>
      <w:r>
        <w:rPr>
          <w:sz w:val="20"/>
        </w:rPr>
        <w:t>must</w:t>
      </w:r>
      <w:r>
        <w:rPr>
          <w:spacing w:val="-7"/>
          <w:sz w:val="20"/>
        </w:rPr>
        <w:t> </w:t>
      </w:r>
      <w:r>
        <w:rPr>
          <w:sz w:val="20"/>
        </w:rPr>
        <w:t>be</w:t>
      </w:r>
      <w:r>
        <w:rPr>
          <w:spacing w:val="-7"/>
          <w:sz w:val="20"/>
        </w:rPr>
        <w:t> </w:t>
      </w:r>
      <w:r>
        <w:rPr>
          <w:sz w:val="20"/>
        </w:rPr>
        <w:t>provided</w:t>
      </w:r>
      <w:r>
        <w:rPr>
          <w:spacing w:val="-13"/>
          <w:sz w:val="20"/>
        </w:rPr>
        <w:t> </w:t>
      </w:r>
      <w:r>
        <w:rPr>
          <w:sz w:val="20"/>
        </w:rPr>
        <w:t>to</w:t>
      </w:r>
      <w:r>
        <w:rPr>
          <w:spacing w:val="-8"/>
          <w:sz w:val="20"/>
        </w:rPr>
        <w:t> </w:t>
      </w:r>
      <w:r>
        <w:rPr>
          <w:sz w:val="20"/>
        </w:rPr>
        <w:t>the</w:t>
      </w:r>
      <w:r>
        <w:rPr>
          <w:spacing w:val="-7"/>
          <w:sz w:val="20"/>
        </w:rPr>
        <w:t> </w:t>
      </w:r>
      <w:r>
        <w:rPr>
          <w:sz w:val="20"/>
        </w:rPr>
        <w:t>components of this pillar. The Information, Knowledge and Evidence Management Section and the Forensic</w:t>
      </w:r>
      <w:r>
        <w:rPr>
          <w:spacing w:val="-13"/>
          <w:sz w:val="20"/>
        </w:rPr>
        <w:t> </w:t>
      </w:r>
      <w:r>
        <w:rPr>
          <w:sz w:val="20"/>
        </w:rPr>
        <w:t>Science</w:t>
      </w:r>
      <w:r>
        <w:rPr>
          <w:spacing w:val="-12"/>
          <w:sz w:val="20"/>
        </w:rPr>
        <w:t> </w:t>
      </w:r>
      <w:r>
        <w:rPr>
          <w:sz w:val="20"/>
        </w:rPr>
        <w:t>Section</w:t>
      </w:r>
      <w:r>
        <w:rPr>
          <w:spacing w:val="-13"/>
          <w:sz w:val="20"/>
        </w:rPr>
        <w:t> </w:t>
      </w:r>
      <w:r>
        <w:rPr>
          <w:sz w:val="20"/>
        </w:rPr>
        <w:t>will</w:t>
      </w:r>
      <w:r>
        <w:rPr>
          <w:spacing w:val="-10"/>
          <w:sz w:val="20"/>
        </w:rPr>
        <w:t> </w:t>
      </w:r>
      <w:r>
        <w:rPr>
          <w:sz w:val="20"/>
        </w:rPr>
        <w:t>need</w:t>
      </w:r>
      <w:r>
        <w:rPr>
          <w:spacing w:val="-9"/>
          <w:sz w:val="20"/>
        </w:rPr>
        <w:t> </w:t>
      </w:r>
      <w:r>
        <w:rPr>
          <w:sz w:val="20"/>
        </w:rPr>
        <w:t>updated</w:t>
      </w:r>
      <w:r>
        <w:rPr>
          <w:spacing w:val="-13"/>
          <w:sz w:val="20"/>
        </w:rPr>
        <w:t> </w:t>
      </w:r>
      <w:r>
        <w:rPr>
          <w:sz w:val="20"/>
        </w:rPr>
        <w:t>applications</w:t>
      </w:r>
      <w:r>
        <w:rPr>
          <w:spacing w:val="-11"/>
          <w:sz w:val="20"/>
        </w:rPr>
        <w:t> </w:t>
      </w:r>
      <w:r>
        <w:rPr>
          <w:sz w:val="20"/>
        </w:rPr>
        <w:t>and</w:t>
      </w:r>
      <w:r>
        <w:rPr>
          <w:spacing w:val="-10"/>
          <w:sz w:val="20"/>
        </w:rPr>
        <w:t> </w:t>
      </w:r>
      <w:r>
        <w:rPr>
          <w:sz w:val="20"/>
        </w:rPr>
        <w:t>systems</w:t>
      </w:r>
      <w:r>
        <w:rPr>
          <w:spacing w:val="-13"/>
          <w:sz w:val="20"/>
        </w:rPr>
        <w:t> </w:t>
      </w:r>
      <w:r>
        <w:rPr>
          <w:sz w:val="20"/>
        </w:rPr>
        <w:t>to</w:t>
      </w:r>
      <w:r>
        <w:rPr>
          <w:spacing w:val="-12"/>
          <w:sz w:val="20"/>
        </w:rPr>
        <w:t> </w:t>
      </w:r>
      <w:r>
        <w:rPr>
          <w:sz w:val="20"/>
        </w:rPr>
        <w:t>strengthen</w:t>
      </w:r>
      <w:r>
        <w:rPr>
          <w:spacing w:val="-13"/>
          <w:sz w:val="20"/>
        </w:rPr>
        <w:t> </w:t>
      </w:r>
      <w:r>
        <w:rPr>
          <w:sz w:val="20"/>
        </w:rPr>
        <w:t>disclosure processes and to conduct advanced cyber and open-source investigations, as well as additional resources to support forensic operations. These enhancements will support the entire Office in performing its activities.</w:t>
      </w:r>
    </w:p>
    <w:p>
      <w:pPr>
        <w:spacing w:after="0" w:line="240" w:lineRule="auto"/>
        <w:jc w:val="both"/>
        <w:rPr>
          <w:sz w:val="20"/>
        </w:rPr>
        <w:sectPr>
          <w:pgSz w:w="11910" w:h="16840"/>
          <w:pgMar w:header="953" w:footer="940" w:top="1140" w:bottom="1140" w:left="20" w:right="20"/>
        </w:sectPr>
      </w:pPr>
    </w:p>
    <w:p>
      <w:pPr>
        <w:pStyle w:val="ListParagraph"/>
        <w:numPr>
          <w:ilvl w:val="0"/>
          <w:numId w:val="4"/>
        </w:numPr>
        <w:tabs>
          <w:tab w:pos="2967" w:val="left" w:leader="none"/>
        </w:tabs>
        <w:spacing w:line="240" w:lineRule="auto" w:before="120" w:after="0"/>
        <w:ind w:left="2246" w:right="2243" w:firstLine="0"/>
        <w:jc w:val="both"/>
        <w:rPr>
          <w:sz w:val="20"/>
        </w:rPr>
      </w:pPr>
      <w:r>
        <w:rPr>
          <w:sz w:val="20"/>
        </w:rPr>
        <w:t>Where possible and appropriate, the Office will seek</w:t>
      </w:r>
      <w:r>
        <w:rPr>
          <w:spacing w:val="-1"/>
          <w:sz w:val="20"/>
        </w:rPr>
        <w:t> </w:t>
      </w:r>
      <w:r>
        <w:rPr>
          <w:sz w:val="20"/>
        </w:rPr>
        <w:t>to</w:t>
      </w:r>
      <w:r>
        <w:rPr>
          <w:spacing w:val="-1"/>
          <w:sz w:val="20"/>
        </w:rPr>
        <w:t> </w:t>
      </w:r>
      <w:r>
        <w:rPr>
          <w:sz w:val="20"/>
        </w:rPr>
        <w:t>leverage partnerships with academia</w:t>
      </w:r>
      <w:r>
        <w:rPr>
          <w:spacing w:val="-3"/>
          <w:sz w:val="20"/>
        </w:rPr>
        <w:t> </w:t>
      </w:r>
      <w:r>
        <w:rPr>
          <w:sz w:val="20"/>
        </w:rPr>
        <w:t>and</w:t>
      </w:r>
      <w:r>
        <w:rPr>
          <w:spacing w:val="-8"/>
          <w:sz w:val="20"/>
        </w:rPr>
        <w:t> </w:t>
      </w:r>
      <w:r>
        <w:rPr>
          <w:sz w:val="20"/>
        </w:rPr>
        <w:t>the</w:t>
      </w:r>
      <w:r>
        <w:rPr>
          <w:spacing w:val="-3"/>
          <w:sz w:val="20"/>
        </w:rPr>
        <w:t> </w:t>
      </w:r>
      <w:r>
        <w:rPr>
          <w:sz w:val="20"/>
        </w:rPr>
        <w:t>private sector</w:t>
      </w:r>
      <w:r>
        <w:rPr>
          <w:spacing w:val="-5"/>
          <w:sz w:val="20"/>
        </w:rPr>
        <w:t> </w:t>
      </w:r>
      <w:r>
        <w:rPr>
          <w:sz w:val="20"/>
        </w:rPr>
        <w:t>to</w:t>
      </w:r>
      <w:r>
        <w:rPr>
          <w:spacing w:val="-5"/>
          <w:sz w:val="20"/>
        </w:rPr>
        <w:t> </w:t>
      </w:r>
      <w:r>
        <w:rPr>
          <w:sz w:val="20"/>
        </w:rPr>
        <w:t>offset</w:t>
      </w:r>
      <w:r>
        <w:rPr>
          <w:spacing w:val="-7"/>
          <w:sz w:val="20"/>
        </w:rPr>
        <w:t> </w:t>
      </w:r>
      <w:r>
        <w:rPr>
          <w:sz w:val="20"/>
        </w:rPr>
        <w:t>costs.</w:t>
      </w:r>
      <w:r>
        <w:rPr>
          <w:spacing w:val="-2"/>
          <w:sz w:val="20"/>
        </w:rPr>
        <w:t> </w:t>
      </w:r>
      <w:r>
        <w:rPr>
          <w:sz w:val="20"/>
        </w:rPr>
        <w:t>This</w:t>
      </w:r>
      <w:r>
        <w:rPr>
          <w:spacing w:val="-6"/>
          <w:sz w:val="20"/>
        </w:rPr>
        <w:t> </w:t>
      </w:r>
      <w:r>
        <w:rPr>
          <w:sz w:val="20"/>
        </w:rPr>
        <w:t>cost-sharing</w:t>
      </w:r>
      <w:r>
        <w:rPr>
          <w:spacing w:val="-5"/>
          <w:sz w:val="20"/>
        </w:rPr>
        <w:t> </w:t>
      </w:r>
      <w:r>
        <w:rPr>
          <w:sz w:val="20"/>
        </w:rPr>
        <w:t>approach</w:t>
      </w:r>
      <w:r>
        <w:rPr>
          <w:spacing w:val="-5"/>
          <w:sz w:val="20"/>
        </w:rPr>
        <w:t> </w:t>
      </w:r>
      <w:r>
        <w:rPr>
          <w:sz w:val="20"/>
        </w:rPr>
        <w:t>is</w:t>
      </w:r>
      <w:r>
        <w:rPr>
          <w:spacing w:val="-6"/>
          <w:sz w:val="20"/>
        </w:rPr>
        <w:t> </w:t>
      </w:r>
      <w:r>
        <w:rPr>
          <w:sz w:val="20"/>
        </w:rPr>
        <w:t>consistent</w:t>
      </w:r>
      <w:r>
        <w:rPr>
          <w:spacing w:val="-3"/>
          <w:sz w:val="20"/>
        </w:rPr>
        <w:t> </w:t>
      </w:r>
      <w:r>
        <w:rPr>
          <w:sz w:val="20"/>
        </w:rPr>
        <w:t>with the findings</w:t>
      </w:r>
      <w:r>
        <w:rPr>
          <w:spacing w:val="-1"/>
          <w:sz w:val="20"/>
        </w:rPr>
        <w:t> </w:t>
      </w:r>
      <w:r>
        <w:rPr>
          <w:sz w:val="20"/>
        </w:rPr>
        <w:t>and recommendations of the IER report, which stresses the need for the Office to</w:t>
      </w:r>
      <w:r>
        <w:rPr>
          <w:spacing w:val="-3"/>
          <w:sz w:val="20"/>
        </w:rPr>
        <w:t> </w:t>
      </w:r>
      <w:r>
        <w:rPr>
          <w:sz w:val="20"/>
        </w:rPr>
        <w:t>make</w:t>
      </w:r>
      <w:r>
        <w:rPr>
          <w:spacing w:val="-1"/>
          <w:sz w:val="20"/>
        </w:rPr>
        <w:t> </w:t>
      </w:r>
      <w:r>
        <w:rPr>
          <w:sz w:val="20"/>
        </w:rPr>
        <w:t>use</w:t>
      </w:r>
      <w:r>
        <w:rPr>
          <w:spacing w:val="-1"/>
          <w:sz w:val="20"/>
        </w:rPr>
        <w:t> </w:t>
      </w:r>
      <w:r>
        <w:rPr>
          <w:sz w:val="20"/>
        </w:rPr>
        <w:t>of</w:t>
      </w:r>
      <w:r>
        <w:rPr>
          <w:spacing w:val="-7"/>
          <w:sz w:val="20"/>
        </w:rPr>
        <w:t> </w:t>
      </w:r>
      <w:r>
        <w:rPr>
          <w:sz w:val="20"/>
        </w:rPr>
        <w:t>a</w:t>
      </w:r>
      <w:r>
        <w:rPr>
          <w:spacing w:val="-1"/>
          <w:sz w:val="20"/>
        </w:rPr>
        <w:t> </w:t>
      </w:r>
      <w:r>
        <w:rPr>
          <w:sz w:val="20"/>
        </w:rPr>
        <w:t>combination</w:t>
      </w:r>
      <w:r>
        <w:rPr>
          <w:spacing w:val="-3"/>
          <w:sz w:val="20"/>
        </w:rPr>
        <w:t> </w:t>
      </w:r>
      <w:r>
        <w:rPr>
          <w:sz w:val="20"/>
        </w:rPr>
        <w:t>of</w:t>
      </w:r>
      <w:r>
        <w:rPr>
          <w:spacing w:val="-3"/>
          <w:sz w:val="20"/>
        </w:rPr>
        <w:t> </w:t>
      </w:r>
      <w:r>
        <w:rPr>
          <w:sz w:val="20"/>
        </w:rPr>
        <w:t>increased</w:t>
      </w:r>
      <w:r>
        <w:rPr>
          <w:spacing w:val="-3"/>
          <w:sz w:val="20"/>
        </w:rPr>
        <w:t> </w:t>
      </w:r>
      <w:r>
        <w:rPr>
          <w:sz w:val="20"/>
        </w:rPr>
        <w:t>in-house</w:t>
      </w:r>
      <w:r>
        <w:rPr>
          <w:spacing w:val="-1"/>
          <w:sz w:val="20"/>
        </w:rPr>
        <w:t> </w:t>
      </w:r>
      <w:r>
        <w:rPr>
          <w:sz w:val="20"/>
        </w:rPr>
        <w:t>capacity</w:t>
      </w:r>
      <w:r>
        <w:rPr>
          <w:spacing w:val="-7"/>
          <w:sz w:val="20"/>
        </w:rPr>
        <w:t> </w:t>
      </w:r>
      <w:r>
        <w:rPr>
          <w:sz w:val="20"/>
        </w:rPr>
        <w:t>and</w:t>
      </w:r>
      <w:r>
        <w:rPr>
          <w:spacing w:val="-3"/>
          <w:sz w:val="20"/>
        </w:rPr>
        <w:t> </w:t>
      </w:r>
      <w:r>
        <w:rPr>
          <w:sz w:val="20"/>
        </w:rPr>
        <w:t>increased</w:t>
      </w:r>
      <w:r>
        <w:rPr>
          <w:spacing w:val="-7"/>
          <w:sz w:val="20"/>
        </w:rPr>
        <w:t> </w:t>
      </w:r>
      <w:r>
        <w:rPr>
          <w:sz w:val="20"/>
        </w:rPr>
        <w:t>cooperation</w:t>
      </w:r>
      <w:r>
        <w:rPr>
          <w:spacing w:val="-3"/>
          <w:sz w:val="20"/>
        </w:rPr>
        <w:t> </w:t>
      </w:r>
      <w:r>
        <w:rPr>
          <w:sz w:val="20"/>
        </w:rPr>
        <w:t>with national authorities, intergovernmental organizations and other stakeholders with the capacity to assist the OTP with specialized collection of evidence.</w:t>
      </w:r>
      <w:r>
        <w:rPr>
          <w:sz w:val="20"/>
          <w:vertAlign w:val="superscript"/>
        </w:rPr>
        <w:t>85</w:t>
      </w:r>
    </w:p>
    <w:p>
      <w:pPr>
        <w:pStyle w:val="BodyText"/>
        <w:spacing w:before="2"/>
        <w:rPr>
          <w:sz w:val="21"/>
        </w:rPr>
      </w:pPr>
    </w:p>
    <w:p>
      <w:pPr>
        <w:pStyle w:val="Heading3"/>
        <w:numPr>
          <w:ilvl w:val="0"/>
          <w:numId w:val="10"/>
        </w:numPr>
        <w:tabs>
          <w:tab w:pos="2246" w:val="left" w:leader="none"/>
          <w:tab w:pos="2247" w:val="left" w:leader="none"/>
        </w:tabs>
        <w:spacing w:line="240" w:lineRule="auto" w:before="0" w:after="0"/>
        <w:ind w:left="2246" w:right="0" w:hanging="568"/>
        <w:jc w:val="left"/>
      </w:pPr>
      <w:r>
        <w:rPr/>
        <w:t>Planning</w:t>
      </w:r>
      <w:r>
        <w:rPr>
          <w:spacing w:val="-8"/>
        </w:rPr>
        <w:t> </w:t>
      </w:r>
      <w:r>
        <w:rPr/>
        <w:t>and</w:t>
      </w:r>
      <w:r>
        <w:rPr>
          <w:spacing w:val="-9"/>
        </w:rPr>
        <w:t> </w:t>
      </w:r>
      <w:r>
        <w:rPr/>
        <w:t>Operations</w:t>
      </w:r>
      <w:r>
        <w:rPr>
          <w:spacing w:val="-3"/>
        </w:rPr>
        <w:t> </w:t>
      </w:r>
      <w:r>
        <w:rPr>
          <w:spacing w:val="-2"/>
        </w:rPr>
        <w:t>Section</w:t>
      </w:r>
    </w:p>
    <w:p>
      <w:pPr>
        <w:pStyle w:val="BodyText"/>
        <w:spacing w:before="10"/>
        <w:rPr>
          <w:b/>
        </w:rPr>
      </w:pPr>
    </w:p>
    <w:p>
      <w:pPr>
        <w:pStyle w:val="ListParagraph"/>
        <w:numPr>
          <w:ilvl w:val="0"/>
          <w:numId w:val="4"/>
        </w:numPr>
        <w:tabs>
          <w:tab w:pos="2967" w:val="left" w:leader="none"/>
        </w:tabs>
        <w:spacing w:line="240" w:lineRule="auto" w:before="0" w:after="0"/>
        <w:ind w:left="2246" w:right="2243" w:firstLine="0"/>
        <w:jc w:val="both"/>
        <w:rPr>
          <w:sz w:val="20"/>
        </w:rPr>
      </w:pPr>
      <w:r>
        <w:rPr>
          <w:sz w:val="20"/>
        </w:rPr>
        <w:t>The structure of the Planning and Operations Section (POS) has been reorganized to better focus the services that this section provides to the</w:t>
      </w:r>
      <w:r>
        <w:rPr>
          <w:spacing w:val="-1"/>
          <w:sz w:val="20"/>
        </w:rPr>
        <w:t> </w:t>
      </w:r>
      <w:r>
        <w:rPr>
          <w:sz w:val="20"/>
        </w:rPr>
        <w:t>Office, and the unified teams in particular. POS</w:t>
      </w:r>
      <w:r>
        <w:rPr>
          <w:spacing w:val="-1"/>
          <w:sz w:val="20"/>
        </w:rPr>
        <w:t> </w:t>
      </w:r>
      <w:r>
        <w:rPr>
          <w:sz w:val="20"/>
        </w:rPr>
        <w:t>now</w:t>
      </w:r>
      <w:r>
        <w:rPr>
          <w:spacing w:val="-5"/>
          <w:sz w:val="20"/>
        </w:rPr>
        <w:t> </w:t>
      </w:r>
      <w:r>
        <w:rPr>
          <w:sz w:val="20"/>
        </w:rPr>
        <w:t>consists</w:t>
      </w:r>
      <w:r>
        <w:rPr>
          <w:spacing w:val="-1"/>
          <w:sz w:val="20"/>
        </w:rPr>
        <w:t> </w:t>
      </w:r>
      <w:r>
        <w:rPr>
          <w:sz w:val="20"/>
        </w:rPr>
        <w:t>of</w:t>
      </w:r>
      <w:r>
        <w:rPr>
          <w:spacing w:val="-1"/>
          <w:sz w:val="20"/>
        </w:rPr>
        <w:t> </w:t>
      </w:r>
      <w:r>
        <w:rPr>
          <w:sz w:val="20"/>
        </w:rPr>
        <w:t>four units: (1) Suspects</w:t>
      </w:r>
      <w:r>
        <w:rPr>
          <w:spacing w:val="-1"/>
          <w:sz w:val="20"/>
        </w:rPr>
        <w:t> </w:t>
      </w:r>
      <w:r>
        <w:rPr>
          <w:sz w:val="20"/>
        </w:rPr>
        <w:t>At Large</w:t>
      </w:r>
      <w:r>
        <w:rPr>
          <w:spacing w:val="-2"/>
          <w:sz w:val="20"/>
        </w:rPr>
        <w:t> </w:t>
      </w:r>
      <w:r>
        <w:rPr>
          <w:sz w:val="20"/>
        </w:rPr>
        <w:t>Tracking</w:t>
      </w:r>
      <w:r>
        <w:rPr>
          <w:spacing w:val="-4"/>
          <w:sz w:val="20"/>
        </w:rPr>
        <w:t> </w:t>
      </w:r>
      <w:r>
        <w:rPr>
          <w:sz w:val="20"/>
        </w:rPr>
        <w:t>Team (SALTT), which tracks the suspects subject to the Court’s warrants of arrest, in coordination with the equivalent team of the Registry and law enforcement agencies; (2) the Security and Protection</w:t>
      </w:r>
      <w:r>
        <w:rPr>
          <w:spacing w:val="-5"/>
          <w:sz w:val="20"/>
        </w:rPr>
        <w:t> </w:t>
      </w:r>
      <w:r>
        <w:rPr>
          <w:sz w:val="20"/>
        </w:rPr>
        <w:t>Unit</w:t>
      </w:r>
      <w:r>
        <w:rPr>
          <w:spacing w:val="-3"/>
          <w:sz w:val="20"/>
        </w:rPr>
        <w:t> </w:t>
      </w:r>
      <w:r>
        <w:rPr>
          <w:sz w:val="20"/>
        </w:rPr>
        <w:t>(SPU),</w:t>
      </w:r>
      <w:r>
        <w:rPr>
          <w:spacing w:val="-5"/>
          <w:sz w:val="20"/>
        </w:rPr>
        <w:t> </w:t>
      </w:r>
      <w:r>
        <w:rPr>
          <w:sz w:val="20"/>
        </w:rPr>
        <w:t>which</w:t>
      </w:r>
      <w:r>
        <w:rPr>
          <w:spacing w:val="-5"/>
          <w:sz w:val="20"/>
        </w:rPr>
        <w:t> </w:t>
      </w:r>
      <w:r>
        <w:rPr>
          <w:sz w:val="20"/>
        </w:rPr>
        <w:t>is</w:t>
      </w:r>
      <w:r>
        <w:rPr>
          <w:spacing w:val="-11"/>
          <w:sz w:val="20"/>
        </w:rPr>
        <w:t> </w:t>
      </w:r>
      <w:r>
        <w:rPr>
          <w:sz w:val="20"/>
        </w:rPr>
        <w:t>responsible</w:t>
      </w:r>
      <w:r>
        <w:rPr>
          <w:spacing w:val="-3"/>
          <w:sz w:val="20"/>
        </w:rPr>
        <w:t> </w:t>
      </w:r>
      <w:r>
        <w:rPr>
          <w:sz w:val="20"/>
        </w:rPr>
        <w:t>for</w:t>
      </w:r>
      <w:r>
        <w:rPr>
          <w:spacing w:val="-4"/>
          <w:sz w:val="20"/>
        </w:rPr>
        <w:t> </w:t>
      </w:r>
      <w:r>
        <w:rPr>
          <w:sz w:val="20"/>
        </w:rPr>
        <w:t>witness</w:t>
      </w:r>
      <w:r>
        <w:rPr>
          <w:spacing w:val="-6"/>
          <w:sz w:val="20"/>
        </w:rPr>
        <w:t> </w:t>
      </w:r>
      <w:r>
        <w:rPr>
          <w:sz w:val="20"/>
        </w:rPr>
        <w:t>management</w:t>
      </w:r>
      <w:r>
        <w:rPr>
          <w:spacing w:val="-8"/>
          <w:sz w:val="20"/>
        </w:rPr>
        <w:t> </w:t>
      </w:r>
      <w:r>
        <w:rPr>
          <w:sz w:val="20"/>
        </w:rPr>
        <w:t>and</w:t>
      </w:r>
      <w:r>
        <w:rPr>
          <w:spacing w:val="-9"/>
          <w:sz w:val="20"/>
        </w:rPr>
        <w:t> </w:t>
      </w:r>
      <w:r>
        <w:rPr>
          <w:sz w:val="20"/>
        </w:rPr>
        <w:t>guarantees</w:t>
      </w:r>
      <w:r>
        <w:rPr>
          <w:spacing w:val="-6"/>
          <w:sz w:val="20"/>
        </w:rPr>
        <w:t> </w:t>
      </w:r>
      <w:r>
        <w:rPr>
          <w:sz w:val="20"/>
        </w:rPr>
        <w:t>that</w:t>
      </w:r>
      <w:r>
        <w:rPr>
          <w:spacing w:val="-8"/>
          <w:sz w:val="20"/>
        </w:rPr>
        <w:t> </w:t>
      </w:r>
      <w:r>
        <w:rPr>
          <w:sz w:val="20"/>
        </w:rPr>
        <w:t>the Office’s investigative strategy is developed in such a way that foreseeable risks to persons interacting</w:t>
      </w:r>
      <w:r>
        <w:rPr>
          <w:spacing w:val="-4"/>
          <w:sz w:val="20"/>
        </w:rPr>
        <w:t> </w:t>
      </w:r>
      <w:r>
        <w:rPr>
          <w:sz w:val="20"/>
        </w:rPr>
        <w:t>with</w:t>
      </w:r>
      <w:r>
        <w:rPr>
          <w:spacing w:val="-8"/>
          <w:sz w:val="20"/>
        </w:rPr>
        <w:t> </w:t>
      </w:r>
      <w:r>
        <w:rPr>
          <w:sz w:val="20"/>
        </w:rPr>
        <w:t>the</w:t>
      </w:r>
      <w:r>
        <w:rPr>
          <w:spacing w:val="-2"/>
          <w:sz w:val="20"/>
        </w:rPr>
        <w:t> </w:t>
      </w:r>
      <w:r>
        <w:rPr>
          <w:sz w:val="20"/>
        </w:rPr>
        <w:t>OTP</w:t>
      </w:r>
      <w:r>
        <w:rPr>
          <w:spacing w:val="-5"/>
          <w:sz w:val="20"/>
        </w:rPr>
        <w:t> </w:t>
      </w:r>
      <w:r>
        <w:rPr>
          <w:sz w:val="20"/>
        </w:rPr>
        <w:t>are</w:t>
      </w:r>
      <w:r>
        <w:rPr>
          <w:spacing w:val="-2"/>
          <w:sz w:val="20"/>
        </w:rPr>
        <w:t> </w:t>
      </w:r>
      <w:r>
        <w:rPr>
          <w:sz w:val="20"/>
        </w:rPr>
        <w:t>properly</w:t>
      </w:r>
      <w:r>
        <w:rPr>
          <w:spacing w:val="-4"/>
          <w:sz w:val="20"/>
        </w:rPr>
        <w:t> </w:t>
      </w:r>
      <w:r>
        <w:rPr>
          <w:sz w:val="20"/>
        </w:rPr>
        <w:t>managed;</w:t>
      </w:r>
      <w:r>
        <w:rPr>
          <w:spacing w:val="-2"/>
          <w:sz w:val="20"/>
        </w:rPr>
        <w:t> </w:t>
      </w:r>
      <w:r>
        <w:rPr>
          <w:sz w:val="20"/>
        </w:rPr>
        <w:t>(3)</w:t>
      </w:r>
      <w:r>
        <w:rPr>
          <w:spacing w:val="-8"/>
          <w:sz w:val="20"/>
        </w:rPr>
        <w:t> </w:t>
      </w:r>
      <w:r>
        <w:rPr>
          <w:sz w:val="20"/>
        </w:rPr>
        <w:t>the</w:t>
      </w:r>
      <w:r>
        <w:rPr>
          <w:spacing w:val="-2"/>
          <w:sz w:val="20"/>
        </w:rPr>
        <w:t> </w:t>
      </w:r>
      <w:r>
        <w:rPr>
          <w:sz w:val="20"/>
        </w:rPr>
        <w:t>Field</w:t>
      </w:r>
      <w:r>
        <w:rPr>
          <w:spacing w:val="-4"/>
          <w:sz w:val="20"/>
        </w:rPr>
        <w:t> </w:t>
      </w:r>
      <w:r>
        <w:rPr>
          <w:sz w:val="20"/>
        </w:rPr>
        <w:t>Operations</w:t>
      </w:r>
      <w:r>
        <w:rPr>
          <w:spacing w:val="-5"/>
          <w:sz w:val="20"/>
        </w:rPr>
        <w:t> </w:t>
      </w:r>
      <w:r>
        <w:rPr>
          <w:sz w:val="20"/>
        </w:rPr>
        <w:t>Unit (FOU), which ensures the confidentiality and security of field deployments and provides operational support for missions, including those of the Prosecutor; and (4) the Planning Unit which assists the unified teams in planning their missions.</w:t>
      </w:r>
    </w:p>
    <w:p>
      <w:pPr>
        <w:pStyle w:val="ListParagraph"/>
        <w:numPr>
          <w:ilvl w:val="0"/>
          <w:numId w:val="4"/>
        </w:numPr>
        <w:tabs>
          <w:tab w:pos="2967" w:val="left" w:leader="none"/>
        </w:tabs>
        <w:spacing w:line="240" w:lineRule="auto" w:before="121" w:after="0"/>
        <w:ind w:left="2246" w:right="2237" w:firstLine="0"/>
        <w:jc w:val="both"/>
        <w:rPr>
          <w:sz w:val="20"/>
        </w:rPr>
      </w:pPr>
      <w:r>
        <w:rPr>
          <w:sz w:val="20"/>
        </w:rPr>
        <w:t>The SALTT function previously existed within the structure of the OTP. The unit has</w:t>
      </w:r>
      <w:r>
        <w:rPr>
          <w:spacing w:val="-5"/>
          <w:sz w:val="20"/>
        </w:rPr>
        <w:t> </w:t>
      </w:r>
      <w:r>
        <w:rPr>
          <w:sz w:val="20"/>
        </w:rPr>
        <w:t>been</w:t>
      </w:r>
      <w:r>
        <w:rPr>
          <w:spacing w:val="-8"/>
          <w:sz w:val="20"/>
        </w:rPr>
        <w:t> </w:t>
      </w:r>
      <w:r>
        <w:rPr>
          <w:sz w:val="20"/>
        </w:rPr>
        <w:t>brought</w:t>
      </w:r>
      <w:r>
        <w:rPr>
          <w:spacing w:val="-7"/>
          <w:sz w:val="20"/>
        </w:rPr>
        <w:t> </w:t>
      </w:r>
      <w:r>
        <w:rPr>
          <w:sz w:val="20"/>
        </w:rPr>
        <w:t>to</w:t>
      </w:r>
      <w:r>
        <w:rPr>
          <w:spacing w:val="-8"/>
          <w:sz w:val="20"/>
        </w:rPr>
        <w:t> </w:t>
      </w:r>
      <w:r>
        <w:rPr>
          <w:sz w:val="20"/>
        </w:rPr>
        <w:t>POS</w:t>
      </w:r>
      <w:r>
        <w:rPr>
          <w:spacing w:val="-5"/>
          <w:sz w:val="20"/>
        </w:rPr>
        <w:t> </w:t>
      </w:r>
      <w:r>
        <w:rPr>
          <w:sz w:val="20"/>
        </w:rPr>
        <w:t>as</w:t>
      </w:r>
      <w:r>
        <w:rPr>
          <w:spacing w:val="-10"/>
          <w:sz w:val="20"/>
        </w:rPr>
        <w:t> </w:t>
      </w:r>
      <w:r>
        <w:rPr>
          <w:sz w:val="20"/>
        </w:rPr>
        <w:t>there</w:t>
      </w:r>
      <w:r>
        <w:rPr>
          <w:spacing w:val="-2"/>
          <w:sz w:val="20"/>
        </w:rPr>
        <w:t> </w:t>
      </w:r>
      <w:r>
        <w:rPr>
          <w:sz w:val="20"/>
        </w:rPr>
        <w:t>is</w:t>
      </w:r>
      <w:r>
        <w:rPr>
          <w:spacing w:val="-10"/>
          <w:sz w:val="20"/>
        </w:rPr>
        <w:t> </w:t>
      </w:r>
      <w:r>
        <w:rPr>
          <w:sz w:val="20"/>
        </w:rPr>
        <w:t>a</w:t>
      </w:r>
      <w:r>
        <w:rPr>
          <w:spacing w:val="-7"/>
          <w:sz w:val="20"/>
        </w:rPr>
        <w:t> </w:t>
      </w:r>
      <w:r>
        <w:rPr>
          <w:sz w:val="20"/>
        </w:rPr>
        <w:t>natural</w:t>
      </w:r>
      <w:r>
        <w:rPr>
          <w:spacing w:val="-7"/>
          <w:sz w:val="20"/>
        </w:rPr>
        <w:t> </w:t>
      </w:r>
      <w:r>
        <w:rPr>
          <w:sz w:val="20"/>
        </w:rPr>
        <w:t>synergy</w:t>
      </w:r>
      <w:r>
        <w:rPr>
          <w:spacing w:val="-4"/>
          <w:sz w:val="20"/>
        </w:rPr>
        <w:t> </w:t>
      </w:r>
      <w:r>
        <w:rPr>
          <w:sz w:val="20"/>
        </w:rPr>
        <w:t>within</w:t>
      </w:r>
      <w:r>
        <w:rPr>
          <w:spacing w:val="-8"/>
          <w:sz w:val="20"/>
        </w:rPr>
        <w:t> </w:t>
      </w:r>
      <w:r>
        <w:rPr>
          <w:sz w:val="20"/>
        </w:rPr>
        <w:t>the</w:t>
      </w:r>
      <w:r>
        <w:rPr>
          <w:spacing w:val="-7"/>
          <w:sz w:val="20"/>
        </w:rPr>
        <w:t> </w:t>
      </w:r>
      <w:r>
        <w:rPr>
          <w:sz w:val="20"/>
        </w:rPr>
        <w:t>information</w:t>
      </w:r>
      <w:r>
        <w:rPr>
          <w:spacing w:val="-8"/>
          <w:sz w:val="20"/>
        </w:rPr>
        <w:t> </w:t>
      </w:r>
      <w:r>
        <w:rPr>
          <w:sz w:val="20"/>
        </w:rPr>
        <w:t>and</w:t>
      </w:r>
      <w:r>
        <w:rPr>
          <w:spacing w:val="-8"/>
          <w:sz w:val="20"/>
        </w:rPr>
        <w:t> </w:t>
      </w:r>
      <w:r>
        <w:rPr>
          <w:sz w:val="20"/>
        </w:rPr>
        <w:t>intelligence generated</w:t>
      </w:r>
      <w:r>
        <w:rPr>
          <w:spacing w:val="-8"/>
          <w:sz w:val="20"/>
        </w:rPr>
        <w:t> </w:t>
      </w:r>
      <w:r>
        <w:rPr>
          <w:sz w:val="20"/>
        </w:rPr>
        <w:t>for</w:t>
      </w:r>
      <w:r>
        <w:rPr>
          <w:spacing w:val="-8"/>
          <w:sz w:val="20"/>
        </w:rPr>
        <w:t> </w:t>
      </w:r>
      <w:r>
        <w:rPr>
          <w:sz w:val="20"/>
        </w:rPr>
        <w:t>threat</w:t>
      </w:r>
      <w:r>
        <w:rPr>
          <w:spacing w:val="-7"/>
          <w:sz w:val="20"/>
        </w:rPr>
        <w:t> </w:t>
      </w:r>
      <w:r>
        <w:rPr>
          <w:sz w:val="20"/>
        </w:rPr>
        <w:t>assessments</w:t>
      </w:r>
      <w:r>
        <w:rPr>
          <w:spacing w:val="-5"/>
          <w:sz w:val="20"/>
        </w:rPr>
        <w:t> </w:t>
      </w:r>
      <w:r>
        <w:rPr>
          <w:sz w:val="20"/>
        </w:rPr>
        <w:t>and</w:t>
      </w:r>
      <w:r>
        <w:rPr>
          <w:spacing w:val="-8"/>
          <w:sz w:val="20"/>
        </w:rPr>
        <w:t> </w:t>
      </w:r>
      <w:r>
        <w:rPr>
          <w:sz w:val="20"/>
        </w:rPr>
        <w:t>that</w:t>
      </w:r>
      <w:r>
        <w:rPr>
          <w:spacing w:val="-2"/>
          <w:sz w:val="20"/>
        </w:rPr>
        <w:t> </w:t>
      </w:r>
      <w:r>
        <w:rPr>
          <w:sz w:val="20"/>
        </w:rPr>
        <w:t>of</w:t>
      </w:r>
      <w:r>
        <w:rPr>
          <w:spacing w:val="-8"/>
          <w:sz w:val="20"/>
        </w:rPr>
        <w:t> </w:t>
      </w:r>
      <w:r>
        <w:rPr>
          <w:sz w:val="20"/>
        </w:rPr>
        <w:t>the</w:t>
      </w:r>
      <w:r>
        <w:rPr>
          <w:spacing w:val="-7"/>
          <w:sz w:val="20"/>
        </w:rPr>
        <w:t> </w:t>
      </w:r>
      <w:r>
        <w:rPr>
          <w:sz w:val="20"/>
        </w:rPr>
        <w:t>tracking</w:t>
      </w:r>
      <w:r>
        <w:rPr>
          <w:spacing w:val="-4"/>
          <w:sz w:val="20"/>
        </w:rPr>
        <w:t> </w:t>
      </w:r>
      <w:r>
        <w:rPr>
          <w:sz w:val="20"/>
        </w:rPr>
        <w:t>function</w:t>
      </w:r>
      <w:r>
        <w:rPr>
          <w:spacing w:val="-2"/>
          <w:sz w:val="20"/>
        </w:rPr>
        <w:t> </w:t>
      </w:r>
      <w:r>
        <w:rPr>
          <w:sz w:val="20"/>
        </w:rPr>
        <w:t>–</w:t>
      </w:r>
      <w:r>
        <w:rPr>
          <w:spacing w:val="-8"/>
          <w:sz w:val="20"/>
        </w:rPr>
        <w:t> </w:t>
      </w:r>
      <w:r>
        <w:rPr>
          <w:sz w:val="20"/>
        </w:rPr>
        <w:t>capacity,</w:t>
      </w:r>
      <w:r>
        <w:rPr>
          <w:spacing w:val="-6"/>
          <w:sz w:val="20"/>
        </w:rPr>
        <w:t> </w:t>
      </w:r>
      <w:r>
        <w:rPr>
          <w:sz w:val="20"/>
        </w:rPr>
        <w:t>capabilities</w:t>
      </w:r>
      <w:r>
        <w:rPr>
          <w:spacing w:val="-5"/>
          <w:sz w:val="20"/>
        </w:rPr>
        <w:t> </w:t>
      </w:r>
      <w:r>
        <w:rPr>
          <w:sz w:val="20"/>
        </w:rPr>
        <w:t>and networks equally serve witness protection. If it is in the same section, there is naturally a closer and better facilitation of internal intelligence sharing and coordination. The lines of communication SALTT requires</w:t>
      </w:r>
      <w:r>
        <w:rPr>
          <w:spacing w:val="-1"/>
          <w:sz w:val="20"/>
        </w:rPr>
        <w:t> </w:t>
      </w:r>
      <w:r>
        <w:rPr>
          <w:sz w:val="20"/>
        </w:rPr>
        <w:t>with the Registry</w:t>
      </w:r>
      <w:r>
        <w:rPr>
          <w:spacing w:val="-5"/>
          <w:sz w:val="20"/>
        </w:rPr>
        <w:t> </w:t>
      </w:r>
      <w:r>
        <w:rPr>
          <w:sz w:val="20"/>
        </w:rPr>
        <w:t>are</w:t>
      </w:r>
      <w:r>
        <w:rPr>
          <w:spacing w:val="-3"/>
          <w:sz w:val="20"/>
        </w:rPr>
        <w:t> </w:t>
      </w:r>
      <w:r>
        <w:rPr>
          <w:sz w:val="20"/>
        </w:rPr>
        <w:t>already well</w:t>
      </w:r>
      <w:r>
        <w:rPr>
          <w:spacing w:val="-3"/>
          <w:sz w:val="20"/>
        </w:rPr>
        <w:t> </w:t>
      </w:r>
      <w:r>
        <w:rPr>
          <w:sz w:val="20"/>
        </w:rPr>
        <w:t>established within POS, which</w:t>
      </w:r>
      <w:r>
        <w:rPr>
          <w:spacing w:val="-4"/>
          <w:sz w:val="20"/>
        </w:rPr>
        <w:t> </w:t>
      </w:r>
      <w:r>
        <w:rPr>
          <w:sz w:val="20"/>
        </w:rPr>
        <w:t>acts</w:t>
      </w:r>
      <w:r>
        <w:rPr>
          <w:spacing w:val="-5"/>
          <w:sz w:val="20"/>
        </w:rPr>
        <w:t> </w:t>
      </w:r>
      <w:r>
        <w:rPr>
          <w:sz w:val="20"/>
        </w:rPr>
        <w:t>as</w:t>
      </w:r>
      <w:r>
        <w:rPr>
          <w:spacing w:val="-10"/>
          <w:sz w:val="20"/>
        </w:rPr>
        <w:t> </w:t>
      </w:r>
      <w:r>
        <w:rPr>
          <w:sz w:val="20"/>
        </w:rPr>
        <w:t>an</w:t>
      </w:r>
      <w:r>
        <w:rPr>
          <w:spacing w:val="-4"/>
          <w:sz w:val="20"/>
        </w:rPr>
        <w:t> </w:t>
      </w:r>
      <w:r>
        <w:rPr>
          <w:sz w:val="20"/>
        </w:rPr>
        <w:t>operational</w:t>
      </w:r>
      <w:r>
        <w:rPr>
          <w:spacing w:val="-2"/>
          <w:sz w:val="20"/>
        </w:rPr>
        <w:t> </w:t>
      </w:r>
      <w:r>
        <w:rPr>
          <w:sz w:val="20"/>
        </w:rPr>
        <w:t>focal point</w:t>
      </w:r>
      <w:r>
        <w:rPr>
          <w:spacing w:val="-2"/>
          <w:sz w:val="20"/>
        </w:rPr>
        <w:t> </w:t>
      </w:r>
      <w:r>
        <w:rPr>
          <w:sz w:val="20"/>
        </w:rPr>
        <w:t>for</w:t>
      </w:r>
      <w:r>
        <w:rPr>
          <w:spacing w:val="-4"/>
          <w:sz w:val="20"/>
        </w:rPr>
        <w:t> </w:t>
      </w:r>
      <w:r>
        <w:rPr>
          <w:sz w:val="20"/>
        </w:rPr>
        <w:t>security,</w:t>
      </w:r>
      <w:r>
        <w:rPr>
          <w:spacing w:val="-1"/>
          <w:sz w:val="20"/>
        </w:rPr>
        <w:t> </w:t>
      </w:r>
      <w:r>
        <w:rPr>
          <w:sz w:val="20"/>
        </w:rPr>
        <w:t>field</w:t>
      </w:r>
      <w:r>
        <w:rPr>
          <w:spacing w:val="-4"/>
          <w:sz w:val="20"/>
        </w:rPr>
        <w:t> </w:t>
      </w:r>
      <w:r>
        <w:rPr>
          <w:sz w:val="20"/>
        </w:rPr>
        <w:t>operations</w:t>
      </w:r>
      <w:r>
        <w:rPr>
          <w:spacing w:val="-5"/>
          <w:sz w:val="20"/>
        </w:rPr>
        <w:t> </w:t>
      </w:r>
      <w:r>
        <w:rPr>
          <w:sz w:val="20"/>
        </w:rPr>
        <w:t>and witness protection.</w:t>
      </w:r>
    </w:p>
    <w:p>
      <w:pPr>
        <w:pStyle w:val="ListParagraph"/>
        <w:numPr>
          <w:ilvl w:val="0"/>
          <w:numId w:val="4"/>
        </w:numPr>
        <w:tabs>
          <w:tab w:pos="2967" w:val="left" w:leader="none"/>
        </w:tabs>
        <w:spacing w:line="240" w:lineRule="auto" w:before="119" w:after="0"/>
        <w:ind w:left="2246" w:right="2239" w:firstLine="0"/>
        <w:jc w:val="both"/>
        <w:rPr>
          <w:sz w:val="20"/>
        </w:rPr>
      </w:pPr>
      <w:r>
        <w:rPr>
          <w:sz w:val="20"/>
        </w:rPr>
        <w:t>The SPU and FOU redistribute existing and enhanced roles and responsibilities of the</w:t>
      </w:r>
      <w:r>
        <w:rPr>
          <w:spacing w:val="-8"/>
          <w:sz w:val="20"/>
        </w:rPr>
        <w:t> </w:t>
      </w:r>
      <w:r>
        <w:rPr>
          <w:sz w:val="20"/>
        </w:rPr>
        <w:t>previous</w:t>
      </w:r>
      <w:r>
        <w:rPr>
          <w:spacing w:val="-6"/>
          <w:sz w:val="20"/>
        </w:rPr>
        <w:t> </w:t>
      </w:r>
      <w:r>
        <w:rPr>
          <w:sz w:val="20"/>
        </w:rPr>
        <w:t>ORSU</w:t>
      </w:r>
      <w:r>
        <w:rPr>
          <w:spacing w:val="-11"/>
          <w:sz w:val="20"/>
        </w:rPr>
        <w:t> </w:t>
      </w:r>
      <w:r>
        <w:rPr>
          <w:sz w:val="20"/>
        </w:rPr>
        <w:t>and</w:t>
      </w:r>
      <w:r>
        <w:rPr>
          <w:spacing w:val="-5"/>
          <w:sz w:val="20"/>
        </w:rPr>
        <w:t> </w:t>
      </w:r>
      <w:r>
        <w:rPr>
          <w:sz w:val="20"/>
        </w:rPr>
        <w:t>PSU</w:t>
      </w:r>
      <w:r>
        <w:rPr>
          <w:spacing w:val="-11"/>
          <w:sz w:val="20"/>
        </w:rPr>
        <w:t> </w:t>
      </w:r>
      <w:r>
        <w:rPr>
          <w:sz w:val="20"/>
        </w:rPr>
        <w:t>into</w:t>
      </w:r>
      <w:r>
        <w:rPr>
          <w:spacing w:val="-9"/>
          <w:sz w:val="20"/>
        </w:rPr>
        <w:t> </w:t>
      </w:r>
      <w:r>
        <w:rPr>
          <w:sz w:val="20"/>
        </w:rPr>
        <w:t>units</w:t>
      </w:r>
      <w:r>
        <w:rPr>
          <w:spacing w:val="-11"/>
          <w:sz w:val="20"/>
        </w:rPr>
        <w:t> </w:t>
      </w:r>
      <w:r>
        <w:rPr>
          <w:sz w:val="20"/>
        </w:rPr>
        <w:t>that</w:t>
      </w:r>
      <w:r>
        <w:rPr>
          <w:spacing w:val="-8"/>
          <w:sz w:val="20"/>
        </w:rPr>
        <w:t> </w:t>
      </w:r>
      <w:r>
        <w:rPr>
          <w:sz w:val="20"/>
        </w:rPr>
        <w:t>are</w:t>
      </w:r>
      <w:r>
        <w:rPr>
          <w:spacing w:val="-8"/>
          <w:sz w:val="20"/>
        </w:rPr>
        <w:t> </w:t>
      </w:r>
      <w:r>
        <w:rPr>
          <w:sz w:val="20"/>
        </w:rPr>
        <w:t>better</w:t>
      </w:r>
      <w:r>
        <w:rPr>
          <w:spacing w:val="-9"/>
          <w:sz w:val="20"/>
        </w:rPr>
        <w:t> </w:t>
      </w:r>
      <w:r>
        <w:rPr>
          <w:sz w:val="20"/>
        </w:rPr>
        <w:t>homologized,</w:t>
      </w:r>
      <w:r>
        <w:rPr>
          <w:spacing w:val="-7"/>
          <w:sz w:val="20"/>
        </w:rPr>
        <w:t> </w:t>
      </w:r>
      <w:r>
        <w:rPr>
          <w:sz w:val="20"/>
        </w:rPr>
        <w:t>one</w:t>
      </w:r>
      <w:r>
        <w:rPr>
          <w:spacing w:val="-8"/>
          <w:sz w:val="20"/>
        </w:rPr>
        <w:t> </w:t>
      </w:r>
      <w:r>
        <w:rPr>
          <w:sz w:val="20"/>
        </w:rPr>
        <w:t>taking</w:t>
      </w:r>
      <w:r>
        <w:rPr>
          <w:spacing w:val="-9"/>
          <w:sz w:val="20"/>
        </w:rPr>
        <w:t> </w:t>
      </w:r>
      <w:r>
        <w:rPr>
          <w:sz w:val="20"/>
        </w:rPr>
        <w:t>responsibility for assessments, safety and security of both staff and witnesses while the other focuses on establishing and supporting a greater field presence. The FOU Operations Risk and Field Officers will be individually assigned to specific situations and embedded with the unified teams, in order to facilitate the best service for the teams. Most of these officers are current OTP</w:t>
      </w:r>
      <w:r>
        <w:rPr>
          <w:spacing w:val="-2"/>
          <w:sz w:val="20"/>
        </w:rPr>
        <w:t> </w:t>
      </w:r>
      <w:r>
        <w:rPr>
          <w:sz w:val="20"/>
        </w:rPr>
        <w:t>staff, while the Office is</w:t>
      </w:r>
      <w:r>
        <w:rPr>
          <w:spacing w:val="-2"/>
          <w:sz w:val="20"/>
        </w:rPr>
        <w:t> </w:t>
      </w:r>
      <w:r>
        <w:rPr>
          <w:sz w:val="20"/>
        </w:rPr>
        <w:t>requesting</w:t>
      </w:r>
      <w:r>
        <w:rPr>
          <w:spacing w:val="-1"/>
          <w:sz w:val="20"/>
        </w:rPr>
        <w:t> </w:t>
      </w:r>
      <w:r>
        <w:rPr>
          <w:sz w:val="20"/>
        </w:rPr>
        <w:t>one additional post</w:t>
      </w:r>
      <w:r>
        <w:rPr>
          <w:spacing w:val="-4"/>
          <w:sz w:val="20"/>
        </w:rPr>
        <w:t> </w:t>
      </w:r>
      <w:r>
        <w:rPr>
          <w:sz w:val="20"/>
        </w:rPr>
        <w:t>to</w:t>
      </w:r>
      <w:r>
        <w:rPr>
          <w:spacing w:val="-1"/>
          <w:sz w:val="20"/>
        </w:rPr>
        <w:t> </w:t>
      </w:r>
      <w:r>
        <w:rPr>
          <w:sz w:val="20"/>
        </w:rPr>
        <w:t>address</w:t>
      </w:r>
      <w:r>
        <w:rPr>
          <w:spacing w:val="-2"/>
          <w:sz w:val="20"/>
        </w:rPr>
        <w:t> </w:t>
      </w:r>
      <w:r>
        <w:rPr>
          <w:sz w:val="20"/>
        </w:rPr>
        <w:t>growing</w:t>
      </w:r>
      <w:r>
        <w:rPr>
          <w:spacing w:val="-1"/>
          <w:sz w:val="20"/>
        </w:rPr>
        <w:t> </w:t>
      </w:r>
      <w:r>
        <w:rPr>
          <w:sz w:val="20"/>
        </w:rPr>
        <w:t>operational </w:t>
      </w:r>
      <w:r>
        <w:rPr>
          <w:spacing w:val="-2"/>
          <w:sz w:val="20"/>
        </w:rPr>
        <w:t>needs.</w:t>
      </w:r>
    </w:p>
    <w:p>
      <w:pPr>
        <w:pStyle w:val="ListParagraph"/>
        <w:numPr>
          <w:ilvl w:val="0"/>
          <w:numId w:val="4"/>
        </w:numPr>
        <w:tabs>
          <w:tab w:pos="2967" w:val="left" w:leader="none"/>
        </w:tabs>
        <w:spacing w:line="240" w:lineRule="auto" w:before="119" w:after="0"/>
        <w:ind w:left="2246" w:right="2242" w:firstLine="0"/>
        <w:jc w:val="both"/>
        <w:rPr>
          <w:sz w:val="20"/>
        </w:rPr>
      </w:pPr>
      <w:r>
        <w:rPr>
          <w:sz w:val="20"/>
        </w:rPr>
        <w:t>In addition to the substantive support staffing in the Unified Teams, the enhancement of field presence also requires the allocation of appropriate resources with respect to the support for field operations, mission support and security arrangements.</w:t>
      </w:r>
    </w:p>
    <w:p>
      <w:pPr>
        <w:pStyle w:val="ListParagraph"/>
        <w:numPr>
          <w:ilvl w:val="0"/>
          <w:numId w:val="4"/>
        </w:numPr>
        <w:tabs>
          <w:tab w:pos="2967" w:val="left" w:leader="none"/>
        </w:tabs>
        <w:spacing w:line="240" w:lineRule="auto" w:before="121" w:after="0"/>
        <w:ind w:left="2246" w:right="2244" w:firstLine="0"/>
        <w:jc w:val="both"/>
        <w:rPr>
          <w:sz w:val="20"/>
        </w:rPr>
      </w:pPr>
      <w:r>
        <w:rPr>
          <w:sz w:val="20"/>
        </w:rPr>
        <w:t>Reflecting</w:t>
      </w:r>
      <w:r>
        <w:rPr>
          <w:spacing w:val="-10"/>
          <w:sz w:val="20"/>
        </w:rPr>
        <w:t> </w:t>
      </w:r>
      <w:r>
        <w:rPr>
          <w:sz w:val="20"/>
        </w:rPr>
        <w:t>this,</w:t>
      </w:r>
      <w:r>
        <w:rPr>
          <w:spacing w:val="-8"/>
          <w:sz w:val="20"/>
        </w:rPr>
        <w:t> </w:t>
      </w:r>
      <w:r>
        <w:rPr>
          <w:sz w:val="20"/>
        </w:rPr>
        <w:t>staffing</w:t>
      </w:r>
      <w:r>
        <w:rPr>
          <w:spacing w:val="-6"/>
          <w:sz w:val="20"/>
        </w:rPr>
        <w:t> </w:t>
      </w:r>
      <w:r>
        <w:rPr>
          <w:sz w:val="20"/>
        </w:rPr>
        <w:t>resources</w:t>
      </w:r>
      <w:r>
        <w:rPr>
          <w:spacing w:val="-11"/>
          <w:sz w:val="20"/>
        </w:rPr>
        <w:t> </w:t>
      </w:r>
      <w:r>
        <w:rPr>
          <w:sz w:val="20"/>
        </w:rPr>
        <w:t>have</w:t>
      </w:r>
      <w:r>
        <w:rPr>
          <w:spacing w:val="-4"/>
          <w:sz w:val="20"/>
        </w:rPr>
        <w:t> </w:t>
      </w:r>
      <w:r>
        <w:rPr>
          <w:sz w:val="20"/>
        </w:rPr>
        <w:t>been</w:t>
      </w:r>
      <w:r>
        <w:rPr>
          <w:spacing w:val="-10"/>
          <w:sz w:val="20"/>
        </w:rPr>
        <w:t> </w:t>
      </w:r>
      <w:r>
        <w:rPr>
          <w:sz w:val="20"/>
        </w:rPr>
        <w:t>allocated</w:t>
      </w:r>
      <w:r>
        <w:rPr>
          <w:spacing w:val="-6"/>
          <w:sz w:val="20"/>
        </w:rPr>
        <w:t> </w:t>
      </w:r>
      <w:r>
        <w:rPr>
          <w:sz w:val="20"/>
        </w:rPr>
        <w:t>by</w:t>
      </w:r>
      <w:r>
        <w:rPr>
          <w:spacing w:val="-6"/>
          <w:sz w:val="20"/>
        </w:rPr>
        <w:t> </w:t>
      </w:r>
      <w:r>
        <w:rPr>
          <w:sz w:val="20"/>
        </w:rPr>
        <w:t>Registry</w:t>
      </w:r>
      <w:r>
        <w:rPr>
          <w:spacing w:val="-10"/>
          <w:sz w:val="20"/>
        </w:rPr>
        <w:t> </w:t>
      </w:r>
      <w:r>
        <w:rPr>
          <w:sz w:val="20"/>
        </w:rPr>
        <w:t>and</w:t>
      </w:r>
      <w:r>
        <w:rPr>
          <w:spacing w:val="-10"/>
          <w:sz w:val="20"/>
        </w:rPr>
        <w:t> </w:t>
      </w:r>
      <w:r>
        <w:rPr>
          <w:sz w:val="20"/>
        </w:rPr>
        <w:t>the</w:t>
      </w:r>
      <w:r>
        <w:rPr>
          <w:spacing w:val="-4"/>
          <w:sz w:val="20"/>
        </w:rPr>
        <w:t> </w:t>
      </w:r>
      <w:r>
        <w:rPr>
          <w:sz w:val="20"/>
        </w:rPr>
        <w:t>Office</w:t>
      </w:r>
      <w:r>
        <w:rPr>
          <w:spacing w:val="-9"/>
          <w:sz w:val="20"/>
        </w:rPr>
        <w:t> </w:t>
      </w:r>
      <w:r>
        <w:rPr>
          <w:sz w:val="20"/>
        </w:rPr>
        <w:t>of the Prosecutor in order to be able to effectively provide such support in relation to the situations outlined above. An overview of this staffing is provided below.</w:t>
      </w:r>
    </w:p>
    <w:p>
      <w:pPr>
        <w:pStyle w:val="ListParagraph"/>
        <w:numPr>
          <w:ilvl w:val="0"/>
          <w:numId w:val="4"/>
        </w:numPr>
        <w:tabs>
          <w:tab w:pos="2967" w:val="left" w:leader="none"/>
        </w:tabs>
        <w:spacing w:line="240" w:lineRule="auto" w:before="122" w:after="0"/>
        <w:ind w:left="2246" w:right="2242" w:firstLine="0"/>
        <w:jc w:val="both"/>
        <w:rPr>
          <w:sz w:val="20"/>
        </w:rPr>
      </w:pPr>
      <w:r>
        <w:rPr>
          <w:sz w:val="20"/>
        </w:rPr>
        <w:t>With respect to the situation in Ukraine, both Registry and the Office of the Prosecutor have incorporated resources for operations, security, witness protection/support and broader field support. Specifically, the Registry has allocated a Field Security Officer (P-3), an Associate Field Security Officer (P-3), an Administration and Operations Officer (NO-C) and an Administrative Assistant (G5). The Victims and Witnesses Section of the Registry will also deploy a VWS standard situation team to Ukraine comprising one Associate</w:t>
      </w:r>
      <w:r>
        <w:rPr>
          <w:spacing w:val="-13"/>
          <w:sz w:val="20"/>
        </w:rPr>
        <w:t> </w:t>
      </w:r>
      <w:r>
        <w:rPr>
          <w:sz w:val="20"/>
        </w:rPr>
        <w:t>Team</w:t>
      </w:r>
      <w:r>
        <w:rPr>
          <w:spacing w:val="-12"/>
          <w:sz w:val="20"/>
        </w:rPr>
        <w:t> </w:t>
      </w:r>
      <w:r>
        <w:rPr>
          <w:sz w:val="20"/>
        </w:rPr>
        <w:t>Leader</w:t>
      </w:r>
      <w:r>
        <w:rPr>
          <w:spacing w:val="-10"/>
          <w:sz w:val="20"/>
        </w:rPr>
        <w:t> </w:t>
      </w:r>
      <w:r>
        <w:rPr>
          <w:sz w:val="20"/>
        </w:rPr>
        <w:t>(P-2),</w:t>
      </w:r>
      <w:r>
        <w:rPr>
          <w:spacing w:val="-12"/>
          <w:sz w:val="20"/>
        </w:rPr>
        <w:t> </w:t>
      </w:r>
      <w:r>
        <w:rPr>
          <w:sz w:val="20"/>
        </w:rPr>
        <w:t>one</w:t>
      </w:r>
      <w:r>
        <w:rPr>
          <w:spacing w:val="-8"/>
          <w:sz w:val="20"/>
        </w:rPr>
        <w:t> </w:t>
      </w:r>
      <w:r>
        <w:rPr>
          <w:sz w:val="20"/>
        </w:rPr>
        <w:t>Associate</w:t>
      </w:r>
      <w:r>
        <w:rPr>
          <w:spacing w:val="-12"/>
          <w:sz w:val="20"/>
        </w:rPr>
        <w:t> </w:t>
      </w:r>
      <w:r>
        <w:rPr>
          <w:sz w:val="20"/>
        </w:rPr>
        <w:t>Field</w:t>
      </w:r>
      <w:r>
        <w:rPr>
          <w:spacing w:val="-9"/>
          <w:sz w:val="20"/>
        </w:rPr>
        <w:t> </w:t>
      </w:r>
      <w:r>
        <w:rPr>
          <w:sz w:val="20"/>
        </w:rPr>
        <w:t>Case</w:t>
      </w:r>
      <w:r>
        <w:rPr>
          <w:spacing w:val="-12"/>
          <w:sz w:val="20"/>
        </w:rPr>
        <w:t> </w:t>
      </w:r>
      <w:r>
        <w:rPr>
          <w:sz w:val="20"/>
        </w:rPr>
        <w:t>Officer</w:t>
      </w:r>
      <w:r>
        <w:rPr>
          <w:spacing w:val="-9"/>
          <w:sz w:val="20"/>
        </w:rPr>
        <w:t> </w:t>
      </w:r>
      <w:r>
        <w:rPr>
          <w:sz w:val="20"/>
        </w:rPr>
        <w:t>(P-2),</w:t>
      </w:r>
      <w:r>
        <w:rPr>
          <w:spacing w:val="-7"/>
          <w:sz w:val="20"/>
        </w:rPr>
        <w:t> </w:t>
      </w:r>
      <w:r>
        <w:rPr>
          <w:sz w:val="20"/>
        </w:rPr>
        <w:t>one</w:t>
      </w:r>
      <w:r>
        <w:rPr>
          <w:spacing w:val="-8"/>
          <w:sz w:val="20"/>
        </w:rPr>
        <w:t> </w:t>
      </w:r>
      <w:r>
        <w:rPr>
          <w:sz w:val="20"/>
        </w:rPr>
        <w:t>Associate</w:t>
      </w:r>
      <w:r>
        <w:rPr>
          <w:spacing w:val="-13"/>
          <w:sz w:val="20"/>
        </w:rPr>
        <w:t> </w:t>
      </w:r>
      <w:r>
        <w:rPr>
          <w:sz w:val="20"/>
        </w:rPr>
        <w:t>Welfare Officer (P-2) and two Field Case Management Assistants (GS-OL). The Country Office in Ukraine will be overseen by the Chief of Country Office who is based in Georgia and who will manage the Country Office in Georgia at the same time. Supplementing this, the OTP has allocated an Operations Risk and Field Officer (P-3), two Field Operations Assistants (GS-OL) and one Field Operations Coordinator (GS-OL).</w:t>
      </w:r>
    </w:p>
    <w:p>
      <w:pPr>
        <w:pStyle w:val="ListParagraph"/>
        <w:numPr>
          <w:ilvl w:val="0"/>
          <w:numId w:val="4"/>
        </w:numPr>
        <w:tabs>
          <w:tab w:pos="2967" w:val="left" w:leader="none"/>
        </w:tabs>
        <w:spacing w:line="240" w:lineRule="auto" w:before="120" w:after="0"/>
        <w:ind w:left="2246" w:right="2240" w:firstLine="0"/>
        <w:jc w:val="both"/>
        <w:rPr>
          <w:sz w:val="20"/>
        </w:rPr>
      </w:pPr>
      <w:r>
        <w:rPr>
          <w:sz w:val="20"/>
        </w:rPr>
        <w:t>With</w:t>
      </w:r>
      <w:r>
        <w:rPr>
          <w:spacing w:val="-13"/>
          <w:sz w:val="20"/>
        </w:rPr>
        <w:t> </w:t>
      </w:r>
      <w:r>
        <w:rPr>
          <w:sz w:val="20"/>
        </w:rPr>
        <w:t>respect</w:t>
      </w:r>
      <w:r>
        <w:rPr>
          <w:spacing w:val="-12"/>
          <w:sz w:val="20"/>
        </w:rPr>
        <w:t> </w:t>
      </w:r>
      <w:r>
        <w:rPr>
          <w:sz w:val="20"/>
        </w:rPr>
        <w:t>to</w:t>
      </w:r>
      <w:r>
        <w:rPr>
          <w:spacing w:val="-13"/>
          <w:sz w:val="20"/>
        </w:rPr>
        <w:t> </w:t>
      </w:r>
      <w:r>
        <w:rPr>
          <w:sz w:val="20"/>
        </w:rPr>
        <w:t>the</w:t>
      </w:r>
      <w:r>
        <w:rPr>
          <w:spacing w:val="-12"/>
          <w:sz w:val="20"/>
        </w:rPr>
        <w:t> </w:t>
      </w:r>
      <w:r>
        <w:rPr>
          <w:sz w:val="20"/>
        </w:rPr>
        <w:t>situation</w:t>
      </w:r>
      <w:r>
        <w:rPr>
          <w:spacing w:val="-13"/>
          <w:sz w:val="20"/>
        </w:rPr>
        <w:t> </w:t>
      </w:r>
      <w:r>
        <w:rPr>
          <w:sz w:val="20"/>
        </w:rPr>
        <w:t>in</w:t>
      </w:r>
      <w:r>
        <w:rPr>
          <w:spacing w:val="-12"/>
          <w:sz w:val="20"/>
        </w:rPr>
        <w:t> </w:t>
      </w:r>
      <w:r>
        <w:rPr>
          <w:sz w:val="20"/>
        </w:rPr>
        <w:t>Sudan,</w:t>
      </w:r>
      <w:r>
        <w:rPr>
          <w:spacing w:val="-13"/>
          <w:sz w:val="20"/>
        </w:rPr>
        <w:t> </w:t>
      </w:r>
      <w:r>
        <w:rPr>
          <w:sz w:val="20"/>
        </w:rPr>
        <w:t>both</w:t>
      </w:r>
      <w:r>
        <w:rPr>
          <w:spacing w:val="-12"/>
          <w:sz w:val="20"/>
        </w:rPr>
        <w:t> </w:t>
      </w:r>
      <w:r>
        <w:rPr>
          <w:sz w:val="20"/>
        </w:rPr>
        <w:t>Registry</w:t>
      </w:r>
      <w:r>
        <w:rPr>
          <w:spacing w:val="-13"/>
          <w:sz w:val="20"/>
        </w:rPr>
        <w:t> </w:t>
      </w:r>
      <w:r>
        <w:rPr>
          <w:sz w:val="20"/>
        </w:rPr>
        <w:t>and</w:t>
      </w:r>
      <w:r>
        <w:rPr>
          <w:spacing w:val="-12"/>
          <w:sz w:val="20"/>
        </w:rPr>
        <w:t> </w:t>
      </w:r>
      <w:r>
        <w:rPr>
          <w:sz w:val="20"/>
        </w:rPr>
        <w:t>the</w:t>
      </w:r>
      <w:r>
        <w:rPr>
          <w:spacing w:val="-13"/>
          <w:sz w:val="20"/>
        </w:rPr>
        <w:t> </w:t>
      </w:r>
      <w:r>
        <w:rPr>
          <w:sz w:val="20"/>
        </w:rPr>
        <w:t>Office</w:t>
      </w:r>
      <w:r>
        <w:rPr>
          <w:spacing w:val="-12"/>
          <w:sz w:val="20"/>
        </w:rPr>
        <w:t> </w:t>
      </w:r>
      <w:r>
        <w:rPr>
          <w:sz w:val="20"/>
        </w:rPr>
        <w:t>of</w:t>
      </w:r>
      <w:r>
        <w:rPr>
          <w:spacing w:val="-13"/>
          <w:sz w:val="20"/>
        </w:rPr>
        <w:t> </w:t>
      </w:r>
      <w:r>
        <w:rPr>
          <w:sz w:val="20"/>
        </w:rPr>
        <w:t>the</w:t>
      </w:r>
      <w:r>
        <w:rPr>
          <w:spacing w:val="-12"/>
          <w:sz w:val="20"/>
        </w:rPr>
        <w:t> </w:t>
      </w:r>
      <w:r>
        <w:rPr>
          <w:sz w:val="20"/>
        </w:rPr>
        <w:t>Prosecutor have</w:t>
      </w:r>
      <w:r>
        <w:rPr>
          <w:spacing w:val="-3"/>
          <w:sz w:val="20"/>
        </w:rPr>
        <w:t> </w:t>
      </w:r>
      <w:r>
        <w:rPr>
          <w:sz w:val="20"/>
        </w:rPr>
        <w:t>incorporated</w:t>
      </w:r>
      <w:r>
        <w:rPr>
          <w:spacing w:val="-5"/>
          <w:sz w:val="20"/>
        </w:rPr>
        <w:t> </w:t>
      </w:r>
      <w:r>
        <w:rPr>
          <w:sz w:val="20"/>
        </w:rPr>
        <w:t>resources</w:t>
      </w:r>
      <w:r>
        <w:rPr>
          <w:spacing w:val="-6"/>
          <w:sz w:val="20"/>
        </w:rPr>
        <w:t> </w:t>
      </w:r>
      <w:r>
        <w:rPr>
          <w:sz w:val="20"/>
        </w:rPr>
        <w:t>for operations,</w:t>
      </w:r>
      <w:r>
        <w:rPr>
          <w:spacing w:val="-2"/>
          <w:sz w:val="20"/>
        </w:rPr>
        <w:t> </w:t>
      </w:r>
      <w:r>
        <w:rPr>
          <w:sz w:val="20"/>
        </w:rPr>
        <w:t>security,</w:t>
      </w:r>
      <w:r>
        <w:rPr>
          <w:spacing w:val="-2"/>
          <w:sz w:val="20"/>
        </w:rPr>
        <w:t> </w:t>
      </w:r>
      <w:r>
        <w:rPr>
          <w:sz w:val="20"/>
        </w:rPr>
        <w:t>witness</w:t>
      </w:r>
      <w:r>
        <w:rPr>
          <w:spacing w:val="-6"/>
          <w:sz w:val="20"/>
        </w:rPr>
        <w:t> </w:t>
      </w:r>
      <w:r>
        <w:rPr>
          <w:sz w:val="20"/>
        </w:rPr>
        <w:t>protection/support and broader field</w:t>
      </w:r>
      <w:r>
        <w:rPr>
          <w:spacing w:val="-10"/>
          <w:sz w:val="20"/>
        </w:rPr>
        <w:t> </w:t>
      </w:r>
      <w:r>
        <w:rPr>
          <w:sz w:val="20"/>
        </w:rPr>
        <w:t>support.</w:t>
      </w:r>
      <w:r>
        <w:rPr>
          <w:spacing w:val="-7"/>
          <w:sz w:val="20"/>
        </w:rPr>
        <w:t> </w:t>
      </w:r>
      <w:r>
        <w:rPr>
          <w:sz w:val="20"/>
        </w:rPr>
        <w:t>Specifically,</w:t>
      </w:r>
      <w:r>
        <w:rPr>
          <w:spacing w:val="-7"/>
          <w:sz w:val="20"/>
        </w:rPr>
        <w:t> </w:t>
      </w:r>
      <w:r>
        <w:rPr>
          <w:sz w:val="20"/>
        </w:rPr>
        <w:t>the</w:t>
      </w:r>
      <w:r>
        <w:rPr>
          <w:spacing w:val="-8"/>
          <w:sz w:val="20"/>
        </w:rPr>
        <w:t> </w:t>
      </w:r>
      <w:r>
        <w:rPr>
          <w:sz w:val="20"/>
        </w:rPr>
        <w:t>Registry</w:t>
      </w:r>
      <w:r>
        <w:rPr>
          <w:spacing w:val="-13"/>
          <w:sz w:val="20"/>
        </w:rPr>
        <w:t> </w:t>
      </w:r>
      <w:r>
        <w:rPr>
          <w:sz w:val="20"/>
        </w:rPr>
        <w:t>has</w:t>
      </w:r>
      <w:r>
        <w:rPr>
          <w:spacing w:val="-10"/>
          <w:sz w:val="20"/>
        </w:rPr>
        <w:t> </w:t>
      </w:r>
      <w:r>
        <w:rPr>
          <w:sz w:val="20"/>
        </w:rPr>
        <w:t>allocated</w:t>
      </w:r>
      <w:r>
        <w:rPr>
          <w:spacing w:val="-13"/>
          <w:sz w:val="20"/>
        </w:rPr>
        <w:t> </w:t>
      </w:r>
      <w:r>
        <w:rPr>
          <w:sz w:val="20"/>
        </w:rPr>
        <w:t>a</w:t>
      </w:r>
      <w:r>
        <w:rPr>
          <w:spacing w:val="-7"/>
          <w:sz w:val="20"/>
        </w:rPr>
        <w:t> </w:t>
      </w:r>
      <w:r>
        <w:rPr>
          <w:sz w:val="20"/>
        </w:rPr>
        <w:t>Chief</w:t>
      </w:r>
      <w:r>
        <w:rPr>
          <w:spacing w:val="-13"/>
          <w:sz w:val="20"/>
        </w:rPr>
        <w:t> </w:t>
      </w:r>
      <w:r>
        <w:rPr>
          <w:sz w:val="20"/>
        </w:rPr>
        <w:t>of</w:t>
      </w:r>
      <w:r>
        <w:rPr>
          <w:spacing w:val="-4"/>
          <w:sz w:val="20"/>
        </w:rPr>
        <w:t> </w:t>
      </w:r>
      <w:r>
        <w:rPr>
          <w:sz w:val="20"/>
        </w:rPr>
        <w:t>Country</w:t>
      </w:r>
      <w:r>
        <w:rPr>
          <w:spacing w:val="-9"/>
          <w:sz w:val="20"/>
        </w:rPr>
        <w:t> </w:t>
      </w:r>
      <w:r>
        <w:rPr>
          <w:sz w:val="20"/>
        </w:rPr>
        <w:t>Office</w:t>
      </w:r>
      <w:r>
        <w:rPr>
          <w:spacing w:val="-8"/>
          <w:sz w:val="20"/>
        </w:rPr>
        <w:t> </w:t>
      </w:r>
      <w:r>
        <w:rPr>
          <w:sz w:val="20"/>
        </w:rPr>
        <w:t>(P-5),</w:t>
      </w:r>
      <w:r>
        <w:rPr>
          <w:spacing w:val="-7"/>
          <w:sz w:val="20"/>
        </w:rPr>
        <w:t> </w:t>
      </w:r>
      <w:r>
        <w:rPr>
          <w:sz w:val="20"/>
        </w:rPr>
        <w:t>a</w:t>
      </w:r>
      <w:r>
        <w:rPr>
          <w:spacing w:val="-8"/>
          <w:sz w:val="20"/>
        </w:rPr>
        <w:t> </w:t>
      </w:r>
      <w:r>
        <w:rPr>
          <w:sz w:val="20"/>
        </w:rPr>
        <w:t>Field</w:t>
      </w:r>
    </w:p>
    <w:p>
      <w:pPr>
        <w:pStyle w:val="BodyText"/>
        <w:spacing w:before="7"/>
        <w:rPr>
          <w:sz w:val="15"/>
        </w:rPr>
      </w:pPr>
      <w:r>
        <w:rPr/>
        <w:pict>
          <v:rect style="position:absolute;margin-left:113.330002pt;margin-top:10.175696pt;width:144.050pt;height:.48004pt;mso-position-horizontal-relative:page;mso-position-vertical-relative:paragraph;z-index:-15697408;mso-wrap-distance-left:0;mso-wrap-distance-right:0" id="docshape170" filled="true" fillcolor="#000000" stroked="false">
            <v:fill type="solid"/>
            <w10:wrap type="topAndBottom"/>
          </v:rect>
        </w:pict>
      </w:r>
    </w:p>
    <w:p>
      <w:pPr>
        <w:spacing w:line="183" w:lineRule="exact" w:before="86"/>
        <w:ind w:left="2246" w:right="0" w:firstLine="0"/>
        <w:jc w:val="left"/>
        <w:rPr>
          <w:i/>
          <w:sz w:val="16"/>
        </w:rPr>
      </w:pPr>
      <w:r>
        <w:rPr>
          <w:position w:val="5"/>
          <w:sz w:val="10"/>
        </w:rPr>
        <w:t>85</w:t>
      </w:r>
      <w:r>
        <w:rPr>
          <w:spacing w:val="13"/>
          <w:position w:val="5"/>
          <w:sz w:val="10"/>
        </w:rPr>
        <w:t> </w:t>
      </w:r>
      <w:r>
        <w:rPr>
          <w:sz w:val="16"/>
        </w:rPr>
        <w:t>See</w:t>
      </w:r>
      <w:r>
        <w:rPr>
          <w:spacing w:val="-2"/>
          <w:sz w:val="16"/>
        </w:rPr>
        <w:t> </w:t>
      </w:r>
      <w:r>
        <w:rPr>
          <w:i/>
          <w:sz w:val="16"/>
        </w:rPr>
        <w:t>Independent</w:t>
      </w:r>
      <w:r>
        <w:rPr>
          <w:i/>
          <w:spacing w:val="-5"/>
          <w:sz w:val="16"/>
        </w:rPr>
        <w:t> </w:t>
      </w:r>
      <w:r>
        <w:rPr>
          <w:i/>
          <w:sz w:val="16"/>
        </w:rPr>
        <w:t>Expert</w:t>
      </w:r>
      <w:r>
        <w:rPr>
          <w:i/>
          <w:spacing w:val="-5"/>
          <w:sz w:val="16"/>
        </w:rPr>
        <w:t> </w:t>
      </w:r>
      <w:r>
        <w:rPr>
          <w:i/>
          <w:sz w:val="16"/>
        </w:rPr>
        <w:t>Review</w:t>
      </w:r>
      <w:r>
        <w:rPr>
          <w:i/>
          <w:spacing w:val="-4"/>
          <w:sz w:val="16"/>
        </w:rPr>
        <w:t> </w:t>
      </w:r>
      <w:r>
        <w:rPr>
          <w:i/>
          <w:sz w:val="16"/>
        </w:rPr>
        <w:t>of</w:t>
      </w:r>
      <w:r>
        <w:rPr>
          <w:i/>
          <w:spacing w:val="-5"/>
          <w:sz w:val="16"/>
        </w:rPr>
        <w:t> </w:t>
      </w:r>
      <w:r>
        <w:rPr>
          <w:i/>
          <w:sz w:val="16"/>
        </w:rPr>
        <w:t>the</w:t>
      </w:r>
      <w:r>
        <w:rPr>
          <w:i/>
          <w:spacing w:val="-3"/>
          <w:sz w:val="16"/>
        </w:rPr>
        <w:t> </w:t>
      </w:r>
      <w:r>
        <w:rPr>
          <w:i/>
          <w:sz w:val="16"/>
        </w:rPr>
        <w:t>International</w:t>
      </w:r>
      <w:r>
        <w:rPr>
          <w:i/>
          <w:spacing w:val="-4"/>
          <w:sz w:val="16"/>
        </w:rPr>
        <w:t> </w:t>
      </w:r>
      <w:r>
        <w:rPr>
          <w:i/>
          <w:sz w:val="16"/>
        </w:rPr>
        <w:t>Criminal</w:t>
      </w:r>
      <w:r>
        <w:rPr>
          <w:i/>
          <w:spacing w:val="-5"/>
          <w:sz w:val="16"/>
        </w:rPr>
        <w:t> </w:t>
      </w:r>
      <w:r>
        <w:rPr>
          <w:i/>
          <w:sz w:val="16"/>
        </w:rPr>
        <w:t>Court</w:t>
      </w:r>
      <w:r>
        <w:rPr>
          <w:i/>
          <w:spacing w:val="-5"/>
          <w:sz w:val="16"/>
        </w:rPr>
        <w:t> </w:t>
      </w:r>
      <w:r>
        <w:rPr>
          <w:i/>
          <w:sz w:val="16"/>
        </w:rPr>
        <w:t>and</w:t>
      </w:r>
      <w:r>
        <w:rPr>
          <w:i/>
          <w:spacing w:val="-2"/>
          <w:sz w:val="16"/>
        </w:rPr>
        <w:t> </w:t>
      </w:r>
      <w:r>
        <w:rPr>
          <w:i/>
          <w:sz w:val="16"/>
        </w:rPr>
        <w:t>the</w:t>
      </w:r>
      <w:r>
        <w:rPr>
          <w:i/>
          <w:spacing w:val="-3"/>
          <w:sz w:val="16"/>
        </w:rPr>
        <w:t> </w:t>
      </w:r>
      <w:r>
        <w:rPr>
          <w:i/>
          <w:sz w:val="16"/>
        </w:rPr>
        <w:t>Rome</w:t>
      </w:r>
      <w:r>
        <w:rPr>
          <w:i/>
          <w:spacing w:val="-3"/>
          <w:sz w:val="16"/>
        </w:rPr>
        <w:t> </w:t>
      </w:r>
      <w:r>
        <w:rPr>
          <w:i/>
          <w:sz w:val="16"/>
        </w:rPr>
        <w:t>Statute</w:t>
      </w:r>
      <w:r>
        <w:rPr>
          <w:i/>
          <w:spacing w:val="-3"/>
          <w:sz w:val="16"/>
        </w:rPr>
        <w:t> </w:t>
      </w:r>
      <w:r>
        <w:rPr>
          <w:i/>
          <w:sz w:val="16"/>
        </w:rPr>
        <w:t>System</w:t>
      </w:r>
      <w:r>
        <w:rPr>
          <w:i/>
          <w:spacing w:val="7"/>
          <w:sz w:val="16"/>
        </w:rPr>
        <w:t> </w:t>
      </w:r>
      <w:r>
        <w:rPr>
          <w:i/>
          <w:sz w:val="16"/>
        </w:rPr>
        <w:t>-</w:t>
      </w:r>
      <w:r>
        <w:rPr>
          <w:i/>
          <w:spacing w:val="-4"/>
          <w:sz w:val="16"/>
        </w:rPr>
        <w:t> </w:t>
      </w:r>
      <w:r>
        <w:rPr>
          <w:i/>
          <w:sz w:val="16"/>
        </w:rPr>
        <w:t>Final </w:t>
      </w:r>
      <w:r>
        <w:rPr>
          <w:i/>
          <w:spacing w:val="-2"/>
          <w:sz w:val="16"/>
        </w:rPr>
        <w:t>Report,</w:t>
      </w:r>
    </w:p>
    <w:p>
      <w:pPr>
        <w:spacing w:line="183" w:lineRule="exact" w:before="0"/>
        <w:ind w:left="2246" w:right="0" w:firstLine="0"/>
        <w:jc w:val="left"/>
        <w:rPr>
          <w:sz w:val="16"/>
        </w:rPr>
      </w:pPr>
      <w:r>
        <w:rPr>
          <w:sz w:val="16"/>
        </w:rPr>
        <w:t>30</w:t>
      </w:r>
      <w:r>
        <w:rPr>
          <w:spacing w:val="-1"/>
          <w:sz w:val="16"/>
        </w:rPr>
        <w:t> </w:t>
      </w:r>
      <w:r>
        <w:rPr>
          <w:sz w:val="16"/>
        </w:rPr>
        <w:t>September</w:t>
      </w:r>
      <w:r>
        <w:rPr>
          <w:spacing w:val="-3"/>
          <w:sz w:val="16"/>
        </w:rPr>
        <w:t> </w:t>
      </w:r>
      <w:r>
        <w:rPr>
          <w:sz w:val="16"/>
        </w:rPr>
        <w:t>2020,</w:t>
      </w:r>
      <w:r>
        <w:rPr>
          <w:spacing w:val="-4"/>
          <w:sz w:val="16"/>
        </w:rPr>
        <w:t> </w:t>
      </w:r>
      <w:r>
        <w:rPr>
          <w:sz w:val="16"/>
        </w:rPr>
        <w:t>para.</w:t>
      </w:r>
      <w:r>
        <w:rPr>
          <w:spacing w:val="-4"/>
          <w:sz w:val="16"/>
        </w:rPr>
        <w:t> </w:t>
      </w:r>
      <w:r>
        <w:rPr>
          <w:sz w:val="16"/>
        </w:rPr>
        <w:t>750 and</w:t>
      </w:r>
      <w:r>
        <w:rPr>
          <w:spacing w:val="-1"/>
          <w:sz w:val="16"/>
        </w:rPr>
        <w:t> </w:t>
      </w:r>
      <w:r>
        <w:rPr>
          <w:spacing w:val="-4"/>
          <w:sz w:val="16"/>
        </w:rPr>
        <w:t>R272.</w:t>
      </w:r>
    </w:p>
    <w:p>
      <w:pPr>
        <w:spacing w:after="0" w:line="183" w:lineRule="exact"/>
        <w:jc w:val="left"/>
        <w:rPr>
          <w:sz w:val="16"/>
        </w:rPr>
        <w:sectPr>
          <w:pgSz w:w="11910" w:h="16840"/>
          <w:pgMar w:header="957" w:footer="940" w:top="1140" w:bottom="1140" w:left="20" w:right="20"/>
        </w:sectPr>
      </w:pPr>
    </w:p>
    <w:p>
      <w:pPr>
        <w:pStyle w:val="BodyText"/>
        <w:spacing w:before="124"/>
        <w:ind w:left="2246" w:right="2236"/>
        <w:jc w:val="both"/>
      </w:pPr>
      <w:r>
        <w:rPr/>
        <w:t>Security</w:t>
      </w:r>
      <w:r>
        <w:rPr>
          <w:spacing w:val="-13"/>
        </w:rPr>
        <w:t> </w:t>
      </w:r>
      <w:r>
        <w:rPr/>
        <w:t>Officer</w:t>
      </w:r>
      <w:r>
        <w:rPr>
          <w:spacing w:val="-12"/>
        </w:rPr>
        <w:t> </w:t>
      </w:r>
      <w:r>
        <w:rPr/>
        <w:t>(P-3),</w:t>
      </w:r>
      <w:r>
        <w:rPr>
          <w:spacing w:val="-13"/>
        </w:rPr>
        <w:t> </w:t>
      </w:r>
      <w:r>
        <w:rPr/>
        <w:t>an</w:t>
      </w:r>
      <w:r>
        <w:rPr>
          <w:spacing w:val="-12"/>
        </w:rPr>
        <w:t> </w:t>
      </w:r>
      <w:r>
        <w:rPr/>
        <w:t>Administration</w:t>
      </w:r>
      <w:r>
        <w:rPr>
          <w:spacing w:val="-13"/>
        </w:rPr>
        <w:t> </w:t>
      </w:r>
      <w:r>
        <w:rPr/>
        <w:t>and</w:t>
      </w:r>
      <w:r>
        <w:rPr>
          <w:spacing w:val="-12"/>
        </w:rPr>
        <w:t> </w:t>
      </w:r>
      <w:r>
        <w:rPr/>
        <w:t>Operations</w:t>
      </w:r>
      <w:r>
        <w:rPr>
          <w:spacing w:val="-13"/>
        </w:rPr>
        <w:t> </w:t>
      </w:r>
      <w:r>
        <w:rPr/>
        <w:t>Officer</w:t>
      </w:r>
      <w:r>
        <w:rPr>
          <w:spacing w:val="-12"/>
        </w:rPr>
        <w:t> </w:t>
      </w:r>
      <w:r>
        <w:rPr/>
        <w:t>(P-3)</w:t>
      </w:r>
      <w:r>
        <w:rPr>
          <w:spacing w:val="-13"/>
        </w:rPr>
        <w:t> </w:t>
      </w:r>
      <w:r>
        <w:rPr/>
        <w:t>and</w:t>
      </w:r>
      <w:r>
        <w:rPr>
          <w:spacing w:val="-12"/>
        </w:rPr>
        <w:t> </w:t>
      </w:r>
      <w:r>
        <w:rPr/>
        <w:t>an</w:t>
      </w:r>
      <w:r>
        <w:rPr>
          <w:spacing w:val="-13"/>
        </w:rPr>
        <w:t> </w:t>
      </w:r>
      <w:r>
        <w:rPr/>
        <w:t>Administrative Assistant</w:t>
      </w:r>
      <w:r>
        <w:rPr>
          <w:spacing w:val="-2"/>
        </w:rPr>
        <w:t> </w:t>
      </w:r>
      <w:r>
        <w:rPr/>
        <w:t>(G-5).</w:t>
      </w:r>
      <w:r>
        <w:rPr>
          <w:spacing w:val="-1"/>
        </w:rPr>
        <w:t> </w:t>
      </w:r>
      <w:r>
        <w:rPr/>
        <w:t>The Victims</w:t>
      </w:r>
      <w:r>
        <w:rPr>
          <w:spacing w:val="-5"/>
        </w:rPr>
        <w:t> </w:t>
      </w:r>
      <w:r>
        <w:rPr/>
        <w:t>and</w:t>
      </w:r>
      <w:r>
        <w:rPr>
          <w:spacing w:val="-4"/>
        </w:rPr>
        <w:t> </w:t>
      </w:r>
      <w:r>
        <w:rPr/>
        <w:t>Witnesses Section</w:t>
      </w:r>
      <w:r>
        <w:rPr>
          <w:spacing w:val="-4"/>
        </w:rPr>
        <w:t> </w:t>
      </w:r>
      <w:r>
        <w:rPr/>
        <w:t>of</w:t>
      </w:r>
      <w:r>
        <w:rPr>
          <w:spacing w:val="-4"/>
        </w:rPr>
        <w:t> </w:t>
      </w:r>
      <w:r>
        <w:rPr/>
        <w:t>the</w:t>
      </w:r>
      <w:r>
        <w:rPr>
          <w:spacing w:val="-2"/>
        </w:rPr>
        <w:t> </w:t>
      </w:r>
      <w:r>
        <w:rPr/>
        <w:t>Registry will</w:t>
      </w:r>
      <w:r>
        <w:rPr>
          <w:spacing w:val="-7"/>
        </w:rPr>
        <w:t> </w:t>
      </w:r>
      <w:r>
        <w:rPr/>
        <w:t>also</w:t>
      </w:r>
      <w:r>
        <w:rPr>
          <w:spacing w:val="-4"/>
        </w:rPr>
        <w:t> </w:t>
      </w:r>
      <w:r>
        <w:rPr/>
        <w:t>deploy</w:t>
      </w:r>
      <w:r>
        <w:rPr>
          <w:spacing w:val="-4"/>
        </w:rPr>
        <w:t> </w:t>
      </w:r>
      <w:r>
        <w:rPr/>
        <w:t>a</w:t>
      </w:r>
      <w:r>
        <w:rPr>
          <w:spacing w:val="-2"/>
        </w:rPr>
        <w:t> </w:t>
      </w:r>
      <w:r>
        <w:rPr/>
        <w:t>VWS standard</w:t>
      </w:r>
      <w:r>
        <w:rPr>
          <w:spacing w:val="-13"/>
        </w:rPr>
        <w:t> </w:t>
      </w:r>
      <w:r>
        <w:rPr/>
        <w:t>situation</w:t>
      </w:r>
      <w:r>
        <w:rPr>
          <w:spacing w:val="-12"/>
        </w:rPr>
        <w:t> </w:t>
      </w:r>
      <w:r>
        <w:rPr/>
        <w:t>team</w:t>
      </w:r>
      <w:r>
        <w:rPr>
          <w:spacing w:val="-13"/>
        </w:rPr>
        <w:t> </w:t>
      </w:r>
      <w:r>
        <w:rPr/>
        <w:t>to</w:t>
      </w:r>
      <w:r>
        <w:rPr>
          <w:spacing w:val="-12"/>
        </w:rPr>
        <w:t> </w:t>
      </w:r>
      <w:r>
        <w:rPr/>
        <w:t>Sudan</w:t>
      </w:r>
      <w:r>
        <w:rPr>
          <w:spacing w:val="-13"/>
        </w:rPr>
        <w:t> </w:t>
      </w:r>
      <w:r>
        <w:rPr/>
        <w:t>comprising</w:t>
      </w:r>
      <w:r>
        <w:rPr>
          <w:spacing w:val="-12"/>
        </w:rPr>
        <w:t> </w:t>
      </w:r>
      <w:r>
        <w:rPr/>
        <w:t>one</w:t>
      </w:r>
      <w:r>
        <w:rPr>
          <w:spacing w:val="-13"/>
        </w:rPr>
        <w:t> </w:t>
      </w:r>
      <w:r>
        <w:rPr/>
        <w:t>Associate</w:t>
      </w:r>
      <w:r>
        <w:rPr>
          <w:spacing w:val="-12"/>
        </w:rPr>
        <w:t> </w:t>
      </w:r>
      <w:r>
        <w:rPr/>
        <w:t>Team</w:t>
      </w:r>
      <w:r>
        <w:rPr>
          <w:spacing w:val="-13"/>
        </w:rPr>
        <w:t> </w:t>
      </w:r>
      <w:r>
        <w:rPr/>
        <w:t>Leader</w:t>
      </w:r>
      <w:r>
        <w:rPr>
          <w:spacing w:val="-12"/>
        </w:rPr>
        <w:t> </w:t>
      </w:r>
      <w:r>
        <w:rPr/>
        <w:t>(P-2),</w:t>
      </w:r>
      <w:r>
        <w:rPr>
          <w:spacing w:val="-13"/>
        </w:rPr>
        <w:t> </w:t>
      </w:r>
      <w:r>
        <w:rPr/>
        <w:t>one</w:t>
      </w:r>
      <w:r>
        <w:rPr>
          <w:spacing w:val="-12"/>
        </w:rPr>
        <w:t> </w:t>
      </w:r>
      <w:r>
        <w:rPr/>
        <w:t>Associate Field Case Officer (P-2), one Associate Welfare Officer (P-2) and two Field Case Management Assistants</w:t>
      </w:r>
      <w:r>
        <w:rPr>
          <w:spacing w:val="-1"/>
        </w:rPr>
        <w:t> </w:t>
      </w:r>
      <w:r>
        <w:rPr/>
        <w:t>(GS-OL). Supplementing</w:t>
      </w:r>
      <w:r>
        <w:rPr>
          <w:spacing w:val="-5"/>
        </w:rPr>
        <w:t> </w:t>
      </w:r>
      <w:r>
        <w:rPr/>
        <w:t>this,</w:t>
      </w:r>
      <w:r>
        <w:rPr>
          <w:spacing w:val="-2"/>
        </w:rPr>
        <w:t> </w:t>
      </w:r>
      <w:r>
        <w:rPr/>
        <w:t>the OTP</w:t>
      </w:r>
      <w:r>
        <w:rPr>
          <w:spacing w:val="-1"/>
        </w:rPr>
        <w:t> </w:t>
      </w:r>
      <w:r>
        <w:rPr/>
        <w:t>has</w:t>
      </w:r>
      <w:r>
        <w:rPr>
          <w:spacing w:val="-6"/>
        </w:rPr>
        <w:t> </w:t>
      </w:r>
      <w:r>
        <w:rPr/>
        <w:t>allocated</w:t>
      </w:r>
      <w:r>
        <w:rPr>
          <w:spacing w:val="-5"/>
        </w:rPr>
        <w:t> </w:t>
      </w:r>
      <w:r>
        <w:rPr/>
        <w:t>an Operations Risk</w:t>
      </w:r>
      <w:r>
        <w:rPr>
          <w:spacing w:val="-5"/>
        </w:rPr>
        <w:t> </w:t>
      </w:r>
      <w:r>
        <w:rPr/>
        <w:t>and Field Officer</w:t>
      </w:r>
      <w:r>
        <w:rPr>
          <w:spacing w:val="-5"/>
        </w:rPr>
        <w:t> </w:t>
      </w:r>
      <w:r>
        <w:rPr/>
        <w:t>(P-3),</w:t>
      </w:r>
      <w:r>
        <w:rPr>
          <w:spacing w:val="-2"/>
        </w:rPr>
        <w:t> </w:t>
      </w:r>
      <w:r>
        <w:rPr/>
        <w:t>and</w:t>
      </w:r>
      <w:r>
        <w:rPr>
          <w:spacing w:val="-5"/>
        </w:rPr>
        <w:t> </w:t>
      </w:r>
      <w:r>
        <w:rPr/>
        <w:t>a Field Operations</w:t>
      </w:r>
      <w:r>
        <w:rPr>
          <w:spacing w:val="-1"/>
        </w:rPr>
        <w:t> </w:t>
      </w:r>
      <w:r>
        <w:rPr/>
        <w:t>Coordinator/Field</w:t>
      </w:r>
      <w:r>
        <w:rPr>
          <w:spacing w:val="-5"/>
        </w:rPr>
        <w:t> </w:t>
      </w:r>
      <w:r>
        <w:rPr/>
        <w:t>Operations</w:t>
      </w:r>
      <w:r>
        <w:rPr>
          <w:spacing w:val="-1"/>
        </w:rPr>
        <w:t> </w:t>
      </w:r>
      <w:r>
        <w:rPr/>
        <w:t>Assistant </w:t>
      </w:r>
      <w:r>
        <w:rPr>
          <w:spacing w:val="-2"/>
        </w:rPr>
        <w:t>(GS-OL).</w:t>
      </w:r>
    </w:p>
    <w:p>
      <w:pPr>
        <w:pStyle w:val="ListParagraph"/>
        <w:numPr>
          <w:ilvl w:val="0"/>
          <w:numId w:val="4"/>
        </w:numPr>
        <w:tabs>
          <w:tab w:pos="2967" w:val="left" w:leader="none"/>
        </w:tabs>
        <w:spacing w:line="240" w:lineRule="auto" w:before="124" w:after="0"/>
        <w:ind w:left="2246" w:right="2241" w:firstLine="0"/>
        <w:jc w:val="both"/>
        <w:rPr>
          <w:sz w:val="20"/>
        </w:rPr>
      </w:pPr>
      <w:r>
        <w:rPr>
          <w:sz w:val="20"/>
        </w:rPr>
        <w:t>With respect to the situation in Bangladesh/Myanmar, reflecting the fact that it is anticipated</w:t>
      </w:r>
      <w:r>
        <w:rPr>
          <w:spacing w:val="-8"/>
          <w:sz w:val="20"/>
        </w:rPr>
        <w:t> </w:t>
      </w:r>
      <w:r>
        <w:rPr>
          <w:sz w:val="20"/>
        </w:rPr>
        <w:t>that</w:t>
      </w:r>
      <w:r>
        <w:rPr>
          <w:spacing w:val="-2"/>
          <w:sz w:val="20"/>
        </w:rPr>
        <w:t> </w:t>
      </w:r>
      <w:r>
        <w:rPr>
          <w:sz w:val="20"/>
        </w:rPr>
        <w:t>the</w:t>
      </w:r>
      <w:r>
        <w:rPr>
          <w:spacing w:val="-2"/>
          <w:sz w:val="20"/>
        </w:rPr>
        <w:t> </w:t>
      </w:r>
      <w:r>
        <w:rPr>
          <w:sz w:val="20"/>
        </w:rPr>
        <w:t>initial</w:t>
      </w:r>
      <w:r>
        <w:rPr>
          <w:spacing w:val="-2"/>
          <w:sz w:val="20"/>
        </w:rPr>
        <w:t> </w:t>
      </w:r>
      <w:r>
        <w:rPr>
          <w:sz w:val="20"/>
        </w:rPr>
        <w:t>field</w:t>
      </w:r>
      <w:r>
        <w:rPr>
          <w:spacing w:val="-4"/>
          <w:sz w:val="20"/>
        </w:rPr>
        <w:t> </w:t>
      </w:r>
      <w:r>
        <w:rPr>
          <w:sz w:val="20"/>
        </w:rPr>
        <w:t>presence</w:t>
      </w:r>
      <w:r>
        <w:rPr>
          <w:spacing w:val="-7"/>
          <w:sz w:val="20"/>
        </w:rPr>
        <w:t> </w:t>
      </w:r>
      <w:r>
        <w:rPr>
          <w:sz w:val="20"/>
        </w:rPr>
        <w:t>in</w:t>
      </w:r>
      <w:r>
        <w:rPr>
          <w:spacing w:val="-4"/>
          <w:sz w:val="20"/>
        </w:rPr>
        <w:t> </w:t>
      </w:r>
      <w:r>
        <w:rPr>
          <w:sz w:val="20"/>
        </w:rPr>
        <w:t>relation</w:t>
      </w:r>
      <w:r>
        <w:rPr>
          <w:spacing w:val="-4"/>
          <w:sz w:val="20"/>
        </w:rPr>
        <w:t> </w:t>
      </w:r>
      <w:r>
        <w:rPr>
          <w:sz w:val="20"/>
        </w:rPr>
        <w:t>to</w:t>
      </w:r>
      <w:r>
        <w:rPr>
          <w:spacing w:val="-8"/>
          <w:sz w:val="20"/>
        </w:rPr>
        <w:t> </w:t>
      </w:r>
      <w:r>
        <w:rPr>
          <w:sz w:val="20"/>
        </w:rPr>
        <w:t>this</w:t>
      </w:r>
      <w:r>
        <w:rPr>
          <w:spacing w:val="-5"/>
          <w:sz w:val="20"/>
        </w:rPr>
        <w:t> </w:t>
      </w:r>
      <w:r>
        <w:rPr>
          <w:sz w:val="20"/>
        </w:rPr>
        <w:t>situation</w:t>
      </w:r>
      <w:r>
        <w:rPr>
          <w:spacing w:val="-4"/>
          <w:sz w:val="20"/>
        </w:rPr>
        <w:t> </w:t>
      </w:r>
      <w:r>
        <w:rPr>
          <w:sz w:val="20"/>
        </w:rPr>
        <w:t>will</w:t>
      </w:r>
      <w:r>
        <w:rPr>
          <w:spacing w:val="-2"/>
          <w:sz w:val="20"/>
        </w:rPr>
        <w:t> </w:t>
      </w:r>
      <w:r>
        <w:rPr>
          <w:sz w:val="20"/>
        </w:rPr>
        <w:t>be</w:t>
      </w:r>
      <w:r>
        <w:rPr>
          <w:spacing w:val="-2"/>
          <w:sz w:val="20"/>
        </w:rPr>
        <w:t> </w:t>
      </w:r>
      <w:r>
        <w:rPr>
          <w:sz w:val="20"/>
        </w:rPr>
        <w:t>limited</w:t>
      </w:r>
      <w:r>
        <w:rPr>
          <w:spacing w:val="-4"/>
          <w:sz w:val="20"/>
        </w:rPr>
        <w:t> </w:t>
      </w:r>
      <w:r>
        <w:rPr>
          <w:sz w:val="20"/>
        </w:rPr>
        <w:t>to</w:t>
      </w:r>
      <w:r>
        <w:rPr>
          <w:spacing w:val="-4"/>
          <w:sz w:val="20"/>
        </w:rPr>
        <w:t> </w:t>
      </w:r>
      <w:r>
        <w:rPr>
          <w:sz w:val="20"/>
        </w:rPr>
        <w:t>staff</w:t>
      </w:r>
      <w:r>
        <w:rPr>
          <w:spacing w:val="-4"/>
          <w:sz w:val="20"/>
        </w:rPr>
        <w:t> </w:t>
      </w:r>
      <w:r>
        <w:rPr>
          <w:sz w:val="20"/>
        </w:rPr>
        <w:t>of the Office of the Prosecutor, the OTP has allocated an Operations Risk and Field Officer</w:t>
      </w:r>
      <w:r>
        <w:rPr>
          <w:spacing w:val="40"/>
          <w:sz w:val="20"/>
        </w:rPr>
        <w:t> </w:t>
      </w:r>
      <w:r>
        <w:rPr>
          <w:sz w:val="20"/>
        </w:rPr>
        <w:t>(P-3), a Field Operations Coordinator/Field Operations Assistant (GS-OL) and a Field Operations Coordinator/Field Operations Assistant (GS-OL). This is in addition to the OTP administrative support staff allocated to the field presence in this situation as outlined in section II of this Report.</w:t>
      </w:r>
    </w:p>
    <w:p>
      <w:pPr>
        <w:pStyle w:val="ListParagraph"/>
        <w:numPr>
          <w:ilvl w:val="0"/>
          <w:numId w:val="4"/>
        </w:numPr>
        <w:tabs>
          <w:tab w:pos="2967" w:val="left" w:leader="none"/>
        </w:tabs>
        <w:spacing w:line="240" w:lineRule="auto" w:before="118" w:after="0"/>
        <w:ind w:left="2246" w:right="2236" w:firstLine="0"/>
        <w:jc w:val="both"/>
        <w:rPr>
          <w:sz w:val="20"/>
        </w:rPr>
      </w:pPr>
      <w:r>
        <w:rPr>
          <w:sz w:val="20"/>
        </w:rPr>
        <w:t>With respect to the situation</w:t>
      </w:r>
      <w:r>
        <w:rPr>
          <w:spacing w:val="-4"/>
          <w:sz w:val="20"/>
        </w:rPr>
        <w:t> </w:t>
      </w:r>
      <w:r>
        <w:rPr>
          <w:sz w:val="20"/>
        </w:rPr>
        <w:t>in Venezuela I, reflecting the fact that</w:t>
      </w:r>
      <w:r>
        <w:rPr>
          <w:spacing w:val="-2"/>
          <w:sz w:val="20"/>
        </w:rPr>
        <w:t> </w:t>
      </w:r>
      <w:r>
        <w:rPr>
          <w:sz w:val="20"/>
        </w:rPr>
        <w:t>it is</w:t>
      </w:r>
      <w:r>
        <w:rPr>
          <w:spacing w:val="-5"/>
          <w:sz w:val="20"/>
        </w:rPr>
        <w:t> </w:t>
      </w:r>
      <w:r>
        <w:rPr>
          <w:sz w:val="20"/>
        </w:rPr>
        <w:t>anticipated that the initial field presence in this situation will be limited to staff of the Office of the Prosecutor, the OTP has allocated an Operations Risk and Field Officer (P-3), a Field Operations Coordinator/Field Operations Assistant (GS-OL) and a Field Operations Coordinator/Field Operations Assistant (GS-OL). This is in addition to the OTP administrative support staff allocated to the field presence in this situation as outlined in section II of this Report.</w:t>
      </w:r>
    </w:p>
    <w:p>
      <w:pPr>
        <w:pStyle w:val="ListParagraph"/>
        <w:numPr>
          <w:ilvl w:val="0"/>
          <w:numId w:val="4"/>
        </w:numPr>
        <w:tabs>
          <w:tab w:pos="2967" w:val="left" w:leader="none"/>
        </w:tabs>
        <w:spacing w:line="237" w:lineRule="auto" w:before="126" w:after="0"/>
        <w:ind w:left="2246" w:right="2239" w:firstLine="0"/>
        <w:jc w:val="both"/>
        <w:rPr>
          <w:sz w:val="20"/>
        </w:rPr>
      </w:pPr>
      <w:r>
        <w:rPr>
          <w:sz w:val="20"/>
        </w:rPr>
        <w:t>In addition to the above, as detailed in the relevant annexes to the 2023 PPB, the OTP</w:t>
      </w:r>
      <w:r>
        <w:rPr>
          <w:spacing w:val="-6"/>
          <w:sz w:val="20"/>
        </w:rPr>
        <w:t> </w:t>
      </w:r>
      <w:r>
        <w:rPr>
          <w:sz w:val="20"/>
        </w:rPr>
        <w:t>has</w:t>
      </w:r>
      <w:r>
        <w:rPr>
          <w:spacing w:val="-6"/>
          <w:sz w:val="20"/>
        </w:rPr>
        <w:t> </w:t>
      </w:r>
      <w:r>
        <w:rPr>
          <w:sz w:val="20"/>
        </w:rPr>
        <w:t>also</w:t>
      </w:r>
      <w:r>
        <w:rPr>
          <w:spacing w:val="-5"/>
          <w:sz w:val="20"/>
        </w:rPr>
        <w:t> </w:t>
      </w:r>
      <w:r>
        <w:rPr>
          <w:sz w:val="20"/>
        </w:rPr>
        <w:t>allocated</w:t>
      </w:r>
      <w:r>
        <w:rPr>
          <w:spacing w:val="-9"/>
          <w:sz w:val="20"/>
        </w:rPr>
        <w:t> </w:t>
      </w:r>
      <w:r>
        <w:rPr>
          <w:sz w:val="20"/>
        </w:rPr>
        <w:t>financial</w:t>
      </w:r>
      <w:r>
        <w:rPr>
          <w:spacing w:val="-3"/>
          <w:sz w:val="20"/>
        </w:rPr>
        <w:t> </w:t>
      </w:r>
      <w:r>
        <w:rPr>
          <w:sz w:val="20"/>
        </w:rPr>
        <w:t>resources</w:t>
      </w:r>
      <w:r>
        <w:rPr>
          <w:spacing w:val="-6"/>
          <w:sz w:val="20"/>
        </w:rPr>
        <w:t> </w:t>
      </w:r>
      <w:r>
        <w:rPr>
          <w:sz w:val="20"/>
        </w:rPr>
        <w:t>in</w:t>
      </w:r>
      <w:r>
        <w:rPr>
          <w:spacing w:val="-5"/>
          <w:sz w:val="20"/>
        </w:rPr>
        <w:t> </w:t>
      </w:r>
      <w:r>
        <w:rPr>
          <w:sz w:val="20"/>
        </w:rPr>
        <w:t>relation</w:t>
      </w:r>
      <w:r>
        <w:rPr>
          <w:spacing w:val="-5"/>
          <w:sz w:val="20"/>
        </w:rPr>
        <w:t> </w:t>
      </w:r>
      <w:r>
        <w:rPr>
          <w:sz w:val="20"/>
        </w:rPr>
        <w:t>to the</w:t>
      </w:r>
      <w:r>
        <w:rPr>
          <w:spacing w:val="-3"/>
          <w:sz w:val="20"/>
        </w:rPr>
        <w:t> </w:t>
      </w:r>
      <w:r>
        <w:rPr>
          <w:sz w:val="20"/>
        </w:rPr>
        <w:t>above</w:t>
      </w:r>
      <w:r>
        <w:rPr>
          <w:spacing w:val="-3"/>
          <w:sz w:val="20"/>
        </w:rPr>
        <w:t> </w:t>
      </w:r>
      <w:r>
        <w:rPr>
          <w:sz w:val="20"/>
        </w:rPr>
        <w:t>situations</w:t>
      </w:r>
      <w:r>
        <w:rPr>
          <w:spacing w:val="-1"/>
          <w:sz w:val="20"/>
        </w:rPr>
        <w:t> </w:t>
      </w:r>
      <w:r>
        <w:rPr>
          <w:sz w:val="20"/>
        </w:rPr>
        <w:t>so</w:t>
      </w:r>
      <w:r>
        <w:rPr>
          <w:spacing w:val="-9"/>
          <w:sz w:val="20"/>
        </w:rPr>
        <w:t> </w:t>
      </w:r>
      <w:r>
        <w:rPr>
          <w:sz w:val="20"/>
        </w:rPr>
        <w:t>as</w:t>
      </w:r>
      <w:r>
        <w:rPr>
          <w:spacing w:val="-6"/>
          <w:sz w:val="20"/>
        </w:rPr>
        <w:t> </w:t>
      </w:r>
      <w:r>
        <w:rPr>
          <w:sz w:val="20"/>
        </w:rPr>
        <w:t>to</w:t>
      </w:r>
      <w:r>
        <w:rPr>
          <w:spacing w:val="-5"/>
          <w:sz w:val="20"/>
        </w:rPr>
        <w:t> </w:t>
      </w:r>
      <w:r>
        <w:rPr>
          <w:sz w:val="20"/>
        </w:rPr>
        <w:t>support additional logistical aspects including individual contracts for drivers and security staff. These resources are allocated in POS in the Integrated Services Division.</w:t>
      </w:r>
    </w:p>
    <w:p>
      <w:pPr>
        <w:pStyle w:val="ListParagraph"/>
        <w:numPr>
          <w:ilvl w:val="0"/>
          <w:numId w:val="4"/>
        </w:numPr>
        <w:tabs>
          <w:tab w:pos="2967" w:val="left" w:leader="none"/>
        </w:tabs>
        <w:spacing w:line="240" w:lineRule="auto" w:before="124" w:after="0"/>
        <w:ind w:left="2246" w:right="2240" w:firstLine="0"/>
        <w:jc w:val="both"/>
        <w:rPr>
          <w:sz w:val="20"/>
        </w:rPr>
      </w:pPr>
      <w:r>
        <w:rPr>
          <w:sz w:val="20"/>
        </w:rPr>
        <w:t>POS works closely and in a complementary manner with the Registry, sharing responsibilities along a continuum of services, within the separation of powers under the Court’s governance structure as laid down in the Rome Statute. In the case of Ukraine and Sudan where a presence of both OTP and Registry staff is anticipated, these resources will dovetail with financial resources allocated by the Registry for these situations.</w:t>
      </w:r>
    </w:p>
    <w:p>
      <w:pPr>
        <w:pStyle w:val="ListParagraph"/>
        <w:numPr>
          <w:ilvl w:val="0"/>
          <w:numId w:val="4"/>
        </w:numPr>
        <w:tabs>
          <w:tab w:pos="2967" w:val="left" w:leader="none"/>
        </w:tabs>
        <w:spacing w:line="240" w:lineRule="auto" w:before="123" w:after="0"/>
        <w:ind w:left="2246" w:right="2240" w:firstLine="0"/>
        <w:jc w:val="both"/>
        <w:rPr>
          <w:sz w:val="20"/>
        </w:rPr>
      </w:pPr>
      <w:r>
        <w:rPr>
          <w:sz w:val="20"/>
        </w:rPr>
        <w:t>Finally, the newly formed Planning Unit will provide what was an existing but piecemeal activity in an efficient effective and consolidated manner. The Unit will provide the necessary operational</w:t>
      </w:r>
      <w:r>
        <w:rPr>
          <w:spacing w:val="-2"/>
          <w:sz w:val="20"/>
        </w:rPr>
        <w:t> </w:t>
      </w:r>
      <w:r>
        <w:rPr>
          <w:sz w:val="20"/>
        </w:rPr>
        <w:t>and logistical</w:t>
      </w:r>
      <w:r>
        <w:rPr>
          <w:spacing w:val="-2"/>
          <w:sz w:val="20"/>
        </w:rPr>
        <w:t> </w:t>
      </w:r>
      <w:r>
        <w:rPr>
          <w:sz w:val="20"/>
        </w:rPr>
        <w:t>coordination and forward planning to</w:t>
      </w:r>
      <w:r>
        <w:rPr>
          <w:spacing w:val="-4"/>
          <w:sz w:val="20"/>
        </w:rPr>
        <w:t> </w:t>
      </w:r>
      <w:r>
        <w:rPr>
          <w:sz w:val="20"/>
        </w:rPr>
        <w:t>align, prepare and facilitate the field deployment of and ongoing support to the unified teams.</w:t>
      </w:r>
    </w:p>
    <w:p>
      <w:pPr>
        <w:pStyle w:val="BodyText"/>
        <w:spacing w:before="7"/>
      </w:pPr>
    </w:p>
    <w:p>
      <w:pPr>
        <w:pStyle w:val="Heading3"/>
        <w:numPr>
          <w:ilvl w:val="0"/>
          <w:numId w:val="10"/>
        </w:numPr>
        <w:tabs>
          <w:tab w:pos="2246" w:val="left" w:leader="none"/>
          <w:tab w:pos="2247" w:val="left" w:leader="none"/>
        </w:tabs>
        <w:spacing w:line="240" w:lineRule="auto" w:before="0" w:after="0"/>
        <w:ind w:left="2246" w:right="0" w:hanging="568"/>
        <w:jc w:val="left"/>
      </w:pPr>
      <w:r>
        <w:rPr/>
        <w:t>Forensic</w:t>
      </w:r>
      <w:r>
        <w:rPr>
          <w:spacing w:val="-8"/>
        </w:rPr>
        <w:t> </w:t>
      </w:r>
      <w:r>
        <w:rPr/>
        <w:t>Science</w:t>
      </w:r>
      <w:r>
        <w:rPr>
          <w:spacing w:val="-7"/>
        </w:rPr>
        <w:t> </w:t>
      </w:r>
      <w:r>
        <w:rPr>
          <w:spacing w:val="-2"/>
        </w:rPr>
        <w:t>Section</w:t>
      </w:r>
    </w:p>
    <w:p>
      <w:pPr>
        <w:pStyle w:val="BodyText"/>
        <w:spacing w:before="10"/>
        <w:rPr>
          <w:b/>
        </w:rPr>
      </w:pPr>
    </w:p>
    <w:p>
      <w:pPr>
        <w:pStyle w:val="ListParagraph"/>
        <w:numPr>
          <w:ilvl w:val="0"/>
          <w:numId w:val="4"/>
        </w:numPr>
        <w:tabs>
          <w:tab w:pos="2967" w:val="left" w:leader="none"/>
        </w:tabs>
        <w:spacing w:line="240" w:lineRule="auto" w:before="0" w:after="0"/>
        <w:ind w:left="2246" w:right="2236" w:firstLine="0"/>
        <w:jc w:val="both"/>
        <w:rPr>
          <w:sz w:val="20"/>
        </w:rPr>
      </w:pPr>
      <w:r>
        <w:rPr>
          <w:sz w:val="20"/>
        </w:rPr>
        <w:t>The</w:t>
      </w:r>
      <w:r>
        <w:rPr>
          <w:spacing w:val="-13"/>
          <w:sz w:val="20"/>
        </w:rPr>
        <w:t> </w:t>
      </w:r>
      <w:r>
        <w:rPr>
          <w:sz w:val="20"/>
        </w:rPr>
        <w:t>Forensic</w:t>
      </w:r>
      <w:r>
        <w:rPr>
          <w:spacing w:val="-12"/>
          <w:sz w:val="20"/>
        </w:rPr>
        <w:t> </w:t>
      </w:r>
      <w:r>
        <w:rPr>
          <w:sz w:val="20"/>
        </w:rPr>
        <w:t>Science</w:t>
      </w:r>
      <w:r>
        <w:rPr>
          <w:spacing w:val="-13"/>
          <w:sz w:val="20"/>
        </w:rPr>
        <w:t> </w:t>
      </w:r>
      <w:r>
        <w:rPr>
          <w:sz w:val="20"/>
        </w:rPr>
        <w:t>Section</w:t>
      </w:r>
      <w:r>
        <w:rPr>
          <w:spacing w:val="-12"/>
          <w:sz w:val="20"/>
        </w:rPr>
        <w:t> </w:t>
      </w:r>
      <w:r>
        <w:rPr>
          <w:sz w:val="20"/>
        </w:rPr>
        <w:t>(FSS)</w:t>
      </w:r>
      <w:r>
        <w:rPr>
          <w:spacing w:val="-13"/>
          <w:sz w:val="20"/>
        </w:rPr>
        <w:t> </w:t>
      </w:r>
      <w:r>
        <w:rPr>
          <w:sz w:val="20"/>
        </w:rPr>
        <w:t>provides</w:t>
      </w:r>
      <w:r>
        <w:rPr>
          <w:spacing w:val="-12"/>
          <w:sz w:val="20"/>
        </w:rPr>
        <w:t> </w:t>
      </w:r>
      <w:r>
        <w:rPr>
          <w:sz w:val="20"/>
        </w:rPr>
        <w:t>scientific</w:t>
      </w:r>
      <w:r>
        <w:rPr>
          <w:spacing w:val="-13"/>
          <w:sz w:val="20"/>
        </w:rPr>
        <w:t> </w:t>
      </w:r>
      <w:r>
        <w:rPr>
          <w:sz w:val="20"/>
        </w:rPr>
        <w:t>support</w:t>
      </w:r>
      <w:r>
        <w:rPr>
          <w:spacing w:val="-12"/>
          <w:sz w:val="20"/>
        </w:rPr>
        <w:t> </w:t>
      </w:r>
      <w:r>
        <w:rPr>
          <w:sz w:val="20"/>
        </w:rPr>
        <w:t>to</w:t>
      </w:r>
      <w:r>
        <w:rPr>
          <w:spacing w:val="-13"/>
          <w:sz w:val="20"/>
        </w:rPr>
        <w:t> </w:t>
      </w:r>
      <w:r>
        <w:rPr>
          <w:sz w:val="20"/>
        </w:rPr>
        <w:t>investigations</w:t>
      </w:r>
      <w:r>
        <w:rPr>
          <w:spacing w:val="-12"/>
          <w:sz w:val="20"/>
        </w:rPr>
        <w:t> </w:t>
      </w:r>
      <w:r>
        <w:rPr>
          <w:sz w:val="20"/>
        </w:rPr>
        <w:t>and prosecutions as well as preliminary examinations. It is composed of two units: (1) the Forensic</w:t>
      </w:r>
      <w:r>
        <w:rPr>
          <w:spacing w:val="-3"/>
          <w:sz w:val="20"/>
        </w:rPr>
        <w:t> </w:t>
      </w:r>
      <w:r>
        <w:rPr>
          <w:sz w:val="20"/>
        </w:rPr>
        <w:t>Unit</w:t>
      </w:r>
      <w:r>
        <w:rPr>
          <w:spacing w:val="-8"/>
          <w:sz w:val="20"/>
        </w:rPr>
        <w:t> </w:t>
      </w:r>
      <w:r>
        <w:rPr>
          <w:sz w:val="20"/>
        </w:rPr>
        <w:t>and</w:t>
      </w:r>
      <w:r>
        <w:rPr>
          <w:spacing w:val="-5"/>
          <w:sz w:val="20"/>
        </w:rPr>
        <w:t> </w:t>
      </w:r>
      <w:r>
        <w:rPr>
          <w:sz w:val="20"/>
        </w:rPr>
        <w:t>(2)</w:t>
      </w:r>
      <w:r>
        <w:rPr>
          <w:spacing w:val="-5"/>
          <w:sz w:val="20"/>
        </w:rPr>
        <w:t> </w:t>
      </w:r>
      <w:r>
        <w:rPr>
          <w:sz w:val="20"/>
        </w:rPr>
        <w:t>the</w:t>
      </w:r>
      <w:r>
        <w:rPr>
          <w:spacing w:val="-3"/>
          <w:sz w:val="20"/>
        </w:rPr>
        <w:t> </w:t>
      </w:r>
      <w:r>
        <w:rPr>
          <w:sz w:val="20"/>
        </w:rPr>
        <w:t>Imagery</w:t>
      </w:r>
      <w:r>
        <w:rPr>
          <w:spacing w:val="-5"/>
          <w:sz w:val="20"/>
        </w:rPr>
        <w:t> </w:t>
      </w:r>
      <w:r>
        <w:rPr>
          <w:sz w:val="20"/>
        </w:rPr>
        <w:t>Unit.</w:t>
      </w:r>
      <w:r>
        <w:rPr>
          <w:spacing w:val="-7"/>
          <w:sz w:val="20"/>
        </w:rPr>
        <w:t> </w:t>
      </w:r>
      <w:r>
        <w:rPr>
          <w:sz w:val="20"/>
        </w:rPr>
        <w:t>In</w:t>
      </w:r>
      <w:r>
        <w:rPr>
          <w:spacing w:val="-9"/>
          <w:sz w:val="20"/>
        </w:rPr>
        <w:t> </w:t>
      </w:r>
      <w:r>
        <w:rPr>
          <w:sz w:val="20"/>
        </w:rPr>
        <w:t>addition,</w:t>
      </w:r>
      <w:r>
        <w:rPr>
          <w:spacing w:val="-7"/>
          <w:sz w:val="20"/>
        </w:rPr>
        <w:t> </w:t>
      </w:r>
      <w:r>
        <w:rPr>
          <w:sz w:val="20"/>
        </w:rPr>
        <w:t>FSS</w:t>
      </w:r>
      <w:r>
        <w:rPr>
          <w:spacing w:val="-6"/>
          <w:sz w:val="20"/>
        </w:rPr>
        <w:t> </w:t>
      </w:r>
      <w:r>
        <w:rPr>
          <w:sz w:val="20"/>
        </w:rPr>
        <w:t>maintains</w:t>
      </w:r>
      <w:r>
        <w:rPr>
          <w:spacing w:val="-6"/>
          <w:sz w:val="20"/>
        </w:rPr>
        <w:t> </w:t>
      </w:r>
      <w:r>
        <w:rPr>
          <w:sz w:val="20"/>
        </w:rPr>
        <w:t>the</w:t>
      </w:r>
      <w:r>
        <w:rPr>
          <w:spacing w:val="-8"/>
          <w:sz w:val="20"/>
        </w:rPr>
        <w:t> </w:t>
      </w:r>
      <w:r>
        <w:rPr>
          <w:sz w:val="20"/>
        </w:rPr>
        <w:t>Executive</w:t>
      </w:r>
      <w:r>
        <w:rPr>
          <w:spacing w:val="-3"/>
          <w:sz w:val="20"/>
        </w:rPr>
        <w:t> </w:t>
      </w:r>
      <w:r>
        <w:rPr>
          <w:sz w:val="20"/>
        </w:rPr>
        <w:t>Secretariat of the OTP Scientific Advisory Board and develops standard operating procedures and guidelines relating to scientific activities. The Scientific Advisory Board, composed of the sitting presidents of the 18 most representative institutions of the international scientific community, meets annually and advises the Office on recent developments in new and emerging</w:t>
      </w:r>
      <w:r>
        <w:rPr>
          <w:spacing w:val="-3"/>
          <w:sz w:val="20"/>
        </w:rPr>
        <w:t> </w:t>
      </w:r>
      <w:r>
        <w:rPr>
          <w:sz w:val="20"/>
        </w:rPr>
        <w:t>technologies, scientific</w:t>
      </w:r>
      <w:r>
        <w:rPr>
          <w:spacing w:val="-6"/>
          <w:sz w:val="20"/>
        </w:rPr>
        <w:t> </w:t>
      </w:r>
      <w:r>
        <w:rPr>
          <w:sz w:val="20"/>
        </w:rPr>
        <w:t>methods</w:t>
      </w:r>
      <w:r>
        <w:rPr>
          <w:spacing w:val="-9"/>
          <w:sz w:val="20"/>
        </w:rPr>
        <w:t> </w:t>
      </w:r>
      <w:r>
        <w:rPr>
          <w:sz w:val="20"/>
        </w:rPr>
        <w:t>and</w:t>
      </w:r>
      <w:r>
        <w:rPr>
          <w:spacing w:val="-3"/>
          <w:sz w:val="20"/>
        </w:rPr>
        <w:t> </w:t>
      </w:r>
      <w:r>
        <w:rPr>
          <w:sz w:val="20"/>
        </w:rPr>
        <w:t>procedures</w:t>
      </w:r>
      <w:r>
        <w:rPr>
          <w:spacing w:val="-9"/>
          <w:sz w:val="20"/>
        </w:rPr>
        <w:t> </w:t>
      </w:r>
      <w:r>
        <w:rPr>
          <w:sz w:val="20"/>
        </w:rPr>
        <w:t>that</w:t>
      </w:r>
      <w:r>
        <w:rPr>
          <w:spacing w:val="-1"/>
          <w:sz w:val="20"/>
        </w:rPr>
        <w:t> </w:t>
      </w:r>
      <w:r>
        <w:rPr>
          <w:sz w:val="20"/>
        </w:rPr>
        <w:t>could</w:t>
      </w:r>
      <w:r>
        <w:rPr>
          <w:spacing w:val="-7"/>
          <w:sz w:val="20"/>
        </w:rPr>
        <w:t> </w:t>
      </w:r>
      <w:r>
        <w:rPr>
          <w:sz w:val="20"/>
        </w:rPr>
        <w:t>potentially</w:t>
      </w:r>
      <w:r>
        <w:rPr>
          <w:spacing w:val="-7"/>
          <w:sz w:val="20"/>
        </w:rPr>
        <w:t> </w:t>
      </w:r>
      <w:r>
        <w:rPr>
          <w:sz w:val="20"/>
        </w:rPr>
        <w:t>enhance</w:t>
      </w:r>
      <w:r>
        <w:rPr>
          <w:spacing w:val="-1"/>
          <w:sz w:val="20"/>
        </w:rPr>
        <w:t> </w:t>
      </w:r>
      <w:r>
        <w:rPr>
          <w:sz w:val="20"/>
        </w:rPr>
        <w:t>the collection, management and analysis of testimonial, documentary and scientific evidence. The Forensic Science Section is responsible for, among other activities:</w:t>
      </w:r>
    </w:p>
    <w:p>
      <w:pPr>
        <w:pStyle w:val="ListParagraph"/>
        <w:numPr>
          <w:ilvl w:val="1"/>
          <w:numId w:val="4"/>
        </w:numPr>
        <w:tabs>
          <w:tab w:pos="3686" w:val="left" w:leader="none"/>
          <w:tab w:pos="3687" w:val="left" w:leader="none"/>
        </w:tabs>
        <w:spacing w:line="240" w:lineRule="auto" w:before="125" w:after="0"/>
        <w:ind w:left="3687" w:right="0" w:hanging="730"/>
        <w:jc w:val="left"/>
        <w:rPr>
          <w:sz w:val="20"/>
        </w:rPr>
      </w:pPr>
      <w:r>
        <w:rPr>
          <w:sz w:val="20"/>
        </w:rPr>
        <w:t>Crime</w:t>
      </w:r>
      <w:r>
        <w:rPr>
          <w:spacing w:val="-3"/>
          <w:sz w:val="20"/>
        </w:rPr>
        <w:t> </w:t>
      </w:r>
      <w:r>
        <w:rPr>
          <w:sz w:val="20"/>
        </w:rPr>
        <w:t>scene</w:t>
      </w:r>
      <w:r>
        <w:rPr>
          <w:spacing w:val="-7"/>
          <w:sz w:val="20"/>
        </w:rPr>
        <w:t> </w:t>
      </w:r>
      <w:r>
        <w:rPr>
          <w:spacing w:val="-2"/>
          <w:sz w:val="20"/>
        </w:rPr>
        <w:t>investigation;</w:t>
      </w:r>
    </w:p>
    <w:p>
      <w:pPr>
        <w:pStyle w:val="ListParagraph"/>
        <w:numPr>
          <w:ilvl w:val="1"/>
          <w:numId w:val="4"/>
        </w:numPr>
        <w:tabs>
          <w:tab w:pos="3686" w:val="left" w:leader="none"/>
          <w:tab w:pos="3687" w:val="left" w:leader="none"/>
        </w:tabs>
        <w:spacing w:line="240" w:lineRule="auto" w:before="116" w:after="0"/>
        <w:ind w:left="2957" w:right="2244" w:firstLine="0"/>
        <w:jc w:val="left"/>
        <w:rPr>
          <w:sz w:val="20"/>
        </w:rPr>
      </w:pPr>
      <w:r>
        <w:rPr>
          <w:sz w:val="20"/>
        </w:rPr>
        <w:t>On-site identification, preservation, and</w:t>
      </w:r>
      <w:r>
        <w:rPr>
          <w:spacing w:val="-1"/>
          <w:sz w:val="20"/>
        </w:rPr>
        <w:t> </w:t>
      </w:r>
      <w:r>
        <w:rPr>
          <w:sz w:val="20"/>
        </w:rPr>
        <w:t>collection</w:t>
      </w:r>
      <w:r>
        <w:rPr>
          <w:spacing w:val="-1"/>
          <w:sz w:val="20"/>
        </w:rPr>
        <w:t> </w:t>
      </w:r>
      <w:r>
        <w:rPr>
          <w:sz w:val="20"/>
        </w:rPr>
        <w:t>of forensic evidence at an incident site;</w:t>
      </w:r>
    </w:p>
    <w:p>
      <w:pPr>
        <w:pStyle w:val="ListParagraph"/>
        <w:numPr>
          <w:ilvl w:val="1"/>
          <w:numId w:val="4"/>
        </w:numPr>
        <w:tabs>
          <w:tab w:pos="3686" w:val="left" w:leader="none"/>
          <w:tab w:pos="3687" w:val="left" w:leader="none"/>
        </w:tabs>
        <w:spacing w:line="240" w:lineRule="auto" w:before="121" w:after="0"/>
        <w:ind w:left="2957" w:right="2237" w:firstLine="0"/>
        <w:jc w:val="left"/>
        <w:rPr>
          <w:sz w:val="20"/>
        </w:rPr>
      </w:pPr>
      <w:r>
        <w:rPr>
          <w:sz w:val="20"/>
        </w:rPr>
        <w:t>On-site</w:t>
      </w:r>
      <w:r>
        <w:rPr>
          <w:spacing w:val="-13"/>
          <w:sz w:val="20"/>
        </w:rPr>
        <w:t> </w:t>
      </w:r>
      <w:r>
        <w:rPr>
          <w:sz w:val="20"/>
        </w:rPr>
        <w:t>crime</w:t>
      </w:r>
      <w:r>
        <w:rPr>
          <w:spacing w:val="-12"/>
          <w:sz w:val="20"/>
        </w:rPr>
        <w:t> </w:t>
      </w:r>
      <w:r>
        <w:rPr>
          <w:sz w:val="20"/>
        </w:rPr>
        <w:t>scene</w:t>
      </w:r>
      <w:r>
        <w:rPr>
          <w:spacing w:val="-13"/>
          <w:sz w:val="20"/>
        </w:rPr>
        <w:t> </w:t>
      </w:r>
      <w:r>
        <w:rPr>
          <w:sz w:val="20"/>
        </w:rPr>
        <w:t>survey,</w:t>
      </w:r>
      <w:r>
        <w:rPr>
          <w:spacing w:val="-12"/>
          <w:sz w:val="20"/>
        </w:rPr>
        <w:t> </w:t>
      </w:r>
      <w:r>
        <w:rPr>
          <w:sz w:val="20"/>
        </w:rPr>
        <w:t>aerial</w:t>
      </w:r>
      <w:r>
        <w:rPr>
          <w:spacing w:val="-13"/>
          <w:sz w:val="20"/>
        </w:rPr>
        <w:t> </w:t>
      </w:r>
      <w:r>
        <w:rPr>
          <w:sz w:val="20"/>
        </w:rPr>
        <w:t>photography,</w:t>
      </w:r>
      <w:r>
        <w:rPr>
          <w:spacing w:val="-9"/>
          <w:sz w:val="20"/>
        </w:rPr>
        <w:t> </w:t>
      </w:r>
      <w:r>
        <w:rPr>
          <w:sz w:val="20"/>
        </w:rPr>
        <w:t>standard</w:t>
      </w:r>
      <w:r>
        <w:rPr>
          <w:spacing w:val="-13"/>
          <w:sz w:val="20"/>
        </w:rPr>
        <w:t> </w:t>
      </w:r>
      <w:r>
        <w:rPr>
          <w:sz w:val="20"/>
        </w:rPr>
        <w:t>photography,</w:t>
      </w:r>
      <w:r>
        <w:rPr>
          <w:spacing w:val="-12"/>
          <w:sz w:val="20"/>
        </w:rPr>
        <w:t> </w:t>
      </w:r>
      <w:r>
        <w:rPr>
          <w:sz w:val="20"/>
        </w:rPr>
        <w:t>and other visual documentation;</w:t>
      </w:r>
    </w:p>
    <w:p>
      <w:pPr>
        <w:pStyle w:val="ListParagraph"/>
        <w:numPr>
          <w:ilvl w:val="1"/>
          <w:numId w:val="4"/>
        </w:numPr>
        <w:tabs>
          <w:tab w:pos="3686" w:val="left" w:leader="none"/>
          <w:tab w:pos="3687" w:val="left" w:leader="none"/>
        </w:tabs>
        <w:spacing w:line="240" w:lineRule="auto" w:before="121" w:after="0"/>
        <w:ind w:left="3687" w:right="0" w:hanging="730"/>
        <w:jc w:val="left"/>
        <w:rPr>
          <w:sz w:val="20"/>
        </w:rPr>
      </w:pPr>
      <w:r>
        <w:rPr>
          <w:sz w:val="20"/>
        </w:rPr>
        <w:t>Medical</w:t>
      </w:r>
      <w:r>
        <w:rPr>
          <w:spacing w:val="-6"/>
          <w:sz w:val="20"/>
        </w:rPr>
        <w:t> </w:t>
      </w:r>
      <w:r>
        <w:rPr>
          <w:sz w:val="20"/>
        </w:rPr>
        <w:t>examinations</w:t>
      </w:r>
      <w:r>
        <w:rPr>
          <w:spacing w:val="-8"/>
          <w:sz w:val="20"/>
        </w:rPr>
        <w:t> </w:t>
      </w:r>
      <w:r>
        <w:rPr>
          <w:sz w:val="20"/>
        </w:rPr>
        <w:t>of</w:t>
      </w:r>
      <w:r>
        <w:rPr>
          <w:spacing w:val="-7"/>
          <w:sz w:val="20"/>
        </w:rPr>
        <w:t> </w:t>
      </w:r>
      <w:r>
        <w:rPr>
          <w:sz w:val="20"/>
        </w:rPr>
        <w:t>living</w:t>
      </w:r>
      <w:r>
        <w:rPr>
          <w:spacing w:val="-7"/>
          <w:sz w:val="20"/>
        </w:rPr>
        <w:t> </w:t>
      </w:r>
      <w:r>
        <w:rPr>
          <w:spacing w:val="-2"/>
          <w:sz w:val="20"/>
        </w:rPr>
        <w:t>persons;</w:t>
      </w:r>
    </w:p>
    <w:p>
      <w:pPr>
        <w:pStyle w:val="ListParagraph"/>
        <w:numPr>
          <w:ilvl w:val="1"/>
          <w:numId w:val="4"/>
        </w:numPr>
        <w:tabs>
          <w:tab w:pos="3686" w:val="left" w:leader="none"/>
          <w:tab w:pos="3687" w:val="left" w:leader="none"/>
        </w:tabs>
        <w:spacing w:line="240" w:lineRule="auto" w:before="120" w:after="0"/>
        <w:ind w:left="2957" w:right="2245" w:firstLine="0"/>
        <w:jc w:val="left"/>
        <w:rPr>
          <w:sz w:val="20"/>
        </w:rPr>
      </w:pPr>
      <w:r>
        <w:rPr>
          <w:sz w:val="20"/>
        </w:rPr>
        <w:t>Initial</w:t>
      </w:r>
      <w:r>
        <w:rPr>
          <w:spacing w:val="25"/>
          <w:sz w:val="20"/>
        </w:rPr>
        <w:t> </w:t>
      </w:r>
      <w:r>
        <w:rPr>
          <w:sz w:val="20"/>
        </w:rPr>
        <w:t>assessment,</w:t>
      </w:r>
      <w:r>
        <w:rPr>
          <w:spacing w:val="26"/>
          <w:sz w:val="20"/>
        </w:rPr>
        <w:t> </w:t>
      </w:r>
      <w:r>
        <w:rPr>
          <w:sz w:val="20"/>
        </w:rPr>
        <w:t>on-site</w:t>
      </w:r>
      <w:r>
        <w:rPr>
          <w:spacing w:val="25"/>
          <w:sz w:val="20"/>
        </w:rPr>
        <w:t> </w:t>
      </w:r>
      <w:r>
        <w:rPr>
          <w:sz w:val="20"/>
        </w:rPr>
        <w:t>exhumations,</w:t>
      </w:r>
      <w:r>
        <w:rPr>
          <w:spacing w:val="25"/>
          <w:sz w:val="20"/>
        </w:rPr>
        <w:t> </w:t>
      </w:r>
      <w:r>
        <w:rPr>
          <w:sz w:val="20"/>
        </w:rPr>
        <w:t>autopsies</w:t>
      </w:r>
      <w:r>
        <w:rPr>
          <w:spacing w:val="26"/>
          <w:sz w:val="20"/>
        </w:rPr>
        <w:t> </w:t>
      </w:r>
      <w:r>
        <w:rPr>
          <w:sz w:val="20"/>
        </w:rPr>
        <w:t>and the identification </w:t>
      </w:r>
      <w:r>
        <w:rPr>
          <w:spacing w:val="-2"/>
          <w:sz w:val="20"/>
        </w:rPr>
        <w:t>process;</w:t>
      </w:r>
    </w:p>
    <w:p>
      <w:pPr>
        <w:spacing w:after="0" w:line="240" w:lineRule="auto"/>
        <w:jc w:val="left"/>
        <w:rPr>
          <w:sz w:val="20"/>
        </w:rPr>
        <w:sectPr>
          <w:pgSz w:w="11910" w:h="16840"/>
          <w:pgMar w:header="953" w:footer="940" w:top="1140" w:bottom="1140" w:left="20" w:right="20"/>
        </w:sectPr>
      </w:pPr>
    </w:p>
    <w:p>
      <w:pPr>
        <w:pStyle w:val="ListParagraph"/>
        <w:numPr>
          <w:ilvl w:val="1"/>
          <w:numId w:val="4"/>
        </w:numPr>
        <w:tabs>
          <w:tab w:pos="3686" w:val="left" w:leader="none"/>
          <w:tab w:pos="3687" w:val="left" w:leader="none"/>
        </w:tabs>
        <w:spacing w:line="240" w:lineRule="auto" w:before="120" w:after="0"/>
        <w:ind w:left="2957" w:right="2243" w:firstLine="0"/>
        <w:jc w:val="both"/>
        <w:rPr>
          <w:sz w:val="20"/>
        </w:rPr>
      </w:pPr>
      <w:r>
        <w:rPr>
          <w:sz w:val="20"/>
        </w:rPr>
        <w:t>Development of forensic systems and processes, e.g. in relation to reference DNA samples and assistance with interviewing family members of missing persons;</w:t>
      </w:r>
    </w:p>
    <w:p>
      <w:pPr>
        <w:pStyle w:val="ListParagraph"/>
        <w:numPr>
          <w:ilvl w:val="1"/>
          <w:numId w:val="4"/>
        </w:numPr>
        <w:tabs>
          <w:tab w:pos="3686" w:val="left" w:leader="none"/>
          <w:tab w:pos="3687" w:val="left" w:leader="none"/>
        </w:tabs>
        <w:spacing w:line="240" w:lineRule="auto" w:before="121" w:after="0"/>
        <w:ind w:left="3687" w:right="0" w:hanging="730"/>
        <w:jc w:val="both"/>
        <w:rPr>
          <w:sz w:val="20"/>
        </w:rPr>
      </w:pPr>
      <w:r>
        <w:rPr>
          <w:sz w:val="20"/>
        </w:rPr>
        <w:t>Coordination</w:t>
      </w:r>
      <w:r>
        <w:rPr>
          <w:spacing w:val="-7"/>
          <w:sz w:val="20"/>
        </w:rPr>
        <w:t> </w:t>
      </w:r>
      <w:r>
        <w:rPr>
          <w:sz w:val="20"/>
        </w:rPr>
        <w:t>of</w:t>
      </w:r>
      <w:r>
        <w:rPr>
          <w:spacing w:val="-6"/>
          <w:sz w:val="20"/>
        </w:rPr>
        <w:t> </w:t>
      </w:r>
      <w:r>
        <w:rPr>
          <w:sz w:val="20"/>
        </w:rPr>
        <w:t>all</w:t>
      </w:r>
      <w:r>
        <w:rPr>
          <w:spacing w:val="-4"/>
          <w:sz w:val="20"/>
        </w:rPr>
        <w:t> </w:t>
      </w:r>
      <w:r>
        <w:rPr>
          <w:sz w:val="20"/>
        </w:rPr>
        <w:t>forensic</w:t>
      </w:r>
      <w:r>
        <w:rPr>
          <w:spacing w:val="-4"/>
          <w:sz w:val="20"/>
        </w:rPr>
        <w:t> </w:t>
      </w:r>
      <w:r>
        <w:rPr>
          <w:spacing w:val="-2"/>
          <w:sz w:val="20"/>
        </w:rPr>
        <w:t>work;</w:t>
      </w:r>
    </w:p>
    <w:p>
      <w:pPr>
        <w:pStyle w:val="ListParagraph"/>
        <w:numPr>
          <w:ilvl w:val="1"/>
          <w:numId w:val="4"/>
        </w:numPr>
        <w:tabs>
          <w:tab w:pos="3686" w:val="left" w:leader="none"/>
          <w:tab w:pos="3687" w:val="left" w:leader="none"/>
        </w:tabs>
        <w:spacing w:line="240" w:lineRule="auto" w:before="121" w:after="0"/>
        <w:ind w:left="2957" w:right="2242" w:firstLine="0"/>
        <w:jc w:val="both"/>
        <w:rPr>
          <w:sz w:val="20"/>
        </w:rPr>
      </w:pPr>
      <w:r>
        <w:rPr>
          <w:sz w:val="20"/>
        </w:rPr>
        <w:t>Forensic video, image and audio analysis, including authentication, geolocation and other comparison analysis, as well as video editing and timeline analysis of persons and objects within a video that are of relevance to an </w:t>
      </w:r>
      <w:r>
        <w:rPr>
          <w:spacing w:val="-2"/>
          <w:sz w:val="20"/>
        </w:rPr>
        <w:t>investigation;</w:t>
      </w:r>
    </w:p>
    <w:p>
      <w:pPr>
        <w:pStyle w:val="ListParagraph"/>
        <w:numPr>
          <w:ilvl w:val="1"/>
          <w:numId w:val="4"/>
        </w:numPr>
        <w:tabs>
          <w:tab w:pos="3686" w:val="left" w:leader="none"/>
          <w:tab w:pos="3687" w:val="left" w:leader="none"/>
        </w:tabs>
        <w:spacing w:line="240" w:lineRule="auto" w:before="122" w:after="0"/>
        <w:ind w:left="2957" w:right="2245" w:firstLine="0"/>
        <w:jc w:val="both"/>
        <w:rPr>
          <w:sz w:val="20"/>
        </w:rPr>
      </w:pPr>
      <w:r>
        <w:rPr>
          <w:sz w:val="20"/>
        </w:rPr>
        <w:t>Administration of maps and related data, with increased decentralization and accessibility to end users; and</w:t>
      </w:r>
    </w:p>
    <w:p>
      <w:pPr>
        <w:pStyle w:val="ListParagraph"/>
        <w:numPr>
          <w:ilvl w:val="1"/>
          <w:numId w:val="4"/>
        </w:numPr>
        <w:tabs>
          <w:tab w:pos="3686" w:val="left" w:leader="none"/>
          <w:tab w:pos="3687" w:val="left" w:leader="none"/>
        </w:tabs>
        <w:spacing w:line="240" w:lineRule="auto" w:before="116" w:after="0"/>
        <w:ind w:left="2957" w:right="2243" w:firstLine="0"/>
        <w:jc w:val="both"/>
        <w:rPr>
          <w:sz w:val="20"/>
        </w:rPr>
      </w:pPr>
      <w:r>
        <w:rPr>
          <w:sz w:val="20"/>
        </w:rPr>
        <w:t>New</w:t>
      </w:r>
      <w:r>
        <w:rPr>
          <w:spacing w:val="-7"/>
          <w:sz w:val="20"/>
        </w:rPr>
        <w:t> </w:t>
      </w:r>
      <w:r>
        <w:rPr>
          <w:sz w:val="20"/>
        </w:rPr>
        <w:t>techniques</w:t>
      </w:r>
      <w:r>
        <w:rPr>
          <w:spacing w:val="-12"/>
          <w:sz w:val="20"/>
        </w:rPr>
        <w:t> </w:t>
      </w:r>
      <w:r>
        <w:rPr>
          <w:sz w:val="20"/>
        </w:rPr>
        <w:t>for</w:t>
      </w:r>
      <w:r>
        <w:rPr>
          <w:spacing w:val="-10"/>
          <w:sz w:val="20"/>
        </w:rPr>
        <w:t> </w:t>
      </w:r>
      <w:r>
        <w:rPr>
          <w:sz w:val="20"/>
        </w:rPr>
        <w:t>the</w:t>
      </w:r>
      <w:r>
        <w:rPr>
          <w:spacing w:val="-5"/>
          <w:sz w:val="20"/>
        </w:rPr>
        <w:t> </w:t>
      </w:r>
      <w:r>
        <w:rPr>
          <w:sz w:val="20"/>
        </w:rPr>
        <w:t>production</w:t>
      </w:r>
      <w:r>
        <w:rPr>
          <w:spacing w:val="-10"/>
          <w:sz w:val="20"/>
        </w:rPr>
        <w:t> </w:t>
      </w:r>
      <w:r>
        <w:rPr>
          <w:sz w:val="20"/>
        </w:rPr>
        <w:t>and</w:t>
      </w:r>
      <w:r>
        <w:rPr>
          <w:spacing w:val="-6"/>
          <w:sz w:val="20"/>
        </w:rPr>
        <w:t> </w:t>
      </w:r>
      <w:r>
        <w:rPr>
          <w:sz w:val="20"/>
        </w:rPr>
        <w:t>presentation</w:t>
      </w:r>
      <w:r>
        <w:rPr>
          <w:spacing w:val="-10"/>
          <w:sz w:val="20"/>
        </w:rPr>
        <w:t> </w:t>
      </w:r>
      <w:r>
        <w:rPr>
          <w:sz w:val="20"/>
        </w:rPr>
        <w:t>of</w:t>
      </w:r>
      <w:r>
        <w:rPr>
          <w:spacing w:val="-10"/>
          <w:sz w:val="20"/>
        </w:rPr>
        <w:t> </w:t>
      </w:r>
      <w:r>
        <w:rPr>
          <w:sz w:val="20"/>
        </w:rPr>
        <w:t>evidence,</w:t>
      </w:r>
      <w:r>
        <w:rPr>
          <w:spacing w:val="-8"/>
          <w:sz w:val="20"/>
        </w:rPr>
        <w:t> </w:t>
      </w:r>
      <w:r>
        <w:rPr>
          <w:sz w:val="20"/>
        </w:rPr>
        <w:t>including 3D</w:t>
      </w:r>
      <w:r>
        <w:rPr>
          <w:spacing w:val="-13"/>
          <w:sz w:val="20"/>
        </w:rPr>
        <w:t> </w:t>
      </w:r>
      <w:r>
        <w:rPr>
          <w:sz w:val="20"/>
        </w:rPr>
        <w:t>digital</w:t>
      </w:r>
      <w:r>
        <w:rPr>
          <w:spacing w:val="-12"/>
          <w:sz w:val="20"/>
        </w:rPr>
        <w:t> </w:t>
      </w:r>
      <w:r>
        <w:rPr>
          <w:sz w:val="20"/>
        </w:rPr>
        <w:t>modelling</w:t>
      </w:r>
      <w:r>
        <w:rPr>
          <w:spacing w:val="-13"/>
          <w:sz w:val="20"/>
        </w:rPr>
        <w:t> </w:t>
      </w:r>
      <w:r>
        <w:rPr>
          <w:sz w:val="20"/>
        </w:rPr>
        <w:t>techniques</w:t>
      </w:r>
      <w:r>
        <w:rPr>
          <w:spacing w:val="-12"/>
          <w:sz w:val="20"/>
        </w:rPr>
        <w:t> </w:t>
      </w:r>
      <w:r>
        <w:rPr>
          <w:sz w:val="20"/>
        </w:rPr>
        <w:t>for</w:t>
      </w:r>
      <w:r>
        <w:rPr>
          <w:spacing w:val="-13"/>
          <w:sz w:val="20"/>
        </w:rPr>
        <w:t> </w:t>
      </w:r>
      <w:r>
        <w:rPr>
          <w:sz w:val="20"/>
        </w:rPr>
        <w:t>buildings,</w:t>
      </w:r>
      <w:r>
        <w:rPr>
          <w:spacing w:val="-8"/>
          <w:sz w:val="20"/>
        </w:rPr>
        <w:t> </w:t>
      </w:r>
      <w:r>
        <w:rPr>
          <w:sz w:val="20"/>
        </w:rPr>
        <w:t>incident</w:t>
      </w:r>
      <w:r>
        <w:rPr>
          <w:spacing w:val="-8"/>
          <w:sz w:val="20"/>
        </w:rPr>
        <w:t> </w:t>
      </w:r>
      <w:r>
        <w:rPr>
          <w:sz w:val="20"/>
        </w:rPr>
        <w:t>sites,</w:t>
      </w:r>
      <w:r>
        <w:rPr>
          <w:spacing w:val="-13"/>
          <w:sz w:val="20"/>
        </w:rPr>
        <w:t> </w:t>
      </w:r>
      <w:r>
        <w:rPr>
          <w:sz w:val="20"/>
        </w:rPr>
        <w:t>and</w:t>
      </w:r>
      <w:r>
        <w:rPr>
          <w:spacing w:val="-8"/>
          <w:sz w:val="20"/>
        </w:rPr>
        <w:t> </w:t>
      </w:r>
      <w:r>
        <w:rPr>
          <w:sz w:val="20"/>
        </w:rPr>
        <w:t>other</w:t>
      </w:r>
      <w:r>
        <w:rPr>
          <w:spacing w:val="-13"/>
          <w:sz w:val="20"/>
        </w:rPr>
        <w:t> </w:t>
      </w:r>
      <w:r>
        <w:rPr>
          <w:sz w:val="20"/>
        </w:rPr>
        <w:t>evidence</w:t>
      </w:r>
      <w:r>
        <w:rPr>
          <w:spacing w:val="-7"/>
          <w:sz w:val="20"/>
        </w:rPr>
        <w:t> </w:t>
      </w:r>
      <w:r>
        <w:rPr>
          <w:sz w:val="20"/>
        </w:rPr>
        <w:t>and visual presentation in court.</w:t>
      </w:r>
    </w:p>
    <w:p>
      <w:pPr>
        <w:pStyle w:val="ListParagraph"/>
        <w:numPr>
          <w:ilvl w:val="0"/>
          <w:numId w:val="4"/>
        </w:numPr>
        <w:tabs>
          <w:tab w:pos="2967" w:val="left" w:leader="none"/>
        </w:tabs>
        <w:spacing w:line="240" w:lineRule="auto" w:before="122" w:after="0"/>
        <w:ind w:left="2246" w:right="2244" w:firstLine="0"/>
        <w:jc w:val="both"/>
        <w:rPr>
          <w:sz w:val="20"/>
        </w:rPr>
      </w:pPr>
      <w:r>
        <w:rPr>
          <w:sz w:val="20"/>
        </w:rPr>
        <w:t>The Office has seen an increased need for the provision of forensics support to the work of Unified Teams, including in relation to the new investigation in the situation in Ukraine, placing a further burden on the limited resources of the Section. To address this, continual efforts are being made to address the shortage of in-house capacity, for example though case prioritisation, efficiency gains and where possible leveraging partnerships including</w:t>
      </w:r>
      <w:r>
        <w:rPr>
          <w:spacing w:val="-4"/>
          <w:sz w:val="20"/>
        </w:rPr>
        <w:t> </w:t>
      </w:r>
      <w:r>
        <w:rPr>
          <w:sz w:val="20"/>
        </w:rPr>
        <w:t>through</w:t>
      </w:r>
      <w:r>
        <w:rPr>
          <w:spacing w:val="-8"/>
          <w:sz w:val="20"/>
        </w:rPr>
        <w:t> </w:t>
      </w:r>
      <w:r>
        <w:rPr>
          <w:sz w:val="20"/>
        </w:rPr>
        <w:t>the</w:t>
      </w:r>
      <w:r>
        <w:rPr>
          <w:spacing w:val="-7"/>
          <w:sz w:val="20"/>
        </w:rPr>
        <w:t> </w:t>
      </w:r>
      <w:r>
        <w:rPr>
          <w:sz w:val="20"/>
        </w:rPr>
        <w:t>secondment</w:t>
      </w:r>
      <w:r>
        <w:rPr>
          <w:spacing w:val="-3"/>
          <w:sz w:val="20"/>
        </w:rPr>
        <w:t> </w:t>
      </w:r>
      <w:r>
        <w:rPr>
          <w:sz w:val="20"/>
        </w:rPr>
        <w:t>of</w:t>
      </w:r>
      <w:r>
        <w:rPr>
          <w:spacing w:val="-4"/>
          <w:sz w:val="20"/>
        </w:rPr>
        <w:t> </w:t>
      </w:r>
      <w:r>
        <w:rPr>
          <w:sz w:val="20"/>
        </w:rPr>
        <w:t>national</w:t>
      </w:r>
      <w:r>
        <w:rPr>
          <w:spacing w:val="-3"/>
          <w:sz w:val="20"/>
        </w:rPr>
        <w:t> </w:t>
      </w:r>
      <w:r>
        <w:rPr>
          <w:sz w:val="20"/>
        </w:rPr>
        <w:t>experts</w:t>
      </w:r>
      <w:r>
        <w:rPr>
          <w:spacing w:val="-5"/>
          <w:sz w:val="20"/>
        </w:rPr>
        <w:t> </w:t>
      </w:r>
      <w:r>
        <w:rPr>
          <w:sz w:val="20"/>
        </w:rPr>
        <w:t>to</w:t>
      </w:r>
      <w:r>
        <w:rPr>
          <w:spacing w:val="-8"/>
          <w:sz w:val="20"/>
        </w:rPr>
        <w:t> </w:t>
      </w:r>
      <w:r>
        <w:rPr>
          <w:sz w:val="20"/>
        </w:rPr>
        <w:t>the</w:t>
      </w:r>
      <w:r>
        <w:rPr>
          <w:spacing w:val="-7"/>
          <w:sz w:val="20"/>
        </w:rPr>
        <w:t> </w:t>
      </w:r>
      <w:r>
        <w:rPr>
          <w:sz w:val="20"/>
        </w:rPr>
        <w:t>Office</w:t>
      </w:r>
      <w:r>
        <w:rPr>
          <w:spacing w:val="-3"/>
          <w:sz w:val="20"/>
        </w:rPr>
        <w:t> </w:t>
      </w:r>
      <w:r>
        <w:rPr>
          <w:sz w:val="20"/>
        </w:rPr>
        <w:t>with</w:t>
      </w:r>
      <w:r>
        <w:rPr>
          <w:spacing w:val="-4"/>
          <w:sz w:val="20"/>
        </w:rPr>
        <w:t> </w:t>
      </w:r>
      <w:r>
        <w:rPr>
          <w:sz w:val="20"/>
        </w:rPr>
        <w:t>expertise</w:t>
      </w:r>
      <w:r>
        <w:rPr>
          <w:spacing w:val="-7"/>
          <w:sz w:val="20"/>
        </w:rPr>
        <w:t> </w:t>
      </w:r>
      <w:r>
        <w:rPr>
          <w:sz w:val="20"/>
        </w:rPr>
        <w:t>in</w:t>
      </w:r>
      <w:r>
        <w:rPr>
          <w:spacing w:val="-4"/>
          <w:sz w:val="20"/>
        </w:rPr>
        <w:t> </w:t>
      </w:r>
      <w:r>
        <w:rPr>
          <w:sz w:val="20"/>
        </w:rPr>
        <w:t>forensic </w:t>
      </w:r>
      <w:r>
        <w:rPr>
          <w:spacing w:val="-2"/>
          <w:sz w:val="20"/>
        </w:rPr>
        <w:t>activities.</w:t>
      </w:r>
    </w:p>
    <w:p>
      <w:pPr>
        <w:pStyle w:val="BodyText"/>
        <w:spacing w:before="2"/>
        <w:rPr>
          <w:sz w:val="21"/>
        </w:rPr>
      </w:pPr>
    </w:p>
    <w:p>
      <w:pPr>
        <w:pStyle w:val="Heading3"/>
        <w:numPr>
          <w:ilvl w:val="0"/>
          <w:numId w:val="10"/>
        </w:numPr>
        <w:tabs>
          <w:tab w:pos="2246" w:val="left" w:leader="none"/>
          <w:tab w:pos="2247" w:val="left" w:leader="none"/>
        </w:tabs>
        <w:spacing w:line="240" w:lineRule="auto" w:before="0" w:after="0"/>
        <w:ind w:left="2246" w:right="0" w:hanging="568"/>
        <w:jc w:val="left"/>
      </w:pPr>
      <w:r>
        <w:rPr/>
        <w:t>Information,</w:t>
      </w:r>
      <w:r>
        <w:rPr>
          <w:spacing w:val="-9"/>
        </w:rPr>
        <w:t> </w:t>
      </w:r>
      <w:r>
        <w:rPr/>
        <w:t>Knowledge</w:t>
      </w:r>
      <w:r>
        <w:rPr>
          <w:spacing w:val="-4"/>
        </w:rPr>
        <w:t> </w:t>
      </w:r>
      <w:r>
        <w:rPr/>
        <w:t>and</w:t>
      </w:r>
      <w:r>
        <w:rPr>
          <w:spacing w:val="-12"/>
        </w:rPr>
        <w:t> </w:t>
      </w:r>
      <w:r>
        <w:rPr/>
        <w:t>Evidence</w:t>
      </w:r>
      <w:r>
        <w:rPr>
          <w:spacing w:val="-9"/>
        </w:rPr>
        <w:t> </w:t>
      </w:r>
      <w:r>
        <w:rPr/>
        <w:t>Management</w:t>
      </w:r>
      <w:r>
        <w:rPr>
          <w:spacing w:val="-10"/>
        </w:rPr>
        <w:t> </w:t>
      </w:r>
      <w:r>
        <w:rPr>
          <w:spacing w:val="-2"/>
        </w:rPr>
        <w:t>Section</w:t>
      </w:r>
    </w:p>
    <w:p>
      <w:pPr>
        <w:pStyle w:val="BodyText"/>
        <w:spacing w:before="10"/>
        <w:rPr>
          <w:b/>
        </w:rPr>
      </w:pPr>
    </w:p>
    <w:p>
      <w:pPr>
        <w:pStyle w:val="ListParagraph"/>
        <w:numPr>
          <w:ilvl w:val="0"/>
          <w:numId w:val="4"/>
        </w:numPr>
        <w:tabs>
          <w:tab w:pos="2967" w:val="left" w:leader="none"/>
        </w:tabs>
        <w:spacing w:line="240" w:lineRule="auto" w:before="0" w:after="0"/>
        <w:ind w:left="2246" w:right="2241" w:firstLine="0"/>
        <w:jc w:val="both"/>
        <w:rPr>
          <w:sz w:val="20"/>
        </w:rPr>
      </w:pPr>
      <w:r>
        <w:rPr>
          <w:sz w:val="20"/>
        </w:rPr>
        <w:t>The</w:t>
      </w:r>
      <w:r>
        <w:rPr>
          <w:spacing w:val="-10"/>
          <w:sz w:val="20"/>
        </w:rPr>
        <w:t> </w:t>
      </w:r>
      <w:r>
        <w:rPr>
          <w:sz w:val="20"/>
        </w:rPr>
        <w:t>Information,</w:t>
      </w:r>
      <w:r>
        <w:rPr>
          <w:spacing w:val="-9"/>
          <w:sz w:val="20"/>
        </w:rPr>
        <w:t> </w:t>
      </w:r>
      <w:r>
        <w:rPr>
          <w:sz w:val="20"/>
        </w:rPr>
        <w:t>Knowledge</w:t>
      </w:r>
      <w:r>
        <w:rPr>
          <w:spacing w:val="-10"/>
          <w:sz w:val="20"/>
        </w:rPr>
        <w:t> </w:t>
      </w:r>
      <w:r>
        <w:rPr>
          <w:sz w:val="20"/>
        </w:rPr>
        <w:t>and</w:t>
      </w:r>
      <w:r>
        <w:rPr>
          <w:spacing w:val="-11"/>
          <w:sz w:val="20"/>
        </w:rPr>
        <w:t> </w:t>
      </w:r>
      <w:r>
        <w:rPr>
          <w:sz w:val="20"/>
        </w:rPr>
        <w:t>Evidence</w:t>
      </w:r>
      <w:r>
        <w:rPr>
          <w:spacing w:val="-5"/>
          <w:sz w:val="20"/>
        </w:rPr>
        <w:t> </w:t>
      </w:r>
      <w:r>
        <w:rPr>
          <w:sz w:val="20"/>
        </w:rPr>
        <w:t>Management</w:t>
      </w:r>
      <w:r>
        <w:rPr>
          <w:spacing w:val="-5"/>
          <w:sz w:val="20"/>
        </w:rPr>
        <w:t> </w:t>
      </w:r>
      <w:r>
        <w:rPr>
          <w:sz w:val="20"/>
        </w:rPr>
        <w:t>Section</w:t>
      </w:r>
      <w:r>
        <w:rPr>
          <w:spacing w:val="-11"/>
          <w:sz w:val="20"/>
        </w:rPr>
        <w:t> </w:t>
      </w:r>
      <w:r>
        <w:rPr>
          <w:sz w:val="20"/>
        </w:rPr>
        <w:t>(IKEMS),</w:t>
      </w:r>
      <w:r>
        <w:rPr>
          <w:spacing w:val="-9"/>
          <w:sz w:val="20"/>
        </w:rPr>
        <w:t> </w:t>
      </w:r>
      <w:r>
        <w:rPr>
          <w:sz w:val="20"/>
        </w:rPr>
        <w:t>headed by an Information Management Coordinator, combines the OTP’s information knowledge and</w:t>
      </w:r>
      <w:r>
        <w:rPr>
          <w:spacing w:val="-13"/>
          <w:sz w:val="20"/>
        </w:rPr>
        <w:t> </w:t>
      </w:r>
      <w:r>
        <w:rPr>
          <w:sz w:val="20"/>
        </w:rPr>
        <w:t>evidence</w:t>
      </w:r>
      <w:r>
        <w:rPr>
          <w:spacing w:val="-12"/>
          <w:sz w:val="20"/>
        </w:rPr>
        <w:t> </w:t>
      </w:r>
      <w:r>
        <w:rPr>
          <w:sz w:val="20"/>
        </w:rPr>
        <w:t>management</w:t>
      </w:r>
      <w:r>
        <w:rPr>
          <w:spacing w:val="-13"/>
          <w:sz w:val="20"/>
        </w:rPr>
        <w:t> </w:t>
      </w:r>
      <w:r>
        <w:rPr>
          <w:sz w:val="20"/>
        </w:rPr>
        <w:t>operations</w:t>
      </w:r>
      <w:r>
        <w:rPr>
          <w:spacing w:val="-12"/>
          <w:sz w:val="20"/>
        </w:rPr>
        <w:t> </w:t>
      </w:r>
      <w:r>
        <w:rPr>
          <w:sz w:val="20"/>
        </w:rPr>
        <w:t>into</w:t>
      </w:r>
      <w:r>
        <w:rPr>
          <w:spacing w:val="-13"/>
          <w:sz w:val="20"/>
        </w:rPr>
        <w:t> </w:t>
      </w:r>
      <w:r>
        <w:rPr>
          <w:sz w:val="20"/>
        </w:rPr>
        <w:t>one</w:t>
      </w:r>
      <w:r>
        <w:rPr>
          <w:spacing w:val="-12"/>
          <w:sz w:val="20"/>
        </w:rPr>
        <w:t> </w:t>
      </w:r>
      <w:r>
        <w:rPr>
          <w:sz w:val="20"/>
        </w:rPr>
        <w:t>consolidated</w:t>
      </w:r>
      <w:r>
        <w:rPr>
          <w:spacing w:val="-13"/>
          <w:sz w:val="20"/>
        </w:rPr>
        <w:t> </w:t>
      </w:r>
      <w:r>
        <w:rPr>
          <w:sz w:val="20"/>
        </w:rPr>
        <w:t>section.</w:t>
      </w:r>
      <w:r>
        <w:rPr>
          <w:spacing w:val="-12"/>
          <w:sz w:val="20"/>
        </w:rPr>
        <w:t> </w:t>
      </w:r>
      <w:r>
        <w:rPr>
          <w:sz w:val="20"/>
        </w:rPr>
        <w:t>IKEMS</w:t>
      </w:r>
      <w:r>
        <w:rPr>
          <w:spacing w:val="-13"/>
          <w:sz w:val="20"/>
        </w:rPr>
        <w:t> </w:t>
      </w:r>
      <w:r>
        <w:rPr>
          <w:sz w:val="20"/>
        </w:rPr>
        <w:t>aims</w:t>
      </w:r>
      <w:r>
        <w:rPr>
          <w:spacing w:val="-12"/>
          <w:sz w:val="20"/>
        </w:rPr>
        <w:t> </w:t>
      </w:r>
      <w:r>
        <w:rPr>
          <w:sz w:val="20"/>
        </w:rPr>
        <w:t>to</w:t>
      </w:r>
      <w:r>
        <w:rPr>
          <w:spacing w:val="-13"/>
          <w:sz w:val="20"/>
        </w:rPr>
        <w:t> </w:t>
      </w:r>
      <w:r>
        <w:rPr>
          <w:sz w:val="20"/>
        </w:rPr>
        <w:t>maintain a coordinated, flexible and operationally responsive IKEM support capacity throughout the OTP, in order to support the full spectrum of OTP information, evidence, eDiscovery, disclosure</w:t>
      </w:r>
      <w:r>
        <w:rPr>
          <w:spacing w:val="-7"/>
          <w:sz w:val="20"/>
        </w:rPr>
        <w:t> </w:t>
      </w:r>
      <w:r>
        <w:rPr>
          <w:sz w:val="20"/>
        </w:rPr>
        <w:t>and</w:t>
      </w:r>
      <w:r>
        <w:rPr>
          <w:spacing w:val="-8"/>
          <w:sz w:val="20"/>
        </w:rPr>
        <w:t> </w:t>
      </w:r>
      <w:r>
        <w:rPr>
          <w:sz w:val="20"/>
        </w:rPr>
        <w:t>archiving</w:t>
      </w:r>
      <w:r>
        <w:rPr>
          <w:spacing w:val="-4"/>
          <w:sz w:val="20"/>
        </w:rPr>
        <w:t> </w:t>
      </w:r>
      <w:r>
        <w:rPr>
          <w:sz w:val="20"/>
        </w:rPr>
        <w:t>operations.</w:t>
      </w:r>
      <w:r>
        <w:rPr>
          <w:spacing w:val="-6"/>
          <w:sz w:val="20"/>
        </w:rPr>
        <w:t> </w:t>
      </w:r>
      <w:r>
        <w:rPr>
          <w:sz w:val="20"/>
        </w:rPr>
        <w:t>IKEMS</w:t>
      </w:r>
      <w:r>
        <w:rPr>
          <w:spacing w:val="-10"/>
          <w:sz w:val="20"/>
        </w:rPr>
        <w:t> </w:t>
      </w:r>
      <w:r>
        <w:rPr>
          <w:sz w:val="20"/>
        </w:rPr>
        <w:t>is</w:t>
      </w:r>
      <w:r>
        <w:rPr>
          <w:spacing w:val="-10"/>
          <w:sz w:val="20"/>
        </w:rPr>
        <w:t> </w:t>
      </w:r>
      <w:r>
        <w:rPr>
          <w:sz w:val="20"/>
        </w:rPr>
        <w:t>leading</w:t>
      </w:r>
      <w:r>
        <w:rPr>
          <w:spacing w:val="-8"/>
          <w:sz w:val="20"/>
        </w:rPr>
        <w:t> </w:t>
      </w:r>
      <w:r>
        <w:rPr>
          <w:sz w:val="20"/>
        </w:rPr>
        <w:t>the</w:t>
      </w:r>
      <w:r>
        <w:rPr>
          <w:spacing w:val="-7"/>
          <w:sz w:val="20"/>
        </w:rPr>
        <w:t> </w:t>
      </w:r>
      <w:r>
        <w:rPr>
          <w:sz w:val="20"/>
        </w:rPr>
        <w:t>OTP-wide</w:t>
      </w:r>
      <w:r>
        <w:rPr>
          <w:spacing w:val="-7"/>
          <w:sz w:val="20"/>
        </w:rPr>
        <w:t> </w:t>
      </w:r>
      <w:r>
        <w:rPr>
          <w:sz w:val="20"/>
        </w:rPr>
        <w:t>modernization</w:t>
      </w:r>
      <w:r>
        <w:rPr>
          <w:spacing w:val="-8"/>
          <w:sz w:val="20"/>
        </w:rPr>
        <w:t> </w:t>
      </w:r>
      <w:r>
        <w:rPr>
          <w:sz w:val="20"/>
        </w:rPr>
        <w:t>process by</w:t>
      </w:r>
      <w:r>
        <w:rPr>
          <w:spacing w:val="-13"/>
          <w:sz w:val="20"/>
        </w:rPr>
        <w:t> </w:t>
      </w:r>
      <w:r>
        <w:rPr>
          <w:sz w:val="20"/>
        </w:rPr>
        <w:t>implementing</w:t>
      </w:r>
      <w:r>
        <w:rPr>
          <w:spacing w:val="-12"/>
          <w:sz w:val="20"/>
        </w:rPr>
        <w:t> </w:t>
      </w:r>
      <w:r>
        <w:rPr>
          <w:sz w:val="20"/>
        </w:rPr>
        <w:t>specialized</w:t>
      </w:r>
      <w:r>
        <w:rPr>
          <w:spacing w:val="-13"/>
          <w:sz w:val="20"/>
        </w:rPr>
        <w:t> </w:t>
      </w:r>
      <w:r>
        <w:rPr>
          <w:sz w:val="20"/>
        </w:rPr>
        <w:t>software</w:t>
      </w:r>
      <w:r>
        <w:rPr>
          <w:spacing w:val="-12"/>
          <w:sz w:val="20"/>
        </w:rPr>
        <w:t> </w:t>
      </w:r>
      <w:r>
        <w:rPr>
          <w:sz w:val="20"/>
        </w:rPr>
        <w:t>applications</w:t>
      </w:r>
      <w:r>
        <w:rPr>
          <w:spacing w:val="-11"/>
          <w:sz w:val="20"/>
        </w:rPr>
        <w:t> </w:t>
      </w:r>
      <w:r>
        <w:rPr>
          <w:sz w:val="20"/>
        </w:rPr>
        <w:t>crucial</w:t>
      </w:r>
      <w:r>
        <w:rPr>
          <w:spacing w:val="-13"/>
          <w:sz w:val="20"/>
        </w:rPr>
        <w:t> </w:t>
      </w:r>
      <w:r>
        <w:rPr>
          <w:sz w:val="20"/>
        </w:rPr>
        <w:t>to</w:t>
      </w:r>
      <w:r>
        <w:rPr>
          <w:spacing w:val="-12"/>
          <w:sz w:val="20"/>
        </w:rPr>
        <w:t> </w:t>
      </w:r>
      <w:r>
        <w:rPr>
          <w:sz w:val="20"/>
        </w:rPr>
        <w:t>supporting</w:t>
      </w:r>
      <w:r>
        <w:rPr>
          <w:spacing w:val="-13"/>
          <w:sz w:val="20"/>
        </w:rPr>
        <w:t> </w:t>
      </w:r>
      <w:r>
        <w:rPr>
          <w:sz w:val="20"/>
        </w:rPr>
        <w:t>the</w:t>
      </w:r>
      <w:r>
        <w:rPr>
          <w:spacing w:val="-12"/>
          <w:sz w:val="20"/>
        </w:rPr>
        <w:t> </w:t>
      </w:r>
      <w:r>
        <w:rPr>
          <w:sz w:val="20"/>
        </w:rPr>
        <w:t>investigative</w:t>
      </w:r>
      <w:r>
        <w:rPr>
          <w:spacing w:val="-12"/>
          <w:sz w:val="20"/>
        </w:rPr>
        <w:t> </w:t>
      </w:r>
      <w:r>
        <w:rPr>
          <w:sz w:val="20"/>
        </w:rPr>
        <w:t>and prosecutorial activities of the OTP.</w:t>
      </w:r>
    </w:p>
    <w:p>
      <w:pPr>
        <w:pStyle w:val="ListParagraph"/>
        <w:numPr>
          <w:ilvl w:val="0"/>
          <w:numId w:val="4"/>
        </w:numPr>
        <w:tabs>
          <w:tab w:pos="2967" w:val="left" w:leader="none"/>
        </w:tabs>
        <w:spacing w:line="240" w:lineRule="auto" w:before="119" w:after="0"/>
        <w:ind w:left="2246" w:right="2243" w:firstLine="0"/>
        <w:jc w:val="both"/>
        <w:rPr>
          <w:sz w:val="20"/>
        </w:rPr>
      </w:pPr>
      <w:r>
        <w:rPr>
          <w:sz w:val="20"/>
        </w:rPr>
        <w:t>The Information Management Coordinator leads the four IKEMS units: the Information and Evidence Unit (IEU), the Business Solutions Development Unit (BSDU), the eDiscovery and Data Analysis Unit (EDAU), and the Cyber Unit (digital, mobile and telecommunications forensics, cyber investigations, etc.). The Information Management Coordinator by extension, acts as the Office’s focal point for all IKEM issues.</w:t>
      </w:r>
    </w:p>
    <w:p>
      <w:pPr>
        <w:pStyle w:val="ListParagraph"/>
        <w:numPr>
          <w:ilvl w:val="0"/>
          <w:numId w:val="4"/>
        </w:numPr>
        <w:tabs>
          <w:tab w:pos="2967" w:val="left" w:leader="none"/>
        </w:tabs>
        <w:spacing w:line="240" w:lineRule="auto" w:before="118" w:after="0"/>
        <w:ind w:left="2967" w:right="0" w:hanging="721"/>
        <w:jc w:val="both"/>
        <w:rPr>
          <w:sz w:val="20"/>
        </w:rPr>
      </w:pPr>
      <w:r>
        <w:rPr>
          <w:sz w:val="20"/>
        </w:rPr>
        <w:t>BSDU</w:t>
      </w:r>
      <w:r>
        <w:rPr>
          <w:spacing w:val="-8"/>
          <w:sz w:val="20"/>
        </w:rPr>
        <w:t> </w:t>
      </w:r>
      <w:r>
        <w:rPr>
          <w:sz w:val="20"/>
        </w:rPr>
        <w:t>is</w:t>
      </w:r>
      <w:r>
        <w:rPr>
          <w:spacing w:val="-5"/>
          <w:sz w:val="20"/>
        </w:rPr>
        <w:t> </w:t>
      </w:r>
      <w:r>
        <w:rPr>
          <w:sz w:val="20"/>
        </w:rPr>
        <w:t>responsible</w:t>
      </w:r>
      <w:r>
        <w:rPr>
          <w:spacing w:val="-2"/>
          <w:sz w:val="20"/>
        </w:rPr>
        <w:t> </w:t>
      </w:r>
      <w:r>
        <w:rPr>
          <w:spacing w:val="-4"/>
          <w:sz w:val="20"/>
        </w:rPr>
        <w:t>for:</w:t>
      </w:r>
    </w:p>
    <w:p>
      <w:pPr>
        <w:pStyle w:val="ListParagraph"/>
        <w:numPr>
          <w:ilvl w:val="1"/>
          <w:numId w:val="4"/>
        </w:numPr>
        <w:tabs>
          <w:tab w:pos="3686" w:val="left" w:leader="none"/>
          <w:tab w:pos="3687" w:val="left" w:leader="none"/>
        </w:tabs>
        <w:spacing w:line="240" w:lineRule="auto" w:before="120" w:after="0"/>
        <w:ind w:left="2957" w:right="2247" w:firstLine="0"/>
        <w:jc w:val="both"/>
        <w:rPr>
          <w:sz w:val="20"/>
        </w:rPr>
      </w:pPr>
      <w:r>
        <w:rPr>
          <w:sz w:val="20"/>
        </w:rPr>
        <w:t>overseeing the integrity and cohesion of the OTP’s data, information and solution architectures;</w:t>
      </w:r>
    </w:p>
    <w:p>
      <w:pPr>
        <w:pStyle w:val="ListParagraph"/>
        <w:numPr>
          <w:ilvl w:val="1"/>
          <w:numId w:val="4"/>
        </w:numPr>
        <w:tabs>
          <w:tab w:pos="3686" w:val="left" w:leader="none"/>
          <w:tab w:pos="3687" w:val="left" w:leader="none"/>
        </w:tabs>
        <w:spacing w:line="240" w:lineRule="auto" w:before="122" w:after="0"/>
        <w:ind w:left="2957" w:right="2248" w:firstLine="0"/>
        <w:jc w:val="both"/>
        <w:rPr>
          <w:sz w:val="20"/>
        </w:rPr>
      </w:pPr>
      <w:r>
        <w:rPr>
          <w:sz w:val="20"/>
        </w:rPr>
        <w:t>coordinating the OTP’s approach to and framework for knowledge </w:t>
      </w:r>
      <w:r>
        <w:rPr>
          <w:spacing w:val="-2"/>
          <w:sz w:val="20"/>
        </w:rPr>
        <w:t>management;</w:t>
      </w:r>
    </w:p>
    <w:p>
      <w:pPr>
        <w:pStyle w:val="ListParagraph"/>
        <w:numPr>
          <w:ilvl w:val="1"/>
          <w:numId w:val="4"/>
        </w:numPr>
        <w:tabs>
          <w:tab w:pos="3686" w:val="left" w:leader="none"/>
          <w:tab w:pos="3687" w:val="left" w:leader="none"/>
        </w:tabs>
        <w:spacing w:line="240" w:lineRule="auto" w:before="121" w:after="0"/>
        <w:ind w:left="2957" w:right="2240" w:firstLine="0"/>
        <w:jc w:val="both"/>
        <w:rPr>
          <w:sz w:val="20"/>
        </w:rPr>
      </w:pPr>
      <w:r>
        <w:rPr>
          <w:sz w:val="20"/>
        </w:rPr>
        <w:t>conducting business analyses, process review and mapping, requirements gathering,</w:t>
      </w:r>
      <w:r>
        <w:rPr>
          <w:spacing w:val="-12"/>
          <w:sz w:val="20"/>
        </w:rPr>
        <w:t> </w:t>
      </w:r>
      <w:r>
        <w:rPr>
          <w:sz w:val="20"/>
        </w:rPr>
        <w:t>eLearning</w:t>
      </w:r>
      <w:r>
        <w:rPr>
          <w:spacing w:val="-7"/>
          <w:sz w:val="20"/>
        </w:rPr>
        <w:t> </w:t>
      </w:r>
      <w:r>
        <w:rPr>
          <w:sz w:val="20"/>
        </w:rPr>
        <w:t>and</w:t>
      </w:r>
      <w:r>
        <w:rPr>
          <w:spacing w:val="-7"/>
          <w:sz w:val="20"/>
        </w:rPr>
        <w:t> </w:t>
      </w:r>
      <w:r>
        <w:rPr>
          <w:sz w:val="20"/>
        </w:rPr>
        <w:t>needs</w:t>
      </w:r>
      <w:r>
        <w:rPr>
          <w:spacing w:val="-13"/>
          <w:sz w:val="20"/>
        </w:rPr>
        <w:t> </w:t>
      </w:r>
      <w:r>
        <w:rPr>
          <w:sz w:val="20"/>
        </w:rPr>
        <w:t>assessments</w:t>
      </w:r>
      <w:r>
        <w:rPr>
          <w:spacing w:val="-9"/>
          <w:sz w:val="20"/>
        </w:rPr>
        <w:t> </w:t>
      </w:r>
      <w:r>
        <w:rPr>
          <w:sz w:val="20"/>
        </w:rPr>
        <w:t>on</w:t>
      </w:r>
      <w:r>
        <w:rPr>
          <w:spacing w:val="-12"/>
          <w:sz w:val="20"/>
        </w:rPr>
        <w:t> </w:t>
      </w:r>
      <w:r>
        <w:rPr>
          <w:sz w:val="20"/>
        </w:rPr>
        <w:t>behalf</w:t>
      </w:r>
      <w:r>
        <w:rPr>
          <w:spacing w:val="-12"/>
          <w:sz w:val="20"/>
        </w:rPr>
        <w:t> </w:t>
      </w:r>
      <w:r>
        <w:rPr>
          <w:sz w:val="20"/>
        </w:rPr>
        <w:t>of</w:t>
      </w:r>
      <w:r>
        <w:rPr>
          <w:spacing w:val="-12"/>
          <w:sz w:val="20"/>
        </w:rPr>
        <w:t> </w:t>
      </w:r>
      <w:r>
        <w:rPr>
          <w:sz w:val="20"/>
        </w:rPr>
        <w:t>the</w:t>
      </w:r>
      <w:r>
        <w:rPr>
          <w:spacing w:val="-11"/>
          <w:sz w:val="20"/>
        </w:rPr>
        <w:t> </w:t>
      </w:r>
      <w:r>
        <w:rPr>
          <w:sz w:val="20"/>
        </w:rPr>
        <w:t>Prosecutor,</w:t>
      </w:r>
      <w:r>
        <w:rPr>
          <w:spacing w:val="-10"/>
          <w:sz w:val="20"/>
        </w:rPr>
        <w:t> </w:t>
      </w:r>
      <w:r>
        <w:rPr>
          <w:sz w:val="20"/>
        </w:rPr>
        <w:t>for</w:t>
      </w:r>
      <w:r>
        <w:rPr>
          <w:spacing w:val="-12"/>
          <w:sz w:val="20"/>
        </w:rPr>
        <w:t> </w:t>
      </w:r>
      <w:r>
        <w:rPr>
          <w:sz w:val="20"/>
        </w:rPr>
        <w:t>all</w:t>
      </w:r>
      <w:r>
        <w:rPr>
          <w:spacing w:val="-6"/>
          <w:sz w:val="20"/>
        </w:rPr>
        <w:t> </w:t>
      </w:r>
      <w:r>
        <w:rPr>
          <w:sz w:val="20"/>
        </w:rPr>
        <w:t>OTP business streams;</w:t>
      </w:r>
    </w:p>
    <w:p>
      <w:pPr>
        <w:pStyle w:val="ListParagraph"/>
        <w:numPr>
          <w:ilvl w:val="1"/>
          <w:numId w:val="4"/>
        </w:numPr>
        <w:tabs>
          <w:tab w:pos="3686" w:val="left" w:leader="none"/>
          <w:tab w:pos="3687" w:val="left" w:leader="none"/>
        </w:tabs>
        <w:spacing w:line="240" w:lineRule="auto" w:before="121" w:after="0"/>
        <w:ind w:left="2957" w:right="2236" w:firstLine="0"/>
        <w:jc w:val="both"/>
        <w:rPr>
          <w:sz w:val="20"/>
        </w:rPr>
      </w:pPr>
      <w:r>
        <w:rPr>
          <w:sz w:val="20"/>
        </w:rPr>
        <w:t>managing OTP solutions development initiatives through in-house programme and project evaluation, as well as intra- and inter-organ collaboration; </w:t>
      </w:r>
      <w:r>
        <w:rPr>
          <w:spacing w:val="-4"/>
          <w:sz w:val="20"/>
        </w:rPr>
        <w:t>and</w:t>
      </w:r>
    </w:p>
    <w:p>
      <w:pPr>
        <w:pStyle w:val="ListParagraph"/>
        <w:numPr>
          <w:ilvl w:val="1"/>
          <w:numId w:val="4"/>
        </w:numPr>
        <w:tabs>
          <w:tab w:pos="3686" w:val="left" w:leader="none"/>
          <w:tab w:pos="3687" w:val="left" w:leader="none"/>
        </w:tabs>
        <w:spacing w:line="240" w:lineRule="auto" w:before="117" w:after="0"/>
        <w:ind w:left="2957" w:right="2241" w:firstLine="0"/>
        <w:jc w:val="both"/>
        <w:rPr>
          <w:sz w:val="20"/>
        </w:rPr>
      </w:pPr>
      <w:r>
        <w:rPr>
          <w:sz w:val="20"/>
        </w:rPr>
        <w:t>maintaining direct (embedded) information management support to OTP unified teams, from preliminary examinations to the pre-trial phase.</w:t>
      </w:r>
    </w:p>
    <w:p>
      <w:pPr>
        <w:pStyle w:val="ListParagraph"/>
        <w:numPr>
          <w:ilvl w:val="0"/>
          <w:numId w:val="4"/>
        </w:numPr>
        <w:tabs>
          <w:tab w:pos="2967" w:val="left" w:leader="none"/>
        </w:tabs>
        <w:spacing w:line="240" w:lineRule="auto" w:before="121" w:after="0"/>
        <w:ind w:left="2967" w:right="0" w:hanging="721"/>
        <w:jc w:val="both"/>
        <w:rPr>
          <w:sz w:val="20"/>
        </w:rPr>
      </w:pPr>
      <w:r>
        <w:rPr>
          <w:sz w:val="20"/>
        </w:rPr>
        <w:t>IEU</w:t>
      </w:r>
      <w:r>
        <w:rPr>
          <w:spacing w:val="-9"/>
          <w:sz w:val="20"/>
        </w:rPr>
        <w:t> </w:t>
      </w:r>
      <w:r>
        <w:rPr>
          <w:sz w:val="20"/>
        </w:rPr>
        <w:t>is</w:t>
      </w:r>
      <w:r>
        <w:rPr>
          <w:spacing w:val="-2"/>
          <w:sz w:val="20"/>
        </w:rPr>
        <w:t> </w:t>
      </w:r>
      <w:r>
        <w:rPr>
          <w:sz w:val="20"/>
        </w:rPr>
        <w:t>responsible</w:t>
      </w:r>
      <w:r>
        <w:rPr>
          <w:spacing w:val="-4"/>
          <w:sz w:val="20"/>
        </w:rPr>
        <w:t> for:</w:t>
      </w:r>
    </w:p>
    <w:p>
      <w:pPr>
        <w:pStyle w:val="ListParagraph"/>
        <w:numPr>
          <w:ilvl w:val="1"/>
          <w:numId w:val="4"/>
        </w:numPr>
        <w:tabs>
          <w:tab w:pos="3686" w:val="left" w:leader="none"/>
          <w:tab w:pos="3687" w:val="left" w:leader="none"/>
        </w:tabs>
        <w:spacing w:line="240" w:lineRule="auto" w:before="120" w:after="0"/>
        <w:ind w:left="2957" w:right="2242" w:firstLine="0"/>
        <w:jc w:val="both"/>
        <w:rPr>
          <w:sz w:val="20"/>
        </w:rPr>
      </w:pPr>
      <w:r>
        <w:rPr>
          <w:sz w:val="20"/>
        </w:rPr>
        <w:t>evidence</w:t>
      </w:r>
      <w:r>
        <w:rPr>
          <w:spacing w:val="-8"/>
          <w:sz w:val="20"/>
        </w:rPr>
        <w:t> </w:t>
      </w:r>
      <w:r>
        <w:rPr>
          <w:sz w:val="20"/>
        </w:rPr>
        <w:t>management,</w:t>
      </w:r>
      <w:r>
        <w:rPr>
          <w:spacing w:val="-7"/>
          <w:sz w:val="20"/>
        </w:rPr>
        <w:t> </w:t>
      </w:r>
      <w:r>
        <w:rPr>
          <w:sz w:val="20"/>
        </w:rPr>
        <w:t>including</w:t>
      </w:r>
      <w:r>
        <w:rPr>
          <w:spacing w:val="-9"/>
          <w:sz w:val="20"/>
        </w:rPr>
        <w:t> </w:t>
      </w:r>
      <w:r>
        <w:rPr>
          <w:sz w:val="20"/>
        </w:rPr>
        <w:t>ingestion,</w:t>
      </w:r>
      <w:r>
        <w:rPr>
          <w:spacing w:val="-7"/>
          <w:sz w:val="20"/>
        </w:rPr>
        <w:t> </w:t>
      </w:r>
      <w:r>
        <w:rPr>
          <w:sz w:val="20"/>
        </w:rPr>
        <w:t>registration,</w:t>
      </w:r>
      <w:r>
        <w:rPr>
          <w:spacing w:val="-7"/>
          <w:sz w:val="20"/>
        </w:rPr>
        <w:t> </w:t>
      </w:r>
      <w:r>
        <w:rPr>
          <w:sz w:val="20"/>
        </w:rPr>
        <w:t>chain-of-custody, physical and digital storage, custodianship, and retrieval;</w:t>
      </w:r>
    </w:p>
    <w:p>
      <w:pPr>
        <w:pStyle w:val="ListParagraph"/>
        <w:numPr>
          <w:ilvl w:val="1"/>
          <w:numId w:val="4"/>
        </w:numPr>
        <w:tabs>
          <w:tab w:pos="3686" w:val="left" w:leader="none"/>
          <w:tab w:pos="3687" w:val="left" w:leader="none"/>
        </w:tabs>
        <w:spacing w:line="240" w:lineRule="auto" w:before="121" w:after="0"/>
        <w:ind w:left="2957" w:right="2242" w:firstLine="0"/>
        <w:jc w:val="both"/>
        <w:rPr>
          <w:sz w:val="20"/>
        </w:rPr>
      </w:pPr>
      <w:r>
        <w:rPr>
          <w:sz w:val="20"/>
        </w:rPr>
        <w:t>provision</w:t>
      </w:r>
      <w:r>
        <w:rPr>
          <w:spacing w:val="-5"/>
          <w:sz w:val="20"/>
        </w:rPr>
        <w:t> </w:t>
      </w:r>
      <w:r>
        <w:rPr>
          <w:sz w:val="20"/>
        </w:rPr>
        <w:t>of</w:t>
      </w:r>
      <w:r>
        <w:rPr>
          <w:spacing w:val="-9"/>
          <w:sz w:val="20"/>
        </w:rPr>
        <w:t> </w:t>
      </w:r>
      <w:r>
        <w:rPr>
          <w:sz w:val="20"/>
        </w:rPr>
        <w:t>advice</w:t>
      </w:r>
      <w:r>
        <w:rPr>
          <w:spacing w:val="-8"/>
          <w:sz w:val="20"/>
        </w:rPr>
        <w:t> </w:t>
      </w:r>
      <w:r>
        <w:rPr>
          <w:sz w:val="20"/>
        </w:rPr>
        <w:t>to</w:t>
      </w:r>
      <w:r>
        <w:rPr>
          <w:spacing w:val="-5"/>
          <w:sz w:val="20"/>
        </w:rPr>
        <w:t> </w:t>
      </w:r>
      <w:r>
        <w:rPr>
          <w:sz w:val="20"/>
        </w:rPr>
        <w:t>the</w:t>
      </w:r>
      <w:r>
        <w:rPr>
          <w:spacing w:val="-3"/>
          <w:sz w:val="20"/>
        </w:rPr>
        <w:t> </w:t>
      </w:r>
      <w:r>
        <w:rPr>
          <w:sz w:val="20"/>
        </w:rPr>
        <w:t>OTP</w:t>
      </w:r>
      <w:r>
        <w:rPr>
          <w:spacing w:val="-6"/>
          <w:sz w:val="20"/>
        </w:rPr>
        <w:t> </w:t>
      </w:r>
      <w:r>
        <w:rPr>
          <w:sz w:val="20"/>
        </w:rPr>
        <w:t>on</w:t>
      </w:r>
      <w:r>
        <w:rPr>
          <w:spacing w:val="-5"/>
          <w:sz w:val="20"/>
        </w:rPr>
        <w:t> </w:t>
      </w:r>
      <w:r>
        <w:rPr>
          <w:sz w:val="20"/>
        </w:rPr>
        <w:t>the</w:t>
      </w:r>
      <w:r>
        <w:rPr>
          <w:spacing w:val="-8"/>
          <w:sz w:val="20"/>
        </w:rPr>
        <w:t> </w:t>
      </w:r>
      <w:r>
        <w:rPr>
          <w:sz w:val="20"/>
        </w:rPr>
        <w:t>collection,</w:t>
      </w:r>
      <w:r>
        <w:rPr>
          <w:spacing w:val="-7"/>
          <w:sz w:val="20"/>
        </w:rPr>
        <w:t> </w:t>
      </w:r>
      <w:r>
        <w:rPr>
          <w:sz w:val="20"/>
        </w:rPr>
        <w:t>handling</w:t>
      </w:r>
      <w:r>
        <w:rPr>
          <w:spacing w:val="-5"/>
          <w:sz w:val="20"/>
        </w:rPr>
        <w:t> </w:t>
      </w:r>
      <w:r>
        <w:rPr>
          <w:sz w:val="20"/>
        </w:rPr>
        <w:t>and digitization of evidence;</w:t>
      </w:r>
    </w:p>
    <w:p>
      <w:pPr>
        <w:spacing w:after="0" w:line="240" w:lineRule="auto"/>
        <w:jc w:val="both"/>
        <w:rPr>
          <w:sz w:val="20"/>
        </w:rPr>
        <w:sectPr>
          <w:pgSz w:w="11910" w:h="16840"/>
          <w:pgMar w:header="957" w:footer="940" w:top="1140" w:bottom="1140" w:left="20" w:right="20"/>
        </w:sectPr>
      </w:pPr>
    </w:p>
    <w:p>
      <w:pPr>
        <w:pStyle w:val="ListParagraph"/>
        <w:numPr>
          <w:ilvl w:val="1"/>
          <w:numId w:val="4"/>
        </w:numPr>
        <w:tabs>
          <w:tab w:pos="3686" w:val="left" w:leader="none"/>
          <w:tab w:pos="3687" w:val="left" w:leader="none"/>
        </w:tabs>
        <w:spacing w:line="240" w:lineRule="auto" w:before="124" w:after="0"/>
        <w:ind w:left="2957" w:right="2248" w:firstLine="0"/>
        <w:jc w:val="both"/>
        <w:rPr>
          <w:sz w:val="20"/>
        </w:rPr>
      </w:pPr>
      <w:r>
        <w:rPr>
          <w:sz w:val="20"/>
        </w:rPr>
        <w:t>management of administrative processes surrounding material collected and submitted under article 15; and</w:t>
      </w:r>
    </w:p>
    <w:p>
      <w:pPr>
        <w:pStyle w:val="ListParagraph"/>
        <w:numPr>
          <w:ilvl w:val="1"/>
          <w:numId w:val="4"/>
        </w:numPr>
        <w:tabs>
          <w:tab w:pos="3686" w:val="left" w:leader="none"/>
          <w:tab w:pos="3687" w:val="left" w:leader="none"/>
        </w:tabs>
        <w:spacing w:line="240" w:lineRule="auto" w:before="121" w:after="0"/>
        <w:ind w:left="2957" w:right="2247" w:firstLine="0"/>
        <w:jc w:val="both"/>
        <w:rPr>
          <w:sz w:val="20"/>
        </w:rPr>
      </w:pPr>
      <w:r>
        <w:rPr>
          <w:sz w:val="20"/>
        </w:rPr>
        <w:t>witness interview and technical mission support services, including centralized equipment management and distribution, safe storage and transfer of </w:t>
      </w:r>
      <w:r>
        <w:rPr>
          <w:spacing w:val="-2"/>
          <w:sz w:val="20"/>
        </w:rPr>
        <w:t>evidence.</w:t>
      </w:r>
    </w:p>
    <w:p>
      <w:pPr>
        <w:pStyle w:val="ListParagraph"/>
        <w:numPr>
          <w:ilvl w:val="0"/>
          <w:numId w:val="4"/>
        </w:numPr>
        <w:tabs>
          <w:tab w:pos="2966" w:val="left" w:leader="none"/>
          <w:tab w:pos="2967" w:val="left" w:leader="none"/>
        </w:tabs>
        <w:spacing w:line="240" w:lineRule="auto" w:before="122" w:after="0"/>
        <w:ind w:left="2967" w:right="0" w:hanging="721"/>
        <w:jc w:val="left"/>
        <w:rPr>
          <w:sz w:val="20"/>
        </w:rPr>
      </w:pPr>
      <w:r>
        <w:rPr>
          <w:sz w:val="20"/>
        </w:rPr>
        <w:t>EDAU</w:t>
      </w:r>
      <w:r>
        <w:rPr>
          <w:spacing w:val="-6"/>
          <w:sz w:val="20"/>
        </w:rPr>
        <w:t> </w:t>
      </w:r>
      <w:r>
        <w:rPr>
          <w:sz w:val="20"/>
        </w:rPr>
        <w:t>is</w:t>
      </w:r>
      <w:r>
        <w:rPr>
          <w:spacing w:val="-8"/>
          <w:sz w:val="20"/>
        </w:rPr>
        <w:t> </w:t>
      </w:r>
      <w:r>
        <w:rPr>
          <w:sz w:val="20"/>
        </w:rPr>
        <w:t>responsible</w:t>
      </w:r>
      <w:r>
        <w:rPr>
          <w:spacing w:val="-5"/>
          <w:sz w:val="20"/>
        </w:rPr>
        <w:t> </w:t>
      </w:r>
      <w:r>
        <w:rPr>
          <w:spacing w:val="-4"/>
          <w:sz w:val="20"/>
        </w:rPr>
        <w:t>for:</w:t>
      </w:r>
    </w:p>
    <w:p>
      <w:pPr>
        <w:pStyle w:val="ListParagraph"/>
        <w:numPr>
          <w:ilvl w:val="1"/>
          <w:numId w:val="4"/>
        </w:numPr>
        <w:tabs>
          <w:tab w:pos="3686" w:val="left" w:leader="none"/>
          <w:tab w:pos="3687" w:val="left" w:leader="none"/>
        </w:tabs>
        <w:spacing w:line="240" w:lineRule="auto" w:before="120" w:after="0"/>
        <w:ind w:left="2957" w:right="2242" w:firstLine="0"/>
        <w:jc w:val="both"/>
        <w:rPr>
          <w:sz w:val="20"/>
        </w:rPr>
      </w:pPr>
      <w:r>
        <w:rPr>
          <w:sz w:val="20"/>
        </w:rPr>
        <w:t>direct eDiscovery and big data analysis support to OTP investigations, including technology assisted review;</w:t>
      </w:r>
    </w:p>
    <w:p>
      <w:pPr>
        <w:pStyle w:val="ListParagraph"/>
        <w:numPr>
          <w:ilvl w:val="1"/>
          <w:numId w:val="4"/>
        </w:numPr>
        <w:tabs>
          <w:tab w:pos="3686" w:val="left" w:leader="none"/>
          <w:tab w:pos="3687" w:val="left" w:leader="none"/>
        </w:tabs>
        <w:spacing w:line="240" w:lineRule="auto" w:before="121" w:after="0"/>
        <w:ind w:left="2957" w:right="2239" w:firstLine="0"/>
        <w:jc w:val="both"/>
        <w:rPr>
          <w:sz w:val="20"/>
        </w:rPr>
      </w:pPr>
      <w:r>
        <w:rPr>
          <w:sz w:val="20"/>
        </w:rPr>
        <w:t>developing and implementing technical tools and eDiscovery practices to support</w:t>
      </w:r>
      <w:r>
        <w:rPr>
          <w:spacing w:val="-3"/>
          <w:sz w:val="20"/>
        </w:rPr>
        <w:t> </w:t>
      </w:r>
      <w:r>
        <w:rPr>
          <w:sz w:val="20"/>
        </w:rPr>
        <w:t>complex</w:t>
      </w:r>
      <w:r>
        <w:rPr>
          <w:spacing w:val="-9"/>
          <w:sz w:val="20"/>
        </w:rPr>
        <w:t> </w:t>
      </w:r>
      <w:r>
        <w:rPr>
          <w:sz w:val="20"/>
        </w:rPr>
        <w:t>cases</w:t>
      </w:r>
      <w:r>
        <w:rPr>
          <w:spacing w:val="-6"/>
          <w:sz w:val="20"/>
        </w:rPr>
        <w:t> </w:t>
      </w:r>
      <w:r>
        <w:rPr>
          <w:sz w:val="20"/>
        </w:rPr>
        <w:t>through</w:t>
      </w:r>
      <w:r>
        <w:rPr>
          <w:spacing w:val="-5"/>
          <w:sz w:val="20"/>
        </w:rPr>
        <w:t> </w:t>
      </w:r>
      <w:r>
        <w:rPr>
          <w:sz w:val="20"/>
        </w:rPr>
        <w:t>digital</w:t>
      </w:r>
      <w:r>
        <w:rPr>
          <w:spacing w:val="-8"/>
          <w:sz w:val="20"/>
        </w:rPr>
        <w:t> </w:t>
      </w:r>
      <w:r>
        <w:rPr>
          <w:sz w:val="20"/>
        </w:rPr>
        <w:t>evidence</w:t>
      </w:r>
      <w:r>
        <w:rPr>
          <w:spacing w:val="-3"/>
          <w:sz w:val="20"/>
        </w:rPr>
        <w:t> </w:t>
      </w:r>
      <w:r>
        <w:rPr>
          <w:sz w:val="20"/>
        </w:rPr>
        <w:t>processing,</w:t>
      </w:r>
      <w:r>
        <w:rPr>
          <w:spacing w:val="-2"/>
          <w:sz w:val="20"/>
        </w:rPr>
        <w:t> </w:t>
      </w:r>
      <w:r>
        <w:rPr>
          <w:sz w:val="20"/>
        </w:rPr>
        <w:t>enrichment</w:t>
      </w:r>
      <w:r>
        <w:rPr>
          <w:spacing w:val="-8"/>
          <w:sz w:val="20"/>
        </w:rPr>
        <w:t> </w:t>
      </w:r>
      <w:r>
        <w:rPr>
          <w:sz w:val="20"/>
        </w:rPr>
        <w:t>and</w:t>
      </w:r>
      <w:r>
        <w:rPr>
          <w:spacing w:val="-5"/>
          <w:sz w:val="20"/>
        </w:rPr>
        <w:t> </w:t>
      </w:r>
      <w:r>
        <w:rPr>
          <w:sz w:val="20"/>
        </w:rPr>
        <w:t>search- related support;</w:t>
      </w:r>
    </w:p>
    <w:p>
      <w:pPr>
        <w:pStyle w:val="ListParagraph"/>
        <w:numPr>
          <w:ilvl w:val="1"/>
          <w:numId w:val="4"/>
        </w:numPr>
        <w:tabs>
          <w:tab w:pos="3686" w:val="left" w:leader="none"/>
          <w:tab w:pos="3687" w:val="left" w:leader="none"/>
        </w:tabs>
        <w:spacing w:line="240" w:lineRule="auto" w:before="117" w:after="0"/>
        <w:ind w:left="3687" w:right="0" w:hanging="730"/>
        <w:jc w:val="both"/>
        <w:rPr>
          <w:sz w:val="20"/>
        </w:rPr>
      </w:pPr>
      <w:r>
        <w:rPr>
          <w:spacing w:val="-2"/>
          <w:sz w:val="20"/>
        </w:rPr>
        <w:t>providing</w:t>
      </w:r>
      <w:r>
        <w:rPr>
          <w:spacing w:val="-13"/>
          <w:sz w:val="20"/>
        </w:rPr>
        <w:t> </w:t>
      </w:r>
      <w:r>
        <w:rPr>
          <w:spacing w:val="-2"/>
          <w:sz w:val="20"/>
        </w:rPr>
        <w:t>training</w:t>
      </w:r>
      <w:r>
        <w:rPr>
          <w:spacing w:val="-12"/>
          <w:sz w:val="20"/>
        </w:rPr>
        <w:t> </w:t>
      </w:r>
      <w:r>
        <w:rPr>
          <w:spacing w:val="-2"/>
          <w:sz w:val="20"/>
        </w:rPr>
        <w:t>in</w:t>
      </w:r>
      <w:r>
        <w:rPr>
          <w:spacing w:val="-12"/>
          <w:sz w:val="20"/>
        </w:rPr>
        <w:t> </w:t>
      </w:r>
      <w:r>
        <w:rPr>
          <w:spacing w:val="-2"/>
          <w:sz w:val="20"/>
        </w:rPr>
        <w:t>digital</w:t>
      </w:r>
      <w:r>
        <w:rPr>
          <w:spacing w:val="-10"/>
          <w:sz w:val="20"/>
        </w:rPr>
        <w:t> </w:t>
      </w:r>
      <w:r>
        <w:rPr>
          <w:spacing w:val="-2"/>
          <w:sz w:val="20"/>
        </w:rPr>
        <w:t>evidence</w:t>
      </w:r>
      <w:r>
        <w:rPr>
          <w:spacing w:val="-11"/>
          <w:sz w:val="20"/>
        </w:rPr>
        <w:t> </w:t>
      </w:r>
      <w:r>
        <w:rPr>
          <w:spacing w:val="-2"/>
          <w:sz w:val="20"/>
        </w:rPr>
        <w:t>analysis</w:t>
      </w:r>
      <w:r>
        <w:rPr>
          <w:spacing w:val="-14"/>
          <w:sz w:val="20"/>
        </w:rPr>
        <w:t> </w:t>
      </w:r>
      <w:r>
        <w:rPr>
          <w:spacing w:val="-2"/>
          <w:sz w:val="20"/>
        </w:rPr>
        <w:t>and</w:t>
      </w:r>
      <w:r>
        <w:rPr>
          <w:spacing w:val="-12"/>
          <w:sz w:val="20"/>
        </w:rPr>
        <w:t> </w:t>
      </w:r>
      <w:r>
        <w:rPr>
          <w:spacing w:val="-2"/>
          <w:sz w:val="20"/>
        </w:rPr>
        <w:t>related</w:t>
      </w:r>
      <w:r>
        <w:rPr>
          <w:spacing w:val="-9"/>
          <w:sz w:val="20"/>
        </w:rPr>
        <w:t> </w:t>
      </w:r>
      <w:r>
        <w:rPr>
          <w:spacing w:val="-2"/>
          <w:sz w:val="20"/>
        </w:rPr>
        <w:t>systems</w:t>
      </w:r>
      <w:r>
        <w:rPr>
          <w:spacing w:val="-14"/>
          <w:sz w:val="20"/>
        </w:rPr>
        <w:t> </w:t>
      </w:r>
      <w:r>
        <w:rPr>
          <w:spacing w:val="-2"/>
          <w:sz w:val="20"/>
        </w:rPr>
        <w:t>and</w:t>
      </w:r>
      <w:r>
        <w:rPr>
          <w:spacing w:val="-12"/>
          <w:sz w:val="20"/>
        </w:rPr>
        <w:t> </w:t>
      </w:r>
      <w:r>
        <w:rPr>
          <w:spacing w:val="-2"/>
          <w:sz w:val="20"/>
        </w:rPr>
        <w:t>tools;</w:t>
      </w:r>
    </w:p>
    <w:p>
      <w:pPr>
        <w:pStyle w:val="ListParagraph"/>
        <w:numPr>
          <w:ilvl w:val="1"/>
          <w:numId w:val="4"/>
        </w:numPr>
        <w:tabs>
          <w:tab w:pos="3686" w:val="left" w:leader="none"/>
          <w:tab w:pos="3687" w:val="left" w:leader="none"/>
        </w:tabs>
        <w:spacing w:line="240" w:lineRule="auto" w:before="121" w:after="0"/>
        <w:ind w:left="3687" w:right="0" w:hanging="730"/>
        <w:jc w:val="both"/>
        <w:rPr>
          <w:sz w:val="20"/>
        </w:rPr>
      </w:pPr>
      <w:r>
        <w:rPr>
          <w:sz w:val="20"/>
        </w:rPr>
        <w:t>overseeing</w:t>
      </w:r>
      <w:r>
        <w:rPr>
          <w:spacing w:val="-11"/>
          <w:sz w:val="20"/>
        </w:rPr>
        <w:t> </w:t>
      </w:r>
      <w:r>
        <w:rPr>
          <w:sz w:val="20"/>
        </w:rPr>
        <w:t>all</w:t>
      </w:r>
      <w:r>
        <w:rPr>
          <w:spacing w:val="-8"/>
          <w:sz w:val="20"/>
        </w:rPr>
        <w:t> </w:t>
      </w:r>
      <w:r>
        <w:rPr>
          <w:sz w:val="20"/>
        </w:rPr>
        <w:t>disclosure-related</w:t>
      </w:r>
      <w:r>
        <w:rPr>
          <w:spacing w:val="-10"/>
          <w:sz w:val="20"/>
        </w:rPr>
        <w:t> </w:t>
      </w:r>
      <w:r>
        <w:rPr>
          <w:sz w:val="20"/>
        </w:rPr>
        <w:t>support</w:t>
      </w:r>
      <w:r>
        <w:rPr>
          <w:spacing w:val="-9"/>
          <w:sz w:val="20"/>
        </w:rPr>
        <w:t> </w:t>
      </w:r>
      <w:r>
        <w:rPr>
          <w:sz w:val="20"/>
        </w:rPr>
        <w:t>activities;</w:t>
      </w:r>
      <w:r>
        <w:rPr>
          <w:spacing w:val="-8"/>
          <w:sz w:val="20"/>
        </w:rPr>
        <w:t> </w:t>
      </w:r>
      <w:r>
        <w:rPr>
          <w:spacing w:val="-5"/>
          <w:sz w:val="20"/>
        </w:rPr>
        <w:t>and</w:t>
      </w:r>
    </w:p>
    <w:p>
      <w:pPr>
        <w:pStyle w:val="ListParagraph"/>
        <w:numPr>
          <w:ilvl w:val="1"/>
          <w:numId w:val="4"/>
        </w:numPr>
        <w:tabs>
          <w:tab w:pos="3686" w:val="left" w:leader="none"/>
          <w:tab w:pos="3687" w:val="left" w:leader="none"/>
        </w:tabs>
        <w:spacing w:line="240" w:lineRule="auto" w:before="120" w:after="0"/>
        <w:ind w:left="2957" w:right="2242" w:firstLine="0"/>
        <w:jc w:val="both"/>
        <w:rPr>
          <w:sz w:val="20"/>
        </w:rPr>
      </w:pPr>
      <w:r>
        <w:rPr>
          <w:sz w:val="20"/>
        </w:rPr>
        <w:t>applying or developing new techniques to address complex evolving evidence, in order to build cases of the highest international standards.</w:t>
      </w:r>
    </w:p>
    <w:p>
      <w:pPr>
        <w:pStyle w:val="ListParagraph"/>
        <w:numPr>
          <w:ilvl w:val="0"/>
          <w:numId w:val="4"/>
        </w:numPr>
        <w:tabs>
          <w:tab w:pos="2966" w:val="left" w:leader="none"/>
          <w:tab w:pos="2967" w:val="left" w:leader="none"/>
        </w:tabs>
        <w:spacing w:line="240" w:lineRule="auto" w:before="121" w:after="0"/>
        <w:ind w:left="2967" w:right="0" w:hanging="721"/>
        <w:jc w:val="left"/>
        <w:rPr>
          <w:sz w:val="20"/>
        </w:rPr>
      </w:pPr>
      <w:r>
        <w:rPr>
          <w:sz w:val="20"/>
        </w:rPr>
        <w:t>The</w:t>
      </w:r>
      <w:r>
        <w:rPr>
          <w:spacing w:val="-5"/>
          <w:sz w:val="20"/>
        </w:rPr>
        <w:t> </w:t>
      </w:r>
      <w:r>
        <w:rPr>
          <w:sz w:val="20"/>
        </w:rPr>
        <w:t>Cyber</w:t>
      </w:r>
      <w:r>
        <w:rPr>
          <w:spacing w:val="-7"/>
          <w:sz w:val="20"/>
        </w:rPr>
        <w:t> </w:t>
      </w:r>
      <w:r>
        <w:rPr>
          <w:sz w:val="20"/>
        </w:rPr>
        <w:t>Unit</w:t>
      </w:r>
      <w:r>
        <w:rPr>
          <w:spacing w:val="-5"/>
          <w:sz w:val="20"/>
        </w:rPr>
        <w:t> </w:t>
      </w:r>
      <w:r>
        <w:rPr>
          <w:sz w:val="20"/>
        </w:rPr>
        <w:t>is</w:t>
      </w:r>
      <w:r>
        <w:rPr>
          <w:spacing w:val="-2"/>
          <w:sz w:val="20"/>
        </w:rPr>
        <w:t> </w:t>
      </w:r>
      <w:r>
        <w:rPr>
          <w:sz w:val="20"/>
        </w:rPr>
        <w:t>responsible</w:t>
      </w:r>
      <w:r>
        <w:rPr>
          <w:spacing w:val="-4"/>
          <w:sz w:val="20"/>
        </w:rPr>
        <w:t> for:</w:t>
      </w:r>
    </w:p>
    <w:p>
      <w:pPr>
        <w:pStyle w:val="ListParagraph"/>
        <w:numPr>
          <w:ilvl w:val="1"/>
          <w:numId w:val="4"/>
        </w:numPr>
        <w:tabs>
          <w:tab w:pos="3686" w:val="left" w:leader="none"/>
          <w:tab w:pos="3687" w:val="left" w:leader="none"/>
        </w:tabs>
        <w:spacing w:line="240" w:lineRule="auto" w:before="121" w:after="0"/>
        <w:ind w:left="2957" w:right="2245" w:firstLine="0"/>
        <w:jc w:val="both"/>
        <w:rPr>
          <w:sz w:val="20"/>
        </w:rPr>
      </w:pPr>
      <w:r>
        <w:rPr>
          <w:sz w:val="20"/>
        </w:rPr>
        <w:t>providing digital forensic expertise in processing and analysis of devices and electronic data including: acquisition, integrity verification, extraction, reporting and expert testimony, as well as data preservation/recovery and/or password recovery;</w:t>
      </w:r>
    </w:p>
    <w:p>
      <w:pPr>
        <w:pStyle w:val="ListParagraph"/>
        <w:numPr>
          <w:ilvl w:val="1"/>
          <w:numId w:val="4"/>
        </w:numPr>
        <w:tabs>
          <w:tab w:pos="3686" w:val="left" w:leader="none"/>
          <w:tab w:pos="3687" w:val="left" w:leader="none"/>
        </w:tabs>
        <w:spacing w:line="240" w:lineRule="auto" w:before="122" w:after="0"/>
        <w:ind w:left="2957" w:right="2244" w:firstLine="0"/>
        <w:jc w:val="both"/>
        <w:rPr>
          <w:sz w:val="20"/>
        </w:rPr>
      </w:pPr>
      <w:r>
        <w:rPr>
          <w:sz w:val="20"/>
        </w:rPr>
        <w:t>providing</w:t>
      </w:r>
      <w:r>
        <w:rPr>
          <w:spacing w:val="-10"/>
          <w:sz w:val="20"/>
        </w:rPr>
        <w:t> </w:t>
      </w:r>
      <w:r>
        <w:rPr>
          <w:sz w:val="20"/>
        </w:rPr>
        <w:t>direct</w:t>
      </w:r>
      <w:r>
        <w:rPr>
          <w:spacing w:val="-4"/>
          <w:sz w:val="20"/>
        </w:rPr>
        <w:t> </w:t>
      </w:r>
      <w:r>
        <w:rPr>
          <w:sz w:val="20"/>
        </w:rPr>
        <w:t>support</w:t>
      </w:r>
      <w:r>
        <w:rPr>
          <w:spacing w:val="-13"/>
          <w:sz w:val="20"/>
        </w:rPr>
        <w:t> </w:t>
      </w:r>
      <w:r>
        <w:rPr>
          <w:sz w:val="20"/>
        </w:rPr>
        <w:t>to</w:t>
      </w:r>
      <w:r>
        <w:rPr>
          <w:spacing w:val="-9"/>
          <w:sz w:val="20"/>
        </w:rPr>
        <w:t> </w:t>
      </w:r>
      <w:r>
        <w:rPr>
          <w:sz w:val="20"/>
        </w:rPr>
        <w:t>investigations</w:t>
      </w:r>
      <w:r>
        <w:rPr>
          <w:spacing w:val="-12"/>
          <w:sz w:val="20"/>
        </w:rPr>
        <w:t> </w:t>
      </w:r>
      <w:r>
        <w:rPr>
          <w:sz w:val="20"/>
        </w:rPr>
        <w:t>during</w:t>
      </w:r>
      <w:r>
        <w:rPr>
          <w:spacing w:val="-10"/>
          <w:sz w:val="20"/>
        </w:rPr>
        <w:t> </w:t>
      </w:r>
      <w:r>
        <w:rPr>
          <w:sz w:val="20"/>
        </w:rPr>
        <w:t>digital</w:t>
      </w:r>
      <w:r>
        <w:rPr>
          <w:spacing w:val="-9"/>
          <w:sz w:val="20"/>
        </w:rPr>
        <w:t> </w:t>
      </w:r>
      <w:r>
        <w:rPr>
          <w:sz w:val="20"/>
        </w:rPr>
        <w:t>evidence</w:t>
      </w:r>
      <w:r>
        <w:rPr>
          <w:spacing w:val="-9"/>
          <w:sz w:val="20"/>
        </w:rPr>
        <w:t> </w:t>
      </w:r>
      <w:r>
        <w:rPr>
          <w:sz w:val="20"/>
        </w:rPr>
        <w:t>searches, seizures or specialized collection activities;</w:t>
      </w:r>
    </w:p>
    <w:p>
      <w:pPr>
        <w:pStyle w:val="ListParagraph"/>
        <w:numPr>
          <w:ilvl w:val="1"/>
          <w:numId w:val="4"/>
        </w:numPr>
        <w:tabs>
          <w:tab w:pos="3686" w:val="left" w:leader="none"/>
          <w:tab w:pos="3687" w:val="left" w:leader="none"/>
        </w:tabs>
        <w:spacing w:line="240" w:lineRule="auto" w:before="116" w:after="0"/>
        <w:ind w:left="2957" w:right="2243" w:firstLine="0"/>
        <w:jc w:val="both"/>
        <w:rPr>
          <w:sz w:val="20"/>
        </w:rPr>
      </w:pPr>
      <w:r>
        <w:rPr>
          <w:sz w:val="20"/>
        </w:rPr>
        <w:t>information</w:t>
      </w:r>
      <w:r>
        <w:rPr>
          <w:spacing w:val="-9"/>
          <w:sz w:val="20"/>
        </w:rPr>
        <w:t> </w:t>
      </w:r>
      <w:r>
        <w:rPr>
          <w:sz w:val="20"/>
        </w:rPr>
        <w:t>security</w:t>
      </w:r>
      <w:r>
        <w:rPr>
          <w:spacing w:val="-6"/>
          <w:sz w:val="20"/>
        </w:rPr>
        <w:t> </w:t>
      </w:r>
      <w:r>
        <w:rPr>
          <w:sz w:val="20"/>
        </w:rPr>
        <w:t>operational</w:t>
      </w:r>
      <w:r>
        <w:rPr>
          <w:spacing w:val="-9"/>
          <w:sz w:val="20"/>
        </w:rPr>
        <w:t> </w:t>
      </w:r>
      <w:r>
        <w:rPr>
          <w:sz w:val="20"/>
        </w:rPr>
        <w:t>threat,</w:t>
      </w:r>
      <w:r>
        <w:rPr>
          <w:spacing w:val="-3"/>
          <w:sz w:val="20"/>
        </w:rPr>
        <w:t> </w:t>
      </w:r>
      <w:r>
        <w:rPr>
          <w:sz w:val="20"/>
        </w:rPr>
        <w:t>risk</w:t>
      </w:r>
      <w:r>
        <w:rPr>
          <w:spacing w:val="-9"/>
          <w:sz w:val="20"/>
        </w:rPr>
        <w:t> </w:t>
      </w:r>
      <w:r>
        <w:rPr>
          <w:sz w:val="20"/>
        </w:rPr>
        <w:t>and</w:t>
      </w:r>
      <w:r>
        <w:rPr>
          <w:spacing w:val="-6"/>
          <w:sz w:val="20"/>
        </w:rPr>
        <w:t> </w:t>
      </w:r>
      <w:r>
        <w:rPr>
          <w:sz w:val="20"/>
        </w:rPr>
        <w:t>vulnerability</w:t>
      </w:r>
      <w:r>
        <w:rPr>
          <w:spacing w:val="-9"/>
          <w:sz w:val="20"/>
        </w:rPr>
        <w:t> </w:t>
      </w:r>
      <w:r>
        <w:rPr>
          <w:sz w:val="20"/>
        </w:rPr>
        <w:t>analyses</w:t>
      </w:r>
      <w:r>
        <w:rPr>
          <w:spacing w:val="-11"/>
          <w:sz w:val="20"/>
        </w:rPr>
        <w:t> </w:t>
      </w:r>
      <w:r>
        <w:rPr>
          <w:sz w:val="20"/>
        </w:rPr>
        <w:t>and assessments of the situation-specific digital and telecommunications space; and</w:t>
      </w:r>
    </w:p>
    <w:p>
      <w:pPr>
        <w:pStyle w:val="ListParagraph"/>
        <w:numPr>
          <w:ilvl w:val="1"/>
          <w:numId w:val="4"/>
        </w:numPr>
        <w:tabs>
          <w:tab w:pos="3686" w:val="left" w:leader="none"/>
          <w:tab w:pos="3687" w:val="left" w:leader="none"/>
        </w:tabs>
        <w:spacing w:line="240" w:lineRule="auto" w:before="121" w:after="0"/>
        <w:ind w:left="2957" w:right="2236" w:firstLine="0"/>
        <w:jc w:val="both"/>
        <w:rPr>
          <w:sz w:val="20"/>
        </w:rPr>
      </w:pPr>
      <w:r>
        <w:rPr>
          <w:sz w:val="20"/>
        </w:rPr>
        <w:t>providing</w:t>
      </w:r>
      <w:r>
        <w:rPr>
          <w:spacing w:val="-8"/>
          <w:sz w:val="20"/>
        </w:rPr>
        <w:t> </w:t>
      </w:r>
      <w:r>
        <w:rPr>
          <w:sz w:val="20"/>
        </w:rPr>
        <w:t>technical</w:t>
      </w:r>
      <w:r>
        <w:rPr>
          <w:spacing w:val="-10"/>
          <w:sz w:val="20"/>
        </w:rPr>
        <w:t> </w:t>
      </w:r>
      <w:r>
        <w:rPr>
          <w:sz w:val="20"/>
        </w:rPr>
        <w:t>and</w:t>
      </w:r>
      <w:r>
        <w:rPr>
          <w:spacing w:val="-8"/>
          <w:sz w:val="20"/>
        </w:rPr>
        <w:t> </w:t>
      </w:r>
      <w:r>
        <w:rPr>
          <w:sz w:val="20"/>
        </w:rPr>
        <w:t>advanced</w:t>
      </w:r>
      <w:r>
        <w:rPr>
          <w:spacing w:val="-8"/>
          <w:sz w:val="20"/>
        </w:rPr>
        <w:t> </w:t>
      </w:r>
      <w:r>
        <w:rPr>
          <w:sz w:val="20"/>
        </w:rPr>
        <w:t>training</w:t>
      </w:r>
      <w:r>
        <w:rPr>
          <w:spacing w:val="-11"/>
          <w:sz w:val="20"/>
        </w:rPr>
        <w:t> </w:t>
      </w:r>
      <w:r>
        <w:rPr>
          <w:sz w:val="20"/>
        </w:rPr>
        <w:t>in</w:t>
      </w:r>
      <w:r>
        <w:rPr>
          <w:spacing w:val="-5"/>
          <w:sz w:val="20"/>
        </w:rPr>
        <w:t> </w:t>
      </w:r>
      <w:r>
        <w:rPr>
          <w:sz w:val="20"/>
        </w:rPr>
        <w:t>digital</w:t>
      </w:r>
      <w:r>
        <w:rPr>
          <w:spacing w:val="-7"/>
          <w:sz w:val="20"/>
        </w:rPr>
        <w:t> </w:t>
      </w:r>
      <w:r>
        <w:rPr>
          <w:sz w:val="20"/>
        </w:rPr>
        <w:t>evidence</w:t>
      </w:r>
      <w:r>
        <w:rPr>
          <w:spacing w:val="-10"/>
          <w:sz w:val="20"/>
        </w:rPr>
        <w:t> </w:t>
      </w:r>
      <w:r>
        <w:rPr>
          <w:sz w:val="20"/>
        </w:rPr>
        <w:t>handling</w:t>
      </w:r>
      <w:r>
        <w:rPr>
          <w:spacing w:val="-8"/>
          <w:sz w:val="20"/>
        </w:rPr>
        <w:t> </w:t>
      </w:r>
      <w:r>
        <w:rPr>
          <w:sz w:val="20"/>
        </w:rPr>
        <w:t>and online</w:t>
      </w:r>
      <w:r>
        <w:rPr>
          <w:spacing w:val="-2"/>
          <w:sz w:val="20"/>
        </w:rPr>
        <w:t> </w:t>
      </w:r>
      <w:r>
        <w:rPr>
          <w:sz w:val="20"/>
        </w:rPr>
        <w:t>investigation</w:t>
      </w:r>
      <w:r>
        <w:rPr>
          <w:spacing w:val="-3"/>
          <w:sz w:val="20"/>
        </w:rPr>
        <w:t> </w:t>
      </w:r>
      <w:r>
        <w:rPr>
          <w:sz w:val="20"/>
        </w:rPr>
        <w:t>activities,</w:t>
      </w:r>
      <w:r>
        <w:rPr>
          <w:spacing w:val="-4"/>
          <w:sz w:val="20"/>
        </w:rPr>
        <w:t> </w:t>
      </w:r>
      <w:r>
        <w:rPr>
          <w:sz w:val="20"/>
        </w:rPr>
        <w:t>as</w:t>
      </w:r>
      <w:r>
        <w:rPr>
          <w:spacing w:val="-4"/>
          <w:sz w:val="20"/>
        </w:rPr>
        <w:t> </w:t>
      </w:r>
      <w:r>
        <w:rPr>
          <w:sz w:val="20"/>
        </w:rPr>
        <w:t>well</w:t>
      </w:r>
      <w:r>
        <w:rPr>
          <w:spacing w:val="-2"/>
          <w:sz w:val="20"/>
        </w:rPr>
        <w:t> </w:t>
      </w:r>
      <w:r>
        <w:rPr>
          <w:sz w:val="20"/>
        </w:rPr>
        <w:t>as</w:t>
      </w:r>
      <w:r>
        <w:rPr>
          <w:spacing w:val="-4"/>
          <w:sz w:val="20"/>
        </w:rPr>
        <w:t> </w:t>
      </w:r>
      <w:r>
        <w:rPr>
          <w:sz w:val="20"/>
        </w:rPr>
        <w:t>digital</w:t>
      </w:r>
      <w:r>
        <w:rPr>
          <w:spacing w:val="-2"/>
          <w:sz w:val="20"/>
        </w:rPr>
        <w:t> </w:t>
      </w:r>
      <w:r>
        <w:rPr>
          <w:sz w:val="20"/>
        </w:rPr>
        <w:t>forensic</w:t>
      </w:r>
      <w:r>
        <w:rPr>
          <w:spacing w:val="-2"/>
          <w:sz w:val="20"/>
        </w:rPr>
        <w:t> </w:t>
      </w:r>
      <w:r>
        <w:rPr>
          <w:sz w:val="20"/>
        </w:rPr>
        <w:t>support</w:t>
      </w:r>
      <w:r>
        <w:rPr>
          <w:spacing w:val="-2"/>
          <w:sz w:val="20"/>
        </w:rPr>
        <w:t> </w:t>
      </w:r>
      <w:r>
        <w:rPr>
          <w:sz w:val="20"/>
        </w:rPr>
        <w:t>to</w:t>
      </w:r>
      <w:r>
        <w:rPr>
          <w:spacing w:val="-3"/>
          <w:sz w:val="20"/>
        </w:rPr>
        <w:t> </w:t>
      </w:r>
      <w:r>
        <w:rPr>
          <w:sz w:val="20"/>
        </w:rPr>
        <w:t>non-operational internal/external</w:t>
      </w:r>
      <w:r>
        <w:rPr>
          <w:spacing w:val="-13"/>
          <w:sz w:val="20"/>
        </w:rPr>
        <w:t> </w:t>
      </w:r>
      <w:r>
        <w:rPr>
          <w:sz w:val="20"/>
        </w:rPr>
        <w:t>parties</w:t>
      </w:r>
      <w:r>
        <w:rPr>
          <w:spacing w:val="-12"/>
          <w:sz w:val="20"/>
        </w:rPr>
        <w:t> </w:t>
      </w:r>
      <w:r>
        <w:rPr>
          <w:sz w:val="20"/>
        </w:rPr>
        <w:t>(IOM,</w:t>
      </w:r>
      <w:r>
        <w:rPr>
          <w:spacing w:val="-13"/>
          <w:sz w:val="20"/>
        </w:rPr>
        <w:t> </w:t>
      </w:r>
      <w:r>
        <w:rPr>
          <w:sz w:val="20"/>
        </w:rPr>
        <w:t>IOP,</w:t>
      </w:r>
      <w:r>
        <w:rPr>
          <w:spacing w:val="-12"/>
          <w:sz w:val="20"/>
        </w:rPr>
        <w:t> </w:t>
      </w:r>
      <w:r>
        <w:rPr>
          <w:sz w:val="20"/>
        </w:rPr>
        <w:t>LAS</w:t>
      </w:r>
      <w:r>
        <w:rPr>
          <w:spacing w:val="-13"/>
          <w:sz w:val="20"/>
        </w:rPr>
        <w:t> </w:t>
      </w:r>
      <w:r>
        <w:rPr>
          <w:sz w:val="20"/>
        </w:rPr>
        <w:t>or</w:t>
      </w:r>
      <w:r>
        <w:rPr>
          <w:spacing w:val="-12"/>
          <w:sz w:val="20"/>
        </w:rPr>
        <w:t> </w:t>
      </w:r>
      <w:r>
        <w:rPr>
          <w:sz w:val="20"/>
        </w:rPr>
        <w:t>Defence</w:t>
      </w:r>
      <w:r>
        <w:rPr>
          <w:spacing w:val="-13"/>
          <w:sz w:val="20"/>
        </w:rPr>
        <w:t> </w:t>
      </w:r>
      <w:r>
        <w:rPr>
          <w:sz w:val="20"/>
        </w:rPr>
        <w:t>Teams).</w:t>
      </w:r>
    </w:p>
    <w:p>
      <w:pPr>
        <w:pStyle w:val="BodyText"/>
        <w:spacing w:before="11"/>
      </w:pPr>
    </w:p>
    <w:p>
      <w:pPr>
        <w:pStyle w:val="Heading3"/>
        <w:numPr>
          <w:ilvl w:val="0"/>
          <w:numId w:val="10"/>
        </w:numPr>
        <w:tabs>
          <w:tab w:pos="2246" w:val="left" w:leader="none"/>
          <w:tab w:pos="2247" w:val="left" w:leader="none"/>
        </w:tabs>
        <w:spacing w:line="240" w:lineRule="auto" w:before="0" w:after="0"/>
        <w:ind w:left="2246" w:right="0" w:hanging="568"/>
        <w:jc w:val="left"/>
      </w:pPr>
      <w:r>
        <w:rPr/>
        <w:t>Language</w:t>
      </w:r>
      <w:r>
        <w:rPr>
          <w:spacing w:val="-8"/>
        </w:rPr>
        <w:t> </w:t>
      </w:r>
      <w:r>
        <w:rPr/>
        <w:t>Services</w:t>
      </w:r>
      <w:r>
        <w:rPr>
          <w:spacing w:val="-4"/>
        </w:rPr>
        <w:t> Unit</w:t>
      </w:r>
    </w:p>
    <w:p>
      <w:pPr>
        <w:pStyle w:val="BodyText"/>
        <w:spacing w:before="11"/>
        <w:rPr>
          <w:b/>
        </w:rPr>
      </w:pPr>
    </w:p>
    <w:p>
      <w:pPr>
        <w:pStyle w:val="ListParagraph"/>
        <w:numPr>
          <w:ilvl w:val="0"/>
          <w:numId w:val="4"/>
        </w:numPr>
        <w:tabs>
          <w:tab w:pos="2967" w:val="left" w:leader="none"/>
        </w:tabs>
        <w:spacing w:line="240" w:lineRule="auto" w:before="0" w:after="0"/>
        <w:ind w:left="2246" w:right="2246" w:firstLine="0"/>
        <w:jc w:val="both"/>
        <w:rPr>
          <w:sz w:val="20"/>
        </w:rPr>
      </w:pPr>
      <w:r>
        <w:rPr>
          <w:sz w:val="20"/>
        </w:rPr>
        <w:t>The</w:t>
      </w:r>
      <w:r>
        <w:rPr>
          <w:spacing w:val="-9"/>
          <w:sz w:val="20"/>
        </w:rPr>
        <w:t> </w:t>
      </w:r>
      <w:r>
        <w:rPr>
          <w:sz w:val="20"/>
        </w:rPr>
        <w:t>Language Services</w:t>
      </w:r>
      <w:r>
        <w:rPr>
          <w:spacing w:val="-2"/>
          <w:sz w:val="20"/>
        </w:rPr>
        <w:t> </w:t>
      </w:r>
      <w:r>
        <w:rPr>
          <w:sz w:val="20"/>
        </w:rPr>
        <w:t>Unit</w:t>
      </w:r>
      <w:r>
        <w:rPr>
          <w:spacing w:val="-4"/>
          <w:sz w:val="20"/>
        </w:rPr>
        <w:t> </w:t>
      </w:r>
      <w:r>
        <w:rPr>
          <w:sz w:val="20"/>
        </w:rPr>
        <w:t>(LSU)</w:t>
      </w:r>
      <w:r>
        <w:rPr>
          <w:spacing w:val="-6"/>
          <w:sz w:val="20"/>
        </w:rPr>
        <w:t> </w:t>
      </w:r>
      <w:r>
        <w:rPr>
          <w:sz w:val="20"/>
        </w:rPr>
        <w:t>supports</w:t>
      </w:r>
      <w:r>
        <w:rPr>
          <w:spacing w:val="-7"/>
          <w:sz w:val="20"/>
        </w:rPr>
        <w:t> </w:t>
      </w:r>
      <w:r>
        <w:rPr>
          <w:sz w:val="20"/>
        </w:rPr>
        <w:t>the</w:t>
      </w:r>
      <w:r>
        <w:rPr>
          <w:spacing w:val="-4"/>
          <w:sz w:val="20"/>
        </w:rPr>
        <w:t> </w:t>
      </w:r>
      <w:r>
        <w:rPr>
          <w:sz w:val="20"/>
        </w:rPr>
        <w:t>core</w:t>
      </w:r>
      <w:r>
        <w:rPr>
          <w:spacing w:val="-4"/>
          <w:sz w:val="20"/>
        </w:rPr>
        <w:t> </w:t>
      </w:r>
      <w:r>
        <w:rPr>
          <w:sz w:val="20"/>
        </w:rPr>
        <w:t>language</w:t>
      </w:r>
      <w:r>
        <w:rPr>
          <w:spacing w:val="-4"/>
          <w:sz w:val="20"/>
        </w:rPr>
        <w:t> </w:t>
      </w:r>
      <w:r>
        <w:rPr>
          <w:sz w:val="20"/>
        </w:rPr>
        <w:t>needs</w:t>
      </w:r>
      <w:r>
        <w:rPr>
          <w:spacing w:val="-2"/>
          <w:sz w:val="20"/>
        </w:rPr>
        <w:t> </w:t>
      </w:r>
      <w:r>
        <w:rPr>
          <w:sz w:val="20"/>
        </w:rPr>
        <w:t>of</w:t>
      </w:r>
      <w:r>
        <w:rPr>
          <w:spacing w:val="-6"/>
          <w:sz w:val="20"/>
        </w:rPr>
        <w:t> </w:t>
      </w:r>
      <w:r>
        <w:rPr>
          <w:sz w:val="20"/>
        </w:rPr>
        <w:t>the</w:t>
      </w:r>
      <w:r>
        <w:rPr>
          <w:spacing w:val="-4"/>
          <w:sz w:val="20"/>
        </w:rPr>
        <w:t> </w:t>
      </w:r>
      <w:r>
        <w:rPr>
          <w:sz w:val="20"/>
        </w:rPr>
        <w:t>Office, with the majority of its work focused on interpretation, transcription and translation for investigations</w:t>
      </w:r>
      <w:r>
        <w:rPr>
          <w:spacing w:val="-13"/>
          <w:sz w:val="20"/>
        </w:rPr>
        <w:t> </w:t>
      </w:r>
      <w:r>
        <w:rPr>
          <w:sz w:val="20"/>
        </w:rPr>
        <w:t>and</w:t>
      </w:r>
      <w:r>
        <w:rPr>
          <w:spacing w:val="-12"/>
          <w:sz w:val="20"/>
        </w:rPr>
        <w:t> </w:t>
      </w:r>
      <w:r>
        <w:rPr>
          <w:sz w:val="20"/>
        </w:rPr>
        <w:t>prosecutions,</w:t>
      </w:r>
      <w:r>
        <w:rPr>
          <w:spacing w:val="-13"/>
          <w:sz w:val="20"/>
        </w:rPr>
        <w:t> </w:t>
      </w:r>
      <w:r>
        <w:rPr>
          <w:sz w:val="20"/>
        </w:rPr>
        <w:t>while</w:t>
      </w:r>
      <w:r>
        <w:rPr>
          <w:spacing w:val="-12"/>
          <w:sz w:val="20"/>
        </w:rPr>
        <w:t> </w:t>
      </w:r>
      <w:r>
        <w:rPr>
          <w:sz w:val="20"/>
        </w:rPr>
        <w:t>also</w:t>
      </w:r>
      <w:r>
        <w:rPr>
          <w:spacing w:val="-13"/>
          <w:sz w:val="20"/>
        </w:rPr>
        <w:t> </w:t>
      </w:r>
      <w:r>
        <w:rPr>
          <w:sz w:val="20"/>
        </w:rPr>
        <w:t>assisting</w:t>
      </w:r>
      <w:r>
        <w:rPr>
          <w:spacing w:val="-12"/>
          <w:sz w:val="20"/>
        </w:rPr>
        <w:t> </w:t>
      </w:r>
      <w:r>
        <w:rPr>
          <w:sz w:val="20"/>
        </w:rPr>
        <w:t>IOP</w:t>
      </w:r>
      <w:r>
        <w:rPr>
          <w:spacing w:val="-13"/>
          <w:sz w:val="20"/>
        </w:rPr>
        <w:t> </w:t>
      </w:r>
      <w:r>
        <w:rPr>
          <w:sz w:val="20"/>
        </w:rPr>
        <w:t>and</w:t>
      </w:r>
      <w:r>
        <w:rPr>
          <w:spacing w:val="-12"/>
          <w:sz w:val="20"/>
        </w:rPr>
        <w:t> </w:t>
      </w:r>
      <w:r>
        <w:rPr>
          <w:sz w:val="20"/>
        </w:rPr>
        <w:t>other</w:t>
      </w:r>
      <w:r>
        <w:rPr>
          <w:spacing w:val="-13"/>
          <w:sz w:val="20"/>
        </w:rPr>
        <w:t> </w:t>
      </w:r>
      <w:r>
        <w:rPr>
          <w:sz w:val="20"/>
        </w:rPr>
        <w:t>support</w:t>
      </w:r>
      <w:r>
        <w:rPr>
          <w:spacing w:val="-12"/>
          <w:sz w:val="20"/>
        </w:rPr>
        <w:t> </w:t>
      </w:r>
      <w:r>
        <w:rPr>
          <w:sz w:val="20"/>
        </w:rPr>
        <w:t>sections</w:t>
      </w:r>
      <w:r>
        <w:rPr>
          <w:spacing w:val="-13"/>
          <w:sz w:val="20"/>
        </w:rPr>
        <w:t> </w:t>
      </w:r>
      <w:r>
        <w:rPr>
          <w:sz w:val="20"/>
        </w:rPr>
        <w:t>(e.g.</w:t>
      </w:r>
      <w:r>
        <w:rPr>
          <w:spacing w:val="-12"/>
          <w:sz w:val="20"/>
        </w:rPr>
        <w:t> </w:t>
      </w:r>
      <w:r>
        <w:rPr>
          <w:sz w:val="20"/>
        </w:rPr>
        <w:t>PIU, OTP/HR,</w:t>
      </w:r>
      <w:r>
        <w:rPr>
          <w:spacing w:val="-1"/>
          <w:sz w:val="20"/>
        </w:rPr>
        <w:t> </w:t>
      </w:r>
      <w:r>
        <w:rPr>
          <w:sz w:val="20"/>
        </w:rPr>
        <w:t>LAS).</w:t>
      </w:r>
    </w:p>
    <w:p>
      <w:pPr>
        <w:pStyle w:val="ListParagraph"/>
        <w:numPr>
          <w:ilvl w:val="0"/>
          <w:numId w:val="4"/>
        </w:numPr>
        <w:tabs>
          <w:tab w:pos="2967" w:val="left" w:leader="none"/>
        </w:tabs>
        <w:spacing w:line="240" w:lineRule="auto" w:before="122" w:after="0"/>
        <w:ind w:left="2246" w:right="2244" w:firstLine="0"/>
        <w:jc w:val="both"/>
        <w:rPr>
          <w:sz w:val="20"/>
        </w:rPr>
      </w:pPr>
      <w:r>
        <w:rPr>
          <w:sz w:val="20"/>
        </w:rPr>
        <w:t>The Unit provides support in these three principal activity areas across a broad spectrum of languages.</w:t>
      </w:r>
      <w:r>
        <w:rPr>
          <w:spacing w:val="-2"/>
          <w:sz w:val="20"/>
        </w:rPr>
        <w:t> </w:t>
      </w:r>
      <w:r>
        <w:rPr>
          <w:sz w:val="20"/>
        </w:rPr>
        <w:t>Based on the assumptions,</w:t>
      </w:r>
      <w:r>
        <w:rPr>
          <w:spacing w:val="-2"/>
          <w:sz w:val="20"/>
        </w:rPr>
        <w:t> </w:t>
      </w:r>
      <w:r>
        <w:rPr>
          <w:sz w:val="20"/>
        </w:rPr>
        <w:t>the Unit</w:t>
      </w:r>
      <w:r>
        <w:rPr>
          <w:spacing w:val="-3"/>
          <w:sz w:val="20"/>
        </w:rPr>
        <w:t> </w:t>
      </w:r>
      <w:r>
        <w:rPr>
          <w:sz w:val="20"/>
        </w:rPr>
        <w:t>anticipates having potentially to handle – in varying volumes and in combination with the working languages English and French</w:t>
      </w:r>
      <w:r>
        <w:rPr>
          <w:spacing w:val="-13"/>
          <w:sz w:val="20"/>
        </w:rPr>
        <w:t> </w:t>
      </w:r>
      <w:r>
        <w:rPr>
          <w:sz w:val="20"/>
        </w:rPr>
        <w:t>–</w:t>
      </w:r>
      <w:r>
        <w:rPr>
          <w:spacing w:val="-12"/>
          <w:sz w:val="20"/>
        </w:rPr>
        <w:t> </w:t>
      </w:r>
      <w:r>
        <w:rPr>
          <w:sz w:val="20"/>
        </w:rPr>
        <w:t>some</w:t>
      </w:r>
      <w:r>
        <w:rPr>
          <w:spacing w:val="-13"/>
          <w:sz w:val="20"/>
        </w:rPr>
        <w:t> </w:t>
      </w:r>
      <w:r>
        <w:rPr>
          <w:sz w:val="20"/>
        </w:rPr>
        <w:t>25</w:t>
      </w:r>
      <w:r>
        <w:rPr>
          <w:spacing w:val="-12"/>
          <w:sz w:val="20"/>
        </w:rPr>
        <w:t> </w:t>
      </w:r>
      <w:r>
        <w:rPr>
          <w:sz w:val="20"/>
        </w:rPr>
        <w:t>or</w:t>
      </w:r>
      <w:r>
        <w:rPr>
          <w:spacing w:val="-9"/>
          <w:sz w:val="20"/>
        </w:rPr>
        <w:t> </w:t>
      </w:r>
      <w:r>
        <w:rPr>
          <w:sz w:val="20"/>
        </w:rPr>
        <w:t>so</w:t>
      </w:r>
      <w:r>
        <w:rPr>
          <w:spacing w:val="-13"/>
          <w:sz w:val="20"/>
        </w:rPr>
        <w:t> </w:t>
      </w:r>
      <w:r>
        <w:rPr>
          <w:sz w:val="20"/>
        </w:rPr>
        <w:t>languages,</w:t>
      </w:r>
      <w:r>
        <w:rPr>
          <w:spacing w:val="-12"/>
          <w:sz w:val="20"/>
        </w:rPr>
        <w:t> </w:t>
      </w:r>
      <w:r>
        <w:rPr>
          <w:sz w:val="20"/>
        </w:rPr>
        <w:t>e.g.:</w:t>
      </w:r>
      <w:r>
        <w:rPr>
          <w:spacing w:val="-8"/>
          <w:sz w:val="20"/>
        </w:rPr>
        <w:t> </w:t>
      </w:r>
      <w:r>
        <w:rPr>
          <w:sz w:val="20"/>
        </w:rPr>
        <w:t>Arabic,</w:t>
      </w:r>
      <w:r>
        <w:rPr>
          <w:spacing w:val="-7"/>
          <w:sz w:val="20"/>
        </w:rPr>
        <w:t> </w:t>
      </w:r>
      <w:r>
        <w:rPr>
          <w:sz w:val="20"/>
        </w:rPr>
        <w:t>Dari,</w:t>
      </w:r>
      <w:r>
        <w:rPr>
          <w:spacing w:val="-7"/>
          <w:sz w:val="20"/>
        </w:rPr>
        <w:t> </w:t>
      </w:r>
      <w:r>
        <w:rPr>
          <w:sz w:val="20"/>
        </w:rPr>
        <w:t>and</w:t>
      </w:r>
      <w:r>
        <w:rPr>
          <w:spacing w:val="-9"/>
          <w:sz w:val="20"/>
        </w:rPr>
        <w:t> </w:t>
      </w:r>
      <w:r>
        <w:rPr>
          <w:sz w:val="20"/>
        </w:rPr>
        <w:t>Pashto</w:t>
      </w:r>
      <w:r>
        <w:rPr>
          <w:spacing w:val="-9"/>
          <w:sz w:val="20"/>
        </w:rPr>
        <w:t> </w:t>
      </w:r>
      <w:r>
        <w:rPr>
          <w:sz w:val="20"/>
        </w:rPr>
        <w:t>(AFG);</w:t>
      </w:r>
      <w:r>
        <w:rPr>
          <w:spacing w:val="-13"/>
          <w:sz w:val="20"/>
        </w:rPr>
        <w:t> </w:t>
      </w:r>
      <w:r>
        <w:rPr>
          <w:sz w:val="20"/>
        </w:rPr>
        <w:t>Kirundi</w:t>
      </w:r>
      <w:r>
        <w:rPr>
          <w:spacing w:val="-12"/>
          <w:sz w:val="20"/>
        </w:rPr>
        <w:t> </w:t>
      </w:r>
      <w:r>
        <w:rPr>
          <w:sz w:val="20"/>
        </w:rPr>
        <w:t>and</w:t>
      </w:r>
      <w:r>
        <w:rPr>
          <w:spacing w:val="-13"/>
          <w:sz w:val="20"/>
        </w:rPr>
        <w:t> </w:t>
      </w:r>
      <w:r>
        <w:rPr>
          <w:sz w:val="20"/>
        </w:rPr>
        <w:t>Swahili (BDI); Bambara, Guéré, Dioula,</w:t>
      </w:r>
      <w:r>
        <w:rPr>
          <w:spacing w:val="-3"/>
          <w:sz w:val="20"/>
        </w:rPr>
        <w:t> </w:t>
      </w:r>
      <w:r>
        <w:rPr>
          <w:sz w:val="20"/>
        </w:rPr>
        <w:t>Moòré (CIV</w:t>
      </w:r>
      <w:r>
        <w:rPr>
          <w:spacing w:val="-2"/>
          <w:sz w:val="20"/>
        </w:rPr>
        <w:t> </w:t>
      </w:r>
      <w:r>
        <w:rPr>
          <w:sz w:val="20"/>
        </w:rPr>
        <w:t>II); Arabic and</w:t>
      </w:r>
      <w:r>
        <w:rPr>
          <w:spacing w:val="-6"/>
          <w:sz w:val="20"/>
        </w:rPr>
        <w:t> </w:t>
      </w:r>
      <w:r>
        <w:rPr>
          <w:sz w:val="20"/>
        </w:rPr>
        <w:t>Fur</w:t>
      </w:r>
      <w:r>
        <w:rPr>
          <w:spacing w:val="-1"/>
          <w:sz w:val="20"/>
        </w:rPr>
        <w:t> </w:t>
      </w:r>
      <w:r>
        <w:rPr>
          <w:sz w:val="20"/>
        </w:rPr>
        <w:t>(DAR); Bengali, Burmese and Rohingya (BGD/MMR); Arabic (LBY); Cebuano, Filipino and</w:t>
      </w:r>
      <w:r>
        <w:rPr>
          <w:spacing w:val="-1"/>
          <w:sz w:val="20"/>
        </w:rPr>
        <w:t> </w:t>
      </w:r>
      <w:r>
        <w:rPr>
          <w:sz w:val="20"/>
        </w:rPr>
        <w:t>Tagalog (PHL); Arabic and</w:t>
      </w:r>
      <w:r>
        <w:rPr>
          <w:spacing w:val="-5"/>
          <w:sz w:val="20"/>
        </w:rPr>
        <w:t> </w:t>
      </w:r>
      <w:r>
        <w:rPr>
          <w:sz w:val="20"/>
        </w:rPr>
        <w:t>Hebrew</w:t>
      </w:r>
      <w:r>
        <w:rPr>
          <w:spacing w:val="-6"/>
          <w:sz w:val="20"/>
        </w:rPr>
        <w:t> </w:t>
      </w:r>
      <w:r>
        <w:rPr>
          <w:sz w:val="20"/>
        </w:rPr>
        <w:t>(PAL);</w:t>
      </w:r>
      <w:r>
        <w:rPr>
          <w:spacing w:val="-8"/>
          <w:sz w:val="20"/>
        </w:rPr>
        <w:t> </w:t>
      </w:r>
      <w:r>
        <w:rPr>
          <w:sz w:val="20"/>
        </w:rPr>
        <w:t>Ukrainian</w:t>
      </w:r>
      <w:r>
        <w:rPr>
          <w:spacing w:val="-9"/>
          <w:sz w:val="20"/>
        </w:rPr>
        <w:t> </w:t>
      </w:r>
      <w:r>
        <w:rPr>
          <w:sz w:val="20"/>
        </w:rPr>
        <w:t>and</w:t>
      </w:r>
      <w:r>
        <w:rPr>
          <w:spacing w:val="-9"/>
          <w:sz w:val="20"/>
        </w:rPr>
        <w:t> </w:t>
      </w:r>
      <w:r>
        <w:rPr>
          <w:sz w:val="20"/>
        </w:rPr>
        <w:t>Russian</w:t>
      </w:r>
      <w:r>
        <w:rPr>
          <w:spacing w:val="-9"/>
          <w:sz w:val="20"/>
        </w:rPr>
        <w:t> </w:t>
      </w:r>
      <w:r>
        <w:rPr>
          <w:sz w:val="20"/>
        </w:rPr>
        <w:t>(UKR);</w:t>
      </w:r>
      <w:r>
        <w:rPr>
          <w:spacing w:val="-8"/>
          <w:sz w:val="20"/>
        </w:rPr>
        <w:t> </w:t>
      </w:r>
      <w:r>
        <w:rPr>
          <w:sz w:val="20"/>
        </w:rPr>
        <w:t>Spanish</w:t>
      </w:r>
      <w:r>
        <w:rPr>
          <w:spacing w:val="-9"/>
          <w:sz w:val="20"/>
        </w:rPr>
        <w:t> </w:t>
      </w:r>
      <w:r>
        <w:rPr>
          <w:sz w:val="20"/>
        </w:rPr>
        <w:t>(VEN</w:t>
      </w:r>
      <w:r>
        <w:rPr>
          <w:spacing w:val="-6"/>
          <w:sz w:val="20"/>
        </w:rPr>
        <w:t> </w:t>
      </w:r>
      <w:r>
        <w:rPr>
          <w:sz w:val="20"/>
        </w:rPr>
        <w:t>I);</w:t>
      </w:r>
      <w:r>
        <w:rPr>
          <w:spacing w:val="-3"/>
          <w:sz w:val="20"/>
        </w:rPr>
        <w:t> </w:t>
      </w:r>
      <w:r>
        <w:rPr>
          <w:sz w:val="20"/>
        </w:rPr>
        <w:t>Arabic,</w:t>
      </w:r>
      <w:r>
        <w:rPr>
          <w:spacing w:val="-12"/>
          <w:sz w:val="20"/>
        </w:rPr>
        <w:t> </w:t>
      </w:r>
      <w:r>
        <w:rPr>
          <w:sz w:val="20"/>
        </w:rPr>
        <w:t>Tamasheq</w:t>
      </w:r>
      <w:r>
        <w:rPr>
          <w:spacing w:val="-9"/>
          <w:sz w:val="20"/>
        </w:rPr>
        <w:t> </w:t>
      </w:r>
      <w:r>
        <w:rPr>
          <w:sz w:val="20"/>
        </w:rPr>
        <w:t>and Songhay</w:t>
      </w:r>
      <w:r>
        <w:rPr>
          <w:spacing w:val="-13"/>
          <w:sz w:val="20"/>
        </w:rPr>
        <w:t> </w:t>
      </w:r>
      <w:r>
        <w:rPr>
          <w:sz w:val="20"/>
        </w:rPr>
        <w:t>(MLI</w:t>
      </w:r>
      <w:r>
        <w:rPr>
          <w:spacing w:val="-12"/>
          <w:sz w:val="20"/>
        </w:rPr>
        <w:t> </w:t>
      </w:r>
      <w:r>
        <w:rPr>
          <w:sz w:val="20"/>
        </w:rPr>
        <w:t>II);</w:t>
      </w:r>
      <w:r>
        <w:rPr>
          <w:spacing w:val="-13"/>
          <w:sz w:val="20"/>
        </w:rPr>
        <w:t> </w:t>
      </w:r>
      <w:r>
        <w:rPr>
          <w:sz w:val="20"/>
        </w:rPr>
        <w:t>Sango</w:t>
      </w:r>
      <w:r>
        <w:rPr>
          <w:spacing w:val="-12"/>
          <w:sz w:val="20"/>
        </w:rPr>
        <w:t> </w:t>
      </w:r>
      <w:r>
        <w:rPr>
          <w:sz w:val="20"/>
        </w:rPr>
        <w:t>(CAR</w:t>
      </w:r>
      <w:r>
        <w:rPr>
          <w:spacing w:val="-13"/>
          <w:sz w:val="20"/>
        </w:rPr>
        <w:t> </w:t>
      </w:r>
      <w:r>
        <w:rPr>
          <w:sz w:val="20"/>
        </w:rPr>
        <w:t>II.a</w:t>
      </w:r>
      <w:r>
        <w:rPr>
          <w:spacing w:val="-12"/>
          <w:sz w:val="20"/>
        </w:rPr>
        <w:t> </w:t>
      </w:r>
      <w:r>
        <w:rPr>
          <w:sz w:val="20"/>
        </w:rPr>
        <w:t>and</w:t>
      </w:r>
      <w:r>
        <w:rPr>
          <w:spacing w:val="-13"/>
          <w:sz w:val="20"/>
        </w:rPr>
        <w:t> </w:t>
      </w:r>
      <w:r>
        <w:rPr>
          <w:sz w:val="20"/>
        </w:rPr>
        <w:t>CAR</w:t>
      </w:r>
      <w:r>
        <w:rPr>
          <w:spacing w:val="-12"/>
          <w:sz w:val="20"/>
        </w:rPr>
        <w:t> </w:t>
      </w:r>
      <w:r>
        <w:rPr>
          <w:sz w:val="20"/>
        </w:rPr>
        <w:t>II.b);</w:t>
      </w:r>
      <w:r>
        <w:rPr>
          <w:spacing w:val="-13"/>
          <w:sz w:val="20"/>
        </w:rPr>
        <w:t> </w:t>
      </w:r>
      <w:r>
        <w:rPr>
          <w:sz w:val="20"/>
        </w:rPr>
        <w:t>as</w:t>
      </w:r>
      <w:r>
        <w:rPr>
          <w:spacing w:val="-12"/>
          <w:sz w:val="20"/>
        </w:rPr>
        <w:t> </w:t>
      </w:r>
      <w:r>
        <w:rPr>
          <w:sz w:val="20"/>
        </w:rPr>
        <w:t>well</w:t>
      </w:r>
      <w:r>
        <w:rPr>
          <w:spacing w:val="-13"/>
          <w:sz w:val="20"/>
        </w:rPr>
        <w:t> </w:t>
      </w:r>
      <w:r>
        <w:rPr>
          <w:sz w:val="20"/>
        </w:rPr>
        <w:t>as</w:t>
      </w:r>
      <w:r>
        <w:rPr>
          <w:spacing w:val="-12"/>
          <w:sz w:val="20"/>
        </w:rPr>
        <w:t> </w:t>
      </w:r>
      <w:r>
        <w:rPr>
          <w:sz w:val="20"/>
        </w:rPr>
        <w:t>for</w:t>
      </w:r>
      <w:r>
        <w:rPr>
          <w:spacing w:val="-13"/>
          <w:sz w:val="20"/>
        </w:rPr>
        <w:t> </w:t>
      </w:r>
      <w:r>
        <w:rPr>
          <w:sz w:val="20"/>
        </w:rPr>
        <w:t>instance,</w:t>
      </w:r>
      <w:r>
        <w:rPr>
          <w:spacing w:val="-12"/>
          <w:sz w:val="20"/>
        </w:rPr>
        <w:t> </w:t>
      </w:r>
      <w:r>
        <w:rPr>
          <w:sz w:val="20"/>
        </w:rPr>
        <w:t>German,</w:t>
      </w:r>
      <w:r>
        <w:rPr>
          <w:spacing w:val="-13"/>
          <w:sz w:val="20"/>
        </w:rPr>
        <w:t> </w:t>
      </w:r>
      <w:r>
        <w:rPr>
          <w:sz w:val="20"/>
        </w:rPr>
        <w:t>Swedish, Italian, Dutch, Polish and other eastern European languages for cooperation matters or evidence. A number of these languages are non-mainstream languages of lesser diffusion while the variants of Arabic require specific familiarity with that form of Arabic.</w:t>
      </w:r>
    </w:p>
    <w:p>
      <w:pPr>
        <w:pStyle w:val="ListParagraph"/>
        <w:numPr>
          <w:ilvl w:val="0"/>
          <w:numId w:val="4"/>
        </w:numPr>
        <w:tabs>
          <w:tab w:pos="2967" w:val="left" w:leader="none"/>
        </w:tabs>
        <w:spacing w:line="240" w:lineRule="auto" w:before="120" w:after="0"/>
        <w:ind w:left="2246" w:right="2239" w:firstLine="0"/>
        <w:jc w:val="both"/>
        <w:rPr>
          <w:sz w:val="20"/>
        </w:rPr>
      </w:pPr>
      <w:r>
        <w:rPr>
          <w:sz w:val="20"/>
        </w:rPr>
        <w:t>LSU is requesting a meaningful increase in resources in this budget, while remaining faithful to the principle of operating with a blend of internal staff providing adequate in-house linguistic expertise for quality management combined with external freelance</w:t>
      </w:r>
      <w:r>
        <w:rPr>
          <w:spacing w:val="-6"/>
          <w:sz w:val="20"/>
        </w:rPr>
        <w:t> </w:t>
      </w:r>
      <w:r>
        <w:rPr>
          <w:sz w:val="20"/>
        </w:rPr>
        <w:t>resources</w:t>
      </w:r>
      <w:r>
        <w:rPr>
          <w:spacing w:val="-9"/>
          <w:sz w:val="20"/>
        </w:rPr>
        <w:t> </w:t>
      </w:r>
      <w:r>
        <w:rPr>
          <w:sz w:val="20"/>
        </w:rPr>
        <w:t>and</w:t>
      </w:r>
      <w:r>
        <w:rPr>
          <w:spacing w:val="-7"/>
          <w:sz w:val="20"/>
        </w:rPr>
        <w:t> </w:t>
      </w:r>
      <w:r>
        <w:rPr>
          <w:sz w:val="20"/>
        </w:rPr>
        <w:t>machine</w:t>
      </w:r>
      <w:r>
        <w:rPr>
          <w:spacing w:val="-6"/>
          <w:sz w:val="20"/>
        </w:rPr>
        <w:t> </w:t>
      </w:r>
      <w:r>
        <w:rPr>
          <w:sz w:val="20"/>
        </w:rPr>
        <w:t>language-processing, with</w:t>
      </w:r>
      <w:r>
        <w:rPr>
          <w:spacing w:val="-3"/>
          <w:sz w:val="20"/>
        </w:rPr>
        <w:t> </w:t>
      </w:r>
      <w:r>
        <w:rPr>
          <w:sz w:val="20"/>
        </w:rPr>
        <w:t>a</w:t>
      </w:r>
      <w:r>
        <w:rPr>
          <w:spacing w:val="-6"/>
          <w:sz w:val="20"/>
        </w:rPr>
        <w:t> </w:t>
      </w:r>
      <w:r>
        <w:rPr>
          <w:sz w:val="20"/>
        </w:rPr>
        <w:t>view</w:t>
      </w:r>
      <w:r>
        <w:rPr>
          <w:spacing w:val="-9"/>
          <w:sz w:val="20"/>
        </w:rPr>
        <w:t> </w:t>
      </w:r>
      <w:r>
        <w:rPr>
          <w:sz w:val="20"/>
        </w:rPr>
        <w:t>to</w:t>
      </w:r>
      <w:r>
        <w:rPr>
          <w:spacing w:val="-3"/>
          <w:sz w:val="20"/>
        </w:rPr>
        <w:t> </w:t>
      </w:r>
      <w:r>
        <w:rPr>
          <w:sz w:val="20"/>
        </w:rPr>
        <w:t>responding</w:t>
      </w:r>
      <w:r>
        <w:rPr>
          <w:spacing w:val="-7"/>
          <w:sz w:val="20"/>
        </w:rPr>
        <w:t> </w:t>
      </w:r>
      <w:r>
        <w:rPr>
          <w:sz w:val="20"/>
        </w:rPr>
        <w:t>to</w:t>
      </w:r>
      <w:r>
        <w:rPr>
          <w:spacing w:val="-3"/>
          <w:sz w:val="20"/>
        </w:rPr>
        <w:t> </w:t>
      </w:r>
      <w:r>
        <w:rPr>
          <w:sz w:val="20"/>
        </w:rPr>
        <w:t>the</w:t>
      </w:r>
      <w:r>
        <w:rPr>
          <w:spacing w:val="-1"/>
          <w:sz w:val="20"/>
        </w:rPr>
        <w:t> </w:t>
      </w:r>
      <w:r>
        <w:rPr>
          <w:sz w:val="20"/>
        </w:rPr>
        <w:t>need for</w:t>
      </w:r>
      <w:r>
        <w:rPr>
          <w:spacing w:val="80"/>
          <w:sz w:val="20"/>
        </w:rPr>
        <w:t> </w:t>
      </w:r>
      <w:r>
        <w:rPr>
          <w:sz w:val="20"/>
        </w:rPr>
        <w:t>more</w:t>
      </w:r>
      <w:r>
        <w:rPr>
          <w:spacing w:val="80"/>
          <w:sz w:val="20"/>
        </w:rPr>
        <w:t> </w:t>
      </w:r>
      <w:r>
        <w:rPr>
          <w:sz w:val="20"/>
        </w:rPr>
        <w:t>expeditious</w:t>
      </w:r>
      <w:r>
        <w:rPr>
          <w:spacing w:val="80"/>
          <w:sz w:val="20"/>
        </w:rPr>
        <w:t> </w:t>
      </w:r>
      <w:r>
        <w:rPr>
          <w:sz w:val="20"/>
        </w:rPr>
        <w:t>investigations</w:t>
      </w:r>
      <w:r>
        <w:rPr>
          <w:spacing w:val="80"/>
          <w:sz w:val="20"/>
        </w:rPr>
        <w:t> </w:t>
      </w:r>
      <w:r>
        <w:rPr>
          <w:sz w:val="20"/>
        </w:rPr>
        <w:t>while</w:t>
      </w:r>
      <w:r>
        <w:rPr>
          <w:spacing w:val="80"/>
          <w:sz w:val="20"/>
        </w:rPr>
        <w:t> </w:t>
      </w:r>
      <w:r>
        <w:rPr>
          <w:sz w:val="20"/>
        </w:rPr>
        <w:t>maintaining</w:t>
      </w:r>
      <w:r>
        <w:rPr>
          <w:spacing w:val="80"/>
          <w:sz w:val="20"/>
        </w:rPr>
        <w:t> </w:t>
      </w:r>
      <w:r>
        <w:rPr>
          <w:sz w:val="20"/>
        </w:rPr>
        <w:t>financial</w:t>
      </w:r>
      <w:r>
        <w:rPr>
          <w:spacing w:val="80"/>
          <w:sz w:val="20"/>
        </w:rPr>
        <w:t> </w:t>
      </w:r>
      <w:r>
        <w:rPr>
          <w:sz w:val="20"/>
        </w:rPr>
        <w:t>effectiveness</w:t>
      </w:r>
      <w:r>
        <w:rPr>
          <w:spacing w:val="80"/>
          <w:sz w:val="20"/>
        </w:rPr>
        <w:t> </w:t>
      </w:r>
      <w:r>
        <w:rPr>
          <w:sz w:val="20"/>
        </w:rPr>
        <w:t>and fit-for-purpose</w:t>
      </w:r>
      <w:r>
        <w:rPr>
          <w:spacing w:val="-3"/>
          <w:sz w:val="20"/>
        </w:rPr>
        <w:t> </w:t>
      </w:r>
      <w:r>
        <w:rPr>
          <w:sz w:val="20"/>
        </w:rPr>
        <w:t>quality.</w:t>
      </w:r>
      <w:r>
        <w:rPr>
          <w:spacing w:val="-2"/>
          <w:sz w:val="20"/>
        </w:rPr>
        <w:t> </w:t>
      </w:r>
      <w:r>
        <w:rPr>
          <w:sz w:val="20"/>
        </w:rPr>
        <w:t>The</w:t>
      </w:r>
      <w:r>
        <w:rPr>
          <w:spacing w:val="-3"/>
          <w:sz w:val="20"/>
        </w:rPr>
        <w:t> </w:t>
      </w:r>
      <w:r>
        <w:rPr>
          <w:sz w:val="20"/>
        </w:rPr>
        <w:t>Unit</w:t>
      </w:r>
      <w:r>
        <w:rPr>
          <w:spacing w:val="-3"/>
          <w:sz w:val="20"/>
        </w:rPr>
        <w:t> </w:t>
      </w:r>
      <w:r>
        <w:rPr>
          <w:sz w:val="20"/>
        </w:rPr>
        <w:t>also</w:t>
      </w:r>
      <w:r>
        <w:rPr>
          <w:spacing w:val="-5"/>
          <w:sz w:val="20"/>
        </w:rPr>
        <w:t> </w:t>
      </w:r>
      <w:r>
        <w:rPr>
          <w:sz w:val="20"/>
        </w:rPr>
        <w:t>seeks</w:t>
      </w:r>
      <w:r>
        <w:rPr>
          <w:spacing w:val="-1"/>
          <w:sz w:val="20"/>
        </w:rPr>
        <w:t> </w:t>
      </w:r>
      <w:r>
        <w:rPr>
          <w:sz w:val="20"/>
        </w:rPr>
        <w:t>to remain</w:t>
      </w:r>
      <w:r>
        <w:rPr>
          <w:spacing w:val="-5"/>
          <w:sz w:val="20"/>
        </w:rPr>
        <w:t> </w:t>
      </w:r>
      <w:r>
        <w:rPr>
          <w:sz w:val="20"/>
        </w:rPr>
        <w:t>mindful of</w:t>
      </w:r>
      <w:r>
        <w:rPr>
          <w:spacing w:val="-5"/>
          <w:sz w:val="20"/>
        </w:rPr>
        <w:t> </w:t>
      </w:r>
      <w:r>
        <w:rPr>
          <w:sz w:val="20"/>
        </w:rPr>
        <w:t>maintaining surge</w:t>
      </w:r>
      <w:r>
        <w:rPr>
          <w:spacing w:val="-3"/>
          <w:sz w:val="20"/>
        </w:rPr>
        <w:t> </w:t>
      </w:r>
      <w:r>
        <w:rPr>
          <w:sz w:val="20"/>
        </w:rPr>
        <w:t>capacity in the languages of English, French and Arabic, while conversely managing volumes by flattening workload peaks and troughs where operationally feasible.</w:t>
      </w:r>
    </w:p>
    <w:p>
      <w:pPr>
        <w:spacing w:after="0" w:line="240" w:lineRule="auto"/>
        <w:jc w:val="both"/>
        <w:rPr>
          <w:sz w:val="20"/>
        </w:rPr>
        <w:sectPr>
          <w:pgSz w:w="11910" w:h="16840"/>
          <w:pgMar w:header="953" w:footer="940" w:top="1140" w:bottom="1140" w:left="20" w:right="20"/>
        </w:sectPr>
      </w:pPr>
    </w:p>
    <w:p>
      <w:pPr>
        <w:pStyle w:val="ListParagraph"/>
        <w:numPr>
          <w:ilvl w:val="0"/>
          <w:numId w:val="4"/>
        </w:numPr>
        <w:tabs>
          <w:tab w:pos="2967" w:val="left" w:leader="none"/>
        </w:tabs>
        <w:spacing w:line="240" w:lineRule="auto" w:before="120" w:after="0"/>
        <w:ind w:left="2246" w:right="2239" w:firstLine="0"/>
        <w:jc w:val="both"/>
        <w:rPr>
          <w:sz w:val="20"/>
        </w:rPr>
      </w:pPr>
      <w:r>
        <w:rPr>
          <w:sz w:val="20"/>
        </w:rPr>
        <w:t>Against the backdrop of the considerable increase in activities across the Unified Teams, the Language Services Unit must also re-size accordingly within the translation, transcription</w:t>
      </w:r>
      <w:r>
        <w:rPr>
          <w:spacing w:val="-5"/>
          <w:sz w:val="20"/>
        </w:rPr>
        <w:t> </w:t>
      </w:r>
      <w:r>
        <w:rPr>
          <w:sz w:val="20"/>
        </w:rPr>
        <w:t>and interpretation teams</w:t>
      </w:r>
      <w:r>
        <w:rPr>
          <w:spacing w:val="-1"/>
          <w:sz w:val="20"/>
        </w:rPr>
        <w:t> </w:t>
      </w:r>
      <w:r>
        <w:rPr>
          <w:sz w:val="20"/>
        </w:rPr>
        <w:t>in order</w:t>
      </w:r>
      <w:r>
        <w:rPr>
          <w:spacing w:val="-5"/>
          <w:sz w:val="20"/>
        </w:rPr>
        <w:t> </w:t>
      </w:r>
      <w:r>
        <w:rPr>
          <w:sz w:val="20"/>
        </w:rPr>
        <w:t>to keep pace. This</w:t>
      </w:r>
      <w:r>
        <w:rPr>
          <w:spacing w:val="-6"/>
          <w:sz w:val="20"/>
        </w:rPr>
        <w:t> </w:t>
      </w:r>
      <w:r>
        <w:rPr>
          <w:sz w:val="20"/>
        </w:rPr>
        <w:t>is</w:t>
      </w:r>
      <w:r>
        <w:rPr>
          <w:spacing w:val="-1"/>
          <w:sz w:val="20"/>
        </w:rPr>
        <w:t> </w:t>
      </w:r>
      <w:r>
        <w:rPr>
          <w:sz w:val="20"/>
        </w:rPr>
        <w:t>particularly needed with respect to situations in which the Office seeks to establish an enhanced field presence, with increased engagement with affected communities, national authorities and other external partners</w:t>
      </w:r>
      <w:r>
        <w:rPr>
          <w:spacing w:val="-10"/>
          <w:sz w:val="20"/>
        </w:rPr>
        <w:t> </w:t>
      </w:r>
      <w:r>
        <w:rPr>
          <w:sz w:val="20"/>
        </w:rPr>
        <w:t>on</w:t>
      </w:r>
      <w:r>
        <w:rPr>
          <w:spacing w:val="-8"/>
          <w:sz w:val="20"/>
        </w:rPr>
        <w:t> </w:t>
      </w:r>
      <w:r>
        <w:rPr>
          <w:sz w:val="20"/>
        </w:rPr>
        <w:t>the</w:t>
      </w:r>
      <w:r>
        <w:rPr>
          <w:spacing w:val="-7"/>
          <w:sz w:val="20"/>
        </w:rPr>
        <w:t> </w:t>
      </w:r>
      <w:r>
        <w:rPr>
          <w:sz w:val="20"/>
        </w:rPr>
        <w:t>ground</w:t>
      </w:r>
      <w:r>
        <w:rPr>
          <w:spacing w:val="-8"/>
          <w:sz w:val="20"/>
        </w:rPr>
        <w:t> </w:t>
      </w:r>
      <w:r>
        <w:rPr>
          <w:sz w:val="20"/>
        </w:rPr>
        <w:t>giving</w:t>
      </w:r>
      <w:r>
        <w:rPr>
          <w:spacing w:val="-8"/>
          <w:sz w:val="20"/>
        </w:rPr>
        <w:t> </w:t>
      </w:r>
      <w:r>
        <w:rPr>
          <w:sz w:val="20"/>
        </w:rPr>
        <w:t>rise</w:t>
      </w:r>
      <w:r>
        <w:rPr>
          <w:spacing w:val="-7"/>
          <w:sz w:val="20"/>
        </w:rPr>
        <w:t> </w:t>
      </w:r>
      <w:r>
        <w:rPr>
          <w:sz w:val="20"/>
        </w:rPr>
        <w:t>to</w:t>
      </w:r>
      <w:r>
        <w:rPr>
          <w:spacing w:val="-4"/>
          <w:sz w:val="20"/>
        </w:rPr>
        <w:t> </w:t>
      </w:r>
      <w:r>
        <w:rPr>
          <w:sz w:val="20"/>
        </w:rPr>
        <w:t>specific</w:t>
      </w:r>
      <w:r>
        <w:rPr>
          <w:spacing w:val="-7"/>
          <w:sz w:val="20"/>
        </w:rPr>
        <w:t> </w:t>
      </w:r>
      <w:r>
        <w:rPr>
          <w:sz w:val="20"/>
        </w:rPr>
        <w:t>interpretation</w:t>
      </w:r>
      <w:r>
        <w:rPr>
          <w:spacing w:val="-8"/>
          <w:sz w:val="20"/>
        </w:rPr>
        <w:t> </w:t>
      </w:r>
      <w:r>
        <w:rPr>
          <w:sz w:val="20"/>
        </w:rPr>
        <w:t>and</w:t>
      </w:r>
      <w:r>
        <w:rPr>
          <w:spacing w:val="-4"/>
          <w:sz w:val="20"/>
        </w:rPr>
        <w:t> </w:t>
      </w:r>
      <w:r>
        <w:rPr>
          <w:sz w:val="20"/>
        </w:rPr>
        <w:t>translation</w:t>
      </w:r>
      <w:r>
        <w:rPr>
          <w:spacing w:val="-8"/>
          <w:sz w:val="20"/>
        </w:rPr>
        <w:t> </w:t>
      </w:r>
      <w:r>
        <w:rPr>
          <w:sz w:val="20"/>
        </w:rPr>
        <w:t>needs.</w:t>
      </w:r>
      <w:r>
        <w:rPr>
          <w:spacing w:val="-6"/>
          <w:sz w:val="20"/>
        </w:rPr>
        <w:t> </w:t>
      </w:r>
      <w:r>
        <w:rPr>
          <w:sz w:val="20"/>
        </w:rPr>
        <w:t>Some</w:t>
      </w:r>
      <w:r>
        <w:rPr>
          <w:spacing w:val="-7"/>
          <w:sz w:val="20"/>
        </w:rPr>
        <w:t> </w:t>
      </w:r>
      <w:r>
        <w:rPr>
          <w:sz w:val="20"/>
        </w:rPr>
        <w:t>LSU staff are also planned to be assigned to country offices to provide linguistic support to the locally-based Unified Teams’ members.</w:t>
      </w:r>
    </w:p>
    <w:p>
      <w:pPr>
        <w:pStyle w:val="ListParagraph"/>
        <w:numPr>
          <w:ilvl w:val="0"/>
          <w:numId w:val="4"/>
        </w:numPr>
        <w:tabs>
          <w:tab w:pos="2967" w:val="left" w:leader="none"/>
        </w:tabs>
        <w:spacing w:line="240" w:lineRule="auto" w:before="124" w:after="0"/>
        <w:ind w:left="2246" w:right="2242" w:firstLine="0"/>
        <w:jc w:val="both"/>
        <w:rPr>
          <w:sz w:val="20"/>
        </w:rPr>
      </w:pPr>
      <w:r>
        <w:rPr>
          <w:sz w:val="20"/>
        </w:rPr>
        <w:t>In line with past practice, LSU continues to use its resources flexibly as language needs</w:t>
      </w:r>
      <w:r>
        <w:rPr>
          <w:spacing w:val="-10"/>
          <w:sz w:val="20"/>
        </w:rPr>
        <w:t> </w:t>
      </w:r>
      <w:r>
        <w:rPr>
          <w:sz w:val="20"/>
        </w:rPr>
        <w:t>evolve,</w:t>
      </w:r>
      <w:r>
        <w:rPr>
          <w:spacing w:val="-1"/>
          <w:sz w:val="20"/>
        </w:rPr>
        <w:t> </w:t>
      </w:r>
      <w:r>
        <w:rPr>
          <w:sz w:val="20"/>
        </w:rPr>
        <w:t>meaning</w:t>
      </w:r>
      <w:r>
        <w:rPr>
          <w:spacing w:val="-4"/>
          <w:sz w:val="20"/>
        </w:rPr>
        <w:t> </w:t>
      </w:r>
      <w:r>
        <w:rPr>
          <w:sz w:val="20"/>
        </w:rPr>
        <w:t>that,</w:t>
      </w:r>
      <w:r>
        <w:rPr>
          <w:spacing w:val="-1"/>
          <w:sz w:val="20"/>
        </w:rPr>
        <w:t> </w:t>
      </w:r>
      <w:r>
        <w:rPr>
          <w:sz w:val="20"/>
        </w:rPr>
        <w:t>while</w:t>
      </w:r>
      <w:r>
        <w:rPr>
          <w:spacing w:val="-7"/>
          <w:sz w:val="20"/>
        </w:rPr>
        <w:t> </w:t>
      </w:r>
      <w:r>
        <w:rPr>
          <w:sz w:val="20"/>
        </w:rPr>
        <w:t>additional</w:t>
      </w:r>
      <w:r>
        <w:rPr>
          <w:spacing w:val="-2"/>
          <w:sz w:val="20"/>
        </w:rPr>
        <w:t> </w:t>
      </w:r>
      <w:r>
        <w:rPr>
          <w:sz w:val="20"/>
        </w:rPr>
        <w:t>posts</w:t>
      </w:r>
      <w:r>
        <w:rPr>
          <w:spacing w:val="-5"/>
          <w:sz w:val="20"/>
        </w:rPr>
        <w:t> </w:t>
      </w:r>
      <w:r>
        <w:rPr>
          <w:sz w:val="20"/>
        </w:rPr>
        <w:t>are</w:t>
      </w:r>
      <w:r>
        <w:rPr>
          <w:spacing w:val="-2"/>
          <w:sz w:val="20"/>
        </w:rPr>
        <w:t> </w:t>
      </w:r>
      <w:r>
        <w:rPr>
          <w:sz w:val="20"/>
        </w:rPr>
        <w:t>being</w:t>
      </w:r>
      <w:r>
        <w:rPr>
          <w:spacing w:val="-8"/>
          <w:sz w:val="20"/>
        </w:rPr>
        <w:t> </w:t>
      </w:r>
      <w:r>
        <w:rPr>
          <w:sz w:val="20"/>
        </w:rPr>
        <w:t>requested,</w:t>
      </w:r>
      <w:r>
        <w:rPr>
          <w:spacing w:val="-1"/>
          <w:sz w:val="20"/>
        </w:rPr>
        <w:t> </w:t>
      </w:r>
      <w:r>
        <w:rPr>
          <w:sz w:val="20"/>
        </w:rPr>
        <w:t>a</w:t>
      </w:r>
      <w:r>
        <w:rPr>
          <w:spacing w:val="-2"/>
          <w:sz w:val="20"/>
        </w:rPr>
        <w:t> </w:t>
      </w:r>
      <w:r>
        <w:rPr>
          <w:sz w:val="20"/>
        </w:rPr>
        <w:t>number</w:t>
      </w:r>
      <w:r>
        <w:rPr>
          <w:spacing w:val="-4"/>
          <w:sz w:val="20"/>
        </w:rPr>
        <w:t> </w:t>
      </w:r>
      <w:r>
        <w:rPr>
          <w:sz w:val="20"/>
        </w:rPr>
        <w:t>of</w:t>
      </w:r>
      <w:r>
        <w:rPr>
          <w:spacing w:val="-4"/>
          <w:sz w:val="20"/>
        </w:rPr>
        <w:t> </w:t>
      </w:r>
      <w:r>
        <w:rPr>
          <w:sz w:val="20"/>
        </w:rPr>
        <w:t>existing posts are proposed to be discontinued or re-purposed. The requested posts are meant to respond to the primary situation-language needs identified (notably in the priority investigations),</w:t>
      </w:r>
      <w:r>
        <w:rPr>
          <w:spacing w:val="-11"/>
          <w:sz w:val="20"/>
        </w:rPr>
        <w:t> </w:t>
      </w:r>
      <w:r>
        <w:rPr>
          <w:sz w:val="20"/>
        </w:rPr>
        <w:t>whereas</w:t>
      </w:r>
      <w:r>
        <w:rPr>
          <w:spacing w:val="-10"/>
          <w:sz w:val="20"/>
        </w:rPr>
        <w:t> </w:t>
      </w:r>
      <w:r>
        <w:rPr>
          <w:sz w:val="20"/>
        </w:rPr>
        <w:t>for</w:t>
      </w:r>
      <w:r>
        <w:rPr>
          <w:spacing w:val="-9"/>
          <w:sz w:val="20"/>
        </w:rPr>
        <w:t> </w:t>
      </w:r>
      <w:r>
        <w:rPr>
          <w:sz w:val="20"/>
        </w:rPr>
        <w:t>instance</w:t>
      </w:r>
      <w:r>
        <w:rPr>
          <w:spacing w:val="-12"/>
          <w:sz w:val="20"/>
        </w:rPr>
        <w:t> </w:t>
      </w:r>
      <w:r>
        <w:rPr>
          <w:sz w:val="20"/>
        </w:rPr>
        <w:t>the</w:t>
      </w:r>
      <w:r>
        <w:rPr>
          <w:spacing w:val="-8"/>
          <w:sz w:val="20"/>
        </w:rPr>
        <w:t> </w:t>
      </w:r>
      <w:r>
        <w:rPr>
          <w:sz w:val="20"/>
        </w:rPr>
        <w:t>core</w:t>
      </w:r>
      <w:r>
        <w:rPr>
          <w:spacing w:val="-13"/>
          <w:sz w:val="20"/>
        </w:rPr>
        <w:t> </w:t>
      </w:r>
      <w:r>
        <w:rPr>
          <w:sz w:val="20"/>
        </w:rPr>
        <w:t>English/French</w:t>
      </w:r>
      <w:r>
        <w:rPr>
          <w:spacing w:val="-12"/>
          <w:sz w:val="20"/>
        </w:rPr>
        <w:t> </w:t>
      </w:r>
      <w:r>
        <w:rPr>
          <w:sz w:val="20"/>
        </w:rPr>
        <w:t>and</w:t>
      </w:r>
      <w:r>
        <w:rPr>
          <w:spacing w:val="-9"/>
          <w:sz w:val="20"/>
        </w:rPr>
        <w:t> </w:t>
      </w:r>
      <w:r>
        <w:rPr>
          <w:sz w:val="20"/>
        </w:rPr>
        <w:t>Coordination</w:t>
      </w:r>
      <w:r>
        <w:rPr>
          <w:spacing w:val="-13"/>
          <w:sz w:val="20"/>
        </w:rPr>
        <w:t> </w:t>
      </w:r>
      <w:r>
        <w:rPr>
          <w:sz w:val="20"/>
        </w:rPr>
        <w:t>teams</w:t>
      </w:r>
      <w:r>
        <w:rPr>
          <w:spacing w:val="-12"/>
          <w:sz w:val="20"/>
        </w:rPr>
        <w:t> </w:t>
      </w:r>
      <w:r>
        <w:rPr>
          <w:sz w:val="20"/>
        </w:rPr>
        <w:t>remain static and languages anticipated to be more marginal are planned to be handled through outsourcing. Further, the Unit remains mindful of the impact that the leveraging of language-processing tools (i.e. machine translation and transcription) is already having on areas of the language industry. While the significant efforts being undertaken currently to introduce</w:t>
      </w:r>
      <w:r>
        <w:rPr>
          <w:spacing w:val="-8"/>
          <w:sz w:val="20"/>
        </w:rPr>
        <w:t> </w:t>
      </w:r>
      <w:r>
        <w:rPr>
          <w:sz w:val="20"/>
        </w:rPr>
        <w:t>these</w:t>
      </w:r>
      <w:r>
        <w:rPr>
          <w:spacing w:val="-8"/>
          <w:sz w:val="20"/>
        </w:rPr>
        <w:t> </w:t>
      </w:r>
      <w:r>
        <w:rPr>
          <w:sz w:val="20"/>
        </w:rPr>
        <w:t>tools</w:t>
      </w:r>
      <w:r>
        <w:rPr>
          <w:spacing w:val="-11"/>
          <w:sz w:val="20"/>
        </w:rPr>
        <w:t> </w:t>
      </w:r>
      <w:r>
        <w:rPr>
          <w:sz w:val="20"/>
        </w:rPr>
        <w:t>across</w:t>
      </w:r>
      <w:r>
        <w:rPr>
          <w:spacing w:val="-11"/>
          <w:sz w:val="20"/>
        </w:rPr>
        <w:t> </w:t>
      </w:r>
      <w:r>
        <w:rPr>
          <w:sz w:val="20"/>
        </w:rPr>
        <w:t>the</w:t>
      </w:r>
      <w:r>
        <w:rPr>
          <w:spacing w:val="-8"/>
          <w:sz w:val="20"/>
        </w:rPr>
        <w:t> </w:t>
      </w:r>
      <w:r>
        <w:rPr>
          <w:sz w:val="20"/>
        </w:rPr>
        <w:t>work</w:t>
      </w:r>
      <w:r>
        <w:rPr>
          <w:spacing w:val="-9"/>
          <w:sz w:val="20"/>
        </w:rPr>
        <w:t> </w:t>
      </w:r>
      <w:r>
        <w:rPr>
          <w:sz w:val="20"/>
        </w:rPr>
        <w:t>of</w:t>
      </w:r>
      <w:r>
        <w:rPr>
          <w:spacing w:val="-9"/>
          <w:sz w:val="20"/>
        </w:rPr>
        <w:t> </w:t>
      </w:r>
      <w:r>
        <w:rPr>
          <w:sz w:val="20"/>
        </w:rPr>
        <w:t>the</w:t>
      </w:r>
      <w:r>
        <w:rPr>
          <w:spacing w:val="-4"/>
          <w:sz w:val="20"/>
        </w:rPr>
        <w:t> </w:t>
      </w:r>
      <w:r>
        <w:rPr>
          <w:sz w:val="20"/>
        </w:rPr>
        <w:t>Office</w:t>
      </w:r>
      <w:r>
        <w:rPr>
          <w:spacing w:val="-8"/>
          <w:sz w:val="20"/>
        </w:rPr>
        <w:t> </w:t>
      </w:r>
      <w:r>
        <w:rPr>
          <w:sz w:val="20"/>
        </w:rPr>
        <w:t>may</w:t>
      </w:r>
      <w:r>
        <w:rPr>
          <w:spacing w:val="-9"/>
          <w:sz w:val="20"/>
        </w:rPr>
        <w:t> </w:t>
      </w:r>
      <w:r>
        <w:rPr>
          <w:sz w:val="20"/>
        </w:rPr>
        <w:t>already</w:t>
      </w:r>
      <w:r>
        <w:rPr>
          <w:spacing w:val="-9"/>
          <w:sz w:val="20"/>
        </w:rPr>
        <w:t> </w:t>
      </w:r>
      <w:r>
        <w:rPr>
          <w:sz w:val="20"/>
        </w:rPr>
        <w:t>make</w:t>
      </w:r>
      <w:r>
        <w:rPr>
          <w:spacing w:val="-8"/>
          <w:sz w:val="20"/>
        </w:rPr>
        <w:t> </w:t>
      </w:r>
      <w:r>
        <w:rPr>
          <w:sz w:val="20"/>
        </w:rPr>
        <w:t>evidence</w:t>
      </w:r>
      <w:r>
        <w:rPr>
          <w:spacing w:val="-8"/>
          <w:sz w:val="20"/>
        </w:rPr>
        <w:t> </w:t>
      </w:r>
      <w:r>
        <w:rPr>
          <w:sz w:val="20"/>
        </w:rPr>
        <w:t>accessible</w:t>
      </w:r>
      <w:r>
        <w:rPr>
          <w:spacing w:val="-4"/>
          <w:sz w:val="20"/>
        </w:rPr>
        <w:t> </w:t>
      </w:r>
      <w:r>
        <w:rPr>
          <w:sz w:val="20"/>
        </w:rPr>
        <w:t>for relevance-assessment</w:t>
      </w:r>
      <w:r>
        <w:rPr>
          <w:spacing w:val="80"/>
          <w:sz w:val="20"/>
        </w:rPr>
        <w:t> </w:t>
      </w:r>
      <w:r>
        <w:rPr>
          <w:sz w:val="20"/>
        </w:rPr>
        <w:t>purposes,</w:t>
      </w:r>
      <w:r>
        <w:rPr>
          <w:spacing w:val="80"/>
          <w:sz w:val="20"/>
        </w:rPr>
        <w:t> </w:t>
      </w:r>
      <w:r>
        <w:rPr>
          <w:sz w:val="20"/>
        </w:rPr>
        <w:t>the</w:t>
      </w:r>
      <w:r>
        <w:rPr>
          <w:spacing w:val="80"/>
          <w:sz w:val="20"/>
        </w:rPr>
        <w:t> </w:t>
      </w:r>
      <w:r>
        <w:rPr>
          <w:sz w:val="20"/>
        </w:rPr>
        <w:t>shift</w:t>
      </w:r>
      <w:r>
        <w:rPr>
          <w:spacing w:val="80"/>
          <w:sz w:val="20"/>
        </w:rPr>
        <w:t> </w:t>
      </w:r>
      <w:r>
        <w:rPr>
          <w:sz w:val="20"/>
        </w:rPr>
        <w:t>from</w:t>
      </w:r>
      <w:r>
        <w:rPr>
          <w:spacing w:val="80"/>
          <w:sz w:val="20"/>
        </w:rPr>
        <w:t> </w:t>
      </w:r>
      <w:r>
        <w:rPr>
          <w:sz w:val="20"/>
        </w:rPr>
        <w:t>computer-assisted</w:t>
      </w:r>
      <w:r>
        <w:rPr>
          <w:spacing w:val="80"/>
          <w:sz w:val="20"/>
        </w:rPr>
        <w:t> </w:t>
      </w:r>
      <w:r>
        <w:rPr>
          <w:sz w:val="20"/>
        </w:rPr>
        <w:t>translation</w:t>
      </w:r>
      <w:r>
        <w:rPr>
          <w:spacing w:val="80"/>
          <w:sz w:val="20"/>
        </w:rPr>
        <w:t> </w:t>
      </w:r>
      <w:r>
        <w:rPr>
          <w:sz w:val="20"/>
        </w:rPr>
        <w:t>to human-assisted post-editing will also, in a foreseeable future, become an increasing factor around the language resources and profiles needed as the technology further matures, consistent with the language-specificities and the (format-dependent) processability of the material types handled by the Office.</w:t>
      </w:r>
    </w:p>
    <w:p>
      <w:pPr>
        <w:pStyle w:val="BodyText"/>
        <w:spacing w:before="8"/>
      </w:pPr>
    </w:p>
    <w:p>
      <w:pPr>
        <w:pStyle w:val="Heading3"/>
        <w:numPr>
          <w:ilvl w:val="0"/>
          <w:numId w:val="10"/>
        </w:numPr>
        <w:tabs>
          <w:tab w:pos="2246" w:val="left" w:leader="none"/>
          <w:tab w:pos="2247" w:val="left" w:leader="none"/>
        </w:tabs>
        <w:spacing w:line="240" w:lineRule="auto" w:before="0" w:after="0"/>
        <w:ind w:left="2246" w:right="0" w:hanging="568"/>
        <w:jc w:val="left"/>
      </w:pPr>
      <w:r>
        <w:rPr/>
        <w:t>Management</w:t>
      </w:r>
      <w:r>
        <w:rPr>
          <w:spacing w:val="-12"/>
        </w:rPr>
        <w:t> </w:t>
      </w:r>
      <w:r>
        <w:rPr/>
        <w:t>and</w:t>
      </w:r>
      <w:r>
        <w:rPr>
          <w:spacing w:val="-9"/>
        </w:rPr>
        <w:t> </w:t>
      </w:r>
      <w:r>
        <w:rPr/>
        <w:t>Administrative</w:t>
      </w:r>
      <w:r>
        <w:rPr>
          <w:spacing w:val="-7"/>
        </w:rPr>
        <w:t> </w:t>
      </w:r>
      <w:r>
        <w:rPr/>
        <w:t>Support</w:t>
      </w:r>
      <w:r>
        <w:rPr>
          <w:spacing w:val="-7"/>
        </w:rPr>
        <w:t> </w:t>
      </w:r>
      <w:r>
        <w:rPr>
          <w:spacing w:val="-4"/>
        </w:rPr>
        <w:t>Unit</w:t>
      </w:r>
    </w:p>
    <w:p>
      <w:pPr>
        <w:pStyle w:val="BodyText"/>
        <w:spacing w:before="10"/>
        <w:rPr>
          <w:b/>
        </w:rPr>
      </w:pPr>
    </w:p>
    <w:p>
      <w:pPr>
        <w:pStyle w:val="ListParagraph"/>
        <w:numPr>
          <w:ilvl w:val="0"/>
          <w:numId w:val="4"/>
        </w:numPr>
        <w:tabs>
          <w:tab w:pos="3020" w:val="left" w:leader="none"/>
        </w:tabs>
        <w:spacing w:line="240" w:lineRule="auto" w:before="0" w:after="0"/>
        <w:ind w:left="2246" w:right="2236" w:firstLine="0"/>
        <w:jc w:val="both"/>
        <w:rPr>
          <w:sz w:val="20"/>
        </w:rPr>
      </w:pPr>
      <w:r>
        <w:rPr>
          <w:sz w:val="20"/>
        </w:rPr>
        <w:t>The Management and Administrative Support Unit (formerly Integrated Services Administrative Team) supports ISD and the prosecutorial pillars (and other parts of the Office, where needed) by providing efficient administrative and management support in accordance with agreed quality and within agreed timelines.</w:t>
      </w:r>
    </w:p>
    <w:p>
      <w:pPr>
        <w:pStyle w:val="ListParagraph"/>
        <w:numPr>
          <w:ilvl w:val="0"/>
          <w:numId w:val="4"/>
        </w:numPr>
        <w:tabs>
          <w:tab w:pos="2967" w:val="left" w:leader="none"/>
        </w:tabs>
        <w:spacing w:line="240" w:lineRule="auto" w:before="122" w:after="0"/>
        <w:ind w:left="2246" w:right="2243" w:firstLine="0"/>
        <w:jc w:val="both"/>
        <w:rPr>
          <w:sz w:val="20"/>
        </w:rPr>
      </w:pPr>
      <w:r>
        <w:rPr>
          <w:sz w:val="20"/>
        </w:rPr>
        <w:t>The goals of the Unit are to provide timely administrative support to the OTP; to support strategic planning/KPIs</w:t>
      </w:r>
      <w:r>
        <w:rPr>
          <w:spacing w:val="-1"/>
          <w:sz w:val="20"/>
        </w:rPr>
        <w:t> </w:t>
      </w:r>
      <w:r>
        <w:rPr>
          <w:sz w:val="20"/>
        </w:rPr>
        <w:t>and risk management, and contribute to its</w:t>
      </w:r>
      <w:r>
        <w:rPr>
          <w:spacing w:val="-1"/>
          <w:sz w:val="20"/>
        </w:rPr>
        <w:t> </w:t>
      </w:r>
      <w:r>
        <w:rPr>
          <w:sz w:val="20"/>
        </w:rPr>
        <w:t>integration with the budget; to support intra- and cross divisional planning through the provision of the relevant</w:t>
      </w:r>
      <w:r>
        <w:rPr>
          <w:spacing w:val="-9"/>
          <w:sz w:val="20"/>
        </w:rPr>
        <w:t> </w:t>
      </w:r>
      <w:r>
        <w:rPr>
          <w:sz w:val="20"/>
        </w:rPr>
        <w:t>management</w:t>
      </w:r>
      <w:r>
        <w:rPr>
          <w:spacing w:val="-13"/>
          <w:sz w:val="20"/>
        </w:rPr>
        <w:t> </w:t>
      </w:r>
      <w:r>
        <w:rPr>
          <w:sz w:val="20"/>
        </w:rPr>
        <w:t>information</w:t>
      </w:r>
      <w:r>
        <w:rPr>
          <w:spacing w:val="-9"/>
          <w:sz w:val="20"/>
        </w:rPr>
        <w:t> </w:t>
      </w:r>
      <w:r>
        <w:rPr>
          <w:sz w:val="20"/>
        </w:rPr>
        <w:t>systems;</w:t>
      </w:r>
      <w:r>
        <w:rPr>
          <w:spacing w:val="-13"/>
          <w:sz w:val="20"/>
        </w:rPr>
        <w:t> </w:t>
      </w:r>
      <w:r>
        <w:rPr>
          <w:sz w:val="20"/>
        </w:rPr>
        <w:t>and,</w:t>
      </w:r>
      <w:r>
        <w:rPr>
          <w:spacing w:val="-12"/>
          <w:sz w:val="20"/>
        </w:rPr>
        <w:t> </w:t>
      </w:r>
      <w:r>
        <w:rPr>
          <w:sz w:val="20"/>
        </w:rPr>
        <w:t>through</w:t>
      </w:r>
      <w:r>
        <w:rPr>
          <w:spacing w:val="-9"/>
          <w:sz w:val="20"/>
        </w:rPr>
        <w:t> </w:t>
      </w:r>
      <w:r>
        <w:rPr>
          <w:sz w:val="20"/>
        </w:rPr>
        <w:t>review,</w:t>
      </w:r>
      <w:r>
        <w:rPr>
          <w:spacing w:val="-3"/>
          <w:sz w:val="20"/>
        </w:rPr>
        <w:t> </w:t>
      </w:r>
      <w:r>
        <w:rPr>
          <w:sz w:val="20"/>
        </w:rPr>
        <w:t>to</w:t>
      </w:r>
      <w:r>
        <w:rPr>
          <w:spacing w:val="-9"/>
          <w:sz w:val="20"/>
        </w:rPr>
        <w:t> </w:t>
      </w:r>
      <w:r>
        <w:rPr>
          <w:sz w:val="20"/>
        </w:rPr>
        <w:t>optimize</w:t>
      </w:r>
      <w:r>
        <w:rPr>
          <w:spacing w:val="-12"/>
          <w:sz w:val="20"/>
        </w:rPr>
        <w:t> </w:t>
      </w:r>
      <w:r>
        <w:rPr>
          <w:sz w:val="20"/>
        </w:rPr>
        <w:t>and</w:t>
      </w:r>
      <w:r>
        <w:rPr>
          <w:spacing w:val="-9"/>
          <w:sz w:val="20"/>
        </w:rPr>
        <w:t> </w:t>
      </w:r>
      <w:r>
        <w:rPr>
          <w:sz w:val="20"/>
        </w:rPr>
        <w:t>enhance</w:t>
      </w:r>
      <w:r>
        <w:rPr>
          <w:spacing w:val="-12"/>
          <w:sz w:val="20"/>
        </w:rPr>
        <w:t> </w:t>
      </w:r>
      <w:r>
        <w:rPr>
          <w:sz w:val="20"/>
        </w:rPr>
        <w:t>the efficiency of processes for which ISD is responsible.</w:t>
      </w:r>
    </w:p>
    <w:p>
      <w:pPr>
        <w:pStyle w:val="BodyText"/>
        <w:spacing w:before="1"/>
        <w:rPr>
          <w:sz w:val="21"/>
        </w:rPr>
      </w:pPr>
    </w:p>
    <w:p>
      <w:pPr>
        <w:pStyle w:val="Heading3"/>
        <w:tabs>
          <w:tab w:pos="5739" w:val="left" w:leader="none"/>
        </w:tabs>
        <w:ind w:left="5"/>
        <w:jc w:val="center"/>
      </w:pPr>
      <w:r>
        <w:rPr/>
        <w:t>Budget</w:t>
      </w:r>
      <w:r>
        <w:rPr>
          <w:spacing w:val="-6"/>
        </w:rPr>
        <w:t> </w:t>
      </w:r>
      <w:r>
        <w:rPr>
          <w:spacing w:val="-2"/>
        </w:rPr>
        <w:t>resources</w:t>
      </w:r>
      <w:r>
        <w:rPr/>
        <w:tab/>
        <w:t>€18,718.7</w:t>
      </w:r>
      <w:r>
        <w:rPr>
          <w:spacing w:val="-6"/>
        </w:rPr>
        <w:t> </w:t>
      </w:r>
      <w:r>
        <w:rPr>
          <w:spacing w:val="-2"/>
        </w:rPr>
        <w:t>thousand</w:t>
      </w:r>
    </w:p>
    <w:p>
      <w:pPr>
        <w:pStyle w:val="BodyText"/>
        <w:spacing w:before="6"/>
        <w:rPr>
          <w:b/>
        </w:rPr>
      </w:pPr>
    </w:p>
    <w:p>
      <w:pPr>
        <w:pStyle w:val="ListParagraph"/>
        <w:numPr>
          <w:ilvl w:val="0"/>
          <w:numId w:val="4"/>
        </w:numPr>
        <w:tabs>
          <w:tab w:pos="2967" w:val="left" w:leader="none"/>
        </w:tabs>
        <w:spacing w:line="240" w:lineRule="auto" w:before="0" w:after="0"/>
        <w:ind w:left="2246" w:right="2241" w:firstLine="0"/>
        <w:jc w:val="both"/>
        <w:rPr>
          <w:sz w:val="20"/>
        </w:rPr>
      </w:pPr>
      <w:r>
        <w:rPr>
          <w:sz w:val="20"/>
        </w:rPr>
        <w:t>The requested resources are the result of the reallocation of existing sections into the integrated services pillar. In particular, the staff perimeter has not changed. The adjustments</w:t>
      </w:r>
      <w:r>
        <w:rPr>
          <w:spacing w:val="-13"/>
          <w:sz w:val="20"/>
        </w:rPr>
        <w:t> </w:t>
      </w:r>
      <w:r>
        <w:rPr>
          <w:sz w:val="20"/>
        </w:rPr>
        <w:t>to</w:t>
      </w:r>
      <w:r>
        <w:rPr>
          <w:spacing w:val="-10"/>
          <w:sz w:val="20"/>
        </w:rPr>
        <w:t> </w:t>
      </w:r>
      <w:r>
        <w:rPr>
          <w:sz w:val="20"/>
        </w:rPr>
        <w:t>some</w:t>
      </w:r>
      <w:r>
        <w:rPr>
          <w:spacing w:val="-7"/>
          <w:sz w:val="20"/>
        </w:rPr>
        <w:t> </w:t>
      </w:r>
      <w:r>
        <w:rPr>
          <w:sz w:val="20"/>
        </w:rPr>
        <w:t>posts</w:t>
      </w:r>
      <w:r>
        <w:rPr>
          <w:spacing w:val="-10"/>
          <w:sz w:val="20"/>
        </w:rPr>
        <w:t> </w:t>
      </w:r>
      <w:r>
        <w:rPr>
          <w:sz w:val="20"/>
        </w:rPr>
        <w:t>have</w:t>
      </w:r>
      <w:r>
        <w:rPr>
          <w:spacing w:val="-7"/>
          <w:sz w:val="20"/>
        </w:rPr>
        <w:t> </w:t>
      </w:r>
      <w:r>
        <w:rPr>
          <w:sz w:val="20"/>
        </w:rPr>
        <w:t>been</w:t>
      </w:r>
      <w:r>
        <w:rPr>
          <w:spacing w:val="-13"/>
          <w:sz w:val="20"/>
        </w:rPr>
        <w:t> </w:t>
      </w:r>
      <w:r>
        <w:rPr>
          <w:sz w:val="20"/>
        </w:rPr>
        <w:t>designed</w:t>
      </w:r>
      <w:r>
        <w:rPr>
          <w:spacing w:val="-8"/>
          <w:sz w:val="20"/>
        </w:rPr>
        <w:t> </w:t>
      </w:r>
      <w:r>
        <w:rPr>
          <w:sz w:val="20"/>
        </w:rPr>
        <w:t>to</w:t>
      </w:r>
      <w:r>
        <w:rPr>
          <w:spacing w:val="-13"/>
          <w:sz w:val="20"/>
        </w:rPr>
        <w:t> </w:t>
      </w:r>
      <w:r>
        <w:rPr>
          <w:sz w:val="20"/>
        </w:rPr>
        <w:t>be</w:t>
      </w:r>
      <w:r>
        <w:rPr>
          <w:spacing w:val="-12"/>
          <w:sz w:val="20"/>
        </w:rPr>
        <w:t> </w:t>
      </w:r>
      <w:r>
        <w:rPr>
          <w:sz w:val="20"/>
        </w:rPr>
        <w:t>budget</w:t>
      </w:r>
      <w:r>
        <w:rPr>
          <w:spacing w:val="-7"/>
          <w:sz w:val="20"/>
        </w:rPr>
        <w:t> </w:t>
      </w:r>
      <w:r>
        <w:rPr>
          <w:sz w:val="20"/>
        </w:rPr>
        <w:t>neutral</w:t>
      </w:r>
      <w:r>
        <w:rPr>
          <w:spacing w:val="-7"/>
          <w:sz w:val="20"/>
        </w:rPr>
        <w:t> </w:t>
      </w:r>
      <w:r>
        <w:rPr>
          <w:sz w:val="20"/>
        </w:rPr>
        <w:t>while</w:t>
      </w:r>
      <w:r>
        <w:rPr>
          <w:spacing w:val="-12"/>
          <w:sz w:val="20"/>
        </w:rPr>
        <w:t> </w:t>
      </w:r>
      <w:r>
        <w:rPr>
          <w:sz w:val="20"/>
        </w:rPr>
        <w:t>addressing</w:t>
      </w:r>
      <w:r>
        <w:rPr>
          <w:spacing w:val="-13"/>
          <w:sz w:val="20"/>
        </w:rPr>
        <w:t> </w:t>
      </w:r>
      <w:r>
        <w:rPr>
          <w:sz w:val="20"/>
        </w:rPr>
        <w:t>the</w:t>
      </w:r>
      <w:r>
        <w:rPr>
          <w:spacing w:val="-7"/>
          <w:sz w:val="20"/>
        </w:rPr>
        <w:t> </w:t>
      </w:r>
      <w:r>
        <w:rPr>
          <w:sz w:val="20"/>
        </w:rPr>
        <w:t>need to have profiles that more closely match the mandate of this pillar.</w:t>
      </w:r>
    </w:p>
    <w:p>
      <w:pPr>
        <w:pStyle w:val="ListParagraph"/>
        <w:numPr>
          <w:ilvl w:val="0"/>
          <w:numId w:val="4"/>
        </w:numPr>
        <w:tabs>
          <w:tab w:pos="2967" w:val="left" w:leader="none"/>
        </w:tabs>
        <w:spacing w:line="240" w:lineRule="auto" w:before="122" w:after="0"/>
        <w:ind w:left="2246" w:right="2250" w:firstLine="0"/>
        <w:jc w:val="both"/>
        <w:rPr>
          <w:sz w:val="20"/>
        </w:rPr>
      </w:pPr>
      <w:r>
        <w:rPr>
          <w:sz w:val="20"/>
        </w:rPr>
        <w:t>The non-staff cost resources have been</w:t>
      </w:r>
      <w:r>
        <w:rPr>
          <w:spacing w:val="-4"/>
          <w:sz w:val="20"/>
        </w:rPr>
        <w:t> </w:t>
      </w:r>
      <w:r>
        <w:rPr>
          <w:sz w:val="20"/>
        </w:rPr>
        <w:t>evaluated</w:t>
      </w:r>
      <w:r>
        <w:rPr>
          <w:spacing w:val="-4"/>
          <w:sz w:val="20"/>
        </w:rPr>
        <w:t> </w:t>
      </w:r>
      <w:r>
        <w:rPr>
          <w:sz w:val="20"/>
        </w:rPr>
        <w:t>and estimated on the basis of the level</w:t>
      </w:r>
      <w:r>
        <w:rPr>
          <w:spacing w:val="-3"/>
          <w:sz w:val="20"/>
        </w:rPr>
        <w:t> </w:t>
      </w:r>
      <w:r>
        <w:rPr>
          <w:sz w:val="20"/>
        </w:rPr>
        <w:t>of</w:t>
      </w:r>
      <w:r>
        <w:rPr>
          <w:spacing w:val="-5"/>
          <w:sz w:val="20"/>
        </w:rPr>
        <w:t> </w:t>
      </w:r>
      <w:r>
        <w:rPr>
          <w:sz w:val="20"/>
        </w:rPr>
        <w:t>support</w:t>
      </w:r>
      <w:r>
        <w:rPr>
          <w:spacing w:val="-3"/>
          <w:sz w:val="20"/>
        </w:rPr>
        <w:t> </w:t>
      </w:r>
      <w:r>
        <w:rPr>
          <w:sz w:val="20"/>
        </w:rPr>
        <w:t>needed</w:t>
      </w:r>
      <w:r>
        <w:rPr>
          <w:spacing w:val="-5"/>
          <w:sz w:val="20"/>
        </w:rPr>
        <w:t> </w:t>
      </w:r>
      <w:r>
        <w:rPr>
          <w:sz w:val="20"/>
        </w:rPr>
        <w:t>to</w:t>
      </w:r>
      <w:r>
        <w:rPr>
          <w:spacing w:val="-1"/>
          <w:sz w:val="20"/>
        </w:rPr>
        <w:t> </w:t>
      </w:r>
      <w:r>
        <w:rPr>
          <w:sz w:val="20"/>
        </w:rPr>
        <w:t>service</w:t>
      </w:r>
      <w:r>
        <w:rPr>
          <w:spacing w:val="-3"/>
          <w:sz w:val="20"/>
        </w:rPr>
        <w:t> </w:t>
      </w:r>
      <w:r>
        <w:rPr>
          <w:sz w:val="20"/>
        </w:rPr>
        <w:t>the</w:t>
      </w:r>
      <w:r>
        <w:rPr>
          <w:spacing w:val="-4"/>
          <w:sz w:val="20"/>
        </w:rPr>
        <w:t> </w:t>
      </w:r>
      <w:r>
        <w:rPr>
          <w:sz w:val="20"/>
        </w:rPr>
        <w:t>Office’s</w:t>
      </w:r>
      <w:r>
        <w:rPr>
          <w:spacing w:val="-2"/>
          <w:sz w:val="20"/>
        </w:rPr>
        <w:t> </w:t>
      </w:r>
      <w:r>
        <w:rPr>
          <w:sz w:val="20"/>
        </w:rPr>
        <w:t>planned</w:t>
      </w:r>
      <w:r>
        <w:rPr>
          <w:spacing w:val="-5"/>
          <w:sz w:val="20"/>
        </w:rPr>
        <w:t> </w:t>
      </w:r>
      <w:r>
        <w:rPr>
          <w:sz w:val="20"/>
        </w:rPr>
        <w:t>and</w:t>
      </w:r>
      <w:r>
        <w:rPr>
          <w:spacing w:val="-5"/>
          <w:sz w:val="20"/>
        </w:rPr>
        <w:t> </w:t>
      </w:r>
      <w:r>
        <w:rPr>
          <w:sz w:val="20"/>
        </w:rPr>
        <w:t>anticipated</w:t>
      </w:r>
      <w:r>
        <w:rPr>
          <w:spacing w:val="-5"/>
          <w:sz w:val="20"/>
        </w:rPr>
        <w:t> </w:t>
      </w:r>
      <w:r>
        <w:rPr>
          <w:sz w:val="20"/>
        </w:rPr>
        <w:t>activities. Details</w:t>
      </w:r>
      <w:r>
        <w:rPr>
          <w:spacing w:val="-6"/>
          <w:sz w:val="20"/>
        </w:rPr>
        <w:t> </w:t>
      </w:r>
      <w:r>
        <w:rPr>
          <w:sz w:val="20"/>
        </w:rPr>
        <w:t>are provided in the paragraphs below concerning non-staff costs.</w:t>
      </w:r>
    </w:p>
    <w:p>
      <w:pPr>
        <w:pStyle w:val="BodyText"/>
        <w:rPr>
          <w:sz w:val="21"/>
        </w:rPr>
      </w:pPr>
    </w:p>
    <w:p>
      <w:pPr>
        <w:pStyle w:val="Heading3"/>
        <w:tabs>
          <w:tab w:pos="5739" w:val="left" w:leader="none"/>
        </w:tabs>
        <w:ind w:left="5"/>
        <w:jc w:val="center"/>
      </w:pPr>
      <w:r>
        <w:rPr/>
        <w:t>Staff</w:t>
      </w:r>
      <w:r>
        <w:rPr>
          <w:spacing w:val="-2"/>
        </w:rPr>
        <w:t> resources</w:t>
      </w:r>
      <w:r>
        <w:rPr/>
        <w:tab/>
        <w:t>€17,032.7</w:t>
      </w:r>
      <w:r>
        <w:rPr>
          <w:spacing w:val="-6"/>
        </w:rPr>
        <w:t> </w:t>
      </w:r>
      <w:r>
        <w:rPr>
          <w:spacing w:val="-2"/>
        </w:rPr>
        <w:t>thousand</w:t>
      </w:r>
    </w:p>
    <w:p>
      <w:pPr>
        <w:pStyle w:val="BodyText"/>
        <w:spacing w:before="10"/>
        <w:rPr>
          <w:b/>
        </w:rPr>
      </w:pPr>
    </w:p>
    <w:p>
      <w:pPr>
        <w:pStyle w:val="ListParagraph"/>
        <w:numPr>
          <w:ilvl w:val="0"/>
          <w:numId w:val="4"/>
        </w:numPr>
        <w:tabs>
          <w:tab w:pos="2967" w:val="left" w:leader="none"/>
        </w:tabs>
        <w:spacing w:line="240" w:lineRule="auto" w:before="1" w:after="0"/>
        <w:ind w:left="2246" w:right="2237" w:firstLine="0"/>
        <w:jc w:val="both"/>
        <w:rPr>
          <w:sz w:val="20"/>
        </w:rPr>
      </w:pPr>
      <w:r>
        <w:rPr>
          <w:sz w:val="20"/>
        </w:rPr>
        <w:t>Within delegated authority and under the direct supervision of the Prosecutor, the Director, Integrated Services, is responsible for managing the reliable and cost-effective delivery of integrated services within the Office. The Director leads in ensuring that the Office is adequately supported through all relevant service functions, technologies and equipment, and that appropriate services are available to support the implementation of the Office’s mandate. The Director, Integrated Services, defines, implements and manages a large</w:t>
      </w:r>
      <w:r>
        <w:rPr>
          <w:spacing w:val="-6"/>
          <w:sz w:val="20"/>
        </w:rPr>
        <w:t> </w:t>
      </w:r>
      <w:r>
        <w:rPr>
          <w:sz w:val="20"/>
        </w:rPr>
        <w:t>number</w:t>
      </w:r>
      <w:r>
        <w:rPr>
          <w:spacing w:val="-7"/>
          <w:sz w:val="20"/>
        </w:rPr>
        <w:t> </w:t>
      </w:r>
      <w:r>
        <w:rPr>
          <w:sz w:val="20"/>
        </w:rPr>
        <w:t>of</w:t>
      </w:r>
      <w:r>
        <w:rPr>
          <w:spacing w:val="-7"/>
          <w:sz w:val="20"/>
        </w:rPr>
        <w:t> </w:t>
      </w:r>
      <w:r>
        <w:rPr>
          <w:sz w:val="20"/>
        </w:rPr>
        <w:t>services</w:t>
      </w:r>
      <w:r>
        <w:rPr>
          <w:spacing w:val="-9"/>
          <w:sz w:val="20"/>
        </w:rPr>
        <w:t> </w:t>
      </w:r>
      <w:r>
        <w:rPr>
          <w:sz w:val="20"/>
        </w:rPr>
        <w:t>that</w:t>
      </w:r>
      <w:r>
        <w:rPr>
          <w:spacing w:val="-6"/>
          <w:sz w:val="20"/>
        </w:rPr>
        <w:t> </w:t>
      </w:r>
      <w:r>
        <w:rPr>
          <w:sz w:val="20"/>
        </w:rPr>
        <w:t>are</w:t>
      </w:r>
      <w:r>
        <w:rPr>
          <w:spacing w:val="-1"/>
          <w:sz w:val="20"/>
        </w:rPr>
        <w:t> </w:t>
      </w:r>
      <w:r>
        <w:rPr>
          <w:sz w:val="20"/>
        </w:rPr>
        <w:t>needed</w:t>
      </w:r>
      <w:r>
        <w:rPr>
          <w:spacing w:val="-7"/>
          <w:sz w:val="20"/>
        </w:rPr>
        <w:t> </w:t>
      </w:r>
      <w:r>
        <w:rPr>
          <w:sz w:val="20"/>
        </w:rPr>
        <w:t>to</w:t>
      </w:r>
      <w:r>
        <w:rPr>
          <w:spacing w:val="-7"/>
          <w:sz w:val="20"/>
        </w:rPr>
        <w:t> </w:t>
      </w:r>
      <w:r>
        <w:rPr>
          <w:sz w:val="20"/>
        </w:rPr>
        <w:t>achieve</w:t>
      </w:r>
      <w:r>
        <w:rPr>
          <w:spacing w:val="-6"/>
          <w:sz w:val="20"/>
        </w:rPr>
        <w:t> </w:t>
      </w:r>
      <w:r>
        <w:rPr>
          <w:sz w:val="20"/>
        </w:rPr>
        <w:t>the</w:t>
      </w:r>
      <w:r>
        <w:rPr>
          <w:spacing w:val="-6"/>
          <w:sz w:val="20"/>
        </w:rPr>
        <w:t> </w:t>
      </w:r>
      <w:r>
        <w:rPr>
          <w:sz w:val="20"/>
        </w:rPr>
        <w:t>defined</w:t>
      </w:r>
      <w:r>
        <w:rPr>
          <w:spacing w:val="-3"/>
          <w:sz w:val="20"/>
        </w:rPr>
        <w:t> </w:t>
      </w:r>
      <w:r>
        <w:rPr>
          <w:sz w:val="20"/>
        </w:rPr>
        <w:t>goals</w:t>
      </w:r>
      <w:r>
        <w:rPr>
          <w:spacing w:val="-9"/>
          <w:sz w:val="20"/>
        </w:rPr>
        <w:t> </w:t>
      </w:r>
      <w:r>
        <w:rPr>
          <w:sz w:val="20"/>
        </w:rPr>
        <w:t>of</w:t>
      </w:r>
      <w:r>
        <w:rPr>
          <w:spacing w:val="-7"/>
          <w:sz w:val="20"/>
        </w:rPr>
        <w:t> </w:t>
      </w:r>
      <w:r>
        <w:rPr>
          <w:sz w:val="20"/>
        </w:rPr>
        <w:t>high</w:t>
      </w:r>
      <w:r>
        <w:rPr>
          <w:spacing w:val="-7"/>
          <w:sz w:val="20"/>
        </w:rPr>
        <w:t> </w:t>
      </w:r>
      <w:r>
        <w:rPr>
          <w:sz w:val="20"/>
        </w:rPr>
        <w:t>quality</w:t>
      </w:r>
      <w:r>
        <w:rPr>
          <w:spacing w:val="-12"/>
          <w:sz w:val="20"/>
        </w:rPr>
        <w:t> </w:t>
      </w:r>
      <w:r>
        <w:rPr>
          <w:sz w:val="20"/>
        </w:rPr>
        <w:t>and</w:t>
      </w:r>
      <w:r>
        <w:rPr>
          <w:spacing w:val="-7"/>
          <w:sz w:val="20"/>
        </w:rPr>
        <w:t> </w:t>
      </w:r>
      <w:r>
        <w:rPr>
          <w:sz w:val="20"/>
        </w:rPr>
        <w:t>cost efficiency within the categories of planning and operations, information knowledge and evidence management, forensic science and language support. The Director works with the heads of section to develop new approaches and strategies that promote the use of modern tools and</w:t>
      </w:r>
      <w:r>
        <w:rPr>
          <w:spacing w:val="-4"/>
          <w:sz w:val="20"/>
        </w:rPr>
        <w:t> </w:t>
      </w:r>
      <w:r>
        <w:rPr>
          <w:sz w:val="20"/>
        </w:rPr>
        <w:t>advanced technology as mechanisms to strengthen</w:t>
      </w:r>
      <w:r>
        <w:rPr>
          <w:spacing w:val="-4"/>
          <w:sz w:val="20"/>
        </w:rPr>
        <w:t> </w:t>
      </w:r>
      <w:r>
        <w:rPr>
          <w:sz w:val="20"/>
        </w:rPr>
        <w:t>the effectiveness of the Office.</w:t>
      </w:r>
    </w:p>
    <w:p>
      <w:pPr>
        <w:spacing w:after="0" w:line="240" w:lineRule="auto"/>
        <w:jc w:val="both"/>
        <w:rPr>
          <w:sz w:val="20"/>
        </w:rPr>
        <w:sectPr>
          <w:pgSz w:w="11910" w:h="16840"/>
          <w:pgMar w:header="957" w:footer="940" w:top="1140" w:bottom="1140" w:left="20" w:right="20"/>
        </w:sectPr>
      </w:pPr>
    </w:p>
    <w:p>
      <w:pPr>
        <w:pStyle w:val="ListParagraph"/>
        <w:numPr>
          <w:ilvl w:val="0"/>
          <w:numId w:val="4"/>
        </w:numPr>
        <w:tabs>
          <w:tab w:pos="2967" w:val="left" w:leader="none"/>
        </w:tabs>
        <w:spacing w:line="240" w:lineRule="auto" w:before="124" w:after="0"/>
        <w:ind w:left="2246" w:right="2246" w:firstLine="0"/>
        <w:jc w:val="both"/>
        <w:rPr>
          <w:sz w:val="20"/>
        </w:rPr>
      </w:pPr>
      <w:r>
        <w:rPr>
          <w:sz w:val="20"/>
        </w:rPr>
        <w:t>In</w:t>
      </w:r>
      <w:r>
        <w:rPr>
          <w:spacing w:val="-1"/>
          <w:sz w:val="20"/>
        </w:rPr>
        <w:t> </w:t>
      </w:r>
      <w:r>
        <w:rPr>
          <w:sz w:val="20"/>
        </w:rPr>
        <w:t>2023,</w:t>
      </w:r>
      <w:r>
        <w:rPr>
          <w:spacing w:val="-8"/>
          <w:sz w:val="20"/>
        </w:rPr>
        <w:t> </w:t>
      </w:r>
      <w:r>
        <w:rPr>
          <w:sz w:val="20"/>
        </w:rPr>
        <w:t>the</w:t>
      </w:r>
      <w:r>
        <w:rPr>
          <w:spacing w:val="-4"/>
          <w:sz w:val="20"/>
        </w:rPr>
        <w:t> </w:t>
      </w:r>
      <w:r>
        <w:rPr>
          <w:sz w:val="20"/>
        </w:rPr>
        <w:t>Programme will</w:t>
      </w:r>
      <w:r>
        <w:rPr>
          <w:spacing w:val="-4"/>
          <w:sz w:val="20"/>
        </w:rPr>
        <w:t> </w:t>
      </w:r>
      <w:r>
        <w:rPr>
          <w:sz w:val="20"/>
        </w:rPr>
        <w:t>comprise</w:t>
      </w:r>
      <w:r>
        <w:rPr>
          <w:spacing w:val="-4"/>
          <w:sz w:val="20"/>
        </w:rPr>
        <w:t> </w:t>
      </w:r>
      <w:r>
        <w:rPr>
          <w:sz w:val="20"/>
        </w:rPr>
        <w:t>131</w:t>
      </w:r>
      <w:r>
        <w:rPr>
          <w:spacing w:val="-6"/>
          <w:sz w:val="20"/>
        </w:rPr>
        <w:t> </w:t>
      </w:r>
      <w:r>
        <w:rPr>
          <w:sz w:val="20"/>
        </w:rPr>
        <w:t>established</w:t>
      </w:r>
      <w:r>
        <w:rPr>
          <w:spacing w:val="-1"/>
          <w:sz w:val="20"/>
        </w:rPr>
        <w:t> </w:t>
      </w:r>
      <w:r>
        <w:rPr>
          <w:sz w:val="20"/>
        </w:rPr>
        <w:t>posts</w:t>
      </w:r>
      <w:r>
        <w:rPr>
          <w:spacing w:val="-7"/>
          <w:sz w:val="20"/>
        </w:rPr>
        <w:t> </w:t>
      </w:r>
      <w:r>
        <w:rPr>
          <w:sz w:val="20"/>
        </w:rPr>
        <w:t>and</w:t>
      </w:r>
      <w:r>
        <w:rPr>
          <w:spacing w:val="-6"/>
          <w:sz w:val="20"/>
        </w:rPr>
        <w:t> </w:t>
      </w:r>
      <w:r>
        <w:rPr>
          <w:sz w:val="20"/>
        </w:rPr>
        <w:t>69</w:t>
      </w:r>
      <w:r>
        <w:rPr>
          <w:spacing w:val="-6"/>
          <w:sz w:val="20"/>
        </w:rPr>
        <w:t> </w:t>
      </w:r>
      <w:r>
        <w:rPr>
          <w:sz w:val="20"/>
        </w:rPr>
        <w:t>GTA</w:t>
      </w:r>
      <w:r>
        <w:rPr>
          <w:spacing w:val="-7"/>
          <w:sz w:val="20"/>
        </w:rPr>
        <w:t> </w:t>
      </w:r>
      <w:r>
        <w:rPr>
          <w:sz w:val="20"/>
        </w:rPr>
        <w:t>positions (64.17 FTE) including Field Interpreters.</w:t>
      </w:r>
    </w:p>
    <w:p>
      <w:pPr>
        <w:pStyle w:val="ListParagraph"/>
        <w:numPr>
          <w:ilvl w:val="0"/>
          <w:numId w:val="4"/>
        </w:numPr>
        <w:tabs>
          <w:tab w:pos="2967" w:val="left" w:leader="none"/>
        </w:tabs>
        <w:spacing w:line="240" w:lineRule="auto" w:before="184" w:after="0"/>
        <w:ind w:left="2246" w:right="2240" w:firstLine="0"/>
        <w:jc w:val="both"/>
        <w:rPr>
          <w:sz w:val="20"/>
        </w:rPr>
      </w:pPr>
      <w:r>
        <w:rPr>
          <w:sz w:val="20"/>
        </w:rPr>
        <w:t>Conversion of one long-existing GTA position in the Management and Administrative Support Unit, Project Officer (P-3)</w:t>
      </w:r>
      <w:r>
        <w:rPr>
          <w:spacing w:val="-1"/>
          <w:sz w:val="20"/>
        </w:rPr>
        <w:t> </w:t>
      </w:r>
      <w:r>
        <w:rPr>
          <w:sz w:val="20"/>
        </w:rPr>
        <w:t>is requested. This</w:t>
      </w:r>
      <w:r>
        <w:rPr>
          <w:spacing w:val="-2"/>
          <w:sz w:val="20"/>
        </w:rPr>
        <w:t> </w:t>
      </w:r>
      <w:r>
        <w:rPr>
          <w:sz w:val="20"/>
        </w:rPr>
        <w:t>conversion is</w:t>
      </w:r>
      <w:r>
        <w:rPr>
          <w:spacing w:val="-2"/>
          <w:sz w:val="20"/>
        </w:rPr>
        <w:t> </w:t>
      </w:r>
      <w:r>
        <w:rPr>
          <w:sz w:val="20"/>
        </w:rPr>
        <w:t>justified by the continuous structural need of the role and functions involved and is compliant with the applicable Staff Regulations and Rules as well as with the established policies of the Court for this matter. The</w:t>
      </w:r>
      <w:r>
        <w:rPr>
          <w:spacing w:val="-2"/>
          <w:sz w:val="20"/>
        </w:rPr>
        <w:t> </w:t>
      </w:r>
      <w:r>
        <w:rPr>
          <w:sz w:val="20"/>
        </w:rPr>
        <w:t>conversion of this position</w:t>
      </w:r>
      <w:r>
        <w:rPr>
          <w:spacing w:val="-4"/>
          <w:sz w:val="20"/>
        </w:rPr>
        <w:t> </w:t>
      </w:r>
      <w:r>
        <w:rPr>
          <w:sz w:val="20"/>
        </w:rPr>
        <w:t>also has a</w:t>
      </w:r>
      <w:r>
        <w:rPr>
          <w:spacing w:val="-2"/>
          <w:sz w:val="20"/>
        </w:rPr>
        <w:t> </w:t>
      </w:r>
      <w:r>
        <w:rPr>
          <w:sz w:val="20"/>
        </w:rPr>
        <w:t>positive</w:t>
      </w:r>
      <w:r>
        <w:rPr>
          <w:spacing w:val="-2"/>
          <w:sz w:val="20"/>
        </w:rPr>
        <w:t> </w:t>
      </w:r>
      <w:r>
        <w:rPr>
          <w:sz w:val="20"/>
        </w:rPr>
        <w:t>financial impact on the</w:t>
      </w:r>
      <w:r>
        <w:rPr>
          <w:spacing w:val="-7"/>
          <w:sz w:val="20"/>
        </w:rPr>
        <w:t> </w:t>
      </w:r>
      <w:r>
        <w:rPr>
          <w:sz w:val="20"/>
        </w:rPr>
        <w:t>budget</w:t>
      </w:r>
      <w:r>
        <w:rPr>
          <w:spacing w:val="-8"/>
          <w:sz w:val="20"/>
        </w:rPr>
        <w:t> </w:t>
      </w:r>
      <w:r>
        <w:rPr>
          <w:sz w:val="20"/>
        </w:rPr>
        <w:t>proposal</w:t>
      </w:r>
      <w:r>
        <w:rPr>
          <w:spacing w:val="-7"/>
          <w:sz w:val="20"/>
        </w:rPr>
        <w:t> </w:t>
      </w:r>
      <w:r>
        <w:rPr>
          <w:sz w:val="20"/>
        </w:rPr>
        <w:t>as</w:t>
      </w:r>
      <w:r>
        <w:rPr>
          <w:spacing w:val="-10"/>
          <w:sz w:val="20"/>
        </w:rPr>
        <w:t> </w:t>
      </w:r>
      <w:r>
        <w:rPr>
          <w:sz w:val="20"/>
        </w:rPr>
        <w:t>it</w:t>
      </w:r>
      <w:r>
        <w:rPr>
          <w:spacing w:val="-7"/>
          <w:sz w:val="20"/>
        </w:rPr>
        <w:t> </w:t>
      </w:r>
      <w:r>
        <w:rPr>
          <w:sz w:val="20"/>
        </w:rPr>
        <w:t>will</w:t>
      </w:r>
      <w:r>
        <w:rPr>
          <w:spacing w:val="-8"/>
          <w:sz w:val="20"/>
        </w:rPr>
        <w:t> </w:t>
      </w:r>
      <w:r>
        <w:rPr>
          <w:sz w:val="20"/>
        </w:rPr>
        <w:t>be</w:t>
      </w:r>
      <w:r>
        <w:rPr>
          <w:spacing w:val="-7"/>
          <w:sz w:val="20"/>
        </w:rPr>
        <w:t> </w:t>
      </w:r>
      <w:r>
        <w:rPr>
          <w:sz w:val="20"/>
        </w:rPr>
        <w:t>subject</w:t>
      </w:r>
      <w:r>
        <w:rPr>
          <w:spacing w:val="-8"/>
          <w:sz w:val="20"/>
        </w:rPr>
        <w:t> </w:t>
      </w:r>
      <w:r>
        <w:rPr>
          <w:sz w:val="20"/>
        </w:rPr>
        <w:t>to</w:t>
      </w:r>
      <w:r>
        <w:rPr>
          <w:spacing w:val="-8"/>
          <w:sz w:val="20"/>
        </w:rPr>
        <w:t> </w:t>
      </w:r>
      <w:r>
        <w:rPr>
          <w:sz w:val="20"/>
        </w:rPr>
        <w:t>the</w:t>
      </w:r>
      <w:r>
        <w:rPr>
          <w:spacing w:val="-7"/>
          <w:sz w:val="20"/>
        </w:rPr>
        <w:t> </w:t>
      </w:r>
      <w:r>
        <w:rPr>
          <w:sz w:val="20"/>
        </w:rPr>
        <w:t>reduction</w:t>
      </w:r>
      <w:r>
        <w:rPr>
          <w:spacing w:val="-8"/>
          <w:sz w:val="20"/>
        </w:rPr>
        <w:t> </w:t>
      </w:r>
      <w:r>
        <w:rPr>
          <w:sz w:val="20"/>
        </w:rPr>
        <w:t>due</w:t>
      </w:r>
      <w:r>
        <w:rPr>
          <w:spacing w:val="-4"/>
          <w:sz w:val="20"/>
        </w:rPr>
        <w:t> </w:t>
      </w:r>
      <w:r>
        <w:rPr>
          <w:sz w:val="20"/>
        </w:rPr>
        <w:t>to</w:t>
      </w:r>
      <w:r>
        <w:rPr>
          <w:spacing w:val="-5"/>
          <w:sz w:val="20"/>
        </w:rPr>
        <w:t> </w:t>
      </w:r>
      <w:r>
        <w:rPr>
          <w:sz w:val="20"/>
        </w:rPr>
        <w:t>the</w:t>
      </w:r>
      <w:r>
        <w:rPr>
          <w:spacing w:val="-7"/>
          <w:sz w:val="20"/>
        </w:rPr>
        <w:t> </w:t>
      </w:r>
      <w:r>
        <w:rPr>
          <w:sz w:val="20"/>
        </w:rPr>
        <w:t>application</w:t>
      </w:r>
      <w:r>
        <w:rPr>
          <w:spacing w:val="-5"/>
          <w:sz w:val="20"/>
        </w:rPr>
        <w:t> </w:t>
      </w:r>
      <w:r>
        <w:rPr>
          <w:sz w:val="20"/>
        </w:rPr>
        <w:t>of</w:t>
      </w:r>
      <w:r>
        <w:rPr>
          <w:spacing w:val="-8"/>
          <w:sz w:val="20"/>
        </w:rPr>
        <w:t> </w:t>
      </w:r>
      <w:r>
        <w:rPr>
          <w:sz w:val="20"/>
        </w:rPr>
        <w:t>the</w:t>
      </w:r>
      <w:r>
        <w:rPr>
          <w:spacing w:val="-7"/>
          <w:sz w:val="20"/>
        </w:rPr>
        <w:t> </w:t>
      </w:r>
      <w:r>
        <w:rPr>
          <w:sz w:val="20"/>
        </w:rPr>
        <w:t>relevant vacancy rate. The savings from the conversion of this position amount to €10.3 thousand.</w:t>
      </w:r>
    </w:p>
    <w:p>
      <w:pPr>
        <w:pStyle w:val="ListParagraph"/>
        <w:numPr>
          <w:ilvl w:val="0"/>
          <w:numId w:val="4"/>
        </w:numPr>
        <w:tabs>
          <w:tab w:pos="2967" w:val="left" w:leader="none"/>
        </w:tabs>
        <w:spacing w:line="240" w:lineRule="auto" w:before="181" w:after="0"/>
        <w:ind w:left="2246" w:right="2236" w:firstLine="0"/>
        <w:jc w:val="both"/>
        <w:rPr>
          <w:sz w:val="20"/>
        </w:rPr>
      </w:pPr>
      <w:r>
        <w:rPr>
          <w:spacing w:val="-2"/>
          <w:sz w:val="20"/>
        </w:rPr>
        <w:t>In</w:t>
      </w:r>
      <w:r>
        <w:rPr>
          <w:spacing w:val="-7"/>
          <w:sz w:val="20"/>
        </w:rPr>
        <w:t> </w:t>
      </w:r>
      <w:r>
        <w:rPr>
          <w:spacing w:val="-2"/>
          <w:sz w:val="20"/>
        </w:rPr>
        <w:t>order</w:t>
      </w:r>
      <w:r>
        <w:rPr>
          <w:spacing w:val="-10"/>
          <w:sz w:val="20"/>
        </w:rPr>
        <w:t> </w:t>
      </w:r>
      <w:r>
        <w:rPr>
          <w:spacing w:val="-2"/>
          <w:sz w:val="20"/>
        </w:rPr>
        <w:t>to</w:t>
      </w:r>
      <w:r>
        <w:rPr>
          <w:spacing w:val="-10"/>
          <w:sz w:val="20"/>
        </w:rPr>
        <w:t> </w:t>
      </w:r>
      <w:r>
        <w:rPr>
          <w:spacing w:val="-2"/>
          <w:sz w:val="20"/>
        </w:rPr>
        <w:t>meet</w:t>
      </w:r>
      <w:r>
        <w:rPr>
          <w:spacing w:val="-4"/>
          <w:sz w:val="20"/>
        </w:rPr>
        <w:t> </w:t>
      </w:r>
      <w:r>
        <w:rPr>
          <w:spacing w:val="-2"/>
          <w:sz w:val="20"/>
        </w:rPr>
        <w:t>its</w:t>
      </w:r>
      <w:r>
        <w:rPr>
          <w:spacing w:val="-11"/>
          <w:sz w:val="20"/>
        </w:rPr>
        <w:t> </w:t>
      </w:r>
      <w:r>
        <w:rPr>
          <w:spacing w:val="-2"/>
          <w:sz w:val="20"/>
        </w:rPr>
        <w:t>operational</w:t>
      </w:r>
      <w:r>
        <w:rPr>
          <w:spacing w:val="-3"/>
          <w:sz w:val="20"/>
        </w:rPr>
        <w:t> </w:t>
      </w:r>
      <w:r>
        <w:rPr>
          <w:spacing w:val="-2"/>
          <w:sz w:val="20"/>
        </w:rPr>
        <w:t>needs,</w:t>
      </w:r>
      <w:r>
        <w:rPr>
          <w:spacing w:val="-8"/>
          <w:sz w:val="20"/>
        </w:rPr>
        <w:t> </w:t>
      </w:r>
      <w:r>
        <w:rPr>
          <w:spacing w:val="-2"/>
          <w:sz w:val="20"/>
        </w:rPr>
        <w:t>the</w:t>
      </w:r>
      <w:r>
        <w:rPr>
          <w:spacing w:val="-8"/>
          <w:sz w:val="20"/>
        </w:rPr>
        <w:t> </w:t>
      </w:r>
      <w:r>
        <w:rPr>
          <w:spacing w:val="-2"/>
          <w:sz w:val="20"/>
        </w:rPr>
        <w:t>creation</w:t>
      </w:r>
      <w:r>
        <w:rPr>
          <w:spacing w:val="-5"/>
          <w:sz w:val="20"/>
        </w:rPr>
        <w:t> </w:t>
      </w:r>
      <w:r>
        <w:rPr>
          <w:spacing w:val="-2"/>
          <w:sz w:val="20"/>
        </w:rPr>
        <w:t>of</w:t>
      </w:r>
      <w:r>
        <w:rPr>
          <w:spacing w:val="-10"/>
          <w:sz w:val="20"/>
        </w:rPr>
        <w:t> </w:t>
      </w:r>
      <w:r>
        <w:rPr>
          <w:spacing w:val="-2"/>
          <w:sz w:val="20"/>
        </w:rPr>
        <w:t>the</w:t>
      </w:r>
      <w:r>
        <w:rPr>
          <w:spacing w:val="-4"/>
          <w:sz w:val="20"/>
        </w:rPr>
        <w:t> </w:t>
      </w:r>
      <w:r>
        <w:rPr>
          <w:spacing w:val="-2"/>
          <w:sz w:val="20"/>
        </w:rPr>
        <w:t>following</w:t>
      </w:r>
      <w:r>
        <w:rPr>
          <w:spacing w:val="-10"/>
          <w:sz w:val="20"/>
        </w:rPr>
        <w:t> </w:t>
      </w:r>
      <w:r>
        <w:rPr>
          <w:spacing w:val="-2"/>
          <w:sz w:val="20"/>
        </w:rPr>
        <w:t>posts</w:t>
      </w:r>
      <w:r>
        <w:rPr>
          <w:spacing w:val="-11"/>
          <w:sz w:val="20"/>
        </w:rPr>
        <w:t> </w:t>
      </w:r>
      <w:r>
        <w:rPr>
          <w:spacing w:val="-2"/>
          <w:sz w:val="20"/>
        </w:rPr>
        <w:t>in</w:t>
      </w:r>
      <w:r>
        <w:rPr>
          <w:spacing w:val="-4"/>
          <w:sz w:val="20"/>
        </w:rPr>
        <w:t> </w:t>
      </w:r>
      <w:r>
        <w:rPr>
          <w:spacing w:val="-2"/>
          <w:sz w:val="20"/>
        </w:rPr>
        <w:t>IKEMS</w:t>
      </w:r>
      <w:r>
        <w:rPr>
          <w:spacing w:val="-7"/>
          <w:sz w:val="20"/>
        </w:rPr>
        <w:t> </w:t>
      </w:r>
      <w:r>
        <w:rPr>
          <w:spacing w:val="-2"/>
          <w:sz w:val="20"/>
        </w:rPr>
        <w:t>is </w:t>
      </w:r>
      <w:r>
        <w:rPr>
          <w:sz w:val="20"/>
        </w:rPr>
        <w:t>requested: One Data Engineer at the P-3 level, four Information and Evidence Officers (of which three have eDiscovery and one has Disclosure-specific expertise) and two Associate Information</w:t>
      </w:r>
      <w:r>
        <w:rPr>
          <w:spacing w:val="40"/>
          <w:sz w:val="20"/>
        </w:rPr>
        <w:t> </w:t>
      </w:r>
      <w:r>
        <w:rPr>
          <w:sz w:val="20"/>
        </w:rPr>
        <w:t>and</w:t>
      </w:r>
      <w:r>
        <w:rPr>
          <w:spacing w:val="40"/>
          <w:sz w:val="20"/>
        </w:rPr>
        <w:t> </w:t>
      </w:r>
      <w:r>
        <w:rPr>
          <w:sz w:val="20"/>
        </w:rPr>
        <w:t>Evidence</w:t>
      </w:r>
      <w:r>
        <w:rPr>
          <w:spacing w:val="40"/>
          <w:sz w:val="20"/>
        </w:rPr>
        <w:t> </w:t>
      </w:r>
      <w:r>
        <w:rPr>
          <w:sz w:val="20"/>
        </w:rPr>
        <w:t>Officers</w:t>
      </w:r>
      <w:r>
        <w:rPr>
          <w:spacing w:val="40"/>
          <w:sz w:val="20"/>
        </w:rPr>
        <w:t> </w:t>
      </w:r>
      <w:r>
        <w:rPr>
          <w:sz w:val="20"/>
        </w:rPr>
        <w:t>(of</w:t>
      </w:r>
      <w:r>
        <w:rPr>
          <w:spacing w:val="40"/>
          <w:sz w:val="20"/>
        </w:rPr>
        <w:t> </w:t>
      </w:r>
      <w:r>
        <w:rPr>
          <w:sz w:val="20"/>
        </w:rPr>
        <w:t>which</w:t>
      </w:r>
      <w:r>
        <w:rPr>
          <w:spacing w:val="40"/>
          <w:sz w:val="20"/>
        </w:rPr>
        <w:t> </w:t>
      </w:r>
      <w:r>
        <w:rPr>
          <w:sz w:val="20"/>
        </w:rPr>
        <w:t>one</w:t>
      </w:r>
      <w:r>
        <w:rPr>
          <w:spacing w:val="40"/>
          <w:sz w:val="20"/>
        </w:rPr>
        <w:t> </w:t>
      </w:r>
      <w:r>
        <w:rPr>
          <w:sz w:val="20"/>
        </w:rPr>
        <w:t>has</w:t>
      </w:r>
      <w:r>
        <w:rPr>
          <w:spacing w:val="40"/>
          <w:sz w:val="20"/>
        </w:rPr>
        <w:t> </w:t>
      </w:r>
      <w:r>
        <w:rPr>
          <w:sz w:val="20"/>
        </w:rPr>
        <w:t>eDiscovery</w:t>
      </w:r>
      <w:r>
        <w:rPr>
          <w:spacing w:val="40"/>
          <w:sz w:val="20"/>
        </w:rPr>
        <w:t> </w:t>
      </w:r>
      <w:r>
        <w:rPr>
          <w:sz w:val="20"/>
        </w:rPr>
        <w:t>and</w:t>
      </w:r>
      <w:r>
        <w:rPr>
          <w:spacing w:val="40"/>
          <w:sz w:val="20"/>
        </w:rPr>
        <w:t> </w:t>
      </w:r>
      <w:r>
        <w:rPr>
          <w:sz w:val="20"/>
        </w:rPr>
        <w:t>one</w:t>
      </w:r>
      <w:r>
        <w:rPr>
          <w:spacing w:val="40"/>
          <w:sz w:val="20"/>
        </w:rPr>
        <w:t> </w:t>
      </w:r>
      <w:r>
        <w:rPr>
          <w:sz w:val="20"/>
        </w:rPr>
        <w:t>has Disclosure-specific expertise), at the P-3 and P-2 levels respectively, one Associate RFA </w:t>
      </w:r>
      <w:r>
        <w:rPr>
          <w:spacing w:val="-2"/>
          <w:sz w:val="20"/>
        </w:rPr>
        <w:t>Analyst</w:t>
      </w:r>
      <w:r>
        <w:rPr>
          <w:spacing w:val="-11"/>
          <w:sz w:val="20"/>
        </w:rPr>
        <w:t> </w:t>
      </w:r>
      <w:r>
        <w:rPr>
          <w:spacing w:val="-2"/>
          <w:sz w:val="20"/>
        </w:rPr>
        <w:t>(eDiscovery)</w:t>
      </w:r>
      <w:r>
        <w:rPr>
          <w:spacing w:val="-10"/>
          <w:sz w:val="20"/>
        </w:rPr>
        <w:t> </w:t>
      </w:r>
      <w:r>
        <w:rPr>
          <w:spacing w:val="-2"/>
          <w:sz w:val="20"/>
        </w:rPr>
        <w:t>at</w:t>
      </w:r>
      <w:r>
        <w:rPr>
          <w:spacing w:val="-11"/>
          <w:sz w:val="20"/>
        </w:rPr>
        <w:t> </w:t>
      </w:r>
      <w:r>
        <w:rPr>
          <w:spacing w:val="-2"/>
          <w:sz w:val="20"/>
        </w:rPr>
        <w:t>the</w:t>
      </w:r>
      <w:r>
        <w:rPr>
          <w:spacing w:val="-10"/>
          <w:sz w:val="20"/>
        </w:rPr>
        <w:t> </w:t>
      </w:r>
      <w:r>
        <w:rPr>
          <w:spacing w:val="-2"/>
          <w:sz w:val="20"/>
        </w:rPr>
        <w:t>P-2</w:t>
      </w:r>
      <w:r>
        <w:rPr>
          <w:spacing w:val="-11"/>
          <w:sz w:val="20"/>
        </w:rPr>
        <w:t> </w:t>
      </w:r>
      <w:r>
        <w:rPr>
          <w:spacing w:val="-2"/>
          <w:sz w:val="20"/>
        </w:rPr>
        <w:t>level,</w:t>
      </w:r>
      <w:r>
        <w:rPr>
          <w:spacing w:val="-10"/>
          <w:sz w:val="20"/>
        </w:rPr>
        <w:t> </w:t>
      </w:r>
      <w:r>
        <w:rPr>
          <w:spacing w:val="-2"/>
          <w:sz w:val="20"/>
        </w:rPr>
        <w:t>one</w:t>
      </w:r>
      <w:r>
        <w:rPr>
          <w:spacing w:val="-11"/>
          <w:sz w:val="20"/>
        </w:rPr>
        <w:t> </w:t>
      </w:r>
      <w:r>
        <w:rPr>
          <w:spacing w:val="-2"/>
          <w:sz w:val="20"/>
        </w:rPr>
        <w:t>Senior</w:t>
      </w:r>
      <w:r>
        <w:rPr>
          <w:spacing w:val="-10"/>
          <w:sz w:val="20"/>
        </w:rPr>
        <w:t> </w:t>
      </w:r>
      <w:r>
        <w:rPr>
          <w:spacing w:val="-2"/>
          <w:sz w:val="20"/>
        </w:rPr>
        <w:t>Evidence</w:t>
      </w:r>
      <w:r>
        <w:rPr>
          <w:spacing w:val="-11"/>
          <w:sz w:val="20"/>
        </w:rPr>
        <w:t> </w:t>
      </w:r>
      <w:r>
        <w:rPr>
          <w:spacing w:val="-2"/>
          <w:sz w:val="20"/>
        </w:rPr>
        <w:t>Assistant</w:t>
      </w:r>
      <w:r>
        <w:rPr>
          <w:spacing w:val="-8"/>
          <w:sz w:val="20"/>
        </w:rPr>
        <w:t> </w:t>
      </w:r>
      <w:r>
        <w:rPr>
          <w:spacing w:val="-2"/>
          <w:sz w:val="20"/>
        </w:rPr>
        <w:t>(GS-OL),</w:t>
      </w:r>
      <w:r>
        <w:rPr>
          <w:spacing w:val="-10"/>
          <w:sz w:val="20"/>
        </w:rPr>
        <w:t> </w:t>
      </w:r>
      <w:r>
        <w:rPr>
          <w:spacing w:val="-2"/>
          <w:sz w:val="20"/>
        </w:rPr>
        <w:t>one</w:t>
      </w:r>
      <w:r>
        <w:rPr>
          <w:spacing w:val="-11"/>
          <w:sz w:val="20"/>
        </w:rPr>
        <w:t> </w:t>
      </w:r>
      <w:r>
        <w:rPr>
          <w:spacing w:val="-2"/>
          <w:sz w:val="20"/>
        </w:rPr>
        <w:t>eDiscovery </w:t>
      </w:r>
      <w:r>
        <w:rPr>
          <w:sz w:val="20"/>
        </w:rPr>
        <w:t>Assistant</w:t>
      </w:r>
      <w:r>
        <w:rPr>
          <w:spacing w:val="-2"/>
          <w:sz w:val="20"/>
        </w:rPr>
        <w:t> </w:t>
      </w:r>
      <w:r>
        <w:rPr>
          <w:sz w:val="20"/>
        </w:rPr>
        <w:t>(GS-OL),</w:t>
      </w:r>
      <w:r>
        <w:rPr>
          <w:spacing w:val="-1"/>
          <w:sz w:val="20"/>
        </w:rPr>
        <w:t> </w:t>
      </w:r>
      <w:r>
        <w:rPr>
          <w:sz w:val="20"/>
        </w:rPr>
        <w:t>and one</w:t>
      </w:r>
      <w:r>
        <w:rPr>
          <w:spacing w:val="-2"/>
          <w:sz w:val="20"/>
        </w:rPr>
        <w:t> </w:t>
      </w:r>
      <w:r>
        <w:rPr>
          <w:sz w:val="20"/>
        </w:rPr>
        <w:t>Evidence Processing Assistant (GS-OL).</w:t>
      </w:r>
    </w:p>
    <w:p>
      <w:pPr>
        <w:pStyle w:val="ListParagraph"/>
        <w:numPr>
          <w:ilvl w:val="0"/>
          <w:numId w:val="4"/>
        </w:numPr>
        <w:tabs>
          <w:tab w:pos="2967" w:val="left" w:leader="none"/>
        </w:tabs>
        <w:spacing w:line="240" w:lineRule="auto" w:before="176" w:after="0"/>
        <w:ind w:left="2246" w:right="2243" w:firstLine="0"/>
        <w:jc w:val="both"/>
        <w:rPr>
          <w:sz w:val="20"/>
        </w:rPr>
      </w:pPr>
      <w:r>
        <w:rPr>
          <w:sz w:val="20"/>
        </w:rPr>
        <w:t>The</w:t>
      </w:r>
      <w:r>
        <w:rPr>
          <w:spacing w:val="-13"/>
          <w:sz w:val="20"/>
        </w:rPr>
        <w:t> </w:t>
      </w:r>
      <w:r>
        <w:rPr>
          <w:sz w:val="20"/>
        </w:rPr>
        <w:t>cost</w:t>
      </w:r>
      <w:r>
        <w:rPr>
          <w:spacing w:val="-12"/>
          <w:sz w:val="20"/>
        </w:rPr>
        <w:t> </w:t>
      </w:r>
      <w:r>
        <w:rPr>
          <w:sz w:val="20"/>
        </w:rPr>
        <w:t>of</w:t>
      </w:r>
      <w:r>
        <w:rPr>
          <w:spacing w:val="-13"/>
          <w:sz w:val="20"/>
        </w:rPr>
        <w:t> </w:t>
      </w:r>
      <w:r>
        <w:rPr>
          <w:sz w:val="20"/>
        </w:rPr>
        <w:t>these</w:t>
      </w:r>
      <w:r>
        <w:rPr>
          <w:spacing w:val="-12"/>
          <w:sz w:val="20"/>
        </w:rPr>
        <w:t> </w:t>
      </w:r>
      <w:r>
        <w:rPr>
          <w:sz w:val="20"/>
        </w:rPr>
        <w:t>posts</w:t>
      </w:r>
      <w:r>
        <w:rPr>
          <w:spacing w:val="-13"/>
          <w:sz w:val="20"/>
        </w:rPr>
        <w:t> </w:t>
      </w:r>
      <w:r>
        <w:rPr>
          <w:sz w:val="20"/>
        </w:rPr>
        <w:t>will</w:t>
      </w:r>
      <w:r>
        <w:rPr>
          <w:spacing w:val="-12"/>
          <w:sz w:val="20"/>
        </w:rPr>
        <w:t> </w:t>
      </w:r>
      <w:r>
        <w:rPr>
          <w:sz w:val="20"/>
        </w:rPr>
        <w:t>be</w:t>
      </w:r>
      <w:r>
        <w:rPr>
          <w:spacing w:val="-13"/>
          <w:sz w:val="20"/>
        </w:rPr>
        <w:t> </w:t>
      </w:r>
      <w:r>
        <w:rPr>
          <w:sz w:val="20"/>
        </w:rPr>
        <w:t>partially</w:t>
      </w:r>
      <w:r>
        <w:rPr>
          <w:spacing w:val="-12"/>
          <w:sz w:val="20"/>
        </w:rPr>
        <w:t> </w:t>
      </w:r>
      <w:r>
        <w:rPr>
          <w:sz w:val="20"/>
        </w:rPr>
        <w:t>offset</w:t>
      </w:r>
      <w:r>
        <w:rPr>
          <w:spacing w:val="-13"/>
          <w:sz w:val="20"/>
        </w:rPr>
        <w:t> </w:t>
      </w:r>
      <w:r>
        <w:rPr>
          <w:sz w:val="20"/>
        </w:rPr>
        <w:t>by</w:t>
      </w:r>
      <w:r>
        <w:rPr>
          <w:spacing w:val="-12"/>
          <w:sz w:val="20"/>
        </w:rPr>
        <w:t> </w:t>
      </w:r>
      <w:r>
        <w:rPr>
          <w:sz w:val="20"/>
        </w:rPr>
        <w:t>the</w:t>
      </w:r>
      <w:r>
        <w:rPr>
          <w:spacing w:val="-13"/>
          <w:sz w:val="20"/>
        </w:rPr>
        <w:t> </w:t>
      </w:r>
      <w:r>
        <w:rPr>
          <w:sz w:val="20"/>
        </w:rPr>
        <w:t>discontinuation</w:t>
      </w:r>
      <w:r>
        <w:rPr>
          <w:spacing w:val="-12"/>
          <w:sz w:val="20"/>
        </w:rPr>
        <w:t> </w:t>
      </w:r>
      <w:r>
        <w:rPr>
          <w:sz w:val="20"/>
        </w:rPr>
        <w:t>of</w:t>
      </w:r>
      <w:r>
        <w:rPr>
          <w:spacing w:val="-13"/>
          <w:sz w:val="20"/>
        </w:rPr>
        <w:t> </w:t>
      </w:r>
      <w:r>
        <w:rPr>
          <w:sz w:val="20"/>
        </w:rPr>
        <w:t>the</w:t>
      </w:r>
      <w:r>
        <w:rPr>
          <w:spacing w:val="-12"/>
          <w:sz w:val="20"/>
        </w:rPr>
        <w:t> </w:t>
      </w:r>
      <w:r>
        <w:rPr>
          <w:sz w:val="20"/>
        </w:rPr>
        <w:t>following four established posts: two Data Processing Assistants (GS-OL), one Evidence Assistant (GS-OL), and one Database Coordinator (P-1). The posts affected have been left vacant to ensure the planned organizational improvement has no impact on any incumbent staff. The savings from the discontinuation of these posts amount to €311.0 thousand.</w:t>
      </w:r>
    </w:p>
    <w:p>
      <w:pPr>
        <w:pStyle w:val="ListParagraph"/>
        <w:numPr>
          <w:ilvl w:val="0"/>
          <w:numId w:val="4"/>
        </w:numPr>
        <w:tabs>
          <w:tab w:pos="2967" w:val="left" w:leader="none"/>
        </w:tabs>
        <w:spacing w:line="240" w:lineRule="auto" w:before="185" w:after="0"/>
        <w:ind w:left="2246" w:right="2242" w:firstLine="0"/>
        <w:jc w:val="both"/>
        <w:rPr>
          <w:sz w:val="20"/>
        </w:rPr>
      </w:pPr>
      <w:r>
        <w:rPr>
          <w:sz w:val="20"/>
        </w:rPr>
        <w:t>Conversion of four long-existing GTA positions in IKEMS – two Associate Electronic Evidence Officers (P-2) one Associate Database Coordinator (P-2), and one Information Officer</w:t>
      </w:r>
      <w:r>
        <w:rPr>
          <w:spacing w:val="-4"/>
          <w:sz w:val="20"/>
        </w:rPr>
        <w:t> </w:t>
      </w:r>
      <w:r>
        <w:rPr>
          <w:sz w:val="20"/>
        </w:rPr>
        <w:t>(P-2) –</w:t>
      </w:r>
      <w:r>
        <w:rPr>
          <w:spacing w:val="-3"/>
          <w:sz w:val="20"/>
        </w:rPr>
        <w:t> </w:t>
      </w:r>
      <w:r>
        <w:rPr>
          <w:sz w:val="20"/>
        </w:rPr>
        <w:t>are</w:t>
      </w:r>
      <w:r>
        <w:rPr>
          <w:spacing w:val="-2"/>
          <w:sz w:val="20"/>
        </w:rPr>
        <w:t> </w:t>
      </w:r>
      <w:r>
        <w:rPr>
          <w:sz w:val="20"/>
        </w:rPr>
        <w:t>requested.</w:t>
      </w:r>
      <w:r>
        <w:rPr>
          <w:spacing w:val="-1"/>
          <w:sz w:val="20"/>
        </w:rPr>
        <w:t> </w:t>
      </w:r>
      <w:r>
        <w:rPr>
          <w:sz w:val="20"/>
        </w:rPr>
        <w:t>These</w:t>
      </w:r>
      <w:r>
        <w:rPr>
          <w:spacing w:val="-2"/>
          <w:sz w:val="20"/>
        </w:rPr>
        <w:t> </w:t>
      </w:r>
      <w:r>
        <w:rPr>
          <w:sz w:val="20"/>
        </w:rPr>
        <w:t>conversions</w:t>
      </w:r>
      <w:r>
        <w:rPr>
          <w:spacing w:val="-5"/>
          <w:sz w:val="20"/>
        </w:rPr>
        <w:t> </w:t>
      </w:r>
      <w:r>
        <w:rPr>
          <w:sz w:val="20"/>
        </w:rPr>
        <w:t>are justified</w:t>
      </w:r>
      <w:r>
        <w:rPr>
          <w:spacing w:val="-4"/>
          <w:sz w:val="20"/>
        </w:rPr>
        <w:t> </w:t>
      </w:r>
      <w:r>
        <w:rPr>
          <w:sz w:val="20"/>
        </w:rPr>
        <w:t>by</w:t>
      </w:r>
      <w:r>
        <w:rPr>
          <w:spacing w:val="-4"/>
          <w:sz w:val="20"/>
        </w:rPr>
        <w:t> </w:t>
      </w:r>
      <w:r>
        <w:rPr>
          <w:sz w:val="20"/>
        </w:rPr>
        <w:t>the</w:t>
      </w:r>
      <w:r>
        <w:rPr>
          <w:spacing w:val="-2"/>
          <w:sz w:val="20"/>
        </w:rPr>
        <w:t> </w:t>
      </w:r>
      <w:r>
        <w:rPr>
          <w:sz w:val="20"/>
        </w:rPr>
        <w:t>continuous structural</w:t>
      </w:r>
      <w:r>
        <w:rPr>
          <w:spacing w:val="-13"/>
          <w:sz w:val="20"/>
        </w:rPr>
        <w:t> </w:t>
      </w:r>
      <w:r>
        <w:rPr>
          <w:sz w:val="20"/>
        </w:rPr>
        <w:t>need</w:t>
      </w:r>
      <w:r>
        <w:rPr>
          <w:spacing w:val="-12"/>
          <w:sz w:val="20"/>
        </w:rPr>
        <w:t> </w:t>
      </w:r>
      <w:r>
        <w:rPr>
          <w:sz w:val="20"/>
        </w:rPr>
        <w:t>of</w:t>
      </w:r>
      <w:r>
        <w:rPr>
          <w:spacing w:val="-13"/>
          <w:sz w:val="20"/>
        </w:rPr>
        <w:t> </w:t>
      </w:r>
      <w:r>
        <w:rPr>
          <w:sz w:val="20"/>
        </w:rPr>
        <w:t>the</w:t>
      </w:r>
      <w:r>
        <w:rPr>
          <w:spacing w:val="-12"/>
          <w:sz w:val="20"/>
        </w:rPr>
        <w:t> </w:t>
      </w:r>
      <w:r>
        <w:rPr>
          <w:sz w:val="20"/>
        </w:rPr>
        <w:t>roles</w:t>
      </w:r>
      <w:r>
        <w:rPr>
          <w:spacing w:val="-13"/>
          <w:sz w:val="20"/>
        </w:rPr>
        <w:t> </w:t>
      </w:r>
      <w:r>
        <w:rPr>
          <w:sz w:val="20"/>
        </w:rPr>
        <w:t>and</w:t>
      </w:r>
      <w:r>
        <w:rPr>
          <w:spacing w:val="-12"/>
          <w:sz w:val="20"/>
        </w:rPr>
        <w:t> </w:t>
      </w:r>
      <w:r>
        <w:rPr>
          <w:sz w:val="20"/>
        </w:rPr>
        <w:t>functions</w:t>
      </w:r>
      <w:r>
        <w:rPr>
          <w:spacing w:val="-13"/>
          <w:sz w:val="20"/>
        </w:rPr>
        <w:t> </w:t>
      </w:r>
      <w:r>
        <w:rPr>
          <w:sz w:val="20"/>
        </w:rPr>
        <w:t>involved</w:t>
      </w:r>
      <w:r>
        <w:rPr>
          <w:spacing w:val="-12"/>
          <w:sz w:val="20"/>
        </w:rPr>
        <w:t> </w:t>
      </w:r>
      <w:r>
        <w:rPr>
          <w:sz w:val="20"/>
        </w:rPr>
        <w:t>and</w:t>
      </w:r>
      <w:r>
        <w:rPr>
          <w:spacing w:val="-13"/>
          <w:sz w:val="20"/>
        </w:rPr>
        <w:t> </w:t>
      </w:r>
      <w:r>
        <w:rPr>
          <w:sz w:val="20"/>
        </w:rPr>
        <w:t>are</w:t>
      </w:r>
      <w:r>
        <w:rPr>
          <w:spacing w:val="-12"/>
          <w:sz w:val="20"/>
        </w:rPr>
        <w:t> </w:t>
      </w:r>
      <w:r>
        <w:rPr>
          <w:sz w:val="20"/>
        </w:rPr>
        <w:t>compliant</w:t>
      </w:r>
      <w:r>
        <w:rPr>
          <w:spacing w:val="-10"/>
          <w:sz w:val="20"/>
        </w:rPr>
        <w:t> </w:t>
      </w:r>
      <w:r>
        <w:rPr>
          <w:sz w:val="20"/>
        </w:rPr>
        <w:t>with</w:t>
      </w:r>
      <w:r>
        <w:rPr>
          <w:spacing w:val="-13"/>
          <w:sz w:val="20"/>
        </w:rPr>
        <w:t> </w:t>
      </w:r>
      <w:r>
        <w:rPr>
          <w:sz w:val="20"/>
        </w:rPr>
        <w:t>the</w:t>
      </w:r>
      <w:r>
        <w:rPr>
          <w:spacing w:val="-11"/>
          <w:sz w:val="20"/>
        </w:rPr>
        <w:t> </w:t>
      </w:r>
      <w:r>
        <w:rPr>
          <w:sz w:val="20"/>
        </w:rPr>
        <w:t>applicable</w:t>
      </w:r>
      <w:r>
        <w:rPr>
          <w:spacing w:val="-8"/>
          <w:sz w:val="20"/>
        </w:rPr>
        <w:t> </w:t>
      </w:r>
      <w:r>
        <w:rPr>
          <w:sz w:val="20"/>
        </w:rPr>
        <w:t>Staff Regulations</w:t>
      </w:r>
      <w:r>
        <w:rPr>
          <w:spacing w:val="-10"/>
          <w:sz w:val="20"/>
        </w:rPr>
        <w:t> </w:t>
      </w:r>
      <w:r>
        <w:rPr>
          <w:sz w:val="20"/>
        </w:rPr>
        <w:t>and</w:t>
      </w:r>
      <w:r>
        <w:rPr>
          <w:spacing w:val="-4"/>
          <w:sz w:val="20"/>
        </w:rPr>
        <w:t> </w:t>
      </w:r>
      <w:r>
        <w:rPr>
          <w:sz w:val="20"/>
        </w:rPr>
        <w:t>Rules</w:t>
      </w:r>
      <w:r>
        <w:rPr>
          <w:spacing w:val="-10"/>
          <w:sz w:val="20"/>
        </w:rPr>
        <w:t> </w:t>
      </w:r>
      <w:r>
        <w:rPr>
          <w:sz w:val="20"/>
        </w:rPr>
        <w:t>as well</w:t>
      </w:r>
      <w:r>
        <w:rPr>
          <w:spacing w:val="-2"/>
          <w:sz w:val="20"/>
        </w:rPr>
        <w:t> </w:t>
      </w:r>
      <w:r>
        <w:rPr>
          <w:sz w:val="20"/>
        </w:rPr>
        <w:t>as</w:t>
      </w:r>
      <w:r>
        <w:rPr>
          <w:spacing w:val="-5"/>
          <w:sz w:val="20"/>
        </w:rPr>
        <w:t> </w:t>
      </w:r>
      <w:r>
        <w:rPr>
          <w:sz w:val="20"/>
        </w:rPr>
        <w:t>with</w:t>
      </w:r>
      <w:r>
        <w:rPr>
          <w:spacing w:val="-4"/>
          <w:sz w:val="20"/>
        </w:rPr>
        <w:t> </w:t>
      </w:r>
      <w:r>
        <w:rPr>
          <w:sz w:val="20"/>
        </w:rPr>
        <w:t>the</w:t>
      </w:r>
      <w:r>
        <w:rPr>
          <w:spacing w:val="-7"/>
          <w:sz w:val="20"/>
        </w:rPr>
        <w:t> </w:t>
      </w:r>
      <w:r>
        <w:rPr>
          <w:sz w:val="20"/>
        </w:rPr>
        <w:t>established</w:t>
      </w:r>
      <w:r>
        <w:rPr>
          <w:spacing w:val="-4"/>
          <w:sz w:val="20"/>
        </w:rPr>
        <w:t> </w:t>
      </w:r>
      <w:r>
        <w:rPr>
          <w:sz w:val="20"/>
        </w:rPr>
        <w:t>policies of</w:t>
      </w:r>
      <w:r>
        <w:rPr>
          <w:spacing w:val="-8"/>
          <w:sz w:val="20"/>
        </w:rPr>
        <w:t> </w:t>
      </w:r>
      <w:r>
        <w:rPr>
          <w:sz w:val="20"/>
        </w:rPr>
        <w:t>the</w:t>
      </w:r>
      <w:r>
        <w:rPr>
          <w:spacing w:val="-2"/>
          <w:sz w:val="20"/>
        </w:rPr>
        <w:t> </w:t>
      </w:r>
      <w:r>
        <w:rPr>
          <w:sz w:val="20"/>
        </w:rPr>
        <w:t>Court</w:t>
      </w:r>
      <w:r>
        <w:rPr>
          <w:spacing w:val="-7"/>
          <w:sz w:val="20"/>
        </w:rPr>
        <w:t> </w:t>
      </w:r>
      <w:r>
        <w:rPr>
          <w:sz w:val="20"/>
        </w:rPr>
        <w:t>for</w:t>
      </w:r>
      <w:r>
        <w:rPr>
          <w:spacing w:val="-4"/>
          <w:sz w:val="20"/>
        </w:rPr>
        <w:t> </w:t>
      </w:r>
      <w:r>
        <w:rPr>
          <w:sz w:val="20"/>
        </w:rPr>
        <w:t>this</w:t>
      </w:r>
      <w:r>
        <w:rPr>
          <w:spacing w:val="-5"/>
          <w:sz w:val="20"/>
        </w:rPr>
        <w:t> </w:t>
      </w:r>
      <w:r>
        <w:rPr>
          <w:sz w:val="20"/>
        </w:rPr>
        <w:t>matter.</w:t>
      </w:r>
      <w:r>
        <w:rPr>
          <w:spacing w:val="-1"/>
          <w:sz w:val="20"/>
        </w:rPr>
        <w:t> </w:t>
      </w:r>
      <w:r>
        <w:rPr>
          <w:sz w:val="20"/>
        </w:rPr>
        <w:t>In addition, given</w:t>
      </w:r>
      <w:r>
        <w:rPr>
          <w:spacing w:val="-1"/>
          <w:sz w:val="20"/>
        </w:rPr>
        <w:t> </w:t>
      </w:r>
      <w:r>
        <w:rPr>
          <w:sz w:val="20"/>
        </w:rPr>
        <w:t>the OTP’s</w:t>
      </w:r>
      <w:r>
        <w:rPr>
          <w:spacing w:val="-2"/>
          <w:sz w:val="20"/>
        </w:rPr>
        <w:t> </w:t>
      </w:r>
      <w:r>
        <w:rPr>
          <w:sz w:val="20"/>
        </w:rPr>
        <w:t>crucial need</w:t>
      </w:r>
      <w:r>
        <w:rPr>
          <w:spacing w:val="-1"/>
          <w:sz w:val="20"/>
        </w:rPr>
        <w:t> </w:t>
      </w:r>
      <w:r>
        <w:rPr>
          <w:sz w:val="20"/>
        </w:rPr>
        <w:t>for</w:t>
      </w:r>
      <w:r>
        <w:rPr>
          <w:spacing w:val="-1"/>
          <w:sz w:val="20"/>
        </w:rPr>
        <w:t> </w:t>
      </w:r>
      <w:r>
        <w:rPr>
          <w:sz w:val="20"/>
        </w:rPr>
        <w:t>digital evidence processing</w:t>
      </w:r>
      <w:r>
        <w:rPr>
          <w:spacing w:val="-1"/>
          <w:sz w:val="20"/>
        </w:rPr>
        <w:t> </w:t>
      </w:r>
      <w:r>
        <w:rPr>
          <w:sz w:val="20"/>
        </w:rPr>
        <w:t>capacity</w:t>
      </w:r>
      <w:r>
        <w:rPr>
          <w:spacing w:val="-1"/>
          <w:sz w:val="20"/>
        </w:rPr>
        <w:t> </w:t>
      </w:r>
      <w:r>
        <w:rPr>
          <w:sz w:val="20"/>
        </w:rPr>
        <w:t>and</w:t>
      </w:r>
      <w:r>
        <w:rPr>
          <w:spacing w:val="-1"/>
          <w:sz w:val="20"/>
        </w:rPr>
        <w:t> </w:t>
      </w:r>
      <w:r>
        <w:rPr>
          <w:sz w:val="20"/>
        </w:rPr>
        <w:t>systems modernization, these posts are now vital to its core evidence processing capacity. The conversion of these positions also has a positive financial impact on the budget proposal as they will be subject to the reduction due</w:t>
      </w:r>
      <w:r>
        <w:rPr>
          <w:spacing w:val="-3"/>
          <w:sz w:val="20"/>
        </w:rPr>
        <w:t> </w:t>
      </w:r>
      <w:r>
        <w:rPr>
          <w:sz w:val="20"/>
        </w:rPr>
        <w:t>to the application of the relevant vacancy rate. The savings from the conversion of these positions amount to €34.3 thousand.</w:t>
      </w:r>
    </w:p>
    <w:p>
      <w:pPr>
        <w:pStyle w:val="ListParagraph"/>
        <w:numPr>
          <w:ilvl w:val="0"/>
          <w:numId w:val="4"/>
        </w:numPr>
        <w:tabs>
          <w:tab w:pos="2967" w:val="left" w:leader="none"/>
        </w:tabs>
        <w:spacing w:line="240" w:lineRule="auto" w:before="177" w:after="0"/>
        <w:ind w:left="2246" w:right="2241" w:firstLine="0"/>
        <w:jc w:val="both"/>
        <w:rPr>
          <w:sz w:val="20"/>
        </w:rPr>
      </w:pPr>
      <w:r>
        <w:rPr>
          <w:sz w:val="20"/>
        </w:rPr>
        <w:t>This second internal reorganization project, which also entails change of titles and work surveys</w:t>
      </w:r>
      <w:r>
        <w:rPr>
          <w:spacing w:val="-1"/>
          <w:sz w:val="20"/>
        </w:rPr>
        <w:t> </w:t>
      </w:r>
      <w:r>
        <w:rPr>
          <w:sz w:val="20"/>
        </w:rPr>
        <w:t>for some</w:t>
      </w:r>
      <w:r>
        <w:rPr>
          <w:spacing w:val="-3"/>
          <w:sz w:val="20"/>
        </w:rPr>
        <w:t> </w:t>
      </w:r>
      <w:r>
        <w:rPr>
          <w:sz w:val="20"/>
        </w:rPr>
        <w:t>posts,</w:t>
      </w:r>
      <w:r>
        <w:rPr>
          <w:sz w:val="20"/>
          <w:vertAlign w:val="superscript"/>
        </w:rPr>
        <w:t>86</w:t>
      </w:r>
      <w:r>
        <w:rPr>
          <w:sz w:val="20"/>
          <w:vertAlign w:val="baseline"/>
        </w:rPr>
        <w:t> has</w:t>
      </w:r>
      <w:r>
        <w:rPr>
          <w:spacing w:val="-1"/>
          <w:sz w:val="20"/>
          <w:vertAlign w:val="baseline"/>
        </w:rPr>
        <w:t> </w:t>
      </w:r>
      <w:r>
        <w:rPr>
          <w:sz w:val="20"/>
          <w:vertAlign w:val="baseline"/>
        </w:rPr>
        <w:t>been presented to the Classification Advisory</w:t>
      </w:r>
      <w:r>
        <w:rPr>
          <w:spacing w:val="-5"/>
          <w:sz w:val="20"/>
          <w:vertAlign w:val="baseline"/>
        </w:rPr>
        <w:t> </w:t>
      </w:r>
      <w:r>
        <w:rPr>
          <w:sz w:val="20"/>
          <w:vertAlign w:val="baseline"/>
        </w:rPr>
        <w:t>Board</w:t>
      </w:r>
      <w:r>
        <w:rPr>
          <w:spacing w:val="-5"/>
          <w:sz w:val="20"/>
          <w:vertAlign w:val="baseline"/>
        </w:rPr>
        <w:t> </w:t>
      </w:r>
      <w:r>
        <w:rPr>
          <w:sz w:val="20"/>
          <w:vertAlign w:val="baseline"/>
        </w:rPr>
        <w:t>and all the positions proposed or affected have been reviewed by an external classifier in compliance with the existing regulations of the Court.</w:t>
      </w:r>
    </w:p>
    <w:p>
      <w:pPr>
        <w:pStyle w:val="BodyText"/>
        <w:spacing w:before="1"/>
        <w:rPr>
          <w:sz w:val="21"/>
        </w:rPr>
      </w:pPr>
    </w:p>
    <w:p>
      <w:pPr>
        <w:tabs>
          <w:tab w:pos="8032" w:val="left" w:leader="none"/>
        </w:tabs>
        <w:spacing w:before="0"/>
        <w:ind w:left="2246" w:right="0" w:firstLine="0"/>
        <w:jc w:val="left"/>
        <w:rPr>
          <w:i/>
          <w:sz w:val="20"/>
        </w:rPr>
      </w:pPr>
      <w:r>
        <w:rPr>
          <w:i/>
          <w:sz w:val="20"/>
        </w:rPr>
        <w:t>Established</w:t>
      </w:r>
      <w:r>
        <w:rPr>
          <w:i/>
          <w:spacing w:val="-8"/>
          <w:sz w:val="20"/>
        </w:rPr>
        <w:t> </w:t>
      </w:r>
      <w:r>
        <w:rPr>
          <w:i/>
          <w:sz w:val="20"/>
        </w:rPr>
        <w:t>posts:</w:t>
      </w:r>
      <w:r>
        <w:rPr>
          <w:i/>
          <w:spacing w:val="-11"/>
          <w:sz w:val="20"/>
        </w:rPr>
        <w:t> </w:t>
      </w:r>
      <w:r>
        <w:rPr>
          <w:i/>
          <w:sz w:val="20"/>
        </w:rPr>
        <w:t>Professional</w:t>
      </w:r>
      <w:r>
        <w:rPr>
          <w:i/>
          <w:spacing w:val="-6"/>
          <w:sz w:val="20"/>
        </w:rPr>
        <w:t> </w:t>
      </w:r>
      <w:r>
        <w:rPr>
          <w:i/>
          <w:sz w:val="20"/>
        </w:rPr>
        <w:t>and</w:t>
      </w:r>
      <w:r>
        <w:rPr>
          <w:i/>
          <w:spacing w:val="-8"/>
          <w:sz w:val="20"/>
        </w:rPr>
        <w:t> </w:t>
      </w:r>
      <w:r>
        <w:rPr>
          <w:i/>
          <w:sz w:val="20"/>
        </w:rPr>
        <w:t>General</w:t>
      </w:r>
      <w:r>
        <w:rPr>
          <w:i/>
          <w:spacing w:val="-9"/>
          <w:sz w:val="20"/>
        </w:rPr>
        <w:t> </w:t>
      </w:r>
      <w:r>
        <w:rPr>
          <w:i/>
          <w:spacing w:val="-2"/>
          <w:sz w:val="20"/>
        </w:rPr>
        <w:t>Service</w:t>
      </w:r>
      <w:r>
        <w:rPr>
          <w:i/>
          <w:sz w:val="20"/>
        </w:rPr>
        <w:tab/>
        <w:t>€10,756.2</w:t>
      </w:r>
      <w:r>
        <w:rPr>
          <w:i/>
          <w:spacing w:val="-4"/>
          <w:sz w:val="20"/>
        </w:rPr>
        <w:t> </w:t>
      </w:r>
      <w:r>
        <w:rPr>
          <w:i/>
          <w:spacing w:val="-2"/>
          <w:sz w:val="20"/>
        </w:rPr>
        <w:t>thousand</w:t>
      </w:r>
    </w:p>
    <w:p>
      <w:pPr>
        <w:pStyle w:val="BodyText"/>
        <w:spacing w:before="10"/>
        <w:rPr>
          <w:i/>
        </w:rPr>
      </w:pPr>
    </w:p>
    <w:p>
      <w:pPr>
        <w:pStyle w:val="ListParagraph"/>
        <w:numPr>
          <w:ilvl w:val="0"/>
          <w:numId w:val="4"/>
        </w:numPr>
        <w:tabs>
          <w:tab w:pos="2967" w:val="left" w:leader="none"/>
        </w:tabs>
        <w:spacing w:line="240" w:lineRule="auto" w:before="0" w:after="0"/>
        <w:ind w:left="2967" w:right="0" w:hanging="721"/>
        <w:jc w:val="both"/>
        <w:rPr>
          <w:sz w:val="20"/>
        </w:rPr>
      </w:pPr>
      <w:r>
        <w:rPr>
          <w:sz w:val="20"/>
        </w:rPr>
        <w:t>The</w:t>
      </w:r>
      <w:r>
        <w:rPr>
          <w:spacing w:val="-6"/>
          <w:sz w:val="20"/>
        </w:rPr>
        <w:t> </w:t>
      </w:r>
      <w:r>
        <w:rPr>
          <w:sz w:val="20"/>
        </w:rPr>
        <w:t>Programme</w:t>
      </w:r>
      <w:r>
        <w:rPr>
          <w:spacing w:val="-6"/>
          <w:sz w:val="20"/>
        </w:rPr>
        <w:t> </w:t>
      </w:r>
      <w:r>
        <w:rPr>
          <w:sz w:val="20"/>
        </w:rPr>
        <w:t>has</w:t>
      </w:r>
      <w:r>
        <w:rPr>
          <w:spacing w:val="-9"/>
          <w:sz w:val="20"/>
        </w:rPr>
        <w:t> </w:t>
      </w:r>
      <w:r>
        <w:rPr>
          <w:sz w:val="20"/>
        </w:rPr>
        <w:t>the</w:t>
      </w:r>
      <w:r>
        <w:rPr>
          <w:spacing w:val="-5"/>
          <w:sz w:val="20"/>
        </w:rPr>
        <w:t> </w:t>
      </w:r>
      <w:r>
        <w:rPr>
          <w:sz w:val="20"/>
        </w:rPr>
        <w:t>following</w:t>
      </w:r>
      <w:r>
        <w:rPr>
          <w:spacing w:val="-8"/>
          <w:sz w:val="20"/>
        </w:rPr>
        <w:t> </w:t>
      </w:r>
      <w:r>
        <w:rPr>
          <w:sz w:val="20"/>
        </w:rPr>
        <w:t>established</w:t>
      </w:r>
      <w:r>
        <w:rPr>
          <w:spacing w:val="-7"/>
          <w:sz w:val="20"/>
        </w:rPr>
        <w:t> </w:t>
      </w:r>
      <w:r>
        <w:rPr>
          <w:spacing w:val="-2"/>
          <w:sz w:val="20"/>
        </w:rPr>
        <w:t>posts:</w:t>
      </w:r>
    </w:p>
    <w:p>
      <w:pPr>
        <w:pStyle w:val="BodyText"/>
        <w:spacing w:before="5"/>
        <w:rPr>
          <w:sz w:val="15"/>
        </w:rPr>
      </w:pPr>
    </w:p>
    <w:tbl>
      <w:tblPr>
        <w:tblW w:w="0" w:type="auto"/>
        <w:jc w:val="left"/>
        <w:tblInd w:w="2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87"/>
        <w:gridCol w:w="2108"/>
        <w:gridCol w:w="847"/>
      </w:tblGrid>
      <w:tr>
        <w:trPr>
          <w:trHeight w:val="273" w:hRule="atLeast"/>
        </w:trPr>
        <w:tc>
          <w:tcPr>
            <w:tcW w:w="4487" w:type="dxa"/>
            <w:tcBorders>
              <w:top w:val="single" w:sz="4" w:space="0" w:color="000000"/>
              <w:bottom w:val="single" w:sz="4" w:space="0" w:color="000000"/>
            </w:tcBorders>
          </w:tcPr>
          <w:p>
            <w:pPr>
              <w:pStyle w:val="TableParagraph"/>
              <w:spacing w:line="229" w:lineRule="exact" w:before="25"/>
              <w:ind w:left="14"/>
              <w:jc w:val="left"/>
              <w:rPr>
                <w:i/>
                <w:sz w:val="20"/>
              </w:rPr>
            </w:pPr>
            <w:r>
              <w:rPr>
                <w:i/>
                <w:spacing w:val="-2"/>
                <w:sz w:val="20"/>
              </w:rPr>
              <w:t>Title</w:t>
            </w:r>
          </w:p>
        </w:tc>
        <w:tc>
          <w:tcPr>
            <w:tcW w:w="2108" w:type="dxa"/>
            <w:tcBorders>
              <w:top w:val="single" w:sz="4" w:space="0" w:color="000000"/>
              <w:bottom w:val="single" w:sz="4" w:space="0" w:color="000000"/>
            </w:tcBorders>
          </w:tcPr>
          <w:p>
            <w:pPr>
              <w:pStyle w:val="TableParagraph"/>
              <w:spacing w:line="229" w:lineRule="exact" w:before="25"/>
              <w:ind w:left="1323"/>
              <w:jc w:val="left"/>
              <w:rPr>
                <w:i/>
                <w:sz w:val="20"/>
              </w:rPr>
            </w:pPr>
            <w:r>
              <w:rPr>
                <w:i/>
                <w:spacing w:val="-2"/>
                <w:sz w:val="20"/>
              </w:rPr>
              <w:t>Grade</w:t>
            </w:r>
          </w:p>
        </w:tc>
        <w:tc>
          <w:tcPr>
            <w:tcW w:w="847" w:type="dxa"/>
            <w:tcBorders>
              <w:top w:val="single" w:sz="4" w:space="0" w:color="000000"/>
              <w:bottom w:val="single" w:sz="4" w:space="0" w:color="000000"/>
            </w:tcBorders>
          </w:tcPr>
          <w:p>
            <w:pPr>
              <w:pStyle w:val="TableParagraph"/>
              <w:spacing w:line="229" w:lineRule="exact" w:before="25"/>
              <w:ind w:right="-15"/>
              <w:rPr>
                <w:i/>
                <w:sz w:val="20"/>
              </w:rPr>
            </w:pPr>
            <w:r>
              <w:rPr>
                <w:i/>
                <w:spacing w:val="-2"/>
                <w:sz w:val="20"/>
              </w:rPr>
              <w:t>Number</w:t>
            </w:r>
          </w:p>
        </w:tc>
      </w:tr>
      <w:tr>
        <w:trPr>
          <w:trHeight w:val="268" w:hRule="atLeast"/>
        </w:trPr>
        <w:tc>
          <w:tcPr>
            <w:tcW w:w="4487" w:type="dxa"/>
            <w:tcBorders>
              <w:top w:val="single" w:sz="4" w:space="0" w:color="000000"/>
              <w:bottom w:val="single" w:sz="4" w:space="0" w:color="000000"/>
            </w:tcBorders>
          </w:tcPr>
          <w:p>
            <w:pPr>
              <w:pStyle w:val="TableParagraph"/>
              <w:spacing w:line="229" w:lineRule="exact" w:before="19"/>
              <w:ind w:left="14"/>
              <w:jc w:val="left"/>
              <w:rPr>
                <w:sz w:val="20"/>
              </w:rPr>
            </w:pPr>
            <w:r>
              <w:rPr>
                <w:sz w:val="20"/>
              </w:rPr>
              <w:t>Director,</w:t>
            </w:r>
            <w:r>
              <w:rPr>
                <w:spacing w:val="-8"/>
                <w:sz w:val="20"/>
              </w:rPr>
              <w:t> </w:t>
            </w:r>
            <w:r>
              <w:rPr>
                <w:sz w:val="20"/>
              </w:rPr>
              <w:t>Integrated</w:t>
            </w:r>
            <w:r>
              <w:rPr>
                <w:spacing w:val="-6"/>
                <w:sz w:val="20"/>
              </w:rPr>
              <w:t> </w:t>
            </w:r>
            <w:r>
              <w:rPr>
                <w:spacing w:val="-2"/>
                <w:sz w:val="20"/>
              </w:rPr>
              <w:t>Services</w:t>
            </w:r>
          </w:p>
        </w:tc>
        <w:tc>
          <w:tcPr>
            <w:tcW w:w="2108" w:type="dxa"/>
            <w:tcBorders>
              <w:top w:val="single" w:sz="4" w:space="0" w:color="000000"/>
              <w:bottom w:val="single" w:sz="4" w:space="0" w:color="000000"/>
            </w:tcBorders>
          </w:tcPr>
          <w:p>
            <w:pPr>
              <w:pStyle w:val="TableParagraph"/>
              <w:spacing w:line="229" w:lineRule="exact" w:before="19"/>
              <w:ind w:left="1323"/>
              <w:jc w:val="left"/>
              <w:rPr>
                <w:sz w:val="20"/>
              </w:rPr>
            </w:pPr>
            <w:r>
              <w:rPr>
                <w:spacing w:val="-2"/>
                <w:sz w:val="20"/>
              </w:rPr>
              <w:t>D-</w:t>
            </w:r>
            <w:r>
              <w:rPr>
                <w:spacing w:val="-10"/>
                <w:sz w:val="20"/>
              </w:rPr>
              <w:t>1</w:t>
            </w:r>
          </w:p>
        </w:tc>
        <w:tc>
          <w:tcPr>
            <w:tcW w:w="847" w:type="dxa"/>
            <w:tcBorders>
              <w:top w:val="single" w:sz="4" w:space="0" w:color="000000"/>
              <w:bottom w:val="single" w:sz="4" w:space="0" w:color="000000"/>
            </w:tcBorders>
          </w:tcPr>
          <w:p>
            <w:pPr>
              <w:pStyle w:val="TableParagraph"/>
              <w:spacing w:line="229" w:lineRule="exact" w:before="19"/>
              <w:ind w:right="3"/>
              <w:rPr>
                <w:sz w:val="20"/>
              </w:rPr>
            </w:pPr>
            <w:r>
              <w:rPr>
                <w:w w:val="100"/>
                <w:sz w:val="20"/>
              </w:rPr>
              <w:t>1</w:t>
            </w:r>
          </w:p>
        </w:tc>
      </w:tr>
      <w:tr>
        <w:trPr>
          <w:trHeight w:val="268" w:hRule="atLeast"/>
        </w:trPr>
        <w:tc>
          <w:tcPr>
            <w:tcW w:w="4487" w:type="dxa"/>
            <w:tcBorders>
              <w:top w:val="single" w:sz="4" w:space="0" w:color="000000"/>
              <w:bottom w:val="single" w:sz="4" w:space="0" w:color="000000"/>
            </w:tcBorders>
          </w:tcPr>
          <w:p>
            <w:pPr>
              <w:pStyle w:val="TableParagraph"/>
              <w:jc w:val="left"/>
              <w:rPr>
                <w:sz w:val="18"/>
              </w:rPr>
            </w:pPr>
          </w:p>
        </w:tc>
        <w:tc>
          <w:tcPr>
            <w:tcW w:w="2108" w:type="dxa"/>
            <w:tcBorders>
              <w:top w:val="single" w:sz="4" w:space="0" w:color="000000"/>
              <w:bottom w:val="single" w:sz="4" w:space="0" w:color="000000"/>
            </w:tcBorders>
          </w:tcPr>
          <w:p>
            <w:pPr>
              <w:pStyle w:val="TableParagraph"/>
              <w:jc w:val="left"/>
              <w:rPr>
                <w:sz w:val="18"/>
              </w:rPr>
            </w:pPr>
          </w:p>
        </w:tc>
        <w:tc>
          <w:tcPr>
            <w:tcW w:w="847" w:type="dxa"/>
            <w:tcBorders>
              <w:top w:val="single" w:sz="4" w:space="0" w:color="000000"/>
              <w:bottom w:val="single" w:sz="4" w:space="0" w:color="000000"/>
            </w:tcBorders>
          </w:tcPr>
          <w:p>
            <w:pPr>
              <w:pStyle w:val="TableParagraph"/>
              <w:spacing w:line="229" w:lineRule="exact" w:before="19"/>
              <w:ind w:right="3"/>
              <w:rPr>
                <w:b/>
                <w:sz w:val="20"/>
              </w:rPr>
            </w:pPr>
            <w:r>
              <w:rPr>
                <w:b/>
                <w:w w:val="100"/>
                <w:sz w:val="20"/>
              </w:rPr>
              <w:t>1</w:t>
            </w:r>
          </w:p>
        </w:tc>
      </w:tr>
      <w:tr>
        <w:trPr>
          <w:trHeight w:val="273" w:hRule="atLeast"/>
        </w:trPr>
        <w:tc>
          <w:tcPr>
            <w:tcW w:w="4487" w:type="dxa"/>
            <w:tcBorders>
              <w:top w:val="single" w:sz="4" w:space="0" w:color="000000"/>
              <w:bottom w:val="single" w:sz="4" w:space="0" w:color="000000"/>
            </w:tcBorders>
          </w:tcPr>
          <w:p>
            <w:pPr>
              <w:pStyle w:val="TableParagraph"/>
              <w:spacing w:line="229" w:lineRule="exact" w:before="24"/>
              <w:ind w:left="14"/>
              <w:jc w:val="left"/>
              <w:rPr>
                <w:i/>
                <w:sz w:val="20"/>
              </w:rPr>
            </w:pPr>
            <w:r>
              <w:rPr>
                <w:i/>
                <w:sz w:val="20"/>
              </w:rPr>
              <w:t>Management</w:t>
            </w:r>
            <w:r>
              <w:rPr>
                <w:i/>
                <w:spacing w:val="-6"/>
                <w:sz w:val="20"/>
              </w:rPr>
              <w:t> </w:t>
            </w:r>
            <w:r>
              <w:rPr>
                <w:i/>
                <w:sz w:val="20"/>
              </w:rPr>
              <w:t>and</w:t>
            </w:r>
            <w:r>
              <w:rPr>
                <w:i/>
                <w:spacing w:val="-9"/>
                <w:sz w:val="20"/>
              </w:rPr>
              <w:t> </w:t>
            </w:r>
            <w:r>
              <w:rPr>
                <w:i/>
                <w:sz w:val="20"/>
              </w:rPr>
              <w:t>Administrative</w:t>
            </w:r>
            <w:r>
              <w:rPr>
                <w:i/>
                <w:spacing w:val="-9"/>
                <w:sz w:val="20"/>
              </w:rPr>
              <w:t> </w:t>
            </w:r>
            <w:r>
              <w:rPr>
                <w:i/>
                <w:sz w:val="20"/>
              </w:rPr>
              <w:t>Support</w:t>
            </w:r>
            <w:r>
              <w:rPr>
                <w:i/>
                <w:spacing w:val="-5"/>
                <w:sz w:val="20"/>
              </w:rPr>
              <w:t> </w:t>
            </w:r>
            <w:r>
              <w:rPr>
                <w:i/>
                <w:spacing w:val="-4"/>
                <w:sz w:val="20"/>
              </w:rPr>
              <w:t>Unit</w:t>
            </w:r>
          </w:p>
        </w:tc>
        <w:tc>
          <w:tcPr>
            <w:tcW w:w="2108" w:type="dxa"/>
            <w:tcBorders>
              <w:top w:val="single" w:sz="4" w:space="0" w:color="000000"/>
              <w:bottom w:val="single" w:sz="4" w:space="0" w:color="000000"/>
            </w:tcBorders>
          </w:tcPr>
          <w:p>
            <w:pPr>
              <w:pStyle w:val="TableParagraph"/>
              <w:jc w:val="left"/>
              <w:rPr>
                <w:sz w:val="18"/>
              </w:rPr>
            </w:pPr>
          </w:p>
        </w:tc>
        <w:tc>
          <w:tcPr>
            <w:tcW w:w="847" w:type="dxa"/>
            <w:tcBorders>
              <w:top w:val="single" w:sz="4" w:space="0" w:color="000000"/>
              <w:bottom w:val="single" w:sz="4" w:space="0" w:color="000000"/>
            </w:tcBorders>
          </w:tcPr>
          <w:p>
            <w:pPr>
              <w:pStyle w:val="TableParagraph"/>
              <w:jc w:val="left"/>
              <w:rPr>
                <w:sz w:val="18"/>
              </w:rPr>
            </w:pPr>
          </w:p>
        </w:tc>
      </w:tr>
      <w:tr>
        <w:trPr>
          <w:trHeight w:val="272" w:hRule="atLeast"/>
        </w:trPr>
        <w:tc>
          <w:tcPr>
            <w:tcW w:w="4487" w:type="dxa"/>
            <w:tcBorders>
              <w:top w:val="single" w:sz="4" w:space="0" w:color="000000"/>
            </w:tcBorders>
          </w:tcPr>
          <w:p>
            <w:pPr>
              <w:pStyle w:val="TableParagraph"/>
              <w:spacing w:before="19"/>
              <w:ind w:left="14"/>
              <w:jc w:val="left"/>
              <w:rPr>
                <w:sz w:val="20"/>
              </w:rPr>
            </w:pPr>
            <w:r>
              <w:rPr>
                <w:sz w:val="20"/>
              </w:rPr>
              <w:t>Project</w:t>
            </w:r>
            <w:r>
              <w:rPr>
                <w:spacing w:val="-4"/>
                <w:sz w:val="20"/>
              </w:rPr>
              <w:t> </w:t>
            </w:r>
            <w:r>
              <w:rPr>
                <w:spacing w:val="-2"/>
                <w:sz w:val="20"/>
              </w:rPr>
              <w:t>Officer</w:t>
            </w:r>
            <w:r>
              <w:rPr>
                <w:spacing w:val="-2"/>
                <w:sz w:val="20"/>
                <w:vertAlign w:val="superscript"/>
              </w:rPr>
              <w:t>87</w:t>
            </w:r>
          </w:p>
        </w:tc>
        <w:tc>
          <w:tcPr>
            <w:tcW w:w="2108" w:type="dxa"/>
            <w:tcBorders>
              <w:top w:val="single" w:sz="4" w:space="0" w:color="000000"/>
            </w:tcBorders>
          </w:tcPr>
          <w:p>
            <w:pPr>
              <w:pStyle w:val="TableParagraph"/>
              <w:spacing w:before="19"/>
              <w:ind w:left="1323"/>
              <w:jc w:val="left"/>
              <w:rPr>
                <w:sz w:val="20"/>
              </w:rPr>
            </w:pPr>
            <w:r>
              <w:rPr>
                <w:spacing w:val="-2"/>
                <w:sz w:val="20"/>
              </w:rPr>
              <w:t>P-</w:t>
            </w:r>
            <w:r>
              <w:rPr>
                <w:spacing w:val="-10"/>
                <w:sz w:val="20"/>
              </w:rPr>
              <w:t>3</w:t>
            </w:r>
          </w:p>
        </w:tc>
        <w:tc>
          <w:tcPr>
            <w:tcW w:w="847" w:type="dxa"/>
            <w:tcBorders>
              <w:top w:val="single" w:sz="4" w:space="0" w:color="000000"/>
            </w:tcBorders>
          </w:tcPr>
          <w:p>
            <w:pPr>
              <w:pStyle w:val="TableParagraph"/>
              <w:spacing w:before="19"/>
              <w:ind w:right="3"/>
              <w:rPr>
                <w:sz w:val="20"/>
              </w:rPr>
            </w:pPr>
            <w:r>
              <w:rPr>
                <w:w w:val="100"/>
                <w:sz w:val="20"/>
              </w:rPr>
              <w:t>1</w:t>
            </w:r>
          </w:p>
        </w:tc>
      </w:tr>
      <w:tr>
        <w:trPr>
          <w:trHeight w:val="264" w:hRule="atLeast"/>
        </w:trPr>
        <w:tc>
          <w:tcPr>
            <w:tcW w:w="4487" w:type="dxa"/>
            <w:tcBorders>
              <w:bottom w:val="single" w:sz="4" w:space="0" w:color="000000"/>
            </w:tcBorders>
          </w:tcPr>
          <w:p>
            <w:pPr>
              <w:pStyle w:val="TableParagraph"/>
              <w:spacing w:line="229" w:lineRule="exact" w:before="15"/>
              <w:ind w:left="14"/>
              <w:jc w:val="left"/>
              <w:rPr>
                <w:sz w:val="20"/>
              </w:rPr>
            </w:pPr>
            <w:r>
              <w:rPr>
                <w:spacing w:val="-2"/>
                <w:sz w:val="20"/>
              </w:rPr>
              <w:t>Administrative</w:t>
            </w:r>
            <w:r>
              <w:rPr>
                <w:spacing w:val="15"/>
                <w:sz w:val="20"/>
              </w:rPr>
              <w:t> </w:t>
            </w:r>
            <w:r>
              <w:rPr>
                <w:spacing w:val="-2"/>
                <w:sz w:val="20"/>
              </w:rPr>
              <w:t>Assistant</w:t>
            </w:r>
          </w:p>
        </w:tc>
        <w:tc>
          <w:tcPr>
            <w:tcW w:w="2108" w:type="dxa"/>
            <w:tcBorders>
              <w:bottom w:val="single" w:sz="4" w:space="0" w:color="000000"/>
            </w:tcBorders>
          </w:tcPr>
          <w:p>
            <w:pPr>
              <w:pStyle w:val="TableParagraph"/>
              <w:spacing w:line="229" w:lineRule="exact" w:before="15"/>
              <w:ind w:left="1323"/>
              <w:jc w:val="left"/>
              <w:rPr>
                <w:sz w:val="20"/>
              </w:rPr>
            </w:pPr>
            <w:r>
              <w:rPr>
                <w:spacing w:val="-2"/>
                <w:sz w:val="20"/>
              </w:rPr>
              <w:t>GS-</w:t>
            </w:r>
            <w:r>
              <w:rPr>
                <w:spacing w:val="-7"/>
                <w:sz w:val="20"/>
              </w:rPr>
              <w:t>OL</w:t>
            </w:r>
          </w:p>
        </w:tc>
        <w:tc>
          <w:tcPr>
            <w:tcW w:w="847" w:type="dxa"/>
            <w:tcBorders>
              <w:bottom w:val="single" w:sz="4" w:space="0" w:color="000000"/>
            </w:tcBorders>
          </w:tcPr>
          <w:p>
            <w:pPr>
              <w:pStyle w:val="TableParagraph"/>
              <w:spacing w:line="229" w:lineRule="exact" w:before="15"/>
              <w:ind w:right="3"/>
              <w:rPr>
                <w:sz w:val="20"/>
              </w:rPr>
            </w:pPr>
            <w:r>
              <w:rPr>
                <w:w w:val="100"/>
                <w:sz w:val="20"/>
              </w:rPr>
              <w:t>9</w:t>
            </w:r>
          </w:p>
        </w:tc>
      </w:tr>
      <w:tr>
        <w:trPr>
          <w:trHeight w:val="273" w:hRule="atLeast"/>
        </w:trPr>
        <w:tc>
          <w:tcPr>
            <w:tcW w:w="4487" w:type="dxa"/>
            <w:tcBorders>
              <w:top w:val="single" w:sz="4" w:space="0" w:color="000000"/>
              <w:bottom w:val="single" w:sz="4" w:space="0" w:color="000000"/>
            </w:tcBorders>
          </w:tcPr>
          <w:p>
            <w:pPr>
              <w:pStyle w:val="TableParagraph"/>
              <w:jc w:val="left"/>
              <w:rPr>
                <w:sz w:val="18"/>
              </w:rPr>
            </w:pPr>
          </w:p>
        </w:tc>
        <w:tc>
          <w:tcPr>
            <w:tcW w:w="2108" w:type="dxa"/>
            <w:tcBorders>
              <w:top w:val="single" w:sz="4" w:space="0" w:color="000000"/>
              <w:bottom w:val="single" w:sz="4" w:space="0" w:color="000000"/>
            </w:tcBorders>
          </w:tcPr>
          <w:p>
            <w:pPr>
              <w:pStyle w:val="TableParagraph"/>
              <w:jc w:val="left"/>
              <w:rPr>
                <w:sz w:val="18"/>
              </w:rPr>
            </w:pPr>
          </w:p>
        </w:tc>
        <w:tc>
          <w:tcPr>
            <w:tcW w:w="847" w:type="dxa"/>
            <w:tcBorders>
              <w:top w:val="single" w:sz="4" w:space="0" w:color="000000"/>
              <w:bottom w:val="single" w:sz="4" w:space="0" w:color="000000"/>
            </w:tcBorders>
          </w:tcPr>
          <w:p>
            <w:pPr>
              <w:pStyle w:val="TableParagraph"/>
              <w:spacing w:before="20"/>
              <w:ind w:right="3"/>
              <w:rPr>
                <w:b/>
                <w:sz w:val="20"/>
              </w:rPr>
            </w:pPr>
            <w:r>
              <w:rPr>
                <w:b/>
                <w:spacing w:val="-5"/>
                <w:sz w:val="20"/>
              </w:rPr>
              <w:t>10</w:t>
            </w:r>
          </w:p>
        </w:tc>
      </w:tr>
      <w:tr>
        <w:trPr>
          <w:trHeight w:val="268" w:hRule="atLeast"/>
        </w:trPr>
        <w:tc>
          <w:tcPr>
            <w:tcW w:w="4487" w:type="dxa"/>
            <w:tcBorders>
              <w:top w:val="single" w:sz="4" w:space="0" w:color="000000"/>
              <w:bottom w:val="single" w:sz="4" w:space="0" w:color="000000"/>
            </w:tcBorders>
          </w:tcPr>
          <w:p>
            <w:pPr>
              <w:pStyle w:val="TableParagraph"/>
              <w:spacing w:line="229" w:lineRule="exact" w:before="19"/>
              <w:ind w:left="14"/>
              <w:jc w:val="left"/>
              <w:rPr>
                <w:i/>
                <w:sz w:val="20"/>
              </w:rPr>
            </w:pPr>
            <w:r>
              <w:rPr>
                <w:i/>
                <w:sz w:val="20"/>
              </w:rPr>
              <w:t>Planning</w:t>
            </w:r>
            <w:r>
              <w:rPr>
                <w:i/>
                <w:spacing w:val="-8"/>
                <w:sz w:val="20"/>
              </w:rPr>
              <w:t> </w:t>
            </w:r>
            <w:r>
              <w:rPr>
                <w:i/>
                <w:sz w:val="20"/>
              </w:rPr>
              <w:t>and</w:t>
            </w:r>
            <w:r>
              <w:rPr>
                <w:i/>
                <w:spacing w:val="-7"/>
                <w:sz w:val="20"/>
              </w:rPr>
              <w:t> </w:t>
            </w:r>
            <w:r>
              <w:rPr>
                <w:i/>
                <w:sz w:val="20"/>
              </w:rPr>
              <w:t>Operations</w:t>
            </w:r>
            <w:r>
              <w:rPr>
                <w:i/>
                <w:spacing w:val="-3"/>
                <w:sz w:val="20"/>
              </w:rPr>
              <w:t> </w:t>
            </w:r>
            <w:r>
              <w:rPr>
                <w:i/>
                <w:spacing w:val="-2"/>
                <w:sz w:val="20"/>
              </w:rPr>
              <w:t>Section</w:t>
            </w:r>
          </w:p>
        </w:tc>
        <w:tc>
          <w:tcPr>
            <w:tcW w:w="2108" w:type="dxa"/>
            <w:tcBorders>
              <w:top w:val="single" w:sz="4" w:space="0" w:color="000000"/>
              <w:bottom w:val="single" w:sz="4" w:space="0" w:color="000000"/>
            </w:tcBorders>
          </w:tcPr>
          <w:p>
            <w:pPr>
              <w:pStyle w:val="TableParagraph"/>
              <w:jc w:val="left"/>
              <w:rPr>
                <w:sz w:val="18"/>
              </w:rPr>
            </w:pPr>
          </w:p>
        </w:tc>
        <w:tc>
          <w:tcPr>
            <w:tcW w:w="847" w:type="dxa"/>
            <w:tcBorders>
              <w:top w:val="single" w:sz="4" w:space="0" w:color="000000"/>
              <w:bottom w:val="single" w:sz="4" w:space="0" w:color="000000"/>
            </w:tcBorders>
          </w:tcPr>
          <w:p>
            <w:pPr>
              <w:pStyle w:val="TableParagraph"/>
              <w:jc w:val="left"/>
              <w:rPr>
                <w:sz w:val="18"/>
              </w:rPr>
            </w:pPr>
          </w:p>
        </w:tc>
      </w:tr>
      <w:tr>
        <w:trPr>
          <w:trHeight w:val="268" w:hRule="atLeast"/>
        </w:trPr>
        <w:tc>
          <w:tcPr>
            <w:tcW w:w="4487" w:type="dxa"/>
            <w:tcBorders>
              <w:top w:val="single" w:sz="4" w:space="0" w:color="000000"/>
              <w:bottom w:val="single" w:sz="4" w:space="0" w:color="000000"/>
            </w:tcBorders>
          </w:tcPr>
          <w:p>
            <w:pPr>
              <w:pStyle w:val="TableParagraph"/>
              <w:spacing w:line="229" w:lineRule="exact" w:before="19"/>
              <w:ind w:left="14"/>
              <w:jc w:val="left"/>
              <w:rPr>
                <w:sz w:val="20"/>
              </w:rPr>
            </w:pPr>
            <w:r>
              <w:rPr>
                <w:sz w:val="20"/>
              </w:rPr>
              <w:t>Head,</w:t>
            </w:r>
            <w:r>
              <w:rPr>
                <w:spacing w:val="-5"/>
                <w:sz w:val="20"/>
              </w:rPr>
              <w:t> </w:t>
            </w:r>
            <w:r>
              <w:rPr>
                <w:sz w:val="20"/>
              </w:rPr>
              <w:t>Planning</w:t>
            </w:r>
            <w:r>
              <w:rPr>
                <w:spacing w:val="-10"/>
                <w:sz w:val="20"/>
              </w:rPr>
              <w:t> </w:t>
            </w:r>
            <w:r>
              <w:rPr>
                <w:sz w:val="20"/>
              </w:rPr>
              <w:t>and</w:t>
            </w:r>
            <w:r>
              <w:rPr>
                <w:spacing w:val="-6"/>
                <w:sz w:val="20"/>
              </w:rPr>
              <w:t> </w:t>
            </w:r>
            <w:r>
              <w:rPr>
                <w:sz w:val="20"/>
              </w:rPr>
              <w:t>Operations</w:t>
            </w:r>
            <w:r>
              <w:rPr>
                <w:spacing w:val="-6"/>
                <w:sz w:val="20"/>
              </w:rPr>
              <w:t> </w:t>
            </w:r>
            <w:r>
              <w:rPr>
                <w:spacing w:val="-2"/>
                <w:sz w:val="20"/>
              </w:rPr>
              <w:t>Section</w:t>
            </w:r>
          </w:p>
        </w:tc>
        <w:tc>
          <w:tcPr>
            <w:tcW w:w="2108" w:type="dxa"/>
            <w:tcBorders>
              <w:top w:val="single" w:sz="4" w:space="0" w:color="000000"/>
              <w:bottom w:val="single" w:sz="4" w:space="0" w:color="000000"/>
            </w:tcBorders>
          </w:tcPr>
          <w:p>
            <w:pPr>
              <w:pStyle w:val="TableParagraph"/>
              <w:spacing w:line="229" w:lineRule="exact" w:before="19"/>
              <w:ind w:left="1323"/>
              <w:jc w:val="left"/>
              <w:rPr>
                <w:sz w:val="20"/>
              </w:rPr>
            </w:pPr>
            <w:r>
              <w:rPr>
                <w:spacing w:val="-2"/>
                <w:sz w:val="20"/>
              </w:rPr>
              <w:t>P-</w:t>
            </w:r>
            <w:r>
              <w:rPr>
                <w:spacing w:val="-10"/>
                <w:sz w:val="20"/>
              </w:rPr>
              <w:t>5</w:t>
            </w:r>
          </w:p>
        </w:tc>
        <w:tc>
          <w:tcPr>
            <w:tcW w:w="847" w:type="dxa"/>
            <w:tcBorders>
              <w:top w:val="single" w:sz="4" w:space="0" w:color="000000"/>
              <w:bottom w:val="single" w:sz="4" w:space="0" w:color="000000"/>
            </w:tcBorders>
          </w:tcPr>
          <w:p>
            <w:pPr>
              <w:pStyle w:val="TableParagraph"/>
              <w:spacing w:line="229" w:lineRule="exact" w:before="19"/>
              <w:ind w:right="3"/>
              <w:rPr>
                <w:sz w:val="20"/>
              </w:rPr>
            </w:pPr>
            <w:r>
              <w:rPr>
                <w:w w:val="100"/>
                <w:sz w:val="20"/>
              </w:rPr>
              <w:t>1</w:t>
            </w:r>
          </w:p>
        </w:tc>
      </w:tr>
      <w:tr>
        <w:trPr>
          <w:trHeight w:val="273" w:hRule="atLeast"/>
        </w:trPr>
        <w:tc>
          <w:tcPr>
            <w:tcW w:w="4487" w:type="dxa"/>
            <w:tcBorders>
              <w:top w:val="single" w:sz="4" w:space="0" w:color="000000"/>
              <w:bottom w:val="single" w:sz="4" w:space="0" w:color="000000"/>
            </w:tcBorders>
          </w:tcPr>
          <w:p>
            <w:pPr>
              <w:pStyle w:val="TableParagraph"/>
              <w:spacing w:before="19"/>
              <w:ind w:left="168"/>
              <w:jc w:val="left"/>
              <w:rPr>
                <w:i/>
                <w:sz w:val="20"/>
              </w:rPr>
            </w:pPr>
            <w:r>
              <w:rPr>
                <w:i/>
                <w:spacing w:val="-2"/>
                <w:sz w:val="20"/>
              </w:rPr>
              <w:t>SALTT</w:t>
            </w:r>
          </w:p>
        </w:tc>
        <w:tc>
          <w:tcPr>
            <w:tcW w:w="2108" w:type="dxa"/>
            <w:tcBorders>
              <w:top w:val="single" w:sz="4" w:space="0" w:color="000000"/>
              <w:bottom w:val="single" w:sz="4" w:space="0" w:color="000000"/>
            </w:tcBorders>
          </w:tcPr>
          <w:p>
            <w:pPr>
              <w:pStyle w:val="TableParagraph"/>
              <w:jc w:val="left"/>
              <w:rPr>
                <w:sz w:val="18"/>
              </w:rPr>
            </w:pPr>
          </w:p>
        </w:tc>
        <w:tc>
          <w:tcPr>
            <w:tcW w:w="847" w:type="dxa"/>
            <w:tcBorders>
              <w:top w:val="single" w:sz="4" w:space="0" w:color="000000"/>
              <w:bottom w:val="single" w:sz="4" w:space="0" w:color="000000"/>
            </w:tcBorders>
          </w:tcPr>
          <w:p>
            <w:pPr>
              <w:pStyle w:val="TableParagraph"/>
              <w:jc w:val="left"/>
              <w:rPr>
                <w:sz w:val="18"/>
              </w:rPr>
            </w:pPr>
          </w:p>
        </w:tc>
      </w:tr>
      <w:tr>
        <w:trPr>
          <w:trHeight w:val="272" w:hRule="atLeast"/>
        </w:trPr>
        <w:tc>
          <w:tcPr>
            <w:tcW w:w="4487" w:type="dxa"/>
            <w:tcBorders>
              <w:top w:val="single" w:sz="4" w:space="0" w:color="000000"/>
            </w:tcBorders>
          </w:tcPr>
          <w:p>
            <w:pPr>
              <w:pStyle w:val="TableParagraph"/>
              <w:spacing w:before="19"/>
              <w:ind w:left="14"/>
              <w:jc w:val="left"/>
              <w:rPr>
                <w:sz w:val="20"/>
              </w:rPr>
            </w:pPr>
            <w:r>
              <w:rPr>
                <w:spacing w:val="-2"/>
                <w:sz w:val="20"/>
              </w:rPr>
              <w:t>Investigator</w:t>
            </w:r>
          </w:p>
        </w:tc>
        <w:tc>
          <w:tcPr>
            <w:tcW w:w="2108" w:type="dxa"/>
            <w:tcBorders>
              <w:top w:val="single" w:sz="4" w:space="0" w:color="000000"/>
            </w:tcBorders>
          </w:tcPr>
          <w:p>
            <w:pPr>
              <w:pStyle w:val="TableParagraph"/>
              <w:spacing w:before="19"/>
              <w:ind w:left="1323"/>
              <w:jc w:val="left"/>
              <w:rPr>
                <w:sz w:val="20"/>
              </w:rPr>
            </w:pPr>
            <w:r>
              <w:rPr>
                <w:spacing w:val="-2"/>
                <w:sz w:val="20"/>
              </w:rPr>
              <w:t>P-</w:t>
            </w:r>
            <w:r>
              <w:rPr>
                <w:spacing w:val="-10"/>
                <w:sz w:val="20"/>
              </w:rPr>
              <w:t>3</w:t>
            </w:r>
          </w:p>
        </w:tc>
        <w:tc>
          <w:tcPr>
            <w:tcW w:w="847" w:type="dxa"/>
            <w:tcBorders>
              <w:top w:val="single" w:sz="4" w:space="0" w:color="000000"/>
            </w:tcBorders>
          </w:tcPr>
          <w:p>
            <w:pPr>
              <w:pStyle w:val="TableParagraph"/>
              <w:spacing w:before="19"/>
              <w:ind w:right="3"/>
              <w:rPr>
                <w:sz w:val="20"/>
              </w:rPr>
            </w:pPr>
            <w:r>
              <w:rPr>
                <w:w w:val="100"/>
                <w:sz w:val="20"/>
              </w:rPr>
              <w:t>1</w:t>
            </w:r>
          </w:p>
        </w:tc>
      </w:tr>
      <w:tr>
        <w:trPr>
          <w:trHeight w:val="264" w:hRule="atLeast"/>
        </w:trPr>
        <w:tc>
          <w:tcPr>
            <w:tcW w:w="4487" w:type="dxa"/>
            <w:tcBorders>
              <w:bottom w:val="single" w:sz="4" w:space="0" w:color="000000"/>
            </w:tcBorders>
          </w:tcPr>
          <w:p>
            <w:pPr>
              <w:pStyle w:val="TableParagraph"/>
              <w:spacing w:line="229" w:lineRule="exact" w:before="15"/>
              <w:ind w:left="14"/>
              <w:jc w:val="left"/>
              <w:rPr>
                <w:sz w:val="20"/>
              </w:rPr>
            </w:pPr>
            <w:r>
              <w:rPr>
                <w:spacing w:val="-2"/>
                <w:sz w:val="20"/>
              </w:rPr>
              <w:t>Analyst</w:t>
            </w:r>
          </w:p>
        </w:tc>
        <w:tc>
          <w:tcPr>
            <w:tcW w:w="2108" w:type="dxa"/>
            <w:tcBorders>
              <w:bottom w:val="single" w:sz="4" w:space="0" w:color="000000"/>
            </w:tcBorders>
          </w:tcPr>
          <w:p>
            <w:pPr>
              <w:pStyle w:val="TableParagraph"/>
              <w:spacing w:line="229" w:lineRule="exact" w:before="15"/>
              <w:ind w:left="1323"/>
              <w:jc w:val="left"/>
              <w:rPr>
                <w:sz w:val="20"/>
              </w:rPr>
            </w:pPr>
            <w:r>
              <w:rPr>
                <w:spacing w:val="-2"/>
                <w:sz w:val="20"/>
              </w:rPr>
              <w:t>P-</w:t>
            </w:r>
            <w:r>
              <w:rPr>
                <w:spacing w:val="-10"/>
                <w:sz w:val="20"/>
              </w:rPr>
              <w:t>3</w:t>
            </w:r>
          </w:p>
        </w:tc>
        <w:tc>
          <w:tcPr>
            <w:tcW w:w="847" w:type="dxa"/>
            <w:tcBorders>
              <w:bottom w:val="single" w:sz="4" w:space="0" w:color="000000"/>
            </w:tcBorders>
          </w:tcPr>
          <w:p>
            <w:pPr>
              <w:pStyle w:val="TableParagraph"/>
              <w:spacing w:line="229" w:lineRule="exact" w:before="15"/>
              <w:ind w:right="3"/>
              <w:rPr>
                <w:sz w:val="20"/>
              </w:rPr>
            </w:pPr>
            <w:r>
              <w:rPr>
                <w:w w:val="100"/>
                <w:sz w:val="20"/>
              </w:rPr>
              <w:t>1</w:t>
            </w:r>
          </w:p>
        </w:tc>
      </w:tr>
    </w:tbl>
    <w:p>
      <w:pPr>
        <w:pStyle w:val="BodyText"/>
        <w:spacing w:before="7"/>
        <w:rPr>
          <w:sz w:val="17"/>
        </w:rPr>
      </w:pPr>
      <w:r>
        <w:rPr/>
        <w:pict>
          <v:rect style="position:absolute;margin-left:113.330002pt;margin-top:11.33597pt;width:144.050pt;height:.48004pt;mso-position-horizontal-relative:page;mso-position-vertical-relative:paragraph;z-index:-15696896;mso-wrap-distance-left:0;mso-wrap-distance-right:0" id="docshape171" filled="true" fillcolor="#000000" stroked="false">
            <v:fill type="solid"/>
            <w10:wrap type="topAndBottom"/>
          </v:rect>
        </w:pict>
      </w:r>
    </w:p>
    <w:p>
      <w:pPr>
        <w:spacing w:before="86"/>
        <w:ind w:left="2246" w:right="2243" w:firstLine="0"/>
        <w:jc w:val="both"/>
        <w:rPr>
          <w:sz w:val="16"/>
        </w:rPr>
      </w:pPr>
      <w:r>
        <w:rPr>
          <w:position w:val="5"/>
          <w:sz w:val="10"/>
        </w:rPr>
        <w:t>86</w:t>
      </w:r>
      <w:r>
        <w:rPr>
          <w:spacing w:val="34"/>
          <w:position w:val="5"/>
          <w:sz w:val="10"/>
        </w:rPr>
        <w:t> </w:t>
      </w:r>
      <w:r>
        <w:rPr>
          <w:sz w:val="16"/>
        </w:rPr>
        <w:t>For example, the posts of Senior Evidence Assistant, (GS-OL), eDiscovery Assistant (GS-OL) and Evidence</w:t>
      </w:r>
      <w:r>
        <w:rPr>
          <w:spacing w:val="40"/>
          <w:sz w:val="16"/>
        </w:rPr>
        <w:t> </w:t>
      </w:r>
      <w:r>
        <w:rPr>
          <w:sz w:val="16"/>
        </w:rPr>
        <w:t>Processing Assistant (GS-OL) are created by repurposing existing posts and not by requesting new ones.</w:t>
      </w:r>
    </w:p>
    <w:p>
      <w:pPr>
        <w:spacing w:line="181" w:lineRule="exact" w:before="0"/>
        <w:ind w:left="2246" w:right="0" w:firstLine="0"/>
        <w:jc w:val="left"/>
        <w:rPr>
          <w:sz w:val="16"/>
        </w:rPr>
      </w:pPr>
      <w:r>
        <w:rPr>
          <w:position w:val="5"/>
          <w:sz w:val="10"/>
        </w:rPr>
        <w:t>87</w:t>
      </w:r>
      <w:r>
        <w:rPr>
          <w:spacing w:val="14"/>
          <w:position w:val="5"/>
          <w:sz w:val="10"/>
        </w:rPr>
        <w:t> </w:t>
      </w:r>
      <w:r>
        <w:rPr>
          <w:sz w:val="16"/>
        </w:rPr>
        <w:t>Requested for</w:t>
      </w:r>
      <w:r>
        <w:rPr>
          <w:spacing w:val="-3"/>
          <w:sz w:val="16"/>
        </w:rPr>
        <w:t> </w:t>
      </w:r>
      <w:r>
        <w:rPr>
          <w:spacing w:val="-2"/>
          <w:sz w:val="16"/>
        </w:rPr>
        <w:t>conversion.</w:t>
      </w:r>
    </w:p>
    <w:p>
      <w:pPr>
        <w:spacing w:after="0" w:line="181" w:lineRule="exact"/>
        <w:jc w:val="left"/>
        <w:rPr>
          <w:sz w:val="16"/>
        </w:rPr>
        <w:sectPr>
          <w:pgSz w:w="11910" w:h="16840"/>
          <w:pgMar w:header="953" w:footer="940" w:top="1140" w:bottom="1140" w:left="20" w:right="20"/>
        </w:sectPr>
      </w:pPr>
    </w:p>
    <w:tbl>
      <w:tblPr>
        <w:tblW w:w="0" w:type="auto"/>
        <w:jc w:val="left"/>
        <w:tblInd w:w="1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78"/>
        <w:gridCol w:w="1366"/>
        <w:gridCol w:w="1956"/>
      </w:tblGrid>
      <w:tr>
        <w:trPr>
          <w:trHeight w:val="402" w:hRule="atLeast"/>
        </w:trPr>
        <w:tc>
          <w:tcPr>
            <w:tcW w:w="6378" w:type="dxa"/>
            <w:tcBorders>
              <w:top w:val="single" w:sz="2" w:space="0" w:color="000000"/>
              <w:bottom w:val="single" w:sz="4" w:space="0" w:color="000000"/>
            </w:tcBorders>
          </w:tcPr>
          <w:p>
            <w:pPr>
              <w:pStyle w:val="TableParagraph"/>
              <w:spacing w:line="229" w:lineRule="exact" w:before="154"/>
              <w:ind w:left="1162"/>
              <w:jc w:val="left"/>
              <w:rPr>
                <w:i/>
                <w:sz w:val="20"/>
              </w:rPr>
            </w:pPr>
            <w:r>
              <w:rPr>
                <w:i/>
                <w:spacing w:val="-2"/>
                <w:sz w:val="20"/>
              </w:rPr>
              <w:t>Title</w:t>
            </w:r>
          </w:p>
        </w:tc>
        <w:tc>
          <w:tcPr>
            <w:tcW w:w="1366" w:type="dxa"/>
            <w:tcBorders>
              <w:top w:val="single" w:sz="2" w:space="0" w:color="000000"/>
              <w:bottom w:val="single" w:sz="4" w:space="0" w:color="000000"/>
            </w:tcBorders>
          </w:tcPr>
          <w:p>
            <w:pPr>
              <w:pStyle w:val="TableParagraph"/>
              <w:spacing w:line="229" w:lineRule="exact" w:before="154"/>
              <w:ind w:left="580"/>
              <w:jc w:val="left"/>
              <w:rPr>
                <w:i/>
                <w:sz w:val="20"/>
              </w:rPr>
            </w:pPr>
            <w:r>
              <w:rPr>
                <w:i/>
                <w:spacing w:val="-2"/>
                <w:sz w:val="20"/>
              </w:rPr>
              <w:t>Grade</w:t>
            </w:r>
          </w:p>
        </w:tc>
        <w:tc>
          <w:tcPr>
            <w:tcW w:w="1956" w:type="dxa"/>
            <w:tcBorders>
              <w:top w:val="single" w:sz="2" w:space="0" w:color="000000"/>
              <w:bottom w:val="single" w:sz="4" w:space="0" w:color="000000"/>
            </w:tcBorders>
          </w:tcPr>
          <w:p>
            <w:pPr>
              <w:pStyle w:val="TableParagraph"/>
              <w:spacing w:line="229" w:lineRule="exact" w:before="154"/>
              <w:ind w:right="1106"/>
              <w:rPr>
                <w:i/>
                <w:sz w:val="20"/>
              </w:rPr>
            </w:pPr>
            <w:r>
              <w:rPr>
                <w:i/>
                <w:spacing w:val="-2"/>
                <w:sz w:val="20"/>
              </w:rPr>
              <w:t>Number</w:t>
            </w:r>
          </w:p>
        </w:tc>
      </w:tr>
      <w:tr>
        <w:trPr>
          <w:trHeight w:val="268" w:hRule="atLeast"/>
        </w:trPr>
        <w:tc>
          <w:tcPr>
            <w:tcW w:w="6378" w:type="dxa"/>
            <w:tcBorders>
              <w:top w:val="single" w:sz="4" w:space="0" w:color="000000"/>
              <w:bottom w:val="single" w:sz="4" w:space="0" w:color="000000"/>
            </w:tcBorders>
          </w:tcPr>
          <w:p>
            <w:pPr>
              <w:pStyle w:val="TableParagraph"/>
              <w:spacing w:line="229" w:lineRule="exact" w:before="19"/>
              <w:ind w:left="1162"/>
              <w:jc w:val="left"/>
              <w:rPr>
                <w:sz w:val="20"/>
              </w:rPr>
            </w:pPr>
            <w:r>
              <w:rPr>
                <w:sz w:val="20"/>
              </w:rPr>
              <w:t>Associate</w:t>
            </w:r>
            <w:r>
              <w:rPr>
                <w:spacing w:val="-6"/>
                <w:sz w:val="20"/>
              </w:rPr>
              <w:t> </w:t>
            </w:r>
            <w:r>
              <w:rPr>
                <w:spacing w:val="-2"/>
                <w:sz w:val="20"/>
              </w:rPr>
              <w:t>Investigator</w:t>
            </w:r>
          </w:p>
        </w:tc>
        <w:tc>
          <w:tcPr>
            <w:tcW w:w="1366" w:type="dxa"/>
            <w:tcBorders>
              <w:top w:val="single" w:sz="4" w:space="0" w:color="000000"/>
              <w:bottom w:val="single" w:sz="4" w:space="0" w:color="000000"/>
            </w:tcBorders>
          </w:tcPr>
          <w:p>
            <w:pPr>
              <w:pStyle w:val="TableParagraph"/>
              <w:spacing w:line="229" w:lineRule="exact" w:before="19"/>
              <w:ind w:left="580"/>
              <w:jc w:val="left"/>
              <w:rPr>
                <w:sz w:val="20"/>
              </w:rPr>
            </w:pPr>
            <w:r>
              <w:rPr>
                <w:spacing w:val="-2"/>
                <w:sz w:val="20"/>
              </w:rPr>
              <w:t>P-</w:t>
            </w:r>
            <w:r>
              <w:rPr>
                <w:spacing w:val="-10"/>
                <w:sz w:val="20"/>
              </w:rPr>
              <w:t>2</w:t>
            </w:r>
          </w:p>
        </w:tc>
        <w:tc>
          <w:tcPr>
            <w:tcW w:w="1956" w:type="dxa"/>
            <w:tcBorders>
              <w:top w:val="single" w:sz="4" w:space="0" w:color="000000"/>
              <w:bottom w:val="single" w:sz="4" w:space="0" w:color="000000"/>
            </w:tcBorders>
          </w:tcPr>
          <w:p>
            <w:pPr>
              <w:pStyle w:val="TableParagraph"/>
              <w:spacing w:line="229" w:lineRule="exact" w:before="19"/>
              <w:ind w:right="1112"/>
              <w:rPr>
                <w:sz w:val="20"/>
              </w:rPr>
            </w:pPr>
            <w:r>
              <w:rPr>
                <w:w w:val="100"/>
                <w:sz w:val="20"/>
              </w:rPr>
              <w:t>1</w:t>
            </w:r>
          </w:p>
        </w:tc>
      </w:tr>
      <w:tr>
        <w:trPr>
          <w:trHeight w:val="268" w:hRule="atLeast"/>
        </w:trPr>
        <w:tc>
          <w:tcPr>
            <w:tcW w:w="6378" w:type="dxa"/>
            <w:tcBorders>
              <w:top w:val="single" w:sz="4" w:space="0" w:color="000000"/>
              <w:bottom w:val="single" w:sz="4" w:space="0" w:color="000000"/>
            </w:tcBorders>
          </w:tcPr>
          <w:p>
            <w:pPr>
              <w:pStyle w:val="TableParagraph"/>
              <w:jc w:val="left"/>
              <w:rPr>
                <w:sz w:val="18"/>
              </w:rPr>
            </w:pPr>
          </w:p>
        </w:tc>
        <w:tc>
          <w:tcPr>
            <w:tcW w:w="1366" w:type="dxa"/>
            <w:tcBorders>
              <w:top w:val="single" w:sz="4" w:space="0" w:color="000000"/>
              <w:bottom w:val="single" w:sz="4" w:space="0" w:color="000000"/>
            </w:tcBorders>
          </w:tcPr>
          <w:p>
            <w:pPr>
              <w:pStyle w:val="TableParagraph"/>
              <w:jc w:val="left"/>
              <w:rPr>
                <w:sz w:val="18"/>
              </w:rPr>
            </w:pPr>
          </w:p>
        </w:tc>
        <w:tc>
          <w:tcPr>
            <w:tcW w:w="1956" w:type="dxa"/>
            <w:tcBorders>
              <w:top w:val="single" w:sz="4" w:space="0" w:color="000000"/>
              <w:bottom w:val="single" w:sz="4" w:space="0" w:color="000000"/>
            </w:tcBorders>
          </w:tcPr>
          <w:p>
            <w:pPr>
              <w:pStyle w:val="TableParagraph"/>
              <w:spacing w:line="229" w:lineRule="exact" w:before="19"/>
              <w:ind w:right="1112"/>
              <w:rPr>
                <w:b/>
                <w:sz w:val="20"/>
              </w:rPr>
            </w:pPr>
            <w:r>
              <w:rPr>
                <w:b/>
                <w:w w:val="100"/>
                <w:sz w:val="20"/>
              </w:rPr>
              <w:t>3</w:t>
            </w:r>
          </w:p>
        </w:tc>
      </w:tr>
      <w:tr>
        <w:trPr>
          <w:trHeight w:val="273" w:hRule="atLeast"/>
        </w:trPr>
        <w:tc>
          <w:tcPr>
            <w:tcW w:w="6378" w:type="dxa"/>
            <w:tcBorders>
              <w:top w:val="single" w:sz="4" w:space="0" w:color="000000"/>
              <w:bottom w:val="single" w:sz="4" w:space="0" w:color="000000"/>
            </w:tcBorders>
          </w:tcPr>
          <w:p>
            <w:pPr>
              <w:pStyle w:val="TableParagraph"/>
              <w:spacing w:line="229" w:lineRule="exact" w:before="24"/>
              <w:ind w:left="1315"/>
              <w:jc w:val="left"/>
              <w:rPr>
                <w:i/>
                <w:sz w:val="20"/>
              </w:rPr>
            </w:pPr>
            <w:r>
              <w:rPr>
                <w:i/>
                <w:sz w:val="20"/>
              </w:rPr>
              <w:t>Security</w:t>
            </w:r>
            <w:r>
              <w:rPr>
                <w:i/>
                <w:spacing w:val="-10"/>
                <w:sz w:val="20"/>
              </w:rPr>
              <w:t> </w:t>
            </w:r>
            <w:r>
              <w:rPr>
                <w:i/>
                <w:sz w:val="20"/>
              </w:rPr>
              <w:t>and</w:t>
            </w:r>
            <w:r>
              <w:rPr>
                <w:i/>
                <w:spacing w:val="-9"/>
                <w:sz w:val="20"/>
              </w:rPr>
              <w:t> </w:t>
            </w:r>
            <w:r>
              <w:rPr>
                <w:i/>
                <w:sz w:val="20"/>
              </w:rPr>
              <w:t>Protection</w:t>
            </w:r>
            <w:r>
              <w:rPr>
                <w:i/>
                <w:spacing w:val="-8"/>
                <w:sz w:val="20"/>
              </w:rPr>
              <w:t> </w:t>
            </w:r>
            <w:r>
              <w:rPr>
                <w:i/>
                <w:spacing w:val="-4"/>
                <w:sz w:val="20"/>
              </w:rPr>
              <w:t>Unit</w:t>
            </w:r>
          </w:p>
        </w:tc>
        <w:tc>
          <w:tcPr>
            <w:tcW w:w="1366" w:type="dxa"/>
            <w:tcBorders>
              <w:top w:val="single" w:sz="4" w:space="0" w:color="000000"/>
              <w:bottom w:val="single" w:sz="4" w:space="0" w:color="000000"/>
            </w:tcBorders>
          </w:tcPr>
          <w:p>
            <w:pPr>
              <w:pStyle w:val="TableParagraph"/>
              <w:jc w:val="left"/>
              <w:rPr>
                <w:sz w:val="18"/>
              </w:rPr>
            </w:pPr>
          </w:p>
        </w:tc>
        <w:tc>
          <w:tcPr>
            <w:tcW w:w="1956" w:type="dxa"/>
            <w:tcBorders>
              <w:top w:val="single" w:sz="4" w:space="0" w:color="000000"/>
              <w:bottom w:val="single" w:sz="4" w:space="0" w:color="000000"/>
            </w:tcBorders>
          </w:tcPr>
          <w:p>
            <w:pPr>
              <w:pStyle w:val="TableParagraph"/>
              <w:jc w:val="left"/>
              <w:rPr>
                <w:sz w:val="18"/>
              </w:rPr>
            </w:pPr>
          </w:p>
        </w:tc>
      </w:tr>
      <w:tr>
        <w:trPr>
          <w:trHeight w:val="268" w:hRule="atLeast"/>
        </w:trPr>
        <w:tc>
          <w:tcPr>
            <w:tcW w:w="6378" w:type="dxa"/>
            <w:tcBorders>
              <w:top w:val="single" w:sz="4" w:space="0" w:color="000000"/>
              <w:bottom w:val="single" w:sz="4" w:space="0" w:color="000000"/>
            </w:tcBorders>
          </w:tcPr>
          <w:p>
            <w:pPr>
              <w:pStyle w:val="TableParagraph"/>
              <w:spacing w:line="230" w:lineRule="exact" w:before="19"/>
              <w:ind w:left="1162"/>
              <w:jc w:val="left"/>
              <w:rPr>
                <w:sz w:val="20"/>
              </w:rPr>
            </w:pPr>
            <w:r>
              <w:rPr>
                <w:sz w:val="20"/>
              </w:rPr>
              <w:t>Head,</w:t>
            </w:r>
            <w:r>
              <w:rPr>
                <w:spacing w:val="-8"/>
                <w:sz w:val="20"/>
              </w:rPr>
              <w:t> </w:t>
            </w:r>
            <w:r>
              <w:rPr>
                <w:sz w:val="20"/>
              </w:rPr>
              <w:t>Protection</w:t>
            </w:r>
            <w:r>
              <w:rPr>
                <w:spacing w:val="-11"/>
                <w:sz w:val="20"/>
              </w:rPr>
              <w:t> </w:t>
            </w:r>
            <w:r>
              <w:rPr>
                <w:sz w:val="20"/>
              </w:rPr>
              <w:t>Strategies</w:t>
            </w:r>
            <w:r>
              <w:rPr>
                <w:spacing w:val="-7"/>
                <w:sz w:val="20"/>
              </w:rPr>
              <w:t> </w:t>
            </w:r>
            <w:r>
              <w:rPr>
                <w:spacing w:val="-4"/>
                <w:sz w:val="20"/>
              </w:rPr>
              <w:t>Unit</w:t>
            </w:r>
          </w:p>
        </w:tc>
        <w:tc>
          <w:tcPr>
            <w:tcW w:w="1366" w:type="dxa"/>
            <w:tcBorders>
              <w:top w:val="single" w:sz="4" w:space="0" w:color="000000"/>
              <w:bottom w:val="single" w:sz="4" w:space="0" w:color="000000"/>
            </w:tcBorders>
          </w:tcPr>
          <w:p>
            <w:pPr>
              <w:pStyle w:val="TableParagraph"/>
              <w:spacing w:line="230" w:lineRule="exact" w:before="19"/>
              <w:ind w:left="580"/>
              <w:jc w:val="left"/>
              <w:rPr>
                <w:sz w:val="20"/>
              </w:rPr>
            </w:pPr>
            <w:r>
              <w:rPr>
                <w:spacing w:val="-2"/>
                <w:sz w:val="20"/>
              </w:rPr>
              <w:t>P-</w:t>
            </w:r>
            <w:r>
              <w:rPr>
                <w:spacing w:val="-10"/>
                <w:sz w:val="20"/>
              </w:rPr>
              <w:t>4</w:t>
            </w:r>
          </w:p>
        </w:tc>
        <w:tc>
          <w:tcPr>
            <w:tcW w:w="1956" w:type="dxa"/>
            <w:tcBorders>
              <w:top w:val="single" w:sz="4" w:space="0" w:color="000000"/>
              <w:bottom w:val="single" w:sz="4" w:space="0" w:color="000000"/>
            </w:tcBorders>
          </w:tcPr>
          <w:p>
            <w:pPr>
              <w:pStyle w:val="TableParagraph"/>
              <w:spacing w:line="230" w:lineRule="exact" w:before="19"/>
              <w:ind w:right="1112"/>
              <w:rPr>
                <w:sz w:val="20"/>
              </w:rPr>
            </w:pPr>
            <w:r>
              <w:rPr>
                <w:w w:val="100"/>
                <w:sz w:val="20"/>
              </w:rPr>
              <w:t>1</w:t>
            </w:r>
          </w:p>
        </w:tc>
      </w:tr>
      <w:tr>
        <w:trPr>
          <w:trHeight w:val="268" w:hRule="atLeast"/>
        </w:trPr>
        <w:tc>
          <w:tcPr>
            <w:tcW w:w="6378" w:type="dxa"/>
            <w:tcBorders>
              <w:top w:val="single" w:sz="4" w:space="0" w:color="000000"/>
              <w:bottom w:val="single" w:sz="4" w:space="0" w:color="000000"/>
            </w:tcBorders>
          </w:tcPr>
          <w:p>
            <w:pPr>
              <w:pStyle w:val="TableParagraph"/>
              <w:spacing w:line="229" w:lineRule="exact" w:before="19"/>
              <w:ind w:left="1618"/>
              <w:jc w:val="left"/>
              <w:rPr>
                <w:i/>
                <w:sz w:val="20"/>
              </w:rPr>
            </w:pPr>
            <w:r>
              <w:rPr>
                <w:i/>
                <w:sz w:val="20"/>
              </w:rPr>
              <w:t>Cluster</w:t>
            </w:r>
            <w:r>
              <w:rPr>
                <w:i/>
                <w:spacing w:val="-8"/>
                <w:sz w:val="20"/>
              </w:rPr>
              <w:t> </w:t>
            </w:r>
            <w:r>
              <w:rPr>
                <w:i/>
                <w:spacing w:val="-10"/>
                <w:sz w:val="20"/>
              </w:rPr>
              <w:t>1</w:t>
            </w:r>
          </w:p>
        </w:tc>
        <w:tc>
          <w:tcPr>
            <w:tcW w:w="1366" w:type="dxa"/>
            <w:tcBorders>
              <w:top w:val="single" w:sz="4" w:space="0" w:color="000000"/>
              <w:bottom w:val="single" w:sz="4" w:space="0" w:color="000000"/>
            </w:tcBorders>
          </w:tcPr>
          <w:p>
            <w:pPr>
              <w:pStyle w:val="TableParagraph"/>
              <w:jc w:val="left"/>
              <w:rPr>
                <w:sz w:val="18"/>
              </w:rPr>
            </w:pPr>
          </w:p>
        </w:tc>
        <w:tc>
          <w:tcPr>
            <w:tcW w:w="1956" w:type="dxa"/>
            <w:tcBorders>
              <w:top w:val="single" w:sz="4" w:space="0" w:color="000000"/>
              <w:bottom w:val="single" w:sz="4" w:space="0" w:color="000000"/>
            </w:tcBorders>
          </w:tcPr>
          <w:p>
            <w:pPr>
              <w:pStyle w:val="TableParagraph"/>
              <w:jc w:val="left"/>
              <w:rPr>
                <w:sz w:val="18"/>
              </w:rPr>
            </w:pPr>
          </w:p>
        </w:tc>
      </w:tr>
      <w:tr>
        <w:trPr>
          <w:trHeight w:val="277" w:hRule="atLeast"/>
        </w:trPr>
        <w:tc>
          <w:tcPr>
            <w:tcW w:w="6378" w:type="dxa"/>
            <w:tcBorders>
              <w:top w:val="single" w:sz="4" w:space="0" w:color="000000"/>
            </w:tcBorders>
          </w:tcPr>
          <w:p>
            <w:pPr>
              <w:pStyle w:val="TableParagraph"/>
              <w:spacing w:before="24"/>
              <w:ind w:left="1162"/>
              <w:jc w:val="left"/>
              <w:rPr>
                <w:sz w:val="20"/>
              </w:rPr>
            </w:pPr>
            <w:r>
              <w:rPr>
                <w:sz w:val="20"/>
              </w:rPr>
              <w:t>Protection</w:t>
            </w:r>
            <w:r>
              <w:rPr>
                <w:spacing w:val="-6"/>
                <w:sz w:val="20"/>
              </w:rPr>
              <w:t> </w:t>
            </w:r>
            <w:r>
              <w:rPr>
                <w:sz w:val="20"/>
              </w:rPr>
              <w:t>Strategies</w:t>
            </w:r>
            <w:r>
              <w:rPr>
                <w:spacing w:val="-10"/>
                <w:sz w:val="20"/>
              </w:rPr>
              <w:t> </w:t>
            </w:r>
            <w:r>
              <w:rPr>
                <w:sz w:val="20"/>
              </w:rPr>
              <w:t>Officer</w:t>
            </w:r>
            <w:r>
              <w:rPr>
                <w:spacing w:val="-10"/>
                <w:sz w:val="20"/>
              </w:rPr>
              <w:t> </w:t>
            </w:r>
            <w:r>
              <w:rPr>
                <w:sz w:val="20"/>
              </w:rPr>
              <w:t>(PHL,</w:t>
            </w:r>
            <w:r>
              <w:rPr>
                <w:spacing w:val="-7"/>
                <w:sz w:val="20"/>
              </w:rPr>
              <w:t> </w:t>
            </w:r>
            <w:r>
              <w:rPr>
                <w:sz w:val="20"/>
              </w:rPr>
              <w:t>AFG,</w:t>
            </w:r>
            <w:r>
              <w:rPr>
                <w:spacing w:val="-3"/>
                <w:sz w:val="20"/>
              </w:rPr>
              <w:t> </w:t>
            </w:r>
            <w:r>
              <w:rPr>
                <w:spacing w:val="-2"/>
                <w:sz w:val="20"/>
              </w:rPr>
              <w:t>Staff)</w:t>
            </w:r>
          </w:p>
        </w:tc>
        <w:tc>
          <w:tcPr>
            <w:tcW w:w="1366" w:type="dxa"/>
            <w:tcBorders>
              <w:top w:val="single" w:sz="4" w:space="0" w:color="000000"/>
            </w:tcBorders>
          </w:tcPr>
          <w:p>
            <w:pPr>
              <w:pStyle w:val="TableParagraph"/>
              <w:spacing w:before="24"/>
              <w:ind w:left="580"/>
              <w:jc w:val="left"/>
              <w:rPr>
                <w:sz w:val="20"/>
              </w:rPr>
            </w:pPr>
            <w:r>
              <w:rPr>
                <w:spacing w:val="-2"/>
                <w:sz w:val="20"/>
              </w:rPr>
              <w:t>P-</w:t>
            </w:r>
            <w:r>
              <w:rPr>
                <w:spacing w:val="-10"/>
                <w:sz w:val="20"/>
              </w:rPr>
              <w:t>3</w:t>
            </w:r>
          </w:p>
        </w:tc>
        <w:tc>
          <w:tcPr>
            <w:tcW w:w="1956" w:type="dxa"/>
            <w:tcBorders>
              <w:top w:val="single" w:sz="4" w:space="0" w:color="000000"/>
            </w:tcBorders>
          </w:tcPr>
          <w:p>
            <w:pPr>
              <w:pStyle w:val="TableParagraph"/>
              <w:spacing w:before="24"/>
              <w:ind w:right="1112"/>
              <w:rPr>
                <w:sz w:val="20"/>
              </w:rPr>
            </w:pPr>
            <w:r>
              <w:rPr>
                <w:w w:val="100"/>
                <w:sz w:val="20"/>
              </w:rPr>
              <w:t>1</w:t>
            </w:r>
          </w:p>
        </w:tc>
      </w:tr>
      <w:tr>
        <w:trPr>
          <w:trHeight w:val="264" w:hRule="atLeast"/>
        </w:trPr>
        <w:tc>
          <w:tcPr>
            <w:tcW w:w="6378" w:type="dxa"/>
            <w:tcBorders>
              <w:bottom w:val="single" w:sz="4" w:space="0" w:color="000000"/>
            </w:tcBorders>
          </w:tcPr>
          <w:p>
            <w:pPr>
              <w:pStyle w:val="TableParagraph"/>
              <w:spacing w:line="229" w:lineRule="exact" w:before="15"/>
              <w:ind w:left="1162"/>
              <w:jc w:val="left"/>
              <w:rPr>
                <w:sz w:val="20"/>
              </w:rPr>
            </w:pPr>
            <w:r>
              <w:rPr>
                <w:sz w:val="20"/>
              </w:rPr>
              <w:t>Protection</w:t>
            </w:r>
            <w:r>
              <w:rPr>
                <w:spacing w:val="-8"/>
                <w:sz w:val="20"/>
              </w:rPr>
              <w:t> </w:t>
            </w:r>
            <w:r>
              <w:rPr>
                <w:sz w:val="20"/>
              </w:rPr>
              <w:t>Strategies</w:t>
            </w:r>
            <w:r>
              <w:rPr>
                <w:spacing w:val="-11"/>
                <w:sz w:val="20"/>
              </w:rPr>
              <w:t> </w:t>
            </w:r>
            <w:r>
              <w:rPr>
                <w:spacing w:val="-2"/>
                <w:sz w:val="20"/>
              </w:rPr>
              <w:t>Assistant</w:t>
            </w:r>
          </w:p>
        </w:tc>
        <w:tc>
          <w:tcPr>
            <w:tcW w:w="1366" w:type="dxa"/>
            <w:tcBorders>
              <w:bottom w:val="single" w:sz="4" w:space="0" w:color="000000"/>
            </w:tcBorders>
          </w:tcPr>
          <w:p>
            <w:pPr>
              <w:pStyle w:val="TableParagraph"/>
              <w:spacing w:line="229" w:lineRule="exact" w:before="15"/>
              <w:ind w:left="580"/>
              <w:jc w:val="left"/>
              <w:rPr>
                <w:sz w:val="20"/>
              </w:rPr>
            </w:pPr>
            <w:r>
              <w:rPr>
                <w:spacing w:val="-2"/>
                <w:sz w:val="20"/>
              </w:rPr>
              <w:t>GS-</w:t>
            </w:r>
            <w:r>
              <w:rPr>
                <w:spacing w:val="-7"/>
                <w:sz w:val="20"/>
              </w:rPr>
              <w:t>OL</w:t>
            </w:r>
          </w:p>
        </w:tc>
        <w:tc>
          <w:tcPr>
            <w:tcW w:w="1956" w:type="dxa"/>
            <w:tcBorders>
              <w:bottom w:val="single" w:sz="4" w:space="0" w:color="000000"/>
            </w:tcBorders>
          </w:tcPr>
          <w:p>
            <w:pPr>
              <w:pStyle w:val="TableParagraph"/>
              <w:spacing w:line="229" w:lineRule="exact" w:before="15"/>
              <w:ind w:right="1112"/>
              <w:rPr>
                <w:sz w:val="20"/>
              </w:rPr>
            </w:pPr>
            <w:r>
              <w:rPr>
                <w:w w:val="100"/>
                <w:sz w:val="20"/>
              </w:rPr>
              <w:t>2</w:t>
            </w:r>
          </w:p>
        </w:tc>
      </w:tr>
      <w:tr>
        <w:trPr>
          <w:trHeight w:val="268" w:hRule="atLeast"/>
        </w:trPr>
        <w:tc>
          <w:tcPr>
            <w:tcW w:w="6378" w:type="dxa"/>
            <w:tcBorders>
              <w:top w:val="single" w:sz="4" w:space="0" w:color="000000"/>
              <w:bottom w:val="single" w:sz="4" w:space="0" w:color="000000"/>
            </w:tcBorders>
          </w:tcPr>
          <w:p>
            <w:pPr>
              <w:pStyle w:val="TableParagraph"/>
              <w:spacing w:line="229" w:lineRule="exact" w:before="19"/>
              <w:ind w:left="1618"/>
              <w:jc w:val="left"/>
              <w:rPr>
                <w:i/>
                <w:sz w:val="20"/>
              </w:rPr>
            </w:pPr>
            <w:r>
              <w:rPr>
                <w:i/>
                <w:sz w:val="20"/>
              </w:rPr>
              <w:t>Cluster</w:t>
            </w:r>
            <w:r>
              <w:rPr>
                <w:i/>
                <w:spacing w:val="-8"/>
                <w:sz w:val="20"/>
              </w:rPr>
              <w:t> </w:t>
            </w:r>
            <w:r>
              <w:rPr>
                <w:i/>
                <w:spacing w:val="-10"/>
                <w:sz w:val="20"/>
              </w:rPr>
              <w:t>2</w:t>
            </w:r>
          </w:p>
        </w:tc>
        <w:tc>
          <w:tcPr>
            <w:tcW w:w="1366" w:type="dxa"/>
            <w:tcBorders>
              <w:top w:val="single" w:sz="4" w:space="0" w:color="000000"/>
              <w:bottom w:val="single" w:sz="4" w:space="0" w:color="000000"/>
            </w:tcBorders>
          </w:tcPr>
          <w:p>
            <w:pPr>
              <w:pStyle w:val="TableParagraph"/>
              <w:jc w:val="left"/>
              <w:rPr>
                <w:sz w:val="18"/>
              </w:rPr>
            </w:pPr>
          </w:p>
        </w:tc>
        <w:tc>
          <w:tcPr>
            <w:tcW w:w="1956" w:type="dxa"/>
            <w:tcBorders>
              <w:top w:val="single" w:sz="4" w:space="0" w:color="000000"/>
              <w:bottom w:val="single" w:sz="4" w:space="0" w:color="000000"/>
            </w:tcBorders>
          </w:tcPr>
          <w:p>
            <w:pPr>
              <w:pStyle w:val="TableParagraph"/>
              <w:jc w:val="left"/>
              <w:rPr>
                <w:sz w:val="18"/>
              </w:rPr>
            </w:pPr>
          </w:p>
        </w:tc>
      </w:tr>
      <w:tr>
        <w:trPr>
          <w:trHeight w:val="274" w:hRule="atLeast"/>
        </w:trPr>
        <w:tc>
          <w:tcPr>
            <w:tcW w:w="6378" w:type="dxa"/>
            <w:tcBorders>
              <w:top w:val="single" w:sz="4" w:space="0" w:color="000000"/>
            </w:tcBorders>
          </w:tcPr>
          <w:p>
            <w:pPr>
              <w:pStyle w:val="TableParagraph"/>
              <w:spacing w:before="19"/>
              <w:ind w:left="1162"/>
              <w:jc w:val="left"/>
              <w:rPr>
                <w:sz w:val="20"/>
              </w:rPr>
            </w:pPr>
            <w:r>
              <w:rPr>
                <w:sz w:val="20"/>
              </w:rPr>
              <w:t>Protection</w:t>
            </w:r>
            <w:r>
              <w:rPr>
                <w:spacing w:val="-8"/>
                <w:sz w:val="20"/>
              </w:rPr>
              <w:t> </w:t>
            </w:r>
            <w:r>
              <w:rPr>
                <w:sz w:val="20"/>
              </w:rPr>
              <w:t>Strategies</w:t>
            </w:r>
            <w:r>
              <w:rPr>
                <w:spacing w:val="-11"/>
                <w:sz w:val="20"/>
              </w:rPr>
              <w:t> </w:t>
            </w:r>
            <w:r>
              <w:rPr>
                <w:spacing w:val="-2"/>
                <w:sz w:val="20"/>
              </w:rPr>
              <w:t>Officer</w:t>
            </w:r>
          </w:p>
        </w:tc>
        <w:tc>
          <w:tcPr>
            <w:tcW w:w="1366" w:type="dxa"/>
            <w:tcBorders>
              <w:top w:val="single" w:sz="4" w:space="0" w:color="000000"/>
            </w:tcBorders>
          </w:tcPr>
          <w:p>
            <w:pPr>
              <w:pStyle w:val="TableParagraph"/>
              <w:spacing w:before="19"/>
              <w:ind w:left="580"/>
              <w:jc w:val="left"/>
              <w:rPr>
                <w:sz w:val="20"/>
              </w:rPr>
            </w:pPr>
            <w:r>
              <w:rPr>
                <w:spacing w:val="-2"/>
                <w:sz w:val="20"/>
              </w:rPr>
              <w:t>P-</w:t>
            </w:r>
            <w:r>
              <w:rPr>
                <w:spacing w:val="-10"/>
                <w:sz w:val="20"/>
              </w:rPr>
              <w:t>3</w:t>
            </w:r>
          </w:p>
        </w:tc>
        <w:tc>
          <w:tcPr>
            <w:tcW w:w="1956" w:type="dxa"/>
            <w:tcBorders>
              <w:top w:val="single" w:sz="4" w:space="0" w:color="000000"/>
            </w:tcBorders>
          </w:tcPr>
          <w:p>
            <w:pPr>
              <w:pStyle w:val="TableParagraph"/>
              <w:spacing w:before="19"/>
              <w:ind w:right="1112"/>
              <w:rPr>
                <w:sz w:val="20"/>
              </w:rPr>
            </w:pPr>
            <w:r>
              <w:rPr>
                <w:w w:val="100"/>
                <w:sz w:val="20"/>
              </w:rPr>
              <w:t>1</w:t>
            </w:r>
          </w:p>
        </w:tc>
      </w:tr>
      <w:tr>
        <w:trPr>
          <w:trHeight w:val="267" w:hRule="atLeast"/>
        </w:trPr>
        <w:tc>
          <w:tcPr>
            <w:tcW w:w="6378" w:type="dxa"/>
          </w:tcPr>
          <w:p>
            <w:pPr>
              <w:pStyle w:val="TableParagraph"/>
              <w:spacing w:line="229" w:lineRule="exact" w:before="18"/>
              <w:ind w:left="1162"/>
              <w:jc w:val="left"/>
              <w:rPr>
                <w:sz w:val="20"/>
              </w:rPr>
            </w:pPr>
            <w:r>
              <w:rPr>
                <w:sz w:val="20"/>
              </w:rPr>
              <w:t>Associate</w:t>
            </w:r>
            <w:r>
              <w:rPr>
                <w:spacing w:val="-9"/>
                <w:sz w:val="20"/>
              </w:rPr>
              <w:t> </w:t>
            </w:r>
            <w:r>
              <w:rPr>
                <w:sz w:val="20"/>
              </w:rPr>
              <w:t>Protection</w:t>
            </w:r>
            <w:r>
              <w:rPr>
                <w:spacing w:val="-10"/>
                <w:sz w:val="20"/>
              </w:rPr>
              <w:t> </w:t>
            </w:r>
            <w:r>
              <w:rPr>
                <w:sz w:val="20"/>
              </w:rPr>
              <w:t>Strategies</w:t>
            </w:r>
            <w:r>
              <w:rPr>
                <w:spacing w:val="-7"/>
                <w:sz w:val="20"/>
              </w:rPr>
              <w:t> </w:t>
            </w:r>
            <w:r>
              <w:rPr>
                <w:sz w:val="20"/>
              </w:rPr>
              <w:t>Officer</w:t>
            </w:r>
            <w:r>
              <w:rPr>
                <w:spacing w:val="-10"/>
                <w:sz w:val="20"/>
              </w:rPr>
              <w:t> </w:t>
            </w:r>
            <w:r>
              <w:rPr>
                <w:sz w:val="20"/>
              </w:rPr>
              <w:t>(SUD,</w:t>
            </w:r>
            <w:r>
              <w:rPr>
                <w:spacing w:val="-7"/>
                <w:sz w:val="20"/>
              </w:rPr>
              <w:t> </w:t>
            </w:r>
            <w:r>
              <w:rPr>
                <w:spacing w:val="-2"/>
                <w:sz w:val="20"/>
              </w:rPr>
              <w:t>Trial)</w:t>
            </w:r>
          </w:p>
        </w:tc>
        <w:tc>
          <w:tcPr>
            <w:tcW w:w="1366" w:type="dxa"/>
          </w:tcPr>
          <w:p>
            <w:pPr>
              <w:pStyle w:val="TableParagraph"/>
              <w:spacing w:line="229" w:lineRule="exact" w:before="18"/>
              <w:ind w:left="580"/>
              <w:jc w:val="left"/>
              <w:rPr>
                <w:sz w:val="20"/>
              </w:rPr>
            </w:pPr>
            <w:r>
              <w:rPr>
                <w:spacing w:val="-2"/>
                <w:sz w:val="20"/>
              </w:rPr>
              <w:t>P-</w:t>
            </w:r>
            <w:r>
              <w:rPr>
                <w:spacing w:val="-10"/>
                <w:sz w:val="20"/>
              </w:rPr>
              <w:t>2</w:t>
            </w:r>
          </w:p>
        </w:tc>
        <w:tc>
          <w:tcPr>
            <w:tcW w:w="1956" w:type="dxa"/>
          </w:tcPr>
          <w:p>
            <w:pPr>
              <w:pStyle w:val="TableParagraph"/>
              <w:spacing w:line="229" w:lineRule="exact" w:before="18"/>
              <w:ind w:right="1112"/>
              <w:rPr>
                <w:sz w:val="20"/>
              </w:rPr>
            </w:pPr>
            <w:r>
              <w:rPr>
                <w:w w:val="100"/>
                <w:sz w:val="20"/>
              </w:rPr>
              <w:t>1</w:t>
            </w:r>
          </w:p>
        </w:tc>
      </w:tr>
      <w:tr>
        <w:trPr>
          <w:trHeight w:val="272" w:hRule="atLeast"/>
        </w:trPr>
        <w:tc>
          <w:tcPr>
            <w:tcW w:w="6378" w:type="dxa"/>
          </w:tcPr>
          <w:p>
            <w:pPr>
              <w:pStyle w:val="TableParagraph"/>
              <w:spacing w:before="20"/>
              <w:ind w:left="1162"/>
              <w:jc w:val="left"/>
              <w:rPr>
                <w:sz w:val="20"/>
              </w:rPr>
            </w:pPr>
            <w:r>
              <w:rPr>
                <w:sz w:val="20"/>
              </w:rPr>
              <w:t>Associate</w:t>
            </w:r>
            <w:r>
              <w:rPr>
                <w:spacing w:val="-10"/>
                <w:sz w:val="20"/>
              </w:rPr>
              <w:t> </w:t>
            </w:r>
            <w:r>
              <w:rPr>
                <w:sz w:val="20"/>
              </w:rPr>
              <w:t>Protection</w:t>
            </w:r>
            <w:r>
              <w:rPr>
                <w:spacing w:val="-10"/>
                <w:sz w:val="20"/>
              </w:rPr>
              <w:t> </w:t>
            </w:r>
            <w:r>
              <w:rPr>
                <w:sz w:val="20"/>
              </w:rPr>
              <w:t>Strategies</w:t>
            </w:r>
            <w:r>
              <w:rPr>
                <w:spacing w:val="-6"/>
                <w:sz w:val="20"/>
              </w:rPr>
              <w:t> </w:t>
            </w:r>
            <w:r>
              <w:rPr>
                <w:sz w:val="20"/>
              </w:rPr>
              <w:t>Officer</w:t>
            </w:r>
            <w:r>
              <w:rPr>
                <w:spacing w:val="-9"/>
                <w:sz w:val="20"/>
              </w:rPr>
              <w:t> </w:t>
            </w:r>
            <w:r>
              <w:rPr>
                <w:sz w:val="20"/>
              </w:rPr>
              <w:t>(CAR</w:t>
            </w:r>
            <w:r>
              <w:rPr>
                <w:spacing w:val="-9"/>
                <w:sz w:val="20"/>
              </w:rPr>
              <w:t> </w:t>
            </w:r>
            <w:r>
              <w:rPr>
                <w:spacing w:val="-2"/>
                <w:sz w:val="20"/>
              </w:rPr>
              <w:t>II.b)</w:t>
            </w:r>
            <w:r>
              <w:rPr>
                <w:spacing w:val="-2"/>
                <w:sz w:val="20"/>
                <w:vertAlign w:val="superscript"/>
              </w:rPr>
              <w:t>88</w:t>
            </w:r>
          </w:p>
        </w:tc>
        <w:tc>
          <w:tcPr>
            <w:tcW w:w="1366" w:type="dxa"/>
          </w:tcPr>
          <w:p>
            <w:pPr>
              <w:pStyle w:val="TableParagraph"/>
              <w:spacing w:before="20"/>
              <w:ind w:left="580"/>
              <w:jc w:val="left"/>
              <w:rPr>
                <w:sz w:val="20"/>
              </w:rPr>
            </w:pPr>
            <w:r>
              <w:rPr>
                <w:spacing w:val="-2"/>
                <w:sz w:val="20"/>
              </w:rPr>
              <w:t>P-</w:t>
            </w:r>
            <w:r>
              <w:rPr>
                <w:spacing w:val="-10"/>
                <w:sz w:val="20"/>
              </w:rPr>
              <w:t>2</w:t>
            </w:r>
          </w:p>
        </w:tc>
        <w:tc>
          <w:tcPr>
            <w:tcW w:w="1956" w:type="dxa"/>
          </w:tcPr>
          <w:p>
            <w:pPr>
              <w:pStyle w:val="TableParagraph"/>
              <w:spacing w:before="20"/>
              <w:ind w:right="1112"/>
              <w:rPr>
                <w:sz w:val="20"/>
              </w:rPr>
            </w:pPr>
            <w:r>
              <w:rPr>
                <w:w w:val="100"/>
                <w:sz w:val="20"/>
              </w:rPr>
              <w:t>1</w:t>
            </w:r>
          </w:p>
        </w:tc>
      </w:tr>
      <w:tr>
        <w:trPr>
          <w:trHeight w:val="264" w:hRule="atLeast"/>
        </w:trPr>
        <w:tc>
          <w:tcPr>
            <w:tcW w:w="6378" w:type="dxa"/>
            <w:tcBorders>
              <w:bottom w:val="single" w:sz="4" w:space="0" w:color="000000"/>
            </w:tcBorders>
          </w:tcPr>
          <w:p>
            <w:pPr>
              <w:pStyle w:val="TableParagraph"/>
              <w:spacing w:line="229" w:lineRule="exact" w:before="15"/>
              <w:ind w:left="1162"/>
              <w:jc w:val="left"/>
              <w:rPr>
                <w:sz w:val="20"/>
              </w:rPr>
            </w:pPr>
            <w:r>
              <w:rPr>
                <w:sz w:val="20"/>
              </w:rPr>
              <w:t>Protection</w:t>
            </w:r>
            <w:r>
              <w:rPr>
                <w:spacing w:val="-8"/>
                <w:sz w:val="20"/>
              </w:rPr>
              <w:t> </w:t>
            </w:r>
            <w:r>
              <w:rPr>
                <w:sz w:val="20"/>
              </w:rPr>
              <w:t>Strategies</w:t>
            </w:r>
            <w:r>
              <w:rPr>
                <w:spacing w:val="-11"/>
                <w:sz w:val="20"/>
              </w:rPr>
              <w:t> </w:t>
            </w:r>
            <w:r>
              <w:rPr>
                <w:spacing w:val="-2"/>
                <w:sz w:val="20"/>
              </w:rPr>
              <w:t>Assistant</w:t>
            </w:r>
          </w:p>
        </w:tc>
        <w:tc>
          <w:tcPr>
            <w:tcW w:w="1366" w:type="dxa"/>
            <w:tcBorders>
              <w:bottom w:val="single" w:sz="4" w:space="0" w:color="000000"/>
            </w:tcBorders>
          </w:tcPr>
          <w:p>
            <w:pPr>
              <w:pStyle w:val="TableParagraph"/>
              <w:spacing w:line="229" w:lineRule="exact" w:before="15"/>
              <w:ind w:left="580"/>
              <w:jc w:val="left"/>
              <w:rPr>
                <w:sz w:val="20"/>
              </w:rPr>
            </w:pPr>
            <w:r>
              <w:rPr>
                <w:spacing w:val="-2"/>
                <w:sz w:val="20"/>
              </w:rPr>
              <w:t>GS-</w:t>
            </w:r>
            <w:r>
              <w:rPr>
                <w:spacing w:val="-7"/>
                <w:sz w:val="20"/>
              </w:rPr>
              <w:t>OL</w:t>
            </w:r>
          </w:p>
        </w:tc>
        <w:tc>
          <w:tcPr>
            <w:tcW w:w="1956" w:type="dxa"/>
            <w:tcBorders>
              <w:bottom w:val="single" w:sz="4" w:space="0" w:color="000000"/>
            </w:tcBorders>
          </w:tcPr>
          <w:p>
            <w:pPr>
              <w:pStyle w:val="TableParagraph"/>
              <w:spacing w:line="229" w:lineRule="exact" w:before="15"/>
              <w:ind w:right="1112"/>
              <w:rPr>
                <w:sz w:val="20"/>
              </w:rPr>
            </w:pPr>
            <w:r>
              <w:rPr>
                <w:w w:val="100"/>
                <w:sz w:val="20"/>
              </w:rPr>
              <w:t>2</w:t>
            </w:r>
          </w:p>
        </w:tc>
      </w:tr>
      <w:tr>
        <w:trPr>
          <w:trHeight w:val="273" w:hRule="atLeast"/>
        </w:trPr>
        <w:tc>
          <w:tcPr>
            <w:tcW w:w="6378" w:type="dxa"/>
            <w:tcBorders>
              <w:top w:val="single" w:sz="4" w:space="0" w:color="000000"/>
              <w:bottom w:val="single" w:sz="4" w:space="0" w:color="000000"/>
            </w:tcBorders>
          </w:tcPr>
          <w:p>
            <w:pPr>
              <w:pStyle w:val="TableParagraph"/>
              <w:spacing w:before="19"/>
              <w:ind w:left="1613"/>
              <w:jc w:val="left"/>
              <w:rPr>
                <w:i/>
                <w:sz w:val="20"/>
              </w:rPr>
            </w:pPr>
            <w:r>
              <w:rPr>
                <w:i/>
                <w:sz w:val="20"/>
              </w:rPr>
              <w:t>Psychosocial</w:t>
            </w:r>
            <w:r>
              <w:rPr>
                <w:i/>
                <w:spacing w:val="-9"/>
                <w:sz w:val="20"/>
              </w:rPr>
              <w:t> </w:t>
            </w:r>
            <w:r>
              <w:rPr>
                <w:i/>
                <w:spacing w:val="-2"/>
                <w:sz w:val="20"/>
              </w:rPr>
              <w:t>Support</w:t>
            </w:r>
          </w:p>
        </w:tc>
        <w:tc>
          <w:tcPr>
            <w:tcW w:w="1366" w:type="dxa"/>
            <w:tcBorders>
              <w:top w:val="single" w:sz="4" w:space="0" w:color="000000"/>
              <w:bottom w:val="single" w:sz="4" w:space="0" w:color="000000"/>
            </w:tcBorders>
          </w:tcPr>
          <w:p>
            <w:pPr>
              <w:pStyle w:val="TableParagraph"/>
              <w:jc w:val="left"/>
              <w:rPr>
                <w:sz w:val="18"/>
              </w:rPr>
            </w:pPr>
          </w:p>
        </w:tc>
        <w:tc>
          <w:tcPr>
            <w:tcW w:w="1956" w:type="dxa"/>
            <w:tcBorders>
              <w:top w:val="single" w:sz="4" w:space="0" w:color="000000"/>
              <w:bottom w:val="single" w:sz="4" w:space="0" w:color="000000"/>
            </w:tcBorders>
          </w:tcPr>
          <w:p>
            <w:pPr>
              <w:pStyle w:val="TableParagraph"/>
              <w:jc w:val="left"/>
              <w:rPr>
                <w:sz w:val="18"/>
              </w:rPr>
            </w:pPr>
          </w:p>
        </w:tc>
      </w:tr>
      <w:tr>
        <w:trPr>
          <w:trHeight w:val="268" w:hRule="atLeast"/>
        </w:trPr>
        <w:tc>
          <w:tcPr>
            <w:tcW w:w="6378" w:type="dxa"/>
            <w:tcBorders>
              <w:top w:val="single" w:sz="4" w:space="0" w:color="000000"/>
              <w:bottom w:val="single" w:sz="4" w:space="0" w:color="000000"/>
            </w:tcBorders>
          </w:tcPr>
          <w:p>
            <w:pPr>
              <w:pStyle w:val="TableParagraph"/>
              <w:spacing w:line="229" w:lineRule="exact" w:before="19"/>
              <w:ind w:left="1162"/>
              <w:jc w:val="left"/>
              <w:rPr>
                <w:sz w:val="20"/>
              </w:rPr>
            </w:pPr>
            <w:r>
              <w:rPr>
                <w:sz w:val="20"/>
              </w:rPr>
              <w:t>Associate</w:t>
            </w:r>
            <w:r>
              <w:rPr>
                <w:spacing w:val="-8"/>
                <w:sz w:val="20"/>
              </w:rPr>
              <w:t> </w:t>
            </w:r>
            <w:r>
              <w:rPr>
                <w:sz w:val="20"/>
              </w:rPr>
              <w:t>Victims</w:t>
            </w:r>
            <w:r>
              <w:rPr>
                <w:spacing w:val="-8"/>
                <w:sz w:val="20"/>
              </w:rPr>
              <w:t> </w:t>
            </w:r>
            <w:r>
              <w:rPr>
                <w:spacing w:val="-2"/>
                <w:sz w:val="20"/>
              </w:rPr>
              <w:t>Expert</w:t>
            </w:r>
          </w:p>
        </w:tc>
        <w:tc>
          <w:tcPr>
            <w:tcW w:w="1366" w:type="dxa"/>
            <w:tcBorders>
              <w:top w:val="single" w:sz="4" w:space="0" w:color="000000"/>
              <w:bottom w:val="single" w:sz="4" w:space="0" w:color="000000"/>
            </w:tcBorders>
          </w:tcPr>
          <w:p>
            <w:pPr>
              <w:pStyle w:val="TableParagraph"/>
              <w:spacing w:line="229" w:lineRule="exact" w:before="19"/>
              <w:ind w:left="580"/>
              <w:jc w:val="left"/>
              <w:rPr>
                <w:sz w:val="20"/>
              </w:rPr>
            </w:pPr>
            <w:r>
              <w:rPr>
                <w:spacing w:val="-2"/>
                <w:sz w:val="20"/>
              </w:rPr>
              <w:t>P-</w:t>
            </w:r>
            <w:r>
              <w:rPr>
                <w:spacing w:val="-10"/>
                <w:sz w:val="20"/>
              </w:rPr>
              <w:t>2</w:t>
            </w:r>
          </w:p>
        </w:tc>
        <w:tc>
          <w:tcPr>
            <w:tcW w:w="1956" w:type="dxa"/>
            <w:tcBorders>
              <w:top w:val="single" w:sz="4" w:space="0" w:color="000000"/>
              <w:bottom w:val="single" w:sz="4" w:space="0" w:color="000000"/>
            </w:tcBorders>
          </w:tcPr>
          <w:p>
            <w:pPr>
              <w:pStyle w:val="TableParagraph"/>
              <w:spacing w:line="229" w:lineRule="exact" w:before="19"/>
              <w:ind w:right="1112"/>
              <w:rPr>
                <w:sz w:val="20"/>
              </w:rPr>
            </w:pPr>
            <w:r>
              <w:rPr>
                <w:w w:val="100"/>
                <w:sz w:val="20"/>
              </w:rPr>
              <w:t>3</w:t>
            </w:r>
          </w:p>
        </w:tc>
      </w:tr>
      <w:tr>
        <w:trPr>
          <w:trHeight w:val="268" w:hRule="atLeast"/>
        </w:trPr>
        <w:tc>
          <w:tcPr>
            <w:tcW w:w="6378" w:type="dxa"/>
            <w:tcBorders>
              <w:top w:val="single" w:sz="4" w:space="0" w:color="000000"/>
              <w:bottom w:val="single" w:sz="4" w:space="0" w:color="000000"/>
            </w:tcBorders>
          </w:tcPr>
          <w:p>
            <w:pPr>
              <w:pStyle w:val="TableParagraph"/>
              <w:spacing w:line="229" w:lineRule="exact" w:before="19"/>
              <w:ind w:left="1618"/>
              <w:jc w:val="left"/>
              <w:rPr>
                <w:i/>
                <w:sz w:val="20"/>
              </w:rPr>
            </w:pPr>
            <w:r>
              <w:rPr>
                <w:i/>
                <w:sz w:val="20"/>
              </w:rPr>
              <w:t>Threat</w:t>
            </w:r>
            <w:r>
              <w:rPr>
                <w:i/>
                <w:spacing w:val="-11"/>
                <w:sz w:val="20"/>
              </w:rPr>
              <w:t> </w:t>
            </w:r>
            <w:r>
              <w:rPr>
                <w:i/>
                <w:sz w:val="20"/>
              </w:rPr>
              <w:t>Analysis</w:t>
            </w:r>
            <w:r>
              <w:rPr>
                <w:i/>
                <w:spacing w:val="-7"/>
                <w:sz w:val="20"/>
              </w:rPr>
              <w:t> </w:t>
            </w:r>
            <w:r>
              <w:rPr>
                <w:i/>
                <w:spacing w:val="-4"/>
                <w:sz w:val="20"/>
              </w:rPr>
              <w:t>Cell</w:t>
            </w:r>
          </w:p>
        </w:tc>
        <w:tc>
          <w:tcPr>
            <w:tcW w:w="1366" w:type="dxa"/>
            <w:tcBorders>
              <w:top w:val="single" w:sz="4" w:space="0" w:color="000000"/>
              <w:bottom w:val="single" w:sz="4" w:space="0" w:color="000000"/>
            </w:tcBorders>
          </w:tcPr>
          <w:p>
            <w:pPr>
              <w:pStyle w:val="TableParagraph"/>
              <w:jc w:val="left"/>
              <w:rPr>
                <w:sz w:val="18"/>
              </w:rPr>
            </w:pPr>
          </w:p>
        </w:tc>
        <w:tc>
          <w:tcPr>
            <w:tcW w:w="1956" w:type="dxa"/>
            <w:tcBorders>
              <w:top w:val="single" w:sz="4" w:space="0" w:color="000000"/>
              <w:bottom w:val="single" w:sz="4" w:space="0" w:color="000000"/>
            </w:tcBorders>
          </w:tcPr>
          <w:p>
            <w:pPr>
              <w:pStyle w:val="TableParagraph"/>
              <w:jc w:val="left"/>
              <w:rPr>
                <w:sz w:val="18"/>
              </w:rPr>
            </w:pPr>
          </w:p>
        </w:tc>
      </w:tr>
      <w:tr>
        <w:trPr>
          <w:trHeight w:val="275" w:hRule="atLeast"/>
        </w:trPr>
        <w:tc>
          <w:tcPr>
            <w:tcW w:w="6378" w:type="dxa"/>
            <w:tcBorders>
              <w:top w:val="single" w:sz="4" w:space="0" w:color="000000"/>
            </w:tcBorders>
          </w:tcPr>
          <w:p>
            <w:pPr>
              <w:pStyle w:val="TableParagraph"/>
              <w:spacing w:before="19"/>
              <w:ind w:left="1162"/>
              <w:jc w:val="left"/>
              <w:rPr>
                <w:sz w:val="20"/>
              </w:rPr>
            </w:pPr>
            <w:r>
              <w:rPr>
                <w:sz w:val="20"/>
              </w:rPr>
              <w:t>Information</w:t>
            </w:r>
            <w:r>
              <w:rPr>
                <w:spacing w:val="-9"/>
                <w:sz w:val="20"/>
              </w:rPr>
              <w:t> </w:t>
            </w:r>
            <w:r>
              <w:rPr>
                <w:spacing w:val="-2"/>
                <w:sz w:val="20"/>
              </w:rPr>
              <w:t>Analyst</w:t>
            </w:r>
          </w:p>
        </w:tc>
        <w:tc>
          <w:tcPr>
            <w:tcW w:w="1366" w:type="dxa"/>
            <w:tcBorders>
              <w:top w:val="single" w:sz="4" w:space="0" w:color="000000"/>
            </w:tcBorders>
          </w:tcPr>
          <w:p>
            <w:pPr>
              <w:pStyle w:val="TableParagraph"/>
              <w:spacing w:before="19"/>
              <w:ind w:left="580"/>
              <w:jc w:val="left"/>
              <w:rPr>
                <w:sz w:val="20"/>
              </w:rPr>
            </w:pPr>
            <w:r>
              <w:rPr>
                <w:spacing w:val="-2"/>
                <w:sz w:val="20"/>
              </w:rPr>
              <w:t>P-</w:t>
            </w:r>
            <w:r>
              <w:rPr>
                <w:spacing w:val="-10"/>
                <w:sz w:val="20"/>
              </w:rPr>
              <w:t>2</w:t>
            </w:r>
          </w:p>
        </w:tc>
        <w:tc>
          <w:tcPr>
            <w:tcW w:w="1956" w:type="dxa"/>
            <w:tcBorders>
              <w:top w:val="single" w:sz="4" w:space="0" w:color="000000"/>
            </w:tcBorders>
          </w:tcPr>
          <w:p>
            <w:pPr>
              <w:pStyle w:val="TableParagraph"/>
              <w:spacing w:before="19"/>
              <w:ind w:right="1112"/>
              <w:rPr>
                <w:sz w:val="20"/>
              </w:rPr>
            </w:pPr>
            <w:r>
              <w:rPr>
                <w:w w:val="100"/>
                <w:sz w:val="20"/>
              </w:rPr>
              <w:t>1</w:t>
            </w:r>
          </w:p>
        </w:tc>
      </w:tr>
      <w:tr>
        <w:trPr>
          <w:trHeight w:val="267" w:hRule="atLeast"/>
        </w:trPr>
        <w:tc>
          <w:tcPr>
            <w:tcW w:w="6378" w:type="dxa"/>
            <w:tcBorders>
              <w:bottom w:val="single" w:sz="4" w:space="0" w:color="000000"/>
            </w:tcBorders>
          </w:tcPr>
          <w:p>
            <w:pPr>
              <w:pStyle w:val="TableParagraph"/>
              <w:spacing w:line="229" w:lineRule="exact" w:before="18"/>
              <w:ind w:left="1162"/>
              <w:jc w:val="left"/>
              <w:rPr>
                <w:sz w:val="20"/>
              </w:rPr>
            </w:pPr>
            <w:r>
              <w:rPr>
                <w:sz w:val="20"/>
              </w:rPr>
              <w:t>Assistant</w:t>
            </w:r>
            <w:r>
              <w:rPr>
                <w:spacing w:val="-6"/>
                <w:sz w:val="20"/>
              </w:rPr>
              <w:t> </w:t>
            </w:r>
            <w:r>
              <w:rPr>
                <w:spacing w:val="-2"/>
                <w:sz w:val="20"/>
              </w:rPr>
              <w:t>Analyst</w:t>
            </w:r>
          </w:p>
        </w:tc>
        <w:tc>
          <w:tcPr>
            <w:tcW w:w="1366" w:type="dxa"/>
            <w:tcBorders>
              <w:bottom w:val="single" w:sz="4" w:space="0" w:color="000000"/>
            </w:tcBorders>
          </w:tcPr>
          <w:p>
            <w:pPr>
              <w:pStyle w:val="TableParagraph"/>
              <w:spacing w:line="229" w:lineRule="exact" w:before="18"/>
              <w:ind w:left="580"/>
              <w:jc w:val="left"/>
              <w:rPr>
                <w:sz w:val="20"/>
              </w:rPr>
            </w:pPr>
            <w:r>
              <w:rPr>
                <w:spacing w:val="-2"/>
                <w:sz w:val="20"/>
              </w:rPr>
              <w:t>P-</w:t>
            </w:r>
            <w:r>
              <w:rPr>
                <w:spacing w:val="-10"/>
                <w:sz w:val="20"/>
              </w:rPr>
              <w:t>1</w:t>
            </w:r>
          </w:p>
        </w:tc>
        <w:tc>
          <w:tcPr>
            <w:tcW w:w="1956" w:type="dxa"/>
            <w:tcBorders>
              <w:bottom w:val="single" w:sz="4" w:space="0" w:color="000000"/>
            </w:tcBorders>
          </w:tcPr>
          <w:p>
            <w:pPr>
              <w:pStyle w:val="TableParagraph"/>
              <w:spacing w:line="229" w:lineRule="exact" w:before="18"/>
              <w:ind w:right="1112"/>
              <w:rPr>
                <w:sz w:val="20"/>
              </w:rPr>
            </w:pPr>
            <w:r>
              <w:rPr>
                <w:w w:val="100"/>
                <w:sz w:val="20"/>
              </w:rPr>
              <w:t>1</w:t>
            </w:r>
          </w:p>
        </w:tc>
      </w:tr>
      <w:tr>
        <w:trPr>
          <w:trHeight w:val="268" w:hRule="atLeast"/>
        </w:trPr>
        <w:tc>
          <w:tcPr>
            <w:tcW w:w="6378" w:type="dxa"/>
            <w:tcBorders>
              <w:top w:val="single" w:sz="4" w:space="0" w:color="000000"/>
              <w:bottom w:val="single" w:sz="4" w:space="0" w:color="000000"/>
            </w:tcBorders>
          </w:tcPr>
          <w:p>
            <w:pPr>
              <w:pStyle w:val="TableParagraph"/>
              <w:spacing w:line="229" w:lineRule="exact" w:before="19"/>
              <w:ind w:left="1613"/>
              <w:jc w:val="left"/>
              <w:rPr>
                <w:i/>
                <w:sz w:val="20"/>
              </w:rPr>
            </w:pPr>
            <w:r>
              <w:rPr>
                <w:i/>
                <w:sz w:val="20"/>
              </w:rPr>
              <w:t>Field</w:t>
            </w:r>
            <w:r>
              <w:rPr>
                <w:i/>
                <w:spacing w:val="-8"/>
                <w:sz w:val="20"/>
              </w:rPr>
              <w:t> </w:t>
            </w:r>
            <w:r>
              <w:rPr>
                <w:i/>
                <w:sz w:val="20"/>
              </w:rPr>
              <w:t>Witness</w:t>
            </w:r>
            <w:r>
              <w:rPr>
                <w:i/>
                <w:spacing w:val="-4"/>
                <w:sz w:val="20"/>
              </w:rPr>
              <w:t> </w:t>
            </w:r>
            <w:r>
              <w:rPr>
                <w:i/>
                <w:spacing w:val="-2"/>
                <w:sz w:val="20"/>
              </w:rPr>
              <w:t>Management</w:t>
            </w:r>
          </w:p>
        </w:tc>
        <w:tc>
          <w:tcPr>
            <w:tcW w:w="1366" w:type="dxa"/>
            <w:tcBorders>
              <w:top w:val="single" w:sz="4" w:space="0" w:color="000000"/>
              <w:bottom w:val="single" w:sz="4" w:space="0" w:color="000000"/>
            </w:tcBorders>
          </w:tcPr>
          <w:p>
            <w:pPr>
              <w:pStyle w:val="TableParagraph"/>
              <w:jc w:val="left"/>
              <w:rPr>
                <w:sz w:val="18"/>
              </w:rPr>
            </w:pPr>
          </w:p>
        </w:tc>
        <w:tc>
          <w:tcPr>
            <w:tcW w:w="1956" w:type="dxa"/>
            <w:tcBorders>
              <w:top w:val="single" w:sz="4" w:space="0" w:color="000000"/>
              <w:bottom w:val="single" w:sz="4" w:space="0" w:color="000000"/>
            </w:tcBorders>
          </w:tcPr>
          <w:p>
            <w:pPr>
              <w:pStyle w:val="TableParagraph"/>
              <w:jc w:val="left"/>
              <w:rPr>
                <w:sz w:val="18"/>
              </w:rPr>
            </w:pPr>
          </w:p>
        </w:tc>
      </w:tr>
      <w:tr>
        <w:trPr>
          <w:trHeight w:val="274" w:hRule="atLeast"/>
        </w:trPr>
        <w:tc>
          <w:tcPr>
            <w:tcW w:w="6378" w:type="dxa"/>
            <w:tcBorders>
              <w:top w:val="single" w:sz="4" w:space="0" w:color="000000"/>
            </w:tcBorders>
          </w:tcPr>
          <w:p>
            <w:pPr>
              <w:pStyle w:val="TableParagraph"/>
              <w:spacing w:before="19"/>
              <w:ind w:left="1162"/>
              <w:jc w:val="left"/>
              <w:rPr>
                <w:sz w:val="20"/>
              </w:rPr>
            </w:pPr>
            <w:r>
              <w:rPr>
                <w:sz w:val="20"/>
              </w:rPr>
              <w:t>Operations</w:t>
            </w:r>
            <w:r>
              <w:rPr>
                <w:spacing w:val="-7"/>
                <w:sz w:val="20"/>
              </w:rPr>
              <w:t> </w:t>
            </w:r>
            <w:r>
              <w:rPr>
                <w:spacing w:val="-2"/>
                <w:sz w:val="20"/>
              </w:rPr>
              <w:t>Officer</w:t>
            </w:r>
          </w:p>
        </w:tc>
        <w:tc>
          <w:tcPr>
            <w:tcW w:w="1366" w:type="dxa"/>
            <w:tcBorders>
              <w:top w:val="single" w:sz="4" w:space="0" w:color="000000"/>
            </w:tcBorders>
          </w:tcPr>
          <w:p>
            <w:pPr>
              <w:pStyle w:val="TableParagraph"/>
              <w:spacing w:before="19"/>
              <w:ind w:left="580"/>
              <w:jc w:val="left"/>
              <w:rPr>
                <w:sz w:val="20"/>
              </w:rPr>
            </w:pPr>
            <w:r>
              <w:rPr>
                <w:spacing w:val="-2"/>
                <w:sz w:val="20"/>
              </w:rPr>
              <w:t>P-</w:t>
            </w:r>
            <w:r>
              <w:rPr>
                <w:spacing w:val="-10"/>
                <w:sz w:val="20"/>
              </w:rPr>
              <w:t>3</w:t>
            </w:r>
          </w:p>
        </w:tc>
        <w:tc>
          <w:tcPr>
            <w:tcW w:w="1956" w:type="dxa"/>
            <w:tcBorders>
              <w:top w:val="single" w:sz="4" w:space="0" w:color="000000"/>
            </w:tcBorders>
          </w:tcPr>
          <w:p>
            <w:pPr>
              <w:pStyle w:val="TableParagraph"/>
              <w:spacing w:before="19"/>
              <w:ind w:right="1112"/>
              <w:rPr>
                <w:sz w:val="20"/>
              </w:rPr>
            </w:pPr>
            <w:r>
              <w:rPr>
                <w:w w:val="100"/>
                <w:sz w:val="20"/>
              </w:rPr>
              <w:t>1</w:t>
            </w:r>
          </w:p>
        </w:tc>
      </w:tr>
      <w:tr>
        <w:trPr>
          <w:trHeight w:val="271" w:hRule="atLeast"/>
        </w:trPr>
        <w:tc>
          <w:tcPr>
            <w:tcW w:w="6378" w:type="dxa"/>
          </w:tcPr>
          <w:p>
            <w:pPr>
              <w:pStyle w:val="TableParagraph"/>
              <w:spacing w:before="18"/>
              <w:ind w:left="1162"/>
              <w:jc w:val="left"/>
              <w:rPr>
                <w:sz w:val="20"/>
              </w:rPr>
            </w:pPr>
            <w:r>
              <w:rPr>
                <w:sz w:val="20"/>
              </w:rPr>
              <w:t>Protection</w:t>
            </w:r>
            <w:r>
              <w:rPr>
                <w:spacing w:val="-8"/>
                <w:sz w:val="20"/>
              </w:rPr>
              <w:t> </w:t>
            </w:r>
            <w:r>
              <w:rPr>
                <w:sz w:val="20"/>
              </w:rPr>
              <w:t>Strategies</w:t>
            </w:r>
            <w:r>
              <w:rPr>
                <w:spacing w:val="-12"/>
                <w:sz w:val="20"/>
              </w:rPr>
              <w:t> </w:t>
            </w:r>
            <w:r>
              <w:rPr>
                <w:sz w:val="20"/>
              </w:rPr>
              <w:t>Assistant</w:t>
            </w:r>
            <w:r>
              <w:rPr>
                <w:spacing w:val="-10"/>
                <w:sz w:val="20"/>
              </w:rPr>
              <w:t> </w:t>
            </w:r>
            <w:r>
              <w:rPr>
                <w:spacing w:val="-2"/>
                <w:sz w:val="20"/>
              </w:rPr>
              <w:t>(UKR)</w:t>
            </w:r>
          </w:p>
        </w:tc>
        <w:tc>
          <w:tcPr>
            <w:tcW w:w="1366" w:type="dxa"/>
          </w:tcPr>
          <w:p>
            <w:pPr>
              <w:pStyle w:val="TableParagraph"/>
              <w:spacing w:before="18"/>
              <w:ind w:left="580"/>
              <w:jc w:val="left"/>
              <w:rPr>
                <w:sz w:val="20"/>
              </w:rPr>
            </w:pPr>
            <w:r>
              <w:rPr>
                <w:spacing w:val="-2"/>
                <w:sz w:val="20"/>
              </w:rPr>
              <w:t>GS-</w:t>
            </w:r>
            <w:r>
              <w:rPr>
                <w:spacing w:val="-7"/>
                <w:sz w:val="20"/>
              </w:rPr>
              <w:t>OL</w:t>
            </w:r>
          </w:p>
        </w:tc>
        <w:tc>
          <w:tcPr>
            <w:tcW w:w="1956" w:type="dxa"/>
          </w:tcPr>
          <w:p>
            <w:pPr>
              <w:pStyle w:val="TableParagraph"/>
              <w:spacing w:before="18"/>
              <w:ind w:right="1112"/>
              <w:rPr>
                <w:sz w:val="20"/>
              </w:rPr>
            </w:pPr>
            <w:r>
              <w:rPr>
                <w:w w:val="100"/>
                <w:sz w:val="20"/>
              </w:rPr>
              <w:t>1</w:t>
            </w:r>
          </w:p>
        </w:tc>
      </w:tr>
      <w:tr>
        <w:trPr>
          <w:trHeight w:val="264" w:hRule="atLeast"/>
        </w:trPr>
        <w:tc>
          <w:tcPr>
            <w:tcW w:w="6378" w:type="dxa"/>
            <w:tcBorders>
              <w:bottom w:val="single" w:sz="4" w:space="0" w:color="000000"/>
            </w:tcBorders>
          </w:tcPr>
          <w:p>
            <w:pPr>
              <w:pStyle w:val="TableParagraph"/>
              <w:spacing w:line="229" w:lineRule="exact" w:before="15"/>
              <w:ind w:left="1162"/>
              <w:jc w:val="left"/>
              <w:rPr>
                <w:sz w:val="20"/>
              </w:rPr>
            </w:pPr>
            <w:r>
              <w:rPr>
                <w:sz w:val="20"/>
              </w:rPr>
              <w:t>Protection</w:t>
            </w:r>
            <w:r>
              <w:rPr>
                <w:spacing w:val="-8"/>
                <w:sz w:val="20"/>
              </w:rPr>
              <w:t> </w:t>
            </w:r>
            <w:r>
              <w:rPr>
                <w:sz w:val="20"/>
              </w:rPr>
              <w:t>Strategies</w:t>
            </w:r>
            <w:r>
              <w:rPr>
                <w:spacing w:val="-12"/>
                <w:sz w:val="20"/>
              </w:rPr>
              <w:t> </w:t>
            </w:r>
            <w:r>
              <w:rPr>
                <w:sz w:val="20"/>
              </w:rPr>
              <w:t>Assistant</w:t>
            </w:r>
            <w:r>
              <w:rPr>
                <w:spacing w:val="-10"/>
                <w:sz w:val="20"/>
              </w:rPr>
              <w:t> </w:t>
            </w:r>
            <w:r>
              <w:rPr>
                <w:spacing w:val="-2"/>
                <w:sz w:val="20"/>
              </w:rPr>
              <w:t>(SUD)</w:t>
            </w:r>
          </w:p>
        </w:tc>
        <w:tc>
          <w:tcPr>
            <w:tcW w:w="1366" w:type="dxa"/>
            <w:tcBorders>
              <w:bottom w:val="single" w:sz="4" w:space="0" w:color="000000"/>
            </w:tcBorders>
          </w:tcPr>
          <w:p>
            <w:pPr>
              <w:pStyle w:val="TableParagraph"/>
              <w:spacing w:line="229" w:lineRule="exact" w:before="15"/>
              <w:ind w:left="580"/>
              <w:jc w:val="left"/>
              <w:rPr>
                <w:sz w:val="20"/>
              </w:rPr>
            </w:pPr>
            <w:r>
              <w:rPr>
                <w:spacing w:val="-2"/>
                <w:sz w:val="20"/>
              </w:rPr>
              <w:t>GS-</w:t>
            </w:r>
            <w:r>
              <w:rPr>
                <w:spacing w:val="-7"/>
                <w:sz w:val="20"/>
              </w:rPr>
              <w:t>OL</w:t>
            </w:r>
          </w:p>
        </w:tc>
        <w:tc>
          <w:tcPr>
            <w:tcW w:w="1956" w:type="dxa"/>
            <w:tcBorders>
              <w:bottom w:val="single" w:sz="4" w:space="0" w:color="000000"/>
            </w:tcBorders>
          </w:tcPr>
          <w:p>
            <w:pPr>
              <w:pStyle w:val="TableParagraph"/>
              <w:spacing w:line="229" w:lineRule="exact" w:before="15"/>
              <w:ind w:right="1112"/>
              <w:rPr>
                <w:sz w:val="20"/>
              </w:rPr>
            </w:pPr>
            <w:r>
              <w:rPr>
                <w:w w:val="100"/>
                <w:sz w:val="20"/>
              </w:rPr>
              <w:t>1</w:t>
            </w:r>
          </w:p>
        </w:tc>
      </w:tr>
      <w:tr>
        <w:trPr>
          <w:trHeight w:val="268" w:hRule="atLeast"/>
        </w:trPr>
        <w:tc>
          <w:tcPr>
            <w:tcW w:w="6378" w:type="dxa"/>
            <w:tcBorders>
              <w:top w:val="single" w:sz="4" w:space="0" w:color="000000"/>
              <w:bottom w:val="single" w:sz="4" w:space="0" w:color="000000"/>
            </w:tcBorders>
          </w:tcPr>
          <w:p>
            <w:pPr>
              <w:pStyle w:val="TableParagraph"/>
              <w:jc w:val="left"/>
              <w:rPr>
                <w:sz w:val="18"/>
              </w:rPr>
            </w:pPr>
          </w:p>
        </w:tc>
        <w:tc>
          <w:tcPr>
            <w:tcW w:w="1366" w:type="dxa"/>
            <w:tcBorders>
              <w:top w:val="single" w:sz="4" w:space="0" w:color="000000"/>
              <w:bottom w:val="single" w:sz="4" w:space="0" w:color="000000"/>
            </w:tcBorders>
          </w:tcPr>
          <w:p>
            <w:pPr>
              <w:pStyle w:val="TableParagraph"/>
              <w:jc w:val="left"/>
              <w:rPr>
                <w:sz w:val="18"/>
              </w:rPr>
            </w:pPr>
          </w:p>
        </w:tc>
        <w:tc>
          <w:tcPr>
            <w:tcW w:w="1956" w:type="dxa"/>
            <w:tcBorders>
              <w:top w:val="single" w:sz="4" w:space="0" w:color="000000"/>
              <w:bottom w:val="single" w:sz="4" w:space="0" w:color="000000"/>
            </w:tcBorders>
          </w:tcPr>
          <w:p>
            <w:pPr>
              <w:pStyle w:val="TableParagraph"/>
              <w:spacing w:line="229" w:lineRule="exact" w:before="19"/>
              <w:ind w:right="1112"/>
              <w:rPr>
                <w:b/>
                <w:sz w:val="20"/>
              </w:rPr>
            </w:pPr>
            <w:r>
              <w:rPr>
                <w:b/>
                <w:spacing w:val="-5"/>
                <w:sz w:val="20"/>
              </w:rPr>
              <w:t>17</w:t>
            </w:r>
          </w:p>
        </w:tc>
      </w:tr>
      <w:tr>
        <w:trPr>
          <w:trHeight w:val="273" w:hRule="atLeast"/>
        </w:trPr>
        <w:tc>
          <w:tcPr>
            <w:tcW w:w="6378" w:type="dxa"/>
            <w:tcBorders>
              <w:top w:val="single" w:sz="4" w:space="0" w:color="000000"/>
              <w:bottom w:val="single" w:sz="4" w:space="0" w:color="000000"/>
            </w:tcBorders>
          </w:tcPr>
          <w:p>
            <w:pPr>
              <w:pStyle w:val="TableParagraph"/>
              <w:spacing w:line="229" w:lineRule="exact" w:before="24"/>
              <w:ind w:left="1315"/>
              <w:jc w:val="left"/>
              <w:rPr>
                <w:i/>
                <w:sz w:val="20"/>
              </w:rPr>
            </w:pPr>
            <w:r>
              <w:rPr>
                <w:i/>
                <w:sz w:val="20"/>
              </w:rPr>
              <w:t>Field</w:t>
            </w:r>
            <w:r>
              <w:rPr>
                <w:i/>
                <w:spacing w:val="-9"/>
                <w:sz w:val="20"/>
              </w:rPr>
              <w:t> </w:t>
            </w:r>
            <w:r>
              <w:rPr>
                <w:i/>
                <w:sz w:val="20"/>
              </w:rPr>
              <w:t>Operations</w:t>
            </w:r>
            <w:r>
              <w:rPr>
                <w:i/>
                <w:spacing w:val="-11"/>
                <w:sz w:val="20"/>
              </w:rPr>
              <w:t> </w:t>
            </w:r>
            <w:r>
              <w:rPr>
                <w:i/>
                <w:spacing w:val="-4"/>
                <w:sz w:val="20"/>
              </w:rPr>
              <w:t>Unit</w:t>
            </w:r>
          </w:p>
        </w:tc>
        <w:tc>
          <w:tcPr>
            <w:tcW w:w="1366" w:type="dxa"/>
            <w:tcBorders>
              <w:top w:val="single" w:sz="4" w:space="0" w:color="000000"/>
              <w:bottom w:val="single" w:sz="4" w:space="0" w:color="000000"/>
            </w:tcBorders>
          </w:tcPr>
          <w:p>
            <w:pPr>
              <w:pStyle w:val="TableParagraph"/>
              <w:jc w:val="left"/>
              <w:rPr>
                <w:sz w:val="18"/>
              </w:rPr>
            </w:pPr>
          </w:p>
        </w:tc>
        <w:tc>
          <w:tcPr>
            <w:tcW w:w="1956" w:type="dxa"/>
            <w:tcBorders>
              <w:top w:val="single" w:sz="4" w:space="0" w:color="000000"/>
              <w:bottom w:val="single" w:sz="4" w:space="0" w:color="000000"/>
            </w:tcBorders>
          </w:tcPr>
          <w:p>
            <w:pPr>
              <w:pStyle w:val="TableParagraph"/>
              <w:jc w:val="left"/>
              <w:rPr>
                <w:sz w:val="18"/>
              </w:rPr>
            </w:pPr>
          </w:p>
        </w:tc>
      </w:tr>
      <w:tr>
        <w:trPr>
          <w:trHeight w:val="272" w:hRule="atLeast"/>
        </w:trPr>
        <w:tc>
          <w:tcPr>
            <w:tcW w:w="6378" w:type="dxa"/>
            <w:tcBorders>
              <w:top w:val="single" w:sz="4" w:space="0" w:color="000000"/>
            </w:tcBorders>
          </w:tcPr>
          <w:p>
            <w:pPr>
              <w:pStyle w:val="TableParagraph"/>
              <w:spacing w:before="19"/>
              <w:ind w:left="1162"/>
              <w:jc w:val="left"/>
              <w:rPr>
                <w:sz w:val="20"/>
              </w:rPr>
            </w:pPr>
            <w:r>
              <w:rPr>
                <w:sz w:val="20"/>
              </w:rPr>
              <w:t>Head,</w:t>
            </w:r>
            <w:r>
              <w:rPr>
                <w:spacing w:val="-4"/>
                <w:sz w:val="20"/>
              </w:rPr>
              <w:t> </w:t>
            </w:r>
            <w:r>
              <w:rPr>
                <w:sz w:val="20"/>
              </w:rPr>
              <w:t>Operational</w:t>
            </w:r>
            <w:r>
              <w:rPr>
                <w:spacing w:val="-3"/>
                <w:sz w:val="20"/>
              </w:rPr>
              <w:t> </w:t>
            </w:r>
            <w:r>
              <w:rPr>
                <w:sz w:val="20"/>
              </w:rPr>
              <w:t>Risk</w:t>
            </w:r>
            <w:r>
              <w:rPr>
                <w:spacing w:val="-9"/>
                <w:sz w:val="20"/>
              </w:rPr>
              <w:t> </w:t>
            </w:r>
            <w:r>
              <w:rPr>
                <w:sz w:val="20"/>
              </w:rPr>
              <w:t>and</w:t>
            </w:r>
            <w:r>
              <w:rPr>
                <w:spacing w:val="-9"/>
                <w:sz w:val="20"/>
              </w:rPr>
              <w:t> </w:t>
            </w:r>
            <w:r>
              <w:rPr>
                <w:sz w:val="20"/>
              </w:rPr>
              <w:t>Support</w:t>
            </w:r>
            <w:r>
              <w:rPr>
                <w:spacing w:val="-3"/>
                <w:sz w:val="20"/>
              </w:rPr>
              <w:t> </w:t>
            </w:r>
            <w:r>
              <w:rPr>
                <w:spacing w:val="-4"/>
                <w:sz w:val="20"/>
              </w:rPr>
              <w:t>Unit</w:t>
            </w:r>
          </w:p>
        </w:tc>
        <w:tc>
          <w:tcPr>
            <w:tcW w:w="1366" w:type="dxa"/>
            <w:tcBorders>
              <w:top w:val="single" w:sz="4" w:space="0" w:color="000000"/>
            </w:tcBorders>
          </w:tcPr>
          <w:p>
            <w:pPr>
              <w:pStyle w:val="TableParagraph"/>
              <w:spacing w:before="19"/>
              <w:ind w:left="580"/>
              <w:jc w:val="left"/>
              <w:rPr>
                <w:sz w:val="20"/>
              </w:rPr>
            </w:pPr>
            <w:r>
              <w:rPr>
                <w:spacing w:val="-2"/>
                <w:sz w:val="20"/>
              </w:rPr>
              <w:t>P-</w:t>
            </w:r>
            <w:r>
              <w:rPr>
                <w:spacing w:val="-10"/>
                <w:sz w:val="20"/>
              </w:rPr>
              <w:t>4</w:t>
            </w:r>
          </w:p>
        </w:tc>
        <w:tc>
          <w:tcPr>
            <w:tcW w:w="1956" w:type="dxa"/>
            <w:tcBorders>
              <w:top w:val="single" w:sz="4" w:space="0" w:color="000000"/>
            </w:tcBorders>
          </w:tcPr>
          <w:p>
            <w:pPr>
              <w:pStyle w:val="TableParagraph"/>
              <w:spacing w:before="19"/>
              <w:ind w:right="1112"/>
              <w:rPr>
                <w:sz w:val="20"/>
              </w:rPr>
            </w:pPr>
            <w:r>
              <w:rPr>
                <w:w w:val="100"/>
                <w:sz w:val="20"/>
              </w:rPr>
              <w:t>1</w:t>
            </w:r>
          </w:p>
        </w:tc>
      </w:tr>
      <w:tr>
        <w:trPr>
          <w:trHeight w:val="264" w:hRule="atLeast"/>
        </w:trPr>
        <w:tc>
          <w:tcPr>
            <w:tcW w:w="6378" w:type="dxa"/>
            <w:tcBorders>
              <w:bottom w:val="single" w:sz="4" w:space="0" w:color="000000"/>
            </w:tcBorders>
          </w:tcPr>
          <w:p>
            <w:pPr>
              <w:pStyle w:val="TableParagraph"/>
              <w:spacing w:line="229" w:lineRule="exact" w:before="15"/>
              <w:ind w:left="1162"/>
              <w:jc w:val="left"/>
              <w:rPr>
                <w:sz w:val="20"/>
              </w:rPr>
            </w:pPr>
            <w:r>
              <w:rPr>
                <w:sz w:val="20"/>
              </w:rPr>
              <w:t>Witness</w:t>
            </w:r>
            <w:r>
              <w:rPr>
                <w:spacing w:val="-9"/>
                <w:sz w:val="20"/>
              </w:rPr>
              <w:t> </w:t>
            </w:r>
            <w:r>
              <w:rPr>
                <w:sz w:val="20"/>
              </w:rPr>
              <w:t>Management</w:t>
            </w:r>
            <w:r>
              <w:rPr>
                <w:spacing w:val="-6"/>
                <w:sz w:val="20"/>
              </w:rPr>
              <w:t> </w:t>
            </w:r>
            <w:r>
              <w:rPr>
                <w:sz w:val="20"/>
              </w:rPr>
              <w:t>Assistant</w:t>
            </w:r>
            <w:r>
              <w:rPr>
                <w:spacing w:val="-10"/>
                <w:sz w:val="20"/>
              </w:rPr>
              <w:t> </w:t>
            </w:r>
            <w:r>
              <w:rPr>
                <w:sz w:val="20"/>
              </w:rPr>
              <w:t>/</w:t>
            </w:r>
            <w:r>
              <w:rPr>
                <w:spacing w:val="-6"/>
                <w:sz w:val="20"/>
              </w:rPr>
              <w:t> </w:t>
            </w:r>
            <w:r>
              <w:rPr>
                <w:sz w:val="20"/>
              </w:rPr>
              <w:t>Operations</w:t>
            </w:r>
            <w:r>
              <w:rPr>
                <w:spacing w:val="-8"/>
                <w:sz w:val="20"/>
              </w:rPr>
              <w:t> </w:t>
            </w:r>
            <w:r>
              <w:rPr>
                <w:spacing w:val="-2"/>
                <w:sz w:val="20"/>
              </w:rPr>
              <w:t>Assistant</w:t>
            </w:r>
          </w:p>
        </w:tc>
        <w:tc>
          <w:tcPr>
            <w:tcW w:w="1366" w:type="dxa"/>
            <w:tcBorders>
              <w:bottom w:val="single" w:sz="4" w:space="0" w:color="000000"/>
            </w:tcBorders>
          </w:tcPr>
          <w:p>
            <w:pPr>
              <w:pStyle w:val="TableParagraph"/>
              <w:spacing w:line="229" w:lineRule="exact" w:before="15"/>
              <w:ind w:left="580"/>
              <w:jc w:val="left"/>
              <w:rPr>
                <w:sz w:val="20"/>
              </w:rPr>
            </w:pPr>
            <w:r>
              <w:rPr>
                <w:spacing w:val="-2"/>
                <w:sz w:val="20"/>
              </w:rPr>
              <w:t>GS-</w:t>
            </w:r>
            <w:r>
              <w:rPr>
                <w:spacing w:val="-7"/>
                <w:sz w:val="20"/>
              </w:rPr>
              <w:t>OL</w:t>
            </w:r>
          </w:p>
        </w:tc>
        <w:tc>
          <w:tcPr>
            <w:tcW w:w="1956" w:type="dxa"/>
            <w:tcBorders>
              <w:bottom w:val="single" w:sz="4" w:space="0" w:color="000000"/>
            </w:tcBorders>
          </w:tcPr>
          <w:p>
            <w:pPr>
              <w:pStyle w:val="TableParagraph"/>
              <w:spacing w:line="229" w:lineRule="exact" w:before="15"/>
              <w:ind w:right="1112"/>
              <w:rPr>
                <w:sz w:val="20"/>
              </w:rPr>
            </w:pPr>
            <w:r>
              <w:rPr>
                <w:w w:val="100"/>
                <w:sz w:val="20"/>
              </w:rPr>
              <w:t>1</w:t>
            </w:r>
          </w:p>
        </w:tc>
      </w:tr>
      <w:tr>
        <w:trPr>
          <w:trHeight w:val="273" w:hRule="atLeast"/>
        </w:trPr>
        <w:tc>
          <w:tcPr>
            <w:tcW w:w="6378" w:type="dxa"/>
            <w:tcBorders>
              <w:top w:val="single" w:sz="4" w:space="0" w:color="000000"/>
              <w:bottom w:val="single" w:sz="4" w:space="0" w:color="000000"/>
            </w:tcBorders>
          </w:tcPr>
          <w:p>
            <w:pPr>
              <w:pStyle w:val="TableParagraph"/>
              <w:spacing w:before="19"/>
              <w:ind w:left="1613"/>
              <w:jc w:val="left"/>
              <w:rPr>
                <w:i/>
                <w:sz w:val="20"/>
              </w:rPr>
            </w:pPr>
            <w:r>
              <w:rPr>
                <w:i/>
                <w:sz w:val="20"/>
              </w:rPr>
              <w:t>Mission</w:t>
            </w:r>
            <w:r>
              <w:rPr>
                <w:i/>
                <w:spacing w:val="-8"/>
                <w:sz w:val="20"/>
              </w:rPr>
              <w:t> </w:t>
            </w:r>
            <w:r>
              <w:rPr>
                <w:i/>
                <w:sz w:val="20"/>
              </w:rPr>
              <w:t>Planning</w:t>
            </w:r>
            <w:r>
              <w:rPr>
                <w:i/>
                <w:spacing w:val="-8"/>
                <w:sz w:val="20"/>
              </w:rPr>
              <w:t> </w:t>
            </w:r>
            <w:r>
              <w:rPr>
                <w:i/>
                <w:sz w:val="20"/>
              </w:rPr>
              <w:t>Centre</w:t>
            </w:r>
            <w:r>
              <w:rPr>
                <w:i/>
                <w:spacing w:val="-5"/>
                <w:sz w:val="20"/>
              </w:rPr>
              <w:t> </w:t>
            </w:r>
            <w:r>
              <w:rPr>
                <w:i/>
                <w:spacing w:val="-4"/>
                <w:sz w:val="20"/>
              </w:rPr>
              <w:t>(MPC)</w:t>
            </w:r>
          </w:p>
        </w:tc>
        <w:tc>
          <w:tcPr>
            <w:tcW w:w="1366" w:type="dxa"/>
            <w:tcBorders>
              <w:top w:val="single" w:sz="4" w:space="0" w:color="000000"/>
              <w:bottom w:val="single" w:sz="4" w:space="0" w:color="000000"/>
            </w:tcBorders>
          </w:tcPr>
          <w:p>
            <w:pPr>
              <w:pStyle w:val="TableParagraph"/>
              <w:jc w:val="left"/>
              <w:rPr>
                <w:sz w:val="18"/>
              </w:rPr>
            </w:pPr>
          </w:p>
        </w:tc>
        <w:tc>
          <w:tcPr>
            <w:tcW w:w="1956" w:type="dxa"/>
            <w:tcBorders>
              <w:top w:val="single" w:sz="4" w:space="0" w:color="000000"/>
              <w:bottom w:val="single" w:sz="4" w:space="0" w:color="000000"/>
            </w:tcBorders>
          </w:tcPr>
          <w:p>
            <w:pPr>
              <w:pStyle w:val="TableParagraph"/>
              <w:jc w:val="left"/>
              <w:rPr>
                <w:sz w:val="18"/>
              </w:rPr>
            </w:pPr>
          </w:p>
        </w:tc>
      </w:tr>
      <w:tr>
        <w:trPr>
          <w:trHeight w:val="272" w:hRule="atLeast"/>
        </w:trPr>
        <w:tc>
          <w:tcPr>
            <w:tcW w:w="6378" w:type="dxa"/>
            <w:tcBorders>
              <w:top w:val="single" w:sz="4" w:space="0" w:color="000000"/>
            </w:tcBorders>
          </w:tcPr>
          <w:p>
            <w:pPr>
              <w:pStyle w:val="TableParagraph"/>
              <w:spacing w:before="19"/>
              <w:ind w:left="1162"/>
              <w:jc w:val="left"/>
              <w:rPr>
                <w:sz w:val="20"/>
              </w:rPr>
            </w:pPr>
            <w:r>
              <w:rPr>
                <w:sz w:val="20"/>
              </w:rPr>
              <w:t>Operations</w:t>
            </w:r>
            <w:r>
              <w:rPr>
                <w:spacing w:val="-10"/>
                <w:sz w:val="20"/>
              </w:rPr>
              <w:t> </w:t>
            </w:r>
            <w:r>
              <w:rPr>
                <w:sz w:val="20"/>
              </w:rPr>
              <w:t>Assistant</w:t>
            </w:r>
            <w:r>
              <w:rPr>
                <w:spacing w:val="-6"/>
                <w:sz w:val="20"/>
              </w:rPr>
              <w:t> </w:t>
            </w:r>
            <w:r>
              <w:rPr>
                <w:sz w:val="20"/>
              </w:rPr>
              <w:t>(MPC</w:t>
            </w:r>
            <w:r>
              <w:rPr>
                <w:spacing w:val="-8"/>
                <w:sz w:val="20"/>
              </w:rPr>
              <w:t> </w:t>
            </w:r>
            <w:r>
              <w:rPr>
                <w:spacing w:val="-2"/>
                <w:sz w:val="20"/>
              </w:rPr>
              <w:t>Coordinator)</w:t>
            </w:r>
          </w:p>
        </w:tc>
        <w:tc>
          <w:tcPr>
            <w:tcW w:w="1366" w:type="dxa"/>
            <w:tcBorders>
              <w:top w:val="single" w:sz="4" w:space="0" w:color="000000"/>
            </w:tcBorders>
          </w:tcPr>
          <w:p>
            <w:pPr>
              <w:pStyle w:val="TableParagraph"/>
              <w:spacing w:before="19"/>
              <w:ind w:left="580"/>
              <w:jc w:val="left"/>
              <w:rPr>
                <w:sz w:val="20"/>
              </w:rPr>
            </w:pPr>
            <w:r>
              <w:rPr>
                <w:spacing w:val="-2"/>
                <w:sz w:val="20"/>
              </w:rPr>
              <w:t>GS-</w:t>
            </w:r>
            <w:r>
              <w:rPr>
                <w:spacing w:val="-7"/>
                <w:sz w:val="20"/>
              </w:rPr>
              <w:t>OL</w:t>
            </w:r>
          </w:p>
        </w:tc>
        <w:tc>
          <w:tcPr>
            <w:tcW w:w="1956" w:type="dxa"/>
            <w:tcBorders>
              <w:top w:val="single" w:sz="4" w:space="0" w:color="000000"/>
            </w:tcBorders>
          </w:tcPr>
          <w:p>
            <w:pPr>
              <w:pStyle w:val="TableParagraph"/>
              <w:spacing w:before="19"/>
              <w:ind w:right="1112"/>
              <w:rPr>
                <w:sz w:val="20"/>
              </w:rPr>
            </w:pPr>
            <w:r>
              <w:rPr>
                <w:w w:val="100"/>
                <w:sz w:val="20"/>
              </w:rPr>
              <w:t>1</w:t>
            </w:r>
          </w:p>
        </w:tc>
      </w:tr>
      <w:tr>
        <w:trPr>
          <w:trHeight w:val="268" w:hRule="atLeast"/>
        </w:trPr>
        <w:tc>
          <w:tcPr>
            <w:tcW w:w="6378" w:type="dxa"/>
          </w:tcPr>
          <w:p>
            <w:pPr>
              <w:pStyle w:val="TableParagraph"/>
              <w:spacing w:before="15"/>
              <w:ind w:left="1162"/>
              <w:jc w:val="left"/>
              <w:rPr>
                <w:sz w:val="20"/>
              </w:rPr>
            </w:pPr>
            <w:r>
              <w:rPr>
                <w:sz w:val="20"/>
              </w:rPr>
              <w:t>Operations</w:t>
            </w:r>
            <w:r>
              <w:rPr>
                <w:spacing w:val="-7"/>
                <w:sz w:val="20"/>
              </w:rPr>
              <w:t> </w:t>
            </w:r>
            <w:r>
              <w:rPr>
                <w:spacing w:val="-2"/>
                <w:sz w:val="20"/>
              </w:rPr>
              <w:t>Assistant</w:t>
            </w:r>
          </w:p>
        </w:tc>
        <w:tc>
          <w:tcPr>
            <w:tcW w:w="1366" w:type="dxa"/>
          </w:tcPr>
          <w:p>
            <w:pPr>
              <w:pStyle w:val="TableParagraph"/>
              <w:spacing w:before="15"/>
              <w:ind w:left="580"/>
              <w:jc w:val="left"/>
              <w:rPr>
                <w:sz w:val="20"/>
              </w:rPr>
            </w:pPr>
            <w:r>
              <w:rPr>
                <w:spacing w:val="-2"/>
                <w:sz w:val="20"/>
              </w:rPr>
              <w:t>GS-</w:t>
            </w:r>
            <w:r>
              <w:rPr>
                <w:spacing w:val="-7"/>
                <w:sz w:val="20"/>
              </w:rPr>
              <w:t>OL</w:t>
            </w:r>
          </w:p>
        </w:tc>
        <w:tc>
          <w:tcPr>
            <w:tcW w:w="1956" w:type="dxa"/>
          </w:tcPr>
          <w:p>
            <w:pPr>
              <w:pStyle w:val="TableParagraph"/>
              <w:spacing w:before="15"/>
              <w:ind w:right="1112"/>
              <w:rPr>
                <w:sz w:val="20"/>
              </w:rPr>
            </w:pPr>
            <w:r>
              <w:rPr>
                <w:w w:val="100"/>
                <w:sz w:val="20"/>
              </w:rPr>
              <w:t>1</w:t>
            </w:r>
          </w:p>
        </w:tc>
      </w:tr>
      <w:tr>
        <w:trPr>
          <w:trHeight w:val="264" w:hRule="atLeast"/>
        </w:trPr>
        <w:tc>
          <w:tcPr>
            <w:tcW w:w="6378" w:type="dxa"/>
            <w:tcBorders>
              <w:bottom w:val="single" w:sz="4" w:space="0" w:color="000000"/>
            </w:tcBorders>
          </w:tcPr>
          <w:p>
            <w:pPr>
              <w:pStyle w:val="TableParagraph"/>
              <w:spacing w:line="229" w:lineRule="exact" w:before="15"/>
              <w:ind w:left="1162"/>
              <w:jc w:val="left"/>
              <w:rPr>
                <w:sz w:val="20"/>
              </w:rPr>
            </w:pPr>
            <w:r>
              <w:rPr>
                <w:spacing w:val="-2"/>
                <w:sz w:val="20"/>
              </w:rPr>
              <w:t>Administrative</w:t>
            </w:r>
            <w:r>
              <w:rPr>
                <w:spacing w:val="15"/>
                <w:sz w:val="20"/>
              </w:rPr>
              <w:t> </w:t>
            </w:r>
            <w:r>
              <w:rPr>
                <w:spacing w:val="-2"/>
                <w:sz w:val="20"/>
              </w:rPr>
              <w:t>Assistant</w:t>
            </w:r>
          </w:p>
        </w:tc>
        <w:tc>
          <w:tcPr>
            <w:tcW w:w="1366" w:type="dxa"/>
            <w:tcBorders>
              <w:bottom w:val="single" w:sz="4" w:space="0" w:color="000000"/>
            </w:tcBorders>
          </w:tcPr>
          <w:p>
            <w:pPr>
              <w:pStyle w:val="TableParagraph"/>
              <w:spacing w:line="229" w:lineRule="exact" w:before="15"/>
              <w:ind w:left="580"/>
              <w:jc w:val="left"/>
              <w:rPr>
                <w:sz w:val="20"/>
              </w:rPr>
            </w:pPr>
            <w:r>
              <w:rPr>
                <w:spacing w:val="-2"/>
                <w:sz w:val="20"/>
              </w:rPr>
              <w:t>GS-</w:t>
            </w:r>
            <w:r>
              <w:rPr>
                <w:spacing w:val="-7"/>
                <w:sz w:val="20"/>
              </w:rPr>
              <w:t>OL</w:t>
            </w:r>
          </w:p>
        </w:tc>
        <w:tc>
          <w:tcPr>
            <w:tcW w:w="1956" w:type="dxa"/>
            <w:tcBorders>
              <w:bottom w:val="single" w:sz="4" w:space="0" w:color="000000"/>
            </w:tcBorders>
          </w:tcPr>
          <w:p>
            <w:pPr>
              <w:pStyle w:val="TableParagraph"/>
              <w:spacing w:line="229" w:lineRule="exact" w:before="15"/>
              <w:ind w:right="1112"/>
              <w:rPr>
                <w:sz w:val="20"/>
              </w:rPr>
            </w:pPr>
            <w:r>
              <w:rPr>
                <w:w w:val="100"/>
                <w:sz w:val="20"/>
              </w:rPr>
              <w:t>3</w:t>
            </w:r>
          </w:p>
        </w:tc>
      </w:tr>
      <w:tr>
        <w:trPr>
          <w:trHeight w:val="273" w:hRule="atLeast"/>
        </w:trPr>
        <w:tc>
          <w:tcPr>
            <w:tcW w:w="6378" w:type="dxa"/>
            <w:tcBorders>
              <w:top w:val="single" w:sz="4" w:space="0" w:color="000000"/>
              <w:bottom w:val="single" w:sz="4" w:space="0" w:color="000000"/>
            </w:tcBorders>
          </w:tcPr>
          <w:p>
            <w:pPr>
              <w:pStyle w:val="TableParagraph"/>
              <w:spacing w:line="229" w:lineRule="exact" w:before="24"/>
              <w:ind w:left="1618"/>
              <w:jc w:val="left"/>
              <w:rPr>
                <w:i/>
                <w:sz w:val="20"/>
              </w:rPr>
            </w:pPr>
            <w:r>
              <w:rPr>
                <w:i/>
                <w:sz w:val="20"/>
              </w:rPr>
              <w:t>CAR</w:t>
            </w:r>
            <w:r>
              <w:rPr>
                <w:i/>
                <w:spacing w:val="-7"/>
                <w:sz w:val="20"/>
              </w:rPr>
              <w:t> </w:t>
            </w:r>
            <w:r>
              <w:rPr>
                <w:i/>
                <w:sz w:val="20"/>
              </w:rPr>
              <w:t>Field</w:t>
            </w:r>
            <w:r>
              <w:rPr>
                <w:i/>
                <w:spacing w:val="-7"/>
                <w:sz w:val="20"/>
              </w:rPr>
              <w:t> </w:t>
            </w:r>
            <w:r>
              <w:rPr>
                <w:i/>
                <w:spacing w:val="-4"/>
                <w:sz w:val="20"/>
              </w:rPr>
              <w:t>Team</w:t>
            </w:r>
          </w:p>
        </w:tc>
        <w:tc>
          <w:tcPr>
            <w:tcW w:w="1366" w:type="dxa"/>
            <w:tcBorders>
              <w:top w:val="single" w:sz="4" w:space="0" w:color="000000"/>
              <w:bottom w:val="single" w:sz="4" w:space="0" w:color="000000"/>
            </w:tcBorders>
          </w:tcPr>
          <w:p>
            <w:pPr>
              <w:pStyle w:val="TableParagraph"/>
              <w:jc w:val="left"/>
              <w:rPr>
                <w:sz w:val="18"/>
              </w:rPr>
            </w:pPr>
          </w:p>
        </w:tc>
        <w:tc>
          <w:tcPr>
            <w:tcW w:w="1956" w:type="dxa"/>
            <w:tcBorders>
              <w:top w:val="single" w:sz="4" w:space="0" w:color="000000"/>
              <w:bottom w:val="single" w:sz="4" w:space="0" w:color="000000"/>
            </w:tcBorders>
          </w:tcPr>
          <w:p>
            <w:pPr>
              <w:pStyle w:val="TableParagraph"/>
              <w:jc w:val="left"/>
              <w:rPr>
                <w:sz w:val="18"/>
              </w:rPr>
            </w:pPr>
          </w:p>
        </w:tc>
      </w:tr>
      <w:tr>
        <w:trPr>
          <w:trHeight w:val="272" w:hRule="atLeast"/>
        </w:trPr>
        <w:tc>
          <w:tcPr>
            <w:tcW w:w="6378" w:type="dxa"/>
            <w:tcBorders>
              <w:top w:val="single" w:sz="4" w:space="0" w:color="000000"/>
            </w:tcBorders>
          </w:tcPr>
          <w:p>
            <w:pPr>
              <w:pStyle w:val="TableParagraph"/>
              <w:spacing w:before="19"/>
              <w:ind w:left="1162"/>
              <w:jc w:val="left"/>
              <w:rPr>
                <w:sz w:val="20"/>
              </w:rPr>
            </w:pPr>
            <w:r>
              <w:rPr>
                <w:sz w:val="20"/>
              </w:rPr>
              <w:t>Operations</w:t>
            </w:r>
            <w:r>
              <w:rPr>
                <w:spacing w:val="-8"/>
                <w:sz w:val="20"/>
              </w:rPr>
              <w:t> </w:t>
            </w:r>
            <w:r>
              <w:rPr>
                <w:sz w:val="20"/>
              </w:rPr>
              <w:t>Risk</w:t>
            </w:r>
            <w:r>
              <w:rPr>
                <w:spacing w:val="-7"/>
                <w:sz w:val="20"/>
              </w:rPr>
              <w:t> </w:t>
            </w:r>
            <w:r>
              <w:rPr>
                <w:sz w:val="20"/>
              </w:rPr>
              <w:t>and</w:t>
            </w:r>
            <w:r>
              <w:rPr>
                <w:spacing w:val="-2"/>
                <w:sz w:val="20"/>
              </w:rPr>
              <w:t> </w:t>
            </w:r>
            <w:r>
              <w:rPr>
                <w:sz w:val="20"/>
              </w:rPr>
              <w:t>Field</w:t>
            </w:r>
            <w:r>
              <w:rPr>
                <w:spacing w:val="-1"/>
                <w:sz w:val="20"/>
              </w:rPr>
              <w:t> </w:t>
            </w:r>
            <w:r>
              <w:rPr>
                <w:spacing w:val="-2"/>
                <w:sz w:val="20"/>
              </w:rPr>
              <w:t>Officer</w:t>
            </w:r>
          </w:p>
        </w:tc>
        <w:tc>
          <w:tcPr>
            <w:tcW w:w="1366" w:type="dxa"/>
            <w:tcBorders>
              <w:top w:val="single" w:sz="4" w:space="0" w:color="000000"/>
            </w:tcBorders>
          </w:tcPr>
          <w:p>
            <w:pPr>
              <w:pStyle w:val="TableParagraph"/>
              <w:spacing w:before="19"/>
              <w:ind w:left="580"/>
              <w:jc w:val="left"/>
              <w:rPr>
                <w:sz w:val="20"/>
              </w:rPr>
            </w:pPr>
            <w:r>
              <w:rPr>
                <w:spacing w:val="-2"/>
                <w:sz w:val="20"/>
              </w:rPr>
              <w:t>P-</w:t>
            </w:r>
            <w:r>
              <w:rPr>
                <w:spacing w:val="-10"/>
                <w:sz w:val="20"/>
              </w:rPr>
              <w:t>3</w:t>
            </w:r>
          </w:p>
        </w:tc>
        <w:tc>
          <w:tcPr>
            <w:tcW w:w="1956" w:type="dxa"/>
            <w:tcBorders>
              <w:top w:val="single" w:sz="4" w:space="0" w:color="000000"/>
            </w:tcBorders>
          </w:tcPr>
          <w:p>
            <w:pPr>
              <w:pStyle w:val="TableParagraph"/>
              <w:spacing w:before="19"/>
              <w:ind w:right="1112"/>
              <w:rPr>
                <w:sz w:val="20"/>
              </w:rPr>
            </w:pPr>
            <w:r>
              <w:rPr>
                <w:w w:val="100"/>
                <w:sz w:val="20"/>
              </w:rPr>
              <w:t>1</w:t>
            </w:r>
          </w:p>
        </w:tc>
      </w:tr>
      <w:tr>
        <w:trPr>
          <w:trHeight w:val="264" w:hRule="atLeast"/>
        </w:trPr>
        <w:tc>
          <w:tcPr>
            <w:tcW w:w="6378" w:type="dxa"/>
            <w:tcBorders>
              <w:bottom w:val="single" w:sz="4" w:space="0" w:color="000000"/>
            </w:tcBorders>
          </w:tcPr>
          <w:p>
            <w:pPr>
              <w:pStyle w:val="TableParagraph"/>
              <w:spacing w:line="229" w:lineRule="exact" w:before="15"/>
              <w:ind w:left="1162"/>
              <w:jc w:val="left"/>
              <w:rPr>
                <w:sz w:val="20"/>
              </w:rPr>
            </w:pPr>
            <w:r>
              <w:rPr>
                <w:sz w:val="20"/>
              </w:rPr>
              <w:t>Field</w:t>
            </w:r>
            <w:r>
              <w:rPr>
                <w:spacing w:val="-7"/>
                <w:sz w:val="20"/>
              </w:rPr>
              <w:t> </w:t>
            </w:r>
            <w:r>
              <w:rPr>
                <w:sz w:val="20"/>
              </w:rPr>
              <w:t>Operations</w:t>
            </w:r>
            <w:r>
              <w:rPr>
                <w:spacing w:val="-7"/>
                <w:sz w:val="20"/>
              </w:rPr>
              <w:t> </w:t>
            </w:r>
            <w:r>
              <w:rPr>
                <w:spacing w:val="-2"/>
                <w:sz w:val="20"/>
              </w:rPr>
              <w:t>Coordinator</w:t>
            </w:r>
          </w:p>
        </w:tc>
        <w:tc>
          <w:tcPr>
            <w:tcW w:w="1366" w:type="dxa"/>
            <w:tcBorders>
              <w:bottom w:val="single" w:sz="4" w:space="0" w:color="000000"/>
            </w:tcBorders>
          </w:tcPr>
          <w:p>
            <w:pPr>
              <w:pStyle w:val="TableParagraph"/>
              <w:spacing w:line="229" w:lineRule="exact" w:before="15"/>
              <w:ind w:left="580"/>
              <w:jc w:val="left"/>
              <w:rPr>
                <w:sz w:val="20"/>
              </w:rPr>
            </w:pPr>
            <w:r>
              <w:rPr>
                <w:spacing w:val="-2"/>
                <w:sz w:val="20"/>
              </w:rPr>
              <w:t>GS-</w:t>
            </w:r>
            <w:r>
              <w:rPr>
                <w:spacing w:val="-7"/>
                <w:sz w:val="20"/>
              </w:rPr>
              <w:t>OL</w:t>
            </w:r>
          </w:p>
        </w:tc>
        <w:tc>
          <w:tcPr>
            <w:tcW w:w="1956" w:type="dxa"/>
            <w:tcBorders>
              <w:bottom w:val="single" w:sz="4" w:space="0" w:color="000000"/>
            </w:tcBorders>
          </w:tcPr>
          <w:p>
            <w:pPr>
              <w:pStyle w:val="TableParagraph"/>
              <w:spacing w:line="229" w:lineRule="exact" w:before="15"/>
              <w:ind w:right="1112"/>
              <w:rPr>
                <w:sz w:val="20"/>
              </w:rPr>
            </w:pPr>
            <w:r>
              <w:rPr>
                <w:w w:val="100"/>
                <w:sz w:val="20"/>
              </w:rPr>
              <w:t>1</w:t>
            </w:r>
          </w:p>
        </w:tc>
      </w:tr>
      <w:tr>
        <w:trPr>
          <w:trHeight w:val="273" w:hRule="atLeast"/>
        </w:trPr>
        <w:tc>
          <w:tcPr>
            <w:tcW w:w="6378" w:type="dxa"/>
            <w:tcBorders>
              <w:top w:val="single" w:sz="4" w:space="0" w:color="000000"/>
              <w:bottom w:val="single" w:sz="4" w:space="0" w:color="000000"/>
            </w:tcBorders>
          </w:tcPr>
          <w:p>
            <w:pPr>
              <w:pStyle w:val="TableParagraph"/>
              <w:spacing w:before="19"/>
              <w:ind w:left="1618"/>
              <w:jc w:val="left"/>
              <w:rPr>
                <w:i/>
                <w:sz w:val="20"/>
              </w:rPr>
            </w:pPr>
            <w:r>
              <w:rPr>
                <w:i/>
                <w:sz w:val="20"/>
              </w:rPr>
              <w:t>SUD</w:t>
            </w:r>
            <w:r>
              <w:rPr>
                <w:i/>
                <w:spacing w:val="-10"/>
                <w:sz w:val="20"/>
              </w:rPr>
              <w:t> </w:t>
            </w:r>
            <w:r>
              <w:rPr>
                <w:i/>
                <w:sz w:val="20"/>
              </w:rPr>
              <w:t>Field</w:t>
            </w:r>
            <w:r>
              <w:rPr>
                <w:i/>
                <w:spacing w:val="-6"/>
                <w:sz w:val="20"/>
              </w:rPr>
              <w:t> </w:t>
            </w:r>
            <w:r>
              <w:rPr>
                <w:i/>
                <w:spacing w:val="-4"/>
                <w:sz w:val="20"/>
              </w:rPr>
              <w:t>Team</w:t>
            </w:r>
          </w:p>
        </w:tc>
        <w:tc>
          <w:tcPr>
            <w:tcW w:w="1366" w:type="dxa"/>
            <w:tcBorders>
              <w:top w:val="single" w:sz="4" w:space="0" w:color="000000"/>
              <w:bottom w:val="single" w:sz="4" w:space="0" w:color="000000"/>
            </w:tcBorders>
          </w:tcPr>
          <w:p>
            <w:pPr>
              <w:pStyle w:val="TableParagraph"/>
              <w:jc w:val="left"/>
              <w:rPr>
                <w:sz w:val="18"/>
              </w:rPr>
            </w:pPr>
          </w:p>
        </w:tc>
        <w:tc>
          <w:tcPr>
            <w:tcW w:w="1956" w:type="dxa"/>
            <w:tcBorders>
              <w:top w:val="single" w:sz="4" w:space="0" w:color="000000"/>
              <w:bottom w:val="single" w:sz="4" w:space="0" w:color="000000"/>
            </w:tcBorders>
          </w:tcPr>
          <w:p>
            <w:pPr>
              <w:pStyle w:val="TableParagraph"/>
              <w:jc w:val="left"/>
              <w:rPr>
                <w:sz w:val="18"/>
              </w:rPr>
            </w:pPr>
          </w:p>
        </w:tc>
      </w:tr>
      <w:tr>
        <w:trPr>
          <w:trHeight w:val="268" w:hRule="atLeast"/>
        </w:trPr>
        <w:tc>
          <w:tcPr>
            <w:tcW w:w="6378" w:type="dxa"/>
            <w:tcBorders>
              <w:top w:val="single" w:sz="4" w:space="0" w:color="000000"/>
              <w:bottom w:val="single" w:sz="4" w:space="0" w:color="000000"/>
            </w:tcBorders>
          </w:tcPr>
          <w:p>
            <w:pPr>
              <w:pStyle w:val="TableParagraph"/>
              <w:spacing w:line="229" w:lineRule="exact" w:before="19"/>
              <w:ind w:left="1162"/>
              <w:jc w:val="left"/>
              <w:rPr>
                <w:sz w:val="20"/>
              </w:rPr>
            </w:pPr>
            <w:r>
              <w:rPr>
                <w:sz w:val="20"/>
              </w:rPr>
              <w:t>Operations</w:t>
            </w:r>
            <w:r>
              <w:rPr>
                <w:spacing w:val="-8"/>
                <w:sz w:val="20"/>
              </w:rPr>
              <w:t> </w:t>
            </w:r>
            <w:r>
              <w:rPr>
                <w:sz w:val="20"/>
              </w:rPr>
              <w:t>Risk</w:t>
            </w:r>
            <w:r>
              <w:rPr>
                <w:spacing w:val="-7"/>
                <w:sz w:val="20"/>
              </w:rPr>
              <w:t> </w:t>
            </w:r>
            <w:r>
              <w:rPr>
                <w:sz w:val="20"/>
              </w:rPr>
              <w:t>and</w:t>
            </w:r>
            <w:r>
              <w:rPr>
                <w:spacing w:val="-2"/>
                <w:sz w:val="20"/>
              </w:rPr>
              <w:t> </w:t>
            </w:r>
            <w:r>
              <w:rPr>
                <w:sz w:val="20"/>
              </w:rPr>
              <w:t>Field</w:t>
            </w:r>
            <w:r>
              <w:rPr>
                <w:spacing w:val="-1"/>
                <w:sz w:val="20"/>
              </w:rPr>
              <w:t> </w:t>
            </w:r>
            <w:r>
              <w:rPr>
                <w:spacing w:val="-2"/>
                <w:sz w:val="20"/>
              </w:rPr>
              <w:t>Officer</w:t>
            </w:r>
          </w:p>
        </w:tc>
        <w:tc>
          <w:tcPr>
            <w:tcW w:w="1366" w:type="dxa"/>
            <w:tcBorders>
              <w:top w:val="single" w:sz="4" w:space="0" w:color="000000"/>
              <w:bottom w:val="single" w:sz="4" w:space="0" w:color="000000"/>
            </w:tcBorders>
          </w:tcPr>
          <w:p>
            <w:pPr>
              <w:pStyle w:val="TableParagraph"/>
              <w:spacing w:line="229" w:lineRule="exact" w:before="19"/>
              <w:ind w:left="580"/>
              <w:jc w:val="left"/>
              <w:rPr>
                <w:sz w:val="20"/>
              </w:rPr>
            </w:pPr>
            <w:r>
              <w:rPr>
                <w:spacing w:val="-2"/>
                <w:sz w:val="20"/>
              </w:rPr>
              <w:t>P-</w:t>
            </w:r>
            <w:r>
              <w:rPr>
                <w:spacing w:val="-10"/>
                <w:sz w:val="20"/>
              </w:rPr>
              <w:t>3</w:t>
            </w:r>
          </w:p>
        </w:tc>
        <w:tc>
          <w:tcPr>
            <w:tcW w:w="1956" w:type="dxa"/>
            <w:tcBorders>
              <w:top w:val="single" w:sz="4" w:space="0" w:color="000000"/>
              <w:bottom w:val="single" w:sz="4" w:space="0" w:color="000000"/>
            </w:tcBorders>
          </w:tcPr>
          <w:p>
            <w:pPr>
              <w:pStyle w:val="TableParagraph"/>
              <w:spacing w:line="229" w:lineRule="exact" w:before="19"/>
              <w:ind w:right="1112"/>
              <w:rPr>
                <w:sz w:val="20"/>
              </w:rPr>
            </w:pPr>
            <w:r>
              <w:rPr>
                <w:w w:val="100"/>
                <w:sz w:val="20"/>
              </w:rPr>
              <w:t>1</w:t>
            </w:r>
          </w:p>
        </w:tc>
      </w:tr>
      <w:tr>
        <w:trPr>
          <w:trHeight w:val="268" w:hRule="atLeast"/>
        </w:trPr>
        <w:tc>
          <w:tcPr>
            <w:tcW w:w="6378" w:type="dxa"/>
            <w:tcBorders>
              <w:top w:val="single" w:sz="4" w:space="0" w:color="000000"/>
              <w:bottom w:val="single" w:sz="4" w:space="0" w:color="000000"/>
            </w:tcBorders>
          </w:tcPr>
          <w:p>
            <w:pPr>
              <w:pStyle w:val="TableParagraph"/>
              <w:spacing w:line="229" w:lineRule="exact" w:before="19"/>
              <w:ind w:left="1618"/>
              <w:jc w:val="left"/>
              <w:rPr>
                <w:i/>
                <w:sz w:val="20"/>
              </w:rPr>
            </w:pPr>
            <w:r>
              <w:rPr>
                <w:i/>
                <w:sz w:val="20"/>
              </w:rPr>
              <w:t>UKR</w:t>
            </w:r>
            <w:r>
              <w:rPr>
                <w:i/>
                <w:spacing w:val="-8"/>
                <w:sz w:val="20"/>
              </w:rPr>
              <w:t> </w:t>
            </w:r>
            <w:r>
              <w:rPr>
                <w:i/>
                <w:sz w:val="20"/>
              </w:rPr>
              <w:t>Field</w:t>
            </w:r>
            <w:r>
              <w:rPr>
                <w:i/>
                <w:spacing w:val="-4"/>
                <w:sz w:val="20"/>
              </w:rPr>
              <w:t> Team</w:t>
            </w:r>
          </w:p>
        </w:tc>
        <w:tc>
          <w:tcPr>
            <w:tcW w:w="1366" w:type="dxa"/>
            <w:tcBorders>
              <w:top w:val="single" w:sz="4" w:space="0" w:color="000000"/>
              <w:bottom w:val="single" w:sz="4" w:space="0" w:color="000000"/>
            </w:tcBorders>
          </w:tcPr>
          <w:p>
            <w:pPr>
              <w:pStyle w:val="TableParagraph"/>
              <w:jc w:val="left"/>
              <w:rPr>
                <w:sz w:val="18"/>
              </w:rPr>
            </w:pPr>
          </w:p>
        </w:tc>
        <w:tc>
          <w:tcPr>
            <w:tcW w:w="1956" w:type="dxa"/>
            <w:tcBorders>
              <w:top w:val="single" w:sz="4" w:space="0" w:color="000000"/>
              <w:bottom w:val="single" w:sz="4" w:space="0" w:color="000000"/>
            </w:tcBorders>
          </w:tcPr>
          <w:p>
            <w:pPr>
              <w:pStyle w:val="TableParagraph"/>
              <w:jc w:val="left"/>
              <w:rPr>
                <w:sz w:val="18"/>
              </w:rPr>
            </w:pPr>
          </w:p>
        </w:tc>
      </w:tr>
      <w:tr>
        <w:trPr>
          <w:trHeight w:val="275" w:hRule="atLeast"/>
        </w:trPr>
        <w:tc>
          <w:tcPr>
            <w:tcW w:w="6378" w:type="dxa"/>
            <w:tcBorders>
              <w:top w:val="single" w:sz="4" w:space="0" w:color="000000"/>
            </w:tcBorders>
          </w:tcPr>
          <w:p>
            <w:pPr>
              <w:pStyle w:val="TableParagraph"/>
              <w:spacing w:before="20"/>
              <w:ind w:left="1162"/>
              <w:jc w:val="left"/>
              <w:rPr>
                <w:sz w:val="20"/>
              </w:rPr>
            </w:pPr>
            <w:r>
              <w:rPr>
                <w:sz w:val="20"/>
              </w:rPr>
              <w:t>Operations</w:t>
            </w:r>
            <w:r>
              <w:rPr>
                <w:spacing w:val="-8"/>
                <w:sz w:val="20"/>
              </w:rPr>
              <w:t> </w:t>
            </w:r>
            <w:r>
              <w:rPr>
                <w:sz w:val="20"/>
              </w:rPr>
              <w:t>Risk</w:t>
            </w:r>
            <w:r>
              <w:rPr>
                <w:spacing w:val="-7"/>
                <w:sz w:val="20"/>
              </w:rPr>
              <w:t> </w:t>
            </w:r>
            <w:r>
              <w:rPr>
                <w:sz w:val="20"/>
              </w:rPr>
              <w:t>and</w:t>
            </w:r>
            <w:r>
              <w:rPr>
                <w:spacing w:val="-2"/>
                <w:sz w:val="20"/>
              </w:rPr>
              <w:t> </w:t>
            </w:r>
            <w:r>
              <w:rPr>
                <w:sz w:val="20"/>
              </w:rPr>
              <w:t>Field</w:t>
            </w:r>
            <w:r>
              <w:rPr>
                <w:spacing w:val="-1"/>
                <w:sz w:val="20"/>
              </w:rPr>
              <w:t> </w:t>
            </w:r>
            <w:r>
              <w:rPr>
                <w:spacing w:val="-2"/>
                <w:sz w:val="20"/>
              </w:rPr>
              <w:t>Officer</w:t>
            </w:r>
          </w:p>
        </w:tc>
        <w:tc>
          <w:tcPr>
            <w:tcW w:w="1366" w:type="dxa"/>
            <w:tcBorders>
              <w:top w:val="single" w:sz="4" w:space="0" w:color="000000"/>
            </w:tcBorders>
          </w:tcPr>
          <w:p>
            <w:pPr>
              <w:pStyle w:val="TableParagraph"/>
              <w:spacing w:before="20"/>
              <w:ind w:left="580"/>
              <w:jc w:val="left"/>
              <w:rPr>
                <w:sz w:val="20"/>
              </w:rPr>
            </w:pPr>
            <w:r>
              <w:rPr>
                <w:spacing w:val="-2"/>
                <w:sz w:val="20"/>
              </w:rPr>
              <w:t>P-</w:t>
            </w:r>
            <w:r>
              <w:rPr>
                <w:spacing w:val="-10"/>
                <w:sz w:val="20"/>
              </w:rPr>
              <w:t>3</w:t>
            </w:r>
          </w:p>
        </w:tc>
        <w:tc>
          <w:tcPr>
            <w:tcW w:w="1956" w:type="dxa"/>
            <w:tcBorders>
              <w:top w:val="single" w:sz="4" w:space="0" w:color="000000"/>
            </w:tcBorders>
          </w:tcPr>
          <w:p>
            <w:pPr>
              <w:pStyle w:val="TableParagraph"/>
              <w:spacing w:before="20"/>
              <w:ind w:right="1112"/>
              <w:rPr>
                <w:sz w:val="20"/>
              </w:rPr>
            </w:pPr>
            <w:r>
              <w:rPr>
                <w:w w:val="100"/>
                <w:sz w:val="20"/>
              </w:rPr>
              <w:t>1</w:t>
            </w:r>
          </w:p>
        </w:tc>
      </w:tr>
      <w:tr>
        <w:trPr>
          <w:trHeight w:val="267" w:hRule="atLeast"/>
        </w:trPr>
        <w:tc>
          <w:tcPr>
            <w:tcW w:w="6378" w:type="dxa"/>
            <w:tcBorders>
              <w:bottom w:val="single" w:sz="4" w:space="0" w:color="000000"/>
            </w:tcBorders>
          </w:tcPr>
          <w:p>
            <w:pPr>
              <w:pStyle w:val="TableParagraph"/>
              <w:spacing w:line="229" w:lineRule="exact" w:before="18"/>
              <w:ind w:left="1162"/>
              <w:jc w:val="left"/>
              <w:rPr>
                <w:sz w:val="20"/>
              </w:rPr>
            </w:pPr>
            <w:r>
              <w:rPr>
                <w:sz w:val="20"/>
              </w:rPr>
              <w:t>Field</w:t>
            </w:r>
            <w:r>
              <w:rPr>
                <w:spacing w:val="-7"/>
                <w:sz w:val="20"/>
              </w:rPr>
              <w:t> </w:t>
            </w:r>
            <w:r>
              <w:rPr>
                <w:sz w:val="20"/>
              </w:rPr>
              <w:t>Operations</w:t>
            </w:r>
            <w:r>
              <w:rPr>
                <w:spacing w:val="-7"/>
                <w:sz w:val="20"/>
              </w:rPr>
              <w:t> </w:t>
            </w:r>
            <w:r>
              <w:rPr>
                <w:spacing w:val="-2"/>
                <w:sz w:val="20"/>
              </w:rPr>
              <w:t>Coordinator</w:t>
            </w:r>
          </w:p>
        </w:tc>
        <w:tc>
          <w:tcPr>
            <w:tcW w:w="1366" w:type="dxa"/>
            <w:tcBorders>
              <w:bottom w:val="single" w:sz="4" w:space="0" w:color="000000"/>
            </w:tcBorders>
          </w:tcPr>
          <w:p>
            <w:pPr>
              <w:pStyle w:val="TableParagraph"/>
              <w:spacing w:line="229" w:lineRule="exact" w:before="18"/>
              <w:ind w:left="580"/>
              <w:jc w:val="left"/>
              <w:rPr>
                <w:sz w:val="20"/>
              </w:rPr>
            </w:pPr>
            <w:r>
              <w:rPr>
                <w:spacing w:val="-2"/>
                <w:sz w:val="20"/>
              </w:rPr>
              <w:t>GS-</w:t>
            </w:r>
            <w:r>
              <w:rPr>
                <w:spacing w:val="-7"/>
                <w:sz w:val="20"/>
              </w:rPr>
              <w:t>OL</w:t>
            </w:r>
          </w:p>
        </w:tc>
        <w:tc>
          <w:tcPr>
            <w:tcW w:w="1956" w:type="dxa"/>
            <w:tcBorders>
              <w:bottom w:val="single" w:sz="4" w:space="0" w:color="000000"/>
            </w:tcBorders>
          </w:tcPr>
          <w:p>
            <w:pPr>
              <w:pStyle w:val="TableParagraph"/>
              <w:spacing w:line="229" w:lineRule="exact" w:before="18"/>
              <w:ind w:right="1112"/>
              <w:rPr>
                <w:sz w:val="20"/>
              </w:rPr>
            </w:pPr>
            <w:r>
              <w:rPr>
                <w:w w:val="100"/>
                <w:sz w:val="20"/>
              </w:rPr>
              <w:t>2</w:t>
            </w:r>
          </w:p>
        </w:tc>
      </w:tr>
      <w:tr>
        <w:trPr>
          <w:trHeight w:val="268" w:hRule="atLeast"/>
        </w:trPr>
        <w:tc>
          <w:tcPr>
            <w:tcW w:w="6378" w:type="dxa"/>
            <w:tcBorders>
              <w:top w:val="single" w:sz="4" w:space="0" w:color="000000"/>
              <w:bottom w:val="single" w:sz="4" w:space="0" w:color="000000"/>
            </w:tcBorders>
          </w:tcPr>
          <w:p>
            <w:pPr>
              <w:pStyle w:val="TableParagraph"/>
              <w:spacing w:line="229" w:lineRule="exact" w:before="19"/>
              <w:ind w:left="1613"/>
              <w:jc w:val="left"/>
              <w:rPr>
                <w:i/>
                <w:sz w:val="20"/>
              </w:rPr>
            </w:pPr>
            <w:r>
              <w:rPr>
                <w:i/>
                <w:sz w:val="20"/>
              </w:rPr>
              <w:t>VEN</w:t>
            </w:r>
            <w:r>
              <w:rPr>
                <w:i/>
                <w:spacing w:val="-7"/>
                <w:sz w:val="20"/>
              </w:rPr>
              <w:t> </w:t>
            </w:r>
            <w:r>
              <w:rPr>
                <w:i/>
                <w:sz w:val="20"/>
              </w:rPr>
              <w:t>Field</w:t>
            </w:r>
            <w:r>
              <w:rPr>
                <w:i/>
                <w:spacing w:val="-5"/>
                <w:sz w:val="20"/>
              </w:rPr>
              <w:t> </w:t>
            </w:r>
            <w:r>
              <w:rPr>
                <w:i/>
                <w:spacing w:val="-4"/>
                <w:sz w:val="20"/>
              </w:rPr>
              <w:t>Team</w:t>
            </w:r>
          </w:p>
        </w:tc>
        <w:tc>
          <w:tcPr>
            <w:tcW w:w="1366" w:type="dxa"/>
            <w:tcBorders>
              <w:top w:val="single" w:sz="4" w:space="0" w:color="000000"/>
              <w:bottom w:val="single" w:sz="4" w:space="0" w:color="000000"/>
            </w:tcBorders>
          </w:tcPr>
          <w:p>
            <w:pPr>
              <w:pStyle w:val="TableParagraph"/>
              <w:jc w:val="left"/>
              <w:rPr>
                <w:sz w:val="18"/>
              </w:rPr>
            </w:pPr>
          </w:p>
        </w:tc>
        <w:tc>
          <w:tcPr>
            <w:tcW w:w="1956" w:type="dxa"/>
            <w:tcBorders>
              <w:top w:val="single" w:sz="4" w:space="0" w:color="000000"/>
              <w:bottom w:val="single" w:sz="4" w:space="0" w:color="000000"/>
            </w:tcBorders>
          </w:tcPr>
          <w:p>
            <w:pPr>
              <w:pStyle w:val="TableParagraph"/>
              <w:jc w:val="left"/>
              <w:rPr>
                <w:sz w:val="18"/>
              </w:rPr>
            </w:pPr>
          </w:p>
        </w:tc>
      </w:tr>
      <w:tr>
        <w:trPr>
          <w:trHeight w:val="273" w:hRule="atLeast"/>
        </w:trPr>
        <w:tc>
          <w:tcPr>
            <w:tcW w:w="6378" w:type="dxa"/>
            <w:tcBorders>
              <w:top w:val="single" w:sz="4" w:space="0" w:color="000000"/>
              <w:bottom w:val="single" w:sz="4" w:space="0" w:color="000000"/>
            </w:tcBorders>
          </w:tcPr>
          <w:p>
            <w:pPr>
              <w:pStyle w:val="TableParagraph"/>
              <w:spacing w:before="19"/>
              <w:ind w:left="1162"/>
              <w:jc w:val="left"/>
              <w:rPr>
                <w:sz w:val="20"/>
              </w:rPr>
            </w:pPr>
            <w:r>
              <w:rPr>
                <w:sz w:val="20"/>
              </w:rPr>
              <w:t>Field</w:t>
            </w:r>
            <w:r>
              <w:rPr>
                <w:spacing w:val="-7"/>
                <w:sz w:val="20"/>
              </w:rPr>
              <w:t> </w:t>
            </w:r>
            <w:r>
              <w:rPr>
                <w:sz w:val="20"/>
              </w:rPr>
              <w:t>Operations</w:t>
            </w:r>
            <w:r>
              <w:rPr>
                <w:spacing w:val="-7"/>
                <w:sz w:val="20"/>
              </w:rPr>
              <w:t> </w:t>
            </w:r>
            <w:r>
              <w:rPr>
                <w:spacing w:val="-2"/>
                <w:sz w:val="20"/>
              </w:rPr>
              <w:t>Coordinator</w:t>
            </w:r>
          </w:p>
        </w:tc>
        <w:tc>
          <w:tcPr>
            <w:tcW w:w="1366" w:type="dxa"/>
            <w:tcBorders>
              <w:top w:val="single" w:sz="4" w:space="0" w:color="000000"/>
              <w:bottom w:val="single" w:sz="4" w:space="0" w:color="000000"/>
            </w:tcBorders>
          </w:tcPr>
          <w:p>
            <w:pPr>
              <w:pStyle w:val="TableParagraph"/>
              <w:spacing w:before="19"/>
              <w:ind w:left="580"/>
              <w:jc w:val="left"/>
              <w:rPr>
                <w:sz w:val="20"/>
              </w:rPr>
            </w:pPr>
            <w:r>
              <w:rPr>
                <w:spacing w:val="-2"/>
                <w:sz w:val="20"/>
              </w:rPr>
              <w:t>GS-</w:t>
            </w:r>
            <w:r>
              <w:rPr>
                <w:spacing w:val="-7"/>
                <w:sz w:val="20"/>
              </w:rPr>
              <w:t>OL</w:t>
            </w:r>
          </w:p>
        </w:tc>
        <w:tc>
          <w:tcPr>
            <w:tcW w:w="1956" w:type="dxa"/>
            <w:tcBorders>
              <w:top w:val="single" w:sz="4" w:space="0" w:color="000000"/>
              <w:bottom w:val="single" w:sz="4" w:space="0" w:color="000000"/>
            </w:tcBorders>
          </w:tcPr>
          <w:p>
            <w:pPr>
              <w:pStyle w:val="TableParagraph"/>
              <w:spacing w:before="19"/>
              <w:ind w:right="1112"/>
              <w:rPr>
                <w:sz w:val="20"/>
              </w:rPr>
            </w:pPr>
            <w:r>
              <w:rPr>
                <w:w w:val="100"/>
                <w:sz w:val="20"/>
              </w:rPr>
              <w:t>2</w:t>
            </w:r>
          </w:p>
        </w:tc>
      </w:tr>
      <w:tr>
        <w:trPr>
          <w:trHeight w:val="268" w:hRule="atLeast"/>
        </w:trPr>
        <w:tc>
          <w:tcPr>
            <w:tcW w:w="6378" w:type="dxa"/>
            <w:tcBorders>
              <w:top w:val="single" w:sz="4" w:space="0" w:color="000000"/>
              <w:bottom w:val="single" w:sz="4" w:space="0" w:color="000000"/>
            </w:tcBorders>
          </w:tcPr>
          <w:p>
            <w:pPr>
              <w:pStyle w:val="TableParagraph"/>
              <w:spacing w:line="229" w:lineRule="exact" w:before="19"/>
              <w:ind w:left="1613"/>
              <w:jc w:val="left"/>
              <w:rPr>
                <w:i/>
                <w:sz w:val="20"/>
              </w:rPr>
            </w:pPr>
            <w:r>
              <w:rPr>
                <w:i/>
                <w:sz w:val="20"/>
              </w:rPr>
              <w:t>BGD/MMR</w:t>
            </w:r>
            <w:r>
              <w:rPr>
                <w:i/>
                <w:spacing w:val="-9"/>
                <w:sz w:val="20"/>
              </w:rPr>
              <w:t> </w:t>
            </w:r>
            <w:r>
              <w:rPr>
                <w:i/>
                <w:sz w:val="20"/>
              </w:rPr>
              <w:t>Field</w:t>
            </w:r>
            <w:r>
              <w:rPr>
                <w:i/>
                <w:spacing w:val="-4"/>
                <w:sz w:val="20"/>
              </w:rPr>
              <w:t> Team</w:t>
            </w:r>
          </w:p>
        </w:tc>
        <w:tc>
          <w:tcPr>
            <w:tcW w:w="1366" w:type="dxa"/>
            <w:tcBorders>
              <w:top w:val="single" w:sz="4" w:space="0" w:color="000000"/>
              <w:bottom w:val="single" w:sz="4" w:space="0" w:color="000000"/>
            </w:tcBorders>
          </w:tcPr>
          <w:p>
            <w:pPr>
              <w:pStyle w:val="TableParagraph"/>
              <w:jc w:val="left"/>
              <w:rPr>
                <w:sz w:val="18"/>
              </w:rPr>
            </w:pPr>
          </w:p>
        </w:tc>
        <w:tc>
          <w:tcPr>
            <w:tcW w:w="1956" w:type="dxa"/>
            <w:tcBorders>
              <w:top w:val="single" w:sz="4" w:space="0" w:color="000000"/>
              <w:bottom w:val="single" w:sz="4" w:space="0" w:color="000000"/>
            </w:tcBorders>
          </w:tcPr>
          <w:p>
            <w:pPr>
              <w:pStyle w:val="TableParagraph"/>
              <w:jc w:val="left"/>
              <w:rPr>
                <w:sz w:val="18"/>
              </w:rPr>
            </w:pPr>
          </w:p>
        </w:tc>
      </w:tr>
      <w:tr>
        <w:trPr>
          <w:trHeight w:val="272" w:hRule="atLeast"/>
        </w:trPr>
        <w:tc>
          <w:tcPr>
            <w:tcW w:w="6378" w:type="dxa"/>
            <w:tcBorders>
              <w:top w:val="single" w:sz="4" w:space="0" w:color="000000"/>
            </w:tcBorders>
          </w:tcPr>
          <w:p>
            <w:pPr>
              <w:pStyle w:val="TableParagraph"/>
              <w:spacing w:before="19"/>
              <w:ind w:left="1162"/>
              <w:jc w:val="left"/>
              <w:rPr>
                <w:sz w:val="20"/>
              </w:rPr>
            </w:pPr>
            <w:r>
              <w:rPr>
                <w:sz w:val="20"/>
              </w:rPr>
              <w:t>Operations</w:t>
            </w:r>
            <w:r>
              <w:rPr>
                <w:spacing w:val="-8"/>
                <w:sz w:val="20"/>
              </w:rPr>
              <w:t> </w:t>
            </w:r>
            <w:r>
              <w:rPr>
                <w:sz w:val="20"/>
              </w:rPr>
              <w:t>Risk</w:t>
            </w:r>
            <w:r>
              <w:rPr>
                <w:spacing w:val="-7"/>
                <w:sz w:val="20"/>
              </w:rPr>
              <w:t> </w:t>
            </w:r>
            <w:r>
              <w:rPr>
                <w:sz w:val="20"/>
              </w:rPr>
              <w:t>and</w:t>
            </w:r>
            <w:r>
              <w:rPr>
                <w:spacing w:val="-2"/>
                <w:sz w:val="20"/>
              </w:rPr>
              <w:t> </w:t>
            </w:r>
            <w:r>
              <w:rPr>
                <w:sz w:val="20"/>
              </w:rPr>
              <w:t>Field</w:t>
            </w:r>
            <w:r>
              <w:rPr>
                <w:spacing w:val="-1"/>
                <w:sz w:val="20"/>
              </w:rPr>
              <w:t> </w:t>
            </w:r>
            <w:r>
              <w:rPr>
                <w:spacing w:val="-2"/>
                <w:sz w:val="20"/>
              </w:rPr>
              <w:t>Officer</w:t>
            </w:r>
          </w:p>
        </w:tc>
        <w:tc>
          <w:tcPr>
            <w:tcW w:w="1366" w:type="dxa"/>
            <w:tcBorders>
              <w:top w:val="single" w:sz="4" w:space="0" w:color="000000"/>
            </w:tcBorders>
          </w:tcPr>
          <w:p>
            <w:pPr>
              <w:pStyle w:val="TableParagraph"/>
              <w:spacing w:before="19"/>
              <w:ind w:left="580"/>
              <w:jc w:val="left"/>
              <w:rPr>
                <w:sz w:val="20"/>
              </w:rPr>
            </w:pPr>
            <w:r>
              <w:rPr>
                <w:spacing w:val="-2"/>
                <w:sz w:val="20"/>
              </w:rPr>
              <w:t>P-</w:t>
            </w:r>
            <w:r>
              <w:rPr>
                <w:spacing w:val="-10"/>
                <w:sz w:val="20"/>
              </w:rPr>
              <w:t>3</w:t>
            </w:r>
          </w:p>
        </w:tc>
        <w:tc>
          <w:tcPr>
            <w:tcW w:w="1956" w:type="dxa"/>
            <w:tcBorders>
              <w:top w:val="single" w:sz="4" w:space="0" w:color="000000"/>
            </w:tcBorders>
          </w:tcPr>
          <w:p>
            <w:pPr>
              <w:pStyle w:val="TableParagraph"/>
              <w:spacing w:before="19"/>
              <w:ind w:right="1112"/>
              <w:rPr>
                <w:sz w:val="20"/>
              </w:rPr>
            </w:pPr>
            <w:r>
              <w:rPr>
                <w:w w:val="100"/>
                <w:sz w:val="20"/>
              </w:rPr>
              <w:t>1</w:t>
            </w:r>
          </w:p>
        </w:tc>
      </w:tr>
      <w:tr>
        <w:trPr>
          <w:trHeight w:val="269" w:hRule="atLeast"/>
        </w:trPr>
        <w:tc>
          <w:tcPr>
            <w:tcW w:w="6378" w:type="dxa"/>
            <w:tcBorders>
              <w:bottom w:val="single" w:sz="4" w:space="0" w:color="000000"/>
            </w:tcBorders>
          </w:tcPr>
          <w:p>
            <w:pPr>
              <w:pStyle w:val="TableParagraph"/>
              <w:spacing w:before="15"/>
              <w:ind w:left="1162"/>
              <w:jc w:val="left"/>
              <w:rPr>
                <w:sz w:val="20"/>
              </w:rPr>
            </w:pPr>
            <w:r>
              <w:rPr>
                <w:sz w:val="20"/>
              </w:rPr>
              <w:t>Field</w:t>
            </w:r>
            <w:r>
              <w:rPr>
                <w:spacing w:val="-6"/>
                <w:sz w:val="20"/>
              </w:rPr>
              <w:t> </w:t>
            </w:r>
            <w:r>
              <w:rPr>
                <w:sz w:val="20"/>
              </w:rPr>
              <w:t>Operations</w:t>
            </w:r>
            <w:r>
              <w:rPr>
                <w:spacing w:val="-7"/>
                <w:sz w:val="20"/>
              </w:rPr>
              <w:t> </w:t>
            </w:r>
            <w:r>
              <w:rPr>
                <w:spacing w:val="-2"/>
                <w:sz w:val="20"/>
              </w:rPr>
              <w:t>Coordinator</w:t>
            </w:r>
          </w:p>
        </w:tc>
        <w:tc>
          <w:tcPr>
            <w:tcW w:w="1366" w:type="dxa"/>
            <w:tcBorders>
              <w:bottom w:val="single" w:sz="4" w:space="0" w:color="000000"/>
            </w:tcBorders>
          </w:tcPr>
          <w:p>
            <w:pPr>
              <w:pStyle w:val="TableParagraph"/>
              <w:spacing w:before="15"/>
              <w:ind w:left="580"/>
              <w:jc w:val="left"/>
              <w:rPr>
                <w:sz w:val="20"/>
              </w:rPr>
            </w:pPr>
            <w:r>
              <w:rPr>
                <w:spacing w:val="-2"/>
                <w:sz w:val="20"/>
              </w:rPr>
              <w:t>GS-</w:t>
            </w:r>
            <w:r>
              <w:rPr>
                <w:spacing w:val="-7"/>
                <w:sz w:val="20"/>
              </w:rPr>
              <w:t>OL</w:t>
            </w:r>
          </w:p>
        </w:tc>
        <w:tc>
          <w:tcPr>
            <w:tcW w:w="1956" w:type="dxa"/>
            <w:tcBorders>
              <w:bottom w:val="single" w:sz="4" w:space="0" w:color="000000"/>
            </w:tcBorders>
          </w:tcPr>
          <w:p>
            <w:pPr>
              <w:pStyle w:val="TableParagraph"/>
              <w:spacing w:before="15"/>
              <w:ind w:right="1112"/>
              <w:rPr>
                <w:sz w:val="20"/>
              </w:rPr>
            </w:pPr>
            <w:r>
              <w:rPr>
                <w:w w:val="100"/>
                <w:sz w:val="20"/>
              </w:rPr>
              <w:t>2</w:t>
            </w:r>
          </w:p>
        </w:tc>
      </w:tr>
      <w:tr>
        <w:trPr>
          <w:trHeight w:val="268" w:hRule="atLeast"/>
        </w:trPr>
        <w:tc>
          <w:tcPr>
            <w:tcW w:w="6378" w:type="dxa"/>
            <w:tcBorders>
              <w:top w:val="single" w:sz="4" w:space="0" w:color="000000"/>
              <w:bottom w:val="single" w:sz="4" w:space="0" w:color="000000"/>
            </w:tcBorders>
          </w:tcPr>
          <w:p>
            <w:pPr>
              <w:pStyle w:val="TableParagraph"/>
              <w:jc w:val="left"/>
              <w:rPr>
                <w:sz w:val="18"/>
              </w:rPr>
            </w:pPr>
          </w:p>
        </w:tc>
        <w:tc>
          <w:tcPr>
            <w:tcW w:w="1366" w:type="dxa"/>
            <w:tcBorders>
              <w:top w:val="single" w:sz="4" w:space="0" w:color="000000"/>
              <w:bottom w:val="single" w:sz="4" w:space="0" w:color="000000"/>
            </w:tcBorders>
          </w:tcPr>
          <w:p>
            <w:pPr>
              <w:pStyle w:val="TableParagraph"/>
              <w:jc w:val="left"/>
              <w:rPr>
                <w:sz w:val="18"/>
              </w:rPr>
            </w:pPr>
          </w:p>
        </w:tc>
        <w:tc>
          <w:tcPr>
            <w:tcW w:w="1956" w:type="dxa"/>
            <w:tcBorders>
              <w:top w:val="single" w:sz="4" w:space="0" w:color="000000"/>
              <w:bottom w:val="single" w:sz="4" w:space="0" w:color="000000"/>
            </w:tcBorders>
          </w:tcPr>
          <w:p>
            <w:pPr>
              <w:pStyle w:val="TableParagraph"/>
              <w:spacing w:line="229" w:lineRule="exact" w:before="19"/>
              <w:ind w:right="1112"/>
              <w:rPr>
                <w:b/>
                <w:sz w:val="20"/>
              </w:rPr>
            </w:pPr>
            <w:r>
              <w:rPr>
                <w:b/>
                <w:spacing w:val="-5"/>
                <w:sz w:val="20"/>
              </w:rPr>
              <w:t>18</w:t>
            </w:r>
          </w:p>
        </w:tc>
      </w:tr>
      <w:tr>
        <w:trPr>
          <w:trHeight w:val="268" w:hRule="atLeast"/>
        </w:trPr>
        <w:tc>
          <w:tcPr>
            <w:tcW w:w="6378" w:type="dxa"/>
            <w:tcBorders>
              <w:top w:val="single" w:sz="4" w:space="0" w:color="000000"/>
              <w:bottom w:val="single" w:sz="4" w:space="0" w:color="000000"/>
            </w:tcBorders>
          </w:tcPr>
          <w:p>
            <w:pPr>
              <w:pStyle w:val="TableParagraph"/>
              <w:spacing w:line="229" w:lineRule="exact" w:before="19"/>
              <w:ind w:left="1613"/>
              <w:jc w:val="left"/>
              <w:rPr>
                <w:i/>
                <w:sz w:val="20"/>
              </w:rPr>
            </w:pPr>
            <w:r>
              <w:rPr>
                <w:i/>
                <w:sz w:val="20"/>
              </w:rPr>
              <w:t>Planning</w:t>
            </w:r>
            <w:r>
              <w:rPr>
                <w:i/>
                <w:spacing w:val="-7"/>
                <w:sz w:val="20"/>
              </w:rPr>
              <w:t> </w:t>
            </w:r>
            <w:r>
              <w:rPr>
                <w:i/>
                <w:spacing w:val="-4"/>
                <w:sz w:val="20"/>
              </w:rPr>
              <w:t>Unit</w:t>
            </w:r>
          </w:p>
        </w:tc>
        <w:tc>
          <w:tcPr>
            <w:tcW w:w="1366" w:type="dxa"/>
            <w:tcBorders>
              <w:top w:val="single" w:sz="4" w:space="0" w:color="000000"/>
              <w:bottom w:val="single" w:sz="4" w:space="0" w:color="000000"/>
            </w:tcBorders>
          </w:tcPr>
          <w:p>
            <w:pPr>
              <w:pStyle w:val="TableParagraph"/>
              <w:jc w:val="left"/>
              <w:rPr>
                <w:sz w:val="18"/>
              </w:rPr>
            </w:pPr>
          </w:p>
        </w:tc>
        <w:tc>
          <w:tcPr>
            <w:tcW w:w="1956" w:type="dxa"/>
            <w:tcBorders>
              <w:top w:val="single" w:sz="4" w:space="0" w:color="000000"/>
              <w:bottom w:val="single" w:sz="4" w:space="0" w:color="000000"/>
            </w:tcBorders>
          </w:tcPr>
          <w:p>
            <w:pPr>
              <w:pStyle w:val="TableParagraph"/>
              <w:jc w:val="left"/>
              <w:rPr>
                <w:sz w:val="18"/>
              </w:rPr>
            </w:pPr>
          </w:p>
        </w:tc>
      </w:tr>
      <w:tr>
        <w:trPr>
          <w:trHeight w:val="234" w:hRule="atLeast"/>
        </w:trPr>
        <w:tc>
          <w:tcPr>
            <w:tcW w:w="6378" w:type="dxa"/>
            <w:tcBorders>
              <w:top w:val="single" w:sz="4" w:space="0" w:color="000000"/>
            </w:tcBorders>
          </w:tcPr>
          <w:p>
            <w:pPr>
              <w:pStyle w:val="TableParagraph"/>
              <w:spacing w:line="214" w:lineRule="exact"/>
              <w:ind w:left="1162"/>
              <w:jc w:val="left"/>
              <w:rPr>
                <w:sz w:val="20"/>
              </w:rPr>
            </w:pPr>
            <w:r>
              <w:rPr>
                <w:sz w:val="20"/>
              </w:rPr>
              <w:t>Operations</w:t>
            </w:r>
            <w:r>
              <w:rPr>
                <w:spacing w:val="-9"/>
                <w:sz w:val="20"/>
              </w:rPr>
              <w:t> </w:t>
            </w:r>
            <w:r>
              <w:rPr>
                <w:sz w:val="20"/>
              </w:rPr>
              <w:t>Officer</w:t>
            </w:r>
            <w:r>
              <w:rPr>
                <w:spacing w:val="-8"/>
                <w:sz w:val="20"/>
              </w:rPr>
              <w:t> </w:t>
            </w:r>
            <w:r>
              <w:rPr>
                <w:sz w:val="20"/>
              </w:rPr>
              <w:t>/</w:t>
            </w:r>
            <w:r>
              <w:rPr>
                <w:spacing w:val="-2"/>
                <w:sz w:val="20"/>
              </w:rPr>
              <w:t> </w:t>
            </w:r>
            <w:r>
              <w:rPr>
                <w:sz w:val="20"/>
              </w:rPr>
              <w:t>Planning</w:t>
            </w:r>
            <w:r>
              <w:rPr>
                <w:spacing w:val="-7"/>
                <w:sz w:val="20"/>
              </w:rPr>
              <w:t> </w:t>
            </w:r>
            <w:r>
              <w:rPr>
                <w:spacing w:val="-2"/>
                <w:sz w:val="20"/>
              </w:rPr>
              <w:t>Officer</w:t>
            </w:r>
          </w:p>
        </w:tc>
        <w:tc>
          <w:tcPr>
            <w:tcW w:w="1366" w:type="dxa"/>
            <w:tcBorders>
              <w:top w:val="single" w:sz="4" w:space="0" w:color="000000"/>
            </w:tcBorders>
          </w:tcPr>
          <w:p>
            <w:pPr>
              <w:pStyle w:val="TableParagraph"/>
              <w:spacing w:line="214" w:lineRule="exact"/>
              <w:ind w:left="580"/>
              <w:jc w:val="left"/>
              <w:rPr>
                <w:sz w:val="20"/>
              </w:rPr>
            </w:pPr>
            <w:r>
              <w:rPr>
                <w:spacing w:val="-2"/>
                <w:sz w:val="20"/>
              </w:rPr>
              <w:t>P-</w:t>
            </w:r>
            <w:r>
              <w:rPr>
                <w:spacing w:val="-10"/>
                <w:sz w:val="20"/>
              </w:rPr>
              <w:t>3</w:t>
            </w:r>
          </w:p>
        </w:tc>
        <w:tc>
          <w:tcPr>
            <w:tcW w:w="1956" w:type="dxa"/>
            <w:tcBorders>
              <w:top w:val="single" w:sz="4" w:space="0" w:color="000000"/>
            </w:tcBorders>
          </w:tcPr>
          <w:p>
            <w:pPr>
              <w:pStyle w:val="TableParagraph"/>
              <w:spacing w:line="214" w:lineRule="exact"/>
              <w:ind w:right="1112"/>
              <w:rPr>
                <w:sz w:val="20"/>
              </w:rPr>
            </w:pPr>
            <w:r>
              <w:rPr>
                <w:w w:val="100"/>
                <w:sz w:val="20"/>
              </w:rPr>
              <w:t>1</w:t>
            </w:r>
          </w:p>
        </w:tc>
      </w:tr>
      <w:tr>
        <w:trPr>
          <w:trHeight w:val="226" w:hRule="atLeast"/>
        </w:trPr>
        <w:tc>
          <w:tcPr>
            <w:tcW w:w="6378" w:type="dxa"/>
          </w:tcPr>
          <w:p>
            <w:pPr>
              <w:pStyle w:val="TableParagraph"/>
              <w:spacing w:line="206" w:lineRule="exact"/>
              <w:ind w:left="1162"/>
              <w:jc w:val="left"/>
              <w:rPr>
                <w:sz w:val="20"/>
              </w:rPr>
            </w:pPr>
            <w:r>
              <w:rPr>
                <w:sz w:val="20"/>
              </w:rPr>
              <w:t>Associate</w:t>
            </w:r>
            <w:r>
              <w:rPr>
                <w:spacing w:val="-7"/>
                <w:sz w:val="20"/>
              </w:rPr>
              <w:t> </w:t>
            </w:r>
            <w:r>
              <w:rPr>
                <w:sz w:val="20"/>
              </w:rPr>
              <w:t>Victims</w:t>
            </w:r>
            <w:r>
              <w:rPr>
                <w:spacing w:val="-10"/>
                <w:sz w:val="20"/>
              </w:rPr>
              <w:t> </w:t>
            </w:r>
            <w:r>
              <w:rPr>
                <w:sz w:val="20"/>
              </w:rPr>
              <w:t>Expert</w:t>
            </w:r>
            <w:r>
              <w:rPr>
                <w:spacing w:val="-7"/>
                <w:sz w:val="20"/>
              </w:rPr>
              <w:t> </w:t>
            </w:r>
            <w:r>
              <w:rPr>
                <w:sz w:val="20"/>
              </w:rPr>
              <w:t>/</w:t>
            </w:r>
            <w:r>
              <w:rPr>
                <w:spacing w:val="-7"/>
                <w:sz w:val="20"/>
              </w:rPr>
              <w:t> </w:t>
            </w:r>
            <w:r>
              <w:rPr>
                <w:sz w:val="20"/>
              </w:rPr>
              <w:t>Associate</w:t>
            </w:r>
            <w:r>
              <w:rPr>
                <w:spacing w:val="-3"/>
                <w:sz w:val="20"/>
              </w:rPr>
              <w:t> </w:t>
            </w:r>
            <w:r>
              <w:rPr>
                <w:sz w:val="20"/>
              </w:rPr>
              <w:t>Planning</w:t>
            </w:r>
            <w:r>
              <w:rPr>
                <w:spacing w:val="-8"/>
                <w:sz w:val="20"/>
              </w:rPr>
              <w:t> </w:t>
            </w:r>
            <w:r>
              <w:rPr>
                <w:spacing w:val="-2"/>
                <w:sz w:val="20"/>
              </w:rPr>
              <w:t>Officer</w:t>
            </w:r>
          </w:p>
        </w:tc>
        <w:tc>
          <w:tcPr>
            <w:tcW w:w="1366" w:type="dxa"/>
          </w:tcPr>
          <w:p>
            <w:pPr>
              <w:pStyle w:val="TableParagraph"/>
              <w:spacing w:line="206" w:lineRule="exact"/>
              <w:ind w:left="580"/>
              <w:jc w:val="left"/>
              <w:rPr>
                <w:sz w:val="20"/>
              </w:rPr>
            </w:pPr>
            <w:r>
              <w:rPr>
                <w:spacing w:val="-2"/>
                <w:sz w:val="20"/>
              </w:rPr>
              <w:t>P-</w:t>
            </w:r>
            <w:r>
              <w:rPr>
                <w:spacing w:val="-10"/>
                <w:sz w:val="20"/>
              </w:rPr>
              <w:t>2</w:t>
            </w:r>
          </w:p>
        </w:tc>
        <w:tc>
          <w:tcPr>
            <w:tcW w:w="1956" w:type="dxa"/>
          </w:tcPr>
          <w:p>
            <w:pPr>
              <w:pStyle w:val="TableParagraph"/>
              <w:spacing w:line="206" w:lineRule="exact"/>
              <w:ind w:right="1112"/>
              <w:rPr>
                <w:sz w:val="20"/>
              </w:rPr>
            </w:pPr>
            <w:r>
              <w:rPr>
                <w:w w:val="100"/>
                <w:sz w:val="20"/>
              </w:rPr>
              <w:t>1</w:t>
            </w:r>
          </w:p>
        </w:tc>
      </w:tr>
      <w:tr>
        <w:trPr>
          <w:trHeight w:val="234" w:hRule="atLeast"/>
        </w:trPr>
        <w:tc>
          <w:tcPr>
            <w:tcW w:w="6378" w:type="dxa"/>
          </w:tcPr>
          <w:p>
            <w:pPr>
              <w:pStyle w:val="TableParagraph"/>
              <w:spacing w:line="214" w:lineRule="exact"/>
              <w:ind w:left="1162"/>
              <w:jc w:val="left"/>
              <w:rPr>
                <w:sz w:val="20"/>
              </w:rPr>
            </w:pPr>
            <w:r>
              <w:rPr>
                <w:sz w:val="20"/>
              </w:rPr>
              <w:t>Associate</w:t>
            </w:r>
            <w:r>
              <w:rPr>
                <w:spacing w:val="-6"/>
                <w:sz w:val="20"/>
              </w:rPr>
              <w:t> </w:t>
            </w:r>
            <w:r>
              <w:rPr>
                <w:sz w:val="20"/>
              </w:rPr>
              <w:t>Planning</w:t>
            </w:r>
            <w:r>
              <w:rPr>
                <w:spacing w:val="-7"/>
                <w:sz w:val="20"/>
              </w:rPr>
              <w:t> </w:t>
            </w:r>
            <w:r>
              <w:rPr>
                <w:spacing w:val="-2"/>
                <w:sz w:val="20"/>
              </w:rPr>
              <w:t>Officer</w:t>
            </w:r>
            <w:r>
              <w:rPr>
                <w:spacing w:val="-2"/>
                <w:sz w:val="20"/>
                <w:vertAlign w:val="superscript"/>
              </w:rPr>
              <w:t>89</w:t>
            </w:r>
          </w:p>
        </w:tc>
        <w:tc>
          <w:tcPr>
            <w:tcW w:w="1366" w:type="dxa"/>
          </w:tcPr>
          <w:p>
            <w:pPr>
              <w:pStyle w:val="TableParagraph"/>
              <w:spacing w:line="214" w:lineRule="exact"/>
              <w:ind w:left="580"/>
              <w:jc w:val="left"/>
              <w:rPr>
                <w:sz w:val="20"/>
              </w:rPr>
            </w:pPr>
            <w:r>
              <w:rPr>
                <w:spacing w:val="-2"/>
                <w:sz w:val="20"/>
              </w:rPr>
              <w:t>P-</w:t>
            </w:r>
            <w:r>
              <w:rPr>
                <w:spacing w:val="-10"/>
                <w:sz w:val="20"/>
              </w:rPr>
              <w:t>2</w:t>
            </w:r>
          </w:p>
        </w:tc>
        <w:tc>
          <w:tcPr>
            <w:tcW w:w="1956" w:type="dxa"/>
          </w:tcPr>
          <w:p>
            <w:pPr>
              <w:pStyle w:val="TableParagraph"/>
              <w:spacing w:line="214" w:lineRule="exact"/>
              <w:ind w:right="1112"/>
              <w:rPr>
                <w:sz w:val="20"/>
              </w:rPr>
            </w:pPr>
            <w:r>
              <w:rPr>
                <w:w w:val="100"/>
                <w:sz w:val="20"/>
              </w:rPr>
              <w:t>1</w:t>
            </w:r>
          </w:p>
        </w:tc>
      </w:tr>
      <w:tr>
        <w:trPr>
          <w:trHeight w:val="226" w:hRule="atLeast"/>
        </w:trPr>
        <w:tc>
          <w:tcPr>
            <w:tcW w:w="6378" w:type="dxa"/>
            <w:tcBorders>
              <w:bottom w:val="single" w:sz="4" w:space="0" w:color="000000"/>
            </w:tcBorders>
          </w:tcPr>
          <w:p>
            <w:pPr>
              <w:pStyle w:val="TableParagraph"/>
              <w:spacing w:line="206" w:lineRule="exact"/>
              <w:ind w:left="1162"/>
              <w:jc w:val="left"/>
              <w:rPr>
                <w:sz w:val="20"/>
              </w:rPr>
            </w:pPr>
            <w:r>
              <w:rPr>
                <w:sz w:val="20"/>
              </w:rPr>
              <w:t>Field</w:t>
            </w:r>
            <w:r>
              <w:rPr>
                <w:spacing w:val="-9"/>
                <w:sz w:val="20"/>
              </w:rPr>
              <w:t> </w:t>
            </w:r>
            <w:r>
              <w:rPr>
                <w:sz w:val="20"/>
              </w:rPr>
              <w:t>Operations</w:t>
            </w:r>
            <w:r>
              <w:rPr>
                <w:spacing w:val="-9"/>
                <w:sz w:val="20"/>
              </w:rPr>
              <w:t> </w:t>
            </w:r>
            <w:r>
              <w:rPr>
                <w:sz w:val="20"/>
              </w:rPr>
              <w:t>Coordinator</w:t>
            </w:r>
            <w:r>
              <w:rPr>
                <w:spacing w:val="-8"/>
                <w:sz w:val="20"/>
              </w:rPr>
              <w:t> </w:t>
            </w:r>
            <w:r>
              <w:rPr>
                <w:sz w:val="20"/>
              </w:rPr>
              <w:t>/</w:t>
            </w:r>
            <w:r>
              <w:rPr>
                <w:spacing w:val="-6"/>
                <w:sz w:val="20"/>
              </w:rPr>
              <w:t> </w:t>
            </w:r>
            <w:r>
              <w:rPr>
                <w:sz w:val="20"/>
              </w:rPr>
              <w:t>Planning</w:t>
            </w:r>
            <w:r>
              <w:rPr>
                <w:spacing w:val="1"/>
                <w:sz w:val="20"/>
              </w:rPr>
              <w:t> </w:t>
            </w:r>
            <w:r>
              <w:rPr>
                <w:sz w:val="20"/>
              </w:rPr>
              <w:t>Officer</w:t>
            </w:r>
            <w:r>
              <w:rPr>
                <w:spacing w:val="-8"/>
                <w:sz w:val="20"/>
              </w:rPr>
              <w:t> </w:t>
            </w:r>
            <w:r>
              <w:rPr>
                <w:spacing w:val="-2"/>
                <w:sz w:val="20"/>
              </w:rPr>
              <w:t>Assistant</w:t>
            </w:r>
          </w:p>
        </w:tc>
        <w:tc>
          <w:tcPr>
            <w:tcW w:w="1366" w:type="dxa"/>
            <w:tcBorders>
              <w:bottom w:val="single" w:sz="4" w:space="0" w:color="000000"/>
            </w:tcBorders>
          </w:tcPr>
          <w:p>
            <w:pPr>
              <w:pStyle w:val="TableParagraph"/>
              <w:spacing w:line="206" w:lineRule="exact"/>
              <w:ind w:left="580"/>
              <w:jc w:val="left"/>
              <w:rPr>
                <w:sz w:val="20"/>
              </w:rPr>
            </w:pPr>
            <w:r>
              <w:rPr>
                <w:spacing w:val="-2"/>
                <w:sz w:val="20"/>
              </w:rPr>
              <w:t>GS-</w:t>
            </w:r>
            <w:r>
              <w:rPr>
                <w:spacing w:val="-7"/>
                <w:sz w:val="20"/>
              </w:rPr>
              <w:t>OL</w:t>
            </w:r>
          </w:p>
        </w:tc>
        <w:tc>
          <w:tcPr>
            <w:tcW w:w="1956" w:type="dxa"/>
            <w:tcBorders>
              <w:bottom w:val="single" w:sz="4" w:space="0" w:color="000000"/>
            </w:tcBorders>
          </w:tcPr>
          <w:p>
            <w:pPr>
              <w:pStyle w:val="TableParagraph"/>
              <w:spacing w:line="206" w:lineRule="exact"/>
              <w:ind w:right="1112"/>
              <w:rPr>
                <w:sz w:val="20"/>
              </w:rPr>
            </w:pPr>
            <w:r>
              <w:rPr>
                <w:w w:val="100"/>
                <w:sz w:val="20"/>
              </w:rPr>
              <w:t>1</w:t>
            </w:r>
          </w:p>
        </w:tc>
      </w:tr>
      <w:tr>
        <w:trPr>
          <w:trHeight w:val="422" w:hRule="atLeast"/>
        </w:trPr>
        <w:tc>
          <w:tcPr>
            <w:tcW w:w="6378" w:type="dxa"/>
            <w:tcBorders>
              <w:top w:val="single" w:sz="4" w:space="0" w:color="000000"/>
            </w:tcBorders>
          </w:tcPr>
          <w:p>
            <w:pPr>
              <w:pStyle w:val="TableParagraph"/>
              <w:jc w:val="left"/>
              <w:rPr>
                <w:sz w:val="20"/>
              </w:rPr>
            </w:pPr>
          </w:p>
          <w:p>
            <w:pPr>
              <w:pStyle w:val="TableParagraph"/>
              <w:spacing w:before="10"/>
              <w:jc w:val="left"/>
              <w:rPr>
                <w:sz w:val="15"/>
              </w:rPr>
            </w:pPr>
          </w:p>
          <w:p>
            <w:pPr>
              <w:pStyle w:val="TableParagraph"/>
              <w:spacing w:line="20" w:lineRule="exact"/>
              <w:ind w:left="1162"/>
              <w:jc w:val="left"/>
              <w:rPr>
                <w:sz w:val="2"/>
              </w:rPr>
            </w:pPr>
            <w:r>
              <w:rPr>
                <w:sz w:val="2"/>
              </w:rPr>
              <w:pict>
                <v:group style="width:144.050pt;height:.5pt;mso-position-horizontal-relative:char;mso-position-vertical-relative:line" id="docshapegroup178" coordorigin="0,0" coordsize="2881,10">
                  <v:rect style="position:absolute;left:0;top:0;width:2881;height:10" id="docshape179" filled="true" fillcolor="#000000" stroked="false">
                    <v:fill type="solid"/>
                  </v:rect>
                </v:group>
              </w:pict>
            </w:r>
            <w:r>
              <w:rPr>
                <w:sz w:val="2"/>
              </w:rPr>
            </w:r>
          </w:p>
        </w:tc>
        <w:tc>
          <w:tcPr>
            <w:tcW w:w="1366" w:type="dxa"/>
            <w:tcBorders>
              <w:top w:val="single" w:sz="4" w:space="0" w:color="000000"/>
            </w:tcBorders>
          </w:tcPr>
          <w:p>
            <w:pPr>
              <w:pStyle w:val="TableParagraph"/>
              <w:jc w:val="left"/>
              <w:rPr>
                <w:sz w:val="18"/>
              </w:rPr>
            </w:pPr>
          </w:p>
        </w:tc>
        <w:tc>
          <w:tcPr>
            <w:tcW w:w="1956" w:type="dxa"/>
            <w:tcBorders>
              <w:top w:val="single" w:sz="4" w:space="0" w:color="000000"/>
            </w:tcBorders>
          </w:tcPr>
          <w:p>
            <w:pPr>
              <w:pStyle w:val="TableParagraph"/>
              <w:ind w:right="1112"/>
              <w:rPr>
                <w:b/>
                <w:sz w:val="20"/>
              </w:rPr>
            </w:pPr>
            <w:r>
              <w:rPr>
                <w:b/>
                <w:w w:val="100"/>
                <w:sz w:val="20"/>
              </w:rPr>
              <w:t>4</w:t>
            </w:r>
          </w:p>
        </w:tc>
      </w:tr>
    </w:tbl>
    <w:p>
      <w:pPr>
        <w:spacing w:line="183" w:lineRule="exact" w:before="109"/>
        <w:ind w:left="2246" w:right="0" w:firstLine="0"/>
        <w:jc w:val="left"/>
        <w:rPr>
          <w:sz w:val="16"/>
        </w:rPr>
      </w:pPr>
      <w:r>
        <w:rPr/>
        <w:pict>
          <v:rect style="position:absolute;margin-left:113.330002pt;margin-top:63.859947pt;width:371.180018pt;height:.48pt;mso-position-horizontal-relative:page;mso-position-vertical-relative:page;z-index:-43812352" id="docshape180" filled="true" fillcolor="#000000" stroked="false">
            <v:fill type="solid"/>
            <w10:wrap type="none"/>
          </v:rect>
        </w:pict>
      </w:r>
      <w:r>
        <w:rPr/>
        <w:pict>
          <v:rect style="position:absolute;margin-left:112.610008pt;margin-top:-8.441251pt;width:371.900018pt;height:.48pt;mso-position-horizontal-relative:page;mso-position-vertical-relative:paragraph;z-index:-43811840" id="docshape181" filled="true" fillcolor="#000000" stroked="false">
            <v:fill type="solid"/>
            <w10:wrap type="none"/>
          </v:rect>
        </w:pict>
      </w:r>
      <w:r>
        <w:rPr>
          <w:position w:val="5"/>
          <w:sz w:val="10"/>
        </w:rPr>
        <w:t>88</w:t>
      </w:r>
      <w:r>
        <w:rPr>
          <w:spacing w:val="13"/>
          <w:position w:val="5"/>
          <w:sz w:val="10"/>
        </w:rPr>
        <w:t> </w:t>
      </w:r>
      <w:r>
        <w:rPr>
          <w:sz w:val="16"/>
        </w:rPr>
        <w:t>New</w:t>
      </w:r>
      <w:r>
        <w:rPr>
          <w:spacing w:val="-3"/>
          <w:sz w:val="16"/>
        </w:rPr>
        <w:t> </w:t>
      </w:r>
      <w:r>
        <w:rPr>
          <w:spacing w:val="-2"/>
          <w:sz w:val="16"/>
        </w:rPr>
        <w:t>post.</w:t>
      </w:r>
    </w:p>
    <w:p>
      <w:pPr>
        <w:spacing w:line="183" w:lineRule="exact" w:before="0"/>
        <w:ind w:left="2246" w:right="0" w:firstLine="0"/>
        <w:jc w:val="left"/>
        <w:rPr>
          <w:sz w:val="16"/>
        </w:rPr>
      </w:pPr>
      <w:r>
        <w:rPr>
          <w:position w:val="5"/>
          <w:sz w:val="10"/>
        </w:rPr>
        <w:t>89</w:t>
      </w:r>
      <w:r>
        <w:rPr>
          <w:spacing w:val="13"/>
          <w:position w:val="5"/>
          <w:sz w:val="10"/>
        </w:rPr>
        <w:t> </w:t>
      </w:r>
      <w:r>
        <w:rPr>
          <w:sz w:val="16"/>
        </w:rPr>
        <w:t>New</w:t>
      </w:r>
      <w:r>
        <w:rPr>
          <w:spacing w:val="-3"/>
          <w:sz w:val="16"/>
        </w:rPr>
        <w:t> </w:t>
      </w:r>
      <w:r>
        <w:rPr>
          <w:spacing w:val="-2"/>
          <w:sz w:val="16"/>
        </w:rPr>
        <w:t>post.</w:t>
      </w:r>
    </w:p>
    <w:p>
      <w:pPr>
        <w:spacing w:after="0" w:line="183" w:lineRule="exact"/>
        <w:jc w:val="left"/>
        <w:rPr>
          <w:sz w:val="16"/>
        </w:rPr>
        <w:sectPr>
          <w:headerReference w:type="default" r:id="rId67"/>
          <w:headerReference w:type="even" r:id="rId68"/>
          <w:footerReference w:type="default" r:id="rId69"/>
          <w:footerReference w:type="even" r:id="rId70"/>
          <w:pgSz w:w="11910" w:h="16840"/>
          <w:pgMar w:header="953" w:footer="940" w:top="1140" w:bottom="1140" w:left="20" w:right="20"/>
          <w:pgNumType w:start="85"/>
        </w:sectPr>
      </w:pPr>
    </w:p>
    <w:p>
      <w:pPr>
        <w:pStyle w:val="BodyText"/>
        <w:spacing w:before="9"/>
        <w:rPr>
          <w:sz w:val="10"/>
        </w:rPr>
      </w:pPr>
    </w:p>
    <w:tbl>
      <w:tblPr>
        <w:tblW w:w="0" w:type="auto"/>
        <w:jc w:val="left"/>
        <w:tblInd w:w="2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99"/>
        <w:gridCol w:w="1297"/>
        <w:gridCol w:w="848"/>
      </w:tblGrid>
      <w:tr>
        <w:trPr>
          <w:trHeight w:val="273" w:hRule="atLeast"/>
        </w:trPr>
        <w:tc>
          <w:tcPr>
            <w:tcW w:w="5299" w:type="dxa"/>
            <w:tcBorders>
              <w:top w:val="single" w:sz="4" w:space="0" w:color="000000"/>
              <w:bottom w:val="single" w:sz="4" w:space="0" w:color="000000"/>
            </w:tcBorders>
          </w:tcPr>
          <w:p>
            <w:pPr>
              <w:pStyle w:val="TableParagraph"/>
              <w:spacing w:line="229" w:lineRule="exact" w:before="24"/>
              <w:ind w:left="14"/>
              <w:jc w:val="left"/>
              <w:rPr>
                <w:i/>
                <w:sz w:val="20"/>
              </w:rPr>
            </w:pPr>
            <w:r>
              <w:rPr>
                <w:i/>
                <w:spacing w:val="-2"/>
                <w:sz w:val="20"/>
              </w:rPr>
              <w:t>Title</w:t>
            </w:r>
          </w:p>
        </w:tc>
        <w:tc>
          <w:tcPr>
            <w:tcW w:w="1297" w:type="dxa"/>
            <w:tcBorders>
              <w:top w:val="single" w:sz="4" w:space="0" w:color="000000"/>
              <w:bottom w:val="single" w:sz="4" w:space="0" w:color="000000"/>
            </w:tcBorders>
          </w:tcPr>
          <w:p>
            <w:pPr>
              <w:pStyle w:val="TableParagraph"/>
              <w:spacing w:line="229" w:lineRule="exact" w:before="24"/>
              <w:ind w:left="511"/>
              <w:jc w:val="left"/>
              <w:rPr>
                <w:i/>
                <w:sz w:val="20"/>
              </w:rPr>
            </w:pPr>
            <w:r>
              <w:rPr>
                <w:i/>
                <w:spacing w:val="-2"/>
                <w:sz w:val="20"/>
              </w:rPr>
              <w:t>Grade</w:t>
            </w:r>
          </w:p>
        </w:tc>
        <w:tc>
          <w:tcPr>
            <w:tcW w:w="848" w:type="dxa"/>
            <w:tcBorders>
              <w:top w:val="single" w:sz="4" w:space="0" w:color="000000"/>
              <w:bottom w:val="single" w:sz="4" w:space="0" w:color="000000"/>
            </w:tcBorders>
          </w:tcPr>
          <w:p>
            <w:pPr>
              <w:pStyle w:val="TableParagraph"/>
              <w:spacing w:line="229" w:lineRule="exact" w:before="24"/>
              <w:ind w:right="-15"/>
              <w:rPr>
                <w:i/>
                <w:sz w:val="20"/>
              </w:rPr>
            </w:pPr>
            <w:r>
              <w:rPr>
                <w:i/>
                <w:spacing w:val="-2"/>
                <w:sz w:val="20"/>
              </w:rPr>
              <w:t>Number</w:t>
            </w:r>
          </w:p>
        </w:tc>
      </w:tr>
      <w:tr>
        <w:trPr>
          <w:trHeight w:val="306" w:hRule="atLeast"/>
        </w:trPr>
        <w:tc>
          <w:tcPr>
            <w:tcW w:w="5299" w:type="dxa"/>
            <w:tcBorders>
              <w:top w:val="single" w:sz="4" w:space="0" w:color="000000"/>
              <w:bottom w:val="single" w:sz="4" w:space="0" w:color="000000"/>
            </w:tcBorders>
          </w:tcPr>
          <w:p>
            <w:pPr>
              <w:pStyle w:val="TableParagraph"/>
              <w:spacing w:before="43"/>
              <w:ind w:left="14"/>
              <w:jc w:val="left"/>
              <w:rPr>
                <w:i/>
                <w:sz w:val="20"/>
              </w:rPr>
            </w:pPr>
            <w:r>
              <w:rPr>
                <w:i/>
                <w:sz w:val="20"/>
              </w:rPr>
              <w:t>Information,</w:t>
            </w:r>
            <w:r>
              <w:rPr>
                <w:i/>
                <w:spacing w:val="-6"/>
                <w:sz w:val="20"/>
              </w:rPr>
              <w:t> </w:t>
            </w:r>
            <w:r>
              <w:rPr>
                <w:i/>
                <w:sz w:val="20"/>
              </w:rPr>
              <w:t>Knowledge</w:t>
            </w:r>
            <w:r>
              <w:rPr>
                <w:i/>
                <w:spacing w:val="-6"/>
                <w:sz w:val="20"/>
              </w:rPr>
              <w:t> </w:t>
            </w:r>
            <w:r>
              <w:rPr>
                <w:i/>
                <w:sz w:val="20"/>
              </w:rPr>
              <w:t>and</w:t>
            </w:r>
            <w:r>
              <w:rPr>
                <w:i/>
                <w:spacing w:val="-11"/>
                <w:sz w:val="20"/>
              </w:rPr>
              <w:t> </w:t>
            </w:r>
            <w:r>
              <w:rPr>
                <w:i/>
                <w:sz w:val="20"/>
              </w:rPr>
              <w:t>Evidence</w:t>
            </w:r>
            <w:r>
              <w:rPr>
                <w:i/>
                <w:spacing w:val="-10"/>
                <w:sz w:val="20"/>
              </w:rPr>
              <w:t> </w:t>
            </w:r>
            <w:r>
              <w:rPr>
                <w:i/>
                <w:sz w:val="20"/>
              </w:rPr>
              <w:t>Management</w:t>
            </w:r>
            <w:r>
              <w:rPr>
                <w:i/>
                <w:spacing w:val="-10"/>
                <w:sz w:val="20"/>
              </w:rPr>
              <w:t> </w:t>
            </w:r>
            <w:r>
              <w:rPr>
                <w:i/>
                <w:spacing w:val="-2"/>
                <w:sz w:val="20"/>
              </w:rPr>
              <w:t>Section</w:t>
            </w:r>
          </w:p>
        </w:tc>
        <w:tc>
          <w:tcPr>
            <w:tcW w:w="1297" w:type="dxa"/>
            <w:tcBorders>
              <w:top w:val="single" w:sz="4" w:space="0" w:color="000000"/>
              <w:bottom w:val="single" w:sz="4" w:space="0" w:color="000000"/>
            </w:tcBorders>
          </w:tcPr>
          <w:p>
            <w:pPr>
              <w:pStyle w:val="TableParagraph"/>
              <w:jc w:val="left"/>
              <w:rPr>
                <w:sz w:val="18"/>
              </w:rPr>
            </w:pPr>
          </w:p>
        </w:tc>
        <w:tc>
          <w:tcPr>
            <w:tcW w:w="848" w:type="dxa"/>
            <w:tcBorders>
              <w:top w:val="single" w:sz="4" w:space="0" w:color="000000"/>
              <w:bottom w:val="single" w:sz="4" w:space="0" w:color="000000"/>
            </w:tcBorders>
          </w:tcPr>
          <w:p>
            <w:pPr>
              <w:pStyle w:val="TableParagraph"/>
              <w:jc w:val="left"/>
              <w:rPr>
                <w:sz w:val="18"/>
              </w:rPr>
            </w:pPr>
          </w:p>
        </w:tc>
      </w:tr>
      <w:tr>
        <w:trPr>
          <w:trHeight w:val="320" w:hRule="atLeast"/>
        </w:trPr>
        <w:tc>
          <w:tcPr>
            <w:tcW w:w="5299" w:type="dxa"/>
            <w:tcBorders>
              <w:top w:val="single" w:sz="4" w:space="0" w:color="000000"/>
            </w:tcBorders>
          </w:tcPr>
          <w:p>
            <w:pPr>
              <w:pStyle w:val="TableParagraph"/>
              <w:spacing w:before="48"/>
              <w:ind w:left="14"/>
              <w:jc w:val="left"/>
              <w:rPr>
                <w:sz w:val="20"/>
              </w:rPr>
            </w:pPr>
            <w:r>
              <w:rPr>
                <w:sz w:val="20"/>
              </w:rPr>
              <w:t>Information</w:t>
            </w:r>
            <w:r>
              <w:rPr>
                <w:spacing w:val="-12"/>
                <w:sz w:val="20"/>
              </w:rPr>
              <w:t> </w:t>
            </w:r>
            <w:r>
              <w:rPr>
                <w:sz w:val="20"/>
              </w:rPr>
              <w:t>Management</w:t>
            </w:r>
            <w:r>
              <w:rPr>
                <w:spacing w:val="-10"/>
                <w:sz w:val="20"/>
              </w:rPr>
              <w:t> </w:t>
            </w:r>
            <w:r>
              <w:rPr>
                <w:spacing w:val="-2"/>
                <w:sz w:val="20"/>
              </w:rPr>
              <w:t>Coordinator</w:t>
            </w:r>
          </w:p>
        </w:tc>
        <w:tc>
          <w:tcPr>
            <w:tcW w:w="1297" w:type="dxa"/>
            <w:tcBorders>
              <w:top w:val="single" w:sz="4" w:space="0" w:color="000000"/>
            </w:tcBorders>
          </w:tcPr>
          <w:p>
            <w:pPr>
              <w:pStyle w:val="TableParagraph"/>
              <w:spacing w:before="48"/>
              <w:ind w:left="511"/>
              <w:jc w:val="left"/>
              <w:rPr>
                <w:sz w:val="20"/>
              </w:rPr>
            </w:pPr>
            <w:r>
              <w:rPr>
                <w:spacing w:val="-2"/>
                <w:sz w:val="20"/>
              </w:rPr>
              <w:t>P-</w:t>
            </w:r>
            <w:r>
              <w:rPr>
                <w:spacing w:val="-10"/>
                <w:sz w:val="20"/>
              </w:rPr>
              <w:t>5</w:t>
            </w:r>
          </w:p>
        </w:tc>
        <w:tc>
          <w:tcPr>
            <w:tcW w:w="848" w:type="dxa"/>
            <w:tcBorders>
              <w:top w:val="single" w:sz="4" w:space="0" w:color="000000"/>
            </w:tcBorders>
          </w:tcPr>
          <w:p>
            <w:pPr>
              <w:pStyle w:val="TableParagraph"/>
              <w:spacing w:before="48"/>
              <w:ind w:right="5"/>
              <w:rPr>
                <w:sz w:val="20"/>
              </w:rPr>
            </w:pPr>
            <w:r>
              <w:rPr>
                <w:w w:val="100"/>
                <w:sz w:val="20"/>
              </w:rPr>
              <w:t>1</w:t>
            </w:r>
          </w:p>
        </w:tc>
      </w:tr>
      <w:tr>
        <w:trPr>
          <w:trHeight w:val="303" w:hRule="atLeast"/>
        </w:trPr>
        <w:tc>
          <w:tcPr>
            <w:tcW w:w="5299" w:type="dxa"/>
            <w:tcBorders>
              <w:bottom w:val="single" w:sz="4" w:space="0" w:color="000000"/>
            </w:tcBorders>
          </w:tcPr>
          <w:p>
            <w:pPr>
              <w:pStyle w:val="TableParagraph"/>
              <w:spacing w:before="35"/>
              <w:ind w:left="14"/>
              <w:jc w:val="left"/>
              <w:rPr>
                <w:sz w:val="20"/>
              </w:rPr>
            </w:pPr>
            <w:r>
              <w:rPr>
                <w:sz w:val="20"/>
              </w:rPr>
              <w:t>Project</w:t>
            </w:r>
            <w:r>
              <w:rPr>
                <w:spacing w:val="-8"/>
                <w:sz w:val="20"/>
              </w:rPr>
              <w:t> </w:t>
            </w:r>
            <w:r>
              <w:rPr>
                <w:sz w:val="20"/>
              </w:rPr>
              <w:t>Coordination</w:t>
            </w:r>
            <w:r>
              <w:rPr>
                <w:spacing w:val="-5"/>
                <w:sz w:val="20"/>
              </w:rPr>
              <w:t> </w:t>
            </w:r>
            <w:r>
              <w:rPr>
                <w:spacing w:val="-2"/>
                <w:sz w:val="20"/>
              </w:rPr>
              <w:t>Assistant</w:t>
            </w:r>
          </w:p>
        </w:tc>
        <w:tc>
          <w:tcPr>
            <w:tcW w:w="1297" w:type="dxa"/>
            <w:tcBorders>
              <w:bottom w:val="single" w:sz="4" w:space="0" w:color="000000"/>
            </w:tcBorders>
          </w:tcPr>
          <w:p>
            <w:pPr>
              <w:pStyle w:val="TableParagraph"/>
              <w:spacing w:before="35"/>
              <w:ind w:left="511"/>
              <w:jc w:val="left"/>
              <w:rPr>
                <w:sz w:val="20"/>
              </w:rPr>
            </w:pPr>
            <w:r>
              <w:rPr>
                <w:spacing w:val="-2"/>
                <w:sz w:val="20"/>
              </w:rPr>
              <w:t>GS-</w:t>
            </w:r>
            <w:r>
              <w:rPr>
                <w:spacing w:val="-7"/>
                <w:sz w:val="20"/>
              </w:rPr>
              <w:t>OL</w:t>
            </w:r>
          </w:p>
        </w:tc>
        <w:tc>
          <w:tcPr>
            <w:tcW w:w="848" w:type="dxa"/>
            <w:tcBorders>
              <w:bottom w:val="single" w:sz="4" w:space="0" w:color="000000"/>
            </w:tcBorders>
          </w:tcPr>
          <w:p>
            <w:pPr>
              <w:pStyle w:val="TableParagraph"/>
              <w:spacing w:before="35"/>
              <w:ind w:right="5"/>
              <w:rPr>
                <w:sz w:val="20"/>
              </w:rPr>
            </w:pPr>
            <w:r>
              <w:rPr>
                <w:w w:val="100"/>
                <w:sz w:val="20"/>
              </w:rPr>
              <w:t>1</w:t>
            </w:r>
          </w:p>
        </w:tc>
      </w:tr>
      <w:tr>
        <w:trPr>
          <w:trHeight w:val="307" w:hRule="atLeast"/>
        </w:trPr>
        <w:tc>
          <w:tcPr>
            <w:tcW w:w="5299" w:type="dxa"/>
            <w:tcBorders>
              <w:top w:val="single" w:sz="4" w:space="0" w:color="000000"/>
              <w:bottom w:val="single" w:sz="4" w:space="0" w:color="000000"/>
            </w:tcBorders>
          </w:tcPr>
          <w:p>
            <w:pPr>
              <w:pStyle w:val="TableParagraph"/>
              <w:jc w:val="left"/>
              <w:rPr>
                <w:sz w:val="18"/>
              </w:rPr>
            </w:pPr>
          </w:p>
        </w:tc>
        <w:tc>
          <w:tcPr>
            <w:tcW w:w="1297" w:type="dxa"/>
            <w:tcBorders>
              <w:top w:val="single" w:sz="4" w:space="0" w:color="000000"/>
              <w:bottom w:val="single" w:sz="4" w:space="0" w:color="000000"/>
            </w:tcBorders>
          </w:tcPr>
          <w:p>
            <w:pPr>
              <w:pStyle w:val="TableParagraph"/>
              <w:jc w:val="left"/>
              <w:rPr>
                <w:sz w:val="18"/>
              </w:rPr>
            </w:pPr>
          </w:p>
        </w:tc>
        <w:tc>
          <w:tcPr>
            <w:tcW w:w="848" w:type="dxa"/>
            <w:tcBorders>
              <w:top w:val="single" w:sz="4" w:space="0" w:color="000000"/>
              <w:bottom w:val="single" w:sz="4" w:space="0" w:color="000000"/>
            </w:tcBorders>
          </w:tcPr>
          <w:p>
            <w:pPr>
              <w:pStyle w:val="TableParagraph"/>
              <w:spacing w:before="44"/>
              <w:ind w:right="5"/>
              <w:rPr>
                <w:b/>
                <w:sz w:val="20"/>
              </w:rPr>
            </w:pPr>
            <w:r>
              <w:rPr>
                <w:b/>
                <w:w w:val="100"/>
                <w:sz w:val="20"/>
              </w:rPr>
              <w:t>2</w:t>
            </w:r>
          </w:p>
        </w:tc>
      </w:tr>
      <w:tr>
        <w:trPr>
          <w:trHeight w:val="273" w:hRule="atLeast"/>
        </w:trPr>
        <w:tc>
          <w:tcPr>
            <w:tcW w:w="5299" w:type="dxa"/>
            <w:tcBorders>
              <w:top w:val="single" w:sz="4" w:space="0" w:color="000000"/>
              <w:bottom w:val="single" w:sz="4" w:space="0" w:color="000000"/>
            </w:tcBorders>
          </w:tcPr>
          <w:p>
            <w:pPr>
              <w:pStyle w:val="TableParagraph"/>
              <w:spacing w:before="19"/>
              <w:ind w:left="168"/>
              <w:jc w:val="left"/>
              <w:rPr>
                <w:i/>
                <w:sz w:val="20"/>
              </w:rPr>
            </w:pPr>
            <w:r>
              <w:rPr>
                <w:i/>
                <w:sz w:val="20"/>
              </w:rPr>
              <w:t>Information</w:t>
            </w:r>
            <w:r>
              <w:rPr>
                <w:i/>
                <w:spacing w:val="-6"/>
                <w:sz w:val="20"/>
              </w:rPr>
              <w:t> </w:t>
            </w:r>
            <w:r>
              <w:rPr>
                <w:i/>
                <w:sz w:val="20"/>
              </w:rPr>
              <w:t>and</w:t>
            </w:r>
            <w:r>
              <w:rPr>
                <w:i/>
                <w:spacing w:val="-11"/>
                <w:sz w:val="20"/>
              </w:rPr>
              <w:t> </w:t>
            </w:r>
            <w:r>
              <w:rPr>
                <w:i/>
                <w:sz w:val="20"/>
              </w:rPr>
              <w:t>Evidence</w:t>
            </w:r>
            <w:r>
              <w:rPr>
                <w:i/>
                <w:spacing w:val="-4"/>
                <w:sz w:val="20"/>
              </w:rPr>
              <w:t> </w:t>
            </w:r>
            <w:r>
              <w:rPr>
                <w:i/>
                <w:sz w:val="20"/>
              </w:rPr>
              <w:t>Unit</w:t>
            </w:r>
            <w:r>
              <w:rPr>
                <w:i/>
                <w:spacing w:val="-8"/>
                <w:sz w:val="20"/>
              </w:rPr>
              <w:t> </w:t>
            </w:r>
            <w:r>
              <w:rPr>
                <w:i/>
                <w:spacing w:val="-4"/>
                <w:sz w:val="20"/>
              </w:rPr>
              <w:t>(IEU)</w:t>
            </w:r>
          </w:p>
        </w:tc>
        <w:tc>
          <w:tcPr>
            <w:tcW w:w="1297" w:type="dxa"/>
            <w:tcBorders>
              <w:top w:val="single" w:sz="4" w:space="0" w:color="000000"/>
              <w:bottom w:val="single" w:sz="4" w:space="0" w:color="000000"/>
            </w:tcBorders>
          </w:tcPr>
          <w:p>
            <w:pPr>
              <w:pStyle w:val="TableParagraph"/>
              <w:jc w:val="left"/>
              <w:rPr>
                <w:sz w:val="18"/>
              </w:rPr>
            </w:pPr>
          </w:p>
        </w:tc>
        <w:tc>
          <w:tcPr>
            <w:tcW w:w="848" w:type="dxa"/>
            <w:tcBorders>
              <w:top w:val="single" w:sz="4" w:space="0" w:color="000000"/>
              <w:bottom w:val="single" w:sz="4" w:space="0" w:color="000000"/>
            </w:tcBorders>
          </w:tcPr>
          <w:p>
            <w:pPr>
              <w:pStyle w:val="TableParagraph"/>
              <w:jc w:val="left"/>
              <w:rPr>
                <w:sz w:val="18"/>
              </w:rPr>
            </w:pPr>
          </w:p>
        </w:tc>
      </w:tr>
      <w:tr>
        <w:trPr>
          <w:trHeight w:val="272" w:hRule="atLeast"/>
        </w:trPr>
        <w:tc>
          <w:tcPr>
            <w:tcW w:w="5299" w:type="dxa"/>
            <w:tcBorders>
              <w:top w:val="single" w:sz="4" w:space="0" w:color="000000"/>
            </w:tcBorders>
          </w:tcPr>
          <w:p>
            <w:pPr>
              <w:pStyle w:val="TableParagraph"/>
              <w:spacing w:before="19"/>
              <w:ind w:left="14"/>
              <w:jc w:val="left"/>
              <w:rPr>
                <w:sz w:val="20"/>
              </w:rPr>
            </w:pPr>
            <w:r>
              <w:rPr>
                <w:sz w:val="20"/>
              </w:rPr>
              <w:t>Head,</w:t>
            </w:r>
            <w:r>
              <w:rPr>
                <w:spacing w:val="-3"/>
                <w:sz w:val="20"/>
              </w:rPr>
              <w:t> </w:t>
            </w:r>
            <w:r>
              <w:rPr>
                <w:sz w:val="20"/>
              </w:rPr>
              <w:t>Information</w:t>
            </w:r>
            <w:r>
              <w:rPr>
                <w:spacing w:val="-9"/>
                <w:sz w:val="20"/>
              </w:rPr>
              <w:t> </w:t>
            </w:r>
            <w:r>
              <w:rPr>
                <w:sz w:val="20"/>
              </w:rPr>
              <w:t>and</w:t>
            </w:r>
            <w:r>
              <w:rPr>
                <w:spacing w:val="-6"/>
                <w:sz w:val="20"/>
              </w:rPr>
              <w:t> </w:t>
            </w:r>
            <w:r>
              <w:rPr>
                <w:sz w:val="20"/>
              </w:rPr>
              <w:t>Evidence</w:t>
            </w:r>
            <w:r>
              <w:rPr>
                <w:spacing w:val="-6"/>
                <w:sz w:val="20"/>
              </w:rPr>
              <w:t> </w:t>
            </w:r>
            <w:r>
              <w:rPr>
                <w:spacing w:val="-4"/>
                <w:sz w:val="20"/>
              </w:rPr>
              <w:t>Unit</w:t>
            </w:r>
          </w:p>
        </w:tc>
        <w:tc>
          <w:tcPr>
            <w:tcW w:w="1297" w:type="dxa"/>
            <w:tcBorders>
              <w:top w:val="single" w:sz="4" w:space="0" w:color="000000"/>
            </w:tcBorders>
          </w:tcPr>
          <w:p>
            <w:pPr>
              <w:pStyle w:val="TableParagraph"/>
              <w:spacing w:before="19"/>
              <w:ind w:left="511"/>
              <w:jc w:val="left"/>
              <w:rPr>
                <w:sz w:val="20"/>
              </w:rPr>
            </w:pPr>
            <w:r>
              <w:rPr>
                <w:spacing w:val="-2"/>
                <w:sz w:val="20"/>
              </w:rPr>
              <w:t>P-</w:t>
            </w:r>
            <w:r>
              <w:rPr>
                <w:spacing w:val="-10"/>
                <w:sz w:val="20"/>
              </w:rPr>
              <w:t>3</w:t>
            </w:r>
          </w:p>
        </w:tc>
        <w:tc>
          <w:tcPr>
            <w:tcW w:w="848" w:type="dxa"/>
            <w:tcBorders>
              <w:top w:val="single" w:sz="4" w:space="0" w:color="000000"/>
            </w:tcBorders>
          </w:tcPr>
          <w:p>
            <w:pPr>
              <w:pStyle w:val="TableParagraph"/>
              <w:spacing w:before="19"/>
              <w:ind w:right="5"/>
              <w:rPr>
                <w:sz w:val="20"/>
              </w:rPr>
            </w:pPr>
            <w:r>
              <w:rPr>
                <w:w w:val="100"/>
                <w:sz w:val="20"/>
              </w:rPr>
              <w:t>1</w:t>
            </w:r>
          </w:p>
        </w:tc>
      </w:tr>
      <w:tr>
        <w:trPr>
          <w:trHeight w:val="268" w:hRule="atLeast"/>
        </w:trPr>
        <w:tc>
          <w:tcPr>
            <w:tcW w:w="5299" w:type="dxa"/>
          </w:tcPr>
          <w:p>
            <w:pPr>
              <w:pStyle w:val="TableParagraph"/>
              <w:spacing w:before="15"/>
              <w:ind w:left="14"/>
              <w:jc w:val="left"/>
              <w:rPr>
                <w:sz w:val="20"/>
              </w:rPr>
            </w:pPr>
            <w:r>
              <w:rPr>
                <w:sz w:val="20"/>
              </w:rPr>
              <w:t>Associate</w:t>
            </w:r>
            <w:r>
              <w:rPr>
                <w:spacing w:val="-8"/>
                <w:sz w:val="20"/>
              </w:rPr>
              <w:t> </w:t>
            </w:r>
            <w:r>
              <w:rPr>
                <w:sz w:val="20"/>
              </w:rPr>
              <w:t>Information</w:t>
            </w:r>
            <w:r>
              <w:rPr>
                <w:spacing w:val="-9"/>
                <w:sz w:val="20"/>
              </w:rPr>
              <w:t> </w:t>
            </w:r>
            <w:r>
              <w:rPr>
                <w:sz w:val="20"/>
              </w:rPr>
              <w:t>and</w:t>
            </w:r>
            <w:r>
              <w:rPr>
                <w:spacing w:val="-9"/>
                <w:sz w:val="20"/>
              </w:rPr>
              <w:t> </w:t>
            </w:r>
            <w:r>
              <w:rPr>
                <w:sz w:val="20"/>
              </w:rPr>
              <w:t>Evidence</w:t>
            </w:r>
            <w:r>
              <w:rPr>
                <w:spacing w:val="-3"/>
                <w:sz w:val="20"/>
              </w:rPr>
              <w:t> </w:t>
            </w:r>
            <w:r>
              <w:rPr>
                <w:spacing w:val="-2"/>
                <w:sz w:val="20"/>
              </w:rPr>
              <w:t>Officer</w:t>
            </w:r>
          </w:p>
        </w:tc>
        <w:tc>
          <w:tcPr>
            <w:tcW w:w="1297" w:type="dxa"/>
          </w:tcPr>
          <w:p>
            <w:pPr>
              <w:pStyle w:val="TableParagraph"/>
              <w:spacing w:before="15"/>
              <w:ind w:left="511"/>
              <w:jc w:val="left"/>
              <w:rPr>
                <w:sz w:val="20"/>
              </w:rPr>
            </w:pPr>
            <w:r>
              <w:rPr>
                <w:spacing w:val="-2"/>
                <w:sz w:val="20"/>
              </w:rPr>
              <w:t>P-</w:t>
            </w:r>
            <w:r>
              <w:rPr>
                <w:spacing w:val="-10"/>
                <w:sz w:val="20"/>
              </w:rPr>
              <w:t>2</w:t>
            </w:r>
          </w:p>
        </w:tc>
        <w:tc>
          <w:tcPr>
            <w:tcW w:w="848" w:type="dxa"/>
          </w:tcPr>
          <w:p>
            <w:pPr>
              <w:pStyle w:val="TableParagraph"/>
              <w:spacing w:before="15"/>
              <w:ind w:right="5"/>
              <w:rPr>
                <w:sz w:val="20"/>
              </w:rPr>
            </w:pPr>
            <w:r>
              <w:rPr>
                <w:w w:val="100"/>
                <w:sz w:val="20"/>
              </w:rPr>
              <w:t>1</w:t>
            </w:r>
          </w:p>
        </w:tc>
      </w:tr>
      <w:tr>
        <w:trPr>
          <w:trHeight w:val="271" w:hRule="atLeast"/>
        </w:trPr>
        <w:tc>
          <w:tcPr>
            <w:tcW w:w="5299" w:type="dxa"/>
          </w:tcPr>
          <w:p>
            <w:pPr>
              <w:pStyle w:val="TableParagraph"/>
              <w:spacing w:before="15"/>
              <w:ind w:left="14"/>
              <w:jc w:val="left"/>
              <w:rPr>
                <w:sz w:val="20"/>
              </w:rPr>
            </w:pPr>
            <w:r>
              <w:rPr>
                <w:sz w:val="20"/>
              </w:rPr>
              <w:t>Data</w:t>
            </w:r>
            <w:r>
              <w:rPr>
                <w:spacing w:val="-6"/>
                <w:sz w:val="20"/>
              </w:rPr>
              <w:t> </w:t>
            </w:r>
            <w:r>
              <w:rPr>
                <w:sz w:val="20"/>
              </w:rPr>
              <w:t>Processing</w:t>
            </w:r>
            <w:r>
              <w:rPr>
                <w:spacing w:val="-6"/>
                <w:sz w:val="20"/>
              </w:rPr>
              <w:t> </w:t>
            </w:r>
            <w:r>
              <w:rPr>
                <w:spacing w:val="-2"/>
                <w:sz w:val="20"/>
              </w:rPr>
              <w:t>Assistant</w:t>
            </w:r>
          </w:p>
        </w:tc>
        <w:tc>
          <w:tcPr>
            <w:tcW w:w="1297" w:type="dxa"/>
          </w:tcPr>
          <w:p>
            <w:pPr>
              <w:pStyle w:val="TableParagraph"/>
              <w:spacing w:before="15"/>
              <w:ind w:left="511"/>
              <w:jc w:val="left"/>
              <w:rPr>
                <w:sz w:val="20"/>
              </w:rPr>
            </w:pPr>
            <w:r>
              <w:rPr>
                <w:spacing w:val="-2"/>
                <w:sz w:val="20"/>
              </w:rPr>
              <w:t>GS-</w:t>
            </w:r>
            <w:r>
              <w:rPr>
                <w:spacing w:val="-7"/>
                <w:sz w:val="20"/>
              </w:rPr>
              <w:t>OL</w:t>
            </w:r>
          </w:p>
        </w:tc>
        <w:tc>
          <w:tcPr>
            <w:tcW w:w="848" w:type="dxa"/>
          </w:tcPr>
          <w:p>
            <w:pPr>
              <w:pStyle w:val="TableParagraph"/>
              <w:spacing w:before="15"/>
              <w:ind w:right="5"/>
              <w:rPr>
                <w:sz w:val="20"/>
              </w:rPr>
            </w:pPr>
            <w:r>
              <w:rPr>
                <w:w w:val="100"/>
                <w:sz w:val="20"/>
              </w:rPr>
              <w:t>5</w:t>
            </w:r>
          </w:p>
        </w:tc>
      </w:tr>
      <w:tr>
        <w:trPr>
          <w:trHeight w:val="271" w:hRule="atLeast"/>
        </w:trPr>
        <w:tc>
          <w:tcPr>
            <w:tcW w:w="5299" w:type="dxa"/>
          </w:tcPr>
          <w:p>
            <w:pPr>
              <w:pStyle w:val="TableParagraph"/>
              <w:spacing w:before="18"/>
              <w:ind w:left="14"/>
              <w:jc w:val="left"/>
              <w:rPr>
                <w:sz w:val="20"/>
              </w:rPr>
            </w:pPr>
            <w:r>
              <w:rPr>
                <w:sz w:val="20"/>
              </w:rPr>
              <w:t>Information</w:t>
            </w:r>
            <w:r>
              <w:rPr>
                <w:spacing w:val="-9"/>
                <w:sz w:val="20"/>
              </w:rPr>
              <w:t> </w:t>
            </w:r>
            <w:r>
              <w:rPr>
                <w:sz w:val="20"/>
              </w:rPr>
              <w:t>Storage</w:t>
            </w:r>
            <w:r>
              <w:rPr>
                <w:spacing w:val="-6"/>
                <w:sz w:val="20"/>
              </w:rPr>
              <w:t> </w:t>
            </w:r>
            <w:r>
              <w:rPr>
                <w:spacing w:val="-2"/>
                <w:sz w:val="20"/>
              </w:rPr>
              <w:t>Assistant</w:t>
            </w:r>
          </w:p>
        </w:tc>
        <w:tc>
          <w:tcPr>
            <w:tcW w:w="1297" w:type="dxa"/>
          </w:tcPr>
          <w:p>
            <w:pPr>
              <w:pStyle w:val="TableParagraph"/>
              <w:spacing w:before="18"/>
              <w:ind w:left="511"/>
              <w:jc w:val="left"/>
              <w:rPr>
                <w:sz w:val="20"/>
              </w:rPr>
            </w:pPr>
            <w:r>
              <w:rPr>
                <w:spacing w:val="-2"/>
                <w:sz w:val="20"/>
              </w:rPr>
              <w:t>GS-</w:t>
            </w:r>
            <w:r>
              <w:rPr>
                <w:spacing w:val="-7"/>
                <w:sz w:val="20"/>
              </w:rPr>
              <w:t>OL</w:t>
            </w:r>
          </w:p>
        </w:tc>
        <w:tc>
          <w:tcPr>
            <w:tcW w:w="848" w:type="dxa"/>
          </w:tcPr>
          <w:p>
            <w:pPr>
              <w:pStyle w:val="TableParagraph"/>
              <w:spacing w:before="18"/>
              <w:ind w:right="5"/>
              <w:rPr>
                <w:sz w:val="20"/>
              </w:rPr>
            </w:pPr>
            <w:r>
              <w:rPr>
                <w:w w:val="100"/>
                <w:sz w:val="20"/>
              </w:rPr>
              <w:t>1</w:t>
            </w:r>
          </w:p>
        </w:tc>
      </w:tr>
      <w:tr>
        <w:trPr>
          <w:trHeight w:val="265" w:hRule="atLeast"/>
        </w:trPr>
        <w:tc>
          <w:tcPr>
            <w:tcW w:w="5299" w:type="dxa"/>
          </w:tcPr>
          <w:p>
            <w:pPr>
              <w:pStyle w:val="TableParagraph"/>
              <w:spacing w:line="229" w:lineRule="exact" w:before="16"/>
              <w:ind w:left="14"/>
              <w:jc w:val="left"/>
              <w:rPr>
                <w:sz w:val="20"/>
              </w:rPr>
            </w:pPr>
            <w:r>
              <w:rPr>
                <w:sz w:val="20"/>
              </w:rPr>
              <w:t>Senior</w:t>
            </w:r>
            <w:r>
              <w:rPr>
                <w:spacing w:val="-9"/>
                <w:sz w:val="20"/>
              </w:rPr>
              <w:t> </w:t>
            </w:r>
            <w:r>
              <w:rPr>
                <w:sz w:val="20"/>
              </w:rPr>
              <w:t>Evidence</w:t>
            </w:r>
            <w:r>
              <w:rPr>
                <w:spacing w:val="-1"/>
                <w:sz w:val="20"/>
              </w:rPr>
              <w:t> </w:t>
            </w:r>
            <w:r>
              <w:rPr>
                <w:spacing w:val="-2"/>
                <w:sz w:val="20"/>
              </w:rPr>
              <w:t>Assistant</w:t>
            </w:r>
          </w:p>
        </w:tc>
        <w:tc>
          <w:tcPr>
            <w:tcW w:w="1297" w:type="dxa"/>
          </w:tcPr>
          <w:p>
            <w:pPr>
              <w:pStyle w:val="TableParagraph"/>
              <w:spacing w:line="229" w:lineRule="exact" w:before="16"/>
              <w:ind w:left="511"/>
              <w:jc w:val="left"/>
              <w:rPr>
                <w:sz w:val="20"/>
              </w:rPr>
            </w:pPr>
            <w:r>
              <w:rPr>
                <w:spacing w:val="-2"/>
                <w:sz w:val="20"/>
              </w:rPr>
              <w:t>GS-</w:t>
            </w:r>
            <w:r>
              <w:rPr>
                <w:spacing w:val="-7"/>
                <w:sz w:val="20"/>
              </w:rPr>
              <w:t>OL</w:t>
            </w:r>
          </w:p>
        </w:tc>
        <w:tc>
          <w:tcPr>
            <w:tcW w:w="848" w:type="dxa"/>
          </w:tcPr>
          <w:p>
            <w:pPr>
              <w:pStyle w:val="TableParagraph"/>
              <w:spacing w:line="229" w:lineRule="exact" w:before="16"/>
              <w:ind w:right="5"/>
              <w:rPr>
                <w:sz w:val="20"/>
              </w:rPr>
            </w:pPr>
            <w:r>
              <w:rPr>
                <w:w w:val="100"/>
                <w:sz w:val="20"/>
              </w:rPr>
              <w:t>2</w:t>
            </w:r>
          </w:p>
        </w:tc>
      </w:tr>
      <w:tr>
        <w:trPr>
          <w:trHeight w:val="272" w:hRule="atLeast"/>
        </w:trPr>
        <w:tc>
          <w:tcPr>
            <w:tcW w:w="5299" w:type="dxa"/>
          </w:tcPr>
          <w:p>
            <w:pPr>
              <w:pStyle w:val="TableParagraph"/>
              <w:spacing w:before="19"/>
              <w:ind w:left="14"/>
              <w:jc w:val="left"/>
              <w:rPr>
                <w:sz w:val="20"/>
              </w:rPr>
            </w:pPr>
            <w:r>
              <w:rPr>
                <w:sz w:val="20"/>
              </w:rPr>
              <w:t>Senior</w:t>
            </w:r>
            <w:r>
              <w:rPr>
                <w:spacing w:val="-11"/>
                <w:sz w:val="20"/>
              </w:rPr>
              <w:t> </w:t>
            </w:r>
            <w:r>
              <w:rPr>
                <w:sz w:val="20"/>
              </w:rPr>
              <w:t>Evidence</w:t>
            </w:r>
            <w:r>
              <w:rPr>
                <w:spacing w:val="-5"/>
                <w:sz w:val="20"/>
              </w:rPr>
              <w:t> </w:t>
            </w:r>
            <w:r>
              <w:rPr>
                <w:sz w:val="20"/>
              </w:rPr>
              <w:t>Assistant</w:t>
            </w:r>
            <w:r>
              <w:rPr>
                <w:spacing w:val="-5"/>
                <w:sz w:val="20"/>
              </w:rPr>
              <w:t> </w:t>
            </w:r>
            <w:r>
              <w:rPr>
                <w:spacing w:val="-2"/>
                <w:sz w:val="20"/>
              </w:rPr>
              <w:t>(A/V)</w:t>
            </w:r>
            <w:r>
              <w:rPr>
                <w:spacing w:val="-2"/>
                <w:sz w:val="20"/>
                <w:vertAlign w:val="superscript"/>
              </w:rPr>
              <w:t>90</w:t>
            </w:r>
          </w:p>
        </w:tc>
        <w:tc>
          <w:tcPr>
            <w:tcW w:w="1297" w:type="dxa"/>
          </w:tcPr>
          <w:p>
            <w:pPr>
              <w:pStyle w:val="TableParagraph"/>
              <w:spacing w:before="19"/>
              <w:ind w:left="511"/>
              <w:jc w:val="left"/>
              <w:rPr>
                <w:sz w:val="20"/>
              </w:rPr>
            </w:pPr>
            <w:r>
              <w:rPr>
                <w:spacing w:val="-2"/>
                <w:sz w:val="20"/>
              </w:rPr>
              <w:t>GS-</w:t>
            </w:r>
            <w:r>
              <w:rPr>
                <w:spacing w:val="-7"/>
                <w:sz w:val="20"/>
              </w:rPr>
              <w:t>OL</w:t>
            </w:r>
          </w:p>
        </w:tc>
        <w:tc>
          <w:tcPr>
            <w:tcW w:w="848" w:type="dxa"/>
          </w:tcPr>
          <w:p>
            <w:pPr>
              <w:pStyle w:val="TableParagraph"/>
              <w:spacing w:before="19"/>
              <w:ind w:right="5"/>
              <w:rPr>
                <w:sz w:val="20"/>
              </w:rPr>
            </w:pPr>
            <w:r>
              <w:rPr>
                <w:w w:val="100"/>
                <w:sz w:val="20"/>
              </w:rPr>
              <w:t>1</w:t>
            </w:r>
          </w:p>
        </w:tc>
      </w:tr>
      <w:tr>
        <w:trPr>
          <w:trHeight w:val="264" w:hRule="atLeast"/>
        </w:trPr>
        <w:tc>
          <w:tcPr>
            <w:tcW w:w="5299" w:type="dxa"/>
          </w:tcPr>
          <w:p>
            <w:pPr>
              <w:pStyle w:val="TableParagraph"/>
              <w:spacing w:line="229" w:lineRule="exact" w:before="15"/>
              <w:ind w:left="14"/>
              <w:jc w:val="left"/>
              <w:rPr>
                <w:sz w:val="20"/>
              </w:rPr>
            </w:pPr>
            <w:r>
              <w:rPr>
                <w:sz w:val="20"/>
              </w:rPr>
              <w:t>Evidence</w:t>
            </w:r>
            <w:r>
              <w:rPr>
                <w:spacing w:val="-7"/>
                <w:sz w:val="20"/>
              </w:rPr>
              <w:t> </w:t>
            </w:r>
            <w:r>
              <w:rPr>
                <w:spacing w:val="-2"/>
                <w:sz w:val="20"/>
              </w:rPr>
              <w:t>Assistant</w:t>
            </w:r>
          </w:p>
        </w:tc>
        <w:tc>
          <w:tcPr>
            <w:tcW w:w="1297" w:type="dxa"/>
          </w:tcPr>
          <w:p>
            <w:pPr>
              <w:pStyle w:val="TableParagraph"/>
              <w:spacing w:line="229" w:lineRule="exact" w:before="15"/>
              <w:ind w:left="511"/>
              <w:jc w:val="left"/>
              <w:rPr>
                <w:sz w:val="20"/>
              </w:rPr>
            </w:pPr>
            <w:r>
              <w:rPr>
                <w:spacing w:val="-2"/>
                <w:sz w:val="20"/>
              </w:rPr>
              <w:t>GS-</w:t>
            </w:r>
            <w:r>
              <w:rPr>
                <w:spacing w:val="-7"/>
                <w:sz w:val="20"/>
              </w:rPr>
              <w:t>OL</w:t>
            </w:r>
          </w:p>
        </w:tc>
        <w:tc>
          <w:tcPr>
            <w:tcW w:w="848" w:type="dxa"/>
          </w:tcPr>
          <w:p>
            <w:pPr>
              <w:pStyle w:val="TableParagraph"/>
              <w:spacing w:line="229" w:lineRule="exact" w:before="15"/>
              <w:ind w:right="5"/>
              <w:rPr>
                <w:sz w:val="20"/>
              </w:rPr>
            </w:pPr>
            <w:r>
              <w:rPr>
                <w:w w:val="100"/>
                <w:sz w:val="20"/>
              </w:rPr>
              <w:t>2</w:t>
            </w:r>
          </w:p>
        </w:tc>
      </w:tr>
      <w:tr>
        <w:trPr>
          <w:trHeight w:val="275" w:hRule="atLeast"/>
        </w:trPr>
        <w:tc>
          <w:tcPr>
            <w:tcW w:w="5299" w:type="dxa"/>
          </w:tcPr>
          <w:p>
            <w:pPr>
              <w:pStyle w:val="TableParagraph"/>
              <w:spacing w:before="19"/>
              <w:ind w:left="14"/>
              <w:jc w:val="left"/>
              <w:rPr>
                <w:sz w:val="20"/>
              </w:rPr>
            </w:pPr>
            <w:r>
              <w:rPr>
                <w:sz w:val="20"/>
              </w:rPr>
              <w:t>Evidence</w:t>
            </w:r>
            <w:r>
              <w:rPr>
                <w:spacing w:val="-9"/>
                <w:sz w:val="20"/>
              </w:rPr>
              <w:t> </w:t>
            </w:r>
            <w:r>
              <w:rPr>
                <w:sz w:val="20"/>
              </w:rPr>
              <w:t>Processing</w:t>
            </w:r>
            <w:r>
              <w:rPr>
                <w:spacing w:val="-9"/>
                <w:sz w:val="20"/>
              </w:rPr>
              <w:t> </w:t>
            </w:r>
            <w:r>
              <w:rPr>
                <w:spacing w:val="-2"/>
                <w:sz w:val="20"/>
              </w:rPr>
              <w:t>Assistant</w:t>
            </w:r>
            <w:r>
              <w:rPr>
                <w:spacing w:val="-2"/>
                <w:sz w:val="20"/>
                <w:vertAlign w:val="superscript"/>
              </w:rPr>
              <w:t>91</w:t>
            </w:r>
          </w:p>
        </w:tc>
        <w:tc>
          <w:tcPr>
            <w:tcW w:w="1297" w:type="dxa"/>
          </w:tcPr>
          <w:p>
            <w:pPr>
              <w:pStyle w:val="TableParagraph"/>
              <w:spacing w:before="19"/>
              <w:ind w:left="511"/>
              <w:jc w:val="left"/>
              <w:rPr>
                <w:sz w:val="20"/>
              </w:rPr>
            </w:pPr>
            <w:r>
              <w:rPr>
                <w:spacing w:val="-2"/>
                <w:sz w:val="20"/>
              </w:rPr>
              <w:t>GS-</w:t>
            </w:r>
            <w:r>
              <w:rPr>
                <w:spacing w:val="-7"/>
                <w:sz w:val="20"/>
              </w:rPr>
              <w:t>OL</w:t>
            </w:r>
          </w:p>
        </w:tc>
        <w:tc>
          <w:tcPr>
            <w:tcW w:w="848" w:type="dxa"/>
          </w:tcPr>
          <w:p>
            <w:pPr>
              <w:pStyle w:val="TableParagraph"/>
              <w:spacing w:before="19"/>
              <w:ind w:right="5"/>
              <w:rPr>
                <w:sz w:val="20"/>
              </w:rPr>
            </w:pPr>
            <w:r>
              <w:rPr>
                <w:w w:val="100"/>
                <w:sz w:val="20"/>
              </w:rPr>
              <w:t>1</w:t>
            </w:r>
          </w:p>
        </w:tc>
      </w:tr>
      <w:tr>
        <w:trPr>
          <w:trHeight w:val="267" w:hRule="atLeast"/>
        </w:trPr>
        <w:tc>
          <w:tcPr>
            <w:tcW w:w="5299" w:type="dxa"/>
            <w:tcBorders>
              <w:bottom w:val="single" w:sz="4" w:space="0" w:color="000000"/>
            </w:tcBorders>
          </w:tcPr>
          <w:p>
            <w:pPr>
              <w:pStyle w:val="TableParagraph"/>
              <w:spacing w:line="229" w:lineRule="exact" w:before="18"/>
              <w:ind w:left="14"/>
              <w:jc w:val="left"/>
              <w:rPr>
                <w:sz w:val="20"/>
              </w:rPr>
            </w:pPr>
            <w:r>
              <w:rPr>
                <w:sz w:val="20"/>
              </w:rPr>
              <w:t>Archive</w:t>
            </w:r>
            <w:r>
              <w:rPr>
                <w:spacing w:val="-5"/>
                <w:sz w:val="20"/>
              </w:rPr>
              <w:t> </w:t>
            </w:r>
            <w:r>
              <w:rPr>
                <w:sz w:val="20"/>
              </w:rPr>
              <w:t>and</w:t>
            </w:r>
            <w:r>
              <w:rPr>
                <w:spacing w:val="-5"/>
                <w:sz w:val="20"/>
              </w:rPr>
              <w:t> </w:t>
            </w:r>
            <w:r>
              <w:rPr>
                <w:sz w:val="20"/>
              </w:rPr>
              <w:t>Vault</w:t>
            </w:r>
            <w:r>
              <w:rPr>
                <w:spacing w:val="-4"/>
                <w:sz w:val="20"/>
              </w:rPr>
              <w:t> </w:t>
            </w:r>
            <w:r>
              <w:rPr>
                <w:spacing w:val="-2"/>
                <w:sz w:val="20"/>
              </w:rPr>
              <w:t>Manager</w:t>
            </w:r>
          </w:p>
        </w:tc>
        <w:tc>
          <w:tcPr>
            <w:tcW w:w="1297" w:type="dxa"/>
            <w:tcBorders>
              <w:bottom w:val="single" w:sz="4" w:space="0" w:color="000000"/>
            </w:tcBorders>
          </w:tcPr>
          <w:p>
            <w:pPr>
              <w:pStyle w:val="TableParagraph"/>
              <w:spacing w:line="229" w:lineRule="exact" w:before="18"/>
              <w:ind w:left="511"/>
              <w:jc w:val="left"/>
              <w:rPr>
                <w:sz w:val="20"/>
              </w:rPr>
            </w:pPr>
            <w:r>
              <w:rPr>
                <w:spacing w:val="-2"/>
                <w:sz w:val="20"/>
              </w:rPr>
              <w:t>GS-</w:t>
            </w:r>
            <w:r>
              <w:rPr>
                <w:spacing w:val="-7"/>
                <w:sz w:val="20"/>
              </w:rPr>
              <w:t>OL</w:t>
            </w:r>
          </w:p>
        </w:tc>
        <w:tc>
          <w:tcPr>
            <w:tcW w:w="848" w:type="dxa"/>
            <w:tcBorders>
              <w:bottom w:val="single" w:sz="4" w:space="0" w:color="000000"/>
            </w:tcBorders>
          </w:tcPr>
          <w:p>
            <w:pPr>
              <w:pStyle w:val="TableParagraph"/>
              <w:spacing w:line="229" w:lineRule="exact" w:before="18"/>
              <w:ind w:right="5"/>
              <w:rPr>
                <w:sz w:val="20"/>
              </w:rPr>
            </w:pPr>
            <w:r>
              <w:rPr>
                <w:w w:val="100"/>
                <w:sz w:val="20"/>
              </w:rPr>
              <w:t>1</w:t>
            </w:r>
          </w:p>
        </w:tc>
      </w:tr>
      <w:tr>
        <w:trPr>
          <w:trHeight w:val="268" w:hRule="atLeast"/>
        </w:trPr>
        <w:tc>
          <w:tcPr>
            <w:tcW w:w="5299" w:type="dxa"/>
            <w:tcBorders>
              <w:top w:val="single" w:sz="4" w:space="0" w:color="000000"/>
              <w:bottom w:val="single" w:sz="4" w:space="0" w:color="000000"/>
            </w:tcBorders>
          </w:tcPr>
          <w:p>
            <w:pPr>
              <w:pStyle w:val="TableParagraph"/>
              <w:jc w:val="left"/>
              <w:rPr>
                <w:sz w:val="18"/>
              </w:rPr>
            </w:pPr>
          </w:p>
        </w:tc>
        <w:tc>
          <w:tcPr>
            <w:tcW w:w="1297" w:type="dxa"/>
            <w:tcBorders>
              <w:top w:val="single" w:sz="4" w:space="0" w:color="000000"/>
              <w:bottom w:val="single" w:sz="4" w:space="0" w:color="000000"/>
            </w:tcBorders>
          </w:tcPr>
          <w:p>
            <w:pPr>
              <w:pStyle w:val="TableParagraph"/>
              <w:jc w:val="left"/>
              <w:rPr>
                <w:sz w:val="18"/>
              </w:rPr>
            </w:pPr>
          </w:p>
        </w:tc>
        <w:tc>
          <w:tcPr>
            <w:tcW w:w="848" w:type="dxa"/>
            <w:tcBorders>
              <w:top w:val="single" w:sz="4" w:space="0" w:color="000000"/>
              <w:bottom w:val="single" w:sz="4" w:space="0" w:color="000000"/>
            </w:tcBorders>
          </w:tcPr>
          <w:p>
            <w:pPr>
              <w:pStyle w:val="TableParagraph"/>
              <w:spacing w:line="229" w:lineRule="exact" w:before="19"/>
              <w:ind w:right="5"/>
              <w:rPr>
                <w:b/>
                <w:sz w:val="20"/>
              </w:rPr>
            </w:pPr>
            <w:r>
              <w:rPr>
                <w:b/>
                <w:spacing w:val="-5"/>
                <w:sz w:val="20"/>
              </w:rPr>
              <w:t>15</w:t>
            </w:r>
          </w:p>
        </w:tc>
      </w:tr>
      <w:tr>
        <w:trPr>
          <w:trHeight w:val="273" w:hRule="atLeast"/>
        </w:trPr>
        <w:tc>
          <w:tcPr>
            <w:tcW w:w="5299" w:type="dxa"/>
            <w:tcBorders>
              <w:top w:val="single" w:sz="4" w:space="0" w:color="000000"/>
              <w:bottom w:val="single" w:sz="4" w:space="0" w:color="000000"/>
            </w:tcBorders>
          </w:tcPr>
          <w:p>
            <w:pPr>
              <w:pStyle w:val="TableParagraph"/>
              <w:spacing w:before="19"/>
              <w:ind w:left="168"/>
              <w:jc w:val="left"/>
              <w:rPr>
                <w:i/>
                <w:sz w:val="20"/>
              </w:rPr>
            </w:pPr>
            <w:r>
              <w:rPr>
                <w:i/>
                <w:sz w:val="20"/>
              </w:rPr>
              <w:t>Business</w:t>
            </w:r>
            <w:r>
              <w:rPr>
                <w:i/>
                <w:spacing w:val="-12"/>
                <w:sz w:val="20"/>
              </w:rPr>
              <w:t> </w:t>
            </w:r>
            <w:r>
              <w:rPr>
                <w:i/>
                <w:sz w:val="20"/>
              </w:rPr>
              <w:t>Solutions</w:t>
            </w:r>
            <w:r>
              <w:rPr>
                <w:i/>
                <w:spacing w:val="-7"/>
                <w:sz w:val="20"/>
              </w:rPr>
              <w:t> </w:t>
            </w:r>
            <w:r>
              <w:rPr>
                <w:i/>
                <w:sz w:val="20"/>
              </w:rPr>
              <w:t>Development</w:t>
            </w:r>
            <w:r>
              <w:rPr>
                <w:i/>
                <w:spacing w:val="-8"/>
                <w:sz w:val="20"/>
              </w:rPr>
              <w:t> </w:t>
            </w:r>
            <w:r>
              <w:rPr>
                <w:i/>
                <w:sz w:val="20"/>
              </w:rPr>
              <w:t>Unit</w:t>
            </w:r>
            <w:r>
              <w:rPr>
                <w:i/>
                <w:spacing w:val="-4"/>
                <w:sz w:val="20"/>
              </w:rPr>
              <w:t> </w:t>
            </w:r>
            <w:r>
              <w:rPr>
                <w:i/>
                <w:spacing w:val="-2"/>
                <w:sz w:val="20"/>
              </w:rPr>
              <w:t>(BSDU)</w:t>
            </w:r>
          </w:p>
        </w:tc>
        <w:tc>
          <w:tcPr>
            <w:tcW w:w="1297" w:type="dxa"/>
            <w:tcBorders>
              <w:top w:val="single" w:sz="4" w:space="0" w:color="000000"/>
              <w:bottom w:val="single" w:sz="4" w:space="0" w:color="000000"/>
            </w:tcBorders>
          </w:tcPr>
          <w:p>
            <w:pPr>
              <w:pStyle w:val="TableParagraph"/>
              <w:jc w:val="left"/>
              <w:rPr>
                <w:sz w:val="18"/>
              </w:rPr>
            </w:pPr>
          </w:p>
        </w:tc>
        <w:tc>
          <w:tcPr>
            <w:tcW w:w="848" w:type="dxa"/>
            <w:tcBorders>
              <w:top w:val="single" w:sz="4" w:space="0" w:color="000000"/>
              <w:bottom w:val="single" w:sz="4" w:space="0" w:color="000000"/>
            </w:tcBorders>
          </w:tcPr>
          <w:p>
            <w:pPr>
              <w:pStyle w:val="TableParagraph"/>
              <w:jc w:val="left"/>
              <w:rPr>
                <w:sz w:val="18"/>
              </w:rPr>
            </w:pPr>
          </w:p>
        </w:tc>
      </w:tr>
      <w:tr>
        <w:trPr>
          <w:trHeight w:val="273" w:hRule="atLeast"/>
        </w:trPr>
        <w:tc>
          <w:tcPr>
            <w:tcW w:w="5299" w:type="dxa"/>
            <w:tcBorders>
              <w:top w:val="single" w:sz="4" w:space="0" w:color="000000"/>
            </w:tcBorders>
          </w:tcPr>
          <w:p>
            <w:pPr>
              <w:pStyle w:val="TableParagraph"/>
              <w:spacing w:before="20"/>
              <w:ind w:left="14"/>
              <w:jc w:val="left"/>
              <w:rPr>
                <w:sz w:val="20"/>
              </w:rPr>
            </w:pPr>
            <w:r>
              <w:rPr>
                <w:sz w:val="20"/>
              </w:rPr>
              <w:t>Systems</w:t>
            </w:r>
            <w:r>
              <w:rPr>
                <w:spacing w:val="-5"/>
                <w:sz w:val="20"/>
              </w:rPr>
              <w:t> </w:t>
            </w:r>
            <w:r>
              <w:rPr>
                <w:spacing w:val="-2"/>
                <w:sz w:val="20"/>
              </w:rPr>
              <w:t>Architect</w:t>
            </w:r>
          </w:p>
        </w:tc>
        <w:tc>
          <w:tcPr>
            <w:tcW w:w="1297" w:type="dxa"/>
            <w:tcBorders>
              <w:top w:val="single" w:sz="4" w:space="0" w:color="000000"/>
            </w:tcBorders>
          </w:tcPr>
          <w:p>
            <w:pPr>
              <w:pStyle w:val="TableParagraph"/>
              <w:spacing w:before="20"/>
              <w:ind w:left="511"/>
              <w:jc w:val="left"/>
              <w:rPr>
                <w:sz w:val="20"/>
              </w:rPr>
            </w:pPr>
            <w:r>
              <w:rPr>
                <w:spacing w:val="-2"/>
                <w:sz w:val="20"/>
              </w:rPr>
              <w:t>P-</w:t>
            </w:r>
            <w:r>
              <w:rPr>
                <w:spacing w:val="-10"/>
                <w:sz w:val="20"/>
              </w:rPr>
              <w:t>4</w:t>
            </w:r>
          </w:p>
        </w:tc>
        <w:tc>
          <w:tcPr>
            <w:tcW w:w="848" w:type="dxa"/>
            <w:tcBorders>
              <w:top w:val="single" w:sz="4" w:space="0" w:color="000000"/>
            </w:tcBorders>
          </w:tcPr>
          <w:p>
            <w:pPr>
              <w:pStyle w:val="TableParagraph"/>
              <w:spacing w:before="20"/>
              <w:ind w:right="5"/>
              <w:rPr>
                <w:sz w:val="20"/>
              </w:rPr>
            </w:pPr>
            <w:r>
              <w:rPr>
                <w:w w:val="100"/>
                <w:sz w:val="20"/>
              </w:rPr>
              <w:t>1</w:t>
            </w:r>
          </w:p>
        </w:tc>
      </w:tr>
      <w:tr>
        <w:trPr>
          <w:trHeight w:val="264" w:hRule="atLeast"/>
        </w:trPr>
        <w:tc>
          <w:tcPr>
            <w:tcW w:w="5299" w:type="dxa"/>
          </w:tcPr>
          <w:p>
            <w:pPr>
              <w:pStyle w:val="TableParagraph"/>
              <w:spacing w:line="229" w:lineRule="exact" w:before="15"/>
              <w:ind w:left="14"/>
              <w:jc w:val="left"/>
              <w:rPr>
                <w:sz w:val="20"/>
              </w:rPr>
            </w:pPr>
            <w:r>
              <w:rPr>
                <w:sz w:val="20"/>
              </w:rPr>
              <w:t>Knowledge</w:t>
            </w:r>
            <w:r>
              <w:rPr>
                <w:spacing w:val="-10"/>
                <w:sz w:val="20"/>
              </w:rPr>
              <w:t> </w:t>
            </w:r>
            <w:r>
              <w:rPr>
                <w:sz w:val="20"/>
              </w:rPr>
              <w:t>Management</w:t>
            </w:r>
            <w:r>
              <w:rPr>
                <w:spacing w:val="-10"/>
                <w:sz w:val="20"/>
              </w:rPr>
              <w:t> </w:t>
            </w:r>
            <w:r>
              <w:rPr>
                <w:spacing w:val="-2"/>
                <w:sz w:val="20"/>
              </w:rPr>
              <w:t>Officer</w:t>
            </w:r>
          </w:p>
        </w:tc>
        <w:tc>
          <w:tcPr>
            <w:tcW w:w="1297" w:type="dxa"/>
          </w:tcPr>
          <w:p>
            <w:pPr>
              <w:pStyle w:val="TableParagraph"/>
              <w:spacing w:line="229" w:lineRule="exact" w:before="15"/>
              <w:ind w:left="511"/>
              <w:jc w:val="left"/>
              <w:rPr>
                <w:sz w:val="20"/>
              </w:rPr>
            </w:pPr>
            <w:r>
              <w:rPr>
                <w:spacing w:val="-2"/>
                <w:sz w:val="20"/>
              </w:rPr>
              <w:t>P-</w:t>
            </w:r>
            <w:r>
              <w:rPr>
                <w:spacing w:val="-10"/>
                <w:sz w:val="20"/>
              </w:rPr>
              <w:t>3</w:t>
            </w:r>
          </w:p>
        </w:tc>
        <w:tc>
          <w:tcPr>
            <w:tcW w:w="848" w:type="dxa"/>
          </w:tcPr>
          <w:p>
            <w:pPr>
              <w:pStyle w:val="TableParagraph"/>
              <w:spacing w:line="229" w:lineRule="exact" w:before="15"/>
              <w:ind w:right="5"/>
              <w:rPr>
                <w:sz w:val="20"/>
              </w:rPr>
            </w:pPr>
            <w:r>
              <w:rPr>
                <w:w w:val="100"/>
                <w:sz w:val="20"/>
              </w:rPr>
              <w:t>1</w:t>
            </w:r>
          </w:p>
        </w:tc>
      </w:tr>
      <w:tr>
        <w:trPr>
          <w:trHeight w:val="272" w:hRule="atLeast"/>
        </w:trPr>
        <w:tc>
          <w:tcPr>
            <w:tcW w:w="5299" w:type="dxa"/>
          </w:tcPr>
          <w:p>
            <w:pPr>
              <w:pStyle w:val="TableParagraph"/>
              <w:spacing w:before="19"/>
              <w:ind w:left="14"/>
              <w:jc w:val="left"/>
              <w:rPr>
                <w:sz w:val="20"/>
              </w:rPr>
            </w:pPr>
            <w:r>
              <w:rPr>
                <w:sz w:val="20"/>
              </w:rPr>
              <w:t>Data</w:t>
            </w:r>
            <w:r>
              <w:rPr>
                <w:spacing w:val="-1"/>
                <w:sz w:val="20"/>
              </w:rPr>
              <w:t> </w:t>
            </w:r>
            <w:r>
              <w:rPr>
                <w:spacing w:val="-2"/>
                <w:sz w:val="20"/>
              </w:rPr>
              <w:t>Engineer</w:t>
            </w:r>
            <w:r>
              <w:rPr>
                <w:spacing w:val="-2"/>
                <w:sz w:val="20"/>
                <w:vertAlign w:val="superscript"/>
              </w:rPr>
              <w:t>92</w:t>
            </w:r>
          </w:p>
        </w:tc>
        <w:tc>
          <w:tcPr>
            <w:tcW w:w="1297" w:type="dxa"/>
          </w:tcPr>
          <w:p>
            <w:pPr>
              <w:pStyle w:val="TableParagraph"/>
              <w:spacing w:before="19"/>
              <w:ind w:left="511"/>
              <w:jc w:val="left"/>
              <w:rPr>
                <w:sz w:val="20"/>
              </w:rPr>
            </w:pPr>
            <w:r>
              <w:rPr>
                <w:spacing w:val="-2"/>
                <w:sz w:val="20"/>
              </w:rPr>
              <w:t>P-</w:t>
            </w:r>
            <w:r>
              <w:rPr>
                <w:spacing w:val="-10"/>
                <w:sz w:val="20"/>
              </w:rPr>
              <w:t>3</w:t>
            </w:r>
          </w:p>
        </w:tc>
        <w:tc>
          <w:tcPr>
            <w:tcW w:w="848" w:type="dxa"/>
          </w:tcPr>
          <w:p>
            <w:pPr>
              <w:pStyle w:val="TableParagraph"/>
              <w:spacing w:before="19"/>
              <w:ind w:right="5"/>
              <w:rPr>
                <w:sz w:val="20"/>
              </w:rPr>
            </w:pPr>
            <w:r>
              <w:rPr>
                <w:w w:val="100"/>
                <w:sz w:val="20"/>
              </w:rPr>
              <w:t>1</w:t>
            </w:r>
          </w:p>
        </w:tc>
      </w:tr>
      <w:tr>
        <w:trPr>
          <w:trHeight w:val="267" w:hRule="atLeast"/>
        </w:trPr>
        <w:tc>
          <w:tcPr>
            <w:tcW w:w="5299" w:type="dxa"/>
          </w:tcPr>
          <w:p>
            <w:pPr>
              <w:pStyle w:val="TableParagraph"/>
              <w:spacing w:before="15"/>
              <w:ind w:left="14"/>
              <w:jc w:val="left"/>
              <w:rPr>
                <w:sz w:val="20"/>
              </w:rPr>
            </w:pPr>
            <w:r>
              <w:rPr>
                <w:sz w:val="20"/>
              </w:rPr>
              <w:t>Information</w:t>
            </w:r>
            <w:r>
              <w:rPr>
                <w:spacing w:val="-9"/>
                <w:sz w:val="20"/>
              </w:rPr>
              <w:t> </w:t>
            </w:r>
            <w:r>
              <w:rPr>
                <w:sz w:val="20"/>
              </w:rPr>
              <w:t>Officer</w:t>
            </w:r>
            <w:r>
              <w:rPr>
                <w:spacing w:val="-9"/>
                <w:sz w:val="20"/>
              </w:rPr>
              <w:t> </w:t>
            </w:r>
            <w:r>
              <w:rPr>
                <w:sz w:val="20"/>
              </w:rPr>
              <w:t>(Evidence</w:t>
            </w:r>
            <w:r>
              <w:rPr>
                <w:spacing w:val="-8"/>
                <w:sz w:val="20"/>
              </w:rPr>
              <w:t> </w:t>
            </w:r>
            <w:r>
              <w:rPr>
                <w:sz w:val="20"/>
              </w:rPr>
              <w:t>and</w:t>
            </w:r>
            <w:r>
              <w:rPr>
                <w:spacing w:val="-1"/>
                <w:sz w:val="20"/>
              </w:rPr>
              <w:t> </w:t>
            </w:r>
            <w:r>
              <w:rPr>
                <w:sz w:val="20"/>
              </w:rPr>
              <w:t>Analysis</w:t>
            </w:r>
            <w:r>
              <w:rPr>
                <w:spacing w:val="-9"/>
                <w:sz w:val="20"/>
              </w:rPr>
              <w:t> </w:t>
            </w:r>
            <w:r>
              <w:rPr>
                <w:spacing w:val="-2"/>
                <w:sz w:val="20"/>
              </w:rPr>
              <w:t>Systems)</w:t>
            </w:r>
          </w:p>
        </w:tc>
        <w:tc>
          <w:tcPr>
            <w:tcW w:w="1297" w:type="dxa"/>
          </w:tcPr>
          <w:p>
            <w:pPr>
              <w:pStyle w:val="TableParagraph"/>
              <w:spacing w:before="15"/>
              <w:ind w:left="511"/>
              <w:jc w:val="left"/>
              <w:rPr>
                <w:sz w:val="20"/>
              </w:rPr>
            </w:pPr>
            <w:r>
              <w:rPr>
                <w:spacing w:val="-2"/>
                <w:sz w:val="20"/>
              </w:rPr>
              <w:t>P-</w:t>
            </w:r>
            <w:r>
              <w:rPr>
                <w:spacing w:val="-10"/>
                <w:sz w:val="20"/>
              </w:rPr>
              <w:t>2</w:t>
            </w:r>
          </w:p>
        </w:tc>
        <w:tc>
          <w:tcPr>
            <w:tcW w:w="848" w:type="dxa"/>
          </w:tcPr>
          <w:p>
            <w:pPr>
              <w:pStyle w:val="TableParagraph"/>
              <w:spacing w:before="15"/>
              <w:ind w:right="5"/>
              <w:rPr>
                <w:sz w:val="20"/>
              </w:rPr>
            </w:pPr>
            <w:r>
              <w:rPr>
                <w:w w:val="100"/>
                <w:sz w:val="20"/>
              </w:rPr>
              <w:t>2</w:t>
            </w:r>
          </w:p>
        </w:tc>
      </w:tr>
      <w:tr>
        <w:trPr>
          <w:trHeight w:val="275" w:hRule="atLeast"/>
        </w:trPr>
        <w:tc>
          <w:tcPr>
            <w:tcW w:w="5299" w:type="dxa"/>
          </w:tcPr>
          <w:p>
            <w:pPr>
              <w:pStyle w:val="TableParagraph"/>
              <w:spacing w:before="22"/>
              <w:ind w:left="14"/>
              <w:jc w:val="left"/>
              <w:rPr>
                <w:sz w:val="20"/>
              </w:rPr>
            </w:pPr>
            <w:r>
              <w:rPr>
                <w:sz w:val="20"/>
              </w:rPr>
              <w:t>Information</w:t>
            </w:r>
            <w:r>
              <w:rPr>
                <w:spacing w:val="-9"/>
                <w:sz w:val="20"/>
              </w:rPr>
              <w:t> </w:t>
            </w:r>
            <w:r>
              <w:rPr>
                <w:spacing w:val="-2"/>
                <w:sz w:val="20"/>
              </w:rPr>
              <w:t>Officer</w:t>
            </w:r>
            <w:r>
              <w:rPr>
                <w:spacing w:val="-2"/>
                <w:sz w:val="20"/>
                <w:vertAlign w:val="superscript"/>
              </w:rPr>
              <w:t>93</w:t>
            </w:r>
          </w:p>
        </w:tc>
        <w:tc>
          <w:tcPr>
            <w:tcW w:w="1297" w:type="dxa"/>
          </w:tcPr>
          <w:p>
            <w:pPr>
              <w:pStyle w:val="TableParagraph"/>
              <w:spacing w:before="22"/>
              <w:ind w:left="511"/>
              <w:jc w:val="left"/>
              <w:rPr>
                <w:sz w:val="20"/>
              </w:rPr>
            </w:pPr>
            <w:r>
              <w:rPr>
                <w:spacing w:val="-2"/>
                <w:sz w:val="20"/>
              </w:rPr>
              <w:t>P-</w:t>
            </w:r>
            <w:r>
              <w:rPr>
                <w:spacing w:val="-10"/>
                <w:sz w:val="20"/>
              </w:rPr>
              <w:t>2</w:t>
            </w:r>
          </w:p>
        </w:tc>
        <w:tc>
          <w:tcPr>
            <w:tcW w:w="848" w:type="dxa"/>
          </w:tcPr>
          <w:p>
            <w:pPr>
              <w:pStyle w:val="TableParagraph"/>
              <w:spacing w:before="22"/>
              <w:ind w:right="5"/>
              <w:rPr>
                <w:sz w:val="20"/>
              </w:rPr>
            </w:pPr>
            <w:r>
              <w:rPr>
                <w:w w:val="100"/>
                <w:sz w:val="20"/>
              </w:rPr>
              <w:t>1</w:t>
            </w:r>
          </w:p>
        </w:tc>
      </w:tr>
      <w:tr>
        <w:trPr>
          <w:trHeight w:val="268" w:hRule="atLeast"/>
        </w:trPr>
        <w:tc>
          <w:tcPr>
            <w:tcW w:w="5299" w:type="dxa"/>
          </w:tcPr>
          <w:p>
            <w:pPr>
              <w:pStyle w:val="TableParagraph"/>
              <w:spacing w:before="15"/>
              <w:ind w:left="14"/>
              <w:jc w:val="left"/>
              <w:rPr>
                <w:sz w:val="20"/>
              </w:rPr>
            </w:pPr>
            <w:r>
              <w:rPr>
                <w:sz w:val="20"/>
              </w:rPr>
              <w:t>Associate</w:t>
            </w:r>
            <w:r>
              <w:rPr>
                <w:spacing w:val="-9"/>
                <w:sz w:val="20"/>
              </w:rPr>
              <w:t> </w:t>
            </w:r>
            <w:r>
              <w:rPr>
                <w:sz w:val="20"/>
              </w:rPr>
              <w:t>Business</w:t>
            </w:r>
            <w:r>
              <w:rPr>
                <w:spacing w:val="-6"/>
                <w:sz w:val="20"/>
              </w:rPr>
              <w:t> </w:t>
            </w:r>
            <w:r>
              <w:rPr>
                <w:sz w:val="20"/>
              </w:rPr>
              <w:t>Solutions</w:t>
            </w:r>
            <w:r>
              <w:rPr>
                <w:spacing w:val="-6"/>
                <w:sz w:val="20"/>
              </w:rPr>
              <w:t> </w:t>
            </w:r>
            <w:r>
              <w:rPr>
                <w:spacing w:val="-2"/>
                <w:sz w:val="20"/>
              </w:rPr>
              <w:t>Officer</w:t>
            </w:r>
          </w:p>
        </w:tc>
        <w:tc>
          <w:tcPr>
            <w:tcW w:w="1297" w:type="dxa"/>
          </w:tcPr>
          <w:p>
            <w:pPr>
              <w:pStyle w:val="TableParagraph"/>
              <w:spacing w:before="15"/>
              <w:ind w:left="511"/>
              <w:jc w:val="left"/>
              <w:rPr>
                <w:sz w:val="20"/>
              </w:rPr>
            </w:pPr>
            <w:r>
              <w:rPr>
                <w:spacing w:val="-2"/>
                <w:sz w:val="20"/>
              </w:rPr>
              <w:t>P-</w:t>
            </w:r>
            <w:r>
              <w:rPr>
                <w:spacing w:val="-10"/>
                <w:sz w:val="20"/>
              </w:rPr>
              <w:t>2</w:t>
            </w:r>
          </w:p>
        </w:tc>
        <w:tc>
          <w:tcPr>
            <w:tcW w:w="848" w:type="dxa"/>
          </w:tcPr>
          <w:p>
            <w:pPr>
              <w:pStyle w:val="TableParagraph"/>
              <w:spacing w:before="15"/>
              <w:ind w:right="5"/>
              <w:rPr>
                <w:sz w:val="20"/>
              </w:rPr>
            </w:pPr>
            <w:r>
              <w:rPr>
                <w:w w:val="100"/>
                <w:sz w:val="20"/>
              </w:rPr>
              <w:t>1</w:t>
            </w:r>
          </w:p>
        </w:tc>
      </w:tr>
      <w:tr>
        <w:trPr>
          <w:trHeight w:val="269" w:hRule="atLeast"/>
        </w:trPr>
        <w:tc>
          <w:tcPr>
            <w:tcW w:w="5299" w:type="dxa"/>
          </w:tcPr>
          <w:p>
            <w:pPr>
              <w:pStyle w:val="TableParagraph"/>
              <w:spacing w:before="16"/>
              <w:ind w:left="14"/>
              <w:jc w:val="left"/>
              <w:rPr>
                <w:sz w:val="20"/>
              </w:rPr>
            </w:pPr>
            <w:r>
              <w:rPr>
                <w:sz w:val="20"/>
              </w:rPr>
              <w:t>Data</w:t>
            </w:r>
            <w:r>
              <w:rPr>
                <w:spacing w:val="-6"/>
                <w:sz w:val="20"/>
              </w:rPr>
              <w:t> </w:t>
            </w:r>
            <w:r>
              <w:rPr>
                <w:sz w:val="20"/>
              </w:rPr>
              <w:t>Processing</w:t>
            </w:r>
            <w:r>
              <w:rPr>
                <w:spacing w:val="-6"/>
                <w:sz w:val="20"/>
              </w:rPr>
              <w:t> </w:t>
            </w:r>
            <w:r>
              <w:rPr>
                <w:spacing w:val="-2"/>
                <w:sz w:val="20"/>
              </w:rPr>
              <w:t>Manager</w:t>
            </w:r>
          </w:p>
        </w:tc>
        <w:tc>
          <w:tcPr>
            <w:tcW w:w="1297" w:type="dxa"/>
          </w:tcPr>
          <w:p>
            <w:pPr>
              <w:pStyle w:val="TableParagraph"/>
              <w:spacing w:before="16"/>
              <w:ind w:left="511"/>
              <w:jc w:val="left"/>
              <w:rPr>
                <w:sz w:val="20"/>
              </w:rPr>
            </w:pPr>
            <w:r>
              <w:rPr>
                <w:spacing w:val="-2"/>
                <w:sz w:val="20"/>
              </w:rPr>
              <w:t>P-</w:t>
            </w:r>
            <w:r>
              <w:rPr>
                <w:spacing w:val="-10"/>
                <w:sz w:val="20"/>
              </w:rPr>
              <w:t>2</w:t>
            </w:r>
          </w:p>
        </w:tc>
        <w:tc>
          <w:tcPr>
            <w:tcW w:w="848" w:type="dxa"/>
          </w:tcPr>
          <w:p>
            <w:pPr>
              <w:pStyle w:val="TableParagraph"/>
              <w:spacing w:before="16"/>
              <w:ind w:right="5"/>
              <w:rPr>
                <w:sz w:val="20"/>
              </w:rPr>
            </w:pPr>
            <w:r>
              <w:rPr>
                <w:w w:val="100"/>
                <w:sz w:val="20"/>
              </w:rPr>
              <w:t>1</w:t>
            </w:r>
          </w:p>
        </w:tc>
      </w:tr>
      <w:tr>
        <w:trPr>
          <w:trHeight w:val="271" w:hRule="atLeast"/>
        </w:trPr>
        <w:tc>
          <w:tcPr>
            <w:tcW w:w="5299" w:type="dxa"/>
          </w:tcPr>
          <w:p>
            <w:pPr>
              <w:pStyle w:val="TableParagraph"/>
              <w:spacing w:before="15"/>
              <w:ind w:left="14"/>
              <w:jc w:val="left"/>
              <w:rPr>
                <w:sz w:val="20"/>
              </w:rPr>
            </w:pPr>
            <w:r>
              <w:rPr>
                <w:sz w:val="20"/>
              </w:rPr>
              <w:t>Senior</w:t>
            </w:r>
            <w:r>
              <w:rPr>
                <w:spacing w:val="-12"/>
                <w:sz w:val="20"/>
              </w:rPr>
              <w:t> </w:t>
            </w:r>
            <w:r>
              <w:rPr>
                <w:sz w:val="20"/>
              </w:rPr>
              <w:t>Information</w:t>
            </w:r>
            <w:r>
              <w:rPr>
                <w:spacing w:val="-8"/>
                <w:sz w:val="20"/>
              </w:rPr>
              <w:t> </w:t>
            </w:r>
            <w:r>
              <w:rPr>
                <w:sz w:val="20"/>
              </w:rPr>
              <w:t>Management</w:t>
            </w:r>
            <w:r>
              <w:rPr>
                <w:spacing w:val="-9"/>
                <w:sz w:val="20"/>
              </w:rPr>
              <w:t> </w:t>
            </w:r>
            <w:r>
              <w:rPr>
                <w:spacing w:val="-2"/>
                <w:sz w:val="20"/>
              </w:rPr>
              <w:t>Assistant</w:t>
            </w:r>
          </w:p>
        </w:tc>
        <w:tc>
          <w:tcPr>
            <w:tcW w:w="1297" w:type="dxa"/>
          </w:tcPr>
          <w:p>
            <w:pPr>
              <w:pStyle w:val="TableParagraph"/>
              <w:spacing w:before="15"/>
              <w:ind w:left="511"/>
              <w:jc w:val="left"/>
              <w:rPr>
                <w:sz w:val="20"/>
              </w:rPr>
            </w:pPr>
            <w:r>
              <w:rPr>
                <w:spacing w:val="-2"/>
                <w:sz w:val="20"/>
              </w:rPr>
              <w:t>GS-</w:t>
            </w:r>
            <w:r>
              <w:rPr>
                <w:spacing w:val="-7"/>
                <w:sz w:val="20"/>
              </w:rPr>
              <w:t>OL</w:t>
            </w:r>
          </w:p>
        </w:tc>
        <w:tc>
          <w:tcPr>
            <w:tcW w:w="848" w:type="dxa"/>
          </w:tcPr>
          <w:p>
            <w:pPr>
              <w:pStyle w:val="TableParagraph"/>
              <w:spacing w:before="15"/>
              <w:ind w:right="5"/>
              <w:rPr>
                <w:sz w:val="20"/>
              </w:rPr>
            </w:pPr>
            <w:r>
              <w:rPr>
                <w:w w:val="100"/>
                <w:sz w:val="20"/>
              </w:rPr>
              <w:t>1</w:t>
            </w:r>
          </w:p>
        </w:tc>
      </w:tr>
      <w:tr>
        <w:trPr>
          <w:trHeight w:val="267" w:hRule="atLeast"/>
        </w:trPr>
        <w:tc>
          <w:tcPr>
            <w:tcW w:w="5299" w:type="dxa"/>
            <w:tcBorders>
              <w:bottom w:val="single" w:sz="4" w:space="0" w:color="000000"/>
            </w:tcBorders>
          </w:tcPr>
          <w:p>
            <w:pPr>
              <w:pStyle w:val="TableParagraph"/>
              <w:spacing w:line="229" w:lineRule="exact" w:before="18"/>
              <w:ind w:left="14"/>
              <w:jc w:val="left"/>
              <w:rPr>
                <w:sz w:val="20"/>
              </w:rPr>
            </w:pPr>
            <w:r>
              <w:rPr>
                <w:sz w:val="20"/>
              </w:rPr>
              <w:t>Information</w:t>
            </w:r>
            <w:r>
              <w:rPr>
                <w:spacing w:val="-12"/>
                <w:sz w:val="20"/>
              </w:rPr>
              <w:t> </w:t>
            </w:r>
            <w:r>
              <w:rPr>
                <w:sz w:val="20"/>
              </w:rPr>
              <w:t>Management</w:t>
            </w:r>
            <w:r>
              <w:rPr>
                <w:spacing w:val="-10"/>
                <w:sz w:val="20"/>
              </w:rPr>
              <w:t> </w:t>
            </w:r>
            <w:r>
              <w:rPr>
                <w:spacing w:val="-2"/>
                <w:sz w:val="20"/>
              </w:rPr>
              <w:t>Assistant</w:t>
            </w:r>
          </w:p>
        </w:tc>
        <w:tc>
          <w:tcPr>
            <w:tcW w:w="1297" w:type="dxa"/>
            <w:tcBorders>
              <w:bottom w:val="single" w:sz="4" w:space="0" w:color="000000"/>
            </w:tcBorders>
          </w:tcPr>
          <w:p>
            <w:pPr>
              <w:pStyle w:val="TableParagraph"/>
              <w:spacing w:line="229" w:lineRule="exact" w:before="18"/>
              <w:ind w:left="511"/>
              <w:jc w:val="left"/>
              <w:rPr>
                <w:sz w:val="20"/>
              </w:rPr>
            </w:pPr>
            <w:r>
              <w:rPr>
                <w:spacing w:val="-2"/>
                <w:sz w:val="20"/>
              </w:rPr>
              <w:t>GS-</w:t>
            </w:r>
            <w:r>
              <w:rPr>
                <w:spacing w:val="-7"/>
                <w:sz w:val="20"/>
              </w:rPr>
              <w:t>OL</w:t>
            </w:r>
          </w:p>
        </w:tc>
        <w:tc>
          <w:tcPr>
            <w:tcW w:w="848" w:type="dxa"/>
            <w:tcBorders>
              <w:bottom w:val="single" w:sz="4" w:space="0" w:color="000000"/>
            </w:tcBorders>
          </w:tcPr>
          <w:p>
            <w:pPr>
              <w:pStyle w:val="TableParagraph"/>
              <w:spacing w:line="229" w:lineRule="exact" w:before="18"/>
              <w:ind w:right="5"/>
              <w:rPr>
                <w:sz w:val="20"/>
              </w:rPr>
            </w:pPr>
            <w:r>
              <w:rPr>
                <w:w w:val="100"/>
                <w:sz w:val="20"/>
              </w:rPr>
              <w:t>6</w:t>
            </w:r>
          </w:p>
        </w:tc>
      </w:tr>
      <w:tr>
        <w:trPr>
          <w:trHeight w:val="268" w:hRule="atLeast"/>
        </w:trPr>
        <w:tc>
          <w:tcPr>
            <w:tcW w:w="5299" w:type="dxa"/>
            <w:tcBorders>
              <w:top w:val="single" w:sz="4" w:space="0" w:color="000000"/>
              <w:bottom w:val="single" w:sz="4" w:space="0" w:color="000000"/>
            </w:tcBorders>
          </w:tcPr>
          <w:p>
            <w:pPr>
              <w:pStyle w:val="TableParagraph"/>
              <w:jc w:val="left"/>
              <w:rPr>
                <w:sz w:val="18"/>
              </w:rPr>
            </w:pPr>
          </w:p>
        </w:tc>
        <w:tc>
          <w:tcPr>
            <w:tcW w:w="1297" w:type="dxa"/>
            <w:tcBorders>
              <w:top w:val="single" w:sz="4" w:space="0" w:color="000000"/>
              <w:bottom w:val="single" w:sz="4" w:space="0" w:color="000000"/>
            </w:tcBorders>
          </w:tcPr>
          <w:p>
            <w:pPr>
              <w:pStyle w:val="TableParagraph"/>
              <w:jc w:val="left"/>
              <w:rPr>
                <w:sz w:val="18"/>
              </w:rPr>
            </w:pPr>
          </w:p>
        </w:tc>
        <w:tc>
          <w:tcPr>
            <w:tcW w:w="848" w:type="dxa"/>
            <w:tcBorders>
              <w:top w:val="single" w:sz="4" w:space="0" w:color="000000"/>
              <w:bottom w:val="single" w:sz="4" w:space="0" w:color="000000"/>
            </w:tcBorders>
          </w:tcPr>
          <w:p>
            <w:pPr>
              <w:pStyle w:val="TableParagraph"/>
              <w:spacing w:line="229" w:lineRule="exact" w:before="19"/>
              <w:ind w:right="5"/>
              <w:rPr>
                <w:b/>
                <w:sz w:val="20"/>
              </w:rPr>
            </w:pPr>
            <w:r>
              <w:rPr>
                <w:b/>
                <w:spacing w:val="-5"/>
                <w:sz w:val="20"/>
              </w:rPr>
              <w:t>15</w:t>
            </w:r>
          </w:p>
        </w:tc>
      </w:tr>
      <w:tr>
        <w:trPr>
          <w:trHeight w:val="273" w:hRule="atLeast"/>
        </w:trPr>
        <w:tc>
          <w:tcPr>
            <w:tcW w:w="5299" w:type="dxa"/>
            <w:tcBorders>
              <w:top w:val="single" w:sz="4" w:space="0" w:color="000000"/>
              <w:bottom w:val="single" w:sz="4" w:space="0" w:color="000000"/>
            </w:tcBorders>
          </w:tcPr>
          <w:p>
            <w:pPr>
              <w:pStyle w:val="TableParagraph"/>
              <w:spacing w:before="19"/>
              <w:ind w:left="168"/>
              <w:jc w:val="left"/>
              <w:rPr>
                <w:i/>
                <w:sz w:val="20"/>
              </w:rPr>
            </w:pPr>
            <w:r>
              <w:rPr>
                <w:i/>
                <w:sz w:val="20"/>
              </w:rPr>
              <w:t>eDiscovery</w:t>
            </w:r>
            <w:r>
              <w:rPr>
                <w:i/>
                <w:spacing w:val="-8"/>
                <w:sz w:val="20"/>
              </w:rPr>
              <w:t> </w:t>
            </w:r>
            <w:r>
              <w:rPr>
                <w:i/>
                <w:sz w:val="20"/>
              </w:rPr>
              <w:t>Unit</w:t>
            </w:r>
            <w:r>
              <w:rPr>
                <w:i/>
                <w:spacing w:val="-9"/>
                <w:sz w:val="20"/>
              </w:rPr>
              <w:t> </w:t>
            </w:r>
            <w:r>
              <w:rPr>
                <w:i/>
                <w:spacing w:val="-2"/>
                <w:sz w:val="20"/>
              </w:rPr>
              <w:t>(EDAU)</w:t>
            </w:r>
          </w:p>
        </w:tc>
        <w:tc>
          <w:tcPr>
            <w:tcW w:w="1297" w:type="dxa"/>
            <w:tcBorders>
              <w:top w:val="single" w:sz="4" w:space="0" w:color="000000"/>
              <w:bottom w:val="single" w:sz="4" w:space="0" w:color="000000"/>
            </w:tcBorders>
          </w:tcPr>
          <w:p>
            <w:pPr>
              <w:pStyle w:val="TableParagraph"/>
              <w:jc w:val="left"/>
              <w:rPr>
                <w:sz w:val="18"/>
              </w:rPr>
            </w:pPr>
          </w:p>
        </w:tc>
        <w:tc>
          <w:tcPr>
            <w:tcW w:w="848" w:type="dxa"/>
            <w:tcBorders>
              <w:top w:val="single" w:sz="4" w:space="0" w:color="000000"/>
              <w:bottom w:val="single" w:sz="4" w:space="0" w:color="000000"/>
            </w:tcBorders>
          </w:tcPr>
          <w:p>
            <w:pPr>
              <w:pStyle w:val="TableParagraph"/>
              <w:jc w:val="left"/>
              <w:rPr>
                <w:sz w:val="18"/>
              </w:rPr>
            </w:pPr>
          </w:p>
        </w:tc>
      </w:tr>
      <w:tr>
        <w:trPr>
          <w:trHeight w:val="278" w:hRule="atLeast"/>
        </w:trPr>
        <w:tc>
          <w:tcPr>
            <w:tcW w:w="5299" w:type="dxa"/>
            <w:tcBorders>
              <w:top w:val="single" w:sz="4" w:space="0" w:color="000000"/>
            </w:tcBorders>
          </w:tcPr>
          <w:p>
            <w:pPr>
              <w:pStyle w:val="TableParagraph"/>
              <w:spacing w:line="220" w:lineRule="exact" w:before="38"/>
              <w:ind w:left="14"/>
              <w:jc w:val="left"/>
              <w:rPr>
                <w:sz w:val="20"/>
              </w:rPr>
            </w:pPr>
            <w:r>
              <w:rPr>
                <w:sz w:val="20"/>
              </w:rPr>
              <w:t>eDiscovery</w:t>
            </w:r>
            <w:r>
              <w:rPr>
                <w:spacing w:val="-8"/>
                <w:sz w:val="20"/>
              </w:rPr>
              <w:t> </w:t>
            </w:r>
            <w:r>
              <w:rPr>
                <w:sz w:val="20"/>
              </w:rPr>
              <w:t>and</w:t>
            </w:r>
            <w:r>
              <w:rPr>
                <w:spacing w:val="-6"/>
                <w:sz w:val="20"/>
              </w:rPr>
              <w:t> </w:t>
            </w:r>
            <w:r>
              <w:rPr>
                <w:sz w:val="20"/>
              </w:rPr>
              <w:t>Data</w:t>
            </w:r>
            <w:r>
              <w:rPr>
                <w:spacing w:val="-3"/>
                <w:sz w:val="20"/>
              </w:rPr>
              <w:t> </w:t>
            </w:r>
            <w:r>
              <w:rPr>
                <w:sz w:val="20"/>
              </w:rPr>
              <w:t>Analysis</w:t>
            </w:r>
            <w:r>
              <w:rPr>
                <w:spacing w:val="-6"/>
                <w:sz w:val="20"/>
              </w:rPr>
              <w:t> </w:t>
            </w:r>
            <w:r>
              <w:rPr>
                <w:spacing w:val="-2"/>
                <w:sz w:val="20"/>
              </w:rPr>
              <w:t>Officer</w:t>
            </w:r>
          </w:p>
        </w:tc>
        <w:tc>
          <w:tcPr>
            <w:tcW w:w="1297" w:type="dxa"/>
            <w:tcBorders>
              <w:top w:val="single" w:sz="4" w:space="0" w:color="000000"/>
            </w:tcBorders>
          </w:tcPr>
          <w:p>
            <w:pPr>
              <w:pStyle w:val="TableParagraph"/>
              <w:spacing w:before="19"/>
              <w:ind w:left="511"/>
              <w:jc w:val="left"/>
              <w:rPr>
                <w:sz w:val="20"/>
              </w:rPr>
            </w:pPr>
            <w:r>
              <w:rPr>
                <w:spacing w:val="-2"/>
                <w:sz w:val="20"/>
              </w:rPr>
              <w:t>P-</w:t>
            </w:r>
            <w:r>
              <w:rPr>
                <w:spacing w:val="-10"/>
                <w:sz w:val="20"/>
              </w:rPr>
              <w:t>4</w:t>
            </w:r>
          </w:p>
        </w:tc>
        <w:tc>
          <w:tcPr>
            <w:tcW w:w="848" w:type="dxa"/>
            <w:tcBorders>
              <w:top w:val="single" w:sz="4" w:space="0" w:color="000000"/>
            </w:tcBorders>
          </w:tcPr>
          <w:p>
            <w:pPr>
              <w:pStyle w:val="TableParagraph"/>
              <w:spacing w:before="19"/>
              <w:ind w:right="5"/>
              <w:rPr>
                <w:sz w:val="20"/>
              </w:rPr>
            </w:pPr>
            <w:r>
              <w:rPr>
                <w:w w:val="100"/>
                <w:sz w:val="20"/>
              </w:rPr>
              <w:t>1</w:t>
            </w:r>
          </w:p>
        </w:tc>
      </w:tr>
      <w:tr>
        <w:trPr>
          <w:trHeight w:val="259" w:hRule="atLeast"/>
        </w:trPr>
        <w:tc>
          <w:tcPr>
            <w:tcW w:w="5299" w:type="dxa"/>
          </w:tcPr>
          <w:p>
            <w:pPr>
              <w:pStyle w:val="TableParagraph"/>
              <w:spacing w:line="229" w:lineRule="exact" w:before="10"/>
              <w:ind w:left="14"/>
              <w:jc w:val="left"/>
              <w:rPr>
                <w:sz w:val="20"/>
              </w:rPr>
            </w:pPr>
            <w:r>
              <w:rPr>
                <w:sz w:val="20"/>
              </w:rPr>
              <w:t>Information</w:t>
            </w:r>
            <w:r>
              <w:rPr>
                <w:spacing w:val="-7"/>
                <w:sz w:val="20"/>
              </w:rPr>
              <w:t> </w:t>
            </w:r>
            <w:r>
              <w:rPr>
                <w:sz w:val="20"/>
              </w:rPr>
              <w:t>and</w:t>
            </w:r>
            <w:r>
              <w:rPr>
                <w:spacing w:val="-11"/>
                <w:sz w:val="20"/>
              </w:rPr>
              <w:t> </w:t>
            </w:r>
            <w:r>
              <w:rPr>
                <w:sz w:val="20"/>
              </w:rPr>
              <w:t>Evidence</w:t>
            </w:r>
            <w:r>
              <w:rPr>
                <w:spacing w:val="-5"/>
                <w:sz w:val="20"/>
              </w:rPr>
              <w:t> </w:t>
            </w:r>
            <w:r>
              <w:rPr>
                <w:sz w:val="20"/>
              </w:rPr>
              <w:t>Officer</w:t>
            </w:r>
            <w:r>
              <w:rPr>
                <w:spacing w:val="-6"/>
                <w:sz w:val="20"/>
              </w:rPr>
              <w:t> </w:t>
            </w:r>
            <w:r>
              <w:rPr>
                <w:spacing w:val="-2"/>
                <w:sz w:val="20"/>
              </w:rPr>
              <w:t>(Disclosure)</w:t>
            </w:r>
            <w:r>
              <w:rPr>
                <w:spacing w:val="-2"/>
                <w:sz w:val="20"/>
                <w:vertAlign w:val="superscript"/>
              </w:rPr>
              <w:t>94</w:t>
            </w:r>
          </w:p>
        </w:tc>
        <w:tc>
          <w:tcPr>
            <w:tcW w:w="1297" w:type="dxa"/>
          </w:tcPr>
          <w:p>
            <w:pPr>
              <w:pStyle w:val="TableParagraph"/>
              <w:spacing w:line="229" w:lineRule="exact" w:before="10"/>
              <w:ind w:left="511"/>
              <w:jc w:val="left"/>
              <w:rPr>
                <w:sz w:val="20"/>
              </w:rPr>
            </w:pPr>
            <w:r>
              <w:rPr>
                <w:spacing w:val="-2"/>
                <w:sz w:val="20"/>
              </w:rPr>
              <w:t>P-</w:t>
            </w:r>
            <w:r>
              <w:rPr>
                <w:spacing w:val="-10"/>
                <w:sz w:val="20"/>
              </w:rPr>
              <w:t>3</w:t>
            </w:r>
          </w:p>
        </w:tc>
        <w:tc>
          <w:tcPr>
            <w:tcW w:w="848" w:type="dxa"/>
          </w:tcPr>
          <w:p>
            <w:pPr>
              <w:pStyle w:val="TableParagraph"/>
              <w:spacing w:line="229" w:lineRule="exact" w:before="10"/>
              <w:ind w:right="5"/>
              <w:rPr>
                <w:sz w:val="20"/>
              </w:rPr>
            </w:pPr>
            <w:r>
              <w:rPr>
                <w:w w:val="100"/>
                <w:sz w:val="20"/>
              </w:rPr>
              <w:t>1</w:t>
            </w:r>
          </w:p>
        </w:tc>
      </w:tr>
      <w:tr>
        <w:trPr>
          <w:trHeight w:val="269" w:hRule="atLeast"/>
        </w:trPr>
        <w:tc>
          <w:tcPr>
            <w:tcW w:w="5299" w:type="dxa"/>
          </w:tcPr>
          <w:p>
            <w:pPr>
              <w:pStyle w:val="TableParagraph"/>
              <w:spacing w:line="229" w:lineRule="exact" w:before="20"/>
              <w:ind w:left="14"/>
              <w:jc w:val="left"/>
              <w:rPr>
                <w:sz w:val="20"/>
              </w:rPr>
            </w:pPr>
            <w:r>
              <w:rPr>
                <w:sz w:val="20"/>
              </w:rPr>
              <w:t>Information</w:t>
            </w:r>
            <w:r>
              <w:rPr>
                <w:spacing w:val="-7"/>
                <w:sz w:val="20"/>
              </w:rPr>
              <w:t> </w:t>
            </w:r>
            <w:r>
              <w:rPr>
                <w:sz w:val="20"/>
              </w:rPr>
              <w:t>and</w:t>
            </w:r>
            <w:r>
              <w:rPr>
                <w:spacing w:val="-11"/>
                <w:sz w:val="20"/>
              </w:rPr>
              <w:t> </w:t>
            </w:r>
            <w:r>
              <w:rPr>
                <w:sz w:val="20"/>
              </w:rPr>
              <w:t>Evidence</w:t>
            </w:r>
            <w:r>
              <w:rPr>
                <w:spacing w:val="-5"/>
                <w:sz w:val="20"/>
              </w:rPr>
              <w:t> </w:t>
            </w:r>
            <w:r>
              <w:rPr>
                <w:sz w:val="20"/>
              </w:rPr>
              <w:t>Officer</w:t>
            </w:r>
            <w:r>
              <w:rPr>
                <w:spacing w:val="-6"/>
                <w:sz w:val="20"/>
              </w:rPr>
              <w:t> </w:t>
            </w:r>
            <w:r>
              <w:rPr>
                <w:spacing w:val="-2"/>
                <w:sz w:val="20"/>
              </w:rPr>
              <w:t>(eDiscovery)</w:t>
            </w:r>
            <w:r>
              <w:rPr>
                <w:spacing w:val="-2"/>
                <w:sz w:val="20"/>
                <w:vertAlign w:val="superscript"/>
              </w:rPr>
              <w:t>95</w:t>
            </w:r>
          </w:p>
        </w:tc>
        <w:tc>
          <w:tcPr>
            <w:tcW w:w="1297" w:type="dxa"/>
          </w:tcPr>
          <w:p>
            <w:pPr>
              <w:pStyle w:val="TableParagraph"/>
              <w:spacing w:line="229" w:lineRule="exact" w:before="20"/>
              <w:ind w:left="511"/>
              <w:jc w:val="left"/>
              <w:rPr>
                <w:sz w:val="20"/>
              </w:rPr>
            </w:pPr>
            <w:r>
              <w:rPr>
                <w:spacing w:val="-2"/>
                <w:sz w:val="20"/>
              </w:rPr>
              <w:t>P-</w:t>
            </w:r>
            <w:r>
              <w:rPr>
                <w:spacing w:val="-10"/>
                <w:sz w:val="20"/>
              </w:rPr>
              <w:t>3</w:t>
            </w:r>
          </w:p>
        </w:tc>
        <w:tc>
          <w:tcPr>
            <w:tcW w:w="848" w:type="dxa"/>
          </w:tcPr>
          <w:p>
            <w:pPr>
              <w:pStyle w:val="TableParagraph"/>
              <w:spacing w:line="229" w:lineRule="exact" w:before="20"/>
              <w:ind w:right="5"/>
              <w:rPr>
                <w:sz w:val="20"/>
              </w:rPr>
            </w:pPr>
            <w:r>
              <w:rPr>
                <w:w w:val="100"/>
                <w:sz w:val="20"/>
              </w:rPr>
              <w:t>3</w:t>
            </w:r>
          </w:p>
        </w:tc>
      </w:tr>
      <w:tr>
        <w:trPr>
          <w:trHeight w:val="271" w:hRule="atLeast"/>
        </w:trPr>
        <w:tc>
          <w:tcPr>
            <w:tcW w:w="5299" w:type="dxa"/>
          </w:tcPr>
          <w:p>
            <w:pPr>
              <w:pStyle w:val="TableParagraph"/>
              <w:spacing w:before="19"/>
              <w:ind w:left="14"/>
              <w:jc w:val="left"/>
              <w:rPr>
                <w:sz w:val="20"/>
              </w:rPr>
            </w:pPr>
            <w:r>
              <w:rPr>
                <w:sz w:val="20"/>
              </w:rPr>
              <w:t>Associate</w:t>
            </w:r>
            <w:r>
              <w:rPr>
                <w:spacing w:val="-8"/>
                <w:sz w:val="20"/>
              </w:rPr>
              <w:t> </w:t>
            </w:r>
            <w:r>
              <w:rPr>
                <w:sz w:val="20"/>
              </w:rPr>
              <w:t>Information</w:t>
            </w:r>
            <w:r>
              <w:rPr>
                <w:spacing w:val="-10"/>
                <w:sz w:val="20"/>
              </w:rPr>
              <w:t> </w:t>
            </w:r>
            <w:r>
              <w:rPr>
                <w:sz w:val="20"/>
              </w:rPr>
              <w:t>and</w:t>
            </w:r>
            <w:r>
              <w:rPr>
                <w:spacing w:val="-9"/>
                <w:sz w:val="20"/>
              </w:rPr>
              <w:t> </w:t>
            </w:r>
            <w:r>
              <w:rPr>
                <w:sz w:val="20"/>
              </w:rPr>
              <w:t>Evidence</w:t>
            </w:r>
            <w:r>
              <w:rPr>
                <w:spacing w:val="-3"/>
                <w:sz w:val="20"/>
              </w:rPr>
              <w:t> </w:t>
            </w:r>
            <w:r>
              <w:rPr>
                <w:sz w:val="20"/>
              </w:rPr>
              <w:t>Officer</w:t>
            </w:r>
            <w:r>
              <w:rPr>
                <w:spacing w:val="-5"/>
                <w:sz w:val="20"/>
              </w:rPr>
              <w:t> </w:t>
            </w:r>
            <w:r>
              <w:rPr>
                <w:spacing w:val="-2"/>
                <w:sz w:val="20"/>
              </w:rPr>
              <w:t>(Disclosure)</w:t>
            </w:r>
            <w:r>
              <w:rPr>
                <w:spacing w:val="-2"/>
                <w:sz w:val="20"/>
                <w:vertAlign w:val="superscript"/>
              </w:rPr>
              <w:t>96</w:t>
            </w:r>
          </w:p>
        </w:tc>
        <w:tc>
          <w:tcPr>
            <w:tcW w:w="1297" w:type="dxa"/>
          </w:tcPr>
          <w:p>
            <w:pPr>
              <w:pStyle w:val="TableParagraph"/>
              <w:spacing w:before="19"/>
              <w:ind w:left="511"/>
              <w:jc w:val="left"/>
              <w:rPr>
                <w:sz w:val="20"/>
              </w:rPr>
            </w:pPr>
            <w:r>
              <w:rPr>
                <w:spacing w:val="-2"/>
                <w:sz w:val="20"/>
              </w:rPr>
              <w:t>P-</w:t>
            </w:r>
            <w:r>
              <w:rPr>
                <w:spacing w:val="-10"/>
                <w:sz w:val="20"/>
              </w:rPr>
              <w:t>2</w:t>
            </w:r>
          </w:p>
        </w:tc>
        <w:tc>
          <w:tcPr>
            <w:tcW w:w="848" w:type="dxa"/>
          </w:tcPr>
          <w:p>
            <w:pPr>
              <w:pStyle w:val="TableParagraph"/>
              <w:spacing w:before="19"/>
              <w:ind w:right="5"/>
              <w:rPr>
                <w:sz w:val="20"/>
              </w:rPr>
            </w:pPr>
            <w:r>
              <w:rPr>
                <w:w w:val="100"/>
                <w:sz w:val="20"/>
              </w:rPr>
              <w:t>1</w:t>
            </w:r>
          </w:p>
        </w:tc>
      </w:tr>
      <w:tr>
        <w:trPr>
          <w:trHeight w:val="271" w:hRule="atLeast"/>
        </w:trPr>
        <w:tc>
          <w:tcPr>
            <w:tcW w:w="5299" w:type="dxa"/>
          </w:tcPr>
          <w:p>
            <w:pPr>
              <w:pStyle w:val="TableParagraph"/>
              <w:spacing w:line="229" w:lineRule="exact" w:before="22"/>
              <w:ind w:left="14"/>
              <w:jc w:val="left"/>
              <w:rPr>
                <w:sz w:val="20"/>
              </w:rPr>
            </w:pPr>
            <w:r>
              <w:rPr>
                <w:sz w:val="20"/>
              </w:rPr>
              <w:t>Associate</w:t>
            </w:r>
            <w:r>
              <w:rPr>
                <w:spacing w:val="-8"/>
                <w:sz w:val="20"/>
              </w:rPr>
              <w:t> </w:t>
            </w:r>
            <w:r>
              <w:rPr>
                <w:sz w:val="20"/>
              </w:rPr>
              <w:t>Information</w:t>
            </w:r>
            <w:r>
              <w:rPr>
                <w:spacing w:val="-10"/>
                <w:sz w:val="20"/>
              </w:rPr>
              <w:t> </w:t>
            </w:r>
            <w:r>
              <w:rPr>
                <w:sz w:val="20"/>
              </w:rPr>
              <w:t>and</w:t>
            </w:r>
            <w:r>
              <w:rPr>
                <w:spacing w:val="-9"/>
                <w:sz w:val="20"/>
              </w:rPr>
              <w:t> </w:t>
            </w:r>
            <w:r>
              <w:rPr>
                <w:sz w:val="20"/>
              </w:rPr>
              <w:t>Evidence</w:t>
            </w:r>
            <w:r>
              <w:rPr>
                <w:spacing w:val="-4"/>
                <w:sz w:val="20"/>
              </w:rPr>
              <w:t> </w:t>
            </w:r>
            <w:r>
              <w:rPr>
                <w:sz w:val="20"/>
              </w:rPr>
              <w:t>Officer</w:t>
            </w:r>
            <w:r>
              <w:rPr>
                <w:spacing w:val="-9"/>
                <w:sz w:val="20"/>
              </w:rPr>
              <w:t> </w:t>
            </w:r>
            <w:r>
              <w:rPr>
                <w:spacing w:val="-2"/>
                <w:sz w:val="20"/>
              </w:rPr>
              <w:t>(eDiscovery)</w:t>
            </w:r>
            <w:r>
              <w:rPr>
                <w:spacing w:val="-2"/>
                <w:sz w:val="20"/>
                <w:vertAlign w:val="superscript"/>
              </w:rPr>
              <w:t>97</w:t>
            </w:r>
          </w:p>
        </w:tc>
        <w:tc>
          <w:tcPr>
            <w:tcW w:w="1297" w:type="dxa"/>
          </w:tcPr>
          <w:p>
            <w:pPr>
              <w:pStyle w:val="TableParagraph"/>
              <w:spacing w:line="229" w:lineRule="exact" w:before="22"/>
              <w:ind w:left="511"/>
              <w:jc w:val="left"/>
              <w:rPr>
                <w:sz w:val="20"/>
              </w:rPr>
            </w:pPr>
            <w:r>
              <w:rPr>
                <w:spacing w:val="-2"/>
                <w:sz w:val="20"/>
              </w:rPr>
              <w:t>P-</w:t>
            </w:r>
            <w:r>
              <w:rPr>
                <w:spacing w:val="-10"/>
                <w:sz w:val="20"/>
              </w:rPr>
              <w:t>2</w:t>
            </w:r>
          </w:p>
        </w:tc>
        <w:tc>
          <w:tcPr>
            <w:tcW w:w="848" w:type="dxa"/>
          </w:tcPr>
          <w:p>
            <w:pPr>
              <w:pStyle w:val="TableParagraph"/>
              <w:spacing w:line="229" w:lineRule="exact" w:before="22"/>
              <w:ind w:right="5"/>
              <w:rPr>
                <w:sz w:val="20"/>
              </w:rPr>
            </w:pPr>
            <w:r>
              <w:rPr>
                <w:w w:val="100"/>
                <w:sz w:val="20"/>
              </w:rPr>
              <w:t>1</w:t>
            </w:r>
          </w:p>
        </w:tc>
      </w:tr>
      <w:tr>
        <w:trPr>
          <w:trHeight w:val="268" w:hRule="atLeast"/>
        </w:trPr>
        <w:tc>
          <w:tcPr>
            <w:tcW w:w="5299" w:type="dxa"/>
          </w:tcPr>
          <w:p>
            <w:pPr>
              <w:pStyle w:val="TableParagraph"/>
              <w:spacing w:line="229" w:lineRule="exact" w:before="19"/>
              <w:ind w:left="14"/>
              <w:jc w:val="left"/>
              <w:rPr>
                <w:sz w:val="20"/>
              </w:rPr>
            </w:pPr>
            <w:r>
              <w:rPr>
                <w:sz w:val="20"/>
              </w:rPr>
              <w:t>Associate</w:t>
            </w:r>
            <w:r>
              <w:rPr>
                <w:spacing w:val="-8"/>
                <w:sz w:val="20"/>
              </w:rPr>
              <w:t> </w:t>
            </w:r>
            <w:r>
              <w:rPr>
                <w:sz w:val="20"/>
              </w:rPr>
              <w:t>Electronic</w:t>
            </w:r>
            <w:r>
              <w:rPr>
                <w:spacing w:val="-13"/>
                <w:sz w:val="20"/>
              </w:rPr>
              <w:t> </w:t>
            </w:r>
            <w:r>
              <w:rPr>
                <w:sz w:val="20"/>
              </w:rPr>
              <w:t>Evidence</w:t>
            </w:r>
            <w:r>
              <w:rPr>
                <w:spacing w:val="-7"/>
                <w:sz w:val="20"/>
              </w:rPr>
              <w:t> </w:t>
            </w:r>
            <w:r>
              <w:rPr>
                <w:spacing w:val="-2"/>
                <w:sz w:val="20"/>
              </w:rPr>
              <w:t>Officer</w:t>
            </w:r>
            <w:r>
              <w:rPr>
                <w:spacing w:val="-2"/>
                <w:sz w:val="20"/>
                <w:vertAlign w:val="superscript"/>
              </w:rPr>
              <w:t>98</w:t>
            </w:r>
          </w:p>
        </w:tc>
        <w:tc>
          <w:tcPr>
            <w:tcW w:w="1297" w:type="dxa"/>
          </w:tcPr>
          <w:p>
            <w:pPr>
              <w:pStyle w:val="TableParagraph"/>
              <w:spacing w:line="229" w:lineRule="exact" w:before="19"/>
              <w:ind w:left="511"/>
              <w:jc w:val="left"/>
              <w:rPr>
                <w:sz w:val="20"/>
              </w:rPr>
            </w:pPr>
            <w:r>
              <w:rPr>
                <w:spacing w:val="-2"/>
                <w:sz w:val="20"/>
              </w:rPr>
              <w:t>P-</w:t>
            </w:r>
            <w:r>
              <w:rPr>
                <w:spacing w:val="-10"/>
                <w:sz w:val="20"/>
              </w:rPr>
              <w:t>2</w:t>
            </w:r>
          </w:p>
        </w:tc>
        <w:tc>
          <w:tcPr>
            <w:tcW w:w="848" w:type="dxa"/>
          </w:tcPr>
          <w:p>
            <w:pPr>
              <w:pStyle w:val="TableParagraph"/>
              <w:spacing w:line="229" w:lineRule="exact" w:before="19"/>
              <w:ind w:right="5"/>
              <w:rPr>
                <w:sz w:val="20"/>
              </w:rPr>
            </w:pPr>
            <w:r>
              <w:rPr>
                <w:w w:val="100"/>
                <w:sz w:val="20"/>
              </w:rPr>
              <w:t>2</w:t>
            </w:r>
          </w:p>
        </w:tc>
      </w:tr>
      <w:tr>
        <w:trPr>
          <w:trHeight w:val="272" w:hRule="atLeast"/>
        </w:trPr>
        <w:tc>
          <w:tcPr>
            <w:tcW w:w="5299" w:type="dxa"/>
          </w:tcPr>
          <w:p>
            <w:pPr>
              <w:pStyle w:val="TableParagraph"/>
              <w:spacing w:before="19"/>
              <w:ind w:left="14"/>
              <w:jc w:val="left"/>
              <w:rPr>
                <w:sz w:val="20"/>
              </w:rPr>
            </w:pPr>
            <w:r>
              <w:rPr>
                <w:sz w:val="20"/>
              </w:rPr>
              <w:t>Associate</w:t>
            </w:r>
            <w:r>
              <w:rPr>
                <w:spacing w:val="-8"/>
                <w:sz w:val="20"/>
              </w:rPr>
              <w:t> </w:t>
            </w:r>
            <w:r>
              <w:rPr>
                <w:sz w:val="20"/>
              </w:rPr>
              <w:t>RFA</w:t>
            </w:r>
            <w:r>
              <w:rPr>
                <w:spacing w:val="-5"/>
                <w:sz w:val="20"/>
              </w:rPr>
              <w:t> </w:t>
            </w:r>
            <w:r>
              <w:rPr>
                <w:sz w:val="20"/>
              </w:rPr>
              <w:t>Analyst</w:t>
            </w:r>
            <w:r>
              <w:rPr>
                <w:spacing w:val="-3"/>
                <w:sz w:val="20"/>
              </w:rPr>
              <w:t> </w:t>
            </w:r>
            <w:r>
              <w:rPr>
                <w:spacing w:val="-2"/>
                <w:sz w:val="20"/>
              </w:rPr>
              <w:t>(eDiscovery)</w:t>
            </w:r>
            <w:r>
              <w:rPr>
                <w:spacing w:val="-2"/>
                <w:sz w:val="20"/>
                <w:vertAlign w:val="superscript"/>
              </w:rPr>
              <w:t>99</w:t>
            </w:r>
          </w:p>
        </w:tc>
        <w:tc>
          <w:tcPr>
            <w:tcW w:w="1297" w:type="dxa"/>
          </w:tcPr>
          <w:p>
            <w:pPr>
              <w:pStyle w:val="TableParagraph"/>
              <w:spacing w:before="19"/>
              <w:ind w:left="511"/>
              <w:jc w:val="left"/>
              <w:rPr>
                <w:sz w:val="20"/>
              </w:rPr>
            </w:pPr>
            <w:r>
              <w:rPr>
                <w:spacing w:val="-2"/>
                <w:sz w:val="20"/>
              </w:rPr>
              <w:t>P-</w:t>
            </w:r>
            <w:r>
              <w:rPr>
                <w:spacing w:val="-10"/>
                <w:sz w:val="20"/>
              </w:rPr>
              <w:t>2</w:t>
            </w:r>
          </w:p>
        </w:tc>
        <w:tc>
          <w:tcPr>
            <w:tcW w:w="848" w:type="dxa"/>
          </w:tcPr>
          <w:p>
            <w:pPr>
              <w:pStyle w:val="TableParagraph"/>
              <w:spacing w:before="19"/>
              <w:ind w:right="5"/>
              <w:rPr>
                <w:sz w:val="20"/>
              </w:rPr>
            </w:pPr>
            <w:r>
              <w:rPr>
                <w:w w:val="100"/>
                <w:sz w:val="20"/>
              </w:rPr>
              <w:t>1</w:t>
            </w:r>
          </w:p>
        </w:tc>
      </w:tr>
      <w:tr>
        <w:trPr>
          <w:trHeight w:val="267" w:hRule="atLeast"/>
        </w:trPr>
        <w:tc>
          <w:tcPr>
            <w:tcW w:w="5299" w:type="dxa"/>
          </w:tcPr>
          <w:p>
            <w:pPr>
              <w:pStyle w:val="TableParagraph"/>
              <w:spacing w:before="15"/>
              <w:ind w:left="14"/>
              <w:jc w:val="left"/>
              <w:rPr>
                <w:sz w:val="20"/>
              </w:rPr>
            </w:pPr>
            <w:r>
              <w:rPr>
                <w:sz w:val="20"/>
              </w:rPr>
              <w:t>Associate</w:t>
            </w:r>
            <w:r>
              <w:rPr>
                <w:spacing w:val="-7"/>
                <w:sz w:val="20"/>
              </w:rPr>
              <w:t> </w:t>
            </w:r>
            <w:r>
              <w:rPr>
                <w:sz w:val="20"/>
              </w:rPr>
              <w:t>Analyst</w:t>
            </w:r>
            <w:r>
              <w:rPr>
                <w:spacing w:val="-7"/>
                <w:sz w:val="20"/>
              </w:rPr>
              <w:t> </w:t>
            </w:r>
            <w:r>
              <w:rPr>
                <w:sz w:val="20"/>
              </w:rPr>
              <w:t>(Data</w:t>
            </w:r>
            <w:r>
              <w:rPr>
                <w:spacing w:val="-6"/>
                <w:sz w:val="20"/>
              </w:rPr>
              <w:t> </w:t>
            </w:r>
            <w:r>
              <w:rPr>
                <w:spacing w:val="-2"/>
                <w:sz w:val="20"/>
              </w:rPr>
              <w:t>Analysis)</w:t>
            </w:r>
          </w:p>
        </w:tc>
        <w:tc>
          <w:tcPr>
            <w:tcW w:w="1297" w:type="dxa"/>
          </w:tcPr>
          <w:p>
            <w:pPr>
              <w:pStyle w:val="TableParagraph"/>
              <w:spacing w:before="15"/>
              <w:ind w:left="511"/>
              <w:jc w:val="left"/>
              <w:rPr>
                <w:sz w:val="20"/>
              </w:rPr>
            </w:pPr>
            <w:r>
              <w:rPr>
                <w:spacing w:val="-2"/>
                <w:sz w:val="20"/>
              </w:rPr>
              <w:t>P-</w:t>
            </w:r>
            <w:r>
              <w:rPr>
                <w:spacing w:val="-10"/>
                <w:sz w:val="20"/>
              </w:rPr>
              <w:t>2</w:t>
            </w:r>
          </w:p>
        </w:tc>
        <w:tc>
          <w:tcPr>
            <w:tcW w:w="848" w:type="dxa"/>
          </w:tcPr>
          <w:p>
            <w:pPr>
              <w:pStyle w:val="TableParagraph"/>
              <w:spacing w:before="15"/>
              <w:ind w:right="5"/>
              <w:rPr>
                <w:sz w:val="20"/>
              </w:rPr>
            </w:pPr>
            <w:r>
              <w:rPr>
                <w:w w:val="100"/>
                <w:sz w:val="20"/>
              </w:rPr>
              <w:t>1</w:t>
            </w:r>
          </w:p>
        </w:tc>
      </w:tr>
      <w:tr>
        <w:trPr>
          <w:trHeight w:val="275" w:hRule="atLeast"/>
        </w:trPr>
        <w:tc>
          <w:tcPr>
            <w:tcW w:w="5299" w:type="dxa"/>
          </w:tcPr>
          <w:p>
            <w:pPr>
              <w:pStyle w:val="TableParagraph"/>
              <w:spacing w:before="22"/>
              <w:ind w:left="14"/>
              <w:jc w:val="left"/>
              <w:rPr>
                <w:sz w:val="20"/>
              </w:rPr>
            </w:pPr>
            <w:r>
              <w:rPr>
                <w:sz w:val="20"/>
              </w:rPr>
              <w:t>Associate</w:t>
            </w:r>
            <w:r>
              <w:rPr>
                <w:spacing w:val="-9"/>
                <w:sz w:val="20"/>
              </w:rPr>
              <w:t> </w:t>
            </w:r>
            <w:r>
              <w:rPr>
                <w:sz w:val="20"/>
              </w:rPr>
              <w:t>Database</w:t>
            </w:r>
            <w:r>
              <w:rPr>
                <w:spacing w:val="-7"/>
                <w:sz w:val="20"/>
              </w:rPr>
              <w:t> </w:t>
            </w:r>
            <w:r>
              <w:rPr>
                <w:spacing w:val="-2"/>
                <w:sz w:val="20"/>
              </w:rPr>
              <w:t>Coordinator</w:t>
            </w:r>
            <w:r>
              <w:rPr>
                <w:spacing w:val="-2"/>
                <w:sz w:val="20"/>
                <w:vertAlign w:val="superscript"/>
              </w:rPr>
              <w:t>100</w:t>
            </w:r>
          </w:p>
        </w:tc>
        <w:tc>
          <w:tcPr>
            <w:tcW w:w="1297" w:type="dxa"/>
          </w:tcPr>
          <w:p>
            <w:pPr>
              <w:pStyle w:val="TableParagraph"/>
              <w:spacing w:before="22"/>
              <w:ind w:left="511"/>
              <w:jc w:val="left"/>
              <w:rPr>
                <w:sz w:val="20"/>
              </w:rPr>
            </w:pPr>
            <w:r>
              <w:rPr>
                <w:spacing w:val="-2"/>
                <w:sz w:val="20"/>
              </w:rPr>
              <w:t>P-</w:t>
            </w:r>
            <w:r>
              <w:rPr>
                <w:spacing w:val="-10"/>
                <w:sz w:val="20"/>
              </w:rPr>
              <w:t>2</w:t>
            </w:r>
          </w:p>
        </w:tc>
        <w:tc>
          <w:tcPr>
            <w:tcW w:w="848" w:type="dxa"/>
          </w:tcPr>
          <w:p>
            <w:pPr>
              <w:pStyle w:val="TableParagraph"/>
              <w:spacing w:before="22"/>
              <w:ind w:right="5"/>
              <w:rPr>
                <w:sz w:val="20"/>
              </w:rPr>
            </w:pPr>
            <w:r>
              <w:rPr>
                <w:w w:val="100"/>
                <w:sz w:val="20"/>
              </w:rPr>
              <w:t>1</w:t>
            </w:r>
          </w:p>
        </w:tc>
      </w:tr>
      <w:tr>
        <w:trPr>
          <w:trHeight w:val="264" w:hRule="atLeast"/>
        </w:trPr>
        <w:tc>
          <w:tcPr>
            <w:tcW w:w="5299" w:type="dxa"/>
          </w:tcPr>
          <w:p>
            <w:pPr>
              <w:pStyle w:val="TableParagraph"/>
              <w:spacing w:line="229" w:lineRule="exact" w:before="15"/>
              <w:ind w:left="14"/>
              <w:jc w:val="left"/>
              <w:rPr>
                <w:sz w:val="20"/>
              </w:rPr>
            </w:pPr>
            <w:r>
              <w:rPr>
                <w:sz w:val="20"/>
              </w:rPr>
              <w:t>Database</w:t>
            </w:r>
            <w:r>
              <w:rPr>
                <w:spacing w:val="-5"/>
                <w:sz w:val="20"/>
              </w:rPr>
              <w:t> </w:t>
            </w:r>
            <w:r>
              <w:rPr>
                <w:spacing w:val="-2"/>
                <w:sz w:val="20"/>
              </w:rPr>
              <w:t>Coordinator</w:t>
            </w:r>
          </w:p>
        </w:tc>
        <w:tc>
          <w:tcPr>
            <w:tcW w:w="1297" w:type="dxa"/>
          </w:tcPr>
          <w:p>
            <w:pPr>
              <w:pStyle w:val="TableParagraph"/>
              <w:spacing w:line="229" w:lineRule="exact" w:before="15"/>
              <w:ind w:left="511"/>
              <w:jc w:val="left"/>
              <w:rPr>
                <w:sz w:val="20"/>
              </w:rPr>
            </w:pPr>
            <w:r>
              <w:rPr>
                <w:spacing w:val="-2"/>
                <w:sz w:val="20"/>
              </w:rPr>
              <w:t>P-</w:t>
            </w:r>
            <w:r>
              <w:rPr>
                <w:spacing w:val="-10"/>
                <w:sz w:val="20"/>
              </w:rPr>
              <w:t>1</w:t>
            </w:r>
          </w:p>
        </w:tc>
        <w:tc>
          <w:tcPr>
            <w:tcW w:w="848" w:type="dxa"/>
          </w:tcPr>
          <w:p>
            <w:pPr>
              <w:pStyle w:val="TableParagraph"/>
              <w:spacing w:line="229" w:lineRule="exact" w:before="15"/>
              <w:ind w:right="5"/>
              <w:rPr>
                <w:sz w:val="20"/>
              </w:rPr>
            </w:pPr>
            <w:r>
              <w:rPr>
                <w:w w:val="100"/>
                <w:sz w:val="20"/>
              </w:rPr>
              <w:t>2</w:t>
            </w:r>
          </w:p>
        </w:tc>
      </w:tr>
      <w:tr>
        <w:trPr>
          <w:trHeight w:val="272" w:hRule="atLeast"/>
        </w:trPr>
        <w:tc>
          <w:tcPr>
            <w:tcW w:w="5299" w:type="dxa"/>
          </w:tcPr>
          <w:p>
            <w:pPr>
              <w:pStyle w:val="TableParagraph"/>
              <w:spacing w:before="19"/>
              <w:ind w:left="14"/>
              <w:jc w:val="left"/>
              <w:rPr>
                <w:sz w:val="20"/>
              </w:rPr>
            </w:pPr>
            <w:r>
              <w:rPr>
                <w:sz w:val="20"/>
              </w:rPr>
              <w:t>eDiscovery</w:t>
            </w:r>
            <w:r>
              <w:rPr>
                <w:spacing w:val="-6"/>
                <w:sz w:val="20"/>
              </w:rPr>
              <w:t> </w:t>
            </w:r>
            <w:r>
              <w:rPr>
                <w:spacing w:val="-2"/>
                <w:sz w:val="20"/>
              </w:rPr>
              <w:t>Assistant</w:t>
            </w:r>
            <w:r>
              <w:rPr>
                <w:spacing w:val="-2"/>
                <w:sz w:val="20"/>
                <w:vertAlign w:val="superscript"/>
              </w:rPr>
              <w:t>101</w:t>
            </w:r>
          </w:p>
        </w:tc>
        <w:tc>
          <w:tcPr>
            <w:tcW w:w="1297" w:type="dxa"/>
          </w:tcPr>
          <w:p>
            <w:pPr>
              <w:pStyle w:val="TableParagraph"/>
              <w:spacing w:before="19"/>
              <w:ind w:left="511"/>
              <w:jc w:val="left"/>
              <w:rPr>
                <w:sz w:val="20"/>
              </w:rPr>
            </w:pPr>
            <w:r>
              <w:rPr>
                <w:spacing w:val="-2"/>
                <w:sz w:val="20"/>
              </w:rPr>
              <w:t>GS-</w:t>
            </w:r>
            <w:r>
              <w:rPr>
                <w:spacing w:val="-7"/>
                <w:sz w:val="20"/>
              </w:rPr>
              <w:t>OL</w:t>
            </w:r>
          </w:p>
        </w:tc>
        <w:tc>
          <w:tcPr>
            <w:tcW w:w="848" w:type="dxa"/>
          </w:tcPr>
          <w:p>
            <w:pPr>
              <w:pStyle w:val="TableParagraph"/>
              <w:spacing w:before="19"/>
              <w:ind w:right="5"/>
              <w:rPr>
                <w:sz w:val="20"/>
              </w:rPr>
            </w:pPr>
            <w:r>
              <w:rPr>
                <w:w w:val="100"/>
                <w:sz w:val="20"/>
              </w:rPr>
              <w:t>1</w:t>
            </w:r>
          </w:p>
        </w:tc>
      </w:tr>
      <w:tr>
        <w:trPr>
          <w:trHeight w:val="271" w:hRule="atLeast"/>
        </w:trPr>
        <w:tc>
          <w:tcPr>
            <w:tcW w:w="5299" w:type="dxa"/>
          </w:tcPr>
          <w:p>
            <w:pPr>
              <w:pStyle w:val="TableParagraph"/>
              <w:spacing w:before="15"/>
              <w:ind w:left="14"/>
              <w:jc w:val="left"/>
              <w:rPr>
                <w:sz w:val="20"/>
              </w:rPr>
            </w:pPr>
            <w:r>
              <w:rPr>
                <w:spacing w:val="-2"/>
                <w:sz w:val="20"/>
              </w:rPr>
              <w:t>Disclosure/Search</w:t>
            </w:r>
            <w:r>
              <w:rPr>
                <w:spacing w:val="21"/>
                <w:sz w:val="20"/>
              </w:rPr>
              <w:t> </w:t>
            </w:r>
            <w:r>
              <w:rPr>
                <w:spacing w:val="-2"/>
                <w:sz w:val="20"/>
              </w:rPr>
              <w:t>Assistant</w:t>
            </w:r>
          </w:p>
        </w:tc>
        <w:tc>
          <w:tcPr>
            <w:tcW w:w="1297" w:type="dxa"/>
          </w:tcPr>
          <w:p>
            <w:pPr>
              <w:pStyle w:val="TableParagraph"/>
              <w:spacing w:before="15"/>
              <w:ind w:left="511"/>
              <w:jc w:val="left"/>
              <w:rPr>
                <w:sz w:val="20"/>
              </w:rPr>
            </w:pPr>
            <w:r>
              <w:rPr>
                <w:spacing w:val="-2"/>
                <w:sz w:val="20"/>
              </w:rPr>
              <w:t>GS-</w:t>
            </w:r>
            <w:r>
              <w:rPr>
                <w:spacing w:val="-7"/>
                <w:sz w:val="20"/>
              </w:rPr>
              <w:t>OL</w:t>
            </w:r>
          </w:p>
        </w:tc>
        <w:tc>
          <w:tcPr>
            <w:tcW w:w="848" w:type="dxa"/>
          </w:tcPr>
          <w:p>
            <w:pPr>
              <w:pStyle w:val="TableParagraph"/>
              <w:spacing w:before="15"/>
              <w:ind w:right="5"/>
              <w:rPr>
                <w:sz w:val="20"/>
              </w:rPr>
            </w:pPr>
            <w:r>
              <w:rPr>
                <w:w w:val="100"/>
                <w:sz w:val="20"/>
              </w:rPr>
              <w:t>1</w:t>
            </w:r>
          </w:p>
        </w:tc>
      </w:tr>
      <w:tr>
        <w:trPr>
          <w:trHeight w:val="267" w:hRule="atLeast"/>
        </w:trPr>
        <w:tc>
          <w:tcPr>
            <w:tcW w:w="5299" w:type="dxa"/>
            <w:tcBorders>
              <w:bottom w:val="single" w:sz="4" w:space="0" w:color="000000"/>
            </w:tcBorders>
          </w:tcPr>
          <w:p>
            <w:pPr>
              <w:pStyle w:val="TableParagraph"/>
              <w:spacing w:line="229" w:lineRule="exact" w:before="18"/>
              <w:ind w:left="14"/>
              <w:jc w:val="left"/>
              <w:rPr>
                <w:sz w:val="20"/>
              </w:rPr>
            </w:pPr>
            <w:r>
              <w:rPr>
                <w:sz w:val="20"/>
              </w:rPr>
              <w:t>Information</w:t>
            </w:r>
            <w:r>
              <w:rPr>
                <w:spacing w:val="-9"/>
                <w:sz w:val="20"/>
              </w:rPr>
              <w:t> </w:t>
            </w:r>
            <w:r>
              <w:rPr>
                <w:sz w:val="20"/>
              </w:rPr>
              <w:t>Storage</w:t>
            </w:r>
            <w:r>
              <w:rPr>
                <w:spacing w:val="-6"/>
                <w:sz w:val="20"/>
              </w:rPr>
              <w:t> </w:t>
            </w:r>
            <w:r>
              <w:rPr>
                <w:spacing w:val="-2"/>
                <w:sz w:val="20"/>
              </w:rPr>
              <w:t>Assistant</w:t>
            </w:r>
          </w:p>
        </w:tc>
        <w:tc>
          <w:tcPr>
            <w:tcW w:w="1297" w:type="dxa"/>
            <w:tcBorders>
              <w:bottom w:val="single" w:sz="4" w:space="0" w:color="000000"/>
            </w:tcBorders>
          </w:tcPr>
          <w:p>
            <w:pPr>
              <w:pStyle w:val="TableParagraph"/>
              <w:spacing w:line="229" w:lineRule="exact" w:before="18"/>
              <w:ind w:left="511"/>
              <w:jc w:val="left"/>
              <w:rPr>
                <w:sz w:val="20"/>
              </w:rPr>
            </w:pPr>
            <w:r>
              <w:rPr>
                <w:spacing w:val="-2"/>
                <w:sz w:val="20"/>
              </w:rPr>
              <w:t>GS-</w:t>
            </w:r>
            <w:r>
              <w:rPr>
                <w:spacing w:val="-7"/>
                <w:sz w:val="20"/>
              </w:rPr>
              <w:t>OL</w:t>
            </w:r>
          </w:p>
        </w:tc>
        <w:tc>
          <w:tcPr>
            <w:tcW w:w="848" w:type="dxa"/>
            <w:tcBorders>
              <w:bottom w:val="single" w:sz="4" w:space="0" w:color="000000"/>
            </w:tcBorders>
          </w:tcPr>
          <w:p>
            <w:pPr>
              <w:pStyle w:val="TableParagraph"/>
              <w:spacing w:line="229" w:lineRule="exact" w:before="18"/>
              <w:ind w:right="5"/>
              <w:rPr>
                <w:sz w:val="20"/>
              </w:rPr>
            </w:pPr>
            <w:r>
              <w:rPr>
                <w:w w:val="100"/>
                <w:sz w:val="20"/>
              </w:rPr>
              <w:t>1</w:t>
            </w:r>
          </w:p>
        </w:tc>
      </w:tr>
      <w:tr>
        <w:trPr>
          <w:trHeight w:val="268" w:hRule="atLeast"/>
        </w:trPr>
        <w:tc>
          <w:tcPr>
            <w:tcW w:w="5299" w:type="dxa"/>
            <w:tcBorders>
              <w:top w:val="single" w:sz="4" w:space="0" w:color="000000"/>
              <w:bottom w:val="single" w:sz="4" w:space="0" w:color="000000"/>
            </w:tcBorders>
          </w:tcPr>
          <w:p>
            <w:pPr>
              <w:pStyle w:val="TableParagraph"/>
              <w:jc w:val="left"/>
              <w:rPr>
                <w:sz w:val="18"/>
              </w:rPr>
            </w:pPr>
          </w:p>
        </w:tc>
        <w:tc>
          <w:tcPr>
            <w:tcW w:w="1297" w:type="dxa"/>
            <w:tcBorders>
              <w:top w:val="single" w:sz="4" w:space="0" w:color="000000"/>
              <w:bottom w:val="single" w:sz="4" w:space="0" w:color="000000"/>
            </w:tcBorders>
          </w:tcPr>
          <w:p>
            <w:pPr>
              <w:pStyle w:val="TableParagraph"/>
              <w:jc w:val="left"/>
              <w:rPr>
                <w:sz w:val="18"/>
              </w:rPr>
            </w:pPr>
          </w:p>
        </w:tc>
        <w:tc>
          <w:tcPr>
            <w:tcW w:w="848" w:type="dxa"/>
            <w:tcBorders>
              <w:top w:val="single" w:sz="4" w:space="0" w:color="000000"/>
              <w:bottom w:val="single" w:sz="4" w:space="0" w:color="000000"/>
            </w:tcBorders>
          </w:tcPr>
          <w:p>
            <w:pPr>
              <w:pStyle w:val="TableParagraph"/>
              <w:spacing w:line="229" w:lineRule="exact" w:before="19"/>
              <w:ind w:right="5"/>
              <w:rPr>
                <w:b/>
                <w:sz w:val="20"/>
              </w:rPr>
            </w:pPr>
            <w:r>
              <w:rPr>
                <w:b/>
                <w:spacing w:val="-5"/>
                <w:sz w:val="20"/>
              </w:rPr>
              <w:t>17</w:t>
            </w:r>
          </w:p>
        </w:tc>
      </w:tr>
    </w:tbl>
    <w:p>
      <w:pPr>
        <w:pStyle w:val="BodyText"/>
        <w:spacing w:before="4"/>
        <w:rPr>
          <w:sz w:val="29"/>
        </w:rPr>
      </w:pPr>
      <w:r>
        <w:rPr/>
        <w:pict>
          <v:rect style="position:absolute;margin-left:113.330002pt;margin-top:18.100019pt;width:144.050pt;height:.47998pt;mso-position-horizontal-relative:page;mso-position-vertical-relative:paragraph;z-index:-15694848;mso-wrap-distance-left:0;mso-wrap-distance-right:0" id="docshape182" filled="true" fillcolor="#000000" stroked="false">
            <v:fill type="solid"/>
            <w10:wrap type="topAndBottom"/>
          </v:rect>
        </w:pict>
      </w:r>
    </w:p>
    <w:p>
      <w:pPr>
        <w:spacing w:line="183" w:lineRule="exact" w:before="86"/>
        <w:ind w:left="2246" w:right="0" w:firstLine="0"/>
        <w:jc w:val="left"/>
        <w:rPr>
          <w:sz w:val="16"/>
        </w:rPr>
      </w:pPr>
      <w:r>
        <w:rPr>
          <w:position w:val="5"/>
          <w:sz w:val="10"/>
        </w:rPr>
        <w:t>90</w:t>
      </w:r>
      <w:r>
        <w:rPr>
          <w:spacing w:val="13"/>
          <w:position w:val="5"/>
          <w:sz w:val="10"/>
        </w:rPr>
        <w:t> </w:t>
      </w:r>
      <w:r>
        <w:rPr>
          <w:sz w:val="16"/>
        </w:rPr>
        <w:t>New</w:t>
      </w:r>
      <w:r>
        <w:rPr>
          <w:spacing w:val="-3"/>
          <w:sz w:val="16"/>
        </w:rPr>
        <w:t> </w:t>
      </w:r>
      <w:r>
        <w:rPr>
          <w:spacing w:val="-2"/>
          <w:sz w:val="16"/>
        </w:rPr>
        <w:t>post.</w:t>
      </w:r>
    </w:p>
    <w:p>
      <w:pPr>
        <w:spacing w:line="182" w:lineRule="exact" w:before="0"/>
        <w:ind w:left="2246" w:right="0" w:firstLine="0"/>
        <w:jc w:val="left"/>
        <w:rPr>
          <w:sz w:val="16"/>
        </w:rPr>
      </w:pPr>
      <w:r>
        <w:rPr>
          <w:position w:val="5"/>
          <w:sz w:val="10"/>
        </w:rPr>
        <w:t>91</w:t>
      </w:r>
      <w:r>
        <w:rPr>
          <w:spacing w:val="13"/>
          <w:position w:val="5"/>
          <w:sz w:val="10"/>
        </w:rPr>
        <w:t> </w:t>
      </w:r>
      <w:r>
        <w:rPr>
          <w:sz w:val="16"/>
        </w:rPr>
        <w:t>New</w:t>
      </w:r>
      <w:r>
        <w:rPr>
          <w:spacing w:val="-3"/>
          <w:sz w:val="16"/>
        </w:rPr>
        <w:t> </w:t>
      </w:r>
      <w:r>
        <w:rPr>
          <w:spacing w:val="-2"/>
          <w:sz w:val="16"/>
        </w:rPr>
        <w:t>post.</w:t>
      </w:r>
    </w:p>
    <w:p>
      <w:pPr>
        <w:spacing w:line="183" w:lineRule="exact" w:before="0"/>
        <w:ind w:left="2246" w:right="0" w:firstLine="0"/>
        <w:jc w:val="left"/>
        <w:rPr>
          <w:sz w:val="16"/>
        </w:rPr>
      </w:pPr>
      <w:r>
        <w:rPr>
          <w:position w:val="5"/>
          <w:sz w:val="10"/>
        </w:rPr>
        <w:t>92</w:t>
      </w:r>
      <w:r>
        <w:rPr>
          <w:spacing w:val="13"/>
          <w:position w:val="5"/>
          <w:sz w:val="10"/>
        </w:rPr>
        <w:t> </w:t>
      </w:r>
      <w:r>
        <w:rPr>
          <w:sz w:val="16"/>
        </w:rPr>
        <w:t>New</w:t>
      </w:r>
      <w:r>
        <w:rPr>
          <w:spacing w:val="-3"/>
          <w:sz w:val="16"/>
        </w:rPr>
        <w:t> </w:t>
      </w:r>
      <w:r>
        <w:rPr>
          <w:spacing w:val="-2"/>
          <w:sz w:val="16"/>
        </w:rPr>
        <w:t>post.</w:t>
      </w:r>
    </w:p>
    <w:p>
      <w:pPr>
        <w:spacing w:line="183" w:lineRule="exact" w:before="3"/>
        <w:ind w:left="2246" w:right="0" w:firstLine="0"/>
        <w:jc w:val="left"/>
        <w:rPr>
          <w:sz w:val="16"/>
        </w:rPr>
      </w:pPr>
      <w:r>
        <w:rPr>
          <w:position w:val="5"/>
          <w:sz w:val="10"/>
        </w:rPr>
        <w:t>93</w:t>
      </w:r>
      <w:r>
        <w:rPr>
          <w:spacing w:val="12"/>
          <w:position w:val="5"/>
          <w:sz w:val="10"/>
        </w:rPr>
        <w:t> </w:t>
      </w:r>
      <w:r>
        <w:rPr>
          <w:sz w:val="16"/>
        </w:rPr>
        <w:t>Converted</w:t>
      </w:r>
      <w:r>
        <w:rPr>
          <w:spacing w:val="-2"/>
          <w:sz w:val="16"/>
        </w:rPr>
        <w:t> </w:t>
      </w:r>
      <w:r>
        <w:rPr>
          <w:sz w:val="16"/>
        </w:rPr>
        <w:t>from</w:t>
      </w:r>
      <w:r>
        <w:rPr>
          <w:spacing w:val="-3"/>
          <w:sz w:val="16"/>
        </w:rPr>
        <w:t> </w:t>
      </w:r>
      <w:r>
        <w:rPr>
          <w:sz w:val="16"/>
        </w:rPr>
        <w:t>GTA</w:t>
      </w:r>
      <w:r>
        <w:rPr>
          <w:spacing w:val="-4"/>
          <w:sz w:val="16"/>
        </w:rPr>
        <w:t> </w:t>
      </w:r>
      <w:r>
        <w:rPr>
          <w:spacing w:val="-2"/>
          <w:sz w:val="16"/>
        </w:rPr>
        <w:t>position.</w:t>
      </w:r>
    </w:p>
    <w:p>
      <w:pPr>
        <w:spacing w:line="182" w:lineRule="exact" w:before="0"/>
        <w:ind w:left="2246" w:right="0" w:firstLine="0"/>
        <w:jc w:val="left"/>
        <w:rPr>
          <w:sz w:val="16"/>
        </w:rPr>
      </w:pPr>
      <w:r>
        <w:rPr>
          <w:position w:val="5"/>
          <w:sz w:val="10"/>
        </w:rPr>
        <w:t>94</w:t>
      </w:r>
      <w:r>
        <w:rPr>
          <w:spacing w:val="13"/>
          <w:position w:val="5"/>
          <w:sz w:val="10"/>
        </w:rPr>
        <w:t> </w:t>
      </w:r>
      <w:r>
        <w:rPr>
          <w:sz w:val="16"/>
        </w:rPr>
        <w:t>New</w:t>
      </w:r>
      <w:r>
        <w:rPr>
          <w:spacing w:val="-3"/>
          <w:sz w:val="16"/>
        </w:rPr>
        <w:t> </w:t>
      </w:r>
      <w:r>
        <w:rPr>
          <w:spacing w:val="-2"/>
          <w:sz w:val="16"/>
        </w:rPr>
        <w:t>post.</w:t>
      </w:r>
    </w:p>
    <w:p>
      <w:pPr>
        <w:spacing w:line="183" w:lineRule="exact" w:before="0"/>
        <w:ind w:left="2246" w:right="0" w:firstLine="0"/>
        <w:jc w:val="left"/>
        <w:rPr>
          <w:sz w:val="16"/>
        </w:rPr>
      </w:pPr>
      <w:r>
        <w:rPr>
          <w:position w:val="5"/>
          <w:sz w:val="10"/>
        </w:rPr>
        <w:t>95</w:t>
      </w:r>
      <w:r>
        <w:rPr>
          <w:spacing w:val="13"/>
          <w:position w:val="5"/>
          <w:sz w:val="10"/>
        </w:rPr>
        <w:t> </w:t>
      </w:r>
      <w:r>
        <w:rPr>
          <w:sz w:val="16"/>
        </w:rPr>
        <w:t>New</w:t>
      </w:r>
      <w:r>
        <w:rPr>
          <w:spacing w:val="-3"/>
          <w:sz w:val="16"/>
        </w:rPr>
        <w:t> </w:t>
      </w:r>
      <w:r>
        <w:rPr>
          <w:spacing w:val="-2"/>
          <w:sz w:val="16"/>
        </w:rPr>
        <w:t>posts.</w:t>
      </w:r>
    </w:p>
    <w:p>
      <w:pPr>
        <w:spacing w:line="183" w:lineRule="exact" w:before="3"/>
        <w:ind w:left="2246" w:right="0" w:firstLine="0"/>
        <w:jc w:val="left"/>
        <w:rPr>
          <w:sz w:val="16"/>
        </w:rPr>
      </w:pPr>
      <w:r>
        <w:rPr>
          <w:position w:val="5"/>
          <w:sz w:val="10"/>
        </w:rPr>
        <w:t>96</w:t>
      </w:r>
      <w:r>
        <w:rPr>
          <w:spacing w:val="13"/>
          <w:position w:val="5"/>
          <w:sz w:val="10"/>
        </w:rPr>
        <w:t> </w:t>
      </w:r>
      <w:r>
        <w:rPr>
          <w:sz w:val="16"/>
        </w:rPr>
        <w:t>New</w:t>
      </w:r>
      <w:r>
        <w:rPr>
          <w:spacing w:val="-3"/>
          <w:sz w:val="16"/>
        </w:rPr>
        <w:t> </w:t>
      </w:r>
      <w:r>
        <w:rPr>
          <w:spacing w:val="-2"/>
          <w:sz w:val="16"/>
        </w:rPr>
        <w:t>post.</w:t>
      </w:r>
    </w:p>
    <w:p>
      <w:pPr>
        <w:spacing w:line="183" w:lineRule="exact" w:before="0"/>
        <w:ind w:left="2246" w:right="0" w:firstLine="0"/>
        <w:jc w:val="left"/>
        <w:rPr>
          <w:sz w:val="16"/>
        </w:rPr>
      </w:pPr>
      <w:r>
        <w:rPr>
          <w:position w:val="5"/>
          <w:sz w:val="10"/>
        </w:rPr>
        <w:t>97</w:t>
      </w:r>
      <w:r>
        <w:rPr>
          <w:spacing w:val="13"/>
          <w:position w:val="5"/>
          <w:sz w:val="10"/>
        </w:rPr>
        <w:t> </w:t>
      </w:r>
      <w:r>
        <w:rPr>
          <w:sz w:val="16"/>
        </w:rPr>
        <w:t>New</w:t>
      </w:r>
      <w:r>
        <w:rPr>
          <w:spacing w:val="-3"/>
          <w:sz w:val="16"/>
        </w:rPr>
        <w:t> </w:t>
      </w:r>
      <w:r>
        <w:rPr>
          <w:spacing w:val="-2"/>
          <w:sz w:val="16"/>
        </w:rPr>
        <w:t>post.</w:t>
      </w:r>
    </w:p>
    <w:p>
      <w:pPr>
        <w:spacing w:line="183" w:lineRule="exact" w:before="0"/>
        <w:ind w:left="2246" w:right="0" w:firstLine="0"/>
        <w:jc w:val="left"/>
        <w:rPr>
          <w:sz w:val="16"/>
        </w:rPr>
      </w:pPr>
      <w:r>
        <w:rPr>
          <w:position w:val="5"/>
          <w:sz w:val="10"/>
        </w:rPr>
        <w:t>98</w:t>
      </w:r>
      <w:r>
        <w:rPr>
          <w:spacing w:val="12"/>
          <w:position w:val="5"/>
          <w:sz w:val="10"/>
        </w:rPr>
        <w:t> </w:t>
      </w:r>
      <w:r>
        <w:rPr>
          <w:sz w:val="16"/>
        </w:rPr>
        <w:t>Converted</w:t>
      </w:r>
      <w:r>
        <w:rPr>
          <w:spacing w:val="-2"/>
          <w:sz w:val="16"/>
        </w:rPr>
        <w:t> </w:t>
      </w:r>
      <w:r>
        <w:rPr>
          <w:sz w:val="16"/>
        </w:rPr>
        <w:t>from</w:t>
      </w:r>
      <w:r>
        <w:rPr>
          <w:spacing w:val="-3"/>
          <w:sz w:val="16"/>
        </w:rPr>
        <w:t> </w:t>
      </w:r>
      <w:r>
        <w:rPr>
          <w:sz w:val="16"/>
        </w:rPr>
        <w:t>GTA</w:t>
      </w:r>
      <w:r>
        <w:rPr>
          <w:spacing w:val="-4"/>
          <w:sz w:val="16"/>
        </w:rPr>
        <w:t> </w:t>
      </w:r>
      <w:r>
        <w:rPr>
          <w:spacing w:val="-2"/>
          <w:sz w:val="16"/>
        </w:rPr>
        <w:t>positions.</w:t>
      </w:r>
    </w:p>
    <w:p>
      <w:pPr>
        <w:spacing w:line="183" w:lineRule="exact" w:before="3"/>
        <w:ind w:left="2246" w:right="0" w:firstLine="0"/>
        <w:jc w:val="left"/>
        <w:rPr>
          <w:sz w:val="16"/>
        </w:rPr>
      </w:pPr>
      <w:r>
        <w:rPr>
          <w:position w:val="5"/>
          <w:sz w:val="10"/>
        </w:rPr>
        <w:t>99</w:t>
      </w:r>
      <w:r>
        <w:rPr>
          <w:spacing w:val="13"/>
          <w:position w:val="5"/>
          <w:sz w:val="10"/>
        </w:rPr>
        <w:t> </w:t>
      </w:r>
      <w:r>
        <w:rPr>
          <w:sz w:val="16"/>
        </w:rPr>
        <w:t>New</w:t>
      </w:r>
      <w:r>
        <w:rPr>
          <w:spacing w:val="-3"/>
          <w:sz w:val="16"/>
        </w:rPr>
        <w:t> </w:t>
      </w:r>
      <w:r>
        <w:rPr>
          <w:spacing w:val="-2"/>
          <w:sz w:val="16"/>
        </w:rPr>
        <w:t>post.</w:t>
      </w:r>
    </w:p>
    <w:p>
      <w:pPr>
        <w:spacing w:line="182" w:lineRule="exact" w:before="0"/>
        <w:ind w:left="2246" w:right="0" w:firstLine="0"/>
        <w:jc w:val="left"/>
        <w:rPr>
          <w:sz w:val="16"/>
        </w:rPr>
      </w:pPr>
      <w:r>
        <w:rPr>
          <w:position w:val="5"/>
          <w:sz w:val="10"/>
        </w:rPr>
        <w:t>100</w:t>
      </w:r>
      <w:r>
        <w:rPr>
          <w:spacing w:val="13"/>
          <w:position w:val="5"/>
          <w:sz w:val="10"/>
        </w:rPr>
        <w:t> </w:t>
      </w:r>
      <w:r>
        <w:rPr>
          <w:sz w:val="16"/>
        </w:rPr>
        <w:t>Converted</w:t>
      </w:r>
      <w:r>
        <w:rPr>
          <w:spacing w:val="-2"/>
          <w:sz w:val="16"/>
        </w:rPr>
        <w:t> </w:t>
      </w:r>
      <w:r>
        <w:rPr>
          <w:sz w:val="16"/>
        </w:rPr>
        <w:t>from</w:t>
      </w:r>
      <w:r>
        <w:rPr>
          <w:spacing w:val="-2"/>
          <w:sz w:val="16"/>
        </w:rPr>
        <w:t> </w:t>
      </w:r>
      <w:r>
        <w:rPr>
          <w:sz w:val="16"/>
        </w:rPr>
        <w:t>GTA</w:t>
      </w:r>
      <w:r>
        <w:rPr>
          <w:spacing w:val="-4"/>
          <w:sz w:val="16"/>
        </w:rPr>
        <w:t> </w:t>
      </w:r>
      <w:r>
        <w:rPr>
          <w:spacing w:val="-2"/>
          <w:sz w:val="16"/>
        </w:rPr>
        <w:t>position.</w:t>
      </w:r>
    </w:p>
    <w:p>
      <w:pPr>
        <w:spacing w:line="183" w:lineRule="exact" w:before="0"/>
        <w:ind w:left="2246" w:right="0" w:firstLine="0"/>
        <w:jc w:val="left"/>
        <w:rPr>
          <w:sz w:val="16"/>
        </w:rPr>
      </w:pPr>
      <w:r>
        <w:rPr>
          <w:position w:val="5"/>
          <w:sz w:val="10"/>
        </w:rPr>
        <w:t>101</w:t>
      </w:r>
      <w:r>
        <w:rPr>
          <w:spacing w:val="14"/>
          <w:position w:val="5"/>
          <w:sz w:val="10"/>
        </w:rPr>
        <w:t> </w:t>
      </w:r>
      <w:r>
        <w:rPr>
          <w:sz w:val="16"/>
        </w:rPr>
        <w:t>New</w:t>
      </w:r>
      <w:r>
        <w:rPr>
          <w:spacing w:val="-2"/>
          <w:sz w:val="16"/>
        </w:rPr>
        <w:t> post.</w:t>
      </w:r>
    </w:p>
    <w:p>
      <w:pPr>
        <w:spacing w:after="0" w:line="183" w:lineRule="exact"/>
        <w:jc w:val="left"/>
        <w:rPr>
          <w:sz w:val="16"/>
        </w:rPr>
        <w:sectPr>
          <w:pgSz w:w="11910" w:h="16840"/>
          <w:pgMar w:header="953" w:footer="940" w:top="1140" w:bottom="1140" w:left="20" w:right="20"/>
        </w:sectPr>
      </w:pPr>
    </w:p>
    <w:tbl>
      <w:tblPr>
        <w:tblW w:w="0" w:type="auto"/>
        <w:jc w:val="left"/>
        <w:tblInd w:w="1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04"/>
        <w:gridCol w:w="1539"/>
        <w:gridCol w:w="1955"/>
      </w:tblGrid>
      <w:tr>
        <w:trPr>
          <w:trHeight w:val="402" w:hRule="atLeast"/>
        </w:trPr>
        <w:tc>
          <w:tcPr>
            <w:tcW w:w="6204" w:type="dxa"/>
            <w:tcBorders>
              <w:top w:val="single" w:sz="2" w:space="0" w:color="000000"/>
              <w:bottom w:val="single" w:sz="4" w:space="0" w:color="000000"/>
            </w:tcBorders>
          </w:tcPr>
          <w:p>
            <w:pPr>
              <w:pStyle w:val="TableParagraph"/>
              <w:spacing w:before="151"/>
              <w:ind w:left="1162"/>
              <w:jc w:val="left"/>
              <w:rPr>
                <w:i/>
                <w:sz w:val="20"/>
              </w:rPr>
            </w:pPr>
            <w:r>
              <w:rPr>
                <w:i/>
                <w:spacing w:val="-2"/>
                <w:sz w:val="20"/>
              </w:rPr>
              <w:t>Title</w:t>
            </w:r>
          </w:p>
        </w:tc>
        <w:tc>
          <w:tcPr>
            <w:tcW w:w="1539" w:type="dxa"/>
            <w:tcBorders>
              <w:top w:val="single" w:sz="2" w:space="0" w:color="000000"/>
              <w:bottom w:val="single" w:sz="4" w:space="0" w:color="000000"/>
            </w:tcBorders>
          </w:tcPr>
          <w:p>
            <w:pPr>
              <w:pStyle w:val="TableParagraph"/>
              <w:spacing w:before="151"/>
              <w:ind w:left="754"/>
              <w:jc w:val="left"/>
              <w:rPr>
                <w:i/>
                <w:sz w:val="20"/>
              </w:rPr>
            </w:pPr>
            <w:r>
              <w:rPr>
                <w:i/>
                <w:spacing w:val="-2"/>
                <w:sz w:val="20"/>
              </w:rPr>
              <w:t>Grade</w:t>
            </w:r>
          </w:p>
        </w:tc>
        <w:tc>
          <w:tcPr>
            <w:tcW w:w="1955" w:type="dxa"/>
            <w:tcBorders>
              <w:top w:val="single" w:sz="2" w:space="0" w:color="000000"/>
              <w:bottom w:val="single" w:sz="4" w:space="0" w:color="000000"/>
            </w:tcBorders>
          </w:tcPr>
          <w:p>
            <w:pPr>
              <w:pStyle w:val="TableParagraph"/>
              <w:spacing w:before="151"/>
              <w:ind w:right="1104"/>
              <w:rPr>
                <w:i/>
                <w:sz w:val="20"/>
              </w:rPr>
            </w:pPr>
            <w:r>
              <w:rPr>
                <w:i/>
                <w:spacing w:val="-2"/>
                <w:sz w:val="20"/>
              </w:rPr>
              <w:t>Number</w:t>
            </w:r>
          </w:p>
        </w:tc>
      </w:tr>
      <w:tr>
        <w:trPr>
          <w:trHeight w:val="268" w:hRule="atLeast"/>
        </w:trPr>
        <w:tc>
          <w:tcPr>
            <w:tcW w:w="6204" w:type="dxa"/>
            <w:tcBorders>
              <w:top w:val="single" w:sz="4" w:space="0" w:color="000000"/>
              <w:bottom w:val="single" w:sz="4" w:space="0" w:color="000000"/>
            </w:tcBorders>
          </w:tcPr>
          <w:p>
            <w:pPr>
              <w:pStyle w:val="TableParagraph"/>
              <w:spacing w:before="16"/>
              <w:ind w:left="1315"/>
              <w:jc w:val="left"/>
              <w:rPr>
                <w:i/>
                <w:sz w:val="20"/>
              </w:rPr>
            </w:pPr>
            <w:r>
              <w:rPr>
                <w:i/>
                <w:sz w:val="20"/>
              </w:rPr>
              <w:t>Cyber</w:t>
            </w:r>
            <w:r>
              <w:rPr>
                <w:i/>
                <w:spacing w:val="-7"/>
                <w:sz w:val="20"/>
              </w:rPr>
              <w:t> </w:t>
            </w:r>
            <w:r>
              <w:rPr>
                <w:i/>
                <w:spacing w:val="-4"/>
                <w:sz w:val="20"/>
              </w:rPr>
              <w:t>Unit</w:t>
            </w:r>
          </w:p>
        </w:tc>
        <w:tc>
          <w:tcPr>
            <w:tcW w:w="1539" w:type="dxa"/>
            <w:tcBorders>
              <w:top w:val="single" w:sz="4" w:space="0" w:color="000000"/>
              <w:bottom w:val="single" w:sz="4" w:space="0" w:color="000000"/>
            </w:tcBorders>
          </w:tcPr>
          <w:p>
            <w:pPr>
              <w:pStyle w:val="TableParagraph"/>
              <w:jc w:val="left"/>
              <w:rPr>
                <w:sz w:val="18"/>
              </w:rPr>
            </w:pPr>
          </w:p>
        </w:tc>
        <w:tc>
          <w:tcPr>
            <w:tcW w:w="1955" w:type="dxa"/>
            <w:tcBorders>
              <w:top w:val="single" w:sz="4" w:space="0" w:color="000000"/>
              <w:bottom w:val="single" w:sz="4" w:space="0" w:color="000000"/>
            </w:tcBorders>
          </w:tcPr>
          <w:p>
            <w:pPr>
              <w:pStyle w:val="TableParagraph"/>
              <w:jc w:val="left"/>
              <w:rPr>
                <w:sz w:val="18"/>
              </w:rPr>
            </w:pPr>
          </w:p>
        </w:tc>
      </w:tr>
      <w:tr>
        <w:trPr>
          <w:trHeight w:val="272" w:hRule="atLeast"/>
        </w:trPr>
        <w:tc>
          <w:tcPr>
            <w:tcW w:w="6204" w:type="dxa"/>
            <w:tcBorders>
              <w:top w:val="single" w:sz="4" w:space="0" w:color="000000"/>
            </w:tcBorders>
          </w:tcPr>
          <w:p>
            <w:pPr>
              <w:pStyle w:val="TableParagraph"/>
              <w:spacing w:before="16"/>
              <w:ind w:left="1162"/>
              <w:jc w:val="left"/>
              <w:rPr>
                <w:sz w:val="20"/>
              </w:rPr>
            </w:pPr>
            <w:r>
              <w:rPr>
                <w:sz w:val="20"/>
              </w:rPr>
              <w:t>Cyber</w:t>
            </w:r>
            <w:r>
              <w:rPr>
                <w:spacing w:val="-6"/>
                <w:sz w:val="20"/>
              </w:rPr>
              <w:t> </w:t>
            </w:r>
            <w:r>
              <w:rPr>
                <w:sz w:val="20"/>
              </w:rPr>
              <w:t>Forensic</w:t>
            </w:r>
            <w:r>
              <w:rPr>
                <w:spacing w:val="-4"/>
                <w:sz w:val="20"/>
              </w:rPr>
              <w:t> </w:t>
            </w:r>
            <w:r>
              <w:rPr>
                <w:spacing w:val="-2"/>
                <w:sz w:val="20"/>
              </w:rPr>
              <w:t>Investigator</w:t>
            </w:r>
          </w:p>
        </w:tc>
        <w:tc>
          <w:tcPr>
            <w:tcW w:w="1539" w:type="dxa"/>
            <w:tcBorders>
              <w:top w:val="single" w:sz="4" w:space="0" w:color="000000"/>
            </w:tcBorders>
          </w:tcPr>
          <w:p>
            <w:pPr>
              <w:pStyle w:val="TableParagraph"/>
              <w:spacing w:before="16"/>
              <w:ind w:left="754"/>
              <w:jc w:val="left"/>
              <w:rPr>
                <w:sz w:val="20"/>
              </w:rPr>
            </w:pPr>
            <w:r>
              <w:rPr>
                <w:spacing w:val="-2"/>
                <w:sz w:val="20"/>
              </w:rPr>
              <w:t>P-</w:t>
            </w:r>
            <w:r>
              <w:rPr>
                <w:spacing w:val="-10"/>
                <w:sz w:val="20"/>
              </w:rPr>
              <w:t>3</w:t>
            </w:r>
          </w:p>
        </w:tc>
        <w:tc>
          <w:tcPr>
            <w:tcW w:w="1955" w:type="dxa"/>
            <w:tcBorders>
              <w:top w:val="single" w:sz="4" w:space="0" w:color="000000"/>
            </w:tcBorders>
          </w:tcPr>
          <w:p>
            <w:pPr>
              <w:pStyle w:val="TableParagraph"/>
              <w:spacing w:before="16"/>
              <w:ind w:right="1110"/>
              <w:rPr>
                <w:sz w:val="20"/>
              </w:rPr>
            </w:pPr>
            <w:r>
              <w:rPr>
                <w:w w:val="100"/>
                <w:sz w:val="20"/>
              </w:rPr>
              <w:t>3</w:t>
            </w:r>
          </w:p>
        </w:tc>
      </w:tr>
      <w:tr>
        <w:trPr>
          <w:trHeight w:val="269" w:hRule="atLeast"/>
        </w:trPr>
        <w:tc>
          <w:tcPr>
            <w:tcW w:w="6204" w:type="dxa"/>
            <w:tcBorders>
              <w:bottom w:val="single" w:sz="4" w:space="0" w:color="000000"/>
            </w:tcBorders>
          </w:tcPr>
          <w:p>
            <w:pPr>
              <w:pStyle w:val="TableParagraph"/>
              <w:spacing w:before="12"/>
              <w:ind w:left="1162"/>
              <w:jc w:val="left"/>
              <w:rPr>
                <w:sz w:val="20"/>
              </w:rPr>
            </w:pPr>
            <w:r>
              <w:rPr>
                <w:sz w:val="20"/>
              </w:rPr>
              <w:t>Information</w:t>
            </w:r>
            <w:r>
              <w:rPr>
                <w:spacing w:val="-9"/>
                <w:sz w:val="20"/>
              </w:rPr>
              <w:t> </w:t>
            </w:r>
            <w:r>
              <w:rPr>
                <w:sz w:val="20"/>
              </w:rPr>
              <w:t>Storage</w:t>
            </w:r>
            <w:r>
              <w:rPr>
                <w:spacing w:val="-6"/>
                <w:sz w:val="20"/>
              </w:rPr>
              <w:t> </w:t>
            </w:r>
            <w:r>
              <w:rPr>
                <w:spacing w:val="-2"/>
                <w:sz w:val="20"/>
              </w:rPr>
              <w:t>Assistant</w:t>
            </w:r>
          </w:p>
        </w:tc>
        <w:tc>
          <w:tcPr>
            <w:tcW w:w="1539" w:type="dxa"/>
            <w:tcBorders>
              <w:bottom w:val="single" w:sz="4" w:space="0" w:color="000000"/>
            </w:tcBorders>
          </w:tcPr>
          <w:p>
            <w:pPr>
              <w:pStyle w:val="TableParagraph"/>
              <w:spacing w:before="12"/>
              <w:ind w:left="754"/>
              <w:jc w:val="left"/>
              <w:rPr>
                <w:sz w:val="20"/>
              </w:rPr>
            </w:pPr>
            <w:r>
              <w:rPr>
                <w:spacing w:val="-2"/>
                <w:sz w:val="20"/>
              </w:rPr>
              <w:t>GS-</w:t>
            </w:r>
            <w:r>
              <w:rPr>
                <w:spacing w:val="-7"/>
                <w:sz w:val="20"/>
              </w:rPr>
              <w:t>OL</w:t>
            </w:r>
          </w:p>
        </w:tc>
        <w:tc>
          <w:tcPr>
            <w:tcW w:w="1955" w:type="dxa"/>
            <w:tcBorders>
              <w:bottom w:val="single" w:sz="4" w:space="0" w:color="000000"/>
            </w:tcBorders>
          </w:tcPr>
          <w:p>
            <w:pPr>
              <w:pStyle w:val="TableParagraph"/>
              <w:spacing w:before="12"/>
              <w:ind w:right="1110"/>
              <w:rPr>
                <w:sz w:val="20"/>
              </w:rPr>
            </w:pPr>
            <w:r>
              <w:rPr>
                <w:w w:val="100"/>
                <w:sz w:val="20"/>
              </w:rPr>
              <w:t>1</w:t>
            </w:r>
          </w:p>
        </w:tc>
      </w:tr>
      <w:tr>
        <w:trPr>
          <w:trHeight w:val="268" w:hRule="atLeast"/>
        </w:trPr>
        <w:tc>
          <w:tcPr>
            <w:tcW w:w="6204" w:type="dxa"/>
            <w:tcBorders>
              <w:top w:val="single" w:sz="4" w:space="0" w:color="000000"/>
              <w:bottom w:val="single" w:sz="4" w:space="0" w:color="000000"/>
            </w:tcBorders>
          </w:tcPr>
          <w:p>
            <w:pPr>
              <w:pStyle w:val="TableParagraph"/>
              <w:jc w:val="left"/>
              <w:rPr>
                <w:sz w:val="18"/>
              </w:rPr>
            </w:pPr>
          </w:p>
        </w:tc>
        <w:tc>
          <w:tcPr>
            <w:tcW w:w="1539" w:type="dxa"/>
            <w:tcBorders>
              <w:top w:val="single" w:sz="4" w:space="0" w:color="000000"/>
              <w:bottom w:val="single" w:sz="4" w:space="0" w:color="000000"/>
            </w:tcBorders>
          </w:tcPr>
          <w:p>
            <w:pPr>
              <w:pStyle w:val="TableParagraph"/>
              <w:jc w:val="left"/>
              <w:rPr>
                <w:sz w:val="18"/>
              </w:rPr>
            </w:pPr>
          </w:p>
        </w:tc>
        <w:tc>
          <w:tcPr>
            <w:tcW w:w="1955" w:type="dxa"/>
            <w:tcBorders>
              <w:top w:val="single" w:sz="4" w:space="0" w:color="000000"/>
              <w:bottom w:val="single" w:sz="4" w:space="0" w:color="000000"/>
            </w:tcBorders>
          </w:tcPr>
          <w:p>
            <w:pPr>
              <w:pStyle w:val="TableParagraph"/>
              <w:spacing w:before="16"/>
              <w:ind w:right="1110"/>
              <w:rPr>
                <w:b/>
                <w:sz w:val="20"/>
              </w:rPr>
            </w:pPr>
            <w:r>
              <w:rPr>
                <w:b/>
                <w:w w:val="100"/>
                <w:sz w:val="20"/>
              </w:rPr>
              <w:t>4</w:t>
            </w:r>
          </w:p>
        </w:tc>
      </w:tr>
      <w:tr>
        <w:trPr>
          <w:trHeight w:val="268" w:hRule="atLeast"/>
        </w:trPr>
        <w:tc>
          <w:tcPr>
            <w:tcW w:w="6204" w:type="dxa"/>
            <w:tcBorders>
              <w:top w:val="single" w:sz="4" w:space="0" w:color="000000"/>
              <w:bottom w:val="single" w:sz="4" w:space="0" w:color="000000"/>
            </w:tcBorders>
          </w:tcPr>
          <w:p>
            <w:pPr>
              <w:pStyle w:val="TableParagraph"/>
              <w:spacing w:before="16"/>
              <w:ind w:left="1162"/>
              <w:jc w:val="left"/>
              <w:rPr>
                <w:i/>
                <w:sz w:val="20"/>
              </w:rPr>
            </w:pPr>
            <w:r>
              <w:rPr>
                <w:i/>
                <w:sz w:val="20"/>
              </w:rPr>
              <w:t>Forensic</w:t>
            </w:r>
            <w:r>
              <w:rPr>
                <w:i/>
                <w:spacing w:val="-7"/>
                <w:sz w:val="20"/>
              </w:rPr>
              <w:t> </w:t>
            </w:r>
            <w:r>
              <w:rPr>
                <w:i/>
                <w:sz w:val="20"/>
              </w:rPr>
              <w:t>Science</w:t>
            </w:r>
            <w:r>
              <w:rPr>
                <w:i/>
                <w:spacing w:val="-7"/>
                <w:sz w:val="20"/>
              </w:rPr>
              <w:t> </w:t>
            </w:r>
            <w:r>
              <w:rPr>
                <w:i/>
                <w:spacing w:val="-2"/>
                <w:sz w:val="20"/>
              </w:rPr>
              <w:t>Section</w:t>
            </w:r>
          </w:p>
        </w:tc>
        <w:tc>
          <w:tcPr>
            <w:tcW w:w="1539" w:type="dxa"/>
            <w:tcBorders>
              <w:top w:val="single" w:sz="4" w:space="0" w:color="000000"/>
              <w:bottom w:val="single" w:sz="4" w:space="0" w:color="000000"/>
            </w:tcBorders>
          </w:tcPr>
          <w:p>
            <w:pPr>
              <w:pStyle w:val="TableParagraph"/>
              <w:jc w:val="left"/>
              <w:rPr>
                <w:sz w:val="18"/>
              </w:rPr>
            </w:pPr>
          </w:p>
        </w:tc>
        <w:tc>
          <w:tcPr>
            <w:tcW w:w="1955" w:type="dxa"/>
            <w:tcBorders>
              <w:top w:val="single" w:sz="4" w:space="0" w:color="000000"/>
              <w:bottom w:val="single" w:sz="4" w:space="0" w:color="000000"/>
            </w:tcBorders>
          </w:tcPr>
          <w:p>
            <w:pPr>
              <w:pStyle w:val="TableParagraph"/>
              <w:jc w:val="left"/>
              <w:rPr>
                <w:sz w:val="18"/>
              </w:rPr>
            </w:pPr>
          </w:p>
        </w:tc>
      </w:tr>
      <w:tr>
        <w:trPr>
          <w:trHeight w:val="274" w:hRule="atLeast"/>
        </w:trPr>
        <w:tc>
          <w:tcPr>
            <w:tcW w:w="6204" w:type="dxa"/>
            <w:tcBorders>
              <w:top w:val="single" w:sz="4" w:space="0" w:color="000000"/>
            </w:tcBorders>
          </w:tcPr>
          <w:p>
            <w:pPr>
              <w:pStyle w:val="TableParagraph"/>
              <w:spacing w:before="16"/>
              <w:ind w:left="1162"/>
              <w:jc w:val="left"/>
              <w:rPr>
                <w:sz w:val="20"/>
              </w:rPr>
            </w:pPr>
            <w:r>
              <w:rPr>
                <w:sz w:val="20"/>
              </w:rPr>
              <w:t>Head,</w:t>
            </w:r>
            <w:r>
              <w:rPr>
                <w:spacing w:val="-6"/>
                <w:sz w:val="20"/>
              </w:rPr>
              <w:t> </w:t>
            </w:r>
            <w:r>
              <w:rPr>
                <w:sz w:val="20"/>
              </w:rPr>
              <w:t>Forensic</w:t>
            </w:r>
            <w:r>
              <w:rPr>
                <w:spacing w:val="-6"/>
                <w:sz w:val="20"/>
              </w:rPr>
              <w:t> </w:t>
            </w:r>
            <w:r>
              <w:rPr>
                <w:sz w:val="20"/>
              </w:rPr>
              <w:t>Science</w:t>
            </w:r>
            <w:r>
              <w:rPr>
                <w:spacing w:val="-6"/>
                <w:sz w:val="20"/>
              </w:rPr>
              <w:t> </w:t>
            </w:r>
            <w:r>
              <w:rPr>
                <w:spacing w:val="-2"/>
                <w:sz w:val="20"/>
              </w:rPr>
              <w:t>Section</w:t>
            </w:r>
          </w:p>
        </w:tc>
        <w:tc>
          <w:tcPr>
            <w:tcW w:w="1539" w:type="dxa"/>
            <w:tcBorders>
              <w:top w:val="single" w:sz="4" w:space="0" w:color="000000"/>
            </w:tcBorders>
          </w:tcPr>
          <w:p>
            <w:pPr>
              <w:pStyle w:val="TableParagraph"/>
              <w:spacing w:before="16"/>
              <w:ind w:left="754"/>
              <w:jc w:val="left"/>
              <w:rPr>
                <w:sz w:val="20"/>
              </w:rPr>
            </w:pPr>
            <w:r>
              <w:rPr>
                <w:spacing w:val="-2"/>
                <w:sz w:val="20"/>
              </w:rPr>
              <w:t>P-</w:t>
            </w:r>
            <w:r>
              <w:rPr>
                <w:spacing w:val="-10"/>
                <w:sz w:val="20"/>
              </w:rPr>
              <w:t>5</w:t>
            </w:r>
          </w:p>
        </w:tc>
        <w:tc>
          <w:tcPr>
            <w:tcW w:w="1955" w:type="dxa"/>
            <w:tcBorders>
              <w:top w:val="single" w:sz="4" w:space="0" w:color="000000"/>
            </w:tcBorders>
          </w:tcPr>
          <w:p>
            <w:pPr>
              <w:pStyle w:val="TableParagraph"/>
              <w:spacing w:before="16"/>
              <w:ind w:right="1110"/>
              <w:rPr>
                <w:sz w:val="20"/>
              </w:rPr>
            </w:pPr>
            <w:r>
              <w:rPr>
                <w:w w:val="100"/>
                <w:sz w:val="20"/>
              </w:rPr>
              <w:t>1</w:t>
            </w:r>
          </w:p>
        </w:tc>
      </w:tr>
      <w:tr>
        <w:trPr>
          <w:trHeight w:val="271" w:hRule="atLeast"/>
        </w:trPr>
        <w:tc>
          <w:tcPr>
            <w:tcW w:w="6204" w:type="dxa"/>
          </w:tcPr>
          <w:p>
            <w:pPr>
              <w:pStyle w:val="TableParagraph"/>
              <w:spacing w:before="15"/>
              <w:ind w:left="1162"/>
              <w:jc w:val="left"/>
              <w:rPr>
                <w:sz w:val="20"/>
              </w:rPr>
            </w:pPr>
            <w:r>
              <w:rPr>
                <w:sz w:val="20"/>
              </w:rPr>
              <w:t>Forensic</w:t>
            </w:r>
            <w:r>
              <w:rPr>
                <w:spacing w:val="-3"/>
                <w:sz w:val="20"/>
              </w:rPr>
              <w:t> </w:t>
            </w:r>
            <w:r>
              <w:rPr>
                <w:spacing w:val="-2"/>
                <w:sz w:val="20"/>
              </w:rPr>
              <w:t>Officer</w:t>
            </w:r>
          </w:p>
        </w:tc>
        <w:tc>
          <w:tcPr>
            <w:tcW w:w="1539" w:type="dxa"/>
          </w:tcPr>
          <w:p>
            <w:pPr>
              <w:pStyle w:val="TableParagraph"/>
              <w:spacing w:before="15"/>
              <w:ind w:left="754"/>
              <w:jc w:val="left"/>
              <w:rPr>
                <w:sz w:val="20"/>
              </w:rPr>
            </w:pPr>
            <w:r>
              <w:rPr>
                <w:spacing w:val="-2"/>
                <w:sz w:val="20"/>
              </w:rPr>
              <w:t>P-</w:t>
            </w:r>
            <w:r>
              <w:rPr>
                <w:spacing w:val="-10"/>
                <w:sz w:val="20"/>
              </w:rPr>
              <w:t>3</w:t>
            </w:r>
          </w:p>
        </w:tc>
        <w:tc>
          <w:tcPr>
            <w:tcW w:w="1955" w:type="dxa"/>
          </w:tcPr>
          <w:p>
            <w:pPr>
              <w:pStyle w:val="TableParagraph"/>
              <w:spacing w:before="15"/>
              <w:ind w:right="1110"/>
              <w:rPr>
                <w:sz w:val="20"/>
              </w:rPr>
            </w:pPr>
            <w:r>
              <w:rPr>
                <w:w w:val="100"/>
                <w:sz w:val="20"/>
              </w:rPr>
              <w:t>2</w:t>
            </w:r>
          </w:p>
        </w:tc>
      </w:tr>
      <w:tr>
        <w:trPr>
          <w:trHeight w:val="268" w:hRule="atLeast"/>
        </w:trPr>
        <w:tc>
          <w:tcPr>
            <w:tcW w:w="6204" w:type="dxa"/>
          </w:tcPr>
          <w:p>
            <w:pPr>
              <w:pStyle w:val="TableParagraph"/>
              <w:spacing w:before="12"/>
              <w:ind w:left="1162"/>
              <w:jc w:val="left"/>
              <w:rPr>
                <w:sz w:val="20"/>
              </w:rPr>
            </w:pPr>
            <w:r>
              <w:rPr>
                <w:sz w:val="20"/>
              </w:rPr>
              <w:t>Associate</w:t>
            </w:r>
            <w:r>
              <w:rPr>
                <w:spacing w:val="-10"/>
                <w:sz w:val="20"/>
              </w:rPr>
              <w:t> </w:t>
            </w:r>
            <w:r>
              <w:rPr>
                <w:sz w:val="20"/>
              </w:rPr>
              <w:t>Analyst</w:t>
            </w:r>
            <w:r>
              <w:rPr>
                <w:spacing w:val="-9"/>
                <w:sz w:val="20"/>
              </w:rPr>
              <w:t> </w:t>
            </w:r>
            <w:r>
              <w:rPr>
                <w:sz w:val="20"/>
              </w:rPr>
              <w:t>(Geographic</w:t>
            </w:r>
            <w:r>
              <w:rPr>
                <w:spacing w:val="-9"/>
                <w:sz w:val="20"/>
              </w:rPr>
              <w:t> </w:t>
            </w:r>
            <w:r>
              <w:rPr>
                <w:sz w:val="20"/>
              </w:rPr>
              <w:t>Information</w:t>
            </w:r>
            <w:r>
              <w:rPr>
                <w:spacing w:val="-11"/>
                <w:sz w:val="20"/>
              </w:rPr>
              <w:t> </w:t>
            </w:r>
            <w:r>
              <w:rPr>
                <w:spacing w:val="-2"/>
                <w:sz w:val="20"/>
              </w:rPr>
              <w:t>Systems)</w:t>
            </w:r>
          </w:p>
        </w:tc>
        <w:tc>
          <w:tcPr>
            <w:tcW w:w="1539" w:type="dxa"/>
          </w:tcPr>
          <w:p>
            <w:pPr>
              <w:pStyle w:val="TableParagraph"/>
              <w:spacing w:before="12"/>
              <w:ind w:left="754"/>
              <w:jc w:val="left"/>
              <w:rPr>
                <w:sz w:val="20"/>
              </w:rPr>
            </w:pPr>
            <w:r>
              <w:rPr>
                <w:spacing w:val="-2"/>
                <w:sz w:val="20"/>
              </w:rPr>
              <w:t>P-</w:t>
            </w:r>
            <w:r>
              <w:rPr>
                <w:spacing w:val="-10"/>
                <w:sz w:val="20"/>
              </w:rPr>
              <w:t>2</w:t>
            </w:r>
          </w:p>
        </w:tc>
        <w:tc>
          <w:tcPr>
            <w:tcW w:w="1955" w:type="dxa"/>
          </w:tcPr>
          <w:p>
            <w:pPr>
              <w:pStyle w:val="TableParagraph"/>
              <w:spacing w:before="12"/>
              <w:ind w:right="1110"/>
              <w:rPr>
                <w:sz w:val="20"/>
              </w:rPr>
            </w:pPr>
            <w:r>
              <w:rPr>
                <w:w w:val="100"/>
                <w:sz w:val="20"/>
              </w:rPr>
              <w:t>1</w:t>
            </w:r>
          </w:p>
        </w:tc>
      </w:tr>
      <w:tr>
        <w:trPr>
          <w:trHeight w:val="268" w:hRule="atLeast"/>
        </w:trPr>
        <w:tc>
          <w:tcPr>
            <w:tcW w:w="6204" w:type="dxa"/>
          </w:tcPr>
          <w:p>
            <w:pPr>
              <w:pStyle w:val="TableParagraph"/>
              <w:spacing w:before="12"/>
              <w:ind w:left="1162"/>
              <w:jc w:val="left"/>
              <w:rPr>
                <w:sz w:val="20"/>
              </w:rPr>
            </w:pPr>
            <w:r>
              <w:rPr>
                <w:sz w:val="20"/>
              </w:rPr>
              <w:t>Associate</w:t>
            </w:r>
            <w:r>
              <w:rPr>
                <w:spacing w:val="-7"/>
                <w:sz w:val="20"/>
              </w:rPr>
              <w:t> </w:t>
            </w:r>
            <w:r>
              <w:rPr>
                <w:spacing w:val="-2"/>
                <w:sz w:val="20"/>
              </w:rPr>
              <w:t>Analyst</w:t>
            </w:r>
          </w:p>
        </w:tc>
        <w:tc>
          <w:tcPr>
            <w:tcW w:w="1539" w:type="dxa"/>
          </w:tcPr>
          <w:p>
            <w:pPr>
              <w:pStyle w:val="TableParagraph"/>
              <w:spacing w:before="12"/>
              <w:ind w:left="754"/>
              <w:jc w:val="left"/>
              <w:rPr>
                <w:sz w:val="20"/>
              </w:rPr>
            </w:pPr>
            <w:r>
              <w:rPr>
                <w:spacing w:val="-2"/>
                <w:sz w:val="20"/>
              </w:rPr>
              <w:t>P-</w:t>
            </w:r>
            <w:r>
              <w:rPr>
                <w:spacing w:val="-10"/>
                <w:sz w:val="20"/>
              </w:rPr>
              <w:t>2</w:t>
            </w:r>
          </w:p>
        </w:tc>
        <w:tc>
          <w:tcPr>
            <w:tcW w:w="1955" w:type="dxa"/>
          </w:tcPr>
          <w:p>
            <w:pPr>
              <w:pStyle w:val="TableParagraph"/>
              <w:spacing w:before="12"/>
              <w:ind w:right="1110"/>
              <w:rPr>
                <w:sz w:val="20"/>
              </w:rPr>
            </w:pPr>
            <w:r>
              <w:rPr>
                <w:w w:val="100"/>
                <w:sz w:val="20"/>
              </w:rPr>
              <w:t>1</w:t>
            </w:r>
          </w:p>
        </w:tc>
      </w:tr>
      <w:tr>
        <w:trPr>
          <w:trHeight w:val="269" w:hRule="atLeast"/>
        </w:trPr>
        <w:tc>
          <w:tcPr>
            <w:tcW w:w="6204" w:type="dxa"/>
            <w:tcBorders>
              <w:bottom w:val="single" w:sz="4" w:space="0" w:color="000000"/>
            </w:tcBorders>
          </w:tcPr>
          <w:p>
            <w:pPr>
              <w:pStyle w:val="TableParagraph"/>
              <w:jc w:val="left"/>
              <w:rPr>
                <w:sz w:val="18"/>
              </w:rPr>
            </w:pPr>
          </w:p>
        </w:tc>
        <w:tc>
          <w:tcPr>
            <w:tcW w:w="1539" w:type="dxa"/>
            <w:tcBorders>
              <w:bottom w:val="single" w:sz="4" w:space="0" w:color="000000"/>
            </w:tcBorders>
          </w:tcPr>
          <w:p>
            <w:pPr>
              <w:pStyle w:val="TableParagraph"/>
              <w:jc w:val="left"/>
              <w:rPr>
                <w:sz w:val="18"/>
              </w:rPr>
            </w:pPr>
          </w:p>
        </w:tc>
        <w:tc>
          <w:tcPr>
            <w:tcW w:w="1955" w:type="dxa"/>
            <w:tcBorders>
              <w:bottom w:val="single" w:sz="4" w:space="0" w:color="000000"/>
            </w:tcBorders>
          </w:tcPr>
          <w:p>
            <w:pPr>
              <w:pStyle w:val="TableParagraph"/>
              <w:spacing w:before="12"/>
              <w:ind w:right="1110"/>
              <w:rPr>
                <w:b/>
                <w:sz w:val="20"/>
              </w:rPr>
            </w:pPr>
            <w:r>
              <w:rPr>
                <w:b/>
                <w:w w:val="100"/>
                <w:sz w:val="20"/>
              </w:rPr>
              <w:t>5</w:t>
            </w:r>
          </w:p>
        </w:tc>
      </w:tr>
      <w:tr>
        <w:trPr>
          <w:trHeight w:val="268" w:hRule="atLeast"/>
        </w:trPr>
        <w:tc>
          <w:tcPr>
            <w:tcW w:w="6204" w:type="dxa"/>
            <w:tcBorders>
              <w:top w:val="single" w:sz="4" w:space="0" w:color="000000"/>
              <w:bottom w:val="single" w:sz="4" w:space="0" w:color="000000"/>
            </w:tcBorders>
          </w:tcPr>
          <w:p>
            <w:pPr>
              <w:pStyle w:val="TableParagraph"/>
              <w:spacing w:before="17"/>
              <w:ind w:left="1162"/>
              <w:jc w:val="left"/>
              <w:rPr>
                <w:i/>
                <w:sz w:val="20"/>
              </w:rPr>
            </w:pPr>
            <w:r>
              <w:rPr>
                <w:i/>
                <w:sz w:val="20"/>
              </w:rPr>
              <w:t>Language</w:t>
            </w:r>
            <w:r>
              <w:rPr>
                <w:i/>
                <w:spacing w:val="-8"/>
                <w:sz w:val="20"/>
              </w:rPr>
              <w:t> </w:t>
            </w:r>
            <w:r>
              <w:rPr>
                <w:i/>
                <w:sz w:val="20"/>
              </w:rPr>
              <w:t>Services</w:t>
            </w:r>
            <w:r>
              <w:rPr>
                <w:i/>
                <w:spacing w:val="-8"/>
                <w:sz w:val="20"/>
              </w:rPr>
              <w:t> </w:t>
            </w:r>
            <w:r>
              <w:rPr>
                <w:i/>
                <w:spacing w:val="-4"/>
                <w:sz w:val="20"/>
              </w:rPr>
              <w:t>Unit</w:t>
            </w:r>
          </w:p>
        </w:tc>
        <w:tc>
          <w:tcPr>
            <w:tcW w:w="1539" w:type="dxa"/>
            <w:tcBorders>
              <w:top w:val="single" w:sz="4" w:space="0" w:color="000000"/>
              <w:bottom w:val="single" w:sz="4" w:space="0" w:color="000000"/>
            </w:tcBorders>
          </w:tcPr>
          <w:p>
            <w:pPr>
              <w:pStyle w:val="TableParagraph"/>
              <w:jc w:val="left"/>
              <w:rPr>
                <w:sz w:val="18"/>
              </w:rPr>
            </w:pPr>
          </w:p>
        </w:tc>
        <w:tc>
          <w:tcPr>
            <w:tcW w:w="1955" w:type="dxa"/>
            <w:tcBorders>
              <w:top w:val="single" w:sz="4" w:space="0" w:color="000000"/>
              <w:bottom w:val="single" w:sz="4" w:space="0" w:color="000000"/>
            </w:tcBorders>
          </w:tcPr>
          <w:p>
            <w:pPr>
              <w:pStyle w:val="TableParagraph"/>
              <w:jc w:val="left"/>
              <w:rPr>
                <w:sz w:val="18"/>
              </w:rPr>
            </w:pPr>
          </w:p>
        </w:tc>
      </w:tr>
      <w:tr>
        <w:trPr>
          <w:trHeight w:val="272" w:hRule="atLeast"/>
        </w:trPr>
        <w:tc>
          <w:tcPr>
            <w:tcW w:w="6204" w:type="dxa"/>
            <w:tcBorders>
              <w:top w:val="single" w:sz="4" w:space="0" w:color="000000"/>
            </w:tcBorders>
          </w:tcPr>
          <w:p>
            <w:pPr>
              <w:pStyle w:val="TableParagraph"/>
              <w:spacing w:before="16"/>
              <w:ind w:left="1162"/>
              <w:jc w:val="left"/>
              <w:rPr>
                <w:sz w:val="20"/>
              </w:rPr>
            </w:pPr>
            <w:r>
              <w:rPr>
                <w:sz w:val="20"/>
              </w:rPr>
              <w:t>Language</w:t>
            </w:r>
            <w:r>
              <w:rPr>
                <w:spacing w:val="-8"/>
                <w:sz w:val="20"/>
              </w:rPr>
              <w:t> </w:t>
            </w:r>
            <w:r>
              <w:rPr>
                <w:spacing w:val="-2"/>
                <w:sz w:val="20"/>
              </w:rPr>
              <w:t>Coordinator</w:t>
            </w:r>
          </w:p>
        </w:tc>
        <w:tc>
          <w:tcPr>
            <w:tcW w:w="1539" w:type="dxa"/>
            <w:tcBorders>
              <w:top w:val="single" w:sz="4" w:space="0" w:color="000000"/>
            </w:tcBorders>
          </w:tcPr>
          <w:p>
            <w:pPr>
              <w:pStyle w:val="TableParagraph"/>
              <w:spacing w:before="16"/>
              <w:ind w:left="754"/>
              <w:jc w:val="left"/>
              <w:rPr>
                <w:sz w:val="20"/>
              </w:rPr>
            </w:pPr>
            <w:r>
              <w:rPr>
                <w:spacing w:val="-2"/>
                <w:sz w:val="20"/>
              </w:rPr>
              <w:t>P-</w:t>
            </w:r>
            <w:r>
              <w:rPr>
                <w:spacing w:val="-10"/>
                <w:sz w:val="20"/>
              </w:rPr>
              <w:t>4</w:t>
            </w:r>
          </w:p>
        </w:tc>
        <w:tc>
          <w:tcPr>
            <w:tcW w:w="1955" w:type="dxa"/>
            <w:tcBorders>
              <w:top w:val="single" w:sz="4" w:space="0" w:color="000000"/>
            </w:tcBorders>
          </w:tcPr>
          <w:p>
            <w:pPr>
              <w:pStyle w:val="TableParagraph"/>
              <w:spacing w:before="16"/>
              <w:ind w:right="1110"/>
              <w:rPr>
                <w:sz w:val="20"/>
              </w:rPr>
            </w:pPr>
            <w:r>
              <w:rPr>
                <w:w w:val="100"/>
                <w:sz w:val="20"/>
              </w:rPr>
              <w:t>1</w:t>
            </w:r>
          </w:p>
        </w:tc>
      </w:tr>
      <w:tr>
        <w:trPr>
          <w:trHeight w:val="269" w:hRule="atLeast"/>
        </w:trPr>
        <w:tc>
          <w:tcPr>
            <w:tcW w:w="6204" w:type="dxa"/>
            <w:tcBorders>
              <w:bottom w:val="single" w:sz="4" w:space="0" w:color="000000"/>
            </w:tcBorders>
          </w:tcPr>
          <w:p>
            <w:pPr>
              <w:pStyle w:val="TableParagraph"/>
              <w:spacing w:before="12"/>
              <w:ind w:left="1162"/>
              <w:jc w:val="left"/>
              <w:rPr>
                <w:sz w:val="20"/>
              </w:rPr>
            </w:pPr>
            <w:r>
              <w:rPr>
                <w:sz w:val="20"/>
              </w:rPr>
              <w:t>Reviser</w:t>
            </w:r>
            <w:r>
              <w:rPr>
                <w:spacing w:val="-2"/>
                <w:sz w:val="20"/>
              </w:rPr>
              <w:t> </w:t>
            </w:r>
            <w:r>
              <w:rPr>
                <w:sz w:val="20"/>
              </w:rPr>
              <w:t>(one</w:t>
            </w:r>
            <w:r>
              <w:rPr>
                <w:spacing w:val="-3"/>
                <w:sz w:val="20"/>
              </w:rPr>
              <w:t> </w:t>
            </w:r>
            <w:r>
              <w:rPr>
                <w:sz w:val="20"/>
              </w:rPr>
              <w:t>English</w:t>
            </w:r>
            <w:r>
              <w:rPr>
                <w:spacing w:val="-6"/>
                <w:sz w:val="20"/>
              </w:rPr>
              <w:t> </w:t>
            </w:r>
            <w:r>
              <w:rPr>
                <w:sz w:val="20"/>
              </w:rPr>
              <w:t>and</w:t>
            </w:r>
            <w:r>
              <w:rPr>
                <w:spacing w:val="-6"/>
                <w:sz w:val="20"/>
              </w:rPr>
              <w:t> </w:t>
            </w:r>
            <w:r>
              <w:rPr>
                <w:sz w:val="20"/>
              </w:rPr>
              <w:t>one</w:t>
            </w:r>
            <w:r>
              <w:rPr>
                <w:spacing w:val="-4"/>
                <w:sz w:val="20"/>
              </w:rPr>
              <w:t> </w:t>
            </w:r>
            <w:r>
              <w:rPr>
                <w:spacing w:val="-2"/>
                <w:sz w:val="20"/>
              </w:rPr>
              <w:t>French)</w:t>
            </w:r>
          </w:p>
        </w:tc>
        <w:tc>
          <w:tcPr>
            <w:tcW w:w="1539" w:type="dxa"/>
            <w:tcBorders>
              <w:bottom w:val="single" w:sz="4" w:space="0" w:color="000000"/>
            </w:tcBorders>
          </w:tcPr>
          <w:p>
            <w:pPr>
              <w:pStyle w:val="TableParagraph"/>
              <w:spacing w:before="12"/>
              <w:ind w:left="754"/>
              <w:jc w:val="left"/>
              <w:rPr>
                <w:sz w:val="20"/>
              </w:rPr>
            </w:pPr>
            <w:r>
              <w:rPr>
                <w:spacing w:val="-2"/>
                <w:sz w:val="20"/>
              </w:rPr>
              <w:t>P-</w:t>
            </w:r>
            <w:r>
              <w:rPr>
                <w:spacing w:val="-10"/>
                <w:sz w:val="20"/>
              </w:rPr>
              <w:t>4</w:t>
            </w:r>
          </w:p>
        </w:tc>
        <w:tc>
          <w:tcPr>
            <w:tcW w:w="1955" w:type="dxa"/>
            <w:tcBorders>
              <w:bottom w:val="single" w:sz="4" w:space="0" w:color="000000"/>
            </w:tcBorders>
          </w:tcPr>
          <w:p>
            <w:pPr>
              <w:pStyle w:val="TableParagraph"/>
              <w:spacing w:before="12"/>
              <w:ind w:right="1110"/>
              <w:rPr>
                <w:sz w:val="20"/>
              </w:rPr>
            </w:pPr>
            <w:r>
              <w:rPr>
                <w:w w:val="100"/>
                <w:sz w:val="20"/>
              </w:rPr>
              <w:t>2</w:t>
            </w:r>
          </w:p>
        </w:tc>
      </w:tr>
      <w:tr>
        <w:trPr>
          <w:trHeight w:val="268" w:hRule="atLeast"/>
        </w:trPr>
        <w:tc>
          <w:tcPr>
            <w:tcW w:w="6204" w:type="dxa"/>
            <w:tcBorders>
              <w:top w:val="single" w:sz="4" w:space="0" w:color="000000"/>
              <w:bottom w:val="single" w:sz="4" w:space="0" w:color="000000"/>
            </w:tcBorders>
          </w:tcPr>
          <w:p>
            <w:pPr>
              <w:pStyle w:val="TableParagraph"/>
              <w:spacing w:before="16"/>
              <w:ind w:left="1315"/>
              <w:jc w:val="left"/>
              <w:rPr>
                <w:i/>
                <w:sz w:val="20"/>
              </w:rPr>
            </w:pPr>
            <w:r>
              <w:rPr>
                <w:i/>
                <w:sz w:val="20"/>
              </w:rPr>
              <w:t>Translation</w:t>
            </w:r>
            <w:r>
              <w:rPr>
                <w:i/>
                <w:spacing w:val="-13"/>
                <w:sz w:val="20"/>
              </w:rPr>
              <w:t> </w:t>
            </w:r>
            <w:r>
              <w:rPr>
                <w:i/>
                <w:spacing w:val="-4"/>
                <w:sz w:val="20"/>
              </w:rPr>
              <w:t>Team</w:t>
            </w:r>
          </w:p>
        </w:tc>
        <w:tc>
          <w:tcPr>
            <w:tcW w:w="1539" w:type="dxa"/>
            <w:tcBorders>
              <w:top w:val="single" w:sz="4" w:space="0" w:color="000000"/>
              <w:bottom w:val="single" w:sz="4" w:space="0" w:color="000000"/>
            </w:tcBorders>
          </w:tcPr>
          <w:p>
            <w:pPr>
              <w:pStyle w:val="TableParagraph"/>
              <w:jc w:val="left"/>
              <w:rPr>
                <w:sz w:val="18"/>
              </w:rPr>
            </w:pPr>
          </w:p>
        </w:tc>
        <w:tc>
          <w:tcPr>
            <w:tcW w:w="1955" w:type="dxa"/>
            <w:tcBorders>
              <w:top w:val="single" w:sz="4" w:space="0" w:color="000000"/>
              <w:bottom w:val="single" w:sz="4" w:space="0" w:color="000000"/>
            </w:tcBorders>
          </w:tcPr>
          <w:p>
            <w:pPr>
              <w:pStyle w:val="TableParagraph"/>
              <w:jc w:val="left"/>
              <w:rPr>
                <w:sz w:val="18"/>
              </w:rPr>
            </w:pPr>
          </w:p>
        </w:tc>
      </w:tr>
      <w:tr>
        <w:trPr>
          <w:trHeight w:val="272" w:hRule="atLeast"/>
        </w:trPr>
        <w:tc>
          <w:tcPr>
            <w:tcW w:w="6204" w:type="dxa"/>
            <w:tcBorders>
              <w:top w:val="single" w:sz="4" w:space="0" w:color="000000"/>
            </w:tcBorders>
          </w:tcPr>
          <w:p>
            <w:pPr>
              <w:pStyle w:val="TableParagraph"/>
              <w:spacing w:before="16"/>
              <w:ind w:left="1162"/>
              <w:jc w:val="left"/>
              <w:rPr>
                <w:sz w:val="20"/>
              </w:rPr>
            </w:pPr>
            <w:r>
              <w:rPr>
                <w:sz w:val="20"/>
              </w:rPr>
              <w:t>Translator</w:t>
            </w:r>
            <w:r>
              <w:rPr>
                <w:spacing w:val="-11"/>
                <w:sz w:val="20"/>
              </w:rPr>
              <w:t> </w:t>
            </w:r>
            <w:r>
              <w:rPr>
                <w:spacing w:val="-2"/>
                <w:sz w:val="20"/>
              </w:rPr>
              <w:t>(English)</w:t>
            </w:r>
          </w:p>
        </w:tc>
        <w:tc>
          <w:tcPr>
            <w:tcW w:w="1539" w:type="dxa"/>
            <w:tcBorders>
              <w:top w:val="single" w:sz="4" w:space="0" w:color="000000"/>
            </w:tcBorders>
          </w:tcPr>
          <w:p>
            <w:pPr>
              <w:pStyle w:val="TableParagraph"/>
              <w:spacing w:before="16"/>
              <w:ind w:left="754"/>
              <w:jc w:val="left"/>
              <w:rPr>
                <w:sz w:val="20"/>
              </w:rPr>
            </w:pPr>
            <w:r>
              <w:rPr>
                <w:spacing w:val="-2"/>
                <w:sz w:val="20"/>
              </w:rPr>
              <w:t>P-</w:t>
            </w:r>
            <w:r>
              <w:rPr>
                <w:spacing w:val="-10"/>
                <w:sz w:val="20"/>
              </w:rPr>
              <w:t>3</w:t>
            </w:r>
          </w:p>
        </w:tc>
        <w:tc>
          <w:tcPr>
            <w:tcW w:w="1955" w:type="dxa"/>
            <w:tcBorders>
              <w:top w:val="single" w:sz="4" w:space="0" w:color="000000"/>
            </w:tcBorders>
          </w:tcPr>
          <w:p>
            <w:pPr>
              <w:pStyle w:val="TableParagraph"/>
              <w:spacing w:before="16"/>
              <w:ind w:right="1110"/>
              <w:rPr>
                <w:sz w:val="20"/>
              </w:rPr>
            </w:pPr>
            <w:r>
              <w:rPr>
                <w:w w:val="100"/>
                <w:sz w:val="20"/>
              </w:rPr>
              <w:t>1</w:t>
            </w:r>
          </w:p>
        </w:tc>
      </w:tr>
      <w:tr>
        <w:trPr>
          <w:trHeight w:val="269" w:hRule="atLeast"/>
        </w:trPr>
        <w:tc>
          <w:tcPr>
            <w:tcW w:w="6204" w:type="dxa"/>
          </w:tcPr>
          <w:p>
            <w:pPr>
              <w:pStyle w:val="TableParagraph"/>
              <w:spacing w:before="12"/>
              <w:ind w:left="1162"/>
              <w:jc w:val="left"/>
              <w:rPr>
                <w:sz w:val="20"/>
              </w:rPr>
            </w:pPr>
            <w:r>
              <w:rPr>
                <w:sz w:val="20"/>
              </w:rPr>
              <w:t>Translator</w:t>
            </w:r>
            <w:r>
              <w:rPr>
                <w:spacing w:val="-9"/>
                <w:sz w:val="20"/>
              </w:rPr>
              <w:t> </w:t>
            </w:r>
            <w:r>
              <w:rPr>
                <w:spacing w:val="-2"/>
                <w:sz w:val="20"/>
              </w:rPr>
              <w:t>(French)</w:t>
            </w:r>
          </w:p>
        </w:tc>
        <w:tc>
          <w:tcPr>
            <w:tcW w:w="1539" w:type="dxa"/>
          </w:tcPr>
          <w:p>
            <w:pPr>
              <w:pStyle w:val="TableParagraph"/>
              <w:spacing w:before="12"/>
              <w:ind w:left="754"/>
              <w:jc w:val="left"/>
              <w:rPr>
                <w:sz w:val="20"/>
              </w:rPr>
            </w:pPr>
            <w:r>
              <w:rPr>
                <w:spacing w:val="-2"/>
                <w:sz w:val="20"/>
              </w:rPr>
              <w:t>P-</w:t>
            </w:r>
            <w:r>
              <w:rPr>
                <w:spacing w:val="-10"/>
                <w:sz w:val="20"/>
              </w:rPr>
              <w:t>3</w:t>
            </w:r>
          </w:p>
        </w:tc>
        <w:tc>
          <w:tcPr>
            <w:tcW w:w="1955" w:type="dxa"/>
          </w:tcPr>
          <w:p>
            <w:pPr>
              <w:pStyle w:val="TableParagraph"/>
              <w:spacing w:before="12"/>
              <w:ind w:right="1110"/>
              <w:rPr>
                <w:sz w:val="20"/>
              </w:rPr>
            </w:pPr>
            <w:r>
              <w:rPr>
                <w:w w:val="100"/>
                <w:sz w:val="20"/>
              </w:rPr>
              <w:t>1</w:t>
            </w:r>
          </w:p>
        </w:tc>
      </w:tr>
      <w:tr>
        <w:trPr>
          <w:trHeight w:val="271" w:hRule="atLeast"/>
        </w:trPr>
        <w:tc>
          <w:tcPr>
            <w:tcW w:w="6204" w:type="dxa"/>
          </w:tcPr>
          <w:p>
            <w:pPr>
              <w:pStyle w:val="TableParagraph"/>
              <w:spacing w:before="13"/>
              <w:ind w:left="1162"/>
              <w:jc w:val="left"/>
              <w:rPr>
                <w:sz w:val="20"/>
              </w:rPr>
            </w:pPr>
            <w:r>
              <w:rPr>
                <w:sz w:val="20"/>
              </w:rPr>
              <w:t>Translator</w:t>
            </w:r>
            <w:r>
              <w:rPr>
                <w:spacing w:val="-9"/>
                <w:sz w:val="20"/>
              </w:rPr>
              <w:t> </w:t>
            </w:r>
            <w:r>
              <w:rPr>
                <w:spacing w:val="-2"/>
                <w:sz w:val="20"/>
              </w:rPr>
              <w:t>(Arabic)</w:t>
            </w:r>
          </w:p>
        </w:tc>
        <w:tc>
          <w:tcPr>
            <w:tcW w:w="1539" w:type="dxa"/>
          </w:tcPr>
          <w:p>
            <w:pPr>
              <w:pStyle w:val="TableParagraph"/>
              <w:spacing w:before="13"/>
              <w:ind w:left="754"/>
              <w:jc w:val="left"/>
              <w:rPr>
                <w:sz w:val="20"/>
              </w:rPr>
            </w:pPr>
            <w:r>
              <w:rPr>
                <w:spacing w:val="-2"/>
                <w:sz w:val="20"/>
              </w:rPr>
              <w:t>P-</w:t>
            </w:r>
            <w:r>
              <w:rPr>
                <w:spacing w:val="-10"/>
                <w:sz w:val="20"/>
              </w:rPr>
              <w:t>3</w:t>
            </w:r>
          </w:p>
        </w:tc>
        <w:tc>
          <w:tcPr>
            <w:tcW w:w="1955" w:type="dxa"/>
          </w:tcPr>
          <w:p>
            <w:pPr>
              <w:pStyle w:val="TableParagraph"/>
              <w:spacing w:before="13"/>
              <w:ind w:right="1110"/>
              <w:rPr>
                <w:sz w:val="20"/>
              </w:rPr>
            </w:pPr>
            <w:r>
              <w:rPr>
                <w:w w:val="100"/>
                <w:sz w:val="20"/>
              </w:rPr>
              <w:t>1</w:t>
            </w:r>
          </w:p>
        </w:tc>
      </w:tr>
      <w:tr>
        <w:trPr>
          <w:trHeight w:val="271" w:hRule="atLeast"/>
        </w:trPr>
        <w:tc>
          <w:tcPr>
            <w:tcW w:w="6204" w:type="dxa"/>
          </w:tcPr>
          <w:p>
            <w:pPr>
              <w:pStyle w:val="TableParagraph"/>
              <w:spacing w:before="15"/>
              <w:ind w:left="1162"/>
              <w:jc w:val="left"/>
              <w:rPr>
                <w:sz w:val="20"/>
              </w:rPr>
            </w:pPr>
            <w:r>
              <w:rPr>
                <w:sz w:val="20"/>
              </w:rPr>
              <w:t>Associate</w:t>
            </w:r>
            <w:r>
              <w:rPr>
                <w:spacing w:val="-8"/>
                <w:sz w:val="20"/>
              </w:rPr>
              <w:t> </w:t>
            </w:r>
            <w:r>
              <w:rPr>
                <w:sz w:val="20"/>
              </w:rPr>
              <w:t>Translator</w:t>
            </w:r>
            <w:r>
              <w:rPr>
                <w:spacing w:val="-9"/>
                <w:sz w:val="20"/>
              </w:rPr>
              <w:t> </w:t>
            </w:r>
            <w:r>
              <w:rPr>
                <w:spacing w:val="-2"/>
                <w:sz w:val="20"/>
              </w:rPr>
              <w:t>(English)</w:t>
            </w:r>
          </w:p>
        </w:tc>
        <w:tc>
          <w:tcPr>
            <w:tcW w:w="1539" w:type="dxa"/>
          </w:tcPr>
          <w:p>
            <w:pPr>
              <w:pStyle w:val="TableParagraph"/>
              <w:spacing w:before="15"/>
              <w:ind w:left="754"/>
              <w:jc w:val="left"/>
              <w:rPr>
                <w:sz w:val="20"/>
              </w:rPr>
            </w:pPr>
            <w:r>
              <w:rPr>
                <w:spacing w:val="-2"/>
                <w:sz w:val="20"/>
              </w:rPr>
              <w:t>P-</w:t>
            </w:r>
            <w:r>
              <w:rPr>
                <w:spacing w:val="-10"/>
                <w:sz w:val="20"/>
              </w:rPr>
              <w:t>2</w:t>
            </w:r>
          </w:p>
        </w:tc>
        <w:tc>
          <w:tcPr>
            <w:tcW w:w="1955" w:type="dxa"/>
          </w:tcPr>
          <w:p>
            <w:pPr>
              <w:pStyle w:val="TableParagraph"/>
              <w:spacing w:before="15"/>
              <w:ind w:right="1110"/>
              <w:rPr>
                <w:sz w:val="20"/>
              </w:rPr>
            </w:pPr>
            <w:r>
              <w:rPr>
                <w:w w:val="100"/>
                <w:sz w:val="20"/>
              </w:rPr>
              <w:t>1</w:t>
            </w:r>
          </w:p>
        </w:tc>
      </w:tr>
      <w:tr>
        <w:trPr>
          <w:trHeight w:val="268" w:hRule="atLeast"/>
        </w:trPr>
        <w:tc>
          <w:tcPr>
            <w:tcW w:w="6204" w:type="dxa"/>
          </w:tcPr>
          <w:p>
            <w:pPr>
              <w:pStyle w:val="TableParagraph"/>
              <w:spacing w:before="12"/>
              <w:ind w:left="1162"/>
              <w:jc w:val="left"/>
              <w:rPr>
                <w:sz w:val="20"/>
              </w:rPr>
            </w:pPr>
            <w:r>
              <w:rPr>
                <w:sz w:val="20"/>
              </w:rPr>
              <w:t>Associate</w:t>
            </w:r>
            <w:r>
              <w:rPr>
                <w:spacing w:val="-8"/>
                <w:sz w:val="20"/>
              </w:rPr>
              <w:t> </w:t>
            </w:r>
            <w:r>
              <w:rPr>
                <w:sz w:val="20"/>
              </w:rPr>
              <w:t>Translator</w:t>
            </w:r>
            <w:r>
              <w:rPr>
                <w:spacing w:val="-9"/>
                <w:sz w:val="20"/>
              </w:rPr>
              <w:t> </w:t>
            </w:r>
            <w:r>
              <w:rPr>
                <w:spacing w:val="-2"/>
                <w:sz w:val="20"/>
              </w:rPr>
              <w:t>(French)</w:t>
            </w:r>
          </w:p>
        </w:tc>
        <w:tc>
          <w:tcPr>
            <w:tcW w:w="1539" w:type="dxa"/>
          </w:tcPr>
          <w:p>
            <w:pPr>
              <w:pStyle w:val="TableParagraph"/>
              <w:spacing w:before="12"/>
              <w:ind w:left="754"/>
              <w:jc w:val="left"/>
              <w:rPr>
                <w:sz w:val="20"/>
              </w:rPr>
            </w:pPr>
            <w:r>
              <w:rPr>
                <w:spacing w:val="-2"/>
                <w:sz w:val="20"/>
              </w:rPr>
              <w:t>P-</w:t>
            </w:r>
            <w:r>
              <w:rPr>
                <w:spacing w:val="-10"/>
                <w:sz w:val="20"/>
              </w:rPr>
              <w:t>2</w:t>
            </w:r>
          </w:p>
        </w:tc>
        <w:tc>
          <w:tcPr>
            <w:tcW w:w="1955" w:type="dxa"/>
          </w:tcPr>
          <w:p>
            <w:pPr>
              <w:pStyle w:val="TableParagraph"/>
              <w:spacing w:before="12"/>
              <w:ind w:right="1110"/>
              <w:rPr>
                <w:sz w:val="20"/>
              </w:rPr>
            </w:pPr>
            <w:r>
              <w:rPr>
                <w:w w:val="100"/>
                <w:sz w:val="20"/>
              </w:rPr>
              <w:t>1</w:t>
            </w:r>
          </w:p>
        </w:tc>
      </w:tr>
      <w:tr>
        <w:trPr>
          <w:trHeight w:val="268" w:hRule="atLeast"/>
        </w:trPr>
        <w:tc>
          <w:tcPr>
            <w:tcW w:w="6204" w:type="dxa"/>
          </w:tcPr>
          <w:p>
            <w:pPr>
              <w:pStyle w:val="TableParagraph"/>
              <w:spacing w:before="12"/>
              <w:ind w:left="1162"/>
              <w:jc w:val="left"/>
              <w:rPr>
                <w:sz w:val="20"/>
              </w:rPr>
            </w:pPr>
            <w:r>
              <w:rPr>
                <w:sz w:val="20"/>
              </w:rPr>
              <w:t>Associate</w:t>
            </w:r>
            <w:r>
              <w:rPr>
                <w:spacing w:val="-8"/>
                <w:sz w:val="20"/>
              </w:rPr>
              <w:t> </w:t>
            </w:r>
            <w:r>
              <w:rPr>
                <w:sz w:val="20"/>
              </w:rPr>
              <w:t>Translator</w:t>
            </w:r>
            <w:r>
              <w:rPr>
                <w:spacing w:val="-9"/>
                <w:sz w:val="20"/>
              </w:rPr>
              <w:t> </w:t>
            </w:r>
            <w:r>
              <w:rPr>
                <w:spacing w:val="-2"/>
                <w:sz w:val="20"/>
              </w:rPr>
              <w:t>(Arabic)</w:t>
            </w:r>
          </w:p>
        </w:tc>
        <w:tc>
          <w:tcPr>
            <w:tcW w:w="1539" w:type="dxa"/>
          </w:tcPr>
          <w:p>
            <w:pPr>
              <w:pStyle w:val="TableParagraph"/>
              <w:spacing w:before="12"/>
              <w:ind w:left="754"/>
              <w:jc w:val="left"/>
              <w:rPr>
                <w:sz w:val="20"/>
              </w:rPr>
            </w:pPr>
            <w:r>
              <w:rPr>
                <w:spacing w:val="-2"/>
                <w:sz w:val="20"/>
              </w:rPr>
              <w:t>P-</w:t>
            </w:r>
            <w:r>
              <w:rPr>
                <w:spacing w:val="-10"/>
                <w:sz w:val="20"/>
              </w:rPr>
              <w:t>2</w:t>
            </w:r>
          </w:p>
        </w:tc>
        <w:tc>
          <w:tcPr>
            <w:tcW w:w="1955" w:type="dxa"/>
          </w:tcPr>
          <w:p>
            <w:pPr>
              <w:pStyle w:val="TableParagraph"/>
              <w:spacing w:before="12"/>
              <w:ind w:right="1110"/>
              <w:rPr>
                <w:sz w:val="20"/>
              </w:rPr>
            </w:pPr>
            <w:r>
              <w:rPr>
                <w:w w:val="100"/>
                <w:sz w:val="20"/>
              </w:rPr>
              <w:t>1</w:t>
            </w:r>
          </w:p>
        </w:tc>
      </w:tr>
      <w:tr>
        <w:trPr>
          <w:trHeight w:val="269" w:hRule="atLeast"/>
        </w:trPr>
        <w:tc>
          <w:tcPr>
            <w:tcW w:w="6204" w:type="dxa"/>
            <w:tcBorders>
              <w:bottom w:val="single" w:sz="4" w:space="0" w:color="000000"/>
            </w:tcBorders>
          </w:tcPr>
          <w:p>
            <w:pPr>
              <w:pStyle w:val="TableParagraph"/>
              <w:spacing w:before="12"/>
              <w:ind w:left="1162"/>
              <w:jc w:val="left"/>
              <w:rPr>
                <w:sz w:val="20"/>
              </w:rPr>
            </w:pPr>
            <w:r>
              <w:rPr>
                <w:sz w:val="20"/>
              </w:rPr>
              <w:t>Language</w:t>
            </w:r>
            <w:r>
              <w:rPr>
                <w:spacing w:val="-4"/>
                <w:sz w:val="20"/>
              </w:rPr>
              <w:t> </w:t>
            </w:r>
            <w:r>
              <w:rPr>
                <w:sz w:val="20"/>
              </w:rPr>
              <w:t>Services</w:t>
            </w:r>
            <w:r>
              <w:rPr>
                <w:spacing w:val="-10"/>
                <w:sz w:val="20"/>
              </w:rPr>
              <w:t> </w:t>
            </w:r>
            <w:r>
              <w:rPr>
                <w:spacing w:val="-2"/>
                <w:sz w:val="20"/>
              </w:rPr>
              <w:t>Assistant</w:t>
            </w:r>
          </w:p>
        </w:tc>
        <w:tc>
          <w:tcPr>
            <w:tcW w:w="1539" w:type="dxa"/>
            <w:tcBorders>
              <w:bottom w:val="single" w:sz="4" w:space="0" w:color="000000"/>
            </w:tcBorders>
          </w:tcPr>
          <w:p>
            <w:pPr>
              <w:pStyle w:val="TableParagraph"/>
              <w:spacing w:before="12"/>
              <w:ind w:left="754"/>
              <w:jc w:val="left"/>
              <w:rPr>
                <w:sz w:val="20"/>
              </w:rPr>
            </w:pPr>
            <w:r>
              <w:rPr>
                <w:spacing w:val="-2"/>
                <w:sz w:val="20"/>
              </w:rPr>
              <w:t>GS-</w:t>
            </w:r>
            <w:r>
              <w:rPr>
                <w:spacing w:val="-7"/>
                <w:sz w:val="20"/>
              </w:rPr>
              <w:t>OL</w:t>
            </w:r>
          </w:p>
        </w:tc>
        <w:tc>
          <w:tcPr>
            <w:tcW w:w="1955" w:type="dxa"/>
            <w:tcBorders>
              <w:bottom w:val="single" w:sz="4" w:space="0" w:color="000000"/>
            </w:tcBorders>
          </w:tcPr>
          <w:p>
            <w:pPr>
              <w:pStyle w:val="TableParagraph"/>
              <w:spacing w:before="12"/>
              <w:ind w:right="1110"/>
              <w:rPr>
                <w:sz w:val="20"/>
              </w:rPr>
            </w:pPr>
            <w:r>
              <w:rPr>
                <w:w w:val="100"/>
                <w:sz w:val="20"/>
              </w:rPr>
              <w:t>1</w:t>
            </w:r>
          </w:p>
        </w:tc>
      </w:tr>
      <w:tr>
        <w:trPr>
          <w:trHeight w:val="268" w:hRule="atLeast"/>
        </w:trPr>
        <w:tc>
          <w:tcPr>
            <w:tcW w:w="6204" w:type="dxa"/>
            <w:tcBorders>
              <w:top w:val="single" w:sz="4" w:space="0" w:color="000000"/>
              <w:bottom w:val="single" w:sz="4" w:space="0" w:color="000000"/>
            </w:tcBorders>
          </w:tcPr>
          <w:p>
            <w:pPr>
              <w:pStyle w:val="TableParagraph"/>
              <w:spacing w:before="16"/>
              <w:ind w:left="1315"/>
              <w:jc w:val="left"/>
              <w:rPr>
                <w:i/>
                <w:sz w:val="20"/>
              </w:rPr>
            </w:pPr>
            <w:r>
              <w:rPr>
                <w:i/>
                <w:sz w:val="20"/>
              </w:rPr>
              <w:t>Transcription</w:t>
            </w:r>
            <w:r>
              <w:rPr>
                <w:i/>
                <w:spacing w:val="-12"/>
                <w:sz w:val="20"/>
              </w:rPr>
              <w:t> </w:t>
            </w:r>
            <w:r>
              <w:rPr>
                <w:i/>
                <w:spacing w:val="-4"/>
                <w:sz w:val="20"/>
              </w:rPr>
              <w:t>Team</w:t>
            </w:r>
          </w:p>
        </w:tc>
        <w:tc>
          <w:tcPr>
            <w:tcW w:w="1539" w:type="dxa"/>
            <w:tcBorders>
              <w:top w:val="single" w:sz="4" w:space="0" w:color="000000"/>
              <w:bottom w:val="single" w:sz="4" w:space="0" w:color="000000"/>
            </w:tcBorders>
          </w:tcPr>
          <w:p>
            <w:pPr>
              <w:pStyle w:val="TableParagraph"/>
              <w:jc w:val="left"/>
              <w:rPr>
                <w:sz w:val="18"/>
              </w:rPr>
            </w:pPr>
          </w:p>
        </w:tc>
        <w:tc>
          <w:tcPr>
            <w:tcW w:w="1955" w:type="dxa"/>
            <w:tcBorders>
              <w:top w:val="single" w:sz="4" w:space="0" w:color="000000"/>
              <w:bottom w:val="single" w:sz="4" w:space="0" w:color="000000"/>
            </w:tcBorders>
          </w:tcPr>
          <w:p>
            <w:pPr>
              <w:pStyle w:val="TableParagraph"/>
              <w:jc w:val="left"/>
              <w:rPr>
                <w:sz w:val="18"/>
              </w:rPr>
            </w:pPr>
          </w:p>
        </w:tc>
      </w:tr>
      <w:tr>
        <w:trPr>
          <w:trHeight w:val="272" w:hRule="atLeast"/>
        </w:trPr>
        <w:tc>
          <w:tcPr>
            <w:tcW w:w="6204" w:type="dxa"/>
            <w:tcBorders>
              <w:top w:val="single" w:sz="4" w:space="0" w:color="000000"/>
            </w:tcBorders>
          </w:tcPr>
          <w:p>
            <w:pPr>
              <w:pStyle w:val="TableParagraph"/>
              <w:spacing w:before="16"/>
              <w:ind w:left="1162"/>
              <w:jc w:val="left"/>
              <w:rPr>
                <w:sz w:val="20"/>
              </w:rPr>
            </w:pPr>
            <w:r>
              <w:rPr>
                <w:sz w:val="20"/>
              </w:rPr>
              <w:t>Senior</w:t>
            </w:r>
            <w:r>
              <w:rPr>
                <w:spacing w:val="-9"/>
                <w:sz w:val="20"/>
              </w:rPr>
              <w:t> </w:t>
            </w:r>
            <w:r>
              <w:rPr>
                <w:sz w:val="20"/>
              </w:rPr>
              <w:t>Transcript</w:t>
            </w:r>
            <w:r>
              <w:rPr>
                <w:spacing w:val="-2"/>
                <w:sz w:val="20"/>
              </w:rPr>
              <w:t> Coordinator</w:t>
            </w:r>
          </w:p>
        </w:tc>
        <w:tc>
          <w:tcPr>
            <w:tcW w:w="1539" w:type="dxa"/>
            <w:tcBorders>
              <w:top w:val="single" w:sz="4" w:space="0" w:color="000000"/>
            </w:tcBorders>
          </w:tcPr>
          <w:p>
            <w:pPr>
              <w:pStyle w:val="TableParagraph"/>
              <w:spacing w:before="16"/>
              <w:ind w:left="754"/>
              <w:jc w:val="left"/>
              <w:rPr>
                <w:sz w:val="20"/>
              </w:rPr>
            </w:pPr>
            <w:r>
              <w:rPr>
                <w:spacing w:val="-2"/>
                <w:sz w:val="20"/>
              </w:rPr>
              <w:t>GS-</w:t>
            </w:r>
            <w:r>
              <w:rPr>
                <w:spacing w:val="-7"/>
                <w:sz w:val="20"/>
              </w:rPr>
              <w:t>OL</w:t>
            </w:r>
          </w:p>
        </w:tc>
        <w:tc>
          <w:tcPr>
            <w:tcW w:w="1955" w:type="dxa"/>
            <w:tcBorders>
              <w:top w:val="single" w:sz="4" w:space="0" w:color="000000"/>
            </w:tcBorders>
          </w:tcPr>
          <w:p>
            <w:pPr>
              <w:pStyle w:val="TableParagraph"/>
              <w:spacing w:before="16"/>
              <w:ind w:right="1110"/>
              <w:rPr>
                <w:sz w:val="20"/>
              </w:rPr>
            </w:pPr>
            <w:r>
              <w:rPr>
                <w:w w:val="100"/>
                <w:sz w:val="20"/>
              </w:rPr>
              <w:t>1</w:t>
            </w:r>
          </w:p>
        </w:tc>
      </w:tr>
      <w:tr>
        <w:trPr>
          <w:trHeight w:val="271" w:hRule="atLeast"/>
        </w:trPr>
        <w:tc>
          <w:tcPr>
            <w:tcW w:w="6204" w:type="dxa"/>
          </w:tcPr>
          <w:p>
            <w:pPr>
              <w:pStyle w:val="TableParagraph"/>
              <w:spacing w:before="13"/>
              <w:ind w:left="1162"/>
              <w:jc w:val="left"/>
              <w:rPr>
                <w:sz w:val="20"/>
              </w:rPr>
            </w:pPr>
            <w:r>
              <w:rPr>
                <w:sz w:val="20"/>
              </w:rPr>
              <w:t>Transcript</w:t>
            </w:r>
            <w:r>
              <w:rPr>
                <w:spacing w:val="-6"/>
                <w:sz w:val="20"/>
              </w:rPr>
              <w:t> </w:t>
            </w:r>
            <w:r>
              <w:rPr>
                <w:sz w:val="20"/>
              </w:rPr>
              <w:t>Coordinator</w:t>
            </w:r>
            <w:r>
              <w:rPr>
                <w:spacing w:val="-8"/>
                <w:sz w:val="20"/>
              </w:rPr>
              <w:t> </w:t>
            </w:r>
            <w:r>
              <w:rPr>
                <w:sz w:val="20"/>
              </w:rPr>
              <w:t>and</w:t>
            </w:r>
            <w:r>
              <w:rPr>
                <w:spacing w:val="-7"/>
                <w:sz w:val="20"/>
              </w:rPr>
              <w:t> </w:t>
            </w:r>
            <w:r>
              <w:rPr>
                <w:spacing w:val="-2"/>
                <w:sz w:val="20"/>
              </w:rPr>
              <w:t>Reviewer</w:t>
            </w:r>
          </w:p>
        </w:tc>
        <w:tc>
          <w:tcPr>
            <w:tcW w:w="1539" w:type="dxa"/>
          </w:tcPr>
          <w:p>
            <w:pPr>
              <w:pStyle w:val="TableParagraph"/>
              <w:spacing w:before="13"/>
              <w:ind w:left="754"/>
              <w:jc w:val="left"/>
              <w:rPr>
                <w:sz w:val="20"/>
              </w:rPr>
            </w:pPr>
            <w:r>
              <w:rPr>
                <w:spacing w:val="-2"/>
                <w:sz w:val="20"/>
              </w:rPr>
              <w:t>GS-</w:t>
            </w:r>
            <w:r>
              <w:rPr>
                <w:spacing w:val="-7"/>
                <w:sz w:val="20"/>
              </w:rPr>
              <w:t>OL</w:t>
            </w:r>
          </w:p>
        </w:tc>
        <w:tc>
          <w:tcPr>
            <w:tcW w:w="1955" w:type="dxa"/>
          </w:tcPr>
          <w:p>
            <w:pPr>
              <w:pStyle w:val="TableParagraph"/>
              <w:spacing w:before="13"/>
              <w:ind w:right="1110"/>
              <w:rPr>
                <w:sz w:val="20"/>
              </w:rPr>
            </w:pPr>
            <w:r>
              <w:rPr>
                <w:w w:val="100"/>
                <w:sz w:val="20"/>
              </w:rPr>
              <w:t>1</w:t>
            </w:r>
          </w:p>
        </w:tc>
      </w:tr>
      <w:tr>
        <w:trPr>
          <w:trHeight w:val="271" w:hRule="atLeast"/>
        </w:trPr>
        <w:tc>
          <w:tcPr>
            <w:tcW w:w="6204" w:type="dxa"/>
          </w:tcPr>
          <w:p>
            <w:pPr>
              <w:pStyle w:val="TableParagraph"/>
              <w:spacing w:before="15"/>
              <w:ind w:left="1162"/>
              <w:jc w:val="left"/>
              <w:rPr>
                <w:sz w:val="20"/>
              </w:rPr>
            </w:pPr>
            <w:r>
              <w:rPr>
                <w:sz w:val="20"/>
              </w:rPr>
              <w:t>Transcript</w:t>
            </w:r>
            <w:r>
              <w:rPr>
                <w:spacing w:val="-7"/>
                <w:sz w:val="20"/>
              </w:rPr>
              <w:t> </w:t>
            </w:r>
            <w:r>
              <w:rPr>
                <w:spacing w:val="-2"/>
                <w:sz w:val="20"/>
              </w:rPr>
              <w:t>Reviewer</w:t>
            </w:r>
          </w:p>
        </w:tc>
        <w:tc>
          <w:tcPr>
            <w:tcW w:w="1539" w:type="dxa"/>
          </w:tcPr>
          <w:p>
            <w:pPr>
              <w:pStyle w:val="TableParagraph"/>
              <w:spacing w:before="15"/>
              <w:ind w:left="754"/>
              <w:jc w:val="left"/>
              <w:rPr>
                <w:sz w:val="20"/>
              </w:rPr>
            </w:pPr>
            <w:r>
              <w:rPr>
                <w:spacing w:val="-2"/>
                <w:sz w:val="20"/>
              </w:rPr>
              <w:t>GS-</w:t>
            </w:r>
            <w:r>
              <w:rPr>
                <w:spacing w:val="-7"/>
                <w:sz w:val="20"/>
              </w:rPr>
              <w:t>OL</w:t>
            </w:r>
          </w:p>
        </w:tc>
        <w:tc>
          <w:tcPr>
            <w:tcW w:w="1955" w:type="dxa"/>
          </w:tcPr>
          <w:p>
            <w:pPr>
              <w:pStyle w:val="TableParagraph"/>
              <w:spacing w:before="15"/>
              <w:ind w:right="1110"/>
              <w:rPr>
                <w:sz w:val="20"/>
              </w:rPr>
            </w:pPr>
            <w:r>
              <w:rPr>
                <w:w w:val="100"/>
                <w:sz w:val="20"/>
              </w:rPr>
              <w:t>4</w:t>
            </w:r>
          </w:p>
        </w:tc>
      </w:tr>
      <w:tr>
        <w:trPr>
          <w:trHeight w:val="264" w:hRule="atLeast"/>
        </w:trPr>
        <w:tc>
          <w:tcPr>
            <w:tcW w:w="6204" w:type="dxa"/>
            <w:tcBorders>
              <w:bottom w:val="single" w:sz="4" w:space="0" w:color="000000"/>
            </w:tcBorders>
          </w:tcPr>
          <w:p>
            <w:pPr>
              <w:pStyle w:val="TableParagraph"/>
              <w:spacing w:before="12"/>
              <w:ind w:left="1162"/>
              <w:jc w:val="left"/>
              <w:rPr>
                <w:sz w:val="20"/>
              </w:rPr>
            </w:pPr>
            <w:r>
              <w:rPr>
                <w:sz w:val="20"/>
              </w:rPr>
              <w:t>Transcription</w:t>
            </w:r>
            <w:r>
              <w:rPr>
                <w:spacing w:val="-9"/>
                <w:sz w:val="20"/>
              </w:rPr>
              <w:t> </w:t>
            </w:r>
            <w:r>
              <w:rPr>
                <w:spacing w:val="-2"/>
                <w:sz w:val="20"/>
              </w:rPr>
              <w:t>Assistant</w:t>
            </w:r>
          </w:p>
        </w:tc>
        <w:tc>
          <w:tcPr>
            <w:tcW w:w="1539" w:type="dxa"/>
            <w:tcBorders>
              <w:bottom w:val="single" w:sz="4" w:space="0" w:color="000000"/>
            </w:tcBorders>
          </w:tcPr>
          <w:p>
            <w:pPr>
              <w:pStyle w:val="TableParagraph"/>
              <w:spacing w:before="12"/>
              <w:ind w:left="754"/>
              <w:jc w:val="left"/>
              <w:rPr>
                <w:sz w:val="20"/>
              </w:rPr>
            </w:pPr>
            <w:r>
              <w:rPr>
                <w:spacing w:val="-2"/>
                <w:sz w:val="20"/>
              </w:rPr>
              <w:t>GS-</w:t>
            </w:r>
            <w:r>
              <w:rPr>
                <w:spacing w:val="-7"/>
                <w:sz w:val="20"/>
              </w:rPr>
              <w:t>OL</w:t>
            </w:r>
          </w:p>
        </w:tc>
        <w:tc>
          <w:tcPr>
            <w:tcW w:w="1955" w:type="dxa"/>
            <w:tcBorders>
              <w:bottom w:val="single" w:sz="4" w:space="0" w:color="000000"/>
            </w:tcBorders>
          </w:tcPr>
          <w:p>
            <w:pPr>
              <w:pStyle w:val="TableParagraph"/>
              <w:spacing w:before="12"/>
              <w:ind w:right="1110"/>
              <w:rPr>
                <w:sz w:val="20"/>
              </w:rPr>
            </w:pPr>
            <w:r>
              <w:rPr>
                <w:w w:val="100"/>
                <w:sz w:val="20"/>
              </w:rPr>
              <w:t>1</w:t>
            </w:r>
          </w:p>
        </w:tc>
      </w:tr>
      <w:tr>
        <w:trPr>
          <w:trHeight w:val="268" w:hRule="atLeast"/>
        </w:trPr>
        <w:tc>
          <w:tcPr>
            <w:tcW w:w="6204" w:type="dxa"/>
            <w:tcBorders>
              <w:top w:val="single" w:sz="4" w:space="0" w:color="000000"/>
              <w:bottom w:val="single" w:sz="4" w:space="0" w:color="000000"/>
            </w:tcBorders>
          </w:tcPr>
          <w:p>
            <w:pPr>
              <w:pStyle w:val="TableParagraph"/>
              <w:spacing w:before="16"/>
              <w:ind w:left="1315"/>
              <w:jc w:val="left"/>
              <w:rPr>
                <w:i/>
                <w:sz w:val="20"/>
              </w:rPr>
            </w:pPr>
            <w:r>
              <w:rPr>
                <w:i/>
                <w:spacing w:val="-2"/>
                <w:sz w:val="20"/>
              </w:rPr>
              <w:t>Interpretation</w:t>
            </w:r>
            <w:r>
              <w:rPr>
                <w:i/>
                <w:spacing w:val="13"/>
                <w:sz w:val="20"/>
              </w:rPr>
              <w:t> </w:t>
            </w:r>
            <w:r>
              <w:rPr>
                <w:i/>
                <w:spacing w:val="-4"/>
                <w:sz w:val="20"/>
              </w:rPr>
              <w:t>Team</w:t>
            </w:r>
          </w:p>
        </w:tc>
        <w:tc>
          <w:tcPr>
            <w:tcW w:w="1539" w:type="dxa"/>
            <w:tcBorders>
              <w:top w:val="single" w:sz="4" w:space="0" w:color="000000"/>
              <w:bottom w:val="single" w:sz="4" w:space="0" w:color="000000"/>
            </w:tcBorders>
          </w:tcPr>
          <w:p>
            <w:pPr>
              <w:pStyle w:val="TableParagraph"/>
              <w:jc w:val="left"/>
              <w:rPr>
                <w:sz w:val="18"/>
              </w:rPr>
            </w:pPr>
          </w:p>
        </w:tc>
        <w:tc>
          <w:tcPr>
            <w:tcW w:w="1955" w:type="dxa"/>
            <w:tcBorders>
              <w:top w:val="single" w:sz="4" w:space="0" w:color="000000"/>
              <w:bottom w:val="single" w:sz="4" w:space="0" w:color="000000"/>
            </w:tcBorders>
          </w:tcPr>
          <w:p>
            <w:pPr>
              <w:pStyle w:val="TableParagraph"/>
              <w:jc w:val="left"/>
              <w:rPr>
                <w:sz w:val="18"/>
              </w:rPr>
            </w:pPr>
          </w:p>
        </w:tc>
      </w:tr>
      <w:tr>
        <w:trPr>
          <w:trHeight w:val="277" w:hRule="atLeast"/>
        </w:trPr>
        <w:tc>
          <w:tcPr>
            <w:tcW w:w="6204" w:type="dxa"/>
            <w:tcBorders>
              <w:top w:val="single" w:sz="4" w:space="0" w:color="000000"/>
            </w:tcBorders>
          </w:tcPr>
          <w:p>
            <w:pPr>
              <w:pStyle w:val="TableParagraph"/>
              <w:spacing w:before="21"/>
              <w:ind w:left="1162"/>
              <w:jc w:val="left"/>
              <w:rPr>
                <w:sz w:val="20"/>
              </w:rPr>
            </w:pPr>
            <w:r>
              <w:rPr>
                <w:sz w:val="20"/>
              </w:rPr>
              <w:t>Interpretation</w:t>
            </w:r>
            <w:r>
              <w:rPr>
                <w:spacing w:val="-10"/>
                <w:sz w:val="20"/>
              </w:rPr>
              <w:t> </w:t>
            </w:r>
            <w:r>
              <w:rPr>
                <w:spacing w:val="-2"/>
                <w:sz w:val="20"/>
              </w:rPr>
              <w:t>Coordinator</w:t>
            </w:r>
          </w:p>
        </w:tc>
        <w:tc>
          <w:tcPr>
            <w:tcW w:w="1539" w:type="dxa"/>
            <w:tcBorders>
              <w:top w:val="single" w:sz="4" w:space="0" w:color="000000"/>
            </w:tcBorders>
          </w:tcPr>
          <w:p>
            <w:pPr>
              <w:pStyle w:val="TableParagraph"/>
              <w:spacing w:before="21"/>
              <w:ind w:left="754"/>
              <w:jc w:val="left"/>
              <w:rPr>
                <w:sz w:val="20"/>
              </w:rPr>
            </w:pPr>
            <w:r>
              <w:rPr>
                <w:spacing w:val="-2"/>
                <w:sz w:val="20"/>
              </w:rPr>
              <w:t>P-</w:t>
            </w:r>
            <w:r>
              <w:rPr>
                <w:spacing w:val="-10"/>
                <w:sz w:val="20"/>
              </w:rPr>
              <w:t>3</w:t>
            </w:r>
          </w:p>
        </w:tc>
        <w:tc>
          <w:tcPr>
            <w:tcW w:w="1955" w:type="dxa"/>
            <w:tcBorders>
              <w:top w:val="single" w:sz="4" w:space="0" w:color="000000"/>
            </w:tcBorders>
          </w:tcPr>
          <w:p>
            <w:pPr>
              <w:pStyle w:val="TableParagraph"/>
              <w:spacing w:before="21"/>
              <w:ind w:right="1110"/>
              <w:rPr>
                <w:sz w:val="20"/>
              </w:rPr>
            </w:pPr>
            <w:r>
              <w:rPr>
                <w:w w:val="100"/>
                <w:sz w:val="20"/>
              </w:rPr>
              <w:t>1</w:t>
            </w:r>
          </w:p>
        </w:tc>
      </w:tr>
      <w:tr>
        <w:trPr>
          <w:trHeight w:val="264" w:hRule="atLeast"/>
        </w:trPr>
        <w:tc>
          <w:tcPr>
            <w:tcW w:w="6204" w:type="dxa"/>
            <w:tcBorders>
              <w:bottom w:val="single" w:sz="4" w:space="0" w:color="000000"/>
            </w:tcBorders>
          </w:tcPr>
          <w:p>
            <w:pPr>
              <w:pStyle w:val="TableParagraph"/>
              <w:spacing w:before="12"/>
              <w:ind w:left="1162"/>
              <w:jc w:val="left"/>
              <w:rPr>
                <w:sz w:val="20"/>
              </w:rPr>
            </w:pPr>
            <w:r>
              <w:rPr>
                <w:sz w:val="20"/>
              </w:rPr>
              <w:t>Language</w:t>
            </w:r>
            <w:r>
              <w:rPr>
                <w:spacing w:val="-4"/>
                <w:sz w:val="20"/>
              </w:rPr>
              <w:t> </w:t>
            </w:r>
            <w:r>
              <w:rPr>
                <w:sz w:val="20"/>
              </w:rPr>
              <w:t>Services</w:t>
            </w:r>
            <w:r>
              <w:rPr>
                <w:spacing w:val="-12"/>
                <w:sz w:val="20"/>
              </w:rPr>
              <w:t> </w:t>
            </w:r>
            <w:r>
              <w:rPr>
                <w:sz w:val="20"/>
              </w:rPr>
              <w:t>Assistant</w:t>
            </w:r>
            <w:r>
              <w:rPr>
                <w:spacing w:val="-8"/>
                <w:sz w:val="20"/>
              </w:rPr>
              <w:t> </w:t>
            </w:r>
            <w:r>
              <w:rPr>
                <w:spacing w:val="-4"/>
                <w:sz w:val="20"/>
              </w:rPr>
              <w:t>(HQ)</w:t>
            </w:r>
          </w:p>
        </w:tc>
        <w:tc>
          <w:tcPr>
            <w:tcW w:w="1539" w:type="dxa"/>
            <w:tcBorders>
              <w:bottom w:val="single" w:sz="4" w:space="0" w:color="000000"/>
            </w:tcBorders>
          </w:tcPr>
          <w:p>
            <w:pPr>
              <w:pStyle w:val="TableParagraph"/>
              <w:spacing w:before="12"/>
              <w:ind w:left="754"/>
              <w:jc w:val="left"/>
              <w:rPr>
                <w:sz w:val="20"/>
              </w:rPr>
            </w:pPr>
            <w:r>
              <w:rPr>
                <w:spacing w:val="-2"/>
                <w:sz w:val="20"/>
              </w:rPr>
              <w:t>GS-</w:t>
            </w:r>
            <w:r>
              <w:rPr>
                <w:spacing w:val="-7"/>
                <w:sz w:val="20"/>
              </w:rPr>
              <w:t>OL</w:t>
            </w:r>
          </w:p>
        </w:tc>
        <w:tc>
          <w:tcPr>
            <w:tcW w:w="1955" w:type="dxa"/>
            <w:tcBorders>
              <w:bottom w:val="single" w:sz="4" w:space="0" w:color="000000"/>
            </w:tcBorders>
          </w:tcPr>
          <w:p>
            <w:pPr>
              <w:pStyle w:val="TableParagraph"/>
              <w:spacing w:before="12"/>
              <w:ind w:right="1110"/>
              <w:rPr>
                <w:sz w:val="20"/>
              </w:rPr>
            </w:pPr>
            <w:r>
              <w:rPr>
                <w:w w:val="100"/>
                <w:sz w:val="20"/>
              </w:rPr>
              <w:t>2</w:t>
            </w:r>
          </w:p>
        </w:tc>
      </w:tr>
      <w:tr>
        <w:trPr>
          <w:trHeight w:val="268" w:hRule="atLeast"/>
        </w:trPr>
        <w:tc>
          <w:tcPr>
            <w:tcW w:w="6204" w:type="dxa"/>
            <w:tcBorders>
              <w:top w:val="single" w:sz="4" w:space="0" w:color="000000"/>
              <w:bottom w:val="single" w:sz="4" w:space="0" w:color="000000"/>
            </w:tcBorders>
          </w:tcPr>
          <w:p>
            <w:pPr>
              <w:pStyle w:val="TableParagraph"/>
              <w:jc w:val="left"/>
              <w:rPr>
                <w:sz w:val="18"/>
              </w:rPr>
            </w:pPr>
          </w:p>
        </w:tc>
        <w:tc>
          <w:tcPr>
            <w:tcW w:w="1539" w:type="dxa"/>
            <w:tcBorders>
              <w:top w:val="single" w:sz="4" w:space="0" w:color="000000"/>
              <w:bottom w:val="single" w:sz="4" w:space="0" w:color="000000"/>
            </w:tcBorders>
          </w:tcPr>
          <w:p>
            <w:pPr>
              <w:pStyle w:val="TableParagraph"/>
              <w:jc w:val="left"/>
              <w:rPr>
                <w:sz w:val="18"/>
              </w:rPr>
            </w:pPr>
          </w:p>
        </w:tc>
        <w:tc>
          <w:tcPr>
            <w:tcW w:w="1955" w:type="dxa"/>
            <w:tcBorders>
              <w:top w:val="single" w:sz="4" w:space="0" w:color="000000"/>
              <w:bottom w:val="single" w:sz="4" w:space="0" w:color="000000"/>
            </w:tcBorders>
          </w:tcPr>
          <w:p>
            <w:pPr>
              <w:pStyle w:val="TableParagraph"/>
              <w:spacing w:before="17"/>
              <w:ind w:right="1110"/>
              <w:rPr>
                <w:b/>
                <w:sz w:val="20"/>
              </w:rPr>
            </w:pPr>
            <w:r>
              <w:rPr>
                <w:b/>
                <w:spacing w:val="-5"/>
                <w:sz w:val="20"/>
              </w:rPr>
              <w:t>20</w:t>
            </w:r>
          </w:p>
        </w:tc>
      </w:tr>
      <w:tr>
        <w:trPr>
          <w:trHeight w:val="273" w:hRule="atLeast"/>
        </w:trPr>
        <w:tc>
          <w:tcPr>
            <w:tcW w:w="6204" w:type="dxa"/>
            <w:tcBorders>
              <w:top w:val="single" w:sz="4" w:space="0" w:color="000000"/>
              <w:bottom w:val="single" w:sz="4" w:space="0" w:color="000000"/>
            </w:tcBorders>
          </w:tcPr>
          <w:p>
            <w:pPr>
              <w:pStyle w:val="TableParagraph"/>
              <w:spacing w:before="16"/>
              <w:ind w:left="1162"/>
              <w:jc w:val="left"/>
              <w:rPr>
                <w:b/>
                <w:sz w:val="20"/>
              </w:rPr>
            </w:pPr>
            <w:r>
              <w:rPr>
                <w:b/>
                <w:spacing w:val="-2"/>
                <w:sz w:val="20"/>
              </w:rPr>
              <w:t>Total</w:t>
            </w:r>
          </w:p>
        </w:tc>
        <w:tc>
          <w:tcPr>
            <w:tcW w:w="1539" w:type="dxa"/>
            <w:tcBorders>
              <w:top w:val="single" w:sz="4" w:space="0" w:color="000000"/>
              <w:bottom w:val="single" w:sz="4" w:space="0" w:color="000000"/>
            </w:tcBorders>
          </w:tcPr>
          <w:p>
            <w:pPr>
              <w:pStyle w:val="TableParagraph"/>
              <w:jc w:val="left"/>
              <w:rPr>
                <w:sz w:val="20"/>
              </w:rPr>
            </w:pPr>
          </w:p>
        </w:tc>
        <w:tc>
          <w:tcPr>
            <w:tcW w:w="1955" w:type="dxa"/>
            <w:tcBorders>
              <w:top w:val="single" w:sz="4" w:space="0" w:color="000000"/>
              <w:bottom w:val="single" w:sz="4" w:space="0" w:color="000000"/>
            </w:tcBorders>
          </w:tcPr>
          <w:p>
            <w:pPr>
              <w:pStyle w:val="TableParagraph"/>
              <w:spacing w:before="16"/>
              <w:ind w:right="1105"/>
              <w:rPr>
                <w:b/>
                <w:sz w:val="20"/>
              </w:rPr>
            </w:pPr>
            <w:r>
              <w:rPr>
                <w:b/>
                <w:spacing w:val="-5"/>
                <w:sz w:val="20"/>
              </w:rPr>
              <w:t>131</w:t>
            </w:r>
          </w:p>
        </w:tc>
      </w:tr>
    </w:tbl>
    <w:p>
      <w:pPr>
        <w:pStyle w:val="ListParagraph"/>
        <w:numPr>
          <w:ilvl w:val="0"/>
          <w:numId w:val="4"/>
        </w:numPr>
        <w:tabs>
          <w:tab w:pos="2967" w:val="left" w:leader="none"/>
        </w:tabs>
        <w:spacing w:line="240" w:lineRule="auto" w:before="137" w:after="0"/>
        <w:ind w:left="2246" w:right="2243" w:firstLine="0"/>
        <w:jc w:val="both"/>
        <w:rPr>
          <w:sz w:val="20"/>
        </w:rPr>
      </w:pPr>
      <w:r>
        <w:rPr/>
        <w:pict>
          <v:rect style="position:absolute;margin-left:113.330002pt;margin-top:63.859947pt;width:371.180018pt;height:.48pt;mso-position-horizontal-relative:page;mso-position-vertical-relative:page;z-index:-43810816" id="docshape183" filled="true" fillcolor="#000000" stroked="false">
            <v:fill type="solid"/>
            <w10:wrap type="none"/>
          </v:rect>
        </w:pict>
      </w:r>
      <w:r>
        <w:rPr>
          <w:sz w:val="20"/>
        </w:rPr>
        <w:t>In IKEMS, the Information and Evidence Officers, Associate Information and Evidence Officers, Associate Analyst (RFA), and eDiscovery Assistant all ensure that the OTP has a robust and sustainable minimum industry standard eDiscovery capacity.</w:t>
      </w:r>
    </w:p>
    <w:p>
      <w:pPr>
        <w:pStyle w:val="ListParagraph"/>
        <w:numPr>
          <w:ilvl w:val="0"/>
          <w:numId w:val="4"/>
        </w:numPr>
        <w:tabs>
          <w:tab w:pos="2967" w:val="left" w:leader="none"/>
        </w:tabs>
        <w:spacing w:line="240" w:lineRule="auto" w:before="116" w:after="0"/>
        <w:ind w:left="2246" w:right="2241" w:firstLine="0"/>
        <w:jc w:val="both"/>
        <w:rPr>
          <w:sz w:val="20"/>
        </w:rPr>
      </w:pPr>
      <w:r>
        <w:rPr>
          <w:sz w:val="20"/>
        </w:rPr>
        <w:t>The resource needs identified in IKEMS reflects its central role in the essential modernization process presently being undertaken with respect to the technological framework of the Office, in particular regarding the storage, processing and analysis of </w:t>
      </w:r>
      <w:r>
        <w:rPr>
          <w:spacing w:val="-2"/>
          <w:sz w:val="20"/>
        </w:rPr>
        <w:t>evidence.</w:t>
      </w:r>
    </w:p>
    <w:p>
      <w:pPr>
        <w:pStyle w:val="ListParagraph"/>
        <w:numPr>
          <w:ilvl w:val="0"/>
          <w:numId w:val="4"/>
        </w:numPr>
        <w:tabs>
          <w:tab w:pos="2967" w:val="left" w:leader="none"/>
        </w:tabs>
        <w:spacing w:line="240" w:lineRule="auto" w:before="122" w:after="0"/>
        <w:ind w:left="2246" w:right="2238" w:firstLine="0"/>
        <w:jc w:val="both"/>
        <w:rPr>
          <w:sz w:val="20"/>
        </w:rPr>
      </w:pPr>
      <w:r>
        <w:rPr>
          <w:sz w:val="20"/>
        </w:rPr>
        <w:t>With increased hybridization of the OTP work environment, an increased field presence</w:t>
      </w:r>
      <w:r>
        <w:rPr>
          <w:spacing w:val="-2"/>
          <w:sz w:val="20"/>
        </w:rPr>
        <w:t> </w:t>
      </w:r>
      <w:r>
        <w:rPr>
          <w:sz w:val="20"/>
        </w:rPr>
        <w:t>and growing</w:t>
      </w:r>
      <w:r>
        <w:rPr>
          <w:spacing w:val="-4"/>
          <w:sz w:val="20"/>
        </w:rPr>
        <w:t> </w:t>
      </w:r>
      <w:r>
        <w:rPr>
          <w:sz w:val="20"/>
        </w:rPr>
        <w:t>need</w:t>
      </w:r>
      <w:r>
        <w:rPr>
          <w:spacing w:val="-4"/>
          <w:sz w:val="20"/>
        </w:rPr>
        <w:t> </w:t>
      </w:r>
      <w:r>
        <w:rPr>
          <w:sz w:val="20"/>
        </w:rPr>
        <w:t>for supporting</w:t>
      </w:r>
      <w:r>
        <w:rPr>
          <w:spacing w:val="-4"/>
          <w:sz w:val="20"/>
        </w:rPr>
        <w:t> </w:t>
      </w:r>
      <w:r>
        <w:rPr>
          <w:sz w:val="20"/>
        </w:rPr>
        <w:t>remote</w:t>
      </w:r>
      <w:r>
        <w:rPr>
          <w:spacing w:val="-2"/>
          <w:sz w:val="20"/>
        </w:rPr>
        <w:t> </w:t>
      </w:r>
      <w:r>
        <w:rPr>
          <w:sz w:val="20"/>
        </w:rPr>
        <w:t>and</w:t>
      </w:r>
      <w:r>
        <w:rPr>
          <w:spacing w:val="-4"/>
          <w:sz w:val="20"/>
        </w:rPr>
        <w:t> </w:t>
      </w:r>
      <w:r>
        <w:rPr>
          <w:sz w:val="20"/>
        </w:rPr>
        <w:t>digitally recorded</w:t>
      </w:r>
      <w:r>
        <w:rPr>
          <w:spacing w:val="-4"/>
          <w:sz w:val="20"/>
        </w:rPr>
        <w:t> </w:t>
      </w:r>
      <w:r>
        <w:rPr>
          <w:sz w:val="20"/>
        </w:rPr>
        <w:t>witness</w:t>
      </w:r>
      <w:r>
        <w:rPr>
          <w:spacing w:val="-5"/>
          <w:sz w:val="20"/>
        </w:rPr>
        <w:t> </w:t>
      </w:r>
      <w:r>
        <w:rPr>
          <w:sz w:val="20"/>
        </w:rPr>
        <w:t>interviews, all combined with the influx of new equipment and rising tempo of operational support requirements, Senior Evidence Assistant (A/V) (GS-OL) post will help fill a major OTP service and support gap with respect to audio visual technical support in all of the above </w:t>
      </w:r>
      <w:r>
        <w:rPr>
          <w:spacing w:val="-2"/>
          <w:sz w:val="20"/>
        </w:rPr>
        <w:t>areas.</w:t>
      </w:r>
    </w:p>
    <w:p>
      <w:pPr>
        <w:pStyle w:val="ListParagraph"/>
        <w:numPr>
          <w:ilvl w:val="0"/>
          <w:numId w:val="4"/>
        </w:numPr>
        <w:tabs>
          <w:tab w:pos="2967" w:val="left" w:leader="none"/>
        </w:tabs>
        <w:spacing w:line="240" w:lineRule="auto" w:before="123" w:after="0"/>
        <w:ind w:left="2246" w:right="2243" w:firstLine="0"/>
        <w:jc w:val="both"/>
        <w:rPr>
          <w:sz w:val="20"/>
        </w:rPr>
      </w:pPr>
      <w:r>
        <w:rPr>
          <w:sz w:val="20"/>
        </w:rPr>
        <w:t>The Evidence Processing Assistant (GS-OL) combines the former roles of Data Processing</w:t>
      </w:r>
      <w:r>
        <w:rPr>
          <w:spacing w:val="-9"/>
          <w:sz w:val="20"/>
        </w:rPr>
        <w:t> </w:t>
      </w:r>
      <w:r>
        <w:rPr>
          <w:sz w:val="20"/>
        </w:rPr>
        <w:t>Assistant</w:t>
      </w:r>
      <w:r>
        <w:rPr>
          <w:spacing w:val="-13"/>
          <w:sz w:val="20"/>
        </w:rPr>
        <w:t> </w:t>
      </w:r>
      <w:r>
        <w:rPr>
          <w:sz w:val="20"/>
        </w:rPr>
        <w:t>and</w:t>
      </w:r>
      <w:r>
        <w:rPr>
          <w:spacing w:val="-9"/>
          <w:sz w:val="20"/>
        </w:rPr>
        <w:t> </w:t>
      </w:r>
      <w:r>
        <w:rPr>
          <w:sz w:val="20"/>
        </w:rPr>
        <w:t>Evidence</w:t>
      </w:r>
      <w:r>
        <w:rPr>
          <w:spacing w:val="-3"/>
          <w:sz w:val="20"/>
        </w:rPr>
        <w:t> </w:t>
      </w:r>
      <w:r>
        <w:rPr>
          <w:sz w:val="20"/>
        </w:rPr>
        <w:t>Assistant</w:t>
      </w:r>
      <w:r>
        <w:rPr>
          <w:spacing w:val="-13"/>
          <w:sz w:val="20"/>
        </w:rPr>
        <w:t> </w:t>
      </w:r>
      <w:r>
        <w:rPr>
          <w:sz w:val="20"/>
        </w:rPr>
        <w:t>into</w:t>
      </w:r>
      <w:r>
        <w:rPr>
          <w:spacing w:val="-9"/>
          <w:sz w:val="20"/>
        </w:rPr>
        <w:t> </w:t>
      </w:r>
      <w:r>
        <w:rPr>
          <w:sz w:val="20"/>
        </w:rPr>
        <w:t>a</w:t>
      </w:r>
      <w:r>
        <w:rPr>
          <w:spacing w:val="-8"/>
          <w:sz w:val="20"/>
        </w:rPr>
        <w:t> </w:t>
      </w:r>
      <w:r>
        <w:rPr>
          <w:sz w:val="20"/>
        </w:rPr>
        <w:t>single</w:t>
      </w:r>
      <w:r>
        <w:rPr>
          <w:spacing w:val="-3"/>
          <w:sz w:val="20"/>
        </w:rPr>
        <w:t> </w:t>
      </w:r>
      <w:r>
        <w:rPr>
          <w:sz w:val="20"/>
        </w:rPr>
        <w:t>role</w:t>
      </w:r>
      <w:r>
        <w:rPr>
          <w:spacing w:val="-3"/>
          <w:sz w:val="20"/>
        </w:rPr>
        <w:t> </w:t>
      </w:r>
      <w:r>
        <w:rPr>
          <w:sz w:val="20"/>
        </w:rPr>
        <w:t>with</w:t>
      </w:r>
      <w:r>
        <w:rPr>
          <w:spacing w:val="-9"/>
          <w:sz w:val="20"/>
        </w:rPr>
        <w:t> </w:t>
      </w:r>
      <w:r>
        <w:rPr>
          <w:sz w:val="20"/>
        </w:rPr>
        <w:t>increased</w:t>
      </w:r>
      <w:r>
        <w:rPr>
          <w:spacing w:val="-9"/>
          <w:sz w:val="20"/>
        </w:rPr>
        <w:t> </w:t>
      </w:r>
      <w:r>
        <w:rPr>
          <w:sz w:val="20"/>
        </w:rPr>
        <w:t>responsibilities for incoming Article 15</w:t>
      </w:r>
      <w:r>
        <w:rPr>
          <w:spacing w:val="-4"/>
          <w:sz w:val="20"/>
        </w:rPr>
        <w:t> </w:t>
      </w:r>
      <w:r>
        <w:rPr>
          <w:sz w:val="20"/>
        </w:rPr>
        <w:t>and</w:t>
      </w:r>
      <w:r>
        <w:rPr>
          <w:spacing w:val="-4"/>
          <w:sz w:val="20"/>
        </w:rPr>
        <w:t> </w:t>
      </w:r>
      <w:r>
        <w:rPr>
          <w:sz w:val="20"/>
        </w:rPr>
        <w:t>other evidence</w:t>
      </w:r>
      <w:r>
        <w:rPr>
          <w:spacing w:val="-2"/>
          <w:sz w:val="20"/>
        </w:rPr>
        <w:t> </w:t>
      </w:r>
      <w:r>
        <w:rPr>
          <w:sz w:val="20"/>
        </w:rPr>
        <w:t>collection/ingestion activities</w:t>
      </w:r>
      <w:r>
        <w:rPr>
          <w:spacing w:val="-5"/>
          <w:sz w:val="20"/>
        </w:rPr>
        <w:t> </w:t>
      </w:r>
      <w:r>
        <w:rPr>
          <w:sz w:val="20"/>
        </w:rPr>
        <w:t>that will</w:t>
      </w:r>
      <w:r>
        <w:rPr>
          <w:spacing w:val="-2"/>
          <w:sz w:val="20"/>
        </w:rPr>
        <w:t> </w:t>
      </w:r>
      <w:r>
        <w:rPr>
          <w:sz w:val="20"/>
        </w:rPr>
        <w:t>comprise the</w:t>
      </w:r>
      <w:r>
        <w:rPr>
          <w:spacing w:val="-7"/>
          <w:sz w:val="20"/>
        </w:rPr>
        <w:t> </w:t>
      </w:r>
      <w:r>
        <w:rPr>
          <w:sz w:val="20"/>
        </w:rPr>
        <w:t>early</w:t>
      </w:r>
      <w:r>
        <w:rPr>
          <w:spacing w:val="-8"/>
          <w:sz w:val="20"/>
        </w:rPr>
        <w:t> </w:t>
      </w:r>
      <w:r>
        <w:rPr>
          <w:sz w:val="20"/>
        </w:rPr>
        <w:t>stages</w:t>
      </w:r>
      <w:r>
        <w:rPr>
          <w:spacing w:val="-10"/>
          <w:sz w:val="20"/>
        </w:rPr>
        <w:t> </w:t>
      </w:r>
      <w:r>
        <w:rPr>
          <w:sz w:val="20"/>
        </w:rPr>
        <w:t>of</w:t>
      </w:r>
      <w:r>
        <w:rPr>
          <w:spacing w:val="-8"/>
          <w:sz w:val="20"/>
        </w:rPr>
        <w:t> </w:t>
      </w:r>
      <w:r>
        <w:rPr>
          <w:sz w:val="20"/>
        </w:rPr>
        <w:t>the</w:t>
      </w:r>
      <w:r>
        <w:rPr>
          <w:spacing w:val="-7"/>
          <w:sz w:val="20"/>
        </w:rPr>
        <w:t> </w:t>
      </w:r>
      <w:r>
        <w:rPr>
          <w:sz w:val="20"/>
        </w:rPr>
        <w:t>EDRM</w:t>
      </w:r>
      <w:r>
        <w:rPr>
          <w:spacing w:val="-10"/>
          <w:sz w:val="20"/>
        </w:rPr>
        <w:t> </w:t>
      </w:r>
      <w:r>
        <w:rPr>
          <w:sz w:val="20"/>
        </w:rPr>
        <w:t>process</w:t>
      </w:r>
      <w:r>
        <w:rPr>
          <w:spacing w:val="-10"/>
          <w:sz w:val="20"/>
        </w:rPr>
        <w:t> </w:t>
      </w:r>
      <w:r>
        <w:rPr>
          <w:sz w:val="20"/>
        </w:rPr>
        <w:t>and</w:t>
      </w:r>
      <w:r>
        <w:rPr>
          <w:spacing w:val="-8"/>
          <w:sz w:val="20"/>
        </w:rPr>
        <w:t> </w:t>
      </w:r>
      <w:r>
        <w:rPr>
          <w:sz w:val="20"/>
        </w:rPr>
        <w:t>evidence</w:t>
      </w:r>
      <w:r>
        <w:rPr>
          <w:spacing w:val="-7"/>
          <w:sz w:val="20"/>
        </w:rPr>
        <w:t> </w:t>
      </w:r>
      <w:r>
        <w:rPr>
          <w:sz w:val="20"/>
        </w:rPr>
        <w:t>processing</w:t>
      </w:r>
      <w:r>
        <w:rPr>
          <w:spacing w:val="-4"/>
          <w:sz w:val="20"/>
        </w:rPr>
        <w:t> </w:t>
      </w:r>
      <w:r>
        <w:rPr>
          <w:sz w:val="20"/>
        </w:rPr>
        <w:t>lifecycle.</w:t>
      </w:r>
      <w:r>
        <w:rPr>
          <w:spacing w:val="-6"/>
          <w:sz w:val="20"/>
        </w:rPr>
        <w:t> </w:t>
      </w:r>
      <w:r>
        <w:rPr>
          <w:sz w:val="20"/>
        </w:rPr>
        <w:t>The</w:t>
      </w:r>
      <w:r>
        <w:rPr>
          <w:spacing w:val="-2"/>
          <w:sz w:val="20"/>
        </w:rPr>
        <w:t> </w:t>
      </w:r>
      <w:r>
        <w:rPr>
          <w:sz w:val="20"/>
        </w:rPr>
        <w:t>role</w:t>
      </w:r>
      <w:r>
        <w:rPr>
          <w:spacing w:val="-11"/>
          <w:sz w:val="20"/>
        </w:rPr>
        <w:t> </w:t>
      </w:r>
      <w:r>
        <w:rPr>
          <w:sz w:val="20"/>
        </w:rPr>
        <w:t>crystalizes the new unified and streamlined approach to evidence processing and management and strengthens existing evidence processing capacity in light of the creation of the new eDiscovery and Data Analysis Unit.</w:t>
      </w:r>
    </w:p>
    <w:p>
      <w:pPr>
        <w:spacing w:after="0" w:line="240" w:lineRule="auto"/>
        <w:jc w:val="both"/>
        <w:rPr>
          <w:sz w:val="20"/>
        </w:rPr>
        <w:sectPr>
          <w:pgSz w:w="11910" w:h="16840"/>
          <w:pgMar w:header="953" w:footer="940" w:top="1140" w:bottom="1140" w:left="20" w:right="20"/>
        </w:sectPr>
      </w:pPr>
    </w:p>
    <w:p>
      <w:pPr>
        <w:pStyle w:val="ListParagraph"/>
        <w:numPr>
          <w:ilvl w:val="0"/>
          <w:numId w:val="4"/>
        </w:numPr>
        <w:tabs>
          <w:tab w:pos="2967" w:val="left" w:leader="none"/>
        </w:tabs>
        <w:spacing w:line="240" w:lineRule="auto" w:before="124" w:after="0"/>
        <w:ind w:left="2246" w:right="2240" w:firstLine="0"/>
        <w:jc w:val="both"/>
        <w:rPr>
          <w:sz w:val="20"/>
        </w:rPr>
      </w:pPr>
      <w:r>
        <w:rPr>
          <w:sz w:val="20"/>
        </w:rPr>
        <w:t>The</w:t>
      </w:r>
      <w:r>
        <w:rPr>
          <w:spacing w:val="-10"/>
          <w:sz w:val="20"/>
        </w:rPr>
        <w:t> </w:t>
      </w:r>
      <w:r>
        <w:rPr>
          <w:sz w:val="20"/>
        </w:rPr>
        <w:t>Data</w:t>
      </w:r>
      <w:r>
        <w:rPr>
          <w:spacing w:val="-8"/>
          <w:sz w:val="20"/>
        </w:rPr>
        <w:t> </w:t>
      </w:r>
      <w:r>
        <w:rPr>
          <w:sz w:val="20"/>
        </w:rPr>
        <w:t>Engineer</w:t>
      </w:r>
      <w:r>
        <w:rPr>
          <w:spacing w:val="-9"/>
          <w:sz w:val="20"/>
        </w:rPr>
        <w:t> </w:t>
      </w:r>
      <w:r>
        <w:rPr>
          <w:sz w:val="20"/>
        </w:rPr>
        <w:t>supports</w:t>
      </w:r>
      <w:r>
        <w:rPr>
          <w:spacing w:val="-11"/>
          <w:sz w:val="20"/>
        </w:rPr>
        <w:t> </w:t>
      </w:r>
      <w:r>
        <w:rPr>
          <w:sz w:val="20"/>
        </w:rPr>
        <w:t>specialized</w:t>
      </w:r>
      <w:r>
        <w:rPr>
          <w:spacing w:val="-9"/>
          <w:sz w:val="20"/>
        </w:rPr>
        <w:t> </w:t>
      </w:r>
      <w:r>
        <w:rPr>
          <w:sz w:val="20"/>
        </w:rPr>
        <w:t>(investigation</w:t>
      </w:r>
      <w:r>
        <w:rPr>
          <w:spacing w:val="-13"/>
          <w:sz w:val="20"/>
        </w:rPr>
        <w:t> </w:t>
      </w:r>
      <w:r>
        <w:rPr>
          <w:sz w:val="20"/>
        </w:rPr>
        <w:t>and</w:t>
      </w:r>
      <w:r>
        <w:rPr>
          <w:spacing w:val="-9"/>
          <w:sz w:val="20"/>
        </w:rPr>
        <w:t> </w:t>
      </w:r>
      <w:r>
        <w:rPr>
          <w:sz w:val="20"/>
        </w:rPr>
        <w:t>forensic)</w:t>
      </w:r>
      <w:r>
        <w:rPr>
          <w:spacing w:val="-9"/>
          <w:sz w:val="20"/>
        </w:rPr>
        <w:t> </w:t>
      </w:r>
      <w:r>
        <w:rPr>
          <w:sz w:val="20"/>
        </w:rPr>
        <w:t>systems</w:t>
      </w:r>
      <w:r>
        <w:rPr>
          <w:spacing w:val="-11"/>
          <w:sz w:val="20"/>
        </w:rPr>
        <w:t> </w:t>
      </w:r>
      <w:r>
        <w:rPr>
          <w:sz w:val="20"/>
        </w:rPr>
        <w:t>as</w:t>
      </w:r>
      <w:r>
        <w:rPr>
          <w:spacing w:val="-11"/>
          <w:sz w:val="20"/>
        </w:rPr>
        <w:t> </w:t>
      </w:r>
      <w:r>
        <w:rPr>
          <w:sz w:val="20"/>
        </w:rPr>
        <w:t>well as specialized OTP core business applications and processes through business development initiatives aiming to further leverage business intelligence information across the OTP’s business streams in support of operational and strategic decision-making. The post is expected</w:t>
      </w:r>
      <w:r>
        <w:rPr>
          <w:spacing w:val="-9"/>
          <w:sz w:val="20"/>
        </w:rPr>
        <w:t> </w:t>
      </w:r>
      <w:r>
        <w:rPr>
          <w:sz w:val="20"/>
        </w:rPr>
        <w:t>to</w:t>
      </w:r>
      <w:r>
        <w:rPr>
          <w:spacing w:val="-5"/>
          <w:sz w:val="20"/>
        </w:rPr>
        <w:t> </w:t>
      </w:r>
      <w:r>
        <w:rPr>
          <w:sz w:val="20"/>
        </w:rPr>
        <w:t>support</w:t>
      </w:r>
      <w:r>
        <w:rPr>
          <w:spacing w:val="-4"/>
          <w:sz w:val="20"/>
        </w:rPr>
        <w:t> </w:t>
      </w:r>
      <w:r>
        <w:rPr>
          <w:sz w:val="20"/>
        </w:rPr>
        <w:t>the</w:t>
      </w:r>
      <w:r>
        <w:rPr>
          <w:spacing w:val="-4"/>
          <w:sz w:val="20"/>
        </w:rPr>
        <w:t> </w:t>
      </w:r>
      <w:r>
        <w:rPr>
          <w:sz w:val="20"/>
        </w:rPr>
        <w:t>development</w:t>
      </w:r>
      <w:r>
        <w:rPr>
          <w:spacing w:val="-4"/>
          <w:sz w:val="20"/>
        </w:rPr>
        <w:t> </w:t>
      </w:r>
      <w:r>
        <w:rPr>
          <w:sz w:val="20"/>
        </w:rPr>
        <w:t>of</w:t>
      </w:r>
      <w:r>
        <w:rPr>
          <w:spacing w:val="-9"/>
          <w:sz w:val="20"/>
        </w:rPr>
        <w:t> </w:t>
      </w:r>
      <w:r>
        <w:rPr>
          <w:sz w:val="20"/>
        </w:rPr>
        <w:t>in-house</w:t>
      </w:r>
      <w:r>
        <w:rPr>
          <w:spacing w:val="-4"/>
          <w:sz w:val="20"/>
        </w:rPr>
        <w:t> </w:t>
      </w:r>
      <w:r>
        <w:rPr>
          <w:sz w:val="20"/>
        </w:rPr>
        <w:t>data</w:t>
      </w:r>
      <w:r>
        <w:rPr>
          <w:spacing w:val="-4"/>
          <w:sz w:val="20"/>
        </w:rPr>
        <w:t> </w:t>
      </w:r>
      <w:r>
        <w:rPr>
          <w:sz w:val="20"/>
        </w:rPr>
        <w:t>analytics</w:t>
      </w:r>
      <w:r>
        <w:rPr>
          <w:spacing w:val="-6"/>
          <w:sz w:val="20"/>
        </w:rPr>
        <w:t> </w:t>
      </w:r>
      <w:r>
        <w:rPr>
          <w:sz w:val="20"/>
        </w:rPr>
        <w:t>solutions,</w:t>
      </w:r>
      <w:r>
        <w:rPr>
          <w:spacing w:val="-3"/>
          <w:sz w:val="20"/>
        </w:rPr>
        <w:t> </w:t>
      </w:r>
      <w:r>
        <w:rPr>
          <w:sz w:val="20"/>
        </w:rPr>
        <w:t>including</w:t>
      </w:r>
      <w:r>
        <w:rPr>
          <w:spacing w:val="-9"/>
          <w:sz w:val="20"/>
        </w:rPr>
        <w:t> </w:t>
      </w:r>
      <w:r>
        <w:rPr>
          <w:sz w:val="20"/>
        </w:rPr>
        <w:t>machine learning and engage in research and development initiatives to identify new or alternative solutions to data challenges in operations management and operational support activities while also supporting the Systems Architect and Information Management Coordinator in formulating</w:t>
      </w:r>
      <w:r>
        <w:rPr>
          <w:spacing w:val="-5"/>
          <w:sz w:val="20"/>
        </w:rPr>
        <w:t> </w:t>
      </w:r>
      <w:r>
        <w:rPr>
          <w:sz w:val="20"/>
        </w:rPr>
        <w:t>requirements</w:t>
      </w:r>
      <w:r>
        <w:rPr>
          <w:spacing w:val="-1"/>
          <w:sz w:val="20"/>
        </w:rPr>
        <w:t> </w:t>
      </w:r>
      <w:r>
        <w:rPr>
          <w:sz w:val="20"/>
        </w:rPr>
        <w:t>for</w:t>
      </w:r>
      <w:r>
        <w:rPr>
          <w:spacing w:val="-5"/>
          <w:sz w:val="20"/>
        </w:rPr>
        <w:t> </w:t>
      </w:r>
      <w:r>
        <w:rPr>
          <w:sz w:val="20"/>
        </w:rPr>
        <w:t>business</w:t>
      </w:r>
      <w:r>
        <w:rPr>
          <w:spacing w:val="-1"/>
          <w:sz w:val="20"/>
        </w:rPr>
        <w:t> </w:t>
      </w:r>
      <w:r>
        <w:rPr>
          <w:sz w:val="20"/>
        </w:rPr>
        <w:t>data-dependent in-house solutions</w:t>
      </w:r>
      <w:r>
        <w:rPr>
          <w:spacing w:val="-1"/>
          <w:sz w:val="20"/>
        </w:rPr>
        <w:t> </w:t>
      </w:r>
      <w:r>
        <w:rPr>
          <w:sz w:val="20"/>
        </w:rPr>
        <w:t>and by</w:t>
      </w:r>
      <w:r>
        <w:rPr>
          <w:spacing w:val="-5"/>
          <w:sz w:val="20"/>
        </w:rPr>
        <w:t> </w:t>
      </w:r>
      <w:r>
        <w:rPr>
          <w:sz w:val="20"/>
        </w:rPr>
        <w:t>technically assessing</w:t>
      </w:r>
      <w:r>
        <w:rPr>
          <w:spacing w:val="-13"/>
          <w:sz w:val="20"/>
        </w:rPr>
        <w:t> </w:t>
      </w:r>
      <w:r>
        <w:rPr>
          <w:sz w:val="20"/>
        </w:rPr>
        <w:t>commercially</w:t>
      </w:r>
      <w:r>
        <w:rPr>
          <w:spacing w:val="-12"/>
          <w:sz w:val="20"/>
        </w:rPr>
        <w:t> </w:t>
      </w:r>
      <w:r>
        <w:rPr>
          <w:sz w:val="20"/>
        </w:rPr>
        <w:t>available</w:t>
      </w:r>
      <w:r>
        <w:rPr>
          <w:spacing w:val="-13"/>
          <w:sz w:val="20"/>
        </w:rPr>
        <w:t> </w:t>
      </w:r>
      <w:r>
        <w:rPr>
          <w:sz w:val="20"/>
        </w:rPr>
        <w:t>alternative</w:t>
      </w:r>
      <w:r>
        <w:rPr>
          <w:spacing w:val="-12"/>
          <w:sz w:val="20"/>
        </w:rPr>
        <w:t> </w:t>
      </w:r>
      <w:r>
        <w:rPr>
          <w:sz w:val="20"/>
        </w:rPr>
        <w:t>options</w:t>
      </w:r>
      <w:r>
        <w:rPr>
          <w:spacing w:val="-13"/>
          <w:sz w:val="20"/>
        </w:rPr>
        <w:t> </w:t>
      </w:r>
      <w:r>
        <w:rPr>
          <w:sz w:val="20"/>
        </w:rPr>
        <w:t>to</w:t>
      </w:r>
      <w:r>
        <w:rPr>
          <w:spacing w:val="-12"/>
          <w:sz w:val="20"/>
        </w:rPr>
        <w:t> </w:t>
      </w:r>
      <w:r>
        <w:rPr>
          <w:sz w:val="20"/>
        </w:rPr>
        <w:t>ensure</w:t>
      </w:r>
      <w:r>
        <w:rPr>
          <w:spacing w:val="-13"/>
          <w:sz w:val="20"/>
        </w:rPr>
        <w:t> </w:t>
      </w:r>
      <w:r>
        <w:rPr>
          <w:sz w:val="20"/>
        </w:rPr>
        <w:t>the</w:t>
      </w:r>
      <w:r>
        <w:rPr>
          <w:spacing w:val="-12"/>
          <w:sz w:val="20"/>
        </w:rPr>
        <w:t> </w:t>
      </w:r>
      <w:r>
        <w:rPr>
          <w:sz w:val="20"/>
        </w:rPr>
        <w:t>highest</w:t>
      </w:r>
      <w:r>
        <w:rPr>
          <w:spacing w:val="-12"/>
          <w:sz w:val="20"/>
        </w:rPr>
        <w:t> </w:t>
      </w:r>
      <w:r>
        <w:rPr>
          <w:sz w:val="20"/>
        </w:rPr>
        <w:t>levels</w:t>
      </w:r>
      <w:r>
        <w:rPr>
          <w:spacing w:val="-13"/>
          <w:sz w:val="20"/>
        </w:rPr>
        <w:t> </w:t>
      </w:r>
      <w:r>
        <w:rPr>
          <w:sz w:val="20"/>
        </w:rPr>
        <w:t>of</w:t>
      </w:r>
      <w:r>
        <w:rPr>
          <w:spacing w:val="-12"/>
          <w:sz w:val="20"/>
        </w:rPr>
        <w:t> </w:t>
      </w:r>
      <w:r>
        <w:rPr>
          <w:sz w:val="20"/>
        </w:rPr>
        <w:t>efficiency are</w:t>
      </w:r>
      <w:r>
        <w:rPr>
          <w:spacing w:val="-3"/>
          <w:sz w:val="20"/>
        </w:rPr>
        <w:t> </w:t>
      </w:r>
      <w:r>
        <w:rPr>
          <w:sz w:val="20"/>
        </w:rPr>
        <w:t>attained</w:t>
      </w:r>
      <w:r>
        <w:rPr>
          <w:spacing w:val="-5"/>
          <w:sz w:val="20"/>
        </w:rPr>
        <w:t> </w:t>
      </w:r>
      <w:r>
        <w:rPr>
          <w:sz w:val="20"/>
        </w:rPr>
        <w:t>and</w:t>
      </w:r>
      <w:r>
        <w:rPr>
          <w:spacing w:val="-5"/>
          <w:sz w:val="20"/>
        </w:rPr>
        <w:t> </w:t>
      </w:r>
      <w:r>
        <w:rPr>
          <w:sz w:val="20"/>
        </w:rPr>
        <w:t>maintained,</w:t>
      </w:r>
      <w:r>
        <w:rPr>
          <w:spacing w:val="-2"/>
          <w:sz w:val="20"/>
        </w:rPr>
        <w:t> </w:t>
      </w:r>
      <w:r>
        <w:rPr>
          <w:sz w:val="20"/>
        </w:rPr>
        <w:t>when selecting,</w:t>
      </w:r>
      <w:r>
        <w:rPr>
          <w:spacing w:val="-2"/>
          <w:sz w:val="20"/>
        </w:rPr>
        <w:t> </w:t>
      </w:r>
      <w:r>
        <w:rPr>
          <w:sz w:val="20"/>
        </w:rPr>
        <w:t>developing</w:t>
      </w:r>
      <w:r>
        <w:rPr>
          <w:spacing w:val="-5"/>
          <w:sz w:val="20"/>
        </w:rPr>
        <w:t> </w:t>
      </w:r>
      <w:r>
        <w:rPr>
          <w:sz w:val="20"/>
        </w:rPr>
        <w:t>or</w:t>
      </w:r>
      <w:r>
        <w:rPr>
          <w:spacing w:val="-5"/>
          <w:sz w:val="20"/>
        </w:rPr>
        <w:t> </w:t>
      </w:r>
      <w:r>
        <w:rPr>
          <w:sz w:val="20"/>
        </w:rPr>
        <w:t>implementing</w:t>
      </w:r>
      <w:r>
        <w:rPr>
          <w:spacing w:val="-5"/>
          <w:sz w:val="20"/>
        </w:rPr>
        <w:t> </w:t>
      </w:r>
      <w:r>
        <w:rPr>
          <w:sz w:val="20"/>
        </w:rPr>
        <w:t>data</w:t>
      </w:r>
      <w:r>
        <w:rPr>
          <w:spacing w:val="-3"/>
          <w:sz w:val="20"/>
        </w:rPr>
        <w:t> </w:t>
      </w:r>
      <w:r>
        <w:rPr>
          <w:sz w:val="20"/>
        </w:rPr>
        <w:t>architectures.</w:t>
      </w:r>
    </w:p>
    <w:p>
      <w:pPr>
        <w:pStyle w:val="ListParagraph"/>
        <w:numPr>
          <w:ilvl w:val="0"/>
          <w:numId w:val="4"/>
        </w:numPr>
        <w:tabs>
          <w:tab w:pos="2967" w:val="left" w:leader="none"/>
        </w:tabs>
        <w:spacing w:line="240" w:lineRule="auto" w:before="121" w:after="0"/>
        <w:ind w:left="2246" w:right="2241" w:firstLine="0"/>
        <w:jc w:val="both"/>
        <w:rPr>
          <w:sz w:val="20"/>
        </w:rPr>
      </w:pPr>
      <w:r>
        <w:rPr>
          <w:sz w:val="20"/>
        </w:rPr>
        <w:t>The </w:t>
      </w:r>
      <w:r>
        <w:rPr>
          <w:i/>
          <w:sz w:val="20"/>
        </w:rPr>
        <w:t>Information and Evidence Officer (Disclosure) </w:t>
      </w:r>
      <w:r>
        <w:rPr>
          <w:sz w:val="20"/>
        </w:rPr>
        <w:t>(P-3) provides specialised disclosure technical and evidence database support to the unified investigation and prosecution teams through the use of dedicated tools and by developing techniques, specialised</w:t>
      </w:r>
      <w:r>
        <w:rPr>
          <w:spacing w:val="-8"/>
          <w:sz w:val="20"/>
        </w:rPr>
        <w:t> </w:t>
      </w:r>
      <w:r>
        <w:rPr>
          <w:sz w:val="20"/>
        </w:rPr>
        <w:t>scripts,</w:t>
      </w:r>
      <w:r>
        <w:rPr>
          <w:spacing w:val="-10"/>
          <w:sz w:val="20"/>
        </w:rPr>
        <w:t> </w:t>
      </w:r>
      <w:r>
        <w:rPr>
          <w:sz w:val="20"/>
        </w:rPr>
        <w:t>and</w:t>
      </w:r>
      <w:r>
        <w:rPr>
          <w:spacing w:val="-12"/>
          <w:sz w:val="20"/>
        </w:rPr>
        <w:t> </w:t>
      </w:r>
      <w:r>
        <w:rPr>
          <w:sz w:val="20"/>
        </w:rPr>
        <w:t>programs</w:t>
      </w:r>
      <w:r>
        <w:rPr>
          <w:spacing w:val="-9"/>
          <w:sz w:val="20"/>
        </w:rPr>
        <w:t> </w:t>
      </w:r>
      <w:r>
        <w:rPr>
          <w:sz w:val="20"/>
        </w:rPr>
        <w:t>or</w:t>
      </w:r>
      <w:r>
        <w:rPr>
          <w:spacing w:val="-12"/>
          <w:sz w:val="20"/>
        </w:rPr>
        <w:t> </w:t>
      </w:r>
      <w:r>
        <w:rPr>
          <w:sz w:val="20"/>
        </w:rPr>
        <w:t>algorithms</w:t>
      </w:r>
      <w:r>
        <w:rPr>
          <w:spacing w:val="-13"/>
          <w:sz w:val="20"/>
        </w:rPr>
        <w:t> </w:t>
      </w:r>
      <w:r>
        <w:rPr>
          <w:sz w:val="20"/>
        </w:rPr>
        <w:t>that</w:t>
      </w:r>
      <w:r>
        <w:rPr>
          <w:spacing w:val="-11"/>
          <w:sz w:val="20"/>
        </w:rPr>
        <w:t> </w:t>
      </w:r>
      <w:r>
        <w:rPr>
          <w:sz w:val="20"/>
        </w:rPr>
        <w:t>exploit</w:t>
      </w:r>
      <w:r>
        <w:rPr>
          <w:spacing w:val="-11"/>
          <w:sz w:val="20"/>
        </w:rPr>
        <w:t> </w:t>
      </w:r>
      <w:r>
        <w:rPr>
          <w:sz w:val="20"/>
        </w:rPr>
        <w:t>large,</w:t>
      </w:r>
      <w:r>
        <w:rPr>
          <w:spacing w:val="-10"/>
          <w:sz w:val="20"/>
        </w:rPr>
        <w:t> </w:t>
      </w:r>
      <w:r>
        <w:rPr>
          <w:sz w:val="20"/>
        </w:rPr>
        <w:t>structured</w:t>
      </w:r>
      <w:r>
        <w:rPr>
          <w:spacing w:val="-12"/>
          <w:sz w:val="20"/>
        </w:rPr>
        <w:t> </w:t>
      </w:r>
      <w:r>
        <w:rPr>
          <w:sz w:val="20"/>
        </w:rPr>
        <w:t>and</w:t>
      </w:r>
      <w:r>
        <w:rPr>
          <w:spacing w:val="-12"/>
          <w:sz w:val="20"/>
        </w:rPr>
        <w:t> </w:t>
      </w:r>
      <w:r>
        <w:rPr>
          <w:sz w:val="20"/>
        </w:rPr>
        <w:t>unstructured data sets within the framework of the OTP’s systematic application of an organ-wide Electronic Discovery Reference Model (EDRM).</w:t>
      </w:r>
    </w:p>
    <w:p>
      <w:pPr>
        <w:pStyle w:val="ListParagraph"/>
        <w:numPr>
          <w:ilvl w:val="0"/>
          <w:numId w:val="4"/>
        </w:numPr>
        <w:tabs>
          <w:tab w:pos="2967" w:val="left" w:leader="none"/>
        </w:tabs>
        <w:spacing w:line="240" w:lineRule="auto" w:before="123" w:after="0"/>
        <w:ind w:left="2246" w:right="2237" w:firstLine="0"/>
        <w:jc w:val="both"/>
        <w:rPr>
          <w:sz w:val="20"/>
        </w:rPr>
      </w:pPr>
      <w:r>
        <w:rPr>
          <w:sz w:val="20"/>
        </w:rPr>
        <w:t>The </w:t>
      </w:r>
      <w:r>
        <w:rPr>
          <w:i/>
          <w:sz w:val="20"/>
        </w:rPr>
        <w:t>Information and Evidence Officer (eDiscovery) </w:t>
      </w:r>
      <w:r>
        <w:rPr>
          <w:sz w:val="20"/>
        </w:rPr>
        <w:t>(P-3) provides specialised eDiscovery</w:t>
      </w:r>
      <w:r>
        <w:rPr>
          <w:spacing w:val="-13"/>
          <w:sz w:val="20"/>
        </w:rPr>
        <w:t> </w:t>
      </w:r>
      <w:r>
        <w:rPr>
          <w:sz w:val="20"/>
        </w:rPr>
        <w:t>technical</w:t>
      </w:r>
      <w:r>
        <w:rPr>
          <w:spacing w:val="-12"/>
          <w:sz w:val="20"/>
        </w:rPr>
        <w:t> </w:t>
      </w:r>
      <w:r>
        <w:rPr>
          <w:sz w:val="20"/>
        </w:rPr>
        <w:t>and</w:t>
      </w:r>
      <w:r>
        <w:rPr>
          <w:spacing w:val="-11"/>
          <w:sz w:val="20"/>
        </w:rPr>
        <w:t> </w:t>
      </w:r>
      <w:r>
        <w:rPr>
          <w:sz w:val="20"/>
        </w:rPr>
        <w:t>system</w:t>
      </w:r>
      <w:r>
        <w:rPr>
          <w:spacing w:val="-8"/>
          <w:sz w:val="20"/>
        </w:rPr>
        <w:t> </w:t>
      </w:r>
      <w:r>
        <w:rPr>
          <w:sz w:val="20"/>
        </w:rPr>
        <w:t>development</w:t>
      </w:r>
      <w:r>
        <w:rPr>
          <w:spacing w:val="-13"/>
          <w:sz w:val="20"/>
        </w:rPr>
        <w:t> </w:t>
      </w:r>
      <w:r>
        <w:rPr>
          <w:sz w:val="20"/>
        </w:rPr>
        <w:t>efforts</w:t>
      </w:r>
      <w:r>
        <w:rPr>
          <w:spacing w:val="-10"/>
          <w:sz w:val="20"/>
        </w:rPr>
        <w:t> </w:t>
      </w:r>
      <w:r>
        <w:rPr>
          <w:sz w:val="20"/>
        </w:rPr>
        <w:t>to</w:t>
      </w:r>
      <w:r>
        <w:rPr>
          <w:spacing w:val="-9"/>
          <w:sz w:val="20"/>
        </w:rPr>
        <w:t> </w:t>
      </w:r>
      <w:r>
        <w:rPr>
          <w:sz w:val="20"/>
        </w:rPr>
        <w:t>support</w:t>
      </w:r>
      <w:r>
        <w:rPr>
          <w:spacing w:val="-13"/>
          <w:sz w:val="20"/>
        </w:rPr>
        <w:t> </w:t>
      </w:r>
      <w:r>
        <w:rPr>
          <w:sz w:val="20"/>
        </w:rPr>
        <w:t>the</w:t>
      </w:r>
      <w:r>
        <w:rPr>
          <w:spacing w:val="-11"/>
          <w:sz w:val="20"/>
        </w:rPr>
        <w:t> </w:t>
      </w:r>
      <w:r>
        <w:rPr>
          <w:sz w:val="20"/>
        </w:rPr>
        <w:t>unified</w:t>
      </w:r>
      <w:r>
        <w:rPr>
          <w:spacing w:val="-13"/>
          <w:sz w:val="20"/>
        </w:rPr>
        <w:t> </w:t>
      </w:r>
      <w:r>
        <w:rPr>
          <w:sz w:val="20"/>
        </w:rPr>
        <w:t>investigation</w:t>
      </w:r>
      <w:r>
        <w:rPr>
          <w:spacing w:val="-12"/>
          <w:sz w:val="20"/>
        </w:rPr>
        <w:t> </w:t>
      </w:r>
      <w:r>
        <w:rPr>
          <w:sz w:val="20"/>
        </w:rPr>
        <w:t>and prosecution teams through the use of dedicated tools and by developing techniques, specialised</w:t>
      </w:r>
      <w:r>
        <w:rPr>
          <w:spacing w:val="-8"/>
          <w:sz w:val="20"/>
        </w:rPr>
        <w:t> </w:t>
      </w:r>
      <w:r>
        <w:rPr>
          <w:sz w:val="20"/>
        </w:rPr>
        <w:t>scripts,</w:t>
      </w:r>
      <w:r>
        <w:rPr>
          <w:spacing w:val="-10"/>
          <w:sz w:val="20"/>
        </w:rPr>
        <w:t> </w:t>
      </w:r>
      <w:r>
        <w:rPr>
          <w:sz w:val="20"/>
        </w:rPr>
        <w:t>and</w:t>
      </w:r>
      <w:r>
        <w:rPr>
          <w:spacing w:val="-12"/>
          <w:sz w:val="20"/>
        </w:rPr>
        <w:t> </w:t>
      </w:r>
      <w:r>
        <w:rPr>
          <w:sz w:val="20"/>
        </w:rPr>
        <w:t>programs</w:t>
      </w:r>
      <w:r>
        <w:rPr>
          <w:spacing w:val="-9"/>
          <w:sz w:val="20"/>
        </w:rPr>
        <w:t> </w:t>
      </w:r>
      <w:r>
        <w:rPr>
          <w:sz w:val="20"/>
        </w:rPr>
        <w:t>or</w:t>
      </w:r>
      <w:r>
        <w:rPr>
          <w:spacing w:val="-12"/>
          <w:sz w:val="20"/>
        </w:rPr>
        <w:t> </w:t>
      </w:r>
      <w:r>
        <w:rPr>
          <w:sz w:val="20"/>
        </w:rPr>
        <w:t>algorithms</w:t>
      </w:r>
      <w:r>
        <w:rPr>
          <w:spacing w:val="-13"/>
          <w:sz w:val="20"/>
        </w:rPr>
        <w:t> </w:t>
      </w:r>
      <w:r>
        <w:rPr>
          <w:sz w:val="20"/>
        </w:rPr>
        <w:t>that</w:t>
      </w:r>
      <w:r>
        <w:rPr>
          <w:spacing w:val="-10"/>
          <w:sz w:val="20"/>
        </w:rPr>
        <w:t> </w:t>
      </w:r>
      <w:r>
        <w:rPr>
          <w:sz w:val="20"/>
        </w:rPr>
        <w:t>exploit</w:t>
      </w:r>
      <w:r>
        <w:rPr>
          <w:spacing w:val="-11"/>
          <w:sz w:val="20"/>
        </w:rPr>
        <w:t> </w:t>
      </w:r>
      <w:r>
        <w:rPr>
          <w:sz w:val="20"/>
        </w:rPr>
        <w:t>large,</w:t>
      </w:r>
      <w:r>
        <w:rPr>
          <w:spacing w:val="-10"/>
          <w:sz w:val="20"/>
        </w:rPr>
        <w:t> </w:t>
      </w:r>
      <w:r>
        <w:rPr>
          <w:sz w:val="20"/>
        </w:rPr>
        <w:t>structured</w:t>
      </w:r>
      <w:r>
        <w:rPr>
          <w:spacing w:val="-12"/>
          <w:sz w:val="20"/>
        </w:rPr>
        <w:t> </w:t>
      </w:r>
      <w:r>
        <w:rPr>
          <w:sz w:val="20"/>
        </w:rPr>
        <w:t>and</w:t>
      </w:r>
      <w:r>
        <w:rPr>
          <w:spacing w:val="-12"/>
          <w:sz w:val="20"/>
        </w:rPr>
        <w:t> </w:t>
      </w:r>
      <w:r>
        <w:rPr>
          <w:sz w:val="20"/>
        </w:rPr>
        <w:t>unstructured data sets within the framework of the OTP’s systematic application of an organ-wide Electronic Discovery Reference Model (EDRM).</w:t>
      </w:r>
    </w:p>
    <w:p>
      <w:pPr>
        <w:pStyle w:val="ListParagraph"/>
        <w:numPr>
          <w:ilvl w:val="0"/>
          <w:numId w:val="4"/>
        </w:numPr>
        <w:tabs>
          <w:tab w:pos="2967" w:val="left" w:leader="none"/>
        </w:tabs>
        <w:spacing w:line="240" w:lineRule="auto" w:before="118" w:after="0"/>
        <w:ind w:left="2246" w:right="2239" w:firstLine="0"/>
        <w:jc w:val="both"/>
        <w:rPr>
          <w:sz w:val="20"/>
        </w:rPr>
      </w:pPr>
      <w:r>
        <w:rPr>
          <w:sz w:val="20"/>
        </w:rPr>
        <w:t>The </w:t>
      </w:r>
      <w:r>
        <w:rPr>
          <w:i/>
          <w:sz w:val="20"/>
        </w:rPr>
        <w:t>Associate Information and Evidence Officer (Disclosure) </w:t>
      </w:r>
      <w:r>
        <w:rPr>
          <w:sz w:val="20"/>
        </w:rPr>
        <w:t>(P-2) provides specialised disclosure technical and evidence database support to the unified investigation and prosecution teams through the use of dedicated tools and by developing techniques, specialised</w:t>
      </w:r>
      <w:r>
        <w:rPr>
          <w:spacing w:val="-9"/>
          <w:sz w:val="20"/>
        </w:rPr>
        <w:t> </w:t>
      </w:r>
      <w:r>
        <w:rPr>
          <w:sz w:val="20"/>
        </w:rPr>
        <w:t>scripts,</w:t>
      </w:r>
      <w:r>
        <w:rPr>
          <w:spacing w:val="-10"/>
          <w:sz w:val="20"/>
        </w:rPr>
        <w:t> </w:t>
      </w:r>
      <w:r>
        <w:rPr>
          <w:sz w:val="20"/>
        </w:rPr>
        <w:t>and</w:t>
      </w:r>
      <w:r>
        <w:rPr>
          <w:spacing w:val="-12"/>
          <w:sz w:val="20"/>
        </w:rPr>
        <w:t> </w:t>
      </w:r>
      <w:r>
        <w:rPr>
          <w:sz w:val="20"/>
        </w:rPr>
        <w:t>programs</w:t>
      </w:r>
      <w:r>
        <w:rPr>
          <w:spacing w:val="-5"/>
          <w:sz w:val="20"/>
        </w:rPr>
        <w:t> </w:t>
      </w:r>
      <w:r>
        <w:rPr>
          <w:sz w:val="20"/>
        </w:rPr>
        <w:t>or</w:t>
      </w:r>
      <w:r>
        <w:rPr>
          <w:spacing w:val="-12"/>
          <w:sz w:val="20"/>
        </w:rPr>
        <w:t> </w:t>
      </w:r>
      <w:r>
        <w:rPr>
          <w:sz w:val="20"/>
        </w:rPr>
        <w:t>algorithms</w:t>
      </w:r>
      <w:r>
        <w:rPr>
          <w:spacing w:val="-13"/>
          <w:sz w:val="20"/>
        </w:rPr>
        <w:t> </w:t>
      </w:r>
      <w:r>
        <w:rPr>
          <w:sz w:val="20"/>
        </w:rPr>
        <w:t>that</w:t>
      </w:r>
      <w:r>
        <w:rPr>
          <w:spacing w:val="-11"/>
          <w:sz w:val="20"/>
        </w:rPr>
        <w:t> </w:t>
      </w:r>
      <w:r>
        <w:rPr>
          <w:sz w:val="20"/>
        </w:rPr>
        <w:t>exploit</w:t>
      </w:r>
      <w:r>
        <w:rPr>
          <w:spacing w:val="-11"/>
          <w:sz w:val="20"/>
        </w:rPr>
        <w:t> </w:t>
      </w:r>
      <w:r>
        <w:rPr>
          <w:sz w:val="20"/>
        </w:rPr>
        <w:t>large,</w:t>
      </w:r>
      <w:r>
        <w:rPr>
          <w:spacing w:val="-10"/>
          <w:sz w:val="20"/>
        </w:rPr>
        <w:t> </w:t>
      </w:r>
      <w:r>
        <w:rPr>
          <w:sz w:val="20"/>
        </w:rPr>
        <w:t>structured</w:t>
      </w:r>
      <w:r>
        <w:rPr>
          <w:spacing w:val="-12"/>
          <w:sz w:val="20"/>
        </w:rPr>
        <w:t> </w:t>
      </w:r>
      <w:r>
        <w:rPr>
          <w:sz w:val="20"/>
        </w:rPr>
        <w:t>and</w:t>
      </w:r>
      <w:r>
        <w:rPr>
          <w:spacing w:val="-12"/>
          <w:sz w:val="20"/>
        </w:rPr>
        <w:t> </w:t>
      </w:r>
      <w:r>
        <w:rPr>
          <w:sz w:val="20"/>
        </w:rPr>
        <w:t>unstructured data sets within the framework of the OTP’s systematic application of an organ-wide Electronic Discovery Reference Model (EDRM).</w:t>
      </w:r>
    </w:p>
    <w:p>
      <w:pPr>
        <w:pStyle w:val="ListParagraph"/>
        <w:numPr>
          <w:ilvl w:val="0"/>
          <w:numId w:val="4"/>
        </w:numPr>
        <w:tabs>
          <w:tab w:pos="2967" w:val="left" w:leader="none"/>
        </w:tabs>
        <w:spacing w:line="240" w:lineRule="auto" w:before="123" w:after="0"/>
        <w:ind w:left="2246" w:right="2238" w:firstLine="0"/>
        <w:jc w:val="both"/>
        <w:rPr>
          <w:sz w:val="20"/>
        </w:rPr>
      </w:pPr>
      <w:r>
        <w:rPr>
          <w:sz w:val="20"/>
        </w:rPr>
        <w:t>The </w:t>
      </w:r>
      <w:r>
        <w:rPr>
          <w:i/>
          <w:sz w:val="20"/>
        </w:rPr>
        <w:t>Associate Information and Evidence Officer (eDiscovery) </w:t>
      </w:r>
      <w:r>
        <w:rPr>
          <w:sz w:val="20"/>
        </w:rPr>
        <w:t>(P-2) provides specialised eDiscovery technical and system development efforts to support the unified investigation and prosecution teams through the use of dedicated tools and by developing techniques,</w:t>
      </w:r>
      <w:r>
        <w:rPr>
          <w:spacing w:val="-1"/>
          <w:sz w:val="20"/>
        </w:rPr>
        <w:t> </w:t>
      </w:r>
      <w:r>
        <w:rPr>
          <w:sz w:val="20"/>
        </w:rPr>
        <w:t>specialised</w:t>
      </w:r>
      <w:r>
        <w:rPr>
          <w:spacing w:val="-4"/>
          <w:sz w:val="20"/>
        </w:rPr>
        <w:t> </w:t>
      </w:r>
      <w:r>
        <w:rPr>
          <w:sz w:val="20"/>
        </w:rPr>
        <w:t>scripts,</w:t>
      </w:r>
      <w:r>
        <w:rPr>
          <w:spacing w:val="-1"/>
          <w:sz w:val="20"/>
        </w:rPr>
        <w:t> </w:t>
      </w:r>
      <w:r>
        <w:rPr>
          <w:sz w:val="20"/>
        </w:rPr>
        <w:t>and programs</w:t>
      </w:r>
      <w:r>
        <w:rPr>
          <w:spacing w:val="-5"/>
          <w:sz w:val="20"/>
        </w:rPr>
        <w:t> </w:t>
      </w:r>
      <w:r>
        <w:rPr>
          <w:sz w:val="20"/>
        </w:rPr>
        <w:t>or</w:t>
      </w:r>
      <w:r>
        <w:rPr>
          <w:spacing w:val="-4"/>
          <w:sz w:val="20"/>
        </w:rPr>
        <w:t> </w:t>
      </w:r>
      <w:r>
        <w:rPr>
          <w:sz w:val="20"/>
        </w:rPr>
        <w:t>algorithms</w:t>
      </w:r>
      <w:r>
        <w:rPr>
          <w:spacing w:val="-5"/>
          <w:sz w:val="20"/>
        </w:rPr>
        <w:t> </w:t>
      </w:r>
      <w:r>
        <w:rPr>
          <w:sz w:val="20"/>
        </w:rPr>
        <w:t>that</w:t>
      </w:r>
      <w:r>
        <w:rPr>
          <w:spacing w:val="-2"/>
          <w:sz w:val="20"/>
        </w:rPr>
        <w:t> </w:t>
      </w:r>
      <w:r>
        <w:rPr>
          <w:sz w:val="20"/>
        </w:rPr>
        <w:t>exploit</w:t>
      </w:r>
      <w:r>
        <w:rPr>
          <w:spacing w:val="-2"/>
          <w:sz w:val="20"/>
        </w:rPr>
        <w:t> </w:t>
      </w:r>
      <w:r>
        <w:rPr>
          <w:sz w:val="20"/>
        </w:rPr>
        <w:t>large, structured</w:t>
      </w:r>
      <w:r>
        <w:rPr>
          <w:spacing w:val="-4"/>
          <w:sz w:val="20"/>
        </w:rPr>
        <w:t> </w:t>
      </w:r>
      <w:r>
        <w:rPr>
          <w:sz w:val="20"/>
        </w:rPr>
        <w:t>and unstructured data sets within the framework of the OTP’s systematic application of an organ-wide Electronic Discovery Reference Model (EDRM).</w:t>
      </w:r>
    </w:p>
    <w:p>
      <w:pPr>
        <w:pStyle w:val="ListParagraph"/>
        <w:numPr>
          <w:ilvl w:val="0"/>
          <w:numId w:val="4"/>
        </w:numPr>
        <w:tabs>
          <w:tab w:pos="2967" w:val="left" w:leader="none"/>
        </w:tabs>
        <w:spacing w:line="240" w:lineRule="auto" w:before="118" w:after="0"/>
        <w:ind w:left="2246" w:right="2245" w:firstLine="0"/>
        <w:jc w:val="both"/>
        <w:rPr>
          <w:sz w:val="20"/>
        </w:rPr>
      </w:pPr>
      <w:r>
        <w:rPr>
          <w:sz w:val="20"/>
        </w:rPr>
        <w:t>In</w:t>
      </w:r>
      <w:r>
        <w:rPr>
          <w:spacing w:val="39"/>
          <w:sz w:val="20"/>
        </w:rPr>
        <w:t> </w:t>
      </w:r>
      <w:r>
        <w:rPr>
          <w:sz w:val="20"/>
        </w:rPr>
        <w:t>an</w:t>
      </w:r>
      <w:r>
        <w:rPr>
          <w:spacing w:val="35"/>
          <w:sz w:val="20"/>
        </w:rPr>
        <w:t> </w:t>
      </w:r>
      <w:r>
        <w:rPr>
          <w:sz w:val="20"/>
        </w:rPr>
        <w:t>effort</w:t>
      </w:r>
      <w:r>
        <w:rPr>
          <w:spacing w:val="36"/>
          <w:sz w:val="20"/>
        </w:rPr>
        <w:t> </w:t>
      </w:r>
      <w:r>
        <w:rPr>
          <w:sz w:val="20"/>
        </w:rPr>
        <w:t>to</w:t>
      </w:r>
      <w:r>
        <w:rPr>
          <w:spacing w:val="38"/>
          <w:sz w:val="20"/>
        </w:rPr>
        <w:t> </w:t>
      </w:r>
      <w:r>
        <w:rPr>
          <w:sz w:val="20"/>
        </w:rPr>
        <w:t>reduce</w:t>
      </w:r>
      <w:r>
        <w:rPr>
          <w:spacing w:val="36"/>
          <w:sz w:val="20"/>
        </w:rPr>
        <w:t> </w:t>
      </w:r>
      <w:r>
        <w:rPr>
          <w:sz w:val="20"/>
        </w:rPr>
        <w:t>OTP</w:t>
      </w:r>
      <w:r>
        <w:rPr>
          <w:spacing w:val="33"/>
          <w:sz w:val="20"/>
        </w:rPr>
        <w:t> </w:t>
      </w:r>
      <w:r>
        <w:rPr>
          <w:sz w:val="20"/>
        </w:rPr>
        <w:t>response</w:t>
      </w:r>
      <w:r>
        <w:rPr>
          <w:spacing w:val="36"/>
          <w:sz w:val="20"/>
        </w:rPr>
        <w:t> </w:t>
      </w:r>
      <w:r>
        <w:rPr>
          <w:sz w:val="20"/>
        </w:rPr>
        <w:t>times</w:t>
      </w:r>
      <w:r>
        <w:rPr>
          <w:spacing w:val="33"/>
          <w:sz w:val="20"/>
        </w:rPr>
        <w:t> </w:t>
      </w:r>
      <w:r>
        <w:rPr>
          <w:sz w:val="20"/>
        </w:rPr>
        <w:t>to</w:t>
      </w:r>
      <w:r>
        <w:rPr>
          <w:spacing w:val="35"/>
          <w:sz w:val="20"/>
        </w:rPr>
        <w:t> </w:t>
      </w:r>
      <w:r>
        <w:rPr>
          <w:sz w:val="20"/>
        </w:rPr>
        <w:t>RFA</w:t>
      </w:r>
      <w:r>
        <w:rPr>
          <w:spacing w:val="37"/>
          <w:sz w:val="20"/>
        </w:rPr>
        <w:t> </w:t>
      </w:r>
      <w:r>
        <w:rPr>
          <w:sz w:val="20"/>
        </w:rPr>
        <w:t>requests</w:t>
      </w:r>
      <w:r>
        <w:rPr>
          <w:spacing w:val="37"/>
          <w:sz w:val="20"/>
        </w:rPr>
        <w:t> </w:t>
      </w:r>
      <w:r>
        <w:rPr>
          <w:sz w:val="20"/>
        </w:rPr>
        <w:t>from</w:t>
      </w:r>
      <w:r>
        <w:rPr>
          <w:spacing w:val="40"/>
          <w:sz w:val="20"/>
        </w:rPr>
        <w:t> </w:t>
      </w:r>
      <w:r>
        <w:rPr>
          <w:sz w:val="20"/>
        </w:rPr>
        <w:t>States</w:t>
      </w:r>
      <w:r>
        <w:rPr>
          <w:spacing w:val="37"/>
          <w:sz w:val="20"/>
        </w:rPr>
        <w:t> </w:t>
      </w:r>
      <w:r>
        <w:rPr>
          <w:sz w:val="20"/>
        </w:rPr>
        <w:t>by</w:t>
      </w:r>
      <w:r>
        <w:rPr>
          <w:spacing w:val="30"/>
          <w:sz w:val="20"/>
        </w:rPr>
        <w:t> </w:t>
      </w:r>
      <w:r>
        <w:rPr>
          <w:sz w:val="20"/>
        </w:rPr>
        <w:t>at least 50% over the course of the next 12 months, and to ensure its sustainability thereafter, the </w:t>
      </w:r>
      <w:r>
        <w:rPr>
          <w:i/>
          <w:sz w:val="20"/>
        </w:rPr>
        <w:t>Associate RFA Analyst (eDiscovery) </w:t>
      </w:r>
      <w:r>
        <w:rPr>
          <w:sz w:val="20"/>
        </w:rPr>
        <w:t>(P-2) ensures RFAs are received, processed and responded</w:t>
      </w:r>
      <w:r>
        <w:rPr>
          <w:spacing w:val="-4"/>
          <w:sz w:val="20"/>
        </w:rPr>
        <w:t> </w:t>
      </w:r>
      <w:r>
        <w:rPr>
          <w:sz w:val="20"/>
        </w:rPr>
        <w:t>to</w:t>
      </w:r>
      <w:r>
        <w:rPr>
          <w:spacing w:val="-4"/>
          <w:sz w:val="20"/>
        </w:rPr>
        <w:t> </w:t>
      </w:r>
      <w:r>
        <w:rPr>
          <w:sz w:val="20"/>
        </w:rPr>
        <w:t>in</w:t>
      </w:r>
      <w:r>
        <w:rPr>
          <w:spacing w:val="-8"/>
          <w:sz w:val="20"/>
        </w:rPr>
        <w:t> </w:t>
      </w:r>
      <w:r>
        <w:rPr>
          <w:sz w:val="20"/>
        </w:rPr>
        <w:t>a</w:t>
      </w:r>
      <w:r>
        <w:rPr>
          <w:spacing w:val="-2"/>
          <w:sz w:val="20"/>
        </w:rPr>
        <w:t> </w:t>
      </w:r>
      <w:r>
        <w:rPr>
          <w:sz w:val="20"/>
        </w:rPr>
        <w:t>timely</w:t>
      </w:r>
      <w:r>
        <w:rPr>
          <w:spacing w:val="-4"/>
          <w:sz w:val="20"/>
        </w:rPr>
        <w:t> </w:t>
      </w:r>
      <w:r>
        <w:rPr>
          <w:sz w:val="20"/>
        </w:rPr>
        <w:t>manner</w:t>
      </w:r>
      <w:r>
        <w:rPr>
          <w:spacing w:val="-4"/>
          <w:sz w:val="20"/>
        </w:rPr>
        <w:t> </w:t>
      </w:r>
      <w:r>
        <w:rPr>
          <w:sz w:val="20"/>
        </w:rPr>
        <w:t>and</w:t>
      </w:r>
      <w:r>
        <w:rPr>
          <w:spacing w:val="-4"/>
          <w:sz w:val="20"/>
        </w:rPr>
        <w:t> </w:t>
      </w:r>
      <w:r>
        <w:rPr>
          <w:sz w:val="20"/>
        </w:rPr>
        <w:t>coordinates</w:t>
      </w:r>
      <w:r>
        <w:rPr>
          <w:spacing w:val="-5"/>
          <w:sz w:val="20"/>
        </w:rPr>
        <w:t> </w:t>
      </w:r>
      <w:r>
        <w:rPr>
          <w:sz w:val="20"/>
        </w:rPr>
        <w:t>between</w:t>
      </w:r>
      <w:r>
        <w:rPr>
          <w:spacing w:val="-4"/>
          <w:sz w:val="20"/>
        </w:rPr>
        <w:t> </w:t>
      </w:r>
      <w:r>
        <w:rPr>
          <w:sz w:val="20"/>
        </w:rPr>
        <w:t>the</w:t>
      </w:r>
      <w:r>
        <w:rPr>
          <w:spacing w:val="-2"/>
          <w:sz w:val="20"/>
        </w:rPr>
        <w:t> </w:t>
      </w:r>
      <w:r>
        <w:rPr>
          <w:sz w:val="20"/>
        </w:rPr>
        <w:t>eDiscovery</w:t>
      </w:r>
      <w:r>
        <w:rPr>
          <w:spacing w:val="-4"/>
          <w:sz w:val="20"/>
        </w:rPr>
        <w:t> </w:t>
      </w:r>
      <w:r>
        <w:rPr>
          <w:sz w:val="20"/>
        </w:rPr>
        <w:t>and Data</w:t>
      </w:r>
      <w:r>
        <w:rPr>
          <w:spacing w:val="-2"/>
          <w:sz w:val="20"/>
        </w:rPr>
        <w:t> </w:t>
      </w:r>
      <w:r>
        <w:rPr>
          <w:sz w:val="20"/>
        </w:rPr>
        <w:t>Analysis Unit, Information and Evidence Unit and Cyber Units to not only coordinate but harmonise the OTP's approach, breadth and depth to RFA requests by States Parties.</w:t>
      </w:r>
    </w:p>
    <w:p>
      <w:pPr>
        <w:pStyle w:val="ListParagraph"/>
        <w:numPr>
          <w:ilvl w:val="0"/>
          <w:numId w:val="4"/>
        </w:numPr>
        <w:tabs>
          <w:tab w:pos="2967" w:val="left" w:leader="none"/>
        </w:tabs>
        <w:spacing w:line="240" w:lineRule="auto" w:before="123" w:after="0"/>
        <w:ind w:left="2246" w:right="2241" w:firstLine="0"/>
        <w:jc w:val="both"/>
        <w:rPr>
          <w:sz w:val="20"/>
        </w:rPr>
      </w:pPr>
      <w:r>
        <w:rPr>
          <w:sz w:val="20"/>
        </w:rPr>
        <w:t>The </w:t>
      </w:r>
      <w:r>
        <w:rPr>
          <w:i/>
          <w:sz w:val="20"/>
        </w:rPr>
        <w:t>eDiscovery Assistant (GS-OL) </w:t>
      </w:r>
      <w:r>
        <w:rPr>
          <w:sz w:val="20"/>
        </w:rPr>
        <w:t>assists in developing specialised eDiscovery solutions to support the unified investigation and prosecution teams through the use of dedicated</w:t>
      </w:r>
      <w:r>
        <w:rPr>
          <w:spacing w:val="-8"/>
          <w:sz w:val="20"/>
        </w:rPr>
        <w:t> </w:t>
      </w:r>
      <w:r>
        <w:rPr>
          <w:sz w:val="20"/>
        </w:rPr>
        <w:t>tools</w:t>
      </w:r>
      <w:r>
        <w:rPr>
          <w:spacing w:val="-5"/>
          <w:sz w:val="20"/>
        </w:rPr>
        <w:t> </w:t>
      </w:r>
      <w:r>
        <w:rPr>
          <w:sz w:val="20"/>
        </w:rPr>
        <w:t>and by</w:t>
      </w:r>
      <w:r>
        <w:rPr>
          <w:spacing w:val="-4"/>
          <w:sz w:val="20"/>
        </w:rPr>
        <w:t> </w:t>
      </w:r>
      <w:r>
        <w:rPr>
          <w:sz w:val="20"/>
        </w:rPr>
        <w:t>assisting</w:t>
      </w:r>
      <w:r>
        <w:rPr>
          <w:spacing w:val="-4"/>
          <w:sz w:val="20"/>
        </w:rPr>
        <w:t> </w:t>
      </w:r>
      <w:r>
        <w:rPr>
          <w:sz w:val="20"/>
        </w:rPr>
        <w:t>with</w:t>
      </w:r>
      <w:r>
        <w:rPr>
          <w:spacing w:val="-8"/>
          <w:sz w:val="20"/>
        </w:rPr>
        <w:t> </w:t>
      </w:r>
      <w:r>
        <w:rPr>
          <w:sz w:val="20"/>
        </w:rPr>
        <w:t>the</w:t>
      </w:r>
      <w:r>
        <w:rPr>
          <w:spacing w:val="-2"/>
          <w:sz w:val="20"/>
        </w:rPr>
        <w:t> </w:t>
      </w:r>
      <w:r>
        <w:rPr>
          <w:sz w:val="20"/>
        </w:rPr>
        <w:t>development</w:t>
      </w:r>
      <w:r>
        <w:rPr>
          <w:spacing w:val="-2"/>
          <w:sz w:val="20"/>
        </w:rPr>
        <w:t> </w:t>
      </w:r>
      <w:r>
        <w:rPr>
          <w:sz w:val="20"/>
        </w:rPr>
        <w:t>of</w:t>
      </w:r>
      <w:r>
        <w:rPr>
          <w:spacing w:val="-4"/>
          <w:sz w:val="20"/>
        </w:rPr>
        <w:t> </w:t>
      </w:r>
      <w:r>
        <w:rPr>
          <w:sz w:val="20"/>
        </w:rPr>
        <w:t>techniques,</w:t>
      </w:r>
      <w:r>
        <w:rPr>
          <w:spacing w:val="-1"/>
          <w:sz w:val="20"/>
        </w:rPr>
        <w:t> </w:t>
      </w:r>
      <w:r>
        <w:rPr>
          <w:sz w:val="20"/>
        </w:rPr>
        <w:t>specialised scripts,</w:t>
      </w:r>
      <w:r>
        <w:rPr>
          <w:spacing w:val="-1"/>
          <w:sz w:val="20"/>
        </w:rPr>
        <w:t> </w:t>
      </w:r>
      <w:r>
        <w:rPr>
          <w:sz w:val="20"/>
        </w:rPr>
        <w:t>and programs or algorithms that exploit large, structured and unstructured data sets within the framework of the OTP’s systematic application of an organ-wide Electronic Discovery Reference Model (EDRM).</w:t>
      </w:r>
    </w:p>
    <w:p>
      <w:pPr>
        <w:pStyle w:val="BodyText"/>
        <w:spacing w:before="8"/>
      </w:pPr>
    </w:p>
    <w:p>
      <w:pPr>
        <w:tabs>
          <w:tab w:pos="5890" w:val="left" w:leader="none"/>
        </w:tabs>
        <w:spacing w:before="0"/>
        <w:ind w:left="3" w:right="0" w:firstLine="0"/>
        <w:jc w:val="center"/>
        <w:rPr>
          <w:i/>
          <w:sz w:val="20"/>
        </w:rPr>
      </w:pPr>
      <w:r>
        <w:rPr>
          <w:i/>
          <w:sz w:val="20"/>
        </w:rPr>
        <w:t>General</w:t>
      </w:r>
      <w:r>
        <w:rPr>
          <w:i/>
          <w:spacing w:val="-9"/>
          <w:sz w:val="20"/>
        </w:rPr>
        <w:t> </w:t>
      </w:r>
      <w:r>
        <w:rPr>
          <w:i/>
          <w:sz w:val="20"/>
        </w:rPr>
        <w:t>temporary</w:t>
      </w:r>
      <w:r>
        <w:rPr>
          <w:i/>
          <w:spacing w:val="-4"/>
          <w:sz w:val="20"/>
        </w:rPr>
        <w:t> </w:t>
      </w:r>
      <w:r>
        <w:rPr>
          <w:i/>
          <w:spacing w:val="-2"/>
          <w:sz w:val="20"/>
        </w:rPr>
        <w:t>assistance</w:t>
      </w:r>
      <w:r>
        <w:rPr>
          <w:i/>
          <w:sz w:val="20"/>
        </w:rPr>
        <w:tab/>
        <w:t>€6,276.5</w:t>
      </w:r>
      <w:r>
        <w:rPr>
          <w:i/>
          <w:spacing w:val="-4"/>
          <w:sz w:val="20"/>
        </w:rPr>
        <w:t> </w:t>
      </w:r>
      <w:r>
        <w:rPr>
          <w:i/>
          <w:spacing w:val="-2"/>
          <w:sz w:val="20"/>
        </w:rPr>
        <w:t>thousand</w:t>
      </w:r>
    </w:p>
    <w:p>
      <w:pPr>
        <w:pStyle w:val="BodyText"/>
        <w:spacing w:before="11"/>
        <w:rPr>
          <w:i/>
        </w:rPr>
      </w:pPr>
    </w:p>
    <w:p>
      <w:pPr>
        <w:pStyle w:val="ListParagraph"/>
        <w:numPr>
          <w:ilvl w:val="0"/>
          <w:numId w:val="4"/>
        </w:numPr>
        <w:tabs>
          <w:tab w:pos="2967" w:val="left" w:leader="none"/>
        </w:tabs>
        <w:spacing w:line="240" w:lineRule="auto" w:before="0" w:after="0"/>
        <w:ind w:left="2246" w:right="2239" w:firstLine="0"/>
        <w:jc w:val="both"/>
        <w:rPr>
          <w:sz w:val="20"/>
        </w:rPr>
      </w:pPr>
      <w:r>
        <w:rPr>
          <w:sz w:val="20"/>
        </w:rPr>
        <w:t>The Programme continues to require GTA resources to support the Office’s activities. The extension of most of the current resources is therefore necessary. Wherever possible,</w:t>
      </w:r>
      <w:r>
        <w:rPr>
          <w:spacing w:val="-13"/>
          <w:sz w:val="20"/>
        </w:rPr>
        <w:t> </w:t>
      </w:r>
      <w:r>
        <w:rPr>
          <w:sz w:val="20"/>
        </w:rPr>
        <w:t>the</w:t>
      </w:r>
      <w:r>
        <w:rPr>
          <w:spacing w:val="-12"/>
          <w:sz w:val="20"/>
        </w:rPr>
        <w:t> </w:t>
      </w:r>
      <w:r>
        <w:rPr>
          <w:sz w:val="20"/>
        </w:rPr>
        <w:t>changes</w:t>
      </w:r>
      <w:r>
        <w:rPr>
          <w:spacing w:val="-13"/>
          <w:sz w:val="20"/>
        </w:rPr>
        <w:t> </w:t>
      </w:r>
      <w:r>
        <w:rPr>
          <w:sz w:val="20"/>
        </w:rPr>
        <w:t>that</w:t>
      </w:r>
      <w:r>
        <w:rPr>
          <w:spacing w:val="-12"/>
          <w:sz w:val="20"/>
        </w:rPr>
        <w:t> </w:t>
      </w:r>
      <w:r>
        <w:rPr>
          <w:sz w:val="20"/>
        </w:rPr>
        <w:t>are</w:t>
      </w:r>
      <w:r>
        <w:rPr>
          <w:spacing w:val="-13"/>
          <w:sz w:val="20"/>
        </w:rPr>
        <w:t> </w:t>
      </w:r>
      <w:r>
        <w:rPr>
          <w:sz w:val="20"/>
        </w:rPr>
        <w:t>requested</w:t>
      </w:r>
      <w:r>
        <w:rPr>
          <w:spacing w:val="-12"/>
          <w:sz w:val="20"/>
        </w:rPr>
        <w:t> </w:t>
      </w:r>
      <w:r>
        <w:rPr>
          <w:sz w:val="20"/>
        </w:rPr>
        <w:t>have</w:t>
      </w:r>
      <w:r>
        <w:rPr>
          <w:spacing w:val="-13"/>
          <w:sz w:val="20"/>
        </w:rPr>
        <w:t> </w:t>
      </w:r>
      <w:r>
        <w:rPr>
          <w:sz w:val="20"/>
        </w:rPr>
        <w:t>been</w:t>
      </w:r>
      <w:r>
        <w:rPr>
          <w:spacing w:val="-12"/>
          <w:sz w:val="20"/>
        </w:rPr>
        <w:t> </w:t>
      </w:r>
      <w:r>
        <w:rPr>
          <w:sz w:val="20"/>
        </w:rPr>
        <w:t>made</w:t>
      </w:r>
      <w:r>
        <w:rPr>
          <w:spacing w:val="-13"/>
          <w:sz w:val="20"/>
        </w:rPr>
        <w:t> </w:t>
      </w:r>
      <w:r>
        <w:rPr>
          <w:sz w:val="20"/>
        </w:rPr>
        <w:t>budget</w:t>
      </w:r>
      <w:r>
        <w:rPr>
          <w:spacing w:val="-12"/>
          <w:sz w:val="20"/>
        </w:rPr>
        <w:t> </w:t>
      </w:r>
      <w:r>
        <w:rPr>
          <w:sz w:val="20"/>
        </w:rPr>
        <w:t>neutral</w:t>
      </w:r>
      <w:r>
        <w:rPr>
          <w:spacing w:val="-13"/>
          <w:sz w:val="20"/>
        </w:rPr>
        <w:t> </w:t>
      </w:r>
      <w:r>
        <w:rPr>
          <w:sz w:val="20"/>
        </w:rPr>
        <w:t>by</w:t>
      </w:r>
      <w:r>
        <w:rPr>
          <w:spacing w:val="-12"/>
          <w:sz w:val="20"/>
        </w:rPr>
        <w:t> </w:t>
      </w:r>
      <w:r>
        <w:rPr>
          <w:sz w:val="20"/>
        </w:rPr>
        <w:t>the</w:t>
      </w:r>
      <w:r>
        <w:rPr>
          <w:spacing w:val="-13"/>
          <w:sz w:val="20"/>
        </w:rPr>
        <w:t> </w:t>
      </w:r>
      <w:r>
        <w:rPr>
          <w:sz w:val="20"/>
        </w:rPr>
        <w:t>discontinuation of</w:t>
      </w:r>
      <w:r>
        <w:rPr>
          <w:spacing w:val="-8"/>
          <w:sz w:val="20"/>
        </w:rPr>
        <w:t> </w:t>
      </w:r>
      <w:r>
        <w:rPr>
          <w:sz w:val="20"/>
        </w:rPr>
        <w:t>existing</w:t>
      </w:r>
      <w:r>
        <w:rPr>
          <w:spacing w:val="-13"/>
          <w:sz w:val="20"/>
        </w:rPr>
        <w:t> </w:t>
      </w:r>
      <w:r>
        <w:rPr>
          <w:sz w:val="20"/>
        </w:rPr>
        <w:t>approved</w:t>
      </w:r>
      <w:r>
        <w:rPr>
          <w:spacing w:val="-7"/>
          <w:sz w:val="20"/>
        </w:rPr>
        <w:t> </w:t>
      </w:r>
      <w:r>
        <w:rPr>
          <w:sz w:val="20"/>
        </w:rPr>
        <w:t>posts.</w:t>
      </w:r>
      <w:r>
        <w:rPr>
          <w:spacing w:val="-6"/>
          <w:sz w:val="20"/>
        </w:rPr>
        <w:t> </w:t>
      </w:r>
      <w:r>
        <w:rPr>
          <w:sz w:val="20"/>
        </w:rPr>
        <w:t>Details</w:t>
      </w:r>
      <w:r>
        <w:rPr>
          <w:spacing w:val="-10"/>
          <w:sz w:val="20"/>
        </w:rPr>
        <w:t> </w:t>
      </w:r>
      <w:r>
        <w:rPr>
          <w:sz w:val="20"/>
        </w:rPr>
        <w:t>of</w:t>
      </w:r>
      <w:r>
        <w:rPr>
          <w:spacing w:val="-10"/>
          <w:sz w:val="20"/>
        </w:rPr>
        <w:t> </w:t>
      </w:r>
      <w:r>
        <w:rPr>
          <w:sz w:val="20"/>
        </w:rPr>
        <w:t>each</w:t>
      </w:r>
      <w:r>
        <w:rPr>
          <w:spacing w:val="-8"/>
          <w:sz w:val="20"/>
        </w:rPr>
        <w:t> </w:t>
      </w:r>
      <w:r>
        <w:rPr>
          <w:sz w:val="20"/>
        </w:rPr>
        <w:t>requested</w:t>
      </w:r>
      <w:r>
        <w:rPr>
          <w:spacing w:val="-8"/>
          <w:sz w:val="20"/>
        </w:rPr>
        <w:t> </w:t>
      </w:r>
      <w:r>
        <w:rPr>
          <w:sz w:val="20"/>
        </w:rPr>
        <w:t>position</w:t>
      </w:r>
      <w:r>
        <w:rPr>
          <w:spacing w:val="-13"/>
          <w:sz w:val="20"/>
        </w:rPr>
        <w:t> </w:t>
      </w:r>
      <w:r>
        <w:rPr>
          <w:sz w:val="20"/>
        </w:rPr>
        <w:t>are</w:t>
      </w:r>
      <w:r>
        <w:rPr>
          <w:spacing w:val="-6"/>
          <w:sz w:val="20"/>
        </w:rPr>
        <w:t> </w:t>
      </w:r>
      <w:r>
        <w:rPr>
          <w:sz w:val="20"/>
        </w:rPr>
        <w:t>provided</w:t>
      </w:r>
      <w:r>
        <w:rPr>
          <w:spacing w:val="-8"/>
          <w:sz w:val="20"/>
        </w:rPr>
        <w:t> </w:t>
      </w:r>
      <w:r>
        <w:rPr>
          <w:sz w:val="20"/>
        </w:rPr>
        <w:t>in</w:t>
      </w:r>
      <w:r>
        <w:rPr>
          <w:spacing w:val="-13"/>
          <w:sz w:val="20"/>
        </w:rPr>
        <w:t> </w:t>
      </w:r>
      <w:r>
        <w:rPr>
          <w:sz w:val="20"/>
        </w:rPr>
        <w:t>paragraphs</w:t>
      </w:r>
      <w:r>
        <w:rPr>
          <w:spacing w:val="-4"/>
          <w:sz w:val="20"/>
        </w:rPr>
        <w:t> </w:t>
      </w:r>
      <w:r>
        <w:rPr>
          <w:sz w:val="20"/>
        </w:rPr>
        <w:t>442 to 458 below.</w:t>
      </w:r>
    </w:p>
    <w:p>
      <w:pPr>
        <w:spacing w:after="0" w:line="240" w:lineRule="auto"/>
        <w:jc w:val="both"/>
        <w:rPr>
          <w:sz w:val="20"/>
        </w:rPr>
        <w:sectPr>
          <w:pgSz w:w="11910" w:h="16840"/>
          <w:pgMar w:header="953" w:footer="940" w:top="1140" w:bottom="1140" w:left="20" w:right="20"/>
        </w:sectPr>
      </w:pPr>
    </w:p>
    <w:p>
      <w:pPr>
        <w:pStyle w:val="ListParagraph"/>
        <w:numPr>
          <w:ilvl w:val="0"/>
          <w:numId w:val="4"/>
        </w:numPr>
        <w:tabs>
          <w:tab w:pos="2966" w:val="left" w:leader="none"/>
          <w:tab w:pos="2967" w:val="left" w:leader="none"/>
        </w:tabs>
        <w:spacing w:line="240" w:lineRule="auto" w:before="120" w:after="0"/>
        <w:ind w:left="2246" w:right="2244" w:firstLine="0"/>
        <w:jc w:val="left"/>
        <w:rPr>
          <w:sz w:val="20"/>
        </w:rPr>
      </w:pPr>
      <w:r>
        <w:rPr>
          <w:sz w:val="20"/>
        </w:rPr>
        <w:t>The</w:t>
      </w:r>
      <w:r>
        <w:rPr>
          <w:spacing w:val="-13"/>
          <w:sz w:val="20"/>
        </w:rPr>
        <w:t> </w:t>
      </w:r>
      <w:r>
        <w:rPr>
          <w:sz w:val="20"/>
        </w:rPr>
        <w:t>breakdown</w:t>
      </w:r>
      <w:r>
        <w:rPr>
          <w:spacing w:val="-12"/>
          <w:sz w:val="20"/>
        </w:rPr>
        <w:t> </w:t>
      </w:r>
      <w:r>
        <w:rPr>
          <w:sz w:val="20"/>
        </w:rPr>
        <w:t>of</w:t>
      </w:r>
      <w:r>
        <w:rPr>
          <w:spacing w:val="-13"/>
          <w:sz w:val="20"/>
        </w:rPr>
        <w:t> </w:t>
      </w:r>
      <w:r>
        <w:rPr>
          <w:sz w:val="20"/>
        </w:rPr>
        <w:t>requested</w:t>
      </w:r>
      <w:r>
        <w:rPr>
          <w:spacing w:val="-12"/>
          <w:sz w:val="20"/>
        </w:rPr>
        <w:t> </w:t>
      </w:r>
      <w:r>
        <w:rPr>
          <w:sz w:val="20"/>
        </w:rPr>
        <w:t>GTA</w:t>
      </w:r>
      <w:r>
        <w:rPr>
          <w:spacing w:val="-14"/>
          <w:sz w:val="20"/>
        </w:rPr>
        <w:t> </w:t>
      </w:r>
      <w:r>
        <w:rPr>
          <w:sz w:val="20"/>
        </w:rPr>
        <w:t>positions</w:t>
      </w:r>
      <w:r>
        <w:rPr>
          <w:spacing w:val="-14"/>
          <w:sz w:val="20"/>
        </w:rPr>
        <w:t> </w:t>
      </w:r>
      <w:r>
        <w:rPr>
          <w:sz w:val="20"/>
        </w:rPr>
        <w:t>for</w:t>
      </w:r>
      <w:r>
        <w:rPr>
          <w:spacing w:val="-13"/>
          <w:sz w:val="20"/>
        </w:rPr>
        <w:t> </w:t>
      </w:r>
      <w:r>
        <w:rPr>
          <w:sz w:val="20"/>
        </w:rPr>
        <w:t>2023</w:t>
      </w:r>
      <w:r>
        <w:rPr>
          <w:spacing w:val="-12"/>
          <w:sz w:val="20"/>
        </w:rPr>
        <w:t> </w:t>
      </w:r>
      <w:r>
        <w:rPr>
          <w:sz w:val="20"/>
        </w:rPr>
        <w:t>is</w:t>
      </w:r>
      <w:r>
        <w:rPr>
          <w:spacing w:val="-14"/>
          <w:sz w:val="20"/>
        </w:rPr>
        <w:t> </w:t>
      </w:r>
      <w:r>
        <w:rPr>
          <w:sz w:val="20"/>
        </w:rPr>
        <w:t>as</w:t>
      </w:r>
      <w:r>
        <w:rPr>
          <w:spacing w:val="-13"/>
          <w:sz w:val="20"/>
        </w:rPr>
        <w:t> </w:t>
      </w:r>
      <w:r>
        <w:rPr>
          <w:sz w:val="20"/>
        </w:rPr>
        <w:t>follows.</w:t>
      </w:r>
      <w:r>
        <w:rPr>
          <w:spacing w:val="-8"/>
          <w:sz w:val="20"/>
        </w:rPr>
        <w:t> </w:t>
      </w:r>
      <w:r>
        <w:rPr>
          <w:sz w:val="20"/>
        </w:rPr>
        <w:t>Unless</w:t>
      </w:r>
      <w:r>
        <w:rPr>
          <w:spacing w:val="-14"/>
          <w:sz w:val="20"/>
        </w:rPr>
        <w:t> </w:t>
      </w:r>
      <w:r>
        <w:rPr>
          <w:sz w:val="20"/>
        </w:rPr>
        <w:t>otherwise indicated, GTA resources are recurrent and multi-year:</w:t>
      </w:r>
    </w:p>
    <w:p>
      <w:pPr>
        <w:pStyle w:val="BodyText"/>
        <w:spacing w:before="5" w:after="1"/>
        <w:rPr>
          <w:sz w:val="10"/>
        </w:rPr>
      </w:pPr>
    </w:p>
    <w:tbl>
      <w:tblPr>
        <w:tblW w:w="0" w:type="auto"/>
        <w:jc w:val="left"/>
        <w:tblInd w:w="2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65"/>
        <w:gridCol w:w="745"/>
        <w:gridCol w:w="775"/>
        <w:gridCol w:w="920"/>
        <w:gridCol w:w="909"/>
        <w:gridCol w:w="979"/>
      </w:tblGrid>
      <w:tr>
        <w:trPr>
          <w:trHeight w:val="273" w:hRule="atLeast"/>
        </w:trPr>
        <w:tc>
          <w:tcPr>
            <w:tcW w:w="2965" w:type="dxa"/>
            <w:tcBorders>
              <w:top w:val="single" w:sz="4" w:space="0" w:color="000000"/>
              <w:bottom w:val="single" w:sz="4" w:space="0" w:color="000000"/>
            </w:tcBorders>
          </w:tcPr>
          <w:p>
            <w:pPr>
              <w:pStyle w:val="TableParagraph"/>
              <w:spacing w:line="229" w:lineRule="exact" w:before="24"/>
              <w:ind w:left="14"/>
              <w:jc w:val="left"/>
              <w:rPr>
                <w:i/>
                <w:sz w:val="20"/>
              </w:rPr>
            </w:pPr>
            <w:r>
              <w:rPr>
                <w:i/>
                <w:spacing w:val="-2"/>
                <w:sz w:val="20"/>
              </w:rPr>
              <w:t>Title</w:t>
            </w:r>
          </w:p>
        </w:tc>
        <w:tc>
          <w:tcPr>
            <w:tcW w:w="745" w:type="dxa"/>
            <w:tcBorders>
              <w:top w:val="single" w:sz="4" w:space="0" w:color="000000"/>
              <w:bottom w:val="single" w:sz="4" w:space="0" w:color="000000"/>
            </w:tcBorders>
          </w:tcPr>
          <w:p>
            <w:pPr>
              <w:pStyle w:val="TableParagraph"/>
              <w:spacing w:line="229" w:lineRule="exact" w:before="24"/>
              <w:ind w:left="26"/>
              <w:jc w:val="left"/>
              <w:rPr>
                <w:i/>
                <w:sz w:val="20"/>
              </w:rPr>
            </w:pPr>
            <w:r>
              <w:rPr>
                <w:i/>
                <w:spacing w:val="-2"/>
                <w:sz w:val="20"/>
              </w:rPr>
              <w:t>Grade</w:t>
            </w:r>
          </w:p>
        </w:tc>
        <w:tc>
          <w:tcPr>
            <w:tcW w:w="775" w:type="dxa"/>
            <w:tcBorders>
              <w:top w:val="single" w:sz="4" w:space="0" w:color="000000"/>
              <w:bottom w:val="single" w:sz="4" w:space="0" w:color="000000"/>
            </w:tcBorders>
          </w:tcPr>
          <w:p>
            <w:pPr>
              <w:pStyle w:val="TableParagraph"/>
              <w:spacing w:line="229" w:lineRule="exact" w:before="24"/>
              <w:ind w:right="-15"/>
              <w:rPr>
                <w:i/>
                <w:sz w:val="20"/>
              </w:rPr>
            </w:pPr>
            <w:r>
              <w:rPr>
                <w:i/>
                <w:spacing w:val="-2"/>
                <w:sz w:val="20"/>
              </w:rPr>
              <w:t>Number</w:t>
            </w:r>
          </w:p>
        </w:tc>
        <w:tc>
          <w:tcPr>
            <w:tcW w:w="920" w:type="dxa"/>
            <w:tcBorders>
              <w:top w:val="single" w:sz="4" w:space="0" w:color="000000"/>
              <w:bottom w:val="single" w:sz="4" w:space="0" w:color="000000"/>
            </w:tcBorders>
          </w:tcPr>
          <w:p>
            <w:pPr>
              <w:pStyle w:val="TableParagraph"/>
              <w:spacing w:line="229" w:lineRule="exact" w:before="24"/>
              <w:ind w:right="311"/>
              <w:rPr>
                <w:i/>
                <w:sz w:val="20"/>
              </w:rPr>
            </w:pPr>
            <w:r>
              <w:rPr>
                <w:i/>
                <w:spacing w:val="-2"/>
                <w:sz w:val="20"/>
              </w:rPr>
              <w:t>Months</w:t>
            </w:r>
          </w:p>
        </w:tc>
        <w:tc>
          <w:tcPr>
            <w:tcW w:w="909" w:type="dxa"/>
            <w:tcBorders>
              <w:top w:val="single" w:sz="4" w:space="0" w:color="000000"/>
              <w:bottom w:val="single" w:sz="4" w:space="0" w:color="000000"/>
            </w:tcBorders>
          </w:tcPr>
          <w:p>
            <w:pPr>
              <w:pStyle w:val="TableParagraph"/>
              <w:spacing w:line="229" w:lineRule="exact" w:before="24"/>
              <w:ind w:right="138"/>
              <w:rPr>
                <w:i/>
                <w:sz w:val="20"/>
              </w:rPr>
            </w:pPr>
            <w:r>
              <w:rPr>
                <w:i/>
                <w:spacing w:val="-5"/>
                <w:sz w:val="20"/>
              </w:rPr>
              <w:t>FTE</w:t>
            </w:r>
          </w:p>
        </w:tc>
        <w:tc>
          <w:tcPr>
            <w:tcW w:w="979" w:type="dxa"/>
            <w:tcBorders>
              <w:top w:val="single" w:sz="4" w:space="0" w:color="000000"/>
              <w:bottom w:val="single" w:sz="4" w:space="0" w:color="000000"/>
            </w:tcBorders>
          </w:tcPr>
          <w:p>
            <w:pPr>
              <w:pStyle w:val="TableParagraph"/>
              <w:jc w:val="left"/>
              <w:rPr>
                <w:sz w:val="18"/>
              </w:rPr>
            </w:pPr>
          </w:p>
        </w:tc>
      </w:tr>
      <w:tr>
        <w:trPr>
          <w:trHeight w:val="268" w:hRule="atLeast"/>
        </w:trPr>
        <w:tc>
          <w:tcPr>
            <w:tcW w:w="2965" w:type="dxa"/>
            <w:tcBorders>
              <w:top w:val="single" w:sz="4" w:space="0" w:color="000000"/>
              <w:bottom w:val="single" w:sz="4" w:space="0" w:color="000000"/>
            </w:tcBorders>
          </w:tcPr>
          <w:p>
            <w:pPr>
              <w:pStyle w:val="TableParagraph"/>
              <w:spacing w:line="229" w:lineRule="exact" w:before="19"/>
              <w:ind w:left="14"/>
              <w:jc w:val="left"/>
              <w:rPr>
                <w:i/>
                <w:sz w:val="20"/>
              </w:rPr>
            </w:pPr>
            <w:r>
              <w:rPr>
                <w:i/>
                <w:sz w:val="20"/>
              </w:rPr>
              <w:t>Office</w:t>
            </w:r>
            <w:r>
              <w:rPr>
                <w:i/>
                <w:spacing w:val="-8"/>
                <w:sz w:val="20"/>
              </w:rPr>
              <w:t> </w:t>
            </w:r>
            <w:r>
              <w:rPr>
                <w:i/>
                <w:sz w:val="20"/>
              </w:rPr>
              <w:t>of</w:t>
            </w:r>
            <w:r>
              <w:rPr>
                <w:i/>
                <w:spacing w:val="-5"/>
                <w:sz w:val="20"/>
              </w:rPr>
              <w:t> </w:t>
            </w:r>
            <w:r>
              <w:rPr>
                <w:i/>
                <w:sz w:val="20"/>
              </w:rPr>
              <w:t>the</w:t>
            </w:r>
            <w:r>
              <w:rPr>
                <w:i/>
                <w:spacing w:val="-6"/>
                <w:sz w:val="20"/>
              </w:rPr>
              <w:t> </w:t>
            </w:r>
            <w:r>
              <w:rPr>
                <w:i/>
                <w:sz w:val="20"/>
              </w:rPr>
              <w:t>Director, </w:t>
            </w:r>
            <w:r>
              <w:rPr>
                <w:i/>
                <w:spacing w:val="-5"/>
                <w:sz w:val="20"/>
              </w:rPr>
              <w:t>ISD</w:t>
            </w:r>
          </w:p>
        </w:tc>
        <w:tc>
          <w:tcPr>
            <w:tcW w:w="745" w:type="dxa"/>
            <w:tcBorders>
              <w:top w:val="single" w:sz="4" w:space="0" w:color="000000"/>
              <w:bottom w:val="single" w:sz="4" w:space="0" w:color="000000"/>
            </w:tcBorders>
          </w:tcPr>
          <w:p>
            <w:pPr>
              <w:pStyle w:val="TableParagraph"/>
              <w:jc w:val="left"/>
              <w:rPr>
                <w:sz w:val="18"/>
              </w:rPr>
            </w:pPr>
          </w:p>
        </w:tc>
        <w:tc>
          <w:tcPr>
            <w:tcW w:w="775" w:type="dxa"/>
            <w:tcBorders>
              <w:top w:val="single" w:sz="4" w:space="0" w:color="000000"/>
              <w:bottom w:val="single" w:sz="4" w:space="0" w:color="000000"/>
            </w:tcBorders>
          </w:tcPr>
          <w:p>
            <w:pPr>
              <w:pStyle w:val="TableParagraph"/>
              <w:jc w:val="left"/>
              <w:rPr>
                <w:sz w:val="18"/>
              </w:rPr>
            </w:pPr>
          </w:p>
        </w:tc>
        <w:tc>
          <w:tcPr>
            <w:tcW w:w="920" w:type="dxa"/>
            <w:tcBorders>
              <w:top w:val="single" w:sz="4" w:space="0" w:color="000000"/>
              <w:bottom w:val="single" w:sz="4" w:space="0" w:color="000000"/>
            </w:tcBorders>
          </w:tcPr>
          <w:p>
            <w:pPr>
              <w:pStyle w:val="TableParagraph"/>
              <w:jc w:val="left"/>
              <w:rPr>
                <w:sz w:val="18"/>
              </w:rPr>
            </w:pPr>
          </w:p>
        </w:tc>
        <w:tc>
          <w:tcPr>
            <w:tcW w:w="909" w:type="dxa"/>
            <w:tcBorders>
              <w:top w:val="single" w:sz="4" w:space="0" w:color="000000"/>
              <w:bottom w:val="single" w:sz="4" w:space="0" w:color="000000"/>
            </w:tcBorders>
          </w:tcPr>
          <w:p>
            <w:pPr>
              <w:pStyle w:val="TableParagraph"/>
              <w:jc w:val="left"/>
              <w:rPr>
                <w:sz w:val="18"/>
              </w:rPr>
            </w:pPr>
          </w:p>
        </w:tc>
        <w:tc>
          <w:tcPr>
            <w:tcW w:w="979" w:type="dxa"/>
            <w:tcBorders>
              <w:top w:val="single" w:sz="4" w:space="0" w:color="000000"/>
              <w:bottom w:val="single" w:sz="4" w:space="0" w:color="000000"/>
            </w:tcBorders>
          </w:tcPr>
          <w:p>
            <w:pPr>
              <w:pStyle w:val="TableParagraph"/>
              <w:jc w:val="left"/>
              <w:rPr>
                <w:sz w:val="18"/>
              </w:rPr>
            </w:pPr>
          </w:p>
        </w:tc>
      </w:tr>
      <w:tr>
        <w:trPr>
          <w:trHeight w:val="499" w:hRule="atLeast"/>
        </w:trPr>
        <w:tc>
          <w:tcPr>
            <w:tcW w:w="2965" w:type="dxa"/>
            <w:tcBorders>
              <w:top w:val="single" w:sz="4" w:space="0" w:color="000000"/>
              <w:bottom w:val="single" w:sz="4" w:space="0" w:color="000000"/>
            </w:tcBorders>
          </w:tcPr>
          <w:p>
            <w:pPr>
              <w:pStyle w:val="TableParagraph"/>
              <w:spacing w:line="230" w:lineRule="auto" w:before="27"/>
              <w:ind w:left="14"/>
              <w:jc w:val="left"/>
              <w:rPr>
                <w:sz w:val="13"/>
              </w:rPr>
            </w:pPr>
            <w:r>
              <w:rPr>
                <w:sz w:val="20"/>
              </w:rPr>
              <w:t>Special</w:t>
            </w:r>
            <w:r>
              <w:rPr>
                <w:spacing w:val="-9"/>
                <w:sz w:val="20"/>
              </w:rPr>
              <w:t> </w:t>
            </w:r>
            <w:r>
              <w:rPr>
                <w:sz w:val="20"/>
              </w:rPr>
              <w:t>Assistant</w:t>
            </w:r>
            <w:r>
              <w:rPr>
                <w:spacing w:val="-9"/>
                <w:sz w:val="20"/>
              </w:rPr>
              <w:t> </w:t>
            </w:r>
            <w:r>
              <w:rPr>
                <w:sz w:val="20"/>
              </w:rPr>
              <w:t>to</w:t>
            </w:r>
            <w:r>
              <w:rPr>
                <w:spacing w:val="-11"/>
                <w:sz w:val="20"/>
              </w:rPr>
              <w:t> </w:t>
            </w:r>
            <w:r>
              <w:rPr>
                <w:sz w:val="20"/>
              </w:rPr>
              <w:t>the</w:t>
            </w:r>
            <w:r>
              <w:rPr>
                <w:spacing w:val="-9"/>
                <w:sz w:val="20"/>
              </w:rPr>
              <w:t> </w:t>
            </w:r>
            <w:r>
              <w:rPr>
                <w:sz w:val="20"/>
              </w:rPr>
              <w:t>Director </w:t>
            </w:r>
            <w:r>
              <w:rPr>
                <w:spacing w:val="-2"/>
                <w:position w:val="-6"/>
                <w:sz w:val="20"/>
              </w:rPr>
              <w:t>ISD</w:t>
            </w:r>
            <w:r>
              <w:rPr>
                <w:spacing w:val="-2"/>
                <w:sz w:val="13"/>
              </w:rPr>
              <w:t>102</w:t>
            </w:r>
          </w:p>
        </w:tc>
        <w:tc>
          <w:tcPr>
            <w:tcW w:w="745" w:type="dxa"/>
            <w:tcBorders>
              <w:top w:val="single" w:sz="4" w:space="0" w:color="000000"/>
              <w:bottom w:val="single" w:sz="4" w:space="0" w:color="000000"/>
            </w:tcBorders>
          </w:tcPr>
          <w:p>
            <w:pPr>
              <w:pStyle w:val="TableParagraph"/>
              <w:spacing w:before="9"/>
              <w:jc w:val="left"/>
              <w:rPr>
                <w:sz w:val="21"/>
              </w:rPr>
            </w:pPr>
          </w:p>
          <w:p>
            <w:pPr>
              <w:pStyle w:val="TableParagraph"/>
              <w:spacing w:line="229" w:lineRule="exact"/>
              <w:ind w:left="26"/>
              <w:jc w:val="left"/>
              <w:rPr>
                <w:sz w:val="20"/>
              </w:rPr>
            </w:pPr>
            <w:r>
              <w:rPr>
                <w:spacing w:val="-2"/>
                <w:sz w:val="20"/>
              </w:rPr>
              <w:t>P-</w:t>
            </w:r>
            <w:r>
              <w:rPr>
                <w:spacing w:val="-10"/>
                <w:sz w:val="20"/>
              </w:rPr>
              <w:t>3</w:t>
            </w:r>
          </w:p>
        </w:tc>
        <w:tc>
          <w:tcPr>
            <w:tcW w:w="775" w:type="dxa"/>
            <w:tcBorders>
              <w:top w:val="single" w:sz="4" w:space="0" w:color="000000"/>
              <w:bottom w:val="single" w:sz="4" w:space="0" w:color="000000"/>
            </w:tcBorders>
          </w:tcPr>
          <w:p>
            <w:pPr>
              <w:pStyle w:val="TableParagraph"/>
              <w:spacing w:before="9"/>
              <w:jc w:val="left"/>
              <w:rPr>
                <w:sz w:val="21"/>
              </w:rPr>
            </w:pPr>
          </w:p>
          <w:p>
            <w:pPr>
              <w:pStyle w:val="TableParagraph"/>
              <w:spacing w:line="229" w:lineRule="exact"/>
              <w:ind w:right="-15"/>
              <w:rPr>
                <w:sz w:val="20"/>
              </w:rPr>
            </w:pPr>
            <w:r>
              <w:rPr>
                <w:w w:val="100"/>
                <w:sz w:val="20"/>
              </w:rPr>
              <w:t>1</w:t>
            </w:r>
          </w:p>
        </w:tc>
        <w:tc>
          <w:tcPr>
            <w:tcW w:w="920" w:type="dxa"/>
            <w:tcBorders>
              <w:top w:val="single" w:sz="4" w:space="0" w:color="000000"/>
              <w:bottom w:val="single" w:sz="4" w:space="0" w:color="000000"/>
            </w:tcBorders>
          </w:tcPr>
          <w:p>
            <w:pPr>
              <w:pStyle w:val="TableParagraph"/>
              <w:spacing w:before="9"/>
              <w:jc w:val="left"/>
              <w:rPr>
                <w:sz w:val="21"/>
              </w:rPr>
            </w:pPr>
          </w:p>
          <w:p>
            <w:pPr>
              <w:pStyle w:val="TableParagraph"/>
              <w:spacing w:line="229" w:lineRule="exact"/>
              <w:ind w:right="319"/>
              <w:rPr>
                <w:sz w:val="20"/>
              </w:rPr>
            </w:pPr>
            <w:r>
              <w:rPr>
                <w:spacing w:val="-5"/>
                <w:sz w:val="20"/>
              </w:rPr>
              <w:t>12</w:t>
            </w:r>
          </w:p>
        </w:tc>
        <w:tc>
          <w:tcPr>
            <w:tcW w:w="909" w:type="dxa"/>
            <w:tcBorders>
              <w:top w:val="single" w:sz="4" w:space="0" w:color="000000"/>
              <w:bottom w:val="single" w:sz="4" w:space="0" w:color="000000"/>
            </w:tcBorders>
          </w:tcPr>
          <w:p>
            <w:pPr>
              <w:pStyle w:val="TableParagraph"/>
              <w:spacing w:before="9"/>
              <w:jc w:val="left"/>
              <w:rPr>
                <w:sz w:val="21"/>
              </w:rPr>
            </w:pPr>
          </w:p>
          <w:p>
            <w:pPr>
              <w:pStyle w:val="TableParagraph"/>
              <w:spacing w:line="229" w:lineRule="exact"/>
              <w:ind w:right="136"/>
              <w:rPr>
                <w:sz w:val="20"/>
              </w:rPr>
            </w:pPr>
            <w:r>
              <w:rPr>
                <w:spacing w:val="-4"/>
                <w:sz w:val="20"/>
              </w:rPr>
              <w:t>1.00</w:t>
            </w:r>
          </w:p>
        </w:tc>
        <w:tc>
          <w:tcPr>
            <w:tcW w:w="979" w:type="dxa"/>
            <w:tcBorders>
              <w:top w:val="single" w:sz="4" w:space="0" w:color="000000"/>
              <w:bottom w:val="single" w:sz="4" w:space="0" w:color="000000"/>
            </w:tcBorders>
          </w:tcPr>
          <w:p>
            <w:pPr>
              <w:pStyle w:val="TableParagraph"/>
              <w:spacing w:before="9"/>
              <w:jc w:val="left"/>
              <w:rPr>
                <w:sz w:val="21"/>
              </w:rPr>
            </w:pPr>
          </w:p>
          <w:p>
            <w:pPr>
              <w:pStyle w:val="TableParagraph"/>
              <w:spacing w:line="229" w:lineRule="exact"/>
              <w:rPr>
                <w:sz w:val="20"/>
              </w:rPr>
            </w:pPr>
            <w:r>
              <w:rPr>
                <w:spacing w:val="-2"/>
                <w:sz w:val="20"/>
              </w:rPr>
              <w:t>Continued</w:t>
            </w:r>
          </w:p>
        </w:tc>
      </w:tr>
      <w:tr>
        <w:trPr>
          <w:trHeight w:val="273" w:hRule="atLeast"/>
        </w:trPr>
        <w:tc>
          <w:tcPr>
            <w:tcW w:w="2965" w:type="dxa"/>
            <w:tcBorders>
              <w:top w:val="single" w:sz="4" w:space="0" w:color="000000"/>
              <w:bottom w:val="single" w:sz="4" w:space="0" w:color="000000"/>
            </w:tcBorders>
          </w:tcPr>
          <w:p>
            <w:pPr>
              <w:pStyle w:val="TableParagraph"/>
              <w:jc w:val="left"/>
              <w:rPr>
                <w:sz w:val="18"/>
              </w:rPr>
            </w:pPr>
          </w:p>
        </w:tc>
        <w:tc>
          <w:tcPr>
            <w:tcW w:w="745" w:type="dxa"/>
            <w:tcBorders>
              <w:top w:val="single" w:sz="4" w:space="0" w:color="000000"/>
              <w:bottom w:val="single" w:sz="4" w:space="0" w:color="000000"/>
            </w:tcBorders>
          </w:tcPr>
          <w:p>
            <w:pPr>
              <w:pStyle w:val="TableParagraph"/>
              <w:jc w:val="left"/>
              <w:rPr>
                <w:sz w:val="18"/>
              </w:rPr>
            </w:pPr>
          </w:p>
        </w:tc>
        <w:tc>
          <w:tcPr>
            <w:tcW w:w="775" w:type="dxa"/>
            <w:tcBorders>
              <w:top w:val="single" w:sz="4" w:space="0" w:color="000000"/>
              <w:bottom w:val="single" w:sz="4" w:space="0" w:color="000000"/>
            </w:tcBorders>
          </w:tcPr>
          <w:p>
            <w:pPr>
              <w:pStyle w:val="TableParagraph"/>
              <w:spacing w:before="19"/>
              <w:ind w:right="-15"/>
              <w:rPr>
                <w:b/>
                <w:sz w:val="20"/>
              </w:rPr>
            </w:pPr>
            <w:r>
              <w:rPr>
                <w:b/>
                <w:w w:val="100"/>
                <w:sz w:val="20"/>
              </w:rPr>
              <w:t>1</w:t>
            </w:r>
          </w:p>
        </w:tc>
        <w:tc>
          <w:tcPr>
            <w:tcW w:w="920" w:type="dxa"/>
            <w:tcBorders>
              <w:top w:val="single" w:sz="4" w:space="0" w:color="000000"/>
              <w:bottom w:val="single" w:sz="4" w:space="0" w:color="000000"/>
            </w:tcBorders>
          </w:tcPr>
          <w:p>
            <w:pPr>
              <w:pStyle w:val="TableParagraph"/>
              <w:spacing w:before="19"/>
              <w:ind w:right="319"/>
              <w:rPr>
                <w:b/>
                <w:sz w:val="20"/>
              </w:rPr>
            </w:pPr>
            <w:r>
              <w:rPr>
                <w:b/>
                <w:spacing w:val="-5"/>
                <w:sz w:val="20"/>
              </w:rPr>
              <w:t>12</w:t>
            </w:r>
          </w:p>
        </w:tc>
        <w:tc>
          <w:tcPr>
            <w:tcW w:w="909" w:type="dxa"/>
            <w:tcBorders>
              <w:top w:val="single" w:sz="4" w:space="0" w:color="000000"/>
              <w:bottom w:val="single" w:sz="4" w:space="0" w:color="000000"/>
            </w:tcBorders>
          </w:tcPr>
          <w:p>
            <w:pPr>
              <w:pStyle w:val="TableParagraph"/>
              <w:spacing w:before="19"/>
              <w:ind w:right="136"/>
              <w:rPr>
                <w:b/>
                <w:sz w:val="20"/>
              </w:rPr>
            </w:pPr>
            <w:r>
              <w:rPr>
                <w:b/>
                <w:spacing w:val="-4"/>
                <w:sz w:val="20"/>
              </w:rPr>
              <w:t>1.00</w:t>
            </w:r>
          </w:p>
        </w:tc>
        <w:tc>
          <w:tcPr>
            <w:tcW w:w="979" w:type="dxa"/>
            <w:tcBorders>
              <w:top w:val="single" w:sz="4" w:space="0" w:color="000000"/>
              <w:bottom w:val="single" w:sz="4" w:space="0" w:color="000000"/>
            </w:tcBorders>
          </w:tcPr>
          <w:p>
            <w:pPr>
              <w:pStyle w:val="TableParagraph"/>
              <w:jc w:val="left"/>
              <w:rPr>
                <w:sz w:val="18"/>
              </w:rPr>
            </w:pPr>
          </w:p>
        </w:tc>
      </w:tr>
      <w:tr>
        <w:trPr>
          <w:trHeight w:val="498" w:hRule="atLeast"/>
        </w:trPr>
        <w:tc>
          <w:tcPr>
            <w:tcW w:w="2965" w:type="dxa"/>
            <w:tcBorders>
              <w:top w:val="single" w:sz="4" w:space="0" w:color="000000"/>
              <w:bottom w:val="single" w:sz="4" w:space="0" w:color="000000"/>
            </w:tcBorders>
          </w:tcPr>
          <w:p>
            <w:pPr>
              <w:pStyle w:val="TableParagraph"/>
              <w:spacing w:line="230" w:lineRule="atLeast" w:before="19"/>
              <w:ind w:left="14"/>
              <w:jc w:val="left"/>
              <w:rPr>
                <w:i/>
                <w:sz w:val="20"/>
              </w:rPr>
            </w:pPr>
            <w:r>
              <w:rPr>
                <w:i/>
                <w:sz w:val="20"/>
              </w:rPr>
              <w:t>Management</w:t>
            </w:r>
            <w:r>
              <w:rPr>
                <w:i/>
                <w:spacing w:val="-13"/>
                <w:sz w:val="20"/>
              </w:rPr>
              <w:t> </w:t>
            </w:r>
            <w:r>
              <w:rPr>
                <w:i/>
                <w:sz w:val="20"/>
              </w:rPr>
              <w:t>and</w:t>
            </w:r>
            <w:r>
              <w:rPr>
                <w:i/>
                <w:spacing w:val="-12"/>
                <w:sz w:val="20"/>
              </w:rPr>
              <w:t> </w:t>
            </w:r>
            <w:r>
              <w:rPr>
                <w:i/>
                <w:sz w:val="20"/>
              </w:rPr>
              <w:t>Administrative</w:t>
            </w:r>
            <w:r>
              <w:rPr>
                <w:i/>
                <w:sz w:val="20"/>
              </w:rPr>
              <w:t> Support Unit</w:t>
            </w:r>
          </w:p>
        </w:tc>
        <w:tc>
          <w:tcPr>
            <w:tcW w:w="745" w:type="dxa"/>
            <w:tcBorders>
              <w:top w:val="single" w:sz="4" w:space="0" w:color="000000"/>
              <w:bottom w:val="single" w:sz="4" w:space="0" w:color="000000"/>
            </w:tcBorders>
          </w:tcPr>
          <w:p>
            <w:pPr>
              <w:pStyle w:val="TableParagraph"/>
              <w:jc w:val="left"/>
              <w:rPr>
                <w:sz w:val="18"/>
              </w:rPr>
            </w:pPr>
          </w:p>
        </w:tc>
        <w:tc>
          <w:tcPr>
            <w:tcW w:w="775" w:type="dxa"/>
            <w:tcBorders>
              <w:top w:val="single" w:sz="4" w:space="0" w:color="000000"/>
              <w:bottom w:val="single" w:sz="4" w:space="0" w:color="000000"/>
            </w:tcBorders>
          </w:tcPr>
          <w:p>
            <w:pPr>
              <w:pStyle w:val="TableParagraph"/>
              <w:jc w:val="left"/>
              <w:rPr>
                <w:sz w:val="18"/>
              </w:rPr>
            </w:pPr>
          </w:p>
        </w:tc>
        <w:tc>
          <w:tcPr>
            <w:tcW w:w="920" w:type="dxa"/>
            <w:tcBorders>
              <w:top w:val="single" w:sz="4" w:space="0" w:color="000000"/>
              <w:bottom w:val="single" w:sz="4" w:space="0" w:color="000000"/>
            </w:tcBorders>
          </w:tcPr>
          <w:p>
            <w:pPr>
              <w:pStyle w:val="TableParagraph"/>
              <w:jc w:val="left"/>
              <w:rPr>
                <w:sz w:val="18"/>
              </w:rPr>
            </w:pPr>
          </w:p>
        </w:tc>
        <w:tc>
          <w:tcPr>
            <w:tcW w:w="909" w:type="dxa"/>
            <w:tcBorders>
              <w:top w:val="single" w:sz="4" w:space="0" w:color="000000"/>
              <w:bottom w:val="single" w:sz="4" w:space="0" w:color="000000"/>
            </w:tcBorders>
          </w:tcPr>
          <w:p>
            <w:pPr>
              <w:pStyle w:val="TableParagraph"/>
              <w:jc w:val="left"/>
              <w:rPr>
                <w:sz w:val="18"/>
              </w:rPr>
            </w:pPr>
          </w:p>
        </w:tc>
        <w:tc>
          <w:tcPr>
            <w:tcW w:w="979" w:type="dxa"/>
            <w:tcBorders>
              <w:top w:val="single" w:sz="4" w:space="0" w:color="000000"/>
              <w:bottom w:val="single" w:sz="4" w:space="0" w:color="000000"/>
            </w:tcBorders>
          </w:tcPr>
          <w:p>
            <w:pPr>
              <w:pStyle w:val="TableParagraph"/>
              <w:jc w:val="left"/>
              <w:rPr>
                <w:sz w:val="18"/>
              </w:rPr>
            </w:pPr>
          </w:p>
        </w:tc>
      </w:tr>
      <w:tr>
        <w:trPr>
          <w:trHeight w:val="498" w:hRule="atLeast"/>
        </w:trPr>
        <w:tc>
          <w:tcPr>
            <w:tcW w:w="2965" w:type="dxa"/>
            <w:tcBorders>
              <w:top w:val="single" w:sz="4" w:space="0" w:color="000000"/>
              <w:bottom w:val="single" w:sz="4" w:space="0" w:color="000000"/>
            </w:tcBorders>
          </w:tcPr>
          <w:p>
            <w:pPr>
              <w:pStyle w:val="TableParagraph"/>
              <w:spacing w:line="230" w:lineRule="atLeast" w:before="18"/>
              <w:ind w:left="14"/>
              <w:jc w:val="left"/>
              <w:rPr>
                <w:sz w:val="20"/>
              </w:rPr>
            </w:pPr>
            <w:r>
              <w:rPr>
                <w:sz w:val="20"/>
              </w:rPr>
              <w:t>Assistant</w:t>
            </w:r>
            <w:r>
              <w:rPr>
                <w:spacing w:val="-11"/>
                <w:sz w:val="20"/>
              </w:rPr>
              <w:t> </w:t>
            </w:r>
            <w:r>
              <w:rPr>
                <w:sz w:val="20"/>
              </w:rPr>
              <w:t>Planning</w:t>
            </w:r>
            <w:r>
              <w:rPr>
                <w:spacing w:val="-13"/>
                <w:sz w:val="20"/>
              </w:rPr>
              <w:t> </w:t>
            </w:r>
            <w:r>
              <w:rPr>
                <w:sz w:val="20"/>
              </w:rPr>
              <w:t>and</w:t>
            </w:r>
            <w:r>
              <w:rPr>
                <w:spacing w:val="-12"/>
                <w:sz w:val="20"/>
              </w:rPr>
              <w:t> </w:t>
            </w:r>
            <w:r>
              <w:rPr>
                <w:sz w:val="20"/>
              </w:rPr>
              <w:t>Control </w:t>
            </w:r>
            <w:r>
              <w:rPr>
                <w:spacing w:val="-2"/>
                <w:sz w:val="20"/>
              </w:rPr>
              <w:t>Officer</w:t>
            </w:r>
          </w:p>
        </w:tc>
        <w:tc>
          <w:tcPr>
            <w:tcW w:w="745" w:type="dxa"/>
            <w:tcBorders>
              <w:top w:val="single" w:sz="4" w:space="0" w:color="000000"/>
              <w:bottom w:val="single" w:sz="4" w:space="0" w:color="000000"/>
            </w:tcBorders>
          </w:tcPr>
          <w:p>
            <w:pPr>
              <w:pStyle w:val="TableParagraph"/>
              <w:spacing w:before="8"/>
              <w:jc w:val="left"/>
              <w:rPr>
                <w:sz w:val="21"/>
              </w:rPr>
            </w:pPr>
          </w:p>
          <w:p>
            <w:pPr>
              <w:pStyle w:val="TableParagraph"/>
              <w:spacing w:line="229" w:lineRule="exact"/>
              <w:ind w:left="26"/>
              <w:jc w:val="left"/>
              <w:rPr>
                <w:sz w:val="20"/>
              </w:rPr>
            </w:pPr>
            <w:r>
              <w:rPr>
                <w:spacing w:val="-2"/>
                <w:sz w:val="20"/>
              </w:rPr>
              <w:t>P-</w:t>
            </w:r>
            <w:r>
              <w:rPr>
                <w:spacing w:val="-10"/>
                <w:sz w:val="20"/>
              </w:rPr>
              <w:t>1</w:t>
            </w:r>
          </w:p>
        </w:tc>
        <w:tc>
          <w:tcPr>
            <w:tcW w:w="775" w:type="dxa"/>
            <w:tcBorders>
              <w:top w:val="single" w:sz="4" w:space="0" w:color="000000"/>
              <w:bottom w:val="single" w:sz="4" w:space="0" w:color="000000"/>
            </w:tcBorders>
          </w:tcPr>
          <w:p>
            <w:pPr>
              <w:pStyle w:val="TableParagraph"/>
              <w:spacing w:before="8"/>
              <w:jc w:val="left"/>
              <w:rPr>
                <w:sz w:val="21"/>
              </w:rPr>
            </w:pPr>
          </w:p>
          <w:p>
            <w:pPr>
              <w:pStyle w:val="TableParagraph"/>
              <w:spacing w:line="229" w:lineRule="exact"/>
              <w:ind w:right="-15"/>
              <w:rPr>
                <w:sz w:val="20"/>
              </w:rPr>
            </w:pPr>
            <w:r>
              <w:rPr>
                <w:w w:val="100"/>
                <w:sz w:val="20"/>
              </w:rPr>
              <w:t>1</w:t>
            </w:r>
          </w:p>
        </w:tc>
        <w:tc>
          <w:tcPr>
            <w:tcW w:w="920" w:type="dxa"/>
            <w:tcBorders>
              <w:top w:val="single" w:sz="4" w:space="0" w:color="000000"/>
              <w:bottom w:val="single" w:sz="4" w:space="0" w:color="000000"/>
            </w:tcBorders>
          </w:tcPr>
          <w:p>
            <w:pPr>
              <w:pStyle w:val="TableParagraph"/>
              <w:spacing w:before="8"/>
              <w:jc w:val="left"/>
              <w:rPr>
                <w:sz w:val="21"/>
              </w:rPr>
            </w:pPr>
          </w:p>
          <w:p>
            <w:pPr>
              <w:pStyle w:val="TableParagraph"/>
              <w:spacing w:line="229" w:lineRule="exact"/>
              <w:ind w:right="319"/>
              <w:rPr>
                <w:sz w:val="20"/>
              </w:rPr>
            </w:pPr>
            <w:r>
              <w:rPr>
                <w:spacing w:val="-5"/>
                <w:sz w:val="20"/>
              </w:rPr>
              <w:t>12</w:t>
            </w:r>
          </w:p>
        </w:tc>
        <w:tc>
          <w:tcPr>
            <w:tcW w:w="909" w:type="dxa"/>
            <w:tcBorders>
              <w:top w:val="single" w:sz="4" w:space="0" w:color="000000"/>
              <w:bottom w:val="single" w:sz="4" w:space="0" w:color="000000"/>
            </w:tcBorders>
          </w:tcPr>
          <w:p>
            <w:pPr>
              <w:pStyle w:val="TableParagraph"/>
              <w:spacing w:before="8"/>
              <w:jc w:val="left"/>
              <w:rPr>
                <w:sz w:val="21"/>
              </w:rPr>
            </w:pPr>
          </w:p>
          <w:p>
            <w:pPr>
              <w:pStyle w:val="TableParagraph"/>
              <w:spacing w:line="229" w:lineRule="exact"/>
              <w:ind w:right="136"/>
              <w:rPr>
                <w:sz w:val="20"/>
              </w:rPr>
            </w:pPr>
            <w:r>
              <w:rPr>
                <w:spacing w:val="-4"/>
                <w:sz w:val="20"/>
              </w:rPr>
              <w:t>1.00</w:t>
            </w:r>
          </w:p>
        </w:tc>
        <w:tc>
          <w:tcPr>
            <w:tcW w:w="979" w:type="dxa"/>
            <w:tcBorders>
              <w:top w:val="single" w:sz="4" w:space="0" w:color="000000"/>
              <w:bottom w:val="single" w:sz="4" w:space="0" w:color="000000"/>
            </w:tcBorders>
          </w:tcPr>
          <w:p>
            <w:pPr>
              <w:pStyle w:val="TableParagraph"/>
              <w:spacing w:before="8"/>
              <w:jc w:val="left"/>
              <w:rPr>
                <w:sz w:val="21"/>
              </w:rPr>
            </w:pPr>
          </w:p>
          <w:p>
            <w:pPr>
              <w:pStyle w:val="TableParagraph"/>
              <w:spacing w:line="229" w:lineRule="exact"/>
              <w:rPr>
                <w:sz w:val="20"/>
              </w:rPr>
            </w:pPr>
            <w:r>
              <w:rPr>
                <w:spacing w:val="-2"/>
                <w:sz w:val="20"/>
              </w:rPr>
              <w:t>Continued</w:t>
            </w:r>
          </w:p>
        </w:tc>
      </w:tr>
      <w:tr>
        <w:trPr>
          <w:trHeight w:val="273" w:hRule="atLeast"/>
        </w:trPr>
        <w:tc>
          <w:tcPr>
            <w:tcW w:w="2965" w:type="dxa"/>
            <w:tcBorders>
              <w:top w:val="single" w:sz="4" w:space="0" w:color="000000"/>
              <w:bottom w:val="single" w:sz="4" w:space="0" w:color="000000"/>
            </w:tcBorders>
          </w:tcPr>
          <w:p>
            <w:pPr>
              <w:pStyle w:val="TableParagraph"/>
              <w:jc w:val="left"/>
              <w:rPr>
                <w:sz w:val="18"/>
              </w:rPr>
            </w:pPr>
          </w:p>
        </w:tc>
        <w:tc>
          <w:tcPr>
            <w:tcW w:w="745" w:type="dxa"/>
            <w:tcBorders>
              <w:top w:val="single" w:sz="4" w:space="0" w:color="000000"/>
              <w:bottom w:val="single" w:sz="4" w:space="0" w:color="000000"/>
            </w:tcBorders>
          </w:tcPr>
          <w:p>
            <w:pPr>
              <w:pStyle w:val="TableParagraph"/>
              <w:jc w:val="left"/>
              <w:rPr>
                <w:sz w:val="18"/>
              </w:rPr>
            </w:pPr>
          </w:p>
        </w:tc>
        <w:tc>
          <w:tcPr>
            <w:tcW w:w="775" w:type="dxa"/>
            <w:tcBorders>
              <w:top w:val="single" w:sz="4" w:space="0" w:color="000000"/>
              <w:bottom w:val="single" w:sz="4" w:space="0" w:color="000000"/>
            </w:tcBorders>
          </w:tcPr>
          <w:p>
            <w:pPr>
              <w:pStyle w:val="TableParagraph"/>
              <w:spacing w:before="20"/>
              <w:ind w:right="-15"/>
              <w:rPr>
                <w:b/>
                <w:sz w:val="20"/>
              </w:rPr>
            </w:pPr>
            <w:r>
              <w:rPr>
                <w:b/>
                <w:w w:val="100"/>
                <w:sz w:val="20"/>
              </w:rPr>
              <w:t>1</w:t>
            </w:r>
          </w:p>
        </w:tc>
        <w:tc>
          <w:tcPr>
            <w:tcW w:w="920" w:type="dxa"/>
            <w:tcBorders>
              <w:top w:val="single" w:sz="4" w:space="0" w:color="000000"/>
              <w:bottom w:val="single" w:sz="4" w:space="0" w:color="000000"/>
            </w:tcBorders>
          </w:tcPr>
          <w:p>
            <w:pPr>
              <w:pStyle w:val="TableParagraph"/>
              <w:spacing w:before="20"/>
              <w:ind w:right="319"/>
              <w:rPr>
                <w:b/>
                <w:sz w:val="20"/>
              </w:rPr>
            </w:pPr>
            <w:r>
              <w:rPr>
                <w:b/>
                <w:spacing w:val="-5"/>
                <w:sz w:val="20"/>
              </w:rPr>
              <w:t>12</w:t>
            </w:r>
          </w:p>
        </w:tc>
        <w:tc>
          <w:tcPr>
            <w:tcW w:w="909" w:type="dxa"/>
            <w:tcBorders>
              <w:top w:val="single" w:sz="4" w:space="0" w:color="000000"/>
              <w:bottom w:val="single" w:sz="4" w:space="0" w:color="000000"/>
            </w:tcBorders>
          </w:tcPr>
          <w:p>
            <w:pPr>
              <w:pStyle w:val="TableParagraph"/>
              <w:spacing w:before="20"/>
              <w:ind w:right="136"/>
              <w:rPr>
                <w:b/>
                <w:sz w:val="20"/>
              </w:rPr>
            </w:pPr>
            <w:r>
              <w:rPr>
                <w:b/>
                <w:spacing w:val="-4"/>
                <w:sz w:val="20"/>
              </w:rPr>
              <w:t>1.00</w:t>
            </w:r>
          </w:p>
        </w:tc>
        <w:tc>
          <w:tcPr>
            <w:tcW w:w="979" w:type="dxa"/>
            <w:tcBorders>
              <w:top w:val="single" w:sz="4" w:space="0" w:color="000000"/>
              <w:bottom w:val="single" w:sz="4" w:space="0" w:color="000000"/>
            </w:tcBorders>
          </w:tcPr>
          <w:p>
            <w:pPr>
              <w:pStyle w:val="TableParagraph"/>
              <w:jc w:val="left"/>
              <w:rPr>
                <w:sz w:val="18"/>
              </w:rPr>
            </w:pPr>
          </w:p>
        </w:tc>
      </w:tr>
      <w:tr>
        <w:trPr>
          <w:trHeight w:val="268" w:hRule="atLeast"/>
        </w:trPr>
        <w:tc>
          <w:tcPr>
            <w:tcW w:w="2965" w:type="dxa"/>
            <w:tcBorders>
              <w:top w:val="single" w:sz="4" w:space="0" w:color="000000"/>
              <w:bottom w:val="single" w:sz="4" w:space="0" w:color="000000"/>
            </w:tcBorders>
          </w:tcPr>
          <w:p>
            <w:pPr>
              <w:pStyle w:val="TableParagraph"/>
              <w:spacing w:line="229" w:lineRule="exact" w:before="19"/>
              <w:ind w:left="14"/>
              <w:jc w:val="left"/>
              <w:rPr>
                <w:i/>
                <w:sz w:val="20"/>
              </w:rPr>
            </w:pPr>
            <w:r>
              <w:rPr>
                <w:i/>
                <w:sz w:val="20"/>
              </w:rPr>
              <w:t>Planning</w:t>
            </w:r>
            <w:r>
              <w:rPr>
                <w:i/>
                <w:spacing w:val="-8"/>
                <w:sz w:val="20"/>
              </w:rPr>
              <w:t> </w:t>
            </w:r>
            <w:r>
              <w:rPr>
                <w:i/>
                <w:sz w:val="20"/>
              </w:rPr>
              <w:t>and</w:t>
            </w:r>
            <w:r>
              <w:rPr>
                <w:i/>
                <w:spacing w:val="-7"/>
                <w:sz w:val="20"/>
              </w:rPr>
              <w:t> </w:t>
            </w:r>
            <w:r>
              <w:rPr>
                <w:i/>
                <w:sz w:val="20"/>
              </w:rPr>
              <w:t>Operations</w:t>
            </w:r>
            <w:r>
              <w:rPr>
                <w:i/>
                <w:spacing w:val="-3"/>
                <w:sz w:val="20"/>
              </w:rPr>
              <w:t> </w:t>
            </w:r>
            <w:r>
              <w:rPr>
                <w:i/>
                <w:spacing w:val="-2"/>
                <w:sz w:val="20"/>
              </w:rPr>
              <w:t>Section</w:t>
            </w:r>
          </w:p>
        </w:tc>
        <w:tc>
          <w:tcPr>
            <w:tcW w:w="745" w:type="dxa"/>
            <w:tcBorders>
              <w:top w:val="single" w:sz="4" w:space="0" w:color="000000"/>
              <w:bottom w:val="single" w:sz="4" w:space="0" w:color="000000"/>
            </w:tcBorders>
          </w:tcPr>
          <w:p>
            <w:pPr>
              <w:pStyle w:val="TableParagraph"/>
              <w:jc w:val="left"/>
              <w:rPr>
                <w:sz w:val="18"/>
              </w:rPr>
            </w:pPr>
          </w:p>
        </w:tc>
        <w:tc>
          <w:tcPr>
            <w:tcW w:w="775" w:type="dxa"/>
            <w:tcBorders>
              <w:top w:val="single" w:sz="4" w:space="0" w:color="000000"/>
              <w:bottom w:val="single" w:sz="4" w:space="0" w:color="000000"/>
            </w:tcBorders>
          </w:tcPr>
          <w:p>
            <w:pPr>
              <w:pStyle w:val="TableParagraph"/>
              <w:jc w:val="left"/>
              <w:rPr>
                <w:sz w:val="18"/>
              </w:rPr>
            </w:pPr>
          </w:p>
        </w:tc>
        <w:tc>
          <w:tcPr>
            <w:tcW w:w="920" w:type="dxa"/>
            <w:tcBorders>
              <w:top w:val="single" w:sz="4" w:space="0" w:color="000000"/>
              <w:bottom w:val="single" w:sz="4" w:space="0" w:color="000000"/>
            </w:tcBorders>
          </w:tcPr>
          <w:p>
            <w:pPr>
              <w:pStyle w:val="TableParagraph"/>
              <w:jc w:val="left"/>
              <w:rPr>
                <w:sz w:val="18"/>
              </w:rPr>
            </w:pPr>
          </w:p>
        </w:tc>
        <w:tc>
          <w:tcPr>
            <w:tcW w:w="909" w:type="dxa"/>
            <w:tcBorders>
              <w:top w:val="single" w:sz="4" w:space="0" w:color="000000"/>
              <w:bottom w:val="single" w:sz="4" w:space="0" w:color="000000"/>
            </w:tcBorders>
          </w:tcPr>
          <w:p>
            <w:pPr>
              <w:pStyle w:val="TableParagraph"/>
              <w:jc w:val="left"/>
              <w:rPr>
                <w:sz w:val="18"/>
              </w:rPr>
            </w:pPr>
          </w:p>
        </w:tc>
        <w:tc>
          <w:tcPr>
            <w:tcW w:w="979" w:type="dxa"/>
            <w:tcBorders>
              <w:top w:val="single" w:sz="4" w:space="0" w:color="000000"/>
              <w:bottom w:val="single" w:sz="4" w:space="0" w:color="000000"/>
            </w:tcBorders>
          </w:tcPr>
          <w:p>
            <w:pPr>
              <w:pStyle w:val="TableParagraph"/>
              <w:jc w:val="left"/>
              <w:rPr>
                <w:sz w:val="18"/>
              </w:rPr>
            </w:pPr>
          </w:p>
        </w:tc>
      </w:tr>
      <w:tr>
        <w:trPr>
          <w:trHeight w:val="498" w:hRule="atLeast"/>
        </w:trPr>
        <w:tc>
          <w:tcPr>
            <w:tcW w:w="2965" w:type="dxa"/>
            <w:tcBorders>
              <w:top w:val="single" w:sz="4" w:space="0" w:color="000000"/>
              <w:bottom w:val="single" w:sz="4" w:space="0" w:color="000000"/>
            </w:tcBorders>
          </w:tcPr>
          <w:p>
            <w:pPr>
              <w:pStyle w:val="TableParagraph"/>
              <w:spacing w:line="230" w:lineRule="atLeast" w:before="19"/>
              <w:ind w:left="14" w:firstLine="201"/>
              <w:jc w:val="left"/>
              <w:rPr>
                <w:i/>
                <w:sz w:val="20"/>
              </w:rPr>
            </w:pPr>
            <w:r>
              <w:rPr>
                <w:i/>
                <w:sz w:val="20"/>
              </w:rPr>
              <w:t>Security</w:t>
            </w:r>
            <w:r>
              <w:rPr>
                <w:i/>
                <w:spacing w:val="-13"/>
                <w:sz w:val="20"/>
              </w:rPr>
              <w:t> </w:t>
            </w:r>
            <w:r>
              <w:rPr>
                <w:i/>
                <w:sz w:val="20"/>
              </w:rPr>
              <w:t>and</w:t>
            </w:r>
            <w:r>
              <w:rPr>
                <w:i/>
                <w:spacing w:val="-12"/>
                <w:sz w:val="20"/>
              </w:rPr>
              <w:t> </w:t>
            </w:r>
            <w:r>
              <w:rPr>
                <w:i/>
                <w:sz w:val="20"/>
              </w:rPr>
              <w:t>Protection</w:t>
            </w:r>
            <w:r>
              <w:rPr>
                <w:i/>
                <w:spacing w:val="-12"/>
                <w:sz w:val="20"/>
              </w:rPr>
              <w:t> </w:t>
            </w:r>
            <w:r>
              <w:rPr>
                <w:i/>
                <w:sz w:val="20"/>
              </w:rPr>
              <w:t>Unit</w:t>
            </w:r>
            <w:r>
              <w:rPr>
                <w:i/>
                <w:sz w:val="20"/>
              </w:rPr>
              <w:t> (Cluster 1)</w:t>
            </w:r>
          </w:p>
        </w:tc>
        <w:tc>
          <w:tcPr>
            <w:tcW w:w="745" w:type="dxa"/>
            <w:tcBorders>
              <w:top w:val="single" w:sz="4" w:space="0" w:color="000000"/>
              <w:bottom w:val="single" w:sz="4" w:space="0" w:color="000000"/>
            </w:tcBorders>
          </w:tcPr>
          <w:p>
            <w:pPr>
              <w:pStyle w:val="TableParagraph"/>
              <w:jc w:val="left"/>
              <w:rPr>
                <w:sz w:val="18"/>
              </w:rPr>
            </w:pPr>
          </w:p>
        </w:tc>
        <w:tc>
          <w:tcPr>
            <w:tcW w:w="775" w:type="dxa"/>
            <w:tcBorders>
              <w:top w:val="single" w:sz="4" w:space="0" w:color="000000"/>
              <w:bottom w:val="single" w:sz="4" w:space="0" w:color="000000"/>
            </w:tcBorders>
          </w:tcPr>
          <w:p>
            <w:pPr>
              <w:pStyle w:val="TableParagraph"/>
              <w:jc w:val="left"/>
              <w:rPr>
                <w:sz w:val="18"/>
              </w:rPr>
            </w:pPr>
          </w:p>
        </w:tc>
        <w:tc>
          <w:tcPr>
            <w:tcW w:w="920" w:type="dxa"/>
            <w:tcBorders>
              <w:top w:val="single" w:sz="4" w:space="0" w:color="000000"/>
              <w:bottom w:val="single" w:sz="4" w:space="0" w:color="000000"/>
            </w:tcBorders>
          </w:tcPr>
          <w:p>
            <w:pPr>
              <w:pStyle w:val="TableParagraph"/>
              <w:jc w:val="left"/>
              <w:rPr>
                <w:sz w:val="18"/>
              </w:rPr>
            </w:pPr>
          </w:p>
        </w:tc>
        <w:tc>
          <w:tcPr>
            <w:tcW w:w="909" w:type="dxa"/>
            <w:tcBorders>
              <w:top w:val="single" w:sz="4" w:space="0" w:color="000000"/>
              <w:bottom w:val="single" w:sz="4" w:space="0" w:color="000000"/>
            </w:tcBorders>
          </w:tcPr>
          <w:p>
            <w:pPr>
              <w:pStyle w:val="TableParagraph"/>
              <w:jc w:val="left"/>
              <w:rPr>
                <w:sz w:val="18"/>
              </w:rPr>
            </w:pPr>
          </w:p>
        </w:tc>
        <w:tc>
          <w:tcPr>
            <w:tcW w:w="979" w:type="dxa"/>
            <w:tcBorders>
              <w:top w:val="single" w:sz="4" w:space="0" w:color="000000"/>
              <w:bottom w:val="single" w:sz="4" w:space="0" w:color="000000"/>
            </w:tcBorders>
          </w:tcPr>
          <w:p>
            <w:pPr>
              <w:pStyle w:val="TableParagraph"/>
              <w:jc w:val="left"/>
              <w:rPr>
                <w:sz w:val="18"/>
              </w:rPr>
            </w:pPr>
          </w:p>
        </w:tc>
      </w:tr>
      <w:tr>
        <w:trPr>
          <w:trHeight w:val="498" w:hRule="atLeast"/>
        </w:trPr>
        <w:tc>
          <w:tcPr>
            <w:tcW w:w="2965" w:type="dxa"/>
            <w:tcBorders>
              <w:top w:val="single" w:sz="4" w:space="0" w:color="000000"/>
              <w:bottom w:val="single" w:sz="4" w:space="0" w:color="000000"/>
            </w:tcBorders>
          </w:tcPr>
          <w:p>
            <w:pPr>
              <w:pStyle w:val="TableParagraph"/>
              <w:spacing w:line="230" w:lineRule="atLeast" w:before="18"/>
              <w:ind w:left="14"/>
              <w:jc w:val="left"/>
              <w:rPr>
                <w:sz w:val="20"/>
              </w:rPr>
            </w:pPr>
            <w:r>
              <w:rPr>
                <w:sz w:val="20"/>
              </w:rPr>
              <w:t>Associate</w:t>
            </w:r>
            <w:r>
              <w:rPr>
                <w:spacing w:val="-13"/>
                <w:sz w:val="20"/>
              </w:rPr>
              <w:t> </w:t>
            </w:r>
            <w:r>
              <w:rPr>
                <w:sz w:val="20"/>
              </w:rPr>
              <w:t>Protection</w:t>
            </w:r>
            <w:r>
              <w:rPr>
                <w:spacing w:val="-12"/>
                <w:sz w:val="20"/>
              </w:rPr>
              <w:t> </w:t>
            </w:r>
            <w:r>
              <w:rPr>
                <w:sz w:val="20"/>
              </w:rPr>
              <w:t>Strategies </w:t>
            </w:r>
            <w:r>
              <w:rPr>
                <w:spacing w:val="-2"/>
                <w:sz w:val="20"/>
              </w:rPr>
              <w:t>Officer</w:t>
            </w:r>
            <w:r>
              <w:rPr>
                <w:spacing w:val="-2"/>
                <w:sz w:val="20"/>
                <w:vertAlign w:val="superscript"/>
              </w:rPr>
              <w:t>103</w:t>
            </w:r>
          </w:p>
        </w:tc>
        <w:tc>
          <w:tcPr>
            <w:tcW w:w="745" w:type="dxa"/>
            <w:tcBorders>
              <w:top w:val="single" w:sz="4" w:space="0" w:color="000000"/>
              <w:bottom w:val="single" w:sz="4" w:space="0" w:color="000000"/>
            </w:tcBorders>
          </w:tcPr>
          <w:p>
            <w:pPr>
              <w:pStyle w:val="TableParagraph"/>
              <w:spacing w:before="8"/>
              <w:jc w:val="left"/>
              <w:rPr>
                <w:sz w:val="21"/>
              </w:rPr>
            </w:pPr>
          </w:p>
          <w:p>
            <w:pPr>
              <w:pStyle w:val="TableParagraph"/>
              <w:spacing w:line="229" w:lineRule="exact"/>
              <w:ind w:left="26"/>
              <w:jc w:val="left"/>
              <w:rPr>
                <w:sz w:val="20"/>
              </w:rPr>
            </w:pPr>
            <w:r>
              <w:rPr>
                <w:spacing w:val="-2"/>
                <w:sz w:val="20"/>
              </w:rPr>
              <w:t>P-</w:t>
            </w:r>
            <w:r>
              <w:rPr>
                <w:spacing w:val="-10"/>
                <w:sz w:val="20"/>
              </w:rPr>
              <w:t>2</w:t>
            </w:r>
          </w:p>
        </w:tc>
        <w:tc>
          <w:tcPr>
            <w:tcW w:w="775" w:type="dxa"/>
            <w:tcBorders>
              <w:top w:val="single" w:sz="4" w:space="0" w:color="000000"/>
              <w:bottom w:val="single" w:sz="4" w:space="0" w:color="000000"/>
            </w:tcBorders>
          </w:tcPr>
          <w:p>
            <w:pPr>
              <w:pStyle w:val="TableParagraph"/>
              <w:spacing w:before="8"/>
              <w:jc w:val="left"/>
              <w:rPr>
                <w:sz w:val="21"/>
              </w:rPr>
            </w:pPr>
          </w:p>
          <w:p>
            <w:pPr>
              <w:pStyle w:val="TableParagraph"/>
              <w:spacing w:line="229" w:lineRule="exact"/>
              <w:ind w:right="-15"/>
              <w:rPr>
                <w:sz w:val="20"/>
              </w:rPr>
            </w:pPr>
            <w:r>
              <w:rPr>
                <w:w w:val="100"/>
                <w:sz w:val="20"/>
              </w:rPr>
              <w:t>4</w:t>
            </w:r>
          </w:p>
        </w:tc>
        <w:tc>
          <w:tcPr>
            <w:tcW w:w="920" w:type="dxa"/>
            <w:tcBorders>
              <w:top w:val="single" w:sz="4" w:space="0" w:color="000000"/>
              <w:bottom w:val="single" w:sz="4" w:space="0" w:color="000000"/>
            </w:tcBorders>
          </w:tcPr>
          <w:p>
            <w:pPr>
              <w:pStyle w:val="TableParagraph"/>
              <w:spacing w:before="8"/>
              <w:jc w:val="left"/>
              <w:rPr>
                <w:sz w:val="21"/>
              </w:rPr>
            </w:pPr>
          </w:p>
          <w:p>
            <w:pPr>
              <w:pStyle w:val="TableParagraph"/>
              <w:spacing w:line="229" w:lineRule="exact"/>
              <w:ind w:right="319"/>
              <w:rPr>
                <w:sz w:val="20"/>
              </w:rPr>
            </w:pPr>
            <w:r>
              <w:rPr>
                <w:spacing w:val="-5"/>
                <w:sz w:val="20"/>
              </w:rPr>
              <w:t>48</w:t>
            </w:r>
          </w:p>
        </w:tc>
        <w:tc>
          <w:tcPr>
            <w:tcW w:w="909" w:type="dxa"/>
            <w:tcBorders>
              <w:top w:val="single" w:sz="4" w:space="0" w:color="000000"/>
              <w:bottom w:val="single" w:sz="4" w:space="0" w:color="000000"/>
            </w:tcBorders>
          </w:tcPr>
          <w:p>
            <w:pPr>
              <w:pStyle w:val="TableParagraph"/>
              <w:spacing w:before="8"/>
              <w:jc w:val="left"/>
              <w:rPr>
                <w:sz w:val="21"/>
              </w:rPr>
            </w:pPr>
          </w:p>
          <w:p>
            <w:pPr>
              <w:pStyle w:val="TableParagraph"/>
              <w:spacing w:line="229" w:lineRule="exact"/>
              <w:ind w:right="136"/>
              <w:rPr>
                <w:sz w:val="20"/>
              </w:rPr>
            </w:pPr>
            <w:r>
              <w:rPr>
                <w:spacing w:val="-4"/>
                <w:sz w:val="20"/>
              </w:rPr>
              <w:t>4.00</w:t>
            </w:r>
          </w:p>
        </w:tc>
        <w:tc>
          <w:tcPr>
            <w:tcW w:w="979" w:type="dxa"/>
            <w:tcBorders>
              <w:top w:val="single" w:sz="4" w:space="0" w:color="000000"/>
              <w:bottom w:val="single" w:sz="4" w:space="0" w:color="000000"/>
            </w:tcBorders>
          </w:tcPr>
          <w:p>
            <w:pPr>
              <w:pStyle w:val="TableParagraph"/>
              <w:spacing w:before="8"/>
              <w:jc w:val="left"/>
              <w:rPr>
                <w:sz w:val="21"/>
              </w:rPr>
            </w:pPr>
          </w:p>
          <w:p>
            <w:pPr>
              <w:pStyle w:val="TableParagraph"/>
              <w:spacing w:line="229" w:lineRule="exact"/>
              <w:rPr>
                <w:sz w:val="20"/>
              </w:rPr>
            </w:pPr>
            <w:r>
              <w:rPr>
                <w:spacing w:val="-2"/>
                <w:sz w:val="20"/>
              </w:rPr>
              <w:t>Continued</w:t>
            </w:r>
          </w:p>
        </w:tc>
      </w:tr>
      <w:tr>
        <w:trPr>
          <w:trHeight w:val="504" w:hRule="atLeast"/>
        </w:trPr>
        <w:tc>
          <w:tcPr>
            <w:tcW w:w="2965" w:type="dxa"/>
            <w:tcBorders>
              <w:top w:val="single" w:sz="4" w:space="0" w:color="000000"/>
              <w:bottom w:val="single" w:sz="4" w:space="0" w:color="000000"/>
            </w:tcBorders>
          </w:tcPr>
          <w:p>
            <w:pPr>
              <w:pStyle w:val="TableParagraph"/>
              <w:spacing w:line="230" w:lineRule="atLeast" w:before="19"/>
              <w:ind w:left="14" w:firstLine="201"/>
              <w:jc w:val="left"/>
              <w:rPr>
                <w:i/>
                <w:sz w:val="20"/>
              </w:rPr>
            </w:pPr>
            <w:r>
              <w:rPr>
                <w:i/>
                <w:sz w:val="20"/>
              </w:rPr>
              <w:t>Security</w:t>
            </w:r>
            <w:r>
              <w:rPr>
                <w:i/>
                <w:spacing w:val="-13"/>
                <w:sz w:val="20"/>
              </w:rPr>
              <w:t> </w:t>
            </w:r>
            <w:r>
              <w:rPr>
                <w:i/>
                <w:sz w:val="20"/>
              </w:rPr>
              <w:t>and</w:t>
            </w:r>
            <w:r>
              <w:rPr>
                <w:i/>
                <w:spacing w:val="-12"/>
                <w:sz w:val="20"/>
              </w:rPr>
              <w:t> </w:t>
            </w:r>
            <w:r>
              <w:rPr>
                <w:i/>
                <w:sz w:val="20"/>
              </w:rPr>
              <w:t>Protection</w:t>
            </w:r>
            <w:r>
              <w:rPr>
                <w:i/>
                <w:spacing w:val="-12"/>
                <w:sz w:val="20"/>
              </w:rPr>
              <w:t> </w:t>
            </w:r>
            <w:r>
              <w:rPr>
                <w:i/>
                <w:sz w:val="20"/>
              </w:rPr>
              <w:t>Unit</w:t>
            </w:r>
            <w:r>
              <w:rPr>
                <w:i/>
                <w:sz w:val="20"/>
              </w:rPr>
              <w:t> (Cluster 2)</w:t>
            </w:r>
          </w:p>
        </w:tc>
        <w:tc>
          <w:tcPr>
            <w:tcW w:w="745" w:type="dxa"/>
            <w:tcBorders>
              <w:top w:val="single" w:sz="4" w:space="0" w:color="000000"/>
              <w:bottom w:val="single" w:sz="4" w:space="0" w:color="000000"/>
            </w:tcBorders>
          </w:tcPr>
          <w:p>
            <w:pPr>
              <w:pStyle w:val="TableParagraph"/>
              <w:jc w:val="left"/>
              <w:rPr>
                <w:sz w:val="18"/>
              </w:rPr>
            </w:pPr>
          </w:p>
        </w:tc>
        <w:tc>
          <w:tcPr>
            <w:tcW w:w="775" w:type="dxa"/>
            <w:tcBorders>
              <w:top w:val="single" w:sz="4" w:space="0" w:color="000000"/>
              <w:bottom w:val="single" w:sz="4" w:space="0" w:color="000000"/>
            </w:tcBorders>
          </w:tcPr>
          <w:p>
            <w:pPr>
              <w:pStyle w:val="TableParagraph"/>
              <w:jc w:val="left"/>
              <w:rPr>
                <w:sz w:val="18"/>
              </w:rPr>
            </w:pPr>
          </w:p>
        </w:tc>
        <w:tc>
          <w:tcPr>
            <w:tcW w:w="920" w:type="dxa"/>
            <w:tcBorders>
              <w:top w:val="single" w:sz="4" w:space="0" w:color="000000"/>
              <w:bottom w:val="single" w:sz="4" w:space="0" w:color="000000"/>
            </w:tcBorders>
          </w:tcPr>
          <w:p>
            <w:pPr>
              <w:pStyle w:val="TableParagraph"/>
              <w:jc w:val="left"/>
              <w:rPr>
                <w:sz w:val="18"/>
              </w:rPr>
            </w:pPr>
          </w:p>
        </w:tc>
        <w:tc>
          <w:tcPr>
            <w:tcW w:w="909" w:type="dxa"/>
            <w:tcBorders>
              <w:top w:val="single" w:sz="4" w:space="0" w:color="000000"/>
              <w:bottom w:val="single" w:sz="4" w:space="0" w:color="000000"/>
            </w:tcBorders>
          </w:tcPr>
          <w:p>
            <w:pPr>
              <w:pStyle w:val="TableParagraph"/>
              <w:jc w:val="left"/>
              <w:rPr>
                <w:sz w:val="18"/>
              </w:rPr>
            </w:pPr>
          </w:p>
        </w:tc>
        <w:tc>
          <w:tcPr>
            <w:tcW w:w="979" w:type="dxa"/>
            <w:tcBorders>
              <w:top w:val="single" w:sz="4" w:space="0" w:color="000000"/>
              <w:bottom w:val="single" w:sz="4" w:space="0" w:color="000000"/>
            </w:tcBorders>
          </w:tcPr>
          <w:p>
            <w:pPr>
              <w:pStyle w:val="TableParagraph"/>
              <w:jc w:val="left"/>
              <w:rPr>
                <w:sz w:val="18"/>
              </w:rPr>
            </w:pPr>
          </w:p>
        </w:tc>
      </w:tr>
      <w:tr>
        <w:trPr>
          <w:trHeight w:val="498" w:hRule="atLeast"/>
        </w:trPr>
        <w:tc>
          <w:tcPr>
            <w:tcW w:w="2965" w:type="dxa"/>
            <w:tcBorders>
              <w:top w:val="single" w:sz="4" w:space="0" w:color="000000"/>
              <w:bottom w:val="single" w:sz="4" w:space="0" w:color="000000"/>
            </w:tcBorders>
          </w:tcPr>
          <w:p>
            <w:pPr>
              <w:pStyle w:val="TableParagraph"/>
              <w:spacing w:line="230" w:lineRule="atLeast" w:before="18"/>
              <w:ind w:left="14"/>
              <w:jc w:val="left"/>
              <w:rPr>
                <w:sz w:val="20"/>
              </w:rPr>
            </w:pPr>
            <w:r>
              <w:rPr>
                <w:sz w:val="20"/>
              </w:rPr>
              <w:t>Associate</w:t>
            </w:r>
            <w:r>
              <w:rPr>
                <w:spacing w:val="-13"/>
                <w:sz w:val="20"/>
              </w:rPr>
              <w:t> </w:t>
            </w:r>
            <w:r>
              <w:rPr>
                <w:sz w:val="20"/>
              </w:rPr>
              <w:t>Protection</w:t>
            </w:r>
            <w:r>
              <w:rPr>
                <w:spacing w:val="-12"/>
                <w:sz w:val="20"/>
              </w:rPr>
              <w:t> </w:t>
            </w:r>
            <w:r>
              <w:rPr>
                <w:sz w:val="20"/>
              </w:rPr>
              <w:t>Strategies </w:t>
            </w:r>
            <w:r>
              <w:rPr>
                <w:spacing w:val="-2"/>
                <w:sz w:val="20"/>
              </w:rPr>
              <w:t>Officer</w:t>
            </w:r>
            <w:r>
              <w:rPr>
                <w:spacing w:val="-2"/>
                <w:sz w:val="20"/>
                <w:vertAlign w:val="superscript"/>
              </w:rPr>
              <w:t>104</w:t>
            </w:r>
          </w:p>
        </w:tc>
        <w:tc>
          <w:tcPr>
            <w:tcW w:w="745" w:type="dxa"/>
            <w:tcBorders>
              <w:top w:val="single" w:sz="4" w:space="0" w:color="000000"/>
              <w:bottom w:val="single" w:sz="4" w:space="0" w:color="000000"/>
            </w:tcBorders>
          </w:tcPr>
          <w:p>
            <w:pPr>
              <w:pStyle w:val="TableParagraph"/>
              <w:spacing w:before="8"/>
              <w:jc w:val="left"/>
              <w:rPr>
                <w:sz w:val="21"/>
              </w:rPr>
            </w:pPr>
          </w:p>
          <w:p>
            <w:pPr>
              <w:pStyle w:val="TableParagraph"/>
              <w:spacing w:line="229" w:lineRule="exact"/>
              <w:ind w:left="26"/>
              <w:jc w:val="left"/>
              <w:rPr>
                <w:sz w:val="20"/>
              </w:rPr>
            </w:pPr>
            <w:r>
              <w:rPr>
                <w:spacing w:val="-2"/>
                <w:sz w:val="20"/>
              </w:rPr>
              <w:t>P-</w:t>
            </w:r>
            <w:r>
              <w:rPr>
                <w:spacing w:val="-10"/>
                <w:sz w:val="20"/>
              </w:rPr>
              <w:t>2</w:t>
            </w:r>
          </w:p>
        </w:tc>
        <w:tc>
          <w:tcPr>
            <w:tcW w:w="775" w:type="dxa"/>
            <w:tcBorders>
              <w:top w:val="single" w:sz="4" w:space="0" w:color="000000"/>
              <w:bottom w:val="single" w:sz="4" w:space="0" w:color="000000"/>
            </w:tcBorders>
          </w:tcPr>
          <w:p>
            <w:pPr>
              <w:pStyle w:val="TableParagraph"/>
              <w:spacing w:before="8"/>
              <w:jc w:val="left"/>
              <w:rPr>
                <w:sz w:val="21"/>
              </w:rPr>
            </w:pPr>
          </w:p>
          <w:p>
            <w:pPr>
              <w:pStyle w:val="TableParagraph"/>
              <w:spacing w:line="229" w:lineRule="exact"/>
              <w:ind w:right="-15"/>
              <w:rPr>
                <w:sz w:val="20"/>
              </w:rPr>
            </w:pPr>
            <w:r>
              <w:rPr>
                <w:w w:val="100"/>
                <w:sz w:val="20"/>
              </w:rPr>
              <w:t>2</w:t>
            </w:r>
          </w:p>
        </w:tc>
        <w:tc>
          <w:tcPr>
            <w:tcW w:w="920" w:type="dxa"/>
            <w:tcBorders>
              <w:top w:val="single" w:sz="4" w:space="0" w:color="000000"/>
              <w:bottom w:val="single" w:sz="4" w:space="0" w:color="000000"/>
            </w:tcBorders>
          </w:tcPr>
          <w:p>
            <w:pPr>
              <w:pStyle w:val="TableParagraph"/>
              <w:spacing w:before="8"/>
              <w:jc w:val="left"/>
              <w:rPr>
                <w:sz w:val="21"/>
              </w:rPr>
            </w:pPr>
          </w:p>
          <w:p>
            <w:pPr>
              <w:pStyle w:val="TableParagraph"/>
              <w:spacing w:line="229" w:lineRule="exact"/>
              <w:ind w:right="319"/>
              <w:rPr>
                <w:sz w:val="20"/>
              </w:rPr>
            </w:pPr>
            <w:r>
              <w:rPr>
                <w:spacing w:val="-5"/>
                <w:sz w:val="20"/>
              </w:rPr>
              <w:t>24</w:t>
            </w:r>
          </w:p>
        </w:tc>
        <w:tc>
          <w:tcPr>
            <w:tcW w:w="909" w:type="dxa"/>
            <w:tcBorders>
              <w:top w:val="single" w:sz="4" w:space="0" w:color="000000"/>
              <w:bottom w:val="single" w:sz="4" w:space="0" w:color="000000"/>
            </w:tcBorders>
          </w:tcPr>
          <w:p>
            <w:pPr>
              <w:pStyle w:val="TableParagraph"/>
              <w:spacing w:before="8"/>
              <w:jc w:val="left"/>
              <w:rPr>
                <w:sz w:val="21"/>
              </w:rPr>
            </w:pPr>
          </w:p>
          <w:p>
            <w:pPr>
              <w:pStyle w:val="TableParagraph"/>
              <w:spacing w:line="229" w:lineRule="exact"/>
              <w:ind w:right="136"/>
              <w:rPr>
                <w:sz w:val="20"/>
              </w:rPr>
            </w:pPr>
            <w:r>
              <w:rPr>
                <w:spacing w:val="-4"/>
                <w:sz w:val="20"/>
              </w:rPr>
              <w:t>2.00</w:t>
            </w:r>
          </w:p>
        </w:tc>
        <w:tc>
          <w:tcPr>
            <w:tcW w:w="979" w:type="dxa"/>
            <w:tcBorders>
              <w:top w:val="single" w:sz="4" w:space="0" w:color="000000"/>
              <w:bottom w:val="single" w:sz="4" w:space="0" w:color="000000"/>
            </w:tcBorders>
          </w:tcPr>
          <w:p>
            <w:pPr>
              <w:pStyle w:val="TableParagraph"/>
              <w:spacing w:before="8"/>
              <w:jc w:val="left"/>
              <w:rPr>
                <w:sz w:val="21"/>
              </w:rPr>
            </w:pPr>
          </w:p>
          <w:p>
            <w:pPr>
              <w:pStyle w:val="TableParagraph"/>
              <w:spacing w:line="229" w:lineRule="exact"/>
              <w:rPr>
                <w:sz w:val="20"/>
              </w:rPr>
            </w:pPr>
            <w:r>
              <w:rPr>
                <w:spacing w:val="-2"/>
                <w:sz w:val="20"/>
              </w:rPr>
              <w:t>Continued</w:t>
            </w:r>
          </w:p>
        </w:tc>
      </w:tr>
      <w:tr>
        <w:trPr>
          <w:trHeight w:val="498" w:hRule="atLeast"/>
        </w:trPr>
        <w:tc>
          <w:tcPr>
            <w:tcW w:w="2965" w:type="dxa"/>
            <w:tcBorders>
              <w:top w:val="single" w:sz="4" w:space="0" w:color="000000"/>
              <w:bottom w:val="single" w:sz="4" w:space="0" w:color="000000"/>
            </w:tcBorders>
          </w:tcPr>
          <w:p>
            <w:pPr>
              <w:pStyle w:val="TableParagraph"/>
              <w:spacing w:line="230" w:lineRule="atLeast" w:before="18"/>
              <w:ind w:left="14" w:firstLine="201"/>
              <w:jc w:val="left"/>
              <w:rPr>
                <w:i/>
                <w:sz w:val="20"/>
              </w:rPr>
            </w:pPr>
            <w:r>
              <w:rPr>
                <w:i/>
                <w:sz w:val="20"/>
              </w:rPr>
              <w:t>Security</w:t>
            </w:r>
            <w:r>
              <w:rPr>
                <w:i/>
                <w:spacing w:val="-13"/>
                <w:sz w:val="20"/>
              </w:rPr>
              <w:t> </w:t>
            </w:r>
            <w:r>
              <w:rPr>
                <w:i/>
                <w:sz w:val="20"/>
              </w:rPr>
              <w:t>and</w:t>
            </w:r>
            <w:r>
              <w:rPr>
                <w:i/>
                <w:spacing w:val="-12"/>
                <w:sz w:val="20"/>
              </w:rPr>
              <w:t> </w:t>
            </w:r>
            <w:r>
              <w:rPr>
                <w:i/>
                <w:sz w:val="20"/>
              </w:rPr>
              <w:t>Protection</w:t>
            </w:r>
            <w:r>
              <w:rPr>
                <w:i/>
                <w:spacing w:val="-12"/>
                <w:sz w:val="20"/>
              </w:rPr>
              <w:t> </w:t>
            </w:r>
            <w:r>
              <w:rPr>
                <w:i/>
                <w:sz w:val="20"/>
              </w:rPr>
              <w:t>Unit</w:t>
            </w:r>
            <w:r>
              <w:rPr>
                <w:i/>
                <w:sz w:val="20"/>
              </w:rPr>
              <w:t> (Threat Analysis Cell)</w:t>
            </w:r>
          </w:p>
        </w:tc>
        <w:tc>
          <w:tcPr>
            <w:tcW w:w="745" w:type="dxa"/>
            <w:tcBorders>
              <w:top w:val="single" w:sz="4" w:space="0" w:color="000000"/>
              <w:bottom w:val="single" w:sz="4" w:space="0" w:color="000000"/>
            </w:tcBorders>
          </w:tcPr>
          <w:p>
            <w:pPr>
              <w:pStyle w:val="TableParagraph"/>
              <w:jc w:val="left"/>
              <w:rPr>
                <w:sz w:val="18"/>
              </w:rPr>
            </w:pPr>
          </w:p>
        </w:tc>
        <w:tc>
          <w:tcPr>
            <w:tcW w:w="775" w:type="dxa"/>
            <w:tcBorders>
              <w:top w:val="single" w:sz="4" w:space="0" w:color="000000"/>
              <w:bottom w:val="single" w:sz="4" w:space="0" w:color="000000"/>
            </w:tcBorders>
          </w:tcPr>
          <w:p>
            <w:pPr>
              <w:pStyle w:val="TableParagraph"/>
              <w:jc w:val="left"/>
              <w:rPr>
                <w:sz w:val="18"/>
              </w:rPr>
            </w:pPr>
          </w:p>
        </w:tc>
        <w:tc>
          <w:tcPr>
            <w:tcW w:w="920" w:type="dxa"/>
            <w:tcBorders>
              <w:top w:val="single" w:sz="4" w:space="0" w:color="000000"/>
              <w:bottom w:val="single" w:sz="4" w:space="0" w:color="000000"/>
            </w:tcBorders>
          </w:tcPr>
          <w:p>
            <w:pPr>
              <w:pStyle w:val="TableParagraph"/>
              <w:jc w:val="left"/>
              <w:rPr>
                <w:sz w:val="18"/>
              </w:rPr>
            </w:pPr>
          </w:p>
        </w:tc>
        <w:tc>
          <w:tcPr>
            <w:tcW w:w="909" w:type="dxa"/>
            <w:tcBorders>
              <w:top w:val="single" w:sz="4" w:space="0" w:color="000000"/>
              <w:bottom w:val="single" w:sz="4" w:space="0" w:color="000000"/>
            </w:tcBorders>
          </w:tcPr>
          <w:p>
            <w:pPr>
              <w:pStyle w:val="TableParagraph"/>
              <w:jc w:val="left"/>
              <w:rPr>
                <w:sz w:val="18"/>
              </w:rPr>
            </w:pPr>
          </w:p>
        </w:tc>
        <w:tc>
          <w:tcPr>
            <w:tcW w:w="979" w:type="dxa"/>
            <w:tcBorders>
              <w:top w:val="single" w:sz="4" w:space="0" w:color="000000"/>
              <w:bottom w:val="single" w:sz="4" w:space="0" w:color="000000"/>
            </w:tcBorders>
          </w:tcPr>
          <w:p>
            <w:pPr>
              <w:pStyle w:val="TableParagraph"/>
              <w:jc w:val="left"/>
              <w:rPr>
                <w:sz w:val="18"/>
              </w:rPr>
            </w:pPr>
          </w:p>
        </w:tc>
      </w:tr>
      <w:tr>
        <w:trPr>
          <w:trHeight w:val="498" w:hRule="atLeast"/>
        </w:trPr>
        <w:tc>
          <w:tcPr>
            <w:tcW w:w="2965" w:type="dxa"/>
            <w:tcBorders>
              <w:top w:val="single" w:sz="4" w:space="0" w:color="000000"/>
              <w:bottom w:val="single" w:sz="4" w:space="0" w:color="000000"/>
            </w:tcBorders>
          </w:tcPr>
          <w:p>
            <w:pPr>
              <w:pStyle w:val="TableParagraph"/>
              <w:spacing w:line="230" w:lineRule="atLeast" w:before="18"/>
              <w:ind w:left="14"/>
              <w:jc w:val="left"/>
              <w:rPr>
                <w:sz w:val="20"/>
              </w:rPr>
            </w:pPr>
            <w:r>
              <w:rPr>
                <w:sz w:val="20"/>
              </w:rPr>
              <w:t>Associate</w:t>
            </w:r>
            <w:r>
              <w:rPr>
                <w:spacing w:val="-13"/>
                <w:sz w:val="20"/>
              </w:rPr>
              <w:t> </w:t>
            </w:r>
            <w:r>
              <w:rPr>
                <w:sz w:val="20"/>
              </w:rPr>
              <w:t>Protection</w:t>
            </w:r>
            <w:r>
              <w:rPr>
                <w:spacing w:val="-12"/>
                <w:sz w:val="20"/>
              </w:rPr>
              <w:t> </w:t>
            </w:r>
            <w:r>
              <w:rPr>
                <w:sz w:val="20"/>
              </w:rPr>
              <w:t>Strategies </w:t>
            </w:r>
            <w:r>
              <w:rPr>
                <w:spacing w:val="-2"/>
                <w:sz w:val="20"/>
              </w:rPr>
              <w:t>Officer</w:t>
            </w:r>
          </w:p>
        </w:tc>
        <w:tc>
          <w:tcPr>
            <w:tcW w:w="745" w:type="dxa"/>
            <w:tcBorders>
              <w:top w:val="single" w:sz="4" w:space="0" w:color="000000"/>
              <w:bottom w:val="single" w:sz="4" w:space="0" w:color="000000"/>
            </w:tcBorders>
          </w:tcPr>
          <w:p>
            <w:pPr>
              <w:pStyle w:val="TableParagraph"/>
              <w:spacing w:before="8"/>
              <w:jc w:val="left"/>
              <w:rPr>
                <w:sz w:val="21"/>
              </w:rPr>
            </w:pPr>
          </w:p>
          <w:p>
            <w:pPr>
              <w:pStyle w:val="TableParagraph"/>
              <w:spacing w:line="229" w:lineRule="exact"/>
              <w:ind w:left="26"/>
              <w:jc w:val="left"/>
              <w:rPr>
                <w:sz w:val="20"/>
              </w:rPr>
            </w:pPr>
            <w:r>
              <w:rPr>
                <w:spacing w:val="-2"/>
                <w:sz w:val="20"/>
              </w:rPr>
              <w:t>P-</w:t>
            </w:r>
            <w:r>
              <w:rPr>
                <w:spacing w:val="-10"/>
                <w:sz w:val="20"/>
              </w:rPr>
              <w:t>2</w:t>
            </w:r>
          </w:p>
        </w:tc>
        <w:tc>
          <w:tcPr>
            <w:tcW w:w="775" w:type="dxa"/>
            <w:tcBorders>
              <w:top w:val="single" w:sz="4" w:space="0" w:color="000000"/>
              <w:bottom w:val="single" w:sz="4" w:space="0" w:color="000000"/>
            </w:tcBorders>
          </w:tcPr>
          <w:p>
            <w:pPr>
              <w:pStyle w:val="TableParagraph"/>
              <w:spacing w:before="8"/>
              <w:jc w:val="left"/>
              <w:rPr>
                <w:sz w:val="21"/>
              </w:rPr>
            </w:pPr>
          </w:p>
          <w:p>
            <w:pPr>
              <w:pStyle w:val="TableParagraph"/>
              <w:spacing w:line="229" w:lineRule="exact"/>
              <w:ind w:right="-15"/>
              <w:rPr>
                <w:sz w:val="20"/>
              </w:rPr>
            </w:pPr>
            <w:r>
              <w:rPr>
                <w:w w:val="100"/>
                <w:sz w:val="20"/>
              </w:rPr>
              <w:t>1</w:t>
            </w:r>
          </w:p>
        </w:tc>
        <w:tc>
          <w:tcPr>
            <w:tcW w:w="920" w:type="dxa"/>
            <w:tcBorders>
              <w:top w:val="single" w:sz="4" w:space="0" w:color="000000"/>
              <w:bottom w:val="single" w:sz="4" w:space="0" w:color="000000"/>
            </w:tcBorders>
          </w:tcPr>
          <w:p>
            <w:pPr>
              <w:pStyle w:val="TableParagraph"/>
              <w:spacing w:before="8"/>
              <w:jc w:val="left"/>
              <w:rPr>
                <w:sz w:val="21"/>
              </w:rPr>
            </w:pPr>
          </w:p>
          <w:p>
            <w:pPr>
              <w:pStyle w:val="TableParagraph"/>
              <w:spacing w:line="229" w:lineRule="exact"/>
              <w:ind w:right="319"/>
              <w:rPr>
                <w:sz w:val="20"/>
              </w:rPr>
            </w:pPr>
            <w:r>
              <w:rPr>
                <w:spacing w:val="-5"/>
                <w:sz w:val="20"/>
              </w:rPr>
              <w:t>12</w:t>
            </w:r>
          </w:p>
        </w:tc>
        <w:tc>
          <w:tcPr>
            <w:tcW w:w="909" w:type="dxa"/>
            <w:tcBorders>
              <w:top w:val="single" w:sz="4" w:space="0" w:color="000000"/>
              <w:bottom w:val="single" w:sz="4" w:space="0" w:color="000000"/>
            </w:tcBorders>
          </w:tcPr>
          <w:p>
            <w:pPr>
              <w:pStyle w:val="TableParagraph"/>
              <w:spacing w:before="8"/>
              <w:jc w:val="left"/>
              <w:rPr>
                <w:sz w:val="21"/>
              </w:rPr>
            </w:pPr>
          </w:p>
          <w:p>
            <w:pPr>
              <w:pStyle w:val="TableParagraph"/>
              <w:spacing w:line="229" w:lineRule="exact"/>
              <w:ind w:right="136"/>
              <w:rPr>
                <w:sz w:val="20"/>
              </w:rPr>
            </w:pPr>
            <w:r>
              <w:rPr>
                <w:spacing w:val="-4"/>
                <w:sz w:val="20"/>
              </w:rPr>
              <w:t>1.00</w:t>
            </w:r>
          </w:p>
        </w:tc>
        <w:tc>
          <w:tcPr>
            <w:tcW w:w="979" w:type="dxa"/>
            <w:tcBorders>
              <w:top w:val="single" w:sz="4" w:space="0" w:color="000000"/>
              <w:bottom w:val="single" w:sz="4" w:space="0" w:color="000000"/>
            </w:tcBorders>
          </w:tcPr>
          <w:p>
            <w:pPr>
              <w:pStyle w:val="TableParagraph"/>
              <w:spacing w:before="8"/>
              <w:jc w:val="left"/>
              <w:rPr>
                <w:sz w:val="21"/>
              </w:rPr>
            </w:pPr>
          </w:p>
          <w:p>
            <w:pPr>
              <w:pStyle w:val="TableParagraph"/>
              <w:spacing w:line="229" w:lineRule="exact"/>
              <w:rPr>
                <w:sz w:val="20"/>
              </w:rPr>
            </w:pPr>
            <w:r>
              <w:rPr>
                <w:spacing w:val="-2"/>
                <w:sz w:val="20"/>
              </w:rPr>
              <w:t>Continued</w:t>
            </w:r>
          </w:p>
        </w:tc>
      </w:tr>
      <w:tr>
        <w:trPr>
          <w:trHeight w:val="273" w:hRule="atLeast"/>
        </w:trPr>
        <w:tc>
          <w:tcPr>
            <w:tcW w:w="2965" w:type="dxa"/>
            <w:tcBorders>
              <w:top w:val="single" w:sz="4" w:space="0" w:color="000000"/>
              <w:bottom w:val="single" w:sz="4" w:space="0" w:color="000000"/>
            </w:tcBorders>
          </w:tcPr>
          <w:p>
            <w:pPr>
              <w:pStyle w:val="TableParagraph"/>
              <w:spacing w:before="20"/>
              <w:ind w:left="268"/>
              <w:jc w:val="left"/>
              <w:rPr>
                <w:i/>
                <w:sz w:val="20"/>
              </w:rPr>
            </w:pPr>
            <w:r>
              <w:rPr>
                <w:i/>
                <w:spacing w:val="-2"/>
                <w:sz w:val="20"/>
              </w:rPr>
              <w:t>Psychosocial</w:t>
            </w:r>
            <w:r>
              <w:rPr>
                <w:i/>
                <w:spacing w:val="9"/>
                <w:sz w:val="20"/>
              </w:rPr>
              <w:t> </w:t>
            </w:r>
            <w:r>
              <w:rPr>
                <w:i/>
                <w:spacing w:val="-2"/>
                <w:sz w:val="20"/>
              </w:rPr>
              <w:t>Support</w:t>
            </w:r>
          </w:p>
        </w:tc>
        <w:tc>
          <w:tcPr>
            <w:tcW w:w="745" w:type="dxa"/>
            <w:tcBorders>
              <w:top w:val="single" w:sz="4" w:space="0" w:color="000000"/>
              <w:bottom w:val="single" w:sz="4" w:space="0" w:color="000000"/>
            </w:tcBorders>
          </w:tcPr>
          <w:p>
            <w:pPr>
              <w:pStyle w:val="TableParagraph"/>
              <w:jc w:val="left"/>
              <w:rPr>
                <w:sz w:val="18"/>
              </w:rPr>
            </w:pPr>
          </w:p>
        </w:tc>
        <w:tc>
          <w:tcPr>
            <w:tcW w:w="775" w:type="dxa"/>
            <w:tcBorders>
              <w:top w:val="single" w:sz="4" w:space="0" w:color="000000"/>
              <w:bottom w:val="single" w:sz="4" w:space="0" w:color="000000"/>
            </w:tcBorders>
          </w:tcPr>
          <w:p>
            <w:pPr>
              <w:pStyle w:val="TableParagraph"/>
              <w:jc w:val="left"/>
              <w:rPr>
                <w:sz w:val="18"/>
              </w:rPr>
            </w:pPr>
          </w:p>
        </w:tc>
        <w:tc>
          <w:tcPr>
            <w:tcW w:w="920" w:type="dxa"/>
            <w:tcBorders>
              <w:top w:val="single" w:sz="4" w:space="0" w:color="000000"/>
              <w:bottom w:val="single" w:sz="4" w:space="0" w:color="000000"/>
            </w:tcBorders>
          </w:tcPr>
          <w:p>
            <w:pPr>
              <w:pStyle w:val="TableParagraph"/>
              <w:jc w:val="left"/>
              <w:rPr>
                <w:sz w:val="18"/>
              </w:rPr>
            </w:pPr>
          </w:p>
        </w:tc>
        <w:tc>
          <w:tcPr>
            <w:tcW w:w="909" w:type="dxa"/>
            <w:tcBorders>
              <w:top w:val="single" w:sz="4" w:space="0" w:color="000000"/>
              <w:bottom w:val="single" w:sz="4" w:space="0" w:color="000000"/>
            </w:tcBorders>
          </w:tcPr>
          <w:p>
            <w:pPr>
              <w:pStyle w:val="TableParagraph"/>
              <w:jc w:val="left"/>
              <w:rPr>
                <w:sz w:val="18"/>
              </w:rPr>
            </w:pPr>
          </w:p>
        </w:tc>
        <w:tc>
          <w:tcPr>
            <w:tcW w:w="979" w:type="dxa"/>
            <w:tcBorders>
              <w:top w:val="single" w:sz="4" w:space="0" w:color="000000"/>
              <w:bottom w:val="single" w:sz="4" w:space="0" w:color="000000"/>
            </w:tcBorders>
          </w:tcPr>
          <w:p>
            <w:pPr>
              <w:pStyle w:val="TableParagraph"/>
              <w:jc w:val="left"/>
              <w:rPr>
                <w:sz w:val="18"/>
              </w:rPr>
            </w:pPr>
          </w:p>
        </w:tc>
      </w:tr>
      <w:tr>
        <w:trPr>
          <w:trHeight w:val="268" w:hRule="atLeast"/>
        </w:trPr>
        <w:tc>
          <w:tcPr>
            <w:tcW w:w="2965" w:type="dxa"/>
            <w:tcBorders>
              <w:top w:val="single" w:sz="4" w:space="0" w:color="000000"/>
              <w:bottom w:val="single" w:sz="4" w:space="0" w:color="000000"/>
            </w:tcBorders>
          </w:tcPr>
          <w:p>
            <w:pPr>
              <w:pStyle w:val="TableParagraph"/>
              <w:spacing w:line="229" w:lineRule="exact" w:before="19"/>
              <w:ind w:left="14"/>
              <w:jc w:val="left"/>
              <w:rPr>
                <w:sz w:val="20"/>
              </w:rPr>
            </w:pPr>
            <w:r>
              <w:rPr>
                <w:spacing w:val="-2"/>
                <w:sz w:val="20"/>
              </w:rPr>
              <w:t>Psychosocial</w:t>
            </w:r>
            <w:r>
              <w:rPr>
                <w:spacing w:val="11"/>
                <w:sz w:val="20"/>
              </w:rPr>
              <w:t> </w:t>
            </w:r>
            <w:r>
              <w:rPr>
                <w:spacing w:val="-2"/>
                <w:sz w:val="20"/>
              </w:rPr>
              <w:t>expert</w:t>
            </w:r>
            <w:r>
              <w:rPr>
                <w:spacing w:val="-2"/>
                <w:sz w:val="20"/>
                <w:vertAlign w:val="superscript"/>
              </w:rPr>
              <w:t>105</w:t>
            </w:r>
          </w:p>
        </w:tc>
        <w:tc>
          <w:tcPr>
            <w:tcW w:w="745" w:type="dxa"/>
            <w:tcBorders>
              <w:top w:val="single" w:sz="4" w:space="0" w:color="000000"/>
              <w:bottom w:val="single" w:sz="4" w:space="0" w:color="000000"/>
            </w:tcBorders>
          </w:tcPr>
          <w:p>
            <w:pPr>
              <w:pStyle w:val="TableParagraph"/>
              <w:spacing w:line="229" w:lineRule="exact" w:before="19"/>
              <w:ind w:left="26"/>
              <w:jc w:val="left"/>
              <w:rPr>
                <w:sz w:val="20"/>
              </w:rPr>
            </w:pPr>
            <w:r>
              <w:rPr>
                <w:spacing w:val="-2"/>
                <w:sz w:val="20"/>
              </w:rPr>
              <w:t>P-</w:t>
            </w:r>
            <w:r>
              <w:rPr>
                <w:spacing w:val="-10"/>
                <w:sz w:val="20"/>
              </w:rPr>
              <w:t>2</w:t>
            </w:r>
          </w:p>
        </w:tc>
        <w:tc>
          <w:tcPr>
            <w:tcW w:w="775" w:type="dxa"/>
            <w:tcBorders>
              <w:top w:val="single" w:sz="4" w:space="0" w:color="000000"/>
              <w:bottom w:val="single" w:sz="4" w:space="0" w:color="000000"/>
            </w:tcBorders>
          </w:tcPr>
          <w:p>
            <w:pPr>
              <w:pStyle w:val="TableParagraph"/>
              <w:spacing w:line="229" w:lineRule="exact" w:before="19"/>
              <w:ind w:right="-15"/>
              <w:rPr>
                <w:sz w:val="20"/>
              </w:rPr>
            </w:pPr>
            <w:r>
              <w:rPr>
                <w:w w:val="100"/>
                <w:sz w:val="20"/>
              </w:rPr>
              <w:t>1</w:t>
            </w:r>
          </w:p>
        </w:tc>
        <w:tc>
          <w:tcPr>
            <w:tcW w:w="920" w:type="dxa"/>
            <w:tcBorders>
              <w:top w:val="single" w:sz="4" w:space="0" w:color="000000"/>
              <w:bottom w:val="single" w:sz="4" w:space="0" w:color="000000"/>
            </w:tcBorders>
          </w:tcPr>
          <w:p>
            <w:pPr>
              <w:pStyle w:val="TableParagraph"/>
              <w:spacing w:line="229" w:lineRule="exact" w:before="19"/>
              <w:ind w:right="319"/>
              <w:rPr>
                <w:sz w:val="20"/>
              </w:rPr>
            </w:pPr>
            <w:r>
              <w:rPr>
                <w:spacing w:val="-5"/>
                <w:sz w:val="20"/>
              </w:rPr>
              <w:t>12</w:t>
            </w:r>
          </w:p>
        </w:tc>
        <w:tc>
          <w:tcPr>
            <w:tcW w:w="909" w:type="dxa"/>
            <w:tcBorders>
              <w:top w:val="single" w:sz="4" w:space="0" w:color="000000"/>
              <w:bottom w:val="single" w:sz="4" w:space="0" w:color="000000"/>
            </w:tcBorders>
          </w:tcPr>
          <w:p>
            <w:pPr>
              <w:pStyle w:val="TableParagraph"/>
              <w:spacing w:line="229" w:lineRule="exact" w:before="19"/>
              <w:ind w:right="136"/>
              <w:rPr>
                <w:sz w:val="20"/>
              </w:rPr>
            </w:pPr>
            <w:r>
              <w:rPr>
                <w:spacing w:val="-4"/>
                <w:sz w:val="20"/>
              </w:rPr>
              <w:t>1.00</w:t>
            </w:r>
          </w:p>
        </w:tc>
        <w:tc>
          <w:tcPr>
            <w:tcW w:w="979" w:type="dxa"/>
            <w:tcBorders>
              <w:top w:val="single" w:sz="4" w:space="0" w:color="000000"/>
              <w:bottom w:val="single" w:sz="4" w:space="0" w:color="000000"/>
            </w:tcBorders>
          </w:tcPr>
          <w:p>
            <w:pPr>
              <w:pStyle w:val="TableParagraph"/>
              <w:spacing w:line="229" w:lineRule="exact" w:before="19"/>
              <w:rPr>
                <w:sz w:val="20"/>
              </w:rPr>
            </w:pPr>
            <w:r>
              <w:rPr>
                <w:spacing w:val="-2"/>
                <w:sz w:val="20"/>
              </w:rPr>
              <w:t>Continued</w:t>
            </w:r>
          </w:p>
        </w:tc>
      </w:tr>
      <w:tr>
        <w:trPr>
          <w:trHeight w:val="268" w:hRule="atLeast"/>
        </w:trPr>
        <w:tc>
          <w:tcPr>
            <w:tcW w:w="2965" w:type="dxa"/>
            <w:tcBorders>
              <w:top w:val="single" w:sz="4" w:space="0" w:color="000000"/>
              <w:bottom w:val="single" w:sz="4" w:space="0" w:color="000000"/>
            </w:tcBorders>
          </w:tcPr>
          <w:p>
            <w:pPr>
              <w:pStyle w:val="TableParagraph"/>
              <w:spacing w:line="229" w:lineRule="exact" w:before="19"/>
              <w:ind w:left="215"/>
              <w:jc w:val="left"/>
              <w:rPr>
                <w:i/>
                <w:sz w:val="20"/>
              </w:rPr>
            </w:pPr>
            <w:r>
              <w:rPr>
                <w:i/>
                <w:sz w:val="20"/>
              </w:rPr>
              <w:t>Field</w:t>
            </w:r>
            <w:r>
              <w:rPr>
                <w:i/>
                <w:spacing w:val="-8"/>
                <w:sz w:val="20"/>
              </w:rPr>
              <w:t> </w:t>
            </w:r>
            <w:r>
              <w:rPr>
                <w:i/>
                <w:sz w:val="20"/>
              </w:rPr>
              <w:t>Witness</w:t>
            </w:r>
            <w:r>
              <w:rPr>
                <w:i/>
                <w:spacing w:val="-4"/>
                <w:sz w:val="20"/>
              </w:rPr>
              <w:t> </w:t>
            </w:r>
            <w:r>
              <w:rPr>
                <w:i/>
                <w:spacing w:val="-2"/>
                <w:sz w:val="20"/>
              </w:rPr>
              <w:t>Management</w:t>
            </w:r>
          </w:p>
        </w:tc>
        <w:tc>
          <w:tcPr>
            <w:tcW w:w="745" w:type="dxa"/>
            <w:tcBorders>
              <w:top w:val="single" w:sz="4" w:space="0" w:color="000000"/>
              <w:bottom w:val="single" w:sz="4" w:space="0" w:color="000000"/>
            </w:tcBorders>
          </w:tcPr>
          <w:p>
            <w:pPr>
              <w:pStyle w:val="TableParagraph"/>
              <w:jc w:val="left"/>
              <w:rPr>
                <w:sz w:val="18"/>
              </w:rPr>
            </w:pPr>
          </w:p>
        </w:tc>
        <w:tc>
          <w:tcPr>
            <w:tcW w:w="775" w:type="dxa"/>
            <w:tcBorders>
              <w:top w:val="single" w:sz="4" w:space="0" w:color="000000"/>
              <w:bottom w:val="single" w:sz="4" w:space="0" w:color="000000"/>
            </w:tcBorders>
          </w:tcPr>
          <w:p>
            <w:pPr>
              <w:pStyle w:val="TableParagraph"/>
              <w:jc w:val="left"/>
              <w:rPr>
                <w:sz w:val="18"/>
              </w:rPr>
            </w:pPr>
          </w:p>
        </w:tc>
        <w:tc>
          <w:tcPr>
            <w:tcW w:w="920" w:type="dxa"/>
            <w:tcBorders>
              <w:top w:val="single" w:sz="4" w:space="0" w:color="000000"/>
              <w:bottom w:val="single" w:sz="4" w:space="0" w:color="000000"/>
            </w:tcBorders>
          </w:tcPr>
          <w:p>
            <w:pPr>
              <w:pStyle w:val="TableParagraph"/>
              <w:jc w:val="left"/>
              <w:rPr>
                <w:sz w:val="18"/>
              </w:rPr>
            </w:pPr>
          </w:p>
        </w:tc>
        <w:tc>
          <w:tcPr>
            <w:tcW w:w="909" w:type="dxa"/>
            <w:tcBorders>
              <w:top w:val="single" w:sz="4" w:space="0" w:color="000000"/>
              <w:bottom w:val="single" w:sz="4" w:space="0" w:color="000000"/>
            </w:tcBorders>
          </w:tcPr>
          <w:p>
            <w:pPr>
              <w:pStyle w:val="TableParagraph"/>
              <w:jc w:val="left"/>
              <w:rPr>
                <w:sz w:val="18"/>
              </w:rPr>
            </w:pPr>
          </w:p>
        </w:tc>
        <w:tc>
          <w:tcPr>
            <w:tcW w:w="979" w:type="dxa"/>
            <w:tcBorders>
              <w:top w:val="single" w:sz="4" w:space="0" w:color="000000"/>
              <w:bottom w:val="single" w:sz="4" w:space="0" w:color="000000"/>
            </w:tcBorders>
          </w:tcPr>
          <w:p>
            <w:pPr>
              <w:pStyle w:val="TableParagraph"/>
              <w:jc w:val="left"/>
              <w:rPr>
                <w:sz w:val="18"/>
              </w:rPr>
            </w:pPr>
          </w:p>
        </w:tc>
      </w:tr>
      <w:tr>
        <w:trPr>
          <w:trHeight w:val="271" w:hRule="atLeast"/>
        </w:trPr>
        <w:tc>
          <w:tcPr>
            <w:tcW w:w="2965" w:type="dxa"/>
            <w:tcBorders>
              <w:top w:val="single" w:sz="4" w:space="0" w:color="000000"/>
            </w:tcBorders>
          </w:tcPr>
          <w:p>
            <w:pPr>
              <w:pStyle w:val="TableParagraph"/>
              <w:spacing w:before="19"/>
              <w:ind w:left="14"/>
              <w:jc w:val="left"/>
              <w:rPr>
                <w:sz w:val="20"/>
              </w:rPr>
            </w:pPr>
            <w:r>
              <w:rPr>
                <w:sz w:val="20"/>
              </w:rPr>
              <w:t>Protection</w:t>
            </w:r>
            <w:r>
              <w:rPr>
                <w:spacing w:val="-8"/>
                <w:sz w:val="20"/>
              </w:rPr>
              <w:t> </w:t>
            </w:r>
            <w:r>
              <w:rPr>
                <w:sz w:val="20"/>
              </w:rPr>
              <w:t>Strategies</w:t>
            </w:r>
            <w:r>
              <w:rPr>
                <w:spacing w:val="-11"/>
                <w:sz w:val="20"/>
              </w:rPr>
              <w:t> </w:t>
            </w:r>
            <w:r>
              <w:rPr>
                <w:spacing w:val="-2"/>
                <w:sz w:val="20"/>
              </w:rPr>
              <w:t>Assistant</w:t>
            </w:r>
            <w:r>
              <w:rPr>
                <w:spacing w:val="-2"/>
                <w:sz w:val="20"/>
                <w:vertAlign w:val="superscript"/>
              </w:rPr>
              <w:t>106</w:t>
            </w:r>
          </w:p>
        </w:tc>
        <w:tc>
          <w:tcPr>
            <w:tcW w:w="745" w:type="dxa"/>
            <w:tcBorders>
              <w:top w:val="single" w:sz="4" w:space="0" w:color="000000"/>
            </w:tcBorders>
          </w:tcPr>
          <w:p>
            <w:pPr>
              <w:pStyle w:val="TableParagraph"/>
              <w:spacing w:before="19"/>
              <w:ind w:left="26"/>
              <w:jc w:val="left"/>
              <w:rPr>
                <w:sz w:val="20"/>
              </w:rPr>
            </w:pPr>
            <w:r>
              <w:rPr>
                <w:spacing w:val="-2"/>
                <w:sz w:val="20"/>
              </w:rPr>
              <w:t>GS-</w:t>
            </w:r>
            <w:r>
              <w:rPr>
                <w:spacing w:val="-7"/>
                <w:sz w:val="20"/>
              </w:rPr>
              <w:t>OL</w:t>
            </w:r>
          </w:p>
        </w:tc>
        <w:tc>
          <w:tcPr>
            <w:tcW w:w="775" w:type="dxa"/>
            <w:tcBorders>
              <w:top w:val="single" w:sz="4" w:space="0" w:color="000000"/>
            </w:tcBorders>
          </w:tcPr>
          <w:p>
            <w:pPr>
              <w:pStyle w:val="TableParagraph"/>
              <w:spacing w:before="19"/>
              <w:ind w:right="-15"/>
              <w:rPr>
                <w:sz w:val="20"/>
              </w:rPr>
            </w:pPr>
            <w:r>
              <w:rPr>
                <w:w w:val="100"/>
                <w:sz w:val="20"/>
              </w:rPr>
              <w:t>2</w:t>
            </w:r>
          </w:p>
        </w:tc>
        <w:tc>
          <w:tcPr>
            <w:tcW w:w="920" w:type="dxa"/>
            <w:tcBorders>
              <w:top w:val="single" w:sz="4" w:space="0" w:color="000000"/>
            </w:tcBorders>
          </w:tcPr>
          <w:p>
            <w:pPr>
              <w:pStyle w:val="TableParagraph"/>
              <w:spacing w:before="19"/>
              <w:ind w:right="319"/>
              <w:rPr>
                <w:sz w:val="20"/>
              </w:rPr>
            </w:pPr>
            <w:r>
              <w:rPr>
                <w:spacing w:val="-5"/>
                <w:sz w:val="20"/>
              </w:rPr>
              <w:t>24</w:t>
            </w:r>
          </w:p>
        </w:tc>
        <w:tc>
          <w:tcPr>
            <w:tcW w:w="909" w:type="dxa"/>
            <w:tcBorders>
              <w:top w:val="single" w:sz="4" w:space="0" w:color="000000"/>
            </w:tcBorders>
          </w:tcPr>
          <w:p>
            <w:pPr>
              <w:pStyle w:val="TableParagraph"/>
              <w:spacing w:before="19"/>
              <w:ind w:right="136"/>
              <w:rPr>
                <w:sz w:val="20"/>
              </w:rPr>
            </w:pPr>
            <w:r>
              <w:rPr>
                <w:spacing w:val="-4"/>
                <w:sz w:val="20"/>
              </w:rPr>
              <w:t>2.00</w:t>
            </w:r>
          </w:p>
        </w:tc>
        <w:tc>
          <w:tcPr>
            <w:tcW w:w="979" w:type="dxa"/>
            <w:tcBorders>
              <w:top w:val="single" w:sz="4" w:space="0" w:color="000000"/>
            </w:tcBorders>
          </w:tcPr>
          <w:p>
            <w:pPr>
              <w:pStyle w:val="TableParagraph"/>
              <w:spacing w:before="19"/>
              <w:rPr>
                <w:sz w:val="20"/>
              </w:rPr>
            </w:pPr>
            <w:r>
              <w:rPr>
                <w:spacing w:val="-2"/>
                <w:sz w:val="20"/>
              </w:rPr>
              <w:t>Continued</w:t>
            </w:r>
          </w:p>
        </w:tc>
      </w:tr>
      <w:tr>
        <w:trPr>
          <w:trHeight w:val="270" w:hRule="atLeast"/>
        </w:trPr>
        <w:tc>
          <w:tcPr>
            <w:tcW w:w="2965" w:type="dxa"/>
            <w:tcBorders>
              <w:bottom w:val="single" w:sz="4" w:space="0" w:color="000000"/>
            </w:tcBorders>
          </w:tcPr>
          <w:p>
            <w:pPr>
              <w:pStyle w:val="TableParagraph"/>
              <w:spacing w:line="229" w:lineRule="exact" w:before="22"/>
              <w:ind w:left="14"/>
              <w:jc w:val="left"/>
              <w:rPr>
                <w:sz w:val="20"/>
              </w:rPr>
            </w:pPr>
            <w:r>
              <w:rPr>
                <w:sz w:val="20"/>
              </w:rPr>
              <w:t>Protection</w:t>
            </w:r>
            <w:r>
              <w:rPr>
                <w:spacing w:val="-8"/>
                <w:sz w:val="20"/>
              </w:rPr>
              <w:t> </w:t>
            </w:r>
            <w:r>
              <w:rPr>
                <w:sz w:val="20"/>
              </w:rPr>
              <w:t>Strategies</w:t>
            </w:r>
            <w:r>
              <w:rPr>
                <w:spacing w:val="-11"/>
                <w:sz w:val="20"/>
              </w:rPr>
              <w:t> </w:t>
            </w:r>
            <w:r>
              <w:rPr>
                <w:spacing w:val="-2"/>
                <w:sz w:val="20"/>
              </w:rPr>
              <w:t>Assistant</w:t>
            </w:r>
            <w:r>
              <w:rPr>
                <w:spacing w:val="-2"/>
                <w:sz w:val="20"/>
                <w:vertAlign w:val="superscript"/>
              </w:rPr>
              <w:t>107</w:t>
            </w:r>
          </w:p>
        </w:tc>
        <w:tc>
          <w:tcPr>
            <w:tcW w:w="745" w:type="dxa"/>
            <w:tcBorders>
              <w:bottom w:val="single" w:sz="4" w:space="0" w:color="000000"/>
            </w:tcBorders>
          </w:tcPr>
          <w:p>
            <w:pPr>
              <w:pStyle w:val="TableParagraph"/>
              <w:spacing w:line="229" w:lineRule="exact" w:before="22"/>
              <w:ind w:left="26"/>
              <w:jc w:val="left"/>
              <w:rPr>
                <w:sz w:val="20"/>
              </w:rPr>
            </w:pPr>
            <w:r>
              <w:rPr>
                <w:spacing w:val="-2"/>
                <w:sz w:val="20"/>
              </w:rPr>
              <w:t>GS-</w:t>
            </w:r>
            <w:r>
              <w:rPr>
                <w:spacing w:val="-7"/>
                <w:sz w:val="20"/>
              </w:rPr>
              <w:t>OL</w:t>
            </w:r>
          </w:p>
        </w:tc>
        <w:tc>
          <w:tcPr>
            <w:tcW w:w="775" w:type="dxa"/>
            <w:tcBorders>
              <w:bottom w:val="single" w:sz="4" w:space="0" w:color="000000"/>
            </w:tcBorders>
          </w:tcPr>
          <w:p>
            <w:pPr>
              <w:pStyle w:val="TableParagraph"/>
              <w:spacing w:line="229" w:lineRule="exact" w:before="22"/>
              <w:ind w:right="-15"/>
              <w:rPr>
                <w:sz w:val="20"/>
              </w:rPr>
            </w:pPr>
            <w:r>
              <w:rPr>
                <w:w w:val="100"/>
                <w:sz w:val="20"/>
              </w:rPr>
              <w:t>1</w:t>
            </w:r>
          </w:p>
        </w:tc>
        <w:tc>
          <w:tcPr>
            <w:tcW w:w="920" w:type="dxa"/>
            <w:tcBorders>
              <w:bottom w:val="single" w:sz="4" w:space="0" w:color="000000"/>
            </w:tcBorders>
          </w:tcPr>
          <w:p>
            <w:pPr>
              <w:pStyle w:val="TableParagraph"/>
              <w:spacing w:line="229" w:lineRule="exact" w:before="22"/>
              <w:ind w:right="319"/>
              <w:rPr>
                <w:sz w:val="20"/>
              </w:rPr>
            </w:pPr>
            <w:r>
              <w:rPr>
                <w:w w:val="100"/>
                <w:sz w:val="20"/>
              </w:rPr>
              <w:t>9</w:t>
            </w:r>
          </w:p>
        </w:tc>
        <w:tc>
          <w:tcPr>
            <w:tcW w:w="909" w:type="dxa"/>
            <w:tcBorders>
              <w:bottom w:val="single" w:sz="4" w:space="0" w:color="000000"/>
            </w:tcBorders>
          </w:tcPr>
          <w:p>
            <w:pPr>
              <w:pStyle w:val="TableParagraph"/>
              <w:spacing w:line="229" w:lineRule="exact" w:before="22"/>
              <w:ind w:right="136"/>
              <w:rPr>
                <w:sz w:val="20"/>
              </w:rPr>
            </w:pPr>
            <w:r>
              <w:rPr>
                <w:spacing w:val="-4"/>
                <w:sz w:val="20"/>
              </w:rPr>
              <w:t>0.75</w:t>
            </w:r>
          </w:p>
        </w:tc>
        <w:tc>
          <w:tcPr>
            <w:tcW w:w="979" w:type="dxa"/>
            <w:tcBorders>
              <w:bottom w:val="single" w:sz="4" w:space="0" w:color="000000"/>
            </w:tcBorders>
          </w:tcPr>
          <w:p>
            <w:pPr>
              <w:pStyle w:val="TableParagraph"/>
              <w:spacing w:line="229" w:lineRule="exact" w:before="22"/>
              <w:rPr>
                <w:sz w:val="20"/>
              </w:rPr>
            </w:pPr>
            <w:r>
              <w:rPr>
                <w:spacing w:val="-5"/>
                <w:sz w:val="20"/>
              </w:rPr>
              <w:t>New</w:t>
            </w:r>
          </w:p>
        </w:tc>
      </w:tr>
      <w:tr>
        <w:trPr>
          <w:trHeight w:val="268" w:hRule="atLeast"/>
        </w:trPr>
        <w:tc>
          <w:tcPr>
            <w:tcW w:w="2965" w:type="dxa"/>
            <w:tcBorders>
              <w:top w:val="single" w:sz="4" w:space="0" w:color="000000"/>
              <w:bottom w:val="single" w:sz="4" w:space="0" w:color="000000"/>
            </w:tcBorders>
          </w:tcPr>
          <w:p>
            <w:pPr>
              <w:pStyle w:val="TableParagraph"/>
              <w:jc w:val="left"/>
              <w:rPr>
                <w:sz w:val="18"/>
              </w:rPr>
            </w:pPr>
          </w:p>
        </w:tc>
        <w:tc>
          <w:tcPr>
            <w:tcW w:w="745" w:type="dxa"/>
            <w:tcBorders>
              <w:top w:val="single" w:sz="4" w:space="0" w:color="000000"/>
              <w:bottom w:val="single" w:sz="4" w:space="0" w:color="000000"/>
            </w:tcBorders>
          </w:tcPr>
          <w:p>
            <w:pPr>
              <w:pStyle w:val="TableParagraph"/>
              <w:jc w:val="left"/>
              <w:rPr>
                <w:sz w:val="18"/>
              </w:rPr>
            </w:pPr>
          </w:p>
        </w:tc>
        <w:tc>
          <w:tcPr>
            <w:tcW w:w="775" w:type="dxa"/>
            <w:tcBorders>
              <w:top w:val="single" w:sz="4" w:space="0" w:color="000000"/>
              <w:bottom w:val="single" w:sz="4" w:space="0" w:color="000000"/>
            </w:tcBorders>
          </w:tcPr>
          <w:p>
            <w:pPr>
              <w:pStyle w:val="TableParagraph"/>
              <w:spacing w:line="229" w:lineRule="exact" w:before="19"/>
              <w:ind w:right="-15"/>
              <w:rPr>
                <w:b/>
                <w:sz w:val="20"/>
              </w:rPr>
            </w:pPr>
            <w:r>
              <w:rPr>
                <w:b/>
                <w:spacing w:val="-5"/>
                <w:sz w:val="20"/>
              </w:rPr>
              <w:t>11</w:t>
            </w:r>
          </w:p>
        </w:tc>
        <w:tc>
          <w:tcPr>
            <w:tcW w:w="920" w:type="dxa"/>
            <w:tcBorders>
              <w:top w:val="single" w:sz="4" w:space="0" w:color="000000"/>
              <w:bottom w:val="single" w:sz="4" w:space="0" w:color="000000"/>
            </w:tcBorders>
          </w:tcPr>
          <w:p>
            <w:pPr>
              <w:pStyle w:val="TableParagraph"/>
              <w:spacing w:line="229" w:lineRule="exact" w:before="19"/>
              <w:ind w:right="313"/>
              <w:rPr>
                <w:b/>
                <w:sz w:val="20"/>
              </w:rPr>
            </w:pPr>
            <w:r>
              <w:rPr>
                <w:b/>
                <w:spacing w:val="-5"/>
                <w:sz w:val="20"/>
              </w:rPr>
              <w:t>129</w:t>
            </w:r>
          </w:p>
        </w:tc>
        <w:tc>
          <w:tcPr>
            <w:tcW w:w="909" w:type="dxa"/>
            <w:tcBorders>
              <w:top w:val="single" w:sz="4" w:space="0" w:color="000000"/>
              <w:bottom w:val="single" w:sz="4" w:space="0" w:color="000000"/>
            </w:tcBorders>
          </w:tcPr>
          <w:p>
            <w:pPr>
              <w:pStyle w:val="TableParagraph"/>
              <w:spacing w:line="229" w:lineRule="exact" w:before="19"/>
              <w:ind w:right="136"/>
              <w:rPr>
                <w:b/>
                <w:sz w:val="20"/>
              </w:rPr>
            </w:pPr>
            <w:r>
              <w:rPr>
                <w:b/>
                <w:spacing w:val="-2"/>
                <w:sz w:val="20"/>
              </w:rPr>
              <w:t>10.75</w:t>
            </w:r>
          </w:p>
        </w:tc>
        <w:tc>
          <w:tcPr>
            <w:tcW w:w="979" w:type="dxa"/>
            <w:tcBorders>
              <w:top w:val="single" w:sz="4" w:space="0" w:color="000000"/>
              <w:bottom w:val="single" w:sz="4" w:space="0" w:color="000000"/>
            </w:tcBorders>
          </w:tcPr>
          <w:p>
            <w:pPr>
              <w:pStyle w:val="TableParagraph"/>
              <w:jc w:val="left"/>
              <w:rPr>
                <w:sz w:val="18"/>
              </w:rPr>
            </w:pPr>
          </w:p>
        </w:tc>
      </w:tr>
      <w:tr>
        <w:trPr>
          <w:trHeight w:val="273" w:hRule="atLeast"/>
        </w:trPr>
        <w:tc>
          <w:tcPr>
            <w:tcW w:w="2965" w:type="dxa"/>
            <w:tcBorders>
              <w:top w:val="single" w:sz="4" w:space="0" w:color="000000"/>
              <w:bottom w:val="single" w:sz="4" w:space="0" w:color="000000"/>
            </w:tcBorders>
          </w:tcPr>
          <w:p>
            <w:pPr>
              <w:pStyle w:val="TableParagraph"/>
              <w:spacing w:before="20"/>
              <w:ind w:left="215"/>
              <w:jc w:val="left"/>
              <w:rPr>
                <w:i/>
                <w:sz w:val="20"/>
              </w:rPr>
            </w:pPr>
            <w:r>
              <w:rPr>
                <w:i/>
                <w:sz w:val="20"/>
              </w:rPr>
              <w:t>Field</w:t>
            </w:r>
            <w:r>
              <w:rPr>
                <w:i/>
                <w:spacing w:val="-11"/>
                <w:sz w:val="20"/>
              </w:rPr>
              <w:t> </w:t>
            </w:r>
            <w:r>
              <w:rPr>
                <w:i/>
                <w:sz w:val="20"/>
              </w:rPr>
              <w:t>Operations</w:t>
            </w:r>
            <w:r>
              <w:rPr>
                <w:i/>
                <w:spacing w:val="-5"/>
                <w:sz w:val="20"/>
              </w:rPr>
              <w:t> </w:t>
            </w:r>
            <w:r>
              <w:rPr>
                <w:i/>
                <w:spacing w:val="-4"/>
                <w:sz w:val="20"/>
              </w:rPr>
              <w:t>Unit</w:t>
            </w:r>
          </w:p>
        </w:tc>
        <w:tc>
          <w:tcPr>
            <w:tcW w:w="745" w:type="dxa"/>
            <w:tcBorders>
              <w:top w:val="single" w:sz="4" w:space="0" w:color="000000"/>
              <w:bottom w:val="single" w:sz="4" w:space="0" w:color="000000"/>
            </w:tcBorders>
          </w:tcPr>
          <w:p>
            <w:pPr>
              <w:pStyle w:val="TableParagraph"/>
              <w:jc w:val="left"/>
              <w:rPr>
                <w:sz w:val="18"/>
              </w:rPr>
            </w:pPr>
          </w:p>
        </w:tc>
        <w:tc>
          <w:tcPr>
            <w:tcW w:w="775" w:type="dxa"/>
            <w:tcBorders>
              <w:top w:val="single" w:sz="4" w:space="0" w:color="000000"/>
              <w:bottom w:val="single" w:sz="4" w:space="0" w:color="000000"/>
            </w:tcBorders>
          </w:tcPr>
          <w:p>
            <w:pPr>
              <w:pStyle w:val="TableParagraph"/>
              <w:jc w:val="left"/>
              <w:rPr>
                <w:sz w:val="18"/>
              </w:rPr>
            </w:pPr>
          </w:p>
        </w:tc>
        <w:tc>
          <w:tcPr>
            <w:tcW w:w="920" w:type="dxa"/>
            <w:tcBorders>
              <w:top w:val="single" w:sz="4" w:space="0" w:color="000000"/>
              <w:bottom w:val="single" w:sz="4" w:space="0" w:color="000000"/>
            </w:tcBorders>
          </w:tcPr>
          <w:p>
            <w:pPr>
              <w:pStyle w:val="TableParagraph"/>
              <w:jc w:val="left"/>
              <w:rPr>
                <w:sz w:val="18"/>
              </w:rPr>
            </w:pPr>
          </w:p>
        </w:tc>
        <w:tc>
          <w:tcPr>
            <w:tcW w:w="909" w:type="dxa"/>
            <w:tcBorders>
              <w:top w:val="single" w:sz="4" w:space="0" w:color="000000"/>
              <w:bottom w:val="single" w:sz="4" w:space="0" w:color="000000"/>
            </w:tcBorders>
          </w:tcPr>
          <w:p>
            <w:pPr>
              <w:pStyle w:val="TableParagraph"/>
              <w:jc w:val="left"/>
              <w:rPr>
                <w:sz w:val="18"/>
              </w:rPr>
            </w:pPr>
          </w:p>
        </w:tc>
        <w:tc>
          <w:tcPr>
            <w:tcW w:w="979" w:type="dxa"/>
            <w:tcBorders>
              <w:top w:val="single" w:sz="4" w:space="0" w:color="000000"/>
              <w:bottom w:val="single" w:sz="4" w:space="0" w:color="000000"/>
            </w:tcBorders>
          </w:tcPr>
          <w:p>
            <w:pPr>
              <w:pStyle w:val="TableParagraph"/>
              <w:jc w:val="left"/>
              <w:rPr>
                <w:sz w:val="18"/>
              </w:rPr>
            </w:pPr>
          </w:p>
        </w:tc>
      </w:tr>
      <w:tr>
        <w:trPr>
          <w:trHeight w:val="268" w:hRule="atLeast"/>
        </w:trPr>
        <w:tc>
          <w:tcPr>
            <w:tcW w:w="2965" w:type="dxa"/>
            <w:tcBorders>
              <w:top w:val="single" w:sz="4" w:space="0" w:color="000000"/>
            </w:tcBorders>
          </w:tcPr>
          <w:p>
            <w:pPr>
              <w:pStyle w:val="TableParagraph"/>
              <w:spacing w:line="229" w:lineRule="exact" w:before="19"/>
              <w:ind w:left="14"/>
              <w:jc w:val="left"/>
              <w:rPr>
                <w:sz w:val="20"/>
              </w:rPr>
            </w:pPr>
            <w:r>
              <w:rPr>
                <w:sz w:val="20"/>
              </w:rPr>
              <w:t>Operations</w:t>
            </w:r>
            <w:r>
              <w:rPr>
                <w:spacing w:val="-10"/>
                <w:sz w:val="20"/>
              </w:rPr>
              <w:t> </w:t>
            </w:r>
            <w:r>
              <w:rPr>
                <w:sz w:val="20"/>
              </w:rPr>
              <w:t>Risk</w:t>
            </w:r>
            <w:r>
              <w:rPr>
                <w:spacing w:val="-7"/>
                <w:sz w:val="20"/>
              </w:rPr>
              <w:t> </w:t>
            </w:r>
            <w:r>
              <w:rPr>
                <w:sz w:val="20"/>
              </w:rPr>
              <w:t>and</w:t>
            </w:r>
            <w:r>
              <w:rPr>
                <w:spacing w:val="-2"/>
                <w:sz w:val="20"/>
              </w:rPr>
              <w:t> </w:t>
            </w:r>
            <w:r>
              <w:rPr>
                <w:sz w:val="20"/>
              </w:rPr>
              <w:t>Field</w:t>
            </w:r>
            <w:r>
              <w:rPr>
                <w:spacing w:val="-1"/>
                <w:sz w:val="20"/>
              </w:rPr>
              <w:t> </w:t>
            </w:r>
            <w:r>
              <w:rPr>
                <w:spacing w:val="-2"/>
                <w:sz w:val="20"/>
              </w:rPr>
              <w:t>Officer</w:t>
            </w:r>
            <w:r>
              <w:rPr>
                <w:spacing w:val="-2"/>
                <w:sz w:val="20"/>
                <w:vertAlign w:val="superscript"/>
              </w:rPr>
              <w:t>108</w:t>
            </w:r>
          </w:p>
        </w:tc>
        <w:tc>
          <w:tcPr>
            <w:tcW w:w="745" w:type="dxa"/>
            <w:tcBorders>
              <w:top w:val="single" w:sz="4" w:space="0" w:color="000000"/>
            </w:tcBorders>
          </w:tcPr>
          <w:p>
            <w:pPr>
              <w:pStyle w:val="TableParagraph"/>
              <w:spacing w:line="229" w:lineRule="exact" w:before="19"/>
              <w:ind w:left="26"/>
              <w:jc w:val="left"/>
              <w:rPr>
                <w:sz w:val="20"/>
              </w:rPr>
            </w:pPr>
            <w:r>
              <w:rPr>
                <w:spacing w:val="-2"/>
                <w:sz w:val="20"/>
              </w:rPr>
              <w:t>P-</w:t>
            </w:r>
            <w:r>
              <w:rPr>
                <w:spacing w:val="-10"/>
                <w:sz w:val="20"/>
              </w:rPr>
              <w:t>3</w:t>
            </w:r>
          </w:p>
        </w:tc>
        <w:tc>
          <w:tcPr>
            <w:tcW w:w="775" w:type="dxa"/>
            <w:tcBorders>
              <w:top w:val="single" w:sz="4" w:space="0" w:color="000000"/>
            </w:tcBorders>
          </w:tcPr>
          <w:p>
            <w:pPr>
              <w:pStyle w:val="TableParagraph"/>
              <w:spacing w:line="229" w:lineRule="exact" w:before="19"/>
              <w:ind w:right="-15"/>
              <w:rPr>
                <w:sz w:val="20"/>
              </w:rPr>
            </w:pPr>
            <w:r>
              <w:rPr>
                <w:w w:val="100"/>
                <w:sz w:val="20"/>
              </w:rPr>
              <w:t>1</w:t>
            </w:r>
          </w:p>
        </w:tc>
        <w:tc>
          <w:tcPr>
            <w:tcW w:w="920" w:type="dxa"/>
            <w:tcBorders>
              <w:top w:val="single" w:sz="4" w:space="0" w:color="000000"/>
            </w:tcBorders>
          </w:tcPr>
          <w:p>
            <w:pPr>
              <w:pStyle w:val="TableParagraph"/>
              <w:spacing w:line="229" w:lineRule="exact" w:before="19"/>
              <w:ind w:right="319"/>
              <w:rPr>
                <w:sz w:val="20"/>
              </w:rPr>
            </w:pPr>
            <w:r>
              <w:rPr>
                <w:spacing w:val="-5"/>
                <w:sz w:val="20"/>
              </w:rPr>
              <w:t>12</w:t>
            </w:r>
          </w:p>
        </w:tc>
        <w:tc>
          <w:tcPr>
            <w:tcW w:w="909" w:type="dxa"/>
            <w:tcBorders>
              <w:top w:val="single" w:sz="4" w:space="0" w:color="000000"/>
            </w:tcBorders>
          </w:tcPr>
          <w:p>
            <w:pPr>
              <w:pStyle w:val="TableParagraph"/>
              <w:spacing w:line="229" w:lineRule="exact" w:before="19"/>
              <w:ind w:right="136"/>
              <w:rPr>
                <w:sz w:val="20"/>
              </w:rPr>
            </w:pPr>
            <w:r>
              <w:rPr>
                <w:spacing w:val="-4"/>
                <w:sz w:val="20"/>
              </w:rPr>
              <w:t>1.00</w:t>
            </w:r>
          </w:p>
        </w:tc>
        <w:tc>
          <w:tcPr>
            <w:tcW w:w="979" w:type="dxa"/>
            <w:tcBorders>
              <w:top w:val="single" w:sz="4" w:space="0" w:color="000000"/>
            </w:tcBorders>
          </w:tcPr>
          <w:p>
            <w:pPr>
              <w:pStyle w:val="TableParagraph"/>
              <w:spacing w:line="229" w:lineRule="exact" w:before="19"/>
              <w:rPr>
                <w:sz w:val="20"/>
              </w:rPr>
            </w:pPr>
            <w:r>
              <w:rPr>
                <w:spacing w:val="-2"/>
                <w:sz w:val="20"/>
              </w:rPr>
              <w:t>Continued</w:t>
            </w:r>
          </w:p>
        </w:tc>
      </w:tr>
      <w:tr>
        <w:trPr>
          <w:trHeight w:val="268" w:hRule="atLeast"/>
        </w:trPr>
        <w:tc>
          <w:tcPr>
            <w:tcW w:w="2965" w:type="dxa"/>
          </w:tcPr>
          <w:p>
            <w:pPr>
              <w:pStyle w:val="TableParagraph"/>
              <w:spacing w:line="229" w:lineRule="exact" w:before="19"/>
              <w:ind w:left="14"/>
              <w:jc w:val="left"/>
              <w:rPr>
                <w:sz w:val="20"/>
              </w:rPr>
            </w:pPr>
            <w:r>
              <w:rPr>
                <w:sz w:val="20"/>
              </w:rPr>
              <w:t>Field</w:t>
            </w:r>
            <w:r>
              <w:rPr>
                <w:spacing w:val="-7"/>
                <w:sz w:val="20"/>
              </w:rPr>
              <w:t> </w:t>
            </w:r>
            <w:r>
              <w:rPr>
                <w:sz w:val="20"/>
              </w:rPr>
              <w:t>Operations</w:t>
            </w:r>
            <w:r>
              <w:rPr>
                <w:spacing w:val="-7"/>
                <w:sz w:val="20"/>
              </w:rPr>
              <w:t> </w:t>
            </w:r>
            <w:r>
              <w:rPr>
                <w:spacing w:val="-2"/>
                <w:sz w:val="20"/>
              </w:rPr>
              <w:t>Coordinator</w:t>
            </w:r>
            <w:r>
              <w:rPr>
                <w:spacing w:val="-2"/>
                <w:sz w:val="20"/>
                <w:vertAlign w:val="superscript"/>
              </w:rPr>
              <w:t>109</w:t>
            </w:r>
          </w:p>
        </w:tc>
        <w:tc>
          <w:tcPr>
            <w:tcW w:w="745" w:type="dxa"/>
          </w:tcPr>
          <w:p>
            <w:pPr>
              <w:pStyle w:val="TableParagraph"/>
              <w:spacing w:line="229" w:lineRule="exact" w:before="19"/>
              <w:ind w:left="26"/>
              <w:jc w:val="left"/>
              <w:rPr>
                <w:sz w:val="20"/>
              </w:rPr>
            </w:pPr>
            <w:r>
              <w:rPr>
                <w:spacing w:val="-2"/>
                <w:sz w:val="20"/>
              </w:rPr>
              <w:t>GS-</w:t>
            </w:r>
            <w:r>
              <w:rPr>
                <w:spacing w:val="-7"/>
                <w:sz w:val="20"/>
              </w:rPr>
              <w:t>OL</w:t>
            </w:r>
          </w:p>
        </w:tc>
        <w:tc>
          <w:tcPr>
            <w:tcW w:w="775" w:type="dxa"/>
          </w:tcPr>
          <w:p>
            <w:pPr>
              <w:pStyle w:val="TableParagraph"/>
              <w:spacing w:line="229" w:lineRule="exact" w:before="19"/>
              <w:ind w:right="-15"/>
              <w:rPr>
                <w:sz w:val="20"/>
              </w:rPr>
            </w:pPr>
            <w:r>
              <w:rPr>
                <w:w w:val="100"/>
                <w:sz w:val="20"/>
              </w:rPr>
              <w:t>1</w:t>
            </w:r>
          </w:p>
        </w:tc>
        <w:tc>
          <w:tcPr>
            <w:tcW w:w="920" w:type="dxa"/>
          </w:tcPr>
          <w:p>
            <w:pPr>
              <w:pStyle w:val="TableParagraph"/>
              <w:spacing w:line="229" w:lineRule="exact" w:before="19"/>
              <w:ind w:right="319"/>
              <w:rPr>
                <w:sz w:val="20"/>
              </w:rPr>
            </w:pPr>
            <w:r>
              <w:rPr>
                <w:spacing w:val="-5"/>
                <w:sz w:val="20"/>
              </w:rPr>
              <w:t>12</w:t>
            </w:r>
          </w:p>
        </w:tc>
        <w:tc>
          <w:tcPr>
            <w:tcW w:w="909" w:type="dxa"/>
          </w:tcPr>
          <w:p>
            <w:pPr>
              <w:pStyle w:val="TableParagraph"/>
              <w:spacing w:line="229" w:lineRule="exact" w:before="19"/>
              <w:ind w:right="136"/>
              <w:rPr>
                <w:sz w:val="20"/>
              </w:rPr>
            </w:pPr>
            <w:r>
              <w:rPr>
                <w:spacing w:val="-4"/>
                <w:sz w:val="20"/>
              </w:rPr>
              <w:t>1.00</w:t>
            </w:r>
          </w:p>
        </w:tc>
        <w:tc>
          <w:tcPr>
            <w:tcW w:w="979" w:type="dxa"/>
          </w:tcPr>
          <w:p>
            <w:pPr>
              <w:pStyle w:val="TableParagraph"/>
              <w:spacing w:line="229" w:lineRule="exact" w:before="19"/>
              <w:rPr>
                <w:sz w:val="20"/>
              </w:rPr>
            </w:pPr>
            <w:r>
              <w:rPr>
                <w:spacing w:val="-2"/>
                <w:sz w:val="20"/>
              </w:rPr>
              <w:t>Continued</w:t>
            </w:r>
          </w:p>
        </w:tc>
      </w:tr>
      <w:tr>
        <w:trPr>
          <w:trHeight w:val="268" w:hRule="atLeast"/>
        </w:trPr>
        <w:tc>
          <w:tcPr>
            <w:tcW w:w="2965" w:type="dxa"/>
          </w:tcPr>
          <w:p>
            <w:pPr>
              <w:pStyle w:val="TableParagraph"/>
              <w:spacing w:line="229" w:lineRule="exact" w:before="19"/>
              <w:ind w:left="14"/>
              <w:jc w:val="left"/>
              <w:rPr>
                <w:sz w:val="20"/>
              </w:rPr>
            </w:pPr>
            <w:r>
              <w:rPr>
                <w:sz w:val="20"/>
              </w:rPr>
              <w:t>Field</w:t>
            </w:r>
            <w:r>
              <w:rPr>
                <w:spacing w:val="-7"/>
                <w:sz w:val="20"/>
              </w:rPr>
              <w:t> </w:t>
            </w:r>
            <w:r>
              <w:rPr>
                <w:sz w:val="20"/>
              </w:rPr>
              <w:t>Operations</w:t>
            </w:r>
            <w:r>
              <w:rPr>
                <w:spacing w:val="-7"/>
                <w:sz w:val="20"/>
              </w:rPr>
              <w:t> </w:t>
            </w:r>
            <w:r>
              <w:rPr>
                <w:spacing w:val="-2"/>
                <w:sz w:val="20"/>
              </w:rPr>
              <w:t>Coordinator</w:t>
            </w:r>
            <w:r>
              <w:rPr>
                <w:spacing w:val="-2"/>
                <w:sz w:val="20"/>
                <w:vertAlign w:val="superscript"/>
              </w:rPr>
              <w:t>110</w:t>
            </w:r>
          </w:p>
        </w:tc>
        <w:tc>
          <w:tcPr>
            <w:tcW w:w="745" w:type="dxa"/>
          </w:tcPr>
          <w:p>
            <w:pPr>
              <w:pStyle w:val="TableParagraph"/>
              <w:spacing w:line="229" w:lineRule="exact" w:before="19"/>
              <w:ind w:left="26"/>
              <w:jc w:val="left"/>
              <w:rPr>
                <w:sz w:val="20"/>
              </w:rPr>
            </w:pPr>
            <w:r>
              <w:rPr>
                <w:spacing w:val="-2"/>
                <w:sz w:val="20"/>
              </w:rPr>
              <w:t>GS-</w:t>
            </w:r>
            <w:r>
              <w:rPr>
                <w:spacing w:val="-7"/>
                <w:sz w:val="20"/>
              </w:rPr>
              <w:t>OL</w:t>
            </w:r>
          </w:p>
        </w:tc>
        <w:tc>
          <w:tcPr>
            <w:tcW w:w="775" w:type="dxa"/>
          </w:tcPr>
          <w:p>
            <w:pPr>
              <w:pStyle w:val="TableParagraph"/>
              <w:spacing w:line="229" w:lineRule="exact" w:before="19"/>
              <w:ind w:right="-15"/>
              <w:rPr>
                <w:sz w:val="20"/>
              </w:rPr>
            </w:pPr>
            <w:r>
              <w:rPr>
                <w:w w:val="100"/>
                <w:sz w:val="20"/>
              </w:rPr>
              <w:t>1</w:t>
            </w:r>
          </w:p>
        </w:tc>
        <w:tc>
          <w:tcPr>
            <w:tcW w:w="920" w:type="dxa"/>
          </w:tcPr>
          <w:p>
            <w:pPr>
              <w:pStyle w:val="TableParagraph"/>
              <w:spacing w:line="229" w:lineRule="exact" w:before="19"/>
              <w:ind w:right="319"/>
              <w:rPr>
                <w:sz w:val="20"/>
              </w:rPr>
            </w:pPr>
            <w:r>
              <w:rPr>
                <w:spacing w:val="-5"/>
                <w:sz w:val="20"/>
              </w:rPr>
              <w:t>12</w:t>
            </w:r>
          </w:p>
        </w:tc>
        <w:tc>
          <w:tcPr>
            <w:tcW w:w="909" w:type="dxa"/>
          </w:tcPr>
          <w:p>
            <w:pPr>
              <w:pStyle w:val="TableParagraph"/>
              <w:spacing w:line="229" w:lineRule="exact" w:before="19"/>
              <w:ind w:right="136"/>
              <w:rPr>
                <w:sz w:val="20"/>
              </w:rPr>
            </w:pPr>
            <w:r>
              <w:rPr>
                <w:spacing w:val="-4"/>
                <w:sz w:val="20"/>
              </w:rPr>
              <w:t>1.00</w:t>
            </w:r>
          </w:p>
        </w:tc>
        <w:tc>
          <w:tcPr>
            <w:tcW w:w="979" w:type="dxa"/>
          </w:tcPr>
          <w:p>
            <w:pPr>
              <w:pStyle w:val="TableParagraph"/>
              <w:spacing w:line="229" w:lineRule="exact" w:before="19"/>
              <w:rPr>
                <w:sz w:val="20"/>
              </w:rPr>
            </w:pPr>
            <w:r>
              <w:rPr>
                <w:spacing w:val="-2"/>
                <w:sz w:val="20"/>
              </w:rPr>
              <w:t>Continued</w:t>
            </w:r>
          </w:p>
        </w:tc>
      </w:tr>
      <w:tr>
        <w:trPr>
          <w:trHeight w:val="273" w:hRule="atLeast"/>
        </w:trPr>
        <w:tc>
          <w:tcPr>
            <w:tcW w:w="2965" w:type="dxa"/>
            <w:tcBorders>
              <w:bottom w:val="single" w:sz="4" w:space="0" w:color="000000"/>
            </w:tcBorders>
          </w:tcPr>
          <w:p>
            <w:pPr>
              <w:pStyle w:val="TableParagraph"/>
              <w:spacing w:before="19"/>
              <w:ind w:left="14"/>
              <w:jc w:val="left"/>
              <w:rPr>
                <w:sz w:val="20"/>
              </w:rPr>
            </w:pPr>
            <w:r>
              <w:rPr>
                <w:sz w:val="20"/>
              </w:rPr>
              <w:t>Field</w:t>
            </w:r>
            <w:r>
              <w:rPr>
                <w:spacing w:val="-7"/>
                <w:sz w:val="20"/>
              </w:rPr>
              <w:t> </w:t>
            </w:r>
            <w:r>
              <w:rPr>
                <w:sz w:val="20"/>
              </w:rPr>
              <w:t>Operations</w:t>
            </w:r>
            <w:r>
              <w:rPr>
                <w:spacing w:val="-7"/>
                <w:sz w:val="20"/>
              </w:rPr>
              <w:t> </w:t>
            </w:r>
            <w:r>
              <w:rPr>
                <w:spacing w:val="-2"/>
                <w:sz w:val="20"/>
              </w:rPr>
              <w:t>Coordinator</w:t>
            </w:r>
            <w:r>
              <w:rPr>
                <w:spacing w:val="-2"/>
                <w:sz w:val="20"/>
                <w:vertAlign w:val="superscript"/>
              </w:rPr>
              <w:t>111</w:t>
            </w:r>
          </w:p>
        </w:tc>
        <w:tc>
          <w:tcPr>
            <w:tcW w:w="745" w:type="dxa"/>
            <w:tcBorders>
              <w:bottom w:val="single" w:sz="4" w:space="0" w:color="000000"/>
            </w:tcBorders>
          </w:tcPr>
          <w:p>
            <w:pPr>
              <w:pStyle w:val="TableParagraph"/>
              <w:spacing w:before="19"/>
              <w:ind w:left="26"/>
              <w:jc w:val="left"/>
              <w:rPr>
                <w:sz w:val="20"/>
              </w:rPr>
            </w:pPr>
            <w:r>
              <w:rPr>
                <w:spacing w:val="-2"/>
                <w:sz w:val="20"/>
              </w:rPr>
              <w:t>GS-</w:t>
            </w:r>
            <w:r>
              <w:rPr>
                <w:spacing w:val="-7"/>
                <w:sz w:val="20"/>
              </w:rPr>
              <w:t>OL</w:t>
            </w:r>
          </w:p>
        </w:tc>
        <w:tc>
          <w:tcPr>
            <w:tcW w:w="775" w:type="dxa"/>
            <w:tcBorders>
              <w:bottom w:val="single" w:sz="4" w:space="0" w:color="000000"/>
            </w:tcBorders>
          </w:tcPr>
          <w:p>
            <w:pPr>
              <w:pStyle w:val="TableParagraph"/>
              <w:spacing w:before="19"/>
              <w:ind w:right="-15"/>
              <w:rPr>
                <w:sz w:val="20"/>
              </w:rPr>
            </w:pPr>
            <w:r>
              <w:rPr>
                <w:w w:val="100"/>
                <w:sz w:val="20"/>
              </w:rPr>
              <w:t>1</w:t>
            </w:r>
          </w:p>
        </w:tc>
        <w:tc>
          <w:tcPr>
            <w:tcW w:w="920" w:type="dxa"/>
            <w:tcBorders>
              <w:bottom w:val="single" w:sz="4" w:space="0" w:color="000000"/>
            </w:tcBorders>
          </w:tcPr>
          <w:p>
            <w:pPr>
              <w:pStyle w:val="TableParagraph"/>
              <w:spacing w:before="19"/>
              <w:ind w:right="319"/>
              <w:rPr>
                <w:sz w:val="20"/>
              </w:rPr>
            </w:pPr>
            <w:r>
              <w:rPr>
                <w:w w:val="100"/>
                <w:sz w:val="20"/>
              </w:rPr>
              <w:t>9</w:t>
            </w:r>
          </w:p>
        </w:tc>
        <w:tc>
          <w:tcPr>
            <w:tcW w:w="909" w:type="dxa"/>
            <w:tcBorders>
              <w:bottom w:val="single" w:sz="4" w:space="0" w:color="000000"/>
            </w:tcBorders>
          </w:tcPr>
          <w:p>
            <w:pPr>
              <w:pStyle w:val="TableParagraph"/>
              <w:spacing w:before="19"/>
              <w:ind w:right="136"/>
              <w:rPr>
                <w:sz w:val="20"/>
              </w:rPr>
            </w:pPr>
            <w:r>
              <w:rPr>
                <w:spacing w:val="-4"/>
                <w:sz w:val="20"/>
              </w:rPr>
              <w:t>0.75</w:t>
            </w:r>
          </w:p>
        </w:tc>
        <w:tc>
          <w:tcPr>
            <w:tcW w:w="979" w:type="dxa"/>
            <w:tcBorders>
              <w:bottom w:val="single" w:sz="4" w:space="0" w:color="000000"/>
            </w:tcBorders>
          </w:tcPr>
          <w:p>
            <w:pPr>
              <w:pStyle w:val="TableParagraph"/>
              <w:spacing w:before="19"/>
              <w:rPr>
                <w:sz w:val="20"/>
              </w:rPr>
            </w:pPr>
            <w:r>
              <w:rPr>
                <w:spacing w:val="-5"/>
                <w:sz w:val="20"/>
              </w:rPr>
              <w:t>New</w:t>
            </w:r>
          </w:p>
        </w:tc>
      </w:tr>
      <w:tr>
        <w:trPr>
          <w:trHeight w:val="268" w:hRule="atLeast"/>
        </w:trPr>
        <w:tc>
          <w:tcPr>
            <w:tcW w:w="2965" w:type="dxa"/>
            <w:tcBorders>
              <w:top w:val="single" w:sz="4" w:space="0" w:color="000000"/>
              <w:bottom w:val="single" w:sz="4" w:space="0" w:color="000000"/>
            </w:tcBorders>
          </w:tcPr>
          <w:p>
            <w:pPr>
              <w:pStyle w:val="TableParagraph"/>
              <w:jc w:val="left"/>
              <w:rPr>
                <w:sz w:val="18"/>
              </w:rPr>
            </w:pPr>
          </w:p>
        </w:tc>
        <w:tc>
          <w:tcPr>
            <w:tcW w:w="745" w:type="dxa"/>
            <w:tcBorders>
              <w:top w:val="single" w:sz="4" w:space="0" w:color="000000"/>
              <w:bottom w:val="single" w:sz="4" w:space="0" w:color="000000"/>
            </w:tcBorders>
          </w:tcPr>
          <w:p>
            <w:pPr>
              <w:pStyle w:val="TableParagraph"/>
              <w:jc w:val="left"/>
              <w:rPr>
                <w:sz w:val="18"/>
              </w:rPr>
            </w:pPr>
          </w:p>
        </w:tc>
        <w:tc>
          <w:tcPr>
            <w:tcW w:w="775" w:type="dxa"/>
            <w:tcBorders>
              <w:top w:val="single" w:sz="4" w:space="0" w:color="000000"/>
              <w:bottom w:val="single" w:sz="4" w:space="0" w:color="000000"/>
            </w:tcBorders>
          </w:tcPr>
          <w:p>
            <w:pPr>
              <w:pStyle w:val="TableParagraph"/>
              <w:spacing w:line="229" w:lineRule="exact" w:before="19"/>
              <w:ind w:right="-15"/>
              <w:rPr>
                <w:b/>
                <w:sz w:val="20"/>
              </w:rPr>
            </w:pPr>
            <w:r>
              <w:rPr>
                <w:b/>
                <w:w w:val="100"/>
                <w:sz w:val="20"/>
              </w:rPr>
              <w:t>4</w:t>
            </w:r>
          </w:p>
        </w:tc>
        <w:tc>
          <w:tcPr>
            <w:tcW w:w="920" w:type="dxa"/>
            <w:tcBorders>
              <w:top w:val="single" w:sz="4" w:space="0" w:color="000000"/>
              <w:bottom w:val="single" w:sz="4" w:space="0" w:color="000000"/>
            </w:tcBorders>
          </w:tcPr>
          <w:p>
            <w:pPr>
              <w:pStyle w:val="TableParagraph"/>
              <w:spacing w:line="229" w:lineRule="exact" w:before="19"/>
              <w:ind w:right="319"/>
              <w:rPr>
                <w:b/>
                <w:sz w:val="20"/>
              </w:rPr>
            </w:pPr>
            <w:r>
              <w:rPr>
                <w:b/>
                <w:spacing w:val="-5"/>
                <w:sz w:val="20"/>
              </w:rPr>
              <w:t>45</w:t>
            </w:r>
          </w:p>
        </w:tc>
        <w:tc>
          <w:tcPr>
            <w:tcW w:w="909" w:type="dxa"/>
            <w:tcBorders>
              <w:top w:val="single" w:sz="4" w:space="0" w:color="000000"/>
              <w:bottom w:val="single" w:sz="4" w:space="0" w:color="000000"/>
            </w:tcBorders>
          </w:tcPr>
          <w:p>
            <w:pPr>
              <w:pStyle w:val="TableParagraph"/>
              <w:spacing w:line="229" w:lineRule="exact" w:before="19"/>
              <w:ind w:right="136"/>
              <w:rPr>
                <w:b/>
                <w:sz w:val="20"/>
              </w:rPr>
            </w:pPr>
            <w:r>
              <w:rPr>
                <w:b/>
                <w:spacing w:val="-4"/>
                <w:sz w:val="20"/>
              </w:rPr>
              <w:t>3.75</w:t>
            </w:r>
          </w:p>
        </w:tc>
        <w:tc>
          <w:tcPr>
            <w:tcW w:w="979" w:type="dxa"/>
            <w:tcBorders>
              <w:top w:val="single" w:sz="4" w:space="0" w:color="000000"/>
              <w:bottom w:val="single" w:sz="4" w:space="0" w:color="000000"/>
            </w:tcBorders>
          </w:tcPr>
          <w:p>
            <w:pPr>
              <w:pStyle w:val="TableParagraph"/>
              <w:jc w:val="left"/>
              <w:rPr>
                <w:sz w:val="18"/>
              </w:rPr>
            </w:pPr>
          </w:p>
        </w:tc>
      </w:tr>
      <w:tr>
        <w:trPr>
          <w:trHeight w:val="268" w:hRule="atLeast"/>
        </w:trPr>
        <w:tc>
          <w:tcPr>
            <w:tcW w:w="2965" w:type="dxa"/>
            <w:tcBorders>
              <w:top w:val="single" w:sz="4" w:space="0" w:color="000000"/>
              <w:bottom w:val="single" w:sz="4" w:space="0" w:color="000000"/>
            </w:tcBorders>
          </w:tcPr>
          <w:p>
            <w:pPr>
              <w:pStyle w:val="TableParagraph"/>
              <w:spacing w:line="230" w:lineRule="exact" w:before="19"/>
              <w:ind w:left="215"/>
              <w:jc w:val="left"/>
              <w:rPr>
                <w:i/>
                <w:sz w:val="20"/>
              </w:rPr>
            </w:pPr>
            <w:r>
              <w:rPr>
                <w:i/>
                <w:sz w:val="20"/>
              </w:rPr>
              <w:t>Planning</w:t>
            </w:r>
            <w:r>
              <w:rPr>
                <w:i/>
                <w:spacing w:val="-7"/>
                <w:sz w:val="20"/>
              </w:rPr>
              <w:t> </w:t>
            </w:r>
            <w:r>
              <w:rPr>
                <w:i/>
                <w:spacing w:val="-4"/>
                <w:sz w:val="20"/>
              </w:rPr>
              <w:t>Unit</w:t>
            </w:r>
          </w:p>
        </w:tc>
        <w:tc>
          <w:tcPr>
            <w:tcW w:w="745" w:type="dxa"/>
            <w:tcBorders>
              <w:top w:val="single" w:sz="4" w:space="0" w:color="000000"/>
              <w:bottom w:val="single" w:sz="4" w:space="0" w:color="000000"/>
            </w:tcBorders>
          </w:tcPr>
          <w:p>
            <w:pPr>
              <w:pStyle w:val="TableParagraph"/>
              <w:jc w:val="left"/>
              <w:rPr>
                <w:sz w:val="18"/>
              </w:rPr>
            </w:pPr>
          </w:p>
        </w:tc>
        <w:tc>
          <w:tcPr>
            <w:tcW w:w="775" w:type="dxa"/>
            <w:tcBorders>
              <w:top w:val="single" w:sz="4" w:space="0" w:color="000000"/>
              <w:bottom w:val="single" w:sz="4" w:space="0" w:color="000000"/>
            </w:tcBorders>
          </w:tcPr>
          <w:p>
            <w:pPr>
              <w:pStyle w:val="TableParagraph"/>
              <w:jc w:val="left"/>
              <w:rPr>
                <w:sz w:val="18"/>
              </w:rPr>
            </w:pPr>
          </w:p>
        </w:tc>
        <w:tc>
          <w:tcPr>
            <w:tcW w:w="920" w:type="dxa"/>
            <w:tcBorders>
              <w:top w:val="single" w:sz="4" w:space="0" w:color="000000"/>
              <w:bottom w:val="single" w:sz="4" w:space="0" w:color="000000"/>
            </w:tcBorders>
          </w:tcPr>
          <w:p>
            <w:pPr>
              <w:pStyle w:val="TableParagraph"/>
              <w:jc w:val="left"/>
              <w:rPr>
                <w:sz w:val="18"/>
              </w:rPr>
            </w:pPr>
          </w:p>
        </w:tc>
        <w:tc>
          <w:tcPr>
            <w:tcW w:w="909" w:type="dxa"/>
            <w:tcBorders>
              <w:top w:val="single" w:sz="4" w:space="0" w:color="000000"/>
              <w:bottom w:val="single" w:sz="4" w:space="0" w:color="000000"/>
            </w:tcBorders>
          </w:tcPr>
          <w:p>
            <w:pPr>
              <w:pStyle w:val="TableParagraph"/>
              <w:jc w:val="left"/>
              <w:rPr>
                <w:sz w:val="18"/>
              </w:rPr>
            </w:pPr>
          </w:p>
        </w:tc>
        <w:tc>
          <w:tcPr>
            <w:tcW w:w="979" w:type="dxa"/>
            <w:tcBorders>
              <w:top w:val="single" w:sz="4" w:space="0" w:color="000000"/>
              <w:bottom w:val="single" w:sz="4" w:space="0" w:color="000000"/>
            </w:tcBorders>
          </w:tcPr>
          <w:p>
            <w:pPr>
              <w:pStyle w:val="TableParagraph"/>
              <w:jc w:val="left"/>
              <w:rPr>
                <w:sz w:val="18"/>
              </w:rPr>
            </w:pPr>
          </w:p>
        </w:tc>
      </w:tr>
      <w:tr>
        <w:trPr>
          <w:trHeight w:val="274" w:hRule="atLeast"/>
        </w:trPr>
        <w:tc>
          <w:tcPr>
            <w:tcW w:w="2965" w:type="dxa"/>
            <w:tcBorders>
              <w:top w:val="single" w:sz="4" w:space="0" w:color="000000"/>
            </w:tcBorders>
          </w:tcPr>
          <w:p>
            <w:pPr>
              <w:pStyle w:val="TableParagraph"/>
              <w:spacing w:before="19"/>
              <w:ind w:left="14"/>
              <w:jc w:val="left"/>
              <w:rPr>
                <w:sz w:val="20"/>
              </w:rPr>
            </w:pPr>
            <w:r>
              <w:rPr>
                <w:sz w:val="20"/>
              </w:rPr>
              <w:t>Planning</w:t>
            </w:r>
            <w:r>
              <w:rPr>
                <w:spacing w:val="-4"/>
                <w:sz w:val="20"/>
              </w:rPr>
              <w:t> </w:t>
            </w:r>
            <w:r>
              <w:rPr>
                <w:spacing w:val="-2"/>
                <w:sz w:val="20"/>
              </w:rPr>
              <w:t>Officer</w:t>
            </w:r>
          </w:p>
        </w:tc>
        <w:tc>
          <w:tcPr>
            <w:tcW w:w="745" w:type="dxa"/>
            <w:tcBorders>
              <w:top w:val="single" w:sz="4" w:space="0" w:color="000000"/>
            </w:tcBorders>
          </w:tcPr>
          <w:p>
            <w:pPr>
              <w:pStyle w:val="TableParagraph"/>
              <w:spacing w:before="19"/>
              <w:ind w:left="26"/>
              <w:jc w:val="left"/>
              <w:rPr>
                <w:sz w:val="20"/>
              </w:rPr>
            </w:pPr>
            <w:r>
              <w:rPr>
                <w:spacing w:val="-2"/>
                <w:sz w:val="20"/>
              </w:rPr>
              <w:t>P-</w:t>
            </w:r>
            <w:r>
              <w:rPr>
                <w:spacing w:val="-10"/>
                <w:sz w:val="20"/>
              </w:rPr>
              <w:t>4</w:t>
            </w:r>
          </w:p>
        </w:tc>
        <w:tc>
          <w:tcPr>
            <w:tcW w:w="775" w:type="dxa"/>
            <w:tcBorders>
              <w:top w:val="single" w:sz="4" w:space="0" w:color="000000"/>
            </w:tcBorders>
          </w:tcPr>
          <w:p>
            <w:pPr>
              <w:pStyle w:val="TableParagraph"/>
              <w:spacing w:before="19"/>
              <w:ind w:right="-15"/>
              <w:rPr>
                <w:sz w:val="20"/>
              </w:rPr>
            </w:pPr>
            <w:r>
              <w:rPr>
                <w:w w:val="100"/>
                <w:sz w:val="20"/>
              </w:rPr>
              <w:t>1</w:t>
            </w:r>
          </w:p>
        </w:tc>
        <w:tc>
          <w:tcPr>
            <w:tcW w:w="920" w:type="dxa"/>
            <w:tcBorders>
              <w:top w:val="single" w:sz="4" w:space="0" w:color="000000"/>
            </w:tcBorders>
          </w:tcPr>
          <w:p>
            <w:pPr>
              <w:pStyle w:val="TableParagraph"/>
              <w:spacing w:before="19"/>
              <w:ind w:right="319"/>
              <w:rPr>
                <w:sz w:val="20"/>
              </w:rPr>
            </w:pPr>
            <w:r>
              <w:rPr>
                <w:w w:val="100"/>
                <w:sz w:val="20"/>
              </w:rPr>
              <w:t>9</w:t>
            </w:r>
          </w:p>
        </w:tc>
        <w:tc>
          <w:tcPr>
            <w:tcW w:w="909" w:type="dxa"/>
            <w:tcBorders>
              <w:top w:val="single" w:sz="4" w:space="0" w:color="000000"/>
            </w:tcBorders>
          </w:tcPr>
          <w:p>
            <w:pPr>
              <w:pStyle w:val="TableParagraph"/>
              <w:spacing w:before="19"/>
              <w:ind w:right="136"/>
              <w:rPr>
                <w:sz w:val="20"/>
              </w:rPr>
            </w:pPr>
            <w:r>
              <w:rPr>
                <w:spacing w:val="-4"/>
                <w:sz w:val="20"/>
              </w:rPr>
              <w:t>0.75</w:t>
            </w:r>
          </w:p>
        </w:tc>
        <w:tc>
          <w:tcPr>
            <w:tcW w:w="979" w:type="dxa"/>
            <w:tcBorders>
              <w:top w:val="single" w:sz="4" w:space="0" w:color="000000"/>
            </w:tcBorders>
          </w:tcPr>
          <w:p>
            <w:pPr>
              <w:pStyle w:val="TableParagraph"/>
              <w:spacing w:before="19"/>
              <w:rPr>
                <w:sz w:val="20"/>
              </w:rPr>
            </w:pPr>
            <w:r>
              <w:rPr>
                <w:spacing w:val="-5"/>
                <w:sz w:val="20"/>
              </w:rPr>
              <w:t>New</w:t>
            </w:r>
          </w:p>
        </w:tc>
      </w:tr>
      <w:tr>
        <w:trPr>
          <w:trHeight w:val="267" w:hRule="atLeast"/>
        </w:trPr>
        <w:tc>
          <w:tcPr>
            <w:tcW w:w="2965" w:type="dxa"/>
            <w:tcBorders>
              <w:bottom w:val="single" w:sz="4" w:space="0" w:color="000000"/>
            </w:tcBorders>
          </w:tcPr>
          <w:p>
            <w:pPr>
              <w:pStyle w:val="TableParagraph"/>
              <w:spacing w:line="229" w:lineRule="exact" w:before="18"/>
              <w:ind w:left="14"/>
              <w:jc w:val="left"/>
              <w:rPr>
                <w:sz w:val="20"/>
              </w:rPr>
            </w:pPr>
            <w:r>
              <w:rPr>
                <w:sz w:val="20"/>
              </w:rPr>
              <w:t>Assistant</w:t>
            </w:r>
            <w:r>
              <w:rPr>
                <w:spacing w:val="-8"/>
                <w:sz w:val="20"/>
              </w:rPr>
              <w:t> </w:t>
            </w:r>
            <w:r>
              <w:rPr>
                <w:sz w:val="20"/>
              </w:rPr>
              <w:t>Planning</w:t>
            </w:r>
            <w:r>
              <w:rPr>
                <w:spacing w:val="-5"/>
                <w:sz w:val="20"/>
              </w:rPr>
              <w:t> </w:t>
            </w:r>
            <w:r>
              <w:rPr>
                <w:spacing w:val="-2"/>
                <w:sz w:val="20"/>
              </w:rPr>
              <w:t>Officer</w:t>
            </w:r>
          </w:p>
        </w:tc>
        <w:tc>
          <w:tcPr>
            <w:tcW w:w="745" w:type="dxa"/>
            <w:tcBorders>
              <w:bottom w:val="single" w:sz="4" w:space="0" w:color="000000"/>
            </w:tcBorders>
          </w:tcPr>
          <w:p>
            <w:pPr>
              <w:pStyle w:val="TableParagraph"/>
              <w:spacing w:line="229" w:lineRule="exact" w:before="18"/>
              <w:ind w:left="26"/>
              <w:jc w:val="left"/>
              <w:rPr>
                <w:sz w:val="20"/>
              </w:rPr>
            </w:pPr>
            <w:r>
              <w:rPr>
                <w:spacing w:val="-2"/>
                <w:sz w:val="20"/>
              </w:rPr>
              <w:t>P-</w:t>
            </w:r>
            <w:r>
              <w:rPr>
                <w:spacing w:val="-10"/>
                <w:sz w:val="20"/>
              </w:rPr>
              <w:t>1</w:t>
            </w:r>
          </w:p>
        </w:tc>
        <w:tc>
          <w:tcPr>
            <w:tcW w:w="775" w:type="dxa"/>
            <w:tcBorders>
              <w:bottom w:val="single" w:sz="4" w:space="0" w:color="000000"/>
            </w:tcBorders>
          </w:tcPr>
          <w:p>
            <w:pPr>
              <w:pStyle w:val="TableParagraph"/>
              <w:spacing w:line="229" w:lineRule="exact" w:before="18"/>
              <w:ind w:right="-15"/>
              <w:rPr>
                <w:sz w:val="20"/>
              </w:rPr>
            </w:pPr>
            <w:r>
              <w:rPr>
                <w:w w:val="100"/>
                <w:sz w:val="20"/>
              </w:rPr>
              <w:t>3</w:t>
            </w:r>
          </w:p>
        </w:tc>
        <w:tc>
          <w:tcPr>
            <w:tcW w:w="920" w:type="dxa"/>
            <w:tcBorders>
              <w:bottom w:val="single" w:sz="4" w:space="0" w:color="000000"/>
            </w:tcBorders>
          </w:tcPr>
          <w:p>
            <w:pPr>
              <w:pStyle w:val="TableParagraph"/>
              <w:spacing w:line="229" w:lineRule="exact" w:before="18"/>
              <w:ind w:right="319"/>
              <w:rPr>
                <w:sz w:val="20"/>
              </w:rPr>
            </w:pPr>
            <w:r>
              <w:rPr>
                <w:spacing w:val="-5"/>
                <w:sz w:val="20"/>
              </w:rPr>
              <w:t>27</w:t>
            </w:r>
          </w:p>
        </w:tc>
        <w:tc>
          <w:tcPr>
            <w:tcW w:w="909" w:type="dxa"/>
            <w:tcBorders>
              <w:bottom w:val="single" w:sz="4" w:space="0" w:color="000000"/>
            </w:tcBorders>
          </w:tcPr>
          <w:p>
            <w:pPr>
              <w:pStyle w:val="TableParagraph"/>
              <w:spacing w:line="229" w:lineRule="exact" w:before="18"/>
              <w:ind w:right="136"/>
              <w:rPr>
                <w:sz w:val="20"/>
              </w:rPr>
            </w:pPr>
            <w:r>
              <w:rPr>
                <w:spacing w:val="-4"/>
                <w:sz w:val="20"/>
              </w:rPr>
              <w:t>2.25</w:t>
            </w:r>
          </w:p>
        </w:tc>
        <w:tc>
          <w:tcPr>
            <w:tcW w:w="979" w:type="dxa"/>
            <w:tcBorders>
              <w:bottom w:val="single" w:sz="4" w:space="0" w:color="000000"/>
            </w:tcBorders>
          </w:tcPr>
          <w:p>
            <w:pPr>
              <w:pStyle w:val="TableParagraph"/>
              <w:spacing w:line="229" w:lineRule="exact" w:before="18"/>
              <w:rPr>
                <w:sz w:val="20"/>
              </w:rPr>
            </w:pPr>
            <w:r>
              <w:rPr>
                <w:spacing w:val="-5"/>
                <w:sz w:val="20"/>
              </w:rPr>
              <w:t>New</w:t>
            </w:r>
          </w:p>
        </w:tc>
      </w:tr>
      <w:tr>
        <w:trPr>
          <w:trHeight w:val="268" w:hRule="atLeast"/>
        </w:trPr>
        <w:tc>
          <w:tcPr>
            <w:tcW w:w="2965" w:type="dxa"/>
            <w:tcBorders>
              <w:top w:val="single" w:sz="4" w:space="0" w:color="000000"/>
              <w:bottom w:val="single" w:sz="4" w:space="0" w:color="000000"/>
            </w:tcBorders>
          </w:tcPr>
          <w:p>
            <w:pPr>
              <w:pStyle w:val="TableParagraph"/>
              <w:jc w:val="left"/>
              <w:rPr>
                <w:sz w:val="18"/>
              </w:rPr>
            </w:pPr>
          </w:p>
        </w:tc>
        <w:tc>
          <w:tcPr>
            <w:tcW w:w="745" w:type="dxa"/>
            <w:tcBorders>
              <w:top w:val="single" w:sz="4" w:space="0" w:color="000000"/>
              <w:bottom w:val="single" w:sz="4" w:space="0" w:color="000000"/>
            </w:tcBorders>
          </w:tcPr>
          <w:p>
            <w:pPr>
              <w:pStyle w:val="TableParagraph"/>
              <w:jc w:val="left"/>
              <w:rPr>
                <w:sz w:val="18"/>
              </w:rPr>
            </w:pPr>
          </w:p>
        </w:tc>
        <w:tc>
          <w:tcPr>
            <w:tcW w:w="775" w:type="dxa"/>
            <w:tcBorders>
              <w:top w:val="single" w:sz="4" w:space="0" w:color="000000"/>
              <w:bottom w:val="single" w:sz="4" w:space="0" w:color="000000"/>
            </w:tcBorders>
          </w:tcPr>
          <w:p>
            <w:pPr>
              <w:pStyle w:val="TableParagraph"/>
              <w:spacing w:line="229" w:lineRule="exact" w:before="19"/>
              <w:ind w:right="-15"/>
              <w:rPr>
                <w:b/>
                <w:sz w:val="20"/>
              </w:rPr>
            </w:pPr>
            <w:r>
              <w:rPr>
                <w:b/>
                <w:w w:val="100"/>
                <w:sz w:val="20"/>
              </w:rPr>
              <w:t>4</w:t>
            </w:r>
          </w:p>
        </w:tc>
        <w:tc>
          <w:tcPr>
            <w:tcW w:w="920" w:type="dxa"/>
            <w:tcBorders>
              <w:top w:val="single" w:sz="4" w:space="0" w:color="000000"/>
              <w:bottom w:val="single" w:sz="4" w:space="0" w:color="000000"/>
            </w:tcBorders>
          </w:tcPr>
          <w:p>
            <w:pPr>
              <w:pStyle w:val="TableParagraph"/>
              <w:spacing w:line="229" w:lineRule="exact" w:before="19"/>
              <w:ind w:right="319"/>
              <w:rPr>
                <w:b/>
                <w:sz w:val="20"/>
              </w:rPr>
            </w:pPr>
            <w:r>
              <w:rPr>
                <w:b/>
                <w:spacing w:val="-5"/>
                <w:sz w:val="20"/>
              </w:rPr>
              <w:t>36</w:t>
            </w:r>
          </w:p>
        </w:tc>
        <w:tc>
          <w:tcPr>
            <w:tcW w:w="909" w:type="dxa"/>
            <w:tcBorders>
              <w:top w:val="single" w:sz="4" w:space="0" w:color="000000"/>
              <w:bottom w:val="single" w:sz="4" w:space="0" w:color="000000"/>
            </w:tcBorders>
          </w:tcPr>
          <w:p>
            <w:pPr>
              <w:pStyle w:val="TableParagraph"/>
              <w:spacing w:line="229" w:lineRule="exact" w:before="19"/>
              <w:ind w:right="136"/>
              <w:rPr>
                <w:b/>
                <w:sz w:val="20"/>
              </w:rPr>
            </w:pPr>
            <w:r>
              <w:rPr>
                <w:b/>
                <w:spacing w:val="-4"/>
                <w:sz w:val="20"/>
              </w:rPr>
              <w:t>3.00</w:t>
            </w:r>
          </w:p>
        </w:tc>
        <w:tc>
          <w:tcPr>
            <w:tcW w:w="979" w:type="dxa"/>
            <w:tcBorders>
              <w:top w:val="single" w:sz="4" w:space="0" w:color="000000"/>
              <w:bottom w:val="single" w:sz="4" w:space="0" w:color="000000"/>
            </w:tcBorders>
          </w:tcPr>
          <w:p>
            <w:pPr>
              <w:pStyle w:val="TableParagraph"/>
              <w:jc w:val="left"/>
              <w:rPr>
                <w:sz w:val="18"/>
              </w:rPr>
            </w:pPr>
          </w:p>
        </w:tc>
      </w:tr>
      <w:tr>
        <w:trPr>
          <w:trHeight w:val="268" w:hRule="atLeast"/>
        </w:trPr>
        <w:tc>
          <w:tcPr>
            <w:tcW w:w="2965" w:type="dxa"/>
            <w:tcBorders>
              <w:top w:val="single" w:sz="4" w:space="0" w:color="000000"/>
              <w:bottom w:val="single" w:sz="4" w:space="0" w:color="000000"/>
            </w:tcBorders>
          </w:tcPr>
          <w:p>
            <w:pPr>
              <w:pStyle w:val="TableParagraph"/>
              <w:spacing w:line="229" w:lineRule="exact" w:before="19"/>
              <w:ind w:left="14"/>
              <w:jc w:val="left"/>
              <w:rPr>
                <w:i/>
                <w:sz w:val="20"/>
              </w:rPr>
            </w:pPr>
            <w:r>
              <w:rPr>
                <w:i/>
                <w:spacing w:val="-2"/>
                <w:sz w:val="20"/>
              </w:rPr>
              <w:t>IKEMS-</w:t>
            </w:r>
            <w:r>
              <w:rPr>
                <w:i/>
                <w:spacing w:val="-5"/>
                <w:sz w:val="20"/>
              </w:rPr>
              <w:t>IEU</w:t>
            </w:r>
          </w:p>
        </w:tc>
        <w:tc>
          <w:tcPr>
            <w:tcW w:w="745" w:type="dxa"/>
            <w:tcBorders>
              <w:top w:val="single" w:sz="4" w:space="0" w:color="000000"/>
              <w:bottom w:val="single" w:sz="4" w:space="0" w:color="000000"/>
            </w:tcBorders>
          </w:tcPr>
          <w:p>
            <w:pPr>
              <w:pStyle w:val="TableParagraph"/>
              <w:jc w:val="left"/>
              <w:rPr>
                <w:sz w:val="18"/>
              </w:rPr>
            </w:pPr>
          </w:p>
        </w:tc>
        <w:tc>
          <w:tcPr>
            <w:tcW w:w="775" w:type="dxa"/>
            <w:tcBorders>
              <w:top w:val="single" w:sz="4" w:space="0" w:color="000000"/>
              <w:bottom w:val="single" w:sz="4" w:space="0" w:color="000000"/>
            </w:tcBorders>
          </w:tcPr>
          <w:p>
            <w:pPr>
              <w:pStyle w:val="TableParagraph"/>
              <w:jc w:val="left"/>
              <w:rPr>
                <w:sz w:val="18"/>
              </w:rPr>
            </w:pPr>
          </w:p>
        </w:tc>
        <w:tc>
          <w:tcPr>
            <w:tcW w:w="920" w:type="dxa"/>
            <w:tcBorders>
              <w:top w:val="single" w:sz="4" w:space="0" w:color="000000"/>
              <w:bottom w:val="single" w:sz="4" w:space="0" w:color="000000"/>
            </w:tcBorders>
          </w:tcPr>
          <w:p>
            <w:pPr>
              <w:pStyle w:val="TableParagraph"/>
              <w:jc w:val="left"/>
              <w:rPr>
                <w:sz w:val="18"/>
              </w:rPr>
            </w:pPr>
          </w:p>
        </w:tc>
        <w:tc>
          <w:tcPr>
            <w:tcW w:w="909" w:type="dxa"/>
            <w:tcBorders>
              <w:top w:val="single" w:sz="4" w:space="0" w:color="000000"/>
              <w:bottom w:val="single" w:sz="4" w:space="0" w:color="000000"/>
            </w:tcBorders>
          </w:tcPr>
          <w:p>
            <w:pPr>
              <w:pStyle w:val="TableParagraph"/>
              <w:jc w:val="left"/>
              <w:rPr>
                <w:sz w:val="18"/>
              </w:rPr>
            </w:pPr>
          </w:p>
        </w:tc>
        <w:tc>
          <w:tcPr>
            <w:tcW w:w="979" w:type="dxa"/>
            <w:tcBorders>
              <w:top w:val="single" w:sz="4" w:space="0" w:color="000000"/>
              <w:bottom w:val="single" w:sz="4" w:space="0" w:color="000000"/>
            </w:tcBorders>
          </w:tcPr>
          <w:p>
            <w:pPr>
              <w:pStyle w:val="TableParagraph"/>
              <w:jc w:val="left"/>
              <w:rPr>
                <w:sz w:val="18"/>
              </w:rPr>
            </w:pPr>
          </w:p>
        </w:tc>
      </w:tr>
      <w:tr>
        <w:trPr>
          <w:trHeight w:val="507" w:hRule="atLeast"/>
        </w:trPr>
        <w:tc>
          <w:tcPr>
            <w:tcW w:w="2965" w:type="dxa"/>
            <w:tcBorders>
              <w:top w:val="single" w:sz="4" w:space="0" w:color="000000"/>
            </w:tcBorders>
          </w:tcPr>
          <w:p>
            <w:pPr>
              <w:pStyle w:val="TableParagraph"/>
              <w:spacing w:before="24"/>
              <w:ind w:left="14"/>
              <w:jc w:val="left"/>
              <w:rPr>
                <w:sz w:val="20"/>
              </w:rPr>
            </w:pPr>
            <w:r>
              <w:rPr>
                <w:sz w:val="20"/>
              </w:rPr>
              <w:t>Assistant</w:t>
            </w:r>
            <w:r>
              <w:rPr>
                <w:spacing w:val="-13"/>
                <w:sz w:val="20"/>
              </w:rPr>
              <w:t> </w:t>
            </w:r>
            <w:r>
              <w:rPr>
                <w:sz w:val="20"/>
              </w:rPr>
              <w:t>Information</w:t>
            </w:r>
            <w:r>
              <w:rPr>
                <w:spacing w:val="-12"/>
                <w:sz w:val="20"/>
              </w:rPr>
              <w:t> </w:t>
            </w:r>
            <w:r>
              <w:rPr>
                <w:sz w:val="20"/>
              </w:rPr>
              <w:t>and</w:t>
            </w:r>
            <w:r>
              <w:rPr>
                <w:spacing w:val="-13"/>
                <w:sz w:val="20"/>
              </w:rPr>
              <w:t> </w:t>
            </w:r>
            <w:r>
              <w:rPr>
                <w:sz w:val="20"/>
              </w:rPr>
              <w:t>Evidence </w:t>
            </w:r>
            <w:r>
              <w:rPr>
                <w:spacing w:val="-2"/>
                <w:sz w:val="20"/>
              </w:rPr>
              <w:t>Officer</w:t>
            </w:r>
          </w:p>
        </w:tc>
        <w:tc>
          <w:tcPr>
            <w:tcW w:w="745" w:type="dxa"/>
            <w:tcBorders>
              <w:top w:val="single" w:sz="4" w:space="0" w:color="000000"/>
            </w:tcBorders>
          </w:tcPr>
          <w:p>
            <w:pPr>
              <w:pStyle w:val="TableParagraph"/>
              <w:spacing w:before="8"/>
              <w:jc w:val="left"/>
              <w:rPr>
                <w:sz w:val="21"/>
              </w:rPr>
            </w:pPr>
          </w:p>
          <w:p>
            <w:pPr>
              <w:pStyle w:val="TableParagraph"/>
              <w:ind w:left="26"/>
              <w:jc w:val="left"/>
              <w:rPr>
                <w:sz w:val="20"/>
              </w:rPr>
            </w:pPr>
            <w:r>
              <w:rPr>
                <w:spacing w:val="-2"/>
                <w:sz w:val="20"/>
              </w:rPr>
              <w:t>P-</w:t>
            </w:r>
            <w:r>
              <w:rPr>
                <w:spacing w:val="-10"/>
                <w:sz w:val="20"/>
              </w:rPr>
              <w:t>1</w:t>
            </w:r>
          </w:p>
        </w:tc>
        <w:tc>
          <w:tcPr>
            <w:tcW w:w="775" w:type="dxa"/>
            <w:tcBorders>
              <w:top w:val="single" w:sz="4" w:space="0" w:color="000000"/>
            </w:tcBorders>
          </w:tcPr>
          <w:p>
            <w:pPr>
              <w:pStyle w:val="TableParagraph"/>
              <w:spacing w:before="8"/>
              <w:jc w:val="left"/>
              <w:rPr>
                <w:sz w:val="21"/>
              </w:rPr>
            </w:pPr>
          </w:p>
          <w:p>
            <w:pPr>
              <w:pStyle w:val="TableParagraph"/>
              <w:ind w:right="-15"/>
              <w:rPr>
                <w:sz w:val="20"/>
              </w:rPr>
            </w:pPr>
            <w:r>
              <w:rPr>
                <w:w w:val="100"/>
                <w:sz w:val="20"/>
              </w:rPr>
              <w:t>2</w:t>
            </w:r>
          </w:p>
        </w:tc>
        <w:tc>
          <w:tcPr>
            <w:tcW w:w="920" w:type="dxa"/>
            <w:tcBorders>
              <w:top w:val="single" w:sz="4" w:space="0" w:color="000000"/>
            </w:tcBorders>
          </w:tcPr>
          <w:p>
            <w:pPr>
              <w:pStyle w:val="TableParagraph"/>
              <w:spacing w:before="8"/>
              <w:jc w:val="left"/>
              <w:rPr>
                <w:sz w:val="21"/>
              </w:rPr>
            </w:pPr>
          </w:p>
          <w:p>
            <w:pPr>
              <w:pStyle w:val="TableParagraph"/>
              <w:ind w:right="319"/>
              <w:rPr>
                <w:sz w:val="20"/>
              </w:rPr>
            </w:pPr>
            <w:r>
              <w:rPr>
                <w:spacing w:val="-5"/>
                <w:sz w:val="20"/>
              </w:rPr>
              <w:t>24</w:t>
            </w:r>
          </w:p>
        </w:tc>
        <w:tc>
          <w:tcPr>
            <w:tcW w:w="909" w:type="dxa"/>
            <w:tcBorders>
              <w:top w:val="single" w:sz="4" w:space="0" w:color="000000"/>
            </w:tcBorders>
          </w:tcPr>
          <w:p>
            <w:pPr>
              <w:pStyle w:val="TableParagraph"/>
              <w:spacing w:before="8"/>
              <w:jc w:val="left"/>
              <w:rPr>
                <w:sz w:val="21"/>
              </w:rPr>
            </w:pPr>
          </w:p>
          <w:p>
            <w:pPr>
              <w:pStyle w:val="TableParagraph"/>
              <w:ind w:right="136"/>
              <w:rPr>
                <w:sz w:val="20"/>
              </w:rPr>
            </w:pPr>
            <w:r>
              <w:rPr>
                <w:spacing w:val="-4"/>
                <w:sz w:val="20"/>
              </w:rPr>
              <w:t>2.00</w:t>
            </w:r>
          </w:p>
        </w:tc>
        <w:tc>
          <w:tcPr>
            <w:tcW w:w="979" w:type="dxa"/>
            <w:tcBorders>
              <w:top w:val="single" w:sz="4" w:space="0" w:color="000000"/>
            </w:tcBorders>
          </w:tcPr>
          <w:p>
            <w:pPr>
              <w:pStyle w:val="TableParagraph"/>
              <w:spacing w:before="8"/>
              <w:jc w:val="left"/>
              <w:rPr>
                <w:sz w:val="21"/>
              </w:rPr>
            </w:pPr>
          </w:p>
          <w:p>
            <w:pPr>
              <w:pStyle w:val="TableParagraph"/>
              <w:rPr>
                <w:sz w:val="20"/>
              </w:rPr>
            </w:pPr>
            <w:r>
              <w:rPr>
                <w:spacing w:val="-2"/>
                <w:sz w:val="20"/>
              </w:rPr>
              <w:t>Continued</w:t>
            </w:r>
          </w:p>
        </w:tc>
      </w:tr>
      <w:tr>
        <w:trPr>
          <w:trHeight w:val="264" w:hRule="atLeast"/>
        </w:trPr>
        <w:tc>
          <w:tcPr>
            <w:tcW w:w="2965" w:type="dxa"/>
            <w:tcBorders>
              <w:bottom w:val="single" w:sz="4" w:space="0" w:color="000000"/>
            </w:tcBorders>
          </w:tcPr>
          <w:p>
            <w:pPr>
              <w:pStyle w:val="TableParagraph"/>
              <w:spacing w:line="229" w:lineRule="exact" w:before="16"/>
              <w:ind w:left="14"/>
              <w:jc w:val="left"/>
              <w:rPr>
                <w:sz w:val="20"/>
              </w:rPr>
            </w:pPr>
            <w:r>
              <w:rPr>
                <w:sz w:val="20"/>
              </w:rPr>
              <w:t>Evidence</w:t>
            </w:r>
            <w:r>
              <w:rPr>
                <w:spacing w:val="-7"/>
                <w:sz w:val="20"/>
              </w:rPr>
              <w:t> </w:t>
            </w:r>
            <w:r>
              <w:rPr>
                <w:spacing w:val="-2"/>
                <w:sz w:val="20"/>
              </w:rPr>
              <w:t>Assistant</w:t>
            </w:r>
          </w:p>
        </w:tc>
        <w:tc>
          <w:tcPr>
            <w:tcW w:w="745" w:type="dxa"/>
            <w:tcBorders>
              <w:bottom w:val="single" w:sz="4" w:space="0" w:color="000000"/>
            </w:tcBorders>
          </w:tcPr>
          <w:p>
            <w:pPr>
              <w:pStyle w:val="TableParagraph"/>
              <w:spacing w:line="229" w:lineRule="exact" w:before="16"/>
              <w:ind w:left="26"/>
              <w:jc w:val="left"/>
              <w:rPr>
                <w:sz w:val="20"/>
              </w:rPr>
            </w:pPr>
            <w:r>
              <w:rPr>
                <w:spacing w:val="-2"/>
                <w:sz w:val="20"/>
              </w:rPr>
              <w:t>GS-</w:t>
            </w:r>
            <w:r>
              <w:rPr>
                <w:spacing w:val="-7"/>
                <w:sz w:val="20"/>
              </w:rPr>
              <w:t>OL</w:t>
            </w:r>
          </w:p>
        </w:tc>
        <w:tc>
          <w:tcPr>
            <w:tcW w:w="775" w:type="dxa"/>
            <w:tcBorders>
              <w:bottom w:val="single" w:sz="4" w:space="0" w:color="000000"/>
            </w:tcBorders>
          </w:tcPr>
          <w:p>
            <w:pPr>
              <w:pStyle w:val="TableParagraph"/>
              <w:spacing w:line="229" w:lineRule="exact" w:before="16"/>
              <w:ind w:right="-15"/>
              <w:rPr>
                <w:sz w:val="20"/>
              </w:rPr>
            </w:pPr>
            <w:r>
              <w:rPr>
                <w:w w:val="100"/>
                <w:sz w:val="20"/>
              </w:rPr>
              <w:t>1</w:t>
            </w:r>
          </w:p>
        </w:tc>
        <w:tc>
          <w:tcPr>
            <w:tcW w:w="920" w:type="dxa"/>
            <w:tcBorders>
              <w:bottom w:val="single" w:sz="4" w:space="0" w:color="000000"/>
            </w:tcBorders>
          </w:tcPr>
          <w:p>
            <w:pPr>
              <w:pStyle w:val="TableParagraph"/>
              <w:spacing w:line="229" w:lineRule="exact" w:before="16"/>
              <w:ind w:right="319"/>
              <w:rPr>
                <w:sz w:val="20"/>
              </w:rPr>
            </w:pPr>
            <w:r>
              <w:rPr>
                <w:spacing w:val="-5"/>
                <w:sz w:val="20"/>
              </w:rPr>
              <w:t>12</w:t>
            </w:r>
          </w:p>
        </w:tc>
        <w:tc>
          <w:tcPr>
            <w:tcW w:w="909" w:type="dxa"/>
            <w:tcBorders>
              <w:bottom w:val="single" w:sz="4" w:space="0" w:color="000000"/>
            </w:tcBorders>
          </w:tcPr>
          <w:p>
            <w:pPr>
              <w:pStyle w:val="TableParagraph"/>
              <w:spacing w:line="229" w:lineRule="exact" w:before="16"/>
              <w:ind w:right="136"/>
              <w:rPr>
                <w:sz w:val="20"/>
              </w:rPr>
            </w:pPr>
            <w:r>
              <w:rPr>
                <w:spacing w:val="-4"/>
                <w:sz w:val="20"/>
              </w:rPr>
              <w:t>1.00</w:t>
            </w:r>
          </w:p>
        </w:tc>
        <w:tc>
          <w:tcPr>
            <w:tcW w:w="979" w:type="dxa"/>
            <w:tcBorders>
              <w:bottom w:val="single" w:sz="4" w:space="0" w:color="000000"/>
            </w:tcBorders>
          </w:tcPr>
          <w:p>
            <w:pPr>
              <w:pStyle w:val="TableParagraph"/>
              <w:spacing w:line="229" w:lineRule="exact" w:before="16"/>
              <w:rPr>
                <w:sz w:val="20"/>
              </w:rPr>
            </w:pPr>
            <w:r>
              <w:rPr>
                <w:spacing w:val="-2"/>
                <w:sz w:val="20"/>
              </w:rPr>
              <w:t>Continued</w:t>
            </w:r>
          </w:p>
        </w:tc>
      </w:tr>
    </w:tbl>
    <w:p>
      <w:pPr>
        <w:pStyle w:val="BodyText"/>
        <w:spacing w:before="8"/>
        <w:rPr>
          <w:sz w:val="23"/>
        </w:rPr>
      </w:pPr>
      <w:r>
        <w:rPr/>
        <w:pict>
          <v:rect style="position:absolute;margin-left:113.330002pt;margin-top:14.85004pt;width:144.050pt;height:.47998pt;mso-position-horizontal-relative:page;mso-position-vertical-relative:paragraph;z-index:-15693824;mso-wrap-distance-left:0;mso-wrap-distance-right:0" id="docshape191" filled="true" fillcolor="#000000" stroked="false">
            <v:fill type="solid"/>
            <w10:wrap type="topAndBottom"/>
          </v:rect>
        </w:pict>
      </w:r>
    </w:p>
    <w:p>
      <w:pPr>
        <w:spacing w:before="86"/>
        <w:ind w:left="2246" w:right="0" w:firstLine="0"/>
        <w:jc w:val="left"/>
        <w:rPr>
          <w:sz w:val="16"/>
        </w:rPr>
      </w:pPr>
      <w:r>
        <w:rPr>
          <w:position w:val="5"/>
          <w:sz w:val="10"/>
        </w:rPr>
        <w:t>102</w:t>
      </w:r>
      <w:r>
        <w:rPr>
          <w:spacing w:val="12"/>
          <w:position w:val="5"/>
          <w:sz w:val="10"/>
        </w:rPr>
        <w:t> </w:t>
      </w:r>
      <w:r>
        <w:rPr>
          <w:sz w:val="16"/>
        </w:rPr>
        <w:t>Redeployed:</w:t>
      </w:r>
      <w:r>
        <w:rPr>
          <w:spacing w:val="-5"/>
          <w:sz w:val="16"/>
        </w:rPr>
        <w:t> </w:t>
      </w:r>
      <w:r>
        <w:rPr>
          <w:sz w:val="16"/>
        </w:rPr>
        <w:t>formerly</w:t>
      </w:r>
      <w:r>
        <w:rPr>
          <w:spacing w:val="-2"/>
          <w:sz w:val="16"/>
        </w:rPr>
        <w:t> </w:t>
      </w:r>
      <w:r>
        <w:rPr>
          <w:sz w:val="16"/>
        </w:rPr>
        <w:t>Special</w:t>
      </w:r>
      <w:r>
        <w:rPr>
          <w:spacing w:val="-5"/>
          <w:sz w:val="16"/>
        </w:rPr>
        <w:t> </w:t>
      </w:r>
      <w:r>
        <w:rPr>
          <w:sz w:val="16"/>
        </w:rPr>
        <w:t>Assistant</w:t>
      </w:r>
      <w:r>
        <w:rPr>
          <w:spacing w:val="-5"/>
          <w:sz w:val="16"/>
        </w:rPr>
        <w:t> </w:t>
      </w:r>
      <w:r>
        <w:rPr>
          <w:sz w:val="16"/>
        </w:rPr>
        <w:t>to</w:t>
      </w:r>
      <w:r>
        <w:rPr>
          <w:spacing w:val="-2"/>
          <w:sz w:val="16"/>
        </w:rPr>
        <w:t> </w:t>
      </w:r>
      <w:r>
        <w:rPr>
          <w:sz w:val="16"/>
        </w:rPr>
        <w:t>the</w:t>
      </w:r>
      <w:r>
        <w:rPr>
          <w:spacing w:val="-3"/>
          <w:sz w:val="16"/>
        </w:rPr>
        <w:t> </w:t>
      </w:r>
      <w:r>
        <w:rPr>
          <w:sz w:val="16"/>
        </w:rPr>
        <w:t>Director</w:t>
      </w:r>
      <w:r>
        <w:rPr>
          <w:spacing w:val="-4"/>
          <w:sz w:val="16"/>
        </w:rPr>
        <w:t> </w:t>
      </w:r>
      <w:r>
        <w:rPr>
          <w:sz w:val="16"/>
        </w:rPr>
        <w:t>of</w:t>
      </w:r>
      <w:r>
        <w:rPr>
          <w:spacing w:val="2"/>
          <w:sz w:val="16"/>
        </w:rPr>
        <w:t> </w:t>
      </w:r>
      <w:r>
        <w:rPr>
          <w:spacing w:val="-2"/>
          <w:sz w:val="16"/>
        </w:rPr>
        <w:t>Prosecution.</w:t>
      </w:r>
    </w:p>
    <w:p>
      <w:pPr>
        <w:spacing w:line="183" w:lineRule="exact" w:before="3"/>
        <w:ind w:left="2246" w:right="0" w:firstLine="0"/>
        <w:jc w:val="left"/>
        <w:rPr>
          <w:sz w:val="16"/>
        </w:rPr>
      </w:pPr>
      <w:r>
        <w:rPr>
          <w:position w:val="5"/>
          <w:sz w:val="10"/>
        </w:rPr>
        <w:t>103</w:t>
      </w:r>
      <w:r>
        <w:rPr>
          <w:spacing w:val="12"/>
          <w:position w:val="5"/>
          <w:sz w:val="10"/>
        </w:rPr>
        <w:t> </w:t>
      </w:r>
      <w:r>
        <w:rPr>
          <w:sz w:val="16"/>
        </w:rPr>
        <w:t>One</w:t>
      </w:r>
      <w:r>
        <w:rPr>
          <w:spacing w:val="-4"/>
          <w:sz w:val="16"/>
        </w:rPr>
        <w:t> </w:t>
      </w:r>
      <w:r>
        <w:rPr>
          <w:sz w:val="16"/>
        </w:rPr>
        <w:t>APSO</w:t>
      </w:r>
      <w:r>
        <w:rPr>
          <w:spacing w:val="1"/>
          <w:sz w:val="16"/>
        </w:rPr>
        <w:t> </w:t>
      </w:r>
      <w:r>
        <w:rPr>
          <w:sz w:val="16"/>
        </w:rPr>
        <w:t>for</w:t>
      </w:r>
      <w:r>
        <w:rPr>
          <w:spacing w:val="-5"/>
          <w:sz w:val="16"/>
        </w:rPr>
        <w:t> </w:t>
      </w:r>
      <w:r>
        <w:rPr>
          <w:sz w:val="16"/>
        </w:rPr>
        <w:t>each</w:t>
      </w:r>
      <w:r>
        <w:rPr>
          <w:spacing w:val="-2"/>
          <w:sz w:val="16"/>
        </w:rPr>
        <w:t> </w:t>
      </w:r>
      <w:r>
        <w:rPr>
          <w:sz w:val="16"/>
        </w:rPr>
        <w:t>of</w:t>
      </w:r>
      <w:r>
        <w:rPr>
          <w:spacing w:val="-5"/>
          <w:sz w:val="16"/>
        </w:rPr>
        <w:t> </w:t>
      </w:r>
      <w:r>
        <w:rPr>
          <w:sz w:val="16"/>
        </w:rPr>
        <w:t>the</w:t>
      </w:r>
      <w:r>
        <w:rPr>
          <w:spacing w:val="-3"/>
          <w:sz w:val="16"/>
        </w:rPr>
        <w:t> </w:t>
      </w:r>
      <w:r>
        <w:rPr>
          <w:sz w:val="16"/>
        </w:rPr>
        <w:t>following</w:t>
      </w:r>
      <w:r>
        <w:rPr>
          <w:spacing w:val="-3"/>
          <w:sz w:val="16"/>
        </w:rPr>
        <w:t> </w:t>
      </w:r>
      <w:r>
        <w:rPr>
          <w:sz w:val="16"/>
        </w:rPr>
        <w:t>situations:</w:t>
      </w:r>
      <w:r>
        <w:rPr>
          <w:spacing w:val="1"/>
          <w:sz w:val="16"/>
        </w:rPr>
        <w:t> </w:t>
      </w:r>
      <w:r>
        <w:rPr>
          <w:sz w:val="16"/>
        </w:rPr>
        <w:t>(1)</w:t>
      </w:r>
      <w:r>
        <w:rPr>
          <w:spacing w:val="-5"/>
          <w:sz w:val="16"/>
        </w:rPr>
        <w:t> </w:t>
      </w:r>
      <w:r>
        <w:rPr>
          <w:sz w:val="16"/>
        </w:rPr>
        <w:t>UKR,</w:t>
      </w:r>
      <w:r>
        <w:rPr>
          <w:spacing w:val="-5"/>
          <w:sz w:val="16"/>
        </w:rPr>
        <w:t> </w:t>
      </w:r>
      <w:r>
        <w:rPr>
          <w:sz w:val="16"/>
        </w:rPr>
        <w:t>(2) SUD, (3)</w:t>
      </w:r>
      <w:r>
        <w:rPr>
          <w:spacing w:val="-4"/>
          <w:sz w:val="16"/>
        </w:rPr>
        <w:t> </w:t>
      </w:r>
      <w:r>
        <w:rPr>
          <w:sz w:val="16"/>
        </w:rPr>
        <w:t>LBY,</w:t>
      </w:r>
      <w:r>
        <w:rPr>
          <w:spacing w:val="-5"/>
          <w:sz w:val="16"/>
        </w:rPr>
        <w:t> </w:t>
      </w:r>
      <w:r>
        <w:rPr>
          <w:sz w:val="16"/>
        </w:rPr>
        <w:t>and</w:t>
      </w:r>
      <w:r>
        <w:rPr>
          <w:spacing w:val="-1"/>
          <w:sz w:val="16"/>
        </w:rPr>
        <w:t> </w:t>
      </w:r>
      <w:r>
        <w:rPr>
          <w:sz w:val="16"/>
        </w:rPr>
        <w:t>(4)</w:t>
      </w:r>
      <w:r>
        <w:rPr>
          <w:spacing w:val="-5"/>
          <w:sz w:val="16"/>
        </w:rPr>
        <w:t> </w:t>
      </w:r>
      <w:r>
        <w:rPr>
          <w:spacing w:val="-2"/>
          <w:sz w:val="16"/>
        </w:rPr>
        <w:t>BGD/MMR.</w:t>
      </w:r>
    </w:p>
    <w:p>
      <w:pPr>
        <w:spacing w:line="182" w:lineRule="exact" w:before="0"/>
        <w:ind w:left="2246" w:right="0" w:firstLine="0"/>
        <w:jc w:val="left"/>
        <w:rPr>
          <w:sz w:val="16"/>
        </w:rPr>
      </w:pPr>
      <w:r>
        <w:rPr>
          <w:position w:val="5"/>
          <w:sz w:val="10"/>
        </w:rPr>
        <w:t>104</w:t>
      </w:r>
      <w:r>
        <w:rPr>
          <w:spacing w:val="12"/>
          <w:position w:val="5"/>
          <w:sz w:val="10"/>
        </w:rPr>
        <w:t> </w:t>
      </w:r>
      <w:r>
        <w:rPr>
          <w:sz w:val="16"/>
        </w:rPr>
        <w:t>Allocated</w:t>
      </w:r>
      <w:r>
        <w:rPr>
          <w:spacing w:val="-2"/>
          <w:sz w:val="16"/>
        </w:rPr>
        <w:t> </w:t>
      </w:r>
      <w:r>
        <w:rPr>
          <w:sz w:val="16"/>
        </w:rPr>
        <w:t>to</w:t>
      </w:r>
      <w:r>
        <w:rPr>
          <w:spacing w:val="-3"/>
          <w:sz w:val="16"/>
        </w:rPr>
        <w:t> </w:t>
      </w:r>
      <w:r>
        <w:rPr>
          <w:sz w:val="16"/>
        </w:rPr>
        <w:t>CAR</w:t>
      </w:r>
      <w:r>
        <w:rPr>
          <w:spacing w:val="-4"/>
          <w:sz w:val="16"/>
        </w:rPr>
        <w:t> </w:t>
      </w:r>
      <w:r>
        <w:rPr>
          <w:sz w:val="16"/>
        </w:rPr>
        <w:t>II.a</w:t>
      </w:r>
      <w:r>
        <w:rPr>
          <w:spacing w:val="-3"/>
          <w:sz w:val="16"/>
        </w:rPr>
        <w:t> </w:t>
      </w:r>
      <w:r>
        <w:rPr>
          <w:sz w:val="16"/>
        </w:rPr>
        <w:t>and</w:t>
      </w:r>
      <w:r>
        <w:rPr>
          <w:spacing w:val="-3"/>
          <w:sz w:val="16"/>
        </w:rPr>
        <w:t> </w:t>
      </w:r>
      <w:r>
        <w:rPr>
          <w:sz w:val="16"/>
        </w:rPr>
        <w:t>CAR</w:t>
      </w:r>
      <w:r>
        <w:rPr>
          <w:spacing w:val="-4"/>
          <w:sz w:val="16"/>
        </w:rPr>
        <w:t> II.b.</w:t>
      </w:r>
    </w:p>
    <w:p>
      <w:pPr>
        <w:spacing w:line="183" w:lineRule="exact" w:before="0"/>
        <w:ind w:left="2246" w:right="0" w:firstLine="0"/>
        <w:jc w:val="left"/>
        <w:rPr>
          <w:sz w:val="16"/>
        </w:rPr>
      </w:pPr>
      <w:r>
        <w:rPr>
          <w:position w:val="5"/>
          <w:sz w:val="10"/>
        </w:rPr>
        <w:t>105</w:t>
      </w:r>
      <w:r>
        <w:rPr>
          <w:spacing w:val="15"/>
          <w:position w:val="5"/>
          <w:sz w:val="10"/>
        </w:rPr>
        <w:t> </w:t>
      </w:r>
      <w:r>
        <w:rPr>
          <w:sz w:val="16"/>
        </w:rPr>
        <w:t>See</w:t>
      </w:r>
      <w:r>
        <w:rPr>
          <w:spacing w:val="-1"/>
          <w:sz w:val="16"/>
        </w:rPr>
        <w:t> </w:t>
      </w:r>
      <w:r>
        <w:rPr>
          <w:sz w:val="16"/>
        </w:rPr>
        <w:t>para.</w:t>
      </w:r>
      <w:r>
        <w:rPr>
          <w:spacing w:val="-2"/>
          <w:sz w:val="16"/>
        </w:rPr>
        <w:t> </w:t>
      </w:r>
      <w:hyperlink w:history="true" w:anchor="_bookmark31">
        <w:r>
          <w:rPr>
            <w:sz w:val="16"/>
          </w:rPr>
          <w:t>446</w:t>
        </w:r>
      </w:hyperlink>
      <w:r>
        <w:rPr>
          <w:sz w:val="16"/>
        </w:rPr>
        <w:t> for</w:t>
      </w:r>
      <w:r>
        <w:rPr>
          <w:spacing w:val="-2"/>
          <w:sz w:val="16"/>
        </w:rPr>
        <w:t> details.</w:t>
      </w:r>
    </w:p>
    <w:p>
      <w:pPr>
        <w:spacing w:line="183" w:lineRule="exact" w:before="3"/>
        <w:ind w:left="2246" w:right="0" w:firstLine="0"/>
        <w:jc w:val="left"/>
        <w:rPr>
          <w:sz w:val="16"/>
        </w:rPr>
      </w:pPr>
      <w:r>
        <w:rPr>
          <w:position w:val="5"/>
          <w:sz w:val="10"/>
        </w:rPr>
        <w:t>106</w:t>
      </w:r>
      <w:r>
        <w:rPr>
          <w:spacing w:val="13"/>
          <w:position w:val="5"/>
          <w:sz w:val="10"/>
        </w:rPr>
        <w:t> </w:t>
      </w:r>
      <w:r>
        <w:rPr>
          <w:sz w:val="16"/>
        </w:rPr>
        <w:t>One</w:t>
      </w:r>
      <w:r>
        <w:rPr>
          <w:spacing w:val="-3"/>
          <w:sz w:val="16"/>
        </w:rPr>
        <w:t> </w:t>
      </w:r>
      <w:r>
        <w:rPr>
          <w:sz w:val="16"/>
        </w:rPr>
        <w:t>Allocated</w:t>
      </w:r>
      <w:r>
        <w:rPr>
          <w:spacing w:val="-2"/>
          <w:sz w:val="16"/>
        </w:rPr>
        <w:t> </w:t>
      </w:r>
      <w:r>
        <w:rPr>
          <w:sz w:val="16"/>
        </w:rPr>
        <w:t>to</w:t>
      </w:r>
      <w:r>
        <w:rPr>
          <w:spacing w:val="-2"/>
          <w:sz w:val="16"/>
        </w:rPr>
        <w:t> </w:t>
      </w:r>
      <w:r>
        <w:rPr>
          <w:sz w:val="16"/>
        </w:rPr>
        <w:t>LAT HUB,</w:t>
      </w:r>
      <w:r>
        <w:rPr>
          <w:spacing w:val="-5"/>
          <w:sz w:val="16"/>
        </w:rPr>
        <w:t> </w:t>
      </w:r>
      <w:r>
        <w:rPr>
          <w:sz w:val="16"/>
        </w:rPr>
        <w:t>and</w:t>
      </w:r>
      <w:r>
        <w:rPr>
          <w:spacing w:val="-2"/>
          <w:sz w:val="16"/>
        </w:rPr>
        <w:t> </w:t>
      </w:r>
      <w:r>
        <w:rPr>
          <w:sz w:val="16"/>
        </w:rPr>
        <w:t>one</w:t>
      </w:r>
      <w:r>
        <w:rPr>
          <w:spacing w:val="-3"/>
          <w:sz w:val="16"/>
        </w:rPr>
        <w:t> </w:t>
      </w:r>
      <w:r>
        <w:rPr>
          <w:sz w:val="16"/>
        </w:rPr>
        <w:t>allocated</w:t>
      </w:r>
      <w:r>
        <w:rPr>
          <w:spacing w:val="-2"/>
          <w:sz w:val="16"/>
        </w:rPr>
        <w:t> </w:t>
      </w:r>
      <w:r>
        <w:rPr>
          <w:sz w:val="16"/>
        </w:rPr>
        <w:t>to</w:t>
      </w:r>
      <w:r>
        <w:rPr>
          <w:spacing w:val="-2"/>
          <w:sz w:val="16"/>
        </w:rPr>
        <w:t> </w:t>
      </w:r>
      <w:r>
        <w:rPr>
          <w:spacing w:val="-4"/>
          <w:sz w:val="16"/>
        </w:rPr>
        <w:t>CAR.</w:t>
      </w:r>
    </w:p>
    <w:p>
      <w:pPr>
        <w:spacing w:line="183" w:lineRule="exact" w:before="0"/>
        <w:ind w:left="2246" w:right="0" w:firstLine="0"/>
        <w:jc w:val="left"/>
        <w:rPr>
          <w:sz w:val="16"/>
        </w:rPr>
      </w:pPr>
      <w:r>
        <w:rPr>
          <w:position w:val="5"/>
          <w:sz w:val="10"/>
        </w:rPr>
        <w:t>107</w:t>
      </w:r>
      <w:r>
        <w:rPr>
          <w:spacing w:val="12"/>
          <w:position w:val="5"/>
          <w:sz w:val="10"/>
        </w:rPr>
        <w:t> </w:t>
      </w:r>
      <w:r>
        <w:rPr>
          <w:sz w:val="16"/>
        </w:rPr>
        <w:t>Allocated</w:t>
      </w:r>
      <w:r>
        <w:rPr>
          <w:spacing w:val="-2"/>
          <w:sz w:val="16"/>
        </w:rPr>
        <w:t> </w:t>
      </w:r>
      <w:r>
        <w:rPr>
          <w:sz w:val="16"/>
        </w:rPr>
        <w:t>to</w:t>
      </w:r>
      <w:r>
        <w:rPr>
          <w:spacing w:val="-3"/>
          <w:sz w:val="16"/>
        </w:rPr>
        <w:t> </w:t>
      </w:r>
      <w:r>
        <w:rPr>
          <w:sz w:val="16"/>
        </w:rPr>
        <w:t>Asia</w:t>
      </w:r>
      <w:r>
        <w:rPr>
          <w:spacing w:val="-3"/>
          <w:sz w:val="16"/>
        </w:rPr>
        <w:t> </w:t>
      </w:r>
      <w:r>
        <w:rPr>
          <w:spacing w:val="-4"/>
          <w:sz w:val="16"/>
        </w:rPr>
        <w:t>HUB.</w:t>
      </w:r>
    </w:p>
    <w:p>
      <w:pPr>
        <w:spacing w:line="183" w:lineRule="exact" w:before="0"/>
        <w:ind w:left="2246" w:right="0" w:firstLine="0"/>
        <w:jc w:val="left"/>
        <w:rPr>
          <w:sz w:val="16"/>
        </w:rPr>
      </w:pPr>
      <w:r>
        <w:rPr>
          <w:position w:val="5"/>
          <w:sz w:val="10"/>
        </w:rPr>
        <w:t>108</w:t>
      </w:r>
      <w:r>
        <w:rPr>
          <w:spacing w:val="12"/>
          <w:position w:val="5"/>
          <w:sz w:val="10"/>
        </w:rPr>
        <w:t> </w:t>
      </w:r>
      <w:r>
        <w:rPr>
          <w:sz w:val="16"/>
        </w:rPr>
        <w:t>Allocated</w:t>
      </w:r>
      <w:r>
        <w:rPr>
          <w:spacing w:val="-1"/>
          <w:sz w:val="16"/>
        </w:rPr>
        <w:t> </w:t>
      </w:r>
      <w:r>
        <w:rPr>
          <w:sz w:val="16"/>
        </w:rPr>
        <w:t>to</w:t>
      </w:r>
      <w:r>
        <w:rPr>
          <w:spacing w:val="-2"/>
          <w:sz w:val="16"/>
        </w:rPr>
        <w:t> </w:t>
      </w:r>
      <w:r>
        <w:rPr>
          <w:sz w:val="16"/>
        </w:rPr>
        <w:t>LAT </w:t>
      </w:r>
      <w:r>
        <w:rPr>
          <w:spacing w:val="-4"/>
          <w:sz w:val="16"/>
        </w:rPr>
        <w:t>HUB.</w:t>
      </w:r>
    </w:p>
    <w:p>
      <w:pPr>
        <w:spacing w:line="183" w:lineRule="exact" w:before="3"/>
        <w:ind w:left="2246" w:right="0" w:firstLine="0"/>
        <w:jc w:val="left"/>
        <w:rPr>
          <w:sz w:val="16"/>
        </w:rPr>
      </w:pPr>
      <w:r>
        <w:rPr>
          <w:position w:val="5"/>
          <w:sz w:val="10"/>
        </w:rPr>
        <w:t>109</w:t>
      </w:r>
      <w:r>
        <w:rPr>
          <w:spacing w:val="13"/>
          <w:position w:val="5"/>
          <w:sz w:val="10"/>
        </w:rPr>
        <w:t> </w:t>
      </w:r>
      <w:r>
        <w:rPr>
          <w:sz w:val="16"/>
        </w:rPr>
        <w:t>Allocated</w:t>
      </w:r>
      <w:r>
        <w:rPr>
          <w:spacing w:val="-1"/>
          <w:sz w:val="16"/>
        </w:rPr>
        <w:t> </w:t>
      </w:r>
      <w:r>
        <w:rPr>
          <w:sz w:val="16"/>
        </w:rPr>
        <w:t>to</w:t>
      </w:r>
      <w:r>
        <w:rPr>
          <w:spacing w:val="-1"/>
          <w:sz w:val="16"/>
        </w:rPr>
        <w:t> </w:t>
      </w:r>
      <w:r>
        <w:rPr>
          <w:spacing w:val="-4"/>
          <w:sz w:val="16"/>
        </w:rPr>
        <w:t>SUD.</w:t>
      </w:r>
    </w:p>
    <w:p>
      <w:pPr>
        <w:spacing w:line="182" w:lineRule="exact" w:before="0"/>
        <w:ind w:left="2246" w:right="0" w:firstLine="0"/>
        <w:jc w:val="left"/>
        <w:rPr>
          <w:sz w:val="16"/>
        </w:rPr>
      </w:pPr>
      <w:r>
        <w:rPr>
          <w:position w:val="5"/>
          <w:sz w:val="10"/>
        </w:rPr>
        <w:t>110</w:t>
      </w:r>
      <w:r>
        <w:rPr>
          <w:spacing w:val="13"/>
          <w:position w:val="5"/>
          <w:sz w:val="10"/>
        </w:rPr>
        <w:t> </w:t>
      </w:r>
      <w:r>
        <w:rPr>
          <w:sz w:val="16"/>
        </w:rPr>
        <w:t>Allocated</w:t>
      </w:r>
      <w:r>
        <w:rPr>
          <w:spacing w:val="-2"/>
          <w:sz w:val="16"/>
        </w:rPr>
        <w:t> </w:t>
      </w:r>
      <w:r>
        <w:rPr>
          <w:sz w:val="16"/>
        </w:rPr>
        <w:t>to</w:t>
      </w:r>
      <w:r>
        <w:rPr>
          <w:spacing w:val="-2"/>
          <w:sz w:val="16"/>
        </w:rPr>
        <w:t> </w:t>
      </w:r>
      <w:r>
        <w:rPr>
          <w:sz w:val="16"/>
        </w:rPr>
        <w:t>LAT </w:t>
      </w:r>
      <w:r>
        <w:rPr>
          <w:spacing w:val="-4"/>
          <w:sz w:val="16"/>
        </w:rPr>
        <w:t>HUB.</w:t>
      </w:r>
    </w:p>
    <w:p>
      <w:pPr>
        <w:spacing w:line="183" w:lineRule="exact" w:before="0"/>
        <w:ind w:left="2246" w:right="0" w:firstLine="0"/>
        <w:jc w:val="left"/>
        <w:rPr>
          <w:sz w:val="16"/>
        </w:rPr>
      </w:pPr>
      <w:r>
        <w:rPr>
          <w:position w:val="5"/>
          <w:sz w:val="10"/>
        </w:rPr>
        <w:t>111</w:t>
      </w:r>
      <w:r>
        <w:rPr>
          <w:spacing w:val="12"/>
          <w:position w:val="5"/>
          <w:sz w:val="10"/>
        </w:rPr>
        <w:t> </w:t>
      </w:r>
      <w:r>
        <w:rPr>
          <w:sz w:val="16"/>
        </w:rPr>
        <w:t>Allocated</w:t>
      </w:r>
      <w:r>
        <w:rPr>
          <w:spacing w:val="-2"/>
          <w:sz w:val="16"/>
        </w:rPr>
        <w:t> </w:t>
      </w:r>
      <w:r>
        <w:rPr>
          <w:sz w:val="16"/>
        </w:rPr>
        <w:t>to</w:t>
      </w:r>
      <w:r>
        <w:rPr>
          <w:spacing w:val="-3"/>
          <w:sz w:val="16"/>
        </w:rPr>
        <w:t> </w:t>
      </w:r>
      <w:r>
        <w:rPr>
          <w:sz w:val="16"/>
        </w:rPr>
        <w:t>Asia</w:t>
      </w:r>
      <w:r>
        <w:rPr>
          <w:spacing w:val="-3"/>
          <w:sz w:val="16"/>
        </w:rPr>
        <w:t> </w:t>
      </w:r>
      <w:r>
        <w:rPr>
          <w:spacing w:val="-4"/>
          <w:sz w:val="16"/>
        </w:rPr>
        <w:t>HUB.</w:t>
      </w:r>
    </w:p>
    <w:p>
      <w:pPr>
        <w:spacing w:after="0" w:line="183" w:lineRule="exact"/>
        <w:jc w:val="left"/>
        <w:rPr>
          <w:sz w:val="16"/>
        </w:rPr>
        <w:sectPr>
          <w:headerReference w:type="default" r:id="rId71"/>
          <w:headerReference w:type="even" r:id="rId72"/>
          <w:footerReference w:type="default" r:id="rId73"/>
          <w:footerReference w:type="even" r:id="rId74"/>
          <w:pgSz w:w="11910" w:h="16840"/>
          <w:pgMar w:header="957" w:footer="940" w:top="1140" w:bottom="1140" w:left="20" w:right="20"/>
          <w:pgNumType w:start="89"/>
        </w:sectPr>
      </w:pPr>
    </w:p>
    <w:p>
      <w:pPr>
        <w:pStyle w:val="BodyText"/>
        <w:spacing w:before="9"/>
        <w:rPr>
          <w:sz w:val="10"/>
        </w:rPr>
      </w:pPr>
    </w:p>
    <w:tbl>
      <w:tblPr>
        <w:tblW w:w="0" w:type="auto"/>
        <w:jc w:val="left"/>
        <w:tblInd w:w="2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71"/>
        <w:gridCol w:w="740"/>
        <w:gridCol w:w="775"/>
        <w:gridCol w:w="920"/>
        <w:gridCol w:w="909"/>
        <w:gridCol w:w="1205"/>
      </w:tblGrid>
      <w:tr>
        <w:trPr>
          <w:trHeight w:val="273" w:hRule="atLeast"/>
        </w:trPr>
        <w:tc>
          <w:tcPr>
            <w:tcW w:w="2971" w:type="dxa"/>
            <w:tcBorders>
              <w:top w:val="single" w:sz="4" w:space="0" w:color="000000"/>
              <w:bottom w:val="single" w:sz="4" w:space="0" w:color="000000"/>
            </w:tcBorders>
          </w:tcPr>
          <w:p>
            <w:pPr>
              <w:pStyle w:val="TableParagraph"/>
              <w:spacing w:line="229" w:lineRule="exact" w:before="24"/>
              <w:ind w:left="14"/>
              <w:jc w:val="left"/>
              <w:rPr>
                <w:i/>
                <w:sz w:val="20"/>
              </w:rPr>
            </w:pPr>
            <w:r>
              <w:rPr>
                <w:i/>
                <w:spacing w:val="-2"/>
                <w:sz w:val="20"/>
              </w:rPr>
              <w:t>Title</w:t>
            </w:r>
          </w:p>
        </w:tc>
        <w:tc>
          <w:tcPr>
            <w:tcW w:w="740" w:type="dxa"/>
            <w:tcBorders>
              <w:top w:val="single" w:sz="4" w:space="0" w:color="000000"/>
              <w:bottom w:val="single" w:sz="4" w:space="0" w:color="000000"/>
            </w:tcBorders>
          </w:tcPr>
          <w:p>
            <w:pPr>
              <w:pStyle w:val="TableParagraph"/>
              <w:spacing w:line="229" w:lineRule="exact" w:before="24"/>
              <w:ind w:left="20"/>
              <w:jc w:val="left"/>
              <w:rPr>
                <w:i/>
                <w:sz w:val="20"/>
              </w:rPr>
            </w:pPr>
            <w:r>
              <w:rPr>
                <w:i/>
                <w:spacing w:val="-2"/>
                <w:sz w:val="20"/>
              </w:rPr>
              <w:t>Grade</w:t>
            </w:r>
          </w:p>
        </w:tc>
        <w:tc>
          <w:tcPr>
            <w:tcW w:w="775" w:type="dxa"/>
            <w:tcBorders>
              <w:top w:val="single" w:sz="4" w:space="0" w:color="000000"/>
              <w:bottom w:val="single" w:sz="4" w:space="0" w:color="000000"/>
            </w:tcBorders>
          </w:tcPr>
          <w:p>
            <w:pPr>
              <w:pStyle w:val="TableParagraph"/>
              <w:spacing w:line="229" w:lineRule="exact" w:before="24"/>
              <w:ind w:right="-15"/>
              <w:rPr>
                <w:i/>
                <w:sz w:val="20"/>
              </w:rPr>
            </w:pPr>
            <w:r>
              <w:rPr>
                <w:i/>
                <w:spacing w:val="-2"/>
                <w:sz w:val="20"/>
              </w:rPr>
              <w:t>Number</w:t>
            </w:r>
          </w:p>
        </w:tc>
        <w:tc>
          <w:tcPr>
            <w:tcW w:w="920" w:type="dxa"/>
            <w:tcBorders>
              <w:top w:val="single" w:sz="4" w:space="0" w:color="000000"/>
              <w:bottom w:val="single" w:sz="4" w:space="0" w:color="000000"/>
            </w:tcBorders>
          </w:tcPr>
          <w:p>
            <w:pPr>
              <w:pStyle w:val="TableParagraph"/>
              <w:spacing w:line="229" w:lineRule="exact" w:before="24"/>
              <w:ind w:right="312"/>
              <w:rPr>
                <w:i/>
                <w:sz w:val="20"/>
              </w:rPr>
            </w:pPr>
            <w:r>
              <w:rPr>
                <w:i/>
                <w:spacing w:val="-2"/>
                <w:sz w:val="20"/>
              </w:rPr>
              <w:t>Months</w:t>
            </w:r>
          </w:p>
        </w:tc>
        <w:tc>
          <w:tcPr>
            <w:tcW w:w="909" w:type="dxa"/>
            <w:tcBorders>
              <w:top w:val="single" w:sz="4" w:space="0" w:color="000000"/>
              <w:bottom w:val="single" w:sz="4" w:space="0" w:color="000000"/>
            </w:tcBorders>
          </w:tcPr>
          <w:p>
            <w:pPr>
              <w:pStyle w:val="TableParagraph"/>
              <w:spacing w:line="229" w:lineRule="exact" w:before="24"/>
              <w:ind w:right="139"/>
              <w:rPr>
                <w:i/>
                <w:sz w:val="20"/>
              </w:rPr>
            </w:pPr>
            <w:r>
              <w:rPr>
                <w:i/>
                <w:spacing w:val="-5"/>
                <w:sz w:val="20"/>
              </w:rPr>
              <w:t>FTE</w:t>
            </w:r>
          </w:p>
        </w:tc>
        <w:tc>
          <w:tcPr>
            <w:tcW w:w="1205" w:type="dxa"/>
            <w:tcBorders>
              <w:top w:val="single" w:sz="4" w:space="0" w:color="000000"/>
              <w:bottom w:val="single" w:sz="4" w:space="0" w:color="000000"/>
            </w:tcBorders>
          </w:tcPr>
          <w:p>
            <w:pPr>
              <w:pStyle w:val="TableParagraph"/>
              <w:jc w:val="left"/>
              <w:rPr>
                <w:sz w:val="18"/>
              </w:rPr>
            </w:pPr>
          </w:p>
        </w:tc>
      </w:tr>
      <w:tr>
        <w:trPr>
          <w:trHeight w:val="268" w:hRule="atLeast"/>
        </w:trPr>
        <w:tc>
          <w:tcPr>
            <w:tcW w:w="2971" w:type="dxa"/>
            <w:tcBorders>
              <w:top w:val="single" w:sz="4" w:space="0" w:color="000000"/>
              <w:bottom w:val="single" w:sz="4" w:space="0" w:color="000000"/>
            </w:tcBorders>
          </w:tcPr>
          <w:p>
            <w:pPr>
              <w:pStyle w:val="TableParagraph"/>
              <w:spacing w:line="229" w:lineRule="exact" w:before="19"/>
              <w:ind w:left="14"/>
              <w:jc w:val="left"/>
              <w:rPr>
                <w:i/>
                <w:sz w:val="20"/>
              </w:rPr>
            </w:pPr>
            <w:r>
              <w:rPr>
                <w:i/>
                <w:sz w:val="20"/>
              </w:rPr>
              <w:t>Office</w:t>
            </w:r>
            <w:r>
              <w:rPr>
                <w:i/>
                <w:spacing w:val="-8"/>
                <w:sz w:val="20"/>
              </w:rPr>
              <w:t> </w:t>
            </w:r>
            <w:r>
              <w:rPr>
                <w:i/>
                <w:sz w:val="20"/>
              </w:rPr>
              <w:t>of</w:t>
            </w:r>
            <w:r>
              <w:rPr>
                <w:i/>
                <w:spacing w:val="-5"/>
                <w:sz w:val="20"/>
              </w:rPr>
              <w:t> </w:t>
            </w:r>
            <w:r>
              <w:rPr>
                <w:i/>
                <w:sz w:val="20"/>
              </w:rPr>
              <w:t>the</w:t>
            </w:r>
            <w:r>
              <w:rPr>
                <w:i/>
                <w:spacing w:val="-6"/>
                <w:sz w:val="20"/>
              </w:rPr>
              <w:t> </w:t>
            </w:r>
            <w:r>
              <w:rPr>
                <w:i/>
                <w:sz w:val="20"/>
              </w:rPr>
              <w:t>Director, </w:t>
            </w:r>
            <w:r>
              <w:rPr>
                <w:i/>
                <w:spacing w:val="-5"/>
                <w:sz w:val="20"/>
              </w:rPr>
              <w:t>ISD</w:t>
            </w:r>
          </w:p>
        </w:tc>
        <w:tc>
          <w:tcPr>
            <w:tcW w:w="740" w:type="dxa"/>
            <w:tcBorders>
              <w:top w:val="single" w:sz="4" w:space="0" w:color="000000"/>
              <w:bottom w:val="single" w:sz="4" w:space="0" w:color="000000"/>
            </w:tcBorders>
          </w:tcPr>
          <w:p>
            <w:pPr>
              <w:pStyle w:val="TableParagraph"/>
              <w:jc w:val="left"/>
              <w:rPr>
                <w:sz w:val="18"/>
              </w:rPr>
            </w:pPr>
          </w:p>
        </w:tc>
        <w:tc>
          <w:tcPr>
            <w:tcW w:w="775" w:type="dxa"/>
            <w:tcBorders>
              <w:top w:val="single" w:sz="4" w:space="0" w:color="000000"/>
              <w:bottom w:val="single" w:sz="4" w:space="0" w:color="000000"/>
            </w:tcBorders>
          </w:tcPr>
          <w:p>
            <w:pPr>
              <w:pStyle w:val="TableParagraph"/>
              <w:jc w:val="left"/>
              <w:rPr>
                <w:sz w:val="18"/>
              </w:rPr>
            </w:pPr>
          </w:p>
        </w:tc>
        <w:tc>
          <w:tcPr>
            <w:tcW w:w="920" w:type="dxa"/>
            <w:tcBorders>
              <w:top w:val="single" w:sz="4" w:space="0" w:color="000000"/>
              <w:bottom w:val="single" w:sz="4" w:space="0" w:color="000000"/>
            </w:tcBorders>
          </w:tcPr>
          <w:p>
            <w:pPr>
              <w:pStyle w:val="TableParagraph"/>
              <w:jc w:val="left"/>
              <w:rPr>
                <w:sz w:val="18"/>
              </w:rPr>
            </w:pPr>
          </w:p>
        </w:tc>
        <w:tc>
          <w:tcPr>
            <w:tcW w:w="909" w:type="dxa"/>
            <w:tcBorders>
              <w:top w:val="single" w:sz="4" w:space="0" w:color="000000"/>
              <w:bottom w:val="single" w:sz="4" w:space="0" w:color="000000"/>
            </w:tcBorders>
          </w:tcPr>
          <w:p>
            <w:pPr>
              <w:pStyle w:val="TableParagraph"/>
              <w:jc w:val="left"/>
              <w:rPr>
                <w:sz w:val="18"/>
              </w:rPr>
            </w:pPr>
          </w:p>
        </w:tc>
        <w:tc>
          <w:tcPr>
            <w:tcW w:w="1205" w:type="dxa"/>
            <w:tcBorders>
              <w:top w:val="single" w:sz="4" w:space="0" w:color="000000"/>
              <w:bottom w:val="single" w:sz="4" w:space="0" w:color="000000"/>
            </w:tcBorders>
          </w:tcPr>
          <w:p>
            <w:pPr>
              <w:pStyle w:val="TableParagraph"/>
              <w:jc w:val="left"/>
              <w:rPr>
                <w:sz w:val="18"/>
              </w:rPr>
            </w:pPr>
          </w:p>
        </w:tc>
      </w:tr>
      <w:tr>
        <w:trPr>
          <w:trHeight w:val="268" w:hRule="atLeast"/>
        </w:trPr>
        <w:tc>
          <w:tcPr>
            <w:tcW w:w="2971" w:type="dxa"/>
            <w:tcBorders>
              <w:top w:val="single" w:sz="4" w:space="0" w:color="000000"/>
              <w:bottom w:val="single" w:sz="4" w:space="0" w:color="000000"/>
            </w:tcBorders>
          </w:tcPr>
          <w:p>
            <w:pPr>
              <w:pStyle w:val="TableParagraph"/>
              <w:jc w:val="left"/>
              <w:rPr>
                <w:sz w:val="18"/>
              </w:rPr>
            </w:pPr>
          </w:p>
        </w:tc>
        <w:tc>
          <w:tcPr>
            <w:tcW w:w="740" w:type="dxa"/>
            <w:tcBorders>
              <w:top w:val="single" w:sz="4" w:space="0" w:color="000000"/>
              <w:bottom w:val="single" w:sz="4" w:space="0" w:color="000000"/>
            </w:tcBorders>
          </w:tcPr>
          <w:p>
            <w:pPr>
              <w:pStyle w:val="TableParagraph"/>
              <w:jc w:val="left"/>
              <w:rPr>
                <w:sz w:val="18"/>
              </w:rPr>
            </w:pPr>
          </w:p>
        </w:tc>
        <w:tc>
          <w:tcPr>
            <w:tcW w:w="775" w:type="dxa"/>
            <w:tcBorders>
              <w:top w:val="single" w:sz="4" w:space="0" w:color="000000"/>
              <w:bottom w:val="single" w:sz="4" w:space="0" w:color="000000"/>
            </w:tcBorders>
          </w:tcPr>
          <w:p>
            <w:pPr>
              <w:pStyle w:val="TableParagraph"/>
              <w:spacing w:line="229" w:lineRule="exact" w:before="19"/>
              <w:rPr>
                <w:b/>
                <w:sz w:val="20"/>
              </w:rPr>
            </w:pPr>
            <w:r>
              <w:rPr>
                <w:b/>
                <w:w w:val="100"/>
                <w:sz w:val="20"/>
              </w:rPr>
              <w:t>3</w:t>
            </w:r>
          </w:p>
        </w:tc>
        <w:tc>
          <w:tcPr>
            <w:tcW w:w="920" w:type="dxa"/>
            <w:tcBorders>
              <w:top w:val="single" w:sz="4" w:space="0" w:color="000000"/>
              <w:bottom w:val="single" w:sz="4" w:space="0" w:color="000000"/>
            </w:tcBorders>
          </w:tcPr>
          <w:p>
            <w:pPr>
              <w:pStyle w:val="TableParagraph"/>
              <w:spacing w:line="229" w:lineRule="exact" w:before="19"/>
              <w:ind w:right="320"/>
              <w:rPr>
                <w:b/>
                <w:sz w:val="20"/>
              </w:rPr>
            </w:pPr>
            <w:r>
              <w:rPr>
                <w:b/>
                <w:spacing w:val="-5"/>
                <w:sz w:val="20"/>
              </w:rPr>
              <w:t>36</w:t>
            </w:r>
          </w:p>
        </w:tc>
        <w:tc>
          <w:tcPr>
            <w:tcW w:w="909" w:type="dxa"/>
            <w:tcBorders>
              <w:top w:val="single" w:sz="4" w:space="0" w:color="000000"/>
              <w:bottom w:val="single" w:sz="4" w:space="0" w:color="000000"/>
            </w:tcBorders>
          </w:tcPr>
          <w:p>
            <w:pPr>
              <w:pStyle w:val="TableParagraph"/>
              <w:spacing w:line="229" w:lineRule="exact" w:before="19"/>
              <w:ind w:right="137"/>
              <w:rPr>
                <w:b/>
                <w:sz w:val="20"/>
              </w:rPr>
            </w:pPr>
            <w:r>
              <w:rPr>
                <w:b/>
                <w:spacing w:val="-4"/>
                <w:sz w:val="20"/>
              </w:rPr>
              <w:t>3.00</w:t>
            </w:r>
          </w:p>
        </w:tc>
        <w:tc>
          <w:tcPr>
            <w:tcW w:w="1205" w:type="dxa"/>
            <w:tcBorders>
              <w:top w:val="single" w:sz="4" w:space="0" w:color="000000"/>
              <w:bottom w:val="single" w:sz="4" w:space="0" w:color="000000"/>
            </w:tcBorders>
          </w:tcPr>
          <w:p>
            <w:pPr>
              <w:pStyle w:val="TableParagraph"/>
              <w:jc w:val="left"/>
              <w:rPr>
                <w:sz w:val="18"/>
              </w:rPr>
            </w:pPr>
          </w:p>
        </w:tc>
      </w:tr>
      <w:tr>
        <w:trPr>
          <w:trHeight w:val="273" w:hRule="atLeast"/>
        </w:trPr>
        <w:tc>
          <w:tcPr>
            <w:tcW w:w="2971" w:type="dxa"/>
            <w:tcBorders>
              <w:top w:val="single" w:sz="4" w:space="0" w:color="000000"/>
              <w:bottom w:val="single" w:sz="4" w:space="0" w:color="000000"/>
            </w:tcBorders>
          </w:tcPr>
          <w:p>
            <w:pPr>
              <w:pStyle w:val="TableParagraph"/>
              <w:spacing w:line="229" w:lineRule="exact" w:before="24"/>
              <w:ind w:left="14"/>
              <w:jc w:val="left"/>
              <w:rPr>
                <w:i/>
                <w:sz w:val="20"/>
              </w:rPr>
            </w:pPr>
            <w:r>
              <w:rPr>
                <w:i/>
                <w:spacing w:val="-2"/>
                <w:sz w:val="20"/>
              </w:rPr>
              <w:t>IKEMS-</w:t>
            </w:r>
            <w:r>
              <w:rPr>
                <w:i/>
                <w:spacing w:val="-4"/>
                <w:sz w:val="20"/>
              </w:rPr>
              <w:t>BSDU</w:t>
            </w:r>
          </w:p>
        </w:tc>
        <w:tc>
          <w:tcPr>
            <w:tcW w:w="740" w:type="dxa"/>
            <w:tcBorders>
              <w:top w:val="single" w:sz="4" w:space="0" w:color="000000"/>
              <w:bottom w:val="single" w:sz="4" w:space="0" w:color="000000"/>
            </w:tcBorders>
          </w:tcPr>
          <w:p>
            <w:pPr>
              <w:pStyle w:val="TableParagraph"/>
              <w:jc w:val="left"/>
              <w:rPr>
                <w:sz w:val="18"/>
              </w:rPr>
            </w:pPr>
          </w:p>
        </w:tc>
        <w:tc>
          <w:tcPr>
            <w:tcW w:w="775" w:type="dxa"/>
            <w:tcBorders>
              <w:top w:val="single" w:sz="4" w:space="0" w:color="000000"/>
              <w:bottom w:val="single" w:sz="4" w:space="0" w:color="000000"/>
            </w:tcBorders>
          </w:tcPr>
          <w:p>
            <w:pPr>
              <w:pStyle w:val="TableParagraph"/>
              <w:jc w:val="left"/>
              <w:rPr>
                <w:sz w:val="18"/>
              </w:rPr>
            </w:pPr>
          </w:p>
        </w:tc>
        <w:tc>
          <w:tcPr>
            <w:tcW w:w="920" w:type="dxa"/>
            <w:tcBorders>
              <w:top w:val="single" w:sz="4" w:space="0" w:color="000000"/>
              <w:bottom w:val="single" w:sz="4" w:space="0" w:color="000000"/>
            </w:tcBorders>
          </w:tcPr>
          <w:p>
            <w:pPr>
              <w:pStyle w:val="TableParagraph"/>
              <w:jc w:val="left"/>
              <w:rPr>
                <w:sz w:val="18"/>
              </w:rPr>
            </w:pPr>
          </w:p>
        </w:tc>
        <w:tc>
          <w:tcPr>
            <w:tcW w:w="909" w:type="dxa"/>
            <w:tcBorders>
              <w:top w:val="single" w:sz="4" w:space="0" w:color="000000"/>
              <w:bottom w:val="single" w:sz="4" w:space="0" w:color="000000"/>
            </w:tcBorders>
          </w:tcPr>
          <w:p>
            <w:pPr>
              <w:pStyle w:val="TableParagraph"/>
              <w:jc w:val="left"/>
              <w:rPr>
                <w:sz w:val="18"/>
              </w:rPr>
            </w:pPr>
          </w:p>
        </w:tc>
        <w:tc>
          <w:tcPr>
            <w:tcW w:w="1205" w:type="dxa"/>
            <w:tcBorders>
              <w:top w:val="single" w:sz="4" w:space="0" w:color="000000"/>
              <w:bottom w:val="single" w:sz="4" w:space="0" w:color="000000"/>
            </w:tcBorders>
          </w:tcPr>
          <w:p>
            <w:pPr>
              <w:pStyle w:val="TableParagraph"/>
              <w:jc w:val="left"/>
              <w:rPr>
                <w:sz w:val="18"/>
              </w:rPr>
            </w:pPr>
          </w:p>
        </w:tc>
      </w:tr>
      <w:tr>
        <w:trPr>
          <w:trHeight w:val="272" w:hRule="atLeast"/>
        </w:trPr>
        <w:tc>
          <w:tcPr>
            <w:tcW w:w="2971" w:type="dxa"/>
            <w:tcBorders>
              <w:top w:val="single" w:sz="4" w:space="0" w:color="000000"/>
            </w:tcBorders>
          </w:tcPr>
          <w:p>
            <w:pPr>
              <w:pStyle w:val="TableParagraph"/>
              <w:spacing w:before="19"/>
              <w:ind w:left="14"/>
              <w:jc w:val="left"/>
              <w:rPr>
                <w:sz w:val="20"/>
              </w:rPr>
            </w:pPr>
            <w:r>
              <w:rPr>
                <w:sz w:val="20"/>
              </w:rPr>
              <w:t>Application</w:t>
            </w:r>
            <w:r>
              <w:rPr>
                <w:spacing w:val="-9"/>
                <w:sz w:val="20"/>
              </w:rPr>
              <w:t> </w:t>
            </w:r>
            <w:r>
              <w:rPr>
                <w:sz w:val="20"/>
              </w:rPr>
              <w:t>Management</w:t>
            </w:r>
            <w:r>
              <w:rPr>
                <w:spacing w:val="-9"/>
                <w:sz w:val="20"/>
              </w:rPr>
              <w:t> </w:t>
            </w:r>
            <w:r>
              <w:rPr>
                <w:spacing w:val="-2"/>
                <w:sz w:val="20"/>
              </w:rPr>
              <w:t>Officer</w:t>
            </w:r>
          </w:p>
        </w:tc>
        <w:tc>
          <w:tcPr>
            <w:tcW w:w="740" w:type="dxa"/>
            <w:tcBorders>
              <w:top w:val="single" w:sz="4" w:space="0" w:color="000000"/>
            </w:tcBorders>
          </w:tcPr>
          <w:p>
            <w:pPr>
              <w:pStyle w:val="TableParagraph"/>
              <w:spacing w:before="19"/>
              <w:ind w:left="20"/>
              <w:jc w:val="left"/>
              <w:rPr>
                <w:sz w:val="20"/>
              </w:rPr>
            </w:pPr>
            <w:r>
              <w:rPr>
                <w:spacing w:val="-2"/>
                <w:sz w:val="20"/>
              </w:rPr>
              <w:t>P-</w:t>
            </w:r>
            <w:r>
              <w:rPr>
                <w:spacing w:val="-10"/>
                <w:sz w:val="20"/>
              </w:rPr>
              <w:t>3</w:t>
            </w:r>
          </w:p>
        </w:tc>
        <w:tc>
          <w:tcPr>
            <w:tcW w:w="775" w:type="dxa"/>
            <w:tcBorders>
              <w:top w:val="single" w:sz="4" w:space="0" w:color="000000"/>
            </w:tcBorders>
          </w:tcPr>
          <w:p>
            <w:pPr>
              <w:pStyle w:val="TableParagraph"/>
              <w:spacing w:before="19"/>
              <w:rPr>
                <w:sz w:val="20"/>
              </w:rPr>
            </w:pPr>
            <w:r>
              <w:rPr>
                <w:w w:val="100"/>
                <w:sz w:val="20"/>
              </w:rPr>
              <w:t>1</w:t>
            </w:r>
          </w:p>
        </w:tc>
        <w:tc>
          <w:tcPr>
            <w:tcW w:w="920" w:type="dxa"/>
            <w:tcBorders>
              <w:top w:val="single" w:sz="4" w:space="0" w:color="000000"/>
            </w:tcBorders>
          </w:tcPr>
          <w:p>
            <w:pPr>
              <w:pStyle w:val="TableParagraph"/>
              <w:spacing w:before="19"/>
              <w:ind w:right="320"/>
              <w:rPr>
                <w:sz w:val="20"/>
              </w:rPr>
            </w:pPr>
            <w:r>
              <w:rPr>
                <w:spacing w:val="-5"/>
                <w:sz w:val="20"/>
              </w:rPr>
              <w:t>12</w:t>
            </w:r>
          </w:p>
        </w:tc>
        <w:tc>
          <w:tcPr>
            <w:tcW w:w="909" w:type="dxa"/>
            <w:tcBorders>
              <w:top w:val="single" w:sz="4" w:space="0" w:color="000000"/>
            </w:tcBorders>
          </w:tcPr>
          <w:p>
            <w:pPr>
              <w:pStyle w:val="TableParagraph"/>
              <w:spacing w:before="19"/>
              <w:ind w:right="137"/>
              <w:rPr>
                <w:sz w:val="20"/>
              </w:rPr>
            </w:pPr>
            <w:r>
              <w:rPr>
                <w:spacing w:val="-4"/>
                <w:sz w:val="20"/>
              </w:rPr>
              <w:t>1.00</w:t>
            </w:r>
          </w:p>
        </w:tc>
        <w:tc>
          <w:tcPr>
            <w:tcW w:w="1205" w:type="dxa"/>
            <w:tcBorders>
              <w:top w:val="single" w:sz="4" w:space="0" w:color="000000"/>
            </w:tcBorders>
          </w:tcPr>
          <w:p>
            <w:pPr>
              <w:pStyle w:val="TableParagraph"/>
              <w:spacing w:before="19"/>
              <w:ind w:right="225"/>
              <w:rPr>
                <w:sz w:val="20"/>
              </w:rPr>
            </w:pPr>
            <w:r>
              <w:rPr>
                <w:spacing w:val="-2"/>
                <w:sz w:val="20"/>
              </w:rPr>
              <w:t>Continued</w:t>
            </w:r>
          </w:p>
        </w:tc>
      </w:tr>
      <w:tr>
        <w:trPr>
          <w:trHeight w:val="269" w:hRule="atLeast"/>
        </w:trPr>
        <w:tc>
          <w:tcPr>
            <w:tcW w:w="2971" w:type="dxa"/>
          </w:tcPr>
          <w:p>
            <w:pPr>
              <w:pStyle w:val="TableParagraph"/>
              <w:spacing w:before="16"/>
              <w:ind w:left="14"/>
              <w:jc w:val="left"/>
              <w:rPr>
                <w:sz w:val="20"/>
              </w:rPr>
            </w:pPr>
            <w:r>
              <w:rPr>
                <w:sz w:val="20"/>
              </w:rPr>
              <w:t>Learning</w:t>
            </w:r>
            <w:r>
              <w:rPr>
                <w:spacing w:val="-3"/>
                <w:sz w:val="20"/>
              </w:rPr>
              <w:t> </w:t>
            </w:r>
            <w:r>
              <w:rPr>
                <w:spacing w:val="-2"/>
                <w:sz w:val="20"/>
              </w:rPr>
              <w:t>Officer</w:t>
            </w:r>
          </w:p>
        </w:tc>
        <w:tc>
          <w:tcPr>
            <w:tcW w:w="740" w:type="dxa"/>
          </w:tcPr>
          <w:p>
            <w:pPr>
              <w:pStyle w:val="TableParagraph"/>
              <w:spacing w:before="16"/>
              <w:ind w:left="20"/>
              <w:jc w:val="left"/>
              <w:rPr>
                <w:sz w:val="20"/>
              </w:rPr>
            </w:pPr>
            <w:r>
              <w:rPr>
                <w:spacing w:val="-2"/>
                <w:sz w:val="20"/>
              </w:rPr>
              <w:t>P-</w:t>
            </w:r>
            <w:r>
              <w:rPr>
                <w:spacing w:val="-10"/>
                <w:sz w:val="20"/>
              </w:rPr>
              <w:t>2</w:t>
            </w:r>
          </w:p>
        </w:tc>
        <w:tc>
          <w:tcPr>
            <w:tcW w:w="775" w:type="dxa"/>
          </w:tcPr>
          <w:p>
            <w:pPr>
              <w:pStyle w:val="TableParagraph"/>
              <w:spacing w:before="16"/>
              <w:rPr>
                <w:sz w:val="20"/>
              </w:rPr>
            </w:pPr>
            <w:r>
              <w:rPr>
                <w:w w:val="100"/>
                <w:sz w:val="20"/>
              </w:rPr>
              <w:t>1</w:t>
            </w:r>
          </w:p>
        </w:tc>
        <w:tc>
          <w:tcPr>
            <w:tcW w:w="920" w:type="dxa"/>
          </w:tcPr>
          <w:p>
            <w:pPr>
              <w:pStyle w:val="TableParagraph"/>
              <w:spacing w:before="16"/>
              <w:ind w:right="320"/>
              <w:rPr>
                <w:sz w:val="20"/>
              </w:rPr>
            </w:pPr>
            <w:r>
              <w:rPr>
                <w:spacing w:val="-5"/>
                <w:sz w:val="20"/>
              </w:rPr>
              <w:t>12</w:t>
            </w:r>
          </w:p>
        </w:tc>
        <w:tc>
          <w:tcPr>
            <w:tcW w:w="909" w:type="dxa"/>
          </w:tcPr>
          <w:p>
            <w:pPr>
              <w:pStyle w:val="TableParagraph"/>
              <w:spacing w:before="16"/>
              <w:ind w:right="137"/>
              <w:rPr>
                <w:sz w:val="20"/>
              </w:rPr>
            </w:pPr>
            <w:r>
              <w:rPr>
                <w:spacing w:val="-4"/>
                <w:sz w:val="20"/>
              </w:rPr>
              <w:t>1.00</w:t>
            </w:r>
          </w:p>
        </w:tc>
        <w:tc>
          <w:tcPr>
            <w:tcW w:w="1205" w:type="dxa"/>
          </w:tcPr>
          <w:p>
            <w:pPr>
              <w:pStyle w:val="TableParagraph"/>
              <w:spacing w:before="16"/>
              <w:ind w:right="225"/>
              <w:rPr>
                <w:sz w:val="20"/>
              </w:rPr>
            </w:pPr>
            <w:r>
              <w:rPr>
                <w:spacing w:val="-2"/>
                <w:sz w:val="20"/>
              </w:rPr>
              <w:t>Continued</w:t>
            </w:r>
          </w:p>
        </w:tc>
      </w:tr>
      <w:tr>
        <w:trPr>
          <w:trHeight w:val="499" w:hRule="atLeast"/>
        </w:trPr>
        <w:tc>
          <w:tcPr>
            <w:tcW w:w="2971" w:type="dxa"/>
            <w:tcBorders>
              <w:bottom w:val="single" w:sz="4" w:space="0" w:color="000000"/>
            </w:tcBorders>
          </w:tcPr>
          <w:p>
            <w:pPr>
              <w:pStyle w:val="TableParagraph"/>
              <w:spacing w:before="15"/>
              <w:ind w:left="14"/>
              <w:jc w:val="left"/>
              <w:rPr>
                <w:sz w:val="20"/>
              </w:rPr>
            </w:pPr>
            <w:r>
              <w:rPr>
                <w:sz w:val="20"/>
              </w:rPr>
              <w:t>Technical</w:t>
            </w:r>
            <w:r>
              <w:rPr>
                <w:spacing w:val="-13"/>
                <w:sz w:val="20"/>
              </w:rPr>
              <w:t> </w:t>
            </w:r>
            <w:r>
              <w:rPr>
                <w:sz w:val="20"/>
              </w:rPr>
              <w:t>Assistant</w:t>
            </w:r>
            <w:r>
              <w:rPr>
                <w:spacing w:val="-12"/>
                <w:sz w:val="20"/>
              </w:rPr>
              <w:t> </w:t>
            </w:r>
            <w:r>
              <w:rPr>
                <w:sz w:val="20"/>
              </w:rPr>
              <w:t>(Information </w:t>
            </w:r>
            <w:r>
              <w:rPr>
                <w:spacing w:val="-2"/>
                <w:sz w:val="20"/>
              </w:rPr>
              <w:t>Systems)</w:t>
            </w:r>
          </w:p>
        </w:tc>
        <w:tc>
          <w:tcPr>
            <w:tcW w:w="740" w:type="dxa"/>
            <w:tcBorders>
              <w:bottom w:val="single" w:sz="4" w:space="0" w:color="000000"/>
            </w:tcBorders>
          </w:tcPr>
          <w:p>
            <w:pPr>
              <w:pStyle w:val="TableParagraph"/>
              <w:spacing w:before="4"/>
              <w:jc w:val="left"/>
              <w:rPr>
                <w:sz w:val="21"/>
              </w:rPr>
            </w:pPr>
          </w:p>
          <w:p>
            <w:pPr>
              <w:pStyle w:val="TableParagraph"/>
              <w:ind w:left="20"/>
              <w:jc w:val="left"/>
              <w:rPr>
                <w:sz w:val="20"/>
              </w:rPr>
            </w:pPr>
            <w:r>
              <w:rPr>
                <w:spacing w:val="-2"/>
                <w:sz w:val="20"/>
              </w:rPr>
              <w:t>GS-</w:t>
            </w:r>
            <w:r>
              <w:rPr>
                <w:spacing w:val="-7"/>
                <w:sz w:val="20"/>
              </w:rPr>
              <w:t>OL</w:t>
            </w:r>
          </w:p>
        </w:tc>
        <w:tc>
          <w:tcPr>
            <w:tcW w:w="775" w:type="dxa"/>
            <w:tcBorders>
              <w:bottom w:val="single" w:sz="4" w:space="0" w:color="000000"/>
            </w:tcBorders>
          </w:tcPr>
          <w:p>
            <w:pPr>
              <w:pStyle w:val="TableParagraph"/>
              <w:spacing w:before="4"/>
              <w:jc w:val="left"/>
              <w:rPr>
                <w:sz w:val="21"/>
              </w:rPr>
            </w:pPr>
          </w:p>
          <w:p>
            <w:pPr>
              <w:pStyle w:val="TableParagraph"/>
              <w:rPr>
                <w:sz w:val="20"/>
              </w:rPr>
            </w:pPr>
            <w:r>
              <w:rPr>
                <w:w w:val="100"/>
                <w:sz w:val="20"/>
              </w:rPr>
              <w:t>1</w:t>
            </w:r>
          </w:p>
        </w:tc>
        <w:tc>
          <w:tcPr>
            <w:tcW w:w="920" w:type="dxa"/>
            <w:tcBorders>
              <w:bottom w:val="single" w:sz="4" w:space="0" w:color="000000"/>
            </w:tcBorders>
          </w:tcPr>
          <w:p>
            <w:pPr>
              <w:pStyle w:val="TableParagraph"/>
              <w:spacing w:before="4"/>
              <w:jc w:val="left"/>
              <w:rPr>
                <w:sz w:val="21"/>
              </w:rPr>
            </w:pPr>
          </w:p>
          <w:p>
            <w:pPr>
              <w:pStyle w:val="TableParagraph"/>
              <w:ind w:right="320"/>
              <w:rPr>
                <w:sz w:val="20"/>
              </w:rPr>
            </w:pPr>
            <w:r>
              <w:rPr>
                <w:spacing w:val="-5"/>
                <w:sz w:val="20"/>
              </w:rPr>
              <w:t>12</w:t>
            </w:r>
          </w:p>
        </w:tc>
        <w:tc>
          <w:tcPr>
            <w:tcW w:w="909" w:type="dxa"/>
            <w:tcBorders>
              <w:bottom w:val="single" w:sz="4" w:space="0" w:color="000000"/>
            </w:tcBorders>
          </w:tcPr>
          <w:p>
            <w:pPr>
              <w:pStyle w:val="TableParagraph"/>
              <w:spacing w:before="4"/>
              <w:jc w:val="left"/>
              <w:rPr>
                <w:sz w:val="21"/>
              </w:rPr>
            </w:pPr>
          </w:p>
          <w:p>
            <w:pPr>
              <w:pStyle w:val="TableParagraph"/>
              <w:ind w:right="137"/>
              <w:rPr>
                <w:sz w:val="20"/>
              </w:rPr>
            </w:pPr>
            <w:r>
              <w:rPr>
                <w:spacing w:val="-4"/>
                <w:sz w:val="20"/>
              </w:rPr>
              <w:t>1.00</w:t>
            </w:r>
          </w:p>
        </w:tc>
        <w:tc>
          <w:tcPr>
            <w:tcW w:w="1205" w:type="dxa"/>
            <w:tcBorders>
              <w:bottom w:val="single" w:sz="4" w:space="0" w:color="000000"/>
            </w:tcBorders>
          </w:tcPr>
          <w:p>
            <w:pPr>
              <w:pStyle w:val="TableParagraph"/>
              <w:spacing w:before="4"/>
              <w:jc w:val="left"/>
              <w:rPr>
                <w:sz w:val="21"/>
              </w:rPr>
            </w:pPr>
          </w:p>
          <w:p>
            <w:pPr>
              <w:pStyle w:val="TableParagraph"/>
              <w:ind w:right="225"/>
              <w:rPr>
                <w:sz w:val="20"/>
              </w:rPr>
            </w:pPr>
            <w:r>
              <w:rPr>
                <w:spacing w:val="-2"/>
                <w:sz w:val="20"/>
              </w:rPr>
              <w:t>Continued</w:t>
            </w:r>
          </w:p>
        </w:tc>
      </w:tr>
      <w:tr>
        <w:trPr>
          <w:trHeight w:val="268" w:hRule="atLeast"/>
        </w:trPr>
        <w:tc>
          <w:tcPr>
            <w:tcW w:w="2971" w:type="dxa"/>
            <w:tcBorders>
              <w:top w:val="single" w:sz="4" w:space="0" w:color="000000"/>
              <w:bottom w:val="single" w:sz="4" w:space="0" w:color="000000"/>
            </w:tcBorders>
          </w:tcPr>
          <w:p>
            <w:pPr>
              <w:pStyle w:val="TableParagraph"/>
              <w:jc w:val="left"/>
              <w:rPr>
                <w:sz w:val="18"/>
              </w:rPr>
            </w:pPr>
          </w:p>
        </w:tc>
        <w:tc>
          <w:tcPr>
            <w:tcW w:w="740" w:type="dxa"/>
            <w:tcBorders>
              <w:top w:val="single" w:sz="4" w:space="0" w:color="000000"/>
              <w:bottom w:val="single" w:sz="4" w:space="0" w:color="000000"/>
            </w:tcBorders>
          </w:tcPr>
          <w:p>
            <w:pPr>
              <w:pStyle w:val="TableParagraph"/>
              <w:jc w:val="left"/>
              <w:rPr>
                <w:sz w:val="18"/>
              </w:rPr>
            </w:pPr>
          </w:p>
        </w:tc>
        <w:tc>
          <w:tcPr>
            <w:tcW w:w="775" w:type="dxa"/>
            <w:tcBorders>
              <w:top w:val="single" w:sz="4" w:space="0" w:color="000000"/>
              <w:bottom w:val="single" w:sz="4" w:space="0" w:color="000000"/>
            </w:tcBorders>
          </w:tcPr>
          <w:p>
            <w:pPr>
              <w:pStyle w:val="TableParagraph"/>
              <w:spacing w:line="229" w:lineRule="exact" w:before="19"/>
              <w:rPr>
                <w:b/>
                <w:sz w:val="20"/>
              </w:rPr>
            </w:pPr>
            <w:r>
              <w:rPr>
                <w:b/>
                <w:w w:val="100"/>
                <w:sz w:val="20"/>
              </w:rPr>
              <w:t>3</w:t>
            </w:r>
          </w:p>
        </w:tc>
        <w:tc>
          <w:tcPr>
            <w:tcW w:w="920" w:type="dxa"/>
            <w:tcBorders>
              <w:top w:val="single" w:sz="4" w:space="0" w:color="000000"/>
              <w:bottom w:val="single" w:sz="4" w:space="0" w:color="000000"/>
            </w:tcBorders>
          </w:tcPr>
          <w:p>
            <w:pPr>
              <w:pStyle w:val="TableParagraph"/>
              <w:spacing w:line="229" w:lineRule="exact" w:before="19"/>
              <w:ind w:right="320"/>
              <w:rPr>
                <w:b/>
                <w:sz w:val="20"/>
              </w:rPr>
            </w:pPr>
            <w:r>
              <w:rPr>
                <w:b/>
                <w:spacing w:val="-5"/>
                <w:sz w:val="20"/>
              </w:rPr>
              <w:t>36</w:t>
            </w:r>
          </w:p>
        </w:tc>
        <w:tc>
          <w:tcPr>
            <w:tcW w:w="909" w:type="dxa"/>
            <w:tcBorders>
              <w:top w:val="single" w:sz="4" w:space="0" w:color="000000"/>
              <w:bottom w:val="single" w:sz="4" w:space="0" w:color="000000"/>
            </w:tcBorders>
          </w:tcPr>
          <w:p>
            <w:pPr>
              <w:pStyle w:val="TableParagraph"/>
              <w:spacing w:line="229" w:lineRule="exact" w:before="19"/>
              <w:ind w:right="137"/>
              <w:rPr>
                <w:b/>
                <w:sz w:val="20"/>
              </w:rPr>
            </w:pPr>
            <w:r>
              <w:rPr>
                <w:b/>
                <w:spacing w:val="-4"/>
                <w:sz w:val="20"/>
              </w:rPr>
              <w:t>3.00</w:t>
            </w:r>
          </w:p>
        </w:tc>
        <w:tc>
          <w:tcPr>
            <w:tcW w:w="1205" w:type="dxa"/>
            <w:tcBorders>
              <w:top w:val="single" w:sz="4" w:space="0" w:color="000000"/>
              <w:bottom w:val="single" w:sz="4" w:space="0" w:color="000000"/>
            </w:tcBorders>
          </w:tcPr>
          <w:p>
            <w:pPr>
              <w:pStyle w:val="TableParagraph"/>
              <w:jc w:val="left"/>
              <w:rPr>
                <w:sz w:val="18"/>
              </w:rPr>
            </w:pPr>
          </w:p>
        </w:tc>
      </w:tr>
      <w:tr>
        <w:trPr>
          <w:trHeight w:val="268" w:hRule="atLeast"/>
        </w:trPr>
        <w:tc>
          <w:tcPr>
            <w:tcW w:w="2971" w:type="dxa"/>
            <w:tcBorders>
              <w:top w:val="single" w:sz="4" w:space="0" w:color="000000"/>
              <w:bottom w:val="single" w:sz="4" w:space="0" w:color="000000"/>
            </w:tcBorders>
          </w:tcPr>
          <w:p>
            <w:pPr>
              <w:pStyle w:val="TableParagraph"/>
              <w:spacing w:line="229" w:lineRule="exact" w:before="19"/>
              <w:ind w:left="14"/>
              <w:jc w:val="left"/>
              <w:rPr>
                <w:i/>
                <w:sz w:val="20"/>
              </w:rPr>
            </w:pPr>
            <w:r>
              <w:rPr>
                <w:i/>
                <w:sz w:val="20"/>
              </w:rPr>
              <w:t>IKEMS-Cyber</w:t>
            </w:r>
            <w:r>
              <w:rPr>
                <w:i/>
                <w:spacing w:val="-8"/>
                <w:sz w:val="20"/>
              </w:rPr>
              <w:t> </w:t>
            </w:r>
            <w:r>
              <w:rPr>
                <w:i/>
                <w:spacing w:val="-4"/>
                <w:sz w:val="20"/>
              </w:rPr>
              <w:t>Unit</w:t>
            </w:r>
          </w:p>
        </w:tc>
        <w:tc>
          <w:tcPr>
            <w:tcW w:w="740" w:type="dxa"/>
            <w:tcBorders>
              <w:top w:val="single" w:sz="4" w:space="0" w:color="000000"/>
              <w:bottom w:val="single" w:sz="4" w:space="0" w:color="000000"/>
            </w:tcBorders>
          </w:tcPr>
          <w:p>
            <w:pPr>
              <w:pStyle w:val="TableParagraph"/>
              <w:jc w:val="left"/>
              <w:rPr>
                <w:sz w:val="18"/>
              </w:rPr>
            </w:pPr>
          </w:p>
        </w:tc>
        <w:tc>
          <w:tcPr>
            <w:tcW w:w="775" w:type="dxa"/>
            <w:tcBorders>
              <w:top w:val="single" w:sz="4" w:space="0" w:color="000000"/>
              <w:bottom w:val="single" w:sz="4" w:space="0" w:color="000000"/>
            </w:tcBorders>
          </w:tcPr>
          <w:p>
            <w:pPr>
              <w:pStyle w:val="TableParagraph"/>
              <w:jc w:val="left"/>
              <w:rPr>
                <w:sz w:val="18"/>
              </w:rPr>
            </w:pPr>
          </w:p>
        </w:tc>
        <w:tc>
          <w:tcPr>
            <w:tcW w:w="920" w:type="dxa"/>
            <w:tcBorders>
              <w:top w:val="single" w:sz="4" w:space="0" w:color="000000"/>
              <w:bottom w:val="single" w:sz="4" w:space="0" w:color="000000"/>
            </w:tcBorders>
          </w:tcPr>
          <w:p>
            <w:pPr>
              <w:pStyle w:val="TableParagraph"/>
              <w:jc w:val="left"/>
              <w:rPr>
                <w:sz w:val="18"/>
              </w:rPr>
            </w:pPr>
          </w:p>
        </w:tc>
        <w:tc>
          <w:tcPr>
            <w:tcW w:w="909" w:type="dxa"/>
            <w:tcBorders>
              <w:top w:val="single" w:sz="4" w:space="0" w:color="000000"/>
              <w:bottom w:val="single" w:sz="4" w:space="0" w:color="000000"/>
            </w:tcBorders>
          </w:tcPr>
          <w:p>
            <w:pPr>
              <w:pStyle w:val="TableParagraph"/>
              <w:jc w:val="left"/>
              <w:rPr>
                <w:sz w:val="18"/>
              </w:rPr>
            </w:pPr>
          </w:p>
        </w:tc>
        <w:tc>
          <w:tcPr>
            <w:tcW w:w="1205" w:type="dxa"/>
            <w:tcBorders>
              <w:top w:val="single" w:sz="4" w:space="0" w:color="000000"/>
              <w:bottom w:val="single" w:sz="4" w:space="0" w:color="000000"/>
            </w:tcBorders>
          </w:tcPr>
          <w:p>
            <w:pPr>
              <w:pStyle w:val="TableParagraph"/>
              <w:jc w:val="left"/>
              <w:rPr>
                <w:sz w:val="18"/>
              </w:rPr>
            </w:pPr>
          </w:p>
        </w:tc>
      </w:tr>
      <w:tr>
        <w:trPr>
          <w:trHeight w:val="268" w:hRule="atLeast"/>
        </w:trPr>
        <w:tc>
          <w:tcPr>
            <w:tcW w:w="2971" w:type="dxa"/>
            <w:tcBorders>
              <w:top w:val="single" w:sz="4" w:space="0" w:color="000000"/>
              <w:bottom w:val="single" w:sz="4" w:space="0" w:color="000000"/>
            </w:tcBorders>
          </w:tcPr>
          <w:p>
            <w:pPr>
              <w:pStyle w:val="TableParagraph"/>
              <w:spacing w:line="229" w:lineRule="exact" w:before="19"/>
              <w:ind w:left="14"/>
              <w:jc w:val="left"/>
              <w:rPr>
                <w:sz w:val="20"/>
              </w:rPr>
            </w:pPr>
            <w:r>
              <w:rPr>
                <w:sz w:val="20"/>
              </w:rPr>
              <w:t>Head,</w:t>
            </w:r>
            <w:r>
              <w:rPr>
                <w:spacing w:val="-3"/>
                <w:sz w:val="20"/>
              </w:rPr>
              <w:t> </w:t>
            </w:r>
            <w:r>
              <w:rPr>
                <w:sz w:val="20"/>
              </w:rPr>
              <w:t>Cyber</w:t>
            </w:r>
            <w:r>
              <w:rPr>
                <w:spacing w:val="-7"/>
                <w:sz w:val="20"/>
              </w:rPr>
              <w:t> </w:t>
            </w:r>
            <w:r>
              <w:rPr>
                <w:spacing w:val="-4"/>
                <w:sz w:val="20"/>
              </w:rPr>
              <w:t>Unit</w:t>
            </w:r>
          </w:p>
        </w:tc>
        <w:tc>
          <w:tcPr>
            <w:tcW w:w="740" w:type="dxa"/>
            <w:tcBorders>
              <w:top w:val="single" w:sz="4" w:space="0" w:color="000000"/>
              <w:bottom w:val="single" w:sz="4" w:space="0" w:color="000000"/>
            </w:tcBorders>
          </w:tcPr>
          <w:p>
            <w:pPr>
              <w:pStyle w:val="TableParagraph"/>
              <w:spacing w:line="229" w:lineRule="exact" w:before="19"/>
              <w:ind w:left="20"/>
              <w:jc w:val="left"/>
              <w:rPr>
                <w:sz w:val="20"/>
              </w:rPr>
            </w:pPr>
            <w:r>
              <w:rPr>
                <w:spacing w:val="-2"/>
                <w:sz w:val="20"/>
              </w:rPr>
              <w:t>P-</w:t>
            </w:r>
            <w:r>
              <w:rPr>
                <w:spacing w:val="-10"/>
                <w:sz w:val="20"/>
              </w:rPr>
              <w:t>4</w:t>
            </w:r>
          </w:p>
        </w:tc>
        <w:tc>
          <w:tcPr>
            <w:tcW w:w="775" w:type="dxa"/>
            <w:tcBorders>
              <w:top w:val="single" w:sz="4" w:space="0" w:color="000000"/>
              <w:bottom w:val="single" w:sz="4" w:space="0" w:color="000000"/>
            </w:tcBorders>
          </w:tcPr>
          <w:p>
            <w:pPr>
              <w:pStyle w:val="TableParagraph"/>
              <w:spacing w:line="229" w:lineRule="exact" w:before="19"/>
              <w:rPr>
                <w:sz w:val="20"/>
              </w:rPr>
            </w:pPr>
            <w:r>
              <w:rPr>
                <w:w w:val="100"/>
                <w:sz w:val="20"/>
              </w:rPr>
              <w:t>1</w:t>
            </w:r>
          </w:p>
        </w:tc>
        <w:tc>
          <w:tcPr>
            <w:tcW w:w="920" w:type="dxa"/>
            <w:tcBorders>
              <w:top w:val="single" w:sz="4" w:space="0" w:color="000000"/>
              <w:bottom w:val="single" w:sz="4" w:space="0" w:color="000000"/>
            </w:tcBorders>
          </w:tcPr>
          <w:p>
            <w:pPr>
              <w:pStyle w:val="TableParagraph"/>
              <w:spacing w:line="229" w:lineRule="exact" w:before="19"/>
              <w:ind w:right="320"/>
              <w:rPr>
                <w:sz w:val="20"/>
              </w:rPr>
            </w:pPr>
            <w:r>
              <w:rPr>
                <w:spacing w:val="-5"/>
                <w:sz w:val="20"/>
              </w:rPr>
              <w:t>12</w:t>
            </w:r>
          </w:p>
        </w:tc>
        <w:tc>
          <w:tcPr>
            <w:tcW w:w="909" w:type="dxa"/>
            <w:tcBorders>
              <w:top w:val="single" w:sz="4" w:space="0" w:color="000000"/>
              <w:bottom w:val="single" w:sz="4" w:space="0" w:color="000000"/>
            </w:tcBorders>
          </w:tcPr>
          <w:p>
            <w:pPr>
              <w:pStyle w:val="TableParagraph"/>
              <w:spacing w:line="229" w:lineRule="exact" w:before="19"/>
              <w:ind w:right="137"/>
              <w:rPr>
                <w:sz w:val="20"/>
              </w:rPr>
            </w:pPr>
            <w:r>
              <w:rPr>
                <w:spacing w:val="-4"/>
                <w:sz w:val="20"/>
              </w:rPr>
              <w:t>1.00</w:t>
            </w:r>
          </w:p>
        </w:tc>
        <w:tc>
          <w:tcPr>
            <w:tcW w:w="1205" w:type="dxa"/>
            <w:tcBorders>
              <w:top w:val="single" w:sz="4" w:space="0" w:color="000000"/>
              <w:bottom w:val="single" w:sz="4" w:space="0" w:color="000000"/>
            </w:tcBorders>
          </w:tcPr>
          <w:p>
            <w:pPr>
              <w:pStyle w:val="TableParagraph"/>
              <w:spacing w:line="229" w:lineRule="exact" w:before="19"/>
              <w:ind w:right="225"/>
              <w:rPr>
                <w:sz w:val="20"/>
              </w:rPr>
            </w:pPr>
            <w:r>
              <w:rPr>
                <w:spacing w:val="-2"/>
                <w:sz w:val="20"/>
              </w:rPr>
              <w:t>Continued</w:t>
            </w:r>
          </w:p>
        </w:tc>
      </w:tr>
      <w:tr>
        <w:trPr>
          <w:trHeight w:val="273" w:hRule="atLeast"/>
        </w:trPr>
        <w:tc>
          <w:tcPr>
            <w:tcW w:w="2971" w:type="dxa"/>
            <w:tcBorders>
              <w:top w:val="single" w:sz="4" w:space="0" w:color="000000"/>
              <w:bottom w:val="single" w:sz="4" w:space="0" w:color="000000"/>
            </w:tcBorders>
          </w:tcPr>
          <w:p>
            <w:pPr>
              <w:pStyle w:val="TableParagraph"/>
              <w:jc w:val="left"/>
              <w:rPr>
                <w:sz w:val="18"/>
              </w:rPr>
            </w:pPr>
          </w:p>
        </w:tc>
        <w:tc>
          <w:tcPr>
            <w:tcW w:w="740" w:type="dxa"/>
            <w:tcBorders>
              <w:top w:val="single" w:sz="4" w:space="0" w:color="000000"/>
              <w:bottom w:val="single" w:sz="4" w:space="0" w:color="000000"/>
            </w:tcBorders>
          </w:tcPr>
          <w:p>
            <w:pPr>
              <w:pStyle w:val="TableParagraph"/>
              <w:jc w:val="left"/>
              <w:rPr>
                <w:sz w:val="18"/>
              </w:rPr>
            </w:pPr>
          </w:p>
        </w:tc>
        <w:tc>
          <w:tcPr>
            <w:tcW w:w="775" w:type="dxa"/>
            <w:tcBorders>
              <w:top w:val="single" w:sz="4" w:space="0" w:color="000000"/>
              <w:bottom w:val="single" w:sz="4" w:space="0" w:color="000000"/>
            </w:tcBorders>
          </w:tcPr>
          <w:p>
            <w:pPr>
              <w:pStyle w:val="TableParagraph"/>
              <w:spacing w:line="229" w:lineRule="exact" w:before="24"/>
              <w:rPr>
                <w:b/>
                <w:sz w:val="20"/>
              </w:rPr>
            </w:pPr>
            <w:r>
              <w:rPr>
                <w:b/>
                <w:w w:val="100"/>
                <w:sz w:val="20"/>
              </w:rPr>
              <w:t>1</w:t>
            </w:r>
          </w:p>
        </w:tc>
        <w:tc>
          <w:tcPr>
            <w:tcW w:w="920" w:type="dxa"/>
            <w:tcBorders>
              <w:top w:val="single" w:sz="4" w:space="0" w:color="000000"/>
              <w:bottom w:val="single" w:sz="4" w:space="0" w:color="000000"/>
            </w:tcBorders>
          </w:tcPr>
          <w:p>
            <w:pPr>
              <w:pStyle w:val="TableParagraph"/>
              <w:spacing w:line="229" w:lineRule="exact" w:before="24"/>
              <w:ind w:right="320"/>
              <w:rPr>
                <w:b/>
                <w:sz w:val="20"/>
              </w:rPr>
            </w:pPr>
            <w:r>
              <w:rPr>
                <w:b/>
                <w:spacing w:val="-5"/>
                <w:sz w:val="20"/>
              </w:rPr>
              <w:t>12</w:t>
            </w:r>
          </w:p>
        </w:tc>
        <w:tc>
          <w:tcPr>
            <w:tcW w:w="909" w:type="dxa"/>
            <w:tcBorders>
              <w:top w:val="single" w:sz="4" w:space="0" w:color="000000"/>
              <w:bottom w:val="single" w:sz="4" w:space="0" w:color="000000"/>
            </w:tcBorders>
          </w:tcPr>
          <w:p>
            <w:pPr>
              <w:pStyle w:val="TableParagraph"/>
              <w:spacing w:line="229" w:lineRule="exact" w:before="24"/>
              <w:ind w:right="137"/>
              <w:rPr>
                <w:b/>
                <w:sz w:val="20"/>
              </w:rPr>
            </w:pPr>
            <w:r>
              <w:rPr>
                <w:b/>
                <w:spacing w:val="-4"/>
                <w:sz w:val="20"/>
              </w:rPr>
              <w:t>1.00</w:t>
            </w:r>
          </w:p>
        </w:tc>
        <w:tc>
          <w:tcPr>
            <w:tcW w:w="1205" w:type="dxa"/>
            <w:tcBorders>
              <w:top w:val="single" w:sz="4" w:space="0" w:color="000000"/>
              <w:bottom w:val="single" w:sz="4" w:space="0" w:color="000000"/>
            </w:tcBorders>
          </w:tcPr>
          <w:p>
            <w:pPr>
              <w:pStyle w:val="TableParagraph"/>
              <w:jc w:val="left"/>
              <w:rPr>
                <w:sz w:val="18"/>
              </w:rPr>
            </w:pPr>
          </w:p>
        </w:tc>
      </w:tr>
      <w:tr>
        <w:trPr>
          <w:trHeight w:val="268" w:hRule="atLeast"/>
        </w:trPr>
        <w:tc>
          <w:tcPr>
            <w:tcW w:w="2971" w:type="dxa"/>
            <w:tcBorders>
              <w:top w:val="single" w:sz="4" w:space="0" w:color="000000"/>
              <w:bottom w:val="single" w:sz="4" w:space="0" w:color="000000"/>
            </w:tcBorders>
          </w:tcPr>
          <w:p>
            <w:pPr>
              <w:pStyle w:val="TableParagraph"/>
              <w:spacing w:line="229" w:lineRule="exact" w:before="19"/>
              <w:ind w:left="14"/>
              <w:jc w:val="left"/>
              <w:rPr>
                <w:i/>
                <w:sz w:val="20"/>
              </w:rPr>
            </w:pPr>
            <w:r>
              <w:rPr>
                <w:i/>
                <w:sz w:val="20"/>
              </w:rPr>
              <w:t>Forensic</w:t>
            </w:r>
            <w:r>
              <w:rPr>
                <w:i/>
                <w:spacing w:val="-7"/>
                <w:sz w:val="20"/>
              </w:rPr>
              <w:t> </w:t>
            </w:r>
            <w:r>
              <w:rPr>
                <w:i/>
                <w:sz w:val="20"/>
              </w:rPr>
              <w:t>Science</w:t>
            </w:r>
            <w:r>
              <w:rPr>
                <w:i/>
                <w:spacing w:val="-7"/>
                <w:sz w:val="20"/>
              </w:rPr>
              <w:t> </w:t>
            </w:r>
            <w:r>
              <w:rPr>
                <w:i/>
                <w:spacing w:val="-2"/>
                <w:sz w:val="20"/>
              </w:rPr>
              <w:t>Section</w:t>
            </w:r>
          </w:p>
        </w:tc>
        <w:tc>
          <w:tcPr>
            <w:tcW w:w="740" w:type="dxa"/>
            <w:tcBorders>
              <w:top w:val="single" w:sz="4" w:space="0" w:color="000000"/>
              <w:bottom w:val="single" w:sz="4" w:space="0" w:color="000000"/>
            </w:tcBorders>
          </w:tcPr>
          <w:p>
            <w:pPr>
              <w:pStyle w:val="TableParagraph"/>
              <w:jc w:val="left"/>
              <w:rPr>
                <w:sz w:val="18"/>
              </w:rPr>
            </w:pPr>
          </w:p>
        </w:tc>
        <w:tc>
          <w:tcPr>
            <w:tcW w:w="775" w:type="dxa"/>
            <w:tcBorders>
              <w:top w:val="single" w:sz="4" w:space="0" w:color="000000"/>
              <w:bottom w:val="single" w:sz="4" w:space="0" w:color="000000"/>
            </w:tcBorders>
          </w:tcPr>
          <w:p>
            <w:pPr>
              <w:pStyle w:val="TableParagraph"/>
              <w:jc w:val="left"/>
              <w:rPr>
                <w:sz w:val="18"/>
              </w:rPr>
            </w:pPr>
          </w:p>
        </w:tc>
        <w:tc>
          <w:tcPr>
            <w:tcW w:w="920" w:type="dxa"/>
            <w:tcBorders>
              <w:top w:val="single" w:sz="4" w:space="0" w:color="000000"/>
              <w:bottom w:val="single" w:sz="4" w:space="0" w:color="000000"/>
            </w:tcBorders>
          </w:tcPr>
          <w:p>
            <w:pPr>
              <w:pStyle w:val="TableParagraph"/>
              <w:jc w:val="left"/>
              <w:rPr>
                <w:sz w:val="18"/>
              </w:rPr>
            </w:pPr>
          </w:p>
        </w:tc>
        <w:tc>
          <w:tcPr>
            <w:tcW w:w="909" w:type="dxa"/>
            <w:tcBorders>
              <w:top w:val="single" w:sz="4" w:space="0" w:color="000000"/>
              <w:bottom w:val="single" w:sz="4" w:space="0" w:color="000000"/>
            </w:tcBorders>
          </w:tcPr>
          <w:p>
            <w:pPr>
              <w:pStyle w:val="TableParagraph"/>
              <w:jc w:val="left"/>
              <w:rPr>
                <w:sz w:val="18"/>
              </w:rPr>
            </w:pPr>
          </w:p>
        </w:tc>
        <w:tc>
          <w:tcPr>
            <w:tcW w:w="1205" w:type="dxa"/>
            <w:tcBorders>
              <w:top w:val="single" w:sz="4" w:space="0" w:color="000000"/>
              <w:bottom w:val="single" w:sz="4" w:space="0" w:color="000000"/>
            </w:tcBorders>
          </w:tcPr>
          <w:p>
            <w:pPr>
              <w:pStyle w:val="TableParagraph"/>
              <w:jc w:val="left"/>
              <w:rPr>
                <w:sz w:val="18"/>
              </w:rPr>
            </w:pPr>
          </w:p>
        </w:tc>
      </w:tr>
      <w:tr>
        <w:trPr>
          <w:trHeight w:val="268" w:hRule="atLeast"/>
        </w:trPr>
        <w:tc>
          <w:tcPr>
            <w:tcW w:w="2971" w:type="dxa"/>
            <w:tcBorders>
              <w:top w:val="single" w:sz="4" w:space="0" w:color="000000"/>
              <w:bottom w:val="single" w:sz="4" w:space="0" w:color="000000"/>
            </w:tcBorders>
          </w:tcPr>
          <w:p>
            <w:pPr>
              <w:pStyle w:val="TableParagraph"/>
              <w:spacing w:line="229" w:lineRule="exact" w:before="19"/>
              <w:ind w:left="14"/>
              <w:jc w:val="left"/>
              <w:rPr>
                <w:sz w:val="20"/>
              </w:rPr>
            </w:pPr>
            <w:r>
              <w:rPr>
                <w:sz w:val="20"/>
              </w:rPr>
              <w:t>Forensic</w:t>
            </w:r>
            <w:r>
              <w:rPr>
                <w:spacing w:val="-3"/>
                <w:sz w:val="20"/>
              </w:rPr>
              <w:t> </w:t>
            </w:r>
            <w:r>
              <w:rPr>
                <w:spacing w:val="-2"/>
                <w:sz w:val="20"/>
              </w:rPr>
              <w:t>Officer</w:t>
            </w:r>
          </w:p>
        </w:tc>
        <w:tc>
          <w:tcPr>
            <w:tcW w:w="740" w:type="dxa"/>
            <w:tcBorders>
              <w:top w:val="single" w:sz="4" w:space="0" w:color="000000"/>
              <w:bottom w:val="single" w:sz="4" w:space="0" w:color="000000"/>
            </w:tcBorders>
          </w:tcPr>
          <w:p>
            <w:pPr>
              <w:pStyle w:val="TableParagraph"/>
              <w:spacing w:line="229" w:lineRule="exact" w:before="19"/>
              <w:ind w:left="20"/>
              <w:jc w:val="left"/>
              <w:rPr>
                <w:sz w:val="20"/>
              </w:rPr>
            </w:pPr>
            <w:r>
              <w:rPr>
                <w:spacing w:val="-2"/>
                <w:sz w:val="20"/>
              </w:rPr>
              <w:t>P-</w:t>
            </w:r>
            <w:r>
              <w:rPr>
                <w:spacing w:val="-10"/>
                <w:sz w:val="20"/>
              </w:rPr>
              <w:t>3</w:t>
            </w:r>
          </w:p>
        </w:tc>
        <w:tc>
          <w:tcPr>
            <w:tcW w:w="775" w:type="dxa"/>
            <w:tcBorders>
              <w:top w:val="single" w:sz="4" w:space="0" w:color="000000"/>
              <w:bottom w:val="single" w:sz="4" w:space="0" w:color="000000"/>
            </w:tcBorders>
          </w:tcPr>
          <w:p>
            <w:pPr>
              <w:pStyle w:val="TableParagraph"/>
              <w:spacing w:line="229" w:lineRule="exact" w:before="19"/>
              <w:rPr>
                <w:sz w:val="20"/>
              </w:rPr>
            </w:pPr>
            <w:r>
              <w:rPr>
                <w:w w:val="100"/>
                <w:sz w:val="20"/>
              </w:rPr>
              <w:t>2</w:t>
            </w:r>
          </w:p>
        </w:tc>
        <w:tc>
          <w:tcPr>
            <w:tcW w:w="920" w:type="dxa"/>
            <w:tcBorders>
              <w:top w:val="single" w:sz="4" w:space="0" w:color="000000"/>
              <w:bottom w:val="single" w:sz="4" w:space="0" w:color="000000"/>
            </w:tcBorders>
          </w:tcPr>
          <w:p>
            <w:pPr>
              <w:pStyle w:val="TableParagraph"/>
              <w:spacing w:line="229" w:lineRule="exact" w:before="19"/>
              <w:ind w:right="320"/>
              <w:rPr>
                <w:sz w:val="20"/>
              </w:rPr>
            </w:pPr>
            <w:r>
              <w:rPr>
                <w:spacing w:val="-5"/>
                <w:sz w:val="20"/>
              </w:rPr>
              <w:t>24</w:t>
            </w:r>
          </w:p>
        </w:tc>
        <w:tc>
          <w:tcPr>
            <w:tcW w:w="909" w:type="dxa"/>
            <w:tcBorders>
              <w:top w:val="single" w:sz="4" w:space="0" w:color="000000"/>
              <w:bottom w:val="single" w:sz="4" w:space="0" w:color="000000"/>
            </w:tcBorders>
          </w:tcPr>
          <w:p>
            <w:pPr>
              <w:pStyle w:val="TableParagraph"/>
              <w:spacing w:line="229" w:lineRule="exact" w:before="19"/>
              <w:ind w:right="137"/>
              <w:rPr>
                <w:sz w:val="20"/>
              </w:rPr>
            </w:pPr>
            <w:r>
              <w:rPr>
                <w:spacing w:val="-4"/>
                <w:sz w:val="20"/>
              </w:rPr>
              <w:t>2.00</w:t>
            </w:r>
          </w:p>
        </w:tc>
        <w:tc>
          <w:tcPr>
            <w:tcW w:w="1205" w:type="dxa"/>
            <w:tcBorders>
              <w:top w:val="single" w:sz="4" w:space="0" w:color="000000"/>
              <w:bottom w:val="single" w:sz="4" w:space="0" w:color="000000"/>
            </w:tcBorders>
          </w:tcPr>
          <w:p>
            <w:pPr>
              <w:pStyle w:val="TableParagraph"/>
              <w:spacing w:line="229" w:lineRule="exact" w:before="19"/>
              <w:ind w:right="225"/>
              <w:rPr>
                <w:sz w:val="20"/>
              </w:rPr>
            </w:pPr>
            <w:r>
              <w:rPr>
                <w:spacing w:val="-2"/>
                <w:sz w:val="20"/>
              </w:rPr>
              <w:t>Continued</w:t>
            </w:r>
          </w:p>
        </w:tc>
      </w:tr>
      <w:tr>
        <w:trPr>
          <w:trHeight w:val="273" w:hRule="atLeast"/>
        </w:trPr>
        <w:tc>
          <w:tcPr>
            <w:tcW w:w="2971" w:type="dxa"/>
            <w:tcBorders>
              <w:top w:val="single" w:sz="4" w:space="0" w:color="000000"/>
              <w:bottom w:val="single" w:sz="4" w:space="0" w:color="000000"/>
            </w:tcBorders>
          </w:tcPr>
          <w:p>
            <w:pPr>
              <w:pStyle w:val="TableParagraph"/>
              <w:jc w:val="left"/>
              <w:rPr>
                <w:sz w:val="18"/>
              </w:rPr>
            </w:pPr>
          </w:p>
        </w:tc>
        <w:tc>
          <w:tcPr>
            <w:tcW w:w="740" w:type="dxa"/>
            <w:tcBorders>
              <w:top w:val="single" w:sz="4" w:space="0" w:color="000000"/>
              <w:bottom w:val="single" w:sz="4" w:space="0" w:color="000000"/>
            </w:tcBorders>
          </w:tcPr>
          <w:p>
            <w:pPr>
              <w:pStyle w:val="TableParagraph"/>
              <w:jc w:val="left"/>
              <w:rPr>
                <w:sz w:val="18"/>
              </w:rPr>
            </w:pPr>
          </w:p>
        </w:tc>
        <w:tc>
          <w:tcPr>
            <w:tcW w:w="775" w:type="dxa"/>
            <w:tcBorders>
              <w:top w:val="single" w:sz="4" w:space="0" w:color="000000"/>
              <w:bottom w:val="single" w:sz="4" w:space="0" w:color="000000"/>
            </w:tcBorders>
          </w:tcPr>
          <w:p>
            <w:pPr>
              <w:pStyle w:val="TableParagraph"/>
              <w:spacing w:line="229" w:lineRule="exact" w:before="24"/>
              <w:rPr>
                <w:b/>
                <w:sz w:val="20"/>
              </w:rPr>
            </w:pPr>
            <w:r>
              <w:rPr>
                <w:b/>
                <w:w w:val="100"/>
                <w:sz w:val="20"/>
              </w:rPr>
              <w:t>2</w:t>
            </w:r>
          </w:p>
        </w:tc>
        <w:tc>
          <w:tcPr>
            <w:tcW w:w="920" w:type="dxa"/>
            <w:tcBorders>
              <w:top w:val="single" w:sz="4" w:space="0" w:color="000000"/>
              <w:bottom w:val="single" w:sz="4" w:space="0" w:color="000000"/>
            </w:tcBorders>
          </w:tcPr>
          <w:p>
            <w:pPr>
              <w:pStyle w:val="TableParagraph"/>
              <w:spacing w:line="229" w:lineRule="exact" w:before="24"/>
              <w:ind w:right="320"/>
              <w:rPr>
                <w:b/>
                <w:sz w:val="20"/>
              </w:rPr>
            </w:pPr>
            <w:r>
              <w:rPr>
                <w:b/>
                <w:spacing w:val="-5"/>
                <w:sz w:val="20"/>
              </w:rPr>
              <w:t>24</w:t>
            </w:r>
          </w:p>
        </w:tc>
        <w:tc>
          <w:tcPr>
            <w:tcW w:w="909" w:type="dxa"/>
            <w:tcBorders>
              <w:top w:val="single" w:sz="4" w:space="0" w:color="000000"/>
              <w:bottom w:val="single" w:sz="4" w:space="0" w:color="000000"/>
            </w:tcBorders>
          </w:tcPr>
          <w:p>
            <w:pPr>
              <w:pStyle w:val="TableParagraph"/>
              <w:spacing w:line="229" w:lineRule="exact" w:before="24"/>
              <w:ind w:right="137"/>
              <w:rPr>
                <w:b/>
                <w:sz w:val="20"/>
              </w:rPr>
            </w:pPr>
            <w:r>
              <w:rPr>
                <w:b/>
                <w:spacing w:val="-4"/>
                <w:sz w:val="20"/>
              </w:rPr>
              <w:t>2.00</w:t>
            </w:r>
          </w:p>
        </w:tc>
        <w:tc>
          <w:tcPr>
            <w:tcW w:w="1205" w:type="dxa"/>
            <w:tcBorders>
              <w:top w:val="single" w:sz="4" w:space="0" w:color="000000"/>
              <w:bottom w:val="single" w:sz="4" w:space="0" w:color="000000"/>
            </w:tcBorders>
          </w:tcPr>
          <w:p>
            <w:pPr>
              <w:pStyle w:val="TableParagraph"/>
              <w:jc w:val="left"/>
              <w:rPr>
                <w:sz w:val="18"/>
              </w:rPr>
            </w:pPr>
          </w:p>
        </w:tc>
      </w:tr>
      <w:tr>
        <w:trPr>
          <w:trHeight w:val="268" w:hRule="atLeast"/>
        </w:trPr>
        <w:tc>
          <w:tcPr>
            <w:tcW w:w="2971" w:type="dxa"/>
            <w:tcBorders>
              <w:top w:val="single" w:sz="4" w:space="0" w:color="000000"/>
              <w:bottom w:val="single" w:sz="4" w:space="0" w:color="000000"/>
            </w:tcBorders>
          </w:tcPr>
          <w:p>
            <w:pPr>
              <w:pStyle w:val="TableParagraph"/>
              <w:spacing w:line="229" w:lineRule="exact" w:before="19"/>
              <w:ind w:left="14"/>
              <w:jc w:val="left"/>
              <w:rPr>
                <w:i/>
                <w:sz w:val="20"/>
              </w:rPr>
            </w:pPr>
            <w:r>
              <w:rPr>
                <w:i/>
                <w:sz w:val="20"/>
              </w:rPr>
              <w:t>Language</w:t>
            </w:r>
            <w:r>
              <w:rPr>
                <w:i/>
                <w:spacing w:val="-8"/>
                <w:sz w:val="20"/>
              </w:rPr>
              <w:t> </w:t>
            </w:r>
            <w:r>
              <w:rPr>
                <w:i/>
                <w:sz w:val="20"/>
              </w:rPr>
              <w:t>Services</w:t>
            </w:r>
            <w:r>
              <w:rPr>
                <w:i/>
                <w:spacing w:val="-8"/>
                <w:sz w:val="20"/>
              </w:rPr>
              <w:t> </w:t>
            </w:r>
            <w:r>
              <w:rPr>
                <w:i/>
                <w:spacing w:val="-4"/>
                <w:sz w:val="20"/>
              </w:rPr>
              <w:t>Unit</w:t>
            </w:r>
          </w:p>
        </w:tc>
        <w:tc>
          <w:tcPr>
            <w:tcW w:w="740" w:type="dxa"/>
            <w:tcBorders>
              <w:top w:val="single" w:sz="4" w:space="0" w:color="000000"/>
              <w:bottom w:val="single" w:sz="4" w:space="0" w:color="000000"/>
            </w:tcBorders>
          </w:tcPr>
          <w:p>
            <w:pPr>
              <w:pStyle w:val="TableParagraph"/>
              <w:jc w:val="left"/>
              <w:rPr>
                <w:sz w:val="18"/>
              </w:rPr>
            </w:pPr>
          </w:p>
        </w:tc>
        <w:tc>
          <w:tcPr>
            <w:tcW w:w="775" w:type="dxa"/>
            <w:tcBorders>
              <w:top w:val="single" w:sz="4" w:space="0" w:color="000000"/>
              <w:bottom w:val="single" w:sz="4" w:space="0" w:color="000000"/>
            </w:tcBorders>
          </w:tcPr>
          <w:p>
            <w:pPr>
              <w:pStyle w:val="TableParagraph"/>
              <w:jc w:val="left"/>
              <w:rPr>
                <w:sz w:val="18"/>
              </w:rPr>
            </w:pPr>
          </w:p>
        </w:tc>
        <w:tc>
          <w:tcPr>
            <w:tcW w:w="920" w:type="dxa"/>
            <w:tcBorders>
              <w:top w:val="single" w:sz="4" w:space="0" w:color="000000"/>
              <w:bottom w:val="single" w:sz="4" w:space="0" w:color="000000"/>
            </w:tcBorders>
          </w:tcPr>
          <w:p>
            <w:pPr>
              <w:pStyle w:val="TableParagraph"/>
              <w:jc w:val="left"/>
              <w:rPr>
                <w:sz w:val="18"/>
              </w:rPr>
            </w:pPr>
          </w:p>
        </w:tc>
        <w:tc>
          <w:tcPr>
            <w:tcW w:w="909" w:type="dxa"/>
            <w:tcBorders>
              <w:top w:val="single" w:sz="4" w:space="0" w:color="000000"/>
              <w:bottom w:val="single" w:sz="4" w:space="0" w:color="000000"/>
            </w:tcBorders>
          </w:tcPr>
          <w:p>
            <w:pPr>
              <w:pStyle w:val="TableParagraph"/>
              <w:jc w:val="left"/>
              <w:rPr>
                <w:sz w:val="18"/>
              </w:rPr>
            </w:pPr>
          </w:p>
        </w:tc>
        <w:tc>
          <w:tcPr>
            <w:tcW w:w="1205" w:type="dxa"/>
            <w:tcBorders>
              <w:top w:val="single" w:sz="4" w:space="0" w:color="000000"/>
              <w:bottom w:val="single" w:sz="4" w:space="0" w:color="000000"/>
            </w:tcBorders>
          </w:tcPr>
          <w:p>
            <w:pPr>
              <w:pStyle w:val="TableParagraph"/>
              <w:jc w:val="left"/>
              <w:rPr>
                <w:sz w:val="18"/>
              </w:rPr>
            </w:pPr>
          </w:p>
        </w:tc>
      </w:tr>
      <w:tr>
        <w:trPr>
          <w:trHeight w:val="272" w:hRule="atLeast"/>
        </w:trPr>
        <w:tc>
          <w:tcPr>
            <w:tcW w:w="2971" w:type="dxa"/>
            <w:tcBorders>
              <w:top w:val="single" w:sz="4" w:space="0" w:color="000000"/>
            </w:tcBorders>
          </w:tcPr>
          <w:p>
            <w:pPr>
              <w:pStyle w:val="TableParagraph"/>
              <w:spacing w:before="19"/>
              <w:ind w:left="14"/>
              <w:jc w:val="left"/>
              <w:rPr>
                <w:sz w:val="20"/>
              </w:rPr>
            </w:pPr>
            <w:r>
              <w:rPr>
                <w:sz w:val="20"/>
              </w:rPr>
              <w:t>Translation</w:t>
            </w:r>
            <w:r>
              <w:rPr>
                <w:spacing w:val="-8"/>
                <w:sz w:val="20"/>
              </w:rPr>
              <w:t> </w:t>
            </w:r>
            <w:r>
              <w:rPr>
                <w:spacing w:val="-2"/>
                <w:sz w:val="20"/>
              </w:rPr>
              <w:t>Officer</w:t>
            </w:r>
          </w:p>
        </w:tc>
        <w:tc>
          <w:tcPr>
            <w:tcW w:w="740" w:type="dxa"/>
            <w:tcBorders>
              <w:top w:val="single" w:sz="4" w:space="0" w:color="000000"/>
            </w:tcBorders>
          </w:tcPr>
          <w:p>
            <w:pPr>
              <w:pStyle w:val="TableParagraph"/>
              <w:spacing w:before="19"/>
              <w:ind w:left="20"/>
              <w:jc w:val="left"/>
              <w:rPr>
                <w:sz w:val="20"/>
              </w:rPr>
            </w:pPr>
            <w:r>
              <w:rPr>
                <w:spacing w:val="-2"/>
                <w:sz w:val="20"/>
              </w:rPr>
              <w:t>P-</w:t>
            </w:r>
            <w:r>
              <w:rPr>
                <w:spacing w:val="-10"/>
                <w:sz w:val="20"/>
              </w:rPr>
              <w:t>3</w:t>
            </w:r>
          </w:p>
        </w:tc>
        <w:tc>
          <w:tcPr>
            <w:tcW w:w="775" w:type="dxa"/>
            <w:tcBorders>
              <w:top w:val="single" w:sz="4" w:space="0" w:color="000000"/>
            </w:tcBorders>
          </w:tcPr>
          <w:p>
            <w:pPr>
              <w:pStyle w:val="TableParagraph"/>
              <w:spacing w:before="19"/>
              <w:rPr>
                <w:sz w:val="20"/>
              </w:rPr>
            </w:pPr>
            <w:r>
              <w:rPr>
                <w:w w:val="100"/>
                <w:sz w:val="20"/>
              </w:rPr>
              <w:t>1</w:t>
            </w:r>
          </w:p>
        </w:tc>
        <w:tc>
          <w:tcPr>
            <w:tcW w:w="920" w:type="dxa"/>
            <w:tcBorders>
              <w:top w:val="single" w:sz="4" w:space="0" w:color="000000"/>
            </w:tcBorders>
          </w:tcPr>
          <w:p>
            <w:pPr>
              <w:pStyle w:val="TableParagraph"/>
              <w:spacing w:before="19"/>
              <w:ind w:right="320"/>
              <w:rPr>
                <w:sz w:val="20"/>
              </w:rPr>
            </w:pPr>
            <w:r>
              <w:rPr>
                <w:spacing w:val="-5"/>
                <w:sz w:val="20"/>
              </w:rPr>
              <w:t>12</w:t>
            </w:r>
          </w:p>
        </w:tc>
        <w:tc>
          <w:tcPr>
            <w:tcW w:w="909" w:type="dxa"/>
            <w:tcBorders>
              <w:top w:val="single" w:sz="4" w:space="0" w:color="000000"/>
            </w:tcBorders>
          </w:tcPr>
          <w:p>
            <w:pPr>
              <w:pStyle w:val="TableParagraph"/>
              <w:spacing w:before="19"/>
              <w:ind w:right="137"/>
              <w:rPr>
                <w:sz w:val="20"/>
              </w:rPr>
            </w:pPr>
            <w:r>
              <w:rPr>
                <w:spacing w:val="-4"/>
                <w:sz w:val="20"/>
              </w:rPr>
              <w:t>1.00</w:t>
            </w:r>
          </w:p>
        </w:tc>
        <w:tc>
          <w:tcPr>
            <w:tcW w:w="1205" w:type="dxa"/>
            <w:tcBorders>
              <w:top w:val="single" w:sz="4" w:space="0" w:color="000000"/>
            </w:tcBorders>
          </w:tcPr>
          <w:p>
            <w:pPr>
              <w:pStyle w:val="TableParagraph"/>
              <w:spacing w:before="19"/>
              <w:ind w:right="225"/>
              <w:rPr>
                <w:sz w:val="20"/>
              </w:rPr>
            </w:pPr>
            <w:r>
              <w:rPr>
                <w:spacing w:val="-2"/>
                <w:sz w:val="20"/>
              </w:rPr>
              <w:t>Continued</w:t>
            </w:r>
          </w:p>
        </w:tc>
      </w:tr>
      <w:tr>
        <w:trPr>
          <w:trHeight w:val="271" w:hRule="atLeast"/>
        </w:trPr>
        <w:tc>
          <w:tcPr>
            <w:tcW w:w="2971" w:type="dxa"/>
          </w:tcPr>
          <w:p>
            <w:pPr>
              <w:pStyle w:val="TableParagraph"/>
              <w:spacing w:before="16"/>
              <w:ind w:left="14"/>
              <w:jc w:val="left"/>
              <w:rPr>
                <w:sz w:val="20"/>
              </w:rPr>
            </w:pPr>
            <w:r>
              <w:rPr>
                <w:spacing w:val="-2"/>
                <w:sz w:val="20"/>
              </w:rPr>
              <w:t>Translator</w:t>
            </w:r>
          </w:p>
        </w:tc>
        <w:tc>
          <w:tcPr>
            <w:tcW w:w="740" w:type="dxa"/>
          </w:tcPr>
          <w:p>
            <w:pPr>
              <w:pStyle w:val="TableParagraph"/>
              <w:spacing w:before="16"/>
              <w:ind w:left="20"/>
              <w:jc w:val="left"/>
              <w:rPr>
                <w:sz w:val="20"/>
              </w:rPr>
            </w:pPr>
            <w:r>
              <w:rPr>
                <w:spacing w:val="-2"/>
                <w:sz w:val="20"/>
              </w:rPr>
              <w:t>P-</w:t>
            </w:r>
            <w:r>
              <w:rPr>
                <w:spacing w:val="-10"/>
                <w:sz w:val="20"/>
              </w:rPr>
              <w:t>3</w:t>
            </w:r>
          </w:p>
        </w:tc>
        <w:tc>
          <w:tcPr>
            <w:tcW w:w="775" w:type="dxa"/>
          </w:tcPr>
          <w:p>
            <w:pPr>
              <w:pStyle w:val="TableParagraph"/>
              <w:spacing w:before="16"/>
              <w:rPr>
                <w:sz w:val="20"/>
              </w:rPr>
            </w:pPr>
            <w:r>
              <w:rPr>
                <w:w w:val="100"/>
                <w:sz w:val="20"/>
              </w:rPr>
              <w:t>6</w:t>
            </w:r>
          </w:p>
        </w:tc>
        <w:tc>
          <w:tcPr>
            <w:tcW w:w="920" w:type="dxa"/>
          </w:tcPr>
          <w:p>
            <w:pPr>
              <w:pStyle w:val="TableParagraph"/>
              <w:spacing w:before="16"/>
              <w:ind w:right="320"/>
              <w:rPr>
                <w:sz w:val="20"/>
              </w:rPr>
            </w:pPr>
            <w:r>
              <w:rPr>
                <w:spacing w:val="-5"/>
                <w:sz w:val="20"/>
              </w:rPr>
              <w:t>72</w:t>
            </w:r>
          </w:p>
        </w:tc>
        <w:tc>
          <w:tcPr>
            <w:tcW w:w="909" w:type="dxa"/>
          </w:tcPr>
          <w:p>
            <w:pPr>
              <w:pStyle w:val="TableParagraph"/>
              <w:spacing w:before="16"/>
              <w:ind w:right="137"/>
              <w:rPr>
                <w:sz w:val="20"/>
              </w:rPr>
            </w:pPr>
            <w:r>
              <w:rPr>
                <w:spacing w:val="-4"/>
                <w:sz w:val="20"/>
              </w:rPr>
              <w:t>6.00</w:t>
            </w:r>
          </w:p>
        </w:tc>
        <w:tc>
          <w:tcPr>
            <w:tcW w:w="1205" w:type="dxa"/>
          </w:tcPr>
          <w:p>
            <w:pPr>
              <w:pStyle w:val="TableParagraph"/>
              <w:spacing w:before="16"/>
              <w:ind w:right="225"/>
              <w:rPr>
                <w:sz w:val="20"/>
              </w:rPr>
            </w:pPr>
            <w:r>
              <w:rPr>
                <w:spacing w:val="-2"/>
                <w:sz w:val="20"/>
              </w:rPr>
              <w:t>Continued</w:t>
            </w:r>
          </w:p>
        </w:tc>
      </w:tr>
      <w:tr>
        <w:trPr>
          <w:trHeight w:val="271" w:hRule="atLeast"/>
        </w:trPr>
        <w:tc>
          <w:tcPr>
            <w:tcW w:w="2971" w:type="dxa"/>
          </w:tcPr>
          <w:p>
            <w:pPr>
              <w:pStyle w:val="TableParagraph"/>
              <w:spacing w:before="18"/>
              <w:ind w:left="14"/>
              <w:jc w:val="left"/>
              <w:rPr>
                <w:sz w:val="20"/>
              </w:rPr>
            </w:pPr>
            <w:r>
              <w:rPr>
                <w:sz w:val="20"/>
              </w:rPr>
              <w:t>Language</w:t>
            </w:r>
            <w:r>
              <w:rPr>
                <w:spacing w:val="-5"/>
                <w:sz w:val="20"/>
              </w:rPr>
              <w:t> </w:t>
            </w:r>
            <w:r>
              <w:rPr>
                <w:sz w:val="20"/>
              </w:rPr>
              <w:t>Services</w:t>
            </w:r>
            <w:r>
              <w:rPr>
                <w:spacing w:val="-10"/>
                <w:sz w:val="20"/>
              </w:rPr>
              <w:t> </w:t>
            </w:r>
            <w:r>
              <w:rPr>
                <w:spacing w:val="-2"/>
                <w:sz w:val="20"/>
              </w:rPr>
              <w:t>Assistant</w:t>
            </w:r>
          </w:p>
        </w:tc>
        <w:tc>
          <w:tcPr>
            <w:tcW w:w="740" w:type="dxa"/>
          </w:tcPr>
          <w:p>
            <w:pPr>
              <w:pStyle w:val="TableParagraph"/>
              <w:spacing w:before="18"/>
              <w:ind w:left="20"/>
              <w:jc w:val="left"/>
              <w:rPr>
                <w:sz w:val="20"/>
              </w:rPr>
            </w:pPr>
            <w:r>
              <w:rPr>
                <w:spacing w:val="-2"/>
                <w:sz w:val="20"/>
              </w:rPr>
              <w:t>GS-</w:t>
            </w:r>
            <w:r>
              <w:rPr>
                <w:spacing w:val="-7"/>
                <w:sz w:val="20"/>
              </w:rPr>
              <w:t>OL</w:t>
            </w:r>
          </w:p>
        </w:tc>
        <w:tc>
          <w:tcPr>
            <w:tcW w:w="775" w:type="dxa"/>
          </w:tcPr>
          <w:p>
            <w:pPr>
              <w:pStyle w:val="TableParagraph"/>
              <w:spacing w:before="18"/>
              <w:rPr>
                <w:sz w:val="20"/>
              </w:rPr>
            </w:pPr>
            <w:r>
              <w:rPr>
                <w:w w:val="100"/>
                <w:sz w:val="20"/>
              </w:rPr>
              <w:t>2</w:t>
            </w:r>
          </w:p>
        </w:tc>
        <w:tc>
          <w:tcPr>
            <w:tcW w:w="920" w:type="dxa"/>
          </w:tcPr>
          <w:p>
            <w:pPr>
              <w:pStyle w:val="TableParagraph"/>
              <w:spacing w:before="18"/>
              <w:ind w:right="320"/>
              <w:rPr>
                <w:sz w:val="20"/>
              </w:rPr>
            </w:pPr>
            <w:r>
              <w:rPr>
                <w:spacing w:val="-5"/>
                <w:sz w:val="20"/>
              </w:rPr>
              <w:t>18</w:t>
            </w:r>
          </w:p>
        </w:tc>
        <w:tc>
          <w:tcPr>
            <w:tcW w:w="909" w:type="dxa"/>
          </w:tcPr>
          <w:p>
            <w:pPr>
              <w:pStyle w:val="TableParagraph"/>
              <w:spacing w:before="18"/>
              <w:ind w:right="137"/>
              <w:rPr>
                <w:sz w:val="20"/>
              </w:rPr>
            </w:pPr>
            <w:r>
              <w:rPr>
                <w:spacing w:val="-4"/>
                <w:sz w:val="20"/>
              </w:rPr>
              <w:t>1.50</w:t>
            </w:r>
          </w:p>
        </w:tc>
        <w:tc>
          <w:tcPr>
            <w:tcW w:w="1205" w:type="dxa"/>
          </w:tcPr>
          <w:p>
            <w:pPr>
              <w:pStyle w:val="TableParagraph"/>
              <w:spacing w:before="18"/>
              <w:ind w:right="225"/>
              <w:rPr>
                <w:sz w:val="20"/>
              </w:rPr>
            </w:pPr>
            <w:r>
              <w:rPr>
                <w:spacing w:val="-2"/>
                <w:sz w:val="20"/>
              </w:rPr>
              <w:t>Continued</w:t>
            </w:r>
          </w:p>
        </w:tc>
      </w:tr>
      <w:tr>
        <w:trPr>
          <w:trHeight w:val="264" w:hRule="atLeast"/>
        </w:trPr>
        <w:tc>
          <w:tcPr>
            <w:tcW w:w="2971" w:type="dxa"/>
          </w:tcPr>
          <w:p>
            <w:pPr>
              <w:pStyle w:val="TableParagraph"/>
              <w:spacing w:line="229" w:lineRule="exact" w:before="15"/>
              <w:ind w:left="14"/>
              <w:jc w:val="left"/>
              <w:rPr>
                <w:sz w:val="20"/>
              </w:rPr>
            </w:pPr>
            <w:r>
              <w:rPr>
                <w:sz w:val="20"/>
              </w:rPr>
              <w:t>Transcript</w:t>
            </w:r>
            <w:r>
              <w:rPr>
                <w:spacing w:val="-9"/>
                <w:sz w:val="20"/>
              </w:rPr>
              <w:t> </w:t>
            </w:r>
            <w:r>
              <w:rPr>
                <w:spacing w:val="-2"/>
                <w:sz w:val="20"/>
              </w:rPr>
              <w:t>Reviewer</w:t>
            </w:r>
          </w:p>
        </w:tc>
        <w:tc>
          <w:tcPr>
            <w:tcW w:w="740" w:type="dxa"/>
          </w:tcPr>
          <w:p>
            <w:pPr>
              <w:pStyle w:val="TableParagraph"/>
              <w:spacing w:line="229" w:lineRule="exact" w:before="15"/>
              <w:ind w:left="20"/>
              <w:jc w:val="left"/>
              <w:rPr>
                <w:sz w:val="20"/>
              </w:rPr>
            </w:pPr>
            <w:r>
              <w:rPr>
                <w:spacing w:val="-2"/>
                <w:sz w:val="20"/>
              </w:rPr>
              <w:t>GS-</w:t>
            </w:r>
            <w:r>
              <w:rPr>
                <w:spacing w:val="-7"/>
                <w:sz w:val="20"/>
              </w:rPr>
              <w:t>OL</w:t>
            </w:r>
          </w:p>
        </w:tc>
        <w:tc>
          <w:tcPr>
            <w:tcW w:w="775" w:type="dxa"/>
          </w:tcPr>
          <w:p>
            <w:pPr>
              <w:pStyle w:val="TableParagraph"/>
              <w:spacing w:line="229" w:lineRule="exact" w:before="15"/>
              <w:rPr>
                <w:sz w:val="20"/>
              </w:rPr>
            </w:pPr>
            <w:r>
              <w:rPr>
                <w:w w:val="100"/>
                <w:sz w:val="20"/>
              </w:rPr>
              <w:t>5</w:t>
            </w:r>
          </w:p>
        </w:tc>
        <w:tc>
          <w:tcPr>
            <w:tcW w:w="920" w:type="dxa"/>
          </w:tcPr>
          <w:p>
            <w:pPr>
              <w:pStyle w:val="TableParagraph"/>
              <w:spacing w:line="229" w:lineRule="exact" w:before="15"/>
              <w:ind w:right="320"/>
              <w:rPr>
                <w:sz w:val="20"/>
              </w:rPr>
            </w:pPr>
            <w:r>
              <w:rPr>
                <w:spacing w:val="-5"/>
                <w:sz w:val="20"/>
              </w:rPr>
              <w:t>60</w:t>
            </w:r>
          </w:p>
        </w:tc>
        <w:tc>
          <w:tcPr>
            <w:tcW w:w="909" w:type="dxa"/>
          </w:tcPr>
          <w:p>
            <w:pPr>
              <w:pStyle w:val="TableParagraph"/>
              <w:spacing w:line="229" w:lineRule="exact" w:before="15"/>
              <w:ind w:right="137"/>
              <w:rPr>
                <w:sz w:val="20"/>
              </w:rPr>
            </w:pPr>
            <w:r>
              <w:rPr>
                <w:spacing w:val="-4"/>
                <w:sz w:val="20"/>
              </w:rPr>
              <w:t>5.00</w:t>
            </w:r>
          </w:p>
        </w:tc>
        <w:tc>
          <w:tcPr>
            <w:tcW w:w="1205" w:type="dxa"/>
          </w:tcPr>
          <w:p>
            <w:pPr>
              <w:pStyle w:val="TableParagraph"/>
              <w:spacing w:line="229" w:lineRule="exact" w:before="15"/>
              <w:ind w:right="225"/>
              <w:rPr>
                <w:sz w:val="20"/>
              </w:rPr>
            </w:pPr>
            <w:r>
              <w:rPr>
                <w:spacing w:val="-2"/>
                <w:sz w:val="20"/>
              </w:rPr>
              <w:t>Continued</w:t>
            </w:r>
          </w:p>
        </w:tc>
      </w:tr>
      <w:tr>
        <w:trPr>
          <w:trHeight w:val="268" w:hRule="atLeast"/>
        </w:trPr>
        <w:tc>
          <w:tcPr>
            <w:tcW w:w="2971" w:type="dxa"/>
          </w:tcPr>
          <w:p>
            <w:pPr>
              <w:pStyle w:val="TableParagraph"/>
              <w:spacing w:line="229" w:lineRule="exact" w:before="19"/>
              <w:ind w:left="14"/>
              <w:jc w:val="left"/>
              <w:rPr>
                <w:sz w:val="20"/>
              </w:rPr>
            </w:pPr>
            <w:r>
              <w:rPr>
                <w:sz w:val="20"/>
              </w:rPr>
              <w:t>Transcript</w:t>
            </w:r>
            <w:r>
              <w:rPr>
                <w:spacing w:val="-9"/>
                <w:sz w:val="20"/>
              </w:rPr>
              <w:t> </w:t>
            </w:r>
            <w:r>
              <w:rPr>
                <w:spacing w:val="-2"/>
                <w:sz w:val="20"/>
              </w:rPr>
              <w:t>Reviewer</w:t>
            </w:r>
            <w:r>
              <w:rPr>
                <w:spacing w:val="-2"/>
                <w:sz w:val="20"/>
                <w:vertAlign w:val="superscript"/>
              </w:rPr>
              <w:t>112</w:t>
            </w:r>
          </w:p>
        </w:tc>
        <w:tc>
          <w:tcPr>
            <w:tcW w:w="740" w:type="dxa"/>
          </w:tcPr>
          <w:p>
            <w:pPr>
              <w:pStyle w:val="TableParagraph"/>
              <w:spacing w:line="229" w:lineRule="exact" w:before="19"/>
              <w:ind w:left="20"/>
              <w:jc w:val="left"/>
              <w:rPr>
                <w:sz w:val="20"/>
              </w:rPr>
            </w:pPr>
            <w:r>
              <w:rPr>
                <w:spacing w:val="-2"/>
                <w:sz w:val="20"/>
              </w:rPr>
              <w:t>GS-</w:t>
            </w:r>
            <w:r>
              <w:rPr>
                <w:spacing w:val="-7"/>
                <w:sz w:val="20"/>
              </w:rPr>
              <w:t>OL</w:t>
            </w:r>
          </w:p>
        </w:tc>
        <w:tc>
          <w:tcPr>
            <w:tcW w:w="775" w:type="dxa"/>
          </w:tcPr>
          <w:p>
            <w:pPr>
              <w:pStyle w:val="TableParagraph"/>
              <w:spacing w:line="229" w:lineRule="exact" w:before="19"/>
              <w:rPr>
                <w:sz w:val="20"/>
              </w:rPr>
            </w:pPr>
            <w:r>
              <w:rPr>
                <w:w w:val="100"/>
                <w:sz w:val="20"/>
              </w:rPr>
              <w:t>2</w:t>
            </w:r>
          </w:p>
        </w:tc>
        <w:tc>
          <w:tcPr>
            <w:tcW w:w="920" w:type="dxa"/>
          </w:tcPr>
          <w:p>
            <w:pPr>
              <w:pStyle w:val="TableParagraph"/>
              <w:spacing w:line="229" w:lineRule="exact" w:before="19"/>
              <w:ind w:right="320"/>
              <w:rPr>
                <w:sz w:val="20"/>
              </w:rPr>
            </w:pPr>
            <w:r>
              <w:rPr>
                <w:spacing w:val="-5"/>
                <w:sz w:val="20"/>
              </w:rPr>
              <w:t>18</w:t>
            </w:r>
          </w:p>
        </w:tc>
        <w:tc>
          <w:tcPr>
            <w:tcW w:w="909" w:type="dxa"/>
          </w:tcPr>
          <w:p>
            <w:pPr>
              <w:pStyle w:val="TableParagraph"/>
              <w:spacing w:line="229" w:lineRule="exact" w:before="19"/>
              <w:ind w:right="137"/>
              <w:rPr>
                <w:sz w:val="20"/>
              </w:rPr>
            </w:pPr>
            <w:r>
              <w:rPr>
                <w:spacing w:val="-4"/>
                <w:sz w:val="20"/>
              </w:rPr>
              <w:t>1.50</w:t>
            </w:r>
          </w:p>
        </w:tc>
        <w:tc>
          <w:tcPr>
            <w:tcW w:w="1205" w:type="dxa"/>
          </w:tcPr>
          <w:p>
            <w:pPr>
              <w:pStyle w:val="TableParagraph"/>
              <w:spacing w:line="229" w:lineRule="exact" w:before="19"/>
              <w:ind w:right="227"/>
              <w:rPr>
                <w:sz w:val="20"/>
              </w:rPr>
            </w:pPr>
            <w:r>
              <w:rPr>
                <w:spacing w:val="-5"/>
                <w:sz w:val="20"/>
              </w:rPr>
              <w:t>New</w:t>
            </w:r>
          </w:p>
        </w:tc>
      </w:tr>
      <w:tr>
        <w:trPr>
          <w:trHeight w:val="275" w:hRule="atLeast"/>
        </w:trPr>
        <w:tc>
          <w:tcPr>
            <w:tcW w:w="2971" w:type="dxa"/>
          </w:tcPr>
          <w:p>
            <w:pPr>
              <w:pStyle w:val="TableParagraph"/>
              <w:spacing w:before="19"/>
              <w:ind w:left="14"/>
              <w:jc w:val="left"/>
              <w:rPr>
                <w:sz w:val="20"/>
              </w:rPr>
            </w:pPr>
            <w:r>
              <w:rPr>
                <w:sz w:val="20"/>
              </w:rPr>
              <w:t>Transcript</w:t>
            </w:r>
            <w:r>
              <w:rPr>
                <w:spacing w:val="-9"/>
                <w:sz w:val="20"/>
              </w:rPr>
              <w:t> </w:t>
            </w:r>
            <w:r>
              <w:rPr>
                <w:spacing w:val="-2"/>
                <w:sz w:val="20"/>
              </w:rPr>
              <w:t>Reviewer</w:t>
            </w:r>
            <w:r>
              <w:rPr>
                <w:spacing w:val="-2"/>
                <w:sz w:val="20"/>
                <w:vertAlign w:val="superscript"/>
              </w:rPr>
              <w:t>113</w:t>
            </w:r>
          </w:p>
        </w:tc>
        <w:tc>
          <w:tcPr>
            <w:tcW w:w="740" w:type="dxa"/>
          </w:tcPr>
          <w:p>
            <w:pPr>
              <w:pStyle w:val="TableParagraph"/>
              <w:spacing w:before="19"/>
              <w:ind w:left="20"/>
              <w:jc w:val="left"/>
              <w:rPr>
                <w:sz w:val="20"/>
              </w:rPr>
            </w:pPr>
            <w:r>
              <w:rPr>
                <w:spacing w:val="-2"/>
                <w:sz w:val="20"/>
              </w:rPr>
              <w:t>GS-</w:t>
            </w:r>
            <w:r>
              <w:rPr>
                <w:spacing w:val="-7"/>
                <w:sz w:val="20"/>
              </w:rPr>
              <w:t>OL</w:t>
            </w:r>
          </w:p>
        </w:tc>
        <w:tc>
          <w:tcPr>
            <w:tcW w:w="775" w:type="dxa"/>
          </w:tcPr>
          <w:p>
            <w:pPr>
              <w:pStyle w:val="TableParagraph"/>
              <w:spacing w:before="19"/>
              <w:rPr>
                <w:sz w:val="20"/>
              </w:rPr>
            </w:pPr>
            <w:r>
              <w:rPr>
                <w:w w:val="100"/>
                <w:sz w:val="20"/>
              </w:rPr>
              <w:t>5</w:t>
            </w:r>
          </w:p>
        </w:tc>
        <w:tc>
          <w:tcPr>
            <w:tcW w:w="920" w:type="dxa"/>
          </w:tcPr>
          <w:p>
            <w:pPr>
              <w:pStyle w:val="TableParagraph"/>
              <w:spacing w:before="19"/>
              <w:ind w:right="320"/>
              <w:rPr>
                <w:sz w:val="20"/>
              </w:rPr>
            </w:pPr>
            <w:r>
              <w:rPr>
                <w:spacing w:val="-5"/>
                <w:sz w:val="20"/>
              </w:rPr>
              <w:t>45</w:t>
            </w:r>
          </w:p>
        </w:tc>
        <w:tc>
          <w:tcPr>
            <w:tcW w:w="909" w:type="dxa"/>
          </w:tcPr>
          <w:p>
            <w:pPr>
              <w:pStyle w:val="TableParagraph"/>
              <w:spacing w:before="19"/>
              <w:ind w:right="137"/>
              <w:rPr>
                <w:sz w:val="20"/>
              </w:rPr>
            </w:pPr>
            <w:r>
              <w:rPr>
                <w:spacing w:val="-4"/>
                <w:sz w:val="20"/>
              </w:rPr>
              <w:t>3.75</w:t>
            </w:r>
          </w:p>
        </w:tc>
        <w:tc>
          <w:tcPr>
            <w:tcW w:w="1205" w:type="dxa"/>
          </w:tcPr>
          <w:p>
            <w:pPr>
              <w:pStyle w:val="TableParagraph"/>
              <w:spacing w:before="19"/>
              <w:ind w:right="227"/>
              <w:rPr>
                <w:sz w:val="20"/>
              </w:rPr>
            </w:pPr>
            <w:r>
              <w:rPr>
                <w:spacing w:val="-5"/>
                <w:sz w:val="20"/>
              </w:rPr>
              <w:t>New</w:t>
            </w:r>
          </w:p>
        </w:tc>
      </w:tr>
      <w:tr>
        <w:trPr>
          <w:trHeight w:val="267" w:hRule="atLeast"/>
        </w:trPr>
        <w:tc>
          <w:tcPr>
            <w:tcW w:w="2971" w:type="dxa"/>
          </w:tcPr>
          <w:p>
            <w:pPr>
              <w:pStyle w:val="TableParagraph"/>
              <w:spacing w:line="229" w:lineRule="exact" w:before="18"/>
              <w:ind w:left="14"/>
              <w:jc w:val="left"/>
              <w:rPr>
                <w:sz w:val="20"/>
              </w:rPr>
            </w:pPr>
            <w:r>
              <w:rPr>
                <w:sz w:val="20"/>
              </w:rPr>
              <w:t>Transcription</w:t>
            </w:r>
            <w:r>
              <w:rPr>
                <w:spacing w:val="-9"/>
                <w:sz w:val="20"/>
              </w:rPr>
              <w:t> </w:t>
            </w:r>
            <w:r>
              <w:rPr>
                <w:spacing w:val="-2"/>
                <w:sz w:val="20"/>
              </w:rPr>
              <w:t>Assistant</w:t>
            </w:r>
          </w:p>
        </w:tc>
        <w:tc>
          <w:tcPr>
            <w:tcW w:w="740" w:type="dxa"/>
          </w:tcPr>
          <w:p>
            <w:pPr>
              <w:pStyle w:val="TableParagraph"/>
              <w:spacing w:line="229" w:lineRule="exact" w:before="18"/>
              <w:ind w:left="20"/>
              <w:jc w:val="left"/>
              <w:rPr>
                <w:sz w:val="20"/>
              </w:rPr>
            </w:pPr>
            <w:r>
              <w:rPr>
                <w:spacing w:val="-2"/>
                <w:sz w:val="20"/>
              </w:rPr>
              <w:t>GS-</w:t>
            </w:r>
            <w:r>
              <w:rPr>
                <w:spacing w:val="-7"/>
                <w:sz w:val="20"/>
              </w:rPr>
              <w:t>OL</w:t>
            </w:r>
          </w:p>
        </w:tc>
        <w:tc>
          <w:tcPr>
            <w:tcW w:w="775" w:type="dxa"/>
          </w:tcPr>
          <w:p>
            <w:pPr>
              <w:pStyle w:val="TableParagraph"/>
              <w:spacing w:line="229" w:lineRule="exact" w:before="18"/>
              <w:rPr>
                <w:sz w:val="20"/>
              </w:rPr>
            </w:pPr>
            <w:r>
              <w:rPr>
                <w:w w:val="100"/>
                <w:sz w:val="20"/>
              </w:rPr>
              <w:t>1</w:t>
            </w:r>
          </w:p>
        </w:tc>
        <w:tc>
          <w:tcPr>
            <w:tcW w:w="920" w:type="dxa"/>
          </w:tcPr>
          <w:p>
            <w:pPr>
              <w:pStyle w:val="TableParagraph"/>
              <w:spacing w:line="229" w:lineRule="exact" w:before="18"/>
              <w:ind w:right="320"/>
              <w:rPr>
                <w:sz w:val="20"/>
              </w:rPr>
            </w:pPr>
            <w:r>
              <w:rPr>
                <w:spacing w:val="-5"/>
                <w:sz w:val="20"/>
              </w:rPr>
              <w:t>12</w:t>
            </w:r>
          </w:p>
        </w:tc>
        <w:tc>
          <w:tcPr>
            <w:tcW w:w="909" w:type="dxa"/>
          </w:tcPr>
          <w:p>
            <w:pPr>
              <w:pStyle w:val="TableParagraph"/>
              <w:spacing w:line="229" w:lineRule="exact" w:before="18"/>
              <w:ind w:right="137"/>
              <w:rPr>
                <w:sz w:val="20"/>
              </w:rPr>
            </w:pPr>
            <w:r>
              <w:rPr>
                <w:spacing w:val="-4"/>
                <w:sz w:val="20"/>
              </w:rPr>
              <w:t>1.00</w:t>
            </w:r>
          </w:p>
        </w:tc>
        <w:tc>
          <w:tcPr>
            <w:tcW w:w="1205" w:type="dxa"/>
          </w:tcPr>
          <w:p>
            <w:pPr>
              <w:pStyle w:val="TableParagraph"/>
              <w:spacing w:line="229" w:lineRule="exact" w:before="18"/>
              <w:ind w:right="225"/>
              <w:rPr>
                <w:sz w:val="20"/>
              </w:rPr>
            </w:pPr>
            <w:r>
              <w:rPr>
                <w:spacing w:val="-2"/>
                <w:sz w:val="20"/>
              </w:rPr>
              <w:t>Continued</w:t>
            </w:r>
          </w:p>
        </w:tc>
      </w:tr>
      <w:tr>
        <w:trPr>
          <w:trHeight w:val="272" w:hRule="atLeast"/>
        </w:trPr>
        <w:tc>
          <w:tcPr>
            <w:tcW w:w="2971" w:type="dxa"/>
          </w:tcPr>
          <w:p>
            <w:pPr>
              <w:pStyle w:val="TableParagraph"/>
              <w:spacing w:before="19"/>
              <w:ind w:left="14"/>
              <w:jc w:val="left"/>
              <w:rPr>
                <w:sz w:val="20"/>
              </w:rPr>
            </w:pPr>
            <w:r>
              <w:rPr>
                <w:sz w:val="20"/>
              </w:rPr>
              <w:t>Interpreter</w:t>
            </w:r>
            <w:r>
              <w:rPr>
                <w:spacing w:val="-6"/>
                <w:sz w:val="20"/>
              </w:rPr>
              <w:t> </w:t>
            </w:r>
            <w:r>
              <w:rPr>
                <w:sz w:val="20"/>
              </w:rPr>
              <w:t>/</w:t>
            </w:r>
            <w:r>
              <w:rPr>
                <w:spacing w:val="-3"/>
                <w:sz w:val="20"/>
              </w:rPr>
              <w:t> </w:t>
            </w:r>
            <w:r>
              <w:rPr>
                <w:spacing w:val="-2"/>
                <w:sz w:val="20"/>
              </w:rPr>
              <w:t>Translator</w:t>
            </w:r>
            <w:r>
              <w:rPr>
                <w:spacing w:val="-2"/>
                <w:sz w:val="20"/>
                <w:vertAlign w:val="superscript"/>
              </w:rPr>
              <w:t>114</w:t>
            </w:r>
          </w:p>
        </w:tc>
        <w:tc>
          <w:tcPr>
            <w:tcW w:w="740" w:type="dxa"/>
          </w:tcPr>
          <w:p>
            <w:pPr>
              <w:pStyle w:val="TableParagraph"/>
              <w:spacing w:before="19"/>
              <w:ind w:left="20"/>
              <w:jc w:val="left"/>
              <w:rPr>
                <w:sz w:val="20"/>
              </w:rPr>
            </w:pPr>
            <w:r>
              <w:rPr>
                <w:spacing w:val="-2"/>
                <w:sz w:val="20"/>
              </w:rPr>
              <w:t>P-</w:t>
            </w:r>
            <w:r>
              <w:rPr>
                <w:spacing w:val="-10"/>
                <w:sz w:val="20"/>
              </w:rPr>
              <w:t>2</w:t>
            </w:r>
          </w:p>
        </w:tc>
        <w:tc>
          <w:tcPr>
            <w:tcW w:w="775" w:type="dxa"/>
          </w:tcPr>
          <w:p>
            <w:pPr>
              <w:pStyle w:val="TableParagraph"/>
              <w:spacing w:before="19"/>
              <w:rPr>
                <w:sz w:val="20"/>
              </w:rPr>
            </w:pPr>
            <w:r>
              <w:rPr>
                <w:w w:val="100"/>
                <w:sz w:val="20"/>
              </w:rPr>
              <w:t>3</w:t>
            </w:r>
          </w:p>
        </w:tc>
        <w:tc>
          <w:tcPr>
            <w:tcW w:w="920" w:type="dxa"/>
          </w:tcPr>
          <w:p>
            <w:pPr>
              <w:pStyle w:val="TableParagraph"/>
              <w:spacing w:before="19"/>
              <w:ind w:right="320"/>
              <w:rPr>
                <w:sz w:val="20"/>
              </w:rPr>
            </w:pPr>
            <w:r>
              <w:rPr>
                <w:spacing w:val="-5"/>
                <w:sz w:val="20"/>
              </w:rPr>
              <w:t>27</w:t>
            </w:r>
          </w:p>
        </w:tc>
        <w:tc>
          <w:tcPr>
            <w:tcW w:w="909" w:type="dxa"/>
          </w:tcPr>
          <w:p>
            <w:pPr>
              <w:pStyle w:val="TableParagraph"/>
              <w:spacing w:before="19"/>
              <w:ind w:right="137"/>
              <w:rPr>
                <w:sz w:val="20"/>
              </w:rPr>
            </w:pPr>
            <w:r>
              <w:rPr>
                <w:spacing w:val="-4"/>
                <w:sz w:val="20"/>
              </w:rPr>
              <w:t>2.25</w:t>
            </w:r>
          </w:p>
        </w:tc>
        <w:tc>
          <w:tcPr>
            <w:tcW w:w="1205" w:type="dxa"/>
          </w:tcPr>
          <w:p>
            <w:pPr>
              <w:pStyle w:val="TableParagraph"/>
              <w:spacing w:before="19"/>
              <w:ind w:right="227"/>
              <w:rPr>
                <w:sz w:val="20"/>
              </w:rPr>
            </w:pPr>
            <w:r>
              <w:rPr>
                <w:spacing w:val="-5"/>
                <w:sz w:val="20"/>
              </w:rPr>
              <w:t>New</w:t>
            </w:r>
          </w:p>
        </w:tc>
      </w:tr>
      <w:tr>
        <w:trPr>
          <w:trHeight w:val="265" w:hRule="atLeast"/>
        </w:trPr>
        <w:tc>
          <w:tcPr>
            <w:tcW w:w="2971" w:type="dxa"/>
          </w:tcPr>
          <w:p>
            <w:pPr>
              <w:pStyle w:val="TableParagraph"/>
              <w:spacing w:line="229" w:lineRule="exact" w:before="16"/>
              <w:ind w:left="14"/>
              <w:jc w:val="left"/>
              <w:rPr>
                <w:sz w:val="20"/>
              </w:rPr>
            </w:pPr>
            <w:r>
              <w:rPr>
                <w:sz w:val="20"/>
              </w:rPr>
              <w:t>Associate</w:t>
            </w:r>
            <w:r>
              <w:rPr>
                <w:spacing w:val="-11"/>
                <w:sz w:val="20"/>
              </w:rPr>
              <w:t> </w:t>
            </w:r>
            <w:r>
              <w:rPr>
                <w:sz w:val="20"/>
              </w:rPr>
              <w:t>Interpretation</w:t>
            </w:r>
            <w:r>
              <w:rPr>
                <w:spacing w:val="-12"/>
                <w:sz w:val="20"/>
              </w:rPr>
              <w:t> </w:t>
            </w:r>
            <w:r>
              <w:rPr>
                <w:spacing w:val="-2"/>
                <w:sz w:val="20"/>
              </w:rPr>
              <w:t>Coordinator</w:t>
            </w:r>
          </w:p>
        </w:tc>
        <w:tc>
          <w:tcPr>
            <w:tcW w:w="740" w:type="dxa"/>
          </w:tcPr>
          <w:p>
            <w:pPr>
              <w:pStyle w:val="TableParagraph"/>
              <w:spacing w:line="229" w:lineRule="exact" w:before="16"/>
              <w:ind w:left="20"/>
              <w:jc w:val="left"/>
              <w:rPr>
                <w:sz w:val="20"/>
              </w:rPr>
            </w:pPr>
            <w:r>
              <w:rPr>
                <w:spacing w:val="-2"/>
                <w:sz w:val="20"/>
              </w:rPr>
              <w:t>P-</w:t>
            </w:r>
            <w:r>
              <w:rPr>
                <w:spacing w:val="-10"/>
                <w:sz w:val="20"/>
              </w:rPr>
              <w:t>2</w:t>
            </w:r>
          </w:p>
        </w:tc>
        <w:tc>
          <w:tcPr>
            <w:tcW w:w="775" w:type="dxa"/>
          </w:tcPr>
          <w:p>
            <w:pPr>
              <w:pStyle w:val="TableParagraph"/>
              <w:spacing w:line="229" w:lineRule="exact" w:before="16"/>
              <w:rPr>
                <w:sz w:val="20"/>
              </w:rPr>
            </w:pPr>
            <w:r>
              <w:rPr>
                <w:w w:val="100"/>
                <w:sz w:val="20"/>
              </w:rPr>
              <w:t>2</w:t>
            </w:r>
          </w:p>
        </w:tc>
        <w:tc>
          <w:tcPr>
            <w:tcW w:w="920" w:type="dxa"/>
          </w:tcPr>
          <w:p>
            <w:pPr>
              <w:pStyle w:val="TableParagraph"/>
              <w:spacing w:line="229" w:lineRule="exact" w:before="16"/>
              <w:ind w:right="320"/>
              <w:rPr>
                <w:sz w:val="20"/>
              </w:rPr>
            </w:pPr>
            <w:r>
              <w:rPr>
                <w:spacing w:val="-5"/>
                <w:sz w:val="20"/>
              </w:rPr>
              <w:t>24</w:t>
            </w:r>
          </w:p>
        </w:tc>
        <w:tc>
          <w:tcPr>
            <w:tcW w:w="909" w:type="dxa"/>
          </w:tcPr>
          <w:p>
            <w:pPr>
              <w:pStyle w:val="TableParagraph"/>
              <w:spacing w:line="229" w:lineRule="exact" w:before="16"/>
              <w:ind w:right="137"/>
              <w:rPr>
                <w:sz w:val="20"/>
              </w:rPr>
            </w:pPr>
            <w:r>
              <w:rPr>
                <w:spacing w:val="-4"/>
                <w:sz w:val="20"/>
              </w:rPr>
              <w:t>2.00</w:t>
            </w:r>
          </w:p>
        </w:tc>
        <w:tc>
          <w:tcPr>
            <w:tcW w:w="1205" w:type="dxa"/>
          </w:tcPr>
          <w:p>
            <w:pPr>
              <w:pStyle w:val="TableParagraph"/>
              <w:spacing w:line="229" w:lineRule="exact" w:before="16"/>
              <w:ind w:right="225"/>
              <w:rPr>
                <w:sz w:val="20"/>
              </w:rPr>
            </w:pPr>
            <w:r>
              <w:rPr>
                <w:spacing w:val="-2"/>
                <w:sz w:val="20"/>
              </w:rPr>
              <w:t>Continued</w:t>
            </w:r>
          </w:p>
        </w:tc>
      </w:tr>
      <w:tr>
        <w:trPr>
          <w:trHeight w:val="275" w:hRule="atLeast"/>
        </w:trPr>
        <w:tc>
          <w:tcPr>
            <w:tcW w:w="2971" w:type="dxa"/>
          </w:tcPr>
          <w:p>
            <w:pPr>
              <w:pStyle w:val="TableParagraph"/>
              <w:spacing w:before="19"/>
              <w:ind w:left="14"/>
              <w:jc w:val="left"/>
              <w:rPr>
                <w:sz w:val="20"/>
              </w:rPr>
            </w:pPr>
            <w:r>
              <w:rPr>
                <w:sz w:val="20"/>
              </w:rPr>
              <w:t>Language</w:t>
            </w:r>
            <w:r>
              <w:rPr>
                <w:spacing w:val="-3"/>
                <w:sz w:val="20"/>
              </w:rPr>
              <w:t> </w:t>
            </w:r>
            <w:r>
              <w:rPr>
                <w:spacing w:val="-2"/>
                <w:sz w:val="20"/>
              </w:rPr>
              <w:t>Assistant</w:t>
            </w:r>
            <w:r>
              <w:rPr>
                <w:spacing w:val="-2"/>
                <w:sz w:val="20"/>
                <w:vertAlign w:val="superscript"/>
              </w:rPr>
              <w:t>115</w:t>
            </w:r>
          </w:p>
        </w:tc>
        <w:tc>
          <w:tcPr>
            <w:tcW w:w="740" w:type="dxa"/>
          </w:tcPr>
          <w:p>
            <w:pPr>
              <w:pStyle w:val="TableParagraph"/>
              <w:spacing w:before="19"/>
              <w:ind w:left="20"/>
              <w:jc w:val="left"/>
              <w:rPr>
                <w:sz w:val="20"/>
              </w:rPr>
            </w:pPr>
            <w:r>
              <w:rPr>
                <w:spacing w:val="-2"/>
                <w:sz w:val="20"/>
              </w:rPr>
              <w:t>GS-</w:t>
            </w:r>
            <w:r>
              <w:rPr>
                <w:spacing w:val="-7"/>
                <w:sz w:val="20"/>
              </w:rPr>
              <w:t>OL</w:t>
            </w:r>
          </w:p>
        </w:tc>
        <w:tc>
          <w:tcPr>
            <w:tcW w:w="775" w:type="dxa"/>
          </w:tcPr>
          <w:p>
            <w:pPr>
              <w:pStyle w:val="TableParagraph"/>
              <w:spacing w:before="19"/>
              <w:rPr>
                <w:sz w:val="20"/>
              </w:rPr>
            </w:pPr>
            <w:r>
              <w:rPr>
                <w:w w:val="100"/>
                <w:sz w:val="20"/>
              </w:rPr>
              <w:t>8</w:t>
            </w:r>
          </w:p>
        </w:tc>
        <w:tc>
          <w:tcPr>
            <w:tcW w:w="920" w:type="dxa"/>
          </w:tcPr>
          <w:p>
            <w:pPr>
              <w:pStyle w:val="TableParagraph"/>
              <w:spacing w:before="19"/>
              <w:ind w:right="320"/>
              <w:rPr>
                <w:sz w:val="20"/>
              </w:rPr>
            </w:pPr>
            <w:r>
              <w:rPr>
                <w:spacing w:val="-5"/>
                <w:sz w:val="20"/>
              </w:rPr>
              <w:t>96</w:t>
            </w:r>
          </w:p>
        </w:tc>
        <w:tc>
          <w:tcPr>
            <w:tcW w:w="909" w:type="dxa"/>
          </w:tcPr>
          <w:p>
            <w:pPr>
              <w:pStyle w:val="TableParagraph"/>
              <w:spacing w:before="19"/>
              <w:ind w:right="137"/>
              <w:rPr>
                <w:sz w:val="20"/>
              </w:rPr>
            </w:pPr>
            <w:r>
              <w:rPr>
                <w:spacing w:val="-4"/>
                <w:sz w:val="20"/>
              </w:rPr>
              <w:t>8.00</w:t>
            </w:r>
          </w:p>
        </w:tc>
        <w:tc>
          <w:tcPr>
            <w:tcW w:w="1205" w:type="dxa"/>
          </w:tcPr>
          <w:p>
            <w:pPr>
              <w:pStyle w:val="TableParagraph"/>
              <w:spacing w:before="19"/>
              <w:ind w:right="227"/>
              <w:rPr>
                <w:sz w:val="20"/>
              </w:rPr>
            </w:pPr>
            <w:r>
              <w:rPr>
                <w:spacing w:val="-5"/>
                <w:sz w:val="20"/>
              </w:rPr>
              <w:t>New</w:t>
            </w:r>
          </w:p>
        </w:tc>
      </w:tr>
      <w:tr>
        <w:trPr>
          <w:trHeight w:val="271" w:hRule="atLeast"/>
        </w:trPr>
        <w:tc>
          <w:tcPr>
            <w:tcW w:w="2971" w:type="dxa"/>
          </w:tcPr>
          <w:p>
            <w:pPr>
              <w:pStyle w:val="TableParagraph"/>
              <w:spacing w:before="18"/>
              <w:ind w:left="14"/>
              <w:jc w:val="left"/>
              <w:rPr>
                <w:sz w:val="20"/>
              </w:rPr>
            </w:pPr>
            <w:r>
              <w:rPr>
                <w:sz w:val="20"/>
              </w:rPr>
              <w:t>Field</w:t>
            </w:r>
            <w:r>
              <w:rPr>
                <w:spacing w:val="-4"/>
                <w:sz w:val="20"/>
              </w:rPr>
              <w:t> </w:t>
            </w:r>
            <w:r>
              <w:rPr>
                <w:spacing w:val="-2"/>
                <w:sz w:val="20"/>
              </w:rPr>
              <w:t>Interpreter</w:t>
            </w:r>
          </w:p>
        </w:tc>
        <w:tc>
          <w:tcPr>
            <w:tcW w:w="740" w:type="dxa"/>
          </w:tcPr>
          <w:p>
            <w:pPr>
              <w:pStyle w:val="TableParagraph"/>
              <w:spacing w:before="18"/>
              <w:ind w:left="20"/>
              <w:jc w:val="left"/>
              <w:rPr>
                <w:sz w:val="20"/>
              </w:rPr>
            </w:pPr>
            <w:r>
              <w:rPr>
                <w:spacing w:val="-2"/>
                <w:sz w:val="20"/>
              </w:rPr>
              <w:t>GS-</w:t>
            </w:r>
            <w:r>
              <w:rPr>
                <w:spacing w:val="-7"/>
                <w:sz w:val="20"/>
              </w:rPr>
              <w:t>OL</w:t>
            </w:r>
          </w:p>
        </w:tc>
        <w:tc>
          <w:tcPr>
            <w:tcW w:w="775" w:type="dxa"/>
          </w:tcPr>
          <w:p>
            <w:pPr>
              <w:pStyle w:val="TableParagraph"/>
              <w:spacing w:before="18"/>
              <w:rPr>
                <w:sz w:val="20"/>
              </w:rPr>
            </w:pPr>
            <w:r>
              <w:rPr>
                <w:w w:val="100"/>
                <w:sz w:val="20"/>
              </w:rPr>
              <w:t>8</w:t>
            </w:r>
          </w:p>
        </w:tc>
        <w:tc>
          <w:tcPr>
            <w:tcW w:w="920" w:type="dxa"/>
          </w:tcPr>
          <w:p>
            <w:pPr>
              <w:pStyle w:val="TableParagraph"/>
              <w:spacing w:before="18"/>
              <w:ind w:right="320"/>
              <w:rPr>
                <w:sz w:val="20"/>
              </w:rPr>
            </w:pPr>
            <w:r>
              <w:rPr>
                <w:spacing w:val="-5"/>
                <w:sz w:val="20"/>
              </w:rPr>
              <w:t>38</w:t>
            </w:r>
          </w:p>
        </w:tc>
        <w:tc>
          <w:tcPr>
            <w:tcW w:w="909" w:type="dxa"/>
          </w:tcPr>
          <w:p>
            <w:pPr>
              <w:pStyle w:val="TableParagraph"/>
              <w:spacing w:before="18"/>
              <w:ind w:right="137"/>
              <w:rPr>
                <w:sz w:val="20"/>
              </w:rPr>
            </w:pPr>
            <w:r>
              <w:rPr>
                <w:spacing w:val="-4"/>
                <w:sz w:val="20"/>
              </w:rPr>
              <w:t>3.17</w:t>
            </w:r>
          </w:p>
        </w:tc>
        <w:tc>
          <w:tcPr>
            <w:tcW w:w="1205" w:type="dxa"/>
          </w:tcPr>
          <w:p>
            <w:pPr>
              <w:pStyle w:val="TableParagraph"/>
              <w:spacing w:before="18"/>
              <w:ind w:right="225"/>
              <w:rPr>
                <w:sz w:val="20"/>
              </w:rPr>
            </w:pPr>
            <w:r>
              <w:rPr>
                <w:spacing w:val="-2"/>
                <w:sz w:val="20"/>
              </w:rPr>
              <w:t>Continued</w:t>
            </w:r>
          </w:p>
        </w:tc>
      </w:tr>
      <w:tr>
        <w:trPr>
          <w:trHeight w:val="264" w:hRule="atLeast"/>
        </w:trPr>
        <w:tc>
          <w:tcPr>
            <w:tcW w:w="2971" w:type="dxa"/>
            <w:tcBorders>
              <w:bottom w:val="single" w:sz="4" w:space="0" w:color="000000"/>
            </w:tcBorders>
          </w:tcPr>
          <w:p>
            <w:pPr>
              <w:pStyle w:val="TableParagraph"/>
              <w:spacing w:line="229" w:lineRule="exact" w:before="15"/>
              <w:ind w:left="14"/>
              <w:jc w:val="left"/>
              <w:rPr>
                <w:sz w:val="20"/>
              </w:rPr>
            </w:pPr>
            <w:r>
              <w:rPr>
                <w:sz w:val="20"/>
              </w:rPr>
              <w:t>Field</w:t>
            </w:r>
            <w:r>
              <w:rPr>
                <w:spacing w:val="-4"/>
                <w:sz w:val="20"/>
              </w:rPr>
              <w:t> </w:t>
            </w:r>
            <w:r>
              <w:rPr>
                <w:spacing w:val="-2"/>
                <w:sz w:val="20"/>
              </w:rPr>
              <w:t>Interpreter</w:t>
            </w:r>
          </w:p>
        </w:tc>
        <w:tc>
          <w:tcPr>
            <w:tcW w:w="740" w:type="dxa"/>
            <w:tcBorders>
              <w:bottom w:val="single" w:sz="4" w:space="0" w:color="000000"/>
            </w:tcBorders>
          </w:tcPr>
          <w:p>
            <w:pPr>
              <w:pStyle w:val="TableParagraph"/>
              <w:spacing w:line="229" w:lineRule="exact" w:before="15"/>
              <w:ind w:left="20"/>
              <w:jc w:val="left"/>
              <w:rPr>
                <w:sz w:val="20"/>
              </w:rPr>
            </w:pPr>
            <w:r>
              <w:rPr>
                <w:spacing w:val="-2"/>
                <w:sz w:val="20"/>
              </w:rPr>
              <w:t>GS-</w:t>
            </w:r>
            <w:r>
              <w:rPr>
                <w:spacing w:val="-7"/>
                <w:sz w:val="20"/>
              </w:rPr>
              <w:t>OL</w:t>
            </w:r>
          </w:p>
        </w:tc>
        <w:tc>
          <w:tcPr>
            <w:tcW w:w="775" w:type="dxa"/>
            <w:tcBorders>
              <w:bottom w:val="single" w:sz="4" w:space="0" w:color="000000"/>
            </w:tcBorders>
          </w:tcPr>
          <w:p>
            <w:pPr>
              <w:pStyle w:val="TableParagraph"/>
              <w:spacing w:line="229" w:lineRule="exact" w:before="15"/>
              <w:rPr>
                <w:sz w:val="20"/>
              </w:rPr>
            </w:pPr>
            <w:r>
              <w:rPr>
                <w:w w:val="100"/>
                <w:sz w:val="20"/>
              </w:rPr>
              <w:t>1</w:t>
            </w:r>
          </w:p>
        </w:tc>
        <w:tc>
          <w:tcPr>
            <w:tcW w:w="920" w:type="dxa"/>
            <w:tcBorders>
              <w:bottom w:val="single" w:sz="4" w:space="0" w:color="000000"/>
            </w:tcBorders>
          </w:tcPr>
          <w:p>
            <w:pPr>
              <w:pStyle w:val="TableParagraph"/>
              <w:spacing w:line="229" w:lineRule="exact" w:before="15"/>
              <w:ind w:right="320"/>
              <w:rPr>
                <w:sz w:val="20"/>
              </w:rPr>
            </w:pPr>
            <w:r>
              <w:rPr>
                <w:w w:val="100"/>
                <w:sz w:val="20"/>
              </w:rPr>
              <w:t>6</w:t>
            </w:r>
          </w:p>
        </w:tc>
        <w:tc>
          <w:tcPr>
            <w:tcW w:w="909" w:type="dxa"/>
            <w:tcBorders>
              <w:bottom w:val="single" w:sz="4" w:space="0" w:color="000000"/>
            </w:tcBorders>
          </w:tcPr>
          <w:p>
            <w:pPr>
              <w:pStyle w:val="TableParagraph"/>
              <w:spacing w:line="229" w:lineRule="exact" w:before="15"/>
              <w:ind w:right="137"/>
              <w:rPr>
                <w:sz w:val="20"/>
              </w:rPr>
            </w:pPr>
            <w:r>
              <w:rPr>
                <w:spacing w:val="-4"/>
                <w:sz w:val="20"/>
              </w:rPr>
              <w:t>0.50</w:t>
            </w:r>
          </w:p>
        </w:tc>
        <w:tc>
          <w:tcPr>
            <w:tcW w:w="1205" w:type="dxa"/>
            <w:tcBorders>
              <w:bottom w:val="single" w:sz="4" w:space="0" w:color="000000"/>
            </w:tcBorders>
          </w:tcPr>
          <w:p>
            <w:pPr>
              <w:pStyle w:val="TableParagraph"/>
              <w:spacing w:line="229" w:lineRule="exact" w:before="15"/>
              <w:ind w:right="227"/>
              <w:rPr>
                <w:sz w:val="20"/>
              </w:rPr>
            </w:pPr>
            <w:r>
              <w:rPr>
                <w:spacing w:val="-5"/>
                <w:sz w:val="20"/>
              </w:rPr>
              <w:t>New</w:t>
            </w:r>
          </w:p>
        </w:tc>
      </w:tr>
      <w:tr>
        <w:trPr>
          <w:trHeight w:val="273" w:hRule="atLeast"/>
        </w:trPr>
        <w:tc>
          <w:tcPr>
            <w:tcW w:w="2971" w:type="dxa"/>
            <w:tcBorders>
              <w:top w:val="single" w:sz="4" w:space="0" w:color="000000"/>
              <w:bottom w:val="single" w:sz="4" w:space="0" w:color="000000"/>
            </w:tcBorders>
          </w:tcPr>
          <w:p>
            <w:pPr>
              <w:pStyle w:val="TableParagraph"/>
              <w:jc w:val="left"/>
              <w:rPr>
                <w:sz w:val="18"/>
              </w:rPr>
            </w:pPr>
          </w:p>
        </w:tc>
        <w:tc>
          <w:tcPr>
            <w:tcW w:w="740" w:type="dxa"/>
            <w:tcBorders>
              <w:top w:val="single" w:sz="4" w:space="0" w:color="000000"/>
              <w:bottom w:val="single" w:sz="4" w:space="0" w:color="000000"/>
            </w:tcBorders>
          </w:tcPr>
          <w:p>
            <w:pPr>
              <w:pStyle w:val="TableParagraph"/>
              <w:jc w:val="left"/>
              <w:rPr>
                <w:sz w:val="18"/>
              </w:rPr>
            </w:pPr>
          </w:p>
        </w:tc>
        <w:tc>
          <w:tcPr>
            <w:tcW w:w="775" w:type="dxa"/>
            <w:tcBorders>
              <w:top w:val="single" w:sz="4" w:space="0" w:color="000000"/>
              <w:bottom w:val="single" w:sz="4" w:space="0" w:color="000000"/>
            </w:tcBorders>
          </w:tcPr>
          <w:p>
            <w:pPr>
              <w:pStyle w:val="TableParagraph"/>
              <w:spacing w:before="19"/>
              <w:rPr>
                <w:b/>
                <w:sz w:val="20"/>
              </w:rPr>
            </w:pPr>
            <w:r>
              <w:rPr>
                <w:b/>
                <w:spacing w:val="-5"/>
                <w:sz w:val="20"/>
              </w:rPr>
              <w:t>44</w:t>
            </w:r>
          </w:p>
        </w:tc>
        <w:tc>
          <w:tcPr>
            <w:tcW w:w="920" w:type="dxa"/>
            <w:tcBorders>
              <w:top w:val="single" w:sz="4" w:space="0" w:color="000000"/>
              <w:bottom w:val="single" w:sz="4" w:space="0" w:color="000000"/>
            </w:tcBorders>
          </w:tcPr>
          <w:p>
            <w:pPr>
              <w:pStyle w:val="TableParagraph"/>
              <w:spacing w:before="19"/>
              <w:ind w:right="314"/>
              <w:rPr>
                <w:b/>
                <w:sz w:val="20"/>
              </w:rPr>
            </w:pPr>
            <w:r>
              <w:rPr>
                <w:b/>
                <w:spacing w:val="-5"/>
                <w:sz w:val="20"/>
              </w:rPr>
              <w:t>428</w:t>
            </w:r>
          </w:p>
        </w:tc>
        <w:tc>
          <w:tcPr>
            <w:tcW w:w="909" w:type="dxa"/>
            <w:tcBorders>
              <w:top w:val="single" w:sz="4" w:space="0" w:color="000000"/>
              <w:bottom w:val="single" w:sz="4" w:space="0" w:color="000000"/>
            </w:tcBorders>
          </w:tcPr>
          <w:p>
            <w:pPr>
              <w:pStyle w:val="TableParagraph"/>
              <w:spacing w:before="19"/>
              <w:ind w:right="137"/>
              <w:rPr>
                <w:b/>
                <w:sz w:val="20"/>
              </w:rPr>
            </w:pPr>
            <w:r>
              <w:rPr>
                <w:b/>
                <w:spacing w:val="-2"/>
                <w:sz w:val="20"/>
              </w:rPr>
              <w:t>35.67</w:t>
            </w:r>
          </w:p>
        </w:tc>
        <w:tc>
          <w:tcPr>
            <w:tcW w:w="1205" w:type="dxa"/>
            <w:tcBorders>
              <w:top w:val="single" w:sz="4" w:space="0" w:color="000000"/>
              <w:bottom w:val="single" w:sz="4" w:space="0" w:color="000000"/>
            </w:tcBorders>
          </w:tcPr>
          <w:p>
            <w:pPr>
              <w:pStyle w:val="TableParagraph"/>
              <w:jc w:val="left"/>
              <w:rPr>
                <w:sz w:val="18"/>
              </w:rPr>
            </w:pPr>
          </w:p>
        </w:tc>
      </w:tr>
      <w:tr>
        <w:trPr>
          <w:trHeight w:val="268" w:hRule="atLeast"/>
        </w:trPr>
        <w:tc>
          <w:tcPr>
            <w:tcW w:w="2971" w:type="dxa"/>
            <w:tcBorders>
              <w:top w:val="single" w:sz="4" w:space="0" w:color="000000"/>
              <w:bottom w:val="single" w:sz="4" w:space="0" w:color="000000"/>
            </w:tcBorders>
          </w:tcPr>
          <w:p>
            <w:pPr>
              <w:pStyle w:val="TableParagraph"/>
              <w:spacing w:line="229" w:lineRule="exact" w:before="19"/>
              <w:ind w:left="14"/>
              <w:jc w:val="left"/>
              <w:rPr>
                <w:b/>
                <w:sz w:val="20"/>
              </w:rPr>
            </w:pPr>
            <w:r>
              <w:rPr>
                <w:b/>
                <w:spacing w:val="-2"/>
                <w:sz w:val="20"/>
              </w:rPr>
              <w:t>Total</w:t>
            </w:r>
          </w:p>
        </w:tc>
        <w:tc>
          <w:tcPr>
            <w:tcW w:w="740" w:type="dxa"/>
            <w:tcBorders>
              <w:top w:val="single" w:sz="4" w:space="0" w:color="000000"/>
              <w:bottom w:val="single" w:sz="4" w:space="0" w:color="000000"/>
            </w:tcBorders>
          </w:tcPr>
          <w:p>
            <w:pPr>
              <w:pStyle w:val="TableParagraph"/>
              <w:jc w:val="left"/>
              <w:rPr>
                <w:sz w:val="18"/>
              </w:rPr>
            </w:pPr>
          </w:p>
        </w:tc>
        <w:tc>
          <w:tcPr>
            <w:tcW w:w="775" w:type="dxa"/>
            <w:tcBorders>
              <w:top w:val="single" w:sz="4" w:space="0" w:color="000000"/>
              <w:bottom w:val="single" w:sz="4" w:space="0" w:color="000000"/>
            </w:tcBorders>
          </w:tcPr>
          <w:p>
            <w:pPr>
              <w:pStyle w:val="TableParagraph"/>
              <w:spacing w:line="229" w:lineRule="exact" w:before="19"/>
              <w:rPr>
                <w:b/>
                <w:sz w:val="20"/>
              </w:rPr>
            </w:pPr>
            <w:r>
              <w:rPr>
                <w:b/>
                <w:spacing w:val="-5"/>
                <w:sz w:val="20"/>
              </w:rPr>
              <w:t>69</w:t>
            </w:r>
          </w:p>
        </w:tc>
        <w:tc>
          <w:tcPr>
            <w:tcW w:w="920" w:type="dxa"/>
            <w:tcBorders>
              <w:top w:val="single" w:sz="4" w:space="0" w:color="000000"/>
              <w:bottom w:val="single" w:sz="4" w:space="0" w:color="000000"/>
            </w:tcBorders>
          </w:tcPr>
          <w:p>
            <w:pPr>
              <w:pStyle w:val="TableParagraph"/>
              <w:spacing w:line="229" w:lineRule="exact" w:before="19"/>
              <w:ind w:right="314"/>
              <w:rPr>
                <w:b/>
                <w:sz w:val="20"/>
              </w:rPr>
            </w:pPr>
            <w:r>
              <w:rPr>
                <w:b/>
                <w:spacing w:val="-5"/>
                <w:sz w:val="20"/>
              </w:rPr>
              <w:t>770</w:t>
            </w:r>
          </w:p>
        </w:tc>
        <w:tc>
          <w:tcPr>
            <w:tcW w:w="909" w:type="dxa"/>
            <w:tcBorders>
              <w:top w:val="single" w:sz="4" w:space="0" w:color="000000"/>
              <w:bottom w:val="single" w:sz="4" w:space="0" w:color="000000"/>
            </w:tcBorders>
          </w:tcPr>
          <w:p>
            <w:pPr>
              <w:pStyle w:val="TableParagraph"/>
              <w:spacing w:line="229" w:lineRule="exact" w:before="19"/>
              <w:ind w:right="137"/>
              <w:rPr>
                <w:b/>
                <w:sz w:val="20"/>
              </w:rPr>
            </w:pPr>
            <w:r>
              <w:rPr>
                <w:b/>
                <w:spacing w:val="-2"/>
                <w:sz w:val="20"/>
              </w:rPr>
              <w:t>64.17</w:t>
            </w:r>
          </w:p>
        </w:tc>
        <w:tc>
          <w:tcPr>
            <w:tcW w:w="1205" w:type="dxa"/>
            <w:tcBorders>
              <w:top w:val="single" w:sz="4" w:space="0" w:color="000000"/>
              <w:bottom w:val="single" w:sz="4" w:space="0" w:color="000000"/>
            </w:tcBorders>
          </w:tcPr>
          <w:p>
            <w:pPr>
              <w:pStyle w:val="TableParagraph"/>
              <w:jc w:val="left"/>
              <w:rPr>
                <w:sz w:val="18"/>
              </w:rPr>
            </w:pPr>
          </w:p>
        </w:tc>
      </w:tr>
    </w:tbl>
    <w:p>
      <w:pPr>
        <w:pStyle w:val="ListParagraph"/>
        <w:numPr>
          <w:ilvl w:val="0"/>
          <w:numId w:val="4"/>
        </w:numPr>
        <w:tabs>
          <w:tab w:pos="2967" w:val="left" w:leader="none"/>
        </w:tabs>
        <w:spacing w:line="240" w:lineRule="auto" w:before="133" w:after="0"/>
        <w:ind w:left="2246" w:right="2236" w:firstLine="0"/>
        <w:jc w:val="both"/>
        <w:rPr>
          <w:sz w:val="20"/>
        </w:rPr>
      </w:pPr>
      <w:r>
        <w:rPr>
          <w:sz w:val="20"/>
        </w:rPr>
        <w:t>The Planning Unit will provide the effective coordination and planning for the unified teams. As well as the essential logistical and support service coordination, such as mission planning, interpretation, psychosocial and protection support needs, effective resource planning, in terms of anticipating and planning for longer term field deployments, recruitment, and</w:t>
      </w:r>
      <w:r>
        <w:rPr>
          <w:spacing w:val="-4"/>
          <w:sz w:val="20"/>
        </w:rPr>
        <w:t> </w:t>
      </w:r>
      <w:r>
        <w:rPr>
          <w:sz w:val="20"/>
        </w:rPr>
        <w:t>identification of equipment needs for</w:t>
      </w:r>
      <w:r>
        <w:rPr>
          <w:spacing w:val="-4"/>
          <w:sz w:val="20"/>
        </w:rPr>
        <w:t> </w:t>
      </w:r>
      <w:r>
        <w:rPr>
          <w:sz w:val="20"/>
        </w:rPr>
        <w:t>example will</w:t>
      </w:r>
      <w:r>
        <w:rPr>
          <w:spacing w:val="-2"/>
          <w:sz w:val="20"/>
        </w:rPr>
        <w:t> </w:t>
      </w:r>
      <w:r>
        <w:rPr>
          <w:sz w:val="20"/>
        </w:rPr>
        <w:t>allow the unified teams to focus on their investigative activity.</w:t>
      </w:r>
    </w:p>
    <w:p>
      <w:pPr>
        <w:pStyle w:val="ListParagraph"/>
        <w:numPr>
          <w:ilvl w:val="0"/>
          <w:numId w:val="4"/>
        </w:numPr>
        <w:tabs>
          <w:tab w:pos="720" w:val="left" w:leader="none"/>
          <w:tab w:pos="721" w:val="left" w:leader="none"/>
        </w:tabs>
        <w:spacing w:line="240" w:lineRule="auto" w:before="117" w:after="0"/>
        <w:ind w:left="720" w:right="5987" w:hanging="721"/>
        <w:jc w:val="right"/>
        <w:rPr>
          <w:sz w:val="20"/>
        </w:rPr>
      </w:pPr>
      <w:r>
        <w:rPr>
          <w:sz w:val="20"/>
        </w:rPr>
        <w:t>The</w:t>
      </w:r>
      <w:r>
        <w:rPr>
          <w:spacing w:val="-6"/>
          <w:sz w:val="20"/>
        </w:rPr>
        <w:t> </w:t>
      </w:r>
      <w:r>
        <w:rPr>
          <w:sz w:val="20"/>
        </w:rPr>
        <w:t>Planning</w:t>
      </w:r>
      <w:r>
        <w:rPr>
          <w:spacing w:val="-4"/>
          <w:sz w:val="20"/>
        </w:rPr>
        <w:t> </w:t>
      </w:r>
      <w:r>
        <w:rPr>
          <w:sz w:val="20"/>
        </w:rPr>
        <w:t>Unit</w:t>
      </w:r>
      <w:r>
        <w:rPr>
          <w:spacing w:val="-5"/>
          <w:sz w:val="20"/>
        </w:rPr>
        <w:t> </w:t>
      </w:r>
      <w:r>
        <w:rPr>
          <w:sz w:val="20"/>
        </w:rPr>
        <w:t>would</w:t>
      </w:r>
      <w:r>
        <w:rPr>
          <w:spacing w:val="-8"/>
          <w:sz w:val="20"/>
        </w:rPr>
        <w:t> </w:t>
      </w:r>
      <w:r>
        <w:rPr>
          <w:sz w:val="20"/>
        </w:rPr>
        <w:t>consist</w:t>
      </w:r>
      <w:r>
        <w:rPr>
          <w:spacing w:val="-1"/>
          <w:sz w:val="20"/>
        </w:rPr>
        <w:t> </w:t>
      </w:r>
      <w:r>
        <w:rPr>
          <w:spacing w:val="-5"/>
          <w:sz w:val="20"/>
        </w:rPr>
        <w:t>of:</w:t>
      </w:r>
    </w:p>
    <w:p>
      <w:pPr>
        <w:pStyle w:val="ListParagraph"/>
        <w:numPr>
          <w:ilvl w:val="0"/>
          <w:numId w:val="11"/>
        </w:numPr>
        <w:tabs>
          <w:tab w:pos="422" w:val="left" w:leader="none"/>
          <w:tab w:pos="423" w:val="left" w:leader="none"/>
        </w:tabs>
        <w:spacing w:line="240" w:lineRule="auto" w:before="121" w:after="0"/>
        <w:ind w:left="422" w:right="6009" w:hanging="423"/>
        <w:jc w:val="right"/>
        <w:rPr>
          <w:sz w:val="20"/>
        </w:rPr>
      </w:pPr>
      <w:r>
        <w:rPr>
          <w:sz w:val="20"/>
        </w:rPr>
        <w:t>One</w:t>
      </w:r>
      <w:r>
        <w:rPr>
          <w:spacing w:val="-8"/>
          <w:sz w:val="20"/>
        </w:rPr>
        <w:t> </w:t>
      </w:r>
      <w:r>
        <w:rPr>
          <w:i/>
          <w:sz w:val="20"/>
        </w:rPr>
        <w:t>Project Officer</w:t>
      </w:r>
      <w:r>
        <w:rPr>
          <w:i/>
          <w:spacing w:val="-8"/>
          <w:sz w:val="20"/>
        </w:rPr>
        <w:t> </w:t>
      </w:r>
      <w:r>
        <w:rPr>
          <w:i/>
          <w:sz w:val="20"/>
        </w:rPr>
        <w:t>(P-3);</w:t>
      </w:r>
      <w:r>
        <w:rPr>
          <w:i/>
          <w:spacing w:val="-6"/>
          <w:sz w:val="20"/>
        </w:rPr>
        <w:t> </w:t>
      </w:r>
      <w:r>
        <w:rPr>
          <w:spacing w:val="-5"/>
          <w:sz w:val="20"/>
        </w:rPr>
        <w:t>and</w:t>
      </w:r>
    </w:p>
    <w:p>
      <w:pPr>
        <w:pStyle w:val="ListParagraph"/>
        <w:numPr>
          <w:ilvl w:val="0"/>
          <w:numId w:val="11"/>
        </w:numPr>
        <w:tabs>
          <w:tab w:pos="3380" w:val="left" w:leader="none"/>
        </w:tabs>
        <w:spacing w:line="240" w:lineRule="auto" w:before="120" w:after="0"/>
        <w:ind w:left="3379" w:right="0" w:hanging="423"/>
        <w:jc w:val="both"/>
        <w:rPr>
          <w:i/>
          <w:sz w:val="20"/>
        </w:rPr>
      </w:pPr>
      <w:r>
        <w:rPr>
          <w:sz w:val="20"/>
        </w:rPr>
        <w:t>Three</w:t>
      </w:r>
      <w:r>
        <w:rPr>
          <w:spacing w:val="-7"/>
          <w:sz w:val="20"/>
        </w:rPr>
        <w:t> </w:t>
      </w:r>
      <w:r>
        <w:rPr>
          <w:i/>
          <w:sz w:val="20"/>
        </w:rPr>
        <w:t>Assistant</w:t>
      </w:r>
      <w:r>
        <w:rPr>
          <w:i/>
          <w:spacing w:val="-7"/>
          <w:sz w:val="20"/>
        </w:rPr>
        <w:t> </w:t>
      </w:r>
      <w:r>
        <w:rPr>
          <w:i/>
          <w:sz w:val="20"/>
        </w:rPr>
        <w:t>Planning</w:t>
      </w:r>
      <w:r>
        <w:rPr>
          <w:i/>
          <w:spacing w:val="-9"/>
          <w:sz w:val="20"/>
        </w:rPr>
        <w:t> </w:t>
      </w:r>
      <w:r>
        <w:rPr>
          <w:i/>
          <w:sz w:val="20"/>
        </w:rPr>
        <w:t>and</w:t>
      </w:r>
      <w:r>
        <w:rPr>
          <w:i/>
          <w:spacing w:val="-9"/>
          <w:sz w:val="20"/>
        </w:rPr>
        <w:t> </w:t>
      </w:r>
      <w:r>
        <w:rPr>
          <w:i/>
          <w:sz w:val="20"/>
        </w:rPr>
        <w:t>Control</w:t>
      </w:r>
      <w:r>
        <w:rPr>
          <w:i/>
          <w:spacing w:val="-2"/>
          <w:sz w:val="20"/>
        </w:rPr>
        <w:t> </w:t>
      </w:r>
      <w:r>
        <w:rPr>
          <w:i/>
          <w:sz w:val="20"/>
        </w:rPr>
        <w:t>Officers</w:t>
      </w:r>
      <w:r>
        <w:rPr>
          <w:i/>
          <w:spacing w:val="-5"/>
          <w:sz w:val="20"/>
        </w:rPr>
        <w:t> </w:t>
      </w:r>
      <w:r>
        <w:rPr>
          <w:i/>
          <w:sz w:val="20"/>
        </w:rPr>
        <w:t>(P-</w:t>
      </w:r>
      <w:r>
        <w:rPr>
          <w:i/>
          <w:spacing w:val="-5"/>
          <w:sz w:val="20"/>
        </w:rPr>
        <w:t>1)</w:t>
      </w:r>
    </w:p>
    <w:p>
      <w:pPr>
        <w:pStyle w:val="ListParagraph"/>
        <w:numPr>
          <w:ilvl w:val="0"/>
          <w:numId w:val="4"/>
        </w:numPr>
        <w:tabs>
          <w:tab w:pos="2967" w:val="left" w:leader="none"/>
        </w:tabs>
        <w:spacing w:line="240" w:lineRule="auto" w:before="120" w:after="0"/>
        <w:ind w:left="2246" w:right="2235" w:firstLine="0"/>
        <w:jc w:val="both"/>
        <w:rPr>
          <w:sz w:val="20"/>
        </w:rPr>
      </w:pPr>
      <w:r>
        <w:rPr>
          <w:sz w:val="20"/>
        </w:rPr>
        <w:t>In</w:t>
      </w:r>
      <w:r>
        <w:rPr>
          <w:spacing w:val="-12"/>
          <w:sz w:val="20"/>
        </w:rPr>
        <w:t> </w:t>
      </w:r>
      <w:r>
        <w:rPr>
          <w:sz w:val="20"/>
        </w:rPr>
        <w:t>order</w:t>
      </w:r>
      <w:r>
        <w:rPr>
          <w:spacing w:val="-8"/>
          <w:sz w:val="20"/>
        </w:rPr>
        <w:t> </w:t>
      </w:r>
      <w:r>
        <w:rPr>
          <w:sz w:val="20"/>
        </w:rPr>
        <w:t>to</w:t>
      </w:r>
      <w:r>
        <w:rPr>
          <w:spacing w:val="-9"/>
          <w:sz w:val="20"/>
        </w:rPr>
        <w:t> </w:t>
      </w:r>
      <w:r>
        <w:rPr>
          <w:sz w:val="20"/>
        </w:rPr>
        <w:t>effectively</w:t>
      </w:r>
      <w:r>
        <w:rPr>
          <w:spacing w:val="-9"/>
          <w:sz w:val="20"/>
        </w:rPr>
        <w:t> </w:t>
      </w:r>
      <w:r>
        <w:rPr>
          <w:sz w:val="20"/>
        </w:rPr>
        <w:t>support</w:t>
      </w:r>
      <w:r>
        <w:rPr>
          <w:spacing w:val="-13"/>
          <w:sz w:val="20"/>
        </w:rPr>
        <w:t> </w:t>
      </w:r>
      <w:r>
        <w:rPr>
          <w:sz w:val="20"/>
        </w:rPr>
        <w:t>this</w:t>
      </w:r>
      <w:r>
        <w:rPr>
          <w:spacing w:val="-12"/>
          <w:sz w:val="20"/>
        </w:rPr>
        <w:t> </w:t>
      </w:r>
      <w:r>
        <w:rPr>
          <w:sz w:val="20"/>
        </w:rPr>
        <w:t>requirement,</w:t>
      </w:r>
      <w:r>
        <w:rPr>
          <w:spacing w:val="-12"/>
          <w:sz w:val="20"/>
        </w:rPr>
        <w:t> </w:t>
      </w:r>
      <w:r>
        <w:rPr>
          <w:sz w:val="20"/>
        </w:rPr>
        <w:t>a</w:t>
      </w:r>
      <w:r>
        <w:rPr>
          <w:spacing w:val="-8"/>
          <w:sz w:val="20"/>
        </w:rPr>
        <w:t> </w:t>
      </w:r>
      <w:r>
        <w:rPr>
          <w:sz w:val="20"/>
        </w:rPr>
        <w:t>Project</w:t>
      </w:r>
      <w:r>
        <w:rPr>
          <w:spacing w:val="-8"/>
          <w:sz w:val="20"/>
        </w:rPr>
        <w:t> </w:t>
      </w:r>
      <w:r>
        <w:rPr>
          <w:sz w:val="20"/>
        </w:rPr>
        <w:t>Officer</w:t>
      </w:r>
      <w:r>
        <w:rPr>
          <w:spacing w:val="-13"/>
          <w:sz w:val="20"/>
        </w:rPr>
        <w:t> </w:t>
      </w:r>
      <w:r>
        <w:rPr>
          <w:sz w:val="20"/>
        </w:rPr>
        <w:t>(P-3)</w:t>
      </w:r>
      <w:r>
        <w:rPr>
          <w:spacing w:val="-8"/>
          <w:sz w:val="20"/>
        </w:rPr>
        <w:t> </w:t>
      </w:r>
      <w:r>
        <w:rPr>
          <w:sz w:val="20"/>
        </w:rPr>
        <w:t>will</w:t>
      </w:r>
      <w:r>
        <w:rPr>
          <w:spacing w:val="-13"/>
          <w:sz w:val="20"/>
        </w:rPr>
        <w:t> </w:t>
      </w:r>
      <w:r>
        <w:rPr>
          <w:sz w:val="20"/>
        </w:rPr>
        <w:t>organize and</w:t>
      </w:r>
      <w:r>
        <w:rPr>
          <w:spacing w:val="-4"/>
          <w:sz w:val="20"/>
        </w:rPr>
        <w:t> </w:t>
      </w:r>
      <w:r>
        <w:rPr>
          <w:sz w:val="20"/>
        </w:rPr>
        <w:t>manage the</w:t>
      </w:r>
      <w:r>
        <w:rPr>
          <w:spacing w:val="-2"/>
          <w:sz w:val="20"/>
        </w:rPr>
        <w:t> </w:t>
      </w:r>
      <w:r>
        <w:rPr>
          <w:sz w:val="20"/>
        </w:rPr>
        <w:t>activity of</w:t>
      </w:r>
      <w:r>
        <w:rPr>
          <w:spacing w:val="-4"/>
          <w:sz w:val="20"/>
        </w:rPr>
        <w:t> </w:t>
      </w:r>
      <w:r>
        <w:rPr>
          <w:sz w:val="20"/>
        </w:rPr>
        <w:t>the Unit.</w:t>
      </w:r>
      <w:r>
        <w:rPr>
          <w:spacing w:val="-1"/>
          <w:sz w:val="20"/>
        </w:rPr>
        <w:t> </w:t>
      </w:r>
      <w:r>
        <w:rPr>
          <w:sz w:val="20"/>
        </w:rPr>
        <w:t>The Project</w:t>
      </w:r>
      <w:r>
        <w:rPr>
          <w:spacing w:val="-2"/>
          <w:sz w:val="20"/>
        </w:rPr>
        <w:t> </w:t>
      </w:r>
      <w:r>
        <w:rPr>
          <w:sz w:val="20"/>
        </w:rPr>
        <w:t>Officer</w:t>
      </w:r>
      <w:r>
        <w:rPr>
          <w:spacing w:val="-4"/>
          <w:sz w:val="20"/>
        </w:rPr>
        <w:t> </w:t>
      </w:r>
      <w:r>
        <w:rPr>
          <w:sz w:val="20"/>
        </w:rPr>
        <w:t>will</w:t>
      </w:r>
      <w:r>
        <w:rPr>
          <w:spacing w:val="-2"/>
          <w:sz w:val="20"/>
        </w:rPr>
        <w:t> </w:t>
      </w:r>
      <w:r>
        <w:rPr>
          <w:sz w:val="20"/>
        </w:rPr>
        <w:t>develop</w:t>
      </w:r>
      <w:r>
        <w:rPr>
          <w:spacing w:val="-4"/>
          <w:sz w:val="20"/>
        </w:rPr>
        <w:t> </w:t>
      </w:r>
      <w:r>
        <w:rPr>
          <w:sz w:val="20"/>
        </w:rPr>
        <w:t>the necessary</w:t>
      </w:r>
      <w:r>
        <w:rPr>
          <w:spacing w:val="-4"/>
          <w:sz w:val="20"/>
        </w:rPr>
        <w:t> </w:t>
      </w:r>
      <w:r>
        <w:rPr>
          <w:sz w:val="20"/>
        </w:rPr>
        <w:t>terms of reference and templates for the planning activities. This will include information requirements, scheduling and the development of coordination and communication requirements.</w:t>
      </w:r>
      <w:r>
        <w:rPr>
          <w:spacing w:val="-5"/>
          <w:sz w:val="20"/>
        </w:rPr>
        <w:t> </w:t>
      </w:r>
      <w:r>
        <w:rPr>
          <w:sz w:val="20"/>
        </w:rPr>
        <w:t>The</w:t>
      </w:r>
      <w:r>
        <w:rPr>
          <w:spacing w:val="-6"/>
          <w:sz w:val="20"/>
        </w:rPr>
        <w:t> </w:t>
      </w:r>
      <w:r>
        <w:rPr>
          <w:sz w:val="20"/>
        </w:rPr>
        <w:t>Project</w:t>
      </w:r>
      <w:r>
        <w:rPr>
          <w:spacing w:val="-1"/>
          <w:sz w:val="20"/>
        </w:rPr>
        <w:t> </w:t>
      </w:r>
      <w:r>
        <w:rPr>
          <w:sz w:val="20"/>
        </w:rPr>
        <w:t>Officer</w:t>
      </w:r>
      <w:r>
        <w:rPr>
          <w:spacing w:val="-7"/>
          <w:sz w:val="20"/>
        </w:rPr>
        <w:t> </w:t>
      </w:r>
      <w:r>
        <w:rPr>
          <w:sz w:val="20"/>
        </w:rPr>
        <w:t>will</w:t>
      </w:r>
      <w:r>
        <w:rPr>
          <w:spacing w:val="-1"/>
          <w:sz w:val="20"/>
        </w:rPr>
        <w:t> </w:t>
      </w:r>
      <w:r>
        <w:rPr>
          <w:sz w:val="20"/>
        </w:rPr>
        <w:t>also</w:t>
      </w:r>
      <w:r>
        <w:rPr>
          <w:spacing w:val="-3"/>
          <w:sz w:val="20"/>
        </w:rPr>
        <w:t> </w:t>
      </w:r>
      <w:r>
        <w:rPr>
          <w:sz w:val="20"/>
        </w:rPr>
        <w:t>be</w:t>
      </w:r>
      <w:r>
        <w:rPr>
          <w:spacing w:val="-6"/>
          <w:sz w:val="20"/>
        </w:rPr>
        <w:t> </w:t>
      </w:r>
      <w:r>
        <w:rPr>
          <w:sz w:val="20"/>
        </w:rPr>
        <w:t>responsible</w:t>
      </w:r>
      <w:r>
        <w:rPr>
          <w:spacing w:val="-1"/>
          <w:sz w:val="20"/>
        </w:rPr>
        <w:t> </w:t>
      </w:r>
      <w:r>
        <w:rPr>
          <w:sz w:val="20"/>
        </w:rPr>
        <w:t>for</w:t>
      </w:r>
      <w:r>
        <w:rPr>
          <w:spacing w:val="-7"/>
          <w:sz w:val="20"/>
        </w:rPr>
        <w:t> </w:t>
      </w:r>
      <w:r>
        <w:rPr>
          <w:sz w:val="20"/>
        </w:rPr>
        <w:t>developing</w:t>
      </w:r>
      <w:r>
        <w:rPr>
          <w:spacing w:val="-7"/>
          <w:sz w:val="20"/>
        </w:rPr>
        <w:t> </w:t>
      </w:r>
      <w:r>
        <w:rPr>
          <w:sz w:val="20"/>
        </w:rPr>
        <w:t>crisis</w:t>
      </w:r>
      <w:r>
        <w:rPr>
          <w:spacing w:val="-9"/>
          <w:sz w:val="20"/>
        </w:rPr>
        <w:t> </w:t>
      </w:r>
      <w:r>
        <w:rPr>
          <w:sz w:val="20"/>
        </w:rPr>
        <w:t>management readiness</w:t>
      </w:r>
      <w:r>
        <w:rPr>
          <w:spacing w:val="-13"/>
          <w:sz w:val="20"/>
        </w:rPr>
        <w:t> </w:t>
      </w:r>
      <w:r>
        <w:rPr>
          <w:sz w:val="20"/>
        </w:rPr>
        <w:t>for</w:t>
      </w:r>
      <w:r>
        <w:rPr>
          <w:spacing w:val="-12"/>
          <w:sz w:val="20"/>
        </w:rPr>
        <w:t> </w:t>
      </w:r>
      <w:r>
        <w:rPr>
          <w:sz w:val="20"/>
        </w:rPr>
        <w:t>the</w:t>
      </w:r>
      <w:r>
        <w:rPr>
          <w:spacing w:val="-13"/>
          <w:sz w:val="20"/>
        </w:rPr>
        <w:t> </w:t>
      </w:r>
      <w:r>
        <w:rPr>
          <w:sz w:val="20"/>
        </w:rPr>
        <w:t>Office.</w:t>
      </w:r>
      <w:r>
        <w:rPr>
          <w:spacing w:val="-12"/>
          <w:sz w:val="20"/>
        </w:rPr>
        <w:t> </w:t>
      </w:r>
      <w:r>
        <w:rPr>
          <w:sz w:val="20"/>
        </w:rPr>
        <w:t>The</w:t>
      </w:r>
      <w:r>
        <w:rPr>
          <w:spacing w:val="-11"/>
          <w:sz w:val="20"/>
        </w:rPr>
        <w:t> </w:t>
      </w:r>
      <w:r>
        <w:rPr>
          <w:sz w:val="20"/>
        </w:rPr>
        <w:t>Project</w:t>
      </w:r>
      <w:r>
        <w:rPr>
          <w:spacing w:val="-7"/>
          <w:sz w:val="20"/>
        </w:rPr>
        <w:t> </w:t>
      </w:r>
      <w:r>
        <w:rPr>
          <w:sz w:val="20"/>
        </w:rPr>
        <w:t>Officer</w:t>
      </w:r>
      <w:r>
        <w:rPr>
          <w:spacing w:val="-13"/>
          <w:sz w:val="20"/>
        </w:rPr>
        <w:t> </w:t>
      </w:r>
      <w:r>
        <w:rPr>
          <w:sz w:val="20"/>
        </w:rPr>
        <w:t>will</w:t>
      </w:r>
      <w:r>
        <w:rPr>
          <w:spacing w:val="-12"/>
          <w:sz w:val="20"/>
        </w:rPr>
        <w:t> </w:t>
      </w:r>
      <w:r>
        <w:rPr>
          <w:sz w:val="20"/>
        </w:rPr>
        <w:t>be</w:t>
      </w:r>
      <w:r>
        <w:rPr>
          <w:spacing w:val="-11"/>
          <w:sz w:val="20"/>
        </w:rPr>
        <w:t> </w:t>
      </w:r>
      <w:r>
        <w:rPr>
          <w:sz w:val="20"/>
        </w:rPr>
        <w:t>supported</w:t>
      </w:r>
      <w:r>
        <w:rPr>
          <w:spacing w:val="-13"/>
          <w:sz w:val="20"/>
        </w:rPr>
        <w:t> </w:t>
      </w:r>
      <w:r>
        <w:rPr>
          <w:sz w:val="20"/>
        </w:rPr>
        <w:t>by</w:t>
      </w:r>
      <w:r>
        <w:rPr>
          <w:spacing w:val="-12"/>
          <w:sz w:val="20"/>
        </w:rPr>
        <w:t> </w:t>
      </w:r>
      <w:r>
        <w:rPr>
          <w:sz w:val="20"/>
        </w:rPr>
        <w:t>three</w:t>
      </w:r>
      <w:r>
        <w:rPr>
          <w:spacing w:val="-11"/>
          <w:sz w:val="20"/>
        </w:rPr>
        <w:t> </w:t>
      </w:r>
      <w:r>
        <w:rPr>
          <w:sz w:val="20"/>
        </w:rPr>
        <w:t>(3)</w:t>
      </w:r>
      <w:r>
        <w:rPr>
          <w:spacing w:val="-6"/>
          <w:sz w:val="20"/>
        </w:rPr>
        <w:t> </w:t>
      </w:r>
      <w:r>
        <w:rPr>
          <w:sz w:val="20"/>
        </w:rPr>
        <w:t>Assistant</w:t>
      </w:r>
      <w:r>
        <w:rPr>
          <w:spacing w:val="-12"/>
          <w:sz w:val="20"/>
        </w:rPr>
        <w:t> </w:t>
      </w:r>
      <w:r>
        <w:rPr>
          <w:sz w:val="20"/>
        </w:rPr>
        <w:t>Planning and Control Officers (P-1). There will be an Assistant Planning and Control Officer supporting</w:t>
      </w:r>
      <w:r>
        <w:rPr>
          <w:spacing w:val="20"/>
          <w:sz w:val="20"/>
        </w:rPr>
        <w:t> </w:t>
      </w:r>
      <w:r>
        <w:rPr>
          <w:sz w:val="20"/>
        </w:rPr>
        <w:t>the</w:t>
      </w:r>
      <w:r>
        <w:rPr>
          <w:spacing w:val="22"/>
          <w:sz w:val="20"/>
        </w:rPr>
        <w:t> </w:t>
      </w:r>
      <w:r>
        <w:rPr>
          <w:sz w:val="20"/>
        </w:rPr>
        <w:t>Project</w:t>
      </w:r>
      <w:r>
        <w:rPr>
          <w:spacing w:val="27"/>
          <w:sz w:val="20"/>
        </w:rPr>
        <w:t> </w:t>
      </w:r>
      <w:r>
        <w:rPr>
          <w:sz w:val="20"/>
        </w:rPr>
        <w:t>Officer</w:t>
      </w:r>
      <w:r>
        <w:rPr>
          <w:spacing w:val="25"/>
          <w:sz w:val="20"/>
        </w:rPr>
        <w:t> </w:t>
      </w:r>
      <w:r>
        <w:rPr>
          <w:sz w:val="20"/>
        </w:rPr>
        <w:t>for</w:t>
      </w:r>
      <w:r>
        <w:rPr>
          <w:spacing w:val="25"/>
          <w:sz w:val="20"/>
        </w:rPr>
        <w:t> </w:t>
      </w:r>
      <w:r>
        <w:rPr>
          <w:sz w:val="20"/>
        </w:rPr>
        <w:t>the</w:t>
      </w:r>
      <w:r>
        <w:rPr>
          <w:spacing w:val="22"/>
          <w:sz w:val="20"/>
        </w:rPr>
        <w:t> </w:t>
      </w:r>
      <w:r>
        <w:rPr>
          <w:sz w:val="20"/>
        </w:rPr>
        <w:t>planning</w:t>
      </w:r>
      <w:r>
        <w:rPr>
          <w:spacing w:val="25"/>
          <w:sz w:val="20"/>
        </w:rPr>
        <w:t> </w:t>
      </w:r>
      <w:r>
        <w:rPr>
          <w:sz w:val="20"/>
        </w:rPr>
        <w:t>needs</w:t>
      </w:r>
      <w:r>
        <w:rPr>
          <w:spacing w:val="19"/>
          <w:sz w:val="20"/>
        </w:rPr>
        <w:t> </w:t>
      </w:r>
      <w:r>
        <w:rPr>
          <w:sz w:val="20"/>
        </w:rPr>
        <w:t>of</w:t>
      </w:r>
      <w:r>
        <w:rPr>
          <w:spacing w:val="20"/>
          <w:sz w:val="20"/>
        </w:rPr>
        <w:t> </w:t>
      </w:r>
      <w:r>
        <w:rPr>
          <w:sz w:val="20"/>
        </w:rPr>
        <w:t>the</w:t>
      </w:r>
      <w:r>
        <w:rPr>
          <w:spacing w:val="27"/>
          <w:sz w:val="20"/>
        </w:rPr>
        <w:t> </w:t>
      </w:r>
      <w:r>
        <w:rPr>
          <w:sz w:val="20"/>
        </w:rPr>
        <w:t>pillars</w:t>
      </w:r>
      <w:r>
        <w:rPr>
          <w:spacing w:val="19"/>
          <w:sz w:val="20"/>
        </w:rPr>
        <w:t> </w:t>
      </w:r>
      <w:r>
        <w:rPr>
          <w:sz w:val="20"/>
        </w:rPr>
        <w:t>as</w:t>
      </w:r>
      <w:r>
        <w:rPr>
          <w:spacing w:val="24"/>
          <w:sz w:val="20"/>
        </w:rPr>
        <w:t> </w:t>
      </w:r>
      <w:r>
        <w:rPr>
          <w:sz w:val="20"/>
        </w:rPr>
        <w:t>well</w:t>
      </w:r>
      <w:r>
        <w:rPr>
          <w:spacing w:val="22"/>
          <w:sz w:val="20"/>
        </w:rPr>
        <w:t> </w:t>
      </w:r>
      <w:r>
        <w:rPr>
          <w:sz w:val="20"/>
        </w:rPr>
        <w:t>as</w:t>
      </w:r>
      <w:r>
        <w:rPr>
          <w:spacing w:val="24"/>
          <w:sz w:val="20"/>
        </w:rPr>
        <w:t> </w:t>
      </w:r>
      <w:r>
        <w:rPr>
          <w:sz w:val="20"/>
        </w:rPr>
        <w:t>designated</w:t>
      </w:r>
    </w:p>
    <w:p>
      <w:pPr>
        <w:pStyle w:val="BodyText"/>
      </w:pPr>
    </w:p>
    <w:p>
      <w:pPr>
        <w:pStyle w:val="BodyText"/>
      </w:pPr>
    </w:p>
    <w:p>
      <w:pPr>
        <w:pStyle w:val="BodyText"/>
        <w:spacing w:before="5"/>
        <w:rPr>
          <w:sz w:val="17"/>
        </w:rPr>
      </w:pPr>
      <w:r>
        <w:rPr/>
        <w:pict>
          <v:rect style="position:absolute;margin-left:113.330002pt;margin-top:11.254668pt;width:144.050pt;height:.47998pt;mso-position-horizontal-relative:page;mso-position-vertical-relative:paragraph;z-index:-15693312;mso-wrap-distance-left:0;mso-wrap-distance-right:0" id="docshape192" filled="true" fillcolor="#000000" stroked="false">
            <v:fill type="solid"/>
            <w10:wrap type="topAndBottom"/>
          </v:rect>
        </w:pict>
      </w:r>
    </w:p>
    <w:p>
      <w:pPr>
        <w:spacing w:before="86"/>
        <w:ind w:left="2246" w:right="0" w:firstLine="0"/>
        <w:jc w:val="left"/>
        <w:rPr>
          <w:sz w:val="16"/>
        </w:rPr>
      </w:pPr>
      <w:r>
        <w:rPr>
          <w:position w:val="5"/>
          <w:sz w:val="10"/>
        </w:rPr>
        <w:t>112</w:t>
      </w:r>
      <w:r>
        <w:rPr>
          <w:spacing w:val="14"/>
          <w:position w:val="5"/>
          <w:sz w:val="10"/>
        </w:rPr>
        <w:t> </w:t>
      </w:r>
      <w:r>
        <w:rPr>
          <w:sz w:val="16"/>
        </w:rPr>
        <w:t>Allocated</w:t>
      </w:r>
      <w:r>
        <w:rPr>
          <w:spacing w:val="-1"/>
          <w:sz w:val="16"/>
        </w:rPr>
        <w:t> </w:t>
      </w:r>
      <w:r>
        <w:rPr>
          <w:sz w:val="16"/>
        </w:rPr>
        <w:t>to</w:t>
      </w:r>
      <w:r>
        <w:rPr>
          <w:spacing w:val="36"/>
          <w:sz w:val="16"/>
        </w:rPr>
        <w:t> </w:t>
      </w:r>
      <w:r>
        <w:rPr>
          <w:spacing w:val="-2"/>
          <w:sz w:val="16"/>
        </w:rPr>
        <w:t>Headquarters.</w:t>
      </w:r>
    </w:p>
    <w:p>
      <w:pPr>
        <w:spacing w:line="183" w:lineRule="exact" w:before="3"/>
        <w:ind w:left="2246" w:right="0" w:firstLine="0"/>
        <w:jc w:val="left"/>
        <w:rPr>
          <w:sz w:val="16"/>
        </w:rPr>
      </w:pPr>
      <w:r>
        <w:rPr>
          <w:position w:val="5"/>
          <w:sz w:val="10"/>
        </w:rPr>
        <w:t>113</w:t>
      </w:r>
      <w:r>
        <w:rPr>
          <w:spacing w:val="14"/>
          <w:position w:val="5"/>
          <w:sz w:val="10"/>
        </w:rPr>
        <w:t> </w:t>
      </w:r>
      <w:r>
        <w:rPr>
          <w:sz w:val="16"/>
        </w:rPr>
        <w:t>Allocated</w:t>
      </w:r>
      <w:r>
        <w:rPr>
          <w:spacing w:val="-1"/>
          <w:sz w:val="16"/>
        </w:rPr>
        <w:t> </w:t>
      </w:r>
      <w:r>
        <w:rPr>
          <w:sz w:val="16"/>
        </w:rPr>
        <w:t>to</w:t>
      </w:r>
      <w:r>
        <w:rPr>
          <w:spacing w:val="-1"/>
          <w:sz w:val="16"/>
        </w:rPr>
        <w:t> </w:t>
      </w:r>
      <w:r>
        <w:rPr>
          <w:sz w:val="16"/>
        </w:rPr>
        <w:t>the</w:t>
      </w:r>
      <w:r>
        <w:rPr>
          <w:spacing w:val="1"/>
          <w:sz w:val="16"/>
        </w:rPr>
        <w:t> </w:t>
      </w:r>
      <w:r>
        <w:rPr>
          <w:sz w:val="16"/>
        </w:rPr>
        <w:t>country </w:t>
      </w:r>
      <w:r>
        <w:rPr>
          <w:spacing w:val="-2"/>
          <w:sz w:val="16"/>
        </w:rPr>
        <w:t>offices.</w:t>
      </w:r>
    </w:p>
    <w:p>
      <w:pPr>
        <w:spacing w:line="182" w:lineRule="exact" w:before="0"/>
        <w:ind w:left="2246" w:right="0" w:firstLine="0"/>
        <w:jc w:val="left"/>
        <w:rPr>
          <w:sz w:val="16"/>
        </w:rPr>
      </w:pPr>
      <w:r>
        <w:rPr>
          <w:position w:val="5"/>
          <w:sz w:val="10"/>
        </w:rPr>
        <w:t>114</w:t>
      </w:r>
      <w:r>
        <w:rPr>
          <w:spacing w:val="14"/>
          <w:position w:val="5"/>
          <w:sz w:val="10"/>
        </w:rPr>
        <w:t> </w:t>
      </w:r>
      <w:r>
        <w:rPr>
          <w:sz w:val="16"/>
        </w:rPr>
        <w:t>Allocated</w:t>
      </w:r>
      <w:r>
        <w:rPr>
          <w:spacing w:val="-1"/>
          <w:sz w:val="16"/>
        </w:rPr>
        <w:t> </w:t>
      </w:r>
      <w:r>
        <w:rPr>
          <w:sz w:val="16"/>
        </w:rPr>
        <w:t>to a country </w:t>
      </w:r>
      <w:r>
        <w:rPr>
          <w:spacing w:val="-2"/>
          <w:sz w:val="16"/>
        </w:rPr>
        <w:t>office.</w:t>
      </w:r>
    </w:p>
    <w:p>
      <w:pPr>
        <w:spacing w:line="183" w:lineRule="exact" w:before="0"/>
        <w:ind w:left="2246" w:right="0" w:firstLine="0"/>
        <w:jc w:val="left"/>
        <w:rPr>
          <w:sz w:val="16"/>
        </w:rPr>
      </w:pPr>
      <w:r>
        <w:rPr>
          <w:position w:val="5"/>
          <w:sz w:val="10"/>
        </w:rPr>
        <w:t>115</w:t>
      </w:r>
      <w:r>
        <w:rPr>
          <w:spacing w:val="13"/>
          <w:position w:val="5"/>
          <w:sz w:val="10"/>
        </w:rPr>
        <w:t> </w:t>
      </w:r>
      <w:r>
        <w:rPr>
          <w:sz w:val="16"/>
        </w:rPr>
        <w:t>Two</w:t>
      </w:r>
      <w:r>
        <w:rPr>
          <w:spacing w:val="-1"/>
          <w:sz w:val="16"/>
        </w:rPr>
        <w:t> </w:t>
      </w:r>
      <w:r>
        <w:rPr>
          <w:sz w:val="16"/>
        </w:rPr>
        <w:t>staff</w:t>
      </w:r>
      <w:r>
        <w:rPr>
          <w:spacing w:val="-3"/>
          <w:sz w:val="16"/>
        </w:rPr>
        <w:t> </w:t>
      </w:r>
      <w:r>
        <w:rPr>
          <w:sz w:val="16"/>
        </w:rPr>
        <w:t>allocated</w:t>
      </w:r>
      <w:r>
        <w:rPr>
          <w:spacing w:val="-1"/>
          <w:sz w:val="16"/>
        </w:rPr>
        <w:t> </w:t>
      </w:r>
      <w:r>
        <w:rPr>
          <w:sz w:val="16"/>
        </w:rPr>
        <w:t>to</w:t>
      </w:r>
      <w:r>
        <w:rPr>
          <w:spacing w:val="-2"/>
          <w:sz w:val="16"/>
        </w:rPr>
        <w:t> </w:t>
      </w:r>
      <w:r>
        <w:rPr>
          <w:sz w:val="16"/>
        </w:rPr>
        <w:t>Headquarters</w:t>
      </w:r>
      <w:r>
        <w:rPr>
          <w:spacing w:val="-2"/>
          <w:sz w:val="16"/>
        </w:rPr>
        <w:t> </w:t>
      </w:r>
      <w:r>
        <w:rPr>
          <w:sz w:val="16"/>
        </w:rPr>
        <w:t>and</w:t>
      </w:r>
      <w:r>
        <w:rPr>
          <w:spacing w:val="-1"/>
          <w:sz w:val="16"/>
        </w:rPr>
        <w:t> </w:t>
      </w:r>
      <w:r>
        <w:rPr>
          <w:sz w:val="16"/>
        </w:rPr>
        <w:t>six</w:t>
      </w:r>
      <w:r>
        <w:rPr>
          <w:spacing w:val="-2"/>
          <w:sz w:val="16"/>
        </w:rPr>
        <w:t> </w:t>
      </w:r>
      <w:r>
        <w:rPr>
          <w:sz w:val="16"/>
        </w:rPr>
        <w:t>staff</w:t>
      </w:r>
      <w:r>
        <w:rPr>
          <w:spacing w:val="-4"/>
          <w:sz w:val="16"/>
        </w:rPr>
        <w:t> </w:t>
      </w:r>
      <w:r>
        <w:rPr>
          <w:sz w:val="16"/>
        </w:rPr>
        <w:t>allocated</w:t>
      </w:r>
      <w:r>
        <w:rPr>
          <w:spacing w:val="-2"/>
          <w:sz w:val="16"/>
        </w:rPr>
        <w:t> </w:t>
      </w:r>
      <w:r>
        <w:rPr>
          <w:sz w:val="16"/>
        </w:rPr>
        <w:t>to</w:t>
      </w:r>
      <w:r>
        <w:rPr>
          <w:spacing w:val="1"/>
          <w:sz w:val="16"/>
        </w:rPr>
        <w:t> </w:t>
      </w:r>
      <w:r>
        <w:rPr>
          <w:sz w:val="16"/>
        </w:rPr>
        <w:t>country</w:t>
      </w:r>
      <w:r>
        <w:rPr>
          <w:spacing w:val="-1"/>
          <w:sz w:val="16"/>
        </w:rPr>
        <w:t> </w:t>
      </w:r>
      <w:r>
        <w:rPr>
          <w:spacing w:val="-2"/>
          <w:sz w:val="16"/>
        </w:rPr>
        <w:t>offices.</w:t>
      </w:r>
    </w:p>
    <w:p>
      <w:pPr>
        <w:spacing w:after="0" w:line="183" w:lineRule="exact"/>
        <w:jc w:val="left"/>
        <w:rPr>
          <w:sz w:val="16"/>
        </w:rPr>
        <w:sectPr>
          <w:pgSz w:w="11910" w:h="16840"/>
          <w:pgMar w:header="953" w:footer="940" w:top="1140" w:bottom="1140" w:left="20" w:right="20"/>
        </w:sectPr>
      </w:pPr>
    </w:p>
    <w:p>
      <w:pPr>
        <w:pStyle w:val="BodyText"/>
        <w:spacing w:before="120"/>
        <w:ind w:left="2246" w:right="2195"/>
      </w:pPr>
      <w:r>
        <w:rPr/>
        <w:t>Assistant Planning</w:t>
      </w:r>
      <w:r>
        <w:rPr>
          <w:spacing w:val="-4"/>
        </w:rPr>
        <w:t> </w:t>
      </w:r>
      <w:r>
        <w:rPr/>
        <w:t>and Control Officers to support the</w:t>
      </w:r>
      <w:r>
        <w:rPr>
          <w:spacing w:val="-2"/>
        </w:rPr>
        <w:t> </w:t>
      </w:r>
      <w:r>
        <w:rPr/>
        <w:t>two</w:t>
      </w:r>
      <w:r>
        <w:rPr>
          <w:spacing w:val="-4"/>
        </w:rPr>
        <w:t> </w:t>
      </w:r>
      <w:r>
        <w:rPr/>
        <w:t>major ongoing</w:t>
      </w:r>
      <w:r>
        <w:rPr>
          <w:spacing w:val="-4"/>
        </w:rPr>
        <w:t> </w:t>
      </w:r>
      <w:r>
        <w:rPr/>
        <w:t>investigations,</w:t>
      </w:r>
      <w:r>
        <w:rPr>
          <w:spacing w:val="-1"/>
        </w:rPr>
        <w:t> </w:t>
      </w:r>
      <w:r>
        <w:rPr/>
        <w:t>in Darfur (Sudan) and Ukraine.</w:t>
      </w:r>
    </w:p>
    <w:p>
      <w:pPr>
        <w:pStyle w:val="ListParagraph"/>
        <w:numPr>
          <w:ilvl w:val="0"/>
          <w:numId w:val="4"/>
        </w:numPr>
        <w:tabs>
          <w:tab w:pos="2967" w:val="left" w:leader="none"/>
        </w:tabs>
        <w:spacing w:line="240" w:lineRule="auto" w:before="121" w:after="0"/>
        <w:ind w:left="2246" w:right="2246" w:firstLine="0"/>
        <w:jc w:val="both"/>
        <w:rPr>
          <w:sz w:val="20"/>
        </w:rPr>
      </w:pPr>
      <w:bookmarkStart w:name="_bookmark31" w:id="32"/>
      <w:bookmarkEnd w:id="32"/>
      <w:r>
        <w:rPr>
          <w:sz w:val="20"/>
        </w:rPr>
        <w:t>P</w:t>
      </w:r>
      <w:r>
        <w:rPr>
          <w:sz w:val="20"/>
        </w:rPr>
        <w:t>OS</w:t>
      </w:r>
      <w:r>
        <w:rPr>
          <w:spacing w:val="-12"/>
          <w:sz w:val="20"/>
        </w:rPr>
        <w:t> </w:t>
      </w:r>
      <w:r>
        <w:rPr>
          <w:sz w:val="20"/>
        </w:rPr>
        <w:t>uses</w:t>
      </w:r>
      <w:r>
        <w:rPr>
          <w:spacing w:val="-11"/>
          <w:sz w:val="20"/>
        </w:rPr>
        <w:t> </w:t>
      </w:r>
      <w:r>
        <w:rPr>
          <w:sz w:val="20"/>
        </w:rPr>
        <w:t>external</w:t>
      </w:r>
      <w:r>
        <w:rPr>
          <w:spacing w:val="-13"/>
          <w:sz w:val="20"/>
        </w:rPr>
        <w:t> </w:t>
      </w:r>
      <w:r>
        <w:rPr>
          <w:sz w:val="20"/>
        </w:rPr>
        <w:t>experts</w:t>
      </w:r>
      <w:r>
        <w:rPr>
          <w:spacing w:val="-10"/>
          <w:sz w:val="20"/>
        </w:rPr>
        <w:t> </w:t>
      </w:r>
      <w:r>
        <w:rPr>
          <w:sz w:val="20"/>
        </w:rPr>
        <w:t>to</w:t>
      </w:r>
      <w:r>
        <w:rPr>
          <w:spacing w:val="-9"/>
          <w:sz w:val="20"/>
        </w:rPr>
        <w:t> </w:t>
      </w:r>
      <w:r>
        <w:rPr>
          <w:sz w:val="20"/>
        </w:rPr>
        <w:t>provide</w:t>
      </w:r>
      <w:r>
        <w:rPr>
          <w:spacing w:val="-12"/>
          <w:sz w:val="20"/>
        </w:rPr>
        <w:t> </w:t>
      </w:r>
      <w:r>
        <w:rPr>
          <w:sz w:val="20"/>
        </w:rPr>
        <w:t>psychosocial</w:t>
      </w:r>
      <w:r>
        <w:rPr>
          <w:spacing w:val="-13"/>
          <w:sz w:val="20"/>
        </w:rPr>
        <w:t> </w:t>
      </w:r>
      <w:r>
        <w:rPr>
          <w:sz w:val="20"/>
        </w:rPr>
        <w:t>support</w:t>
      </w:r>
      <w:r>
        <w:rPr>
          <w:spacing w:val="-8"/>
          <w:sz w:val="20"/>
        </w:rPr>
        <w:t> </w:t>
      </w:r>
      <w:r>
        <w:rPr>
          <w:sz w:val="20"/>
        </w:rPr>
        <w:t>to</w:t>
      </w:r>
      <w:r>
        <w:rPr>
          <w:spacing w:val="-13"/>
          <w:sz w:val="20"/>
        </w:rPr>
        <w:t> </w:t>
      </w:r>
      <w:r>
        <w:rPr>
          <w:sz w:val="20"/>
        </w:rPr>
        <w:t>victims</w:t>
      </w:r>
      <w:r>
        <w:rPr>
          <w:spacing w:val="-10"/>
          <w:sz w:val="20"/>
        </w:rPr>
        <w:t> </w:t>
      </w:r>
      <w:r>
        <w:rPr>
          <w:sz w:val="20"/>
        </w:rPr>
        <w:t>and</w:t>
      </w:r>
      <w:r>
        <w:rPr>
          <w:spacing w:val="-9"/>
          <w:sz w:val="20"/>
        </w:rPr>
        <w:t> </w:t>
      </w:r>
      <w:r>
        <w:rPr>
          <w:sz w:val="20"/>
        </w:rPr>
        <w:t>witnesses. The resources are hired through individual contractor agreements. The level of expertise required is equivalent to a P-2 professional. The total estimated duration of the</w:t>
      </w:r>
      <w:r>
        <w:rPr>
          <w:spacing w:val="-2"/>
          <w:sz w:val="20"/>
        </w:rPr>
        <w:t> </w:t>
      </w:r>
      <w:r>
        <w:rPr>
          <w:sz w:val="20"/>
        </w:rPr>
        <w:t>engagement is</w:t>
      </w:r>
      <w:r>
        <w:rPr>
          <w:spacing w:val="-13"/>
          <w:sz w:val="20"/>
        </w:rPr>
        <w:t> </w:t>
      </w:r>
      <w:r>
        <w:rPr>
          <w:sz w:val="20"/>
        </w:rPr>
        <w:t>12</w:t>
      </w:r>
      <w:r>
        <w:rPr>
          <w:spacing w:val="-12"/>
          <w:sz w:val="20"/>
        </w:rPr>
        <w:t> </w:t>
      </w:r>
      <w:r>
        <w:rPr>
          <w:sz w:val="20"/>
        </w:rPr>
        <w:t>months</w:t>
      </w:r>
      <w:r>
        <w:rPr>
          <w:spacing w:val="-13"/>
          <w:sz w:val="20"/>
        </w:rPr>
        <w:t> </w:t>
      </w:r>
      <w:r>
        <w:rPr>
          <w:sz w:val="20"/>
        </w:rPr>
        <w:t>for</w:t>
      </w:r>
      <w:r>
        <w:rPr>
          <w:spacing w:val="-12"/>
          <w:sz w:val="20"/>
        </w:rPr>
        <w:t> </w:t>
      </w:r>
      <w:r>
        <w:rPr>
          <w:sz w:val="20"/>
        </w:rPr>
        <w:t>2023.</w:t>
      </w:r>
      <w:r>
        <w:rPr>
          <w:spacing w:val="-13"/>
          <w:sz w:val="20"/>
        </w:rPr>
        <w:t> </w:t>
      </w:r>
      <w:r>
        <w:rPr>
          <w:sz w:val="20"/>
        </w:rPr>
        <w:t>For</w:t>
      </w:r>
      <w:r>
        <w:rPr>
          <w:spacing w:val="-12"/>
          <w:sz w:val="20"/>
        </w:rPr>
        <w:t> </w:t>
      </w:r>
      <w:r>
        <w:rPr>
          <w:sz w:val="20"/>
        </w:rPr>
        <w:t>budgetary</w:t>
      </w:r>
      <w:r>
        <w:rPr>
          <w:spacing w:val="-13"/>
          <w:sz w:val="20"/>
        </w:rPr>
        <w:t> </w:t>
      </w:r>
      <w:r>
        <w:rPr>
          <w:sz w:val="20"/>
        </w:rPr>
        <w:t>purposes,</w:t>
      </w:r>
      <w:r>
        <w:rPr>
          <w:spacing w:val="-12"/>
          <w:sz w:val="20"/>
        </w:rPr>
        <w:t> </w:t>
      </w:r>
      <w:r>
        <w:rPr>
          <w:sz w:val="20"/>
        </w:rPr>
        <w:t>the</w:t>
      </w:r>
      <w:r>
        <w:rPr>
          <w:spacing w:val="-10"/>
          <w:sz w:val="20"/>
        </w:rPr>
        <w:t> </w:t>
      </w:r>
      <w:r>
        <w:rPr>
          <w:sz w:val="20"/>
        </w:rPr>
        <w:t>request</w:t>
      </w:r>
      <w:r>
        <w:rPr>
          <w:spacing w:val="-12"/>
          <w:sz w:val="20"/>
        </w:rPr>
        <w:t> </w:t>
      </w:r>
      <w:r>
        <w:rPr>
          <w:sz w:val="20"/>
        </w:rPr>
        <w:t>is</w:t>
      </w:r>
      <w:r>
        <w:rPr>
          <w:spacing w:val="-13"/>
          <w:sz w:val="20"/>
        </w:rPr>
        <w:t> </w:t>
      </w:r>
      <w:r>
        <w:rPr>
          <w:sz w:val="20"/>
        </w:rPr>
        <w:t>presented</w:t>
      </w:r>
      <w:r>
        <w:rPr>
          <w:spacing w:val="-12"/>
          <w:sz w:val="20"/>
        </w:rPr>
        <w:t> </w:t>
      </w:r>
      <w:r>
        <w:rPr>
          <w:sz w:val="20"/>
        </w:rPr>
        <w:t>as</w:t>
      </w:r>
      <w:r>
        <w:rPr>
          <w:spacing w:val="-10"/>
          <w:sz w:val="20"/>
        </w:rPr>
        <w:t> </w:t>
      </w:r>
      <w:r>
        <w:rPr>
          <w:sz w:val="20"/>
        </w:rPr>
        <w:t>one</w:t>
      </w:r>
      <w:r>
        <w:rPr>
          <w:spacing w:val="-12"/>
          <w:sz w:val="20"/>
        </w:rPr>
        <w:t> </w:t>
      </w:r>
      <w:r>
        <w:rPr>
          <w:sz w:val="20"/>
        </w:rPr>
        <w:t>line.</w:t>
      </w:r>
      <w:r>
        <w:rPr>
          <w:spacing w:val="-11"/>
          <w:sz w:val="20"/>
        </w:rPr>
        <w:t> </w:t>
      </w:r>
      <w:r>
        <w:rPr>
          <w:sz w:val="20"/>
        </w:rPr>
        <w:t>The</w:t>
      </w:r>
      <w:r>
        <w:rPr>
          <w:spacing w:val="-11"/>
          <w:sz w:val="20"/>
        </w:rPr>
        <w:t> </w:t>
      </w:r>
      <w:r>
        <w:rPr>
          <w:sz w:val="20"/>
        </w:rPr>
        <w:t>funds requested are an increase on previous years (previously 6 months) due to a significant increase in the number of vulnerable and traumatized witnesses the Office anticipates to interact with.</w:t>
      </w:r>
    </w:p>
    <w:p>
      <w:pPr>
        <w:pStyle w:val="ListParagraph"/>
        <w:numPr>
          <w:ilvl w:val="0"/>
          <w:numId w:val="4"/>
        </w:numPr>
        <w:tabs>
          <w:tab w:pos="2967" w:val="left" w:leader="none"/>
        </w:tabs>
        <w:spacing w:line="240" w:lineRule="auto" w:before="124" w:after="0"/>
        <w:ind w:left="2246" w:right="2241" w:firstLine="0"/>
        <w:jc w:val="both"/>
        <w:rPr>
          <w:sz w:val="20"/>
        </w:rPr>
      </w:pPr>
      <w:r>
        <w:rPr>
          <w:sz w:val="20"/>
        </w:rPr>
        <w:t>The opening of new situations combined with an increased field presence requires an increased capacity to undertake field operations and witness management activities. The reorganization of POS (ORSU and PSU) has optimized the allocation of resources, and redeployment of positions from one geographical location to another (where feasible) has minimized the need for additional resources. However within the SPU, an additional field resource</w:t>
      </w:r>
      <w:r>
        <w:rPr>
          <w:spacing w:val="-13"/>
          <w:sz w:val="20"/>
        </w:rPr>
        <w:t> </w:t>
      </w:r>
      <w:r>
        <w:rPr>
          <w:sz w:val="20"/>
        </w:rPr>
        <w:t>is</w:t>
      </w:r>
      <w:r>
        <w:rPr>
          <w:spacing w:val="-12"/>
          <w:sz w:val="20"/>
        </w:rPr>
        <w:t> </w:t>
      </w:r>
      <w:r>
        <w:rPr>
          <w:sz w:val="20"/>
        </w:rPr>
        <w:t>required</w:t>
      </w:r>
      <w:r>
        <w:rPr>
          <w:spacing w:val="-13"/>
          <w:sz w:val="20"/>
        </w:rPr>
        <w:t> </w:t>
      </w:r>
      <w:r>
        <w:rPr>
          <w:sz w:val="20"/>
        </w:rPr>
        <w:t>to</w:t>
      </w:r>
      <w:r>
        <w:rPr>
          <w:spacing w:val="-12"/>
          <w:sz w:val="20"/>
        </w:rPr>
        <w:t> </w:t>
      </w:r>
      <w:r>
        <w:rPr>
          <w:sz w:val="20"/>
        </w:rPr>
        <w:t>cover</w:t>
      </w:r>
      <w:r>
        <w:rPr>
          <w:spacing w:val="-13"/>
          <w:sz w:val="20"/>
        </w:rPr>
        <w:t> </w:t>
      </w:r>
      <w:r>
        <w:rPr>
          <w:sz w:val="20"/>
        </w:rPr>
        <w:t>witness</w:t>
      </w:r>
      <w:r>
        <w:rPr>
          <w:spacing w:val="-12"/>
          <w:sz w:val="20"/>
        </w:rPr>
        <w:t> </w:t>
      </w:r>
      <w:r>
        <w:rPr>
          <w:sz w:val="20"/>
        </w:rPr>
        <w:t>management</w:t>
      </w:r>
      <w:r>
        <w:rPr>
          <w:spacing w:val="-13"/>
          <w:sz w:val="20"/>
        </w:rPr>
        <w:t> </w:t>
      </w:r>
      <w:r>
        <w:rPr>
          <w:sz w:val="20"/>
        </w:rPr>
        <w:t>for</w:t>
      </w:r>
      <w:r>
        <w:rPr>
          <w:spacing w:val="-12"/>
          <w:sz w:val="20"/>
        </w:rPr>
        <w:t> </w:t>
      </w:r>
      <w:r>
        <w:rPr>
          <w:sz w:val="20"/>
        </w:rPr>
        <w:t>the</w:t>
      </w:r>
      <w:r>
        <w:rPr>
          <w:spacing w:val="-13"/>
          <w:sz w:val="20"/>
        </w:rPr>
        <w:t> </w:t>
      </w:r>
      <w:r>
        <w:rPr>
          <w:sz w:val="20"/>
        </w:rPr>
        <w:t>Bangladesh/Myanmar</w:t>
      </w:r>
      <w:r>
        <w:rPr>
          <w:spacing w:val="-12"/>
          <w:sz w:val="20"/>
        </w:rPr>
        <w:t> </w:t>
      </w:r>
      <w:r>
        <w:rPr>
          <w:sz w:val="20"/>
        </w:rPr>
        <w:t>investigation as well as supporting other regional activities – this will consist of:</w:t>
      </w:r>
    </w:p>
    <w:p>
      <w:pPr>
        <w:pStyle w:val="ListParagraph"/>
        <w:numPr>
          <w:ilvl w:val="0"/>
          <w:numId w:val="4"/>
        </w:numPr>
        <w:tabs>
          <w:tab w:pos="2967" w:val="left" w:leader="none"/>
        </w:tabs>
        <w:spacing w:line="240" w:lineRule="auto" w:before="118" w:after="0"/>
        <w:ind w:left="2967" w:right="0" w:hanging="721"/>
        <w:jc w:val="both"/>
        <w:rPr>
          <w:sz w:val="20"/>
        </w:rPr>
      </w:pPr>
      <w:r>
        <w:rPr>
          <w:sz w:val="20"/>
        </w:rPr>
        <w:t>One</w:t>
      </w:r>
      <w:r>
        <w:rPr>
          <w:spacing w:val="-9"/>
          <w:sz w:val="20"/>
        </w:rPr>
        <w:t> </w:t>
      </w:r>
      <w:r>
        <w:rPr>
          <w:i/>
          <w:sz w:val="20"/>
        </w:rPr>
        <w:t>Protection</w:t>
      </w:r>
      <w:r>
        <w:rPr>
          <w:i/>
          <w:spacing w:val="-10"/>
          <w:sz w:val="20"/>
        </w:rPr>
        <w:t> </w:t>
      </w:r>
      <w:r>
        <w:rPr>
          <w:i/>
          <w:sz w:val="20"/>
        </w:rPr>
        <w:t>Strategies</w:t>
      </w:r>
      <w:r>
        <w:rPr>
          <w:i/>
          <w:spacing w:val="-7"/>
          <w:sz w:val="20"/>
        </w:rPr>
        <w:t> </w:t>
      </w:r>
      <w:r>
        <w:rPr>
          <w:i/>
          <w:sz w:val="20"/>
        </w:rPr>
        <w:t>Assistant</w:t>
      </w:r>
      <w:r>
        <w:rPr>
          <w:i/>
          <w:spacing w:val="-5"/>
          <w:sz w:val="20"/>
        </w:rPr>
        <w:t> </w:t>
      </w:r>
      <w:r>
        <w:rPr>
          <w:sz w:val="20"/>
        </w:rPr>
        <w:t>(GS-</w:t>
      </w:r>
      <w:r>
        <w:rPr>
          <w:spacing w:val="-5"/>
          <w:sz w:val="20"/>
        </w:rPr>
        <w:t>OL)</w:t>
      </w:r>
    </w:p>
    <w:p>
      <w:pPr>
        <w:pStyle w:val="ListParagraph"/>
        <w:numPr>
          <w:ilvl w:val="0"/>
          <w:numId w:val="4"/>
        </w:numPr>
        <w:tabs>
          <w:tab w:pos="2967" w:val="left" w:leader="none"/>
        </w:tabs>
        <w:spacing w:line="240" w:lineRule="auto" w:before="121" w:after="0"/>
        <w:ind w:left="2246" w:right="2246" w:firstLine="0"/>
        <w:jc w:val="both"/>
        <w:rPr>
          <w:sz w:val="20"/>
        </w:rPr>
      </w:pPr>
      <w:r>
        <w:rPr>
          <w:sz w:val="20"/>
        </w:rPr>
        <w:t>Within the Field Operations Unit, similar to the SPU, while resources have been reorganized</w:t>
      </w:r>
      <w:r>
        <w:rPr>
          <w:spacing w:val="-4"/>
          <w:sz w:val="20"/>
        </w:rPr>
        <w:t> </w:t>
      </w:r>
      <w:r>
        <w:rPr>
          <w:sz w:val="20"/>
        </w:rPr>
        <w:t>and</w:t>
      </w:r>
      <w:r>
        <w:rPr>
          <w:spacing w:val="-4"/>
          <w:sz w:val="20"/>
        </w:rPr>
        <w:t> </w:t>
      </w:r>
      <w:r>
        <w:rPr>
          <w:sz w:val="20"/>
        </w:rPr>
        <w:t>redeployed to</w:t>
      </w:r>
      <w:r>
        <w:rPr>
          <w:spacing w:val="-4"/>
          <w:sz w:val="20"/>
        </w:rPr>
        <w:t> </w:t>
      </w:r>
      <w:r>
        <w:rPr>
          <w:sz w:val="20"/>
        </w:rPr>
        <w:t>ensure the</w:t>
      </w:r>
      <w:r>
        <w:rPr>
          <w:spacing w:val="-2"/>
          <w:sz w:val="20"/>
        </w:rPr>
        <w:t> </w:t>
      </w:r>
      <w:r>
        <w:rPr>
          <w:sz w:val="20"/>
        </w:rPr>
        <w:t>most</w:t>
      </w:r>
      <w:r>
        <w:rPr>
          <w:spacing w:val="-2"/>
          <w:sz w:val="20"/>
        </w:rPr>
        <w:t> </w:t>
      </w:r>
      <w:r>
        <w:rPr>
          <w:sz w:val="20"/>
        </w:rPr>
        <w:t>efficient use</w:t>
      </w:r>
      <w:r>
        <w:rPr>
          <w:spacing w:val="-7"/>
          <w:sz w:val="20"/>
        </w:rPr>
        <w:t> </w:t>
      </w:r>
      <w:r>
        <w:rPr>
          <w:sz w:val="20"/>
        </w:rPr>
        <w:t>of the staff,</w:t>
      </w:r>
      <w:r>
        <w:rPr>
          <w:spacing w:val="-1"/>
          <w:sz w:val="20"/>
        </w:rPr>
        <w:t> </w:t>
      </w:r>
      <w:r>
        <w:rPr>
          <w:sz w:val="20"/>
        </w:rPr>
        <w:t>the increase</w:t>
      </w:r>
      <w:r>
        <w:rPr>
          <w:spacing w:val="-2"/>
          <w:sz w:val="20"/>
        </w:rPr>
        <w:t> </w:t>
      </w:r>
      <w:r>
        <w:rPr>
          <w:sz w:val="20"/>
        </w:rPr>
        <w:t>in</w:t>
      </w:r>
      <w:r>
        <w:rPr>
          <w:spacing w:val="-4"/>
          <w:sz w:val="20"/>
        </w:rPr>
        <w:t> </w:t>
      </w:r>
      <w:r>
        <w:rPr>
          <w:sz w:val="20"/>
        </w:rPr>
        <w:t>both geographical</w:t>
      </w:r>
      <w:r>
        <w:rPr>
          <w:spacing w:val="-8"/>
          <w:sz w:val="20"/>
        </w:rPr>
        <w:t> </w:t>
      </w:r>
      <w:r>
        <w:rPr>
          <w:sz w:val="20"/>
        </w:rPr>
        <w:t>spread</w:t>
      </w:r>
      <w:r>
        <w:rPr>
          <w:spacing w:val="-9"/>
          <w:sz w:val="20"/>
        </w:rPr>
        <w:t> </w:t>
      </w:r>
      <w:r>
        <w:rPr>
          <w:sz w:val="20"/>
        </w:rPr>
        <w:t>and</w:t>
      </w:r>
      <w:r>
        <w:rPr>
          <w:spacing w:val="-9"/>
          <w:sz w:val="20"/>
        </w:rPr>
        <w:t> </w:t>
      </w:r>
      <w:r>
        <w:rPr>
          <w:sz w:val="20"/>
        </w:rPr>
        <w:t>numbers</w:t>
      </w:r>
      <w:r>
        <w:rPr>
          <w:spacing w:val="-6"/>
          <w:sz w:val="20"/>
        </w:rPr>
        <w:t> </w:t>
      </w:r>
      <w:r>
        <w:rPr>
          <w:sz w:val="20"/>
        </w:rPr>
        <w:t>of</w:t>
      </w:r>
      <w:r>
        <w:rPr>
          <w:spacing w:val="-9"/>
          <w:sz w:val="20"/>
        </w:rPr>
        <w:t> </w:t>
      </w:r>
      <w:r>
        <w:rPr>
          <w:sz w:val="20"/>
        </w:rPr>
        <w:t>staff</w:t>
      </w:r>
      <w:r>
        <w:rPr>
          <w:spacing w:val="-9"/>
          <w:sz w:val="20"/>
        </w:rPr>
        <w:t> </w:t>
      </w:r>
      <w:r>
        <w:rPr>
          <w:sz w:val="20"/>
        </w:rPr>
        <w:t>deployed</w:t>
      </w:r>
      <w:r>
        <w:rPr>
          <w:spacing w:val="-9"/>
          <w:sz w:val="20"/>
        </w:rPr>
        <w:t> </w:t>
      </w:r>
      <w:r>
        <w:rPr>
          <w:sz w:val="20"/>
        </w:rPr>
        <w:t>to</w:t>
      </w:r>
      <w:r>
        <w:rPr>
          <w:spacing w:val="-9"/>
          <w:sz w:val="20"/>
        </w:rPr>
        <w:t> </w:t>
      </w:r>
      <w:r>
        <w:rPr>
          <w:sz w:val="20"/>
        </w:rPr>
        <w:t>the</w:t>
      </w:r>
      <w:r>
        <w:rPr>
          <w:spacing w:val="-8"/>
          <w:sz w:val="20"/>
        </w:rPr>
        <w:t> </w:t>
      </w:r>
      <w:r>
        <w:rPr>
          <w:sz w:val="20"/>
        </w:rPr>
        <w:t>field</w:t>
      </w:r>
      <w:r>
        <w:rPr>
          <w:spacing w:val="-5"/>
          <w:sz w:val="20"/>
        </w:rPr>
        <w:t> </w:t>
      </w:r>
      <w:r>
        <w:rPr>
          <w:sz w:val="20"/>
        </w:rPr>
        <w:t>require</w:t>
      </w:r>
      <w:r>
        <w:rPr>
          <w:spacing w:val="-8"/>
          <w:sz w:val="20"/>
        </w:rPr>
        <w:t> </w:t>
      </w:r>
      <w:r>
        <w:rPr>
          <w:sz w:val="20"/>
        </w:rPr>
        <w:t>an</w:t>
      </w:r>
      <w:r>
        <w:rPr>
          <w:spacing w:val="-9"/>
          <w:sz w:val="20"/>
        </w:rPr>
        <w:t> </w:t>
      </w:r>
      <w:r>
        <w:rPr>
          <w:sz w:val="20"/>
        </w:rPr>
        <w:t>additional</w:t>
      </w:r>
      <w:r>
        <w:rPr>
          <w:spacing w:val="-8"/>
          <w:sz w:val="20"/>
        </w:rPr>
        <w:t> </w:t>
      </w:r>
      <w:r>
        <w:rPr>
          <w:sz w:val="20"/>
        </w:rPr>
        <w:t>resource to ensure operations are adequately covered. As such an additional position is requested.</w:t>
      </w:r>
    </w:p>
    <w:p>
      <w:pPr>
        <w:pStyle w:val="ListParagraph"/>
        <w:numPr>
          <w:ilvl w:val="0"/>
          <w:numId w:val="4"/>
        </w:numPr>
        <w:tabs>
          <w:tab w:pos="2967" w:val="left" w:leader="none"/>
        </w:tabs>
        <w:spacing w:line="240" w:lineRule="auto" w:before="122" w:after="0"/>
        <w:ind w:left="2967" w:right="0" w:hanging="721"/>
        <w:jc w:val="both"/>
        <w:rPr>
          <w:sz w:val="20"/>
        </w:rPr>
      </w:pPr>
      <w:r>
        <w:rPr>
          <w:sz w:val="20"/>
        </w:rPr>
        <w:t>One</w:t>
      </w:r>
      <w:r>
        <w:rPr>
          <w:spacing w:val="-8"/>
          <w:sz w:val="20"/>
        </w:rPr>
        <w:t> </w:t>
      </w:r>
      <w:r>
        <w:rPr>
          <w:i/>
          <w:sz w:val="20"/>
        </w:rPr>
        <w:t>Field</w:t>
      </w:r>
      <w:r>
        <w:rPr>
          <w:i/>
          <w:spacing w:val="-10"/>
          <w:sz w:val="20"/>
        </w:rPr>
        <w:t> </w:t>
      </w:r>
      <w:r>
        <w:rPr>
          <w:i/>
          <w:sz w:val="20"/>
        </w:rPr>
        <w:t>Operations</w:t>
      </w:r>
      <w:r>
        <w:rPr>
          <w:i/>
          <w:spacing w:val="-6"/>
          <w:sz w:val="20"/>
        </w:rPr>
        <w:t> </w:t>
      </w:r>
      <w:r>
        <w:rPr>
          <w:i/>
          <w:sz w:val="20"/>
        </w:rPr>
        <w:t>Coordinator</w:t>
      </w:r>
      <w:r>
        <w:rPr>
          <w:i/>
          <w:spacing w:val="-3"/>
          <w:sz w:val="20"/>
        </w:rPr>
        <w:t> </w:t>
      </w:r>
      <w:r>
        <w:rPr>
          <w:sz w:val="20"/>
        </w:rPr>
        <w:t>(GS-</w:t>
      </w:r>
      <w:r>
        <w:rPr>
          <w:spacing w:val="-5"/>
          <w:sz w:val="20"/>
        </w:rPr>
        <w:t>OL)</w:t>
      </w:r>
    </w:p>
    <w:p>
      <w:pPr>
        <w:pStyle w:val="ListParagraph"/>
        <w:numPr>
          <w:ilvl w:val="0"/>
          <w:numId w:val="4"/>
        </w:numPr>
        <w:tabs>
          <w:tab w:pos="2967" w:val="left" w:leader="none"/>
        </w:tabs>
        <w:spacing w:line="240" w:lineRule="auto" w:before="115" w:after="0"/>
        <w:ind w:left="2246" w:right="2239" w:firstLine="0"/>
        <w:jc w:val="both"/>
        <w:rPr>
          <w:sz w:val="20"/>
        </w:rPr>
      </w:pPr>
      <w:r>
        <w:rPr>
          <w:sz w:val="20"/>
        </w:rPr>
        <w:t>In keeping with its continuous assessment of resource needs framed against the constantly evolving service demands as preliminary examinations and situations evolve through the phases, LSU has reviewed its current posts and determined that the following changes</w:t>
      </w:r>
      <w:r>
        <w:rPr>
          <w:spacing w:val="-1"/>
          <w:sz w:val="20"/>
        </w:rPr>
        <w:t> </w:t>
      </w:r>
      <w:r>
        <w:rPr>
          <w:sz w:val="20"/>
        </w:rPr>
        <w:t>should</w:t>
      </w:r>
      <w:r>
        <w:rPr>
          <w:spacing w:val="-5"/>
          <w:sz w:val="20"/>
        </w:rPr>
        <w:t> </w:t>
      </w:r>
      <w:r>
        <w:rPr>
          <w:sz w:val="20"/>
        </w:rPr>
        <w:t>be</w:t>
      </w:r>
      <w:r>
        <w:rPr>
          <w:spacing w:val="-3"/>
          <w:sz w:val="20"/>
        </w:rPr>
        <w:t> </w:t>
      </w:r>
      <w:r>
        <w:rPr>
          <w:sz w:val="20"/>
        </w:rPr>
        <w:t>introduced.</w:t>
      </w:r>
      <w:r>
        <w:rPr>
          <w:spacing w:val="-2"/>
          <w:sz w:val="20"/>
        </w:rPr>
        <w:t> </w:t>
      </w:r>
      <w:r>
        <w:rPr>
          <w:sz w:val="20"/>
        </w:rPr>
        <w:t>The</w:t>
      </w:r>
      <w:r>
        <w:rPr>
          <w:spacing w:val="-3"/>
          <w:sz w:val="20"/>
        </w:rPr>
        <w:t> </w:t>
      </w:r>
      <w:r>
        <w:rPr>
          <w:sz w:val="20"/>
        </w:rPr>
        <w:t>proposed</w:t>
      </w:r>
      <w:r>
        <w:rPr>
          <w:spacing w:val="-5"/>
          <w:sz w:val="20"/>
        </w:rPr>
        <w:t> </w:t>
      </w:r>
      <w:r>
        <w:rPr>
          <w:sz w:val="20"/>
        </w:rPr>
        <w:t>changes</w:t>
      </w:r>
      <w:r>
        <w:rPr>
          <w:spacing w:val="-1"/>
          <w:sz w:val="20"/>
        </w:rPr>
        <w:t> </w:t>
      </w:r>
      <w:r>
        <w:rPr>
          <w:sz w:val="20"/>
        </w:rPr>
        <w:t>will also address</w:t>
      </w:r>
      <w:r>
        <w:rPr>
          <w:spacing w:val="-1"/>
          <w:sz w:val="20"/>
        </w:rPr>
        <w:t> </w:t>
      </w:r>
      <w:r>
        <w:rPr>
          <w:sz w:val="20"/>
        </w:rPr>
        <w:t>and resolve the</w:t>
      </w:r>
      <w:r>
        <w:rPr>
          <w:spacing w:val="-3"/>
          <w:sz w:val="20"/>
        </w:rPr>
        <w:t> </w:t>
      </w:r>
      <w:r>
        <w:rPr>
          <w:sz w:val="20"/>
        </w:rPr>
        <w:t>issue of the utilization of unapproved GTAs. These changes also come in response to the commentary contained</w:t>
      </w:r>
      <w:r>
        <w:rPr>
          <w:spacing w:val="-5"/>
          <w:sz w:val="20"/>
        </w:rPr>
        <w:t> </w:t>
      </w:r>
      <w:r>
        <w:rPr>
          <w:sz w:val="20"/>
        </w:rPr>
        <w:t>in the IER report (paragraphs</w:t>
      </w:r>
      <w:r>
        <w:rPr>
          <w:spacing w:val="-1"/>
          <w:sz w:val="20"/>
        </w:rPr>
        <w:t> </w:t>
      </w:r>
      <w:r>
        <w:rPr>
          <w:sz w:val="20"/>
        </w:rPr>
        <w:t>181-183),</w:t>
      </w:r>
      <w:r>
        <w:rPr>
          <w:sz w:val="20"/>
          <w:vertAlign w:val="superscript"/>
        </w:rPr>
        <w:t>116</w:t>
      </w:r>
      <w:r>
        <w:rPr>
          <w:sz w:val="20"/>
          <w:vertAlign w:val="baseline"/>
        </w:rPr>
        <w:t> the</w:t>
      </w:r>
      <w:r>
        <w:rPr>
          <w:spacing w:val="-3"/>
          <w:sz w:val="20"/>
          <w:vertAlign w:val="baseline"/>
        </w:rPr>
        <w:t> </w:t>
      </w:r>
      <w:r>
        <w:rPr>
          <w:sz w:val="20"/>
          <w:vertAlign w:val="baseline"/>
        </w:rPr>
        <w:t>increased workload</w:t>
      </w:r>
      <w:r>
        <w:rPr>
          <w:spacing w:val="-5"/>
          <w:sz w:val="20"/>
          <w:vertAlign w:val="baseline"/>
        </w:rPr>
        <w:t> </w:t>
      </w:r>
      <w:r>
        <w:rPr>
          <w:sz w:val="20"/>
          <w:vertAlign w:val="baseline"/>
        </w:rPr>
        <w:t>at the</w:t>
      </w:r>
      <w:r>
        <w:rPr>
          <w:spacing w:val="-2"/>
          <w:sz w:val="20"/>
          <w:vertAlign w:val="baseline"/>
        </w:rPr>
        <w:t> </w:t>
      </w:r>
      <w:r>
        <w:rPr>
          <w:sz w:val="20"/>
          <w:vertAlign w:val="baseline"/>
        </w:rPr>
        <w:t>preliminary</w:t>
      </w:r>
      <w:r>
        <w:rPr>
          <w:spacing w:val="-8"/>
          <w:sz w:val="20"/>
          <w:vertAlign w:val="baseline"/>
        </w:rPr>
        <w:t> </w:t>
      </w:r>
      <w:r>
        <w:rPr>
          <w:sz w:val="20"/>
          <w:vertAlign w:val="baseline"/>
        </w:rPr>
        <w:t>examination</w:t>
      </w:r>
      <w:r>
        <w:rPr>
          <w:spacing w:val="-4"/>
          <w:sz w:val="20"/>
          <w:vertAlign w:val="baseline"/>
        </w:rPr>
        <w:t> </w:t>
      </w:r>
      <w:r>
        <w:rPr>
          <w:sz w:val="20"/>
          <w:vertAlign w:val="baseline"/>
        </w:rPr>
        <w:t>phase</w:t>
      </w:r>
      <w:r>
        <w:rPr>
          <w:spacing w:val="-2"/>
          <w:sz w:val="20"/>
          <w:vertAlign w:val="baseline"/>
        </w:rPr>
        <w:t> </w:t>
      </w:r>
      <w:r>
        <w:rPr>
          <w:sz w:val="20"/>
          <w:vertAlign w:val="baseline"/>
        </w:rPr>
        <w:t>and</w:t>
      </w:r>
      <w:r>
        <w:rPr>
          <w:spacing w:val="-4"/>
          <w:sz w:val="20"/>
          <w:vertAlign w:val="baseline"/>
        </w:rPr>
        <w:t> </w:t>
      </w:r>
      <w:r>
        <w:rPr>
          <w:sz w:val="20"/>
          <w:vertAlign w:val="baseline"/>
        </w:rPr>
        <w:t>the</w:t>
      </w:r>
      <w:r>
        <w:rPr>
          <w:spacing w:val="-2"/>
          <w:sz w:val="20"/>
          <w:vertAlign w:val="baseline"/>
        </w:rPr>
        <w:t> </w:t>
      </w:r>
      <w:r>
        <w:rPr>
          <w:sz w:val="20"/>
          <w:vertAlign w:val="baseline"/>
        </w:rPr>
        <w:t>lessons</w:t>
      </w:r>
      <w:r>
        <w:rPr>
          <w:spacing w:val="-5"/>
          <w:sz w:val="20"/>
          <w:vertAlign w:val="baseline"/>
        </w:rPr>
        <w:t> </w:t>
      </w:r>
      <w:r>
        <w:rPr>
          <w:sz w:val="20"/>
          <w:vertAlign w:val="baseline"/>
        </w:rPr>
        <w:t>learned,</w:t>
      </w:r>
      <w:r>
        <w:rPr>
          <w:spacing w:val="-6"/>
          <w:sz w:val="20"/>
          <w:vertAlign w:val="baseline"/>
        </w:rPr>
        <w:t> </w:t>
      </w:r>
      <w:r>
        <w:rPr>
          <w:sz w:val="20"/>
          <w:vertAlign w:val="baseline"/>
        </w:rPr>
        <w:t>and operational</w:t>
      </w:r>
      <w:r>
        <w:rPr>
          <w:spacing w:val="-2"/>
          <w:sz w:val="20"/>
          <w:vertAlign w:val="baseline"/>
        </w:rPr>
        <w:t> </w:t>
      </w:r>
      <w:r>
        <w:rPr>
          <w:sz w:val="20"/>
          <w:vertAlign w:val="baseline"/>
        </w:rPr>
        <w:t>changes</w:t>
      </w:r>
      <w:r>
        <w:rPr>
          <w:spacing w:val="-5"/>
          <w:sz w:val="20"/>
          <w:vertAlign w:val="baseline"/>
        </w:rPr>
        <w:t> </w:t>
      </w:r>
      <w:r>
        <w:rPr>
          <w:sz w:val="20"/>
          <w:vertAlign w:val="baseline"/>
        </w:rPr>
        <w:t>ensuing from the COVID-19 pandemic.</w:t>
      </w:r>
    </w:p>
    <w:p>
      <w:pPr>
        <w:pStyle w:val="ListParagraph"/>
        <w:numPr>
          <w:ilvl w:val="0"/>
          <w:numId w:val="4"/>
        </w:numPr>
        <w:tabs>
          <w:tab w:pos="3020" w:val="left" w:leader="none"/>
        </w:tabs>
        <w:spacing w:line="240" w:lineRule="auto" w:before="124" w:after="0"/>
        <w:ind w:left="2246" w:right="2241" w:firstLine="0"/>
        <w:jc w:val="both"/>
        <w:rPr>
          <w:sz w:val="20"/>
        </w:rPr>
      </w:pPr>
      <w:r>
        <w:rPr>
          <w:sz w:val="20"/>
        </w:rPr>
        <w:t>Following the submission of the applications for warrants of arrest in the Georgia situation in early 2022, it was determined that Georgian translation skills were no longer required in-house. Accordingly, it is proposed that the P-2 Associate Translator position providing Georgian translation be discontinued while the related P-3 Translator position would be repurposed to another language.</w:t>
      </w:r>
    </w:p>
    <w:p>
      <w:pPr>
        <w:pStyle w:val="ListParagraph"/>
        <w:numPr>
          <w:ilvl w:val="0"/>
          <w:numId w:val="4"/>
        </w:numPr>
        <w:tabs>
          <w:tab w:pos="2967" w:val="left" w:leader="none"/>
        </w:tabs>
        <w:spacing w:line="240" w:lineRule="auto" w:before="118" w:after="0"/>
        <w:ind w:left="2967" w:right="0" w:hanging="721"/>
        <w:jc w:val="both"/>
        <w:rPr>
          <w:sz w:val="20"/>
        </w:rPr>
      </w:pPr>
      <w:r>
        <w:rPr>
          <w:sz w:val="20"/>
        </w:rPr>
        <w:t>It</w:t>
      </w:r>
      <w:r>
        <w:rPr>
          <w:spacing w:val="-6"/>
          <w:sz w:val="20"/>
        </w:rPr>
        <w:t> </w:t>
      </w:r>
      <w:r>
        <w:rPr>
          <w:sz w:val="20"/>
        </w:rPr>
        <w:t>is</w:t>
      </w:r>
      <w:r>
        <w:rPr>
          <w:spacing w:val="-3"/>
          <w:sz w:val="20"/>
        </w:rPr>
        <w:t> </w:t>
      </w:r>
      <w:r>
        <w:rPr>
          <w:sz w:val="20"/>
        </w:rPr>
        <w:t>proposed</w:t>
      </w:r>
      <w:r>
        <w:rPr>
          <w:spacing w:val="-7"/>
          <w:sz w:val="20"/>
        </w:rPr>
        <w:t> </w:t>
      </w:r>
      <w:r>
        <w:rPr>
          <w:sz w:val="20"/>
        </w:rPr>
        <w:t>therefore</w:t>
      </w:r>
      <w:r>
        <w:rPr>
          <w:spacing w:val="-5"/>
          <w:sz w:val="20"/>
        </w:rPr>
        <w:t> </w:t>
      </w:r>
      <w:r>
        <w:rPr>
          <w:sz w:val="20"/>
        </w:rPr>
        <w:t>that</w:t>
      </w:r>
      <w:r>
        <w:rPr>
          <w:spacing w:val="-1"/>
          <w:sz w:val="20"/>
        </w:rPr>
        <w:t> </w:t>
      </w:r>
      <w:r>
        <w:rPr>
          <w:sz w:val="20"/>
        </w:rPr>
        <w:t>one</w:t>
      </w:r>
      <w:r>
        <w:rPr>
          <w:spacing w:val="-5"/>
          <w:sz w:val="20"/>
        </w:rPr>
        <w:t> </w:t>
      </w:r>
      <w:r>
        <w:rPr>
          <w:sz w:val="20"/>
        </w:rPr>
        <w:t>position</w:t>
      </w:r>
      <w:r>
        <w:rPr>
          <w:spacing w:val="-7"/>
          <w:sz w:val="20"/>
        </w:rPr>
        <w:t> </w:t>
      </w:r>
      <w:r>
        <w:rPr>
          <w:sz w:val="20"/>
        </w:rPr>
        <w:t>be </w:t>
      </w:r>
      <w:r>
        <w:rPr>
          <w:spacing w:val="-2"/>
          <w:sz w:val="20"/>
        </w:rPr>
        <w:t>discontinued:</w:t>
      </w:r>
    </w:p>
    <w:p>
      <w:pPr>
        <w:pStyle w:val="ListParagraph"/>
        <w:numPr>
          <w:ilvl w:val="0"/>
          <w:numId w:val="4"/>
        </w:numPr>
        <w:tabs>
          <w:tab w:pos="2967" w:val="left" w:leader="none"/>
        </w:tabs>
        <w:spacing w:line="240" w:lineRule="auto" w:before="120" w:after="0"/>
        <w:ind w:left="2967" w:right="0" w:hanging="721"/>
        <w:jc w:val="both"/>
        <w:rPr>
          <w:sz w:val="20"/>
        </w:rPr>
      </w:pPr>
      <w:r>
        <w:rPr>
          <w:sz w:val="20"/>
        </w:rPr>
        <w:t>One</w:t>
      </w:r>
      <w:r>
        <w:rPr>
          <w:spacing w:val="-9"/>
          <w:sz w:val="20"/>
        </w:rPr>
        <w:t> </w:t>
      </w:r>
      <w:r>
        <w:rPr>
          <w:i/>
          <w:sz w:val="20"/>
        </w:rPr>
        <w:t>Associate</w:t>
      </w:r>
      <w:r>
        <w:rPr>
          <w:i/>
          <w:spacing w:val="-4"/>
          <w:sz w:val="20"/>
        </w:rPr>
        <w:t> </w:t>
      </w:r>
      <w:r>
        <w:rPr>
          <w:i/>
          <w:sz w:val="20"/>
        </w:rPr>
        <w:t>Translator</w:t>
      </w:r>
      <w:r>
        <w:rPr>
          <w:i/>
          <w:spacing w:val="-11"/>
          <w:sz w:val="20"/>
        </w:rPr>
        <w:t> </w:t>
      </w:r>
      <w:r>
        <w:rPr>
          <w:i/>
          <w:sz w:val="20"/>
        </w:rPr>
        <w:t>(Georgian)</w:t>
      </w:r>
      <w:r>
        <w:rPr>
          <w:i/>
          <w:spacing w:val="-7"/>
          <w:sz w:val="20"/>
        </w:rPr>
        <w:t> </w:t>
      </w:r>
      <w:r>
        <w:rPr>
          <w:sz w:val="20"/>
        </w:rPr>
        <w:t>(P-</w:t>
      </w:r>
      <w:r>
        <w:rPr>
          <w:spacing w:val="-5"/>
          <w:sz w:val="20"/>
        </w:rPr>
        <w:t>2).</w:t>
      </w:r>
    </w:p>
    <w:p>
      <w:pPr>
        <w:pStyle w:val="ListParagraph"/>
        <w:numPr>
          <w:ilvl w:val="0"/>
          <w:numId w:val="4"/>
        </w:numPr>
        <w:tabs>
          <w:tab w:pos="2967" w:val="left" w:leader="none"/>
        </w:tabs>
        <w:spacing w:line="240" w:lineRule="auto" w:before="121" w:after="0"/>
        <w:ind w:left="2246" w:right="2239" w:firstLine="0"/>
        <w:jc w:val="both"/>
        <w:rPr>
          <w:sz w:val="20"/>
        </w:rPr>
      </w:pPr>
      <w:r>
        <w:rPr>
          <w:sz w:val="20"/>
        </w:rPr>
        <w:t>Further, with a view to the foreseen languages, but without attempting to cater for each</w:t>
      </w:r>
      <w:r>
        <w:rPr>
          <w:spacing w:val="-2"/>
          <w:sz w:val="20"/>
        </w:rPr>
        <w:t> </w:t>
      </w:r>
      <w:r>
        <w:rPr>
          <w:sz w:val="20"/>
        </w:rPr>
        <w:t>and</w:t>
      </w:r>
      <w:r>
        <w:rPr>
          <w:spacing w:val="-2"/>
          <w:sz w:val="20"/>
        </w:rPr>
        <w:t> </w:t>
      </w:r>
      <w:r>
        <w:rPr>
          <w:sz w:val="20"/>
        </w:rPr>
        <w:t>every</w:t>
      </w:r>
      <w:r>
        <w:rPr>
          <w:spacing w:val="-2"/>
          <w:sz w:val="20"/>
        </w:rPr>
        <w:t> </w:t>
      </w:r>
      <w:r>
        <w:rPr>
          <w:sz w:val="20"/>
        </w:rPr>
        <w:t>eventuality</w:t>
      </w:r>
      <w:r>
        <w:rPr>
          <w:spacing w:val="-2"/>
          <w:sz w:val="20"/>
        </w:rPr>
        <w:t> </w:t>
      </w:r>
      <w:r>
        <w:rPr>
          <w:sz w:val="20"/>
        </w:rPr>
        <w:t>through</w:t>
      </w:r>
      <w:r>
        <w:rPr>
          <w:spacing w:val="-2"/>
          <w:sz w:val="20"/>
        </w:rPr>
        <w:t> </w:t>
      </w:r>
      <w:r>
        <w:rPr>
          <w:sz w:val="20"/>
        </w:rPr>
        <w:t>the use of staff</w:t>
      </w:r>
      <w:r>
        <w:rPr>
          <w:spacing w:val="-1"/>
          <w:sz w:val="20"/>
        </w:rPr>
        <w:t> </w:t>
      </w:r>
      <w:r>
        <w:rPr>
          <w:sz w:val="20"/>
        </w:rPr>
        <w:t>positions, but also</w:t>
      </w:r>
      <w:r>
        <w:rPr>
          <w:spacing w:val="-2"/>
          <w:sz w:val="20"/>
        </w:rPr>
        <w:t> </w:t>
      </w:r>
      <w:r>
        <w:rPr>
          <w:sz w:val="20"/>
        </w:rPr>
        <w:t>mindful to</w:t>
      </w:r>
      <w:r>
        <w:rPr>
          <w:spacing w:val="-2"/>
          <w:sz w:val="20"/>
        </w:rPr>
        <w:t> </w:t>
      </w:r>
      <w:r>
        <w:rPr>
          <w:sz w:val="20"/>
        </w:rPr>
        <w:t>create core capacity,</w:t>
      </w:r>
      <w:r>
        <w:rPr>
          <w:spacing w:val="-1"/>
          <w:sz w:val="20"/>
        </w:rPr>
        <w:t> </w:t>
      </w:r>
      <w:r>
        <w:rPr>
          <w:sz w:val="20"/>
        </w:rPr>
        <w:t>most</w:t>
      </w:r>
      <w:r>
        <w:rPr>
          <w:spacing w:val="-2"/>
          <w:sz w:val="20"/>
        </w:rPr>
        <w:t> </w:t>
      </w:r>
      <w:r>
        <w:rPr>
          <w:sz w:val="20"/>
        </w:rPr>
        <w:t>specifically for</w:t>
      </w:r>
      <w:r>
        <w:rPr>
          <w:spacing w:val="-4"/>
          <w:sz w:val="20"/>
        </w:rPr>
        <w:t> </w:t>
      </w:r>
      <w:r>
        <w:rPr>
          <w:sz w:val="20"/>
        </w:rPr>
        <w:t>the Ukraine</w:t>
      </w:r>
      <w:r>
        <w:rPr>
          <w:spacing w:val="-2"/>
          <w:sz w:val="20"/>
        </w:rPr>
        <w:t> </w:t>
      </w:r>
      <w:r>
        <w:rPr>
          <w:sz w:val="20"/>
        </w:rPr>
        <w:t>and</w:t>
      </w:r>
      <w:r>
        <w:rPr>
          <w:spacing w:val="-4"/>
          <w:sz w:val="20"/>
        </w:rPr>
        <w:t> </w:t>
      </w:r>
      <w:r>
        <w:rPr>
          <w:sz w:val="20"/>
        </w:rPr>
        <w:t>Venezuela</w:t>
      </w:r>
      <w:r>
        <w:rPr>
          <w:spacing w:val="-2"/>
          <w:sz w:val="20"/>
        </w:rPr>
        <w:t> </w:t>
      </w:r>
      <w:r>
        <w:rPr>
          <w:sz w:val="20"/>
        </w:rPr>
        <w:t>teams,</w:t>
      </w:r>
      <w:r>
        <w:rPr>
          <w:spacing w:val="-1"/>
          <w:sz w:val="20"/>
        </w:rPr>
        <w:t> </w:t>
      </w:r>
      <w:r>
        <w:rPr>
          <w:sz w:val="20"/>
        </w:rPr>
        <w:t>and bolster support</w:t>
      </w:r>
      <w:r>
        <w:rPr>
          <w:spacing w:val="-2"/>
          <w:sz w:val="20"/>
        </w:rPr>
        <w:t> </w:t>
      </w:r>
      <w:r>
        <w:rPr>
          <w:sz w:val="20"/>
        </w:rPr>
        <w:t>for</w:t>
      </w:r>
      <w:r>
        <w:rPr>
          <w:spacing w:val="-3"/>
          <w:sz w:val="20"/>
        </w:rPr>
        <w:t> </w:t>
      </w:r>
      <w:r>
        <w:rPr>
          <w:sz w:val="20"/>
        </w:rPr>
        <w:t>the priority investigations, it is proposed that the following positions be created:</w:t>
      </w:r>
    </w:p>
    <w:p>
      <w:pPr>
        <w:pStyle w:val="ListParagraph"/>
        <w:numPr>
          <w:ilvl w:val="0"/>
          <w:numId w:val="12"/>
        </w:numPr>
        <w:tabs>
          <w:tab w:pos="3379" w:val="left" w:leader="none"/>
          <w:tab w:pos="3380" w:val="left" w:leader="none"/>
        </w:tabs>
        <w:spacing w:line="240" w:lineRule="auto" w:before="122" w:after="0"/>
        <w:ind w:left="3379" w:right="0" w:hanging="423"/>
        <w:jc w:val="left"/>
        <w:rPr>
          <w:sz w:val="20"/>
        </w:rPr>
      </w:pPr>
      <w:r>
        <w:rPr>
          <w:i/>
          <w:spacing w:val="-2"/>
          <w:sz w:val="20"/>
        </w:rPr>
        <w:t>Three</w:t>
      </w:r>
      <w:r>
        <w:rPr>
          <w:i/>
          <w:spacing w:val="4"/>
          <w:sz w:val="20"/>
        </w:rPr>
        <w:t> </w:t>
      </w:r>
      <w:r>
        <w:rPr>
          <w:i/>
          <w:spacing w:val="-2"/>
          <w:sz w:val="20"/>
        </w:rPr>
        <w:t>Interpreter/Translators</w:t>
      </w:r>
      <w:r>
        <w:rPr>
          <w:i/>
          <w:spacing w:val="4"/>
          <w:sz w:val="20"/>
        </w:rPr>
        <w:t> </w:t>
      </w:r>
      <w:r>
        <w:rPr>
          <w:spacing w:val="-2"/>
          <w:sz w:val="20"/>
        </w:rPr>
        <w:t>(UKR,</w:t>
      </w:r>
      <w:r>
        <w:rPr>
          <w:spacing w:val="-1"/>
          <w:sz w:val="20"/>
        </w:rPr>
        <w:t> </w:t>
      </w:r>
      <w:r>
        <w:rPr>
          <w:spacing w:val="-2"/>
          <w:sz w:val="20"/>
        </w:rPr>
        <w:t>VEN</w:t>
      </w:r>
      <w:r>
        <w:rPr>
          <w:spacing w:val="-5"/>
          <w:sz w:val="20"/>
        </w:rPr>
        <w:t> </w:t>
      </w:r>
      <w:r>
        <w:rPr>
          <w:spacing w:val="-2"/>
          <w:sz w:val="20"/>
        </w:rPr>
        <w:t>and</w:t>
      </w:r>
      <w:r>
        <w:rPr>
          <w:spacing w:val="-3"/>
          <w:sz w:val="20"/>
        </w:rPr>
        <w:t> </w:t>
      </w:r>
      <w:r>
        <w:rPr>
          <w:spacing w:val="-2"/>
          <w:sz w:val="20"/>
        </w:rPr>
        <w:t>DAR/LBY</w:t>
      </w:r>
      <w:r>
        <w:rPr>
          <w:sz w:val="20"/>
        </w:rPr>
        <w:t> </w:t>
      </w:r>
      <w:r>
        <w:rPr>
          <w:spacing w:val="-2"/>
          <w:sz w:val="20"/>
        </w:rPr>
        <w:t>situations)</w:t>
      </w:r>
      <w:r>
        <w:rPr>
          <w:spacing w:val="4"/>
          <w:sz w:val="20"/>
        </w:rPr>
        <w:t> </w:t>
      </w:r>
      <w:r>
        <w:rPr>
          <w:spacing w:val="-2"/>
          <w:sz w:val="20"/>
        </w:rPr>
        <w:t>(P-2);</w:t>
      </w:r>
      <w:r>
        <w:rPr>
          <w:spacing w:val="-2"/>
          <w:sz w:val="20"/>
          <w:vertAlign w:val="superscript"/>
        </w:rPr>
        <w:t>117</w:t>
      </w:r>
    </w:p>
    <w:p>
      <w:pPr>
        <w:pStyle w:val="ListParagraph"/>
        <w:numPr>
          <w:ilvl w:val="0"/>
          <w:numId w:val="12"/>
        </w:numPr>
        <w:tabs>
          <w:tab w:pos="3379" w:val="left" w:leader="none"/>
          <w:tab w:pos="3380" w:val="left" w:leader="none"/>
        </w:tabs>
        <w:spacing w:line="240" w:lineRule="auto" w:before="120" w:after="0"/>
        <w:ind w:left="3379" w:right="0" w:hanging="423"/>
        <w:jc w:val="left"/>
        <w:rPr>
          <w:sz w:val="20"/>
        </w:rPr>
      </w:pPr>
      <w:r>
        <w:rPr>
          <w:i/>
          <w:sz w:val="20"/>
        </w:rPr>
        <w:t>Eight</w:t>
      </w:r>
      <w:r>
        <w:rPr>
          <w:i/>
          <w:spacing w:val="-5"/>
          <w:sz w:val="20"/>
        </w:rPr>
        <w:t> </w:t>
      </w:r>
      <w:r>
        <w:rPr>
          <w:i/>
          <w:sz w:val="20"/>
        </w:rPr>
        <w:t>Language</w:t>
      </w:r>
      <w:r>
        <w:rPr>
          <w:i/>
          <w:spacing w:val="-8"/>
          <w:sz w:val="20"/>
        </w:rPr>
        <w:t> </w:t>
      </w:r>
      <w:r>
        <w:rPr>
          <w:i/>
          <w:sz w:val="20"/>
        </w:rPr>
        <w:t>Assistants</w:t>
      </w:r>
      <w:r>
        <w:rPr>
          <w:i/>
          <w:spacing w:val="-6"/>
          <w:sz w:val="20"/>
        </w:rPr>
        <w:t> </w:t>
      </w:r>
      <w:r>
        <w:rPr>
          <w:sz w:val="20"/>
        </w:rPr>
        <w:t>(various</w:t>
      </w:r>
      <w:r>
        <w:rPr>
          <w:spacing w:val="-6"/>
          <w:sz w:val="20"/>
        </w:rPr>
        <w:t> </w:t>
      </w:r>
      <w:r>
        <w:rPr>
          <w:sz w:val="20"/>
        </w:rPr>
        <w:t>situation</w:t>
      </w:r>
      <w:r>
        <w:rPr>
          <w:spacing w:val="-11"/>
          <w:sz w:val="20"/>
        </w:rPr>
        <w:t> </w:t>
      </w:r>
      <w:r>
        <w:rPr>
          <w:sz w:val="20"/>
        </w:rPr>
        <w:t>languages)</w:t>
      </w:r>
      <w:r>
        <w:rPr>
          <w:spacing w:val="-10"/>
          <w:sz w:val="20"/>
        </w:rPr>
        <w:t> </w:t>
      </w:r>
      <w:r>
        <w:rPr>
          <w:sz w:val="20"/>
        </w:rPr>
        <w:t>(G-5);</w:t>
      </w:r>
      <w:r>
        <w:rPr>
          <w:spacing w:val="-8"/>
          <w:sz w:val="20"/>
        </w:rPr>
        <w:t> </w:t>
      </w:r>
      <w:r>
        <w:rPr>
          <w:spacing w:val="-5"/>
          <w:sz w:val="20"/>
        </w:rPr>
        <w:t>and</w:t>
      </w:r>
    </w:p>
    <w:p>
      <w:pPr>
        <w:pStyle w:val="ListParagraph"/>
        <w:numPr>
          <w:ilvl w:val="0"/>
          <w:numId w:val="12"/>
        </w:numPr>
        <w:tabs>
          <w:tab w:pos="3379" w:val="left" w:leader="none"/>
          <w:tab w:pos="3380" w:val="left" w:leader="none"/>
        </w:tabs>
        <w:spacing w:line="240" w:lineRule="auto" w:before="120" w:after="0"/>
        <w:ind w:left="3379" w:right="0" w:hanging="423"/>
        <w:jc w:val="left"/>
        <w:rPr>
          <w:sz w:val="20"/>
        </w:rPr>
      </w:pPr>
      <w:r>
        <w:rPr>
          <w:i/>
          <w:sz w:val="20"/>
        </w:rPr>
        <w:t>Seven</w:t>
      </w:r>
      <w:r>
        <w:rPr>
          <w:i/>
          <w:spacing w:val="-6"/>
          <w:sz w:val="20"/>
        </w:rPr>
        <w:t> </w:t>
      </w:r>
      <w:r>
        <w:rPr>
          <w:i/>
          <w:sz w:val="20"/>
        </w:rPr>
        <w:t>Transcript</w:t>
      </w:r>
      <w:r>
        <w:rPr>
          <w:i/>
          <w:spacing w:val="-8"/>
          <w:sz w:val="20"/>
        </w:rPr>
        <w:t> </w:t>
      </w:r>
      <w:r>
        <w:rPr>
          <w:i/>
          <w:sz w:val="20"/>
        </w:rPr>
        <w:t>Reviewers</w:t>
      </w:r>
      <w:r>
        <w:rPr>
          <w:i/>
          <w:spacing w:val="-9"/>
          <w:sz w:val="20"/>
        </w:rPr>
        <w:t> </w:t>
      </w:r>
      <w:r>
        <w:rPr>
          <w:sz w:val="20"/>
        </w:rPr>
        <w:t>(various</w:t>
      </w:r>
      <w:r>
        <w:rPr>
          <w:spacing w:val="-11"/>
          <w:sz w:val="20"/>
        </w:rPr>
        <w:t> </w:t>
      </w:r>
      <w:r>
        <w:rPr>
          <w:sz w:val="20"/>
        </w:rPr>
        <w:t>situation</w:t>
      </w:r>
      <w:r>
        <w:rPr>
          <w:spacing w:val="-10"/>
          <w:sz w:val="20"/>
        </w:rPr>
        <w:t> </w:t>
      </w:r>
      <w:r>
        <w:rPr>
          <w:sz w:val="20"/>
        </w:rPr>
        <w:t>languages)</w:t>
      </w:r>
      <w:r>
        <w:rPr>
          <w:spacing w:val="-9"/>
          <w:sz w:val="20"/>
        </w:rPr>
        <w:t> </w:t>
      </w:r>
      <w:r>
        <w:rPr>
          <w:sz w:val="20"/>
        </w:rPr>
        <w:t>(G-</w:t>
      </w:r>
      <w:r>
        <w:rPr>
          <w:spacing w:val="-5"/>
          <w:sz w:val="20"/>
        </w:rPr>
        <w:t>4).</w:t>
      </w:r>
    </w:p>
    <w:p>
      <w:pPr>
        <w:pStyle w:val="ListParagraph"/>
        <w:numPr>
          <w:ilvl w:val="0"/>
          <w:numId w:val="4"/>
        </w:numPr>
        <w:tabs>
          <w:tab w:pos="2967" w:val="left" w:leader="none"/>
        </w:tabs>
        <w:spacing w:line="240" w:lineRule="auto" w:before="115" w:after="0"/>
        <w:ind w:left="2246" w:right="2236" w:firstLine="0"/>
        <w:jc w:val="both"/>
        <w:rPr>
          <w:sz w:val="20"/>
        </w:rPr>
      </w:pPr>
      <w:r>
        <w:rPr>
          <w:sz w:val="20"/>
        </w:rPr>
        <w:t>The three Interpreter/Translator positions are similarly requested for situations for which no support is currently budgeted (UKR and VEN) or for the priority situations (DAR/LBY). These</w:t>
      </w:r>
      <w:r>
        <w:rPr>
          <w:spacing w:val="-1"/>
          <w:sz w:val="20"/>
        </w:rPr>
        <w:t> </w:t>
      </w:r>
      <w:r>
        <w:rPr>
          <w:sz w:val="20"/>
        </w:rPr>
        <w:t>new roles</w:t>
      </w:r>
      <w:r>
        <w:rPr>
          <w:spacing w:val="-4"/>
          <w:sz w:val="20"/>
        </w:rPr>
        <w:t> </w:t>
      </w:r>
      <w:r>
        <w:rPr>
          <w:sz w:val="20"/>
        </w:rPr>
        <w:t>are</w:t>
      </w:r>
      <w:r>
        <w:rPr>
          <w:spacing w:val="-1"/>
          <w:sz w:val="20"/>
        </w:rPr>
        <w:t> </w:t>
      </w:r>
      <w:r>
        <w:rPr>
          <w:sz w:val="20"/>
        </w:rPr>
        <w:t>being</w:t>
      </w:r>
      <w:r>
        <w:rPr>
          <w:spacing w:val="-3"/>
          <w:sz w:val="20"/>
        </w:rPr>
        <w:t> </w:t>
      </w:r>
      <w:r>
        <w:rPr>
          <w:sz w:val="20"/>
        </w:rPr>
        <w:t>proposed</w:t>
      </w:r>
      <w:r>
        <w:rPr>
          <w:spacing w:val="-3"/>
          <w:sz w:val="20"/>
        </w:rPr>
        <w:t> </w:t>
      </w:r>
      <w:r>
        <w:rPr>
          <w:sz w:val="20"/>
        </w:rPr>
        <w:t>in</w:t>
      </w:r>
      <w:r>
        <w:rPr>
          <w:spacing w:val="-3"/>
          <w:sz w:val="20"/>
        </w:rPr>
        <w:t> </w:t>
      </w:r>
      <w:r>
        <w:rPr>
          <w:sz w:val="20"/>
        </w:rPr>
        <w:t>response</w:t>
      </w:r>
      <w:r>
        <w:rPr>
          <w:spacing w:val="-1"/>
          <w:sz w:val="20"/>
        </w:rPr>
        <w:t> </w:t>
      </w:r>
      <w:r>
        <w:rPr>
          <w:sz w:val="20"/>
        </w:rPr>
        <w:t>to</w:t>
      </w:r>
      <w:r>
        <w:rPr>
          <w:spacing w:val="-3"/>
          <w:sz w:val="20"/>
        </w:rPr>
        <w:t> </w:t>
      </w:r>
      <w:r>
        <w:rPr>
          <w:sz w:val="20"/>
        </w:rPr>
        <w:t>a</w:t>
      </w:r>
      <w:r>
        <w:rPr>
          <w:spacing w:val="-1"/>
          <w:sz w:val="20"/>
        </w:rPr>
        <w:t> </w:t>
      </w:r>
      <w:r>
        <w:rPr>
          <w:sz w:val="20"/>
        </w:rPr>
        <w:t>need</w:t>
      </w:r>
      <w:r>
        <w:rPr>
          <w:spacing w:val="-3"/>
          <w:sz w:val="20"/>
        </w:rPr>
        <w:t> </w:t>
      </w:r>
      <w:r>
        <w:rPr>
          <w:sz w:val="20"/>
        </w:rPr>
        <w:t>to</w:t>
      </w:r>
      <w:r>
        <w:rPr>
          <w:spacing w:val="-3"/>
          <w:sz w:val="20"/>
        </w:rPr>
        <w:t> </w:t>
      </w:r>
      <w:r>
        <w:rPr>
          <w:sz w:val="20"/>
        </w:rPr>
        <w:t>cater</w:t>
      </w:r>
      <w:r>
        <w:rPr>
          <w:spacing w:val="-3"/>
          <w:sz w:val="20"/>
        </w:rPr>
        <w:t> </w:t>
      </w:r>
      <w:r>
        <w:rPr>
          <w:sz w:val="20"/>
        </w:rPr>
        <w:t>for</w:t>
      </w:r>
      <w:r>
        <w:rPr>
          <w:spacing w:val="-3"/>
          <w:sz w:val="20"/>
        </w:rPr>
        <w:t> </w:t>
      </w:r>
      <w:r>
        <w:rPr>
          <w:sz w:val="20"/>
        </w:rPr>
        <w:t>in-house interpretation</w:t>
      </w:r>
      <w:r>
        <w:rPr>
          <w:spacing w:val="-9"/>
          <w:sz w:val="20"/>
        </w:rPr>
        <w:t> </w:t>
      </w:r>
      <w:r>
        <w:rPr>
          <w:sz w:val="20"/>
        </w:rPr>
        <w:t>capacity</w:t>
      </w:r>
      <w:r>
        <w:rPr>
          <w:spacing w:val="-5"/>
          <w:sz w:val="20"/>
        </w:rPr>
        <w:t> </w:t>
      </w:r>
      <w:r>
        <w:rPr>
          <w:sz w:val="20"/>
        </w:rPr>
        <w:t>for</w:t>
      </w:r>
      <w:r>
        <w:rPr>
          <w:spacing w:val="-5"/>
          <w:sz w:val="20"/>
        </w:rPr>
        <w:t> </w:t>
      </w:r>
      <w:r>
        <w:rPr>
          <w:sz w:val="20"/>
        </w:rPr>
        <w:t>sensitive</w:t>
      </w:r>
      <w:r>
        <w:rPr>
          <w:spacing w:val="-8"/>
          <w:sz w:val="20"/>
        </w:rPr>
        <w:t> </w:t>
      </w:r>
      <w:r>
        <w:rPr>
          <w:sz w:val="20"/>
        </w:rPr>
        <w:t>high-level,</w:t>
      </w:r>
      <w:r>
        <w:rPr>
          <w:spacing w:val="-7"/>
          <w:sz w:val="20"/>
        </w:rPr>
        <w:t> </w:t>
      </w:r>
      <w:r>
        <w:rPr>
          <w:sz w:val="20"/>
        </w:rPr>
        <w:t>diplomatic</w:t>
      </w:r>
      <w:r>
        <w:rPr>
          <w:spacing w:val="-8"/>
          <w:sz w:val="20"/>
        </w:rPr>
        <w:t> </w:t>
      </w:r>
      <w:r>
        <w:rPr>
          <w:sz w:val="20"/>
        </w:rPr>
        <w:t>meetings</w:t>
      </w:r>
      <w:r>
        <w:rPr>
          <w:spacing w:val="-11"/>
          <w:sz w:val="20"/>
        </w:rPr>
        <w:t> </w:t>
      </w:r>
      <w:r>
        <w:rPr>
          <w:sz w:val="20"/>
        </w:rPr>
        <w:t>and</w:t>
      </w:r>
      <w:r>
        <w:rPr>
          <w:spacing w:val="-9"/>
          <w:sz w:val="20"/>
        </w:rPr>
        <w:t> </w:t>
      </w:r>
      <w:r>
        <w:rPr>
          <w:sz w:val="20"/>
        </w:rPr>
        <w:t>other</w:t>
      </w:r>
      <w:r>
        <w:rPr>
          <w:spacing w:val="-9"/>
          <w:sz w:val="20"/>
        </w:rPr>
        <w:t> </w:t>
      </w:r>
      <w:r>
        <w:rPr>
          <w:sz w:val="20"/>
        </w:rPr>
        <w:t>similar</w:t>
      </w:r>
      <w:r>
        <w:rPr>
          <w:spacing w:val="-9"/>
          <w:sz w:val="20"/>
        </w:rPr>
        <w:t> </w:t>
      </w:r>
      <w:r>
        <w:rPr>
          <w:sz w:val="20"/>
        </w:rPr>
        <w:t>critical or delicate missions or assignments for which formally-qualified, in-house interpretation expertise is required. As a dual role, these positions will also provide self-reviewed translations in non-peak periods.</w:t>
      </w:r>
    </w:p>
    <w:p>
      <w:pPr>
        <w:pStyle w:val="BodyText"/>
      </w:pPr>
    </w:p>
    <w:p>
      <w:pPr>
        <w:pStyle w:val="BodyText"/>
        <w:spacing w:before="3"/>
        <w:rPr>
          <w:sz w:val="10"/>
        </w:rPr>
      </w:pPr>
      <w:r>
        <w:rPr/>
        <w:pict>
          <v:rect style="position:absolute;margin-left:113.330002pt;margin-top:7.140882pt;width:144.050pt;height:.48004pt;mso-position-horizontal-relative:page;mso-position-vertical-relative:paragraph;z-index:-15692800;mso-wrap-distance-left:0;mso-wrap-distance-right:0" id="docshape193" filled="true" fillcolor="#000000" stroked="false">
            <v:fill type="solid"/>
            <w10:wrap type="topAndBottom"/>
          </v:rect>
        </w:pict>
      </w:r>
    </w:p>
    <w:p>
      <w:pPr>
        <w:spacing w:line="183" w:lineRule="exact" w:before="86"/>
        <w:ind w:left="2246" w:right="0" w:firstLine="0"/>
        <w:jc w:val="left"/>
        <w:rPr>
          <w:sz w:val="16"/>
        </w:rPr>
      </w:pPr>
      <w:r>
        <w:rPr>
          <w:position w:val="5"/>
          <w:sz w:val="10"/>
        </w:rPr>
        <w:t>116</w:t>
      </w:r>
      <w:r>
        <w:rPr>
          <w:spacing w:val="8"/>
          <w:position w:val="5"/>
          <w:sz w:val="10"/>
        </w:rPr>
        <w:t> </w:t>
      </w:r>
      <w:r>
        <w:rPr>
          <w:sz w:val="16"/>
        </w:rPr>
        <w:t>See,</w:t>
      </w:r>
      <w:r>
        <w:rPr>
          <w:spacing w:val="-5"/>
          <w:sz w:val="16"/>
        </w:rPr>
        <w:t> </w:t>
      </w:r>
      <w:r>
        <w:rPr>
          <w:sz w:val="16"/>
        </w:rPr>
        <w:t>Report</w:t>
      </w:r>
      <w:r>
        <w:rPr>
          <w:spacing w:val="-5"/>
          <w:sz w:val="16"/>
        </w:rPr>
        <w:t> </w:t>
      </w:r>
      <w:r>
        <w:rPr>
          <w:sz w:val="16"/>
        </w:rPr>
        <w:t>of</w:t>
      </w:r>
      <w:r>
        <w:rPr>
          <w:spacing w:val="-9"/>
          <w:sz w:val="16"/>
        </w:rPr>
        <w:t> </w:t>
      </w:r>
      <w:r>
        <w:rPr>
          <w:sz w:val="16"/>
        </w:rPr>
        <w:t>the</w:t>
      </w:r>
      <w:r>
        <w:rPr>
          <w:spacing w:val="-3"/>
          <w:sz w:val="16"/>
        </w:rPr>
        <w:t> </w:t>
      </w:r>
      <w:r>
        <w:rPr>
          <w:sz w:val="16"/>
        </w:rPr>
        <w:t>Independent</w:t>
      </w:r>
      <w:r>
        <w:rPr>
          <w:spacing w:val="-10"/>
          <w:sz w:val="16"/>
        </w:rPr>
        <w:t> </w:t>
      </w:r>
      <w:r>
        <w:rPr>
          <w:sz w:val="16"/>
        </w:rPr>
        <w:t>Review</w:t>
      </w:r>
      <w:r>
        <w:rPr>
          <w:spacing w:val="-7"/>
          <w:sz w:val="16"/>
        </w:rPr>
        <w:t> </w:t>
      </w:r>
      <w:r>
        <w:rPr>
          <w:sz w:val="16"/>
        </w:rPr>
        <w:t>Expert</w:t>
      </w:r>
      <w:r>
        <w:rPr>
          <w:spacing w:val="-10"/>
          <w:sz w:val="16"/>
        </w:rPr>
        <w:t> </w:t>
      </w:r>
      <w:r>
        <w:rPr>
          <w:sz w:val="16"/>
        </w:rPr>
        <w:t>of</w:t>
      </w:r>
      <w:r>
        <w:rPr>
          <w:spacing w:val="-4"/>
          <w:sz w:val="16"/>
        </w:rPr>
        <w:t> </w:t>
      </w:r>
      <w:r>
        <w:rPr>
          <w:sz w:val="16"/>
        </w:rPr>
        <w:t>the</w:t>
      </w:r>
      <w:r>
        <w:rPr>
          <w:spacing w:val="-7"/>
          <w:sz w:val="16"/>
        </w:rPr>
        <w:t> </w:t>
      </w:r>
      <w:r>
        <w:rPr>
          <w:sz w:val="16"/>
        </w:rPr>
        <w:t>International</w:t>
      </w:r>
      <w:r>
        <w:rPr>
          <w:spacing w:val="-5"/>
          <w:sz w:val="16"/>
        </w:rPr>
        <w:t> </w:t>
      </w:r>
      <w:r>
        <w:rPr>
          <w:sz w:val="16"/>
        </w:rPr>
        <w:t>Criminal</w:t>
      </w:r>
      <w:r>
        <w:rPr>
          <w:spacing w:val="-1"/>
          <w:sz w:val="16"/>
        </w:rPr>
        <w:t> </w:t>
      </w:r>
      <w:r>
        <w:rPr>
          <w:sz w:val="16"/>
        </w:rPr>
        <w:t>Court</w:t>
      </w:r>
      <w:r>
        <w:rPr>
          <w:spacing w:val="-10"/>
          <w:sz w:val="16"/>
        </w:rPr>
        <w:t> </w:t>
      </w:r>
      <w:r>
        <w:rPr>
          <w:sz w:val="16"/>
        </w:rPr>
        <w:t>and</w:t>
      </w:r>
      <w:r>
        <w:rPr>
          <w:spacing w:val="-7"/>
          <w:sz w:val="16"/>
        </w:rPr>
        <w:t> </w:t>
      </w:r>
      <w:r>
        <w:rPr>
          <w:sz w:val="16"/>
        </w:rPr>
        <w:t>the</w:t>
      </w:r>
      <w:r>
        <w:rPr>
          <w:spacing w:val="-7"/>
          <w:sz w:val="16"/>
        </w:rPr>
        <w:t> </w:t>
      </w:r>
      <w:r>
        <w:rPr>
          <w:sz w:val="16"/>
        </w:rPr>
        <w:t>Rome</w:t>
      </w:r>
      <w:r>
        <w:rPr>
          <w:spacing w:val="-3"/>
          <w:sz w:val="16"/>
        </w:rPr>
        <w:t> </w:t>
      </w:r>
      <w:r>
        <w:rPr>
          <w:sz w:val="16"/>
        </w:rPr>
        <w:t>Statute</w:t>
      </w:r>
      <w:r>
        <w:rPr>
          <w:spacing w:val="-3"/>
          <w:sz w:val="16"/>
        </w:rPr>
        <w:t> </w:t>
      </w:r>
      <w:r>
        <w:rPr>
          <w:spacing w:val="-2"/>
          <w:sz w:val="16"/>
        </w:rPr>
        <w:t>System.</w:t>
      </w:r>
    </w:p>
    <w:p>
      <w:pPr>
        <w:spacing w:line="183" w:lineRule="exact" w:before="0"/>
        <w:ind w:left="2246" w:right="0" w:firstLine="0"/>
        <w:jc w:val="left"/>
        <w:rPr>
          <w:sz w:val="16"/>
        </w:rPr>
      </w:pPr>
      <w:r>
        <w:rPr>
          <w:position w:val="5"/>
          <w:sz w:val="10"/>
        </w:rPr>
        <w:t>117</w:t>
      </w:r>
      <w:r>
        <w:rPr>
          <w:spacing w:val="11"/>
          <w:position w:val="5"/>
          <w:sz w:val="10"/>
        </w:rPr>
        <w:t> </w:t>
      </w:r>
      <w:r>
        <w:rPr>
          <w:sz w:val="16"/>
        </w:rPr>
        <w:t>The</w:t>
      </w:r>
      <w:r>
        <w:rPr>
          <w:spacing w:val="-2"/>
          <w:sz w:val="16"/>
        </w:rPr>
        <w:t> </w:t>
      </w:r>
      <w:r>
        <w:rPr>
          <w:sz w:val="16"/>
        </w:rPr>
        <w:t>exact</w:t>
      </w:r>
      <w:r>
        <w:rPr>
          <w:spacing w:val="-3"/>
          <w:sz w:val="16"/>
        </w:rPr>
        <w:t> </w:t>
      </w:r>
      <w:r>
        <w:rPr>
          <w:sz w:val="16"/>
        </w:rPr>
        <w:t>grade</w:t>
      </w:r>
      <w:r>
        <w:rPr>
          <w:spacing w:val="-2"/>
          <w:sz w:val="16"/>
        </w:rPr>
        <w:t> </w:t>
      </w:r>
      <w:r>
        <w:rPr>
          <w:sz w:val="16"/>
        </w:rPr>
        <w:t>will</w:t>
      </w:r>
      <w:r>
        <w:rPr>
          <w:spacing w:val="-4"/>
          <w:sz w:val="16"/>
        </w:rPr>
        <w:t> </w:t>
      </w:r>
      <w:r>
        <w:rPr>
          <w:sz w:val="16"/>
        </w:rPr>
        <w:t>be</w:t>
      </w:r>
      <w:r>
        <w:rPr>
          <w:spacing w:val="-2"/>
          <w:sz w:val="16"/>
        </w:rPr>
        <w:t> </w:t>
      </w:r>
      <w:r>
        <w:rPr>
          <w:sz w:val="16"/>
        </w:rPr>
        <w:t>determined</w:t>
      </w:r>
      <w:r>
        <w:rPr>
          <w:spacing w:val="-1"/>
          <w:sz w:val="16"/>
        </w:rPr>
        <w:t> </w:t>
      </w:r>
      <w:r>
        <w:rPr>
          <w:sz w:val="16"/>
        </w:rPr>
        <w:t>by</w:t>
      </w:r>
      <w:r>
        <w:rPr>
          <w:spacing w:val="-1"/>
          <w:sz w:val="16"/>
        </w:rPr>
        <w:t> </w:t>
      </w:r>
      <w:r>
        <w:rPr>
          <w:sz w:val="16"/>
        </w:rPr>
        <w:t>the</w:t>
      </w:r>
      <w:r>
        <w:rPr>
          <w:spacing w:val="-2"/>
          <w:sz w:val="16"/>
        </w:rPr>
        <w:t> </w:t>
      </w:r>
      <w:r>
        <w:rPr>
          <w:sz w:val="16"/>
        </w:rPr>
        <w:t>classification</w:t>
      </w:r>
      <w:r>
        <w:rPr>
          <w:spacing w:val="-1"/>
          <w:sz w:val="16"/>
        </w:rPr>
        <w:t> </w:t>
      </w:r>
      <w:r>
        <w:rPr>
          <w:spacing w:val="-2"/>
          <w:sz w:val="16"/>
        </w:rPr>
        <w:t>process.</w:t>
      </w:r>
    </w:p>
    <w:p>
      <w:pPr>
        <w:spacing w:after="0" w:line="183" w:lineRule="exact"/>
        <w:jc w:val="left"/>
        <w:rPr>
          <w:sz w:val="16"/>
        </w:rPr>
        <w:sectPr>
          <w:pgSz w:w="11910" w:h="16840"/>
          <w:pgMar w:header="957" w:footer="940" w:top="1140" w:bottom="1140" w:left="20" w:right="20"/>
        </w:sectPr>
      </w:pPr>
    </w:p>
    <w:p>
      <w:pPr>
        <w:pStyle w:val="ListParagraph"/>
        <w:numPr>
          <w:ilvl w:val="0"/>
          <w:numId w:val="4"/>
        </w:numPr>
        <w:tabs>
          <w:tab w:pos="2967" w:val="left" w:leader="none"/>
        </w:tabs>
        <w:spacing w:line="240" w:lineRule="auto" w:before="124" w:after="0"/>
        <w:ind w:left="2246" w:right="2235" w:firstLine="0"/>
        <w:jc w:val="both"/>
        <w:rPr>
          <w:sz w:val="20"/>
        </w:rPr>
      </w:pPr>
      <w:r>
        <w:rPr>
          <w:sz w:val="20"/>
        </w:rPr>
        <w:t>The eight Language Assistant (G-5) positions are requested either to support activities in the Ukraine situation (five posts), to create some internal capacity for situation languages where none presently exists (one for the Philippines, and one for Bangladesh/Myanmar) and to add some support for priority investigations (one for Libya/Darfur). These positions are primarily directed at providing field interpretation in support of active investigations, though they can support transcription or draft translation if so</w:t>
      </w:r>
      <w:r>
        <w:rPr>
          <w:spacing w:val="-10"/>
          <w:sz w:val="20"/>
        </w:rPr>
        <w:t> </w:t>
      </w:r>
      <w:r>
        <w:rPr>
          <w:sz w:val="20"/>
        </w:rPr>
        <w:t>required.</w:t>
      </w:r>
      <w:r>
        <w:rPr>
          <w:spacing w:val="-11"/>
          <w:sz w:val="20"/>
        </w:rPr>
        <w:t> </w:t>
      </w:r>
      <w:r>
        <w:rPr>
          <w:sz w:val="20"/>
        </w:rPr>
        <w:t>The</w:t>
      </w:r>
      <w:r>
        <w:rPr>
          <w:spacing w:val="-7"/>
          <w:sz w:val="20"/>
        </w:rPr>
        <w:t> </w:t>
      </w:r>
      <w:r>
        <w:rPr>
          <w:sz w:val="20"/>
        </w:rPr>
        <w:t>five</w:t>
      </w:r>
      <w:r>
        <w:rPr>
          <w:spacing w:val="-7"/>
          <w:sz w:val="20"/>
        </w:rPr>
        <w:t> </w:t>
      </w:r>
      <w:r>
        <w:rPr>
          <w:sz w:val="20"/>
        </w:rPr>
        <w:t>positions</w:t>
      </w:r>
      <w:r>
        <w:rPr>
          <w:spacing w:val="-13"/>
          <w:sz w:val="20"/>
        </w:rPr>
        <w:t> </w:t>
      </w:r>
      <w:r>
        <w:rPr>
          <w:sz w:val="20"/>
        </w:rPr>
        <w:t>requested</w:t>
      </w:r>
      <w:r>
        <w:rPr>
          <w:spacing w:val="-8"/>
          <w:sz w:val="20"/>
        </w:rPr>
        <w:t> </w:t>
      </w:r>
      <w:r>
        <w:rPr>
          <w:sz w:val="20"/>
        </w:rPr>
        <w:t>for</w:t>
      </w:r>
      <w:r>
        <w:rPr>
          <w:spacing w:val="-8"/>
          <w:sz w:val="20"/>
        </w:rPr>
        <w:t> </w:t>
      </w:r>
      <w:r>
        <w:rPr>
          <w:sz w:val="20"/>
        </w:rPr>
        <w:t>Ukraine</w:t>
      </w:r>
      <w:r>
        <w:rPr>
          <w:spacing w:val="-12"/>
          <w:sz w:val="20"/>
        </w:rPr>
        <w:t> </w:t>
      </w:r>
      <w:r>
        <w:rPr>
          <w:sz w:val="20"/>
        </w:rPr>
        <w:t>for</w:t>
      </w:r>
      <w:r>
        <w:rPr>
          <w:spacing w:val="-8"/>
          <w:sz w:val="20"/>
        </w:rPr>
        <w:t> </w:t>
      </w:r>
      <w:r>
        <w:rPr>
          <w:sz w:val="20"/>
        </w:rPr>
        <w:t>instance</w:t>
      </w:r>
      <w:r>
        <w:rPr>
          <w:spacing w:val="-7"/>
          <w:sz w:val="20"/>
        </w:rPr>
        <w:t> </w:t>
      </w:r>
      <w:r>
        <w:rPr>
          <w:sz w:val="20"/>
        </w:rPr>
        <w:t>would</w:t>
      </w:r>
      <w:r>
        <w:rPr>
          <w:spacing w:val="-8"/>
          <w:sz w:val="20"/>
        </w:rPr>
        <w:t> </w:t>
      </w:r>
      <w:r>
        <w:rPr>
          <w:sz w:val="20"/>
        </w:rPr>
        <w:t>be</w:t>
      </w:r>
      <w:r>
        <w:rPr>
          <w:spacing w:val="-7"/>
          <w:sz w:val="20"/>
        </w:rPr>
        <w:t> </w:t>
      </w:r>
      <w:r>
        <w:rPr>
          <w:sz w:val="20"/>
        </w:rPr>
        <w:t>based</w:t>
      </w:r>
      <w:r>
        <w:rPr>
          <w:spacing w:val="-13"/>
          <w:sz w:val="20"/>
        </w:rPr>
        <w:t> </w:t>
      </w:r>
      <w:r>
        <w:rPr>
          <w:sz w:val="20"/>
        </w:rPr>
        <w:t>in</w:t>
      </w:r>
      <w:r>
        <w:rPr>
          <w:spacing w:val="-12"/>
          <w:sz w:val="20"/>
        </w:rPr>
        <w:t> </w:t>
      </w:r>
      <w:r>
        <w:rPr>
          <w:sz w:val="20"/>
        </w:rPr>
        <w:t>the</w:t>
      </w:r>
      <w:r>
        <w:rPr>
          <w:spacing w:val="-7"/>
          <w:sz w:val="20"/>
        </w:rPr>
        <w:t> </w:t>
      </w:r>
      <w:r>
        <w:rPr>
          <w:sz w:val="20"/>
        </w:rPr>
        <w:t>field, essentially to support witness interview activities, and would be complemented with freelance resources on a needs basis.</w:t>
      </w:r>
    </w:p>
    <w:p>
      <w:pPr>
        <w:pStyle w:val="ListParagraph"/>
        <w:numPr>
          <w:ilvl w:val="0"/>
          <w:numId w:val="4"/>
        </w:numPr>
        <w:tabs>
          <w:tab w:pos="2967" w:val="left" w:leader="none"/>
        </w:tabs>
        <w:spacing w:line="240" w:lineRule="auto" w:before="125" w:after="0"/>
        <w:ind w:left="2246" w:right="2240" w:firstLine="0"/>
        <w:jc w:val="both"/>
        <w:rPr>
          <w:sz w:val="20"/>
        </w:rPr>
      </w:pPr>
      <w:r>
        <w:rPr>
          <w:sz w:val="20"/>
        </w:rPr>
        <w:t>The seven</w:t>
      </w:r>
      <w:r>
        <w:rPr>
          <w:spacing w:val="-3"/>
          <w:sz w:val="20"/>
        </w:rPr>
        <w:t> </w:t>
      </w:r>
      <w:r>
        <w:rPr>
          <w:sz w:val="20"/>
        </w:rPr>
        <w:t>Transcript</w:t>
      </w:r>
      <w:r>
        <w:rPr>
          <w:spacing w:val="-1"/>
          <w:sz w:val="20"/>
        </w:rPr>
        <w:t> </w:t>
      </w:r>
      <w:r>
        <w:rPr>
          <w:sz w:val="20"/>
        </w:rPr>
        <w:t>Reviewer (G-4) positions</w:t>
      </w:r>
      <w:r>
        <w:rPr>
          <w:spacing w:val="-4"/>
          <w:sz w:val="20"/>
        </w:rPr>
        <w:t> </w:t>
      </w:r>
      <w:r>
        <w:rPr>
          <w:sz w:val="20"/>
        </w:rPr>
        <w:t>are</w:t>
      </w:r>
      <w:r>
        <w:rPr>
          <w:spacing w:val="-1"/>
          <w:sz w:val="20"/>
        </w:rPr>
        <w:t> </w:t>
      </w:r>
      <w:r>
        <w:rPr>
          <w:sz w:val="20"/>
        </w:rPr>
        <w:t>also</w:t>
      </w:r>
      <w:r>
        <w:rPr>
          <w:spacing w:val="-3"/>
          <w:sz w:val="20"/>
        </w:rPr>
        <w:t> </w:t>
      </w:r>
      <w:r>
        <w:rPr>
          <w:sz w:val="20"/>
        </w:rPr>
        <w:t>requested</w:t>
      </w:r>
      <w:r>
        <w:rPr>
          <w:spacing w:val="-3"/>
          <w:sz w:val="20"/>
        </w:rPr>
        <w:t> </w:t>
      </w:r>
      <w:r>
        <w:rPr>
          <w:sz w:val="20"/>
        </w:rPr>
        <w:t>either to</w:t>
      </w:r>
      <w:r>
        <w:rPr>
          <w:spacing w:val="-3"/>
          <w:sz w:val="20"/>
        </w:rPr>
        <w:t> </w:t>
      </w:r>
      <w:r>
        <w:rPr>
          <w:sz w:val="20"/>
        </w:rPr>
        <w:t>provide basic in-house quality assurance for situation languages for which there is no coverage presently (two for Ukraine, one for the Philippines, one for Bangladesh/Myanmar, one for Afghanistan, one for Venezuela) or where there is a need to build some additional surge capacity for priority</w:t>
      </w:r>
      <w:r>
        <w:rPr>
          <w:spacing w:val="-5"/>
          <w:sz w:val="20"/>
        </w:rPr>
        <w:t> </w:t>
      </w:r>
      <w:r>
        <w:rPr>
          <w:sz w:val="20"/>
        </w:rPr>
        <w:t>cases</w:t>
      </w:r>
      <w:r>
        <w:rPr>
          <w:spacing w:val="-1"/>
          <w:sz w:val="20"/>
        </w:rPr>
        <w:t> </w:t>
      </w:r>
      <w:r>
        <w:rPr>
          <w:sz w:val="20"/>
        </w:rPr>
        <w:t>(one Arabic for Libya and Darfur). While –</w:t>
      </w:r>
      <w:r>
        <w:rPr>
          <w:spacing w:val="-4"/>
          <w:sz w:val="20"/>
        </w:rPr>
        <w:t> </w:t>
      </w:r>
      <w:r>
        <w:rPr>
          <w:sz w:val="20"/>
        </w:rPr>
        <w:t>akin to</w:t>
      </w:r>
      <w:r>
        <w:rPr>
          <w:spacing w:val="-5"/>
          <w:sz w:val="20"/>
        </w:rPr>
        <w:t> </w:t>
      </w:r>
      <w:r>
        <w:rPr>
          <w:sz w:val="20"/>
        </w:rPr>
        <w:t>the other</w:t>
      </w:r>
      <w:r>
        <w:rPr>
          <w:spacing w:val="-5"/>
          <w:sz w:val="20"/>
        </w:rPr>
        <w:t> </w:t>
      </w:r>
      <w:r>
        <w:rPr>
          <w:sz w:val="20"/>
        </w:rPr>
        <w:t>new positions requested here – this may not immediately cover all the potential languages ultimately</w:t>
      </w:r>
      <w:r>
        <w:rPr>
          <w:spacing w:val="-9"/>
          <w:sz w:val="20"/>
        </w:rPr>
        <w:t> </w:t>
      </w:r>
      <w:r>
        <w:rPr>
          <w:sz w:val="20"/>
        </w:rPr>
        <w:t>required,</w:t>
      </w:r>
      <w:r>
        <w:rPr>
          <w:spacing w:val="-12"/>
          <w:sz w:val="20"/>
        </w:rPr>
        <w:t> </w:t>
      </w:r>
      <w:r>
        <w:rPr>
          <w:sz w:val="20"/>
        </w:rPr>
        <w:t>the</w:t>
      </w:r>
      <w:r>
        <w:rPr>
          <w:spacing w:val="-12"/>
          <w:sz w:val="20"/>
        </w:rPr>
        <w:t> </w:t>
      </w:r>
      <w:r>
        <w:rPr>
          <w:sz w:val="20"/>
        </w:rPr>
        <w:t>Transcription</w:t>
      </w:r>
      <w:r>
        <w:rPr>
          <w:spacing w:val="-13"/>
          <w:sz w:val="20"/>
        </w:rPr>
        <w:t> </w:t>
      </w:r>
      <w:r>
        <w:rPr>
          <w:sz w:val="20"/>
        </w:rPr>
        <w:t>Team</w:t>
      </w:r>
      <w:r>
        <w:rPr>
          <w:spacing w:val="-7"/>
          <w:sz w:val="20"/>
        </w:rPr>
        <w:t> </w:t>
      </w:r>
      <w:r>
        <w:rPr>
          <w:sz w:val="20"/>
        </w:rPr>
        <w:t>will</w:t>
      </w:r>
      <w:r>
        <w:rPr>
          <w:spacing w:val="-8"/>
          <w:sz w:val="20"/>
        </w:rPr>
        <w:t> </w:t>
      </w:r>
      <w:r>
        <w:rPr>
          <w:sz w:val="20"/>
        </w:rPr>
        <w:t>remain</w:t>
      </w:r>
      <w:r>
        <w:rPr>
          <w:spacing w:val="-9"/>
          <w:sz w:val="20"/>
        </w:rPr>
        <w:t> </w:t>
      </w:r>
      <w:r>
        <w:rPr>
          <w:sz w:val="20"/>
        </w:rPr>
        <w:t>agile</w:t>
      </w:r>
      <w:r>
        <w:rPr>
          <w:spacing w:val="-13"/>
          <w:sz w:val="20"/>
        </w:rPr>
        <w:t> </w:t>
      </w:r>
      <w:r>
        <w:rPr>
          <w:sz w:val="20"/>
        </w:rPr>
        <w:t>and</w:t>
      </w:r>
      <w:r>
        <w:rPr>
          <w:spacing w:val="-8"/>
          <w:sz w:val="20"/>
        </w:rPr>
        <w:t> </w:t>
      </w:r>
      <w:r>
        <w:rPr>
          <w:sz w:val="20"/>
        </w:rPr>
        <w:t>flexible</w:t>
      </w:r>
      <w:r>
        <w:rPr>
          <w:spacing w:val="-13"/>
          <w:sz w:val="20"/>
        </w:rPr>
        <w:t> </w:t>
      </w:r>
      <w:r>
        <w:rPr>
          <w:sz w:val="20"/>
        </w:rPr>
        <w:t>in</w:t>
      </w:r>
      <w:r>
        <w:rPr>
          <w:spacing w:val="-8"/>
          <w:sz w:val="20"/>
        </w:rPr>
        <w:t> </w:t>
      </w:r>
      <w:r>
        <w:rPr>
          <w:sz w:val="20"/>
        </w:rPr>
        <w:t>its</w:t>
      </w:r>
      <w:r>
        <w:rPr>
          <w:spacing w:val="-11"/>
          <w:sz w:val="20"/>
        </w:rPr>
        <w:t> </w:t>
      </w:r>
      <w:r>
        <w:rPr>
          <w:sz w:val="20"/>
        </w:rPr>
        <w:t>use</w:t>
      </w:r>
      <w:r>
        <w:rPr>
          <w:spacing w:val="-13"/>
          <w:sz w:val="20"/>
        </w:rPr>
        <w:t> </w:t>
      </w:r>
      <w:r>
        <w:rPr>
          <w:sz w:val="20"/>
        </w:rPr>
        <w:t>of</w:t>
      </w:r>
      <w:r>
        <w:rPr>
          <w:spacing w:val="-8"/>
          <w:sz w:val="20"/>
        </w:rPr>
        <w:t> </w:t>
      </w:r>
      <w:r>
        <w:rPr>
          <w:sz w:val="20"/>
        </w:rPr>
        <w:t>human resources</w:t>
      </w:r>
      <w:r>
        <w:rPr>
          <w:spacing w:val="-4"/>
          <w:sz w:val="20"/>
        </w:rPr>
        <w:t> </w:t>
      </w:r>
      <w:r>
        <w:rPr>
          <w:sz w:val="20"/>
        </w:rPr>
        <w:t>and</w:t>
      </w:r>
      <w:r>
        <w:rPr>
          <w:spacing w:val="-3"/>
          <w:sz w:val="20"/>
        </w:rPr>
        <w:t> </w:t>
      </w:r>
      <w:r>
        <w:rPr>
          <w:sz w:val="20"/>
        </w:rPr>
        <w:t>exploitation</w:t>
      </w:r>
      <w:r>
        <w:rPr>
          <w:spacing w:val="-3"/>
          <w:sz w:val="20"/>
        </w:rPr>
        <w:t> </w:t>
      </w:r>
      <w:r>
        <w:rPr>
          <w:sz w:val="20"/>
        </w:rPr>
        <w:t>of</w:t>
      </w:r>
      <w:r>
        <w:rPr>
          <w:spacing w:val="-3"/>
          <w:sz w:val="20"/>
        </w:rPr>
        <w:t> </w:t>
      </w:r>
      <w:r>
        <w:rPr>
          <w:sz w:val="20"/>
        </w:rPr>
        <w:t>machine</w:t>
      </w:r>
      <w:r>
        <w:rPr>
          <w:spacing w:val="-6"/>
          <w:sz w:val="20"/>
        </w:rPr>
        <w:t> </w:t>
      </w:r>
      <w:r>
        <w:rPr>
          <w:sz w:val="20"/>
        </w:rPr>
        <w:t>transcription. These</w:t>
      </w:r>
      <w:r>
        <w:rPr>
          <w:spacing w:val="-1"/>
          <w:sz w:val="20"/>
        </w:rPr>
        <w:t> </w:t>
      </w:r>
      <w:r>
        <w:rPr>
          <w:sz w:val="20"/>
        </w:rPr>
        <w:t>positions</w:t>
      </w:r>
      <w:r>
        <w:rPr>
          <w:spacing w:val="-4"/>
          <w:sz w:val="20"/>
        </w:rPr>
        <w:t> </w:t>
      </w:r>
      <w:r>
        <w:rPr>
          <w:sz w:val="20"/>
        </w:rPr>
        <w:t>are</w:t>
      </w:r>
      <w:r>
        <w:rPr>
          <w:spacing w:val="-1"/>
          <w:sz w:val="20"/>
        </w:rPr>
        <w:t> </w:t>
      </w:r>
      <w:r>
        <w:rPr>
          <w:sz w:val="20"/>
        </w:rPr>
        <w:t>always</w:t>
      </w:r>
      <w:r>
        <w:rPr>
          <w:spacing w:val="-4"/>
          <w:sz w:val="20"/>
        </w:rPr>
        <w:t> </w:t>
      </w:r>
      <w:r>
        <w:rPr>
          <w:sz w:val="20"/>
        </w:rPr>
        <w:t>requested</w:t>
      </w:r>
      <w:r>
        <w:rPr>
          <w:spacing w:val="-3"/>
          <w:sz w:val="20"/>
        </w:rPr>
        <w:t> </w:t>
      </w:r>
      <w:r>
        <w:rPr>
          <w:sz w:val="20"/>
        </w:rPr>
        <w:t>in combination with one of the working languages for maximum resource effectiveness.</w:t>
      </w:r>
    </w:p>
    <w:p>
      <w:pPr>
        <w:pStyle w:val="BodyText"/>
        <w:spacing w:before="9"/>
      </w:pPr>
    </w:p>
    <w:p>
      <w:pPr>
        <w:pStyle w:val="Heading3"/>
        <w:tabs>
          <w:tab w:pos="5840" w:val="left" w:leader="none"/>
        </w:tabs>
        <w:ind w:left="5"/>
        <w:jc w:val="center"/>
      </w:pPr>
      <w:r>
        <w:rPr/>
        <w:t>Non-staff</w:t>
      </w:r>
      <w:r>
        <w:rPr>
          <w:spacing w:val="-4"/>
        </w:rPr>
        <w:t> </w:t>
      </w:r>
      <w:r>
        <w:rPr>
          <w:spacing w:val="-2"/>
        </w:rPr>
        <w:t>resources</w:t>
      </w:r>
      <w:r>
        <w:rPr/>
        <w:tab/>
        <w:t>€1,686.0</w:t>
      </w:r>
      <w:r>
        <w:rPr>
          <w:spacing w:val="-6"/>
        </w:rPr>
        <w:t> </w:t>
      </w:r>
      <w:r>
        <w:rPr>
          <w:spacing w:val="-2"/>
        </w:rPr>
        <w:t>thousand</w:t>
      </w:r>
    </w:p>
    <w:p>
      <w:pPr>
        <w:pStyle w:val="BodyText"/>
        <w:spacing w:before="11"/>
        <w:rPr>
          <w:b/>
        </w:rPr>
      </w:pPr>
    </w:p>
    <w:p>
      <w:pPr>
        <w:pStyle w:val="ListParagraph"/>
        <w:numPr>
          <w:ilvl w:val="0"/>
          <w:numId w:val="4"/>
        </w:numPr>
        <w:tabs>
          <w:tab w:pos="2967" w:val="left" w:leader="none"/>
        </w:tabs>
        <w:spacing w:line="240" w:lineRule="auto" w:before="0" w:after="0"/>
        <w:ind w:left="2246" w:right="2242" w:firstLine="0"/>
        <w:jc w:val="both"/>
        <w:rPr>
          <w:sz w:val="20"/>
        </w:rPr>
      </w:pPr>
      <w:r>
        <w:rPr>
          <w:sz w:val="20"/>
        </w:rPr>
        <w:t>Non-staff</w:t>
      </w:r>
      <w:r>
        <w:rPr>
          <w:spacing w:val="-5"/>
          <w:sz w:val="20"/>
        </w:rPr>
        <w:t> </w:t>
      </w:r>
      <w:r>
        <w:rPr>
          <w:sz w:val="20"/>
        </w:rPr>
        <w:t>resources</w:t>
      </w:r>
      <w:r>
        <w:rPr>
          <w:spacing w:val="-6"/>
          <w:sz w:val="20"/>
        </w:rPr>
        <w:t> </w:t>
      </w:r>
      <w:r>
        <w:rPr>
          <w:sz w:val="20"/>
        </w:rPr>
        <w:t>are</w:t>
      </w:r>
      <w:r>
        <w:rPr>
          <w:spacing w:val="-3"/>
          <w:sz w:val="20"/>
        </w:rPr>
        <w:t> </w:t>
      </w:r>
      <w:r>
        <w:rPr>
          <w:sz w:val="20"/>
        </w:rPr>
        <w:t>requested</w:t>
      </w:r>
      <w:r>
        <w:rPr>
          <w:spacing w:val="-5"/>
          <w:sz w:val="20"/>
        </w:rPr>
        <w:t> </w:t>
      </w:r>
      <w:r>
        <w:rPr>
          <w:sz w:val="20"/>
        </w:rPr>
        <w:t>for</w:t>
      </w:r>
      <w:r>
        <w:rPr>
          <w:spacing w:val="-5"/>
          <w:sz w:val="20"/>
        </w:rPr>
        <w:t> </w:t>
      </w:r>
      <w:r>
        <w:rPr>
          <w:sz w:val="20"/>
        </w:rPr>
        <w:t>travel,</w:t>
      </w:r>
      <w:r>
        <w:rPr>
          <w:spacing w:val="-2"/>
          <w:sz w:val="20"/>
        </w:rPr>
        <w:t> </w:t>
      </w:r>
      <w:r>
        <w:rPr>
          <w:sz w:val="20"/>
        </w:rPr>
        <w:t>contractual services,</w:t>
      </w:r>
      <w:r>
        <w:rPr>
          <w:spacing w:val="-2"/>
          <w:sz w:val="20"/>
        </w:rPr>
        <w:t> </w:t>
      </w:r>
      <w:r>
        <w:rPr>
          <w:sz w:val="20"/>
        </w:rPr>
        <w:t>general</w:t>
      </w:r>
      <w:r>
        <w:rPr>
          <w:spacing w:val="-3"/>
          <w:sz w:val="20"/>
        </w:rPr>
        <w:t> </w:t>
      </w:r>
      <w:r>
        <w:rPr>
          <w:sz w:val="20"/>
        </w:rPr>
        <w:t>operating expenses, supplies and materials, and furniture and equipment. This last category includes items in relation to information management projects, and low-cost evidence collection equipment</w:t>
      </w:r>
      <w:r>
        <w:rPr>
          <w:spacing w:val="-13"/>
          <w:sz w:val="20"/>
        </w:rPr>
        <w:t> </w:t>
      </w:r>
      <w:r>
        <w:rPr>
          <w:sz w:val="20"/>
        </w:rPr>
        <w:t>such</w:t>
      </w:r>
      <w:r>
        <w:rPr>
          <w:spacing w:val="-12"/>
          <w:sz w:val="20"/>
        </w:rPr>
        <w:t> </w:t>
      </w:r>
      <w:r>
        <w:rPr>
          <w:sz w:val="20"/>
        </w:rPr>
        <w:t>as</w:t>
      </w:r>
      <w:r>
        <w:rPr>
          <w:spacing w:val="-13"/>
          <w:sz w:val="20"/>
        </w:rPr>
        <w:t> </w:t>
      </w:r>
      <w:r>
        <w:rPr>
          <w:sz w:val="20"/>
        </w:rPr>
        <w:t>pen</w:t>
      </w:r>
      <w:r>
        <w:rPr>
          <w:spacing w:val="-12"/>
          <w:sz w:val="20"/>
        </w:rPr>
        <w:t> </w:t>
      </w:r>
      <w:r>
        <w:rPr>
          <w:sz w:val="20"/>
        </w:rPr>
        <w:t>drives,</w:t>
      </w:r>
      <w:r>
        <w:rPr>
          <w:spacing w:val="-13"/>
          <w:sz w:val="20"/>
        </w:rPr>
        <w:t> </w:t>
      </w:r>
      <w:r>
        <w:rPr>
          <w:sz w:val="20"/>
        </w:rPr>
        <w:t>recorders,</w:t>
      </w:r>
      <w:r>
        <w:rPr>
          <w:spacing w:val="-12"/>
          <w:sz w:val="20"/>
        </w:rPr>
        <w:t> </w:t>
      </w:r>
      <w:r>
        <w:rPr>
          <w:sz w:val="20"/>
        </w:rPr>
        <w:t>external</w:t>
      </w:r>
      <w:r>
        <w:rPr>
          <w:spacing w:val="-13"/>
          <w:sz w:val="20"/>
        </w:rPr>
        <w:t> </w:t>
      </w:r>
      <w:r>
        <w:rPr>
          <w:sz w:val="20"/>
        </w:rPr>
        <w:t>drives,</w:t>
      </w:r>
      <w:r>
        <w:rPr>
          <w:spacing w:val="-12"/>
          <w:sz w:val="20"/>
        </w:rPr>
        <w:t> </w:t>
      </w:r>
      <w:r>
        <w:rPr>
          <w:sz w:val="20"/>
        </w:rPr>
        <w:t>dongles</w:t>
      </w:r>
      <w:r>
        <w:rPr>
          <w:spacing w:val="-13"/>
          <w:sz w:val="20"/>
        </w:rPr>
        <w:t> </w:t>
      </w:r>
      <w:r>
        <w:rPr>
          <w:sz w:val="20"/>
        </w:rPr>
        <w:t>and</w:t>
      </w:r>
      <w:r>
        <w:rPr>
          <w:spacing w:val="-12"/>
          <w:sz w:val="20"/>
        </w:rPr>
        <w:t> </w:t>
      </w:r>
      <w:r>
        <w:rPr>
          <w:sz w:val="20"/>
        </w:rPr>
        <w:t>similar</w:t>
      </w:r>
      <w:r>
        <w:rPr>
          <w:spacing w:val="-13"/>
          <w:sz w:val="20"/>
        </w:rPr>
        <w:t> </w:t>
      </w:r>
      <w:r>
        <w:rPr>
          <w:sz w:val="20"/>
        </w:rPr>
        <w:t>items.</w:t>
      </w:r>
      <w:r>
        <w:rPr>
          <w:spacing w:val="-12"/>
          <w:sz w:val="20"/>
        </w:rPr>
        <w:t> </w:t>
      </w:r>
      <w:r>
        <w:rPr>
          <w:sz w:val="20"/>
        </w:rPr>
        <w:t>All</w:t>
      </w:r>
      <w:r>
        <w:rPr>
          <w:spacing w:val="-12"/>
          <w:sz w:val="20"/>
        </w:rPr>
        <w:t> </w:t>
      </w:r>
      <w:r>
        <w:rPr>
          <w:sz w:val="20"/>
        </w:rPr>
        <w:t>office furniture, such as tables, cabinets and desks, are managed by the Registry’s Facilities Management</w:t>
      </w:r>
      <w:r>
        <w:rPr>
          <w:spacing w:val="-10"/>
          <w:sz w:val="20"/>
        </w:rPr>
        <w:t> </w:t>
      </w:r>
      <w:r>
        <w:rPr>
          <w:sz w:val="20"/>
        </w:rPr>
        <w:t>Unit</w:t>
      </w:r>
      <w:r>
        <w:rPr>
          <w:spacing w:val="-9"/>
          <w:sz w:val="20"/>
        </w:rPr>
        <w:t> </w:t>
      </w:r>
      <w:r>
        <w:rPr>
          <w:sz w:val="20"/>
        </w:rPr>
        <w:t>and</w:t>
      </w:r>
      <w:r>
        <w:rPr>
          <w:spacing w:val="-13"/>
          <w:sz w:val="20"/>
        </w:rPr>
        <w:t> </w:t>
      </w:r>
      <w:r>
        <w:rPr>
          <w:sz w:val="20"/>
        </w:rPr>
        <w:t>budgeted</w:t>
      </w:r>
      <w:r>
        <w:rPr>
          <w:spacing w:val="-9"/>
          <w:sz w:val="20"/>
        </w:rPr>
        <w:t> </w:t>
      </w:r>
      <w:r>
        <w:rPr>
          <w:sz w:val="20"/>
        </w:rPr>
        <w:t>under</w:t>
      </w:r>
      <w:r>
        <w:rPr>
          <w:spacing w:val="-10"/>
          <w:sz w:val="20"/>
        </w:rPr>
        <w:t> </w:t>
      </w:r>
      <w:r>
        <w:rPr>
          <w:sz w:val="20"/>
        </w:rPr>
        <w:t>Major</w:t>
      </w:r>
      <w:r>
        <w:rPr>
          <w:spacing w:val="-10"/>
          <w:sz w:val="20"/>
        </w:rPr>
        <w:t> </w:t>
      </w:r>
      <w:r>
        <w:rPr>
          <w:sz w:val="20"/>
        </w:rPr>
        <w:t>Programme</w:t>
      </w:r>
      <w:r>
        <w:rPr>
          <w:spacing w:val="-9"/>
          <w:sz w:val="20"/>
        </w:rPr>
        <w:t> </w:t>
      </w:r>
      <w:r>
        <w:rPr>
          <w:sz w:val="20"/>
        </w:rPr>
        <w:t>III.</w:t>
      </w:r>
      <w:r>
        <w:rPr>
          <w:spacing w:val="-13"/>
          <w:sz w:val="20"/>
        </w:rPr>
        <w:t> </w:t>
      </w:r>
      <w:r>
        <w:rPr>
          <w:sz w:val="20"/>
        </w:rPr>
        <w:t>Unless</w:t>
      </w:r>
      <w:r>
        <w:rPr>
          <w:spacing w:val="-11"/>
          <w:sz w:val="20"/>
        </w:rPr>
        <w:t> </w:t>
      </w:r>
      <w:r>
        <w:rPr>
          <w:sz w:val="20"/>
        </w:rPr>
        <w:t>otherwise</w:t>
      </w:r>
      <w:r>
        <w:rPr>
          <w:spacing w:val="-9"/>
          <w:sz w:val="20"/>
        </w:rPr>
        <w:t> </w:t>
      </w:r>
      <w:r>
        <w:rPr>
          <w:sz w:val="20"/>
        </w:rPr>
        <w:t>indicated,</w:t>
      </w:r>
      <w:r>
        <w:rPr>
          <w:spacing w:val="-8"/>
          <w:sz w:val="20"/>
        </w:rPr>
        <w:t> </w:t>
      </w:r>
      <w:r>
        <w:rPr>
          <w:sz w:val="20"/>
        </w:rPr>
        <w:t>the resources requested are recurrent.</w:t>
      </w:r>
    </w:p>
    <w:p>
      <w:pPr>
        <w:pStyle w:val="BodyText"/>
        <w:spacing w:before="8"/>
      </w:pPr>
    </w:p>
    <w:p>
      <w:pPr>
        <w:tabs>
          <w:tab w:pos="6039" w:val="left" w:leader="none"/>
        </w:tabs>
        <w:spacing w:before="1"/>
        <w:ind w:left="4" w:right="0" w:firstLine="0"/>
        <w:jc w:val="center"/>
        <w:rPr>
          <w:i/>
          <w:sz w:val="20"/>
        </w:rPr>
      </w:pPr>
      <w:r>
        <w:rPr>
          <w:i/>
          <w:spacing w:val="-2"/>
          <w:sz w:val="20"/>
        </w:rPr>
        <w:t>Travel</w:t>
      </w:r>
      <w:r>
        <w:rPr>
          <w:i/>
          <w:sz w:val="20"/>
        </w:rPr>
        <w:tab/>
        <w:t>€740.0</w:t>
      </w:r>
      <w:r>
        <w:rPr>
          <w:i/>
          <w:spacing w:val="-3"/>
          <w:sz w:val="20"/>
        </w:rPr>
        <w:t> </w:t>
      </w:r>
      <w:r>
        <w:rPr>
          <w:i/>
          <w:spacing w:val="-2"/>
          <w:sz w:val="20"/>
        </w:rPr>
        <w:t>thousand</w:t>
      </w:r>
    </w:p>
    <w:p>
      <w:pPr>
        <w:pStyle w:val="BodyText"/>
        <w:spacing w:before="10"/>
        <w:rPr>
          <w:i/>
        </w:rPr>
      </w:pPr>
    </w:p>
    <w:p>
      <w:pPr>
        <w:pStyle w:val="ListParagraph"/>
        <w:numPr>
          <w:ilvl w:val="0"/>
          <w:numId w:val="4"/>
        </w:numPr>
        <w:tabs>
          <w:tab w:pos="2967" w:val="left" w:leader="none"/>
        </w:tabs>
        <w:spacing w:line="240" w:lineRule="auto" w:before="0" w:after="0"/>
        <w:ind w:left="2246" w:right="2241" w:firstLine="0"/>
        <w:jc w:val="both"/>
        <w:rPr>
          <w:sz w:val="20"/>
        </w:rPr>
      </w:pPr>
      <w:r>
        <w:rPr>
          <w:sz w:val="20"/>
        </w:rPr>
        <w:t>POS</w:t>
      </w:r>
      <w:r>
        <w:rPr>
          <w:spacing w:val="-1"/>
          <w:sz w:val="20"/>
        </w:rPr>
        <w:t> </w:t>
      </w:r>
      <w:r>
        <w:rPr>
          <w:sz w:val="20"/>
        </w:rPr>
        <w:t>will</w:t>
      </w:r>
      <w:r>
        <w:rPr>
          <w:spacing w:val="-3"/>
          <w:sz w:val="20"/>
        </w:rPr>
        <w:t> </w:t>
      </w:r>
      <w:r>
        <w:rPr>
          <w:sz w:val="20"/>
        </w:rPr>
        <w:t>continue</w:t>
      </w:r>
      <w:r>
        <w:rPr>
          <w:spacing w:val="-8"/>
          <w:sz w:val="20"/>
        </w:rPr>
        <w:t> </w:t>
      </w:r>
      <w:r>
        <w:rPr>
          <w:sz w:val="20"/>
        </w:rPr>
        <w:t>to</w:t>
      </w:r>
      <w:r>
        <w:rPr>
          <w:spacing w:val="-5"/>
          <w:sz w:val="20"/>
        </w:rPr>
        <w:t> </w:t>
      </w:r>
      <w:r>
        <w:rPr>
          <w:sz w:val="20"/>
        </w:rPr>
        <w:t>look</w:t>
      </w:r>
      <w:r>
        <w:rPr>
          <w:spacing w:val="-5"/>
          <w:sz w:val="20"/>
        </w:rPr>
        <w:t> </w:t>
      </w:r>
      <w:r>
        <w:rPr>
          <w:sz w:val="20"/>
        </w:rPr>
        <w:t>to</w:t>
      </w:r>
      <w:r>
        <w:rPr>
          <w:spacing w:val="-5"/>
          <w:sz w:val="20"/>
        </w:rPr>
        <w:t> </w:t>
      </w:r>
      <w:r>
        <w:rPr>
          <w:sz w:val="20"/>
        </w:rPr>
        <w:t>reduce</w:t>
      </w:r>
      <w:r>
        <w:rPr>
          <w:spacing w:val="-3"/>
          <w:sz w:val="20"/>
        </w:rPr>
        <w:t> </w:t>
      </w:r>
      <w:r>
        <w:rPr>
          <w:sz w:val="20"/>
        </w:rPr>
        <w:t>accommodation</w:t>
      </w:r>
      <w:r>
        <w:rPr>
          <w:spacing w:val="-5"/>
          <w:sz w:val="20"/>
        </w:rPr>
        <w:t> </w:t>
      </w:r>
      <w:r>
        <w:rPr>
          <w:sz w:val="20"/>
        </w:rPr>
        <w:t>and</w:t>
      </w:r>
      <w:r>
        <w:rPr>
          <w:spacing w:val="-5"/>
          <w:sz w:val="20"/>
        </w:rPr>
        <w:t> </w:t>
      </w:r>
      <w:r>
        <w:rPr>
          <w:sz w:val="20"/>
        </w:rPr>
        <w:t>DSA</w:t>
      </w:r>
      <w:r>
        <w:rPr>
          <w:spacing w:val="-1"/>
          <w:sz w:val="20"/>
        </w:rPr>
        <w:t> </w:t>
      </w:r>
      <w:r>
        <w:rPr>
          <w:sz w:val="20"/>
        </w:rPr>
        <w:t>costs</w:t>
      </w:r>
      <w:r>
        <w:rPr>
          <w:spacing w:val="-6"/>
          <w:sz w:val="20"/>
        </w:rPr>
        <w:t> </w:t>
      </w:r>
      <w:r>
        <w:rPr>
          <w:sz w:val="20"/>
        </w:rPr>
        <w:t>in</w:t>
      </w:r>
      <w:r>
        <w:rPr>
          <w:spacing w:val="-5"/>
          <w:sz w:val="20"/>
        </w:rPr>
        <w:t> </w:t>
      </w:r>
      <w:r>
        <w:rPr>
          <w:sz w:val="20"/>
        </w:rPr>
        <w:t>the</w:t>
      </w:r>
      <w:r>
        <w:rPr>
          <w:spacing w:val="-3"/>
          <w:sz w:val="20"/>
        </w:rPr>
        <w:t> </w:t>
      </w:r>
      <w:r>
        <w:rPr>
          <w:sz w:val="20"/>
        </w:rPr>
        <w:t>situation countries where</w:t>
      </w:r>
      <w:r>
        <w:rPr>
          <w:spacing w:val="-2"/>
          <w:sz w:val="20"/>
        </w:rPr>
        <w:t> </w:t>
      </w:r>
      <w:r>
        <w:rPr>
          <w:sz w:val="20"/>
        </w:rPr>
        <w:t>teams</w:t>
      </w:r>
      <w:r>
        <w:rPr>
          <w:spacing w:val="-5"/>
          <w:sz w:val="20"/>
        </w:rPr>
        <w:t> </w:t>
      </w:r>
      <w:r>
        <w:rPr>
          <w:sz w:val="20"/>
        </w:rPr>
        <w:t>are deployed for missions.</w:t>
      </w:r>
      <w:r>
        <w:rPr>
          <w:spacing w:val="-1"/>
          <w:sz w:val="20"/>
        </w:rPr>
        <w:t> </w:t>
      </w:r>
      <w:r>
        <w:rPr>
          <w:sz w:val="20"/>
        </w:rPr>
        <w:t>The increase in field presence and</w:t>
      </w:r>
      <w:r>
        <w:rPr>
          <w:spacing w:val="-4"/>
          <w:sz w:val="20"/>
        </w:rPr>
        <w:t> </w:t>
      </w:r>
      <w:r>
        <w:rPr>
          <w:sz w:val="20"/>
        </w:rPr>
        <w:t>a more flexible approach to the use of resources will help to reduce the volume of mission deployments. It is anticipated that, by maintaining this approach, savings can be made in operation costs</w:t>
      </w:r>
      <w:r>
        <w:rPr>
          <w:spacing w:val="-1"/>
          <w:sz w:val="20"/>
        </w:rPr>
        <w:t> </w:t>
      </w:r>
      <w:r>
        <w:rPr>
          <w:sz w:val="20"/>
        </w:rPr>
        <w:t>in 2023.</w:t>
      </w:r>
      <w:r>
        <w:rPr>
          <w:spacing w:val="-2"/>
          <w:sz w:val="20"/>
        </w:rPr>
        <w:t> </w:t>
      </w:r>
      <w:r>
        <w:rPr>
          <w:sz w:val="20"/>
        </w:rPr>
        <w:t>The</w:t>
      </w:r>
      <w:r>
        <w:rPr>
          <w:spacing w:val="-3"/>
          <w:sz w:val="20"/>
        </w:rPr>
        <w:t> </w:t>
      </w:r>
      <w:r>
        <w:rPr>
          <w:sz w:val="20"/>
        </w:rPr>
        <w:t>measures</w:t>
      </w:r>
      <w:r>
        <w:rPr>
          <w:spacing w:val="-1"/>
          <w:sz w:val="20"/>
        </w:rPr>
        <w:t> </w:t>
      </w:r>
      <w:r>
        <w:rPr>
          <w:sz w:val="20"/>
        </w:rPr>
        <w:t>the Office has</w:t>
      </w:r>
      <w:r>
        <w:rPr>
          <w:spacing w:val="-1"/>
          <w:sz w:val="20"/>
        </w:rPr>
        <w:t> </w:t>
      </w:r>
      <w:r>
        <w:rPr>
          <w:sz w:val="20"/>
        </w:rPr>
        <w:t>implemented will ensure</w:t>
      </w:r>
      <w:r>
        <w:rPr>
          <w:spacing w:val="-3"/>
          <w:sz w:val="20"/>
        </w:rPr>
        <w:t> </w:t>
      </w:r>
      <w:r>
        <w:rPr>
          <w:sz w:val="20"/>
        </w:rPr>
        <w:t>that the OTP will</w:t>
      </w:r>
      <w:r>
        <w:rPr>
          <w:spacing w:val="-12"/>
          <w:sz w:val="20"/>
        </w:rPr>
        <w:t> </w:t>
      </w:r>
      <w:r>
        <w:rPr>
          <w:sz w:val="20"/>
        </w:rPr>
        <w:t>continue</w:t>
      </w:r>
      <w:r>
        <w:rPr>
          <w:spacing w:val="-7"/>
          <w:sz w:val="20"/>
        </w:rPr>
        <w:t> </w:t>
      </w:r>
      <w:r>
        <w:rPr>
          <w:sz w:val="20"/>
        </w:rPr>
        <w:t>to</w:t>
      </w:r>
      <w:r>
        <w:rPr>
          <w:spacing w:val="-8"/>
          <w:sz w:val="20"/>
        </w:rPr>
        <w:t> </w:t>
      </w:r>
      <w:r>
        <w:rPr>
          <w:sz w:val="20"/>
        </w:rPr>
        <w:t>be</w:t>
      </w:r>
      <w:r>
        <w:rPr>
          <w:spacing w:val="-7"/>
          <w:sz w:val="20"/>
        </w:rPr>
        <w:t> </w:t>
      </w:r>
      <w:r>
        <w:rPr>
          <w:sz w:val="20"/>
        </w:rPr>
        <w:t>as</w:t>
      </w:r>
      <w:r>
        <w:rPr>
          <w:spacing w:val="-10"/>
          <w:sz w:val="20"/>
        </w:rPr>
        <w:t> </w:t>
      </w:r>
      <w:r>
        <w:rPr>
          <w:sz w:val="20"/>
        </w:rPr>
        <w:t>efficient</w:t>
      </w:r>
      <w:r>
        <w:rPr>
          <w:spacing w:val="-12"/>
          <w:sz w:val="20"/>
        </w:rPr>
        <w:t> </w:t>
      </w:r>
      <w:r>
        <w:rPr>
          <w:sz w:val="20"/>
        </w:rPr>
        <w:t>as</w:t>
      </w:r>
      <w:r>
        <w:rPr>
          <w:spacing w:val="-5"/>
          <w:sz w:val="20"/>
        </w:rPr>
        <w:t> </w:t>
      </w:r>
      <w:r>
        <w:rPr>
          <w:sz w:val="20"/>
        </w:rPr>
        <w:t>possible,</w:t>
      </w:r>
      <w:r>
        <w:rPr>
          <w:spacing w:val="-11"/>
          <w:sz w:val="20"/>
        </w:rPr>
        <w:t> </w:t>
      </w:r>
      <w:r>
        <w:rPr>
          <w:sz w:val="20"/>
        </w:rPr>
        <w:t>adapting</w:t>
      </w:r>
      <w:r>
        <w:rPr>
          <w:spacing w:val="-8"/>
          <w:sz w:val="20"/>
        </w:rPr>
        <w:t> </w:t>
      </w:r>
      <w:r>
        <w:rPr>
          <w:sz w:val="20"/>
        </w:rPr>
        <w:t>travel</w:t>
      </w:r>
      <w:r>
        <w:rPr>
          <w:spacing w:val="-7"/>
          <w:sz w:val="20"/>
        </w:rPr>
        <w:t> </w:t>
      </w:r>
      <w:r>
        <w:rPr>
          <w:sz w:val="20"/>
        </w:rPr>
        <w:t>arrangements</w:t>
      </w:r>
      <w:r>
        <w:rPr>
          <w:spacing w:val="-10"/>
          <w:sz w:val="20"/>
        </w:rPr>
        <w:t> </w:t>
      </w:r>
      <w:r>
        <w:rPr>
          <w:sz w:val="20"/>
        </w:rPr>
        <w:t>to</w:t>
      </w:r>
      <w:r>
        <w:rPr>
          <w:spacing w:val="-13"/>
          <w:sz w:val="20"/>
        </w:rPr>
        <w:t> </w:t>
      </w:r>
      <w:r>
        <w:rPr>
          <w:sz w:val="20"/>
        </w:rPr>
        <w:t>maintain</w:t>
      </w:r>
      <w:r>
        <w:rPr>
          <w:spacing w:val="-12"/>
          <w:sz w:val="20"/>
        </w:rPr>
        <w:t> </w:t>
      </w:r>
      <w:r>
        <w:rPr>
          <w:sz w:val="20"/>
        </w:rPr>
        <w:t>the</w:t>
      </w:r>
      <w:r>
        <w:rPr>
          <w:spacing w:val="-7"/>
          <w:sz w:val="20"/>
        </w:rPr>
        <w:t> </w:t>
      </w:r>
      <w:r>
        <w:rPr>
          <w:sz w:val="20"/>
        </w:rPr>
        <w:t>most effective balance between flight and DSA costs and the efficiency and progress of the </w:t>
      </w:r>
      <w:r>
        <w:rPr>
          <w:spacing w:val="-2"/>
          <w:sz w:val="20"/>
        </w:rPr>
        <w:t>investigations.</w:t>
      </w:r>
    </w:p>
    <w:p>
      <w:pPr>
        <w:pStyle w:val="ListParagraph"/>
        <w:numPr>
          <w:ilvl w:val="0"/>
          <w:numId w:val="4"/>
        </w:numPr>
        <w:tabs>
          <w:tab w:pos="2967" w:val="left" w:leader="none"/>
        </w:tabs>
        <w:spacing w:line="240" w:lineRule="auto" w:before="119" w:after="0"/>
        <w:ind w:left="2246" w:right="2240" w:firstLine="0"/>
        <w:jc w:val="both"/>
        <w:rPr>
          <w:sz w:val="20"/>
        </w:rPr>
      </w:pPr>
      <w:r>
        <w:rPr>
          <w:sz w:val="20"/>
        </w:rPr>
        <w:t>Missions in the field require local and international travel by interpreters recruited by</w:t>
      </w:r>
      <w:r>
        <w:rPr>
          <w:spacing w:val="-4"/>
          <w:sz w:val="20"/>
        </w:rPr>
        <w:t> </w:t>
      </w:r>
      <w:r>
        <w:rPr>
          <w:sz w:val="20"/>
        </w:rPr>
        <w:t>LSU</w:t>
      </w:r>
      <w:r>
        <w:rPr>
          <w:spacing w:val="-10"/>
          <w:sz w:val="20"/>
        </w:rPr>
        <w:t> </w:t>
      </w:r>
      <w:r>
        <w:rPr>
          <w:sz w:val="20"/>
        </w:rPr>
        <w:t>to</w:t>
      </w:r>
      <w:r>
        <w:rPr>
          <w:spacing w:val="-4"/>
          <w:sz w:val="20"/>
        </w:rPr>
        <w:t> </w:t>
      </w:r>
      <w:r>
        <w:rPr>
          <w:sz w:val="20"/>
        </w:rPr>
        <w:t>provide</w:t>
      </w:r>
      <w:r>
        <w:rPr>
          <w:spacing w:val="-2"/>
          <w:sz w:val="20"/>
        </w:rPr>
        <w:t> </w:t>
      </w:r>
      <w:r>
        <w:rPr>
          <w:sz w:val="20"/>
        </w:rPr>
        <w:t>the</w:t>
      </w:r>
      <w:r>
        <w:rPr>
          <w:spacing w:val="-2"/>
          <w:sz w:val="20"/>
        </w:rPr>
        <w:t> </w:t>
      </w:r>
      <w:r>
        <w:rPr>
          <w:sz w:val="20"/>
        </w:rPr>
        <w:t>necessary</w:t>
      </w:r>
      <w:r>
        <w:rPr>
          <w:spacing w:val="-4"/>
          <w:sz w:val="20"/>
        </w:rPr>
        <w:t> </w:t>
      </w:r>
      <w:r>
        <w:rPr>
          <w:sz w:val="20"/>
        </w:rPr>
        <w:t>support</w:t>
      </w:r>
      <w:r>
        <w:rPr>
          <w:spacing w:val="-7"/>
          <w:sz w:val="20"/>
        </w:rPr>
        <w:t> </w:t>
      </w:r>
      <w:r>
        <w:rPr>
          <w:sz w:val="20"/>
        </w:rPr>
        <w:t>for</w:t>
      </w:r>
      <w:r>
        <w:rPr>
          <w:spacing w:val="-8"/>
          <w:sz w:val="20"/>
        </w:rPr>
        <w:t> </w:t>
      </w:r>
      <w:r>
        <w:rPr>
          <w:sz w:val="20"/>
        </w:rPr>
        <w:t>investigation-</w:t>
      </w:r>
      <w:r>
        <w:rPr>
          <w:spacing w:val="-8"/>
          <w:sz w:val="20"/>
        </w:rPr>
        <w:t> </w:t>
      </w:r>
      <w:r>
        <w:rPr>
          <w:sz w:val="20"/>
        </w:rPr>
        <w:t>and</w:t>
      </w:r>
      <w:r>
        <w:rPr>
          <w:spacing w:val="-4"/>
          <w:sz w:val="20"/>
        </w:rPr>
        <w:t> </w:t>
      </w:r>
      <w:r>
        <w:rPr>
          <w:sz w:val="20"/>
        </w:rPr>
        <w:t>prosecution-related</w:t>
      </w:r>
      <w:r>
        <w:rPr>
          <w:spacing w:val="-8"/>
          <w:sz w:val="20"/>
        </w:rPr>
        <w:t> </w:t>
      </w:r>
      <w:r>
        <w:rPr>
          <w:sz w:val="20"/>
        </w:rPr>
        <w:t>activities during</w:t>
      </w:r>
      <w:r>
        <w:rPr>
          <w:spacing w:val="-13"/>
          <w:sz w:val="20"/>
        </w:rPr>
        <w:t> </w:t>
      </w:r>
      <w:r>
        <w:rPr>
          <w:sz w:val="20"/>
        </w:rPr>
        <w:t>the</w:t>
      </w:r>
      <w:r>
        <w:rPr>
          <w:spacing w:val="-12"/>
          <w:sz w:val="20"/>
        </w:rPr>
        <w:t> </w:t>
      </w:r>
      <w:r>
        <w:rPr>
          <w:sz w:val="20"/>
        </w:rPr>
        <w:t>preliminary</w:t>
      </w:r>
      <w:r>
        <w:rPr>
          <w:spacing w:val="-12"/>
          <w:sz w:val="20"/>
        </w:rPr>
        <w:t> </w:t>
      </w:r>
      <w:r>
        <w:rPr>
          <w:sz w:val="20"/>
        </w:rPr>
        <w:t>examination,</w:t>
      </w:r>
      <w:r>
        <w:rPr>
          <w:spacing w:val="-12"/>
          <w:sz w:val="20"/>
        </w:rPr>
        <w:t> </w:t>
      </w:r>
      <w:r>
        <w:rPr>
          <w:sz w:val="20"/>
        </w:rPr>
        <w:t>investigation,</w:t>
      </w:r>
      <w:r>
        <w:rPr>
          <w:spacing w:val="-8"/>
          <w:sz w:val="20"/>
        </w:rPr>
        <w:t> </w:t>
      </w:r>
      <w:r>
        <w:rPr>
          <w:sz w:val="20"/>
        </w:rPr>
        <w:t>pre-trial</w:t>
      </w:r>
      <w:r>
        <w:rPr>
          <w:spacing w:val="-13"/>
          <w:sz w:val="20"/>
        </w:rPr>
        <w:t> </w:t>
      </w:r>
      <w:r>
        <w:rPr>
          <w:sz w:val="20"/>
        </w:rPr>
        <w:t>and</w:t>
      </w:r>
      <w:r>
        <w:rPr>
          <w:spacing w:val="-9"/>
          <w:sz w:val="20"/>
        </w:rPr>
        <w:t> </w:t>
      </w:r>
      <w:r>
        <w:rPr>
          <w:sz w:val="20"/>
        </w:rPr>
        <w:t>trial</w:t>
      </w:r>
      <w:r>
        <w:rPr>
          <w:spacing w:val="-13"/>
          <w:sz w:val="20"/>
        </w:rPr>
        <w:t> </w:t>
      </w:r>
      <w:r>
        <w:rPr>
          <w:sz w:val="20"/>
        </w:rPr>
        <w:t>phases.</w:t>
      </w:r>
      <w:r>
        <w:rPr>
          <w:spacing w:val="-12"/>
          <w:sz w:val="20"/>
        </w:rPr>
        <w:t> </w:t>
      </w:r>
      <w:r>
        <w:rPr>
          <w:sz w:val="20"/>
        </w:rPr>
        <w:t>This</w:t>
      </w:r>
      <w:r>
        <w:rPr>
          <w:spacing w:val="-11"/>
          <w:sz w:val="20"/>
        </w:rPr>
        <w:t> </w:t>
      </w:r>
      <w:r>
        <w:rPr>
          <w:sz w:val="20"/>
        </w:rPr>
        <w:t>budget</w:t>
      </w:r>
      <w:r>
        <w:rPr>
          <w:spacing w:val="-9"/>
          <w:sz w:val="20"/>
        </w:rPr>
        <w:t> </w:t>
      </w:r>
      <w:r>
        <w:rPr>
          <w:sz w:val="20"/>
        </w:rPr>
        <w:t>item further includes funds for a number of missions to situation countries to assess and recruit field interpreters.</w:t>
      </w:r>
    </w:p>
    <w:p>
      <w:pPr>
        <w:pStyle w:val="ListParagraph"/>
        <w:numPr>
          <w:ilvl w:val="0"/>
          <w:numId w:val="4"/>
        </w:numPr>
        <w:tabs>
          <w:tab w:pos="2967" w:val="left" w:leader="none"/>
        </w:tabs>
        <w:spacing w:line="240" w:lineRule="auto" w:before="123" w:after="0"/>
        <w:ind w:left="2246" w:right="2244" w:firstLine="0"/>
        <w:jc w:val="both"/>
        <w:rPr>
          <w:sz w:val="20"/>
        </w:rPr>
      </w:pPr>
      <w:r>
        <w:rPr>
          <w:sz w:val="20"/>
        </w:rPr>
        <w:t>The requested</w:t>
      </w:r>
      <w:r>
        <w:rPr>
          <w:spacing w:val="-4"/>
          <w:sz w:val="20"/>
        </w:rPr>
        <w:t> </w:t>
      </w:r>
      <w:r>
        <w:rPr>
          <w:sz w:val="20"/>
        </w:rPr>
        <w:t>amount</w:t>
      </w:r>
      <w:r>
        <w:rPr>
          <w:spacing w:val="-2"/>
          <w:sz w:val="20"/>
        </w:rPr>
        <w:t> </w:t>
      </w:r>
      <w:r>
        <w:rPr>
          <w:sz w:val="20"/>
        </w:rPr>
        <w:t>also provides for a</w:t>
      </w:r>
      <w:r>
        <w:rPr>
          <w:spacing w:val="-2"/>
          <w:sz w:val="20"/>
        </w:rPr>
        <w:t> </w:t>
      </w:r>
      <w:r>
        <w:rPr>
          <w:sz w:val="20"/>
        </w:rPr>
        <w:t>limited number of</w:t>
      </w:r>
      <w:r>
        <w:rPr>
          <w:spacing w:val="-4"/>
          <w:sz w:val="20"/>
        </w:rPr>
        <w:t> </w:t>
      </w:r>
      <w:r>
        <w:rPr>
          <w:sz w:val="20"/>
        </w:rPr>
        <w:t>missions for</w:t>
      </w:r>
      <w:r>
        <w:rPr>
          <w:spacing w:val="-4"/>
          <w:sz w:val="20"/>
        </w:rPr>
        <w:t> </w:t>
      </w:r>
      <w:r>
        <w:rPr>
          <w:sz w:val="20"/>
        </w:rPr>
        <w:t>technical staff</w:t>
      </w:r>
      <w:r>
        <w:rPr>
          <w:spacing w:val="-9"/>
          <w:sz w:val="20"/>
        </w:rPr>
        <w:t> </w:t>
      </w:r>
      <w:r>
        <w:rPr>
          <w:sz w:val="20"/>
        </w:rPr>
        <w:t>to</w:t>
      </w:r>
      <w:r>
        <w:rPr>
          <w:spacing w:val="-9"/>
          <w:sz w:val="20"/>
        </w:rPr>
        <w:t> </w:t>
      </w:r>
      <w:r>
        <w:rPr>
          <w:sz w:val="20"/>
        </w:rPr>
        <w:t>provide</w:t>
      </w:r>
      <w:r>
        <w:rPr>
          <w:spacing w:val="-3"/>
          <w:sz w:val="20"/>
        </w:rPr>
        <w:t> </w:t>
      </w:r>
      <w:r>
        <w:rPr>
          <w:sz w:val="20"/>
        </w:rPr>
        <w:t>support</w:t>
      </w:r>
      <w:r>
        <w:rPr>
          <w:spacing w:val="-3"/>
          <w:sz w:val="20"/>
        </w:rPr>
        <w:t> </w:t>
      </w:r>
      <w:r>
        <w:rPr>
          <w:sz w:val="20"/>
        </w:rPr>
        <w:t>to</w:t>
      </w:r>
      <w:r>
        <w:rPr>
          <w:spacing w:val="-9"/>
          <w:sz w:val="20"/>
        </w:rPr>
        <w:t> </w:t>
      </w:r>
      <w:r>
        <w:rPr>
          <w:sz w:val="20"/>
        </w:rPr>
        <w:t>field</w:t>
      </w:r>
      <w:r>
        <w:rPr>
          <w:spacing w:val="-5"/>
          <w:sz w:val="20"/>
        </w:rPr>
        <w:t> </w:t>
      </w:r>
      <w:r>
        <w:rPr>
          <w:sz w:val="20"/>
        </w:rPr>
        <w:t>deployments,</w:t>
      </w:r>
      <w:r>
        <w:rPr>
          <w:spacing w:val="-7"/>
          <w:sz w:val="20"/>
        </w:rPr>
        <w:t> </w:t>
      </w:r>
      <w:r>
        <w:rPr>
          <w:sz w:val="20"/>
        </w:rPr>
        <w:t>manage,</w:t>
      </w:r>
      <w:r>
        <w:rPr>
          <w:spacing w:val="-7"/>
          <w:sz w:val="20"/>
        </w:rPr>
        <w:t> </w:t>
      </w:r>
      <w:r>
        <w:rPr>
          <w:sz w:val="20"/>
        </w:rPr>
        <w:t>deploy,</w:t>
      </w:r>
      <w:r>
        <w:rPr>
          <w:spacing w:val="-2"/>
          <w:sz w:val="20"/>
        </w:rPr>
        <w:t> </w:t>
      </w:r>
      <w:r>
        <w:rPr>
          <w:sz w:val="20"/>
        </w:rPr>
        <w:t>repatriate</w:t>
      </w:r>
      <w:r>
        <w:rPr>
          <w:spacing w:val="-3"/>
          <w:sz w:val="20"/>
        </w:rPr>
        <w:t> </w:t>
      </w:r>
      <w:r>
        <w:rPr>
          <w:sz w:val="20"/>
        </w:rPr>
        <w:t>or</w:t>
      </w:r>
      <w:r>
        <w:rPr>
          <w:spacing w:val="-9"/>
          <w:sz w:val="20"/>
        </w:rPr>
        <w:t> </w:t>
      </w:r>
      <w:r>
        <w:rPr>
          <w:sz w:val="20"/>
        </w:rPr>
        <w:t>write</w:t>
      </w:r>
      <w:r>
        <w:rPr>
          <w:spacing w:val="-8"/>
          <w:sz w:val="20"/>
        </w:rPr>
        <w:t> </w:t>
      </w:r>
      <w:r>
        <w:rPr>
          <w:sz w:val="20"/>
        </w:rPr>
        <w:t>off</w:t>
      </w:r>
      <w:r>
        <w:rPr>
          <w:spacing w:val="-9"/>
          <w:sz w:val="20"/>
        </w:rPr>
        <w:t> </w:t>
      </w:r>
      <w:r>
        <w:rPr>
          <w:sz w:val="20"/>
        </w:rPr>
        <w:t>IKEMS equipment and supplies currently located in field offices and to participate in professional symposiums and conferences.</w:t>
      </w:r>
    </w:p>
    <w:p>
      <w:pPr>
        <w:pStyle w:val="ListParagraph"/>
        <w:numPr>
          <w:ilvl w:val="0"/>
          <w:numId w:val="4"/>
        </w:numPr>
        <w:tabs>
          <w:tab w:pos="2967" w:val="left" w:leader="none"/>
        </w:tabs>
        <w:spacing w:line="240" w:lineRule="auto" w:before="121" w:after="0"/>
        <w:ind w:left="2246" w:right="2247" w:firstLine="0"/>
        <w:jc w:val="both"/>
        <w:rPr>
          <w:sz w:val="20"/>
        </w:rPr>
      </w:pPr>
      <w:r>
        <w:rPr>
          <w:sz w:val="20"/>
        </w:rPr>
        <w:t>Lastly, FSS will continue to require resources to deploy with the teams when forensic missions are needed.</w:t>
      </w:r>
    </w:p>
    <w:p>
      <w:pPr>
        <w:pStyle w:val="BodyText"/>
        <w:spacing w:before="7"/>
      </w:pPr>
    </w:p>
    <w:p>
      <w:pPr>
        <w:tabs>
          <w:tab w:pos="6039" w:val="left" w:leader="none"/>
        </w:tabs>
        <w:spacing w:before="0"/>
        <w:ind w:left="4" w:right="0" w:firstLine="0"/>
        <w:jc w:val="center"/>
        <w:rPr>
          <w:i/>
          <w:sz w:val="20"/>
        </w:rPr>
      </w:pPr>
      <w:r>
        <w:rPr>
          <w:i/>
          <w:sz w:val="20"/>
        </w:rPr>
        <w:t>Contractual</w:t>
      </w:r>
      <w:r>
        <w:rPr>
          <w:i/>
          <w:spacing w:val="-5"/>
          <w:sz w:val="20"/>
        </w:rPr>
        <w:t> </w:t>
      </w:r>
      <w:r>
        <w:rPr>
          <w:i/>
          <w:spacing w:val="-2"/>
          <w:sz w:val="20"/>
        </w:rPr>
        <w:t>services</w:t>
      </w:r>
      <w:r>
        <w:rPr>
          <w:i/>
          <w:sz w:val="20"/>
        </w:rPr>
        <w:tab/>
        <w:t>€390.0</w:t>
      </w:r>
      <w:r>
        <w:rPr>
          <w:i/>
          <w:spacing w:val="-3"/>
          <w:sz w:val="20"/>
        </w:rPr>
        <w:t> </w:t>
      </w:r>
      <w:r>
        <w:rPr>
          <w:i/>
          <w:spacing w:val="-2"/>
          <w:sz w:val="20"/>
        </w:rPr>
        <w:t>thousand</w:t>
      </w:r>
    </w:p>
    <w:p>
      <w:pPr>
        <w:pStyle w:val="BodyText"/>
        <w:spacing w:before="10"/>
        <w:rPr>
          <w:i/>
        </w:rPr>
      </w:pPr>
    </w:p>
    <w:p>
      <w:pPr>
        <w:pStyle w:val="ListParagraph"/>
        <w:numPr>
          <w:ilvl w:val="0"/>
          <w:numId w:val="4"/>
        </w:numPr>
        <w:tabs>
          <w:tab w:pos="2967" w:val="left" w:leader="none"/>
        </w:tabs>
        <w:spacing w:line="240" w:lineRule="auto" w:before="0" w:after="0"/>
        <w:ind w:left="2246" w:right="2242" w:firstLine="0"/>
        <w:jc w:val="both"/>
        <w:rPr>
          <w:sz w:val="20"/>
        </w:rPr>
      </w:pPr>
      <w:r>
        <w:rPr>
          <w:sz w:val="20"/>
        </w:rPr>
        <w:t>Contractual</w:t>
      </w:r>
      <w:r>
        <w:rPr>
          <w:spacing w:val="-13"/>
          <w:sz w:val="20"/>
        </w:rPr>
        <w:t> </w:t>
      </w:r>
      <w:r>
        <w:rPr>
          <w:sz w:val="20"/>
        </w:rPr>
        <w:t>services</w:t>
      </w:r>
      <w:r>
        <w:rPr>
          <w:spacing w:val="-12"/>
          <w:sz w:val="20"/>
        </w:rPr>
        <w:t> </w:t>
      </w:r>
      <w:r>
        <w:rPr>
          <w:sz w:val="20"/>
        </w:rPr>
        <w:t>are</w:t>
      </w:r>
      <w:r>
        <w:rPr>
          <w:spacing w:val="-11"/>
          <w:sz w:val="20"/>
        </w:rPr>
        <w:t> </w:t>
      </w:r>
      <w:r>
        <w:rPr>
          <w:sz w:val="20"/>
        </w:rPr>
        <w:t>needed</w:t>
      </w:r>
      <w:r>
        <w:rPr>
          <w:spacing w:val="-13"/>
          <w:sz w:val="20"/>
        </w:rPr>
        <w:t> </w:t>
      </w:r>
      <w:r>
        <w:rPr>
          <w:sz w:val="20"/>
        </w:rPr>
        <w:t>to</w:t>
      </w:r>
      <w:r>
        <w:rPr>
          <w:spacing w:val="-12"/>
          <w:sz w:val="20"/>
        </w:rPr>
        <w:t> </w:t>
      </w:r>
      <w:r>
        <w:rPr>
          <w:sz w:val="20"/>
        </w:rPr>
        <w:t>supplement</w:t>
      </w:r>
      <w:r>
        <w:rPr>
          <w:spacing w:val="-13"/>
          <w:sz w:val="20"/>
        </w:rPr>
        <w:t> </w:t>
      </w:r>
      <w:r>
        <w:rPr>
          <w:sz w:val="20"/>
        </w:rPr>
        <w:t>internal</w:t>
      </w:r>
      <w:r>
        <w:rPr>
          <w:spacing w:val="-12"/>
          <w:sz w:val="20"/>
        </w:rPr>
        <w:t> </w:t>
      </w:r>
      <w:r>
        <w:rPr>
          <w:sz w:val="20"/>
        </w:rPr>
        <w:t>projects</w:t>
      </w:r>
      <w:r>
        <w:rPr>
          <w:spacing w:val="-11"/>
          <w:sz w:val="20"/>
        </w:rPr>
        <w:t> </w:t>
      </w:r>
      <w:r>
        <w:rPr>
          <w:sz w:val="20"/>
        </w:rPr>
        <w:t>or</w:t>
      </w:r>
      <w:r>
        <w:rPr>
          <w:spacing w:val="-13"/>
          <w:sz w:val="20"/>
        </w:rPr>
        <w:t> </w:t>
      </w:r>
      <w:r>
        <w:rPr>
          <w:sz w:val="20"/>
        </w:rPr>
        <w:t>provide</w:t>
      </w:r>
      <w:r>
        <w:rPr>
          <w:spacing w:val="-12"/>
          <w:sz w:val="20"/>
        </w:rPr>
        <w:t> </w:t>
      </w:r>
      <w:r>
        <w:rPr>
          <w:sz w:val="20"/>
        </w:rPr>
        <w:t>resources for</w:t>
      </w:r>
      <w:r>
        <w:rPr>
          <w:spacing w:val="-13"/>
          <w:sz w:val="20"/>
        </w:rPr>
        <w:t> </w:t>
      </w:r>
      <w:r>
        <w:rPr>
          <w:sz w:val="20"/>
        </w:rPr>
        <w:t>special</w:t>
      </w:r>
      <w:r>
        <w:rPr>
          <w:spacing w:val="-12"/>
          <w:sz w:val="20"/>
        </w:rPr>
        <w:t> </w:t>
      </w:r>
      <w:r>
        <w:rPr>
          <w:sz w:val="20"/>
        </w:rPr>
        <w:t>requirements</w:t>
      </w:r>
      <w:r>
        <w:rPr>
          <w:spacing w:val="-13"/>
          <w:sz w:val="20"/>
        </w:rPr>
        <w:t> </w:t>
      </w:r>
      <w:r>
        <w:rPr>
          <w:sz w:val="20"/>
        </w:rPr>
        <w:t>and</w:t>
      </w:r>
      <w:r>
        <w:rPr>
          <w:spacing w:val="-12"/>
          <w:sz w:val="20"/>
        </w:rPr>
        <w:t> </w:t>
      </w:r>
      <w:r>
        <w:rPr>
          <w:sz w:val="20"/>
        </w:rPr>
        <w:t>peaks</w:t>
      </w:r>
      <w:r>
        <w:rPr>
          <w:spacing w:val="-13"/>
          <w:sz w:val="20"/>
        </w:rPr>
        <w:t> </w:t>
      </w:r>
      <w:r>
        <w:rPr>
          <w:sz w:val="20"/>
        </w:rPr>
        <w:t>in</w:t>
      </w:r>
      <w:r>
        <w:rPr>
          <w:spacing w:val="-12"/>
          <w:sz w:val="20"/>
        </w:rPr>
        <w:t> </w:t>
      </w:r>
      <w:r>
        <w:rPr>
          <w:sz w:val="20"/>
        </w:rPr>
        <w:t>activity</w:t>
      </w:r>
      <w:r>
        <w:rPr>
          <w:spacing w:val="-13"/>
          <w:sz w:val="20"/>
        </w:rPr>
        <w:t> </w:t>
      </w:r>
      <w:r>
        <w:rPr>
          <w:sz w:val="20"/>
        </w:rPr>
        <w:t>that</w:t>
      </w:r>
      <w:r>
        <w:rPr>
          <w:spacing w:val="-12"/>
          <w:sz w:val="20"/>
        </w:rPr>
        <w:t> </w:t>
      </w:r>
      <w:r>
        <w:rPr>
          <w:sz w:val="20"/>
        </w:rPr>
        <w:t>cannot</w:t>
      </w:r>
      <w:r>
        <w:rPr>
          <w:spacing w:val="-13"/>
          <w:sz w:val="20"/>
        </w:rPr>
        <w:t> </w:t>
      </w:r>
      <w:r>
        <w:rPr>
          <w:sz w:val="20"/>
        </w:rPr>
        <w:t>be</w:t>
      </w:r>
      <w:r>
        <w:rPr>
          <w:spacing w:val="-12"/>
          <w:sz w:val="20"/>
        </w:rPr>
        <w:t> </w:t>
      </w:r>
      <w:r>
        <w:rPr>
          <w:sz w:val="20"/>
        </w:rPr>
        <w:t>effectively</w:t>
      </w:r>
      <w:r>
        <w:rPr>
          <w:spacing w:val="-13"/>
          <w:sz w:val="20"/>
        </w:rPr>
        <w:t> </w:t>
      </w:r>
      <w:r>
        <w:rPr>
          <w:sz w:val="20"/>
        </w:rPr>
        <w:t>and</w:t>
      </w:r>
      <w:r>
        <w:rPr>
          <w:spacing w:val="-12"/>
          <w:sz w:val="20"/>
        </w:rPr>
        <w:t> </w:t>
      </w:r>
      <w:r>
        <w:rPr>
          <w:sz w:val="20"/>
        </w:rPr>
        <w:t>promptly</w:t>
      </w:r>
      <w:r>
        <w:rPr>
          <w:spacing w:val="-13"/>
          <w:sz w:val="20"/>
        </w:rPr>
        <w:t> </w:t>
      </w:r>
      <w:r>
        <w:rPr>
          <w:sz w:val="20"/>
        </w:rPr>
        <w:t>handled in-house through additional recruitment. For example, translation and transcription outsourcing remains critical to supplement the Office’s in-house capacity where confidentiality constraints allow, to ensure that the most</w:t>
      </w:r>
      <w:r>
        <w:rPr>
          <w:spacing w:val="-2"/>
          <w:sz w:val="20"/>
        </w:rPr>
        <w:t> </w:t>
      </w:r>
      <w:r>
        <w:rPr>
          <w:sz w:val="20"/>
        </w:rPr>
        <w:t>effective blend possible of internal and</w:t>
      </w:r>
      <w:r>
        <w:rPr>
          <w:spacing w:val="15"/>
          <w:sz w:val="20"/>
        </w:rPr>
        <w:t> </w:t>
      </w:r>
      <w:r>
        <w:rPr>
          <w:sz w:val="20"/>
        </w:rPr>
        <w:t>external</w:t>
      </w:r>
      <w:r>
        <w:rPr>
          <w:spacing w:val="17"/>
          <w:sz w:val="20"/>
        </w:rPr>
        <w:t> </w:t>
      </w:r>
      <w:r>
        <w:rPr>
          <w:sz w:val="20"/>
        </w:rPr>
        <w:t>resources</w:t>
      </w:r>
      <w:r>
        <w:rPr>
          <w:spacing w:val="19"/>
          <w:sz w:val="20"/>
        </w:rPr>
        <w:t> </w:t>
      </w:r>
      <w:r>
        <w:rPr>
          <w:sz w:val="20"/>
        </w:rPr>
        <w:t>is exploited</w:t>
      </w:r>
      <w:r>
        <w:rPr>
          <w:spacing w:val="20"/>
          <w:sz w:val="20"/>
        </w:rPr>
        <w:t> </w:t>
      </w:r>
      <w:r>
        <w:rPr>
          <w:sz w:val="20"/>
        </w:rPr>
        <w:t>with</w:t>
      </w:r>
      <w:r>
        <w:rPr>
          <w:spacing w:val="15"/>
          <w:sz w:val="20"/>
        </w:rPr>
        <w:t> </w:t>
      </w:r>
      <w:r>
        <w:rPr>
          <w:sz w:val="20"/>
        </w:rPr>
        <w:t>a</w:t>
      </w:r>
      <w:r>
        <w:rPr>
          <w:spacing w:val="17"/>
          <w:sz w:val="20"/>
        </w:rPr>
        <w:t> </w:t>
      </w:r>
      <w:r>
        <w:rPr>
          <w:sz w:val="20"/>
        </w:rPr>
        <w:t>mind</w:t>
      </w:r>
      <w:r>
        <w:rPr>
          <w:spacing w:val="15"/>
          <w:sz w:val="20"/>
        </w:rPr>
        <w:t> </w:t>
      </w:r>
      <w:r>
        <w:rPr>
          <w:sz w:val="20"/>
        </w:rPr>
        <w:t>to</w:t>
      </w:r>
      <w:r>
        <w:rPr>
          <w:spacing w:val="15"/>
          <w:sz w:val="20"/>
        </w:rPr>
        <w:t> </w:t>
      </w:r>
      <w:r>
        <w:rPr>
          <w:sz w:val="20"/>
        </w:rPr>
        <w:t>financial</w:t>
      </w:r>
      <w:r>
        <w:rPr>
          <w:spacing w:val="17"/>
          <w:sz w:val="20"/>
        </w:rPr>
        <w:t> </w:t>
      </w:r>
      <w:r>
        <w:rPr>
          <w:sz w:val="20"/>
        </w:rPr>
        <w:t>responsibility</w:t>
      </w:r>
      <w:r>
        <w:rPr>
          <w:spacing w:val="15"/>
          <w:sz w:val="20"/>
        </w:rPr>
        <w:t> </w:t>
      </w:r>
      <w:r>
        <w:rPr>
          <w:sz w:val="20"/>
        </w:rPr>
        <w:t>in</w:t>
      </w:r>
      <w:r>
        <w:rPr>
          <w:spacing w:val="20"/>
          <w:sz w:val="20"/>
        </w:rPr>
        <w:t> </w:t>
      </w:r>
      <w:r>
        <w:rPr>
          <w:sz w:val="20"/>
        </w:rPr>
        <w:t>dealing</w:t>
      </w:r>
      <w:r>
        <w:rPr>
          <w:spacing w:val="20"/>
          <w:sz w:val="20"/>
        </w:rPr>
        <w:t> </w:t>
      </w:r>
      <w:r>
        <w:rPr>
          <w:sz w:val="20"/>
        </w:rPr>
        <w:t>with</w:t>
      </w:r>
    </w:p>
    <w:p>
      <w:pPr>
        <w:spacing w:after="0" w:line="240" w:lineRule="auto"/>
        <w:jc w:val="both"/>
        <w:rPr>
          <w:sz w:val="20"/>
        </w:rPr>
        <w:sectPr>
          <w:pgSz w:w="11910" w:h="16840"/>
          <w:pgMar w:header="953" w:footer="940" w:top="1140" w:bottom="1140" w:left="20" w:right="20"/>
        </w:sectPr>
      </w:pPr>
    </w:p>
    <w:p>
      <w:pPr>
        <w:pStyle w:val="BodyText"/>
        <w:spacing w:before="120"/>
        <w:ind w:left="2246" w:right="2195"/>
      </w:pPr>
      <w:r>
        <w:rPr/>
        <w:t>activity</w:t>
      </w:r>
      <w:r>
        <w:rPr>
          <w:spacing w:val="40"/>
        </w:rPr>
        <w:t> </w:t>
      </w:r>
      <w:r>
        <w:rPr/>
        <w:t>peaks</w:t>
      </w:r>
      <w:r>
        <w:rPr>
          <w:spacing w:val="40"/>
        </w:rPr>
        <w:t> </w:t>
      </w:r>
      <w:r>
        <w:rPr/>
        <w:t>due</w:t>
      </w:r>
      <w:r>
        <w:rPr>
          <w:spacing w:val="40"/>
        </w:rPr>
        <w:t> </w:t>
      </w:r>
      <w:r>
        <w:rPr/>
        <w:t>to</w:t>
      </w:r>
      <w:r>
        <w:rPr>
          <w:spacing w:val="38"/>
        </w:rPr>
        <w:t> </w:t>
      </w:r>
      <w:r>
        <w:rPr/>
        <w:t>case-specific,</w:t>
      </w:r>
      <w:r>
        <w:rPr>
          <w:spacing w:val="40"/>
        </w:rPr>
        <w:t> </w:t>
      </w:r>
      <w:r>
        <w:rPr/>
        <w:t>time-bound</w:t>
      </w:r>
      <w:r>
        <w:rPr>
          <w:spacing w:val="40"/>
        </w:rPr>
        <w:t> </w:t>
      </w:r>
      <w:r>
        <w:rPr/>
        <w:t>workloads</w:t>
      </w:r>
      <w:r>
        <w:rPr>
          <w:spacing w:val="40"/>
        </w:rPr>
        <w:t> </w:t>
      </w:r>
      <w:r>
        <w:rPr/>
        <w:t>that</w:t>
      </w:r>
      <w:r>
        <w:rPr>
          <w:spacing w:val="40"/>
        </w:rPr>
        <w:t> </w:t>
      </w:r>
      <w:r>
        <w:rPr/>
        <w:t>must</w:t>
      </w:r>
      <w:r>
        <w:rPr>
          <w:spacing w:val="40"/>
        </w:rPr>
        <w:t> </w:t>
      </w:r>
      <w:r>
        <w:rPr/>
        <w:t>be</w:t>
      </w:r>
      <w:r>
        <w:rPr>
          <w:spacing w:val="40"/>
        </w:rPr>
        <w:t> </w:t>
      </w:r>
      <w:r>
        <w:rPr/>
        <w:t>transcribed</w:t>
      </w:r>
      <w:r>
        <w:rPr>
          <w:spacing w:val="40"/>
        </w:rPr>
        <w:t> </w:t>
      </w:r>
      <w:r>
        <w:rPr/>
        <w:t>in, or translated into or out of, languages for which no in-house capacity exists or is required.</w:t>
      </w:r>
    </w:p>
    <w:p>
      <w:pPr>
        <w:pStyle w:val="BodyText"/>
        <w:spacing w:before="11"/>
      </w:pPr>
    </w:p>
    <w:p>
      <w:pPr>
        <w:tabs>
          <w:tab w:pos="8282" w:val="left" w:leader="none"/>
        </w:tabs>
        <w:spacing w:before="0"/>
        <w:ind w:left="2246" w:right="0" w:firstLine="0"/>
        <w:jc w:val="left"/>
        <w:rPr>
          <w:i/>
          <w:sz w:val="20"/>
        </w:rPr>
      </w:pPr>
      <w:r>
        <w:rPr>
          <w:i/>
          <w:sz w:val="20"/>
        </w:rPr>
        <w:t>General</w:t>
      </w:r>
      <w:r>
        <w:rPr>
          <w:i/>
          <w:spacing w:val="-7"/>
          <w:sz w:val="20"/>
        </w:rPr>
        <w:t> </w:t>
      </w:r>
      <w:r>
        <w:rPr>
          <w:i/>
          <w:sz w:val="20"/>
        </w:rPr>
        <w:t>operating</w:t>
      </w:r>
      <w:r>
        <w:rPr>
          <w:i/>
          <w:spacing w:val="-8"/>
          <w:sz w:val="20"/>
        </w:rPr>
        <w:t> </w:t>
      </w:r>
      <w:r>
        <w:rPr>
          <w:i/>
          <w:spacing w:val="-2"/>
          <w:sz w:val="20"/>
        </w:rPr>
        <w:t>expenses</w:t>
      </w:r>
      <w:r>
        <w:rPr>
          <w:i/>
          <w:sz w:val="20"/>
        </w:rPr>
        <w:tab/>
        <w:t>€346.0</w:t>
      </w:r>
      <w:r>
        <w:rPr>
          <w:i/>
          <w:spacing w:val="-3"/>
          <w:sz w:val="20"/>
        </w:rPr>
        <w:t> </w:t>
      </w:r>
      <w:r>
        <w:rPr>
          <w:i/>
          <w:spacing w:val="-2"/>
          <w:sz w:val="20"/>
        </w:rPr>
        <w:t>thousand</w:t>
      </w:r>
    </w:p>
    <w:p>
      <w:pPr>
        <w:pStyle w:val="BodyText"/>
        <w:spacing w:before="11"/>
        <w:rPr>
          <w:i/>
        </w:rPr>
      </w:pPr>
    </w:p>
    <w:p>
      <w:pPr>
        <w:pStyle w:val="ListParagraph"/>
        <w:numPr>
          <w:ilvl w:val="0"/>
          <w:numId w:val="4"/>
        </w:numPr>
        <w:tabs>
          <w:tab w:pos="2967" w:val="left" w:leader="none"/>
        </w:tabs>
        <w:spacing w:line="240" w:lineRule="auto" w:before="0" w:after="0"/>
        <w:ind w:left="2246" w:right="2244" w:firstLine="0"/>
        <w:jc w:val="both"/>
        <w:rPr>
          <w:sz w:val="20"/>
        </w:rPr>
      </w:pPr>
      <w:r>
        <w:rPr>
          <w:sz w:val="20"/>
        </w:rPr>
        <w:t>As explained in paragraphs 305, 350 and 388, following the reorganization of the Office and the allocation of unified teams in the Deputy Prosecution pillars, the funds requested for general operating expenses</w:t>
      </w:r>
      <w:r>
        <w:rPr>
          <w:spacing w:val="-1"/>
          <w:sz w:val="20"/>
        </w:rPr>
        <w:t> </w:t>
      </w:r>
      <w:r>
        <w:rPr>
          <w:sz w:val="20"/>
        </w:rPr>
        <w:t>are split into Programme 2500, Programme 2600, Programme 2700 and Programme 2800 (under POS). This explains the difference in the amount requested for this Programme in comparison to the 2022 approved budget.</w:t>
      </w:r>
    </w:p>
    <w:p>
      <w:pPr>
        <w:pStyle w:val="ListParagraph"/>
        <w:numPr>
          <w:ilvl w:val="0"/>
          <w:numId w:val="4"/>
        </w:numPr>
        <w:tabs>
          <w:tab w:pos="2967" w:val="left" w:leader="none"/>
        </w:tabs>
        <w:spacing w:line="240" w:lineRule="auto" w:before="122" w:after="0"/>
        <w:ind w:left="2246" w:right="2244" w:firstLine="0"/>
        <w:jc w:val="both"/>
        <w:rPr>
          <w:sz w:val="20"/>
        </w:rPr>
      </w:pPr>
      <w:r>
        <w:rPr>
          <w:sz w:val="20"/>
        </w:rPr>
        <w:t>This budget item is a recurrent cost necessarily incurred by the attendance of witnesses</w:t>
      </w:r>
      <w:r>
        <w:rPr>
          <w:spacing w:val="-1"/>
          <w:sz w:val="20"/>
        </w:rPr>
        <w:t> </w:t>
      </w:r>
      <w:r>
        <w:rPr>
          <w:sz w:val="20"/>
        </w:rPr>
        <w:t>at</w:t>
      </w:r>
      <w:r>
        <w:rPr>
          <w:spacing w:val="-2"/>
          <w:sz w:val="20"/>
        </w:rPr>
        <w:t> </w:t>
      </w:r>
      <w:r>
        <w:rPr>
          <w:sz w:val="20"/>
        </w:rPr>
        <w:t>interviews</w:t>
      </w:r>
      <w:r>
        <w:rPr>
          <w:spacing w:val="-5"/>
          <w:sz w:val="20"/>
        </w:rPr>
        <w:t> </w:t>
      </w:r>
      <w:r>
        <w:rPr>
          <w:sz w:val="20"/>
        </w:rPr>
        <w:t>and the Office’s fulfilment</w:t>
      </w:r>
      <w:r>
        <w:rPr>
          <w:spacing w:val="-2"/>
          <w:sz w:val="20"/>
        </w:rPr>
        <w:t> </w:t>
      </w:r>
      <w:r>
        <w:rPr>
          <w:sz w:val="20"/>
        </w:rPr>
        <w:t>of its</w:t>
      </w:r>
      <w:r>
        <w:rPr>
          <w:spacing w:val="-1"/>
          <w:sz w:val="20"/>
        </w:rPr>
        <w:t> </w:t>
      </w:r>
      <w:r>
        <w:rPr>
          <w:sz w:val="20"/>
        </w:rPr>
        <w:t>duty</w:t>
      </w:r>
      <w:r>
        <w:rPr>
          <w:spacing w:val="-4"/>
          <w:sz w:val="20"/>
        </w:rPr>
        <w:t> </w:t>
      </w:r>
      <w:r>
        <w:rPr>
          <w:sz w:val="20"/>
        </w:rPr>
        <w:t>of care</w:t>
      </w:r>
      <w:r>
        <w:rPr>
          <w:spacing w:val="-2"/>
          <w:sz w:val="20"/>
        </w:rPr>
        <w:t> </w:t>
      </w:r>
      <w:r>
        <w:rPr>
          <w:sz w:val="20"/>
        </w:rPr>
        <w:t>to witnesses</w:t>
      </w:r>
      <w:r>
        <w:rPr>
          <w:spacing w:val="-1"/>
          <w:sz w:val="20"/>
        </w:rPr>
        <w:t> </w:t>
      </w:r>
      <w:r>
        <w:rPr>
          <w:sz w:val="20"/>
        </w:rPr>
        <w:t>during all phases of activities (preliminary examinations, investigations, trials and remaining residual </w:t>
      </w:r>
      <w:r>
        <w:rPr>
          <w:spacing w:val="-2"/>
          <w:sz w:val="20"/>
        </w:rPr>
        <w:t>cases).</w:t>
      </w:r>
    </w:p>
    <w:p>
      <w:pPr>
        <w:pStyle w:val="ListParagraph"/>
        <w:numPr>
          <w:ilvl w:val="0"/>
          <w:numId w:val="4"/>
        </w:numPr>
        <w:tabs>
          <w:tab w:pos="2967" w:val="left" w:leader="none"/>
        </w:tabs>
        <w:spacing w:line="240" w:lineRule="auto" w:before="117" w:after="0"/>
        <w:ind w:left="2246" w:right="2243" w:firstLine="0"/>
        <w:jc w:val="both"/>
        <w:rPr>
          <w:sz w:val="20"/>
        </w:rPr>
      </w:pPr>
      <w:r>
        <w:rPr>
          <w:sz w:val="20"/>
        </w:rPr>
        <w:t>The</w:t>
      </w:r>
      <w:r>
        <w:rPr>
          <w:spacing w:val="-13"/>
          <w:sz w:val="20"/>
        </w:rPr>
        <w:t> </w:t>
      </w:r>
      <w:r>
        <w:rPr>
          <w:sz w:val="20"/>
        </w:rPr>
        <w:t>funds</w:t>
      </w:r>
      <w:r>
        <w:rPr>
          <w:spacing w:val="-12"/>
          <w:sz w:val="20"/>
        </w:rPr>
        <w:t> </w:t>
      </w:r>
      <w:r>
        <w:rPr>
          <w:sz w:val="20"/>
        </w:rPr>
        <w:t>requested</w:t>
      </w:r>
      <w:r>
        <w:rPr>
          <w:spacing w:val="-11"/>
          <w:sz w:val="20"/>
        </w:rPr>
        <w:t> </w:t>
      </w:r>
      <w:r>
        <w:rPr>
          <w:sz w:val="20"/>
        </w:rPr>
        <w:t>in</w:t>
      </w:r>
      <w:r>
        <w:rPr>
          <w:spacing w:val="-8"/>
          <w:sz w:val="20"/>
        </w:rPr>
        <w:t> </w:t>
      </w:r>
      <w:r>
        <w:rPr>
          <w:sz w:val="20"/>
        </w:rPr>
        <w:t>general</w:t>
      </w:r>
      <w:r>
        <w:rPr>
          <w:spacing w:val="-12"/>
          <w:sz w:val="20"/>
        </w:rPr>
        <w:t> </w:t>
      </w:r>
      <w:r>
        <w:rPr>
          <w:sz w:val="20"/>
        </w:rPr>
        <w:t>operating</w:t>
      </w:r>
      <w:r>
        <w:rPr>
          <w:spacing w:val="-13"/>
          <w:sz w:val="20"/>
        </w:rPr>
        <w:t> </w:t>
      </w:r>
      <w:r>
        <w:rPr>
          <w:sz w:val="20"/>
        </w:rPr>
        <w:t>expenses</w:t>
      </w:r>
      <w:r>
        <w:rPr>
          <w:spacing w:val="-12"/>
          <w:sz w:val="20"/>
        </w:rPr>
        <w:t> </w:t>
      </w:r>
      <w:r>
        <w:rPr>
          <w:sz w:val="20"/>
        </w:rPr>
        <w:t>are</w:t>
      </w:r>
      <w:r>
        <w:rPr>
          <w:spacing w:val="-7"/>
          <w:sz w:val="20"/>
        </w:rPr>
        <w:t> </w:t>
      </w:r>
      <w:r>
        <w:rPr>
          <w:sz w:val="20"/>
        </w:rPr>
        <w:t>based</w:t>
      </w:r>
      <w:r>
        <w:rPr>
          <w:spacing w:val="-13"/>
          <w:sz w:val="20"/>
        </w:rPr>
        <w:t> </w:t>
      </w:r>
      <w:r>
        <w:rPr>
          <w:sz w:val="20"/>
        </w:rPr>
        <w:t>on</w:t>
      </w:r>
      <w:r>
        <w:rPr>
          <w:spacing w:val="-8"/>
          <w:sz w:val="20"/>
        </w:rPr>
        <w:t> </w:t>
      </w:r>
      <w:r>
        <w:rPr>
          <w:sz w:val="20"/>
        </w:rPr>
        <w:t>a</w:t>
      </w:r>
      <w:r>
        <w:rPr>
          <w:spacing w:val="-12"/>
          <w:sz w:val="20"/>
        </w:rPr>
        <w:t> </w:t>
      </w:r>
      <w:r>
        <w:rPr>
          <w:sz w:val="20"/>
        </w:rPr>
        <w:t>number</w:t>
      </w:r>
      <w:r>
        <w:rPr>
          <w:spacing w:val="-13"/>
          <w:sz w:val="20"/>
        </w:rPr>
        <w:t> </w:t>
      </w:r>
      <w:r>
        <w:rPr>
          <w:sz w:val="20"/>
        </w:rPr>
        <w:t>of</w:t>
      </w:r>
      <w:r>
        <w:rPr>
          <w:spacing w:val="-8"/>
          <w:sz w:val="20"/>
        </w:rPr>
        <w:t> </w:t>
      </w:r>
      <w:r>
        <w:rPr>
          <w:sz w:val="20"/>
        </w:rPr>
        <w:t>factors: the need to interact with new witnesses in ongoing investigations while satisfying a continuing duty of care to existing witnesses, and longer-term rental of accommodation for staff during missions.</w:t>
      </w:r>
    </w:p>
    <w:p>
      <w:pPr>
        <w:pStyle w:val="ListParagraph"/>
        <w:numPr>
          <w:ilvl w:val="0"/>
          <w:numId w:val="4"/>
        </w:numPr>
        <w:tabs>
          <w:tab w:pos="2967" w:val="left" w:leader="none"/>
        </w:tabs>
        <w:spacing w:line="240" w:lineRule="auto" w:before="122" w:after="0"/>
        <w:ind w:left="2246" w:right="2238" w:firstLine="0"/>
        <w:jc w:val="both"/>
        <w:rPr>
          <w:sz w:val="20"/>
        </w:rPr>
      </w:pPr>
      <w:r>
        <w:rPr>
          <w:sz w:val="20"/>
        </w:rPr>
        <w:t>Part</w:t>
      </w:r>
      <w:r>
        <w:rPr>
          <w:spacing w:val="-3"/>
          <w:sz w:val="20"/>
        </w:rPr>
        <w:t> </w:t>
      </w:r>
      <w:r>
        <w:rPr>
          <w:sz w:val="20"/>
        </w:rPr>
        <w:t>of</w:t>
      </w:r>
      <w:r>
        <w:rPr>
          <w:spacing w:val="-5"/>
          <w:sz w:val="20"/>
        </w:rPr>
        <w:t> </w:t>
      </w:r>
      <w:r>
        <w:rPr>
          <w:sz w:val="20"/>
        </w:rPr>
        <w:t>the</w:t>
      </w:r>
      <w:r>
        <w:rPr>
          <w:spacing w:val="-3"/>
          <w:sz w:val="20"/>
        </w:rPr>
        <w:t> </w:t>
      </w:r>
      <w:r>
        <w:rPr>
          <w:sz w:val="20"/>
        </w:rPr>
        <w:t>general</w:t>
      </w:r>
      <w:r>
        <w:rPr>
          <w:spacing w:val="-3"/>
          <w:sz w:val="20"/>
        </w:rPr>
        <w:t> </w:t>
      </w:r>
      <w:r>
        <w:rPr>
          <w:sz w:val="20"/>
        </w:rPr>
        <w:t>operating</w:t>
      </w:r>
      <w:r>
        <w:rPr>
          <w:spacing w:val="-5"/>
          <w:sz w:val="20"/>
        </w:rPr>
        <w:t> </w:t>
      </w:r>
      <w:r>
        <w:rPr>
          <w:sz w:val="20"/>
        </w:rPr>
        <w:t>expenses</w:t>
      </w:r>
      <w:r>
        <w:rPr>
          <w:spacing w:val="-6"/>
          <w:sz w:val="20"/>
        </w:rPr>
        <w:t> </w:t>
      </w:r>
      <w:r>
        <w:rPr>
          <w:sz w:val="20"/>
        </w:rPr>
        <w:t>is</w:t>
      </w:r>
      <w:r>
        <w:rPr>
          <w:spacing w:val="-11"/>
          <w:sz w:val="20"/>
        </w:rPr>
        <w:t> </w:t>
      </w:r>
      <w:r>
        <w:rPr>
          <w:sz w:val="20"/>
        </w:rPr>
        <w:t>for</w:t>
      </w:r>
      <w:r>
        <w:rPr>
          <w:spacing w:val="-9"/>
          <w:sz w:val="20"/>
        </w:rPr>
        <w:t> </w:t>
      </w:r>
      <w:r>
        <w:rPr>
          <w:sz w:val="20"/>
        </w:rPr>
        <w:t>accommodation</w:t>
      </w:r>
      <w:r>
        <w:rPr>
          <w:spacing w:val="-9"/>
          <w:sz w:val="20"/>
        </w:rPr>
        <w:t> </w:t>
      </w:r>
      <w:r>
        <w:rPr>
          <w:sz w:val="20"/>
        </w:rPr>
        <w:t>agreements,</w:t>
      </w:r>
      <w:r>
        <w:rPr>
          <w:spacing w:val="-2"/>
          <w:sz w:val="20"/>
        </w:rPr>
        <w:t> </w:t>
      </w:r>
      <w:r>
        <w:rPr>
          <w:sz w:val="20"/>
        </w:rPr>
        <w:t>such</w:t>
      </w:r>
      <w:r>
        <w:rPr>
          <w:spacing w:val="-9"/>
          <w:sz w:val="20"/>
        </w:rPr>
        <w:t> </w:t>
      </w:r>
      <w:r>
        <w:rPr>
          <w:sz w:val="20"/>
        </w:rPr>
        <w:t>as</w:t>
      </w:r>
      <w:r>
        <w:rPr>
          <w:spacing w:val="-6"/>
          <w:sz w:val="20"/>
        </w:rPr>
        <w:t> </w:t>
      </w:r>
      <w:r>
        <w:rPr>
          <w:sz w:val="20"/>
        </w:rPr>
        <w:t>in the Central African Republic, which provide an economical solution in comparison to expensive hotel accommodation for ongoing operations. The accommodation also provides a safe and healthy controlled environment for staff members in a location with very limited medical</w:t>
      </w:r>
      <w:r>
        <w:rPr>
          <w:spacing w:val="-2"/>
          <w:sz w:val="20"/>
        </w:rPr>
        <w:t> </w:t>
      </w:r>
      <w:r>
        <w:rPr>
          <w:sz w:val="20"/>
        </w:rPr>
        <w:t>facilities.</w:t>
      </w:r>
      <w:r>
        <w:rPr>
          <w:spacing w:val="-1"/>
          <w:sz w:val="20"/>
        </w:rPr>
        <w:t> </w:t>
      </w:r>
      <w:r>
        <w:rPr>
          <w:sz w:val="20"/>
        </w:rPr>
        <w:t>The</w:t>
      </w:r>
      <w:r>
        <w:rPr>
          <w:spacing w:val="-2"/>
          <w:sz w:val="20"/>
        </w:rPr>
        <w:t> </w:t>
      </w:r>
      <w:r>
        <w:rPr>
          <w:sz w:val="20"/>
        </w:rPr>
        <w:t>same</w:t>
      </w:r>
      <w:r>
        <w:rPr>
          <w:spacing w:val="-2"/>
          <w:sz w:val="20"/>
        </w:rPr>
        <w:t> </w:t>
      </w:r>
      <w:r>
        <w:rPr>
          <w:sz w:val="20"/>
        </w:rPr>
        <w:t>concept</w:t>
      </w:r>
      <w:r>
        <w:rPr>
          <w:spacing w:val="-2"/>
          <w:sz w:val="20"/>
        </w:rPr>
        <w:t> </w:t>
      </w:r>
      <w:r>
        <w:rPr>
          <w:sz w:val="20"/>
        </w:rPr>
        <w:t>has</w:t>
      </w:r>
      <w:r>
        <w:rPr>
          <w:spacing w:val="-5"/>
          <w:sz w:val="20"/>
        </w:rPr>
        <w:t> </w:t>
      </w:r>
      <w:r>
        <w:rPr>
          <w:sz w:val="20"/>
        </w:rPr>
        <w:t>been</w:t>
      </w:r>
      <w:r>
        <w:rPr>
          <w:spacing w:val="-4"/>
          <w:sz w:val="20"/>
        </w:rPr>
        <w:t> </w:t>
      </w:r>
      <w:r>
        <w:rPr>
          <w:sz w:val="20"/>
        </w:rPr>
        <w:t>applied</w:t>
      </w:r>
      <w:r>
        <w:rPr>
          <w:spacing w:val="-4"/>
          <w:sz w:val="20"/>
        </w:rPr>
        <w:t> </w:t>
      </w:r>
      <w:r>
        <w:rPr>
          <w:sz w:val="20"/>
        </w:rPr>
        <w:t>to</w:t>
      </w:r>
      <w:r>
        <w:rPr>
          <w:spacing w:val="-4"/>
          <w:sz w:val="20"/>
        </w:rPr>
        <w:t> </w:t>
      </w:r>
      <w:r>
        <w:rPr>
          <w:sz w:val="20"/>
        </w:rPr>
        <w:t>other situations where</w:t>
      </w:r>
      <w:r>
        <w:rPr>
          <w:spacing w:val="-2"/>
          <w:sz w:val="20"/>
        </w:rPr>
        <w:t> </w:t>
      </w:r>
      <w:r>
        <w:rPr>
          <w:sz w:val="20"/>
        </w:rPr>
        <w:t>the Office</w:t>
      </w:r>
      <w:r>
        <w:rPr>
          <w:spacing w:val="-2"/>
          <w:sz w:val="20"/>
        </w:rPr>
        <w:t> </w:t>
      </w:r>
      <w:r>
        <w:rPr>
          <w:sz w:val="20"/>
        </w:rPr>
        <w:t>is establishing a field presence. Country office presence is discussed and coordinated with the relevant functions of</w:t>
      </w:r>
      <w:r>
        <w:rPr>
          <w:spacing w:val="-4"/>
          <w:sz w:val="20"/>
        </w:rPr>
        <w:t> </w:t>
      </w:r>
      <w:r>
        <w:rPr>
          <w:sz w:val="20"/>
        </w:rPr>
        <w:t>the Registry</w:t>
      </w:r>
      <w:r>
        <w:rPr>
          <w:spacing w:val="-4"/>
          <w:sz w:val="20"/>
        </w:rPr>
        <w:t> </w:t>
      </w:r>
      <w:r>
        <w:rPr>
          <w:sz w:val="20"/>
        </w:rPr>
        <w:t>to</w:t>
      </w:r>
      <w:r>
        <w:rPr>
          <w:spacing w:val="-4"/>
          <w:sz w:val="20"/>
        </w:rPr>
        <w:t> </w:t>
      </w:r>
      <w:r>
        <w:rPr>
          <w:sz w:val="20"/>
        </w:rPr>
        <w:t>ensure</w:t>
      </w:r>
      <w:r>
        <w:rPr>
          <w:spacing w:val="-2"/>
          <w:sz w:val="20"/>
        </w:rPr>
        <w:t> </w:t>
      </w:r>
      <w:r>
        <w:rPr>
          <w:sz w:val="20"/>
        </w:rPr>
        <w:t>the</w:t>
      </w:r>
      <w:r>
        <w:rPr>
          <w:spacing w:val="-7"/>
          <w:sz w:val="20"/>
        </w:rPr>
        <w:t> </w:t>
      </w:r>
      <w:r>
        <w:rPr>
          <w:sz w:val="20"/>
        </w:rPr>
        <w:t>most</w:t>
      </w:r>
      <w:r>
        <w:rPr>
          <w:spacing w:val="-2"/>
          <w:sz w:val="20"/>
        </w:rPr>
        <w:t> </w:t>
      </w:r>
      <w:r>
        <w:rPr>
          <w:sz w:val="20"/>
        </w:rPr>
        <w:t>effective</w:t>
      </w:r>
      <w:r>
        <w:rPr>
          <w:spacing w:val="-2"/>
          <w:sz w:val="20"/>
        </w:rPr>
        <w:t> </w:t>
      </w:r>
      <w:r>
        <w:rPr>
          <w:sz w:val="20"/>
        </w:rPr>
        <w:t>and</w:t>
      </w:r>
      <w:r>
        <w:rPr>
          <w:spacing w:val="-4"/>
          <w:sz w:val="20"/>
        </w:rPr>
        <w:t> </w:t>
      </w:r>
      <w:r>
        <w:rPr>
          <w:sz w:val="20"/>
        </w:rPr>
        <w:t>efficient utilization</w:t>
      </w:r>
      <w:r>
        <w:rPr>
          <w:spacing w:val="-4"/>
          <w:sz w:val="20"/>
        </w:rPr>
        <w:t> </w:t>
      </w:r>
      <w:r>
        <w:rPr>
          <w:sz w:val="20"/>
        </w:rPr>
        <w:t>of</w:t>
      </w:r>
      <w:r>
        <w:rPr>
          <w:spacing w:val="-4"/>
          <w:sz w:val="20"/>
        </w:rPr>
        <w:t> </w:t>
      </w:r>
      <w:r>
        <w:rPr>
          <w:sz w:val="20"/>
        </w:rPr>
        <w:t>the Court’s budget resources.</w:t>
      </w:r>
    </w:p>
    <w:p>
      <w:pPr>
        <w:pStyle w:val="ListParagraph"/>
        <w:numPr>
          <w:ilvl w:val="0"/>
          <w:numId w:val="4"/>
        </w:numPr>
        <w:tabs>
          <w:tab w:pos="2967" w:val="left" w:leader="none"/>
        </w:tabs>
        <w:spacing w:line="240" w:lineRule="auto" w:before="120" w:after="0"/>
        <w:ind w:left="2246" w:right="2249" w:firstLine="0"/>
        <w:jc w:val="both"/>
        <w:rPr>
          <w:sz w:val="20"/>
        </w:rPr>
      </w:pPr>
      <w:r>
        <w:rPr>
          <w:sz w:val="20"/>
        </w:rPr>
        <w:t>The</w:t>
      </w:r>
      <w:r>
        <w:rPr>
          <w:spacing w:val="40"/>
          <w:sz w:val="20"/>
        </w:rPr>
        <w:t> </w:t>
      </w:r>
      <w:r>
        <w:rPr>
          <w:sz w:val="20"/>
        </w:rPr>
        <w:t>funds</w:t>
      </w:r>
      <w:r>
        <w:rPr>
          <w:spacing w:val="40"/>
          <w:sz w:val="20"/>
        </w:rPr>
        <w:t> </w:t>
      </w:r>
      <w:r>
        <w:rPr>
          <w:sz w:val="20"/>
        </w:rPr>
        <w:t>requested</w:t>
      </w:r>
      <w:r>
        <w:rPr>
          <w:spacing w:val="40"/>
          <w:sz w:val="20"/>
        </w:rPr>
        <w:t> </w:t>
      </w:r>
      <w:r>
        <w:rPr>
          <w:sz w:val="20"/>
        </w:rPr>
        <w:t>include</w:t>
      </w:r>
      <w:r>
        <w:rPr>
          <w:spacing w:val="40"/>
          <w:sz w:val="20"/>
        </w:rPr>
        <w:t> </w:t>
      </w:r>
      <w:r>
        <w:rPr>
          <w:sz w:val="20"/>
        </w:rPr>
        <w:t>€10.0</w:t>
      </w:r>
      <w:r>
        <w:rPr>
          <w:spacing w:val="40"/>
          <w:sz w:val="20"/>
        </w:rPr>
        <w:t> </w:t>
      </w:r>
      <w:r>
        <w:rPr>
          <w:sz w:val="20"/>
        </w:rPr>
        <w:t>thousand</w:t>
      </w:r>
      <w:r>
        <w:rPr>
          <w:spacing w:val="40"/>
          <w:sz w:val="20"/>
        </w:rPr>
        <w:t> </w:t>
      </w:r>
      <w:r>
        <w:rPr>
          <w:sz w:val="20"/>
        </w:rPr>
        <w:t>for</w:t>
      </w:r>
      <w:r>
        <w:rPr>
          <w:spacing w:val="40"/>
          <w:sz w:val="20"/>
        </w:rPr>
        <w:t> </w:t>
      </w:r>
      <w:r>
        <w:rPr>
          <w:sz w:val="20"/>
        </w:rPr>
        <w:t>annual</w:t>
      </w:r>
      <w:r>
        <w:rPr>
          <w:spacing w:val="40"/>
          <w:sz w:val="20"/>
        </w:rPr>
        <w:t> </w:t>
      </w:r>
      <w:r>
        <w:rPr>
          <w:sz w:val="20"/>
        </w:rPr>
        <w:t>maintenance</w:t>
      </w:r>
      <w:r>
        <w:rPr>
          <w:spacing w:val="40"/>
          <w:sz w:val="20"/>
        </w:rPr>
        <w:t> </w:t>
      </w:r>
      <w:r>
        <w:rPr>
          <w:sz w:val="20"/>
        </w:rPr>
        <w:t>of</w:t>
      </w:r>
      <w:r>
        <w:rPr>
          <w:spacing w:val="40"/>
          <w:sz w:val="20"/>
        </w:rPr>
        <w:t> </w:t>
      </w:r>
      <w:r>
        <w:rPr>
          <w:sz w:val="20"/>
        </w:rPr>
        <w:t>one OTP-specific software application used to support investigative analysis.</w:t>
      </w:r>
    </w:p>
    <w:p>
      <w:pPr>
        <w:pStyle w:val="BodyText"/>
        <w:spacing w:before="10"/>
      </w:pPr>
    </w:p>
    <w:p>
      <w:pPr>
        <w:tabs>
          <w:tab w:pos="8282" w:val="left" w:leader="none"/>
        </w:tabs>
        <w:spacing w:before="1"/>
        <w:ind w:left="2246" w:right="0" w:firstLine="0"/>
        <w:jc w:val="left"/>
        <w:rPr>
          <w:i/>
          <w:sz w:val="20"/>
        </w:rPr>
      </w:pPr>
      <w:r>
        <w:rPr>
          <w:i/>
          <w:sz w:val="20"/>
        </w:rPr>
        <w:t>Supplies</w:t>
      </w:r>
      <w:r>
        <w:rPr>
          <w:i/>
          <w:spacing w:val="-5"/>
          <w:sz w:val="20"/>
        </w:rPr>
        <w:t> </w:t>
      </w:r>
      <w:r>
        <w:rPr>
          <w:i/>
          <w:sz w:val="20"/>
        </w:rPr>
        <w:t>and</w:t>
      </w:r>
      <w:r>
        <w:rPr>
          <w:i/>
          <w:spacing w:val="-4"/>
          <w:sz w:val="20"/>
        </w:rPr>
        <w:t> </w:t>
      </w:r>
      <w:r>
        <w:rPr>
          <w:i/>
          <w:spacing w:val="-2"/>
          <w:sz w:val="20"/>
        </w:rPr>
        <w:t>materials</w:t>
      </w:r>
      <w:r>
        <w:rPr>
          <w:i/>
          <w:sz w:val="20"/>
        </w:rPr>
        <w:tab/>
        <w:t>€140.0</w:t>
      </w:r>
      <w:r>
        <w:rPr>
          <w:i/>
          <w:spacing w:val="-3"/>
          <w:sz w:val="20"/>
        </w:rPr>
        <w:t> </w:t>
      </w:r>
      <w:r>
        <w:rPr>
          <w:i/>
          <w:spacing w:val="-2"/>
          <w:sz w:val="20"/>
        </w:rPr>
        <w:t>thousand</w:t>
      </w:r>
    </w:p>
    <w:p>
      <w:pPr>
        <w:pStyle w:val="BodyText"/>
        <w:spacing w:before="10"/>
        <w:rPr>
          <w:i/>
        </w:rPr>
      </w:pPr>
    </w:p>
    <w:p>
      <w:pPr>
        <w:pStyle w:val="ListParagraph"/>
        <w:numPr>
          <w:ilvl w:val="0"/>
          <w:numId w:val="4"/>
        </w:numPr>
        <w:tabs>
          <w:tab w:pos="2967" w:val="left" w:leader="none"/>
        </w:tabs>
        <w:spacing w:line="240" w:lineRule="auto" w:before="0" w:after="0"/>
        <w:ind w:left="2246" w:right="2241" w:firstLine="0"/>
        <w:jc w:val="both"/>
        <w:rPr>
          <w:sz w:val="20"/>
        </w:rPr>
      </w:pPr>
      <w:r>
        <w:rPr>
          <w:sz w:val="20"/>
        </w:rPr>
        <w:t>An amount of €27.0 thousand is requested for the renewal of annual subscriptions to</w:t>
      </w:r>
      <w:r>
        <w:rPr>
          <w:spacing w:val="-1"/>
          <w:sz w:val="20"/>
        </w:rPr>
        <w:t> </w:t>
      </w:r>
      <w:r>
        <w:rPr>
          <w:sz w:val="20"/>
        </w:rPr>
        <w:t>OTP-specific</w:t>
      </w:r>
      <w:r>
        <w:rPr>
          <w:spacing w:val="-4"/>
          <w:sz w:val="20"/>
        </w:rPr>
        <w:t> </w:t>
      </w:r>
      <w:r>
        <w:rPr>
          <w:sz w:val="20"/>
        </w:rPr>
        <w:t>journals</w:t>
      </w:r>
      <w:r>
        <w:rPr>
          <w:spacing w:val="-7"/>
          <w:sz w:val="20"/>
        </w:rPr>
        <w:t> </w:t>
      </w:r>
      <w:r>
        <w:rPr>
          <w:sz w:val="20"/>
        </w:rPr>
        <w:t>and</w:t>
      </w:r>
      <w:r>
        <w:rPr>
          <w:spacing w:val="-6"/>
          <w:sz w:val="20"/>
        </w:rPr>
        <w:t> </w:t>
      </w:r>
      <w:r>
        <w:rPr>
          <w:sz w:val="20"/>
        </w:rPr>
        <w:t>other</w:t>
      </w:r>
      <w:r>
        <w:rPr>
          <w:spacing w:val="-6"/>
          <w:sz w:val="20"/>
        </w:rPr>
        <w:t> </w:t>
      </w:r>
      <w:r>
        <w:rPr>
          <w:sz w:val="20"/>
        </w:rPr>
        <w:t>professional subscriptions</w:t>
      </w:r>
      <w:r>
        <w:rPr>
          <w:spacing w:val="-7"/>
          <w:sz w:val="20"/>
        </w:rPr>
        <w:t> </w:t>
      </w:r>
      <w:r>
        <w:rPr>
          <w:sz w:val="20"/>
        </w:rPr>
        <w:t>(e.g. International</w:t>
      </w:r>
      <w:r>
        <w:rPr>
          <w:spacing w:val="-4"/>
          <w:sz w:val="20"/>
        </w:rPr>
        <w:t> </w:t>
      </w:r>
      <w:r>
        <w:rPr>
          <w:sz w:val="20"/>
        </w:rPr>
        <w:t>Association of Prosecutors) and for purchasing key reference volumes</w:t>
      </w:r>
      <w:r>
        <w:rPr>
          <w:spacing w:val="-2"/>
          <w:sz w:val="20"/>
        </w:rPr>
        <w:t> </w:t>
      </w:r>
      <w:r>
        <w:rPr>
          <w:sz w:val="20"/>
        </w:rPr>
        <w:t>necessary to support the Office’s core activities. The amount for this budget line has been assessed with a view to providing the goods and services needed by the Office, while limiting the financial impact wherever possible. However, the unit cost of the subscriptions that have been identified as necessary for 2023 has increased and the amount requested reflects market prices. Subscriptions to online</w:t>
      </w:r>
      <w:r>
        <w:rPr>
          <w:spacing w:val="-7"/>
          <w:sz w:val="20"/>
        </w:rPr>
        <w:t> </w:t>
      </w:r>
      <w:r>
        <w:rPr>
          <w:sz w:val="20"/>
        </w:rPr>
        <w:t>databases,</w:t>
      </w:r>
      <w:r>
        <w:rPr>
          <w:spacing w:val="-11"/>
          <w:sz w:val="20"/>
        </w:rPr>
        <w:t> </w:t>
      </w:r>
      <w:r>
        <w:rPr>
          <w:sz w:val="20"/>
        </w:rPr>
        <w:t>services</w:t>
      </w:r>
      <w:r>
        <w:rPr>
          <w:spacing w:val="-10"/>
          <w:sz w:val="20"/>
        </w:rPr>
        <w:t> </w:t>
      </w:r>
      <w:r>
        <w:rPr>
          <w:sz w:val="20"/>
        </w:rPr>
        <w:t>and</w:t>
      </w:r>
      <w:r>
        <w:rPr>
          <w:spacing w:val="-13"/>
          <w:sz w:val="20"/>
        </w:rPr>
        <w:t> </w:t>
      </w:r>
      <w:r>
        <w:rPr>
          <w:sz w:val="20"/>
        </w:rPr>
        <w:t>journals</w:t>
      </w:r>
      <w:r>
        <w:rPr>
          <w:spacing w:val="-10"/>
          <w:sz w:val="20"/>
        </w:rPr>
        <w:t> </w:t>
      </w:r>
      <w:r>
        <w:rPr>
          <w:sz w:val="20"/>
        </w:rPr>
        <w:t>shared</w:t>
      </w:r>
      <w:r>
        <w:rPr>
          <w:spacing w:val="-8"/>
          <w:sz w:val="20"/>
        </w:rPr>
        <w:t> </w:t>
      </w:r>
      <w:r>
        <w:rPr>
          <w:sz w:val="20"/>
        </w:rPr>
        <w:t>by</w:t>
      </w:r>
      <w:r>
        <w:rPr>
          <w:spacing w:val="-13"/>
          <w:sz w:val="20"/>
        </w:rPr>
        <w:t> </w:t>
      </w:r>
      <w:r>
        <w:rPr>
          <w:sz w:val="20"/>
        </w:rPr>
        <w:t>the</w:t>
      </w:r>
      <w:r>
        <w:rPr>
          <w:spacing w:val="-12"/>
          <w:sz w:val="20"/>
        </w:rPr>
        <w:t> </w:t>
      </w:r>
      <w:r>
        <w:rPr>
          <w:sz w:val="20"/>
        </w:rPr>
        <w:t>entire</w:t>
      </w:r>
      <w:r>
        <w:rPr>
          <w:spacing w:val="-11"/>
          <w:sz w:val="20"/>
        </w:rPr>
        <w:t> </w:t>
      </w:r>
      <w:r>
        <w:rPr>
          <w:sz w:val="20"/>
        </w:rPr>
        <w:t>Court</w:t>
      </w:r>
      <w:r>
        <w:rPr>
          <w:spacing w:val="-12"/>
          <w:sz w:val="20"/>
        </w:rPr>
        <w:t> </w:t>
      </w:r>
      <w:r>
        <w:rPr>
          <w:sz w:val="20"/>
        </w:rPr>
        <w:t>are</w:t>
      </w:r>
      <w:r>
        <w:rPr>
          <w:spacing w:val="-11"/>
          <w:sz w:val="20"/>
        </w:rPr>
        <w:t> </w:t>
      </w:r>
      <w:r>
        <w:rPr>
          <w:sz w:val="20"/>
        </w:rPr>
        <w:t>centralized</w:t>
      </w:r>
      <w:r>
        <w:rPr>
          <w:spacing w:val="-13"/>
          <w:sz w:val="20"/>
        </w:rPr>
        <w:t> </w:t>
      </w:r>
      <w:r>
        <w:rPr>
          <w:sz w:val="20"/>
        </w:rPr>
        <w:t>by</w:t>
      </w:r>
      <w:r>
        <w:rPr>
          <w:spacing w:val="-12"/>
          <w:sz w:val="20"/>
        </w:rPr>
        <w:t> </w:t>
      </w:r>
      <w:r>
        <w:rPr>
          <w:sz w:val="20"/>
        </w:rPr>
        <w:t>the</w:t>
      </w:r>
      <w:r>
        <w:rPr>
          <w:spacing w:val="-11"/>
          <w:sz w:val="20"/>
        </w:rPr>
        <w:t> </w:t>
      </w:r>
      <w:r>
        <w:rPr>
          <w:sz w:val="20"/>
        </w:rPr>
        <w:t>Court Library and the Information Management Services Section (IMSS).</w:t>
      </w:r>
    </w:p>
    <w:p>
      <w:pPr>
        <w:pStyle w:val="ListParagraph"/>
        <w:numPr>
          <w:ilvl w:val="0"/>
          <w:numId w:val="4"/>
        </w:numPr>
        <w:tabs>
          <w:tab w:pos="2967" w:val="left" w:leader="none"/>
        </w:tabs>
        <w:spacing w:line="240" w:lineRule="auto" w:before="119" w:after="0"/>
        <w:ind w:left="2246" w:right="2242" w:firstLine="0"/>
        <w:jc w:val="both"/>
        <w:rPr>
          <w:sz w:val="20"/>
        </w:rPr>
      </w:pPr>
      <w:r>
        <w:rPr>
          <w:sz w:val="20"/>
        </w:rPr>
        <w:t>The funds requested are needed to renew OTP-specific software subscription licences. A portion of this budget item is allocated for purchasing digital and electronic consumables for the purposes of evidence collection (e.g. memory cards, encrypted hard drives) and for equipment used by investigators, such as cameras, recording devices and </w:t>
      </w:r>
      <w:r>
        <w:rPr>
          <w:spacing w:val="-2"/>
          <w:sz w:val="20"/>
        </w:rPr>
        <w:t>batteries.</w:t>
      </w:r>
    </w:p>
    <w:p>
      <w:pPr>
        <w:pStyle w:val="ListParagraph"/>
        <w:numPr>
          <w:ilvl w:val="0"/>
          <w:numId w:val="4"/>
        </w:numPr>
        <w:tabs>
          <w:tab w:pos="2967" w:val="left" w:leader="none"/>
        </w:tabs>
        <w:spacing w:line="240" w:lineRule="auto" w:before="123" w:after="0"/>
        <w:ind w:left="2246" w:right="2241" w:firstLine="0"/>
        <w:jc w:val="both"/>
        <w:rPr>
          <w:sz w:val="20"/>
        </w:rPr>
      </w:pPr>
      <w:r>
        <w:rPr>
          <w:sz w:val="20"/>
        </w:rPr>
        <w:t>A smaller part of the funds is requested to replace and integrate specific materials and supplies (e.g. human remains pouches, rubber gloves, consumables and instruments) needed</w:t>
      </w:r>
      <w:r>
        <w:rPr>
          <w:spacing w:val="-13"/>
          <w:sz w:val="20"/>
        </w:rPr>
        <w:t> </w:t>
      </w:r>
      <w:r>
        <w:rPr>
          <w:sz w:val="20"/>
        </w:rPr>
        <w:t>for</w:t>
      </w:r>
      <w:r>
        <w:rPr>
          <w:spacing w:val="-12"/>
          <w:sz w:val="20"/>
        </w:rPr>
        <w:t> </w:t>
      </w:r>
      <w:r>
        <w:rPr>
          <w:sz w:val="20"/>
        </w:rPr>
        <w:t>the</w:t>
      </w:r>
      <w:r>
        <w:rPr>
          <w:spacing w:val="-13"/>
          <w:sz w:val="20"/>
        </w:rPr>
        <w:t> </w:t>
      </w:r>
      <w:r>
        <w:rPr>
          <w:sz w:val="20"/>
        </w:rPr>
        <w:t>forensic</w:t>
      </w:r>
      <w:r>
        <w:rPr>
          <w:spacing w:val="-12"/>
          <w:sz w:val="20"/>
        </w:rPr>
        <w:t> </w:t>
      </w:r>
      <w:r>
        <w:rPr>
          <w:sz w:val="20"/>
        </w:rPr>
        <w:t>investigation</w:t>
      </w:r>
      <w:r>
        <w:rPr>
          <w:spacing w:val="-13"/>
          <w:sz w:val="20"/>
        </w:rPr>
        <w:t> </w:t>
      </w:r>
      <w:r>
        <w:rPr>
          <w:sz w:val="20"/>
        </w:rPr>
        <w:t>of</w:t>
      </w:r>
      <w:r>
        <w:rPr>
          <w:spacing w:val="-12"/>
          <w:sz w:val="20"/>
        </w:rPr>
        <w:t> </w:t>
      </w:r>
      <w:r>
        <w:rPr>
          <w:sz w:val="20"/>
        </w:rPr>
        <w:t>crime</w:t>
      </w:r>
      <w:r>
        <w:rPr>
          <w:spacing w:val="-13"/>
          <w:sz w:val="20"/>
        </w:rPr>
        <w:t> </w:t>
      </w:r>
      <w:r>
        <w:rPr>
          <w:sz w:val="20"/>
        </w:rPr>
        <w:t>scenes</w:t>
      </w:r>
      <w:r>
        <w:rPr>
          <w:spacing w:val="-12"/>
          <w:sz w:val="20"/>
        </w:rPr>
        <w:t> </w:t>
      </w:r>
      <w:r>
        <w:rPr>
          <w:sz w:val="20"/>
        </w:rPr>
        <w:t>and</w:t>
      </w:r>
      <w:r>
        <w:rPr>
          <w:spacing w:val="-13"/>
          <w:sz w:val="20"/>
        </w:rPr>
        <w:t> </w:t>
      </w:r>
      <w:r>
        <w:rPr>
          <w:sz w:val="20"/>
        </w:rPr>
        <w:t>to</w:t>
      </w:r>
      <w:r>
        <w:rPr>
          <w:spacing w:val="-12"/>
          <w:sz w:val="20"/>
        </w:rPr>
        <w:t> </w:t>
      </w:r>
      <w:r>
        <w:rPr>
          <w:sz w:val="20"/>
        </w:rPr>
        <w:t>purchase</w:t>
      </w:r>
      <w:r>
        <w:rPr>
          <w:spacing w:val="-13"/>
          <w:sz w:val="20"/>
        </w:rPr>
        <w:t> </w:t>
      </w:r>
      <w:r>
        <w:rPr>
          <w:sz w:val="20"/>
        </w:rPr>
        <w:t>satellite</w:t>
      </w:r>
      <w:r>
        <w:rPr>
          <w:spacing w:val="-12"/>
          <w:sz w:val="20"/>
        </w:rPr>
        <w:t> </w:t>
      </w:r>
      <w:r>
        <w:rPr>
          <w:sz w:val="20"/>
        </w:rPr>
        <w:t>imagery</w:t>
      </w:r>
      <w:r>
        <w:rPr>
          <w:spacing w:val="-13"/>
          <w:sz w:val="20"/>
        </w:rPr>
        <w:t> </w:t>
      </w:r>
      <w:r>
        <w:rPr>
          <w:sz w:val="20"/>
        </w:rPr>
        <w:t>needed for pre- and post-incident analysis of crime scenes.</w:t>
      </w:r>
    </w:p>
    <w:p>
      <w:pPr>
        <w:pStyle w:val="BodyText"/>
        <w:rPr>
          <w:sz w:val="21"/>
        </w:rPr>
      </w:pPr>
    </w:p>
    <w:p>
      <w:pPr>
        <w:tabs>
          <w:tab w:pos="8383" w:val="left" w:leader="none"/>
        </w:tabs>
        <w:spacing w:before="1"/>
        <w:ind w:left="2246" w:right="0" w:firstLine="0"/>
        <w:jc w:val="left"/>
        <w:rPr>
          <w:i/>
          <w:sz w:val="20"/>
        </w:rPr>
      </w:pPr>
      <w:r>
        <w:rPr>
          <w:i/>
          <w:sz w:val="20"/>
        </w:rPr>
        <w:t>Furniture</w:t>
      </w:r>
      <w:r>
        <w:rPr>
          <w:i/>
          <w:spacing w:val="-5"/>
          <w:sz w:val="20"/>
        </w:rPr>
        <w:t> </w:t>
      </w:r>
      <w:r>
        <w:rPr>
          <w:i/>
          <w:sz w:val="20"/>
        </w:rPr>
        <w:t>and</w:t>
      </w:r>
      <w:r>
        <w:rPr>
          <w:i/>
          <w:spacing w:val="-5"/>
          <w:sz w:val="20"/>
        </w:rPr>
        <w:t> </w:t>
      </w:r>
      <w:r>
        <w:rPr>
          <w:i/>
          <w:spacing w:val="-2"/>
          <w:sz w:val="20"/>
        </w:rPr>
        <w:t>equipment</w:t>
      </w:r>
      <w:r>
        <w:rPr>
          <w:i/>
          <w:sz w:val="20"/>
        </w:rPr>
        <w:tab/>
        <w:t>€70.0</w:t>
      </w:r>
      <w:r>
        <w:rPr>
          <w:i/>
          <w:spacing w:val="-3"/>
          <w:sz w:val="20"/>
        </w:rPr>
        <w:t> </w:t>
      </w:r>
      <w:r>
        <w:rPr>
          <w:i/>
          <w:spacing w:val="-2"/>
          <w:sz w:val="20"/>
        </w:rPr>
        <w:t>thousand</w:t>
      </w:r>
    </w:p>
    <w:p>
      <w:pPr>
        <w:pStyle w:val="BodyText"/>
        <w:spacing w:before="5"/>
        <w:rPr>
          <w:i/>
        </w:rPr>
      </w:pPr>
    </w:p>
    <w:p>
      <w:pPr>
        <w:pStyle w:val="ListParagraph"/>
        <w:numPr>
          <w:ilvl w:val="0"/>
          <w:numId w:val="4"/>
        </w:numPr>
        <w:tabs>
          <w:tab w:pos="2967" w:val="left" w:leader="none"/>
        </w:tabs>
        <w:spacing w:line="240" w:lineRule="auto" w:before="0" w:after="0"/>
        <w:ind w:left="2246" w:right="2239" w:firstLine="0"/>
        <w:jc w:val="both"/>
        <w:rPr>
          <w:sz w:val="20"/>
        </w:rPr>
      </w:pPr>
      <w:r>
        <w:rPr>
          <w:sz w:val="20"/>
        </w:rPr>
        <w:t>The requested amount for furniture and equipment relates to the portion of IT investments</w:t>
      </w:r>
      <w:r>
        <w:rPr>
          <w:spacing w:val="-13"/>
          <w:sz w:val="20"/>
        </w:rPr>
        <w:t> </w:t>
      </w:r>
      <w:r>
        <w:rPr>
          <w:sz w:val="20"/>
        </w:rPr>
        <w:t>funded</w:t>
      </w:r>
      <w:r>
        <w:rPr>
          <w:spacing w:val="-12"/>
          <w:sz w:val="20"/>
        </w:rPr>
        <w:t> </w:t>
      </w:r>
      <w:r>
        <w:rPr>
          <w:sz w:val="20"/>
        </w:rPr>
        <w:t>through</w:t>
      </w:r>
      <w:r>
        <w:rPr>
          <w:spacing w:val="-13"/>
          <w:sz w:val="20"/>
        </w:rPr>
        <w:t> </w:t>
      </w:r>
      <w:r>
        <w:rPr>
          <w:sz w:val="20"/>
        </w:rPr>
        <w:t>the</w:t>
      </w:r>
      <w:r>
        <w:rPr>
          <w:spacing w:val="-12"/>
          <w:sz w:val="20"/>
        </w:rPr>
        <w:t> </w:t>
      </w:r>
      <w:r>
        <w:rPr>
          <w:sz w:val="20"/>
        </w:rPr>
        <w:t>OTP</w:t>
      </w:r>
      <w:r>
        <w:rPr>
          <w:spacing w:val="-13"/>
          <w:sz w:val="20"/>
        </w:rPr>
        <w:t> </w:t>
      </w:r>
      <w:r>
        <w:rPr>
          <w:sz w:val="20"/>
        </w:rPr>
        <w:t>budget.</w:t>
      </w:r>
      <w:r>
        <w:rPr>
          <w:spacing w:val="-12"/>
          <w:sz w:val="20"/>
        </w:rPr>
        <w:t> </w:t>
      </w:r>
      <w:r>
        <w:rPr>
          <w:sz w:val="20"/>
        </w:rPr>
        <w:t>These</w:t>
      </w:r>
      <w:r>
        <w:rPr>
          <w:spacing w:val="-13"/>
          <w:sz w:val="20"/>
        </w:rPr>
        <w:t> </w:t>
      </w:r>
      <w:r>
        <w:rPr>
          <w:sz w:val="20"/>
        </w:rPr>
        <w:t>expenditures</w:t>
      </w:r>
      <w:r>
        <w:rPr>
          <w:spacing w:val="-12"/>
          <w:sz w:val="20"/>
        </w:rPr>
        <w:t> </w:t>
      </w:r>
      <w:r>
        <w:rPr>
          <w:sz w:val="20"/>
        </w:rPr>
        <w:t>relate</w:t>
      </w:r>
      <w:r>
        <w:rPr>
          <w:spacing w:val="-13"/>
          <w:sz w:val="20"/>
        </w:rPr>
        <w:t> </w:t>
      </w:r>
      <w:r>
        <w:rPr>
          <w:sz w:val="20"/>
        </w:rPr>
        <w:t>to</w:t>
      </w:r>
      <w:r>
        <w:rPr>
          <w:spacing w:val="-12"/>
          <w:sz w:val="20"/>
        </w:rPr>
        <w:t> </w:t>
      </w:r>
      <w:r>
        <w:rPr>
          <w:sz w:val="20"/>
        </w:rPr>
        <w:t>OTP-specific</w:t>
      </w:r>
      <w:r>
        <w:rPr>
          <w:spacing w:val="-13"/>
          <w:sz w:val="20"/>
        </w:rPr>
        <w:t> </w:t>
      </w:r>
      <w:r>
        <w:rPr>
          <w:sz w:val="20"/>
        </w:rPr>
        <w:t>items which form part of agreed investments in key initiatives, including inter-organ initiatives, aimed at achieving prosecutorial goals.</w:t>
      </w:r>
    </w:p>
    <w:p>
      <w:pPr>
        <w:pStyle w:val="ListParagraph"/>
        <w:numPr>
          <w:ilvl w:val="0"/>
          <w:numId w:val="4"/>
        </w:numPr>
        <w:tabs>
          <w:tab w:pos="2967" w:val="left" w:leader="none"/>
        </w:tabs>
        <w:spacing w:line="240" w:lineRule="auto" w:before="122" w:after="0"/>
        <w:ind w:left="2246" w:right="2241" w:firstLine="0"/>
        <w:jc w:val="both"/>
        <w:rPr>
          <w:sz w:val="20"/>
        </w:rPr>
      </w:pPr>
      <w:r>
        <w:rPr>
          <w:sz w:val="20"/>
        </w:rPr>
        <w:t>These initiatives relate to increasing in-house efficiencies through meticulous business</w:t>
      </w:r>
      <w:r>
        <w:rPr>
          <w:spacing w:val="19"/>
          <w:sz w:val="20"/>
        </w:rPr>
        <w:t> </w:t>
      </w:r>
      <w:r>
        <w:rPr>
          <w:sz w:val="20"/>
        </w:rPr>
        <w:t>process</w:t>
      </w:r>
      <w:r>
        <w:rPr>
          <w:spacing w:val="19"/>
          <w:sz w:val="20"/>
        </w:rPr>
        <w:t> </w:t>
      </w:r>
      <w:r>
        <w:rPr>
          <w:sz w:val="20"/>
        </w:rPr>
        <w:t>reviews</w:t>
      </w:r>
      <w:r>
        <w:rPr>
          <w:spacing w:val="19"/>
          <w:sz w:val="20"/>
        </w:rPr>
        <w:t> </w:t>
      </w:r>
      <w:r>
        <w:rPr>
          <w:sz w:val="20"/>
        </w:rPr>
        <w:t>and the</w:t>
      </w:r>
      <w:r>
        <w:rPr>
          <w:spacing w:val="22"/>
          <w:sz w:val="20"/>
        </w:rPr>
        <w:t> </w:t>
      </w:r>
      <w:r>
        <w:rPr>
          <w:sz w:val="20"/>
        </w:rPr>
        <w:t>development</w:t>
      </w:r>
      <w:r>
        <w:rPr>
          <w:spacing w:val="22"/>
          <w:sz w:val="20"/>
        </w:rPr>
        <w:t> </w:t>
      </w:r>
      <w:r>
        <w:rPr>
          <w:sz w:val="20"/>
        </w:rPr>
        <w:t>and/or</w:t>
      </w:r>
      <w:r>
        <w:rPr>
          <w:spacing w:val="20"/>
          <w:sz w:val="20"/>
        </w:rPr>
        <w:t> </w:t>
      </w:r>
      <w:r>
        <w:rPr>
          <w:sz w:val="20"/>
        </w:rPr>
        <w:t>identification</w:t>
      </w:r>
      <w:r>
        <w:rPr>
          <w:spacing w:val="20"/>
          <w:sz w:val="20"/>
        </w:rPr>
        <w:t> </w:t>
      </w:r>
      <w:r>
        <w:rPr>
          <w:sz w:val="20"/>
        </w:rPr>
        <w:t>of</w:t>
      </w:r>
      <w:r>
        <w:rPr>
          <w:spacing w:val="20"/>
          <w:sz w:val="20"/>
        </w:rPr>
        <w:t> </w:t>
      </w:r>
      <w:r>
        <w:rPr>
          <w:sz w:val="20"/>
        </w:rPr>
        <w:t>solutions</w:t>
      </w:r>
      <w:r>
        <w:rPr>
          <w:spacing w:val="19"/>
          <w:sz w:val="20"/>
        </w:rPr>
        <w:t> </w:t>
      </w:r>
      <w:r>
        <w:rPr>
          <w:sz w:val="20"/>
        </w:rPr>
        <w:t>aimed</w:t>
      </w:r>
      <w:r>
        <w:rPr>
          <w:spacing w:val="26"/>
          <w:sz w:val="20"/>
        </w:rPr>
        <w:t> </w:t>
      </w:r>
      <w:r>
        <w:rPr>
          <w:sz w:val="20"/>
        </w:rPr>
        <w:t>at</w:t>
      </w:r>
    </w:p>
    <w:p>
      <w:pPr>
        <w:spacing w:after="0" w:line="240" w:lineRule="auto"/>
        <w:jc w:val="both"/>
        <w:rPr>
          <w:sz w:val="20"/>
        </w:rPr>
        <w:sectPr>
          <w:pgSz w:w="11910" w:h="16840"/>
          <w:pgMar w:header="957" w:footer="940" w:top="1140" w:bottom="1140" w:left="20" w:right="20"/>
        </w:sectPr>
      </w:pPr>
    </w:p>
    <w:p>
      <w:pPr>
        <w:pStyle w:val="BodyText"/>
        <w:spacing w:before="124"/>
        <w:ind w:left="2246" w:right="2241"/>
        <w:jc w:val="both"/>
      </w:pPr>
      <w:r>
        <w:rPr/>
        <w:t>investigation</w:t>
      </w:r>
      <w:r>
        <w:rPr>
          <w:spacing w:val="-10"/>
        </w:rPr>
        <w:t> </w:t>
      </w:r>
      <w:r>
        <w:rPr/>
        <w:t>and</w:t>
      </w:r>
      <w:r>
        <w:rPr>
          <w:spacing w:val="-10"/>
        </w:rPr>
        <w:t> </w:t>
      </w:r>
      <w:r>
        <w:rPr/>
        <w:t>witness</w:t>
      </w:r>
      <w:r>
        <w:rPr>
          <w:spacing w:val="-12"/>
        </w:rPr>
        <w:t> </w:t>
      </w:r>
      <w:r>
        <w:rPr/>
        <w:t>management,</w:t>
      </w:r>
      <w:r>
        <w:rPr>
          <w:spacing w:val="-8"/>
        </w:rPr>
        <w:t> </w:t>
      </w:r>
      <w:r>
        <w:rPr/>
        <w:t>language</w:t>
      </w:r>
      <w:r>
        <w:rPr>
          <w:spacing w:val="-9"/>
        </w:rPr>
        <w:t> </w:t>
      </w:r>
      <w:r>
        <w:rPr/>
        <w:t>service</w:t>
      </w:r>
      <w:r>
        <w:rPr>
          <w:spacing w:val="-9"/>
        </w:rPr>
        <w:t> </w:t>
      </w:r>
      <w:r>
        <w:rPr/>
        <w:t>request</w:t>
      </w:r>
      <w:r>
        <w:rPr>
          <w:spacing w:val="-9"/>
        </w:rPr>
        <w:t> </w:t>
      </w:r>
      <w:r>
        <w:rPr/>
        <w:t>management, interpretation coordination and project management workflows within OTP. These initiatives directly support</w:t>
      </w:r>
      <w:r>
        <w:rPr>
          <w:spacing w:val="-13"/>
        </w:rPr>
        <w:t> </w:t>
      </w:r>
      <w:r>
        <w:rPr/>
        <w:t>investigative</w:t>
      </w:r>
      <w:r>
        <w:rPr>
          <w:spacing w:val="-12"/>
        </w:rPr>
        <w:t> </w:t>
      </w:r>
      <w:r>
        <w:rPr/>
        <w:t>and</w:t>
      </w:r>
      <w:r>
        <w:rPr>
          <w:spacing w:val="-13"/>
        </w:rPr>
        <w:t> </w:t>
      </w:r>
      <w:r>
        <w:rPr/>
        <w:t>prosecutorial</w:t>
      </w:r>
      <w:r>
        <w:rPr>
          <w:spacing w:val="-12"/>
        </w:rPr>
        <w:t> </w:t>
      </w:r>
      <w:r>
        <w:rPr/>
        <w:t>needs</w:t>
      </w:r>
      <w:r>
        <w:rPr>
          <w:spacing w:val="-13"/>
        </w:rPr>
        <w:t> </w:t>
      </w:r>
      <w:r>
        <w:rPr/>
        <w:t>as</w:t>
      </w:r>
      <w:r>
        <w:rPr>
          <w:spacing w:val="-12"/>
        </w:rPr>
        <w:t> </w:t>
      </w:r>
      <w:r>
        <w:rPr/>
        <w:t>well</w:t>
      </w:r>
      <w:r>
        <w:rPr>
          <w:spacing w:val="-13"/>
        </w:rPr>
        <w:t> </w:t>
      </w:r>
      <w:r>
        <w:rPr/>
        <w:t>as</w:t>
      </w:r>
      <w:r>
        <w:rPr>
          <w:spacing w:val="-12"/>
        </w:rPr>
        <w:t> </w:t>
      </w:r>
      <w:r>
        <w:rPr/>
        <w:t>the</w:t>
      </w:r>
      <w:r>
        <w:rPr>
          <w:spacing w:val="-13"/>
        </w:rPr>
        <w:t> </w:t>
      </w:r>
      <w:r>
        <w:rPr/>
        <w:t>OTP’s</w:t>
      </w:r>
      <w:r>
        <w:rPr>
          <w:spacing w:val="-12"/>
        </w:rPr>
        <w:t> </w:t>
      </w:r>
      <w:r>
        <w:rPr/>
        <w:t>overall</w:t>
      </w:r>
      <w:r>
        <w:rPr>
          <w:spacing w:val="-13"/>
        </w:rPr>
        <w:t> </w:t>
      </w:r>
      <w:r>
        <w:rPr/>
        <w:t>service</w:t>
      </w:r>
      <w:r>
        <w:rPr>
          <w:spacing w:val="-12"/>
        </w:rPr>
        <w:t> </w:t>
      </w:r>
      <w:r>
        <w:rPr/>
        <w:t>and</w:t>
      </w:r>
      <w:r>
        <w:rPr>
          <w:spacing w:val="-13"/>
        </w:rPr>
        <w:t> </w:t>
      </w:r>
      <w:r>
        <w:rPr/>
        <w:t>support capacity for core business activities.</w:t>
      </w:r>
    </w:p>
    <w:p>
      <w:pPr>
        <w:pStyle w:val="ListParagraph"/>
        <w:numPr>
          <w:ilvl w:val="0"/>
          <w:numId w:val="4"/>
        </w:numPr>
        <w:tabs>
          <w:tab w:pos="2967" w:val="left" w:leader="none"/>
        </w:tabs>
        <w:spacing w:line="240" w:lineRule="auto" w:before="122" w:after="0"/>
        <w:ind w:left="2246" w:right="2242" w:firstLine="0"/>
        <w:jc w:val="both"/>
        <w:rPr>
          <w:sz w:val="20"/>
        </w:rPr>
      </w:pPr>
      <w:r>
        <w:rPr>
          <w:sz w:val="20"/>
        </w:rPr>
        <w:t>The second group of initiatives consists of the broad-scope implementation of forensic capture, triage and storage of digital materials requiring additional processing, analysis</w:t>
      </w:r>
      <w:r>
        <w:rPr>
          <w:spacing w:val="-11"/>
          <w:sz w:val="20"/>
        </w:rPr>
        <w:t> </w:t>
      </w:r>
      <w:r>
        <w:rPr>
          <w:sz w:val="20"/>
        </w:rPr>
        <w:t>and</w:t>
      </w:r>
      <w:r>
        <w:rPr>
          <w:spacing w:val="-8"/>
          <w:sz w:val="20"/>
        </w:rPr>
        <w:t> </w:t>
      </w:r>
      <w:r>
        <w:rPr>
          <w:sz w:val="20"/>
        </w:rPr>
        <w:t>review</w:t>
      </w:r>
      <w:r>
        <w:rPr>
          <w:spacing w:val="-10"/>
          <w:sz w:val="20"/>
        </w:rPr>
        <w:t> </w:t>
      </w:r>
      <w:r>
        <w:rPr>
          <w:sz w:val="20"/>
        </w:rPr>
        <w:t>before</w:t>
      </w:r>
      <w:r>
        <w:rPr>
          <w:spacing w:val="-7"/>
          <w:sz w:val="20"/>
        </w:rPr>
        <w:t> </w:t>
      </w:r>
      <w:r>
        <w:rPr>
          <w:sz w:val="20"/>
        </w:rPr>
        <w:t>registration;</w:t>
      </w:r>
      <w:r>
        <w:rPr>
          <w:spacing w:val="-7"/>
          <w:sz w:val="20"/>
        </w:rPr>
        <w:t> </w:t>
      </w:r>
      <w:r>
        <w:rPr>
          <w:sz w:val="20"/>
        </w:rPr>
        <w:t>and</w:t>
      </w:r>
      <w:r>
        <w:rPr>
          <w:spacing w:val="-8"/>
          <w:sz w:val="20"/>
        </w:rPr>
        <w:t> </w:t>
      </w:r>
      <w:r>
        <w:rPr>
          <w:sz w:val="20"/>
        </w:rPr>
        <w:t>development</w:t>
      </w:r>
      <w:r>
        <w:rPr>
          <w:spacing w:val="-12"/>
          <w:sz w:val="20"/>
        </w:rPr>
        <w:t> </w:t>
      </w:r>
      <w:r>
        <w:rPr>
          <w:sz w:val="20"/>
        </w:rPr>
        <w:t>and</w:t>
      </w:r>
      <w:r>
        <w:rPr>
          <w:spacing w:val="-8"/>
          <w:sz w:val="20"/>
        </w:rPr>
        <w:t> </w:t>
      </w:r>
      <w:r>
        <w:rPr>
          <w:sz w:val="20"/>
        </w:rPr>
        <w:t>enhancement</w:t>
      </w:r>
      <w:r>
        <w:rPr>
          <w:spacing w:val="-7"/>
          <w:sz w:val="20"/>
        </w:rPr>
        <w:t> </w:t>
      </w:r>
      <w:r>
        <w:rPr>
          <w:sz w:val="20"/>
        </w:rPr>
        <w:t>of</w:t>
      </w:r>
      <w:r>
        <w:rPr>
          <w:spacing w:val="-8"/>
          <w:sz w:val="20"/>
        </w:rPr>
        <w:t> </w:t>
      </w:r>
      <w:r>
        <w:rPr>
          <w:sz w:val="20"/>
        </w:rPr>
        <w:t>OTP</w:t>
      </w:r>
      <w:r>
        <w:rPr>
          <w:spacing w:val="-10"/>
          <w:sz w:val="20"/>
        </w:rPr>
        <w:t> </w:t>
      </w:r>
      <w:r>
        <w:rPr>
          <w:sz w:val="20"/>
        </w:rPr>
        <w:t>tools</w:t>
      </w:r>
      <w:r>
        <w:rPr>
          <w:spacing w:val="-13"/>
          <w:sz w:val="20"/>
        </w:rPr>
        <w:t> </w:t>
      </w:r>
      <w:r>
        <w:rPr>
          <w:sz w:val="20"/>
        </w:rPr>
        <w:t>and ability to collect and process specialized and/or digital or open-source information and/or evidence, as well as to</w:t>
      </w:r>
      <w:r>
        <w:rPr>
          <w:spacing w:val="-3"/>
          <w:sz w:val="20"/>
        </w:rPr>
        <w:t> </w:t>
      </w:r>
      <w:r>
        <w:rPr>
          <w:sz w:val="20"/>
        </w:rPr>
        <w:t>conduct online investigations in support of its core investigative</w:t>
      </w:r>
      <w:r>
        <w:rPr>
          <w:spacing w:val="-1"/>
          <w:sz w:val="20"/>
        </w:rPr>
        <w:t> </w:t>
      </w:r>
      <w:r>
        <w:rPr>
          <w:sz w:val="20"/>
        </w:rPr>
        <w:t>and prosecutorial activities.</w:t>
      </w:r>
    </w:p>
    <w:p>
      <w:pPr>
        <w:pStyle w:val="ListParagraph"/>
        <w:numPr>
          <w:ilvl w:val="0"/>
          <w:numId w:val="4"/>
        </w:numPr>
        <w:tabs>
          <w:tab w:pos="2967" w:val="left" w:leader="none"/>
        </w:tabs>
        <w:spacing w:line="240" w:lineRule="auto" w:before="118" w:after="0"/>
        <w:ind w:left="2246" w:right="2240" w:firstLine="0"/>
        <w:jc w:val="both"/>
        <w:rPr>
          <w:sz w:val="20"/>
        </w:rPr>
      </w:pPr>
      <w:r>
        <w:rPr>
          <w:sz w:val="20"/>
        </w:rPr>
        <w:t>The voluntary contributions are expected to cover the cost of a series of new tools and modernization initiatives that will bring the Court to the minimum industry standard in evidence management and eDiscovery. In addition, they will allow it to ingest and process the</w:t>
      </w:r>
      <w:r>
        <w:rPr>
          <w:spacing w:val="-13"/>
          <w:sz w:val="20"/>
        </w:rPr>
        <w:t> </w:t>
      </w:r>
      <w:r>
        <w:rPr>
          <w:sz w:val="20"/>
        </w:rPr>
        <w:t>increasing</w:t>
      </w:r>
      <w:r>
        <w:rPr>
          <w:spacing w:val="-12"/>
          <w:sz w:val="20"/>
        </w:rPr>
        <w:t> </w:t>
      </w:r>
      <w:r>
        <w:rPr>
          <w:sz w:val="20"/>
        </w:rPr>
        <w:t>volumes</w:t>
      </w:r>
      <w:r>
        <w:rPr>
          <w:spacing w:val="-11"/>
          <w:sz w:val="20"/>
        </w:rPr>
        <w:t> </w:t>
      </w:r>
      <w:r>
        <w:rPr>
          <w:sz w:val="20"/>
        </w:rPr>
        <w:t>of</w:t>
      </w:r>
      <w:r>
        <w:rPr>
          <w:spacing w:val="-8"/>
          <w:sz w:val="20"/>
        </w:rPr>
        <w:t> </w:t>
      </w:r>
      <w:r>
        <w:rPr>
          <w:sz w:val="20"/>
        </w:rPr>
        <w:t>digital</w:t>
      </w:r>
      <w:r>
        <w:rPr>
          <w:spacing w:val="-12"/>
          <w:sz w:val="20"/>
        </w:rPr>
        <w:t> </w:t>
      </w:r>
      <w:r>
        <w:rPr>
          <w:sz w:val="20"/>
        </w:rPr>
        <w:t>evidence</w:t>
      </w:r>
      <w:r>
        <w:rPr>
          <w:spacing w:val="-12"/>
          <w:sz w:val="20"/>
        </w:rPr>
        <w:t> </w:t>
      </w:r>
      <w:r>
        <w:rPr>
          <w:sz w:val="20"/>
        </w:rPr>
        <w:t>that</w:t>
      </w:r>
      <w:r>
        <w:rPr>
          <w:spacing w:val="-7"/>
          <w:sz w:val="20"/>
        </w:rPr>
        <w:t> </w:t>
      </w:r>
      <w:r>
        <w:rPr>
          <w:sz w:val="20"/>
        </w:rPr>
        <w:t>new</w:t>
      </w:r>
      <w:r>
        <w:rPr>
          <w:spacing w:val="-13"/>
          <w:sz w:val="20"/>
        </w:rPr>
        <w:t> </w:t>
      </w:r>
      <w:r>
        <w:rPr>
          <w:sz w:val="20"/>
        </w:rPr>
        <w:t>cases</w:t>
      </w:r>
      <w:r>
        <w:rPr>
          <w:spacing w:val="-9"/>
          <w:sz w:val="20"/>
        </w:rPr>
        <w:t> </w:t>
      </w:r>
      <w:r>
        <w:rPr>
          <w:sz w:val="20"/>
        </w:rPr>
        <w:t>generate.</w:t>
      </w:r>
      <w:r>
        <w:rPr>
          <w:spacing w:val="-11"/>
          <w:sz w:val="20"/>
        </w:rPr>
        <w:t> </w:t>
      </w:r>
      <w:r>
        <w:rPr>
          <w:sz w:val="20"/>
        </w:rPr>
        <w:t>While</w:t>
      </w:r>
      <w:r>
        <w:rPr>
          <w:spacing w:val="-11"/>
          <w:sz w:val="20"/>
        </w:rPr>
        <w:t> </w:t>
      </w:r>
      <w:r>
        <w:rPr>
          <w:sz w:val="20"/>
        </w:rPr>
        <w:t>these</w:t>
      </w:r>
      <w:r>
        <w:rPr>
          <w:spacing w:val="-12"/>
          <w:sz w:val="20"/>
        </w:rPr>
        <w:t> </w:t>
      </w:r>
      <w:r>
        <w:rPr>
          <w:sz w:val="20"/>
        </w:rPr>
        <w:t>contributions are likely to sustain the OTP’s modernization needs until 2026, the operating and maintenance expenses</w:t>
      </w:r>
      <w:r>
        <w:rPr>
          <w:spacing w:val="-2"/>
          <w:sz w:val="20"/>
        </w:rPr>
        <w:t> </w:t>
      </w:r>
      <w:r>
        <w:rPr>
          <w:sz w:val="20"/>
        </w:rPr>
        <w:t>of</w:t>
      </w:r>
      <w:r>
        <w:rPr>
          <w:spacing w:val="-1"/>
          <w:sz w:val="20"/>
        </w:rPr>
        <w:t> </w:t>
      </w:r>
      <w:r>
        <w:rPr>
          <w:sz w:val="20"/>
        </w:rPr>
        <w:t>this</w:t>
      </w:r>
      <w:r>
        <w:rPr>
          <w:spacing w:val="-2"/>
          <w:sz w:val="20"/>
        </w:rPr>
        <w:t> </w:t>
      </w:r>
      <w:r>
        <w:rPr>
          <w:sz w:val="20"/>
        </w:rPr>
        <w:t>new</w:t>
      </w:r>
      <w:r>
        <w:rPr>
          <w:spacing w:val="-2"/>
          <w:sz w:val="20"/>
        </w:rPr>
        <w:t> </w:t>
      </w:r>
      <w:r>
        <w:rPr>
          <w:sz w:val="20"/>
        </w:rPr>
        <w:t>tooling</w:t>
      </w:r>
      <w:r>
        <w:rPr>
          <w:spacing w:val="-1"/>
          <w:sz w:val="20"/>
        </w:rPr>
        <w:t> </w:t>
      </w:r>
      <w:r>
        <w:rPr>
          <w:sz w:val="20"/>
        </w:rPr>
        <w:t>will become part of</w:t>
      </w:r>
      <w:r>
        <w:rPr>
          <w:spacing w:val="-1"/>
          <w:sz w:val="20"/>
        </w:rPr>
        <w:t> </w:t>
      </w:r>
      <w:r>
        <w:rPr>
          <w:sz w:val="20"/>
        </w:rPr>
        <w:t>the</w:t>
      </w:r>
      <w:r>
        <w:rPr>
          <w:spacing w:val="-4"/>
          <w:sz w:val="20"/>
        </w:rPr>
        <w:t> </w:t>
      </w:r>
      <w:r>
        <w:rPr>
          <w:sz w:val="20"/>
        </w:rPr>
        <w:t>OTP’s</w:t>
      </w:r>
      <w:r>
        <w:rPr>
          <w:spacing w:val="-2"/>
          <w:sz w:val="20"/>
        </w:rPr>
        <w:t> </w:t>
      </w:r>
      <w:r>
        <w:rPr>
          <w:sz w:val="20"/>
        </w:rPr>
        <w:t>annual baseline IT </w:t>
      </w:r>
      <w:r>
        <w:rPr>
          <w:spacing w:val="-2"/>
          <w:sz w:val="20"/>
        </w:rPr>
        <w:t>costs.</w:t>
      </w:r>
    </w:p>
    <w:p>
      <w:pPr>
        <w:spacing w:after="0" w:line="240" w:lineRule="auto"/>
        <w:jc w:val="both"/>
        <w:rPr>
          <w:sz w:val="20"/>
        </w:rPr>
        <w:sectPr>
          <w:pgSz w:w="11910" w:h="16840"/>
          <w:pgMar w:header="953" w:footer="940" w:top="1140" w:bottom="1140" w:left="20" w:right="20"/>
        </w:sectPr>
      </w:pPr>
    </w:p>
    <w:p>
      <w:pPr>
        <w:spacing w:before="120"/>
        <w:ind w:left="2246" w:right="0" w:firstLine="0"/>
        <w:jc w:val="left"/>
        <w:rPr>
          <w:b/>
          <w:sz w:val="20"/>
        </w:rPr>
      </w:pPr>
      <w:r>
        <w:rPr>
          <w:b/>
          <w:sz w:val="20"/>
        </w:rPr>
        <w:t>Table</w:t>
      </w:r>
      <w:r>
        <w:rPr>
          <w:b/>
          <w:spacing w:val="-7"/>
          <w:sz w:val="20"/>
        </w:rPr>
        <w:t> </w:t>
      </w:r>
      <w:r>
        <w:rPr>
          <w:b/>
          <w:sz w:val="20"/>
        </w:rPr>
        <w:t>19:</w:t>
      </w:r>
      <w:r>
        <w:rPr>
          <w:b/>
          <w:spacing w:val="-8"/>
          <w:sz w:val="20"/>
        </w:rPr>
        <w:t> </w:t>
      </w:r>
      <w:r>
        <w:rPr>
          <w:b/>
          <w:sz w:val="20"/>
        </w:rPr>
        <w:t>Integrated</w:t>
      </w:r>
      <w:r>
        <w:rPr>
          <w:b/>
          <w:spacing w:val="-4"/>
          <w:sz w:val="20"/>
        </w:rPr>
        <w:t> </w:t>
      </w:r>
      <w:r>
        <w:rPr>
          <w:b/>
          <w:sz w:val="20"/>
        </w:rPr>
        <w:t>Services:</w:t>
      </w:r>
      <w:r>
        <w:rPr>
          <w:b/>
          <w:spacing w:val="-8"/>
          <w:sz w:val="20"/>
        </w:rPr>
        <w:t> </w:t>
      </w:r>
      <w:r>
        <w:rPr>
          <w:b/>
          <w:sz w:val="20"/>
        </w:rPr>
        <w:t>Proposed</w:t>
      </w:r>
      <w:r>
        <w:rPr>
          <w:b/>
          <w:spacing w:val="-9"/>
          <w:sz w:val="20"/>
        </w:rPr>
        <w:t> </w:t>
      </w:r>
      <w:r>
        <w:rPr>
          <w:b/>
          <w:sz w:val="20"/>
        </w:rPr>
        <w:t>budget</w:t>
      </w:r>
      <w:r>
        <w:rPr>
          <w:b/>
          <w:spacing w:val="-8"/>
          <w:sz w:val="20"/>
        </w:rPr>
        <w:t> </w:t>
      </w:r>
      <w:r>
        <w:rPr>
          <w:b/>
          <w:sz w:val="20"/>
        </w:rPr>
        <w:t>for</w:t>
      </w:r>
      <w:r>
        <w:rPr>
          <w:b/>
          <w:spacing w:val="-1"/>
          <w:sz w:val="20"/>
        </w:rPr>
        <w:t> </w:t>
      </w:r>
      <w:r>
        <w:rPr>
          <w:b/>
          <w:spacing w:val="-4"/>
          <w:sz w:val="20"/>
        </w:rPr>
        <w:t>2023</w:t>
      </w:r>
    </w:p>
    <w:tbl>
      <w:tblPr>
        <w:tblW w:w="0" w:type="auto"/>
        <w:jc w:val="left"/>
        <w:tblInd w:w="1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61"/>
        <w:gridCol w:w="1066"/>
        <w:gridCol w:w="804"/>
        <w:gridCol w:w="1010"/>
        <w:gridCol w:w="1137"/>
        <w:gridCol w:w="1257"/>
        <w:gridCol w:w="813"/>
        <w:gridCol w:w="1096"/>
      </w:tblGrid>
      <w:tr>
        <w:trPr>
          <w:trHeight w:val="310" w:hRule="atLeast"/>
        </w:trPr>
        <w:tc>
          <w:tcPr>
            <w:tcW w:w="2461" w:type="dxa"/>
            <w:tcBorders>
              <w:top w:val="single" w:sz="4" w:space="0" w:color="000000"/>
            </w:tcBorders>
          </w:tcPr>
          <w:p>
            <w:pPr>
              <w:pStyle w:val="TableParagraph"/>
              <w:jc w:val="left"/>
              <w:rPr>
                <w:sz w:val="14"/>
              </w:rPr>
            </w:pPr>
          </w:p>
        </w:tc>
        <w:tc>
          <w:tcPr>
            <w:tcW w:w="2880" w:type="dxa"/>
            <w:gridSpan w:val="3"/>
            <w:tcBorders>
              <w:top w:val="single" w:sz="4" w:space="0" w:color="000000"/>
            </w:tcBorders>
          </w:tcPr>
          <w:p>
            <w:pPr>
              <w:pStyle w:val="TableParagraph"/>
              <w:spacing w:line="180" w:lineRule="exact" w:before="110"/>
              <w:ind w:left="-1" w:right="-15"/>
              <w:jc w:val="left"/>
              <w:rPr>
                <w:sz w:val="16"/>
              </w:rPr>
            </w:pPr>
            <w:r>
              <w:rPr>
                <w:spacing w:val="38"/>
                <w:sz w:val="16"/>
                <w:u w:val="single"/>
              </w:rPr>
              <w:t>  </w:t>
            </w:r>
            <w:r>
              <w:rPr>
                <w:sz w:val="16"/>
                <w:u w:val="single"/>
              </w:rPr>
              <w:t>2021 Expenditures</w:t>
            </w:r>
            <w:r>
              <w:rPr>
                <w:spacing w:val="-3"/>
                <w:sz w:val="16"/>
                <w:u w:val="single"/>
              </w:rPr>
              <w:t> </w:t>
            </w:r>
            <w:r>
              <w:rPr>
                <w:sz w:val="16"/>
                <w:u w:val="single"/>
              </w:rPr>
              <w:t>(thousands</w:t>
            </w:r>
            <w:r>
              <w:rPr>
                <w:spacing w:val="-3"/>
                <w:sz w:val="16"/>
                <w:u w:val="single"/>
              </w:rPr>
              <w:t> </w:t>
            </w:r>
            <w:r>
              <w:rPr>
                <w:sz w:val="16"/>
                <w:u w:val="single"/>
              </w:rPr>
              <w:t>of</w:t>
            </w:r>
            <w:r>
              <w:rPr>
                <w:spacing w:val="-3"/>
                <w:sz w:val="16"/>
                <w:u w:val="single"/>
              </w:rPr>
              <w:t> </w:t>
            </w:r>
            <w:r>
              <w:rPr>
                <w:spacing w:val="-2"/>
                <w:sz w:val="16"/>
                <w:u w:val="single"/>
              </w:rPr>
              <w:t>euros)</w:t>
            </w:r>
            <w:r>
              <w:rPr>
                <w:spacing w:val="40"/>
                <w:sz w:val="16"/>
                <w:u w:val="single"/>
              </w:rPr>
              <w:t> </w:t>
            </w:r>
          </w:p>
        </w:tc>
        <w:tc>
          <w:tcPr>
            <w:tcW w:w="1137" w:type="dxa"/>
            <w:vMerge w:val="restart"/>
            <w:tcBorders>
              <w:top w:val="single" w:sz="4" w:space="0" w:color="000000"/>
              <w:bottom w:val="single" w:sz="12" w:space="0" w:color="000000"/>
            </w:tcBorders>
          </w:tcPr>
          <w:p>
            <w:pPr>
              <w:pStyle w:val="TableParagraph"/>
              <w:spacing w:line="183" w:lineRule="exact" w:before="139"/>
              <w:ind w:left="262" w:right="206"/>
              <w:jc w:val="center"/>
              <w:rPr>
                <w:sz w:val="16"/>
              </w:rPr>
            </w:pPr>
            <w:r>
              <w:rPr>
                <w:spacing w:val="-4"/>
                <w:sz w:val="16"/>
              </w:rPr>
              <w:t>2022</w:t>
            </w:r>
          </w:p>
          <w:p>
            <w:pPr>
              <w:pStyle w:val="TableParagraph"/>
              <w:spacing w:line="183" w:lineRule="exact"/>
              <w:ind w:left="262" w:right="210"/>
              <w:jc w:val="center"/>
              <w:rPr>
                <w:sz w:val="16"/>
              </w:rPr>
            </w:pPr>
            <w:r>
              <w:rPr>
                <w:spacing w:val="-2"/>
                <w:sz w:val="16"/>
              </w:rPr>
              <w:t>Approved</w:t>
            </w:r>
          </w:p>
          <w:p>
            <w:pPr>
              <w:pStyle w:val="TableParagraph"/>
              <w:spacing w:line="172" w:lineRule="exact" w:before="3"/>
              <w:ind w:left="262" w:right="201"/>
              <w:jc w:val="center"/>
              <w:rPr>
                <w:sz w:val="16"/>
              </w:rPr>
            </w:pPr>
            <w:r>
              <w:rPr>
                <w:spacing w:val="-2"/>
                <w:sz w:val="16"/>
              </w:rPr>
              <w:t>Budget</w:t>
            </w:r>
          </w:p>
        </w:tc>
        <w:tc>
          <w:tcPr>
            <w:tcW w:w="2070" w:type="dxa"/>
            <w:gridSpan w:val="2"/>
            <w:tcBorders>
              <w:top w:val="single" w:sz="4" w:space="0" w:color="000000"/>
            </w:tcBorders>
          </w:tcPr>
          <w:p>
            <w:pPr>
              <w:pStyle w:val="TableParagraph"/>
              <w:tabs>
                <w:tab w:pos="424" w:val="left" w:leader="none"/>
                <w:tab w:pos="1980" w:val="left" w:leader="none"/>
              </w:tabs>
              <w:spacing w:line="180" w:lineRule="exact" w:before="110"/>
              <w:ind w:left="54"/>
              <w:jc w:val="left"/>
              <w:rPr>
                <w:sz w:val="16"/>
              </w:rPr>
            </w:pPr>
            <w:r>
              <w:rPr>
                <w:sz w:val="16"/>
                <w:u w:val="single"/>
              </w:rPr>
              <w:tab/>
              <w:t>Resource</w:t>
            </w:r>
            <w:r>
              <w:rPr>
                <w:spacing w:val="-2"/>
                <w:sz w:val="16"/>
                <w:u w:val="single"/>
              </w:rPr>
              <w:t> Changes</w:t>
            </w:r>
            <w:r>
              <w:rPr>
                <w:sz w:val="16"/>
                <w:u w:val="single"/>
              </w:rPr>
              <w:tab/>
            </w:r>
          </w:p>
        </w:tc>
        <w:tc>
          <w:tcPr>
            <w:tcW w:w="1096" w:type="dxa"/>
            <w:tcBorders>
              <w:top w:val="single" w:sz="4" w:space="0" w:color="000000"/>
            </w:tcBorders>
          </w:tcPr>
          <w:p>
            <w:pPr>
              <w:pStyle w:val="TableParagraph"/>
              <w:jc w:val="left"/>
              <w:rPr>
                <w:sz w:val="14"/>
              </w:rPr>
            </w:pPr>
          </w:p>
        </w:tc>
      </w:tr>
      <w:tr>
        <w:trPr>
          <w:trHeight w:val="359" w:hRule="atLeast"/>
        </w:trPr>
        <w:tc>
          <w:tcPr>
            <w:tcW w:w="2461" w:type="dxa"/>
            <w:tcBorders>
              <w:bottom w:val="single" w:sz="12" w:space="0" w:color="000000"/>
            </w:tcBorders>
          </w:tcPr>
          <w:p>
            <w:pPr>
              <w:pStyle w:val="TableParagraph"/>
              <w:spacing w:line="165" w:lineRule="exact"/>
              <w:ind w:left="117"/>
              <w:jc w:val="left"/>
              <w:rPr>
                <w:b/>
                <w:sz w:val="16"/>
              </w:rPr>
            </w:pPr>
            <w:r>
              <w:rPr>
                <w:b/>
                <w:sz w:val="16"/>
              </w:rPr>
              <w:t>Programme</w:t>
            </w:r>
            <w:r>
              <w:rPr>
                <w:b/>
                <w:spacing w:val="-4"/>
                <w:sz w:val="16"/>
              </w:rPr>
              <w:t> </w:t>
            </w:r>
            <w:r>
              <w:rPr>
                <w:b/>
                <w:spacing w:val="-10"/>
                <w:sz w:val="16"/>
              </w:rPr>
              <w:t>C</w:t>
            </w:r>
          </w:p>
          <w:p>
            <w:pPr>
              <w:pStyle w:val="TableParagraph"/>
              <w:spacing w:line="172" w:lineRule="exact" w:before="3"/>
              <w:ind w:left="117"/>
              <w:jc w:val="left"/>
              <w:rPr>
                <w:b/>
                <w:sz w:val="16"/>
              </w:rPr>
            </w:pPr>
            <w:r>
              <w:rPr>
                <w:b/>
                <w:w w:val="95"/>
                <w:sz w:val="16"/>
              </w:rPr>
              <w:t>Integrated</w:t>
            </w:r>
            <w:r>
              <w:rPr>
                <w:b/>
                <w:spacing w:val="22"/>
                <w:sz w:val="16"/>
              </w:rPr>
              <w:t> </w:t>
            </w:r>
            <w:r>
              <w:rPr>
                <w:b/>
                <w:spacing w:val="-2"/>
                <w:sz w:val="16"/>
              </w:rPr>
              <w:t>Services</w:t>
            </w:r>
          </w:p>
        </w:tc>
        <w:tc>
          <w:tcPr>
            <w:tcW w:w="1066" w:type="dxa"/>
            <w:tcBorders>
              <w:bottom w:val="single" w:sz="12" w:space="0" w:color="000000"/>
            </w:tcBorders>
          </w:tcPr>
          <w:p>
            <w:pPr>
              <w:pStyle w:val="TableParagraph"/>
              <w:spacing w:before="7"/>
              <w:jc w:val="left"/>
              <w:rPr>
                <w:b/>
                <w:sz w:val="14"/>
              </w:rPr>
            </w:pPr>
          </w:p>
          <w:p>
            <w:pPr>
              <w:pStyle w:val="TableParagraph"/>
              <w:spacing w:line="172" w:lineRule="exact"/>
              <w:ind w:left="331"/>
              <w:jc w:val="left"/>
              <w:rPr>
                <w:sz w:val="16"/>
              </w:rPr>
            </w:pPr>
            <w:r>
              <w:rPr>
                <w:spacing w:val="-2"/>
                <w:sz w:val="16"/>
              </w:rPr>
              <w:t>Total</w:t>
            </w:r>
          </w:p>
        </w:tc>
        <w:tc>
          <w:tcPr>
            <w:tcW w:w="804" w:type="dxa"/>
            <w:tcBorders>
              <w:bottom w:val="single" w:sz="12" w:space="0" w:color="000000"/>
            </w:tcBorders>
          </w:tcPr>
          <w:p>
            <w:pPr>
              <w:pStyle w:val="TableParagraph"/>
              <w:spacing w:line="165" w:lineRule="exact"/>
              <w:ind w:left="172"/>
              <w:jc w:val="left"/>
              <w:rPr>
                <w:sz w:val="16"/>
              </w:rPr>
            </w:pPr>
            <w:r>
              <w:rPr>
                <w:spacing w:val="-2"/>
                <w:sz w:val="16"/>
              </w:rPr>
              <w:t>Cont.</w:t>
            </w:r>
          </w:p>
          <w:p>
            <w:pPr>
              <w:pStyle w:val="TableParagraph"/>
              <w:spacing w:line="172" w:lineRule="exact" w:before="3"/>
              <w:ind w:left="182"/>
              <w:jc w:val="left"/>
              <w:rPr>
                <w:sz w:val="16"/>
              </w:rPr>
            </w:pPr>
            <w:r>
              <w:rPr>
                <w:spacing w:val="-4"/>
                <w:sz w:val="16"/>
              </w:rPr>
              <w:t>Fund</w:t>
            </w:r>
          </w:p>
        </w:tc>
        <w:tc>
          <w:tcPr>
            <w:tcW w:w="1010" w:type="dxa"/>
            <w:tcBorders>
              <w:bottom w:val="single" w:sz="12" w:space="0" w:color="000000"/>
            </w:tcBorders>
          </w:tcPr>
          <w:p>
            <w:pPr>
              <w:pStyle w:val="TableParagraph"/>
              <w:spacing w:line="165" w:lineRule="exact"/>
              <w:ind w:left="139" w:right="180"/>
              <w:jc w:val="center"/>
              <w:rPr>
                <w:sz w:val="16"/>
              </w:rPr>
            </w:pPr>
            <w:r>
              <w:rPr>
                <w:sz w:val="16"/>
              </w:rPr>
              <w:t>Total</w:t>
            </w:r>
            <w:r>
              <w:rPr>
                <w:spacing w:val="-6"/>
                <w:sz w:val="16"/>
              </w:rPr>
              <w:t> </w:t>
            </w:r>
            <w:r>
              <w:rPr>
                <w:spacing w:val="-2"/>
                <w:sz w:val="16"/>
              </w:rPr>
              <w:t>Incl.</w:t>
            </w:r>
          </w:p>
          <w:p>
            <w:pPr>
              <w:pStyle w:val="TableParagraph"/>
              <w:spacing w:line="172" w:lineRule="exact" w:before="3"/>
              <w:ind w:left="130" w:right="180"/>
              <w:jc w:val="center"/>
              <w:rPr>
                <w:sz w:val="16"/>
              </w:rPr>
            </w:pPr>
            <w:r>
              <w:rPr>
                <w:spacing w:val="-5"/>
                <w:sz w:val="16"/>
              </w:rPr>
              <w:t>CF</w:t>
            </w:r>
          </w:p>
        </w:tc>
        <w:tc>
          <w:tcPr>
            <w:tcW w:w="1137" w:type="dxa"/>
            <w:vMerge/>
            <w:tcBorders>
              <w:top w:val="nil"/>
              <w:bottom w:val="single" w:sz="12" w:space="0" w:color="000000"/>
            </w:tcBorders>
          </w:tcPr>
          <w:p>
            <w:pPr>
              <w:rPr>
                <w:sz w:val="2"/>
                <w:szCs w:val="2"/>
              </w:rPr>
            </w:pPr>
          </w:p>
        </w:tc>
        <w:tc>
          <w:tcPr>
            <w:tcW w:w="1257" w:type="dxa"/>
            <w:tcBorders>
              <w:bottom w:val="single" w:sz="12" w:space="0" w:color="000000"/>
            </w:tcBorders>
          </w:tcPr>
          <w:p>
            <w:pPr>
              <w:pStyle w:val="TableParagraph"/>
              <w:spacing w:before="7"/>
              <w:jc w:val="left"/>
              <w:rPr>
                <w:b/>
                <w:sz w:val="14"/>
              </w:rPr>
            </w:pPr>
          </w:p>
          <w:p>
            <w:pPr>
              <w:pStyle w:val="TableParagraph"/>
              <w:spacing w:line="172" w:lineRule="exact"/>
              <w:ind w:right="215"/>
              <w:rPr>
                <w:sz w:val="16"/>
              </w:rPr>
            </w:pPr>
            <w:r>
              <w:rPr>
                <w:spacing w:val="-2"/>
                <w:sz w:val="16"/>
              </w:rPr>
              <w:t>Amount</w:t>
            </w:r>
          </w:p>
        </w:tc>
        <w:tc>
          <w:tcPr>
            <w:tcW w:w="813" w:type="dxa"/>
            <w:tcBorders>
              <w:bottom w:val="single" w:sz="12" w:space="0" w:color="000000"/>
            </w:tcBorders>
          </w:tcPr>
          <w:p>
            <w:pPr>
              <w:pStyle w:val="TableParagraph"/>
              <w:spacing w:before="7"/>
              <w:jc w:val="left"/>
              <w:rPr>
                <w:b/>
                <w:sz w:val="14"/>
              </w:rPr>
            </w:pPr>
          </w:p>
          <w:p>
            <w:pPr>
              <w:pStyle w:val="TableParagraph"/>
              <w:spacing w:line="172" w:lineRule="exact"/>
              <w:ind w:right="195"/>
              <w:rPr>
                <w:sz w:val="16"/>
              </w:rPr>
            </w:pPr>
            <w:r>
              <w:rPr>
                <w:w w:val="98"/>
                <w:sz w:val="16"/>
              </w:rPr>
              <w:t>%</w:t>
            </w:r>
          </w:p>
        </w:tc>
        <w:tc>
          <w:tcPr>
            <w:tcW w:w="1096" w:type="dxa"/>
            <w:tcBorders>
              <w:bottom w:val="single" w:sz="12" w:space="0" w:color="000000"/>
            </w:tcBorders>
          </w:tcPr>
          <w:p>
            <w:pPr>
              <w:pStyle w:val="TableParagraph"/>
              <w:spacing w:line="165" w:lineRule="exact"/>
              <w:ind w:left="75" w:right="156"/>
              <w:jc w:val="center"/>
              <w:rPr>
                <w:sz w:val="16"/>
              </w:rPr>
            </w:pPr>
            <w:r>
              <w:rPr>
                <w:spacing w:val="-2"/>
                <w:sz w:val="16"/>
              </w:rPr>
              <w:t>Proposed</w:t>
            </w:r>
          </w:p>
          <w:p>
            <w:pPr>
              <w:pStyle w:val="TableParagraph"/>
              <w:spacing w:line="172" w:lineRule="exact" w:before="3"/>
              <w:ind w:left="85" w:right="156"/>
              <w:jc w:val="center"/>
              <w:rPr>
                <w:sz w:val="16"/>
              </w:rPr>
            </w:pPr>
            <w:r>
              <w:rPr>
                <w:sz w:val="16"/>
              </w:rPr>
              <w:t>2023</w:t>
            </w:r>
            <w:r>
              <w:rPr>
                <w:spacing w:val="3"/>
                <w:sz w:val="16"/>
              </w:rPr>
              <w:t> </w:t>
            </w:r>
            <w:r>
              <w:rPr>
                <w:spacing w:val="-2"/>
                <w:sz w:val="16"/>
              </w:rPr>
              <w:t>Budget</w:t>
            </w:r>
          </w:p>
        </w:tc>
      </w:tr>
      <w:tr>
        <w:trPr>
          <w:trHeight w:val="231" w:hRule="atLeast"/>
        </w:trPr>
        <w:tc>
          <w:tcPr>
            <w:tcW w:w="2461" w:type="dxa"/>
            <w:tcBorders>
              <w:top w:val="single" w:sz="12" w:space="0" w:color="000000"/>
            </w:tcBorders>
          </w:tcPr>
          <w:p>
            <w:pPr>
              <w:pStyle w:val="TableParagraph"/>
              <w:spacing w:before="13"/>
              <w:ind w:left="117"/>
              <w:jc w:val="left"/>
              <w:rPr>
                <w:sz w:val="16"/>
              </w:rPr>
            </w:pPr>
            <w:r>
              <w:rPr>
                <w:w w:val="95"/>
                <w:sz w:val="16"/>
              </w:rPr>
              <w:t>Professional</w:t>
            </w:r>
            <w:r>
              <w:rPr>
                <w:spacing w:val="28"/>
                <w:sz w:val="16"/>
              </w:rPr>
              <w:t> </w:t>
            </w:r>
            <w:r>
              <w:rPr>
                <w:spacing w:val="-2"/>
                <w:sz w:val="16"/>
              </w:rPr>
              <w:t>staff</w:t>
            </w:r>
          </w:p>
        </w:tc>
        <w:tc>
          <w:tcPr>
            <w:tcW w:w="1066" w:type="dxa"/>
            <w:tcBorders>
              <w:top w:val="single" w:sz="12" w:space="0" w:color="000000"/>
            </w:tcBorders>
            <w:shd w:val="clear" w:color="auto" w:fill="D9D9D9"/>
          </w:tcPr>
          <w:p>
            <w:pPr>
              <w:pStyle w:val="TableParagraph"/>
              <w:jc w:val="left"/>
              <w:rPr>
                <w:sz w:val="14"/>
              </w:rPr>
            </w:pPr>
          </w:p>
        </w:tc>
        <w:tc>
          <w:tcPr>
            <w:tcW w:w="804" w:type="dxa"/>
            <w:tcBorders>
              <w:top w:val="single" w:sz="12" w:space="0" w:color="000000"/>
            </w:tcBorders>
            <w:shd w:val="clear" w:color="auto" w:fill="D9D9D9"/>
          </w:tcPr>
          <w:p>
            <w:pPr>
              <w:pStyle w:val="TableParagraph"/>
              <w:jc w:val="left"/>
              <w:rPr>
                <w:sz w:val="14"/>
              </w:rPr>
            </w:pPr>
          </w:p>
        </w:tc>
        <w:tc>
          <w:tcPr>
            <w:tcW w:w="1010" w:type="dxa"/>
            <w:tcBorders>
              <w:top w:val="single" w:sz="12" w:space="0" w:color="000000"/>
            </w:tcBorders>
            <w:shd w:val="clear" w:color="auto" w:fill="D9D9D9"/>
          </w:tcPr>
          <w:p>
            <w:pPr>
              <w:pStyle w:val="TableParagraph"/>
              <w:jc w:val="left"/>
              <w:rPr>
                <w:sz w:val="14"/>
              </w:rPr>
            </w:pPr>
          </w:p>
        </w:tc>
        <w:tc>
          <w:tcPr>
            <w:tcW w:w="1137" w:type="dxa"/>
            <w:tcBorders>
              <w:top w:val="single" w:sz="12" w:space="0" w:color="000000"/>
            </w:tcBorders>
          </w:tcPr>
          <w:p>
            <w:pPr>
              <w:pStyle w:val="TableParagraph"/>
              <w:spacing w:before="13"/>
              <w:ind w:right="52"/>
              <w:rPr>
                <w:sz w:val="16"/>
              </w:rPr>
            </w:pPr>
            <w:r>
              <w:rPr>
                <w:spacing w:val="-2"/>
                <w:sz w:val="16"/>
              </w:rPr>
              <w:t>5,541.9</w:t>
            </w:r>
          </w:p>
        </w:tc>
        <w:tc>
          <w:tcPr>
            <w:tcW w:w="1257" w:type="dxa"/>
            <w:tcBorders>
              <w:top w:val="single" w:sz="12" w:space="0" w:color="000000"/>
            </w:tcBorders>
          </w:tcPr>
          <w:p>
            <w:pPr>
              <w:pStyle w:val="TableParagraph"/>
              <w:spacing w:before="13"/>
              <w:ind w:right="223"/>
              <w:rPr>
                <w:sz w:val="16"/>
              </w:rPr>
            </w:pPr>
            <w:r>
              <w:rPr>
                <w:spacing w:val="-2"/>
                <w:sz w:val="16"/>
              </w:rPr>
              <w:t>1,091.4</w:t>
            </w:r>
          </w:p>
        </w:tc>
        <w:tc>
          <w:tcPr>
            <w:tcW w:w="813" w:type="dxa"/>
            <w:tcBorders>
              <w:top w:val="single" w:sz="12" w:space="0" w:color="000000"/>
            </w:tcBorders>
          </w:tcPr>
          <w:p>
            <w:pPr>
              <w:pStyle w:val="TableParagraph"/>
              <w:spacing w:before="13"/>
              <w:ind w:right="195"/>
              <w:rPr>
                <w:sz w:val="16"/>
              </w:rPr>
            </w:pPr>
            <w:r>
              <w:rPr>
                <w:spacing w:val="-4"/>
                <w:sz w:val="16"/>
              </w:rPr>
              <w:t>19.7</w:t>
            </w:r>
          </w:p>
        </w:tc>
        <w:tc>
          <w:tcPr>
            <w:tcW w:w="1096" w:type="dxa"/>
            <w:tcBorders>
              <w:top w:val="single" w:sz="12" w:space="0" w:color="000000"/>
            </w:tcBorders>
          </w:tcPr>
          <w:p>
            <w:pPr>
              <w:pStyle w:val="TableParagraph"/>
              <w:spacing w:before="13"/>
              <w:ind w:right="101"/>
              <w:rPr>
                <w:sz w:val="16"/>
              </w:rPr>
            </w:pPr>
            <w:r>
              <w:rPr>
                <w:spacing w:val="-2"/>
                <w:sz w:val="16"/>
              </w:rPr>
              <w:t>6,633.3</w:t>
            </w:r>
          </w:p>
        </w:tc>
      </w:tr>
      <w:tr>
        <w:trPr>
          <w:trHeight w:val="223" w:hRule="atLeast"/>
        </w:trPr>
        <w:tc>
          <w:tcPr>
            <w:tcW w:w="2461" w:type="dxa"/>
            <w:tcBorders>
              <w:bottom w:val="single" w:sz="4" w:space="0" w:color="000000"/>
            </w:tcBorders>
          </w:tcPr>
          <w:p>
            <w:pPr>
              <w:pStyle w:val="TableParagraph"/>
              <w:spacing w:before="8"/>
              <w:ind w:left="117"/>
              <w:jc w:val="left"/>
              <w:rPr>
                <w:sz w:val="16"/>
              </w:rPr>
            </w:pPr>
            <w:r>
              <w:rPr>
                <w:sz w:val="16"/>
              </w:rPr>
              <w:t>General</w:t>
            </w:r>
            <w:r>
              <w:rPr>
                <w:spacing w:val="-6"/>
                <w:sz w:val="16"/>
              </w:rPr>
              <w:t> </w:t>
            </w:r>
            <w:r>
              <w:rPr>
                <w:sz w:val="16"/>
              </w:rPr>
              <w:t>Service</w:t>
            </w:r>
            <w:r>
              <w:rPr>
                <w:spacing w:val="-4"/>
                <w:sz w:val="16"/>
              </w:rPr>
              <w:t> staff</w:t>
            </w:r>
          </w:p>
        </w:tc>
        <w:tc>
          <w:tcPr>
            <w:tcW w:w="1066" w:type="dxa"/>
            <w:tcBorders>
              <w:bottom w:val="single" w:sz="4" w:space="0" w:color="000000"/>
            </w:tcBorders>
            <w:shd w:val="clear" w:color="auto" w:fill="D9D9D9"/>
          </w:tcPr>
          <w:p>
            <w:pPr>
              <w:pStyle w:val="TableParagraph"/>
              <w:jc w:val="left"/>
              <w:rPr>
                <w:sz w:val="14"/>
              </w:rPr>
            </w:pPr>
          </w:p>
        </w:tc>
        <w:tc>
          <w:tcPr>
            <w:tcW w:w="804" w:type="dxa"/>
            <w:tcBorders>
              <w:bottom w:val="single" w:sz="4" w:space="0" w:color="000000"/>
            </w:tcBorders>
            <w:shd w:val="clear" w:color="auto" w:fill="D9D9D9"/>
          </w:tcPr>
          <w:p>
            <w:pPr>
              <w:pStyle w:val="TableParagraph"/>
              <w:jc w:val="left"/>
              <w:rPr>
                <w:sz w:val="14"/>
              </w:rPr>
            </w:pPr>
          </w:p>
        </w:tc>
        <w:tc>
          <w:tcPr>
            <w:tcW w:w="1010" w:type="dxa"/>
            <w:tcBorders>
              <w:bottom w:val="single" w:sz="4" w:space="0" w:color="000000"/>
            </w:tcBorders>
            <w:shd w:val="clear" w:color="auto" w:fill="D9D9D9"/>
          </w:tcPr>
          <w:p>
            <w:pPr>
              <w:pStyle w:val="TableParagraph"/>
              <w:jc w:val="left"/>
              <w:rPr>
                <w:sz w:val="14"/>
              </w:rPr>
            </w:pPr>
          </w:p>
        </w:tc>
        <w:tc>
          <w:tcPr>
            <w:tcW w:w="1137" w:type="dxa"/>
            <w:tcBorders>
              <w:bottom w:val="single" w:sz="4" w:space="0" w:color="000000"/>
            </w:tcBorders>
          </w:tcPr>
          <w:p>
            <w:pPr>
              <w:pStyle w:val="TableParagraph"/>
              <w:spacing w:before="8"/>
              <w:ind w:right="52"/>
              <w:rPr>
                <w:sz w:val="16"/>
              </w:rPr>
            </w:pPr>
            <w:r>
              <w:rPr>
                <w:spacing w:val="-2"/>
                <w:sz w:val="16"/>
              </w:rPr>
              <w:t>3,987.3</w:t>
            </w:r>
          </w:p>
        </w:tc>
        <w:tc>
          <w:tcPr>
            <w:tcW w:w="1257" w:type="dxa"/>
            <w:tcBorders>
              <w:bottom w:val="single" w:sz="4" w:space="0" w:color="000000"/>
            </w:tcBorders>
          </w:tcPr>
          <w:p>
            <w:pPr>
              <w:pStyle w:val="TableParagraph"/>
              <w:spacing w:before="8"/>
              <w:ind w:right="223"/>
              <w:rPr>
                <w:sz w:val="16"/>
              </w:rPr>
            </w:pPr>
            <w:r>
              <w:rPr>
                <w:spacing w:val="-2"/>
                <w:sz w:val="16"/>
              </w:rPr>
              <w:t>135.6</w:t>
            </w:r>
          </w:p>
        </w:tc>
        <w:tc>
          <w:tcPr>
            <w:tcW w:w="813" w:type="dxa"/>
            <w:tcBorders>
              <w:bottom w:val="single" w:sz="4" w:space="0" w:color="000000"/>
            </w:tcBorders>
          </w:tcPr>
          <w:p>
            <w:pPr>
              <w:pStyle w:val="TableParagraph"/>
              <w:spacing w:before="8"/>
              <w:ind w:right="195"/>
              <w:rPr>
                <w:sz w:val="16"/>
              </w:rPr>
            </w:pPr>
            <w:r>
              <w:rPr>
                <w:spacing w:val="-5"/>
                <w:sz w:val="16"/>
              </w:rPr>
              <w:t>3.4</w:t>
            </w:r>
          </w:p>
        </w:tc>
        <w:tc>
          <w:tcPr>
            <w:tcW w:w="1096" w:type="dxa"/>
            <w:tcBorders>
              <w:bottom w:val="single" w:sz="4" w:space="0" w:color="000000"/>
            </w:tcBorders>
          </w:tcPr>
          <w:p>
            <w:pPr>
              <w:pStyle w:val="TableParagraph"/>
              <w:spacing w:before="8"/>
              <w:ind w:right="101"/>
              <w:rPr>
                <w:sz w:val="16"/>
              </w:rPr>
            </w:pPr>
            <w:r>
              <w:rPr>
                <w:spacing w:val="-2"/>
                <w:sz w:val="16"/>
              </w:rPr>
              <w:t>4,122.9</w:t>
            </w:r>
          </w:p>
        </w:tc>
      </w:tr>
      <w:tr>
        <w:trPr>
          <w:trHeight w:val="225" w:hRule="atLeast"/>
        </w:trPr>
        <w:tc>
          <w:tcPr>
            <w:tcW w:w="2461" w:type="dxa"/>
            <w:tcBorders>
              <w:top w:val="single" w:sz="4" w:space="0" w:color="000000"/>
              <w:bottom w:val="single" w:sz="4" w:space="0" w:color="000000"/>
            </w:tcBorders>
          </w:tcPr>
          <w:p>
            <w:pPr>
              <w:pStyle w:val="TableParagraph"/>
              <w:spacing w:before="9"/>
              <w:ind w:right="104"/>
              <w:rPr>
                <w:i/>
                <w:sz w:val="16"/>
              </w:rPr>
            </w:pPr>
            <w:r>
              <w:rPr>
                <w:i/>
                <w:sz w:val="16"/>
              </w:rPr>
              <w:t>Subtotal</w:t>
            </w:r>
            <w:r>
              <w:rPr>
                <w:i/>
                <w:spacing w:val="-1"/>
                <w:sz w:val="16"/>
              </w:rPr>
              <w:t> </w:t>
            </w:r>
            <w:r>
              <w:rPr>
                <w:i/>
                <w:spacing w:val="-2"/>
                <w:sz w:val="16"/>
              </w:rPr>
              <w:t>staff</w:t>
            </w:r>
          </w:p>
        </w:tc>
        <w:tc>
          <w:tcPr>
            <w:tcW w:w="1066" w:type="dxa"/>
            <w:tcBorders>
              <w:top w:val="single" w:sz="4" w:space="0" w:color="000000"/>
              <w:bottom w:val="single" w:sz="4" w:space="0" w:color="000000"/>
            </w:tcBorders>
          </w:tcPr>
          <w:p>
            <w:pPr>
              <w:pStyle w:val="TableParagraph"/>
              <w:spacing w:before="9"/>
              <w:ind w:right="170"/>
              <w:rPr>
                <w:i/>
                <w:sz w:val="16"/>
              </w:rPr>
            </w:pPr>
            <w:r>
              <w:rPr>
                <w:i/>
                <w:w w:val="98"/>
                <w:sz w:val="16"/>
              </w:rPr>
              <w:t>-</w:t>
            </w:r>
          </w:p>
        </w:tc>
        <w:tc>
          <w:tcPr>
            <w:tcW w:w="804" w:type="dxa"/>
            <w:tcBorders>
              <w:top w:val="single" w:sz="4" w:space="0" w:color="000000"/>
              <w:bottom w:val="single" w:sz="4" w:space="0" w:color="000000"/>
            </w:tcBorders>
          </w:tcPr>
          <w:p>
            <w:pPr>
              <w:pStyle w:val="TableParagraph"/>
              <w:spacing w:before="9"/>
              <w:ind w:right="149"/>
              <w:rPr>
                <w:i/>
                <w:sz w:val="16"/>
              </w:rPr>
            </w:pPr>
            <w:r>
              <w:rPr>
                <w:i/>
                <w:w w:val="98"/>
                <w:sz w:val="16"/>
              </w:rPr>
              <w:t>-</w:t>
            </w:r>
          </w:p>
        </w:tc>
        <w:tc>
          <w:tcPr>
            <w:tcW w:w="1010" w:type="dxa"/>
            <w:tcBorders>
              <w:top w:val="single" w:sz="4" w:space="0" w:color="000000"/>
              <w:bottom w:val="single" w:sz="4" w:space="0" w:color="000000"/>
            </w:tcBorders>
          </w:tcPr>
          <w:p>
            <w:pPr>
              <w:pStyle w:val="TableParagraph"/>
              <w:spacing w:before="9"/>
              <w:ind w:right="107"/>
              <w:rPr>
                <w:i/>
                <w:sz w:val="16"/>
              </w:rPr>
            </w:pPr>
            <w:r>
              <w:rPr>
                <w:i/>
                <w:w w:val="98"/>
                <w:sz w:val="16"/>
              </w:rPr>
              <w:t>-</w:t>
            </w:r>
          </w:p>
        </w:tc>
        <w:tc>
          <w:tcPr>
            <w:tcW w:w="1137" w:type="dxa"/>
            <w:tcBorders>
              <w:top w:val="single" w:sz="4" w:space="0" w:color="000000"/>
              <w:bottom w:val="single" w:sz="4" w:space="0" w:color="000000"/>
            </w:tcBorders>
          </w:tcPr>
          <w:p>
            <w:pPr>
              <w:pStyle w:val="TableParagraph"/>
              <w:spacing w:before="9"/>
              <w:ind w:right="52"/>
              <w:rPr>
                <w:i/>
                <w:sz w:val="16"/>
              </w:rPr>
            </w:pPr>
            <w:r>
              <w:rPr>
                <w:i/>
                <w:spacing w:val="-2"/>
                <w:sz w:val="16"/>
              </w:rPr>
              <w:t>9,529.2</w:t>
            </w:r>
          </w:p>
        </w:tc>
        <w:tc>
          <w:tcPr>
            <w:tcW w:w="1257" w:type="dxa"/>
            <w:tcBorders>
              <w:top w:val="single" w:sz="4" w:space="0" w:color="000000"/>
              <w:bottom w:val="single" w:sz="4" w:space="0" w:color="000000"/>
            </w:tcBorders>
          </w:tcPr>
          <w:p>
            <w:pPr>
              <w:pStyle w:val="TableParagraph"/>
              <w:spacing w:before="9"/>
              <w:ind w:right="223"/>
              <w:rPr>
                <w:i/>
                <w:sz w:val="16"/>
              </w:rPr>
            </w:pPr>
            <w:r>
              <w:rPr>
                <w:i/>
                <w:spacing w:val="-2"/>
                <w:sz w:val="16"/>
              </w:rPr>
              <w:t>1,227.0</w:t>
            </w:r>
          </w:p>
        </w:tc>
        <w:tc>
          <w:tcPr>
            <w:tcW w:w="813" w:type="dxa"/>
            <w:tcBorders>
              <w:top w:val="single" w:sz="4" w:space="0" w:color="000000"/>
              <w:bottom w:val="single" w:sz="4" w:space="0" w:color="000000"/>
            </w:tcBorders>
          </w:tcPr>
          <w:p>
            <w:pPr>
              <w:pStyle w:val="TableParagraph"/>
              <w:spacing w:before="9"/>
              <w:ind w:right="195"/>
              <w:rPr>
                <w:i/>
                <w:sz w:val="16"/>
              </w:rPr>
            </w:pPr>
            <w:r>
              <w:rPr>
                <w:i/>
                <w:spacing w:val="-4"/>
                <w:sz w:val="16"/>
              </w:rPr>
              <w:t>12.9</w:t>
            </w:r>
          </w:p>
        </w:tc>
        <w:tc>
          <w:tcPr>
            <w:tcW w:w="1096" w:type="dxa"/>
            <w:tcBorders>
              <w:top w:val="single" w:sz="4" w:space="0" w:color="000000"/>
              <w:bottom w:val="single" w:sz="4" w:space="0" w:color="000000"/>
            </w:tcBorders>
          </w:tcPr>
          <w:p>
            <w:pPr>
              <w:pStyle w:val="TableParagraph"/>
              <w:spacing w:before="9"/>
              <w:ind w:right="101"/>
              <w:rPr>
                <w:i/>
                <w:sz w:val="16"/>
              </w:rPr>
            </w:pPr>
            <w:r>
              <w:rPr>
                <w:i/>
                <w:spacing w:val="-2"/>
                <w:sz w:val="16"/>
              </w:rPr>
              <w:t>10,756.2</w:t>
            </w:r>
          </w:p>
        </w:tc>
      </w:tr>
      <w:tr>
        <w:trPr>
          <w:trHeight w:val="231" w:hRule="atLeast"/>
        </w:trPr>
        <w:tc>
          <w:tcPr>
            <w:tcW w:w="2461" w:type="dxa"/>
            <w:tcBorders>
              <w:top w:val="single" w:sz="4" w:space="0" w:color="000000"/>
            </w:tcBorders>
          </w:tcPr>
          <w:p>
            <w:pPr>
              <w:pStyle w:val="TableParagraph"/>
              <w:spacing w:before="14"/>
              <w:ind w:left="117"/>
              <w:jc w:val="left"/>
              <w:rPr>
                <w:sz w:val="16"/>
              </w:rPr>
            </w:pPr>
            <w:r>
              <w:rPr>
                <w:sz w:val="16"/>
              </w:rPr>
              <w:t>General</w:t>
            </w:r>
            <w:r>
              <w:rPr>
                <w:spacing w:val="-4"/>
                <w:sz w:val="16"/>
              </w:rPr>
              <w:t> </w:t>
            </w:r>
            <w:r>
              <w:rPr>
                <w:sz w:val="16"/>
              </w:rPr>
              <w:t>temporary</w:t>
            </w:r>
            <w:r>
              <w:rPr>
                <w:spacing w:val="-1"/>
                <w:sz w:val="16"/>
              </w:rPr>
              <w:t> </w:t>
            </w:r>
            <w:r>
              <w:rPr>
                <w:spacing w:val="-2"/>
                <w:sz w:val="16"/>
              </w:rPr>
              <w:t>assistance</w:t>
            </w:r>
          </w:p>
        </w:tc>
        <w:tc>
          <w:tcPr>
            <w:tcW w:w="1066" w:type="dxa"/>
            <w:tcBorders>
              <w:top w:val="single" w:sz="4" w:space="0" w:color="000000"/>
            </w:tcBorders>
          </w:tcPr>
          <w:p>
            <w:pPr>
              <w:pStyle w:val="TableParagraph"/>
              <w:spacing w:before="14"/>
              <w:ind w:right="170"/>
              <w:rPr>
                <w:sz w:val="16"/>
              </w:rPr>
            </w:pPr>
            <w:r>
              <w:rPr>
                <w:w w:val="98"/>
                <w:sz w:val="16"/>
              </w:rPr>
              <w:t>-</w:t>
            </w:r>
          </w:p>
        </w:tc>
        <w:tc>
          <w:tcPr>
            <w:tcW w:w="804" w:type="dxa"/>
            <w:tcBorders>
              <w:top w:val="single" w:sz="4" w:space="0" w:color="000000"/>
            </w:tcBorders>
          </w:tcPr>
          <w:p>
            <w:pPr>
              <w:pStyle w:val="TableParagraph"/>
              <w:spacing w:before="14"/>
              <w:ind w:right="149"/>
              <w:rPr>
                <w:sz w:val="16"/>
              </w:rPr>
            </w:pPr>
            <w:r>
              <w:rPr>
                <w:w w:val="98"/>
                <w:sz w:val="16"/>
              </w:rPr>
              <w:t>-</w:t>
            </w:r>
          </w:p>
        </w:tc>
        <w:tc>
          <w:tcPr>
            <w:tcW w:w="1010" w:type="dxa"/>
            <w:tcBorders>
              <w:top w:val="single" w:sz="4" w:space="0" w:color="000000"/>
            </w:tcBorders>
          </w:tcPr>
          <w:p>
            <w:pPr>
              <w:pStyle w:val="TableParagraph"/>
              <w:spacing w:before="14"/>
              <w:ind w:right="107"/>
              <w:rPr>
                <w:sz w:val="16"/>
              </w:rPr>
            </w:pPr>
            <w:r>
              <w:rPr>
                <w:w w:val="98"/>
                <w:sz w:val="16"/>
              </w:rPr>
              <w:t>-</w:t>
            </w:r>
          </w:p>
        </w:tc>
        <w:tc>
          <w:tcPr>
            <w:tcW w:w="1137" w:type="dxa"/>
            <w:tcBorders>
              <w:top w:val="single" w:sz="4" w:space="0" w:color="000000"/>
            </w:tcBorders>
          </w:tcPr>
          <w:p>
            <w:pPr>
              <w:pStyle w:val="TableParagraph"/>
              <w:spacing w:before="14"/>
              <w:ind w:right="52"/>
              <w:rPr>
                <w:sz w:val="16"/>
              </w:rPr>
            </w:pPr>
            <w:r>
              <w:rPr>
                <w:spacing w:val="-2"/>
                <w:sz w:val="16"/>
              </w:rPr>
              <w:t>5,023.2</w:t>
            </w:r>
          </w:p>
        </w:tc>
        <w:tc>
          <w:tcPr>
            <w:tcW w:w="1257" w:type="dxa"/>
            <w:tcBorders>
              <w:top w:val="single" w:sz="4" w:space="0" w:color="000000"/>
            </w:tcBorders>
          </w:tcPr>
          <w:p>
            <w:pPr>
              <w:pStyle w:val="TableParagraph"/>
              <w:spacing w:before="14"/>
              <w:ind w:right="223"/>
              <w:rPr>
                <w:sz w:val="16"/>
              </w:rPr>
            </w:pPr>
            <w:r>
              <w:rPr>
                <w:spacing w:val="-2"/>
                <w:sz w:val="16"/>
              </w:rPr>
              <w:t>1,253.3</w:t>
            </w:r>
          </w:p>
        </w:tc>
        <w:tc>
          <w:tcPr>
            <w:tcW w:w="813" w:type="dxa"/>
            <w:tcBorders>
              <w:top w:val="single" w:sz="4" w:space="0" w:color="000000"/>
            </w:tcBorders>
          </w:tcPr>
          <w:p>
            <w:pPr>
              <w:pStyle w:val="TableParagraph"/>
              <w:spacing w:before="14"/>
              <w:ind w:right="195"/>
              <w:rPr>
                <w:sz w:val="16"/>
              </w:rPr>
            </w:pPr>
            <w:r>
              <w:rPr>
                <w:spacing w:val="-4"/>
                <w:sz w:val="16"/>
              </w:rPr>
              <w:t>25.0</w:t>
            </w:r>
          </w:p>
        </w:tc>
        <w:tc>
          <w:tcPr>
            <w:tcW w:w="1096" w:type="dxa"/>
            <w:tcBorders>
              <w:top w:val="single" w:sz="4" w:space="0" w:color="000000"/>
            </w:tcBorders>
          </w:tcPr>
          <w:p>
            <w:pPr>
              <w:pStyle w:val="TableParagraph"/>
              <w:spacing w:before="14"/>
              <w:ind w:right="101"/>
              <w:rPr>
                <w:sz w:val="16"/>
              </w:rPr>
            </w:pPr>
            <w:r>
              <w:rPr>
                <w:spacing w:val="-2"/>
                <w:sz w:val="16"/>
              </w:rPr>
              <w:t>6,276.5</w:t>
            </w:r>
          </w:p>
        </w:tc>
      </w:tr>
      <w:tr>
        <w:trPr>
          <w:trHeight w:val="225" w:hRule="atLeast"/>
        </w:trPr>
        <w:tc>
          <w:tcPr>
            <w:tcW w:w="2461" w:type="dxa"/>
          </w:tcPr>
          <w:p>
            <w:pPr>
              <w:pStyle w:val="TableParagraph"/>
              <w:spacing w:before="7"/>
              <w:ind w:left="117"/>
              <w:jc w:val="left"/>
              <w:rPr>
                <w:sz w:val="16"/>
              </w:rPr>
            </w:pPr>
            <w:r>
              <w:rPr>
                <w:sz w:val="16"/>
              </w:rPr>
              <w:t>Temporary</w:t>
            </w:r>
            <w:r>
              <w:rPr>
                <w:spacing w:val="-3"/>
                <w:sz w:val="16"/>
              </w:rPr>
              <w:t> </w:t>
            </w:r>
            <w:r>
              <w:rPr>
                <w:sz w:val="16"/>
              </w:rPr>
              <w:t>assistance</w:t>
            </w:r>
            <w:r>
              <w:rPr>
                <w:spacing w:val="-4"/>
                <w:sz w:val="16"/>
              </w:rPr>
              <w:t> </w:t>
            </w:r>
            <w:r>
              <w:rPr>
                <w:sz w:val="16"/>
              </w:rPr>
              <w:t>for</w:t>
            </w:r>
            <w:r>
              <w:rPr>
                <w:spacing w:val="-2"/>
                <w:sz w:val="16"/>
              </w:rPr>
              <w:t> meetings</w:t>
            </w:r>
          </w:p>
        </w:tc>
        <w:tc>
          <w:tcPr>
            <w:tcW w:w="1066" w:type="dxa"/>
          </w:tcPr>
          <w:p>
            <w:pPr>
              <w:pStyle w:val="TableParagraph"/>
              <w:spacing w:before="7"/>
              <w:ind w:right="170"/>
              <w:rPr>
                <w:sz w:val="16"/>
              </w:rPr>
            </w:pPr>
            <w:r>
              <w:rPr>
                <w:w w:val="98"/>
                <w:sz w:val="16"/>
              </w:rPr>
              <w:t>-</w:t>
            </w:r>
          </w:p>
        </w:tc>
        <w:tc>
          <w:tcPr>
            <w:tcW w:w="804" w:type="dxa"/>
          </w:tcPr>
          <w:p>
            <w:pPr>
              <w:pStyle w:val="TableParagraph"/>
              <w:spacing w:before="7"/>
              <w:ind w:right="149"/>
              <w:rPr>
                <w:sz w:val="16"/>
              </w:rPr>
            </w:pPr>
            <w:r>
              <w:rPr>
                <w:w w:val="98"/>
                <w:sz w:val="16"/>
              </w:rPr>
              <w:t>-</w:t>
            </w:r>
          </w:p>
        </w:tc>
        <w:tc>
          <w:tcPr>
            <w:tcW w:w="1010" w:type="dxa"/>
          </w:tcPr>
          <w:p>
            <w:pPr>
              <w:pStyle w:val="TableParagraph"/>
              <w:spacing w:before="7"/>
              <w:ind w:right="107"/>
              <w:rPr>
                <w:sz w:val="16"/>
              </w:rPr>
            </w:pPr>
            <w:r>
              <w:rPr>
                <w:w w:val="98"/>
                <w:sz w:val="16"/>
              </w:rPr>
              <w:t>-</w:t>
            </w:r>
          </w:p>
        </w:tc>
        <w:tc>
          <w:tcPr>
            <w:tcW w:w="1137" w:type="dxa"/>
          </w:tcPr>
          <w:p>
            <w:pPr>
              <w:pStyle w:val="TableParagraph"/>
              <w:spacing w:before="7"/>
              <w:ind w:right="48"/>
              <w:rPr>
                <w:sz w:val="16"/>
              </w:rPr>
            </w:pPr>
            <w:r>
              <w:rPr>
                <w:w w:val="98"/>
                <w:sz w:val="16"/>
              </w:rPr>
              <w:t>-</w:t>
            </w:r>
          </w:p>
        </w:tc>
        <w:tc>
          <w:tcPr>
            <w:tcW w:w="1257" w:type="dxa"/>
          </w:tcPr>
          <w:p>
            <w:pPr>
              <w:pStyle w:val="TableParagraph"/>
              <w:spacing w:before="7"/>
              <w:ind w:right="225"/>
              <w:rPr>
                <w:sz w:val="16"/>
              </w:rPr>
            </w:pPr>
            <w:r>
              <w:rPr>
                <w:w w:val="98"/>
                <w:sz w:val="16"/>
              </w:rPr>
              <w:t>-</w:t>
            </w:r>
          </w:p>
        </w:tc>
        <w:tc>
          <w:tcPr>
            <w:tcW w:w="813" w:type="dxa"/>
          </w:tcPr>
          <w:p>
            <w:pPr>
              <w:pStyle w:val="TableParagraph"/>
              <w:spacing w:before="7"/>
              <w:ind w:right="193"/>
              <w:rPr>
                <w:sz w:val="16"/>
              </w:rPr>
            </w:pPr>
            <w:r>
              <w:rPr>
                <w:w w:val="98"/>
                <w:sz w:val="16"/>
              </w:rPr>
              <w:t>-</w:t>
            </w:r>
          </w:p>
        </w:tc>
        <w:tc>
          <w:tcPr>
            <w:tcW w:w="1096" w:type="dxa"/>
          </w:tcPr>
          <w:p>
            <w:pPr>
              <w:pStyle w:val="TableParagraph"/>
              <w:spacing w:before="7"/>
              <w:ind w:right="98"/>
              <w:rPr>
                <w:sz w:val="16"/>
              </w:rPr>
            </w:pPr>
            <w:r>
              <w:rPr>
                <w:w w:val="98"/>
                <w:sz w:val="16"/>
              </w:rPr>
              <w:t>-</w:t>
            </w:r>
          </w:p>
        </w:tc>
      </w:tr>
      <w:tr>
        <w:trPr>
          <w:trHeight w:val="223" w:hRule="atLeast"/>
        </w:trPr>
        <w:tc>
          <w:tcPr>
            <w:tcW w:w="2461" w:type="dxa"/>
            <w:tcBorders>
              <w:bottom w:val="single" w:sz="4" w:space="0" w:color="000000"/>
            </w:tcBorders>
          </w:tcPr>
          <w:p>
            <w:pPr>
              <w:pStyle w:val="TableParagraph"/>
              <w:spacing w:before="7"/>
              <w:ind w:left="117"/>
              <w:jc w:val="left"/>
              <w:rPr>
                <w:sz w:val="16"/>
              </w:rPr>
            </w:pPr>
            <w:r>
              <w:rPr>
                <w:spacing w:val="-2"/>
                <w:sz w:val="16"/>
              </w:rPr>
              <w:t>Overtime</w:t>
            </w:r>
          </w:p>
        </w:tc>
        <w:tc>
          <w:tcPr>
            <w:tcW w:w="1066" w:type="dxa"/>
            <w:tcBorders>
              <w:bottom w:val="single" w:sz="4" w:space="0" w:color="000000"/>
            </w:tcBorders>
          </w:tcPr>
          <w:p>
            <w:pPr>
              <w:pStyle w:val="TableParagraph"/>
              <w:spacing w:before="7"/>
              <w:ind w:right="170"/>
              <w:rPr>
                <w:sz w:val="16"/>
              </w:rPr>
            </w:pPr>
            <w:r>
              <w:rPr>
                <w:w w:val="98"/>
                <w:sz w:val="16"/>
              </w:rPr>
              <w:t>-</w:t>
            </w:r>
          </w:p>
        </w:tc>
        <w:tc>
          <w:tcPr>
            <w:tcW w:w="804" w:type="dxa"/>
            <w:tcBorders>
              <w:bottom w:val="single" w:sz="4" w:space="0" w:color="000000"/>
            </w:tcBorders>
          </w:tcPr>
          <w:p>
            <w:pPr>
              <w:pStyle w:val="TableParagraph"/>
              <w:spacing w:before="7"/>
              <w:ind w:right="149"/>
              <w:rPr>
                <w:sz w:val="16"/>
              </w:rPr>
            </w:pPr>
            <w:r>
              <w:rPr>
                <w:w w:val="98"/>
                <w:sz w:val="16"/>
              </w:rPr>
              <w:t>-</w:t>
            </w:r>
          </w:p>
        </w:tc>
        <w:tc>
          <w:tcPr>
            <w:tcW w:w="1010" w:type="dxa"/>
            <w:tcBorders>
              <w:bottom w:val="single" w:sz="4" w:space="0" w:color="000000"/>
            </w:tcBorders>
          </w:tcPr>
          <w:p>
            <w:pPr>
              <w:pStyle w:val="TableParagraph"/>
              <w:spacing w:before="7"/>
              <w:ind w:right="107"/>
              <w:rPr>
                <w:sz w:val="16"/>
              </w:rPr>
            </w:pPr>
            <w:r>
              <w:rPr>
                <w:w w:val="98"/>
                <w:sz w:val="16"/>
              </w:rPr>
              <w:t>-</w:t>
            </w:r>
          </w:p>
        </w:tc>
        <w:tc>
          <w:tcPr>
            <w:tcW w:w="1137" w:type="dxa"/>
            <w:tcBorders>
              <w:bottom w:val="single" w:sz="4" w:space="0" w:color="000000"/>
            </w:tcBorders>
          </w:tcPr>
          <w:p>
            <w:pPr>
              <w:pStyle w:val="TableParagraph"/>
              <w:spacing w:before="7"/>
              <w:ind w:right="48"/>
              <w:rPr>
                <w:sz w:val="16"/>
              </w:rPr>
            </w:pPr>
            <w:r>
              <w:rPr>
                <w:w w:val="98"/>
                <w:sz w:val="16"/>
              </w:rPr>
              <w:t>-</w:t>
            </w:r>
          </w:p>
        </w:tc>
        <w:tc>
          <w:tcPr>
            <w:tcW w:w="1257" w:type="dxa"/>
            <w:tcBorders>
              <w:bottom w:val="single" w:sz="4" w:space="0" w:color="000000"/>
            </w:tcBorders>
          </w:tcPr>
          <w:p>
            <w:pPr>
              <w:pStyle w:val="TableParagraph"/>
              <w:spacing w:before="7"/>
              <w:ind w:right="225"/>
              <w:rPr>
                <w:sz w:val="16"/>
              </w:rPr>
            </w:pPr>
            <w:r>
              <w:rPr>
                <w:w w:val="98"/>
                <w:sz w:val="16"/>
              </w:rPr>
              <w:t>-</w:t>
            </w:r>
          </w:p>
        </w:tc>
        <w:tc>
          <w:tcPr>
            <w:tcW w:w="813" w:type="dxa"/>
            <w:tcBorders>
              <w:bottom w:val="single" w:sz="4" w:space="0" w:color="000000"/>
            </w:tcBorders>
          </w:tcPr>
          <w:p>
            <w:pPr>
              <w:pStyle w:val="TableParagraph"/>
              <w:spacing w:before="7"/>
              <w:ind w:right="193"/>
              <w:rPr>
                <w:sz w:val="16"/>
              </w:rPr>
            </w:pPr>
            <w:r>
              <w:rPr>
                <w:w w:val="98"/>
                <w:sz w:val="16"/>
              </w:rPr>
              <w:t>-</w:t>
            </w:r>
          </w:p>
        </w:tc>
        <w:tc>
          <w:tcPr>
            <w:tcW w:w="1096" w:type="dxa"/>
            <w:tcBorders>
              <w:bottom w:val="single" w:sz="4" w:space="0" w:color="000000"/>
            </w:tcBorders>
          </w:tcPr>
          <w:p>
            <w:pPr>
              <w:pStyle w:val="TableParagraph"/>
              <w:spacing w:before="7"/>
              <w:ind w:right="98"/>
              <w:rPr>
                <w:sz w:val="16"/>
              </w:rPr>
            </w:pPr>
            <w:r>
              <w:rPr>
                <w:w w:val="98"/>
                <w:sz w:val="16"/>
              </w:rPr>
              <w:t>-</w:t>
            </w:r>
          </w:p>
        </w:tc>
      </w:tr>
      <w:tr>
        <w:trPr>
          <w:trHeight w:val="225" w:hRule="atLeast"/>
        </w:trPr>
        <w:tc>
          <w:tcPr>
            <w:tcW w:w="2461" w:type="dxa"/>
            <w:tcBorders>
              <w:top w:val="single" w:sz="4" w:space="0" w:color="000000"/>
              <w:bottom w:val="single" w:sz="4" w:space="0" w:color="000000"/>
            </w:tcBorders>
          </w:tcPr>
          <w:p>
            <w:pPr>
              <w:pStyle w:val="TableParagraph"/>
              <w:spacing w:before="14"/>
              <w:ind w:right="105"/>
              <w:rPr>
                <w:i/>
                <w:sz w:val="16"/>
              </w:rPr>
            </w:pPr>
            <w:r>
              <w:rPr>
                <w:i/>
                <w:sz w:val="16"/>
              </w:rPr>
              <w:t>Subtotal</w:t>
            </w:r>
            <w:r>
              <w:rPr>
                <w:i/>
                <w:spacing w:val="-2"/>
                <w:sz w:val="16"/>
              </w:rPr>
              <w:t> </w:t>
            </w:r>
            <w:r>
              <w:rPr>
                <w:i/>
                <w:sz w:val="16"/>
              </w:rPr>
              <w:t>other</w:t>
            </w:r>
            <w:r>
              <w:rPr>
                <w:i/>
                <w:spacing w:val="-1"/>
                <w:sz w:val="16"/>
              </w:rPr>
              <w:t> </w:t>
            </w:r>
            <w:r>
              <w:rPr>
                <w:i/>
                <w:spacing w:val="-2"/>
                <w:sz w:val="16"/>
              </w:rPr>
              <w:t>staff</w:t>
            </w:r>
          </w:p>
        </w:tc>
        <w:tc>
          <w:tcPr>
            <w:tcW w:w="1066" w:type="dxa"/>
            <w:tcBorders>
              <w:top w:val="single" w:sz="4" w:space="0" w:color="000000"/>
              <w:bottom w:val="single" w:sz="4" w:space="0" w:color="000000"/>
            </w:tcBorders>
          </w:tcPr>
          <w:p>
            <w:pPr>
              <w:pStyle w:val="TableParagraph"/>
              <w:spacing w:before="14"/>
              <w:ind w:right="170"/>
              <w:rPr>
                <w:i/>
                <w:sz w:val="16"/>
              </w:rPr>
            </w:pPr>
            <w:r>
              <w:rPr>
                <w:i/>
                <w:w w:val="98"/>
                <w:sz w:val="16"/>
              </w:rPr>
              <w:t>-</w:t>
            </w:r>
          </w:p>
        </w:tc>
        <w:tc>
          <w:tcPr>
            <w:tcW w:w="804" w:type="dxa"/>
            <w:tcBorders>
              <w:top w:val="single" w:sz="4" w:space="0" w:color="000000"/>
              <w:bottom w:val="single" w:sz="4" w:space="0" w:color="000000"/>
            </w:tcBorders>
          </w:tcPr>
          <w:p>
            <w:pPr>
              <w:pStyle w:val="TableParagraph"/>
              <w:spacing w:before="14"/>
              <w:ind w:right="149"/>
              <w:rPr>
                <w:i/>
                <w:sz w:val="16"/>
              </w:rPr>
            </w:pPr>
            <w:r>
              <w:rPr>
                <w:i/>
                <w:w w:val="98"/>
                <w:sz w:val="16"/>
              </w:rPr>
              <w:t>-</w:t>
            </w:r>
          </w:p>
        </w:tc>
        <w:tc>
          <w:tcPr>
            <w:tcW w:w="1010" w:type="dxa"/>
            <w:tcBorders>
              <w:top w:val="single" w:sz="4" w:space="0" w:color="000000"/>
              <w:bottom w:val="single" w:sz="4" w:space="0" w:color="000000"/>
            </w:tcBorders>
          </w:tcPr>
          <w:p>
            <w:pPr>
              <w:pStyle w:val="TableParagraph"/>
              <w:spacing w:before="14"/>
              <w:ind w:right="107"/>
              <w:rPr>
                <w:i/>
                <w:sz w:val="16"/>
              </w:rPr>
            </w:pPr>
            <w:r>
              <w:rPr>
                <w:i/>
                <w:w w:val="98"/>
                <w:sz w:val="16"/>
              </w:rPr>
              <w:t>-</w:t>
            </w:r>
          </w:p>
        </w:tc>
        <w:tc>
          <w:tcPr>
            <w:tcW w:w="1137" w:type="dxa"/>
            <w:tcBorders>
              <w:top w:val="single" w:sz="4" w:space="0" w:color="000000"/>
              <w:bottom w:val="single" w:sz="4" w:space="0" w:color="000000"/>
            </w:tcBorders>
          </w:tcPr>
          <w:p>
            <w:pPr>
              <w:pStyle w:val="TableParagraph"/>
              <w:spacing w:before="14"/>
              <w:ind w:right="52"/>
              <w:rPr>
                <w:i/>
                <w:sz w:val="16"/>
              </w:rPr>
            </w:pPr>
            <w:r>
              <w:rPr>
                <w:i/>
                <w:spacing w:val="-2"/>
                <w:sz w:val="16"/>
              </w:rPr>
              <w:t>5,023.2</w:t>
            </w:r>
          </w:p>
        </w:tc>
        <w:tc>
          <w:tcPr>
            <w:tcW w:w="1257" w:type="dxa"/>
            <w:tcBorders>
              <w:top w:val="single" w:sz="4" w:space="0" w:color="000000"/>
              <w:bottom w:val="single" w:sz="4" w:space="0" w:color="000000"/>
            </w:tcBorders>
          </w:tcPr>
          <w:p>
            <w:pPr>
              <w:pStyle w:val="TableParagraph"/>
              <w:spacing w:before="14"/>
              <w:ind w:right="223"/>
              <w:rPr>
                <w:i/>
                <w:sz w:val="16"/>
              </w:rPr>
            </w:pPr>
            <w:r>
              <w:rPr>
                <w:i/>
                <w:spacing w:val="-2"/>
                <w:sz w:val="16"/>
              </w:rPr>
              <w:t>1,253.3</w:t>
            </w:r>
          </w:p>
        </w:tc>
        <w:tc>
          <w:tcPr>
            <w:tcW w:w="813" w:type="dxa"/>
            <w:tcBorders>
              <w:top w:val="single" w:sz="4" w:space="0" w:color="000000"/>
              <w:bottom w:val="single" w:sz="4" w:space="0" w:color="000000"/>
            </w:tcBorders>
          </w:tcPr>
          <w:p>
            <w:pPr>
              <w:pStyle w:val="TableParagraph"/>
              <w:spacing w:before="14"/>
              <w:ind w:right="195"/>
              <w:rPr>
                <w:i/>
                <w:sz w:val="16"/>
              </w:rPr>
            </w:pPr>
            <w:r>
              <w:rPr>
                <w:i/>
                <w:spacing w:val="-4"/>
                <w:sz w:val="16"/>
              </w:rPr>
              <w:t>25.0</w:t>
            </w:r>
          </w:p>
        </w:tc>
        <w:tc>
          <w:tcPr>
            <w:tcW w:w="1096" w:type="dxa"/>
            <w:tcBorders>
              <w:top w:val="single" w:sz="4" w:space="0" w:color="000000"/>
              <w:bottom w:val="single" w:sz="4" w:space="0" w:color="000000"/>
            </w:tcBorders>
          </w:tcPr>
          <w:p>
            <w:pPr>
              <w:pStyle w:val="TableParagraph"/>
              <w:spacing w:before="14"/>
              <w:ind w:right="101"/>
              <w:rPr>
                <w:i/>
                <w:sz w:val="16"/>
              </w:rPr>
            </w:pPr>
            <w:r>
              <w:rPr>
                <w:i/>
                <w:spacing w:val="-2"/>
                <w:sz w:val="16"/>
              </w:rPr>
              <w:t>6,276.5</w:t>
            </w:r>
          </w:p>
        </w:tc>
      </w:tr>
      <w:tr>
        <w:trPr>
          <w:trHeight w:val="231" w:hRule="atLeast"/>
        </w:trPr>
        <w:tc>
          <w:tcPr>
            <w:tcW w:w="2461" w:type="dxa"/>
            <w:tcBorders>
              <w:top w:val="single" w:sz="4" w:space="0" w:color="000000"/>
            </w:tcBorders>
          </w:tcPr>
          <w:p>
            <w:pPr>
              <w:pStyle w:val="TableParagraph"/>
              <w:spacing w:before="14"/>
              <w:ind w:left="117"/>
              <w:jc w:val="left"/>
              <w:rPr>
                <w:sz w:val="16"/>
              </w:rPr>
            </w:pPr>
            <w:r>
              <w:rPr>
                <w:spacing w:val="-2"/>
                <w:sz w:val="16"/>
              </w:rPr>
              <w:t>Travel</w:t>
            </w:r>
          </w:p>
        </w:tc>
        <w:tc>
          <w:tcPr>
            <w:tcW w:w="1066" w:type="dxa"/>
            <w:tcBorders>
              <w:top w:val="single" w:sz="4" w:space="0" w:color="000000"/>
            </w:tcBorders>
          </w:tcPr>
          <w:p>
            <w:pPr>
              <w:pStyle w:val="TableParagraph"/>
              <w:spacing w:before="14"/>
              <w:ind w:right="170"/>
              <w:rPr>
                <w:sz w:val="16"/>
              </w:rPr>
            </w:pPr>
            <w:r>
              <w:rPr>
                <w:w w:val="98"/>
                <w:sz w:val="16"/>
              </w:rPr>
              <w:t>-</w:t>
            </w:r>
          </w:p>
        </w:tc>
        <w:tc>
          <w:tcPr>
            <w:tcW w:w="804" w:type="dxa"/>
            <w:tcBorders>
              <w:top w:val="single" w:sz="4" w:space="0" w:color="000000"/>
            </w:tcBorders>
          </w:tcPr>
          <w:p>
            <w:pPr>
              <w:pStyle w:val="TableParagraph"/>
              <w:spacing w:before="14"/>
              <w:ind w:right="149"/>
              <w:rPr>
                <w:sz w:val="16"/>
              </w:rPr>
            </w:pPr>
            <w:r>
              <w:rPr>
                <w:w w:val="98"/>
                <w:sz w:val="16"/>
              </w:rPr>
              <w:t>-</w:t>
            </w:r>
          </w:p>
        </w:tc>
        <w:tc>
          <w:tcPr>
            <w:tcW w:w="1010" w:type="dxa"/>
            <w:tcBorders>
              <w:top w:val="single" w:sz="4" w:space="0" w:color="000000"/>
            </w:tcBorders>
          </w:tcPr>
          <w:p>
            <w:pPr>
              <w:pStyle w:val="TableParagraph"/>
              <w:spacing w:before="14"/>
              <w:ind w:right="107"/>
              <w:rPr>
                <w:sz w:val="16"/>
              </w:rPr>
            </w:pPr>
            <w:r>
              <w:rPr>
                <w:w w:val="98"/>
                <w:sz w:val="16"/>
              </w:rPr>
              <w:t>-</w:t>
            </w:r>
          </w:p>
        </w:tc>
        <w:tc>
          <w:tcPr>
            <w:tcW w:w="1137" w:type="dxa"/>
            <w:tcBorders>
              <w:top w:val="single" w:sz="4" w:space="0" w:color="000000"/>
            </w:tcBorders>
          </w:tcPr>
          <w:p>
            <w:pPr>
              <w:pStyle w:val="TableParagraph"/>
              <w:spacing w:before="14"/>
              <w:ind w:right="51"/>
              <w:rPr>
                <w:sz w:val="16"/>
              </w:rPr>
            </w:pPr>
            <w:r>
              <w:rPr>
                <w:spacing w:val="-2"/>
                <w:sz w:val="16"/>
              </w:rPr>
              <w:t>417.6</w:t>
            </w:r>
          </w:p>
        </w:tc>
        <w:tc>
          <w:tcPr>
            <w:tcW w:w="1257" w:type="dxa"/>
            <w:tcBorders>
              <w:top w:val="single" w:sz="4" w:space="0" w:color="000000"/>
            </w:tcBorders>
          </w:tcPr>
          <w:p>
            <w:pPr>
              <w:pStyle w:val="TableParagraph"/>
              <w:spacing w:before="14"/>
              <w:ind w:right="223"/>
              <w:rPr>
                <w:sz w:val="16"/>
              </w:rPr>
            </w:pPr>
            <w:r>
              <w:rPr>
                <w:spacing w:val="-2"/>
                <w:sz w:val="16"/>
              </w:rPr>
              <w:t>322.4</w:t>
            </w:r>
          </w:p>
        </w:tc>
        <w:tc>
          <w:tcPr>
            <w:tcW w:w="813" w:type="dxa"/>
            <w:tcBorders>
              <w:top w:val="single" w:sz="4" w:space="0" w:color="000000"/>
            </w:tcBorders>
          </w:tcPr>
          <w:p>
            <w:pPr>
              <w:pStyle w:val="TableParagraph"/>
              <w:spacing w:before="14"/>
              <w:ind w:right="195"/>
              <w:rPr>
                <w:sz w:val="16"/>
              </w:rPr>
            </w:pPr>
            <w:r>
              <w:rPr>
                <w:spacing w:val="-4"/>
                <w:sz w:val="16"/>
              </w:rPr>
              <w:t>77.2</w:t>
            </w:r>
          </w:p>
        </w:tc>
        <w:tc>
          <w:tcPr>
            <w:tcW w:w="1096" w:type="dxa"/>
            <w:tcBorders>
              <w:top w:val="single" w:sz="4" w:space="0" w:color="000000"/>
            </w:tcBorders>
          </w:tcPr>
          <w:p>
            <w:pPr>
              <w:pStyle w:val="TableParagraph"/>
              <w:spacing w:before="14"/>
              <w:ind w:right="101"/>
              <w:rPr>
                <w:sz w:val="16"/>
              </w:rPr>
            </w:pPr>
            <w:r>
              <w:rPr>
                <w:spacing w:val="-2"/>
                <w:sz w:val="16"/>
              </w:rPr>
              <w:t>740.0</w:t>
            </w:r>
          </w:p>
        </w:tc>
      </w:tr>
      <w:tr>
        <w:trPr>
          <w:trHeight w:val="228" w:hRule="atLeast"/>
        </w:trPr>
        <w:tc>
          <w:tcPr>
            <w:tcW w:w="2461" w:type="dxa"/>
          </w:tcPr>
          <w:p>
            <w:pPr>
              <w:pStyle w:val="TableParagraph"/>
              <w:spacing w:before="7"/>
              <w:ind w:left="117"/>
              <w:jc w:val="left"/>
              <w:rPr>
                <w:sz w:val="16"/>
              </w:rPr>
            </w:pPr>
            <w:r>
              <w:rPr>
                <w:spacing w:val="-2"/>
                <w:sz w:val="16"/>
              </w:rPr>
              <w:t>Hospitality</w:t>
            </w:r>
          </w:p>
        </w:tc>
        <w:tc>
          <w:tcPr>
            <w:tcW w:w="1066" w:type="dxa"/>
          </w:tcPr>
          <w:p>
            <w:pPr>
              <w:pStyle w:val="TableParagraph"/>
              <w:spacing w:before="7"/>
              <w:ind w:right="170"/>
              <w:rPr>
                <w:sz w:val="16"/>
              </w:rPr>
            </w:pPr>
            <w:r>
              <w:rPr>
                <w:w w:val="98"/>
                <w:sz w:val="16"/>
              </w:rPr>
              <w:t>-</w:t>
            </w:r>
          </w:p>
        </w:tc>
        <w:tc>
          <w:tcPr>
            <w:tcW w:w="804" w:type="dxa"/>
          </w:tcPr>
          <w:p>
            <w:pPr>
              <w:pStyle w:val="TableParagraph"/>
              <w:spacing w:before="7"/>
              <w:ind w:right="149"/>
              <w:rPr>
                <w:sz w:val="16"/>
              </w:rPr>
            </w:pPr>
            <w:r>
              <w:rPr>
                <w:w w:val="98"/>
                <w:sz w:val="16"/>
              </w:rPr>
              <w:t>-</w:t>
            </w:r>
          </w:p>
        </w:tc>
        <w:tc>
          <w:tcPr>
            <w:tcW w:w="1010" w:type="dxa"/>
          </w:tcPr>
          <w:p>
            <w:pPr>
              <w:pStyle w:val="TableParagraph"/>
              <w:spacing w:before="7"/>
              <w:ind w:right="107"/>
              <w:rPr>
                <w:sz w:val="16"/>
              </w:rPr>
            </w:pPr>
            <w:r>
              <w:rPr>
                <w:w w:val="98"/>
                <w:sz w:val="16"/>
              </w:rPr>
              <w:t>-</w:t>
            </w:r>
          </w:p>
        </w:tc>
        <w:tc>
          <w:tcPr>
            <w:tcW w:w="1137" w:type="dxa"/>
          </w:tcPr>
          <w:p>
            <w:pPr>
              <w:pStyle w:val="TableParagraph"/>
              <w:spacing w:before="7"/>
              <w:ind w:right="48"/>
              <w:rPr>
                <w:sz w:val="16"/>
              </w:rPr>
            </w:pPr>
            <w:r>
              <w:rPr>
                <w:w w:val="98"/>
                <w:sz w:val="16"/>
              </w:rPr>
              <w:t>-</w:t>
            </w:r>
          </w:p>
        </w:tc>
        <w:tc>
          <w:tcPr>
            <w:tcW w:w="1257" w:type="dxa"/>
          </w:tcPr>
          <w:p>
            <w:pPr>
              <w:pStyle w:val="TableParagraph"/>
              <w:spacing w:before="7"/>
              <w:ind w:right="225"/>
              <w:rPr>
                <w:sz w:val="16"/>
              </w:rPr>
            </w:pPr>
            <w:r>
              <w:rPr>
                <w:w w:val="98"/>
                <w:sz w:val="16"/>
              </w:rPr>
              <w:t>-</w:t>
            </w:r>
          </w:p>
        </w:tc>
        <w:tc>
          <w:tcPr>
            <w:tcW w:w="813" w:type="dxa"/>
          </w:tcPr>
          <w:p>
            <w:pPr>
              <w:pStyle w:val="TableParagraph"/>
              <w:spacing w:before="7"/>
              <w:ind w:right="193"/>
              <w:rPr>
                <w:sz w:val="16"/>
              </w:rPr>
            </w:pPr>
            <w:r>
              <w:rPr>
                <w:w w:val="98"/>
                <w:sz w:val="16"/>
              </w:rPr>
              <w:t>-</w:t>
            </w:r>
          </w:p>
        </w:tc>
        <w:tc>
          <w:tcPr>
            <w:tcW w:w="1096" w:type="dxa"/>
          </w:tcPr>
          <w:p>
            <w:pPr>
              <w:pStyle w:val="TableParagraph"/>
              <w:spacing w:before="7"/>
              <w:ind w:right="98"/>
              <w:rPr>
                <w:sz w:val="16"/>
              </w:rPr>
            </w:pPr>
            <w:r>
              <w:rPr>
                <w:w w:val="98"/>
                <w:sz w:val="16"/>
              </w:rPr>
              <w:t>-</w:t>
            </w:r>
          </w:p>
        </w:tc>
      </w:tr>
      <w:tr>
        <w:trPr>
          <w:trHeight w:val="228" w:hRule="atLeast"/>
        </w:trPr>
        <w:tc>
          <w:tcPr>
            <w:tcW w:w="2461" w:type="dxa"/>
          </w:tcPr>
          <w:p>
            <w:pPr>
              <w:pStyle w:val="TableParagraph"/>
              <w:spacing w:before="10"/>
              <w:ind w:left="117"/>
              <w:jc w:val="left"/>
              <w:rPr>
                <w:sz w:val="16"/>
              </w:rPr>
            </w:pPr>
            <w:r>
              <w:rPr>
                <w:w w:val="95"/>
                <w:sz w:val="16"/>
              </w:rPr>
              <w:t>Contractual</w:t>
            </w:r>
            <w:r>
              <w:rPr>
                <w:spacing w:val="33"/>
                <w:sz w:val="16"/>
              </w:rPr>
              <w:t> </w:t>
            </w:r>
            <w:r>
              <w:rPr>
                <w:spacing w:val="-2"/>
                <w:sz w:val="16"/>
              </w:rPr>
              <w:t>services</w:t>
            </w:r>
          </w:p>
        </w:tc>
        <w:tc>
          <w:tcPr>
            <w:tcW w:w="1066" w:type="dxa"/>
          </w:tcPr>
          <w:p>
            <w:pPr>
              <w:pStyle w:val="TableParagraph"/>
              <w:spacing w:before="10"/>
              <w:ind w:right="170"/>
              <w:rPr>
                <w:sz w:val="16"/>
              </w:rPr>
            </w:pPr>
            <w:r>
              <w:rPr>
                <w:w w:val="98"/>
                <w:sz w:val="16"/>
              </w:rPr>
              <w:t>-</w:t>
            </w:r>
          </w:p>
        </w:tc>
        <w:tc>
          <w:tcPr>
            <w:tcW w:w="804" w:type="dxa"/>
          </w:tcPr>
          <w:p>
            <w:pPr>
              <w:pStyle w:val="TableParagraph"/>
              <w:spacing w:before="10"/>
              <w:ind w:right="149"/>
              <w:rPr>
                <w:sz w:val="16"/>
              </w:rPr>
            </w:pPr>
            <w:r>
              <w:rPr>
                <w:w w:val="98"/>
                <w:sz w:val="16"/>
              </w:rPr>
              <w:t>-</w:t>
            </w:r>
          </w:p>
        </w:tc>
        <w:tc>
          <w:tcPr>
            <w:tcW w:w="1010" w:type="dxa"/>
          </w:tcPr>
          <w:p>
            <w:pPr>
              <w:pStyle w:val="TableParagraph"/>
              <w:spacing w:before="10"/>
              <w:ind w:right="107"/>
              <w:rPr>
                <w:sz w:val="16"/>
              </w:rPr>
            </w:pPr>
            <w:r>
              <w:rPr>
                <w:w w:val="98"/>
                <w:sz w:val="16"/>
              </w:rPr>
              <w:t>-</w:t>
            </w:r>
          </w:p>
        </w:tc>
        <w:tc>
          <w:tcPr>
            <w:tcW w:w="1137" w:type="dxa"/>
          </w:tcPr>
          <w:p>
            <w:pPr>
              <w:pStyle w:val="TableParagraph"/>
              <w:spacing w:before="10"/>
              <w:ind w:right="51"/>
              <w:rPr>
                <w:sz w:val="16"/>
              </w:rPr>
            </w:pPr>
            <w:r>
              <w:rPr>
                <w:spacing w:val="-2"/>
                <w:sz w:val="16"/>
              </w:rPr>
              <w:t>370.0</w:t>
            </w:r>
          </w:p>
        </w:tc>
        <w:tc>
          <w:tcPr>
            <w:tcW w:w="1257" w:type="dxa"/>
          </w:tcPr>
          <w:p>
            <w:pPr>
              <w:pStyle w:val="TableParagraph"/>
              <w:spacing w:before="10"/>
              <w:ind w:right="223"/>
              <w:rPr>
                <w:sz w:val="16"/>
              </w:rPr>
            </w:pPr>
            <w:r>
              <w:rPr>
                <w:spacing w:val="-4"/>
                <w:sz w:val="16"/>
              </w:rPr>
              <w:t>20.0</w:t>
            </w:r>
          </w:p>
        </w:tc>
        <w:tc>
          <w:tcPr>
            <w:tcW w:w="813" w:type="dxa"/>
          </w:tcPr>
          <w:p>
            <w:pPr>
              <w:pStyle w:val="TableParagraph"/>
              <w:spacing w:before="10"/>
              <w:ind w:right="195"/>
              <w:rPr>
                <w:sz w:val="16"/>
              </w:rPr>
            </w:pPr>
            <w:r>
              <w:rPr>
                <w:spacing w:val="-5"/>
                <w:sz w:val="16"/>
              </w:rPr>
              <w:t>5.4</w:t>
            </w:r>
          </w:p>
        </w:tc>
        <w:tc>
          <w:tcPr>
            <w:tcW w:w="1096" w:type="dxa"/>
          </w:tcPr>
          <w:p>
            <w:pPr>
              <w:pStyle w:val="TableParagraph"/>
              <w:spacing w:before="10"/>
              <w:ind w:right="101"/>
              <w:rPr>
                <w:sz w:val="16"/>
              </w:rPr>
            </w:pPr>
            <w:r>
              <w:rPr>
                <w:spacing w:val="-2"/>
                <w:sz w:val="16"/>
              </w:rPr>
              <w:t>390.0</w:t>
            </w:r>
          </w:p>
        </w:tc>
      </w:tr>
      <w:tr>
        <w:trPr>
          <w:trHeight w:val="225" w:hRule="atLeast"/>
        </w:trPr>
        <w:tc>
          <w:tcPr>
            <w:tcW w:w="2461" w:type="dxa"/>
          </w:tcPr>
          <w:p>
            <w:pPr>
              <w:pStyle w:val="TableParagraph"/>
              <w:spacing w:before="7"/>
              <w:ind w:left="117"/>
              <w:jc w:val="left"/>
              <w:rPr>
                <w:sz w:val="16"/>
              </w:rPr>
            </w:pPr>
            <w:r>
              <w:rPr>
                <w:spacing w:val="-2"/>
                <w:sz w:val="16"/>
              </w:rPr>
              <w:t>Training</w:t>
            </w:r>
          </w:p>
        </w:tc>
        <w:tc>
          <w:tcPr>
            <w:tcW w:w="1066" w:type="dxa"/>
          </w:tcPr>
          <w:p>
            <w:pPr>
              <w:pStyle w:val="TableParagraph"/>
              <w:spacing w:before="7"/>
              <w:ind w:right="170"/>
              <w:rPr>
                <w:sz w:val="16"/>
              </w:rPr>
            </w:pPr>
            <w:r>
              <w:rPr>
                <w:w w:val="98"/>
                <w:sz w:val="16"/>
              </w:rPr>
              <w:t>-</w:t>
            </w:r>
          </w:p>
        </w:tc>
        <w:tc>
          <w:tcPr>
            <w:tcW w:w="804" w:type="dxa"/>
          </w:tcPr>
          <w:p>
            <w:pPr>
              <w:pStyle w:val="TableParagraph"/>
              <w:spacing w:before="7"/>
              <w:ind w:right="149"/>
              <w:rPr>
                <w:sz w:val="16"/>
              </w:rPr>
            </w:pPr>
            <w:r>
              <w:rPr>
                <w:w w:val="98"/>
                <w:sz w:val="16"/>
              </w:rPr>
              <w:t>-</w:t>
            </w:r>
          </w:p>
        </w:tc>
        <w:tc>
          <w:tcPr>
            <w:tcW w:w="1010" w:type="dxa"/>
          </w:tcPr>
          <w:p>
            <w:pPr>
              <w:pStyle w:val="TableParagraph"/>
              <w:spacing w:before="7"/>
              <w:ind w:right="107"/>
              <w:rPr>
                <w:sz w:val="16"/>
              </w:rPr>
            </w:pPr>
            <w:r>
              <w:rPr>
                <w:w w:val="98"/>
                <w:sz w:val="16"/>
              </w:rPr>
              <w:t>-</w:t>
            </w:r>
          </w:p>
        </w:tc>
        <w:tc>
          <w:tcPr>
            <w:tcW w:w="1137" w:type="dxa"/>
          </w:tcPr>
          <w:p>
            <w:pPr>
              <w:pStyle w:val="TableParagraph"/>
              <w:spacing w:before="7"/>
              <w:ind w:right="48"/>
              <w:rPr>
                <w:sz w:val="16"/>
              </w:rPr>
            </w:pPr>
            <w:r>
              <w:rPr>
                <w:w w:val="98"/>
                <w:sz w:val="16"/>
              </w:rPr>
              <w:t>-</w:t>
            </w:r>
          </w:p>
        </w:tc>
        <w:tc>
          <w:tcPr>
            <w:tcW w:w="1257" w:type="dxa"/>
          </w:tcPr>
          <w:p>
            <w:pPr>
              <w:pStyle w:val="TableParagraph"/>
              <w:spacing w:before="7"/>
              <w:ind w:right="225"/>
              <w:rPr>
                <w:sz w:val="16"/>
              </w:rPr>
            </w:pPr>
            <w:r>
              <w:rPr>
                <w:w w:val="98"/>
                <w:sz w:val="16"/>
              </w:rPr>
              <w:t>-</w:t>
            </w:r>
          </w:p>
        </w:tc>
        <w:tc>
          <w:tcPr>
            <w:tcW w:w="813" w:type="dxa"/>
          </w:tcPr>
          <w:p>
            <w:pPr>
              <w:pStyle w:val="TableParagraph"/>
              <w:spacing w:before="7"/>
              <w:ind w:right="193"/>
              <w:rPr>
                <w:sz w:val="16"/>
              </w:rPr>
            </w:pPr>
            <w:r>
              <w:rPr>
                <w:w w:val="98"/>
                <w:sz w:val="16"/>
              </w:rPr>
              <w:t>-</w:t>
            </w:r>
          </w:p>
        </w:tc>
        <w:tc>
          <w:tcPr>
            <w:tcW w:w="1096" w:type="dxa"/>
          </w:tcPr>
          <w:p>
            <w:pPr>
              <w:pStyle w:val="TableParagraph"/>
              <w:spacing w:before="7"/>
              <w:ind w:right="98"/>
              <w:rPr>
                <w:sz w:val="16"/>
              </w:rPr>
            </w:pPr>
            <w:r>
              <w:rPr>
                <w:w w:val="98"/>
                <w:sz w:val="16"/>
              </w:rPr>
              <w:t>-</w:t>
            </w:r>
          </w:p>
        </w:tc>
      </w:tr>
      <w:tr>
        <w:trPr>
          <w:trHeight w:val="225" w:hRule="atLeast"/>
        </w:trPr>
        <w:tc>
          <w:tcPr>
            <w:tcW w:w="2461" w:type="dxa"/>
          </w:tcPr>
          <w:p>
            <w:pPr>
              <w:pStyle w:val="TableParagraph"/>
              <w:spacing w:before="7"/>
              <w:ind w:left="117"/>
              <w:jc w:val="left"/>
              <w:rPr>
                <w:sz w:val="16"/>
              </w:rPr>
            </w:pPr>
            <w:r>
              <w:rPr>
                <w:spacing w:val="-2"/>
                <w:sz w:val="16"/>
              </w:rPr>
              <w:t>Consultants</w:t>
            </w:r>
          </w:p>
        </w:tc>
        <w:tc>
          <w:tcPr>
            <w:tcW w:w="1066" w:type="dxa"/>
          </w:tcPr>
          <w:p>
            <w:pPr>
              <w:pStyle w:val="TableParagraph"/>
              <w:spacing w:before="7"/>
              <w:ind w:right="170"/>
              <w:rPr>
                <w:sz w:val="16"/>
              </w:rPr>
            </w:pPr>
            <w:r>
              <w:rPr>
                <w:w w:val="98"/>
                <w:sz w:val="16"/>
              </w:rPr>
              <w:t>-</w:t>
            </w:r>
          </w:p>
        </w:tc>
        <w:tc>
          <w:tcPr>
            <w:tcW w:w="804" w:type="dxa"/>
          </w:tcPr>
          <w:p>
            <w:pPr>
              <w:pStyle w:val="TableParagraph"/>
              <w:spacing w:before="7"/>
              <w:ind w:right="149"/>
              <w:rPr>
                <w:sz w:val="16"/>
              </w:rPr>
            </w:pPr>
            <w:r>
              <w:rPr>
                <w:w w:val="98"/>
                <w:sz w:val="16"/>
              </w:rPr>
              <w:t>-</w:t>
            </w:r>
          </w:p>
        </w:tc>
        <w:tc>
          <w:tcPr>
            <w:tcW w:w="1010" w:type="dxa"/>
          </w:tcPr>
          <w:p>
            <w:pPr>
              <w:pStyle w:val="TableParagraph"/>
              <w:spacing w:before="7"/>
              <w:ind w:right="107"/>
              <w:rPr>
                <w:sz w:val="16"/>
              </w:rPr>
            </w:pPr>
            <w:r>
              <w:rPr>
                <w:w w:val="98"/>
                <w:sz w:val="16"/>
              </w:rPr>
              <w:t>-</w:t>
            </w:r>
          </w:p>
        </w:tc>
        <w:tc>
          <w:tcPr>
            <w:tcW w:w="1137" w:type="dxa"/>
          </w:tcPr>
          <w:p>
            <w:pPr>
              <w:pStyle w:val="TableParagraph"/>
              <w:spacing w:before="7"/>
              <w:ind w:right="48"/>
              <w:rPr>
                <w:sz w:val="16"/>
              </w:rPr>
            </w:pPr>
            <w:r>
              <w:rPr>
                <w:w w:val="98"/>
                <w:sz w:val="16"/>
              </w:rPr>
              <w:t>-</w:t>
            </w:r>
          </w:p>
        </w:tc>
        <w:tc>
          <w:tcPr>
            <w:tcW w:w="1257" w:type="dxa"/>
          </w:tcPr>
          <w:p>
            <w:pPr>
              <w:pStyle w:val="TableParagraph"/>
              <w:spacing w:before="7"/>
              <w:ind w:right="225"/>
              <w:rPr>
                <w:sz w:val="16"/>
              </w:rPr>
            </w:pPr>
            <w:r>
              <w:rPr>
                <w:w w:val="98"/>
                <w:sz w:val="16"/>
              </w:rPr>
              <w:t>-</w:t>
            </w:r>
          </w:p>
        </w:tc>
        <w:tc>
          <w:tcPr>
            <w:tcW w:w="813" w:type="dxa"/>
          </w:tcPr>
          <w:p>
            <w:pPr>
              <w:pStyle w:val="TableParagraph"/>
              <w:spacing w:before="7"/>
              <w:ind w:right="193"/>
              <w:rPr>
                <w:sz w:val="16"/>
              </w:rPr>
            </w:pPr>
            <w:r>
              <w:rPr>
                <w:w w:val="98"/>
                <w:sz w:val="16"/>
              </w:rPr>
              <w:t>-</w:t>
            </w:r>
          </w:p>
        </w:tc>
        <w:tc>
          <w:tcPr>
            <w:tcW w:w="1096" w:type="dxa"/>
          </w:tcPr>
          <w:p>
            <w:pPr>
              <w:pStyle w:val="TableParagraph"/>
              <w:spacing w:before="7"/>
              <w:ind w:right="98"/>
              <w:rPr>
                <w:sz w:val="16"/>
              </w:rPr>
            </w:pPr>
            <w:r>
              <w:rPr>
                <w:w w:val="98"/>
                <w:sz w:val="16"/>
              </w:rPr>
              <w:t>-</w:t>
            </w:r>
          </w:p>
        </w:tc>
      </w:tr>
      <w:tr>
        <w:trPr>
          <w:trHeight w:val="227" w:hRule="atLeast"/>
        </w:trPr>
        <w:tc>
          <w:tcPr>
            <w:tcW w:w="2461" w:type="dxa"/>
          </w:tcPr>
          <w:p>
            <w:pPr>
              <w:pStyle w:val="TableParagraph"/>
              <w:spacing w:before="7"/>
              <w:ind w:left="117"/>
              <w:jc w:val="left"/>
              <w:rPr>
                <w:sz w:val="16"/>
              </w:rPr>
            </w:pPr>
            <w:r>
              <w:rPr>
                <w:sz w:val="16"/>
              </w:rPr>
              <w:t>General</w:t>
            </w:r>
            <w:r>
              <w:rPr>
                <w:spacing w:val="-4"/>
                <w:sz w:val="16"/>
              </w:rPr>
              <w:t> </w:t>
            </w:r>
            <w:r>
              <w:rPr>
                <w:sz w:val="16"/>
              </w:rPr>
              <w:t>operating</w:t>
            </w:r>
            <w:r>
              <w:rPr>
                <w:spacing w:val="-1"/>
                <w:sz w:val="16"/>
              </w:rPr>
              <w:t> </w:t>
            </w:r>
            <w:r>
              <w:rPr>
                <w:spacing w:val="-2"/>
                <w:sz w:val="16"/>
              </w:rPr>
              <w:t>expenses</w:t>
            </w:r>
          </w:p>
        </w:tc>
        <w:tc>
          <w:tcPr>
            <w:tcW w:w="1066" w:type="dxa"/>
          </w:tcPr>
          <w:p>
            <w:pPr>
              <w:pStyle w:val="TableParagraph"/>
              <w:spacing w:before="7"/>
              <w:ind w:right="170"/>
              <w:rPr>
                <w:sz w:val="16"/>
              </w:rPr>
            </w:pPr>
            <w:r>
              <w:rPr>
                <w:w w:val="98"/>
                <w:sz w:val="16"/>
              </w:rPr>
              <w:t>-</w:t>
            </w:r>
          </w:p>
        </w:tc>
        <w:tc>
          <w:tcPr>
            <w:tcW w:w="804" w:type="dxa"/>
          </w:tcPr>
          <w:p>
            <w:pPr>
              <w:pStyle w:val="TableParagraph"/>
              <w:spacing w:before="7"/>
              <w:ind w:right="149"/>
              <w:rPr>
                <w:sz w:val="16"/>
              </w:rPr>
            </w:pPr>
            <w:r>
              <w:rPr>
                <w:w w:val="98"/>
                <w:sz w:val="16"/>
              </w:rPr>
              <w:t>-</w:t>
            </w:r>
          </w:p>
        </w:tc>
        <w:tc>
          <w:tcPr>
            <w:tcW w:w="1010" w:type="dxa"/>
          </w:tcPr>
          <w:p>
            <w:pPr>
              <w:pStyle w:val="TableParagraph"/>
              <w:spacing w:before="7"/>
              <w:ind w:right="107"/>
              <w:rPr>
                <w:sz w:val="16"/>
              </w:rPr>
            </w:pPr>
            <w:r>
              <w:rPr>
                <w:w w:val="98"/>
                <w:sz w:val="16"/>
              </w:rPr>
              <w:t>-</w:t>
            </w:r>
          </w:p>
        </w:tc>
        <w:tc>
          <w:tcPr>
            <w:tcW w:w="1137" w:type="dxa"/>
          </w:tcPr>
          <w:p>
            <w:pPr>
              <w:pStyle w:val="TableParagraph"/>
              <w:spacing w:before="7"/>
              <w:ind w:right="51"/>
              <w:rPr>
                <w:sz w:val="16"/>
              </w:rPr>
            </w:pPr>
            <w:r>
              <w:rPr>
                <w:spacing w:val="-2"/>
                <w:sz w:val="16"/>
              </w:rPr>
              <w:t>677.0</w:t>
            </w:r>
          </w:p>
        </w:tc>
        <w:tc>
          <w:tcPr>
            <w:tcW w:w="1257" w:type="dxa"/>
          </w:tcPr>
          <w:p>
            <w:pPr>
              <w:pStyle w:val="TableParagraph"/>
              <w:spacing w:before="7"/>
              <w:ind w:right="226"/>
              <w:rPr>
                <w:sz w:val="16"/>
              </w:rPr>
            </w:pPr>
            <w:r>
              <w:rPr>
                <w:spacing w:val="-2"/>
                <w:sz w:val="16"/>
              </w:rPr>
              <w:t>(331.0)</w:t>
            </w:r>
          </w:p>
        </w:tc>
        <w:tc>
          <w:tcPr>
            <w:tcW w:w="813" w:type="dxa"/>
          </w:tcPr>
          <w:p>
            <w:pPr>
              <w:pStyle w:val="TableParagraph"/>
              <w:spacing w:before="7"/>
              <w:ind w:right="198"/>
              <w:rPr>
                <w:sz w:val="16"/>
              </w:rPr>
            </w:pPr>
            <w:r>
              <w:rPr>
                <w:spacing w:val="-2"/>
                <w:sz w:val="16"/>
              </w:rPr>
              <w:t>(48.9)</w:t>
            </w:r>
          </w:p>
        </w:tc>
        <w:tc>
          <w:tcPr>
            <w:tcW w:w="1096" w:type="dxa"/>
          </w:tcPr>
          <w:p>
            <w:pPr>
              <w:pStyle w:val="TableParagraph"/>
              <w:spacing w:before="7"/>
              <w:ind w:right="101"/>
              <w:rPr>
                <w:sz w:val="16"/>
              </w:rPr>
            </w:pPr>
            <w:r>
              <w:rPr>
                <w:spacing w:val="-2"/>
                <w:sz w:val="16"/>
              </w:rPr>
              <w:t>346.0</w:t>
            </w:r>
          </w:p>
        </w:tc>
      </w:tr>
      <w:tr>
        <w:trPr>
          <w:trHeight w:val="227" w:hRule="atLeast"/>
        </w:trPr>
        <w:tc>
          <w:tcPr>
            <w:tcW w:w="2461" w:type="dxa"/>
          </w:tcPr>
          <w:p>
            <w:pPr>
              <w:pStyle w:val="TableParagraph"/>
              <w:spacing w:before="10"/>
              <w:ind w:left="117"/>
              <w:jc w:val="left"/>
              <w:rPr>
                <w:sz w:val="16"/>
              </w:rPr>
            </w:pPr>
            <w:r>
              <w:rPr>
                <w:sz w:val="16"/>
              </w:rPr>
              <w:t>Supplies</w:t>
            </w:r>
            <w:r>
              <w:rPr>
                <w:spacing w:val="-4"/>
                <w:sz w:val="16"/>
              </w:rPr>
              <w:t> </w:t>
            </w:r>
            <w:r>
              <w:rPr>
                <w:sz w:val="16"/>
              </w:rPr>
              <w:t>and</w:t>
            </w:r>
            <w:r>
              <w:rPr>
                <w:spacing w:val="-2"/>
                <w:sz w:val="16"/>
              </w:rPr>
              <w:t> materials</w:t>
            </w:r>
          </w:p>
        </w:tc>
        <w:tc>
          <w:tcPr>
            <w:tcW w:w="1066" w:type="dxa"/>
          </w:tcPr>
          <w:p>
            <w:pPr>
              <w:pStyle w:val="TableParagraph"/>
              <w:spacing w:before="10"/>
              <w:ind w:right="170"/>
              <w:rPr>
                <w:sz w:val="16"/>
              </w:rPr>
            </w:pPr>
            <w:r>
              <w:rPr>
                <w:w w:val="98"/>
                <w:sz w:val="16"/>
              </w:rPr>
              <w:t>-</w:t>
            </w:r>
          </w:p>
        </w:tc>
        <w:tc>
          <w:tcPr>
            <w:tcW w:w="804" w:type="dxa"/>
          </w:tcPr>
          <w:p>
            <w:pPr>
              <w:pStyle w:val="TableParagraph"/>
              <w:spacing w:before="10"/>
              <w:ind w:right="149"/>
              <w:rPr>
                <w:sz w:val="16"/>
              </w:rPr>
            </w:pPr>
            <w:r>
              <w:rPr>
                <w:w w:val="98"/>
                <w:sz w:val="16"/>
              </w:rPr>
              <w:t>-</w:t>
            </w:r>
          </w:p>
        </w:tc>
        <w:tc>
          <w:tcPr>
            <w:tcW w:w="1010" w:type="dxa"/>
          </w:tcPr>
          <w:p>
            <w:pPr>
              <w:pStyle w:val="TableParagraph"/>
              <w:spacing w:before="10"/>
              <w:ind w:right="107"/>
              <w:rPr>
                <w:sz w:val="16"/>
              </w:rPr>
            </w:pPr>
            <w:r>
              <w:rPr>
                <w:w w:val="98"/>
                <w:sz w:val="16"/>
              </w:rPr>
              <w:t>-</w:t>
            </w:r>
          </w:p>
        </w:tc>
        <w:tc>
          <w:tcPr>
            <w:tcW w:w="1137" w:type="dxa"/>
          </w:tcPr>
          <w:p>
            <w:pPr>
              <w:pStyle w:val="TableParagraph"/>
              <w:spacing w:before="10"/>
              <w:ind w:right="51"/>
              <w:rPr>
                <w:sz w:val="16"/>
              </w:rPr>
            </w:pPr>
            <w:r>
              <w:rPr>
                <w:spacing w:val="-2"/>
                <w:sz w:val="16"/>
              </w:rPr>
              <w:t>115.0</w:t>
            </w:r>
          </w:p>
        </w:tc>
        <w:tc>
          <w:tcPr>
            <w:tcW w:w="1257" w:type="dxa"/>
          </w:tcPr>
          <w:p>
            <w:pPr>
              <w:pStyle w:val="TableParagraph"/>
              <w:spacing w:before="10"/>
              <w:ind w:right="223"/>
              <w:rPr>
                <w:sz w:val="16"/>
              </w:rPr>
            </w:pPr>
            <w:r>
              <w:rPr>
                <w:spacing w:val="-4"/>
                <w:sz w:val="16"/>
              </w:rPr>
              <w:t>25.0</w:t>
            </w:r>
          </w:p>
        </w:tc>
        <w:tc>
          <w:tcPr>
            <w:tcW w:w="813" w:type="dxa"/>
          </w:tcPr>
          <w:p>
            <w:pPr>
              <w:pStyle w:val="TableParagraph"/>
              <w:spacing w:before="10"/>
              <w:ind w:right="195"/>
              <w:rPr>
                <w:sz w:val="16"/>
              </w:rPr>
            </w:pPr>
            <w:r>
              <w:rPr>
                <w:spacing w:val="-4"/>
                <w:sz w:val="16"/>
              </w:rPr>
              <w:t>21.7</w:t>
            </w:r>
          </w:p>
        </w:tc>
        <w:tc>
          <w:tcPr>
            <w:tcW w:w="1096" w:type="dxa"/>
          </w:tcPr>
          <w:p>
            <w:pPr>
              <w:pStyle w:val="TableParagraph"/>
              <w:spacing w:before="10"/>
              <w:ind w:right="101"/>
              <w:rPr>
                <w:sz w:val="16"/>
              </w:rPr>
            </w:pPr>
            <w:r>
              <w:rPr>
                <w:spacing w:val="-2"/>
                <w:sz w:val="16"/>
              </w:rPr>
              <w:t>140.0</w:t>
            </w:r>
          </w:p>
        </w:tc>
      </w:tr>
      <w:tr>
        <w:trPr>
          <w:trHeight w:val="223" w:hRule="atLeast"/>
        </w:trPr>
        <w:tc>
          <w:tcPr>
            <w:tcW w:w="2461" w:type="dxa"/>
            <w:tcBorders>
              <w:bottom w:val="single" w:sz="4" w:space="0" w:color="000000"/>
            </w:tcBorders>
          </w:tcPr>
          <w:p>
            <w:pPr>
              <w:pStyle w:val="TableParagraph"/>
              <w:spacing w:before="7"/>
              <w:ind w:left="117"/>
              <w:jc w:val="left"/>
              <w:rPr>
                <w:sz w:val="16"/>
              </w:rPr>
            </w:pPr>
            <w:r>
              <w:rPr>
                <w:sz w:val="16"/>
              </w:rPr>
              <w:t>Furniture</w:t>
            </w:r>
            <w:r>
              <w:rPr>
                <w:spacing w:val="-4"/>
                <w:sz w:val="16"/>
              </w:rPr>
              <w:t> </w:t>
            </w:r>
            <w:r>
              <w:rPr>
                <w:sz w:val="16"/>
              </w:rPr>
              <w:t>and</w:t>
            </w:r>
            <w:r>
              <w:rPr>
                <w:spacing w:val="-2"/>
                <w:sz w:val="16"/>
              </w:rPr>
              <w:t> equipment</w:t>
            </w:r>
          </w:p>
        </w:tc>
        <w:tc>
          <w:tcPr>
            <w:tcW w:w="1066" w:type="dxa"/>
            <w:tcBorders>
              <w:bottom w:val="single" w:sz="4" w:space="0" w:color="000000"/>
            </w:tcBorders>
          </w:tcPr>
          <w:p>
            <w:pPr>
              <w:pStyle w:val="TableParagraph"/>
              <w:spacing w:before="7"/>
              <w:ind w:right="170"/>
              <w:rPr>
                <w:sz w:val="16"/>
              </w:rPr>
            </w:pPr>
            <w:r>
              <w:rPr>
                <w:w w:val="98"/>
                <w:sz w:val="16"/>
              </w:rPr>
              <w:t>-</w:t>
            </w:r>
          </w:p>
        </w:tc>
        <w:tc>
          <w:tcPr>
            <w:tcW w:w="804" w:type="dxa"/>
            <w:tcBorders>
              <w:bottom w:val="single" w:sz="4" w:space="0" w:color="000000"/>
            </w:tcBorders>
          </w:tcPr>
          <w:p>
            <w:pPr>
              <w:pStyle w:val="TableParagraph"/>
              <w:spacing w:before="7"/>
              <w:ind w:right="149"/>
              <w:rPr>
                <w:sz w:val="16"/>
              </w:rPr>
            </w:pPr>
            <w:r>
              <w:rPr>
                <w:w w:val="98"/>
                <w:sz w:val="16"/>
              </w:rPr>
              <w:t>-</w:t>
            </w:r>
          </w:p>
        </w:tc>
        <w:tc>
          <w:tcPr>
            <w:tcW w:w="1010" w:type="dxa"/>
            <w:tcBorders>
              <w:bottom w:val="single" w:sz="4" w:space="0" w:color="000000"/>
            </w:tcBorders>
          </w:tcPr>
          <w:p>
            <w:pPr>
              <w:pStyle w:val="TableParagraph"/>
              <w:spacing w:before="7"/>
              <w:ind w:right="107"/>
              <w:rPr>
                <w:sz w:val="16"/>
              </w:rPr>
            </w:pPr>
            <w:r>
              <w:rPr>
                <w:w w:val="98"/>
                <w:sz w:val="16"/>
              </w:rPr>
              <w:t>-</w:t>
            </w:r>
          </w:p>
        </w:tc>
        <w:tc>
          <w:tcPr>
            <w:tcW w:w="1137" w:type="dxa"/>
            <w:tcBorders>
              <w:bottom w:val="single" w:sz="4" w:space="0" w:color="000000"/>
            </w:tcBorders>
          </w:tcPr>
          <w:p>
            <w:pPr>
              <w:pStyle w:val="TableParagraph"/>
              <w:spacing w:before="7"/>
              <w:ind w:right="51"/>
              <w:rPr>
                <w:sz w:val="16"/>
              </w:rPr>
            </w:pPr>
            <w:r>
              <w:rPr>
                <w:spacing w:val="-2"/>
                <w:sz w:val="16"/>
              </w:rPr>
              <w:t>240.0</w:t>
            </w:r>
          </w:p>
        </w:tc>
        <w:tc>
          <w:tcPr>
            <w:tcW w:w="1257" w:type="dxa"/>
            <w:tcBorders>
              <w:bottom w:val="single" w:sz="4" w:space="0" w:color="000000"/>
            </w:tcBorders>
          </w:tcPr>
          <w:p>
            <w:pPr>
              <w:pStyle w:val="TableParagraph"/>
              <w:spacing w:before="7"/>
              <w:ind w:right="226"/>
              <w:rPr>
                <w:sz w:val="16"/>
              </w:rPr>
            </w:pPr>
            <w:r>
              <w:rPr>
                <w:spacing w:val="-2"/>
                <w:sz w:val="16"/>
              </w:rPr>
              <w:t>(170.0)</w:t>
            </w:r>
          </w:p>
        </w:tc>
        <w:tc>
          <w:tcPr>
            <w:tcW w:w="813" w:type="dxa"/>
            <w:tcBorders>
              <w:bottom w:val="single" w:sz="4" w:space="0" w:color="000000"/>
            </w:tcBorders>
          </w:tcPr>
          <w:p>
            <w:pPr>
              <w:pStyle w:val="TableParagraph"/>
              <w:spacing w:before="7"/>
              <w:ind w:right="198"/>
              <w:rPr>
                <w:sz w:val="16"/>
              </w:rPr>
            </w:pPr>
            <w:r>
              <w:rPr>
                <w:spacing w:val="-2"/>
                <w:sz w:val="16"/>
              </w:rPr>
              <w:t>(70.8)</w:t>
            </w:r>
          </w:p>
        </w:tc>
        <w:tc>
          <w:tcPr>
            <w:tcW w:w="1096" w:type="dxa"/>
            <w:tcBorders>
              <w:bottom w:val="single" w:sz="4" w:space="0" w:color="000000"/>
            </w:tcBorders>
          </w:tcPr>
          <w:p>
            <w:pPr>
              <w:pStyle w:val="TableParagraph"/>
              <w:spacing w:before="7"/>
              <w:ind w:right="100"/>
              <w:rPr>
                <w:sz w:val="16"/>
              </w:rPr>
            </w:pPr>
            <w:r>
              <w:rPr>
                <w:spacing w:val="-4"/>
                <w:sz w:val="16"/>
              </w:rPr>
              <w:t>70.0</w:t>
            </w:r>
          </w:p>
        </w:tc>
      </w:tr>
      <w:tr>
        <w:trPr>
          <w:trHeight w:val="225" w:hRule="atLeast"/>
        </w:trPr>
        <w:tc>
          <w:tcPr>
            <w:tcW w:w="2461" w:type="dxa"/>
            <w:tcBorders>
              <w:top w:val="single" w:sz="4" w:space="0" w:color="000000"/>
              <w:bottom w:val="single" w:sz="4" w:space="0" w:color="000000"/>
            </w:tcBorders>
          </w:tcPr>
          <w:p>
            <w:pPr>
              <w:pStyle w:val="TableParagraph"/>
              <w:spacing w:before="9"/>
              <w:ind w:right="103"/>
              <w:rPr>
                <w:i/>
                <w:sz w:val="16"/>
              </w:rPr>
            </w:pPr>
            <w:r>
              <w:rPr>
                <w:i/>
                <w:w w:val="95"/>
                <w:sz w:val="16"/>
              </w:rPr>
              <w:t>Subtotal</w:t>
            </w:r>
            <w:r>
              <w:rPr>
                <w:i/>
                <w:spacing w:val="40"/>
                <w:sz w:val="16"/>
              </w:rPr>
              <w:t> </w:t>
            </w:r>
            <w:r>
              <w:rPr>
                <w:i/>
                <w:w w:val="95"/>
                <w:sz w:val="16"/>
              </w:rPr>
              <w:t>non-</w:t>
            </w:r>
            <w:r>
              <w:rPr>
                <w:i/>
                <w:spacing w:val="-4"/>
                <w:w w:val="95"/>
                <w:sz w:val="16"/>
              </w:rPr>
              <w:t>staff</w:t>
            </w:r>
          </w:p>
        </w:tc>
        <w:tc>
          <w:tcPr>
            <w:tcW w:w="1066" w:type="dxa"/>
            <w:tcBorders>
              <w:top w:val="single" w:sz="4" w:space="0" w:color="000000"/>
              <w:bottom w:val="single" w:sz="4" w:space="0" w:color="000000"/>
            </w:tcBorders>
          </w:tcPr>
          <w:p>
            <w:pPr>
              <w:pStyle w:val="TableParagraph"/>
              <w:spacing w:before="9"/>
              <w:ind w:right="170"/>
              <w:rPr>
                <w:i/>
                <w:sz w:val="16"/>
              </w:rPr>
            </w:pPr>
            <w:r>
              <w:rPr>
                <w:i/>
                <w:w w:val="98"/>
                <w:sz w:val="16"/>
              </w:rPr>
              <w:t>-</w:t>
            </w:r>
          </w:p>
        </w:tc>
        <w:tc>
          <w:tcPr>
            <w:tcW w:w="804" w:type="dxa"/>
            <w:tcBorders>
              <w:top w:val="single" w:sz="4" w:space="0" w:color="000000"/>
              <w:bottom w:val="single" w:sz="4" w:space="0" w:color="000000"/>
            </w:tcBorders>
          </w:tcPr>
          <w:p>
            <w:pPr>
              <w:pStyle w:val="TableParagraph"/>
              <w:spacing w:before="9"/>
              <w:ind w:right="149"/>
              <w:rPr>
                <w:i/>
                <w:sz w:val="16"/>
              </w:rPr>
            </w:pPr>
            <w:r>
              <w:rPr>
                <w:i/>
                <w:w w:val="98"/>
                <w:sz w:val="16"/>
              </w:rPr>
              <w:t>-</w:t>
            </w:r>
          </w:p>
        </w:tc>
        <w:tc>
          <w:tcPr>
            <w:tcW w:w="1010" w:type="dxa"/>
            <w:tcBorders>
              <w:top w:val="single" w:sz="4" w:space="0" w:color="000000"/>
              <w:bottom w:val="single" w:sz="4" w:space="0" w:color="000000"/>
            </w:tcBorders>
          </w:tcPr>
          <w:p>
            <w:pPr>
              <w:pStyle w:val="TableParagraph"/>
              <w:spacing w:before="9"/>
              <w:ind w:right="107"/>
              <w:rPr>
                <w:i/>
                <w:sz w:val="16"/>
              </w:rPr>
            </w:pPr>
            <w:r>
              <w:rPr>
                <w:i/>
                <w:w w:val="98"/>
                <w:sz w:val="16"/>
              </w:rPr>
              <w:t>-</w:t>
            </w:r>
          </w:p>
        </w:tc>
        <w:tc>
          <w:tcPr>
            <w:tcW w:w="1137" w:type="dxa"/>
            <w:tcBorders>
              <w:top w:val="single" w:sz="4" w:space="0" w:color="000000"/>
              <w:bottom w:val="single" w:sz="4" w:space="0" w:color="000000"/>
            </w:tcBorders>
          </w:tcPr>
          <w:p>
            <w:pPr>
              <w:pStyle w:val="TableParagraph"/>
              <w:spacing w:before="9"/>
              <w:ind w:right="52"/>
              <w:rPr>
                <w:i/>
                <w:sz w:val="16"/>
              </w:rPr>
            </w:pPr>
            <w:r>
              <w:rPr>
                <w:i/>
                <w:spacing w:val="-2"/>
                <w:sz w:val="16"/>
              </w:rPr>
              <w:t>1,819.6</w:t>
            </w:r>
          </w:p>
        </w:tc>
        <w:tc>
          <w:tcPr>
            <w:tcW w:w="1257" w:type="dxa"/>
            <w:tcBorders>
              <w:top w:val="single" w:sz="4" w:space="0" w:color="000000"/>
              <w:bottom w:val="single" w:sz="4" w:space="0" w:color="000000"/>
            </w:tcBorders>
          </w:tcPr>
          <w:p>
            <w:pPr>
              <w:pStyle w:val="TableParagraph"/>
              <w:spacing w:before="9"/>
              <w:ind w:right="221"/>
              <w:rPr>
                <w:i/>
                <w:sz w:val="16"/>
              </w:rPr>
            </w:pPr>
            <w:r>
              <w:rPr>
                <w:i/>
                <w:spacing w:val="-2"/>
                <w:sz w:val="16"/>
              </w:rPr>
              <w:t>(133.6)</w:t>
            </w:r>
          </w:p>
        </w:tc>
        <w:tc>
          <w:tcPr>
            <w:tcW w:w="813" w:type="dxa"/>
            <w:tcBorders>
              <w:top w:val="single" w:sz="4" w:space="0" w:color="000000"/>
              <w:bottom w:val="single" w:sz="4" w:space="0" w:color="000000"/>
            </w:tcBorders>
          </w:tcPr>
          <w:p>
            <w:pPr>
              <w:pStyle w:val="TableParagraph"/>
              <w:spacing w:before="9"/>
              <w:ind w:right="198"/>
              <w:rPr>
                <w:i/>
                <w:sz w:val="16"/>
              </w:rPr>
            </w:pPr>
            <w:r>
              <w:rPr>
                <w:i/>
                <w:spacing w:val="-2"/>
                <w:sz w:val="16"/>
              </w:rPr>
              <w:t>(7.3)</w:t>
            </w:r>
          </w:p>
        </w:tc>
        <w:tc>
          <w:tcPr>
            <w:tcW w:w="1096" w:type="dxa"/>
            <w:tcBorders>
              <w:top w:val="single" w:sz="4" w:space="0" w:color="000000"/>
              <w:bottom w:val="single" w:sz="4" w:space="0" w:color="000000"/>
            </w:tcBorders>
          </w:tcPr>
          <w:p>
            <w:pPr>
              <w:pStyle w:val="TableParagraph"/>
              <w:spacing w:before="9"/>
              <w:ind w:right="101"/>
              <w:rPr>
                <w:i/>
                <w:sz w:val="16"/>
              </w:rPr>
            </w:pPr>
            <w:r>
              <w:rPr>
                <w:i/>
                <w:spacing w:val="-2"/>
                <w:sz w:val="16"/>
              </w:rPr>
              <w:t>1,686.0</w:t>
            </w:r>
          </w:p>
        </w:tc>
      </w:tr>
      <w:tr>
        <w:trPr>
          <w:trHeight w:val="230" w:hRule="atLeast"/>
        </w:trPr>
        <w:tc>
          <w:tcPr>
            <w:tcW w:w="2461" w:type="dxa"/>
            <w:tcBorders>
              <w:top w:val="single" w:sz="4" w:space="0" w:color="000000"/>
              <w:bottom w:val="single" w:sz="12" w:space="0" w:color="000000"/>
            </w:tcBorders>
          </w:tcPr>
          <w:p>
            <w:pPr>
              <w:pStyle w:val="TableParagraph"/>
              <w:spacing w:before="14"/>
              <w:ind w:left="117"/>
              <w:jc w:val="left"/>
              <w:rPr>
                <w:b/>
                <w:sz w:val="16"/>
              </w:rPr>
            </w:pPr>
            <w:r>
              <w:rPr>
                <w:b/>
                <w:spacing w:val="-2"/>
                <w:sz w:val="16"/>
              </w:rPr>
              <w:t>Total</w:t>
            </w:r>
          </w:p>
        </w:tc>
        <w:tc>
          <w:tcPr>
            <w:tcW w:w="1066" w:type="dxa"/>
            <w:tcBorders>
              <w:top w:val="single" w:sz="4" w:space="0" w:color="000000"/>
              <w:bottom w:val="single" w:sz="12" w:space="0" w:color="000000"/>
            </w:tcBorders>
          </w:tcPr>
          <w:p>
            <w:pPr>
              <w:pStyle w:val="TableParagraph"/>
              <w:spacing w:before="14"/>
              <w:ind w:right="170"/>
              <w:rPr>
                <w:b/>
                <w:sz w:val="16"/>
              </w:rPr>
            </w:pPr>
            <w:r>
              <w:rPr>
                <w:b/>
                <w:w w:val="98"/>
                <w:sz w:val="16"/>
              </w:rPr>
              <w:t>-</w:t>
            </w:r>
          </w:p>
        </w:tc>
        <w:tc>
          <w:tcPr>
            <w:tcW w:w="804" w:type="dxa"/>
            <w:tcBorders>
              <w:top w:val="single" w:sz="4" w:space="0" w:color="000000"/>
              <w:bottom w:val="single" w:sz="12" w:space="0" w:color="000000"/>
            </w:tcBorders>
          </w:tcPr>
          <w:p>
            <w:pPr>
              <w:pStyle w:val="TableParagraph"/>
              <w:spacing w:before="14"/>
              <w:ind w:right="149"/>
              <w:rPr>
                <w:b/>
                <w:sz w:val="16"/>
              </w:rPr>
            </w:pPr>
            <w:r>
              <w:rPr>
                <w:b/>
                <w:w w:val="98"/>
                <w:sz w:val="16"/>
              </w:rPr>
              <w:t>-</w:t>
            </w:r>
          </w:p>
        </w:tc>
        <w:tc>
          <w:tcPr>
            <w:tcW w:w="1010" w:type="dxa"/>
            <w:tcBorders>
              <w:top w:val="single" w:sz="4" w:space="0" w:color="000000"/>
              <w:bottom w:val="single" w:sz="12" w:space="0" w:color="000000"/>
            </w:tcBorders>
          </w:tcPr>
          <w:p>
            <w:pPr>
              <w:pStyle w:val="TableParagraph"/>
              <w:spacing w:before="14"/>
              <w:ind w:right="107"/>
              <w:rPr>
                <w:b/>
                <w:sz w:val="16"/>
              </w:rPr>
            </w:pPr>
            <w:r>
              <w:rPr>
                <w:b/>
                <w:w w:val="98"/>
                <w:sz w:val="16"/>
              </w:rPr>
              <w:t>-</w:t>
            </w:r>
          </w:p>
        </w:tc>
        <w:tc>
          <w:tcPr>
            <w:tcW w:w="1137" w:type="dxa"/>
            <w:tcBorders>
              <w:top w:val="single" w:sz="4" w:space="0" w:color="000000"/>
              <w:bottom w:val="single" w:sz="12" w:space="0" w:color="000000"/>
            </w:tcBorders>
          </w:tcPr>
          <w:p>
            <w:pPr>
              <w:pStyle w:val="TableParagraph"/>
              <w:spacing w:before="14"/>
              <w:ind w:right="52"/>
              <w:rPr>
                <w:b/>
                <w:sz w:val="16"/>
              </w:rPr>
            </w:pPr>
            <w:r>
              <w:rPr>
                <w:b/>
                <w:spacing w:val="-2"/>
                <w:sz w:val="16"/>
              </w:rPr>
              <w:t>16,372.0</w:t>
            </w:r>
          </w:p>
        </w:tc>
        <w:tc>
          <w:tcPr>
            <w:tcW w:w="1257" w:type="dxa"/>
            <w:tcBorders>
              <w:top w:val="single" w:sz="4" w:space="0" w:color="000000"/>
              <w:bottom w:val="single" w:sz="12" w:space="0" w:color="000000"/>
            </w:tcBorders>
          </w:tcPr>
          <w:p>
            <w:pPr>
              <w:pStyle w:val="TableParagraph"/>
              <w:spacing w:before="14"/>
              <w:ind w:right="223"/>
              <w:rPr>
                <w:b/>
                <w:sz w:val="16"/>
              </w:rPr>
            </w:pPr>
            <w:r>
              <w:rPr>
                <w:b/>
                <w:spacing w:val="-2"/>
                <w:sz w:val="16"/>
              </w:rPr>
              <w:t>2,346.7</w:t>
            </w:r>
          </w:p>
        </w:tc>
        <w:tc>
          <w:tcPr>
            <w:tcW w:w="813" w:type="dxa"/>
            <w:tcBorders>
              <w:top w:val="single" w:sz="4" w:space="0" w:color="000000"/>
              <w:bottom w:val="single" w:sz="12" w:space="0" w:color="000000"/>
            </w:tcBorders>
          </w:tcPr>
          <w:p>
            <w:pPr>
              <w:pStyle w:val="TableParagraph"/>
              <w:spacing w:before="14"/>
              <w:ind w:right="195"/>
              <w:rPr>
                <w:b/>
                <w:sz w:val="16"/>
              </w:rPr>
            </w:pPr>
            <w:r>
              <w:rPr>
                <w:b/>
                <w:spacing w:val="-4"/>
                <w:sz w:val="16"/>
              </w:rPr>
              <w:t>14.3</w:t>
            </w:r>
          </w:p>
        </w:tc>
        <w:tc>
          <w:tcPr>
            <w:tcW w:w="1096" w:type="dxa"/>
            <w:tcBorders>
              <w:top w:val="single" w:sz="4" w:space="0" w:color="000000"/>
              <w:bottom w:val="single" w:sz="12" w:space="0" w:color="000000"/>
            </w:tcBorders>
          </w:tcPr>
          <w:p>
            <w:pPr>
              <w:pStyle w:val="TableParagraph"/>
              <w:spacing w:before="14"/>
              <w:ind w:right="101"/>
              <w:rPr>
                <w:b/>
                <w:sz w:val="16"/>
              </w:rPr>
            </w:pPr>
            <w:r>
              <w:rPr>
                <w:b/>
                <w:spacing w:val="-2"/>
                <w:sz w:val="16"/>
              </w:rPr>
              <w:t>18,718.7</w:t>
            </w:r>
          </w:p>
        </w:tc>
      </w:tr>
    </w:tbl>
    <w:p>
      <w:pPr>
        <w:pStyle w:val="BodyText"/>
        <w:spacing w:before="9"/>
        <w:rPr>
          <w:b/>
          <w:sz w:val="21"/>
        </w:rPr>
      </w:pPr>
    </w:p>
    <w:p>
      <w:pPr>
        <w:spacing w:before="0"/>
        <w:ind w:left="2246" w:right="0" w:firstLine="0"/>
        <w:jc w:val="left"/>
        <w:rPr>
          <w:b/>
          <w:sz w:val="20"/>
        </w:rPr>
      </w:pPr>
      <w:r>
        <w:rPr>
          <w:b/>
          <w:sz w:val="20"/>
        </w:rPr>
        <w:t>Table</w:t>
      </w:r>
      <w:r>
        <w:rPr>
          <w:b/>
          <w:spacing w:val="-7"/>
          <w:sz w:val="20"/>
        </w:rPr>
        <w:t> </w:t>
      </w:r>
      <w:r>
        <w:rPr>
          <w:b/>
          <w:sz w:val="20"/>
        </w:rPr>
        <w:t>20:</w:t>
      </w:r>
      <w:r>
        <w:rPr>
          <w:b/>
          <w:spacing w:val="-8"/>
          <w:sz w:val="20"/>
        </w:rPr>
        <w:t> </w:t>
      </w:r>
      <w:r>
        <w:rPr>
          <w:b/>
          <w:sz w:val="20"/>
        </w:rPr>
        <w:t>Integrated</w:t>
      </w:r>
      <w:r>
        <w:rPr>
          <w:b/>
          <w:spacing w:val="-5"/>
          <w:sz w:val="20"/>
        </w:rPr>
        <w:t> </w:t>
      </w:r>
      <w:r>
        <w:rPr>
          <w:b/>
          <w:sz w:val="20"/>
        </w:rPr>
        <w:t>Services:</w:t>
      </w:r>
      <w:r>
        <w:rPr>
          <w:b/>
          <w:spacing w:val="-8"/>
          <w:sz w:val="20"/>
        </w:rPr>
        <w:t> </w:t>
      </w:r>
      <w:r>
        <w:rPr>
          <w:b/>
          <w:sz w:val="20"/>
        </w:rPr>
        <w:t>Proposed</w:t>
      </w:r>
      <w:r>
        <w:rPr>
          <w:b/>
          <w:spacing w:val="-10"/>
          <w:sz w:val="20"/>
        </w:rPr>
        <w:t> </w:t>
      </w:r>
      <w:r>
        <w:rPr>
          <w:b/>
          <w:sz w:val="20"/>
        </w:rPr>
        <w:t>staffing</w:t>
      </w:r>
      <w:r>
        <w:rPr>
          <w:b/>
          <w:spacing w:val="-3"/>
          <w:sz w:val="20"/>
        </w:rPr>
        <w:t> </w:t>
      </w:r>
      <w:r>
        <w:rPr>
          <w:b/>
          <w:sz w:val="20"/>
        </w:rPr>
        <w:t>for</w:t>
      </w:r>
      <w:r>
        <w:rPr>
          <w:b/>
          <w:spacing w:val="-3"/>
          <w:sz w:val="20"/>
        </w:rPr>
        <w:t> </w:t>
      </w:r>
      <w:r>
        <w:rPr>
          <w:b/>
          <w:spacing w:val="-4"/>
          <w:sz w:val="20"/>
        </w:rPr>
        <w:t>2023</w:t>
      </w:r>
    </w:p>
    <w:tbl>
      <w:tblPr>
        <w:tblW w:w="0" w:type="auto"/>
        <w:jc w:val="left"/>
        <w:tblInd w:w="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6"/>
        <w:gridCol w:w="678"/>
        <w:gridCol w:w="607"/>
        <w:gridCol w:w="563"/>
        <w:gridCol w:w="581"/>
        <w:gridCol w:w="557"/>
        <w:gridCol w:w="546"/>
        <w:gridCol w:w="668"/>
        <w:gridCol w:w="712"/>
        <w:gridCol w:w="487"/>
        <w:gridCol w:w="793"/>
        <w:gridCol w:w="566"/>
        <w:gridCol w:w="578"/>
        <w:gridCol w:w="561"/>
        <w:gridCol w:w="810"/>
        <w:gridCol w:w="521"/>
      </w:tblGrid>
      <w:tr>
        <w:trPr>
          <w:trHeight w:val="479" w:hRule="atLeast"/>
        </w:trPr>
        <w:tc>
          <w:tcPr>
            <w:tcW w:w="1186"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ind w:left="67"/>
              <w:jc w:val="left"/>
              <w:rPr>
                <w:sz w:val="14"/>
              </w:rPr>
            </w:pPr>
            <w:r>
              <w:rPr>
                <w:spacing w:val="-4"/>
                <w:sz w:val="14"/>
              </w:rPr>
              <w:t>2800</w:t>
            </w:r>
          </w:p>
        </w:tc>
        <w:tc>
          <w:tcPr>
            <w:tcW w:w="678"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ind w:right="152"/>
              <w:rPr>
                <w:sz w:val="14"/>
              </w:rPr>
            </w:pPr>
            <w:r>
              <w:rPr>
                <w:spacing w:val="-5"/>
                <w:sz w:val="14"/>
              </w:rPr>
              <w:t>USG</w:t>
            </w:r>
          </w:p>
        </w:tc>
        <w:tc>
          <w:tcPr>
            <w:tcW w:w="607"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ind w:right="169"/>
              <w:rPr>
                <w:sz w:val="14"/>
              </w:rPr>
            </w:pPr>
            <w:r>
              <w:rPr>
                <w:spacing w:val="-5"/>
                <w:sz w:val="14"/>
              </w:rPr>
              <w:t>ASG</w:t>
            </w:r>
          </w:p>
        </w:tc>
        <w:tc>
          <w:tcPr>
            <w:tcW w:w="563"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ind w:right="167"/>
              <w:rPr>
                <w:sz w:val="14"/>
              </w:rPr>
            </w:pPr>
            <w:r>
              <w:rPr>
                <w:w w:val="95"/>
                <w:sz w:val="14"/>
              </w:rPr>
              <w:t>D-</w:t>
            </w:r>
            <w:r>
              <w:rPr>
                <w:spacing w:val="-10"/>
                <w:sz w:val="14"/>
              </w:rPr>
              <w:t>2</w:t>
            </w:r>
          </w:p>
        </w:tc>
        <w:tc>
          <w:tcPr>
            <w:tcW w:w="581"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ind w:right="187"/>
              <w:rPr>
                <w:sz w:val="14"/>
              </w:rPr>
            </w:pPr>
            <w:r>
              <w:rPr>
                <w:w w:val="95"/>
                <w:sz w:val="14"/>
              </w:rPr>
              <w:t>D-</w:t>
            </w:r>
            <w:r>
              <w:rPr>
                <w:spacing w:val="-10"/>
                <w:sz w:val="14"/>
              </w:rPr>
              <w:t>1</w:t>
            </w:r>
          </w:p>
        </w:tc>
        <w:tc>
          <w:tcPr>
            <w:tcW w:w="557"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ind w:right="167"/>
              <w:rPr>
                <w:sz w:val="14"/>
              </w:rPr>
            </w:pPr>
            <w:r>
              <w:rPr>
                <w:w w:val="95"/>
                <w:sz w:val="14"/>
              </w:rPr>
              <w:t>P-</w:t>
            </w:r>
            <w:r>
              <w:rPr>
                <w:spacing w:val="-10"/>
                <w:sz w:val="14"/>
              </w:rPr>
              <w:t>5</w:t>
            </w:r>
          </w:p>
        </w:tc>
        <w:tc>
          <w:tcPr>
            <w:tcW w:w="546"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ind w:right="128"/>
              <w:rPr>
                <w:sz w:val="14"/>
              </w:rPr>
            </w:pPr>
            <w:r>
              <w:rPr>
                <w:w w:val="95"/>
                <w:sz w:val="14"/>
              </w:rPr>
              <w:t>P-</w:t>
            </w:r>
            <w:r>
              <w:rPr>
                <w:spacing w:val="-10"/>
                <w:sz w:val="14"/>
              </w:rPr>
              <w:t>4</w:t>
            </w:r>
          </w:p>
        </w:tc>
        <w:tc>
          <w:tcPr>
            <w:tcW w:w="668"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ind w:right="200"/>
              <w:rPr>
                <w:sz w:val="14"/>
              </w:rPr>
            </w:pPr>
            <w:r>
              <w:rPr>
                <w:w w:val="95"/>
                <w:sz w:val="14"/>
              </w:rPr>
              <w:t>P-</w:t>
            </w:r>
            <w:r>
              <w:rPr>
                <w:spacing w:val="-10"/>
                <w:sz w:val="14"/>
              </w:rPr>
              <w:t>3</w:t>
            </w:r>
          </w:p>
        </w:tc>
        <w:tc>
          <w:tcPr>
            <w:tcW w:w="712"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ind w:right="172"/>
              <w:rPr>
                <w:sz w:val="14"/>
              </w:rPr>
            </w:pPr>
            <w:r>
              <w:rPr>
                <w:w w:val="95"/>
                <w:sz w:val="14"/>
              </w:rPr>
              <w:t>P-</w:t>
            </w:r>
            <w:r>
              <w:rPr>
                <w:spacing w:val="-10"/>
                <w:sz w:val="14"/>
              </w:rPr>
              <w:t>2</w:t>
            </w:r>
          </w:p>
        </w:tc>
        <w:tc>
          <w:tcPr>
            <w:tcW w:w="487"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ind w:left="-19" w:right="64"/>
              <w:rPr>
                <w:sz w:val="14"/>
              </w:rPr>
            </w:pPr>
            <w:r>
              <w:rPr>
                <w:w w:val="95"/>
                <w:sz w:val="14"/>
              </w:rPr>
              <w:t>P-</w:t>
            </w:r>
            <w:r>
              <w:rPr>
                <w:spacing w:val="-10"/>
                <w:sz w:val="14"/>
              </w:rPr>
              <w:t>1</w:t>
            </w:r>
          </w:p>
        </w:tc>
        <w:tc>
          <w:tcPr>
            <w:tcW w:w="793" w:type="dxa"/>
            <w:tcBorders>
              <w:top w:val="single" w:sz="4" w:space="0" w:color="000000"/>
              <w:bottom w:val="single" w:sz="4" w:space="0" w:color="000000"/>
            </w:tcBorders>
          </w:tcPr>
          <w:p>
            <w:pPr>
              <w:pStyle w:val="TableParagraph"/>
              <w:spacing w:line="151" w:lineRule="exact"/>
              <w:ind w:left="373"/>
              <w:jc w:val="left"/>
              <w:rPr>
                <w:i/>
                <w:sz w:val="14"/>
              </w:rPr>
            </w:pPr>
            <w:r>
              <w:rPr>
                <w:i/>
                <w:spacing w:val="-2"/>
                <w:sz w:val="14"/>
              </w:rPr>
              <w:t>Total</w:t>
            </w:r>
          </w:p>
          <w:p>
            <w:pPr>
              <w:pStyle w:val="TableParagraph"/>
              <w:spacing w:line="158" w:lineRule="exact"/>
              <w:ind w:left="74" w:right="113" w:firstLine="201"/>
              <w:jc w:val="left"/>
              <w:rPr>
                <w:i/>
                <w:sz w:val="14"/>
              </w:rPr>
            </w:pPr>
            <w:r>
              <w:rPr>
                <w:i/>
                <w:spacing w:val="-2"/>
                <w:sz w:val="14"/>
              </w:rPr>
              <w:t>P-Staff</w:t>
            </w:r>
            <w:r>
              <w:rPr>
                <w:i/>
                <w:spacing w:val="40"/>
                <w:sz w:val="14"/>
              </w:rPr>
              <w:t> </w:t>
            </w:r>
            <w:r>
              <w:rPr>
                <w:i/>
                <w:sz w:val="14"/>
              </w:rPr>
              <w:t>and</w:t>
            </w:r>
            <w:r>
              <w:rPr>
                <w:i/>
                <w:spacing w:val="1"/>
                <w:sz w:val="14"/>
              </w:rPr>
              <w:t> </w:t>
            </w:r>
            <w:r>
              <w:rPr>
                <w:i/>
                <w:spacing w:val="-2"/>
                <w:sz w:val="14"/>
              </w:rPr>
              <w:t>Above</w:t>
            </w:r>
          </w:p>
        </w:tc>
        <w:tc>
          <w:tcPr>
            <w:tcW w:w="566"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ind w:right="89"/>
              <w:rPr>
                <w:sz w:val="14"/>
              </w:rPr>
            </w:pPr>
            <w:r>
              <w:rPr>
                <w:w w:val="95"/>
                <w:sz w:val="14"/>
              </w:rPr>
              <w:t>NO-</w:t>
            </w:r>
            <w:r>
              <w:rPr>
                <w:spacing w:val="-10"/>
                <w:sz w:val="14"/>
              </w:rPr>
              <w:t>C</w:t>
            </w:r>
          </w:p>
        </w:tc>
        <w:tc>
          <w:tcPr>
            <w:tcW w:w="578"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ind w:right="80"/>
              <w:rPr>
                <w:sz w:val="14"/>
              </w:rPr>
            </w:pPr>
            <w:r>
              <w:rPr>
                <w:w w:val="95"/>
                <w:sz w:val="14"/>
              </w:rPr>
              <w:t>GS-</w:t>
            </w:r>
            <w:r>
              <w:rPr>
                <w:spacing w:val="-5"/>
                <w:sz w:val="14"/>
              </w:rPr>
              <w:t>PL</w:t>
            </w:r>
          </w:p>
        </w:tc>
        <w:tc>
          <w:tcPr>
            <w:tcW w:w="561"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ind w:right="49"/>
              <w:rPr>
                <w:sz w:val="14"/>
              </w:rPr>
            </w:pPr>
            <w:r>
              <w:rPr>
                <w:w w:val="95"/>
                <w:sz w:val="14"/>
              </w:rPr>
              <w:t>GS-</w:t>
            </w:r>
            <w:r>
              <w:rPr>
                <w:spacing w:val="-5"/>
                <w:sz w:val="14"/>
              </w:rPr>
              <w:t>OL</w:t>
            </w:r>
          </w:p>
        </w:tc>
        <w:tc>
          <w:tcPr>
            <w:tcW w:w="810" w:type="dxa"/>
            <w:tcBorders>
              <w:top w:val="single" w:sz="4" w:space="0" w:color="000000"/>
              <w:bottom w:val="single" w:sz="4" w:space="0" w:color="000000"/>
            </w:tcBorders>
          </w:tcPr>
          <w:p>
            <w:pPr>
              <w:pStyle w:val="TableParagraph"/>
              <w:spacing w:line="151" w:lineRule="exact"/>
              <w:ind w:left="391"/>
              <w:jc w:val="left"/>
              <w:rPr>
                <w:i/>
                <w:sz w:val="14"/>
              </w:rPr>
            </w:pPr>
            <w:r>
              <w:rPr>
                <w:i/>
                <w:spacing w:val="-2"/>
                <w:sz w:val="14"/>
              </w:rPr>
              <w:t>Total</w:t>
            </w:r>
          </w:p>
          <w:p>
            <w:pPr>
              <w:pStyle w:val="TableParagraph"/>
              <w:spacing w:line="158" w:lineRule="exact"/>
              <w:ind w:left="69" w:right="116" w:firstLine="197"/>
              <w:jc w:val="left"/>
              <w:rPr>
                <w:i/>
                <w:sz w:val="14"/>
              </w:rPr>
            </w:pPr>
            <w:r>
              <w:rPr>
                <w:i/>
                <w:sz w:val="14"/>
              </w:rPr>
              <w:t>GS</w:t>
            </w:r>
            <w:r>
              <w:rPr>
                <w:i/>
                <w:spacing w:val="-9"/>
                <w:sz w:val="14"/>
              </w:rPr>
              <w:t> </w:t>
            </w:r>
            <w:r>
              <w:rPr>
                <w:i/>
                <w:sz w:val="14"/>
              </w:rPr>
              <w:t>and</w:t>
            </w:r>
            <w:r>
              <w:rPr>
                <w:i/>
                <w:spacing w:val="40"/>
                <w:sz w:val="14"/>
              </w:rPr>
              <w:t> </w:t>
            </w:r>
            <w:r>
              <w:rPr>
                <w:i/>
                <w:sz w:val="14"/>
              </w:rPr>
              <w:t>Other</w:t>
            </w:r>
            <w:r>
              <w:rPr>
                <w:i/>
                <w:spacing w:val="-5"/>
                <w:sz w:val="14"/>
              </w:rPr>
              <w:t> </w:t>
            </w:r>
            <w:r>
              <w:rPr>
                <w:i/>
                <w:spacing w:val="-2"/>
                <w:sz w:val="14"/>
              </w:rPr>
              <w:t>Staff</w:t>
            </w:r>
          </w:p>
        </w:tc>
        <w:tc>
          <w:tcPr>
            <w:tcW w:w="521" w:type="dxa"/>
            <w:tcBorders>
              <w:top w:val="single" w:sz="4" w:space="0" w:color="000000"/>
              <w:bottom w:val="single" w:sz="4" w:space="0" w:color="000000"/>
            </w:tcBorders>
          </w:tcPr>
          <w:p>
            <w:pPr>
              <w:pStyle w:val="TableParagraph"/>
              <w:spacing w:before="5"/>
              <w:jc w:val="left"/>
              <w:rPr>
                <w:b/>
                <w:sz w:val="12"/>
              </w:rPr>
            </w:pPr>
          </w:p>
          <w:p>
            <w:pPr>
              <w:pStyle w:val="TableParagraph"/>
              <w:spacing w:line="158" w:lineRule="exact"/>
              <w:ind w:left="190" w:hanging="34"/>
              <w:jc w:val="left"/>
              <w:rPr>
                <w:b/>
                <w:sz w:val="14"/>
              </w:rPr>
            </w:pPr>
            <w:r>
              <w:rPr>
                <w:b/>
                <w:spacing w:val="-4"/>
                <w:sz w:val="14"/>
              </w:rPr>
              <w:t>Total</w:t>
            </w:r>
            <w:r>
              <w:rPr>
                <w:b/>
                <w:spacing w:val="40"/>
                <w:sz w:val="14"/>
              </w:rPr>
              <w:t> </w:t>
            </w:r>
            <w:r>
              <w:rPr>
                <w:b/>
                <w:spacing w:val="-4"/>
                <w:sz w:val="14"/>
              </w:rPr>
              <w:t>Staff</w:t>
            </w:r>
          </w:p>
        </w:tc>
      </w:tr>
      <w:tr>
        <w:trPr>
          <w:trHeight w:val="233" w:hRule="atLeast"/>
        </w:trPr>
        <w:tc>
          <w:tcPr>
            <w:tcW w:w="1186" w:type="dxa"/>
            <w:tcBorders>
              <w:top w:val="single" w:sz="4" w:space="0" w:color="000000"/>
            </w:tcBorders>
          </w:tcPr>
          <w:p>
            <w:pPr>
              <w:pStyle w:val="TableParagraph"/>
              <w:spacing w:before="28"/>
              <w:ind w:left="67"/>
              <w:jc w:val="left"/>
              <w:rPr>
                <w:b/>
                <w:sz w:val="14"/>
              </w:rPr>
            </w:pPr>
            <w:r>
              <w:rPr>
                <w:b/>
                <w:spacing w:val="-2"/>
                <w:sz w:val="14"/>
              </w:rPr>
              <w:t>Established</w:t>
            </w:r>
            <w:r>
              <w:rPr>
                <w:b/>
                <w:spacing w:val="11"/>
                <w:sz w:val="14"/>
              </w:rPr>
              <w:t> </w:t>
            </w:r>
            <w:r>
              <w:rPr>
                <w:b/>
                <w:spacing w:val="-2"/>
                <w:sz w:val="14"/>
              </w:rPr>
              <w:t>Posts</w:t>
            </w:r>
          </w:p>
        </w:tc>
        <w:tc>
          <w:tcPr>
            <w:tcW w:w="678" w:type="dxa"/>
            <w:tcBorders>
              <w:top w:val="single" w:sz="4" w:space="0" w:color="000000"/>
            </w:tcBorders>
          </w:tcPr>
          <w:p>
            <w:pPr>
              <w:pStyle w:val="TableParagraph"/>
              <w:jc w:val="left"/>
              <w:rPr>
                <w:sz w:val="14"/>
              </w:rPr>
            </w:pPr>
          </w:p>
        </w:tc>
        <w:tc>
          <w:tcPr>
            <w:tcW w:w="607" w:type="dxa"/>
            <w:tcBorders>
              <w:top w:val="single" w:sz="4" w:space="0" w:color="000000"/>
            </w:tcBorders>
          </w:tcPr>
          <w:p>
            <w:pPr>
              <w:pStyle w:val="TableParagraph"/>
              <w:jc w:val="left"/>
              <w:rPr>
                <w:sz w:val="14"/>
              </w:rPr>
            </w:pPr>
          </w:p>
        </w:tc>
        <w:tc>
          <w:tcPr>
            <w:tcW w:w="563" w:type="dxa"/>
            <w:tcBorders>
              <w:top w:val="single" w:sz="4" w:space="0" w:color="000000"/>
            </w:tcBorders>
          </w:tcPr>
          <w:p>
            <w:pPr>
              <w:pStyle w:val="TableParagraph"/>
              <w:jc w:val="left"/>
              <w:rPr>
                <w:sz w:val="14"/>
              </w:rPr>
            </w:pPr>
          </w:p>
        </w:tc>
        <w:tc>
          <w:tcPr>
            <w:tcW w:w="581" w:type="dxa"/>
            <w:tcBorders>
              <w:top w:val="single" w:sz="4" w:space="0" w:color="000000"/>
            </w:tcBorders>
          </w:tcPr>
          <w:p>
            <w:pPr>
              <w:pStyle w:val="TableParagraph"/>
              <w:jc w:val="left"/>
              <w:rPr>
                <w:sz w:val="14"/>
              </w:rPr>
            </w:pPr>
          </w:p>
        </w:tc>
        <w:tc>
          <w:tcPr>
            <w:tcW w:w="557" w:type="dxa"/>
            <w:tcBorders>
              <w:top w:val="single" w:sz="4" w:space="0" w:color="000000"/>
            </w:tcBorders>
          </w:tcPr>
          <w:p>
            <w:pPr>
              <w:pStyle w:val="TableParagraph"/>
              <w:jc w:val="left"/>
              <w:rPr>
                <w:sz w:val="14"/>
              </w:rPr>
            </w:pPr>
          </w:p>
        </w:tc>
        <w:tc>
          <w:tcPr>
            <w:tcW w:w="546" w:type="dxa"/>
            <w:tcBorders>
              <w:top w:val="single" w:sz="4" w:space="0" w:color="000000"/>
            </w:tcBorders>
          </w:tcPr>
          <w:p>
            <w:pPr>
              <w:pStyle w:val="TableParagraph"/>
              <w:jc w:val="left"/>
              <w:rPr>
                <w:sz w:val="14"/>
              </w:rPr>
            </w:pPr>
          </w:p>
        </w:tc>
        <w:tc>
          <w:tcPr>
            <w:tcW w:w="668" w:type="dxa"/>
            <w:tcBorders>
              <w:top w:val="single" w:sz="4" w:space="0" w:color="000000"/>
            </w:tcBorders>
          </w:tcPr>
          <w:p>
            <w:pPr>
              <w:pStyle w:val="TableParagraph"/>
              <w:jc w:val="left"/>
              <w:rPr>
                <w:sz w:val="14"/>
              </w:rPr>
            </w:pPr>
          </w:p>
        </w:tc>
        <w:tc>
          <w:tcPr>
            <w:tcW w:w="712" w:type="dxa"/>
            <w:tcBorders>
              <w:top w:val="single" w:sz="4" w:space="0" w:color="000000"/>
            </w:tcBorders>
          </w:tcPr>
          <w:p>
            <w:pPr>
              <w:pStyle w:val="TableParagraph"/>
              <w:jc w:val="left"/>
              <w:rPr>
                <w:sz w:val="14"/>
              </w:rPr>
            </w:pPr>
          </w:p>
        </w:tc>
        <w:tc>
          <w:tcPr>
            <w:tcW w:w="487" w:type="dxa"/>
            <w:tcBorders>
              <w:top w:val="single" w:sz="4" w:space="0" w:color="000000"/>
            </w:tcBorders>
          </w:tcPr>
          <w:p>
            <w:pPr>
              <w:pStyle w:val="TableParagraph"/>
              <w:jc w:val="left"/>
              <w:rPr>
                <w:sz w:val="14"/>
              </w:rPr>
            </w:pPr>
          </w:p>
        </w:tc>
        <w:tc>
          <w:tcPr>
            <w:tcW w:w="793" w:type="dxa"/>
            <w:tcBorders>
              <w:top w:val="single" w:sz="4" w:space="0" w:color="000000"/>
            </w:tcBorders>
          </w:tcPr>
          <w:p>
            <w:pPr>
              <w:pStyle w:val="TableParagraph"/>
              <w:jc w:val="left"/>
              <w:rPr>
                <w:sz w:val="14"/>
              </w:rPr>
            </w:pPr>
          </w:p>
        </w:tc>
        <w:tc>
          <w:tcPr>
            <w:tcW w:w="566" w:type="dxa"/>
            <w:tcBorders>
              <w:top w:val="single" w:sz="4" w:space="0" w:color="000000"/>
            </w:tcBorders>
          </w:tcPr>
          <w:p>
            <w:pPr>
              <w:pStyle w:val="TableParagraph"/>
              <w:jc w:val="left"/>
              <w:rPr>
                <w:sz w:val="14"/>
              </w:rPr>
            </w:pPr>
          </w:p>
        </w:tc>
        <w:tc>
          <w:tcPr>
            <w:tcW w:w="578" w:type="dxa"/>
            <w:tcBorders>
              <w:top w:val="single" w:sz="4" w:space="0" w:color="000000"/>
            </w:tcBorders>
          </w:tcPr>
          <w:p>
            <w:pPr>
              <w:pStyle w:val="TableParagraph"/>
              <w:jc w:val="left"/>
              <w:rPr>
                <w:sz w:val="14"/>
              </w:rPr>
            </w:pPr>
          </w:p>
        </w:tc>
        <w:tc>
          <w:tcPr>
            <w:tcW w:w="561" w:type="dxa"/>
            <w:tcBorders>
              <w:top w:val="single" w:sz="4" w:space="0" w:color="000000"/>
            </w:tcBorders>
          </w:tcPr>
          <w:p>
            <w:pPr>
              <w:pStyle w:val="TableParagraph"/>
              <w:jc w:val="left"/>
              <w:rPr>
                <w:sz w:val="14"/>
              </w:rPr>
            </w:pPr>
          </w:p>
        </w:tc>
        <w:tc>
          <w:tcPr>
            <w:tcW w:w="810" w:type="dxa"/>
            <w:tcBorders>
              <w:top w:val="single" w:sz="4" w:space="0" w:color="000000"/>
            </w:tcBorders>
          </w:tcPr>
          <w:p>
            <w:pPr>
              <w:pStyle w:val="TableParagraph"/>
              <w:jc w:val="left"/>
              <w:rPr>
                <w:sz w:val="14"/>
              </w:rPr>
            </w:pPr>
          </w:p>
        </w:tc>
        <w:tc>
          <w:tcPr>
            <w:tcW w:w="521" w:type="dxa"/>
            <w:tcBorders>
              <w:top w:val="single" w:sz="4" w:space="0" w:color="000000"/>
            </w:tcBorders>
          </w:tcPr>
          <w:p>
            <w:pPr>
              <w:pStyle w:val="TableParagraph"/>
              <w:jc w:val="left"/>
              <w:rPr>
                <w:sz w:val="14"/>
              </w:rPr>
            </w:pPr>
          </w:p>
        </w:tc>
      </w:tr>
      <w:tr>
        <w:trPr>
          <w:trHeight w:val="221" w:hRule="atLeast"/>
        </w:trPr>
        <w:tc>
          <w:tcPr>
            <w:tcW w:w="1186" w:type="dxa"/>
            <w:tcBorders>
              <w:bottom w:val="single" w:sz="12" w:space="0" w:color="000000"/>
            </w:tcBorders>
          </w:tcPr>
          <w:p>
            <w:pPr>
              <w:pStyle w:val="TableParagraph"/>
              <w:spacing w:before="20"/>
              <w:ind w:left="67"/>
              <w:jc w:val="left"/>
              <w:rPr>
                <w:sz w:val="14"/>
              </w:rPr>
            </w:pPr>
            <w:r>
              <w:rPr>
                <w:w w:val="95"/>
                <w:sz w:val="14"/>
              </w:rPr>
              <w:t>Approved</w:t>
            </w:r>
            <w:r>
              <w:rPr>
                <w:spacing w:val="22"/>
                <w:sz w:val="14"/>
              </w:rPr>
              <w:t> </w:t>
            </w:r>
            <w:r>
              <w:rPr>
                <w:spacing w:val="-4"/>
                <w:sz w:val="14"/>
              </w:rPr>
              <w:t>2022</w:t>
            </w:r>
          </w:p>
        </w:tc>
        <w:tc>
          <w:tcPr>
            <w:tcW w:w="678" w:type="dxa"/>
            <w:tcBorders>
              <w:bottom w:val="single" w:sz="12" w:space="0" w:color="000000"/>
            </w:tcBorders>
          </w:tcPr>
          <w:p>
            <w:pPr>
              <w:pStyle w:val="TableParagraph"/>
              <w:spacing w:before="20"/>
              <w:ind w:right="154"/>
              <w:rPr>
                <w:sz w:val="14"/>
              </w:rPr>
            </w:pPr>
            <w:r>
              <w:rPr>
                <w:w w:val="99"/>
                <w:sz w:val="14"/>
              </w:rPr>
              <w:t>-</w:t>
            </w:r>
          </w:p>
        </w:tc>
        <w:tc>
          <w:tcPr>
            <w:tcW w:w="607" w:type="dxa"/>
            <w:tcBorders>
              <w:bottom w:val="single" w:sz="12" w:space="0" w:color="000000"/>
            </w:tcBorders>
          </w:tcPr>
          <w:p>
            <w:pPr>
              <w:pStyle w:val="TableParagraph"/>
              <w:spacing w:before="20"/>
              <w:ind w:right="170"/>
              <w:rPr>
                <w:sz w:val="14"/>
              </w:rPr>
            </w:pPr>
            <w:r>
              <w:rPr>
                <w:w w:val="99"/>
                <w:sz w:val="14"/>
              </w:rPr>
              <w:t>-</w:t>
            </w:r>
          </w:p>
        </w:tc>
        <w:tc>
          <w:tcPr>
            <w:tcW w:w="563" w:type="dxa"/>
            <w:tcBorders>
              <w:bottom w:val="single" w:sz="12" w:space="0" w:color="000000"/>
            </w:tcBorders>
          </w:tcPr>
          <w:p>
            <w:pPr>
              <w:pStyle w:val="TableParagraph"/>
              <w:spacing w:before="20"/>
              <w:ind w:right="171"/>
              <w:rPr>
                <w:sz w:val="14"/>
              </w:rPr>
            </w:pPr>
            <w:r>
              <w:rPr>
                <w:w w:val="99"/>
                <w:sz w:val="14"/>
              </w:rPr>
              <w:t>-</w:t>
            </w:r>
          </w:p>
        </w:tc>
        <w:tc>
          <w:tcPr>
            <w:tcW w:w="581" w:type="dxa"/>
            <w:tcBorders>
              <w:bottom w:val="single" w:sz="12" w:space="0" w:color="000000"/>
            </w:tcBorders>
          </w:tcPr>
          <w:p>
            <w:pPr>
              <w:pStyle w:val="TableParagraph"/>
              <w:spacing w:before="20"/>
              <w:ind w:right="192"/>
              <w:rPr>
                <w:sz w:val="14"/>
              </w:rPr>
            </w:pPr>
            <w:r>
              <w:rPr>
                <w:w w:val="99"/>
                <w:sz w:val="14"/>
              </w:rPr>
              <w:t>1</w:t>
            </w:r>
          </w:p>
        </w:tc>
        <w:tc>
          <w:tcPr>
            <w:tcW w:w="557" w:type="dxa"/>
            <w:tcBorders>
              <w:bottom w:val="single" w:sz="12" w:space="0" w:color="000000"/>
            </w:tcBorders>
          </w:tcPr>
          <w:p>
            <w:pPr>
              <w:pStyle w:val="TableParagraph"/>
              <w:spacing w:before="20"/>
              <w:ind w:right="167"/>
              <w:rPr>
                <w:sz w:val="14"/>
              </w:rPr>
            </w:pPr>
            <w:r>
              <w:rPr>
                <w:w w:val="99"/>
                <w:sz w:val="14"/>
              </w:rPr>
              <w:t>3</w:t>
            </w:r>
          </w:p>
        </w:tc>
        <w:tc>
          <w:tcPr>
            <w:tcW w:w="546" w:type="dxa"/>
            <w:tcBorders>
              <w:bottom w:val="single" w:sz="12" w:space="0" w:color="000000"/>
            </w:tcBorders>
          </w:tcPr>
          <w:p>
            <w:pPr>
              <w:pStyle w:val="TableParagraph"/>
              <w:spacing w:before="20"/>
              <w:ind w:right="128"/>
              <w:rPr>
                <w:sz w:val="14"/>
              </w:rPr>
            </w:pPr>
            <w:r>
              <w:rPr>
                <w:w w:val="99"/>
                <w:sz w:val="14"/>
              </w:rPr>
              <w:t>7</w:t>
            </w:r>
          </w:p>
        </w:tc>
        <w:tc>
          <w:tcPr>
            <w:tcW w:w="668" w:type="dxa"/>
            <w:tcBorders>
              <w:bottom w:val="single" w:sz="12" w:space="0" w:color="000000"/>
            </w:tcBorders>
          </w:tcPr>
          <w:p>
            <w:pPr>
              <w:pStyle w:val="TableParagraph"/>
              <w:spacing w:before="20"/>
              <w:ind w:right="193"/>
              <w:rPr>
                <w:sz w:val="14"/>
              </w:rPr>
            </w:pPr>
            <w:r>
              <w:rPr>
                <w:spacing w:val="-5"/>
                <w:sz w:val="14"/>
              </w:rPr>
              <w:t>19</w:t>
            </w:r>
          </w:p>
        </w:tc>
        <w:tc>
          <w:tcPr>
            <w:tcW w:w="712" w:type="dxa"/>
            <w:tcBorders>
              <w:bottom w:val="single" w:sz="12" w:space="0" w:color="000000"/>
            </w:tcBorders>
          </w:tcPr>
          <w:p>
            <w:pPr>
              <w:pStyle w:val="TableParagraph"/>
              <w:spacing w:before="20"/>
              <w:ind w:right="165"/>
              <w:rPr>
                <w:sz w:val="14"/>
              </w:rPr>
            </w:pPr>
            <w:r>
              <w:rPr>
                <w:spacing w:val="-5"/>
                <w:sz w:val="14"/>
              </w:rPr>
              <w:t>14</w:t>
            </w:r>
          </w:p>
        </w:tc>
        <w:tc>
          <w:tcPr>
            <w:tcW w:w="487" w:type="dxa"/>
            <w:tcBorders>
              <w:bottom w:val="single" w:sz="12" w:space="0" w:color="000000"/>
            </w:tcBorders>
          </w:tcPr>
          <w:p>
            <w:pPr>
              <w:pStyle w:val="TableParagraph"/>
              <w:spacing w:before="20"/>
              <w:ind w:right="64"/>
              <w:rPr>
                <w:sz w:val="14"/>
              </w:rPr>
            </w:pPr>
            <w:r>
              <w:rPr>
                <w:w w:val="99"/>
                <w:sz w:val="14"/>
              </w:rPr>
              <w:t>4</w:t>
            </w:r>
          </w:p>
        </w:tc>
        <w:tc>
          <w:tcPr>
            <w:tcW w:w="793" w:type="dxa"/>
            <w:tcBorders>
              <w:bottom w:val="single" w:sz="12" w:space="0" w:color="000000"/>
            </w:tcBorders>
          </w:tcPr>
          <w:p>
            <w:pPr>
              <w:pStyle w:val="TableParagraph"/>
              <w:spacing w:before="20"/>
              <w:ind w:right="115"/>
              <w:rPr>
                <w:i/>
                <w:sz w:val="14"/>
              </w:rPr>
            </w:pPr>
            <w:r>
              <w:rPr>
                <w:i/>
                <w:spacing w:val="-5"/>
                <w:sz w:val="14"/>
              </w:rPr>
              <w:t>48</w:t>
            </w:r>
          </w:p>
        </w:tc>
        <w:tc>
          <w:tcPr>
            <w:tcW w:w="566" w:type="dxa"/>
            <w:tcBorders>
              <w:bottom w:val="single" w:sz="12" w:space="0" w:color="000000"/>
            </w:tcBorders>
          </w:tcPr>
          <w:p>
            <w:pPr>
              <w:pStyle w:val="TableParagraph"/>
              <w:spacing w:before="20"/>
              <w:ind w:right="92"/>
              <w:rPr>
                <w:sz w:val="14"/>
              </w:rPr>
            </w:pPr>
            <w:r>
              <w:rPr>
                <w:w w:val="99"/>
                <w:sz w:val="14"/>
              </w:rPr>
              <w:t>-</w:t>
            </w:r>
          </w:p>
        </w:tc>
        <w:tc>
          <w:tcPr>
            <w:tcW w:w="578" w:type="dxa"/>
            <w:tcBorders>
              <w:bottom w:val="single" w:sz="12" w:space="0" w:color="000000"/>
            </w:tcBorders>
          </w:tcPr>
          <w:p>
            <w:pPr>
              <w:pStyle w:val="TableParagraph"/>
              <w:spacing w:before="20"/>
              <w:ind w:right="80"/>
              <w:rPr>
                <w:sz w:val="14"/>
              </w:rPr>
            </w:pPr>
            <w:r>
              <w:rPr>
                <w:w w:val="99"/>
                <w:sz w:val="14"/>
              </w:rPr>
              <w:t>1</w:t>
            </w:r>
          </w:p>
        </w:tc>
        <w:tc>
          <w:tcPr>
            <w:tcW w:w="561" w:type="dxa"/>
            <w:tcBorders>
              <w:bottom w:val="single" w:sz="12" w:space="0" w:color="000000"/>
            </w:tcBorders>
          </w:tcPr>
          <w:p>
            <w:pPr>
              <w:pStyle w:val="TableParagraph"/>
              <w:spacing w:before="20"/>
              <w:ind w:right="44"/>
              <w:rPr>
                <w:sz w:val="14"/>
              </w:rPr>
            </w:pPr>
            <w:r>
              <w:rPr>
                <w:spacing w:val="-5"/>
                <w:sz w:val="14"/>
              </w:rPr>
              <w:t>61</w:t>
            </w:r>
          </w:p>
        </w:tc>
        <w:tc>
          <w:tcPr>
            <w:tcW w:w="810" w:type="dxa"/>
            <w:tcBorders>
              <w:bottom w:val="single" w:sz="12" w:space="0" w:color="000000"/>
            </w:tcBorders>
          </w:tcPr>
          <w:p>
            <w:pPr>
              <w:pStyle w:val="TableParagraph"/>
              <w:spacing w:before="20"/>
              <w:ind w:right="114"/>
              <w:rPr>
                <w:i/>
                <w:sz w:val="14"/>
              </w:rPr>
            </w:pPr>
            <w:r>
              <w:rPr>
                <w:i/>
                <w:spacing w:val="-5"/>
                <w:sz w:val="14"/>
              </w:rPr>
              <w:t>62</w:t>
            </w:r>
          </w:p>
        </w:tc>
        <w:tc>
          <w:tcPr>
            <w:tcW w:w="521" w:type="dxa"/>
            <w:tcBorders>
              <w:bottom w:val="single" w:sz="12" w:space="0" w:color="000000"/>
            </w:tcBorders>
          </w:tcPr>
          <w:p>
            <w:pPr>
              <w:pStyle w:val="TableParagraph"/>
              <w:spacing w:before="20"/>
              <w:ind w:right="35"/>
              <w:rPr>
                <w:b/>
                <w:sz w:val="14"/>
              </w:rPr>
            </w:pPr>
            <w:r>
              <w:rPr>
                <w:b/>
                <w:spacing w:val="-5"/>
                <w:sz w:val="14"/>
              </w:rPr>
              <w:t>110</w:t>
            </w:r>
          </w:p>
        </w:tc>
      </w:tr>
      <w:tr>
        <w:trPr>
          <w:trHeight w:val="227" w:hRule="atLeast"/>
        </w:trPr>
        <w:tc>
          <w:tcPr>
            <w:tcW w:w="1186" w:type="dxa"/>
            <w:tcBorders>
              <w:top w:val="single" w:sz="12" w:space="0" w:color="000000"/>
              <w:bottom w:val="single" w:sz="6" w:space="0" w:color="000000"/>
            </w:tcBorders>
          </w:tcPr>
          <w:p>
            <w:pPr>
              <w:pStyle w:val="TableParagraph"/>
              <w:spacing w:before="27"/>
              <w:ind w:left="67"/>
              <w:jc w:val="left"/>
              <w:rPr>
                <w:sz w:val="14"/>
              </w:rPr>
            </w:pPr>
            <w:r>
              <w:rPr>
                <w:spacing w:val="-5"/>
                <w:sz w:val="14"/>
              </w:rPr>
              <w:t>New</w:t>
            </w:r>
          </w:p>
        </w:tc>
        <w:tc>
          <w:tcPr>
            <w:tcW w:w="678" w:type="dxa"/>
            <w:tcBorders>
              <w:top w:val="single" w:sz="12" w:space="0" w:color="000000"/>
              <w:bottom w:val="single" w:sz="6" w:space="0" w:color="000000"/>
            </w:tcBorders>
          </w:tcPr>
          <w:p>
            <w:pPr>
              <w:pStyle w:val="TableParagraph"/>
              <w:spacing w:before="27"/>
              <w:ind w:right="154"/>
              <w:rPr>
                <w:sz w:val="14"/>
              </w:rPr>
            </w:pPr>
            <w:r>
              <w:rPr>
                <w:w w:val="99"/>
                <w:sz w:val="14"/>
              </w:rPr>
              <w:t>-</w:t>
            </w:r>
          </w:p>
        </w:tc>
        <w:tc>
          <w:tcPr>
            <w:tcW w:w="607" w:type="dxa"/>
            <w:tcBorders>
              <w:top w:val="single" w:sz="12" w:space="0" w:color="000000"/>
              <w:bottom w:val="single" w:sz="6" w:space="0" w:color="000000"/>
            </w:tcBorders>
          </w:tcPr>
          <w:p>
            <w:pPr>
              <w:pStyle w:val="TableParagraph"/>
              <w:spacing w:before="27"/>
              <w:ind w:right="170"/>
              <w:rPr>
                <w:sz w:val="14"/>
              </w:rPr>
            </w:pPr>
            <w:r>
              <w:rPr>
                <w:w w:val="99"/>
                <w:sz w:val="14"/>
              </w:rPr>
              <w:t>-</w:t>
            </w:r>
          </w:p>
        </w:tc>
        <w:tc>
          <w:tcPr>
            <w:tcW w:w="563" w:type="dxa"/>
            <w:tcBorders>
              <w:top w:val="single" w:sz="12" w:space="0" w:color="000000"/>
              <w:bottom w:val="single" w:sz="6" w:space="0" w:color="000000"/>
            </w:tcBorders>
          </w:tcPr>
          <w:p>
            <w:pPr>
              <w:pStyle w:val="TableParagraph"/>
              <w:spacing w:before="27"/>
              <w:ind w:right="171"/>
              <w:rPr>
                <w:sz w:val="14"/>
              </w:rPr>
            </w:pPr>
            <w:r>
              <w:rPr>
                <w:w w:val="99"/>
                <w:sz w:val="14"/>
              </w:rPr>
              <w:t>-</w:t>
            </w:r>
          </w:p>
        </w:tc>
        <w:tc>
          <w:tcPr>
            <w:tcW w:w="581" w:type="dxa"/>
            <w:tcBorders>
              <w:top w:val="single" w:sz="12" w:space="0" w:color="000000"/>
              <w:bottom w:val="single" w:sz="6" w:space="0" w:color="000000"/>
            </w:tcBorders>
          </w:tcPr>
          <w:p>
            <w:pPr>
              <w:pStyle w:val="TableParagraph"/>
              <w:spacing w:before="27"/>
              <w:ind w:right="191"/>
              <w:rPr>
                <w:sz w:val="14"/>
              </w:rPr>
            </w:pPr>
            <w:r>
              <w:rPr>
                <w:w w:val="99"/>
                <w:sz w:val="14"/>
              </w:rPr>
              <w:t>-</w:t>
            </w:r>
          </w:p>
        </w:tc>
        <w:tc>
          <w:tcPr>
            <w:tcW w:w="557" w:type="dxa"/>
            <w:tcBorders>
              <w:top w:val="single" w:sz="12" w:space="0" w:color="000000"/>
              <w:bottom w:val="single" w:sz="6" w:space="0" w:color="000000"/>
            </w:tcBorders>
          </w:tcPr>
          <w:p>
            <w:pPr>
              <w:pStyle w:val="TableParagraph"/>
              <w:spacing w:before="27"/>
              <w:ind w:right="166"/>
              <w:rPr>
                <w:sz w:val="14"/>
              </w:rPr>
            </w:pPr>
            <w:r>
              <w:rPr>
                <w:w w:val="99"/>
                <w:sz w:val="14"/>
              </w:rPr>
              <w:t>-</w:t>
            </w:r>
          </w:p>
        </w:tc>
        <w:tc>
          <w:tcPr>
            <w:tcW w:w="546" w:type="dxa"/>
            <w:tcBorders>
              <w:top w:val="single" w:sz="12" w:space="0" w:color="000000"/>
              <w:bottom w:val="single" w:sz="6" w:space="0" w:color="000000"/>
            </w:tcBorders>
          </w:tcPr>
          <w:p>
            <w:pPr>
              <w:pStyle w:val="TableParagraph"/>
              <w:spacing w:before="27"/>
              <w:ind w:right="127"/>
              <w:rPr>
                <w:sz w:val="14"/>
              </w:rPr>
            </w:pPr>
            <w:r>
              <w:rPr>
                <w:w w:val="99"/>
                <w:sz w:val="14"/>
              </w:rPr>
              <w:t>-</w:t>
            </w:r>
          </w:p>
        </w:tc>
        <w:tc>
          <w:tcPr>
            <w:tcW w:w="668" w:type="dxa"/>
            <w:tcBorders>
              <w:top w:val="single" w:sz="12" w:space="0" w:color="000000"/>
              <w:bottom w:val="single" w:sz="6" w:space="0" w:color="000000"/>
            </w:tcBorders>
          </w:tcPr>
          <w:p>
            <w:pPr>
              <w:pStyle w:val="TableParagraph"/>
              <w:spacing w:before="27"/>
              <w:ind w:right="200"/>
              <w:rPr>
                <w:sz w:val="14"/>
              </w:rPr>
            </w:pPr>
            <w:r>
              <w:rPr>
                <w:w w:val="99"/>
                <w:sz w:val="14"/>
              </w:rPr>
              <w:t>6</w:t>
            </w:r>
          </w:p>
        </w:tc>
        <w:tc>
          <w:tcPr>
            <w:tcW w:w="712" w:type="dxa"/>
            <w:tcBorders>
              <w:top w:val="single" w:sz="12" w:space="0" w:color="000000"/>
              <w:bottom w:val="single" w:sz="6" w:space="0" w:color="000000"/>
            </w:tcBorders>
          </w:tcPr>
          <w:p>
            <w:pPr>
              <w:pStyle w:val="TableParagraph"/>
              <w:spacing w:before="27"/>
              <w:ind w:right="172"/>
              <w:rPr>
                <w:sz w:val="14"/>
              </w:rPr>
            </w:pPr>
            <w:r>
              <w:rPr>
                <w:w w:val="99"/>
                <w:sz w:val="14"/>
              </w:rPr>
              <w:t>7</w:t>
            </w:r>
          </w:p>
        </w:tc>
        <w:tc>
          <w:tcPr>
            <w:tcW w:w="487" w:type="dxa"/>
            <w:tcBorders>
              <w:top w:val="single" w:sz="12" w:space="0" w:color="000000"/>
              <w:bottom w:val="single" w:sz="6" w:space="0" w:color="000000"/>
            </w:tcBorders>
          </w:tcPr>
          <w:p>
            <w:pPr>
              <w:pStyle w:val="TableParagraph"/>
              <w:spacing w:before="27"/>
              <w:ind w:right="63"/>
              <w:rPr>
                <w:sz w:val="14"/>
              </w:rPr>
            </w:pPr>
            <w:r>
              <w:rPr>
                <w:w w:val="99"/>
                <w:sz w:val="14"/>
              </w:rPr>
              <w:t>-</w:t>
            </w:r>
          </w:p>
        </w:tc>
        <w:tc>
          <w:tcPr>
            <w:tcW w:w="793" w:type="dxa"/>
            <w:tcBorders>
              <w:top w:val="single" w:sz="12" w:space="0" w:color="000000"/>
              <w:bottom w:val="single" w:sz="6" w:space="0" w:color="000000"/>
            </w:tcBorders>
          </w:tcPr>
          <w:p>
            <w:pPr>
              <w:pStyle w:val="TableParagraph"/>
              <w:spacing w:before="27"/>
              <w:ind w:right="115"/>
              <w:rPr>
                <w:i/>
                <w:sz w:val="14"/>
              </w:rPr>
            </w:pPr>
            <w:r>
              <w:rPr>
                <w:i/>
                <w:spacing w:val="-5"/>
                <w:sz w:val="14"/>
              </w:rPr>
              <w:t>13</w:t>
            </w:r>
          </w:p>
        </w:tc>
        <w:tc>
          <w:tcPr>
            <w:tcW w:w="566" w:type="dxa"/>
            <w:tcBorders>
              <w:top w:val="single" w:sz="12" w:space="0" w:color="000000"/>
              <w:bottom w:val="single" w:sz="6" w:space="0" w:color="000000"/>
            </w:tcBorders>
          </w:tcPr>
          <w:p>
            <w:pPr>
              <w:pStyle w:val="TableParagraph"/>
              <w:spacing w:before="27"/>
              <w:ind w:right="92"/>
              <w:rPr>
                <w:sz w:val="14"/>
              </w:rPr>
            </w:pPr>
            <w:r>
              <w:rPr>
                <w:w w:val="99"/>
                <w:sz w:val="14"/>
              </w:rPr>
              <w:t>-</w:t>
            </w:r>
          </w:p>
        </w:tc>
        <w:tc>
          <w:tcPr>
            <w:tcW w:w="578" w:type="dxa"/>
            <w:tcBorders>
              <w:top w:val="single" w:sz="12" w:space="0" w:color="000000"/>
              <w:bottom w:val="single" w:sz="6" w:space="0" w:color="000000"/>
            </w:tcBorders>
          </w:tcPr>
          <w:p>
            <w:pPr>
              <w:pStyle w:val="TableParagraph"/>
              <w:spacing w:before="27"/>
              <w:ind w:right="79"/>
              <w:rPr>
                <w:sz w:val="14"/>
              </w:rPr>
            </w:pPr>
            <w:r>
              <w:rPr>
                <w:w w:val="99"/>
                <w:sz w:val="14"/>
              </w:rPr>
              <w:t>-</w:t>
            </w:r>
          </w:p>
        </w:tc>
        <w:tc>
          <w:tcPr>
            <w:tcW w:w="561" w:type="dxa"/>
            <w:tcBorders>
              <w:top w:val="single" w:sz="12" w:space="0" w:color="000000"/>
              <w:bottom w:val="single" w:sz="6" w:space="0" w:color="000000"/>
            </w:tcBorders>
          </w:tcPr>
          <w:p>
            <w:pPr>
              <w:pStyle w:val="TableParagraph"/>
              <w:spacing w:before="27"/>
              <w:ind w:right="51"/>
              <w:rPr>
                <w:sz w:val="14"/>
              </w:rPr>
            </w:pPr>
            <w:r>
              <w:rPr>
                <w:w w:val="99"/>
                <w:sz w:val="14"/>
              </w:rPr>
              <w:t>3</w:t>
            </w:r>
          </w:p>
        </w:tc>
        <w:tc>
          <w:tcPr>
            <w:tcW w:w="810" w:type="dxa"/>
            <w:tcBorders>
              <w:top w:val="single" w:sz="12" w:space="0" w:color="000000"/>
              <w:bottom w:val="single" w:sz="6" w:space="0" w:color="000000"/>
            </w:tcBorders>
          </w:tcPr>
          <w:p>
            <w:pPr>
              <w:pStyle w:val="TableParagraph"/>
              <w:spacing w:before="27"/>
              <w:ind w:right="121"/>
              <w:rPr>
                <w:i/>
                <w:sz w:val="14"/>
              </w:rPr>
            </w:pPr>
            <w:r>
              <w:rPr>
                <w:i/>
                <w:w w:val="99"/>
                <w:sz w:val="14"/>
              </w:rPr>
              <w:t>3</w:t>
            </w:r>
          </w:p>
        </w:tc>
        <w:tc>
          <w:tcPr>
            <w:tcW w:w="521" w:type="dxa"/>
            <w:tcBorders>
              <w:top w:val="single" w:sz="12" w:space="0" w:color="000000"/>
              <w:bottom w:val="single" w:sz="6" w:space="0" w:color="000000"/>
            </w:tcBorders>
          </w:tcPr>
          <w:p>
            <w:pPr>
              <w:pStyle w:val="TableParagraph"/>
              <w:spacing w:before="27"/>
              <w:ind w:right="35"/>
              <w:rPr>
                <w:b/>
                <w:sz w:val="14"/>
              </w:rPr>
            </w:pPr>
            <w:r>
              <w:rPr>
                <w:b/>
                <w:spacing w:val="-5"/>
                <w:sz w:val="14"/>
              </w:rPr>
              <w:t>16</w:t>
            </w:r>
          </w:p>
        </w:tc>
      </w:tr>
      <w:tr>
        <w:trPr>
          <w:trHeight w:val="222" w:hRule="atLeast"/>
        </w:trPr>
        <w:tc>
          <w:tcPr>
            <w:tcW w:w="1186" w:type="dxa"/>
            <w:tcBorders>
              <w:top w:val="single" w:sz="6" w:space="0" w:color="000000"/>
              <w:bottom w:val="single" w:sz="4" w:space="0" w:color="000000"/>
            </w:tcBorders>
          </w:tcPr>
          <w:p>
            <w:pPr>
              <w:pStyle w:val="TableParagraph"/>
              <w:spacing w:before="21"/>
              <w:ind w:left="67"/>
              <w:jc w:val="left"/>
              <w:rPr>
                <w:sz w:val="14"/>
              </w:rPr>
            </w:pPr>
            <w:r>
              <w:rPr>
                <w:spacing w:val="-2"/>
                <w:sz w:val="14"/>
              </w:rPr>
              <w:t>Redeployed</w:t>
            </w:r>
          </w:p>
        </w:tc>
        <w:tc>
          <w:tcPr>
            <w:tcW w:w="678" w:type="dxa"/>
            <w:tcBorders>
              <w:top w:val="single" w:sz="6" w:space="0" w:color="000000"/>
              <w:bottom w:val="single" w:sz="4" w:space="0" w:color="000000"/>
            </w:tcBorders>
          </w:tcPr>
          <w:p>
            <w:pPr>
              <w:pStyle w:val="TableParagraph"/>
              <w:spacing w:before="21"/>
              <w:ind w:right="154"/>
              <w:rPr>
                <w:sz w:val="14"/>
              </w:rPr>
            </w:pPr>
            <w:r>
              <w:rPr>
                <w:w w:val="99"/>
                <w:sz w:val="14"/>
              </w:rPr>
              <w:t>-</w:t>
            </w:r>
          </w:p>
        </w:tc>
        <w:tc>
          <w:tcPr>
            <w:tcW w:w="607" w:type="dxa"/>
            <w:tcBorders>
              <w:top w:val="single" w:sz="6" w:space="0" w:color="000000"/>
              <w:bottom w:val="single" w:sz="4" w:space="0" w:color="000000"/>
            </w:tcBorders>
          </w:tcPr>
          <w:p>
            <w:pPr>
              <w:pStyle w:val="TableParagraph"/>
              <w:spacing w:before="21"/>
              <w:ind w:right="170"/>
              <w:rPr>
                <w:sz w:val="14"/>
              </w:rPr>
            </w:pPr>
            <w:r>
              <w:rPr>
                <w:w w:val="99"/>
                <w:sz w:val="14"/>
              </w:rPr>
              <w:t>-</w:t>
            </w:r>
          </w:p>
        </w:tc>
        <w:tc>
          <w:tcPr>
            <w:tcW w:w="563" w:type="dxa"/>
            <w:tcBorders>
              <w:top w:val="single" w:sz="6" w:space="0" w:color="000000"/>
              <w:bottom w:val="single" w:sz="4" w:space="0" w:color="000000"/>
            </w:tcBorders>
          </w:tcPr>
          <w:p>
            <w:pPr>
              <w:pStyle w:val="TableParagraph"/>
              <w:spacing w:before="21"/>
              <w:ind w:right="171"/>
              <w:rPr>
                <w:sz w:val="14"/>
              </w:rPr>
            </w:pPr>
            <w:r>
              <w:rPr>
                <w:w w:val="99"/>
                <w:sz w:val="14"/>
              </w:rPr>
              <w:t>-</w:t>
            </w:r>
          </w:p>
        </w:tc>
        <w:tc>
          <w:tcPr>
            <w:tcW w:w="581" w:type="dxa"/>
            <w:tcBorders>
              <w:top w:val="single" w:sz="6" w:space="0" w:color="000000"/>
              <w:bottom w:val="single" w:sz="4" w:space="0" w:color="000000"/>
            </w:tcBorders>
          </w:tcPr>
          <w:p>
            <w:pPr>
              <w:pStyle w:val="TableParagraph"/>
              <w:spacing w:before="21"/>
              <w:ind w:right="191"/>
              <w:rPr>
                <w:sz w:val="14"/>
              </w:rPr>
            </w:pPr>
            <w:r>
              <w:rPr>
                <w:w w:val="99"/>
                <w:sz w:val="14"/>
              </w:rPr>
              <w:t>-</w:t>
            </w:r>
          </w:p>
        </w:tc>
        <w:tc>
          <w:tcPr>
            <w:tcW w:w="557" w:type="dxa"/>
            <w:tcBorders>
              <w:top w:val="single" w:sz="6" w:space="0" w:color="000000"/>
              <w:bottom w:val="single" w:sz="4" w:space="0" w:color="000000"/>
            </w:tcBorders>
          </w:tcPr>
          <w:p>
            <w:pPr>
              <w:pStyle w:val="TableParagraph"/>
              <w:spacing w:before="21"/>
              <w:ind w:right="166"/>
              <w:rPr>
                <w:sz w:val="14"/>
              </w:rPr>
            </w:pPr>
            <w:r>
              <w:rPr>
                <w:w w:val="99"/>
                <w:sz w:val="14"/>
              </w:rPr>
              <w:t>-</w:t>
            </w:r>
          </w:p>
        </w:tc>
        <w:tc>
          <w:tcPr>
            <w:tcW w:w="546" w:type="dxa"/>
            <w:tcBorders>
              <w:top w:val="single" w:sz="6" w:space="0" w:color="000000"/>
              <w:bottom w:val="single" w:sz="4" w:space="0" w:color="000000"/>
            </w:tcBorders>
          </w:tcPr>
          <w:p>
            <w:pPr>
              <w:pStyle w:val="TableParagraph"/>
              <w:spacing w:before="21"/>
              <w:ind w:right="127"/>
              <w:rPr>
                <w:sz w:val="14"/>
              </w:rPr>
            </w:pPr>
            <w:r>
              <w:rPr>
                <w:w w:val="99"/>
                <w:sz w:val="14"/>
              </w:rPr>
              <w:t>-</w:t>
            </w:r>
          </w:p>
        </w:tc>
        <w:tc>
          <w:tcPr>
            <w:tcW w:w="668" w:type="dxa"/>
            <w:tcBorders>
              <w:top w:val="single" w:sz="6" w:space="0" w:color="000000"/>
              <w:bottom w:val="single" w:sz="4" w:space="0" w:color="000000"/>
            </w:tcBorders>
          </w:tcPr>
          <w:p>
            <w:pPr>
              <w:pStyle w:val="TableParagraph"/>
              <w:spacing w:before="21"/>
              <w:ind w:right="199"/>
              <w:rPr>
                <w:sz w:val="14"/>
              </w:rPr>
            </w:pPr>
            <w:r>
              <w:rPr>
                <w:w w:val="99"/>
                <w:sz w:val="14"/>
              </w:rPr>
              <w:t>-</w:t>
            </w:r>
          </w:p>
        </w:tc>
        <w:tc>
          <w:tcPr>
            <w:tcW w:w="712" w:type="dxa"/>
            <w:tcBorders>
              <w:top w:val="single" w:sz="6" w:space="0" w:color="000000"/>
              <w:bottom w:val="single" w:sz="4" w:space="0" w:color="000000"/>
            </w:tcBorders>
          </w:tcPr>
          <w:p>
            <w:pPr>
              <w:pStyle w:val="TableParagraph"/>
              <w:spacing w:before="21"/>
              <w:ind w:right="167"/>
              <w:rPr>
                <w:sz w:val="14"/>
              </w:rPr>
            </w:pPr>
            <w:r>
              <w:rPr>
                <w:spacing w:val="-5"/>
                <w:sz w:val="14"/>
              </w:rPr>
              <w:t>(1)</w:t>
            </w:r>
          </w:p>
        </w:tc>
        <w:tc>
          <w:tcPr>
            <w:tcW w:w="487" w:type="dxa"/>
            <w:tcBorders>
              <w:top w:val="single" w:sz="6" w:space="0" w:color="000000"/>
              <w:bottom w:val="single" w:sz="4" w:space="0" w:color="000000"/>
            </w:tcBorders>
          </w:tcPr>
          <w:p>
            <w:pPr>
              <w:pStyle w:val="TableParagraph"/>
              <w:spacing w:before="21"/>
              <w:ind w:right="63"/>
              <w:rPr>
                <w:sz w:val="14"/>
              </w:rPr>
            </w:pPr>
            <w:r>
              <w:rPr>
                <w:w w:val="99"/>
                <w:sz w:val="14"/>
              </w:rPr>
              <w:t>-</w:t>
            </w:r>
          </w:p>
        </w:tc>
        <w:tc>
          <w:tcPr>
            <w:tcW w:w="793" w:type="dxa"/>
            <w:tcBorders>
              <w:top w:val="single" w:sz="6" w:space="0" w:color="000000"/>
              <w:bottom w:val="single" w:sz="4" w:space="0" w:color="000000"/>
            </w:tcBorders>
          </w:tcPr>
          <w:p>
            <w:pPr>
              <w:pStyle w:val="TableParagraph"/>
              <w:spacing w:before="21"/>
              <w:ind w:right="117"/>
              <w:rPr>
                <w:i/>
                <w:sz w:val="14"/>
              </w:rPr>
            </w:pPr>
            <w:r>
              <w:rPr>
                <w:i/>
                <w:spacing w:val="-5"/>
                <w:sz w:val="14"/>
              </w:rPr>
              <w:t>(1)</w:t>
            </w:r>
          </w:p>
        </w:tc>
        <w:tc>
          <w:tcPr>
            <w:tcW w:w="566" w:type="dxa"/>
            <w:tcBorders>
              <w:top w:val="single" w:sz="6" w:space="0" w:color="000000"/>
              <w:bottom w:val="single" w:sz="4" w:space="0" w:color="000000"/>
            </w:tcBorders>
          </w:tcPr>
          <w:p>
            <w:pPr>
              <w:pStyle w:val="TableParagraph"/>
              <w:spacing w:before="21"/>
              <w:ind w:right="92"/>
              <w:rPr>
                <w:sz w:val="14"/>
              </w:rPr>
            </w:pPr>
            <w:r>
              <w:rPr>
                <w:w w:val="99"/>
                <w:sz w:val="14"/>
              </w:rPr>
              <w:t>-</w:t>
            </w:r>
          </w:p>
        </w:tc>
        <w:tc>
          <w:tcPr>
            <w:tcW w:w="578" w:type="dxa"/>
            <w:tcBorders>
              <w:top w:val="single" w:sz="6" w:space="0" w:color="000000"/>
              <w:bottom w:val="single" w:sz="4" w:space="0" w:color="000000"/>
            </w:tcBorders>
          </w:tcPr>
          <w:p>
            <w:pPr>
              <w:pStyle w:val="TableParagraph"/>
              <w:spacing w:before="21"/>
              <w:ind w:right="75"/>
              <w:rPr>
                <w:sz w:val="14"/>
              </w:rPr>
            </w:pPr>
            <w:r>
              <w:rPr>
                <w:spacing w:val="-5"/>
                <w:sz w:val="14"/>
              </w:rPr>
              <w:t>(1)</w:t>
            </w:r>
          </w:p>
        </w:tc>
        <w:tc>
          <w:tcPr>
            <w:tcW w:w="561" w:type="dxa"/>
            <w:tcBorders>
              <w:top w:val="single" w:sz="6" w:space="0" w:color="000000"/>
              <w:bottom w:val="single" w:sz="4" w:space="0" w:color="000000"/>
            </w:tcBorders>
          </w:tcPr>
          <w:p>
            <w:pPr>
              <w:pStyle w:val="TableParagraph"/>
              <w:spacing w:before="21"/>
              <w:ind w:right="51"/>
              <w:rPr>
                <w:sz w:val="14"/>
              </w:rPr>
            </w:pPr>
            <w:r>
              <w:rPr>
                <w:w w:val="99"/>
                <w:sz w:val="14"/>
              </w:rPr>
              <w:t>1</w:t>
            </w:r>
          </w:p>
        </w:tc>
        <w:tc>
          <w:tcPr>
            <w:tcW w:w="810" w:type="dxa"/>
            <w:tcBorders>
              <w:top w:val="single" w:sz="6" w:space="0" w:color="000000"/>
              <w:bottom w:val="single" w:sz="4" w:space="0" w:color="000000"/>
            </w:tcBorders>
          </w:tcPr>
          <w:p>
            <w:pPr>
              <w:pStyle w:val="TableParagraph"/>
              <w:spacing w:before="21"/>
              <w:ind w:right="120"/>
              <w:rPr>
                <w:i/>
                <w:sz w:val="14"/>
              </w:rPr>
            </w:pPr>
            <w:r>
              <w:rPr>
                <w:i/>
                <w:w w:val="99"/>
                <w:sz w:val="14"/>
              </w:rPr>
              <w:t>-</w:t>
            </w:r>
          </w:p>
        </w:tc>
        <w:tc>
          <w:tcPr>
            <w:tcW w:w="521" w:type="dxa"/>
            <w:tcBorders>
              <w:top w:val="single" w:sz="6" w:space="0" w:color="000000"/>
              <w:bottom w:val="single" w:sz="4" w:space="0" w:color="000000"/>
            </w:tcBorders>
          </w:tcPr>
          <w:p>
            <w:pPr>
              <w:pStyle w:val="TableParagraph"/>
              <w:spacing w:before="21"/>
              <w:ind w:right="37"/>
              <w:rPr>
                <w:b/>
                <w:sz w:val="14"/>
              </w:rPr>
            </w:pPr>
            <w:r>
              <w:rPr>
                <w:b/>
                <w:spacing w:val="-5"/>
                <w:sz w:val="14"/>
              </w:rPr>
              <w:t>(1)</w:t>
            </w:r>
          </w:p>
        </w:tc>
      </w:tr>
      <w:tr>
        <w:trPr>
          <w:trHeight w:val="225" w:hRule="atLeast"/>
        </w:trPr>
        <w:tc>
          <w:tcPr>
            <w:tcW w:w="1186" w:type="dxa"/>
            <w:tcBorders>
              <w:top w:val="single" w:sz="4" w:space="0" w:color="000000"/>
              <w:bottom w:val="single" w:sz="4" w:space="0" w:color="000000"/>
            </w:tcBorders>
          </w:tcPr>
          <w:p>
            <w:pPr>
              <w:pStyle w:val="TableParagraph"/>
              <w:spacing w:before="28"/>
              <w:ind w:left="67"/>
              <w:jc w:val="left"/>
              <w:rPr>
                <w:sz w:val="14"/>
              </w:rPr>
            </w:pPr>
            <w:r>
              <w:rPr>
                <w:spacing w:val="-2"/>
                <w:sz w:val="14"/>
              </w:rPr>
              <w:t>Reclassified</w:t>
            </w:r>
          </w:p>
        </w:tc>
        <w:tc>
          <w:tcPr>
            <w:tcW w:w="678" w:type="dxa"/>
            <w:tcBorders>
              <w:top w:val="single" w:sz="4" w:space="0" w:color="000000"/>
              <w:bottom w:val="single" w:sz="4" w:space="0" w:color="000000"/>
            </w:tcBorders>
          </w:tcPr>
          <w:p>
            <w:pPr>
              <w:pStyle w:val="TableParagraph"/>
              <w:spacing w:before="28"/>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8"/>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8"/>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8"/>
              <w:ind w:right="191"/>
              <w:rPr>
                <w:sz w:val="14"/>
              </w:rPr>
            </w:pPr>
            <w:r>
              <w:rPr>
                <w:w w:val="99"/>
                <w:sz w:val="14"/>
              </w:rPr>
              <w:t>-</w:t>
            </w:r>
          </w:p>
        </w:tc>
        <w:tc>
          <w:tcPr>
            <w:tcW w:w="557" w:type="dxa"/>
            <w:tcBorders>
              <w:top w:val="single" w:sz="4" w:space="0" w:color="000000"/>
              <w:bottom w:val="single" w:sz="4" w:space="0" w:color="000000"/>
            </w:tcBorders>
          </w:tcPr>
          <w:p>
            <w:pPr>
              <w:pStyle w:val="TableParagraph"/>
              <w:spacing w:before="28"/>
              <w:ind w:right="166"/>
              <w:rPr>
                <w:sz w:val="14"/>
              </w:rPr>
            </w:pPr>
            <w:r>
              <w:rPr>
                <w:w w:val="99"/>
                <w:sz w:val="14"/>
              </w:rPr>
              <w:t>-</w:t>
            </w:r>
          </w:p>
        </w:tc>
        <w:tc>
          <w:tcPr>
            <w:tcW w:w="546" w:type="dxa"/>
            <w:tcBorders>
              <w:top w:val="single" w:sz="4" w:space="0" w:color="000000"/>
              <w:bottom w:val="single" w:sz="4" w:space="0" w:color="000000"/>
            </w:tcBorders>
          </w:tcPr>
          <w:p>
            <w:pPr>
              <w:pStyle w:val="TableParagraph"/>
              <w:spacing w:before="28"/>
              <w:ind w:right="127"/>
              <w:rPr>
                <w:sz w:val="14"/>
              </w:rPr>
            </w:pPr>
            <w:r>
              <w:rPr>
                <w:w w:val="99"/>
                <w:sz w:val="14"/>
              </w:rPr>
              <w:t>-</w:t>
            </w:r>
          </w:p>
        </w:tc>
        <w:tc>
          <w:tcPr>
            <w:tcW w:w="668" w:type="dxa"/>
            <w:tcBorders>
              <w:top w:val="single" w:sz="4" w:space="0" w:color="000000"/>
              <w:bottom w:val="single" w:sz="4" w:space="0" w:color="000000"/>
            </w:tcBorders>
          </w:tcPr>
          <w:p>
            <w:pPr>
              <w:pStyle w:val="TableParagraph"/>
              <w:spacing w:before="28"/>
              <w:ind w:right="199"/>
              <w:rPr>
                <w:sz w:val="14"/>
              </w:rPr>
            </w:pPr>
            <w:r>
              <w:rPr>
                <w:w w:val="99"/>
                <w:sz w:val="14"/>
              </w:rPr>
              <w:t>-</w:t>
            </w:r>
          </w:p>
        </w:tc>
        <w:tc>
          <w:tcPr>
            <w:tcW w:w="712" w:type="dxa"/>
            <w:tcBorders>
              <w:top w:val="single" w:sz="4" w:space="0" w:color="000000"/>
              <w:bottom w:val="single" w:sz="4" w:space="0" w:color="000000"/>
            </w:tcBorders>
          </w:tcPr>
          <w:p>
            <w:pPr>
              <w:pStyle w:val="TableParagraph"/>
              <w:spacing w:before="28"/>
              <w:ind w:right="172"/>
              <w:rPr>
                <w:sz w:val="14"/>
              </w:rPr>
            </w:pPr>
            <w:r>
              <w:rPr>
                <w:w w:val="99"/>
                <w:sz w:val="14"/>
              </w:rPr>
              <w:t>-</w:t>
            </w:r>
          </w:p>
        </w:tc>
        <w:tc>
          <w:tcPr>
            <w:tcW w:w="487" w:type="dxa"/>
            <w:tcBorders>
              <w:top w:val="single" w:sz="4" w:space="0" w:color="000000"/>
              <w:bottom w:val="single" w:sz="4" w:space="0" w:color="000000"/>
            </w:tcBorders>
          </w:tcPr>
          <w:p>
            <w:pPr>
              <w:pStyle w:val="TableParagraph"/>
              <w:spacing w:before="28"/>
              <w:ind w:right="63"/>
              <w:rPr>
                <w:sz w:val="14"/>
              </w:rPr>
            </w:pPr>
            <w:r>
              <w:rPr>
                <w:w w:val="99"/>
                <w:sz w:val="14"/>
              </w:rPr>
              <w:t>-</w:t>
            </w:r>
          </w:p>
        </w:tc>
        <w:tc>
          <w:tcPr>
            <w:tcW w:w="793" w:type="dxa"/>
            <w:tcBorders>
              <w:top w:val="single" w:sz="4" w:space="0" w:color="000000"/>
              <w:bottom w:val="single" w:sz="4" w:space="0" w:color="000000"/>
            </w:tcBorders>
          </w:tcPr>
          <w:p>
            <w:pPr>
              <w:pStyle w:val="TableParagraph"/>
              <w:spacing w:before="28"/>
              <w:ind w:right="121"/>
              <w:rPr>
                <w:i/>
                <w:sz w:val="14"/>
              </w:rPr>
            </w:pPr>
            <w:r>
              <w:rPr>
                <w:i/>
                <w:w w:val="99"/>
                <w:sz w:val="14"/>
              </w:rPr>
              <w:t>-</w:t>
            </w:r>
          </w:p>
        </w:tc>
        <w:tc>
          <w:tcPr>
            <w:tcW w:w="566" w:type="dxa"/>
            <w:tcBorders>
              <w:top w:val="single" w:sz="4" w:space="0" w:color="000000"/>
              <w:bottom w:val="single" w:sz="4" w:space="0" w:color="000000"/>
            </w:tcBorders>
          </w:tcPr>
          <w:p>
            <w:pPr>
              <w:pStyle w:val="TableParagraph"/>
              <w:spacing w:before="28"/>
              <w:ind w:right="92"/>
              <w:rPr>
                <w:sz w:val="14"/>
              </w:rPr>
            </w:pPr>
            <w:r>
              <w:rPr>
                <w:w w:val="99"/>
                <w:sz w:val="14"/>
              </w:rPr>
              <w:t>-</w:t>
            </w:r>
          </w:p>
        </w:tc>
        <w:tc>
          <w:tcPr>
            <w:tcW w:w="578" w:type="dxa"/>
            <w:tcBorders>
              <w:top w:val="single" w:sz="4" w:space="0" w:color="000000"/>
              <w:bottom w:val="single" w:sz="4" w:space="0" w:color="000000"/>
            </w:tcBorders>
          </w:tcPr>
          <w:p>
            <w:pPr>
              <w:pStyle w:val="TableParagraph"/>
              <w:spacing w:before="28"/>
              <w:ind w:right="79"/>
              <w:rPr>
                <w:sz w:val="14"/>
              </w:rPr>
            </w:pPr>
            <w:r>
              <w:rPr>
                <w:w w:val="99"/>
                <w:sz w:val="14"/>
              </w:rPr>
              <w:t>-</w:t>
            </w:r>
          </w:p>
        </w:tc>
        <w:tc>
          <w:tcPr>
            <w:tcW w:w="561" w:type="dxa"/>
            <w:tcBorders>
              <w:top w:val="single" w:sz="4" w:space="0" w:color="000000"/>
              <w:bottom w:val="single" w:sz="4" w:space="0" w:color="000000"/>
            </w:tcBorders>
          </w:tcPr>
          <w:p>
            <w:pPr>
              <w:pStyle w:val="TableParagraph"/>
              <w:spacing w:before="28"/>
              <w:ind w:right="50"/>
              <w:rPr>
                <w:sz w:val="14"/>
              </w:rPr>
            </w:pPr>
            <w:r>
              <w:rPr>
                <w:w w:val="99"/>
                <w:sz w:val="14"/>
              </w:rPr>
              <w:t>-</w:t>
            </w:r>
          </w:p>
        </w:tc>
        <w:tc>
          <w:tcPr>
            <w:tcW w:w="810" w:type="dxa"/>
            <w:tcBorders>
              <w:top w:val="single" w:sz="4" w:space="0" w:color="000000"/>
              <w:bottom w:val="single" w:sz="4" w:space="0" w:color="000000"/>
            </w:tcBorders>
          </w:tcPr>
          <w:p>
            <w:pPr>
              <w:pStyle w:val="TableParagraph"/>
              <w:spacing w:before="28"/>
              <w:ind w:right="120"/>
              <w:rPr>
                <w:i/>
                <w:sz w:val="14"/>
              </w:rPr>
            </w:pPr>
            <w:r>
              <w:rPr>
                <w:i/>
                <w:w w:val="99"/>
                <w:sz w:val="14"/>
              </w:rPr>
              <w:t>-</w:t>
            </w:r>
          </w:p>
        </w:tc>
        <w:tc>
          <w:tcPr>
            <w:tcW w:w="521" w:type="dxa"/>
            <w:tcBorders>
              <w:top w:val="single" w:sz="4" w:space="0" w:color="000000"/>
              <w:bottom w:val="single" w:sz="4" w:space="0" w:color="000000"/>
            </w:tcBorders>
          </w:tcPr>
          <w:p>
            <w:pPr>
              <w:pStyle w:val="TableParagraph"/>
              <w:spacing w:before="28"/>
              <w:ind w:right="41"/>
              <w:rPr>
                <w:b/>
                <w:sz w:val="14"/>
              </w:rPr>
            </w:pPr>
            <w:r>
              <w:rPr>
                <w:b/>
                <w:w w:val="99"/>
                <w:sz w:val="14"/>
              </w:rPr>
              <w:t>-</w:t>
            </w:r>
          </w:p>
        </w:tc>
      </w:tr>
      <w:tr>
        <w:trPr>
          <w:trHeight w:val="230" w:hRule="atLeast"/>
        </w:trPr>
        <w:tc>
          <w:tcPr>
            <w:tcW w:w="1186" w:type="dxa"/>
            <w:tcBorders>
              <w:top w:val="single" w:sz="4" w:space="0" w:color="000000"/>
              <w:bottom w:val="single" w:sz="4" w:space="0" w:color="000000"/>
            </w:tcBorders>
          </w:tcPr>
          <w:p>
            <w:pPr>
              <w:pStyle w:val="TableParagraph"/>
              <w:spacing w:before="28"/>
              <w:ind w:left="67"/>
              <w:jc w:val="left"/>
              <w:rPr>
                <w:sz w:val="14"/>
              </w:rPr>
            </w:pPr>
            <w:r>
              <w:rPr>
                <w:spacing w:val="-2"/>
                <w:sz w:val="14"/>
              </w:rPr>
              <w:t>Returned</w:t>
            </w:r>
          </w:p>
        </w:tc>
        <w:tc>
          <w:tcPr>
            <w:tcW w:w="678" w:type="dxa"/>
            <w:tcBorders>
              <w:top w:val="single" w:sz="4" w:space="0" w:color="000000"/>
              <w:bottom w:val="single" w:sz="4" w:space="0" w:color="000000"/>
            </w:tcBorders>
          </w:tcPr>
          <w:p>
            <w:pPr>
              <w:pStyle w:val="TableParagraph"/>
              <w:spacing w:before="28"/>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8"/>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8"/>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8"/>
              <w:ind w:right="191"/>
              <w:rPr>
                <w:sz w:val="14"/>
              </w:rPr>
            </w:pPr>
            <w:r>
              <w:rPr>
                <w:w w:val="99"/>
                <w:sz w:val="14"/>
              </w:rPr>
              <w:t>-</w:t>
            </w:r>
          </w:p>
        </w:tc>
        <w:tc>
          <w:tcPr>
            <w:tcW w:w="557" w:type="dxa"/>
            <w:tcBorders>
              <w:top w:val="single" w:sz="4" w:space="0" w:color="000000"/>
              <w:bottom w:val="single" w:sz="4" w:space="0" w:color="000000"/>
            </w:tcBorders>
          </w:tcPr>
          <w:p>
            <w:pPr>
              <w:pStyle w:val="TableParagraph"/>
              <w:spacing w:before="28"/>
              <w:ind w:right="166"/>
              <w:rPr>
                <w:sz w:val="14"/>
              </w:rPr>
            </w:pPr>
            <w:r>
              <w:rPr>
                <w:w w:val="99"/>
                <w:sz w:val="14"/>
              </w:rPr>
              <w:t>-</w:t>
            </w:r>
          </w:p>
        </w:tc>
        <w:tc>
          <w:tcPr>
            <w:tcW w:w="546" w:type="dxa"/>
            <w:tcBorders>
              <w:top w:val="single" w:sz="4" w:space="0" w:color="000000"/>
              <w:bottom w:val="single" w:sz="4" w:space="0" w:color="000000"/>
            </w:tcBorders>
          </w:tcPr>
          <w:p>
            <w:pPr>
              <w:pStyle w:val="TableParagraph"/>
              <w:spacing w:before="28"/>
              <w:ind w:right="127"/>
              <w:rPr>
                <w:sz w:val="14"/>
              </w:rPr>
            </w:pPr>
            <w:r>
              <w:rPr>
                <w:w w:val="99"/>
                <w:sz w:val="14"/>
              </w:rPr>
              <w:t>-</w:t>
            </w:r>
          </w:p>
        </w:tc>
        <w:tc>
          <w:tcPr>
            <w:tcW w:w="668" w:type="dxa"/>
            <w:tcBorders>
              <w:top w:val="single" w:sz="4" w:space="0" w:color="000000"/>
              <w:bottom w:val="single" w:sz="4" w:space="0" w:color="000000"/>
            </w:tcBorders>
          </w:tcPr>
          <w:p>
            <w:pPr>
              <w:pStyle w:val="TableParagraph"/>
              <w:spacing w:before="28"/>
              <w:ind w:right="199"/>
              <w:rPr>
                <w:sz w:val="14"/>
              </w:rPr>
            </w:pPr>
            <w:r>
              <w:rPr>
                <w:w w:val="99"/>
                <w:sz w:val="14"/>
              </w:rPr>
              <w:t>-</w:t>
            </w:r>
          </w:p>
        </w:tc>
        <w:tc>
          <w:tcPr>
            <w:tcW w:w="712" w:type="dxa"/>
            <w:tcBorders>
              <w:top w:val="single" w:sz="4" w:space="0" w:color="000000"/>
              <w:bottom w:val="single" w:sz="4" w:space="0" w:color="000000"/>
            </w:tcBorders>
          </w:tcPr>
          <w:p>
            <w:pPr>
              <w:pStyle w:val="TableParagraph"/>
              <w:spacing w:before="28"/>
              <w:ind w:right="172"/>
              <w:rPr>
                <w:sz w:val="14"/>
              </w:rPr>
            </w:pPr>
            <w:r>
              <w:rPr>
                <w:w w:val="99"/>
                <w:sz w:val="14"/>
              </w:rPr>
              <w:t>-</w:t>
            </w:r>
          </w:p>
        </w:tc>
        <w:tc>
          <w:tcPr>
            <w:tcW w:w="487" w:type="dxa"/>
            <w:tcBorders>
              <w:top w:val="single" w:sz="4" w:space="0" w:color="000000"/>
              <w:bottom w:val="single" w:sz="4" w:space="0" w:color="000000"/>
            </w:tcBorders>
          </w:tcPr>
          <w:p>
            <w:pPr>
              <w:pStyle w:val="TableParagraph"/>
              <w:spacing w:before="28"/>
              <w:ind w:right="63"/>
              <w:rPr>
                <w:sz w:val="14"/>
              </w:rPr>
            </w:pPr>
            <w:r>
              <w:rPr>
                <w:w w:val="99"/>
                <w:sz w:val="14"/>
              </w:rPr>
              <w:t>-</w:t>
            </w:r>
          </w:p>
        </w:tc>
        <w:tc>
          <w:tcPr>
            <w:tcW w:w="793" w:type="dxa"/>
            <w:tcBorders>
              <w:top w:val="single" w:sz="4" w:space="0" w:color="000000"/>
              <w:bottom w:val="single" w:sz="4" w:space="0" w:color="000000"/>
            </w:tcBorders>
          </w:tcPr>
          <w:p>
            <w:pPr>
              <w:pStyle w:val="TableParagraph"/>
              <w:spacing w:before="28"/>
              <w:ind w:right="121"/>
              <w:rPr>
                <w:i/>
                <w:sz w:val="14"/>
              </w:rPr>
            </w:pPr>
            <w:r>
              <w:rPr>
                <w:i/>
                <w:w w:val="99"/>
                <w:sz w:val="14"/>
              </w:rPr>
              <w:t>-</w:t>
            </w:r>
          </w:p>
        </w:tc>
        <w:tc>
          <w:tcPr>
            <w:tcW w:w="566" w:type="dxa"/>
            <w:tcBorders>
              <w:top w:val="single" w:sz="4" w:space="0" w:color="000000"/>
              <w:bottom w:val="single" w:sz="4" w:space="0" w:color="000000"/>
            </w:tcBorders>
          </w:tcPr>
          <w:p>
            <w:pPr>
              <w:pStyle w:val="TableParagraph"/>
              <w:spacing w:before="28"/>
              <w:ind w:right="92"/>
              <w:rPr>
                <w:sz w:val="14"/>
              </w:rPr>
            </w:pPr>
            <w:r>
              <w:rPr>
                <w:w w:val="99"/>
                <w:sz w:val="14"/>
              </w:rPr>
              <w:t>-</w:t>
            </w:r>
          </w:p>
        </w:tc>
        <w:tc>
          <w:tcPr>
            <w:tcW w:w="578" w:type="dxa"/>
            <w:tcBorders>
              <w:top w:val="single" w:sz="4" w:space="0" w:color="000000"/>
              <w:bottom w:val="single" w:sz="4" w:space="0" w:color="000000"/>
            </w:tcBorders>
          </w:tcPr>
          <w:p>
            <w:pPr>
              <w:pStyle w:val="TableParagraph"/>
              <w:spacing w:before="28"/>
              <w:ind w:right="79"/>
              <w:rPr>
                <w:sz w:val="14"/>
              </w:rPr>
            </w:pPr>
            <w:r>
              <w:rPr>
                <w:w w:val="99"/>
                <w:sz w:val="14"/>
              </w:rPr>
              <w:t>-</w:t>
            </w:r>
          </w:p>
        </w:tc>
        <w:tc>
          <w:tcPr>
            <w:tcW w:w="561" w:type="dxa"/>
            <w:tcBorders>
              <w:top w:val="single" w:sz="4" w:space="0" w:color="000000"/>
              <w:bottom w:val="single" w:sz="4" w:space="0" w:color="000000"/>
            </w:tcBorders>
          </w:tcPr>
          <w:p>
            <w:pPr>
              <w:pStyle w:val="TableParagraph"/>
              <w:spacing w:before="28"/>
              <w:ind w:right="50"/>
              <w:rPr>
                <w:sz w:val="14"/>
              </w:rPr>
            </w:pPr>
            <w:r>
              <w:rPr>
                <w:w w:val="99"/>
                <w:sz w:val="14"/>
              </w:rPr>
              <w:t>-</w:t>
            </w:r>
          </w:p>
        </w:tc>
        <w:tc>
          <w:tcPr>
            <w:tcW w:w="810" w:type="dxa"/>
            <w:tcBorders>
              <w:top w:val="single" w:sz="4" w:space="0" w:color="000000"/>
              <w:bottom w:val="single" w:sz="4" w:space="0" w:color="000000"/>
            </w:tcBorders>
          </w:tcPr>
          <w:p>
            <w:pPr>
              <w:pStyle w:val="TableParagraph"/>
              <w:spacing w:before="28"/>
              <w:ind w:right="120"/>
              <w:rPr>
                <w:i/>
                <w:sz w:val="14"/>
              </w:rPr>
            </w:pPr>
            <w:r>
              <w:rPr>
                <w:i/>
                <w:w w:val="99"/>
                <w:sz w:val="14"/>
              </w:rPr>
              <w:t>-</w:t>
            </w:r>
          </w:p>
        </w:tc>
        <w:tc>
          <w:tcPr>
            <w:tcW w:w="521" w:type="dxa"/>
            <w:tcBorders>
              <w:top w:val="single" w:sz="4" w:space="0" w:color="000000"/>
              <w:bottom w:val="single" w:sz="4" w:space="0" w:color="000000"/>
            </w:tcBorders>
          </w:tcPr>
          <w:p>
            <w:pPr>
              <w:pStyle w:val="TableParagraph"/>
              <w:spacing w:before="28"/>
              <w:ind w:right="41"/>
              <w:rPr>
                <w:b/>
                <w:sz w:val="14"/>
              </w:rPr>
            </w:pPr>
            <w:r>
              <w:rPr>
                <w:b/>
                <w:w w:val="99"/>
                <w:sz w:val="14"/>
              </w:rPr>
              <w:t>-</w:t>
            </w:r>
          </w:p>
        </w:tc>
      </w:tr>
      <w:tr>
        <w:trPr>
          <w:trHeight w:val="224" w:hRule="atLeast"/>
        </w:trPr>
        <w:tc>
          <w:tcPr>
            <w:tcW w:w="1186" w:type="dxa"/>
            <w:tcBorders>
              <w:top w:val="single" w:sz="4" w:space="0" w:color="000000"/>
              <w:bottom w:val="single" w:sz="12" w:space="0" w:color="000000"/>
            </w:tcBorders>
          </w:tcPr>
          <w:p>
            <w:pPr>
              <w:pStyle w:val="TableParagraph"/>
              <w:spacing w:before="23"/>
              <w:ind w:left="67"/>
              <w:jc w:val="left"/>
              <w:rPr>
                <w:b/>
                <w:sz w:val="14"/>
              </w:rPr>
            </w:pPr>
            <w:r>
              <w:rPr>
                <w:b/>
                <w:sz w:val="14"/>
              </w:rPr>
              <w:t>Proposed</w:t>
            </w:r>
            <w:r>
              <w:rPr>
                <w:b/>
                <w:spacing w:val="-6"/>
                <w:sz w:val="14"/>
              </w:rPr>
              <w:t> </w:t>
            </w:r>
            <w:r>
              <w:rPr>
                <w:b/>
                <w:spacing w:val="-4"/>
                <w:sz w:val="14"/>
              </w:rPr>
              <w:t>2023</w:t>
            </w:r>
          </w:p>
        </w:tc>
        <w:tc>
          <w:tcPr>
            <w:tcW w:w="678" w:type="dxa"/>
            <w:tcBorders>
              <w:top w:val="single" w:sz="4" w:space="0" w:color="000000"/>
              <w:bottom w:val="single" w:sz="12" w:space="0" w:color="000000"/>
            </w:tcBorders>
          </w:tcPr>
          <w:p>
            <w:pPr>
              <w:pStyle w:val="TableParagraph"/>
              <w:spacing w:before="23"/>
              <w:ind w:right="154"/>
              <w:rPr>
                <w:b/>
                <w:sz w:val="14"/>
              </w:rPr>
            </w:pPr>
            <w:r>
              <w:rPr>
                <w:b/>
                <w:w w:val="99"/>
                <w:sz w:val="14"/>
              </w:rPr>
              <w:t>-</w:t>
            </w:r>
          </w:p>
        </w:tc>
        <w:tc>
          <w:tcPr>
            <w:tcW w:w="607" w:type="dxa"/>
            <w:tcBorders>
              <w:top w:val="single" w:sz="4" w:space="0" w:color="000000"/>
              <w:bottom w:val="single" w:sz="12" w:space="0" w:color="000000"/>
            </w:tcBorders>
          </w:tcPr>
          <w:p>
            <w:pPr>
              <w:pStyle w:val="TableParagraph"/>
              <w:spacing w:before="23"/>
              <w:ind w:right="170"/>
              <w:rPr>
                <w:b/>
                <w:sz w:val="14"/>
              </w:rPr>
            </w:pPr>
            <w:r>
              <w:rPr>
                <w:b/>
                <w:w w:val="99"/>
                <w:sz w:val="14"/>
              </w:rPr>
              <w:t>-</w:t>
            </w:r>
          </w:p>
        </w:tc>
        <w:tc>
          <w:tcPr>
            <w:tcW w:w="563" w:type="dxa"/>
            <w:tcBorders>
              <w:top w:val="single" w:sz="4" w:space="0" w:color="000000"/>
              <w:bottom w:val="single" w:sz="12" w:space="0" w:color="000000"/>
            </w:tcBorders>
          </w:tcPr>
          <w:p>
            <w:pPr>
              <w:pStyle w:val="TableParagraph"/>
              <w:spacing w:before="23"/>
              <w:ind w:right="171"/>
              <w:rPr>
                <w:b/>
                <w:sz w:val="14"/>
              </w:rPr>
            </w:pPr>
            <w:r>
              <w:rPr>
                <w:b/>
                <w:w w:val="99"/>
                <w:sz w:val="14"/>
              </w:rPr>
              <w:t>-</w:t>
            </w:r>
          </w:p>
        </w:tc>
        <w:tc>
          <w:tcPr>
            <w:tcW w:w="581" w:type="dxa"/>
            <w:tcBorders>
              <w:top w:val="single" w:sz="4" w:space="0" w:color="000000"/>
              <w:bottom w:val="single" w:sz="12" w:space="0" w:color="000000"/>
            </w:tcBorders>
          </w:tcPr>
          <w:p>
            <w:pPr>
              <w:pStyle w:val="TableParagraph"/>
              <w:spacing w:before="23"/>
              <w:ind w:right="192"/>
              <w:rPr>
                <w:b/>
                <w:sz w:val="14"/>
              </w:rPr>
            </w:pPr>
            <w:r>
              <w:rPr>
                <w:b/>
                <w:w w:val="99"/>
                <w:sz w:val="14"/>
              </w:rPr>
              <w:t>1</w:t>
            </w:r>
          </w:p>
        </w:tc>
        <w:tc>
          <w:tcPr>
            <w:tcW w:w="557" w:type="dxa"/>
            <w:tcBorders>
              <w:top w:val="single" w:sz="4" w:space="0" w:color="000000"/>
              <w:bottom w:val="single" w:sz="12" w:space="0" w:color="000000"/>
            </w:tcBorders>
          </w:tcPr>
          <w:p>
            <w:pPr>
              <w:pStyle w:val="TableParagraph"/>
              <w:spacing w:before="23"/>
              <w:ind w:right="167"/>
              <w:rPr>
                <w:b/>
                <w:sz w:val="14"/>
              </w:rPr>
            </w:pPr>
            <w:r>
              <w:rPr>
                <w:b/>
                <w:w w:val="99"/>
                <w:sz w:val="14"/>
              </w:rPr>
              <w:t>3</w:t>
            </w:r>
          </w:p>
        </w:tc>
        <w:tc>
          <w:tcPr>
            <w:tcW w:w="546" w:type="dxa"/>
            <w:tcBorders>
              <w:top w:val="single" w:sz="4" w:space="0" w:color="000000"/>
              <w:bottom w:val="single" w:sz="12" w:space="0" w:color="000000"/>
            </w:tcBorders>
          </w:tcPr>
          <w:p>
            <w:pPr>
              <w:pStyle w:val="TableParagraph"/>
              <w:spacing w:before="23"/>
              <w:ind w:right="128"/>
              <w:rPr>
                <w:b/>
                <w:sz w:val="14"/>
              </w:rPr>
            </w:pPr>
            <w:r>
              <w:rPr>
                <w:b/>
                <w:w w:val="99"/>
                <w:sz w:val="14"/>
              </w:rPr>
              <w:t>7</w:t>
            </w:r>
          </w:p>
        </w:tc>
        <w:tc>
          <w:tcPr>
            <w:tcW w:w="668" w:type="dxa"/>
            <w:tcBorders>
              <w:top w:val="single" w:sz="4" w:space="0" w:color="000000"/>
              <w:bottom w:val="single" w:sz="12" w:space="0" w:color="000000"/>
            </w:tcBorders>
          </w:tcPr>
          <w:p>
            <w:pPr>
              <w:pStyle w:val="TableParagraph"/>
              <w:spacing w:before="23"/>
              <w:ind w:right="193"/>
              <w:rPr>
                <w:b/>
                <w:sz w:val="14"/>
              </w:rPr>
            </w:pPr>
            <w:r>
              <w:rPr>
                <w:b/>
                <w:spacing w:val="-5"/>
                <w:sz w:val="14"/>
              </w:rPr>
              <w:t>25</w:t>
            </w:r>
          </w:p>
        </w:tc>
        <w:tc>
          <w:tcPr>
            <w:tcW w:w="712" w:type="dxa"/>
            <w:tcBorders>
              <w:top w:val="single" w:sz="4" w:space="0" w:color="000000"/>
              <w:bottom w:val="single" w:sz="12" w:space="0" w:color="000000"/>
            </w:tcBorders>
          </w:tcPr>
          <w:p>
            <w:pPr>
              <w:pStyle w:val="TableParagraph"/>
              <w:spacing w:before="23"/>
              <w:ind w:right="165"/>
              <w:rPr>
                <w:b/>
                <w:sz w:val="14"/>
              </w:rPr>
            </w:pPr>
            <w:r>
              <w:rPr>
                <w:b/>
                <w:spacing w:val="-5"/>
                <w:sz w:val="14"/>
              </w:rPr>
              <w:t>20</w:t>
            </w:r>
          </w:p>
        </w:tc>
        <w:tc>
          <w:tcPr>
            <w:tcW w:w="487" w:type="dxa"/>
            <w:tcBorders>
              <w:top w:val="single" w:sz="4" w:space="0" w:color="000000"/>
              <w:bottom w:val="single" w:sz="12" w:space="0" w:color="000000"/>
            </w:tcBorders>
          </w:tcPr>
          <w:p>
            <w:pPr>
              <w:pStyle w:val="TableParagraph"/>
              <w:spacing w:before="23"/>
              <w:ind w:right="64"/>
              <w:rPr>
                <w:b/>
                <w:sz w:val="14"/>
              </w:rPr>
            </w:pPr>
            <w:r>
              <w:rPr>
                <w:b/>
                <w:w w:val="99"/>
                <w:sz w:val="14"/>
              </w:rPr>
              <w:t>4</w:t>
            </w:r>
          </w:p>
        </w:tc>
        <w:tc>
          <w:tcPr>
            <w:tcW w:w="793" w:type="dxa"/>
            <w:tcBorders>
              <w:top w:val="single" w:sz="4" w:space="0" w:color="000000"/>
              <w:bottom w:val="single" w:sz="12" w:space="0" w:color="000000"/>
            </w:tcBorders>
          </w:tcPr>
          <w:p>
            <w:pPr>
              <w:pStyle w:val="TableParagraph"/>
              <w:spacing w:before="23"/>
              <w:ind w:right="115"/>
              <w:rPr>
                <w:b/>
                <w:i/>
                <w:sz w:val="14"/>
              </w:rPr>
            </w:pPr>
            <w:r>
              <w:rPr>
                <w:b/>
                <w:i/>
                <w:spacing w:val="-5"/>
                <w:sz w:val="14"/>
              </w:rPr>
              <w:t>60</w:t>
            </w:r>
          </w:p>
        </w:tc>
        <w:tc>
          <w:tcPr>
            <w:tcW w:w="566" w:type="dxa"/>
            <w:tcBorders>
              <w:top w:val="single" w:sz="4" w:space="0" w:color="000000"/>
              <w:bottom w:val="single" w:sz="12" w:space="0" w:color="000000"/>
            </w:tcBorders>
          </w:tcPr>
          <w:p>
            <w:pPr>
              <w:pStyle w:val="TableParagraph"/>
              <w:spacing w:before="23"/>
              <w:ind w:right="92"/>
              <w:rPr>
                <w:b/>
                <w:sz w:val="14"/>
              </w:rPr>
            </w:pPr>
            <w:r>
              <w:rPr>
                <w:b/>
                <w:w w:val="99"/>
                <w:sz w:val="14"/>
              </w:rPr>
              <w:t>-</w:t>
            </w:r>
          </w:p>
        </w:tc>
        <w:tc>
          <w:tcPr>
            <w:tcW w:w="578" w:type="dxa"/>
            <w:tcBorders>
              <w:top w:val="single" w:sz="4" w:space="0" w:color="000000"/>
              <w:bottom w:val="single" w:sz="12" w:space="0" w:color="000000"/>
            </w:tcBorders>
          </w:tcPr>
          <w:p>
            <w:pPr>
              <w:pStyle w:val="TableParagraph"/>
              <w:spacing w:before="23"/>
              <w:ind w:right="79"/>
              <w:rPr>
                <w:b/>
                <w:sz w:val="14"/>
              </w:rPr>
            </w:pPr>
            <w:r>
              <w:rPr>
                <w:b/>
                <w:w w:val="99"/>
                <w:sz w:val="14"/>
              </w:rPr>
              <w:t>-</w:t>
            </w:r>
          </w:p>
        </w:tc>
        <w:tc>
          <w:tcPr>
            <w:tcW w:w="561" w:type="dxa"/>
            <w:tcBorders>
              <w:top w:val="single" w:sz="4" w:space="0" w:color="000000"/>
              <w:bottom w:val="single" w:sz="12" w:space="0" w:color="000000"/>
            </w:tcBorders>
          </w:tcPr>
          <w:p>
            <w:pPr>
              <w:pStyle w:val="TableParagraph"/>
              <w:spacing w:before="23"/>
              <w:ind w:right="44"/>
              <w:rPr>
                <w:b/>
                <w:sz w:val="14"/>
              </w:rPr>
            </w:pPr>
            <w:r>
              <w:rPr>
                <w:b/>
                <w:spacing w:val="-5"/>
                <w:sz w:val="14"/>
              </w:rPr>
              <w:t>65</w:t>
            </w:r>
          </w:p>
        </w:tc>
        <w:tc>
          <w:tcPr>
            <w:tcW w:w="810" w:type="dxa"/>
            <w:tcBorders>
              <w:top w:val="single" w:sz="4" w:space="0" w:color="000000"/>
              <w:bottom w:val="single" w:sz="12" w:space="0" w:color="000000"/>
            </w:tcBorders>
          </w:tcPr>
          <w:p>
            <w:pPr>
              <w:pStyle w:val="TableParagraph"/>
              <w:spacing w:before="23"/>
              <w:ind w:right="114"/>
              <w:rPr>
                <w:b/>
                <w:i/>
                <w:sz w:val="14"/>
              </w:rPr>
            </w:pPr>
            <w:r>
              <w:rPr>
                <w:b/>
                <w:i/>
                <w:spacing w:val="-5"/>
                <w:sz w:val="14"/>
              </w:rPr>
              <w:t>65</w:t>
            </w:r>
          </w:p>
        </w:tc>
        <w:tc>
          <w:tcPr>
            <w:tcW w:w="521" w:type="dxa"/>
            <w:tcBorders>
              <w:top w:val="single" w:sz="4" w:space="0" w:color="000000"/>
              <w:bottom w:val="single" w:sz="12" w:space="0" w:color="000000"/>
            </w:tcBorders>
          </w:tcPr>
          <w:p>
            <w:pPr>
              <w:pStyle w:val="TableParagraph"/>
              <w:spacing w:before="23"/>
              <w:ind w:right="35"/>
              <w:rPr>
                <w:b/>
                <w:sz w:val="14"/>
              </w:rPr>
            </w:pPr>
            <w:r>
              <w:rPr>
                <w:b/>
                <w:spacing w:val="-5"/>
                <w:sz w:val="14"/>
              </w:rPr>
              <w:t>125</w:t>
            </w:r>
          </w:p>
        </w:tc>
      </w:tr>
      <w:tr>
        <w:trPr>
          <w:trHeight w:val="571" w:hRule="atLeast"/>
        </w:trPr>
        <w:tc>
          <w:tcPr>
            <w:tcW w:w="1186" w:type="dxa"/>
            <w:tcBorders>
              <w:top w:val="single" w:sz="12" w:space="0" w:color="000000"/>
            </w:tcBorders>
          </w:tcPr>
          <w:p>
            <w:pPr>
              <w:pStyle w:val="TableParagraph"/>
              <w:spacing w:before="1"/>
              <w:jc w:val="left"/>
              <w:rPr>
                <w:b/>
                <w:sz w:val="19"/>
              </w:rPr>
            </w:pPr>
          </w:p>
          <w:p>
            <w:pPr>
              <w:pStyle w:val="TableParagraph"/>
              <w:spacing w:line="242" w:lineRule="auto"/>
              <w:ind w:left="67" w:right="232"/>
              <w:jc w:val="left"/>
              <w:rPr>
                <w:b/>
                <w:sz w:val="14"/>
              </w:rPr>
            </w:pPr>
            <w:r>
              <w:rPr>
                <w:b/>
                <w:sz w:val="14"/>
              </w:rPr>
              <w:t>GTA</w:t>
            </w:r>
            <w:r>
              <w:rPr>
                <w:b/>
                <w:spacing w:val="-9"/>
                <w:sz w:val="14"/>
              </w:rPr>
              <w:t> </w:t>
            </w:r>
            <w:r>
              <w:rPr>
                <w:b/>
                <w:sz w:val="14"/>
              </w:rPr>
              <w:t>Positions</w:t>
            </w:r>
            <w:r>
              <w:rPr>
                <w:b/>
                <w:spacing w:val="40"/>
                <w:sz w:val="14"/>
              </w:rPr>
              <w:t> </w:t>
            </w:r>
            <w:r>
              <w:rPr>
                <w:b/>
                <w:spacing w:val="-2"/>
                <w:sz w:val="14"/>
              </w:rPr>
              <w:t>(FTE)</w:t>
            </w:r>
          </w:p>
        </w:tc>
        <w:tc>
          <w:tcPr>
            <w:tcW w:w="678" w:type="dxa"/>
            <w:tcBorders>
              <w:top w:val="single" w:sz="12" w:space="0" w:color="000000"/>
            </w:tcBorders>
          </w:tcPr>
          <w:p>
            <w:pPr>
              <w:pStyle w:val="TableParagraph"/>
              <w:jc w:val="left"/>
              <w:rPr>
                <w:sz w:val="14"/>
              </w:rPr>
            </w:pPr>
          </w:p>
        </w:tc>
        <w:tc>
          <w:tcPr>
            <w:tcW w:w="607" w:type="dxa"/>
            <w:tcBorders>
              <w:top w:val="single" w:sz="12" w:space="0" w:color="000000"/>
            </w:tcBorders>
          </w:tcPr>
          <w:p>
            <w:pPr>
              <w:pStyle w:val="TableParagraph"/>
              <w:jc w:val="left"/>
              <w:rPr>
                <w:sz w:val="14"/>
              </w:rPr>
            </w:pPr>
          </w:p>
        </w:tc>
        <w:tc>
          <w:tcPr>
            <w:tcW w:w="563" w:type="dxa"/>
            <w:tcBorders>
              <w:top w:val="single" w:sz="12" w:space="0" w:color="000000"/>
            </w:tcBorders>
          </w:tcPr>
          <w:p>
            <w:pPr>
              <w:pStyle w:val="TableParagraph"/>
              <w:jc w:val="left"/>
              <w:rPr>
                <w:sz w:val="14"/>
              </w:rPr>
            </w:pPr>
          </w:p>
        </w:tc>
        <w:tc>
          <w:tcPr>
            <w:tcW w:w="581" w:type="dxa"/>
            <w:tcBorders>
              <w:top w:val="single" w:sz="12" w:space="0" w:color="000000"/>
            </w:tcBorders>
          </w:tcPr>
          <w:p>
            <w:pPr>
              <w:pStyle w:val="TableParagraph"/>
              <w:jc w:val="left"/>
              <w:rPr>
                <w:sz w:val="14"/>
              </w:rPr>
            </w:pPr>
          </w:p>
        </w:tc>
        <w:tc>
          <w:tcPr>
            <w:tcW w:w="557" w:type="dxa"/>
            <w:tcBorders>
              <w:top w:val="single" w:sz="12" w:space="0" w:color="000000"/>
            </w:tcBorders>
          </w:tcPr>
          <w:p>
            <w:pPr>
              <w:pStyle w:val="TableParagraph"/>
              <w:jc w:val="left"/>
              <w:rPr>
                <w:sz w:val="14"/>
              </w:rPr>
            </w:pPr>
          </w:p>
        </w:tc>
        <w:tc>
          <w:tcPr>
            <w:tcW w:w="546" w:type="dxa"/>
            <w:tcBorders>
              <w:top w:val="single" w:sz="12" w:space="0" w:color="000000"/>
            </w:tcBorders>
          </w:tcPr>
          <w:p>
            <w:pPr>
              <w:pStyle w:val="TableParagraph"/>
              <w:jc w:val="left"/>
              <w:rPr>
                <w:sz w:val="14"/>
              </w:rPr>
            </w:pPr>
          </w:p>
        </w:tc>
        <w:tc>
          <w:tcPr>
            <w:tcW w:w="668" w:type="dxa"/>
            <w:tcBorders>
              <w:top w:val="single" w:sz="12" w:space="0" w:color="000000"/>
            </w:tcBorders>
          </w:tcPr>
          <w:p>
            <w:pPr>
              <w:pStyle w:val="TableParagraph"/>
              <w:jc w:val="left"/>
              <w:rPr>
                <w:sz w:val="14"/>
              </w:rPr>
            </w:pPr>
          </w:p>
        </w:tc>
        <w:tc>
          <w:tcPr>
            <w:tcW w:w="712" w:type="dxa"/>
            <w:tcBorders>
              <w:top w:val="single" w:sz="12" w:space="0" w:color="000000"/>
            </w:tcBorders>
          </w:tcPr>
          <w:p>
            <w:pPr>
              <w:pStyle w:val="TableParagraph"/>
              <w:jc w:val="left"/>
              <w:rPr>
                <w:sz w:val="14"/>
              </w:rPr>
            </w:pPr>
          </w:p>
        </w:tc>
        <w:tc>
          <w:tcPr>
            <w:tcW w:w="487" w:type="dxa"/>
            <w:tcBorders>
              <w:top w:val="single" w:sz="12" w:space="0" w:color="000000"/>
            </w:tcBorders>
          </w:tcPr>
          <w:p>
            <w:pPr>
              <w:pStyle w:val="TableParagraph"/>
              <w:jc w:val="left"/>
              <w:rPr>
                <w:sz w:val="14"/>
              </w:rPr>
            </w:pPr>
          </w:p>
        </w:tc>
        <w:tc>
          <w:tcPr>
            <w:tcW w:w="793" w:type="dxa"/>
            <w:tcBorders>
              <w:top w:val="single" w:sz="12" w:space="0" w:color="000000"/>
            </w:tcBorders>
          </w:tcPr>
          <w:p>
            <w:pPr>
              <w:pStyle w:val="TableParagraph"/>
              <w:jc w:val="left"/>
              <w:rPr>
                <w:sz w:val="14"/>
              </w:rPr>
            </w:pPr>
          </w:p>
        </w:tc>
        <w:tc>
          <w:tcPr>
            <w:tcW w:w="566" w:type="dxa"/>
            <w:tcBorders>
              <w:top w:val="single" w:sz="12" w:space="0" w:color="000000"/>
            </w:tcBorders>
          </w:tcPr>
          <w:p>
            <w:pPr>
              <w:pStyle w:val="TableParagraph"/>
              <w:jc w:val="left"/>
              <w:rPr>
                <w:sz w:val="14"/>
              </w:rPr>
            </w:pPr>
          </w:p>
        </w:tc>
        <w:tc>
          <w:tcPr>
            <w:tcW w:w="578" w:type="dxa"/>
            <w:tcBorders>
              <w:top w:val="single" w:sz="12" w:space="0" w:color="000000"/>
            </w:tcBorders>
          </w:tcPr>
          <w:p>
            <w:pPr>
              <w:pStyle w:val="TableParagraph"/>
              <w:jc w:val="left"/>
              <w:rPr>
                <w:sz w:val="14"/>
              </w:rPr>
            </w:pPr>
          </w:p>
        </w:tc>
        <w:tc>
          <w:tcPr>
            <w:tcW w:w="561" w:type="dxa"/>
            <w:tcBorders>
              <w:top w:val="single" w:sz="12" w:space="0" w:color="000000"/>
            </w:tcBorders>
          </w:tcPr>
          <w:p>
            <w:pPr>
              <w:pStyle w:val="TableParagraph"/>
              <w:jc w:val="left"/>
              <w:rPr>
                <w:sz w:val="14"/>
              </w:rPr>
            </w:pPr>
          </w:p>
        </w:tc>
        <w:tc>
          <w:tcPr>
            <w:tcW w:w="810" w:type="dxa"/>
            <w:tcBorders>
              <w:top w:val="single" w:sz="12" w:space="0" w:color="000000"/>
            </w:tcBorders>
          </w:tcPr>
          <w:p>
            <w:pPr>
              <w:pStyle w:val="TableParagraph"/>
              <w:jc w:val="left"/>
              <w:rPr>
                <w:sz w:val="14"/>
              </w:rPr>
            </w:pPr>
          </w:p>
        </w:tc>
        <w:tc>
          <w:tcPr>
            <w:tcW w:w="521" w:type="dxa"/>
            <w:tcBorders>
              <w:top w:val="single" w:sz="12" w:space="0" w:color="000000"/>
            </w:tcBorders>
          </w:tcPr>
          <w:p>
            <w:pPr>
              <w:pStyle w:val="TableParagraph"/>
              <w:jc w:val="left"/>
              <w:rPr>
                <w:sz w:val="14"/>
              </w:rPr>
            </w:pPr>
          </w:p>
        </w:tc>
      </w:tr>
      <w:tr>
        <w:trPr>
          <w:trHeight w:val="204" w:hRule="atLeast"/>
        </w:trPr>
        <w:tc>
          <w:tcPr>
            <w:tcW w:w="1186" w:type="dxa"/>
            <w:tcBorders>
              <w:bottom w:val="single" w:sz="12" w:space="0" w:color="000000"/>
            </w:tcBorders>
          </w:tcPr>
          <w:p>
            <w:pPr>
              <w:pStyle w:val="TableParagraph"/>
              <w:spacing w:before="3"/>
              <w:ind w:left="67"/>
              <w:jc w:val="left"/>
              <w:rPr>
                <w:sz w:val="14"/>
              </w:rPr>
            </w:pPr>
            <w:r>
              <w:rPr>
                <w:w w:val="95"/>
                <w:sz w:val="14"/>
              </w:rPr>
              <w:t>Approved</w:t>
            </w:r>
            <w:r>
              <w:rPr>
                <w:spacing w:val="22"/>
                <w:sz w:val="14"/>
              </w:rPr>
              <w:t> </w:t>
            </w:r>
            <w:r>
              <w:rPr>
                <w:spacing w:val="-4"/>
                <w:sz w:val="14"/>
              </w:rPr>
              <w:t>2022</w:t>
            </w:r>
          </w:p>
        </w:tc>
        <w:tc>
          <w:tcPr>
            <w:tcW w:w="678" w:type="dxa"/>
            <w:tcBorders>
              <w:bottom w:val="single" w:sz="12" w:space="0" w:color="000000"/>
            </w:tcBorders>
          </w:tcPr>
          <w:p>
            <w:pPr>
              <w:pStyle w:val="TableParagraph"/>
              <w:spacing w:before="3"/>
              <w:ind w:right="154"/>
              <w:rPr>
                <w:sz w:val="14"/>
              </w:rPr>
            </w:pPr>
            <w:r>
              <w:rPr>
                <w:w w:val="99"/>
                <w:sz w:val="14"/>
              </w:rPr>
              <w:t>-</w:t>
            </w:r>
          </w:p>
        </w:tc>
        <w:tc>
          <w:tcPr>
            <w:tcW w:w="607" w:type="dxa"/>
            <w:tcBorders>
              <w:bottom w:val="single" w:sz="12" w:space="0" w:color="000000"/>
            </w:tcBorders>
          </w:tcPr>
          <w:p>
            <w:pPr>
              <w:pStyle w:val="TableParagraph"/>
              <w:spacing w:before="3"/>
              <w:ind w:right="170"/>
              <w:rPr>
                <w:sz w:val="14"/>
              </w:rPr>
            </w:pPr>
            <w:r>
              <w:rPr>
                <w:w w:val="99"/>
                <w:sz w:val="14"/>
              </w:rPr>
              <w:t>-</w:t>
            </w:r>
          </w:p>
        </w:tc>
        <w:tc>
          <w:tcPr>
            <w:tcW w:w="563" w:type="dxa"/>
            <w:tcBorders>
              <w:bottom w:val="single" w:sz="12" w:space="0" w:color="000000"/>
            </w:tcBorders>
          </w:tcPr>
          <w:p>
            <w:pPr>
              <w:pStyle w:val="TableParagraph"/>
              <w:spacing w:before="3"/>
              <w:ind w:right="171"/>
              <w:rPr>
                <w:sz w:val="14"/>
              </w:rPr>
            </w:pPr>
            <w:r>
              <w:rPr>
                <w:w w:val="99"/>
                <w:sz w:val="14"/>
              </w:rPr>
              <w:t>-</w:t>
            </w:r>
          </w:p>
        </w:tc>
        <w:tc>
          <w:tcPr>
            <w:tcW w:w="581" w:type="dxa"/>
            <w:tcBorders>
              <w:bottom w:val="single" w:sz="12" w:space="0" w:color="000000"/>
            </w:tcBorders>
          </w:tcPr>
          <w:p>
            <w:pPr>
              <w:pStyle w:val="TableParagraph"/>
              <w:spacing w:before="3"/>
              <w:ind w:right="191"/>
              <w:rPr>
                <w:sz w:val="14"/>
              </w:rPr>
            </w:pPr>
            <w:r>
              <w:rPr>
                <w:w w:val="99"/>
                <w:sz w:val="14"/>
              </w:rPr>
              <w:t>-</w:t>
            </w:r>
          </w:p>
        </w:tc>
        <w:tc>
          <w:tcPr>
            <w:tcW w:w="557" w:type="dxa"/>
            <w:tcBorders>
              <w:bottom w:val="single" w:sz="12" w:space="0" w:color="000000"/>
            </w:tcBorders>
          </w:tcPr>
          <w:p>
            <w:pPr>
              <w:pStyle w:val="TableParagraph"/>
              <w:spacing w:before="3"/>
              <w:ind w:right="166"/>
              <w:rPr>
                <w:sz w:val="14"/>
              </w:rPr>
            </w:pPr>
            <w:r>
              <w:rPr>
                <w:w w:val="99"/>
                <w:sz w:val="14"/>
              </w:rPr>
              <w:t>-</w:t>
            </w:r>
          </w:p>
        </w:tc>
        <w:tc>
          <w:tcPr>
            <w:tcW w:w="546" w:type="dxa"/>
            <w:tcBorders>
              <w:bottom w:val="single" w:sz="12" w:space="0" w:color="000000"/>
            </w:tcBorders>
          </w:tcPr>
          <w:p>
            <w:pPr>
              <w:pStyle w:val="TableParagraph"/>
              <w:spacing w:before="3"/>
              <w:ind w:right="123"/>
              <w:rPr>
                <w:sz w:val="14"/>
              </w:rPr>
            </w:pPr>
            <w:r>
              <w:rPr>
                <w:spacing w:val="-4"/>
                <w:sz w:val="14"/>
              </w:rPr>
              <w:t>2.00</w:t>
            </w:r>
          </w:p>
        </w:tc>
        <w:tc>
          <w:tcPr>
            <w:tcW w:w="668" w:type="dxa"/>
            <w:tcBorders>
              <w:bottom w:val="single" w:sz="12" w:space="0" w:color="000000"/>
            </w:tcBorders>
          </w:tcPr>
          <w:p>
            <w:pPr>
              <w:pStyle w:val="TableParagraph"/>
              <w:spacing w:before="3"/>
              <w:ind w:right="196"/>
              <w:rPr>
                <w:sz w:val="14"/>
              </w:rPr>
            </w:pPr>
            <w:r>
              <w:rPr>
                <w:spacing w:val="-2"/>
                <w:sz w:val="14"/>
              </w:rPr>
              <w:t>12.00</w:t>
            </w:r>
          </w:p>
        </w:tc>
        <w:tc>
          <w:tcPr>
            <w:tcW w:w="712" w:type="dxa"/>
            <w:tcBorders>
              <w:bottom w:val="single" w:sz="12" w:space="0" w:color="000000"/>
            </w:tcBorders>
          </w:tcPr>
          <w:p>
            <w:pPr>
              <w:pStyle w:val="TableParagraph"/>
              <w:spacing w:before="3"/>
              <w:ind w:right="169"/>
              <w:rPr>
                <w:sz w:val="14"/>
              </w:rPr>
            </w:pPr>
            <w:r>
              <w:rPr>
                <w:spacing w:val="-2"/>
                <w:sz w:val="14"/>
              </w:rPr>
              <w:t>15.50</w:t>
            </w:r>
          </w:p>
        </w:tc>
        <w:tc>
          <w:tcPr>
            <w:tcW w:w="487" w:type="dxa"/>
            <w:tcBorders>
              <w:bottom w:val="single" w:sz="12" w:space="0" w:color="000000"/>
            </w:tcBorders>
          </w:tcPr>
          <w:p>
            <w:pPr>
              <w:pStyle w:val="TableParagraph"/>
              <w:spacing w:before="3"/>
              <w:ind w:left="-19" w:right="60"/>
              <w:rPr>
                <w:sz w:val="14"/>
              </w:rPr>
            </w:pPr>
            <w:r>
              <w:rPr>
                <w:spacing w:val="-4"/>
                <w:sz w:val="14"/>
              </w:rPr>
              <w:t>3.00</w:t>
            </w:r>
          </w:p>
        </w:tc>
        <w:tc>
          <w:tcPr>
            <w:tcW w:w="793" w:type="dxa"/>
            <w:tcBorders>
              <w:bottom w:val="single" w:sz="12" w:space="0" w:color="000000"/>
            </w:tcBorders>
          </w:tcPr>
          <w:p>
            <w:pPr>
              <w:pStyle w:val="TableParagraph"/>
              <w:spacing w:before="3"/>
              <w:ind w:right="119"/>
              <w:rPr>
                <w:i/>
                <w:sz w:val="14"/>
              </w:rPr>
            </w:pPr>
            <w:r>
              <w:rPr>
                <w:i/>
                <w:spacing w:val="-2"/>
                <w:sz w:val="14"/>
              </w:rPr>
              <w:t>32.50</w:t>
            </w:r>
          </w:p>
        </w:tc>
        <w:tc>
          <w:tcPr>
            <w:tcW w:w="566" w:type="dxa"/>
            <w:tcBorders>
              <w:bottom w:val="single" w:sz="12" w:space="0" w:color="000000"/>
            </w:tcBorders>
          </w:tcPr>
          <w:p>
            <w:pPr>
              <w:pStyle w:val="TableParagraph"/>
              <w:spacing w:before="3"/>
              <w:ind w:right="92"/>
              <w:rPr>
                <w:sz w:val="14"/>
              </w:rPr>
            </w:pPr>
            <w:r>
              <w:rPr>
                <w:w w:val="99"/>
                <w:sz w:val="14"/>
              </w:rPr>
              <w:t>-</w:t>
            </w:r>
          </w:p>
        </w:tc>
        <w:tc>
          <w:tcPr>
            <w:tcW w:w="578" w:type="dxa"/>
            <w:tcBorders>
              <w:bottom w:val="single" w:sz="12" w:space="0" w:color="000000"/>
            </w:tcBorders>
          </w:tcPr>
          <w:p>
            <w:pPr>
              <w:pStyle w:val="TableParagraph"/>
              <w:spacing w:before="3"/>
              <w:ind w:right="79"/>
              <w:rPr>
                <w:sz w:val="14"/>
              </w:rPr>
            </w:pPr>
            <w:r>
              <w:rPr>
                <w:w w:val="99"/>
                <w:sz w:val="14"/>
              </w:rPr>
              <w:t>-</w:t>
            </w:r>
          </w:p>
        </w:tc>
        <w:tc>
          <w:tcPr>
            <w:tcW w:w="561" w:type="dxa"/>
            <w:tcBorders>
              <w:bottom w:val="single" w:sz="12" w:space="0" w:color="000000"/>
            </w:tcBorders>
          </w:tcPr>
          <w:p>
            <w:pPr>
              <w:pStyle w:val="TableParagraph"/>
              <w:spacing w:before="3"/>
              <w:ind w:right="47"/>
              <w:rPr>
                <w:sz w:val="14"/>
              </w:rPr>
            </w:pPr>
            <w:r>
              <w:rPr>
                <w:spacing w:val="-2"/>
                <w:sz w:val="14"/>
              </w:rPr>
              <w:t>16.67</w:t>
            </w:r>
          </w:p>
        </w:tc>
        <w:tc>
          <w:tcPr>
            <w:tcW w:w="810" w:type="dxa"/>
            <w:tcBorders>
              <w:bottom w:val="single" w:sz="12" w:space="0" w:color="000000"/>
            </w:tcBorders>
          </w:tcPr>
          <w:p>
            <w:pPr>
              <w:pStyle w:val="TableParagraph"/>
              <w:spacing w:before="3"/>
              <w:ind w:right="117"/>
              <w:rPr>
                <w:i/>
                <w:sz w:val="14"/>
              </w:rPr>
            </w:pPr>
            <w:r>
              <w:rPr>
                <w:i/>
                <w:spacing w:val="-2"/>
                <w:sz w:val="14"/>
              </w:rPr>
              <w:t>16.67</w:t>
            </w:r>
          </w:p>
        </w:tc>
        <w:tc>
          <w:tcPr>
            <w:tcW w:w="521" w:type="dxa"/>
            <w:tcBorders>
              <w:bottom w:val="single" w:sz="12" w:space="0" w:color="000000"/>
            </w:tcBorders>
          </w:tcPr>
          <w:p>
            <w:pPr>
              <w:pStyle w:val="TableParagraph"/>
              <w:spacing w:before="3"/>
              <w:ind w:right="38"/>
              <w:rPr>
                <w:b/>
                <w:sz w:val="14"/>
              </w:rPr>
            </w:pPr>
            <w:r>
              <w:rPr>
                <w:b/>
                <w:spacing w:val="-2"/>
                <w:sz w:val="14"/>
              </w:rPr>
              <w:t>49.17</w:t>
            </w:r>
          </w:p>
        </w:tc>
      </w:tr>
      <w:tr>
        <w:trPr>
          <w:trHeight w:val="229" w:hRule="atLeast"/>
        </w:trPr>
        <w:tc>
          <w:tcPr>
            <w:tcW w:w="1186" w:type="dxa"/>
            <w:tcBorders>
              <w:top w:val="single" w:sz="12" w:space="0" w:color="000000"/>
              <w:bottom w:val="single" w:sz="4" w:space="0" w:color="000000"/>
            </w:tcBorders>
          </w:tcPr>
          <w:p>
            <w:pPr>
              <w:pStyle w:val="TableParagraph"/>
              <w:spacing w:before="28"/>
              <w:ind w:left="67"/>
              <w:jc w:val="left"/>
              <w:rPr>
                <w:sz w:val="14"/>
              </w:rPr>
            </w:pPr>
            <w:r>
              <w:rPr>
                <w:spacing w:val="-2"/>
                <w:sz w:val="14"/>
              </w:rPr>
              <w:t>Continued</w:t>
            </w:r>
          </w:p>
        </w:tc>
        <w:tc>
          <w:tcPr>
            <w:tcW w:w="678" w:type="dxa"/>
            <w:tcBorders>
              <w:top w:val="single" w:sz="12" w:space="0" w:color="000000"/>
              <w:bottom w:val="single" w:sz="4" w:space="0" w:color="000000"/>
            </w:tcBorders>
          </w:tcPr>
          <w:p>
            <w:pPr>
              <w:pStyle w:val="TableParagraph"/>
              <w:spacing w:before="28"/>
              <w:ind w:right="154"/>
              <w:rPr>
                <w:sz w:val="14"/>
              </w:rPr>
            </w:pPr>
            <w:r>
              <w:rPr>
                <w:w w:val="99"/>
                <w:sz w:val="14"/>
              </w:rPr>
              <w:t>-</w:t>
            </w:r>
          </w:p>
        </w:tc>
        <w:tc>
          <w:tcPr>
            <w:tcW w:w="607" w:type="dxa"/>
            <w:tcBorders>
              <w:top w:val="single" w:sz="12" w:space="0" w:color="000000"/>
              <w:bottom w:val="single" w:sz="4" w:space="0" w:color="000000"/>
            </w:tcBorders>
          </w:tcPr>
          <w:p>
            <w:pPr>
              <w:pStyle w:val="TableParagraph"/>
              <w:spacing w:before="28"/>
              <w:ind w:right="170"/>
              <w:rPr>
                <w:sz w:val="14"/>
              </w:rPr>
            </w:pPr>
            <w:r>
              <w:rPr>
                <w:w w:val="99"/>
                <w:sz w:val="14"/>
              </w:rPr>
              <w:t>-</w:t>
            </w:r>
          </w:p>
        </w:tc>
        <w:tc>
          <w:tcPr>
            <w:tcW w:w="563" w:type="dxa"/>
            <w:tcBorders>
              <w:top w:val="single" w:sz="12" w:space="0" w:color="000000"/>
              <w:bottom w:val="single" w:sz="4" w:space="0" w:color="000000"/>
            </w:tcBorders>
          </w:tcPr>
          <w:p>
            <w:pPr>
              <w:pStyle w:val="TableParagraph"/>
              <w:spacing w:before="28"/>
              <w:ind w:right="171"/>
              <w:rPr>
                <w:sz w:val="14"/>
              </w:rPr>
            </w:pPr>
            <w:r>
              <w:rPr>
                <w:w w:val="99"/>
                <w:sz w:val="14"/>
              </w:rPr>
              <w:t>-</w:t>
            </w:r>
          </w:p>
        </w:tc>
        <w:tc>
          <w:tcPr>
            <w:tcW w:w="581" w:type="dxa"/>
            <w:tcBorders>
              <w:top w:val="single" w:sz="12" w:space="0" w:color="000000"/>
              <w:bottom w:val="single" w:sz="4" w:space="0" w:color="000000"/>
            </w:tcBorders>
          </w:tcPr>
          <w:p>
            <w:pPr>
              <w:pStyle w:val="TableParagraph"/>
              <w:spacing w:before="28"/>
              <w:ind w:right="191"/>
              <w:rPr>
                <w:sz w:val="14"/>
              </w:rPr>
            </w:pPr>
            <w:r>
              <w:rPr>
                <w:w w:val="99"/>
                <w:sz w:val="14"/>
              </w:rPr>
              <w:t>-</w:t>
            </w:r>
          </w:p>
        </w:tc>
        <w:tc>
          <w:tcPr>
            <w:tcW w:w="557" w:type="dxa"/>
            <w:tcBorders>
              <w:top w:val="single" w:sz="12" w:space="0" w:color="000000"/>
              <w:bottom w:val="single" w:sz="4" w:space="0" w:color="000000"/>
            </w:tcBorders>
          </w:tcPr>
          <w:p>
            <w:pPr>
              <w:pStyle w:val="TableParagraph"/>
              <w:spacing w:before="28"/>
              <w:ind w:right="166"/>
              <w:rPr>
                <w:sz w:val="14"/>
              </w:rPr>
            </w:pPr>
            <w:r>
              <w:rPr>
                <w:w w:val="99"/>
                <w:sz w:val="14"/>
              </w:rPr>
              <w:t>-</w:t>
            </w:r>
          </w:p>
        </w:tc>
        <w:tc>
          <w:tcPr>
            <w:tcW w:w="546" w:type="dxa"/>
            <w:tcBorders>
              <w:top w:val="single" w:sz="12" w:space="0" w:color="000000"/>
              <w:bottom w:val="single" w:sz="4" w:space="0" w:color="000000"/>
            </w:tcBorders>
          </w:tcPr>
          <w:p>
            <w:pPr>
              <w:pStyle w:val="TableParagraph"/>
              <w:spacing w:before="28"/>
              <w:ind w:right="123"/>
              <w:rPr>
                <w:sz w:val="14"/>
              </w:rPr>
            </w:pPr>
            <w:r>
              <w:rPr>
                <w:spacing w:val="-4"/>
                <w:sz w:val="14"/>
              </w:rPr>
              <w:t>2.00</w:t>
            </w:r>
          </w:p>
        </w:tc>
        <w:tc>
          <w:tcPr>
            <w:tcW w:w="668" w:type="dxa"/>
            <w:tcBorders>
              <w:top w:val="single" w:sz="12" w:space="0" w:color="000000"/>
              <w:bottom w:val="single" w:sz="4" w:space="0" w:color="000000"/>
            </w:tcBorders>
          </w:tcPr>
          <w:p>
            <w:pPr>
              <w:pStyle w:val="TableParagraph"/>
              <w:spacing w:before="28"/>
              <w:ind w:right="196"/>
              <w:rPr>
                <w:sz w:val="14"/>
              </w:rPr>
            </w:pPr>
            <w:r>
              <w:rPr>
                <w:spacing w:val="-2"/>
                <w:sz w:val="14"/>
              </w:rPr>
              <w:t>12.00</w:t>
            </w:r>
          </w:p>
        </w:tc>
        <w:tc>
          <w:tcPr>
            <w:tcW w:w="712" w:type="dxa"/>
            <w:tcBorders>
              <w:top w:val="single" w:sz="12" w:space="0" w:color="000000"/>
              <w:bottom w:val="single" w:sz="4" w:space="0" w:color="000000"/>
            </w:tcBorders>
          </w:tcPr>
          <w:p>
            <w:pPr>
              <w:pStyle w:val="TableParagraph"/>
              <w:spacing w:before="28"/>
              <w:ind w:right="169"/>
              <w:rPr>
                <w:sz w:val="14"/>
              </w:rPr>
            </w:pPr>
            <w:r>
              <w:rPr>
                <w:spacing w:val="-2"/>
                <w:sz w:val="14"/>
              </w:rPr>
              <w:t>16.00</w:t>
            </w:r>
          </w:p>
        </w:tc>
        <w:tc>
          <w:tcPr>
            <w:tcW w:w="487" w:type="dxa"/>
            <w:tcBorders>
              <w:top w:val="single" w:sz="12" w:space="0" w:color="000000"/>
              <w:bottom w:val="single" w:sz="4" w:space="0" w:color="000000"/>
            </w:tcBorders>
          </w:tcPr>
          <w:p>
            <w:pPr>
              <w:pStyle w:val="TableParagraph"/>
              <w:spacing w:before="28"/>
              <w:ind w:left="-19" w:right="60"/>
              <w:rPr>
                <w:sz w:val="14"/>
              </w:rPr>
            </w:pPr>
            <w:r>
              <w:rPr>
                <w:spacing w:val="-4"/>
                <w:sz w:val="14"/>
              </w:rPr>
              <w:t>3.00</w:t>
            </w:r>
          </w:p>
        </w:tc>
        <w:tc>
          <w:tcPr>
            <w:tcW w:w="793" w:type="dxa"/>
            <w:tcBorders>
              <w:top w:val="single" w:sz="12" w:space="0" w:color="000000"/>
              <w:bottom w:val="single" w:sz="4" w:space="0" w:color="000000"/>
            </w:tcBorders>
          </w:tcPr>
          <w:p>
            <w:pPr>
              <w:pStyle w:val="TableParagraph"/>
              <w:spacing w:before="28"/>
              <w:ind w:right="119"/>
              <w:rPr>
                <w:i/>
                <w:sz w:val="14"/>
              </w:rPr>
            </w:pPr>
            <w:r>
              <w:rPr>
                <w:i/>
                <w:spacing w:val="-2"/>
                <w:sz w:val="14"/>
              </w:rPr>
              <w:t>33.00</w:t>
            </w:r>
          </w:p>
        </w:tc>
        <w:tc>
          <w:tcPr>
            <w:tcW w:w="566" w:type="dxa"/>
            <w:tcBorders>
              <w:top w:val="single" w:sz="12" w:space="0" w:color="000000"/>
              <w:bottom w:val="single" w:sz="4" w:space="0" w:color="000000"/>
            </w:tcBorders>
          </w:tcPr>
          <w:p>
            <w:pPr>
              <w:pStyle w:val="TableParagraph"/>
              <w:spacing w:before="28"/>
              <w:ind w:right="92"/>
              <w:rPr>
                <w:sz w:val="14"/>
              </w:rPr>
            </w:pPr>
            <w:r>
              <w:rPr>
                <w:w w:val="99"/>
                <w:sz w:val="14"/>
              </w:rPr>
              <w:t>-</w:t>
            </w:r>
          </w:p>
        </w:tc>
        <w:tc>
          <w:tcPr>
            <w:tcW w:w="578" w:type="dxa"/>
            <w:tcBorders>
              <w:top w:val="single" w:sz="12" w:space="0" w:color="000000"/>
              <w:bottom w:val="single" w:sz="4" w:space="0" w:color="000000"/>
            </w:tcBorders>
          </w:tcPr>
          <w:p>
            <w:pPr>
              <w:pStyle w:val="TableParagraph"/>
              <w:spacing w:before="28"/>
              <w:ind w:right="79"/>
              <w:rPr>
                <w:sz w:val="14"/>
              </w:rPr>
            </w:pPr>
            <w:r>
              <w:rPr>
                <w:w w:val="99"/>
                <w:sz w:val="14"/>
              </w:rPr>
              <w:t>-</w:t>
            </w:r>
          </w:p>
        </w:tc>
        <w:tc>
          <w:tcPr>
            <w:tcW w:w="561" w:type="dxa"/>
            <w:tcBorders>
              <w:top w:val="single" w:sz="12" w:space="0" w:color="000000"/>
              <w:bottom w:val="single" w:sz="4" w:space="0" w:color="000000"/>
            </w:tcBorders>
          </w:tcPr>
          <w:p>
            <w:pPr>
              <w:pStyle w:val="TableParagraph"/>
              <w:spacing w:before="28"/>
              <w:ind w:right="47"/>
              <w:rPr>
                <w:sz w:val="14"/>
              </w:rPr>
            </w:pPr>
            <w:r>
              <w:rPr>
                <w:spacing w:val="-2"/>
                <w:sz w:val="14"/>
              </w:rPr>
              <w:t>16.67</w:t>
            </w:r>
          </w:p>
        </w:tc>
        <w:tc>
          <w:tcPr>
            <w:tcW w:w="810" w:type="dxa"/>
            <w:tcBorders>
              <w:top w:val="single" w:sz="12" w:space="0" w:color="000000"/>
              <w:bottom w:val="single" w:sz="4" w:space="0" w:color="000000"/>
            </w:tcBorders>
          </w:tcPr>
          <w:p>
            <w:pPr>
              <w:pStyle w:val="TableParagraph"/>
              <w:spacing w:before="28"/>
              <w:ind w:right="117"/>
              <w:rPr>
                <w:i/>
                <w:sz w:val="14"/>
              </w:rPr>
            </w:pPr>
            <w:r>
              <w:rPr>
                <w:i/>
                <w:spacing w:val="-2"/>
                <w:sz w:val="14"/>
              </w:rPr>
              <w:t>16.67</w:t>
            </w:r>
          </w:p>
        </w:tc>
        <w:tc>
          <w:tcPr>
            <w:tcW w:w="521" w:type="dxa"/>
            <w:tcBorders>
              <w:top w:val="single" w:sz="12" w:space="0" w:color="000000"/>
              <w:bottom w:val="single" w:sz="4" w:space="0" w:color="000000"/>
            </w:tcBorders>
          </w:tcPr>
          <w:p>
            <w:pPr>
              <w:pStyle w:val="TableParagraph"/>
              <w:spacing w:before="28"/>
              <w:ind w:right="38"/>
              <w:rPr>
                <w:b/>
                <w:sz w:val="14"/>
              </w:rPr>
            </w:pPr>
            <w:r>
              <w:rPr>
                <w:b/>
                <w:spacing w:val="-2"/>
                <w:sz w:val="14"/>
              </w:rPr>
              <w:t>49.67</w:t>
            </w:r>
          </w:p>
        </w:tc>
      </w:tr>
      <w:tr>
        <w:trPr>
          <w:trHeight w:val="225" w:hRule="atLeast"/>
        </w:trPr>
        <w:tc>
          <w:tcPr>
            <w:tcW w:w="1186" w:type="dxa"/>
            <w:tcBorders>
              <w:top w:val="single" w:sz="4" w:space="0" w:color="000000"/>
              <w:bottom w:val="single" w:sz="4" w:space="0" w:color="000000"/>
            </w:tcBorders>
          </w:tcPr>
          <w:p>
            <w:pPr>
              <w:pStyle w:val="TableParagraph"/>
              <w:spacing w:before="23"/>
              <w:ind w:left="67"/>
              <w:jc w:val="left"/>
              <w:rPr>
                <w:sz w:val="14"/>
              </w:rPr>
            </w:pPr>
            <w:r>
              <w:rPr>
                <w:spacing w:val="-5"/>
                <w:sz w:val="14"/>
              </w:rPr>
              <w:t>New</w:t>
            </w:r>
          </w:p>
        </w:tc>
        <w:tc>
          <w:tcPr>
            <w:tcW w:w="678" w:type="dxa"/>
            <w:tcBorders>
              <w:top w:val="single" w:sz="4" w:space="0" w:color="000000"/>
              <w:bottom w:val="single" w:sz="4" w:space="0" w:color="000000"/>
            </w:tcBorders>
          </w:tcPr>
          <w:p>
            <w:pPr>
              <w:pStyle w:val="TableParagraph"/>
              <w:spacing w:before="23"/>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3"/>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3"/>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3"/>
              <w:ind w:right="191"/>
              <w:rPr>
                <w:sz w:val="14"/>
              </w:rPr>
            </w:pPr>
            <w:r>
              <w:rPr>
                <w:w w:val="99"/>
                <w:sz w:val="14"/>
              </w:rPr>
              <w:t>-</w:t>
            </w:r>
          </w:p>
        </w:tc>
        <w:tc>
          <w:tcPr>
            <w:tcW w:w="557" w:type="dxa"/>
            <w:tcBorders>
              <w:top w:val="single" w:sz="4" w:space="0" w:color="000000"/>
              <w:bottom w:val="single" w:sz="4" w:space="0" w:color="000000"/>
            </w:tcBorders>
          </w:tcPr>
          <w:p>
            <w:pPr>
              <w:pStyle w:val="TableParagraph"/>
              <w:spacing w:before="23"/>
              <w:ind w:right="166"/>
              <w:rPr>
                <w:sz w:val="14"/>
              </w:rPr>
            </w:pPr>
            <w:r>
              <w:rPr>
                <w:w w:val="99"/>
                <w:sz w:val="14"/>
              </w:rPr>
              <w:t>-</w:t>
            </w:r>
          </w:p>
        </w:tc>
        <w:tc>
          <w:tcPr>
            <w:tcW w:w="546" w:type="dxa"/>
            <w:tcBorders>
              <w:top w:val="single" w:sz="4" w:space="0" w:color="000000"/>
              <w:bottom w:val="single" w:sz="4" w:space="0" w:color="000000"/>
            </w:tcBorders>
          </w:tcPr>
          <w:p>
            <w:pPr>
              <w:pStyle w:val="TableParagraph"/>
              <w:spacing w:before="23"/>
              <w:ind w:right="123"/>
              <w:rPr>
                <w:sz w:val="14"/>
              </w:rPr>
            </w:pPr>
            <w:r>
              <w:rPr>
                <w:spacing w:val="-4"/>
                <w:sz w:val="14"/>
              </w:rPr>
              <w:t>0.75</w:t>
            </w:r>
          </w:p>
        </w:tc>
        <w:tc>
          <w:tcPr>
            <w:tcW w:w="668" w:type="dxa"/>
            <w:tcBorders>
              <w:top w:val="single" w:sz="4" w:space="0" w:color="000000"/>
              <w:bottom w:val="single" w:sz="4" w:space="0" w:color="000000"/>
            </w:tcBorders>
          </w:tcPr>
          <w:p>
            <w:pPr>
              <w:pStyle w:val="TableParagraph"/>
              <w:spacing w:before="23"/>
              <w:ind w:right="196"/>
              <w:rPr>
                <w:sz w:val="14"/>
              </w:rPr>
            </w:pPr>
            <w:r>
              <w:rPr>
                <w:spacing w:val="-4"/>
                <w:sz w:val="14"/>
              </w:rPr>
              <w:t>0.75</w:t>
            </w:r>
          </w:p>
        </w:tc>
        <w:tc>
          <w:tcPr>
            <w:tcW w:w="712" w:type="dxa"/>
            <w:tcBorders>
              <w:top w:val="single" w:sz="4" w:space="0" w:color="000000"/>
              <w:bottom w:val="single" w:sz="4" w:space="0" w:color="000000"/>
            </w:tcBorders>
          </w:tcPr>
          <w:p>
            <w:pPr>
              <w:pStyle w:val="TableParagraph"/>
              <w:spacing w:before="23"/>
              <w:ind w:right="168"/>
              <w:rPr>
                <w:sz w:val="14"/>
              </w:rPr>
            </w:pPr>
            <w:r>
              <w:rPr>
                <w:spacing w:val="-4"/>
                <w:sz w:val="14"/>
              </w:rPr>
              <w:t>4.50</w:t>
            </w:r>
          </w:p>
        </w:tc>
        <w:tc>
          <w:tcPr>
            <w:tcW w:w="487" w:type="dxa"/>
            <w:tcBorders>
              <w:top w:val="single" w:sz="4" w:space="0" w:color="000000"/>
              <w:bottom w:val="single" w:sz="4" w:space="0" w:color="000000"/>
            </w:tcBorders>
          </w:tcPr>
          <w:p>
            <w:pPr>
              <w:pStyle w:val="TableParagraph"/>
              <w:spacing w:before="23"/>
              <w:ind w:right="63"/>
              <w:rPr>
                <w:sz w:val="14"/>
              </w:rPr>
            </w:pPr>
            <w:r>
              <w:rPr>
                <w:w w:val="99"/>
                <w:sz w:val="14"/>
              </w:rPr>
              <w:t>-</w:t>
            </w:r>
          </w:p>
        </w:tc>
        <w:tc>
          <w:tcPr>
            <w:tcW w:w="793" w:type="dxa"/>
            <w:tcBorders>
              <w:top w:val="single" w:sz="4" w:space="0" w:color="000000"/>
              <w:bottom w:val="single" w:sz="4" w:space="0" w:color="000000"/>
            </w:tcBorders>
          </w:tcPr>
          <w:p>
            <w:pPr>
              <w:pStyle w:val="TableParagraph"/>
              <w:spacing w:before="23"/>
              <w:ind w:right="118"/>
              <w:rPr>
                <w:i/>
                <w:sz w:val="14"/>
              </w:rPr>
            </w:pPr>
            <w:r>
              <w:rPr>
                <w:i/>
                <w:spacing w:val="-4"/>
                <w:sz w:val="14"/>
              </w:rPr>
              <w:t>6.00</w:t>
            </w:r>
          </w:p>
        </w:tc>
        <w:tc>
          <w:tcPr>
            <w:tcW w:w="566" w:type="dxa"/>
            <w:tcBorders>
              <w:top w:val="single" w:sz="4" w:space="0" w:color="000000"/>
              <w:bottom w:val="single" w:sz="4" w:space="0" w:color="000000"/>
            </w:tcBorders>
          </w:tcPr>
          <w:p>
            <w:pPr>
              <w:pStyle w:val="TableParagraph"/>
              <w:spacing w:before="23"/>
              <w:ind w:right="92"/>
              <w:rPr>
                <w:sz w:val="14"/>
              </w:rPr>
            </w:pPr>
            <w:r>
              <w:rPr>
                <w:w w:val="99"/>
                <w:sz w:val="14"/>
              </w:rPr>
              <w:t>-</w:t>
            </w:r>
          </w:p>
        </w:tc>
        <w:tc>
          <w:tcPr>
            <w:tcW w:w="578" w:type="dxa"/>
            <w:tcBorders>
              <w:top w:val="single" w:sz="4" w:space="0" w:color="000000"/>
              <w:bottom w:val="single" w:sz="4" w:space="0" w:color="000000"/>
            </w:tcBorders>
          </w:tcPr>
          <w:p>
            <w:pPr>
              <w:pStyle w:val="TableParagraph"/>
              <w:spacing w:before="23"/>
              <w:ind w:right="79"/>
              <w:rPr>
                <w:sz w:val="14"/>
              </w:rPr>
            </w:pPr>
            <w:r>
              <w:rPr>
                <w:w w:val="99"/>
                <w:sz w:val="14"/>
              </w:rPr>
              <w:t>-</w:t>
            </w:r>
          </w:p>
        </w:tc>
        <w:tc>
          <w:tcPr>
            <w:tcW w:w="561" w:type="dxa"/>
            <w:tcBorders>
              <w:top w:val="single" w:sz="4" w:space="0" w:color="000000"/>
              <w:bottom w:val="single" w:sz="4" w:space="0" w:color="000000"/>
            </w:tcBorders>
          </w:tcPr>
          <w:p>
            <w:pPr>
              <w:pStyle w:val="TableParagraph"/>
              <w:spacing w:before="23"/>
              <w:ind w:right="47"/>
              <w:rPr>
                <w:sz w:val="14"/>
              </w:rPr>
            </w:pPr>
            <w:r>
              <w:rPr>
                <w:spacing w:val="-2"/>
                <w:sz w:val="14"/>
              </w:rPr>
              <w:t>13.00</w:t>
            </w:r>
          </w:p>
        </w:tc>
        <w:tc>
          <w:tcPr>
            <w:tcW w:w="810" w:type="dxa"/>
            <w:tcBorders>
              <w:top w:val="single" w:sz="4" w:space="0" w:color="000000"/>
              <w:bottom w:val="single" w:sz="4" w:space="0" w:color="000000"/>
            </w:tcBorders>
          </w:tcPr>
          <w:p>
            <w:pPr>
              <w:pStyle w:val="TableParagraph"/>
              <w:spacing w:before="23"/>
              <w:ind w:right="117"/>
              <w:rPr>
                <w:i/>
                <w:sz w:val="14"/>
              </w:rPr>
            </w:pPr>
            <w:r>
              <w:rPr>
                <w:i/>
                <w:spacing w:val="-2"/>
                <w:sz w:val="14"/>
              </w:rPr>
              <w:t>13.00</w:t>
            </w:r>
          </w:p>
        </w:tc>
        <w:tc>
          <w:tcPr>
            <w:tcW w:w="521" w:type="dxa"/>
            <w:tcBorders>
              <w:top w:val="single" w:sz="4" w:space="0" w:color="000000"/>
              <w:bottom w:val="single" w:sz="4" w:space="0" w:color="000000"/>
            </w:tcBorders>
          </w:tcPr>
          <w:p>
            <w:pPr>
              <w:pStyle w:val="TableParagraph"/>
              <w:spacing w:before="23"/>
              <w:ind w:right="38"/>
              <w:rPr>
                <w:b/>
                <w:sz w:val="14"/>
              </w:rPr>
            </w:pPr>
            <w:r>
              <w:rPr>
                <w:b/>
                <w:spacing w:val="-2"/>
                <w:sz w:val="14"/>
              </w:rPr>
              <w:t>19.00</w:t>
            </w:r>
          </w:p>
        </w:tc>
      </w:tr>
      <w:tr>
        <w:trPr>
          <w:trHeight w:val="225" w:hRule="atLeast"/>
        </w:trPr>
        <w:tc>
          <w:tcPr>
            <w:tcW w:w="1186" w:type="dxa"/>
            <w:tcBorders>
              <w:top w:val="single" w:sz="4" w:space="0" w:color="000000"/>
              <w:bottom w:val="single" w:sz="4" w:space="0" w:color="000000"/>
            </w:tcBorders>
          </w:tcPr>
          <w:p>
            <w:pPr>
              <w:pStyle w:val="TableParagraph"/>
              <w:spacing w:before="23"/>
              <w:ind w:left="67"/>
              <w:jc w:val="left"/>
              <w:rPr>
                <w:sz w:val="14"/>
              </w:rPr>
            </w:pPr>
            <w:r>
              <w:rPr>
                <w:spacing w:val="-2"/>
                <w:sz w:val="14"/>
              </w:rPr>
              <w:t>Redeployed</w:t>
            </w:r>
          </w:p>
        </w:tc>
        <w:tc>
          <w:tcPr>
            <w:tcW w:w="678" w:type="dxa"/>
            <w:tcBorders>
              <w:top w:val="single" w:sz="4" w:space="0" w:color="000000"/>
              <w:bottom w:val="single" w:sz="4" w:space="0" w:color="000000"/>
            </w:tcBorders>
          </w:tcPr>
          <w:p>
            <w:pPr>
              <w:pStyle w:val="TableParagraph"/>
              <w:spacing w:before="23"/>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3"/>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3"/>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3"/>
              <w:ind w:right="191"/>
              <w:rPr>
                <w:sz w:val="14"/>
              </w:rPr>
            </w:pPr>
            <w:r>
              <w:rPr>
                <w:w w:val="99"/>
                <w:sz w:val="14"/>
              </w:rPr>
              <w:t>-</w:t>
            </w:r>
          </w:p>
        </w:tc>
        <w:tc>
          <w:tcPr>
            <w:tcW w:w="557" w:type="dxa"/>
            <w:tcBorders>
              <w:top w:val="single" w:sz="4" w:space="0" w:color="000000"/>
              <w:bottom w:val="single" w:sz="4" w:space="0" w:color="000000"/>
            </w:tcBorders>
          </w:tcPr>
          <w:p>
            <w:pPr>
              <w:pStyle w:val="TableParagraph"/>
              <w:spacing w:before="23"/>
              <w:ind w:right="166"/>
              <w:rPr>
                <w:sz w:val="14"/>
              </w:rPr>
            </w:pPr>
            <w:r>
              <w:rPr>
                <w:w w:val="99"/>
                <w:sz w:val="14"/>
              </w:rPr>
              <w:t>-</w:t>
            </w:r>
          </w:p>
        </w:tc>
        <w:tc>
          <w:tcPr>
            <w:tcW w:w="546" w:type="dxa"/>
            <w:tcBorders>
              <w:top w:val="single" w:sz="4" w:space="0" w:color="000000"/>
              <w:bottom w:val="single" w:sz="4" w:space="0" w:color="000000"/>
            </w:tcBorders>
          </w:tcPr>
          <w:p>
            <w:pPr>
              <w:pStyle w:val="TableParagraph"/>
              <w:spacing w:before="23"/>
              <w:ind w:right="127"/>
              <w:rPr>
                <w:sz w:val="14"/>
              </w:rPr>
            </w:pPr>
            <w:r>
              <w:rPr>
                <w:w w:val="99"/>
                <w:sz w:val="14"/>
              </w:rPr>
              <w:t>-</w:t>
            </w:r>
          </w:p>
        </w:tc>
        <w:tc>
          <w:tcPr>
            <w:tcW w:w="668" w:type="dxa"/>
            <w:tcBorders>
              <w:top w:val="single" w:sz="4" w:space="0" w:color="000000"/>
              <w:bottom w:val="single" w:sz="4" w:space="0" w:color="000000"/>
            </w:tcBorders>
          </w:tcPr>
          <w:p>
            <w:pPr>
              <w:pStyle w:val="TableParagraph"/>
              <w:spacing w:before="23"/>
              <w:ind w:right="196"/>
              <w:rPr>
                <w:sz w:val="14"/>
              </w:rPr>
            </w:pPr>
            <w:r>
              <w:rPr>
                <w:spacing w:val="-4"/>
                <w:sz w:val="14"/>
              </w:rPr>
              <w:t>1.00</w:t>
            </w:r>
          </w:p>
        </w:tc>
        <w:tc>
          <w:tcPr>
            <w:tcW w:w="712" w:type="dxa"/>
            <w:tcBorders>
              <w:top w:val="single" w:sz="4" w:space="0" w:color="000000"/>
              <w:bottom w:val="single" w:sz="4" w:space="0" w:color="000000"/>
            </w:tcBorders>
          </w:tcPr>
          <w:p>
            <w:pPr>
              <w:pStyle w:val="TableParagraph"/>
              <w:spacing w:before="23"/>
              <w:ind w:right="172"/>
              <w:rPr>
                <w:sz w:val="14"/>
              </w:rPr>
            </w:pPr>
            <w:r>
              <w:rPr>
                <w:w w:val="99"/>
                <w:sz w:val="14"/>
              </w:rPr>
              <w:t>-</w:t>
            </w:r>
          </w:p>
        </w:tc>
        <w:tc>
          <w:tcPr>
            <w:tcW w:w="487" w:type="dxa"/>
            <w:tcBorders>
              <w:top w:val="single" w:sz="4" w:space="0" w:color="000000"/>
              <w:bottom w:val="single" w:sz="4" w:space="0" w:color="000000"/>
            </w:tcBorders>
          </w:tcPr>
          <w:p>
            <w:pPr>
              <w:pStyle w:val="TableParagraph"/>
              <w:spacing w:before="23"/>
              <w:ind w:right="63"/>
              <w:rPr>
                <w:sz w:val="14"/>
              </w:rPr>
            </w:pPr>
            <w:r>
              <w:rPr>
                <w:w w:val="99"/>
                <w:sz w:val="14"/>
              </w:rPr>
              <w:t>-</w:t>
            </w:r>
          </w:p>
        </w:tc>
        <w:tc>
          <w:tcPr>
            <w:tcW w:w="793" w:type="dxa"/>
            <w:tcBorders>
              <w:top w:val="single" w:sz="4" w:space="0" w:color="000000"/>
              <w:bottom w:val="single" w:sz="4" w:space="0" w:color="000000"/>
            </w:tcBorders>
          </w:tcPr>
          <w:p>
            <w:pPr>
              <w:pStyle w:val="TableParagraph"/>
              <w:spacing w:before="23"/>
              <w:ind w:right="118"/>
              <w:rPr>
                <w:i/>
                <w:sz w:val="14"/>
              </w:rPr>
            </w:pPr>
            <w:r>
              <w:rPr>
                <w:i/>
                <w:spacing w:val="-4"/>
                <w:sz w:val="14"/>
              </w:rPr>
              <w:t>1.00</w:t>
            </w:r>
          </w:p>
        </w:tc>
        <w:tc>
          <w:tcPr>
            <w:tcW w:w="566" w:type="dxa"/>
            <w:tcBorders>
              <w:top w:val="single" w:sz="4" w:space="0" w:color="000000"/>
              <w:bottom w:val="single" w:sz="4" w:space="0" w:color="000000"/>
            </w:tcBorders>
          </w:tcPr>
          <w:p>
            <w:pPr>
              <w:pStyle w:val="TableParagraph"/>
              <w:spacing w:before="23"/>
              <w:ind w:right="92"/>
              <w:rPr>
                <w:sz w:val="14"/>
              </w:rPr>
            </w:pPr>
            <w:r>
              <w:rPr>
                <w:w w:val="99"/>
                <w:sz w:val="14"/>
              </w:rPr>
              <w:t>-</w:t>
            </w:r>
          </w:p>
        </w:tc>
        <w:tc>
          <w:tcPr>
            <w:tcW w:w="578" w:type="dxa"/>
            <w:tcBorders>
              <w:top w:val="single" w:sz="4" w:space="0" w:color="000000"/>
              <w:bottom w:val="single" w:sz="4" w:space="0" w:color="000000"/>
            </w:tcBorders>
          </w:tcPr>
          <w:p>
            <w:pPr>
              <w:pStyle w:val="TableParagraph"/>
              <w:spacing w:before="23"/>
              <w:ind w:right="79"/>
              <w:rPr>
                <w:sz w:val="14"/>
              </w:rPr>
            </w:pPr>
            <w:r>
              <w:rPr>
                <w:w w:val="99"/>
                <w:sz w:val="14"/>
              </w:rPr>
              <w:t>-</w:t>
            </w:r>
          </w:p>
        </w:tc>
        <w:tc>
          <w:tcPr>
            <w:tcW w:w="561" w:type="dxa"/>
            <w:tcBorders>
              <w:top w:val="single" w:sz="4" w:space="0" w:color="000000"/>
              <w:bottom w:val="single" w:sz="4" w:space="0" w:color="000000"/>
            </w:tcBorders>
          </w:tcPr>
          <w:p>
            <w:pPr>
              <w:pStyle w:val="TableParagraph"/>
              <w:spacing w:before="23"/>
              <w:ind w:right="50"/>
              <w:rPr>
                <w:sz w:val="14"/>
              </w:rPr>
            </w:pPr>
            <w:r>
              <w:rPr>
                <w:w w:val="99"/>
                <w:sz w:val="14"/>
              </w:rPr>
              <w:t>-</w:t>
            </w:r>
          </w:p>
        </w:tc>
        <w:tc>
          <w:tcPr>
            <w:tcW w:w="810" w:type="dxa"/>
            <w:tcBorders>
              <w:top w:val="single" w:sz="4" w:space="0" w:color="000000"/>
              <w:bottom w:val="single" w:sz="4" w:space="0" w:color="000000"/>
            </w:tcBorders>
          </w:tcPr>
          <w:p>
            <w:pPr>
              <w:pStyle w:val="TableParagraph"/>
              <w:spacing w:before="23"/>
              <w:ind w:right="120"/>
              <w:rPr>
                <w:i/>
                <w:sz w:val="14"/>
              </w:rPr>
            </w:pPr>
            <w:r>
              <w:rPr>
                <w:i/>
                <w:w w:val="99"/>
                <w:sz w:val="14"/>
              </w:rPr>
              <w:t>-</w:t>
            </w:r>
          </w:p>
        </w:tc>
        <w:tc>
          <w:tcPr>
            <w:tcW w:w="521" w:type="dxa"/>
            <w:tcBorders>
              <w:top w:val="single" w:sz="4" w:space="0" w:color="000000"/>
              <w:bottom w:val="single" w:sz="4" w:space="0" w:color="000000"/>
            </w:tcBorders>
          </w:tcPr>
          <w:p>
            <w:pPr>
              <w:pStyle w:val="TableParagraph"/>
              <w:spacing w:before="23"/>
              <w:ind w:right="38"/>
              <w:rPr>
                <w:b/>
                <w:sz w:val="14"/>
              </w:rPr>
            </w:pPr>
            <w:r>
              <w:rPr>
                <w:b/>
                <w:spacing w:val="-4"/>
                <w:sz w:val="14"/>
              </w:rPr>
              <w:t>1.00</w:t>
            </w:r>
          </w:p>
        </w:tc>
      </w:tr>
      <w:tr>
        <w:trPr>
          <w:trHeight w:val="230" w:hRule="atLeast"/>
        </w:trPr>
        <w:tc>
          <w:tcPr>
            <w:tcW w:w="1186" w:type="dxa"/>
            <w:tcBorders>
              <w:top w:val="single" w:sz="4" w:space="0" w:color="000000"/>
              <w:bottom w:val="single" w:sz="4" w:space="0" w:color="000000"/>
            </w:tcBorders>
          </w:tcPr>
          <w:p>
            <w:pPr>
              <w:pStyle w:val="TableParagraph"/>
              <w:spacing w:before="28"/>
              <w:ind w:left="67"/>
              <w:jc w:val="left"/>
              <w:rPr>
                <w:sz w:val="14"/>
              </w:rPr>
            </w:pPr>
            <w:r>
              <w:rPr>
                <w:spacing w:val="-2"/>
                <w:sz w:val="14"/>
              </w:rPr>
              <w:t>Reclassified</w:t>
            </w:r>
          </w:p>
        </w:tc>
        <w:tc>
          <w:tcPr>
            <w:tcW w:w="678" w:type="dxa"/>
            <w:tcBorders>
              <w:top w:val="single" w:sz="4" w:space="0" w:color="000000"/>
              <w:bottom w:val="single" w:sz="4" w:space="0" w:color="000000"/>
            </w:tcBorders>
          </w:tcPr>
          <w:p>
            <w:pPr>
              <w:pStyle w:val="TableParagraph"/>
              <w:spacing w:before="28"/>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8"/>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8"/>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8"/>
              <w:ind w:right="191"/>
              <w:rPr>
                <w:sz w:val="14"/>
              </w:rPr>
            </w:pPr>
            <w:r>
              <w:rPr>
                <w:w w:val="99"/>
                <w:sz w:val="14"/>
              </w:rPr>
              <w:t>-</w:t>
            </w:r>
          </w:p>
        </w:tc>
        <w:tc>
          <w:tcPr>
            <w:tcW w:w="557" w:type="dxa"/>
            <w:tcBorders>
              <w:top w:val="single" w:sz="4" w:space="0" w:color="000000"/>
              <w:bottom w:val="single" w:sz="4" w:space="0" w:color="000000"/>
            </w:tcBorders>
          </w:tcPr>
          <w:p>
            <w:pPr>
              <w:pStyle w:val="TableParagraph"/>
              <w:spacing w:before="28"/>
              <w:ind w:right="166"/>
              <w:rPr>
                <w:sz w:val="14"/>
              </w:rPr>
            </w:pPr>
            <w:r>
              <w:rPr>
                <w:w w:val="99"/>
                <w:sz w:val="14"/>
              </w:rPr>
              <w:t>-</w:t>
            </w:r>
          </w:p>
        </w:tc>
        <w:tc>
          <w:tcPr>
            <w:tcW w:w="546" w:type="dxa"/>
            <w:tcBorders>
              <w:top w:val="single" w:sz="4" w:space="0" w:color="000000"/>
              <w:bottom w:val="single" w:sz="4" w:space="0" w:color="000000"/>
            </w:tcBorders>
          </w:tcPr>
          <w:p>
            <w:pPr>
              <w:pStyle w:val="TableParagraph"/>
              <w:spacing w:before="28"/>
              <w:ind w:right="127"/>
              <w:rPr>
                <w:sz w:val="14"/>
              </w:rPr>
            </w:pPr>
            <w:r>
              <w:rPr>
                <w:w w:val="99"/>
                <w:sz w:val="14"/>
              </w:rPr>
              <w:t>-</w:t>
            </w:r>
          </w:p>
        </w:tc>
        <w:tc>
          <w:tcPr>
            <w:tcW w:w="668" w:type="dxa"/>
            <w:tcBorders>
              <w:top w:val="single" w:sz="4" w:space="0" w:color="000000"/>
              <w:bottom w:val="single" w:sz="4" w:space="0" w:color="000000"/>
            </w:tcBorders>
          </w:tcPr>
          <w:p>
            <w:pPr>
              <w:pStyle w:val="TableParagraph"/>
              <w:spacing w:before="28"/>
              <w:ind w:right="199"/>
              <w:rPr>
                <w:sz w:val="14"/>
              </w:rPr>
            </w:pPr>
            <w:r>
              <w:rPr>
                <w:w w:val="99"/>
                <w:sz w:val="14"/>
              </w:rPr>
              <w:t>-</w:t>
            </w:r>
          </w:p>
        </w:tc>
        <w:tc>
          <w:tcPr>
            <w:tcW w:w="712" w:type="dxa"/>
            <w:tcBorders>
              <w:top w:val="single" w:sz="4" w:space="0" w:color="000000"/>
              <w:bottom w:val="single" w:sz="4" w:space="0" w:color="000000"/>
            </w:tcBorders>
          </w:tcPr>
          <w:p>
            <w:pPr>
              <w:pStyle w:val="TableParagraph"/>
              <w:spacing w:before="28"/>
              <w:ind w:right="172"/>
              <w:rPr>
                <w:sz w:val="14"/>
              </w:rPr>
            </w:pPr>
            <w:r>
              <w:rPr>
                <w:w w:val="99"/>
                <w:sz w:val="14"/>
              </w:rPr>
              <w:t>-</w:t>
            </w:r>
          </w:p>
        </w:tc>
        <w:tc>
          <w:tcPr>
            <w:tcW w:w="487" w:type="dxa"/>
            <w:tcBorders>
              <w:top w:val="single" w:sz="4" w:space="0" w:color="000000"/>
              <w:bottom w:val="single" w:sz="4" w:space="0" w:color="000000"/>
            </w:tcBorders>
          </w:tcPr>
          <w:p>
            <w:pPr>
              <w:pStyle w:val="TableParagraph"/>
              <w:spacing w:before="28"/>
              <w:ind w:right="63"/>
              <w:rPr>
                <w:sz w:val="14"/>
              </w:rPr>
            </w:pPr>
            <w:r>
              <w:rPr>
                <w:w w:val="99"/>
                <w:sz w:val="14"/>
              </w:rPr>
              <w:t>-</w:t>
            </w:r>
          </w:p>
        </w:tc>
        <w:tc>
          <w:tcPr>
            <w:tcW w:w="793" w:type="dxa"/>
            <w:tcBorders>
              <w:top w:val="single" w:sz="4" w:space="0" w:color="000000"/>
              <w:bottom w:val="single" w:sz="4" w:space="0" w:color="000000"/>
            </w:tcBorders>
          </w:tcPr>
          <w:p>
            <w:pPr>
              <w:pStyle w:val="TableParagraph"/>
              <w:spacing w:before="28"/>
              <w:ind w:right="121"/>
              <w:rPr>
                <w:i/>
                <w:sz w:val="14"/>
              </w:rPr>
            </w:pPr>
            <w:r>
              <w:rPr>
                <w:i/>
                <w:w w:val="99"/>
                <w:sz w:val="14"/>
              </w:rPr>
              <w:t>-</w:t>
            </w:r>
          </w:p>
        </w:tc>
        <w:tc>
          <w:tcPr>
            <w:tcW w:w="566" w:type="dxa"/>
            <w:tcBorders>
              <w:top w:val="single" w:sz="4" w:space="0" w:color="000000"/>
              <w:bottom w:val="single" w:sz="4" w:space="0" w:color="000000"/>
            </w:tcBorders>
          </w:tcPr>
          <w:p>
            <w:pPr>
              <w:pStyle w:val="TableParagraph"/>
              <w:spacing w:before="28"/>
              <w:ind w:right="92"/>
              <w:rPr>
                <w:sz w:val="14"/>
              </w:rPr>
            </w:pPr>
            <w:r>
              <w:rPr>
                <w:w w:val="99"/>
                <w:sz w:val="14"/>
              </w:rPr>
              <w:t>-</w:t>
            </w:r>
          </w:p>
        </w:tc>
        <w:tc>
          <w:tcPr>
            <w:tcW w:w="578" w:type="dxa"/>
            <w:tcBorders>
              <w:top w:val="single" w:sz="4" w:space="0" w:color="000000"/>
              <w:bottom w:val="single" w:sz="4" w:space="0" w:color="000000"/>
            </w:tcBorders>
          </w:tcPr>
          <w:p>
            <w:pPr>
              <w:pStyle w:val="TableParagraph"/>
              <w:spacing w:before="28"/>
              <w:ind w:right="79"/>
              <w:rPr>
                <w:sz w:val="14"/>
              </w:rPr>
            </w:pPr>
            <w:r>
              <w:rPr>
                <w:w w:val="99"/>
                <w:sz w:val="14"/>
              </w:rPr>
              <w:t>-</w:t>
            </w:r>
          </w:p>
        </w:tc>
        <w:tc>
          <w:tcPr>
            <w:tcW w:w="561" w:type="dxa"/>
            <w:tcBorders>
              <w:top w:val="single" w:sz="4" w:space="0" w:color="000000"/>
              <w:bottom w:val="single" w:sz="4" w:space="0" w:color="000000"/>
            </w:tcBorders>
          </w:tcPr>
          <w:p>
            <w:pPr>
              <w:pStyle w:val="TableParagraph"/>
              <w:spacing w:before="28"/>
              <w:ind w:right="50"/>
              <w:rPr>
                <w:sz w:val="14"/>
              </w:rPr>
            </w:pPr>
            <w:r>
              <w:rPr>
                <w:w w:val="99"/>
                <w:sz w:val="14"/>
              </w:rPr>
              <w:t>-</w:t>
            </w:r>
          </w:p>
        </w:tc>
        <w:tc>
          <w:tcPr>
            <w:tcW w:w="810" w:type="dxa"/>
            <w:tcBorders>
              <w:top w:val="single" w:sz="4" w:space="0" w:color="000000"/>
              <w:bottom w:val="single" w:sz="4" w:space="0" w:color="000000"/>
            </w:tcBorders>
          </w:tcPr>
          <w:p>
            <w:pPr>
              <w:pStyle w:val="TableParagraph"/>
              <w:spacing w:before="28"/>
              <w:ind w:right="120"/>
              <w:rPr>
                <w:i/>
                <w:sz w:val="14"/>
              </w:rPr>
            </w:pPr>
            <w:r>
              <w:rPr>
                <w:i/>
                <w:w w:val="99"/>
                <w:sz w:val="14"/>
              </w:rPr>
              <w:t>-</w:t>
            </w:r>
          </w:p>
        </w:tc>
        <w:tc>
          <w:tcPr>
            <w:tcW w:w="521" w:type="dxa"/>
            <w:tcBorders>
              <w:top w:val="single" w:sz="4" w:space="0" w:color="000000"/>
              <w:bottom w:val="single" w:sz="4" w:space="0" w:color="000000"/>
            </w:tcBorders>
          </w:tcPr>
          <w:p>
            <w:pPr>
              <w:pStyle w:val="TableParagraph"/>
              <w:spacing w:before="28"/>
              <w:ind w:right="41"/>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3"/>
              <w:ind w:left="67"/>
              <w:jc w:val="left"/>
              <w:rPr>
                <w:sz w:val="14"/>
              </w:rPr>
            </w:pPr>
            <w:r>
              <w:rPr>
                <w:spacing w:val="-2"/>
                <w:sz w:val="14"/>
              </w:rPr>
              <w:t>Converted</w:t>
            </w:r>
          </w:p>
        </w:tc>
        <w:tc>
          <w:tcPr>
            <w:tcW w:w="678" w:type="dxa"/>
            <w:tcBorders>
              <w:top w:val="single" w:sz="4" w:space="0" w:color="000000"/>
              <w:bottom w:val="single" w:sz="4" w:space="0" w:color="000000"/>
            </w:tcBorders>
          </w:tcPr>
          <w:p>
            <w:pPr>
              <w:pStyle w:val="TableParagraph"/>
              <w:spacing w:before="23"/>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3"/>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3"/>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3"/>
              <w:ind w:right="191"/>
              <w:rPr>
                <w:sz w:val="14"/>
              </w:rPr>
            </w:pPr>
            <w:r>
              <w:rPr>
                <w:w w:val="99"/>
                <w:sz w:val="14"/>
              </w:rPr>
              <w:t>-</w:t>
            </w:r>
          </w:p>
        </w:tc>
        <w:tc>
          <w:tcPr>
            <w:tcW w:w="557" w:type="dxa"/>
            <w:tcBorders>
              <w:top w:val="single" w:sz="4" w:space="0" w:color="000000"/>
              <w:bottom w:val="single" w:sz="4" w:space="0" w:color="000000"/>
            </w:tcBorders>
          </w:tcPr>
          <w:p>
            <w:pPr>
              <w:pStyle w:val="TableParagraph"/>
              <w:spacing w:before="23"/>
              <w:ind w:right="166"/>
              <w:rPr>
                <w:sz w:val="14"/>
              </w:rPr>
            </w:pPr>
            <w:r>
              <w:rPr>
                <w:w w:val="99"/>
                <w:sz w:val="14"/>
              </w:rPr>
              <w:t>-</w:t>
            </w:r>
          </w:p>
        </w:tc>
        <w:tc>
          <w:tcPr>
            <w:tcW w:w="546" w:type="dxa"/>
            <w:tcBorders>
              <w:top w:val="single" w:sz="4" w:space="0" w:color="000000"/>
              <w:bottom w:val="single" w:sz="4" w:space="0" w:color="000000"/>
            </w:tcBorders>
          </w:tcPr>
          <w:p>
            <w:pPr>
              <w:pStyle w:val="TableParagraph"/>
              <w:spacing w:before="23"/>
              <w:ind w:right="127"/>
              <w:rPr>
                <w:sz w:val="14"/>
              </w:rPr>
            </w:pPr>
            <w:r>
              <w:rPr>
                <w:w w:val="99"/>
                <w:sz w:val="14"/>
              </w:rPr>
              <w:t>-</w:t>
            </w:r>
          </w:p>
        </w:tc>
        <w:tc>
          <w:tcPr>
            <w:tcW w:w="668" w:type="dxa"/>
            <w:tcBorders>
              <w:top w:val="single" w:sz="4" w:space="0" w:color="000000"/>
              <w:bottom w:val="single" w:sz="4" w:space="0" w:color="000000"/>
            </w:tcBorders>
          </w:tcPr>
          <w:p>
            <w:pPr>
              <w:pStyle w:val="TableParagraph"/>
              <w:spacing w:before="23"/>
              <w:ind w:right="195"/>
              <w:rPr>
                <w:sz w:val="14"/>
              </w:rPr>
            </w:pPr>
            <w:r>
              <w:rPr>
                <w:spacing w:val="-2"/>
                <w:sz w:val="14"/>
              </w:rPr>
              <w:t>(1.00)</w:t>
            </w:r>
          </w:p>
        </w:tc>
        <w:tc>
          <w:tcPr>
            <w:tcW w:w="712" w:type="dxa"/>
            <w:tcBorders>
              <w:top w:val="single" w:sz="4" w:space="0" w:color="000000"/>
              <w:bottom w:val="single" w:sz="4" w:space="0" w:color="000000"/>
            </w:tcBorders>
          </w:tcPr>
          <w:p>
            <w:pPr>
              <w:pStyle w:val="TableParagraph"/>
              <w:spacing w:before="23"/>
              <w:ind w:right="168"/>
              <w:rPr>
                <w:sz w:val="14"/>
              </w:rPr>
            </w:pPr>
            <w:r>
              <w:rPr>
                <w:spacing w:val="-2"/>
                <w:sz w:val="14"/>
              </w:rPr>
              <w:t>(4.00)</w:t>
            </w:r>
          </w:p>
        </w:tc>
        <w:tc>
          <w:tcPr>
            <w:tcW w:w="487" w:type="dxa"/>
            <w:tcBorders>
              <w:top w:val="single" w:sz="4" w:space="0" w:color="000000"/>
              <w:bottom w:val="single" w:sz="4" w:space="0" w:color="000000"/>
            </w:tcBorders>
          </w:tcPr>
          <w:p>
            <w:pPr>
              <w:pStyle w:val="TableParagraph"/>
              <w:spacing w:before="23"/>
              <w:ind w:right="63"/>
              <w:rPr>
                <w:sz w:val="14"/>
              </w:rPr>
            </w:pPr>
            <w:r>
              <w:rPr>
                <w:w w:val="99"/>
                <w:sz w:val="14"/>
              </w:rPr>
              <w:t>-</w:t>
            </w:r>
          </w:p>
        </w:tc>
        <w:tc>
          <w:tcPr>
            <w:tcW w:w="793" w:type="dxa"/>
            <w:tcBorders>
              <w:top w:val="single" w:sz="4" w:space="0" w:color="000000"/>
              <w:bottom w:val="single" w:sz="4" w:space="0" w:color="000000"/>
            </w:tcBorders>
          </w:tcPr>
          <w:p>
            <w:pPr>
              <w:pStyle w:val="TableParagraph"/>
              <w:spacing w:before="23"/>
              <w:ind w:right="118"/>
              <w:rPr>
                <w:i/>
                <w:sz w:val="14"/>
              </w:rPr>
            </w:pPr>
            <w:r>
              <w:rPr>
                <w:i/>
                <w:spacing w:val="-2"/>
                <w:sz w:val="14"/>
              </w:rPr>
              <w:t>(5.00)</w:t>
            </w:r>
          </w:p>
        </w:tc>
        <w:tc>
          <w:tcPr>
            <w:tcW w:w="566" w:type="dxa"/>
            <w:tcBorders>
              <w:top w:val="single" w:sz="4" w:space="0" w:color="000000"/>
              <w:bottom w:val="single" w:sz="4" w:space="0" w:color="000000"/>
            </w:tcBorders>
          </w:tcPr>
          <w:p>
            <w:pPr>
              <w:pStyle w:val="TableParagraph"/>
              <w:spacing w:before="23"/>
              <w:ind w:right="92"/>
              <w:rPr>
                <w:sz w:val="14"/>
              </w:rPr>
            </w:pPr>
            <w:r>
              <w:rPr>
                <w:w w:val="99"/>
                <w:sz w:val="14"/>
              </w:rPr>
              <w:t>-</w:t>
            </w:r>
          </w:p>
        </w:tc>
        <w:tc>
          <w:tcPr>
            <w:tcW w:w="578" w:type="dxa"/>
            <w:tcBorders>
              <w:top w:val="single" w:sz="4" w:space="0" w:color="000000"/>
              <w:bottom w:val="single" w:sz="4" w:space="0" w:color="000000"/>
            </w:tcBorders>
          </w:tcPr>
          <w:p>
            <w:pPr>
              <w:pStyle w:val="TableParagraph"/>
              <w:spacing w:before="23"/>
              <w:ind w:right="79"/>
              <w:rPr>
                <w:sz w:val="14"/>
              </w:rPr>
            </w:pPr>
            <w:r>
              <w:rPr>
                <w:w w:val="99"/>
                <w:sz w:val="14"/>
              </w:rPr>
              <w:t>-</w:t>
            </w:r>
          </w:p>
        </w:tc>
        <w:tc>
          <w:tcPr>
            <w:tcW w:w="561" w:type="dxa"/>
            <w:tcBorders>
              <w:top w:val="single" w:sz="4" w:space="0" w:color="000000"/>
              <w:bottom w:val="single" w:sz="4" w:space="0" w:color="000000"/>
            </w:tcBorders>
          </w:tcPr>
          <w:p>
            <w:pPr>
              <w:pStyle w:val="TableParagraph"/>
              <w:spacing w:before="23"/>
              <w:ind w:right="50"/>
              <w:rPr>
                <w:sz w:val="14"/>
              </w:rPr>
            </w:pPr>
            <w:r>
              <w:rPr>
                <w:w w:val="99"/>
                <w:sz w:val="14"/>
              </w:rPr>
              <w:t>-</w:t>
            </w:r>
          </w:p>
        </w:tc>
        <w:tc>
          <w:tcPr>
            <w:tcW w:w="810" w:type="dxa"/>
            <w:tcBorders>
              <w:top w:val="single" w:sz="4" w:space="0" w:color="000000"/>
              <w:bottom w:val="single" w:sz="4" w:space="0" w:color="000000"/>
            </w:tcBorders>
          </w:tcPr>
          <w:p>
            <w:pPr>
              <w:pStyle w:val="TableParagraph"/>
              <w:spacing w:before="23"/>
              <w:ind w:right="120"/>
              <w:rPr>
                <w:i/>
                <w:sz w:val="14"/>
              </w:rPr>
            </w:pPr>
            <w:r>
              <w:rPr>
                <w:i/>
                <w:w w:val="99"/>
                <w:sz w:val="14"/>
              </w:rPr>
              <w:t>-</w:t>
            </w:r>
          </w:p>
        </w:tc>
        <w:tc>
          <w:tcPr>
            <w:tcW w:w="521" w:type="dxa"/>
            <w:tcBorders>
              <w:top w:val="single" w:sz="4" w:space="0" w:color="000000"/>
              <w:bottom w:val="single" w:sz="4" w:space="0" w:color="000000"/>
            </w:tcBorders>
          </w:tcPr>
          <w:p>
            <w:pPr>
              <w:pStyle w:val="TableParagraph"/>
              <w:spacing w:before="23"/>
              <w:ind w:right="37"/>
              <w:rPr>
                <w:b/>
                <w:sz w:val="14"/>
              </w:rPr>
            </w:pPr>
            <w:r>
              <w:rPr>
                <w:b/>
                <w:spacing w:val="-2"/>
                <w:sz w:val="14"/>
              </w:rPr>
              <w:t>(5.00)</w:t>
            </w:r>
          </w:p>
        </w:tc>
      </w:tr>
      <w:tr>
        <w:trPr>
          <w:trHeight w:val="229" w:hRule="atLeast"/>
        </w:trPr>
        <w:tc>
          <w:tcPr>
            <w:tcW w:w="1186" w:type="dxa"/>
            <w:tcBorders>
              <w:top w:val="single" w:sz="4" w:space="0" w:color="000000"/>
              <w:bottom w:val="single" w:sz="12" w:space="0" w:color="000000"/>
            </w:tcBorders>
          </w:tcPr>
          <w:p>
            <w:pPr>
              <w:pStyle w:val="TableParagraph"/>
              <w:spacing w:before="28"/>
              <w:ind w:left="67"/>
              <w:jc w:val="left"/>
              <w:rPr>
                <w:b/>
                <w:sz w:val="14"/>
              </w:rPr>
            </w:pPr>
            <w:r>
              <w:rPr>
                <w:b/>
                <w:sz w:val="14"/>
              </w:rPr>
              <w:t>Proposed</w:t>
            </w:r>
            <w:r>
              <w:rPr>
                <w:b/>
                <w:spacing w:val="-6"/>
                <w:sz w:val="14"/>
              </w:rPr>
              <w:t> </w:t>
            </w:r>
            <w:r>
              <w:rPr>
                <w:b/>
                <w:spacing w:val="-4"/>
                <w:sz w:val="14"/>
              </w:rPr>
              <w:t>2023</w:t>
            </w:r>
          </w:p>
        </w:tc>
        <w:tc>
          <w:tcPr>
            <w:tcW w:w="678" w:type="dxa"/>
            <w:tcBorders>
              <w:top w:val="single" w:sz="4" w:space="0" w:color="000000"/>
              <w:bottom w:val="single" w:sz="12" w:space="0" w:color="000000"/>
            </w:tcBorders>
          </w:tcPr>
          <w:p>
            <w:pPr>
              <w:pStyle w:val="TableParagraph"/>
              <w:spacing w:before="28"/>
              <w:ind w:right="154"/>
              <w:rPr>
                <w:b/>
                <w:sz w:val="14"/>
              </w:rPr>
            </w:pPr>
            <w:r>
              <w:rPr>
                <w:b/>
                <w:w w:val="99"/>
                <w:sz w:val="14"/>
              </w:rPr>
              <w:t>-</w:t>
            </w:r>
          </w:p>
        </w:tc>
        <w:tc>
          <w:tcPr>
            <w:tcW w:w="607" w:type="dxa"/>
            <w:tcBorders>
              <w:top w:val="single" w:sz="4" w:space="0" w:color="000000"/>
              <w:bottom w:val="single" w:sz="12" w:space="0" w:color="000000"/>
            </w:tcBorders>
          </w:tcPr>
          <w:p>
            <w:pPr>
              <w:pStyle w:val="TableParagraph"/>
              <w:spacing w:before="28"/>
              <w:ind w:right="170"/>
              <w:rPr>
                <w:b/>
                <w:sz w:val="14"/>
              </w:rPr>
            </w:pPr>
            <w:r>
              <w:rPr>
                <w:b/>
                <w:w w:val="99"/>
                <w:sz w:val="14"/>
              </w:rPr>
              <w:t>-</w:t>
            </w:r>
          </w:p>
        </w:tc>
        <w:tc>
          <w:tcPr>
            <w:tcW w:w="563" w:type="dxa"/>
            <w:tcBorders>
              <w:top w:val="single" w:sz="4" w:space="0" w:color="000000"/>
              <w:bottom w:val="single" w:sz="12" w:space="0" w:color="000000"/>
            </w:tcBorders>
          </w:tcPr>
          <w:p>
            <w:pPr>
              <w:pStyle w:val="TableParagraph"/>
              <w:spacing w:before="28"/>
              <w:ind w:right="171"/>
              <w:rPr>
                <w:b/>
                <w:sz w:val="14"/>
              </w:rPr>
            </w:pPr>
            <w:r>
              <w:rPr>
                <w:b/>
                <w:w w:val="99"/>
                <w:sz w:val="14"/>
              </w:rPr>
              <w:t>-</w:t>
            </w:r>
          </w:p>
        </w:tc>
        <w:tc>
          <w:tcPr>
            <w:tcW w:w="581" w:type="dxa"/>
            <w:tcBorders>
              <w:top w:val="single" w:sz="4" w:space="0" w:color="000000"/>
              <w:bottom w:val="single" w:sz="12" w:space="0" w:color="000000"/>
            </w:tcBorders>
          </w:tcPr>
          <w:p>
            <w:pPr>
              <w:pStyle w:val="TableParagraph"/>
              <w:spacing w:before="28"/>
              <w:ind w:right="191"/>
              <w:rPr>
                <w:b/>
                <w:sz w:val="14"/>
              </w:rPr>
            </w:pPr>
            <w:r>
              <w:rPr>
                <w:b/>
                <w:w w:val="99"/>
                <w:sz w:val="14"/>
              </w:rPr>
              <w:t>-</w:t>
            </w:r>
          </w:p>
        </w:tc>
        <w:tc>
          <w:tcPr>
            <w:tcW w:w="557" w:type="dxa"/>
            <w:tcBorders>
              <w:top w:val="single" w:sz="4" w:space="0" w:color="000000"/>
              <w:bottom w:val="single" w:sz="12" w:space="0" w:color="000000"/>
            </w:tcBorders>
          </w:tcPr>
          <w:p>
            <w:pPr>
              <w:pStyle w:val="TableParagraph"/>
              <w:spacing w:before="28"/>
              <w:ind w:right="166"/>
              <w:rPr>
                <w:b/>
                <w:sz w:val="14"/>
              </w:rPr>
            </w:pPr>
            <w:r>
              <w:rPr>
                <w:b/>
                <w:w w:val="99"/>
                <w:sz w:val="14"/>
              </w:rPr>
              <w:t>-</w:t>
            </w:r>
          </w:p>
        </w:tc>
        <w:tc>
          <w:tcPr>
            <w:tcW w:w="546" w:type="dxa"/>
            <w:tcBorders>
              <w:top w:val="single" w:sz="4" w:space="0" w:color="000000"/>
              <w:bottom w:val="single" w:sz="12" w:space="0" w:color="000000"/>
            </w:tcBorders>
          </w:tcPr>
          <w:p>
            <w:pPr>
              <w:pStyle w:val="TableParagraph"/>
              <w:spacing w:before="28"/>
              <w:ind w:right="123"/>
              <w:rPr>
                <w:b/>
                <w:sz w:val="14"/>
              </w:rPr>
            </w:pPr>
            <w:r>
              <w:rPr>
                <w:b/>
                <w:spacing w:val="-4"/>
                <w:sz w:val="14"/>
              </w:rPr>
              <w:t>2.75</w:t>
            </w:r>
          </w:p>
        </w:tc>
        <w:tc>
          <w:tcPr>
            <w:tcW w:w="668" w:type="dxa"/>
            <w:tcBorders>
              <w:top w:val="single" w:sz="4" w:space="0" w:color="000000"/>
              <w:bottom w:val="single" w:sz="12" w:space="0" w:color="000000"/>
            </w:tcBorders>
          </w:tcPr>
          <w:p>
            <w:pPr>
              <w:pStyle w:val="TableParagraph"/>
              <w:spacing w:before="28"/>
              <w:ind w:right="196"/>
              <w:rPr>
                <w:b/>
                <w:sz w:val="14"/>
              </w:rPr>
            </w:pPr>
            <w:r>
              <w:rPr>
                <w:b/>
                <w:spacing w:val="-2"/>
                <w:sz w:val="14"/>
              </w:rPr>
              <w:t>12.75</w:t>
            </w:r>
          </w:p>
        </w:tc>
        <w:tc>
          <w:tcPr>
            <w:tcW w:w="712" w:type="dxa"/>
            <w:tcBorders>
              <w:top w:val="single" w:sz="4" w:space="0" w:color="000000"/>
              <w:bottom w:val="single" w:sz="12" w:space="0" w:color="000000"/>
            </w:tcBorders>
          </w:tcPr>
          <w:p>
            <w:pPr>
              <w:pStyle w:val="TableParagraph"/>
              <w:spacing w:before="28"/>
              <w:ind w:right="169"/>
              <w:rPr>
                <w:b/>
                <w:sz w:val="14"/>
              </w:rPr>
            </w:pPr>
            <w:r>
              <w:rPr>
                <w:b/>
                <w:spacing w:val="-2"/>
                <w:sz w:val="14"/>
              </w:rPr>
              <w:t>16.50</w:t>
            </w:r>
          </w:p>
        </w:tc>
        <w:tc>
          <w:tcPr>
            <w:tcW w:w="487" w:type="dxa"/>
            <w:tcBorders>
              <w:top w:val="single" w:sz="4" w:space="0" w:color="000000"/>
              <w:bottom w:val="single" w:sz="12" w:space="0" w:color="000000"/>
            </w:tcBorders>
          </w:tcPr>
          <w:p>
            <w:pPr>
              <w:pStyle w:val="TableParagraph"/>
              <w:spacing w:before="28"/>
              <w:ind w:left="-19" w:right="60"/>
              <w:rPr>
                <w:b/>
                <w:sz w:val="14"/>
              </w:rPr>
            </w:pPr>
            <w:r>
              <w:rPr>
                <w:b/>
                <w:spacing w:val="-4"/>
                <w:sz w:val="14"/>
              </w:rPr>
              <w:t>3.00</w:t>
            </w:r>
          </w:p>
        </w:tc>
        <w:tc>
          <w:tcPr>
            <w:tcW w:w="793" w:type="dxa"/>
            <w:tcBorders>
              <w:top w:val="single" w:sz="4" w:space="0" w:color="000000"/>
              <w:bottom w:val="single" w:sz="12" w:space="0" w:color="000000"/>
            </w:tcBorders>
          </w:tcPr>
          <w:p>
            <w:pPr>
              <w:pStyle w:val="TableParagraph"/>
              <w:spacing w:before="28"/>
              <w:ind w:right="119"/>
              <w:rPr>
                <w:b/>
                <w:i/>
                <w:sz w:val="14"/>
              </w:rPr>
            </w:pPr>
            <w:r>
              <w:rPr>
                <w:b/>
                <w:i/>
                <w:spacing w:val="-2"/>
                <w:sz w:val="14"/>
              </w:rPr>
              <w:t>35.00</w:t>
            </w:r>
          </w:p>
        </w:tc>
        <w:tc>
          <w:tcPr>
            <w:tcW w:w="566" w:type="dxa"/>
            <w:tcBorders>
              <w:top w:val="single" w:sz="4" w:space="0" w:color="000000"/>
              <w:bottom w:val="single" w:sz="12" w:space="0" w:color="000000"/>
            </w:tcBorders>
          </w:tcPr>
          <w:p>
            <w:pPr>
              <w:pStyle w:val="TableParagraph"/>
              <w:spacing w:before="28"/>
              <w:ind w:right="92"/>
              <w:rPr>
                <w:b/>
                <w:sz w:val="14"/>
              </w:rPr>
            </w:pPr>
            <w:r>
              <w:rPr>
                <w:b/>
                <w:w w:val="99"/>
                <w:sz w:val="14"/>
              </w:rPr>
              <w:t>-</w:t>
            </w:r>
          </w:p>
        </w:tc>
        <w:tc>
          <w:tcPr>
            <w:tcW w:w="578" w:type="dxa"/>
            <w:tcBorders>
              <w:top w:val="single" w:sz="4" w:space="0" w:color="000000"/>
              <w:bottom w:val="single" w:sz="12" w:space="0" w:color="000000"/>
            </w:tcBorders>
          </w:tcPr>
          <w:p>
            <w:pPr>
              <w:pStyle w:val="TableParagraph"/>
              <w:spacing w:before="28"/>
              <w:ind w:right="79"/>
              <w:rPr>
                <w:b/>
                <w:sz w:val="14"/>
              </w:rPr>
            </w:pPr>
            <w:r>
              <w:rPr>
                <w:b/>
                <w:w w:val="99"/>
                <w:sz w:val="14"/>
              </w:rPr>
              <w:t>-</w:t>
            </w:r>
          </w:p>
        </w:tc>
        <w:tc>
          <w:tcPr>
            <w:tcW w:w="561" w:type="dxa"/>
            <w:tcBorders>
              <w:top w:val="single" w:sz="4" w:space="0" w:color="000000"/>
              <w:bottom w:val="single" w:sz="12" w:space="0" w:color="000000"/>
            </w:tcBorders>
          </w:tcPr>
          <w:p>
            <w:pPr>
              <w:pStyle w:val="TableParagraph"/>
              <w:spacing w:before="28"/>
              <w:ind w:right="47"/>
              <w:rPr>
                <w:b/>
                <w:sz w:val="14"/>
              </w:rPr>
            </w:pPr>
            <w:r>
              <w:rPr>
                <w:b/>
                <w:spacing w:val="-2"/>
                <w:sz w:val="14"/>
              </w:rPr>
              <w:t>29.67</w:t>
            </w:r>
          </w:p>
        </w:tc>
        <w:tc>
          <w:tcPr>
            <w:tcW w:w="810" w:type="dxa"/>
            <w:tcBorders>
              <w:top w:val="single" w:sz="4" w:space="0" w:color="000000"/>
              <w:bottom w:val="single" w:sz="12" w:space="0" w:color="000000"/>
            </w:tcBorders>
          </w:tcPr>
          <w:p>
            <w:pPr>
              <w:pStyle w:val="TableParagraph"/>
              <w:spacing w:before="28"/>
              <w:ind w:right="117"/>
              <w:rPr>
                <w:b/>
                <w:i/>
                <w:sz w:val="14"/>
              </w:rPr>
            </w:pPr>
            <w:r>
              <w:rPr>
                <w:b/>
                <w:i/>
                <w:spacing w:val="-2"/>
                <w:sz w:val="14"/>
              </w:rPr>
              <w:t>29.67</w:t>
            </w:r>
          </w:p>
        </w:tc>
        <w:tc>
          <w:tcPr>
            <w:tcW w:w="521" w:type="dxa"/>
            <w:tcBorders>
              <w:top w:val="single" w:sz="4" w:space="0" w:color="000000"/>
              <w:bottom w:val="single" w:sz="12" w:space="0" w:color="000000"/>
            </w:tcBorders>
          </w:tcPr>
          <w:p>
            <w:pPr>
              <w:pStyle w:val="TableParagraph"/>
              <w:spacing w:before="28"/>
              <w:ind w:right="38"/>
              <w:rPr>
                <w:b/>
                <w:sz w:val="14"/>
              </w:rPr>
            </w:pPr>
            <w:r>
              <w:rPr>
                <w:b/>
                <w:spacing w:val="-2"/>
                <w:sz w:val="14"/>
              </w:rPr>
              <w:t>64.67</w:t>
            </w:r>
          </w:p>
        </w:tc>
      </w:tr>
    </w:tbl>
    <w:p>
      <w:pPr>
        <w:spacing w:after="0"/>
        <w:rPr>
          <w:sz w:val="14"/>
        </w:rPr>
        <w:sectPr>
          <w:pgSz w:w="11910" w:h="16840"/>
          <w:pgMar w:header="957" w:footer="940" w:top="1140" w:bottom="1140" w:left="20" w:right="20"/>
        </w:sectPr>
      </w:pPr>
    </w:p>
    <w:p>
      <w:pPr>
        <w:pStyle w:val="Heading2"/>
        <w:numPr>
          <w:ilvl w:val="1"/>
          <w:numId w:val="3"/>
        </w:numPr>
        <w:tabs>
          <w:tab w:pos="2246" w:val="left" w:leader="none"/>
          <w:tab w:pos="2247" w:val="left" w:leader="none"/>
        </w:tabs>
        <w:spacing w:line="240" w:lineRule="auto" w:before="125" w:after="0"/>
        <w:ind w:left="2246" w:right="0" w:hanging="568"/>
        <w:jc w:val="left"/>
      </w:pPr>
      <w:bookmarkStart w:name="_bookmark32" w:id="33"/>
      <w:bookmarkEnd w:id="33"/>
      <w:r>
        <w:rPr/>
        <w:t>M</w:t>
      </w:r>
      <w:r>
        <w:rPr/>
        <w:t>ajor</w:t>
      </w:r>
      <w:r>
        <w:rPr>
          <w:spacing w:val="-3"/>
        </w:rPr>
        <w:t> </w:t>
      </w:r>
      <w:r>
        <w:rPr/>
        <w:t>Programme</w:t>
      </w:r>
      <w:r>
        <w:rPr>
          <w:spacing w:val="-8"/>
        </w:rPr>
        <w:t> </w:t>
      </w:r>
      <w:r>
        <w:rPr/>
        <w:t>III:</w:t>
      </w:r>
      <w:r>
        <w:rPr>
          <w:spacing w:val="-2"/>
        </w:rPr>
        <w:t> Registry</w:t>
      </w:r>
    </w:p>
    <w:p>
      <w:pPr>
        <w:pStyle w:val="BodyText"/>
        <w:spacing w:before="1"/>
        <w:rPr>
          <w:b/>
          <w:sz w:val="22"/>
        </w:rPr>
      </w:pPr>
      <w:r>
        <w:rPr/>
        <w:pict>
          <v:group style="position:absolute;margin-left:115.217964pt;margin-top:13.946959pt;width:365.6pt;height:173.6pt;mso-position-horizontal-relative:page;mso-position-vertical-relative:paragraph;z-index:-15692288;mso-wrap-distance-left:0;mso-wrap-distance-right:0" id="docshapegroup194" coordorigin="2304,279" coordsize="7312,3472">
            <v:shape style="position:absolute;left:3350;top:1399;width:5219;height:1603" id="docshape195" coordorigin="3351,1400" coordsize="5219,1603" path="m5870,1400l5870,2769,8569,2769,8569,3002m5870,1400l5870,2769,3351,2769,3351,3002m5870,1984l6318,1985m5871,3002l5870,2816e" filled="false" stroked="true" strokeweight="1.096181pt" strokecolor="#404040">
              <v:path arrowok="t"/>
              <v:stroke dashstyle="solid"/>
            </v:shape>
            <v:line style="position:absolute" from="5513,2291" to="5870,2291" stroked="true" strokeweight=".788824pt" strokecolor="#000000">
              <v:stroke dashstyle="solid"/>
            </v:line>
            <v:shape style="position:absolute;left:7525;top:3002;width:2088;height:746" type="#_x0000_t202" id="docshape196" filled="false" stroked="true" strokeweight=".273931pt" strokecolor="#404040">
              <v:textbox inset="0,0,0,0">
                <w:txbxContent>
                  <w:p>
                    <w:pPr>
                      <w:spacing w:line="240" w:lineRule="auto" w:before="6"/>
                      <w:rPr>
                        <w:b/>
                        <w:sz w:val="16"/>
                      </w:rPr>
                    </w:pPr>
                  </w:p>
                  <w:p>
                    <w:pPr>
                      <w:spacing w:line="244" w:lineRule="auto" w:before="0"/>
                      <w:ind w:left="674" w:right="0" w:hanging="332"/>
                      <w:jc w:val="left"/>
                      <w:rPr>
                        <w:sz w:val="18"/>
                      </w:rPr>
                    </w:pPr>
                    <w:r>
                      <w:rPr>
                        <w:spacing w:val="-2"/>
                        <w:sz w:val="18"/>
                      </w:rPr>
                      <w:t>Division</w:t>
                    </w:r>
                    <w:r>
                      <w:rPr>
                        <w:spacing w:val="-10"/>
                        <w:sz w:val="18"/>
                      </w:rPr>
                      <w:t> </w:t>
                    </w:r>
                    <w:r>
                      <w:rPr>
                        <w:spacing w:val="-2"/>
                        <w:sz w:val="18"/>
                      </w:rPr>
                      <w:t>of</w:t>
                    </w:r>
                    <w:r>
                      <w:rPr>
                        <w:spacing w:val="-9"/>
                        <w:sz w:val="18"/>
                      </w:rPr>
                      <w:t> </w:t>
                    </w:r>
                    <w:r>
                      <w:rPr>
                        <w:spacing w:val="-2"/>
                        <w:sz w:val="18"/>
                      </w:rPr>
                      <w:t>External Operations</w:t>
                    </w:r>
                  </w:p>
                </w:txbxContent>
              </v:textbox>
              <v:stroke dashstyle="solid"/>
              <w10:wrap type="none"/>
            </v:shape>
            <v:shape style="position:absolute;left:4766;top:3002;width:2297;height:746" type="#_x0000_t202" id="docshape197" filled="false" stroked="true" strokeweight=".273925pt" strokecolor="#404040">
              <v:textbox inset="0,0,0,0">
                <w:txbxContent>
                  <w:p>
                    <w:pPr>
                      <w:spacing w:line="240" w:lineRule="auto" w:before="7"/>
                      <w:rPr>
                        <w:b/>
                        <w:sz w:val="17"/>
                      </w:rPr>
                    </w:pPr>
                  </w:p>
                  <w:p>
                    <w:pPr>
                      <w:spacing w:before="0"/>
                      <w:ind w:left="130" w:right="0" w:firstLine="0"/>
                      <w:jc w:val="left"/>
                      <w:rPr>
                        <w:sz w:val="18"/>
                      </w:rPr>
                    </w:pPr>
                    <w:r>
                      <w:rPr>
                        <w:sz w:val="18"/>
                      </w:rPr>
                      <w:t>Division</w:t>
                    </w:r>
                    <w:r>
                      <w:rPr>
                        <w:spacing w:val="-12"/>
                        <w:sz w:val="18"/>
                      </w:rPr>
                      <w:t> </w:t>
                    </w:r>
                    <w:r>
                      <w:rPr>
                        <w:sz w:val="18"/>
                      </w:rPr>
                      <w:t>of</w:t>
                    </w:r>
                    <w:r>
                      <w:rPr>
                        <w:spacing w:val="-11"/>
                        <w:sz w:val="18"/>
                      </w:rPr>
                      <w:t> </w:t>
                    </w:r>
                    <w:r>
                      <w:rPr>
                        <w:sz w:val="18"/>
                      </w:rPr>
                      <w:t>Judicial</w:t>
                    </w:r>
                    <w:r>
                      <w:rPr>
                        <w:spacing w:val="-11"/>
                        <w:sz w:val="18"/>
                      </w:rPr>
                      <w:t> </w:t>
                    </w:r>
                    <w:r>
                      <w:rPr>
                        <w:spacing w:val="-2"/>
                        <w:sz w:val="18"/>
                      </w:rPr>
                      <w:t>Services</w:t>
                    </w:r>
                  </w:p>
                </w:txbxContent>
              </v:textbox>
              <v:stroke dashstyle="solid"/>
              <w10:wrap type="none"/>
            </v:shape>
            <v:shape style="position:absolute;left:2307;top:3002;width:2088;height:746" type="#_x0000_t202" id="docshape198" filled="false" stroked="true" strokeweight=".273931pt" strokecolor="#404040">
              <v:textbox inset="0,0,0,0">
                <w:txbxContent>
                  <w:p>
                    <w:pPr>
                      <w:spacing w:line="240" w:lineRule="auto" w:before="6"/>
                      <w:rPr>
                        <w:b/>
                        <w:sz w:val="16"/>
                      </w:rPr>
                    </w:pPr>
                  </w:p>
                  <w:p>
                    <w:pPr>
                      <w:spacing w:line="244" w:lineRule="auto" w:before="0"/>
                      <w:ind w:left="808" w:right="0" w:hanging="582"/>
                      <w:jc w:val="left"/>
                      <w:rPr>
                        <w:sz w:val="18"/>
                      </w:rPr>
                    </w:pPr>
                    <w:r>
                      <w:rPr>
                        <w:spacing w:val="-2"/>
                        <w:sz w:val="18"/>
                      </w:rPr>
                      <w:t>Division</w:t>
                    </w:r>
                    <w:r>
                      <w:rPr>
                        <w:spacing w:val="-10"/>
                        <w:sz w:val="18"/>
                      </w:rPr>
                      <w:t> </w:t>
                    </w:r>
                    <w:r>
                      <w:rPr>
                        <w:spacing w:val="-2"/>
                        <w:sz w:val="18"/>
                      </w:rPr>
                      <w:t>of</w:t>
                    </w:r>
                    <w:r>
                      <w:rPr>
                        <w:spacing w:val="-9"/>
                        <w:sz w:val="18"/>
                      </w:rPr>
                      <w:t> </w:t>
                    </w:r>
                    <w:r>
                      <w:rPr>
                        <w:spacing w:val="-2"/>
                        <w:sz w:val="18"/>
                      </w:rPr>
                      <w:t>Management Services</w:t>
                    </w:r>
                  </w:p>
                </w:txbxContent>
              </v:textbox>
              <v:stroke dashstyle="solid"/>
              <w10:wrap type="none"/>
            </v:shape>
            <v:shape style="position:absolute;left:4020;top:1998;width:1493;height:573" type="#_x0000_t202" id="docshape199" filled="false" stroked="true" strokeweight=".273934pt" strokecolor="#404040">
              <v:textbox inset="0,0,0,0">
                <w:txbxContent>
                  <w:p>
                    <w:pPr>
                      <w:spacing w:before="92"/>
                      <w:ind w:left="32" w:right="35" w:firstLine="0"/>
                      <w:jc w:val="center"/>
                      <w:rPr>
                        <w:rFonts w:ascii="Arial"/>
                        <w:sz w:val="13"/>
                      </w:rPr>
                    </w:pPr>
                    <w:r>
                      <w:rPr>
                        <w:rFonts w:ascii="Arial"/>
                        <w:sz w:val="13"/>
                      </w:rPr>
                      <w:t>Office</w:t>
                    </w:r>
                    <w:r>
                      <w:rPr>
                        <w:rFonts w:ascii="Arial"/>
                        <w:spacing w:val="11"/>
                        <w:sz w:val="13"/>
                      </w:rPr>
                      <w:t> </w:t>
                    </w:r>
                    <w:r>
                      <w:rPr>
                        <w:rFonts w:ascii="Arial"/>
                        <w:sz w:val="13"/>
                      </w:rPr>
                      <w:t>of</w:t>
                    </w:r>
                    <w:r>
                      <w:rPr>
                        <w:rFonts w:ascii="Arial"/>
                        <w:spacing w:val="-4"/>
                        <w:sz w:val="13"/>
                      </w:rPr>
                      <w:t> </w:t>
                    </w:r>
                    <w:r>
                      <w:rPr>
                        <w:rFonts w:ascii="Arial"/>
                        <w:sz w:val="13"/>
                      </w:rPr>
                      <w:t>the</w:t>
                    </w:r>
                    <w:r>
                      <w:rPr>
                        <w:rFonts w:ascii="Arial"/>
                        <w:spacing w:val="-9"/>
                        <w:sz w:val="13"/>
                      </w:rPr>
                      <w:t> </w:t>
                    </w:r>
                    <w:r>
                      <w:rPr>
                        <w:rFonts w:ascii="Arial"/>
                        <w:sz w:val="13"/>
                      </w:rPr>
                      <w:t>Focal</w:t>
                    </w:r>
                    <w:r>
                      <w:rPr>
                        <w:rFonts w:ascii="Arial"/>
                        <w:spacing w:val="5"/>
                        <w:sz w:val="13"/>
                      </w:rPr>
                      <w:t> </w:t>
                    </w:r>
                    <w:r>
                      <w:rPr>
                        <w:rFonts w:ascii="Arial"/>
                        <w:spacing w:val="-2"/>
                        <w:sz w:val="13"/>
                      </w:rPr>
                      <w:t>Point</w:t>
                    </w:r>
                  </w:p>
                  <w:p>
                    <w:pPr>
                      <w:spacing w:before="49"/>
                      <w:ind w:left="32" w:right="33" w:firstLine="0"/>
                      <w:jc w:val="center"/>
                      <w:rPr>
                        <w:rFonts w:ascii="Arial"/>
                        <w:sz w:val="13"/>
                      </w:rPr>
                    </w:pPr>
                    <w:r>
                      <w:rPr>
                        <w:rFonts w:ascii="Arial"/>
                        <w:sz w:val="13"/>
                      </w:rPr>
                      <w:t>for</w:t>
                    </w:r>
                    <w:r>
                      <w:rPr>
                        <w:rFonts w:ascii="Arial"/>
                        <w:spacing w:val="4"/>
                        <w:sz w:val="13"/>
                      </w:rPr>
                      <w:t> </w:t>
                    </w:r>
                    <w:r>
                      <w:rPr>
                        <w:rFonts w:ascii="Arial"/>
                        <w:sz w:val="13"/>
                      </w:rPr>
                      <w:t>Gender</w:t>
                    </w:r>
                    <w:r>
                      <w:rPr>
                        <w:rFonts w:ascii="Arial"/>
                        <w:spacing w:val="-14"/>
                        <w:sz w:val="13"/>
                      </w:rPr>
                      <w:t> </w:t>
                    </w:r>
                    <w:r>
                      <w:rPr>
                        <w:rFonts w:ascii="Arial"/>
                        <w:spacing w:val="-2"/>
                        <w:sz w:val="13"/>
                      </w:rPr>
                      <w:t>Equality</w:t>
                    </w:r>
                  </w:p>
                </w:txbxContent>
              </v:textbox>
              <v:stroke dashstyle="solid"/>
              <w10:wrap type="none"/>
            </v:shape>
            <v:shape style="position:absolute;left:6317;top:1675;width:1493;height:560" type="#_x0000_t202" id="docshape200" filled="false" stroked="true" strokeweight=".273934pt" strokecolor="#404040">
              <v:textbox inset="0,0,0,0">
                <w:txbxContent>
                  <w:p>
                    <w:pPr>
                      <w:spacing w:before="149"/>
                      <w:ind w:left="302" w:right="0" w:firstLine="0"/>
                      <w:jc w:val="left"/>
                      <w:rPr>
                        <w:sz w:val="18"/>
                      </w:rPr>
                    </w:pPr>
                    <w:r>
                      <w:rPr>
                        <w:spacing w:val="-2"/>
                        <w:sz w:val="18"/>
                      </w:rPr>
                      <w:t>Legal</w:t>
                    </w:r>
                    <w:r>
                      <w:rPr>
                        <w:spacing w:val="-6"/>
                        <w:sz w:val="18"/>
                      </w:rPr>
                      <w:t> </w:t>
                    </w:r>
                    <w:r>
                      <w:rPr>
                        <w:spacing w:val="-2"/>
                        <w:sz w:val="18"/>
                      </w:rPr>
                      <w:t>Office</w:t>
                    </w:r>
                  </w:p>
                </w:txbxContent>
              </v:textbox>
              <v:stroke dashstyle="solid"/>
              <w10:wrap type="none"/>
            </v:shape>
            <v:shape style="position:absolute;left:4766;top:301;width:2203;height:1079" type="#_x0000_t202" id="docshape201" filled="false" stroked="true" strokeweight="2.248236pt" strokecolor="#404040">
              <v:textbox inset="0,0,0,0">
                <w:txbxContent>
                  <w:p>
                    <w:pPr>
                      <w:spacing w:line="240" w:lineRule="auto" w:before="0"/>
                      <w:rPr>
                        <w:b/>
                        <w:sz w:val="25"/>
                      </w:rPr>
                    </w:pPr>
                  </w:p>
                  <w:p>
                    <w:pPr>
                      <w:spacing w:line="244" w:lineRule="auto" w:before="0"/>
                      <w:ind w:left="743" w:right="0" w:hanging="535"/>
                      <w:jc w:val="left"/>
                      <w:rPr>
                        <w:b/>
                        <w:sz w:val="18"/>
                      </w:rPr>
                    </w:pPr>
                    <w:r>
                      <w:rPr>
                        <w:b/>
                        <w:spacing w:val="-2"/>
                        <w:sz w:val="18"/>
                      </w:rPr>
                      <w:t>Immediate</w:t>
                    </w:r>
                    <w:r>
                      <w:rPr>
                        <w:b/>
                        <w:spacing w:val="-10"/>
                        <w:sz w:val="18"/>
                      </w:rPr>
                      <w:t> </w:t>
                    </w:r>
                    <w:r>
                      <w:rPr>
                        <w:b/>
                        <w:spacing w:val="-2"/>
                        <w:sz w:val="18"/>
                      </w:rPr>
                      <w:t>Office</w:t>
                    </w:r>
                    <w:r>
                      <w:rPr>
                        <w:b/>
                        <w:spacing w:val="-11"/>
                        <w:sz w:val="18"/>
                      </w:rPr>
                      <w:t> </w:t>
                    </w:r>
                    <w:r>
                      <w:rPr>
                        <w:b/>
                        <w:spacing w:val="-2"/>
                        <w:sz w:val="18"/>
                      </w:rPr>
                      <w:t>of</w:t>
                    </w:r>
                    <w:r>
                      <w:rPr>
                        <w:b/>
                        <w:spacing w:val="-9"/>
                        <w:sz w:val="18"/>
                      </w:rPr>
                      <w:t> </w:t>
                    </w:r>
                    <w:r>
                      <w:rPr>
                        <w:b/>
                        <w:spacing w:val="-2"/>
                        <w:sz w:val="18"/>
                      </w:rPr>
                      <w:t>the Registrar</w:t>
                    </w:r>
                  </w:p>
                </w:txbxContent>
              </v:textbox>
              <v:stroke linestyle="thinThin" dashstyle="solid"/>
              <w10:wrap type="none"/>
            </v:shape>
            <w10:wrap type="topAndBottom"/>
          </v:group>
        </w:pict>
      </w:r>
    </w:p>
    <w:p>
      <w:pPr>
        <w:pStyle w:val="BodyText"/>
        <w:rPr>
          <w:b/>
        </w:rPr>
      </w:pPr>
    </w:p>
    <w:p>
      <w:pPr>
        <w:pStyle w:val="BodyText"/>
        <w:rPr>
          <w:b/>
        </w:rPr>
      </w:pPr>
    </w:p>
    <w:p>
      <w:pPr>
        <w:pStyle w:val="BodyText"/>
        <w:spacing w:before="8"/>
        <w:rPr>
          <w:b/>
        </w:rPr>
      </w:pPr>
    </w:p>
    <w:p>
      <w:pPr>
        <w:pStyle w:val="Heading3"/>
      </w:pPr>
      <w:r>
        <w:rPr>
          <w:spacing w:val="-2"/>
        </w:rPr>
        <w:t>Introduction</w:t>
      </w:r>
    </w:p>
    <w:p>
      <w:pPr>
        <w:pStyle w:val="BodyText"/>
        <w:spacing w:before="10"/>
        <w:rPr>
          <w:b/>
        </w:rPr>
      </w:pPr>
    </w:p>
    <w:p>
      <w:pPr>
        <w:pStyle w:val="ListParagraph"/>
        <w:numPr>
          <w:ilvl w:val="0"/>
          <w:numId w:val="4"/>
        </w:numPr>
        <w:tabs>
          <w:tab w:pos="2967" w:val="left" w:leader="none"/>
        </w:tabs>
        <w:spacing w:line="240" w:lineRule="auto" w:before="0" w:after="0"/>
        <w:ind w:left="2246" w:right="2241" w:firstLine="0"/>
        <w:jc w:val="both"/>
        <w:rPr>
          <w:sz w:val="20"/>
        </w:rPr>
      </w:pPr>
      <w:bookmarkStart w:name="_bookmark33" w:id="34"/>
      <w:bookmarkEnd w:id="34"/>
      <w:r>
        <w:rPr>
          <w:sz w:val="20"/>
        </w:rPr>
        <w:t>T</w:t>
      </w:r>
      <w:r>
        <w:rPr>
          <w:sz w:val="20"/>
        </w:rPr>
        <w:t>he Registry is headed by the Registrar, the principal administrative officer of the Court, and is the organ responsible for the non-judicial aspects of the administration and servicing of the Court. It is divided into three divisions, all crucial for ensuring fair, expeditious and transparent judicial proceedings as well as support to investigations and Registry clients: the Division of Management Services (DMS), the Division of Judicial Services (DJS) and the Division of External Operations (DEO). Within the Office of the Registrar,</w:t>
      </w:r>
      <w:r>
        <w:rPr>
          <w:spacing w:val="-13"/>
          <w:sz w:val="20"/>
        </w:rPr>
        <w:t> </w:t>
      </w:r>
      <w:r>
        <w:rPr>
          <w:sz w:val="20"/>
        </w:rPr>
        <w:t>the</w:t>
      </w:r>
      <w:r>
        <w:rPr>
          <w:spacing w:val="-12"/>
          <w:sz w:val="20"/>
        </w:rPr>
        <w:t> </w:t>
      </w:r>
      <w:r>
        <w:rPr>
          <w:sz w:val="20"/>
        </w:rPr>
        <w:t>Immediate</w:t>
      </w:r>
      <w:r>
        <w:rPr>
          <w:spacing w:val="-10"/>
          <w:sz w:val="20"/>
        </w:rPr>
        <w:t> </w:t>
      </w:r>
      <w:r>
        <w:rPr>
          <w:sz w:val="20"/>
        </w:rPr>
        <w:t>Office</w:t>
      </w:r>
      <w:r>
        <w:rPr>
          <w:spacing w:val="-13"/>
          <w:sz w:val="20"/>
        </w:rPr>
        <w:t> </w:t>
      </w:r>
      <w:r>
        <w:rPr>
          <w:sz w:val="20"/>
        </w:rPr>
        <w:t>helps</w:t>
      </w:r>
      <w:r>
        <w:rPr>
          <w:spacing w:val="-12"/>
          <w:sz w:val="20"/>
        </w:rPr>
        <w:t> </w:t>
      </w:r>
      <w:r>
        <w:rPr>
          <w:sz w:val="20"/>
        </w:rPr>
        <w:t>the</w:t>
      </w:r>
      <w:r>
        <w:rPr>
          <w:spacing w:val="-13"/>
          <w:sz w:val="20"/>
        </w:rPr>
        <w:t> </w:t>
      </w:r>
      <w:r>
        <w:rPr>
          <w:sz w:val="20"/>
        </w:rPr>
        <w:t>Registrar</w:t>
      </w:r>
      <w:r>
        <w:rPr>
          <w:spacing w:val="-12"/>
          <w:sz w:val="20"/>
        </w:rPr>
        <w:t> </w:t>
      </w:r>
      <w:r>
        <w:rPr>
          <w:sz w:val="20"/>
        </w:rPr>
        <w:t>provide</w:t>
      </w:r>
      <w:r>
        <w:rPr>
          <w:spacing w:val="-13"/>
          <w:sz w:val="20"/>
        </w:rPr>
        <w:t> </w:t>
      </w:r>
      <w:r>
        <w:rPr>
          <w:sz w:val="20"/>
        </w:rPr>
        <w:t>strategic</w:t>
      </w:r>
      <w:r>
        <w:rPr>
          <w:spacing w:val="-12"/>
          <w:sz w:val="20"/>
        </w:rPr>
        <w:t> </w:t>
      </w:r>
      <w:r>
        <w:rPr>
          <w:sz w:val="20"/>
        </w:rPr>
        <w:t>leadership,</w:t>
      </w:r>
      <w:r>
        <w:rPr>
          <w:spacing w:val="-13"/>
          <w:sz w:val="20"/>
        </w:rPr>
        <w:t> </w:t>
      </w:r>
      <w:r>
        <w:rPr>
          <w:sz w:val="20"/>
        </w:rPr>
        <w:t>coordination and guidance to all Registry divisions and sections, while the Registry Legal Office is responsible for supporting the performance of the Registrar’s legal functions.</w:t>
      </w:r>
    </w:p>
    <w:p>
      <w:pPr>
        <w:pStyle w:val="ListParagraph"/>
        <w:numPr>
          <w:ilvl w:val="0"/>
          <w:numId w:val="4"/>
        </w:numPr>
        <w:tabs>
          <w:tab w:pos="2967" w:val="left" w:leader="none"/>
        </w:tabs>
        <w:spacing w:line="240" w:lineRule="auto" w:before="120" w:after="0"/>
        <w:ind w:left="2246" w:right="2239" w:firstLine="0"/>
        <w:jc w:val="both"/>
        <w:rPr>
          <w:sz w:val="20"/>
        </w:rPr>
      </w:pPr>
      <w:r>
        <w:rPr>
          <w:sz w:val="20"/>
        </w:rPr>
        <w:t>Judicial proceedings form the core of the Court’s work and cannot be undertaken without the necessary services</w:t>
      </w:r>
      <w:r>
        <w:rPr>
          <w:spacing w:val="-1"/>
          <w:sz w:val="20"/>
        </w:rPr>
        <w:t> </w:t>
      </w:r>
      <w:r>
        <w:rPr>
          <w:sz w:val="20"/>
        </w:rPr>
        <w:t>and functions provided by the Registry. As a neutral support platform, the Registry is responsible for supporting judicial proceedings through functions such</w:t>
      </w:r>
      <w:r>
        <w:rPr>
          <w:spacing w:val="-13"/>
          <w:sz w:val="20"/>
        </w:rPr>
        <w:t> </w:t>
      </w:r>
      <w:r>
        <w:rPr>
          <w:sz w:val="20"/>
        </w:rPr>
        <w:t>as</w:t>
      </w:r>
      <w:r>
        <w:rPr>
          <w:spacing w:val="-12"/>
          <w:sz w:val="20"/>
        </w:rPr>
        <w:t> </w:t>
      </w:r>
      <w:r>
        <w:rPr>
          <w:sz w:val="20"/>
        </w:rPr>
        <w:t>court</w:t>
      </w:r>
      <w:r>
        <w:rPr>
          <w:spacing w:val="-13"/>
          <w:sz w:val="20"/>
        </w:rPr>
        <w:t> </w:t>
      </w:r>
      <w:r>
        <w:rPr>
          <w:sz w:val="20"/>
        </w:rPr>
        <w:t>and</w:t>
      </w:r>
      <w:r>
        <w:rPr>
          <w:spacing w:val="-12"/>
          <w:sz w:val="20"/>
        </w:rPr>
        <w:t> </w:t>
      </w:r>
      <w:r>
        <w:rPr>
          <w:sz w:val="20"/>
        </w:rPr>
        <w:t>records</w:t>
      </w:r>
      <w:r>
        <w:rPr>
          <w:spacing w:val="-13"/>
          <w:sz w:val="20"/>
        </w:rPr>
        <w:t> </w:t>
      </w:r>
      <w:r>
        <w:rPr>
          <w:sz w:val="20"/>
        </w:rPr>
        <w:t>management,</w:t>
      </w:r>
      <w:r>
        <w:rPr>
          <w:spacing w:val="-12"/>
          <w:sz w:val="20"/>
        </w:rPr>
        <w:t> </w:t>
      </w:r>
      <w:r>
        <w:rPr>
          <w:sz w:val="20"/>
        </w:rPr>
        <w:t>facilitation</w:t>
      </w:r>
      <w:r>
        <w:rPr>
          <w:spacing w:val="-13"/>
          <w:sz w:val="20"/>
        </w:rPr>
        <w:t> </w:t>
      </w:r>
      <w:r>
        <w:rPr>
          <w:sz w:val="20"/>
        </w:rPr>
        <w:t>of</w:t>
      </w:r>
      <w:r>
        <w:rPr>
          <w:spacing w:val="-12"/>
          <w:sz w:val="20"/>
        </w:rPr>
        <w:t> </w:t>
      </w:r>
      <w:r>
        <w:rPr>
          <w:sz w:val="20"/>
        </w:rPr>
        <w:t>witness</w:t>
      </w:r>
      <w:r>
        <w:rPr>
          <w:spacing w:val="-13"/>
          <w:sz w:val="20"/>
        </w:rPr>
        <w:t> </w:t>
      </w:r>
      <w:r>
        <w:rPr>
          <w:sz w:val="20"/>
        </w:rPr>
        <w:t>testimony,</w:t>
      </w:r>
      <w:r>
        <w:rPr>
          <w:spacing w:val="-12"/>
          <w:sz w:val="20"/>
        </w:rPr>
        <w:t> </w:t>
      </w:r>
      <w:r>
        <w:rPr>
          <w:sz w:val="20"/>
        </w:rPr>
        <w:t>facilitation</w:t>
      </w:r>
      <w:r>
        <w:rPr>
          <w:spacing w:val="-13"/>
          <w:sz w:val="20"/>
        </w:rPr>
        <w:t> </w:t>
      </w:r>
      <w:r>
        <w:rPr>
          <w:sz w:val="20"/>
        </w:rPr>
        <w:t>of</w:t>
      </w:r>
      <w:r>
        <w:rPr>
          <w:spacing w:val="-12"/>
          <w:sz w:val="20"/>
        </w:rPr>
        <w:t> </w:t>
      </w:r>
      <w:r>
        <w:rPr>
          <w:sz w:val="20"/>
        </w:rPr>
        <w:t>victim participation in proceedings, administration of legal aid and support to counsel, court interpretation and translation services, information technology management, security, management of the detention facilities, facilitation of judicial cooperation and assistance, ensuring the public nature of the proceedings, communication (in particular with affected communities) and field operations in support of the work of the judges, parties and participants. Without these Registry functions, judicial proceedings would not be possible, as the participants in the proceedings – including the judges, the Office of the Prosecutor (OTP), the defence, and victims and witnesses – would not have the necessary technical, operational and language support or, where applicable, the necessary financial support structures to ensure fair and expeditious judicial proceedings. The Registry’s resource requirements with regard</w:t>
      </w:r>
      <w:r>
        <w:rPr>
          <w:spacing w:val="-4"/>
          <w:sz w:val="20"/>
        </w:rPr>
        <w:t> </w:t>
      </w:r>
      <w:r>
        <w:rPr>
          <w:sz w:val="20"/>
        </w:rPr>
        <w:t>to these functions are directly driven by judicial and prosecutorial </w:t>
      </w:r>
      <w:r>
        <w:rPr>
          <w:spacing w:val="-2"/>
          <w:sz w:val="20"/>
        </w:rPr>
        <w:t>developments.</w:t>
      </w:r>
    </w:p>
    <w:p>
      <w:pPr>
        <w:pStyle w:val="ListParagraph"/>
        <w:numPr>
          <w:ilvl w:val="0"/>
          <w:numId w:val="4"/>
        </w:numPr>
        <w:tabs>
          <w:tab w:pos="2967" w:val="left" w:leader="none"/>
        </w:tabs>
        <w:spacing w:line="240" w:lineRule="auto" w:before="118" w:after="0"/>
        <w:ind w:left="2246" w:right="2236" w:firstLine="0"/>
        <w:jc w:val="both"/>
        <w:rPr>
          <w:sz w:val="20"/>
        </w:rPr>
      </w:pPr>
      <w:r>
        <w:rPr>
          <w:sz w:val="20"/>
        </w:rPr>
        <w:t>The administrative and managerial services provided by the Registry are crucial to the smooth functioning of the Court as a whole. The Registry manages human resources, budgeting, finance, procurement, facilities, travel, security and staff well-being, and coordinates</w:t>
      </w:r>
      <w:r>
        <w:rPr>
          <w:spacing w:val="-11"/>
          <w:sz w:val="20"/>
        </w:rPr>
        <w:t> </w:t>
      </w:r>
      <w:r>
        <w:rPr>
          <w:sz w:val="20"/>
        </w:rPr>
        <w:t>Court-wide</w:t>
      </w:r>
      <w:r>
        <w:rPr>
          <w:spacing w:val="-11"/>
          <w:sz w:val="20"/>
        </w:rPr>
        <w:t> </w:t>
      </w:r>
      <w:r>
        <w:rPr>
          <w:sz w:val="20"/>
        </w:rPr>
        <w:t>executive</w:t>
      </w:r>
      <w:r>
        <w:rPr>
          <w:spacing w:val="-7"/>
          <w:sz w:val="20"/>
        </w:rPr>
        <w:t> </w:t>
      </w:r>
      <w:r>
        <w:rPr>
          <w:sz w:val="20"/>
        </w:rPr>
        <w:t>functions</w:t>
      </w:r>
      <w:r>
        <w:rPr>
          <w:spacing w:val="-10"/>
          <w:sz w:val="20"/>
        </w:rPr>
        <w:t> </w:t>
      </w:r>
      <w:r>
        <w:rPr>
          <w:sz w:val="20"/>
        </w:rPr>
        <w:t>such</w:t>
      </w:r>
      <w:r>
        <w:rPr>
          <w:spacing w:val="-13"/>
          <w:sz w:val="20"/>
        </w:rPr>
        <w:t> </w:t>
      </w:r>
      <w:r>
        <w:rPr>
          <w:sz w:val="20"/>
        </w:rPr>
        <w:t>as</w:t>
      </w:r>
      <w:r>
        <w:rPr>
          <w:spacing w:val="-10"/>
          <w:sz w:val="20"/>
        </w:rPr>
        <w:t> </w:t>
      </w:r>
      <w:r>
        <w:rPr>
          <w:sz w:val="20"/>
        </w:rPr>
        <w:t>risk</w:t>
      </w:r>
      <w:r>
        <w:rPr>
          <w:spacing w:val="-9"/>
          <w:sz w:val="20"/>
        </w:rPr>
        <w:t> </w:t>
      </w:r>
      <w:r>
        <w:rPr>
          <w:sz w:val="20"/>
        </w:rPr>
        <w:t>management,</w:t>
      </w:r>
      <w:r>
        <w:rPr>
          <w:spacing w:val="-6"/>
          <w:sz w:val="20"/>
        </w:rPr>
        <w:t> </w:t>
      </w:r>
      <w:r>
        <w:rPr>
          <w:sz w:val="20"/>
        </w:rPr>
        <w:t>reporting</w:t>
      </w:r>
      <w:r>
        <w:rPr>
          <w:spacing w:val="-13"/>
          <w:sz w:val="20"/>
        </w:rPr>
        <w:t> </w:t>
      </w:r>
      <w:r>
        <w:rPr>
          <w:sz w:val="20"/>
        </w:rPr>
        <w:t>to</w:t>
      </w:r>
      <w:r>
        <w:rPr>
          <w:spacing w:val="-12"/>
          <w:sz w:val="20"/>
        </w:rPr>
        <w:t> </w:t>
      </w:r>
      <w:r>
        <w:rPr>
          <w:sz w:val="20"/>
        </w:rPr>
        <w:t>governing bodies,</w:t>
      </w:r>
      <w:r>
        <w:rPr>
          <w:spacing w:val="-1"/>
          <w:sz w:val="20"/>
        </w:rPr>
        <w:t> </w:t>
      </w:r>
      <w:r>
        <w:rPr>
          <w:sz w:val="20"/>
        </w:rPr>
        <w:t>audit</w:t>
      </w:r>
      <w:r>
        <w:rPr>
          <w:spacing w:val="-2"/>
          <w:sz w:val="20"/>
        </w:rPr>
        <w:t> </w:t>
      </w:r>
      <w:r>
        <w:rPr>
          <w:sz w:val="20"/>
        </w:rPr>
        <w:t>and</w:t>
      </w:r>
      <w:r>
        <w:rPr>
          <w:spacing w:val="-4"/>
          <w:sz w:val="20"/>
        </w:rPr>
        <w:t> </w:t>
      </w:r>
      <w:r>
        <w:rPr>
          <w:sz w:val="20"/>
        </w:rPr>
        <w:t>compliance. In</w:t>
      </w:r>
      <w:r>
        <w:rPr>
          <w:spacing w:val="-4"/>
          <w:sz w:val="20"/>
        </w:rPr>
        <w:t> </w:t>
      </w:r>
      <w:r>
        <w:rPr>
          <w:sz w:val="20"/>
        </w:rPr>
        <w:t>addition, the</w:t>
      </w:r>
      <w:r>
        <w:rPr>
          <w:spacing w:val="-2"/>
          <w:sz w:val="20"/>
        </w:rPr>
        <w:t> </w:t>
      </w:r>
      <w:r>
        <w:rPr>
          <w:sz w:val="20"/>
        </w:rPr>
        <w:t>Registry’s</w:t>
      </w:r>
      <w:r>
        <w:rPr>
          <w:spacing w:val="-5"/>
          <w:sz w:val="20"/>
        </w:rPr>
        <w:t> </w:t>
      </w:r>
      <w:r>
        <w:rPr>
          <w:sz w:val="20"/>
        </w:rPr>
        <w:t>administrative services</w:t>
      </w:r>
      <w:r>
        <w:rPr>
          <w:spacing w:val="-1"/>
          <w:sz w:val="20"/>
        </w:rPr>
        <w:t> </w:t>
      </w:r>
      <w:r>
        <w:rPr>
          <w:sz w:val="20"/>
        </w:rPr>
        <w:t>support</w:t>
      </w:r>
      <w:r>
        <w:rPr>
          <w:spacing w:val="-2"/>
          <w:sz w:val="20"/>
        </w:rPr>
        <w:t> </w:t>
      </w:r>
      <w:r>
        <w:rPr>
          <w:sz w:val="20"/>
        </w:rPr>
        <w:t>the expeditious conduct of judicial proceedings with regard to witness transport, courtroom security and courtroom equipment required by the parties. While resource requirements in relation to these Registry functions directly depend on the service needs of all areas of the Court, the Registry has over the years maintained a relatively stable capacity to cope with emerging needs.</w:t>
      </w:r>
    </w:p>
    <w:p>
      <w:pPr>
        <w:spacing w:after="0" w:line="240" w:lineRule="auto"/>
        <w:jc w:val="both"/>
        <w:rPr>
          <w:sz w:val="20"/>
        </w:rPr>
        <w:sectPr>
          <w:pgSz w:w="11910" w:h="16840"/>
          <w:pgMar w:header="953" w:footer="940" w:top="1140" w:bottom="1140" w:left="20" w:right="20"/>
        </w:sectPr>
      </w:pPr>
    </w:p>
    <w:p>
      <w:pPr>
        <w:pStyle w:val="Heading3"/>
        <w:spacing w:before="120"/>
      </w:pPr>
      <w:r>
        <w:rPr/>
        <w:t>Overview</w:t>
      </w:r>
      <w:r>
        <w:rPr>
          <w:spacing w:val="-10"/>
        </w:rPr>
        <w:t> </w:t>
      </w:r>
      <w:r>
        <w:rPr/>
        <w:t>of</w:t>
      </w:r>
      <w:r>
        <w:rPr>
          <w:spacing w:val="-4"/>
        </w:rPr>
        <w:t> </w:t>
      </w:r>
      <w:r>
        <w:rPr/>
        <w:t>Registry</w:t>
      </w:r>
      <w:r>
        <w:rPr>
          <w:spacing w:val="-4"/>
        </w:rPr>
        <w:t> </w:t>
      </w:r>
      <w:r>
        <w:rPr/>
        <w:t>budget</w:t>
      </w:r>
      <w:r>
        <w:rPr>
          <w:spacing w:val="-8"/>
        </w:rPr>
        <w:t> </w:t>
      </w:r>
      <w:r>
        <w:rPr/>
        <w:t>requirements</w:t>
      </w:r>
      <w:r>
        <w:rPr>
          <w:spacing w:val="-10"/>
        </w:rPr>
        <w:t> </w:t>
      </w:r>
      <w:r>
        <w:rPr/>
        <w:t>for</w:t>
      </w:r>
      <w:r>
        <w:rPr>
          <w:spacing w:val="-6"/>
        </w:rPr>
        <w:t> </w:t>
      </w:r>
      <w:r>
        <w:rPr>
          <w:spacing w:val="-4"/>
        </w:rPr>
        <w:t>2023</w:t>
      </w:r>
    </w:p>
    <w:p>
      <w:pPr>
        <w:pStyle w:val="BodyText"/>
        <w:spacing w:before="10"/>
        <w:rPr>
          <w:b/>
        </w:rPr>
      </w:pPr>
    </w:p>
    <w:p>
      <w:pPr>
        <w:pStyle w:val="ListParagraph"/>
        <w:numPr>
          <w:ilvl w:val="0"/>
          <w:numId w:val="4"/>
        </w:numPr>
        <w:tabs>
          <w:tab w:pos="2967" w:val="left" w:leader="none"/>
        </w:tabs>
        <w:spacing w:line="240" w:lineRule="auto" w:before="1" w:after="0"/>
        <w:ind w:left="2246" w:right="2240" w:firstLine="0"/>
        <w:jc w:val="both"/>
        <w:rPr>
          <w:sz w:val="20"/>
        </w:rPr>
      </w:pPr>
      <w:r>
        <w:rPr>
          <w:sz w:val="20"/>
        </w:rPr>
        <w:t>The</w:t>
      </w:r>
      <w:r>
        <w:rPr>
          <w:spacing w:val="-3"/>
          <w:sz w:val="20"/>
        </w:rPr>
        <w:t> </w:t>
      </w:r>
      <w:r>
        <w:rPr>
          <w:sz w:val="20"/>
        </w:rPr>
        <w:t>proposed</w:t>
      </w:r>
      <w:r>
        <w:rPr>
          <w:spacing w:val="-5"/>
          <w:sz w:val="20"/>
        </w:rPr>
        <w:t> </w:t>
      </w:r>
      <w:r>
        <w:rPr>
          <w:sz w:val="20"/>
        </w:rPr>
        <w:t>2023 budget</w:t>
      </w:r>
      <w:r>
        <w:rPr>
          <w:spacing w:val="-3"/>
          <w:sz w:val="20"/>
        </w:rPr>
        <w:t> </w:t>
      </w:r>
      <w:r>
        <w:rPr>
          <w:sz w:val="20"/>
        </w:rPr>
        <w:t>for</w:t>
      </w:r>
      <w:r>
        <w:rPr>
          <w:spacing w:val="-5"/>
          <w:sz w:val="20"/>
        </w:rPr>
        <w:t> </w:t>
      </w:r>
      <w:r>
        <w:rPr>
          <w:sz w:val="20"/>
        </w:rPr>
        <w:t>the</w:t>
      </w:r>
      <w:r>
        <w:rPr>
          <w:spacing w:val="-3"/>
          <w:sz w:val="20"/>
        </w:rPr>
        <w:t> </w:t>
      </w:r>
      <w:r>
        <w:rPr>
          <w:sz w:val="20"/>
        </w:rPr>
        <w:t>Registry</w:t>
      </w:r>
      <w:r>
        <w:rPr>
          <w:spacing w:val="-5"/>
          <w:sz w:val="20"/>
        </w:rPr>
        <w:t> </w:t>
      </w:r>
      <w:r>
        <w:rPr>
          <w:sz w:val="20"/>
        </w:rPr>
        <w:t>amounts</w:t>
      </w:r>
      <w:r>
        <w:rPr>
          <w:spacing w:val="-6"/>
          <w:sz w:val="20"/>
        </w:rPr>
        <w:t> </w:t>
      </w:r>
      <w:r>
        <w:rPr>
          <w:sz w:val="20"/>
        </w:rPr>
        <w:t>to </w:t>
      </w:r>
      <w:r>
        <w:rPr>
          <w:b/>
          <w:sz w:val="20"/>
        </w:rPr>
        <w:t>€90,407.1</w:t>
      </w:r>
      <w:r>
        <w:rPr>
          <w:b/>
          <w:spacing w:val="-5"/>
          <w:sz w:val="20"/>
        </w:rPr>
        <w:t> </w:t>
      </w:r>
      <w:r>
        <w:rPr>
          <w:b/>
          <w:sz w:val="20"/>
        </w:rPr>
        <w:t>thousand</w:t>
      </w:r>
      <w:r>
        <w:rPr>
          <w:sz w:val="20"/>
        </w:rPr>
        <w:t>,</w:t>
      </w:r>
      <w:r>
        <w:rPr>
          <w:spacing w:val="-2"/>
          <w:sz w:val="20"/>
        </w:rPr>
        <w:t> </w:t>
      </w:r>
      <w:r>
        <w:rPr>
          <w:sz w:val="20"/>
        </w:rPr>
        <w:t>which represents an increase of </w:t>
      </w:r>
      <w:r>
        <w:rPr>
          <w:b/>
          <w:sz w:val="20"/>
        </w:rPr>
        <w:t>€11,187.9 thousand</w:t>
      </w:r>
      <w:r>
        <w:rPr>
          <w:sz w:val="20"/>
        </w:rPr>
        <w:t>, or </w:t>
      </w:r>
      <w:r>
        <w:rPr>
          <w:b/>
          <w:sz w:val="20"/>
        </w:rPr>
        <w:t>14.1 per cent</w:t>
      </w:r>
      <w:r>
        <w:rPr>
          <w:sz w:val="20"/>
        </w:rPr>
        <w:t>, over the 2022 approved budget of €79,219.2 thousand.</w:t>
      </w:r>
    </w:p>
    <w:p>
      <w:pPr>
        <w:pStyle w:val="ListParagraph"/>
        <w:numPr>
          <w:ilvl w:val="0"/>
          <w:numId w:val="4"/>
        </w:numPr>
        <w:tabs>
          <w:tab w:pos="2967" w:val="left" w:leader="none"/>
        </w:tabs>
        <w:spacing w:line="240" w:lineRule="auto" w:before="121" w:after="0"/>
        <w:ind w:left="2246" w:right="2242" w:firstLine="0"/>
        <w:jc w:val="both"/>
        <w:rPr>
          <w:sz w:val="20"/>
        </w:rPr>
      </w:pPr>
      <w:r>
        <w:rPr>
          <w:sz w:val="20"/>
        </w:rPr>
        <w:t>The Registry’s proposed increase of 14.1 per cent is directly linked to judicial and prosecutorial activities. It is dictated by the duty of the Registry to provide support to the other organs while fulfilling its own obligations of, among others, legal aid management, victim support, witness protection, public information and outreach.</w:t>
      </w:r>
    </w:p>
    <w:p>
      <w:pPr>
        <w:pStyle w:val="ListParagraph"/>
        <w:numPr>
          <w:ilvl w:val="0"/>
          <w:numId w:val="4"/>
        </w:numPr>
        <w:tabs>
          <w:tab w:pos="2967" w:val="left" w:leader="none"/>
        </w:tabs>
        <w:spacing w:line="240" w:lineRule="auto" w:before="122" w:after="0"/>
        <w:ind w:left="2246" w:right="2241" w:firstLine="0"/>
        <w:jc w:val="both"/>
        <w:rPr>
          <w:sz w:val="20"/>
        </w:rPr>
      </w:pPr>
      <w:r>
        <w:rPr>
          <w:sz w:val="20"/>
        </w:rPr>
        <w:t>In the light of the substantial increase in workload, the Registry has carefully assessed ways to enhance and sustain its long-term capacity to deliver its mandate, while being</w:t>
      </w:r>
      <w:r>
        <w:rPr>
          <w:spacing w:val="-1"/>
          <w:sz w:val="20"/>
        </w:rPr>
        <w:t> </w:t>
      </w:r>
      <w:r>
        <w:rPr>
          <w:sz w:val="20"/>
        </w:rPr>
        <w:t>mindful of the financial constraints of States Parties. With this proposal, the Registry seeks to make the necessary adjustments so that the increased workload can be addressed with a minimum of resources. Accordingly, additional funds are requested only after all possible steps and efforts have been undertaken to contain the additional requirements through the reduction and reprioritization of resources, as well as through the identification of savings and efficiencies.</w:t>
      </w:r>
    </w:p>
    <w:p>
      <w:pPr>
        <w:pStyle w:val="BodyText"/>
        <w:spacing w:before="9"/>
      </w:pPr>
    </w:p>
    <w:p>
      <w:pPr>
        <w:pStyle w:val="Heading3"/>
      </w:pPr>
      <w:r>
        <w:rPr/>
        <w:t>Strategic</w:t>
      </w:r>
      <w:r>
        <w:rPr>
          <w:spacing w:val="-10"/>
        </w:rPr>
        <w:t> </w:t>
      </w:r>
      <w:r>
        <w:rPr/>
        <w:t>priorities</w:t>
      </w:r>
      <w:r>
        <w:rPr>
          <w:spacing w:val="-5"/>
        </w:rPr>
        <w:t> </w:t>
      </w:r>
      <w:r>
        <w:rPr/>
        <w:t>for</w:t>
      </w:r>
      <w:r>
        <w:rPr>
          <w:spacing w:val="-7"/>
        </w:rPr>
        <w:t> </w:t>
      </w:r>
      <w:r>
        <w:rPr>
          <w:spacing w:val="-4"/>
        </w:rPr>
        <w:t>2023</w:t>
      </w:r>
    </w:p>
    <w:p>
      <w:pPr>
        <w:pStyle w:val="BodyText"/>
        <w:spacing w:before="11"/>
        <w:rPr>
          <w:b/>
        </w:rPr>
      </w:pPr>
    </w:p>
    <w:p>
      <w:pPr>
        <w:pStyle w:val="ListParagraph"/>
        <w:numPr>
          <w:ilvl w:val="0"/>
          <w:numId w:val="4"/>
        </w:numPr>
        <w:tabs>
          <w:tab w:pos="2967" w:val="left" w:leader="none"/>
        </w:tabs>
        <w:spacing w:line="240" w:lineRule="auto" w:before="0" w:after="0"/>
        <w:ind w:left="2246" w:right="2246" w:firstLine="0"/>
        <w:jc w:val="both"/>
        <w:rPr>
          <w:sz w:val="20"/>
        </w:rPr>
      </w:pPr>
      <w:r>
        <w:rPr>
          <w:sz w:val="20"/>
        </w:rPr>
        <w:t>The Registry’s Strategic Plan for 2023-2025 is guided and closely linked to the implementation of the relevant recommendations of the Independent Expert Review (IER).</w:t>
      </w:r>
    </w:p>
    <w:p>
      <w:pPr>
        <w:pStyle w:val="ListParagraph"/>
        <w:numPr>
          <w:ilvl w:val="0"/>
          <w:numId w:val="4"/>
        </w:numPr>
        <w:tabs>
          <w:tab w:pos="2967" w:val="left" w:leader="none"/>
        </w:tabs>
        <w:spacing w:line="240" w:lineRule="auto" w:before="121" w:after="0"/>
        <w:ind w:left="2246" w:right="2238" w:firstLine="0"/>
        <w:jc w:val="both"/>
        <w:rPr>
          <w:sz w:val="20"/>
        </w:rPr>
      </w:pPr>
      <w:r>
        <w:rPr>
          <w:sz w:val="20"/>
        </w:rPr>
        <w:t>In preparing its proposed budget for 2023, the Registry was guided by the underlying principles of the Registry Strategic Plan for 2023-2025, also enshrined in the Court-wide Strategic Plan for the same period, in particular, the Court-wide strategic goal concerning Organizational Performance, which is to: “Manage resources in an effective, coherent, transparent, responsible and adaptable manner, which reflects the culture of continuous</w:t>
      </w:r>
      <w:r>
        <w:rPr>
          <w:spacing w:val="-1"/>
          <w:sz w:val="20"/>
        </w:rPr>
        <w:t> </w:t>
      </w:r>
      <w:r>
        <w:rPr>
          <w:sz w:val="20"/>
        </w:rPr>
        <w:t>improvement, and further develop the sustainability, and resilience of the Court against</w:t>
      </w:r>
      <w:r>
        <w:rPr>
          <w:spacing w:val="-7"/>
          <w:sz w:val="20"/>
        </w:rPr>
        <w:t> </w:t>
      </w:r>
      <w:r>
        <w:rPr>
          <w:sz w:val="20"/>
        </w:rPr>
        <w:t>identified</w:t>
      </w:r>
      <w:r>
        <w:rPr>
          <w:spacing w:val="-4"/>
          <w:sz w:val="20"/>
        </w:rPr>
        <w:t> </w:t>
      </w:r>
      <w:r>
        <w:rPr>
          <w:sz w:val="20"/>
        </w:rPr>
        <w:t>risks”.</w:t>
      </w:r>
      <w:r>
        <w:rPr>
          <w:spacing w:val="-1"/>
          <w:sz w:val="20"/>
        </w:rPr>
        <w:t> </w:t>
      </w:r>
      <w:r>
        <w:rPr>
          <w:sz w:val="20"/>
        </w:rPr>
        <w:t>In</w:t>
      </w:r>
      <w:r>
        <w:rPr>
          <w:spacing w:val="-4"/>
          <w:sz w:val="20"/>
        </w:rPr>
        <w:t> </w:t>
      </w:r>
      <w:r>
        <w:rPr>
          <w:sz w:val="20"/>
        </w:rPr>
        <w:t>other</w:t>
      </w:r>
      <w:r>
        <w:rPr>
          <w:spacing w:val="-4"/>
          <w:sz w:val="20"/>
        </w:rPr>
        <w:t> </w:t>
      </w:r>
      <w:r>
        <w:rPr>
          <w:sz w:val="20"/>
        </w:rPr>
        <w:t>words,</w:t>
      </w:r>
      <w:r>
        <w:rPr>
          <w:spacing w:val="-6"/>
          <w:sz w:val="20"/>
        </w:rPr>
        <w:t> </w:t>
      </w:r>
      <w:r>
        <w:rPr>
          <w:sz w:val="20"/>
        </w:rPr>
        <w:t>the</w:t>
      </w:r>
      <w:r>
        <w:rPr>
          <w:spacing w:val="-7"/>
          <w:sz w:val="20"/>
        </w:rPr>
        <w:t> </w:t>
      </w:r>
      <w:r>
        <w:rPr>
          <w:sz w:val="20"/>
        </w:rPr>
        <w:t>proposed</w:t>
      </w:r>
      <w:r>
        <w:rPr>
          <w:spacing w:val="-4"/>
          <w:sz w:val="20"/>
        </w:rPr>
        <w:t> </w:t>
      </w:r>
      <w:r>
        <w:rPr>
          <w:sz w:val="20"/>
        </w:rPr>
        <w:t>budget</w:t>
      </w:r>
      <w:r>
        <w:rPr>
          <w:spacing w:val="-7"/>
          <w:sz w:val="20"/>
        </w:rPr>
        <w:t> </w:t>
      </w:r>
      <w:r>
        <w:rPr>
          <w:sz w:val="20"/>
        </w:rPr>
        <w:t>for</w:t>
      </w:r>
      <w:r>
        <w:rPr>
          <w:spacing w:val="-3"/>
          <w:sz w:val="20"/>
        </w:rPr>
        <w:t> </w:t>
      </w:r>
      <w:r>
        <w:rPr>
          <w:sz w:val="20"/>
        </w:rPr>
        <w:t>2023</w:t>
      </w:r>
      <w:r>
        <w:rPr>
          <w:spacing w:val="-8"/>
          <w:sz w:val="20"/>
        </w:rPr>
        <w:t> </w:t>
      </w:r>
      <w:r>
        <w:rPr>
          <w:sz w:val="20"/>
        </w:rPr>
        <w:t>is</w:t>
      </w:r>
      <w:r>
        <w:rPr>
          <w:spacing w:val="-5"/>
          <w:sz w:val="20"/>
        </w:rPr>
        <w:t> </w:t>
      </w:r>
      <w:r>
        <w:rPr>
          <w:sz w:val="20"/>
        </w:rPr>
        <w:t>driven</w:t>
      </w:r>
      <w:r>
        <w:rPr>
          <w:spacing w:val="-8"/>
          <w:sz w:val="20"/>
        </w:rPr>
        <w:t> </w:t>
      </w:r>
      <w:r>
        <w:rPr>
          <w:sz w:val="20"/>
        </w:rPr>
        <w:t>by</w:t>
      </w:r>
      <w:r>
        <w:rPr>
          <w:spacing w:val="-8"/>
          <w:sz w:val="20"/>
        </w:rPr>
        <w:t> </w:t>
      </w:r>
      <w:r>
        <w:rPr>
          <w:sz w:val="20"/>
        </w:rPr>
        <w:t>measures aimed at adapting the Registry’s operations, processes and systems to the requirements of enhanced flexibility and scalability, with</w:t>
      </w:r>
      <w:r>
        <w:rPr>
          <w:spacing w:val="-5"/>
          <w:sz w:val="20"/>
        </w:rPr>
        <w:t> </w:t>
      </w:r>
      <w:r>
        <w:rPr>
          <w:sz w:val="20"/>
        </w:rPr>
        <w:t>a view</w:t>
      </w:r>
      <w:r>
        <w:rPr>
          <w:spacing w:val="-6"/>
          <w:sz w:val="20"/>
        </w:rPr>
        <w:t> </w:t>
      </w:r>
      <w:r>
        <w:rPr>
          <w:sz w:val="20"/>
        </w:rPr>
        <w:t>to</w:t>
      </w:r>
      <w:r>
        <w:rPr>
          <w:spacing w:val="-5"/>
          <w:sz w:val="20"/>
        </w:rPr>
        <w:t> </w:t>
      </w:r>
      <w:r>
        <w:rPr>
          <w:sz w:val="20"/>
        </w:rPr>
        <w:t>ensuring the sustainability and resilience of the organization.</w:t>
      </w:r>
    </w:p>
    <w:p>
      <w:pPr>
        <w:pStyle w:val="ListParagraph"/>
        <w:numPr>
          <w:ilvl w:val="0"/>
          <w:numId w:val="4"/>
        </w:numPr>
        <w:tabs>
          <w:tab w:pos="2967" w:val="left" w:leader="none"/>
        </w:tabs>
        <w:spacing w:line="240" w:lineRule="auto" w:before="120" w:after="0"/>
        <w:ind w:left="2246" w:right="2239" w:firstLine="0"/>
        <w:jc w:val="both"/>
        <w:rPr>
          <w:sz w:val="20"/>
        </w:rPr>
      </w:pPr>
      <w:r>
        <w:rPr>
          <w:sz w:val="20"/>
        </w:rPr>
        <w:t>Accordingly, the Registry’s priority is to strive for continuous improvement by becoming more efficient and providing more effective services in all areas, including management services, judicial services and external operations services. With the objective of continuous improvement incorporated into its operational principle, the Registry aims to promote an established cultural change within the organ and the Court as a whole.</w:t>
      </w:r>
    </w:p>
    <w:p>
      <w:pPr>
        <w:pStyle w:val="ListParagraph"/>
        <w:numPr>
          <w:ilvl w:val="0"/>
          <w:numId w:val="4"/>
        </w:numPr>
        <w:tabs>
          <w:tab w:pos="2967" w:val="left" w:leader="none"/>
        </w:tabs>
        <w:spacing w:line="240" w:lineRule="auto" w:before="118" w:after="0"/>
        <w:ind w:left="2246" w:right="2242" w:firstLine="0"/>
        <w:jc w:val="both"/>
        <w:rPr>
          <w:sz w:val="20"/>
        </w:rPr>
      </w:pPr>
      <w:r>
        <w:rPr>
          <w:sz w:val="20"/>
        </w:rPr>
        <w:t>In relation to management services, the Registry will continue to prioritize improvements</w:t>
      </w:r>
      <w:r>
        <w:rPr>
          <w:spacing w:val="-6"/>
          <w:sz w:val="20"/>
        </w:rPr>
        <w:t> </w:t>
      </w:r>
      <w:r>
        <w:rPr>
          <w:sz w:val="20"/>
        </w:rPr>
        <w:t>to</w:t>
      </w:r>
      <w:r>
        <w:rPr>
          <w:spacing w:val="-5"/>
          <w:sz w:val="20"/>
        </w:rPr>
        <w:t> </w:t>
      </w:r>
      <w:r>
        <w:rPr>
          <w:sz w:val="20"/>
        </w:rPr>
        <w:t>geographical</w:t>
      </w:r>
      <w:r>
        <w:rPr>
          <w:spacing w:val="-3"/>
          <w:sz w:val="20"/>
        </w:rPr>
        <w:t> </w:t>
      </w:r>
      <w:r>
        <w:rPr>
          <w:sz w:val="20"/>
        </w:rPr>
        <w:t>representation</w:t>
      </w:r>
      <w:r>
        <w:rPr>
          <w:spacing w:val="-9"/>
          <w:sz w:val="20"/>
        </w:rPr>
        <w:t> </w:t>
      </w:r>
      <w:r>
        <w:rPr>
          <w:sz w:val="20"/>
        </w:rPr>
        <w:t>and gender</w:t>
      </w:r>
      <w:r>
        <w:rPr>
          <w:spacing w:val="-5"/>
          <w:sz w:val="20"/>
        </w:rPr>
        <w:t> </w:t>
      </w:r>
      <w:r>
        <w:rPr>
          <w:sz w:val="20"/>
        </w:rPr>
        <w:t>balance</w:t>
      </w:r>
      <w:r>
        <w:rPr>
          <w:spacing w:val="-3"/>
          <w:sz w:val="20"/>
        </w:rPr>
        <w:t> </w:t>
      </w:r>
      <w:r>
        <w:rPr>
          <w:sz w:val="20"/>
        </w:rPr>
        <w:t>in</w:t>
      </w:r>
      <w:r>
        <w:rPr>
          <w:spacing w:val="-9"/>
          <w:sz w:val="20"/>
        </w:rPr>
        <w:t> </w:t>
      </w:r>
      <w:r>
        <w:rPr>
          <w:sz w:val="20"/>
        </w:rPr>
        <w:t>the</w:t>
      </w:r>
      <w:r>
        <w:rPr>
          <w:spacing w:val="-3"/>
          <w:sz w:val="20"/>
        </w:rPr>
        <w:t> </w:t>
      </w:r>
      <w:r>
        <w:rPr>
          <w:sz w:val="20"/>
        </w:rPr>
        <w:t>staff</w:t>
      </w:r>
      <w:r>
        <w:rPr>
          <w:spacing w:val="-9"/>
          <w:sz w:val="20"/>
        </w:rPr>
        <w:t> </w:t>
      </w:r>
      <w:r>
        <w:rPr>
          <w:sz w:val="20"/>
        </w:rPr>
        <w:t>of</w:t>
      </w:r>
      <w:r>
        <w:rPr>
          <w:spacing w:val="-5"/>
          <w:sz w:val="20"/>
        </w:rPr>
        <w:t> </w:t>
      </w:r>
      <w:r>
        <w:rPr>
          <w:sz w:val="20"/>
        </w:rPr>
        <w:t>the</w:t>
      </w:r>
      <w:r>
        <w:rPr>
          <w:spacing w:val="-3"/>
          <w:sz w:val="20"/>
        </w:rPr>
        <w:t> </w:t>
      </w:r>
      <w:r>
        <w:rPr>
          <w:sz w:val="20"/>
        </w:rPr>
        <w:t>Court,</w:t>
      </w:r>
      <w:r>
        <w:rPr>
          <w:spacing w:val="-2"/>
          <w:sz w:val="20"/>
        </w:rPr>
        <w:t> </w:t>
      </w:r>
      <w:r>
        <w:rPr>
          <w:sz w:val="20"/>
        </w:rPr>
        <w:t>as well</w:t>
      </w:r>
      <w:r>
        <w:rPr>
          <w:spacing w:val="-1"/>
          <w:sz w:val="20"/>
        </w:rPr>
        <w:t> </w:t>
      </w:r>
      <w:r>
        <w:rPr>
          <w:sz w:val="20"/>
        </w:rPr>
        <w:t>as diversity</w:t>
      </w:r>
      <w:r>
        <w:rPr>
          <w:spacing w:val="-3"/>
          <w:sz w:val="20"/>
        </w:rPr>
        <w:t> </w:t>
      </w:r>
      <w:r>
        <w:rPr>
          <w:sz w:val="20"/>
        </w:rPr>
        <w:t>and inclusion, in line with</w:t>
      </w:r>
      <w:r>
        <w:rPr>
          <w:spacing w:val="-3"/>
          <w:sz w:val="20"/>
        </w:rPr>
        <w:t> </w:t>
      </w:r>
      <w:r>
        <w:rPr>
          <w:sz w:val="20"/>
        </w:rPr>
        <w:t>the Strategy on</w:t>
      </w:r>
      <w:r>
        <w:rPr>
          <w:spacing w:val="-3"/>
          <w:sz w:val="20"/>
        </w:rPr>
        <w:t> </w:t>
      </w:r>
      <w:r>
        <w:rPr>
          <w:sz w:val="20"/>
        </w:rPr>
        <w:t>Gender</w:t>
      </w:r>
      <w:r>
        <w:rPr>
          <w:spacing w:val="-3"/>
          <w:sz w:val="20"/>
        </w:rPr>
        <w:t> </w:t>
      </w:r>
      <w:r>
        <w:rPr>
          <w:sz w:val="20"/>
        </w:rPr>
        <w:t>Equality</w:t>
      </w:r>
      <w:r>
        <w:rPr>
          <w:spacing w:val="-3"/>
          <w:sz w:val="20"/>
        </w:rPr>
        <w:t> </w:t>
      </w:r>
      <w:r>
        <w:rPr>
          <w:sz w:val="20"/>
        </w:rPr>
        <w:t>and</w:t>
      </w:r>
      <w:r>
        <w:rPr>
          <w:spacing w:val="-3"/>
          <w:sz w:val="20"/>
        </w:rPr>
        <w:t> </w:t>
      </w:r>
      <w:r>
        <w:rPr>
          <w:sz w:val="20"/>
        </w:rPr>
        <w:t>Workplace Culture. Moreover, the Registry is committed to promoting</w:t>
      </w:r>
      <w:r>
        <w:rPr>
          <w:spacing w:val="-5"/>
          <w:sz w:val="20"/>
        </w:rPr>
        <w:t> </w:t>
      </w:r>
      <w:r>
        <w:rPr>
          <w:sz w:val="20"/>
        </w:rPr>
        <w:t>a desired organizational culture and values. In this regard, the priority is to establish systems, such as the Leadership Framework,</w:t>
      </w:r>
      <w:r>
        <w:rPr>
          <w:spacing w:val="-13"/>
          <w:sz w:val="20"/>
        </w:rPr>
        <w:t> </w:t>
      </w:r>
      <w:r>
        <w:rPr>
          <w:sz w:val="20"/>
        </w:rPr>
        <w:t>that</w:t>
      </w:r>
      <w:r>
        <w:rPr>
          <w:spacing w:val="-12"/>
          <w:sz w:val="20"/>
        </w:rPr>
        <w:t> </w:t>
      </w:r>
      <w:r>
        <w:rPr>
          <w:sz w:val="20"/>
        </w:rPr>
        <w:t>creates</w:t>
      </w:r>
      <w:r>
        <w:rPr>
          <w:spacing w:val="-13"/>
          <w:sz w:val="20"/>
        </w:rPr>
        <w:t> </w:t>
      </w:r>
      <w:r>
        <w:rPr>
          <w:sz w:val="20"/>
        </w:rPr>
        <w:t>an</w:t>
      </w:r>
      <w:r>
        <w:rPr>
          <w:spacing w:val="-12"/>
          <w:sz w:val="20"/>
        </w:rPr>
        <w:t> </w:t>
      </w:r>
      <w:r>
        <w:rPr>
          <w:sz w:val="20"/>
        </w:rPr>
        <w:t>environment</w:t>
      </w:r>
      <w:r>
        <w:rPr>
          <w:spacing w:val="-13"/>
          <w:sz w:val="20"/>
        </w:rPr>
        <w:t> </w:t>
      </w:r>
      <w:r>
        <w:rPr>
          <w:sz w:val="20"/>
        </w:rPr>
        <w:t>where</w:t>
      </w:r>
      <w:r>
        <w:rPr>
          <w:spacing w:val="-12"/>
          <w:sz w:val="20"/>
        </w:rPr>
        <w:t> </w:t>
      </w:r>
      <w:r>
        <w:rPr>
          <w:sz w:val="20"/>
        </w:rPr>
        <w:t>staff</w:t>
      </w:r>
      <w:r>
        <w:rPr>
          <w:spacing w:val="-13"/>
          <w:sz w:val="20"/>
        </w:rPr>
        <w:t> </w:t>
      </w:r>
      <w:r>
        <w:rPr>
          <w:sz w:val="20"/>
        </w:rPr>
        <w:t>are</w:t>
      </w:r>
      <w:r>
        <w:rPr>
          <w:spacing w:val="-12"/>
          <w:sz w:val="20"/>
        </w:rPr>
        <w:t> </w:t>
      </w:r>
      <w:r>
        <w:rPr>
          <w:sz w:val="20"/>
        </w:rPr>
        <w:t>encouraged</w:t>
      </w:r>
      <w:r>
        <w:rPr>
          <w:spacing w:val="-13"/>
          <w:sz w:val="20"/>
        </w:rPr>
        <w:t> </w:t>
      </w:r>
      <w:r>
        <w:rPr>
          <w:sz w:val="20"/>
        </w:rPr>
        <w:t>to</w:t>
      </w:r>
      <w:r>
        <w:rPr>
          <w:spacing w:val="-12"/>
          <w:sz w:val="20"/>
        </w:rPr>
        <w:t> </w:t>
      </w:r>
      <w:r>
        <w:rPr>
          <w:sz w:val="20"/>
        </w:rPr>
        <w:t>improve</w:t>
      </w:r>
      <w:r>
        <w:rPr>
          <w:spacing w:val="-12"/>
          <w:sz w:val="20"/>
        </w:rPr>
        <w:t> </w:t>
      </w:r>
      <w:r>
        <w:rPr>
          <w:sz w:val="20"/>
        </w:rPr>
        <w:t>their</w:t>
      </w:r>
      <w:r>
        <w:rPr>
          <w:spacing w:val="-13"/>
          <w:sz w:val="20"/>
        </w:rPr>
        <w:t> </w:t>
      </w:r>
      <w:r>
        <w:rPr>
          <w:sz w:val="20"/>
        </w:rPr>
        <w:t>capacity and performance. This must be strengthened through mechanisms that promote staff engagement and well-being, and a culture of respect and accountability.</w:t>
      </w:r>
    </w:p>
    <w:p>
      <w:pPr>
        <w:pStyle w:val="ListParagraph"/>
        <w:numPr>
          <w:ilvl w:val="0"/>
          <w:numId w:val="4"/>
        </w:numPr>
        <w:tabs>
          <w:tab w:pos="2967" w:val="left" w:leader="none"/>
        </w:tabs>
        <w:spacing w:line="240" w:lineRule="auto" w:before="123" w:after="0"/>
        <w:ind w:left="2246" w:right="2243" w:firstLine="0"/>
        <w:jc w:val="both"/>
        <w:rPr>
          <w:sz w:val="20"/>
        </w:rPr>
      </w:pPr>
      <w:r>
        <w:rPr>
          <w:sz w:val="20"/>
        </w:rPr>
        <w:t>With respect to judicial services, the Registry’s core priority is to ensure the effective delivery of support to judicial proceedings, including providing the necessary resources, systems</w:t>
      </w:r>
      <w:r>
        <w:rPr>
          <w:spacing w:val="-1"/>
          <w:sz w:val="20"/>
        </w:rPr>
        <w:t> </w:t>
      </w:r>
      <w:r>
        <w:rPr>
          <w:sz w:val="20"/>
        </w:rPr>
        <w:t>and</w:t>
      </w:r>
      <w:r>
        <w:rPr>
          <w:spacing w:val="-5"/>
          <w:sz w:val="20"/>
        </w:rPr>
        <w:t> </w:t>
      </w:r>
      <w:r>
        <w:rPr>
          <w:sz w:val="20"/>
        </w:rPr>
        <w:t>equipment to support hearings</w:t>
      </w:r>
      <w:r>
        <w:rPr>
          <w:spacing w:val="-1"/>
          <w:sz w:val="20"/>
        </w:rPr>
        <w:t> </w:t>
      </w:r>
      <w:r>
        <w:rPr>
          <w:sz w:val="20"/>
        </w:rPr>
        <w:t>and the parties</w:t>
      </w:r>
      <w:r>
        <w:rPr>
          <w:spacing w:val="-1"/>
          <w:sz w:val="20"/>
        </w:rPr>
        <w:t> </w:t>
      </w:r>
      <w:r>
        <w:rPr>
          <w:sz w:val="20"/>
        </w:rPr>
        <w:t>and participants</w:t>
      </w:r>
      <w:r>
        <w:rPr>
          <w:spacing w:val="-1"/>
          <w:sz w:val="20"/>
        </w:rPr>
        <w:t> </w:t>
      </w:r>
      <w:r>
        <w:rPr>
          <w:sz w:val="20"/>
        </w:rPr>
        <w:t>in</w:t>
      </w:r>
      <w:r>
        <w:rPr>
          <w:spacing w:val="-5"/>
          <w:sz w:val="20"/>
        </w:rPr>
        <w:t> </w:t>
      </w:r>
      <w:r>
        <w:rPr>
          <w:sz w:val="20"/>
        </w:rPr>
        <w:t>the courtrooms. The Registry will continue to ensure effective support is provided to witnesses and</w:t>
      </w:r>
      <w:r>
        <w:rPr>
          <w:spacing w:val="-4"/>
          <w:sz w:val="20"/>
        </w:rPr>
        <w:t> </w:t>
      </w:r>
      <w:r>
        <w:rPr>
          <w:sz w:val="20"/>
        </w:rPr>
        <w:t>victims,</w:t>
      </w:r>
      <w:r>
        <w:rPr>
          <w:spacing w:val="-1"/>
          <w:sz w:val="20"/>
        </w:rPr>
        <w:t> </w:t>
      </w:r>
      <w:r>
        <w:rPr>
          <w:sz w:val="20"/>
        </w:rPr>
        <w:t>including</w:t>
      </w:r>
      <w:r>
        <w:rPr>
          <w:spacing w:val="-4"/>
          <w:sz w:val="20"/>
        </w:rPr>
        <w:t> </w:t>
      </w:r>
      <w:r>
        <w:rPr>
          <w:sz w:val="20"/>
        </w:rPr>
        <w:t>in</w:t>
      </w:r>
      <w:r>
        <w:rPr>
          <w:spacing w:val="-4"/>
          <w:sz w:val="20"/>
        </w:rPr>
        <w:t> </w:t>
      </w:r>
      <w:r>
        <w:rPr>
          <w:sz w:val="20"/>
        </w:rPr>
        <w:t>their</w:t>
      </w:r>
      <w:r>
        <w:rPr>
          <w:spacing w:val="-4"/>
          <w:sz w:val="20"/>
        </w:rPr>
        <w:t> </w:t>
      </w:r>
      <w:r>
        <w:rPr>
          <w:sz w:val="20"/>
        </w:rPr>
        <w:t>participation</w:t>
      </w:r>
      <w:r>
        <w:rPr>
          <w:spacing w:val="-4"/>
          <w:sz w:val="20"/>
        </w:rPr>
        <w:t> </w:t>
      </w:r>
      <w:r>
        <w:rPr>
          <w:sz w:val="20"/>
        </w:rPr>
        <w:t>in</w:t>
      </w:r>
      <w:r>
        <w:rPr>
          <w:spacing w:val="-4"/>
          <w:sz w:val="20"/>
        </w:rPr>
        <w:t> </w:t>
      </w:r>
      <w:r>
        <w:rPr>
          <w:sz w:val="20"/>
        </w:rPr>
        <w:t>proceedings</w:t>
      </w:r>
      <w:r>
        <w:rPr>
          <w:spacing w:val="-5"/>
          <w:sz w:val="20"/>
        </w:rPr>
        <w:t> </w:t>
      </w:r>
      <w:r>
        <w:rPr>
          <w:sz w:val="20"/>
        </w:rPr>
        <w:t>before</w:t>
      </w:r>
      <w:r>
        <w:rPr>
          <w:spacing w:val="-7"/>
          <w:sz w:val="20"/>
        </w:rPr>
        <w:t> </w:t>
      </w:r>
      <w:r>
        <w:rPr>
          <w:sz w:val="20"/>
        </w:rPr>
        <w:t>the</w:t>
      </w:r>
      <w:r>
        <w:rPr>
          <w:spacing w:val="-2"/>
          <w:sz w:val="20"/>
        </w:rPr>
        <w:t> </w:t>
      </w:r>
      <w:r>
        <w:rPr>
          <w:sz w:val="20"/>
        </w:rPr>
        <w:t>Court.</w:t>
      </w:r>
      <w:r>
        <w:rPr>
          <w:spacing w:val="-1"/>
          <w:sz w:val="20"/>
        </w:rPr>
        <w:t> </w:t>
      </w:r>
      <w:r>
        <w:rPr>
          <w:sz w:val="20"/>
        </w:rPr>
        <w:t>It</w:t>
      </w:r>
      <w:r>
        <w:rPr>
          <w:spacing w:val="-2"/>
          <w:sz w:val="20"/>
        </w:rPr>
        <w:t> </w:t>
      </w:r>
      <w:r>
        <w:rPr>
          <w:sz w:val="20"/>
        </w:rPr>
        <w:t>is</w:t>
      </w:r>
      <w:r>
        <w:rPr>
          <w:spacing w:val="-5"/>
          <w:sz w:val="20"/>
        </w:rPr>
        <w:t> </w:t>
      </w:r>
      <w:r>
        <w:rPr>
          <w:sz w:val="20"/>
        </w:rPr>
        <w:t>also</w:t>
      </w:r>
      <w:r>
        <w:rPr>
          <w:spacing w:val="-4"/>
          <w:sz w:val="20"/>
        </w:rPr>
        <w:t> </w:t>
      </w:r>
      <w:r>
        <w:rPr>
          <w:sz w:val="20"/>
        </w:rPr>
        <w:t>one</w:t>
      </w:r>
      <w:r>
        <w:rPr>
          <w:spacing w:val="-2"/>
          <w:sz w:val="20"/>
        </w:rPr>
        <w:t> </w:t>
      </w:r>
      <w:r>
        <w:rPr>
          <w:sz w:val="20"/>
        </w:rPr>
        <w:t>of the key priorities of the Registry to strengthen the structure</w:t>
      </w:r>
      <w:r>
        <w:rPr>
          <w:spacing w:val="-1"/>
          <w:sz w:val="20"/>
        </w:rPr>
        <w:t> </w:t>
      </w:r>
      <w:r>
        <w:rPr>
          <w:sz w:val="20"/>
        </w:rPr>
        <w:t>and organizational mechanisms of the defence teams and the teams of legal representatives of victims.</w:t>
      </w:r>
    </w:p>
    <w:p>
      <w:pPr>
        <w:pStyle w:val="ListParagraph"/>
        <w:numPr>
          <w:ilvl w:val="0"/>
          <w:numId w:val="4"/>
        </w:numPr>
        <w:tabs>
          <w:tab w:pos="2967" w:val="left" w:leader="none"/>
        </w:tabs>
        <w:spacing w:line="240" w:lineRule="auto" w:before="119" w:after="0"/>
        <w:ind w:left="2246" w:right="2239" w:firstLine="0"/>
        <w:jc w:val="both"/>
        <w:rPr>
          <w:sz w:val="20"/>
        </w:rPr>
      </w:pPr>
      <w:r>
        <w:rPr>
          <w:sz w:val="20"/>
        </w:rPr>
        <w:t>In regard to external operations, the Registry will focus on the IER recommendations pertaining</w:t>
      </w:r>
      <w:r>
        <w:rPr>
          <w:spacing w:val="-4"/>
          <w:sz w:val="20"/>
        </w:rPr>
        <w:t> </w:t>
      </w:r>
      <w:r>
        <w:rPr>
          <w:sz w:val="20"/>
        </w:rPr>
        <w:t>to the</w:t>
      </w:r>
      <w:r>
        <w:rPr>
          <w:spacing w:val="-2"/>
          <w:sz w:val="20"/>
        </w:rPr>
        <w:t> </w:t>
      </w:r>
      <w:r>
        <w:rPr>
          <w:sz w:val="20"/>
        </w:rPr>
        <w:t>country</w:t>
      </w:r>
      <w:r>
        <w:rPr>
          <w:spacing w:val="-4"/>
          <w:sz w:val="20"/>
        </w:rPr>
        <w:t> </w:t>
      </w:r>
      <w:r>
        <w:rPr>
          <w:sz w:val="20"/>
        </w:rPr>
        <w:t>offices</w:t>
      </w:r>
      <w:r>
        <w:rPr>
          <w:spacing w:val="-5"/>
          <w:sz w:val="20"/>
        </w:rPr>
        <w:t> </w:t>
      </w:r>
      <w:r>
        <w:rPr>
          <w:sz w:val="20"/>
        </w:rPr>
        <w:t>and</w:t>
      </w:r>
      <w:r>
        <w:rPr>
          <w:spacing w:val="-4"/>
          <w:sz w:val="20"/>
        </w:rPr>
        <w:t> </w:t>
      </w:r>
      <w:r>
        <w:rPr>
          <w:sz w:val="20"/>
        </w:rPr>
        <w:t>the ICC Liaison Office</w:t>
      </w:r>
      <w:r>
        <w:rPr>
          <w:spacing w:val="-2"/>
          <w:sz w:val="20"/>
        </w:rPr>
        <w:t> </w:t>
      </w:r>
      <w:r>
        <w:rPr>
          <w:sz w:val="20"/>
        </w:rPr>
        <w:t>to</w:t>
      </w:r>
      <w:r>
        <w:rPr>
          <w:spacing w:val="-4"/>
          <w:sz w:val="20"/>
        </w:rPr>
        <w:t> </w:t>
      </w:r>
      <w:r>
        <w:rPr>
          <w:sz w:val="20"/>
        </w:rPr>
        <w:t>the</w:t>
      </w:r>
      <w:r>
        <w:rPr>
          <w:spacing w:val="-2"/>
          <w:sz w:val="20"/>
        </w:rPr>
        <w:t> </w:t>
      </w:r>
      <w:r>
        <w:rPr>
          <w:sz w:val="20"/>
        </w:rPr>
        <w:t>United Nations. The Registry aims to finalize the field engagement strategy, which will be used to adapt</w:t>
      </w:r>
      <w:r>
        <w:rPr>
          <w:spacing w:val="-12"/>
          <w:sz w:val="20"/>
        </w:rPr>
        <w:t> </w:t>
      </w:r>
      <w:r>
        <w:rPr>
          <w:sz w:val="20"/>
        </w:rPr>
        <w:t>the</w:t>
      </w:r>
      <w:r>
        <w:rPr>
          <w:spacing w:val="-10"/>
          <w:sz w:val="20"/>
        </w:rPr>
        <w:t> </w:t>
      </w:r>
      <w:r>
        <w:rPr>
          <w:sz w:val="20"/>
        </w:rPr>
        <w:t>capacity</w:t>
      </w:r>
      <w:r>
        <w:rPr>
          <w:spacing w:val="-7"/>
          <w:sz w:val="20"/>
        </w:rPr>
        <w:t> </w:t>
      </w:r>
      <w:r>
        <w:rPr>
          <w:sz w:val="20"/>
        </w:rPr>
        <w:t>of</w:t>
      </w:r>
      <w:r>
        <w:rPr>
          <w:spacing w:val="-12"/>
          <w:sz w:val="20"/>
        </w:rPr>
        <w:t> </w:t>
      </w:r>
      <w:r>
        <w:rPr>
          <w:sz w:val="20"/>
        </w:rPr>
        <w:t>country</w:t>
      </w:r>
      <w:r>
        <w:rPr>
          <w:spacing w:val="-12"/>
          <w:sz w:val="20"/>
        </w:rPr>
        <w:t> </w:t>
      </w:r>
      <w:r>
        <w:rPr>
          <w:sz w:val="20"/>
        </w:rPr>
        <w:t>offices</w:t>
      </w:r>
      <w:r>
        <w:rPr>
          <w:spacing w:val="-9"/>
          <w:sz w:val="20"/>
        </w:rPr>
        <w:t> </w:t>
      </w:r>
      <w:r>
        <w:rPr>
          <w:sz w:val="20"/>
        </w:rPr>
        <w:t>to</w:t>
      </w:r>
      <w:r>
        <w:rPr>
          <w:spacing w:val="-12"/>
          <w:sz w:val="20"/>
        </w:rPr>
        <w:t> </w:t>
      </w:r>
      <w:r>
        <w:rPr>
          <w:sz w:val="20"/>
        </w:rPr>
        <w:t>the</w:t>
      </w:r>
      <w:r>
        <w:rPr>
          <w:spacing w:val="-6"/>
          <w:sz w:val="20"/>
        </w:rPr>
        <w:t> </w:t>
      </w:r>
      <w:r>
        <w:rPr>
          <w:sz w:val="20"/>
        </w:rPr>
        <w:t>realities</w:t>
      </w:r>
      <w:r>
        <w:rPr>
          <w:spacing w:val="-13"/>
          <w:sz w:val="20"/>
        </w:rPr>
        <w:t> </w:t>
      </w:r>
      <w:r>
        <w:rPr>
          <w:sz w:val="20"/>
        </w:rPr>
        <w:t>of</w:t>
      </w:r>
      <w:r>
        <w:rPr>
          <w:spacing w:val="-12"/>
          <w:sz w:val="20"/>
        </w:rPr>
        <w:t> </w:t>
      </w:r>
      <w:r>
        <w:rPr>
          <w:sz w:val="20"/>
        </w:rPr>
        <w:t>investigative</w:t>
      </w:r>
      <w:r>
        <w:rPr>
          <w:spacing w:val="-10"/>
          <w:sz w:val="20"/>
        </w:rPr>
        <w:t> </w:t>
      </w:r>
      <w:r>
        <w:rPr>
          <w:sz w:val="20"/>
        </w:rPr>
        <w:t>and</w:t>
      </w:r>
      <w:r>
        <w:rPr>
          <w:spacing w:val="-12"/>
          <w:sz w:val="20"/>
        </w:rPr>
        <w:t> </w:t>
      </w:r>
      <w:r>
        <w:rPr>
          <w:sz w:val="20"/>
        </w:rPr>
        <w:t>judicial</w:t>
      </w:r>
      <w:r>
        <w:rPr>
          <w:spacing w:val="-11"/>
          <w:sz w:val="20"/>
        </w:rPr>
        <w:t> </w:t>
      </w:r>
      <w:r>
        <w:rPr>
          <w:sz w:val="20"/>
        </w:rPr>
        <w:t>activities</w:t>
      </w:r>
      <w:r>
        <w:rPr>
          <w:spacing w:val="-9"/>
          <w:sz w:val="20"/>
        </w:rPr>
        <w:t> </w:t>
      </w:r>
      <w:r>
        <w:rPr>
          <w:sz w:val="20"/>
        </w:rPr>
        <w:t>and the</w:t>
      </w:r>
      <w:r>
        <w:rPr>
          <w:spacing w:val="-2"/>
          <w:sz w:val="20"/>
        </w:rPr>
        <w:t> </w:t>
      </w:r>
      <w:r>
        <w:rPr>
          <w:sz w:val="20"/>
        </w:rPr>
        <w:t>related</w:t>
      </w:r>
      <w:r>
        <w:rPr>
          <w:spacing w:val="-4"/>
          <w:sz w:val="20"/>
        </w:rPr>
        <w:t> </w:t>
      </w:r>
      <w:r>
        <w:rPr>
          <w:sz w:val="20"/>
        </w:rPr>
        <w:t>workload</w:t>
      </w:r>
      <w:r>
        <w:rPr>
          <w:spacing w:val="-4"/>
          <w:sz w:val="20"/>
        </w:rPr>
        <w:t> </w:t>
      </w:r>
      <w:r>
        <w:rPr>
          <w:sz w:val="20"/>
        </w:rPr>
        <w:t>and give</w:t>
      </w:r>
      <w:r>
        <w:rPr>
          <w:spacing w:val="-2"/>
          <w:sz w:val="20"/>
        </w:rPr>
        <w:t> </w:t>
      </w:r>
      <w:r>
        <w:rPr>
          <w:sz w:val="20"/>
        </w:rPr>
        <w:t>further</w:t>
      </w:r>
      <w:r>
        <w:rPr>
          <w:spacing w:val="-4"/>
          <w:sz w:val="20"/>
        </w:rPr>
        <w:t> </w:t>
      </w:r>
      <w:r>
        <w:rPr>
          <w:sz w:val="20"/>
        </w:rPr>
        <w:t>flexibility to the</w:t>
      </w:r>
      <w:r>
        <w:rPr>
          <w:spacing w:val="-2"/>
          <w:sz w:val="20"/>
        </w:rPr>
        <w:t> </w:t>
      </w:r>
      <w:r>
        <w:rPr>
          <w:sz w:val="20"/>
        </w:rPr>
        <w:t>Chiefs</w:t>
      </w:r>
      <w:r>
        <w:rPr>
          <w:spacing w:val="-5"/>
          <w:sz w:val="20"/>
        </w:rPr>
        <w:t> </w:t>
      </w:r>
      <w:r>
        <w:rPr>
          <w:sz w:val="20"/>
        </w:rPr>
        <w:t>of Country Offices in</w:t>
      </w:r>
      <w:r>
        <w:rPr>
          <w:spacing w:val="-4"/>
          <w:sz w:val="20"/>
        </w:rPr>
        <w:t> </w:t>
      </w:r>
      <w:r>
        <w:rPr>
          <w:sz w:val="20"/>
        </w:rPr>
        <w:t>terms of recruitment</w:t>
      </w:r>
      <w:r>
        <w:rPr>
          <w:spacing w:val="79"/>
          <w:sz w:val="20"/>
        </w:rPr>
        <w:t> </w:t>
      </w:r>
      <w:r>
        <w:rPr>
          <w:sz w:val="20"/>
        </w:rPr>
        <w:t>and</w:t>
      </w:r>
      <w:r>
        <w:rPr>
          <w:spacing w:val="77"/>
          <w:sz w:val="20"/>
        </w:rPr>
        <w:t> </w:t>
      </w:r>
      <w:r>
        <w:rPr>
          <w:sz w:val="20"/>
        </w:rPr>
        <w:t>procurement.</w:t>
      </w:r>
      <w:r>
        <w:rPr>
          <w:spacing w:val="79"/>
          <w:sz w:val="20"/>
        </w:rPr>
        <w:t> </w:t>
      </w:r>
      <w:r>
        <w:rPr>
          <w:sz w:val="20"/>
        </w:rPr>
        <w:t>Additionally,</w:t>
      </w:r>
      <w:r>
        <w:rPr>
          <w:spacing w:val="80"/>
          <w:sz w:val="20"/>
        </w:rPr>
        <w:t> </w:t>
      </w:r>
      <w:r>
        <w:rPr>
          <w:sz w:val="20"/>
        </w:rPr>
        <w:t>strategic</w:t>
      </w:r>
      <w:r>
        <w:rPr>
          <w:spacing w:val="79"/>
          <w:sz w:val="20"/>
        </w:rPr>
        <w:t> </w:t>
      </w:r>
      <w:r>
        <w:rPr>
          <w:sz w:val="20"/>
        </w:rPr>
        <w:t>priorities</w:t>
      </w:r>
      <w:r>
        <w:rPr>
          <w:spacing w:val="75"/>
          <w:sz w:val="20"/>
        </w:rPr>
        <w:t> </w:t>
      </w:r>
      <w:r>
        <w:rPr>
          <w:sz w:val="20"/>
        </w:rPr>
        <w:t>in</w:t>
      </w:r>
      <w:r>
        <w:rPr>
          <w:spacing w:val="77"/>
          <w:sz w:val="20"/>
        </w:rPr>
        <w:t> </w:t>
      </w:r>
      <w:r>
        <w:rPr>
          <w:sz w:val="20"/>
        </w:rPr>
        <w:t>2023</w:t>
      </w:r>
      <w:r>
        <w:rPr>
          <w:spacing w:val="77"/>
          <w:sz w:val="20"/>
        </w:rPr>
        <w:t> </w:t>
      </w:r>
      <w:r>
        <w:rPr>
          <w:sz w:val="20"/>
        </w:rPr>
        <w:t>will</w:t>
      </w:r>
      <w:r>
        <w:rPr>
          <w:spacing w:val="79"/>
          <w:sz w:val="20"/>
        </w:rPr>
        <w:t> </w:t>
      </w:r>
      <w:r>
        <w:rPr>
          <w:sz w:val="20"/>
        </w:rPr>
        <w:t>include</w:t>
      </w:r>
    </w:p>
    <w:p>
      <w:pPr>
        <w:spacing w:after="0" w:line="240" w:lineRule="auto"/>
        <w:jc w:val="both"/>
        <w:rPr>
          <w:sz w:val="20"/>
        </w:rPr>
        <w:sectPr>
          <w:pgSz w:w="11910" w:h="16840"/>
          <w:pgMar w:header="957" w:footer="940" w:top="1140" w:bottom="1140" w:left="20" w:right="20"/>
        </w:sectPr>
      </w:pPr>
    </w:p>
    <w:p>
      <w:pPr>
        <w:pStyle w:val="BodyText"/>
        <w:spacing w:before="124"/>
        <w:ind w:left="2246" w:right="2240"/>
        <w:jc w:val="both"/>
      </w:pPr>
      <w:r>
        <w:rPr/>
        <w:t>enhancing the environment for cooperation with States, evaluation of the Victims and Witnesses Section (VWS) and the implementation of a strategic framework for communications. The Registry will aim to provide quality support to States, as well as to regional</w:t>
      </w:r>
      <w:r>
        <w:rPr>
          <w:spacing w:val="-13"/>
        </w:rPr>
        <w:t> </w:t>
      </w:r>
      <w:r>
        <w:rPr/>
        <w:t>and</w:t>
      </w:r>
      <w:r>
        <w:rPr>
          <w:spacing w:val="-12"/>
        </w:rPr>
        <w:t> </w:t>
      </w:r>
      <w:r>
        <w:rPr/>
        <w:t>international</w:t>
      </w:r>
      <w:r>
        <w:rPr>
          <w:spacing w:val="-13"/>
        </w:rPr>
        <w:t> </w:t>
      </w:r>
      <w:r>
        <w:rPr/>
        <w:t>organizations</w:t>
      </w:r>
      <w:r>
        <w:rPr>
          <w:spacing w:val="-12"/>
        </w:rPr>
        <w:t> </w:t>
      </w:r>
      <w:r>
        <w:rPr/>
        <w:t>to</w:t>
      </w:r>
      <w:r>
        <w:rPr>
          <w:spacing w:val="-13"/>
        </w:rPr>
        <w:t> </w:t>
      </w:r>
      <w:r>
        <w:rPr/>
        <w:t>encourage</w:t>
      </w:r>
      <w:r>
        <w:rPr>
          <w:spacing w:val="-12"/>
        </w:rPr>
        <w:t> </w:t>
      </w:r>
      <w:r>
        <w:rPr/>
        <w:t>full</w:t>
      </w:r>
      <w:r>
        <w:rPr>
          <w:spacing w:val="-13"/>
        </w:rPr>
        <w:t> </w:t>
      </w:r>
      <w:r>
        <w:rPr/>
        <w:t>and</w:t>
      </w:r>
      <w:r>
        <w:rPr>
          <w:spacing w:val="-12"/>
        </w:rPr>
        <w:t> </w:t>
      </w:r>
      <w:r>
        <w:rPr/>
        <w:t>timely</w:t>
      </w:r>
      <w:r>
        <w:rPr>
          <w:spacing w:val="-13"/>
        </w:rPr>
        <w:t> </w:t>
      </w:r>
      <w:r>
        <w:rPr/>
        <w:t>cooperation</w:t>
      </w:r>
      <w:r>
        <w:rPr>
          <w:spacing w:val="-12"/>
        </w:rPr>
        <w:t> </w:t>
      </w:r>
      <w:r>
        <w:rPr/>
        <w:t>with</w:t>
      </w:r>
      <w:r>
        <w:rPr>
          <w:spacing w:val="-13"/>
        </w:rPr>
        <w:t> </w:t>
      </w:r>
      <w:r>
        <w:rPr/>
        <w:t>respect to, among others, the protection of witnesses and the execution of warrants of arrest. The Registry</w:t>
      </w:r>
      <w:r>
        <w:rPr>
          <w:spacing w:val="-13"/>
        </w:rPr>
        <w:t> </w:t>
      </w:r>
      <w:r>
        <w:rPr/>
        <w:t>will</w:t>
      </w:r>
      <w:r>
        <w:rPr>
          <w:spacing w:val="-12"/>
        </w:rPr>
        <w:t> </w:t>
      </w:r>
      <w:r>
        <w:rPr/>
        <w:t>also</w:t>
      </w:r>
      <w:r>
        <w:rPr>
          <w:spacing w:val="-10"/>
        </w:rPr>
        <w:t> </w:t>
      </w:r>
      <w:r>
        <w:rPr/>
        <w:t>prioritize</w:t>
      </w:r>
      <w:r>
        <w:rPr>
          <w:spacing w:val="-12"/>
        </w:rPr>
        <w:t> </w:t>
      </w:r>
      <w:r>
        <w:rPr/>
        <w:t>the</w:t>
      </w:r>
      <w:r>
        <w:rPr>
          <w:spacing w:val="-8"/>
        </w:rPr>
        <w:t> </w:t>
      </w:r>
      <w:r>
        <w:rPr/>
        <w:t>development</w:t>
      </w:r>
      <w:r>
        <w:rPr>
          <w:spacing w:val="-8"/>
        </w:rPr>
        <w:t> </w:t>
      </w:r>
      <w:r>
        <w:rPr/>
        <w:t>of</w:t>
      </w:r>
      <w:r>
        <w:rPr>
          <w:spacing w:val="-9"/>
        </w:rPr>
        <w:t> </w:t>
      </w:r>
      <w:r>
        <w:rPr/>
        <w:t>an</w:t>
      </w:r>
      <w:r>
        <w:rPr>
          <w:spacing w:val="-13"/>
        </w:rPr>
        <w:t> </w:t>
      </w:r>
      <w:r>
        <w:rPr/>
        <w:t>arrest</w:t>
      </w:r>
      <w:r>
        <w:rPr>
          <w:spacing w:val="-8"/>
        </w:rPr>
        <w:t> </w:t>
      </w:r>
      <w:r>
        <w:rPr/>
        <w:t>strategy</w:t>
      </w:r>
      <w:r>
        <w:rPr>
          <w:spacing w:val="-13"/>
        </w:rPr>
        <w:t> </w:t>
      </w:r>
      <w:r>
        <w:rPr/>
        <w:t>and</w:t>
      </w:r>
      <w:r>
        <w:rPr>
          <w:spacing w:val="-12"/>
        </w:rPr>
        <w:t> </w:t>
      </w:r>
      <w:r>
        <w:rPr/>
        <w:t>reinforce</w:t>
      </w:r>
      <w:r>
        <w:rPr>
          <w:spacing w:val="-13"/>
        </w:rPr>
        <w:t> </w:t>
      </w:r>
      <w:r>
        <w:rPr/>
        <w:t>the</w:t>
      </w:r>
      <w:r>
        <w:rPr>
          <w:spacing w:val="-8"/>
        </w:rPr>
        <w:t> </w:t>
      </w:r>
      <w:r>
        <w:rPr/>
        <w:t>Registry’s capacity</w:t>
      </w:r>
      <w:r>
        <w:rPr>
          <w:spacing w:val="-11"/>
        </w:rPr>
        <w:t> </w:t>
      </w:r>
      <w:r>
        <w:rPr/>
        <w:t>in</w:t>
      </w:r>
      <w:r>
        <w:rPr>
          <w:spacing w:val="-11"/>
        </w:rPr>
        <w:t> </w:t>
      </w:r>
      <w:r>
        <w:rPr/>
        <w:t>the</w:t>
      </w:r>
      <w:r>
        <w:rPr>
          <w:spacing w:val="-9"/>
        </w:rPr>
        <w:t> </w:t>
      </w:r>
      <w:r>
        <w:rPr/>
        <w:t>tracing</w:t>
      </w:r>
      <w:r>
        <w:rPr>
          <w:spacing w:val="-11"/>
        </w:rPr>
        <w:t> </w:t>
      </w:r>
      <w:r>
        <w:rPr/>
        <w:t>and</w:t>
      </w:r>
      <w:r>
        <w:rPr>
          <w:spacing w:val="-11"/>
        </w:rPr>
        <w:t> </w:t>
      </w:r>
      <w:r>
        <w:rPr/>
        <w:t>arrest/surrender</w:t>
      </w:r>
      <w:r>
        <w:rPr>
          <w:spacing w:val="-6"/>
        </w:rPr>
        <w:t> </w:t>
      </w:r>
      <w:r>
        <w:rPr/>
        <w:t>of</w:t>
      </w:r>
      <w:r>
        <w:rPr>
          <w:spacing w:val="-11"/>
        </w:rPr>
        <w:t> </w:t>
      </w:r>
      <w:r>
        <w:rPr/>
        <w:t>suspects</w:t>
      </w:r>
      <w:r>
        <w:rPr>
          <w:spacing w:val="-7"/>
        </w:rPr>
        <w:t> </w:t>
      </w:r>
      <w:r>
        <w:rPr/>
        <w:t>at</w:t>
      </w:r>
      <w:r>
        <w:rPr>
          <w:spacing w:val="-10"/>
        </w:rPr>
        <w:t> </w:t>
      </w:r>
      <w:r>
        <w:rPr/>
        <w:t>large,</w:t>
      </w:r>
      <w:r>
        <w:rPr>
          <w:spacing w:val="-9"/>
        </w:rPr>
        <w:t> </w:t>
      </w:r>
      <w:r>
        <w:rPr/>
        <w:t>in</w:t>
      </w:r>
      <w:r>
        <w:rPr>
          <w:spacing w:val="-11"/>
        </w:rPr>
        <w:t> </w:t>
      </w:r>
      <w:r>
        <w:rPr/>
        <w:t>anticipation</w:t>
      </w:r>
      <w:r>
        <w:rPr>
          <w:spacing w:val="-11"/>
        </w:rPr>
        <w:t> </w:t>
      </w:r>
      <w:r>
        <w:rPr/>
        <w:t>of</w:t>
      </w:r>
      <w:r>
        <w:rPr>
          <w:spacing w:val="-11"/>
        </w:rPr>
        <w:t> </w:t>
      </w:r>
      <w:r>
        <w:rPr/>
        <w:t>the</w:t>
      </w:r>
      <w:r>
        <w:rPr>
          <w:spacing w:val="-9"/>
        </w:rPr>
        <w:t> </w:t>
      </w:r>
      <w:r>
        <w:rPr/>
        <w:t>issuance of new warrants of arrest following intensified OTP investigations in 2023, and/or with a view to the execution of existing outstanding warrants.</w:t>
      </w:r>
    </w:p>
    <w:p>
      <w:pPr>
        <w:pStyle w:val="BodyText"/>
        <w:spacing w:before="3"/>
        <w:rPr>
          <w:sz w:val="21"/>
        </w:rPr>
      </w:pPr>
    </w:p>
    <w:p>
      <w:pPr>
        <w:pStyle w:val="Heading3"/>
        <w:jc w:val="both"/>
      </w:pPr>
      <w:r>
        <w:rPr/>
        <w:t>Main</w:t>
      </w:r>
      <w:r>
        <w:rPr>
          <w:spacing w:val="-8"/>
        </w:rPr>
        <w:t> </w:t>
      </w:r>
      <w:r>
        <w:rPr/>
        <w:t>cost</w:t>
      </w:r>
      <w:r>
        <w:rPr>
          <w:spacing w:val="-6"/>
        </w:rPr>
        <w:t> </w:t>
      </w:r>
      <w:r>
        <w:rPr/>
        <w:t>drivers</w:t>
      </w:r>
      <w:r>
        <w:rPr>
          <w:spacing w:val="-3"/>
        </w:rPr>
        <w:t> </w:t>
      </w:r>
      <w:r>
        <w:rPr/>
        <w:t>of</w:t>
      </w:r>
      <w:r>
        <w:rPr>
          <w:spacing w:val="-6"/>
        </w:rPr>
        <w:t> </w:t>
      </w:r>
      <w:r>
        <w:rPr/>
        <w:t>the proposed</w:t>
      </w:r>
      <w:r>
        <w:rPr>
          <w:spacing w:val="-7"/>
        </w:rPr>
        <w:t> </w:t>
      </w:r>
      <w:r>
        <w:rPr>
          <w:spacing w:val="-2"/>
        </w:rPr>
        <w:t>increase</w:t>
      </w:r>
    </w:p>
    <w:p>
      <w:pPr>
        <w:pStyle w:val="BodyText"/>
        <w:spacing w:before="10"/>
        <w:rPr>
          <w:b/>
        </w:rPr>
      </w:pPr>
    </w:p>
    <w:p>
      <w:pPr>
        <w:pStyle w:val="ListParagraph"/>
        <w:numPr>
          <w:ilvl w:val="0"/>
          <w:numId w:val="4"/>
        </w:numPr>
        <w:tabs>
          <w:tab w:pos="2967" w:val="left" w:leader="none"/>
        </w:tabs>
        <w:spacing w:line="240" w:lineRule="auto" w:before="1" w:after="0"/>
        <w:ind w:left="2967" w:right="0" w:hanging="721"/>
        <w:jc w:val="both"/>
        <w:rPr>
          <w:sz w:val="20"/>
        </w:rPr>
      </w:pPr>
      <w:r>
        <w:rPr>
          <w:sz w:val="20"/>
        </w:rPr>
        <w:t>The</w:t>
      </w:r>
      <w:r>
        <w:rPr>
          <w:spacing w:val="-5"/>
          <w:sz w:val="20"/>
        </w:rPr>
        <w:t> </w:t>
      </w:r>
      <w:r>
        <w:rPr>
          <w:sz w:val="20"/>
        </w:rPr>
        <w:t>proposed</w:t>
      </w:r>
      <w:r>
        <w:rPr>
          <w:spacing w:val="-6"/>
          <w:sz w:val="20"/>
        </w:rPr>
        <w:t> </w:t>
      </w:r>
      <w:r>
        <w:rPr>
          <w:sz w:val="20"/>
        </w:rPr>
        <w:t>increase</w:t>
      </w:r>
      <w:r>
        <w:rPr>
          <w:spacing w:val="-5"/>
          <w:sz w:val="20"/>
        </w:rPr>
        <w:t> </w:t>
      </w:r>
      <w:r>
        <w:rPr>
          <w:sz w:val="20"/>
        </w:rPr>
        <w:t>is</w:t>
      </w:r>
      <w:r>
        <w:rPr>
          <w:spacing w:val="-5"/>
          <w:sz w:val="20"/>
        </w:rPr>
        <w:t> </w:t>
      </w:r>
      <w:r>
        <w:rPr>
          <w:sz w:val="20"/>
        </w:rPr>
        <w:t>attributable</w:t>
      </w:r>
      <w:r>
        <w:rPr>
          <w:spacing w:val="-5"/>
          <w:sz w:val="20"/>
        </w:rPr>
        <w:t> </w:t>
      </w:r>
      <w:r>
        <w:rPr>
          <w:sz w:val="20"/>
        </w:rPr>
        <w:t>to</w:t>
      </w:r>
      <w:r>
        <w:rPr>
          <w:spacing w:val="-6"/>
          <w:sz w:val="20"/>
        </w:rPr>
        <w:t> </w:t>
      </w:r>
      <w:r>
        <w:rPr>
          <w:sz w:val="20"/>
        </w:rPr>
        <w:t>four</w:t>
      </w:r>
      <w:r>
        <w:rPr>
          <w:spacing w:val="-7"/>
          <w:sz w:val="20"/>
        </w:rPr>
        <w:t> </w:t>
      </w:r>
      <w:r>
        <w:rPr>
          <w:sz w:val="20"/>
        </w:rPr>
        <w:t>main</w:t>
      </w:r>
      <w:r>
        <w:rPr>
          <w:spacing w:val="-6"/>
          <w:sz w:val="20"/>
        </w:rPr>
        <w:t> </w:t>
      </w:r>
      <w:r>
        <w:rPr>
          <w:sz w:val="20"/>
        </w:rPr>
        <w:t>cost</w:t>
      </w:r>
      <w:r>
        <w:rPr>
          <w:spacing w:val="-4"/>
          <w:sz w:val="20"/>
        </w:rPr>
        <w:t> </w:t>
      </w:r>
      <w:r>
        <w:rPr>
          <w:spacing w:val="-2"/>
          <w:sz w:val="20"/>
        </w:rPr>
        <w:t>drivers:</w:t>
      </w:r>
    </w:p>
    <w:p>
      <w:pPr>
        <w:pStyle w:val="ListParagraph"/>
        <w:numPr>
          <w:ilvl w:val="0"/>
          <w:numId w:val="13"/>
        </w:numPr>
        <w:tabs>
          <w:tab w:pos="3686" w:val="left" w:leader="none"/>
          <w:tab w:pos="3687" w:val="left" w:leader="none"/>
        </w:tabs>
        <w:spacing w:line="240" w:lineRule="auto" w:before="116" w:after="0"/>
        <w:ind w:left="2967" w:right="2245" w:firstLine="0"/>
        <w:jc w:val="both"/>
        <w:rPr>
          <w:sz w:val="20"/>
        </w:rPr>
      </w:pPr>
      <w:r>
        <w:rPr>
          <w:sz w:val="20"/>
        </w:rPr>
        <w:t>Supporting</w:t>
      </w:r>
      <w:r>
        <w:rPr>
          <w:spacing w:val="-13"/>
          <w:sz w:val="20"/>
        </w:rPr>
        <w:t> </w:t>
      </w:r>
      <w:r>
        <w:rPr>
          <w:sz w:val="20"/>
        </w:rPr>
        <w:t>increased</w:t>
      </w:r>
      <w:r>
        <w:rPr>
          <w:spacing w:val="-12"/>
          <w:sz w:val="20"/>
        </w:rPr>
        <w:t> </w:t>
      </w:r>
      <w:r>
        <w:rPr>
          <w:sz w:val="20"/>
        </w:rPr>
        <w:t>judicial</w:t>
      </w:r>
      <w:r>
        <w:rPr>
          <w:spacing w:val="-10"/>
          <w:sz w:val="20"/>
        </w:rPr>
        <w:t> </w:t>
      </w:r>
      <w:r>
        <w:rPr>
          <w:sz w:val="20"/>
        </w:rPr>
        <w:t>activities,</w:t>
      </w:r>
      <w:r>
        <w:rPr>
          <w:spacing w:val="-10"/>
          <w:sz w:val="20"/>
        </w:rPr>
        <w:t> </w:t>
      </w:r>
      <w:r>
        <w:rPr>
          <w:sz w:val="20"/>
        </w:rPr>
        <w:t>including</w:t>
      </w:r>
      <w:r>
        <w:rPr>
          <w:spacing w:val="-11"/>
          <w:sz w:val="20"/>
        </w:rPr>
        <w:t> </w:t>
      </w:r>
      <w:r>
        <w:rPr>
          <w:sz w:val="20"/>
        </w:rPr>
        <w:t>supporting</w:t>
      </w:r>
      <w:r>
        <w:rPr>
          <w:spacing w:val="-13"/>
          <w:sz w:val="20"/>
        </w:rPr>
        <w:t> </w:t>
      </w:r>
      <w:r>
        <w:rPr>
          <w:sz w:val="20"/>
        </w:rPr>
        <w:t>trial</w:t>
      </w:r>
      <w:r>
        <w:rPr>
          <w:spacing w:val="-10"/>
          <w:sz w:val="20"/>
        </w:rPr>
        <w:t> </w:t>
      </w:r>
      <w:r>
        <w:rPr>
          <w:sz w:val="20"/>
        </w:rPr>
        <w:t>hearings in three cases simultaneously in 2023 </w:t>
      </w:r>
      <w:r>
        <w:rPr>
          <w:b/>
          <w:sz w:val="20"/>
        </w:rPr>
        <w:t>(€5.9 million</w:t>
      </w:r>
      <w:r>
        <w:rPr>
          <w:sz w:val="20"/>
        </w:rPr>
        <w:t>);</w:t>
      </w:r>
    </w:p>
    <w:p>
      <w:pPr>
        <w:pStyle w:val="ListParagraph"/>
        <w:numPr>
          <w:ilvl w:val="0"/>
          <w:numId w:val="13"/>
        </w:numPr>
        <w:tabs>
          <w:tab w:pos="3686" w:val="left" w:leader="none"/>
          <w:tab w:pos="3687" w:val="left" w:leader="none"/>
        </w:tabs>
        <w:spacing w:line="240" w:lineRule="auto" w:before="164" w:after="0"/>
        <w:ind w:left="2967" w:right="2247" w:firstLine="0"/>
        <w:jc w:val="both"/>
        <w:rPr>
          <w:sz w:val="20"/>
        </w:rPr>
      </w:pPr>
      <w:r>
        <w:rPr>
          <w:sz w:val="20"/>
        </w:rPr>
        <w:t>Increased</w:t>
      </w:r>
      <w:r>
        <w:rPr>
          <w:spacing w:val="-13"/>
          <w:sz w:val="20"/>
        </w:rPr>
        <w:t> </w:t>
      </w:r>
      <w:r>
        <w:rPr>
          <w:sz w:val="20"/>
        </w:rPr>
        <w:t>support</w:t>
      </w:r>
      <w:r>
        <w:rPr>
          <w:spacing w:val="-12"/>
          <w:sz w:val="20"/>
        </w:rPr>
        <w:t> </w:t>
      </w:r>
      <w:r>
        <w:rPr>
          <w:sz w:val="20"/>
        </w:rPr>
        <w:t>to</w:t>
      </w:r>
      <w:r>
        <w:rPr>
          <w:spacing w:val="-13"/>
          <w:sz w:val="20"/>
        </w:rPr>
        <w:t> </w:t>
      </w:r>
      <w:r>
        <w:rPr>
          <w:sz w:val="20"/>
        </w:rPr>
        <w:t>the</w:t>
      </w:r>
      <w:r>
        <w:rPr>
          <w:spacing w:val="-12"/>
          <w:sz w:val="20"/>
        </w:rPr>
        <w:t> </w:t>
      </w:r>
      <w:r>
        <w:rPr>
          <w:sz w:val="20"/>
        </w:rPr>
        <w:t>OTP’s</w:t>
      </w:r>
      <w:r>
        <w:rPr>
          <w:spacing w:val="-13"/>
          <w:sz w:val="20"/>
        </w:rPr>
        <w:t> </w:t>
      </w:r>
      <w:r>
        <w:rPr>
          <w:sz w:val="20"/>
        </w:rPr>
        <w:t>investigative</w:t>
      </w:r>
      <w:r>
        <w:rPr>
          <w:spacing w:val="-11"/>
          <w:sz w:val="20"/>
        </w:rPr>
        <w:t> </w:t>
      </w:r>
      <w:r>
        <w:rPr>
          <w:sz w:val="20"/>
        </w:rPr>
        <w:t>activities,</w:t>
      </w:r>
      <w:r>
        <w:rPr>
          <w:spacing w:val="-12"/>
          <w:sz w:val="20"/>
        </w:rPr>
        <w:t> </w:t>
      </w:r>
      <w:r>
        <w:rPr>
          <w:sz w:val="20"/>
        </w:rPr>
        <w:t>including</w:t>
      </w:r>
      <w:r>
        <w:rPr>
          <w:spacing w:val="-10"/>
          <w:sz w:val="20"/>
        </w:rPr>
        <w:t> </w:t>
      </w:r>
      <w:r>
        <w:rPr>
          <w:sz w:val="20"/>
        </w:rPr>
        <w:t>enhanced support in the field, as well as support to reparation activities </w:t>
      </w:r>
      <w:r>
        <w:rPr>
          <w:b/>
          <w:sz w:val="20"/>
        </w:rPr>
        <w:t>(€1.4 million</w:t>
      </w:r>
      <w:r>
        <w:rPr>
          <w:sz w:val="20"/>
        </w:rPr>
        <w:t>);</w:t>
      </w:r>
    </w:p>
    <w:p>
      <w:pPr>
        <w:pStyle w:val="ListParagraph"/>
        <w:numPr>
          <w:ilvl w:val="0"/>
          <w:numId w:val="13"/>
        </w:numPr>
        <w:tabs>
          <w:tab w:pos="3687" w:val="left" w:leader="none"/>
        </w:tabs>
        <w:spacing w:line="240" w:lineRule="auto" w:before="159" w:after="0"/>
        <w:ind w:left="2967" w:right="2237" w:firstLine="0"/>
        <w:jc w:val="both"/>
        <w:rPr>
          <w:sz w:val="20"/>
        </w:rPr>
      </w:pPr>
      <w:r>
        <w:rPr>
          <w:sz w:val="20"/>
        </w:rPr>
        <w:t>Unavoidable inflationary pressures, including the application of the UN Common System, and the price index increases concerning goods, utilities and services</w:t>
      </w:r>
      <w:r>
        <w:rPr>
          <w:spacing w:val="-11"/>
          <w:sz w:val="20"/>
        </w:rPr>
        <w:t> </w:t>
      </w:r>
      <w:r>
        <w:rPr>
          <w:sz w:val="20"/>
        </w:rPr>
        <w:t>for</w:t>
      </w:r>
      <w:r>
        <w:rPr>
          <w:spacing w:val="-13"/>
          <w:sz w:val="20"/>
        </w:rPr>
        <w:t> </w:t>
      </w:r>
      <w:r>
        <w:rPr>
          <w:sz w:val="20"/>
        </w:rPr>
        <w:t>which</w:t>
      </w:r>
      <w:r>
        <w:rPr>
          <w:spacing w:val="-8"/>
          <w:sz w:val="20"/>
        </w:rPr>
        <w:t> </w:t>
      </w:r>
      <w:r>
        <w:rPr>
          <w:sz w:val="20"/>
        </w:rPr>
        <w:t>the</w:t>
      </w:r>
      <w:r>
        <w:rPr>
          <w:spacing w:val="-12"/>
          <w:sz w:val="20"/>
        </w:rPr>
        <w:t> </w:t>
      </w:r>
      <w:r>
        <w:rPr>
          <w:sz w:val="20"/>
        </w:rPr>
        <w:t>Registry</w:t>
      </w:r>
      <w:r>
        <w:rPr>
          <w:spacing w:val="-10"/>
          <w:sz w:val="20"/>
        </w:rPr>
        <w:t> </w:t>
      </w:r>
      <w:r>
        <w:rPr>
          <w:sz w:val="20"/>
        </w:rPr>
        <w:t>is</w:t>
      </w:r>
      <w:r>
        <w:rPr>
          <w:spacing w:val="-10"/>
          <w:sz w:val="20"/>
        </w:rPr>
        <w:t> </w:t>
      </w:r>
      <w:r>
        <w:rPr>
          <w:sz w:val="20"/>
        </w:rPr>
        <w:t>a</w:t>
      </w:r>
      <w:r>
        <w:rPr>
          <w:spacing w:val="-12"/>
          <w:sz w:val="20"/>
        </w:rPr>
        <w:t> </w:t>
      </w:r>
      <w:r>
        <w:rPr>
          <w:sz w:val="20"/>
        </w:rPr>
        <w:t>Court-wide</w:t>
      </w:r>
      <w:r>
        <w:rPr>
          <w:spacing w:val="-7"/>
          <w:sz w:val="20"/>
        </w:rPr>
        <w:t> </w:t>
      </w:r>
      <w:r>
        <w:rPr>
          <w:sz w:val="20"/>
        </w:rPr>
        <w:t>service</w:t>
      </w:r>
      <w:r>
        <w:rPr>
          <w:spacing w:val="-7"/>
          <w:sz w:val="20"/>
        </w:rPr>
        <w:t> </w:t>
      </w:r>
      <w:r>
        <w:rPr>
          <w:sz w:val="20"/>
        </w:rPr>
        <w:t>provider</w:t>
      </w:r>
      <w:r>
        <w:rPr>
          <w:spacing w:val="-6"/>
          <w:sz w:val="20"/>
        </w:rPr>
        <w:t> </w:t>
      </w:r>
      <w:r>
        <w:rPr>
          <w:b/>
          <w:sz w:val="20"/>
        </w:rPr>
        <w:t>(€2.9</w:t>
      </w:r>
      <w:r>
        <w:rPr>
          <w:b/>
          <w:spacing w:val="-13"/>
          <w:sz w:val="20"/>
        </w:rPr>
        <w:t> </w:t>
      </w:r>
      <w:r>
        <w:rPr>
          <w:b/>
          <w:sz w:val="20"/>
        </w:rPr>
        <w:t>million</w:t>
      </w:r>
      <w:r>
        <w:rPr>
          <w:sz w:val="20"/>
        </w:rPr>
        <w:t>);</w:t>
      </w:r>
      <w:r>
        <w:rPr>
          <w:spacing w:val="-12"/>
          <w:sz w:val="20"/>
        </w:rPr>
        <w:t> </w:t>
      </w:r>
      <w:r>
        <w:rPr>
          <w:sz w:val="20"/>
        </w:rPr>
        <w:t>and,</w:t>
      </w:r>
    </w:p>
    <w:p>
      <w:pPr>
        <w:pStyle w:val="ListParagraph"/>
        <w:numPr>
          <w:ilvl w:val="0"/>
          <w:numId w:val="13"/>
        </w:numPr>
        <w:tabs>
          <w:tab w:pos="3687" w:val="left" w:leader="none"/>
        </w:tabs>
        <w:spacing w:line="240" w:lineRule="auto" w:before="160" w:after="0"/>
        <w:ind w:left="2967" w:right="2244" w:firstLine="0"/>
        <w:jc w:val="both"/>
        <w:rPr>
          <w:sz w:val="20"/>
        </w:rPr>
      </w:pPr>
      <w:r>
        <w:rPr>
          <w:sz w:val="20"/>
        </w:rPr>
        <w:t>The implementation of strategic priorities, such as those concerning the establishment of an ombudsperson and the gender equality focal point, improvements in the recruitment process, workforce planning and mobility, improvements to the procurement process, and enhanced capabilities in relation to budget monitoring and implementation in line with the objectives set out in the Registry’s</w:t>
      </w:r>
      <w:r>
        <w:rPr>
          <w:spacing w:val="80"/>
          <w:sz w:val="20"/>
        </w:rPr>
        <w:t> </w:t>
      </w:r>
      <w:r>
        <w:rPr>
          <w:sz w:val="20"/>
        </w:rPr>
        <w:t>Strategic</w:t>
      </w:r>
      <w:r>
        <w:rPr>
          <w:spacing w:val="80"/>
          <w:sz w:val="20"/>
        </w:rPr>
        <w:t> </w:t>
      </w:r>
      <w:r>
        <w:rPr>
          <w:sz w:val="20"/>
        </w:rPr>
        <w:t>Plan,</w:t>
      </w:r>
      <w:r>
        <w:rPr>
          <w:spacing w:val="80"/>
          <w:sz w:val="20"/>
        </w:rPr>
        <w:t> </w:t>
      </w:r>
      <w:r>
        <w:rPr>
          <w:sz w:val="20"/>
        </w:rPr>
        <w:t>as</w:t>
      </w:r>
      <w:r>
        <w:rPr>
          <w:spacing w:val="80"/>
          <w:sz w:val="20"/>
        </w:rPr>
        <w:t> </w:t>
      </w:r>
      <w:r>
        <w:rPr>
          <w:sz w:val="20"/>
        </w:rPr>
        <w:t>well</w:t>
      </w:r>
      <w:r>
        <w:rPr>
          <w:spacing w:val="80"/>
          <w:sz w:val="20"/>
        </w:rPr>
        <w:t> </w:t>
      </w:r>
      <w:r>
        <w:rPr>
          <w:sz w:val="20"/>
        </w:rPr>
        <w:t>as</w:t>
      </w:r>
      <w:r>
        <w:rPr>
          <w:spacing w:val="80"/>
          <w:sz w:val="20"/>
        </w:rPr>
        <w:t> </w:t>
      </w:r>
      <w:r>
        <w:rPr>
          <w:sz w:val="20"/>
        </w:rPr>
        <w:t>other</w:t>
      </w:r>
      <w:r>
        <w:rPr>
          <w:spacing w:val="80"/>
          <w:sz w:val="20"/>
        </w:rPr>
        <w:t> </w:t>
      </w:r>
      <w:r>
        <w:rPr>
          <w:sz w:val="20"/>
        </w:rPr>
        <w:t>administrative</w:t>
      </w:r>
      <w:r>
        <w:rPr>
          <w:spacing w:val="80"/>
          <w:sz w:val="20"/>
        </w:rPr>
        <w:t> </w:t>
      </w:r>
      <w:r>
        <w:rPr>
          <w:sz w:val="20"/>
        </w:rPr>
        <w:t>requirements (</w:t>
      </w:r>
      <w:r>
        <w:rPr>
          <w:b/>
          <w:sz w:val="20"/>
        </w:rPr>
        <w:t>€1.0 million</w:t>
      </w:r>
      <w:r>
        <w:rPr>
          <w:sz w:val="20"/>
        </w:rPr>
        <w:t>).</w:t>
      </w:r>
    </w:p>
    <w:p>
      <w:pPr>
        <w:pStyle w:val="BodyText"/>
        <w:spacing w:before="9"/>
      </w:pPr>
    </w:p>
    <w:p>
      <w:pPr>
        <w:pStyle w:val="Heading3"/>
        <w:ind w:right="2238"/>
        <w:jc w:val="both"/>
      </w:pPr>
      <w:r>
        <w:rPr/>
        <w:t>Support for judicial activities - three courtroom teams, support for victim-related activities and legal aid</w:t>
      </w:r>
    </w:p>
    <w:p>
      <w:pPr>
        <w:pStyle w:val="BodyText"/>
        <w:spacing w:before="10"/>
        <w:rPr>
          <w:b/>
        </w:rPr>
      </w:pPr>
    </w:p>
    <w:p>
      <w:pPr>
        <w:pStyle w:val="ListParagraph"/>
        <w:numPr>
          <w:ilvl w:val="0"/>
          <w:numId w:val="4"/>
        </w:numPr>
        <w:tabs>
          <w:tab w:pos="2967" w:val="left" w:leader="none"/>
        </w:tabs>
        <w:spacing w:line="240" w:lineRule="auto" w:before="1" w:after="0"/>
        <w:ind w:left="2246" w:right="2239" w:firstLine="0"/>
        <w:jc w:val="both"/>
        <w:rPr>
          <w:sz w:val="20"/>
        </w:rPr>
      </w:pPr>
      <w:r>
        <w:rPr>
          <w:sz w:val="20"/>
        </w:rPr>
        <w:t>Resource</w:t>
      </w:r>
      <w:r>
        <w:rPr>
          <w:spacing w:val="-13"/>
          <w:sz w:val="20"/>
        </w:rPr>
        <w:t> </w:t>
      </w:r>
      <w:r>
        <w:rPr>
          <w:sz w:val="20"/>
        </w:rPr>
        <w:t>requirements</w:t>
      </w:r>
      <w:r>
        <w:rPr>
          <w:spacing w:val="-12"/>
          <w:sz w:val="20"/>
        </w:rPr>
        <w:t> </w:t>
      </w:r>
      <w:r>
        <w:rPr>
          <w:sz w:val="20"/>
        </w:rPr>
        <w:t>in</w:t>
      </w:r>
      <w:r>
        <w:rPr>
          <w:spacing w:val="-13"/>
          <w:sz w:val="20"/>
        </w:rPr>
        <w:t> </w:t>
      </w:r>
      <w:r>
        <w:rPr>
          <w:sz w:val="20"/>
        </w:rPr>
        <w:t>the</w:t>
      </w:r>
      <w:r>
        <w:rPr>
          <w:spacing w:val="-12"/>
          <w:sz w:val="20"/>
        </w:rPr>
        <w:t> </w:t>
      </w:r>
      <w:r>
        <w:rPr>
          <w:sz w:val="20"/>
        </w:rPr>
        <w:t>Registry</w:t>
      </w:r>
      <w:r>
        <w:rPr>
          <w:spacing w:val="-13"/>
          <w:sz w:val="20"/>
        </w:rPr>
        <w:t> </w:t>
      </w:r>
      <w:r>
        <w:rPr>
          <w:sz w:val="20"/>
        </w:rPr>
        <w:t>are</w:t>
      </w:r>
      <w:r>
        <w:rPr>
          <w:spacing w:val="-12"/>
          <w:sz w:val="20"/>
        </w:rPr>
        <w:t> </w:t>
      </w:r>
      <w:r>
        <w:rPr>
          <w:sz w:val="20"/>
        </w:rPr>
        <w:t>significantly</w:t>
      </w:r>
      <w:r>
        <w:rPr>
          <w:spacing w:val="-13"/>
          <w:sz w:val="20"/>
        </w:rPr>
        <w:t> </w:t>
      </w:r>
      <w:r>
        <w:rPr>
          <w:sz w:val="20"/>
        </w:rPr>
        <w:t>driven</w:t>
      </w:r>
      <w:r>
        <w:rPr>
          <w:spacing w:val="-12"/>
          <w:sz w:val="20"/>
        </w:rPr>
        <w:t> </w:t>
      </w:r>
      <w:r>
        <w:rPr>
          <w:sz w:val="20"/>
        </w:rPr>
        <w:t>by</w:t>
      </w:r>
      <w:r>
        <w:rPr>
          <w:spacing w:val="-13"/>
          <w:sz w:val="20"/>
        </w:rPr>
        <w:t> </w:t>
      </w:r>
      <w:r>
        <w:rPr>
          <w:sz w:val="20"/>
        </w:rPr>
        <w:t>its</w:t>
      </w:r>
      <w:r>
        <w:rPr>
          <w:spacing w:val="-12"/>
          <w:sz w:val="20"/>
        </w:rPr>
        <w:t> </w:t>
      </w:r>
      <w:r>
        <w:rPr>
          <w:sz w:val="20"/>
        </w:rPr>
        <w:t>judicial</w:t>
      </w:r>
      <w:r>
        <w:rPr>
          <w:spacing w:val="-11"/>
          <w:sz w:val="20"/>
        </w:rPr>
        <w:t> </w:t>
      </w:r>
      <w:r>
        <w:rPr>
          <w:sz w:val="20"/>
        </w:rPr>
        <w:t>support responsibilities and duty to provide efficient and effective support to the increased level of judicial</w:t>
      </w:r>
      <w:r>
        <w:rPr>
          <w:spacing w:val="-3"/>
          <w:sz w:val="20"/>
        </w:rPr>
        <w:t> </w:t>
      </w:r>
      <w:r>
        <w:rPr>
          <w:sz w:val="20"/>
        </w:rPr>
        <w:t>activities</w:t>
      </w:r>
      <w:r>
        <w:rPr>
          <w:spacing w:val="-6"/>
          <w:sz w:val="20"/>
        </w:rPr>
        <w:t> </w:t>
      </w:r>
      <w:r>
        <w:rPr>
          <w:sz w:val="20"/>
        </w:rPr>
        <w:t>and</w:t>
      </w:r>
      <w:r>
        <w:rPr>
          <w:spacing w:val="-5"/>
          <w:sz w:val="20"/>
        </w:rPr>
        <w:t> </w:t>
      </w:r>
      <w:r>
        <w:rPr>
          <w:sz w:val="20"/>
        </w:rPr>
        <w:t>the</w:t>
      </w:r>
      <w:r>
        <w:rPr>
          <w:spacing w:val="-3"/>
          <w:sz w:val="20"/>
        </w:rPr>
        <w:t> </w:t>
      </w:r>
      <w:r>
        <w:rPr>
          <w:sz w:val="20"/>
        </w:rPr>
        <w:t>fast–paced</w:t>
      </w:r>
      <w:r>
        <w:rPr>
          <w:spacing w:val="-5"/>
          <w:sz w:val="20"/>
        </w:rPr>
        <w:t> </w:t>
      </w:r>
      <w:r>
        <w:rPr>
          <w:sz w:val="20"/>
        </w:rPr>
        <w:t>proceedings.</w:t>
      </w:r>
      <w:r>
        <w:rPr>
          <w:spacing w:val="-2"/>
          <w:sz w:val="20"/>
        </w:rPr>
        <w:t> </w:t>
      </w:r>
      <w:r>
        <w:rPr>
          <w:sz w:val="20"/>
        </w:rPr>
        <w:t>These</w:t>
      </w:r>
      <w:r>
        <w:rPr>
          <w:spacing w:val="-3"/>
          <w:sz w:val="20"/>
        </w:rPr>
        <w:t> </w:t>
      </w:r>
      <w:r>
        <w:rPr>
          <w:sz w:val="20"/>
        </w:rPr>
        <w:t>investments</w:t>
      </w:r>
      <w:r>
        <w:rPr>
          <w:spacing w:val="-1"/>
          <w:sz w:val="20"/>
        </w:rPr>
        <w:t> </w:t>
      </w:r>
      <w:r>
        <w:rPr>
          <w:sz w:val="20"/>
        </w:rPr>
        <w:t>will</w:t>
      </w:r>
      <w:r>
        <w:rPr>
          <w:spacing w:val="-3"/>
          <w:sz w:val="20"/>
        </w:rPr>
        <w:t> </w:t>
      </w:r>
      <w:r>
        <w:rPr>
          <w:sz w:val="20"/>
        </w:rPr>
        <w:t>ensure</w:t>
      </w:r>
      <w:r>
        <w:rPr>
          <w:spacing w:val="-3"/>
          <w:sz w:val="20"/>
        </w:rPr>
        <w:t> </w:t>
      </w:r>
      <w:r>
        <w:rPr>
          <w:sz w:val="20"/>
        </w:rPr>
        <w:t>continuous and expeditious judicial proceedings, safeguarding the rights of the parties and participants and avoiding costly inefficiencies to the Court.</w:t>
      </w:r>
    </w:p>
    <w:p>
      <w:pPr>
        <w:pStyle w:val="ListParagraph"/>
        <w:numPr>
          <w:ilvl w:val="0"/>
          <w:numId w:val="4"/>
        </w:numPr>
        <w:tabs>
          <w:tab w:pos="2967" w:val="left" w:leader="none"/>
        </w:tabs>
        <w:spacing w:line="240" w:lineRule="auto" w:before="122" w:after="0"/>
        <w:ind w:left="2246" w:right="2238" w:firstLine="0"/>
        <w:jc w:val="both"/>
        <w:rPr>
          <w:sz w:val="20"/>
        </w:rPr>
      </w:pPr>
      <w:r>
        <w:rPr>
          <w:sz w:val="20"/>
        </w:rPr>
        <w:t>In 2023, the Registry is required to support a significant increase in trial activities, with</w:t>
      </w:r>
      <w:r>
        <w:rPr>
          <w:spacing w:val="-10"/>
          <w:sz w:val="20"/>
        </w:rPr>
        <w:t> </w:t>
      </w:r>
      <w:r>
        <w:rPr>
          <w:sz w:val="20"/>
        </w:rPr>
        <w:t>hearings</w:t>
      </w:r>
      <w:r>
        <w:rPr>
          <w:spacing w:val="-11"/>
          <w:sz w:val="20"/>
        </w:rPr>
        <w:t> </w:t>
      </w:r>
      <w:r>
        <w:rPr>
          <w:sz w:val="20"/>
        </w:rPr>
        <w:t>in</w:t>
      </w:r>
      <w:r>
        <w:rPr>
          <w:spacing w:val="-10"/>
          <w:sz w:val="20"/>
        </w:rPr>
        <w:t> </w:t>
      </w:r>
      <w:r>
        <w:rPr>
          <w:sz w:val="20"/>
        </w:rPr>
        <w:t>three</w:t>
      </w:r>
      <w:r>
        <w:rPr>
          <w:spacing w:val="-12"/>
          <w:sz w:val="20"/>
        </w:rPr>
        <w:t> </w:t>
      </w:r>
      <w:r>
        <w:rPr>
          <w:sz w:val="20"/>
        </w:rPr>
        <w:t>cases</w:t>
      </w:r>
      <w:r>
        <w:rPr>
          <w:spacing w:val="-11"/>
          <w:sz w:val="20"/>
        </w:rPr>
        <w:t> </w:t>
      </w:r>
      <w:r>
        <w:rPr>
          <w:sz w:val="20"/>
        </w:rPr>
        <w:t>(</w:t>
      </w:r>
      <w:r>
        <w:rPr>
          <w:i/>
          <w:sz w:val="20"/>
        </w:rPr>
        <w:t>Abd-Al-Rahman,</w:t>
      </w:r>
      <w:r>
        <w:rPr>
          <w:i/>
          <w:spacing w:val="-8"/>
          <w:sz w:val="20"/>
        </w:rPr>
        <w:t> </w:t>
      </w:r>
      <w:r>
        <w:rPr>
          <w:i/>
          <w:sz w:val="20"/>
        </w:rPr>
        <w:t>Said,</w:t>
      </w:r>
      <w:r>
        <w:rPr>
          <w:i/>
          <w:spacing w:val="-11"/>
          <w:sz w:val="20"/>
        </w:rPr>
        <w:t> </w:t>
      </w:r>
      <w:r>
        <w:rPr>
          <w:sz w:val="20"/>
        </w:rPr>
        <w:t>and</w:t>
      </w:r>
      <w:r>
        <w:rPr>
          <w:spacing w:val="-10"/>
          <w:sz w:val="20"/>
        </w:rPr>
        <w:t> </w:t>
      </w:r>
      <w:r>
        <w:rPr>
          <w:i/>
          <w:sz w:val="20"/>
        </w:rPr>
        <w:t>Yekatom</w:t>
      </w:r>
      <w:r>
        <w:rPr>
          <w:i/>
          <w:spacing w:val="-7"/>
          <w:sz w:val="20"/>
        </w:rPr>
        <w:t> </w:t>
      </w:r>
      <w:r>
        <w:rPr>
          <w:i/>
          <w:sz w:val="20"/>
        </w:rPr>
        <w:t>and</w:t>
      </w:r>
      <w:r>
        <w:rPr>
          <w:i/>
          <w:spacing w:val="-9"/>
          <w:sz w:val="20"/>
        </w:rPr>
        <w:t> </w:t>
      </w:r>
      <w:r>
        <w:rPr>
          <w:i/>
          <w:sz w:val="20"/>
        </w:rPr>
        <w:t>Ngaïssona</w:t>
      </w:r>
      <w:r>
        <w:rPr>
          <w:sz w:val="20"/>
        </w:rPr>
        <w:t>)</w:t>
      </w:r>
      <w:r>
        <w:rPr>
          <w:spacing w:val="-10"/>
          <w:sz w:val="20"/>
        </w:rPr>
        <w:t> </w:t>
      </w:r>
      <w:r>
        <w:rPr>
          <w:sz w:val="20"/>
        </w:rPr>
        <w:t>throughout the year with an estimated 400 days of hearings, and two cases (</w:t>
      </w:r>
      <w:r>
        <w:rPr>
          <w:i/>
          <w:sz w:val="20"/>
        </w:rPr>
        <w:t>Al Hassan </w:t>
      </w:r>
      <w:r>
        <w:rPr>
          <w:sz w:val="20"/>
        </w:rPr>
        <w:t>and </w:t>
      </w:r>
      <w:r>
        <w:rPr>
          <w:i/>
          <w:sz w:val="20"/>
        </w:rPr>
        <w:t>Gicheru</w:t>
      </w:r>
      <w:r>
        <w:rPr>
          <w:sz w:val="20"/>
        </w:rPr>
        <w:t>), expected</w:t>
      </w:r>
      <w:r>
        <w:rPr>
          <w:spacing w:val="-9"/>
          <w:sz w:val="20"/>
        </w:rPr>
        <w:t> </w:t>
      </w:r>
      <w:r>
        <w:rPr>
          <w:sz w:val="20"/>
        </w:rPr>
        <w:t>to</w:t>
      </w:r>
      <w:r>
        <w:rPr>
          <w:spacing w:val="-9"/>
          <w:sz w:val="20"/>
        </w:rPr>
        <w:t> </w:t>
      </w:r>
      <w:r>
        <w:rPr>
          <w:sz w:val="20"/>
        </w:rPr>
        <w:t>be</w:t>
      </w:r>
      <w:r>
        <w:rPr>
          <w:spacing w:val="-8"/>
          <w:sz w:val="20"/>
        </w:rPr>
        <w:t> </w:t>
      </w:r>
      <w:r>
        <w:rPr>
          <w:sz w:val="20"/>
        </w:rPr>
        <w:t>at</w:t>
      </w:r>
      <w:r>
        <w:rPr>
          <w:spacing w:val="-8"/>
          <w:sz w:val="20"/>
        </w:rPr>
        <w:t> </w:t>
      </w:r>
      <w:r>
        <w:rPr>
          <w:sz w:val="20"/>
        </w:rPr>
        <w:t>the</w:t>
      </w:r>
      <w:r>
        <w:rPr>
          <w:spacing w:val="-8"/>
          <w:sz w:val="20"/>
        </w:rPr>
        <w:t> </w:t>
      </w:r>
      <w:r>
        <w:rPr>
          <w:sz w:val="20"/>
        </w:rPr>
        <w:t>deliberations</w:t>
      </w:r>
      <w:r>
        <w:rPr>
          <w:spacing w:val="-6"/>
          <w:sz w:val="20"/>
        </w:rPr>
        <w:t> </w:t>
      </w:r>
      <w:r>
        <w:rPr>
          <w:sz w:val="20"/>
        </w:rPr>
        <w:t>phase.</w:t>
      </w:r>
      <w:r>
        <w:rPr>
          <w:spacing w:val="-7"/>
          <w:sz w:val="20"/>
        </w:rPr>
        <w:t> </w:t>
      </w:r>
      <w:r>
        <w:rPr>
          <w:sz w:val="20"/>
        </w:rPr>
        <w:t>In</w:t>
      </w:r>
      <w:r>
        <w:rPr>
          <w:spacing w:val="-9"/>
          <w:sz w:val="20"/>
        </w:rPr>
        <w:t> </w:t>
      </w:r>
      <w:r>
        <w:rPr>
          <w:sz w:val="20"/>
        </w:rPr>
        <w:t>addition,</w:t>
      </w:r>
      <w:r>
        <w:rPr>
          <w:spacing w:val="-7"/>
          <w:sz w:val="20"/>
        </w:rPr>
        <w:t> </w:t>
      </w:r>
      <w:r>
        <w:rPr>
          <w:sz w:val="20"/>
        </w:rPr>
        <w:t>reparation</w:t>
      </w:r>
      <w:r>
        <w:rPr>
          <w:spacing w:val="-5"/>
          <w:sz w:val="20"/>
        </w:rPr>
        <w:t> </w:t>
      </w:r>
      <w:r>
        <w:rPr>
          <w:sz w:val="20"/>
        </w:rPr>
        <w:t>proceedings</w:t>
      </w:r>
      <w:r>
        <w:rPr>
          <w:spacing w:val="-6"/>
          <w:sz w:val="20"/>
        </w:rPr>
        <w:t> </w:t>
      </w:r>
      <w:r>
        <w:rPr>
          <w:sz w:val="20"/>
        </w:rPr>
        <w:t>will</w:t>
      </w:r>
      <w:r>
        <w:rPr>
          <w:spacing w:val="-3"/>
          <w:sz w:val="20"/>
        </w:rPr>
        <w:t> </w:t>
      </w:r>
      <w:r>
        <w:rPr>
          <w:sz w:val="20"/>
        </w:rPr>
        <w:t>be</w:t>
      </w:r>
      <w:r>
        <w:rPr>
          <w:spacing w:val="-8"/>
          <w:sz w:val="20"/>
        </w:rPr>
        <w:t> </w:t>
      </w:r>
      <w:r>
        <w:rPr>
          <w:sz w:val="20"/>
        </w:rPr>
        <w:t>ongoing in five cases, and at the pre-trial level, the confirmation hearing in the </w:t>
      </w:r>
      <w:r>
        <w:rPr>
          <w:i/>
          <w:sz w:val="20"/>
        </w:rPr>
        <w:t>Mokom </w:t>
      </w:r>
      <w:r>
        <w:rPr>
          <w:sz w:val="20"/>
        </w:rPr>
        <w:t>case is scheduled for January 2023. The anticipated judicial workload will require additional resources including, in particular, for the simultaneous use of three courtrooms with the corresponding support capacity. The additional courtroom capacity is necessary to avoid costly medium and long-term inefficiencies, as well as to ensure fair and expeditious proceedings as</w:t>
      </w:r>
      <w:r>
        <w:rPr>
          <w:spacing w:val="-5"/>
          <w:sz w:val="20"/>
        </w:rPr>
        <w:t> </w:t>
      </w:r>
      <w:r>
        <w:rPr>
          <w:sz w:val="20"/>
        </w:rPr>
        <w:t>mandated by</w:t>
      </w:r>
      <w:r>
        <w:rPr>
          <w:spacing w:val="-4"/>
          <w:sz w:val="20"/>
        </w:rPr>
        <w:t> </w:t>
      </w:r>
      <w:r>
        <w:rPr>
          <w:sz w:val="20"/>
        </w:rPr>
        <w:t>the Rome</w:t>
      </w:r>
      <w:r>
        <w:rPr>
          <w:spacing w:val="-2"/>
          <w:sz w:val="20"/>
        </w:rPr>
        <w:t> </w:t>
      </w:r>
      <w:r>
        <w:rPr>
          <w:sz w:val="20"/>
        </w:rPr>
        <w:t>Statute.</w:t>
      </w:r>
      <w:r>
        <w:rPr>
          <w:spacing w:val="-1"/>
          <w:sz w:val="20"/>
        </w:rPr>
        <w:t> </w:t>
      </w:r>
      <w:r>
        <w:rPr>
          <w:sz w:val="20"/>
        </w:rPr>
        <w:t>It</w:t>
      </w:r>
      <w:r>
        <w:rPr>
          <w:spacing w:val="-2"/>
          <w:sz w:val="20"/>
        </w:rPr>
        <w:t> </w:t>
      </w:r>
      <w:r>
        <w:rPr>
          <w:sz w:val="20"/>
        </w:rPr>
        <w:t>is expected, as</w:t>
      </w:r>
      <w:r>
        <w:rPr>
          <w:spacing w:val="-5"/>
          <w:sz w:val="20"/>
        </w:rPr>
        <w:t> </w:t>
      </w:r>
      <w:r>
        <w:rPr>
          <w:sz w:val="20"/>
        </w:rPr>
        <w:t>demonstrated</w:t>
      </w:r>
      <w:r>
        <w:rPr>
          <w:spacing w:val="-4"/>
          <w:sz w:val="20"/>
        </w:rPr>
        <w:t> </w:t>
      </w:r>
      <w:r>
        <w:rPr>
          <w:sz w:val="20"/>
        </w:rPr>
        <w:t>in past years, that</w:t>
      </w:r>
      <w:r>
        <w:rPr>
          <w:spacing w:val="-7"/>
          <w:sz w:val="20"/>
        </w:rPr>
        <w:t> </w:t>
      </w:r>
      <w:r>
        <w:rPr>
          <w:sz w:val="20"/>
        </w:rPr>
        <w:t>the</w:t>
      </w:r>
      <w:r>
        <w:rPr>
          <w:spacing w:val="-7"/>
          <w:sz w:val="20"/>
        </w:rPr>
        <w:t> </w:t>
      </w:r>
      <w:r>
        <w:rPr>
          <w:sz w:val="20"/>
        </w:rPr>
        <w:t>pace</w:t>
      </w:r>
      <w:r>
        <w:rPr>
          <w:spacing w:val="-7"/>
          <w:sz w:val="20"/>
        </w:rPr>
        <w:t> </w:t>
      </w:r>
      <w:r>
        <w:rPr>
          <w:sz w:val="20"/>
        </w:rPr>
        <w:t>of</w:t>
      </w:r>
      <w:r>
        <w:rPr>
          <w:spacing w:val="-8"/>
          <w:sz w:val="20"/>
        </w:rPr>
        <w:t> </w:t>
      </w:r>
      <w:r>
        <w:rPr>
          <w:sz w:val="20"/>
        </w:rPr>
        <w:t>ongoing</w:t>
      </w:r>
      <w:r>
        <w:rPr>
          <w:spacing w:val="-8"/>
          <w:sz w:val="20"/>
        </w:rPr>
        <w:t> </w:t>
      </w:r>
      <w:r>
        <w:rPr>
          <w:sz w:val="20"/>
        </w:rPr>
        <w:t>proceedings</w:t>
      </w:r>
      <w:r>
        <w:rPr>
          <w:spacing w:val="-5"/>
          <w:sz w:val="20"/>
        </w:rPr>
        <w:t> </w:t>
      </w:r>
      <w:r>
        <w:rPr>
          <w:sz w:val="20"/>
        </w:rPr>
        <w:t>will</w:t>
      </w:r>
      <w:r>
        <w:rPr>
          <w:spacing w:val="-7"/>
          <w:sz w:val="20"/>
        </w:rPr>
        <w:t> </w:t>
      </w:r>
      <w:r>
        <w:rPr>
          <w:sz w:val="20"/>
        </w:rPr>
        <w:t>further</w:t>
      </w:r>
      <w:r>
        <w:rPr>
          <w:spacing w:val="-8"/>
          <w:sz w:val="20"/>
        </w:rPr>
        <w:t> </w:t>
      </w:r>
      <w:r>
        <w:rPr>
          <w:sz w:val="20"/>
        </w:rPr>
        <w:t>accelerate</w:t>
      </w:r>
      <w:r>
        <w:rPr>
          <w:spacing w:val="-7"/>
          <w:sz w:val="20"/>
        </w:rPr>
        <w:t> </w:t>
      </w:r>
      <w:r>
        <w:rPr>
          <w:sz w:val="20"/>
        </w:rPr>
        <w:t>in</w:t>
      </w:r>
      <w:r>
        <w:rPr>
          <w:spacing w:val="-4"/>
          <w:sz w:val="20"/>
        </w:rPr>
        <w:t> </w:t>
      </w:r>
      <w:r>
        <w:rPr>
          <w:sz w:val="20"/>
        </w:rPr>
        <w:t>2023,</w:t>
      </w:r>
      <w:r>
        <w:rPr>
          <w:spacing w:val="-6"/>
          <w:sz w:val="20"/>
        </w:rPr>
        <w:t> </w:t>
      </w:r>
      <w:r>
        <w:rPr>
          <w:sz w:val="20"/>
        </w:rPr>
        <w:t>demanding</w:t>
      </w:r>
      <w:r>
        <w:rPr>
          <w:spacing w:val="-8"/>
          <w:sz w:val="20"/>
        </w:rPr>
        <w:t> </w:t>
      </w:r>
      <w:r>
        <w:rPr>
          <w:sz w:val="20"/>
        </w:rPr>
        <w:t>the</w:t>
      </w:r>
      <w:r>
        <w:rPr>
          <w:spacing w:val="-7"/>
          <w:sz w:val="20"/>
        </w:rPr>
        <w:t> </w:t>
      </w:r>
      <w:r>
        <w:rPr>
          <w:sz w:val="20"/>
        </w:rPr>
        <w:t>requisite capacity</w:t>
      </w:r>
      <w:r>
        <w:rPr>
          <w:spacing w:val="-13"/>
          <w:sz w:val="20"/>
        </w:rPr>
        <w:t> </w:t>
      </w:r>
      <w:r>
        <w:rPr>
          <w:sz w:val="20"/>
        </w:rPr>
        <w:t>in</w:t>
      </w:r>
      <w:r>
        <w:rPr>
          <w:spacing w:val="-12"/>
          <w:sz w:val="20"/>
        </w:rPr>
        <w:t> </w:t>
      </w:r>
      <w:r>
        <w:rPr>
          <w:sz w:val="20"/>
        </w:rPr>
        <w:t>the</w:t>
      </w:r>
      <w:r>
        <w:rPr>
          <w:spacing w:val="-7"/>
          <w:sz w:val="20"/>
        </w:rPr>
        <w:t> </w:t>
      </w:r>
      <w:r>
        <w:rPr>
          <w:sz w:val="20"/>
        </w:rPr>
        <w:t>Registry</w:t>
      </w:r>
      <w:r>
        <w:rPr>
          <w:spacing w:val="-13"/>
          <w:sz w:val="20"/>
        </w:rPr>
        <w:t> </w:t>
      </w:r>
      <w:r>
        <w:rPr>
          <w:sz w:val="20"/>
        </w:rPr>
        <w:t>to</w:t>
      </w:r>
      <w:r>
        <w:rPr>
          <w:spacing w:val="-7"/>
          <w:sz w:val="20"/>
        </w:rPr>
        <w:t> </w:t>
      </w:r>
      <w:r>
        <w:rPr>
          <w:sz w:val="20"/>
        </w:rPr>
        <w:t>uphold</w:t>
      </w:r>
      <w:r>
        <w:rPr>
          <w:spacing w:val="-13"/>
          <w:sz w:val="20"/>
        </w:rPr>
        <w:t> </w:t>
      </w:r>
      <w:r>
        <w:rPr>
          <w:sz w:val="20"/>
        </w:rPr>
        <w:t>the</w:t>
      </w:r>
      <w:r>
        <w:rPr>
          <w:spacing w:val="-11"/>
          <w:sz w:val="20"/>
        </w:rPr>
        <w:t> </w:t>
      </w:r>
      <w:r>
        <w:rPr>
          <w:sz w:val="20"/>
        </w:rPr>
        <w:t>Judiciary’s</w:t>
      </w:r>
      <w:r>
        <w:rPr>
          <w:spacing w:val="-10"/>
          <w:sz w:val="20"/>
        </w:rPr>
        <w:t> </w:t>
      </w:r>
      <w:r>
        <w:rPr>
          <w:sz w:val="20"/>
        </w:rPr>
        <w:t>proven</w:t>
      </w:r>
      <w:r>
        <w:rPr>
          <w:spacing w:val="-13"/>
          <w:sz w:val="20"/>
        </w:rPr>
        <w:t> </w:t>
      </w:r>
      <w:r>
        <w:rPr>
          <w:sz w:val="20"/>
        </w:rPr>
        <w:t>commitment</w:t>
      </w:r>
      <w:r>
        <w:rPr>
          <w:spacing w:val="-11"/>
          <w:sz w:val="20"/>
        </w:rPr>
        <w:t> </w:t>
      </w:r>
      <w:r>
        <w:rPr>
          <w:sz w:val="20"/>
        </w:rPr>
        <w:t>to</w:t>
      </w:r>
      <w:r>
        <w:rPr>
          <w:spacing w:val="-13"/>
          <w:sz w:val="20"/>
        </w:rPr>
        <w:t> </w:t>
      </w:r>
      <w:r>
        <w:rPr>
          <w:sz w:val="20"/>
        </w:rPr>
        <w:t>the</w:t>
      </w:r>
      <w:r>
        <w:rPr>
          <w:spacing w:val="-6"/>
          <w:sz w:val="20"/>
        </w:rPr>
        <w:t> </w:t>
      </w:r>
      <w:r>
        <w:rPr>
          <w:sz w:val="20"/>
        </w:rPr>
        <w:t>efficient</w:t>
      </w:r>
      <w:r>
        <w:rPr>
          <w:spacing w:val="-12"/>
          <w:sz w:val="20"/>
        </w:rPr>
        <w:t> </w:t>
      </w:r>
      <w:r>
        <w:rPr>
          <w:sz w:val="20"/>
        </w:rPr>
        <w:t>running of proceedings.</w:t>
      </w:r>
    </w:p>
    <w:p>
      <w:pPr>
        <w:pStyle w:val="ListParagraph"/>
        <w:numPr>
          <w:ilvl w:val="0"/>
          <w:numId w:val="4"/>
        </w:numPr>
        <w:tabs>
          <w:tab w:pos="2967" w:val="left" w:leader="none"/>
        </w:tabs>
        <w:spacing w:line="240" w:lineRule="auto" w:before="117" w:after="0"/>
        <w:ind w:left="2246" w:right="2240" w:firstLine="0"/>
        <w:jc w:val="both"/>
        <w:rPr>
          <w:sz w:val="20"/>
        </w:rPr>
      </w:pPr>
      <w:r>
        <w:rPr>
          <w:sz w:val="20"/>
        </w:rPr>
        <w:t>In</w:t>
      </w:r>
      <w:r>
        <w:rPr>
          <w:spacing w:val="-10"/>
          <w:sz w:val="20"/>
        </w:rPr>
        <w:t> </w:t>
      </w:r>
      <w:r>
        <w:rPr>
          <w:sz w:val="20"/>
        </w:rPr>
        <w:t>order</w:t>
      </w:r>
      <w:r>
        <w:rPr>
          <w:spacing w:val="-9"/>
          <w:sz w:val="20"/>
        </w:rPr>
        <w:t> </w:t>
      </w:r>
      <w:r>
        <w:rPr>
          <w:sz w:val="20"/>
        </w:rPr>
        <w:t>to</w:t>
      </w:r>
      <w:r>
        <w:rPr>
          <w:spacing w:val="-13"/>
          <w:sz w:val="20"/>
        </w:rPr>
        <w:t> </w:t>
      </w:r>
      <w:r>
        <w:rPr>
          <w:sz w:val="20"/>
        </w:rPr>
        <w:t>ensure</w:t>
      </w:r>
      <w:r>
        <w:rPr>
          <w:spacing w:val="-7"/>
          <w:sz w:val="20"/>
        </w:rPr>
        <w:t> </w:t>
      </w:r>
      <w:r>
        <w:rPr>
          <w:sz w:val="20"/>
        </w:rPr>
        <w:t>the</w:t>
      </w:r>
      <w:r>
        <w:rPr>
          <w:spacing w:val="-8"/>
          <w:sz w:val="20"/>
        </w:rPr>
        <w:t> </w:t>
      </w:r>
      <w:r>
        <w:rPr>
          <w:sz w:val="20"/>
        </w:rPr>
        <w:t>efficient</w:t>
      </w:r>
      <w:r>
        <w:rPr>
          <w:spacing w:val="-13"/>
          <w:sz w:val="20"/>
        </w:rPr>
        <w:t> </w:t>
      </w:r>
      <w:r>
        <w:rPr>
          <w:sz w:val="20"/>
        </w:rPr>
        <w:t>management</w:t>
      </w:r>
      <w:r>
        <w:rPr>
          <w:spacing w:val="-12"/>
          <w:sz w:val="20"/>
        </w:rPr>
        <w:t> </w:t>
      </w:r>
      <w:r>
        <w:rPr>
          <w:sz w:val="20"/>
        </w:rPr>
        <w:t>and</w:t>
      </w:r>
      <w:r>
        <w:rPr>
          <w:spacing w:val="-13"/>
          <w:sz w:val="20"/>
        </w:rPr>
        <w:t> </w:t>
      </w:r>
      <w:r>
        <w:rPr>
          <w:sz w:val="20"/>
        </w:rPr>
        <w:t>organization</w:t>
      </w:r>
      <w:r>
        <w:rPr>
          <w:spacing w:val="-12"/>
          <w:sz w:val="20"/>
        </w:rPr>
        <w:t> </w:t>
      </w:r>
      <w:r>
        <w:rPr>
          <w:sz w:val="20"/>
        </w:rPr>
        <w:t>of</w:t>
      </w:r>
      <w:r>
        <w:rPr>
          <w:spacing w:val="-9"/>
          <w:sz w:val="20"/>
        </w:rPr>
        <w:t> </w:t>
      </w:r>
      <w:r>
        <w:rPr>
          <w:sz w:val="20"/>
        </w:rPr>
        <w:t>hearings,</w:t>
      </w:r>
      <w:r>
        <w:rPr>
          <w:spacing w:val="-7"/>
          <w:sz w:val="20"/>
        </w:rPr>
        <w:t> </w:t>
      </w:r>
      <w:r>
        <w:rPr>
          <w:sz w:val="20"/>
        </w:rPr>
        <w:t>additional resources are requested to increase the capacity of the Registry to run three courtrooms simultaneously for the confirmation hearing in one case at the pre-trial phase and at least three cases at trial expected to be held simultaneously throughout the year. Importantly, as the trials will continue for the whole of 2023, the Registry will need additional capacity to sustain these proceedings simultaneously, notwithstanding slight differences between the actual</w:t>
      </w:r>
      <w:r>
        <w:rPr>
          <w:spacing w:val="-7"/>
          <w:sz w:val="20"/>
        </w:rPr>
        <w:t> </w:t>
      </w:r>
      <w:r>
        <w:rPr>
          <w:sz w:val="20"/>
        </w:rPr>
        <w:t>hearing</w:t>
      </w:r>
      <w:r>
        <w:rPr>
          <w:spacing w:val="-8"/>
          <w:sz w:val="20"/>
        </w:rPr>
        <w:t> </w:t>
      </w:r>
      <w:r>
        <w:rPr>
          <w:sz w:val="20"/>
        </w:rPr>
        <w:t>days</w:t>
      </w:r>
      <w:r>
        <w:rPr>
          <w:spacing w:val="-10"/>
          <w:sz w:val="20"/>
        </w:rPr>
        <w:t> </w:t>
      </w:r>
      <w:r>
        <w:rPr>
          <w:sz w:val="20"/>
        </w:rPr>
        <w:t>and</w:t>
      </w:r>
      <w:r>
        <w:rPr>
          <w:spacing w:val="-8"/>
          <w:sz w:val="20"/>
        </w:rPr>
        <w:t> </w:t>
      </w:r>
      <w:r>
        <w:rPr>
          <w:sz w:val="20"/>
        </w:rPr>
        <w:t>the</w:t>
      </w:r>
      <w:r>
        <w:rPr>
          <w:spacing w:val="-7"/>
          <w:sz w:val="20"/>
        </w:rPr>
        <w:t> </w:t>
      </w:r>
      <w:r>
        <w:rPr>
          <w:sz w:val="20"/>
        </w:rPr>
        <w:t>number</w:t>
      </w:r>
      <w:r>
        <w:rPr>
          <w:spacing w:val="-13"/>
          <w:sz w:val="20"/>
        </w:rPr>
        <w:t> </w:t>
      </w:r>
      <w:r>
        <w:rPr>
          <w:sz w:val="20"/>
        </w:rPr>
        <w:t>of</w:t>
      </w:r>
      <w:r>
        <w:rPr>
          <w:spacing w:val="-8"/>
          <w:sz w:val="20"/>
        </w:rPr>
        <w:t> </w:t>
      </w:r>
      <w:r>
        <w:rPr>
          <w:sz w:val="20"/>
        </w:rPr>
        <w:t>forecast</w:t>
      </w:r>
      <w:r>
        <w:rPr>
          <w:spacing w:val="-7"/>
          <w:sz w:val="20"/>
        </w:rPr>
        <w:t> </w:t>
      </w:r>
      <w:r>
        <w:rPr>
          <w:sz w:val="20"/>
        </w:rPr>
        <w:t>hearing</w:t>
      </w:r>
      <w:r>
        <w:rPr>
          <w:spacing w:val="-8"/>
          <w:sz w:val="20"/>
        </w:rPr>
        <w:t> </w:t>
      </w:r>
      <w:r>
        <w:rPr>
          <w:sz w:val="20"/>
        </w:rPr>
        <w:t>days.</w:t>
      </w:r>
      <w:r>
        <w:rPr>
          <w:spacing w:val="-11"/>
          <w:sz w:val="20"/>
        </w:rPr>
        <w:t> </w:t>
      </w:r>
      <w:r>
        <w:rPr>
          <w:sz w:val="20"/>
        </w:rPr>
        <w:t>Resources</w:t>
      </w:r>
      <w:r>
        <w:rPr>
          <w:spacing w:val="-10"/>
          <w:sz w:val="20"/>
        </w:rPr>
        <w:t> </w:t>
      </w:r>
      <w:r>
        <w:rPr>
          <w:sz w:val="20"/>
        </w:rPr>
        <w:t>are</w:t>
      </w:r>
      <w:r>
        <w:rPr>
          <w:spacing w:val="-7"/>
          <w:sz w:val="20"/>
        </w:rPr>
        <w:t> </w:t>
      </w:r>
      <w:r>
        <w:rPr>
          <w:sz w:val="20"/>
        </w:rPr>
        <w:t>also</w:t>
      </w:r>
      <w:r>
        <w:rPr>
          <w:spacing w:val="-8"/>
          <w:sz w:val="20"/>
        </w:rPr>
        <w:t> </w:t>
      </w:r>
      <w:r>
        <w:rPr>
          <w:sz w:val="20"/>
        </w:rPr>
        <w:t>proposed</w:t>
      </w:r>
      <w:r>
        <w:rPr>
          <w:spacing w:val="-8"/>
          <w:sz w:val="20"/>
        </w:rPr>
        <w:t> </w:t>
      </w:r>
      <w:r>
        <w:rPr>
          <w:sz w:val="20"/>
        </w:rPr>
        <w:t>for the increased workload related to supporting the defence and the participation and representation of victims in proceedings before the Court.</w:t>
      </w:r>
    </w:p>
    <w:p>
      <w:pPr>
        <w:spacing w:after="0" w:line="240" w:lineRule="auto"/>
        <w:jc w:val="both"/>
        <w:rPr>
          <w:sz w:val="20"/>
        </w:rPr>
        <w:sectPr>
          <w:pgSz w:w="11910" w:h="16840"/>
          <w:pgMar w:header="953" w:footer="940" w:top="1140" w:bottom="1140" w:left="20" w:right="20"/>
        </w:sectPr>
      </w:pPr>
    </w:p>
    <w:p>
      <w:pPr>
        <w:pStyle w:val="ListParagraph"/>
        <w:numPr>
          <w:ilvl w:val="0"/>
          <w:numId w:val="4"/>
        </w:numPr>
        <w:tabs>
          <w:tab w:pos="2967" w:val="left" w:leader="none"/>
        </w:tabs>
        <w:spacing w:line="240" w:lineRule="auto" w:before="120" w:after="0"/>
        <w:ind w:left="2246" w:right="2242" w:firstLine="0"/>
        <w:jc w:val="both"/>
        <w:rPr>
          <w:sz w:val="20"/>
        </w:rPr>
      </w:pPr>
      <w:r>
        <w:rPr>
          <w:sz w:val="20"/>
        </w:rPr>
        <w:t>It</w:t>
      </w:r>
      <w:r>
        <w:rPr>
          <w:spacing w:val="-7"/>
          <w:sz w:val="20"/>
        </w:rPr>
        <w:t> </w:t>
      </w:r>
      <w:r>
        <w:rPr>
          <w:sz w:val="20"/>
        </w:rPr>
        <w:t>is</w:t>
      </w:r>
      <w:r>
        <w:rPr>
          <w:spacing w:val="-10"/>
          <w:sz w:val="20"/>
        </w:rPr>
        <w:t> </w:t>
      </w:r>
      <w:r>
        <w:rPr>
          <w:sz w:val="20"/>
        </w:rPr>
        <w:t>foreseen</w:t>
      </w:r>
      <w:r>
        <w:rPr>
          <w:spacing w:val="-13"/>
          <w:sz w:val="20"/>
        </w:rPr>
        <w:t> </w:t>
      </w:r>
      <w:r>
        <w:rPr>
          <w:sz w:val="20"/>
        </w:rPr>
        <w:t>that</w:t>
      </w:r>
      <w:r>
        <w:rPr>
          <w:spacing w:val="-11"/>
          <w:sz w:val="20"/>
        </w:rPr>
        <w:t> </w:t>
      </w:r>
      <w:r>
        <w:rPr>
          <w:sz w:val="20"/>
        </w:rPr>
        <w:t>at</w:t>
      </w:r>
      <w:r>
        <w:rPr>
          <w:spacing w:val="-12"/>
          <w:sz w:val="20"/>
        </w:rPr>
        <w:t> </w:t>
      </w:r>
      <w:r>
        <w:rPr>
          <w:sz w:val="20"/>
        </w:rPr>
        <w:t>least</w:t>
      </w:r>
      <w:r>
        <w:rPr>
          <w:spacing w:val="-12"/>
          <w:sz w:val="20"/>
        </w:rPr>
        <w:t> </w:t>
      </w:r>
      <w:r>
        <w:rPr>
          <w:sz w:val="20"/>
        </w:rPr>
        <w:t>seven</w:t>
      </w:r>
      <w:r>
        <w:rPr>
          <w:spacing w:val="-8"/>
          <w:sz w:val="20"/>
        </w:rPr>
        <w:t> </w:t>
      </w:r>
      <w:r>
        <w:rPr>
          <w:sz w:val="20"/>
        </w:rPr>
        <w:t>persons</w:t>
      </w:r>
      <w:r>
        <w:rPr>
          <w:spacing w:val="-10"/>
          <w:sz w:val="20"/>
        </w:rPr>
        <w:t> </w:t>
      </w:r>
      <w:r>
        <w:rPr>
          <w:sz w:val="20"/>
        </w:rPr>
        <w:t>will</w:t>
      </w:r>
      <w:r>
        <w:rPr>
          <w:spacing w:val="-12"/>
          <w:sz w:val="20"/>
        </w:rPr>
        <w:t> </w:t>
      </w:r>
      <w:r>
        <w:rPr>
          <w:sz w:val="20"/>
        </w:rPr>
        <w:t>remain</w:t>
      </w:r>
      <w:r>
        <w:rPr>
          <w:spacing w:val="-13"/>
          <w:sz w:val="20"/>
        </w:rPr>
        <w:t> </w:t>
      </w:r>
      <w:r>
        <w:rPr>
          <w:sz w:val="20"/>
        </w:rPr>
        <w:t>in</w:t>
      </w:r>
      <w:r>
        <w:rPr>
          <w:spacing w:val="-7"/>
          <w:sz w:val="20"/>
        </w:rPr>
        <w:t> </w:t>
      </w:r>
      <w:r>
        <w:rPr>
          <w:sz w:val="20"/>
        </w:rPr>
        <w:t>detention.</w:t>
      </w:r>
      <w:r>
        <w:rPr>
          <w:spacing w:val="-11"/>
          <w:sz w:val="20"/>
        </w:rPr>
        <w:t> </w:t>
      </w:r>
      <w:r>
        <w:rPr>
          <w:sz w:val="20"/>
        </w:rPr>
        <w:t>Thus,</w:t>
      </w:r>
      <w:r>
        <w:rPr>
          <w:spacing w:val="-11"/>
          <w:sz w:val="20"/>
        </w:rPr>
        <w:t> </w:t>
      </w:r>
      <w:r>
        <w:rPr>
          <w:sz w:val="20"/>
        </w:rPr>
        <w:t>an</w:t>
      </w:r>
      <w:r>
        <w:rPr>
          <w:spacing w:val="-13"/>
          <w:sz w:val="20"/>
        </w:rPr>
        <w:t> </w:t>
      </w:r>
      <w:r>
        <w:rPr>
          <w:sz w:val="20"/>
        </w:rPr>
        <w:t>additional block</w:t>
      </w:r>
      <w:r>
        <w:rPr>
          <w:spacing w:val="-13"/>
          <w:sz w:val="20"/>
        </w:rPr>
        <w:t> </w:t>
      </w:r>
      <w:r>
        <w:rPr>
          <w:sz w:val="20"/>
        </w:rPr>
        <w:t>of</w:t>
      </w:r>
      <w:r>
        <w:rPr>
          <w:spacing w:val="-8"/>
          <w:sz w:val="20"/>
        </w:rPr>
        <w:t> </w:t>
      </w:r>
      <w:r>
        <w:rPr>
          <w:sz w:val="20"/>
        </w:rPr>
        <w:t>six</w:t>
      </w:r>
      <w:r>
        <w:rPr>
          <w:spacing w:val="-13"/>
          <w:sz w:val="20"/>
        </w:rPr>
        <w:t> </w:t>
      </w:r>
      <w:r>
        <w:rPr>
          <w:sz w:val="20"/>
        </w:rPr>
        <w:t>cells</w:t>
      </w:r>
      <w:r>
        <w:rPr>
          <w:spacing w:val="-10"/>
          <w:sz w:val="20"/>
        </w:rPr>
        <w:t> </w:t>
      </w:r>
      <w:r>
        <w:rPr>
          <w:sz w:val="20"/>
        </w:rPr>
        <w:t>is</w:t>
      </w:r>
      <w:r>
        <w:rPr>
          <w:spacing w:val="-10"/>
          <w:sz w:val="20"/>
        </w:rPr>
        <w:t> </w:t>
      </w:r>
      <w:r>
        <w:rPr>
          <w:sz w:val="20"/>
        </w:rPr>
        <w:t>required</w:t>
      </w:r>
      <w:r>
        <w:rPr>
          <w:spacing w:val="-8"/>
          <w:sz w:val="20"/>
        </w:rPr>
        <w:t> </w:t>
      </w:r>
      <w:r>
        <w:rPr>
          <w:sz w:val="20"/>
        </w:rPr>
        <w:t>to</w:t>
      </w:r>
      <w:r>
        <w:rPr>
          <w:spacing w:val="-13"/>
          <w:sz w:val="20"/>
        </w:rPr>
        <w:t> </w:t>
      </w:r>
      <w:r>
        <w:rPr>
          <w:sz w:val="20"/>
        </w:rPr>
        <w:t>accommodate</w:t>
      </w:r>
      <w:r>
        <w:rPr>
          <w:spacing w:val="-7"/>
          <w:sz w:val="20"/>
        </w:rPr>
        <w:t> </w:t>
      </w:r>
      <w:r>
        <w:rPr>
          <w:sz w:val="20"/>
        </w:rPr>
        <w:t>the</w:t>
      </w:r>
      <w:r>
        <w:rPr>
          <w:spacing w:val="-7"/>
          <w:sz w:val="20"/>
        </w:rPr>
        <w:t> </w:t>
      </w:r>
      <w:r>
        <w:rPr>
          <w:sz w:val="20"/>
        </w:rPr>
        <w:t>higher</w:t>
      </w:r>
      <w:r>
        <w:rPr>
          <w:spacing w:val="-8"/>
          <w:sz w:val="20"/>
        </w:rPr>
        <w:t> </w:t>
      </w:r>
      <w:r>
        <w:rPr>
          <w:sz w:val="20"/>
        </w:rPr>
        <w:t>number</w:t>
      </w:r>
      <w:r>
        <w:rPr>
          <w:spacing w:val="-8"/>
          <w:sz w:val="20"/>
        </w:rPr>
        <w:t> </w:t>
      </w:r>
      <w:r>
        <w:rPr>
          <w:sz w:val="20"/>
        </w:rPr>
        <w:t>of</w:t>
      </w:r>
      <w:r>
        <w:rPr>
          <w:spacing w:val="-8"/>
          <w:sz w:val="20"/>
        </w:rPr>
        <w:t> </w:t>
      </w:r>
      <w:r>
        <w:rPr>
          <w:sz w:val="20"/>
        </w:rPr>
        <w:t>suspects,</w:t>
      </w:r>
      <w:r>
        <w:rPr>
          <w:spacing w:val="-11"/>
          <w:sz w:val="20"/>
        </w:rPr>
        <w:t> </w:t>
      </w:r>
      <w:r>
        <w:rPr>
          <w:sz w:val="20"/>
        </w:rPr>
        <w:t>accused</w:t>
      </w:r>
      <w:r>
        <w:rPr>
          <w:spacing w:val="-8"/>
          <w:sz w:val="20"/>
        </w:rPr>
        <w:t> </w:t>
      </w:r>
      <w:r>
        <w:rPr>
          <w:sz w:val="20"/>
        </w:rPr>
        <w:t>persons or convicted</w:t>
      </w:r>
      <w:r>
        <w:rPr>
          <w:spacing w:val="-4"/>
          <w:sz w:val="20"/>
        </w:rPr>
        <w:t> </w:t>
      </w:r>
      <w:r>
        <w:rPr>
          <w:sz w:val="20"/>
        </w:rPr>
        <w:t>persons</w:t>
      </w:r>
      <w:r>
        <w:rPr>
          <w:spacing w:val="-5"/>
          <w:sz w:val="20"/>
        </w:rPr>
        <w:t> </w:t>
      </w:r>
      <w:r>
        <w:rPr>
          <w:sz w:val="20"/>
        </w:rPr>
        <w:t>at</w:t>
      </w:r>
      <w:r>
        <w:rPr>
          <w:spacing w:val="-2"/>
          <w:sz w:val="20"/>
        </w:rPr>
        <w:t> </w:t>
      </w:r>
      <w:r>
        <w:rPr>
          <w:sz w:val="20"/>
        </w:rPr>
        <w:t>the</w:t>
      </w:r>
      <w:r>
        <w:rPr>
          <w:spacing w:val="-2"/>
          <w:sz w:val="20"/>
        </w:rPr>
        <w:t> </w:t>
      </w:r>
      <w:r>
        <w:rPr>
          <w:sz w:val="20"/>
        </w:rPr>
        <w:t>Detention</w:t>
      </w:r>
      <w:r>
        <w:rPr>
          <w:spacing w:val="-4"/>
          <w:sz w:val="20"/>
        </w:rPr>
        <w:t> </w:t>
      </w:r>
      <w:r>
        <w:rPr>
          <w:sz w:val="20"/>
        </w:rPr>
        <w:t>Centre,</w:t>
      </w:r>
      <w:r>
        <w:rPr>
          <w:spacing w:val="-6"/>
          <w:sz w:val="20"/>
        </w:rPr>
        <w:t> </w:t>
      </w:r>
      <w:r>
        <w:rPr>
          <w:sz w:val="20"/>
        </w:rPr>
        <w:t>entailing</w:t>
      </w:r>
      <w:r>
        <w:rPr>
          <w:spacing w:val="-4"/>
          <w:sz w:val="20"/>
        </w:rPr>
        <w:t> </w:t>
      </w:r>
      <w:r>
        <w:rPr>
          <w:sz w:val="20"/>
        </w:rPr>
        <w:t>rental</w:t>
      </w:r>
      <w:r>
        <w:rPr>
          <w:spacing w:val="-2"/>
          <w:sz w:val="20"/>
        </w:rPr>
        <w:t> </w:t>
      </w:r>
      <w:r>
        <w:rPr>
          <w:sz w:val="20"/>
        </w:rPr>
        <w:t>costs.</w:t>
      </w:r>
      <w:r>
        <w:rPr>
          <w:spacing w:val="-1"/>
          <w:sz w:val="20"/>
        </w:rPr>
        <w:t> </w:t>
      </w:r>
      <w:r>
        <w:rPr>
          <w:sz w:val="20"/>
        </w:rPr>
        <w:t>Additional</w:t>
      </w:r>
      <w:r>
        <w:rPr>
          <w:spacing w:val="-2"/>
          <w:sz w:val="20"/>
        </w:rPr>
        <w:t> </w:t>
      </w:r>
      <w:r>
        <w:rPr>
          <w:sz w:val="20"/>
        </w:rPr>
        <w:t>resources</w:t>
      </w:r>
      <w:r>
        <w:rPr>
          <w:spacing w:val="-5"/>
          <w:sz w:val="20"/>
        </w:rPr>
        <w:t> </w:t>
      </w:r>
      <w:r>
        <w:rPr>
          <w:sz w:val="20"/>
        </w:rPr>
        <w:t>are further required for the provision of translation and interpretation services to assist in the conduct of all Court proceedings in 2023, to safeguard the right of suspects and accused persons to understand the proceedings and the right of witnesses to testify in their own </w:t>
      </w:r>
      <w:r>
        <w:rPr>
          <w:spacing w:val="-2"/>
          <w:sz w:val="20"/>
        </w:rPr>
        <w:t>language.</w:t>
      </w:r>
    </w:p>
    <w:p>
      <w:pPr>
        <w:pStyle w:val="ListParagraph"/>
        <w:numPr>
          <w:ilvl w:val="0"/>
          <w:numId w:val="4"/>
        </w:numPr>
        <w:tabs>
          <w:tab w:pos="2967" w:val="left" w:leader="none"/>
        </w:tabs>
        <w:spacing w:line="240" w:lineRule="auto" w:before="124" w:after="0"/>
        <w:ind w:left="2246" w:right="2242" w:firstLine="0"/>
        <w:jc w:val="both"/>
        <w:rPr>
          <w:sz w:val="20"/>
        </w:rPr>
      </w:pPr>
      <w:r>
        <w:rPr>
          <w:sz w:val="20"/>
        </w:rPr>
        <w:t>Furthermore,</w:t>
      </w:r>
      <w:r>
        <w:rPr>
          <w:spacing w:val="-7"/>
          <w:sz w:val="20"/>
        </w:rPr>
        <w:t> </w:t>
      </w:r>
      <w:r>
        <w:rPr>
          <w:sz w:val="20"/>
        </w:rPr>
        <w:t>up</w:t>
      </w:r>
      <w:r>
        <w:rPr>
          <w:spacing w:val="-9"/>
          <w:sz w:val="20"/>
        </w:rPr>
        <w:t> </w:t>
      </w:r>
      <w:r>
        <w:rPr>
          <w:sz w:val="20"/>
        </w:rPr>
        <w:t>to</w:t>
      </w:r>
      <w:r>
        <w:rPr>
          <w:spacing w:val="-9"/>
          <w:sz w:val="20"/>
        </w:rPr>
        <w:t> </w:t>
      </w:r>
      <w:r>
        <w:rPr>
          <w:sz w:val="20"/>
        </w:rPr>
        <w:t>eleven</w:t>
      </w:r>
      <w:r>
        <w:rPr>
          <w:spacing w:val="-5"/>
          <w:sz w:val="20"/>
        </w:rPr>
        <w:t> </w:t>
      </w:r>
      <w:r>
        <w:rPr>
          <w:sz w:val="20"/>
        </w:rPr>
        <w:t>defence</w:t>
      </w:r>
      <w:r>
        <w:rPr>
          <w:spacing w:val="-8"/>
          <w:sz w:val="20"/>
        </w:rPr>
        <w:t> </w:t>
      </w:r>
      <w:r>
        <w:rPr>
          <w:sz w:val="20"/>
        </w:rPr>
        <w:t>teams</w:t>
      </w:r>
      <w:r>
        <w:rPr>
          <w:spacing w:val="-6"/>
          <w:sz w:val="20"/>
        </w:rPr>
        <w:t> </w:t>
      </w:r>
      <w:r>
        <w:rPr>
          <w:sz w:val="20"/>
        </w:rPr>
        <w:t>and eight</w:t>
      </w:r>
      <w:r>
        <w:rPr>
          <w:spacing w:val="-3"/>
          <w:sz w:val="20"/>
        </w:rPr>
        <w:t> </w:t>
      </w:r>
      <w:r>
        <w:rPr>
          <w:sz w:val="20"/>
        </w:rPr>
        <w:t>teams</w:t>
      </w:r>
      <w:r>
        <w:rPr>
          <w:spacing w:val="-6"/>
          <w:sz w:val="20"/>
        </w:rPr>
        <w:t> </w:t>
      </w:r>
      <w:r>
        <w:rPr>
          <w:sz w:val="20"/>
        </w:rPr>
        <w:t>of</w:t>
      </w:r>
      <w:r>
        <w:rPr>
          <w:spacing w:val="-9"/>
          <w:sz w:val="20"/>
        </w:rPr>
        <w:t> </w:t>
      </w:r>
      <w:r>
        <w:rPr>
          <w:sz w:val="20"/>
        </w:rPr>
        <w:t>legal</w:t>
      </w:r>
      <w:r>
        <w:rPr>
          <w:spacing w:val="-3"/>
          <w:sz w:val="20"/>
        </w:rPr>
        <w:t> </w:t>
      </w:r>
      <w:r>
        <w:rPr>
          <w:sz w:val="20"/>
        </w:rPr>
        <w:t>representatives</w:t>
      </w:r>
      <w:r>
        <w:rPr>
          <w:spacing w:val="-11"/>
          <w:sz w:val="20"/>
        </w:rPr>
        <w:t> </w:t>
      </w:r>
      <w:r>
        <w:rPr>
          <w:sz w:val="20"/>
        </w:rPr>
        <w:t>of victims will need to be financed by legal aid in 2023, in compliance with the existing legal aid framework and, as enshrined in the Rome Statute, the Rules of Procedure and Evidence and the Regulations of the Court. Judicial developments, including the confirmation of charges in the </w:t>
      </w:r>
      <w:r>
        <w:rPr>
          <w:i/>
          <w:sz w:val="20"/>
        </w:rPr>
        <w:t>Said </w:t>
      </w:r>
      <w:r>
        <w:rPr>
          <w:sz w:val="20"/>
        </w:rPr>
        <w:t>case and the transfer of Mr Mokom to the Court’s custody, have also automatically increased these costs. Legal aid is requested to fund increases in the teams of legal</w:t>
      </w:r>
      <w:r>
        <w:rPr>
          <w:spacing w:val="-7"/>
          <w:sz w:val="20"/>
        </w:rPr>
        <w:t> </w:t>
      </w:r>
      <w:r>
        <w:rPr>
          <w:sz w:val="20"/>
        </w:rPr>
        <w:t>representatives</w:t>
      </w:r>
      <w:r>
        <w:rPr>
          <w:spacing w:val="-5"/>
          <w:sz w:val="20"/>
        </w:rPr>
        <w:t> </w:t>
      </w:r>
      <w:r>
        <w:rPr>
          <w:sz w:val="20"/>
        </w:rPr>
        <w:t>for</w:t>
      </w:r>
      <w:r>
        <w:rPr>
          <w:spacing w:val="-4"/>
          <w:sz w:val="20"/>
        </w:rPr>
        <w:t> </w:t>
      </w:r>
      <w:r>
        <w:rPr>
          <w:sz w:val="20"/>
        </w:rPr>
        <w:t>victims</w:t>
      </w:r>
      <w:r>
        <w:rPr>
          <w:spacing w:val="-10"/>
          <w:sz w:val="20"/>
        </w:rPr>
        <w:t> </w:t>
      </w:r>
      <w:r>
        <w:rPr>
          <w:sz w:val="20"/>
        </w:rPr>
        <w:t>as</w:t>
      </w:r>
      <w:r>
        <w:rPr>
          <w:spacing w:val="-5"/>
          <w:sz w:val="20"/>
        </w:rPr>
        <w:t> </w:t>
      </w:r>
      <w:r>
        <w:rPr>
          <w:sz w:val="20"/>
        </w:rPr>
        <w:t>per</w:t>
      </w:r>
      <w:r>
        <w:rPr>
          <w:spacing w:val="-8"/>
          <w:sz w:val="20"/>
        </w:rPr>
        <w:t> </w:t>
      </w:r>
      <w:r>
        <w:rPr>
          <w:sz w:val="20"/>
        </w:rPr>
        <w:t>the</w:t>
      </w:r>
      <w:r>
        <w:rPr>
          <w:spacing w:val="-7"/>
          <w:sz w:val="20"/>
        </w:rPr>
        <w:t> </w:t>
      </w:r>
      <w:r>
        <w:rPr>
          <w:sz w:val="20"/>
        </w:rPr>
        <w:t>legal</w:t>
      </w:r>
      <w:r>
        <w:rPr>
          <w:spacing w:val="-7"/>
          <w:sz w:val="20"/>
        </w:rPr>
        <w:t> </w:t>
      </w:r>
      <w:r>
        <w:rPr>
          <w:sz w:val="20"/>
        </w:rPr>
        <w:t>policy.</w:t>
      </w:r>
      <w:r>
        <w:rPr>
          <w:spacing w:val="-6"/>
          <w:sz w:val="20"/>
        </w:rPr>
        <w:t> </w:t>
      </w:r>
      <w:r>
        <w:rPr>
          <w:sz w:val="20"/>
        </w:rPr>
        <w:t>The</w:t>
      </w:r>
      <w:r>
        <w:rPr>
          <w:spacing w:val="-7"/>
          <w:sz w:val="20"/>
        </w:rPr>
        <w:t> </w:t>
      </w:r>
      <w:r>
        <w:rPr>
          <w:sz w:val="20"/>
        </w:rPr>
        <w:t>additional</w:t>
      </w:r>
      <w:r>
        <w:rPr>
          <w:spacing w:val="-7"/>
          <w:sz w:val="20"/>
        </w:rPr>
        <w:t> </w:t>
      </w:r>
      <w:r>
        <w:rPr>
          <w:sz w:val="20"/>
        </w:rPr>
        <w:t>resources</w:t>
      </w:r>
      <w:r>
        <w:rPr>
          <w:spacing w:val="-10"/>
          <w:sz w:val="20"/>
        </w:rPr>
        <w:t> </w:t>
      </w:r>
      <w:r>
        <w:rPr>
          <w:sz w:val="20"/>
        </w:rPr>
        <w:t>required</w:t>
      </w:r>
      <w:r>
        <w:rPr>
          <w:spacing w:val="-8"/>
          <w:sz w:val="20"/>
        </w:rPr>
        <w:t> </w:t>
      </w:r>
      <w:r>
        <w:rPr>
          <w:sz w:val="20"/>
        </w:rPr>
        <w:t>for the different defence</w:t>
      </w:r>
      <w:r>
        <w:rPr>
          <w:spacing w:val="-2"/>
          <w:sz w:val="20"/>
        </w:rPr>
        <w:t> </w:t>
      </w:r>
      <w:r>
        <w:rPr>
          <w:sz w:val="20"/>
        </w:rPr>
        <w:t>teams have been fully offset by reductions in other defence teams as a result of the application of the legal aid policy in line with changes at the stages of the different proceedings.</w:t>
      </w:r>
    </w:p>
    <w:p>
      <w:pPr>
        <w:pStyle w:val="ListParagraph"/>
        <w:numPr>
          <w:ilvl w:val="0"/>
          <w:numId w:val="4"/>
        </w:numPr>
        <w:tabs>
          <w:tab w:pos="2967" w:val="left" w:leader="none"/>
        </w:tabs>
        <w:spacing w:line="240" w:lineRule="auto" w:before="120" w:after="0"/>
        <w:ind w:left="2246" w:right="2240" w:firstLine="0"/>
        <w:jc w:val="both"/>
        <w:rPr>
          <w:sz w:val="20"/>
        </w:rPr>
      </w:pPr>
      <w:r>
        <w:rPr>
          <w:sz w:val="20"/>
        </w:rPr>
        <w:t>Lastly, to avoid technical disruption during judicial proceedings, additional resources are requested to replace end-of-life equipment in the courtrooms, without which hearings cannot take place, as well as for the IT/IM strategy.</w:t>
      </w:r>
    </w:p>
    <w:p>
      <w:pPr>
        <w:pStyle w:val="BodyText"/>
        <w:rPr>
          <w:sz w:val="21"/>
        </w:rPr>
      </w:pPr>
    </w:p>
    <w:p>
      <w:pPr>
        <w:pStyle w:val="Heading3"/>
        <w:ind w:right="2195"/>
      </w:pPr>
      <w:r>
        <w:rPr/>
        <w:t>Increased</w:t>
      </w:r>
      <w:r>
        <w:rPr>
          <w:spacing w:val="-6"/>
        </w:rPr>
        <w:t> </w:t>
      </w:r>
      <w:r>
        <w:rPr/>
        <w:t>support</w:t>
      </w:r>
      <w:r>
        <w:rPr>
          <w:spacing w:val="-9"/>
        </w:rPr>
        <w:t> </w:t>
      </w:r>
      <w:r>
        <w:rPr/>
        <w:t>to</w:t>
      </w:r>
      <w:r>
        <w:rPr>
          <w:spacing w:val="-9"/>
        </w:rPr>
        <w:t> </w:t>
      </w:r>
      <w:r>
        <w:rPr/>
        <w:t>investigative</w:t>
      </w:r>
      <w:r>
        <w:rPr>
          <w:spacing w:val="-8"/>
        </w:rPr>
        <w:t> </w:t>
      </w:r>
      <w:r>
        <w:rPr/>
        <w:t>activities</w:t>
      </w:r>
      <w:r>
        <w:rPr>
          <w:spacing w:val="-6"/>
        </w:rPr>
        <w:t> </w:t>
      </w:r>
      <w:r>
        <w:rPr/>
        <w:t>by</w:t>
      </w:r>
      <w:r>
        <w:rPr>
          <w:spacing w:val="-9"/>
        </w:rPr>
        <w:t> </w:t>
      </w:r>
      <w:r>
        <w:rPr/>
        <w:t>the</w:t>
      </w:r>
      <w:r>
        <w:rPr>
          <w:spacing w:val="-8"/>
        </w:rPr>
        <w:t> </w:t>
      </w:r>
      <w:r>
        <w:rPr/>
        <w:t>OTP,</w:t>
      </w:r>
      <w:r>
        <w:rPr>
          <w:spacing w:val="-7"/>
        </w:rPr>
        <w:t> </w:t>
      </w:r>
      <w:r>
        <w:rPr/>
        <w:t>including</w:t>
      </w:r>
      <w:r>
        <w:rPr>
          <w:spacing w:val="-9"/>
        </w:rPr>
        <w:t> </w:t>
      </w:r>
      <w:r>
        <w:rPr/>
        <w:t>enhanced</w:t>
      </w:r>
      <w:r>
        <w:rPr>
          <w:spacing w:val="-6"/>
        </w:rPr>
        <w:t> </w:t>
      </w:r>
      <w:r>
        <w:rPr/>
        <w:t>support</w:t>
      </w:r>
      <w:r>
        <w:rPr>
          <w:spacing w:val="-3"/>
        </w:rPr>
        <w:t> </w:t>
      </w:r>
      <w:r>
        <w:rPr/>
        <w:t>in the field, as well as support to reparation activities</w:t>
      </w:r>
    </w:p>
    <w:p>
      <w:pPr>
        <w:pStyle w:val="BodyText"/>
        <w:spacing w:before="6"/>
        <w:rPr>
          <w:b/>
        </w:rPr>
      </w:pPr>
    </w:p>
    <w:p>
      <w:pPr>
        <w:pStyle w:val="ListParagraph"/>
        <w:numPr>
          <w:ilvl w:val="0"/>
          <w:numId w:val="4"/>
        </w:numPr>
        <w:tabs>
          <w:tab w:pos="2967" w:val="left" w:leader="none"/>
        </w:tabs>
        <w:spacing w:line="240" w:lineRule="auto" w:before="0" w:after="0"/>
        <w:ind w:left="2246" w:right="2241" w:firstLine="0"/>
        <w:jc w:val="both"/>
        <w:rPr>
          <w:sz w:val="20"/>
        </w:rPr>
      </w:pPr>
      <w:r>
        <w:rPr>
          <w:sz w:val="20"/>
        </w:rPr>
        <w:t>The Registry’s resources are also heavily affected by the evolution in OTP investigations,</w:t>
      </w:r>
      <w:r>
        <w:rPr>
          <w:spacing w:val="-8"/>
          <w:sz w:val="20"/>
        </w:rPr>
        <w:t> </w:t>
      </w:r>
      <w:r>
        <w:rPr>
          <w:sz w:val="20"/>
        </w:rPr>
        <w:t>leading</w:t>
      </w:r>
      <w:r>
        <w:rPr>
          <w:spacing w:val="-13"/>
          <w:sz w:val="20"/>
        </w:rPr>
        <w:t> </w:t>
      </w:r>
      <w:r>
        <w:rPr>
          <w:sz w:val="20"/>
        </w:rPr>
        <w:t>to</w:t>
      </w:r>
      <w:r>
        <w:rPr>
          <w:spacing w:val="-8"/>
          <w:sz w:val="20"/>
        </w:rPr>
        <w:t> </w:t>
      </w:r>
      <w:r>
        <w:rPr>
          <w:sz w:val="20"/>
        </w:rPr>
        <w:t>shifts</w:t>
      </w:r>
      <w:r>
        <w:rPr>
          <w:spacing w:val="-11"/>
          <w:sz w:val="20"/>
        </w:rPr>
        <w:t> </w:t>
      </w:r>
      <w:r>
        <w:rPr>
          <w:sz w:val="20"/>
        </w:rPr>
        <w:t>in</w:t>
      </w:r>
      <w:r>
        <w:rPr>
          <w:spacing w:val="-9"/>
          <w:sz w:val="20"/>
        </w:rPr>
        <w:t> </w:t>
      </w:r>
      <w:r>
        <w:rPr>
          <w:sz w:val="20"/>
        </w:rPr>
        <w:t>regional</w:t>
      </w:r>
      <w:r>
        <w:rPr>
          <w:spacing w:val="-8"/>
          <w:sz w:val="20"/>
        </w:rPr>
        <w:t> </w:t>
      </w:r>
      <w:r>
        <w:rPr>
          <w:sz w:val="20"/>
        </w:rPr>
        <w:t>support</w:t>
      </w:r>
      <w:r>
        <w:rPr>
          <w:spacing w:val="-8"/>
          <w:sz w:val="20"/>
        </w:rPr>
        <w:t> </w:t>
      </w:r>
      <w:r>
        <w:rPr>
          <w:sz w:val="20"/>
        </w:rPr>
        <w:t>requirements.</w:t>
      </w:r>
      <w:r>
        <w:rPr>
          <w:spacing w:val="-7"/>
          <w:sz w:val="20"/>
        </w:rPr>
        <w:t> </w:t>
      </w:r>
      <w:r>
        <w:rPr>
          <w:sz w:val="20"/>
        </w:rPr>
        <w:t>The</w:t>
      </w:r>
      <w:r>
        <w:rPr>
          <w:spacing w:val="-8"/>
          <w:sz w:val="20"/>
        </w:rPr>
        <w:t> </w:t>
      </w:r>
      <w:r>
        <w:rPr>
          <w:sz w:val="20"/>
        </w:rPr>
        <w:t>improved</w:t>
      </w:r>
      <w:r>
        <w:rPr>
          <w:spacing w:val="-13"/>
          <w:sz w:val="20"/>
        </w:rPr>
        <w:t> </w:t>
      </w:r>
      <w:r>
        <w:rPr>
          <w:sz w:val="20"/>
        </w:rPr>
        <w:t>coordination between the organs has allowed the Registry to carefully plan for the transition and redeployment of activities. Additional resources are required to support activities in situations under investigation in Libya, Afghanistan, Palestine, Bangladesh/Myanmar, the Philippines, Venezuela and Ukraine.</w:t>
      </w:r>
    </w:p>
    <w:p>
      <w:pPr>
        <w:pStyle w:val="ListParagraph"/>
        <w:numPr>
          <w:ilvl w:val="0"/>
          <w:numId w:val="4"/>
        </w:numPr>
        <w:tabs>
          <w:tab w:pos="2967" w:val="left" w:leader="none"/>
        </w:tabs>
        <w:spacing w:line="240" w:lineRule="auto" w:before="123" w:after="0"/>
        <w:ind w:left="2246" w:right="2238" w:firstLine="0"/>
        <w:jc w:val="both"/>
        <w:rPr>
          <w:sz w:val="20"/>
        </w:rPr>
      </w:pPr>
      <w:r>
        <w:rPr>
          <w:sz w:val="20"/>
        </w:rPr>
        <w:t>Following close coordination with the OTP and in order to</w:t>
      </w:r>
      <w:r>
        <w:rPr>
          <w:spacing w:val="-3"/>
          <w:sz w:val="20"/>
        </w:rPr>
        <w:t> </w:t>
      </w:r>
      <w:r>
        <w:rPr>
          <w:sz w:val="20"/>
        </w:rPr>
        <w:t>meet its requirement to support intensive investigations in Ukraine, the Registry will establish a country office in Ukraine. The Registry will also establish a new country office in Sudan in order to provide more effective support to the ongoing trial in the </w:t>
      </w:r>
      <w:r>
        <w:rPr>
          <w:i/>
          <w:sz w:val="20"/>
        </w:rPr>
        <w:t>Abd-Al-Rahman </w:t>
      </w:r>
      <w:r>
        <w:rPr>
          <w:sz w:val="20"/>
        </w:rPr>
        <w:t>case. On the other hand, the</w:t>
      </w:r>
      <w:r>
        <w:rPr>
          <w:spacing w:val="-3"/>
          <w:sz w:val="20"/>
        </w:rPr>
        <w:t> </w:t>
      </w:r>
      <w:r>
        <w:rPr>
          <w:sz w:val="20"/>
        </w:rPr>
        <w:t>Registry</w:t>
      </w:r>
      <w:r>
        <w:rPr>
          <w:spacing w:val="-5"/>
          <w:sz w:val="20"/>
        </w:rPr>
        <w:t> </w:t>
      </w:r>
      <w:r>
        <w:rPr>
          <w:sz w:val="20"/>
        </w:rPr>
        <w:t>will</w:t>
      </w:r>
      <w:r>
        <w:rPr>
          <w:spacing w:val="-3"/>
          <w:sz w:val="20"/>
        </w:rPr>
        <w:t> </w:t>
      </w:r>
      <w:r>
        <w:rPr>
          <w:sz w:val="20"/>
        </w:rPr>
        <w:t>downsize</w:t>
      </w:r>
      <w:r>
        <w:rPr>
          <w:spacing w:val="-3"/>
          <w:sz w:val="20"/>
        </w:rPr>
        <w:t> </w:t>
      </w:r>
      <w:r>
        <w:rPr>
          <w:sz w:val="20"/>
        </w:rPr>
        <w:t>the</w:t>
      </w:r>
      <w:r>
        <w:rPr>
          <w:spacing w:val="-3"/>
          <w:sz w:val="20"/>
        </w:rPr>
        <w:t> </w:t>
      </w:r>
      <w:r>
        <w:rPr>
          <w:sz w:val="20"/>
        </w:rPr>
        <w:t>country</w:t>
      </w:r>
      <w:r>
        <w:rPr>
          <w:spacing w:val="-5"/>
          <w:sz w:val="20"/>
        </w:rPr>
        <w:t> </w:t>
      </w:r>
      <w:r>
        <w:rPr>
          <w:sz w:val="20"/>
        </w:rPr>
        <w:t>offices</w:t>
      </w:r>
      <w:r>
        <w:rPr>
          <w:spacing w:val="-6"/>
          <w:sz w:val="20"/>
        </w:rPr>
        <w:t> </w:t>
      </w:r>
      <w:r>
        <w:rPr>
          <w:sz w:val="20"/>
        </w:rPr>
        <w:t>in</w:t>
      </w:r>
      <w:r>
        <w:rPr>
          <w:spacing w:val="-1"/>
          <w:sz w:val="20"/>
        </w:rPr>
        <w:t> </w:t>
      </w:r>
      <w:r>
        <w:rPr>
          <w:sz w:val="20"/>
        </w:rPr>
        <w:t>Kinshasa,</w:t>
      </w:r>
      <w:r>
        <w:rPr>
          <w:spacing w:val="-2"/>
          <w:sz w:val="20"/>
        </w:rPr>
        <w:t> </w:t>
      </w:r>
      <w:r>
        <w:rPr>
          <w:sz w:val="20"/>
        </w:rPr>
        <w:t>DRC,</w:t>
      </w:r>
      <w:r>
        <w:rPr>
          <w:spacing w:val="-2"/>
          <w:sz w:val="20"/>
        </w:rPr>
        <w:t> </w:t>
      </w:r>
      <w:r>
        <w:rPr>
          <w:sz w:val="20"/>
        </w:rPr>
        <w:t>Côte</w:t>
      </w:r>
      <w:r>
        <w:rPr>
          <w:spacing w:val="-3"/>
          <w:sz w:val="20"/>
        </w:rPr>
        <w:t> </w:t>
      </w:r>
      <w:r>
        <w:rPr>
          <w:sz w:val="20"/>
        </w:rPr>
        <w:t>d’Ivoire</w:t>
      </w:r>
      <w:r>
        <w:rPr>
          <w:spacing w:val="-8"/>
          <w:sz w:val="20"/>
        </w:rPr>
        <w:t> </w:t>
      </w:r>
      <w:r>
        <w:rPr>
          <w:sz w:val="20"/>
        </w:rPr>
        <w:t>and</w:t>
      </w:r>
      <w:r>
        <w:rPr>
          <w:spacing w:val="-5"/>
          <w:sz w:val="20"/>
        </w:rPr>
        <w:t> </w:t>
      </w:r>
      <w:r>
        <w:rPr>
          <w:sz w:val="20"/>
        </w:rPr>
        <w:t>Georgia and</w:t>
      </w:r>
      <w:r>
        <w:rPr>
          <w:spacing w:val="-8"/>
          <w:sz w:val="20"/>
        </w:rPr>
        <w:t> </w:t>
      </w:r>
      <w:r>
        <w:rPr>
          <w:sz w:val="20"/>
        </w:rPr>
        <w:t>prioritize</w:t>
      </w:r>
      <w:r>
        <w:rPr>
          <w:spacing w:val="-7"/>
          <w:sz w:val="20"/>
        </w:rPr>
        <w:t> </w:t>
      </w:r>
      <w:r>
        <w:rPr>
          <w:sz w:val="20"/>
        </w:rPr>
        <w:t>its</w:t>
      </w:r>
      <w:r>
        <w:rPr>
          <w:spacing w:val="-10"/>
          <w:sz w:val="20"/>
        </w:rPr>
        <w:t> </w:t>
      </w:r>
      <w:r>
        <w:rPr>
          <w:sz w:val="20"/>
        </w:rPr>
        <w:t>resources</w:t>
      </w:r>
      <w:r>
        <w:rPr>
          <w:spacing w:val="-10"/>
          <w:sz w:val="20"/>
        </w:rPr>
        <w:t> </w:t>
      </w:r>
      <w:r>
        <w:rPr>
          <w:sz w:val="20"/>
        </w:rPr>
        <w:t>in</w:t>
      </w:r>
      <w:r>
        <w:rPr>
          <w:spacing w:val="-8"/>
          <w:sz w:val="20"/>
        </w:rPr>
        <w:t> </w:t>
      </w:r>
      <w:r>
        <w:rPr>
          <w:sz w:val="20"/>
        </w:rPr>
        <w:t>the</w:t>
      </w:r>
      <w:r>
        <w:rPr>
          <w:spacing w:val="-7"/>
          <w:sz w:val="20"/>
        </w:rPr>
        <w:t> </w:t>
      </w:r>
      <w:r>
        <w:rPr>
          <w:sz w:val="20"/>
        </w:rPr>
        <w:t>country</w:t>
      </w:r>
      <w:r>
        <w:rPr>
          <w:spacing w:val="-8"/>
          <w:sz w:val="20"/>
        </w:rPr>
        <w:t> </w:t>
      </w:r>
      <w:r>
        <w:rPr>
          <w:sz w:val="20"/>
        </w:rPr>
        <w:t>offices</w:t>
      </w:r>
      <w:r>
        <w:rPr>
          <w:spacing w:val="-5"/>
          <w:sz w:val="20"/>
        </w:rPr>
        <w:t> </w:t>
      </w:r>
      <w:r>
        <w:rPr>
          <w:sz w:val="20"/>
        </w:rPr>
        <w:t>in</w:t>
      </w:r>
      <w:r>
        <w:rPr>
          <w:spacing w:val="-8"/>
          <w:sz w:val="20"/>
        </w:rPr>
        <w:t> </w:t>
      </w:r>
      <w:r>
        <w:rPr>
          <w:sz w:val="20"/>
        </w:rPr>
        <w:t>Uganda</w:t>
      </w:r>
      <w:r>
        <w:rPr>
          <w:spacing w:val="-7"/>
          <w:sz w:val="20"/>
        </w:rPr>
        <w:t> </w:t>
      </w:r>
      <w:r>
        <w:rPr>
          <w:sz w:val="20"/>
        </w:rPr>
        <w:t>and</w:t>
      </w:r>
      <w:r>
        <w:rPr>
          <w:spacing w:val="-4"/>
          <w:sz w:val="20"/>
        </w:rPr>
        <w:t> </w:t>
      </w:r>
      <w:r>
        <w:rPr>
          <w:sz w:val="20"/>
        </w:rPr>
        <w:t>Bunia,</w:t>
      </w:r>
      <w:r>
        <w:rPr>
          <w:spacing w:val="-6"/>
          <w:sz w:val="20"/>
        </w:rPr>
        <w:t> </w:t>
      </w:r>
      <w:r>
        <w:rPr>
          <w:sz w:val="20"/>
        </w:rPr>
        <w:t>DRC.</w:t>
      </w:r>
      <w:r>
        <w:rPr>
          <w:spacing w:val="-1"/>
          <w:sz w:val="20"/>
        </w:rPr>
        <w:t> </w:t>
      </w:r>
      <w:r>
        <w:rPr>
          <w:sz w:val="20"/>
        </w:rPr>
        <w:t>In</w:t>
      </w:r>
      <w:r>
        <w:rPr>
          <w:spacing w:val="-13"/>
          <w:sz w:val="20"/>
        </w:rPr>
        <w:t> </w:t>
      </w:r>
      <w:r>
        <w:rPr>
          <w:sz w:val="20"/>
        </w:rPr>
        <w:t>addition,</w:t>
      </w:r>
      <w:r>
        <w:rPr>
          <w:spacing w:val="-5"/>
          <w:sz w:val="20"/>
        </w:rPr>
        <w:t> </w:t>
      </w:r>
      <w:r>
        <w:rPr>
          <w:sz w:val="20"/>
        </w:rPr>
        <w:t>the Registry</w:t>
      </w:r>
      <w:r>
        <w:rPr>
          <w:spacing w:val="-4"/>
          <w:sz w:val="20"/>
        </w:rPr>
        <w:t> </w:t>
      </w:r>
      <w:r>
        <w:rPr>
          <w:sz w:val="20"/>
        </w:rPr>
        <w:t>will</w:t>
      </w:r>
      <w:r>
        <w:rPr>
          <w:spacing w:val="-2"/>
          <w:sz w:val="20"/>
        </w:rPr>
        <w:t> </w:t>
      </w:r>
      <w:r>
        <w:rPr>
          <w:sz w:val="20"/>
        </w:rPr>
        <w:t>have</w:t>
      </w:r>
      <w:r>
        <w:rPr>
          <w:spacing w:val="-7"/>
          <w:sz w:val="20"/>
        </w:rPr>
        <w:t> </w:t>
      </w:r>
      <w:r>
        <w:rPr>
          <w:sz w:val="20"/>
        </w:rPr>
        <w:t>to</w:t>
      </w:r>
      <w:r>
        <w:rPr>
          <w:spacing w:val="-4"/>
          <w:sz w:val="20"/>
        </w:rPr>
        <w:t> </w:t>
      </w:r>
      <w:r>
        <w:rPr>
          <w:sz w:val="20"/>
        </w:rPr>
        <w:t>provide</w:t>
      </w:r>
      <w:r>
        <w:rPr>
          <w:spacing w:val="-2"/>
          <w:sz w:val="20"/>
        </w:rPr>
        <w:t> </w:t>
      </w:r>
      <w:r>
        <w:rPr>
          <w:sz w:val="20"/>
        </w:rPr>
        <w:t>protection</w:t>
      </w:r>
      <w:r>
        <w:rPr>
          <w:spacing w:val="-8"/>
          <w:sz w:val="20"/>
        </w:rPr>
        <w:t> </w:t>
      </w:r>
      <w:r>
        <w:rPr>
          <w:sz w:val="20"/>
        </w:rPr>
        <w:t>and/or</w:t>
      </w:r>
      <w:r>
        <w:rPr>
          <w:spacing w:val="-4"/>
          <w:sz w:val="20"/>
        </w:rPr>
        <w:t> </w:t>
      </w:r>
      <w:r>
        <w:rPr>
          <w:sz w:val="20"/>
        </w:rPr>
        <w:t>support</w:t>
      </w:r>
      <w:r>
        <w:rPr>
          <w:spacing w:val="-2"/>
          <w:sz w:val="20"/>
        </w:rPr>
        <w:t> </w:t>
      </w:r>
      <w:r>
        <w:rPr>
          <w:sz w:val="20"/>
        </w:rPr>
        <w:t>to</w:t>
      </w:r>
      <w:r>
        <w:rPr>
          <w:spacing w:val="-8"/>
          <w:sz w:val="20"/>
        </w:rPr>
        <w:t> </w:t>
      </w:r>
      <w:r>
        <w:rPr>
          <w:sz w:val="20"/>
        </w:rPr>
        <w:t>an</w:t>
      </w:r>
      <w:r>
        <w:rPr>
          <w:spacing w:val="-8"/>
          <w:sz w:val="20"/>
        </w:rPr>
        <w:t> </w:t>
      </w:r>
      <w:r>
        <w:rPr>
          <w:sz w:val="20"/>
        </w:rPr>
        <w:t>increased</w:t>
      </w:r>
      <w:r>
        <w:rPr>
          <w:spacing w:val="-4"/>
          <w:sz w:val="20"/>
        </w:rPr>
        <w:t> </w:t>
      </w:r>
      <w:r>
        <w:rPr>
          <w:sz w:val="20"/>
        </w:rPr>
        <w:t>number</w:t>
      </w:r>
      <w:r>
        <w:rPr>
          <w:spacing w:val="-8"/>
          <w:sz w:val="20"/>
        </w:rPr>
        <w:t> </w:t>
      </w:r>
      <w:r>
        <w:rPr>
          <w:sz w:val="20"/>
        </w:rPr>
        <w:t>of</w:t>
      </w:r>
      <w:r>
        <w:rPr>
          <w:spacing w:val="-4"/>
          <w:sz w:val="20"/>
        </w:rPr>
        <w:t> </w:t>
      </w:r>
      <w:r>
        <w:rPr>
          <w:sz w:val="20"/>
        </w:rPr>
        <w:t>witnesses, in particular in relation to new referrals for witness protection in the situations in Sudan, Libya, Burundi, Afghanistan, the Philippines, Bangladesh/Myanmar and Ukraine. The Registry will also continue to provide support for the ongoing reparation proceedings, including support to the Trust Fund for Victims in the implementation of reparations.</w:t>
      </w:r>
    </w:p>
    <w:p>
      <w:pPr>
        <w:pStyle w:val="ListParagraph"/>
        <w:numPr>
          <w:ilvl w:val="0"/>
          <w:numId w:val="4"/>
        </w:numPr>
        <w:tabs>
          <w:tab w:pos="2967" w:val="left" w:leader="none"/>
        </w:tabs>
        <w:spacing w:line="240" w:lineRule="auto" w:before="121" w:after="0"/>
        <w:ind w:left="2246" w:right="2241" w:firstLine="0"/>
        <w:jc w:val="both"/>
        <w:rPr>
          <w:sz w:val="20"/>
        </w:rPr>
      </w:pPr>
      <w:r>
        <w:rPr>
          <w:sz w:val="20"/>
        </w:rPr>
        <w:t>So far, the Registry has been supporting the Court’s activities in Sudan from Headquarters or from Uganda. The Registry decided that the smooth conduct of the trial proceedings in the </w:t>
      </w:r>
      <w:r>
        <w:rPr>
          <w:i/>
          <w:sz w:val="20"/>
        </w:rPr>
        <w:t>Abd-Al-Rahman </w:t>
      </w:r>
      <w:r>
        <w:rPr>
          <w:sz w:val="20"/>
        </w:rPr>
        <w:t>case, would be facilitated if the Court had a basic field set-up and representation in Sudan to provide the necessary</w:t>
      </w:r>
      <w:r>
        <w:rPr>
          <w:spacing w:val="-4"/>
          <w:sz w:val="20"/>
        </w:rPr>
        <w:t> </w:t>
      </w:r>
      <w:r>
        <w:rPr>
          <w:sz w:val="20"/>
        </w:rPr>
        <w:t>support to trial activities and to liaise</w:t>
      </w:r>
      <w:r>
        <w:rPr>
          <w:spacing w:val="40"/>
          <w:sz w:val="20"/>
        </w:rPr>
        <w:t> </w:t>
      </w:r>
      <w:r>
        <w:rPr>
          <w:sz w:val="20"/>
        </w:rPr>
        <w:t>closely</w:t>
      </w:r>
      <w:r>
        <w:rPr>
          <w:spacing w:val="40"/>
          <w:sz w:val="20"/>
        </w:rPr>
        <w:t> </w:t>
      </w:r>
      <w:r>
        <w:rPr>
          <w:sz w:val="20"/>
        </w:rPr>
        <w:t>with</w:t>
      </w:r>
      <w:r>
        <w:rPr>
          <w:spacing w:val="39"/>
          <w:sz w:val="20"/>
        </w:rPr>
        <w:t> </w:t>
      </w:r>
      <w:r>
        <w:rPr>
          <w:sz w:val="20"/>
        </w:rPr>
        <w:t>the</w:t>
      </w:r>
      <w:r>
        <w:rPr>
          <w:spacing w:val="40"/>
          <w:sz w:val="20"/>
        </w:rPr>
        <w:t> </w:t>
      </w:r>
      <w:r>
        <w:rPr>
          <w:sz w:val="20"/>
        </w:rPr>
        <w:t>Sudanese</w:t>
      </w:r>
      <w:r>
        <w:rPr>
          <w:spacing w:val="40"/>
          <w:sz w:val="20"/>
        </w:rPr>
        <w:t> </w:t>
      </w:r>
      <w:r>
        <w:rPr>
          <w:sz w:val="20"/>
        </w:rPr>
        <w:t>authorities</w:t>
      </w:r>
      <w:r>
        <w:rPr>
          <w:spacing w:val="40"/>
          <w:sz w:val="20"/>
        </w:rPr>
        <w:t> </w:t>
      </w:r>
      <w:r>
        <w:rPr>
          <w:sz w:val="20"/>
        </w:rPr>
        <w:t>as</w:t>
      </w:r>
      <w:r>
        <w:rPr>
          <w:spacing w:val="40"/>
          <w:sz w:val="20"/>
        </w:rPr>
        <w:t> </w:t>
      </w:r>
      <w:r>
        <w:rPr>
          <w:sz w:val="20"/>
        </w:rPr>
        <w:t>well</w:t>
      </w:r>
      <w:r>
        <w:rPr>
          <w:spacing w:val="40"/>
          <w:sz w:val="20"/>
        </w:rPr>
        <w:t> </w:t>
      </w:r>
      <w:r>
        <w:rPr>
          <w:sz w:val="20"/>
        </w:rPr>
        <w:t>as</w:t>
      </w:r>
      <w:r>
        <w:rPr>
          <w:spacing w:val="38"/>
          <w:sz w:val="20"/>
        </w:rPr>
        <w:t> </w:t>
      </w:r>
      <w:r>
        <w:rPr>
          <w:sz w:val="20"/>
        </w:rPr>
        <w:t>the</w:t>
      </w:r>
      <w:r>
        <w:rPr>
          <w:spacing w:val="40"/>
          <w:sz w:val="20"/>
        </w:rPr>
        <w:t> </w:t>
      </w:r>
      <w:r>
        <w:rPr>
          <w:sz w:val="20"/>
        </w:rPr>
        <w:t>UN</w:t>
      </w:r>
      <w:r>
        <w:rPr>
          <w:spacing w:val="40"/>
          <w:sz w:val="20"/>
        </w:rPr>
        <w:t> </w:t>
      </w:r>
      <w:r>
        <w:rPr>
          <w:sz w:val="20"/>
        </w:rPr>
        <w:t>agencies.</w:t>
      </w:r>
      <w:r>
        <w:rPr>
          <w:spacing w:val="40"/>
          <w:sz w:val="20"/>
        </w:rPr>
        <w:t> </w:t>
      </w:r>
      <w:r>
        <w:rPr>
          <w:sz w:val="20"/>
        </w:rPr>
        <w:t>Therefore,</w:t>
      </w:r>
      <w:r>
        <w:rPr>
          <w:spacing w:val="40"/>
          <w:sz w:val="20"/>
        </w:rPr>
        <w:t> </w:t>
      </w:r>
      <w:r>
        <w:rPr>
          <w:sz w:val="20"/>
        </w:rPr>
        <w:t>in early 2022, the Registry initiated discussions with the Sudanese authorities on developing a legal framework to allow the Court’s field presence in Sudan. As</w:t>
      </w:r>
      <w:r>
        <w:rPr>
          <w:spacing w:val="-1"/>
          <w:sz w:val="20"/>
        </w:rPr>
        <w:t> </w:t>
      </w:r>
      <w:r>
        <w:rPr>
          <w:sz w:val="20"/>
        </w:rPr>
        <w:t>soon as</w:t>
      </w:r>
      <w:r>
        <w:rPr>
          <w:spacing w:val="-1"/>
          <w:sz w:val="20"/>
        </w:rPr>
        <w:t> </w:t>
      </w:r>
      <w:r>
        <w:rPr>
          <w:sz w:val="20"/>
        </w:rPr>
        <w:t>the required legal framework is in place and all the proper arrangements have been made, the Registry will deploy</w:t>
      </w:r>
      <w:r>
        <w:rPr>
          <w:spacing w:val="-4"/>
          <w:sz w:val="20"/>
        </w:rPr>
        <w:t> </w:t>
      </w:r>
      <w:r>
        <w:rPr>
          <w:sz w:val="20"/>
        </w:rPr>
        <w:t>a</w:t>
      </w:r>
      <w:r>
        <w:rPr>
          <w:spacing w:val="-2"/>
          <w:sz w:val="20"/>
        </w:rPr>
        <w:t> </w:t>
      </w:r>
      <w:r>
        <w:rPr>
          <w:sz w:val="20"/>
        </w:rPr>
        <w:t>VWS</w:t>
      </w:r>
      <w:r>
        <w:rPr>
          <w:spacing w:val="-5"/>
          <w:sz w:val="20"/>
        </w:rPr>
        <w:t> </w:t>
      </w:r>
      <w:r>
        <w:rPr>
          <w:sz w:val="20"/>
        </w:rPr>
        <w:t>standard</w:t>
      </w:r>
      <w:r>
        <w:rPr>
          <w:spacing w:val="-4"/>
          <w:sz w:val="20"/>
        </w:rPr>
        <w:t> </w:t>
      </w:r>
      <w:r>
        <w:rPr>
          <w:sz w:val="20"/>
        </w:rPr>
        <w:t>situation</w:t>
      </w:r>
      <w:r>
        <w:rPr>
          <w:spacing w:val="-8"/>
          <w:sz w:val="20"/>
        </w:rPr>
        <w:t> </w:t>
      </w:r>
      <w:r>
        <w:rPr>
          <w:sz w:val="20"/>
        </w:rPr>
        <w:t>team</w:t>
      </w:r>
      <w:r>
        <w:rPr>
          <w:spacing w:val="-7"/>
          <w:sz w:val="20"/>
        </w:rPr>
        <w:t> </w:t>
      </w:r>
      <w:r>
        <w:rPr>
          <w:sz w:val="20"/>
        </w:rPr>
        <w:t>and</w:t>
      </w:r>
      <w:r>
        <w:rPr>
          <w:spacing w:val="-4"/>
          <w:sz w:val="20"/>
        </w:rPr>
        <w:t> </w:t>
      </w:r>
      <w:r>
        <w:rPr>
          <w:sz w:val="20"/>
        </w:rPr>
        <w:t>establish</w:t>
      </w:r>
      <w:r>
        <w:rPr>
          <w:spacing w:val="-4"/>
          <w:sz w:val="20"/>
        </w:rPr>
        <w:t> </w:t>
      </w:r>
      <w:r>
        <w:rPr>
          <w:sz w:val="20"/>
        </w:rPr>
        <w:t>a</w:t>
      </w:r>
      <w:r>
        <w:rPr>
          <w:spacing w:val="-2"/>
          <w:sz w:val="20"/>
        </w:rPr>
        <w:t> </w:t>
      </w:r>
      <w:r>
        <w:rPr>
          <w:sz w:val="20"/>
        </w:rPr>
        <w:t>Registry basic</w:t>
      </w:r>
      <w:r>
        <w:rPr>
          <w:spacing w:val="-2"/>
          <w:sz w:val="20"/>
        </w:rPr>
        <w:t> </w:t>
      </w:r>
      <w:r>
        <w:rPr>
          <w:sz w:val="20"/>
        </w:rPr>
        <w:t>field</w:t>
      </w:r>
      <w:r>
        <w:rPr>
          <w:spacing w:val="-4"/>
          <w:sz w:val="20"/>
        </w:rPr>
        <w:t> </w:t>
      </w:r>
      <w:r>
        <w:rPr>
          <w:sz w:val="20"/>
        </w:rPr>
        <w:t>set-up</w:t>
      </w:r>
      <w:r>
        <w:rPr>
          <w:spacing w:val="-4"/>
          <w:sz w:val="20"/>
        </w:rPr>
        <w:t> </w:t>
      </w:r>
      <w:r>
        <w:rPr>
          <w:sz w:val="20"/>
        </w:rPr>
        <w:t>for</w:t>
      </w:r>
      <w:r>
        <w:rPr>
          <w:spacing w:val="-4"/>
          <w:sz w:val="20"/>
        </w:rPr>
        <w:t> </w:t>
      </w:r>
      <w:r>
        <w:rPr>
          <w:sz w:val="20"/>
        </w:rPr>
        <w:t>support functions in Sudan by the end of 2022. Since the majority of the staff resources required to support</w:t>
      </w:r>
      <w:r>
        <w:rPr>
          <w:spacing w:val="-3"/>
          <w:sz w:val="20"/>
        </w:rPr>
        <w:t> </w:t>
      </w:r>
      <w:r>
        <w:rPr>
          <w:sz w:val="20"/>
        </w:rPr>
        <w:t>activities</w:t>
      </w:r>
      <w:r>
        <w:rPr>
          <w:spacing w:val="-1"/>
          <w:sz w:val="20"/>
        </w:rPr>
        <w:t> </w:t>
      </w:r>
      <w:r>
        <w:rPr>
          <w:sz w:val="20"/>
        </w:rPr>
        <w:t>in Sudan will be redeployed from</w:t>
      </w:r>
      <w:r>
        <w:rPr>
          <w:spacing w:val="-3"/>
          <w:sz w:val="20"/>
        </w:rPr>
        <w:t> </w:t>
      </w:r>
      <w:r>
        <w:rPr>
          <w:sz w:val="20"/>
        </w:rPr>
        <w:t>the</w:t>
      </w:r>
      <w:r>
        <w:rPr>
          <w:spacing w:val="-3"/>
          <w:sz w:val="20"/>
        </w:rPr>
        <w:t> </w:t>
      </w:r>
      <w:r>
        <w:rPr>
          <w:sz w:val="20"/>
        </w:rPr>
        <w:t>approved staff resources</w:t>
      </w:r>
      <w:r>
        <w:rPr>
          <w:spacing w:val="-1"/>
          <w:sz w:val="20"/>
        </w:rPr>
        <w:t> </w:t>
      </w:r>
      <w:r>
        <w:rPr>
          <w:sz w:val="20"/>
        </w:rPr>
        <w:t>for 2022</w:t>
      </w:r>
      <w:r>
        <w:rPr>
          <w:spacing w:val="-5"/>
          <w:sz w:val="20"/>
        </w:rPr>
        <w:t> </w:t>
      </w:r>
      <w:r>
        <w:rPr>
          <w:sz w:val="20"/>
        </w:rPr>
        <w:t>in Uganda,</w:t>
      </w:r>
      <w:r>
        <w:rPr>
          <w:spacing w:val="-6"/>
          <w:sz w:val="20"/>
        </w:rPr>
        <w:t> </w:t>
      </w:r>
      <w:r>
        <w:rPr>
          <w:sz w:val="20"/>
        </w:rPr>
        <w:t>there</w:t>
      </w:r>
      <w:r>
        <w:rPr>
          <w:spacing w:val="-7"/>
          <w:sz w:val="20"/>
        </w:rPr>
        <w:t> </w:t>
      </w:r>
      <w:r>
        <w:rPr>
          <w:sz w:val="20"/>
        </w:rPr>
        <w:t>will</w:t>
      </w:r>
      <w:r>
        <w:rPr>
          <w:spacing w:val="-7"/>
          <w:sz w:val="20"/>
        </w:rPr>
        <w:t> </w:t>
      </w:r>
      <w:r>
        <w:rPr>
          <w:sz w:val="20"/>
        </w:rPr>
        <w:t>be</w:t>
      </w:r>
      <w:r>
        <w:rPr>
          <w:spacing w:val="-7"/>
          <w:sz w:val="20"/>
        </w:rPr>
        <w:t> </w:t>
      </w:r>
      <w:r>
        <w:rPr>
          <w:sz w:val="20"/>
        </w:rPr>
        <w:t>no</w:t>
      </w:r>
      <w:r>
        <w:rPr>
          <w:spacing w:val="-8"/>
          <w:sz w:val="20"/>
        </w:rPr>
        <w:t> </w:t>
      </w:r>
      <w:r>
        <w:rPr>
          <w:sz w:val="20"/>
        </w:rPr>
        <w:t>major</w:t>
      </w:r>
      <w:r>
        <w:rPr>
          <w:spacing w:val="-4"/>
          <w:sz w:val="20"/>
        </w:rPr>
        <w:t> </w:t>
      </w:r>
      <w:r>
        <w:rPr>
          <w:sz w:val="20"/>
        </w:rPr>
        <w:t>financial</w:t>
      </w:r>
      <w:r>
        <w:rPr>
          <w:spacing w:val="-7"/>
          <w:sz w:val="20"/>
        </w:rPr>
        <w:t> </w:t>
      </w:r>
      <w:r>
        <w:rPr>
          <w:sz w:val="20"/>
        </w:rPr>
        <w:t>impact</w:t>
      </w:r>
      <w:r>
        <w:rPr>
          <w:spacing w:val="-7"/>
          <w:sz w:val="20"/>
        </w:rPr>
        <w:t> </w:t>
      </w:r>
      <w:r>
        <w:rPr>
          <w:sz w:val="20"/>
        </w:rPr>
        <w:t>on</w:t>
      </w:r>
      <w:r>
        <w:rPr>
          <w:spacing w:val="-8"/>
          <w:sz w:val="20"/>
        </w:rPr>
        <w:t> </w:t>
      </w:r>
      <w:r>
        <w:rPr>
          <w:sz w:val="20"/>
        </w:rPr>
        <w:t>the</w:t>
      </w:r>
      <w:r>
        <w:rPr>
          <w:spacing w:val="-7"/>
          <w:sz w:val="20"/>
        </w:rPr>
        <w:t> </w:t>
      </w:r>
      <w:r>
        <w:rPr>
          <w:sz w:val="20"/>
        </w:rPr>
        <w:t>staff</w:t>
      </w:r>
      <w:r>
        <w:rPr>
          <w:spacing w:val="-8"/>
          <w:sz w:val="20"/>
        </w:rPr>
        <w:t> </w:t>
      </w:r>
      <w:r>
        <w:rPr>
          <w:sz w:val="20"/>
        </w:rPr>
        <w:t>required</w:t>
      </w:r>
      <w:r>
        <w:rPr>
          <w:spacing w:val="-8"/>
          <w:sz w:val="20"/>
        </w:rPr>
        <w:t> </w:t>
      </w:r>
      <w:r>
        <w:rPr>
          <w:sz w:val="20"/>
        </w:rPr>
        <w:t>for</w:t>
      </w:r>
      <w:r>
        <w:rPr>
          <w:spacing w:val="-8"/>
          <w:sz w:val="20"/>
        </w:rPr>
        <w:t> </w:t>
      </w:r>
      <w:r>
        <w:rPr>
          <w:sz w:val="20"/>
        </w:rPr>
        <w:t>the</w:t>
      </w:r>
      <w:r>
        <w:rPr>
          <w:spacing w:val="-7"/>
          <w:sz w:val="20"/>
        </w:rPr>
        <w:t> </w:t>
      </w:r>
      <w:r>
        <w:rPr>
          <w:sz w:val="20"/>
        </w:rPr>
        <w:t>establishment</w:t>
      </w:r>
      <w:r>
        <w:rPr>
          <w:spacing w:val="-7"/>
          <w:sz w:val="20"/>
        </w:rPr>
        <w:t> </w:t>
      </w:r>
      <w:r>
        <w:rPr>
          <w:sz w:val="20"/>
        </w:rPr>
        <w:t>of the country office in Sudan. Additional non-staff resources will be required mainly for the set-up</w:t>
      </w:r>
      <w:r>
        <w:rPr>
          <w:spacing w:val="-8"/>
          <w:sz w:val="20"/>
        </w:rPr>
        <w:t> </w:t>
      </w:r>
      <w:r>
        <w:rPr>
          <w:sz w:val="20"/>
        </w:rPr>
        <w:t>of</w:t>
      </w:r>
      <w:r>
        <w:rPr>
          <w:spacing w:val="-13"/>
          <w:sz w:val="20"/>
        </w:rPr>
        <w:t> </w:t>
      </w:r>
      <w:r>
        <w:rPr>
          <w:sz w:val="20"/>
        </w:rPr>
        <w:t>the</w:t>
      </w:r>
      <w:r>
        <w:rPr>
          <w:spacing w:val="-7"/>
          <w:sz w:val="20"/>
        </w:rPr>
        <w:t> </w:t>
      </w:r>
      <w:r>
        <w:rPr>
          <w:sz w:val="20"/>
        </w:rPr>
        <w:t>office</w:t>
      </w:r>
      <w:r>
        <w:rPr>
          <w:spacing w:val="-7"/>
          <w:sz w:val="20"/>
        </w:rPr>
        <w:t> </w:t>
      </w:r>
      <w:r>
        <w:rPr>
          <w:sz w:val="20"/>
        </w:rPr>
        <w:t>premises</w:t>
      </w:r>
      <w:r>
        <w:rPr>
          <w:spacing w:val="-10"/>
          <w:sz w:val="20"/>
        </w:rPr>
        <w:t> </w:t>
      </w:r>
      <w:r>
        <w:rPr>
          <w:sz w:val="20"/>
        </w:rPr>
        <w:t>in</w:t>
      </w:r>
      <w:r>
        <w:rPr>
          <w:spacing w:val="-8"/>
          <w:sz w:val="20"/>
        </w:rPr>
        <w:t> </w:t>
      </w:r>
      <w:r>
        <w:rPr>
          <w:sz w:val="20"/>
        </w:rPr>
        <w:t>Sudan</w:t>
      </w:r>
      <w:r>
        <w:rPr>
          <w:spacing w:val="-13"/>
          <w:sz w:val="20"/>
        </w:rPr>
        <w:t> </w:t>
      </w:r>
      <w:r>
        <w:rPr>
          <w:sz w:val="20"/>
        </w:rPr>
        <w:t>and</w:t>
      </w:r>
      <w:r>
        <w:rPr>
          <w:spacing w:val="-8"/>
          <w:sz w:val="20"/>
        </w:rPr>
        <w:t> </w:t>
      </w:r>
      <w:r>
        <w:rPr>
          <w:sz w:val="20"/>
        </w:rPr>
        <w:t>mission</w:t>
      </w:r>
      <w:r>
        <w:rPr>
          <w:spacing w:val="-8"/>
          <w:sz w:val="20"/>
        </w:rPr>
        <w:t> </w:t>
      </w:r>
      <w:r>
        <w:rPr>
          <w:sz w:val="20"/>
        </w:rPr>
        <w:t>support.</w:t>
      </w:r>
      <w:r>
        <w:rPr>
          <w:spacing w:val="-6"/>
          <w:sz w:val="20"/>
        </w:rPr>
        <w:t> </w:t>
      </w:r>
      <w:r>
        <w:rPr>
          <w:sz w:val="20"/>
        </w:rPr>
        <w:t>The</w:t>
      </w:r>
      <w:r>
        <w:rPr>
          <w:spacing w:val="-7"/>
          <w:sz w:val="20"/>
        </w:rPr>
        <w:t> </w:t>
      </w:r>
      <w:r>
        <w:rPr>
          <w:sz w:val="20"/>
        </w:rPr>
        <w:t>new</w:t>
      </w:r>
      <w:r>
        <w:rPr>
          <w:spacing w:val="-10"/>
          <w:sz w:val="20"/>
        </w:rPr>
        <w:t> </w:t>
      </w:r>
      <w:r>
        <w:rPr>
          <w:sz w:val="20"/>
        </w:rPr>
        <w:t>Chief</w:t>
      </w:r>
      <w:r>
        <w:rPr>
          <w:spacing w:val="-8"/>
          <w:sz w:val="20"/>
        </w:rPr>
        <w:t> </w:t>
      </w:r>
      <w:r>
        <w:rPr>
          <w:sz w:val="20"/>
        </w:rPr>
        <w:t>of</w:t>
      </w:r>
      <w:r>
        <w:rPr>
          <w:spacing w:val="-8"/>
          <w:sz w:val="20"/>
        </w:rPr>
        <w:t> </w:t>
      </w:r>
      <w:r>
        <w:rPr>
          <w:sz w:val="20"/>
        </w:rPr>
        <w:t>Country</w:t>
      </w:r>
      <w:r>
        <w:rPr>
          <w:spacing w:val="-8"/>
          <w:sz w:val="20"/>
        </w:rPr>
        <w:t> </w:t>
      </w:r>
      <w:r>
        <w:rPr>
          <w:sz w:val="20"/>
        </w:rPr>
        <w:t>Office in Sudan will oversee activities in Uganda and the DRC.</w:t>
      </w:r>
    </w:p>
    <w:p>
      <w:pPr>
        <w:pStyle w:val="ListParagraph"/>
        <w:numPr>
          <w:ilvl w:val="0"/>
          <w:numId w:val="4"/>
        </w:numPr>
        <w:tabs>
          <w:tab w:pos="2967" w:val="left" w:leader="none"/>
        </w:tabs>
        <w:spacing w:line="237" w:lineRule="auto" w:before="124" w:after="0"/>
        <w:ind w:left="2246" w:right="2243" w:firstLine="0"/>
        <w:jc w:val="both"/>
        <w:rPr>
          <w:sz w:val="20"/>
        </w:rPr>
      </w:pPr>
      <w:r>
        <w:rPr>
          <w:sz w:val="20"/>
        </w:rPr>
        <w:t>In order for the Registry to meet the OTP’s support requirements for its intensive investigations in Ukraine and for the protection/support of witnesses, both organs decided that</w:t>
      </w:r>
      <w:r>
        <w:rPr>
          <w:spacing w:val="16"/>
          <w:sz w:val="20"/>
        </w:rPr>
        <w:t> </w:t>
      </w:r>
      <w:r>
        <w:rPr>
          <w:sz w:val="20"/>
        </w:rPr>
        <w:t>it</w:t>
      </w:r>
      <w:r>
        <w:rPr>
          <w:spacing w:val="16"/>
          <w:sz w:val="20"/>
        </w:rPr>
        <w:t> </w:t>
      </w:r>
      <w:r>
        <w:rPr>
          <w:sz w:val="20"/>
        </w:rPr>
        <w:t>would be</w:t>
      </w:r>
      <w:r>
        <w:rPr>
          <w:spacing w:val="11"/>
          <w:sz w:val="20"/>
        </w:rPr>
        <w:t> </w:t>
      </w:r>
      <w:r>
        <w:rPr>
          <w:sz w:val="20"/>
        </w:rPr>
        <w:t>necessary</w:t>
      </w:r>
      <w:r>
        <w:rPr>
          <w:spacing w:val="14"/>
          <w:sz w:val="20"/>
        </w:rPr>
        <w:t> </w:t>
      </w:r>
      <w:r>
        <w:rPr>
          <w:sz w:val="20"/>
        </w:rPr>
        <w:t>to</w:t>
      </w:r>
      <w:r>
        <w:rPr>
          <w:spacing w:val="14"/>
          <w:sz w:val="20"/>
        </w:rPr>
        <w:t> </w:t>
      </w:r>
      <w:r>
        <w:rPr>
          <w:sz w:val="20"/>
        </w:rPr>
        <w:t>set</w:t>
      </w:r>
      <w:r>
        <w:rPr>
          <w:spacing w:val="16"/>
          <w:sz w:val="20"/>
        </w:rPr>
        <w:t> </w:t>
      </w:r>
      <w:r>
        <w:rPr>
          <w:sz w:val="20"/>
        </w:rPr>
        <w:t>up a</w:t>
      </w:r>
      <w:r>
        <w:rPr>
          <w:spacing w:val="11"/>
          <w:sz w:val="20"/>
        </w:rPr>
        <w:t> </w:t>
      </w:r>
      <w:r>
        <w:rPr>
          <w:sz w:val="20"/>
        </w:rPr>
        <w:t>country office</w:t>
      </w:r>
      <w:r>
        <w:rPr>
          <w:spacing w:val="16"/>
          <w:sz w:val="20"/>
        </w:rPr>
        <w:t> </w:t>
      </w:r>
      <w:r>
        <w:rPr>
          <w:sz w:val="20"/>
        </w:rPr>
        <w:t>in</w:t>
      </w:r>
      <w:r>
        <w:rPr>
          <w:spacing w:val="14"/>
          <w:sz w:val="20"/>
        </w:rPr>
        <w:t> </w:t>
      </w:r>
      <w:r>
        <w:rPr>
          <w:sz w:val="20"/>
        </w:rPr>
        <w:t>Ukraine.</w:t>
      </w:r>
      <w:r>
        <w:rPr>
          <w:spacing w:val="12"/>
          <w:sz w:val="20"/>
        </w:rPr>
        <w:t> </w:t>
      </w:r>
      <w:r>
        <w:rPr>
          <w:sz w:val="20"/>
        </w:rPr>
        <w:t>As</w:t>
      </w:r>
      <w:r>
        <w:rPr>
          <w:spacing w:val="13"/>
          <w:sz w:val="20"/>
        </w:rPr>
        <w:t> </w:t>
      </w:r>
      <w:r>
        <w:rPr>
          <w:sz w:val="20"/>
        </w:rPr>
        <w:t>soon as</w:t>
      </w:r>
      <w:r>
        <w:rPr>
          <w:spacing w:val="13"/>
          <w:sz w:val="20"/>
        </w:rPr>
        <w:t> </w:t>
      </w:r>
      <w:r>
        <w:rPr>
          <w:sz w:val="20"/>
        </w:rPr>
        <w:t>the</w:t>
      </w:r>
      <w:r>
        <w:rPr>
          <w:spacing w:val="11"/>
          <w:sz w:val="20"/>
        </w:rPr>
        <w:t> </w:t>
      </w:r>
      <w:r>
        <w:rPr>
          <w:sz w:val="20"/>
        </w:rPr>
        <w:t>necessary</w:t>
      </w:r>
    </w:p>
    <w:p>
      <w:pPr>
        <w:spacing w:after="0" w:line="237" w:lineRule="auto"/>
        <w:jc w:val="both"/>
        <w:rPr>
          <w:sz w:val="20"/>
        </w:rPr>
        <w:sectPr>
          <w:pgSz w:w="11910" w:h="16840"/>
          <w:pgMar w:header="957" w:footer="940" w:top="1140" w:bottom="1140" w:left="20" w:right="20"/>
        </w:sectPr>
      </w:pPr>
    </w:p>
    <w:p>
      <w:pPr>
        <w:pStyle w:val="BodyText"/>
        <w:spacing w:before="124"/>
        <w:ind w:left="2246" w:right="2244"/>
        <w:jc w:val="both"/>
      </w:pPr>
      <w:r>
        <w:rPr/>
        <w:t>legal framework allowing the Court to set up its presence has been finalized, the Registry will</w:t>
      </w:r>
      <w:r>
        <w:rPr>
          <w:spacing w:val="-2"/>
        </w:rPr>
        <w:t> </w:t>
      </w:r>
      <w:r>
        <w:rPr/>
        <w:t>deploy</w:t>
      </w:r>
      <w:r>
        <w:rPr>
          <w:spacing w:val="-8"/>
        </w:rPr>
        <w:t> </w:t>
      </w:r>
      <w:r>
        <w:rPr/>
        <w:t>a</w:t>
      </w:r>
      <w:r>
        <w:rPr>
          <w:spacing w:val="-2"/>
        </w:rPr>
        <w:t> </w:t>
      </w:r>
      <w:r>
        <w:rPr/>
        <w:t>field</w:t>
      </w:r>
      <w:r>
        <w:rPr>
          <w:spacing w:val="-4"/>
        </w:rPr>
        <w:t> </w:t>
      </w:r>
      <w:r>
        <w:rPr/>
        <w:t>set-up</w:t>
      </w:r>
      <w:r>
        <w:rPr>
          <w:spacing w:val="-4"/>
        </w:rPr>
        <w:t> </w:t>
      </w:r>
      <w:r>
        <w:rPr/>
        <w:t>to</w:t>
      </w:r>
      <w:r>
        <w:rPr>
          <w:spacing w:val="-4"/>
        </w:rPr>
        <w:t> </w:t>
      </w:r>
      <w:r>
        <w:rPr/>
        <w:t>Ukraine</w:t>
      </w:r>
      <w:r>
        <w:rPr>
          <w:spacing w:val="-7"/>
        </w:rPr>
        <w:t> </w:t>
      </w:r>
      <w:r>
        <w:rPr/>
        <w:t>to</w:t>
      </w:r>
      <w:r>
        <w:rPr>
          <w:spacing w:val="-4"/>
        </w:rPr>
        <w:t> </w:t>
      </w:r>
      <w:r>
        <w:rPr/>
        <w:t>provide</w:t>
      </w:r>
      <w:r>
        <w:rPr>
          <w:spacing w:val="-2"/>
        </w:rPr>
        <w:t> </w:t>
      </w:r>
      <w:r>
        <w:rPr/>
        <w:t>support</w:t>
      </w:r>
      <w:r>
        <w:rPr>
          <w:spacing w:val="-2"/>
        </w:rPr>
        <w:t> </w:t>
      </w:r>
      <w:r>
        <w:rPr/>
        <w:t>functions</w:t>
      </w:r>
      <w:r>
        <w:rPr>
          <w:spacing w:val="-5"/>
        </w:rPr>
        <w:t> </w:t>
      </w:r>
      <w:r>
        <w:rPr/>
        <w:t>to</w:t>
      </w:r>
      <w:r>
        <w:rPr>
          <w:spacing w:val="-4"/>
        </w:rPr>
        <w:t> </w:t>
      </w:r>
      <w:r>
        <w:rPr/>
        <w:t>enable</w:t>
      </w:r>
      <w:r>
        <w:rPr>
          <w:spacing w:val="-7"/>
        </w:rPr>
        <w:t> </w:t>
      </w:r>
      <w:r>
        <w:rPr/>
        <w:t>it</w:t>
      </w:r>
      <w:r>
        <w:rPr>
          <w:spacing w:val="-7"/>
        </w:rPr>
        <w:t> </w:t>
      </w:r>
      <w:r>
        <w:rPr/>
        <w:t>to</w:t>
      </w:r>
      <w:r>
        <w:rPr>
          <w:spacing w:val="-4"/>
        </w:rPr>
        <w:t> </w:t>
      </w:r>
      <w:r>
        <w:rPr/>
        <w:t>discharge</w:t>
      </w:r>
      <w:r>
        <w:rPr>
          <w:spacing w:val="-7"/>
        </w:rPr>
        <w:t> </w:t>
      </w:r>
      <w:r>
        <w:rPr/>
        <w:t>its mandate.</w:t>
      </w:r>
      <w:r>
        <w:rPr>
          <w:spacing w:val="28"/>
        </w:rPr>
        <w:t> </w:t>
      </w:r>
      <w:r>
        <w:rPr/>
        <w:t>This</w:t>
      </w:r>
      <w:r>
        <w:rPr>
          <w:spacing w:val="28"/>
        </w:rPr>
        <w:t> </w:t>
      </w:r>
      <w:r>
        <w:rPr/>
        <w:t>will</w:t>
      </w:r>
      <w:r>
        <w:rPr>
          <w:spacing w:val="31"/>
        </w:rPr>
        <w:t> </w:t>
      </w:r>
      <w:r>
        <w:rPr/>
        <w:t>result</w:t>
      </w:r>
      <w:r>
        <w:rPr>
          <w:spacing w:val="27"/>
        </w:rPr>
        <w:t> </w:t>
      </w:r>
      <w:r>
        <w:rPr/>
        <w:t>in</w:t>
      </w:r>
      <w:r>
        <w:rPr>
          <w:spacing w:val="25"/>
        </w:rPr>
        <w:t> </w:t>
      </w:r>
      <w:r>
        <w:rPr/>
        <w:t>an</w:t>
      </w:r>
      <w:r>
        <w:rPr>
          <w:spacing w:val="25"/>
        </w:rPr>
        <w:t> </w:t>
      </w:r>
      <w:r>
        <w:rPr/>
        <w:t>increase</w:t>
      </w:r>
      <w:r>
        <w:rPr>
          <w:spacing w:val="31"/>
        </w:rPr>
        <w:t> </w:t>
      </w:r>
      <w:r>
        <w:rPr/>
        <w:t>in</w:t>
      </w:r>
      <w:r>
        <w:rPr>
          <w:spacing w:val="25"/>
        </w:rPr>
        <w:t> </w:t>
      </w:r>
      <w:r>
        <w:rPr/>
        <w:t>the</w:t>
      </w:r>
      <w:r>
        <w:rPr>
          <w:spacing w:val="31"/>
        </w:rPr>
        <w:t> </w:t>
      </w:r>
      <w:r>
        <w:rPr/>
        <w:t>staff</w:t>
      </w:r>
      <w:r>
        <w:rPr>
          <w:spacing w:val="30"/>
        </w:rPr>
        <w:t> </w:t>
      </w:r>
      <w:r>
        <w:rPr/>
        <w:t>resources</w:t>
      </w:r>
      <w:r>
        <w:rPr>
          <w:spacing w:val="28"/>
        </w:rPr>
        <w:t> </w:t>
      </w:r>
      <w:r>
        <w:rPr/>
        <w:t>requested</w:t>
      </w:r>
      <w:r>
        <w:rPr>
          <w:spacing w:val="25"/>
        </w:rPr>
        <w:t> </w:t>
      </w:r>
      <w:r>
        <w:rPr/>
        <w:t>by</w:t>
      </w:r>
      <w:r>
        <w:rPr>
          <w:spacing w:val="30"/>
        </w:rPr>
        <w:t> </w:t>
      </w:r>
      <w:r>
        <w:rPr/>
        <w:t>the</w:t>
      </w:r>
      <w:r>
        <w:rPr>
          <w:spacing w:val="31"/>
        </w:rPr>
        <w:t> </w:t>
      </w:r>
      <w:r>
        <w:rPr/>
        <w:t>Registry for 2023. For prudent and diligent budget planning, and in the light of the complex context of</w:t>
      </w:r>
      <w:r>
        <w:rPr>
          <w:spacing w:val="-6"/>
        </w:rPr>
        <w:t> </w:t>
      </w:r>
      <w:r>
        <w:rPr/>
        <w:t>the</w:t>
      </w:r>
      <w:r>
        <w:rPr>
          <w:spacing w:val="-4"/>
        </w:rPr>
        <w:t> </w:t>
      </w:r>
      <w:r>
        <w:rPr/>
        <w:t>situation,</w:t>
      </w:r>
      <w:r>
        <w:rPr>
          <w:spacing w:val="-8"/>
        </w:rPr>
        <w:t> </w:t>
      </w:r>
      <w:r>
        <w:rPr/>
        <w:t>the</w:t>
      </w:r>
      <w:r>
        <w:rPr>
          <w:spacing w:val="-4"/>
        </w:rPr>
        <w:t> </w:t>
      </w:r>
      <w:r>
        <w:rPr/>
        <w:t>Registry</w:t>
      </w:r>
      <w:r>
        <w:rPr>
          <w:spacing w:val="-10"/>
        </w:rPr>
        <w:t> </w:t>
      </w:r>
      <w:r>
        <w:rPr/>
        <w:t>is</w:t>
      </w:r>
      <w:r>
        <w:rPr>
          <w:spacing w:val="-7"/>
        </w:rPr>
        <w:t> </w:t>
      </w:r>
      <w:r>
        <w:rPr/>
        <w:t>requesting</w:t>
      </w:r>
      <w:r>
        <w:rPr>
          <w:spacing w:val="-6"/>
        </w:rPr>
        <w:t> </w:t>
      </w:r>
      <w:r>
        <w:rPr/>
        <w:t>resources</w:t>
      </w:r>
      <w:r>
        <w:rPr>
          <w:spacing w:val="-7"/>
        </w:rPr>
        <w:t> </w:t>
      </w:r>
      <w:r>
        <w:rPr/>
        <w:t>which</w:t>
      </w:r>
      <w:r>
        <w:rPr>
          <w:spacing w:val="-10"/>
        </w:rPr>
        <w:t> </w:t>
      </w:r>
      <w:r>
        <w:rPr/>
        <w:t>can</w:t>
      </w:r>
      <w:r>
        <w:rPr>
          <w:spacing w:val="-6"/>
        </w:rPr>
        <w:t> </w:t>
      </w:r>
      <w:r>
        <w:rPr/>
        <w:t>be</w:t>
      </w:r>
      <w:r>
        <w:rPr>
          <w:spacing w:val="-9"/>
        </w:rPr>
        <w:t> </w:t>
      </w:r>
      <w:r>
        <w:rPr/>
        <w:t>accurately</w:t>
      </w:r>
      <w:r>
        <w:rPr>
          <w:spacing w:val="-6"/>
        </w:rPr>
        <w:t> </w:t>
      </w:r>
      <w:r>
        <w:rPr/>
        <w:t>estimated</w:t>
      </w:r>
      <w:r>
        <w:rPr>
          <w:spacing w:val="-10"/>
        </w:rPr>
        <w:t> </w:t>
      </w:r>
      <w:r>
        <w:rPr/>
        <w:t>at</w:t>
      </w:r>
      <w:r>
        <w:rPr>
          <w:spacing w:val="-4"/>
        </w:rPr>
        <w:t> </w:t>
      </w:r>
      <w:r>
        <w:rPr/>
        <w:t>the time of the proposed budget based on planned activities and foreseeable developments.</w:t>
      </w:r>
    </w:p>
    <w:p>
      <w:pPr>
        <w:pStyle w:val="ListParagraph"/>
        <w:numPr>
          <w:ilvl w:val="0"/>
          <w:numId w:val="4"/>
        </w:numPr>
        <w:tabs>
          <w:tab w:pos="2967" w:val="left" w:leader="none"/>
        </w:tabs>
        <w:spacing w:line="240" w:lineRule="auto" w:before="123" w:after="0"/>
        <w:ind w:left="2246" w:right="2238" w:firstLine="0"/>
        <w:jc w:val="both"/>
        <w:rPr>
          <w:sz w:val="20"/>
        </w:rPr>
      </w:pPr>
      <w:r>
        <w:rPr>
          <w:sz w:val="20"/>
        </w:rPr>
        <w:t>The budgetary increases resulting from the establishment of country offices in Sudan and Ukraine are largely offset by the abolishment/defunding of a number of field positions in the country offices in the DRC, Uganda, Côte d’Ivoire, Mali and Georgia; the reduction of the field presence of the country offices in Kinshasa, DRC, Côte d’Ivoire and Georgia; and decreased activities planned in the DRC, Uganda, Côte d’Ivoire, Mali and Georgia. The OTP, VWS</w:t>
      </w:r>
      <w:r>
        <w:rPr>
          <w:spacing w:val="-1"/>
          <w:sz w:val="20"/>
        </w:rPr>
        <w:t> </w:t>
      </w:r>
      <w:r>
        <w:rPr>
          <w:sz w:val="20"/>
        </w:rPr>
        <w:t>and TFV will maintain a small presence in Côte d’Ivoire in 2023 to conduct residual activities, including the provision of security, diplomatic, outreach and logistical support. Therefore in 2023, the country office in Côte d’Ivoire will move its premises</w:t>
      </w:r>
      <w:r>
        <w:rPr>
          <w:spacing w:val="-12"/>
          <w:sz w:val="20"/>
        </w:rPr>
        <w:t> </w:t>
      </w:r>
      <w:r>
        <w:rPr>
          <w:sz w:val="20"/>
        </w:rPr>
        <w:t>to</w:t>
      </w:r>
      <w:r>
        <w:rPr>
          <w:spacing w:val="-9"/>
          <w:sz w:val="20"/>
        </w:rPr>
        <w:t> </w:t>
      </w:r>
      <w:r>
        <w:rPr>
          <w:sz w:val="20"/>
        </w:rPr>
        <w:t>a</w:t>
      </w:r>
      <w:r>
        <w:rPr>
          <w:spacing w:val="-8"/>
          <w:sz w:val="20"/>
        </w:rPr>
        <w:t> </w:t>
      </w:r>
      <w:r>
        <w:rPr>
          <w:sz w:val="20"/>
        </w:rPr>
        <w:t>flexible</w:t>
      </w:r>
      <w:r>
        <w:rPr>
          <w:spacing w:val="-8"/>
          <w:sz w:val="20"/>
        </w:rPr>
        <w:t> </w:t>
      </w:r>
      <w:r>
        <w:rPr>
          <w:sz w:val="20"/>
        </w:rPr>
        <w:t>workspace</w:t>
      </w:r>
      <w:r>
        <w:rPr>
          <w:spacing w:val="-8"/>
          <w:sz w:val="20"/>
        </w:rPr>
        <w:t> </w:t>
      </w:r>
      <w:r>
        <w:rPr>
          <w:sz w:val="20"/>
        </w:rPr>
        <w:t>which</w:t>
      </w:r>
      <w:r>
        <w:rPr>
          <w:spacing w:val="-9"/>
          <w:sz w:val="20"/>
        </w:rPr>
        <w:t> </w:t>
      </w:r>
      <w:r>
        <w:rPr>
          <w:sz w:val="20"/>
        </w:rPr>
        <w:t>will</w:t>
      </w:r>
      <w:r>
        <w:rPr>
          <w:spacing w:val="-13"/>
          <w:sz w:val="20"/>
        </w:rPr>
        <w:t> </w:t>
      </w:r>
      <w:r>
        <w:rPr>
          <w:sz w:val="20"/>
        </w:rPr>
        <w:t>allow</w:t>
      </w:r>
      <w:r>
        <w:rPr>
          <w:spacing w:val="-10"/>
          <w:sz w:val="20"/>
        </w:rPr>
        <w:t> </w:t>
      </w:r>
      <w:r>
        <w:rPr>
          <w:sz w:val="20"/>
        </w:rPr>
        <w:t>the</w:t>
      </w:r>
      <w:r>
        <w:rPr>
          <w:spacing w:val="-8"/>
          <w:sz w:val="20"/>
        </w:rPr>
        <w:t> </w:t>
      </w:r>
      <w:r>
        <w:rPr>
          <w:sz w:val="20"/>
        </w:rPr>
        <w:t>office</w:t>
      </w:r>
      <w:r>
        <w:rPr>
          <w:spacing w:val="-8"/>
          <w:sz w:val="20"/>
        </w:rPr>
        <w:t> </w:t>
      </w:r>
      <w:r>
        <w:rPr>
          <w:sz w:val="20"/>
        </w:rPr>
        <w:t>to</w:t>
      </w:r>
      <w:r>
        <w:rPr>
          <w:spacing w:val="-5"/>
          <w:sz w:val="20"/>
        </w:rPr>
        <w:t> </w:t>
      </w:r>
      <w:r>
        <w:rPr>
          <w:sz w:val="20"/>
        </w:rPr>
        <w:t>be</w:t>
      </w:r>
      <w:r>
        <w:rPr>
          <w:spacing w:val="-8"/>
          <w:sz w:val="20"/>
        </w:rPr>
        <w:t> </w:t>
      </w:r>
      <w:r>
        <w:rPr>
          <w:sz w:val="20"/>
        </w:rPr>
        <w:t>further</w:t>
      </w:r>
      <w:r>
        <w:rPr>
          <w:spacing w:val="-9"/>
          <w:sz w:val="20"/>
        </w:rPr>
        <w:t> </w:t>
      </w:r>
      <w:r>
        <w:rPr>
          <w:sz w:val="20"/>
        </w:rPr>
        <w:t>downsized</w:t>
      </w:r>
      <w:r>
        <w:rPr>
          <w:spacing w:val="-13"/>
          <w:sz w:val="20"/>
        </w:rPr>
        <w:t> </w:t>
      </w:r>
      <w:r>
        <w:rPr>
          <w:sz w:val="20"/>
        </w:rPr>
        <w:t>in</w:t>
      </w:r>
      <w:r>
        <w:rPr>
          <w:spacing w:val="-8"/>
          <w:sz w:val="20"/>
        </w:rPr>
        <w:t> </w:t>
      </w:r>
      <w:r>
        <w:rPr>
          <w:sz w:val="20"/>
        </w:rPr>
        <w:t>2024, without</w:t>
      </w:r>
      <w:r>
        <w:rPr>
          <w:spacing w:val="-8"/>
          <w:sz w:val="20"/>
        </w:rPr>
        <w:t> </w:t>
      </w:r>
      <w:r>
        <w:rPr>
          <w:sz w:val="20"/>
        </w:rPr>
        <w:t>the</w:t>
      </w:r>
      <w:r>
        <w:rPr>
          <w:spacing w:val="-8"/>
          <w:sz w:val="20"/>
        </w:rPr>
        <w:t> </w:t>
      </w:r>
      <w:r>
        <w:rPr>
          <w:sz w:val="20"/>
        </w:rPr>
        <w:t>further</w:t>
      </w:r>
      <w:r>
        <w:rPr>
          <w:spacing w:val="-5"/>
          <w:sz w:val="20"/>
        </w:rPr>
        <w:t> </w:t>
      </w:r>
      <w:r>
        <w:rPr>
          <w:sz w:val="20"/>
        </w:rPr>
        <w:t>need</w:t>
      </w:r>
      <w:r>
        <w:rPr>
          <w:spacing w:val="-8"/>
          <w:sz w:val="20"/>
        </w:rPr>
        <w:t> </w:t>
      </w:r>
      <w:r>
        <w:rPr>
          <w:sz w:val="20"/>
        </w:rPr>
        <w:t>to</w:t>
      </w:r>
      <w:r>
        <w:rPr>
          <w:spacing w:val="-5"/>
          <w:sz w:val="20"/>
        </w:rPr>
        <w:t> </w:t>
      </w:r>
      <w:r>
        <w:rPr>
          <w:sz w:val="20"/>
        </w:rPr>
        <w:t>relocate</w:t>
      </w:r>
      <w:r>
        <w:rPr>
          <w:spacing w:val="-8"/>
          <w:sz w:val="20"/>
        </w:rPr>
        <w:t> </w:t>
      </w:r>
      <w:r>
        <w:rPr>
          <w:sz w:val="20"/>
        </w:rPr>
        <w:t>to</w:t>
      </w:r>
      <w:r>
        <w:rPr>
          <w:spacing w:val="-5"/>
          <w:sz w:val="20"/>
        </w:rPr>
        <w:t> </w:t>
      </w:r>
      <w:r>
        <w:rPr>
          <w:sz w:val="20"/>
        </w:rPr>
        <w:t>other</w:t>
      </w:r>
      <w:r>
        <w:rPr>
          <w:spacing w:val="-5"/>
          <w:sz w:val="20"/>
        </w:rPr>
        <w:t> </w:t>
      </w:r>
      <w:r>
        <w:rPr>
          <w:sz w:val="20"/>
        </w:rPr>
        <w:t>premises.</w:t>
      </w:r>
      <w:r>
        <w:rPr>
          <w:spacing w:val="-7"/>
          <w:sz w:val="20"/>
        </w:rPr>
        <w:t> </w:t>
      </w:r>
      <w:r>
        <w:rPr>
          <w:sz w:val="20"/>
        </w:rPr>
        <w:t>The</w:t>
      </w:r>
      <w:r>
        <w:rPr>
          <w:spacing w:val="-8"/>
          <w:sz w:val="20"/>
        </w:rPr>
        <w:t> </w:t>
      </w:r>
      <w:r>
        <w:rPr>
          <w:sz w:val="20"/>
        </w:rPr>
        <w:t>residual</w:t>
      </w:r>
      <w:r>
        <w:rPr>
          <w:spacing w:val="-8"/>
          <w:sz w:val="20"/>
        </w:rPr>
        <w:t> </w:t>
      </w:r>
      <w:r>
        <w:rPr>
          <w:sz w:val="20"/>
        </w:rPr>
        <w:t>activities</w:t>
      </w:r>
      <w:r>
        <w:rPr>
          <w:spacing w:val="-10"/>
          <w:sz w:val="20"/>
        </w:rPr>
        <w:t> </w:t>
      </w:r>
      <w:r>
        <w:rPr>
          <w:sz w:val="20"/>
        </w:rPr>
        <w:t>in</w:t>
      </w:r>
      <w:r>
        <w:rPr>
          <w:spacing w:val="-8"/>
          <w:sz w:val="20"/>
        </w:rPr>
        <w:t> </w:t>
      </w:r>
      <w:r>
        <w:rPr>
          <w:sz w:val="20"/>
        </w:rPr>
        <w:t>Côte</w:t>
      </w:r>
      <w:r>
        <w:rPr>
          <w:spacing w:val="-8"/>
          <w:sz w:val="20"/>
        </w:rPr>
        <w:t> </w:t>
      </w:r>
      <w:r>
        <w:rPr>
          <w:sz w:val="20"/>
        </w:rPr>
        <w:t>d’Ivoire will</w:t>
      </w:r>
      <w:r>
        <w:rPr>
          <w:spacing w:val="23"/>
          <w:sz w:val="20"/>
        </w:rPr>
        <w:t> </w:t>
      </w:r>
      <w:r>
        <w:rPr>
          <w:sz w:val="20"/>
        </w:rPr>
        <w:t>be</w:t>
      </w:r>
      <w:r>
        <w:rPr>
          <w:spacing w:val="28"/>
          <w:sz w:val="20"/>
        </w:rPr>
        <w:t> </w:t>
      </w:r>
      <w:r>
        <w:rPr>
          <w:sz w:val="20"/>
        </w:rPr>
        <w:t>overseen</w:t>
      </w:r>
      <w:r>
        <w:rPr>
          <w:spacing w:val="21"/>
          <w:sz w:val="20"/>
        </w:rPr>
        <w:t> </w:t>
      </w:r>
      <w:r>
        <w:rPr>
          <w:sz w:val="20"/>
        </w:rPr>
        <w:t>by</w:t>
      </w:r>
      <w:r>
        <w:rPr>
          <w:spacing w:val="21"/>
          <w:sz w:val="20"/>
        </w:rPr>
        <w:t> </w:t>
      </w:r>
      <w:r>
        <w:rPr>
          <w:sz w:val="20"/>
        </w:rPr>
        <w:t>the</w:t>
      </w:r>
      <w:r>
        <w:rPr>
          <w:spacing w:val="23"/>
          <w:sz w:val="20"/>
        </w:rPr>
        <w:t> </w:t>
      </w:r>
      <w:r>
        <w:rPr>
          <w:sz w:val="20"/>
        </w:rPr>
        <w:t>Chief</w:t>
      </w:r>
      <w:r>
        <w:rPr>
          <w:spacing w:val="21"/>
          <w:sz w:val="20"/>
        </w:rPr>
        <w:t> </w:t>
      </w:r>
      <w:r>
        <w:rPr>
          <w:sz w:val="20"/>
        </w:rPr>
        <w:t>of</w:t>
      </w:r>
      <w:r>
        <w:rPr>
          <w:spacing w:val="21"/>
          <w:sz w:val="20"/>
        </w:rPr>
        <w:t> </w:t>
      </w:r>
      <w:r>
        <w:rPr>
          <w:sz w:val="20"/>
        </w:rPr>
        <w:t>Country</w:t>
      </w:r>
      <w:r>
        <w:rPr>
          <w:spacing w:val="21"/>
          <w:sz w:val="20"/>
        </w:rPr>
        <w:t> </w:t>
      </w:r>
      <w:r>
        <w:rPr>
          <w:sz w:val="20"/>
        </w:rPr>
        <w:t>Office</w:t>
      </w:r>
      <w:r>
        <w:rPr>
          <w:spacing w:val="23"/>
          <w:sz w:val="20"/>
        </w:rPr>
        <w:t> </w:t>
      </w:r>
      <w:r>
        <w:rPr>
          <w:sz w:val="20"/>
        </w:rPr>
        <w:t>who</w:t>
      </w:r>
      <w:r>
        <w:rPr>
          <w:spacing w:val="21"/>
          <w:sz w:val="20"/>
        </w:rPr>
        <w:t> </w:t>
      </w:r>
      <w:r>
        <w:rPr>
          <w:sz w:val="20"/>
        </w:rPr>
        <w:t>will be</w:t>
      </w:r>
      <w:r>
        <w:rPr>
          <w:spacing w:val="23"/>
          <w:sz w:val="20"/>
        </w:rPr>
        <w:t> </w:t>
      </w:r>
      <w:r>
        <w:rPr>
          <w:sz w:val="20"/>
        </w:rPr>
        <w:t>based in</w:t>
      </w:r>
      <w:r>
        <w:rPr>
          <w:spacing w:val="26"/>
          <w:sz w:val="20"/>
        </w:rPr>
        <w:t> </w:t>
      </w:r>
      <w:r>
        <w:rPr>
          <w:sz w:val="20"/>
        </w:rPr>
        <w:t>Mali.</w:t>
      </w:r>
      <w:r>
        <w:rPr>
          <w:spacing w:val="24"/>
          <w:sz w:val="20"/>
        </w:rPr>
        <w:t> </w:t>
      </w:r>
      <w:r>
        <w:rPr>
          <w:sz w:val="20"/>
        </w:rPr>
        <w:t>Meanwhile, for 2023 the country office in Georgia will maintain only two field staff members to implement</w:t>
      </w:r>
      <w:r>
        <w:rPr>
          <w:spacing w:val="-13"/>
          <w:sz w:val="20"/>
        </w:rPr>
        <w:t> </w:t>
      </w:r>
      <w:r>
        <w:rPr>
          <w:sz w:val="20"/>
        </w:rPr>
        <w:t>its</w:t>
      </w:r>
      <w:r>
        <w:rPr>
          <w:spacing w:val="-12"/>
          <w:sz w:val="20"/>
        </w:rPr>
        <w:t> </w:t>
      </w:r>
      <w:r>
        <w:rPr>
          <w:sz w:val="20"/>
        </w:rPr>
        <w:t>exit</w:t>
      </w:r>
      <w:r>
        <w:rPr>
          <w:spacing w:val="-9"/>
          <w:sz w:val="20"/>
        </w:rPr>
        <w:t> </w:t>
      </w:r>
      <w:r>
        <w:rPr>
          <w:sz w:val="20"/>
        </w:rPr>
        <w:t>strategy</w:t>
      </w:r>
      <w:r>
        <w:rPr>
          <w:spacing w:val="-13"/>
          <w:sz w:val="20"/>
        </w:rPr>
        <w:t> </w:t>
      </w:r>
      <w:r>
        <w:rPr>
          <w:sz w:val="20"/>
        </w:rPr>
        <w:t>and</w:t>
      </w:r>
      <w:r>
        <w:rPr>
          <w:spacing w:val="-12"/>
          <w:sz w:val="20"/>
        </w:rPr>
        <w:t> </w:t>
      </w:r>
      <w:r>
        <w:rPr>
          <w:sz w:val="20"/>
        </w:rPr>
        <w:t>will</w:t>
      </w:r>
      <w:r>
        <w:rPr>
          <w:spacing w:val="-7"/>
          <w:sz w:val="20"/>
        </w:rPr>
        <w:t> </w:t>
      </w:r>
      <w:r>
        <w:rPr>
          <w:sz w:val="20"/>
        </w:rPr>
        <w:t>reduce</w:t>
      </w:r>
      <w:r>
        <w:rPr>
          <w:spacing w:val="-11"/>
          <w:sz w:val="20"/>
        </w:rPr>
        <w:t> </w:t>
      </w:r>
      <w:r>
        <w:rPr>
          <w:sz w:val="20"/>
        </w:rPr>
        <w:t>its</w:t>
      </w:r>
      <w:r>
        <w:rPr>
          <w:spacing w:val="-13"/>
          <w:sz w:val="20"/>
        </w:rPr>
        <w:t> </w:t>
      </w:r>
      <w:r>
        <w:rPr>
          <w:sz w:val="20"/>
        </w:rPr>
        <w:t>office</w:t>
      </w:r>
      <w:r>
        <w:rPr>
          <w:spacing w:val="-10"/>
          <w:sz w:val="20"/>
        </w:rPr>
        <w:t> </w:t>
      </w:r>
      <w:r>
        <w:rPr>
          <w:sz w:val="20"/>
        </w:rPr>
        <w:t>space</w:t>
      </w:r>
      <w:r>
        <w:rPr>
          <w:spacing w:val="-11"/>
          <w:sz w:val="20"/>
        </w:rPr>
        <w:t> </w:t>
      </w:r>
      <w:r>
        <w:rPr>
          <w:sz w:val="20"/>
        </w:rPr>
        <w:t>for</w:t>
      </w:r>
      <w:r>
        <w:rPr>
          <w:spacing w:val="-13"/>
          <w:sz w:val="20"/>
        </w:rPr>
        <w:t> </w:t>
      </w:r>
      <w:r>
        <w:rPr>
          <w:sz w:val="20"/>
        </w:rPr>
        <w:t>2023</w:t>
      </w:r>
      <w:r>
        <w:rPr>
          <w:spacing w:val="-7"/>
          <w:sz w:val="20"/>
        </w:rPr>
        <w:t> </w:t>
      </w:r>
      <w:r>
        <w:rPr>
          <w:sz w:val="20"/>
        </w:rPr>
        <w:t>to</w:t>
      </w:r>
      <w:r>
        <w:rPr>
          <w:spacing w:val="-8"/>
          <w:sz w:val="20"/>
        </w:rPr>
        <w:t> </w:t>
      </w:r>
      <w:r>
        <w:rPr>
          <w:sz w:val="20"/>
        </w:rPr>
        <w:t>one</w:t>
      </w:r>
      <w:r>
        <w:rPr>
          <w:spacing w:val="-7"/>
          <w:sz w:val="20"/>
        </w:rPr>
        <w:t> </w:t>
      </w:r>
      <w:r>
        <w:rPr>
          <w:sz w:val="20"/>
        </w:rPr>
        <w:t>room</w:t>
      </w:r>
      <w:r>
        <w:rPr>
          <w:spacing w:val="-12"/>
          <w:sz w:val="20"/>
        </w:rPr>
        <w:t> </w:t>
      </w:r>
      <w:r>
        <w:rPr>
          <w:sz w:val="20"/>
        </w:rPr>
        <w:t>at</w:t>
      </w:r>
      <w:r>
        <w:rPr>
          <w:spacing w:val="-7"/>
          <w:sz w:val="20"/>
        </w:rPr>
        <w:t> </w:t>
      </w:r>
      <w:r>
        <w:rPr>
          <w:sz w:val="20"/>
        </w:rPr>
        <w:t>the</w:t>
      </w:r>
      <w:r>
        <w:rPr>
          <w:spacing w:val="-12"/>
          <w:sz w:val="20"/>
        </w:rPr>
        <w:t> </w:t>
      </w:r>
      <w:r>
        <w:rPr>
          <w:sz w:val="20"/>
        </w:rPr>
        <w:t>current flexible workspace. Beyond overseeing the residual activities in Georgia, the Chief of Country</w:t>
      </w:r>
      <w:r>
        <w:rPr>
          <w:spacing w:val="-13"/>
          <w:sz w:val="20"/>
        </w:rPr>
        <w:t> </w:t>
      </w:r>
      <w:r>
        <w:rPr>
          <w:sz w:val="20"/>
        </w:rPr>
        <w:t>Office</w:t>
      </w:r>
      <w:r>
        <w:rPr>
          <w:spacing w:val="-12"/>
          <w:sz w:val="20"/>
        </w:rPr>
        <w:t> </w:t>
      </w:r>
      <w:r>
        <w:rPr>
          <w:sz w:val="20"/>
        </w:rPr>
        <w:t>(Georgia)</w:t>
      </w:r>
      <w:r>
        <w:rPr>
          <w:spacing w:val="-11"/>
          <w:sz w:val="20"/>
        </w:rPr>
        <w:t> </w:t>
      </w:r>
      <w:r>
        <w:rPr>
          <w:sz w:val="20"/>
        </w:rPr>
        <w:t>will</w:t>
      </w:r>
      <w:r>
        <w:rPr>
          <w:spacing w:val="-11"/>
          <w:sz w:val="20"/>
        </w:rPr>
        <w:t> </w:t>
      </w:r>
      <w:r>
        <w:rPr>
          <w:sz w:val="20"/>
        </w:rPr>
        <w:t>take</w:t>
      </w:r>
      <w:r>
        <w:rPr>
          <w:spacing w:val="-11"/>
          <w:sz w:val="20"/>
        </w:rPr>
        <w:t> </w:t>
      </w:r>
      <w:r>
        <w:rPr>
          <w:sz w:val="20"/>
        </w:rPr>
        <w:t>the</w:t>
      </w:r>
      <w:r>
        <w:rPr>
          <w:spacing w:val="-12"/>
          <w:sz w:val="20"/>
        </w:rPr>
        <w:t> </w:t>
      </w:r>
      <w:r>
        <w:rPr>
          <w:sz w:val="20"/>
        </w:rPr>
        <w:t>lead</w:t>
      </w:r>
      <w:r>
        <w:rPr>
          <w:spacing w:val="-13"/>
          <w:sz w:val="20"/>
        </w:rPr>
        <w:t> </w:t>
      </w:r>
      <w:r>
        <w:rPr>
          <w:sz w:val="20"/>
        </w:rPr>
        <w:t>on</w:t>
      </w:r>
      <w:r>
        <w:rPr>
          <w:spacing w:val="-12"/>
          <w:sz w:val="20"/>
        </w:rPr>
        <w:t> </w:t>
      </w:r>
      <w:r>
        <w:rPr>
          <w:sz w:val="20"/>
        </w:rPr>
        <w:t>activities</w:t>
      </w:r>
      <w:r>
        <w:rPr>
          <w:spacing w:val="-13"/>
          <w:sz w:val="20"/>
        </w:rPr>
        <w:t> </w:t>
      </w:r>
      <w:r>
        <w:rPr>
          <w:sz w:val="20"/>
        </w:rPr>
        <w:t>to</w:t>
      </w:r>
      <w:r>
        <w:rPr>
          <w:spacing w:val="-12"/>
          <w:sz w:val="20"/>
        </w:rPr>
        <w:t> </w:t>
      </w:r>
      <w:r>
        <w:rPr>
          <w:sz w:val="20"/>
        </w:rPr>
        <w:t>be</w:t>
      </w:r>
      <w:r>
        <w:rPr>
          <w:spacing w:val="-13"/>
          <w:sz w:val="20"/>
        </w:rPr>
        <w:t> </w:t>
      </w:r>
      <w:r>
        <w:rPr>
          <w:sz w:val="20"/>
        </w:rPr>
        <w:t>conducted</w:t>
      </w:r>
      <w:r>
        <w:rPr>
          <w:spacing w:val="-12"/>
          <w:sz w:val="20"/>
        </w:rPr>
        <w:t> </w:t>
      </w:r>
      <w:r>
        <w:rPr>
          <w:sz w:val="20"/>
        </w:rPr>
        <w:t>by</w:t>
      </w:r>
      <w:r>
        <w:rPr>
          <w:spacing w:val="-13"/>
          <w:sz w:val="20"/>
        </w:rPr>
        <w:t> </w:t>
      </w:r>
      <w:r>
        <w:rPr>
          <w:sz w:val="20"/>
        </w:rPr>
        <w:t>the</w:t>
      </w:r>
      <w:r>
        <w:rPr>
          <w:spacing w:val="-11"/>
          <w:sz w:val="20"/>
        </w:rPr>
        <w:t> </w:t>
      </w:r>
      <w:r>
        <w:rPr>
          <w:sz w:val="20"/>
        </w:rPr>
        <w:t>country</w:t>
      </w:r>
      <w:r>
        <w:rPr>
          <w:spacing w:val="-13"/>
          <w:sz w:val="20"/>
        </w:rPr>
        <w:t> </w:t>
      </w:r>
      <w:r>
        <w:rPr>
          <w:sz w:val="20"/>
        </w:rPr>
        <w:t>office in Ukraine. Lastly, only one field staff member will remain in Kinshasa, DRC, to serve as the focal point for</w:t>
      </w:r>
      <w:r>
        <w:rPr>
          <w:spacing w:val="-5"/>
          <w:sz w:val="20"/>
        </w:rPr>
        <w:t> </w:t>
      </w:r>
      <w:r>
        <w:rPr>
          <w:sz w:val="20"/>
        </w:rPr>
        <w:t>the Congolese</w:t>
      </w:r>
      <w:r>
        <w:rPr>
          <w:spacing w:val="-3"/>
          <w:sz w:val="20"/>
        </w:rPr>
        <w:t> </w:t>
      </w:r>
      <w:r>
        <w:rPr>
          <w:sz w:val="20"/>
        </w:rPr>
        <w:t>authorities</w:t>
      </w:r>
      <w:r>
        <w:rPr>
          <w:spacing w:val="-1"/>
          <w:sz w:val="20"/>
        </w:rPr>
        <w:t> </w:t>
      </w:r>
      <w:r>
        <w:rPr>
          <w:sz w:val="20"/>
        </w:rPr>
        <w:t>and</w:t>
      </w:r>
      <w:r>
        <w:rPr>
          <w:spacing w:val="-5"/>
          <w:sz w:val="20"/>
        </w:rPr>
        <w:t> </w:t>
      </w:r>
      <w:r>
        <w:rPr>
          <w:sz w:val="20"/>
        </w:rPr>
        <w:t>provide</w:t>
      </w:r>
      <w:r>
        <w:rPr>
          <w:spacing w:val="-3"/>
          <w:sz w:val="20"/>
        </w:rPr>
        <w:t> </w:t>
      </w:r>
      <w:r>
        <w:rPr>
          <w:sz w:val="20"/>
        </w:rPr>
        <w:t>outreach support</w:t>
      </w:r>
      <w:r>
        <w:rPr>
          <w:spacing w:val="-3"/>
          <w:sz w:val="20"/>
        </w:rPr>
        <w:t> </w:t>
      </w:r>
      <w:r>
        <w:rPr>
          <w:sz w:val="20"/>
        </w:rPr>
        <w:t>to the reparations activities conducted by the TFV for the implementation of judicial orders.</w:t>
      </w:r>
    </w:p>
    <w:p>
      <w:pPr>
        <w:pStyle w:val="BodyText"/>
        <w:spacing w:before="9"/>
      </w:pPr>
    </w:p>
    <w:p>
      <w:pPr>
        <w:pStyle w:val="Heading3"/>
        <w:jc w:val="both"/>
      </w:pPr>
      <w:r>
        <w:rPr/>
        <w:t>Reductions,</w:t>
      </w:r>
      <w:r>
        <w:rPr>
          <w:spacing w:val="-4"/>
        </w:rPr>
        <w:t> </w:t>
      </w:r>
      <w:r>
        <w:rPr/>
        <w:t>savings</w:t>
      </w:r>
      <w:r>
        <w:rPr>
          <w:spacing w:val="-7"/>
        </w:rPr>
        <w:t> </w:t>
      </w:r>
      <w:r>
        <w:rPr/>
        <w:t>and</w:t>
      </w:r>
      <w:r>
        <w:rPr>
          <w:spacing w:val="-10"/>
        </w:rPr>
        <w:t> </w:t>
      </w:r>
      <w:r>
        <w:rPr>
          <w:spacing w:val="-2"/>
        </w:rPr>
        <w:t>efficiencies</w:t>
      </w:r>
    </w:p>
    <w:p>
      <w:pPr>
        <w:pStyle w:val="BodyText"/>
        <w:spacing w:before="11"/>
        <w:rPr>
          <w:b/>
        </w:rPr>
      </w:pPr>
    </w:p>
    <w:p>
      <w:pPr>
        <w:pStyle w:val="ListParagraph"/>
        <w:numPr>
          <w:ilvl w:val="0"/>
          <w:numId w:val="4"/>
        </w:numPr>
        <w:tabs>
          <w:tab w:pos="2967" w:val="left" w:leader="none"/>
        </w:tabs>
        <w:spacing w:line="240" w:lineRule="auto" w:before="0" w:after="0"/>
        <w:ind w:left="2246" w:right="2243" w:firstLine="0"/>
        <w:jc w:val="both"/>
        <w:rPr>
          <w:sz w:val="20"/>
        </w:rPr>
      </w:pPr>
      <w:r>
        <w:rPr>
          <w:sz w:val="20"/>
        </w:rPr>
        <w:t>The Registry has proactively sought to mitigate the impact of the aforementioned surges</w:t>
      </w:r>
      <w:r>
        <w:rPr>
          <w:spacing w:val="-11"/>
          <w:sz w:val="20"/>
        </w:rPr>
        <w:t> </w:t>
      </w:r>
      <w:r>
        <w:rPr>
          <w:sz w:val="20"/>
        </w:rPr>
        <w:t>in</w:t>
      </w:r>
      <w:r>
        <w:rPr>
          <w:spacing w:val="-8"/>
          <w:sz w:val="20"/>
        </w:rPr>
        <w:t> </w:t>
      </w:r>
      <w:r>
        <w:rPr>
          <w:sz w:val="20"/>
        </w:rPr>
        <w:t>resource</w:t>
      </w:r>
      <w:r>
        <w:rPr>
          <w:spacing w:val="-7"/>
          <w:sz w:val="20"/>
        </w:rPr>
        <w:t> </w:t>
      </w:r>
      <w:r>
        <w:rPr>
          <w:sz w:val="20"/>
        </w:rPr>
        <w:t>needs</w:t>
      </w:r>
      <w:r>
        <w:rPr>
          <w:spacing w:val="-10"/>
          <w:sz w:val="20"/>
        </w:rPr>
        <w:t> </w:t>
      </w:r>
      <w:r>
        <w:rPr>
          <w:sz w:val="20"/>
        </w:rPr>
        <w:t>by</w:t>
      </w:r>
      <w:r>
        <w:rPr>
          <w:spacing w:val="-8"/>
          <w:sz w:val="20"/>
        </w:rPr>
        <w:t> </w:t>
      </w:r>
      <w:r>
        <w:rPr>
          <w:sz w:val="20"/>
        </w:rPr>
        <w:t>implementing</w:t>
      </w:r>
      <w:r>
        <w:rPr>
          <w:spacing w:val="-13"/>
          <w:sz w:val="20"/>
        </w:rPr>
        <w:t> </w:t>
      </w:r>
      <w:r>
        <w:rPr>
          <w:sz w:val="20"/>
        </w:rPr>
        <w:t>a</w:t>
      </w:r>
      <w:r>
        <w:rPr>
          <w:spacing w:val="-7"/>
          <w:sz w:val="20"/>
        </w:rPr>
        <w:t> </w:t>
      </w:r>
      <w:r>
        <w:rPr>
          <w:sz w:val="20"/>
        </w:rPr>
        <w:t>series</w:t>
      </w:r>
      <w:r>
        <w:rPr>
          <w:spacing w:val="-10"/>
          <w:sz w:val="20"/>
        </w:rPr>
        <w:t> </w:t>
      </w:r>
      <w:r>
        <w:rPr>
          <w:sz w:val="20"/>
        </w:rPr>
        <w:t>of</w:t>
      </w:r>
      <w:r>
        <w:rPr>
          <w:spacing w:val="-13"/>
          <w:sz w:val="20"/>
        </w:rPr>
        <w:t> </w:t>
      </w:r>
      <w:r>
        <w:rPr>
          <w:sz w:val="20"/>
        </w:rPr>
        <w:t>measures</w:t>
      </w:r>
      <w:r>
        <w:rPr>
          <w:spacing w:val="-5"/>
          <w:sz w:val="20"/>
        </w:rPr>
        <w:t> </w:t>
      </w:r>
      <w:r>
        <w:rPr>
          <w:sz w:val="20"/>
        </w:rPr>
        <w:t>aimed</w:t>
      </w:r>
      <w:r>
        <w:rPr>
          <w:spacing w:val="-13"/>
          <w:sz w:val="20"/>
        </w:rPr>
        <w:t> </w:t>
      </w:r>
      <w:r>
        <w:rPr>
          <w:sz w:val="20"/>
        </w:rPr>
        <w:t>at</w:t>
      </w:r>
      <w:r>
        <w:rPr>
          <w:spacing w:val="-7"/>
          <w:sz w:val="20"/>
        </w:rPr>
        <w:t> </w:t>
      </w:r>
      <w:r>
        <w:rPr>
          <w:sz w:val="20"/>
        </w:rPr>
        <w:t>increasing</w:t>
      </w:r>
      <w:r>
        <w:rPr>
          <w:spacing w:val="-8"/>
          <w:sz w:val="20"/>
        </w:rPr>
        <w:t> </w:t>
      </w:r>
      <w:r>
        <w:rPr>
          <w:sz w:val="20"/>
        </w:rPr>
        <w:t>flexibility and</w:t>
      </w:r>
      <w:r>
        <w:rPr>
          <w:spacing w:val="38"/>
          <w:sz w:val="20"/>
        </w:rPr>
        <w:t> </w:t>
      </w:r>
      <w:r>
        <w:rPr>
          <w:sz w:val="20"/>
        </w:rPr>
        <w:t>scalability</w:t>
      </w:r>
      <w:r>
        <w:rPr>
          <w:spacing w:val="35"/>
          <w:sz w:val="20"/>
        </w:rPr>
        <w:t> </w:t>
      </w:r>
      <w:r>
        <w:rPr>
          <w:sz w:val="20"/>
        </w:rPr>
        <w:t>and</w:t>
      </w:r>
      <w:r>
        <w:rPr>
          <w:spacing w:val="38"/>
          <w:sz w:val="20"/>
        </w:rPr>
        <w:t> </w:t>
      </w:r>
      <w:r>
        <w:rPr>
          <w:sz w:val="20"/>
        </w:rPr>
        <w:t>by</w:t>
      </w:r>
      <w:r>
        <w:rPr>
          <w:spacing w:val="38"/>
          <w:sz w:val="20"/>
        </w:rPr>
        <w:t> </w:t>
      </w:r>
      <w:r>
        <w:rPr>
          <w:sz w:val="20"/>
        </w:rPr>
        <w:t>reassessing</w:t>
      </w:r>
      <w:r>
        <w:rPr>
          <w:spacing w:val="38"/>
          <w:sz w:val="20"/>
        </w:rPr>
        <w:t> </w:t>
      </w:r>
      <w:r>
        <w:rPr>
          <w:sz w:val="20"/>
        </w:rPr>
        <w:t>the</w:t>
      </w:r>
      <w:r>
        <w:rPr>
          <w:spacing w:val="40"/>
          <w:sz w:val="20"/>
        </w:rPr>
        <w:t> </w:t>
      </w:r>
      <w:r>
        <w:rPr>
          <w:sz w:val="20"/>
        </w:rPr>
        <w:t>required</w:t>
      </w:r>
      <w:r>
        <w:rPr>
          <w:spacing w:val="38"/>
          <w:sz w:val="20"/>
        </w:rPr>
        <w:t> </w:t>
      </w:r>
      <w:r>
        <w:rPr>
          <w:sz w:val="20"/>
        </w:rPr>
        <w:t>level</w:t>
      </w:r>
      <w:r>
        <w:rPr>
          <w:spacing w:val="40"/>
          <w:sz w:val="20"/>
        </w:rPr>
        <w:t> </w:t>
      </w:r>
      <w:r>
        <w:rPr>
          <w:sz w:val="20"/>
        </w:rPr>
        <w:t>of</w:t>
      </w:r>
      <w:r>
        <w:rPr>
          <w:spacing w:val="40"/>
          <w:sz w:val="20"/>
        </w:rPr>
        <w:t> </w:t>
      </w:r>
      <w:r>
        <w:rPr>
          <w:sz w:val="20"/>
        </w:rPr>
        <w:t>support</w:t>
      </w:r>
      <w:r>
        <w:rPr>
          <w:spacing w:val="40"/>
          <w:sz w:val="20"/>
        </w:rPr>
        <w:t> </w:t>
      </w:r>
      <w:r>
        <w:rPr>
          <w:sz w:val="20"/>
        </w:rPr>
        <w:t>for</w:t>
      </w:r>
      <w:r>
        <w:rPr>
          <w:spacing w:val="39"/>
          <w:sz w:val="20"/>
        </w:rPr>
        <w:t> </w:t>
      </w:r>
      <w:r>
        <w:rPr>
          <w:sz w:val="20"/>
        </w:rPr>
        <w:t>projected</w:t>
      </w:r>
      <w:r>
        <w:rPr>
          <w:spacing w:val="35"/>
          <w:sz w:val="20"/>
        </w:rPr>
        <w:t> </w:t>
      </w:r>
      <w:r>
        <w:rPr>
          <w:sz w:val="20"/>
        </w:rPr>
        <w:t>activities in 2023.</w:t>
      </w:r>
    </w:p>
    <w:p>
      <w:pPr>
        <w:pStyle w:val="ListParagraph"/>
        <w:numPr>
          <w:ilvl w:val="0"/>
          <w:numId w:val="4"/>
        </w:numPr>
        <w:tabs>
          <w:tab w:pos="2967" w:val="left" w:leader="none"/>
        </w:tabs>
        <w:spacing w:line="240" w:lineRule="auto" w:before="122" w:after="0"/>
        <w:ind w:left="2246" w:right="2241" w:firstLine="0"/>
        <w:jc w:val="both"/>
        <w:rPr>
          <w:sz w:val="20"/>
        </w:rPr>
      </w:pPr>
      <w:r>
        <w:rPr>
          <w:sz w:val="20"/>
        </w:rPr>
        <w:t>The</w:t>
      </w:r>
      <w:r>
        <w:rPr>
          <w:spacing w:val="-2"/>
          <w:sz w:val="20"/>
        </w:rPr>
        <w:t> </w:t>
      </w:r>
      <w:r>
        <w:rPr>
          <w:sz w:val="20"/>
        </w:rPr>
        <w:t>proposed</w:t>
      </w:r>
      <w:r>
        <w:rPr>
          <w:spacing w:val="-4"/>
          <w:sz w:val="20"/>
        </w:rPr>
        <w:t> </w:t>
      </w:r>
      <w:r>
        <w:rPr>
          <w:sz w:val="20"/>
        </w:rPr>
        <w:t>overall</w:t>
      </w:r>
      <w:r>
        <w:rPr>
          <w:spacing w:val="-2"/>
          <w:sz w:val="20"/>
        </w:rPr>
        <w:t> </w:t>
      </w:r>
      <w:r>
        <w:rPr>
          <w:sz w:val="20"/>
        </w:rPr>
        <w:t>increase</w:t>
      </w:r>
      <w:r>
        <w:rPr>
          <w:spacing w:val="-7"/>
          <w:sz w:val="20"/>
        </w:rPr>
        <w:t> </w:t>
      </w:r>
      <w:r>
        <w:rPr>
          <w:sz w:val="20"/>
        </w:rPr>
        <w:t>in</w:t>
      </w:r>
      <w:r>
        <w:rPr>
          <w:spacing w:val="-8"/>
          <w:sz w:val="20"/>
        </w:rPr>
        <w:t> </w:t>
      </w:r>
      <w:r>
        <w:rPr>
          <w:sz w:val="20"/>
        </w:rPr>
        <w:t>the</w:t>
      </w:r>
      <w:r>
        <w:rPr>
          <w:spacing w:val="-2"/>
          <w:sz w:val="20"/>
        </w:rPr>
        <w:t> </w:t>
      </w:r>
      <w:r>
        <w:rPr>
          <w:sz w:val="20"/>
        </w:rPr>
        <w:t>Registry’s</w:t>
      </w:r>
      <w:r>
        <w:rPr>
          <w:spacing w:val="-5"/>
          <w:sz w:val="20"/>
        </w:rPr>
        <w:t> </w:t>
      </w:r>
      <w:r>
        <w:rPr>
          <w:sz w:val="20"/>
        </w:rPr>
        <w:t>budget</w:t>
      </w:r>
      <w:r>
        <w:rPr>
          <w:spacing w:val="-2"/>
          <w:sz w:val="20"/>
        </w:rPr>
        <w:t> </w:t>
      </w:r>
      <w:r>
        <w:rPr>
          <w:sz w:val="20"/>
        </w:rPr>
        <w:t>would</w:t>
      </w:r>
      <w:r>
        <w:rPr>
          <w:spacing w:val="-4"/>
          <w:sz w:val="20"/>
        </w:rPr>
        <w:t> </w:t>
      </w:r>
      <w:r>
        <w:rPr>
          <w:sz w:val="20"/>
        </w:rPr>
        <w:t>have</w:t>
      </w:r>
      <w:r>
        <w:rPr>
          <w:spacing w:val="-7"/>
          <w:sz w:val="20"/>
        </w:rPr>
        <w:t> </w:t>
      </w:r>
      <w:r>
        <w:rPr>
          <w:sz w:val="20"/>
        </w:rPr>
        <w:t>been</w:t>
      </w:r>
      <w:r>
        <w:rPr>
          <w:spacing w:val="-4"/>
          <w:sz w:val="20"/>
        </w:rPr>
        <w:t> </w:t>
      </w:r>
      <w:r>
        <w:rPr>
          <w:sz w:val="20"/>
        </w:rPr>
        <w:t>higher</w:t>
      </w:r>
      <w:r>
        <w:rPr>
          <w:spacing w:val="-8"/>
          <w:sz w:val="20"/>
        </w:rPr>
        <w:t> </w:t>
      </w:r>
      <w:r>
        <w:rPr>
          <w:sz w:val="20"/>
        </w:rPr>
        <w:t>had it not been for the reductions achieved across the Registry of approximately €3.7 million, including savings and efficiencies amounting to €1.5 million. These efforts illustrate the continuous</w:t>
      </w:r>
      <w:r>
        <w:rPr>
          <w:spacing w:val="-6"/>
          <w:sz w:val="20"/>
        </w:rPr>
        <w:t> </w:t>
      </w:r>
      <w:r>
        <w:rPr>
          <w:sz w:val="20"/>
        </w:rPr>
        <w:t>effort of</w:t>
      </w:r>
      <w:r>
        <w:rPr>
          <w:spacing w:val="-5"/>
          <w:sz w:val="20"/>
        </w:rPr>
        <w:t> </w:t>
      </w:r>
      <w:r>
        <w:rPr>
          <w:sz w:val="20"/>
        </w:rPr>
        <w:t>the Registry to implement the</w:t>
      </w:r>
      <w:r>
        <w:rPr>
          <w:spacing w:val="-3"/>
          <w:sz w:val="20"/>
        </w:rPr>
        <w:t> </w:t>
      </w:r>
      <w:r>
        <w:rPr>
          <w:sz w:val="20"/>
        </w:rPr>
        <w:t>leanest</w:t>
      </w:r>
      <w:r>
        <w:rPr>
          <w:spacing w:val="-3"/>
          <w:sz w:val="20"/>
        </w:rPr>
        <w:t> </w:t>
      </w:r>
      <w:r>
        <w:rPr>
          <w:sz w:val="20"/>
        </w:rPr>
        <w:t>possible operations.</w:t>
      </w:r>
      <w:r>
        <w:rPr>
          <w:spacing w:val="-2"/>
          <w:sz w:val="20"/>
        </w:rPr>
        <w:t> </w:t>
      </w:r>
      <w:r>
        <w:rPr>
          <w:sz w:val="20"/>
        </w:rPr>
        <w:t>The Registry continues to focus on efficiencies and savings improvements, the details of which are provided in the annex to the budget.</w:t>
      </w:r>
    </w:p>
    <w:p>
      <w:pPr>
        <w:pStyle w:val="ListParagraph"/>
        <w:numPr>
          <w:ilvl w:val="0"/>
          <w:numId w:val="4"/>
        </w:numPr>
        <w:tabs>
          <w:tab w:pos="2967" w:val="left" w:leader="none"/>
        </w:tabs>
        <w:spacing w:line="240" w:lineRule="auto" w:before="118" w:after="0"/>
        <w:ind w:left="2246" w:right="2240" w:firstLine="0"/>
        <w:jc w:val="both"/>
        <w:rPr>
          <w:sz w:val="20"/>
        </w:rPr>
      </w:pPr>
      <w:r>
        <w:rPr>
          <w:sz w:val="20"/>
        </w:rPr>
        <w:t>Importantly, from 2017 to 2021 the Registry’s approved budget remained at a comparable level, with some years even showing reductions. Accordingly, for many years, the Registry has been able to absorb additional pressures, including the increase in price indices</w:t>
      </w:r>
      <w:r>
        <w:rPr>
          <w:spacing w:val="-13"/>
          <w:sz w:val="20"/>
        </w:rPr>
        <w:t> </w:t>
      </w:r>
      <w:r>
        <w:rPr>
          <w:sz w:val="20"/>
        </w:rPr>
        <w:t>and</w:t>
      </w:r>
      <w:r>
        <w:rPr>
          <w:spacing w:val="-12"/>
          <w:sz w:val="20"/>
        </w:rPr>
        <w:t> </w:t>
      </w:r>
      <w:r>
        <w:rPr>
          <w:sz w:val="20"/>
        </w:rPr>
        <w:t>staff</w:t>
      </w:r>
      <w:r>
        <w:rPr>
          <w:spacing w:val="-13"/>
          <w:sz w:val="20"/>
        </w:rPr>
        <w:t> </w:t>
      </w:r>
      <w:r>
        <w:rPr>
          <w:sz w:val="20"/>
        </w:rPr>
        <w:t>costs,</w:t>
      </w:r>
      <w:r>
        <w:rPr>
          <w:spacing w:val="-12"/>
          <w:sz w:val="20"/>
        </w:rPr>
        <w:t> </w:t>
      </w:r>
      <w:r>
        <w:rPr>
          <w:sz w:val="20"/>
        </w:rPr>
        <w:t>within</w:t>
      </w:r>
      <w:r>
        <w:rPr>
          <w:spacing w:val="-13"/>
          <w:sz w:val="20"/>
        </w:rPr>
        <w:t> </w:t>
      </w:r>
      <w:r>
        <w:rPr>
          <w:sz w:val="20"/>
        </w:rPr>
        <w:t>a</w:t>
      </w:r>
      <w:r>
        <w:rPr>
          <w:spacing w:val="-12"/>
          <w:sz w:val="20"/>
        </w:rPr>
        <w:t> </w:t>
      </w:r>
      <w:r>
        <w:rPr>
          <w:sz w:val="20"/>
        </w:rPr>
        <w:t>reduced</w:t>
      </w:r>
      <w:r>
        <w:rPr>
          <w:spacing w:val="-13"/>
          <w:sz w:val="20"/>
        </w:rPr>
        <w:t> </w:t>
      </w:r>
      <w:r>
        <w:rPr>
          <w:sz w:val="20"/>
        </w:rPr>
        <w:t>baseline.</w:t>
      </w:r>
      <w:r>
        <w:rPr>
          <w:spacing w:val="-12"/>
          <w:sz w:val="20"/>
        </w:rPr>
        <w:t> </w:t>
      </w:r>
      <w:r>
        <w:rPr>
          <w:sz w:val="20"/>
        </w:rPr>
        <w:t>Even</w:t>
      </w:r>
      <w:r>
        <w:rPr>
          <w:spacing w:val="-13"/>
          <w:sz w:val="20"/>
        </w:rPr>
        <w:t> </w:t>
      </w:r>
      <w:r>
        <w:rPr>
          <w:sz w:val="20"/>
        </w:rPr>
        <w:t>the</w:t>
      </w:r>
      <w:r>
        <w:rPr>
          <w:spacing w:val="-12"/>
          <w:sz w:val="20"/>
        </w:rPr>
        <w:t> </w:t>
      </w:r>
      <w:r>
        <w:rPr>
          <w:sz w:val="20"/>
        </w:rPr>
        <w:t>approved</w:t>
      </w:r>
      <w:r>
        <w:rPr>
          <w:spacing w:val="-13"/>
          <w:sz w:val="20"/>
        </w:rPr>
        <w:t> </w:t>
      </w:r>
      <w:r>
        <w:rPr>
          <w:sz w:val="20"/>
        </w:rPr>
        <w:t>increase</w:t>
      </w:r>
      <w:r>
        <w:rPr>
          <w:spacing w:val="-12"/>
          <w:sz w:val="20"/>
        </w:rPr>
        <w:t> </w:t>
      </w:r>
      <w:r>
        <w:rPr>
          <w:sz w:val="20"/>
        </w:rPr>
        <w:t>for</w:t>
      </w:r>
      <w:r>
        <w:rPr>
          <w:spacing w:val="-13"/>
          <w:sz w:val="20"/>
        </w:rPr>
        <w:t> </w:t>
      </w:r>
      <w:r>
        <w:rPr>
          <w:sz w:val="20"/>
        </w:rPr>
        <w:t>2022,</w:t>
      </w:r>
      <w:r>
        <w:rPr>
          <w:spacing w:val="-12"/>
          <w:sz w:val="20"/>
        </w:rPr>
        <w:t> </w:t>
      </w:r>
      <w:r>
        <w:rPr>
          <w:sz w:val="20"/>
        </w:rPr>
        <w:t>which was necessary to support a considerable increase in judicial activities, represented a net increase of 2.7 per cent, in comparison to the resources</w:t>
      </w:r>
      <w:r>
        <w:rPr>
          <w:spacing w:val="-1"/>
          <w:sz w:val="20"/>
        </w:rPr>
        <w:t> </w:t>
      </w:r>
      <w:r>
        <w:rPr>
          <w:sz w:val="20"/>
        </w:rPr>
        <w:t>approved for the Registry for 2018. This</w:t>
      </w:r>
      <w:r>
        <w:rPr>
          <w:spacing w:val="-6"/>
          <w:sz w:val="20"/>
        </w:rPr>
        <w:t> </w:t>
      </w:r>
      <w:r>
        <w:rPr>
          <w:sz w:val="20"/>
        </w:rPr>
        <w:t>not</w:t>
      </w:r>
      <w:r>
        <w:rPr>
          <w:spacing w:val="-3"/>
          <w:sz w:val="20"/>
        </w:rPr>
        <w:t> </w:t>
      </w:r>
      <w:r>
        <w:rPr>
          <w:sz w:val="20"/>
        </w:rPr>
        <w:t>only</w:t>
      </w:r>
      <w:r>
        <w:rPr>
          <w:spacing w:val="-5"/>
          <w:sz w:val="20"/>
        </w:rPr>
        <w:t> </w:t>
      </w:r>
      <w:r>
        <w:rPr>
          <w:sz w:val="20"/>
        </w:rPr>
        <w:t>demonstrates</w:t>
      </w:r>
      <w:r>
        <w:rPr>
          <w:spacing w:val="-11"/>
          <w:sz w:val="20"/>
        </w:rPr>
        <w:t> </w:t>
      </w:r>
      <w:r>
        <w:rPr>
          <w:sz w:val="20"/>
        </w:rPr>
        <w:t>the</w:t>
      </w:r>
      <w:r>
        <w:rPr>
          <w:spacing w:val="-8"/>
          <w:sz w:val="20"/>
        </w:rPr>
        <w:t> </w:t>
      </w:r>
      <w:r>
        <w:rPr>
          <w:sz w:val="20"/>
        </w:rPr>
        <w:t>Registry’s</w:t>
      </w:r>
      <w:r>
        <w:rPr>
          <w:spacing w:val="-6"/>
          <w:sz w:val="20"/>
        </w:rPr>
        <w:t> </w:t>
      </w:r>
      <w:r>
        <w:rPr>
          <w:sz w:val="20"/>
        </w:rPr>
        <w:t>commitment</w:t>
      </w:r>
      <w:r>
        <w:rPr>
          <w:spacing w:val="-3"/>
          <w:sz w:val="20"/>
        </w:rPr>
        <w:t> </w:t>
      </w:r>
      <w:r>
        <w:rPr>
          <w:sz w:val="20"/>
        </w:rPr>
        <w:t>to</w:t>
      </w:r>
      <w:r>
        <w:rPr>
          <w:spacing w:val="-5"/>
          <w:sz w:val="20"/>
        </w:rPr>
        <w:t> </w:t>
      </w:r>
      <w:r>
        <w:rPr>
          <w:sz w:val="20"/>
        </w:rPr>
        <w:t>request</w:t>
      </w:r>
      <w:r>
        <w:rPr>
          <w:spacing w:val="-3"/>
          <w:sz w:val="20"/>
        </w:rPr>
        <w:t> </w:t>
      </w:r>
      <w:r>
        <w:rPr>
          <w:sz w:val="20"/>
        </w:rPr>
        <w:t>only</w:t>
      </w:r>
      <w:r>
        <w:rPr>
          <w:spacing w:val="-9"/>
          <w:sz w:val="20"/>
        </w:rPr>
        <w:t> </w:t>
      </w:r>
      <w:r>
        <w:rPr>
          <w:sz w:val="20"/>
        </w:rPr>
        <w:t>the resources</w:t>
      </w:r>
      <w:r>
        <w:rPr>
          <w:spacing w:val="-11"/>
          <w:sz w:val="20"/>
        </w:rPr>
        <w:t> </w:t>
      </w:r>
      <w:r>
        <w:rPr>
          <w:sz w:val="20"/>
        </w:rPr>
        <w:t>it</w:t>
      </w:r>
      <w:r>
        <w:rPr>
          <w:spacing w:val="-3"/>
          <w:sz w:val="20"/>
        </w:rPr>
        <w:t> </w:t>
      </w:r>
      <w:r>
        <w:rPr>
          <w:sz w:val="20"/>
        </w:rPr>
        <w:t>needs to deliver on its mandate, but also serves</w:t>
      </w:r>
      <w:r>
        <w:rPr>
          <w:spacing w:val="-4"/>
          <w:sz w:val="20"/>
        </w:rPr>
        <w:t> </w:t>
      </w:r>
      <w:r>
        <w:rPr>
          <w:sz w:val="20"/>
        </w:rPr>
        <w:t>as a recognition that, in</w:t>
      </w:r>
      <w:r>
        <w:rPr>
          <w:spacing w:val="-3"/>
          <w:sz w:val="20"/>
        </w:rPr>
        <w:t> </w:t>
      </w:r>
      <w:r>
        <w:rPr>
          <w:sz w:val="20"/>
        </w:rPr>
        <w:t>the</w:t>
      </w:r>
      <w:r>
        <w:rPr>
          <w:spacing w:val="-1"/>
          <w:sz w:val="20"/>
        </w:rPr>
        <w:t> </w:t>
      </w:r>
      <w:r>
        <w:rPr>
          <w:sz w:val="20"/>
        </w:rPr>
        <w:t>current</w:t>
      </w:r>
      <w:r>
        <w:rPr>
          <w:spacing w:val="-1"/>
          <w:sz w:val="20"/>
        </w:rPr>
        <w:t> </w:t>
      </w:r>
      <w:r>
        <w:rPr>
          <w:sz w:val="20"/>
        </w:rPr>
        <w:t>circumstances, an investment is needed to ensure that the Registry can support the substantial increase in judicial, investigative and reparations activities anticipated in 2023.</w:t>
      </w:r>
    </w:p>
    <w:p>
      <w:pPr>
        <w:pStyle w:val="ListParagraph"/>
        <w:numPr>
          <w:ilvl w:val="0"/>
          <w:numId w:val="4"/>
        </w:numPr>
        <w:tabs>
          <w:tab w:pos="2967" w:val="left" w:leader="none"/>
        </w:tabs>
        <w:spacing w:line="240" w:lineRule="auto" w:before="120" w:after="0"/>
        <w:ind w:left="2246" w:right="2244" w:firstLine="0"/>
        <w:jc w:val="both"/>
        <w:rPr>
          <w:sz w:val="20"/>
        </w:rPr>
      </w:pPr>
      <w:r>
        <w:rPr>
          <w:sz w:val="20"/>
        </w:rPr>
        <w:t>The table below provides an overview of the main cost drivers for the requested increases in 2023 as well as the main reductions, savings and efficiencies. Other increases and</w:t>
      </w:r>
      <w:r>
        <w:rPr>
          <w:spacing w:val="-9"/>
          <w:sz w:val="20"/>
        </w:rPr>
        <w:t> </w:t>
      </w:r>
      <w:r>
        <w:rPr>
          <w:sz w:val="20"/>
        </w:rPr>
        <w:t>decreases</w:t>
      </w:r>
      <w:r>
        <w:rPr>
          <w:spacing w:val="-10"/>
          <w:sz w:val="20"/>
        </w:rPr>
        <w:t> </w:t>
      </w:r>
      <w:r>
        <w:rPr>
          <w:sz w:val="20"/>
        </w:rPr>
        <w:t>are</w:t>
      </w:r>
      <w:r>
        <w:rPr>
          <w:spacing w:val="-7"/>
          <w:sz w:val="20"/>
        </w:rPr>
        <w:t> </w:t>
      </w:r>
      <w:r>
        <w:rPr>
          <w:sz w:val="20"/>
        </w:rPr>
        <w:t>more</w:t>
      </w:r>
      <w:r>
        <w:rPr>
          <w:spacing w:val="-12"/>
          <w:sz w:val="20"/>
        </w:rPr>
        <w:t> </w:t>
      </w:r>
      <w:r>
        <w:rPr>
          <w:sz w:val="20"/>
        </w:rPr>
        <w:t>minor</w:t>
      </w:r>
      <w:r>
        <w:rPr>
          <w:spacing w:val="-8"/>
          <w:sz w:val="20"/>
        </w:rPr>
        <w:t> </w:t>
      </w:r>
      <w:r>
        <w:rPr>
          <w:sz w:val="20"/>
        </w:rPr>
        <w:t>and</w:t>
      </w:r>
      <w:r>
        <w:rPr>
          <w:spacing w:val="-8"/>
          <w:sz w:val="20"/>
        </w:rPr>
        <w:t> </w:t>
      </w:r>
      <w:r>
        <w:rPr>
          <w:sz w:val="20"/>
        </w:rPr>
        <w:t>have</w:t>
      </w:r>
      <w:r>
        <w:rPr>
          <w:spacing w:val="-12"/>
          <w:sz w:val="20"/>
        </w:rPr>
        <w:t> </w:t>
      </w:r>
      <w:r>
        <w:rPr>
          <w:sz w:val="20"/>
        </w:rPr>
        <w:t>the</w:t>
      </w:r>
      <w:r>
        <w:rPr>
          <w:spacing w:val="-12"/>
          <w:sz w:val="20"/>
        </w:rPr>
        <w:t> </w:t>
      </w:r>
      <w:r>
        <w:rPr>
          <w:sz w:val="20"/>
        </w:rPr>
        <w:t>effect</w:t>
      </w:r>
      <w:r>
        <w:rPr>
          <w:spacing w:val="-7"/>
          <w:sz w:val="20"/>
        </w:rPr>
        <w:t> </w:t>
      </w:r>
      <w:r>
        <w:rPr>
          <w:sz w:val="20"/>
        </w:rPr>
        <w:t>of</w:t>
      </w:r>
      <w:r>
        <w:rPr>
          <w:spacing w:val="-8"/>
          <w:sz w:val="20"/>
        </w:rPr>
        <w:t> </w:t>
      </w:r>
      <w:r>
        <w:rPr>
          <w:sz w:val="20"/>
        </w:rPr>
        <w:t>cancelling</w:t>
      </w:r>
      <w:r>
        <w:rPr>
          <w:spacing w:val="-8"/>
          <w:sz w:val="20"/>
        </w:rPr>
        <w:t> </w:t>
      </w:r>
      <w:r>
        <w:rPr>
          <w:sz w:val="20"/>
        </w:rPr>
        <w:t>each</w:t>
      </w:r>
      <w:r>
        <w:rPr>
          <w:spacing w:val="-8"/>
          <w:sz w:val="20"/>
        </w:rPr>
        <w:t> </w:t>
      </w:r>
      <w:r>
        <w:rPr>
          <w:sz w:val="20"/>
        </w:rPr>
        <w:t>other</w:t>
      </w:r>
      <w:r>
        <w:rPr>
          <w:spacing w:val="-13"/>
          <w:sz w:val="20"/>
        </w:rPr>
        <w:t> </w:t>
      </w:r>
      <w:r>
        <w:rPr>
          <w:sz w:val="20"/>
        </w:rPr>
        <w:t>out</w:t>
      </w:r>
      <w:r>
        <w:rPr>
          <w:spacing w:val="-12"/>
          <w:sz w:val="20"/>
        </w:rPr>
        <w:t> </w:t>
      </w:r>
      <w:r>
        <w:rPr>
          <w:sz w:val="20"/>
        </w:rPr>
        <w:t>for</w:t>
      </w:r>
      <w:r>
        <w:rPr>
          <w:spacing w:val="-8"/>
          <w:sz w:val="20"/>
        </w:rPr>
        <w:t> </w:t>
      </w:r>
      <w:r>
        <w:rPr>
          <w:sz w:val="20"/>
        </w:rPr>
        <w:t>the</w:t>
      </w:r>
      <w:r>
        <w:rPr>
          <w:spacing w:val="-7"/>
          <w:sz w:val="20"/>
        </w:rPr>
        <w:t> </w:t>
      </w:r>
      <w:r>
        <w:rPr>
          <w:sz w:val="20"/>
        </w:rPr>
        <w:t>purpose of the macro analysis.</w:t>
      </w:r>
    </w:p>
    <w:p>
      <w:pPr>
        <w:spacing w:after="0" w:line="240" w:lineRule="auto"/>
        <w:jc w:val="both"/>
        <w:rPr>
          <w:sz w:val="20"/>
        </w:rPr>
        <w:sectPr>
          <w:pgSz w:w="11910" w:h="16840"/>
          <w:pgMar w:header="953" w:footer="940" w:top="1140" w:bottom="1140" w:left="20" w:right="20"/>
        </w:sectPr>
      </w:pPr>
    </w:p>
    <w:p>
      <w:pPr>
        <w:pStyle w:val="Heading3"/>
        <w:spacing w:before="120"/>
        <w:ind w:right="2195"/>
      </w:pPr>
      <w:r>
        <w:rPr/>
        <w:t>Table</w:t>
      </w:r>
      <w:r>
        <w:rPr>
          <w:spacing w:val="40"/>
        </w:rPr>
        <w:t> </w:t>
      </w:r>
      <w:r>
        <w:rPr/>
        <w:t>21:</w:t>
      </w:r>
      <w:r>
        <w:rPr>
          <w:spacing w:val="40"/>
        </w:rPr>
        <w:t> </w:t>
      </w:r>
      <w:r>
        <w:rPr/>
        <w:t>Calculation</w:t>
      </w:r>
      <w:r>
        <w:rPr>
          <w:spacing w:val="40"/>
        </w:rPr>
        <w:t> </w:t>
      </w:r>
      <w:r>
        <w:rPr/>
        <w:t>of</w:t>
      </w:r>
      <w:r>
        <w:rPr>
          <w:spacing w:val="40"/>
        </w:rPr>
        <w:t> </w:t>
      </w:r>
      <w:r>
        <w:rPr/>
        <w:t>net</w:t>
      </w:r>
      <w:r>
        <w:rPr>
          <w:spacing w:val="40"/>
        </w:rPr>
        <w:t> </w:t>
      </w:r>
      <w:r>
        <w:rPr/>
        <w:t>increase</w:t>
      </w:r>
      <w:r>
        <w:rPr>
          <w:spacing w:val="40"/>
        </w:rPr>
        <w:t> </w:t>
      </w:r>
      <w:r>
        <w:rPr/>
        <w:t>based</w:t>
      </w:r>
      <w:r>
        <w:rPr>
          <w:spacing w:val="40"/>
        </w:rPr>
        <w:t> </w:t>
      </w:r>
      <w:r>
        <w:rPr/>
        <w:t>on</w:t>
      </w:r>
      <w:r>
        <w:rPr>
          <w:spacing w:val="40"/>
        </w:rPr>
        <w:t> </w:t>
      </w:r>
      <w:r>
        <w:rPr/>
        <w:t>variances</w:t>
      </w:r>
      <w:r>
        <w:rPr>
          <w:spacing w:val="40"/>
        </w:rPr>
        <w:t> </w:t>
      </w:r>
      <w:r>
        <w:rPr/>
        <w:t>in</w:t>
      </w:r>
      <w:r>
        <w:rPr>
          <w:spacing w:val="40"/>
        </w:rPr>
        <w:t> </w:t>
      </w:r>
      <w:r>
        <w:rPr/>
        <w:t>the</w:t>
      </w:r>
      <w:r>
        <w:rPr>
          <w:spacing w:val="40"/>
        </w:rPr>
        <w:t> </w:t>
      </w:r>
      <w:r>
        <w:rPr/>
        <w:t>proposed</w:t>
      </w:r>
      <w:r>
        <w:rPr>
          <w:spacing w:val="40"/>
        </w:rPr>
        <w:t> </w:t>
      </w:r>
      <w:r>
        <w:rPr/>
        <w:t>budget for 2023</w:t>
      </w:r>
    </w:p>
    <w:p>
      <w:pPr>
        <w:pStyle w:val="BodyText"/>
        <w:rPr>
          <w:b/>
          <w:sz w:val="13"/>
        </w:rPr>
      </w:pPr>
    </w:p>
    <w:tbl>
      <w:tblPr>
        <w:tblW w:w="0" w:type="auto"/>
        <w:jc w:val="left"/>
        <w:tblInd w:w="22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36"/>
        <w:gridCol w:w="1503"/>
        <w:gridCol w:w="1313"/>
        <w:gridCol w:w="1338"/>
      </w:tblGrid>
      <w:tr>
        <w:trPr>
          <w:trHeight w:val="330" w:hRule="atLeast"/>
        </w:trPr>
        <w:tc>
          <w:tcPr>
            <w:tcW w:w="3236" w:type="dxa"/>
            <w:tcBorders>
              <w:top w:val="single" w:sz="4" w:space="0" w:color="7E7E7E"/>
              <w:bottom w:val="single" w:sz="4" w:space="0" w:color="7E7E7E"/>
            </w:tcBorders>
          </w:tcPr>
          <w:p>
            <w:pPr>
              <w:pStyle w:val="TableParagraph"/>
              <w:jc w:val="left"/>
              <w:rPr>
                <w:sz w:val="18"/>
              </w:rPr>
            </w:pPr>
          </w:p>
        </w:tc>
        <w:tc>
          <w:tcPr>
            <w:tcW w:w="1503" w:type="dxa"/>
            <w:tcBorders>
              <w:top w:val="single" w:sz="4" w:space="0" w:color="7E7E7E"/>
              <w:bottom w:val="single" w:sz="4" w:space="0" w:color="7E7E7E"/>
            </w:tcBorders>
          </w:tcPr>
          <w:p>
            <w:pPr>
              <w:pStyle w:val="TableParagraph"/>
              <w:spacing w:before="62"/>
              <w:ind w:right="206"/>
              <w:rPr>
                <w:b/>
                <w:i/>
                <w:sz w:val="18"/>
              </w:rPr>
            </w:pPr>
            <w:r>
              <w:rPr>
                <w:b/>
                <w:i/>
                <w:sz w:val="18"/>
              </w:rPr>
              <w:t>Additional</w:t>
            </w:r>
            <w:r>
              <w:rPr>
                <w:b/>
                <w:i/>
                <w:spacing w:val="-2"/>
                <w:sz w:val="18"/>
              </w:rPr>
              <w:t> costs</w:t>
            </w:r>
          </w:p>
        </w:tc>
        <w:tc>
          <w:tcPr>
            <w:tcW w:w="1313" w:type="dxa"/>
            <w:tcBorders>
              <w:top w:val="single" w:sz="4" w:space="0" w:color="7E7E7E"/>
              <w:bottom w:val="single" w:sz="4" w:space="0" w:color="7E7E7E"/>
            </w:tcBorders>
          </w:tcPr>
          <w:p>
            <w:pPr>
              <w:pStyle w:val="TableParagraph"/>
              <w:spacing w:before="62"/>
              <w:ind w:right="212"/>
              <w:rPr>
                <w:b/>
                <w:i/>
                <w:sz w:val="18"/>
              </w:rPr>
            </w:pPr>
            <w:r>
              <w:rPr>
                <w:b/>
                <w:i/>
                <w:spacing w:val="-2"/>
                <w:sz w:val="18"/>
              </w:rPr>
              <w:t>Reductions</w:t>
            </w:r>
          </w:p>
        </w:tc>
        <w:tc>
          <w:tcPr>
            <w:tcW w:w="1338" w:type="dxa"/>
            <w:tcBorders>
              <w:top w:val="single" w:sz="4" w:space="0" w:color="7E7E7E"/>
              <w:bottom w:val="single" w:sz="4" w:space="0" w:color="7E7E7E"/>
            </w:tcBorders>
          </w:tcPr>
          <w:p>
            <w:pPr>
              <w:pStyle w:val="TableParagraph"/>
              <w:spacing w:before="62"/>
              <w:ind w:right="106"/>
              <w:rPr>
                <w:b/>
                <w:i/>
                <w:sz w:val="18"/>
              </w:rPr>
            </w:pPr>
            <w:r>
              <w:rPr>
                <w:b/>
                <w:i/>
                <w:sz w:val="18"/>
              </w:rPr>
              <w:t>Net </w:t>
            </w:r>
            <w:r>
              <w:rPr>
                <w:b/>
                <w:i/>
                <w:spacing w:val="-2"/>
                <w:sz w:val="18"/>
              </w:rPr>
              <w:t>Increases</w:t>
            </w:r>
          </w:p>
        </w:tc>
      </w:tr>
      <w:tr>
        <w:trPr>
          <w:trHeight w:val="330" w:hRule="atLeast"/>
        </w:trPr>
        <w:tc>
          <w:tcPr>
            <w:tcW w:w="3236" w:type="dxa"/>
            <w:tcBorders>
              <w:top w:val="single" w:sz="4" w:space="0" w:color="7E7E7E"/>
              <w:bottom w:val="single" w:sz="4" w:space="0" w:color="7E7E7E"/>
            </w:tcBorders>
          </w:tcPr>
          <w:p>
            <w:pPr>
              <w:pStyle w:val="TableParagraph"/>
              <w:spacing w:before="62"/>
              <w:ind w:left="120"/>
              <w:jc w:val="left"/>
              <w:rPr>
                <w:b/>
                <w:i/>
                <w:sz w:val="18"/>
              </w:rPr>
            </w:pPr>
            <w:r>
              <w:rPr>
                <w:b/>
                <w:i/>
                <w:sz w:val="18"/>
              </w:rPr>
              <w:t>Inflationary</w:t>
            </w:r>
            <w:r>
              <w:rPr>
                <w:b/>
                <w:i/>
                <w:spacing w:val="-5"/>
                <w:sz w:val="18"/>
              </w:rPr>
              <w:t> </w:t>
            </w:r>
            <w:r>
              <w:rPr>
                <w:b/>
                <w:i/>
                <w:spacing w:val="-2"/>
                <w:sz w:val="18"/>
              </w:rPr>
              <w:t>pressures</w:t>
            </w:r>
          </w:p>
        </w:tc>
        <w:tc>
          <w:tcPr>
            <w:tcW w:w="1503" w:type="dxa"/>
            <w:tcBorders>
              <w:top w:val="single" w:sz="4" w:space="0" w:color="7E7E7E"/>
              <w:bottom w:val="single" w:sz="4" w:space="0" w:color="7E7E7E"/>
            </w:tcBorders>
          </w:tcPr>
          <w:p>
            <w:pPr>
              <w:pStyle w:val="TableParagraph"/>
              <w:spacing w:before="62"/>
              <w:ind w:right="205"/>
              <w:rPr>
                <w:sz w:val="18"/>
              </w:rPr>
            </w:pPr>
            <w:r>
              <w:rPr>
                <w:sz w:val="18"/>
              </w:rPr>
              <w:t>€0.8</w:t>
            </w:r>
            <w:r>
              <w:rPr>
                <w:spacing w:val="-2"/>
                <w:sz w:val="18"/>
              </w:rPr>
              <w:t> million</w:t>
            </w:r>
          </w:p>
        </w:tc>
        <w:tc>
          <w:tcPr>
            <w:tcW w:w="1313" w:type="dxa"/>
            <w:tcBorders>
              <w:top w:val="single" w:sz="4" w:space="0" w:color="7E7E7E"/>
              <w:bottom w:val="single" w:sz="4" w:space="0" w:color="7E7E7E"/>
            </w:tcBorders>
          </w:tcPr>
          <w:p>
            <w:pPr>
              <w:pStyle w:val="TableParagraph"/>
              <w:spacing w:before="62"/>
              <w:ind w:right="212"/>
              <w:rPr>
                <w:sz w:val="18"/>
              </w:rPr>
            </w:pPr>
            <w:r>
              <w:rPr>
                <w:w w:val="101"/>
                <w:sz w:val="18"/>
              </w:rPr>
              <w:t>-</w:t>
            </w:r>
          </w:p>
        </w:tc>
        <w:tc>
          <w:tcPr>
            <w:tcW w:w="1338" w:type="dxa"/>
            <w:tcBorders>
              <w:top w:val="single" w:sz="4" w:space="0" w:color="7E7E7E"/>
              <w:bottom w:val="single" w:sz="4" w:space="0" w:color="7E7E7E"/>
            </w:tcBorders>
          </w:tcPr>
          <w:p>
            <w:pPr>
              <w:pStyle w:val="TableParagraph"/>
              <w:spacing w:before="62"/>
              <w:ind w:right="104"/>
              <w:rPr>
                <w:sz w:val="18"/>
              </w:rPr>
            </w:pPr>
            <w:r>
              <w:rPr>
                <w:sz w:val="18"/>
              </w:rPr>
              <w:t>€0.8</w:t>
            </w:r>
            <w:r>
              <w:rPr>
                <w:spacing w:val="-2"/>
                <w:sz w:val="18"/>
              </w:rPr>
              <w:t> million</w:t>
            </w:r>
          </w:p>
        </w:tc>
      </w:tr>
      <w:tr>
        <w:trPr>
          <w:trHeight w:val="326" w:hRule="atLeast"/>
        </w:trPr>
        <w:tc>
          <w:tcPr>
            <w:tcW w:w="3236" w:type="dxa"/>
            <w:tcBorders>
              <w:top w:val="single" w:sz="4" w:space="0" w:color="7E7E7E"/>
              <w:bottom w:val="single" w:sz="4" w:space="0" w:color="7E7E7E"/>
            </w:tcBorders>
          </w:tcPr>
          <w:p>
            <w:pPr>
              <w:pStyle w:val="TableParagraph"/>
              <w:spacing w:before="58"/>
              <w:ind w:left="120"/>
              <w:jc w:val="left"/>
              <w:rPr>
                <w:b/>
                <w:i/>
                <w:sz w:val="18"/>
              </w:rPr>
            </w:pPr>
            <w:r>
              <w:rPr>
                <w:b/>
                <w:i/>
                <w:sz w:val="18"/>
              </w:rPr>
              <w:t>UN</w:t>
            </w:r>
            <w:r>
              <w:rPr>
                <w:b/>
                <w:i/>
                <w:spacing w:val="-2"/>
                <w:sz w:val="18"/>
              </w:rPr>
              <w:t> </w:t>
            </w:r>
            <w:r>
              <w:rPr>
                <w:b/>
                <w:i/>
                <w:sz w:val="18"/>
              </w:rPr>
              <w:t>Common</w:t>
            </w:r>
            <w:r>
              <w:rPr>
                <w:b/>
                <w:i/>
                <w:spacing w:val="-5"/>
                <w:sz w:val="18"/>
              </w:rPr>
              <w:t> </w:t>
            </w:r>
            <w:r>
              <w:rPr>
                <w:b/>
                <w:i/>
                <w:sz w:val="18"/>
              </w:rPr>
              <w:t>System</w:t>
            </w:r>
            <w:r>
              <w:rPr>
                <w:b/>
                <w:i/>
                <w:spacing w:val="-2"/>
                <w:sz w:val="18"/>
              </w:rPr>
              <w:t> application</w:t>
            </w:r>
          </w:p>
        </w:tc>
        <w:tc>
          <w:tcPr>
            <w:tcW w:w="1503" w:type="dxa"/>
            <w:tcBorders>
              <w:top w:val="single" w:sz="4" w:space="0" w:color="7E7E7E"/>
              <w:bottom w:val="single" w:sz="4" w:space="0" w:color="7E7E7E"/>
            </w:tcBorders>
          </w:tcPr>
          <w:p>
            <w:pPr>
              <w:pStyle w:val="TableParagraph"/>
              <w:spacing w:before="58"/>
              <w:ind w:right="205"/>
              <w:rPr>
                <w:sz w:val="18"/>
              </w:rPr>
            </w:pPr>
            <w:r>
              <w:rPr>
                <w:sz w:val="18"/>
              </w:rPr>
              <w:t>€2.1</w:t>
            </w:r>
            <w:r>
              <w:rPr>
                <w:spacing w:val="-2"/>
                <w:sz w:val="18"/>
              </w:rPr>
              <w:t> million</w:t>
            </w:r>
          </w:p>
        </w:tc>
        <w:tc>
          <w:tcPr>
            <w:tcW w:w="1313" w:type="dxa"/>
            <w:tcBorders>
              <w:top w:val="single" w:sz="4" w:space="0" w:color="7E7E7E"/>
              <w:bottom w:val="single" w:sz="4" w:space="0" w:color="7E7E7E"/>
            </w:tcBorders>
          </w:tcPr>
          <w:p>
            <w:pPr>
              <w:pStyle w:val="TableParagraph"/>
              <w:spacing w:before="58"/>
              <w:ind w:right="212"/>
              <w:rPr>
                <w:sz w:val="18"/>
              </w:rPr>
            </w:pPr>
            <w:r>
              <w:rPr>
                <w:w w:val="101"/>
                <w:sz w:val="18"/>
              </w:rPr>
              <w:t>-</w:t>
            </w:r>
          </w:p>
        </w:tc>
        <w:tc>
          <w:tcPr>
            <w:tcW w:w="1338" w:type="dxa"/>
            <w:tcBorders>
              <w:top w:val="single" w:sz="4" w:space="0" w:color="7E7E7E"/>
              <w:bottom w:val="single" w:sz="4" w:space="0" w:color="7E7E7E"/>
            </w:tcBorders>
          </w:tcPr>
          <w:p>
            <w:pPr>
              <w:pStyle w:val="TableParagraph"/>
              <w:spacing w:before="58"/>
              <w:ind w:right="104"/>
              <w:rPr>
                <w:sz w:val="18"/>
              </w:rPr>
            </w:pPr>
            <w:r>
              <w:rPr>
                <w:sz w:val="18"/>
              </w:rPr>
              <w:t>€2.1</w:t>
            </w:r>
            <w:r>
              <w:rPr>
                <w:spacing w:val="-2"/>
                <w:sz w:val="18"/>
              </w:rPr>
              <w:t> million</w:t>
            </w:r>
          </w:p>
        </w:tc>
      </w:tr>
      <w:tr>
        <w:trPr>
          <w:trHeight w:val="330" w:hRule="atLeast"/>
        </w:trPr>
        <w:tc>
          <w:tcPr>
            <w:tcW w:w="3236" w:type="dxa"/>
            <w:tcBorders>
              <w:top w:val="single" w:sz="4" w:space="0" w:color="7E7E7E"/>
              <w:bottom w:val="single" w:sz="4" w:space="0" w:color="7E7E7E"/>
            </w:tcBorders>
          </w:tcPr>
          <w:p>
            <w:pPr>
              <w:pStyle w:val="TableParagraph"/>
              <w:spacing w:before="62"/>
              <w:ind w:left="120"/>
              <w:jc w:val="left"/>
              <w:rPr>
                <w:b/>
                <w:i/>
                <w:sz w:val="18"/>
              </w:rPr>
            </w:pPr>
            <w:r>
              <w:rPr>
                <w:b/>
                <w:i/>
                <w:sz w:val="18"/>
              </w:rPr>
              <w:t>Support</w:t>
            </w:r>
            <w:r>
              <w:rPr>
                <w:b/>
                <w:i/>
                <w:spacing w:val="-2"/>
                <w:sz w:val="18"/>
              </w:rPr>
              <w:t> </w:t>
            </w:r>
            <w:r>
              <w:rPr>
                <w:b/>
                <w:i/>
                <w:sz w:val="18"/>
              </w:rPr>
              <w:t>to</w:t>
            </w:r>
            <w:r>
              <w:rPr>
                <w:b/>
                <w:i/>
                <w:spacing w:val="-3"/>
                <w:sz w:val="18"/>
              </w:rPr>
              <w:t> </w:t>
            </w:r>
            <w:r>
              <w:rPr>
                <w:b/>
                <w:i/>
                <w:sz w:val="18"/>
              </w:rPr>
              <w:t>judicial</w:t>
            </w:r>
            <w:r>
              <w:rPr>
                <w:b/>
                <w:i/>
                <w:spacing w:val="-2"/>
                <w:sz w:val="18"/>
              </w:rPr>
              <w:t> activities</w:t>
            </w:r>
          </w:p>
        </w:tc>
        <w:tc>
          <w:tcPr>
            <w:tcW w:w="1503" w:type="dxa"/>
            <w:tcBorders>
              <w:top w:val="single" w:sz="4" w:space="0" w:color="7E7E7E"/>
              <w:bottom w:val="single" w:sz="4" w:space="0" w:color="7E7E7E"/>
            </w:tcBorders>
          </w:tcPr>
          <w:p>
            <w:pPr>
              <w:pStyle w:val="TableParagraph"/>
              <w:spacing w:before="62"/>
              <w:ind w:right="205"/>
              <w:rPr>
                <w:sz w:val="18"/>
              </w:rPr>
            </w:pPr>
            <w:r>
              <w:rPr>
                <w:sz w:val="18"/>
              </w:rPr>
              <w:t>€7.4</w:t>
            </w:r>
            <w:r>
              <w:rPr>
                <w:spacing w:val="-2"/>
                <w:sz w:val="18"/>
              </w:rPr>
              <w:t> million</w:t>
            </w:r>
          </w:p>
        </w:tc>
        <w:tc>
          <w:tcPr>
            <w:tcW w:w="1313" w:type="dxa"/>
            <w:tcBorders>
              <w:top w:val="single" w:sz="4" w:space="0" w:color="7E7E7E"/>
              <w:bottom w:val="single" w:sz="4" w:space="0" w:color="7E7E7E"/>
            </w:tcBorders>
          </w:tcPr>
          <w:p>
            <w:pPr>
              <w:pStyle w:val="TableParagraph"/>
              <w:spacing w:before="62"/>
              <w:ind w:right="212"/>
              <w:rPr>
                <w:sz w:val="18"/>
              </w:rPr>
            </w:pPr>
            <w:r>
              <w:rPr>
                <w:sz w:val="18"/>
              </w:rPr>
              <w:t>€1.5</w:t>
            </w:r>
            <w:r>
              <w:rPr>
                <w:spacing w:val="-2"/>
                <w:sz w:val="18"/>
              </w:rPr>
              <w:t> million</w:t>
            </w:r>
          </w:p>
        </w:tc>
        <w:tc>
          <w:tcPr>
            <w:tcW w:w="1338" w:type="dxa"/>
            <w:tcBorders>
              <w:top w:val="single" w:sz="4" w:space="0" w:color="7E7E7E"/>
              <w:bottom w:val="single" w:sz="4" w:space="0" w:color="7E7E7E"/>
            </w:tcBorders>
          </w:tcPr>
          <w:p>
            <w:pPr>
              <w:pStyle w:val="TableParagraph"/>
              <w:spacing w:before="62"/>
              <w:ind w:right="104"/>
              <w:rPr>
                <w:sz w:val="18"/>
              </w:rPr>
            </w:pPr>
            <w:r>
              <w:rPr>
                <w:sz w:val="18"/>
              </w:rPr>
              <w:t>€5.9</w:t>
            </w:r>
            <w:r>
              <w:rPr>
                <w:spacing w:val="-2"/>
                <w:sz w:val="18"/>
              </w:rPr>
              <w:t> million</w:t>
            </w:r>
          </w:p>
        </w:tc>
      </w:tr>
      <w:tr>
        <w:trPr>
          <w:trHeight w:val="417" w:hRule="atLeast"/>
        </w:trPr>
        <w:tc>
          <w:tcPr>
            <w:tcW w:w="3236" w:type="dxa"/>
            <w:tcBorders>
              <w:top w:val="single" w:sz="4" w:space="0" w:color="7E7E7E"/>
              <w:bottom w:val="single" w:sz="4" w:space="0" w:color="7E7E7E"/>
            </w:tcBorders>
          </w:tcPr>
          <w:p>
            <w:pPr>
              <w:pStyle w:val="TableParagraph"/>
              <w:spacing w:line="206" w:lineRule="exact"/>
              <w:ind w:left="120" w:right="84"/>
              <w:jc w:val="left"/>
              <w:rPr>
                <w:b/>
                <w:i/>
                <w:sz w:val="18"/>
              </w:rPr>
            </w:pPr>
            <w:r>
              <w:rPr>
                <w:b/>
                <w:i/>
                <w:sz w:val="18"/>
              </w:rPr>
              <w:t>Support</w:t>
            </w:r>
            <w:r>
              <w:rPr>
                <w:b/>
                <w:i/>
                <w:spacing w:val="-10"/>
                <w:sz w:val="18"/>
              </w:rPr>
              <w:t> </w:t>
            </w:r>
            <w:r>
              <w:rPr>
                <w:b/>
                <w:i/>
                <w:sz w:val="18"/>
              </w:rPr>
              <w:t>to</w:t>
            </w:r>
            <w:r>
              <w:rPr>
                <w:b/>
                <w:i/>
                <w:spacing w:val="-11"/>
                <w:sz w:val="18"/>
              </w:rPr>
              <w:t> </w:t>
            </w:r>
            <w:r>
              <w:rPr>
                <w:b/>
                <w:i/>
                <w:sz w:val="18"/>
              </w:rPr>
              <w:t>investigative</w:t>
            </w:r>
            <w:r>
              <w:rPr>
                <w:b/>
                <w:i/>
                <w:spacing w:val="-7"/>
                <w:sz w:val="18"/>
              </w:rPr>
              <w:t> </w:t>
            </w:r>
            <w:r>
              <w:rPr>
                <w:b/>
                <w:i/>
                <w:sz w:val="18"/>
              </w:rPr>
              <w:t>activities</w:t>
            </w:r>
            <w:r>
              <w:rPr>
                <w:b/>
                <w:i/>
                <w:spacing w:val="-10"/>
                <w:sz w:val="18"/>
              </w:rPr>
              <w:t> </w:t>
            </w:r>
            <w:r>
              <w:rPr>
                <w:b/>
                <w:i/>
                <w:sz w:val="18"/>
              </w:rPr>
              <w:t>and</w:t>
            </w:r>
            <w:r>
              <w:rPr>
                <w:b/>
                <w:i/>
                <w:sz w:val="18"/>
              </w:rPr>
              <w:t> field operations</w:t>
            </w:r>
          </w:p>
        </w:tc>
        <w:tc>
          <w:tcPr>
            <w:tcW w:w="1503" w:type="dxa"/>
            <w:tcBorders>
              <w:top w:val="single" w:sz="4" w:space="0" w:color="7E7E7E"/>
              <w:bottom w:val="single" w:sz="4" w:space="0" w:color="7E7E7E"/>
            </w:tcBorders>
          </w:tcPr>
          <w:p>
            <w:pPr>
              <w:pStyle w:val="TableParagraph"/>
              <w:spacing w:before="105"/>
              <w:ind w:right="205"/>
              <w:rPr>
                <w:sz w:val="18"/>
              </w:rPr>
            </w:pPr>
            <w:r>
              <w:rPr>
                <w:sz w:val="18"/>
              </w:rPr>
              <w:t>€3.1</w:t>
            </w:r>
            <w:r>
              <w:rPr>
                <w:spacing w:val="-2"/>
                <w:sz w:val="18"/>
              </w:rPr>
              <w:t> million</w:t>
            </w:r>
          </w:p>
        </w:tc>
        <w:tc>
          <w:tcPr>
            <w:tcW w:w="1313" w:type="dxa"/>
            <w:tcBorders>
              <w:top w:val="single" w:sz="4" w:space="0" w:color="7E7E7E"/>
              <w:bottom w:val="single" w:sz="4" w:space="0" w:color="7E7E7E"/>
            </w:tcBorders>
          </w:tcPr>
          <w:p>
            <w:pPr>
              <w:pStyle w:val="TableParagraph"/>
              <w:spacing w:before="105"/>
              <w:ind w:right="212"/>
              <w:rPr>
                <w:sz w:val="18"/>
              </w:rPr>
            </w:pPr>
            <w:r>
              <w:rPr>
                <w:sz w:val="18"/>
              </w:rPr>
              <w:t>€1.7</w:t>
            </w:r>
            <w:r>
              <w:rPr>
                <w:spacing w:val="-2"/>
                <w:sz w:val="18"/>
              </w:rPr>
              <w:t> million</w:t>
            </w:r>
          </w:p>
        </w:tc>
        <w:tc>
          <w:tcPr>
            <w:tcW w:w="1338" w:type="dxa"/>
            <w:tcBorders>
              <w:top w:val="single" w:sz="4" w:space="0" w:color="7E7E7E"/>
              <w:bottom w:val="single" w:sz="4" w:space="0" w:color="7E7E7E"/>
            </w:tcBorders>
          </w:tcPr>
          <w:p>
            <w:pPr>
              <w:pStyle w:val="TableParagraph"/>
              <w:spacing w:before="105"/>
              <w:ind w:right="104"/>
              <w:rPr>
                <w:sz w:val="18"/>
              </w:rPr>
            </w:pPr>
            <w:r>
              <w:rPr>
                <w:sz w:val="18"/>
              </w:rPr>
              <w:t>€1.4</w:t>
            </w:r>
            <w:r>
              <w:rPr>
                <w:spacing w:val="-2"/>
                <w:sz w:val="18"/>
              </w:rPr>
              <w:t> million</w:t>
            </w:r>
          </w:p>
        </w:tc>
      </w:tr>
      <w:tr>
        <w:trPr>
          <w:trHeight w:val="412" w:hRule="atLeast"/>
        </w:trPr>
        <w:tc>
          <w:tcPr>
            <w:tcW w:w="3236" w:type="dxa"/>
            <w:tcBorders>
              <w:top w:val="single" w:sz="4" w:space="0" w:color="7E7E7E"/>
              <w:bottom w:val="single" w:sz="4" w:space="0" w:color="7E7E7E"/>
            </w:tcBorders>
          </w:tcPr>
          <w:p>
            <w:pPr>
              <w:pStyle w:val="TableParagraph"/>
              <w:spacing w:line="206" w:lineRule="exact"/>
              <w:ind w:left="120"/>
              <w:jc w:val="left"/>
              <w:rPr>
                <w:b/>
                <w:i/>
                <w:sz w:val="18"/>
              </w:rPr>
            </w:pPr>
            <w:r>
              <w:rPr>
                <w:b/>
                <w:i/>
                <w:sz w:val="18"/>
              </w:rPr>
              <w:t>Implementation</w:t>
            </w:r>
            <w:r>
              <w:rPr>
                <w:b/>
                <w:i/>
                <w:spacing w:val="-12"/>
                <w:sz w:val="18"/>
              </w:rPr>
              <w:t> </w:t>
            </w:r>
            <w:r>
              <w:rPr>
                <w:b/>
                <w:i/>
                <w:sz w:val="18"/>
              </w:rPr>
              <w:t>of</w:t>
            </w:r>
            <w:r>
              <w:rPr>
                <w:b/>
                <w:i/>
                <w:spacing w:val="-11"/>
                <w:sz w:val="18"/>
              </w:rPr>
              <w:t> </w:t>
            </w:r>
            <w:r>
              <w:rPr>
                <w:b/>
                <w:i/>
                <w:sz w:val="18"/>
              </w:rPr>
              <w:t>administrative</w:t>
            </w:r>
            <w:r>
              <w:rPr>
                <w:b/>
                <w:i/>
                <w:spacing w:val="-11"/>
                <w:sz w:val="18"/>
              </w:rPr>
              <w:t> </w:t>
            </w:r>
            <w:r>
              <w:rPr>
                <w:b/>
                <w:i/>
                <w:sz w:val="18"/>
              </w:rPr>
              <w:t>and</w:t>
            </w:r>
            <w:r>
              <w:rPr>
                <w:b/>
                <w:i/>
                <w:sz w:val="18"/>
              </w:rPr>
              <w:t> corporate strategic priorities</w:t>
            </w:r>
          </w:p>
        </w:tc>
        <w:tc>
          <w:tcPr>
            <w:tcW w:w="1503" w:type="dxa"/>
            <w:tcBorders>
              <w:top w:val="single" w:sz="4" w:space="0" w:color="7E7E7E"/>
              <w:bottom w:val="single" w:sz="4" w:space="0" w:color="7E7E7E"/>
            </w:tcBorders>
          </w:tcPr>
          <w:p>
            <w:pPr>
              <w:pStyle w:val="TableParagraph"/>
              <w:spacing w:before="100"/>
              <w:ind w:right="205"/>
              <w:rPr>
                <w:sz w:val="18"/>
              </w:rPr>
            </w:pPr>
            <w:r>
              <w:rPr>
                <w:sz w:val="18"/>
              </w:rPr>
              <w:t>€1.6</w:t>
            </w:r>
            <w:r>
              <w:rPr>
                <w:spacing w:val="-2"/>
                <w:sz w:val="18"/>
              </w:rPr>
              <w:t> million</w:t>
            </w:r>
          </w:p>
        </w:tc>
        <w:tc>
          <w:tcPr>
            <w:tcW w:w="1313" w:type="dxa"/>
            <w:tcBorders>
              <w:top w:val="single" w:sz="4" w:space="0" w:color="7E7E7E"/>
              <w:bottom w:val="single" w:sz="4" w:space="0" w:color="7E7E7E"/>
            </w:tcBorders>
          </w:tcPr>
          <w:p>
            <w:pPr>
              <w:pStyle w:val="TableParagraph"/>
              <w:spacing w:before="100"/>
              <w:ind w:right="212"/>
              <w:rPr>
                <w:sz w:val="18"/>
              </w:rPr>
            </w:pPr>
            <w:r>
              <w:rPr>
                <w:sz w:val="18"/>
              </w:rPr>
              <w:t>€0.6</w:t>
            </w:r>
            <w:r>
              <w:rPr>
                <w:spacing w:val="-2"/>
                <w:sz w:val="18"/>
              </w:rPr>
              <w:t> million</w:t>
            </w:r>
          </w:p>
        </w:tc>
        <w:tc>
          <w:tcPr>
            <w:tcW w:w="1338" w:type="dxa"/>
            <w:tcBorders>
              <w:top w:val="single" w:sz="4" w:space="0" w:color="7E7E7E"/>
              <w:bottom w:val="single" w:sz="4" w:space="0" w:color="7E7E7E"/>
            </w:tcBorders>
          </w:tcPr>
          <w:p>
            <w:pPr>
              <w:pStyle w:val="TableParagraph"/>
              <w:spacing w:before="100"/>
              <w:ind w:right="104"/>
              <w:rPr>
                <w:sz w:val="18"/>
              </w:rPr>
            </w:pPr>
            <w:r>
              <w:rPr>
                <w:sz w:val="18"/>
              </w:rPr>
              <w:t>€1.0</w:t>
            </w:r>
            <w:r>
              <w:rPr>
                <w:spacing w:val="-2"/>
                <w:sz w:val="18"/>
              </w:rPr>
              <w:t> million</w:t>
            </w:r>
          </w:p>
        </w:tc>
      </w:tr>
      <w:tr>
        <w:trPr>
          <w:trHeight w:val="331" w:hRule="atLeast"/>
        </w:trPr>
        <w:tc>
          <w:tcPr>
            <w:tcW w:w="3236" w:type="dxa"/>
            <w:tcBorders>
              <w:top w:val="single" w:sz="4" w:space="0" w:color="7E7E7E"/>
              <w:bottom w:val="single" w:sz="4" w:space="0" w:color="7E7E7E"/>
            </w:tcBorders>
          </w:tcPr>
          <w:p>
            <w:pPr>
              <w:pStyle w:val="TableParagraph"/>
              <w:spacing w:before="62"/>
              <w:ind w:left="120"/>
              <w:jc w:val="left"/>
              <w:rPr>
                <w:b/>
                <w:i/>
                <w:sz w:val="18"/>
              </w:rPr>
            </w:pPr>
            <w:r>
              <w:rPr>
                <w:b/>
                <w:i/>
                <w:spacing w:val="-2"/>
                <w:sz w:val="18"/>
              </w:rPr>
              <w:t>Total</w:t>
            </w:r>
          </w:p>
        </w:tc>
        <w:tc>
          <w:tcPr>
            <w:tcW w:w="1503" w:type="dxa"/>
            <w:tcBorders>
              <w:top w:val="single" w:sz="4" w:space="0" w:color="7E7E7E"/>
              <w:bottom w:val="single" w:sz="4" w:space="0" w:color="7E7E7E"/>
            </w:tcBorders>
          </w:tcPr>
          <w:p>
            <w:pPr>
              <w:pStyle w:val="TableParagraph"/>
              <w:spacing w:before="62"/>
              <w:ind w:right="204"/>
              <w:rPr>
                <w:b/>
                <w:i/>
                <w:sz w:val="18"/>
              </w:rPr>
            </w:pPr>
            <w:r>
              <w:rPr>
                <w:b/>
                <w:sz w:val="18"/>
              </w:rPr>
              <w:t>€</w:t>
            </w:r>
            <w:r>
              <w:rPr>
                <w:b/>
                <w:i/>
                <w:sz w:val="18"/>
              </w:rPr>
              <w:t>14.9</w:t>
            </w:r>
            <w:r>
              <w:rPr>
                <w:b/>
                <w:i/>
                <w:spacing w:val="-1"/>
                <w:sz w:val="18"/>
              </w:rPr>
              <w:t> </w:t>
            </w:r>
            <w:r>
              <w:rPr>
                <w:b/>
                <w:i/>
                <w:spacing w:val="-2"/>
                <w:sz w:val="18"/>
              </w:rPr>
              <w:t>million</w:t>
            </w:r>
          </w:p>
        </w:tc>
        <w:tc>
          <w:tcPr>
            <w:tcW w:w="1313" w:type="dxa"/>
            <w:tcBorders>
              <w:top w:val="single" w:sz="4" w:space="0" w:color="7E7E7E"/>
              <w:bottom w:val="single" w:sz="4" w:space="0" w:color="7E7E7E"/>
            </w:tcBorders>
          </w:tcPr>
          <w:p>
            <w:pPr>
              <w:pStyle w:val="TableParagraph"/>
              <w:spacing w:before="62"/>
              <w:ind w:right="211"/>
              <w:rPr>
                <w:b/>
                <w:i/>
                <w:sz w:val="18"/>
              </w:rPr>
            </w:pPr>
            <w:r>
              <w:rPr>
                <w:b/>
                <w:i/>
                <w:sz w:val="18"/>
              </w:rPr>
              <w:t>€3.7</w:t>
            </w:r>
            <w:r>
              <w:rPr>
                <w:b/>
                <w:i/>
                <w:spacing w:val="-2"/>
                <w:sz w:val="18"/>
              </w:rPr>
              <w:t> million</w:t>
            </w:r>
          </w:p>
        </w:tc>
        <w:tc>
          <w:tcPr>
            <w:tcW w:w="1338" w:type="dxa"/>
            <w:tcBorders>
              <w:top w:val="single" w:sz="4" w:space="0" w:color="7E7E7E"/>
              <w:bottom w:val="single" w:sz="4" w:space="0" w:color="7E7E7E"/>
            </w:tcBorders>
          </w:tcPr>
          <w:p>
            <w:pPr>
              <w:pStyle w:val="TableParagraph"/>
              <w:spacing w:before="62"/>
              <w:ind w:right="103"/>
              <w:rPr>
                <w:b/>
                <w:i/>
                <w:sz w:val="18"/>
              </w:rPr>
            </w:pPr>
            <w:r>
              <w:rPr>
                <w:b/>
                <w:i/>
                <w:sz w:val="18"/>
              </w:rPr>
              <w:t>€11.2</w:t>
            </w:r>
            <w:r>
              <w:rPr>
                <w:b/>
                <w:i/>
                <w:spacing w:val="-1"/>
                <w:sz w:val="18"/>
              </w:rPr>
              <w:t> </w:t>
            </w:r>
            <w:r>
              <w:rPr>
                <w:b/>
                <w:i/>
                <w:spacing w:val="-2"/>
                <w:sz w:val="18"/>
              </w:rPr>
              <w:t>million</w:t>
            </w:r>
          </w:p>
        </w:tc>
      </w:tr>
    </w:tbl>
    <w:p>
      <w:pPr>
        <w:pStyle w:val="BodyText"/>
        <w:spacing w:before="2"/>
        <w:rPr>
          <w:b/>
          <w:sz w:val="21"/>
        </w:rPr>
      </w:pPr>
    </w:p>
    <w:p>
      <w:pPr>
        <w:spacing w:before="0"/>
        <w:ind w:left="2246" w:right="0" w:firstLine="0"/>
        <w:jc w:val="left"/>
        <w:rPr>
          <w:b/>
          <w:sz w:val="20"/>
        </w:rPr>
      </w:pPr>
      <w:r>
        <w:rPr>
          <w:b/>
          <w:spacing w:val="-2"/>
          <w:sz w:val="20"/>
        </w:rPr>
        <w:t>Conclusion</w:t>
      </w:r>
    </w:p>
    <w:p>
      <w:pPr>
        <w:pStyle w:val="BodyText"/>
        <w:spacing w:before="1"/>
        <w:rPr>
          <w:b/>
          <w:sz w:val="21"/>
        </w:rPr>
      </w:pPr>
    </w:p>
    <w:p>
      <w:pPr>
        <w:pStyle w:val="ListParagraph"/>
        <w:numPr>
          <w:ilvl w:val="0"/>
          <w:numId w:val="4"/>
        </w:numPr>
        <w:tabs>
          <w:tab w:pos="2967" w:val="left" w:leader="none"/>
        </w:tabs>
        <w:spacing w:line="237" w:lineRule="auto" w:before="0" w:after="0"/>
        <w:ind w:left="2246" w:right="2247" w:firstLine="0"/>
        <w:jc w:val="both"/>
        <w:rPr>
          <w:sz w:val="20"/>
        </w:rPr>
      </w:pPr>
      <w:r>
        <w:rPr>
          <w:sz w:val="20"/>
        </w:rPr>
        <w:t>The Registry’s proposed budget for 2023 is the result of a rigorous</w:t>
      </w:r>
      <w:r>
        <w:rPr>
          <w:spacing w:val="-1"/>
          <w:sz w:val="20"/>
        </w:rPr>
        <w:t> </w:t>
      </w:r>
      <w:r>
        <w:rPr>
          <w:sz w:val="20"/>
        </w:rPr>
        <w:t>approach, with full awareness of the difficult economic conditions faced by many of the States Parties and with deep appreciation for the financial support the Court and the Registry have received thus far.</w:t>
      </w:r>
    </w:p>
    <w:p>
      <w:pPr>
        <w:pStyle w:val="ListParagraph"/>
        <w:numPr>
          <w:ilvl w:val="0"/>
          <w:numId w:val="4"/>
        </w:numPr>
        <w:tabs>
          <w:tab w:pos="2967" w:val="left" w:leader="none"/>
        </w:tabs>
        <w:spacing w:line="240" w:lineRule="auto" w:before="125" w:after="0"/>
        <w:ind w:left="2246" w:right="2241" w:firstLine="0"/>
        <w:jc w:val="both"/>
        <w:rPr>
          <w:sz w:val="20"/>
        </w:rPr>
      </w:pPr>
      <w:r>
        <w:rPr>
          <w:sz w:val="20"/>
        </w:rPr>
        <w:t>With</w:t>
      </w:r>
      <w:r>
        <w:rPr>
          <w:spacing w:val="80"/>
          <w:sz w:val="20"/>
        </w:rPr>
        <w:t> </w:t>
      </w:r>
      <w:r>
        <w:rPr>
          <w:sz w:val="20"/>
        </w:rPr>
        <w:t>the</w:t>
      </w:r>
      <w:r>
        <w:rPr>
          <w:spacing w:val="80"/>
          <w:sz w:val="20"/>
        </w:rPr>
        <w:t> </w:t>
      </w:r>
      <w:r>
        <w:rPr>
          <w:sz w:val="20"/>
        </w:rPr>
        <w:t>total</w:t>
      </w:r>
      <w:r>
        <w:rPr>
          <w:spacing w:val="80"/>
          <w:sz w:val="20"/>
        </w:rPr>
        <w:t> </w:t>
      </w:r>
      <w:r>
        <w:rPr>
          <w:sz w:val="20"/>
        </w:rPr>
        <w:t>of</w:t>
      </w:r>
      <w:r>
        <w:rPr>
          <w:spacing w:val="80"/>
          <w:sz w:val="20"/>
        </w:rPr>
        <w:t> </w:t>
      </w:r>
      <w:r>
        <w:rPr>
          <w:sz w:val="20"/>
        </w:rPr>
        <w:t>€11.2</w:t>
      </w:r>
      <w:r>
        <w:rPr>
          <w:spacing w:val="80"/>
          <w:sz w:val="20"/>
        </w:rPr>
        <w:t> </w:t>
      </w:r>
      <w:r>
        <w:rPr>
          <w:sz w:val="20"/>
        </w:rPr>
        <w:t>million</w:t>
      </w:r>
      <w:r>
        <w:rPr>
          <w:spacing w:val="80"/>
          <w:sz w:val="20"/>
        </w:rPr>
        <w:t> </w:t>
      </w:r>
      <w:r>
        <w:rPr>
          <w:sz w:val="20"/>
        </w:rPr>
        <w:t>in</w:t>
      </w:r>
      <w:r>
        <w:rPr>
          <w:spacing w:val="80"/>
          <w:sz w:val="20"/>
        </w:rPr>
        <w:t> </w:t>
      </w:r>
      <w:r>
        <w:rPr>
          <w:sz w:val="20"/>
        </w:rPr>
        <w:t>additional</w:t>
      </w:r>
      <w:r>
        <w:rPr>
          <w:spacing w:val="80"/>
          <w:sz w:val="20"/>
        </w:rPr>
        <w:t> </w:t>
      </w:r>
      <w:r>
        <w:rPr>
          <w:sz w:val="20"/>
        </w:rPr>
        <w:t>resources</w:t>
      </w:r>
      <w:r>
        <w:rPr>
          <w:spacing w:val="80"/>
          <w:sz w:val="20"/>
        </w:rPr>
        <w:t> </w:t>
      </w:r>
      <w:r>
        <w:rPr>
          <w:sz w:val="20"/>
        </w:rPr>
        <w:t>to</w:t>
      </w:r>
      <w:r>
        <w:rPr>
          <w:spacing w:val="80"/>
          <w:sz w:val="20"/>
        </w:rPr>
        <w:t> </w:t>
      </w:r>
      <w:r>
        <w:rPr>
          <w:sz w:val="20"/>
        </w:rPr>
        <w:t>support</w:t>
      </w:r>
      <w:r>
        <w:rPr>
          <w:spacing w:val="80"/>
          <w:sz w:val="20"/>
        </w:rPr>
        <w:t> </w:t>
      </w:r>
      <w:r>
        <w:rPr>
          <w:sz w:val="20"/>
        </w:rPr>
        <w:t>five trials</w:t>
      </w:r>
      <w:r>
        <w:rPr>
          <w:spacing w:val="-1"/>
          <w:sz w:val="20"/>
        </w:rPr>
        <w:t> </w:t>
      </w:r>
      <w:r>
        <w:rPr>
          <w:sz w:val="20"/>
        </w:rPr>
        <w:t>–</w:t>
      </w:r>
      <w:r>
        <w:rPr>
          <w:spacing w:val="-4"/>
          <w:sz w:val="20"/>
        </w:rPr>
        <w:t> </w:t>
      </w:r>
      <w:r>
        <w:rPr>
          <w:sz w:val="20"/>
        </w:rPr>
        <w:t>hearings in three ongoing trials continuing at an accelerated pace – through three courtroom teams; provide legal aid for defence teams and teams of legal representatives of victims; support victim-related activities and OTP investigations in ten (10) situations, including in new situation countries;</w:t>
      </w:r>
      <w:r>
        <w:rPr>
          <w:spacing w:val="-3"/>
          <w:sz w:val="20"/>
        </w:rPr>
        <w:t> </w:t>
      </w:r>
      <w:r>
        <w:rPr>
          <w:sz w:val="20"/>
        </w:rPr>
        <w:t>and facilitate</w:t>
      </w:r>
      <w:r>
        <w:rPr>
          <w:spacing w:val="-3"/>
          <w:sz w:val="20"/>
        </w:rPr>
        <w:t> </w:t>
      </w:r>
      <w:r>
        <w:rPr>
          <w:sz w:val="20"/>
        </w:rPr>
        <w:t>two important Court-wide initiatives, the Registry</w:t>
      </w:r>
      <w:r>
        <w:rPr>
          <w:spacing w:val="-10"/>
          <w:sz w:val="20"/>
        </w:rPr>
        <w:t> </w:t>
      </w:r>
      <w:r>
        <w:rPr>
          <w:sz w:val="20"/>
        </w:rPr>
        <w:t>has</w:t>
      </w:r>
      <w:r>
        <w:rPr>
          <w:spacing w:val="-10"/>
          <w:sz w:val="20"/>
        </w:rPr>
        <w:t> </w:t>
      </w:r>
      <w:r>
        <w:rPr>
          <w:sz w:val="20"/>
        </w:rPr>
        <w:t>nonetheless</w:t>
      </w:r>
      <w:r>
        <w:rPr>
          <w:spacing w:val="-14"/>
          <w:sz w:val="20"/>
        </w:rPr>
        <w:t> </w:t>
      </w:r>
      <w:r>
        <w:rPr>
          <w:sz w:val="20"/>
        </w:rPr>
        <w:t>managed</w:t>
      </w:r>
      <w:r>
        <w:rPr>
          <w:spacing w:val="-8"/>
          <w:sz w:val="20"/>
        </w:rPr>
        <w:t> </w:t>
      </w:r>
      <w:r>
        <w:rPr>
          <w:sz w:val="20"/>
        </w:rPr>
        <w:t>to</w:t>
      </w:r>
      <w:r>
        <w:rPr>
          <w:spacing w:val="-8"/>
          <w:sz w:val="20"/>
        </w:rPr>
        <w:t> </w:t>
      </w:r>
      <w:r>
        <w:rPr>
          <w:sz w:val="20"/>
        </w:rPr>
        <w:t>significantly</w:t>
      </w:r>
      <w:r>
        <w:rPr>
          <w:spacing w:val="-8"/>
          <w:sz w:val="20"/>
        </w:rPr>
        <w:t> </w:t>
      </w:r>
      <w:r>
        <w:rPr>
          <w:sz w:val="20"/>
        </w:rPr>
        <w:t>reduce</w:t>
      </w:r>
      <w:r>
        <w:rPr>
          <w:spacing w:val="-11"/>
          <w:sz w:val="20"/>
        </w:rPr>
        <w:t> </w:t>
      </w:r>
      <w:r>
        <w:rPr>
          <w:sz w:val="20"/>
        </w:rPr>
        <w:t>the</w:t>
      </w:r>
      <w:r>
        <w:rPr>
          <w:spacing w:val="-11"/>
          <w:sz w:val="20"/>
        </w:rPr>
        <w:t> </w:t>
      </w:r>
      <w:r>
        <w:rPr>
          <w:sz w:val="20"/>
        </w:rPr>
        <w:t>total</w:t>
      </w:r>
      <w:r>
        <w:rPr>
          <w:spacing w:val="-7"/>
          <w:sz w:val="20"/>
        </w:rPr>
        <w:t> </w:t>
      </w:r>
      <w:r>
        <w:rPr>
          <w:sz w:val="20"/>
        </w:rPr>
        <w:t>increase</w:t>
      </w:r>
      <w:r>
        <w:rPr>
          <w:spacing w:val="-7"/>
          <w:sz w:val="20"/>
        </w:rPr>
        <w:t> </w:t>
      </w:r>
      <w:r>
        <w:rPr>
          <w:sz w:val="20"/>
        </w:rPr>
        <w:t>by</w:t>
      </w:r>
      <w:r>
        <w:rPr>
          <w:spacing w:val="-13"/>
          <w:sz w:val="20"/>
        </w:rPr>
        <w:t> </w:t>
      </w:r>
      <w:r>
        <w:rPr>
          <w:sz w:val="20"/>
        </w:rPr>
        <w:t>approximately</w:t>
      </w:r>
    </w:p>
    <w:p>
      <w:pPr>
        <w:pStyle w:val="BodyText"/>
        <w:spacing w:before="2"/>
        <w:ind w:left="2246" w:right="2245"/>
        <w:jc w:val="both"/>
      </w:pPr>
      <w:r>
        <w:rPr/>
        <w:t>€3.7</w:t>
      </w:r>
      <w:r>
        <w:rPr>
          <w:spacing w:val="-4"/>
        </w:rPr>
        <w:t> </w:t>
      </w:r>
      <w:r>
        <w:rPr/>
        <w:t>million, thanks</w:t>
      </w:r>
      <w:r>
        <w:rPr>
          <w:spacing w:val="-5"/>
        </w:rPr>
        <w:t> </w:t>
      </w:r>
      <w:r>
        <w:rPr/>
        <w:t>to</w:t>
      </w:r>
      <w:r>
        <w:rPr>
          <w:spacing w:val="-4"/>
        </w:rPr>
        <w:t> </w:t>
      </w:r>
      <w:r>
        <w:rPr/>
        <w:t>its</w:t>
      </w:r>
      <w:r>
        <w:rPr>
          <w:spacing w:val="-5"/>
        </w:rPr>
        <w:t> </w:t>
      </w:r>
      <w:r>
        <w:rPr/>
        <w:t>considerable</w:t>
      </w:r>
      <w:r>
        <w:rPr>
          <w:spacing w:val="-2"/>
        </w:rPr>
        <w:t> </w:t>
      </w:r>
      <w:r>
        <w:rPr/>
        <w:t>efforts to</w:t>
      </w:r>
      <w:r>
        <w:rPr>
          <w:spacing w:val="-4"/>
        </w:rPr>
        <w:t> </w:t>
      </w:r>
      <w:r>
        <w:rPr/>
        <w:t>find reductions, savings</w:t>
      </w:r>
      <w:r>
        <w:rPr>
          <w:spacing w:val="-5"/>
        </w:rPr>
        <w:t> </w:t>
      </w:r>
      <w:r>
        <w:rPr/>
        <w:t>and</w:t>
      </w:r>
      <w:r>
        <w:rPr>
          <w:spacing w:val="-4"/>
        </w:rPr>
        <w:t> </w:t>
      </w:r>
      <w:r>
        <w:rPr/>
        <w:t>efficiencies in its continuous aim for budgetary self-discipline.</w:t>
      </w:r>
    </w:p>
    <w:p>
      <w:pPr>
        <w:spacing w:after="0"/>
        <w:jc w:val="both"/>
        <w:sectPr>
          <w:pgSz w:w="11910" w:h="16840"/>
          <w:pgMar w:header="957" w:footer="940" w:top="1140" w:bottom="1140" w:left="20" w:right="20"/>
        </w:sectPr>
      </w:pPr>
    </w:p>
    <w:p>
      <w:pPr>
        <w:pStyle w:val="BodyText"/>
        <w:spacing w:line="20" w:lineRule="exact"/>
        <w:ind w:left="1084"/>
        <w:rPr>
          <w:sz w:val="2"/>
        </w:rPr>
      </w:pPr>
      <w:r>
        <w:rPr>
          <w:sz w:val="2"/>
        </w:rPr>
        <w:pict>
          <v:group style="width:485pt;height:.25pt;mso-position-horizontal-relative:char;mso-position-vertical-relative:line" id="docshapegroup209" coordorigin="0,0" coordsize="9700,5">
            <v:rect style="position:absolute;left:0;top:0;width:9700;height:5" id="docshape210" filled="true" fillcolor="#000000" stroked="false">
              <v:fill type="solid"/>
            </v:rect>
          </v:group>
        </w:pict>
      </w:r>
      <w:r>
        <w:rPr>
          <w:sz w:val="2"/>
        </w:rPr>
      </w:r>
    </w:p>
    <w:p>
      <w:pPr>
        <w:spacing w:before="104"/>
        <w:ind w:left="2246" w:right="0" w:firstLine="0"/>
        <w:jc w:val="left"/>
        <w:rPr>
          <w:b/>
          <w:sz w:val="20"/>
        </w:rPr>
      </w:pPr>
      <w:r>
        <w:rPr>
          <w:b/>
          <w:sz w:val="20"/>
        </w:rPr>
        <w:t>Table</w:t>
      </w:r>
      <w:r>
        <w:rPr>
          <w:b/>
          <w:spacing w:val="-6"/>
          <w:sz w:val="20"/>
        </w:rPr>
        <w:t> </w:t>
      </w:r>
      <w:r>
        <w:rPr>
          <w:b/>
          <w:sz w:val="20"/>
        </w:rPr>
        <w:t>22:</w:t>
      </w:r>
      <w:r>
        <w:rPr>
          <w:b/>
          <w:spacing w:val="-7"/>
          <w:sz w:val="20"/>
        </w:rPr>
        <w:t> </w:t>
      </w:r>
      <w:r>
        <w:rPr>
          <w:b/>
          <w:sz w:val="20"/>
        </w:rPr>
        <w:t>Major</w:t>
      </w:r>
      <w:r>
        <w:rPr>
          <w:b/>
          <w:spacing w:val="-9"/>
          <w:sz w:val="20"/>
        </w:rPr>
        <w:t> </w:t>
      </w:r>
      <w:r>
        <w:rPr>
          <w:b/>
          <w:sz w:val="20"/>
        </w:rPr>
        <w:t>Programme</w:t>
      </w:r>
      <w:r>
        <w:rPr>
          <w:b/>
          <w:spacing w:val="-6"/>
          <w:sz w:val="20"/>
        </w:rPr>
        <w:t> </w:t>
      </w:r>
      <w:r>
        <w:rPr>
          <w:b/>
          <w:sz w:val="20"/>
        </w:rPr>
        <w:t>III:</w:t>
      </w:r>
      <w:r>
        <w:rPr>
          <w:b/>
          <w:spacing w:val="-2"/>
          <w:sz w:val="20"/>
        </w:rPr>
        <w:t> </w:t>
      </w:r>
      <w:r>
        <w:rPr>
          <w:b/>
          <w:sz w:val="20"/>
        </w:rPr>
        <w:t>Proposed</w:t>
      </w:r>
      <w:r>
        <w:rPr>
          <w:b/>
          <w:spacing w:val="-8"/>
          <w:sz w:val="20"/>
        </w:rPr>
        <w:t> </w:t>
      </w:r>
      <w:r>
        <w:rPr>
          <w:b/>
          <w:sz w:val="20"/>
        </w:rPr>
        <w:t>budget</w:t>
      </w:r>
      <w:r>
        <w:rPr>
          <w:b/>
          <w:spacing w:val="-7"/>
          <w:sz w:val="20"/>
        </w:rPr>
        <w:t> </w:t>
      </w:r>
      <w:r>
        <w:rPr>
          <w:b/>
          <w:sz w:val="20"/>
        </w:rPr>
        <w:t>for </w:t>
      </w:r>
      <w:r>
        <w:rPr>
          <w:b/>
          <w:spacing w:val="-4"/>
          <w:sz w:val="20"/>
        </w:rPr>
        <w:t>2023</w:t>
      </w:r>
    </w:p>
    <w:tbl>
      <w:tblPr>
        <w:tblW w:w="0" w:type="auto"/>
        <w:jc w:val="left"/>
        <w:tblInd w:w="1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75"/>
        <w:gridCol w:w="1216"/>
        <w:gridCol w:w="826"/>
        <w:gridCol w:w="1128"/>
        <w:gridCol w:w="1079"/>
        <w:gridCol w:w="1130"/>
        <w:gridCol w:w="742"/>
        <w:gridCol w:w="1054"/>
      </w:tblGrid>
      <w:tr>
        <w:trPr>
          <w:trHeight w:val="310" w:hRule="atLeast"/>
        </w:trPr>
        <w:tc>
          <w:tcPr>
            <w:tcW w:w="5645" w:type="dxa"/>
            <w:gridSpan w:val="4"/>
            <w:tcBorders>
              <w:top w:val="single" w:sz="4" w:space="0" w:color="000000"/>
            </w:tcBorders>
          </w:tcPr>
          <w:p>
            <w:pPr>
              <w:pStyle w:val="TableParagraph"/>
              <w:tabs>
                <w:tab w:pos="2782" w:val="left" w:leader="none"/>
                <w:tab w:pos="5644" w:val="left" w:leader="none"/>
              </w:tabs>
              <w:spacing w:line="180" w:lineRule="exact" w:before="110"/>
              <w:ind w:left="2475"/>
              <w:jc w:val="left"/>
              <w:rPr>
                <w:sz w:val="16"/>
              </w:rPr>
            </w:pPr>
            <w:r>
              <w:rPr>
                <w:sz w:val="16"/>
                <w:u w:val="single"/>
              </w:rPr>
              <w:tab/>
              <w:t>2021</w:t>
            </w:r>
            <w:r>
              <w:rPr>
                <w:spacing w:val="-3"/>
                <w:sz w:val="16"/>
                <w:u w:val="single"/>
              </w:rPr>
              <w:t> </w:t>
            </w:r>
            <w:r>
              <w:rPr>
                <w:sz w:val="16"/>
                <w:u w:val="single"/>
              </w:rPr>
              <w:t>Expenditures</w:t>
            </w:r>
            <w:r>
              <w:rPr>
                <w:spacing w:val="-4"/>
                <w:sz w:val="16"/>
                <w:u w:val="single"/>
              </w:rPr>
              <w:t> </w:t>
            </w:r>
            <w:r>
              <w:rPr>
                <w:sz w:val="16"/>
                <w:u w:val="single"/>
              </w:rPr>
              <w:t>(thousands</w:t>
            </w:r>
            <w:r>
              <w:rPr>
                <w:spacing w:val="-4"/>
                <w:sz w:val="16"/>
                <w:u w:val="single"/>
              </w:rPr>
              <w:t> </w:t>
            </w:r>
            <w:r>
              <w:rPr>
                <w:sz w:val="16"/>
                <w:u w:val="single"/>
              </w:rPr>
              <w:t>of</w:t>
            </w:r>
            <w:r>
              <w:rPr>
                <w:spacing w:val="-4"/>
                <w:sz w:val="16"/>
                <w:u w:val="single"/>
              </w:rPr>
              <w:t> </w:t>
            </w:r>
            <w:r>
              <w:rPr>
                <w:spacing w:val="-2"/>
                <w:sz w:val="16"/>
                <w:u w:val="single"/>
              </w:rPr>
              <w:t>euros)</w:t>
            </w:r>
            <w:r>
              <w:rPr>
                <w:sz w:val="16"/>
                <w:u w:val="single"/>
              </w:rPr>
              <w:tab/>
            </w:r>
          </w:p>
        </w:tc>
        <w:tc>
          <w:tcPr>
            <w:tcW w:w="1079" w:type="dxa"/>
            <w:vMerge w:val="restart"/>
            <w:tcBorders>
              <w:top w:val="single" w:sz="4" w:space="0" w:color="000000"/>
              <w:bottom w:val="single" w:sz="12" w:space="0" w:color="000000"/>
            </w:tcBorders>
          </w:tcPr>
          <w:p>
            <w:pPr>
              <w:pStyle w:val="TableParagraph"/>
              <w:spacing w:line="183" w:lineRule="exact" w:before="139"/>
              <w:ind w:left="228" w:right="175"/>
              <w:jc w:val="center"/>
              <w:rPr>
                <w:sz w:val="16"/>
              </w:rPr>
            </w:pPr>
            <w:r>
              <w:rPr>
                <w:spacing w:val="-4"/>
                <w:sz w:val="16"/>
              </w:rPr>
              <w:t>2022</w:t>
            </w:r>
          </w:p>
          <w:p>
            <w:pPr>
              <w:pStyle w:val="TableParagraph"/>
              <w:spacing w:line="183" w:lineRule="exact"/>
              <w:ind w:left="228" w:right="179"/>
              <w:jc w:val="center"/>
              <w:rPr>
                <w:sz w:val="16"/>
              </w:rPr>
            </w:pPr>
            <w:r>
              <w:rPr>
                <w:spacing w:val="-2"/>
                <w:sz w:val="16"/>
              </w:rPr>
              <w:t>Approved</w:t>
            </w:r>
          </w:p>
          <w:p>
            <w:pPr>
              <w:pStyle w:val="TableParagraph"/>
              <w:spacing w:line="171" w:lineRule="exact" w:before="3"/>
              <w:ind w:left="228" w:right="170"/>
              <w:jc w:val="center"/>
              <w:rPr>
                <w:sz w:val="16"/>
              </w:rPr>
            </w:pPr>
            <w:r>
              <w:rPr>
                <w:spacing w:val="-2"/>
                <w:sz w:val="16"/>
              </w:rPr>
              <w:t>Budget</w:t>
            </w:r>
          </w:p>
        </w:tc>
        <w:tc>
          <w:tcPr>
            <w:tcW w:w="1872" w:type="dxa"/>
            <w:gridSpan w:val="2"/>
            <w:tcBorders>
              <w:top w:val="single" w:sz="4" w:space="0" w:color="000000"/>
            </w:tcBorders>
          </w:tcPr>
          <w:p>
            <w:pPr>
              <w:pStyle w:val="TableParagraph"/>
              <w:tabs>
                <w:tab w:pos="327" w:val="left" w:leader="none"/>
                <w:tab w:pos="1796" w:val="left" w:leader="none"/>
              </w:tabs>
              <w:spacing w:line="180" w:lineRule="exact" w:before="110"/>
              <w:ind w:left="54"/>
              <w:jc w:val="left"/>
              <w:rPr>
                <w:sz w:val="16"/>
              </w:rPr>
            </w:pPr>
            <w:r>
              <w:rPr>
                <w:sz w:val="16"/>
                <w:u w:val="single"/>
              </w:rPr>
              <w:tab/>
              <w:t>Resource</w:t>
            </w:r>
            <w:r>
              <w:rPr>
                <w:spacing w:val="-2"/>
                <w:sz w:val="16"/>
                <w:u w:val="single"/>
              </w:rPr>
              <w:t> Changes</w:t>
            </w:r>
            <w:r>
              <w:rPr>
                <w:sz w:val="16"/>
                <w:u w:val="single"/>
              </w:rPr>
              <w:tab/>
            </w:r>
          </w:p>
        </w:tc>
        <w:tc>
          <w:tcPr>
            <w:tcW w:w="1054" w:type="dxa"/>
            <w:tcBorders>
              <w:top w:val="single" w:sz="4" w:space="0" w:color="000000"/>
            </w:tcBorders>
          </w:tcPr>
          <w:p>
            <w:pPr>
              <w:pStyle w:val="TableParagraph"/>
              <w:jc w:val="left"/>
              <w:rPr>
                <w:sz w:val="14"/>
              </w:rPr>
            </w:pPr>
          </w:p>
        </w:tc>
      </w:tr>
      <w:tr>
        <w:trPr>
          <w:trHeight w:val="359" w:hRule="atLeast"/>
        </w:trPr>
        <w:tc>
          <w:tcPr>
            <w:tcW w:w="2475" w:type="dxa"/>
            <w:tcBorders>
              <w:bottom w:val="single" w:sz="12" w:space="0" w:color="000000"/>
            </w:tcBorders>
          </w:tcPr>
          <w:p>
            <w:pPr>
              <w:pStyle w:val="TableParagraph"/>
              <w:spacing w:line="165" w:lineRule="exact"/>
              <w:ind w:left="117"/>
              <w:jc w:val="left"/>
              <w:rPr>
                <w:b/>
                <w:sz w:val="16"/>
              </w:rPr>
            </w:pPr>
            <w:r>
              <w:rPr>
                <w:b/>
                <w:sz w:val="16"/>
              </w:rPr>
              <w:t>Major</w:t>
            </w:r>
            <w:r>
              <w:rPr>
                <w:b/>
                <w:spacing w:val="-3"/>
                <w:sz w:val="16"/>
              </w:rPr>
              <w:t> </w:t>
            </w:r>
            <w:r>
              <w:rPr>
                <w:b/>
                <w:sz w:val="16"/>
              </w:rPr>
              <w:t>Programme </w:t>
            </w:r>
            <w:r>
              <w:rPr>
                <w:b/>
                <w:spacing w:val="-5"/>
                <w:sz w:val="16"/>
              </w:rPr>
              <w:t>III</w:t>
            </w:r>
          </w:p>
          <w:p>
            <w:pPr>
              <w:pStyle w:val="TableParagraph"/>
              <w:spacing w:line="171" w:lineRule="exact" w:before="3"/>
              <w:ind w:left="117"/>
              <w:jc w:val="left"/>
              <w:rPr>
                <w:b/>
                <w:sz w:val="16"/>
              </w:rPr>
            </w:pPr>
            <w:r>
              <w:rPr>
                <w:b/>
                <w:spacing w:val="-2"/>
                <w:sz w:val="16"/>
              </w:rPr>
              <w:t>Registry</w:t>
            </w:r>
          </w:p>
        </w:tc>
        <w:tc>
          <w:tcPr>
            <w:tcW w:w="1216" w:type="dxa"/>
            <w:tcBorders>
              <w:bottom w:val="single" w:sz="12" w:space="0" w:color="000000"/>
            </w:tcBorders>
          </w:tcPr>
          <w:p>
            <w:pPr>
              <w:pStyle w:val="TableParagraph"/>
              <w:spacing w:before="7"/>
              <w:jc w:val="left"/>
              <w:rPr>
                <w:b/>
                <w:sz w:val="14"/>
              </w:rPr>
            </w:pPr>
          </w:p>
          <w:p>
            <w:pPr>
              <w:pStyle w:val="TableParagraph"/>
              <w:spacing w:line="171" w:lineRule="exact"/>
              <w:ind w:left="393"/>
              <w:jc w:val="left"/>
              <w:rPr>
                <w:sz w:val="16"/>
              </w:rPr>
            </w:pPr>
            <w:r>
              <w:rPr>
                <w:spacing w:val="-2"/>
                <w:sz w:val="16"/>
              </w:rPr>
              <w:t>Total</w:t>
            </w:r>
          </w:p>
        </w:tc>
        <w:tc>
          <w:tcPr>
            <w:tcW w:w="826" w:type="dxa"/>
            <w:tcBorders>
              <w:bottom w:val="single" w:sz="12" w:space="0" w:color="000000"/>
            </w:tcBorders>
          </w:tcPr>
          <w:p>
            <w:pPr>
              <w:pStyle w:val="TableParagraph"/>
              <w:spacing w:line="165" w:lineRule="exact"/>
              <w:ind w:left="191"/>
              <w:jc w:val="left"/>
              <w:rPr>
                <w:sz w:val="16"/>
              </w:rPr>
            </w:pPr>
            <w:r>
              <w:rPr>
                <w:spacing w:val="-2"/>
                <w:sz w:val="16"/>
              </w:rPr>
              <w:t>Cont.</w:t>
            </w:r>
          </w:p>
          <w:p>
            <w:pPr>
              <w:pStyle w:val="TableParagraph"/>
              <w:spacing w:line="171" w:lineRule="exact" w:before="3"/>
              <w:ind w:left="200"/>
              <w:jc w:val="left"/>
              <w:rPr>
                <w:sz w:val="16"/>
              </w:rPr>
            </w:pPr>
            <w:r>
              <w:rPr>
                <w:spacing w:val="-4"/>
                <w:sz w:val="16"/>
              </w:rPr>
              <w:t>Fund</w:t>
            </w:r>
          </w:p>
        </w:tc>
        <w:tc>
          <w:tcPr>
            <w:tcW w:w="1128" w:type="dxa"/>
            <w:tcBorders>
              <w:bottom w:val="single" w:sz="12" w:space="0" w:color="000000"/>
            </w:tcBorders>
          </w:tcPr>
          <w:p>
            <w:pPr>
              <w:pStyle w:val="TableParagraph"/>
              <w:spacing w:before="7"/>
              <w:jc w:val="left"/>
              <w:rPr>
                <w:b/>
                <w:sz w:val="14"/>
              </w:rPr>
            </w:pPr>
          </w:p>
          <w:p>
            <w:pPr>
              <w:pStyle w:val="TableParagraph"/>
              <w:spacing w:line="171" w:lineRule="exact"/>
              <w:ind w:right="117"/>
              <w:rPr>
                <w:sz w:val="16"/>
              </w:rPr>
            </w:pPr>
            <w:r>
              <w:rPr>
                <w:sz w:val="16"/>
              </w:rPr>
              <w:t>Total</w:t>
            </w:r>
            <w:r>
              <w:rPr>
                <w:spacing w:val="-7"/>
                <w:sz w:val="16"/>
              </w:rPr>
              <w:t> </w:t>
            </w:r>
            <w:r>
              <w:rPr>
                <w:sz w:val="16"/>
              </w:rPr>
              <w:t>Incl.</w:t>
            </w:r>
            <w:r>
              <w:rPr>
                <w:spacing w:val="-6"/>
                <w:sz w:val="16"/>
              </w:rPr>
              <w:t> </w:t>
            </w:r>
            <w:r>
              <w:rPr>
                <w:spacing w:val="-5"/>
                <w:sz w:val="16"/>
              </w:rPr>
              <w:t>CF</w:t>
            </w:r>
          </w:p>
        </w:tc>
        <w:tc>
          <w:tcPr>
            <w:tcW w:w="1079" w:type="dxa"/>
            <w:vMerge/>
            <w:tcBorders>
              <w:top w:val="nil"/>
              <w:bottom w:val="single" w:sz="12" w:space="0" w:color="000000"/>
            </w:tcBorders>
          </w:tcPr>
          <w:p>
            <w:pPr>
              <w:rPr>
                <w:sz w:val="2"/>
                <w:szCs w:val="2"/>
              </w:rPr>
            </w:pPr>
          </w:p>
        </w:tc>
        <w:tc>
          <w:tcPr>
            <w:tcW w:w="1130" w:type="dxa"/>
            <w:tcBorders>
              <w:bottom w:val="single" w:sz="12" w:space="0" w:color="000000"/>
            </w:tcBorders>
          </w:tcPr>
          <w:p>
            <w:pPr>
              <w:pStyle w:val="TableParagraph"/>
              <w:spacing w:before="7"/>
              <w:jc w:val="left"/>
              <w:rPr>
                <w:b/>
                <w:sz w:val="14"/>
              </w:rPr>
            </w:pPr>
          </w:p>
          <w:p>
            <w:pPr>
              <w:pStyle w:val="TableParagraph"/>
              <w:spacing w:line="171" w:lineRule="exact"/>
              <w:ind w:right="195"/>
              <w:rPr>
                <w:sz w:val="16"/>
              </w:rPr>
            </w:pPr>
            <w:r>
              <w:rPr>
                <w:spacing w:val="-2"/>
                <w:sz w:val="16"/>
              </w:rPr>
              <w:t>Amount</w:t>
            </w:r>
          </w:p>
        </w:tc>
        <w:tc>
          <w:tcPr>
            <w:tcW w:w="742" w:type="dxa"/>
            <w:tcBorders>
              <w:bottom w:val="single" w:sz="12" w:space="0" w:color="000000"/>
            </w:tcBorders>
          </w:tcPr>
          <w:p>
            <w:pPr>
              <w:pStyle w:val="TableParagraph"/>
              <w:spacing w:before="7"/>
              <w:jc w:val="left"/>
              <w:rPr>
                <w:b/>
                <w:sz w:val="14"/>
              </w:rPr>
            </w:pPr>
          </w:p>
          <w:p>
            <w:pPr>
              <w:pStyle w:val="TableParagraph"/>
              <w:spacing w:line="171" w:lineRule="exact"/>
              <w:ind w:right="185"/>
              <w:rPr>
                <w:sz w:val="16"/>
              </w:rPr>
            </w:pPr>
            <w:r>
              <w:rPr>
                <w:w w:val="98"/>
                <w:sz w:val="16"/>
              </w:rPr>
              <w:t>%</w:t>
            </w:r>
          </w:p>
        </w:tc>
        <w:tc>
          <w:tcPr>
            <w:tcW w:w="1054" w:type="dxa"/>
            <w:tcBorders>
              <w:bottom w:val="single" w:sz="12" w:space="0" w:color="000000"/>
            </w:tcBorders>
          </w:tcPr>
          <w:p>
            <w:pPr>
              <w:pStyle w:val="TableParagraph"/>
              <w:spacing w:line="165" w:lineRule="exact"/>
              <w:ind w:left="52" w:right="139"/>
              <w:jc w:val="center"/>
              <w:rPr>
                <w:sz w:val="16"/>
              </w:rPr>
            </w:pPr>
            <w:r>
              <w:rPr>
                <w:spacing w:val="-2"/>
                <w:sz w:val="16"/>
              </w:rPr>
              <w:t>Proposed</w:t>
            </w:r>
          </w:p>
          <w:p>
            <w:pPr>
              <w:pStyle w:val="TableParagraph"/>
              <w:spacing w:line="171" w:lineRule="exact" w:before="3"/>
              <w:ind w:left="60" w:right="139"/>
              <w:jc w:val="center"/>
              <w:rPr>
                <w:sz w:val="16"/>
              </w:rPr>
            </w:pPr>
            <w:r>
              <w:rPr>
                <w:sz w:val="16"/>
              </w:rPr>
              <w:t>2023</w:t>
            </w:r>
            <w:r>
              <w:rPr>
                <w:spacing w:val="2"/>
                <w:sz w:val="16"/>
              </w:rPr>
              <w:t> </w:t>
            </w:r>
            <w:r>
              <w:rPr>
                <w:spacing w:val="-2"/>
                <w:sz w:val="16"/>
              </w:rPr>
              <w:t>Budget</w:t>
            </w:r>
          </w:p>
        </w:tc>
      </w:tr>
      <w:tr>
        <w:trPr>
          <w:trHeight w:val="231" w:hRule="atLeast"/>
        </w:trPr>
        <w:tc>
          <w:tcPr>
            <w:tcW w:w="2475" w:type="dxa"/>
            <w:tcBorders>
              <w:top w:val="single" w:sz="12" w:space="0" w:color="000000"/>
            </w:tcBorders>
          </w:tcPr>
          <w:p>
            <w:pPr>
              <w:pStyle w:val="TableParagraph"/>
              <w:spacing w:before="13"/>
              <w:ind w:left="117"/>
              <w:jc w:val="left"/>
              <w:rPr>
                <w:sz w:val="16"/>
              </w:rPr>
            </w:pPr>
            <w:r>
              <w:rPr>
                <w:w w:val="95"/>
                <w:sz w:val="16"/>
              </w:rPr>
              <w:t>Professional</w:t>
            </w:r>
            <w:r>
              <w:rPr>
                <w:spacing w:val="28"/>
                <w:sz w:val="16"/>
              </w:rPr>
              <w:t> </w:t>
            </w:r>
            <w:r>
              <w:rPr>
                <w:spacing w:val="-2"/>
                <w:sz w:val="16"/>
              </w:rPr>
              <w:t>staff</w:t>
            </w:r>
          </w:p>
        </w:tc>
        <w:tc>
          <w:tcPr>
            <w:tcW w:w="1216" w:type="dxa"/>
            <w:tcBorders>
              <w:top w:val="single" w:sz="12" w:space="0" w:color="000000"/>
            </w:tcBorders>
            <w:shd w:val="clear" w:color="auto" w:fill="D9D9D9"/>
          </w:tcPr>
          <w:p>
            <w:pPr>
              <w:pStyle w:val="TableParagraph"/>
              <w:jc w:val="left"/>
              <w:rPr>
                <w:sz w:val="14"/>
              </w:rPr>
            </w:pPr>
          </w:p>
        </w:tc>
        <w:tc>
          <w:tcPr>
            <w:tcW w:w="826" w:type="dxa"/>
            <w:tcBorders>
              <w:top w:val="single" w:sz="12" w:space="0" w:color="000000"/>
            </w:tcBorders>
            <w:shd w:val="clear" w:color="auto" w:fill="D9D9D9"/>
          </w:tcPr>
          <w:p>
            <w:pPr>
              <w:pStyle w:val="TableParagraph"/>
              <w:jc w:val="left"/>
              <w:rPr>
                <w:sz w:val="14"/>
              </w:rPr>
            </w:pPr>
          </w:p>
        </w:tc>
        <w:tc>
          <w:tcPr>
            <w:tcW w:w="1128" w:type="dxa"/>
            <w:tcBorders>
              <w:top w:val="single" w:sz="12" w:space="0" w:color="000000"/>
            </w:tcBorders>
            <w:shd w:val="clear" w:color="auto" w:fill="D9D9D9"/>
          </w:tcPr>
          <w:p>
            <w:pPr>
              <w:pStyle w:val="TableParagraph"/>
              <w:jc w:val="left"/>
              <w:rPr>
                <w:sz w:val="14"/>
              </w:rPr>
            </w:pPr>
          </w:p>
        </w:tc>
        <w:tc>
          <w:tcPr>
            <w:tcW w:w="1079" w:type="dxa"/>
            <w:tcBorders>
              <w:top w:val="single" w:sz="12" w:space="0" w:color="000000"/>
            </w:tcBorders>
          </w:tcPr>
          <w:p>
            <w:pPr>
              <w:pStyle w:val="TableParagraph"/>
              <w:spacing w:before="13"/>
              <w:ind w:right="53"/>
              <w:rPr>
                <w:sz w:val="16"/>
              </w:rPr>
            </w:pPr>
            <w:r>
              <w:rPr>
                <w:spacing w:val="-2"/>
                <w:sz w:val="16"/>
              </w:rPr>
              <w:t>28,999.5</w:t>
            </w:r>
          </w:p>
        </w:tc>
        <w:tc>
          <w:tcPr>
            <w:tcW w:w="1130" w:type="dxa"/>
            <w:tcBorders>
              <w:top w:val="single" w:sz="12" w:space="0" w:color="000000"/>
            </w:tcBorders>
          </w:tcPr>
          <w:p>
            <w:pPr>
              <w:pStyle w:val="TableParagraph"/>
              <w:spacing w:before="13"/>
              <w:ind w:right="198"/>
              <w:rPr>
                <w:sz w:val="16"/>
              </w:rPr>
            </w:pPr>
            <w:r>
              <w:rPr>
                <w:spacing w:val="-2"/>
                <w:sz w:val="16"/>
              </w:rPr>
              <w:t>1,729.2</w:t>
            </w:r>
          </w:p>
        </w:tc>
        <w:tc>
          <w:tcPr>
            <w:tcW w:w="742" w:type="dxa"/>
            <w:tcBorders>
              <w:top w:val="single" w:sz="12" w:space="0" w:color="000000"/>
            </w:tcBorders>
          </w:tcPr>
          <w:p>
            <w:pPr>
              <w:pStyle w:val="TableParagraph"/>
              <w:spacing w:before="13"/>
              <w:ind w:right="186"/>
              <w:rPr>
                <w:sz w:val="16"/>
              </w:rPr>
            </w:pPr>
            <w:r>
              <w:rPr>
                <w:spacing w:val="-5"/>
                <w:sz w:val="16"/>
              </w:rPr>
              <w:t>6.0</w:t>
            </w:r>
          </w:p>
        </w:tc>
        <w:tc>
          <w:tcPr>
            <w:tcW w:w="1054" w:type="dxa"/>
            <w:tcBorders>
              <w:top w:val="single" w:sz="12" w:space="0" w:color="000000"/>
            </w:tcBorders>
          </w:tcPr>
          <w:p>
            <w:pPr>
              <w:pStyle w:val="TableParagraph"/>
              <w:spacing w:before="13"/>
              <w:ind w:right="107"/>
              <w:rPr>
                <w:sz w:val="16"/>
              </w:rPr>
            </w:pPr>
            <w:r>
              <w:rPr>
                <w:spacing w:val="-2"/>
                <w:sz w:val="16"/>
              </w:rPr>
              <w:t>30,728.7</w:t>
            </w:r>
          </w:p>
        </w:tc>
      </w:tr>
      <w:tr>
        <w:trPr>
          <w:trHeight w:val="223" w:hRule="atLeast"/>
        </w:trPr>
        <w:tc>
          <w:tcPr>
            <w:tcW w:w="2475" w:type="dxa"/>
            <w:tcBorders>
              <w:bottom w:val="single" w:sz="4" w:space="0" w:color="000000"/>
            </w:tcBorders>
          </w:tcPr>
          <w:p>
            <w:pPr>
              <w:pStyle w:val="TableParagraph"/>
              <w:spacing w:before="8"/>
              <w:ind w:left="117"/>
              <w:jc w:val="left"/>
              <w:rPr>
                <w:sz w:val="16"/>
              </w:rPr>
            </w:pPr>
            <w:r>
              <w:rPr>
                <w:sz w:val="16"/>
              </w:rPr>
              <w:t>General</w:t>
            </w:r>
            <w:r>
              <w:rPr>
                <w:spacing w:val="-6"/>
                <w:sz w:val="16"/>
              </w:rPr>
              <w:t> </w:t>
            </w:r>
            <w:r>
              <w:rPr>
                <w:sz w:val="16"/>
              </w:rPr>
              <w:t>Service</w:t>
            </w:r>
            <w:r>
              <w:rPr>
                <w:spacing w:val="-4"/>
                <w:sz w:val="16"/>
              </w:rPr>
              <w:t> staff</w:t>
            </w:r>
          </w:p>
        </w:tc>
        <w:tc>
          <w:tcPr>
            <w:tcW w:w="1216" w:type="dxa"/>
            <w:tcBorders>
              <w:bottom w:val="single" w:sz="4" w:space="0" w:color="000000"/>
            </w:tcBorders>
            <w:shd w:val="clear" w:color="auto" w:fill="D9D9D9"/>
          </w:tcPr>
          <w:p>
            <w:pPr>
              <w:pStyle w:val="TableParagraph"/>
              <w:jc w:val="left"/>
              <w:rPr>
                <w:sz w:val="14"/>
              </w:rPr>
            </w:pPr>
          </w:p>
        </w:tc>
        <w:tc>
          <w:tcPr>
            <w:tcW w:w="826" w:type="dxa"/>
            <w:tcBorders>
              <w:bottom w:val="single" w:sz="4" w:space="0" w:color="000000"/>
            </w:tcBorders>
            <w:shd w:val="clear" w:color="auto" w:fill="D9D9D9"/>
          </w:tcPr>
          <w:p>
            <w:pPr>
              <w:pStyle w:val="TableParagraph"/>
              <w:jc w:val="left"/>
              <w:rPr>
                <w:sz w:val="14"/>
              </w:rPr>
            </w:pPr>
          </w:p>
        </w:tc>
        <w:tc>
          <w:tcPr>
            <w:tcW w:w="1128" w:type="dxa"/>
            <w:tcBorders>
              <w:bottom w:val="single" w:sz="4" w:space="0" w:color="000000"/>
            </w:tcBorders>
            <w:shd w:val="clear" w:color="auto" w:fill="D9D9D9"/>
          </w:tcPr>
          <w:p>
            <w:pPr>
              <w:pStyle w:val="TableParagraph"/>
              <w:jc w:val="left"/>
              <w:rPr>
                <w:sz w:val="14"/>
              </w:rPr>
            </w:pPr>
          </w:p>
        </w:tc>
        <w:tc>
          <w:tcPr>
            <w:tcW w:w="1079" w:type="dxa"/>
            <w:tcBorders>
              <w:bottom w:val="single" w:sz="4" w:space="0" w:color="000000"/>
            </w:tcBorders>
          </w:tcPr>
          <w:p>
            <w:pPr>
              <w:pStyle w:val="TableParagraph"/>
              <w:spacing w:before="8"/>
              <w:ind w:right="53"/>
              <w:rPr>
                <w:sz w:val="16"/>
              </w:rPr>
            </w:pPr>
            <w:r>
              <w:rPr>
                <w:spacing w:val="-2"/>
                <w:sz w:val="16"/>
              </w:rPr>
              <w:t>18,647.0</w:t>
            </w:r>
          </w:p>
        </w:tc>
        <w:tc>
          <w:tcPr>
            <w:tcW w:w="1130" w:type="dxa"/>
            <w:tcBorders>
              <w:bottom w:val="single" w:sz="4" w:space="0" w:color="000000"/>
            </w:tcBorders>
          </w:tcPr>
          <w:p>
            <w:pPr>
              <w:pStyle w:val="TableParagraph"/>
              <w:spacing w:before="8"/>
              <w:ind w:right="198"/>
              <w:rPr>
                <w:sz w:val="16"/>
              </w:rPr>
            </w:pPr>
            <w:r>
              <w:rPr>
                <w:spacing w:val="-2"/>
                <w:sz w:val="16"/>
              </w:rPr>
              <w:t>448.9</w:t>
            </w:r>
          </w:p>
        </w:tc>
        <w:tc>
          <w:tcPr>
            <w:tcW w:w="742" w:type="dxa"/>
            <w:tcBorders>
              <w:bottom w:val="single" w:sz="4" w:space="0" w:color="000000"/>
            </w:tcBorders>
          </w:tcPr>
          <w:p>
            <w:pPr>
              <w:pStyle w:val="TableParagraph"/>
              <w:spacing w:before="8"/>
              <w:ind w:right="186"/>
              <w:rPr>
                <w:sz w:val="16"/>
              </w:rPr>
            </w:pPr>
            <w:r>
              <w:rPr>
                <w:spacing w:val="-5"/>
                <w:sz w:val="16"/>
              </w:rPr>
              <w:t>2.4</w:t>
            </w:r>
          </w:p>
        </w:tc>
        <w:tc>
          <w:tcPr>
            <w:tcW w:w="1054" w:type="dxa"/>
            <w:tcBorders>
              <w:bottom w:val="single" w:sz="4" w:space="0" w:color="000000"/>
            </w:tcBorders>
          </w:tcPr>
          <w:p>
            <w:pPr>
              <w:pStyle w:val="TableParagraph"/>
              <w:spacing w:before="8"/>
              <w:ind w:right="107"/>
              <w:rPr>
                <w:sz w:val="16"/>
              </w:rPr>
            </w:pPr>
            <w:r>
              <w:rPr>
                <w:spacing w:val="-2"/>
                <w:sz w:val="16"/>
              </w:rPr>
              <w:t>19,095.9</w:t>
            </w:r>
          </w:p>
        </w:tc>
      </w:tr>
      <w:tr>
        <w:trPr>
          <w:trHeight w:val="225" w:hRule="atLeast"/>
        </w:trPr>
        <w:tc>
          <w:tcPr>
            <w:tcW w:w="2475" w:type="dxa"/>
            <w:tcBorders>
              <w:top w:val="single" w:sz="4" w:space="0" w:color="000000"/>
              <w:bottom w:val="single" w:sz="4" w:space="0" w:color="000000"/>
            </w:tcBorders>
          </w:tcPr>
          <w:p>
            <w:pPr>
              <w:pStyle w:val="TableParagraph"/>
              <w:spacing w:before="9"/>
              <w:ind w:right="104"/>
              <w:rPr>
                <w:i/>
                <w:sz w:val="16"/>
              </w:rPr>
            </w:pPr>
            <w:r>
              <w:rPr>
                <w:i/>
                <w:sz w:val="16"/>
              </w:rPr>
              <w:t>Subtotal</w:t>
            </w:r>
            <w:r>
              <w:rPr>
                <w:i/>
                <w:spacing w:val="-1"/>
                <w:sz w:val="16"/>
              </w:rPr>
              <w:t> </w:t>
            </w:r>
            <w:r>
              <w:rPr>
                <w:i/>
                <w:spacing w:val="-2"/>
                <w:sz w:val="16"/>
              </w:rPr>
              <w:t>staff</w:t>
            </w:r>
          </w:p>
        </w:tc>
        <w:tc>
          <w:tcPr>
            <w:tcW w:w="1216" w:type="dxa"/>
            <w:tcBorders>
              <w:top w:val="single" w:sz="4" w:space="0" w:color="000000"/>
              <w:bottom w:val="single" w:sz="4" w:space="0" w:color="000000"/>
            </w:tcBorders>
          </w:tcPr>
          <w:p>
            <w:pPr>
              <w:pStyle w:val="TableParagraph"/>
              <w:spacing w:before="9"/>
              <w:ind w:right="189"/>
              <w:rPr>
                <w:i/>
                <w:sz w:val="16"/>
              </w:rPr>
            </w:pPr>
            <w:r>
              <w:rPr>
                <w:i/>
                <w:spacing w:val="-2"/>
                <w:sz w:val="16"/>
              </w:rPr>
              <w:t>47,380.4</w:t>
            </w:r>
          </w:p>
        </w:tc>
        <w:tc>
          <w:tcPr>
            <w:tcW w:w="826" w:type="dxa"/>
            <w:tcBorders>
              <w:top w:val="single" w:sz="4" w:space="0" w:color="000000"/>
              <w:bottom w:val="single" w:sz="4" w:space="0" w:color="000000"/>
            </w:tcBorders>
          </w:tcPr>
          <w:p>
            <w:pPr>
              <w:pStyle w:val="TableParagraph"/>
              <w:spacing w:before="9"/>
              <w:ind w:right="109"/>
              <w:rPr>
                <w:i/>
                <w:sz w:val="16"/>
              </w:rPr>
            </w:pPr>
            <w:r>
              <w:rPr>
                <w:i/>
                <w:w w:val="98"/>
                <w:sz w:val="16"/>
              </w:rPr>
              <w:t>-</w:t>
            </w:r>
          </w:p>
        </w:tc>
        <w:tc>
          <w:tcPr>
            <w:tcW w:w="1128" w:type="dxa"/>
            <w:tcBorders>
              <w:top w:val="single" w:sz="4" w:space="0" w:color="000000"/>
              <w:bottom w:val="single" w:sz="4" w:space="0" w:color="000000"/>
            </w:tcBorders>
          </w:tcPr>
          <w:p>
            <w:pPr>
              <w:pStyle w:val="TableParagraph"/>
              <w:spacing w:before="9"/>
              <w:ind w:right="102"/>
              <w:rPr>
                <w:i/>
                <w:sz w:val="16"/>
              </w:rPr>
            </w:pPr>
            <w:r>
              <w:rPr>
                <w:i/>
                <w:spacing w:val="-2"/>
                <w:sz w:val="16"/>
              </w:rPr>
              <w:t>47,380.4</w:t>
            </w:r>
          </w:p>
        </w:tc>
        <w:tc>
          <w:tcPr>
            <w:tcW w:w="1079" w:type="dxa"/>
            <w:tcBorders>
              <w:top w:val="single" w:sz="4" w:space="0" w:color="000000"/>
              <w:bottom w:val="single" w:sz="4" w:space="0" w:color="000000"/>
            </w:tcBorders>
          </w:tcPr>
          <w:p>
            <w:pPr>
              <w:pStyle w:val="TableParagraph"/>
              <w:spacing w:before="9"/>
              <w:ind w:right="53"/>
              <w:rPr>
                <w:i/>
                <w:sz w:val="16"/>
              </w:rPr>
            </w:pPr>
            <w:r>
              <w:rPr>
                <w:i/>
                <w:spacing w:val="-2"/>
                <w:sz w:val="16"/>
              </w:rPr>
              <w:t>47,646.5</w:t>
            </w:r>
          </w:p>
        </w:tc>
        <w:tc>
          <w:tcPr>
            <w:tcW w:w="1130" w:type="dxa"/>
            <w:tcBorders>
              <w:top w:val="single" w:sz="4" w:space="0" w:color="000000"/>
              <w:bottom w:val="single" w:sz="4" w:space="0" w:color="000000"/>
            </w:tcBorders>
          </w:tcPr>
          <w:p>
            <w:pPr>
              <w:pStyle w:val="TableParagraph"/>
              <w:spacing w:before="9"/>
              <w:ind w:right="198"/>
              <w:rPr>
                <w:i/>
                <w:sz w:val="16"/>
              </w:rPr>
            </w:pPr>
            <w:r>
              <w:rPr>
                <w:i/>
                <w:spacing w:val="-2"/>
                <w:sz w:val="16"/>
              </w:rPr>
              <w:t>2,178.1</w:t>
            </w:r>
          </w:p>
        </w:tc>
        <w:tc>
          <w:tcPr>
            <w:tcW w:w="742" w:type="dxa"/>
            <w:tcBorders>
              <w:top w:val="single" w:sz="4" w:space="0" w:color="000000"/>
              <w:bottom w:val="single" w:sz="4" w:space="0" w:color="000000"/>
            </w:tcBorders>
          </w:tcPr>
          <w:p>
            <w:pPr>
              <w:pStyle w:val="TableParagraph"/>
              <w:spacing w:before="9"/>
              <w:ind w:right="186"/>
              <w:rPr>
                <w:i/>
                <w:sz w:val="16"/>
              </w:rPr>
            </w:pPr>
            <w:r>
              <w:rPr>
                <w:i/>
                <w:spacing w:val="-5"/>
                <w:sz w:val="16"/>
              </w:rPr>
              <w:t>4.6</w:t>
            </w:r>
          </w:p>
        </w:tc>
        <w:tc>
          <w:tcPr>
            <w:tcW w:w="1054" w:type="dxa"/>
            <w:tcBorders>
              <w:top w:val="single" w:sz="4" w:space="0" w:color="000000"/>
              <w:bottom w:val="single" w:sz="4" w:space="0" w:color="000000"/>
            </w:tcBorders>
          </w:tcPr>
          <w:p>
            <w:pPr>
              <w:pStyle w:val="TableParagraph"/>
              <w:spacing w:before="9"/>
              <w:ind w:right="107"/>
              <w:rPr>
                <w:i/>
                <w:sz w:val="16"/>
              </w:rPr>
            </w:pPr>
            <w:r>
              <w:rPr>
                <w:i/>
                <w:spacing w:val="-2"/>
                <w:sz w:val="16"/>
              </w:rPr>
              <w:t>49,824.6</w:t>
            </w:r>
          </w:p>
        </w:tc>
      </w:tr>
      <w:tr>
        <w:trPr>
          <w:trHeight w:val="231" w:hRule="atLeast"/>
        </w:trPr>
        <w:tc>
          <w:tcPr>
            <w:tcW w:w="2475" w:type="dxa"/>
            <w:tcBorders>
              <w:top w:val="single" w:sz="4" w:space="0" w:color="000000"/>
            </w:tcBorders>
          </w:tcPr>
          <w:p>
            <w:pPr>
              <w:pStyle w:val="TableParagraph"/>
              <w:spacing w:before="14"/>
              <w:ind w:left="117"/>
              <w:jc w:val="left"/>
              <w:rPr>
                <w:sz w:val="16"/>
              </w:rPr>
            </w:pPr>
            <w:r>
              <w:rPr>
                <w:sz w:val="16"/>
              </w:rPr>
              <w:t>General</w:t>
            </w:r>
            <w:r>
              <w:rPr>
                <w:spacing w:val="-4"/>
                <w:sz w:val="16"/>
              </w:rPr>
              <w:t> </w:t>
            </w:r>
            <w:r>
              <w:rPr>
                <w:sz w:val="16"/>
              </w:rPr>
              <w:t>temporary</w:t>
            </w:r>
            <w:r>
              <w:rPr>
                <w:spacing w:val="-1"/>
                <w:sz w:val="16"/>
              </w:rPr>
              <w:t> </w:t>
            </w:r>
            <w:r>
              <w:rPr>
                <w:spacing w:val="-2"/>
                <w:sz w:val="16"/>
              </w:rPr>
              <w:t>assistance</w:t>
            </w:r>
          </w:p>
        </w:tc>
        <w:tc>
          <w:tcPr>
            <w:tcW w:w="1216" w:type="dxa"/>
            <w:tcBorders>
              <w:top w:val="single" w:sz="4" w:space="0" w:color="000000"/>
            </w:tcBorders>
          </w:tcPr>
          <w:p>
            <w:pPr>
              <w:pStyle w:val="TableParagraph"/>
              <w:spacing w:before="14"/>
              <w:ind w:right="189"/>
              <w:rPr>
                <w:sz w:val="16"/>
              </w:rPr>
            </w:pPr>
            <w:r>
              <w:rPr>
                <w:spacing w:val="-2"/>
                <w:sz w:val="16"/>
              </w:rPr>
              <w:t>4,893.6</w:t>
            </w:r>
          </w:p>
        </w:tc>
        <w:tc>
          <w:tcPr>
            <w:tcW w:w="826" w:type="dxa"/>
            <w:tcBorders>
              <w:top w:val="single" w:sz="4" w:space="0" w:color="000000"/>
            </w:tcBorders>
          </w:tcPr>
          <w:p>
            <w:pPr>
              <w:pStyle w:val="TableParagraph"/>
              <w:spacing w:before="14"/>
              <w:ind w:right="107"/>
              <w:rPr>
                <w:sz w:val="16"/>
              </w:rPr>
            </w:pPr>
            <w:r>
              <w:rPr>
                <w:spacing w:val="-4"/>
                <w:sz w:val="16"/>
              </w:rPr>
              <w:t>22.4</w:t>
            </w:r>
          </w:p>
        </w:tc>
        <w:tc>
          <w:tcPr>
            <w:tcW w:w="1128" w:type="dxa"/>
            <w:tcBorders>
              <w:top w:val="single" w:sz="4" w:space="0" w:color="000000"/>
            </w:tcBorders>
          </w:tcPr>
          <w:p>
            <w:pPr>
              <w:pStyle w:val="TableParagraph"/>
              <w:spacing w:before="14"/>
              <w:ind w:right="102"/>
              <w:rPr>
                <w:sz w:val="16"/>
              </w:rPr>
            </w:pPr>
            <w:r>
              <w:rPr>
                <w:spacing w:val="-2"/>
                <w:sz w:val="16"/>
              </w:rPr>
              <w:t>4,916.0</w:t>
            </w:r>
          </w:p>
        </w:tc>
        <w:tc>
          <w:tcPr>
            <w:tcW w:w="1079" w:type="dxa"/>
            <w:tcBorders>
              <w:top w:val="single" w:sz="4" w:space="0" w:color="000000"/>
            </w:tcBorders>
          </w:tcPr>
          <w:p>
            <w:pPr>
              <w:pStyle w:val="TableParagraph"/>
              <w:spacing w:before="14"/>
              <w:ind w:right="53"/>
              <w:rPr>
                <w:sz w:val="16"/>
              </w:rPr>
            </w:pPr>
            <w:r>
              <w:rPr>
                <w:spacing w:val="-2"/>
                <w:sz w:val="16"/>
              </w:rPr>
              <w:t>5,948.7</w:t>
            </w:r>
          </w:p>
        </w:tc>
        <w:tc>
          <w:tcPr>
            <w:tcW w:w="1130" w:type="dxa"/>
            <w:tcBorders>
              <w:top w:val="single" w:sz="4" w:space="0" w:color="000000"/>
            </w:tcBorders>
          </w:tcPr>
          <w:p>
            <w:pPr>
              <w:pStyle w:val="TableParagraph"/>
              <w:spacing w:before="14"/>
              <w:ind w:right="198"/>
              <w:rPr>
                <w:sz w:val="16"/>
              </w:rPr>
            </w:pPr>
            <w:r>
              <w:rPr>
                <w:spacing w:val="-2"/>
                <w:sz w:val="16"/>
              </w:rPr>
              <w:t>3,646.8</w:t>
            </w:r>
          </w:p>
        </w:tc>
        <w:tc>
          <w:tcPr>
            <w:tcW w:w="742" w:type="dxa"/>
            <w:tcBorders>
              <w:top w:val="single" w:sz="4" w:space="0" w:color="000000"/>
            </w:tcBorders>
          </w:tcPr>
          <w:p>
            <w:pPr>
              <w:pStyle w:val="TableParagraph"/>
              <w:spacing w:before="14"/>
              <w:ind w:right="181"/>
              <w:rPr>
                <w:sz w:val="16"/>
              </w:rPr>
            </w:pPr>
            <w:r>
              <w:rPr>
                <w:spacing w:val="-4"/>
                <w:sz w:val="16"/>
              </w:rPr>
              <w:t>61.3</w:t>
            </w:r>
          </w:p>
        </w:tc>
        <w:tc>
          <w:tcPr>
            <w:tcW w:w="1054" w:type="dxa"/>
            <w:tcBorders>
              <w:top w:val="single" w:sz="4" w:space="0" w:color="000000"/>
            </w:tcBorders>
          </w:tcPr>
          <w:p>
            <w:pPr>
              <w:pStyle w:val="TableParagraph"/>
              <w:spacing w:before="14"/>
              <w:ind w:right="107"/>
              <w:rPr>
                <w:sz w:val="16"/>
              </w:rPr>
            </w:pPr>
            <w:r>
              <w:rPr>
                <w:spacing w:val="-2"/>
                <w:sz w:val="16"/>
              </w:rPr>
              <w:t>9,595.5</w:t>
            </w:r>
          </w:p>
        </w:tc>
      </w:tr>
      <w:tr>
        <w:trPr>
          <w:trHeight w:val="225" w:hRule="atLeast"/>
        </w:trPr>
        <w:tc>
          <w:tcPr>
            <w:tcW w:w="2475" w:type="dxa"/>
          </w:tcPr>
          <w:p>
            <w:pPr>
              <w:pStyle w:val="TableParagraph"/>
              <w:spacing w:before="8"/>
              <w:ind w:right="117"/>
              <w:rPr>
                <w:sz w:val="16"/>
              </w:rPr>
            </w:pPr>
            <w:r>
              <w:rPr>
                <w:sz w:val="16"/>
              </w:rPr>
              <w:t>Temporary</w:t>
            </w:r>
            <w:r>
              <w:rPr>
                <w:spacing w:val="-3"/>
                <w:sz w:val="16"/>
              </w:rPr>
              <w:t> </w:t>
            </w:r>
            <w:r>
              <w:rPr>
                <w:sz w:val="16"/>
              </w:rPr>
              <w:t>assistance</w:t>
            </w:r>
            <w:r>
              <w:rPr>
                <w:spacing w:val="-4"/>
                <w:sz w:val="16"/>
              </w:rPr>
              <w:t> </w:t>
            </w:r>
            <w:r>
              <w:rPr>
                <w:sz w:val="16"/>
              </w:rPr>
              <w:t>for</w:t>
            </w:r>
            <w:r>
              <w:rPr>
                <w:spacing w:val="-5"/>
                <w:sz w:val="16"/>
              </w:rPr>
              <w:t> </w:t>
            </w:r>
            <w:r>
              <w:rPr>
                <w:spacing w:val="-2"/>
                <w:sz w:val="16"/>
              </w:rPr>
              <w:t>meetings</w:t>
            </w:r>
          </w:p>
        </w:tc>
        <w:tc>
          <w:tcPr>
            <w:tcW w:w="1216" w:type="dxa"/>
          </w:tcPr>
          <w:p>
            <w:pPr>
              <w:pStyle w:val="TableParagraph"/>
              <w:spacing w:before="8"/>
              <w:ind w:right="188"/>
              <w:rPr>
                <w:sz w:val="16"/>
              </w:rPr>
            </w:pPr>
            <w:r>
              <w:rPr>
                <w:spacing w:val="-2"/>
                <w:sz w:val="16"/>
              </w:rPr>
              <w:t>894.0</w:t>
            </w:r>
          </w:p>
        </w:tc>
        <w:tc>
          <w:tcPr>
            <w:tcW w:w="826" w:type="dxa"/>
          </w:tcPr>
          <w:p>
            <w:pPr>
              <w:pStyle w:val="TableParagraph"/>
              <w:spacing w:before="8"/>
              <w:ind w:right="109"/>
              <w:rPr>
                <w:sz w:val="16"/>
              </w:rPr>
            </w:pPr>
            <w:r>
              <w:rPr>
                <w:w w:val="98"/>
                <w:sz w:val="16"/>
              </w:rPr>
              <w:t>-</w:t>
            </w:r>
          </w:p>
        </w:tc>
        <w:tc>
          <w:tcPr>
            <w:tcW w:w="1128" w:type="dxa"/>
          </w:tcPr>
          <w:p>
            <w:pPr>
              <w:pStyle w:val="TableParagraph"/>
              <w:spacing w:before="8"/>
              <w:ind w:right="102"/>
              <w:rPr>
                <w:sz w:val="16"/>
              </w:rPr>
            </w:pPr>
            <w:r>
              <w:rPr>
                <w:spacing w:val="-2"/>
                <w:sz w:val="16"/>
              </w:rPr>
              <w:t>894.0</w:t>
            </w:r>
          </w:p>
        </w:tc>
        <w:tc>
          <w:tcPr>
            <w:tcW w:w="1079" w:type="dxa"/>
          </w:tcPr>
          <w:p>
            <w:pPr>
              <w:pStyle w:val="TableParagraph"/>
              <w:spacing w:before="8"/>
              <w:ind w:right="53"/>
              <w:rPr>
                <w:sz w:val="16"/>
              </w:rPr>
            </w:pPr>
            <w:r>
              <w:rPr>
                <w:spacing w:val="-2"/>
                <w:sz w:val="16"/>
              </w:rPr>
              <w:t>824.9</w:t>
            </w:r>
          </w:p>
        </w:tc>
        <w:tc>
          <w:tcPr>
            <w:tcW w:w="1130" w:type="dxa"/>
          </w:tcPr>
          <w:p>
            <w:pPr>
              <w:pStyle w:val="TableParagraph"/>
              <w:spacing w:before="8"/>
              <w:ind w:right="198"/>
              <w:rPr>
                <w:sz w:val="16"/>
              </w:rPr>
            </w:pPr>
            <w:r>
              <w:rPr>
                <w:spacing w:val="-2"/>
                <w:sz w:val="16"/>
              </w:rPr>
              <w:t>749.1</w:t>
            </w:r>
          </w:p>
        </w:tc>
        <w:tc>
          <w:tcPr>
            <w:tcW w:w="742" w:type="dxa"/>
          </w:tcPr>
          <w:p>
            <w:pPr>
              <w:pStyle w:val="TableParagraph"/>
              <w:spacing w:before="8"/>
              <w:ind w:right="181"/>
              <w:rPr>
                <w:sz w:val="16"/>
              </w:rPr>
            </w:pPr>
            <w:r>
              <w:rPr>
                <w:spacing w:val="-4"/>
                <w:sz w:val="16"/>
              </w:rPr>
              <w:t>90.8</w:t>
            </w:r>
          </w:p>
        </w:tc>
        <w:tc>
          <w:tcPr>
            <w:tcW w:w="1054" w:type="dxa"/>
          </w:tcPr>
          <w:p>
            <w:pPr>
              <w:pStyle w:val="TableParagraph"/>
              <w:spacing w:before="8"/>
              <w:ind w:right="107"/>
              <w:rPr>
                <w:sz w:val="16"/>
              </w:rPr>
            </w:pPr>
            <w:r>
              <w:rPr>
                <w:spacing w:val="-2"/>
                <w:sz w:val="16"/>
              </w:rPr>
              <w:t>1,574.0</w:t>
            </w:r>
          </w:p>
        </w:tc>
      </w:tr>
      <w:tr>
        <w:trPr>
          <w:trHeight w:val="223" w:hRule="atLeast"/>
        </w:trPr>
        <w:tc>
          <w:tcPr>
            <w:tcW w:w="2475" w:type="dxa"/>
            <w:tcBorders>
              <w:bottom w:val="single" w:sz="4" w:space="0" w:color="000000"/>
            </w:tcBorders>
          </w:tcPr>
          <w:p>
            <w:pPr>
              <w:pStyle w:val="TableParagraph"/>
              <w:spacing w:before="8"/>
              <w:ind w:left="117"/>
              <w:jc w:val="left"/>
              <w:rPr>
                <w:sz w:val="16"/>
              </w:rPr>
            </w:pPr>
            <w:r>
              <w:rPr>
                <w:spacing w:val="-2"/>
                <w:sz w:val="16"/>
              </w:rPr>
              <w:t>Overtime</w:t>
            </w:r>
          </w:p>
        </w:tc>
        <w:tc>
          <w:tcPr>
            <w:tcW w:w="1216" w:type="dxa"/>
            <w:tcBorders>
              <w:bottom w:val="single" w:sz="4" w:space="0" w:color="000000"/>
            </w:tcBorders>
          </w:tcPr>
          <w:p>
            <w:pPr>
              <w:pStyle w:val="TableParagraph"/>
              <w:spacing w:before="8"/>
              <w:ind w:right="188"/>
              <w:rPr>
                <w:sz w:val="16"/>
              </w:rPr>
            </w:pPr>
            <w:r>
              <w:rPr>
                <w:spacing w:val="-2"/>
                <w:sz w:val="16"/>
              </w:rPr>
              <w:t>183.4</w:t>
            </w:r>
          </w:p>
        </w:tc>
        <w:tc>
          <w:tcPr>
            <w:tcW w:w="826" w:type="dxa"/>
            <w:tcBorders>
              <w:bottom w:val="single" w:sz="4" w:space="0" w:color="000000"/>
            </w:tcBorders>
          </w:tcPr>
          <w:p>
            <w:pPr>
              <w:pStyle w:val="TableParagraph"/>
              <w:spacing w:before="8"/>
              <w:ind w:right="109"/>
              <w:rPr>
                <w:sz w:val="16"/>
              </w:rPr>
            </w:pPr>
            <w:r>
              <w:rPr>
                <w:w w:val="98"/>
                <w:sz w:val="16"/>
              </w:rPr>
              <w:t>-</w:t>
            </w:r>
          </w:p>
        </w:tc>
        <w:tc>
          <w:tcPr>
            <w:tcW w:w="1128" w:type="dxa"/>
            <w:tcBorders>
              <w:bottom w:val="single" w:sz="4" w:space="0" w:color="000000"/>
            </w:tcBorders>
          </w:tcPr>
          <w:p>
            <w:pPr>
              <w:pStyle w:val="TableParagraph"/>
              <w:spacing w:before="8"/>
              <w:ind w:right="102"/>
              <w:rPr>
                <w:sz w:val="16"/>
              </w:rPr>
            </w:pPr>
            <w:r>
              <w:rPr>
                <w:spacing w:val="-2"/>
                <w:sz w:val="16"/>
              </w:rPr>
              <w:t>183.4</w:t>
            </w:r>
          </w:p>
        </w:tc>
        <w:tc>
          <w:tcPr>
            <w:tcW w:w="1079" w:type="dxa"/>
            <w:tcBorders>
              <w:bottom w:val="single" w:sz="4" w:space="0" w:color="000000"/>
            </w:tcBorders>
          </w:tcPr>
          <w:p>
            <w:pPr>
              <w:pStyle w:val="TableParagraph"/>
              <w:spacing w:before="8"/>
              <w:ind w:right="53"/>
              <w:rPr>
                <w:sz w:val="16"/>
              </w:rPr>
            </w:pPr>
            <w:r>
              <w:rPr>
                <w:spacing w:val="-2"/>
                <w:sz w:val="16"/>
              </w:rPr>
              <w:t>334.7</w:t>
            </w:r>
          </w:p>
        </w:tc>
        <w:tc>
          <w:tcPr>
            <w:tcW w:w="1130" w:type="dxa"/>
            <w:tcBorders>
              <w:bottom w:val="single" w:sz="4" w:space="0" w:color="000000"/>
            </w:tcBorders>
          </w:tcPr>
          <w:p>
            <w:pPr>
              <w:pStyle w:val="TableParagraph"/>
              <w:spacing w:before="8"/>
              <w:ind w:right="198"/>
              <w:rPr>
                <w:sz w:val="16"/>
              </w:rPr>
            </w:pPr>
            <w:r>
              <w:rPr>
                <w:spacing w:val="-4"/>
                <w:sz w:val="16"/>
              </w:rPr>
              <w:t>10.0</w:t>
            </w:r>
          </w:p>
        </w:tc>
        <w:tc>
          <w:tcPr>
            <w:tcW w:w="742" w:type="dxa"/>
            <w:tcBorders>
              <w:bottom w:val="single" w:sz="4" w:space="0" w:color="000000"/>
            </w:tcBorders>
          </w:tcPr>
          <w:p>
            <w:pPr>
              <w:pStyle w:val="TableParagraph"/>
              <w:spacing w:before="8"/>
              <w:ind w:right="186"/>
              <w:rPr>
                <w:sz w:val="16"/>
              </w:rPr>
            </w:pPr>
            <w:r>
              <w:rPr>
                <w:spacing w:val="-5"/>
                <w:sz w:val="16"/>
              </w:rPr>
              <w:t>3.0</w:t>
            </w:r>
          </w:p>
        </w:tc>
        <w:tc>
          <w:tcPr>
            <w:tcW w:w="1054" w:type="dxa"/>
            <w:tcBorders>
              <w:bottom w:val="single" w:sz="4" w:space="0" w:color="000000"/>
            </w:tcBorders>
          </w:tcPr>
          <w:p>
            <w:pPr>
              <w:pStyle w:val="TableParagraph"/>
              <w:spacing w:before="8"/>
              <w:ind w:right="107"/>
              <w:rPr>
                <w:sz w:val="16"/>
              </w:rPr>
            </w:pPr>
            <w:r>
              <w:rPr>
                <w:spacing w:val="-2"/>
                <w:sz w:val="16"/>
              </w:rPr>
              <w:t>344.7</w:t>
            </w:r>
          </w:p>
        </w:tc>
      </w:tr>
      <w:tr>
        <w:trPr>
          <w:trHeight w:val="225" w:hRule="atLeast"/>
        </w:trPr>
        <w:tc>
          <w:tcPr>
            <w:tcW w:w="2475" w:type="dxa"/>
            <w:tcBorders>
              <w:top w:val="single" w:sz="4" w:space="0" w:color="000000"/>
              <w:bottom w:val="single" w:sz="4" w:space="0" w:color="000000"/>
            </w:tcBorders>
          </w:tcPr>
          <w:p>
            <w:pPr>
              <w:pStyle w:val="TableParagraph"/>
              <w:spacing w:before="14"/>
              <w:ind w:right="103"/>
              <w:rPr>
                <w:i/>
                <w:sz w:val="16"/>
              </w:rPr>
            </w:pPr>
            <w:r>
              <w:rPr>
                <w:i/>
                <w:sz w:val="16"/>
              </w:rPr>
              <w:t>Subtotal</w:t>
            </w:r>
            <w:r>
              <w:rPr>
                <w:i/>
                <w:spacing w:val="-1"/>
                <w:sz w:val="16"/>
              </w:rPr>
              <w:t> </w:t>
            </w:r>
            <w:r>
              <w:rPr>
                <w:i/>
                <w:sz w:val="16"/>
              </w:rPr>
              <w:t>other</w:t>
            </w:r>
            <w:r>
              <w:rPr>
                <w:i/>
                <w:spacing w:val="-1"/>
                <w:sz w:val="16"/>
              </w:rPr>
              <w:t> </w:t>
            </w:r>
            <w:r>
              <w:rPr>
                <w:i/>
                <w:spacing w:val="-2"/>
                <w:sz w:val="16"/>
              </w:rPr>
              <w:t>staff</w:t>
            </w:r>
          </w:p>
        </w:tc>
        <w:tc>
          <w:tcPr>
            <w:tcW w:w="1216" w:type="dxa"/>
            <w:tcBorders>
              <w:top w:val="single" w:sz="4" w:space="0" w:color="000000"/>
              <w:bottom w:val="single" w:sz="4" w:space="0" w:color="000000"/>
            </w:tcBorders>
          </w:tcPr>
          <w:p>
            <w:pPr>
              <w:pStyle w:val="TableParagraph"/>
              <w:spacing w:before="14"/>
              <w:ind w:right="189"/>
              <w:rPr>
                <w:i/>
                <w:sz w:val="16"/>
              </w:rPr>
            </w:pPr>
            <w:r>
              <w:rPr>
                <w:i/>
                <w:spacing w:val="-2"/>
                <w:sz w:val="16"/>
              </w:rPr>
              <w:t>5,971.0</w:t>
            </w:r>
          </w:p>
        </w:tc>
        <w:tc>
          <w:tcPr>
            <w:tcW w:w="826" w:type="dxa"/>
            <w:tcBorders>
              <w:top w:val="single" w:sz="4" w:space="0" w:color="000000"/>
              <w:bottom w:val="single" w:sz="4" w:space="0" w:color="000000"/>
            </w:tcBorders>
          </w:tcPr>
          <w:p>
            <w:pPr>
              <w:pStyle w:val="TableParagraph"/>
              <w:spacing w:before="14"/>
              <w:ind w:right="107"/>
              <w:rPr>
                <w:i/>
                <w:sz w:val="16"/>
              </w:rPr>
            </w:pPr>
            <w:r>
              <w:rPr>
                <w:i/>
                <w:spacing w:val="-4"/>
                <w:sz w:val="16"/>
              </w:rPr>
              <w:t>22.4</w:t>
            </w:r>
          </w:p>
        </w:tc>
        <w:tc>
          <w:tcPr>
            <w:tcW w:w="1128" w:type="dxa"/>
            <w:tcBorders>
              <w:top w:val="single" w:sz="4" w:space="0" w:color="000000"/>
              <w:bottom w:val="single" w:sz="4" w:space="0" w:color="000000"/>
            </w:tcBorders>
          </w:tcPr>
          <w:p>
            <w:pPr>
              <w:pStyle w:val="TableParagraph"/>
              <w:spacing w:before="14"/>
              <w:ind w:right="102"/>
              <w:rPr>
                <w:i/>
                <w:sz w:val="16"/>
              </w:rPr>
            </w:pPr>
            <w:r>
              <w:rPr>
                <w:i/>
                <w:spacing w:val="-2"/>
                <w:sz w:val="16"/>
              </w:rPr>
              <w:t>5,993.5</w:t>
            </w:r>
          </w:p>
        </w:tc>
        <w:tc>
          <w:tcPr>
            <w:tcW w:w="1079" w:type="dxa"/>
            <w:tcBorders>
              <w:top w:val="single" w:sz="4" w:space="0" w:color="000000"/>
              <w:bottom w:val="single" w:sz="4" w:space="0" w:color="000000"/>
            </w:tcBorders>
          </w:tcPr>
          <w:p>
            <w:pPr>
              <w:pStyle w:val="TableParagraph"/>
              <w:spacing w:before="14"/>
              <w:ind w:right="53"/>
              <w:rPr>
                <w:i/>
                <w:sz w:val="16"/>
              </w:rPr>
            </w:pPr>
            <w:r>
              <w:rPr>
                <w:i/>
                <w:spacing w:val="-2"/>
                <w:sz w:val="16"/>
              </w:rPr>
              <w:t>7,108.3</w:t>
            </w:r>
          </w:p>
        </w:tc>
        <w:tc>
          <w:tcPr>
            <w:tcW w:w="1130" w:type="dxa"/>
            <w:tcBorders>
              <w:top w:val="single" w:sz="4" w:space="0" w:color="000000"/>
              <w:bottom w:val="single" w:sz="4" w:space="0" w:color="000000"/>
            </w:tcBorders>
          </w:tcPr>
          <w:p>
            <w:pPr>
              <w:pStyle w:val="TableParagraph"/>
              <w:spacing w:before="14"/>
              <w:ind w:right="198"/>
              <w:rPr>
                <w:i/>
                <w:sz w:val="16"/>
              </w:rPr>
            </w:pPr>
            <w:r>
              <w:rPr>
                <w:i/>
                <w:spacing w:val="-2"/>
                <w:sz w:val="16"/>
              </w:rPr>
              <w:t>4,405.9</w:t>
            </w:r>
          </w:p>
        </w:tc>
        <w:tc>
          <w:tcPr>
            <w:tcW w:w="742" w:type="dxa"/>
            <w:tcBorders>
              <w:top w:val="single" w:sz="4" w:space="0" w:color="000000"/>
              <w:bottom w:val="single" w:sz="4" w:space="0" w:color="000000"/>
            </w:tcBorders>
          </w:tcPr>
          <w:p>
            <w:pPr>
              <w:pStyle w:val="TableParagraph"/>
              <w:spacing w:before="14"/>
              <w:ind w:right="181"/>
              <w:rPr>
                <w:i/>
                <w:sz w:val="16"/>
              </w:rPr>
            </w:pPr>
            <w:r>
              <w:rPr>
                <w:i/>
                <w:spacing w:val="-4"/>
                <w:sz w:val="16"/>
              </w:rPr>
              <w:t>62.0</w:t>
            </w:r>
          </w:p>
        </w:tc>
        <w:tc>
          <w:tcPr>
            <w:tcW w:w="1054" w:type="dxa"/>
            <w:tcBorders>
              <w:top w:val="single" w:sz="4" w:space="0" w:color="000000"/>
              <w:bottom w:val="single" w:sz="4" w:space="0" w:color="000000"/>
            </w:tcBorders>
          </w:tcPr>
          <w:p>
            <w:pPr>
              <w:pStyle w:val="TableParagraph"/>
              <w:spacing w:before="14"/>
              <w:ind w:right="107"/>
              <w:rPr>
                <w:i/>
                <w:sz w:val="16"/>
              </w:rPr>
            </w:pPr>
            <w:r>
              <w:rPr>
                <w:i/>
                <w:spacing w:val="-2"/>
                <w:sz w:val="16"/>
              </w:rPr>
              <w:t>11,514.2</w:t>
            </w:r>
          </w:p>
        </w:tc>
      </w:tr>
      <w:tr>
        <w:trPr>
          <w:trHeight w:val="231" w:hRule="atLeast"/>
        </w:trPr>
        <w:tc>
          <w:tcPr>
            <w:tcW w:w="2475" w:type="dxa"/>
            <w:tcBorders>
              <w:top w:val="single" w:sz="4" w:space="0" w:color="000000"/>
            </w:tcBorders>
          </w:tcPr>
          <w:p>
            <w:pPr>
              <w:pStyle w:val="TableParagraph"/>
              <w:spacing w:before="14"/>
              <w:ind w:left="117"/>
              <w:jc w:val="left"/>
              <w:rPr>
                <w:sz w:val="16"/>
              </w:rPr>
            </w:pPr>
            <w:r>
              <w:rPr>
                <w:spacing w:val="-2"/>
                <w:sz w:val="16"/>
              </w:rPr>
              <w:t>Travel</w:t>
            </w:r>
          </w:p>
        </w:tc>
        <w:tc>
          <w:tcPr>
            <w:tcW w:w="1216" w:type="dxa"/>
            <w:tcBorders>
              <w:top w:val="single" w:sz="4" w:space="0" w:color="000000"/>
            </w:tcBorders>
          </w:tcPr>
          <w:p>
            <w:pPr>
              <w:pStyle w:val="TableParagraph"/>
              <w:spacing w:before="14"/>
              <w:ind w:right="188"/>
              <w:rPr>
                <w:sz w:val="16"/>
              </w:rPr>
            </w:pPr>
            <w:r>
              <w:rPr>
                <w:spacing w:val="-2"/>
                <w:sz w:val="16"/>
              </w:rPr>
              <w:t>588.4</w:t>
            </w:r>
          </w:p>
        </w:tc>
        <w:tc>
          <w:tcPr>
            <w:tcW w:w="826" w:type="dxa"/>
            <w:tcBorders>
              <w:top w:val="single" w:sz="4" w:space="0" w:color="000000"/>
            </w:tcBorders>
          </w:tcPr>
          <w:p>
            <w:pPr>
              <w:pStyle w:val="TableParagraph"/>
              <w:spacing w:before="14"/>
              <w:ind w:right="107"/>
              <w:rPr>
                <w:sz w:val="16"/>
              </w:rPr>
            </w:pPr>
            <w:r>
              <w:rPr>
                <w:spacing w:val="-4"/>
                <w:sz w:val="16"/>
              </w:rPr>
              <w:t>94.5</w:t>
            </w:r>
          </w:p>
        </w:tc>
        <w:tc>
          <w:tcPr>
            <w:tcW w:w="1128" w:type="dxa"/>
            <w:tcBorders>
              <w:top w:val="single" w:sz="4" w:space="0" w:color="000000"/>
            </w:tcBorders>
          </w:tcPr>
          <w:p>
            <w:pPr>
              <w:pStyle w:val="TableParagraph"/>
              <w:spacing w:before="14"/>
              <w:ind w:right="102"/>
              <w:rPr>
                <w:sz w:val="16"/>
              </w:rPr>
            </w:pPr>
            <w:r>
              <w:rPr>
                <w:spacing w:val="-2"/>
                <w:sz w:val="16"/>
              </w:rPr>
              <w:t>682.9</w:t>
            </w:r>
          </w:p>
        </w:tc>
        <w:tc>
          <w:tcPr>
            <w:tcW w:w="1079" w:type="dxa"/>
            <w:tcBorders>
              <w:top w:val="single" w:sz="4" w:space="0" w:color="000000"/>
            </w:tcBorders>
          </w:tcPr>
          <w:p>
            <w:pPr>
              <w:pStyle w:val="TableParagraph"/>
              <w:spacing w:before="14"/>
              <w:ind w:right="53"/>
              <w:rPr>
                <w:sz w:val="16"/>
              </w:rPr>
            </w:pPr>
            <w:r>
              <w:rPr>
                <w:spacing w:val="-2"/>
                <w:sz w:val="16"/>
              </w:rPr>
              <w:t>1,471.1</w:t>
            </w:r>
          </w:p>
        </w:tc>
        <w:tc>
          <w:tcPr>
            <w:tcW w:w="1130" w:type="dxa"/>
            <w:tcBorders>
              <w:top w:val="single" w:sz="4" w:space="0" w:color="000000"/>
            </w:tcBorders>
          </w:tcPr>
          <w:p>
            <w:pPr>
              <w:pStyle w:val="TableParagraph"/>
              <w:spacing w:before="14"/>
              <w:ind w:right="198"/>
              <w:rPr>
                <w:sz w:val="16"/>
              </w:rPr>
            </w:pPr>
            <w:r>
              <w:rPr>
                <w:spacing w:val="-2"/>
                <w:sz w:val="16"/>
              </w:rPr>
              <w:t>624.1</w:t>
            </w:r>
          </w:p>
        </w:tc>
        <w:tc>
          <w:tcPr>
            <w:tcW w:w="742" w:type="dxa"/>
            <w:tcBorders>
              <w:top w:val="single" w:sz="4" w:space="0" w:color="000000"/>
            </w:tcBorders>
          </w:tcPr>
          <w:p>
            <w:pPr>
              <w:pStyle w:val="TableParagraph"/>
              <w:spacing w:before="14"/>
              <w:ind w:right="181"/>
              <w:rPr>
                <w:sz w:val="16"/>
              </w:rPr>
            </w:pPr>
            <w:r>
              <w:rPr>
                <w:spacing w:val="-4"/>
                <w:sz w:val="16"/>
              </w:rPr>
              <w:t>42.4</w:t>
            </w:r>
          </w:p>
        </w:tc>
        <w:tc>
          <w:tcPr>
            <w:tcW w:w="1054" w:type="dxa"/>
            <w:tcBorders>
              <w:top w:val="single" w:sz="4" w:space="0" w:color="000000"/>
            </w:tcBorders>
          </w:tcPr>
          <w:p>
            <w:pPr>
              <w:pStyle w:val="TableParagraph"/>
              <w:spacing w:before="14"/>
              <w:ind w:right="107"/>
              <w:rPr>
                <w:sz w:val="16"/>
              </w:rPr>
            </w:pPr>
            <w:r>
              <w:rPr>
                <w:spacing w:val="-2"/>
                <w:sz w:val="16"/>
              </w:rPr>
              <w:t>2,095.2</w:t>
            </w:r>
          </w:p>
        </w:tc>
      </w:tr>
      <w:tr>
        <w:trPr>
          <w:trHeight w:val="228" w:hRule="atLeast"/>
        </w:trPr>
        <w:tc>
          <w:tcPr>
            <w:tcW w:w="2475" w:type="dxa"/>
          </w:tcPr>
          <w:p>
            <w:pPr>
              <w:pStyle w:val="TableParagraph"/>
              <w:spacing w:before="8"/>
              <w:ind w:left="117"/>
              <w:jc w:val="left"/>
              <w:rPr>
                <w:sz w:val="16"/>
              </w:rPr>
            </w:pPr>
            <w:r>
              <w:rPr>
                <w:spacing w:val="-2"/>
                <w:sz w:val="16"/>
              </w:rPr>
              <w:t>Hospitality</w:t>
            </w:r>
          </w:p>
        </w:tc>
        <w:tc>
          <w:tcPr>
            <w:tcW w:w="1216" w:type="dxa"/>
          </w:tcPr>
          <w:p>
            <w:pPr>
              <w:pStyle w:val="TableParagraph"/>
              <w:spacing w:before="8"/>
              <w:ind w:right="190"/>
              <w:rPr>
                <w:sz w:val="16"/>
              </w:rPr>
            </w:pPr>
            <w:r>
              <w:rPr>
                <w:w w:val="98"/>
                <w:sz w:val="16"/>
              </w:rPr>
              <w:t>-</w:t>
            </w:r>
          </w:p>
        </w:tc>
        <w:tc>
          <w:tcPr>
            <w:tcW w:w="826" w:type="dxa"/>
          </w:tcPr>
          <w:p>
            <w:pPr>
              <w:pStyle w:val="TableParagraph"/>
              <w:spacing w:before="8"/>
              <w:ind w:right="109"/>
              <w:rPr>
                <w:sz w:val="16"/>
              </w:rPr>
            </w:pPr>
            <w:r>
              <w:rPr>
                <w:w w:val="98"/>
                <w:sz w:val="16"/>
              </w:rPr>
              <w:t>-</w:t>
            </w:r>
          </w:p>
        </w:tc>
        <w:tc>
          <w:tcPr>
            <w:tcW w:w="1128" w:type="dxa"/>
          </w:tcPr>
          <w:p>
            <w:pPr>
              <w:pStyle w:val="TableParagraph"/>
              <w:spacing w:before="8"/>
              <w:ind w:right="103"/>
              <w:rPr>
                <w:sz w:val="16"/>
              </w:rPr>
            </w:pPr>
            <w:r>
              <w:rPr>
                <w:w w:val="98"/>
                <w:sz w:val="16"/>
              </w:rPr>
              <w:t>-</w:t>
            </w:r>
          </w:p>
        </w:tc>
        <w:tc>
          <w:tcPr>
            <w:tcW w:w="1079" w:type="dxa"/>
          </w:tcPr>
          <w:p>
            <w:pPr>
              <w:pStyle w:val="TableParagraph"/>
              <w:spacing w:before="8"/>
              <w:ind w:right="57"/>
              <w:rPr>
                <w:sz w:val="16"/>
              </w:rPr>
            </w:pPr>
            <w:r>
              <w:rPr>
                <w:spacing w:val="-5"/>
                <w:sz w:val="16"/>
              </w:rPr>
              <w:t>4.0</w:t>
            </w:r>
          </w:p>
        </w:tc>
        <w:tc>
          <w:tcPr>
            <w:tcW w:w="1130" w:type="dxa"/>
          </w:tcPr>
          <w:p>
            <w:pPr>
              <w:pStyle w:val="TableParagraph"/>
              <w:spacing w:before="8"/>
              <w:ind w:right="200"/>
              <w:rPr>
                <w:sz w:val="16"/>
              </w:rPr>
            </w:pPr>
            <w:r>
              <w:rPr>
                <w:w w:val="98"/>
                <w:sz w:val="16"/>
              </w:rPr>
              <w:t>-</w:t>
            </w:r>
          </w:p>
        </w:tc>
        <w:tc>
          <w:tcPr>
            <w:tcW w:w="742" w:type="dxa"/>
          </w:tcPr>
          <w:p>
            <w:pPr>
              <w:pStyle w:val="TableParagraph"/>
              <w:spacing w:before="8"/>
              <w:ind w:right="183"/>
              <w:rPr>
                <w:sz w:val="16"/>
              </w:rPr>
            </w:pPr>
            <w:r>
              <w:rPr>
                <w:w w:val="98"/>
                <w:sz w:val="16"/>
              </w:rPr>
              <w:t>-</w:t>
            </w:r>
          </w:p>
        </w:tc>
        <w:tc>
          <w:tcPr>
            <w:tcW w:w="1054" w:type="dxa"/>
          </w:tcPr>
          <w:p>
            <w:pPr>
              <w:pStyle w:val="TableParagraph"/>
              <w:spacing w:before="8"/>
              <w:ind w:right="111"/>
              <w:rPr>
                <w:sz w:val="16"/>
              </w:rPr>
            </w:pPr>
            <w:r>
              <w:rPr>
                <w:spacing w:val="-5"/>
                <w:sz w:val="16"/>
              </w:rPr>
              <w:t>4.0</w:t>
            </w:r>
          </w:p>
        </w:tc>
      </w:tr>
      <w:tr>
        <w:trPr>
          <w:trHeight w:val="228" w:hRule="atLeast"/>
        </w:trPr>
        <w:tc>
          <w:tcPr>
            <w:tcW w:w="2475" w:type="dxa"/>
          </w:tcPr>
          <w:p>
            <w:pPr>
              <w:pStyle w:val="TableParagraph"/>
              <w:spacing w:before="10"/>
              <w:ind w:left="117"/>
              <w:jc w:val="left"/>
              <w:rPr>
                <w:sz w:val="16"/>
              </w:rPr>
            </w:pPr>
            <w:r>
              <w:rPr>
                <w:w w:val="95"/>
                <w:sz w:val="16"/>
              </w:rPr>
              <w:t>Contractual</w:t>
            </w:r>
            <w:r>
              <w:rPr>
                <w:spacing w:val="33"/>
                <w:sz w:val="16"/>
              </w:rPr>
              <w:t> </w:t>
            </w:r>
            <w:r>
              <w:rPr>
                <w:spacing w:val="-2"/>
                <w:sz w:val="16"/>
              </w:rPr>
              <w:t>services</w:t>
            </w:r>
          </w:p>
        </w:tc>
        <w:tc>
          <w:tcPr>
            <w:tcW w:w="1216" w:type="dxa"/>
          </w:tcPr>
          <w:p>
            <w:pPr>
              <w:pStyle w:val="TableParagraph"/>
              <w:spacing w:before="10"/>
              <w:ind w:right="189"/>
              <w:rPr>
                <w:sz w:val="16"/>
              </w:rPr>
            </w:pPr>
            <w:r>
              <w:rPr>
                <w:spacing w:val="-2"/>
                <w:sz w:val="16"/>
              </w:rPr>
              <w:t>2,566.7</w:t>
            </w:r>
          </w:p>
        </w:tc>
        <w:tc>
          <w:tcPr>
            <w:tcW w:w="826" w:type="dxa"/>
          </w:tcPr>
          <w:p>
            <w:pPr>
              <w:pStyle w:val="TableParagraph"/>
              <w:spacing w:before="10"/>
              <w:ind w:right="107"/>
              <w:rPr>
                <w:sz w:val="16"/>
              </w:rPr>
            </w:pPr>
            <w:r>
              <w:rPr>
                <w:spacing w:val="-2"/>
                <w:sz w:val="16"/>
              </w:rPr>
              <w:t>159.9</w:t>
            </w:r>
          </w:p>
        </w:tc>
        <w:tc>
          <w:tcPr>
            <w:tcW w:w="1128" w:type="dxa"/>
          </w:tcPr>
          <w:p>
            <w:pPr>
              <w:pStyle w:val="TableParagraph"/>
              <w:spacing w:before="10"/>
              <w:ind w:right="102"/>
              <w:rPr>
                <w:sz w:val="16"/>
              </w:rPr>
            </w:pPr>
            <w:r>
              <w:rPr>
                <w:spacing w:val="-2"/>
                <w:sz w:val="16"/>
              </w:rPr>
              <w:t>2,726.6</w:t>
            </w:r>
          </w:p>
        </w:tc>
        <w:tc>
          <w:tcPr>
            <w:tcW w:w="1079" w:type="dxa"/>
          </w:tcPr>
          <w:p>
            <w:pPr>
              <w:pStyle w:val="TableParagraph"/>
              <w:spacing w:before="10"/>
              <w:ind w:right="53"/>
              <w:rPr>
                <w:sz w:val="16"/>
              </w:rPr>
            </w:pPr>
            <w:r>
              <w:rPr>
                <w:spacing w:val="-2"/>
                <w:sz w:val="16"/>
              </w:rPr>
              <w:t>2,032.6</w:t>
            </w:r>
          </w:p>
        </w:tc>
        <w:tc>
          <w:tcPr>
            <w:tcW w:w="1130" w:type="dxa"/>
          </w:tcPr>
          <w:p>
            <w:pPr>
              <w:pStyle w:val="TableParagraph"/>
              <w:spacing w:before="10"/>
              <w:ind w:right="198"/>
              <w:rPr>
                <w:sz w:val="16"/>
              </w:rPr>
            </w:pPr>
            <w:r>
              <w:rPr>
                <w:spacing w:val="-2"/>
                <w:sz w:val="16"/>
              </w:rPr>
              <w:t>263.8</w:t>
            </w:r>
          </w:p>
        </w:tc>
        <w:tc>
          <w:tcPr>
            <w:tcW w:w="742" w:type="dxa"/>
          </w:tcPr>
          <w:p>
            <w:pPr>
              <w:pStyle w:val="TableParagraph"/>
              <w:spacing w:before="10"/>
              <w:ind w:right="181"/>
              <w:rPr>
                <w:sz w:val="16"/>
              </w:rPr>
            </w:pPr>
            <w:r>
              <w:rPr>
                <w:spacing w:val="-4"/>
                <w:sz w:val="16"/>
              </w:rPr>
              <w:t>13.0</w:t>
            </w:r>
          </w:p>
        </w:tc>
        <w:tc>
          <w:tcPr>
            <w:tcW w:w="1054" w:type="dxa"/>
          </w:tcPr>
          <w:p>
            <w:pPr>
              <w:pStyle w:val="TableParagraph"/>
              <w:spacing w:before="10"/>
              <w:ind w:right="107"/>
              <w:rPr>
                <w:sz w:val="16"/>
              </w:rPr>
            </w:pPr>
            <w:r>
              <w:rPr>
                <w:spacing w:val="-2"/>
                <w:sz w:val="16"/>
              </w:rPr>
              <w:t>2,296.4</w:t>
            </w:r>
          </w:p>
        </w:tc>
      </w:tr>
      <w:tr>
        <w:trPr>
          <w:trHeight w:val="225" w:hRule="atLeast"/>
        </w:trPr>
        <w:tc>
          <w:tcPr>
            <w:tcW w:w="2475" w:type="dxa"/>
          </w:tcPr>
          <w:p>
            <w:pPr>
              <w:pStyle w:val="TableParagraph"/>
              <w:spacing w:before="8"/>
              <w:ind w:left="117"/>
              <w:jc w:val="left"/>
              <w:rPr>
                <w:sz w:val="16"/>
              </w:rPr>
            </w:pPr>
            <w:r>
              <w:rPr>
                <w:spacing w:val="-2"/>
                <w:sz w:val="16"/>
              </w:rPr>
              <w:t>Training</w:t>
            </w:r>
          </w:p>
        </w:tc>
        <w:tc>
          <w:tcPr>
            <w:tcW w:w="1216" w:type="dxa"/>
          </w:tcPr>
          <w:p>
            <w:pPr>
              <w:pStyle w:val="TableParagraph"/>
              <w:spacing w:before="8"/>
              <w:ind w:right="188"/>
              <w:rPr>
                <w:sz w:val="16"/>
              </w:rPr>
            </w:pPr>
            <w:r>
              <w:rPr>
                <w:spacing w:val="-2"/>
                <w:sz w:val="16"/>
              </w:rPr>
              <w:t>317.3</w:t>
            </w:r>
          </w:p>
        </w:tc>
        <w:tc>
          <w:tcPr>
            <w:tcW w:w="826" w:type="dxa"/>
          </w:tcPr>
          <w:p>
            <w:pPr>
              <w:pStyle w:val="TableParagraph"/>
              <w:spacing w:before="8"/>
              <w:ind w:right="109"/>
              <w:rPr>
                <w:sz w:val="16"/>
              </w:rPr>
            </w:pPr>
            <w:r>
              <w:rPr>
                <w:w w:val="98"/>
                <w:sz w:val="16"/>
              </w:rPr>
              <w:t>-</w:t>
            </w:r>
          </w:p>
        </w:tc>
        <w:tc>
          <w:tcPr>
            <w:tcW w:w="1128" w:type="dxa"/>
          </w:tcPr>
          <w:p>
            <w:pPr>
              <w:pStyle w:val="TableParagraph"/>
              <w:spacing w:before="8"/>
              <w:ind w:right="102"/>
              <w:rPr>
                <w:sz w:val="16"/>
              </w:rPr>
            </w:pPr>
            <w:r>
              <w:rPr>
                <w:spacing w:val="-2"/>
                <w:sz w:val="16"/>
              </w:rPr>
              <w:t>317.3</w:t>
            </w:r>
          </w:p>
        </w:tc>
        <w:tc>
          <w:tcPr>
            <w:tcW w:w="1079" w:type="dxa"/>
          </w:tcPr>
          <w:p>
            <w:pPr>
              <w:pStyle w:val="TableParagraph"/>
              <w:spacing w:before="8"/>
              <w:ind w:right="53"/>
              <w:rPr>
                <w:sz w:val="16"/>
              </w:rPr>
            </w:pPr>
            <w:r>
              <w:rPr>
                <w:spacing w:val="-2"/>
                <w:sz w:val="16"/>
              </w:rPr>
              <w:t>472.7</w:t>
            </w:r>
          </w:p>
        </w:tc>
        <w:tc>
          <w:tcPr>
            <w:tcW w:w="1130" w:type="dxa"/>
          </w:tcPr>
          <w:p>
            <w:pPr>
              <w:pStyle w:val="TableParagraph"/>
              <w:spacing w:before="8"/>
              <w:ind w:right="198"/>
              <w:rPr>
                <w:sz w:val="16"/>
              </w:rPr>
            </w:pPr>
            <w:r>
              <w:rPr>
                <w:spacing w:val="-4"/>
                <w:sz w:val="16"/>
              </w:rPr>
              <w:t>41.0</w:t>
            </w:r>
          </w:p>
        </w:tc>
        <w:tc>
          <w:tcPr>
            <w:tcW w:w="742" w:type="dxa"/>
          </w:tcPr>
          <w:p>
            <w:pPr>
              <w:pStyle w:val="TableParagraph"/>
              <w:spacing w:before="8"/>
              <w:ind w:right="186"/>
              <w:rPr>
                <w:sz w:val="16"/>
              </w:rPr>
            </w:pPr>
            <w:r>
              <w:rPr>
                <w:spacing w:val="-5"/>
                <w:sz w:val="16"/>
              </w:rPr>
              <w:t>8.7</w:t>
            </w:r>
          </w:p>
        </w:tc>
        <w:tc>
          <w:tcPr>
            <w:tcW w:w="1054" w:type="dxa"/>
          </w:tcPr>
          <w:p>
            <w:pPr>
              <w:pStyle w:val="TableParagraph"/>
              <w:spacing w:before="8"/>
              <w:ind w:right="107"/>
              <w:rPr>
                <w:sz w:val="16"/>
              </w:rPr>
            </w:pPr>
            <w:r>
              <w:rPr>
                <w:spacing w:val="-2"/>
                <w:sz w:val="16"/>
              </w:rPr>
              <w:t>513.7</w:t>
            </w:r>
          </w:p>
        </w:tc>
      </w:tr>
      <w:tr>
        <w:trPr>
          <w:trHeight w:val="225" w:hRule="atLeast"/>
        </w:trPr>
        <w:tc>
          <w:tcPr>
            <w:tcW w:w="2475" w:type="dxa"/>
          </w:tcPr>
          <w:p>
            <w:pPr>
              <w:pStyle w:val="TableParagraph"/>
              <w:spacing w:before="8"/>
              <w:ind w:left="117"/>
              <w:jc w:val="left"/>
              <w:rPr>
                <w:sz w:val="16"/>
              </w:rPr>
            </w:pPr>
            <w:r>
              <w:rPr>
                <w:spacing w:val="-2"/>
                <w:sz w:val="16"/>
              </w:rPr>
              <w:t>Consultants</w:t>
            </w:r>
          </w:p>
        </w:tc>
        <w:tc>
          <w:tcPr>
            <w:tcW w:w="1216" w:type="dxa"/>
          </w:tcPr>
          <w:p>
            <w:pPr>
              <w:pStyle w:val="TableParagraph"/>
              <w:spacing w:before="8"/>
              <w:ind w:right="188"/>
              <w:rPr>
                <w:sz w:val="16"/>
              </w:rPr>
            </w:pPr>
            <w:r>
              <w:rPr>
                <w:spacing w:val="-2"/>
                <w:sz w:val="16"/>
              </w:rPr>
              <w:t>703.5</w:t>
            </w:r>
          </w:p>
        </w:tc>
        <w:tc>
          <w:tcPr>
            <w:tcW w:w="826" w:type="dxa"/>
          </w:tcPr>
          <w:p>
            <w:pPr>
              <w:pStyle w:val="TableParagraph"/>
              <w:spacing w:before="8"/>
              <w:ind w:right="107"/>
              <w:rPr>
                <w:sz w:val="16"/>
              </w:rPr>
            </w:pPr>
            <w:r>
              <w:rPr>
                <w:spacing w:val="-4"/>
                <w:sz w:val="16"/>
              </w:rPr>
              <w:t>57.8</w:t>
            </w:r>
          </w:p>
        </w:tc>
        <w:tc>
          <w:tcPr>
            <w:tcW w:w="1128" w:type="dxa"/>
          </w:tcPr>
          <w:p>
            <w:pPr>
              <w:pStyle w:val="TableParagraph"/>
              <w:spacing w:before="8"/>
              <w:ind w:right="102"/>
              <w:rPr>
                <w:sz w:val="16"/>
              </w:rPr>
            </w:pPr>
            <w:r>
              <w:rPr>
                <w:spacing w:val="-2"/>
                <w:sz w:val="16"/>
              </w:rPr>
              <w:t>761.2</w:t>
            </w:r>
          </w:p>
        </w:tc>
        <w:tc>
          <w:tcPr>
            <w:tcW w:w="1079" w:type="dxa"/>
          </w:tcPr>
          <w:p>
            <w:pPr>
              <w:pStyle w:val="TableParagraph"/>
              <w:spacing w:before="8"/>
              <w:ind w:right="53"/>
              <w:rPr>
                <w:sz w:val="16"/>
              </w:rPr>
            </w:pPr>
            <w:r>
              <w:rPr>
                <w:spacing w:val="-2"/>
                <w:sz w:val="16"/>
              </w:rPr>
              <w:t>538.5</w:t>
            </w:r>
          </w:p>
        </w:tc>
        <w:tc>
          <w:tcPr>
            <w:tcW w:w="1130" w:type="dxa"/>
          </w:tcPr>
          <w:p>
            <w:pPr>
              <w:pStyle w:val="TableParagraph"/>
              <w:spacing w:before="8"/>
              <w:ind w:right="198"/>
              <w:rPr>
                <w:sz w:val="16"/>
              </w:rPr>
            </w:pPr>
            <w:r>
              <w:rPr>
                <w:spacing w:val="-2"/>
                <w:sz w:val="16"/>
              </w:rPr>
              <w:t>507.0</w:t>
            </w:r>
          </w:p>
        </w:tc>
        <w:tc>
          <w:tcPr>
            <w:tcW w:w="742" w:type="dxa"/>
          </w:tcPr>
          <w:p>
            <w:pPr>
              <w:pStyle w:val="TableParagraph"/>
              <w:spacing w:before="8"/>
              <w:ind w:right="181"/>
              <w:rPr>
                <w:sz w:val="16"/>
              </w:rPr>
            </w:pPr>
            <w:r>
              <w:rPr>
                <w:spacing w:val="-4"/>
                <w:sz w:val="16"/>
              </w:rPr>
              <w:t>94.2</w:t>
            </w:r>
          </w:p>
        </w:tc>
        <w:tc>
          <w:tcPr>
            <w:tcW w:w="1054" w:type="dxa"/>
          </w:tcPr>
          <w:p>
            <w:pPr>
              <w:pStyle w:val="TableParagraph"/>
              <w:spacing w:before="8"/>
              <w:ind w:right="107"/>
              <w:rPr>
                <w:sz w:val="16"/>
              </w:rPr>
            </w:pPr>
            <w:r>
              <w:rPr>
                <w:spacing w:val="-2"/>
                <w:sz w:val="16"/>
              </w:rPr>
              <w:t>1,045.5</w:t>
            </w:r>
          </w:p>
        </w:tc>
      </w:tr>
      <w:tr>
        <w:trPr>
          <w:trHeight w:val="227" w:hRule="atLeast"/>
        </w:trPr>
        <w:tc>
          <w:tcPr>
            <w:tcW w:w="2475" w:type="dxa"/>
          </w:tcPr>
          <w:p>
            <w:pPr>
              <w:pStyle w:val="TableParagraph"/>
              <w:spacing w:before="8"/>
              <w:ind w:left="117"/>
              <w:jc w:val="left"/>
              <w:rPr>
                <w:sz w:val="16"/>
              </w:rPr>
            </w:pPr>
            <w:r>
              <w:rPr>
                <w:sz w:val="16"/>
              </w:rPr>
              <w:t>Counsel</w:t>
            </w:r>
            <w:r>
              <w:rPr>
                <w:spacing w:val="-4"/>
                <w:sz w:val="16"/>
              </w:rPr>
              <w:t> </w:t>
            </w:r>
            <w:r>
              <w:rPr>
                <w:sz w:val="16"/>
              </w:rPr>
              <w:t>for</w:t>
            </w:r>
            <w:r>
              <w:rPr>
                <w:spacing w:val="-2"/>
                <w:sz w:val="16"/>
              </w:rPr>
              <w:t> defence</w:t>
            </w:r>
          </w:p>
        </w:tc>
        <w:tc>
          <w:tcPr>
            <w:tcW w:w="1216" w:type="dxa"/>
          </w:tcPr>
          <w:p>
            <w:pPr>
              <w:pStyle w:val="TableParagraph"/>
              <w:spacing w:before="8"/>
              <w:ind w:right="189"/>
              <w:rPr>
                <w:sz w:val="16"/>
              </w:rPr>
            </w:pPr>
            <w:r>
              <w:rPr>
                <w:spacing w:val="-2"/>
                <w:sz w:val="16"/>
              </w:rPr>
              <w:t>3,913.0</w:t>
            </w:r>
          </w:p>
        </w:tc>
        <w:tc>
          <w:tcPr>
            <w:tcW w:w="826" w:type="dxa"/>
          </w:tcPr>
          <w:p>
            <w:pPr>
              <w:pStyle w:val="TableParagraph"/>
              <w:spacing w:before="8"/>
              <w:ind w:right="107"/>
              <w:rPr>
                <w:sz w:val="16"/>
              </w:rPr>
            </w:pPr>
            <w:r>
              <w:rPr>
                <w:spacing w:val="-2"/>
                <w:sz w:val="16"/>
              </w:rPr>
              <w:t>624.6</w:t>
            </w:r>
          </w:p>
        </w:tc>
        <w:tc>
          <w:tcPr>
            <w:tcW w:w="1128" w:type="dxa"/>
          </w:tcPr>
          <w:p>
            <w:pPr>
              <w:pStyle w:val="TableParagraph"/>
              <w:spacing w:before="8"/>
              <w:ind w:right="102"/>
              <w:rPr>
                <w:sz w:val="16"/>
              </w:rPr>
            </w:pPr>
            <w:r>
              <w:rPr>
                <w:spacing w:val="-2"/>
                <w:sz w:val="16"/>
              </w:rPr>
              <w:t>4,537.6</w:t>
            </w:r>
          </w:p>
        </w:tc>
        <w:tc>
          <w:tcPr>
            <w:tcW w:w="1079" w:type="dxa"/>
          </w:tcPr>
          <w:p>
            <w:pPr>
              <w:pStyle w:val="TableParagraph"/>
              <w:spacing w:before="8"/>
              <w:ind w:right="53"/>
              <w:rPr>
                <w:sz w:val="16"/>
              </w:rPr>
            </w:pPr>
            <w:r>
              <w:rPr>
                <w:spacing w:val="-2"/>
                <w:sz w:val="16"/>
              </w:rPr>
              <w:t>5,196.7</w:t>
            </w:r>
          </w:p>
        </w:tc>
        <w:tc>
          <w:tcPr>
            <w:tcW w:w="1130" w:type="dxa"/>
          </w:tcPr>
          <w:p>
            <w:pPr>
              <w:pStyle w:val="TableParagraph"/>
              <w:spacing w:before="8"/>
              <w:ind w:right="200"/>
              <w:rPr>
                <w:sz w:val="16"/>
              </w:rPr>
            </w:pPr>
            <w:r>
              <w:rPr>
                <w:spacing w:val="-2"/>
                <w:sz w:val="16"/>
              </w:rPr>
              <w:t>(7.3)</w:t>
            </w:r>
          </w:p>
        </w:tc>
        <w:tc>
          <w:tcPr>
            <w:tcW w:w="742" w:type="dxa"/>
          </w:tcPr>
          <w:p>
            <w:pPr>
              <w:pStyle w:val="TableParagraph"/>
              <w:spacing w:before="8"/>
              <w:ind w:right="184"/>
              <w:rPr>
                <w:sz w:val="16"/>
              </w:rPr>
            </w:pPr>
            <w:r>
              <w:rPr>
                <w:spacing w:val="-2"/>
                <w:sz w:val="16"/>
              </w:rPr>
              <w:t>(0.1)</w:t>
            </w:r>
          </w:p>
        </w:tc>
        <w:tc>
          <w:tcPr>
            <w:tcW w:w="1054" w:type="dxa"/>
          </w:tcPr>
          <w:p>
            <w:pPr>
              <w:pStyle w:val="TableParagraph"/>
              <w:spacing w:before="8"/>
              <w:ind w:right="107"/>
              <w:rPr>
                <w:sz w:val="16"/>
              </w:rPr>
            </w:pPr>
            <w:r>
              <w:rPr>
                <w:spacing w:val="-2"/>
                <w:sz w:val="16"/>
              </w:rPr>
              <w:t>5,189.4</w:t>
            </w:r>
          </w:p>
        </w:tc>
      </w:tr>
      <w:tr>
        <w:trPr>
          <w:trHeight w:val="227" w:hRule="atLeast"/>
        </w:trPr>
        <w:tc>
          <w:tcPr>
            <w:tcW w:w="2475" w:type="dxa"/>
          </w:tcPr>
          <w:p>
            <w:pPr>
              <w:pStyle w:val="TableParagraph"/>
              <w:spacing w:before="10"/>
              <w:ind w:left="117"/>
              <w:jc w:val="left"/>
              <w:rPr>
                <w:sz w:val="16"/>
              </w:rPr>
            </w:pPr>
            <w:r>
              <w:rPr>
                <w:sz w:val="16"/>
              </w:rPr>
              <w:t>Counsel</w:t>
            </w:r>
            <w:r>
              <w:rPr>
                <w:spacing w:val="-4"/>
                <w:sz w:val="16"/>
              </w:rPr>
              <w:t> </w:t>
            </w:r>
            <w:r>
              <w:rPr>
                <w:sz w:val="16"/>
              </w:rPr>
              <w:t>for</w:t>
            </w:r>
            <w:r>
              <w:rPr>
                <w:spacing w:val="-2"/>
                <w:sz w:val="16"/>
              </w:rPr>
              <w:t> victims</w:t>
            </w:r>
          </w:p>
        </w:tc>
        <w:tc>
          <w:tcPr>
            <w:tcW w:w="1216" w:type="dxa"/>
          </w:tcPr>
          <w:p>
            <w:pPr>
              <w:pStyle w:val="TableParagraph"/>
              <w:spacing w:before="10"/>
              <w:ind w:right="189"/>
              <w:rPr>
                <w:sz w:val="16"/>
              </w:rPr>
            </w:pPr>
            <w:r>
              <w:rPr>
                <w:spacing w:val="-2"/>
                <w:sz w:val="16"/>
              </w:rPr>
              <w:t>1,531.7</w:t>
            </w:r>
          </w:p>
        </w:tc>
        <w:tc>
          <w:tcPr>
            <w:tcW w:w="826" w:type="dxa"/>
          </w:tcPr>
          <w:p>
            <w:pPr>
              <w:pStyle w:val="TableParagraph"/>
              <w:spacing w:before="10"/>
              <w:ind w:right="109"/>
              <w:rPr>
                <w:sz w:val="16"/>
              </w:rPr>
            </w:pPr>
            <w:r>
              <w:rPr>
                <w:w w:val="98"/>
                <w:sz w:val="16"/>
              </w:rPr>
              <w:t>-</w:t>
            </w:r>
          </w:p>
        </w:tc>
        <w:tc>
          <w:tcPr>
            <w:tcW w:w="1128" w:type="dxa"/>
          </w:tcPr>
          <w:p>
            <w:pPr>
              <w:pStyle w:val="TableParagraph"/>
              <w:spacing w:before="10"/>
              <w:ind w:right="102"/>
              <w:rPr>
                <w:sz w:val="16"/>
              </w:rPr>
            </w:pPr>
            <w:r>
              <w:rPr>
                <w:spacing w:val="-2"/>
                <w:sz w:val="16"/>
              </w:rPr>
              <w:t>1,531.7</w:t>
            </w:r>
          </w:p>
        </w:tc>
        <w:tc>
          <w:tcPr>
            <w:tcW w:w="1079" w:type="dxa"/>
          </w:tcPr>
          <w:p>
            <w:pPr>
              <w:pStyle w:val="TableParagraph"/>
              <w:spacing w:before="10"/>
              <w:ind w:right="53"/>
              <w:rPr>
                <w:sz w:val="16"/>
              </w:rPr>
            </w:pPr>
            <w:r>
              <w:rPr>
                <w:spacing w:val="-2"/>
                <w:sz w:val="16"/>
              </w:rPr>
              <w:t>1,906.6</w:t>
            </w:r>
          </w:p>
        </w:tc>
        <w:tc>
          <w:tcPr>
            <w:tcW w:w="1130" w:type="dxa"/>
          </w:tcPr>
          <w:p>
            <w:pPr>
              <w:pStyle w:val="TableParagraph"/>
              <w:spacing w:before="10"/>
              <w:ind w:right="198"/>
              <w:rPr>
                <w:sz w:val="16"/>
              </w:rPr>
            </w:pPr>
            <w:r>
              <w:rPr>
                <w:spacing w:val="-2"/>
                <w:sz w:val="16"/>
              </w:rPr>
              <w:t>431.4</w:t>
            </w:r>
          </w:p>
        </w:tc>
        <w:tc>
          <w:tcPr>
            <w:tcW w:w="742" w:type="dxa"/>
          </w:tcPr>
          <w:p>
            <w:pPr>
              <w:pStyle w:val="TableParagraph"/>
              <w:spacing w:before="10"/>
              <w:ind w:right="181"/>
              <w:rPr>
                <w:sz w:val="16"/>
              </w:rPr>
            </w:pPr>
            <w:r>
              <w:rPr>
                <w:spacing w:val="-4"/>
                <w:sz w:val="16"/>
              </w:rPr>
              <w:t>22.6</w:t>
            </w:r>
          </w:p>
        </w:tc>
        <w:tc>
          <w:tcPr>
            <w:tcW w:w="1054" w:type="dxa"/>
          </w:tcPr>
          <w:p>
            <w:pPr>
              <w:pStyle w:val="TableParagraph"/>
              <w:spacing w:before="10"/>
              <w:ind w:right="107"/>
              <w:rPr>
                <w:sz w:val="16"/>
              </w:rPr>
            </w:pPr>
            <w:r>
              <w:rPr>
                <w:spacing w:val="-2"/>
                <w:sz w:val="16"/>
              </w:rPr>
              <w:t>2,338.0</w:t>
            </w:r>
          </w:p>
        </w:tc>
      </w:tr>
      <w:tr>
        <w:trPr>
          <w:trHeight w:val="225" w:hRule="atLeast"/>
        </w:trPr>
        <w:tc>
          <w:tcPr>
            <w:tcW w:w="2475" w:type="dxa"/>
          </w:tcPr>
          <w:p>
            <w:pPr>
              <w:pStyle w:val="TableParagraph"/>
              <w:spacing w:before="8"/>
              <w:ind w:left="117"/>
              <w:jc w:val="left"/>
              <w:rPr>
                <w:sz w:val="16"/>
              </w:rPr>
            </w:pPr>
            <w:r>
              <w:rPr>
                <w:sz w:val="16"/>
              </w:rPr>
              <w:t>General</w:t>
            </w:r>
            <w:r>
              <w:rPr>
                <w:spacing w:val="-4"/>
                <w:sz w:val="16"/>
              </w:rPr>
              <w:t> </w:t>
            </w:r>
            <w:r>
              <w:rPr>
                <w:sz w:val="16"/>
              </w:rPr>
              <w:t>operating</w:t>
            </w:r>
            <w:r>
              <w:rPr>
                <w:spacing w:val="-1"/>
                <w:sz w:val="16"/>
              </w:rPr>
              <w:t> </w:t>
            </w:r>
            <w:r>
              <w:rPr>
                <w:spacing w:val="-2"/>
                <w:sz w:val="16"/>
              </w:rPr>
              <w:t>expenses</w:t>
            </w:r>
          </w:p>
        </w:tc>
        <w:tc>
          <w:tcPr>
            <w:tcW w:w="1216" w:type="dxa"/>
          </w:tcPr>
          <w:p>
            <w:pPr>
              <w:pStyle w:val="TableParagraph"/>
              <w:spacing w:before="8"/>
              <w:ind w:right="189"/>
              <w:rPr>
                <w:sz w:val="16"/>
              </w:rPr>
            </w:pPr>
            <w:r>
              <w:rPr>
                <w:spacing w:val="-2"/>
                <w:sz w:val="16"/>
              </w:rPr>
              <w:t>10,591.2</w:t>
            </w:r>
          </w:p>
        </w:tc>
        <w:tc>
          <w:tcPr>
            <w:tcW w:w="826" w:type="dxa"/>
          </w:tcPr>
          <w:p>
            <w:pPr>
              <w:pStyle w:val="TableParagraph"/>
              <w:spacing w:before="8"/>
              <w:ind w:right="107"/>
              <w:rPr>
                <w:sz w:val="16"/>
              </w:rPr>
            </w:pPr>
            <w:r>
              <w:rPr>
                <w:spacing w:val="-2"/>
                <w:sz w:val="16"/>
              </w:rPr>
              <w:t>844.5</w:t>
            </w:r>
          </w:p>
        </w:tc>
        <w:tc>
          <w:tcPr>
            <w:tcW w:w="1128" w:type="dxa"/>
          </w:tcPr>
          <w:p>
            <w:pPr>
              <w:pStyle w:val="TableParagraph"/>
              <w:spacing w:before="8"/>
              <w:ind w:right="102"/>
              <w:rPr>
                <w:sz w:val="16"/>
              </w:rPr>
            </w:pPr>
            <w:r>
              <w:rPr>
                <w:spacing w:val="-2"/>
                <w:sz w:val="16"/>
              </w:rPr>
              <w:t>11,435.7</w:t>
            </w:r>
          </w:p>
        </w:tc>
        <w:tc>
          <w:tcPr>
            <w:tcW w:w="1079" w:type="dxa"/>
          </w:tcPr>
          <w:p>
            <w:pPr>
              <w:pStyle w:val="TableParagraph"/>
              <w:spacing w:before="8"/>
              <w:ind w:right="53"/>
              <w:rPr>
                <w:sz w:val="16"/>
              </w:rPr>
            </w:pPr>
            <w:r>
              <w:rPr>
                <w:spacing w:val="-2"/>
                <w:sz w:val="16"/>
              </w:rPr>
              <w:t>11,322.9</w:t>
            </w:r>
          </w:p>
        </w:tc>
        <w:tc>
          <w:tcPr>
            <w:tcW w:w="1130" w:type="dxa"/>
          </w:tcPr>
          <w:p>
            <w:pPr>
              <w:pStyle w:val="TableParagraph"/>
              <w:spacing w:before="8"/>
              <w:ind w:right="198"/>
              <w:rPr>
                <w:sz w:val="16"/>
              </w:rPr>
            </w:pPr>
            <w:r>
              <w:rPr>
                <w:spacing w:val="-2"/>
                <w:sz w:val="16"/>
              </w:rPr>
              <w:t>1,894.5</w:t>
            </w:r>
          </w:p>
        </w:tc>
        <w:tc>
          <w:tcPr>
            <w:tcW w:w="742" w:type="dxa"/>
          </w:tcPr>
          <w:p>
            <w:pPr>
              <w:pStyle w:val="TableParagraph"/>
              <w:spacing w:before="8"/>
              <w:ind w:right="181"/>
              <w:rPr>
                <w:sz w:val="16"/>
              </w:rPr>
            </w:pPr>
            <w:r>
              <w:rPr>
                <w:spacing w:val="-4"/>
                <w:sz w:val="16"/>
              </w:rPr>
              <w:t>16.7</w:t>
            </w:r>
          </w:p>
        </w:tc>
        <w:tc>
          <w:tcPr>
            <w:tcW w:w="1054" w:type="dxa"/>
          </w:tcPr>
          <w:p>
            <w:pPr>
              <w:pStyle w:val="TableParagraph"/>
              <w:spacing w:before="8"/>
              <w:ind w:right="107"/>
              <w:rPr>
                <w:sz w:val="16"/>
              </w:rPr>
            </w:pPr>
            <w:r>
              <w:rPr>
                <w:spacing w:val="-2"/>
                <w:sz w:val="16"/>
              </w:rPr>
              <w:t>13,217.4</w:t>
            </w:r>
          </w:p>
        </w:tc>
      </w:tr>
      <w:tr>
        <w:trPr>
          <w:trHeight w:val="227" w:hRule="atLeast"/>
        </w:trPr>
        <w:tc>
          <w:tcPr>
            <w:tcW w:w="2475" w:type="dxa"/>
          </w:tcPr>
          <w:p>
            <w:pPr>
              <w:pStyle w:val="TableParagraph"/>
              <w:spacing w:before="8"/>
              <w:ind w:left="117"/>
              <w:jc w:val="left"/>
              <w:rPr>
                <w:sz w:val="16"/>
              </w:rPr>
            </w:pPr>
            <w:r>
              <w:rPr>
                <w:sz w:val="16"/>
              </w:rPr>
              <w:t>Supplies</w:t>
            </w:r>
            <w:r>
              <w:rPr>
                <w:spacing w:val="-4"/>
                <w:sz w:val="16"/>
              </w:rPr>
              <w:t> </w:t>
            </w:r>
            <w:r>
              <w:rPr>
                <w:sz w:val="16"/>
              </w:rPr>
              <w:t>and</w:t>
            </w:r>
            <w:r>
              <w:rPr>
                <w:spacing w:val="-2"/>
                <w:sz w:val="16"/>
              </w:rPr>
              <w:t> materials</w:t>
            </w:r>
          </w:p>
        </w:tc>
        <w:tc>
          <w:tcPr>
            <w:tcW w:w="1216" w:type="dxa"/>
          </w:tcPr>
          <w:p>
            <w:pPr>
              <w:pStyle w:val="TableParagraph"/>
              <w:spacing w:before="8"/>
              <w:ind w:right="188"/>
              <w:rPr>
                <w:sz w:val="16"/>
              </w:rPr>
            </w:pPr>
            <w:r>
              <w:rPr>
                <w:spacing w:val="-2"/>
                <w:sz w:val="16"/>
              </w:rPr>
              <w:t>834.4</w:t>
            </w:r>
          </w:p>
        </w:tc>
        <w:tc>
          <w:tcPr>
            <w:tcW w:w="826" w:type="dxa"/>
          </w:tcPr>
          <w:p>
            <w:pPr>
              <w:pStyle w:val="TableParagraph"/>
              <w:spacing w:before="8"/>
              <w:ind w:right="109"/>
              <w:rPr>
                <w:sz w:val="16"/>
              </w:rPr>
            </w:pPr>
            <w:r>
              <w:rPr>
                <w:w w:val="98"/>
                <w:sz w:val="16"/>
              </w:rPr>
              <w:t>-</w:t>
            </w:r>
          </w:p>
        </w:tc>
        <w:tc>
          <w:tcPr>
            <w:tcW w:w="1128" w:type="dxa"/>
          </w:tcPr>
          <w:p>
            <w:pPr>
              <w:pStyle w:val="TableParagraph"/>
              <w:spacing w:before="8"/>
              <w:ind w:right="102"/>
              <w:rPr>
                <w:sz w:val="16"/>
              </w:rPr>
            </w:pPr>
            <w:r>
              <w:rPr>
                <w:spacing w:val="-2"/>
                <w:sz w:val="16"/>
              </w:rPr>
              <w:t>834.4</w:t>
            </w:r>
          </w:p>
        </w:tc>
        <w:tc>
          <w:tcPr>
            <w:tcW w:w="1079" w:type="dxa"/>
          </w:tcPr>
          <w:p>
            <w:pPr>
              <w:pStyle w:val="TableParagraph"/>
              <w:spacing w:before="8"/>
              <w:ind w:right="53"/>
              <w:rPr>
                <w:sz w:val="16"/>
              </w:rPr>
            </w:pPr>
            <w:r>
              <w:rPr>
                <w:spacing w:val="-2"/>
                <w:sz w:val="16"/>
              </w:rPr>
              <w:t>970.7</w:t>
            </w:r>
          </w:p>
        </w:tc>
        <w:tc>
          <w:tcPr>
            <w:tcW w:w="1130" w:type="dxa"/>
          </w:tcPr>
          <w:p>
            <w:pPr>
              <w:pStyle w:val="TableParagraph"/>
              <w:spacing w:before="8"/>
              <w:ind w:right="202"/>
              <w:rPr>
                <w:sz w:val="16"/>
              </w:rPr>
            </w:pPr>
            <w:r>
              <w:rPr>
                <w:spacing w:val="-2"/>
                <w:sz w:val="16"/>
              </w:rPr>
              <w:t>(50.4)</w:t>
            </w:r>
          </w:p>
        </w:tc>
        <w:tc>
          <w:tcPr>
            <w:tcW w:w="742" w:type="dxa"/>
          </w:tcPr>
          <w:p>
            <w:pPr>
              <w:pStyle w:val="TableParagraph"/>
              <w:spacing w:before="8"/>
              <w:ind w:right="184"/>
              <w:rPr>
                <w:sz w:val="16"/>
              </w:rPr>
            </w:pPr>
            <w:r>
              <w:rPr>
                <w:spacing w:val="-2"/>
                <w:sz w:val="16"/>
              </w:rPr>
              <w:t>(5.2)</w:t>
            </w:r>
          </w:p>
        </w:tc>
        <w:tc>
          <w:tcPr>
            <w:tcW w:w="1054" w:type="dxa"/>
          </w:tcPr>
          <w:p>
            <w:pPr>
              <w:pStyle w:val="TableParagraph"/>
              <w:spacing w:before="8"/>
              <w:ind w:right="107"/>
              <w:rPr>
                <w:sz w:val="16"/>
              </w:rPr>
            </w:pPr>
            <w:r>
              <w:rPr>
                <w:spacing w:val="-2"/>
                <w:sz w:val="16"/>
              </w:rPr>
              <w:t>920.3</w:t>
            </w:r>
          </w:p>
        </w:tc>
      </w:tr>
      <w:tr>
        <w:trPr>
          <w:trHeight w:val="221" w:hRule="atLeast"/>
        </w:trPr>
        <w:tc>
          <w:tcPr>
            <w:tcW w:w="2475" w:type="dxa"/>
            <w:tcBorders>
              <w:bottom w:val="single" w:sz="4" w:space="0" w:color="000000"/>
            </w:tcBorders>
          </w:tcPr>
          <w:p>
            <w:pPr>
              <w:pStyle w:val="TableParagraph"/>
              <w:spacing w:before="10"/>
              <w:ind w:left="117"/>
              <w:jc w:val="left"/>
              <w:rPr>
                <w:sz w:val="16"/>
              </w:rPr>
            </w:pPr>
            <w:r>
              <w:rPr>
                <w:sz w:val="16"/>
              </w:rPr>
              <w:t>Furniture</w:t>
            </w:r>
            <w:r>
              <w:rPr>
                <w:spacing w:val="-4"/>
                <w:sz w:val="16"/>
              </w:rPr>
              <w:t> </w:t>
            </w:r>
            <w:r>
              <w:rPr>
                <w:sz w:val="16"/>
              </w:rPr>
              <w:t>and</w:t>
            </w:r>
            <w:r>
              <w:rPr>
                <w:spacing w:val="-2"/>
                <w:sz w:val="16"/>
              </w:rPr>
              <w:t> equipment</w:t>
            </w:r>
          </w:p>
        </w:tc>
        <w:tc>
          <w:tcPr>
            <w:tcW w:w="1216" w:type="dxa"/>
            <w:tcBorders>
              <w:bottom w:val="single" w:sz="4" w:space="0" w:color="000000"/>
            </w:tcBorders>
          </w:tcPr>
          <w:p>
            <w:pPr>
              <w:pStyle w:val="TableParagraph"/>
              <w:spacing w:before="10"/>
              <w:ind w:right="188"/>
              <w:rPr>
                <w:sz w:val="16"/>
              </w:rPr>
            </w:pPr>
            <w:r>
              <w:rPr>
                <w:spacing w:val="-2"/>
                <w:sz w:val="16"/>
              </w:rPr>
              <w:t>467.0</w:t>
            </w:r>
          </w:p>
        </w:tc>
        <w:tc>
          <w:tcPr>
            <w:tcW w:w="826" w:type="dxa"/>
            <w:tcBorders>
              <w:bottom w:val="single" w:sz="4" w:space="0" w:color="000000"/>
            </w:tcBorders>
          </w:tcPr>
          <w:p>
            <w:pPr>
              <w:pStyle w:val="TableParagraph"/>
              <w:spacing w:before="10"/>
              <w:ind w:right="109"/>
              <w:rPr>
                <w:sz w:val="16"/>
              </w:rPr>
            </w:pPr>
            <w:r>
              <w:rPr>
                <w:w w:val="98"/>
                <w:sz w:val="16"/>
              </w:rPr>
              <w:t>-</w:t>
            </w:r>
          </w:p>
        </w:tc>
        <w:tc>
          <w:tcPr>
            <w:tcW w:w="1128" w:type="dxa"/>
            <w:tcBorders>
              <w:bottom w:val="single" w:sz="4" w:space="0" w:color="000000"/>
            </w:tcBorders>
          </w:tcPr>
          <w:p>
            <w:pPr>
              <w:pStyle w:val="TableParagraph"/>
              <w:spacing w:before="10"/>
              <w:ind w:right="102"/>
              <w:rPr>
                <w:sz w:val="16"/>
              </w:rPr>
            </w:pPr>
            <w:r>
              <w:rPr>
                <w:spacing w:val="-2"/>
                <w:sz w:val="16"/>
              </w:rPr>
              <w:t>467.0</w:t>
            </w:r>
          </w:p>
        </w:tc>
        <w:tc>
          <w:tcPr>
            <w:tcW w:w="1079" w:type="dxa"/>
            <w:tcBorders>
              <w:bottom w:val="single" w:sz="4" w:space="0" w:color="000000"/>
            </w:tcBorders>
          </w:tcPr>
          <w:p>
            <w:pPr>
              <w:pStyle w:val="TableParagraph"/>
              <w:spacing w:before="10"/>
              <w:ind w:right="53"/>
              <w:rPr>
                <w:sz w:val="16"/>
              </w:rPr>
            </w:pPr>
            <w:r>
              <w:rPr>
                <w:spacing w:val="-2"/>
                <w:sz w:val="16"/>
              </w:rPr>
              <w:t>548.6</w:t>
            </w:r>
          </w:p>
        </w:tc>
        <w:tc>
          <w:tcPr>
            <w:tcW w:w="1130" w:type="dxa"/>
            <w:tcBorders>
              <w:bottom w:val="single" w:sz="4" w:space="0" w:color="000000"/>
            </w:tcBorders>
          </w:tcPr>
          <w:p>
            <w:pPr>
              <w:pStyle w:val="TableParagraph"/>
              <w:spacing w:before="10"/>
              <w:ind w:right="198"/>
              <w:rPr>
                <w:sz w:val="16"/>
              </w:rPr>
            </w:pPr>
            <w:r>
              <w:rPr>
                <w:spacing w:val="-2"/>
                <w:sz w:val="16"/>
              </w:rPr>
              <w:t>899.8</w:t>
            </w:r>
          </w:p>
        </w:tc>
        <w:tc>
          <w:tcPr>
            <w:tcW w:w="742" w:type="dxa"/>
            <w:tcBorders>
              <w:bottom w:val="single" w:sz="4" w:space="0" w:color="000000"/>
            </w:tcBorders>
          </w:tcPr>
          <w:p>
            <w:pPr>
              <w:pStyle w:val="TableParagraph"/>
              <w:spacing w:before="10"/>
              <w:ind w:right="181"/>
              <w:rPr>
                <w:sz w:val="16"/>
              </w:rPr>
            </w:pPr>
            <w:r>
              <w:rPr>
                <w:spacing w:val="-2"/>
                <w:sz w:val="16"/>
              </w:rPr>
              <w:t>164.0</w:t>
            </w:r>
          </w:p>
        </w:tc>
        <w:tc>
          <w:tcPr>
            <w:tcW w:w="1054" w:type="dxa"/>
            <w:tcBorders>
              <w:bottom w:val="single" w:sz="4" w:space="0" w:color="000000"/>
            </w:tcBorders>
          </w:tcPr>
          <w:p>
            <w:pPr>
              <w:pStyle w:val="TableParagraph"/>
              <w:spacing w:before="10"/>
              <w:ind w:right="107"/>
              <w:rPr>
                <w:sz w:val="16"/>
              </w:rPr>
            </w:pPr>
            <w:r>
              <w:rPr>
                <w:spacing w:val="-2"/>
                <w:sz w:val="16"/>
              </w:rPr>
              <w:t>1,448.4</w:t>
            </w:r>
          </w:p>
        </w:tc>
      </w:tr>
      <w:tr>
        <w:trPr>
          <w:trHeight w:val="230" w:hRule="atLeast"/>
        </w:trPr>
        <w:tc>
          <w:tcPr>
            <w:tcW w:w="2475" w:type="dxa"/>
            <w:tcBorders>
              <w:top w:val="single" w:sz="4" w:space="0" w:color="000000"/>
              <w:bottom w:val="single" w:sz="4" w:space="0" w:color="000000"/>
            </w:tcBorders>
          </w:tcPr>
          <w:p>
            <w:pPr>
              <w:pStyle w:val="TableParagraph"/>
              <w:spacing w:before="14"/>
              <w:ind w:right="102"/>
              <w:rPr>
                <w:i/>
                <w:sz w:val="16"/>
              </w:rPr>
            </w:pPr>
            <w:r>
              <w:rPr>
                <w:i/>
                <w:w w:val="95"/>
                <w:sz w:val="16"/>
              </w:rPr>
              <w:t>Subtotal</w:t>
            </w:r>
            <w:r>
              <w:rPr>
                <w:i/>
                <w:spacing w:val="40"/>
                <w:sz w:val="16"/>
              </w:rPr>
              <w:t> </w:t>
            </w:r>
            <w:r>
              <w:rPr>
                <w:i/>
                <w:w w:val="95"/>
                <w:sz w:val="16"/>
              </w:rPr>
              <w:t>non-</w:t>
            </w:r>
            <w:r>
              <w:rPr>
                <w:i/>
                <w:spacing w:val="-4"/>
                <w:w w:val="95"/>
                <w:sz w:val="16"/>
              </w:rPr>
              <w:t>staff</w:t>
            </w:r>
          </w:p>
        </w:tc>
        <w:tc>
          <w:tcPr>
            <w:tcW w:w="1216" w:type="dxa"/>
            <w:tcBorders>
              <w:top w:val="single" w:sz="4" w:space="0" w:color="000000"/>
              <w:bottom w:val="single" w:sz="4" w:space="0" w:color="000000"/>
            </w:tcBorders>
          </w:tcPr>
          <w:p>
            <w:pPr>
              <w:pStyle w:val="TableParagraph"/>
              <w:spacing w:before="14"/>
              <w:ind w:right="189"/>
              <w:rPr>
                <w:i/>
                <w:sz w:val="16"/>
              </w:rPr>
            </w:pPr>
            <w:r>
              <w:rPr>
                <w:i/>
                <w:spacing w:val="-2"/>
                <w:sz w:val="16"/>
              </w:rPr>
              <w:t>21,513.0</w:t>
            </w:r>
          </w:p>
        </w:tc>
        <w:tc>
          <w:tcPr>
            <w:tcW w:w="826" w:type="dxa"/>
            <w:tcBorders>
              <w:top w:val="single" w:sz="4" w:space="0" w:color="000000"/>
              <w:bottom w:val="single" w:sz="4" w:space="0" w:color="000000"/>
            </w:tcBorders>
          </w:tcPr>
          <w:p>
            <w:pPr>
              <w:pStyle w:val="TableParagraph"/>
              <w:spacing w:before="14"/>
              <w:ind w:right="107"/>
              <w:rPr>
                <w:i/>
                <w:sz w:val="16"/>
              </w:rPr>
            </w:pPr>
            <w:r>
              <w:rPr>
                <w:i/>
                <w:spacing w:val="-2"/>
                <w:sz w:val="16"/>
              </w:rPr>
              <w:t>1,781.4</w:t>
            </w:r>
          </w:p>
        </w:tc>
        <w:tc>
          <w:tcPr>
            <w:tcW w:w="1128" w:type="dxa"/>
            <w:tcBorders>
              <w:top w:val="single" w:sz="4" w:space="0" w:color="000000"/>
              <w:bottom w:val="single" w:sz="4" w:space="0" w:color="000000"/>
            </w:tcBorders>
          </w:tcPr>
          <w:p>
            <w:pPr>
              <w:pStyle w:val="TableParagraph"/>
              <w:spacing w:before="14"/>
              <w:ind w:right="102"/>
              <w:rPr>
                <w:i/>
                <w:sz w:val="16"/>
              </w:rPr>
            </w:pPr>
            <w:r>
              <w:rPr>
                <w:i/>
                <w:spacing w:val="-2"/>
                <w:sz w:val="16"/>
              </w:rPr>
              <w:t>23,294.4</w:t>
            </w:r>
          </w:p>
        </w:tc>
        <w:tc>
          <w:tcPr>
            <w:tcW w:w="1079" w:type="dxa"/>
            <w:tcBorders>
              <w:top w:val="single" w:sz="4" w:space="0" w:color="000000"/>
              <w:bottom w:val="single" w:sz="4" w:space="0" w:color="000000"/>
            </w:tcBorders>
          </w:tcPr>
          <w:p>
            <w:pPr>
              <w:pStyle w:val="TableParagraph"/>
              <w:spacing w:before="14"/>
              <w:ind w:right="53"/>
              <w:rPr>
                <w:i/>
                <w:sz w:val="16"/>
              </w:rPr>
            </w:pPr>
            <w:r>
              <w:rPr>
                <w:i/>
                <w:spacing w:val="-2"/>
                <w:sz w:val="16"/>
              </w:rPr>
              <w:t>24,464.4</w:t>
            </w:r>
          </w:p>
        </w:tc>
        <w:tc>
          <w:tcPr>
            <w:tcW w:w="1130" w:type="dxa"/>
            <w:tcBorders>
              <w:top w:val="single" w:sz="4" w:space="0" w:color="000000"/>
              <w:bottom w:val="single" w:sz="4" w:space="0" w:color="000000"/>
            </w:tcBorders>
          </w:tcPr>
          <w:p>
            <w:pPr>
              <w:pStyle w:val="TableParagraph"/>
              <w:spacing w:before="14"/>
              <w:ind w:right="198"/>
              <w:rPr>
                <w:i/>
                <w:sz w:val="16"/>
              </w:rPr>
            </w:pPr>
            <w:r>
              <w:rPr>
                <w:i/>
                <w:spacing w:val="-2"/>
                <w:sz w:val="16"/>
              </w:rPr>
              <w:t>4,603.9</w:t>
            </w:r>
          </w:p>
        </w:tc>
        <w:tc>
          <w:tcPr>
            <w:tcW w:w="742" w:type="dxa"/>
            <w:tcBorders>
              <w:top w:val="single" w:sz="4" w:space="0" w:color="000000"/>
              <w:bottom w:val="single" w:sz="4" w:space="0" w:color="000000"/>
            </w:tcBorders>
          </w:tcPr>
          <w:p>
            <w:pPr>
              <w:pStyle w:val="TableParagraph"/>
              <w:spacing w:before="14"/>
              <w:ind w:right="181"/>
              <w:rPr>
                <w:i/>
                <w:sz w:val="16"/>
              </w:rPr>
            </w:pPr>
            <w:r>
              <w:rPr>
                <w:i/>
                <w:spacing w:val="-4"/>
                <w:sz w:val="16"/>
              </w:rPr>
              <w:t>18.8</w:t>
            </w:r>
          </w:p>
        </w:tc>
        <w:tc>
          <w:tcPr>
            <w:tcW w:w="1054" w:type="dxa"/>
            <w:tcBorders>
              <w:top w:val="single" w:sz="4" w:space="0" w:color="000000"/>
              <w:bottom w:val="single" w:sz="4" w:space="0" w:color="000000"/>
            </w:tcBorders>
          </w:tcPr>
          <w:p>
            <w:pPr>
              <w:pStyle w:val="TableParagraph"/>
              <w:spacing w:before="14"/>
              <w:ind w:right="107"/>
              <w:rPr>
                <w:i/>
                <w:sz w:val="16"/>
              </w:rPr>
            </w:pPr>
            <w:r>
              <w:rPr>
                <w:i/>
                <w:spacing w:val="-2"/>
                <w:sz w:val="16"/>
              </w:rPr>
              <w:t>29,068.3</w:t>
            </w:r>
          </w:p>
        </w:tc>
      </w:tr>
      <w:tr>
        <w:trPr>
          <w:trHeight w:val="224" w:hRule="atLeast"/>
        </w:trPr>
        <w:tc>
          <w:tcPr>
            <w:tcW w:w="2475" w:type="dxa"/>
            <w:tcBorders>
              <w:top w:val="single" w:sz="4" w:space="0" w:color="000000"/>
              <w:bottom w:val="single" w:sz="12" w:space="0" w:color="000000"/>
            </w:tcBorders>
          </w:tcPr>
          <w:p>
            <w:pPr>
              <w:pStyle w:val="TableParagraph"/>
              <w:spacing w:before="9"/>
              <w:ind w:left="117"/>
              <w:jc w:val="left"/>
              <w:rPr>
                <w:b/>
                <w:sz w:val="16"/>
              </w:rPr>
            </w:pPr>
            <w:r>
              <w:rPr>
                <w:b/>
                <w:spacing w:val="-2"/>
                <w:sz w:val="16"/>
              </w:rPr>
              <w:t>Total</w:t>
            </w:r>
          </w:p>
        </w:tc>
        <w:tc>
          <w:tcPr>
            <w:tcW w:w="1216" w:type="dxa"/>
            <w:tcBorders>
              <w:top w:val="single" w:sz="4" w:space="0" w:color="000000"/>
              <w:bottom w:val="single" w:sz="12" w:space="0" w:color="000000"/>
            </w:tcBorders>
          </w:tcPr>
          <w:p>
            <w:pPr>
              <w:pStyle w:val="TableParagraph"/>
              <w:spacing w:before="9"/>
              <w:ind w:right="189"/>
              <w:rPr>
                <w:b/>
                <w:sz w:val="16"/>
              </w:rPr>
            </w:pPr>
            <w:r>
              <w:rPr>
                <w:b/>
                <w:spacing w:val="-2"/>
                <w:sz w:val="16"/>
              </w:rPr>
              <w:t>74,864.5</w:t>
            </w:r>
          </w:p>
        </w:tc>
        <w:tc>
          <w:tcPr>
            <w:tcW w:w="826" w:type="dxa"/>
            <w:tcBorders>
              <w:top w:val="single" w:sz="4" w:space="0" w:color="000000"/>
              <w:bottom w:val="single" w:sz="12" w:space="0" w:color="000000"/>
            </w:tcBorders>
          </w:tcPr>
          <w:p>
            <w:pPr>
              <w:pStyle w:val="TableParagraph"/>
              <w:spacing w:before="9"/>
              <w:ind w:right="107"/>
              <w:rPr>
                <w:b/>
                <w:sz w:val="16"/>
              </w:rPr>
            </w:pPr>
            <w:r>
              <w:rPr>
                <w:b/>
                <w:spacing w:val="-2"/>
                <w:sz w:val="16"/>
              </w:rPr>
              <w:t>1,803.8</w:t>
            </w:r>
          </w:p>
        </w:tc>
        <w:tc>
          <w:tcPr>
            <w:tcW w:w="1128" w:type="dxa"/>
            <w:tcBorders>
              <w:top w:val="single" w:sz="4" w:space="0" w:color="000000"/>
              <w:bottom w:val="single" w:sz="12" w:space="0" w:color="000000"/>
            </w:tcBorders>
          </w:tcPr>
          <w:p>
            <w:pPr>
              <w:pStyle w:val="TableParagraph"/>
              <w:spacing w:before="9"/>
              <w:ind w:right="102"/>
              <w:rPr>
                <w:b/>
                <w:sz w:val="16"/>
              </w:rPr>
            </w:pPr>
            <w:r>
              <w:rPr>
                <w:b/>
                <w:spacing w:val="-2"/>
                <w:sz w:val="16"/>
              </w:rPr>
              <w:t>76,668.3</w:t>
            </w:r>
          </w:p>
        </w:tc>
        <w:tc>
          <w:tcPr>
            <w:tcW w:w="1079" w:type="dxa"/>
            <w:tcBorders>
              <w:top w:val="single" w:sz="4" w:space="0" w:color="000000"/>
              <w:bottom w:val="single" w:sz="12" w:space="0" w:color="000000"/>
            </w:tcBorders>
          </w:tcPr>
          <w:p>
            <w:pPr>
              <w:pStyle w:val="TableParagraph"/>
              <w:spacing w:before="9"/>
              <w:ind w:right="53"/>
              <w:rPr>
                <w:b/>
                <w:sz w:val="16"/>
              </w:rPr>
            </w:pPr>
            <w:r>
              <w:rPr>
                <w:b/>
                <w:spacing w:val="-2"/>
                <w:sz w:val="16"/>
              </w:rPr>
              <w:t>79,219.2</w:t>
            </w:r>
          </w:p>
        </w:tc>
        <w:tc>
          <w:tcPr>
            <w:tcW w:w="1130" w:type="dxa"/>
            <w:tcBorders>
              <w:top w:val="single" w:sz="4" w:space="0" w:color="000000"/>
              <w:bottom w:val="single" w:sz="12" w:space="0" w:color="000000"/>
            </w:tcBorders>
          </w:tcPr>
          <w:p>
            <w:pPr>
              <w:pStyle w:val="TableParagraph"/>
              <w:spacing w:before="9"/>
              <w:ind w:right="198"/>
              <w:rPr>
                <w:b/>
                <w:sz w:val="16"/>
              </w:rPr>
            </w:pPr>
            <w:r>
              <w:rPr>
                <w:b/>
                <w:spacing w:val="-2"/>
                <w:sz w:val="16"/>
              </w:rPr>
              <w:t>11,187.9</w:t>
            </w:r>
          </w:p>
        </w:tc>
        <w:tc>
          <w:tcPr>
            <w:tcW w:w="742" w:type="dxa"/>
            <w:tcBorders>
              <w:top w:val="single" w:sz="4" w:space="0" w:color="000000"/>
              <w:bottom w:val="single" w:sz="12" w:space="0" w:color="000000"/>
            </w:tcBorders>
          </w:tcPr>
          <w:p>
            <w:pPr>
              <w:pStyle w:val="TableParagraph"/>
              <w:spacing w:before="9"/>
              <w:ind w:right="181"/>
              <w:rPr>
                <w:b/>
                <w:sz w:val="16"/>
              </w:rPr>
            </w:pPr>
            <w:r>
              <w:rPr>
                <w:b/>
                <w:spacing w:val="-4"/>
                <w:sz w:val="16"/>
              </w:rPr>
              <w:t>14.1</w:t>
            </w:r>
          </w:p>
        </w:tc>
        <w:tc>
          <w:tcPr>
            <w:tcW w:w="1054" w:type="dxa"/>
            <w:tcBorders>
              <w:top w:val="single" w:sz="4" w:space="0" w:color="000000"/>
              <w:bottom w:val="single" w:sz="12" w:space="0" w:color="000000"/>
            </w:tcBorders>
          </w:tcPr>
          <w:p>
            <w:pPr>
              <w:pStyle w:val="TableParagraph"/>
              <w:spacing w:before="9"/>
              <w:ind w:right="107"/>
              <w:rPr>
                <w:b/>
                <w:sz w:val="16"/>
              </w:rPr>
            </w:pPr>
            <w:r>
              <w:rPr>
                <w:b/>
                <w:spacing w:val="-2"/>
                <w:sz w:val="16"/>
              </w:rPr>
              <w:t>90,407.1</w:t>
            </w:r>
          </w:p>
        </w:tc>
      </w:tr>
    </w:tbl>
    <w:p>
      <w:pPr>
        <w:pStyle w:val="BodyText"/>
        <w:rPr>
          <w:b/>
          <w:sz w:val="22"/>
        </w:rPr>
      </w:pPr>
    </w:p>
    <w:p>
      <w:pPr>
        <w:spacing w:before="0"/>
        <w:ind w:left="2246" w:right="0" w:firstLine="0"/>
        <w:jc w:val="left"/>
        <w:rPr>
          <w:b/>
          <w:sz w:val="20"/>
        </w:rPr>
      </w:pPr>
      <w:r>
        <w:rPr>
          <w:b/>
          <w:sz w:val="20"/>
        </w:rPr>
        <w:t>Table</w:t>
      </w:r>
      <w:r>
        <w:rPr>
          <w:b/>
          <w:spacing w:val="-6"/>
          <w:sz w:val="20"/>
        </w:rPr>
        <w:t> </w:t>
      </w:r>
      <w:r>
        <w:rPr>
          <w:b/>
          <w:sz w:val="20"/>
        </w:rPr>
        <w:t>23:</w:t>
      </w:r>
      <w:r>
        <w:rPr>
          <w:b/>
          <w:spacing w:val="-6"/>
          <w:sz w:val="20"/>
        </w:rPr>
        <w:t> </w:t>
      </w:r>
      <w:r>
        <w:rPr>
          <w:b/>
          <w:sz w:val="20"/>
        </w:rPr>
        <w:t>Major</w:t>
      </w:r>
      <w:r>
        <w:rPr>
          <w:b/>
          <w:spacing w:val="-11"/>
          <w:sz w:val="20"/>
        </w:rPr>
        <w:t> </w:t>
      </w:r>
      <w:r>
        <w:rPr>
          <w:b/>
          <w:sz w:val="20"/>
        </w:rPr>
        <w:t>Programme</w:t>
      </w:r>
      <w:r>
        <w:rPr>
          <w:b/>
          <w:spacing w:val="-5"/>
          <w:sz w:val="20"/>
        </w:rPr>
        <w:t> </w:t>
      </w:r>
      <w:r>
        <w:rPr>
          <w:b/>
          <w:sz w:val="20"/>
        </w:rPr>
        <w:t>III:</w:t>
      </w:r>
      <w:r>
        <w:rPr>
          <w:b/>
          <w:spacing w:val="-3"/>
          <w:sz w:val="20"/>
        </w:rPr>
        <w:t> </w:t>
      </w:r>
      <w:r>
        <w:rPr>
          <w:b/>
          <w:sz w:val="20"/>
        </w:rPr>
        <w:t>Proposed</w:t>
      </w:r>
      <w:r>
        <w:rPr>
          <w:b/>
          <w:spacing w:val="-8"/>
          <w:sz w:val="20"/>
        </w:rPr>
        <w:t> </w:t>
      </w:r>
      <w:r>
        <w:rPr>
          <w:b/>
          <w:sz w:val="20"/>
        </w:rPr>
        <w:t>staffing</w:t>
      </w:r>
      <w:r>
        <w:rPr>
          <w:b/>
          <w:spacing w:val="-3"/>
          <w:sz w:val="20"/>
        </w:rPr>
        <w:t> </w:t>
      </w:r>
      <w:r>
        <w:rPr>
          <w:b/>
          <w:sz w:val="20"/>
        </w:rPr>
        <w:t>for</w:t>
      </w:r>
      <w:r>
        <w:rPr>
          <w:b/>
          <w:spacing w:val="-5"/>
          <w:sz w:val="20"/>
        </w:rPr>
        <w:t> </w:t>
      </w:r>
      <w:r>
        <w:rPr>
          <w:b/>
          <w:spacing w:val="-4"/>
          <w:sz w:val="20"/>
        </w:rPr>
        <w:t>2023</w:t>
      </w:r>
    </w:p>
    <w:tbl>
      <w:tblPr>
        <w:tblW w:w="0" w:type="auto"/>
        <w:jc w:val="left"/>
        <w:tblInd w:w="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6"/>
        <w:gridCol w:w="678"/>
        <w:gridCol w:w="607"/>
        <w:gridCol w:w="563"/>
        <w:gridCol w:w="557"/>
        <w:gridCol w:w="539"/>
        <w:gridCol w:w="636"/>
        <w:gridCol w:w="622"/>
        <w:gridCol w:w="668"/>
        <w:gridCol w:w="535"/>
        <w:gridCol w:w="795"/>
        <w:gridCol w:w="569"/>
        <w:gridCol w:w="582"/>
        <w:gridCol w:w="563"/>
        <w:gridCol w:w="789"/>
        <w:gridCol w:w="548"/>
      </w:tblGrid>
      <w:tr>
        <w:trPr>
          <w:trHeight w:val="484" w:hRule="atLeast"/>
        </w:trPr>
        <w:tc>
          <w:tcPr>
            <w:tcW w:w="1186"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left="67"/>
              <w:jc w:val="left"/>
              <w:rPr>
                <w:sz w:val="14"/>
              </w:rPr>
            </w:pPr>
            <w:r>
              <w:rPr>
                <w:spacing w:val="-5"/>
                <w:sz w:val="14"/>
              </w:rPr>
              <w:t>III</w:t>
            </w:r>
          </w:p>
        </w:tc>
        <w:tc>
          <w:tcPr>
            <w:tcW w:w="678"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152"/>
              <w:rPr>
                <w:sz w:val="14"/>
              </w:rPr>
            </w:pPr>
            <w:r>
              <w:rPr>
                <w:spacing w:val="-5"/>
                <w:sz w:val="14"/>
              </w:rPr>
              <w:t>USG</w:t>
            </w:r>
          </w:p>
        </w:tc>
        <w:tc>
          <w:tcPr>
            <w:tcW w:w="607"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169"/>
              <w:rPr>
                <w:sz w:val="14"/>
              </w:rPr>
            </w:pPr>
            <w:r>
              <w:rPr>
                <w:spacing w:val="-5"/>
                <w:sz w:val="14"/>
              </w:rPr>
              <w:t>ASG</w:t>
            </w:r>
          </w:p>
        </w:tc>
        <w:tc>
          <w:tcPr>
            <w:tcW w:w="563"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167"/>
              <w:rPr>
                <w:sz w:val="14"/>
              </w:rPr>
            </w:pPr>
            <w:r>
              <w:rPr>
                <w:w w:val="95"/>
                <w:sz w:val="14"/>
              </w:rPr>
              <w:t>D-</w:t>
            </w:r>
            <w:r>
              <w:rPr>
                <w:spacing w:val="-10"/>
                <w:sz w:val="14"/>
              </w:rPr>
              <w:t>2</w:t>
            </w:r>
          </w:p>
        </w:tc>
        <w:tc>
          <w:tcPr>
            <w:tcW w:w="557"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163"/>
              <w:rPr>
                <w:sz w:val="14"/>
              </w:rPr>
            </w:pPr>
            <w:r>
              <w:rPr>
                <w:w w:val="95"/>
                <w:sz w:val="14"/>
              </w:rPr>
              <w:t>D-</w:t>
            </w:r>
            <w:r>
              <w:rPr>
                <w:spacing w:val="-10"/>
                <w:sz w:val="14"/>
              </w:rPr>
              <w:t>1</w:t>
            </w:r>
          </w:p>
        </w:tc>
        <w:tc>
          <w:tcPr>
            <w:tcW w:w="539"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left="157" w:right="68"/>
              <w:jc w:val="center"/>
              <w:rPr>
                <w:sz w:val="14"/>
              </w:rPr>
            </w:pPr>
            <w:r>
              <w:rPr>
                <w:w w:val="95"/>
                <w:sz w:val="14"/>
              </w:rPr>
              <w:t>P-</w:t>
            </w:r>
            <w:r>
              <w:rPr>
                <w:spacing w:val="-10"/>
                <w:sz w:val="14"/>
              </w:rPr>
              <w:t>5</w:t>
            </w:r>
          </w:p>
        </w:tc>
        <w:tc>
          <w:tcPr>
            <w:tcW w:w="636"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176"/>
              <w:rPr>
                <w:sz w:val="14"/>
              </w:rPr>
            </w:pPr>
            <w:r>
              <w:rPr>
                <w:w w:val="95"/>
                <w:sz w:val="14"/>
              </w:rPr>
              <w:t>P-</w:t>
            </w:r>
            <w:r>
              <w:rPr>
                <w:spacing w:val="-10"/>
                <w:sz w:val="14"/>
              </w:rPr>
              <w:t>4</w:t>
            </w:r>
          </w:p>
        </w:tc>
        <w:tc>
          <w:tcPr>
            <w:tcW w:w="622"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202"/>
              <w:rPr>
                <w:sz w:val="14"/>
              </w:rPr>
            </w:pPr>
            <w:r>
              <w:rPr>
                <w:w w:val="95"/>
                <w:sz w:val="14"/>
              </w:rPr>
              <w:t>P-</w:t>
            </w:r>
            <w:r>
              <w:rPr>
                <w:spacing w:val="-10"/>
                <w:sz w:val="14"/>
              </w:rPr>
              <w:t>3</w:t>
            </w:r>
          </w:p>
        </w:tc>
        <w:tc>
          <w:tcPr>
            <w:tcW w:w="668"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130"/>
              <w:rPr>
                <w:sz w:val="14"/>
              </w:rPr>
            </w:pPr>
            <w:r>
              <w:rPr>
                <w:w w:val="95"/>
                <w:sz w:val="14"/>
              </w:rPr>
              <w:t>P-</w:t>
            </w:r>
            <w:r>
              <w:rPr>
                <w:spacing w:val="-10"/>
                <w:sz w:val="14"/>
              </w:rPr>
              <w:t>2</w:t>
            </w:r>
          </w:p>
        </w:tc>
        <w:tc>
          <w:tcPr>
            <w:tcW w:w="535"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70"/>
              <w:rPr>
                <w:sz w:val="14"/>
              </w:rPr>
            </w:pPr>
            <w:r>
              <w:rPr>
                <w:w w:val="95"/>
                <w:sz w:val="14"/>
              </w:rPr>
              <w:t>P-</w:t>
            </w:r>
            <w:r>
              <w:rPr>
                <w:spacing w:val="-10"/>
                <w:sz w:val="14"/>
              </w:rPr>
              <w:t>1</w:t>
            </w:r>
          </w:p>
        </w:tc>
        <w:tc>
          <w:tcPr>
            <w:tcW w:w="795" w:type="dxa"/>
            <w:tcBorders>
              <w:top w:val="single" w:sz="4" w:space="0" w:color="000000"/>
              <w:bottom w:val="single" w:sz="4" w:space="0" w:color="000000"/>
            </w:tcBorders>
          </w:tcPr>
          <w:p>
            <w:pPr>
              <w:pStyle w:val="TableParagraph"/>
              <w:spacing w:line="235" w:lineRule="auto"/>
              <w:ind w:left="270" w:right="128" w:firstLine="96"/>
              <w:rPr>
                <w:i/>
                <w:sz w:val="14"/>
              </w:rPr>
            </w:pPr>
            <w:r>
              <w:rPr>
                <w:i/>
                <w:spacing w:val="-2"/>
                <w:sz w:val="14"/>
              </w:rPr>
              <w:t>Total</w:t>
            </w:r>
            <w:r>
              <w:rPr>
                <w:i/>
                <w:spacing w:val="40"/>
                <w:sz w:val="14"/>
              </w:rPr>
              <w:t> </w:t>
            </w:r>
            <w:r>
              <w:rPr>
                <w:i/>
                <w:w w:val="95"/>
                <w:sz w:val="14"/>
              </w:rPr>
              <w:t>P-</w:t>
            </w:r>
            <w:r>
              <w:rPr>
                <w:i/>
                <w:spacing w:val="-4"/>
                <w:sz w:val="14"/>
              </w:rPr>
              <w:t>Staff</w:t>
            </w:r>
          </w:p>
          <w:p>
            <w:pPr>
              <w:pStyle w:val="TableParagraph"/>
              <w:spacing w:line="149" w:lineRule="exact"/>
              <w:ind w:right="125"/>
              <w:rPr>
                <w:i/>
                <w:sz w:val="14"/>
              </w:rPr>
            </w:pPr>
            <w:r>
              <w:rPr>
                <w:i/>
                <w:sz w:val="14"/>
              </w:rPr>
              <w:t>and</w:t>
            </w:r>
            <w:r>
              <w:rPr>
                <w:i/>
                <w:spacing w:val="1"/>
                <w:sz w:val="14"/>
              </w:rPr>
              <w:t> </w:t>
            </w:r>
            <w:r>
              <w:rPr>
                <w:i/>
                <w:spacing w:val="-2"/>
                <w:sz w:val="14"/>
              </w:rPr>
              <w:t>Above</w:t>
            </w:r>
          </w:p>
        </w:tc>
        <w:tc>
          <w:tcPr>
            <w:tcW w:w="569"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100"/>
              <w:rPr>
                <w:sz w:val="14"/>
              </w:rPr>
            </w:pPr>
            <w:r>
              <w:rPr>
                <w:w w:val="95"/>
                <w:sz w:val="14"/>
              </w:rPr>
              <w:t>NO-</w:t>
            </w:r>
            <w:r>
              <w:rPr>
                <w:spacing w:val="-10"/>
                <w:sz w:val="14"/>
              </w:rPr>
              <w:t>C</w:t>
            </w:r>
          </w:p>
        </w:tc>
        <w:tc>
          <w:tcPr>
            <w:tcW w:w="582"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95"/>
              <w:rPr>
                <w:sz w:val="14"/>
              </w:rPr>
            </w:pPr>
            <w:r>
              <w:rPr>
                <w:w w:val="95"/>
                <w:sz w:val="14"/>
              </w:rPr>
              <w:t>GS-</w:t>
            </w:r>
            <w:r>
              <w:rPr>
                <w:spacing w:val="-5"/>
                <w:sz w:val="14"/>
              </w:rPr>
              <w:t>PL</w:t>
            </w:r>
          </w:p>
        </w:tc>
        <w:tc>
          <w:tcPr>
            <w:tcW w:w="563"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66"/>
              <w:rPr>
                <w:sz w:val="14"/>
              </w:rPr>
            </w:pPr>
            <w:r>
              <w:rPr>
                <w:w w:val="95"/>
                <w:sz w:val="14"/>
              </w:rPr>
              <w:t>GS-</w:t>
            </w:r>
            <w:r>
              <w:rPr>
                <w:spacing w:val="-5"/>
                <w:sz w:val="14"/>
              </w:rPr>
              <w:t>OL</w:t>
            </w:r>
          </w:p>
        </w:tc>
        <w:tc>
          <w:tcPr>
            <w:tcW w:w="789" w:type="dxa"/>
            <w:tcBorders>
              <w:top w:val="single" w:sz="4" w:space="0" w:color="000000"/>
              <w:bottom w:val="single" w:sz="4" w:space="0" w:color="000000"/>
            </w:tcBorders>
          </w:tcPr>
          <w:p>
            <w:pPr>
              <w:pStyle w:val="TableParagraph"/>
              <w:spacing w:line="235" w:lineRule="auto"/>
              <w:ind w:left="249" w:right="110" w:firstLine="124"/>
              <w:jc w:val="left"/>
              <w:rPr>
                <w:i/>
                <w:sz w:val="14"/>
              </w:rPr>
            </w:pPr>
            <w:r>
              <w:rPr>
                <w:i/>
                <w:spacing w:val="-2"/>
                <w:sz w:val="14"/>
              </w:rPr>
              <w:t>Total</w:t>
            </w:r>
            <w:r>
              <w:rPr>
                <w:i/>
                <w:spacing w:val="40"/>
                <w:sz w:val="14"/>
              </w:rPr>
              <w:t> </w:t>
            </w:r>
            <w:r>
              <w:rPr>
                <w:i/>
                <w:sz w:val="14"/>
              </w:rPr>
              <w:t>GS</w:t>
            </w:r>
            <w:r>
              <w:rPr>
                <w:i/>
                <w:spacing w:val="-1"/>
                <w:sz w:val="14"/>
              </w:rPr>
              <w:t> </w:t>
            </w:r>
            <w:r>
              <w:rPr>
                <w:i/>
                <w:spacing w:val="-5"/>
                <w:sz w:val="14"/>
              </w:rPr>
              <w:t>and</w:t>
            </w:r>
          </w:p>
          <w:p>
            <w:pPr>
              <w:pStyle w:val="TableParagraph"/>
              <w:spacing w:line="149" w:lineRule="exact"/>
              <w:ind w:left="52"/>
              <w:jc w:val="left"/>
              <w:rPr>
                <w:i/>
                <w:sz w:val="14"/>
              </w:rPr>
            </w:pPr>
            <w:r>
              <w:rPr>
                <w:i/>
                <w:sz w:val="14"/>
              </w:rPr>
              <w:t>Other</w:t>
            </w:r>
            <w:r>
              <w:rPr>
                <w:i/>
                <w:spacing w:val="-5"/>
                <w:sz w:val="14"/>
              </w:rPr>
              <w:t> </w:t>
            </w:r>
            <w:r>
              <w:rPr>
                <w:i/>
                <w:spacing w:val="-2"/>
                <w:sz w:val="14"/>
              </w:rPr>
              <w:t>Staff</w:t>
            </w:r>
          </w:p>
        </w:tc>
        <w:tc>
          <w:tcPr>
            <w:tcW w:w="548" w:type="dxa"/>
            <w:tcBorders>
              <w:top w:val="single" w:sz="4" w:space="0" w:color="000000"/>
              <w:bottom w:val="single" w:sz="4" w:space="0" w:color="000000"/>
            </w:tcBorders>
          </w:tcPr>
          <w:p>
            <w:pPr>
              <w:pStyle w:val="TableParagraph"/>
              <w:spacing w:before="4"/>
              <w:jc w:val="left"/>
              <w:rPr>
                <w:b/>
                <w:sz w:val="12"/>
              </w:rPr>
            </w:pPr>
          </w:p>
          <w:p>
            <w:pPr>
              <w:pStyle w:val="TableParagraph"/>
              <w:spacing w:line="160" w:lineRule="atLeast"/>
              <w:ind w:left="194" w:hanging="34"/>
              <w:jc w:val="left"/>
              <w:rPr>
                <w:b/>
                <w:sz w:val="14"/>
              </w:rPr>
            </w:pPr>
            <w:r>
              <w:rPr>
                <w:b/>
                <w:spacing w:val="-4"/>
                <w:sz w:val="14"/>
              </w:rPr>
              <w:t>Total</w:t>
            </w:r>
            <w:r>
              <w:rPr>
                <w:b/>
                <w:spacing w:val="40"/>
                <w:sz w:val="14"/>
              </w:rPr>
              <w:t> </w:t>
            </w:r>
            <w:r>
              <w:rPr>
                <w:b/>
                <w:spacing w:val="-4"/>
                <w:sz w:val="14"/>
              </w:rPr>
              <w:t>Staff</w:t>
            </w:r>
          </w:p>
        </w:tc>
      </w:tr>
      <w:tr>
        <w:trPr>
          <w:trHeight w:val="233" w:hRule="atLeast"/>
        </w:trPr>
        <w:tc>
          <w:tcPr>
            <w:tcW w:w="1186" w:type="dxa"/>
            <w:tcBorders>
              <w:top w:val="single" w:sz="4" w:space="0" w:color="000000"/>
            </w:tcBorders>
          </w:tcPr>
          <w:p>
            <w:pPr>
              <w:pStyle w:val="TableParagraph"/>
              <w:spacing w:before="28"/>
              <w:ind w:left="67"/>
              <w:jc w:val="left"/>
              <w:rPr>
                <w:b/>
                <w:sz w:val="14"/>
              </w:rPr>
            </w:pPr>
            <w:r>
              <w:rPr>
                <w:b/>
                <w:spacing w:val="-2"/>
                <w:sz w:val="14"/>
              </w:rPr>
              <w:t>Established</w:t>
            </w:r>
            <w:r>
              <w:rPr>
                <w:b/>
                <w:spacing w:val="11"/>
                <w:sz w:val="14"/>
              </w:rPr>
              <w:t> </w:t>
            </w:r>
            <w:r>
              <w:rPr>
                <w:b/>
                <w:spacing w:val="-2"/>
                <w:sz w:val="14"/>
              </w:rPr>
              <w:t>Posts</w:t>
            </w:r>
          </w:p>
        </w:tc>
        <w:tc>
          <w:tcPr>
            <w:tcW w:w="678" w:type="dxa"/>
            <w:tcBorders>
              <w:top w:val="single" w:sz="4" w:space="0" w:color="000000"/>
            </w:tcBorders>
          </w:tcPr>
          <w:p>
            <w:pPr>
              <w:pStyle w:val="TableParagraph"/>
              <w:jc w:val="left"/>
              <w:rPr>
                <w:sz w:val="14"/>
              </w:rPr>
            </w:pPr>
          </w:p>
        </w:tc>
        <w:tc>
          <w:tcPr>
            <w:tcW w:w="607" w:type="dxa"/>
            <w:tcBorders>
              <w:top w:val="single" w:sz="4" w:space="0" w:color="000000"/>
            </w:tcBorders>
          </w:tcPr>
          <w:p>
            <w:pPr>
              <w:pStyle w:val="TableParagraph"/>
              <w:jc w:val="left"/>
              <w:rPr>
                <w:sz w:val="14"/>
              </w:rPr>
            </w:pPr>
          </w:p>
        </w:tc>
        <w:tc>
          <w:tcPr>
            <w:tcW w:w="563" w:type="dxa"/>
            <w:tcBorders>
              <w:top w:val="single" w:sz="4" w:space="0" w:color="000000"/>
            </w:tcBorders>
          </w:tcPr>
          <w:p>
            <w:pPr>
              <w:pStyle w:val="TableParagraph"/>
              <w:jc w:val="left"/>
              <w:rPr>
                <w:sz w:val="14"/>
              </w:rPr>
            </w:pPr>
          </w:p>
        </w:tc>
        <w:tc>
          <w:tcPr>
            <w:tcW w:w="557" w:type="dxa"/>
            <w:tcBorders>
              <w:top w:val="single" w:sz="4" w:space="0" w:color="000000"/>
            </w:tcBorders>
          </w:tcPr>
          <w:p>
            <w:pPr>
              <w:pStyle w:val="TableParagraph"/>
              <w:jc w:val="left"/>
              <w:rPr>
                <w:sz w:val="14"/>
              </w:rPr>
            </w:pPr>
          </w:p>
        </w:tc>
        <w:tc>
          <w:tcPr>
            <w:tcW w:w="539" w:type="dxa"/>
            <w:tcBorders>
              <w:top w:val="single" w:sz="4" w:space="0" w:color="000000"/>
            </w:tcBorders>
          </w:tcPr>
          <w:p>
            <w:pPr>
              <w:pStyle w:val="TableParagraph"/>
              <w:jc w:val="left"/>
              <w:rPr>
                <w:sz w:val="14"/>
              </w:rPr>
            </w:pPr>
          </w:p>
        </w:tc>
        <w:tc>
          <w:tcPr>
            <w:tcW w:w="636" w:type="dxa"/>
            <w:tcBorders>
              <w:top w:val="single" w:sz="4" w:space="0" w:color="000000"/>
            </w:tcBorders>
          </w:tcPr>
          <w:p>
            <w:pPr>
              <w:pStyle w:val="TableParagraph"/>
              <w:jc w:val="left"/>
              <w:rPr>
                <w:sz w:val="14"/>
              </w:rPr>
            </w:pPr>
          </w:p>
        </w:tc>
        <w:tc>
          <w:tcPr>
            <w:tcW w:w="622" w:type="dxa"/>
            <w:tcBorders>
              <w:top w:val="single" w:sz="4" w:space="0" w:color="000000"/>
            </w:tcBorders>
          </w:tcPr>
          <w:p>
            <w:pPr>
              <w:pStyle w:val="TableParagraph"/>
              <w:jc w:val="left"/>
              <w:rPr>
                <w:sz w:val="14"/>
              </w:rPr>
            </w:pPr>
          </w:p>
        </w:tc>
        <w:tc>
          <w:tcPr>
            <w:tcW w:w="668" w:type="dxa"/>
            <w:tcBorders>
              <w:top w:val="single" w:sz="4" w:space="0" w:color="000000"/>
            </w:tcBorders>
          </w:tcPr>
          <w:p>
            <w:pPr>
              <w:pStyle w:val="TableParagraph"/>
              <w:jc w:val="left"/>
              <w:rPr>
                <w:sz w:val="14"/>
              </w:rPr>
            </w:pPr>
          </w:p>
        </w:tc>
        <w:tc>
          <w:tcPr>
            <w:tcW w:w="535" w:type="dxa"/>
            <w:tcBorders>
              <w:top w:val="single" w:sz="4" w:space="0" w:color="000000"/>
            </w:tcBorders>
          </w:tcPr>
          <w:p>
            <w:pPr>
              <w:pStyle w:val="TableParagraph"/>
              <w:jc w:val="left"/>
              <w:rPr>
                <w:sz w:val="14"/>
              </w:rPr>
            </w:pPr>
          </w:p>
        </w:tc>
        <w:tc>
          <w:tcPr>
            <w:tcW w:w="795" w:type="dxa"/>
            <w:tcBorders>
              <w:top w:val="single" w:sz="4" w:space="0" w:color="000000"/>
            </w:tcBorders>
          </w:tcPr>
          <w:p>
            <w:pPr>
              <w:pStyle w:val="TableParagraph"/>
              <w:jc w:val="left"/>
              <w:rPr>
                <w:sz w:val="14"/>
              </w:rPr>
            </w:pPr>
          </w:p>
        </w:tc>
        <w:tc>
          <w:tcPr>
            <w:tcW w:w="569" w:type="dxa"/>
            <w:tcBorders>
              <w:top w:val="single" w:sz="4" w:space="0" w:color="000000"/>
            </w:tcBorders>
          </w:tcPr>
          <w:p>
            <w:pPr>
              <w:pStyle w:val="TableParagraph"/>
              <w:jc w:val="left"/>
              <w:rPr>
                <w:sz w:val="14"/>
              </w:rPr>
            </w:pPr>
          </w:p>
        </w:tc>
        <w:tc>
          <w:tcPr>
            <w:tcW w:w="582" w:type="dxa"/>
            <w:tcBorders>
              <w:top w:val="single" w:sz="4" w:space="0" w:color="000000"/>
            </w:tcBorders>
          </w:tcPr>
          <w:p>
            <w:pPr>
              <w:pStyle w:val="TableParagraph"/>
              <w:jc w:val="left"/>
              <w:rPr>
                <w:sz w:val="14"/>
              </w:rPr>
            </w:pPr>
          </w:p>
        </w:tc>
        <w:tc>
          <w:tcPr>
            <w:tcW w:w="563" w:type="dxa"/>
            <w:tcBorders>
              <w:top w:val="single" w:sz="4" w:space="0" w:color="000000"/>
            </w:tcBorders>
          </w:tcPr>
          <w:p>
            <w:pPr>
              <w:pStyle w:val="TableParagraph"/>
              <w:jc w:val="left"/>
              <w:rPr>
                <w:sz w:val="14"/>
              </w:rPr>
            </w:pPr>
          </w:p>
        </w:tc>
        <w:tc>
          <w:tcPr>
            <w:tcW w:w="789" w:type="dxa"/>
            <w:tcBorders>
              <w:top w:val="single" w:sz="4" w:space="0" w:color="000000"/>
            </w:tcBorders>
          </w:tcPr>
          <w:p>
            <w:pPr>
              <w:pStyle w:val="TableParagraph"/>
              <w:jc w:val="left"/>
              <w:rPr>
                <w:sz w:val="14"/>
              </w:rPr>
            </w:pPr>
          </w:p>
        </w:tc>
        <w:tc>
          <w:tcPr>
            <w:tcW w:w="548" w:type="dxa"/>
            <w:tcBorders>
              <w:top w:val="single" w:sz="4" w:space="0" w:color="000000"/>
            </w:tcBorders>
          </w:tcPr>
          <w:p>
            <w:pPr>
              <w:pStyle w:val="TableParagraph"/>
              <w:jc w:val="left"/>
              <w:rPr>
                <w:sz w:val="14"/>
              </w:rPr>
            </w:pPr>
          </w:p>
        </w:tc>
      </w:tr>
      <w:tr>
        <w:trPr>
          <w:trHeight w:val="221" w:hRule="atLeast"/>
        </w:trPr>
        <w:tc>
          <w:tcPr>
            <w:tcW w:w="1186" w:type="dxa"/>
            <w:tcBorders>
              <w:bottom w:val="single" w:sz="12" w:space="0" w:color="000000"/>
            </w:tcBorders>
          </w:tcPr>
          <w:p>
            <w:pPr>
              <w:pStyle w:val="TableParagraph"/>
              <w:spacing w:before="20"/>
              <w:ind w:left="67"/>
              <w:jc w:val="left"/>
              <w:rPr>
                <w:sz w:val="14"/>
              </w:rPr>
            </w:pPr>
            <w:r>
              <w:rPr>
                <w:w w:val="95"/>
                <w:sz w:val="14"/>
              </w:rPr>
              <w:t>Approved</w:t>
            </w:r>
            <w:r>
              <w:rPr>
                <w:spacing w:val="22"/>
                <w:sz w:val="14"/>
              </w:rPr>
              <w:t> </w:t>
            </w:r>
            <w:r>
              <w:rPr>
                <w:spacing w:val="-4"/>
                <w:sz w:val="14"/>
              </w:rPr>
              <w:t>2022</w:t>
            </w:r>
          </w:p>
        </w:tc>
        <w:tc>
          <w:tcPr>
            <w:tcW w:w="678" w:type="dxa"/>
            <w:tcBorders>
              <w:bottom w:val="single" w:sz="12" w:space="0" w:color="000000"/>
            </w:tcBorders>
          </w:tcPr>
          <w:p>
            <w:pPr>
              <w:pStyle w:val="TableParagraph"/>
              <w:spacing w:before="20"/>
              <w:ind w:right="154"/>
              <w:rPr>
                <w:sz w:val="14"/>
              </w:rPr>
            </w:pPr>
            <w:r>
              <w:rPr>
                <w:w w:val="99"/>
                <w:sz w:val="14"/>
              </w:rPr>
              <w:t>-</w:t>
            </w:r>
          </w:p>
        </w:tc>
        <w:tc>
          <w:tcPr>
            <w:tcW w:w="607" w:type="dxa"/>
            <w:tcBorders>
              <w:bottom w:val="single" w:sz="12" w:space="0" w:color="000000"/>
            </w:tcBorders>
          </w:tcPr>
          <w:p>
            <w:pPr>
              <w:pStyle w:val="TableParagraph"/>
              <w:spacing w:before="20"/>
              <w:ind w:right="171"/>
              <w:rPr>
                <w:sz w:val="14"/>
              </w:rPr>
            </w:pPr>
            <w:r>
              <w:rPr>
                <w:w w:val="99"/>
                <w:sz w:val="14"/>
              </w:rPr>
              <w:t>1</w:t>
            </w:r>
          </w:p>
        </w:tc>
        <w:tc>
          <w:tcPr>
            <w:tcW w:w="563" w:type="dxa"/>
            <w:tcBorders>
              <w:bottom w:val="single" w:sz="12" w:space="0" w:color="000000"/>
            </w:tcBorders>
          </w:tcPr>
          <w:p>
            <w:pPr>
              <w:pStyle w:val="TableParagraph"/>
              <w:spacing w:before="20"/>
              <w:ind w:right="171"/>
              <w:rPr>
                <w:sz w:val="14"/>
              </w:rPr>
            </w:pPr>
            <w:r>
              <w:rPr>
                <w:w w:val="99"/>
                <w:sz w:val="14"/>
              </w:rPr>
              <w:t>-</w:t>
            </w:r>
          </w:p>
        </w:tc>
        <w:tc>
          <w:tcPr>
            <w:tcW w:w="557" w:type="dxa"/>
            <w:tcBorders>
              <w:bottom w:val="single" w:sz="12" w:space="0" w:color="000000"/>
            </w:tcBorders>
          </w:tcPr>
          <w:p>
            <w:pPr>
              <w:pStyle w:val="TableParagraph"/>
              <w:spacing w:before="20"/>
              <w:ind w:right="168"/>
              <w:rPr>
                <w:sz w:val="14"/>
              </w:rPr>
            </w:pPr>
            <w:r>
              <w:rPr>
                <w:w w:val="99"/>
                <w:sz w:val="14"/>
              </w:rPr>
              <w:t>3</w:t>
            </w:r>
          </w:p>
        </w:tc>
        <w:tc>
          <w:tcPr>
            <w:tcW w:w="539" w:type="dxa"/>
            <w:tcBorders>
              <w:bottom w:val="single" w:sz="12" w:space="0" w:color="000000"/>
            </w:tcBorders>
          </w:tcPr>
          <w:p>
            <w:pPr>
              <w:pStyle w:val="TableParagraph"/>
              <w:spacing w:before="20"/>
              <w:ind w:left="157" w:right="3"/>
              <w:jc w:val="center"/>
              <w:rPr>
                <w:sz w:val="14"/>
              </w:rPr>
            </w:pPr>
            <w:r>
              <w:rPr>
                <w:spacing w:val="-5"/>
                <w:sz w:val="14"/>
              </w:rPr>
              <w:t>22</w:t>
            </w:r>
          </w:p>
        </w:tc>
        <w:tc>
          <w:tcPr>
            <w:tcW w:w="636" w:type="dxa"/>
            <w:tcBorders>
              <w:bottom w:val="single" w:sz="12" w:space="0" w:color="000000"/>
            </w:tcBorders>
          </w:tcPr>
          <w:p>
            <w:pPr>
              <w:pStyle w:val="TableParagraph"/>
              <w:spacing w:before="20"/>
              <w:ind w:right="168"/>
              <w:rPr>
                <w:sz w:val="14"/>
              </w:rPr>
            </w:pPr>
            <w:r>
              <w:rPr>
                <w:spacing w:val="-5"/>
                <w:sz w:val="14"/>
              </w:rPr>
              <w:t>44</w:t>
            </w:r>
          </w:p>
        </w:tc>
        <w:tc>
          <w:tcPr>
            <w:tcW w:w="622" w:type="dxa"/>
            <w:tcBorders>
              <w:bottom w:val="single" w:sz="12" w:space="0" w:color="000000"/>
            </w:tcBorders>
          </w:tcPr>
          <w:p>
            <w:pPr>
              <w:pStyle w:val="TableParagraph"/>
              <w:spacing w:before="20"/>
              <w:ind w:right="195"/>
              <w:rPr>
                <w:sz w:val="14"/>
              </w:rPr>
            </w:pPr>
            <w:r>
              <w:rPr>
                <w:spacing w:val="-5"/>
                <w:sz w:val="14"/>
              </w:rPr>
              <w:t>85</w:t>
            </w:r>
          </w:p>
        </w:tc>
        <w:tc>
          <w:tcPr>
            <w:tcW w:w="668" w:type="dxa"/>
            <w:tcBorders>
              <w:bottom w:val="single" w:sz="12" w:space="0" w:color="000000"/>
            </w:tcBorders>
          </w:tcPr>
          <w:p>
            <w:pPr>
              <w:pStyle w:val="TableParagraph"/>
              <w:spacing w:before="20"/>
              <w:ind w:right="123"/>
              <w:rPr>
                <w:sz w:val="14"/>
              </w:rPr>
            </w:pPr>
            <w:r>
              <w:rPr>
                <w:spacing w:val="-5"/>
                <w:sz w:val="14"/>
              </w:rPr>
              <w:t>90</w:t>
            </w:r>
          </w:p>
        </w:tc>
        <w:tc>
          <w:tcPr>
            <w:tcW w:w="535" w:type="dxa"/>
            <w:tcBorders>
              <w:bottom w:val="single" w:sz="12" w:space="0" w:color="000000"/>
            </w:tcBorders>
          </w:tcPr>
          <w:p>
            <w:pPr>
              <w:pStyle w:val="TableParagraph"/>
              <w:spacing w:before="20"/>
              <w:ind w:right="70"/>
              <w:rPr>
                <w:sz w:val="14"/>
              </w:rPr>
            </w:pPr>
            <w:r>
              <w:rPr>
                <w:w w:val="99"/>
                <w:sz w:val="14"/>
              </w:rPr>
              <w:t>5</w:t>
            </w:r>
          </w:p>
        </w:tc>
        <w:tc>
          <w:tcPr>
            <w:tcW w:w="795" w:type="dxa"/>
            <w:tcBorders>
              <w:bottom w:val="single" w:sz="12" w:space="0" w:color="000000"/>
            </w:tcBorders>
          </w:tcPr>
          <w:p>
            <w:pPr>
              <w:pStyle w:val="TableParagraph"/>
              <w:spacing w:before="20"/>
              <w:ind w:right="123"/>
              <w:rPr>
                <w:i/>
                <w:sz w:val="14"/>
              </w:rPr>
            </w:pPr>
            <w:r>
              <w:rPr>
                <w:i/>
                <w:spacing w:val="-5"/>
                <w:sz w:val="14"/>
              </w:rPr>
              <w:t>250</w:t>
            </w:r>
          </w:p>
        </w:tc>
        <w:tc>
          <w:tcPr>
            <w:tcW w:w="569" w:type="dxa"/>
            <w:tcBorders>
              <w:bottom w:val="single" w:sz="12" w:space="0" w:color="000000"/>
            </w:tcBorders>
          </w:tcPr>
          <w:p>
            <w:pPr>
              <w:pStyle w:val="TableParagraph"/>
              <w:spacing w:before="20"/>
              <w:ind w:right="103"/>
              <w:rPr>
                <w:sz w:val="14"/>
              </w:rPr>
            </w:pPr>
            <w:r>
              <w:rPr>
                <w:w w:val="99"/>
                <w:sz w:val="14"/>
              </w:rPr>
              <w:t>-</w:t>
            </w:r>
          </w:p>
        </w:tc>
        <w:tc>
          <w:tcPr>
            <w:tcW w:w="582" w:type="dxa"/>
            <w:tcBorders>
              <w:bottom w:val="single" w:sz="12" w:space="0" w:color="000000"/>
            </w:tcBorders>
          </w:tcPr>
          <w:p>
            <w:pPr>
              <w:pStyle w:val="TableParagraph"/>
              <w:spacing w:before="20"/>
              <w:ind w:right="88"/>
              <w:rPr>
                <w:sz w:val="14"/>
              </w:rPr>
            </w:pPr>
            <w:r>
              <w:rPr>
                <w:spacing w:val="-5"/>
                <w:sz w:val="14"/>
              </w:rPr>
              <w:t>15</w:t>
            </w:r>
          </w:p>
        </w:tc>
        <w:tc>
          <w:tcPr>
            <w:tcW w:w="563" w:type="dxa"/>
            <w:tcBorders>
              <w:bottom w:val="single" w:sz="12" w:space="0" w:color="000000"/>
            </w:tcBorders>
          </w:tcPr>
          <w:p>
            <w:pPr>
              <w:pStyle w:val="TableParagraph"/>
              <w:spacing w:before="20"/>
              <w:ind w:right="61"/>
              <w:rPr>
                <w:sz w:val="14"/>
              </w:rPr>
            </w:pPr>
            <w:r>
              <w:rPr>
                <w:spacing w:val="-5"/>
                <w:sz w:val="14"/>
              </w:rPr>
              <w:t>309</w:t>
            </w:r>
          </w:p>
        </w:tc>
        <w:tc>
          <w:tcPr>
            <w:tcW w:w="789" w:type="dxa"/>
            <w:tcBorders>
              <w:bottom w:val="single" w:sz="12" w:space="0" w:color="000000"/>
            </w:tcBorders>
          </w:tcPr>
          <w:p>
            <w:pPr>
              <w:pStyle w:val="TableParagraph"/>
              <w:spacing w:before="20"/>
              <w:ind w:right="110"/>
              <w:rPr>
                <w:i/>
                <w:sz w:val="14"/>
              </w:rPr>
            </w:pPr>
            <w:r>
              <w:rPr>
                <w:i/>
                <w:spacing w:val="-5"/>
                <w:sz w:val="14"/>
              </w:rPr>
              <w:t>324</w:t>
            </w:r>
          </w:p>
        </w:tc>
        <w:tc>
          <w:tcPr>
            <w:tcW w:w="548" w:type="dxa"/>
            <w:tcBorders>
              <w:bottom w:val="single" w:sz="12" w:space="0" w:color="000000"/>
            </w:tcBorders>
          </w:tcPr>
          <w:p>
            <w:pPr>
              <w:pStyle w:val="TableParagraph"/>
              <w:spacing w:before="20"/>
              <w:ind w:right="58"/>
              <w:rPr>
                <w:b/>
                <w:sz w:val="14"/>
              </w:rPr>
            </w:pPr>
            <w:r>
              <w:rPr>
                <w:b/>
                <w:spacing w:val="-5"/>
                <w:sz w:val="14"/>
              </w:rPr>
              <w:t>574</w:t>
            </w:r>
          </w:p>
        </w:tc>
      </w:tr>
      <w:tr>
        <w:trPr>
          <w:trHeight w:val="224" w:hRule="atLeast"/>
        </w:trPr>
        <w:tc>
          <w:tcPr>
            <w:tcW w:w="1186" w:type="dxa"/>
            <w:tcBorders>
              <w:top w:val="single" w:sz="12" w:space="0" w:color="000000"/>
              <w:bottom w:val="single" w:sz="4" w:space="0" w:color="000000"/>
            </w:tcBorders>
          </w:tcPr>
          <w:p>
            <w:pPr>
              <w:pStyle w:val="TableParagraph"/>
              <w:spacing w:before="22"/>
              <w:ind w:left="67"/>
              <w:jc w:val="left"/>
              <w:rPr>
                <w:sz w:val="14"/>
              </w:rPr>
            </w:pPr>
            <w:r>
              <w:rPr>
                <w:spacing w:val="-5"/>
                <w:sz w:val="14"/>
              </w:rPr>
              <w:t>New</w:t>
            </w:r>
          </w:p>
        </w:tc>
        <w:tc>
          <w:tcPr>
            <w:tcW w:w="678" w:type="dxa"/>
            <w:tcBorders>
              <w:top w:val="single" w:sz="12" w:space="0" w:color="000000"/>
              <w:bottom w:val="single" w:sz="4" w:space="0" w:color="000000"/>
            </w:tcBorders>
          </w:tcPr>
          <w:p>
            <w:pPr>
              <w:pStyle w:val="TableParagraph"/>
              <w:spacing w:before="22"/>
              <w:ind w:right="154"/>
              <w:rPr>
                <w:sz w:val="14"/>
              </w:rPr>
            </w:pPr>
            <w:r>
              <w:rPr>
                <w:w w:val="99"/>
                <w:sz w:val="14"/>
              </w:rPr>
              <w:t>-</w:t>
            </w:r>
          </w:p>
        </w:tc>
        <w:tc>
          <w:tcPr>
            <w:tcW w:w="607" w:type="dxa"/>
            <w:tcBorders>
              <w:top w:val="single" w:sz="12" w:space="0" w:color="000000"/>
              <w:bottom w:val="single" w:sz="4" w:space="0" w:color="000000"/>
            </w:tcBorders>
          </w:tcPr>
          <w:p>
            <w:pPr>
              <w:pStyle w:val="TableParagraph"/>
              <w:spacing w:before="22"/>
              <w:ind w:right="170"/>
              <w:rPr>
                <w:sz w:val="14"/>
              </w:rPr>
            </w:pPr>
            <w:r>
              <w:rPr>
                <w:w w:val="99"/>
                <w:sz w:val="14"/>
              </w:rPr>
              <w:t>-</w:t>
            </w:r>
          </w:p>
        </w:tc>
        <w:tc>
          <w:tcPr>
            <w:tcW w:w="563" w:type="dxa"/>
            <w:tcBorders>
              <w:top w:val="single" w:sz="12" w:space="0" w:color="000000"/>
              <w:bottom w:val="single" w:sz="4" w:space="0" w:color="000000"/>
            </w:tcBorders>
          </w:tcPr>
          <w:p>
            <w:pPr>
              <w:pStyle w:val="TableParagraph"/>
              <w:spacing w:before="22"/>
              <w:ind w:right="171"/>
              <w:rPr>
                <w:sz w:val="14"/>
              </w:rPr>
            </w:pPr>
            <w:r>
              <w:rPr>
                <w:w w:val="99"/>
                <w:sz w:val="14"/>
              </w:rPr>
              <w:t>-</w:t>
            </w:r>
          </w:p>
        </w:tc>
        <w:tc>
          <w:tcPr>
            <w:tcW w:w="557" w:type="dxa"/>
            <w:tcBorders>
              <w:top w:val="single" w:sz="12" w:space="0" w:color="000000"/>
              <w:bottom w:val="single" w:sz="4" w:space="0" w:color="000000"/>
            </w:tcBorders>
          </w:tcPr>
          <w:p>
            <w:pPr>
              <w:pStyle w:val="TableParagraph"/>
              <w:spacing w:before="22"/>
              <w:ind w:right="167"/>
              <w:rPr>
                <w:sz w:val="14"/>
              </w:rPr>
            </w:pPr>
            <w:r>
              <w:rPr>
                <w:w w:val="99"/>
                <w:sz w:val="14"/>
              </w:rPr>
              <w:t>-</w:t>
            </w:r>
          </w:p>
        </w:tc>
        <w:tc>
          <w:tcPr>
            <w:tcW w:w="539" w:type="dxa"/>
            <w:tcBorders>
              <w:top w:val="single" w:sz="12" w:space="0" w:color="000000"/>
              <w:bottom w:val="single" w:sz="4" w:space="0" w:color="000000"/>
            </w:tcBorders>
          </w:tcPr>
          <w:p>
            <w:pPr>
              <w:pStyle w:val="TableParagraph"/>
              <w:spacing w:before="22"/>
              <w:ind w:left="238"/>
              <w:jc w:val="center"/>
              <w:rPr>
                <w:sz w:val="14"/>
              </w:rPr>
            </w:pPr>
            <w:r>
              <w:rPr>
                <w:w w:val="99"/>
                <w:sz w:val="14"/>
              </w:rPr>
              <w:t>-</w:t>
            </w:r>
          </w:p>
        </w:tc>
        <w:tc>
          <w:tcPr>
            <w:tcW w:w="636" w:type="dxa"/>
            <w:tcBorders>
              <w:top w:val="single" w:sz="12" w:space="0" w:color="000000"/>
              <w:bottom w:val="single" w:sz="4" w:space="0" w:color="000000"/>
            </w:tcBorders>
          </w:tcPr>
          <w:p>
            <w:pPr>
              <w:pStyle w:val="TableParagraph"/>
              <w:spacing w:before="22"/>
              <w:ind w:right="176"/>
              <w:rPr>
                <w:sz w:val="14"/>
              </w:rPr>
            </w:pPr>
            <w:r>
              <w:rPr>
                <w:w w:val="99"/>
                <w:sz w:val="14"/>
              </w:rPr>
              <w:t>1</w:t>
            </w:r>
          </w:p>
        </w:tc>
        <w:tc>
          <w:tcPr>
            <w:tcW w:w="622" w:type="dxa"/>
            <w:tcBorders>
              <w:top w:val="single" w:sz="12" w:space="0" w:color="000000"/>
              <w:bottom w:val="single" w:sz="4" w:space="0" w:color="000000"/>
            </w:tcBorders>
          </w:tcPr>
          <w:p>
            <w:pPr>
              <w:pStyle w:val="TableParagraph"/>
              <w:spacing w:before="22"/>
              <w:ind w:right="201"/>
              <w:rPr>
                <w:sz w:val="14"/>
              </w:rPr>
            </w:pPr>
            <w:r>
              <w:rPr>
                <w:w w:val="99"/>
                <w:sz w:val="14"/>
              </w:rPr>
              <w:t>-</w:t>
            </w:r>
          </w:p>
        </w:tc>
        <w:tc>
          <w:tcPr>
            <w:tcW w:w="668" w:type="dxa"/>
            <w:tcBorders>
              <w:top w:val="single" w:sz="12" w:space="0" w:color="000000"/>
              <w:bottom w:val="single" w:sz="4" w:space="0" w:color="000000"/>
            </w:tcBorders>
          </w:tcPr>
          <w:p>
            <w:pPr>
              <w:pStyle w:val="TableParagraph"/>
              <w:spacing w:before="22"/>
              <w:ind w:right="130"/>
              <w:rPr>
                <w:sz w:val="14"/>
              </w:rPr>
            </w:pPr>
            <w:r>
              <w:rPr>
                <w:w w:val="99"/>
                <w:sz w:val="14"/>
              </w:rPr>
              <w:t>5</w:t>
            </w:r>
          </w:p>
        </w:tc>
        <w:tc>
          <w:tcPr>
            <w:tcW w:w="535" w:type="dxa"/>
            <w:tcBorders>
              <w:top w:val="single" w:sz="12" w:space="0" w:color="000000"/>
              <w:bottom w:val="single" w:sz="4" w:space="0" w:color="000000"/>
            </w:tcBorders>
          </w:tcPr>
          <w:p>
            <w:pPr>
              <w:pStyle w:val="TableParagraph"/>
              <w:spacing w:before="22"/>
              <w:ind w:right="70"/>
              <w:rPr>
                <w:sz w:val="14"/>
              </w:rPr>
            </w:pPr>
            <w:r>
              <w:rPr>
                <w:w w:val="99"/>
                <w:sz w:val="14"/>
              </w:rPr>
              <w:t>1</w:t>
            </w:r>
          </w:p>
        </w:tc>
        <w:tc>
          <w:tcPr>
            <w:tcW w:w="795" w:type="dxa"/>
            <w:tcBorders>
              <w:top w:val="single" w:sz="12" w:space="0" w:color="000000"/>
              <w:bottom w:val="single" w:sz="4" w:space="0" w:color="000000"/>
            </w:tcBorders>
          </w:tcPr>
          <w:p>
            <w:pPr>
              <w:pStyle w:val="TableParagraph"/>
              <w:spacing w:before="22"/>
              <w:ind w:right="130"/>
              <w:rPr>
                <w:i/>
                <w:sz w:val="14"/>
              </w:rPr>
            </w:pPr>
            <w:r>
              <w:rPr>
                <w:i/>
                <w:w w:val="99"/>
                <w:sz w:val="14"/>
              </w:rPr>
              <w:t>7</w:t>
            </w:r>
          </w:p>
        </w:tc>
        <w:tc>
          <w:tcPr>
            <w:tcW w:w="569" w:type="dxa"/>
            <w:tcBorders>
              <w:top w:val="single" w:sz="12" w:space="0" w:color="000000"/>
              <w:bottom w:val="single" w:sz="4" w:space="0" w:color="000000"/>
            </w:tcBorders>
          </w:tcPr>
          <w:p>
            <w:pPr>
              <w:pStyle w:val="TableParagraph"/>
              <w:spacing w:before="22"/>
              <w:ind w:right="103"/>
              <w:rPr>
                <w:sz w:val="14"/>
              </w:rPr>
            </w:pPr>
            <w:r>
              <w:rPr>
                <w:w w:val="99"/>
                <w:sz w:val="14"/>
              </w:rPr>
              <w:t>-</w:t>
            </w:r>
          </w:p>
        </w:tc>
        <w:tc>
          <w:tcPr>
            <w:tcW w:w="582" w:type="dxa"/>
            <w:tcBorders>
              <w:top w:val="single" w:sz="12" w:space="0" w:color="000000"/>
              <w:bottom w:val="single" w:sz="4" w:space="0" w:color="000000"/>
            </w:tcBorders>
          </w:tcPr>
          <w:p>
            <w:pPr>
              <w:pStyle w:val="TableParagraph"/>
              <w:spacing w:before="22"/>
              <w:ind w:right="94"/>
              <w:rPr>
                <w:sz w:val="14"/>
              </w:rPr>
            </w:pPr>
            <w:r>
              <w:rPr>
                <w:w w:val="99"/>
                <w:sz w:val="14"/>
              </w:rPr>
              <w:t>-</w:t>
            </w:r>
          </w:p>
        </w:tc>
        <w:tc>
          <w:tcPr>
            <w:tcW w:w="563" w:type="dxa"/>
            <w:tcBorders>
              <w:top w:val="single" w:sz="12" w:space="0" w:color="000000"/>
              <w:bottom w:val="single" w:sz="4" w:space="0" w:color="000000"/>
            </w:tcBorders>
          </w:tcPr>
          <w:p>
            <w:pPr>
              <w:pStyle w:val="TableParagraph"/>
              <w:spacing w:before="22"/>
              <w:ind w:right="68"/>
              <w:rPr>
                <w:sz w:val="14"/>
              </w:rPr>
            </w:pPr>
            <w:r>
              <w:rPr>
                <w:w w:val="99"/>
                <w:sz w:val="14"/>
              </w:rPr>
              <w:t>3</w:t>
            </w:r>
          </w:p>
        </w:tc>
        <w:tc>
          <w:tcPr>
            <w:tcW w:w="789" w:type="dxa"/>
            <w:tcBorders>
              <w:top w:val="single" w:sz="12" w:space="0" w:color="000000"/>
              <w:bottom w:val="single" w:sz="4" w:space="0" w:color="000000"/>
            </w:tcBorders>
          </w:tcPr>
          <w:p>
            <w:pPr>
              <w:pStyle w:val="TableParagraph"/>
              <w:spacing w:before="22"/>
              <w:ind w:right="117"/>
              <w:rPr>
                <w:i/>
                <w:sz w:val="14"/>
              </w:rPr>
            </w:pPr>
            <w:r>
              <w:rPr>
                <w:i/>
                <w:w w:val="99"/>
                <w:sz w:val="14"/>
              </w:rPr>
              <w:t>3</w:t>
            </w:r>
          </w:p>
        </w:tc>
        <w:tc>
          <w:tcPr>
            <w:tcW w:w="548" w:type="dxa"/>
            <w:tcBorders>
              <w:top w:val="single" w:sz="12" w:space="0" w:color="000000"/>
              <w:bottom w:val="single" w:sz="4" w:space="0" w:color="000000"/>
            </w:tcBorders>
          </w:tcPr>
          <w:p>
            <w:pPr>
              <w:pStyle w:val="TableParagraph"/>
              <w:spacing w:before="22"/>
              <w:ind w:right="58"/>
              <w:rPr>
                <w:b/>
                <w:sz w:val="14"/>
              </w:rPr>
            </w:pPr>
            <w:r>
              <w:rPr>
                <w:b/>
                <w:spacing w:val="-5"/>
                <w:sz w:val="14"/>
              </w:rPr>
              <w:t>10</w:t>
            </w:r>
          </w:p>
        </w:tc>
      </w:tr>
      <w:tr>
        <w:trPr>
          <w:trHeight w:val="230" w:hRule="atLeast"/>
        </w:trPr>
        <w:tc>
          <w:tcPr>
            <w:tcW w:w="1186" w:type="dxa"/>
            <w:tcBorders>
              <w:top w:val="single" w:sz="4" w:space="0" w:color="000000"/>
              <w:bottom w:val="single" w:sz="4" w:space="0" w:color="000000"/>
            </w:tcBorders>
          </w:tcPr>
          <w:p>
            <w:pPr>
              <w:pStyle w:val="TableParagraph"/>
              <w:spacing w:before="28"/>
              <w:ind w:left="67"/>
              <w:jc w:val="left"/>
              <w:rPr>
                <w:sz w:val="14"/>
              </w:rPr>
            </w:pPr>
            <w:r>
              <w:rPr>
                <w:spacing w:val="-2"/>
                <w:sz w:val="14"/>
              </w:rPr>
              <w:t>Redeployed</w:t>
            </w:r>
          </w:p>
        </w:tc>
        <w:tc>
          <w:tcPr>
            <w:tcW w:w="678" w:type="dxa"/>
            <w:tcBorders>
              <w:top w:val="single" w:sz="4" w:space="0" w:color="000000"/>
              <w:bottom w:val="single" w:sz="4" w:space="0" w:color="000000"/>
            </w:tcBorders>
          </w:tcPr>
          <w:p>
            <w:pPr>
              <w:pStyle w:val="TableParagraph"/>
              <w:spacing w:before="28"/>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8"/>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8"/>
              <w:ind w:right="171"/>
              <w:rPr>
                <w:sz w:val="14"/>
              </w:rPr>
            </w:pPr>
            <w:r>
              <w:rPr>
                <w:w w:val="99"/>
                <w:sz w:val="14"/>
              </w:rPr>
              <w:t>-</w:t>
            </w:r>
          </w:p>
        </w:tc>
        <w:tc>
          <w:tcPr>
            <w:tcW w:w="557" w:type="dxa"/>
            <w:tcBorders>
              <w:top w:val="single" w:sz="4" w:space="0" w:color="000000"/>
              <w:bottom w:val="single" w:sz="4" w:space="0" w:color="000000"/>
            </w:tcBorders>
          </w:tcPr>
          <w:p>
            <w:pPr>
              <w:pStyle w:val="TableParagraph"/>
              <w:spacing w:before="28"/>
              <w:ind w:right="167"/>
              <w:rPr>
                <w:sz w:val="14"/>
              </w:rPr>
            </w:pPr>
            <w:r>
              <w:rPr>
                <w:w w:val="99"/>
                <w:sz w:val="14"/>
              </w:rPr>
              <w:t>-</w:t>
            </w:r>
          </w:p>
        </w:tc>
        <w:tc>
          <w:tcPr>
            <w:tcW w:w="539" w:type="dxa"/>
            <w:tcBorders>
              <w:top w:val="single" w:sz="4" w:space="0" w:color="000000"/>
              <w:bottom w:val="single" w:sz="4" w:space="0" w:color="000000"/>
            </w:tcBorders>
          </w:tcPr>
          <w:p>
            <w:pPr>
              <w:pStyle w:val="TableParagraph"/>
              <w:spacing w:before="28"/>
              <w:ind w:left="238"/>
              <w:jc w:val="center"/>
              <w:rPr>
                <w:sz w:val="14"/>
              </w:rPr>
            </w:pPr>
            <w:r>
              <w:rPr>
                <w:w w:val="99"/>
                <w:sz w:val="14"/>
              </w:rPr>
              <w:t>-</w:t>
            </w:r>
          </w:p>
        </w:tc>
        <w:tc>
          <w:tcPr>
            <w:tcW w:w="636" w:type="dxa"/>
            <w:tcBorders>
              <w:top w:val="single" w:sz="4" w:space="0" w:color="000000"/>
              <w:bottom w:val="single" w:sz="4" w:space="0" w:color="000000"/>
            </w:tcBorders>
          </w:tcPr>
          <w:p>
            <w:pPr>
              <w:pStyle w:val="TableParagraph"/>
              <w:spacing w:before="28"/>
              <w:ind w:right="175"/>
              <w:rPr>
                <w:sz w:val="14"/>
              </w:rPr>
            </w:pPr>
            <w:r>
              <w:rPr>
                <w:w w:val="99"/>
                <w:sz w:val="14"/>
              </w:rPr>
              <w:t>-</w:t>
            </w:r>
          </w:p>
        </w:tc>
        <w:tc>
          <w:tcPr>
            <w:tcW w:w="622" w:type="dxa"/>
            <w:tcBorders>
              <w:top w:val="single" w:sz="4" w:space="0" w:color="000000"/>
              <w:bottom w:val="single" w:sz="4" w:space="0" w:color="000000"/>
            </w:tcBorders>
          </w:tcPr>
          <w:p>
            <w:pPr>
              <w:pStyle w:val="TableParagraph"/>
              <w:spacing w:before="28"/>
              <w:ind w:right="201"/>
              <w:rPr>
                <w:sz w:val="14"/>
              </w:rPr>
            </w:pPr>
            <w:r>
              <w:rPr>
                <w:w w:val="99"/>
                <w:sz w:val="14"/>
              </w:rPr>
              <w:t>-</w:t>
            </w:r>
          </w:p>
        </w:tc>
        <w:tc>
          <w:tcPr>
            <w:tcW w:w="668" w:type="dxa"/>
            <w:tcBorders>
              <w:top w:val="single" w:sz="4" w:space="0" w:color="000000"/>
              <w:bottom w:val="single" w:sz="4" w:space="0" w:color="000000"/>
            </w:tcBorders>
          </w:tcPr>
          <w:p>
            <w:pPr>
              <w:pStyle w:val="TableParagraph"/>
              <w:spacing w:before="28"/>
              <w:ind w:right="130"/>
              <w:rPr>
                <w:sz w:val="14"/>
              </w:rPr>
            </w:pPr>
            <w:r>
              <w:rPr>
                <w:w w:val="99"/>
                <w:sz w:val="14"/>
              </w:rPr>
              <w:t>-</w:t>
            </w:r>
          </w:p>
        </w:tc>
        <w:tc>
          <w:tcPr>
            <w:tcW w:w="535" w:type="dxa"/>
            <w:tcBorders>
              <w:top w:val="single" w:sz="4" w:space="0" w:color="000000"/>
              <w:bottom w:val="single" w:sz="4" w:space="0" w:color="000000"/>
            </w:tcBorders>
          </w:tcPr>
          <w:p>
            <w:pPr>
              <w:pStyle w:val="TableParagraph"/>
              <w:spacing w:before="28"/>
              <w:ind w:right="69"/>
              <w:rPr>
                <w:sz w:val="14"/>
              </w:rPr>
            </w:pPr>
            <w:r>
              <w:rPr>
                <w:w w:val="99"/>
                <w:sz w:val="14"/>
              </w:rPr>
              <w:t>-</w:t>
            </w:r>
          </w:p>
        </w:tc>
        <w:tc>
          <w:tcPr>
            <w:tcW w:w="795" w:type="dxa"/>
            <w:tcBorders>
              <w:top w:val="single" w:sz="4" w:space="0" w:color="000000"/>
              <w:bottom w:val="single" w:sz="4" w:space="0" w:color="000000"/>
            </w:tcBorders>
          </w:tcPr>
          <w:p>
            <w:pPr>
              <w:pStyle w:val="TableParagraph"/>
              <w:spacing w:before="28"/>
              <w:ind w:right="129"/>
              <w:rPr>
                <w:i/>
                <w:sz w:val="14"/>
              </w:rPr>
            </w:pPr>
            <w:r>
              <w:rPr>
                <w:i/>
                <w:w w:val="99"/>
                <w:sz w:val="14"/>
              </w:rPr>
              <w:t>-</w:t>
            </w:r>
          </w:p>
        </w:tc>
        <w:tc>
          <w:tcPr>
            <w:tcW w:w="569" w:type="dxa"/>
            <w:tcBorders>
              <w:top w:val="single" w:sz="4" w:space="0" w:color="000000"/>
              <w:bottom w:val="single" w:sz="4" w:space="0" w:color="000000"/>
            </w:tcBorders>
          </w:tcPr>
          <w:p>
            <w:pPr>
              <w:pStyle w:val="TableParagraph"/>
              <w:spacing w:before="28"/>
              <w:ind w:right="103"/>
              <w:rPr>
                <w:sz w:val="14"/>
              </w:rPr>
            </w:pPr>
            <w:r>
              <w:rPr>
                <w:w w:val="99"/>
                <w:sz w:val="14"/>
              </w:rPr>
              <w:t>-</w:t>
            </w:r>
          </w:p>
        </w:tc>
        <w:tc>
          <w:tcPr>
            <w:tcW w:w="582" w:type="dxa"/>
            <w:tcBorders>
              <w:top w:val="single" w:sz="4" w:space="0" w:color="000000"/>
              <w:bottom w:val="single" w:sz="4" w:space="0" w:color="000000"/>
            </w:tcBorders>
          </w:tcPr>
          <w:p>
            <w:pPr>
              <w:pStyle w:val="TableParagraph"/>
              <w:spacing w:before="28"/>
              <w:ind w:right="94"/>
              <w:rPr>
                <w:sz w:val="14"/>
              </w:rPr>
            </w:pPr>
            <w:r>
              <w:rPr>
                <w:w w:val="99"/>
                <w:sz w:val="14"/>
              </w:rPr>
              <w:t>-</w:t>
            </w:r>
          </w:p>
        </w:tc>
        <w:tc>
          <w:tcPr>
            <w:tcW w:w="563" w:type="dxa"/>
            <w:tcBorders>
              <w:top w:val="single" w:sz="4" w:space="0" w:color="000000"/>
              <w:bottom w:val="single" w:sz="4" w:space="0" w:color="000000"/>
            </w:tcBorders>
          </w:tcPr>
          <w:p>
            <w:pPr>
              <w:pStyle w:val="TableParagraph"/>
              <w:spacing w:before="28"/>
              <w:ind w:right="67"/>
              <w:rPr>
                <w:sz w:val="14"/>
              </w:rPr>
            </w:pPr>
            <w:r>
              <w:rPr>
                <w:w w:val="99"/>
                <w:sz w:val="14"/>
              </w:rPr>
              <w:t>-</w:t>
            </w:r>
          </w:p>
        </w:tc>
        <w:tc>
          <w:tcPr>
            <w:tcW w:w="789" w:type="dxa"/>
            <w:tcBorders>
              <w:top w:val="single" w:sz="4" w:space="0" w:color="000000"/>
              <w:bottom w:val="single" w:sz="4" w:space="0" w:color="000000"/>
            </w:tcBorders>
          </w:tcPr>
          <w:p>
            <w:pPr>
              <w:pStyle w:val="TableParagraph"/>
              <w:spacing w:before="28"/>
              <w:ind w:right="116"/>
              <w:rPr>
                <w:i/>
                <w:sz w:val="14"/>
              </w:rPr>
            </w:pPr>
            <w:r>
              <w:rPr>
                <w:i/>
                <w:w w:val="99"/>
                <w:sz w:val="14"/>
              </w:rPr>
              <w:t>-</w:t>
            </w:r>
          </w:p>
        </w:tc>
        <w:tc>
          <w:tcPr>
            <w:tcW w:w="548" w:type="dxa"/>
            <w:tcBorders>
              <w:top w:val="single" w:sz="4" w:space="0" w:color="000000"/>
              <w:bottom w:val="single" w:sz="4" w:space="0" w:color="000000"/>
            </w:tcBorders>
          </w:tcPr>
          <w:p>
            <w:pPr>
              <w:pStyle w:val="TableParagraph"/>
              <w:spacing w:before="28"/>
              <w:ind w:right="64"/>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3"/>
              <w:ind w:left="67"/>
              <w:jc w:val="left"/>
              <w:rPr>
                <w:sz w:val="14"/>
              </w:rPr>
            </w:pPr>
            <w:r>
              <w:rPr>
                <w:spacing w:val="-2"/>
                <w:sz w:val="14"/>
              </w:rPr>
              <w:t>Reclassified</w:t>
            </w:r>
          </w:p>
        </w:tc>
        <w:tc>
          <w:tcPr>
            <w:tcW w:w="678" w:type="dxa"/>
            <w:tcBorders>
              <w:top w:val="single" w:sz="4" w:space="0" w:color="000000"/>
              <w:bottom w:val="single" w:sz="4" w:space="0" w:color="000000"/>
            </w:tcBorders>
          </w:tcPr>
          <w:p>
            <w:pPr>
              <w:pStyle w:val="TableParagraph"/>
              <w:spacing w:before="23"/>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3"/>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3"/>
              <w:ind w:right="171"/>
              <w:rPr>
                <w:sz w:val="14"/>
              </w:rPr>
            </w:pPr>
            <w:r>
              <w:rPr>
                <w:w w:val="99"/>
                <w:sz w:val="14"/>
              </w:rPr>
              <w:t>-</w:t>
            </w:r>
          </w:p>
        </w:tc>
        <w:tc>
          <w:tcPr>
            <w:tcW w:w="557" w:type="dxa"/>
            <w:tcBorders>
              <w:top w:val="single" w:sz="4" w:space="0" w:color="000000"/>
              <w:bottom w:val="single" w:sz="4" w:space="0" w:color="000000"/>
            </w:tcBorders>
          </w:tcPr>
          <w:p>
            <w:pPr>
              <w:pStyle w:val="TableParagraph"/>
              <w:spacing w:before="23"/>
              <w:ind w:right="167"/>
              <w:rPr>
                <w:sz w:val="14"/>
              </w:rPr>
            </w:pPr>
            <w:r>
              <w:rPr>
                <w:w w:val="99"/>
                <w:sz w:val="14"/>
              </w:rPr>
              <w:t>-</w:t>
            </w:r>
          </w:p>
        </w:tc>
        <w:tc>
          <w:tcPr>
            <w:tcW w:w="539" w:type="dxa"/>
            <w:tcBorders>
              <w:top w:val="single" w:sz="4" w:space="0" w:color="000000"/>
              <w:bottom w:val="single" w:sz="4" w:space="0" w:color="000000"/>
            </w:tcBorders>
          </w:tcPr>
          <w:p>
            <w:pPr>
              <w:pStyle w:val="TableParagraph"/>
              <w:spacing w:before="23"/>
              <w:ind w:left="238"/>
              <w:jc w:val="center"/>
              <w:rPr>
                <w:sz w:val="14"/>
              </w:rPr>
            </w:pPr>
            <w:r>
              <w:rPr>
                <w:w w:val="99"/>
                <w:sz w:val="14"/>
              </w:rPr>
              <w:t>-</w:t>
            </w:r>
          </w:p>
        </w:tc>
        <w:tc>
          <w:tcPr>
            <w:tcW w:w="636" w:type="dxa"/>
            <w:tcBorders>
              <w:top w:val="single" w:sz="4" w:space="0" w:color="000000"/>
              <w:bottom w:val="single" w:sz="4" w:space="0" w:color="000000"/>
            </w:tcBorders>
          </w:tcPr>
          <w:p>
            <w:pPr>
              <w:pStyle w:val="TableParagraph"/>
              <w:spacing w:before="23"/>
              <w:ind w:right="175"/>
              <w:rPr>
                <w:sz w:val="14"/>
              </w:rPr>
            </w:pPr>
            <w:r>
              <w:rPr>
                <w:w w:val="99"/>
                <w:sz w:val="14"/>
              </w:rPr>
              <w:t>-</w:t>
            </w:r>
          </w:p>
        </w:tc>
        <w:tc>
          <w:tcPr>
            <w:tcW w:w="622" w:type="dxa"/>
            <w:tcBorders>
              <w:top w:val="single" w:sz="4" w:space="0" w:color="000000"/>
              <w:bottom w:val="single" w:sz="4" w:space="0" w:color="000000"/>
            </w:tcBorders>
          </w:tcPr>
          <w:p>
            <w:pPr>
              <w:pStyle w:val="TableParagraph"/>
              <w:spacing w:before="23"/>
              <w:ind w:right="201"/>
              <w:rPr>
                <w:sz w:val="14"/>
              </w:rPr>
            </w:pPr>
            <w:r>
              <w:rPr>
                <w:w w:val="99"/>
                <w:sz w:val="14"/>
              </w:rPr>
              <w:t>-</w:t>
            </w:r>
          </w:p>
        </w:tc>
        <w:tc>
          <w:tcPr>
            <w:tcW w:w="668" w:type="dxa"/>
            <w:tcBorders>
              <w:top w:val="single" w:sz="4" w:space="0" w:color="000000"/>
              <w:bottom w:val="single" w:sz="4" w:space="0" w:color="000000"/>
            </w:tcBorders>
          </w:tcPr>
          <w:p>
            <w:pPr>
              <w:pStyle w:val="TableParagraph"/>
              <w:spacing w:before="23"/>
              <w:ind w:right="130"/>
              <w:rPr>
                <w:sz w:val="14"/>
              </w:rPr>
            </w:pPr>
            <w:r>
              <w:rPr>
                <w:w w:val="99"/>
                <w:sz w:val="14"/>
              </w:rPr>
              <w:t>-</w:t>
            </w:r>
          </w:p>
        </w:tc>
        <w:tc>
          <w:tcPr>
            <w:tcW w:w="535" w:type="dxa"/>
            <w:tcBorders>
              <w:top w:val="single" w:sz="4" w:space="0" w:color="000000"/>
              <w:bottom w:val="single" w:sz="4" w:space="0" w:color="000000"/>
            </w:tcBorders>
          </w:tcPr>
          <w:p>
            <w:pPr>
              <w:pStyle w:val="TableParagraph"/>
              <w:spacing w:before="23"/>
              <w:ind w:right="69"/>
              <w:rPr>
                <w:sz w:val="14"/>
              </w:rPr>
            </w:pPr>
            <w:r>
              <w:rPr>
                <w:w w:val="99"/>
                <w:sz w:val="14"/>
              </w:rPr>
              <w:t>-</w:t>
            </w:r>
          </w:p>
        </w:tc>
        <w:tc>
          <w:tcPr>
            <w:tcW w:w="795" w:type="dxa"/>
            <w:tcBorders>
              <w:top w:val="single" w:sz="4" w:space="0" w:color="000000"/>
              <w:bottom w:val="single" w:sz="4" w:space="0" w:color="000000"/>
            </w:tcBorders>
          </w:tcPr>
          <w:p>
            <w:pPr>
              <w:pStyle w:val="TableParagraph"/>
              <w:spacing w:before="23"/>
              <w:ind w:right="129"/>
              <w:rPr>
                <w:i/>
                <w:sz w:val="14"/>
              </w:rPr>
            </w:pPr>
            <w:r>
              <w:rPr>
                <w:i/>
                <w:w w:val="99"/>
                <w:sz w:val="14"/>
              </w:rPr>
              <w:t>-</w:t>
            </w:r>
          </w:p>
        </w:tc>
        <w:tc>
          <w:tcPr>
            <w:tcW w:w="569" w:type="dxa"/>
            <w:tcBorders>
              <w:top w:val="single" w:sz="4" w:space="0" w:color="000000"/>
              <w:bottom w:val="single" w:sz="4" w:space="0" w:color="000000"/>
            </w:tcBorders>
          </w:tcPr>
          <w:p>
            <w:pPr>
              <w:pStyle w:val="TableParagraph"/>
              <w:spacing w:before="23"/>
              <w:ind w:right="103"/>
              <w:rPr>
                <w:sz w:val="14"/>
              </w:rPr>
            </w:pPr>
            <w:r>
              <w:rPr>
                <w:w w:val="99"/>
                <w:sz w:val="14"/>
              </w:rPr>
              <w:t>-</w:t>
            </w:r>
          </w:p>
        </w:tc>
        <w:tc>
          <w:tcPr>
            <w:tcW w:w="582" w:type="dxa"/>
            <w:tcBorders>
              <w:top w:val="single" w:sz="4" w:space="0" w:color="000000"/>
              <w:bottom w:val="single" w:sz="4" w:space="0" w:color="000000"/>
            </w:tcBorders>
          </w:tcPr>
          <w:p>
            <w:pPr>
              <w:pStyle w:val="TableParagraph"/>
              <w:spacing w:before="23"/>
              <w:ind w:right="94"/>
              <w:rPr>
                <w:sz w:val="14"/>
              </w:rPr>
            </w:pPr>
            <w:r>
              <w:rPr>
                <w:w w:val="99"/>
                <w:sz w:val="14"/>
              </w:rPr>
              <w:t>-</w:t>
            </w:r>
          </w:p>
        </w:tc>
        <w:tc>
          <w:tcPr>
            <w:tcW w:w="563" w:type="dxa"/>
            <w:tcBorders>
              <w:top w:val="single" w:sz="4" w:space="0" w:color="000000"/>
              <w:bottom w:val="single" w:sz="4" w:space="0" w:color="000000"/>
            </w:tcBorders>
          </w:tcPr>
          <w:p>
            <w:pPr>
              <w:pStyle w:val="TableParagraph"/>
              <w:spacing w:before="23"/>
              <w:ind w:right="67"/>
              <w:rPr>
                <w:sz w:val="14"/>
              </w:rPr>
            </w:pPr>
            <w:r>
              <w:rPr>
                <w:w w:val="99"/>
                <w:sz w:val="14"/>
              </w:rPr>
              <w:t>-</w:t>
            </w:r>
          </w:p>
        </w:tc>
        <w:tc>
          <w:tcPr>
            <w:tcW w:w="789" w:type="dxa"/>
            <w:tcBorders>
              <w:top w:val="single" w:sz="4" w:space="0" w:color="000000"/>
              <w:bottom w:val="single" w:sz="4" w:space="0" w:color="000000"/>
            </w:tcBorders>
          </w:tcPr>
          <w:p>
            <w:pPr>
              <w:pStyle w:val="TableParagraph"/>
              <w:spacing w:before="23"/>
              <w:ind w:right="116"/>
              <w:rPr>
                <w:i/>
                <w:sz w:val="14"/>
              </w:rPr>
            </w:pPr>
            <w:r>
              <w:rPr>
                <w:i/>
                <w:w w:val="99"/>
                <w:sz w:val="14"/>
              </w:rPr>
              <w:t>-</w:t>
            </w:r>
          </w:p>
        </w:tc>
        <w:tc>
          <w:tcPr>
            <w:tcW w:w="548" w:type="dxa"/>
            <w:tcBorders>
              <w:top w:val="single" w:sz="4" w:space="0" w:color="000000"/>
              <w:bottom w:val="single" w:sz="4" w:space="0" w:color="000000"/>
            </w:tcBorders>
          </w:tcPr>
          <w:p>
            <w:pPr>
              <w:pStyle w:val="TableParagraph"/>
              <w:spacing w:before="23"/>
              <w:ind w:right="64"/>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3"/>
              <w:ind w:left="67"/>
              <w:jc w:val="left"/>
              <w:rPr>
                <w:sz w:val="14"/>
              </w:rPr>
            </w:pPr>
            <w:r>
              <w:rPr>
                <w:spacing w:val="-2"/>
                <w:sz w:val="14"/>
              </w:rPr>
              <w:t>Returned</w:t>
            </w:r>
          </w:p>
        </w:tc>
        <w:tc>
          <w:tcPr>
            <w:tcW w:w="678" w:type="dxa"/>
            <w:tcBorders>
              <w:top w:val="single" w:sz="4" w:space="0" w:color="000000"/>
              <w:bottom w:val="single" w:sz="4" w:space="0" w:color="000000"/>
            </w:tcBorders>
          </w:tcPr>
          <w:p>
            <w:pPr>
              <w:pStyle w:val="TableParagraph"/>
              <w:spacing w:before="23"/>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3"/>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3"/>
              <w:ind w:right="171"/>
              <w:rPr>
                <w:sz w:val="14"/>
              </w:rPr>
            </w:pPr>
            <w:r>
              <w:rPr>
                <w:w w:val="99"/>
                <w:sz w:val="14"/>
              </w:rPr>
              <w:t>-</w:t>
            </w:r>
          </w:p>
        </w:tc>
        <w:tc>
          <w:tcPr>
            <w:tcW w:w="557" w:type="dxa"/>
            <w:tcBorders>
              <w:top w:val="single" w:sz="4" w:space="0" w:color="000000"/>
              <w:bottom w:val="single" w:sz="4" w:space="0" w:color="000000"/>
            </w:tcBorders>
          </w:tcPr>
          <w:p>
            <w:pPr>
              <w:pStyle w:val="TableParagraph"/>
              <w:spacing w:before="23"/>
              <w:ind w:right="167"/>
              <w:rPr>
                <w:sz w:val="14"/>
              </w:rPr>
            </w:pPr>
            <w:r>
              <w:rPr>
                <w:w w:val="99"/>
                <w:sz w:val="14"/>
              </w:rPr>
              <w:t>-</w:t>
            </w:r>
          </w:p>
        </w:tc>
        <w:tc>
          <w:tcPr>
            <w:tcW w:w="539" w:type="dxa"/>
            <w:tcBorders>
              <w:top w:val="single" w:sz="4" w:space="0" w:color="000000"/>
              <w:bottom w:val="single" w:sz="4" w:space="0" w:color="000000"/>
            </w:tcBorders>
          </w:tcPr>
          <w:p>
            <w:pPr>
              <w:pStyle w:val="TableParagraph"/>
              <w:spacing w:before="23"/>
              <w:ind w:left="239" w:right="111"/>
              <w:jc w:val="center"/>
              <w:rPr>
                <w:sz w:val="14"/>
              </w:rPr>
            </w:pPr>
            <w:r>
              <w:rPr>
                <w:spacing w:val="-5"/>
                <w:sz w:val="14"/>
              </w:rPr>
              <w:t>(1)</w:t>
            </w:r>
          </w:p>
        </w:tc>
        <w:tc>
          <w:tcPr>
            <w:tcW w:w="636" w:type="dxa"/>
            <w:tcBorders>
              <w:top w:val="single" w:sz="4" w:space="0" w:color="000000"/>
              <w:bottom w:val="single" w:sz="4" w:space="0" w:color="000000"/>
            </w:tcBorders>
          </w:tcPr>
          <w:p>
            <w:pPr>
              <w:pStyle w:val="TableParagraph"/>
              <w:spacing w:before="23"/>
              <w:ind w:right="175"/>
              <w:rPr>
                <w:sz w:val="14"/>
              </w:rPr>
            </w:pPr>
            <w:r>
              <w:rPr>
                <w:w w:val="99"/>
                <w:sz w:val="14"/>
              </w:rPr>
              <w:t>-</w:t>
            </w:r>
          </w:p>
        </w:tc>
        <w:tc>
          <w:tcPr>
            <w:tcW w:w="622" w:type="dxa"/>
            <w:tcBorders>
              <w:top w:val="single" w:sz="4" w:space="0" w:color="000000"/>
              <w:bottom w:val="single" w:sz="4" w:space="0" w:color="000000"/>
            </w:tcBorders>
          </w:tcPr>
          <w:p>
            <w:pPr>
              <w:pStyle w:val="TableParagraph"/>
              <w:spacing w:before="23"/>
              <w:ind w:right="197"/>
              <w:rPr>
                <w:sz w:val="14"/>
              </w:rPr>
            </w:pPr>
            <w:r>
              <w:rPr>
                <w:spacing w:val="-5"/>
                <w:sz w:val="14"/>
              </w:rPr>
              <w:t>(2)</w:t>
            </w:r>
          </w:p>
        </w:tc>
        <w:tc>
          <w:tcPr>
            <w:tcW w:w="668" w:type="dxa"/>
            <w:tcBorders>
              <w:top w:val="single" w:sz="4" w:space="0" w:color="000000"/>
              <w:bottom w:val="single" w:sz="4" w:space="0" w:color="000000"/>
            </w:tcBorders>
          </w:tcPr>
          <w:p>
            <w:pPr>
              <w:pStyle w:val="TableParagraph"/>
              <w:spacing w:before="23"/>
              <w:ind w:right="130"/>
              <w:rPr>
                <w:sz w:val="14"/>
              </w:rPr>
            </w:pPr>
            <w:r>
              <w:rPr>
                <w:w w:val="99"/>
                <w:sz w:val="14"/>
              </w:rPr>
              <w:t>-</w:t>
            </w:r>
          </w:p>
        </w:tc>
        <w:tc>
          <w:tcPr>
            <w:tcW w:w="535" w:type="dxa"/>
            <w:tcBorders>
              <w:top w:val="single" w:sz="4" w:space="0" w:color="000000"/>
              <w:bottom w:val="single" w:sz="4" w:space="0" w:color="000000"/>
            </w:tcBorders>
          </w:tcPr>
          <w:p>
            <w:pPr>
              <w:pStyle w:val="TableParagraph"/>
              <w:spacing w:before="23"/>
              <w:ind w:right="69"/>
              <w:rPr>
                <w:sz w:val="14"/>
              </w:rPr>
            </w:pPr>
            <w:r>
              <w:rPr>
                <w:w w:val="99"/>
                <w:sz w:val="14"/>
              </w:rPr>
              <w:t>-</w:t>
            </w:r>
          </w:p>
        </w:tc>
        <w:tc>
          <w:tcPr>
            <w:tcW w:w="795" w:type="dxa"/>
            <w:tcBorders>
              <w:top w:val="single" w:sz="4" w:space="0" w:color="000000"/>
              <w:bottom w:val="single" w:sz="4" w:space="0" w:color="000000"/>
            </w:tcBorders>
          </w:tcPr>
          <w:p>
            <w:pPr>
              <w:pStyle w:val="TableParagraph"/>
              <w:spacing w:before="23"/>
              <w:ind w:right="125"/>
              <w:rPr>
                <w:i/>
                <w:sz w:val="14"/>
              </w:rPr>
            </w:pPr>
            <w:r>
              <w:rPr>
                <w:i/>
                <w:spacing w:val="-5"/>
                <w:sz w:val="14"/>
              </w:rPr>
              <w:t>(3)</w:t>
            </w:r>
          </w:p>
        </w:tc>
        <w:tc>
          <w:tcPr>
            <w:tcW w:w="569" w:type="dxa"/>
            <w:tcBorders>
              <w:top w:val="single" w:sz="4" w:space="0" w:color="000000"/>
              <w:bottom w:val="single" w:sz="4" w:space="0" w:color="000000"/>
            </w:tcBorders>
          </w:tcPr>
          <w:p>
            <w:pPr>
              <w:pStyle w:val="TableParagraph"/>
              <w:spacing w:before="23"/>
              <w:ind w:right="103"/>
              <w:rPr>
                <w:sz w:val="14"/>
              </w:rPr>
            </w:pPr>
            <w:r>
              <w:rPr>
                <w:w w:val="99"/>
                <w:sz w:val="14"/>
              </w:rPr>
              <w:t>-</w:t>
            </w:r>
          </w:p>
        </w:tc>
        <w:tc>
          <w:tcPr>
            <w:tcW w:w="582" w:type="dxa"/>
            <w:tcBorders>
              <w:top w:val="single" w:sz="4" w:space="0" w:color="000000"/>
              <w:bottom w:val="single" w:sz="4" w:space="0" w:color="000000"/>
            </w:tcBorders>
          </w:tcPr>
          <w:p>
            <w:pPr>
              <w:pStyle w:val="TableParagraph"/>
              <w:spacing w:before="23"/>
              <w:ind w:right="94"/>
              <w:rPr>
                <w:sz w:val="14"/>
              </w:rPr>
            </w:pPr>
            <w:r>
              <w:rPr>
                <w:w w:val="99"/>
                <w:sz w:val="14"/>
              </w:rPr>
              <w:t>-</w:t>
            </w:r>
          </w:p>
        </w:tc>
        <w:tc>
          <w:tcPr>
            <w:tcW w:w="563" w:type="dxa"/>
            <w:tcBorders>
              <w:top w:val="single" w:sz="4" w:space="0" w:color="000000"/>
              <w:bottom w:val="single" w:sz="4" w:space="0" w:color="000000"/>
            </w:tcBorders>
          </w:tcPr>
          <w:p>
            <w:pPr>
              <w:pStyle w:val="TableParagraph"/>
              <w:spacing w:before="23"/>
              <w:ind w:right="63"/>
              <w:rPr>
                <w:sz w:val="14"/>
              </w:rPr>
            </w:pPr>
            <w:r>
              <w:rPr>
                <w:spacing w:val="-4"/>
                <w:sz w:val="14"/>
              </w:rPr>
              <w:t>(18)</w:t>
            </w:r>
          </w:p>
        </w:tc>
        <w:tc>
          <w:tcPr>
            <w:tcW w:w="789" w:type="dxa"/>
            <w:tcBorders>
              <w:top w:val="single" w:sz="4" w:space="0" w:color="000000"/>
              <w:bottom w:val="single" w:sz="4" w:space="0" w:color="000000"/>
            </w:tcBorders>
          </w:tcPr>
          <w:p>
            <w:pPr>
              <w:pStyle w:val="TableParagraph"/>
              <w:spacing w:before="23"/>
              <w:ind w:right="112"/>
              <w:rPr>
                <w:i/>
                <w:sz w:val="14"/>
              </w:rPr>
            </w:pPr>
            <w:r>
              <w:rPr>
                <w:i/>
                <w:spacing w:val="-4"/>
                <w:sz w:val="14"/>
              </w:rPr>
              <w:t>(18)</w:t>
            </w:r>
          </w:p>
        </w:tc>
        <w:tc>
          <w:tcPr>
            <w:tcW w:w="548" w:type="dxa"/>
            <w:tcBorders>
              <w:top w:val="single" w:sz="4" w:space="0" w:color="000000"/>
              <w:bottom w:val="single" w:sz="4" w:space="0" w:color="000000"/>
            </w:tcBorders>
          </w:tcPr>
          <w:p>
            <w:pPr>
              <w:pStyle w:val="TableParagraph"/>
              <w:spacing w:before="23"/>
              <w:ind w:right="60"/>
              <w:rPr>
                <w:b/>
                <w:sz w:val="14"/>
              </w:rPr>
            </w:pPr>
            <w:r>
              <w:rPr>
                <w:b/>
                <w:spacing w:val="-4"/>
                <w:sz w:val="14"/>
              </w:rPr>
              <w:t>(21)</w:t>
            </w:r>
          </w:p>
        </w:tc>
      </w:tr>
      <w:tr>
        <w:trPr>
          <w:trHeight w:val="229" w:hRule="atLeast"/>
        </w:trPr>
        <w:tc>
          <w:tcPr>
            <w:tcW w:w="1186" w:type="dxa"/>
            <w:tcBorders>
              <w:top w:val="single" w:sz="4" w:space="0" w:color="000000"/>
              <w:bottom w:val="single" w:sz="12" w:space="0" w:color="000000"/>
            </w:tcBorders>
          </w:tcPr>
          <w:p>
            <w:pPr>
              <w:pStyle w:val="TableParagraph"/>
              <w:spacing w:before="28"/>
              <w:ind w:left="67"/>
              <w:jc w:val="left"/>
              <w:rPr>
                <w:b/>
                <w:sz w:val="14"/>
              </w:rPr>
            </w:pPr>
            <w:r>
              <w:rPr>
                <w:b/>
                <w:sz w:val="14"/>
              </w:rPr>
              <w:t>Proposed</w:t>
            </w:r>
            <w:r>
              <w:rPr>
                <w:b/>
                <w:spacing w:val="-6"/>
                <w:sz w:val="14"/>
              </w:rPr>
              <w:t> </w:t>
            </w:r>
            <w:r>
              <w:rPr>
                <w:b/>
                <w:spacing w:val="-4"/>
                <w:sz w:val="14"/>
              </w:rPr>
              <w:t>2023</w:t>
            </w:r>
          </w:p>
        </w:tc>
        <w:tc>
          <w:tcPr>
            <w:tcW w:w="678" w:type="dxa"/>
            <w:tcBorders>
              <w:top w:val="single" w:sz="4" w:space="0" w:color="000000"/>
              <w:bottom w:val="single" w:sz="12" w:space="0" w:color="000000"/>
            </w:tcBorders>
          </w:tcPr>
          <w:p>
            <w:pPr>
              <w:pStyle w:val="TableParagraph"/>
              <w:spacing w:before="28"/>
              <w:ind w:right="154"/>
              <w:rPr>
                <w:b/>
                <w:sz w:val="14"/>
              </w:rPr>
            </w:pPr>
            <w:r>
              <w:rPr>
                <w:b/>
                <w:w w:val="99"/>
                <w:sz w:val="14"/>
              </w:rPr>
              <w:t>-</w:t>
            </w:r>
          </w:p>
        </w:tc>
        <w:tc>
          <w:tcPr>
            <w:tcW w:w="607" w:type="dxa"/>
            <w:tcBorders>
              <w:top w:val="single" w:sz="4" w:space="0" w:color="000000"/>
              <w:bottom w:val="single" w:sz="12" w:space="0" w:color="000000"/>
            </w:tcBorders>
          </w:tcPr>
          <w:p>
            <w:pPr>
              <w:pStyle w:val="TableParagraph"/>
              <w:spacing w:before="28"/>
              <w:ind w:right="171"/>
              <w:rPr>
                <w:b/>
                <w:sz w:val="14"/>
              </w:rPr>
            </w:pPr>
            <w:r>
              <w:rPr>
                <w:b/>
                <w:w w:val="99"/>
                <w:sz w:val="14"/>
              </w:rPr>
              <w:t>1</w:t>
            </w:r>
          </w:p>
        </w:tc>
        <w:tc>
          <w:tcPr>
            <w:tcW w:w="563" w:type="dxa"/>
            <w:tcBorders>
              <w:top w:val="single" w:sz="4" w:space="0" w:color="000000"/>
              <w:bottom w:val="single" w:sz="12" w:space="0" w:color="000000"/>
            </w:tcBorders>
          </w:tcPr>
          <w:p>
            <w:pPr>
              <w:pStyle w:val="TableParagraph"/>
              <w:spacing w:before="28"/>
              <w:ind w:right="171"/>
              <w:rPr>
                <w:b/>
                <w:sz w:val="14"/>
              </w:rPr>
            </w:pPr>
            <w:r>
              <w:rPr>
                <w:b/>
                <w:w w:val="99"/>
                <w:sz w:val="14"/>
              </w:rPr>
              <w:t>-</w:t>
            </w:r>
          </w:p>
        </w:tc>
        <w:tc>
          <w:tcPr>
            <w:tcW w:w="557" w:type="dxa"/>
            <w:tcBorders>
              <w:top w:val="single" w:sz="4" w:space="0" w:color="000000"/>
              <w:bottom w:val="single" w:sz="12" w:space="0" w:color="000000"/>
            </w:tcBorders>
          </w:tcPr>
          <w:p>
            <w:pPr>
              <w:pStyle w:val="TableParagraph"/>
              <w:spacing w:before="28"/>
              <w:ind w:right="168"/>
              <w:rPr>
                <w:b/>
                <w:sz w:val="14"/>
              </w:rPr>
            </w:pPr>
            <w:r>
              <w:rPr>
                <w:b/>
                <w:w w:val="99"/>
                <w:sz w:val="14"/>
              </w:rPr>
              <w:t>3</w:t>
            </w:r>
          </w:p>
        </w:tc>
        <w:tc>
          <w:tcPr>
            <w:tcW w:w="539" w:type="dxa"/>
            <w:tcBorders>
              <w:top w:val="single" w:sz="4" w:space="0" w:color="000000"/>
              <w:bottom w:val="single" w:sz="12" w:space="0" w:color="000000"/>
            </w:tcBorders>
          </w:tcPr>
          <w:p>
            <w:pPr>
              <w:pStyle w:val="TableParagraph"/>
              <w:spacing w:before="28"/>
              <w:ind w:left="157" w:right="3"/>
              <w:jc w:val="center"/>
              <w:rPr>
                <w:b/>
                <w:sz w:val="14"/>
              </w:rPr>
            </w:pPr>
            <w:r>
              <w:rPr>
                <w:b/>
                <w:spacing w:val="-5"/>
                <w:sz w:val="14"/>
              </w:rPr>
              <w:t>21</w:t>
            </w:r>
          </w:p>
        </w:tc>
        <w:tc>
          <w:tcPr>
            <w:tcW w:w="636" w:type="dxa"/>
            <w:tcBorders>
              <w:top w:val="single" w:sz="4" w:space="0" w:color="000000"/>
              <w:bottom w:val="single" w:sz="12" w:space="0" w:color="000000"/>
            </w:tcBorders>
          </w:tcPr>
          <w:p>
            <w:pPr>
              <w:pStyle w:val="TableParagraph"/>
              <w:spacing w:before="28"/>
              <w:ind w:right="168"/>
              <w:rPr>
                <w:b/>
                <w:sz w:val="14"/>
              </w:rPr>
            </w:pPr>
            <w:r>
              <w:rPr>
                <w:b/>
                <w:spacing w:val="-5"/>
                <w:sz w:val="14"/>
              </w:rPr>
              <w:t>45</w:t>
            </w:r>
          </w:p>
        </w:tc>
        <w:tc>
          <w:tcPr>
            <w:tcW w:w="622" w:type="dxa"/>
            <w:tcBorders>
              <w:top w:val="single" w:sz="4" w:space="0" w:color="000000"/>
              <w:bottom w:val="single" w:sz="12" w:space="0" w:color="000000"/>
            </w:tcBorders>
          </w:tcPr>
          <w:p>
            <w:pPr>
              <w:pStyle w:val="TableParagraph"/>
              <w:spacing w:before="28"/>
              <w:ind w:right="195"/>
              <w:rPr>
                <w:b/>
                <w:sz w:val="14"/>
              </w:rPr>
            </w:pPr>
            <w:r>
              <w:rPr>
                <w:b/>
                <w:spacing w:val="-5"/>
                <w:sz w:val="14"/>
              </w:rPr>
              <w:t>83</w:t>
            </w:r>
          </w:p>
        </w:tc>
        <w:tc>
          <w:tcPr>
            <w:tcW w:w="668" w:type="dxa"/>
            <w:tcBorders>
              <w:top w:val="single" w:sz="4" w:space="0" w:color="000000"/>
              <w:bottom w:val="single" w:sz="12" w:space="0" w:color="000000"/>
            </w:tcBorders>
          </w:tcPr>
          <w:p>
            <w:pPr>
              <w:pStyle w:val="TableParagraph"/>
              <w:spacing w:before="28"/>
              <w:ind w:right="123"/>
              <w:rPr>
                <w:b/>
                <w:sz w:val="14"/>
              </w:rPr>
            </w:pPr>
            <w:r>
              <w:rPr>
                <w:b/>
                <w:spacing w:val="-5"/>
                <w:sz w:val="14"/>
              </w:rPr>
              <w:t>95</w:t>
            </w:r>
          </w:p>
        </w:tc>
        <w:tc>
          <w:tcPr>
            <w:tcW w:w="535" w:type="dxa"/>
            <w:tcBorders>
              <w:top w:val="single" w:sz="4" w:space="0" w:color="000000"/>
              <w:bottom w:val="single" w:sz="12" w:space="0" w:color="000000"/>
            </w:tcBorders>
          </w:tcPr>
          <w:p>
            <w:pPr>
              <w:pStyle w:val="TableParagraph"/>
              <w:spacing w:before="28"/>
              <w:ind w:right="70"/>
              <w:rPr>
                <w:b/>
                <w:sz w:val="14"/>
              </w:rPr>
            </w:pPr>
            <w:r>
              <w:rPr>
                <w:b/>
                <w:w w:val="99"/>
                <w:sz w:val="14"/>
              </w:rPr>
              <w:t>6</w:t>
            </w:r>
          </w:p>
        </w:tc>
        <w:tc>
          <w:tcPr>
            <w:tcW w:w="795" w:type="dxa"/>
            <w:tcBorders>
              <w:top w:val="single" w:sz="4" w:space="0" w:color="000000"/>
              <w:bottom w:val="single" w:sz="12" w:space="0" w:color="000000"/>
            </w:tcBorders>
          </w:tcPr>
          <w:p>
            <w:pPr>
              <w:pStyle w:val="TableParagraph"/>
              <w:spacing w:before="28"/>
              <w:ind w:right="123"/>
              <w:rPr>
                <w:b/>
                <w:i/>
                <w:sz w:val="14"/>
              </w:rPr>
            </w:pPr>
            <w:r>
              <w:rPr>
                <w:b/>
                <w:i/>
                <w:spacing w:val="-5"/>
                <w:sz w:val="14"/>
              </w:rPr>
              <w:t>254</w:t>
            </w:r>
          </w:p>
        </w:tc>
        <w:tc>
          <w:tcPr>
            <w:tcW w:w="569" w:type="dxa"/>
            <w:tcBorders>
              <w:top w:val="single" w:sz="4" w:space="0" w:color="000000"/>
              <w:bottom w:val="single" w:sz="12" w:space="0" w:color="000000"/>
            </w:tcBorders>
          </w:tcPr>
          <w:p>
            <w:pPr>
              <w:pStyle w:val="TableParagraph"/>
              <w:spacing w:before="28"/>
              <w:ind w:right="103"/>
              <w:rPr>
                <w:b/>
                <w:sz w:val="14"/>
              </w:rPr>
            </w:pPr>
            <w:r>
              <w:rPr>
                <w:b/>
                <w:w w:val="99"/>
                <w:sz w:val="14"/>
              </w:rPr>
              <w:t>-</w:t>
            </w:r>
          </w:p>
        </w:tc>
        <w:tc>
          <w:tcPr>
            <w:tcW w:w="582" w:type="dxa"/>
            <w:tcBorders>
              <w:top w:val="single" w:sz="4" w:space="0" w:color="000000"/>
              <w:bottom w:val="single" w:sz="12" w:space="0" w:color="000000"/>
            </w:tcBorders>
          </w:tcPr>
          <w:p>
            <w:pPr>
              <w:pStyle w:val="TableParagraph"/>
              <w:spacing w:before="28"/>
              <w:ind w:right="88"/>
              <w:rPr>
                <w:b/>
                <w:sz w:val="14"/>
              </w:rPr>
            </w:pPr>
            <w:r>
              <w:rPr>
                <w:b/>
                <w:spacing w:val="-5"/>
                <w:sz w:val="14"/>
              </w:rPr>
              <w:t>15</w:t>
            </w:r>
          </w:p>
        </w:tc>
        <w:tc>
          <w:tcPr>
            <w:tcW w:w="563" w:type="dxa"/>
            <w:tcBorders>
              <w:top w:val="single" w:sz="4" w:space="0" w:color="000000"/>
              <w:bottom w:val="single" w:sz="12" w:space="0" w:color="000000"/>
            </w:tcBorders>
          </w:tcPr>
          <w:p>
            <w:pPr>
              <w:pStyle w:val="TableParagraph"/>
              <w:spacing w:before="28"/>
              <w:ind w:right="61"/>
              <w:rPr>
                <w:b/>
                <w:sz w:val="14"/>
              </w:rPr>
            </w:pPr>
            <w:r>
              <w:rPr>
                <w:b/>
                <w:spacing w:val="-5"/>
                <w:sz w:val="14"/>
              </w:rPr>
              <w:t>294</w:t>
            </w:r>
          </w:p>
        </w:tc>
        <w:tc>
          <w:tcPr>
            <w:tcW w:w="789" w:type="dxa"/>
            <w:tcBorders>
              <w:top w:val="single" w:sz="4" w:space="0" w:color="000000"/>
              <w:bottom w:val="single" w:sz="12" w:space="0" w:color="000000"/>
            </w:tcBorders>
          </w:tcPr>
          <w:p>
            <w:pPr>
              <w:pStyle w:val="TableParagraph"/>
              <w:spacing w:before="28"/>
              <w:ind w:right="110"/>
              <w:rPr>
                <w:b/>
                <w:i/>
                <w:sz w:val="14"/>
              </w:rPr>
            </w:pPr>
            <w:r>
              <w:rPr>
                <w:b/>
                <w:i/>
                <w:spacing w:val="-5"/>
                <w:sz w:val="14"/>
              </w:rPr>
              <w:t>309</w:t>
            </w:r>
          </w:p>
        </w:tc>
        <w:tc>
          <w:tcPr>
            <w:tcW w:w="548" w:type="dxa"/>
            <w:tcBorders>
              <w:top w:val="single" w:sz="4" w:space="0" w:color="000000"/>
              <w:bottom w:val="single" w:sz="12" w:space="0" w:color="000000"/>
            </w:tcBorders>
          </w:tcPr>
          <w:p>
            <w:pPr>
              <w:pStyle w:val="TableParagraph"/>
              <w:spacing w:before="28"/>
              <w:ind w:right="58"/>
              <w:rPr>
                <w:b/>
                <w:sz w:val="14"/>
              </w:rPr>
            </w:pPr>
            <w:r>
              <w:rPr>
                <w:b/>
                <w:spacing w:val="-5"/>
                <w:sz w:val="14"/>
              </w:rPr>
              <w:t>563</w:t>
            </w:r>
          </w:p>
        </w:tc>
      </w:tr>
      <w:tr>
        <w:trPr>
          <w:trHeight w:val="569" w:hRule="atLeast"/>
        </w:trPr>
        <w:tc>
          <w:tcPr>
            <w:tcW w:w="1186" w:type="dxa"/>
            <w:tcBorders>
              <w:top w:val="single" w:sz="12" w:space="0" w:color="000000"/>
            </w:tcBorders>
          </w:tcPr>
          <w:p>
            <w:pPr>
              <w:pStyle w:val="TableParagraph"/>
              <w:spacing w:before="4"/>
              <w:jc w:val="left"/>
              <w:rPr>
                <w:b/>
                <w:sz w:val="19"/>
              </w:rPr>
            </w:pPr>
          </w:p>
          <w:p>
            <w:pPr>
              <w:pStyle w:val="TableParagraph"/>
              <w:spacing w:line="235" w:lineRule="auto"/>
              <w:ind w:left="67" w:right="232"/>
              <w:jc w:val="left"/>
              <w:rPr>
                <w:b/>
                <w:sz w:val="14"/>
              </w:rPr>
            </w:pPr>
            <w:r>
              <w:rPr>
                <w:b/>
                <w:sz w:val="14"/>
              </w:rPr>
              <w:t>GTA</w:t>
            </w:r>
            <w:r>
              <w:rPr>
                <w:b/>
                <w:spacing w:val="-9"/>
                <w:sz w:val="14"/>
              </w:rPr>
              <w:t> </w:t>
            </w:r>
            <w:r>
              <w:rPr>
                <w:b/>
                <w:sz w:val="14"/>
              </w:rPr>
              <w:t>Positions</w:t>
            </w:r>
            <w:r>
              <w:rPr>
                <w:b/>
                <w:spacing w:val="40"/>
                <w:sz w:val="14"/>
              </w:rPr>
              <w:t> </w:t>
            </w:r>
            <w:r>
              <w:rPr>
                <w:b/>
                <w:spacing w:val="-2"/>
                <w:sz w:val="14"/>
              </w:rPr>
              <w:t>(FTE)</w:t>
            </w:r>
          </w:p>
        </w:tc>
        <w:tc>
          <w:tcPr>
            <w:tcW w:w="678" w:type="dxa"/>
            <w:tcBorders>
              <w:top w:val="single" w:sz="12" w:space="0" w:color="000000"/>
            </w:tcBorders>
          </w:tcPr>
          <w:p>
            <w:pPr>
              <w:pStyle w:val="TableParagraph"/>
              <w:jc w:val="left"/>
              <w:rPr>
                <w:sz w:val="14"/>
              </w:rPr>
            </w:pPr>
          </w:p>
        </w:tc>
        <w:tc>
          <w:tcPr>
            <w:tcW w:w="607" w:type="dxa"/>
            <w:tcBorders>
              <w:top w:val="single" w:sz="12" w:space="0" w:color="000000"/>
            </w:tcBorders>
          </w:tcPr>
          <w:p>
            <w:pPr>
              <w:pStyle w:val="TableParagraph"/>
              <w:jc w:val="left"/>
              <w:rPr>
                <w:sz w:val="14"/>
              </w:rPr>
            </w:pPr>
          </w:p>
        </w:tc>
        <w:tc>
          <w:tcPr>
            <w:tcW w:w="563" w:type="dxa"/>
            <w:tcBorders>
              <w:top w:val="single" w:sz="12" w:space="0" w:color="000000"/>
            </w:tcBorders>
          </w:tcPr>
          <w:p>
            <w:pPr>
              <w:pStyle w:val="TableParagraph"/>
              <w:jc w:val="left"/>
              <w:rPr>
                <w:sz w:val="14"/>
              </w:rPr>
            </w:pPr>
          </w:p>
        </w:tc>
        <w:tc>
          <w:tcPr>
            <w:tcW w:w="557" w:type="dxa"/>
            <w:tcBorders>
              <w:top w:val="single" w:sz="12" w:space="0" w:color="000000"/>
            </w:tcBorders>
          </w:tcPr>
          <w:p>
            <w:pPr>
              <w:pStyle w:val="TableParagraph"/>
              <w:jc w:val="left"/>
              <w:rPr>
                <w:sz w:val="14"/>
              </w:rPr>
            </w:pPr>
          </w:p>
        </w:tc>
        <w:tc>
          <w:tcPr>
            <w:tcW w:w="539" w:type="dxa"/>
            <w:tcBorders>
              <w:top w:val="single" w:sz="12" w:space="0" w:color="000000"/>
            </w:tcBorders>
          </w:tcPr>
          <w:p>
            <w:pPr>
              <w:pStyle w:val="TableParagraph"/>
              <w:jc w:val="left"/>
              <w:rPr>
                <w:sz w:val="14"/>
              </w:rPr>
            </w:pPr>
          </w:p>
        </w:tc>
        <w:tc>
          <w:tcPr>
            <w:tcW w:w="636" w:type="dxa"/>
            <w:tcBorders>
              <w:top w:val="single" w:sz="12" w:space="0" w:color="000000"/>
            </w:tcBorders>
          </w:tcPr>
          <w:p>
            <w:pPr>
              <w:pStyle w:val="TableParagraph"/>
              <w:jc w:val="left"/>
              <w:rPr>
                <w:sz w:val="14"/>
              </w:rPr>
            </w:pPr>
          </w:p>
        </w:tc>
        <w:tc>
          <w:tcPr>
            <w:tcW w:w="622" w:type="dxa"/>
            <w:tcBorders>
              <w:top w:val="single" w:sz="12" w:space="0" w:color="000000"/>
            </w:tcBorders>
          </w:tcPr>
          <w:p>
            <w:pPr>
              <w:pStyle w:val="TableParagraph"/>
              <w:jc w:val="left"/>
              <w:rPr>
                <w:sz w:val="14"/>
              </w:rPr>
            </w:pPr>
          </w:p>
        </w:tc>
        <w:tc>
          <w:tcPr>
            <w:tcW w:w="668" w:type="dxa"/>
            <w:tcBorders>
              <w:top w:val="single" w:sz="12" w:space="0" w:color="000000"/>
            </w:tcBorders>
          </w:tcPr>
          <w:p>
            <w:pPr>
              <w:pStyle w:val="TableParagraph"/>
              <w:jc w:val="left"/>
              <w:rPr>
                <w:sz w:val="14"/>
              </w:rPr>
            </w:pPr>
          </w:p>
        </w:tc>
        <w:tc>
          <w:tcPr>
            <w:tcW w:w="535" w:type="dxa"/>
            <w:tcBorders>
              <w:top w:val="single" w:sz="12" w:space="0" w:color="000000"/>
            </w:tcBorders>
          </w:tcPr>
          <w:p>
            <w:pPr>
              <w:pStyle w:val="TableParagraph"/>
              <w:jc w:val="left"/>
              <w:rPr>
                <w:sz w:val="14"/>
              </w:rPr>
            </w:pPr>
          </w:p>
        </w:tc>
        <w:tc>
          <w:tcPr>
            <w:tcW w:w="795" w:type="dxa"/>
            <w:tcBorders>
              <w:top w:val="single" w:sz="12" w:space="0" w:color="000000"/>
            </w:tcBorders>
          </w:tcPr>
          <w:p>
            <w:pPr>
              <w:pStyle w:val="TableParagraph"/>
              <w:jc w:val="left"/>
              <w:rPr>
                <w:sz w:val="14"/>
              </w:rPr>
            </w:pPr>
          </w:p>
        </w:tc>
        <w:tc>
          <w:tcPr>
            <w:tcW w:w="569" w:type="dxa"/>
            <w:tcBorders>
              <w:top w:val="single" w:sz="12" w:space="0" w:color="000000"/>
            </w:tcBorders>
          </w:tcPr>
          <w:p>
            <w:pPr>
              <w:pStyle w:val="TableParagraph"/>
              <w:jc w:val="left"/>
              <w:rPr>
                <w:sz w:val="14"/>
              </w:rPr>
            </w:pPr>
          </w:p>
        </w:tc>
        <w:tc>
          <w:tcPr>
            <w:tcW w:w="582" w:type="dxa"/>
            <w:tcBorders>
              <w:top w:val="single" w:sz="12" w:space="0" w:color="000000"/>
            </w:tcBorders>
          </w:tcPr>
          <w:p>
            <w:pPr>
              <w:pStyle w:val="TableParagraph"/>
              <w:jc w:val="left"/>
              <w:rPr>
                <w:sz w:val="14"/>
              </w:rPr>
            </w:pPr>
          </w:p>
        </w:tc>
        <w:tc>
          <w:tcPr>
            <w:tcW w:w="563" w:type="dxa"/>
            <w:tcBorders>
              <w:top w:val="single" w:sz="12" w:space="0" w:color="000000"/>
            </w:tcBorders>
          </w:tcPr>
          <w:p>
            <w:pPr>
              <w:pStyle w:val="TableParagraph"/>
              <w:jc w:val="left"/>
              <w:rPr>
                <w:sz w:val="14"/>
              </w:rPr>
            </w:pPr>
          </w:p>
        </w:tc>
        <w:tc>
          <w:tcPr>
            <w:tcW w:w="789" w:type="dxa"/>
            <w:tcBorders>
              <w:top w:val="single" w:sz="12" w:space="0" w:color="000000"/>
            </w:tcBorders>
          </w:tcPr>
          <w:p>
            <w:pPr>
              <w:pStyle w:val="TableParagraph"/>
              <w:jc w:val="left"/>
              <w:rPr>
                <w:sz w:val="14"/>
              </w:rPr>
            </w:pPr>
          </w:p>
        </w:tc>
        <w:tc>
          <w:tcPr>
            <w:tcW w:w="548" w:type="dxa"/>
            <w:tcBorders>
              <w:top w:val="single" w:sz="12" w:space="0" w:color="000000"/>
            </w:tcBorders>
          </w:tcPr>
          <w:p>
            <w:pPr>
              <w:pStyle w:val="TableParagraph"/>
              <w:jc w:val="left"/>
              <w:rPr>
                <w:sz w:val="14"/>
              </w:rPr>
            </w:pPr>
          </w:p>
        </w:tc>
      </w:tr>
      <w:tr>
        <w:trPr>
          <w:trHeight w:val="207" w:hRule="atLeast"/>
        </w:trPr>
        <w:tc>
          <w:tcPr>
            <w:tcW w:w="1186" w:type="dxa"/>
            <w:tcBorders>
              <w:bottom w:val="single" w:sz="12" w:space="0" w:color="000000"/>
            </w:tcBorders>
          </w:tcPr>
          <w:p>
            <w:pPr>
              <w:pStyle w:val="TableParagraph"/>
              <w:spacing w:before="5"/>
              <w:ind w:left="67"/>
              <w:jc w:val="left"/>
              <w:rPr>
                <w:sz w:val="14"/>
              </w:rPr>
            </w:pPr>
            <w:r>
              <w:rPr>
                <w:w w:val="95"/>
                <w:sz w:val="14"/>
              </w:rPr>
              <w:t>Approved</w:t>
            </w:r>
            <w:r>
              <w:rPr>
                <w:spacing w:val="22"/>
                <w:sz w:val="14"/>
              </w:rPr>
              <w:t> </w:t>
            </w:r>
            <w:r>
              <w:rPr>
                <w:spacing w:val="-4"/>
                <w:sz w:val="14"/>
              </w:rPr>
              <w:t>2022</w:t>
            </w:r>
          </w:p>
        </w:tc>
        <w:tc>
          <w:tcPr>
            <w:tcW w:w="678" w:type="dxa"/>
            <w:tcBorders>
              <w:bottom w:val="single" w:sz="12" w:space="0" w:color="000000"/>
            </w:tcBorders>
          </w:tcPr>
          <w:p>
            <w:pPr>
              <w:pStyle w:val="TableParagraph"/>
              <w:spacing w:before="5"/>
              <w:ind w:right="154"/>
              <w:rPr>
                <w:sz w:val="14"/>
              </w:rPr>
            </w:pPr>
            <w:r>
              <w:rPr>
                <w:w w:val="99"/>
                <w:sz w:val="14"/>
              </w:rPr>
              <w:t>-</w:t>
            </w:r>
          </w:p>
        </w:tc>
        <w:tc>
          <w:tcPr>
            <w:tcW w:w="607" w:type="dxa"/>
            <w:tcBorders>
              <w:bottom w:val="single" w:sz="12" w:space="0" w:color="000000"/>
            </w:tcBorders>
          </w:tcPr>
          <w:p>
            <w:pPr>
              <w:pStyle w:val="TableParagraph"/>
              <w:spacing w:before="5"/>
              <w:ind w:right="170"/>
              <w:rPr>
                <w:sz w:val="14"/>
              </w:rPr>
            </w:pPr>
            <w:r>
              <w:rPr>
                <w:w w:val="99"/>
                <w:sz w:val="14"/>
              </w:rPr>
              <w:t>-</w:t>
            </w:r>
          </w:p>
        </w:tc>
        <w:tc>
          <w:tcPr>
            <w:tcW w:w="563" w:type="dxa"/>
            <w:tcBorders>
              <w:bottom w:val="single" w:sz="12" w:space="0" w:color="000000"/>
            </w:tcBorders>
          </w:tcPr>
          <w:p>
            <w:pPr>
              <w:pStyle w:val="TableParagraph"/>
              <w:spacing w:before="5"/>
              <w:ind w:right="171"/>
              <w:rPr>
                <w:sz w:val="14"/>
              </w:rPr>
            </w:pPr>
            <w:r>
              <w:rPr>
                <w:w w:val="99"/>
                <w:sz w:val="14"/>
              </w:rPr>
              <w:t>-</w:t>
            </w:r>
          </w:p>
        </w:tc>
        <w:tc>
          <w:tcPr>
            <w:tcW w:w="557" w:type="dxa"/>
            <w:tcBorders>
              <w:bottom w:val="single" w:sz="12" w:space="0" w:color="000000"/>
            </w:tcBorders>
          </w:tcPr>
          <w:p>
            <w:pPr>
              <w:pStyle w:val="TableParagraph"/>
              <w:spacing w:before="5"/>
              <w:ind w:right="167"/>
              <w:rPr>
                <w:sz w:val="14"/>
              </w:rPr>
            </w:pPr>
            <w:r>
              <w:rPr>
                <w:w w:val="99"/>
                <w:sz w:val="14"/>
              </w:rPr>
              <w:t>-</w:t>
            </w:r>
          </w:p>
        </w:tc>
        <w:tc>
          <w:tcPr>
            <w:tcW w:w="539" w:type="dxa"/>
            <w:tcBorders>
              <w:bottom w:val="single" w:sz="12" w:space="0" w:color="000000"/>
            </w:tcBorders>
          </w:tcPr>
          <w:p>
            <w:pPr>
              <w:pStyle w:val="TableParagraph"/>
              <w:spacing w:before="5"/>
              <w:ind w:left="238"/>
              <w:jc w:val="center"/>
              <w:rPr>
                <w:sz w:val="14"/>
              </w:rPr>
            </w:pPr>
            <w:r>
              <w:rPr>
                <w:w w:val="99"/>
                <w:sz w:val="14"/>
              </w:rPr>
              <w:t>-</w:t>
            </w:r>
          </w:p>
        </w:tc>
        <w:tc>
          <w:tcPr>
            <w:tcW w:w="636" w:type="dxa"/>
            <w:tcBorders>
              <w:bottom w:val="single" w:sz="12" w:space="0" w:color="000000"/>
            </w:tcBorders>
          </w:tcPr>
          <w:p>
            <w:pPr>
              <w:pStyle w:val="TableParagraph"/>
              <w:spacing w:before="5"/>
              <w:ind w:right="171"/>
              <w:rPr>
                <w:sz w:val="14"/>
              </w:rPr>
            </w:pPr>
            <w:r>
              <w:rPr>
                <w:spacing w:val="-4"/>
                <w:sz w:val="14"/>
              </w:rPr>
              <w:t>2.25</w:t>
            </w:r>
          </w:p>
        </w:tc>
        <w:tc>
          <w:tcPr>
            <w:tcW w:w="622" w:type="dxa"/>
            <w:tcBorders>
              <w:bottom w:val="single" w:sz="12" w:space="0" w:color="000000"/>
            </w:tcBorders>
          </w:tcPr>
          <w:p>
            <w:pPr>
              <w:pStyle w:val="TableParagraph"/>
              <w:spacing w:before="5"/>
              <w:ind w:right="198"/>
              <w:rPr>
                <w:sz w:val="14"/>
              </w:rPr>
            </w:pPr>
            <w:r>
              <w:rPr>
                <w:spacing w:val="-4"/>
                <w:sz w:val="14"/>
              </w:rPr>
              <w:t>7.68</w:t>
            </w:r>
          </w:p>
        </w:tc>
        <w:tc>
          <w:tcPr>
            <w:tcW w:w="668" w:type="dxa"/>
            <w:tcBorders>
              <w:bottom w:val="single" w:sz="12" w:space="0" w:color="000000"/>
            </w:tcBorders>
          </w:tcPr>
          <w:p>
            <w:pPr>
              <w:pStyle w:val="TableParagraph"/>
              <w:spacing w:before="5"/>
              <w:ind w:right="127"/>
              <w:rPr>
                <w:sz w:val="14"/>
              </w:rPr>
            </w:pPr>
            <w:r>
              <w:rPr>
                <w:spacing w:val="-2"/>
                <w:sz w:val="14"/>
              </w:rPr>
              <w:t>21.63</w:t>
            </w:r>
          </w:p>
        </w:tc>
        <w:tc>
          <w:tcPr>
            <w:tcW w:w="535" w:type="dxa"/>
            <w:tcBorders>
              <w:bottom w:val="single" w:sz="12" w:space="0" w:color="000000"/>
            </w:tcBorders>
          </w:tcPr>
          <w:p>
            <w:pPr>
              <w:pStyle w:val="TableParagraph"/>
              <w:spacing w:before="5"/>
              <w:ind w:right="66"/>
              <w:rPr>
                <w:sz w:val="14"/>
              </w:rPr>
            </w:pPr>
            <w:r>
              <w:rPr>
                <w:spacing w:val="-4"/>
                <w:sz w:val="14"/>
              </w:rPr>
              <w:t>1.00</w:t>
            </w:r>
          </w:p>
        </w:tc>
        <w:tc>
          <w:tcPr>
            <w:tcW w:w="795" w:type="dxa"/>
            <w:tcBorders>
              <w:bottom w:val="single" w:sz="12" w:space="0" w:color="000000"/>
            </w:tcBorders>
          </w:tcPr>
          <w:p>
            <w:pPr>
              <w:pStyle w:val="TableParagraph"/>
              <w:spacing w:before="5"/>
              <w:ind w:right="127"/>
              <w:rPr>
                <w:i/>
                <w:sz w:val="14"/>
              </w:rPr>
            </w:pPr>
            <w:r>
              <w:rPr>
                <w:i/>
                <w:spacing w:val="-2"/>
                <w:sz w:val="14"/>
              </w:rPr>
              <w:t>32.55</w:t>
            </w:r>
          </w:p>
        </w:tc>
        <w:tc>
          <w:tcPr>
            <w:tcW w:w="569" w:type="dxa"/>
            <w:tcBorders>
              <w:bottom w:val="single" w:sz="12" w:space="0" w:color="000000"/>
            </w:tcBorders>
          </w:tcPr>
          <w:p>
            <w:pPr>
              <w:pStyle w:val="TableParagraph"/>
              <w:spacing w:before="5"/>
              <w:ind w:right="103"/>
              <w:rPr>
                <w:sz w:val="14"/>
              </w:rPr>
            </w:pPr>
            <w:r>
              <w:rPr>
                <w:w w:val="99"/>
                <w:sz w:val="14"/>
              </w:rPr>
              <w:t>-</w:t>
            </w:r>
          </w:p>
        </w:tc>
        <w:tc>
          <w:tcPr>
            <w:tcW w:w="582" w:type="dxa"/>
            <w:tcBorders>
              <w:bottom w:val="single" w:sz="12" w:space="0" w:color="000000"/>
            </w:tcBorders>
          </w:tcPr>
          <w:p>
            <w:pPr>
              <w:pStyle w:val="TableParagraph"/>
              <w:spacing w:before="5"/>
              <w:ind w:right="91"/>
              <w:rPr>
                <w:sz w:val="14"/>
              </w:rPr>
            </w:pPr>
            <w:r>
              <w:rPr>
                <w:spacing w:val="-2"/>
                <w:sz w:val="14"/>
              </w:rPr>
              <w:t>10.59</w:t>
            </w:r>
          </w:p>
        </w:tc>
        <w:tc>
          <w:tcPr>
            <w:tcW w:w="563" w:type="dxa"/>
            <w:tcBorders>
              <w:bottom w:val="single" w:sz="12" w:space="0" w:color="000000"/>
            </w:tcBorders>
          </w:tcPr>
          <w:p>
            <w:pPr>
              <w:pStyle w:val="TableParagraph"/>
              <w:spacing w:before="5"/>
              <w:ind w:right="64"/>
              <w:rPr>
                <w:sz w:val="14"/>
              </w:rPr>
            </w:pPr>
            <w:r>
              <w:rPr>
                <w:spacing w:val="-2"/>
                <w:sz w:val="14"/>
              </w:rPr>
              <w:t>36.60</w:t>
            </w:r>
          </w:p>
        </w:tc>
        <w:tc>
          <w:tcPr>
            <w:tcW w:w="789" w:type="dxa"/>
            <w:tcBorders>
              <w:bottom w:val="single" w:sz="12" w:space="0" w:color="000000"/>
            </w:tcBorders>
          </w:tcPr>
          <w:p>
            <w:pPr>
              <w:pStyle w:val="TableParagraph"/>
              <w:spacing w:before="5"/>
              <w:ind w:right="113"/>
              <w:rPr>
                <w:i/>
                <w:sz w:val="14"/>
              </w:rPr>
            </w:pPr>
            <w:r>
              <w:rPr>
                <w:i/>
                <w:spacing w:val="-2"/>
                <w:sz w:val="14"/>
              </w:rPr>
              <w:t>47.19</w:t>
            </w:r>
          </w:p>
        </w:tc>
        <w:tc>
          <w:tcPr>
            <w:tcW w:w="548" w:type="dxa"/>
            <w:tcBorders>
              <w:bottom w:val="single" w:sz="12" w:space="0" w:color="000000"/>
            </w:tcBorders>
          </w:tcPr>
          <w:p>
            <w:pPr>
              <w:pStyle w:val="TableParagraph"/>
              <w:spacing w:before="5"/>
              <w:ind w:right="61"/>
              <w:rPr>
                <w:b/>
                <w:sz w:val="14"/>
              </w:rPr>
            </w:pPr>
            <w:r>
              <w:rPr>
                <w:b/>
                <w:spacing w:val="-2"/>
                <w:sz w:val="14"/>
              </w:rPr>
              <w:t>79.75</w:t>
            </w:r>
          </w:p>
        </w:tc>
      </w:tr>
      <w:tr>
        <w:trPr>
          <w:trHeight w:val="224" w:hRule="atLeast"/>
        </w:trPr>
        <w:tc>
          <w:tcPr>
            <w:tcW w:w="1186" w:type="dxa"/>
            <w:tcBorders>
              <w:top w:val="single" w:sz="12" w:space="0" w:color="000000"/>
              <w:bottom w:val="single" w:sz="4" w:space="0" w:color="000000"/>
            </w:tcBorders>
          </w:tcPr>
          <w:p>
            <w:pPr>
              <w:pStyle w:val="TableParagraph"/>
              <w:spacing w:before="22"/>
              <w:ind w:left="67"/>
              <w:jc w:val="left"/>
              <w:rPr>
                <w:sz w:val="14"/>
              </w:rPr>
            </w:pPr>
            <w:r>
              <w:rPr>
                <w:spacing w:val="-2"/>
                <w:sz w:val="14"/>
              </w:rPr>
              <w:t>Continued</w:t>
            </w:r>
          </w:p>
        </w:tc>
        <w:tc>
          <w:tcPr>
            <w:tcW w:w="678" w:type="dxa"/>
            <w:tcBorders>
              <w:top w:val="single" w:sz="12" w:space="0" w:color="000000"/>
              <w:bottom w:val="single" w:sz="4" w:space="0" w:color="000000"/>
            </w:tcBorders>
          </w:tcPr>
          <w:p>
            <w:pPr>
              <w:pStyle w:val="TableParagraph"/>
              <w:spacing w:before="22"/>
              <w:ind w:right="154"/>
              <w:rPr>
                <w:sz w:val="14"/>
              </w:rPr>
            </w:pPr>
            <w:r>
              <w:rPr>
                <w:w w:val="99"/>
                <w:sz w:val="14"/>
              </w:rPr>
              <w:t>-</w:t>
            </w:r>
          </w:p>
        </w:tc>
        <w:tc>
          <w:tcPr>
            <w:tcW w:w="607" w:type="dxa"/>
            <w:tcBorders>
              <w:top w:val="single" w:sz="12" w:space="0" w:color="000000"/>
              <w:bottom w:val="single" w:sz="4" w:space="0" w:color="000000"/>
            </w:tcBorders>
          </w:tcPr>
          <w:p>
            <w:pPr>
              <w:pStyle w:val="TableParagraph"/>
              <w:spacing w:before="22"/>
              <w:ind w:right="170"/>
              <w:rPr>
                <w:sz w:val="14"/>
              </w:rPr>
            </w:pPr>
            <w:r>
              <w:rPr>
                <w:w w:val="99"/>
                <w:sz w:val="14"/>
              </w:rPr>
              <w:t>-</w:t>
            </w:r>
          </w:p>
        </w:tc>
        <w:tc>
          <w:tcPr>
            <w:tcW w:w="563" w:type="dxa"/>
            <w:tcBorders>
              <w:top w:val="single" w:sz="12" w:space="0" w:color="000000"/>
              <w:bottom w:val="single" w:sz="4" w:space="0" w:color="000000"/>
            </w:tcBorders>
          </w:tcPr>
          <w:p>
            <w:pPr>
              <w:pStyle w:val="TableParagraph"/>
              <w:spacing w:before="22"/>
              <w:ind w:right="171"/>
              <w:rPr>
                <w:sz w:val="14"/>
              </w:rPr>
            </w:pPr>
            <w:r>
              <w:rPr>
                <w:w w:val="99"/>
                <w:sz w:val="14"/>
              </w:rPr>
              <w:t>-</w:t>
            </w:r>
          </w:p>
        </w:tc>
        <w:tc>
          <w:tcPr>
            <w:tcW w:w="557" w:type="dxa"/>
            <w:tcBorders>
              <w:top w:val="single" w:sz="12" w:space="0" w:color="000000"/>
              <w:bottom w:val="single" w:sz="4" w:space="0" w:color="000000"/>
            </w:tcBorders>
          </w:tcPr>
          <w:p>
            <w:pPr>
              <w:pStyle w:val="TableParagraph"/>
              <w:spacing w:before="22"/>
              <w:ind w:right="167"/>
              <w:rPr>
                <w:sz w:val="14"/>
              </w:rPr>
            </w:pPr>
            <w:r>
              <w:rPr>
                <w:w w:val="99"/>
                <w:sz w:val="14"/>
              </w:rPr>
              <w:t>-</w:t>
            </w:r>
          </w:p>
        </w:tc>
        <w:tc>
          <w:tcPr>
            <w:tcW w:w="539" w:type="dxa"/>
            <w:tcBorders>
              <w:top w:val="single" w:sz="12" w:space="0" w:color="000000"/>
              <w:bottom w:val="single" w:sz="4" w:space="0" w:color="000000"/>
            </w:tcBorders>
          </w:tcPr>
          <w:p>
            <w:pPr>
              <w:pStyle w:val="TableParagraph"/>
              <w:spacing w:before="22"/>
              <w:ind w:left="238"/>
              <w:jc w:val="center"/>
              <w:rPr>
                <w:sz w:val="14"/>
              </w:rPr>
            </w:pPr>
            <w:r>
              <w:rPr>
                <w:w w:val="99"/>
                <w:sz w:val="14"/>
              </w:rPr>
              <w:t>-</w:t>
            </w:r>
          </w:p>
        </w:tc>
        <w:tc>
          <w:tcPr>
            <w:tcW w:w="636" w:type="dxa"/>
            <w:tcBorders>
              <w:top w:val="single" w:sz="12" w:space="0" w:color="000000"/>
              <w:bottom w:val="single" w:sz="4" w:space="0" w:color="000000"/>
            </w:tcBorders>
          </w:tcPr>
          <w:p>
            <w:pPr>
              <w:pStyle w:val="TableParagraph"/>
              <w:spacing w:before="22"/>
              <w:ind w:right="171"/>
              <w:rPr>
                <w:sz w:val="14"/>
              </w:rPr>
            </w:pPr>
            <w:r>
              <w:rPr>
                <w:spacing w:val="-4"/>
                <w:sz w:val="14"/>
              </w:rPr>
              <w:t>2.00</w:t>
            </w:r>
          </w:p>
        </w:tc>
        <w:tc>
          <w:tcPr>
            <w:tcW w:w="622" w:type="dxa"/>
            <w:tcBorders>
              <w:top w:val="single" w:sz="12" w:space="0" w:color="000000"/>
              <w:bottom w:val="single" w:sz="4" w:space="0" w:color="000000"/>
            </w:tcBorders>
          </w:tcPr>
          <w:p>
            <w:pPr>
              <w:pStyle w:val="TableParagraph"/>
              <w:spacing w:before="22"/>
              <w:ind w:right="198"/>
              <w:rPr>
                <w:sz w:val="14"/>
              </w:rPr>
            </w:pPr>
            <w:r>
              <w:rPr>
                <w:spacing w:val="-4"/>
                <w:sz w:val="14"/>
              </w:rPr>
              <w:t>7.00</w:t>
            </w:r>
          </w:p>
        </w:tc>
        <w:tc>
          <w:tcPr>
            <w:tcW w:w="668" w:type="dxa"/>
            <w:tcBorders>
              <w:top w:val="single" w:sz="12" w:space="0" w:color="000000"/>
              <w:bottom w:val="single" w:sz="4" w:space="0" w:color="000000"/>
            </w:tcBorders>
          </w:tcPr>
          <w:p>
            <w:pPr>
              <w:pStyle w:val="TableParagraph"/>
              <w:spacing w:before="22"/>
              <w:ind w:right="127"/>
              <w:rPr>
                <w:sz w:val="14"/>
              </w:rPr>
            </w:pPr>
            <w:r>
              <w:rPr>
                <w:spacing w:val="-2"/>
                <w:sz w:val="14"/>
              </w:rPr>
              <w:t>24.49</w:t>
            </w:r>
          </w:p>
        </w:tc>
        <w:tc>
          <w:tcPr>
            <w:tcW w:w="535" w:type="dxa"/>
            <w:tcBorders>
              <w:top w:val="single" w:sz="12" w:space="0" w:color="000000"/>
              <w:bottom w:val="single" w:sz="4" w:space="0" w:color="000000"/>
            </w:tcBorders>
          </w:tcPr>
          <w:p>
            <w:pPr>
              <w:pStyle w:val="TableParagraph"/>
              <w:spacing w:before="22"/>
              <w:ind w:right="66"/>
              <w:rPr>
                <w:sz w:val="14"/>
              </w:rPr>
            </w:pPr>
            <w:r>
              <w:rPr>
                <w:spacing w:val="-4"/>
                <w:sz w:val="14"/>
              </w:rPr>
              <w:t>1.00</w:t>
            </w:r>
          </w:p>
        </w:tc>
        <w:tc>
          <w:tcPr>
            <w:tcW w:w="795" w:type="dxa"/>
            <w:tcBorders>
              <w:top w:val="single" w:sz="12" w:space="0" w:color="000000"/>
              <w:bottom w:val="single" w:sz="4" w:space="0" w:color="000000"/>
            </w:tcBorders>
          </w:tcPr>
          <w:p>
            <w:pPr>
              <w:pStyle w:val="TableParagraph"/>
              <w:spacing w:before="22"/>
              <w:ind w:right="127"/>
              <w:rPr>
                <w:i/>
                <w:sz w:val="14"/>
              </w:rPr>
            </w:pPr>
            <w:r>
              <w:rPr>
                <w:i/>
                <w:spacing w:val="-2"/>
                <w:sz w:val="14"/>
              </w:rPr>
              <w:t>34.49</w:t>
            </w:r>
          </w:p>
        </w:tc>
        <w:tc>
          <w:tcPr>
            <w:tcW w:w="569" w:type="dxa"/>
            <w:tcBorders>
              <w:top w:val="single" w:sz="12" w:space="0" w:color="000000"/>
              <w:bottom w:val="single" w:sz="4" w:space="0" w:color="000000"/>
            </w:tcBorders>
          </w:tcPr>
          <w:p>
            <w:pPr>
              <w:pStyle w:val="TableParagraph"/>
              <w:spacing w:before="22"/>
              <w:ind w:right="103"/>
              <w:rPr>
                <w:sz w:val="14"/>
              </w:rPr>
            </w:pPr>
            <w:r>
              <w:rPr>
                <w:w w:val="99"/>
                <w:sz w:val="14"/>
              </w:rPr>
              <w:t>-</w:t>
            </w:r>
          </w:p>
        </w:tc>
        <w:tc>
          <w:tcPr>
            <w:tcW w:w="582" w:type="dxa"/>
            <w:tcBorders>
              <w:top w:val="single" w:sz="12" w:space="0" w:color="000000"/>
              <w:bottom w:val="single" w:sz="4" w:space="0" w:color="000000"/>
            </w:tcBorders>
          </w:tcPr>
          <w:p>
            <w:pPr>
              <w:pStyle w:val="TableParagraph"/>
              <w:spacing w:before="22"/>
              <w:ind w:right="91"/>
              <w:rPr>
                <w:sz w:val="14"/>
              </w:rPr>
            </w:pPr>
            <w:r>
              <w:rPr>
                <w:spacing w:val="-4"/>
                <w:sz w:val="14"/>
              </w:rPr>
              <w:t>5.50</w:t>
            </w:r>
          </w:p>
        </w:tc>
        <w:tc>
          <w:tcPr>
            <w:tcW w:w="563" w:type="dxa"/>
            <w:tcBorders>
              <w:top w:val="single" w:sz="12" w:space="0" w:color="000000"/>
              <w:bottom w:val="single" w:sz="4" w:space="0" w:color="000000"/>
            </w:tcBorders>
          </w:tcPr>
          <w:p>
            <w:pPr>
              <w:pStyle w:val="TableParagraph"/>
              <w:spacing w:before="22"/>
              <w:ind w:right="64"/>
              <w:rPr>
                <w:sz w:val="14"/>
              </w:rPr>
            </w:pPr>
            <w:r>
              <w:rPr>
                <w:spacing w:val="-2"/>
                <w:sz w:val="14"/>
              </w:rPr>
              <w:t>36.49</w:t>
            </w:r>
          </w:p>
        </w:tc>
        <w:tc>
          <w:tcPr>
            <w:tcW w:w="789" w:type="dxa"/>
            <w:tcBorders>
              <w:top w:val="single" w:sz="12" w:space="0" w:color="000000"/>
              <w:bottom w:val="single" w:sz="4" w:space="0" w:color="000000"/>
            </w:tcBorders>
          </w:tcPr>
          <w:p>
            <w:pPr>
              <w:pStyle w:val="TableParagraph"/>
              <w:spacing w:before="22"/>
              <w:ind w:right="113"/>
              <w:rPr>
                <w:i/>
                <w:sz w:val="14"/>
              </w:rPr>
            </w:pPr>
            <w:r>
              <w:rPr>
                <w:i/>
                <w:spacing w:val="-2"/>
                <w:sz w:val="14"/>
              </w:rPr>
              <w:t>41.99</w:t>
            </w:r>
          </w:p>
        </w:tc>
        <w:tc>
          <w:tcPr>
            <w:tcW w:w="548" w:type="dxa"/>
            <w:tcBorders>
              <w:top w:val="single" w:sz="12" w:space="0" w:color="000000"/>
              <w:bottom w:val="single" w:sz="4" w:space="0" w:color="000000"/>
            </w:tcBorders>
          </w:tcPr>
          <w:p>
            <w:pPr>
              <w:pStyle w:val="TableParagraph"/>
              <w:spacing w:before="22"/>
              <w:ind w:right="61"/>
              <w:rPr>
                <w:b/>
                <w:sz w:val="14"/>
              </w:rPr>
            </w:pPr>
            <w:r>
              <w:rPr>
                <w:b/>
                <w:spacing w:val="-2"/>
                <w:sz w:val="14"/>
              </w:rPr>
              <w:t>76.49</w:t>
            </w:r>
          </w:p>
        </w:tc>
      </w:tr>
      <w:tr>
        <w:trPr>
          <w:trHeight w:val="230" w:hRule="atLeast"/>
        </w:trPr>
        <w:tc>
          <w:tcPr>
            <w:tcW w:w="1186" w:type="dxa"/>
            <w:tcBorders>
              <w:top w:val="single" w:sz="4" w:space="0" w:color="000000"/>
              <w:bottom w:val="single" w:sz="4" w:space="0" w:color="000000"/>
            </w:tcBorders>
          </w:tcPr>
          <w:p>
            <w:pPr>
              <w:pStyle w:val="TableParagraph"/>
              <w:spacing w:before="28"/>
              <w:ind w:left="67"/>
              <w:jc w:val="left"/>
              <w:rPr>
                <w:sz w:val="14"/>
              </w:rPr>
            </w:pPr>
            <w:r>
              <w:rPr>
                <w:spacing w:val="-5"/>
                <w:sz w:val="14"/>
              </w:rPr>
              <w:t>New</w:t>
            </w:r>
          </w:p>
        </w:tc>
        <w:tc>
          <w:tcPr>
            <w:tcW w:w="678" w:type="dxa"/>
            <w:tcBorders>
              <w:top w:val="single" w:sz="4" w:space="0" w:color="000000"/>
              <w:bottom w:val="single" w:sz="4" w:space="0" w:color="000000"/>
            </w:tcBorders>
          </w:tcPr>
          <w:p>
            <w:pPr>
              <w:pStyle w:val="TableParagraph"/>
              <w:spacing w:before="28"/>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8"/>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8"/>
              <w:ind w:right="171"/>
              <w:rPr>
                <w:sz w:val="14"/>
              </w:rPr>
            </w:pPr>
            <w:r>
              <w:rPr>
                <w:w w:val="99"/>
                <w:sz w:val="14"/>
              </w:rPr>
              <w:t>-</w:t>
            </w:r>
          </w:p>
        </w:tc>
        <w:tc>
          <w:tcPr>
            <w:tcW w:w="557" w:type="dxa"/>
            <w:tcBorders>
              <w:top w:val="single" w:sz="4" w:space="0" w:color="000000"/>
              <w:bottom w:val="single" w:sz="4" w:space="0" w:color="000000"/>
            </w:tcBorders>
          </w:tcPr>
          <w:p>
            <w:pPr>
              <w:pStyle w:val="TableParagraph"/>
              <w:spacing w:before="28"/>
              <w:ind w:right="167"/>
              <w:rPr>
                <w:sz w:val="14"/>
              </w:rPr>
            </w:pPr>
            <w:r>
              <w:rPr>
                <w:w w:val="99"/>
                <w:sz w:val="14"/>
              </w:rPr>
              <w:t>-</w:t>
            </w:r>
          </w:p>
        </w:tc>
        <w:tc>
          <w:tcPr>
            <w:tcW w:w="539" w:type="dxa"/>
            <w:tcBorders>
              <w:top w:val="single" w:sz="4" w:space="0" w:color="000000"/>
              <w:bottom w:val="single" w:sz="4" w:space="0" w:color="000000"/>
            </w:tcBorders>
          </w:tcPr>
          <w:p>
            <w:pPr>
              <w:pStyle w:val="TableParagraph"/>
              <w:spacing w:before="28"/>
              <w:ind w:left="151" w:right="106"/>
              <w:jc w:val="center"/>
              <w:rPr>
                <w:sz w:val="14"/>
              </w:rPr>
            </w:pPr>
            <w:r>
              <w:rPr>
                <w:spacing w:val="-4"/>
                <w:sz w:val="14"/>
              </w:rPr>
              <w:t>0.75</w:t>
            </w:r>
          </w:p>
        </w:tc>
        <w:tc>
          <w:tcPr>
            <w:tcW w:w="636" w:type="dxa"/>
            <w:tcBorders>
              <w:top w:val="single" w:sz="4" w:space="0" w:color="000000"/>
              <w:bottom w:val="single" w:sz="4" w:space="0" w:color="000000"/>
            </w:tcBorders>
          </w:tcPr>
          <w:p>
            <w:pPr>
              <w:pStyle w:val="TableParagraph"/>
              <w:spacing w:before="28"/>
              <w:ind w:right="175"/>
              <w:rPr>
                <w:sz w:val="14"/>
              </w:rPr>
            </w:pPr>
            <w:r>
              <w:rPr>
                <w:w w:val="99"/>
                <w:sz w:val="14"/>
              </w:rPr>
              <w:t>-</w:t>
            </w:r>
          </w:p>
        </w:tc>
        <w:tc>
          <w:tcPr>
            <w:tcW w:w="622" w:type="dxa"/>
            <w:tcBorders>
              <w:top w:val="single" w:sz="4" w:space="0" w:color="000000"/>
              <w:bottom w:val="single" w:sz="4" w:space="0" w:color="000000"/>
            </w:tcBorders>
          </w:tcPr>
          <w:p>
            <w:pPr>
              <w:pStyle w:val="TableParagraph"/>
              <w:spacing w:before="28"/>
              <w:ind w:right="198"/>
              <w:rPr>
                <w:sz w:val="14"/>
              </w:rPr>
            </w:pPr>
            <w:r>
              <w:rPr>
                <w:spacing w:val="-4"/>
                <w:sz w:val="14"/>
              </w:rPr>
              <w:t>2.25</w:t>
            </w:r>
          </w:p>
        </w:tc>
        <w:tc>
          <w:tcPr>
            <w:tcW w:w="668" w:type="dxa"/>
            <w:tcBorders>
              <w:top w:val="single" w:sz="4" w:space="0" w:color="000000"/>
              <w:bottom w:val="single" w:sz="4" w:space="0" w:color="000000"/>
            </w:tcBorders>
          </w:tcPr>
          <w:p>
            <w:pPr>
              <w:pStyle w:val="TableParagraph"/>
              <w:spacing w:before="28"/>
              <w:ind w:right="126"/>
              <w:rPr>
                <w:sz w:val="14"/>
              </w:rPr>
            </w:pPr>
            <w:r>
              <w:rPr>
                <w:spacing w:val="-4"/>
                <w:sz w:val="14"/>
              </w:rPr>
              <w:t>3.50</w:t>
            </w:r>
          </w:p>
        </w:tc>
        <w:tc>
          <w:tcPr>
            <w:tcW w:w="535" w:type="dxa"/>
            <w:tcBorders>
              <w:top w:val="single" w:sz="4" w:space="0" w:color="000000"/>
              <w:bottom w:val="single" w:sz="4" w:space="0" w:color="000000"/>
            </w:tcBorders>
          </w:tcPr>
          <w:p>
            <w:pPr>
              <w:pStyle w:val="TableParagraph"/>
              <w:spacing w:before="28"/>
              <w:ind w:right="66"/>
              <w:rPr>
                <w:sz w:val="14"/>
              </w:rPr>
            </w:pPr>
            <w:r>
              <w:rPr>
                <w:spacing w:val="-4"/>
                <w:sz w:val="14"/>
              </w:rPr>
              <w:t>8.00</w:t>
            </w:r>
          </w:p>
        </w:tc>
        <w:tc>
          <w:tcPr>
            <w:tcW w:w="795" w:type="dxa"/>
            <w:tcBorders>
              <w:top w:val="single" w:sz="4" w:space="0" w:color="000000"/>
              <w:bottom w:val="single" w:sz="4" w:space="0" w:color="000000"/>
            </w:tcBorders>
          </w:tcPr>
          <w:p>
            <w:pPr>
              <w:pStyle w:val="TableParagraph"/>
              <w:spacing w:before="28"/>
              <w:ind w:right="127"/>
              <w:rPr>
                <w:i/>
                <w:sz w:val="14"/>
              </w:rPr>
            </w:pPr>
            <w:r>
              <w:rPr>
                <w:i/>
                <w:spacing w:val="-2"/>
                <w:sz w:val="14"/>
              </w:rPr>
              <w:t>14.50</w:t>
            </w:r>
          </w:p>
        </w:tc>
        <w:tc>
          <w:tcPr>
            <w:tcW w:w="569" w:type="dxa"/>
            <w:tcBorders>
              <w:top w:val="single" w:sz="4" w:space="0" w:color="000000"/>
              <w:bottom w:val="single" w:sz="4" w:space="0" w:color="000000"/>
            </w:tcBorders>
          </w:tcPr>
          <w:p>
            <w:pPr>
              <w:pStyle w:val="TableParagraph"/>
              <w:spacing w:before="28"/>
              <w:ind w:right="100"/>
              <w:rPr>
                <w:sz w:val="14"/>
              </w:rPr>
            </w:pPr>
            <w:r>
              <w:rPr>
                <w:spacing w:val="-4"/>
                <w:sz w:val="14"/>
              </w:rPr>
              <w:t>0.75</w:t>
            </w:r>
          </w:p>
        </w:tc>
        <w:tc>
          <w:tcPr>
            <w:tcW w:w="582" w:type="dxa"/>
            <w:tcBorders>
              <w:top w:val="single" w:sz="4" w:space="0" w:color="000000"/>
              <w:bottom w:val="single" w:sz="4" w:space="0" w:color="000000"/>
            </w:tcBorders>
          </w:tcPr>
          <w:p>
            <w:pPr>
              <w:pStyle w:val="TableParagraph"/>
              <w:spacing w:before="28"/>
              <w:ind w:right="91"/>
              <w:rPr>
                <w:sz w:val="14"/>
              </w:rPr>
            </w:pPr>
            <w:r>
              <w:rPr>
                <w:spacing w:val="-4"/>
                <w:sz w:val="14"/>
              </w:rPr>
              <w:t>9.67</w:t>
            </w:r>
          </w:p>
        </w:tc>
        <w:tc>
          <w:tcPr>
            <w:tcW w:w="563" w:type="dxa"/>
            <w:tcBorders>
              <w:top w:val="single" w:sz="4" w:space="0" w:color="000000"/>
              <w:bottom w:val="single" w:sz="4" w:space="0" w:color="000000"/>
            </w:tcBorders>
          </w:tcPr>
          <w:p>
            <w:pPr>
              <w:pStyle w:val="TableParagraph"/>
              <w:spacing w:before="28"/>
              <w:ind w:right="64"/>
              <w:rPr>
                <w:sz w:val="14"/>
              </w:rPr>
            </w:pPr>
            <w:r>
              <w:rPr>
                <w:spacing w:val="-2"/>
                <w:sz w:val="14"/>
              </w:rPr>
              <w:t>18.08</w:t>
            </w:r>
          </w:p>
        </w:tc>
        <w:tc>
          <w:tcPr>
            <w:tcW w:w="789" w:type="dxa"/>
            <w:tcBorders>
              <w:top w:val="single" w:sz="4" w:space="0" w:color="000000"/>
              <w:bottom w:val="single" w:sz="4" w:space="0" w:color="000000"/>
            </w:tcBorders>
          </w:tcPr>
          <w:p>
            <w:pPr>
              <w:pStyle w:val="TableParagraph"/>
              <w:spacing w:before="28"/>
              <w:ind w:right="113"/>
              <w:rPr>
                <w:i/>
                <w:sz w:val="14"/>
              </w:rPr>
            </w:pPr>
            <w:r>
              <w:rPr>
                <w:i/>
                <w:spacing w:val="-2"/>
                <w:sz w:val="14"/>
              </w:rPr>
              <w:t>28.50</w:t>
            </w:r>
          </w:p>
        </w:tc>
        <w:tc>
          <w:tcPr>
            <w:tcW w:w="548" w:type="dxa"/>
            <w:tcBorders>
              <w:top w:val="single" w:sz="4" w:space="0" w:color="000000"/>
              <w:bottom w:val="single" w:sz="4" w:space="0" w:color="000000"/>
            </w:tcBorders>
          </w:tcPr>
          <w:p>
            <w:pPr>
              <w:pStyle w:val="TableParagraph"/>
              <w:spacing w:before="28"/>
              <w:ind w:right="61"/>
              <w:rPr>
                <w:b/>
                <w:sz w:val="14"/>
              </w:rPr>
            </w:pPr>
            <w:r>
              <w:rPr>
                <w:b/>
                <w:spacing w:val="-2"/>
                <w:sz w:val="14"/>
              </w:rPr>
              <w:t>43.00</w:t>
            </w:r>
          </w:p>
        </w:tc>
      </w:tr>
      <w:tr>
        <w:trPr>
          <w:trHeight w:val="225" w:hRule="atLeast"/>
        </w:trPr>
        <w:tc>
          <w:tcPr>
            <w:tcW w:w="1186" w:type="dxa"/>
            <w:tcBorders>
              <w:top w:val="single" w:sz="4" w:space="0" w:color="000000"/>
              <w:bottom w:val="single" w:sz="4" w:space="0" w:color="000000"/>
            </w:tcBorders>
          </w:tcPr>
          <w:p>
            <w:pPr>
              <w:pStyle w:val="TableParagraph"/>
              <w:spacing w:before="23"/>
              <w:ind w:left="67"/>
              <w:jc w:val="left"/>
              <w:rPr>
                <w:sz w:val="14"/>
              </w:rPr>
            </w:pPr>
            <w:r>
              <w:rPr>
                <w:spacing w:val="-2"/>
                <w:sz w:val="14"/>
              </w:rPr>
              <w:t>Redeployed</w:t>
            </w:r>
          </w:p>
        </w:tc>
        <w:tc>
          <w:tcPr>
            <w:tcW w:w="678" w:type="dxa"/>
            <w:tcBorders>
              <w:top w:val="single" w:sz="4" w:space="0" w:color="000000"/>
              <w:bottom w:val="single" w:sz="4" w:space="0" w:color="000000"/>
            </w:tcBorders>
          </w:tcPr>
          <w:p>
            <w:pPr>
              <w:pStyle w:val="TableParagraph"/>
              <w:spacing w:before="23"/>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3"/>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3"/>
              <w:ind w:right="171"/>
              <w:rPr>
                <w:sz w:val="14"/>
              </w:rPr>
            </w:pPr>
            <w:r>
              <w:rPr>
                <w:w w:val="99"/>
                <w:sz w:val="14"/>
              </w:rPr>
              <w:t>-</w:t>
            </w:r>
          </w:p>
        </w:tc>
        <w:tc>
          <w:tcPr>
            <w:tcW w:w="557" w:type="dxa"/>
            <w:tcBorders>
              <w:top w:val="single" w:sz="4" w:space="0" w:color="000000"/>
              <w:bottom w:val="single" w:sz="4" w:space="0" w:color="000000"/>
            </w:tcBorders>
          </w:tcPr>
          <w:p>
            <w:pPr>
              <w:pStyle w:val="TableParagraph"/>
              <w:spacing w:before="23"/>
              <w:ind w:right="167"/>
              <w:rPr>
                <w:sz w:val="14"/>
              </w:rPr>
            </w:pPr>
            <w:r>
              <w:rPr>
                <w:w w:val="99"/>
                <w:sz w:val="14"/>
              </w:rPr>
              <w:t>-</w:t>
            </w:r>
          </w:p>
        </w:tc>
        <w:tc>
          <w:tcPr>
            <w:tcW w:w="539" w:type="dxa"/>
            <w:tcBorders>
              <w:top w:val="single" w:sz="4" w:space="0" w:color="000000"/>
              <w:bottom w:val="single" w:sz="4" w:space="0" w:color="000000"/>
            </w:tcBorders>
          </w:tcPr>
          <w:p>
            <w:pPr>
              <w:pStyle w:val="TableParagraph"/>
              <w:spacing w:before="23"/>
              <w:ind w:left="238"/>
              <w:jc w:val="center"/>
              <w:rPr>
                <w:sz w:val="14"/>
              </w:rPr>
            </w:pPr>
            <w:r>
              <w:rPr>
                <w:w w:val="99"/>
                <w:sz w:val="14"/>
              </w:rPr>
              <w:t>-</w:t>
            </w:r>
          </w:p>
        </w:tc>
        <w:tc>
          <w:tcPr>
            <w:tcW w:w="636" w:type="dxa"/>
            <w:tcBorders>
              <w:top w:val="single" w:sz="4" w:space="0" w:color="000000"/>
              <w:bottom w:val="single" w:sz="4" w:space="0" w:color="000000"/>
            </w:tcBorders>
          </w:tcPr>
          <w:p>
            <w:pPr>
              <w:pStyle w:val="TableParagraph"/>
              <w:spacing w:before="23"/>
              <w:ind w:right="175"/>
              <w:rPr>
                <w:sz w:val="14"/>
              </w:rPr>
            </w:pPr>
            <w:r>
              <w:rPr>
                <w:w w:val="99"/>
                <w:sz w:val="14"/>
              </w:rPr>
              <w:t>-</w:t>
            </w:r>
          </w:p>
        </w:tc>
        <w:tc>
          <w:tcPr>
            <w:tcW w:w="622" w:type="dxa"/>
            <w:tcBorders>
              <w:top w:val="single" w:sz="4" w:space="0" w:color="000000"/>
              <w:bottom w:val="single" w:sz="4" w:space="0" w:color="000000"/>
            </w:tcBorders>
          </w:tcPr>
          <w:p>
            <w:pPr>
              <w:pStyle w:val="TableParagraph"/>
              <w:spacing w:before="23"/>
              <w:ind w:right="201"/>
              <w:rPr>
                <w:sz w:val="14"/>
              </w:rPr>
            </w:pPr>
            <w:r>
              <w:rPr>
                <w:w w:val="99"/>
                <w:sz w:val="14"/>
              </w:rPr>
              <w:t>-</w:t>
            </w:r>
          </w:p>
        </w:tc>
        <w:tc>
          <w:tcPr>
            <w:tcW w:w="668" w:type="dxa"/>
            <w:tcBorders>
              <w:top w:val="single" w:sz="4" w:space="0" w:color="000000"/>
              <w:bottom w:val="single" w:sz="4" w:space="0" w:color="000000"/>
            </w:tcBorders>
          </w:tcPr>
          <w:p>
            <w:pPr>
              <w:pStyle w:val="TableParagraph"/>
              <w:spacing w:before="23"/>
              <w:ind w:right="130"/>
              <w:rPr>
                <w:sz w:val="14"/>
              </w:rPr>
            </w:pPr>
            <w:r>
              <w:rPr>
                <w:w w:val="99"/>
                <w:sz w:val="14"/>
              </w:rPr>
              <w:t>-</w:t>
            </w:r>
          </w:p>
        </w:tc>
        <w:tc>
          <w:tcPr>
            <w:tcW w:w="535" w:type="dxa"/>
            <w:tcBorders>
              <w:top w:val="single" w:sz="4" w:space="0" w:color="000000"/>
              <w:bottom w:val="single" w:sz="4" w:space="0" w:color="000000"/>
            </w:tcBorders>
          </w:tcPr>
          <w:p>
            <w:pPr>
              <w:pStyle w:val="TableParagraph"/>
              <w:spacing w:before="23"/>
              <w:ind w:right="69"/>
              <w:rPr>
                <w:sz w:val="14"/>
              </w:rPr>
            </w:pPr>
            <w:r>
              <w:rPr>
                <w:w w:val="99"/>
                <w:sz w:val="14"/>
              </w:rPr>
              <w:t>-</w:t>
            </w:r>
          </w:p>
        </w:tc>
        <w:tc>
          <w:tcPr>
            <w:tcW w:w="795" w:type="dxa"/>
            <w:tcBorders>
              <w:top w:val="single" w:sz="4" w:space="0" w:color="000000"/>
              <w:bottom w:val="single" w:sz="4" w:space="0" w:color="000000"/>
            </w:tcBorders>
          </w:tcPr>
          <w:p>
            <w:pPr>
              <w:pStyle w:val="TableParagraph"/>
              <w:spacing w:before="23"/>
              <w:ind w:right="129"/>
              <w:rPr>
                <w:i/>
                <w:sz w:val="14"/>
              </w:rPr>
            </w:pPr>
            <w:r>
              <w:rPr>
                <w:i/>
                <w:w w:val="99"/>
                <w:sz w:val="14"/>
              </w:rPr>
              <w:t>-</w:t>
            </w:r>
          </w:p>
        </w:tc>
        <w:tc>
          <w:tcPr>
            <w:tcW w:w="569" w:type="dxa"/>
            <w:tcBorders>
              <w:top w:val="single" w:sz="4" w:space="0" w:color="000000"/>
              <w:bottom w:val="single" w:sz="4" w:space="0" w:color="000000"/>
            </w:tcBorders>
          </w:tcPr>
          <w:p>
            <w:pPr>
              <w:pStyle w:val="TableParagraph"/>
              <w:spacing w:before="23"/>
              <w:ind w:right="103"/>
              <w:rPr>
                <w:sz w:val="14"/>
              </w:rPr>
            </w:pPr>
            <w:r>
              <w:rPr>
                <w:w w:val="99"/>
                <w:sz w:val="14"/>
              </w:rPr>
              <w:t>-</w:t>
            </w:r>
          </w:p>
        </w:tc>
        <w:tc>
          <w:tcPr>
            <w:tcW w:w="582" w:type="dxa"/>
            <w:tcBorders>
              <w:top w:val="single" w:sz="4" w:space="0" w:color="000000"/>
              <w:bottom w:val="single" w:sz="4" w:space="0" w:color="000000"/>
            </w:tcBorders>
          </w:tcPr>
          <w:p>
            <w:pPr>
              <w:pStyle w:val="TableParagraph"/>
              <w:spacing w:before="23"/>
              <w:ind w:right="94"/>
              <w:rPr>
                <w:sz w:val="14"/>
              </w:rPr>
            </w:pPr>
            <w:r>
              <w:rPr>
                <w:w w:val="99"/>
                <w:sz w:val="14"/>
              </w:rPr>
              <w:t>-</w:t>
            </w:r>
          </w:p>
        </w:tc>
        <w:tc>
          <w:tcPr>
            <w:tcW w:w="563" w:type="dxa"/>
            <w:tcBorders>
              <w:top w:val="single" w:sz="4" w:space="0" w:color="000000"/>
              <w:bottom w:val="single" w:sz="4" w:space="0" w:color="000000"/>
            </w:tcBorders>
          </w:tcPr>
          <w:p>
            <w:pPr>
              <w:pStyle w:val="TableParagraph"/>
              <w:spacing w:before="23"/>
              <w:ind w:right="63"/>
              <w:rPr>
                <w:sz w:val="14"/>
              </w:rPr>
            </w:pPr>
            <w:r>
              <w:rPr>
                <w:spacing w:val="-4"/>
                <w:sz w:val="14"/>
              </w:rPr>
              <w:t>0.25</w:t>
            </w:r>
          </w:p>
        </w:tc>
        <w:tc>
          <w:tcPr>
            <w:tcW w:w="789" w:type="dxa"/>
            <w:tcBorders>
              <w:top w:val="single" w:sz="4" w:space="0" w:color="000000"/>
              <w:bottom w:val="single" w:sz="4" w:space="0" w:color="000000"/>
            </w:tcBorders>
          </w:tcPr>
          <w:p>
            <w:pPr>
              <w:pStyle w:val="TableParagraph"/>
              <w:spacing w:before="23"/>
              <w:ind w:right="113"/>
              <w:rPr>
                <w:i/>
                <w:sz w:val="14"/>
              </w:rPr>
            </w:pPr>
            <w:r>
              <w:rPr>
                <w:i/>
                <w:spacing w:val="-4"/>
                <w:sz w:val="14"/>
              </w:rPr>
              <w:t>0.25</w:t>
            </w:r>
          </w:p>
        </w:tc>
        <w:tc>
          <w:tcPr>
            <w:tcW w:w="548" w:type="dxa"/>
            <w:tcBorders>
              <w:top w:val="single" w:sz="4" w:space="0" w:color="000000"/>
              <w:bottom w:val="single" w:sz="4" w:space="0" w:color="000000"/>
            </w:tcBorders>
          </w:tcPr>
          <w:p>
            <w:pPr>
              <w:pStyle w:val="TableParagraph"/>
              <w:spacing w:before="23"/>
              <w:ind w:right="61"/>
              <w:rPr>
                <w:b/>
                <w:sz w:val="14"/>
              </w:rPr>
            </w:pPr>
            <w:r>
              <w:rPr>
                <w:b/>
                <w:spacing w:val="-4"/>
                <w:sz w:val="14"/>
              </w:rPr>
              <w:t>0.25</w:t>
            </w:r>
          </w:p>
        </w:tc>
      </w:tr>
      <w:tr>
        <w:trPr>
          <w:trHeight w:val="225" w:hRule="atLeast"/>
        </w:trPr>
        <w:tc>
          <w:tcPr>
            <w:tcW w:w="1186" w:type="dxa"/>
            <w:tcBorders>
              <w:top w:val="single" w:sz="4" w:space="0" w:color="000000"/>
              <w:bottom w:val="single" w:sz="4" w:space="0" w:color="000000"/>
            </w:tcBorders>
          </w:tcPr>
          <w:p>
            <w:pPr>
              <w:pStyle w:val="TableParagraph"/>
              <w:spacing w:before="23"/>
              <w:ind w:left="67"/>
              <w:jc w:val="left"/>
              <w:rPr>
                <w:sz w:val="14"/>
              </w:rPr>
            </w:pPr>
            <w:r>
              <w:rPr>
                <w:spacing w:val="-2"/>
                <w:sz w:val="14"/>
              </w:rPr>
              <w:t>Reclassified</w:t>
            </w:r>
          </w:p>
        </w:tc>
        <w:tc>
          <w:tcPr>
            <w:tcW w:w="678" w:type="dxa"/>
            <w:tcBorders>
              <w:top w:val="single" w:sz="4" w:space="0" w:color="000000"/>
              <w:bottom w:val="single" w:sz="4" w:space="0" w:color="000000"/>
            </w:tcBorders>
          </w:tcPr>
          <w:p>
            <w:pPr>
              <w:pStyle w:val="TableParagraph"/>
              <w:spacing w:before="23"/>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3"/>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3"/>
              <w:ind w:right="171"/>
              <w:rPr>
                <w:sz w:val="14"/>
              </w:rPr>
            </w:pPr>
            <w:r>
              <w:rPr>
                <w:w w:val="99"/>
                <w:sz w:val="14"/>
              </w:rPr>
              <w:t>-</w:t>
            </w:r>
          </w:p>
        </w:tc>
        <w:tc>
          <w:tcPr>
            <w:tcW w:w="557" w:type="dxa"/>
            <w:tcBorders>
              <w:top w:val="single" w:sz="4" w:space="0" w:color="000000"/>
              <w:bottom w:val="single" w:sz="4" w:space="0" w:color="000000"/>
            </w:tcBorders>
          </w:tcPr>
          <w:p>
            <w:pPr>
              <w:pStyle w:val="TableParagraph"/>
              <w:spacing w:before="23"/>
              <w:ind w:right="167"/>
              <w:rPr>
                <w:sz w:val="14"/>
              </w:rPr>
            </w:pPr>
            <w:r>
              <w:rPr>
                <w:w w:val="99"/>
                <w:sz w:val="14"/>
              </w:rPr>
              <w:t>-</w:t>
            </w:r>
          </w:p>
        </w:tc>
        <w:tc>
          <w:tcPr>
            <w:tcW w:w="539" w:type="dxa"/>
            <w:tcBorders>
              <w:top w:val="single" w:sz="4" w:space="0" w:color="000000"/>
              <w:bottom w:val="single" w:sz="4" w:space="0" w:color="000000"/>
            </w:tcBorders>
          </w:tcPr>
          <w:p>
            <w:pPr>
              <w:pStyle w:val="TableParagraph"/>
              <w:spacing w:before="23"/>
              <w:ind w:left="238"/>
              <w:jc w:val="center"/>
              <w:rPr>
                <w:sz w:val="14"/>
              </w:rPr>
            </w:pPr>
            <w:r>
              <w:rPr>
                <w:w w:val="99"/>
                <w:sz w:val="14"/>
              </w:rPr>
              <w:t>-</w:t>
            </w:r>
          </w:p>
        </w:tc>
        <w:tc>
          <w:tcPr>
            <w:tcW w:w="636" w:type="dxa"/>
            <w:tcBorders>
              <w:top w:val="single" w:sz="4" w:space="0" w:color="000000"/>
              <w:bottom w:val="single" w:sz="4" w:space="0" w:color="000000"/>
            </w:tcBorders>
          </w:tcPr>
          <w:p>
            <w:pPr>
              <w:pStyle w:val="TableParagraph"/>
              <w:spacing w:before="23"/>
              <w:ind w:right="175"/>
              <w:rPr>
                <w:sz w:val="14"/>
              </w:rPr>
            </w:pPr>
            <w:r>
              <w:rPr>
                <w:w w:val="99"/>
                <w:sz w:val="14"/>
              </w:rPr>
              <w:t>-</w:t>
            </w:r>
          </w:p>
        </w:tc>
        <w:tc>
          <w:tcPr>
            <w:tcW w:w="622" w:type="dxa"/>
            <w:tcBorders>
              <w:top w:val="single" w:sz="4" w:space="0" w:color="000000"/>
              <w:bottom w:val="single" w:sz="4" w:space="0" w:color="000000"/>
            </w:tcBorders>
          </w:tcPr>
          <w:p>
            <w:pPr>
              <w:pStyle w:val="TableParagraph"/>
              <w:spacing w:before="23"/>
              <w:ind w:right="201"/>
              <w:rPr>
                <w:sz w:val="14"/>
              </w:rPr>
            </w:pPr>
            <w:r>
              <w:rPr>
                <w:w w:val="99"/>
                <w:sz w:val="14"/>
              </w:rPr>
              <w:t>-</w:t>
            </w:r>
          </w:p>
        </w:tc>
        <w:tc>
          <w:tcPr>
            <w:tcW w:w="668" w:type="dxa"/>
            <w:tcBorders>
              <w:top w:val="single" w:sz="4" w:space="0" w:color="000000"/>
              <w:bottom w:val="single" w:sz="4" w:space="0" w:color="000000"/>
            </w:tcBorders>
          </w:tcPr>
          <w:p>
            <w:pPr>
              <w:pStyle w:val="TableParagraph"/>
              <w:spacing w:before="23"/>
              <w:ind w:right="130"/>
              <w:rPr>
                <w:sz w:val="14"/>
              </w:rPr>
            </w:pPr>
            <w:r>
              <w:rPr>
                <w:w w:val="99"/>
                <w:sz w:val="14"/>
              </w:rPr>
              <w:t>-</w:t>
            </w:r>
          </w:p>
        </w:tc>
        <w:tc>
          <w:tcPr>
            <w:tcW w:w="535" w:type="dxa"/>
            <w:tcBorders>
              <w:top w:val="single" w:sz="4" w:space="0" w:color="000000"/>
              <w:bottom w:val="single" w:sz="4" w:space="0" w:color="000000"/>
            </w:tcBorders>
          </w:tcPr>
          <w:p>
            <w:pPr>
              <w:pStyle w:val="TableParagraph"/>
              <w:spacing w:before="23"/>
              <w:ind w:right="69"/>
              <w:rPr>
                <w:sz w:val="14"/>
              </w:rPr>
            </w:pPr>
            <w:r>
              <w:rPr>
                <w:w w:val="99"/>
                <w:sz w:val="14"/>
              </w:rPr>
              <w:t>-</w:t>
            </w:r>
          </w:p>
        </w:tc>
        <w:tc>
          <w:tcPr>
            <w:tcW w:w="795" w:type="dxa"/>
            <w:tcBorders>
              <w:top w:val="single" w:sz="4" w:space="0" w:color="000000"/>
              <w:bottom w:val="single" w:sz="4" w:space="0" w:color="000000"/>
            </w:tcBorders>
          </w:tcPr>
          <w:p>
            <w:pPr>
              <w:pStyle w:val="TableParagraph"/>
              <w:spacing w:before="23"/>
              <w:ind w:right="129"/>
              <w:rPr>
                <w:i/>
                <w:sz w:val="14"/>
              </w:rPr>
            </w:pPr>
            <w:r>
              <w:rPr>
                <w:i/>
                <w:w w:val="99"/>
                <w:sz w:val="14"/>
              </w:rPr>
              <w:t>-</w:t>
            </w:r>
          </w:p>
        </w:tc>
        <w:tc>
          <w:tcPr>
            <w:tcW w:w="569" w:type="dxa"/>
            <w:tcBorders>
              <w:top w:val="single" w:sz="4" w:space="0" w:color="000000"/>
              <w:bottom w:val="single" w:sz="4" w:space="0" w:color="000000"/>
            </w:tcBorders>
          </w:tcPr>
          <w:p>
            <w:pPr>
              <w:pStyle w:val="TableParagraph"/>
              <w:spacing w:before="23"/>
              <w:ind w:right="103"/>
              <w:rPr>
                <w:sz w:val="14"/>
              </w:rPr>
            </w:pPr>
            <w:r>
              <w:rPr>
                <w:w w:val="99"/>
                <w:sz w:val="14"/>
              </w:rPr>
              <w:t>-</w:t>
            </w:r>
          </w:p>
        </w:tc>
        <w:tc>
          <w:tcPr>
            <w:tcW w:w="582" w:type="dxa"/>
            <w:tcBorders>
              <w:top w:val="single" w:sz="4" w:space="0" w:color="000000"/>
              <w:bottom w:val="single" w:sz="4" w:space="0" w:color="000000"/>
            </w:tcBorders>
          </w:tcPr>
          <w:p>
            <w:pPr>
              <w:pStyle w:val="TableParagraph"/>
              <w:spacing w:before="23"/>
              <w:ind w:right="94"/>
              <w:rPr>
                <w:sz w:val="14"/>
              </w:rPr>
            </w:pPr>
            <w:r>
              <w:rPr>
                <w:w w:val="99"/>
                <w:sz w:val="14"/>
              </w:rPr>
              <w:t>-</w:t>
            </w:r>
          </w:p>
        </w:tc>
        <w:tc>
          <w:tcPr>
            <w:tcW w:w="563" w:type="dxa"/>
            <w:tcBorders>
              <w:top w:val="single" w:sz="4" w:space="0" w:color="000000"/>
              <w:bottom w:val="single" w:sz="4" w:space="0" w:color="000000"/>
            </w:tcBorders>
          </w:tcPr>
          <w:p>
            <w:pPr>
              <w:pStyle w:val="TableParagraph"/>
              <w:spacing w:before="23"/>
              <w:ind w:right="67"/>
              <w:rPr>
                <w:sz w:val="14"/>
              </w:rPr>
            </w:pPr>
            <w:r>
              <w:rPr>
                <w:w w:val="99"/>
                <w:sz w:val="14"/>
              </w:rPr>
              <w:t>-</w:t>
            </w:r>
          </w:p>
        </w:tc>
        <w:tc>
          <w:tcPr>
            <w:tcW w:w="789" w:type="dxa"/>
            <w:tcBorders>
              <w:top w:val="single" w:sz="4" w:space="0" w:color="000000"/>
              <w:bottom w:val="single" w:sz="4" w:space="0" w:color="000000"/>
            </w:tcBorders>
          </w:tcPr>
          <w:p>
            <w:pPr>
              <w:pStyle w:val="TableParagraph"/>
              <w:spacing w:before="23"/>
              <w:ind w:right="116"/>
              <w:rPr>
                <w:i/>
                <w:sz w:val="14"/>
              </w:rPr>
            </w:pPr>
            <w:r>
              <w:rPr>
                <w:i/>
                <w:w w:val="99"/>
                <w:sz w:val="14"/>
              </w:rPr>
              <w:t>-</w:t>
            </w:r>
          </w:p>
        </w:tc>
        <w:tc>
          <w:tcPr>
            <w:tcW w:w="548" w:type="dxa"/>
            <w:tcBorders>
              <w:top w:val="single" w:sz="4" w:space="0" w:color="000000"/>
              <w:bottom w:val="single" w:sz="4" w:space="0" w:color="000000"/>
            </w:tcBorders>
          </w:tcPr>
          <w:p>
            <w:pPr>
              <w:pStyle w:val="TableParagraph"/>
              <w:spacing w:before="23"/>
              <w:ind w:right="64"/>
              <w:rPr>
                <w:b/>
                <w:sz w:val="14"/>
              </w:rPr>
            </w:pPr>
            <w:r>
              <w:rPr>
                <w:b/>
                <w:w w:val="99"/>
                <w:sz w:val="14"/>
              </w:rPr>
              <w:t>-</w:t>
            </w:r>
          </w:p>
        </w:tc>
      </w:tr>
      <w:tr>
        <w:trPr>
          <w:trHeight w:val="230" w:hRule="atLeast"/>
        </w:trPr>
        <w:tc>
          <w:tcPr>
            <w:tcW w:w="1186" w:type="dxa"/>
            <w:tcBorders>
              <w:top w:val="single" w:sz="4" w:space="0" w:color="000000"/>
              <w:bottom w:val="single" w:sz="4" w:space="0" w:color="000000"/>
            </w:tcBorders>
          </w:tcPr>
          <w:p>
            <w:pPr>
              <w:pStyle w:val="TableParagraph"/>
              <w:spacing w:before="28"/>
              <w:ind w:left="67"/>
              <w:jc w:val="left"/>
              <w:rPr>
                <w:sz w:val="14"/>
              </w:rPr>
            </w:pPr>
            <w:r>
              <w:rPr>
                <w:spacing w:val="-2"/>
                <w:sz w:val="14"/>
              </w:rPr>
              <w:t>Converted</w:t>
            </w:r>
          </w:p>
        </w:tc>
        <w:tc>
          <w:tcPr>
            <w:tcW w:w="678" w:type="dxa"/>
            <w:tcBorders>
              <w:top w:val="single" w:sz="4" w:space="0" w:color="000000"/>
              <w:bottom w:val="single" w:sz="4" w:space="0" w:color="000000"/>
            </w:tcBorders>
          </w:tcPr>
          <w:p>
            <w:pPr>
              <w:pStyle w:val="TableParagraph"/>
              <w:spacing w:before="28"/>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8"/>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8"/>
              <w:ind w:right="171"/>
              <w:rPr>
                <w:sz w:val="14"/>
              </w:rPr>
            </w:pPr>
            <w:r>
              <w:rPr>
                <w:w w:val="99"/>
                <w:sz w:val="14"/>
              </w:rPr>
              <w:t>-</w:t>
            </w:r>
          </w:p>
        </w:tc>
        <w:tc>
          <w:tcPr>
            <w:tcW w:w="557" w:type="dxa"/>
            <w:tcBorders>
              <w:top w:val="single" w:sz="4" w:space="0" w:color="000000"/>
              <w:bottom w:val="single" w:sz="4" w:space="0" w:color="000000"/>
            </w:tcBorders>
          </w:tcPr>
          <w:p>
            <w:pPr>
              <w:pStyle w:val="TableParagraph"/>
              <w:spacing w:before="28"/>
              <w:ind w:right="167"/>
              <w:rPr>
                <w:sz w:val="14"/>
              </w:rPr>
            </w:pPr>
            <w:r>
              <w:rPr>
                <w:w w:val="99"/>
                <w:sz w:val="14"/>
              </w:rPr>
              <w:t>-</w:t>
            </w:r>
          </w:p>
        </w:tc>
        <w:tc>
          <w:tcPr>
            <w:tcW w:w="539" w:type="dxa"/>
            <w:tcBorders>
              <w:top w:val="single" w:sz="4" w:space="0" w:color="000000"/>
              <w:bottom w:val="single" w:sz="4" w:space="0" w:color="000000"/>
            </w:tcBorders>
          </w:tcPr>
          <w:p>
            <w:pPr>
              <w:pStyle w:val="TableParagraph"/>
              <w:spacing w:before="28"/>
              <w:ind w:left="238"/>
              <w:jc w:val="center"/>
              <w:rPr>
                <w:sz w:val="14"/>
              </w:rPr>
            </w:pPr>
            <w:r>
              <w:rPr>
                <w:w w:val="99"/>
                <w:sz w:val="14"/>
              </w:rPr>
              <w:t>-</w:t>
            </w:r>
          </w:p>
        </w:tc>
        <w:tc>
          <w:tcPr>
            <w:tcW w:w="636" w:type="dxa"/>
            <w:tcBorders>
              <w:top w:val="single" w:sz="4" w:space="0" w:color="000000"/>
              <w:bottom w:val="single" w:sz="4" w:space="0" w:color="000000"/>
            </w:tcBorders>
          </w:tcPr>
          <w:p>
            <w:pPr>
              <w:pStyle w:val="TableParagraph"/>
              <w:spacing w:before="28"/>
              <w:ind w:right="171"/>
              <w:rPr>
                <w:sz w:val="14"/>
              </w:rPr>
            </w:pPr>
            <w:r>
              <w:rPr>
                <w:spacing w:val="-2"/>
                <w:sz w:val="14"/>
              </w:rPr>
              <w:t>(1.00)</w:t>
            </w:r>
          </w:p>
        </w:tc>
        <w:tc>
          <w:tcPr>
            <w:tcW w:w="622" w:type="dxa"/>
            <w:tcBorders>
              <w:top w:val="single" w:sz="4" w:space="0" w:color="000000"/>
              <w:bottom w:val="single" w:sz="4" w:space="0" w:color="000000"/>
            </w:tcBorders>
          </w:tcPr>
          <w:p>
            <w:pPr>
              <w:pStyle w:val="TableParagraph"/>
              <w:spacing w:before="28"/>
              <w:ind w:right="201"/>
              <w:rPr>
                <w:sz w:val="14"/>
              </w:rPr>
            </w:pPr>
            <w:r>
              <w:rPr>
                <w:w w:val="99"/>
                <w:sz w:val="14"/>
              </w:rPr>
              <w:t>-</w:t>
            </w:r>
          </w:p>
        </w:tc>
        <w:tc>
          <w:tcPr>
            <w:tcW w:w="668" w:type="dxa"/>
            <w:tcBorders>
              <w:top w:val="single" w:sz="4" w:space="0" w:color="000000"/>
              <w:bottom w:val="single" w:sz="4" w:space="0" w:color="000000"/>
            </w:tcBorders>
          </w:tcPr>
          <w:p>
            <w:pPr>
              <w:pStyle w:val="TableParagraph"/>
              <w:spacing w:before="28"/>
              <w:ind w:right="126"/>
              <w:rPr>
                <w:sz w:val="14"/>
              </w:rPr>
            </w:pPr>
            <w:r>
              <w:rPr>
                <w:spacing w:val="-2"/>
                <w:sz w:val="14"/>
              </w:rPr>
              <w:t>(2.00)</w:t>
            </w:r>
          </w:p>
        </w:tc>
        <w:tc>
          <w:tcPr>
            <w:tcW w:w="535" w:type="dxa"/>
            <w:tcBorders>
              <w:top w:val="single" w:sz="4" w:space="0" w:color="000000"/>
              <w:bottom w:val="single" w:sz="4" w:space="0" w:color="000000"/>
            </w:tcBorders>
          </w:tcPr>
          <w:p>
            <w:pPr>
              <w:pStyle w:val="TableParagraph"/>
              <w:spacing w:before="28"/>
              <w:ind w:right="65"/>
              <w:rPr>
                <w:sz w:val="14"/>
              </w:rPr>
            </w:pPr>
            <w:r>
              <w:rPr>
                <w:spacing w:val="-2"/>
                <w:sz w:val="14"/>
              </w:rPr>
              <w:t>(1.00)</w:t>
            </w:r>
          </w:p>
        </w:tc>
        <w:tc>
          <w:tcPr>
            <w:tcW w:w="795" w:type="dxa"/>
            <w:tcBorders>
              <w:top w:val="single" w:sz="4" w:space="0" w:color="000000"/>
              <w:bottom w:val="single" w:sz="4" w:space="0" w:color="000000"/>
            </w:tcBorders>
          </w:tcPr>
          <w:p>
            <w:pPr>
              <w:pStyle w:val="TableParagraph"/>
              <w:spacing w:before="28"/>
              <w:ind w:right="126"/>
              <w:rPr>
                <w:i/>
                <w:sz w:val="14"/>
              </w:rPr>
            </w:pPr>
            <w:r>
              <w:rPr>
                <w:i/>
                <w:spacing w:val="-2"/>
                <w:sz w:val="14"/>
              </w:rPr>
              <w:t>(4.00)</w:t>
            </w:r>
          </w:p>
        </w:tc>
        <w:tc>
          <w:tcPr>
            <w:tcW w:w="569" w:type="dxa"/>
            <w:tcBorders>
              <w:top w:val="single" w:sz="4" w:space="0" w:color="000000"/>
              <w:bottom w:val="single" w:sz="4" w:space="0" w:color="000000"/>
            </w:tcBorders>
          </w:tcPr>
          <w:p>
            <w:pPr>
              <w:pStyle w:val="TableParagraph"/>
              <w:spacing w:before="28"/>
              <w:ind w:right="103"/>
              <w:rPr>
                <w:sz w:val="14"/>
              </w:rPr>
            </w:pPr>
            <w:r>
              <w:rPr>
                <w:w w:val="99"/>
                <w:sz w:val="14"/>
              </w:rPr>
              <w:t>-</w:t>
            </w:r>
          </w:p>
        </w:tc>
        <w:tc>
          <w:tcPr>
            <w:tcW w:w="582" w:type="dxa"/>
            <w:tcBorders>
              <w:top w:val="single" w:sz="4" w:space="0" w:color="000000"/>
              <w:bottom w:val="single" w:sz="4" w:space="0" w:color="000000"/>
            </w:tcBorders>
          </w:tcPr>
          <w:p>
            <w:pPr>
              <w:pStyle w:val="TableParagraph"/>
              <w:spacing w:before="28"/>
              <w:ind w:right="94"/>
              <w:rPr>
                <w:sz w:val="14"/>
              </w:rPr>
            </w:pPr>
            <w:r>
              <w:rPr>
                <w:w w:val="99"/>
                <w:sz w:val="14"/>
              </w:rPr>
              <w:t>-</w:t>
            </w:r>
          </w:p>
        </w:tc>
        <w:tc>
          <w:tcPr>
            <w:tcW w:w="563" w:type="dxa"/>
            <w:tcBorders>
              <w:top w:val="single" w:sz="4" w:space="0" w:color="000000"/>
              <w:bottom w:val="single" w:sz="4" w:space="0" w:color="000000"/>
            </w:tcBorders>
          </w:tcPr>
          <w:p>
            <w:pPr>
              <w:pStyle w:val="TableParagraph"/>
              <w:spacing w:before="28"/>
              <w:ind w:right="63"/>
              <w:rPr>
                <w:sz w:val="14"/>
              </w:rPr>
            </w:pPr>
            <w:r>
              <w:rPr>
                <w:spacing w:val="-2"/>
                <w:sz w:val="14"/>
              </w:rPr>
              <w:t>(3.00)</w:t>
            </w:r>
          </w:p>
        </w:tc>
        <w:tc>
          <w:tcPr>
            <w:tcW w:w="789" w:type="dxa"/>
            <w:tcBorders>
              <w:top w:val="single" w:sz="4" w:space="0" w:color="000000"/>
              <w:bottom w:val="single" w:sz="4" w:space="0" w:color="000000"/>
            </w:tcBorders>
          </w:tcPr>
          <w:p>
            <w:pPr>
              <w:pStyle w:val="TableParagraph"/>
              <w:spacing w:before="28"/>
              <w:ind w:right="112"/>
              <w:rPr>
                <w:i/>
                <w:sz w:val="14"/>
              </w:rPr>
            </w:pPr>
            <w:r>
              <w:rPr>
                <w:i/>
                <w:spacing w:val="-2"/>
                <w:sz w:val="14"/>
              </w:rPr>
              <w:t>(3.00)</w:t>
            </w:r>
          </w:p>
        </w:tc>
        <w:tc>
          <w:tcPr>
            <w:tcW w:w="548" w:type="dxa"/>
            <w:tcBorders>
              <w:top w:val="single" w:sz="4" w:space="0" w:color="000000"/>
              <w:bottom w:val="single" w:sz="4" w:space="0" w:color="000000"/>
            </w:tcBorders>
          </w:tcPr>
          <w:p>
            <w:pPr>
              <w:pStyle w:val="TableParagraph"/>
              <w:spacing w:before="28"/>
              <w:ind w:right="60"/>
              <w:rPr>
                <w:b/>
                <w:sz w:val="14"/>
              </w:rPr>
            </w:pPr>
            <w:r>
              <w:rPr>
                <w:b/>
                <w:spacing w:val="-2"/>
                <w:sz w:val="14"/>
              </w:rPr>
              <w:t>(7.00)</w:t>
            </w:r>
          </w:p>
        </w:tc>
      </w:tr>
      <w:tr>
        <w:trPr>
          <w:trHeight w:val="225" w:hRule="atLeast"/>
        </w:trPr>
        <w:tc>
          <w:tcPr>
            <w:tcW w:w="1186" w:type="dxa"/>
            <w:tcBorders>
              <w:top w:val="single" w:sz="4" w:space="0" w:color="000000"/>
              <w:bottom w:val="single" w:sz="12" w:space="0" w:color="000000"/>
            </w:tcBorders>
          </w:tcPr>
          <w:p>
            <w:pPr>
              <w:pStyle w:val="TableParagraph"/>
              <w:spacing w:before="23"/>
              <w:ind w:left="67"/>
              <w:jc w:val="left"/>
              <w:rPr>
                <w:b/>
                <w:sz w:val="14"/>
              </w:rPr>
            </w:pPr>
            <w:r>
              <w:rPr>
                <w:b/>
                <w:sz w:val="14"/>
              </w:rPr>
              <w:t>Proposed</w:t>
            </w:r>
            <w:r>
              <w:rPr>
                <w:b/>
                <w:spacing w:val="-6"/>
                <w:sz w:val="14"/>
              </w:rPr>
              <w:t> </w:t>
            </w:r>
            <w:r>
              <w:rPr>
                <w:b/>
                <w:spacing w:val="-4"/>
                <w:sz w:val="14"/>
              </w:rPr>
              <w:t>2023</w:t>
            </w:r>
          </w:p>
        </w:tc>
        <w:tc>
          <w:tcPr>
            <w:tcW w:w="678" w:type="dxa"/>
            <w:tcBorders>
              <w:top w:val="single" w:sz="4" w:space="0" w:color="000000"/>
              <w:bottom w:val="single" w:sz="12" w:space="0" w:color="000000"/>
            </w:tcBorders>
          </w:tcPr>
          <w:p>
            <w:pPr>
              <w:pStyle w:val="TableParagraph"/>
              <w:spacing w:before="23"/>
              <w:ind w:right="154"/>
              <w:rPr>
                <w:b/>
                <w:sz w:val="14"/>
              </w:rPr>
            </w:pPr>
            <w:r>
              <w:rPr>
                <w:b/>
                <w:w w:val="99"/>
                <w:sz w:val="14"/>
              </w:rPr>
              <w:t>-</w:t>
            </w:r>
          </w:p>
        </w:tc>
        <w:tc>
          <w:tcPr>
            <w:tcW w:w="607" w:type="dxa"/>
            <w:tcBorders>
              <w:top w:val="single" w:sz="4" w:space="0" w:color="000000"/>
              <w:bottom w:val="single" w:sz="12" w:space="0" w:color="000000"/>
            </w:tcBorders>
          </w:tcPr>
          <w:p>
            <w:pPr>
              <w:pStyle w:val="TableParagraph"/>
              <w:spacing w:before="23"/>
              <w:ind w:right="170"/>
              <w:rPr>
                <w:b/>
                <w:sz w:val="14"/>
              </w:rPr>
            </w:pPr>
            <w:r>
              <w:rPr>
                <w:b/>
                <w:w w:val="99"/>
                <w:sz w:val="14"/>
              </w:rPr>
              <w:t>-</w:t>
            </w:r>
          </w:p>
        </w:tc>
        <w:tc>
          <w:tcPr>
            <w:tcW w:w="563" w:type="dxa"/>
            <w:tcBorders>
              <w:top w:val="single" w:sz="4" w:space="0" w:color="000000"/>
              <w:bottom w:val="single" w:sz="12" w:space="0" w:color="000000"/>
            </w:tcBorders>
          </w:tcPr>
          <w:p>
            <w:pPr>
              <w:pStyle w:val="TableParagraph"/>
              <w:spacing w:before="23"/>
              <w:ind w:right="171"/>
              <w:rPr>
                <w:b/>
                <w:sz w:val="14"/>
              </w:rPr>
            </w:pPr>
            <w:r>
              <w:rPr>
                <w:b/>
                <w:w w:val="99"/>
                <w:sz w:val="14"/>
              </w:rPr>
              <w:t>-</w:t>
            </w:r>
          </w:p>
        </w:tc>
        <w:tc>
          <w:tcPr>
            <w:tcW w:w="557" w:type="dxa"/>
            <w:tcBorders>
              <w:top w:val="single" w:sz="4" w:space="0" w:color="000000"/>
              <w:bottom w:val="single" w:sz="12" w:space="0" w:color="000000"/>
            </w:tcBorders>
          </w:tcPr>
          <w:p>
            <w:pPr>
              <w:pStyle w:val="TableParagraph"/>
              <w:spacing w:before="23"/>
              <w:ind w:right="167"/>
              <w:rPr>
                <w:b/>
                <w:sz w:val="14"/>
              </w:rPr>
            </w:pPr>
            <w:r>
              <w:rPr>
                <w:b/>
                <w:w w:val="99"/>
                <w:sz w:val="14"/>
              </w:rPr>
              <w:t>-</w:t>
            </w:r>
          </w:p>
        </w:tc>
        <w:tc>
          <w:tcPr>
            <w:tcW w:w="539" w:type="dxa"/>
            <w:tcBorders>
              <w:top w:val="single" w:sz="4" w:space="0" w:color="000000"/>
              <w:bottom w:val="single" w:sz="12" w:space="0" w:color="000000"/>
            </w:tcBorders>
          </w:tcPr>
          <w:p>
            <w:pPr>
              <w:pStyle w:val="TableParagraph"/>
              <w:spacing w:before="23"/>
              <w:ind w:left="151" w:right="106"/>
              <w:jc w:val="center"/>
              <w:rPr>
                <w:b/>
                <w:sz w:val="14"/>
              </w:rPr>
            </w:pPr>
            <w:r>
              <w:rPr>
                <w:b/>
                <w:spacing w:val="-4"/>
                <w:sz w:val="14"/>
              </w:rPr>
              <w:t>0.75</w:t>
            </w:r>
          </w:p>
        </w:tc>
        <w:tc>
          <w:tcPr>
            <w:tcW w:w="636" w:type="dxa"/>
            <w:tcBorders>
              <w:top w:val="single" w:sz="4" w:space="0" w:color="000000"/>
              <w:bottom w:val="single" w:sz="12" w:space="0" w:color="000000"/>
            </w:tcBorders>
          </w:tcPr>
          <w:p>
            <w:pPr>
              <w:pStyle w:val="TableParagraph"/>
              <w:spacing w:before="23"/>
              <w:ind w:right="171"/>
              <w:rPr>
                <w:b/>
                <w:sz w:val="14"/>
              </w:rPr>
            </w:pPr>
            <w:r>
              <w:rPr>
                <w:b/>
                <w:spacing w:val="-4"/>
                <w:sz w:val="14"/>
              </w:rPr>
              <w:t>1.00</w:t>
            </w:r>
          </w:p>
        </w:tc>
        <w:tc>
          <w:tcPr>
            <w:tcW w:w="622" w:type="dxa"/>
            <w:tcBorders>
              <w:top w:val="single" w:sz="4" w:space="0" w:color="000000"/>
              <w:bottom w:val="single" w:sz="12" w:space="0" w:color="000000"/>
            </w:tcBorders>
          </w:tcPr>
          <w:p>
            <w:pPr>
              <w:pStyle w:val="TableParagraph"/>
              <w:spacing w:before="23"/>
              <w:ind w:right="198"/>
              <w:rPr>
                <w:b/>
                <w:sz w:val="14"/>
              </w:rPr>
            </w:pPr>
            <w:r>
              <w:rPr>
                <w:b/>
                <w:spacing w:val="-4"/>
                <w:sz w:val="14"/>
              </w:rPr>
              <w:t>9.25</w:t>
            </w:r>
          </w:p>
        </w:tc>
        <w:tc>
          <w:tcPr>
            <w:tcW w:w="668" w:type="dxa"/>
            <w:tcBorders>
              <w:top w:val="single" w:sz="4" w:space="0" w:color="000000"/>
              <w:bottom w:val="single" w:sz="12" w:space="0" w:color="000000"/>
            </w:tcBorders>
          </w:tcPr>
          <w:p>
            <w:pPr>
              <w:pStyle w:val="TableParagraph"/>
              <w:spacing w:before="23"/>
              <w:ind w:right="127"/>
              <w:rPr>
                <w:b/>
                <w:sz w:val="14"/>
              </w:rPr>
            </w:pPr>
            <w:r>
              <w:rPr>
                <w:b/>
                <w:spacing w:val="-2"/>
                <w:sz w:val="14"/>
              </w:rPr>
              <w:t>25.99</w:t>
            </w:r>
          </w:p>
        </w:tc>
        <w:tc>
          <w:tcPr>
            <w:tcW w:w="535" w:type="dxa"/>
            <w:tcBorders>
              <w:top w:val="single" w:sz="4" w:space="0" w:color="000000"/>
              <w:bottom w:val="single" w:sz="12" w:space="0" w:color="000000"/>
            </w:tcBorders>
          </w:tcPr>
          <w:p>
            <w:pPr>
              <w:pStyle w:val="TableParagraph"/>
              <w:spacing w:before="23"/>
              <w:ind w:right="66"/>
              <w:rPr>
                <w:b/>
                <w:sz w:val="14"/>
              </w:rPr>
            </w:pPr>
            <w:r>
              <w:rPr>
                <w:b/>
                <w:spacing w:val="-4"/>
                <w:sz w:val="14"/>
              </w:rPr>
              <w:t>8.00</w:t>
            </w:r>
          </w:p>
        </w:tc>
        <w:tc>
          <w:tcPr>
            <w:tcW w:w="795" w:type="dxa"/>
            <w:tcBorders>
              <w:top w:val="single" w:sz="4" w:space="0" w:color="000000"/>
              <w:bottom w:val="single" w:sz="12" w:space="0" w:color="000000"/>
            </w:tcBorders>
          </w:tcPr>
          <w:p>
            <w:pPr>
              <w:pStyle w:val="TableParagraph"/>
              <w:spacing w:before="23"/>
              <w:ind w:right="127"/>
              <w:rPr>
                <w:b/>
                <w:i/>
                <w:sz w:val="14"/>
              </w:rPr>
            </w:pPr>
            <w:r>
              <w:rPr>
                <w:b/>
                <w:i/>
                <w:spacing w:val="-2"/>
                <w:sz w:val="14"/>
              </w:rPr>
              <w:t>44.99</w:t>
            </w:r>
          </w:p>
        </w:tc>
        <w:tc>
          <w:tcPr>
            <w:tcW w:w="569" w:type="dxa"/>
            <w:tcBorders>
              <w:top w:val="single" w:sz="4" w:space="0" w:color="000000"/>
              <w:bottom w:val="single" w:sz="12" w:space="0" w:color="000000"/>
            </w:tcBorders>
          </w:tcPr>
          <w:p>
            <w:pPr>
              <w:pStyle w:val="TableParagraph"/>
              <w:spacing w:before="23"/>
              <w:ind w:right="100"/>
              <w:rPr>
                <w:b/>
                <w:sz w:val="14"/>
              </w:rPr>
            </w:pPr>
            <w:r>
              <w:rPr>
                <w:b/>
                <w:spacing w:val="-4"/>
                <w:sz w:val="14"/>
              </w:rPr>
              <w:t>0.75</w:t>
            </w:r>
          </w:p>
        </w:tc>
        <w:tc>
          <w:tcPr>
            <w:tcW w:w="582" w:type="dxa"/>
            <w:tcBorders>
              <w:top w:val="single" w:sz="4" w:space="0" w:color="000000"/>
              <w:bottom w:val="single" w:sz="12" w:space="0" w:color="000000"/>
            </w:tcBorders>
          </w:tcPr>
          <w:p>
            <w:pPr>
              <w:pStyle w:val="TableParagraph"/>
              <w:spacing w:before="23"/>
              <w:ind w:right="91"/>
              <w:rPr>
                <w:b/>
                <w:sz w:val="14"/>
              </w:rPr>
            </w:pPr>
            <w:r>
              <w:rPr>
                <w:b/>
                <w:spacing w:val="-2"/>
                <w:sz w:val="14"/>
              </w:rPr>
              <w:t>15.17</w:t>
            </w:r>
          </w:p>
        </w:tc>
        <w:tc>
          <w:tcPr>
            <w:tcW w:w="563" w:type="dxa"/>
            <w:tcBorders>
              <w:top w:val="single" w:sz="4" w:space="0" w:color="000000"/>
              <w:bottom w:val="single" w:sz="12" w:space="0" w:color="000000"/>
            </w:tcBorders>
          </w:tcPr>
          <w:p>
            <w:pPr>
              <w:pStyle w:val="TableParagraph"/>
              <w:spacing w:before="23"/>
              <w:ind w:right="64"/>
              <w:rPr>
                <w:b/>
                <w:sz w:val="14"/>
              </w:rPr>
            </w:pPr>
            <w:r>
              <w:rPr>
                <w:b/>
                <w:spacing w:val="-2"/>
                <w:sz w:val="14"/>
              </w:rPr>
              <w:t>51.83</w:t>
            </w:r>
          </w:p>
        </w:tc>
        <w:tc>
          <w:tcPr>
            <w:tcW w:w="789" w:type="dxa"/>
            <w:tcBorders>
              <w:top w:val="single" w:sz="4" w:space="0" w:color="000000"/>
              <w:bottom w:val="single" w:sz="12" w:space="0" w:color="000000"/>
            </w:tcBorders>
          </w:tcPr>
          <w:p>
            <w:pPr>
              <w:pStyle w:val="TableParagraph"/>
              <w:spacing w:before="23"/>
              <w:ind w:right="113"/>
              <w:rPr>
                <w:b/>
                <w:i/>
                <w:sz w:val="14"/>
              </w:rPr>
            </w:pPr>
            <w:r>
              <w:rPr>
                <w:b/>
                <w:i/>
                <w:spacing w:val="-2"/>
                <w:sz w:val="14"/>
              </w:rPr>
              <w:t>67.75</w:t>
            </w:r>
          </w:p>
        </w:tc>
        <w:tc>
          <w:tcPr>
            <w:tcW w:w="548" w:type="dxa"/>
            <w:tcBorders>
              <w:top w:val="single" w:sz="4" w:space="0" w:color="000000"/>
              <w:bottom w:val="single" w:sz="12" w:space="0" w:color="000000"/>
            </w:tcBorders>
          </w:tcPr>
          <w:p>
            <w:pPr>
              <w:pStyle w:val="TableParagraph"/>
              <w:spacing w:before="23"/>
              <w:ind w:right="61"/>
              <w:rPr>
                <w:b/>
                <w:sz w:val="14"/>
              </w:rPr>
            </w:pPr>
            <w:r>
              <w:rPr>
                <w:b/>
                <w:spacing w:val="-2"/>
                <w:sz w:val="14"/>
              </w:rPr>
              <w:t>112.74</w:t>
            </w:r>
          </w:p>
        </w:tc>
      </w:tr>
    </w:tbl>
    <w:p>
      <w:pPr>
        <w:spacing w:after="0"/>
        <w:rPr>
          <w:sz w:val="14"/>
        </w:rPr>
        <w:sectPr>
          <w:headerReference w:type="even" r:id="rId75"/>
          <w:headerReference w:type="default" r:id="rId76"/>
          <w:footerReference w:type="even" r:id="rId77"/>
          <w:footerReference w:type="default" r:id="rId78"/>
          <w:pgSz w:w="11910" w:h="16840"/>
          <w:pgMar w:header="953" w:footer="940" w:top="1140" w:bottom="1140" w:left="20" w:right="20"/>
          <w:pgNumType w:start="102"/>
        </w:sectPr>
      </w:pPr>
    </w:p>
    <w:p>
      <w:pPr>
        <w:pStyle w:val="ListParagraph"/>
        <w:numPr>
          <w:ilvl w:val="2"/>
          <w:numId w:val="3"/>
        </w:numPr>
        <w:tabs>
          <w:tab w:pos="2040" w:val="left" w:leader="none"/>
          <w:tab w:pos="2041" w:val="left" w:leader="none"/>
        </w:tabs>
        <w:spacing w:line="491" w:lineRule="auto" w:before="120" w:after="0"/>
        <w:ind w:left="2246" w:right="6316" w:hanging="567"/>
        <w:jc w:val="left"/>
        <w:rPr>
          <w:b/>
          <w:sz w:val="20"/>
        </w:rPr>
      </w:pPr>
      <w:bookmarkStart w:name="_bookmark34" w:id="35"/>
      <w:bookmarkEnd w:id="35"/>
      <w:r>
        <w:rPr>
          <w:b/>
          <w:sz w:val="20"/>
        </w:rPr>
        <w:t>P</w:t>
      </w:r>
      <w:r>
        <w:rPr>
          <w:b/>
          <w:sz w:val="20"/>
        </w:rPr>
        <w:t>rogramme</w:t>
      </w:r>
      <w:r>
        <w:rPr>
          <w:b/>
          <w:spacing w:val="-6"/>
          <w:sz w:val="20"/>
        </w:rPr>
        <w:t> </w:t>
      </w:r>
      <w:r>
        <w:rPr>
          <w:b/>
          <w:sz w:val="20"/>
        </w:rPr>
        <w:t>3100:</w:t>
      </w:r>
      <w:r>
        <w:rPr>
          <w:b/>
          <w:spacing w:val="-8"/>
          <w:sz w:val="20"/>
        </w:rPr>
        <w:t> </w:t>
      </w:r>
      <w:r>
        <w:rPr>
          <w:b/>
          <w:sz w:val="20"/>
        </w:rPr>
        <w:t>Office</w:t>
      </w:r>
      <w:r>
        <w:rPr>
          <w:b/>
          <w:spacing w:val="-6"/>
          <w:sz w:val="20"/>
        </w:rPr>
        <w:t> </w:t>
      </w:r>
      <w:r>
        <w:rPr>
          <w:b/>
          <w:sz w:val="20"/>
        </w:rPr>
        <w:t>of</w:t>
      </w:r>
      <w:r>
        <w:rPr>
          <w:b/>
          <w:spacing w:val="-8"/>
          <w:sz w:val="20"/>
        </w:rPr>
        <w:t> </w:t>
      </w:r>
      <w:r>
        <w:rPr>
          <w:b/>
          <w:sz w:val="20"/>
        </w:rPr>
        <w:t>the</w:t>
      </w:r>
      <w:r>
        <w:rPr>
          <w:b/>
          <w:spacing w:val="-6"/>
          <w:sz w:val="20"/>
        </w:rPr>
        <w:t> </w:t>
      </w:r>
      <w:r>
        <w:rPr>
          <w:b/>
          <w:sz w:val="20"/>
        </w:rPr>
        <w:t>Registrar </w:t>
      </w:r>
      <w:r>
        <w:rPr>
          <w:b/>
          <w:spacing w:val="-2"/>
          <w:sz w:val="20"/>
        </w:rPr>
        <w:t>Introduction</w:t>
      </w:r>
    </w:p>
    <w:p>
      <w:pPr>
        <w:pStyle w:val="ListParagraph"/>
        <w:numPr>
          <w:ilvl w:val="0"/>
          <w:numId w:val="4"/>
        </w:numPr>
        <w:tabs>
          <w:tab w:pos="2967" w:val="left" w:leader="none"/>
        </w:tabs>
        <w:spacing w:line="240" w:lineRule="auto" w:before="0" w:after="0"/>
        <w:ind w:left="2246" w:right="2245" w:firstLine="0"/>
        <w:jc w:val="both"/>
        <w:rPr>
          <w:sz w:val="20"/>
        </w:rPr>
      </w:pPr>
      <w:bookmarkStart w:name="_bookmark35" w:id="36"/>
      <w:bookmarkEnd w:id="36"/>
      <w:r>
        <w:rPr>
          <w:sz w:val="20"/>
        </w:rPr>
        <w:t>T</w:t>
      </w:r>
      <w:r>
        <w:rPr>
          <w:sz w:val="20"/>
        </w:rPr>
        <w:t>he Office of the Registrar (OTR) encompasses the Immediate Office of the Registrar (IOR) and the Registry Legal Office (RLO).</w:t>
      </w:r>
    </w:p>
    <w:p>
      <w:pPr>
        <w:pStyle w:val="ListParagraph"/>
        <w:numPr>
          <w:ilvl w:val="0"/>
          <w:numId w:val="4"/>
        </w:numPr>
        <w:tabs>
          <w:tab w:pos="2967" w:val="left" w:leader="none"/>
        </w:tabs>
        <w:spacing w:line="240" w:lineRule="auto" w:before="119" w:after="0"/>
        <w:ind w:left="2246" w:right="2241" w:firstLine="0"/>
        <w:jc w:val="both"/>
        <w:rPr>
          <w:sz w:val="20"/>
        </w:rPr>
      </w:pPr>
      <w:r>
        <w:rPr>
          <w:sz w:val="20"/>
        </w:rPr>
        <w:t>The IOR directly supports the Registrar in providing strategic leadership, coordination and guidance to all Registry divisions, sections and offices, as well as in managing and supervising the Registry as a whole. The IOR also facilitates the flow of information to and from the Registry divisions and ensures proper high-level coordination with</w:t>
      </w:r>
      <w:r>
        <w:rPr>
          <w:spacing w:val="-4"/>
          <w:sz w:val="20"/>
        </w:rPr>
        <w:t> </w:t>
      </w:r>
      <w:r>
        <w:rPr>
          <w:sz w:val="20"/>
        </w:rPr>
        <w:t>the</w:t>
      </w:r>
      <w:r>
        <w:rPr>
          <w:spacing w:val="-2"/>
          <w:sz w:val="20"/>
        </w:rPr>
        <w:t> </w:t>
      </w:r>
      <w:r>
        <w:rPr>
          <w:sz w:val="20"/>
        </w:rPr>
        <w:t>other</w:t>
      </w:r>
      <w:r>
        <w:rPr>
          <w:spacing w:val="-4"/>
          <w:sz w:val="20"/>
        </w:rPr>
        <w:t> </w:t>
      </w:r>
      <w:r>
        <w:rPr>
          <w:sz w:val="20"/>
        </w:rPr>
        <w:t>organs</w:t>
      </w:r>
      <w:r>
        <w:rPr>
          <w:spacing w:val="-5"/>
          <w:sz w:val="20"/>
        </w:rPr>
        <w:t> </w:t>
      </w:r>
      <w:r>
        <w:rPr>
          <w:sz w:val="20"/>
        </w:rPr>
        <w:t>of</w:t>
      </w:r>
      <w:r>
        <w:rPr>
          <w:spacing w:val="-8"/>
          <w:sz w:val="20"/>
        </w:rPr>
        <w:t> </w:t>
      </w:r>
      <w:r>
        <w:rPr>
          <w:sz w:val="20"/>
        </w:rPr>
        <w:t>the</w:t>
      </w:r>
      <w:r>
        <w:rPr>
          <w:spacing w:val="-7"/>
          <w:sz w:val="20"/>
        </w:rPr>
        <w:t> </w:t>
      </w:r>
      <w:r>
        <w:rPr>
          <w:sz w:val="20"/>
        </w:rPr>
        <w:t>Court</w:t>
      </w:r>
      <w:r>
        <w:rPr>
          <w:spacing w:val="-7"/>
          <w:sz w:val="20"/>
        </w:rPr>
        <w:t> </w:t>
      </w:r>
      <w:r>
        <w:rPr>
          <w:sz w:val="20"/>
        </w:rPr>
        <w:t>and</w:t>
      </w:r>
      <w:r>
        <w:rPr>
          <w:spacing w:val="-8"/>
          <w:sz w:val="20"/>
        </w:rPr>
        <w:t> </w:t>
      </w:r>
      <w:r>
        <w:rPr>
          <w:sz w:val="20"/>
        </w:rPr>
        <w:t>external</w:t>
      </w:r>
      <w:r>
        <w:rPr>
          <w:spacing w:val="-2"/>
          <w:sz w:val="20"/>
        </w:rPr>
        <w:t> </w:t>
      </w:r>
      <w:r>
        <w:rPr>
          <w:sz w:val="20"/>
        </w:rPr>
        <w:t>stakeholders.</w:t>
      </w:r>
      <w:r>
        <w:rPr>
          <w:spacing w:val="-6"/>
          <w:sz w:val="20"/>
        </w:rPr>
        <w:t> </w:t>
      </w:r>
      <w:r>
        <w:rPr>
          <w:sz w:val="20"/>
        </w:rPr>
        <w:t>The</w:t>
      </w:r>
      <w:r>
        <w:rPr>
          <w:spacing w:val="-2"/>
          <w:sz w:val="20"/>
        </w:rPr>
        <w:t> </w:t>
      </w:r>
      <w:r>
        <w:rPr>
          <w:sz w:val="20"/>
        </w:rPr>
        <w:t>IOR</w:t>
      </w:r>
      <w:r>
        <w:rPr>
          <w:spacing w:val="-4"/>
          <w:sz w:val="20"/>
        </w:rPr>
        <w:t> </w:t>
      </w:r>
      <w:r>
        <w:rPr>
          <w:sz w:val="20"/>
        </w:rPr>
        <w:t>supports</w:t>
      </w:r>
      <w:r>
        <w:rPr>
          <w:spacing w:val="-5"/>
          <w:sz w:val="20"/>
        </w:rPr>
        <w:t> </w:t>
      </w:r>
      <w:r>
        <w:rPr>
          <w:sz w:val="20"/>
        </w:rPr>
        <w:t>the</w:t>
      </w:r>
      <w:r>
        <w:rPr>
          <w:spacing w:val="-2"/>
          <w:sz w:val="20"/>
        </w:rPr>
        <w:t> </w:t>
      </w:r>
      <w:r>
        <w:rPr>
          <w:sz w:val="20"/>
        </w:rPr>
        <w:t>Registrar in</w:t>
      </w:r>
      <w:r>
        <w:rPr>
          <w:spacing w:val="-4"/>
          <w:sz w:val="20"/>
        </w:rPr>
        <w:t> </w:t>
      </w:r>
      <w:r>
        <w:rPr>
          <w:sz w:val="20"/>
        </w:rPr>
        <w:t>the</w:t>
      </w:r>
      <w:r>
        <w:rPr>
          <w:spacing w:val="-7"/>
          <w:sz w:val="20"/>
        </w:rPr>
        <w:t> </w:t>
      </w:r>
      <w:r>
        <w:rPr>
          <w:sz w:val="20"/>
        </w:rPr>
        <w:t>performance</w:t>
      </w:r>
      <w:r>
        <w:rPr>
          <w:spacing w:val="-7"/>
          <w:sz w:val="20"/>
        </w:rPr>
        <w:t> </w:t>
      </w:r>
      <w:r>
        <w:rPr>
          <w:sz w:val="20"/>
        </w:rPr>
        <w:t>of</w:t>
      </w:r>
      <w:r>
        <w:rPr>
          <w:spacing w:val="-8"/>
          <w:sz w:val="20"/>
        </w:rPr>
        <w:t> </w:t>
      </w:r>
      <w:r>
        <w:rPr>
          <w:sz w:val="20"/>
        </w:rPr>
        <w:t>his</w:t>
      </w:r>
      <w:r>
        <w:rPr>
          <w:spacing w:val="-5"/>
          <w:sz w:val="20"/>
        </w:rPr>
        <w:t> </w:t>
      </w:r>
      <w:r>
        <w:rPr>
          <w:sz w:val="20"/>
        </w:rPr>
        <w:t>or</w:t>
      </w:r>
      <w:r>
        <w:rPr>
          <w:spacing w:val="-4"/>
          <w:sz w:val="20"/>
        </w:rPr>
        <w:t> </w:t>
      </w:r>
      <w:r>
        <w:rPr>
          <w:sz w:val="20"/>
        </w:rPr>
        <w:t>her</w:t>
      </w:r>
      <w:r>
        <w:rPr>
          <w:spacing w:val="-8"/>
          <w:sz w:val="20"/>
        </w:rPr>
        <w:t> </w:t>
      </w:r>
      <w:r>
        <w:rPr>
          <w:sz w:val="20"/>
        </w:rPr>
        <w:t>executive</w:t>
      </w:r>
      <w:r>
        <w:rPr>
          <w:spacing w:val="-3"/>
          <w:sz w:val="20"/>
        </w:rPr>
        <w:t> </w:t>
      </w:r>
      <w:r>
        <w:rPr>
          <w:sz w:val="20"/>
        </w:rPr>
        <w:t>functions</w:t>
      </w:r>
      <w:r>
        <w:rPr>
          <w:spacing w:val="-10"/>
          <w:sz w:val="20"/>
        </w:rPr>
        <w:t> </w:t>
      </w:r>
      <w:r>
        <w:rPr>
          <w:sz w:val="20"/>
        </w:rPr>
        <w:t>and</w:t>
      </w:r>
      <w:r>
        <w:rPr>
          <w:spacing w:val="-8"/>
          <w:sz w:val="20"/>
        </w:rPr>
        <w:t> </w:t>
      </w:r>
      <w:r>
        <w:rPr>
          <w:sz w:val="20"/>
        </w:rPr>
        <w:t>coordinates</w:t>
      </w:r>
      <w:r>
        <w:rPr>
          <w:spacing w:val="-10"/>
          <w:sz w:val="20"/>
        </w:rPr>
        <w:t> </w:t>
      </w:r>
      <w:r>
        <w:rPr>
          <w:sz w:val="20"/>
        </w:rPr>
        <w:t>the</w:t>
      </w:r>
      <w:r>
        <w:rPr>
          <w:spacing w:val="-3"/>
          <w:sz w:val="20"/>
        </w:rPr>
        <w:t> </w:t>
      </w:r>
      <w:r>
        <w:rPr>
          <w:sz w:val="20"/>
        </w:rPr>
        <w:t>remaining</w:t>
      </w:r>
      <w:r>
        <w:rPr>
          <w:spacing w:val="-8"/>
          <w:sz w:val="20"/>
        </w:rPr>
        <w:t> </w:t>
      </w:r>
      <w:r>
        <w:rPr>
          <w:sz w:val="20"/>
        </w:rPr>
        <w:t>executive functions delegated to the Directors of Registry divisions.</w:t>
      </w:r>
    </w:p>
    <w:p>
      <w:pPr>
        <w:pStyle w:val="ListParagraph"/>
        <w:numPr>
          <w:ilvl w:val="0"/>
          <w:numId w:val="4"/>
        </w:numPr>
        <w:tabs>
          <w:tab w:pos="2967" w:val="left" w:leader="none"/>
        </w:tabs>
        <w:spacing w:line="240" w:lineRule="auto" w:before="119" w:after="0"/>
        <w:ind w:left="2246" w:right="2239" w:firstLine="0"/>
        <w:jc w:val="both"/>
        <w:rPr>
          <w:sz w:val="20"/>
        </w:rPr>
      </w:pPr>
      <w:r>
        <w:rPr>
          <w:sz w:val="20"/>
        </w:rPr>
        <w:t>The RLO is responsible for performing the legal functions arising from the duties assigned</w:t>
      </w:r>
      <w:r>
        <w:rPr>
          <w:spacing w:val="-11"/>
          <w:sz w:val="20"/>
        </w:rPr>
        <w:t> </w:t>
      </w:r>
      <w:r>
        <w:rPr>
          <w:sz w:val="20"/>
        </w:rPr>
        <w:t>to</w:t>
      </w:r>
      <w:r>
        <w:rPr>
          <w:spacing w:val="-11"/>
          <w:sz w:val="20"/>
        </w:rPr>
        <w:t> </w:t>
      </w:r>
      <w:r>
        <w:rPr>
          <w:sz w:val="20"/>
        </w:rPr>
        <w:t>the</w:t>
      </w:r>
      <w:r>
        <w:rPr>
          <w:spacing w:val="-5"/>
          <w:sz w:val="20"/>
        </w:rPr>
        <w:t> </w:t>
      </w:r>
      <w:r>
        <w:rPr>
          <w:sz w:val="20"/>
        </w:rPr>
        <w:t>Registrar</w:t>
      </w:r>
      <w:r>
        <w:rPr>
          <w:spacing w:val="-7"/>
          <w:sz w:val="20"/>
        </w:rPr>
        <w:t> </w:t>
      </w:r>
      <w:r>
        <w:rPr>
          <w:sz w:val="20"/>
        </w:rPr>
        <w:t>under</w:t>
      </w:r>
      <w:r>
        <w:rPr>
          <w:spacing w:val="-11"/>
          <w:sz w:val="20"/>
        </w:rPr>
        <w:t> </w:t>
      </w:r>
      <w:r>
        <w:rPr>
          <w:sz w:val="20"/>
        </w:rPr>
        <w:t>the</w:t>
      </w:r>
      <w:r>
        <w:rPr>
          <w:spacing w:val="-9"/>
          <w:sz w:val="20"/>
        </w:rPr>
        <w:t> </w:t>
      </w:r>
      <w:r>
        <w:rPr>
          <w:sz w:val="20"/>
        </w:rPr>
        <w:t>legal</w:t>
      </w:r>
      <w:r>
        <w:rPr>
          <w:spacing w:val="-9"/>
          <w:sz w:val="20"/>
        </w:rPr>
        <w:t> </w:t>
      </w:r>
      <w:r>
        <w:rPr>
          <w:sz w:val="20"/>
        </w:rPr>
        <w:t>framework</w:t>
      </w:r>
      <w:r>
        <w:rPr>
          <w:spacing w:val="-11"/>
          <w:sz w:val="20"/>
        </w:rPr>
        <w:t> </w:t>
      </w:r>
      <w:r>
        <w:rPr>
          <w:sz w:val="20"/>
        </w:rPr>
        <w:t>of</w:t>
      </w:r>
      <w:r>
        <w:rPr>
          <w:spacing w:val="-7"/>
          <w:sz w:val="20"/>
        </w:rPr>
        <w:t> </w:t>
      </w:r>
      <w:r>
        <w:rPr>
          <w:sz w:val="20"/>
        </w:rPr>
        <w:t>the</w:t>
      </w:r>
      <w:r>
        <w:rPr>
          <w:spacing w:val="-9"/>
          <w:sz w:val="20"/>
        </w:rPr>
        <w:t> </w:t>
      </w:r>
      <w:r>
        <w:rPr>
          <w:sz w:val="20"/>
        </w:rPr>
        <w:t>Court,</w:t>
      </w:r>
      <w:r>
        <w:rPr>
          <w:spacing w:val="-8"/>
          <w:sz w:val="20"/>
        </w:rPr>
        <w:t> </w:t>
      </w:r>
      <w:r>
        <w:rPr>
          <w:sz w:val="20"/>
        </w:rPr>
        <w:t>both</w:t>
      </w:r>
      <w:r>
        <w:rPr>
          <w:spacing w:val="-7"/>
          <w:sz w:val="20"/>
        </w:rPr>
        <w:t> </w:t>
      </w:r>
      <w:r>
        <w:rPr>
          <w:sz w:val="20"/>
        </w:rPr>
        <w:t>as</w:t>
      </w:r>
      <w:r>
        <w:rPr>
          <w:spacing w:val="-12"/>
          <w:sz w:val="20"/>
        </w:rPr>
        <w:t> </w:t>
      </w:r>
      <w:r>
        <w:rPr>
          <w:sz w:val="20"/>
        </w:rPr>
        <w:t>a</w:t>
      </w:r>
      <w:r>
        <w:rPr>
          <w:spacing w:val="-9"/>
          <w:sz w:val="20"/>
        </w:rPr>
        <w:t> </w:t>
      </w:r>
      <w:r>
        <w:rPr>
          <w:sz w:val="20"/>
        </w:rPr>
        <w:t>criminal</w:t>
      </w:r>
      <w:r>
        <w:rPr>
          <w:spacing w:val="-9"/>
          <w:sz w:val="20"/>
        </w:rPr>
        <w:t> </w:t>
      </w:r>
      <w:r>
        <w:rPr>
          <w:sz w:val="20"/>
        </w:rPr>
        <w:t>court</w:t>
      </w:r>
      <w:r>
        <w:rPr>
          <w:spacing w:val="-9"/>
          <w:sz w:val="20"/>
        </w:rPr>
        <w:t> </w:t>
      </w:r>
      <w:r>
        <w:rPr>
          <w:sz w:val="20"/>
        </w:rPr>
        <w:t>and </w:t>
      </w:r>
      <w:r>
        <w:rPr>
          <w:spacing w:val="-2"/>
          <w:sz w:val="20"/>
        </w:rPr>
        <w:t>an</w:t>
      </w:r>
      <w:r>
        <w:rPr>
          <w:spacing w:val="-13"/>
          <w:sz w:val="20"/>
        </w:rPr>
        <w:t> </w:t>
      </w:r>
      <w:r>
        <w:rPr>
          <w:spacing w:val="-2"/>
          <w:sz w:val="20"/>
        </w:rPr>
        <w:t>international</w:t>
      </w:r>
      <w:r>
        <w:rPr>
          <w:spacing w:val="-10"/>
          <w:sz w:val="20"/>
        </w:rPr>
        <w:t> </w:t>
      </w:r>
      <w:r>
        <w:rPr>
          <w:spacing w:val="-2"/>
          <w:sz w:val="20"/>
        </w:rPr>
        <w:t>organization.</w:t>
      </w:r>
      <w:r>
        <w:rPr>
          <w:spacing w:val="-11"/>
          <w:sz w:val="20"/>
        </w:rPr>
        <w:t> </w:t>
      </w:r>
      <w:r>
        <w:rPr>
          <w:spacing w:val="-2"/>
          <w:sz w:val="20"/>
        </w:rPr>
        <w:t>The</w:t>
      </w:r>
      <w:r>
        <w:rPr>
          <w:spacing w:val="-10"/>
          <w:sz w:val="20"/>
        </w:rPr>
        <w:t> </w:t>
      </w:r>
      <w:r>
        <w:rPr>
          <w:spacing w:val="-2"/>
          <w:sz w:val="20"/>
        </w:rPr>
        <w:t>RLO</w:t>
      </w:r>
      <w:r>
        <w:rPr>
          <w:spacing w:val="-11"/>
          <w:sz w:val="20"/>
        </w:rPr>
        <w:t> </w:t>
      </w:r>
      <w:r>
        <w:rPr>
          <w:spacing w:val="-2"/>
          <w:sz w:val="20"/>
        </w:rPr>
        <w:t>ensures</w:t>
      </w:r>
      <w:r>
        <w:rPr>
          <w:spacing w:val="-10"/>
          <w:sz w:val="20"/>
        </w:rPr>
        <w:t> </w:t>
      </w:r>
      <w:r>
        <w:rPr>
          <w:spacing w:val="-2"/>
          <w:sz w:val="20"/>
        </w:rPr>
        <w:t>the</w:t>
      </w:r>
      <w:r>
        <w:rPr>
          <w:spacing w:val="-11"/>
          <w:sz w:val="20"/>
        </w:rPr>
        <w:t> </w:t>
      </w:r>
      <w:r>
        <w:rPr>
          <w:spacing w:val="-2"/>
          <w:sz w:val="20"/>
        </w:rPr>
        <w:t>quality</w:t>
      </w:r>
      <w:r>
        <w:rPr>
          <w:spacing w:val="-10"/>
          <w:sz w:val="20"/>
        </w:rPr>
        <w:t> </w:t>
      </w:r>
      <w:r>
        <w:rPr>
          <w:spacing w:val="-2"/>
          <w:sz w:val="20"/>
        </w:rPr>
        <w:t>and</w:t>
      </w:r>
      <w:r>
        <w:rPr>
          <w:spacing w:val="-11"/>
          <w:sz w:val="20"/>
        </w:rPr>
        <w:t> </w:t>
      </w:r>
      <w:r>
        <w:rPr>
          <w:spacing w:val="-2"/>
          <w:sz w:val="20"/>
        </w:rPr>
        <w:t>consistency</w:t>
      </w:r>
      <w:r>
        <w:rPr>
          <w:spacing w:val="-10"/>
          <w:sz w:val="20"/>
        </w:rPr>
        <w:t> </w:t>
      </w:r>
      <w:r>
        <w:rPr>
          <w:spacing w:val="-2"/>
          <w:sz w:val="20"/>
        </w:rPr>
        <w:t>of</w:t>
      </w:r>
      <w:r>
        <w:rPr>
          <w:spacing w:val="-11"/>
          <w:sz w:val="20"/>
        </w:rPr>
        <w:t> </w:t>
      </w:r>
      <w:r>
        <w:rPr>
          <w:spacing w:val="-2"/>
          <w:sz w:val="20"/>
        </w:rPr>
        <w:t>legal</w:t>
      </w:r>
      <w:r>
        <w:rPr>
          <w:spacing w:val="-10"/>
          <w:sz w:val="20"/>
        </w:rPr>
        <w:t> </w:t>
      </w:r>
      <w:r>
        <w:rPr>
          <w:spacing w:val="-2"/>
          <w:sz w:val="20"/>
        </w:rPr>
        <w:t>approaches </w:t>
      </w:r>
      <w:r>
        <w:rPr>
          <w:sz w:val="20"/>
        </w:rPr>
        <w:t>throughout</w:t>
      </w:r>
      <w:r>
        <w:rPr>
          <w:spacing w:val="-2"/>
          <w:sz w:val="20"/>
        </w:rPr>
        <w:t> </w:t>
      </w:r>
      <w:r>
        <w:rPr>
          <w:sz w:val="20"/>
        </w:rPr>
        <w:t>the</w:t>
      </w:r>
      <w:r>
        <w:rPr>
          <w:spacing w:val="-2"/>
          <w:sz w:val="20"/>
        </w:rPr>
        <w:t> </w:t>
      </w:r>
      <w:r>
        <w:rPr>
          <w:sz w:val="20"/>
        </w:rPr>
        <w:t>Registry</w:t>
      </w:r>
      <w:r>
        <w:rPr>
          <w:spacing w:val="-3"/>
          <w:sz w:val="20"/>
        </w:rPr>
        <w:t> </w:t>
      </w:r>
      <w:r>
        <w:rPr>
          <w:sz w:val="20"/>
        </w:rPr>
        <w:t>and</w:t>
      </w:r>
      <w:r>
        <w:rPr>
          <w:spacing w:val="-3"/>
          <w:sz w:val="20"/>
        </w:rPr>
        <w:t> </w:t>
      </w:r>
      <w:r>
        <w:rPr>
          <w:sz w:val="20"/>
        </w:rPr>
        <w:t>across</w:t>
      </w:r>
      <w:r>
        <w:rPr>
          <w:spacing w:val="-5"/>
          <w:sz w:val="20"/>
        </w:rPr>
        <w:t> </w:t>
      </w:r>
      <w:r>
        <w:rPr>
          <w:sz w:val="20"/>
        </w:rPr>
        <w:t>a</w:t>
      </w:r>
      <w:r>
        <w:rPr>
          <w:spacing w:val="-2"/>
          <w:sz w:val="20"/>
        </w:rPr>
        <w:t> </w:t>
      </w:r>
      <w:r>
        <w:rPr>
          <w:sz w:val="20"/>
        </w:rPr>
        <w:t>range</w:t>
      </w:r>
      <w:r>
        <w:rPr>
          <w:spacing w:val="-2"/>
          <w:sz w:val="20"/>
        </w:rPr>
        <w:t> </w:t>
      </w:r>
      <w:r>
        <w:rPr>
          <w:sz w:val="20"/>
        </w:rPr>
        <w:t>of subject</w:t>
      </w:r>
      <w:r>
        <w:rPr>
          <w:spacing w:val="-2"/>
          <w:sz w:val="20"/>
        </w:rPr>
        <w:t> </w:t>
      </w:r>
      <w:r>
        <w:rPr>
          <w:sz w:val="20"/>
        </w:rPr>
        <w:t>matters.</w:t>
      </w:r>
      <w:r>
        <w:rPr>
          <w:spacing w:val="-2"/>
          <w:sz w:val="20"/>
        </w:rPr>
        <w:t> </w:t>
      </w:r>
      <w:r>
        <w:rPr>
          <w:sz w:val="20"/>
        </w:rPr>
        <w:t>In so</w:t>
      </w:r>
      <w:r>
        <w:rPr>
          <w:spacing w:val="-3"/>
          <w:sz w:val="20"/>
        </w:rPr>
        <w:t> </w:t>
      </w:r>
      <w:r>
        <w:rPr>
          <w:sz w:val="20"/>
        </w:rPr>
        <w:t>doing,</w:t>
      </w:r>
      <w:r>
        <w:rPr>
          <w:spacing w:val="-2"/>
          <w:sz w:val="20"/>
        </w:rPr>
        <w:t> </w:t>
      </w:r>
      <w:r>
        <w:rPr>
          <w:sz w:val="20"/>
        </w:rPr>
        <w:t>it</w:t>
      </w:r>
      <w:r>
        <w:rPr>
          <w:spacing w:val="-2"/>
          <w:sz w:val="20"/>
        </w:rPr>
        <w:t> </w:t>
      </w:r>
      <w:r>
        <w:rPr>
          <w:sz w:val="20"/>
        </w:rPr>
        <w:t>coordinates</w:t>
      </w:r>
      <w:r>
        <w:rPr>
          <w:spacing w:val="-5"/>
          <w:sz w:val="20"/>
        </w:rPr>
        <w:t> </w:t>
      </w:r>
      <w:r>
        <w:rPr>
          <w:sz w:val="20"/>
        </w:rPr>
        <w:t>the </w:t>
      </w:r>
      <w:r>
        <w:rPr>
          <w:spacing w:val="-2"/>
          <w:sz w:val="20"/>
        </w:rPr>
        <w:t>Registry’s</w:t>
      </w:r>
      <w:r>
        <w:rPr>
          <w:spacing w:val="-3"/>
          <w:sz w:val="20"/>
        </w:rPr>
        <w:t> </w:t>
      </w:r>
      <w:r>
        <w:rPr>
          <w:spacing w:val="-2"/>
          <w:sz w:val="20"/>
        </w:rPr>
        <w:t>Legal Network. Its</w:t>
      </w:r>
      <w:r>
        <w:rPr>
          <w:spacing w:val="-8"/>
          <w:sz w:val="20"/>
        </w:rPr>
        <w:t> </w:t>
      </w:r>
      <w:r>
        <w:rPr>
          <w:spacing w:val="-2"/>
          <w:sz w:val="20"/>
        </w:rPr>
        <w:t>practice areas, which</w:t>
      </w:r>
      <w:r>
        <w:rPr>
          <w:spacing w:val="-6"/>
          <w:sz w:val="20"/>
        </w:rPr>
        <w:t> </w:t>
      </w:r>
      <w:r>
        <w:rPr>
          <w:spacing w:val="-2"/>
          <w:sz w:val="20"/>
        </w:rPr>
        <w:t>broadly correspond to the</w:t>
      </w:r>
      <w:r>
        <w:rPr>
          <w:spacing w:val="-5"/>
          <w:sz w:val="20"/>
        </w:rPr>
        <w:t> </w:t>
      </w:r>
      <w:r>
        <w:rPr>
          <w:spacing w:val="-2"/>
          <w:sz w:val="20"/>
        </w:rPr>
        <w:t>Registry’s</w:t>
      </w:r>
      <w:r>
        <w:rPr>
          <w:spacing w:val="-3"/>
          <w:sz w:val="20"/>
        </w:rPr>
        <w:t> </w:t>
      </w:r>
      <w:r>
        <w:rPr>
          <w:spacing w:val="-2"/>
          <w:sz w:val="20"/>
        </w:rPr>
        <w:t>three </w:t>
      </w:r>
      <w:r>
        <w:rPr>
          <w:sz w:val="20"/>
        </w:rPr>
        <w:t>divisions,</w:t>
      </w:r>
      <w:r>
        <w:rPr>
          <w:spacing w:val="-5"/>
          <w:sz w:val="20"/>
        </w:rPr>
        <w:t> </w:t>
      </w:r>
      <w:r>
        <w:rPr>
          <w:sz w:val="20"/>
        </w:rPr>
        <w:t>are</w:t>
      </w:r>
      <w:r>
        <w:rPr>
          <w:spacing w:val="-5"/>
          <w:sz w:val="20"/>
        </w:rPr>
        <w:t> </w:t>
      </w:r>
      <w:r>
        <w:rPr>
          <w:sz w:val="20"/>
        </w:rPr>
        <w:t>regulatory</w:t>
      </w:r>
      <w:r>
        <w:rPr>
          <w:spacing w:val="-6"/>
          <w:sz w:val="20"/>
        </w:rPr>
        <w:t> </w:t>
      </w:r>
      <w:r>
        <w:rPr>
          <w:sz w:val="20"/>
        </w:rPr>
        <w:t>and</w:t>
      </w:r>
      <w:r>
        <w:rPr>
          <w:spacing w:val="-6"/>
          <w:sz w:val="20"/>
        </w:rPr>
        <w:t> </w:t>
      </w:r>
      <w:r>
        <w:rPr>
          <w:sz w:val="20"/>
        </w:rPr>
        <w:t>compliance,</w:t>
      </w:r>
      <w:r>
        <w:rPr>
          <w:spacing w:val="-5"/>
          <w:sz w:val="20"/>
        </w:rPr>
        <w:t> </w:t>
      </w:r>
      <w:r>
        <w:rPr>
          <w:sz w:val="20"/>
        </w:rPr>
        <w:t>judicial</w:t>
      </w:r>
      <w:r>
        <w:rPr>
          <w:spacing w:val="-5"/>
          <w:sz w:val="20"/>
        </w:rPr>
        <w:t> </w:t>
      </w:r>
      <w:r>
        <w:rPr>
          <w:sz w:val="20"/>
        </w:rPr>
        <w:t>matters,</w:t>
      </w:r>
      <w:r>
        <w:rPr>
          <w:spacing w:val="-5"/>
          <w:sz w:val="20"/>
        </w:rPr>
        <w:t> </w:t>
      </w:r>
      <w:r>
        <w:rPr>
          <w:sz w:val="20"/>
        </w:rPr>
        <w:t>and</w:t>
      </w:r>
      <w:r>
        <w:rPr>
          <w:spacing w:val="-3"/>
          <w:sz w:val="20"/>
        </w:rPr>
        <w:t> </w:t>
      </w:r>
      <w:r>
        <w:rPr>
          <w:sz w:val="20"/>
        </w:rPr>
        <w:t>external</w:t>
      </w:r>
      <w:r>
        <w:rPr>
          <w:spacing w:val="-2"/>
          <w:sz w:val="20"/>
        </w:rPr>
        <w:t> </w:t>
      </w:r>
      <w:r>
        <w:rPr>
          <w:sz w:val="20"/>
        </w:rPr>
        <w:t>operations.</w:t>
      </w:r>
      <w:r>
        <w:rPr>
          <w:spacing w:val="-5"/>
          <w:sz w:val="20"/>
        </w:rPr>
        <w:t> </w:t>
      </w:r>
      <w:r>
        <w:rPr>
          <w:sz w:val="20"/>
        </w:rPr>
        <w:t>Thus,</w:t>
      </w:r>
      <w:r>
        <w:rPr>
          <w:spacing w:val="-1"/>
          <w:sz w:val="20"/>
        </w:rPr>
        <w:t> </w:t>
      </w:r>
      <w:r>
        <w:rPr>
          <w:sz w:val="20"/>
        </w:rPr>
        <w:t>for example, the RLO handles staff litigation issues and advises on procurement matters and administrative</w:t>
      </w:r>
      <w:r>
        <w:rPr>
          <w:spacing w:val="-13"/>
          <w:sz w:val="20"/>
        </w:rPr>
        <w:t> </w:t>
      </w:r>
      <w:r>
        <w:rPr>
          <w:sz w:val="20"/>
        </w:rPr>
        <w:t>issuances.</w:t>
      </w:r>
      <w:r>
        <w:rPr>
          <w:spacing w:val="-12"/>
          <w:sz w:val="20"/>
        </w:rPr>
        <w:t> </w:t>
      </w:r>
      <w:r>
        <w:rPr>
          <w:sz w:val="20"/>
        </w:rPr>
        <w:t>It</w:t>
      </w:r>
      <w:r>
        <w:rPr>
          <w:spacing w:val="-13"/>
          <w:sz w:val="20"/>
        </w:rPr>
        <w:t> </w:t>
      </w:r>
      <w:r>
        <w:rPr>
          <w:sz w:val="20"/>
        </w:rPr>
        <w:t>also</w:t>
      </w:r>
      <w:r>
        <w:rPr>
          <w:spacing w:val="-12"/>
          <w:sz w:val="20"/>
        </w:rPr>
        <w:t> </w:t>
      </w:r>
      <w:r>
        <w:rPr>
          <w:sz w:val="20"/>
        </w:rPr>
        <w:t>coordinates</w:t>
      </w:r>
      <w:r>
        <w:rPr>
          <w:spacing w:val="-13"/>
          <w:sz w:val="20"/>
        </w:rPr>
        <w:t> </w:t>
      </w:r>
      <w:r>
        <w:rPr>
          <w:sz w:val="20"/>
        </w:rPr>
        <w:t>Registry</w:t>
      </w:r>
      <w:r>
        <w:rPr>
          <w:spacing w:val="-12"/>
          <w:sz w:val="20"/>
        </w:rPr>
        <w:t> </w:t>
      </w:r>
      <w:r>
        <w:rPr>
          <w:sz w:val="20"/>
        </w:rPr>
        <w:t>submissions</w:t>
      </w:r>
      <w:r>
        <w:rPr>
          <w:spacing w:val="-13"/>
          <w:sz w:val="20"/>
        </w:rPr>
        <w:t> </w:t>
      </w:r>
      <w:r>
        <w:rPr>
          <w:sz w:val="20"/>
        </w:rPr>
        <w:t>in</w:t>
      </w:r>
      <w:r>
        <w:rPr>
          <w:spacing w:val="-12"/>
          <w:sz w:val="20"/>
        </w:rPr>
        <w:t> </w:t>
      </w:r>
      <w:r>
        <w:rPr>
          <w:sz w:val="20"/>
        </w:rPr>
        <w:t>judicial</w:t>
      </w:r>
      <w:r>
        <w:rPr>
          <w:spacing w:val="-13"/>
          <w:sz w:val="20"/>
        </w:rPr>
        <w:t> </w:t>
      </w:r>
      <w:r>
        <w:rPr>
          <w:sz w:val="20"/>
        </w:rPr>
        <w:t>proceedings</w:t>
      </w:r>
      <w:r>
        <w:rPr>
          <w:spacing w:val="-12"/>
          <w:sz w:val="20"/>
        </w:rPr>
        <w:t> </w:t>
      </w:r>
      <w:r>
        <w:rPr>
          <w:sz w:val="20"/>
        </w:rPr>
        <w:t>and advises on detention and counsel matters. Furthermore, the RLO negotiates and prepares agreements and arrangements between the Court and third parties, and advises on the interpretation</w:t>
      </w:r>
      <w:r>
        <w:rPr>
          <w:spacing w:val="-4"/>
          <w:sz w:val="20"/>
        </w:rPr>
        <w:t> </w:t>
      </w:r>
      <w:r>
        <w:rPr>
          <w:sz w:val="20"/>
        </w:rPr>
        <w:t>and application</w:t>
      </w:r>
      <w:r>
        <w:rPr>
          <w:spacing w:val="-4"/>
          <w:sz w:val="20"/>
        </w:rPr>
        <w:t> </w:t>
      </w:r>
      <w:r>
        <w:rPr>
          <w:sz w:val="20"/>
        </w:rPr>
        <w:t>of</w:t>
      </w:r>
      <w:r>
        <w:rPr>
          <w:spacing w:val="-4"/>
          <w:sz w:val="20"/>
        </w:rPr>
        <w:t> </w:t>
      </w:r>
      <w:r>
        <w:rPr>
          <w:sz w:val="20"/>
        </w:rPr>
        <w:t>the Headquarters</w:t>
      </w:r>
      <w:r>
        <w:rPr>
          <w:spacing w:val="-7"/>
          <w:sz w:val="20"/>
        </w:rPr>
        <w:t> </w:t>
      </w:r>
      <w:r>
        <w:rPr>
          <w:sz w:val="20"/>
        </w:rPr>
        <w:t>Agreement</w:t>
      </w:r>
      <w:r>
        <w:rPr>
          <w:spacing w:val="-3"/>
          <w:sz w:val="20"/>
        </w:rPr>
        <w:t> </w:t>
      </w:r>
      <w:r>
        <w:rPr>
          <w:sz w:val="20"/>
        </w:rPr>
        <w:t>and</w:t>
      </w:r>
      <w:r>
        <w:rPr>
          <w:spacing w:val="-4"/>
          <w:sz w:val="20"/>
        </w:rPr>
        <w:t> </w:t>
      </w:r>
      <w:r>
        <w:rPr>
          <w:sz w:val="20"/>
        </w:rPr>
        <w:t>other</w:t>
      </w:r>
      <w:r>
        <w:rPr>
          <w:spacing w:val="-4"/>
          <w:sz w:val="20"/>
        </w:rPr>
        <w:t> </w:t>
      </w:r>
      <w:r>
        <w:rPr>
          <w:sz w:val="20"/>
        </w:rPr>
        <w:t>agreements.</w:t>
      </w:r>
    </w:p>
    <w:p>
      <w:pPr>
        <w:pStyle w:val="ListParagraph"/>
        <w:numPr>
          <w:ilvl w:val="0"/>
          <w:numId w:val="4"/>
        </w:numPr>
        <w:tabs>
          <w:tab w:pos="2967" w:val="left" w:leader="none"/>
        </w:tabs>
        <w:spacing w:line="240" w:lineRule="auto" w:before="120" w:after="0"/>
        <w:ind w:left="2246" w:right="2242" w:firstLine="0"/>
        <w:jc w:val="both"/>
        <w:rPr>
          <w:sz w:val="20"/>
        </w:rPr>
      </w:pPr>
      <w:r>
        <w:rPr>
          <w:sz w:val="20"/>
        </w:rPr>
        <w:t>For the first time, the OTR budget includes two independent functions created to provide Court-wide services, namely the Focal Point for Gender Equality and the </w:t>
      </w:r>
      <w:r>
        <w:rPr>
          <w:spacing w:val="-2"/>
          <w:sz w:val="20"/>
        </w:rPr>
        <w:t>Ombudsperson.</w:t>
      </w:r>
      <w:r>
        <w:rPr>
          <w:spacing w:val="-11"/>
          <w:sz w:val="20"/>
        </w:rPr>
        <w:t> </w:t>
      </w:r>
      <w:r>
        <w:rPr>
          <w:spacing w:val="-2"/>
          <w:sz w:val="20"/>
        </w:rPr>
        <w:t>These</w:t>
      </w:r>
      <w:r>
        <w:rPr>
          <w:spacing w:val="-10"/>
          <w:sz w:val="20"/>
        </w:rPr>
        <w:t> </w:t>
      </w:r>
      <w:r>
        <w:rPr>
          <w:spacing w:val="-2"/>
          <w:sz w:val="20"/>
        </w:rPr>
        <w:t>functions</w:t>
      </w:r>
      <w:r>
        <w:rPr>
          <w:spacing w:val="-11"/>
          <w:sz w:val="20"/>
        </w:rPr>
        <w:t> </w:t>
      </w:r>
      <w:r>
        <w:rPr>
          <w:spacing w:val="-2"/>
          <w:sz w:val="20"/>
        </w:rPr>
        <w:t>were</w:t>
      </w:r>
      <w:r>
        <w:rPr>
          <w:spacing w:val="-10"/>
          <w:sz w:val="20"/>
        </w:rPr>
        <w:t> </w:t>
      </w:r>
      <w:r>
        <w:rPr>
          <w:spacing w:val="-2"/>
          <w:sz w:val="20"/>
        </w:rPr>
        <w:t>included</w:t>
      </w:r>
      <w:r>
        <w:rPr>
          <w:spacing w:val="-11"/>
          <w:sz w:val="20"/>
        </w:rPr>
        <w:t> </w:t>
      </w:r>
      <w:r>
        <w:rPr>
          <w:spacing w:val="-2"/>
          <w:sz w:val="20"/>
        </w:rPr>
        <w:t>in</w:t>
      </w:r>
      <w:r>
        <w:rPr>
          <w:spacing w:val="-10"/>
          <w:sz w:val="20"/>
        </w:rPr>
        <w:t> </w:t>
      </w:r>
      <w:r>
        <w:rPr>
          <w:spacing w:val="-2"/>
          <w:sz w:val="20"/>
        </w:rPr>
        <w:t>the</w:t>
      </w:r>
      <w:r>
        <w:rPr>
          <w:spacing w:val="-11"/>
          <w:sz w:val="20"/>
        </w:rPr>
        <w:t> </w:t>
      </w:r>
      <w:r>
        <w:rPr>
          <w:spacing w:val="-2"/>
          <w:sz w:val="20"/>
        </w:rPr>
        <w:t>Registry-wide</w:t>
      </w:r>
      <w:r>
        <w:rPr>
          <w:spacing w:val="-10"/>
          <w:sz w:val="20"/>
        </w:rPr>
        <w:t> </w:t>
      </w:r>
      <w:r>
        <w:rPr>
          <w:spacing w:val="-2"/>
          <w:sz w:val="20"/>
        </w:rPr>
        <w:t>budget</w:t>
      </w:r>
      <w:r>
        <w:rPr>
          <w:spacing w:val="-11"/>
          <w:sz w:val="20"/>
        </w:rPr>
        <w:t> </w:t>
      </w:r>
      <w:r>
        <w:rPr>
          <w:spacing w:val="-2"/>
          <w:sz w:val="20"/>
        </w:rPr>
        <w:t>approved</w:t>
      </w:r>
      <w:r>
        <w:rPr>
          <w:spacing w:val="-10"/>
          <w:sz w:val="20"/>
        </w:rPr>
        <w:t> </w:t>
      </w:r>
      <w:r>
        <w:rPr>
          <w:spacing w:val="-2"/>
          <w:sz w:val="20"/>
        </w:rPr>
        <w:t>for</w:t>
      </w:r>
      <w:r>
        <w:rPr>
          <w:spacing w:val="-11"/>
          <w:sz w:val="20"/>
        </w:rPr>
        <w:t> </w:t>
      </w:r>
      <w:r>
        <w:rPr>
          <w:spacing w:val="-2"/>
          <w:sz w:val="20"/>
        </w:rPr>
        <w:t>2022, </w:t>
      </w:r>
      <w:r>
        <w:rPr>
          <w:sz w:val="20"/>
        </w:rPr>
        <w:t>but</w:t>
      </w:r>
      <w:r>
        <w:rPr>
          <w:spacing w:val="-8"/>
          <w:sz w:val="20"/>
        </w:rPr>
        <w:t> </w:t>
      </w:r>
      <w:r>
        <w:rPr>
          <w:sz w:val="20"/>
        </w:rPr>
        <w:t>not</w:t>
      </w:r>
      <w:r>
        <w:rPr>
          <w:spacing w:val="-8"/>
          <w:sz w:val="20"/>
        </w:rPr>
        <w:t> </w:t>
      </w:r>
      <w:r>
        <w:rPr>
          <w:sz w:val="20"/>
        </w:rPr>
        <w:t>as</w:t>
      </w:r>
      <w:r>
        <w:rPr>
          <w:spacing w:val="-10"/>
          <w:sz w:val="20"/>
        </w:rPr>
        <w:t> </w:t>
      </w:r>
      <w:r>
        <w:rPr>
          <w:sz w:val="20"/>
        </w:rPr>
        <w:t>part</w:t>
      </w:r>
      <w:r>
        <w:rPr>
          <w:spacing w:val="-3"/>
          <w:sz w:val="20"/>
        </w:rPr>
        <w:t> </w:t>
      </w:r>
      <w:r>
        <w:rPr>
          <w:sz w:val="20"/>
        </w:rPr>
        <w:t>of</w:t>
      </w:r>
      <w:r>
        <w:rPr>
          <w:spacing w:val="-9"/>
          <w:sz w:val="20"/>
        </w:rPr>
        <w:t> </w:t>
      </w:r>
      <w:r>
        <w:rPr>
          <w:sz w:val="20"/>
        </w:rPr>
        <w:t>any</w:t>
      </w:r>
      <w:r>
        <w:rPr>
          <w:spacing w:val="-5"/>
          <w:sz w:val="20"/>
        </w:rPr>
        <w:t> </w:t>
      </w:r>
      <w:r>
        <w:rPr>
          <w:sz w:val="20"/>
        </w:rPr>
        <w:t>of</w:t>
      </w:r>
      <w:r>
        <w:rPr>
          <w:spacing w:val="-9"/>
          <w:sz w:val="20"/>
        </w:rPr>
        <w:t> </w:t>
      </w:r>
      <w:r>
        <w:rPr>
          <w:sz w:val="20"/>
        </w:rPr>
        <w:t>the</w:t>
      </w:r>
      <w:r>
        <w:rPr>
          <w:spacing w:val="-8"/>
          <w:sz w:val="20"/>
        </w:rPr>
        <w:t> </w:t>
      </w:r>
      <w:r>
        <w:rPr>
          <w:sz w:val="20"/>
        </w:rPr>
        <w:t>offices</w:t>
      </w:r>
      <w:r>
        <w:rPr>
          <w:spacing w:val="-6"/>
          <w:sz w:val="20"/>
        </w:rPr>
        <w:t> </w:t>
      </w:r>
      <w:r>
        <w:rPr>
          <w:sz w:val="20"/>
        </w:rPr>
        <w:t>or</w:t>
      </w:r>
      <w:r>
        <w:rPr>
          <w:spacing w:val="-5"/>
          <w:sz w:val="20"/>
        </w:rPr>
        <w:t> </w:t>
      </w:r>
      <w:r>
        <w:rPr>
          <w:sz w:val="20"/>
        </w:rPr>
        <w:t>divisions</w:t>
      </w:r>
      <w:r>
        <w:rPr>
          <w:spacing w:val="-10"/>
          <w:sz w:val="20"/>
        </w:rPr>
        <w:t> </w:t>
      </w:r>
      <w:r>
        <w:rPr>
          <w:sz w:val="20"/>
        </w:rPr>
        <w:t>of</w:t>
      </w:r>
      <w:r>
        <w:rPr>
          <w:spacing w:val="-9"/>
          <w:sz w:val="20"/>
        </w:rPr>
        <w:t> </w:t>
      </w:r>
      <w:r>
        <w:rPr>
          <w:sz w:val="20"/>
        </w:rPr>
        <w:t>the</w:t>
      </w:r>
      <w:r>
        <w:rPr>
          <w:spacing w:val="-8"/>
          <w:sz w:val="20"/>
        </w:rPr>
        <w:t> </w:t>
      </w:r>
      <w:r>
        <w:rPr>
          <w:sz w:val="20"/>
        </w:rPr>
        <w:t>Registry.</w:t>
      </w:r>
      <w:r>
        <w:rPr>
          <w:spacing w:val="-2"/>
          <w:sz w:val="20"/>
        </w:rPr>
        <w:t> </w:t>
      </w:r>
      <w:r>
        <w:rPr>
          <w:sz w:val="20"/>
        </w:rPr>
        <w:t>They</w:t>
      </w:r>
      <w:r>
        <w:rPr>
          <w:spacing w:val="-5"/>
          <w:sz w:val="20"/>
        </w:rPr>
        <w:t> </w:t>
      </w:r>
      <w:r>
        <w:rPr>
          <w:sz w:val="20"/>
        </w:rPr>
        <w:t>are</w:t>
      </w:r>
      <w:r>
        <w:rPr>
          <w:spacing w:val="-3"/>
          <w:sz w:val="20"/>
        </w:rPr>
        <w:t> </w:t>
      </w:r>
      <w:r>
        <w:rPr>
          <w:sz w:val="20"/>
        </w:rPr>
        <w:t>now</w:t>
      </w:r>
      <w:r>
        <w:rPr>
          <w:spacing w:val="-10"/>
          <w:sz w:val="20"/>
        </w:rPr>
        <w:t> </w:t>
      </w:r>
      <w:r>
        <w:rPr>
          <w:sz w:val="20"/>
        </w:rPr>
        <w:t>included</w:t>
      </w:r>
      <w:r>
        <w:rPr>
          <w:spacing w:val="-9"/>
          <w:sz w:val="20"/>
        </w:rPr>
        <w:t> </w:t>
      </w:r>
      <w:r>
        <w:rPr>
          <w:sz w:val="20"/>
        </w:rPr>
        <w:t>in</w:t>
      </w:r>
      <w:r>
        <w:rPr>
          <w:spacing w:val="-5"/>
          <w:sz w:val="20"/>
        </w:rPr>
        <w:t> </w:t>
      </w:r>
      <w:r>
        <w:rPr>
          <w:sz w:val="20"/>
        </w:rPr>
        <w:t>the </w:t>
      </w:r>
      <w:r>
        <w:rPr>
          <w:spacing w:val="-4"/>
          <w:sz w:val="20"/>
        </w:rPr>
        <w:t>OTR for</w:t>
      </w:r>
      <w:r>
        <w:rPr>
          <w:spacing w:val="-6"/>
          <w:sz w:val="20"/>
        </w:rPr>
        <w:t> </w:t>
      </w:r>
      <w:r>
        <w:rPr>
          <w:spacing w:val="-4"/>
          <w:sz w:val="20"/>
        </w:rPr>
        <w:t>administrative purposes</w:t>
      </w:r>
      <w:r>
        <w:rPr>
          <w:spacing w:val="-8"/>
          <w:sz w:val="20"/>
        </w:rPr>
        <w:t> </w:t>
      </w:r>
      <w:r>
        <w:rPr>
          <w:spacing w:val="-4"/>
          <w:sz w:val="20"/>
        </w:rPr>
        <w:t>and for increased</w:t>
      </w:r>
      <w:r>
        <w:rPr>
          <w:spacing w:val="-6"/>
          <w:sz w:val="20"/>
        </w:rPr>
        <w:t> </w:t>
      </w:r>
      <w:r>
        <w:rPr>
          <w:spacing w:val="-4"/>
          <w:sz w:val="20"/>
        </w:rPr>
        <w:t>transparency in</w:t>
      </w:r>
      <w:r>
        <w:rPr>
          <w:spacing w:val="-6"/>
          <w:sz w:val="20"/>
        </w:rPr>
        <w:t> </w:t>
      </w:r>
      <w:r>
        <w:rPr>
          <w:spacing w:val="-4"/>
          <w:sz w:val="20"/>
        </w:rPr>
        <w:t>the budget request, and have </w:t>
      </w:r>
      <w:r>
        <w:rPr>
          <w:sz w:val="20"/>
        </w:rPr>
        <w:t>no</w:t>
      </w:r>
      <w:r>
        <w:rPr>
          <w:spacing w:val="-4"/>
          <w:sz w:val="20"/>
        </w:rPr>
        <w:t> </w:t>
      </w:r>
      <w:r>
        <w:rPr>
          <w:sz w:val="20"/>
        </w:rPr>
        <w:t>impact</w:t>
      </w:r>
      <w:r>
        <w:rPr>
          <w:spacing w:val="-3"/>
          <w:sz w:val="20"/>
        </w:rPr>
        <w:t> </w:t>
      </w:r>
      <w:r>
        <w:rPr>
          <w:sz w:val="20"/>
        </w:rPr>
        <w:t>on</w:t>
      </w:r>
      <w:r>
        <w:rPr>
          <w:spacing w:val="-4"/>
          <w:sz w:val="20"/>
        </w:rPr>
        <w:t> </w:t>
      </w:r>
      <w:r>
        <w:rPr>
          <w:sz w:val="20"/>
        </w:rPr>
        <w:t>the</w:t>
      </w:r>
      <w:r>
        <w:rPr>
          <w:spacing w:val="-3"/>
          <w:sz w:val="20"/>
        </w:rPr>
        <w:t> </w:t>
      </w:r>
      <w:r>
        <w:rPr>
          <w:sz w:val="20"/>
        </w:rPr>
        <w:t>independent, separate</w:t>
      </w:r>
      <w:r>
        <w:rPr>
          <w:spacing w:val="-3"/>
          <w:sz w:val="20"/>
        </w:rPr>
        <w:t> </w:t>
      </w:r>
      <w:r>
        <w:rPr>
          <w:sz w:val="20"/>
        </w:rPr>
        <w:t>and Court-wide</w:t>
      </w:r>
      <w:r>
        <w:rPr>
          <w:spacing w:val="-3"/>
          <w:sz w:val="20"/>
        </w:rPr>
        <w:t> </w:t>
      </w:r>
      <w:r>
        <w:rPr>
          <w:sz w:val="20"/>
        </w:rPr>
        <w:t>nature</w:t>
      </w:r>
      <w:r>
        <w:rPr>
          <w:spacing w:val="-3"/>
          <w:sz w:val="20"/>
        </w:rPr>
        <w:t> </w:t>
      </w:r>
      <w:r>
        <w:rPr>
          <w:sz w:val="20"/>
        </w:rPr>
        <w:t>of</w:t>
      </w:r>
      <w:r>
        <w:rPr>
          <w:spacing w:val="-4"/>
          <w:sz w:val="20"/>
        </w:rPr>
        <w:t> </w:t>
      </w:r>
      <w:r>
        <w:rPr>
          <w:sz w:val="20"/>
        </w:rPr>
        <w:t>their work.</w:t>
      </w:r>
    </w:p>
    <w:p>
      <w:pPr>
        <w:pStyle w:val="BodyText"/>
        <w:spacing w:before="2"/>
        <w:rPr>
          <w:sz w:val="21"/>
        </w:rPr>
      </w:pPr>
    </w:p>
    <w:p>
      <w:pPr>
        <w:pStyle w:val="Heading3"/>
      </w:pPr>
      <w:r>
        <w:rPr/>
        <w:t>Operating</w:t>
      </w:r>
      <w:r>
        <w:rPr>
          <w:spacing w:val="-9"/>
        </w:rPr>
        <w:t> </w:t>
      </w:r>
      <w:r>
        <w:rPr/>
        <w:t>environment</w:t>
      </w:r>
      <w:r>
        <w:rPr>
          <w:spacing w:val="-9"/>
        </w:rPr>
        <w:t> </w:t>
      </w:r>
      <w:r>
        <w:rPr/>
        <w:t>and</w:t>
      </w:r>
      <w:r>
        <w:rPr>
          <w:spacing w:val="-5"/>
        </w:rPr>
        <w:t> </w:t>
      </w:r>
      <w:r>
        <w:rPr>
          <w:spacing w:val="-2"/>
        </w:rPr>
        <w:t>priorities</w:t>
      </w:r>
    </w:p>
    <w:p>
      <w:pPr>
        <w:pStyle w:val="BodyText"/>
        <w:spacing w:before="10"/>
        <w:rPr>
          <w:b/>
        </w:rPr>
      </w:pPr>
    </w:p>
    <w:p>
      <w:pPr>
        <w:pStyle w:val="ListParagraph"/>
        <w:numPr>
          <w:ilvl w:val="0"/>
          <w:numId w:val="4"/>
        </w:numPr>
        <w:tabs>
          <w:tab w:pos="2967" w:val="left" w:leader="none"/>
        </w:tabs>
        <w:spacing w:line="240" w:lineRule="auto" w:before="0" w:after="0"/>
        <w:ind w:left="2246" w:right="2239" w:firstLine="0"/>
        <w:jc w:val="both"/>
        <w:rPr>
          <w:sz w:val="20"/>
        </w:rPr>
      </w:pPr>
      <w:r>
        <w:rPr>
          <w:sz w:val="20"/>
        </w:rPr>
        <w:t>The</w:t>
      </w:r>
      <w:r>
        <w:rPr>
          <w:spacing w:val="-2"/>
          <w:sz w:val="20"/>
        </w:rPr>
        <w:t> </w:t>
      </w:r>
      <w:r>
        <w:rPr>
          <w:sz w:val="20"/>
        </w:rPr>
        <w:t>IOR</w:t>
      </w:r>
      <w:r>
        <w:rPr>
          <w:spacing w:val="-4"/>
          <w:sz w:val="20"/>
        </w:rPr>
        <w:t> </w:t>
      </w:r>
      <w:r>
        <w:rPr>
          <w:sz w:val="20"/>
        </w:rPr>
        <w:t>will</w:t>
      </w:r>
      <w:r>
        <w:rPr>
          <w:spacing w:val="-2"/>
          <w:sz w:val="20"/>
        </w:rPr>
        <w:t> </w:t>
      </w:r>
      <w:r>
        <w:rPr>
          <w:sz w:val="20"/>
        </w:rPr>
        <w:t>continue</w:t>
      </w:r>
      <w:r>
        <w:rPr>
          <w:spacing w:val="-2"/>
          <w:sz w:val="20"/>
        </w:rPr>
        <w:t> </w:t>
      </w:r>
      <w:r>
        <w:rPr>
          <w:sz w:val="20"/>
        </w:rPr>
        <w:t>to</w:t>
      </w:r>
      <w:r>
        <w:rPr>
          <w:spacing w:val="-4"/>
          <w:sz w:val="20"/>
        </w:rPr>
        <w:t> </w:t>
      </w:r>
      <w:r>
        <w:rPr>
          <w:sz w:val="20"/>
        </w:rPr>
        <w:t>ensure</w:t>
      </w:r>
      <w:r>
        <w:rPr>
          <w:spacing w:val="-2"/>
          <w:sz w:val="20"/>
        </w:rPr>
        <w:t> </w:t>
      </w:r>
      <w:r>
        <w:rPr>
          <w:sz w:val="20"/>
        </w:rPr>
        <w:t>that</w:t>
      </w:r>
      <w:r>
        <w:rPr>
          <w:spacing w:val="-2"/>
          <w:sz w:val="20"/>
        </w:rPr>
        <w:t> </w:t>
      </w:r>
      <w:r>
        <w:rPr>
          <w:sz w:val="20"/>
        </w:rPr>
        <w:t>the Registry</w:t>
      </w:r>
      <w:r>
        <w:rPr>
          <w:spacing w:val="-4"/>
          <w:sz w:val="20"/>
        </w:rPr>
        <w:t> </w:t>
      </w:r>
      <w:r>
        <w:rPr>
          <w:sz w:val="20"/>
        </w:rPr>
        <w:t>as</w:t>
      </w:r>
      <w:r>
        <w:rPr>
          <w:spacing w:val="-5"/>
          <w:sz w:val="20"/>
        </w:rPr>
        <w:t> </w:t>
      </w:r>
      <w:r>
        <w:rPr>
          <w:sz w:val="20"/>
        </w:rPr>
        <w:t>a</w:t>
      </w:r>
      <w:r>
        <w:rPr>
          <w:spacing w:val="-2"/>
          <w:sz w:val="20"/>
        </w:rPr>
        <w:t> </w:t>
      </w:r>
      <w:r>
        <w:rPr>
          <w:sz w:val="20"/>
        </w:rPr>
        <w:t>whole</w:t>
      </w:r>
      <w:r>
        <w:rPr>
          <w:spacing w:val="-2"/>
          <w:sz w:val="20"/>
        </w:rPr>
        <w:t> </w:t>
      </w:r>
      <w:r>
        <w:rPr>
          <w:sz w:val="20"/>
        </w:rPr>
        <w:t>is able</w:t>
      </w:r>
      <w:r>
        <w:rPr>
          <w:spacing w:val="-2"/>
          <w:sz w:val="20"/>
        </w:rPr>
        <w:t> </w:t>
      </w:r>
      <w:r>
        <w:rPr>
          <w:sz w:val="20"/>
        </w:rPr>
        <w:t>to successfully perform the administrative and operational tasks demanded of it in 2023. In this regard, the IOR</w:t>
      </w:r>
      <w:r>
        <w:rPr>
          <w:spacing w:val="-10"/>
          <w:sz w:val="20"/>
        </w:rPr>
        <w:t> </w:t>
      </w:r>
      <w:r>
        <w:rPr>
          <w:sz w:val="20"/>
        </w:rPr>
        <w:t>ensures</w:t>
      </w:r>
      <w:r>
        <w:rPr>
          <w:spacing w:val="-13"/>
          <w:sz w:val="20"/>
        </w:rPr>
        <w:t> </w:t>
      </w:r>
      <w:r>
        <w:rPr>
          <w:sz w:val="20"/>
        </w:rPr>
        <w:t>appropriate</w:t>
      </w:r>
      <w:r>
        <w:rPr>
          <w:spacing w:val="-7"/>
          <w:sz w:val="20"/>
        </w:rPr>
        <w:t> </w:t>
      </w:r>
      <w:r>
        <w:rPr>
          <w:sz w:val="20"/>
        </w:rPr>
        <w:t>inter-organ</w:t>
      </w:r>
      <w:r>
        <w:rPr>
          <w:spacing w:val="-13"/>
          <w:sz w:val="20"/>
        </w:rPr>
        <w:t> </w:t>
      </w:r>
      <w:r>
        <w:rPr>
          <w:sz w:val="20"/>
        </w:rPr>
        <w:t>coordination,</w:t>
      </w:r>
      <w:r>
        <w:rPr>
          <w:spacing w:val="-11"/>
          <w:sz w:val="20"/>
        </w:rPr>
        <w:t> </w:t>
      </w:r>
      <w:r>
        <w:rPr>
          <w:sz w:val="20"/>
        </w:rPr>
        <w:t>provides</w:t>
      </w:r>
      <w:r>
        <w:rPr>
          <w:spacing w:val="-10"/>
          <w:sz w:val="20"/>
        </w:rPr>
        <w:t> </w:t>
      </w:r>
      <w:r>
        <w:rPr>
          <w:sz w:val="20"/>
        </w:rPr>
        <w:t>the</w:t>
      </w:r>
      <w:r>
        <w:rPr>
          <w:spacing w:val="-7"/>
          <w:sz w:val="20"/>
        </w:rPr>
        <w:t> </w:t>
      </w:r>
      <w:r>
        <w:rPr>
          <w:sz w:val="20"/>
        </w:rPr>
        <w:t>required</w:t>
      </w:r>
      <w:r>
        <w:rPr>
          <w:spacing w:val="-8"/>
          <w:sz w:val="20"/>
        </w:rPr>
        <w:t> </w:t>
      </w:r>
      <w:r>
        <w:rPr>
          <w:sz w:val="20"/>
        </w:rPr>
        <w:t>support</w:t>
      </w:r>
      <w:r>
        <w:rPr>
          <w:spacing w:val="-7"/>
          <w:sz w:val="20"/>
        </w:rPr>
        <w:t> </w:t>
      </w:r>
      <w:r>
        <w:rPr>
          <w:sz w:val="20"/>
        </w:rPr>
        <w:t>for</w:t>
      </w:r>
      <w:r>
        <w:rPr>
          <w:spacing w:val="-8"/>
          <w:sz w:val="20"/>
        </w:rPr>
        <w:t> </w:t>
      </w:r>
      <w:r>
        <w:rPr>
          <w:sz w:val="20"/>
        </w:rPr>
        <w:t>the</w:t>
      </w:r>
      <w:r>
        <w:rPr>
          <w:spacing w:val="-7"/>
          <w:sz w:val="20"/>
        </w:rPr>
        <w:t> </w:t>
      </w:r>
      <w:r>
        <w:rPr>
          <w:sz w:val="20"/>
        </w:rPr>
        <w:t>work of the</w:t>
      </w:r>
      <w:r>
        <w:rPr>
          <w:spacing w:val="-3"/>
          <w:sz w:val="20"/>
        </w:rPr>
        <w:t> </w:t>
      </w:r>
      <w:r>
        <w:rPr>
          <w:sz w:val="20"/>
        </w:rPr>
        <w:t>Registry Management Team (RMT), enables</w:t>
      </w:r>
      <w:r>
        <w:rPr>
          <w:spacing w:val="-1"/>
          <w:sz w:val="20"/>
        </w:rPr>
        <w:t> </w:t>
      </w:r>
      <w:r>
        <w:rPr>
          <w:sz w:val="20"/>
        </w:rPr>
        <w:t>the Registrar to ensure that</w:t>
      </w:r>
      <w:r>
        <w:rPr>
          <w:spacing w:val="-3"/>
          <w:sz w:val="20"/>
        </w:rPr>
        <w:t> </w:t>
      </w:r>
      <w:r>
        <w:rPr>
          <w:sz w:val="20"/>
        </w:rPr>
        <w:t>high-quality services are delivered to the organs of the Court and that the Registrar is able to discharge substantive responsibilities on matters such as witness protection, legal aid and support to counsel, and outreach. In addition to these tasks, the IOR also supports the Registrar in preparing for and implementing the Court-wide and Registry Strategic Plans.</w:t>
      </w:r>
    </w:p>
    <w:p>
      <w:pPr>
        <w:pStyle w:val="ListParagraph"/>
        <w:numPr>
          <w:ilvl w:val="0"/>
          <w:numId w:val="4"/>
        </w:numPr>
        <w:tabs>
          <w:tab w:pos="2967" w:val="left" w:leader="none"/>
        </w:tabs>
        <w:spacing w:line="240" w:lineRule="auto" w:before="120" w:after="0"/>
        <w:ind w:left="2246" w:right="2241" w:firstLine="0"/>
        <w:jc w:val="both"/>
        <w:rPr>
          <w:sz w:val="20"/>
        </w:rPr>
      </w:pPr>
      <w:r>
        <w:rPr>
          <w:sz w:val="20"/>
        </w:rPr>
        <w:t>An important and substantial part of the IOR’s work in 2023 will be linked to implementing</w:t>
      </w:r>
      <w:r>
        <w:rPr>
          <w:spacing w:val="40"/>
          <w:sz w:val="20"/>
        </w:rPr>
        <w:t> </w:t>
      </w:r>
      <w:r>
        <w:rPr>
          <w:sz w:val="20"/>
        </w:rPr>
        <w:t>the</w:t>
      </w:r>
      <w:r>
        <w:rPr>
          <w:spacing w:val="40"/>
          <w:sz w:val="20"/>
        </w:rPr>
        <w:t> </w:t>
      </w:r>
      <w:r>
        <w:rPr>
          <w:sz w:val="20"/>
        </w:rPr>
        <w:t>planned</w:t>
      </w:r>
      <w:r>
        <w:rPr>
          <w:spacing w:val="40"/>
          <w:sz w:val="20"/>
        </w:rPr>
        <w:t> </w:t>
      </w:r>
      <w:r>
        <w:rPr>
          <w:sz w:val="20"/>
        </w:rPr>
        <w:t>activities</w:t>
      </w:r>
      <w:r>
        <w:rPr>
          <w:spacing w:val="40"/>
          <w:sz w:val="20"/>
        </w:rPr>
        <w:t> </w:t>
      </w:r>
      <w:r>
        <w:rPr>
          <w:sz w:val="20"/>
        </w:rPr>
        <w:t>in</w:t>
      </w:r>
      <w:r>
        <w:rPr>
          <w:spacing w:val="40"/>
          <w:sz w:val="20"/>
        </w:rPr>
        <w:t> </w:t>
      </w:r>
      <w:r>
        <w:rPr>
          <w:sz w:val="20"/>
        </w:rPr>
        <w:t>the</w:t>
      </w:r>
      <w:r>
        <w:rPr>
          <w:spacing w:val="40"/>
          <w:sz w:val="20"/>
        </w:rPr>
        <w:t> </w:t>
      </w:r>
      <w:r>
        <w:rPr>
          <w:sz w:val="20"/>
        </w:rPr>
        <w:t>first</w:t>
      </w:r>
      <w:r>
        <w:rPr>
          <w:spacing w:val="40"/>
          <w:sz w:val="20"/>
        </w:rPr>
        <w:t> </w:t>
      </w:r>
      <w:r>
        <w:rPr>
          <w:sz w:val="20"/>
        </w:rPr>
        <w:t>year</w:t>
      </w:r>
      <w:r>
        <w:rPr>
          <w:spacing w:val="40"/>
          <w:sz w:val="20"/>
        </w:rPr>
        <w:t> </w:t>
      </w:r>
      <w:r>
        <w:rPr>
          <w:sz w:val="20"/>
        </w:rPr>
        <w:t>of</w:t>
      </w:r>
      <w:r>
        <w:rPr>
          <w:spacing w:val="40"/>
          <w:sz w:val="20"/>
        </w:rPr>
        <w:t> </w:t>
      </w:r>
      <w:r>
        <w:rPr>
          <w:sz w:val="20"/>
        </w:rPr>
        <w:t>the</w:t>
      </w:r>
      <w:r>
        <w:rPr>
          <w:spacing w:val="40"/>
          <w:sz w:val="20"/>
        </w:rPr>
        <w:t> </w:t>
      </w:r>
      <w:r>
        <w:rPr>
          <w:sz w:val="20"/>
        </w:rPr>
        <w:t>Registry</w:t>
      </w:r>
      <w:r>
        <w:rPr>
          <w:spacing w:val="40"/>
          <w:sz w:val="20"/>
        </w:rPr>
        <w:t> </w:t>
      </w:r>
      <w:r>
        <w:rPr>
          <w:sz w:val="20"/>
        </w:rPr>
        <w:t>Strategic</w:t>
      </w:r>
      <w:r>
        <w:rPr>
          <w:spacing w:val="40"/>
          <w:sz w:val="20"/>
        </w:rPr>
        <w:t> </w:t>
      </w:r>
      <w:r>
        <w:rPr>
          <w:sz w:val="20"/>
        </w:rPr>
        <w:t>Plan (2023-2025)</w:t>
      </w:r>
      <w:r>
        <w:rPr>
          <w:spacing w:val="-4"/>
          <w:sz w:val="20"/>
        </w:rPr>
        <w:t> </w:t>
      </w:r>
      <w:r>
        <w:rPr>
          <w:sz w:val="20"/>
        </w:rPr>
        <w:t>and</w:t>
      </w:r>
      <w:r>
        <w:rPr>
          <w:spacing w:val="-4"/>
          <w:sz w:val="20"/>
        </w:rPr>
        <w:t> </w:t>
      </w:r>
      <w:r>
        <w:rPr>
          <w:sz w:val="20"/>
        </w:rPr>
        <w:t>the</w:t>
      </w:r>
      <w:r>
        <w:rPr>
          <w:spacing w:val="-2"/>
          <w:sz w:val="20"/>
        </w:rPr>
        <w:t> </w:t>
      </w:r>
      <w:r>
        <w:rPr>
          <w:sz w:val="20"/>
        </w:rPr>
        <w:t>Court’s</w:t>
      </w:r>
      <w:r>
        <w:rPr>
          <w:spacing w:val="-5"/>
          <w:sz w:val="20"/>
        </w:rPr>
        <w:t> </w:t>
      </w:r>
      <w:r>
        <w:rPr>
          <w:sz w:val="20"/>
        </w:rPr>
        <w:t>Strategic</w:t>
      </w:r>
      <w:r>
        <w:rPr>
          <w:spacing w:val="-2"/>
          <w:sz w:val="20"/>
        </w:rPr>
        <w:t> </w:t>
      </w:r>
      <w:r>
        <w:rPr>
          <w:sz w:val="20"/>
        </w:rPr>
        <w:t>Plan</w:t>
      </w:r>
      <w:r>
        <w:rPr>
          <w:spacing w:val="-4"/>
          <w:sz w:val="20"/>
        </w:rPr>
        <w:t> </w:t>
      </w:r>
      <w:r>
        <w:rPr>
          <w:sz w:val="20"/>
        </w:rPr>
        <w:t>(2023-2025),</w:t>
      </w:r>
      <w:r>
        <w:rPr>
          <w:spacing w:val="-1"/>
          <w:sz w:val="20"/>
        </w:rPr>
        <w:t> </w:t>
      </w:r>
      <w:r>
        <w:rPr>
          <w:sz w:val="20"/>
        </w:rPr>
        <w:t>as</w:t>
      </w:r>
      <w:r>
        <w:rPr>
          <w:spacing w:val="-10"/>
          <w:sz w:val="20"/>
        </w:rPr>
        <w:t> </w:t>
      </w:r>
      <w:r>
        <w:rPr>
          <w:sz w:val="20"/>
        </w:rPr>
        <w:t>well</w:t>
      </w:r>
      <w:r>
        <w:rPr>
          <w:spacing w:val="-7"/>
          <w:sz w:val="20"/>
        </w:rPr>
        <w:t> </w:t>
      </w:r>
      <w:r>
        <w:rPr>
          <w:sz w:val="20"/>
        </w:rPr>
        <w:t>as</w:t>
      </w:r>
      <w:r>
        <w:rPr>
          <w:spacing w:val="-5"/>
          <w:sz w:val="20"/>
        </w:rPr>
        <w:t> </w:t>
      </w:r>
      <w:r>
        <w:rPr>
          <w:sz w:val="20"/>
        </w:rPr>
        <w:t>continuing</w:t>
      </w:r>
      <w:r>
        <w:rPr>
          <w:spacing w:val="-8"/>
          <w:sz w:val="20"/>
        </w:rPr>
        <w:t> </w:t>
      </w:r>
      <w:r>
        <w:rPr>
          <w:sz w:val="20"/>
        </w:rPr>
        <w:t>to</w:t>
      </w:r>
      <w:r>
        <w:rPr>
          <w:spacing w:val="-4"/>
          <w:sz w:val="20"/>
        </w:rPr>
        <w:t> </w:t>
      </w:r>
      <w:r>
        <w:rPr>
          <w:sz w:val="20"/>
        </w:rPr>
        <w:t>implement the recommendations of the Independent Expert Review.</w:t>
      </w:r>
    </w:p>
    <w:p>
      <w:pPr>
        <w:pStyle w:val="ListParagraph"/>
        <w:numPr>
          <w:ilvl w:val="0"/>
          <w:numId w:val="4"/>
        </w:numPr>
        <w:tabs>
          <w:tab w:pos="2967" w:val="left" w:leader="none"/>
        </w:tabs>
        <w:spacing w:line="240" w:lineRule="auto" w:before="122" w:after="0"/>
        <w:ind w:left="2246" w:right="2240" w:firstLine="0"/>
        <w:jc w:val="both"/>
        <w:rPr>
          <w:sz w:val="20"/>
        </w:rPr>
      </w:pPr>
      <w:r>
        <w:rPr>
          <w:sz w:val="20"/>
        </w:rPr>
        <w:t>The</w:t>
      </w:r>
      <w:r>
        <w:rPr>
          <w:spacing w:val="-3"/>
          <w:sz w:val="20"/>
        </w:rPr>
        <w:t> </w:t>
      </w:r>
      <w:r>
        <w:rPr>
          <w:sz w:val="20"/>
        </w:rPr>
        <w:t>RLO’s</w:t>
      </w:r>
      <w:r>
        <w:rPr>
          <w:spacing w:val="-1"/>
          <w:sz w:val="20"/>
        </w:rPr>
        <w:t> </w:t>
      </w:r>
      <w:r>
        <w:rPr>
          <w:sz w:val="20"/>
        </w:rPr>
        <w:t>strategic</w:t>
      </w:r>
      <w:r>
        <w:rPr>
          <w:spacing w:val="-3"/>
          <w:sz w:val="20"/>
        </w:rPr>
        <w:t> </w:t>
      </w:r>
      <w:r>
        <w:rPr>
          <w:sz w:val="20"/>
        </w:rPr>
        <w:t>priorities</w:t>
      </w:r>
      <w:r>
        <w:rPr>
          <w:spacing w:val="-6"/>
          <w:sz w:val="20"/>
        </w:rPr>
        <w:t> </w:t>
      </w:r>
      <w:r>
        <w:rPr>
          <w:sz w:val="20"/>
        </w:rPr>
        <w:t>for</w:t>
      </w:r>
      <w:r>
        <w:rPr>
          <w:spacing w:val="-5"/>
          <w:sz w:val="20"/>
        </w:rPr>
        <w:t> </w:t>
      </w:r>
      <w:r>
        <w:rPr>
          <w:sz w:val="20"/>
        </w:rPr>
        <w:t>2023,</w:t>
      </w:r>
      <w:r>
        <w:rPr>
          <w:spacing w:val="-2"/>
          <w:sz w:val="20"/>
        </w:rPr>
        <w:t> </w:t>
      </w:r>
      <w:r>
        <w:rPr>
          <w:sz w:val="20"/>
        </w:rPr>
        <w:t>apart from</w:t>
      </w:r>
      <w:r>
        <w:rPr>
          <w:spacing w:val="-3"/>
          <w:sz w:val="20"/>
        </w:rPr>
        <w:t> </w:t>
      </w:r>
      <w:r>
        <w:rPr>
          <w:sz w:val="20"/>
        </w:rPr>
        <w:t>providing</w:t>
      </w:r>
      <w:r>
        <w:rPr>
          <w:spacing w:val="-5"/>
          <w:sz w:val="20"/>
        </w:rPr>
        <w:t> </w:t>
      </w:r>
      <w:r>
        <w:rPr>
          <w:sz w:val="20"/>
        </w:rPr>
        <w:t>routine</w:t>
      </w:r>
      <w:r>
        <w:rPr>
          <w:spacing w:val="-3"/>
          <w:sz w:val="20"/>
        </w:rPr>
        <w:t> </w:t>
      </w:r>
      <w:r>
        <w:rPr>
          <w:sz w:val="20"/>
        </w:rPr>
        <w:t>legal</w:t>
      </w:r>
      <w:r>
        <w:rPr>
          <w:spacing w:val="-3"/>
          <w:sz w:val="20"/>
        </w:rPr>
        <w:t> </w:t>
      </w:r>
      <w:r>
        <w:rPr>
          <w:sz w:val="20"/>
        </w:rPr>
        <w:t>services across the Registry, will include continuing to revise the administrative legal framework of the Court and providing support in implementing the recommendations of the Independent Expert Review, a number of which require legal analysis.</w:t>
      </w:r>
    </w:p>
    <w:p>
      <w:pPr>
        <w:pStyle w:val="ListParagraph"/>
        <w:numPr>
          <w:ilvl w:val="0"/>
          <w:numId w:val="4"/>
        </w:numPr>
        <w:tabs>
          <w:tab w:pos="2967" w:val="left" w:leader="none"/>
        </w:tabs>
        <w:spacing w:line="240" w:lineRule="auto" w:before="117" w:after="0"/>
        <w:ind w:left="2246" w:right="2242" w:firstLine="0"/>
        <w:jc w:val="both"/>
        <w:rPr>
          <w:sz w:val="20"/>
        </w:rPr>
      </w:pPr>
      <w:r>
        <w:rPr>
          <w:sz w:val="20"/>
        </w:rPr>
        <w:t>In 2023, the Focal Point for Gender</w:t>
      </w:r>
      <w:r>
        <w:rPr>
          <w:spacing w:val="-5"/>
          <w:sz w:val="20"/>
        </w:rPr>
        <w:t> </w:t>
      </w:r>
      <w:r>
        <w:rPr>
          <w:sz w:val="20"/>
        </w:rPr>
        <w:t>Equality will continue the work carried out by the interim Focal Point for Gender Equality, raising awareness, conducting training, providing</w:t>
      </w:r>
      <w:r>
        <w:rPr>
          <w:spacing w:val="-13"/>
          <w:sz w:val="20"/>
        </w:rPr>
        <w:t> </w:t>
      </w:r>
      <w:r>
        <w:rPr>
          <w:sz w:val="20"/>
        </w:rPr>
        <w:t>counselling</w:t>
      </w:r>
      <w:r>
        <w:rPr>
          <w:spacing w:val="-12"/>
          <w:sz w:val="20"/>
        </w:rPr>
        <w:t> </w:t>
      </w:r>
      <w:r>
        <w:rPr>
          <w:sz w:val="20"/>
        </w:rPr>
        <w:t>to</w:t>
      </w:r>
      <w:r>
        <w:rPr>
          <w:spacing w:val="-13"/>
          <w:sz w:val="20"/>
        </w:rPr>
        <w:t> </w:t>
      </w:r>
      <w:r>
        <w:rPr>
          <w:sz w:val="20"/>
        </w:rPr>
        <w:t>staff,</w:t>
      </w:r>
      <w:r>
        <w:rPr>
          <w:spacing w:val="-12"/>
          <w:sz w:val="20"/>
        </w:rPr>
        <w:t> </w:t>
      </w:r>
      <w:r>
        <w:rPr>
          <w:sz w:val="20"/>
        </w:rPr>
        <w:t>and</w:t>
      </w:r>
      <w:r>
        <w:rPr>
          <w:spacing w:val="-13"/>
          <w:sz w:val="20"/>
        </w:rPr>
        <w:t> </w:t>
      </w:r>
      <w:r>
        <w:rPr>
          <w:sz w:val="20"/>
        </w:rPr>
        <w:t>assisting</w:t>
      </w:r>
      <w:r>
        <w:rPr>
          <w:spacing w:val="-12"/>
          <w:sz w:val="20"/>
        </w:rPr>
        <w:t> </w:t>
      </w:r>
      <w:r>
        <w:rPr>
          <w:sz w:val="20"/>
        </w:rPr>
        <w:t>the</w:t>
      </w:r>
      <w:r>
        <w:rPr>
          <w:spacing w:val="-13"/>
          <w:sz w:val="20"/>
        </w:rPr>
        <w:t> </w:t>
      </w:r>
      <w:r>
        <w:rPr>
          <w:sz w:val="20"/>
        </w:rPr>
        <w:t>Court’s</w:t>
      </w:r>
      <w:r>
        <w:rPr>
          <w:spacing w:val="-12"/>
          <w:sz w:val="20"/>
        </w:rPr>
        <w:t> </w:t>
      </w:r>
      <w:r>
        <w:rPr>
          <w:sz w:val="20"/>
        </w:rPr>
        <w:t>senior</w:t>
      </w:r>
      <w:r>
        <w:rPr>
          <w:spacing w:val="-13"/>
          <w:sz w:val="20"/>
        </w:rPr>
        <w:t> </w:t>
      </w:r>
      <w:r>
        <w:rPr>
          <w:sz w:val="20"/>
        </w:rPr>
        <w:t>management</w:t>
      </w:r>
      <w:r>
        <w:rPr>
          <w:spacing w:val="-12"/>
          <w:sz w:val="20"/>
        </w:rPr>
        <w:t> </w:t>
      </w:r>
      <w:r>
        <w:rPr>
          <w:sz w:val="20"/>
        </w:rPr>
        <w:t>in</w:t>
      </w:r>
      <w:r>
        <w:rPr>
          <w:spacing w:val="-13"/>
          <w:sz w:val="20"/>
        </w:rPr>
        <w:t> </w:t>
      </w:r>
      <w:r>
        <w:rPr>
          <w:sz w:val="20"/>
        </w:rPr>
        <w:t>driving</w:t>
      </w:r>
      <w:r>
        <w:rPr>
          <w:spacing w:val="-12"/>
          <w:sz w:val="20"/>
        </w:rPr>
        <w:t> </w:t>
      </w:r>
      <w:r>
        <w:rPr>
          <w:sz w:val="20"/>
        </w:rPr>
        <w:t>change with regard to gender-related policies and mainstreaming gender-related aspects within the Court’s administrative framework.</w:t>
      </w:r>
    </w:p>
    <w:p>
      <w:pPr>
        <w:pStyle w:val="ListParagraph"/>
        <w:numPr>
          <w:ilvl w:val="0"/>
          <w:numId w:val="4"/>
        </w:numPr>
        <w:tabs>
          <w:tab w:pos="2967" w:val="left" w:leader="none"/>
        </w:tabs>
        <w:spacing w:line="240" w:lineRule="auto" w:before="122" w:after="0"/>
        <w:ind w:left="2246" w:right="2245" w:firstLine="0"/>
        <w:jc w:val="both"/>
        <w:rPr>
          <w:sz w:val="20"/>
        </w:rPr>
      </w:pPr>
      <w:r>
        <w:rPr>
          <w:sz w:val="20"/>
        </w:rPr>
        <w:t>The Ombudsperson, who will be hired on a consultancy basis, will play a crucial role in, among others, providing a mediation service to staff members and elected officials, as well as other personnel working at the Court (e.g. interns, visiting professionals, consultants, individual contractors, counsel and members of counsel teams).</w:t>
      </w:r>
    </w:p>
    <w:p>
      <w:pPr>
        <w:spacing w:after="0" w:line="240" w:lineRule="auto"/>
        <w:jc w:val="both"/>
        <w:rPr>
          <w:sz w:val="20"/>
        </w:rPr>
        <w:sectPr>
          <w:pgSz w:w="11910" w:h="16840"/>
          <w:pgMar w:header="957" w:footer="940" w:top="1140" w:bottom="1140" w:left="20" w:right="20"/>
        </w:sectPr>
      </w:pPr>
    </w:p>
    <w:p>
      <w:pPr>
        <w:pStyle w:val="Heading3"/>
        <w:tabs>
          <w:tab w:pos="5830" w:val="left" w:leader="none"/>
        </w:tabs>
        <w:spacing w:before="124"/>
        <w:ind w:left="0"/>
        <w:jc w:val="center"/>
      </w:pPr>
      <w:r>
        <w:rPr/>
        <w:t>Budget</w:t>
      </w:r>
      <w:r>
        <w:rPr>
          <w:spacing w:val="-6"/>
        </w:rPr>
        <w:t> </w:t>
      </w:r>
      <w:r>
        <w:rPr>
          <w:spacing w:val="-2"/>
        </w:rPr>
        <w:t>resources</w:t>
      </w:r>
      <w:r>
        <w:rPr/>
        <w:tab/>
        <w:t>€2,173.6</w:t>
      </w:r>
      <w:r>
        <w:rPr>
          <w:spacing w:val="-6"/>
        </w:rPr>
        <w:t> </w:t>
      </w:r>
      <w:r>
        <w:rPr>
          <w:spacing w:val="-2"/>
        </w:rPr>
        <w:t>thousand</w:t>
      </w:r>
    </w:p>
    <w:p>
      <w:pPr>
        <w:pStyle w:val="BodyText"/>
        <w:spacing w:before="11"/>
        <w:rPr>
          <w:b/>
        </w:rPr>
      </w:pPr>
    </w:p>
    <w:p>
      <w:pPr>
        <w:pStyle w:val="ListParagraph"/>
        <w:numPr>
          <w:ilvl w:val="0"/>
          <w:numId w:val="4"/>
        </w:numPr>
        <w:tabs>
          <w:tab w:pos="2967" w:val="left" w:leader="none"/>
        </w:tabs>
        <w:spacing w:line="240" w:lineRule="auto" w:before="0" w:after="0"/>
        <w:ind w:left="2246" w:right="2247" w:firstLine="0"/>
        <w:jc w:val="both"/>
        <w:rPr>
          <w:sz w:val="20"/>
        </w:rPr>
      </w:pPr>
      <w:r>
        <w:rPr>
          <w:sz w:val="20"/>
        </w:rPr>
        <w:t>The requested amount has increased by €515.6 thousand (31.1 per cent). A considerable portion of the increase</w:t>
      </w:r>
      <w:r>
        <w:rPr>
          <w:spacing w:val="-2"/>
          <w:sz w:val="20"/>
        </w:rPr>
        <w:t> </w:t>
      </w:r>
      <w:r>
        <w:rPr>
          <w:sz w:val="20"/>
        </w:rPr>
        <w:t>corresponds to</w:t>
      </w:r>
      <w:r>
        <w:rPr>
          <w:spacing w:val="-4"/>
          <w:sz w:val="20"/>
        </w:rPr>
        <w:t> </w:t>
      </w:r>
      <w:r>
        <w:rPr>
          <w:sz w:val="20"/>
        </w:rPr>
        <w:t>the placement of the Office of</w:t>
      </w:r>
      <w:r>
        <w:rPr>
          <w:spacing w:val="-4"/>
          <w:sz w:val="20"/>
        </w:rPr>
        <w:t> </w:t>
      </w:r>
      <w:r>
        <w:rPr>
          <w:sz w:val="20"/>
        </w:rPr>
        <w:t>the Focal Point for Gender Equality (OFPGE) under the structure of the OTR.</w:t>
      </w:r>
    </w:p>
    <w:p>
      <w:pPr>
        <w:pStyle w:val="BodyText"/>
        <w:rPr>
          <w:sz w:val="21"/>
        </w:rPr>
      </w:pPr>
    </w:p>
    <w:p>
      <w:pPr>
        <w:pStyle w:val="Heading3"/>
        <w:tabs>
          <w:tab w:pos="5830" w:val="left" w:leader="none"/>
        </w:tabs>
        <w:ind w:left="53"/>
        <w:jc w:val="center"/>
      </w:pPr>
      <w:r>
        <w:rPr/>
        <w:t>Staff</w:t>
      </w:r>
      <w:r>
        <w:rPr>
          <w:spacing w:val="-7"/>
        </w:rPr>
        <w:t> </w:t>
      </w:r>
      <w:r>
        <w:rPr>
          <w:spacing w:val="-2"/>
        </w:rPr>
        <w:t>resources</w:t>
      </w:r>
      <w:r>
        <w:rPr/>
        <w:tab/>
        <w:t>€1,926.0</w:t>
      </w:r>
      <w:r>
        <w:rPr>
          <w:spacing w:val="-6"/>
        </w:rPr>
        <w:t> </w:t>
      </w:r>
      <w:r>
        <w:rPr>
          <w:spacing w:val="-2"/>
        </w:rPr>
        <w:t>thousand</w:t>
      </w:r>
    </w:p>
    <w:p>
      <w:pPr>
        <w:pStyle w:val="BodyText"/>
        <w:spacing w:before="10"/>
        <w:rPr>
          <w:b/>
        </w:rPr>
      </w:pPr>
    </w:p>
    <w:p>
      <w:pPr>
        <w:pStyle w:val="ListParagraph"/>
        <w:numPr>
          <w:ilvl w:val="0"/>
          <w:numId w:val="4"/>
        </w:numPr>
        <w:tabs>
          <w:tab w:pos="2967" w:val="left" w:leader="none"/>
        </w:tabs>
        <w:spacing w:line="240" w:lineRule="auto" w:before="1" w:after="0"/>
        <w:ind w:left="2246" w:right="2244" w:firstLine="0"/>
        <w:jc w:val="both"/>
        <w:rPr>
          <w:sz w:val="20"/>
        </w:rPr>
      </w:pPr>
      <w:r>
        <w:rPr>
          <w:sz w:val="20"/>
        </w:rPr>
        <w:t>It is proposed that the OTR will comprise 15 established posts. One of these posts is a new requested</w:t>
      </w:r>
      <w:r>
        <w:rPr>
          <w:spacing w:val="-3"/>
          <w:sz w:val="20"/>
        </w:rPr>
        <w:t> </w:t>
      </w:r>
      <w:r>
        <w:rPr>
          <w:sz w:val="20"/>
        </w:rPr>
        <w:t>established post and one is a proposed conversion from a GTA position.</w:t>
      </w:r>
    </w:p>
    <w:p>
      <w:pPr>
        <w:pStyle w:val="BodyText"/>
        <w:spacing w:before="10"/>
      </w:pPr>
    </w:p>
    <w:p>
      <w:pPr>
        <w:tabs>
          <w:tab w:pos="5890" w:val="left" w:leader="none"/>
        </w:tabs>
        <w:spacing w:before="0"/>
        <w:ind w:left="3" w:right="0" w:firstLine="0"/>
        <w:jc w:val="center"/>
        <w:rPr>
          <w:i/>
          <w:sz w:val="20"/>
        </w:rPr>
      </w:pPr>
      <w:r>
        <w:rPr>
          <w:i/>
          <w:sz w:val="20"/>
        </w:rPr>
        <w:t>Established</w:t>
      </w:r>
      <w:r>
        <w:rPr>
          <w:i/>
          <w:spacing w:val="-8"/>
          <w:sz w:val="20"/>
        </w:rPr>
        <w:t> </w:t>
      </w:r>
      <w:r>
        <w:rPr>
          <w:i/>
          <w:sz w:val="20"/>
        </w:rPr>
        <w:t>posts:</w:t>
      </w:r>
      <w:r>
        <w:rPr>
          <w:i/>
          <w:spacing w:val="-11"/>
          <w:sz w:val="20"/>
        </w:rPr>
        <w:t> </w:t>
      </w:r>
      <w:r>
        <w:rPr>
          <w:i/>
          <w:sz w:val="20"/>
        </w:rPr>
        <w:t>Professional</w:t>
      </w:r>
      <w:r>
        <w:rPr>
          <w:i/>
          <w:spacing w:val="-6"/>
          <w:sz w:val="20"/>
        </w:rPr>
        <w:t> </w:t>
      </w:r>
      <w:r>
        <w:rPr>
          <w:i/>
          <w:sz w:val="20"/>
        </w:rPr>
        <w:t>and</w:t>
      </w:r>
      <w:r>
        <w:rPr>
          <w:i/>
          <w:spacing w:val="-8"/>
          <w:sz w:val="20"/>
        </w:rPr>
        <w:t> </w:t>
      </w:r>
      <w:r>
        <w:rPr>
          <w:i/>
          <w:sz w:val="20"/>
        </w:rPr>
        <w:t>General</w:t>
      </w:r>
      <w:r>
        <w:rPr>
          <w:i/>
          <w:spacing w:val="-9"/>
          <w:sz w:val="20"/>
        </w:rPr>
        <w:t> </w:t>
      </w:r>
      <w:r>
        <w:rPr>
          <w:i/>
          <w:spacing w:val="-2"/>
          <w:sz w:val="20"/>
        </w:rPr>
        <w:t>Service</w:t>
      </w:r>
      <w:r>
        <w:rPr>
          <w:i/>
          <w:sz w:val="20"/>
        </w:rPr>
        <w:tab/>
        <w:t>€1,926.0</w:t>
      </w:r>
      <w:r>
        <w:rPr>
          <w:i/>
          <w:spacing w:val="-4"/>
          <w:sz w:val="20"/>
        </w:rPr>
        <w:t> </w:t>
      </w:r>
      <w:r>
        <w:rPr>
          <w:i/>
          <w:spacing w:val="-2"/>
          <w:sz w:val="20"/>
        </w:rPr>
        <w:t>thousand</w:t>
      </w:r>
    </w:p>
    <w:p>
      <w:pPr>
        <w:pStyle w:val="BodyText"/>
        <w:rPr>
          <w:i/>
          <w:sz w:val="21"/>
        </w:rPr>
      </w:pPr>
    </w:p>
    <w:p>
      <w:pPr>
        <w:pStyle w:val="ListParagraph"/>
        <w:numPr>
          <w:ilvl w:val="0"/>
          <w:numId w:val="4"/>
        </w:numPr>
        <w:tabs>
          <w:tab w:pos="2967" w:val="left" w:leader="none"/>
        </w:tabs>
        <w:spacing w:line="240" w:lineRule="auto" w:before="0" w:after="0"/>
        <w:ind w:left="2246" w:right="2240" w:firstLine="0"/>
        <w:jc w:val="both"/>
        <w:rPr>
          <w:sz w:val="20"/>
        </w:rPr>
      </w:pPr>
      <w:r>
        <w:rPr>
          <w:sz w:val="20"/>
        </w:rPr>
        <w:t>The</w:t>
      </w:r>
      <w:r>
        <w:rPr>
          <w:spacing w:val="-3"/>
          <w:sz w:val="20"/>
        </w:rPr>
        <w:t> </w:t>
      </w:r>
      <w:r>
        <w:rPr>
          <w:sz w:val="20"/>
        </w:rPr>
        <w:t>proposed</w:t>
      </w:r>
      <w:r>
        <w:rPr>
          <w:spacing w:val="-5"/>
          <w:sz w:val="20"/>
        </w:rPr>
        <w:t> </w:t>
      </w:r>
      <w:r>
        <w:rPr>
          <w:sz w:val="20"/>
        </w:rPr>
        <w:t>amount</w:t>
      </w:r>
      <w:r>
        <w:rPr>
          <w:spacing w:val="-3"/>
          <w:sz w:val="20"/>
        </w:rPr>
        <w:t> </w:t>
      </w:r>
      <w:r>
        <w:rPr>
          <w:sz w:val="20"/>
        </w:rPr>
        <w:t>for</w:t>
      </w:r>
      <w:r>
        <w:rPr>
          <w:spacing w:val="-5"/>
          <w:sz w:val="20"/>
        </w:rPr>
        <w:t> </w:t>
      </w:r>
      <w:r>
        <w:rPr>
          <w:sz w:val="20"/>
        </w:rPr>
        <w:t>established</w:t>
      </w:r>
      <w:r>
        <w:rPr>
          <w:spacing w:val="-5"/>
          <w:sz w:val="20"/>
        </w:rPr>
        <w:t> </w:t>
      </w:r>
      <w:r>
        <w:rPr>
          <w:sz w:val="20"/>
        </w:rPr>
        <w:t>posts</w:t>
      </w:r>
      <w:r>
        <w:rPr>
          <w:spacing w:val="-2"/>
          <w:sz w:val="20"/>
        </w:rPr>
        <w:t> </w:t>
      </w:r>
      <w:r>
        <w:rPr>
          <w:sz w:val="20"/>
        </w:rPr>
        <w:t>represents</w:t>
      </w:r>
      <w:r>
        <w:rPr>
          <w:spacing w:val="-6"/>
          <w:sz w:val="20"/>
        </w:rPr>
        <w:t> </w:t>
      </w:r>
      <w:r>
        <w:rPr>
          <w:sz w:val="20"/>
        </w:rPr>
        <w:t>an overall</w:t>
      </w:r>
      <w:r>
        <w:rPr>
          <w:spacing w:val="-8"/>
          <w:sz w:val="20"/>
        </w:rPr>
        <w:t> </w:t>
      </w:r>
      <w:r>
        <w:rPr>
          <w:sz w:val="20"/>
        </w:rPr>
        <w:t>increase</w:t>
      </w:r>
      <w:r>
        <w:rPr>
          <w:spacing w:val="-3"/>
          <w:sz w:val="20"/>
        </w:rPr>
        <w:t> </w:t>
      </w:r>
      <w:r>
        <w:rPr>
          <w:sz w:val="20"/>
        </w:rPr>
        <w:t>of €298.3 thousand (18.3</w:t>
      </w:r>
      <w:r>
        <w:rPr>
          <w:spacing w:val="-4"/>
          <w:sz w:val="20"/>
        </w:rPr>
        <w:t> </w:t>
      </w:r>
      <w:r>
        <w:rPr>
          <w:sz w:val="20"/>
        </w:rPr>
        <w:t>per</w:t>
      </w:r>
      <w:r>
        <w:rPr>
          <w:spacing w:val="-4"/>
          <w:sz w:val="20"/>
        </w:rPr>
        <w:t> </w:t>
      </w:r>
      <w:r>
        <w:rPr>
          <w:sz w:val="20"/>
        </w:rPr>
        <w:t>cent) in</w:t>
      </w:r>
      <w:r>
        <w:rPr>
          <w:spacing w:val="-4"/>
          <w:sz w:val="20"/>
        </w:rPr>
        <w:t> </w:t>
      </w:r>
      <w:r>
        <w:rPr>
          <w:sz w:val="20"/>
        </w:rPr>
        <w:t>comparison</w:t>
      </w:r>
      <w:r>
        <w:rPr>
          <w:spacing w:val="-4"/>
          <w:sz w:val="20"/>
        </w:rPr>
        <w:t> </w:t>
      </w:r>
      <w:r>
        <w:rPr>
          <w:sz w:val="20"/>
        </w:rPr>
        <w:t>to €1,627.7</w:t>
      </w:r>
      <w:r>
        <w:rPr>
          <w:spacing w:val="-4"/>
          <w:sz w:val="20"/>
        </w:rPr>
        <w:t> </w:t>
      </w:r>
      <w:r>
        <w:rPr>
          <w:sz w:val="20"/>
        </w:rPr>
        <w:t>thousand</w:t>
      </w:r>
      <w:r>
        <w:rPr>
          <w:spacing w:val="-4"/>
          <w:sz w:val="20"/>
        </w:rPr>
        <w:t> </w:t>
      </w:r>
      <w:r>
        <w:rPr>
          <w:sz w:val="20"/>
        </w:rPr>
        <w:t>approved</w:t>
      </w:r>
      <w:r>
        <w:rPr>
          <w:spacing w:val="-4"/>
          <w:sz w:val="20"/>
        </w:rPr>
        <w:t> </w:t>
      </w:r>
      <w:r>
        <w:rPr>
          <w:sz w:val="20"/>
        </w:rPr>
        <w:t>for</w:t>
      </w:r>
      <w:r>
        <w:rPr>
          <w:spacing w:val="-4"/>
          <w:sz w:val="20"/>
        </w:rPr>
        <w:t> </w:t>
      </w:r>
      <w:r>
        <w:rPr>
          <w:sz w:val="20"/>
        </w:rPr>
        <w:t>2022. In</w:t>
      </w:r>
      <w:r>
        <w:rPr>
          <w:spacing w:val="-4"/>
          <w:sz w:val="20"/>
        </w:rPr>
        <w:t> </w:t>
      </w:r>
      <w:r>
        <w:rPr>
          <w:sz w:val="20"/>
        </w:rPr>
        <w:t>addition to</w:t>
      </w:r>
      <w:r>
        <w:rPr>
          <w:spacing w:val="40"/>
          <w:sz w:val="20"/>
        </w:rPr>
        <w:t> </w:t>
      </w:r>
      <w:r>
        <w:rPr>
          <w:sz w:val="20"/>
        </w:rPr>
        <w:t>the</w:t>
      </w:r>
      <w:r>
        <w:rPr>
          <w:spacing w:val="40"/>
          <w:sz w:val="20"/>
        </w:rPr>
        <w:t> </w:t>
      </w:r>
      <w:r>
        <w:rPr>
          <w:sz w:val="20"/>
        </w:rPr>
        <w:t>application</w:t>
      </w:r>
      <w:r>
        <w:rPr>
          <w:spacing w:val="40"/>
          <w:sz w:val="20"/>
        </w:rPr>
        <w:t> </w:t>
      </w:r>
      <w:r>
        <w:rPr>
          <w:sz w:val="20"/>
        </w:rPr>
        <w:t>of</w:t>
      </w:r>
      <w:r>
        <w:rPr>
          <w:spacing w:val="40"/>
          <w:sz w:val="20"/>
        </w:rPr>
        <w:t> </w:t>
      </w:r>
      <w:r>
        <w:rPr>
          <w:sz w:val="20"/>
        </w:rPr>
        <w:t>the</w:t>
      </w:r>
      <w:r>
        <w:rPr>
          <w:spacing w:val="40"/>
          <w:sz w:val="20"/>
        </w:rPr>
        <w:t> </w:t>
      </w:r>
      <w:r>
        <w:rPr>
          <w:sz w:val="20"/>
        </w:rPr>
        <w:t>UNCS</w:t>
      </w:r>
      <w:r>
        <w:rPr>
          <w:spacing w:val="40"/>
          <w:sz w:val="20"/>
        </w:rPr>
        <w:t> </w:t>
      </w:r>
      <w:r>
        <w:rPr>
          <w:sz w:val="20"/>
        </w:rPr>
        <w:t>(€57.9</w:t>
      </w:r>
      <w:r>
        <w:rPr>
          <w:spacing w:val="40"/>
          <w:sz w:val="20"/>
        </w:rPr>
        <w:t> </w:t>
      </w:r>
      <w:r>
        <w:rPr>
          <w:sz w:val="20"/>
        </w:rPr>
        <w:t>thousand),</w:t>
      </w:r>
      <w:r>
        <w:rPr>
          <w:spacing w:val="40"/>
          <w:sz w:val="20"/>
        </w:rPr>
        <w:t> </w:t>
      </w:r>
      <w:r>
        <w:rPr>
          <w:sz w:val="20"/>
        </w:rPr>
        <w:t>the</w:t>
      </w:r>
      <w:r>
        <w:rPr>
          <w:spacing w:val="40"/>
          <w:sz w:val="20"/>
        </w:rPr>
        <w:t> </w:t>
      </w:r>
      <w:r>
        <w:rPr>
          <w:sz w:val="20"/>
        </w:rPr>
        <w:t>two</w:t>
      </w:r>
      <w:r>
        <w:rPr>
          <w:spacing w:val="40"/>
          <w:sz w:val="20"/>
        </w:rPr>
        <w:t> </w:t>
      </w:r>
      <w:r>
        <w:rPr>
          <w:sz w:val="20"/>
        </w:rPr>
        <w:t>main</w:t>
      </w:r>
      <w:r>
        <w:rPr>
          <w:spacing w:val="40"/>
          <w:sz w:val="20"/>
        </w:rPr>
        <w:t> </w:t>
      </w:r>
      <w:r>
        <w:rPr>
          <w:sz w:val="20"/>
        </w:rPr>
        <w:t>reasons</w:t>
      </w:r>
      <w:r>
        <w:rPr>
          <w:spacing w:val="40"/>
          <w:sz w:val="20"/>
        </w:rPr>
        <w:t> </w:t>
      </w:r>
      <w:r>
        <w:rPr>
          <w:sz w:val="20"/>
        </w:rPr>
        <w:t>for</w:t>
      </w:r>
      <w:r>
        <w:rPr>
          <w:spacing w:val="40"/>
          <w:sz w:val="20"/>
        </w:rPr>
        <w:t> </w:t>
      </w:r>
      <w:r>
        <w:rPr>
          <w:sz w:val="20"/>
        </w:rPr>
        <w:t>this increase</w:t>
      </w:r>
      <w:r>
        <w:rPr>
          <w:spacing w:val="-2"/>
          <w:sz w:val="20"/>
        </w:rPr>
        <w:t> </w:t>
      </w:r>
      <w:r>
        <w:rPr>
          <w:sz w:val="20"/>
        </w:rPr>
        <w:t>are: (i)</w:t>
      </w:r>
      <w:r>
        <w:rPr>
          <w:spacing w:val="-9"/>
          <w:sz w:val="20"/>
        </w:rPr>
        <w:t> </w:t>
      </w:r>
      <w:r>
        <w:rPr>
          <w:sz w:val="20"/>
        </w:rPr>
        <w:t>the</w:t>
      </w:r>
      <w:r>
        <w:rPr>
          <w:spacing w:val="-8"/>
          <w:sz w:val="20"/>
        </w:rPr>
        <w:t> </w:t>
      </w:r>
      <w:r>
        <w:rPr>
          <w:sz w:val="20"/>
        </w:rPr>
        <w:t>introduction</w:t>
      </w:r>
      <w:r>
        <w:rPr>
          <w:spacing w:val="-6"/>
          <w:sz w:val="20"/>
        </w:rPr>
        <w:t> </w:t>
      </w:r>
      <w:r>
        <w:rPr>
          <w:sz w:val="20"/>
        </w:rPr>
        <w:t>of</w:t>
      </w:r>
      <w:r>
        <w:rPr>
          <w:spacing w:val="-9"/>
          <w:sz w:val="20"/>
        </w:rPr>
        <w:t> </w:t>
      </w:r>
      <w:r>
        <w:rPr>
          <w:sz w:val="20"/>
        </w:rPr>
        <w:t>a</w:t>
      </w:r>
      <w:r>
        <w:rPr>
          <w:spacing w:val="-4"/>
          <w:sz w:val="20"/>
        </w:rPr>
        <w:t> </w:t>
      </w:r>
      <w:r>
        <w:rPr>
          <w:sz w:val="20"/>
        </w:rPr>
        <w:t>new</w:t>
      </w:r>
      <w:r>
        <w:rPr>
          <w:spacing w:val="-6"/>
          <w:sz w:val="20"/>
        </w:rPr>
        <w:t> </w:t>
      </w:r>
      <w:r>
        <w:rPr>
          <w:sz w:val="20"/>
        </w:rPr>
        <w:t>Associate</w:t>
      </w:r>
      <w:r>
        <w:rPr>
          <w:spacing w:val="-4"/>
          <w:sz w:val="20"/>
        </w:rPr>
        <w:t> </w:t>
      </w:r>
      <w:r>
        <w:rPr>
          <w:sz w:val="20"/>
        </w:rPr>
        <w:t>Programme</w:t>
      </w:r>
      <w:r>
        <w:rPr>
          <w:spacing w:val="-4"/>
          <w:sz w:val="20"/>
        </w:rPr>
        <w:t> </w:t>
      </w:r>
      <w:r>
        <w:rPr>
          <w:sz w:val="20"/>
        </w:rPr>
        <w:t>Officer</w:t>
      </w:r>
      <w:r>
        <w:rPr>
          <w:spacing w:val="-6"/>
          <w:sz w:val="20"/>
        </w:rPr>
        <w:t> </w:t>
      </w:r>
      <w:r>
        <w:rPr>
          <w:sz w:val="20"/>
        </w:rPr>
        <w:t>(Strategic</w:t>
      </w:r>
      <w:r>
        <w:rPr>
          <w:spacing w:val="-4"/>
          <w:sz w:val="20"/>
        </w:rPr>
        <w:t> </w:t>
      </w:r>
      <w:r>
        <w:rPr>
          <w:sz w:val="20"/>
        </w:rPr>
        <w:t>Planning) (P-2) established post in the IOR; and (ii) the conversion from a six-month GTA to an established</w:t>
      </w:r>
      <w:r>
        <w:rPr>
          <w:spacing w:val="35"/>
          <w:sz w:val="20"/>
        </w:rPr>
        <w:t> </w:t>
      </w:r>
      <w:r>
        <w:rPr>
          <w:sz w:val="20"/>
        </w:rPr>
        <w:t>post</w:t>
      </w:r>
      <w:r>
        <w:rPr>
          <w:spacing w:val="36"/>
          <w:sz w:val="20"/>
        </w:rPr>
        <w:t> </w:t>
      </w:r>
      <w:r>
        <w:rPr>
          <w:sz w:val="20"/>
        </w:rPr>
        <w:t>of</w:t>
      </w:r>
      <w:r>
        <w:rPr>
          <w:spacing w:val="35"/>
          <w:sz w:val="20"/>
        </w:rPr>
        <w:t> </w:t>
      </w:r>
      <w:r>
        <w:rPr>
          <w:sz w:val="20"/>
        </w:rPr>
        <w:t>the</w:t>
      </w:r>
      <w:r>
        <w:rPr>
          <w:spacing w:val="36"/>
          <w:sz w:val="20"/>
        </w:rPr>
        <w:t> </w:t>
      </w:r>
      <w:r>
        <w:rPr>
          <w:sz w:val="20"/>
        </w:rPr>
        <w:t>function</w:t>
      </w:r>
      <w:r>
        <w:rPr>
          <w:spacing w:val="35"/>
          <w:sz w:val="20"/>
        </w:rPr>
        <w:t> </w:t>
      </w:r>
      <w:r>
        <w:rPr>
          <w:sz w:val="20"/>
        </w:rPr>
        <w:t>of</w:t>
      </w:r>
      <w:r>
        <w:rPr>
          <w:spacing w:val="35"/>
          <w:sz w:val="20"/>
        </w:rPr>
        <w:t> </w:t>
      </w:r>
      <w:r>
        <w:rPr>
          <w:sz w:val="20"/>
        </w:rPr>
        <w:t>the</w:t>
      </w:r>
      <w:r>
        <w:rPr>
          <w:spacing w:val="36"/>
          <w:sz w:val="20"/>
        </w:rPr>
        <w:t> </w:t>
      </w:r>
      <w:r>
        <w:rPr>
          <w:sz w:val="20"/>
        </w:rPr>
        <w:t>Focal</w:t>
      </w:r>
      <w:r>
        <w:rPr>
          <w:spacing w:val="36"/>
          <w:sz w:val="20"/>
        </w:rPr>
        <w:t> </w:t>
      </w:r>
      <w:r>
        <w:rPr>
          <w:sz w:val="20"/>
        </w:rPr>
        <w:t>Point</w:t>
      </w:r>
      <w:r>
        <w:rPr>
          <w:spacing w:val="36"/>
          <w:sz w:val="20"/>
        </w:rPr>
        <w:t> </w:t>
      </w:r>
      <w:r>
        <w:rPr>
          <w:sz w:val="20"/>
        </w:rPr>
        <w:t>for</w:t>
      </w:r>
      <w:r>
        <w:rPr>
          <w:spacing w:val="35"/>
          <w:sz w:val="20"/>
        </w:rPr>
        <w:t> </w:t>
      </w:r>
      <w:r>
        <w:rPr>
          <w:sz w:val="20"/>
        </w:rPr>
        <w:t>Gender</w:t>
      </w:r>
      <w:r>
        <w:rPr>
          <w:spacing w:val="30"/>
          <w:sz w:val="20"/>
        </w:rPr>
        <w:t> </w:t>
      </w:r>
      <w:r>
        <w:rPr>
          <w:sz w:val="20"/>
        </w:rPr>
        <w:t>Equality</w:t>
      </w:r>
      <w:r>
        <w:rPr>
          <w:spacing w:val="35"/>
          <w:sz w:val="20"/>
        </w:rPr>
        <w:t> </w:t>
      </w:r>
      <w:r>
        <w:rPr>
          <w:sz w:val="20"/>
        </w:rPr>
        <w:t>(P-4)</w:t>
      </w:r>
      <w:r>
        <w:rPr>
          <w:spacing w:val="30"/>
          <w:sz w:val="20"/>
        </w:rPr>
        <w:t> </w:t>
      </w:r>
      <w:r>
        <w:rPr>
          <w:sz w:val="20"/>
        </w:rPr>
        <w:t>approved in 2022.</w:t>
      </w:r>
    </w:p>
    <w:p>
      <w:pPr>
        <w:pStyle w:val="ListParagraph"/>
        <w:numPr>
          <w:ilvl w:val="0"/>
          <w:numId w:val="4"/>
        </w:numPr>
        <w:tabs>
          <w:tab w:pos="2967" w:val="left" w:leader="none"/>
        </w:tabs>
        <w:spacing w:line="240" w:lineRule="auto" w:before="119" w:after="0"/>
        <w:ind w:left="2246" w:right="2238" w:firstLine="0"/>
        <w:jc w:val="both"/>
        <w:rPr>
          <w:sz w:val="20"/>
        </w:rPr>
      </w:pPr>
      <w:r>
        <w:rPr>
          <w:i/>
          <w:sz w:val="20"/>
        </w:rPr>
        <w:t>One Associate Programme Officer (P-2), IOR. New. </w:t>
      </w:r>
      <w:r>
        <w:rPr>
          <w:sz w:val="20"/>
        </w:rPr>
        <w:t>Presently, there are no approved resources dedicated to strategic planning in either the Court’s or the Registry’s budget. Since January 2021, the IOR has had to bridge that gap using a Junior Professional Officer (JPO), fully funded by</w:t>
      </w:r>
      <w:r>
        <w:rPr>
          <w:spacing w:val="-5"/>
          <w:sz w:val="20"/>
        </w:rPr>
        <w:t> </w:t>
      </w:r>
      <w:r>
        <w:rPr>
          <w:sz w:val="20"/>
        </w:rPr>
        <w:t>a State Party. However, over</w:t>
      </w:r>
      <w:r>
        <w:rPr>
          <w:spacing w:val="-5"/>
          <w:sz w:val="20"/>
        </w:rPr>
        <w:t> </w:t>
      </w:r>
      <w:r>
        <w:rPr>
          <w:sz w:val="20"/>
        </w:rPr>
        <w:t>the past two years, the JPO</w:t>
      </w:r>
      <w:r>
        <w:rPr>
          <w:spacing w:val="-1"/>
          <w:sz w:val="20"/>
        </w:rPr>
        <w:t> </w:t>
      </w:r>
      <w:r>
        <w:rPr>
          <w:sz w:val="20"/>
        </w:rPr>
        <w:t>has proved instrumental in assisting the IOR with preparing and collecting data, providing analysis,</w:t>
      </w:r>
      <w:r>
        <w:rPr>
          <w:spacing w:val="-6"/>
          <w:sz w:val="20"/>
        </w:rPr>
        <w:t> </w:t>
      </w:r>
      <w:r>
        <w:rPr>
          <w:sz w:val="20"/>
        </w:rPr>
        <w:t>and</w:t>
      </w:r>
      <w:r>
        <w:rPr>
          <w:spacing w:val="-8"/>
          <w:sz w:val="20"/>
        </w:rPr>
        <w:t> </w:t>
      </w:r>
      <w:r>
        <w:rPr>
          <w:sz w:val="20"/>
        </w:rPr>
        <w:t>reporting</w:t>
      </w:r>
      <w:r>
        <w:rPr>
          <w:spacing w:val="-4"/>
          <w:sz w:val="20"/>
        </w:rPr>
        <w:t> </w:t>
      </w:r>
      <w:r>
        <w:rPr>
          <w:sz w:val="20"/>
        </w:rPr>
        <w:t>on</w:t>
      </w:r>
      <w:r>
        <w:rPr>
          <w:spacing w:val="-8"/>
          <w:sz w:val="20"/>
        </w:rPr>
        <w:t> </w:t>
      </w:r>
      <w:r>
        <w:rPr>
          <w:sz w:val="20"/>
        </w:rPr>
        <w:t>the</w:t>
      </w:r>
      <w:r>
        <w:rPr>
          <w:spacing w:val="-2"/>
          <w:sz w:val="20"/>
        </w:rPr>
        <w:t> </w:t>
      </w:r>
      <w:r>
        <w:rPr>
          <w:sz w:val="20"/>
        </w:rPr>
        <w:t>Registry’s</w:t>
      </w:r>
      <w:r>
        <w:rPr>
          <w:spacing w:val="-5"/>
          <w:sz w:val="20"/>
        </w:rPr>
        <w:t> </w:t>
      </w:r>
      <w:r>
        <w:rPr>
          <w:sz w:val="20"/>
        </w:rPr>
        <w:t>Strategic</w:t>
      </w:r>
      <w:r>
        <w:rPr>
          <w:spacing w:val="-2"/>
          <w:sz w:val="20"/>
        </w:rPr>
        <w:t> </w:t>
      </w:r>
      <w:r>
        <w:rPr>
          <w:sz w:val="20"/>
        </w:rPr>
        <w:t>plans,</w:t>
      </w:r>
      <w:r>
        <w:rPr>
          <w:spacing w:val="-1"/>
          <w:sz w:val="20"/>
        </w:rPr>
        <w:t> </w:t>
      </w:r>
      <w:r>
        <w:rPr>
          <w:sz w:val="20"/>
        </w:rPr>
        <w:t>as</w:t>
      </w:r>
      <w:r>
        <w:rPr>
          <w:spacing w:val="-5"/>
          <w:sz w:val="20"/>
        </w:rPr>
        <w:t> </w:t>
      </w:r>
      <w:r>
        <w:rPr>
          <w:sz w:val="20"/>
        </w:rPr>
        <w:t>well</w:t>
      </w:r>
      <w:r>
        <w:rPr>
          <w:spacing w:val="-7"/>
          <w:sz w:val="20"/>
        </w:rPr>
        <w:t> </w:t>
      </w:r>
      <w:r>
        <w:rPr>
          <w:sz w:val="20"/>
        </w:rPr>
        <w:t>as</w:t>
      </w:r>
      <w:r>
        <w:rPr>
          <w:spacing w:val="-5"/>
          <w:sz w:val="20"/>
        </w:rPr>
        <w:t> </w:t>
      </w:r>
      <w:r>
        <w:rPr>
          <w:sz w:val="20"/>
        </w:rPr>
        <w:t>in</w:t>
      </w:r>
      <w:r>
        <w:rPr>
          <w:spacing w:val="-4"/>
          <w:sz w:val="20"/>
        </w:rPr>
        <w:t> </w:t>
      </w:r>
      <w:r>
        <w:rPr>
          <w:sz w:val="20"/>
        </w:rPr>
        <w:t>the</w:t>
      </w:r>
      <w:r>
        <w:rPr>
          <w:spacing w:val="-7"/>
          <w:sz w:val="20"/>
        </w:rPr>
        <w:t> </w:t>
      </w:r>
      <w:r>
        <w:rPr>
          <w:sz w:val="20"/>
        </w:rPr>
        <w:t>activities</w:t>
      </w:r>
      <w:r>
        <w:rPr>
          <w:spacing w:val="-5"/>
          <w:sz w:val="20"/>
        </w:rPr>
        <w:t> </w:t>
      </w:r>
      <w:r>
        <w:rPr>
          <w:sz w:val="20"/>
        </w:rPr>
        <w:t>related</w:t>
      </w:r>
      <w:r>
        <w:rPr>
          <w:spacing w:val="-4"/>
          <w:sz w:val="20"/>
        </w:rPr>
        <w:t> </w:t>
      </w:r>
      <w:r>
        <w:rPr>
          <w:sz w:val="20"/>
        </w:rPr>
        <w:t>to the Court-wide Strategic Plan. This has been crucial for the Registry and the Court, which have intensified their efforts on strategic planning, largely as a result of the feedback from States Parties and other stakeholders. As part of the new Court-wide approach,</w:t>
      </w:r>
      <w:r>
        <w:rPr>
          <w:spacing w:val="-1"/>
          <w:sz w:val="20"/>
        </w:rPr>
        <w:t> </w:t>
      </w:r>
      <w:r>
        <w:rPr>
          <w:sz w:val="20"/>
        </w:rPr>
        <w:t>the Registry assumes a coordination role, which leads to additional workload. The JPO will be discontinued</w:t>
      </w:r>
      <w:r>
        <w:rPr>
          <w:spacing w:val="-3"/>
          <w:sz w:val="20"/>
        </w:rPr>
        <w:t> </w:t>
      </w:r>
      <w:r>
        <w:rPr>
          <w:sz w:val="20"/>
        </w:rPr>
        <w:t>from</w:t>
      </w:r>
      <w:r>
        <w:rPr>
          <w:spacing w:val="-1"/>
          <w:sz w:val="20"/>
        </w:rPr>
        <w:t> </w:t>
      </w:r>
      <w:r>
        <w:rPr>
          <w:sz w:val="20"/>
        </w:rPr>
        <w:t>2023, having</w:t>
      </w:r>
      <w:r>
        <w:rPr>
          <w:spacing w:val="-3"/>
          <w:sz w:val="20"/>
        </w:rPr>
        <w:t> </w:t>
      </w:r>
      <w:r>
        <w:rPr>
          <w:sz w:val="20"/>
        </w:rPr>
        <w:t>come</w:t>
      </w:r>
      <w:r>
        <w:rPr>
          <w:spacing w:val="-1"/>
          <w:sz w:val="20"/>
        </w:rPr>
        <w:t> </w:t>
      </w:r>
      <w:r>
        <w:rPr>
          <w:sz w:val="20"/>
        </w:rPr>
        <w:t>to the</w:t>
      </w:r>
      <w:r>
        <w:rPr>
          <w:spacing w:val="-1"/>
          <w:sz w:val="20"/>
        </w:rPr>
        <w:t> </w:t>
      </w:r>
      <w:r>
        <w:rPr>
          <w:sz w:val="20"/>
        </w:rPr>
        <w:t>end</w:t>
      </w:r>
      <w:r>
        <w:rPr>
          <w:spacing w:val="-3"/>
          <w:sz w:val="20"/>
        </w:rPr>
        <w:t> </w:t>
      </w:r>
      <w:r>
        <w:rPr>
          <w:sz w:val="20"/>
        </w:rPr>
        <w:t>of</w:t>
      </w:r>
      <w:r>
        <w:rPr>
          <w:spacing w:val="-3"/>
          <w:sz w:val="20"/>
        </w:rPr>
        <w:t> </w:t>
      </w:r>
      <w:r>
        <w:rPr>
          <w:sz w:val="20"/>
        </w:rPr>
        <w:t>the</w:t>
      </w:r>
      <w:r>
        <w:rPr>
          <w:spacing w:val="-1"/>
          <w:sz w:val="20"/>
        </w:rPr>
        <w:t> </w:t>
      </w:r>
      <w:r>
        <w:rPr>
          <w:sz w:val="20"/>
        </w:rPr>
        <w:t>cycle</w:t>
      </w:r>
      <w:r>
        <w:rPr>
          <w:spacing w:val="-1"/>
          <w:sz w:val="20"/>
        </w:rPr>
        <w:t> </w:t>
      </w:r>
      <w:r>
        <w:rPr>
          <w:sz w:val="20"/>
        </w:rPr>
        <w:t>with</w:t>
      </w:r>
      <w:r>
        <w:rPr>
          <w:spacing w:val="-3"/>
          <w:sz w:val="20"/>
        </w:rPr>
        <w:t> </w:t>
      </w:r>
      <w:r>
        <w:rPr>
          <w:sz w:val="20"/>
        </w:rPr>
        <w:t>no further funding. There is therefore a clear need for adequate resources to maintain the hard-achieved momentum and to assist with various aspects and stages of strategic planning, including preparation of the</w:t>
      </w:r>
      <w:r>
        <w:rPr>
          <w:spacing w:val="-3"/>
          <w:sz w:val="20"/>
        </w:rPr>
        <w:t> </w:t>
      </w:r>
      <w:r>
        <w:rPr>
          <w:sz w:val="20"/>
        </w:rPr>
        <w:t>draft</w:t>
      </w:r>
      <w:r>
        <w:rPr>
          <w:spacing w:val="-3"/>
          <w:sz w:val="20"/>
        </w:rPr>
        <w:t> </w:t>
      </w:r>
      <w:r>
        <w:rPr>
          <w:sz w:val="20"/>
        </w:rPr>
        <w:t>plans,</w:t>
      </w:r>
      <w:r>
        <w:rPr>
          <w:spacing w:val="-2"/>
          <w:sz w:val="20"/>
        </w:rPr>
        <w:t> </w:t>
      </w:r>
      <w:r>
        <w:rPr>
          <w:sz w:val="20"/>
        </w:rPr>
        <w:t>consultation</w:t>
      </w:r>
      <w:r>
        <w:rPr>
          <w:spacing w:val="-5"/>
          <w:sz w:val="20"/>
        </w:rPr>
        <w:t> </w:t>
      </w:r>
      <w:r>
        <w:rPr>
          <w:sz w:val="20"/>
        </w:rPr>
        <w:t>with</w:t>
      </w:r>
      <w:r>
        <w:rPr>
          <w:spacing w:val="-5"/>
          <w:sz w:val="20"/>
        </w:rPr>
        <w:t> </w:t>
      </w:r>
      <w:r>
        <w:rPr>
          <w:sz w:val="20"/>
        </w:rPr>
        <w:t>the</w:t>
      </w:r>
      <w:r>
        <w:rPr>
          <w:spacing w:val="-3"/>
          <w:sz w:val="20"/>
        </w:rPr>
        <w:t> </w:t>
      </w:r>
      <w:r>
        <w:rPr>
          <w:sz w:val="20"/>
        </w:rPr>
        <w:t>relevant</w:t>
      </w:r>
      <w:r>
        <w:rPr>
          <w:spacing w:val="-3"/>
          <w:sz w:val="20"/>
        </w:rPr>
        <w:t> </w:t>
      </w:r>
      <w:r>
        <w:rPr>
          <w:sz w:val="20"/>
        </w:rPr>
        <w:t>internal</w:t>
      </w:r>
      <w:r>
        <w:rPr>
          <w:spacing w:val="-3"/>
          <w:sz w:val="20"/>
        </w:rPr>
        <w:t> </w:t>
      </w:r>
      <w:r>
        <w:rPr>
          <w:sz w:val="20"/>
        </w:rPr>
        <w:t>and</w:t>
      </w:r>
      <w:r>
        <w:rPr>
          <w:spacing w:val="-5"/>
          <w:sz w:val="20"/>
        </w:rPr>
        <w:t> </w:t>
      </w:r>
      <w:r>
        <w:rPr>
          <w:sz w:val="20"/>
        </w:rPr>
        <w:t>external stakeholders, finalization of the plans, keeping track of the progress made through development of KPIs, and regular reporting to, among others, the Assembly and its subsidiary bodies. One post of Associate Programme</w:t>
      </w:r>
      <w:r>
        <w:rPr>
          <w:spacing w:val="-2"/>
          <w:sz w:val="20"/>
        </w:rPr>
        <w:t> </w:t>
      </w:r>
      <w:r>
        <w:rPr>
          <w:sz w:val="20"/>
        </w:rPr>
        <w:t>Officer</w:t>
      </w:r>
      <w:r>
        <w:rPr>
          <w:spacing w:val="-8"/>
          <w:sz w:val="20"/>
        </w:rPr>
        <w:t> </w:t>
      </w:r>
      <w:r>
        <w:rPr>
          <w:sz w:val="20"/>
        </w:rPr>
        <w:t>(Strategic</w:t>
      </w:r>
      <w:r>
        <w:rPr>
          <w:spacing w:val="-7"/>
          <w:sz w:val="20"/>
        </w:rPr>
        <w:t> </w:t>
      </w:r>
      <w:r>
        <w:rPr>
          <w:sz w:val="20"/>
        </w:rPr>
        <w:t>Planning)</w:t>
      </w:r>
      <w:r>
        <w:rPr>
          <w:spacing w:val="-8"/>
          <w:sz w:val="20"/>
        </w:rPr>
        <w:t> </w:t>
      </w:r>
      <w:r>
        <w:rPr>
          <w:sz w:val="20"/>
        </w:rPr>
        <w:t>(P-2),</w:t>
      </w:r>
      <w:r>
        <w:rPr>
          <w:spacing w:val="-11"/>
          <w:sz w:val="20"/>
        </w:rPr>
        <w:t> </w:t>
      </w:r>
      <w:r>
        <w:rPr>
          <w:sz w:val="20"/>
        </w:rPr>
        <w:t>to</w:t>
      </w:r>
      <w:r>
        <w:rPr>
          <w:spacing w:val="-8"/>
          <w:sz w:val="20"/>
        </w:rPr>
        <w:t> </w:t>
      </w:r>
      <w:r>
        <w:rPr>
          <w:sz w:val="20"/>
        </w:rPr>
        <w:t>assist</w:t>
      </w:r>
      <w:r>
        <w:rPr>
          <w:spacing w:val="-7"/>
          <w:sz w:val="20"/>
        </w:rPr>
        <w:t> </w:t>
      </w:r>
      <w:r>
        <w:rPr>
          <w:sz w:val="20"/>
        </w:rPr>
        <w:t>the</w:t>
      </w:r>
      <w:r>
        <w:rPr>
          <w:spacing w:val="-7"/>
          <w:sz w:val="20"/>
        </w:rPr>
        <w:t> </w:t>
      </w:r>
      <w:r>
        <w:rPr>
          <w:sz w:val="20"/>
        </w:rPr>
        <w:t>Chief</w:t>
      </w:r>
      <w:r>
        <w:rPr>
          <w:spacing w:val="-8"/>
          <w:sz w:val="20"/>
        </w:rPr>
        <w:t> </w:t>
      </w:r>
      <w:r>
        <w:rPr>
          <w:sz w:val="20"/>
        </w:rPr>
        <w:t>of</w:t>
      </w:r>
      <w:r>
        <w:rPr>
          <w:spacing w:val="-8"/>
          <w:sz w:val="20"/>
        </w:rPr>
        <w:t> </w:t>
      </w:r>
      <w:r>
        <w:rPr>
          <w:sz w:val="20"/>
        </w:rPr>
        <w:t>Staff</w:t>
      </w:r>
      <w:r>
        <w:rPr>
          <w:spacing w:val="-8"/>
          <w:sz w:val="20"/>
        </w:rPr>
        <w:t> </w:t>
      </w:r>
      <w:r>
        <w:rPr>
          <w:sz w:val="20"/>
        </w:rPr>
        <w:t>within</w:t>
      </w:r>
      <w:r>
        <w:rPr>
          <w:spacing w:val="-13"/>
          <w:sz w:val="20"/>
        </w:rPr>
        <w:t> </w:t>
      </w:r>
      <w:r>
        <w:rPr>
          <w:sz w:val="20"/>
        </w:rPr>
        <w:t>the</w:t>
      </w:r>
      <w:r>
        <w:rPr>
          <w:spacing w:val="-6"/>
          <w:sz w:val="20"/>
        </w:rPr>
        <w:t> </w:t>
      </w:r>
      <w:r>
        <w:rPr>
          <w:sz w:val="20"/>
        </w:rPr>
        <w:t>IOR</w:t>
      </w:r>
      <w:r>
        <w:rPr>
          <w:spacing w:val="-8"/>
          <w:sz w:val="20"/>
        </w:rPr>
        <w:t> </w:t>
      </w:r>
      <w:r>
        <w:rPr>
          <w:sz w:val="20"/>
        </w:rPr>
        <w:t>and the</w:t>
      </w:r>
      <w:r>
        <w:rPr>
          <w:spacing w:val="-7"/>
          <w:sz w:val="20"/>
        </w:rPr>
        <w:t> </w:t>
      </w:r>
      <w:r>
        <w:rPr>
          <w:sz w:val="20"/>
        </w:rPr>
        <w:t>Registrar</w:t>
      </w:r>
      <w:r>
        <w:rPr>
          <w:spacing w:val="-8"/>
          <w:sz w:val="20"/>
        </w:rPr>
        <w:t> </w:t>
      </w:r>
      <w:r>
        <w:rPr>
          <w:sz w:val="20"/>
        </w:rPr>
        <w:t>in</w:t>
      </w:r>
      <w:r>
        <w:rPr>
          <w:spacing w:val="-13"/>
          <w:sz w:val="20"/>
        </w:rPr>
        <w:t> </w:t>
      </w:r>
      <w:r>
        <w:rPr>
          <w:sz w:val="20"/>
        </w:rPr>
        <w:t>this</w:t>
      </w:r>
      <w:r>
        <w:rPr>
          <w:spacing w:val="-9"/>
          <w:sz w:val="20"/>
        </w:rPr>
        <w:t> </w:t>
      </w:r>
      <w:r>
        <w:rPr>
          <w:sz w:val="20"/>
        </w:rPr>
        <w:t>regard</w:t>
      </w:r>
      <w:r>
        <w:rPr>
          <w:spacing w:val="-13"/>
          <w:sz w:val="20"/>
        </w:rPr>
        <w:t> </w:t>
      </w:r>
      <w:r>
        <w:rPr>
          <w:sz w:val="20"/>
        </w:rPr>
        <w:t>is</w:t>
      </w:r>
      <w:r>
        <w:rPr>
          <w:spacing w:val="-4"/>
          <w:sz w:val="20"/>
        </w:rPr>
        <w:t> </w:t>
      </w:r>
      <w:r>
        <w:rPr>
          <w:sz w:val="20"/>
        </w:rPr>
        <w:t>deemed</w:t>
      </w:r>
      <w:r>
        <w:rPr>
          <w:spacing w:val="-8"/>
          <w:sz w:val="20"/>
        </w:rPr>
        <w:t> </w:t>
      </w:r>
      <w:r>
        <w:rPr>
          <w:sz w:val="20"/>
        </w:rPr>
        <w:t>essential</w:t>
      </w:r>
      <w:r>
        <w:rPr>
          <w:spacing w:val="-7"/>
          <w:sz w:val="20"/>
        </w:rPr>
        <w:t> </w:t>
      </w:r>
      <w:r>
        <w:rPr>
          <w:sz w:val="20"/>
        </w:rPr>
        <w:t>to</w:t>
      </w:r>
      <w:r>
        <w:rPr>
          <w:spacing w:val="-8"/>
          <w:sz w:val="20"/>
        </w:rPr>
        <w:t> </w:t>
      </w:r>
      <w:r>
        <w:rPr>
          <w:sz w:val="20"/>
        </w:rPr>
        <w:t>permanently</w:t>
      </w:r>
      <w:r>
        <w:rPr>
          <w:spacing w:val="-4"/>
          <w:sz w:val="20"/>
        </w:rPr>
        <w:t> </w:t>
      </w:r>
      <w:r>
        <w:rPr>
          <w:sz w:val="20"/>
        </w:rPr>
        <w:t>close</w:t>
      </w:r>
      <w:r>
        <w:rPr>
          <w:spacing w:val="-7"/>
          <w:sz w:val="20"/>
        </w:rPr>
        <w:t> </w:t>
      </w:r>
      <w:r>
        <w:rPr>
          <w:sz w:val="20"/>
        </w:rPr>
        <w:t>the</w:t>
      </w:r>
      <w:r>
        <w:rPr>
          <w:spacing w:val="-7"/>
          <w:sz w:val="20"/>
        </w:rPr>
        <w:t> </w:t>
      </w:r>
      <w:r>
        <w:rPr>
          <w:sz w:val="20"/>
        </w:rPr>
        <w:t>existing</w:t>
      </w:r>
      <w:r>
        <w:rPr>
          <w:spacing w:val="-8"/>
          <w:sz w:val="20"/>
        </w:rPr>
        <w:t> </w:t>
      </w:r>
      <w:r>
        <w:rPr>
          <w:sz w:val="20"/>
        </w:rPr>
        <w:t>gap.</w:t>
      </w:r>
      <w:r>
        <w:rPr>
          <w:spacing w:val="-6"/>
          <w:sz w:val="20"/>
        </w:rPr>
        <w:t> </w:t>
      </w:r>
      <w:r>
        <w:rPr>
          <w:sz w:val="20"/>
        </w:rPr>
        <w:t>It</w:t>
      </w:r>
      <w:r>
        <w:rPr>
          <w:spacing w:val="-4"/>
          <w:sz w:val="20"/>
        </w:rPr>
        <w:t> </w:t>
      </w:r>
      <w:r>
        <w:rPr>
          <w:sz w:val="20"/>
        </w:rPr>
        <w:t>is</w:t>
      </w:r>
      <w:r>
        <w:rPr>
          <w:spacing w:val="-10"/>
          <w:sz w:val="20"/>
        </w:rPr>
        <w:t> </w:t>
      </w:r>
      <w:r>
        <w:rPr>
          <w:sz w:val="20"/>
        </w:rPr>
        <w:t>the most</w:t>
      </w:r>
      <w:r>
        <w:rPr>
          <w:spacing w:val="-13"/>
          <w:sz w:val="20"/>
        </w:rPr>
        <w:t> </w:t>
      </w:r>
      <w:r>
        <w:rPr>
          <w:sz w:val="20"/>
        </w:rPr>
        <w:t>cost-effective</w:t>
      </w:r>
      <w:r>
        <w:rPr>
          <w:spacing w:val="-12"/>
          <w:sz w:val="20"/>
        </w:rPr>
        <w:t> </w:t>
      </w:r>
      <w:r>
        <w:rPr>
          <w:sz w:val="20"/>
        </w:rPr>
        <w:t>way</w:t>
      </w:r>
      <w:r>
        <w:rPr>
          <w:spacing w:val="-13"/>
          <w:sz w:val="20"/>
        </w:rPr>
        <w:t> </w:t>
      </w:r>
      <w:r>
        <w:rPr>
          <w:sz w:val="20"/>
        </w:rPr>
        <w:t>of</w:t>
      </w:r>
      <w:r>
        <w:rPr>
          <w:spacing w:val="-12"/>
          <w:sz w:val="20"/>
        </w:rPr>
        <w:t> </w:t>
      </w:r>
      <w:r>
        <w:rPr>
          <w:sz w:val="20"/>
        </w:rPr>
        <w:t>ensuring</w:t>
      </w:r>
      <w:r>
        <w:rPr>
          <w:spacing w:val="-13"/>
          <w:sz w:val="20"/>
        </w:rPr>
        <w:t> </w:t>
      </w:r>
      <w:r>
        <w:rPr>
          <w:sz w:val="20"/>
        </w:rPr>
        <w:t>that</w:t>
      </w:r>
      <w:r>
        <w:rPr>
          <w:spacing w:val="-12"/>
          <w:sz w:val="20"/>
        </w:rPr>
        <w:t> </w:t>
      </w:r>
      <w:r>
        <w:rPr>
          <w:sz w:val="20"/>
        </w:rPr>
        <w:t>the</w:t>
      </w:r>
      <w:r>
        <w:rPr>
          <w:spacing w:val="-13"/>
          <w:sz w:val="20"/>
        </w:rPr>
        <w:t> </w:t>
      </w:r>
      <w:r>
        <w:rPr>
          <w:sz w:val="20"/>
        </w:rPr>
        <w:t>important</w:t>
      </w:r>
      <w:r>
        <w:rPr>
          <w:spacing w:val="-12"/>
          <w:sz w:val="20"/>
        </w:rPr>
        <w:t> </w:t>
      </w:r>
      <w:r>
        <w:rPr>
          <w:sz w:val="20"/>
        </w:rPr>
        <w:t>strategic</w:t>
      </w:r>
      <w:r>
        <w:rPr>
          <w:spacing w:val="-13"/>
          <w:sz w:val="20"/>
        </w:rPr>
        <w:t> </w:t>
      </w:r>
      <w:r>
        <w:rPr>
          <w:sz w:val="20"/>
        </w:rPr>
        <w:t>planning</w:t>
      </w:r>
      <w:r>
        <w:rPr>
          <w:spacing w:val="-12"/>
          <w:sz w:val="20"/>
        </w:rPr>
        <w:t> </w:t>
      </w:r>
      <w:r>
        <w:rPr>
          <w:sz w:val="20"/>
        </w:rPr>
        <w:t>work</w:t>
      </w:r>
      <w:r>
        <w:rPr>
          <w:spacing w:val="-13"/>
          <w:sz w:val="20"/>
        </w:rPr>
        <w:t> </w:t>
      </w:r>
      <w:r>
        <w:rPr>
          <w:sz w:val="20"/>
        </w:rPr>
        <w:t>of</w:t>
      </w:r>
      <w:r>
        <w:rPr>
          <w:spacing w:val="-12"/>
          <w:sz w:val="20"/>
        </w:rPr>
        <w:t> </w:t>
      </w:r>
      <w:r>
        <w:rPr>
          <w:sz w:val="20"/>
        </w:rPr>
        <w:t>the</w:t>
      </w:r>
      <w:r>
        <w:rPr>
          <w:spacing w:val="-13"/>
          <w:sz w:val="20"/>
        </w:rPr>
        <w:t> </w:t>
      </w:r>
      <w:r>
        <w:rPr>
          <w:sz w:val="20"/>
        </w:rPr>
        <w:t>Registry and Court can continue.</w:t>
      </w:r>
    </w:p>
    <w:p>
      <w:pPr>
        <w:pStyle w:val="ListParagraph"/>
        <w:numPr>
          <w:ilvl w:val="0"/>
          <w:numId w:val="4"/>
        </w:numPr>
        <w:tabs>
          <w:tab w:pos="2967" w:val="left" w:leader="none"/>
        </w:tabs>
        <w:spacing w:line="240" w:lineRule="auto" w:before="119" w:after="0"/>
        <w:ind w:left="2246" w:right="2239" w:firstLine="0"/>
        <w:jc w:val="both"/>
        <w:rPr>
          <w:sz w:val="20"/>
        </w:rPr>
      </w:pPr>
      <w:r>
        <w:rPr>
          <w:i/>
          <w:sz w:val="20"/>
        </w:rPr>
        <w:t>Request to convert one Gender Equality Focal Point (P-4) GTA position into an</w:t>
      </w:r>
      <w:r>
        <w:rPr>
          <w:i/>
          <w:sz w:val="20"/>
        </w:rPr>
        <w:t> established post</w:t>
      </w:r>
      <w:r>
        <w:rPr>
          <w:sz w:val="20"/>
        </w:rPr>
        <w:t>. The Gender Equality Focal Point will continue to be needed in 2023 to provide</w:t>
      </w:r>
      <w:r>
        <w:rPr>
          <w:spacing w:val="-7"/>
          <w:sz w:val="20"/>
        </w:rPr>
        <w:t> </w:t>
      </w:r>
      <w:r>
        <w:rPr>
          <w:sz w:val="20"/>
        </w:rPr>
        <w:t>independent</w:t>
      </w:r>
      <w:r>
        <w:rPr>
          <w:spacing w:val="-2"/>
          <w:sz w:val="20"/>
        </w:rPr>
        <w:t> </w:t>
      </w:r>
      <w:r>
        <w:rPr>
          <w:sz w:val="20"/>
        </w:rPr>
        <w:t>strategic</w:t>
      </w:r>
      <w:r>
        <w:rPr>
          <w:spacing w:val="-7"/>
          <w:sz w:val="20"/>
        </w:rPr>
        <w:t> </w:t>
      </w:r>
      <w:r>
        <w:rPr>
          <w:sz w:val="20"/>
        </w:rPr>
        <w:t>and</w:t>
      </w:r>
      <w:r>
        <w:rPr>
          <w:spacing w:val="-8"/>
          <w:sz w:val="20"/>
        </w:rPr>
        <w:t> </w:t>
      </w:r>
      <w:r>
        <w:rPr>
          <w:sz w:val="20"/>
        </w:rPr>
        <w:t>policy</w:t>
      </w:r>
      <w:r>
        <w:rPr>
          <w:spacing w:val="-8"/>
          <w:sz w:val="20"/>
        </w:rPr>
        <w:t> </w:t>
      </w:r>
      <w:r>
        <w:rPr>
          <w:sz w:val="20"/>
        </w:rPr>
        <w:t>advice</w:t>
      </w:r>
      <w:r>
        <w:rPr>
          <w:spacing w:val="-7"/>
          <w:sz w:val="20"/>
        </w:rPr>
        <w:t> </w:t>
      </w:r>
      <w:r>
        <w:rPr>
          <w:sz w:val="20"/>
        </w:rPr>
        <w:t>to</w:t>
      </w:r>
      <w:r>
        <w:rPr>
          <w:spacing w:val="-8"/>
          <w:sz w:val="20"/>
        </w:rPr>
        <w:t> </w:t>
      </w:r>
      <w:r>
        <w:rPr>
          <w:sz w:val="20"/>
        </w:rPr>
        <w:t>the</w:t>
      </w:r>
      <w:r>
        <w:rPr>
          <w:spacing w:val="-7"/>
          <w:sz w:val="20"/>
        </w:rPr>
        <w:t> </w:t>
      </w:r>
      <w:r>
        <w:rPr>
          <w:sz w:val="20"/>
        </w:rPr>
        <w:t>Court’s</w:t>
      </w:r>
      <w:r>
        <w:rPr>
          <w:spacing w:val="-5"/>
          <w:sz w:val="20"/>
        </w:rPr>
        <w:t> </w:t>
      </w:r>
      <w:r>
        <w:rPr>
          <w:sz w:val="20"/>
        </w:rPr>
        <w:t>senior</w:t>
      </w:r>
      <w:r>
        <w:rPr>
          <w:spacing w:val="-8"/>
          <w:sz w:val="20"/>
        </w:rPr>
        <w:t> </w:t>
      </w:r>
      <w:r>
        <w:rPr>
          <w:sz w:val="20"/>
        </w:rPr>
        <w:t>management</w:t>
      </w:r>
      <w:r>
        <w:rPr>
          <w:spacing w:val="-7"/>
          <w:sz w:val="20"/>
        </w:rPr>
        <w:t> </w:t>
      </w:r>
      <w:r>
        <w:rPr>
          <w:sz w:val="20"/>
        </w:rPr>
        <w:t>in</w:t>
      </w:r>
      <w:r>
        <w:rPr>
          <w:spacing w:val="-8"/>
          <w:sz w:val="20"/>
        </w:rPr>
        <w:t> </w:t>
      </w:r>
      <w:r>
        <w:rPr>
          <w:sz w:val="20"/>
        </w:rPr>
        <w:t>driving change with regard to gender-related policies and mainstreaming gender-related aspects within the Court’s administrative framework. In addition, the incumbent will support</w:t>
      </w:r>
      <w:r>
        <w:rPr>
          <w:spacing w:val="80"/>
          <w:sz w:val="20"/>
        </w:rPr>
        <w:t> </w:t>
      </w:r>
      <w:r>
        <w:rPr>
          <w:sz w:val="20"/>
        </w:rPr>
        <w:t>Court-wide efforts to raise awareness, conduct training and provide counselling to staff. In the proposed programme budget for 2022, the Court requested an established post for six months,</w:t>
      </w:r>
      <w:r>
        <w:rPr>
          <w:spacing w:val="-6"/>
          <w:sz w:val="20"/>
        </w:rPr>
        <w:t> </w:t>
      </w:r>
      <w:r>
        <w:rPr>
          <w:sz w:val="20"/>
        </w:rPr>
        <w:t>as</w:t>
      </w:r>
      <w:r>
        <w:rPr>
          <w:spacing w:val="-5"/>
          <w:sz w:val="20"/>
        </w:rPr>
        <w:t> </w:t>
      </w:r>
      <w:r>
        <w:rPr>
          <w:sz w:val="20"/>
        </w:rPr>
        <w:t>recruitment</w:t>
      </w:r>
      <w:r>
        <w:rPr>
          <w:spacing w:val="-7"/>
          <w:sz w:val="20"/>
        </w:rPr>
        <w:t> </w:t>
      </w:r>
      <w:r>
        <w:rPr>
          <w:sz w:val="20"/>
        </w:rPr>
        <w:t>was</w:t>
      </w:r>
      <w:r>
        <w:rPr>
          <w:spacing w:val="-10"/>
          <w:sz w:val="20"/>
        </w:rPr>
        <w:t> </w:t>
      </w:r>
      <w:r>
        <w:rPr>
          <w:sz w:val="20"/>
        </w:rPr>
        <w:t>to</w:t>
      </w:r>
      <w:r>
        <w:rPr>
          <w:spacing w:val="-5"/>
          <w:sz w:val="20"/>
        </w:rPr>
        <w:t> </w:t>
      </w:r>
      <w:r>
        <w:rPr>
          <w:sz w:val="20"/>
        </w:rPr>
        <w:t>take</w:t>
      </w:r>
      <w:r>
        <w:rPr>
          <w:spacing w:val="-7"/>
          <w:sz w:val="20"/>
        </w:rPr>
        <w:t> </w:t>
      </w:r>
      <w:r>
        <w:rPr>
          <w:sz w:val="20"/>
        </w:rPr>
        <w:t>place</w:t>
      </w:r>
      <w:r>
        <w:rPr>
          <w:spacing w:val="-7"/>
          <w:sz w:val="20"/>
        </w:rPr>
        <w:t> </w:t>
      </w:r>
      <w:r>
        <w:rPr>
          <w:sz w:val="20"/>
        </w:rPr>
        <w:t>in</w:t>
      </w:r>
      <w:r>
        <w:rPr>
          <w:spacing w:val="-8"/>
          <w:sz w:val="20"/>
        </w:rPr>
        <w:t> </w:t>
      </w:r>
      <w:r>
        <w:rPr>
          <w:sz w:val="20"/>
        </w:rPr>
        <w:t>the</w:t>
      </w:r>
      <w:r>
        <w:rPr>
          <w:spacing w:val="-2"/>
          <w:sz w:val="20"/>
        </w:rPr>
        <w:t> </w:t>
      </w:r>
      <w:r>
        <w:rPr>
          <w:sz w:val="20"/>
        </w:rPr>
        <w:t>second</w:t>
      </w:r>
      <w:r>
        <w:rPr>
          <w:spacing w:val="-8"/>
          <w:sz w:val="20"/>
        </w:rPr>
        <w:t> </w:t>
      </w:r>
      <w:r>
        <w:rPr>
          <w:sz w:val="20"/>
        </w:rPr>
        <w:t>half</w:t>
      </w:r>
      <w:r>
        <w:rPr>
          <w:spacing w:val="-8"/>
          <w:sz w:val="20"/>
        </w:rPr>
        <w:t> </w:t>
      </w:r>
      <w:r>
        <w:rPr>
          <w:sz w:val="20"/>
        </w:rPr>
        <w:t>of</w:t>
      </w:r>
      <w:r>
        <w:rPr>
          <w:spacing w:val="-8"/>
          <w:sz w:val="20"/>
        </w:rPr>
        <w:t> </w:t>
      </w:r>
      <w:r>
        <w:rPr>
          <w:sz w:val="20"/>
        </w:rPr>
        <w:t>2022.</w:t>
      </w:r>
      <w:r>
        <w:rPr>
          <w:spacing w:val="-6"/>
          <w:sz w:val="20"/>
        </w:rPr>
        <w:t> </w:t>
      </w:r>
      <w:r>
        <w:rPr>
          <w:sz w:val="20"/>
        </w:rPr>
        <w:t>The</w:t>
      </w:r>
      <w:r>
        <w:rPr>
          <w:spacing w:val="-2"/>
          <w:sz w:val="20"/>
        </w:rPr>
        <w:t> </w:t>
      </w:r>
      <w:r>
        <w:rPr>
          <w:sz w:val="20"/>
        </w:rPr>
        <w:t>Assembly</w:t>
      </w:r>
      <w:r>
        <w:rPr>
          <w:spacing w:val="-8"/>
          <w:sz w:val="20"/>
        </w:rPr>
        <w:t> </w:t>
      </w:r>
      <w:r>
        <w:rPr>
          <w:sz w:val="20"/>
        </w:rPr>
        <w:t>approved the position for six months, but as a GTA. The Court believes that it is important that the function be approved as</w:t>
      </w:r>
      <w:r>
        <w:rPr>
          <w:spacing w:val="-1"/>
          <w:sz w:val="20"/>
        </w:rPr>
        <w:t> </w:t>
      </w:r>
      <w:r>
        <w:rPr>
          <w:sz w:val="20"/>
        </w:rPr>
        <w:t>an established post, given the independent, unique, and crucial role of</w:t>
      </w:r>
      <w:r>
        <w:rPr>
          <w:spacing w:val="-4"/>
          <w:sz w:val="20"/>
        </w:rPr>
        <w:t> </w:t>
      </w:r>
      <w:r>
        <w:rPr>
          <w:sz w:val="20"/>
        </w:rPr>
        <w:t>the</w:t>
      </w:r>
      <w:r>
        <w:rPr>
          <w:spacing w:val="-1"/>
          <w:sz w:val="20"/>
        </w:rPr>
        <w:t> </w:t>
      </w:r>
      <w:r>
        <w:rPr>
          <w:sz w:val="20"/>
        </w:rPr>
        <w:t>Gender</w:t>
      </w:r>
      <w:r>
        <w:rPr>
          <w:spacing w:val="-8"/>
          <w:sz w:val="20"/>
        </w:rPr>
        <w:t> </w:t>
      </w:r>
      <w:r>
        <w:rPr>
          <w:sz w:val="20"/>
        </w:rPr>
        <w:t>Equality</w:t>
      </w:r>
      <w:r>
        <w:rPr>
          <w:spacing w:val="-8"/>
          <w:sz w:val="20"/>
        </w:rPr>
        <w:t> </w:t>
      </w:r>
      <w:r>
        <w:rPr>
          <w:sz w:val="20"/>
        </w:rPr>
        <w:t>Focal</w:t>
      </w:r>
      <w:r>
        <w:rPr>
          <w:spacing w:val="-7"/>
          <w:sz w:val="20"/>
        </w:rPr>
        <w:t> </w:t>
      </w:r>
      <w:r>
        <w:rPr>
          <w:sz w:val="20"/>
        </w:rPr>
        <w:t>Point.</w:t>
      </w:r>
      <w:r>
        <w:rPr>
          <w:spacing w:val="-11"/>
          <w:sz w:val="20"/>
        </w:rPr>
        <w:t> </w:t>
      </w:r>
      <w:r>
        <w:rPr>
          <w:sz w:val="20"/>
        </w:rPr>
        <w:t>With</w:t>
      </w:r>
      <w:r>
        <w:rPr>
          <w:spacing w:val="-8"/>
          <w:sz w:val="20"/>
        </w:rPr>
        <w:t> </w:t>
      </w:r>
      <w:r>
        <w:rPr>
          <w:sz w:val="20"/>
        </w:rPr>
        <w:t>an</w:t>
      </w:r>
      <w:r>
        <w:rPr>
          <w:spacing w:val="-8"/>
          <w:sz w:val="20"/>
        </w:rPr>
        <w:t> </w:t>
      </w:r>
      <w:r>
        <w:rPr>
          <w:sz w:val="20"/>
        </w:rPr>
        <w:t>established</w:t>
      </w:r>
      <w:r>
        <w:rPr>
          <w:spacing w:val="-8"/>
          <w:sz w:val="20"/>
        </w:rPr>
        <w:t> </w:t>
      </w:r>
      <w:r>
        <w:rPr>
          <w:sz w:val="20"/>
        </w:rPr>
        <w:t>post,</w:t>
      </w:r>
      <w:r>
        <w:rPr>
          <w:spacing w:val="-6"/>
          <w:sz w:val="20"/>
        </w:rPr>
        <w:t> </w:t>
      </w:r>
      <w:r>
        <w:rPr>
          <w:sz w:val="20"/>
        </w:rPr>
        <w:t>the</w:t>
      </w:r>
      <w:r>
        <w:rPr>
          <w:spacing w:val="-7"/>
          <w:sz w:val="20"/>
        </w:rPr>
        <w:t> </w:t>
      </w:r>
      <w:r>
        <w:rPr>
          <w:sz w:val="20"/>
        </w:rPr>
        <w:t>Court</w:t>
      </w:r>
      <w:r>
        <w:rPr>
          <w:spacing w:val="-2"/>
          <w:sz w:val="20"/>
        </w:rPr>
        <w:t> </w:t>
      </w:r>
      <w:r>
        <w:rPr>
          <w:sz w:val="20"/>
        </w:rPr>
        <w:t>will</w:t>
      </w:r>
      <w:r>
        <w:rPr>
          <w:spacing w:val="-7"/>
          <w:sz w:val="20"/>
        </w:rPr>
        <w:t> </w:t>
      </w:r>
      <w:r>
        <w:rPr>
          <w:sz w:val="20"/>
        </w:rPr>
        <w:t>be</w:t>
      </w:r>
      <w:r>
        <w:rPr>
          <w:spacing w:val="-7"/>
          <w:sz w:val="20"/>
        </w:rPr>
        <w:t> </w:t>
      </w:r>
      <w:r>
        <w:rPr>
          <w:sz w:val="20"/>
        </w:rPr>
        <w:t>able</w:t>
      </w:r>
      <w:r>
        <w:rPr>
          <w:spacing w:val="-7"/>
          <w:sz w:val="20"/>
        </w:rPr>
        <w:t> </w:t>
      </w:r>
      <w:r>
        <w:rPr>
          <w:sz w:val="20"/>
        </w:rPr>
        <w:t>to</w:t>
      </w:r>
      <w:r>
        <w:rPr>
          <w:spacing w:val="-8"/>
          <w:sz w:val="20"/>
        </w:rPr>
        <w:t> </w:t>
      </w:r>
      <w:r>
        <w:rPr>
          <w:sz w:val="20"/>
        </w:rPr>
        <w:t>attract many</w:t>
      </w:r>
      <w:r>
        <w:rPr>
          <w:spacing w:val="-7"/>
          <w:sz w:val="20"/>
        </w:rPr>
        <w:t> </w:t>
      </w:r>
      <w:r>
        <w:rPr>
          <w:sz w:val="20"/>
        </w:rPr>
        <w:t>more</w:t>
      </w:r>
      <w:r>
        <w:rPr>
          <w:spacing w:val="-1"/>
          <w:sz w:val="20"/>
        </w:rPr>
        <w:t> </w:t>
      </w:r>
      <w:r>
        <w:rPr>
          <w:sz w:val="20"/>
        </w:rPr>
        <w:t>experienced</w:t>
      </w:r>
      <w:r>
        <w:rPr>
          <w:spacing w:val="-3"/>
          <w:sz w:val="20"/>
        </w:rPr>
        <w:t> </w:t>
      </w:r>
      <w:r>
        <w:rPr>
          <w:sz w:val="20"/>
        </w:rPr>
        <w:t>applicants</w:t>
      </w:r>
      <w:r>
        <w:rPr>
          <w:spacing w:val="-4"/>
          <w:sz w:val="20"/>
        </w:rPr>
        <w:t> </w:t>
      </w:r>
      <w:r>
        <w:rPr>
          <w:sz w:val="20"/>
        </w:rPr>
        <w:t>to</w:t>
      </w:r>
      <w:r>
        <w:rPr>
          <w:spacing w:val="-3"/>
          <w:sz w:val="20"/>
        </w:rPr>
        <w:t> </w:t>
      </w:r>
      <w:r>
        <w:rPr>
          <w:sz w:val="20"/>
        </w:rPr>
        <w:t>the</w:t>
      </w:r>
      <w:r>
        <w:rPr>
          <w:spacing w:val="-1"/>
          <w:sz w:val="20"/>
        </w:rPr>
        <w:t> </w:t>
      </w:r>
      <w:r>
        <w:rPr>
          <w:sz w:val="20"/>
        </w:rPr>
        <w:t>role. The</w:t>
      </w:r>
      <w:r>
        <w:rPr>
          <w:spacing w:val="-1"/>
          <w:sz w:val="20"/>
        </w:rPr>
        <w:t> </w:t>
      </w:r>
      <w:r>
        <w:rPr>
          <w:sz w:val="20"/>
        </w:rPr>
        <w:t>experience</w:t>
      </w:r>
      <w:r>
        <w:rPr>
          <w:spacing w:val="-1"/>
          <w:sz w:val="20"/>
        </w:rPr>
        <w:t> </w:t>
      </w:r>
      <w:r>
        <w:rPr>
          <w:sz w:val="20"/>
        </w:rPr>
        <w:t>and</w:t>
      </w:r>
      <w:r>
        <w:rPr>
          <w:spacing w:val="-3"/>
          <w:sz w:val="20"/>
        </w:rPr>
        <w:t> </w:t>
      </w:r>
      <w:r>
        <w:rPr>
          <w:sz w:val="20"/>
        </w:rPr>
        <w:t>qualities</w:t>
      </w:r>
      <w:r>
        <w:rPr>
          <w:spacing w:val="-4"/>
          <w:sz w:val="20"/>
        </w:rPr>
        <w:t> </w:t>
      </w:r>
      <w:r>
        <w:rPr>
          <w:sz w:val="20"/>
        </w:rPr>
        <w:t>that</w:t>
      </w:r>
      <w:r>
        <w:rPr>
          <w:spacing w:val="-1"/>
          <w:sz w:val="20"/>
        </w:rPr>
        <w:t> </w:t>
      </w:r>
      <w:r>
        <w:rPr>
          <w:sz w:val="20"/>
        </w:rPr>
        <w:t>the</w:t>
      </w:r>
      <w:r>
        <w:rPr>
          <w:spacing w:val="-1"/>
          <w:sz w:val="20"/>
        </w:rPr>
        <w:t> </w:t>
      </w:r>
      <w:r>
        <w:rPr>
          <w:sz w:val="20"/>
        </w:rPr>
        <w:t>selected candidate</w:t>
      </w:r>
      <w:r>
        <w:rPr>
          <w:spacing w:val="40"/>
          <w:sz w:val="20"/>
        </w:rPr>
        <w:t> </w:t>
      </w:r>
      <w:r>
        <w:rPr>
          <w:sz w:val="20"/>
        </w:rPr>
        <w:t>will</w:t>
      </w:r>
      <w:r>
        <w:rPr>
          <w:spacing w:val="40"/>
          <w:sz w:val="20"/>
        </w:rPr>
        <w:t> </w:t>
      </w:r>
      <w:r>
        <w:rPr>
          <w:sz w:val="20"/>
        </w:rPr>
        <w:t>bring</w:t>
      </w:r>
      <w:r>
        <w:rPr>
          <w:spacing w:val="40"/>
          <w:sz w:val="20"/>
        </w:rPr>
        <w:t> </w:t>
      </w:r>
      <w:r>
        <w:rPr>
          <w:sz w:val="20"/>
        </w:rPr>
        <w:t>will</w:t>
      </w:r>
      <w:r>
        <w:rPr>
          <w:spacing w:val="40"/>
          <w:sz w:val="20"/>
        </w:rPr>
        <w:t> </w:t>
      </w:r>
      <w:r>
        <w:rPr>
          <w:sz w:val="20"/>
        </w:rPr>
        <w:t>be</w:t>
      </w:r>
      <w:r>
        <w:rPr>
          <w:spacing w:val="40"/>
          <w:sz w:val="20"/>
        </w:rPr>
        <w:t> </w:t>
      </w:r>
      <w:r>
        <w:rPr>
          <w:sz w:val="20"/>
        </w:rPr>
        <w:t>essential</w:t>
      </w:r>
      <w:r>
        <w:rPr>
          <w:spacing w:val="40"/>
          <w:sz w:val="20"/>
        </w:rPr>
        <w:t> </w:t>
      </w:r>
      <w:r>
        <w:rPr>
          <w:sz w:val="20"/>
        </w:rPr>
        <w:t>in</w:t>
      </w:r>
      <w:r>
        <w:rPr>
          <w:spacing w:val="40"/>
          <w:sz w:val="20"/>
        </w:rPr>
        <w:t> </w:t>
      </w:r>
      <w:r>
        <w:rPr>
          <w:sz w:val="20"/>
        </w:rPr>
        <w:t>successfully</w:t>
      </w:r>
      <w:r>
        <w:rPr>
          <w:spacing w:val="40"/>
          <w:sz w:val="20"/>
        </w:rPr>
        <w:t> </w:t>
      </w:r>
      <w:r>
        <w:rPr>
          <w:sz w:val="20"/>
        </w:rPr>
        <w:t>pursuing</w:t>
      </w:r>
      <w:r>
        <w:rPr>
          <w:spacing w:val="40"/>
          <w:sz w:val="20"/>
        </w:rPr>
        <w:t> </w:t>
      </w:r>
      <w:r>
        <w:rPr>
          <w:sz w:val="20"/>
        </w:rPr>
        <w:t>the</w:t>
      </w:r>
      <w:r>
        <w:rPr>
          <w:spacing w:val="40"/>
          <w:sz w:val="20"/>
        </w:rPr>
        <w:t> </w:t>
      </w:r>
      <w:r>
        <w:rPr>
          <w:sz w:val="20"/>
        </w:rPr>
        <w:t>large</w:t>
      </w:r>
      <w:r>
        <w:rPr>
          <w:spacing w:val="40"/>
          <w:sz w:val="20"/>
        </w:rPr>
        <w:t> </w:t>
      </w:r>
      <w:r>
        <w:rPr>
          <w:sz w:val="20"/>
        </w:rPr>
        <w:t>number</w:t>
      </w:r>
      <w:r>
        <w:rPr>
          <w:spacing w:val="40"/>
          <w:sz w:val="20"/>
        </w:rPr>
        <w:t> </w:t>
      </w:r>
      <w:r>
        <w:rPr>
          <w:sz w:val="20"/>
        </w:rPr>
        <w:t>of gender-related</w:t>
      </w:r>
      <w:r>
        <w:rPr>
          <w:spacing w:val="-8"/>
          <w:sz w:val="20"/>
        </w:rPr>
        <w:t> </w:t>
      </w:r>
      <w:r>
        <w:rPr>
          <w:sz w:val="20"/>
        </w:rPr>
        <w:t>policies</w:t>
      </w:r>
      <w:r>
        <w:rPr>
          <w:spacing w:val="-10"/>
          <w:sz w:val="20"/>
        </w:rPr>
        <w:t> </w:t>
      </w:r>
      <w:r>
        <w:rPr>
          <w:sz w:val="20"/>
        </w:rPr>
        <w:t>and</w:t>
      </w:r>
      <w:r>
        <w:rPr>
          <w:spacing w:val="-8"/>
          <w:sz w:val="20"/>
        </w:rPr>
        <w:t> </w:t>
      </w:r>
      <w:r>
        <w:rPr>
          <w:sz w:val="20"/>
        </w:rPr>
        <w:t>projects</w:t>
      </w:r>
      <w:r>
        <w:rPr>
          <w:spacing w:val="-10"/>
          <w:sz w:val="20"/>
        </w:rPr>
        <w:t> </w:t>
      </w:r>
      <w:r>
        <w:rPr>
          <w:sz w:val="20"/>
        </w:rPr>
        <w:t>at</w:t>
      </w:r>
      <w:r>
        <w:rPr>
          <w:spacing w:val="-7"/>
          <w:sz w:val="20"/>
        </w:rPr>
        <w:t> </w:t>
      </w:r>
      <w:r>
        <w:rPr>
          <w:sz w:val="20"/>
        </w:rPr>
        <w:t>the</w:t>
      </w:r>
      <w:r>
        <w:rPr>
          <w:spacing w:val="-7"/>
          <w:sz w:val="20"/>
        </w:rPr>
        <w:t> </w:t>
      </w:r>
      <w:r>
        <w:rPr>
          <w:sz w:val="20"/>
        </w:rPr>
        <w:t>Court.</w:t>
      </w:r>
      <w:r>
        <w:rPr>
          <w:spacing w:val="-6"/>
          <w:sz w:val="20"/>
        </w:rPr>
        <w:t> </w:t>
      </w:r>
      <w:r>
        <w:rPr>
          <w:sz w:val="20"/>
        </w:rPr>
        <w:t>As</w:t>
      </w:r>
      <w:r>
        <w:rPr>
          <w:spacing w:val="-5"/>
          <w:sz w:val="20"/>
        </w:rPr>
        <w:t> </w:t>
      </w:r>
      <w:r>
        <w:rPr>
          <w:sz w:val="20"/>
        </w:rPr>
        <w:t>the</w:t>
      </w:r>
      <w:r>
        <w:rPr>
          <w:spacing w:val="-7"/>
          <w:sz w:val="20"/>
        </w:rPr>
        <w:t> </w:t>
      </w:r>
      <w:r>
        <w:rPr>
          <w:sz w:val="20"/>
        </w:rPr>
        <w:t>Court</w:t>
      </w:r>
      <w:r>
        <w:rPr>
          <w:spacing w:val="-2"/>
          <w:sz w:val="20"/>
        </w:rPr>
        <w:t> </w:t>
      </w:r>
      <w:r>
        <w:rPr>
          <w:sz w:val="20"/>
        </w:rPr>
        <w:t>has</w:t>
      </w:r>
      <w:r>
        <w:rPr>
          <w:spacing w:val="-5"/>
          <w:sz w:val="20"/>
        </w:rPr>
        <w:t> </w:t>
      </w:r>
      <w:r>
        <w:rPr>
          <w:sz w:val="20"/>
        </w:rPr>
        <w:t>not</w:t>
      </w:r>
      <w:r>
        <w:rPr>
          <w:spacing w:val="-7"/>
          <w:sz w:val="20"/>
        </w:rPr>
        <w:t> </w:t>
      </w:r>
      <w:r>
        <w:rPr>
          <w:sz w:val="20"/>
        </w:rPr>
        <w:t>yet</w:t>
      </w:r>
      <w:r>
        <w:rPr>
          <w:spacing w:val="-2"/>
          <w:sz w:val="20"/>
        </w:rPr>
        <w:t> </w:t>
      </w:r>
      <w:r>
        <w:rPr>
          <w:sz w:val="20"/>
        </w:rPr>
        <w:t>filled</w:t>
      </w:r>
      <w:r>
        <w:rPr>
          <w:spacing w:val="-8"/>
          <w:sz w:val="20"/>
        </w:rPr>
        <w:t> </w:t>
      </w:r>
      <w:r>
        <w:rPr>
          <w:sz w:val="20"/>
        </w:rPr>
        <w:t>the</w:t>
      </w:r>
      <w:r>
        <w:rPr>
          <w:spacing w:val="-7"/>
          <w:sz w:val="20"/>
        </w:rPr>
        <w:t> </w:t>
      </w:r>
      <w:r>
        <w:rPr>
          <w:sz w:val="20"/>
        </w:rPr>
        <w:t>approved GTA</w:t>
      </w:r>
      <w:r>
        <w:rPr>
          <w:spacing w:val="-13"/>
          <w:sz w:val="20"/>
        </w:rPr>
        <w:t> </w:t>
      </w:r>
      <w:r>
        <w:rPr>
          <w:sz w:val="20"/>
        </w:rPr>
        <w:t>position,</w:t>
      </w:r>
      <w:r>
        <w:rPr>
          <w:spacing w:val="-12"/>
          <w:sz w:val="20"/>
        </w:rPr>
        <w:t> </w:t>
      </w:r>
      <w:r>
        <w:rPr>
          <w:sz w:val="20"/>
        </w:rPr>
        <w:t>it</w:t>
      </w:r>
      <w:r>
        <w:rPr>
          <w:spacing w:val="-13"/>
          <w:sz w:val="20"/>
        </w:rPr>
        <w:t> </w:t>
      </w:r>
      <w:r>
        <w:rPr>
          <w:sz w:val="20"/>
        </w:rPr>
        <w:t>respectfully</w:t>
      </w:r>
      <w:r>
        <w:rPr>
          <w:spacing w:val="-12"/>
          <w:sz w:val="20"/>
        </w:rPr>
        <w:t> </w:t>
      </w:r>
      <w:r>
        <w:rPr>
          <w:sz w:val="20"/>
        </w:rPr>
        <w:t>requests</w:t>
      </w:r>
      <w:r>
        <w:rPr>
          <w:spacing w:val="-13"/>
          <w:sz w:val="20"/>
        </w:rPr>
        <w:t> </w:t>
      </w:r>
      <w:r>
        <w:rPr>
          <w:sz w:val="20"/>
        </w:rPr>
        <w:t>the</w:t>
      </w:r>
      <w:r>
        <w:rPr>
          <w:spacing w:val="-12"/>
          <w:sz w:val="20"/>
        </w:rPr>
        <w:t> </w:t>
      </w:r>
      <w:r>
        <w:rPr>
          <w:sz w:val="20"/>
        </w:rPr>
        <w:t>Assembly</w:t>
      </w:r>
      <w:r>
        <w:rPr>
          <w:spacing w:val="-13"/>
          <w:sz w:val="20"/>
        </w:rPr>
        <w:t> </w:t>
      </w:r>
      <w:r>
        <w:rPr>
          <w:sz w:val="20"/>
        </w:rPr>
        <w:t>to</w:t>
      </w:r>
      <w:r>
        <w:rPr>
          <w:spacing w:val="-12"/>
          <w:sz w:val="20"/>
        </w:rPr>
        <w:t> </w:t>
      </w:r>
      <w:r>
        <w:rPr>
          <w:sz w:val="20"/>
        </w:rPr>
        <w:t>approve</w:t>
      </w:r>
      <w:r>
        <w:rPr>
          <w:spacing w:val="-13"/>
          <w:sz w:val="20"/>
        </w:rPr>
        <w:t> </w:t>
      </w:r>
      <w:r>
        <w:rPr>
          <w:sz w:val="20"/>
        </w:rPr>
        <w:t>this</w:t>
      </w:r>
      <w:r>
        <w:rPr>
          <w:spacing w:val="-12"/>
          <w:sz w:val="20"/>
        </w:rPr>
        <w:t> </w:t>
      </w:r>
      <w:r>
        <w:rPr>
          <w:sz w:val="20"/>
        </w:rPr>
        <w:t>function</w:t>
      </w:r>
      <w:r>
        <w:rPr>
          <w:spacing w:val="-13"/>
          <w:sz w:val="20"/>
        </w:rPr>
        <w:t> </w:t>
      </w:r>
      <w:r>
        <w:rPr>
          <w:sz w:val="20"/>
        </w:rPr>
        <w:t>as</w:t>
      </w:r>
      <w:r>
        <w:rPr>
          <w:spacing w:val="-12"/>
          <w:sz w:val="20"/>
        </w:rPr>
        <w:t> </w:t>
      </w:r>
      <w:r>
        <w:rPr>
          <w:sz w:val="20"/>
        </w:rPr>
        <w:t>an</w:t>
      </w:r>
      <w:r>
        <w:rPr>
          <w:spacing w:val="-13"/>
          <w:sz w:val="20"/>
        </w:rPr>
        <w:t> </w:t>
      </w:r>
      <w:r>
        <w:rPr>
          <w:sz w:val="20"/>
        </w:rPr>
        <w:t>established </w:t>
      </w:r>
      <w:r>
        <w:rPr>
          <w:spacing w:val="-2"/>
          <w:sz w:val="20"/>
        </w:rPr>
        <w:t>post.</w:t>
      </w:r>
    </w:p>
    <w:p>
      <w:pPr>
        <w:spacing w:after="0" w:line="240" w:lineRule="auto"/>
        <w:jc w:val="both"/>
        <w:rPr>
          <w:sz w:val="20"/>
        </w:rPr>
        <w:sectPr>
          <w:headerReference w:type="even" r:id="rId79"/>
          <w:headerReference w:type="default" r:id="rId80"/>
          <w:footerReference w:type="even" r:id="rId81"/>
          <w:footerReference w:type="default" r:id="rId82"/>
          <w:pgSz w:w="11910" w:h="16840"/>
          <w:pgMar w:header="953" w:footer="940" w:top="1140" w:bottom="1140" w:left="20" w:right="20"/>
          <w:pgNumType w:start="104"/>
        </w:sectPr>
      </w:pPr>
    </w:p>
    <w:p>
      <w:pPr>
        <w:pStyle w:val="Heading3"/>
        <w:tabs>
          <w:tab w:pos="5989" w:val="left" w:leader="none"/>
        </w:tabs>
        <w:spacing w:before="120"/>
        <w:ind w:left="5"/>
        <w:jc w:val="center"/>
      </w:pPr>
      <w:r>
        <w:rPr/>
        <w:t>Non-staff</w:t>
      </w:r>
      <w:r>
        <w:rPr>
          <w:spacing w:val="-4"/>
        </w:rPr>
        <w:t> </w:t>
      </w:r>
      <w:r>
        <w:rPr>
          <w:spacing w:val="-2"/>
        </w:rPr>
        <w:t>resources</w:t>
      </w:r>
      <w:r>
        <w:rPr/>
        <w:tab/>
        <w:t>€247.6</w:t>
      </w:r>
      <w:r>
        <w:rPr>
          <w:spacing w:val="-3"/>
        </w:rPr>
        <w:t> </w:t>
      </w:r>
      <w:r>
        <w:rPr>
          <w:spacing w:val="-2"/>
        </w:rPr>
        <w:t>thousand</w:t>
      </w:r>
    </w:p>
    <w:p>
      <w:pPr>
        <w:pStyle w:val="BodyText"/>
        <w:spacing w:before="10"/>
        <w:rPr>
          <w:b/>
        </w:rPr>
      </w:pPr>
    </w:p>
    <w:p>
      <w:pPr>
        <w:pStyle w:val="ListParagraph"/>
        <w:numPr>
          <w:ilvl w:val="0"/>
          <w:numId w:val="4"/>
        </w:numPr>
        <w:tabs>
          <w:tab w:pos="2967" w:val="left" w:leader="none"/>
        </w:tabs>
        <w:spacing w:line="240" w:lineRule="auto" w:before="1" w:after="0"/>
        <w:ind w:left="2246" w:right="2234" w:firstLine="0"/>
        <w:jc w:val="both"/>
        <w:rPr>
          <w:sz w:val="20"/>
        </w:rPr>
      </w:pPr>
      <w:r>
        <w:rPr>
          <w:sz w:val="20"/>
        </w:rPr>
        <w:t>The overall amount</w:t>
      </w:r>
      <w:r>
        <w:rPr>
          <w:spacing w:val="24"/>
          <w:sz w:val="20"/>
        </w:rPr>
        <w:t> </w:t>
      </w:r>
      <w:r>
        <w:rPr>
          <w:sz w:val="20"/>
        </w:rPr>
        <w:t>requested for non-staff resources for the</w:t>
      </w:r>
      <w:r>
        <w:rPr>
          <w:spacing w:val="24"/>
          <w:sz w:val="20"/>
        </w:rPr>
        <w:t> </w:t>
      </w:r>
      <w:r>
        <w:rPr>
          <w:sz w:val="20"/>
        </w:rPr>
        <w:t>OTR has increased</w:t>
      </w:r>
      <w:r>
        <w:rPr>
          <w:spacing w:val="40"/>
          <w:sz w:val="20"/>
        </w:rPr>
        <w:t> </w:t>
      </w:r>
      <w:r>
        <w:rPr>
          <w:sz w:val="20"/>
        </w:rPr>
        <w:t>by</w:t>
      </w:r>
      <w:r>
        <w:rPr>
          <w:spacing w:val="-12"/>
          <w:sz w:val="20"/>
        </w:rPr>
        <w:t> </w:t>
      </w:r>
      <w:r>
        <w:rPr>
          <w:sz w:val="20"/>
        </w:rPr>
        <w:t>€217.3 thousand (717.2 per cent) in comparison to the approved budget for 2022. As explained</w:t>
      </w:r>
      <w:r>
        <w:rPr>
          <w:spacing w:val="-13"/>
          <w:sz w:val="20"/>
        </w:rPr>
        <w:t> </w:t>
      </w:r>
      <w:r>
        <w:rPr>
          <w:sz w:val="20"/>
        </w:rPr>
        <w:t>below,</w:t>
      </w:r>
      <w:r>
        <w:rPr>
          <w:spacing w:val="-12"/>
          <w:sz w:val="20"/>
        </w:rPr>
        <w:t> </w:t>
      </w:r>
      <w:r>
        <w:rPr>
          <w:sz w:val="20"/>
        </w:rPr>
        <w:t>the</w:t>
      </w:r>
      <w:r>
        <w:rPr>
          <w:spacing w:val="-13"/>
          <w:sz w:val="20"/>
        </w:rPr>
        <w:t> </w:t>
      </w:r>
      <w:r>
        <w:rPr>
          <w:sz w:val="20"/>
        </w:rPr>
        <w:t>proposed</w:t>
      </w:r>
      <w:r>
        <w:rPr>
          <w:spacing w:val="-12"/>
          <w:sz w:val="20"/>
        </w:rPr>
        <w:t> </w:t>
      </w:r>
      <w:r>
        <w:rPr>
          <w:sz w:val="20"/>
        </w:rPr>
        <w:t>increase</w:t>
      </w:r>
      <w:r>
        <w:rPr>
          <w:spacing w:val="-13"/>
          <w:sz w:val="20"/>
        </w:rPr>
        <w:t> </w:t>
      </w:r>
      <w:r>
        <w:rPr>
          <w:sz w:val="20"/>
        </w:rPr>
        <w:t>is</w:t>
      </w:r>
      <w:r>
        <w:rPr>
          <w:spacing w:val="-12"/>
          <w:sz w:val="20"/>
        </w:rPr>
        <w:t> </w:t>
      </w:r>
      <w:r>
        <w:rPr>
          <w:sz w:val="20"/>
        </w:rPr>
        <w:t>mostly</w:t>
      </w:r>
      <w:r>
        <w:rPr>
          <w:spacing w:val="-13"/>
          <w:sz w:val="20"/>
        </w:rPr>
        <w:t> </w:t>
      </w:r>
      <w:r>
        <w:rPr>
          <w:sz w:val="20"/>
        </w:rPr>
        <w:t>attributable</w:t>
      </w:r>
      <w:r>
        <w:rPr>
          <w:spacing w:val="-12"/>
          <w:sz w:val="20"/>
        </w:rPr>
        <w:t> </w:t>
      </w:r>
      <w:r>
        <w:rPr>
          <w:sz w:val="20"/>
        </w:rPr>
        <w:t>to</w:t>
      </w:r>
      <w:r>
        <w:rPr>
          <w:spacing w:val="-13"/>
          <w:sz w:val="20"/>
        </w:rPr>
        <w:t> </w:t>
      </w:r>
      <w:r>
        <w:rPr>
          <w:sz w:val="20"/>
        </w:rPr>
        <w:t>the</w:t>
      </w:r>
      <w:r>
        <w:rPr>
          <w:spacing w:val="-12"/>
          <w:sz w:val="20"/>
        </w:rPr>
        <w:t> </w:t>
      </w:r>
      <w:r>
        <w:rPr>
          <w:sz w:val="20"/>
        </w:rPr>
        <w:t>integration</w:t>
      </w:r>
      <w:r>
        <w:rPr>
          <w:spacing w:val="-13"/>
          <w:sz w:val="20"/>
        </w:rPr>
        <w:t> </w:t>
      </w:r>
      <w:r>
        <w:rPr>
          <w:sz w:val="20"/>
        </w:rPr>
        <w:t>of</w:t>
      </w:r>
      <w:r>
        <w:rPr>
          <w:spacing w:val="-12"/>
          <w:sz w:val="20"/>
        </w:rPr>
        <w:t> </w:t>
      </w:r>
      <w:r>
        <w:rPr>
          <w:sz w:val="20"/>
        </w:rPr>
        <w:t>consultancy resources</w:t>
      </w:r>
      <w:r>
        <w:rPr>
          <w:spacing w:val="-10"/>
          <w:sz w:val="20"/>
        </w:rPr>
        <w:t> </w:t>
      </w:r>
      <w:r>
        <w:rPr>
          <w:sz w:val="20"/>
        </w:rPr>
        <w:t>into</w:t>
      </w:r>
      <w:r>
        <w:rPr>
          <w:spacing w:val="-5"/>
          <w:sz w:val="20"/>
        </w:rPr>
        <w:t> </w:t>
      </w:r>
      <w:r>
        <w:rPr>
          <w:sz w:val="20"/>
        </w:rPr>
        <w:t>the</w:t>
      </w:r>
      <w:r>
        <w:rPr>
          <w:spacing w:val="-3"/>
          <w:sz w:val="20"/>
        </w:rPr>
        <w:t> </w:t>
      </w:r>
      <w:r>
        <w:rPr>
          <w:sz w:val="20"/>
        </w:rPr>
        <w:t>OTR’s</w:t>
      </w:r>
      <w:r>
        <w:rPr>
          <w:spacing w:val="-10"/>
          <w:sz w:val="20"/>
        </w:rPr>
        <w:t> </w:t>
      </w:r>
      <w:r>
        <w:rPr>
          <w:sz w:val="20"/>
        </w:rPr>
        <w:t>budget,</w:t>
      </w:r>
      <w:r>
        <w:rPr>
          <w:spacing w:val="-6"/>
          <w:sz w:val="20"/>
        </w:rPr>
        <w:t> </w:t>
      </w:r>
      <w:r>
        <w:rPr>
          <w:sz w:val="20"/>
        </w:rPr>
        <w:t>amounting</w:t>
      </w:r>
      <w:r>
        <w:rPr>
          <w:spacing w:val="-9"/>
          <w:sz w:val="20"/>
        </w:rPr>
        <w:t> </w:t>
      </w:r>
      <w:r>
        <w:rPr>
          <w:sz w:val="20"/>
        </w:rPr>
        <w:t>to</w:t>
      </w:r>
      <w:r>
        <w:rPr>
          <w:spacing w:val="-9"/>
          <w:sz w:val="20"/>
        </w:rPr>
        <w:t> </w:t>
      </w:r>
      <w:r>
        <w:rPr>
          <w:sz w:val="20"/>
        </w:rPr>
        <w:t>€144.0</w:t>
      </w:r>
      <w:r>
        <w:rPr>
          <w:spacing w:val="-9"/>
          <w:sz w:val="20"/>
        </w:rPr>
        <w:t> </w:t>
      </w:r>
      <w:r>
        <w:rPr>
          <w:sz w:val="20"/>
        </w:rPr>
        <w:t>thousand,</w:t>
      </w:r>
      <w:r>
        <w:rPr>
          <w:spacing w:val="-3"/>
          <w:sz w:val="20"/>
        </w:rPr>
        <w:t> </w:t>
      </w:r>
      <w:r>
        <w:rPr>
          <w:sz w:val="20"/>
        </w:rPr>
        <w:t>for</w:t>
      </w:r>
      <w:r>
        <w:rPr>
          <w:spacing w:val="-5"/>
          <w:sz w:val="20"/>
        </w:rPr>
        <w:t> </w:t>
      </w:r>
      <w:r>
        <w:rPr>
          <w:sz w:val="20"/>
        </w:rPr>
        <w:t>the</w:t>
      </w:r>
      <w:r>
        <w:rPr>
          <w:spacing w:val="-4"/>
          <w:sz w:val="20"/>
        </w:rPr>
        <w:t> </w:t>
      </w:r>
      <w:r>
        <w:rPr>
          <w:sz w:val="20"/>
        </w:rPr>
        <w:t>Court-wide services </w:t>
      </w:r>
      <w:r>
        <w:rPr>
          <w:spacing w:val="-2"/>
          <w:sz w:val="20"/>
        </w:rPr>
        <w:t>of</w:t>
      </w:r>
      <w:r>
        <w:rPr>
          <w:spacing w:val="-11"/>
          <w:sz w:val="20"/>
        </w:rPr>
        <w:t> </w:t>
      </w:r>
      <w:r>
        <w:rPr>
          <w:spacing w:val="-2"/>
          <w:sz w:val="20"/>
        </w:rPr>
        <w:t>an</w:t>
      </w:r>
      <w:r>
        <w:rPr>
          <w:spacing w:val="-5"/>
          <w:sz w:val="20"/>
        </w:rPr>
        <w:t> </w:t>
      </w:r>
      <w:r>
        <w:rPr>
          <w:spacing w:val="-2"/>
          <w:sz w:val="20"/>
        </w:rPr>
        <w:t>Ombudsperson</w:t>
      </w:r>
      <w:r>
        <w:rPr>
          <w:spacing w:val="-6"/>
          <w:sz w:val="20"/>
        </w:rPr>
        <w:t> </w:t>
      </w:r>
      <w:r>
        <w:rPr>
          <w:spacing w:val="-2"/>
          <w:sz w:val="20"/>
        </w:rPr>
        <w:t>in</w:t>
      </w:r>
      <w:r>
        <w:rPr>
          <w:spacing w:val="-6"/>
          <w:sz w:val="20"/>
        </w:rPr>
        <w:t> </w:t>
      </w:r>
      <w:r>
        <w:rPr>
          <w:spacing w:val="-2"/>
          <w:sz w:val="20"/>
        </w:rPr>
        <w:t>2023,</w:t>
      </w:r>
      <w:r>
        <w:rPr>
          <w:spacing w:val="-4"/>
          <w:sz w:val="20"/>
        </w:rPr>
        <w:t> </w:t>
      </w:r>
      <w:r>
        <w:rPr>
          <w:spacing w:val="-2"/>
          <w:sz w:val="20"/>
        </w:rPr>
        <w:t>and</w:t>
      </w:r>
      <w:r>
        <w:rPr>
          <w:spacing w:val="-11"/>
          <w:sz w:val="20"/>
        </w:rPr>
        <w:t> </w:t>
      </w:r>
      <w:r>
        <w:rPr>
          <w:spacing w:val="-2"/>
          <w:sz w:val="20"/>
        </w:rPr>
        <w:t>€30.0</w:t>
      </w:r>
      <w:r>
        <w:rPr>
          <w:spacing w:val="-10"/>
          <w:sz w:val="20"/>
        </w:rPr>
        <w:t> </w:t>
      </w:r>
      <w:r>
        <w:rPr>
          <w:spacing w:val="-2"/>
          <w:sz w:val="20"/>
        </w:rPr>
        <w:t>thousand for</w:t>
      </w:r>
      <w:r>
        <w:rPr>
          <w:spacing w:val="-11"/>
          <w:sz w:val="20"/>
        </w:rPr>
        <w:t> </w:t>
      </w:r>
      <w:r>
        <w:rPr>
          <w:spacing w:val="-2"/>
          <w:sz w:val="20"/>
        </w:rPr>
        <w:t>the</w:t>
      </w:r>
      <w:r>
        <w:rPr>
          <w:spacing w:val="-8"/>
          <w:sz w:val="20"/>
        </w:rPr>
        <w:t> </w:t>
      </w:r>
      <w:r>
        <w:rPr>
          <w:spacing w:val="-2"/>
          <w:sz w:val="20"/>
        </w:rPr>
        <w:t>continuation</w:t>
      </w:r>
      <w:r>
        <w:rPr>
          <w:spacing w:val="-6"/>
          <w:sz w:val="20"/>
        </w:rPr>
        <w:t> </w:t>
      </w:r>
      <w:r>
        <w:rPr>
          <w:spacing w:val="-2"/>
          <w:sz w:val="20"/>
        </w:rPr>
        <w:t>of</w:t>
      </w:r>
      <w:r>
        <w:rPr>
          <w:spacing w:val="-6"/>
          <w:sz w:val="20"/>
        </w:rPr>
        <w:t> </w:t>
      </w:r>
      <w:r>
        <w:rPr>
          <w:spacing w:val="-2"/>
          <w:sz w:val="20"/>
        </w:rPr>
        <w:t>training</w:t>
      </w:r>
      <w:r>
        <w:rPr>
          <w:spacing w:val="-6"/>
          <w:sz w:val="20"/>
        </w:rPr>
        <w:t> </w:t>
      </w:r>
      <w:r>
        <w:rPr>
          <w:spacing w:val="-2"/>
          <w:sz w:val="20"/>
        </w:rPr>
        <w:t>requirements </w:t>
      </w:r>
      <w:r>
        <w:rPr>
          <w:sz w:val="20"/>
        </w:rPr>
        <w:t>for</w:t>
      </w:r>
      <w:r>
        <w:rPr>
          <w:spacing w:val="-13"/>
          <w:sz w:val="20"/>
        </w:rPr>
        <w:t> </w:t>
      </w:r>
      <w:r>
        <w:rPr>
          <w:sz w:val="20"/>
        </w:rPr>
        <w:t>the</w:t>
      </w:r>
      <w:r>
        <w:rPr>
          <w:spacing w:val="-12"/>
          <w:sz w:val="20"/>
        </w:rPr>
        <w:t> </w:t>
      </w:r>
      <w:r>
        <w:rPr>
          <w:sz w:val="20"/>
        </w:rPr>
        <w:t>work</w:t>
      </w:r>
      <w:r>
        <w:rPr>
          <w:spacing w:val="-13"/>
          <w:sz w:val="20"/>
        </w:rPr>
        <w:t> </w:t>
      </w:r>
      <w:r>
        <w:rPr>
          <w:sz w:val="20"/>
        </w:rPr>
        <w:t>of</w:t>
      </w:r>
      <w:r>
        <w:rPr>
          <w:spacing w:val="-12"/>
          <w:sz w:val="20"/>
        </w:rPr>
        <w:t> </w:t>
      </w:r>
      <w:r>
        <w:rPr>
          <w:sz w:val="20"/>
        </w:rPr>
        <w:t>the</w:t>
      </w:r>
      <w:r>
        <w:rPr>
          <w:spacing w:val="-13"/>
          <w:sz w:val="20"/>
        </w:rPr>
        <w:t> </w:t>
      </w:r>
      <w:r>
        <w:rPr>
          <w:sz w:val="20"/>
        </w:rPr>
        <w:t>Focal</w:t>
      </w:r>
      <w:r>
        <w:rPr>
          <w:spacing w:val="-12"/>
          <w:sz w:val="20"/>
        </w:rPr>
        <w:t> </w:t>
      </w:r>
      <w:r>
        <w:rPr>
          <w:sz w:val="20"/>
        </w:rPr>
        <w:t>Point</w:t>
      </w:r>
      <w:r>
        <w:rPr>
          <w:spacing w:val="-13"/>
          <w:sz w:val="20"/>
        </w:rPr>
        <w:t> </w:t>
      </w:r>
      <w:r>
        <w:rPr>
          <w:sz w:val="20"/>
        </w:rPr>
        <w:t>for</w:t>
      </w:r>
      <w:r>
        <w:rPr>
          <w:spacing w:val="-12"/>
          <w:sz w:val="20"/>
        </w:rPr>
        <w:t> </w:t>
      </w:r>
      <w:r>
        <w:rPr>
          <w:sz w:val="20"/>
        </w:rPr>
        <w:t>Gender</w:t>
      </w:r>
      <w:r>
        <w:rPr>
          <w:spacing w:val="-13"/>
          <w:sz w:val="20"/>
        </w:rPr>
        <w:t> </w:t>
      </w:r>
      <w:r>
        <w:rPr>
          <w:sz w:val="20"/>
        </w:rPr>
        <w:t>Equality.</w:t>
      </w:r>
      <w:r>
        <w:rPr>
          <w:spacing w:val="-12"/>
          <w:sz w:val="20"/>
        </w:rPr>
        <w:t> </w:t>
      </w:r>
      <w:r>
        <w:rPr>
          <w:sz w:val="20"/>
        </w:rPr>
        <w:t>Additionally,</w:t>
      </w:r>
      <w:r>
        <w:rPr>
          <w:spacing w:val="-13"/>
          <w:sz w:val="20"/>
        </w:rPr>
        <w:t> </w:t>
      </w:r>
      <w:r>
        <w:rPr>
          <w:sz w:val="20"/>
        </w:rPr>
        <w:t>there</w:t>
      </w:r>
      <w:r>
        <w:rPr>
          <w:spacing w:val="-12"/>
          <w:sz w:val="20"/>
        </w:rPr>
        <w:t> </w:t>
      </w:r>
      <w:r>
        <w:rPr>
          <w:sz w:val="20"/>
        </w:rPr>
        <w:t>is</w:t>
      </w:r>
      <w:r>
        <w:rPr>
          <w:spacing w:val="-13"/>
          <w:sz w:val="20"/>
        </w:rPr>
        <w:t> </w:t>
      </w:r>
      <w:r>
        <w:rPr>
          <w:sz w:val="20"/>
        </w:rPr>
        <w:t>an</w:t>
      </w:r>
      <w:r>
        <w:rPr>
          <w:spacing w:val="-12"/>
          <w:sz w:val="20"/>
        </w:rPr>
        <w:t> </w:t>
      </w:r>
      <w:r>
        <w:rPr>
          <w:sz w:val="20"/>
        </w:rPr>
        <w:t>increase</w:t>
      </w:r>
      <w:r>
        <w:rPr>
          <w:spacing w:val="-13"/>
          <w:sz w:val="20"/>
        </w:rPr>
        <w:t> </w:t>
      </w:r>
      <w:r>
        <w:rPr>
          <w:sz w:val="20"/>
        </w:rPr>
        <w:t>in</w:t>
      </w:r>
      <w:r>
        <w:rPr>
          <w:spacing w:val="-12"/>
          <w:sz w:val="20"/>
        </w:rPr>
        <w:t> </w:t>
      </w:r>
      <w:r>
        <w:rPr>
          <w:sz w:val="20"/>
        </w:rPr>
        <w:t>travel in the IOR linked to the expected travel of the Registrar to the session of Assembly in New York, and</w:t>
      </w:r>
      <w:r>
        <w:rPr>
          <w:spacing w:val="-1"/>
          <w:sz w:val="20"/>
        </w:rPr>
        <w:t> </w:t>
      </w:r>
      <w:r>
        <w:rPr>
          <w:sz w:val="20"/>
        </w:rPr>
        <w:t>in the RLO</w:t>
      </w:r>
      <w:r>
        <w:rPr>
          <w:spacing w:val="-3"/>
          <w:sz w:val="20"/>
        </w:rPr>
        <w:t> </w:t>
      </w:r>
      <w:r>
        <w:rPr>
          <w:sz w:val="20"/>
        </w:rPr>
        <w:t>in</w:t>
      </w:r>
      <w:r>
        <w:rPr>
          <w:spacing w:val="-1"/>
          <w:sz w:val="20"/>
        </w:rPr>
        <w:t> </w:t>
      </w:r>
      <w:r>
        <w:rPr>
          <w:sz w:val="20"/>
        </w:rPr>
        <w:t>connection with</w:t>
      </w:r>
      <w:r>
        <w:rPr>
          <w:spacing w:val="-1"/>
          <w:sz w:val="20"/>
        </w:rPr>
        <w:t> </w:t>
      </w:r>
      <w:r>
        <w:rPr>
          <w:sz w:val="20"/>
        </w:rPr>
        <w:t>their</w:t>
      </w:r>
      <w:r>
        <w:rPr>
          <w:spacing w:val="-1"/>
          <w:sz w:val="20"/>
        </w:rPr>
        <w:t> </w:t>
      </w:r>
      <w:r>
        <w:rPr>
          <w:sz w:val="20"/>
        </w:rPr>
        <w:t>mandated</w:t>
      </w:r>
      <w:r>
        <w:rPr>
          <w:spacing w:val="-1"/>
          <w:sz w:val="20"/>
        </w:rPr>
        <w:t> </w:t>
      </w:r>
      <w:r>
        <w:rPr>
          <w:sz w:val="20"/>
        </w:rPr>
        <w:t>activities.</w:t>
      </w:r>
    </w:p>
    <w:p>
      <w:pPr>
        <w:pStyle w:val="BodyText"/>
        <w:spacing w:before="2"/>
        <w:rPr>
          <w:sz w:val="21"/>
        </w:rPr>
      </w:pPr>
    </w:p>
    <w:p>
      <w:pPr>
        <w:tabs>
          <w:tab w:pos="6140" w:val="left" w:leader="none"/>
        </w:tabs>
        <w:spacing w:before="0"/>
        <w:ind w:left="3" w:right="0" w:firstLine="0"/>
        <w:jc w:val="center"/>
        <w:rPr>
          <w:i/>
          <w:sz w:val="20"/>
        </w:rPr>
      </w:pPr>
      <w:r>
        <w:rPr>
          <w:i/>
          <w:spacing w:val="-2"/>
          <w:sz w:val="20"/>
        </w:rPr>
        <w:t>Travel</w:t>
      </w:r>
      <w:r>
        <w:rPr>
          <w:i/>
          <w:sz w:val="20"/>
        </w:rPr>
        <w:tab/>
        <w:t>€57.8</w:t>
      </w:r>
      <w:r>
        <w:rPr>
          <w:i/>
          <w:spacing w:val="-3"/>
          <w:sz w:val="20"/>
        </w:rPr>
        <w:t> </w:t>
      </w:r>
      <w:r>
        <w:rPr>
          <w:i/>
          <w:spacing w:val="-2"/>
          <w:sz w:val="20"/>
        </w:rPr>
        <w:t>thousand</w:t>
      </w:r>
    </w:p>
    <w:p>
      <w:pPr>
        <w:pStyle w:val="BodyText"/>
        <w:spacing w:before="6"/>
        <w:rPr>
          <w:i/>
        </w:rPr>
      </w:pPr>
    </w:p>
    <w:p>
      <w:pPr>
        <w:pStyle w:val="ListParagraph"/>
        <w:numPr>
          <w:ilvl w:val="0"/>
          <w:numId w:val="4"/>
        </w:numPr>
        <w:tabs>
          <w:tab w:pos="2967" w:val="left" w:leader="none"/>
        </w:tabs>
        <w:spacing w:line="240" w:lineRule="auto" w:before="0" w:after="0"/>
        <w:ind w:left="2246" w:right="2244" w:firstLine="0"/>
        <w:jc w:val="both"/>
        <w:rPr>
          <w:sz w:val="20"/>
        </w:rPr>
      </w:pPr>
      <w:r>
        <w:rPr>
          <w:sz w:val="20"/>
        </w:rPr>
        <w:t>The</w:t>
      </w:r>
      <w:r>
        <w:rPr>
          <w:spacing w:val="-13"/>
          <w:sz w:val="20"/>
        </w:rPr>
        <w:t> </w:t>
      </w:r>
      <w:r>
        <w:rPr>
          <w:sz w:val="20"/>
        </w:rPr>
        <w:t>resources</w:t>
      </w:r>
      <w:r>
        <w:rPr>
          <w:spacing w:val="-12"/>
          <w:sz w:val="20"/>
        </w:rPr>
        <w:t> </w:t>
      </w:r>
      <w:r>
        <w:rPr>
          <w:sz w:val="20"/>
        </w:rPr>
        <w:t>continue</w:t>
      </w:r>
      <w:r>
        <w:rPr>
          <w:spacing w:val="-13"/>
          <w:sz w:val="20"/>
        </w:rPr>
        <w:t> </w:t>
      </w:r>
      <w:r>
        <w:rPr>
          <w:sz w:val="20"/>
        </w:rPr>
        <w:t>to</w:t>
      </w:r>
      <w:r>
        <w:rPr>
          <w:spacing w:val="-12"/>
          <w:sz w:val="20"/>
        </w:rPr>
        <w:t> </w:t>
      </w:r>
      <w:r>
        <w:rPr>
          <w:sz w:val="20"/>
        </w:rPr>
        <w:t>be</w:t>
      </w:r>
      <w:r>
        <w:rPr>
          <w:spacing w:val="-13"/>
          <w:sz w:val="20"/>
        </w:rPr>
        <w:t> </w:t>
      </w:r>
      <w:r>
        <w:rPr>
          <w:sz w:val="20"/>
        </w:rPr>
        <w:t>required</w:t>
      </w:r>
      <w:r>
        <w:rPr>
          <w:spacing w:val="-12"/>
          <w:sz w:val="20"/>
        </w:rPr>
        <w:t> </w:t>
      </w:r>
      <w:r>
        <w:rPr>
          <w:sz w:val="20"/>
        </w:rPr>
        <w:t>for</w:t>
      </w:r>
      <w:r>
        <w:rPr>
          <w:spacing w:val="-13"/>
          <w:sz w:val="20"/>
        </w:rPr>
        <w:t> </w:t>
      </w:r>
      <w:r>
        <w:rPr>
          <w:sz w:val="20"/>
        </w:rPr>
        <w:t>the</w:t>
      </w:r>
      <w:r>
        <w:rPr>
          <w:spacing w:val="-12"/>
          <w:sz w:val="20"/>
        </w:rPr>
        <w:t> </w:t>
      </w:r>
      <w:r>
        <w:rPr>
          <w:sz w:val="20"/>
        </w:rPr>
        <w:t>Registrar</w:t>
      </w:r>
      <w:r>
        <w:rPr>
          <w:spacing w:val="-13"/>
          <w:sz w:val="20"/>
        </w:rPr>
        <w:t> </w:t>
      </w:r>
      <w:r>
        <w:rPr>
          <w:sz w:val="20"/>
        </w:rPr>
        <w:t>to</w:t>
      </w:r>
      <w:r>
        <w:rPr>
          <w:spacing w:val="-12"/>
          <w:sz w:val="20"/>
        </w:rPr>
        <w:t> </w:t>
      </w:r>
      <w:r>
        <w:rPr>
          <w:sz w:val="20"/>
        </w:rPr>
        <w:t>travel</w:t>
      </w:r>
      <w:r>
        <w:rPr>
          <w:spacing w:val="-13"/>
          <w:sz w:val="20"/>
        </w:rPr>
        <w:t> </w:t>
      </w:r>
      <w:r>
        <w:rPr>
          <w:sz w:val="20"/>
        </w:rPr>
        <w:t>to</w:t>
      </w:r>
      <w:r>
        <w:rPr>
          <w:spacing w:val="-12"/>
          <w:sz w:val="20"/>
        </w:rPr>
        <w:t> </w:t>
      </w:r>
      <w:r>
        <w:rPr>
          <w:sz w:val="20"/>
        </w:rPr>
        <w:t>one</w:t>
      </w:r>
      <w:r>
        <w:rPr>
          <w:spacing w:val="-13"/>
          <w:sz w:val="20"/>
        </w:rPr>
        <w:t> </w:t>
      </w:r>
      <w:r>
        <w:rPr>
          <w:sz w:val="20"/>
        </w:rPr>
        <w:t>country</w:t>
      </w:r>
      <w:r>
        <w:rPr>
          <w:spacing w:val="-12"/>
          <w:sz w:val="20"/>
        </w:rPr>
        <w:t> </w:t>
      </w:r>
      <w:r>
        <w:rPr>
          <w:sz w:val="20"/>
        </w:rPr>
        <w:t>office as part</w:t>
      </w:r>
      <w:r>
        <w:rPr>
          <w:spacing w:val="-2"/>
          <w:sz w:val="20"/>
        </w:rPr>
        <w:t> </w:t>
      </w:r>
      <w:r>
        <w:rPr>
          <w:sz w:val="20"/>
        </w:rPr>
        <w:t>of</w:t>
      </w:r>
      <w:r>
        <w:rPr>
          <w:spacing w:val="-4"/>
          <w:sz w:val="20"/>
        </w:rPr>
        <w:t> </w:t>
      </w:r>
      <w:r>
        <w:rPr>
          <w:sz w:val="20"/>
        </w:rPr>
        <w:t>the</w:t>
      </w:r>
      <w:r>
        <w:rPr>
          <w:spacing w:val="-2"/>
          <w:sz w:val="20"/>
        </w:rPr>
        <w:t> </w:t>
      </w:r>
      <w:r>
        <w:rPr>
          <w:sz w:val="20"/>
        </w:rPr>
        <w:t>Staff</w:t>
      </w:r>
      <w:r>
        <w:rPr>
          <w:spacing w:val="-3"/>
          <w:sz w:val="20"/>
        </w:rPr>
        <w:t> </w:t>
      </w:r>
      <w:r>
        <w:rPr>
          <w:sz w:val="20"/>
        </w:rPr>
        <w:t>Engagement</w:t>
      </w:r>
      <w:r>
        <w:rPr>
          <w:spacing w:val="-2"/>
          <w:sz w:val="20"/>
        </w:rPr>
        <w:t> </w:t>
      </w:r>
      <w:r>
        <w:rPr>
          <w:sz w:val="20"/>
        </w:rPr>
        <w:t>strategy</w:t>
      </w:r>
      <w:r>
        <w:rPr>
          <w:spacing w:val="-4"/>
          <w:sz w:val="20"/>
        </w:rPr>
        <w:t> </w:t>
      </w:r>
      <w:r>
        <w:rPr>
          <w:sz w:val="20"/>
        </w:rPr>
        <w:t>and</w:t>
      </w:r>
      <w:r>
        <w:rPr>
          <w:spacing w:val="-4"/>
          <w:sz w:val="20"/>
        </w:rPr>
        <w:t> </w:t>
      </w:r>
      <w:r>
        <w:rPr>
          <w:sz w:val="20"/>
        </w:rPr>
        <w:t>to</w:t>
      </w:r>
      <w:r>
        <w:rPr>
          <w:spacing w:val="-4"/>
          <w:sz w:val="20"/>
        </w:rPr>
        <w:t> </w:t>
      </w:r>
      <w:r>
        <w:rPr>
          <w:sz w:val="20"/>
        </w:rPr>
        <w:t>strengthen</w:t>
      </w:r>
      <w:r>
        <w:rPr>
          <w:spacing w:val="-4"/>
          <w:sz w:val="20"/>
        </w:rPr>
        <w:t> </w:t>
      </w:r>
      <w:r>
        <w:rPr>
          <w:sz w:val="20"/>
        </w:rPr>
        <w:t>the relationship</w:t>
      </w:r>
      <w:r>
        <w:rPr>
          <w:spacing w:val="-4"/>
          <w:sz w:val="20"/>
        </w:rPr>
        <w:t> </w:t>
      </w:r>
      <w:r>
        <w:rPr>
          <w:sz w:val="20"/>
        </w:rPr>
        <w:t>with</w:t>
      </w:r>
      <w:r>
        <w:rPr>
          <w:spacing w:val="-4"/>
          <w:sz w:val="20"/>
        </w:rPr>
        <w:t> </w:t>
      </w:r>
      <w:r>
        <w:rPr>
          <w:sz w:val="20"/>
        </w:rPr>
        <w:t>the</w:t>
      </w:r>
      <w:r>
        <w:rPr>
          <w:spacing w:val="-2"/>
          <w:sz w:val="20"/>
        </w:rPr>
        <w:t> </w:t>
      </w:r>
      <w:r>
        <w:rPr>
          <w:sz w:val="20"/>
        </w:rPr>
        <w:t>situation country</w:t>
      </w:r>
      <w:r>
        <w:rPr>
          <w:spacing w:val="-13"/>
          <w:sz w:val="20"/>
        </w:rPr>
        <w:t> </w:t>
      </w:r>
      <w:r>
        <w:rPr>
          <w:sz w:val="20"/>
        </w:rPr>
        <w:t>and</w:t>
      </w:r>
      <w:r>
        <w:rPr>
          <w:spacing w:val="-12"/>
          <w:sz w:val="20"/>
        </w:rPr>
        <w:t> </w:t>
      </w:r>
      <w:r>
        <w:rPr>
          <w:sz w:val="20"/>
        </w:rPr>
        <w:t>local</w:t>
      </w:r>
      <w:r>
        <w:rPr>
          <w:spacing w:val="-13"/>
          <w:sz w:val="20"/>
        </w:rPr>
        <w:t> </w:t>
      </w:r>
      <w:r>
        <w:rPr>
          <w:sz w:val="20"/>
        </w:rPr>
        <w:t>authorities</w:t>
      </w:r>
      <w:r>
        <w:rPr>
          <w:spacing w:val="-12"/>
          <w:sz w:val="20"/>
        </w:rPr>
        <w:t> </w:t>
      </w:r>
      <w:r>
        <w:rPr>
          <w:sz w:val="20"/>
        </w:rPr>
        <w:t>in</w:t>
      </w:r>
      <w:r>
        <w:rPr>
          <w:spacing w:val="-13"/>
          <w:sz w:val="20"/>
        </w:rPr>
        <w:t> </w:t>
      </w:r>
      <w:r>
        <w:rPr>
          <w:sz w:val="20"/>
        </w:rPr>
        <w:t>the</w:t>
      </w:r>
      <w:r>
        <w:rPr>
          <w:spacing w:val="-12"/>
          <w:sz w:val="20"/>
        </w:rPr>
        <w:t> </w:t>
      </w:r>
      <w:r>
        <w:rPr>
          <w:sz w:val="20"/>
        </w:rPr>
        <w:t>light</w:t>
      </w:r>
      <w:r>
        <w:rPr>
          <w:spacing w:val="-13"/>
          <w:sz w:val="20"/>
        </w:rPr>
        <w:t> </w:t>
      </w:r>
      <w:r>
        <w:rPr>
          <w:sz w:val="20"/>
        </w:rPr>
        <w:t>of</w:t>
      </w:r>
      <w:r>
        <w:rPr>
          <w:spacing w:val="-12"/>
          <w:sz w:val="20"/>
        </w:rPr>
        <w:t> </w:t>
      </w:r>
      <w:r>
        <w:rPr>
          <w:sz w:val="20"/>
        </w:rPr>
        <w:t>the</w:t>
      </w:r>
      <w:r>
        <w:rPr>
          <w:spacing w:val="-13"/>
          <w:sz w:val="20"/>
        </w:rPr>
        <w:t> </w:t>
      </w:r>
      <w:r>
        <w:rPr>
          <w:sz w:val="20"/>
        </w:rPr>
        <w:t>various</w:t>
      </w:r>
      <w:r>
        <w:rPr>
          <w:spacing w:val="-12"/>
          <w:sz w:val="20"/>
        </w:rPr>
        <w:t> </w:t>
      </w:r>
      <w:r>
        <w:rPr>
          <w:sz w:val="20"/>
        </w:rPr>
        <w:t>ongoing</w:t>
      </w:r>
      <w:r>
        <w:rPr>
          <w:spacing w:val="-13"/>
          <w:sz w:val="20"/>
        </w:rPr>
        <w:t> </w:t>
      </w:r>
      <w:r>
        <w:rPr>
          <w:sz w:val="20"/>
        </w:rPr>
        <w:t>trials.</w:t>
      </w:r>
      <w:r>
        <w:rPr>
          <w:spacing w:val="-12"/>
          <w:sz w:val="20"/>
        </w:rPr>
        <w:t> </w:t>
      </w:r>
      <w:r>
        <w:rPr>
          <w:sz w:val="20"/>
        </w:rPr>
        <w:t>An</w:t>
      </w:r>
      <w:r>
        <w:rPr>
          <w:spacing w:val="-13"/>
          <w:sz w:val="20"/>
        </w:rPr>
        <w:t> </w:t>
      </w:r>
      <w:r>
        <w:rPr>
          <w:sz w:val="20"/>
        </w:rPr>
        <w:t>increase</w:t>
      </w:r>
      <w:r>
        <w:rPr>
          <w:spacing w:val="-12"/>
          <w:sz w:val="20"/>
        </w:rPr>
        <w:t> </w:t>
      </w:r>
      <w:r>
        <w:rPr>
          <w:sz w:val="20"/>
        </w:rPr>
        <w:t>is</w:t>
      </w:r>
      <w:r>
        <w:rPr>
          <w:spacing w:val="-13"/>
          <w:sz w:val="20"/>
        </w:rPr>
        <w:t> </w:t>
      </w:r>
      <w:r>
        <w:rPr>
          <w:sz w:val="20"/>
        </w:rPr>
        <w:t>requested for the Registrar’s travel to the twenty-second session of the Assembly which is scheduled to convene in New York rather than The Hague.</w:t>
      </w:r>
    </w:p>
    <w:p>
      <w:pPr>
        <w:pStyle w:val="ListParagraph"/>
        <w:numPr>
          <w:ilvl w:val="0"/>
          <w:numId w:val="4"/>
        </w:numPr>
        <w:tabs>
          <w:tab w:pos="2967" w:val="left" w:leader="none"/>
        </w:tabs>
        <w:spacing w:line="240" w:lineRule="auto" w:before="122" w:after="0"/>
        <w:ind w:left="2246" w:right="2241" w:firstLine="0"/>
        <w:jc w:val="both"/>
        <w:rPr>
          <w:sz w:val="20"/>
        </w:rPr>
      </w:pPr>
      <w:r>
        <w:rPr>
          <w:sz w:val="20"/>
        </w:rPr>
        <w:t>The requested amount for the RLO has increased by €18.6 thousand. The RLO’s proposed travel budget of €27.0 thousand will cover travel and related expenses incurred in the</w:t>
      </w:r>
      <w:r>
        <w:rPr>
          <w:spacing w:val="-2"/>
          <w:sz w:val="20"/>
        </w:rPr>
        <w:t> </w:t>
      </w:r>
      <w:r>
        <w:rPr>
          <w:sz w:val="20"/>
        </w:rPr>
        <w:t>performance</w:t>
      </w:r>
      <w:r>
        <w:rPr>
          <w:spacing w:val="-2"/>
          <w:sz w:val="20"/>
        </w:rPr>
        <w:t> </w:t>
      </w:r>
      <w:r>
        <w:rPr>
          <w:sz w:val="20"/>
        </w:rPr>
        <w:t>its</w:t>
      </w:r>
      <w:r>
        <w:rPr>
          <w:spacing w:val="-5"/>
          <w:sz w:val="20"/>
        </w:rPr>
        <w:t> </w:t>
      </w:r>
      <w:r>
        <w:rPr>
          <w:sz w:val="20"/>
        </w:rPr>
        <w:t>mandate, including (i) attendance</w:t>
      </w:r>
      <w:r>
        <w:rPr>
          <w:spacing w:val="-2"/>
          <w:sz w:val="20"/>
        </w:rPr>
        <w:t> </w:t>
      </w:r>
      <w:r>
        <w:rPr>
          <w:sz w:val="20"/>
        </w:rPr>
        <w:t>at</w:t>
      </w:r>
      <w:r>
        <w:rPr>
          <w:spacing w:val="-2"/>
          <w:sz w:val="20"/>
        </w:rPr>
        <w:t> </w:t>
      </w:r>
      <w:r>
        <w:rPr>
          <w:sz w:val="20"/>
        </w:rPr>
        <w:t>the</w:t>
      </w:r>
      <w:r>
        <w:rPr>
          <w:spacing w:val="-2"/>
          <w:sz w:val="20"/>
        </w:rPr>
        <w:t> </w:t>
      </w:r>
      <w:r>
        <w:rPr>
          <w:sz w:val="20"/>
        </w:rPr>
        <w:t>annual</w:t>
      </w:r>
      <w:r>
        <w:rPr>
          <w:spacing w:val="-2"/>
          <w:sz w:val="20"/>
        </w:rPr>
        <w:t> </w:t>
      </w:r>
      <w:r>
        <w:rPr>
          <w:sz w:val="20"/>
        </w:rPr>
        <w:t>meeting of</w:t>
      </w:r>
      <w:r>
        <w:rPr>
          <w:spacing w:val="-4"/>
          <w:sz w:val="20"/>
        </w:rPr>
        <w:t> </w:t>
      </w:r>
      <w:r>
        <w:rPr>
          <w:sz w:val="20"/>
        </w:rPr>
        <w:t>legal counsel of specialized agencies of the United Nations system and related organizations; and (ii) implementation of judicial decisions regarding the certification of prior recorded testimony pursuant</w:t>
      </w:r>
      <w:r>
        <w:rPr>
          <w:spacing w:val="-3"/>
          <w:sz w:val="20"/>
        </w:rPr>
        <w:t> </w:t>
      </w:r>
      <w:r>
        <w:rPr>
          <w:sz w:val="20"/>
        </w:rPr>
        <w:t>to</w:t>
      </w:r>
      <w:r>
        <w:rPr>
          <w:spacing w:val="-8"/>
          <w:sz w:val="20"/>
        </w:rPr>
        <w:t> </w:t>
      </w:r>
      <w:r>
        <w:rPr>
          <w:sz w:val="20"/>
        </w:rPr>
        <w:t>rule</w:t>
      </w:r>
      <w:r>
        <w:rPr>
          <w:spacing w:val="-3"/>
          <w:sz w:val="20"/>
        </w:rPr>
        <w:t> </w:t>
      </w:r>
      <w:r>
        <w:rPr>
          <w:sz w:val="20"/>
        </w:rPr>
        <w:t>68(2)(b)</w:t>
      </w:r>
      <w:r>
        <w:rPr>
          <w:spacing w:val="-8"/>
          <w:sz w:val="20"/>
        </w:rPr>
        <w:t> </w:t>
      </w:r>
      <w:r>
        <w:rPr>
          <w:sz w:val="20"/>
        </w:rPr>
        <w:t>of</w:t>
      </w:r>
      <w:r>
        <w:rPr>
          <w:spacing w:val="-4"/>
          <w:sz w:val="20"/>
        </w:rPr>
        <w:t> </w:t>
      </w:r>
      <w:r>
        <w:rPr>
          <w:sz w:val="20"/>
        </w:rPr>
        <w:t>the</w:t>
      </w:r>
      <w:r>
        <w:rPr>
          <w:spacing w:val="-7"/>
          <w:sz w:val="20"/>
        </w:rPr>
        <w:t> </w:t>
      </w:r>
      <w:r>
        <w:rPr>
          <w:sz w:val="20"/>
        </w:rPr>
        <w:t>Rules</w:t>
      </w:r>
      <w:r>
        <w:rPr>
          <w:spacing w:val="-5"/>
          <w:sz w:val="20"/>
        </w:rPr>
        <w:t> </w:t>
      </w:r>
      <w:r>
        <w:rPr>
          <w:sz w:val="20"/>
        </w:rPr>
        <w:t>of</w:t>
      </w:r>
      <w:r>
        <w:rPr>
          <w:spacing w:val="-4"/>
          <w:sz w:val="20"/>
        </w:rPr>
        <w:t> </w:t>
      </w:r>
      <w:r>
        <w:rPr>
          <w:sz w:val="20"/>
        </w:rPr>
        <w:t>Procedure</w:t>
      </w:r>
      <w:r>
        <w:rPr>
          <w:spacing w:val="-7"/>
          <w:sz w:val="20"/>
        </w:rPr>
        <w:t> </w:t>
      </w:r>
      <w:r>
        <w:rPr>
          <w:sz w:val="20"/>
        </w:rPr>
        <w:t>and</w:t>
      </w:r>
      <w:r>
        <w:rPr>
          <w:spacing w:val="-8"/>
          <w:sz w:val="20"/>
        </w:rPr>
        <w:t> </w:t>
      </w:r>
      <w:r>
        <w:rPr>
          <w:sz w:val="20"/>
        </w:rPr>
        <w:t>Evidence.</w:t>
      </w:r>
      <w:r>
        <w:rPr>
          <w:spacing w:val="-6"/>
          <w:sz w:val="20"/>
        </w:rPr>
        <w:t> </w:t>
      </w:r>
      <w:r>
        <w:rPr>
          <w:sz w:val="20"/>
        </w:rPr>
        <w:t>The</w:t>
      </w:r>
      <w:r>
        <w:rPr>
          <w:spacing w:val="-3"/>
          <w:sz w:val="20"/>
        </w:rPr>
        <w:t> </w:t>
      </w:r>
      <w:r>
        <w:rPr>
          <w:sz w:val="20"/>
        </w:rPr>
        <w:t>significant</w:t>
      </w:r>
      <w:r>
        <w:rPr>
          <w:spacing w:val="-3"/>
          <w:sz w:val="20"/>
        </w:rPr>
        <w:t> </w:t>
      </w:r>
      <w:r>
        <w:rPr>
          <w:sz w:val="20"/>
        </w:rPr>
        <w:t>increase</w:t>
      </w:r>
      <w:r>
        <w:rPr>
          <w:spacing w:val="-7"/>
          <w:sz w:val="20"/>
        </w:rPr>
        <w:t> </w:t>
      </w:r>
      <w:r>
        <w:rPr>
          <w:sz w:val="20"/>
        </w:rPr>
        <w:t>in travel requirements is exclusively due to the unprecedentedly high number of missions the RLO</w:t>
      </w:r>
      <w:r>
        <w:rPr>
          <w:spacing w:val="-13"/>
          <w:sz w:val="20"/>
        </w:rPr>
        <w:t> </w:t>
      </w:r>
      <w:r>
        <w:rPr>
          <w:sz w:val="20"/>
        </w:rPr>
        <w:t>is</w:t>
      </w:r>
      <w:r>
        <w:rPr>
          <w:spacing w:val="-12"/>
          <w:sz w:val="20"/>
        </w:rPr>
        <w:t> </w:t>
      </w:r>
      <w:r>
        <w:rPr>
          <w:sz w:val="20"/>
        </w:rPr>
        <w:t>expected</w:t>
      </w:r>
      <w:r>
        <w:rPr>
          <w:spacing w:val="-13"/>
          <w:sz w:val="20"/>
        </w:rPr>
        <w:t> </w:t>
      </w:r>
      <w:r>
        <w:rPr>
          <w:sz w:val="20"/>
        </w:rPr>
        <w:t>to</w:t>
      </w:r>
      <w:r>
        <w:rPr>
          <w:spacing w:val="-12"/>
          <w:sz w:val="20"/>
        </w:rPr>
        <w:t> </w:t>
      </w:r>
      <w:r>
        <w:rPr>
          <w:sz w:val="20"/>
        </w:rPr>
        <w:t>conduct</w:t>
      </w:r>
      <w:r>
        <w:rPr>
          <w:spacing w:val="-13"/>
          <w:sz w:val="20"/>
        </w:rPr>
        <w:t> </w:t>
      </w:r>
      <w:r>
        <w:rPr>
          <w:sz w:val="20"/>
        </w:rPr>
        <w:t>for</w:t>
      </w:r>
      <w:r>
        <w:rPr>
          <w:spacing w:val="-12"/>
          <w:sz w:val="20"/>
        </w:rPr>
        <w:t> </w:t>
      </w:r>
      <w:r>
        <w:rPr>
          <w:sz w:val="20"/>
        </w:rPr>
        <w:t>the</w:t>
      </w:r>
      <w:r>
        <w:rPr>
          <w:spacing w:val="-12"/>
          <w:sz w:val="20"/>
        </w:rPr>
        <w:t> </w:t>
      </w:r>
      <w:r>
        <w:rPr>
          <w:sz w:val="20"/>
        </w:rPr>
        <w:t>certification</w:t>
      </w:r>
      <w:r>
        <w:rPr>
          <w:spacing w:val="-13"/>
          <w:sz w:val="20"/>
        </w:rPr>
        <w:t> </w:t>
      </w:r>
      <w:r>
        <w:rPr>
          <w:sz w:val="20"/>
        </w:rPr>
        <w:t>of</w:t>
      </w:r>
      <w:r>
        <w:rPr>
          <w:spacing w:val="-12"/>
          <w:sz w:val="20"/>
        </w:rPr>
        <w:t> </w:t>
      </w:r>
      <w:r>
        <w:rPr>
          <w:sz w:val="20"/>
        </w:rPr>
        <w:t>prior</w:t>
      </w:r>
      <w:r>
        <w:rPr>
          <w:spacing w:val="-13"/>
          <w:sz w:val="20"/>
        </w:rPr>
        <w:t> </w:t>
      </w:r>
      <w:r>
        <w:rPr>
          <w:sz w:val="20"/>
        </w:rPr>
        <w:t>recorded</w:t>
      </w:r>
      <w:r>
        <w:rPr>
          <w:spacing w:val="-12"/>
          <w:sz w:val="20"/>
        </w:rPr>
        <w:t> </w:t>
      </w:r>
      <w:r>
        <w:rPr>
          <w:sz w:val="20"/>
        </w:rPr>
        <w:t>testimonies</w:t>
      </w:r>
      <w:r>
        <w:rPr>
          <w:spacing w:val="-13"/>
          <w:sz w:val="20"/>
        </w:rPr>
        <w:t> </w:t>
      </w:r>
      <w:r>
        <w:rPr>
          <w:sz w:val="20"/>
        </w:rPr>
        <w:t>in</w:t>
      </w:r>
      <w:r>
        <w:rPr>
          <w:spacing w:val="-12"/>
          <w:sz w:val="20"/>
        </w:rPr>
        <w:t> </w:t>
      </w:r>
      <w:r>
        <w:rPr>
          <w:sz w:val="20"/>
        </w:rPr>
        <w:t>the</w:t>
      </w:r>
      <w:r>
        <w:rPr>
          <w:spacing w:val="-11"/>
          <w:sz w:val="20"/>
        </w:rPr>
        <w:t> </w:t>
      </w:r>
      <w:r>
        <w:rPr>
          <w:sz w:val="20"/>
        </w:rPr>
        <w:t>five</w:t>
      </w:r>
      <w:r>
        <w:rPr>
          <w:spacing w:val="-11"/>
          <w:sz w:val="20"/>
        </w:rPr>
        <w:t> </w:t>
      </w:r>
      <w:r>
        <w:rPr>
          <w:sz w:val="20"/>
        </w:rPr>
        <w:t>cases expected to be in the trial phase in 2023.</w:t>
      </w:r>
    </w:p>
    <w:p>
      <w:pPr>
        <w:pStyle w:val="BodyText"/>
        <w:spacing w:before="10"/>
      </w:pPr>
    </w:p>
    <w:p>
      <w:pPr>
        <w:tabs>
          <w:tab w:pos="6241" w:val="left" w:leader="none"/>
        </w:tabs>
        <w:spacing w:before="0"/>
        <w:ind w:left="3" w:right="0" w:firstLine="0"/>
        <w:jc w:val="center"/>
        <w:rPr>
          <w:i/>
          <w:sz w:val="20"/>
        </w:rPr>
      </w:pPr>
      <w:r>
        <w:rPr>
          <w:i/>
          <w:spacing w:val="-2"/>
          <w:sz w:val="20"/>
        </w:rPr>
        <w:t>Hospitality</w:t>
      </w:r>
      <w:r>
        <w:rPr>
          <w:i/>
          <w:sz w:val="20"/>
        </w:rPr>
        <w:tab/>
        <w:t>€4.0</w:t>
      </w:r>
      <w:r>
        <w:rPr>
          <w:i/>
          <w:spacing w:val="-3"/>
          <w:sz w:val="20"/>
        </w:rPr>
        <w:t> </w:t>
      </w:r>
      <w:r>
        <w:rPr>
          <w:i/>
          <w:spacing w:val="-2"/>
          <w:sz w:val="20"/>
        </w:rPr>
        <w:t>thousand</w:t>
      </w:r>
    </w:p>
    <w:p>
      <w:pPr>
        <w:pStyle w:val="BodyText"/>
        <w:spacing w:before="10"/>
        <w:rPr>
          <w:i/>
        </w:rPr>
      </w:pPr>
    </w:p>
    <w:p>
      <w:pPr>
        <w:pStyle w:val="ListParagraph"/>
        <w:numPr>
          <w:ilvl w:val="0"/>
          <w:numId w:val="4"/>
        </w:numPr>
        <w:tabs>
          <w:tab w:pos="2967" w:val="left" w:leader="none"/>
        </w:tabs>
        <w:spacing w:line="240" w:lineRule="auto" w:before="1" w:after="0"/>
        <w:ind w:left="2246" w:right="2242" w:firstLine="0"/>
        <w:jc w:val="both"/>
        <w:rPr>
          <w:sz w:val="20"/>
        </w:rPr>
      </w:pPr>
      <w:r>
        <w:rPr>
          <w:sz w:val="20"/>
        </w:rPr>
        <w:t>The proposed budget for hospitality remains unchanged. A limited hospitality budget is necessary for the purposes of increasing support and cooperation among States Parties and key external parties. These resources are recurrent.</w:t>
      </w:r>
    </w:p>
    <w:p>
      <w:pPr>
        <w:pStyle w:val="BodyText"/>
        <w:spacing w:before="11"/>
      </w:pPr>
    </w:p>
    <w:p>
      <w:pPr>
        <w:tabs>
          <w:tab w:pos="6140" w:val="left" w:leader="none"/>
        </w:tabs>
        <w:spacing w:before="0"/>
        <w:ind w:left="3" w:right="0" w:firstLine="0"/>
        <w:jc w:val="center"/>
        <w:rPr>
          <w:i/>
          <w:sz w:val="20"/>
        </w:rPr>
      </w:pPr>
      <w:r>
        <w:rPr>
          <w:i/>
          <w:spacing w:val="-2"/>
          <w:sz w:val="20"/>
        </w:rPr>
        <w:t>Training</w:t>
      </w:r>
      <w:r>
        <w:rPr>
          <w:i/>
          <w:sz w:val="20"/>
        </w:rPr>
        <w:tab/>
        <w:t>€36.8</w:t>
      </w:r>
      <w:r>
        <w:rPr>
          <w:i/>
          <w:spacing w:val="-3"/>
          <w:sz w:val="20"/>
        </w:rPr>
        <w:t> </w:t>
      </w:r>
      <w:r>
        <w:rPr>
          <w:i/>
          <w:spacing w:val="-2"/>
          <w:sz w:val="20"/>
        </w:rPr>
        <w:t>thousand</w:t>
      </w:r>
    </w:p>
    <w:p>
      <w:pPr>
        <w:pStyle w:val="BodyText"/>
        <w:spacing w:before="11"/>
        <w:rPr>
          <w:i/>
        </w:rPr>
      </w:pPr>
    </w:p>
    <w:p>
      <w:pPr>
        <w:pStyle w:val="ListParagraph"/>
        <w:numPr>
          <w:ilvl w:val="0"/>
          <w:numId w:val="4"/>
        </w:numPr>
        <w:tabs>
          <w:tab w:pos="2967" w:val="left" w:leader="none"/>
        </w:tabs>
        <w:spacing w:line="240" w:lineRule="auto" w:before="0" w:after="0"/>
        <w:ind w:left="2246" w:right="2247" w:firstLine="0"/>
        <w:jc w:val="both"/>
        <w:rPr>
          <w:sz w:val="20"/>
        </w:rPr>
      </w:pPr>
      <w:r>
        <w:rPr>
          <w:sz w:val="20"/>
        </w:rPr>
        <w:t>The</w:t>
      </w:r>
      <w:r>
        <w:rPr>
          <w:spacing w:val="-13"/>
          <w:sz w:val="20"/>
        </w:rPr>
        <w:t> </w:t>
      </w:r>
      <w:r>
        <w:rPr>
          <w:sz w:val="20"/>
        </w:rPr>
        <w:t>recurrent</w:t>
      </w:r>
      <w:r>
        <w:rPr>
          <w:spacing w:val="-12"/>
          <w:sz w:val="20"/>
        </w:rPr>
        <w:t> </w:t>
      </w:r>
      <w:r>
        <w:rPr>
          <w:sz w:val="20"/>
        </w:rPr>
        <w:t>proposed</w:t>
      </w:r>
      <w:r>
        <w:rPr>
          <w:spacing w:val="-9"/>
          <w:sz w:val="20"/>
        </w:rPr>
        <w:t> </w:t>
      </w:r>
      <w:r>
        <w:rPr>
          <w:sz w:val="20"/>
        </w:rPr>
        <w:t>training</w:t>
      </w:r>
      <w:r>
        <w:rPr>
          <w:spacing w:val="-13"/>
          <w:sz w:val="20"/>
        </w:rPr>
        <w:t> </w:t>
      </w:r>
      <w:r>
        <w:rPr>
          <w:sz w:val="20"/>
        </w:rPr>
        <w:t>budget</w:t>
      </w:r>
      <w:r>
        <w:rPr>
          <w:spacing w:val="-12"/>
          <w:sz w:val="20"/>
        </w:rPr>
        <w:t> </w:t>
      </w:r>
      <w:r>
        <w:rPr>
          <w:sz w:val="20"/>
        </w:rPr>
        <w:t>for</w:t>
      </w:r>
      <w:r>
        <w:rPr>
          <w:spacing w:val="-13"/>
          <w:sz w:val="20"/>
        </w:rPr>
        <w:t> </w:t>
      </w:r>
      <w:r>
        <w:rPr>
          <w:sz w:val="20"/>
        </w:rPr>
        <w:t>the</w:t>
      </w:r>
      <w:r>
        <w:rPr>
          <w:spacing w:val="-11"/>
          <w:sz w:val="20"/>
        </w:rPr>
        <w:t> </w:t>
      </w:r>
      <w:r>
        <w:rPr>
          <w:sz w:val="20"/>
        </w:rPr>
        <w:t>OTR,</w:t>
      </w:r>
      <w:r>
        <w:rPr>
          <w:spacing w:val="-11"/>
          <w:sz w:val="20"/>
        </w:rPr>
        <w:t> </w:t>
      </w:r>
      <w:r>
        <w:rPr>
          <w:sz w:val="20"/>
        </w:rPr>
        <w:t>excluding</w:t>
      </w:r>
      <w:r>
        <w:rPr>
          <w:spacing w:val="-8"/>
          <w:sz w:val="20"/>
        </w:rPr>
        <w:t> </w:t>
      </w:r>
      <w:r>
        <w:rPr>
          <w:sz w:val="20"/>
        </w:rPr>
        <w:t>the</w:t>
      </w:r>
      <w:r>
        <w:rPr>
          <w:spacing w:val="-7"/>
          <w:sz w:val="20"/>
        </w:rPr>
        <w:t> </w:t>
      </w:r>
      <w:r>
        <w:rPr>
          <w:sz w:val="20"/>
        </w:rPr>
        <w:t>training</w:t>
      </w:r>
      <w:r>
        <w:rPr>
          <w:spacing w:val="-13"/>
          <w:sz w:val="20"/>
        </w:rPr>
        <w:t> </w:t>
      </w:r>
      <w:r>
        <w:rPr>
          <w:sz w:val="20"/>
        </w:rPr>
        <w:t>costs</w:t>
      </w:r>
      <w:r>
        <w:rPr>
          <w:spacing w:val="-12"/>
          <w:sz w:val="20"/>
        </w:rPr>
        <w:t> </w:t>
      </w:r>
      <w:r>
        <w:rPr>
          <w:sz w:val="20"/>
        </w:rPr>
        <w:t>for the Focal Point for Gender Equality, remains unchanged from that approved for 2022. The amount</w:t>
      </w:r>
      <w:r>
        <w:rPr>
          <w:spacing w:val="-13"/>
          <w:sz w:val="20"/>
        </w:rPr>
        <w:t> </w:t>
      </w:r>
      <w:r>
        <w:rPr>
          <w:sz w:val="20"/>
        </w:rPr>
        <w:t>is</w:t>
      </w:r>
      <w:r>
        <w:rPr>
          <w:spacing w:val="-12"/>
          <w:sz w:val="20"/>
        </w:rPr>
        <w:t> </w:t>
      </w:r>
      <w:r>
        <w:rPr>
          <w:sz w:val="20"/>
        </w:rPr>
        <w:t>required</w:t>
      </w:r>
      <w:r>
        <w:rPr>
          <w:spacing w:val="-13"/>
          <w:sz w:val="20"/>
        </w:rPr>
        <w:t> </w:t>
      </w:r>
      <w:r>
        <w:rPr>
          <w:sz w:val="20"/>
        </w:rPr>
        <w:t>to</w:t>
      </w:r>
      <w:r>
        <w:rPr>
          <w:spacing w:val="-12"/>
          <w:sz w:val="20"/>
        </w:rPr>
        <w:t> </w:t>
      </w:r>
      <w:r>
        <w:rPr>
          <w:sz w:val="20"/>
        </w:rPr>
        <w:t>cover</w:t>
      </w:r>
      <w:r>
        <w:rPr>
          <w:spacing w:val="-13"/>
          <w:sz w:val="20"/>
        </w:rPr>
        <w:t> </w:t>
      </w:r>
      <w:r>
        <w:rPr>
          <w:sz w:val="20"/>
        </w:rPr>
        <w:t>the</w:t>
      </w:r>
      <w:r>
        <w:rPr>
          <w:spacing w:val="-12"/>
          <w:sz w:val="20"/>
        </w:rPr>
        <w:t> </w:t>
      </w:r>
      <w:r>
        <w:rPr>
          <w:sz w:val="20"/>
        </w:rPr>
        <w:t>training</w:t>
      </w:r>
      <w:r>
        <w:rPr>
          <w:spacing w:val="-13"/>
          <w:sz w:val="20"/>
        </w:rPr>
        <w:t> </w:t>
      </w:r>
      <w:r>
        <w:rPr>
          <w:sz w:val="20"/>
        </w:rPr>
        <w:t>needs</w:t>
      </w:r>
      <w:r>
        <w:rPr>
          <w:spacing w:val="-12"/>
          <w:sz w:val="20"/>
        </w:rPr>
        <w:t> </w:t>
      </w:r>
      <w:r>
        <w:rPr>
          <w:sz w:val="20"/>
        </w:rPr>
        <w:t>of</w:t>
      </w:r>
      <w:r>
        <w:rPr>
          <w:spacing w:val="-13"/>
          <w:sz w:val="20"/>
        </w:rPr>
        <w:t> </w:t>
      </w:r>
      <w:r>
        <w:rPr>
          <w:sz w:val="20"/>
        </w:rPr>
        <w:t>RLO</w:t>
      </w:r>
      <w:r>
        <w:rPr>
          <w:spacing w:val="-12"/>
          <w:sz w:val="20"/>
        </w:rPr>
        <w:t> </w:t>
      </w:r>
      <w:r>
        <w:rPr>
          <w:sz w:val="20"/>
        </w:rPr>
        <w:t>staff.</w:t>
      </w:r>
      <w:r>
        <w:rPr>
          <w:spacing w:val="-13"/>
          <w:sz w:val="20"/>
        </w:rPr>
        <w:t> </w:t>
      </w:r>
      <w:r>
        <w:rPr>
          <w:sz w:val="20"/>
        </w:rPr>
        <w:t>In</w:t>
      </w:r>
      <w:r>
        <w:rPr>
          <w:spacing w:val="-12"/>
          <w:sz w:val="20"/>
        </w:rPr>
        <w:t> </w:t>
      </w:r>
      <w:r>
        <w:rPr>
          <w:sz w:val="20"/>
        </w:rPr>
        <w:t>the</w:t>
      </w:r>
      <w:r>
        <w:rPr>
          <w:spacing w:val="-13"/>
          <w:sz w:val="20"/>
        </w:rPr>
        <w:t> </w:t>
      </w:r>
      <w:r>
        <w:rPr>
          <w:sz w:val="20"/>
        </w:rPr>
        <w:t>light</w:t>
      </w:r>
      <w:r>
        <w:rPr>
          <w:spacing w:val="-12"/>
          <w:sz w:val="20"/>
        </w:rPr>
        <w:t> </w:t>
      </w:r>
      <w:r>
        <w:rPr>
          <w:sz w:val="20"/>
        </w:rPr>
        <w:t>of</w:t>
      </w:r>
      <w:r>
        <w:rPr>
          <w:spacing w:val="-13"/>
          <w:sz w:val="20"/>
        </w:rPr>
        <w:t> </w:t>
      </w:r>
      <w:r>
        <w:rPr>
          <w:sz w:val="20"/>
        </w:rPr>
        <w:t>the</w:t>
      </w:r>
      <w:r>
        <w:rPr>
          <w:spacing w:val="-12"/>
          <w:sz w:val="20"/>
        </w:rPr>
        <w:t> </w:t>
      </w:r>
      <w:r>
        <w:rPr>
          <w:sz w:val="20"/>
        </w:rPr>
        <w:t>RLO’s</w:t>
      </w:r>
      <w:r>
        <w:rPr>
          <w:spacing w:val="-13"/>
          <w:sz w:val="20"/>
        </w:rPr>
        <w:t> </w:t>
      </w:r>
      <w:r>
        <w:rPr>
          <w:sz w:val="20"/>
        </w:rPr>
        <w:t>complex and broad mandate, it is imperative to invest in both substance and skills-based training.</w:t>
      </w:r>
    </w:p>
    <w:p>
      <w:pPr>
        <w:pStyle w:val="ListParagraph"/>
        <w:numPr>
          <w:ilvl w:val="0"/>
          <w:numId w:val="4"/>
        </w:numPr>
        <w:tabs>
          <w:tab w:pos="2967" w:val="left" w:leader="none"/>
        </w:tabs>
        <w:spacing w:line="240" w:lineRule="auto" w:before="117" w:after="0"/>
        <w:ind w:left="2246" w:right="2239" w:firstLine="0"/>
        <w:jc w:val="both"/>
        <w:rPr>
          <w:sz w:val="20"/>
        </w:rPr>
      </w:pPr>
      <w:r>
        <w:rPr>
          <w:spacing w:val="-2"/>
          <w:sz w:val="20"/>
        </w:rPr>
        <w:t>The</w:t>
      </w:r>
      <w:r>
        <w:rPr>
          <w:spacing w:val="-13"/>
          <w:sz w:val="20"/>
        </w:rPr>
        <w:t> </w:t>
      </w:r>
      <w:r>
        <w:rPr>
          <w:spacing w:val="-2"/>
          <w:sz w:val="20"/>
        </w:rPr>
        <w:t>overall</w:t>
      </w:r>
      <w:r>
        <w:rPr>
          <w:spacing w:val="-10"/>
          <w:sz w:val="20"/>
        </w:rPr>
        <w:t> </w:t>
      </w:r>
      <w:r>
        <w:rPr>
          <w:spacing w:val="-2"/>
          <w:sz w:val="20"/>
        </w:rPr>
        <w:t>proposed</w:t>
      </w:r>
      <w:r>
        <w:rPr>
          <w:spacing w:val="-11"/>
          <w:sz w:val="20"/>
        </w:rPr>
        <w:t> </w:t>
      </w:r>
      <w:r>
        <w:rPr>
          <w:spacing w:val="-2"/>
          <w:sz w:val="20"/>
        </w:rPr>
        <w:t>increase</w:t>
      </w:r>
      <w:r>
        <w:rPr>
          <w:spacing w:val="-10"/>
          <w:sz w:val="20"/>
        </w:rPr>
        <w:t> </w:t>
      </w:r>
      <w:r>
        <w:rPr>
          <w:spacing w:val="-2"/>
          <w:sz w:val="20"/>
        </w:rPr>
        <w:t>reflects</w:t>
      </w:r>
      <w:r>
        <w:rPr>
          <w:spacing w:val="-11"/>
          <w:sz w:val="20"/>
        </w:rPr>
        <w:t> </w:t>
      </w:r>
      <w:r>
        <w:rPr>
          <w:spacing w:val="-2"/>
          <w:sz w:val="20"/>
        </w:rPr>
        <w:t>changes</w:t>
      </w:r>
      <w:r>
        <w:rPr>
          <w:spacing w:val="-10"/>
          <w:sz w:val="20"/>
        </w:rPr>
        <w:t> </w:t>
      </w:r>
      <w:r>
        <w:rPr>
          <w:spacing w:val="-2"/>
          <w:sz w:val="20"/>
        </w:rPr>
        <w:t>related</w:t>
      </w:r>
      <w:r>
        <w:rPr>
          <w:spacing w:val="-11"/>
          <w:sz w:val="20"/>
        </w:rPr>
        <w:t> </w:t>
      </w:r>
      <w:r>
        <w:rPr>
          <w:spacing w:val="-2"/>
          <w:sz w:val="20"/>
        </w:rPr>
        <w:t>to</w:t>
      </w:r>
      <w:r>
        <w:rPr>
          <w:spacing w:val="-10"/>
          <w:sz w:val="20"/>
        </w:rPr>
        <w:t> </w:t>
      </w:r>
      <w:r>
        <w:rPr>
          <w:spacing w:val="-2"/>
          <w:sz w:val="20"/>
        </w:rPr>
        <w:t>the</w:t>
      </w:r>
      <w:r>
        <w:rPr>
          <w:spacing w:val="-11"/>
          <w:sz w:val="20"/>
        </w:rPr>
        <w:t> </w:t>
      </w:r>
      <w:r>
        <w:rPr>
          <w:spacing w:val="-2"/>
          <w:sz w:val="20"/>
        </w:rPr>
        <w:t>integration</w:t>
      </w:r>
      <w:r>
        <w:rPr>
          <w:spacing w:val="-10"/>
          <w:sz w:val="20"/>
        </w:rPr>
        <w:t> </w:t>
      </w:r>
      <w:r>
        <w:rPr>
          <w:spacing w:val="-2"/>
          <w:sz w:val="20"/>
        </w:rPr>
        <w:t>of</w:t>
      </w:r>
      <w:r>
        <w:rPr>
          <w:spacing w:val="-11"/>
          <w:sz w:val="20"/>
        </w:rPr>
        <w:t> </w:t>
      </w:r>
      <w:r>
        <w:rPr>
          <w:spacing w:val="-2"/>
          <w:sz w:val="20"/>
        </w:rPr>
        <w:t>the</w:t>
      </w:r>
      <w:r>
        <w:rPr>
          <w:spacing w:val="-10"/>
          <w:sz w:val="20"/>
        </w:rPr>
        <w:t> </w:t>
      </w:r>
      <w:r>
        <w:rPr>
          <w:spacing w:val="-2"/>
          <w:sz w:val="20"/>
        </w:rPr>
        <w:t>training </w:t>
      </w:r>
      <w:r>
        <w:rPr>
          <w:spacing w:val="-4"/>
          <w:sz w:val="20"/>
        </w:rPr>
        <w:t>for</w:t>
      </w:r>
      <w:r>
        <w:rPr>
          <w:spacing w:val="-7"/>
          <w:sz w:val="20"/>
        </w:rPr>
        <w:t> </w:t>
      </w:r>
      <w:r>
        <w:rPr>
          <w:spacing w:val="-4"/>
          <w:sz w:val="20"/>
        </w:rPr>
        <w:t>the</w:t>
      </w:r>
      <w:r>
        <w:rPr>
          <w:spacing w:val="-5"/>
          <w:sz w:val="20"/>
        </w:rPr>
        <w:t> </w:t>
      </w:r>
      <w:r>
        <w:rPr>
          <w:spacing w:val="-4"/>
          <w:sz w:val="20"/>
        </w:rPr>
        <w:t>Focal</w:t>
      </w:r>
      <w:r>
        <w:rPr>
          <w:spacing w:val="-5"/>
          <w:sz w:val="20"/>
        </w:rPr>
        <w:t> </w:t>
      </w:r>
      <w:r>
        <w:rPr>
          <w:spacing w:val="-4"/>
          <w:sz w:val="20"/>
        </w:rPr>
        <w:t>Point</w:t>
      </w:r>
      <w:r>
        <w:rPr>
          <w:spacing w:val="-5"/>
          <w:sz w:val="20"/>
        </w:rPr>
        <w:t> </w:t>
      </w:r>
      <w:r>
        <w:rPr>
          <w:spacing w:val="-4"/>
          <w:sz w:val="20"/>
        </w:rPr>
        <w:t>for</w:t>
      </w:r>
      <w:r>
        <w:rPr>
          <w:spacing w:val="-1"/>
          <w:sz w:val="20"/>
        </w:rPr>
        <w:t> </w:t>
      </w:r>
      <w:r>
        <w:rPr>
          <w:spacing w:val="-4"/>
          <w:sz w:val="20"/>
        </w:rPr>
        <w:t>Gender</w:t>
      </w:r>
      <w:r>
        <w:rPr>
          <w:spacing w:val="-7"/>
          <w:sz w:val="20"/>
        </w:rPr>
        <w:t> </w:t>
      </w:r>
      <w:r>
        <w:rPr>
          <w:spacing w:val="-4"/>
          <w:sz w:val="20"/>
        </w:rPr>
        <w:t>Equality</w:t>
      </w:r>
      <w:r>
        <w:rPr>
          <w:spacing w:val="-7"/>
          <w:sz w:val="20"/>
        </w:rPr>
        <w:t> </w:t>
      </w:r>
      <w:r>
        <w:rPr>
          <w:spacing w:val="-4"/>
          <w:sz w:val="20"/>
        </w:rPr>
        <w:t>in</w:t>
      </w:r>
      <w:r>
        <w:rPr>
          <w:spacing w:val="-7"/>
          <w:sz w:val="20"/>
        </w:rPr>
        <w:t> </w:t>
      </w:r>
      <w:r>
        <w:rPr>
          <w:spacing w:val="-4"/>
          <w:sz w:val="20"/>
        </w:rPr>
        <w:t>the</w:t>
      </w:r>
      <w:r>
        <w:rPr>
          <w:spacing w:val="-5"/>
          <w:sz w:val="20"/>
        </w:rPr>
        <w:t> </w:t>
      </w:r>
      <w:r>
        <w:rPr>
          <w:spacing w:val="-4"/>
          <w:sz w:val="20"/>
        </w:rPr>
        <w:t>OTR</w:t>
      </w:r>
      <w:r>
        <w:rPr>
          <w:spacing w:val="-7"/>
          <w:sz w:val="20"/>
        </w:rPr>
        <w:t> </w:t>
      </w:r>
      <w:r>
        <w:rPr>
          <w:spacing w:val="-4"/>
          <w:sz w:val="20"/>
        </w:rPr>
        <w:t>budget</w:t>
      </w:r>
      <w:r>
        <w:rPr>
          <w:spacing w:val="-5"/>
          <w:sz w:val="20"/>
        </w:rPr>
        <w:t> </w:t>
      </w:r>
      <w:r>
        <w:rPr>
          <w:spacing w:val="-4"/>
          <w:sz w:val="20"/>
        </w:rPr>
        <w:t>in</w:t>
      </w:r>
      <w:r>
        <w:rPr>
          <w:spacing w:val="-7"/>
          <w:sz w:val="20"/>
        </w:rPr>
        <w:t> </w:t>
      </w:r>
      <w:r>
        <w:rPr>
          <w:spacing w:val="-4"/>
          <w:sz w:val="20"/>
        </w:rPr>
        <w:t>2023,</w:t>
      </w:r>
      <w:r>
        <w:rPr>
          <w:spacing w:val="-5"/>
          <w:sz w:val="20"/>
        </w:rPr>
        <w:t> </w:t>
      </w:r>
      <w:r>
        <w:rPr>
          <w:spacing w:val="-4"/>
          <w:sz w:val="20"/>
        </w:rPr>
        <w:t>instead</w:t>
      </w:r>
      <w:r>
        <w:rPr>
          <w:spacing w:val="-7"/>
          <w:sz w:val="20"/>
        </w:rPr>
        <w:t> </w:t>
      </w:r>
      <w:r>
        <w:rPr>
          <w:spacing w:val="-4"/>
          <w:sz w:val="20"/>
        </w:rPr>
        <w:t>of</w:t>
      </w:r>
      <w:r>
        <w:rPr>
          <w:spacing w:val="-7"/>
          <w:sz w:val="20"/>
        </w:rPr>
        <w:t> </w:t>
      </w:r>
      <w:r>
        <w:rPr>
          <w:spacing w:val="-4"/>
          <w:sz w:val="20"/>
        </w:rPr>
        <w:t>under</w:t>
      </w:r>
      <w:r>
        <w:rPr>
          <w:spacing w:val="-7"/>
          <w:sz w:val="20"/>
        </w:rPr>
        <w:t> </w:t>
      </w:r>
      <w:r>
        <w:rPr>
          <w:spacing w:val="-4"/>
          <w:sz w:val="20"/>
        </w:rPr>
        <w:t>the</w:t>
      </w:r>
      <w:r>
        <w:rPr>
          <w:spacing w:val="-5"/>
          <w:sz w:val="20"/>
        </w:rPr>
        <w:t> </w:t>
      </w:r>
      <w:r>
        <w:rPr>
          <w:spacing w:val="-4"/>
          <w:sz w:val="20"/>
        </w:rPr>
        <w:t>Registry </w:t>
      </w:r>
      <w:r>
        <w:rPr>
          <w:sz w:val="20"/>
        </w:rPr>
        <w:t>as</w:t>
      </w:r>
      <w:r>
        <w:rPr>
          <w:spacing w:val="-13"/>
          <w:sz w:val="20"/>
        </w:rPr>
        <w:t> </w:t>
      </w:r>
      <w:r>
        <w:rPr>
          <w:sz w:val="20"/>
        </w:rPr>
        <w:t>a</w:t>
      </w:r>
      <w:r>
        <w:rPr>
          <w:spacing w:val="-12"/>
          <w:sz w:val="20"/>
        </w:rPr>
        <w:t> </w:t>
      </w:r>
      <w:r>
        <w:rPr>
          <w:sz w:val="20"/>
        </w:rPr>
        <w:t>whole.</w:t>
      </w:r>
      <w:r>
        <w:rPr>
          <w:spacing w:val="-13"/>
          <w:sz w:val="20"/>
        </w:rPr>
        <w:t> </w:t>
      </w:r>
      <w:r>
        <w:rPr>
          <w:sz w:val="20"/>
        </w:rPr>
        <w:t>The</w:t>
      </w:r>
      <w:r>
        <w:rPr>
          <w:spacing w:val="-12"/>
          <w:sz w:val="20"/>
        </w:rPr>
        <w:t> </w:t>
      </w:r>
      <w:r>
        <w:rPr>
          <w:sz w:val="20"/>
        </w:rPr>
        <w:t>proposed</w:t>
      </w:r>
      <w:r>
        <w:rPr>
          <w:spacing w:val="-13"/>
          <w:sz w:val="20"/>
        </w:rPr>
        <w:t> </w:t>
      </w:r>
      <w:r>
        <w:rPr>
          <w:sz w:val="20"/>
        </w:rPr>
        <w:t>amount</w:t>
      </w:r>
      <w:r>
        <w:rPr>
          <w:spacing w:val="-12"/>
          <w:sz w:val="20"/>
        </w:rPr>
        <w:t> </w:t>
      </w:r>
      <w:r>
        <w:rPr>
          <w:sz w:val="20"/>
        </w:rPr>
        <w:t>for</w:t>
      </w:r>
      <w:r>
        <w:rPr>
          <w:spacing w:val="-11"/>
          <w:sz w:val="20"/>
        </w:rPr>
        <w:t> </w:t>
      </w:r>
      <w:r>
        <w:rPr>
          <w:sz w:val="20"/>
        </w:rPr>
        <w:t>training</w:t>
      </w:r>
      <w:r>
        <w:rPr>
          <w:spacing w:val="-12"/>
          <w:sz w:val="20"/>
        </w:rPr>
        <w:t> </w:t>
      </w:r>
      <w:r>
        <w:rPr>
          <w:sz w:val="20"/>
        </w:rPr>
        <w:t>for</w:t>
      </w:r>
      <w:r>
        <w:rPr>
          <w:spacing w:val="-13"/>
          <w:sz w:val="20"/>
        </w:rPr>
        <w:t> </w:t>
      </w:r>
      <w:r>
        <w:rPr>
          <w:sz w:val="20"/>
        </w:rPr>
        <w:t>the</w:t>
      </w:r>
      <w:r>
        <w:rPr>
          <w:spacing w:val="-10"/>
          <w:sz w:val="20"/>
        </w:rPr>
        <w:t> </w:t>
      </w:r>
      <w:r>
        <w:rPr>
          <w:sz w:val="20"/>
        </w:rPr>
        <w:t>Focal</w:t>
      </w:r>
      <w:r>
        <w:rPr>
          <w:spacing w:val="-11"/>
          <w:sz w:val="20"/>
        </w:rPr>
        <w:t> </w:t>
      </w:r>
      <w:r>
        <w:rPr>
          <w:sz w:val="20"/>
        </w:rPr>
        <w:t>Point</w:t>
      </w:r>
      <w:r>
        <w:rPr>
          <w:spacing w:val="-10"/>
          <w:sz w:val="20"/>
        </w:rPr>
        <w:t> </w:t>
      </w:r>
      <w:r>
        <w:rPr>
          <w:sz w:val="20"/>
        </w:rPr>
        <w:t>for</w:t>
      </w:r>
      <w:r>
        <w:rPr>
          <w:spacing w:val="-12"/>
          <w:sz w:val="20"/>
        </w:rPr>
        <w:t> </w:t>
      </w:r>
      <w:r>
        <w:rPr>
          <w:sz w:val="20"/>
        </w:rPr>
        <w:t>Gender</w:t>
      </w:r>
      <w:r>
        <w:rPr>
          <w:spacing w:val="-12"/>
          <w:sz w:val="20"/>
        </w:rPr>
        <w:t> </w:t>
      </w:r>
      <w:r>
        <w:rPr>
          <w:sz w:val="20"/>
        </w:rPr>
        <w:t>Equality</w:t>
      </w:r>
      <w:r>
        <w:rPr>
          <w:spacing w:val="-12"/>
          <w:sz w:val="20"/>
        </w:rPr>
        <w:t> </w:t>
      </w:r>
      <w:r>
        <w:rPr>
          <w:sz w:val="20"/>
        </w:rPr>
        <w:t>remains unchanged.</w:t>
      </w:r>
      <w:r>
        <w:rPr>
          <w:spacing w:val="-1"/>
          <w:sz w:val="20"/>
        </w:rPr>
        <w:t> </w:t>
      </w:r>
      <w:r>
        <w:rPr>
          <w:sz w:val="20"/>
        </w:rPr>
        <w:t>This</w:t>
      </w:r>
      <w:r>
        <w:rPr>
          <w:spacing w:val="-6"/>
          <w:sz w:val="20"/>
        </w:rPr>
        <w:t> </w:t>
      </w:r>
      <w:r>
        <w:rPr>
          <w:sz w:val="20"/>
        </w:rPr>
        <w:t>means that</w:t>
      </w:r>
      <w:r>
        <w:rPr>
          <w:spacing w:val="-2"/>
          <w:sz w:val="20"/>
        </w:rPr>
        <w:t> </w:t>
      </w:r>
      <w:r>
        <w:rPr>
          <w:sz w:val="20"/>
        </w:rPr>
        <w:t>there is</w:t>
      </w:r>
      <w:r>
        <w:rPr>
          <w:spacing w:val="-6"/>
          <w:sz w:val="20"/>
        </w:rPr>
        <w:t> </w:t>
      </w:r>
      <w:r>
        <w:rPr>
          <w:sz w:val="20"/>
        </w:rPr>
        <w:t>effectively</w:t>
      </w:r>
      <w:r>
        <w:rPr>
          <w:spacing w:val="-3"/>
          <w:sz w:val="20"/>
        </w:rPr>
        <w:t> </w:t>
      </w:r>
      <w:r>
        <w:rPr>
          <w:sz w:val="20"/>
        </w:rPr>
        <w:t>no</w:t>
      </w:r>
      <w:r>
        <w:rPr>
          <w:spacing w:val="-3"/>
          <w:sz w:val="20"/>
        </w:rPr>
        <w:t> </w:t>
      </w:r>
      <w:r>
        <w:rPr>
          <w:sz w:val="20"/>
        </w:rPr>
        <w:t>increase</w:t>
      </w:r>
      <w:r>
        <w:rPr>
          <w:spacing w:val="-2"/>
          <w:sz w:val="20"/>
        </w:rPr>
        <w:t> </w:t>
      </w:r>
      <w:r>
        <w:rPr>
          <w:sz w:val="20"/>
        </w:rPr>
        <w:t>at</w:t>
      </w:r>
      <w:r>
        <w:rPr>
          <w:spacing w:val="-2"/>
          <w:sz w:val="20"/>
        </w:rPr>
        <w:t> </w:t>
      </w:r>
      <w:r>
        <w:rPr>
          <w:sz w:val="20"/>
        </w:rPr>
        <w:t>Registry</w:t>
      </w:r>
      <w:r>
        <w:rPr>
          <w:spacing w:val="-3"/>
          <w:sz w:val="20"/>
        </w:rPr>
        <w:t> </w:t>
      </w:r>
      <w:r>
        <w:rPr>
          <w:sz w:val="20"/>
        </w:rPr>
        <w:t>level.</w:t>
      </w:r>
    </w:p>
    <w:p>
      <w:pPr>
        <w:pStyle w:val="BodyText"/>
        <w:rPr>
          <w:sz w:val="21"/>
        </w:rPr>
      </w:pPr>
    </w:p>
    <w:p>
      <w:pPr>
        <w:tabs>
          <w:tab w:pos="6039" w:val="left" w:leader="none"/>
        </w:tabs>
        <w:spacing w:before="0"/>
        <w:ind w:left="4" w:right="0" w:firstLine="0"/>
        <w:jc w:val="center"/>
        <w:rPr>
          <w:i/>
          <w:sz w:val="20"/>
        </w:rPr>
      </w:pPr>
      <w:r>
        <w:rPr>
          <w:i/>
          <w:spacing w:val="-2"/>
          <w:sz w:val="20"/>
        </w:rPr>
        <w:t>Consultants</w:t>
      </w:r>
      <w:r>
        <w:rPr>
          <w:i/>
          <w:sz w:val="20"/>
        </w:rPr>
        <w:tab/>
        <w:t>€149.0</w:t>
      </w:r>
      <w:r>
        <w:rPr>
          <w:i/>
          <w:spacing w:val="-3"/>
          <w:sz w:val="20"/>
        </w:rPr>
        <w:t> </w:t>
      </w:r>
      <w:r>
        <w:rPr>
          <w:i/>
          <w:spacing w:val="-2"/>
          <w:sz w:val="20"/>
        </w:rPr>
        <w:t>thousand</w:t>
      </w:r>
    </w:p>
    <w:p>
      <w:pPr>
        <w:pStyle w:val="BodyText"/>
        <w:spacing w:before="11"/>
        <w:rPr>
          <w:i/>
        </w:rPr>
      </w:pPr>
    </w:p>
    <w:p>
      <w:pPr>
        <w:pStyle w:val="ListParagraph"/>
        <w:numPr>
          <w:ilvl w:val="0"/>
          <w:numId w:val="4"/>
        </w:numPr>
        <w:tabs>
          <w:tab w:pos="2967" w:val="left" w:leader="none"/>
        </w:tabs>
        <w:spacing w:line="240" w:lineRule="auto" w:before="0" w:after="0"/>
        <w:ind w:left="2246" w:right="2248" w:firstLine="0"/>
        <w:jc w:val="both"/>
        <w:rPr>
          <w:sz w:val="20"/>
        </w:rPr>
      </w:pPr>
      <w:r>
        <w:rPr>
          <w:sz w:val="20"/>
        </w:rPr>
        <w:t>The proposed resources for consultants in the OTR have increased by €149.0 </w:t>
      </w:r>
      <w:r>
        <w:rPr>
          <w:spacing w:val="-2"/>
          <w:sz w:val="20"/>
        </w:rPr>
        <w:t>thousand.</w:t>
      </w:r>
    </w:p>
    <w:p>
      <w:pPr>
        <w:pStyle w:val="ListParagraph"/>
        <w:numPr>
          <w:ilvl w:val="0"/>
          <w:numId w:val="4"/>
        </w:numPr>
        <w:tabs>
          <w:tab w:pos="2967" w:val="left" w:leader="none"/>
        </w:tabs>
        <w:spacing w:line="240" w:lineRule="auto" w:before="121" w:after="0"/>
        <w:ind w:left="2246" w:right="2237" w:firstLine="0"/>
        <w:jc w:val="both"/>
        <w:rPr>
          <w:sz w:val="20"/>
        </w:rPr>
      </w:pPr>
      <w:r>
        <w:rPr>
          <w:sz w:val="20"/>
        </w:rPr>
        <w:t>The</w:t>
      </w:r>
      <w:r>
        <w:rPr>
          <w:spacing w:val="-1"/>
          <w:sz w:val="20"/>
        </w:rPr>
        <w:t> </w:t>
      </w:r>
      <w:r>
        <w:rPr>
          <w:sz w:val="20"/>
        </w:rPr>
        <w:t>increase is</w:t>
      </w:r>
      <w:r>
        <w:rPr>
          <w:spacing w:val="-4"/>
          <w:sz w:val="20"/>
        </w:rPr>
        <w:t> </w:t>
      </w:r>
      <w:r>
        <w:rPr>
          <w:sz w:val="20"/>
        </w:rPr>
        <w:t>attributable</w:t>
      </w:r>
      <w:r>
        <w:rPr>
          <w:spacing w:val="-1"/>
          <w:sz w:val="20"/>
        </w:rPr>
        <w:t> </w:t>
      </w:r>
      <w:r>
        <w:rPr>
          <w:sz w:val="20"/>
        </w:rPr>
        <w:t>to the</w:t>
      </w:r>
      <w:r>
        <w:rPr>
          <w:spacing w:val="-1"/>
          <w:sz w:val="20"/>
        </w:rPr>
        <w:t> </w:t>
      </w:r>
      <w:r>
        <w:rPr>
          <w:sz w:val="20"/>
        </w:rPr>
        <w:t>consultancy costs for</w:t>
      </w:r>
      <w:r>
        <w:rPr>
          <w:spacing w:val="-3"/>
          <w:sz w:val="20"/>
        </w:rPr>
        <w:t> </w:t>
      </w:r>
      <w:r>
        <w:rPr>
          <w:sz w:val="20"/>
        </w:rPr>
        <w:t>the</w:t>
      </w:r>
      <w:r>
        <w:rPr>
          <w:spacing w:val="-1"/>
          <w:sz w:val="20"/>
        </w:rPr>
        <w:t> </w:t>
      </w:r>
      <w:r>
        <w:rPr>
          <w:sz w:val="20"/>
        </w:rPr>
        <w:t>Ombudsperson (€144.0 thousand). In 2022, the consultancy costs for the Ombudsperson were not under the OTR, but were included in the approved budget of the Registry as a whole, for six months only. The increase at Registry level is, therefore, effectively €72.0 thousand, or an additional six months of consultancy services, to ensure continuity throughout 2023.</w:t>
      </w:r>
    </w:p>
    <w:p>
      <w:pPr>
        <w:pStyle w:val="ListParagraph"/>
        <w:numPr>
          <w:ilvl w:val="0"/>
          <w:numId w:val="4"/>
        </w:numPr>
        <w:tabs>
          <w:tab w:pos="2967" w:val="left" w:leader="none"/>
        </w:tabs>
        <w:spacing w:line="259" w:lineRule="auto" w:before="122" w:after="0"/>
        <w:ind w:left="2246" w:right="2242" w:firstLine="0"/>
        <w:jc w:val="both"/>
        <w:rPr>
          <w:sz w:val="20"/>
        </w:rPr>
      </w:pPr>
      <w:r>
        <w:rPr>
          <w:sz w:val="20"/>
        </w:rPr>
        <w:t>The requested amount of €5.0 thousand, for the RLO, is required to cover consultancy</w:t>
      </w:r>
      <w:r>
        <w:rPr>
          <w:spacing w:val="-13"/>
          <w:sz w:val="20"/>
        </w:rPr>
        <w:t> </w:t>
      </w:r>
      <w:r>
        <w:rPr>
          <w:sz w:val="20"/>
        </w:rPr>
        <w:t>and</w:t>
      </w:r>
      <w:r>
        <w:rPr>
          <w:spacing w:val="-12"/>
          <w:sz w:val="20"/>
        </w:rPr>
        <w:t> </w:t>
      </w:r>
      <w:r>
        <w:rPr>
          <w:sz w:val="20"/>
        </w:rPr>
        <w:t>specific</w:t>
      </w:r>
      <w:r>
        <w:rPr>
          <w:spacing w:val="-11"/>
          <w:sz w:val="20"/>
        </w:rPr>
        <w:t> </w:t>
      </w:r>
      <w:r>
        <w:rPr>
          <w:sz w:val="20"/>
        </w:rPr>
        <w:t>legal</w:t>
      </w:r>
      <w:r>
        <w:rPr>
          <w:spacing w:val="-12"/>
          <w:sz w:val="20"/>
        </w:rPr>
        <w:t> </w:t>
      </w:r>
      <w:r>
        <w:rPr>
          <w:sz w:val="20"/>
        </w:rPr>
        <w:t>expertise</w:t>
      </w:r>
      <w:r>
        <w:rPr>
          <w:spacing w:val="-12"/>
          <w:sz w:val="20"/>
        </w:rPr>
        <w:t> </w:t>
      </w:r>
      <w:r>
        <w:rPr>
          <w:sz w:val="20"/>
        </w:rPr>
        <w:t>required</w:t>
      </w:r>
      <w:r>
        <w:rPr>
          <w:spacing w:val="-13"/>
          <w:sz w:val="20"/>
        </w:rPr>
        <w:t> </w:t>
      </w:r>
      <w:r>
        <w:rPr>
          <w:sz w:val="20"/>
        </w:rPr>
        <w:t>at</w:t>
      </w:r>
      <w:r>
        <w:rPr>
          <w:spacing w:val="-12"/>
          <w:sz w:val="20"/>
        </w:rPr>
        <w:t> </w:t>
      </w:r>
      <w:r>
        <w:rPr>
          <w:sz w:val="20"/>
        </w:rPr>
        <w:t>Headquarters</w:t>
      </w:r>
      <w:r>
        <w:rPr>
          <w:spacing w:val="-10"/>
          <w:sz w:val="20"/>
        </w:rPr>
        <w:t> </w:t>
      </w:r>
      <w:r>
        <w:rPr>
          <w:sz w:val="20"/>
        </w:rPr>
        <w:t>and</w:t>
      </w:r>
      <w:r>
        <w:rPr>
          <w:spacing w:val="-13"/>
          <w:sz w:val="20"/>
        </w:rPr>
        <w:t> </w:t>
      </w:r>
      <w:r>
        <w:rPr>
          <w:sz w:val="20"/>
        </w:rPr>
        <w:t>in</w:t>
      </w:r>
      <w:r>
        <w:rPr>
          <w:spacing w:val="-12"/>
          <w:sz w:val="20"/>
        </w:rPr>
        <w:t> </w:t>
      </w:r>
      <w:r>
        <w:rPr>
          <w:sz w:val="20"/>
        </w:rPr>
        <w:t>the</w:t>
      </w:r>
      <w:r>
        <w:rPr>
          <w:spacing w:val="-11"/>
          <w:sz w:val="20"/>
        </w:rPr>
        <w:t> </w:t>
      </w:r>
      <w:r>
        <w:rPr>
          <w:sz w:val="20"/>
        </w:rPr>
        <w:t>field,</w:t>
      </w:r>
      <w:r>
        <w:rPr>
          <w:spacing w:val="-11"/>
          <w:sz w:val="20"/>
        </w:rPr>
        <w:t> </w:t>
      </w:r>
      <w:r>
        <w:rPr>
          <w:sz w:val="20"/>
        </w:rPr>
        <w:t>particularly concerning matters involving domestic legislation and jurisdiction. Securing timely, sound and accurate legal advice and assistance on such issues is essential in order to manage the Court’s legal risks and defend its position in legal proceedings.</w:t>
      </w:r>
    </w:p>
    <w:p>
      <w:pPr>
        <w:spacing w:after="0" w:line="259" w:lineRule="auto"/>
        <w:jc w:val="both"/>
        <w:rPr>
          <w:sz w:val="20"/>
        </w:rPr>
        <w:sectPr>
          <w:pgSz w:w="11910" w:h="16840"/>
          <w:pgMar w:header="957" w:footer="940" w:top="1140" w:bottom="1140" w:left="20" w:right="20"/>
        </w:sectPr>
      </w:pPr>
    </w:p>
    <w:p>
      <w:pPr>
        <w:pStyle w:val="BodyText"/>
        <w:spacing w:line="20" w:lineRule="exact"/>
        <w:ind w:left="1084"/>
        <w:rPr>
          <w:sz w:val="2"/>
        </w:rPr>
      </w:pPr>
      <w:r>
        <w:rPr>
          <w:sz w:val="2"/>
        </w:rPr>
        <w:pict>
          <v:group style="width:485pt;height:.25pt;mso-position-horizontal-relative:char;mso-position-vertical-relative:line" id="docshapegroup225" coordorigin="0,0" coordsize="9700,5">
            <v:rect style="position:absolute;left:0;top:0;width:9700;height:5" id="docshape226" filled="true" fillcolor="#000000" stroked="false">
              <v:fill type="solid"/>
            </v:rect>
          </v:group>
        </w:pict>
      </w:r>
      <w:r>
        <w:rPr>
          <w:sz w:val="2"/>
        </w:rPr>
      </w:r>
    </w:p>
    <w:p>
      <w:pPr>
        <w:spacing w:before="104"/>
        <w:ind w:left="2246" w:right="0" w:firstLine="0"/>
        <w:jc w:val="left"/>
        <w:rPr>
          <w:b/>
          <w:sz w:val="20"/>
        </w:rPr>
      </w:pPr>
      <w:r>
        <w:rPr>
          <w:b/>
          <w:sz w:val="20"/>
        </w:rPr>
        <w:t>Table</w:t>
      </w:r>
      <w:r>
        <w:rPr>
          <w:b/>
          <w:spacing w:val="-6"/>
          <w:sz w:val="20"/>
        </w:rPr>
        <w:t> </w:t>
      </w:r>
      <w:r>
        <w:rPr>
          <w:b/>
          <w:sz w:val="20"/>
        </w:rPr>
        <w:t>24:</w:t>
      </w:r>
      <w:r>
        <w:rPr>
          <w:b/>
          <w:spacing w:val="-6"/>
          <w:sz w:val="20"/>
        </w:rPr>
        <w:t> </w:t>
      </w:r>
      <w:r>
        <w:rPr>
          <w:b/>
          <w:sz w:val="20"/>
        </w:rPr>
        <w:t>Programme</w:t>
      </w:r>
      <w:r>
        <w:rPr>
          <w:b/>
          <w:spacing w:val="-5"/>
          <w:sz w:val="20"/>
        </w:rPr>
        <w:t> </w:t>
      </w:r>
      <w:r>
        <w:rPr>
          <w:b/>
          <w:sz w:val="20"/>
        </w:rPr>
        <w:t>3100:</w:t>
      </w:r>
      <w:r>
        <w:rPr>
          <w:b/>
          <w:spacing w:val="-7"/>
          <w:sz w:val="20"/>
        </w:rPr>
        <w:t> </w:t>
      </w:r>
      <w:r>
        <w:rPr>
          <w:b/>
          <w:sz w:val="20"/>
        </w:rPr>
        <w:t>Proposed</w:t>
      </w:r>
      <w:r>
        <w:rPr>
          <w:b/>
          <w:spacing w:val="-8"/>
          <w:sz w:val="20"/>
        </w:rPr>
        <w:t> </w:t>
      </w:r>
      <w:r>
        <w:rPr>
          <w:b/>
          <w:sz w:val="20"/>
        </w:rPr>
        <w:t>budget</w:t>
      </w:r>
      <w:r>
        <w:rPr>
          <w:b/>
          <w:spacing w:val="-7"/>
          <w:sz w:val="20"/>
        </w:rPr>
        <w:t> </w:t>
      </w:r>
      <w:r>
        <w:rPr>
          <w:b/>
          <w:sz w:val="20"/>
        </w:rPr>
        <w:t>for </w:t>
      </w:r>
      <w:r>
        <w:rPr>
          <w:b/>
          <w:spacing w:val="-4"/>
          <w:sz w:val="20"/>
        </w:rPr>
        <w:t>2023</w:t>
      </w:r>
    </w:p>
    <w:tbl>
      <w:tblPr>
        <w:tblW w:w="0" w:type="auto"/>
        <w:jc w:val="left"/>
        <w:tblInd w:w="1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75"/>
        <w:gridCol w:w="1211"/>
        <w:gridCol w:w="827"/>
        <w:gridCol w:w="1130"/>
        <w:gridCol w:w="1078"/>
        <w:gridCol w:w="1129"/>
        <w:gridCol w:w="741"/>
        <w:gridCol w:w="1053"/>
      </w:tblGrid>
      <w:tr>
        <w:trPr>
          <w:trHeight w:val="310" w:hRule="atLeast"/>
        </w:trPr>
        <w:tc>
          <w:tcPr>
            <w:tcW w:w="5643" w:type="dxa"/>
            <w:gridSpan w:val="4"/>
            <w:tcBorders>
              <w:top w:val="single" w:sz="4" w:space="0" w:color="000000"/>
            </w:tcBorders>
          </w:tcPr>
          <w:p>
            <w:pPr>
              <w:pStyle w:val="TableParagraph"/>
              <w:tabs>
                <w:tab w:pos="2782" w:val="left" w:leader="none"/>
                <w:tab w:pos="5644" w:val="left" w:leader="none"/>
              </w:tabs>
              <w:spacing w:line="180" w:lineRule="exact" w:before="110"/>
              <w:ind w:left="2475" w:right="-15"/>
              <w:jc w:val="left"/>
              <w:rPr>
                <w:sz w:val="16"/>
              </w:rPr>
            </w:pPr>
            <w:r>
              <w:rPr>
                <w:sz w:val="16"/>
                <w:u w:val="single"/>
              </w:rPr>
              <w:tab/>
              <w:t>2021</w:t>
            </w:r>
            <w:r>
              <w:rPr>
                <w:spacing w:val="-3"/>
                <w:sz w:val="16"/>
                <w:u w:val="single"/>
              </w:rPr>
              <w:t> </w:t>
            </w:r>
            <w:r>
              <w:rPr>
                <w:sz w:val="16"/>
                <w:u w:val="single"/>
              </w:rPr>
              <w:t>Expenditures</w:t>
            </w:r>
            <w:r>
              <w:rPr>
                <w:spacing w:val="-4"/>
                <w:sz w:val="16"/>
                <w:u w:val="single"/>
              </w:rPr>
              <w:t> </w:t>
            </w:r>
            <w:r>
              <w:rPr>
                <w:sz w:val="16"/>
                <w:u w:val="single"/>
              </w:rPr>
              <w:t>(thousands</w:t>
            </w:r>
            <w:r>
              <w:rPr>
                <w:spacing w:val="-4"/>
                <w:sz w:val="16"/>
                <w:u w:val="single"/>
              </w:rPr>
              <w:t> </w:t>
            </w:r>
            <w:r>
              <w:rPr>
                <w:sz w:val="16"/>
                <w:u w:val="single"/>
              </w:rPr>
              <w:t>of</w:t>
            </w:r>
            <w:r>
              <w:rPr>
                <w:spacing w:val="-4"/>
                <w:sz w:val="16"/>
                <w:u w:val="single"/>
              </w:rPr>
              <w:t> </w:t>
            </w:r>
            <w:r>
              <w:rPr>
                <w:spacing w:val="-2"/>
                <w:sz w:val="16"/>
                <w:u w:val="single"/>
              </w:rPr>
              <w:t>euros)</w:t>
            </w:r>
            <w:r>
              <w:rPr>
                <w:sz w:val="16"/>
                <w:u w:val="single"/>
              </w:rPr>
              <w:tab/>
            </w:r>
          </w:p>
        </w:tc>
        <w:tc>
          <w:tcPr>
            <w:tcW w:w="1078" w:type="dxa"/>
            <w:vMerge w:val="restart"/>
            <w:tcBorders>
              <w:top w:val="single" w:sz="4" w:space="0" w:color="000000"/>
              <w:bottom w:val="single" w:sz="12" w:space="0" w:color="000000"/>
            </w:tcBorders>
          </w:tcPr>
          <w:p>
            <w:pPr>
              <w:pStyle w:val="TableParagraph"/>
              <w:spacing w:line="183" w:lineRule="exact" w:before="139"/>
              <w:ind w:left="228" w:right="180"/>
              <w:jc w:val="center"/>
              <w:rPr>
                <w:sz w:val="16"/>
              </w:rPr>
            </w:pPr>
            <w:r>
              <w:rPr>
                <w:spacing w:val="-4"/>
                <w:sz w:val="16"/>
              </w:rPr>
              <w:t>2022</w:t>
            </w:r>
          </w:p>
          <w:p>
            <w:pPr>
              <w:pStyle w:val="TableParagraph"/>
              <w:spacing w:line="183" w:lineRule="exact"/>
              <w:ind w:left="228" w:right="183"/>
              <w:jc w:val="center"/>
              <w:rPr>
                <w:sz w:val="16"/>
              </w:rPr>
            </w:pPr>
            <w:r>
              <w:rPr>
                <w:spacing w:val="-2"/>
                <w:sz w:val="16"/>
              </w:rPr>
              <w:t>Approved</w:t>
            </w:r>
          </w:p>
          <w:p>
            <w:pPr>
              <w:pStyle w:val="TableParagraph"/>
              <w:spacing w:line="171" w:lineRule="exact" w:before="3"/>
              <w:ind w:left="228" w:right="175"/>
              <w:jc w:val="center"/>
              <w:rPr>
                <w:sz w:val="16"/>
              </w:rPr>
            </w:pPr>
            <w:r>
              <w:rPr>
                <w:spacing w:val="-2"/>
                <w:sz w:val="16"/>
              </w:rPr>
              <w:t>Budget</w:t>
            </w:r>
          </w:p>
        </w:tc>
        <w:tc>
          <w:tcPr>
            <w:tcW w:w="1870" w:type="dxa"/>
            <w:gridSpan w:val="2"/>
            <w:tcBorders>
              <w:top w:val="single" w:sz="4" w:space="0" w:color="000000"/>
            </w:tcBorders>
          </w:tcPr>
          <w:p>
            <w:pPr>
              <w:pStyle w:val="TableParagraph"/>
              <w:tabs>
                <w:tab w:pos="330" w:val="left" w:leader="none"/>
                <w:tab w:pos="1799" w:val="left" w:leader="none"/>
              </w:tabs>
              <w:spacing w:line="180" w:lineRule="exact" w:before="110"/>
              <w:ind w:left="57"/>
              <w:jc w:val="left"/>
              <w:rPr>
                <w:sz w:val="16"/>
              </w:rPr>
            </w:pPr>
            <w:r>
              <w:rPr>
                <w:sz w:val="16"/>
                <w:u w:val="single"/>
              </w:rPr>
              <w:tab/>
              <w:t>Resource</w:t>
            </w:r>
            <w:r>
              <w:rPr>
                <w:spacing w:val="-2"/>
                <w:sz w:val="16"/>
                <w:u w:val="single"/>
              </w:rPr>
              <w:t> Changes</w:t>
            </w:r>
            <w:r>
              <w:rPr>
                <w:sz w:val="16"/>
                <w:u w:val="single"/>
              </w:rPr>
              <w:tab/>
            </w:r>
          </w:p>
        </w:tc>
        <w:tc>
          <w:tcPr>
            <w:tcW w:w="1053" w:type="dxa"/>
            <w:tcBorders>
              <w:top w:val="single" w:sz="4" w:space="0" w:color="000000"/>
            </w:tcBorders>
          </w:tcPr>
          <w:p>
            <w:pPr>
              <w:pStyle w:val="TableParagraph"/>
              <w:jc w:val="left"/>
              <w:rPr>
                <w:sz w:val="14"/>
              </w:rPr>
            </w:pPr>
          </w:p>
        </w:tc>
      </w:tr>
      <w:tr>
        <w:trPr>
          <w:trHeight w:val="359" w:hRule="atLeast"/>
        </w:trPr>
        <w:tc>
          <w:tcPr>
            <w:tcW w:w="2475" w:type="dxa"/>
            <w:tcBorders>
              <w:bottom w:val="single" w:sz="12" w:space="0" w:color="000000"/>
            </w:tcBorders>
          </w:tcPr>
          <w:p>
            <w:pPr>
              <w:pStyle w:val="TableParagraph"/>
              <w:spacing w:line="165" w:lineRule="exact"/>
              <w:ind w:left="117"/>
              <w:jc w:val="left"/>
              <w:rPr>
                <w:b/>
                <w:sz w:val="16"/>
              </w:rPr>
            </w:pPr>
            <w:r>
              <w:rPr>
                <w:b/>
                <w:spacing w:val="-4"/>
                <w:sz w:val="16"/>
              </w:rPr>
              <w:t>3100</w:t>
            </w:r>
          </w:p>
          <w:p>
            <w:pPr>
              <w:pStyle w:val="TableParagraph"/>
              <w:spacing w:line="171" w:lineRule="exact" w:before="3"/>
              <w:ind w:left="117"/>
              <w:jc w:val="left"/>
              <w:rPr>
                <w:b/>
                <w:sz w:val="16"/>
              </w:rPr>
            </w:pPr>
            <w:r>
              <w:rPr>
                <w:b/>
                <w:sz w:val="16"/>
              </w:rPr>
              <w:t>Office</w:t>
            </w:r>
            <w:r>
              <w:rPr>
                <w:b/>
                <w:spacing w:val="-4"/>
                <w:sz w:val="16"/>
              </w:rPr>
              <w:t> </w:t>
            </w:r>
            <w:r>
              <w:rPr>
                <w:b/>
                <w:sz w:val="16"/>
              </w:rPr>
              <w:t>of</w:t>
            </w:r>
            <w:r>
              <w:rPr>
                <w:b/>
                <w:spacing w:val="-5"/>
                <w:sz w:val="16"/>
              </w:rPr>
              <w:t> </w:t>
            </w:r>
            <w:r>
              <w:rPr>
                <w:b/>
                <w:sz w:val="16"/>
              </w:rPr>
              <w:t>the</w:t>
            </w:r>
            <w:r>
              <w:rPr>
                <w:b/>
                <w:spacing w:val="-4"/>
                <w:sz w:val="16"/>
              </w:rPr>
              <w:t> </w:t>
            </w:r>
            <w:r>
              <w:rPr>
                <w:b/>
                <w:spacing w:val="-2"/>
                <w:sz w:val="16"/>
              </w:rPr>
              <w:t>Registrar</w:t>
            </w:r>
          </w:p>
        </w:tc>
        <w:tc>
          <w:tcPr>
            <w:tcW w:w="1211" w:type="dxa"/>
            <w:tcBorders>
              <w:bottom w:val="single" w:sz="12" w:space="0" w:color="000000"/>
            </w:tcBorders>
          </w:tcPr>
          <w:p>
            <w:pPr>
              <w:pStyle w:val="TableParagraph"/>
              <w:spacing w:before="7"/>
              <w:jc w:val="left"/>
              <w:rPr>
                <w:b/>
                <w:sz w:val="14"/>
              </w:rPr>
            </w:pPr>
          </w:p>
          <w:p>
            <w:pPr>
              <w:pStyle w:val="TableParagraph"/>
              <w:spacing w:line="171" w:lineRule="exact"/>
              <w:ind w:left="393"/>
              <w:jc w:val="left"/>
              <w:rPr>
                <w:sz w:val="16"/>
              </w:rPr>
            </w:pPr>
            <w:r>
              <w:rPr>
                <w:spacing w:val="-2"/>
                <w:sz w:val="16"/>
              </w:rPr>
              <w:t>Total</w:t>
            </w:r>
          </w:p>
        </w:tc>
        <w:tc>
          <w:tcPr>
            <w:tcW w:w="827" w:type="dxa"/>
            <w:tcBorders>
              <w:bottom w:val="single" w:sz="12" w:space="0" w:color="000000"/>
            </w:tcBorders>
          </w:tcPr>
          <w:p>
            <w:pPr>
              <w:pStyle w:val="TableParagraph"/>
              <w:spacing w:line="165" w:lineRule="exact"/>
              <w:ind w:left="191"/>
              <w:jc w:val="left"/>
              <w:rPr>
                <w:sz w:val="16"/>
              </w:rPr>
            </w:pPr>
            <w:r>
              <w:rPr>
                <w:spacing w:val="-2"/>
                <w:sz w:val="16"/>
              </w:rPr>
              <w:t>Cont.</w:t>
            </w:r>
          </w:p>
          <w:p>
            <w:pPr>
              <w:pStyle w:val="TableParagraph"/>
              <w:spacing w:line="171" w:lineRule="exact" w:before="3"/>
              <w:ind w:left="201"/>
              <w:jc w:val="left"/>
              <w:rPr>
                <w:sz w:val="16"/>
              </w:rPr>
            </w:pPr>
            <w:r>
              <w:rPr>
                <w:spacing w:val="-4"/>
                <w:sz w:val="16"/>
              </w:rPr>
              <w:t>Fund</w:t>
            </w:r>
          </w:p>
        </w:tc>
        <w:tc>
          <w:tcPr>
            <w:tcW w:w="1130" w:type="dxa"/>
            <w:tcBorders>
              <w:bottom w:val="single" w:sz="12" w:space="0" w:color="000000"/>
            </w:tcBorders>
          </w:tcPr>
          <w:p>
            <w:pPr>
              <w:pStyle w:val="TableParagraph"/>
              <w:spacing w:before="7"/>
              <w:jc w:val="left"/>
              <w:rPr>
                <w:b/>
                <w:sz w:val="14"/>
              </w:rPr>
            </w:pPr>
          </w:p>
          <w:p>
            <w:pPr>
              <w:pStyle w:val="TableParagraph"/>
              <w:spacing w:line="171" w:lineRule="exact"/>
              <w:ind w:right="115"/>
              <w:rPr>
                <w:sz w:val="16"/>
              </w:rPr>
            </w:pPr>
            <w:r>
              <w:rPr>
                <w:sz w:val="16"/>
              </w:rPr>
              <w:t>Total</w:t>
            </w:r>
            <w:r>
              <w:rPr>
                <w:spacing w:val="-7"/>
                <w:sz w:val="16"/>
              </w:rPr>
              <w:t> </w:t>
            </w:r>
            <w:r>
              <w:rPr>
                <w:sz w:val="16"/>
              </w:rPr>
              <w:t>Incl.</w:t>
            </w:r>
            <w:r>
              <w:rPr>
                <w:spacing w:val="-6"/>
                <w:sz w:val="16"/>
              </w:rPr>
              <w:t> </w:t>
            </w:r>
            <w:r>
              <w:rPr>
                <w:spacing w:val="-5"/>
                <w:sz w:val="16"/>
              </w:rPr>
              <w:t>CF</w:t>
            </w:r>
          </w:p>
        </w:tc>
        <w:tc>
          <w:tcPr>
            <w:tcW w:w="1078" w:type="dxa"/>
            <w:vMerge/>
            <w:tcBorders>
              <w:top w:val="nil"/>
              <w:bottom w:val="single" w:sz="12" w:space="0" w:color="000000"/>
            </w:tcBorders>
          </w:tcPr>
          <w:p>
            <w:pPr>
              <w:rPr>
                <w:sz w:val="2"/>
                <w:szCs w:val="2"/>
              </w:rPr>
            </w:pPr>
          </w:p>
        </w:tc>
        <w:tc>
          <w:tcPr>
            <w:tcW w:w="1129" w:type="dxa"/>
            <w:tcBorders>
              <w:bottom w:val="single" w:sz="12" w:space="0" w:color="000000"/>
            </w:tcBorders>
          </w:tcPr>
          <w:p>
            <w:pPr>
              <w:pStyle w:val="TableParagraph"/>
              <w:spacing w:before="7"/>
              <w:jc w:val="left"/>
              <w:rPr>
                <w:b/>
                <w:sz w:val="14"/>
              </w:rPr>
            </w:pPr>
          </w:p>
          <w:p>
            <w:pPr>
              <w:pStyle w:val="TableParagraph"/>
              <w:spacing w:line="171" w:lineRule="exact"/>
              <w:ind w:right="191"/>
              <w:rPr>
                <w:sz w:val="16"/>
              </w:rPr>
            </w:pPr>
            <w:r>
              <w:rPr>
                <w:spacing w:val="-2"/>
                <w:sz w:val="16"/>
              </w:rPr>
              <w:t>Amount</w:t>
            </w:r>
          </w:p>
        </w:tc>
        <w:tc>
          <w:tcPr>
            <w:tcW w:w="741" w:type="dxa"/>
            <w:tcBorders>
              <w:bottom w:val="single" w:sz="12" w:space="0" w:color="000000"/>
            </w:tcBorders>
          </w:tcPr>
          <w:p>
            <w:pPr>
              <w:pStyle w:val="TableParagraph"/>
              <w:spacing w:before="7"/>
              <w:jc w:val="left"/>
              <w:rPr>
                <w:b/>
                <w:sz w:val="14"/>
              </w:rPr>
            </w:pPr>
          </w:p>
          <w:p>
            <w:pPr>
              <w:pStyle w:val="TableParagraph"/>
              <w:spacing w:line="171" w:lineRule="exact"/>
              <w:ind w:right="180"/>
              <w:rPr>
                <w:sz w:val="16"/>
              </w:rPr>
            </w:pPr>
            <w:r>
              <w:rPr>
                <w:w w:val="98"/>
                <w:sz w:val="16"/>
              </w:rPr>
              <w:t>%</w:t>
            </w:r>
          </w:p>
        </w:tc>
        <w:tc>
          <w:tcPr>
            <w:tcW w:w="1053" w:type="dxa"/>
            <w:tcBorders>
              <w:bottom w:val="single" w:sz="12" w:space="0" w:color="000000"/>
            </w:tcBorders>
          </w:tcPr>
          <w:p>
            <w:pPr>
              <w:pStyle w:val="TableParagraph"/>
              <w:spacing w:line="165" w:lineRule="exact"/>
              <w:ind w:left="58" w:right="134"/>
              <w:jc w:val="center"/>
              <w:rPr>
                <w:sz w:val="16"/>
              </w:rPr>
            </w:pPr>
            <w:r>
              <w:rPr>
                <w:spacing w:val="-2"/>
                <w:sz w:val="16"/>
              </w:rPr>
              <w:t>Proposed</w:t>
            </w:r>
          </w:p>
          <w:p>
            <w:pPr>
              <w:pStyle w:val="TableParagraph"/>
              <w:spacing w:line="171" w:lineRule="exact" w:before="3"/>
              <w:ind w:left="65" w:right="133"/>
              <w:jc w:val="center"/>
              <w:rPr>
                <w:sz w:val="16"/>
              </w:rPr>
            </w:pPr>
            <w:r>
              <w:rPr>
                <w:sz w:val="16"/>
              </w:rPr>
              <w:t>2023</w:t>
            </w:r>
            <w:r>
              <w:rPr>
                <w:spacing w:val="2"/>
                <w:sz w:val="16"/>
              </w:rPr>
              <w:t> </w:t>
            </w:r>
            <w:r>
              <w:rPr>
                <w:spacing w:val="-2"/>
                <w:sz w:val="16"/>
              </w:rPr>
              <w:t>Budget</w:t>
            </w:r>
          </w:p>
        </w:tc>
      </w:tr>
      <w:tr>
        <w:trPr>
          <w:trHeight w:val="231" w:hRule="atLeast"/>
        </w:trPr>
        <w:tc>
          <w:tcPr>
            <w:tcW w:w="2475" w:type="dxa"/>
            <w:tcBorders>
              <w:top w:val="single" w:sz="12" w:space="0" w:color="000000"/>
            </w:tcBorders>
          </w:tcPr>
          <w:p>
            <w:pPr>
              <w:pStyle w:val="TableParagraph"/>
              <w:spacing w:before="13"/>
              <w:ind w:left="117"/>
              <w:jc w:val="left"/>
              <w:rPr>
                <w:sz w:val="16"/>
              </w:rPr>
            </w:pPr>
            <w:r>
              <w:rPr>
                <w:w w:val="95"/>
                <w:sz w:val="16"/>
              </w:rPr>
              <w:t>Professional</w:t>
            </w:r>
            <w:r>
              <w:rPr>
                <w:spacing w:val="28"/>
                <w:sz w:val="16"/>
              </w:rPr>
              <w:t> </w:t>
            </w:r>
            <w:r>
              <w:rPr>
                <w:spacing w:val="-2"/>
                <w:sz w:val="16"/>
              </w:rPr>
              <w:t>staff</w:t>
            </w:r>
          </w:p>
        </w:tc>
        <w:tc>
          <w:tcPr>
            <w:tcW w:w="1211" w:type="dxa"/>
            <w:tcBorders>
              <w:top w:val="single" w:sz="12" w:space="0" w:color="000000"/>
            </w:tcBorders>
            <w:shd w:val="clear" w:color="auto" w:fill="D9D9D9"/>
          </w:tcPr>
          <w:p>
            <w:pPr>
              <w:pStyle w:val="TableParagraph"/>
              <w:jc w:val="left"/>
              <w:rPr>
                <w:sz w:val="14"/>
              </w:rPr>
            </w:pPr>
          </w:p>
        </w:tc>
        <w:tc>
          <w:tcPr>
            <w:tcW w:w="827" w:type="dxa"/>
            <w:tcBorders>
              <w:top w:val="single" w:sz="12" w:space="0" w:color="000000"/>
            </w:tcBorders>
            <w:shd w:val="clear" w:color="auto" w:fill="D9D9D9"/>
          </w:tcPr>
          <w:p>
            <w:pPr>
              <w:pStyle w:val="TableParagraph"/>
              <w:jc w:val="left"/>
              <w:rPr>
                <w:sz w:val="14"/>
              </w:rPr>
            </w:pPr>
          </w:p>
        </w:tc>
        <w:tc>
          <w:tcPr>
            <w:tcW w:w="1130" w:type="dxa"/>
            <w:tcBorders>
              <w:top w:val="single" w:sz="12" w:space="0" w:color="000000"/>
            </w:tcBorders>
            <w:shd w:val="clear" w:color="auto" w:fill="D9D9D9"/>
          </w:tcPr>
          <w:p>
            <w:pPr>
              <w:pStyle w:val="TableParagraph"/>
              <w:jc w:val="left"/>
              <w:rPr>
                <w:sz w:val="14"/>
              </w:rPr>
            </w:pPr>
          </w:p>
        </w:tc>
        <w:tc>
          <w:tcPr>
            <w:tcW w:w="1078" w:type="dxa"/>
            <w:tcBorders>
              <w:top w:val="single" w:sz="12" w:space="0" w:color="000000"/>
            </w:tcBorders>
          </w:tcPr>
          <w:p>
            <w:pPr>
              <w:pStyle w:val="TableParagraph"/>
              <w:spacing w:before="13"/>
              <w:ind w:right="50"/>
              <w:rPr>
                <w:sz w:val="16"/>
              </w:rPr>
            </w:pPr>
            <w:r>
              <w:rPr>
                <w:spacing w:val="-2"/>
                <w:sz w:val="16"/>
              </w:rPr>
              <w:t>1,472.1</w:t>
            </w:r>
          </w:p>
        </w:tc>
        <w:tc>
          <w:tcPr>
            <w:tcW w:w="1129" w:type="dxa"/>
            <w:tcBorders>
              <w:top w:val="single" w:sz="12" w:space="0" w:color="000000"/>
            </w:tcBorders>
          </w:tcPr>
          <w:p>
            <w:pPr>
              <w:pStyle w:val="TableParagraph"/>
              <w:spacing w:before="13"/>
              <w:ind w:right="194"/>
              <w:rPr>
                <w:sz w:val="16"/>
              </w:rPr>
            </w:pPr>
            <w:r>
              <w:rPr>
                <w:spacing w:val="-2"/>
                <w:sz w:val="16"/>
              </w:rPr>
              <w:t>295.0</w:t>
            </w:r>
          </w:p>
        </w:tc>
        <w:tc>
          <w:tcPr>
            <w:tcW w:w="741" w:type="dxa"/>
            <w:tcBorders>
              <w:top w:val="single" w:sz="12" w:space="0" w:color="000000"/>
            </w:tcBorders>
          </w:tcPr>
          <w:p>
            <w:pPr>
              <w:pStyle w:val="TableParagraph"/>
              <w:spacing w:before="13"/>
              <w:ind w:right="176"/>
              <w:rPr>
                <w:sz w:val="16"/>
              </w:rPr>
            </w:pPr>
            <w:r>
              <w:rPr>
                <w:spacing w:val="-4"/>
                <w:sz w:val="16"/>
              </w:rPr>
              <w:t>20.0</w:t>
            </w:r>
          </w:p>
        </w:tc>
        <w:tc>
          <w:tcPr>
            <w:tcW w:w="1053" w:type="dxa"/>
            <w:tcBorders>
              <w:top w:val="single" w:sz="12" w:space="0" w:color="000000"/>
            </w:tcBorders>
          </w:tcPr>
          <w:p>
            <w:pPr>
              <w:pStyle w:val="TableParagraph"/>
              <w:spacing w:before="13"/>
              <w:ind w:right="101"/>
              <w:rPr>
                <w:sz w:val="16"/>
              </w:rPr>
            </w:pPr>
            <w:r>
              <w:rPr>
                <w:spacing w:val="-2"/>
                <w:sz w:val="16"/>
              </w:rPr>
              <w:t>1,767.1</w:t>
            </w:r>
          </w:p>
        </w:tc>
      </w:tr>
      <w:tr>
        <w:trPr>
          <w:trHeight w:val="223" w:hRule="atLeast"/>
        </w:trPr>
        <w:tc>
          <w:tcPr>
            <w:tcW w:w="2475" w:type="dxa"/>
            <w:tcBorders>
              <w:bottom w:val="single" w:sz="4" w:space="0" w:color="000000"/>
            </w:tcBorders>
          </w:tcPr>
          <w:p>
            <w:pPr>
              <w:pStyle w:val="TableParagraph"/>
              <w:spacing w:before="8"/>
              <w:ind w:left="117"/>
              <w:jc w:val="left"/>
              <w:rPr>
                <w:sz w:val="16"/>
              </w:rPr>
            </w:pPr>
            <w:r>
              <w:rPr>
                <w:sz w:val="16"/>
              </w:rPr>
              <w:t>General</w:t>
            </w:r>
            <w:r>
              <w:rPr>
                <w:spacing w:val="-6"/>
                <w:sz w:val="16"/>
              </w:rPr>
              <w:t> </w:t>
            </w:r>
            <w:r>
              <w:rPr>
                <w:sz w:val="16"/>
              </w:rPr>
              <w:t>Service</w:t>
            </w:r>
            <w:r>
              <w:rPr>
                <w:spacing w:val="-4"/>
                <w:sz w:val="16"/>
              </w:rPr>
              <w:t> staff</w:t>
            </w:r>
          </w:p>
        </w:tc>
        <w:tc>
          <w:tcPr>
            <w:tcW w:w="1211" w:type="dxa"/>
            <w:tcBorders>
              <w:bottom w:val="single" w:sz="4" w:space="0" w:color="000000"/>
            </w:tcBorders>
            <w:shd w:val="clear" w:color="auto" w:fill="D9D9D9"/>
          </w:tcPr>
          <w:p>
            <w:pPr>
              <w:pStyle w:val="TableParagraph"/>
              <w:jc w:val="left"/>
              <w:rPr>
                <w:sz w:val="14"/>
              </w:rPr>
            </w:pPr>
          </w:p>
        </w:tc>
        <w:tc>
          <w:tcPr>
            <w:tcW w:w="827" w:type="dxa"/>
            <w:tcBorders>
              <w:bottom w:val="single" w:sz="4" w:space="0" w:color="000000"/>
            </w:tcBorders>
            <w:shd w:val="clear" w:color="auto" w:fill="D9D9D9"/>
          </w:tcPr>
          <w:p>
            <w:pPr>
              <w:pStyle w:val="TableParagraph"/>
              <w:jc w:val="left"/>
              <w:rPr>
                <w:sz w:val="14"/>
              </w:rPr>
            </w:pPr>
          </w:p>
        </w:tc>
        <w:tc>
          <w:tcPr>
            <w:tcW w:w="1130" w:type="dxa"/>
            <w:tcBorders>
              <w:bottom w:val="single" w:sz="4" w:space="0" w:color="000000"/>
            </w:tcBorders>
            <w:shd w:val="clear" w:color="auto" w:fill="D9D9D9"/>
          </w:tcPr>
          <w:p>
            <w:pPr>
              <w:pStyle w:val="TableParagraph"/>
              <w:jc w:val="left"/>
              <w:rPr>
                <w:sz w:val="14"/>
              </w:rPr>
            </w:pPr>
          </w:p>
        </w:tc>
        <w:tc>
          <w:tcPr>
            <w:tcW w:w="1078" w:type="dxa"/>
            <w:tcBorders>
              <w:bottom w:val="single" w:sz="4" w:space="0" w:color="000000"/>
            </w:tcBorders>
          </w:tcPr>
          <w:p>
            <w:pPr>
              <w:pStyle w:val="TableParagraph"/>
              <w:spacing w:before="8"/>
              <w:ind w:right="50"/>
              <w:rPr>
                <w:sz w:val="16"/>
              </w:rPr>
            </w:pPr>
            <w:r>
              <w:rPr>
                <w:spacing w:val="-2"/>
                <w:sz w:val="16"/>
              </w:rPr>
              <w:t>155.6</w:t>
            </w:r>
          </w:p>
        </w:tc>
        <w:tc>
          <w:tcPr>
            <w:tcW w:w="1129" w:type="dxa"/>
            <w:tcBorders>
              <w:bottom w:val="single" w:sz="4" w:space="0" w:color="000000"/>
            </w:tcBorders>
          </w:tcPr>
          <w:p>
            <w:pPr>
              <w:pStyle w:val="TableParagraph"/>
              <w:spacing w:before="8"/>
              <w:ind w:right="198"/>
              <w:rPr>
                <w:sz w:val="16"/>
              </w:rPr>
            </w:pPr>
            <w:r>
              <w:rPr>
                <w:spacing w:val="-5"/>
                <w:sz w:val="16"/>
              </w:rPr>
              <w:t>3.3</w:t>
            </w:r>
          </w:p>
        </w:tc>
        <w:tc>
          <w:tcPr>
            <w:tcW w:w="741" w:type="dxa"/>
            <w:tcBorders>
              <w:bottom w:val="single" w:sz="4" w:space="0" w:color="000000"/>
            </w:tcBorders>
          </w:tcPr>
          <w:p>
            <w:pPr>
              <w:pStyle w:val="TableParagraph"/>
              <w:spacing w:before="8"/>
              <w:ind w:right="181"/>
              <w:rPr>
                <w:sz w:val="16"/>
              </w:rPr>
            </w:pPr>
            <w:r>
              <w:rPr>
                <w:spacing w:val="-5"/>
                <w:sz w:val="16"/>
              </w:rPr>
              <w:t>2.1</w:t>
            </w:r>
          </w:p>
        </w:tc>
        <w:tc>
          <w:tcPr>
            <w:tcW w:w="1053" w:type="dxa"/>
            <w:tcBorders>
              <w:bottom w:val="single" w:sz="4" w:space="0" w:color="000000"/>
            </w:tcBorders>
          </w:tcPr>
          <w:p>
            <w:pPr>
              <w:pStyle w:val="TableParagraph"/>
              <w:spacing w:before="8"/>
              <w:ind w:right="101"/>
              <w:rPr>
                <w:sz w:val="16"/>
              </w:rPr>
            </w:pPr>
            <w:r>
              <w:rPr>
                <w:spacing w:val="-2"/>
                <w:sz w:val="16"/>
              </w:rPr>
              <w:t>158.9</w:t>
            </w:r>
          </w:p>
        </w:tc>
      </w:tr>
      <w:tr>
        <w:trPr>
          <w:trHeight w:val="225" w:hRule="atLeast"/>
        </w:trPr>
        <w:tc>
          <w:tcPr>
            <w:tcW w:w="2475" w:type="dxa"/>
            <w:tcBorders>
              <w:top w:val="single" w:sz="4" w:space="0" w:color="000000"/>
              <w:bottom w:val="single" w:sz="4" w:space="0" w:color="000000"/>
            </w:tcBorders>
          </w:tcPr>
          <w:p>
            <w:pPr>
              <w:pStyle w:val="TableParagraph"/>
              <w:spacing w:before="9"/>
              <w:ind w:right="104"/>
              <w:rPr>
                <w:i/>
                <w:sz w:val="16"/>
              </w:rPr>
            </w:pPr>
            <w:r>
              <w:rPr>
                <w:i/>
                <w:sz w:val="16"/>
              </w:rPr>
              <w:t>Subtotal</w:t>
            </w:r>
            <w:r>
              <w:rPr>
                <w:i/>
                <w:spacing w:val="-1"/>
                <w:sz w:val="16"/>
              </w:rPr>
              <w:t> </w:t>
            </w:r>
            <w:r>
              <w:rPr>
                <w:i/>
                <w:spacing w:val="-2"/>
                <w:sz w:val="16"/>
              </w:rPr>
              <w:t>staff</w:t>
            </w:r>
          </w:p>
        </w:tc>
        <w:tc>
          <w:tcPr>
            <w:tcW w:w="1211" w:type="dxa"/>
            <w:tcBorders>
              <w:top w:val="single" w:sz="4" w:space="0" w:color="000000"/>
              <w:bottom w:val="single" w:sz="4" w:space="0" w:color="000000"/>
            </w:tcBorders>
          </w:tcPr>
          <w:p>
            <w:pPr>
              <w:pStyle w:val="TableParagraph"/>
              <w:spacing w:before="9"/>
              <w:ind w:right="188"/>
              <w:rPr>
                <w:i/>
                <w:sz w:val="16"/>
              </w:rPr>
            </w:pPr>
            <w:r>
              <w:rPr>
                <w:i/>
                <w:spacing w:val="-2"/>
                <w:sz w:val="16"/>
              </w:rPr>
              <w:t>1,508.8</w:t>
            </w:r>
          </w:p>
        </w:tc>
        <w:tc>
          <w:tcPr>
            <w:tcW w:w="827" w:type="dxa"/>
            <w:tcBorders>
              <w:top w:val="single" w:sz="4" w:space="0" w:color="000000"/>
              <w:bottom w:val="single" w:sz="4" w:space="0" w:color="000000"/>
            </w:tcBorders>
          </w:tcPr>
          <w:p>
            <w:pPr>
              <w:pStyle w:val="TableParagraph"/>
              <w:spacing w:before="9"/>
              <w:ind w:right="109"/>
              <w:rPr>
                <w:i/>
                <w:sz w:val="16"/>
              </w:rPr>
            </w:pPr>
            <w:r>
              <w:rPr>
                <w:i/>
                <w:w w:val="98"/>
                <w:sz w:val="16"/>
              </w:rPr>
              <w:t>-</w:t>
            </w:r>
          </w:p>
        </w:tc>
        <w:tc>
          <w:tcPr>
            <w:tcW w:w="1130" w:type="dxa"/>
            <w:tcBorders>
              <w:top w:val="single" w:sz="4" w:space="0" w:color="000000"/>
              <w:bottom w:val="single" w:sz="4" w:space="0" w:color="000000"/>
            </w:tcBorders>
          </w:tcPr>
          <w:p>
            <w:pPr>
              <w:pStyle w:val="TableParagraph"/>
              <w:spacing w:before="9"/>
              <w:ind w:right="100"/>
              <w:rPr>
                <w:i/>
                <w:sz w:val="16"/>
              </w:rPr>
            </w:pPr>
            <w:r>
              <w:rPr>
                <w:i/>
                <w:spacing w:val="-2"/>
                <w:sz w:val="16"/>
              </w:rPr>
              <w:t>1,508.8</w:t>
            </w:r>
          </w:p>
        </w:tc>
        <w:tc>
          <w:tcPr>
            <w:tcW w:w="1078" w:type="dxa"/>
            <w:tcBorders>
              <w:top w:val="single" w:sz="4" w:space="0" w:color="000000"/>
              <w:bottom w:val="single" w:sz="4" w:space="0" w:color="000000"/>
            </w:tcBorders>
          </w:tcPr>
          <w:p>
            <w:pPr>
              <w:pStyle w:val="TableParagraph"/>
              <w:spacing w:before="9"/>
              <w:ind w:right="50"/>
              <w:rPr>
                <w:i/>
                <w:sz w:val="16"/>
              </w:rPr>
            </w:pPr>
            <w:r>
              <w:rPr>
                <w:i/>
                <w:spacing w:val="-2"/>
                <w:sz w:val="16"/>
              </w:rPr>
              <w:t>1,627.7</w:t>
            </w:r>
          </w:p>
        </w:tc>
        <w:tc>
          <w:tcPr>
            <w:tcW w:w="1129" w:type="dxa"/>
            <w:tcBorders>
              <w:top w:val="single" w:sz="4" w:space="0" w:color="000000"/>
              <w:bottom w:val="single" w:sz="4" w:space="0" w:color="000000"/>
            </w:tcBorders>
          </w:tcPr>
          <w:p>
            <w:pPr>
              <w:pStyle w:val="TableParagraph"/>
              <w:spacing w:before="9"/>
              <w:ind w:right="194"/>
              <w:rPr>
                <w:i/>
                <w:sz w:val="16"/>
              </w:rPr>
            </w:pPr>
            <w:r>
              <w:rPr>
                <w:i/>
                <w:spacing w:val="-2"/>
                <w:sz w:val="16"/>
              </w:rPr>
              <w:t>298.3</w:t>
            </w:r>
          </w:p>
        </w:tc>
        <w:tc>
          <w:tcPr>
            <w:tcW w:w="741" w:type="dxa"/>
            <w:tcBorders>
              <w:top w:val="single" w:sz="4" w:space="0" w:color="000000"/>
              <w:bottom w:val="single" w:sz="4" w:space="0" w:color="000000"/>
            </w:tcBorders>
          </w:tcPr>
          <w:p>
            <w:pPr>
              <w:pStyle w:val="TableParagraph"/>
              <w:spacing w:before="9"/>
              <w:ind w:right="176"/>
              <w:rPr>
                <w:i/>
                <w:sz w:val="16"/>
              </w:rPr>
            </w:pPr>
            <w:r>
              <w:rPr>
                <w:i/>
                <w:spacing w:val="-4"/>
                <w:sz w:val="16"/>
              </w:rPr>
              <w:t>18.3</w:t>
            </w:r>
          </w:p>
        </w:tc>
        <w:tc>
          <w:tcPr>
            <w:tcW w:w="1053" w:type="dxa"/>
            <w:tcBorders>
              <w:top w:val="single" w:sz="4" w:space="0" w:color="000000"/>
              <w:bottom w:val="single" w:sz="4" w:space="0" w:color="000000"/>
            </w:tcBorders>
          </w:tcPr>
          <w:p>
            <w:pPr>
              <w:pStyle w:val="TableParagraph"/>
              <w:spacing w:before="9"/>
              <w:ind w:right="101"/>
              <w:rPr>
                <w:i/>
                <w:sz w:val="16"/>
              </w:rPr>
            </w:pPr>
            <w:r>
              <w:rPr>
                <w:i/>
                <w:spacing w:val="-2"/>
                <w:sz w:val="16"/>
              </w:rPr>
              <w:t>1,926.0</w:t>
            </w:r>
          </w:p>
        </w:tc>
      </w:tr>
      <w:tr>
        <w:trPr>
          <w:trHeight w:val="231" w:hRule="atLeast"/>
        </w:trPr>
        <w:tc>
          <w:tcPr>
            <w:tcW w:w="2475" w:type="dxa"/>
            <w:tcBorders>
              <w:top w:val="single" w:sz="4" w:space="0" w:color="000000"/>
            </w:tcBorders>
          </w:tcPr>
          <w:p>
            <w:pPr>
              <w:pStyle w:val="TableParagraph"/>
              <w:spacing w:before="14"/>
              <w:ind w:left="117"/>
              <w:jc w:val="left"/>
              <w:rPr>
                <w:sz w:val="16"/>
              </w:rPr>
            </w:pPr>
            <w:r>
              <w:rPr>
                <w:sz w:val="16"/>
              </w:rPr>
              <w:t>General</w:t>
            </w:r>
            <w:r>
              <w:rPr>
                <w:spacing w:val="-4"/>
                <w:sz w:val="16"/>
              </w:rPr>
              <w:t> </w:t>
            </w:r>
            <w:r>
              <w:rPr>
                <w:sz w:val="16"/>
              </w:rPr>
              <w:t>temporary</w:t>
            </w:r>
            <w:r>
              <w:rPr>
                <w:spacing w:val="-1"/>
                <w:sz w:val="16"/>
              </w:rPr>
              <w:t> </w:t>
            </w:r>
            <w:r>
              <w:rPr>
                <w:spacing w:val="-2"/>
                <w:sz w:val="16"/>
              </w:rPr>
              <w:t>assistance</w:t>
            </w:r>
          </w:p>
        </w:tc>
        <w:tc>
          <w:tcPr>
            <w:tcW w:w="1211" w:type="dxa"/>
            <w:tcBorders>
              <w:top w:val="single" w:sz="4" w:space="0" w:color="000000"/>
            </w:tcBorders>
          </w:tcPr>
          <w:p>
            <w:pPr>
              <w:pStyle w:val="TableParagraph"/>
              <w:spacing w:before="14"/>
              <w:ind w:right="188"/>
              <w:rPr>
                <w:sz w:val="16"/>
              </w:rPr>
            </w:pPr>
            <w:r>
              <w:rPr>
                <w:spacing w:val="-2"/>
                <w:sz w:val="16"/>
              </w:rPr>
              <w:t>236.8</w:t>
            </w:r>
          </w:p>
        </w:tc>
        <w:tc>
          <w:tcPr>
            <w:tcW w:w="827" w:type="dxa"/>
            <w:tcBorders>
              <w:top w:val="single" w:sz="4" w:space="0" w:color="000000"/>
            </w:tcBorders>
          </w:tcPr>
          <w:p>
            <w:pPr>
              <w:pStyle w:val="TableParagraph"/>
              <w:spacing w:before="14"/>
              <w:ind w:right="109"/>
              <w:rPr>
                <w:sz w:val="16"/>
              </w:rPr>
            </w:pPr>
            <w:r>
              <w:rPr>
                <w:w w:val="98"/>
                <w:sz w:val="16"/>
              </w:rPr>
              <w:t>-</w:t>
            </w:r>
          </w:p>
        </w:tc>
        <w:tc>
          <w:tcPr>
            <w:tcW w:w="1130" w:type="dxa"/>
            <w:tcBorders>
              <w:top w:val="single" w:sz="4" w:space="0" w:color="000000"/>
            </w:tcBorders>
          </w:tcPr>
          <w:p>
            <w:pPr>
              <w:pStyle w:val="TableParagraph"/>
              <w:spacing w:before="14"/>
              <w:ind w:right="100"/>
              <w:rPr>
                <w:sz w:val="16"/>
              </w:rPr>
            </w:pPr>
            <w:r>
              <w:rPr>
                <w:spacing w:val="-2"/>
                <w:sz w:val="16"/>
              </w:rPr>
              <w:t>236.8</w:t>
            </w:r>
          </w:p>
        </w:tc>
        <w:tc>
          <w:tcPr>
            <w:tcW w:w="1078" w:type="dxa"/>
            <w:tcBorders>
              <w:top w:val="single" w:sz="4" w:space="0" w:color="000000"/>
            </w:tcBorders>
          </w:tcPr>
          <w:p>
            <w:pPr>
              <w:pStyle w:val="TableParagraph"/>
              <w:spacing w:before="14"/>
              <w:ind w:right="51"/>
              <w:rPr>
                <w:sz w:val="16"/>
              </w:rPr>
            </w:pPr>
            <w:r>
              <w:rPr>
                <w:w w:val="98"/>
                <w:sz w:val="16"/>
              </w:rPr>
              <w:t>-</w:t>
            </w:r>
          </w:p>
        </w:tc>
        <w:tc>
          <w:tcPr>
            <w:tcW w:w="1129" w:type="dxa"/>
            <w:tcBorders>
              <w:top w:val="single" w:sz="4" w:space="0" w:color="000000"/>
            </w:tcBorders>
          </w:tcPr>
          <w:p>
            <w:pPr>
              <w:pStyle w:val="TableParagraph"/>
              <w:spacing w:before="14"/>
              <w:ind w:right="196"/>
              <w:rPr>
                <w:sz w:val="16"/>
              </w:rPr>
            </w:pPr>
            <w:r>
              <w:rPr>
                <w:w w:val="98"/>
                <w:sz w:val="16"/>
              </w:rPr>
              <w:t>-</w:t>
            </w:r>
          </w:p>
        </w:tc>
        <w:tc>
          <w:tcPr>
            <w:tcW w:w="741" w:type="dxa"/>
            <w:tcBorders>
              <w:top w:val="single" w:sz="4" w:space="0" w:color="000000"/>
            </w:tcBorders>
          </w:tcPr>
          <w:p>
            <w:pPr>
              <w:pStyle w:val="TableParagraph"/>
              <w:spacing w:before="14"/>
              <w:ind w:right="178"/>
              <w:rPr>
                <w:sz w:val="16"/>
              </w:rPr>
            </w:pPr>
            <w:r>
              <w:rPr>
                <w:w w:val="98"/>
                <w:sz w:val="16"/>
              </w:rPr>
              <w:t>-</w:t>
            </w:r>
          </w:p>
        </w:tc>
        <w:tc>
          <w:tcPr>
            <w:tcW w:w="1053" w:type="dxa"/>
            <w:tcBorders>
              <w:top w:val="single" w:sz="4" w:space="0" w:color="000000"/>
            </w:tcBorders>
          </w:tcPr>
          <w:p>
            <w:pPr>
              <w:pStyle w:val="TableParagraph"/>
              <w:spacing w:before="14"/>
              <w:ind w:right="102"/>
              <w:rPr>
                <w:sz w:val="16"/>
              </w:rPr>
            </w:pPr>
            <w:r>
              <w:rPr>
                <w:w w:val="98"/>
                <w:sz w:val="16"/>
              </w:rPr>
              <w:t>-</w:t>
            </w:r>
          </w:p>
        </w:tc>
      </w:tr>
      <w:tr>
        <w:trPr>
          <w:trHeight w:val="225" w:hRule="atLeast"/>
        </w:trPr>
        <w:tc>
          <w:tcPr>
            <w:tcW w:w="2475" w:type="dxa"/>
          </w:tcPr>
          <w:p>
            <w:pPr>
              <w:pStyle w:val="TableParagraph"/>
              <w:spacing w:before="8"/>
              <w:ind w:right="117"/>
              <w:rPr>
                <w:sz w:val="16"/>
              </w:rPr>
            </w:pPr>
            <w:r>
              <w:rPr>
                <w:sz w:val="16"/>
              </w:rPr>
              <w:t>Temporary</w:t>
            </w:r>
            <w:r>
              <w:rPr>
                <w:spacing w:val="-3"/>
                <w:sz w:val="16"/>
              </w:rPr>
              <w:t> </w:t>
            </w:r>
            <w:r>
              <w:rPr>
                <w:sz w:val="16"/>
              </w:rPr>
              <w:t>assistance</w:t>
            </w:r>
            <w:r>
              <w:rPr>
                <w:spacing w:val="-4"/>
                <w:sz w:val="16"/>
              </w:rPr>
              <w:t> </w:t>
            </w:r>
            <w:r>
              <w:rPr>
                <w:sz w:val="16"/>
              </w:rPr>
              <w:t>for</w:t>
            </w:r>
            <w:r>
              <w:rPr>
                <w:spacing w:val="-5"/>
                <w:sz w:val="16"/>
              </w:rPr>
              <w:t> </w:t>
            </w:r>
            <w:r>
              <w:rPr>
                <w:spacing w:val="-2"/>
                <w:sz w:val="16"/>
              </w:rPr>
              <w:t>meetings</w:t>
            </w:r>
          </w:p>
        </w:tc>
        <w:tc>
          <w:tcPr>
            <w:tcW w:w="1211" w:type="dxa"/>
          </w:tcPr>
          <w:p>
            <w:pPr>
              <w:pStyle w:val="TableParagraph"/>
              <w:spacing w:before="8"/>
              <w:ind w:right="190"/>
              <w:rPr>
                <w:sz w:val="16"/>
              </w:rPr>
            </w:pPr>
            <w:r>
              <w:rPr>
                <w:w w:val="98"/>
                <w:sz w:val="16"/>
              </w:rPr>
              <w:t>-</w:t>
            </w:r>
          </w:p>
        </w:tc>
        <w:tc>
          <w:tcPr>
            <w:tcW w:w="827" w:type="dxa"/>
          </w:tcPr>
          <w:p>
            <w:pPr>
              <w:pStyle w:val="TableParagraph"/>
              <w:spacing w:before="8"/>
              <w:ind w:right="109"/>
              <w:rPr>
                <w:sz w:val="16"/>
              </w:rPr>
            </w:pPr>
            <w:r>
              <w:rPr>
                <w:w w:val="98"/>
                <w:sz w:val="16"/>
              </w:rPr>
              <w:t>-</w:t>
            </w:r>
          </w:p>
        </w:tc>
        <w:tc>
          <w:tcPr>
            <w:tcW w:w="1130" w:type="dxa"/>
          </w:tcPr>
          <w:p>
            <w:pPr>
              <w:pStyle w:val="TableParagraph"/>
              <w:spacing w:before="8"/>
              <w:ind w:right="101"/>
              <w:rPr>
                <w:sz w:val="16"/>
              </w:rPr>
            </w:pPr>
            <w:r>
              <w:rPr>
                <w:w w:val="98"/>
                <w:sz w:val="16"/>
              </w:rPr>
              <w:t>-</w:t>
            </w:r>
          </w:p>
        </w:tc>
        <w:tc>
          <w:tcPr>
            <w:tcW w:w="1078" w:type="dxa"/>
          </w:tcPr>
          <w:p>
            <w:pPr>
              <w:pStyle w:val="TableParagraph"/>
              <w:spacing w:before="8"/>
              <w:ind w:right="51"/>
              <w:rPr>
                <w:sz w:val="16"/>
              </w:rPr>
            </w:pPr>
            <w:r>
              <w:rPr>
                <w:w w:val="98"/>
                <w:sz w:val="16"/>
              </w:rPr>
              <w:t>-</w:t>
            </w:r>
          </w:p>
        </w:tc>
        <w:tc>
          <w:tcPr>
            <w:tcW w:w="1129" w:type="dxa"/>
          </w:tcPr>
          <w:p>
            <w:pPr>
              <w:pStyle w:val="TableParagraph"/>
              <w:spacing w:before="8"/>
              <w:ind w:right="196"/>
              <w:rPr>
                <w:sz w:val="16"/>
              </w:rPr>
            </w:pPr>
            <w:r>
              <w:rPr>
                <w:w w:val="98"/>
                <w:sz w:val="16"/>
              </w:rPr>
              <w:t>-</w:t>
            </w:r>
          </w:p>
        </w:tc>
        <w:tc>
          <w:tcPr>
            <w:tcW w:w="741" w:type="dxa"/>
          </w:tcPr>
          <w:p>
            <w:pPr>
              <w:pStyle w:val="TableParagraph"/>
              <w:spacing w:before="8"/>
              <w:ind w:right="178"/>
              <w:rPr>
                <w:sz w:val="16"/>
              </w:rPr>
            </w:pPr>
            <w:r>
              <w:rPr>
                <w:w w:val="98"/>
                <w:sz w:val="16"/>
              </w:rPr>
              <w:t>-</w:t>
            </w:r>
          </w:p>
        </w:tc>
        <w:tc>
          <w:tcPr>
            <w:tcW w:w="1053" w:type="dxa"/>
          </w:tcPr>
          <w:p>
            <w:pPr>
              <w:pStyle w:val="TableParagraph"/>
              <w:spacing w:before="8"/>
              <w:ind w:right="102"/>
              <w:rPr>
                <w:sz w:val="16"/>
              </w:rPr>
            </w:pPr>
            <w:r>
              <w:rPr>
                <w:w w:val="98"/>
                <w:sz w:val="16"/>
              </w:rPr>
              <w:t>-</w:t>
            </w:r>
          </w:p>
        </w:tc>
      </w:tr>
      <w:tr>
        <w:trPr>
          <w:trHeight w:val="223" w:hRule="atLeast"/>
        </w:trPr>
        <w:tc>
          <w:tcPr>
            <w:tcW w:w="2475" w:type="dxa"/>
            <w:tcBorders>
              <w:bottom w:val="single" w:sz="4" w:space="0" w:color="000000"/>
            </w:tcBorders>
          </w:tcPr>
          <w:p>
            <w:pPr>
              <w:pStyle w:val="TableParagraph"/>
              <w:spacing w:before="8"/>
              <w:ind w:left="117"/>
              <w:jc w:val="left"/>
              <w:rPr>
                <w:sz w:val="16"/>
              </w:rPr>
            </w:pPr>
            <w:r>
              <w:rPr>
                <w:spacing w:val="-2"/>
                <w:sz w:val="16"/>
              </w:rPr>
              <w:t>Overtime</w:t>
            </w:r>
          </w:p>
        </w:tc>
        <w:tc>
          <w:tcPr>
            <w:tcW w:w="1211" w:type="dxa"/>
            <w:tcBorders>
              <w:bottom w:val="single" w:sz="4" w:space="0" w:color="000000"/>
            </w:tcBorders>
          </w:tcPr>
          <w:p>
            <w:pPr>
              <w:pStyle w:val="TableParagraph"/>
              <w:spacing w:before="8"/>
              <w:ind w:right="190"/>
              <w:rPr>
                <w:sz w:val="16"/>
              </w:rPr>
            </w:pPr>
            <w:r>
              <w:rPr>
                <w:w w:val="98"/>
                <w:sz w:val="16"/>
              </w:rPr>
              <w:t>-</w:t>
            </w:r>
          </w:p>
        </w:tc>
        <w:tc>
          <w:tcPr>
            <w:tcW w:w="827" w:type="dxa"/>
            <w:tcBorders>
              <w:bottom w:val="single" w:sz="4" w:space="0" w:color="000000"/>
            </w:tcBorders>
          </w:tcPr>
          <w:p>
            <w:pPr>
              <w:pStyle w:val="TableParagraph"/>
              <w:spacing w:before="8"/>
              <w:ind w:right="109"/>
              <w:rPr>
                <w:sz w:val="16"/>
              </w:rPr>
            </w:pPr>
            <w:r>
              <w:rPr>
                <w:w w:val="98"/>
                <w:sz w:val="16"/>
              </w:rPr>
              <w:t>-</w:t>
            </w:r>
          </w:p>
        </w:tc>
        <w:tc>
          <w:tcPr>
            <w:tcW w:w="1130" w:type="dxa"/>
            <w:tcBorders>
              <w:bottom w:val="single" w:sz="4" w:space="0" w:color="000000"/>
            </w:tcBorders>
          </w:tcPr>
          <w:p>
            <w:pPr>
              <w:pStyle w:val="TableParagraph"/>
              <w:spacing w:before="8"/>
              <w:ind w:right="101"/>
              <w:rPr>
                <w:sz w:val="16"/>
              </w:rPr>
            </w:pPr>
            <w:r>
              <w:rPr>
                <w:w w:val="98"/>
                <w:sz w:val="16"/>
              </w:rPr>
              <w:t>-</w:t>
            </w:r>
          </w:p>
        </w:tc>
        <w:tc>
          <w:tcPr>
            <w:tcW w:w="1078" w:type="dxa"/>
            <w:tcBorders>
              <w:bottom w:val="single" w:sz="4" w:space="0" w:color="000000"/>
            </w:tcBorders>
          </w:tcPr>
          <w:p>
            <w:pPr>
              <w:pStyle w:val="TableParagraph"/>
              <w:spacing w:before="8"/>
              <w:ind w:right="51"/>
              <w:rPr>
                <w:sz w:val="16"/>
              </w:rPr>
            </w:pPr>
            <w:r>
              <w:rPr>
                <w:w w:val="98"/>
                <w:sz w:val="16"/>
              </w:rPr>
              <w:t>-</w:t>
            </w:r>
          </w:p>
        </w:tc>
        <w:tc>
          <w:tcPr>
            <w:tcW w:w="1129" w:type="dxa"/>
            <w:tcBorders>
              <w:bottom w:val="single" w:sz="4" w:space="0" w:color="000000"/>
            </w:tcBorders>
          </w:tcPr>
          <w:p>
            <w:pPr>
              <w:pStyle w:val="TableParagraph"/>
              <w:spacing w:before="8"/>
              <w:ind w:right="196"/>
              <w:rPr>
                <w:sz w:val="16"/>
              </w:rPr>
            </w:pPr>
            <w:r>
              <w:rPr>
                <w:w w:val="98"/>
                <w:sz w:val="16"/>
              </w:rPr>
              <w:t>-</w:t>
            </w:r>
          </w:p>
        </w:tc>
        <w:tc>
          <w:tcPr>
            <w:tcW w:w="741" w:type="dxa"/>
            <w:tcBorders>
              <w:bottom w:val="single" w:sz="4" w:space="0" w:color="000000"/>
            </w:tcBorders>
          </w:tcPr>
          <w:p>
            <w:pPr>
              <w:pStyle w:val="TableParagraph"/>
              <w:spacing w:before="8"/>
              <w:ind w:right="178"/>
              <w:rPr>
                <w:sz w:val="16"/>
              </w:rPr>
            </w:pPr>
            <w:r>
              <w:rPr>
                <w:w w:val="98"/>
                <w:sz w:val="16"/>
              </w:rPr>
              <w:t>-</w:t>
            </w:r>
          </w:p>
        </w:tc>
        <w:tc>
          <w:tcPr>
            <w:tcW w:w="1053" w:type="dxa"/>
            <w:tcBorders>
              <w:bottom w:val="single" w:sz="4" w:space="0" w:color="000000"/>
            </w:tcBorders>
          </w:tcPr>
          <w:p>
            <w:pPr>
              <w:pStyle w:val="TableParagraph"/>
              <w:spacing w:before="8"/>
              <w:ind w:right="102"/>
              <w:rPr>
                <w:sz w:val="16"/>
              </w:rPr>
            </w:pPr>
            <w:r>
              <w:rPr>
                <w:w w:val="98"/>
                <w:sz w:val="16"/>
              </w:rPr>
              <w:t>-</w:t>
            </w:r>
          </w:p>
        </w:tc>
      </w:tr>
      <w:tr>
        <w:trPr>
          <w:trHeight w:val="225" w:hRule="atLeast"/>
        </w:trPr>
        <w:tc>
          <w:tcPr>
            <w:tcW w:w="2475" w:type="dxa"/>
            <w:tcBorders>
              <w:top w:val="single" w:sz="4" w:space="0" w:color="000000"/>
              <w:bottom w:val="single" w:sz="4" w:space="0" w:color="000000"/>
            </w:tcBorders>
          </w:tcPr>
          <w:p>
            <w:pPr>
              <w:pStyle w:val="TableParagraph"/>
              <w:spacing w:before="14"/>
              <w:ind w:right="104"/>
              <w:rPr>
                <w:i/>
                <w:sz w:val="16"/>
              </w:rPr>
            </w:pPr>
            <w:r>
              <w:rPr>
                <w:i/>
                <w:sz w:val="16"/>
              </w:rPr>
              <w:t>Subtotal</w:t>
            </w:r>
            <w:r>
              <w:rPr>
                <w:i/>
                <w:spacing w:val="-2"/>
                <w:sz w:val="16"/>
              </w:rPr>
              <w:t> </w:t>
            </w:r>
            <w:r>
              <w:rPr>
                <w:i/>
                <w:sz w:val="16"/>
              </w:rPr>
              <w:t>other</w:t>
            </w:r>
            <w:r>
              <w:rPr>
                <w:i/>
                <w:spacing w:val="-1"/>
                <w:sz w:val="16"/>
              </w:rPr>
              <w:t> </w:t>
            </w:r>
            <w:r>
              <w:rPr>
                <w:i/>
                <w:spacing w:val="-2"/>
                <w:sz w:val="16"/>
              </w:rPr>
              <w:t>staff</w:t>
            </w:r>
          </w:p>
        </w:tc>
        <w:tc>
          <w:tcPr>
            <w:tcW w:w="1211" w:type="dxa"/>
            <w:tcBorders>
              <w:top w:val="single" w:sz="4" w:space="0" w:color="000000"/>
              <w:bottom w:val="single" w:sz="4" w:space="0" w:color="000000"/>
            </w:tcBorders>
          </w:tcPr>
          <w:p>
            <w:pPr>
              <w:pStyle w:val="TableParagraph"/>
              <w:spacing w:before="14"/>
              <w:ind w:right="188"/>
              <w:rPr>
                <w:i/>
                <w:sz w:val="16"/>
              </w:rPr>
            </w:pPr>
            <w:r>
              <w:rPr>
                <w:i/>
                <w:spacing w:val="-2"/>
                <w:sz w:val="16"/>
              </w:rPr>
              <w:t>236.8</w:t>
            </w:r>
          </w:p>
        </w:tc>
        <w:tc>
          <w:tcPr>
            <w:tcW w:w="827" w:type="dxa"/>
            <w:tcBorders>
              <w:top w:val="single" w:sz="4" w:space="0" w:color="000000"/>
              <w:bottom w:val="single" w:sz="4" w:space="0" w:color="000000"/>
            </w:tcBorders>
          </w:tcPr>
          <w:p>
            <w:pPr>
              <w:pStyle w:val="TableParagraph"/>
              <w:spacing w:before="14"/>
              <w:ind w:right="109"/>
              <w:rPr>
                <w:i/>
                <w:sz w:val="16"/>
              </w:rPr>
            </w:pPr>
            <w:r>
              <w:rPr>
                <w:i/>
                <w:w w:val="98"/>
                <w:sz w:val="16"/>
              </w:rPr>
              <w:t>-</w:t>
            </w:r>
          </w:p>
        </w:tc>
        <w:tc>
          <w:tcPr>
            <w:tcW w:w="1130" w:type="dxa"/>
            <w:tcBorders>
              <w:top w:val="single" w:sz="4" w:space="0" w:color="000000"/>
              <w:bottom w:val="single" w:sz="4" w:space="0" w:color="000000"/>
            </w:tcBorders>
          </w:tcPr>
          <w:p>
            <w:pPr>
              <w:pStyle w:val="TableParagraph"/>
              <w:spacing w:before="14"/>
              <w:ind w:right="100"/>
              <w:rPr>
                <w:i/>
                <w:sz w:val="16"/>
              </w:rPr>
            </w:pPr>
            <w:r>
              <w:rPr>
                <w:i/>
                <w:spacing w:val="-2"/>
                <w:sz w:val="16"/>
              </w:rPr>
              <w:t>236.8</w:t>
            </w:r>
          </w:p>
        </w:tc>
        <w:tc>
          <w:tcPr>
            <w:tcW w:w="1078" w:type="dxa"/>
            <w:tcBorders>
              <w:top w:val="single" w:sz="4" w:space="0" w:color="000000"/>
              <w:bottom w:val="single" w:sz="4" w:space="0" w:color="000000"/>
            </w:tcBorders>
          </w:tcPr>
          <w:p>
            <w:pPr>
              <w:pStyle w:val="TableParagraph"/>
              <w:spacing w:before="14"/>
              <w:ind w:right="51"/>
              <w:rPr>
                <w:i/>
                <w:sz w:val="16"/>
              </w:rPr>
            </w:pPr>
            <w:r>
              <w:rPr>
                <w:i/>
                <w:w w:val="98"/>
                <w:sz w:val="16"/>
              </w:rPr>
              <w:t>-</w:t>
            </w:r>
          </w:p>
        </w:tc>
        <w:tc>
          <w:tcPr>
            <w:tcW w:w="1129" w:type="dxa"/>
            <w:tcBorders>
              <w:top w:val="single" w:sz="4" w:space="0" w:color="000000"/>
              <w:bottom w:val="single" w:sz="4" w:space="0" w:color="000000"/>
            </w:tcBorders>
          </w:tcPr>
          <w:p>
            <w:pPr>
              <w:pStyle w:val="TableParagraph"/>
              <w:spacing w:before="14"/>
              <w:ind w:right="196"/>
              <w:rPr>
                <w:i/>
                <w:sz w:val="16"/>
              </w:rPr>
            </w:pPr>
            <w:r>
              <w:rPr>
                <w:i/>
                <w:w w:val="98"/>
                <w:sz w:val="16"/>
              </w:rPr>
              <w:t>-</w:t>
            </w:r>
          </w:p>
        </w:tc>
        <w:tc>
          <w:tcPr>
            <w:tcW w:w="741" w:type="dxa"/>
            <w:tcBorders>
              <w:top w:val="single" w:sz="4" w:space="0" w:color="000000"/>
              <w:bottom w:val="single" w:sz="4" w:space="0" w:color="000000"/>
            </w:tcBorders>
          </w:tcPr>
          <w:p>
            <w:pPr>
              <w:pStyle w:val="TableParagraph"/>
              <w:spacing w:before="14"/>
              <w:ind w:right="178"/>
              <w:rPr>
                <w:i/>
                <w:sz w:val="16"/>
              </w:rPr>
            </w:pPr>
            <w:r>
              <w:rPr>
                <w:i/>
                <w:w w:val="98"/>
                <w:sz w:val="16"/>
              </w:rPr>
              <w:t>-</w:t>
            </w:r>
          </w:p>
        </w:tc>
        <w:tc>
          <w:tcPr>
            <w:tcW w:w="1053" w:type="dxa"/>
            <w:tcBorders>
              <w:top w:val="single" w:sz="4" w:space="0" w:color="000000"/>
              <w:bottom w:val="single" w:sz="4" w:space="0" w:color="000000"/>
            </w:tcBorders>
          </w:tcPr>
          <w:p>
            <w:pPr>
              <w:pStyle w:val="TableParagraph"/>
              <w:spacing w:before="14"/>
              <w:ind w:right="102"/>
              <w:rPr>
                <w:i/>
                <w:sz w:val="16"/>
              </w:rPr>
            </w:pPr>
            <w:r>
              <w:rPr>
                <w:i/>
                <w:w w:val="98"/>
                <w:sz w:val="16"/>
              </w:rPr>
              <w:t>-</w:t>
            </w:r>
          </w:p>
        </w:tc>
      </w:tr>
      <w:tr>
        <w:trPr>
          <w:trHeight w:val="231" w:hRule="atLeast"/>
        </w:trPr>
        <w:tc>
          <w:tcPr>
            <w:tcW w:w="2475" w:type="dxa"/>
            <w:tcBorders>
              <w:top w:val="single" w:sz="4" w:space="0" w:color="000000"/>
            </w:tcBorders>
          </w:tcPr>
          <w:p>
            <w:pPr>
              <w:pStyle w:val="TableParagraph"/>
              <w:spacing w:before="14"/>
              <w:ind w:left="117"/>
              <w:jc w:val="left"/>
              <w:rPr>
                <w:sz w:val="16"/>
              </w:rPr>
            </w:pPr>
            <w:r>
              <w:rPr>
                <w:spacing w:val="-2"/>
                <w:sz w:val="16"/>
              </w:rPr>
              <w:t>Travel</w:t>
            </w:r>
          </w:p>
        </w:tc>
        <w:tc>
          <w:tcPr>
            <w:tcW w:w="1211" w:type="dxa"/>
            <w:tcBorders>
              <w:top w:val="single" w:sz="4" w:space="0" w:color="000000"/>
            </w:tcBorders>
          </w:tcPr>
          <w:p>
            <w:pPr>
              <w:pStyle w:val="TableParagraph"/>
              <w:spacing w:before="14"/>
              <w:ind w:right="193"/>
              <w:rPr>
                <w:sz w:val="16"/>
              </w:rPr>
            </w:pPr>
            <w:r>
              <w:rPr>
                <w:spacing w:val="-5"/>
                <w:sz w:val="16"/>
              </w:rPr>
              <w:t>1.0</w:t>
            </w:r>
          </w:p>
        </w:tc>
        <w:tc>
          <w:tcPr>
            <w:tcW w:w="827" w:type="dxa"/>
            <w:tcBorders>
              <w:top w:val="single" w:sz="4" w:space="0" w:color="000000"/>
            </w:tcBorders>
          </w:tcPr>
          <w:p>
            <w:pPr>
              <w:pStyle w:val="TableParagraph"/>
              <w:spacing w:before="14"/>
              <w:ind w:right="109"/>
              <w:rPr>
                <w:sz w:val="16"/>
              </w:rPr>
            </w:pPr>
            <w:r>
              <w:rPr>
                <w:w w:val="98"/>
                <w:sz w:val="16"/>
              </w:rPr>
              <w:t>-</w:t>
            </w:r>
          </w:p>
        </w:tc>
        <w:tc>
          <w:tcPr>
            <w:tcW w:w="1130" w:type="dxa"/>
            <w:tcBorders>
              <w:top w:val="single" w:sz="4" w:space="0" w:color="000000"/>
            </w:tcBorders>
          </w:tcPr>
          <w:p>
            <w:pPr>
              <w:pStyle w:val="TableParagraph"/>
              <w:spacing w:before="14"/>
              <w:ind w:right="104"/>
              <w:rPr>
                <w:sz w:val="16"/>
              </w:rPr>
            </w:pPr>
            <w:r>
              <w:rPr>
                <w:spacing w:val="-5"/>
                <w:sz w:val="16"/>
              </w:rPr>
              <w:t>1.0</w:t>
            </w:r>
          </w:p>
        </w:tc>
        <w:tc>
          <w:tcPr>
            <w:tcW w:w="1078" w:type="dxa"/>
            <w:tcBorders>
              <w:top w:val="single" w:sz="4" w:space="0" w:color="000000"/>
            </w:tcBorders>
          </w:tcPr>
          <w:p>
            <w:pPr>
              <w:pStyle w:val="TableParagraph"/>
              <w:spacing w:before="14"/>
              <w:ind w:right="49"/>
              <w:rPr>
                <w:sz w:val="16"/>
              </w:rPr>
            </w:pPr>
            <w:r>
              <w:rPr>
                <w:spacing w:val="-4"/>
                <w:sz w:val="16"/>
              </w:rPr>
              <w:t>19.5</w:t>
            </w:r>
          </w:p>
        </w:tc>
        <w:tc>
          <w:tcPr>
            <w:tcW w:w="1129" w:type="dxa"/>
            <w:tcBorders>
              <w:top w:val="single" w:sz="4" w:space="0" w:color="000000"/>
            </w:tcBorders>
          </w:tcPr>
          <w:p>
            <w:pPr>
              <w:pStyle w:val="TableParagraph"/>
              <w:spacing w:before="14"/>
              <w:ind w:right="194"/>
              <w:rPr>
                <w:sz w:val="16"/>
              </w:rPr>
            </w:pPr>
            <w:r>
              <w:rPr>
                <w:spacing w:val="-4"/>
                <w:sz w:val="16"/>
              </w:rPr>
              <w:t>38.3</w:t>
            </w:r>
          </w:p>
        </w:tc>
        <w:tc>
          <w:tcPr>
            <w:tcW w:w="741" w:type="dxa"/>
            <w:tcBorders>
              <w:top w:val="single" w:sz="4" w:space="0" w:color="000000"/>
            </w:tcBorders>
          </w:tcPr>
          <w:p>
            <w:pPr>
              <w:pStyle w:val="TableParagraph"/>
              <w:spacing w:before="14"/>
              <w:ind w:right="176"/>
              <w:rPr>
                <w:sz w:val="16"/>
              </w:rPr>
            </w:pPr>
            <w:r>
              <w:rPr>
                <w:spacing w:val="-2"/>
                <w:sz w:val="16"/>
              </w:rPr>
              <w:t>196.4</w:t>
            </w:r>
          </w:p>
        </w:tc>
        <w:tc>
          <w:tcPr>
            <w:tcW w:w="1053" w:type="dxa"/>
            <w:tcBorders>
              <w:top w:val="single" w:sz="4" w:space="0" w:color="000000"/>
            </w:tcBorders>
          </w:tcPr>
          <w:p>
            <w:pPr>
              <w:pStyle w:val="TableParagraph"/>
              <w:spacing w:before="14"/>
              <w:ind w:right="100"/>
              <w:rPr>
                <w:sz w:val="16"/>
              </w:rPr>
            </w:pPr>
            <w:r>
              <w:rPr>
                <w:spacing w:val="-4"/>
                <w:sz w:val="16"/>
              </w:rPr>
              <w:t>57.8</w:t>
            </w:r>
          </w:p>
        </w:tc>
      </w:tr>
      <w:tr>
        <w:trPr>
          <w:trHeight w:val="228" w:hRule="atLeast"/>
        </w:trPr>
        <w:tc>
          <w:tcPr>
            <w:tcW w:w="2475" w:type="dxa"/>
          </w:tcPr>
          <w:p>
            <w:pPr>
              <w:pStyle w:val="TableParagraph"/>
              <w:spacing w:before="8"/>
              <w:ind w:left="117"/>
              <w:jc w:val="left"/>
              <w:rPr>
                <w:sz w:val="16"/>
              </w:rPr>
            </w:pPr>
            <w:r>
              <w:rPr>
                <w:spacing w:val="-2"/>
                <w:sz w:val="16"/>
              </w:rPr>
              <w:t>Hospitality</w:t>
            </w:r>
          </w:p>
        </w:tc>
        <w:tc>
          <w:tcPr>
            <w:tcW w:w="1211" w:type="dxa"/>
          </w:tcPr>
          <w:p>
            <w:pPr>
              <w:pStyle w:val="TableParagraph"/>
              <w:spacing w:before="8"/>
              <w:ind w:right="190"/>
              <w:rPr>
                <w:sz w:val="16"/>
              </w:rPr>
            </w:pPr>
            <w:r>
              <w:rPr>
                <w:w w:val="98"/>
                <w:sz w:val="16"/>
              </w:rPr>
              <w:t>-</w:t>
            </w:r>
          </w:p>
        </w:tc>
        <w:tc>
          <w:tcPr>
            <w:tcW w:w="827" w:type="dxa"/>
          </w:tcPr>
          <w:p>
            <w:pPr>
              <w:pStyle w:val="TableParagraph"/>
              <w:spacing w:before="8"/>
              <w:ind w:right="109"/>
              <w:rPr>
                <w:sz w:val="16"/>
              </w:rPr>
            </w:pPr>
            <w:r>
              <w:rPr>
                <w:w w:val="98"/>
                <w:sz w:val="16"/>
              </w:rPr>
              <w:t>-</w:t>
            </w:r>
          </w:p>
        </w:tc>
        <w:tc>
          <w:tcPr>
            <w:tcW w:w="1130" w:type="dxa"/>
          </w:tcPr>
          <w:p>
            <w:pPr>
              <w:pStyle w:val="TableParagraph"/>
              <w:spacing w:before="8"/>
              <w:ind w:right="101"/>
              <w:rPr>
                <w:sz w:val="16"/>
              </w:rPr>
            </w:pPr>
            <w:r>
              <w:rPr>
                <w:w w:val="98"/>
                <w:sz w:val="16"/>
              </w:rPr>
              <w:t>-</w:t>
            </w:r>
          </w:p>
        </w:tc>
        <w:tc>
          <w:tcPr>
            <w:tcW w:w="1078" w:type="dxa"/>
          </w:tcPr>
          <w:p>
            <w:pPr>
              <w:pStyle w:val="TableParagraph"/>
              <w:spacing w:before="8"/>
              <w:ind w:right="54"/>
              <w:rPr>
                <w:sz w:val="16"/>
              </w:rPr>
            </w:pPr>
            <w:r>
              <w:rPr>
                <w:spacing w:val="-5"/>
                <w:sz w:val="16"/>
              </w:rPr>
              <w:t>4.0</w:t>
            </w:r>
          </w:p>
        </w:tc>
        <w:tc>
          <w:tcPr>
            <w:tcW w:w="1129" w:type="dxa"/>
          </w:tcPr>
          <w:p>
            <w:pPr>
              <w:pStyle w:val="TableParagraph"/>
              <w:spacing w:before="8"/>
              <w:ind w:right="196"/>
              <w:rPr>
                <w:sz w:val="16"/>
              </w:rPr>
            </w:pPr>
            <w:r>
              <w:rPr>
                <w:w w:val="98"/>
                <w:sz w:val="16"/>
              </w:rPr>
              <w:t>-</w:t>
            </w:r>
          </w:p>
        </w:tc>
        <w:tc>
          <w:tcPr>
            <w:tcW w:w="741" w:type="dxa"/>
          </w:tcPr>
          <w:p>
            <w:pPr>
              <w:pStyle w:val="TableParagraph"/>
              <w:spacing w:before="8"/>
              <w:ind w:right="178"/>
              <w:rPr>
                <w:sz w:val="16"/>
              </w:rPr>
            </w:pPr>
            <w:r>
              <w:rPr>
                <w:w w:val="98"/>
                <w:sz w:val="16"/>
              </w:rPr>
              <w:t>-</w:t>
            </w:r>
          </w:p>
        </w:tc>
        <w:tc>
          <w:tcPr>
            <w:tcW w:w="1053" w:type="dxa"/>
          </w:tcPr>
          <w:p>
            <w:pPr>
              <w:pStyle w:val="TableParagraph"/>
              <w:spacing w:before="8"/>
              <w:ind w:right="105"/>
              <w:rPr>
                <w:sz w:val="16"/>
              </w:rPr>
            </w:pPr>
            <w:r>
              <w:rPr>
                <w:spacing w:val="-5"/>
                <w:sz w:val="16"/>
              </w:rPr>
              <w:t>4.0</w:t>
            </w:r>
          </w:p>
        </w:tc>
      </w:tr>
      <w:tr>
        <w:trPr>
          <w:trHeight w:val="228" w:hRule="atLeast"/>
        </w:trPr>
        <w:tc>
          <w:tcPr>
            <w:tcW w:w="2475" w:type="dxa"/>
          </w:tcPr>
          <w:p>
            <w:pPr>
              <w:pStyle w:val="TableParagraph"/>
              <w:spacing w:before="10"/>
              <w:ind w:left="117"/>
              <w:jc w:val="left"/>
              <w:rPr>
                <w:sz w:val="16"/>
              </w:rPr>
            </w:pPr>
            <w:r>
              <w:rPr>
                <w:w w:val="95"/>
                <w:sz w:val="16"/>
              </w:rPr>
              <w:t>Contractual</w:t>
            </w:r>
            <w:r>
              <w:rPr>
                <w:spacing w:val="33"/>
                <w:sz w:val="16"/>
              </w:rPr>
              <w:t> </w:t>
            </w:r>
            <w:r>
              <w:rPr>
                <w:spacing w:val="-2"/>
                <w:sz w:val="16"/>
              </w:rPr>
              <w:t>services</w:t>
            </w:r>
          </w:p>
        </w:tc>
        <w:tc>
          <w:tcPr>
            <w:tcW w:w="1211" w:type="dxa"/>
          </w:tcPr>
          <w:p>
            <w:pPr>
              <w:pStyle w:val="TableParagraph"/>
              <w:spacing w:before="10"/>
              <w:ind w:right="188"/>
              <w:rPr>
                <w:sz w:val="16"/>
              </w:rPr>
            </w:pPr>
            <w:r>
              <w:rPr>
                <w:spacing w:val="-4"/>
                <w:sz w:val="16"/>
              </w:rPr>
              <w:t>20.8</w:t>
            </w:r>
          </w:p>
        </w:tc>
        <w:tc>
          <w:tcPr>
            <w:tcW w:w="827" w:type="dxa"/>
          </w:tcPr>
          <w:p>
            <w:pPr>
              <w:pStyle w:val="TableParagraph"/>
              <w:spacing w:before="10"/>
              <w:ind w:right="109"/>
              <w:rPr>
                <w:sz w:val="16"/>
              </w:rPr>
            </w:pPr>
            <w:r>
              <w:rPr>
                <w:w w:val="98"/>
                <w:sz w:val="16"/>
              </w:rPr>
              <w:t>-</w:t>
            </w:r>
          </w:p>
        </w:tc>
        <w:tc>
          <w:tcPr>
            <w:tcW w:w="1130" w:type="dxa"/>
          </w:tcPr>
          <w:p>
            <w:pPr>
              <w:pStyle w:val="TableParagraph"/>
              <w:spacing w:before="10"/>
              <w:ind w:right="100"/>
              <w:rPr>
                <w:sz w:val="16"/>
              </w:rPr>
            </w:pPr>
            <w:r>
              <w:rPr>
                <w:spacing w:val="-4"/>
                <w:sz w:val="16"/>
              </w:rPr>
              <w:t>20.8</w:t>
            </w:r>
          </w:p>
        </w:tc>
        <w:tc>
          <w:tcPr>
            <w:tcW w:w="1078" w:type="dxa"/>
          </w:tcPr>
          <w:p>
            <w:pPr>
              <w:pStyle w:val="TableParagraph"/>
              <w:spacing w:before="10"/>
              <w:ind w:right="51"/>
              <w:rPr>
                <w:sz w:val="16"/>
              </w:rPr>
            </w:pPr>
            <w:r>
              <w:rPr>
                <w:w w:val="98"/>
                <w:sz w:val="16"/>
              </w:rPr>
              <w:t>-</w:t>
            </w:r>
          </w:p>
        </w:tc>
        <w:tc>
          <w:tcPr>
            <w:tcW w:w="1129" w:type="dxa"/>
          </w:tcPr>
          <w:p>
            <w:pPr>
              <w:pStyle w:val="TableParagraph"/>
              <w:spacing w:before="10"/>
              <w:ind w:right="196"/>
              <w:rPr>
                <w:sz w:val="16"/>
              </w:rPr>
            </w:pPr>
            <w:r>
              <w:rPr>
                <w:w w:val="98"/>
                <w:sz w:val="16"/>
              </w:rPr>
              <w:t>-</w:t>
            </w:r>
          </w:p>
        </w:tc>
        <w:tc>
          <w:tcPr>
            <w:tcW w:w="741" w:type="dxa"/>
          </w:tcPr>
          <w:p>
            <w:pPr>
              <w:pStyle w:val="TableParagraph"/>
              <w:spacing w:before="10"/>
              <w:ind w:right="178"/>
              <w:rPr>
                <w:sz w:val="16"/>
              </w:rPr>
            </w:pPr>
            <w:r>
              <w:rPr>
                <w:w w:val="98"/>
                <w:sz w:val="16"/>
              </w:rPr>
              <w:t>-</w:t>
            </w:r>
          </w:p>
        </w:tc>
        <w:tc>
          <w:tcPr>
            <w:tcW w:w="1053" w:type="dxa"/>
          </w:tcPr>
          <w:p>
            <w:pPr>
              <w:pStyle w:val="TableParagraph"/>
              <w:spacing w:before="10"/>
              <w:ind w:right="102"/>
              <w:rPr>
                <w:sz w:val="16"/>
              </w:rPr>
            </w:pPr>
            <w:r>
              <w:rPr>
                <w:w w:val="98"/>
                <w:sz w:val="16"/>
              </w:rPr>
              <w:t>-</w:t>
            </w:r>
          </w:p>
        </w:tc>
      </w:tr>
      <w:tr>
        <w:trPr>
          <w:trHeight w:val="225" w:hRule="atLeast"/>
        </w:trPr>
        <w:tc>
          <w:tcPr>
            <w:tcW w:w="2475" w:type="dxa"/>
          </w:tcPr>
          <w:p>
            <w:pPr>
              <w:pStyle w:val="TableParagraph"/>
              <w:spacing w:before="8"/>
              <w:ind w:left="117"/>
              <w:jc w:val="left"/>
              <w:rPr>
                <w:sz w:val="16"/>
              </w:rPr>
            </w:pPr>
            <w:r>
              <w:rPr>
                <w:spacing w:val="-2"/>
                <w:sz w:val="16"/>
              </w:rPr>
              <w:t>Training</w:t>
            </w:r>
          </w:p>
        </w:tc>
        <w:tc>
          <w:tcPr>
            <w:tcW w:w="1211" w:type="dxa"/>
          </w:tcPr>
          <w:p>
            <w:pPr>
              <w:pStyle w:val="TableParagraph"/>
              <w:spacing w:before="8"/>
              <w:ind w:right="190"/>
              <w:rPr>
                <w:sz w:val="16"/>
              </w:rPr>
            </w:pPr>
            <w:r>
              <w:rPr>
                <w:w w:val="98"/>
                <w:sz w:val="16"/>
              </w:rPr>
              <w:t>-</w:t>
            </w:r>
          </w:p>
        </w:tc>
        <w:tc>
          <w:tcPr>
            <w:tcW w:w="827" w:type="dxa"/>
          </w:tcPr>
          <w:p>
            <w:pPr>
              <w:pStyle w:val="TableParagraph"/>
              <w:spacing w:before="8"/>
              <w:ind w:right="109"/>
              <w:rPr>
                <w:sz w:val="16"/>
              </w:rPr>
            </w:pPr>
            <w:r>
              <w:rPr>
                <w:w w:val="98"/>
                <w:sz w:val="16"/>
              </w:rPr>
              <w:t>-</w:t>
            </w:r>
          </w:p>
        </w:tc>
        <w:tc>
          <w:tcPr>
            <w:tcW w:w="1130" w:type="dxa"/>
          </w:tcPr>
          <w:p>
            <w:pPr>
              <w:pStyle w:val="TableParagraph"/>
              <w:spacing w:before="8"/>
              <w:ind w:right="101"/>
              <w:rPr>
                <w:sz w:val="16"/>
              </w:rPr>
            </w:pPr>
            <w:r>
              <w:rPr>
                <w:w w:val="98"/>
                <w:sz w:val="16"/>
              </w:rPr>
              <w:t>-</w:t>
            </w:r>
          </w:p>
        </w:tc>
        <w:tc>
          <w:tcPr>
            <w:tcW w:w="1078" w:type="dxa"/>
          </w:tcPr>
          <w:p>
            <w:pPr>
              <w:pStyle w:val="TableParagraph"/>
              <w:spacing w:before="8"/>
              <w:ind w:right="54"/>
              <w:rPr>
                <w:sz w:val="16"/>
              </w:rPr>
            </w:pPr>
            <w:r>
              <w:rPr>
                <w:spacing w:val="-5"/>
                <w:sz w:val="16"/>
              </w:rPr>
              <w:t>6.8</w:t>
            </w:r>
          </w:p>
        </w:tc>
        <w:tc>
          <w:tcPr>
            <w:tcW w:w="1129" w:type="dxa"/>
          </w:tcPr>
          <w:p>
            <w:pPr>
              <w:pStyle w:val="TableParagraph"/>
              <w:spacing w:before="8"/>
              <w:ind w:right="194"/>
              <w:rPr>
                <w:sz w:val="16"/>
              </w:rPr>
            </w:pPr>
            <w:r>
              <w:rPr>
                <w:spacing w:val="-4"/>
                <w:sz w:val="16"/>
              </w:rPr>
              <w:t>30.0</w:t>
            </w:r>
          </w:p>
        </w:tc>
        <w:tc>
          <w:tcPr>
            <w:tcW w:w="741" w:type="dxa"/>
          </w:tcPr>
          <w:p>
            <w:pPr>
              <w:pStyle w:val="TableParagraph"/>
              <w:spacing w:before="8"/>
              <w:ind w:right="176"/>
              <w:rPr>
                <w:sz w:val="16"/>
              </w:rPr>
            </w:pPr>
            <w:r>
              <w:rPr>
                <w:spacing w:val="-2"/>
                <w:sz w:val="16"/>
              </w:rPr>
              <w:t>441.2</w:t>
            </w:r>
          </w:p>
        </w:tc>
        <w:tc>
          <w:tcPr>
            <w:tcW w:w="1053" w:type="dxa"/>
          </w:tcPr>
          <w:p>
            <w:pPr>
              <w:pStyle w:val="TableParagraph"/>
              <w:spacing w:before="8"/>
              <w:ind w:right="100"/>
              <w:rPr>
                <w:sz w:val="16"/>
              </w:rPr>
            </w:pPr>
            <w:r>
              <w:rPr>
                <w:spacing w:val="-4"/>
                <w:sz w:val="16"/>
              </w:rPr>
              <w:t>36.8</w:t>
            </w:r>
          </w:p>
        </w:tc>
      </w:tr>
      <w:tr>
        <w:trPr>
          <w:trHeight w:val="225" w:hRule="atLeast"/>
        </w:trPr>
        <w:tc>
          <w:tcPr>
            <w:tcW w:w="2475" w:type="dxa"/>
          </w:tcPr>
          <w:p>
            <w:pPr>
              <w:pStyle w:val="TableParagraph"/>
              <w:spacing w:before="8"/>
              <w:ind w:left="117"/>
              <w:jc w:val="left"/>
              <w:rPr>
                <w:sz w:val="16"/>
              </w:rPr>
            </w:pPr>
            <w:r>
              <w:rPr>
                <w:spacing w:val="-2"/>
                <w:sz w:val="16"/>
              </w:rPr>
              <w:t>Consultants</w:t>
            </w:r>
          </w:p>
        </w:tc>
        <w:tc>
          <w:tcPr>
            <w:tcW w:w="1211" w:type="dxa"/>
          </w:tcPr>
          <w:p>
            <w:pPr>
              <w:pStyle w:val="TableParagraph"/>
              <w:spacing w:before="8"/>
              <w:ind w:right="190"/>
              <w:rPr>
                <w:sz w:val="16"/>
              </w:rPr>
            </w:pPr>
            <w:r>
              <w:rPr>
                <w:w w:val="98"/>
                <w:sz w:val="16"/>
              </w:rPr>
              <w:t>-</w:t>
            </w:r>
          </w:p>
        </w:tc>
        <w:tc>
          <w:tcPr>
            <w:tcW w:w="827" w:type="dxa"/>
          </w:tcPr>
          <w:p>
            <w:pPr>
              <w:pStyle w:val="TableParagraph"/>
              <w:spacing w:before="8"/>
              <w:ind w:right="109"/>
              <w:rPr>
                <w:sz w:val="16"/>
              </w:rPr>
            </w:pPr>
            <w:r>
              <w:rPr>
                <w:w w:val="98"/>
                <w:sz w:val="16"/>
              </w:rPr>
              <w:t>-</w:t>
            </w:r>
          </w:p>
        </w:tc>
        <w:tc>
          <w:tcPr>
            <w:tcW w:w="1130" w:type="dxa"/>
          </w:tcPr>
          <w:p>
            <w:pPr>
              <w:pStyle w:val="TableParagraph"/>
              <w:spacing w:before="8"/>
              <w:ind w:right="101"/>
              <w:rPr>
                <w:sz w:val="16"/>
              </w:rPr>
            </w:pPr>
            <w:r>
              <w:rPr>
                <w:w w:val="98"/>
                <w:sz w:val="16"/>
              </w:rPr>
              <w:t>-</w:t>
            </w:r>
          </w:p>
        </w:tc>
        <w:tc>
          <w:tcPr>
            <w:tcW w:w="1078" w:type="dxa"/>
          </w:tcPr>
          <w:p>
            <w:pPr>
              <w:pStyle w:val="TableParagraph"/>
              <w:spacing w:before="8"/>
              <w:ind w:right="51"/>
              <w:rPr>
                <w:sz w:val="16"/>
              </w:rPr>
            </w:pPr>
            <w:r>
              <w:rPr>
                <w:w w:val="98"/>
                <w:sz w:val="16"/>
              </w:rPr>
              <w:t>-</w:t>
            </w:r>
          </w:p>
        </w:tc>
        <w:tc>
          <w:tcPr>
            <w:tcW w:w="1129" w:type="dxa"/>
          </w:tcPr>
          <w:p>
            <w:pPr>
              <w:pStyle w:val="TableParagraph"/>
              <w:spacing w:before="8"/>
              <w:ind w:right="194"/>
              <w:rPr>
                <w:sz w:val="16"/>
              </w:rPr>
            </w:pPr>
            <w:r>
              <w:rPr>
                <w:spacing w:val="-2"/>
                <w:sz w:val="16"/>
              </w:rPr>
              <w:t>149.0</w:t>
            </w:r>
          </w:p>
        </w:tc>
        <w:tc>
          <w:tcPr>
            <w:tcW w:w="741" w:type="dxa"/>
          </w:tcPr>
          <w:p>
            <w:pPr>
              <w:pStyle w:val="TableParagraph"/>
              <w:spacing w:before="8"/>
              <w:ind w:right="178"/>
              <w:rPr>
                <w:sz w:val="16"/>
              </w:rPr>
            </w:pPr>
            <w:r>
              <w:rPr>
                <w:w w:val="98"/>
                <w:sz w:val="16"/>
              </w:rPr>
              <w:t>-</w:t>
            </w:r>
          </w:p>
        </w:tc>
        <w:tc>
          <w:tcPr>
            <w:tcW w:w="1053" w:type="dxa"/>
          </w:tcPr>
          <w:p>
            <w:pPr>
              <w:pStyle w:val="TableParagraph"/>
              <w:spacing w:before="8"/>
              <w:ind w:right="101"/>
              <w:rPr>
                <w:sz w:val="16"/>
              </w:rPr>
            </w:pPr>
            <w:r>
              <w:rPr>
                <w:spacing w:val="-2"/>
                <w:sz w:val="16"/>
              </w:rPr>
              <w:t>149.0</w:t>
            </w:r>
          </w:p>
        </w:tc>
      </w:tr>
      <w:tr>
        <w:trPr>
          <w:trHeight w:val="227" w:hRule="atLeast"/>
        </w:trPr>
        <w:tc>
          <w:tcPr>
            <w:tcW w:w="2475" w:type="dxa"/>
          </w:tcPr>
          <w:p>
            <w:pPr>
              <w:pStyle w:val="TableParagraph"/>
              <w:spacing w:before="8"/>
              <w:ind w:left="117"/>
              <w:jc w:val="left"/>
              <w:rPr>
                <w:sz w:val="16"/>
              </w:rPr>
            </w:pPr>
            <w:r>
              <w:rPr>
                <w:sz w:val="16"/>
              </w:rPr>
              <w:t>General</w:t>
            </w:r>
            <w:r>
              <w:rPr>
                <w:spacing w:val="-4"/>
                <w:sz w:val="16"/>
              </w:rPr>
              <w:t> </w:t>
            </w:r>
            <w:r>
              <w:rPr>
                <w:sz w:val="16"/>
              </w:rPr>
              <w:t>operating</w:t>
            </w:r>
            <w:r>
              <w:rPr>
                <w:spacing w:val="-1"/>
                <w:sz w:val="16"/>
              </w:rPr>
              <w:t> </w:t>
            </w:r>
            <w:r>
              <w:rPr>
                <w:spacing w:val="-2"/>
                <w:sz w:val="16"/>
              </w:rPr>
              <w:t>expenses</w:t>
            </w:r>
          </w:p>
        </w:tc>
        <w:tc>
          <w:tcPr>
            <w:tcW w:w="1211" w:type="dxa"/>
          </w:tcPr>
          <w:p>
            <w:pPr>
              <w:pStyle w:val="TableParagraph"/>
              <w:spacing w:before="8"/>
              <w:ind w:right="190"/>
              <w:rPr>
                <w:sz w:val="16"/>
              </w:rPr>
            </w:pPr>
            <w:r>
              <w:rPr>
                <w:w w:val="98"/>
                <w:sz w:val="16"/>
              </w:rPr>
              <w:t>-</w:t>
            </w:r>
          </w:p>
        </w:tc>
        <w:tc>
          <w:tcPr>
            <w:tcW w:w="827" w:type="dxa"/>
          </w:tcPr>
          <w:p>
            <w:pPr>
              <w:pStyle w:val="TableParagraph"/>
              <w:spacing w:before="8"/>
              <w:ind w:right="109"/>
              <w:rPr>
                <w:sz w:val="16"/>
              </w:rPr>
            </w:pPr>
            <w:r>
              <w:rPr>
                <w:w w:val="98"/>
                <w:sz w:val="16"/>
              </w:rPr>
              <w:t>-</w:t>
            </w:r>
          </w:p>
        </w:tc>
        <w:tc>
          <w:tcPr>
            <w:tcW w:w="1130" w:type="dxa"/>
          </w:tcPr>
          <w:p>
            <w:pPr>
              <w:pStyle w:val="TableParagraph"/>
              <w:spacing w:before="8"/>
              <w:ind w:right="101"/>
              <w:rPr>
                <w:sz w:val="16"/>
              </w:rPr>
            </w:pPr>
            <w:r>
              <w:rPr>
                <w:w w:val="98"/>
                <w:sz w:val="16"/>
              </w:rPr>
              <w:t>-</w:t>
            </w:r>
          </w:p>
        </w:tc>
        <w:tc>
          <w:tcPr>
            <w:tcW w:w="1078" w:type="dxa"/>
          </w:tcPr>
          <w:p>
            <w:pPr>
              <w:pStyle w:val="TableParagraph"/>
              <w:spacing w:before="8"/>
              <w:ind w:right="51"/>
              <w:rPr>
                <w:sz w:val="16"/>
              </w:rPr>
            </w:pPr>
            <w:r>
              <w:rPr>
                <w:w w:val="98"/>
                <w:sz w:val="16"/>
              </w:rPr>
              <w:t>-</w:t>
            </w:r>
          </w:p>
        </w:tc>
        <w:tc>
          <w:tcPr>
            <w:tcW w:w="1129" w:type="dxa"/>
          </w:tcPr>
          <w:p>
            <w:pPr>
              <w:pStyle w:val="TableParagraph"/>
              <w:spacing w:before="8"/>
              <w:ind w:right="196"/>
              <w:rPr>
                <w:sz w:val="16"/>
              </w:rPr>
            </w:pPr>
            <w:r>
              <w:rPr>
                <w:w w:val="98"/>
                <w:sz w:val="16"/>
              </w:rPr>
              <w:t>-</w:t>
            </w:r>
          </w:p>
        </w:tc>
        <w:tc>
          <w:tcPr>
            <w:tcW w:w="741" w:type="dxa"/>
          </w:tcPr>
          <w:p>
            <w:pPr>
              <w:pStyle w:val="TableParagraph"/>
              <w:spacing w:before="8"/>
              <w:ind w:right="178"/>
              <w:rPr>
                <w:sz w:val="16"/>
              </w:rPr>
            </w:pPr>
            <w:r>
              <w:rPr>
                <w:w w:val="98"/>
                <w:sz w:val="16"/>
              </w:rPr>
              <w:t>-</w:t>
            </w:r>
          </w:p>
        </w:tc>
        <w:tc>
          <w:tcPr>
            <w:tcW w:w="1053" w:type="dxa"/>
          </w:tcPr>
          <w:p>
            <w:pPr>
              <w:pStyle w:val="TableParagraph"/>
              <w:spacing w:before="8"/>
              <w:ind w:right="102"/>
              <w:rPr>
                <w:sz w:val="16"/>
              </w:rPr>
            </w:pPr>
            <w:r>
              <w:rPr>
                <w:w w:val="98"/>
                <w:sz w:val="16"/>
              </w:rPr>
              <w:t>-</w:t>
            </w:r>
          </w:p>
        </w:tc>
      </w:tr>
      <w:tr>
        <w:trPr>
          <w:trHeight w:val="227" w:hRule="atLeast"/>
        </w:trPr>
        <w:tc>
          <w:tcPr>
            <w:tcW w:w="2475" w:type="dxa"/>
          </w:tcPr>
          <w:p>
            <w:pPr>
              <w:pStyle w:val="TableParagraph"/>
              <w:spacing w:before="10"/>
              <w:ind w:left="117"/>
              <w:jc w:val="left"/>
              <w:rPr>
                <w:sz w:val="16"/>
              </w:rPr>
            </w:pPr>
            <w:r>
              <w:rPr>
                <w:sz w:val="16"/>
              </w:rPr>
              <w:t>Supplies</w:t>
            </w:r>
            <w:r>
              <w:rPr>
                <w:spacing w:val="-4"/>
                <w:sz w:val="16"/>
              </w:rPr>
              <w:t> </w:t>
            </w:r>
            <w:r>
              <w:rPr>
                <w:sz w:val="16"/>
              </w:rPr>
              <w:t>and</w:t>
            </w:r>
            <w:r>
              <w:rPr>
                <w:spacing w:val="-2"/>
                <w:sz w:val="16"/>
              </w:rPr>
              <w:t> materials</w:t>
            </w:r>
          </w:p>
        </w:tc>
        <w:tc>
          <w:tcPr>
            <w:tcW w:w="1211" w:type="dxa"/>
          </w:tcPr>
          <w:p>
            <w:pPr>
              <w:pStyle w:val="TableParagraph"/>
              <w:spacing w:before="10"/>
              <w:ind w:right="193"/>
              <w:rPr>
                <w:sz w:val="16"/>
              </w:rPr>
            </w:pPr>
            <w:r>
              <w:rPr>
                <w:spacing w:val="-5"/>
                <w:sz w:val="16"/>
              </w:rPr>
              <w:t>0.1</w:t>
            </w:r>
          </w:p>
        </w:tc>
        <w:tc>
          <w:tcPr>
            <w:tcW w:w="827" w:type="dxa"/>
          </w:tcPr>
          <w:p>
            <w:pPr>
              <w:pStyle w:val="TableParagraph"/>
              <w:spacing w:before="10"/>
              <w:ind w:right="109"/>
              <w:rPr>
                <w:sz w:val="16"/>
              </w:rPr>
            </w:pPr>
            <w:r>
              <w:rPr>
                <w:w w:val="98"/>
                <w:sz w:val="16"/>
              </w:rPr>
              <w:t>-</w:t>
            </w:r>
          </w:p>
        </w:tc>
        <w:tc>
          <w:tcPr>
            <w:tcW w:w="1130" w:type="dxa"/>
          </w:tcPr>
          <w:p>
            <w:pPr>
              <w:pStyle w:val="TableParagraph"/>
              <w:spacing w:before="10"/>
              <w:ind w:right="104"/>
              <w:rPr>
                <w:sz w:val="16"/>
              </w:rPr>
            </w:pPr>
            <w:r>
              <w:rPr>
                <w:spacing w:val="-5"/>
                <w:sz w:val="16"/>
              </w:rPr>
              <w:t>0.1</w:t>
            </w:r>
          </w:p>
        </w:tc>
        <w:tc>
          <w:tcPr>
            <w:tcW w:w="1078" w:type="dxa"/>
          </w:tcPr>
          <w:p>
            <w:pPr>
              <w:pStyle w:val="TableParagraph"/>
              <w:spacing w:before="10"/>
              <w:ind w:right="51"/>
              <w:rPr>
                <w:sz w:val="16"/>
              </w:rPr>
            </w:pPr>
            <w:r>
              <w:rPr>
                <w:w w:val="98"/>
                <w:sz w:val="16"/>
              </w:rPr>
              <w:t>-</w:t>
            </w:r>
          </w:p>
        </w:tc>
        <w:tc>
          <w:tcPr>
            <w:tcW w:w="1129" w:type="dxa"/>
          </w:tcPr>
          <w:p>
            <w:pPr>
              <w:pStyle w:val="TableParagraph"/>
              <w:spacing w:before="10"/>
              <w:ind w:right="196"/>
              <w:rPr>
                <w:sz w:val="16"/>
              </w:rPr>
            </w:pPr>
            <w:r>
              <w:rPr>
                <w:w w:val="98"/>
                <w:sz w:val="16"/>
              </w:rPr>
              <w:t>-</w:t>
            </w:r>
          </w:p>
        </w:tc>
        <w:tc>
          <w:tcPr>
            <w:tcW w:w="741" w:type="dxa"/>
          </w:tcPr>
          <w:p>
            <w:pPr>
              <w:pStyle w:val="TableParagraph"/>
              <w:spacing w:before="10"/>
              <w:ind w:right="178"/>
              <w:rPr>
                <w:sz w:val="16"/>
              </w:rPr>
            </w:pPr>
            <w:r>
              <w:rPr>
                <w:w w:val="98"/>
                <w:sz w:val="16"/>
              </w:rPr>
              <w:t>-</w:t>
            </w:r>
          </w:p>
        </w:tc>
        <w:tc>
          <w:tcPr>
            <w:tcW w:w="1053" w:type="dxa"/>
          </w:tcPr>
          <w:p>
            <w:pPr>
              <w:pStyle w:val="TableParagraph"/>
              <w:spacing w:before="10"/>
              <w:ind w:right="102"/>
              <w:rPr>
                <w:sz w:val="16"/>
              </w:rPr>
            </w:pPr>
            <w:r>
              <w:rPr>
                <w:w w:val="98"/>
                <w:sz w:val="16"/>
              </w:rPr>
              <w:t>-</w:t>
            </w:r>
          </w:p>
        </w:tc>
      </w:tr>
      <w:tr>
        <w:trPr>
          <w:trHeight w:val="223" w:hRule="atLeast"/>
        </w:trPr>
        <w:tc>
          <w:tcPr>
            <w:tcW w:w="2475" w:type="dxa"/>
            <w:tcBorders>
              <w:bottom w:val="single" w:sz="4" w:space="0" w:color="000000"/>
            </w:tcBorders>
          </w:tcPr>
          <w:p>
            <w:pPr>
              <w:pStyle w:val="TableParagraph"/>
              <w:spacing w:before="8"/>
              <w:ind w:left="117"/>
              <w:jc w:val="left"/>
              <w:rPr>
                <w:sz w:val="16"/>
              </w:rPr>
            </w:pPr>
            <w:r>
              <w:rPr>
                <w:sz w:val="16"/>
              </w:rPr>
              <w:t>Furniture</w:t>
            </w:r>
            <w:r>
              <w:rPr>
                <w:spacing w:val="-4"/>
                <w:sz w:val="16"/>
              </w:rPr>
              <w:t> </w:t>
            </w:r>
            <w:r>
              <w:rPr>
                <w:sz w:val="16"/>
              </w:rPr>
              <w:t>and</w:t>
            </w:r>
            <w:r>
              <w:rPr>
                <w:spacing w:val="-2"/>
                <w:sz w:val="16"/>
              </w:rPr>
              <w:t> equipment</w:t>
            </w:r>
          </w:p>
        </w:tc>
        <w:tc>
          <w:tcPr>
            <w:tcW w:w="1211" w:type="dxa"/>
            <w:tcBorders>
              <w:bottom w:val="single" w:sz="4" w:space="0" w:color="000000"/>
            </w:tcBorders>
          </w:tcPr>
          <w:p>
            <w:pPr>
              <w:pStyle w:val="TableParagraph"/>
              <w:spacing w:before="8"/>
              <w:ind w:right="193"/>
              <w:rPr>
                <w:sz w:val="16"/>
              </w:rPr>
            </w:pPr>
            <w:r>
              <w:rPr>
                <w:spacing w:val="-5"/>
                <w:sz w:val="16"/>
              </w:rPr>
              <w:t>2.6</w:t>
            </w:r>
          </w:p>
        </w:tc>
        <w:tc>
          <w:tcPr>
            <w:tcW w:w="827" w:type="dxa"/>
            <w:tcBorders>
              <w:bottom w:val="single" w:sz="4" w:space="0" w:color="000000"/>
            </w:tcBorders>
          </w:tcPr>
          <w:p>
            <w:pPr>
              <w:pStyle w:val="TableParagraph"/>
              <w:spacing w:before="8"/>
              <w:ind w:right="109"/>
              <w:rPr>
                <w:sz w:val="16"/>
              </w:rPr>
            </w:pPr>
            <w:r>
              <w:rPr>
                <w:w w:val="98"/>
                <w:sz w:val="16"/>
              </w:rPr>
              <w:t>-</w:t>
            </w:r>
          </w:p>
        </w:tc>
        <w:tc>
          <w:tcPr>
            <w:tcW w:w="1130" w:type="dxa"/>
            <w:tcBorders>
              <w:bottom w:val="single" w:sz="4" w:space="0" w:color="000000"/>
            </w:tcBorders>
          </w:tcPr>
          <w:p>
            <w:pPr>
              <w:pStyle w:val="TableParagraph"/>
              <w:spacing w:before="8"/>
              <w:ind w:right="104"/>
              <w:rPr>
                <w:sz w:val="16"/>
              </w:rPr>
            </w:pPr>
            <w:r>
              <w:rPr>
                <w:spacing w:val="-5"/>
                <w:sz w:val="16"/>
              </w:rPr>
              <w:t>2.6</w:t>
            </w:r>
          </w:p>
        </w:tc>
        <w:tc>
          <w:tcPr>
            <w:tcW w:w="1078" w:type="dxa"/>
            <w:tcBorders>
              <w:bottom w:val="single" w:sz="4" w:space="0" w:color="000000"/>
            </w:tcBorders>
          </w:tcPr>
          <w:p>
            <w:pPr>
              <w:pStyle w:val="TableParagraph"/>
              <w:spacing w:before="8"/>
              <w:ind w:right="51"/>
              <w:rPr>
                <w:sz w:val="16"/>
              </w:rPr>
            </w:pPr>
            <w:r>
              <w:rPr>
                <w:w w:val="98"/>
                <w:sz w:val="16"/>
              </w:rPr>
              <w:t>-</w:t>
            </w:r>
          </w:p>
        </w:tc>
        <w:tc>
          <w:tcPr>
            <w:tcW w:w="1129" w:type="dxa"/>
            <w:tcBorders>
              <w:bottom w:val="single" w:sz="4" w:space="0" w:color="000000"/>
            </w:tcBorders>
          </w:tcPr>
          <w:p>
            <w:pPr>
              <w:pStyle w:val="TableParagraph"/>
              <w:spacing w:before="8"/>
              <w:ind w:right="196"/>
              <w:rPr>
                <w:sz w:val="16"/>
              </w:rPr>
            </w:pPr>
            <w:r>
              <w:rPr>
                <w:w w:val="98"/>
                <w:sz w:val="16"/>
              </w:rPr>
              <w:t>-</w:t>
            </w:r>
          </w:p>
        </w:tc>
        <w:tc>
          <w:tcPr>
            <w:tcW w:w="741" w:type="dxa"/>
            <w:tcBorders>
              <w:bottom w:val="single" w:sz="4" w:space="0" w:color="000000"/>
            </w:tcBorders>
          </w:tcPr>
          <w:p>
            <w:pPr>
              <w:pStyle w:val="TableParagraph"/>
              <w:spacing w:before="8"/>
              <w:ind w:right="178"/>
              <w:rPr>
                <w:sz w:val="16"/>
              </w:rPr>
            </w:pPr>
            <w:r>
              <w:rPr>
                <w:w w:val="98"/>
                <w:sz w:val="16"/>
              </w:rPr>
              <w:t>-</w:t>
            </w:r>
          </w:p>
        </w:tc>
        <w:tc>
          <w:tcPr>
            <w:tcW w:w="1053" w:type="dxa"/>
            <w:tcBorders>
              <w:bottom w:val="single" w:sz="4" w:space="0" w:color="000000"/>
            </w:tcBorders>
          </w:tcPr>
          <w:p>
            <w:pPr>
              <w:pStyle w:val="TableParagraph"/>
              <w:spacing w:before="8"/>
              <w:ind w:right="102"/>
              <w:rPr>
                <w:sz w:val="16"/>
              </w:rPr>
            </w:pPr>
            <w:r>
              <w:rPr>
                <w:w w:val="98"/>
                <w:sz w:val="16"/>
              </w:rPr>
              <w:t>-</w:t>
            </w:r>
          </w:p>
        </w:tc>
      </w:tr>
      <w:tr>
        <w:trPr>
          <w:trHeight w:val="225" w:hRule="atLeast"/>
        </w:trPr>
        <w:tc>
          <w:tcPr>
            <w:tcW w:w="2475" w:type="dxa"/>
            <w:tcBorders>
              <w:top w:val="single" w:sz="4" w:space="0" w:color="000000"/>
              <w:bottom w:val="single" w:sz="4" w:space="0" w:color="000000"/>
            </w:tcBorders>
          </w:tcPr>
          <w:p>
            <w:pPr>
              <w:pStyle w:val="TableParagraph"/>
              <w:spacing w:before="9"/>
              <w:ind w:right="102"/>
              <w:rPr>
                <w:i/>
                <w:sz w:val="16"/>
              </w:rPr>
            </w:pPr>
            <w:r>
              <w:rPr>
                <w:i/>
                <w:w w:val="95"/>
                <w:sz w:val="16"/>
              </w:rPr>
              <w:t>Subtotal</w:t>
            </w:r>
            <w:r>
              <w:rPr>
                <w:i/>
                <w:spacing w:val="40"/>
                <w:sz w:val="16"/>
              </w:rPr>
              <w:t> </w:t>
            </w:r>
            <w:r>
              <w:rPr>
                <w:i/>
                <w:w w:val="95"/>
                <w:sz w:val="16"/>
              </w:rPr>
              <w:t>non-</w:t>
            </w:r>
            <w:r>
              <w:rPr>
                <w:i/>
                <w:spacing w:val="-4"/>
                <w:w w:val="95"/>
                <w:sz w:val="16"/>
              </w:rPr>
              <w:t>staff</w:t>
            </w:r>
          </w:p>
        </w:tc>
        <w:tc>
          <w:tcPr>
            <w:tcW w:w="1211" w:type="dxa"/>
            <w:tcBorders>
              <w:top w:val="single" w:sz="4" w:space="0" w:color="000000"/>
              <w:bottom w:val="single" w:sz="4" w:space="0" w:color="000000"/>
            </w:tcBorders>
          </w:tcPr>
          <w:p>
            <w:pPr>
              <w:pStyle w:val="TableParagraph"/>
              <w:spacing w:before="9"/>
              <w:ind w:right="188"/>
              <w:rPr>
                <w:i/>
                <w:sz w:val="16"/>
              </w:rPr>
            </w:pPr>
            <w:r>
              <w:rPr>
                <w:i/>
                <w:spacing w:val="-4"/>
                <w:sz w:val="16"/>
              </w:rPr>
              <w:t>24.5</w:t>
            </w:r>
          </w:p>
        </w:tc>
        <w:tc>
          <w:tcPr>
            <w:tcW w:w="827" w:type="dxa"/>
            <w:tcBorders>
              <w:top w:val="single" w:sz="4" w:space="0" w:color="000000"/>
              <w:bottom w:val="single" w:sz="4" w:space="0" w:color="000000"/>
            </w:tcBorders>
          </w:tcPr>
          <w:p>
            <w:pPr>
              <w:pStyle w:val="TableParagraph"/>
              <w:spacing w:before="9"/>
              <w:ind w:right="109"/>
              <w:rPr>
                <w:i/>
                <w:sz w:val="16"/>
              </w:rPr>
            </w:pPr>
            <w:r>
              <w:rPr>
                <w:i/>
                <w:w w:val="98"/>
                <w:sz w:val="16"/>
              </w:rPr>
              <w:t>-</w:t>
            </w:r>
          </w:p>
        </w:tc>
        <w:tc>
          <w:tcPr>
            <w:tcW w:w="1130" w:type="dxa"/>
            <w:tcBorders>
              <w:top w:val="single" w:sz="4" w:space="0" w:color="000000"/>
              <w:bottom w:val="single" w:sz="4" w:space="0" w:color="000000"/>
            </w:tcBorders>
          </w:tcPr>
          <w:p>
            <w:pPr>
              <w:pStyle w:val="TableParagraph"/>
              <w:spacing w:before="9"/>
              <w:ind w:right="100"/>
              <w:rPr>
                <w:i/>
                <w:sz w:val="16"/>
              </w:rPr>
            </w:pPr>
            <w:r>
              <w:rPr>
                <w:i/>
                <w:spacing w:val="-4"/>
                <w:sz w:val="16"/>
              </w:rPr>
              <w:t>24.5</w:t>
            </w:r>
          </w:p>
        </w:tc>
        <w:tc>
          <w:tcPr>
            <w:tcW w:w="1078" w:type="dxa"/>
            <w:tcBorders>
              <w:top w:val="single" w:sz="4" w:space="0" w:color="000000"/>
              <w:bottom w:val="single" w:sz="4" w:space="0" w:color="000000"/>
            </w:tcBorders>
          </w:tcPr>
          <w:p>
            <w:pPr>
              <w:pStyle w:val="TableParagraph"/>
              <w:spacing w:before="9"/>
              <w:ind w:right="49"/>
              <w:rPr>
                <w:i/>
                <w:sz w:val="16"/>
              </w:rPr>
            </w:pPr>
            <w:r>
              <w:rPr>
                <w:i/>
                <w:spacing w:val="-4"/>
                <w:sz w:val="16"/>
              </w:rPr>
              <w:t>30.3</w:t>
            </w:r>
          </w:p>
        </w:tc>
        <w:tc>
          <w:tcPr>
            <w:tcW w:w="1129" w:type="dxa"/>
            <w:tcBorders>
              <w:top w:val="single" w:sz="4" w:space="0" w:color="000000"/>
              <w:bottom w:val="single" w:sz="4" w:space="0" w:color="000000"/>
            </w:tcBorders>
          </w:tcPr>
          <w:p>
            <w:pPr>
              <w:pStyle w:val="TableParagraph"/>
              <w:spacing w:before="9"/>
              <w:ind w:right="194"/>
              <w:rPr>
                <w:i/>
                <w:sz w:val="16"/>
              </w:rPr>
            </w:pPr>
            <w:r>
              <w:rPr>
                <w:i/>
                <w:spacing w:val="-2"/>
                <w:sz w:val="16"/>
              </w:rPr>
              <w:t>217.3</w:t>
            </w:r>
          </w:p>
        </w:tc>
        <w:tc>
          <w:tcPr>
            <w:tcW w:w="741" w:type="dxa"/>
            <w:tcBorders>
              <w:top w:val="single" w:sz="4" w:space="0" w:color="000000"/>
              <w:bottom w:val="single" w:sz="4" w:space="0" w:color="000000"/>
            </w:tcBorders>
          </w:tcPr>
          <w:p>
            <w:pPr>
              <w:pStyle w:val="TableParagraph"/>
              <w:spacing w:before="9"/>
              <w:ind w:right="176"/>
              <w:rPr>
                <w:i/>
                <w:sz w:val="16"/>
              </w:rPr>
            </w:pPr>
            <w:r>
              <w:rPr>
                <w:i/>
                <w:spacing w:val="-2"/>
                <w:sz w:val="16"/>
              </w:rPr>
              <w:t>717.2</w:t>
            </w:r>
          </w:p>
        </w:tc>
        <w:tc>
          <w:tcPr>
            <w:tcW w:w="1053" w:type="dxa"/>
            <w:tcBorders>
              <w:top w:val="single" w:sz="4" w:space="0" w:color="000000"/>
              <w:bottom w:val="single" w:sz="4" w:space="0" w:color="000000"/>
            </w:tcBorders>
          </w:tcPr>
          <w:p>
            <w:pPr>
              <w:pStyle w:val="TableParagraph"/>
              <w:spacing w:before="9"/>
              <w:ind w:right="101"/>
              <w:rPr>
                <w:i/>
                <w:sz w:val="16"/>
              </w:rPr>
            </w:pPr>
            <w:r>
              <w:rPr>
                <w:i/>
                <w:spacing w:val="-2"/>
                <w:sz w:val="16"/>
              </w:rPr>
              <w:t>247.6</w:t>
            </w:r>
          </w:p>
        </w:tc>
      </w:tr>
      <w:tr>
        <w:trPr>
          <w:trHeight w:val="230" w:hRule="atLeast"/>
        </w:trPr>
        <w:tc>
          <w:tcPr>
            <w:tcW w:w="2475" w:type="dxa"/>
            <w:tcBorders>
              <w:top w:val="single" w:sz="4" w:space="0" w:color="000000"/>
              <w:bottom w:val="single" w:sz="12" w:space="0" w:color="000000"/>
            </w:tcBorders>
          </w:tcPr>
          <w:p>
            <w:pPr>
              <w:pStyle w:val="TableParagraph"/>
              <w:spacing w:before="14"/>
              <w:ind w:left="117"/>
              <w:jc w:val="left"/>
              <w:rPr>
                <w:b/>
                <w:sz w:val="16"/>
              </w:rPr>
            </w:pPr>
            <w:r>
              <w:rPr>
                <w:b/>
                <w:spacing w:val="-2"/>
                <w:sz w:val="16"/>
              </w:rPr>
              <w:t>Total</w:t>
            </w:r>
          </w:p>
        </w:tc>
        <w:tc>
          <w:tcPr>
            <w:tcW w:w="1211" w:type="dxa"/>
            <w:tcBorders>
              <w:top w:val="single" w:sz="4" w:space="0" w:color="000000"/>
              <w:bottom w:val="single" w:sz="12" w:space="0" w:color="000000"/>
            </w:tcBorders>
          </w:tcPr>
          <w:p>
            <w:pPr>
              <w:pStyle w:val="TableParagraph"/>
              <w:spacing w:before="14"/>
              <w:ind w:right="188"/>
              <w:rPr>
                <w:b/>
                <w:sz w:val="16"/>
              </w:rPr>
            </w:pPr>
            <w:r>
              <w:rPr>
                <w:b/>
                <w:spacing w:val="-2"/>
                <w:sz w:val="16"/>
              </w:rPr>
              <w:t>1,770.2</w:t>
            </w:r>
          </w:p>
        </w:tc>
        <w:tc>
          <w:tcPr>
            <w:tcW w:w="827" w:type="dxa"/>
            <w:tcBorders>
              <w:top w:val="single" w:sz="4" w:space="0" w:color="000000"/>
              <w:bottom w:val="single" w:sz="12" w:space="0" w:color="000000"/>
            </w:tcBorders>
          </w:tcPr>
          <w:p>
            <w:pPr>
              <w:pStyle w:val="TableParagraph"/>
              <w:spacing w:before="14"/>
              <w:ind w:right="109"/>
              <w:rPr>
                <w:b/>
                <w:sz w:val="16"/>
              </w:rPr>
            </w:pPr>
            <w:r>
              <w:rPr>
                <w:b/>
                <w:w w:val="98"/>
                <w:sz w:val="16"/>
              </w:rPr>
              <w:t>-</w:t>
            </w:r>
          </w:p>
        </w:tc>
        <w:tc>
          <w:tcPr>
            <w:tcW w:w="1130" w:type="dxa"/>
            <w:tcBorders>
              <w:top w:val="single" w:sz="4" w:space="0" w:color="000000"/>
              <w:bottom w:val="single" w:sz="12" w:space="0" w:color="000000"/>
            </w:tcBorders>
          </w:tcPr>
          <w:p>
            <w:pPr>
              <w:pStyle w:val="TableParagraph"/>
              <w:spacing w:before="14"/>
              <w:ind w:right="100"/>
              <w:rPr>
                <w:b/>
                <w:sz w:val="16"/>
              </w:rPr>
            </w:pPr>
            <w:r>
              <w:rPr>
                <w:b/>
                <w:spacing w:val="-2"/>
                <w:sz w:val="16"/>
              </w:rPr>
              <w:t>1,770.2</w:t>
            </w:r>
          </w:p>
        </w:tc>
        <w:tc>
          <w:tcPr>
            <w:tcW w:w="1078" w:type="dxa"/>
            <w:tcBorders>
              <w:top w:val="single" w:sz="4" w:space="0" w:color="000000"/>
              <w:bottom w:val="single" w:sz="12" w:space="0" w:color="000000"/>
            </w:tcBorders>
          </w:tcPr>
          <w:p>
            <w:pPr>
              <w:pStyle w:val="TableParagraph"/>
              <w:spacing w:before="14"/>
              <w:ind w:right="50"/>
              <w:rPr>
                <w:b/>
                <w:sz w:val="16"/>
              </w:rPr>
            </w:pPr>
            <w:r>
              <w:rPr>
                <w:b/>
                <w:spacing w:val="-2"/>
                <w:sz w:val="16"/>
              </w:rPr>
              <w:t>1,658.0</w:t>
            </w:r>
          </w:p>
        </w:tc>
        <w:tc>
          <w:tcPr>
            <w:tcW w:w="1129" w:type="dxa"/>
            <w:tcBorders>
              <w:top w:val="single" w:sz="4" w:space="0" w:color="000000"/>
              <w:bottom w:val="single" w:sz="12" w:space="0" w:color="000000"/>
            </w:tcBorders>
          </w:tcPr>
          <w:p>
            <w:pPr>
              <w:pStyle w:val="TableParagraph"/>
              <w:spacing w:before="14"/>
              <w:ind w:right="194"/>
              <w:rPr>
                <w:b/>
                <w:sz w:val="16"/>
              </w:rPr>
            </w:pPr>
            <w:r>
              <w:rPr>
                <w:b/>
                <w:spacing w:val="-2"/>
                <w:sz w:val="16"/>
              </w:rPr>
              <w:t>515.6</w:t>
            </w:r>
          </w:p>
        </w:tc>
        <w:tc>
          <w:tcPr>
            <w:tcW w:w="741" w:type="dxa"/>
            <w:tcBorders>
              <w:top w:val="single" w:sz="4" w:space="0" w:color="000000"/>
              <w:bottom w:val="single" w:sz="12" w:space="0" w:color="000000"/>
            </w:tcBorders>
          </w:tcPr>
          <w:p>
            <w:pPr>
              <w:pStyle w:val="TableParagraph"/>
              <w:spacing w:before="14"/>
              <w:ind w:right="176"/>
              <w:rPr>
                <w:b/>
                <w:sz w:val="16"/>
              </w:rPr>
            </w:pPr>
            <w:r>
              <w:rPr>
                <w:b/>
                <w:spacing w:val="-4"/>
                <w:sz w:val="16"/>
              </w:rPr>
              <w:t>31.1</w:t>
            </w:r>
          </w:p>
        </w:tc>
        <w:tc>
          <w:tcPr>
            <w:tcW w:w="1053" w:type="dxa"/>
            <w:tcBorders>
              <w:top w:val="single" w:sz="4" w:space="0" w:color="000000"/>
              <w:bottom w:val="single" w:sz="12" w:space="0" w:color="000000"/>
            </w:tcBorders>
          </w:tcPr>
          <w:p>
            <w:pPr>
              <w:pStyle w:val="TableParagraph"/>
              <w:spacing w:before="14"/>
              <w:ind w:right="101"/>
              <w:rPr>
                <w:b/>
                <w:sz w:val="16"/>
              </w:rPr>
            </w:pPr>
            <w:r>
              <w:rPr>
                <w:b/>
                <w:spacing w:val="-2"/>
                <w:sz w:val="16"/>
              </w:rPr>
              <w:t>2,173.6</w:t>
            </w:r>
          </w:p>
        </w:tc>
      </w:tr>
    </w:tbl>
    <w:p>
      <w:pPr>
        <w:pStyle w:val="BodyText"/>
        <w:spacing w:before="9"/>
        <w:rPr>
          <w:b/>
          <w:sz w:val="21"/>
        </w:rPr>
      </w:pPr>
    </w:p>
    <w:p>
      <w:pPr>
        <w:spacing w:before="0"/>
        <w:ind w:left="2246" w:right="0" w:firstLine="0"/>
        <w:jc w:val="left"/>
        <w:rPr>
          <w:b/>
          <w:sz w:val="20"/>
        </w:rPr>
      </w:pPr>
      <w:r>
        <w:rPr>
          <w:b/>
          <w:sz w:val="20"/>
        </w:rPr>
        <w:t>Table</w:t>
      </w:r>
      <w:r>
        <w:rPr>
          <w:b/>
          <w:spacing w:val="-6"/>
          <w:sz w:val="20"/>
        </w:rPr>
        <w:t> </w:t>
      </w:r>
      <w:r>
        <w:rPr>
          <w:b/>
          <w:sz w:val="20"/>
        </w:rPr>
        <w:t>25:</w:t>
      </w:r>
      <w:r>
        <w:rPr>
          <w:b/>
          <w:spacing w:val="-7"/>
          <w:sz w:val="20"/>
        </w:rPr>
        <w:t> </w:t>
      </w:r>
      <w:r>
        <w:rPr>
          <w:b/>
          <w:sz w:val="20"/>
        </w:rPr>
        <w:t>Programme</w:t>
      </w:r>
      <w:r>
        <w:rPr>
          <w:b/>
          <w:spacing w:val="-6"/>
          <w:sz w:val="20"/>
        </w:rPr>
        <w:t> </w:t>
      </w:r>
      <w:r>
        <w:rPr>
          <w:b/>
          <w:sz w:val="20"/>
        </w:rPr>
        <w:t>3100:</w:t>
      </w:r>
      <w:r>
        <w:rPr>
          <w:b/>
          <w:spacing w:val="-8"/>
          <w:sz w:val="20"/>
        </w:rPr>
        <w:t> </w:t>
      </w:r>
      <w:r>
        <w:rPr>
          <w:b/>
          <w:sz w:val="20"/>
        </w:rPr>
        <w:t>Proposed</w:t>
      </w:r>
      <w:r>
        <w:rPr>
          <w:b/>
          <w:spacing w:val="-6"/>
          <w:sz w:val="20"/>
        </w:rPr>
        <w:t> </w:t>
      </w:r>
      <w:r>
        <w:rPr>
          <w:b/>
          <w:sz w:val="20"/>
        </w:rPr>
        <w:t>staffing</w:t>
      </w:r>
      <w:r>
        <w:rPr>
          <w:b/>
          <w:spacing w:val="-3"/>
          <w:sz w:val="20"/>
        </w:rPr>
        <w:t> </w:t>
      </w:r>
      <w:r>
        <w:rPr>
          <w:b/>
          <w:sz w:val="20"/>
        </w:rPr>
        <w:t>for</w:t>
      </w:r>
      <w:r>
        <w:rPr>
          <w:b/>
          <w:spacing w:val="-5"/>
          <w:sz w:val="20"/>
        </w:rPr>
        <w:t> </w:t>
      </w:r>
      <w:r>
        <w:rPr>
          <w:b/>
          <w:spacing w:val="-4"/>
          <w:sz w:val="20"/>
        </w:rPr>
        <w:t>2023</w:t>
      </w:r>
    </w:p>
    <w:tbl>
      <w:tblPr>
        <w:tblW w:w="0" w:type="auto"/>
        <w:jc w:val="left"/>
        <w:tblInd w:w="7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9"/>
        <w:gridCol w:w="669"/>
        <w:gridCol w:w="598"/>
        <w:gridCol w:w="558"/>
        <w:gridCol w:w="574"/>
        <w:gridCol w:w="534"/>
        <w:gridCol w:w="684"/>
        <w:gridCol w:w="658"/>
        <w:gridCol w:w="658"/>
        <w:gridCol w:w="458"/>
        <w:gridCol w:w="791"/>
        <w:gridCol w:w="560"/>
        <w:gridCol w:w="572"/>
        <w:gridCol w:w="559"/>
        <w:gridCol w:w="829"/>
        <w:gridCol w:w="542"/>
      </w:tblGrid>
      <w:tr>
        <w:trPr>
          <w:trHeight w:val="479" w:hRule="atLeast"/>
        </w:trPr>
        <w:tc>
          <w:tcPr>
            <w:tcW w:w="1189"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before="1"/>
              <w:ind w:left="72"/>
              <w:jc w:val="left"/>
              <w:rPr>
                <w:sz w:val="14"/>
              </w:rPr>
            </w:pPr>
            <w:r>
              <w:rPr>
                <w:spacing w:val="-4"/>
                <w:sz w:val="14"/>
              </w:rPr>
              <w:t>3100</w:t>
            </w:r>
          </w:p>
        </w:tc>
        <w:tc>
          <w:tcPr>
            <w:tcW w:w="669"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before="1"/>
              <w:ind w:right="146"/>
              <w:rPr>
                <w:sz w:val="14"/>
              </w:rPr>
            </w:pPr>
            <w:r>
              <w:rPr>
                <w:spacing w:val="-5"/>
                <w:sz w:val="14"/>
              </w:rPr>
              <w:t>USG</w:t>
            </w:r>
          </w:p>
        </w:tc>
        <w:tc>
          <w:tcPr>
            <w:tcW w:w="598"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before="1"/>
              <w:ind w:right="168"/>
              <w:rPr>
                <w:sz w:val="14"/>
              </w:rPr>
            </w:pPr>
            <w:r>
              <w:rPr>
                <w:spacing w:val="-5"/>
                <w:sz w:val="14"/>
              </w:rPr>
              <w:t>ASG</w:t>
            </w:r>
          </w:p>
        </w:tc>
        <w:tc>
          <w:tcPr>
            <w:tcW w:w="558"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before="1"/>
              <w:ind w:right="167"/>
              <w:rPr>
                <w:sz w:val="14"/>
              </w:rPr>
            </w:pPr>
            <w:r>
              <w:rPr>
                <w:w w:val="95"/>
                <w:sz w:val="14"/>
              </w:rPr>
              <w:t>D-</w:t>
            </w:r>
            <w:r>
              <w:rPr>
                <w:spacing w:val="-10"/>
                <w:sz w:val="14"/>
              </w:rPr>
              <w:t>2</w:t>
            </w:r>
          </w:p>
        </w:tc>
        <w:tc>
          <w:tcPr>
            <w:tcW w:w="574"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before="1"/>
              <w:ind w:right="184"/>
              <w:rPr>
                <w:sz w:val="14"/>
              </w:rPr>
            </w:pPr>
            <w:r>
              <w:rPr>
                <w:w w:val="95"/>
                <w:sz w:val="14"/>
              </w:rPr>
              <w:t>D-</w:t>
            </w:r>
            <w:r>
              <w:rPr>
                <w:spacing w:val="-10"/>
                <w:sz w:val="14"/>
              </w:rPr>
              <w:t>1</w:t>
            </w:r>
          </w:p>
        </w:tc>
        <w:tc>
          <w:tcPr>
            <w:tcW w:w="534"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before="1"/>
              <w:ind w:left="174" w:right="141"/>
              <w:jc w:val="center"/>
              <w:rPr>
                <w:sz w:val="14"/>
              </w:rPr>
            </w:pPr>
            <w:r>
              <w:rPr>
                <w:w w:val="95"/>
                <w:sz w:val="14"/>
              </w:rPr>
              <w:t>P-</w:t>
            </w:r>
            <w:r>
              <w:rPr>
                <w:spacing w:val="-10"/>
                <w:sz w:val="14"/>
              </w:rPr>
              <w:t>5</w:t>
            </w:r>
          </w:p>
        </w:tc>
        <w:tc>
          <w:tcPr>
            <w:tcW w:w="684"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before="1"/>
              <w:ind w:right="196"/>
              <w:rPr>
                <w:sz w:val="14"/>
              </w:rPr>
            </w:pPr>
            <w:r>
              <w:rPr>
                <w:w w:val="95"/>
                <w:sz w:val="14"/>
              </w:rPr>
              <w:t>P-</w:t>
            </w:r>
            <w:r>
              <w:rPr>
                <w:spacing w:val="-10"/>
                <w:sz w:val="14"/>
              </w:rPr>
              <w:t>4</w:t>
            </w:r>
          </w:p>
        </w:tc>
        <w:tc>
          <w:tcPr>
            <w:tcW w:w="658"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before="1"/>
              <w:ind w:right="268"/>
              <w:rPr>
                <w:sz w:val="14"/>
              </w:rPr>
            </w:pPr>
            <w:r>
              <w:rPr>
                <w:w w:val="95"/>
                <w:sz w:val="14"/>
              </w:rPr>
              <w:t>P-</w:t>
            </w:r>
            <w:r>
              <w:rPr>
                <w:spacing w:val="-10"/>
                <w:sz w:val="14"/>
              </w:rPr>
              <w:t>3</w:t>
            </w:r>
          </w:p>
        </w:tc>
        <w:tc>
          <w:tcPr>
            <w:tcW w:w="658"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before="1"/>
              <w:ind w:right="192"/>
              <w:rPr>
                <w:sz w:val="14"/>
              </w:rPr>
            </w:pPr>
            <w:r>
              <w:rPr>
                <w:w w:val="95"/>
                <w:sz w:val="14"/>
              </w:rPr>
              <w:t>P-</w:t>
            </w:r>
            <w:r>
              <w:rPr>
                <w:spacing w:val="-10"/>
                <w:sz w:val="14"/>
              </w:rPr>
              <w:t>2</w:t>
            </w:r>
          </w:p>
        </w:tc>
        <w:tc>
          <w:tcPr>
            <w:tcW w:w="458"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before="1"/>
              <w:ind w:right="69"/>
              <w:rPr>
                <w:sz w:val="14"/>
              </w:rPr>
            </w:pPr>
            <w:r>
              <w:rPr>
                <w:w w:val="95"/>
                <w:sz w:val="14"/>
              </w:rPr>
              <w:t>P-</w:t>
            </w:r>
            <w:r>
              <w:rPr>
                <w:spacing w:val="-10"/>
                <w:sz w:val="14"/>
              </w:rPr>
              <w:t>1</w:t>
            </w:r>
          </w:p>
        </w:tc>
        <w:tc>
          <w:tcPr>
            <w:tcW w:w="791" w:type="dxa"/>
            <w:tcBorders>
              <w:top w:val="single" w:sz="4" w:space="0" w:color="000000"/>
              <w:bottom w:val="single" w:sz="4" w:space="0" w:color="000000"/>
            </w:tcBorders>
          </w:tcPr>
          <w:p>
            <w:pPr>
              <w:pStyle w:val="TableParagraph"/>
              <w:spacing w:line="151" w:lineRule="exact"/>
              <w:ind w:left="368"/>
              <w:jc w:val="left"/>
              <w:rPr>
                <w:i/>
                <w:sz w:val="14"/>
              </w:rPr>
            </w:pPr>
            <w:r>
              <w:rPr>
                <w:i/>
                <w:spacing w:val="-2"/>
                <w:sz w:val="14"/>
              </w:rPr>
              <w:t>Total</w:t>
            </w:r>
          </w:p>
          <w:p>
            <w:pPr>
              <w:pStyle w:val="TableParagraph"/>
              <w:spacing w:line="158" w:lineRule="exact"/>
              <w:ind w:left="70" w:right="115" w:firstLine="201"/>
              <w:jc w:val="left"/>
              <w:rPr>
                <w:i/>
                <w:sz w:val="14"/>
              </w:rPr>
            </w:pPr>
            <w:r>
              <w:rPr>
                <w:i/>
                <w:spacing w:val="-2"/>
                <w:sz w:val="14"/>
              </w:rPr>
              <w:t>P-Staff</w:t>
            </w:r>
            <w:r>
              <w:rPr>
                <w:i/>
                <w:spacing w:val="40"/>
                <w:sz w:val="14"/>
              </w:rPr>
              <w:t> </w:t>
            </w:r>
            <w:r>
              <w:rPr>
                <w:i/>
                <w:sz w:val="14"/>
              </w:rPr>
              <w:t>and</w:t>
            </w:r>
            <w:r>
              <w:rPr>
                <w:i/>
                <w:spacing w:val="1"/>
                <w:sz w:val="14"/>
              </w:rPr>
              <w:t> </w:t>
            </w:r>
            <w:r>
              <w:rPr>
                <w:i/>
                <w:spacing w:val="-2"/>
                <w:sz w:val="14"/>
              </w:rPr>
              <w:t>Above</w:t>
            </w:r>
          </w:p>
        </w:tc>
        <w:tc>
          <w:tcPr>
            <w:tcW w:w="560"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before="1"/>
              <w:ind w:right="95"/>
              <w:rPr>
                <w:sz w:val="14"/>
              </w:rPr>
            </w:pPr>
            <w:r>
              <w:rPr>
                <w:w w:val="95"/>
                <w:sz w:val="14"/>
              </w:rPr>
              <w:t>NO-</w:t>
            </w:r>
            <w:r>
              <w:rPr>
                <w:spacing w:val="-10"/>
                <w:sz w:val="14"/>
              </w:rPr>
              <w:t>C</w:t>
            </w:r>
          </w:p>
        </w:tc>
        <w:tc>
          <w:tcPr>
            <w:tcW w:w="572"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before="1"/>
              <w:ind w:right="85"/>
              <w:rPr>
                <w:sz w:val="14"/>
              </w:rPr>
            </w:pPr>
            <w:r>
              <w:rPr>
                <w:w w:val="95"/>
                <w:sz w:val="14"/>
              </w:rPr>
              <w:t>GS-</w:t>
            </w:r>
            <w:r>
              <w:rPr>
                <w:spacing w:val="-5"/>
                <w:sz w:val="14"/>
              </w:rPr>
              <w:t>PL</w:t>
            </w:r>
          </w:p>
        </w:tc>
        <w:tc>
          <w:tcPr>
            <w:tcW w:w="559" w:type="dxa"/>
            <w:tcBorders>
              <w:top w:val="single" w:sz="4" w:space="0" w:color="000000"/>
              <w:bottom w:val="single" w:sz="4" w:space="0" w:color="000000"/>
            </w:tcBorders>
          </w:tcPr>
          <w:p>
            <w:pPr>
              <w:pStyle w:val="TableParagraph"/>
              <w:jc w:val="left"/>
              <w:rPr>
                <w:b/>
                <w:sz w:val="14"/>
              </w:rPr>
            </w:pPr>
          </w:p>
          <w:p>
            <w:pPr>
              <w:pStyle w:val="TableParagraph"/>
              <w:jc w:val="left"/>
              <w:rPr>
                <w:b/>
                <w:sz w:val="13"/>
              </w:rPr>
            </w:pPr>
          </w:p>
          <w:p>
            <w:pPr>
              <w:pStyle w:val="TableParagraph"/>
              <w:spacing w:line="148" w:lineRule="exact" w:before="1"/>
              <w:ind w:right="57"/>
              <w:rPr>
                <w:sz w:val="14"/>
              </w:rPr>
            </w:pPr>
            <w:r>
              <w:rPr>
                <w:w w:val="95"/>
                <w:sz w:val="14"/>
              </w:rPr>
              <w:t>GS-</w:t>
            </w:r>
            <w:r>
              <w:rPr>
                <w:spacing w:val="-5"/>
                <w:sz w:val="14"/>
              </w:rPr>
              <w:t>OL</w:t>
            </w:r>
          </w:p>
        </w:tc>
        <w:tc>
          <w:tcPr>
            <w:tcW w:w="829" w:type="dxa"/>
            <w:tcBorders>
              <w:top w:val="single" w:sz="4" w:space="0" w:color="000000"/>
              <w:bottom w:val="single" w:sz="4" w:space="0" w:color="000000"/>
            </w:tcBorders>
          </w:tcPr>
          <w:p>
            <w:pPr>
              <w:pStyle w:val="TableParagraph"/>
              <w:spacing w:line="151" w:lineRule="exact"/>
              <w:ind w:left="383"/>
              <w:jc w:val="left"/>
              <w:rPr>
                <w:i/>
                <w:sz w:val="14"/>
              </w:rPr>
            </w:pPr>
            <w:r>
              <w:rPr>
                <w:i/>
                <w:spacing w:val="-2"/>
                <w:sz w:val="14"/>
              </w:rPr>
              <w:t>Total</w:t>
            </w:r>
          </w:p>
          <w:p>
            <w:pPr>
              <w:pStyle w:val="TableParagraph"/>
              <w:spacing w:line="158" w:lineRule="exact"/>
              <w:ind w:left="61" w:right="143" w:firstLine="197"/>
              <w:jc w:val="left"/>
              <w:rPr>
                <w:i/>
                <w:sz w:val="14"/>
              </w:rPr>
            </w:pPr>
            <w:r>
              <w:rPr>
                <w:i/>
                <w:sz w:val="14"/>
              </w:rPr>
              <w:t>GS</w:t>
            </w:r>
            <w:r>
              <w:rPr>
                <w:i/>
                <w:spacing w:val="-9"/>
                <w:sz w:val="14"/>
              </w:rPr>
              <w:t> </w:t>
            </w:r>
            <w:r>
              <w:rPr>
                <w:i/>
                <w:sz w:val="14"/>
              </w:rPr>
              <w:t>and</w:t>
            </w:r>
            <w:r>
              <w:rPr>
                <w:i/>
                <w:spacing w:val="40"/>
                <w:sz w:val="14"/>
              </w:rPr>
              <w:t> </w:t>
            </w:r>
            <w:r>
              <w:rPr>
                <w:i/>
                <w:sz w:val="14"/>
              </w:rPr>
              <w:t>Other</w:t>
            </w:r>
            <w:r>
              <w:rPr>
                <w:i/>
                <w:spacing w:val="-5"/>
                <w:sz w:val="14"/>
              </w:rPr>
              <w:t> </w:t>
            </w:r>
            <w:r>
              <w:rPr>
                <w:i/>
                <w:spacing w:val="-2"/>
                <w:sz w:val="14"/>
              </w:rPr>
              <w:t>Staff</w:t>
            </w:r>
          </w:p>
        </w:tc>
        <w:tc>
          <w:tcPr>
            <w:tcW w:w="542" w:type="dxa"/>
            <w:tcBorders>
              <w:top w:val="single" w:sz="4" w:space="0" w:color="000000"/>
              <w:bottom w:val="single" w:sz="4" w:space="0" w:color="000000"/>
            </w:tcBorders>
          </w:tcPr>
          <w:p>
            <w:pPr>
              <w:pStyle w:val="TableParagraph"/>
              <w:spacing w:before="5"/>
              <w:jc w:val="left"/>
              <w:rPr>
                <w:b/>
                <w:sz w:val="12"/>
              </w:rPr>
            </w:pPr>
          </w:p>
          <w:p>
            <w:pPr>
              <w:pStyle w:val="TableParagraph"/>
              <w:spacing w:line="158" w:lineRule="exact"/>
              <w:ind w:left="197" w:hanging="34"/>
              <w:jc w:val="left"/>
              <w:rPr>
                <w:b/>
                <w:sz w:val="14"/>
              </w:rPr>
            </w:pPr>
            <w:r>
              <w:rPr>
                <w:b/>
                <w:spacing w:val="-4"/>
                <w:sz w:val="14"/>
              </w:rPr>
              <w:t>Total</w:t>
            </w:r>
            <w:r>
              <w:rPr>
                <w:b/>
                <w:spacing w:val="40"/>
                <w:sz w:val="14"/>
              </w:rPr>
              <w:t> </w:t>
            </w:r>
            <w:r>
              <w:rPr>
                <w:b/>
                <w:spacing w:val="-4"/>
                <w:sz w:val="14"/>
              </w:rPr>
              <w:t>Staff</w:t>
            </w:r>
          </w:p>
        </w:tc>
      </w:tr>
      <w:tr>
        <w:trPr>
          <w:trHeight w:val="233" w:hRule="atLeast"/>
        </w:trPr>
        <w:tc>
          <w:tcPr>
            <w:tcW w:w="1189" w:type="dxa"/>
            <w:tcBorders>
              <w:top w:val="single" w:sz="4" w:space="0" w:color="000000"/>
            </w:tcBorders>
          </w:tcPr>
          <w:p>
            <w:pPr>
              <w:pStyle w:val="TableParagraph"/>
              <w:spacing w:before="28"/>
              <w:ind w:left="72"/>
              <w:jc w:val="left"/>
              <w:rPr>
                <w:b/>
                <w:sz w:val="14"/>
              </w:rPr>
            </w:pPr>
            <w:r>
              <w:rPr>
                <w:b/>
                <w:spacing w:val="-2"/>
                <w:sz w:val="14"/>
              </w:rPr>
              <w:t>Established</w:t>
            </w:r>
            <w:r>
              <w:rPr>
                <w:b/>
                <w:spacing w:val="11"/>
                <w:sz w:val="14"/>
              </w:rPr>
              <w:t> </w:t>
            </w:r>
            <w:r>
              <w:rPr>
                <w:b/>
                <w:spacing w:val="-2"/>
                <w:sz w:val="14"/>
              </w:rPr>
              <w:t>Posts</w:t>
            </w:r>
          </w:p>
        </w:tc>
        <w:tc>
          <w:tcPr>
            <w:tcW w:w="669" w:type="dxa"/>
            <w:tcBorders>
              <w:top w:val="single" w:sz="4" w:space="0" w:color="000000"/>
            </w:tcBorders>
          </w:tcPr>
          <w:p>
            <w:pPr>
              <w:pStyle w:val="TableParagraph"/>
              <w:jc w:val="left"/>
              <w:rPr>
                <w:sz w:val="14"/>
              </w:rPr>
            </w:pPr>
          </w:p>
        </w:tc>
        <w:tc>
          <w:tcPr>
            <w:tcW w:w="598" w:type="dxa"/>
            <w:tcBorders>
              <w:top w:val="single" w:sz="4" w:space="0" w:color="000000"/>
            </w:tcBorders>
          </w:tcPr>
          <w:p>
            <w:pPr>
              <w:pStyle w:val="TableParagraph"/>
              <w:jc w:val="left"/>
              <w:rPr>
                <w:sz w:val="14"/>
              </w:rPr>
            </w:pPr>
          </w:p>
        </w:tc>
        <w:tc>
          <w:tcPr>
            <w:tcW w:w="558" w:type="dxa"/>
            <w:tcBorders>
              <w:top w:val="single" w:sz="4" w:space="0" w:color="000000"/>
            </w:tcBorders>
          </w:tcPr>
          <w:p>
            <w:pPr>
              <w:pStyle w:val="TableParagraph"/>
              <w:jc w:val="left"/>
              <w:rPr>
                <w:sz w:val="14"/>
              </w:rPr>
            </w:pPr>
          </w:p>
        </w:tc>
        <w:tc>
          <w:tcPr>
            <w:tcW w:w="574" w:type="dxa"/>
            <w:tcBorders>
              <w:top w:val="single" w:sz="4" w:space="0" w:color="000000"/>
            </w:tcBorders>
          </w:tcPr>
          <w:p>
            <w:pPr>
              <w:pStyle w:val="TableParagraph"/>
              <w:jc w:val="left"/>
              <w:rPr>
                <w:sz w:val="14"/>
              </w:rPr>
            </w:pPr>
          </w:p>
        </w:tc>
        <w:tc>
          <w:tcPr>
            <w:tcW w:w="534" w:type="dxa"/>
            <w:tcBorders>
              <w:top w:val="single" w:sz="4" w:space="0" w:color="000000"/>
            </w:tcBorders>
          </w:tcPr>
          <w:p>
            <w:pPr>
              <w:pStyle w:val="TableParagraph"/>
              <w:jc w:val="left"/>
              <w:rPr>
                <w:sz w:val="14"/>
              </w:rPr>
            </w:pPr>
          </w:p>
        </w:tc>
        <w:tc>
          <w:tcPr>
            <w:tcW w:w="684" w:type="dxa"/>
            <w:tcBorders>
              <w:top w:val="single" w:sz="4" w:space="0" w:color="000000"/>
            </w:tcBorders>
          </w:tcPr>
          <w:p>
            <w:pPr>
              <w:pStyle w:val="TableParagraph"/>
              <w:jc w:val="left"/>
              <w:rPr>
                <w:sz w:val="14"/>
              </w:rPr>
            </w:pPr>
          </w:p>
        </w:tc>
        <w:tc>
          <w:tcPr>
            <w:tcW w:w="658" w:type="dxa"/>
            <w:tcBorders>
              <w:top w:val="single" w:sz="4" w:space="0" w:color="000000"/>
            </w:tcBorders>
          </w:tcPr>
          <w:p>
            <w:pPr>
              <w:pStyle w:val="TableParagraph"/>
              <w:jc w:val="left"/>
              <w:rPr>
                <w:sz w:val="14"/>
              </w:rPr>
            </w:pPr>
          </w:p>
        </w:tc>
        <w:tc>
          <w:tcPr>
            <w:tcW w:w="658" w:type="dxa"/>
            <w:tcBorders>
              <w:top w:val="single" w:sz="4" w:space="0" w:color="000000"/>
            </w:tcBorders>
          </w:tcPr>
          <w:p>
            <w:pPr>
              <w:pStyle w:val="TableParagraph"/>
              <w:jc w:val="left"/>
              <w:rPr>
                <w:sz w:val="14"/>
              </w:rPr>
            </w:pPr>
          </w:p>
        </w:tc>
        <w:tc>
          <w:tcPr>
            <w:tcW w:w="458" w:type="dxa"/>
            <w:tcBorders>
              <w:top w:val="single" w:sz="4" w:space="0" w:color="000000"/>
            </w:tcBorders>
          </w:tcPr>
          <w:p>
            <w:pPr>
              <w:pStyle w:val="TableParagraph"/>
              <w:jc w:val="left"/>
              <w:rPr>
                <w:sz w:val="14"/>
              </w:rPr>
            </w:pPr>
          </w:p>
        </w:tc>
        <w:tc>
          <w:tcPr>
            <w:tcW w:w="791" w:type="dxa"/>
            <w:tcBorders>
              <w:top w:val="single" w:sz="4" w:space="0" w:color="000000"/>
            </w:tcBorders>
          </w:tcPr>
          <w:p>
            <w:pPr>
              <w:pStyle w:val="TableParagraph"/>
              <w:jc w:val="left"/>
              <w:rPr>
                <w:sz w:val="14"/>
              </w:rPr>
            </w:pPr>
          </w:p>
        </w:tc>
        <w:tc>
          <w:tcPr>
            <w:tcW w:w="560" w:type="dxa"/>
            <w:tcBorders>
              <w:top w:val="single" w:sz="4" w:space="0" w:color="000000"/>
            </w:tcBorders>
          </w:tcPr>
          <w:p>
            <w:pPr>
              <w:pStyle w:val="TableParagraph"/>
              <w:jc w:val="left"/>
              <w:rPr>
                <w:sz w:val="14"/>
              </w:rPr>
            </w:pPr>
          </w:p>
        </w:tc>
        <w:tc>
          <w:tcPr>
            <w:tcW w:w="572" w:type="dxa"/>
            <w:tcBorders>
              <w:top w:val="single" w:sz="4" w:space="0" w:color="000000"/>
            </w:tcBorders>
          </w:tcPr>
          <w:p>
            <w:pPr>
              <w:pStyle w:val="TableParagraph"/>
              <w:jc w:val="left"/>
              <w:rPr>
                <w:sz w:val="14"/>
              </w:rPr>
            </w:pPr>
          </w:p>
        </w:tc>
        <w:tc>
          <w:tcPr>
            <w:tcW w:w="559" w:type="dxa"/>
            <w:tcBorders>
              <w:top w:val="single" w:sz="4" w:space="0" w:color="000000"/>
            </w:tcBorders>
          </w:tcPr>
          <w:p>
            <w:pPr>
              <w:pStyle w:val="TableParagraph"/>
              <w:jc w:val="left"/>
              <w:rPr>
                <w:sz w:val="14"/>
              </w:rPr>
            </w:pPr>
          </w:p>
        </w:tc>
        <w:tc>
          <w:tcPr>
            <w:tcW w:w="829" w:type="dxa"/>
            <w:tcBorders>
              <w:top w:val="single" w:sz="4" w:space="0" w:color="000000"/>
            </w:tcBorders>
          </w:tcPr>
          <w:p>
            <w:pPr>
              <w:pStyle w:val="TableParagraph"/>
              <w:jc w:val="left"/>
              <w:rPr>
                <w:sz w:val="14"/>
              </w:rPr>
            </w:pPr>
          </w:p>
        </w:tc>
        <w:tc>
          <w:tcPr>
            <w:tcW w:w="542" w:type="dxa"/>
            <w:tcBorders>
              <w:top w:val="single" w:sz="4" w:space="0" w:color="000000"/>
            </w:tcBorders>
          </w:tcPr>
          <w:p>
            <w:pPr>
              <w:pStyle w:val="TableParagraph"/>
              <w:jc w:val="left"/>
              <w:rPr>
                <w:sz w:val="14"/>
              </w:rPr>
            </w:pPr>
          </w:p>
        </w:tc>
      </w:tr>
      <w:tr>
        <w:trPr>
          <w:trHeight w:val="221" w:hRule="atLeast"/>
        </w:trPr>
        <w:tc>
          <w:tcPr>
            <w:tcW w:w="1189" w:type="dxa"/>
            <w:tcBorders>
              <w:bottom w:val="single" w:sz="12" w:space="0" w:color="000000"/>
            </w:tcBorders>
          </w:tcPr>
          <w:p>
            <w:pPr>
              <w:pStyle w:val="TableParagraph"/>
              <w:spacing w:before="20"/>
              <w:ind w:left="72"/>
              <w:jc w:val="left"/>
              <w:rPr>
                <w:sz w:val="14"/>
              </w:rPr>
            </w:pPr>
            <w:r>
              <w:rPr>
                <w:w w:val="95"/>
                <w:sz w:val="14"/>
              </w:rPr>
              <w:t>Approved</w:t>
            </w:r>
            <w:r>
              <w:rPr>
                <w:spacing w:val="22"/>
                <w:sz w:val="14"/>
              </w:rPr>
              <w:t> </w:t>
            </w:r>
            <w:r>
              <w:rPr>
                <w:spacing w:val="-4"/>
                <w:sz w:val="14"/>
              </w:rPr>
              <w:t>2022</w:t>
            </w:r>
          </w:p>
        </w:tc>
        <w:tc>
          <w:tcPr>
            <w:tcW w:w="669" w:type="dxa"/>
            <w:tcBorders>
              <w:bottom w:val="single" w:sz="12" w:space="0" w:color="000000"/>
            </w:tcBorders>
          </w:tcPr>
          <w:p>
            <w:pPr>
              <w:pStyle w:val="TableParagraph"/>
              <w:spacing w:before="20"/>
              <w:ind w:right="148"/>
              <w:rPr>
                <w:sz w:val="14"/>
              </w:rPr>
            </w:pPr>
            <w:r>
              <w:rPr>
                <w:w w:val="99"/>
                <w:sz w:val="14"/>
              </w:rPr>
              <w:t>-</w:t>
            </w:r>
          </w:p>
        </w:tc>
        <w:tc>
          <w:tcPr>
            <w:tcW w:w="598" w:type="dxa"/>
            <w:tcBorders>
              <w:bottom w:val="single" w:sz="12" w:space="0" w:color="000000"/>
            </w:tcBorders>
          </w:tcPr>
          <w:p>
            <w:pPr>
              <w:pStyle w:val="TableParagraph"/>
              <w:spacing w:before="20"/>
              <w:ind w:right="171"/>
              <w:rPr>
                <w:sz w:val="14"/>
              </w:rPr>
            </w:pPr>
            <w:r>
              <w:rPr>
                <w:w w:val="99"/>
                <w:sz w:val="14"/>
              </w:rPr>
              <w:t>1</w:t>
            </w:r>
          </w:p>
        </w:tc>
        <w:tc>
          <w:tcPr>
            <w:tcW w:w="558" w:type="dxa"/>
            <w:tcBorders>
              <w:bottom w:val="single" w:sz="12" w:space="0" w:color="000000"/>
            </w:tcBorders>
          </w:tcPr>
          <w:p>
            <w:pPr>
              <w:pStyle w:val="TableParagraph"/>
              <w:spacing w:before="20"/>
              <w:ind w:right="171"/>
              <w:rPr>
                <w:sz w:val="14"/>
              </w:rPr>
            </w:pPr>
            <w:r>
              <w:rPr>
                <w:w w:val="99"/>
                <w:sz w:val="14"/>
              </w:rPr>
              <w:t>-</w:t>
            </w:r>
          </w:p>
        </w:tc>
        <w:tc>
          <w:tcPr>
            <w:tcW w:w="574" w:type="dxa"/>
            <w:tcBorders>
              <w:bottom w:val="single" w:sz="12" w:space="0" w:color="000000"/>
            </w:tcBorders>
          </w:tcPr>
          <w:p>
            <w:pPr>
              <w:pStyle w:val="TableParagraph"/>
              <w:spacing w:before="20"/>
              <w:ind w:right="188"/>
              <w:rPr>
                <w:sz w:val="14"/>
              </w:rPr>
            </w:pPr>
            <w:r>
              <w:rPr>
                <w:w w:val="99"/>
                <w:sz w:val="14"/>
              </w:rPr>
              <w:t>-</w:t>
            </w:r>
          </w:p>
        </w:tc>
        <w:tc>
          <w:tcPr>
            <w:tcW w:w="534" w:type="dxa"/>
            <w:tcBorders>
              <w:bottom w:val="single" w:sz="12" w:space="0" w:color="000000"/>
            </w:tcBorders>
          </w:tcPr>
          <w:p>
            <w:pPr>
              <w:pStyle w:val="TableParagraph"/>
              <w:spacing w:before="20"/>
              <w:ind w:left="157"/>
              <w:jc w:val="center"/>
              <w:rPr>
                <w:sz w:val="14"/>
              </w:rPr>
            </w:pPr>
            <w:r>
              <w:rPr>
                <w:w w:val="99"/>
                <w:sz w:val="14"/>
              </w:rPr>
              <w:t>2</w:t>
            </w:r>
          </w:p>
        </w:tc>
        <w:tc>
          <w:tcPr>
            <w:tcW w:w="684" w:type="dxa"/>
            <w:tcBorders>
              <w:bottom w:val="single" w:sz="12" w:space="0" w:color="000000"/>
            </w:tcBorders>
          </w:tcPr>
          <w:p>
            <w:pPr>
              <w:pStyle w:val="TableParagraph"/>
              <w:spacing w:before="20"/>
              <w:ind w:right="196"/>
              <w:rPr>
                <w:sz w:val="14"/>
              </w:rPr>
            </w:pPr>
            <w:r>
              <w:rPr>
                <w:w w:val="99"/>
                <w:sz w:val="14"/>
              </w:rPr>
              <w:t>2</w:t>
            </w:r>
          </w:p>
        </w:tc>
        <w:tc>
          <w:tcPr>
            <w:tcW w:w="658" w:type="dxa"/>
            <w:tcBorders>
              <w:bottom w:val="single" w:sz="12" w:space="0" w:color="000000"/>
            </w:tcBorders>
          </w:tcPr>
          <w:p>
            <w:pPr>
              <w:pStyle w:val="TableParagraph"/>
              <w:spacing w:before="20"/>
              <w:ind w:right="268"/>
              <w:rPr>
                <w:sz w:val="14"/>
              </w:rPr>
            </w:pPr>
            <w:r>
              <w:rPr>
                <w:w w:val="99"/>
                <w:sz w:val="14"/>
              </w:rPr>
              <w:t>4</w:t>
            </w:r>
          </w:p>
        </w:tc>
        <w:tc>
          <w:tcPr>
            <w:tcW w:w="658" w:type="dxa"/>
            <w:tcBorders>
              <w:bottom w:val="single" w:sz="12" w:space="0" w:color="000000"/>
            </w:tcBorders>
          </w:tcPr>
          <w:p>
            <w:pPr>
              <w:pStyle w:val="TableParagraph"/>
              <w:spacing w:before="20"/>
              <w:ind w:right="192"/>
              <w:rPr>
                <w:sz w:val="14"/>
              </w:rPr>
            </w:pPr>
            <w:r>
              <w:rPr>
                <w:w w:val="99"/>
                <w:sz w:val="14"/>
              </w:rPr>
              <w:t>2</w:t>
            </w:r>
          </w:p>
        </w:tc>
        <w:tc>
          <w:tcPr>
            <w:tcW w:w="458" w:type="dxa"/>
            <w:tcBorders>
              <w:bottom w:val="single" w:sz="12" w:space="0" w:color="000000"/>
            </w:tcBorders>
          </w:tcPr>
          <w:p>
            <w:pPr>
              <w:pStyle w:val="TableParagraph"/>
              <w:spacing w:before="20"/>
              <w:ind w:right="68"/>
              <w:rPr>
                <w:sz w:val="14"/>
              </w:rPr>
            </w:pPr>
            <w:r>
              <w:rPr>
                <w:w w:val="99"/>
                <w:sz w:val="14"/>
              </w:rPr>
              <w:t>-</w:t>
            </w:r>
          </w:p>
        </w:tc>
        <w:tc>
          <w:tcPr>
            <w:tcW w:w="791" w:type="dxa"/>
            <w:tcBorders>
              <w:bottom w:val="single" w:sz="12" w:space="0" w:color="000000"/>
            </w:tcBorders>
          </w:tcPr>
          <w:p>
            <w:pPr>
              <w:pStyle w:val="TableParagraph"/>
              <w:spacing w:before="20"/>
              <w:ind w:right="118"/>
              <w:rPr>
                <w:i/>
                <w:sz w:val="14"/>
              </w:rPr>
            </w:pPr>
            <w:r>
              <w:rPr>
                <w:i/>
                <w:spacing w:val="-5"/>
                <w:sz w:val="14"/>
              </w:rPr>
              <w:t>11</w:t>
            </w:r>
          </w:p>
        </w:tc>
        <w:tc>
          <w:tcPr>
            <w:tcW w:w="560" w:type="dxa"/>
            <w:tcBorders>
              <w:bottom w:val="single" w:sz="12" w:space="0" w:color="000000"/>
            </w:tcBorders>
          </w:tcPr>
          <w:p>
            <w:pPr>
              <w:pStyle w:val="TableParagraph"/>
              <w:spacing w:before="20"/>
              <w:ind w:right="98"/>
              <w:rPr>
                <w:sz w:val="14"/>
              </w:rPr>
            </w:pPr>
            <w:r>
              <w:rPr>
                <w:w w:val="99"/>
                <w:sz w:val="14"/>
              </w:rPr>
              <w:t>-</w:t>
            </w:r>
          </w:p>
        </w:tc>
        <w:tc>
          <w:tcPr>
            <w:tcW w:w="572" w:type="dxa"/>
            <w:tcBorders>
              <w:bottom w:val="single" w:sz="12" w:space="0" w:color="000000"/>
            </w:tcBorders>
          </w:tcPr>
          <w:p>
            <w:pPr>
              <w:pStyle w:val="TableParagraph"/>
              <w:spacing w:before="20"/>
              <w:ind w:right="85"/>
              <w:rPr>
                <w:sz w:val="14"/>
              </w:rPr>
            </w:pPr>
            <w:r>
              <w:rPr>
                <w:w w:val="99"/>
                <w:sz w:val="14"/>
              </w:rPr>
              <w:t>1</w:t>
            </w:r>
          </w:p>
        </w:tc>
        <w:tc>
          <w:tcPr>
            <w:tcW w:w="559" w:type="dxa"/>
            <w:tcBorders>
              <w:bottom w:val="single" w:sz="12" w:space="0" w:color="000000"/>
            </w:tcBorders>
          </w:tcPr>
          <w:p>
            <w:pPr>
              <w:pStyle w:val="TableParagraph"/>
              <w:spacing w:before="20"/>
              <w:ind w:right="59"/>
              <w:rPr>
                <w:sz w:val="14"/>
              </w:rPr>
            </w:pPr>
            <w:r>
              <w:rPr>
                <w:w w:val="99"/>
                <w:sz w:val="14"/>
              </w:rPr>
              <w:t>1</w:t>
            </w:r>
          </w:p>
        </w:tc>
        <w:tc>
          <w:tcPr>
            <w:tcW w:w="829" w:type="dxa"/>
            <w:tcBorders>
              <w:bottom w:val="single" w:sz="12" w:space="0" w:color="000000"/>
            </w:tcBorders>
          </w:tcPr>
          <w:p>
            <w:pPr>
              <w:pStyle w:val="TableParagraph"/>
              <w:spacing w:before="20"/>
              <w:ind w:right="148"/>
              <w:rPr>
                <w:i/>
                <w:sz w:val="14"/>
              </w:rPr>
            </w:pPr>
            <w:r>
              <w:rPr>
                <w:i/>
                <w:w w:val="99"/>
                <w:sz w:val="14"/>
              </w:rPr>
              <w:t>2</w:t>
            </w:r>
          </w:p>
        </w:tc>
        <w:tc>
          <w:tcPr>
            <w:tcW w:w="542" w:type="dxa"/>
            <w:tcBorders>
              <w:bottom w:val="single" w:sz="12" w:space="0" w:color="000000"/>
            </w:tcBorders>
          </w:tcPr>
          <w:p>
            <w:pPr>
              <w:pStyle w:val="TableParagraph"/>
              <w:spacing w:before="20"/>
              <w:ind w:right="49"/>
              <w:rPr>
                <w:b/>
                <w:sz w:val="14"/>
              </w:rPr>
            </w:pPr>
            <w:r>
              <w:rPr>
                <w:b/>
                <w:spacing w:val="-5"/>
                <w:sz w:val="14"/>
              </w:rPr>
              <w:t>13</w:t>
            </w:r>
          </w:p>
        </w:tc>
      </w:tr>
      <w:tr>
        <w:trPr>
          <w:trHeight w:val="227" w:hRule="atLeast"/>
        </w:trPr>
        <w:tc>
          <w:tcPr>
            <w:tcW w:w="1189" w:type="dxa"/>
            <w:tcBorders>
              <w:top w:val="single" w:sz="12" w:space="0" w:color="000000"/>
              <w:bottom w:val="single" w:sz="6" w:space="0" w:color="000000"/>
            </w:tcBorders>
          </w:tcPr>
          <w:p>
            <w:pPr>
              <w:pStyle w:val="TableParagraph"/>
              <w:spacing w:before="27"/>
              <w:ind w:left="72"/>
              <w:jc w:val="left"/>
              <w:rPr>
                <w:sz w:val="14"/>
              </w:rPr>
            </w:pPr>
            <w:r>
              <w:rPr>
                <w:spacing w:val="-5"/>
                <w:sz w:val="14"/>
              </w:rPr>
              <w:t>New</w:t>
            </w:r>
          </w:p>
        </w:tc>
        <w:tc>
          <w:tcPr>
            <w:tcW w:w="669" w:type="dxa"/>
            <w:tcBorders>
              <w:top w:val="single" w:sz="12" w:space="0" w:color="000000"/>
              <w:bottom w:val="single" w:sz="6" w:space="0" w:color="000000"/>
            </w:tcBorders>
          </w:tcPr>
          <w:p>
            <w:pPr>
              <w:pStyle w:val="TableParagraph"/>
              <w:spacing w:before="27"/>
              <w:ind w:right="148"/>
              <w:rPr>
                <w:sz w:val="14"/>
              </w:rPr>
            </w:pPr>
            <w:r>
              <w:rPr>
                <w:w w:val="99"/>
                <w:sz w:val="14"/>
              </w:rPr>
              <w:t>-</w:t>
            </w:r>
          </w:p>
        </w:tc>
        <w:tc>
          <w:tcPr>
            <w:tcW w:w="598" w:type="dxa"/>
            <w:tcBorders>
              <w:top w:val="single" w:sz="12" w:space="0" w:color="000000"/>
              <w:bottom w:val="single" w:sz="6" w:space="0" w:color="000000"/>
            </w:tcBorders>
          </w:tcPr>
          <w:p>
            <w:pPr>
              <w:pStyle w:val="TableParagraph"/>
              <w:spacing w:before="27"/>
              <w:ind w:right="169"/>
              <w:rPr>
                <w:sz w:val="14"/>
              </w:rPr>
            </w:pPr>
            <w:r>
              <w:rPr>
                <w:w w:val="99"/>
                <w:sz w:val="14"/>
              </w:rPr>
              <w:t>-</w:t>
            </w:r>
          </w:p>
        </w:tc>
        <w:tc>
          <w:tcPr>
            <w:tcW w:w="558" w:type="dxa"/>
            <w:tcBorders>
              <w:top w:val="single" w:sz="12" w:space="0" w:color="000000"/>
              <w:bottom w:val="single" w:sz="6" w:space="0" w:color="000000"/>
            </w:tcBorders>
          </w:tcPr>
          <w:p>
            <w:pPr>
              <w:pStyle w:val="TableParagraph"/>
              <w:spacing w:before="27"/>
              <w:ind w:right="171"/>
              <w:rPr>
                <w:sz w:val="14"/>
              </w:rPr>
            </w:pPr>
            <w:r>
              <w:rPr>
                <w:w w:val="99"/>
                <w:sz w:val="14"/>
              </w:rPr>
              <w:t>-</w:t>
            </w:r>
          </w:p>
        </w:tc>
        <w:tc>
          <w:tcPr>
            <w:tcW w:w="574" w:type="dxa"/>
            <w:tcBorders>
              <w:top w:val="single" w:sz="12" w:space="0" w:color="000000"/>
              <w:bottom w:val="single" w:sz="6" w:space="0" w:color="000000"/>
            </w:tcBorders>
          </w:tcPr>
          <w:p>
            <w:pPr>
              <w:pStyle w:val="TableParagraph"/>
              <w:spacing w:before="27"/>
              <w:ind w:right="188"/>
              <w:rPr>
                <w:sz w:val="14"/>
              </w:rPr>
            </w:pPr>
            <w:r>
              <w:rPr>
                <w:w w:val="99"/>
                <w:sz w:val="14"/>
              </w:rPr>
              <w:t>-</w:t>
            </w:r>
          </w:p>
        </w:tc>
        <w:tc>
          <w:tcPr>
            <w:tcW w:w="534" w:type="dxa"/>
            <w:tcBorders>
              <w:top w:val="single" w:sz="12" w:space="0" w:color="000000"/>
              <w:bottom w:val="single" w:sz="6" w:space="0" w:color="000000"/>
            </w:tcBorders>
          </w:tcPr>
          <w:p>
            <w:pPr>
              <w:pStyle w:val="TableParagraph"/>
              <w:spacing w:before="27"/>
              <w:ind w:left="182"/>
              <w:jc w:val="center"/>
              <w:rPr>
                <w:sz w:val="14"/>
              </w:rPr>
            </w:pPr>
            <w:r>
              <w:rPr>
                <w:w w:val="99"/>
                <w:sz w:val="14"/>
              </w:rPr>
              <w:t>-</w:t>
            </w:r>
          </w:p>
        </w:tc>
        <w:tc>
          <w:tcPr>
            <w:tcW w:w="684" w:type="dxa"/>
            <w:tcBorders>
              <w:top w:val="single" w:sz="12" w:space="0" w:color="000000"/>
              <w:bottom w:val="single" w:sz="6" w:space="0" w:color="000000"/>
            </w:tcBorders>
          </w:tcPr>
          <w:p>
            <w:pPr>
              <w:pStyle w:val="TableParagraph"/>
              <w:spacing w:before="27"/>
              <w:ind w:right="196"/>
              <w:rPr>
                <w:sz w:val="14"/>
              </w:rPr>
            </w:pPr>
            <w:r>
              <w:rPr>
                <w:w w:val="99"/>
                <w:sz w:val="14"/>
              </w:rPr>
              <w:t>1</w:t>
            </w:r>
          </w:p>
        </w:tc>
        <w:tc>
          <w:tcPr>
            <w:tcW w:w="658" w:type="dxa"/>
            <w:tcBorders>
              <w:top w:val="single" w:sz="12" w:space="0" w:color="000000"/>
              <w:bottom w:val="single" w:sz="6" w:space="0" w:color="000000"/>
            </w:tcBorders>
          </w:tcPr>
          <w:p>
            <w:pPr>
              <w:pStyle w:val="TableParagraph"/>
              <w:spacing w:before="27"/>
              <w:ind w:right="268"/>
              <w:rPr>
                <w:sz w:val="14"/>
              </w:rPr>
            </w:pPr>
            <w:r>
              <w:rPr>
                <w:w w:val="99"/>
                <w:sz w:val="14"/>
              </w:rPr>
              <w:t>-</w:t>
            </w:r>
          </w:p>
        </w:tc>
        <w:tc>
          <w:tcPr>
            <w:tcW w:w="658" w:type="dxa"/>
            <w:tcBorders>
              <w:top w:val="single" w:sz="12" w:space="0" w:color="000000"/>
              <w:bottom w:val="single" w:sz="6" w:space="0" w:color="000000"/>
            </w:tcBorders>
          </w:tcPr>
          <w:p>
            <w:pPr>
              <w:pStyle w:val="TableParagraph"/>
              <w:spacing w:before="27"/>
              <w:ind w:right="192"/>
              <w:rPr>
                <w:sz w:val="14"/>
              </w:rPr>
            </w:pPr>
            <w:r>
              <w:rPr>
                <w:w w:val="99"/>
                <w:sz w:val="14"/>
              </w:rPr>
              <w:t>1</w:t>
            </w:r>
          </w:p>
        </w:tc>
        <w:tc>
          <w:tcPr>
            <w:tcW w:w="458" w:type="dxa"/>
            <w:tcBorders>
              <w:top w:val="single" w:sz="12" w:space="0" w:color="000000"/>
              <w:bottom w:val="single" w:sz="6" w:space="0" w:color="000000"/>
            </w:tcBorders>
          </w:tcPr>
          <w:p>
            <w:pPr>
              <w:pStyle w:val="TableParagraph"/>
              <w:spacing w:before="27"/>
              <w:ind w:right="68"/>
              <w:rPr>
                <w:sz w:val="14"/>
              </w:rPr>
            </w:pPr>
            <w:r>
              <w:rPr>
                <w:w w:val="99"/>
                <w:sz w:val="14"/>
              </w:rPr>
              <w:t>-</w:t>
            </w:r>
          </w:p>
        </w:tc>
        <w:tc>
          <w:tcPr>
            <w:tcW w:w="791" w:type="dxa"/>
            <w:tcBorders>
              <w:top w:val="single" w:sz="12" w:space="0" w:color="000000"/>
              <w:bottom w:val="single" w:sz="6" w:space="0" w:color="000000"/>
            </w:tcBorders>
          </w:tcPr>
          <w:p>
            <w:pPr>
              <w:pStyle w:val="TableParagraph"/>
              <w:spacing w:before="27"/>
              <w:ind w:right="125"/>
              <w:rPr>
                <w:i/>
                <w:sz w:val="14"/>
              </w:rPr>
            </w:pPr>
            <w:r>
              <w:rPr>
                <w:i/>
                <w:w w:val="99"/>
                <w:sz w:val="14"/>
              </w:rPr>
              <w:t>2</w:t>
            </w:r>
          </w:p>
        </w:tc>
        <w:tc>
          <w:tcPr>
            <w:tcW w:w="560" w:type="dxa"/>
            <w:tcBorders>
              <w:top w:val="single" w:sz="12" w:space="0" w:color="000000"/>
              <w:bottom w:val="single" w:sz="6" w:space="0" w:color="000000"/>
            </w:tcBorders>
          </w:tcPr>
          <w:p>
            <w:pPr>
              <w:pStyle w:val="TableParagraph"/>
              <w:spacing w:before="27"/>
              <w:ind w:right="98"/>
              <w:rPr>
                <w:sz w:val="14"/>
              </w:rPr>
            </w:pPr>
            <w:r>
              <w:rPr>
                <w:w w:val="99"/>
                <w:sz w:val="14"/>
              </w:rPr>
              <w:t>-</w:t>
            </w:r>
          </w:p>
        </w:tc>
        <w:tc>
          <w:tcPr>
            <w:tcW w:w="572" w:type="dxa"/>
            <w:tcBorders>
              <w:top w:val="single" w:sz="12" w:space="0" w:color="000000"/>
              <w:bottom w:val="single" w:sz="6" w:space="0" w:color="000000"/>
            </w:tcBorders>
          </w:tcPr>
          <w:p>
            <w:pPr>
              <w:pStyle w:val="TableParagraph"/>
              <w:spacing w:before="27"/>
              <w:ind w:right="84"/>
              <w:rPr>
                <w:sz w:val="14"/>
              </w:rPr>
            </w:pPr>
            <w:r>
              <w:rPr>
                <w:w w:val="99"/>
                <w:sz w:val="14"/>
              </w:rPr>
              <w:t>-</w:t>
            </w:r>
          </w:p>
        </w:tc>
        <w:tc>
          <w:tcPr>
            <w:tcW w:w="559" w:type="dxa"/>
            <w:tcBorders>
              <w:top w:val="single" w:sz="12" w:space="0" w:color="000000"/>
              <w:bottom w:val="single" w:sz="6" w:space="0" w:color="000000"/>
            </w:tcBorders>
          </w:tcPr>
          <w:p>
            <w:pPr>
              <w:pStyle w:val="TableParagraph"/>
              <w:spacing w:before="27"/>
              <w:ind w:right="58"/>
              <w:rPr>
                <w:sz w:val="14"/>
              </w:rPr>
            </w:pPr>
            <w:r>
              <w:rPr>
                <w:w w:val="99"/>
                <w:sz w:val="14"/>
              </w:rPr>
              <w:t>-</w:t>
            </w:r>
          </w:p>
        </w:tc>
        <w:tc>
          <w:tcPr>
            <w:tcW w:w="829" w:type="dxa"/>
            <w:tcBorders>
              <w:top w:val="single" w:sz="12" w:space="0" w:color="000000"/>
              <w:bottom w:val="single" w:sz="6" w:space="0" w:color="000000"/>
            </w:tcBorders>
          </w:tcPr>
          <w:p>
            <w:pPr>
              <w:pStyle w:val="TableParagraph"/>
              <w:spacing w:before="27"/>
              <w:ind w:right="147"/>
              <w:rPr>
                <w:i/>
                <w:sz w:val="14"/>
              </w:rPr>
            </w:pPr>
            <w:r>
              <w:rPr>
                <w:i/>
                <w:w w:val="99"/>
                <w:sz w:val="14"/>
              </w:rPr>
              <w:t>-</w:t>
            </w:r>
          </w:p>
        </w:tc>
        <w:tc>
          <w:tcPr>
            <w:tcW w:w="542" w:type="dxa"/>
            <w:tcBorders>
              <w:top w:val="single" w:sz="12" w:space="0" w:color="000000"/>
              <w:bottom w:val="single" w:sz="6" w:space="0" w:color="000000"/>
            </w:tcBorders>
          </w:tcPr>
          <w:p>
            <w:pPr>
              <w:pStyle w:val="TableParagraph"/>
              <w:spacing w:before="27"/>
              <w:ind w:right="56"/>
              <w:rPr>
                <w:b/>
                <w:sz w:val="14"/>
              </w:rPr>
            </w:pPr>
            <w:r>
              <w:rPr>
                <w:b/>
                <w:w w:val="99"/>
                <w:sz w:val="14"/>
              </w:rPr>
              <w:t>2</w:t>
            </w:r>
          </w:p>
        </w:tc>
      </w:tr>
      <w:tr>
        <w:trPr>
          <w:trHeight w:val="222" w:hRule="atLeast"/>
        </w:trPr>
        <w:tc>
          <w:tcPr>
            <w:tcW w:w="1189" w:type="dxa"/>
            <w:tcBorders>
              <w:top w:val="single" w:sz="6" w:space="0" w:color="000000"/>
              <w:bottom w:val="single" w:sz="4" w:space="0" w:color="000000"/>
            </w:tcBorders>
          </w:tcPr>
          <w:p>
            <w:pPr>
              <w:pStyle w:val="TableParagraph"/>
              <w:spacing w:before="21"/>
              <w:ind w:left="72"/>
              <w:jc w:val="left"/>
              <w:rPr>
                <w:sz w:val="14"/>
              </w:rPr>
            </w:pPr>
            <w:r>
              <w:rPr>
                <w:spacing w:val="-2"/>
                <w:sz w:val="14"/>
              </w:rPr>
              <w:t>Redeployed</w:t>
            </w:r>
          </w:p>
        </w:tc>
        <w:tc>
          <w:tcPr>
            <w:tcW w:w="669" w:type="dxa"/>
            <w:tcBorders>
              <w:top w:val="single" w:sz="6" w:space="0" w:color="000000"/>
              <w:bottom w:val="single" w:sz="4" w:space="0" w:color="000000"/>
            </w:tcBorders>
          </w:tcPr>
          <w:p>
            <w:pPr>
              <w:pStyle w:val="TableParagraph"/>
              <w:spacing w:before="21"/>
              <w:ind w:right="148"/>
              <w:rPr>
                <w:sz w:val="14"/>
              </w:rPr>
            </w:pPr>
            <w:r>
              <w:rPr>
                <w:w w:val="99"/>
                <w:sz w:val="14"/>
              </w:rPr>
              <w:t>-</w:t>
            </w:r>
          </w:p>
        </w:tc>
        <w:tc>
          <w:tcPr>
            <w:tcW w:w="598" w:type="dxa"/>
            <w:tcBorders>
              <w:top w:val="single" w:sz="6" w:space="0" w:color="000000"/>
              <w:bottom w:val="single" w:sz="4" w:space="0" w:color="000000"/>
            </w:tcBorders>
          </w:tcPr>
          <w:p>
            <w:pPr>
              <w:pStyle w:val="TableParagraph"/>
              <w:spacing w:before="21"/>
              <w:ind w:right="169"/>
              <w:rPr>
                <w:sz w:val="14"/>
              </w:rPr>
            </w:pPr>
            <w:r>
              <w:rPr>
                <w:w w:val="99"/>
                <w:sz w:val="14"/>
              </w:rPr>
              <w:t>-</w:t>
            </w:r>
          </w:p>
        </w:tc>
        <w:tc>
          <w:tcPr>
            <w:tcW w:w="558" w:type="dxa"/>
            <w:tcBorders>
              <w:top w:val="single" w:sz="6" w:space="0" w:color="000000"/>
              <w:bottom w:val="single" w:sz="4" w:space="0" w:color="000000"/>
            </w:tcBorders>
          </w:tcPr>
          <w:p>
            <w:pPr>
              <w:pStyle w:val="TableParagraph"/>
              <w:spacing w:before="21"/>
              <w:ind w:right="171"/>
              <w:rPr>
                <w:sz w:val="14"/>
              </w:rPr>
            </w:pPr>
            <w:r>
              <w:rPr>
                <w:w w:val="99"/>
                <w:sz w:val="14"/>
              </w:rPr>
              <w:t>-</w:t>
            </w:r>
          </w:p>
        </w:tc>
        <w:tc>
          <w:tcPr>
            <w:tcW w:w="574" w:type="dxa"/>
            <w:tcBorders>
              <w:top w:val="single" w:sz="6" w:space="0" w:color="000000"/>
              <w:bottom w:val="single" w:sz="4" w:space="0" w:color="000000"/>
            </w:tcBorders>
          </w:tcPr>
          <w:p>
            <w:pPr>
              <w:pStyle w:val="TableParagraph"/>
              <w:spacing w:before="21"/>
              <w:ind w:right="188"/>
              <w:rPr>
                <w:sz w:val="14"/>
              </w:rPr>
            </w:pPr>
            <w:r>
              <w:rPr>
                <w:w w:val="99"/>
                <w:sz w:val="14"/>
              </w:rPr>
              <w:t>-</w:t>
            </w:r>
          </w:p>
        </w:tc>
        <w:tc>
          <w:tcPr>
            <w:tcW w:w="534" w:type="dxa"/>
            <w:tcBorders>
              <w:top w:val="single" w:sz="6" w:space="0" w:color="000000"/>
              <w:bottom w:val="single" w:sz="4" w:space="0" w:color="000000"/>
            </w:tcBorders>
          </w:tcPr>
          <w:p>
            <w:pPr>
              <w:pStyle w:val="TableParagraph"/>
              <w:spacing w:before="21"/>
              <w:ind w:left="182"/>
              <w:jc w:val="center"/>
              <w:rPr>
                <w:sz w:val="14"/>
              </w:rPr>
            </w:pPr>
            <w:r>
              <w:rPr>
                <w:w w:val="99"/>
                <w:sz w:val="14"/>
              </w:rPr>
              <w:t>-</w:t>
            </w:r>
          </w:p>
        </w:tc>
        <w:tc>
          <w:tcPr>
            <w:tcW w:w="684" w:type="dxa"/>
            <w:tcBorders>
              <w:top w:val="single" w:sz="6" w:space="0" w:color="000000"/>
              <w:bottom w:val="single" w:sz="4" w:space="0" w:color="000000"/>
            </w:tcBorders>
          </w:tcPr>
          <w:p>
            <w:pPr>
              <w:pStyle w:val="TableParagraph"/>
              <w:spacing w:before="21"/>
              <w:ind w:right="196"/>
              <w:rPr>
                <w:sz w:val="14"/>
              </w:rPr>
            </w:pPr>
            <w:r>
              <w:rPr>
                <w:w w:val="99"/>
                <w:sz w:val="14"/>
              </w:rPr>
              <w:t>-</w:t>
            </w:r>
          </w:p>
        </w:tc>
        <w:tc>
          <w:tcPr>
            <w:tcW w:w="658" w:type="dxa"/>
            <w:tcBorders>
              <w:top w:val="single" w:sz="6" w:space="0" w:color="000000"/>
              <w:bottom w:val="single" w:sz="4" w:space="0" w:color="000000"/>
            </w:tcBorders>
          </w:tcPr>
          <w:p>
            <w:pPr>
              <w:pStyle w:val="TableParagraph"/>
              <w:spacing w:before="21"/>
              <w:ind w:right="268"/>
              <w:rPr>
                <w:sz w:val="14"/>
              </w:rPr>
            </w:pPr>
            <w:r>
              <w:rPr>
                <w:w w:val="99"/>
                <w:sz w:val="14"/>
              </w:rPr>
              <w:t>-</w:t>
            </w:r>
          </w:p>
        </w:tc>
        <w:tc>
          <w:tcPr>
            <w:tcW w:w="658" w:type="dxa"/>
            <w:tcBorders>
              <w:top w:val="single" w:sz="6" w:space="0" w:color="000000"/>
              <w:bottom w:val="single" w:sz="4" w:space="0" w:color="000000"/>
            </w:tcBorders>
          </w:tcPr>
          <w:p>
            <w:pPr>
              <w:pStyle w:val="TableParagraph"/>
              <w:spacing w:before="21"/>
              <w:ind w:right="191"/>
              <w:rPr>
                <w:sz w:val="14"/>
              </w:rPr>
            </w:pPr>
            <w:r>
              <w:rPr>
                <w:w w:val="99"/>
                <w:sz w:val="14"/>
              </w:rPr>
              <w:t>-</w:t>
            </w:r>
          </w:p>
        </w:tc>
        <w:tc>
          <w:tcPr>
            <w:tcW w:w="458" w:type="dxa"/>
            <w:tcBorders>
              <w:top w:val="single" w:sz="6" w:space="0" w:color="000000"/>
              <w:bottom w:val="single" w:sz="4" w:space="0" w:color="000000"/>
            </w:tcBorders>
          </w:tcPr>
          <w:p>
            <w:pPr>
              <w:pStyle w:val="TableParagraph"/>
              <w:spacing w:before="21"/>
              <w:ind w:right="68"/>
              <w:rPr>
                <w:sz w:val="14"/>
              </w:rPr>
            </w:pPr>
            <w:r>
              <w:rPr>
                <w:w w:val="99"/>
                <w:sz w:val="14"/>
              </w:rPr>
              <w:t>-</w:t>
            </w:r>
          </w:p>
        </w:tc>
        <w:tc>
          <w:tcPr>
            <w:tcW w:w="791" w:type="dxa"/>
            <w:tcBorders>
              <w:top w:val="single" w:sz="6" w:space="0" w:color="000000"/>
              <w:bottom w:val="single" w:sz="4" w:space="0" w:color="000000"/>
            </w:tcBorders>
          </w:tcPr>
          <w:p>
            <w:pPr>
              <w:pStyle w:val="TableParagraph"/>
              <w:spacing w:before="21"/>
              <w:ind w:right="124"/>
              <w:rPr>
                <w:i/>
                <w:sz w:val="14"/>
              </w:rPr>
            </w:pPr>
            <w:r>
              <w:rPr>
                <w:i/>
                <w:w w:val="99"/>
                <w:sz w:val="14"/>
              </w:rPr>
              <w:t>-</w:t>
            </w:r>
          </w:p>
        </w:tc>
        <w:tc>
          <w:tcPr>
            <w:tcW w:w="560" w:type="dxa"/>
            <w:tcBorders>
              <w:top w:val="single" w:sz="6" w:space="0" w:color="000000"/>
              <w:bottom w:val="single" w:sz="4" w:space="0" w:color="000000"/>
            </w:tcBorders>
          </w:tcPr>
          <w:p>
            <w:pPr>
              <w:pStyle w:val="TableParagraph"/>
              <w:spacing w:before="21"/>
              <w:ind w:right="98"/>
              <w:rPr>
                <w:sz w:val="14"/>
              </w:rPr>
            </w:pPr>
            <w:r>
              <w:rPr>
                <w:w w:val="99"/>
                <w:sz w:val="14"/>
              </w:rPr>
              <w:t>-</w:t>
            </w:r>
          </w:p>
        </w:tc>
        <w:tc>
          <w:tcPr>
            <w:tcW w:w="572" w:type="dxa"/>
            <w:tcBorders>
              <w:top w:val="single" w:sz="6" w:space="0" w:color="000000"/>
              <w:bottom w:val="single" w:sz="4" w:space="0" w:color="000000"/>
            </w:tcBorders>
          </w:tcPr>
          <w:p>
            <w:pPr>
              <w:pStyle w:val="TableParagraph"/>
              <w:spacing w:before="21"/>
              <w:ind w:right="84"/>
              <w:rPr>
                <w:sz w:val="14"/>
              </w:rPr>
            </w:pPr>
            <w:r>
              <w:rPr>
                <w:w w:val="99"/>
                <w:sz w:val="14"/>
              </w:rPr>
              <w:t>-</w:t>
            </w:r>
          </w:p>
        </w:tc>
        <w:tc>
          <w:tcPr>
            <w:tcW w:w="559" w:type="dxa"/>
            <w:tcBorders>
              <w:top w:val="single" w:sz="6" w:space="0" w:color="000000"/>
              <w:bottom w:val="single" w:sz="4" w:space="0" w:color="000000"/>
            </w:tcBorders>
          </w:tcPr>
          <w:p>
            <w:pPr>
              <w:pStyle w:val="TableParagraph"/>
              <w:spacing w:before="21"/>
              <w:ind w:right="58"/>
              <w:rPr>
                <w:sz w:val="14"/>
              </w:rPr>
            </w:pPr>
            <w:r>
              <w:rPr>
                <w:w w:val="99"/>
                <w:sz w:val="14"/>
              </w:rPr>
              <w:t>-</w:t>
            </w:r>
          </w:p>
        </w:tc>
        <w:tc>
          <w:tcPr>
            <w:tcW w:w="829" w:type="dxa"/>
            <w:tcBorders>
              <w:top w:val="single" w:sz="6" w:space="0" w:color="000000"/>
              <w:bottom w:val="single" w:sz="4" w:space="0" w:color="000000"/>
            </w:tcBorders>
          </w:tcPr>
          <w:p>
            <w:pPr>
              <w:pStyle w:val="TableParagraph"/>
              <w:spacing w:before="21"/>
              <w:ind w:right="147"/>
              <w:rPr>
                <w:i/>
                <w:sz w:val="14"/>
              </w:rPr>
            </w:pPr>
            <w:r>
              <w:rPr>
                <w:i/>
                <w:w w:val="99"/>
                <w:sz w:val="14"/>
              </w:rPr>
              <w:t>-</w:t>
            </w:r>
          </w:p>
        </w:tc>
        <w:tc>
          <w:tcPr>
            <w:tcW w:w="542" w:type="dxa"/>
            <w:tcBorders>
              <w:top w:val="single" w:sz="6" w:space="0" w:color="000000"/>
              <w:bottom w:val="single" w:sz="4" w:space="0" w:color="000000"/>
            </w:tcBorders>
          </w:tcPr>
          <w:p>
            <w:pPr>
              <w:pStyle w:val="TableParagraph"/>
              <w:spacing w:before="21"/>
              <w:ind w:right="55"/>
              <w:rPr>
                <w:b/>
                <w:sz w:val="14"/>
              </w:rPr>
            </w:pPr>
            <w:r>
              <w:rPr>
                <w:b/>
                <w:w w:val="99"/>
                <w:sz w:val="14"/>
              </w:rPr>
              <w:t>-</w:t>
            </w:r>
          </w:p>
        </w:tc>
      </w:tr>
      <w:tr>
        <w:trPr>
          <w:trHeight w:val="225" w:hRule="atLeast"/>
        </w:trPr>
        <w:tc>
          <w:tcPr>
            <w:tcW w:w="1189" w:type="dxa"/>
            <w:tcBorders>
              <w:top w:val="single" w:sz="4" w:space="0" w:color="000000"/>
              <w:bottom w:val="single" w:sz="4" w:space="0" w:color="000000"/>
            </w:tcBorders>
          </w:tcPr>
          <w:p>
            <w:pPr>
              <w:pStyle w:val="TableParagraph"/>
              <w:spacing w:before="28"/>
              <w:ind w:left="72"/>
              <w:jc w:val="left"/>
              <w:rPr>
                <w:sz w:val="14"/>
              </w:rPr>
            </w:pPr>
            <w:r>
              <w:rPr>
                <w:spacing w:val="-2"/>
                <w:sz w:val="14"/>
              </w:rPr>
              <w:t>Reclassified</w:t>
            </w:r>
          </w:p>
        </w:tc>
        <w:tc>
          <w:tcPr>
            <w:tcW w:w="669" w:type="dxa"/>
            <w:tcBorders>
              <w:top w:val="single" w:sz="4" w:space="0" w:color="000000"/>
              <w:bottom w:val="single" w:sz="4" w:space="0" w:color="000000"/>
            </w:tcBorders>
          </w:tcPr>
          <w:p>
            <w:pPr>
              <w:pStyle w:val="TableParagraph"/>
              <w:spacing w:before="28"/>
              <w:ind w:right="148"/>
              <w:rPr>
                <w:sz w:val="14"/>
              </w:rPr>
            </w:pPr>
            <w:r>
              <w:rPr>
                <w:w w:val="99"/>
                <w:sz w:val="14"/>
              </w:rPr>
              <w:t>-</w:t>
            </w:r>
          </w:p>
        </w:tc>
        <w:tc>
          <w:tcPr>
            <w:tcW w:w="598" w:type="dxa"/>
            <w:tcBorders>
              <w:top w:val="single" w:sz="4" w:space="0" w:color="000000"/>
              <w:bottom w:val="single" w:sz="4" w:space="0" w:color="000000"/>
            </w:tcBorders>
          </w:tcPr>
          <w:p>
            <w:pPr>
              <w:pStyle w:val="TableParagraph"/>
              <w:spacing w:before="28"/>
              <w:ind w:right="169"/>
              <w:rPr>
                <w:sz w:val="14"/>
              </w:rPr>
            </w:pPr>
            <w:r>
              <w:rPr>
                <w:w w:val="99"/>
                <w:sz w:val="14"/>
              </w:rPr>
              <w:t>-</w:t>
            </w:r>
          </w:p>
        </w:tc>
        <w:tc>
          <w:tcPr>
            <w:tcW w:w="558" w:type="dxa"/>
            <w:tcBorders>
              <w:top w:val="single" w:sz="4" w:space="0" w:color="000000"/>
              <w:bottom w:val="single" w:sz="4" w:space="0" w:color="000000"/>
            </w:tcBorders>
          </w:tcPr>
          <w:p>
            <w:pPr>
              <w:pStyle w:val="TableParagraph"/>
              <w:spacing w:before="28"/>
              <w:ind w:right="171"/>
              <w:rPr>
                <w:sz w:val="14"/>
              </w:rPr>
            </w:pPr>
            <w:r>
              <w:rPr>
                <w:w w:val="99"/>
                <w:sz w:val="14"/>
              </w:rPr>
              <w:t>-</w:t>
            </w:r>
          </w:p>
        </w:tc>
        <w:tc>
          <w:tcPr>
            <w:tcW w:w="574" w:type="dxa"/>
            <w:tcBorders>
              <w:top w:val="single" w:sz="4" w:space="0" w:color="000000"/>
              <w:bottom w:val="single" w:sz="4" w:space="0" w:color="000000"/>
            </w:tcBorders>
          </w:tcPr>
          <w:p>
            <w:pPr>
              <w:pStyle w:val="TableParagraph"/>
              <w:spacing w:before="28"/>
              <w:ind w:right="188"/>
              <w:rPr>
                <w:sz w:val="14"/>
              </w:rPr>
            </w:pPr>
            <w:r>
              <w:rPr>
                <w:w w:val="99"/>
                <w:sz w:val="14"/>
              </w:rPr>
              <w:t>-</w:t>
            </w:r>
          </w:p>
        </w:tc>
        <w:tc>
          <w:tcPr>
            <w:tcW w:w="534" w:type="dxa"/>
            <w:tcBorders>
              <w:top w:val="single" w:sz="4" w:space="0" w:color="000000"/>
              <w:bottom w:val="single" w:sz="4" w:space="0" w:color="000000"/>
            </w:tcBorders>
          </w:tcPr>
          <w:p>
            <w:pPr>
              <w:pStyle w:val="TableParagraph"/>
              <w:spacing w:before="28"/>
              <w:ind w:left="182"/>
              <w:jc w:val="center"/>
              <w:rPr>
                <w:sz w:val="14"/>
              </w:rPr>
            </w:pPr>
            <w:r>
              <w:rPr>
                <w:w w:val="99"/>
                <w:sz w:val="14"/>
              </w:rPr>
              <w:t>-</w:t>
            </w:r>
          </w:p>
        </w:tc>
        <w:tc>
          <w:tcPr>
            <w:tcW w:w="684" w:type="dxa"/>
            <w:tcBorders>
              <w:top w:val="single" w:sz="4" w:space="0" w:color="000000"/>
              <w:bottom w:val="single" w:sz="4" w:space="0" w:color="000000"/>
            </w:tcBorders>
          </w:tcPr>
          <w:p>
            <w:pPr>
              <w:pStyle w:val="TableParagraph"/>
              <w:spacing w:before="28"/>
              <w:ind w:right="196"/>
              <w:rPr>
                <w:sz w:val="14"/>
              </w:rPr>
            </w:pPr>
            <w:r>
              <w:rPr>
                <w:w w:val="99"/>
                <w:sz w:val="14"/>
              </w:rPr>
              <w:t>-</w:t>
            </w:r>
          </w:p>
        </w:tc>
        <w:tc>
          <w:tcPr>
            <w:tcW w:w="658" w:type="dxa"/>
            <w:tcBorders>
              <w:top w:val="single" w:sz="4" w:space="0" w:color="000000"/>
              <w:bottom w:val="single" w:sz="4" w:space="0" w:color="000000"/>
            </w:tcBorders>
          </w:tcPr>
          <w:p>
            <w:pPr>
              <w:pStyle w:val="TableParagraph"/>
              <w:spacing w:before="28"/>
              <w:ind w:right="268"/>
              <w:rPr>
                <w:sz w:val="14"/>
              </w:rPr>
            </w:pPr>
            <w:r>
              <w:rPr>
                <w:w w:val="99"/>
                <w:sz w:val="14"/>
              </w:rPr>
              <w:t>-</w:t>
            </w:r>
          </w:p>
        </w:tc>
        <w:tc>
          <w:tcPr>
            <w:tcW w:w="658" w:type="dxa"/>
            <w:tcBorders>
              <w:top w:val="single" w:sz="4" w:space="0" w:color="000000"/>
              <w:bottom w:val="single" w:sz="4" w:space="0" w:color="000000"/>
            </w:tcBorders>
          </w:tcPr>
          <w:p>
            <w:pPr>
              <w:pStyle w:val="TableParagraph"/>
              <w:spacing w:before="28"/>
              <w:ind w:right="191"/>
              <w:rPr>
                <w:sz w:val="14"/>
              </w:rPr>
            </w:pPr>
            <w:r>
              <w:rPr>
                <w:w w:val="99"/>
                <w:sz w:val="14"/>
              </w:rPr>
              <w:t>-</w:t>
            </w:r>
          </w:p>
        </w:tc>
        <w:tc>
          <w:tcPr>
            <w:tcW w:w="458" w:type="dxa"/>
            <w:tcBorders>
              <w:top w:val="single" w:sz="4" w:space="0" w:color="000000"/>
              <w:bottom w:val="single" w:sz="4" w:space="0" w:color="000000"/>
            </w:tcBorders>
          </w:tcPr>
          <w:p>
            <w:pPr>
              <w:pStyle w:val="TableParagraph"/>
              <w:spacing w:before="28"/>
              <w:ind w:right="68"/>
              <w:rPr>
                <w:sz w:val="14"/>
              </w:rPr>
            </w:pPr>
            <w:r>
              <w:rPr>
                <w:w w:val="99"/>
                <w:sz w:val="14"/>
              </w:rPr>
              <w:t>-</w:t>
            </w:r>
          </w:p>
        </w:tc>
        <w:tc>
          <w:tcPr>
            <w:tcW w:w="791" w:type="dxa"/>
            <w:tcBorders>
              <w:top w:val="single" w:sz="4" w:space="0" w:color="000000"/>
              <w:bottom w:val="single" w:sz="4" w:space="0" w:color="000000"/>
            </w:tcBorders>
          </w:tcPr>
          <w:p>
            <w:pPr>
              <w:pStyle w:val="TableParagraph"/>
              <w:spacing w:before="28"/>
              <w:ind w:right="124"/>
              <w:rPr>
                <w:i/>
                <w:sz w:val="14"/>
              </w:rPr>
            </w:pPr>
            <w:r>
              <w:rPr>
                <w:i/>
                <w:w w:val="99"/>
                <w:sz w:val="14"/>
              </w:rPr>
              <w:t>-</w:t>
            </w:r>
          </w:p>
        </w:tc>
        <w:tc>
          <w:tcPr>
            <w:tcW w:w="560" w:type="dxa"/>
            <w:tcBorders>
              <w:top w:val="single" w:sz="4" w:space="0" w:color="000000"/>
              <w:bottom w:val="single" w:sz="4" w:space="0" w:color="000000"/>
            </w:tcBorders>
          </w:tcPr>
          <w:p>
            <w:pPr>
              <w:pStyle w:val="TableParagraph"/>
              <w:spacing w:before="28"/>
              <w:ind w:right="98"/>
              <w:rPr>
                <w:sz w:val="14"/>
              </w:rPr>
            </w:pPr>
            <w:r>
              <w:rPr>
                <w:w w:val="99"/>
                <w:sz w:val="14"/>
              </w:rPr>
              <w:t>-</w:t>
            </w:r>
          </w:p>
        </w:tc>
        <w:tc>
          <w:tcPr>
            <w:tcW w:w="572" w:type="dxa"/>
            <w:tcBorders>
              <w:top w:val="single" w:sz="4" w:space="0" w:color="000000"/>
              <w:bottom w:val="single" w:sz="4" w:space="0" w:color="000000"/>
            </w:tcBorders>
          </w:tcPr>
          <w:p>
            <w:pPr>
              <w:pStyle w:val="TableParagraph"/>
              <w:spacing w:before="28"/>
              <w:ind w:right="84"/>
              <w:rPr>
                <w:sz w:val="14"/>
              </w:rPr>
            </w:pPr>
            <w:r>
              <w:rPr>
                <w:w w:val="99"/>
                <w:sz w:val="14"/>
              </w:rPr>
              <w:t>-</w:t>
            </w:r>
          </w:p>
        </w:tc>
        <w:tc>
          <w:tcPr>
            <w:tcW w:w="559" w:type="dxa"/>
            <w:tcBorders>
              <w:top w:val="single" w:sz="4" w:space="0" w:color="000000"/>
              <w:bottom w:val="single" w:sz="4" w:space="0" w:color="000000"/>
            </w:tcBorders>
          </w:tcPr>
          <w:p>
            <w:pPr>
              <w:pStyle w:val="TableParagraph"/>
              <w:spacing w:before="28"/>
              <w:ind w:right="58"/>
              <w:rPr>
                <w:sz w:val="14"/>
              </w:rPr>
            </w:pPr>
            <w:r>
              <w:rPr>
                <w:w w:val="99"/>
                <w:sz w:val="14"/>
              </w:rPr>
              <w:t>-</w:t>
            </w:r>
          </w:p>
        </w:tc>
        <w:tc>
          <w:tcPr>
            <w:tcW w:w="829" w:type="dxa"/>
            <w:tcBorders>
              <w:top w:val="single" w:sz="4" w:space="0" w:color="000000"/>
              <w:bottom w:val="single" w:sz="4" w:space="0" w:color="000000"/>
            </w:tcBorders>
          </w:tcPr>
          <w:p>
            <w:pPr>
              <w:pStyle w:val="TableParagraph"/>
              <w:spacing w:before="28"/>
              <w:ind w:right="147"/>
              <w:rPr>
                <w:i/>
                <w:sz w:val="14"/>
              </w:rPr>
            </w:pPr>
            <w:r>
              <w:rPr>
                <w:i/>
                <w:w w:val="99"/>
                <w:sz w:val="14"/>
              </w:rPr>
              <w:t>-</w:t>
            </w:r>
          </w:p>
        </w:tc>
        <w:tc>
          <w:tcPr>
            <w:tcW w:w="542" w:type="dxa"/>
            <w:tcBorders>
              <w:top w:val="single" w:sz="4" w:space="0" w:color="000000"/>
              <w:bottom w:val="single" w:sz="4" w:space="0" w:color="000000"/>
            </w:tcBorders>
          </w:tcPr>
          <w:p>
            <w:pPr>
              <w:pStyle w:val="TableParagraph"/>
              <w:spacing w:before="28"/>
              <w:ind w:right="55"/>
              <w:rPr>
                <w:b/>
                <w:sz w:val="14"/>
              </w:rPr>
            </w:pPr>
            <w:r>
              <w:rPr>
                <w:b/>
                <w:w w:val="99"/>
                <w:sz w:val="14"/>
              </w:rPr>
              <w:t>-</w:t>
            </w:r>
          </w:p>
        </w:tc>
      </w:tr>
      <w:tr>
        <w:trPr>
          <w:trHeight w:val="230" w:hRule="atLeast"/>
        </w:trPr>
        <w:tc>
          <w:tcPr>
            <w:tcW w:w="1189" w:type="dxa"/>
            <w:tcBorders>
              <w:top w:val="single" w:sz="4" w:space="0" w:color="000000"/>
              <w:bottom w:val="single" w:sz="4" w:space="0" w:color="000000"/>
            </w:tcBorders>
          </w:tcPr>
          <w:p>
            <w:pPr>
              <w:pStyle w:val="TableParagraph"/>
              <w:spacing w:before="28"/>
              <w:ind w:left="72"/>
              <w:jc w:val="left"/>
              <w:rPr>
                <w:sz w:val="14"/>
              </w:rPr>
            </w:pPr>
            <w:r>
              <w:rPr>
                <w:spacing w:val="-2"/>
                <w:sz w:val="14"/>
              </w:rPr>
              <w:t>Returned</w:t>
            </w:r>
          </w:p>
        </w:tc>
        <w:tc>
          <w:tcPr>
            <w:tcW w:w="669" w:type="dxa"/>
            <w:tcBorders>
              <w:top w:val="single" w:sz="4" w:space="0" w:color="000000"/>
              <w:bottom w:val="single" w:sz="4" w:space="0" w:color="000000"/>
            </w:tcBorders>
          </w:tcPr>
          <w:p>
            <w:pPr>
              <w:pStyle w:val="TableParagraph"/>
              <w:spacing w:before="28"/>
              <w:ind w:right="148"/>
              <w:rPr>
                <w:sz w:val="14"/>
              </w:rPr>
            </w:pPr>
            <w:r>
              <w:rPr>
                <w:w w:val="99"/>
                <w:sz w:val="14"/>
              </w:rPr>
              <w:t>-</w:t>
            </w:r>
          </w:p>
        </w:tc>
        <w:tc>
          <w:tcPr>
            <w:tcW w:w="598" w:type="dxa"/>
            <w:tcBorders>
              <w:top w:val="single" w:sz="4" w:space="0" w:color="000000"/>
              <w:bottom w:val="single" w:sz="4" w:space="0" w:color="000000"/>
            </w:tcBorders>
          </w:tcPr>
          <w:p>
            <w:pPr>
              <w:pStyle w:val="TableParagraph"/>
              <w:spacing w:before="28"/>
              <w:ind w:right="169"/>
              <w:rPr>
                <w:sz w:val="14"/>
              </w:rPr>
            </w:pPr>
            <w:r>
              <w:rPr>
                <w:w w:val="99"/>
                <w:sz w:val="14"/>
              </w:rPr>
              <w:t>-</w:t>
            </w:r>
          </w:p>
        </w:tc>
        <w:tc>
          <w:tcPr>
            <w:tcW w:w="558" w:type="dxa"/>
            <w:tcBorders>
              <w:top w:val="single" w:sz="4" w:space="0" w:color="000000"/>
              <w:bottom w:val="single" w:sz="4" w:space="0" w:color="000000"/>
            </w:tcBorders>
          </w:tcPr>
          <w:p>
            <w:pPr>
              <w:pStyle w:val="TableParagraph"/>
              <w:spacing w:before="28"/>
              <w:ind w:right="171"/>
              <w:rPr>
                <w:sz w:val="14"/>
              </w:rPr>
            </w:pPr>
            <w:r>
              <w:rPr>
                <w:w w:val="99"/>
                <w:sz w:val="14"/>
              </w:rPr>
              <w:t>-</w:t>
            </w:r>
          </w:p>
        </w:tc>
        <w:tc>
          <w:tcPr>
            <w:tcW w:w="574" w:type="dxa"/>
            <w:tcBorders>
              <w:top w:val="single" w:sz="4" w:space="0" w:color="000000"/>
              <w:bottom w:val="single" w:sz="4" w:space="0" w:color="000000"/>
            </w:tcBorders>
          </w:tcPr>
          <w:p>
            <w:pPr>
              <w:pStyle w:val="TableParagraph"/>
              <w:spacing w:before="28"/>
              <w:ind w:right="188"/>
              <w:rPr>
                <w:sz w:val="14"/>
              </w:rPr>
            </w:pPr>
            <w:r>
              <w:rPr>
                <w:w w:val="99"/>
                <w:sz w:val="14"/>
              </w:rPr>
              <w:t>-</w:t>
            </w:r>
          </w:p>
        </w:tc>
        <w:tc>
          <w:tcPr>
            <w:tcW w:w="534" w:type="dxa"/>
            <w:tcBorders>
              <w:top w:val="single" w:sz="4" w:space="0" w:color="000000"/>
              <w:bottom w:val="single" w:sz="4" w:space="0" w:color="000000"/>
            </w:tcBorders>
          </w:tcPr>
          <w:p>
            <w:pPr>
              <w:pStyle w:val="TableParagraph"/>
              <w:spacing w:before="28"/>
              <w:ind w:left="182"/>
              <w:jc w:val="center"/>
              <w:rPr>
                <w:sz w:val="14"/>
              </w:rPr>
            </w:pPr>
            <w:r>
              <w:rPr>
                <w:w w:val="99"/>
                <w:sz w:val="14"/>
              </w:rPr>
              <w:t>-</w:t>
            </w:r>
          </w:p>
        </w:tc>
        <w:tc>
          <w:tcPr>
            <w:tcW w:w="684" w:type="dxa"/>
            <w:tcBorders>
              <w:top w:val="single" w:sz="4" w:space="0" w:color="000000"/>
              <w:bottom w:val="single" w:sz="4" w:space="0" w:color="000000"/>
            </w:tcBorders>
          </w:tcPr>
          <w:p>
            <w:pPr>
              <w:pStyle w:val="TableParagraph"/>
              <w:spacing w:before="28"/>
              <w:ind w:right="196"/>
              <w:rPr>
                <w:sz w:val="14"/>
              </w:rPr>
            </w:pPr>
            <w:r>
              <w:rPr>
                <w:w w:val="99"/>
                <w:sz w:val="14"/>
              </w:rPr>
              <w:t>-</w:t>
            </w:r>
          </w:p>
        </w:tc>
        <w:tc>
          <w:tcPr>
            <w:tcW w:w="658" w:type="dxa"/>
            <w:tcBorders>
              <w:top w:val="single" w:sz="4" w:space="0" w:color="000000"/>
              <w:bottom w:val="single" w:sz="4" w:space="0" w:color="000000"/>
            </w:tcBorders>
          </w:tcPr>
          <w:p>
            <w:pPr>
              <w:pStyle w:val="TableParagraph"/>
              <w:spacing w:before="28"/>
              <w:ind w:right="268"/>
              <w:rPr>
                <w:sz w:val="14"/>
              </w:rPr>
            </w:pPr>
            <w:r>
              <w:rPr>
                <w:w w:val="99"/>
                <w:sz w:val="14"/>
              </w:rPr>
              <w:t>-</w:t>
            </w:r>
          </w:p>
        </w:tc>
        <w:tc>
          <w:tcPr>
            <w:tcW w:w="658" w:type="dxa"/>
            <w:tcBorders>
              <w:top w:val="single" w:sz="4" w:space="0" w:color="000000"/>
              <w:bottom w:val="single" w:sz="4" w:space="0" w:color="000000"/>
            </w:tcBorders>
          </w:tcPr>
          <w:p>
            <w:pPr>
              <w:pStyle w:val="TableParagraph"/>
              <w:spacing w:before="28"/>
              <w:ind w:right="191"/>
              <w:rPr>
                <w:sz w:val="14"/>
              </w:rPr>
            </w:pPr>
            <w:r>
              <w:rPr>
                <w:w w:val="99"/>
                <w:sz w:val="14"/>
              </w:rPr>
              <w:t>-</w:t>
            </w:r>
          </w:p>
        </w:tc>
        <w:tc>
          <w:tcPr>
            <w:tcW w:w="458" w:type="dxa"/>
            <w:tcBorders>
              <w:top w:val="single" w:sz="4" w:space="0" w:color="000000"/>
              <w:bottom w:val="single" w:sz="4" w:space="0" w:color="000000"/>
            </w:tcBorders>
          </w:tcPr>
          <w:p>
            <w:pPr>
              <w:pStyle w:val="TableParagraph"/>
              <w:spacing w:before="28"/>
              <w:ind w:right="68"/>
              <w:rPr>
                <w:sz w:val="14"/>
              </w:rPr>
            </w:pPr>
            <w:r>
              <w:rPr>
                <w:w w:val="99"/>
                <w:sz w:val="14"/>
              </w:rPr>
              <w:t>-</w:t>
            </w:r>
          </w:p>
        </w:tc>
        <w:tc>
          <w:tcPr>
            <w:tcW w:w="791" w:type="dxa"/>
            <w:tcBorders>
              <w:top w:val="single" w:sz="4" w:space="0" w:color="000000"/>
              <w:bottom w:val="single" w:sz="4" w:space="0" w:color="000000"/>
            </w:tcBorders>
          </w:tcPr>
          <w:p>
            <w:pPr>
              <w:pStyle w:val="TableParagraph"/>
              <w:spacing w:before="28"/>
              <w:ind w:right="124"/>
              <w:rPr>
                <w:i/>
                <w:sz w:val="14"/>
              </w:rPr>
            </w:pPr>
            <w:r>
              <w:rPr>
                <w:i/>
                <w:w w:val="99"/>
                <w:sz w:val="14"/>
              </w:rPr>
              <w:t>-</w:t>
            </w:r>
          </w:p>
        </w:tc>
        <w:tc>
          <w:tcPr>
            <w:tcW w:w="560" w:type="dxa"/>
            <w:tcBorders>
              <w:top w:val="single" w:sz="4" w:space="0" w:color="000000"/>
              <w:bottom w:val="single" w:sz="4" w:space="0" w:color="000000"/>
            </w:tcBorders>
          </w:tcPr>
          <w:p>
            <w:pPr>
              <w:pStyle w:val="TableParagraph"/>
              <w:spacing w:before="28"/>
              <w:ind w:right="98"/>
              <w:rPr>
                <w:sz w:val="14"/>
              </w:rPr>
            </w:pPr>
            <w:r>
              <w:rPr>
                <w:w w:val="99"/>
                <w:sz w:val="14"/>
              </w:rPr>
              <w:t>-</w:t>
            </w:r>
          </w:p>
        </w:tc>
        <w:tc>
          <w:tcPr>
            <w:tcW w:w="572" w:type="dxa"/>
            <w:tcBorders>
              <w:top w:val="single" w:sz="4" w:space="0" w:color="000000"/>
              <w:bottom w:val="single" w:sz="4" w:space="0" w:color="000000"/>
            </w:tcBorders>
          </w:tcPr>
          <w:p>
            <w:pPr>
              <w:pStyle w:val="TableParagraph"/>
              <w:spacing w:before="28"/>
              <w:ind w:right="84"/>
              <w:rPr>
                <w:sz w:val="14"/>
              </w:rPr>
            </w:pPr>
            <w:r>
              <w:rPr>
                <w:w w:val="99"/>
                <w:sz w:val="14"/>
              </w:rPr>
              <w:t>-</w:t>
            </w:r>
          </w:p>
        </w:tc>
        <w:tc>
          <w:tcPr>
            <w:tcW w:w="559" w:type="dxa"/>
            <w:tcBorders>
              <w:top w:val="single" w:sz="4" w:space="0" w:color="000000"/>
              <w:bottom w:val="single" w:sz="4" w:space="0" w:color="000000"/>
            </w:tcBorders>
          </w:tcPr>
          <w:p>
            <w:pPr>
              <w:pStyle w:val="TableParagraph"/>
              <w:spacing w:before="28"/>
              <w:ind w:right="58"/>
              <w:rPr>
                <w:sz w:val="14"/>
              </w:rPr>
            </w:pPr>
            <w:r>
              <w:rPr>
                <w:w w:val="99"/>
                <w:sz w:val="14"/>
              </w:rPr>
              <w:t>-</w:t>
            </w:r>
          </w:p>
        </w:tc>
        <w:tc>
          <w:tcPr>
            <w:tcW w:w="829" w:type="dxa"/>
            <w:tcBorders>
              <w:top w:val="single" w:sz="4" w:space="0" w:color="000000"/>
              <w:bottom w:val="single" w:sz="4" w:space="0" w:color="000000"/>
            </w:tcBorders>
          </w:tcPr>
          <w:p>
            <w:pPr>
              <w:pStyle w:val="TableParagraph"/>
              <w:spacing w:before="28"/>
              <w:ind w:right="147"/>
              <w:rPr>
                <w:i/>
                <w:sz w:val="14"/>
              </w:rPr>
            </w:pPr>
            <w:r>
              <w:rPr>
                <w:i/>
                <w:w w:val="99"/>
                <w:sz w:val="14"/>
              </w:rPr>
              <w:t>-</w:t>
            </w:r>
          </w:p>
        </w:tc>
        <w:tc>
          <w:tcPr>
            <w:tcW w:w="542" w:type="dxa"/>
            <w:tcBorders>
              <w:top w:val="single" w:sz="4" w:space="0" w:color="000000"/>
              <w:bottom w:val="single" w:sz="4" w:space="0" w:color="000000"/>
            </w:tcBorders>
          </w:tcPr>
          <w:p>
            <w:pPr>
              <w:pStyle w:val="TableParagraph"/>
              <w:spacing w:before="28"/>
              <w:ind w:right="55"/>
              <w:rPr>
                <w:b/>
                <w:sz w:val="14"/>
              </w:rPr>
            </w:pPr>
            <w:r>
              <w:rPr>
                <w:b/>
                <w:w w:val="99"/>
                <w:sz w:val="14"/>
              </w:rPr>
              <w:t>-</w:t>
            </w:r>
          </w:p>
        </w:tc>
      </w:tr>
      <w:tr>
        <w:trPr>
          <w:trHeight w:val="224" w:hRule="atLeast"/>
        </w:trPr>
        <w:tc>
          <w:tcPr>
            <w:tcW w:w="1189" w:type="dxa"/>
            <w:tcBorders>
              <w:top w:val="single" w:sz="4" w:space="0" w:color="000000"/>
              <w:bottom w:val="single" w:sz="12" w:space="0" w:color="000000"/>
            </w:tcBorders>
          </w:tcPr>
          <w:p>
            <w:pPr>
              <w:pStyle w:val="TableParagraph"/>
              <w:spacing w:before="23"/>
              <w:ind w:left="72"/>
              <w:jc w:val="left"/>
              <w:rPr>
                <w:b/>
                <w:sz w:val="14"/>
              </w:rPr>
            </w:pPr>
            <w:r>
              <w:rPr>
                <w:b/>
                <w:sz w:val="14"/>
              </w:rPr>
              <w:t>Proposed</w:t>
            </w:r>
            <w:r>
              <w:rPr>
                <w:b/>
                <w:spacing w:val="-6"/>
                <w:sz w:val="14"/>
              </w:rPr>
              <w:t> </w:t>
            </w:r>
            <w:r>
              <w:rPr>
                <w:b/>
                <w:spacing w:val="-4"/>
                <w:sz w:val="14"/>
              </w:rPr>
              <w:t>2023</w:t>
            </w:r>
          </w:p>
        </w:tc>
        <w:tc>
          <w:tcPr>
            <w:tcW w:w="669" w:type="dxa"/>
            <w:tcBorders>
              <w:top w:val="single" w:sz="4" w:space="0" w:color="000000"/>
              <w:bottom w:val="single" w:sz="12" w:space="0" w:color="000000"/>
            </w:tcBorders>
          </w:tcPr>
          <w:p>
            <w:pPr>
              <w:pStyle w:val="TableParagraph"/>
              <w:spacing w:before="23"/>
              <w:ind w:right="148"/>
              <w:rPr>
                <w:b/>
                <w:sz w:val="14"/>
              </w:rPr>
            </w:pPr>
            <w:r>
              <w:rPr>
                <w:b/>
                <w:w w:val="99"/>
                <w:sz w:val="14"/>
              </w:rPr>
              <w:t>-</w:t>
            </w:r>
          </w:p>
        </w:tc>
        <w:tc>
          <w:tcPr>
            <w:tcW w:w="598" w:type="dxa"/>
            <w:tcBorders>
              <w:top w:val="single" w:sz="4" w:space="0" w:color="000000"/>
              <w:bottom w:val="single" w:sz="12" w:space="0" w:color="000000"/>
            </w:tcBorders>
          </w:tcPr>
          <w:p>
            <w:pPr>
              <w:pStyle w:val="TableParagraph"/>
              <w:spacing w:before="23"/>
              <w:ind w:right="171"/>
              <w:rPr>
                <w:b/>
                <w:sz w:val="14"/>
              </w:rPr>
            </w:pPr>
            <w:r>
              <w:rPr>
                <w:b/>
                <w:w w:val="99"/>
                <w:sz w:val="14"/>
              </w:rPr>
              <w:t>1</w:t>
            </w:r>
          </w:p>
        </w:tc>
        <w:tc>
          <w:tcPr>
            <w:tcW w:w="558" w:type="dxa"/>
            <w:tcBorders>
              <w:top w:val="single" w:sz="4" w:space="0" w:color="000000"/>
              <w:bottom w:val="single" w:sz="12" w:space="0" w:color="000000"/>
            </w:tcBorders>
          </w:tcPr>
          <w:p>
            <w:pPr>
              <w:pStyle w:val="TableParagraph"/>
              <w:spacing w:before="23"/>
              <w:ind w:right="171"/>
              <w:rPr>
                <w:b/>
                <w:sz w:val="14"/>
              </w:rPr>
            </w:pPr>
            <w:r>
              <w:rPr>
                <w:b/>
                <w:w w:val="99"/>
                <w:sz w:val="14"/>
              </w:rPr>
              <w:t>-</w:t>
            </w:r>
          </w:p>
        </w:tc>
        <w:tc>
          <w:tcPr>
            <w:tcW w:w="574" w:type="dxa"/>
            <w:tcBorders>
              <w:top w:val="single" w:sz="4" w:space="0" w:color="000000"/>
              <w:bottom w:val="single" w:sz="12" w:space="0" w:color="000000"/>
            </w:tcBorders>
          </w:tcPr>
          <w:p>
            <w:pPr>
              <w:pStyle w:val="TableParagraph"/>
              <w:spacing w:before="23"/>
              <w:ind w:right="188"/>
              <w:rPr>
                <w:b/>
                <w:sz w:val="14"/>
              </w:rPr>
            </w:pPr>
            <w:r>
              <w:rPr>
                <w:b/>
                <w:w w:val="99"/>
                <w:sz w:val="14"/>
              </w:rPr>
              <w:t>-</w:t>
            </w:r>
          </w:p>
        </w:tc>
        <w:tc>
          <w:tcPr>
            <w:tcW w:w="534" w:type="dxa"/>
            <w:tcBorders>
              <w:top w:val="single" w:sz="4" w:space="0" w:color="000000"/>
              <w:bottom w:val="single" w:sz="12" w:space="0" w:color="000000"/>
            </w:tcBorders>
          </w:tcPr>
          <w:p>
            <w:pPr>
              <w:pStyle w:val="TableParagraph"/>
              <w:spacing w:before="23"/>
              <w:ind w:left="157"/>
              <w:jc w:val="center"/>
              <w:rPr>
                <w:b/>
                <w:sz w:val="14"/>
              </w:rPr>
            </w:pPr>
            <w:r>
              <w:rPr>
                <w:b/>
                <w:w w:val="99"/>
                <w:sz w:val="14"/>
              </w:rPr>
              <w:t>2</w:t>
            </w:r>
          </w:p>
        </w:tc>
        <w:tc>
          <w:tcPr>
            <w:tcW w:w="684" w:type="dxa"/>
            <w:tcBorders>
              <w:top w:val="single" w:sz="4" w:space="0" w:color="000000"/>
              <w:bottom w:val="single" w:sz="12" w:space="0" w:color="000000"/>
            </w:tcBorders>
          </w:tcPr>
          <w:p>
            <w:pPr>
              <w:pStyle w:val="TableParagraph"/>
              <w:spacing w:before="23"/>
              <w:ind w:right="196"/>
              <w:rPr>
                <w:b/>
                <w:sz w:val="14"/>
              </w:rPr>
            </w:pPr>
            <w:r>
              <w:rPr>
                <w:b/>
                <w:w w:val="99"/>
                <w:sz w:val="14"/>
              </w:rPr>
              <w:t>3</w:t>
            </w:r>
          </w:p>
        </w:tc>
        <w:tc>
          <w:tcPr>
            <w:tcW w:w="658" w:type="dxa"/>
            <w:tcBorders>
              <w:top w:val="single" w:sz="4" w:space="0" w:color="000000"/>
              <w:bottom w:val="single" w:sz="12" w:space="0" w:color="000000"/>
            </w:tcBorders>
          </w:tcPr>
          <w:p>
            <w:pPr>
              <w:pStyle w:val="TableParagraph"/>
              <w:spacing w:before="23"/>
              <w:ind w:right="268"/>
              <w:rPr>
                <w:b/>
                <w:sz w:val="14"/>
              </w:rPr>
            </w:pPr>
            <w:r>
              <w:rPr>
                <w:b/>
                <w:w w:val="99"/>
                <w:sz w:val="14"/>
              </w:rPr>
              <w:t>4</w:t>
            </w:r>
          </w:p>
        </w:tc>
        <w:tc>
          <w:tcPr>
            <w:tcW w:w="658" w:type="dxa"/>
            <w:tcBorders>
              <w:top w:val="single" w:sz="4" w:space="0" w:color="000000"/>
              <w:bottom w:val="single" w:sz="12" w:space="0" w:color="000000"/>
            </w:tcBorders>
          </w:tcPr>
          <w:p>
            <w:pPr>
              <w:pStyle w:val="TableParagraph"/>
              <w:spacing w:before="23"/>
              <w:ind w:right="192"/>
              <w:rPr>
                <w:b/>
                <w:sz w:val="14"/>
              </w:rPr>
            </w:pPr>
            <w:r>
              <w:rPr>
                <w:b/>
                <w:w w:val="99"/>
                <w:sz w:val="14"/>
              </w:rPr>
              <w:t>3</w:t>
            </w:r>
          </w:p>
        </w:tc>
        <w:tc>
          <w:tcPr>
            <w:tcW w:w="458" w:type="dxa"/>
            <w:tcBorders>
              <w:top w:val="single" w:sz="4" w:space="0" w:color="000000"/>
              <w:bottom w:val="single" w:sz="12" w:space="0" w:color="000000"/>
            </w:tcBorders>
          </w:tcPr>
          <w:p>
            <w:pPr>
              <w:pStyle w:val="TableParagraph"/>
              <w:spacing w:before="23"/>
              <w:ind w:right="68"/>
              <w:rPr>
                <w:b/>
                <w:sz w:val="14"/>
              </w:rPr>
            </w:pPr>
            <w:r>
              <w:rPr>
                <w:b/>
                <w:w w:val="99"/>
                <w:sz w:val="14"/>
              </w:rPr>
              <w:t>-</w:t>
            </w:r>
          </w:p>
        </w:tc>
        <w:tc>
          <w:tcPr>
            <w:tcW w:w="791" w:type="dxa"/>
            <w:tcBorders>
              <w:top w:val="single" w:sz="4" w:space="0" w:color="000000"/>
              <w:bottom w:val="single" w:sz="12" w:space="0" w:color="000000"/>
            </w:tcBorders>
          </w:tcPr>
          <w:p>
            <w:pPr>
              <w:pStyle w:val="TableParagraph"/>
              <w:spacing w:before="23"/>
              <w:ind w:right="118"/>
              <w:rPr>
                <w:b/>
                <w:i/>
                <w:sz w:val="14"/>
              </w:rPr>
            </w:pPr>
            <w:r>
              <w:rPr>
                <w:b/>
                <w:i/>
                <w:spacing w:val="-5"/>
                <w:sz w:val="14"/>
              </w:rPr>
              <w:t>13</w:t>
            </w:r>
          </w:p>
        </w:tc>
        <w:tc>
          <w:tcPr>
            <w:tcW w:w="560" w:type="dxa"/>
            <w:tcBorders>
              <w:top w:val="single" w:sz="4" w:space="0" w:color="000000"/>
              <w:bottom w:val="single" w:sz="12" w:space="0" w:color="000000"/>
            </w:tcBorders>
          </w:tcPr>
          <w:p>
            <w:pPr>
              <w:pStyle w:val="TableParagraph"/>
              <w:spacing w:before="23"/>
              <w:ind w:right="98"/>
              <w:rPr>
                <w:b/>
                <w:sz w:val="14"/>
              </w:rPr>
            </w:pPr>
            <w:r>
              <w:rPr>
                <w:b/>
                <w:w w:val="99"/>
                <w:sz w:val="14"/>
              </w:rPr>
              <w:t>-</w:t>
            </w:r>
          </w:p>
        </w:tc>
        <w:tc>
          <w:tcPr>
            <w:tcW w:w="572" w:type="dxa"/>
            <w:tcBorders>
              <w:top w:val="single" w:sz="4" w:space="0" w:color="000000"/>
              <w:bottom w:val="single" w:sz="12" w:space="0" w:color="000000"/>
            </w:tcBorders>
          </w:tcPr>
          <w:p>
            <w:pPr>
              <w:pStyle w:val="TableParagraph"/>
              <w:spacing w:before="23"/>
              <w:ind w:right="85"/>
              <w:rPr>
                <w:b/>
                <w:sz w:val="14"/>
              </w:rPr>
            </w:pPr>
            <w:r>
              <w:rPr>
                <w:b/>
                <w:w w:val="99"/>
                <w:sz w:val="14"/>
              </w:rPr>
              <w:t>1</w:t>
            </w:r>
          </w:p>
        </w:tc>
        <w:tc>
          <w:tcPr>
            <w:tcW w:w="559" w:type="dxa"/>
            <w:tcBorders>
              <w:top w:val="single" w:sz="4" w:space="0" w:color="000000"/>
              <w:bottom w:val="single" w:sz="12" w:space="0" w:color="000000"/>
            </w:tcBorders>
          </w:tcPr>
          <w:p>
            <w:pPr>
              <w:pStyle w:val="TableParagraph"/>
              <w:spacing w:before="23"/>
              <w:ind w:right="59"/>
              <w:rPr>
                <w:b/>
                <w:sz w:val="14"/>
              </w:rPr>
            </w:pPr>
            <w:r>
              <w:rPr>
                <w:b/>
                <w:w w:val="99"/>
                <w:sz w:val="14"/>
              </w:rPr>
              <w:t>1</w:t>
            </w:r>
          </w:p>
        </w:tc>
        <w:tc>
          <w:tcPr>
            <w:tcW w:w="829" w:type="dxa"/>
            <w:tcBorders>
              <w:top w:val="single" w:sz="4" w:space="0" w:color="000000"/>
              <w:bottom w:val="single" w:sz="12" w:space="0" w:color="000000"/>
            </w:tcBorders>
          </w:tcPr>
          <w:p>
            <w:pPr>
              <w:pStyle w:val="TableParagraph"/>
              <w:spacing w:before="23"/>
              <w:ind w:right="148"/>
              <w:rPr>
                <w:b/>
                <w:i/>
                <w:sz w:val="14"/>
              </w:rPr>
            </w:pPr>
            <w:r>
              <w:rPr>
                <w:b/>
                <w:i/>
                <w:w w:val="99"/>
                <w:sz w:val="14"/>
              </w:rPr>
              <w:t>2</w:t>
            </w:r>
          </w:p>
        </w:tc>
        <w:tc>
          <w:tcPr>
            <w:tcW w:w="542" w:type="dxa"/>
            <w:tcBorders>
              <w:top w:val="single" w:sz="4" w:space="0" w:color="000000"/>
              <w:bottom w:val="single" w:sz="12" w:space="0" w:color="000000"/>
            </w:tcBorders>
          </w:tcPr>
          <w:p>
            <w:pPr>
              <w:pStyle w:val="TableParagraph"/>
              <w:spacing w:before="23"/>
              <w:ind w:right="49"/>
              <w:rPr>
                <w:b/>
                <w:sz w:val="14"/>
              </w:rPr>
            </w:pPr>
            <w:r>
              <w:rPr>
                <w:b/>
                <w:spacing w:val="-5"/>
                <w:sz w:val="14"/>
              </w:rPr>
              <w:t>15</w:t>
            </w:r>
          </w:p>
        </w:tc>
      </w:tr>
      <w:tr>
        <w:trPr>
          <w:trHeight w:val="571" w:hRule="atLeast"/>
        </w:trPr>
        <w:tc>
          <w:tcPr>
            <w:tcW w:w="1189" w:type="dxa"/>
            <w:tcBorders>
              <w:top w:val="single" w:sz="12" w:space="0" w:color="000000"/>
            </w:tcBorders>
          </w:tcPr>
          <w:p>
            <w:pPr>
              <w:pStyle w:val="TableParagraph"/>
              <w:spacing w:before="1"/>
              <w:jc w:val="left"/>
              <w:rPr>
                <w:b/>
                <w:sz w:val="19"/>
              </w:rPr>
            </w:pPr>
          </w:p>
          <w:p>
            <w:pPr>
              <w:pStyle w:val="TableParagraph"/>
              <w:spacing w:line="242" w:lineRule="auto"/>
              <w:ind w:left="72" w:right="230"/>
              <w:jc w:val="left"/>
              <w:rPr>
                <w:b/>
                <w:sz w:val="14"/>
              </w:rPr>
            </w:pPr>
            <w:r>
              <w:rPr>
                <w:b/>
                <w:sz w:val="14"/>
              </w:rPr>
              <w:t>GTA</w:t>
            </w:r>
            <w:r>
              <w:rPr>
                <w:b/>
                <w:spacing w:val="-9"/>
                <w:sz w:val="14"/>
              </w:rPr>
              <w:t> </w:t>
            </w:r>
            <w:r>
              <w:rPr>
                <w:b/>
                <w:sz w:val="14"/>
              </w:rPr>
              <w:t>Positions</w:t>
            </w:r>
            <w:r>
              <w:rPr>
                <w:b/>
                <w:spacing w:val="40"/>
                <w:sz w:val="14"/>
              </w:rPr>
              <w:t> </w:t>
            </w:r>
            <w:r>
              <w:rPr>
                <w:b/>
                <w:spacing w:val="-2"/>
                <w:sz w:val="14"/>
              </w:rPr>
              <w:t>(FTE)</w:t>
            </w:r>
          </w:p>
        </w:tc>
        <w:tc>
          <w:tcPr>
            <w:tcW w:w="669" w:type="dxa"/>
            <w:tcBorders>
              <w:top w:val="single" w:sz="12" w:space="0" w:color="000000"/>
            </w:tcBorders>
          </w:tcPr>
          <w:p>
            <w:pPr>
              <w:pStyle w:val="TableParagraph"/>
              <w:jc w:val="left"/>
              <w:rPr>
                <w:sz w:val="14"/>
              </w:rPr>
            </w:pPr>
          </w:p>
        </w:tc>
        <w:tc>
          <w:tcPr>
            <w:tcW w:w="598" w:type="dxa"/>
            <w:tcBorders>
              <w:top w:val="single" w:sz="12" w:space="0" w:color="000000"/>
            </w:tcBorders>
          </w:tcPr>
          <w:p>
            <w:pPr>
              <w:pStyle w:val="TableParagraph"/>
              <w:jc w:val="left"/>
              <w:rPr>
                <w:sz w:val="14"/>
              </w:rPr>
            </w:pPr>
          </w:p>
        </w:tc>
        <w:tc>
          <w:tcPr>
            <w:tcW w:w="558" w:type="dxa"/>
            <w:tcBorders>
              <w:top w:val="single" w:sz="12" w:space="0" w:color="000000"/>
            </w:tcBorders>
          </w:tcPr>
          <w:p>
            <w:pPr>
              <w:pStyle w:val="TableParagraph"/>
              <w:jc w:val="left"/>
              <w:rPr>
                <w:sz w:val="14"/>
              </w:rPr>
            </w:pPr>
          </w:p>
        </w:tc>
        <w:tc>
          <w:tcPr>
            <w:tcW w:w="574" w:type="dxa"/>
            <w:tcBorders>
              <w:top w:val="single" w:sz="12" w:space="0" w:color="000000"/>
            </w:tcBorders>
          </w:tcPr>
          <w:p>
            <w:pPr>
              <w:pStyle w:val="TableParagraph"/>
              <w:jc w:val="left"/>
              <w:rPr>
                <w:sz w:val="14"/>
              </w:rPr>
            </w:pPr>
          </w:p>
        </w:tc>
        <w:tc>
          <w:tcPr>
            <w:tcW w:w="534" w:type="dxa"/>
            <w:tcBorders>
              <w:top w:val="single" w:sz="12" w:space="0" w:color="000000"/>
            </w:tcBorders>
          </w:tcPr>
          <w:p>
            <w:pPr>
              <w:pStyle w:val="TableParagraph"/>
              <w:jc w:val="left"/>
              <w:rPr>
                <w:sz w:val="14"/>
              </w:rPr>
            </w:pPr>
          </w:p>
        </w:tc>
        <w:tc>
          <w:tcPr>
            <w:tcW w:w="684" w:type="dxa"/>
            <w:tcBorders>
              <w:top w:val="single" w:sz="12" w:space="0" w:color="000000"/>
            </w:tcBorders>
          </w:tcPr>
          <w:p>
            <w:pPr>
              <w:pStyle w:val="TableParagraph"/>
              <w:jc w:val="left"/>
              <w:rPr>
                <w:sz w:val="14"/>
              </w:rPr>
            </w:pPr>
          </w:p>
        </w:tc>
        <w:tc>
          <w:tcPr>
            <w:tcW w:w="658" w:type="dxa"/>
            <w:tcBorders>
              <w:top w:val="single" w:sz="12" w:space="0" w:color="000000"/>
            </w:tcBorders>
          </w:tcPr>
          <w:p>
            <w:pPr>
              <w:pStyle w:val="TableParagraph"/>
              <w:jc w:val="left"/>
              <w:rPr>
                <w:sz w:val="14"/>
              </w:rPr>
            </w:pPr>
          </w:p>
        </w:tc>
        <w:tc>
          <w:tcPr>
            <w:tcW w:w="658" w:type="dxa"/>
            <w:tcBorders>
              <w:top w:val="single" w:sz="12" w:space="0" w:color="000000"/>
            </w:tcBorders>
          </w:tcPr>
          <w:p>
            <w:pPr>
              <w:pStyle w:val="TableParagraph"/>
              <w:jc w:val="left"/>
              <w:rPr>
                <w:sz w:val="14"/>
              </w:rPr>
            </w:pPr>
          </w:p>
        </w:tc>
        <w:tc>
          <w:tcPr>
            <w:tcW w:w="458" w:type="dxa"/>
            <w:tcBorders>
              <w:top w:val="single" w:sz="12" w:space="0" w:color="000000"/>
            </w:tcBorders>
          </w:tcPr>
          <w:p>
            <w:pPr>
              <w:pStyle w:val="TableParagraph"/>
              <w:jc w:val="left"/>
              <w:rPr>
                <w:sz w:val="14"/>
              </w:rPr>
            </w:pPr>
          </w:p>
        </w:tc>
        <w:tc>
          <w:tcPr>
            <w:tcW w:w="791" w:type="dxa"/>
            <w:tcBorders>
              <w:top w:val="single" w:sz="12" w:space="0" w:color="000000"/>
            </w:tcBorders>
          </w:tcPr>
          <w:p>
            <w:pPr>
              <w:pStyle w:val="TableParagraph"/>
              <w:jc w:val="left"/>
              <w:rPr>
                <w:sz w:val="14"/>
              </w:rPr>
            </w:pPr>
          </w:p>
        </w:tc>
        <w:tc>
          <w:tcPr>
            <w:tcW w:w="560" w:type="dxa"/>
            <w:tcBorders>
              <w:top w:val="single" w:sz="12" w:space="0" w:color="000000"/>
            </w:tcBorders>
          </w:tcPr>
          <w:p>
            <w:pPr>
              <w:pStyle w:val="TableParagraph"/>
              <w:jc w:val="left"/>
              <w:rPr>
                <w:sz w:val="14"/>
              </w:rPr>
            </w:pPr>
          </w:p>
        </w:tc>
        <w:tc>
          <w:tcPr>
            <w:tcW w:w="572" w:type="dxa"/>
            <w:tcBorders>
              <w:top w:val="single" w:sz="12" w:space="0" w:color="000000"/>
            </w:tcBorders>
          </w:tcPr>
          <w:p>
            <w:pPr>
              <w:pStyle w:val="TableParagraph"/>
              <w:jc w:val="left"/>
              <w:rPr>
                <w:sz w:val="14"/>
              </w:rPr>
            </w:pPr>
          </w:p>
        </w:tc>
        <w:tc>
          <w:tcPr>
            <w:tcW w:w="559" w:type="dxa"/>
            <w:tcBorders>
              <w:top w:val="single" w:sz="12" w:space="0" w:color="000000"/>
            </w:tcBorders>
          </w:tcPr>
          <w:p>
            <w:pPr>
              <w:pStyle w:val="TableParagraph"/>
              <w:jc w:val="left"/>
              <w:rPr>
                <w:sz w:val="14"/>
              </w:rPr>
            </w:pPr>
          </w:p>
        </w:tc>
        <w:tc>
          <w:tcPr>
            <w:tcW w:w="829" w:type="dxa"/>
            <w:tcBorders>
              <w:top w:val="single" w:sz="12" w:space="0" w:color="000000"/>
            </w:tcBorders>
          </w:tcPr>
          <w:p>
            <w:pPr>
              <w:pStyle w:val="TableParagraph"/>
              <w:jc w:val="left"/>
              <w:rPr>
                <w:sz w:val="14"/>
              </w:rPr>
            </w:pPr>
          </w:p>
        </w:tc>
        <w:tc>
          <w:tcPr>
            <w:tcW w:w="542" w:type="dxa"/>
            <w:tcBorders>
              <w:top w:val="single" w:sz="12" w:space="0" w:color="000000"/>
            </w:tcBorders>
          </w:tcPr>
          <w:p>
            <w:pPr>
              <w:pStyle w:val="TableParagraph"/>
              <w:jc w:val="left"/>
              <w:rPr>
                <w:sz w:val="14"/>
              </w:rPr>
            </w:pPr>
          </w:p>
        </w:tc>
      </w:tr>
      <w:tr>
        <w:trPr>
          <w:trHeight w:val="204" w:hRule="atLeast"/>
        </w:trPr>
        <w:tc>
          <w:tcPr>
            <w:tcW w:w="1189" w:type="dxa"/>
            <w:tcBorders>
              <w:bottom w:val="single" w:sz="12" w:space="0" w:color="000000"/>
            </w:tcBorders>
          </w:tcPr>
          <w:p>
            <w:pPr>
              <w:pStyle w:val="TableParagraph"/>
              <w:spacing w:before="3"/>
              <w:ind w:left="72"/>
              <w:jc w:val="left"/>
              <w:rPr>
                <w:sz w:val="14"/>
              </w:rPr>
            </w:pPr>
            <w:r>
              <w:rPr>
                <w:w w:val="95"/>
                <w:sz w:val="14"/>
              </w:rPr>
              <w:t>Approved</w:t>
            </w:r>
            <w:r>
              <w:rPr>
                <w:spacing w:val="22"/>
                <w:sz w:val="14"/>
              </w:rPr>
              <w:t> </w:t>
            </w:r>
            <w:r>
              <w:rPr>
                <w:spacing w:val="-4"/>
                <w:sz w:val="14"/>
              </w:rPr>
              <w:t>2022</w:t>
            </w:r>
          </w:p>
        </w:tc>
        <w:tc>
          <w:tcPr>
            <w:tcW w:w="669" w:type="dxa"/>
            <w:tcBorders>
              <w:bottom w:val="single" w:sz="12" w:space="0" w:color="000000"/>
            </w:tcBorders>
          </w:tcPr>
          <w:p>
            <w:pPr>
              <w:pStyle w:val="TableParagraph"/>
              <w:spacing w:before="3"/>
              <w:ind w:right="148"/>
              <w:rPr>
                <w:sz w:val="14"/>
              </w:rPr>
            </w:pPr>
            <w:r>
              <w:rPr>
                <w:w w:val="99"/>
                <w:sz w:val="14"/>
              </w:rPr>
              <w:t>-</w:t>
            </w:r>
          </w:p>
        </w:tc>
        <w:tc>
          <w:tcPr>
            <w:tcW w:w="598" w:type="dxa"/>
            <w:tcBorders>
              <w:bottom w:val="single" w:sz="12" w:space="0" w:color="000000"/>
            </w:tcBorders>
          </w:tcPr>
          <w:p>
            <w:pPr>
              <w:pStyle w:val="TableParagraph"/>
              <w:spacing w:before="3"/>
              <w:ind w:right="169"/>
              <w:rPr>
                <w:sz w:val="14"/>
              </w:rPr>
            </w:pPr>
            <w:r>
              <w:rPr>
                <w:w w:val="99"/>
                <w:sz w:val="14"/>
              </w:rPr>
              <w:t>-</w:t>
            </w:r>
          </w:p>
        </w:tc>
        <w:tc>
          <w:tcPr>
            <w:tcW w:w="558" w:type="dxa"/>
            <w:tcBorders>
              <w:bottom w:val="single" w:sz="12" w:space="0" w:color="000000"/>
            </w:tcBorders>
          </w:tcPr>
          <w:p>
            <w:pPr>
              <w:pStyle w:val="TableParagraph"/>
              <w:spacing w:before="3"/>
              <w:ind w:right="171"/>
              <w:rPr>
                <w:sz w:val="14"/>
              </w:rPr>
            </w:pPr>
            <w:r>
              <w:rPr>
                <w:w w:val="99"/>
                <w:sz w:val="14"/>
              </w:rPr>
              <w:t>-</w:t>
            </w:r>
          </w:p>
        </w:tc>
        <w:tc>
          <w:tcPr>
            <w:tcW w:w="574" w:type="dxa"/>
            <w:tcBorders>
              <w:bottom w:val="single" w:sz="12" w:space="0" w:color="000000"/>
            </w:tcBorders>
          </w:tcPr>
          <w:p>
            <w:pPr>
              <w:pStyle w:val="TableParagraph"/>
              <w:spacing w:before="3"/>
              <w:ind w:right="188"/>
              <w:rPr>
                <w:sz w:val="14"/>
              </w:rPr>
            </w:pPr>
            <w:r>
              <w:rPr>
                <w:w w:val="99"/>
                <w:sz w:val="14"/>
              </w:rPr>
              <w:t>-</w:t>
            </w:r>
          </w:p>
        </w:tc>
        <w:tc>
          <w:tcPr>
            <w:tcW w:w="534" w:type="dxa"/>
            <w:tcBorders>
              <w:bottom w:val="single" w:sz="12" w:space="0" w:color="000000"/>
            </w:tcBorders>
          </w:tcPr>
          <w:p>
            <w:pPr>
              <w:pStyle w:val="TableParagraph"/>
              <w:spacing w:before="3"/>
              <w:ind w:left="182"/>
              <w:jc w:val="center"/>
              <w:rPr>
                <w:sz w:val="14"/>
              </w:rPr>
            </w:pPr>
            <w:r>
              <w:rPr>
                <w:w w:val="99"/>
                <w:sz w:val="14"/>
              </w:rPr>
              <w:t>-</w:t>
            </w:r>
          </w:p>
        </w:tc>
        <w:tc>
          <w:tcPr>
            <w:tcW w:w="684" w:type="dxa"/>
            <w:tcBorders>
              <w:bottom w:val="single" w:sz="12" w:space="0" w:color="000000"/>
            </w:tcBorders>
          </w:tcPr>
          <w:p>
            <w:pPr>
              <w:pStyle w:val="TableParagraph"/>
              <w:spacing w:before="3"/>
              <w:ind w:right="192"/>
              <w:rPr>
                <w:sz w:val="14"/>
              </w:rPr>
            </w:pPr>
            <w:r>
              <w:rPr>
                <w:spacing w:val="-4"/>
                <w:sz w:val="14"/>
              </w:rPr>
              <w:t>1.00</w:t>
            </w:r>
          </w:p>
        </w:tc>
        <w:tc>
          <w:tcPr>
            <w:tcW w:w="658" w:type="dxa"/>
            <w:tcBorders>
              <w:bottom w:val="single" w:sz="12" w:space="0" w:color="000000"/>
            </w:tcBorders>
          </w:tcPr>
          <w:p>
            <w:pPr>
              <w:pStyle w:val="TableParagraph"/>
              <w:spacing w:before="3"/>
              <w:ind w:right="268"/>
              <w:rPr>
                <w:sz w:val="14"/>
              </w:rPr>
            </w:pPr>
            <w:r>
              <w:rPr>
                <w:w w:val="99"/>
                <w:sz w:val="14"/>
              </w:rPr>
              <w:t>-</w:t>
            </w:r>
          </w:p>
        </w:tc>
        <w:tc>
          <w:tcPr>
            <w:tcW w:w="658" w:type="dxa"/>
            <w:tcBorders>
              <w:bottom w:val="single" w:sz="12" w:space="0" w:color="000000"/>
            </w:tcBorders>
          </w:tcPr>
          <w:p>
            <w:pPr>
              <w:pStyle w:val="TableParagraph"/>
              <w:spacing w:before="3"/>
              <w:ind w:right="191"/>
              <w:rPr>
                <w:sz w:val="14"/>
              </w:rPr>
            </w:pPr>
            <w:r>
              <w:rPr>
                <w:w w:val="99"/>
                <w:sz w:val="14"/>
              </w:rPr>
              <w:t>-</w:t>
            </w:r>
          </w:p>
        </w:tc>
        <w:tc>
          <w:tcPr>
            <w:tcW w:w="458" w:type="dxa"/>
            <w:tcBorders>
              <w:bottom w:val="single" w:sz="12" w:space="0" w:color="000000"/>
            </w:tcBorders>
          </w:tcPr>
          <w:p>
            <w:pPr>
              <w:pStyle w:val="TableParagraph"/>
              <w:spacing w:before="3"/>
              <w:ind w:right="68"/>
              <w:rPr>
                <w:sz w:val="14"/>
              </w:rPr>
            </w:pPr>
            <w:r>
              <w:rPr>
                <w:w w:val="99"/>
                <w:sz w:val="14"/>
              </w:rPr>
              <w:t>-</w:t>
            </w:r>
          </w:p>
        </w:tc>
        <w:tc>
          <w:tcPr>
            <w:tcW w:w="791" w:type="dxa"/>
            <w:tcBorders>
              <w:bottom w:val="single" w:sz="12" w:space="0" w:color="000000"/>
            </w:tcBorders>
          </w:tcPr>
          <w:p>
            <w:pPr>
              <w:pStyle w:val="TableParagraph"/>
              <w:spacing w:before="3"/>
              <w:ind w:right="120"/>
              <w:rPr>
                <w:i/>
                <w:sz w:val="14"/>
              </w:rPr>
            </w:pPr>
            <w:r>
              <w:rPr>
                <w:i/>
                <w:spacing w:val="-4"/>
                <w:sz w:val="14"/>
              </w:rPr>
              <w:t>1.00</w:t>
            </w:r>
          </w:p>
        </w:tc>
        <w:tc>
          <w:tcPr>
            <w:tcW w:w="560" w:type="dxa"/>
            <w:tcBorders>
              <w:bottom w:val="single" w:sz="12" w:space="0" w:color="000000"/>
            </w:tcBorders>
          </w:tcPr>
          <w:p>
            <w:pPr>
              <w:pStyle w:val="TableParagraph"/>
              <w:spacing w:before="3"/>
              <w:ind w:right="98"/>
              <w:rPr>
                <w:sz w:val="14"/>
              </w:rPr>
            </w:pPr>
            <w:r>
              <w:rPr>
                <w:w w:val="99"/>
                <w:sz w:val="14"/>
              </w:rPr>
              <w:t>-</w:t>
            </w:r>
          </w:p>
        </w:tc>
        <w:tc>
          <w:tcPr>
            <w:tcW w:w="572" w:type="dxa"/>
            <w:tcBorders>
              <w:bottom w:val="single" w:sz="12" w:space="0" w:color="000000"/>
            </w:tcBorders>
          </w:tcPr>
          <w:p>
            <w:pPr>
              <w:pStyle w:val="TableParagraph"/>
              <w:spacing w:before="3"/>
              <w:ind w:right="84"/>
              <w:rPr>
                <w:sz w:val="14"/>
              </w:rPr>
            </w:pPr>
            <w:r>
              <w:rPr>
                <w:w w:val="99"/>
                <w:sz w:val="14"/>
              </w:rPr>
              <w:t>-</w:t>
            </w:r>
          </w:p>
        </w:tc>
        <w:tc>
          <w:tcPr>
            <w:tcW w:w="559" w:type="dxa"/>
            <w:tcBorders>
              <w:bottom w:val="single" w:sz="12" w:space="0" w:color="000000"/>
            </w:tcBorders>
          </w:tcPr>
          <w:p>
            <w:pPr>
              <w:pStyle w:val="TableParagraph"/>
              <w:spacing w:before="3"/>
              <w:ind w:right="58"/>
              <w:rPr>
                <w:sz w:val="14"/>
              </w:rPr>
            </w:pPr>
            <w:r>
              <w:rPr>
                <w:w w:val="99"/>
                <w:sz w:val="14"/>
              </w:rPr>
              <w:t>-</w:t>
            </w:r>
          </w:p>
        </w:tc>
        <w:tc>
          <w:tcPr>
            <w:tcW w:w="829" w:type="dxa"/>
            <w:tcBorders>
              <w:bottom w:val="single" w:sz="12" w:space="0" w:color="000000"/>
            </w:tcBorders>
          </w:tcPr>
          <w:p>
            <w:pPr>
              <w:pStyle w:val="TableParagraph"/>
              <w:spacing w:before="3"/>
              <w:ind w:right="147"/>
              <w:rPr>
                <w:i/>
                <w:sz w:val="14"/>
              </w:rPr>
            </w:pPr>
            <w:r>
              <w:rPr>
                <w:i/>
                <w:w w:val="99"/>
                <w:sz w:val="14"/>
              </w:rPr>
              <w:t>-</w:t>
            </w:r>
          </w:p>
        </w:tc>
        <w:tc>
          <w:tcPr>
            <w:tcW w:w="542" w:type="dxa"/>
            <w:tcBorders>
              <w:bottom w:val="single" w:sz="12" w:space="0" w:color="000000"/>
            </w:tcBorders>
          </w:tcPr>
          <w:p>
            <w:pPr>
              <w:pStyle w:val="TableParagraph"/>
              <w:spacing w:before="3"/>
              <w:ind w:right="52"/>
              <w:rPr>
                <w:b/>
                <w:sz w:val="14"/>
              </w:rPr>
            </w:pPr>
            <w:r>
              <w:rPr>
                <w:b/>
                <w:spacing w:val="-4"/>
                <w:sz w:val="14"/>
              </w:rPr>
              <w:t>1.00</w:t>
            </w:r>
          </w:p>
        </w:tc>
      </w:tr>
      <w:tr>
        <w:trPr>
          <w:trHeight w:val="229" w:hRule="atLeast"/>
        </w:trPr>
        <w:tc>
          <w:tcPr>
            <w:tcW w:w="1189" w:type="dxa"/>
            <w:tcBorders>
              <w:top w:val="single" w:sz="12" w:space="0" w:color="000000"/>
              <w:bottom w:val="single" w:sz="4" w:space="0" w:color="000000"/>
            </w:tcBorders>
          </w:tcPr>
          <w:p>
            <w:pPr>
              <w:pStyle w:val="TableParagraph"/>
              <w:spacing w:before="28"/>
              <w:ind w:left="72"/>
              <w:jc w:val="left"/>
              <w:rPr>
                <w:sz w:val="14"/>
              </w:rPr>
            </w:pPr>
            <w:r>
              <w:rPr>
                <w:spacing w:val="-2"/>
                <w:sz w:val="14"/>
              </w:rPr>
              <w:t>Continued</w:t>
            </w:r>
          </w:p>
        </w:tc>
        <w:tc>
          <w:tcPr>
            <w:tcW w:w="669" w:type="dxa"/>
            <w:tcBorders>
              <w:top w:val="single" w:sz="12" w:space="0" w:color="000000"/>
              <w:bottom w:val="single" w:sz="4" w:space="0" w:color="000000"/>
            </w:tcBorders>
          </w:tcPr>
          <w:p>
            <w:pPr>
              <w:pStyle w:val="TableParagraph"/>
              <w:spacing w:before="28"/>
              <w:ind w:right="148"/>
              <w:rPr>
                <w:sz w:val="14"/>
              </w:rPr>
            </w:pPr>
            <w:r>
              <w:rPr>
                <w:w w:val="99"/>
                <w:sz w:val="14"/>
              </w:rPr>
              <w:t>-</w:t>
            </w:r>
          </w:p>
        </w:tc>
        <w:tc>
          <w:tcPr>
            <w:tcW w:w="598" w:type="dxa"/>
            <w:tcBorders>
              <w:top w:val="single" w:sz="12" w:space="0" w:color="000000"/>
              <w:bottom w:val="single" w:sz="4" w:space="0" w:color="000000"/>
            </w:tcBorders>
          </w:tcPr>
          <w:p>
            <w:pPr>
              <w:pStyle w:val="TableParagraph"/>
              <w:spacing w:before="28"/>
              <w:ind w:right="169"/>
              <w:rPr>
                <w:sz w:val="14"/>
              </w:rPr>
            </w:pPr>
            <w:r>
              <w:rPr>
                <w:w w:val="99"/>
                <w:sz w:val="14"/>
              </w:rPr>
              <w:t>-</w:t>
            </w:r>
          </w:p>
        </w:tc>
        <w:tc>
          <w:tcPr>
            <w:tcW w:w="558" w:type="dxa"/>
            <w:tcBorders>
              <w:top w:val="single" w:sz="12" w:space="0" w:color="000000"/>
              <w:bottom w:val="single" w:sz="4" w:space="0" w:color="000000"/>
            </w:tcBorders>
          </w:tcPr>
          <w:p>
            <w:pPr>
              <w:pStyle w:val="TableParagraph"/>
              <w:spacing w:before="28"/>
              <w:ind w:right="171"/>
              <w:rPr>
                <w:sz w:val="14"/>
              </w:rPr>
            </w:pPr>
            <w:r>
              <w:rPr>
                <w:w w:val="99"/>
                <w:sz w:val="14"/>
              </w:rPr>
              <w:t>-</w:t>
            </w:r>
          </w:p>
        </w:tc>
        <w:tc>
          <w:tcPr>
            <w:tcW w:w="574" w:type="dxa"/>
            <w:tcBorders>
              <w:top w:val="single" w:sz="12" w:space="0" w:color="000000"/>
              <w:bottom w:val="single" w:sz="4" w:space="0" w:color="000000"/>
            </w:tcBorders>
          </w:tcPr>
          <w:p>
            <w:pPr>
              <w:pStyle w:val="TableParagraph"/>
              <w:spacing w:before="28"/>
              <w:ind w:right="188"/>
              <w:rPr>
                <w:sz w:val="14"/>
              </w:rPr>
            </w:pPr>
            <w:r>
              <w:rPr>
                <w:w w:val="99"/>
                <w:sz w:val="14"/>
              </w:rPr>
              <w:t>-</w:t>
            </w:r>
          </w:p>
        </w:tc>
        <w:tc>
          <w:tcPr>
            <w:tcW w:w="534" w:type="dxa"/>
            <w:tcBorders>
              <w:top w:val="single" w:sz="12" w:space="0" w:color="000000"/>
              <w:bottom w:val="single" w:sz="4" w:space="0" w:color="000000"/>
            </w:tcBorders>
          </w:tcPr>
          <w:p>
            <w:pPr>
              <w:pStyle w:val="TableParagraph"/>
              <w:spacing w:before="28"/>
              <w:ind w:left="182"/>
              <w:jc w:val="center"/>
              <w:rPr>
                <w:sz w:val="14"/>
              </w:rPr>
            </w:pPr>
            <w:r>
              <w:rPr>
                <w:w w:val="99"/>
                <w:sz w:val="14"/>
              </w:rPr>
              <w:t>-</w:t>
            </w:r>
          </w:p>
        </w:tc>
        <w:tc>
          <w:tcPr>
            <w:tcW w:w="684" w:type="dxa"/>
            <w:tcBorders>
              <w:top w:val="single" w:sz="12" w:space="0" w:color="000000"/>
              <w:bottom w:val="single" w:sz="4" w:space="0" w:color="000000"/>
            </w:tcBorders>
          </w:tcPr>
          <w:p>
            <w:pPr>
              <w:pStyle w:val="TableParagraph"/>
              <w:spacing w:before="28"/>
              <w:ind w:right="192"/>
              <w:rPr>
                <w:sz w:val="14"/>
              </w:rPr>
            </w:pPr>
            <w:r>
              <w:rPr>
                <w:spacing w:val="-4"/>
                <w:sz w:val="14"/>
              </w:rPr>
              <w:t>1.00</w:t>
            </w:r>
          </w:p>
        </w:tc>
        <w:tc>
          <w:tcPr>
            <w:tcW w:w="658" w:type="dxa"/>
            <w:tcBorders>
              <w:top w:val="single" w:sz="12" w:space="0" w:color="000000"/>
              <w:bottom w:val="single" w:sz="4" w:space="0" w:color="000000"/>
            </w:tcBorders>
          </w:tcPr>
          <w:p>
            <w:pPr>
              <w:pStyle w:val="TableParagraph"/>
              <w:spacing w:before="28"/>
              <w:ind w:right="268"/>
              <w:rPr>
                <w:sz w:val="14"/>
              </w:rPr>
            </w:pPr>
            <w:r>
              <w:rPr>
                <w:w w:val="99"/>
                <w:sz w:val="14"/>
              </w:rPr>
              <w:t>-</w:t>
            </w:r>
          </w:p>
        </w:tc>
        <w:tc>
          <w:tcPr>
            <w:tcW w:w="658" w:type="dxa"/>
            <w:tcBorders>
              <w:top w:val="single" w:sz="12" w:space="0" w:color="000000"/>
              <w:bottom w:val="single" w:sz="4" w:space="0" w:color="000000"/>
            </w:tcBorders>
          </w:tcPr>
          <w:p>
            <w:pPr>
              <w:pStyle w:val="TableParagraph"/>
              <w:spacing w:before="28"/>
              <w:ind w:right="191"/>
              <w:rPr>
                <w:sz w:val="14"/>
              </w:rPr>
            </w:pPr>
            <w:r>
              <w:rPr>
                <w:w w:val="99"/>
                <w:sz w:val="14"/>
              </w:rPr>
              <w:t>-</w:t>
            </w:r>
          </w:p>
        </w:tc>
        <w:tc>
          <w:tcPr>
            <w:tcW w:w="458" w:type="dxa"/>
            <w:tcBorders>
              <w:top w:val="single" w:sz="12" w:space="0" w:color="000000"/>
              <w:bottom w:val="single" w:sz="4" w:space="0" w:color="000000"/>
            </w:tcBorders>
          </w:tcPr>
          <w:p>
            <w:pPr>
              <w:pStyle w:val="TableParagraph"/>
              <w:spacing w:before="28"/>
              <w:ind w:right="68"/>
              <w:rPr>
                <w:sz w:val="14"/>
              </w:rPr>
            </w:pPr>
            <w:r>
              <w:rPr>
                <w:w w:val="99"/>
                <w:sz w:val="14"/>
              </w:rPr>
              <w:t>-</w:t>
            </w:r>
          </w:p>
        </w:tc>
        <w:tc>
          <w:tcPr>
            <w:tcW w:w="791" w:type="dxa"/>
            <w:tcBorders>
              <w:top w:val="single" w:sz="12" w:space="0" w:color="000000"/>
              <w:bottom w:val="single" w:sz="4" w:space="0" w:color="000000"/>
            </w:tcBorders>
          </w:tcPr>
          <w:p>
            <w:pPr>
              <w:pStyle w:val="TableParagraph"/>
              <w:spacing w:before="28"/>
              <w:ind w:right="120"/>
              <w:rPr>
                <w:i/>
                <w:sz w:val="14"/>
              </w:rPr>
            </w:pPr>
            <w:r>
              <w:rPr>
                <w:i/>
                <w:spacing w:val="-4"/>
                <w:sz w:val="14"/>
              </w:rPr>
              <w:t>1.00</w:t>
            </w:r>
          </w:p>
        </w:tc>
        <w:tc>
          <w:tcPr>
            <w:tcW w:w="560" w:type="dxa"/>
            <w:tcBorders>
              <w:top w:val="single" w:sz="12" w:space="0" w:color="000000"/>
              <w:bottom w:val="single" w:sz="4" w:space="0" w:color="000000"/>
            </w:tcBorders>
          </w:tcPr>
          <w:p>
            <w:pPr>
              <w:pStyle w:val="TableParagraph"/>
              <w:spacing w:before="28"/>
              <w:ind w:right="98"/>
              <w:rPr>
                <w:sz w:val="14"/>
              </w:rPr>
            </w:pPr>
            <w:r>
              <w:rPr>
                <w:w w:val="99"/>
                <w:sz w:val="14"/>
              </w:rPr>
              <w:t>-</w:t>
            </w:r>
          </w:p>
        </w:tc>
        <w:tc>
          <w:tcPr>
            <w:tcW w:w="572" w:type="dxa"/>
            <w:tcBorders>
              <w:top w:val="single" w:sz="12" w:space="0" w:color="000000"/>
              <w:bottom w:val="single" w:sz="4" w:space="0" w:color="000000"/>
            </w:tcBorders>
          </w:tcPr>
          <w:p>
            <w:pPr>
              <w:pStyle w:val="TableParagraph"/>
              <w:spacing w:before="28"/>
              <w:ind w:right="84"/>
              <w:rPr>
                <w:sz w:val="14"/>
              </w:rPr>
            </w:pPr>
            <w:r>
              <w:rPr>
                <w:w w:val="99"/>
                <w:sz w:val="14"/>
              </w:rPr>
              <w:t>-</w:t>
            </w:r>
          </w:p>
        </w:tc>
        <w:tc>
          <w:tcPr>
            <w:tcW w:w="559" w:type="dxa"/>
            <w:tcBorders>
              <w:top w:val="single" w:sz="12" w:space="0" w:color="000000"/>
              <w:bottom w:val="single" w:sz="4" w:space="0" w:color="000000"/>
            </w:tcBorders>
          </w:tcPr>
          <w:p>
            <w:pPr>
              <w:pStyle w:val="TableParagraph"/>
              <w:spacing w:before="28"/>
              <w:ind w:right="58"/>
              <w:rPr>
                <w:sz w:val="14"/>
              </w:rPr>
            </w:pPr>
            <w:r>
              <w:rPr>
                <w:w w:val="99"/>
                <w:sz w:val="14"/>
              </w:rPr>
              <w:t>-</w:t>
            </w:r>
          </w:p>
        </w:tc>
        <w:tc>
          <w:tcPr>
            <w:tcW w:w="829" w:type="dxa"/>
            <w:tcBorders>
              <w:top w:val="single" w:sz="12" w:space="0" w:color="000000"/>
              <w:bottom w:val="single" w:sz="4" w:space="0" w:color="000000"/>
            </w:tcBorders>
          </w:tcPr>
          <w:p>
            <w:pPr>
              <w:pStyle w:val="TableParagraph"/>
              <w:spacing w:before="28"/>
              <w:ind w:right="147"/>
              <w:rPr>
                <w:i/>
                <w:sz w:val="14"/>
              </w:rPr>
            </w:pPr>
            <w:r>
              <w:rPr>
                <w:i/>
                <w:w w:val="99"/>
                <w:sz w:val="14"/>
              </w:rPr>
              <w:t>-</w:t>
            </w:r>
          </w:p>
        </w:tc>
        <w:tc>
          <w:tcPr>
            <w:tcW w:w="542" w:type="dxa"/>
            <w:tcBorders>
              <w:top w:val="single" w:sz="12" w:space="0" w:color="000000"/>
              <w:bottom w:val="single" w:sz="4" w:space="0" w:color="000000"/>
            </w:tcBorders>
          </w:tcPr>
          <w:p>
            <w:pPr>
              <w:pStyle w:val="TableParagraph"/>
              <w:spacing w:before="28"/>
              <w:ind w:right="52"/>
              <w:rPr>
                <w:b/>
                <w:sz w:val="14"/>
              </w:rPr>
            </w:pPr>
            <w:r>
              <w:rPr>
                <w:b/>
                <w:spacing w:val="-4"/>
                <w:sz w:val="14"/>
              </w:rPr>
              <w:t>1.00</w:t>
            </w:r>
          </w:p>
        </w:tc>
      </w:tr>
      <w:tr>
        <w:trPr>
          <w:trHeight w:val="225" w:hRule="atLeast"/>
        </w:trPr>
        <w:tc>
          <w:tcPr>
            <w:tcW w:w="1189" w:type="dxa"/>
            <w:tcBorders>
              <w:top w:val="single" w:sz="4" w:space="0" w:color="000000"/>
              <w:bottom w:val="single" w:sz="4" w:space="0" w:color="000000"/>
            </w:tcBorders>
          </w:tcPr>
          <w:p>
            <w:pPr>
              <w:pStyle w:val="TableParagraph"/>
              <w:spacing w:before="23"/>
              <w:ind w:left="72"/>
              <w:jc w:val="left"/>
              <w:rPr>
                <w:sz w:val="14"/>
              </w:rPr>
            </w:pPr>
            <w:r>
              <w:rPr>
                <w:spacing w:val="-5"/>
                <w:sz w:val="14"/>
              </w:rPr>
              <w:t>New</w:t>
            </w:r>
          </w:p>
        </w:tc>
        <w:tc>
          <w:tcPr>
            <w:tcW w:w="669" w:type="dxa"/>
            <w:tcBorders>
              <w:top w:val="single" w:sz="4" w:space="0" w:color="000000"/>
              <w:bottom w:val="single" w:sz="4" w:space="0" w:color="000000"/>
            </w:tcBorders>
          </w:tcPr>
          <w:p>
            <w:pPr>
              <w:pStyle w:val="TableParagraph"/>
              <w:spacing w:before="23"/>
              <w:ind w:right="148"/>
              <w:rPr>
                <w:sz w:val="14"/>
              </w:rPr>
            </w:pPr>
            <w:r>
              <w:rPr>
                <w:w w:val="99"/>
                <w:sz w:val="14"/>
              </w:rPr>
              <w:t>-</w:t>
            </w:r>
          </w:p>
        </w:tc>
        <w:tc>
          <w:tcPr>
            <w:tcW w:w="598" w:type="dxa"/>
            <w:tcBorders>
              <w:top w:val="single" w:sz="4" w:space="0" w:color="000000"/>
              <w:bottom w:val="single" w:sz="4" w:space="0" w:color="000000"/>
            </w:tcBorders>
          </w:tcPr>
          <w:p>
            <w:pPr>
              <w:pStyle w:val="TableParagraph"/>
              <w:spacing w:before="23"/>
              <w:ind w:right="169"/>
              <w:rPr>
                <w:sz w:val="14"/>
              </w:rPr>
            </w:pPr>
            <w:r>
              <w:rPr>
                <w:w w:val="99"/>
                <w:sz w:val="14"/>
              </w:rPr>
              <w:t>-</w:t>
            </w:r>
          </w:p>
        </w:tc>
        <w:tc>
          <w:tcPr>
            <w:tcW w:w="558" w:type="dxa"/>
            <w:tcBorders>
              <w:top w:val="single" w:sz="4" w:space="0" w:color="000000"/>
              <w:bottom w:val="single" w:sz="4" w:space="0" w:color="000000"/>
            </w:tcBorders>
          </w:tcPr>
          <w:p>
            <w:pPr>
              <w:pStyle w:val="TableParagraph"/>
              <w:spacing w:before="23"/>
              <w:ind w:right="171"/>
              <w:rPr>
                <w:sz w:val="14"/>
              </w:rPr>
            </w:pPr>
            <w:r>
              <w:rPr>
                <w:w w:val="99"/>
                <w:sz w:val="14"/>
              </w:rPr>
              <w:t>-</w:t>
            </w:r>
          </w:p>
        </w:tc>
        <w:tc>
          <w:tcPr>
            <w:tcW w:w="574" w:type="dxa"/>
            <w:tcBorders>
              <w:top w:val="single" w:sz="4" w:space="0" w:color="000000"/>
              <w:bottom w:val="single" w:sz="4" w:space="0" w:color="000000"/>
            </w:tcBorders>
          </w:tcPr>
          <w:p>
            <w:pPr>
              <w:pStyle w:val="TableParagraph"/>
              <w:spacing w:before="23"/>
              <w:ind w:right="188"/>
              <w:rPr>
                <w:sz w:val="14"/>
              </w:rPr>
            </w:pPr>
            <w:r>
              <w:rPr>
                <w:w w:val="99"/>
                <w:sz w:val="14"/>
              </w:rPr>
              <w:t>-</w:t>
            </w:r>
          </w:p>
        </w:tc>
        <w:tc>
          <w:tcPr>
            <w:tcW w:w="534" w:type="dxa"/>
            <w:tcBorders>
              <w:top w:val="single" w:sz="4" w:space="0" w:color="000000"/>
              <w:bottom w:val="single" w:sz="4" w:space="0" w:color="000000"/>
            </w:tcBorders>
          </w:tcPr>
          <w:p>
            <w:pPr>
              <w:pStyle w:val="TableParagraph"/>
              <w:spacing w:before="23"/>
              <w:ind w:left="182"/>
              <w:jc w:val="center"/>
              <w:rPr>
                <w:sz w:val="14"/>
              </w:rPr>
            </w:pPr>
            <w:r>
              <w:rPr>
                <w:w w:val="99"/>
                <w:sz w:val="14"/>
              </w:rPr>
              <w:t>-</w:t>
            </w:r>
          </w:p>
        </w:tc>
        <w:tc>
          <w:tcPr>
            <w:tcW w:w="684" w:type="dxa"/>
            <w:tcBorders>
              <w:top w:val="single" w:sz="4" w:space="0" w:color="000000"/>
              <w:bottom w:val="single" w:sz="4" w:space="0" w:color="000000"/>
            </w:tcBorders>
          </w:tcPr>
          <w:p>
            <w:pPr>
              <w:pStyle w:val="TableParagraph"/>
              <w:spacing w:before="23"/>
              <w:ind w:right="196"/>
              <w:rPr>
                <w:sz w:val="14"/>
              </w:rPr>
            </w:pPr>
            <w:r>
              <w:rPr>
                <w:w w:val="99"/>
                <w:sz w:val="14"/>
              </w:rPr>
              <w:t>-</w:t>
            </w:r>
          </w:p>
        </w:tc>
        <w:tc>
          <w:tcPr>
            <w:tcW w:w="658" w:type="dxa"/>
            <w:tcBorders>
              <w:top w:val="single" w:sz="4" w:space="0" w:color="000000"/>
              <w:bottom w:val="single" w:sz="4" w:space="0" w:color="000000"/>
            </w:tcBorders>
          </w:tcPr>
          <w:p>
            <w:pPr>
              <w:pStyle w:val="TableParagraph"/>
              <w:spacing w:before="23"/>
              <w:ind w:right="268"/>
              <w:rPr>
                <w:sz w:val="14"/>
              </w:rPr>
            </w:pPr>
            <w:r>
              <w:rPr>
                <w:w w:val="99"/>
                <w:sz w:val="14"/>
              </w:rPr>
              <w:t>-</w:t>
            </w:r>
          </w:p>
        </w:tc>
        <w:tc>
          <w:tcPr>
            <w:tcW w:w="658" w:type="dxa"/>
            <w:tcBorders>
              <w:top w:val="single" w:sz="4" w:space="0" w:color="000000"/>
              <w:bottom w:val="single" w:sz="4" w:space="0" w:color="000000"/>
            </w:tcBorders>
          </w:tcPr>
          <w:p>
            <w:pPr>
              <w:pStyle w:val="TableParagraph"/>
              <w:spacing w:before="23"/>
              <w:ind w:right="191"/>
              <w:rPr>
                <w:sz w:val="14"/>
              </w:rPr>
            </w:pPr>
            <w:r>
              <w:rPr>
                <w:w w:val="99"/>
                <w:sz w:val="14"/>
              </w:rPr>
              <w:t>-</w:t>
            </w:r>
          </w:p>
        </w:tc>
        <w:tc>
          <w:tcPr>
            <w:tcW w:w="458" w:type="dxa"/>
            <w:tcBorders>
              <w:top w:val="single" w:sz="4" w:space="0" w:color="000000"/>
              <w:bottom w:val="single" w:sz="4" w:space="0" w:color="000000"/>
            </w:tcBorders>
          </w:tcPr>
          <w:p>
            <w:pPr>
              <w:pStyle w:val="TableParagraph"/>
              <w:spacing w:before="23"/>
              <w:ind w:right="68"/>
              <w:rPr>
                <w:sz w:val="14"/>
              </w:rPr>
            </w:pPr>
            <w:r>
              <w:rPr>
                <w:w w:val="99"/>
                <w:sz w:val="14"/>
              </w:rPr>
              <w:t>-</w:t>
            </w:r>
          </w:p>
        </w:tc>
        <w:tc>
          <w:tcPr>
            <w:tcW w:w="791" w:type="dxa"/>
            <w:tcBorders>
              <w:top w:val="single" w:sz="4" w:space="0" w:color="000000"/>
              <w:bottom w:val="single" w:sz="4" w:space="0" w:color="000000"/>
            </w:tcBorders>
          </w:tcPr>
          <w:p>
            <w:pPr>
              <w:pStyle w:val="TableParagraph"/>
              <w:spacing w:before="23"/>
              <w:ind w:right="124"/>
              <w:rPr>
                <w:i/>
                <w:sz w:val="14"/>
              </w:rPr>
            </w:pPr>
            <w:r>
              <w:rPr>
                <w:i/>
                <w:w w:val="99"/>
                <w:sz w:val="14"/>
              </w:rPr>
              <w:t>-</w:t>
            </w:r>
          </w:p>
        </w:tc>
        <w:tc>
          <w:tcPr>
            <w:tcW w:w="560" w:type="dxa"/>
            <w:tcBorders>
              <w:top w:val="single" w:sz="4" w:space="0" w:color="000000"/>
              <w:bottom w:val="single" w:sz="4" w:space="0" w:color="000000"/>
            </w:tcBorders>
          </w:tcPr>
          <w:p>
            <w:pPr>
              <w:pStyle w:val="TableParagraph"/>
              <w:spacing w:before="23"/>
              <w:ind w:right="98"/>
              <w:rPr>
                <w:sz w:val="14"/>
              </w:rPr>
            </w:pPr>
            <w:r>
              <w:rPr>
                <w:w w:val="99"/>
                <w:sz w:val="14"/>
              </w:rPr>
              <w:t>-</w:t>
            </w:r>
          </w:p>
        </w:tc>
        <w:tc>
          <w:tcPr>
            <w:tcW w:w="572" w:type="dxa"/>
            <w:tcBorders>
              <w:top w:val="single" w:sz="4" w:space="0" w:color="000000"/>
              <w:bottom w:val="single" w:sz="4" w:space="0" w:color="000000"/>
            </w:tcBorders>
          </w:tcPr>
          <w:p>
            <w:pPr>
              <w:pStyle w:val="TableParagraph"/>
              <w:spacing w:before="23"/>
              <w:ind w:right="84"/>
              <w:rPr>
                <w:sz w:val="14"/>
              </w:rPr>
            </w:pPr>
            <w:r>
              <w:rPr>
                <w:w w:val="99"/>
                <w:sz w:val="14"/>
              </w:rPr>
              <w:t>-</w:t>
            </w:r>
          </w:p>
        </w:tc>
        <w:tc>
          <w:tcPr>
            <w:tcW w:w="559" w:type="dxa"/>
            <w:tcBorders>
              <w:top w:val="single" w:sz="4" w:space="0" w:color="000000"/>
              <w:bottom w:val="single" w:sz="4" w:space="0" w:color="000000"/>
            </w:tcBorders>
          </w:tcPr>
          <w:p>
            <w:pPr>
              <w:pStyle w:val="TableParagraph"/>
              <w:spacing w:before="23"/>
              <w:ind w:right="58"/>
              <w:rPr>
                <w:sz w:val="14"/>
              </w:rPr>
            </w:pPr>
            <w:r>
              <w:rPr>
                <w:w w:val="99"/>
                <w:sz w:val="14"/>
              </w:rPr>
              <w:t>-</w:t>
            </w:r>
          </w:p>
        </w:tc>
        <w:tc>
          <w:tcPr>
            <w:tcW w:w="829" w:type="dxa"/>
            <w:tcBorders>
              <w:top w:val="single" w:sz="4" w:space="0" w:color="000000"/>
              <w:bottom w:val="single" w:sz="4" w:space="0" w:color="000000"/>
            </w:tcBorders>
          </w:tcPr>
          <w:p>
            <w:pPr>
              <w:pStyle w:val="TableParagraph"/>
              <w:spacing w:before="23"/>
              <w:ind w:right="147"/>
              <w:rPr>
                <w:i/>
                <w:sz w:val="14"/>
              </w:rPr>
            </w:pPr>
            <w:r>
              <w:rPr>
                <w:i/>
                <w:w w:val="99"/>
                <w:sz w:val="14"/>
              </w:rPr>
              <w:t>-</w:t>
            </w:r>
          </w:p>
        </w:tc>
        <w:tc>
          <w:tcPr>
            <w:tcW w:w="542" w:type="dxa"/>
            <w:tcBorders>
              <w:top w:val="single" w:sz="4" w:space="0" w:color="000000"/>
              <w:bottom w:val="single" w:sz="4" w:space="0" w:color="000000"/>
            </w:tcBorders>
          </w:tcPr>
          <w:p>
            <w:pPr>
              <w:pStyle w:val="TableParagraph"/>
              <w:spacing w:before="23"/>
              <w:ind w:right="55"/>
              <w:rPr>
                <w:b/>
                <w:sz w:val="14"/>
              </w:rPr>
            </w:pPr>
            <w:r>
              <w:rPr>
                <w:b/>
                <w:w w:val="99"/>
                <w:sz w:val="14"/>
              </w:rPr>
              <w:t>-</w:t>
            </w:r>
          </w:p>
        </w:tc>
      </w:tr>
      <w:tr>
        <w:trPr>
          <w:trHeight w:val="225" w:hRule="atLeast"/>
        </w:trPr>
        <w:tc>
          <w:tcPr>
            <w:tcW w:w="1189" w:type="dxa"/>
            <w:tcBorders>
              <w:top w:val="single" w:sz="4" w:space="0" w:color="000000"/>
              <w:bottom w:val="single" w:sz="4" w:space="0" w:color="000000"/>
            </w:tcBorders>
          </w:tcPr>
          <w:p>
            <w:pPr>
              <w:pStyle w:val="TableParagraph"/>
              <w:spacing w:before="23"/>
              <w:ind w:left="72"/>
              <w:jc w:val="left"/>
              <w:rPr>
                <w:sz w:val="14"/>
              </w:rPr>
            </w:pPr>
            <w:r>
              <w:rPr>
                <w:spacing w:val="-2"/>
                <w:sz w:val="14"/>
              </w:rPr>
              <w:t>Redeployed</w:t>
            </w:r>
          </w:p>
        </w:tc>
        <w:tc>
          <w:tcPr>
            <w:tcW w:w="669" w:type="dxa"/>
            <w:tcBorders>
              <w:top w:val="single" w:sz="4" w:space="0" w:color="000000"/>
              <w:bottom w:val="single" w:sz="4" w:space="0" w:color="000000"/>
            </w:tcBorders>
          </w:tcPr>
          <w:p>
            <w:pPr>
              <w:pStyle w:val="TableParagraph"/>
              <w:spacing w:before="23"/>
              <w:ind w:right="148"/>
              <w:rPr>
                <w:sz w:val="14"/>
              </w:rPr>
            </w:pPr>
            <w:r>
              <w:rPr>
                <w:w w:val="99"/>
                <w:sz w:val="14"/>
              </w:rPr>
              <w:t>-</w:t>
            </w:r>
          </w:p>
        </w:tc>
        <w:tc>
          <w:tcPr>
            <w:tcW w:w="598" w:type="dxa"/>
            <w:tcBorders>
              <w:top w:val="single" w:sz="4" w:space="0" w:color="000000"/>
              <w:bottom w:val="single" w:sz="4" w:space="0" w:color="000000"/>
            </w:tcBorders>
          </w:tcPr>
          <w:p>
            <w:pPr>
              <w:pStyle w:val="TableParagraph"/>
              <w:spacing w:before="23"/>
              <w:ind w:right="169"/>
              <w:rPr>
                <w:sz w:val="14"/>
              </w:rPr>
            </w:pPr>
            <w:r>
              <w:rPr>
                <w:w w:val="99"/>
                <w:sz w:val="14"/>
              </w:rPr>
              <w:t>-</w:t>
            </w:r>
          </w:p>
        </w:tc>
        <w:tc>
          <w:tcPr>
            <w:tcW w:w="558" w:type="dxa"/>
            <w:tcBorders>
              <w:top w:val="single" w:sz="4" w:space="0" w:color="000000"/>
              <w:bottom w:val="single" w:sz="4" w:space="0" w:color="000000"/>
            </w:tcBorders>
          </w:tcPr>
          <w:p>
            <w:pPr>
              <w:pStyle w:val="TableParagraph"/>
              <w:spacing w:before="23"/>
              <w:ind w:right="171"/>
              <w:rPr>
                <w:sz w:val="14"/>
              </w:rPr>
            </w:pPr>
            <w:r>
              <w:rPr>
                <w:w w:val="99"/>
                <w:sz w:val="14"/>
              </w:rPr>
              <w:t>-</w:t>
            </w:r>
          </w:p>
        </w:tc>
        <w:tc>
          <w:tcPr>
            <w:tcW w:w="574" w:type="dxa"/>
            <w:tcBorders>
              <w:top w:val="single" w:sz="4" w:space="0" w:color="000000"/>
              <w:bottom w:val="single" w:sz="4" w:space="0" w:color="000000"/>
            </w:tcBorders>
          </w:tcPr>
          <w:p>
            <w:pPr>
              <w:pStyle w:val="TableParagraph"/>
              <w:spacing w:before="23"/>
              <w:ind w:right="188"/>
              <w:rPr>
                <w:sz w:val="14"/>
              </w:rPr>
            </w:pPr>
            <w:r>
              <w:rPr>
                <w:w w:val="99"/>
                <w:sz w:val="14"/>
              </w:rPr>
              <w:t>-</w:t>
            </w:r>
          </w:p>
        </w:tc>
        <w:tc>
          <w:tcPr>
            <w:tcW w:w="534" w:type="dxa"/>
            <w:tcBorders>
              <w:top w:val="single" w:sz="4" w:space="0" w:color="000000"/>
              <w:bottom w:val="single" w:sz="4" w:space="0" w:color="000000"/>
            </w:tcBorders>
          </w:tcPr>
          <w:p>
            <w:pPr>
              <w:pStyle w:val="TableParagraph"/>
              <w:spacing w:before="23"/>
              <w:ind w:left="182"/>
              <w:jc w:val="center"/>
              <w:rPr>
                <w:sz w:val="14"/>
              </w:rPr>
            </w:pPr>
            <w:r>
              <w:rPr>
                <w:w w:val="99"/>
                <w:sz w:val="14"/>
              </w:rPr>
              <w:t>-</w:t>
            </w:r>
          </w:p>
        </w:tc>
        <w:tc>
          <w:tcPr>
            <w:tcW w:w="684" w:type="dxa"/>
            <w:tcBorders>
              <w:top w:val="single" w:sz="4" w:space="0" w:color="000000"/>
              <w:bottom w:val="single" w:sz="4" w:space="0" w:color="000000"/>
            </w:tcBorders>
          </w:tcPr>
          <w:p>
            <w:pPr>
              <w:pStyle w:val="TableParagraph"/>
              <w:spacing w:before="23"/>
              <w:ind w:right="196"/>
              <w:rPr>
                <w:sz w:val="14"/>
              </w:rPr>
            </w:pPr>
            <w:r>
              <w:rPr>
                <w:w w:val="99"/>
                <w:sz w:val="14"/>
              </w:rPr>
              <w:t>-</w:t>
            </w:r>
          </w:p>
        </w:tc>
        <w:tc>
          <w:tcPr>
            <w:tcW w:w="658" w:type="dxa"/>
            <w:tcBorders>
              <w:top w:val="single" w:sz="4" w:space="0" w:color="000000"/>
              <w:bottom w:val="single" w:sz="4" w:space="0" w:color="000000"/>
            </w:tcBorders>
          </w:tcPr>
          <w:p>
            <w:pPr>
              <w:pStyle w:val="TableParagraph"/>
              <w:spacing w:before="23"/>
              <w:ind w:right="268"/>
              <w:rPr>
                <w:sz w:val="14"/>
              </w:rPr>
            </w:pPr>
            <w:r>
              <w:rPr>
                <w:w w:val="99"/>
                <w:sz w:val="14"/>
              </w:rPr>
              <w:t>-</w:t>
            </w:r>
          </w:p>
        </w:tc>
        <w:tc>
          <w:tcPr>
            <w:tcW w:w="658" w:type="dxa"/>
            <w:tcBorders>
              <w:top w:val="single" w:sz="4" w:space="0" w:color="000000"/>
              <w:bottom w:val="single" w:sz="4" w:space="0" w:color="000000"/>
            </w:tcBorders>
          </w:tcPr>
          <w:p>
            <w:pPr>
              <w:pStyle w:val="TableParagraph"/>
              <w:spacing w:before="23"/>
              <w:ind w:right="191"/>
              <w:rPr>
                <w:sz w:val="14"/>
              </w:rPr>
            </w:pPr>
            <w:r>
              <w:rPr>
                <w:w w:val="99"/>
                <w:sz w:val="14"/>
              </w:rPr>
              <w:t>-</w:t>
            </w:r>
          </w:p>
        </w:tc>
        <w:tc>
          <w:tcPr>
            <w:tcW w:w="458" w:type="dxa"/>
            <w:tcBorders>
              <w:top w:val="single" w:sz="4" w:space="0" w:color="000000"/>
              <w:bottom w:val="single" w:sz="4" w:space="0" w:color="000000"/>
            </w:tcBorders>
          </w:tcPr>
          <w:p>
            <w:pPr>
              <w:pStyle w:val="TableParagraph"/>
              <w:spacing w:before="23"/>
              <w:ind w:right="68"/>
              <w:rPr>
                <w:sz w:val="14"/>
              </w:rPr>
            </w:pPr>
            <w:r>
              <w:rPr>
                <w:w w:val="99"/>
                <w:sz w:val="14"/>
              </w:rPr>
              <w:t>-</w:t>
            </w:r>
          </w:p>
        </w:tc>
        <w:tc>
          <w:tcPr>
            <w:tcW w:w="791" w:type="dxa"/>
            <w:tcBorders>
              <w:top w:val="single" w:sz="4" w:space="0" w:color="000000"/>
              <w:bottom w:val="single" w:sz="4" w:space="0" w:color="000000"/>
            </w:tcBorders>
          </w:tcPr>
          <w:p>
            <w:pPr>
              <w:pStyle w:val="TableParagraph"/>
              <w:spacing w:before="23"/>
              <w:ind w:right="124"/>
              <w:rPr>
                <w:i/>
                <w:sz w:val="14"/>
              </w:rPr>
            </w:pPr>
            <w:r>
              <w:rPr>
                <w:i/>
                <w:w w:val="99"/>
                <w:sz w:val="14"/>
              </w:rPr>
              <w:t>-</w:t>
            </w:r>
          </w:p>
        </w:tc>
        <w:tc>
          <w:tcPr>
            <w:tcW w:w="560" w:type="dxa"/>
            <w:tcBorders>
              <w:top w:val="single" w:sz="4" w:space="0" w:color="000000"/>
              <w:bottom w:val="single" w:sz="4" w:space="0" w:color="000000"/>
            </w:tcBorders>
          </w:tcPr>
          <w:p>
            <w:pPr>
              <w:pStyle w:val="TableParagraph"/>
              <w:spacing w:before="23"/>
              <w:ind w:right="98"/>
              <w:rPr>
                <w:sz w:val="14"/>
              </w:rPr>
            </w:pPr>
            <w:r>
              <w:rPr>
                <w:w w:val="99"/>
                <w:sz w:val="14"/>
              </w:rPr>
              <w:t>-</w:t>
            </w:r>
          </w:p>
        </w:tc>
        <w:tc>
          <w:tcPr>
            <w:tcW w:w="572" w:type="dxa"/>
            <w:tcBorders>
              <w:top w:val="single" w:sz="4" w:space="0" w:color="000000"/>
              <w:bottom w:val="single" w:sz="4" w:space="0" w:color="000000"/>
            </w:tcBorders>
          </w:tcPr>
          <w:p>
            <w:pPr>
              <w:pStyle w:val="TableParagraph"/>
              <w:spacing w:before="23"/>
              <w:ind w:right="84"/>
              <w:rPr>
                <w:sz w:val="14"/>
              </w:rPr>
            </w:pPr>
            <w:r>
              <w:rPr>
                <w:w w:val="99"/>
                <w:sz w:val="14"/>
              </w:rPr>
              <w:t>-</w:t>
            </w:r>
          </w:p>
        </w:tc>
        <w:tc>
          <w:tcPr>
            <w:tcW w:w="559" w:type="dxa"/>
            <w:tcBorders>
              <w:top w:val="single" w:sz="4" w:space="0" w:color="000000"/>
              <w:bottom w:val="single" w:sz="4" w:space="0" w:color="000000"/>
            </w:tcBorders>
          </w:tcPr>
          <w:p>
            <w:pPr>
              <w:pStyle w:val="TableParagraph"/>
              <w:spacing w:before="23"/>
              <w:ind w:right="58"/>
              <w:rPr>
                <w:sz w:val="14"/>
              </w:rPr>
            </w:pPr>
            <w:r>
              <w:rPr>
                <w:w w:val="99"/>
                <w:sz w:val="14"/>
              </w:rPr>
              <w:t>-</w:t>
            </w:r>
          </w:p>
        </w:tc>
        <w:tc>
          <w:tcPr>
            <w:tcW w:w="829" w:type="dxa"/>
            <w:tcBorders>
              <w:top w:val="single" w:sz="4" w:space="0" w:color="000000"/>
              <w:bottom w:val="single" w:sz="4" w:space="0" w:color="000000"/>
            </w:tcBorders>
          </w:tcPr>
          <w:p>
            <w:pPr>
              <w:pStyle w:val="TableParagraph"/>
              <w:spacing w:before="23"/>
              <w:ind w:right="147"/>
              <w:rPr>
                <w:i/>
                <w:sz w:val="14"/>
              </w:rPr>
            </w:pPr>
            <w:r>
              <w:rPr>
                <w:i/>
                <w:w w:val="99"/>
                <w:sz w:val="14"/>
              </w:rPr>
              <w:t>-</w:t>
            </w:r>
          </w:p>
        </w:tc>
        <w:tc>
          <w:tcPr>
            <w:tcW w:w="542" w:type="dxa"/>
            <w:tcBorders>
              <w:top w:val="single" w:sz="4" w:space="0" w:color="000000"/>
              <w:bottom w:val="single" w:sz="4" w:space="0" w:color="000000"/>
            </w:tcBorders>
          </w:tcPr>
          <w:p>
            <w:pPr>
              <w:pStyle w:val="TableParagraph"/>
              <w:spacing w:before="23"/>
              <w:ind w:right="55"/>
              <w:rPr>
                <w:b/>
                <w:sz w:val="14"/>
              </w:rPr>
            </w:pPr>
            <w:r>
              <w:rPr>
                <w:b/>
                <w:w w:val="99"/>
                <w:sz w:val="14"/>
              </w:rPr>
              <w:t>-</w:t>
            </w:r>
          </w:p>
        </w:tc>
      </w:tr>
      <w:tr>
        <w:trPr>
          <w:trHeight w:val="230" w:hRule="atLeast"/>
        </w:trPr>
        <w:tc>
          <w:tcPr>
            <w:tcW w:w="1189" w:type="dxa"/>
            <w:tcBorders>
              <w:top w:val="single" w:sz="4" w:space="0" w:color="000000"/>
              <w:bottom w:val="single" w:sz="4" w:space="0" w:color="000000"/>
            </w:tcBorders>
          </w:tcPr>
          <w:p>
            <w:pPr>
              <w:pStyle w:val="TableParagraph"/>
              <w:spacing w:before="28"/>
              <w:ind w:left="72"/>
              <w:jc w:val="left"/>
              <w:rPr>
                <w:sz w:val="14"/>
              </w:rPr>
            </w:pPr>
            <w:r>
              <w:rPr>
                <w:spacing w:val="-2"/>
                <w:sz w:val="14"/>
              </w:rPr>
              <w:t>Reclassified</w:t>
            </w:r>
          </w:p>
        </w:tc>
        <w:tc>
          <w:tcPr>
            <w:tcW w:w="669" w:type="dxa"/>
            <w:tcBorders>
              <w:top w:val="single" w:sz="4" w:space="0" w:color="000000"/>
              <w:bottom w:val="single" w:sz="4" w:space="0" w:color="000000"/>
            </w:tcBorders>
          </w:tcPr>
          <w:p>
            <w:pPr>
              <w:pStyle w:val="TableParagraph"/>
              <w:spacing w:before="28"/>
              <w:ind w:right="148"/>
              <w:rPr>
                <w:sz w:val="14"/>
              </w:rPr>
            </w:pPr>
            <w:r>
              <w:rPr>
                <w:w w:val="99"/>
                <w:sz w:val="14"/>
              </w:rPr>
              <w:t>-</w:t>
            </w:r>
          </w:p>
        </w:tc>
        <w:tc>
          <w:tcPr>
            <w:tcW w:w="598" w:type="dxa"/>
            <w:tcBorders>
              <w:top w:val="single" w:sz="4" w:space="0" w:color="000000"/>
              <w:bottom w:val="single" w:sz="4" w:space="0" w:color="000000"/>
            </w:tcBorders>
          </w:tcPr>
          <w:p>
            <w:pPr>
              <w:pStyle w:val="TableParagraph"/>
              <w:spacing w:before="28"/>
              <w:ind w:right="169"/>
              <w:rPr>
                <w:sz w:val="14"/>
              </w:rPr>
            </w:pPr>
            <w:r>
              <w:rPr>
                <w:w w:val="99"/>
                <w:sz w:val="14"/>
              </w:rPr>
              <w:t>-</w:t>
            </w:r>
          </w:p>
        </w:tc>
        <w:tc>
          <w:tcPr>
            <w:tcW w:w="558" w:type="dxa"/>
            <w:tcBorders>
              <w:top w:val="single" w:sz="4" w:space="0" w:color="000000"/>
              <w:bottom w:val="single" w:sz="4" w:space="0" w:color="000000"/>
            </w:tcBorders>
          </w:tcPr>
          <w:p>
            <w:pPr>
              <w:pStyle w:val="TableParagraph"/>
              <w:spacing w:before="28"/>
              <w:ind w:right="171"/>
              <w:rPr>
                <w:sz w:val="14"/>
              </w:rPr>
            </w:pPr>
            <w:r>
              <w:rPr>
                <w:w w:val="99"/>
                <w:sz w:val="14"/>
              </w:rPr>
              <w:t>-</w:t>
            </w:r>
          </w:p>
        </w:tc>
        <w:tc>
          <w:tcPr>
            <w:tcW w:w="574" w:type="dxa"/>
            <w:tcBorders>
              <w:top w:val="single" w:sz="4" w:space="0" w:color="000000"/>
              <w:bottom w:val="single" w:sz="4" w:space="0" w:color="000000"/>
            </w:tcBorders>
          </w:tcPr>
          <w:p>
            <w:pPr>
              <w:pStyle w:val="TableParagraph"/>
              <w:spacing w:before="28"/>
              <w:ind w:right="188"/>
              <w:rPr>
                <w:sz w:val="14"/>
              </w:rPr>
            </w:pPr>
            <w:r>
              <w:rPr>
                <w:w w:val="99"/>
                <w:sz w:val="14"/>
              </w:rPr>
              <w:t>-</w:t>
            </w:r>
          </w:p>
        </w:tc>
        <w:tc>
          <w:tcPr>
            <w:tcW w:w="534" w:type="dxa"/>
            <w:tcBorders>
              <w:top w:val="single" w:sz="4" w:space="0" w:color="000000"/>
              <w:bottom w:val="single" w:sz="4" w:space="0" w:color="000000"/>
            </w:tcBorders>
          </w:tcPr>
          <w:p>
            <w:pPr>
              <w:pStyle w:val="TableParagraph"/>
              <w:spacing w:before="28"/>
              <w:ind w:left="182"/>
              <w:jc w:val="center"/>
              <w:rPr>
                <w:sz w:val="14"/>
              </w:rPr>
            </w:pPr>
            <w:r>
              <w:rPr>
                <w:w w:val="99"/>
                <w:sz w:val="14"/>
              </w:rPr>
              <w:t>-</w:t>
            </w:r>
          </w:p>
        </w:tc>
        <w:tc>
          <w:tcPr>
            <w:tcW w:w="684" w:type="dxa"/>
            <w:tcBorders>
              <w:top w:val="single" w:sz="4" w:space="0" w:color="000000"/>
              <w:bottom w:val="single" w:sz="4" w:space="0" w:color="000000"/>
            </w:tcBorders>
          </w:tcPr>
          <w:p>
            <w:pPr>
              <w:pStyle w:val="TableParagraph"/>
              <w:spacing w:before="28"/>
              <w:ind w:right="196"/>
              <w:rPr>
                <w:sz w:val="14"/>
              </w:rPr>
            </w:pPr>
            <w:r>
              <w:rPr>
                <w:w w:val="99"/>
                <w:sz w:val="14"/>
              </w:rPr>
              <w:t>-</w:t>
            </w:r>
          </w:p>
        </w:tc>
        <w:tc>
          <w:tcPr>
            <w:tcW w:w="658" w:type="dxa"/>
            <w:tcBorders>
              <w:top w:val="single" w:sz="4" w:space="0" w:color="000000"/>
              <w:bottom w:val="single" w:sz="4" w:space="0" w:color="000000"/>
            </w:tcBorders>
          </w:tcPr>
          <w:p>
            <w:pPr>
              <w:pStyle w:val="TableParagraph"/>
              <w:spacing w:before="28"/>
              <w:ind w:right="268"/>
              <w:rPr>
                <w:sz w:val="14"/>
              </w:rPr>
            </w:pPr>
            <w:r>
              <w:rPr>
                <w:w w:val="99"/>
                <w:sz w:val="14"/>
              </w:rPr>
              <w:t>-</w:t>
            </w:r>
          </w:p>
        </w:tc>
        <w:tc>
          <w:tcPr>
            <w:tcW w:w="658" w:type="dxa"/>
            <w:tcBorders>
              <w:top w:val="single" w:sz="4" w:space="0" w:color="000000"/>
              <w:bottom w:val="single" w:sz="4" w:space="0" w:color="000000"/>
            </w:tcBorders>
          </w:tcPr>
          <w:p>
            <w:pPr>
              <w:pStyle w:val="TableParagraph"/>
              <w:spacing w:before="28"/>
              <w:ind w:right="191"/>
              <w:rPr>
                <w:sz w:val="14"/>
              </w:rPr>
            </w:pPr>
            <w:r>
              <w:rPr>
                <w:w w:val="99"/>
                <w:sz w:val="14"/>
              </w:rPr>
              <w:t>-</w:t>
            </w:r>
          </w:p>
        </w:tc>
        <w:tc>
          <w:tcPr>
            <w:tcW w:w="458" w:type="dxa"/>
            <w:tcBorders>
              <w:top w:val="single" w:sz="4" w:space="0" w:color="000000"/>
              <w:bottom w:val="single" w:sz="4" w:space="0" w:color="000000"/>
            </w:tcBorders>
          </w:tcPr>
          <w:p>
            <w:pPr>
              <w:pStyle w:val="TableParagraph"/>
              <w:spacing w:before="28"/>
              <w:ind w:right="68"/>
              <w:rPr>
                <w:sz w:val="14"/>
              </w:rPr>
            </w:pPr>
            <w:r>
              <w:rPr>
                <w:w w:val="99"/>
                <w:sz w:val="14"/>
              </w:rPr>
              <w:t>-</w:t>
            </w:r>
          </w:p>
        </w:tc>
        <w:tc>
          <w:tcPr>
            <w:tcW w:w="791" w:type="dxa"/>
            <w:tcBorders>
              <w:top w:val="single" w:sz="4" w:space="0" w:color="000000"/>
              <w:bottom w:val="single" w:sz="4" w:space="0" w:color="000000"/>
            </w:tcBorders>
          </w:tcPr>
          <w:p>
            <w:pPr>
              <w:pStyle w:val="TableParagraph"/>
              <w:spacing w:before="28"/>
              <w:ind w:right="124"/>
              <w:rPr>
                <w:i/>
                <w:sz w:val="14"/>
              </w:rPr>
            </w:pPr>
            <w:r>
              <w:rPr>
                <w:i/>
                <w:w w:val="99"/>
                <w:sz w:val="14"/>
              </w:rPr>
              <w:t>-</w:t>
            </w:r>
          </w:p>
        </w:tc>
        <w:tc>
          <w:tcPr>
            <w:tcW w:w="560" w:type="dxa"/>
            <w:tcBorders>
              <w:top w:val="single" w:sz="4" w:space="0" w:color="000000"/>
              <w:bottom w:val="single" w:sz="4" w:space="0" w:color="000000"/>
            </w:tcBorders>
          </w:tcPr>
          <w:p>
            <w:pPr>
              <w:pStyle w:val="TableParagraph"/>
              <w:spacing w:before="28"/>
              <w:ind w:right="98"/>
              <w:rPr>
                <w:sz w:val="14"/>
              </w:rPr>
            </w:pPr>
            <w:r>
              <w:rPr>
                <w:w w:val="99"/>
                <w:sz w:val="14"/>
              </w:rPr>
              <w:t>-</w:t>
            </w:r>
          </w:p>
        </w:tc>
        <w:tc>
          <w:tcPr>
            <w:tcW w:w="572" w:type="dxa"/>
            <w:tcBorders>
              <w:top w:val="single" w:sz="4" w:space="0" w:color="000000"/>
              <w:bottom w:val="single" w:sz="4" w:space="0" w:color="000000"/>
            </w:tcBorders>
          </w:tcPr>
          <w:p>
            <w:pPr>
              <w:pStyle w:val="TableParagraph"/>
              <w:spacing w:before="28"/>
              <w:ind w:right="84"/>
              <w:rPr>
                <w:sz w:val="14"/>
              </w:rPr>
            </w:pPr>
            <w:r>
              <w:rPr>
                <w:w w:val="99"/>
                <w:sz w:val="14"/>
              </w:rPr>
              <w:t>-</w:t>
            </w:r>
          </w:p>
        </w:tc>
        <w:tc>
          <w:tcPr>
            <w:tcW w:w="559" w:type="dxa"/>
            <w:tcBorders>
              <w:top w:val="single" w:sz="4" w:space="0" w:color="000000"/>
              <w:bottom w:val="single" w:sz="4" w:space="0" w:color="000000"/>
            </w:tcBorders>
          </w:tcPr>
          <w:p>
            <w:pPr>
              <w:pStyle w:val="TableParagraph"/>
              <w:spacing w:before="28"/>
              <w:ind w:right="58"/>
              <w:rPr>
                <w:sz w:val="14"/>
              </w:rPr>
            </w:pPr>
            <w:r>
              <w:rPr>
                <w:w w:val="99"/>
                <w:sz w:val="14"/>
              </w:rPr>
              <w:t>-</w:t>
            </w:r>
          </w:p>
        </w:tc>
        <w:tc>
          <w:tcPr>
            <w:tcW w:w="829" w:type="dxa"/>
            <w:tcBorders>
              <w:top w:val="single" w:sz="4" w:space="0" w:color="000000"/>
              <w:bottom w:val="single" w:sz="4" w:space="0" w:color="000000"/>
            </w:tcBorders>
          </w:tcPr>
          <w:p>
            <w:pPr>
              <w:pStyle w:val="TableParagraph"/>
              <w:spacing w:before="28"/>
              <w:ind w:right="147"/>
              <w:rPr>
                <w:i/>
                <w:sz w:val="14"/>
              </w:rPr>
            </w:pPr>
            <w:r>
              <w:rPr>
                <w:i/>
                <w:w w:val="99"/>
                <w:sz w:val="14"/>
              </w:rPr>
              <w:t>-</w:t>
            </w:r>
          </w:p>
        </w:tc>
        <w:tc>
          <w:tcPr>
            <w:tcW w:w="542" w:type="dxa"/>
            <w:tcBorders>
              <w:top w:val="single" w:sz="4" w:space="0" w:color="000000"/>
              <w:bottom w:val="single" w:sz="4" w:space="0" w:color="000000"/>
            </w:tcBorders>
          </w:tcPr>
          <w:p>
            <w:pPr>
              <w:pStyle w:val="TableParagraph"/>
              <w:spacing w:before="28"/>
              <w:ind w:right="55"/>
              <w:rPr>
                <w:b/>
                <w:sz w:val="14"/>
              </w:rPr>
            </w:pPr>
            <w:r>
              <w:rPr>
                <w:b/>
                <w:w w:val="99"/>
                <w:sz w:val="14"/>
              </w:rPr>
              <w:t>-</w:t>
            </w:r>
          </w:p>
        </w:tc>
      </w:tr>
      <w:tr>
        <w:trPr>
          <w:trHeight w:val="225" w:hRule="atLeast"/>
        </w:trPr>
        <w:tc>
          <w:tcPr>
            <w:tcW w:w="1189" w:type="dxa"/>
            <w:tcBorders>
              <w:top w:val="single" w:sz="4" w:space="0" w:color="000000"/>
              <w:bottom w:val="single" w:sz="4" w:space="0" w:color="000000"/>
            </w:tcBorders>
          </w:tcPr>
          <w:p>
            <w:pPr>
              <w:pStyle w:val="TableParagraph"/>
              <w:spacing w:before="23"/>
              <w:ind w:left="72"/>
              <w:jc w:val="left"/>
              <w:rPr>
                <w:sz w:val="14"/>
              </w:rPr>
            </w:pPr>
            <w:r>
              <w:rPr>
                <w:spacing w:val="-2"/>
                <w:sz w:val="14"/>
              </w:rPr>
              <w:t>Converted</w:t>
            </w:r>
          </w:p>
        </w:tc>
        <w:tc>
          <w:tcPr>
            <w:tcW w:w="669" w:type="dxa"/>
            <w:tcBorders>
              <w:top w:val="single" w:sz="4" w:space="0" w:color="000000"/>
              <w:bottom w:val="single" w:sz="4" w:space="0" w:color="000000"/>
            </w:tcBorders>
          </w:tcPr>
          <w:p>
            <w:pPr>
              <w:pStyle w:val="TableParagraph"/>
              <w:spacing w:before="23"/>
              <w:ind w:right="148"/>
              <w:rPr>
                <w:sz w:val="14"/>
              </w:rPr>
            </w:pPr>
            <w:r>
              <w:rPr>
                <w:w w:val="99"/>
                <w:sz w:val="14"/>
              </w:rPr>
              <w:t>-</w:t>
            </w:r>
          </w:p>
        </w:tc>
        <w:tc>
          <w:tcPr>
            <w:tcW w:w="598" w:type="dxa"/>
            <w:tcBorders>
              <w:top w:val="single" w:sz="4" w:space="0" w:color="000000"/>
              <w:bottom w:val="single" w:sz="4" w:space="0" w:color="000000"/>
            </w:tcBorders>
          </w:tcPr>
          <w:p>
            <w:pPr>
              <w:pStyle w:val="TableParagraph"/>
              <w:spacing w:before="23"/>
              <w:ind w:right="169"/>
              <w:rPr>
                <w:sz w:val="14"/>
              </w:rPr>
            </w:pPr>
            <w:r>
              <w:rPr>
                <w:w w:val="99"/>
                <w:sz w:val="14"/>
              </w:rPr>
              <w:t>-</w:t>
            </w:r>
          </w:p>
        </w:tc>
        <w:tc>
          <w:tcPr>
            <w:tcW w:w="558" w:type="dxa"/>
            <w:tcBorders>
              <w:top w:val="single" w:sz="4" w:space="0" w:color="000000"/>
              <w:bottom w:val="single" w:sz="4" w:space="0" w:color="000000"/>
            </w:tcBorders>
          </w:tcPr>
          <w:p>
            <w:pPr>
              <w:pStyle w:val="TableParagraph"/>
              <w:spacing w:before="23"/>
              <w:ind w:right="171"/>
              <w:rPr>
                <w:sz w:val="14"/>
              </w:rPr>
            </w:pPr>
            <w:r>
              <w:rPr>
                <w:w w:val="99"/>
                <w:sz w:val="14"/>
              </w:rPr>
              <w:t>-</w:t>
            </w:r>
          </w:p>
        </w:tc>
        <w:tc>
          <w:tcPr>
            <w:tcW w:w="574" w:type="dxa"/>
            <w:tcBorders>
              <w:top w:val="single" w:sz="4" w:space="0" w:color="000000"/>
              <w:bottom w:val="single" w:sz="4" w:space="0" w:color="000000"/>
            </w:tcBorders>
          </w:tcPr>
          <w:p>
            <w:pPr>
              <w:pStyle w:val="TableParagraph"/>
              <w:spacing w:before="23"/>
              <w:ind w:right="188"/>
              <w:rPr>
                <w:sz w:val="14"/>
              </w:rPr>
            </w:pPr>
            <w:r>
              <w:rPr>
                <w:w w:val="99"/>
                <w:sz w:val="14"/>
              </w:rPr>
              <w:t>-</w:t>
            </w:r>
          </w:p>
        </w:tc>
        <w:tc>
          <w:tcPr>
            <w:tcW w:w="534" w:type="dxa"/>
            <w:tcBorders>
              <w:top w:val="single" w:sz="4" w:space="0" w:color="000000"/>
              <w:bottom w:val="single" w:sz="4" w:space="0" w:color="000000"/>
            </w:tcBorders>
          </w:tcPr>
          <w:p>
            <w:pPr>
              <w:pStyle w:val="TableParagraph"/>
              <w:spacing w:before="23"/>
              <w:ind w:left="182"/>
              <w:jc w:val="center"/>
              <w:rPr>
                <w:sz w:val="14"/>
              </w:rPr>
            </w:pPr>
            <w:r>
              <w:rPr>
                <w:w w:val="99"/>
                <w:sz w:val="14"/>
              </w:rPr>
              <w:t>-</w:t>
            </w:r>
          </w:p>
        </w:tc>
        <w:tc>
          <w:tcPr>
            <w:tcW w:w="684" w:type="dxa"/>
            <w:tcBorders>
              <w:top w:val="single" w:sz="4" w:space="0" w:color="000000"/>
              <w:bottom w:val="single" w:sz="4" w:space="0" w:color="000000"/>
            </w:tcBorders>
          </w:tcPr>
          <w:p>
            <w:pPr>
              <w:pStyle w:val="TableParagraph"/>
              <w:spacing w:before="23"/>
              <w:ind w:right="191"/>
              <w:rPr>
                <w:sz w:val="14"/>
              </w:rPr>
            </w:pPr>
            <w:r>
              <w:rPr>
                <w:spacing w:val="-2"/>
                <w:sz w:val="14"/>
              </w:rPr>
              <w:t>(1.00)</w:t>
            </w:r>
          </w:p>
        </w:tc>
        <w:tc>
          <w:tcPr>
            <w:tcW w:w="658" w:type="dxa"/>
            <w:tcBorders>
              <w:top w:val="single" w:sz="4" w:space="0" w:color="000000"/>
              <w:bottom w:val="single" w:sz="4" w:space="0" w:color="000000"/>
            </w:tcBorders>
          </w:tcPr>
          <w:p>
            <w:pPr>
              <w:pStyle w:val="TableParagraph"/>
              <w:spacing w:before="23"/>
              <w:ind w:right="268"/>
              <w:rPr>
                <w:sz w:val="14"/>
              </w:rPr>
            </w:pPr>
            <w:r>
              <w:rPr>
                <w:w w:val="99"/>
                <w:sz w:val="14"/>
              </w:rPr>
              <w:t>-</w:t>
            </w:r>
          </w:p>
        </w:tc>
        <w:tc>
          <w:tcPr>
            <w:tcW w:w="658" w:type="dxa"/>
            <w:tcBorders>
              <w:top w:val="single" w:sz="4" w:space="0" w:color="000000"/>
              <w:bottom w:val="single" w:sz="4" w:space="0" w:color="000000"/>
            </w:tcBorders>
          </w:tcPr>
          <w:p>
            <w:pPr>
              <w:pStyle w:val="TableParagraph"/>
              <w:spacing w:before="23"/>
              <w:ind w:right="191"/>
              <w:rPr>
                <w:sz w:val="14"/>
              </w:rPr>
            </w:pPr>
            <w:r>
              <w:rPr>
                <w:w w:val="99"/>
                <w:sz w:val="14"/>
              </w:rPr>
              <w:t>-</w:t>
            </w:r>
          </w:p>
        </w:tc>
        <w:tc>
          <w:tcPr>
            <w:tcW w:w="458" w:type="dxa"/>
            <w:tcBorders>
              <w:top w:val="single" w:sz="4" w:space="0" w:color="000000"/>
              <w:bottom w:val="single" w:sz="4" w:space="0" w:color="000000"/>
            </w:tcBorders>
          </w:tcPr>
          <w:p>
            <w:pPr>
              <w:pStyle w:val="TableParagraph"/>
              <w:spacing w:before="23"/>
              <w:ind w:right="68"/>
              <w:rPr>
                <w:sz w:val="14"/>
              </w:rPr>
            </w:pPr>
            <w:r>
              <w:rPr>
                <w:w w:val="99"/>
                <w:sz w:val="14"/>
              </w:rPr>
              <w:t>-</w:t>
            </w:r>
          </w:p>
        </w:tc>
        <w:tc>
          <w:tcPr>
            <w:tcW w:w="791" w:type="dxa"/>
            <w:tcBorders>
              <w:top w:val="single" w:sz="4" w:space="0" w:color="000000"/>
              <w:bottom w:val="single" w:sz="4" w:space="0" w:color="000000"/>
            </w:tcBorders>
          </w:tcPr>
          <w:p>
            <w:pPr>
              <w:pStyle w:val="TableParagraph"/>
              <w:spacing w:before="23"/>
              <w:ind w:right="120"/>
              <w:rPr>
                <w:i/>
                <w:sz w:val="14"/>
              </w:rPr>
            </w:pPr>
            <w:r>
              <w:rPr>
                <w:i/>
                <w:spacing w:val="-2"/>
                <w:sz w:val="14"/>
              </w:rPr>
              <w:t>(1.00)</w:t>
            </w:r>
          </w:p>
        </w:tc>
        <w:tc>
          <w:tcPr>
            <w:tcW w:w="560" w:type="dxa"/>
            <w:tcBorders>
              <w:top w:val="single" w:sz="4" w:space="0" w:color="000000"/>
              <w:bottom w:val="single" w:sz="4" w:space="0" w:color="000000"/>
            </w:tcBorders>
          </w:tcPr>
          <w:p>
            <w:pPr>
              <w:pStyle w:val="TableParagraph"/>
              <w:spacing w:before="23"/>
              <w:ind w:right="98"/>
              <w:rPr>
                <w:sz w:val="14"/>
              </w:rPr>
            </w:pPr>
            <w:r>
              <w:rPr>
                <w:w w:val="99"/>
                <w:sz w:val="14"/>
              </w:rPr>
              <w:t>-</w:t>
            </w:r>
          </w:p>
        </w:tc>
        <w:tc>
          <w:tcPr>
            <w:tcW w:w="572" w:type="dxa"/>
            <w:tcBorders>
              <w:top w:val="single" w:sz="4" w:space="0" w:color="000000"/>
              <w:bottom w:val="single" w:sz="4" w:space="0" w:color="000000"/>
            </w:tcBorders>
          </w:tcPr>
          <w:p>
            <w:pPr>
              <w:pStyle w:val="TableParagraph"/>
              <w:spacing w:before="23"/>
              <w:ind w:right="84"/>
              <w:rPr>
                <w:sz w:val="14"/>
              </w:rPr>
            </w:pPr>
            <w:r>
              <w:rPr>
                <w:w w:val="99"/>
                <w:sz w:val="14"/>
              </w:rPr>
              <w:t>-</w:t>
            </w:r>
          </w:p>
        </w:tc>
        <w:tc>
          <w:tcPr>
            <w:tcW w:w="559" w:type="dxa"/>
            <w:tcBorders>
              <w:top w:val="single" w:sz="4" w:space="0" w:color="000000"/>
              <w:bottom w:val="single" w:sz="4" w:space="0" w:color="000000"/>
            </w:tcBorders>
          </w:tcPr>
          <w:p>
            <w:pPr>
              <w:pStyle w:val="TableParagraph"/>
              <w:spacing w:before="23"/>
              <w:ind w:right="58"/>
              <w:rPr>
                <w:sz w:val="14"/>
              </w:rPr>
            </w:pPr>
            <w:r>
              <w:rPr>
                <w:w w:val="99"/>
                <w:sz w:val="14"/>
              </w:rPr>
              <w:t>-</w:t>
            </w:r>
          </w:p>
        </w:tc>
        <w:tc>
          <w:tcPr>
            <w:tcW w:w="829" w:type="dxa"/>
            <w:tcBorders>
              <w:top w:val="single" w:sz="4" w:space="0" w:color="000000"/>
              <w:bottom w:val="single" w:sz="4" w:space="0" w:color="000000"/>
            </w:tcBorders>
          </w:tcPr>
          <w:p>
            <w:pPr>
              <w:pStyle w:val="TableParagraph"/>
              <w:spacing w:before="23"/>
              <w:ind w:right="147"/>
              <w:rPr>
                <w:i/>
                <w:sz w:val="14"/>
              </w:rPr>
            </w:pPr>
            <w:r>
              <w:rPr>
                <w:i/>
                <w:w w:val="99"/>
                <w:sz w:val="14"/>
              </w:rPr>
              <w:t>-</w:t>
            </w:r>
          </w:p>
        </w:tc>
        <w:tc>
          <w:tcPr>
            <w:tcW w:w="542" w:type="dxa"/>
            <w:tcBorders>
              <w:top w:val="single" w:sz="4" w:space="0" w:color="000000"/>
              <w:bottom w:val="single" w:sz="4" w:space="0" w:color="000000"/>
            </w:tcBorders>
          </w:tcPr>
          <w:p>
            <w:pPr>
              <w:pStyle w:val="TableParagraph"/>
              <w:spacing w:before="23"/>
              <w:ind w:right="51"/>
              <w:rPr>
                <w:b/>
                <w:sz w:val="14"/>
              </w:rPr>
            </w:pPr>
            <w:r>
              <w:rPr>
                <w:b/>
                <w:spacing w:val="-2"/>
                <w:sz w:val="14"/>
              </w:rPr>
              <w:t>(1.00)</w:t>
            </w:r>
          </w:p>
        </w:tc>
      </w:tr>
      <w:tr>
        <w:trPr>
          <w:trHeight w:val="229" w:hRule="atLeast"/>
        </w:trPr>
        <w:tc>
          <w:tcPr>
            <w:tcW w:w="1189" w:type="dxa"/>
            <w:tcBorders>
              <w:top w:val="single" w:sz="4" w:space="0" w:color="000000"/>
              <w:bottom w:val="single" w:sz="12" w:space="0" w:color="000000"/>
            </w:tcBorders>
          </w:tcPr>
          <w:p>
            <w:pPr>
              <w:pStyle w:val="TableParagraph"/>
              <w:spacing w:before="28"/>
              <w:ind w:left="72"/>
              <w:jc w:val="left"/>
              <w:rPr>
                <w:b/>
                <w:sz w:val="14"/>
              </w:rPr>
            </w:pPr>
            <w:r>
              <w:rPr>
                <w:b/>
                <w:sz w:val="14"/>
              </w:rPr>
              <w:t>Proposed</w:t>
            </w:r>
            <w:r>
              <w:rPr>
                <w:b/>
                <w:spacing w:val="-6"/>
                <w:sz w:val="14"/>
              </w:rPr>
              <w:t> </w:t>
            </w:r>
            <w:r>
              <w:rPr>
                <w:b/>
                <w:spacing w:val="-4"/>
                <w:sz w:val="14"/>
              </w:rPr>
              <w:t>2023</w:t>
            </w:r>
          </w:p>
        </w:tc>
        <w:tc>
          <w:tcPr>
            <w:tcW w:w="669" w:type="dxa"/>
            <w:tcBorders>
              <w:top w:val="single" w:sz="4" w:space="0" w:color="000000"/>
              <w:bottom w:val="single" w:sz="12" w:space="0" w:color="000000"/>
            </w:tcBorders>
          </w:tcPr>
          <w:p>
            <w:pPr>
              <w:pStyle w:val="TableParagraph"/>
              <w:spacing w:before="28"/>
              <w:ind w:right="148"/>
              <w:rPr>
                <w:sz w:val="14"/>
              </w:rPr>
            </w:pPr>
            <w:r>
              <w:rPr>
                <w:w w:val="99"/>
                <w:sz w:val="14"/>
              </w:rPr>
              <w:t>-</w:t>
            </w:r>
          </w:p>
        </w:tc>
        <w:tc>
          <w:tcPr>
            <w:tcW w:w="598" w:type="dxa"/>
            <w:tcBorders>
              <w:top w:val="single" w:sz="4" w:space="0" w:color="000000"/>
              <w:bottom w:val="single" w:sz="12" w:space="0" w:color="000000"/>
            </w:tcBorders>
          </w:tcPr>
          <w:p>
            <w:pPr>
              <w:pStyle w:val="TableParagraph"/>
              <w:spacing w:before="28"/>
              <w:ind w:right="169"/>
              <w:rPr>
                <w:sz w:val="14"/>
              </w:rPr>
            </w:pPr>
            <w:r>
              <w:rPr>
                <w:w w:val="99"/>
                <w:sz w:val="14"/>
              </w:rPr>
              <w:t>-</w:t>
            </w:r>
          </w:p>
        </w:tc>
        <w:tc>
          <w:tcPr>
            <w:tcW w:w="558" w:type="dxa"/>
            <w:tcBorders>
              <w:top w:val="single" w:sz="4" w:space="0" w:color="000000"/>
              <w:bottom w:val="single" w:sz="12" w:space="0" w:color="000000"/>
            </w:tcBorders>
          </w:tcPr>
          <w:p>
            <w:pPr>
              <w:pStyle w:val="TableParagraph"/>
              <w:spacing w:before="28"/>
              <w:ind w:right="171"/>
              <w:rPr>
                <w:sz w:val="14"/>
              </w:rPr>
            </w:pPr>
            <w:r>
              <w:rPr>
                <w:w w:val="99"/>
                <w:sz w:val="14"/>
              </w:rPr>
              <w:t>-</w:t>
            </w:r>
          </w:p>
        </w:tc>
        <w:tc>
          <w:tcPr>
            <w:tcW w:w="574" w:type="dxa"/>
            <w:tcBorders>
              <w:top w:val="single" w:sz="4" w:space="0" w:color="000000"/>
              <w:bottom w:val="single" w:sz="12" w:space="0" w:color="000000"/>
            </w:tcBorders>
          </w:tcPr>
          <w:p>
            <w:pPr>
              <w:pStyle w:val="TableParagraph"/>
              <w:spacing w:before="28"/>
              <w:ind w:right="188"/>
              <w:rPr>
                <w:sz w:val="14"/>
              </w:rPr>
            </w:pPr>
            <w:r>
              <w:rPr>
                <w:w w:val="99"/>
                <w:sz w:val="14"/>
              </w:rPr>
              <w:t>-</w:t>
            </w:r>
          </w:p>
        </w:tc>
        <w:tc>
          <w:tcPr>
            <w:tcW w:w="534" w:type="dxa"/>
            <w:tcBorders>
              <w:top w:val="single" w:sz="4" w:space="0" w:color="000000"/>
              <w:bottom w:val="single" w:sz="12" w:space="0" w:color="000000"/>
            </w:tcBorders>
          </w:tcPr>
          <w:p>
            <w:pPr>
              <w:pStyle w:val="TableParagraph"/>
              <w:spacing w:before="28"/>
              <w:ind w:left="182"/>
              <w:jc w:val="center"/>
              <w:rPr>
                <w:sz w:val="14"/>
              </w:rPr>
            </w:pPr>
            <w:r>
              <w:rPr>
                <w:w w:val="99"/>
                <w:sz w:val="14"/>
              </w:rPr>
              <w:t>-</w:t>
            </w:r>
          </w:p>
        </w:tc>
        <w:tc>
          <w:tcPr>
            <w:tcW w:w="684" w:type="dxa"/>
            <w:tcBorders>
              <w:top w:val="single" w:sz="4" w:space="0" w:color="000000"/>
              <w:bottom w:val="single" w:sz="12" w:space="0" w:color="000000"/>
            </w:tcBorders>
          </w:tcPr>
          <w:p>
            <w:pPr>
              <w:pStyle w:val="TableParagraph"/>
              <w:spacing w:before="28"/>
              <w:ind w:right="196"/>
              <w:rPr>
                <w:sz w:val="14"/>
              </w:rPr>
            </w:pPr>
            <w:r>
              <w:rPr>
                <w:w w:val="99"/>
                <w:sz w:val="14"/>
              </w:rPr>
              <w:t>-</w:t>
            </w:r>
          </w:p>
        </w:tc>
        <w:tc>
          <w:tcPr>
            <w:tcW w:w="658" w:type="dxa"/>
            <w:tcBorders>
              <w:top w:val="single" w:sz="4" w:space="0" w:color="000000"/>
              <w:bottom w:val="single" w:sz="12" w:space="0" w:color="000000"/>
            </w:tcBorders>
          </w:tcPr>
          <w:p>
            <w:pPr>
              <w:pStyle w:val="TableParagraph"/>
              <w:spacing w:before="28"/>
              <w:ind w:right="268"/>
              <w:rPr>
                <w:sz w:val="14"/>
              </w:rPr>
            </w:pPr>
            <w:r>
              <w:rPr>
                <w:w w:val="99"/>
                <w:sz w:val="14"/>
              </w:rPr>
              <w:t>-</w:t>
            </w:r>
          </w:p>
        </w:tc>
        <w:tc>
          <w:tcPr>
            <w:tcW w:w="658" w:type="dxa"/>
            <w:tcBorders>
              <w:top w:val="single" w:sz="4" w:space="0" w:color="000000"/>
              <w:bottom w:val="single" w:sz="12" w:space="0" w:color="000000"/>
            </w:tcBorders>
          </w:tcPr>
          <w:p>
            <w:pPr>
              <w:pStyle w:val="TableParagraph"/>
              <w:spacing w:before="28"/>
              <w:ind w:right="191"/>
              <w:rPr>
                <w:sz w:val="14"/>
              </w:rPr>
            </w:pPr>
            <w:r>
              <w:rPr>
                <w:w w:val="99"/>
                <w:sz w:val="14"/>
              </w:rPr>
              <w:t>-</w:t>
            </w:r>
          </w:p>
        </w:tc>
        <w:tc>
          <w:tcPr>
            <w:tcW w:w="458" w:type="dxa"/>
            <w:tcBorders>
              <w:top w:val="single" w:sz="4" w:space="0" w:color="000000"/>
              <w:bottom w:val="single" w:sz="12" w:space="0" w:color="000000"/>
            </w:tcBorders>
          </w:tcPr>
          <w:p>
            <w:pPr>
              <w:pStyle w:val="TableParagraph"/>
              <w:spacing w:before="28"/>
              <w:ind w:right="68"/>
              <w:rPr>
                <w:sz w:val="14"/>
              </w:rPr>
            </w:pPr>
            <w:r>
              <w:rPr>
                <w:w w:val="99"/>
                <w:sz w:val="14"/>
              </w:rPr>
              <w:t>-</w:t>
            </w:r>
          </w:p>
        </w:tc>
        <w:tc>
          <w:tcPr>
            <w:tcW w:w="791" w:type="dxa"/>
            <w:tcBorders>
              <w:top w:val="single" w:sz="4" w:space="0" w:color="000000"/>
              <w:bottom w:val="single" w:sz="12" w:space="0" w:color="000000"/>
            </w:tcBorders>
          </w:tcPr>
          <w:p>
            <w:pPr>
              <w:pStyle w:val="TableParagraph"/>
              <w:spacing w:before="28"/>
              <w:ind w:right="124"/>
              <w:rPr>
                <w:i/>
                <w:sz w:val="14"/>
              </w:rPr>
            </w:pPr>
            <w:r>
              <w:rPr>
                <w:i/>
                <w:w w:val="99"/>
                <w:sz w:val="14"/>
              </w:rPr>
              <w:t>-</w:t>
            </w:r>
          </w:p>
        </w:tc>
        <w:tc>
          <w:tcPr>
            <w:tcW w:w="560" w:type="dxa"/>
            <w:tcBorders>
              <w:top w:val="single" w:sz="4" w:space="0" w:color="000000"/>
              <w:bottom w:val="single" w:sz="12" w:space="0" w:color="000000"/>
            </w:tcBorders>
          </w:tcPr>
          <w:p>
            <w:pPr>
              <w:pStyle w:val="TableParagraph"/>
              <w:spacing w:before="28"/>
              <w:ind w:right="98"/>
              <w:rPr>
                <w:sz w:val="14"/>
              </w:rPr>
            </w:pPr>
            <w:r>
              <w:rPr>
                <w:w w:val="99"/>
                <w:sz w:val="14"/>
              </w:rPr>
              <w:t>-</w:t>
            </w:r>
          </w:p>
        </w:tc>
        <w:tc>
          <w:tcPr>
            <w:tcW w:w="572" w:type="dxa"/>
            <w:tcBorders>
              <w:top w:val="single" w:sz="4" w:space="0" w:color="000000"/>
              <w:bottom w:val="single" w:sz="12" w:space="0" w:color="000000"/>
            </w:tcBorders>
          </w:tcPr>
          <w:p>
            <w:pPr>
              <w:pStyle w:val="TableParagraph"/>
              <w:spacing w:before="28"/>
              <w:ind w:right="84"/>
              <w:rPr>
                <w:sz w:val="14"/>
              </w:rPr>
            </w:pPr>
            <w:r>
              <w:rPr>
                <w:w w:val="99"/>
                <w:sz w:val="14"/>
              </w:rPr>
              <w:t>-</w:t>
            </w:r>
          </w:p>
        </w:tc>
        <w:tc>
          <w:tcPr>
            <w:tcW w:w="559" w:type="dxa"/>
            <w:tcBorders>
              <w:top w:val="single" w:sz="4" w:space="0" w:color="000000"/>
              <w:bottom w:val="single" w:sz="12" w:space="0" w:color="000000"/>
            </w:tcBorders>
          </w:tcPr>
          <w:p>
            <w:pPr>
              <w:pStyle w:val="TableParagraph"/>
              <w:spacing w:before="28"/>
              <w:ind w:right="58"/>
              <w:rPr>
                <w:sz w:val="14"/>
              </w:rPr>
            </w:pPr>
            <w:r>
              <w:rPr>
                <w:w w:val="99"/>
                <w:sz w:val="14"/>
              </w:rPr>
              <w:t>-</w:t>
            </w:r>
          </w:p>
        </w:tc>
        <w:tc>
          <w:tcPr>
            <w:tcW w:w="829" w:type="dxa"/>
            <w:tcBorders>
              <w:top w:val="single" w:sz="4" w:space="0" w:color="000000"/>
              <w:bottom w:val="single" w:sz="12" w:space="0" w:color="000000"/>
            </w:tcBorders>
          </w:tcPr>
          <w:p>
            <w:pPr>
              <w:pStyle w:val="TableParagraph"/>
              <w:spacing w:before="28"/>
              <w:ind w:right="147"/>
              <w:rPr>
                <w:i/>
                <w:sz w:val="14"/>
              </w:rPr>
            </w:pPr>
            <w:r>
              <w:rPr>
                <w:i/>
                <w:w w:val="99"/>
                <w:sz w:val="14"/>
              </w:rPr>
              <w:t>-</w:t>
            </w:r>
          </w:p>
        </w:tc>
        <w:tc>
          <w:tcPr>
            <w:tcW w:w="542" w:type="dxa"/>
            <w:tcBorders>
              <w:top w:val="single" w:sz="4" w:space="0" w:color="000000"/>
              <w:bottom w:val="single" w:sz="12" w:space="0" w:color="000000"/>
            </w:tcBorders>
          </w:tcPr>
          <w:p>
            <w:pPr>
              <w:pStyle w:val="TableParagraph"/>
              <w:spacing w:before="28"/>
              <w:ind w:right="55"/>
              <w:rPr>
                <w:sz w:val="14"/>
              </w:rPr>
            </w:pPr>
            <w:r>
              <w:rPr>
                <w:w w:val="99"/>
                <w:sz w:val="14"/>
              </w:rPr>
              <w:t>-</w:t>
            </w:r>
          </w:p>
        </w:tc>
      </w:tr>
    </w:tbl>
    <w:p>
      <w:pPr>
        <w:spacing w:after="0"/>
        <w:rPr>
          <w:sz w:val="14"/>
        </w:rPr>
        <w:sectPr>
          <w:headerReference w:type="even" r:id="rId83"/>
          <w:headerReference w:type="default" r:id="rId84"/>
          <w:footerReference w:type="even" r:id="rId85"/>
          <w:footerReference w:type="default" r:id="rId86"/>
          <w:pgSz w:w="11910" w:h="16840"/>
          <w:pgMar w:header="953" w:footer="940" w:top="1140" w:bottom="1140" w:left="20" w:right="20"/>
          <w:pgNumType w:start="106"/>
        </w:sectPr>
      </w:pPr>
    </w:p>
    <w:p>
      <w:pPr>
        <w:pStyle w:val="ListParagraph"/>
        <w:numPr>
          <w:ilvl w:val="2"/>
          <w:numId w:val="3"/>
        </w:numPr>
        <w:tabs>
          <w:tab w:pos="2246" w:val="left" w:leader="none"/>
          <w:tab w:pos="2247" w:val="left" w:leader="none"/>
        </w:tabs>
        <w:spacing w:line="491" w:lineRule="auto" w:before="120" w:after="0"/>
        <w:ind w:left="2246" w:right="5185" w:hanging="567"/>
        <w:jc w:val="left"/>
        <w:rPr>
          <w:b/>
          <w:sz w:val="20"/>
        </w:rPr>
      </w:pPr>
      <w:bookmarkStart w:name="_bookmark36" w:id="37"/>
      <w:bookmarkEnd w:id="37"/>
      <w:r>
        <w:rPr>
          <w:b/>
          <w:sz w:val="20"/>
        </w:rPr>
        <w:t>P</w:t>
      </w:r>
      <w:r>
        <w:rPr>
          <w:b/>
          <w:sz w:val="20"/>
        </w:rPr>
        <w:t>rogramme</w:t>
      </w:r>
      <w:r>
        <w:rPr>
          <w:b/>
          <w:spacing w:val="-5"/>
          <w:sz w:val="20"/>
        </w:rPr>
        <w:t> </w:t>
      </w:r>
      <w:r>
        <w:rPr>
          <w:b/>
          <w:sz w:val="20"/>
        </w:rPr>
        <w:t>3200:</w:t>
      </w:r>
      <w:r>
        <w:rPr>
          <w:b/>
          <w:spacing w:val="-3"/>
          <w:sz w:val="20"/>
        </w:rPr>
        <w:t> </w:t>
      </w:r>
      <w:r>
        <w:rPr>
          <w:b/>
          <w:sz w:val="20"/>
        </w:rPr>
        <w:t>Division</w:t>
      </w:r>
      <w:r>
        <w:rPr>
          <w:b/>
          <w:spacing w:val="-8"/>
          <w:sz w:val="20"/>
        </w:rPr>
        <w:t> </w:t>
      </w:r>
      <w:r>
        <w:rPr>
          <w:b/>
          <w:sz w:val="20"/>
        </w:rPr>
        <w:t>of</w:t>
      </w:r>
      <w:r>
        <w:rPr>
          <w:b/>
          <w:spacing w:val="-7"/>
          <w:sz w:val="20"/>
        </w:rPr>
        <w:t> </w:t>
      </w:r>
      <w:r>
        <w:rPr>
          <w:b/>
          <w:sz w:val="20"/>
        </w:rPr>
        <w:t>Management</w:t>
      </w:r>
      <w:r>
        <w:rPr>
          <w:b/>
          <w:spacing w:val="-7"/>
          <w:sz w:val="20"/>
        </w:rPr>
        <w:t> </w:t>
      </w:r>
      <w:r>
        <w:rPr>
          <w:b/>
          <w:sz w:val="20"/>
        </w:rPr>
        <w:t>Services Mandate and responsibilities</w:t>
      </w:r>
    </w:p>
    <w:p>
      <w:pPr>
        <w:pStyle w:val="ListParagraph"/>
        <w:numPr>
          <w:ilvl w:val="0"/>
          <w:numId w:val="4"/>
        </w:numPr>
        <w:tabs>
          <w:tab w:pos="2967" w:val="left" w:leader="none"/>
        </w:tabs>
        <w:spacing w:line="240" w:lineRule="auto" w:before="0" w:after="0"/>
        <w:ind w:left="2246" w:right="2240" w:firstLine="0"/>
        <w:jc w:val="both"/>
        <w:rPr>
          <w:sz w:val="20"/>
        </w:rPr>
      </w:pPr>
      <w:bookmarkStart w:name="_bookmark37" w:id="38"/>
      <w:bookmarkEnd w:id="38"/>
      <w:r>
        <w:rPr>
          <w:sz w:val="20"/>
        </w:rPr>
        <w:t>T</w:t>
      </w:r>
      <w:r>
        <w:rPr>
          <w:sz w:val="20"/>
        </w:rPr>
        <w:t>he Division of Management Services (DMS or “the Division”) provides administrative and management services to support the operations of the Court as a whole. DMS is led</w:t>
      </w:r>
      <w:r>
        <w:rPr>
          <w:spacing w:val="-4"/>
          <w:sz w:val="20"/>
        </w:rPr>
        <w:t> </w:t>
      </w:r>
      <w:r>
        <w:rPr>
          <w:sz w:val="20"/>
        </w:rPr>
        <w:t>by</w:t>
      </w:r>
      <w:r>
        <w:rPr>
          <w:spacing w:val="-4"/>
          <w:sz w:val="20"/>
        </w:rPr>
        <w:t> </w:t>
      </w:r>
      <w:r>
        <w:rPr>
          <w:sz w:val="20"/>
        </w:rPr>
        <w:t>the</w:t>
      </w:r>
      <w:r>
        <w:rPr>
          <w:spacing w:val="-2"/>
          <w:sz w:val="20"/>
        </w:rPr>
        <w:t> </w:t>
      </w:r>
      <w:r>
        <w:rPr>
          <w:sz w:val="20"/>
        </w:rPr>
        <w:t>Director,</w:t>
      </w:r>
      <w:r>
        <w:rPr>
          <w:spacing w:val="-1"/>
          <w:sz w:val="20"/>
        </w:rPr>
        <w:t> </w:t>
      </w:r>
      <w:r>
        <w:rPr>
          <w:sz w:val="20"/>
        </w:rPr>
        <w:t>Division</w:t>
      </w:r>
      <w:r>
        <w:rPr>
          <w:spacing w:val="-4"/>
          <w:sz w:val="20"/>
        </w:rPr>
        <w:t> </w:t>
      </w:r>
      <w:r>
        <w:rPr>
          <w:sz w:val="20"/>
        </w:rPr>
        <w:t>of</w:t>
      </w:r>
      <w:r>
        <w:rPr>
          <w:spacing w:val="-4"/>
          <w:sz w:val="20"/>
        </w:rPr>
        <w:t> </w:t>
      </w:r>
      <w:r>
        <w:rPr>
          <w:sz w:val="20"/>
        </w:rPr>
        <w:t>Management</w:t>
      </w:r>
      <w:r>
        <w:rPr>
          <w:spacing w:val="-2"/>
          <w:sz w:val="20"/>
        </w:rPr>
        <w:t> </w:t>
      </w:r>
      <w:r>
        <w:rPr>
          <w:sz w:val="20"/>
        </w:rPr>
        <w:t>Services,</w:t>
      </w:r>
      <w:r>
        <w:rPr>
          <w:spacing w:val="-1"/>
          <w:sz w:val="20"/>
        </w:rPr>
        <w:t> </w:t>
      </w:r>
      <w:r>
        <w:rPr>
          <w:sz w:val="20"/>
        </w:rPr>
        <w:t>and</w:t>
      </w:r>
      <w:r>
        <w:rPr>
          <w:spacing w:val="-4"/>
          <w:sz w:val="20"/>
        </w:rPr>
        <w:t> </w:t>
      </w:r>
      <w:r>
        <w:rPr>
          <w:sz w:val="20"/>
        </w:rPr>
        <w:t>consists of</w:t>
      </w:r>
      <w:r>
        <w:rPr>
          <w:spacing w:val="-4"/>
          <w:sz w:val="20"/>
        </w:rPr>
        <w:t> </w:t>
      </w:r>
      <w:r>
        <w:rPr>
          <w:sz w:val="20"/>
        </w:rPr>
        <w:t>the Office</w:t>
      </w:r>
      <w:r>
        <w:rPr>
          <w:spacing w:val="-2"/>
          <w:sz w:val="20"/>
        </w:rPr>
        <w:t> </w:t>
      </w:r>
      <w:r>
        <w:rPr>
          <w:sz w:val="20"/>
        </w:rPr>
        <w:t>of the</w:t>
      </w:r>
      <w:r>
        <w:rPr>
          <w:spacing w:val="-3"/>
          <w:sz w:val="20"/>
        </w:rPr>
        <w:t> </w:t>
      </w:r>
      <w:r>
        <w:rPr>
          <w:sz w:val="20"/>
        </w:rPr>
        <w:t>Director</w:t>
      </w:r>
      <w:r>
        <w:rPr>
          <w:spacing w:val="-9"/>
          <w:sz w:val="20"/>
        </w:rPr>
        <w:t> </w:t>
      </w:r>
      <w:r>
        <w:rPr>
          <w:sz w:val="20"/>
        </w:rPr>
        <w:t>(OD-DMS),</w:t>
      </w:r>
      <w:r>
        <w:rPr>
          <w:spacing w:val="-7"/>
          <w:sz w:val="20"/>
        </w:rPr>
        <w:t> </w:t>
      </w:r>
      <w:r>
        <w:rPr>
          <w:sz w:val="20"/>
        </w:rPr>
        <w:t>the</w:t>
      </w:r>
      <w:r>
        <w:rPr>
          <w:spacing w:val="-8"/>
          <w:sz w:val="20"/>
        </w:rPr>
        <w:t> </w:t>
      </w:r>
      <w:r>
        <w:rPr>
          <w:sz w:val="20"/>
        </w:rPr>
        <w:t>Human</w:t>
      </w:r>
      <w:r>
        <w:rPr>
          <w:spacing w:val="-5"/>
          <w:sz w:val="20"/>
        </w:rPr>
        <w:t> </w:t>
      </w:r>
      <w:r>
        <w:rPr>
          <w:sz w:val="20"/>
        </w:rPr>
        <w:t>Resources</w:t>
      </w:r>
      <w:r>
        <w:rPr>
          <w:spacing w:val="-6"/>
          <w:sz w:val="20"/>
        </w:rPr>
        <w:t> </w:t>
      </w:r>
      <w:r>
        <w:rPr>
          <w:sz w:val="20"/>
        </w:rPr>
        <w:t>Section</w:t>
      </w:r>
      <w:r>
        <w:rPr>
          <w:spacing w:val="-5"/>
          <w:sz w:val="20"/>
        </w:rPr>
        <w:t> </w:t>
      </w:r>
      <w:r>
        <w:rPr>
          <w:sz w:val="20"/>
        </w:rPr>
        <w:t>(HRS),</w:t>
      </w:r>
      <w:r>
        <w:rPr>
          <w:spacing w:val="-2"/>
          <w:sz w:val="20"/>
        </w:rPr>
        <w:t> </w:t>
      </w:r>
      <w:r>
        <w:rPr>
          <w:sz w:val="20"/>
        </w:rPr>
        <w:t>the</w:t>
      </w:r>
      <w:r>
        <w:rPr>
          <w:spacing w:val="-3"/>
          <w:sz w:val="20"/>
        </w:rPr>
        <w:t> </w:t>
      </w:r>
      <w:r>
        <w:rPr>
          <w:sz w:val="20"/>
        </w:rPr>
        <w:t>Budget</w:t>
      </w:r>
      <w:r>
        <w:rPr>
          <w:spacing w:val="-3"/>
          <w:sz w:val="20"/>
        </w:rPr>
        <w:t> </w:t>
      </w:r>
      <w:r>
        <w:rPr>
          <w:sz w:val="20"/>
        </w:rPr>
        <w:t>Section</w:t>
      </w:r>
      <w:r>
        <w:rPr>
          <w:spacing w:val="-5"/>
          <w:sz w:val="20"/>
        </w:rPr>
        <w:t> </w:t>
      </w:r>
      <w:r>
        <w:rPr>
          <w:sz w:val="20"/>
        </w:rPr>
        <w:t>(BS),</w:t>
      </w:r>
      <w:r>
        <w:rPr>
          <w:spacing w:val="-7"/>
          <w:sz w:val="20"/>
        </w:rPr>
        <w:t> </w:t>
      </w:r>
      <w:r>
        <w:rPr>
          <w:sz w:val="20"/>
        </w:rPr>
        <w:t>the Finance Section (FS), the General Services Section (GSS) and the Security and Safety Section (SSS).</w:t>
      </w:r>
    </w:p>
    <w:p>
      <w:pPr>
        <w:pStyle w:val="ListParagraph"/>
        <w:numPr>
          <w:ilvl w:val="0"/>
          <w:numId w:val="4"/>
        </w:numPr>
        <w:tabs>
          <w:tab w:pos="2967" w:val="left" w:leader="none"/>
        </w:tabs>
        <w:spacing w:line="240" w:lineRule="auto" w:before="121" w:after="0"/>
        <w:ind w:left="2246" w:right="2239" w:firstLine="0"/>
        <w:jc w:val="both"/>
        <w:rPr>
          <w:sz w:val="20"/>
        </w:rPr>
      </w:pPr>
      <w:r>
        <w:rPr>
          <w:sz w:val="20"/>
        </w:rPr>
        <w:t>OD-DMS is responsible for the overall direction and delivery of all administrative and</w:t>
      </w:r>
      <w:r>
        <w:rPr>
          <w:spacing w:val="-13"/>
          <w:sz w:val="20"/>
        </w:rPr>
        <w:t> </w:t>
      </w:r>
      <w:r>
        <w:rPr>
          <w:sz w:val="20"/>
        </w:rPr>
        <w:t>managerial</w:t>
      </w:r>
      <w:r>
        <w:rPr>
          <w:spacing w:val="-12"/>
          <w:sz w:val="20"/>
        </w:rPr>
        <w:t> </w:t>
      </w:r>
      <w:r>
        <w:rPr>
          <w:sz w:val="20"/>
        </w:rPr>
        <w:t>support</w:t>
      </w:r>
      <w:r>
        <w:rPr>
          <w:spacing w:val="-12"/>
          <w:sz w:val="20"/>
        </w:rPr>
        <w:t> </w:t>
      </w:r>
      <w:r>
        <w:rPr>
          <w:sz w:val="20"/>
        </w:rPr>
        <w:t>to</w:t>
      </w:r>
      <w:r>
        <w:rPr>
          <w:spacing w:val="-13"/>
          <w:sz w:val="20"/>
        </w:rPr>
        <w:t> </w:t>
      </w:r>
      <w:r>
        <w:rPr>
          <w:sz w:val="20"/>
        </w:rPr>
        <w:t>the</w:t>
      </w:r>
      <w:r>
        <w:rPr>
          <w:spacing w:val="-11"/>
          <w:sz w:val="20"/>
        </w:rPr>
        <w:t> </w:t>
      </w:r>
      <w:r>
        <w:rPr>
          <w:sz w:val="20"/>
        </w:rPr>
        <w:t>Registry</w:t>
      </w:r>
      <w:r>
        <w:rPr>
          <w:spacing w:val="-13"/>
          <w:sz w:val="20"/>
        </w:rPr>
        <w:t> </w:t>
      </w:r>
      <w:r>
        <w:rPr>
          <w:sz w:val="20"/>
        </w:rPr>
        <w:t>and</w:t>
      </w:r>
      <w:r>
        <w:rPr>
          <w:spacing w:val="-12"/>
          <w:sz w:val="20"/>
        </w:rPr>
        <w:t> </w:t>
      </w:r>
      <w:r>
        <w:rPr>
          <w:sz w:val="20"/>
        </w:rPr>
        <w:t>the</w:t>
      </w:r>
      <w:r>
        <w:rPr>
          <w:spacing w:val="-7"/>
          <w:sz w:val="20"/>
        </w:rPr>
        <w:t> </w:t>
      </w:r>
      <w:r>
        <w:rPr>
          <w:sz w:val="20"/>
        </w:rPr>
        <w:t>Court.</w:t>
      </w:r>
      <w:r>
        <w:rPr>
          <w:spacing w:val="-6"/>
          <w:sz w:val="20"/>
        </w:rPr>
        <w:t> </w:t>
      </w:r>
      <w:r>
        <w:rPr>
          <w:sz w:val="20"/>
        </w:rPr>
        <w:t>It</w:t>
      </w:r>
      <w:r>
        <w:rPr>
          <w:spacing w:val="-12"/>
          <w:sz w:val="20"/>
        </w:rPr>
        <w:t> </w:t>
      </w:r>
      <w:r>
        <w:rPr>
          <w:sz w:val="20"/>
        </w:rPr>
        <w:t>is</w:t>
      </w:r>
      <w:r>
        <w:rPr>
          <w:spacing w:val="-10"/>
          <w:sz w:val="20"/>
        </w:rPr>
        <w:t> </w:t>
      </w:r>
      <w:r>
        <w:rPr>
          <w:sz w:val="20"/>
        </w:rPr>
        <w:t>responsible</w:t>
      </w:r>
      <w:r>
        <w:rPr>
          <w:spacing w:val="-7"/>
          <w:sz w:val="20"/>
        </w:rPr>
        <w:t> </w:t>
      </w:r>
      <w:r>
        <w:rPr>
          <w:sz w:val="20"/>
        </w:rPr>
        <w:t>for</w:t>
      </w:r>
      <w:r>
        <w:rPr>
          <w:spacing w:val="-13"/>
          <w:sz w:val="20"/>
        </w:rPr>
        <w:t> </w:t>
      </w:r>
      <w:r>
        <w:rPr>
          <w:sz w:val="20"/>
        </w:rPr>
        <w:t>a</w:t>
      </w:r>
      <w:r>
        <w:rPr>
          <w:spacing w:val="-7"/>
          <w:sz w:val="20"/>
        </w:rPr>
        <w:t> </w:t>
      </w:r>
      <w:r>
        <w:rPr>
          <w:sz w:val="20"/>
        </w:rPr>
        <w:t>number</w:t>
      </w:r>
      <w:r>
        <w:rPr>
          <w:spacing w:val="-13"/>
          <w:sz w:val="20"/>
        </w:rPr>
        <w:t> </w:t>
      </w:r>
      <w:r>
        <w:rPr>
          <w:sz w:val="20"/>
        </w:rPr>
        <w:t>of</w:t>
      </w:r>
      <w:r>
        <w:rPr>
          <w:spacing w:val="-12"/>
          <w:sz w:val="20"/>
        </w:rPr>
        <w:t> </w:t>
      </w:r>
      <w:r>
        <w:rPr>
          <w:sz w:val="20"/>
        </w:rPr>
        <w:t>critical executive functions</w:t>
      </w:r>
      <w:r>
        <w:rPr>
          <w:spacing w:val="-1"/>
          <w:sz w:val="20"/>
        </w:rPr>
        <w:t> </w:t>
      </w:r>
      <w:r>
        <w:rPr>
          <w:sz w:val="20"/>
        </w:rPr>
        <w:t>including strategic resource planning and monitoring, risk management and reporting on organizational performance. OD-DMS coordinates audit compliance throughout the Court as well as Court-wide efforts to meet the reporting requirements of oversight bodies including the Committee, the Audit Committee and The Hague and New York Working Groups. It provides the strategic framework</w:t>
      </w:r>
      <w:r>
        <w:rPr>
          <w:spacing w:val="-1"/>
          <w:sz w:val="20"/>
        </w:rPr>
        <w:t> </w:t>
      </w:r>
      <w:r>
        <w:rPr>
          <w:sz w:val="20"/>
        </w:rPr>
        <w:t>and operational support for the use of</w:t>
      </w:r>
      <w:r>
        <w:rPr>
          <w:spacing w:val="-4"/>
          <w:sz w:val="20"/>
        </w:rPr>
        <w:t> </w:t>
      </w:r>
      <w:r>
        <w:rPr>
          <w:sz w:val="20"/>
        </w:rPr>
        <w:t>the</w:t>
      </w:r>
      <w:r>
        <w:rPr>
          <w:spacing w:val="-2"/>
          <w:sz w:val="20"/>
        </w:rPr>
        <w:t> </w:t>
      </w:r>
      <w:r>
        <w:rPr>
          <w:sz w:val="20"/>
        </w:rPr>
        <w:t>Court’s Enterprise</w:t>
      </w:r>
      <w:r>
        <w:rPr>
          <w:spacing w:val="-2"/>
          <w:sz w:val="20"/>
        </w:rPr>
        <w:t> </w:t>
      </w:r>
      <w:r>
        <w:rPr>
          <w:sz w:val="20"/>
        </w:rPr>
        <w:t>Resource Planning (ERP) system, SAP, through</w:t>
      </w:r>
      <w:r>
        <w:rPr>
          <w:spacing w:val="-4"/>
          <w:sz w:val="20"/>
        </w:rPr>
        <w:t> </w:t>
      </w:r>
      <w:r>
        <w:rPr>
          <w:sz w:val="20"/>
        </w:rPr>
        <w:t>its</w:t>
      </w:r>
      <w:r>
        <w:rPr>
          <w:spacing w:val="-1"/>
          <w:sz w:val="20"/>
        </w:rPr>
        <w:t> </w:t>
      </w:r>
      <w:r>
        <w:rPr>
          <w:sz w:val="20"/>
        </w:rPr>
        <w:t>SAP</w:t>
      </w:r>
      <w:r>
        <w:rPr>
          <w:spacing w:val="-1"/>
          <w:sz w:val="20"/>
        </w:rPr>
        <w:t> </w:t>
      </w:r>
      <w:r>
        <w:rPr>
          <w:sz w:val="20"/>
        </w:rPr>
        <w:t>team, and supports the delivery of SAP-related projects aimed at automating work processes.</w:t>
      </w:r>
      <w:r>
        <w:rPr>
          <w:spacing w:val="80"/>
          <w:sz w:val="20"/>
        </w:rPr>
        <w:t> </w:t>
      </w:r>
      <w:r>
        <w:rPr>
          <w:sz w:val="20"/>
        </w:rPr>
        <w:t>OD-DMS also implements policies and programmes to ensure the physical, mental and emotional well-being of staff through the Occupational Health Unit (OHU).</w:t>
      </w:r>
    </w:p>
    <w:p>
      <w:pPr>
        <w:pStyle w:val="ListParagraph"/>
        <w:numPr>
          <w:ilvl w:val="0"/>
          <w:numId w:val="4"/>
        </w:numPr>
        <w:tabs>
          <w:tab w:pos="2967" w:val="left" w:leader="none"/>
        </w:tabs>
        <w:spacing w:line="240" w:lineRule="auto" w:before="121" w:after="0"/>
        <w:ind w:left="2246" w:right="2242" w:firstLine="0"/>
        <w:jc w:val="both"/>
        <w:rPr>
          <w:sz w:val="20"/>
        </w:rPr>
      </w:pPr>
      <w:r>
        <w:rPr>
          <w:sz w:val="20"/>
        </w:rPr>
        <w:t>The Division provides a wide range of services in the area of human resources management, such as</w:t>
      </w:r>
      <w:r>
        <w:rPr>
          <w:spacing w:val="-1"/>
          <w:sz w:val="20"/>
        </w:rPr>
        <w:t> </w:t>
      </w:r>
      <w:r>
        <w:rPr>
          <w:sz w:val="20"/>
        </w:rPr>
        <w:t>strategic</w:t>
      </w:r>
      <w:r>
        <w:rPr>
          <w:spacing w:val="-3"/>
          <w:sz w:val="20"/>
        </w:rPr>
        <w:t> </w:t>
      </w:r>
      <w:r>
        <w:rPr>
          <w:sz w:val="20"/>
        </w:rPr>
        <w:t>advice on human resources</w:t>
      </w:r>
      <w:r>
        <w:rPr>
          <w:spacing w:val="-1"/>
          <w:sz w:val="20"/>
        </w:rPr>
        <w:t> </w:t>
      </w:r>
      <w:r>
        <w:rPr>
          <w:sz w:val="20"/>
        </w:rPr>
        <w:t>issues, policy development, staff grievances, recruitment, post management, administration of contracts</w:t>
      </w:r>
      <w:r>
        <w:rPr>
          <w:spacing w:val="-1"/>
          <w:sz w:val="20"/>
        </w:rPr>
        <w:t> </w:t>
      </w:r>
      <w:r>
        <w:rPr>
          <w:sz w:val="20"/>
        </w:rPr>
        <w:t>(staff and non-staff), benefits,</w:t>
      </w:r>
      <w:r>
        <w:rPr>
          <w:spacing w:val="-7"/>
          <w:sz w:val="20"/>
        </w:rPr>
        <w:t> </w:t>
      </w:r>
      <w:r>
        <w:rPr>
          <w:sz w:val="20"/>
        </w:rPr>
        <w:t>entitlements</w:t>
      </w:r>
      <w:r>
        <w:rPr>
          <w:spacing w:val="-10"/>
          <w:sz w:val="20"/>
        </w:rPr>
        <w:t> </w:t>
      </w:r>
      <w:r>
        <w:rPr>
          <w:sz w:val="20"/>
        </w:rPr>
        <w:t>and</w:t>
      </w:r>
      <w:r>
        <w:rPr>
          <w:spacing w:val="-9"/>
          <w:sz w:val="20"/>
        </w:rPr>
        <w:t> </w:t>
      </w:r>
      <w:r>
        <w:rPr>
          <w:sz w:val="20"/>
        </w:rPr>
        <w:t>payroll,</w:t>
      </w:r>
      <w:r>
        <w:rPr>
          <w:spacing w:val="-7"/>
          <w:sz w:val="20"/>
        </w:rPr>
        <w:t> </w:t>
      </w:r>
      <w:r>
        <w:rPr>
          <w:sz w:val="20"/>
        </w:rPr>
        <w:t>insurance</w:t>
      </w:r>
      <w:r>
        <w:rPr>
          <w:spacing w:val="-8"/>
          <w:sz w:val="20"/>
        </w:rPr>
        <w:t> </w:t>
      </w:r>
      <w:r>
        <w:rPr>
          <w:sz w:val="20"/>
        </w:rPr>
        <w:t>and</w:t>
      </w:r>
      <w:r>
        <w:rPr>
          <w:spacing w:val="-9"/>
          <w:sz w:val="20"/>
        </w:rPr>
        <w:t> </w:t>
      </w:r>
      <w:r>
        <w:rPr>
          <w:sz w:val="20"/>
        </w:rPr>
        <w:t>pension</w:t>
      </w:r>
      <w:r>
        <w:rPr>
          <w:spacing w:val="-9"/>
          <w:sz w:val="20"/>
        </w:rPr>
        <w:t> </w:t>
      </w:r>
      <w:r>
        <w:rPr>
          <w:sz w:val="20"/>
        </w:rPr>
        <w:t>matters.</w:t>
      </w:r>
      <w:r>
        <w:rPr>
          <w:spacing w:val="-7"/>
          <w:sz w:val="20"/>
        </w:rPr>
        <w:t> </w:t>
      </w:r>
      <w:r>
        <w:rPr>
          <w:sz w:val="20"/>
        </w:rPr>
        <w:t>Emphasis</w:t>
      </w:r>
      <w:r>
        <w:rPr>
          <w:spacing w:val="-10"/>
          <w:sz w:val="20"/>
        </w:rPr>
        <w:t> </w:t>
      </w:r>
      <w:r>
        <w:rPr>
          <w:sz w:val="20"/>
        </w:rPr>
        <w:t>is</w:t>
      </w:r>
      <w:r>
        <w:rPr>
          <w:spacing w:val="-10"/>
          <w:sz w:val="20"/>
        </w:rPr>
        <w:t> </w:t>
      </w:r>
      <w:r>
        <w:rPr>
          <w:sz w:val="20"/>
        </w:rPr>
        <w:t>also</w:t>
      </w:r>
      <w:r>
        <w:rPr>
          <w:spacing w:val="-9"/>
          <w:sz w:val="20"/>
        </w:rPr>
        <w:t> </w:t>
      </w:r>
      <w:r>
        <w:rPr>
          <w:sz w:val="20"/>
        </w:rPr>
        <w:t>placed</w:t>
      </w:r>
      <w:r>
        <w:rPr>
          <w:spacing w:val="-9"/>
          <w:sz w:val="20"/>
        </w:rPr>
        <w:t> </w:t>
      </w:r>
      <w:r>
        <w:rPr>
          <w:sz w:val="20"/>
        </w:rPr>
        <w:t>on performance management, staff training and managerial development. In relation to the Court’s budget process, the Division provides centralized budget oversight and ensures maximum</w:t>
      </w:r>
      <w:r>
        <w:rPr>
          <w:spacing w:val="-7"/>
          <w:sz w:val="20"/>
        </w:rPr>
        <w:t> </w:t>
      </w:r>
      <w:r>
        <w:rPr>
          <w:sz w:val="20"/>
        </w:rPr>
        <w:t>efficiency</w:t>
      </w:r>
      <w:r>
        <w:rPr>
          <w:spacing w:val="-8"/>
          <w:sz w:val="20"/>
        </w:rPr>
        <w:t> </w:t>
      </w:r>
      <w:r>
        <w:rPr>
          <w:sz w:val="20"/>
        </w:rPr>
        <w:t>in</w:t>
      </w:r>
      <w:r>
        <w:rPr>
          <w:spacing w:val="-8"/>
          <w:sz w:val="20"/>
        </w:rPr>
        <w:t> </w:t>
      </w:r>
      <w:r>
        <w:rPr>
          <w:sz w:val="20"/>
        </w:rPr>
        <w:t>the</w:t>
      </w:r>
      <w:r>
        <w:rPr>
          <w:spacing w:val="-7"/>
          <w:sz w:val="20"/>
        </w:rPr>
        <w:t> </w:t>
      </w:r>
      <w:r>
        <w:rPr>
          <w:sz w:val="20"/>
        </w:rPr>
        <w:t>utilization</w:t>
      </w:r>
      <w:r>
        <w:rPr>
          <w:spacing w:val="-8"/>
          <w:sz w:val="20"/>
        </w:rPr>
        <w:t> </w:t>
      </w:r>
      <w:r>
        <w:rPr>
          <w:sz w:val="20"/>
        </w:rPr>
        <w:t>of</w:t>
      </w:r>
      <w:r>
        <w:rPr>
          <w:spacing w:val="-8"/>
          <w:sz w:val="20"/>
        </w:rPr>
        <w:t> </w:t>
      </w:r>
      <w:r>
        <w:rPr>
          <w:sz w:val="20"/>
        </w:rPr>
        <w:t>resources.</w:t>
      </w:r>
      <w:r>
        <w:rPr>
          <w:spacing w:val="-11"/>
          <w:sz w:val="20"/>
        </w:rPr>
        <w:t> </w:t>
      </w:r>
      <w:r>
        <w:rPr>
          <w:sz w:val="20"/>
        </w:rPr>
        <w:t>This</w:t>
      </w:r>
      <w:r>
        <w:rPr>
          <w:spacing w:val="-10"/>
          <w:sz w:val="20"/>
        </w:rPr>
        <w:t> </w:t>
      </w:r>
      <w:r>
        <w:rPr>
          <w:sz w:val="20"/>
        </w:rPr>
        <w:t>includes</w:t>
      </w:r>
      <w:r>
        <w:rPr>
          <w:spacing w:val="-10"/>
          <w:sz w:val="20"/>
        </w:rPr>
        <w:t> </w:t>
      </w:r>
      <w:r>
        <w:rPr>
          <w:sz w:val="20"/>
        </w:rPr>
        <w:t>coordinating</w:t>
      </w:r>
      <w:r>
        <w:rPr>
          <w:spacing w:val="-8"/>
          <w:sz w:val="20"/>
        </w:rPr>
        <w:t> </w:t>
      </w:r>
      <w:r>
        <w:rPr>
          <w:sz w:val="20"/>
        </w:rPr>
        <w:t>and</w:t>
      </w:r>
      <w:r>
        <w:rPr>
          <w:spacing w:val="-8"/>
          <w:sz w:val="20"/>
        </w:rPr>
        <w:t> </w:t>
      </w:r>
      <w:r>
        <w:rPr>
          <w:sz w:val="20"/>
        </w:rPr>
        <w:t>preparing the annual programme budget, supplementary budgets</w:t>
      </w:r>
      <w:r>
        <w:rPr>
          <w:spacing w:val="-3"/>
          <w:sz w:val="20"/>
        </w:rPr>
        <w:t> </w:t>
      </w:r>
      <w:r>
        <w:rPr>
          <w:sz w:val="20"/>
        </w:rPr>
        <w:t>and</w:t>
      </w:r>
      <w:r>
        <w:rPr>
          <w:spacing w:val="-2"/>
          <w:sz w:val="20"/>
        </w:rPr>
        <w:t> </w:t>
      </w:r>
      <w:r>
        <w:rPr>
          <w:sz w:val="20"/>
        </w:rPr>
        <w:t>Contingency Fund notifications; monitoring budget performance; and reporting on budgetary issues. The Division is also responsible</w:t>
      </w:r>
      <w:r>
        <w:rPr>
          <w:spacing w:val="-4"/>
          <w:sz w:val="20"/>
        </w:rPr>
        <w:t> </w:t>
      </w:r>
      <w:r>
        <w:rPr>
          <w:sz w:val="20"/>
        </w:rPr>
        <w:t>for</w:t>
      </w:r>
      <w:r>
        <w:rPr>
          <w:spacing w:val="-9"/>
          <w:sz w:val="20"/>
        </w:rPr>
        <w:t> </w:t>
      </w:r>
      <w:r>
        <w:rPr>
          <w:sz w:val="20"/>
        </w:rPr>
        <w:t>monitoring,</w:t>
      </w:r>
      <w:r>
        <w:rPr>
          <w:spacing w:val="-3"/>
          <w:sz w:val="20"/>
        </w:rPr>
        <w:t> </w:t>
      </w:r>
      <w:r>
        <w:rPr>
          <w:sz w:val="20"/>
        </w:rPr>
        <w:t>evaluating,</w:t>
      </w:r>
      <w:r>
        <w:rPr>
          <w:spacing w:val="-3"/>
          <w:sz w:val="20"/>
        </w:rPr>
        <w:t> </w:t>
      </w:r>
      <w:r>
        <w:rPr>
          <w:sz w:val="20"/>
        </w:rPr>
        <w:t>forecasting</w:t>
      </w:r>
      <w:r>
        <w:rPr>
          <w:spacing w:val="-5"/>
          <w:sz w:val="20"/>
        </w:rPr>
        <w:t> </w:t>
      </w:r>
      <w:r>
        <w:rPr>
          <w:sz w:val="20"/>
        </w:rPr>
        <w:t>and</w:t>
      </w:r>
      <w:r>
        <w:rPr>
          <w:spacing w:val="-1"/>
          <w:sz w:val="20"/>
        </w:rPr>
        <w:t> </w:t>
      </w:r>
      <w:r>
        <w:rPr>
          <w:sz w:val="20"/>
        </w:rPr>
        <w:t>reporting</w:t>
      </w:r>
      <w:r>
        <w:rPr>
          <w:spacing w:val="-5"/>
          <w:sz w:val="20"/>
        </w:rPr>
        <w:t> </w:t>
      </w:r>
      <w:r>
        <w:rPr>
          <w:sz w:val="20"/>
        </w:rPr>
        <w:t>on</w:t>
      </w:r>
      <w:r>
        <w:rPr>
          <w:spacing w:val="-5"/>
          <w:sz w:val="20"/>
        </w:rPr>
        <w:t> </w:t>
      </w:r>
      <w:r>
        <w:rPr>
          <w:sz w:val="20"/>
        </w:rPr>
        <w:t>budget</w:t>
      </w:r>
      <w:r>
        <w:rPr>
          <w:spacing w:val="-4"/>
          <w:sz w:val="20"/>
        </w:rPr>
        <w:t> </w:t>
      </w:r>
      <w:r>
        <w:rPr>
          <w:sz w:val="20"/>
        </w:rPr>
        <w:t>implementation.</w:t>
      </w:r>
    </w:p>
    <w:p>
      <w:pPr>
        <w:pStyle w:val="ListParagraph"/>
        <w:numPr>
          <w:ilvl w:val="0"/>
          <w:numId w:val="4"/>
        </w:numPr>
        <w:tabs>
          <w:tab w:pos="2967" w:val="left" w:leader="none"/>
        </w:tabs>
        <w:spacing w:line="240" w:lineRule="auto" w:before="120" w:after="0"/>
        <w:ind w:left="2246" w:right="2238" w:firstLine="0"/>
        <w:jc w:val="both"/>
        <w:rPr>
          <w:sz w:val="20"/>
        </w:rPr>
      </w:pPr>
      <w:r>
        <w:rPr>
          <w:sz w:val="20"/>
        </w:rPr>
        <w:t>Furthermore,</w:t>
      </w:r>
      <w:r>
        <w:rPr>
          <w:spacing w:val="-12"/>
          <w:sz w:val="20"/>
        </w:rPr>
        <w:t> </w:t>
      </w:r>
      <w:r>
        <w:rPr>
          <w:sz w:val="20"/>
        </w:rPr>
        <w:t>the</w:t>
      </w:r>
      <w:r>
        <w:rPr>
          <w:spacing w:val="-9"/>
          <w:sz w:val="20"/>
        </w:rPr>
        <w:t> </w:t>
      </w:r>
      <w:r>
        <w:rPr>
          <w:sz w:val="20"/>
        </w:rPr>
        <w:t>Division</w:t>
      </w:r>
      <w:r>
        <w:rPr>
          <w:spacing w:val="-10"/>
          <w:sz w:val="20"/>
        </w:rPr>
        <w:t> </w:t>
      </w:r>
      <w:r>
        <w:rPr>
          <w:sz w:val="20"/>
        </w:rPr>
        <w:t>provides</w:t>
      </w:r>
      <w:r>
        <w:rPr>
          <w:spacing w:val="-12"/>
          <w:sz w:val="20"/>
        </w:rPr>
        <w:t> </w:t>
      </w:r>
      <w:r>
        <w:rPr>
          <w:sz w:val="20"/>
        </w:rPr>
        <w:t>financial</w:t>
      </w:r>
      <w:r>
        <w:rPr>
          <w:spacing w:val="-9"/>
          <w:sz w:val="20"/>
        </w:rPr>
        <w:t> </w:t>
      </w:r>
      <w:r>
        <w:rPr>
          <w:sz w:val="20"/>
        </w:rPr>
        <w:t>management</w:t>
      </w:r>
      <w:r>
        <w:rPr>
          <w:spacing w:val="-9"/>
          <w:sz w:val="20"/>
        </w:rPr>
        <w:t> </w:t>
      </w:r>
      <w:r>
        <w:rPr>
          <w:sz w:val="20"/>
        </w:rPr>
        <w:t>services,</w:t>
      </w:r>
      <w:r>
        <w:rPr>
          <w:spacing w:val="-8"/>
          <w:sz w:val="20"/>
        </w:rPr>
        <w:t> </w:t>
      </w:r>
      <w:r>
        <w:rPr>
          <w:sz w:val="20"/>
        </w:rPr>
        <w:t>and</w:t>
      </w:r>
      <w:r>
        <w:rPr>
          <w:spacing w:val="-10"/>
          <w:sz w:val="20"/>
        </w:rPr>
        <w:t> </w:t>
      </w:r>
      <w:r>
        <w:rPr>
          <w:sz w:val="20"/>
        </w:rPr>
        <w:t>coordinates and produces the financial statements of the Court, including the Trust Fund for Victims (TFV).</w:t>
      </w:r>
      <w:r>
        <w:rPr>
          <w:spacing w:val="-9"/>
          <w:sz w:val="20"/>
        </w:rPr>
        <w:t> </w:t>
      </w:r>
      <w:r>
        <w:rPr>
          <w:sz w:val="20"/>
        </w:rPr>
        <w:t>It</w:t>
      </w:r>
      <w:r>
        <w:rPr>
          <w:spacing w:val="-7"/>
          <w:sz w:val="20"/>
        </w:rPr>
        <w:t> </w:t>
      </w:r>
      <w:r>
        <w:rPr>
          <w:sz w:val="20"/>
        </w:rPr>
        <w:t>manages,</w:t>
      </w:r>
      <w:r>
        <w:rPr>
          <w:spacing w:val="-6"/>
          <w:sz w:val="20"/>
        </w:rPr>
        <w:t> </w:t>
      </w:r>
      <w:r>
        <w:rPr>
          <w:sz w:val="20"/>
        </w:rPr>
        <w:t>monitors</w:t>
      </w:r>
      <w:r>
        <w:rPr>
          <w:spacing w:val="-10"/>
          <w:sz w:val="20"/>
        </w:rPr>
        <w:t> </w:t>
      </w:r>
      <w:r>
        <w:rPr>
          <w:sz w:val="20"/>
        </w:rPr>
        <w:t>and</w:t>
      </w:r>
      <w:r>
        <w:rPr>
          <w:spacing w:val="-13"/>
          <w:sz w:val="20"/>
        </w:rPr>
        <w:t> </w:t>
      </w:r>
      <w:r>
        <w:rPr>
          <w:sz w:val="20"/>
        </w:rPr>
        <w:t>reports</w:t>
      </w:r>
      <w:r>
        <w:rPr>
          <w:spacing w:val="-10"/>
          <w:sz w:val="20"/>
        </w:rPr>
        <w:t> </w:t>
      </w:r>
      <w:r>
        <w:rPr>
          <w:sz w:val="20"/>
        </w:rPr>
        <w:t>on</w:t>
      </w:r>
      <w:r>
        <w:rPr>
          <w:spacing w:val="-13"/>
          <w:sz w:val="20"/>
        </w:rPr>
        <w:t> </w:t>
      </w:r>
      <w:r>
        <w:rPr>
          <w:sz w:val="20"/>
        </w:rPr>
        <w:t>all</w:t>
      </w:r>
      <w:r>
        <w:rPr>
          <w:spacing w:val="-7"/>
          <w:sz w:val="20"/>
        </w:rPr>
        <w:t> </w:t>
      </w:r>
      <w:r>
        <w:rPr>
          <w:sz w:val="20"/>
        </w:rPr>
        <w:t>Court</w:t>
      </w:r>
      <w:r>
        <w:rPr>
          <w:spacing w:val="-7"/>
          <w:sz w:val="20"/>
        </w:rPr>
        <w:t> </w:t>
      </w:r>
      <w:r>
        <w:rPr>
          <w:sz w:val="20"/>
        </w:rPr>
        <w:t>funds.</w:t>
      </w:r>
      <w:r>
        <w:rPr>
          <w:spacing w:val="-6"/>
          <w:sz w:val="20"/>
        </w:rPr>
        <w:t> </w:t>
      </w:r>
      <w:r>
        <w:rPr>
          <w:sz w:val="20"/>
        </w:rPr>
        <w:t>It</w:t>
      </w:r>
      <w:r>
        <w:rPr>
          <w:spacing w:val="-7"/>
          <w:sz w:val="20"/>
        </w:rPr>
        <w:t> </w:t>
      </w:r>
      <w:r>
        <w:rPr>
          <w:sz w:val="20"/>
        </w:rPr>
        <w:t>is</w:t>
      </w:r>
      <w:r>
        <w:rPr>
          <w:spacing w:val="-13"/>
          <w:sz w:val="20"/>
        </w:rPr>
        <w:t> </w:t>
      </w:r>
      <w:r>
        <w:rPr>
          <w:sz w:val="20"/>
        </w:rPr>
        <w:t>also</w:t>
      </w:r>
      <w:r>
        <w:rPr>
          <w:spacing w:val="-8"/>
          <w:sz w:val="20"/>
        </w:rPr>
        <w:t> </w:t>
      </w:r>
      <w:r>
        <w:rPr>
          <w:sz w:val="20"/>
        </w:rPr>
        <w:t>responsible</w:t>
      </w:r>
      <w:r>
        <w:rPr>
          <w:spacing w:val="-7"/>
          <w:sz w:val="20"/>
        </w:rPr>
        <w:t> </w:t>
      </w:r>
      <w:r>
        <w:rPr>
          <w:sz w:val="20"/>
        </w:rPr>
        <w:t>for</w:t>
      </w:r>
      <w:r>
        <w:rPr>
          <w:spacing w:val="-13"/>
          <w:sz w:val="20"/>
        </w:rPr>
        <w:t> </w:t>
      </w:r>
      <w:r>
        <w:rPr>
          <w:sz w:val="20"/>
        </w:rPr>
        <w:t>carrying out all disbursement activities, managing assessed contributions, treasury operations, including cash flow projections to monitor liquidity risk, and accounting and financial reporting.</w:t>
      </w:r>
      <w:r>
        <w:rPr>
          <w:spacing w:val="-7"/>
          <w:sz w:val="20"/>
        </w:rPr>
        <w:t> </w:t>
      </w:r>
      <w:r>
        <w:rPr>
          <w:sz w:val="20"/>
        </w:rPr>
        <w:t>In</w:t>
      </w:r>
      <w:r>
        <w:rPr>
          <w:spacing w:val="-9"/>
          <w:sz w:val="20"/>
        </w:rPr>
        <w:t> </w:t>
      </w:r>
      <w:r>
        <w:rPr>
          <w:sz w:val="20"/>
        </w:rPr>
        <w:t>addition,</w:t>
      </w:r>
      <w:r>
        <w:rPr>
          <w:spacing w:val="-2"/>
          <w:sz w:val="20"/>
        </w:rPr>
        <w:t> </w:t>
      </w:r>
      <w:r>
        <w:rPr>
          <w:sz w:val="20"/>
        </w:rPr>
        <w:t>DMS</w:t>
      </w:r>
      <w:r>
        <w:rPr>
          <w:spacing w:val="-11"/>
          <w:sz w:val="20"/>
        </w:rPr>
        <w:t> </w:t>
      </w:r>
      <w:r>
        <w:rPr>
          <w:sz w:val="20"/>
        </w:rPr>
        <w:t>provides</w:t>
      </w:r>
      <w:r>
        <w:rPr>
          <w:spacing w:val="-11"/>
          <w:sz w:val="20"/>
        </w:rPr>
        <w:t> </w:t>
      </w:r>
      <w:r>
        <w:rPr>
          <w:sz w:val="20"/>
        </w:rPr>
        <w:t>assistance</w:t>
      </w:r>
      <w:r>
        <w:rPr>
          <w:spacing w:val="-8"/>
          <w:sz w:val="20"/>
        </w:rPr>
        <w:t> </w:t>
      </w:r>
      <w:r>
        <w:rPr>
          <w:sz w:val="20"/>
        </w:rPr>
        <w:t>and</w:t>
      </w:r>
      <w:r>
        <w:rPr>
          <w:spacing w:val="-5"/>
          <w:sz w:val="20"/>
        </w:rPr>
        <w:t> </w:t>
      </w:r>
      <w:r>
        <w:rPr>
          <w:sz w:val="20"/>
        </w:rPr>
        <w:t>guidance</w:t>
      </w:r>
      <w:r>
        <w:rPr>
          <w:spacing w:val="-8"/>
          <w:sz w:val="20"/>
        </w:rPr>
        <w:t> </w:t>
      </w:r>
      <w:r>
        <w:rPr>
          <w:sz w:val="20"/>
        </w:rPr>
        <w:t>in</w:t>
      </w:r>
      <w:r>
        <w:rPr>
          <w:spacing w:val="-9"/>
          <w:sz w:val="20"/>
        </w:rPr>
        <w:t> </w:t>
      </w:r>
      <w:r>
        <w:rPr>
          <w:sz w:val="20"/>
        </w:rPr>
        <w:t>relation</w:t>
      </w:r>
      <w:r>
        <w:rPr>
          <w:spacing w:val="-9"/>
          <w:sz w:val="20"/>
        </w:rPr>
        <w:t> </w:t>
      </w:r>
      <w:r>
        <w:rPr>
          <w:sz w:val="20"/>
        </w:rPr>
        <w:t>to</w:t>
      </w:r>
      <w:r>
        <w:rPr>
          <w:spacing w:val="-9"/>
          <w:sz w:val="20"/>
        </w:rPr>
        <w:t> </w:t>
      </w:r>
      <w:r>
        <w:rPr>
          <w:sz w:val="20"/>
        </w:rPr>
        <w:t>financial</w:t>
      </w:r>
      <w:r>
        <w:rPr>
          <w:spacing w:val="-8"/>
          <w:sz w:val="20"/>
        </w:rPr>
        <w:t> </w:t>
      </w:r>
      <w:r>
        <w:rPr>
          <w:sz w:val="20"/>
        </w:rPr>
        <w:t>policies and processes across the Court.</w:t>
      </w:r>
    </w:p>
    <w:p>
      <w:pPr>
        <w:pStyle w:val="ListParagraph"/>
        <w:numPr>
          <w:ilvl w:val="0"/>
          <w:numId w:val="4"/>
        </w:numPr>
        <w:tabs>
          <w:tab w:pos="2967" w:val="left" w:leader="none"/>
        </w:tabs>
        <w:spacing w:line="240" w:lineRule="auto" w:before="118" w:after="0"/>
        <w:ind w:left="2246" w:right="2243" w:firstLine="0"/>
        <w:jc w:val="both"/>
        <w:rPr>
          <w:sz w:val="20"/>
        </w:rPr>
      </w:pPr>
      <w:r>
        <w:rPr>
          <w:sz w:val="20"/>
        </w:rPr>
        <w:t>In</w:t>
      </w:r>
      <w:r>
        <w:rPr>
          <w:spacing w:val="-6"/>
          <w:sz w:val="20"/>
        </w:rPr>
        <w:t> </w:t>
      </w:r>
      <w:r>
        <w:rPr>
          <w:sz w:val="20"/>
        </w:rPr>
        <w:t>the</w:t>
      </w:r>
      <w:r>
        <w:rPr>
          <w:spacing w:val="-9"/>
          <w:sz w:val="20"/>
        </w:rPr>
        <w:t> </w:t>
      </w:r>
      <w:r>
        <w:rPr>
          <w:sz w:val="20"/>
        </w:rPr>
        <w:t>area</w:t>
      </w:r>
      <w:r>
        <w:rPr>
          <w:spacing w:val="-9"/>
          <w:sz w:val="20"/>
        </w:rPr>
        <w:t> </w:t>
      </w:r>
      <w:r>
        <w:rPr>
          <w:sz w:val="20"/>
        </w:rPr>
        <w:t>of</w:t>
      </w:r>
      <w:r>
        <w:rPr>
          <w:spacing w:val="-10"/>
          <w:sz w:val="20"/>
        </w:rPr>
        <w:t> </w:t>
      </w:r>
      <w:r>
        <w:rPr>
          <w:sz w:val="20"/>
        </w:rPr>
        <w:t>general</w:t>
      </w:r>
      <w:r>
        <w:rPr>
          <w:spacing w:val="-4"/>
          <w:sz w:val="20"/>
        </w:rPr>
        <w:t> </w:t>
      </w:r>
      <w:r>
        <w:rPr>
          <w:sz w:val="20"/>
        </w:rPr>
        <w:t>services,</w:t>
      </w:r>
      <w:r>
        <w:rPr>
          <w:spacing w:val="-8"/>
          <w:sz w:val="20"/>
        </w:rPr>
        <w:t> </w:t>
      </w:r>
      <w:r>
        <w:rPr>
          <w:sz w:val="20"/>
        </w:rPr>
        <w:t>the</w:t>
      </w:r>
      <w:r>
        <w:rPr>
          <w:spacing w:val="-4"/>
          <w:sz w:val="20"/>
        </w:rPr>
        <w:t> </w:t>
      </w:r>
      <w:r>
        <w:rPr>
          <w:sz w:val="20"/>
        </w:rPr>
        <w:t>Division</w:t>
      </w:r>
      <w:r>
        <w:rPr>
          <w:spacing w:val="-10"/>
          <w:sz w:val="20"/>
        </w:rPr>
        <w:t> </w:t>
      </w:r>
      <w:r>
        <w:rPr>
          <w:sz w:val="20"/>
        </w:rPr>
        <w:t>is</w:t>
      </w:r>
      <w:r>
        <w:rPr>
          <w:spacing w:val="-12"/>
          <w:sz w:val="20"/>
        </w:rPr>
        <w:t> </w:t>
      </w:r>
      <w:r>
        <w:rPr>
          <w:sz w:val="20"/>
        </w:rPr>
        <w:t>responsible</w:t>
      </w:r>
      <w:r>
        <w:rPr>
          <w:spacing w:val="-4"/>
          <w:sz w:val="20"/>
        </w:rPr>
        <w:t> </w:t>
      </w:r>
      <w:r>
        <w:rPr>
          <w:sz w:val="20"/>
        </w:rPr>
        <w:t>for</w:t>
      </w:r>
      <w:r>
        <w:rPr>
          <w:spacing w:val="-10"/>
          <w:sz w:val="20"/>
        </w:rPr>
        <w:t> </w:t>
      </w:r>
      <w:r>
        <w:rPr>
          <w:sz w:val="20"/>
        </w:rPr>
        <w:t>daily</w:t>
      </w:r>
      <w:r>
        <w:rPr>
          <w:spacing w:val="-10"/>
          <w:sz w:val="20"/>
        </w:rPr>
        <w:t> </w:t>
      </w:r>
      <w:r>
        <w:rPr>
          <w:sz w:val="20"/>
        </w:rPr>
        <w:t>operations</w:t>
      </w:r>
      <w:r>
        <w:rPr>
          <w:spacing w:val="-12"/>
          <w:sz w:val="20"/>
        </w:rPr>
        <w:t> </w:t>
      </w:r>
      <w:r>
        <w:rPr>
          <w:sz w:val="20"/>
        </w:rPr>
        <w:t>at</w:t>
      </w:r>
      <w:r>
        <w:rPr>
          <w:spacing w:val="-9"/>
          <w:sz w:val="20"/>
        </w:rPr>
        <w:t> </w:t>
      </w:r>
      <w:r>
        <w:rPr>
          <w:sz w:val="20"/>
        </w:rPr>
        <w:t>the Headquarters</w:t>
      </w:r>
      <w:r>
        <w:rPr>
          <w:spacing w:val="-13"/>
          <w:sz w:val="20"/>
        </w:rPr>
        <w:t> </w:t>
      </w:r>
      <w:r>
        <w:rPr>
          <w:sz w:val="20"/>
        </w:rPr>
        <w:t>premises,</w:t>
      </w:r>
      <w:r>
        <w:rPr>
          <w:spacing w:val="-11"/>
          <w:sz w:val="20"/>
        </w:rPr>
        <w:t> </w:t>
      </w:r>
      <w:r>
        <w:rPr>
          <w:sz w:val="20"/>
        </w:rPr>
        <w:t>including</w:t>
      </w:r>
      <w:r>
        <w:rPr>
          <w:spacing w:val="-13"/>
          <w:sz w:val="20"/>
        </w:rPr>
        <w:t> </w:t>
      </w:r>
      <w:r>
        <w:rPr>
          <w:sz w:val="20"/>
        </w:rPr>
        <w:t>the</w:t>
      </w:r>
      <w:r>
        <w:rPr>
          <w:spacing w:val="-11"/>
          <w:sz w:val="20"/>
        </w:rPr>
        <w:t> </w:t>
      </w:r>
      <w:r>
        <w:rPr>
          <w:sz w:val="20"/>
        </w:rPr>
        <w:t>management</w:t>
      </w:r>
      <w:r>
        <w:rPr>
          <w:spacing w:val="-7"/>
          <w:sz w:val="20"/>
        </w:rPr>
        <w:t> </w:t>
      </w:r>
      <w:r>
        <w:rPr>
          <w:sz w:val="20"/>
        </w:rPr>
        <w:t>of</w:t>
      </w:r>
      <w:r>
        <w:rPr>
          <w:spacing w:val="-13"/>
          <w:sz w:val="20"/>
        </w:rPr>
        <w:t> </w:t>
      </w:r>
      <w:r>
        <w:rPr>
          <w:sz w:val="20"/>
        </w:rPr>
        <w:t>soft</w:t>
      </w:r>
      <w:r>
        <w:rPr>
          <w:spacing w:val="-12"/>
          <w:sz w:val="20"/>
        </w:rPr>
        <w:t> </w:t>
      </w:r>
      <w:r>
        <w:rPr>
          <w:sz w:val="20"/>
        </w:rPr>
        <w:t>services</w:t>
      </w:r>
      <w:r>
        <w:rPr>
          <w:spacing w:val="-10"/>
          <w:sz w:val="20"/>
        </w:rPr>
        <w:t> </w:t>
      </w:r>
      <w:r>
        <w:rPr>
          <w:sz w:val="20"/>
        </w:rPr>
        <w:t>such</w:t>
      </w:r>
      <w:r>
        <w:rPr>
          <w:spacing w:val="-13"/>
          <w:sz w:val="20"/>
        </w:rPr>
        <w:t> </w:t>
      </w:r>
      <w:r>
        <w:rPr>
          <w:sz w:val="20"/>
        </w:rPr>
        <w:t>as</w:t>
      </w:r>
      <w:r>
        <w:rPr>
          <w:spacing w:val="-12"/>
          <w:sz w:val="20"/>
        </w:rPr>
        <w:t> </w:t>
      </w:r>
      <w:r>
        <w:rPr>
          <w:sz w:val="20"/>
        </w:rPr>
        <w:t>catering,</w:t>
      </w:r>
      <w:r>
        <w:rPr>
          <w:spacing w:val="-11"/>
          <w:sz w:val="20"/>
        </w:rPr>
        <w:t> </w:t>
      </w:r>
      <w:r>
        <w:rPr>
          <w:sz w:val="20"/>
        </w:rPr>
        <w:t>cleaning, utilities and services to the conference cluster, in addition to hard services such as building maintenance, repairs and replacements. In the country offices, DMS is responsible for assessing and adapting premises in line with operational requirements. Through its Procurement Unit,</w:t>
      </w:r>
      <w:r>
        <w:rPr>
          <w:spacing w:val="-2"/>
          <w:sz w:val="20"/>
        </w:rPr>
        <w:t> </w:t>
      </w:r>
      <w:r>
        <w:rPr>
          <w:sz w:val="20"/>
        </w:rPr>
        <w:t>it provides value for money on goods</w:t>
      </w:r>
      <w:r>
        <w:rPr>
          <w:spacing w:val="-1"/>
          <w:sz w:val="20"/>
        </w:rPr>
        <w:t> </w:t>
      </w:r>
      <w:r>
        <w:rPr>
          <w:sz w:val="20"/>
        </w:rPr>
        <w:t>and services required by the Court and other services in the following areas: fleet management, shipping, transport (including support for the transport of witnesses to and from Headquarters), mail operations, asset management</w:t>
      </w:r>
      <w:r>
        <w:rPr>
          <w:spacing w:val="-2"/>
          <w:sz w:val="20"/>
        </w:rPr>
        <w:t> </w:t>
      </w:r>
      <w:r>
        <w:rPr>
          <w:sz w:val="20"/>
        </w:rPr>
        <w:t>and</w:t>
      </w:r>
      <w:r>
        <w:rPr>
          <w:spacing w:val="-4"/>
          <w:sz w:val="20"/>
        </w:rPr>
        <w:t> </w:t>
      </w:r>
      <w:r>
        <w:rPr>
          <w:sz w:val="20"/>
        </w:rPr>
        <w:t>warehousing.</w:t>
      </w:r>
      <w:r>
        <w:rPr>
          <w:spacing w:val="-1"/>
          <w:sz w:val="20"/>
        </w:rPr>
        <w:t> </w:t>
      </w:r>
      <w:r>
        <w:rPr>
          <w:sz w:val="20"/>
        </w:rPr>
        <w:t>All</w:t>
      </w:r>
      <w:r>
        <w:rPr>
          <w:spacing w:val="-2"/>
          <w:sz w:val="20"/>
        </w:rPr>
        <w:t> </w:t>
      </w:r>
      <w:r>
        <w:rPr>
          <w:sz w:val="20"/>
        </w:rPr>
        <w:t>of</w:t>
      </w:r>
      <w:r>
        <w:rPr>
          <w:spacing w:val="-4"/>
          <w:sz w:val="20"/>
        </w:rPr>
        <w:t> </w:t>
      </w:r>
      <w:r>
        <w:rPr>
          <w:sz w:val="20"/>
        </w:rPr>
        <w:t>the</w:t>
      </w:r>
      <w:r>
        <w:rPr>
          <w:spacing w:val="-2"/>
          <w:sz w:val="20"/>
        </w:rPr>
        <w:t> </w:t>
      </w:r>
      <w:r>
        <w:rPr>
          <w:sz w:val="20"/>
        </w:rPr>
        <w:t>Court’s official travel, visa services</w:t>
      </w:r>
      <w:r>
        <w:rPr>
          <w:spacing w:val="-5"/>
          <w:sz w:val="20"/>
        </w:rPr>
        <w:t> </w:t>
      </w:r>
      <w:r>
        <w:rPr>
          <w:sz w:val="20"/>
        </w:rPr>
        <w:t>and</w:t>
      </w:r>
      <w:r>
        <w:rPr>
          <w:spacing w:val="-4"/>
          <w:sz w:val="20"/>
        </w:rPr>
        <w:t> </w:t>
      </w:r>
      <w:r>
        <w:rPr>
          <w:sz w:val="20"/>
        </w:rPr>
        <w:t>residency permits in The Hague and administrative functions related to privileges and immunities are also arranged by DMS.</w:t>
      </w:r>
    </w:p>
    <w:p>
      <w:pPr>
        <w:pStyle w:val="ListParagraph"/>
        <w:numPr>
          <w:ilvl w:val="0"/>
          <w:numId w:val="4"/>
        </w:numPr>
        <w:tabs>
          <w:tab w:pos="2967" w:val="left" w:leader="none"/>
        </w:tabs>
        <w:spacing w:line="240" w:lineRule="auto" w:before="121" w:after="0"/>
        <w:ind w:left="2246" w:right="2241" w:firstLine="0"/>
        <w:jc w:val="both"/>
        <w:rPr>
          <w:sz w:val="20"/>
        </w:rPr>
      </w:pPr>
      <w:r>
        <w:rPr>
          <w:sz w:val="20"/>
        </w:rPr>
        <w:t>DMS provides a safe and secure working environment at Headquarters, through uninterrupted, round-the-clock security and safety services, including for the safe and undisturbed</w:t>
      </w:r>
      <w:r>
        <w:rPr>
          <w:spacing w:val="-13"/>
          <w:sz w:val="20"/>
        </w:rPr>
        <w:t> </w:t>
      </w:r>
      <w:r>
        <w:rPr>
          <w:sz w:val="20"/>
        </w:rPr>
        <w:t>conduct</w:t>
      </w:r>
      <w:r>
        <w:rPr>
          <w:spacing w:val="-12"/>
          <w:sz w:val="20"/>
        </w:rPr>
        <w:t> </w:t>
      </w:r>
      <w:r>
        <w:rPr>
          <w:sz w:val="20"/>
        </w:rPr>
        <w:t>of</w:t>
      </w:r>
      <w:r>
        <w:rPr>
          <w:spacing w:val="-13"/>
          <w:sz w:val="20"/>
        </w:rPr>
        <w:t> </w:t>
      </w:r>
      <w:r>
        <w:rPr>
          <w:sz w:val="20"/>
        </w:rPr>
        <w:t>Court</w:t>
      </w:r>
      <w:r>
        <w:rPr>
          <w:spacing w:val="-12"/>
          <w:sz w:val="20"/>
        </w:rPr>
        <w:t> </w:t>
      </w:r>
      <w:r>
        <w:rPr>
          <w:sz w:val="20"/>
        </w:rPr>
        <w:t>hearings.</w:t>
      </w:r>
      <w:r>
        <w:rPr>
          <w:spacing w:val="-13"/>
          <w:sz w:val="20"/>
        </w:rPr>
        <w:t> </w:t>
      </w:r>
      <w:r>
        <w:rPr>
          <w:sz w:val="20"/>
        </w:rPr>
        <w:t>The</w:t>
      </w:r>
      <w:r>
        <w:rPr>
          <w:spacing w:val="-12"/>
          <w:sz w:val="20"/>
        </w:rPr>
        <w:t> </w:t>
      </w:r>
      <w:r>
        <w:rPr>
          <w:sz w:val="20"/>
        </w:rPr>
        <w:t>Division</w:t>
      </w:r>
      <w:r>
        <w:rPr>
          <w:spacing w:val="-13"/>
          <w:sz w:val="20"/>
        </w:rPr>
        <w:t> </w:t>
      </w:r>
      <w:r>
        <w:rPr>
          <w:sz w:val="20"/>
        </w:rPr>
        <w:t>provides</w:t>
      </w:r>
      <w:r>
        <w:rPr>
          <w:spacing w:val="-12"/>
          <w:sz w:val="20"/>
        </w:rPr>
        <w:t> </w:t>
      </w:r>
      <w:r>
        <w:rPr>
          <w:sz w:val="20"/>
        </w:rPr>
        <w:t>security</w:t>
      </w:r>
      <w:r>
        <w:rPr>
          <w:spacing w:val="-13"/>
          <w:sz w:val="20"/>
        </w:rPr>
        <w:t> </w:t>
      </w:r>
      <w:r>
        <w:rPr>
          <w:sz w:val="20"/>
        </w:rPr>
        <w:t>to</w:t>
      </w:r>
      <w:r>
        <w:rPr>
          <w:spacing w:val="-12"/>
          <w:sz w:val="20"/>
        </w:rPr>
        <w:t> </w:t>
      </w:r>
      <w:r>
        <w:rPr>
          <w:sz w:val="20"/>
        </w:rPr>
        <w:t>all</w:t>
      </w:r>
      <w:r>
        <w:rPr>
          <w:spacing w:val="-13"/>
          <w:sz w:val="20"/>
        </w:rPr>
        <w:t> </w:t>
      </w:r>
      <w:r>
        <w:rPr>
          <w:sz w:val="20"/>
        </w:rPr>
        <w:t>persons</w:t>
      </w:r>
      <w:r>
        <w:rPr>
          <w:spacing w:val="-12"/>
          <w:sz w:val="20"/>
        </w:rPr>
        <w:t> </w:t>
      </w:r>
      <w:r>
        <w:rPr>
          <w:sz w:val="20"/>
        </w:rPr>
        <w:t>to</w:t>
      </w:r>
      <w:r>
        <w:rPr>
          <w:spacing w:val="-13"/>
          <w:sz w:val="20"/>
        </w:rPr>
        <w:t> </w:t>
      </w:r>
      <w:r>
        <w:rPr>
          <w:sz w:val="20"/>
        </w:rPr>
        <w:t>whom the Court</w:t>
      </w:r>
      <w:r>
        <w:rPr>
          <w:spacing w:val="-1"/>
          <w:sz w:val="20"/>
        </w:rPr>
        <w:t> </w:t>
      </w:r>
      <w:r>
        <w:rPr>
          <w:sz w:val="20"/>
        </w:rPr>
        <w:t>owes a</w:t>
      </w:r>
      <w:r>
        <w:rPr>
          <w:spacing w:val="-1"/>
          <w:sz w:val="20"/>
        </w:rPr>
        <w:t> </w:t>
      </w:r>
      <w:r>
        <w:rPr>
          <w:sz w:val="20"/>
        </w:rPr>
        <w:t>duty</w:t>
      </w:r>
      <w:r>
        <w:rPr>
          <w:spacing w:val="-3"/>
          <w:sz w:val="20"/>
        </w:rPr>
        <w:t> </w:t>
      </w:r>
      <w:r>
        <w:rPr>
          <w:sz w:val="20"/>
        </w:rPr>
        <w:t>of care to</w:t>
      </w:r>
      <w:r>
        <w:rPr>
          <w:spacing w:val="-3"/>
          <w:sz w:val="20"/>
        </w:rPr>
        <w:t> </w:t>
      </w:r>
      <w:r>
        <w:rPr>
          <w:sz w:val="20"/>
        </w:rPr>
        <w:t>ensure their</w:t>
      </w:r>
      <w:r>
        <w:rPr>
          <w:spacing w:val="-3"/>
          <w:sz w:val="20"/>
        </w:rPr>
        <w:t> </w:t>
      </w:r>
      <w:r>
        <w:rPr>
          <w:sz w:val="20"/>
        </w:rPr>
        <w:t>safety</w:t>
      </w:r>
      <w:r>
        <w:rPr>
          <w:spacing w:val="-3"/>
          <w:sz w:val="20"/>
        </w:rPr>
        <w:t> </w:t>
      </w:r>
      <w:r>
        <w:rPr>
          <w:sz w:val="20"/>
        </w:rPr>
        <w:t>and security, and ensures the security</w:t>
      </w:r>
      <w:r>
        <w:rPr>
          <w:spacing w:val="-3"/>
          <w:sz w:val="20"/>
        </w:rPr>
        <w:t> </w:t>
      </w:r>
      <w:r>
        <w:rPr>
          <w:sz w:val="20"/>
        </w:rPr>
        <w:t>of the</w:t>
      </w:r>
      <w:r>
        <w:rPr>
          <w:spacing w:val="-2"/>
          <w:sz w:val="20"/>
        </w:rPr>
        <w:t> </w:t>
      </w:r>
      <w:r>
        <w:rPr>
          <w:sz w:val="20"/>
        </w:rPr>
        <w:t>Court’s tangible and</w:t>
      </w:r>
      <w:r>
        <w:rPr>
          <w:spacing w:val="-4"/>
          <w:sz w:val="20"/>
        </w:rPr>
        <w:t> </w:t>
      </w:r>
      <w:r>
        <w:rPr>
          <w:sz w:val="20"/>
        </w:rPr>
        <w:t>intangible</w:t>
      </w:r>
      <w:r>
        <w:rPr>
          <w:spacing w:val="-2"/>
          <w:sz w:val="20"/>
        </w:rPr>
        <w:t> </w:t>
      </w:r>
      <w:r>
        <w:rPr>
          <w:sz w:val="20"/>
        </w:rPr>
        <w:t>assets.</w:t>
      </w:r>
      <w:r>
        <w:rPr>
          <w:spacing w:val="-1"/>
          <w:sz w:val="20"/>
        </w:rPr>
        <w:t> </w:t>
      </w:r>
      <w:r>
        <w:rPr>
          <w:sz w:val="20"/>
        </w:rPr>
        <w:t>DMS</w:t>
      </w:r>
      <w:r>
        <w:rPr>
          <w:spacing w:val="-1"/>
          <w:sz w:val="20"/>
        </w:rPr>
        <w:t> </w:t>
      </w:r>
      <w:r>
        <w:rPr>
          <w:sz w:val="20"/>
        </w:rPr>
        <w:t>is</w:t>
      </w:r>
      <w:r>
        <w:rPr>
          <w:spacing w:val="-1"/>
          <w:sz w:val="20"/>
        </w:rPr>
        <w:t> </w:t>
      </w:r>
      <w:r>
        <w:rPr>
          <w:sz w:val="20"/>
        </w:rPr>
        <w:t>responsible for</w:t>
      </w:r>
      <w:r>
        <w:rPr>
          <w:spacing w:val="-4"/>
          <w:sz w:val="20"/>
        </w:rPr>
        <w:t> </w:t>
      </w:r>
      <w:r>
        <w:rPr>
          <w:sz w:val="20"/>
        </w:rPr>
        <w:t>safety</w:t>
      </w:r>
      <w:r>
        <w:rPr>
          <w:spacing w:val="-4"/>
          <w:sz w:val="20"/>
        </w:rPr>
        <w:t> </w:t>
      </w:r>
      <w:r>
        <w:rPr>
          <w:sz w:val="20"/>
        </w:rPr>
        <w:t>and</w:t>
      </w:r>
      <w:r>
        <w:rPr>
          <w:spacing w:val="-4"/>
          <w:sz w:val="20"/>
        </w:rPr>
        <w:t> </w:t>
      </w:r>
      <w:r>
        <w:rPr>
          <w:sz w:val="20"/>
        </w:rPr>
        <w:t>security policy development, both for the country offices and Headquarters, and liaises with the host State on security-related matters.</w:t>
      </w:r>
    </w:p>
    <w:p>
      <w:pPr>
        <w:spacing w:after="0" w:line="240" w:lineRule="auto"/>
        <w:jc w:val="both"/>
        <w:rPr>
          <w:sz w:val="20"/>
        </w:rPr>
        <w:sectPr>
          <w:pgSz w:w="11910" w:h="16840"/>
          <w:pgMar w:header="957" w:footer="940" w:top="1140" w:bottom="1140" w:left="20" w:right="20"/>
        </w:sectPr>
      </w:pPr>
    </w:p>
    <w:p>
      <w:pPr>
        <w:pStyle w:val="Heading3"/>
        <w:tabs>
          <w:tab w:pos="5739" w:val="left" w:leader="none"/>
        </w:tabs>
        <w:spacing w:before="124"/>
        <w:ind w:left="5"/>
        <w:jc w:val="center"/>
      </w:pPr>
      <w:r>
        <w:rPr/>
        <w:t>Budget</w:t>
      </w:r>
      <w:r>
        <w:rPr>
          <w:spacing w:val="-5"/>
        </w:rPr>
        <w:t> </w:t>
      </w:r>
      <w:r>
        <w:rPr>
          <w:spacing w:val="-2"/>
        </w:rPr>
        <w:t>resources</w:t>
      </w:r>
      <w:r>
        <w:rPr/>
        <w:tab/>
        <w:t>€21,275.7</w:t>
      </w:r>
      <w:r>
        <w:rPr>
          <w:spacing w:val="-6"/>
        </w:rPr>
        <w:t> </w:t>
      </w:r>
      <w:r>
        <w:rPr>
          <w:spacing w:val="-2"/>
        </w:rPr>
        <w:t>thousand</w:t>
      </w:r>
    </w:p>
    <w:p>
      <w:pPr>
        <w:pStyle w:val="BodyText"/>
        <w:spacing w:before="11"/>
        <w:rPr>
          <w:b/>
        </w:rPr>
      </w:pPr>
    </w:p>
    <w:p>
      <w:pPr>
        <w:pStyle w:val="ListParagraph"/>
        <w:numPr>
          <w:ilvl w:val="0"/>
          <w:numId w:val="4"/>
        </w:numPr>
        <w:tabs>
          <w:tab w:pos="2967" w:val="left" w:leader="none"/>
        </w:tabs>
        <w:spacing w:line="240" w:lineRule="auto" w:before="0" w:after="0"/>
        <w:ind w:left="2246" w:right="2242" w:firstLine="0"/>
        <w:jc w:val="both"/>
        <w:rPr>
          <w:sz w:val="20"/>
        </w:rPr>
      </w:pPr>
      <w:r>
        <w:rPr>
          <w:sz w:val="20"/>
        </w:rPr>
        <w:t>Over the past five years, DMS has maintained its structure and resources at relatively stable levels, capitalizing on efficient solutions that have allowed the Division to adapt to changes in operational needs. In fact, the approved budget for 2022 presents an overall reduction of €559.2 thousand (2.9 per cent) in comparison to the approved budget for 2018, and a reduction of €723.7 thousand (3.8 per cent) in comparison to the approved budget</w:t>
      </w:r>
      <w:r>
        <w:rPr>
          <w:spacing w:val="-2"/>
          <w:sz w:val="20"/>
        </w:rPr>
        <w:t> </w:t>
      </w:r>
      <w:r>
        <w:rPr>
          <w:sz w:val="20"/>
        </w:rPr>
        <w:t>for</w:t>
      </w:r>
      <w:r>
        <w:rPr>
          <w:spacing w:val="-4"/>
          <w:sz w:val="20"/>
        </w:rPr>
        <w:t> </w:t>
      </w:r>
      <w:r>
        <w:rPr>
          <w:sz w:val="20"/>
        </w:rPr>
        <w:t>2020.</w:t>
      </w:r>
      <w:r>
        <w:rPr>
          <w:spacing w:val="-6"/>
          <w:sz w:val="20"/>
        </w:rPr>
        <w:t> </w:t>
      </w:r>
      <w:r>
        <w:rPr>
          <w:sz w:val="20"/>
        </w:rPr>
        <w:t>While</w:t>
      </w:r>
      <w:r>
        <w:rPr>
          <w:spacing w:val="-7"/>
          <w:sz w:val="20"/>
        </w:rPr>
        <w:t> </w:t>
      </w:r>
      <w:r>
        <w:rPr>
          <w:sz w:val="20"/>
        </w:rPr>
        <w:t>the</w:t>
      </w:r>
      <w:r>
        <w:rPr>
          <w:spacing w:val="-2"/>
          <w:sz w:val="20"/>
        </w:rPr>
        <w:t> </w:t>
      </w:r>
      <w:r>
        <w:rPr>
          <w:sz w:val="20"/>
        </w:rPr>
        <w:t>Division</w:t>
      </w:r>
      <w:r>
        <w:rPr>
          <w:spacing w:val="-4"/>
          <w:sz w:val="20"/>
        </w:rPr>
        <w:t> </w:t>
      </w:r>
      <w:r>
        <w:rPr>
          <w:sz w:val="20"/>
        </w:rPr>
        <w:t>will</w:t>
      </w:r>
      <w:r>
        <w:rPr>
          <w:spacing w:val="-7"/>
          <w:sz w:val="20"/>
        </w:rPr>
        <w:t> </w:t>
      </w:r>
      <w:r>
        <w:rPr>
          <w:sz w:val="20"/>
        </w:rPr>
        <w:t>continue</w:t>
      </w:r>
      <w:r>
        <w:rPr>
          <w:spacing w:val="-2"/>
          <w:sz w:val="20"/>
        </w:rPr>
        <w:t> </w:t>
      </w:r>
      <w:r>
        <w:rPr>
          <w:sz w:val="20"/>
        </w:rPr>
        <w:t>to</w:t>
      </w:r>
      <w:r>
        <w:rPr>
          <w:spacing w:val="-4"/>
          <w:sz w:val="20"/>
        </w:rPr>
        <w:t> </w:t>
      </w:r>
      <w:r>
        <w:rPr>
          <w:sz w:val="20"/>
        </w:rPr>
        <w:t>deliver</w:t>
      </w:r>
      <w:r>
        <w:rPr>
          <w:spacing w:val="-4"/>
          <w:sz w:val="20"/>
        </w:rPr>
        <w:t> </w:t>
      </w:r>
      <w:r>
        <w:rPr>
          <w:sz w:val="20"/>
        </w:rPr>
        <w:t>its</w:t>
      </w:r>
      <w:r>
        <w:rPr>
          <w:spacing w:val="-5"/>
          <w:sz w:val="20"/>
        </w:rPr>
        <w:t> </w:t>
      </w:r>
      <w:r>
        <w:rPr>
          <w:sz w:val="20"/>
        </w:rPr>
        <w:t>mandate</w:t>
      </w:r>
      <w:r>
        <w:rPr>
          <w:spacing w:val="-2"/>
          <w:sz w:val="20"/>
        </w:rPr>
        <w:t> </w:t>
      </w:r>
      <w:r>
        <w:rPr>
          <w:sz w:val="20"/>
        </w:rPr>
        <w:t>using</w:t>
      </w:r>
      <w:r>
        <w:rPr>
          <w:spacing w:val="-4"/>
          <w:sz w:val="20"/>
        </w:rPr>
        <w:t> </w:t>
      </w:r>
      <w:r>
        <w:rPr>
          <w:sz w:val="20"/>
        </w:rPr>
        <w:t>a</w:t>
      </w:r>
      <w:r>
        <w:rPr>
          <w:spacing w:val="-2"/>
          <w:sz w:val="20"/>
        </w:rPr>
        <w:t> </w:t>
      </w:r>
      <w:r>
        <w:rPr>
          <w:sz w:val="20"/>
        </w:rPr>
        <w:t>flexible</w:t>
      </w:r>
      <w:r>
        <w:rPr>
          <w:spacing w:val="-3"/>
          <w:sz w:val="20"/>
        </w:rPr>
        <w:t> </w:t>
      </w:r>
      <w:r>
        <w:rPr>
          <w:sz w:val="20"/>
        </w:rPr>
        <w:t>and efficient approach to provide support to the Court, the considerable increase in judicial and investigative workload and other unavoidable inflationary pressures have resulted in an additional net requirement of €2,800.1 thousand (15.2 per cent).</w:t>
      </w:r>
    </w:p>
    <w:p>
      <w:pPr>
        <w:pStyle w:val="ListParagraph"/>
        <w:numPr>
          <w:ilvl w:val="0"/>
          <w:numId w:val="4"/>
        </w:numPr>
        <w:tabs>
          <w:tab w:pos="2967" w:val="left" w:leader="none"/>
        </w:tabs>
        <w:spacing w:line="240" w:lineRule="auto" w:before="119" w:after="0"/>
        <w:ind w:left="2246" w:right="2243" w:firstLine="0"/>
        <w:jc w:val="both"/>
        <w:rPr>
          <w:sz w:val="20"/>
        </w:rPr>
      </w:pPr>
      <w:r>
        <w:rPr>
          <w:sz w:val="20"/>
        </w:rPr>
        <w:t>The overall proposed increase in DMS is due to (i) unavoidable inflationary pressures,</w:t>
      </w:r>
      <w:r>
        <w:rPr>
          <w:spacing w:val="-13"/>
          <w:sz w:val="20"/>
        </w:rPr>
        <w:t> </w:t>
      </w:r>
      <w:r>
        <w:rPr>
          <w:sz w:val="20"/>
        </w:rPr>
        <w:t>including</w:t>
      </w:r>
      <w:r>
        <w:rPr>
          <w:spacing w:val="-9"/>
          <w:sz w:val="20"/>
        </w:rPr>
        <w:t> </w:t>
      </w:r>
      <w:r>
        <w:rPr>
          <w:sz w:val="20"/>
        </w:rPr>
        <w:t>the</w:t>
      </w:r>
      <w:r>
        <w:rPr>
          <w:spacing w:val="-12"/>
          <w:sz w:val="20"/>
        </w:rPr>
        <w:t> </w:t>
      </w:r>
      <w:r>
        <w:rPr>
          <w:sz w:val="20"/>
        </w:rPr>
        <w:t>application</w:t>
      </w:r>
      <w:r>
        <w:rPr>
          <w:spacing w:val="-13"/>
          <w:sz w:val="20"/>
        </w:rPr>
        <w:t> </w:t>
      </w:r>
      <w:r>
        <w:rPr>
          <w:sz w:val="20"/>
        </w:rPr>
        <w:t>of</w:t>
      </w:r>
      <w:r>
        <w:rPr>
          <w:spacing w:val="-12"/>
          <w:sz w:val="20"/>
        </w:rPr>
        <w:t> </w:t>
      </w:r>
      <w:r>
        <w:rPr>
          <w:sz w:val="20"/>
        </w:rPr>
        <w:t>the</w:t>
      </w:r>
      <w:r>
        <w:rPr>
          <w:spacing w:val="-8"/>
          <w:sz w:val="20"/>
        </w:rPr>
        <w:t> </w:t>
      </w:r>
      <w:r>
        <w:rPr>
          <w:sz w:val="20"/>
        </w:rPr>
        <w:t>UNCS,</w:t>
      </w:r>
      <w:r>
        <w:rPr>
          <w:spacing w:val="-7"/>
          <w:sz w:val="20"/>
        </w:rPr>
        <w:t> </w:t>
      </w:r>
      <w:r>
        <w:rPr>
          <w:sz w:val="20"/>
        </w:rPr>
        <w:t>and</w:t>
      </w:r>
      <w:r>
        <w:rPr>
          <w:spacing w:val="-13"/>
          <w:sz w:val="20"/>
        </w:rPr>
        <w:t> </w:t>
      </w:r>
      <w:r>
        <w:rPr>
          <w:sz w:val="20"/>
        </w:rPr>
        <w:t>the</w:t>
      </w:r>
      <w:r>
        <w:rPr>
          <w:spacing w:val="-11"/>
          <w:sz w:val="20"/>
        </w:rPr>
        <w:t> </w:t>
      </w:r>
      <w:r>
        <w:rPr>
          <w:sz w:val="20"/>
        </w:rPr>
        <w:t>price</w:t>
      </w:r>
      <w:r>
        <w:rPr>
          <w:spacing w:val="-8"/>
          <w:sz w:val="20"/>
        </w:rPr>
        <w:t> </w:t>
      </w:r>
      <w:r>
        <w:rPr>
          <w:sz w:val="20"/>
        </w:rPr>
        <w:t>index</w:t>
      </w:r>
      <w:r>
        <w:rPr>
          <w:spacing w:val="-13"/>
          <w:sz w:val="20"/>
        </w:rPr>
        <w:t> </w:t>
      </w:r>
      <w:r>
        <w:rPr>
          <w:sz w:val="20"/>
        </w:rPr>
        <w:t>increases</w:t>
      </w:r>
      <w:r>
        <w:rPr>
          <w:spacing w:val="-12"/>
          <w:sz w:val="20"/>
        </w:rPr>
        <w:t> </w:t>
      </w:r>
      <w:r>
        <w:rPr>
          <w:sz w:val="20"/>
        </w:rPr>
        <w:t>for</w:t>
      </w:r>
      <w:r>
        <w:rPr>
          <w:spacing w:val="-13"/>
          <w:sz w:val="20"/>
        </w:rPr>
        <w:t> </w:t>
      </w:r>
      <w:r>
        <w:rPr>
          <w:sz w:val="20"/>
        </w:rPr>
        <w:t>the</w:t>
      </w:r>
      <w:r>
        <w:rPr>
          <w:spacing w:val="-11"/>
          <w:sz w:val="20"/>
        </w:rPr>
        <w:t> </w:t>
      </w:r>
      <w:r>
        <w:rPr>
          <w:sz w:val="20"/>
        </w:rPr>
        <w:t>goods, utilities and services for which DMS is the Court-wide service provider (€938.2 thousand),</w:t>
      </w:r>
    </w:p>
    <w:p>
      <w:pPr>
        <w:pStyle w:val="BodyText"/>
        <w:spacing w:before="2"/>
        <w:ind w:left="2246" w:right="2250"/>
        <w:jc w:val="both"/>
      </w:pPr>
      <w:r>
        <w:rPr/>
        <w:t>(ii)</w:t>
      </w:r>
      <w:r>
        <w:rPr>
          <w:spacing w:val="-13"/>
        </w:rPr>
        <w:t> </w:t>
      </w:r>
      <w:r>
        <w:rPr/>
        <w:t>the</w:t>
      </w:r>
      <w:r>
        <w:rPr>
          <w:spacing w:val="-9"/>
        </w:rPr>
        <w:t> </w:t>
      </w:r>
      <w:r>
        <w:rPr/>
        <w:t>provision</w:t>
      </w:r>
      <w:r>
        <w:rPr>
          <w:spacing w:val="-9"/>
        </w:rPr>
        <w:t> </w:t>
      </w:r>
      <w:r>
        <w:rPr/>
        <w:t>of</w:t>
      </w:r>
      <w:r>
        <w:rPr>
          <w:spacing w:val="-13"/>
        </w:rPr>
        <w:t> </w:t>
      </w:r>
      <w:r>
        <w:rPr/>
        <w:t>additional</w:t>
      </w:r>
      <w:r>
        <w:rPr>
          <w:spacing w:val="-7"/>
        </w:rPr>
        <w:t> </w:t>
      </w:r>
      <w:r>
        <w:rPr/>
        <w:t>security</w:t>
      </w:r>
      <w:r>
        <w:rPr>
          <w:spacing w:val="-9"/>
        </w:rPr>
        <w:t> </w:t>
      </w:r>
      <w:r>
        <w:rPr/>
        <w:t>and</w:t>
      </w:r>
      <w:r>
        <w:rPr>
          <w:spacing w:val="-9"/>
        </w:rPr>
        <w:t> </w:t>
      </w:r>
      <w:r>
        <w:rPr/>
        <w:t>logistics</w:t>
      </w:r>
      <w:r>
        <w:rPr>
          <w:spacing w:val="-11"/>
        </w:rPr>
        <w:t> </w:t>
      </w:r>
      <w:r>
        <w:rPr/>
        <w:t>services</w:t>
      </w:r>
      <w:r>
        <w:rPr>
          <w:spacing w:val="-11"/>
        </w:rPr>
        <w:t> </w:t>
      </w:r>
      <w:r>
        <w:rPr/>
        <w:t>to</w:t>
      </w:r>
      <w:r>
        <w:rPr>
          <w:spacing w:val="-5"/>
        </w:rPr>
        <w:t> </w:t>
      </w:r>
      <w:r>
        <w:rPr/>
        <w:t>support</w:t>
      </w:r>
      <w:r>
        <w:rPr>
          <w:spacing w:val="-13"/>
        </w:rPr>
        <w:t> </w:t>
      </w:r>
      <w:r>
        <w:rPr/>
        <w:t>the</w:t>
      </w:r>
      <w:r>
        <w:rPr>
          <w:spacing w:val="-11"/>
        </w:rPr>
        <w:t> </w:t>
      </w:r>
      <w:r>
        <w:rPr/>
        <w:t>expected</w:t>
      </w:r>
      <w:r>
        <w:rPr>
          <w:spacing w:val="-13"/>
        </w:rPr>
        <w:t> </w:t>
      </w:r>
      <w:r>
        <w:rPr/>
        <w:t>increase in</w:t>
      </w:r>
      <w:r>
        <w:rPr>
          <w:spacing w:val="53"/>
        </w:rPr>
        <w:t> </w:t>
      </w:r>
      <w:r>
        <w:rPr/>
        <w:t>judicial</w:t>
      </w:r>
      <w:r>
        <w:rPr>
          <w:spacing w:val="56"/>
        </w:rPr>
        <w:t> </w:t>
      </w:r>
      <w:r>
        <w:rPr/>
        <w:t>activity,</w:t>
      </w:r>
      <w:r>
        <w:rPr>
          <w:spacing w:val="62"/>
        </w:rPr>
        <w:t> </w:t>
      </w:r>
      <w:r>
        <w:rPr/>
        <w:t>which</w:t>
      </w:r>
      <w:r>
        <w:rPr>
          <w:spacing w:val="55"/>
        </w:rPr>
        <w:t> </w:t>
      </w:r>
      <w:r>
        <w:rPr/>
        <w:t>will</w:t>
      </w:r>
      <w:r>
        <w:rPr>
          <w:spacing w:val="56"/>
        </w:rPr>
        <w:t> </w:t>
      </w:r>
      <w:r>
        <w:rPr/>
        <w:t>be</w:t>
      </w:r>
      <w:r>
        <w:rPr>
          <w:spacing w:val="56"/>
        </w:rPr>
        <w:t> </w:t>
      </w:r>
      <w:r>
        <w:rPr/>
        <w:t>conducted</w:t>
      </w:r>
      <w:r>
        <w:rPr>
          <w:spacing w:val="55"/>
        </w:rPr>
        <w:t> </w:t>
      </w:r>
      <w:r>
        <w:rPr/>
        <w:t>in</w:t>
      </w:r>
      <w:r>
        <w:rPr>
          <w:spacing w:val="55"/>
        </w:rPr>
        <w:t> </w:t>
      </w:r>
      <w:r>
        <w:rPr/>
        <w:t>three</w:t>
      </w:r>
      <w:r>
        <w:rPr>
          <w:spacing w:val="56"/>
        </w:rPr>
        <w:t> </w:t>
      </w:r>
      <w:r>
        <w:rPr/>
        <w:t>courtrooms</w:t>
      </w:r>
      <w:r>
        <w:rPr>
          <w:spacing w:val="53"/>
        </w:rPr>
        <w:t> </w:t>
      </w:r>
      <w:r>
        <w:rPr/>
        <w:t>(€537.6</w:t>
      </w:r>
      <w:r>
        <w:rPr>
          <w:spacing w:val="56"/>
        </w:rPr>
        <w:t> </w:t>
      </w:r>
      <w:r>
        <w:rPr>
          <w:spacing w:val="-2"/>
        </w:rPr>
        <w:t>thousand),</w:t>
      </w:r>
    </w:p>
    <w:p>
      <w:pPr>
        <w:pStyle w:val="BodyText"/>
        <w:spacing w:before="1"/>
        <w:ind w:left="2246" w:right="2247"/>
        <w:jc w:val="both"/>
      </w:pPr>
      <w:r>
        <w:rPr/>
        <w:t>(iii)</w:t>
      </w:r>
      <w:r>
        <w:rPr>
          <w:spacing w:val="-3"/>
        </w:rPr>
        <w:t> </w:t>
      </w:r>
      <w:r>
        <w:rPr/>
        <w:t>increased support requirements for investigative activities by the Office of the Prosecutor, including enhanced support in the field (€491.6 thousand) and (iv) the implementation of strategic priorities, such as those concerning improvements to the recruitment process, workforce planning and mobility, the procurement process, enhanced capabilities in relation to budget monitoring and implementation in line with the objectives set</w:t>
      </w:r>
      <w:r>
        <w:rPr>
          <w:spacing w:val="80"/>
        </w:rPr>
        <w:t> </w:t>
      </w:r>
      <w:r>
        <w:rPr/>
        <w:t>out</w:t>
      </w:r>
      <w:r>
        <w:rPr>
          <w:spacing w:val="80"/>
        </w:rPr>
        <w:t> </w:t>
      </w:r>
      <w:r>
        <w:rPr/>
        <w:t>in</w:t>
      </w:r>
      <w:r>
        <w:rPr>
          <w:spacing w:val="80"/>
        </w:rPr>
        <w:t> </w:t>
      </w:r>
      <w:r>
        <w:rPr/>
        <w:t>the</w:t>
      </w:r>
      <w:r>
        <w:rPr>
          <w:spacing w:val="80"/>
        </w:rPr>
        <w:t> </w:t>
      </w:r>
      <w:r>
        <w:rPr/>
        <w:t>Registry’s</w:t>
      </w:r>
      <w:r>
        <w:rPr>
          <w:spacing w:val="80"/>
        </w:rPr>
        <w:t> </w:t>
      </w:r>
      <w:r>
        <w:rPr/>
        <w:t>Strategic</w:t>
      </w:r>
      <w:r>
        <w:rPr>
          <w:spacing w:val="80"/>
        </w:rPr>
        <w:t> </w:t>
      </w:r>
      <w:r>
        <w:rPr/>
        <w:t>Plan,</w:t>
      </w:r>
      <w:r>
        <w:rPr>
          <w:spacing w:val="80"/>
        </w:rPr>
        <w:t> </w:t>
      </w:r>
      <w:r>
        <w:rPr/>
        <w:t>and</w:t>
      </w:r>
      <w:r>
        <w:rPr>
          <w:spacing w:val="80"/>
        </w:rPr>
        <w:t> </w:t>
      </w:r>
      <w:r>
        <w:rPr/>
        <w:t>other</w:t>
      </w:r>
      <w:r>
        <w:rPr>
          <w:spacing w:val="80"/>
        </w:rPr>
        <w:t> </w:t>
      </w:r>
      <w:r>
        <w:rPr/>
        <w:t>administrative</w:t>
      </w:r>
      <w:r>
        <w:rPr>
          <w:spacing w:val="80"/>
        </w:rPr>
        <w:t> </w:t>
      </w:r>
      <w:r>
        <w:rPr/>
        <w:t>requirements (€832.8 thousand).</w:t>
      </w:r>
    </w:p>
    <w:p>
      <w:pPr>
        <w:pStyle w:val="BodyText"/>
        <w:spacing w:before="2"/>
        <w:rPr>
          <w:sz w:val="21"/>
        </w:rPr>
      </w:pPr>
    </w:p>
    <w:p>
      <w:pPr>
        <w:pStyle w:val="Heading3"/>
        <w:tabs>
          <w:tab w:pos="5739" w:val="left" w:leader="none"/>
        </w:tabs>
        <w:ind w:left="5"/>
        <w:jc w:val="center"/>
      </w:pPr>
      <w:r>
        <w:rPr/>
        <w:t>Staff</w:t>
      </w:r>
      <w:r>
        <w:rPr>
          <w:spacing w:val="-2"/>
        </w:rPr>
        <w:t> resources</w:t>
      </w:r>
      <w:r>
        <w:rPr/>
        <w:tab/>
        <w:t>€16,212.8</w:t>
      </w:r>
      <w:r>
        <w:rPr>
          <w:spacing w:val="-6"/>
        </w:rPr>
        <w:t> </w:t>
      </w:r>
      <w:r>
        <w:rPr>
          <w:spacing w:val="-2"/>
        </w:rPr>
        <w:t>thousand</w:t>
      </w:r>
    </w:p>
    <w:p>
      <w:pPr>
        <w:pStyle w:val="BodyText"/>
        <w:spacing w:before="5"/>
        <w:rPr>
          <w:b/>
        </w:rPr>
      </w:pPr>
    </w:p>
    <w:p>
      <w:pPr>
        <w:pStyle w:val="ListParagraph"/>
        <w:numPr>
          <w:ilvl w:val="0"/>
          <w:numId w:val="4"/>
        </w:numPr>
        <w:tabs>
          <w:tab w:pos="2967" w:val="left" w:leader="none"/>
        </w:tabs>
        <w:spacing w:line="240" w:lineRule="auto" w:before="1" w:after="0"/>
        <w:ind w:left="2246" w:right="2243" w:firstLine="0"/>
        <w:jc w:val="both"/>
        <w:rPr>
          <w:sz w:val="20"/>
        </w:rPr>
      </w:pPr>
      <w:r>
        <w:rPr>
          <w:sz w:val="20"/>
        </w:rPr>
        <w:t>The</w:t>
      </w:r>
      <w:r>
        <w:rPr>
          <w:spacing w:val="-3"/>
          <w:sz w:val="20"/>
        </w:rPr>
        <w:t> </w:t>
      </w:r>
      <w:r>
        <w:rPr>
          <w:sz w:val="20"/>
        </w:rPr>
        <w:t>overall</w:t>
      </w:r>
      <w:r>
        <w:rPr>
          <w:spacing w:val="-3"/>
          <w:sz w:val="20"/>
        </w:rPr>
        <w:t> </w:t>
      </w:r>
      <w:r>
        <w:rPr>
          <w:sz w:val="20"/>
        </w:rPr>
        <w:t>proposed</w:t>
      </w:r>
      <w:r>
        <w:rPr>
          <w:spacing w:val="-5"/>
          <w:sz w:val="20"/>
        </w:rPr>
        <w:t> </w:t>
      </w:r>
      <w:r>
        <w:rPr>
          <w:sz w:val="20"/>
        </w:rPr>
        <w:t>amount</w:t>
      </w:r>
      <w:r>
        <w:rPr>
          <w:spacing w:val="-3"/>
          <w:sz w:val="20"/>
        </w:rPr>
        <w:t> </w:t>
      </w:r>
      <w:r>
        <w:rPr>
          <w:sz w:val="20"/>
        </w:rPr>
        <w:t>of</w:t>
      </w:r>
      <w:r>
        <w:rPr>
          <w:spacing w:val="-5"/>
          <w:sz w:val="20"/>
        </w:rPr>
        <w:t> </w:t>
      </w:r>
      <w:r>
        <w:rPr>
          <w:sz w:val="20"/>
        </w:rPr>
        <w:t>€16,212.8</w:t>
      </w:r>
      <w:r>
        <w:rPr>
          <w:spacing w:val="-9"/>
          <w:sz w:val="20"/>
        </w:rPr>
        <w:t> </w:t>
      </w:r>
      <w:r>
        <w:rPr>
          <w:sz w:val="20"/>
        </w:rPr>
        <w:t>thousand</w:t>
      </w:r>
      <w:r>
        <w:rPr>
          <w:spacing w:val="-5"/>
          <w:sz w:val="20"/>
        </w:rPr>
        <w:t> </w:t>
      </w:r>
      <w:r>
        <w:rPr>
          <w:sz w:val="20"/>
        </w:rPr>
        <w:t>for</w:t>
      </w:r>
      <w:r>
        <w:rPr>
          <w:spacing w:val="-9"/>
          <w:sz w:val="20"/>
        </w:rPr>
        <w:t> </w:t>
      </w:r>
      <w:r>
        <w:rPr>
          <w:sz w:val="20"/>
        </w:rPr>
        <w:t>established</w:t>
      </w:r>
      <w:r>
        <w:rPr>
          <w:spacing w:val="-5"/>
          <w:sz w:val="20"/>
        </w:rPr>
        <w:t> </w:t>
      </w:r>
      <w:r>
        <w:rPr>
          <w:sz w:val="20"/>
        </w:rPr>
        <w:t>posts</w:t>
      </w:r>
      <w:r>
        <w:rPr>
          <w:spacing w:val="-6"/>
          <w:sz w:val="20"/>
        </w:rPr>
        <w:t> </w:t>
      </w:r>
      <w:r>
        <w:rPr>
          <w:sz w:val="20"/>
        </w:rPr>
        <w:t>and</w:t>
      </w:r>
      <w:r>
        <w:rPr>
          <w:spacing w:val="-5"/>
          <w:sz w:val="20"/>
        </w:rPr>
        <w:t> </w:t>
      </w:r>
      <w:r>
        <w:rPr>
          <w:sz w:val="20"/>
        </w:rPr>
        <w:t>GTA positions represents an increase of €1,336.2 thousand from the 2022 baseline of €14.876.6 thousand. Of the proposed increase, €490.6 thousand corresponds to the application of UNCS, approximately €536.5 thousand corresponds to additional resources to support requirements in judicial activities, and €236.4 thousand is requested to ensure security support to increased investigative activities and field operations.</w:t>
      </w:r>
    </w:p>
    <w:p>
      <w:pPr>
        <w:pStyle w:val="ListParagraph"/>
        <w:numPr>
          <w:ilvl w:val="0"/>
          <w:numId w:val="4"/>
        </w:numPr>
        <w:tabs>
          <w:tab w:pos="2967" w:val="left" w:leader="none"/>
        </w:tabs>
        <w:spacing w:line="240" w:lineRule="auto" w:before="122" w:after="0"/>
        <w:ind w:left="2246" w:right="2241" w:firstLine="0"/>
        <w:jc w:val="both"/>
        <w:rPr>
          <w:sz w:val="20"/>
        </w:rPr>
      </w:pPr>
      <w:r>
        <w:rPr>
          <w:sz w:val="20"/>
        </w:rPr>
        <w:t>The</w:t>
      </w:r>
      <w:r>
        <w:rPr>
          <w:spacing w:val="-2"/>
          <w:sz w:val="20"/>
        </w:rPr>
        <w:t> </w:t>
      </w:r>
      <w:r>
        <w:rPr>
          <w:sz w:val="20"/>
        </w:rPr>
        <w:t>Division</w:t>
      </w:r>
      <w:r>
        <w:rPr>
          <w:spacing w:val="-4"/>
          <w:sz w:val="20"/>
        </w:rPr>
        <w:t> </w:t>
      </w:r>
      <w:r>
        <w:rPr>
          <w:sz w:val="20"/>
        </w:rPr>
        <w:t>continues</w:t>
      </w:r>
      <w:r>
        <w:rPr>
          <w:spacing w:val="-5"/>
          <w:sz w:val="20"/>
        </w:rPr>
        <w:t> </w:t>
      </w:r>
      <w:r>
        <w:rPr>
          <w:sz w:val="20"/>
        </w:rPr>
        <w:t>to</w:t>
      </w:r>
      <w:r>
        <w:rPr>
          <w:spacing w:val="-4"/>
          <w:sz w:val="20"/>
        </w:rPr>
        <w:t> </w:t>
      </w:r>
      <w:r>
        <w:rPr>
          <w:sz w:val="20"/>
        </w:rPr>
        <w:t>assess</w:t>
      </w:r>
      <w:r>
        <w:rPr>
          <w:spacing w:val="-5"/>
          <w:sz w:val="20"/>
        </w:rPr>
        <w:t> </w:t>
      </w:r>
      <w:r>
        <w:rPr>
          <w:sz w:val="20"/>
        </w:rPr>
        <w:t>resources</w:t>
      </w:r>
      <w:r>
        <w:rPr>
          <w:spacing w:val="-5"/>
          <w:sz w:val="20"/>
        </w:rPr>
        <w:t> </w:t>
      </w:r>
      <w:r>
        <w:rPr>
          <w:sz w:val="20"/>
        </w:rPr>
        <w:t>requirements on</w:t>
      </w:r>
      <w:r>
        <w:rPr>
          <w:spacing w:val="-4"/>
          <w:sz w:val="20"/>
        </w:rPr>
        <w:t> </w:t>
      </w:r>
      <w:r>
        <w:rPr>
          <w:sz w:val="20"/>
        </w:rPr>
        <w:t>the basis</w:t>
      </w:r>
      <w:r>
        <w:rPr>
          <w:spacing w:val="-5"/>
          <w:sz w:val="20"/>
        </w:rPr>
        <w:t> </w:t>
      </w:r>
      <w:r>
        <w:rPr>
          <w:sz w:val="20"/>
        </w:rPr>
        <w:t>of</w:t>
      </w:r>
      <w:r>
        <w:rPr>
          <w:spacing w:val="-4"/>
          <w:sz w:val="20"/>
        </w:rPr>
        <w:t> </w:t>
      </w:r>
      <w:r>
        <w:rPr>
          <w:sz w:val="20"/>
        </w:rPr>
        <w:t>anticipated actual workload. Accordingly, DMS has analysed its staffing structure and proposes the changes</w:t>
      </w:r>
      <w:r>
        <w:rPr>
          <w:spacing w:val="-13"/>
          <w:sz w:val="20"/>
        </w:rPr>
        <w:t> </w:t>
      </w:r>
      <w:r>
        <w:rPr>
          <w:sz w:val="20"/>
        </w:rPr>
        <w:t>described</w:t>
      </w:r>
      <w:r>
        <w:rPr>
          <w:spacing w:val="-12"/>
          <w:sz w:val="20"/>
        </w:rPr>
        <w:t> </w:t>
      </w:r>
      <w:r>
        <w:rPr>
          <w:sz w:val="20"/>
        </w:rPr>
        <w:t>below.</w:t>
      </w:r>
      <w:r>
        <w:rPr>
          <w:spacing w:val="-13"/>
          <w:sz w:val="20"/>
        </w:rPr>
        <w:t> </w:t>
      </w:r>
      <w:r>
        <w:rPr>
          <w:sz w:val="20"/>
        </w:rPr>
        <w:t>The</w:t>
      </w:r>
      <w:r>
        <w:rPr>
          <w:spacing w:val="-12"/>
          <w:sz w:val="20"/>
        </w:rPr>
        <w:t> </w:t>
      </w:r>
      <w:r>
        <w:rPr>
          <w:sz w:val="20"/>
        </w:rPr>
        <w:t>changes</w:t>
      </w:r>
      <w:r>
        <w:rPr>
          <w:spacing w:val="-13"/>
          <w:sz w:val="20"/>
        </w:rPr>
        <w:t> </w:t>
      </w:r>
      <w:r>
        <w:rPr>
          <w:sz w:val="20"/>
        </w:rPr>
        <w:t>include</w:t>
      </w:r>
      <w:r>
        <w:rPr>
          <w:spacing w:val="-12"/>
          <w:sz w:val="20"/>
        </w:rPr>
        <w:t> </w:t>
      </w:r>
      <w:r>
        <w:rPr>
          <w:sz w:val="20"/>
        </w:rPr>
        <w:t>a</w:t>
      </w:r>
      <w:r>
        <w:rPr>
          <w:spacing w:val="-13"/>
          <w:sz w:val="20"/>
        </w:rPr>
        <w:t> </w:t>
      </w:r>
      <w:r>
        <w:rPr>
          <w:sz w:val="20"/>
        </w:rPr>
        <w:t>new</w:t>
      </w:r>
      <w:r>
        <w:rPr>
          <w:spacing w:val="-12"/>
          <w:sz w:val="20"/>
        </w:rPr>
        <w:t> </w:t>
      </w:r>
      <w:r>
        <w:rPr>
          <w:sz w:val="20"/>
        </w:rPr>
        <w:t>P-2</w:t>
      </w:r>
      <w:r>
        <w:rPr>
          <w:spacing w:val="-13"/>
          <w:sz w:val="20"/>
        </w:rPr>
        <w:t> </w:t>
      </w:r>
      <w:r>
        <w:rPr>
          <w:sz w:val="20"/>
        </w:rPr>
        <w:t>established</w:t>
      </w:r>
      <w:r>
        <w:rPr>
          <w:spacing w:val="-12"/>
          <w:sz w:val="20"/>
        </w:rPr>
        <w:t> </w:t>
      </w:r>
      <w:r>
        <w:rPr>
          <w:sz w:val="20"/>
        </w:rPr>
        <w:t>post,</w:t>
      </w:r>
      <w:r>
        <w:rPr>
          <w:spacing w:val="-13"/>
          <w:sz w:val="20"/>
        </w:rPr>
        <w:t> </w:t>
      </w:r>
      <w:r>
        <w:rPr>
          <w:sz w:val="20"/>
        </w:rPr>
        <w:t>and</w:t>
      </w:r>
      <w:r>
        <w:rPr>
          <w:spacing w:val="-12"/>
          <w:sz w:val="20"/>
        </w:rPr>
        <w:t> </w:t>
      </w:r>
      <w:r>
        <w:rPr>
          <w:sz w:val="20"/>
        </w:rPr>
        <w:t>the</w:t>
      </w:r>
      <w:r>
        <w:rPr>
          <w:spacing w:val="-13"/>
          <w:sz w:val="20"/>
        </w:rPr>
        <w:t> </w:t>
      </w:r>
      <w:r>
        <w:rPr>
          <w:sz w:val="20"/>
        </w:rPr>
        <w:t>conversion of one P-2 and of two GS-OL positions. The conversion from GTA into established posts yields</w:t>
      </w:r>
      <w:r>
        <w:rPr>
          <w:spacing w:val="-5"/>
          <w:sz w:val="20"/>
        </w:rPr>
        <w:t> </w:t>
      </w:r>
      <w:r>
        <w:rPr>
          <w:sz w:val="20"/>
        </w:rPr>
        <w:t>a</w:t>
      </w:r>
      <w:r>
        <w:rPr>
          <w:spacing w:val="-2"/>
          <w:sz w:val="20"/>
        </w:rPr>
        <w:t> </w:t>
      </w:r>
      <w:r>
        <w:rPr>
          <w:sz w:val="20"/>
        </w:rPr>
        <w:t>cost</w:t>
      </w:r>
      <w:r>
        <w:rPr>
          <w:spacing w:val="-2"/>
          <w:sz w:val="20"/>
        </w:rPr>
        <w:t> </w:t>
      </w:r>
      <w:r>
        <w:rPr>
          <w:sz w:val="20"/>
        </w:rPr>
        <w:t>reduction</w:t>
      </w:r>
      <w:r>
        <w:rPr>
          <w:spacing w:val="-4"/>
          <w:sz w:val="20"/>
        </w:rPr>
        <w:t> </w:t>
      </w:r>
      <w:r>
        <w:rPr>
          <w:sz w:val="20"/>
        </w:rPr>
        <w:t>of</w:t>
      </w:r>
      <w:r>
        <w:rPr>
          <w:spacing w:val="-4"/>
          <w:sz w:val="20"/>
        </w:rPr>
        <w:t> </w:t>
      </w:r>
      <w:r>
        <w:rPr>
          <w:sz w:val="20"/>
        </w:rPr>
        <w:t>approximately €30.3</w:t>
      </w:r>
      <w:r>
        <w:rPr>
          <w:spacing w:val="-4"/>
          <w:sz w:val="20"/>
        </w:rPr>
        <w:t> </w:t>
      </w:r>
      <w:r>
        <w:rPr>
          <w:sz w:val="20"/>
        </w:rPr>
        <w:t>thousand</w:t>
      </w:r>
      <w:r>
        <w:rPr>
          <w:spacing w:val="-4"/>
          <w:sz w:val="20"/>
        </w:rPr>
        <w:t> </w:t>
      </w:r>
      <w:r>
        <w:rPr>
          <w:sz w:val="20"/>
        </w:rPr>
        <w:t>in</w:t>
      </w:r>
      <w:r>
        <w:rPr>
          <w:spacing w:val="-4"/>
          <w:sz w:val="20"/>
        </w:rPr>
        <w:t> </w:t>
      </w:r>
      <w:r>
        <w:rPr>
          <w:sz w:val="20"/>
        </w:rPr>
        <w:t>the light of</w:t>
      </w:r>
      <w:r>
        <w:rPr>
          <w:spacing w:val="-4"/>
          <w:sz w:val="20"/>
        </w:rPr>
        <w:t> </w:t>
      </w:r>
      <w:r>
        <w:rPr>
          <w:sz w:val="20"/>
        </w:rPr>
        <w:t>the</w:t>
      </w:r>
      <w:r>
        <w:rPr>
          <w:spacing w:val="-2"/>
          <w:sz w:val="20"/>
        </w:rPr>
        <w:t> </w:t>
      </w:r>
      <w:r>
        <w:rPr>
          <w:sz w:val="20"/>
        </w:rPr>
        <w:t>application</w:t>
      </w:r>
      <w:r>
        <w:rPr>
          <w:spacing w:val="-4"/>
          <w:sz w:val="20"/>
        </w:rPr>
        <w:t> </w:t>
      </w:r>
      <w:r>
        <w:rPr>
          <w:sz w:val="20"/>
        </w:rPr>
        <w:t>of</w:t>
      </w:r>
      <w:r>
        <w:rPr>
          <w:spacing w:val="-4"/>
          <w:sz w:val="20"/>
        </w:rPr>
        <w:t> </w:t>
      </w:r>
      <w:r>
        <w:rPr>
          <w:sz w:val="20"/>
        </w:rPr>
        <w:t>the vacancy rate. Furthermore, additional GTA positions are necessary to support security requirements in relation to the increase in judicial proceedings. Similarly, a more flexible approach is being proposed to use individual contractors to support the increased requirements</w:t>
      </w:r>
      <w:r>
        <w:rPr>
          <w:spacing w:val="-13"/>
          <w:sz w:val="20"/>
        </w:rPr>
        <w:t> </w:t>
      </w:r>
      <w:r>
        <w:rPr>
          <w:sz w:val="20"/>
        </w:rPr>
        <w:t>in</w:t>
      </w:r>
      <w:r>
        <w:rPr>
          <w:spacing w:val="-12"/>
          <w:sz w:val="20"/>
        </w:rPr>
        <w:t> </w:t>
      </w:r>
      <w:r>
        <w:rPr>
          <w:sz w:val="20"/>
        </w:rPr>
        <w:t>logistics</w:t>
      </w:r>
      <w:r>
        <w:rPr>
          <w:spacing w:val="-13"/>
          <w:sz w:val="20"/>
        </w:rPr>
        <w:t> </w:t>
      </w:r>
      <w:r>
        <w:rPr>
          <w:sz w:val="20"/>
        </w:rPr>
        <w:t>and</w:t>
      </w:r>
      <w:r>
        <w:rPr>
          <w:spacing w:val="-12"/>
          <w:sz w:val="20"/>
        </w:rPr>
        <w:t> </w:t>
      </w:r>
      <w:r>
        <w:rPr>
          <w:sz w:val="20"/>
        </w:rPr>
        <w:t>transportation</w:t>
      </w:r>
      <w:r>
        <w:rPr>
          <w:spacing w:val="-13"/>
          <w:sz w:val="20"/>
        </w:rPr>
        <w:t> </w:t>
      </w:r>
      <w:r>
        <w:rPr>
          <w:sz w:val="20"/>
        </w:rPr>
        <w:t>connected</w:t>
      </w:r>
      <w:r>
        <w:rPr>
          <w:spacing w:val="-12"/>
          <w:sz w:val="20"/>
        </w:rPr>
        <w:t> </w:t>
      </w:r>
      <w:r>
        <w:rPr>
          <w:sz w:val="20"/>
        </w:rPr>
        <w:t>to</w:t>
      </w:r>
      <w:r>
        <w:rPr>
          <w:spacing w:val="-13"/>
          <w:sz w:val="20"/>
        </w:rPr>
        <w:t> </w:t>
      </w:r>
      <w:r>
        <w:rPr>
          <w:sz w:val="20"/>
        </w:rPr>
        <w:t>judicial</w:t>
      </w:r>
      <w:r>
        <w:rPr>
          <w:spacing w:val="-12"/>
          <w:sz w:val="20"/>
        </w:rPr>
        <w:t> </w:t>
      </w:r>
      <w:r>
        <w:rPr>
          <w:sz w:val="20"/>
        </w:rPr>
        <w:t>activities.</w:t>
      </w:r>
      <w:r>
        <w:rPr>
          <w:spacing w:val="-13"/>
          <w:sz w:val="20"/>
        </w:rPr>
        <w:t> </w:t>
      </w:r>
      <w:r>
        <w:rPr>
          <w:sz w:val="20"/>
        </w:rPr>
        <w:t>It</w:t>
      </w:r>
      <w:r>
        <w:rPr>
          <w:spacing w:val="-12"/>
          <w:sz w:val="20"/>
        </w:rPr>
        <w:t> </w:t>
      </w:r>
      <w:r>
        <w:rPr>
          <w:sz w:val="20"/>
        </w:rPr>
        <w:t>should</w:t>
      </w:r>
      <w:r>
        <w:rPr>
          <w:spacing w:val="-13"/>
          <w:sz w:val="20"/>
        </w:rPr>
        <w:t> </w:t>
      </w:r>
      <w:r>
        <w:rPr>
          <w:sz w:val="20"/>
        </w:rPr>
        <w:t>be</w:t>
      </w:r>
      <w:r>
        <w:rPr>
          <w:spacing w:val="-12"/>
          <w:sz w:val="20"/>
        </w:rPr>
        <w:t> </w:t>
      </w:r>
      <w:r>
        <w:rPr>
          <w:sz w:val="20"/>
        </w:rPr>
        <w:t>noted that for 2022, the Division put forward and implemented a number of reductions to its baseline, including the discontinuation of one GS-PL (GTA), and the abolishment of three established posts at GS-OL level.</w:t>
      </w:r>
    </w:p>
    <w:p>
      <w:pPr>
        <w:pStyle w:val="BodyText"/>
        <w:rPr>
          <w:sz w:val="21"/>
        </w:rPr>
      </w:pPr>
    </w:p>
    <w:p>
      <w:pPr>
        <w:tabs>
          <w:tab w:pos="5790" w:val="left" w:leader="none"/>
        </w:tabs>
        <w:spacing w:before="0"/>
        <w:ind w:left="3" w:right="0" w:firstLine="0"/>
        <w:jc w:val="center"/>
        <w:rPr>
          <w:i/>
          <w:sz w:val="20"/>
        </w:rPr>
      </w:pPr>
      <w:r>
        <w:rPr>
          <w:i/>
          <w:sz w:val="20"/>
        </w:rPr>
        <w:t>Established</w:t>
      </w:r>
      <w:r>
        <w:rPr>
          <w:i/>
          <w:spacing w:val="-8"/>
          <w:sz w:val="20"/>
        </w:rPr>
        <w:t> </w:t>
      </w:r>
      <w:r>
        <w:rPr>
          <w:i/>
          <w:sz w:val="20"/>
        </w:rPr>
        <w:t>posts:</w:t>
      </w:r>
      <w:r>
        <w:rPr>
          <w:i/>
          <w:spacing w:val="-11"/>
          <w:sz w:val="20"/>
        </w:rPr>
        <w:t> </w:t>
      </w:r>
      <w:r>
        <w:rPr>
          <w:i/>
          <w:sz w:val="20"/>
        </w:rPr>
        <w:t>Professional</w:t>
      </w:r>
      <w:r>
        <w:rPr>
          <w:i/>
          <w:spacing w:val="-6"/>
          <w:sz w:val="20"/>
        </w:rPr>
        <w:t> </w:t>
      </w:r>
      <w:r>
        <w:rPr>
          <w:i/>
          <w:sz w:val="20"/>
        </w:rPr>
        <w:t>and</w:t>
      </w:r>
      <w:r>
        <w:rPr>
          <w:i/>
          <w:spacing w:val="-8"/>
          <w:sz w:val="20"/>
        </w:rPr>
        <w:t> </w:t>
      </w:r>
      <w:r>
        <w:rPr>
          <w:i/>
          <w:sz w:val="20"/>
        </w:rPr>
        <w:t>General</w:t>
      </w:r>
      <w:r>
        <w:rPr>
          <w:i/>
          <w:spacing w:val="-9"/>
          <w:sz w:val="20"/>
        </w:rPr>
        <w:t> </w:t>
      </w:r>
      <w:r>
        <w:rPr>
          <w:i/>
          <w:spacing w:val="-2"/>
          <w:sz w:val="20"/>
        </w:rPr>
        <w:t>Service</w:t>
      </w:r>
      <w:r>
        <w:rPr>
          <w:i/>
          <w:sz w:val="20"/>
        </w:rPr>
        <w:tab/>
        <w:t>€14,427.3</w:t>
      </w:r>
      <w:r>
        <w:rPr>
          <w:i/>
          <w:spacing w:val="-4"/>
          <w:sz w:val="20"/>
        </w:rPr>
        <w:t> </w:t>
      </w:r>
      <w:r>
        <w:rPr>
          <w:i/>
          <w:spacing w:val="-2"/>
          <w:sz w:val="20"/>
        </w:rPr>
        <w:t>thousand</w:t>
      </w:r>
    </w:p>
    <w:p>
      <w:pPr>
        <w:pStyle w:val="BodyText"/>
        <w:spacing w:before="10"/>
        <w:rPr>
          <w:i/>
        </w:rPr>
      </w:pPr>
    </w:p>
    <w:p>
      <w:pPr>
        <w:pStyle w:val="ListParagraph"/>
        <w:numPr>
          <w:ilvl w:val="0"/>
          <w:numId w:val="4"/>
        </w:numPr>
        <w:tabs>
          <w:tab w:pos="2967" w:val="left" w:leader="none"/>
        </w:tabs>
        <w:spacing w:line="240" w:lineRule="auto" w:before="1" w:after="0"/>
        <w:ind w:left="2246" w:right="2244" w:firstLine="0"/>
        <w:jc w:val="both"/>
        <w:rPr>
          <w:sz w:val="20"/>
        </w:rPr>
      </w:pPr>
      <w:r>
        <w:rPr>
          <w:sz w:val="20"/>
        </w:rPr>
        <w:t>The</w:t>
      </w:r>
      <w:r>
        <w:rPr>
          <w:spacing w:val="-10"/>
          <w:sz w:val="20"/>
        </w:rPr>
        <w:t> </w:t>
      </w:r>
      <w:r>
        <w:rPr>
          <w:sz w:val="20"/>
        </w:rPr>
        <w:t>requested</w:t>
      </w:r>
      <w:r>
        <w:rPr>
          <w:spacing w:val="-10"/>
          <w:sz w:val="20"/>
        </w:rPr>
        <w:t> </w:t>
      </w:r>
      <w:r>
        <w:rPr>
          <w:sz w:val="20"/>
        </w:rPr>
        <w:t>staff</w:t>
      </w:r>
      <w:r>
        <w:rPr>
          <w:spacing w:val="-10"/>
          <w:sz w:val="20"/>
        </w:rPr>
        <w:t> </w:t>
      </w:r>
      <w:r>
        <w:rPr>
          <w:sz w:val="20"/>
        </w:rPr>
        <w:t>costs</w:t>
      </w:r>
      <w:r>
        <w:rPr>
          <w:spacing w:val="-12"/>
          <w:sz w:val="20"/>
        </w:rPr>
        <w:t> </w:t>
      </w:r>
      <w:r>
        <w:rPr>
          <w:sz w:val="20"/>
        </w:rPr>
        <w:t>represent</w:t>
      </w:r>
      <w:r>
        <w:rPr>
          <w:spacing w:val="-9"/>
          <w:sz w:val="20"/>
        </w:rPr>
        <w:t> </w:t>
      </w:r>
      <w:r>
        <w:rPr>
          <w:sz w:val="20"/>
        </w:rPr>
        <w:t>an</w:t>
      </w:r>
      <w:r>
        <w:rPr>
          <w:spacing w:val="-10"/>
          <w:sz w:val="20"/>
        </w:rPr>
        <w:t> </w:t>
      </w:r>
      <w:r>
        <w:rPr>
          <w:sz w:val="20"/>
        </w:rPr>
        <w:t>increase</w:t>
      </w:r>
      <w:r>
        <w:rPr>
          <w:spacing w:val="-9"/>
          <w:sz w:val="20"/>
        </w:rPr>
        <w:t> </w:t>
      </w:r>
      <w:r>
        <w:rPr>
          <w:sz w:val="20"/>
        </w:rPr>
        <w:t>of</w:t>
      </w:r>
      <w:r>
        <w:rPr>
          <w:spacing w:val="-10"/>
          <w:sz w:val="20"/>
        </w:rPr>
        <w:t> </w:t>
      </w:r>
      <w:r>
        <w:rPr>
          <w:sz w:val="20"/>
        </w:rPr>
        <w:t>€781.8</w:t>
      </w:r>
      <w:r>
        <w:rPr>
          <w:spacing w:val="-13"/>
          <w:sz w:val="20"/>
        </w:rPr>
        <w:t> </w:t>
      </w:r>
      <w:r>
        <w:rPr>
          <w:sz w:val="20"/>
        </w:rPr>
        <w:t>thousand</w:t>
      </w:r>
      <w:r>
        <w:rPr>
          <w:spacing w:val="-9"/>
          <w:sz w:val="20"/>
        </w:rPr>
        <w:t> </w:t>
      </w:r>
      <w:r>
        <w:rPr>
          <w:sz w:val="20"/>
        </w:rPr>
        <w:t>(5.7</w:t>
      </w:r>
      <w:r>
        <w:rPr>
          <w:spacing w:val="-10"/>
          <w:sz w:val="20"/>
        </w:rPr>
        <w:t> </w:t>
      </w:r>
      <w:r>
        <w:rPr>
          <w:sz w:val="20"/>
        </w:rPr>
        <w:t>per</w:t>
      </w:r>
      <w:r>
        <w:rPr>
          <w:spacing w:val="-10"/>
          <w:sz w:val="20"/>
        </w:rPr>
        <w:t> </w:t>
      </w:r>
      <w:r>
        <w:rPr>
          <w:sz w:val="20"/>
        </w:rPr>
        <w:t>cent).</w:t>
      </w:r>
      <w:r>
        <w:rPr>
          <w:spacing w:val="-8"/>
          <w:sz w:val="20"/>
        </w:rPr>
        <w:t> </w:t>
      </w:r>
      <w:r>
        <w:rPr>
          <w:sz w:val="20"/>
        </w:rPr>
        <w:t>As explained above, the increase of €453.2 thousand is due to the application of the UNCS. Furthermore, €233.6 thousand corresponds to continued requirements that should be considered</w:t>
      </w:r>
      <w:r>
        <w:rPr>
          <w:spacing w:val="-3"/>
          <w:sz w:val="20"/>
        </w:rPr>
        <w:t> </w:t>
      </w:r>
      <w:r>
        <w:rPr>
          <w:sz w:val="20"/>
        </w:rPr>
        <w:t>in</w:t>
      </w:r>
      <w:r>
        <w:rPr>
          <w:spacing w:val="-7"/>
          <w:sz w:val="20"/>
        </w:rPr>
        <w:t> </w:t>
      </w:r>
      <w:r>
        <w:rPr>
          <w:sz w:val="20"/>
        </w:rPr>
        <w:t>conjunction</w:t>
      </w:r>
      <w:r>
        <w:rPr>
          <w:spacing w:val="-3"/>
          <w:sz w:val="20"/>
        </w:rPr>
        <w:t> </w:t>
      </w:r>
      <w:r>
        <w:rPr>
          <w:sz w:val="20"/>
        </w:rPr>
        <w:t>with</w:t>
      </w:r>
      <w:r>
        <w:rPr>
          <w:spacing w:val="-7"/>
          <w:sz w:val="20"/>
        </w:rPr>
        <w:t> </w:t>
      </w:r>
      <w:r>
        <w:rPr>
          <w:sz w:val="20"/>
        </w:rPr>
        <w:t>the</w:t>
      </w:r>
      <w:r>
        <w:rPr>
          <w:spacing w:val="-6"/>
          <w:sz w:val="20"/>
        </w:rPr>
        <w:t> </w:t>
      </w:r>
      <w:r>
        <w:rPr>
          <w:sz w:val="20"/>
        </w:rPr>
        <w:t>consequent</w:t>
      </w:r>
      <w:r>
        <w:rPr>
          <w:spacing w:val="-1"/>
          <w:sz w:val="20"/>
        </w:rPr>
        <w:t> </w:t>
      </w:r>
      <w:r>
        <w:rPr>
          <w:sz w:val="20"/>
        </w:rPr>
        <w:t>reduction</w:t>
      </w:r>
      <w:r>
        <w:rPr>
          <w:spacing w:val="-3"/>
          <w:sz w:val="20"/>
        </w:rPr>
        <w:t> </w:t>
      </w:r>
      <w:r>
        <w:rPr>
          <w:sz w:val="20"/>
        </w:rPr>
        <w:t>of</w:t>
      </w:r>
      <w:r>
        <w:rPr>
          <w:spacing w:val="-3"/>
          <w:sz w:val="20"/>
        </w:rPr>
        <w:t> </w:t>
      </w:r>
      <w:r>
        <w:rPr>
          <w:sz w:val="20"/>
        </w:rPr>
        <w:t>€265.5</w:t>
      </w:r>
      <w:r>
        <w:rPr>
          <w:spacing w:val="-7"/>
          <w:sz w:val="20"/>
        </w:rPr>
        <w:t> </w:t>
      </w:r>
      <w:r>
        <w:rPr>
          <w:sz w:val="20"/>
        </w:rPr>
        <w:t>thousand</w:t>
      </w:r>
      <w:r>
        <w:rPr>
          <w:spacing w:val="-3"/>
          <w:sz w:val="20"/>
        </w:rPr>
        <w:t> </w:t>
      </w:r>
      <w:r>
        <w:rPr>
          <w:sz w:val="20"/>
        </w:rPr>
        <w:t>in</w:t>
      </w:r>
      <w:r>
        <w:rPr>
          <w:spacing w:val="-7"/>
          <w:sz w:val="20"/>
        </w:rPr>
        <w:t> </w:t>
      </w:r>
      <w:r>
        <w:rPr>
          <w:sz w:val="20"/>
        </w:rPr>
        <w:t>the</w:t>
      </w:r>
      <w:r>
        <w:rPr>
          <w:spacing w:val="-6"/>
          <w:sz w:val="20"/>
        </w:rPr>
        <w:t> </w:t>
      </w:r>
      <w:r>
        <w:rPr>
          <w:sz w:val="20"/>
        </w:rPr>
        <w:t>proposed GTA budget as a result of the</w:t>
      </w:r>
      <w:r>
        <w:rPr>
          <w:spacing w:val="17"/>
          <w:sz w:val="20"/>
        </w:rPr>
        <w:t> </w:t>
      </w:r>
      <w:r>
        <w:rPr>
          <w:sz w:val="20"/>
        </w:rPr>
        <w:t>proposed conversions into established posts. The additional</w:t>
      </w:r>
    </w:p>
    <w:p>
      <w:pPr>
        <w:pStyle w:val="BodyText"/>
        <w:ind w:left="2246" w:right="2249"/>
        <w:jc w:val="both"/>
      </w:pPr>
      <w:r>
        <w:rPr/>
        <w:t>€95.0</w:t>
      </w:r>
      <w:r>
        <w:rPr>
          <w:spacing w:val="-13"/>
        </w:rPr>
        <w:t> </w:t>
      </w:r>
      <w:r>
        <w:rPr/>
        <w:t>thousand</w:t>
      </w:r>
      <w:r>
        <w:rPr>
          <w:spacing w:val="-12"/>
        </w:rPr>
        <w:t> </w:t>
      </w:r>
      <w:r>
        <w:rPr/>
        <w:t>is</w:t>
      </w:r>
      <w:r>
        <w:rPr>
          <w:spacing w:val="-13"/>
        </w:rPr>
        <w:t> </w:t>
      </w:r>
      <w:r>
        <w:rPr/>
        <w:t>requested</w:t>
      </w:r>
      <w:r>
        <w:rPr>
          <w:spacing w:val="-12"/>
        </w:rPr>
        <w:t> </w:t>
      </w:r>
      <w:r>
        <w:rPr/>
        <w:t>in</w:t>
      </w:r>
      <w:r>
        <w:rPr>
          <w:spacing w:val="-13"/>
        </w:rPr>
        <w:t> </w:t>
      </w:r>
      <w:r>
        <w:rPr/>
        <w:t>the</w:t>
      </w:r>
      <w:r>
        <w:rPr>
          <w:spacing w:val="-12"/>
        </w:rPr>
        <w:t> </w:t>
      </w:r>
      <w:r>
        <w:rPr/>
        <w:t>Budget</w:t>
      </w:r>
      <w:r>
        <w:rPr>
          <w:spacing w:val="-13"/>
        </w:rPr>
        <w:t> </w:t>
      </w:r>
      <w:r>
        <w:rPr/>
        <w:t>Section</w:t>
      </w:r>
      <w:r>
        <w:rPr>
          <w:spacing w:val="-12"/>
        </w:rPr>
        <w:t> </w:t>
      </w:r>
      <w:r>
        <w:rPr/>
        <w:t>for</w:t>
      </w:r>
      <w:r>
        <w:rPr>
          <w:spacing w:val="-13"/>
        </w:rPr>
        <w:t> </w:t>
      </w:r>
      <w:r>
        <w:rPr/>
        <w:t>a</w:t>
      </w:r>
      <w:r>
        <w:rPr>
          <w:spacing w:val="-12"/>
        </w:rPr>
        <w:t> </w:t>
      </w:r>
      <w:r>
        <w:rPr/>
        <w:t>new</w:t>
      </w:r>
      <w:r>
        <w:rPr>
          <w:spacing w:val="-13"/>
        </w:rPr>
        <w:t> </w:t>
      </w:r>
      <w:r>
        <w:rPr/>
        <w:t>position</w:t>
      </w:r>
      <w:r>
        <w:rPr>
          <w:spacing w:val="-12"/>
        </w:rPr>
        <w:t> </w:t>
      </w:r>
      <w:r>
        <w:rPr/>
        <w:t>to</w:t>
      </w:r>
      <w:r>
        <w:rPr>
          <w:spacing w:val="-13"/>
        </w:rPr>
        <w:t> </w:t>
      </w:r>
      <w:r>
        <w:rPr/>
        <w:t>enhance</w:t>
      </w:r>
      <w:r>
        <w:rPr>
          <w:spacing w:val="-12"/>
        </w:rPr>
        <w:t> </w:t>
      </w:r>
      <w:r>
        <w:rPr/>
        <w:t>the</w:t>
      </w:r>
      <w:r>
        <w:rPr>
          <w:spacing w:val="-13"/>
        </w:rPr>
        <w:t> </w:t>
      </w:r>
      <w:r>
        <w:rPr/>
        <w:t>analytical capabilities of the Registry. The proposed changes in the staffing structure are described </w:t>
      </w:r>
      <w:r>
        <w:rPr>
          <w:spacing w:val="-2"/>
        </w:rPr>
        <w:t>below.</w:t>
      </w:r>
    </w:p>
    <w:p>
      <w:pPr>
        <w:pStyle w:val="ListParagraph"/>
        <w:numPr>
          <w:ilvl w:val="0"/>
          <w:numId w:val="4"/>
        </w:numPr>
        <w:tabs>
          <w:tab w:pos="2967" w:val="left" w:leader="none"/>
        </w:tabs>
        <w:spacing w:line="240" w:lineRule="auto" w:before="119" w:after="0"/>
        <w:ind w:left="2246" w:right="2236" w:firstLine="0"/>
        <w:jc w:val="both"/>
        <w:rPr>
          <w:sz w:val="20"/>
        </w:rPr>
      </w:pPr>
      <w:r>
        <w:rPr>
          <w:sz w:val="20"/>
        </w:rPr>
        <w:t>One</w:t>
      </w:r>
      <w:r>
        <w:rPr>
          <w:spacing w:val="-13"/>
          <w:sz w:val="20"/>
        </w:rPr>
        <w:t> </w:t>
      </w:r>
      <w:r>
        <w:rPr>
          <w:i/>
          <w:sz w:val="20"/>
        </w:rPr>
        <w:t>Associate</w:t>
      </w:r>
      <w:r>
        <w:rPr>
          <w:i/>
          <w:spacing w:val="-12"/>
          <w:sz w:val="20"/>
        </w:rPr>
        <w:t> </w:t>
      </w:r>
      <w:r>
        <w:rPr>
          <w:i/>
          <w:sz w:val="20"/>
        </w:rPr>
        <w:t>Budget</w:t>
      </w:r>
      <w:r>
        <w:rPr>
          <w:i/>
          <w:spacing w:val="-13"/>
          <w:sz w:val="20"/>
        </w:rPr>
        <w:t> </w:t>
      </w:r>
      <w:r>
        <w:rPr>
          <w:i/>
          <w:sz w:val="20"/>
        </w:rPr>
        <w:t>Planning</w:t>
      </w:r>
      <w:r>
        <w:rPr>
          <w:i/>
          <w:spacing w:val="-12"/>
          <w:sz w:val="20"/>
        </w:rPr>
        <w:t> </w:t>
      </w:r>
      <w:r>
        <w:rPr>
          <w:i/>
          <w:sz w:val="20"/>
        </w:rPr>
        <w:t>and</w:t>
      </w:r>
      <w:r>
        <w:rPr>
          <w:i/>
          <w:spacing w:val="-13"/>
          <w:sz w:val="20"/>
        </w:rPr>
        <w:t> </w:t>
      </w:r>
      <w:r>
        <w:rPr>
          <w:i/>
          <w:sz w:val="20"/>
        </w:rPr>
        <w:t>Monitoring</w:t>
      </w:r>
      <w:r>
        <w:rPr>
          <w:i/>
          <w:spacing w:val="-8"/>
          <w:sz w:val="20"/>
        </w:rPr>
        <w:t> </w:t>
      </w:r>
      <w:r>
        <w:rPr>
          <w:i/>
          <w:sz w:val="20"/>
        </w:rPr>
        <w:t>Officer</w:t>
      </w:r>
      <w:r>
        <w:rPr>
          <w:i/>
          <w:spacing w:val="-13"/>
          <w:sz w:val="20"/>
        </w:rPr>
        <w:t> </w:t>
      </w:r>
      <w:r>
        <w:rPr>
          <w:i/>
          <w:sz w:val="20"/>
        </w:rPr>
        <w:t>(P-2),</w:t>
      </w:r>
      <w:r>
        <w:rPr>
          <w:i/>
          <w:spacing w:val="-6"/>
          <w:sz w:val="20"/>
        </w:rPr>
        <w:t> </w:t>
      </w:r>
      <w:r>
        <w:rPr>
          <w:i/>
          <w:sz w:val="20"/>
        </w:rPr>
        <w:t>12</w:t>
      </w:r>
      <w:r>
        <w:rPr>
          <w:i/>
          <w:spacing w:val="-13"/>
          <w:sz w:val="20"/>
        </w:rPr>
        <w:t> </w:t>
      </w:r>
      <w:r>
        <w:rPr>
          <w:i/>
          <w:sz w:val="20"/>
        </w:rPr>
        <w:t>months.</w:t>
      </w:r>
      <w:r>
        <w:rPr>
          <w:i/>
          <w:spacing w:val="-6"/>
          <w:sz w:val="20"/>
        </w:rPr>
        <w:t> </w:t>
      </w:r>
      <w:r>
        <w:rPr>
          <w:i/>
          <w:sz w:val="20"/>
        </w:rPr>
        <w:t>New.</w:t>
      </w:r>
      <w:r>
        <w:rPr>
          <w:i/>
          <w:spacing w:val="-9"/>
          <w:sz w:val="20"/>
        </w:rPr>
        <w:t> </w:t>
      </w:r>
      <w:r>
        <w:rPr>
          <w:sz w:val="20"/>
        </w:rPr>
        <w:t>The BS in the Registry provides all the necessary services to the Court including budget management,</w:t>
      </w:r>
      <w:r>
        <w:rPr>
          <w:spacing w:val="-1"/>
          <w:sz w:val="20"/>
        </w:rPr>
        <w:t> </w:t>
      </w:r>
      <w:r>
        <w:rPr>
          <w:sz w:val="20"/>
        </w:rPr>
        <w:t>budget</w:t>
      </w:r>
      <w:r>
        <w:rPr>
          <w:spacing w:val="-7"/>
          <w:sz w:val="20"/>
        </w:rPr>
        <w:t> </w:t>
      </w:r>
      <w:r>
        <w:rPr>
          <w:sz w:val="20"/>
        </w:rPr>
        <w:t>reporting</w:t>
      </w:r>
      <w:r>
        <w:rPr>
          <w:spacing w:val="-8"/>
          <w:sz w:val="20"/>
        </w:rPr>
        <w:t> </w:t>
      </w:r>
      <w:r>
        <w:rPr>
          <w:sz w:val="20"/>
        </w:rPr>
        <w:t>and</w:t>
      </w:r>
      <w:r>
        <w:rPr>
          <w:spacing w:val="-8"/>
          <w:sz w:val="20"/>
        </w:rPr>
        <w:t> </w:t>
      </w:r>
      <w:r>
        <w:rPr>
          <w:sz w:val="20"/>
        </w:rPr>
        <w:t>strategic</w:t>
      </w:r>
      <w:r>
        <w:rPr>
          <w:spacing w:val="-7"/>
          <w:sz w:val="20"/>
        </w:rPr>
        <w:t> </w:t>
      </w:r>
      <w:r>
        <w:rPr>
          <w:sz w:val="20"/>
        </w:rPr>
        <w:t>and</w:t>
      </w:r>
      <w:r>
        <w:rPr>
          <w:spacing w:val="-8"/>
          <w:sz w:val="20"/>
        </w:rPr>
        <w:t> </w:t>
      </w:r>
      <w:r>
        <w:rPr>
          <w:sz w:val="20"/>
        </w:rPr>
        <w:t>technical</w:t>
      </w:r>
      <w:r>
        <w:rPr>
          <w:spacing w:val="-7"/>
          <w:sz w:val="20"/>
        </w:rPr>
        <w:t> </w:t>
      </w:r>
      <w:r>
        <w:rPr>
          <w:sz w:val="20"/>
        </w:rPr>
        <w:t>advice.</w:t>
      </w:r>
      <w:r>
        <w:rPr>
          <w:spacing w:val="-6"/>
          <w:sz w:val="20"/>
        </w:rPr>
        <w:t> </w:t>
      </w:r>
      <w:r>
        <w:rPr>
          <w:sz w:val="20"/>
        </w:rPr>
        <w:t>In</w:t>
      </w:r>
      <w:r>
        <w:rPr>
          <w:spacing w:val="-8"/>
          <w:sz w:val="20"/>
        </w:rPr>
        <w:t> </w:t>
      </w:r>
      <w:r>
        <w:rPr>
          <w:sz w:val="20"/>
        </w:rPr>
        <w:t>recent</w:t>
      </w:r>
      <w:r>
        <w:rPr>
          <w:spacing w:val="-7"/>
          <w:sz w:val="20"/>
        </w:rPr>
        <w:t> </w:t>
      </w:r>
      <w:r>
        <w:rPr>
          <w:sz w:val="20"/>
        </w:rPr>
        <w:t>years,</w:t>
      </w:r>
      <w:r>
        <w:rPr>
          <w:spacing w:val="-6"/>
          <w:sz w:val="20"/>
        </w:rPr>
        <w:t> </w:t>
      </w:r>
      <w:r>
        <w:rPr>
          <w:sz w:val="20"/>
        </w:rPr>
        <w:t>the</w:t>
      </w:r>
      <w:r>
        <w:rPr>
          <w:spacing w:val="-7"/>
          <w:sz w:val="20"/>
        </w:rPr>
        <w:t> </w:t>
      </w:r>
      <w:r>
        <w:rPr>
          <w:sz w:val="20"/>
        </w:rPr>
        <w:t>BS</w:t>
      </w:r>
      <w:r>
        <w:rPr>
          <w:spacing w:val="-5"/>
          <w:sz w:val="20"/>
        </w:rPr>
        <w:t> </w:t>
      </w:r>
      <w:r>
        <w:rPr>
          <w:sz w:val="20"/>
        </w:rPr>
        <w:t>has been increasingly required to produce more qualitative reports and advice to senior management demanding additional analytical capacity in order to ensure quality of service</w:t>
      </w:r>
    </w:p>
    <w:p>
      <w:pPr>
        <w:spacing w:after="0" w:line="240" w:lineRule="auto"/>
        <w:jc w:val="both"/>
        <w:rPr>
          <w:sz w:val="20"/>
        </w:rPr>
        <w:sectPr>
          <w:headerReference w:type="even" r:id="rId87"/>
          <w:headerReference w:type="default" r:id="rId88"/>
          <w:footerReference w:type="even" r:id="rId89"/>
          <w:footerReference w:type="default" r:id="rId90"/>
          <w:pgSz w:w="11910" w:h="16840"/>
          <w:pgMar w:header="953" w:footer="940" w:top="1140" w:bottom="1140" w:left="20" w:right="20"/>
          <w:pgNumType w:start="108"/>
        </w:sectPr>
      </w:pPr>
    </w:p>
    <w:p>
      <w:pPr>
        <w:pStyle w:val="BodyText"/>
        <w:spacing w:before="120"/>
        <w:ind w:left="2246" w:right="2243"/>
        <w:jc w:val="both"/>
      </w:pPr>
      <w:r>
        <w:rPr/>
        <w:t>in a swiftly</w:t>
      </w:r>
      <w:r>
        <w:rPr>
          <w:spacing w:val="-3"/>
        </w:rPr>
        <w:t> </w:t>
      </w:r>
      <w:r>
        <w:rPr/>
        <w:t>changing operational</w:t>
      </w:r>
      <w:r>
        <w:rPr>
          <w:spacing w:val="-1"/>
        </w:rPr>
        <w:t> </w:t>
      </w:r>
      <w:r>
        <w:rPr/>
        <w:t>environment. The</w:t>
      </w:r>
      <w:r>
        <w:rPr>
          <w:spacing w:val="-1"/>
        </w:rPr>
        <w:t> </w:t>
      </w:r>
      <w:r>
        <w:rPr/>
        <w:t>new position</w:t>
      </w:r>
      <w:r>
        <w:rPr>
          <w:spacing w:val="-3"/>
        </w:rPr>
        <w:t> </w:t>
      </w:r>
      <w:r>
        <w:rPr/>
        <w:t>is requested to support</w:t>
      </w:r>
      <w:r>
        <w:rPr>
          <w:spacing w:val="-1"/>
        </w:rPr>
        <w:t> </w:t>
      </w:r>
      <w:r>
        <w:rPr/>
        <w:t>the work of the BS in the analysis and forecast of expenditures, provision of fund management information and strategic advice and management of transfers of funds, implementation of budget allotments, the collection and analysis of Court-wide input and data to develop performance reports and reports to external stakeholders on expenditures and forecasts. In addition, the post will support the BS in strengthening the administration of resources and providing</w:t>
      </w:r>
      <w:r>
        <w:rPr>
          <w:spacing w:val="-13"/>
        </w:rPr>
        <w:t> </w:t>
      </w:r>
      <w:r>
        <w:rPr/>
        <w:t>advice</w:t>
      </w:r>
      <w:r>
        <w:rPr>
          <w:spacing w:val="-9"/>
        </w:rPr>
        <w:t> </w:t>
      </w:r>
      <w:r>
        <w:rPr/>
        <w:t>on</w:t>
      </w:r>
      <w:r>
        <w:rPr>
          <w:spacing w:val="-12"/>
        </w:rPr>
        <w:t> </w:t>
      </w:r>
      <w:r>
        <w:rPr/>
        <w:t>actions</w:t>
      </w:r>
      <w:r>
        <w:rPr>
          <w:spacing w:val="-13"/>
        </w:rPr>
        <w:t> </w:t>
      </w:r>
      <w:r>
        <w:rPr/>
        <w:t>and</w:t>
      </w:r>
      <w:r>
        <w:rPr>
          <w:spacing w:val="-11"/>
        </w:rPr>
        <w:t> </w:t>
      </w:r>
      <w:r>
        <w:rPr/>
        <w:t>enhancements</w:t>
      </w:r>
      <w:r>
        <w:rPr>
          <w:spacing w:val="-9"/>
        </w:rPr>
        <w:t> </w:t>
      </w:r>
      <w:r>
        <w:rPr/>
        <w:t>to</w:t>
      </w:r>
      <w:r>
        <w:rPr>
          <w:spacing w:val="-12"/>
        </w:rPr>
        <w:t> </w:t>
      </w:r>
      <w:r>
        <w:rPr/>
        <w:t>continue</w:t>
      </w:r>
      <w:r>
        <w:rPr>
          <w:spacing w:val="-10"/>
        </w:rPr>
        <w:t> </w:t>
      </w:r>
      <w:r>
        <w:rPr/>
        <w:t>to</w:t>
      </w:r>
      <w:r>
        <w:rPr>
          <w:spacing w:val="-13"/>
        </w:rPr>
        <w:t> </w:t>
      </w:r>
      <w:r>
        <w:rPr/>
        <w:t>ensure</w:t>
      </w:r>
      <w:r>
        <w:rPr>
          <w:spacing w:val="-9"/>
        </w:rPr>
        <w:t> </w:t>
      </w:r>
      <w:r>
        <w:rPr/>
        <w:t>the</w:t>
      </w:r>
      <w:r>
        <w:rPr>
          <w:spacing w:val="-11"/>
        </w:rPr>
        <w:t> </w:t>
      </w:r>
      <w:r>
        <w:rPr/>
        <w:t>most</w:t>
      </w:r>
      <w:r>
        <w:rPr>
          <w:spacing w:val="-11"/>
        </w:rPr>
        <w:t> </w:t>
      </w:r>
      <w:r>
        <w:rPr/>
        <w:t>economical</w:t>
      </w:r>
      <w:r>
        <w:rPr>
          <w:spacing w:val="-11"/>
        </w:rPr>
        <w:t> </w:t>
      </w:r>
      <w:r>
        <w:rPr/>
        <w:t>use of resources and refine the systems and processes required for the budgeting function to maximize outputs and achieve efficiencies.</w:t>
      </w:r>
    </w:p>
    <w:p>
      <w:pPr>
        <w:pStyle w:val="ListParagraph"/>
        <w:numPr>
          <w:ilvl w:val="0"/>
          <w:numId w:val="4"/>
        </w:numPr>
        <w:tabs>
          <w:tab w:pos="2967" w:val="left" w:leader="none"/>
        </w:tabs>
        <w:spacing w:line="240" w:lineRule="auto" w:before="125" w:after="0"/>
        <w:ind w:left="2246" w:right="2236" w:firstLine="0"/>
        <w:jc w:val="both"/>
        <w:rPr>
          <w:sz w:val="20"/>
        </w:rPr>
      </w:pPr>
      <w:r>
        <w:rPr>
          <w:i/>
          <w:sz w:val="20"/>
        </w:rPr>
        <w:t>Request</w:t>
      </w:r>
      <w:r>
        <w:rPr>
          <w:i/>
          <w:spacing w:val="-8"/>
          <w:sz w:val="20"/>
        </w:rPr>
        <w:t> </w:t>
      </w:r>
      <w:r>
        <w:rPr>
          <w:i/>
          <w:sz w:val="20"/>
        </w:rPr>
        <w:t>to</w:t>
      </w:r>
      <w:r>
        <w:rPr>
          <w:i/>
          <w:spacing w:val="-9"/>
          <w:sz w:val="20"/>
        </w:rPr>
        <w:t> </w:t>
      </w:r>
      <w:r>
        <w:rPr>
          <w:i/>
          <w:sz w:val="20"/>
        </w:rPr>
        <w:t>convert</w:t>
      </w:r>
      <w:r>
        <w:rPr>
          <w:i/>
          <w:spacing w:val="-3"/>
          <w:sz w:val="20"/>
        </w:rPr>
        <w:t> </w:t>
      </w:r>
      <w:r>
        <w:rPr>
          <w:i/>
          <w:sz w:val="20"/>
        </w:rPr>
        <w:t>one</w:t>
      </w:r>
      <w:r>
        <w:rPr>
          <w:i/>
          <w:spacing w:val="-8"/>
          <w:sz w:val="20"/>
        </w:rPr>
        <w:t> </w:t>
      </w:r>
      <w:r>
        <w:rPr>
          <w:i/>
          <w:sz w:val="20"/>
        </w:rPr>
        <w:t>Associate</w:t>
      </w:r>
      <w:r>
        <w:rPr>
          <w:i/>
          <w:spacing w:val="-8"/>
          <w:sz w:val="20"/>
        </w:rPr>
        <w:t> </w:t>
      </w:r>
      <w:r>
        <w:rPr>
          <w:i/>
          <w:sz w:val="20"/>
        </w:rPr>
        <w:t>Administrative</w:t>
      </w:r>
      <w:r>
        <w:rPr>
          <w:i/>
          <w:spacing w:val="-3"/>
          <w:sz w:val="20"/>
        </w:rPr>
        <w:t> </w:t>
      </w:r>
      <w:r>
        <w:rPr>
          <w:i/>
          <w:sz w:val="20"/>
        </w:rPr>
        <w:t>Officer</w:t>
      </w:r>
      <w:r>
        <w:rPr>
          <w:i/>
          <w:spacing w:val="-11"/>
          <w:sz w:val="20"/>
        </w:rPr>
        <w:t> </w:t>
      </w:r>
      <w:r>
        <w:rPr>
          <w:i/>
          <w:sz w:val="20"/>
        </w:rPr>
        <w:t>(P-2)</w:t>
      </w:r>
      <w:r>
        <w:rPr>
          <w:i/>
          <w:spacing w:val="-5"/>
          <w:sz w:val="20"/>
        </w:rPr>
        <w:t> </w:t>
      </w:r>
      <w:r>
        <w:rPr>
          <w:i/>
          <w:sz w:val="20"/>
        </w:rPr>
        <w:t>GTA</w:t>
      </w:r>
      <w:r>
        <w:rPr>
          <w:i/>
          <w:spacing w:val="-3"/>
          <w:sz w:val="20"/>
        </w:rPr>
        <w:t> </w:t>
      </w:r>
      <w:r>
        <w:rPr>
          <w:i/>
          <w:sz w:val="20"/>
        </w:rPr>
        <w:t>position</w:t>
      </w:r>
      <w:r>
        <w:rPr>
          <w:i/>
          <w:spacing w:val="-9"/>
          <w:sz w:val="20"/>
        </w:rPr>
        <w:t> </w:t>
      </w:r>
      <w:r>
        <w:rPr>
          <w:i/>
          <w:sz w:val="20"/>
        </w:rPr>
        <w:t>into</w:t>
      </w:r>
      <w:r>
        <w:rPr>
          <w:i/>
          <w:spacing w:val="-5"/>
          <w:sz w:val="20"/>
        </w:rPr>
        <w:t> </w:t>
      </w:r>
      <w:r>
        <w:rPr>
          <w:i/>
          <w:sz w:val="20"/>
        </w:rPr>
        <w:t>an</w:t>
      </w:r>
      <w:r>
        <w:rPr>
          <w:i/>
          <w:sz w:val="20"/>
        </w:rPr>
        <w:t> established post, which will generate minor savings. </w:t>
      </w:r>
      <w:r>
        <w:rPr>
          <w:sz w:val="20"/>
        </w:rPr>
        <w:t>The current GTA position, serving</w:t>
      </w:r>
      <w:r>
        <w:rPr>
          <w:spacing w:val="40"/>
          <w:sz w:val="20"/>
        </w:rPr>
        <w:t> </w:t>
      </w:r>
      <w:r>
        <w:rPr>
          <w:sz w:val="20"/>
        </w:rPr>
        <w:t>OD-DMS, was initially proposed as a new established post in the Proposed Programme Budget</w:t>
      </w:r>
      <w:r>
        <w:rPr>
          <w:spacing w:val="-2"/>
          <w:sz w:val="20"/>
        </w:rPr>
        <w:t> </w:t>
      </w:r>
      <w:r>
        <w:rPr>
          <w:sz w:val="20"/>
        </w:rPr>
        <w:t>for</w:t>
      </w:r>
      <w:r>
        <w:rPr>
          <w:spacing w:val="-4"/>
          <w:sz w:val="20"/>
        </w:rPr>
        <w:t> </w:t>
      </w:r>
      <w:r>
        <w:rPr>
          <w:sz w:val="20"/>
        </w:rPr>
        <w:t>2019</w:t>
      </w:r>
      <w:r>
        <w:rPr>
          <w:spacing w:val="-4"/>
          <w:sz w:val="20"/>
        </w:rPr>
        <w:t> </w:t>
      </w:r>
      <w:r>
        <w:rPr>
          <w:sz w:val="20"/>
        </w:rPr>
        <w:t>but</w:t>
      </w:r>
      <w:r>
        <w:rPr>
          <w:spacing w:val="-2"/>
          <w:sz w:val="20"/>
        </w:rPr>
        <w:t> </w:t>
      </w:r>
      <w:r>
        <w:rPr>
          <w:sz w:val="20"/>
        </w:rPr>
        <w:t>was</w:t>
      </w:r>
      <w:r>
        <w:rPr>
          <w:spacing w:val="-5"/>
          <w:sz w:val="20"/>
        </w:rPr>
        <w:t> </w:t>
      </w:r>
      <w:r>
        <w:rPr>
          <w:sz w:val="20"/>
        </w:rPr>
        <w:t>approved</w:t>
      </w:r>
      <w:r>
        <w:rPr>
          <w:spacing w:val="-8"/>
          <w:sz w:val="20"/>
        </w:rPr>
        <w:t> </w:t>
      </w:r>
      <w:r>
        <w:rPr>
          <w:sz w:val="20"/>
        </w:rPr>
        <w:t>on</w:t>
      </w:r>
      <w:r>
        <w:rPr>
          <w:spacing w:val="-4"/>
          <w:sz w:val="20"/>
        </w:rPr>
        <w:t> </w:t>
      </w:r>
      <w:r>
        <w:rPr>
          <w:sz w:val="20"/>
        </w:rPr>
        <w:t>a</w:t>
      </w:r>
      <w:r>
        <w:rPr>
          <w:spacing w:val="-2"/>
          <w:sz w:val="20"/>
        </w:rPr>
        <w:t> </w:t>
      </w:r>
      <w:r>
        <w:rPr>
          <w:sz w:val="20"/>
        </w:rPr>
        <w:t>GTA</w:t>
      </w:r>
      <w:r>
        <w:rPr>
          <w:spacing w:val="-5"/>
          <w:sz w:val="20"/>
        </w:rPr>
        <w:t> </w:t>
      </w:r>
      <w:r>
        <w:rPr>
          <w:sz w:val="20"/>
        </w:rPr>
        <w:t>basis</w:t>
      </w:r>
      <w:r>
        <w:rPr>
          <w:spacing w:val="-5"/>
          <w:sz w:val="20"/>
        </w:rPr>
        <w:t> </w:t>
      </w:r>
      <w:r>
        <w:rPr>
          <w:sz w:val="20"/>
        </w:rPr>
        <w:t>because</w:t>
      </w:r>
      <w:r>
        <w:rPr>
          <w:spacing w:val="-7"/>
          <w:sz w:val="20"/>
        </w:rPr>
        <w:t> </w:t>
      </w:r>
      <w:r>
        <w:rPr>
          <w:sz w:val="20"/>
        </w:rPr>
        <w:t>the</w:t>
      </w:r>
      <w:r>
        <w:rPr>
          <w:spacing w:val="-2"/>
          <w:sz w:val="20"/>
        </w:rPr>
        <w:t> </w:t>
      </w:r>
      <w:r>
        <w:rPr>
          <w:sz w:val="20"/>
        </w:rPr>
        <w:t>structure</w:t>
      </w:r>
      <w:r>
        <w:rPr>
          <w:spacing w:val="-2"/>
          <w:sz w:val="20"/>
        </w:rPr>
        <w:t> </w:t>
      </w:r>
      <w:r>
        <w:rPr>
          <w:sz w:val="20"/>
        </w:rPr>
        <w:t>of</w:t>
      </w:r>
      <w:r>
        <w:rPr>
          <w:spacing w:val="-8"/>
          <w:sz w:val="20"/>
        </w:rPr>
        <w:t> </w:t>
      </w:r>
      <w:r>
        <w:rPr>
          <w:sz w:val="20"/>
        </w:rPr>
        <w:t>the</w:t>
      </w:r>
      <w:r>
        <w:rPr>
          <w:spacing w:val="-2"/>
          <w:sz w:val="20"/>
        </w:rPr>
        <w:t> </w:t>
      </w:r>
      <w:r>
        <w:rPr>
          <w:sz w:val="20"/>
        </w:rPr>
        <w:t>Registry</w:t>
      </w:r>
      <w:r>
        <w:rPr>
          <w:spacing w:val="-4"/>
          <w:sz w:val="20"/>
        </w:rPr>
        <w:t> </w:t>
      </w:r>
      <w:r>
        <w:rPr>
          <w:sz w:val="20"/>
        </w:rPr>
        <w:t>was still quite recent. Previously, the functions of this position had been performed by a Junior Professional Officer. These resources have therefore been made available for the last six years,</w:t>
      </w:r>
      <w:r>
        <w:rPr>
          <w:spacing w:val="-1"/>
          <w:sz w:val="20"/>
        </w:rPr>
        <w:t> </w:t>
      </w:r>
      <w:r>
        <w:rPr>
          <w:sz w:val="20"/>
        </w:rPr>
        <w:t>and</w:t>
      </w:r>
      <w:r>
        <w:rPr>
          <w:spacing w:val="-4"/>
          <w:sz w:val="20"/>
        </w:rPr>
        <w:t> </w:t>
      </w:r>
      <w:r>
        <w:rPr>
          <w:sz w:val="20"/>
        </w:rPr>
        <w:t>the</w:t>
      </w:r>
      <w:r>
        <w:rPr>
          <w:spacing w:val="-2"/>
          <w:sz w:val="20"/>
        </w:rPr>
        <w:t> </w:t>
      </w:r>
      <w:r>
        <w:rPr>
          <w:sz w:val="20"/>
        </w:rPr>
        <w:t>need</w:t>
      </w:r>
      <w:r>
        <w:rPr>
          <w:spacing w:val="-4"/>
          <w:sz w:val="20"/>
        </w:rPr>
        <w:t> </w:t>
      </w:r>
      <w:r>
        <w:rPr>
          <w:sz w:val="20"/>
        </w:rPr>
        <w:t>is</w:t>
      </w:r>
      <w:r>
        <w:rPr>
          <w:spacing w:val="-5"/>
          <w:sz w:val="20"/>
        </w:rPr>
        <w:t> </w:t>
      </w:r>
      <w:r>
        <w:rPr>
          <w:sz w:val="20"/>
        </w:rPr>
        <w:t>expected</w:t>
      </w:r>
      <w:r>
        <w:rPr>
          <w:spacing w:val="-4"/>
          <w:sz w:val="20"/>
        </w:rPr>
        <w:t> </w:t>
      </w:r>
      <w:r>
        <w:rPr>
          <w:sz w:val="20"/>
        </w:rPr>
        <w:t>to</w:t>
      </w:r>
      <w:r>
        <w:rPr>
          <w:spacing w:val="-4"/>
          <w:sz w:val="20"/>
        </w:rPr>
        <w:t> </w:t>
      </w:r>
      <w:r>
        <w:rPr>
          <w:sz w:val="20"/>
        </w:rPr>
        <w:t>continue.</w:t>
      </w:r>
      <w:r>
        <w:rPr>
          <w:spacing w:val="-1"/>
          <w:sz w:val="20"/>
        </w:rPr>
        <w:t> </w:t>
      </w:r>
      <w:r>
        <w:rPr>
          <w:sz w:val="20"/>
        </w:rPr>
        <w:t>The request for conversion responds</w:t>
      </w:r>
      <w:r>
        <w:rPr>
          <w:spacing w:val="-5"/>
          <w:sz w:val="20"/>
        </w:rPr>
        <w:t> </w:t>
      </w:r>
      <w:r>
        <w:rPr>
          <w:sz w:val="20"/>
        </w:rPr>
        <w:t>to</w:t>
      </w:r>
      <w:r>
        <w:rPr>
          <w:spacing w:val="-4"/>
          <w:sz w:val="20"/>
        </w:rPr>
        <w:t> </w:t>
      </w:r>
      <w:r>
        <w:rPr>
          <w:sz w:val="20"/>
        </w:rPr>
        <w:t>the need to continue supporting the Director in the day-to-day running of the Office and in the management of</w:t>
      </w:r>
      <w:r>
        <w:rPr>
          <w:spacing w:val="-5"/>
          <w:sz w:val="20"/>
        </w:rPr>
        <w:t> </w:t>
      </w:r>
      <w:r>
        <w:rPr>
          <w:sz w:val="20"/>
        </w:rPr>
        <w:t>the Division from</w:t>
      </w:r>
      <w:r>
        <w:rPr>
          <w:spacing w:val="-3"/>
          <w:sz w:val="20"/>
        </w:rPr>
        <w:t> </w:t>
      </w:r>
      <w:r>
        <w:rPr>
          <w:sz w:val="20"/>
        </w:rPr>
        <w:t>a budgetary, financial, general services, human resources and</w:t>
      </w:r>
      <w:r>
        <w:rPr>
          <w:spacing w:val="-4"/>
          <w:sz w:val="20"/>
        </w:rPr>
        <w:t> </w:t>
      </w:r>
      <w:r>
        <w:rPr>
          <w:sz w:val="20"/>
        </w:rPr>
        <w:t>security</w:t>
      </w:r>
      <w:r>
        <w:rPr>
          <w:spacing w:val="-8"/>
          <w:sz w:val="20"/>
        </w:rPr>
        <w:t> </w:t>
      </w:r>
      <w:r>
        <w:rPr>
          <w:sz w:val="20"/>
        </w:rPr>
        <w:t>and</w:t>
      </w:r>
      <w:r>
        <w:rPr>
          <w:spacing w:val="-4"/>
          <w:sz w:val="20"/>
        </w:rPr>
        <w:t> </w:t>
      </w:r>
      <w:r>
        <w:rPr>
          <w:sz w:val="20"/>
        </w:rPr>
        <w:t>safety</w:t>
      </w:r>
      <w:r>
        <w:rPr>
          <w:spacing w:val="-8"/>
          <w:sz w:val="20"/>
        </w:rPr>
        <w:t> </w:t>
      </w:r>
      <w:r>
        <w:rPr>
          <w:sz w:val="20"/>
        </w:rPr>
        <w:t>perspective,</w:t>
      </w:r>
      <w:r>
        <w:rPr>
          <w:spacing w:val="-11"/>
          <w:sz w:val="20"/>
        </w:rPr>
        <w:t> </w:t>
      </w:r>
      <w:r>
        <w:rPr>
          <w:sz w:val="20"/>
        </w:rPr>
        <w:t>and</w:t>
      </w:r>
      <w:r>
        <w:rPr>
          <w:spacing w:val="-8"/>
          <w:sz w:val="20"/>
        </w:rPr>
        <w:t> </w:t>
      </w:r>
      <w:r>
        <w:rPr>
          <w:sz w:val="20"/>
        </w:rPr>
        <w:t>to</w:t>
      </w:r>
      <w:r>
        <w:rPr>
          <w:spacing w:val="-8"/>
          <w:sz w:val="20"/>
        </w:rPr>
        <w:t> </w:t>
      </w:r>
      <w:r>
        <w:rPr>
          <w:sz w:val="20"/>
        </w:rPr>
        <w:t>the</w:t>
      </w:r>
      <w:r>
        <w:rPr>
          <w:spacing w:val="-2"/>
          <w:sz w:val="20"/>
        </w:rPr>
        <w:t> </w:t>
      </w:r>
      <w:r>
        <w:rPr>
          <w:sz w:val="20"/>
        </w:rPr>
        <w:t>year-round</w:t>
      </w:r>
      <w:r>
        <w:rPr>
          <w:spacing w:val="-8"/>
          <w:sz w:val="20"/>
        </w:rPr>
        <w:t> </w:t>
      </w:r>
      <w:r>
        <w:rPr>
          <w:sz w:val="20"/>
        </w:rPr>
        <w:t>need</w:t>
      </w:r>
      <w:r>
        <w:rPr>
          <w:spacing w:val="-4"/>
          <w:sz w:val="20"/>
        </w:rPr>
        <w:t> </w:t>
      </w:r>
      <w:r>
        <w:rPr>
          <w:sz w:val="20"/>
        </w:rPr>
        <w:t>to</w:t>
      </w:r>
      <w:r>
        <w:rPr>
          <w:spacing w:val="-8"/>
          <w:sz w:val="20"/>
        </w:rPr>
        <w:t> </w:t>
      </w:r>
      <w:r>
        <w:rPr>
          <w:sz w:val="20"/>
        </w:rPr>
        <w:t>address</w:t>
      </w:r>
      <w:r>
        <w:rPr>
          <w:spacing w:val="-10"/>
          <w:sz w:val="20"/>
        </w:rPr>
        <w:t> </w:t>
      </w:r>
      <w:r>
        <w:rPr>
          <w:sz w:val="20"/>
        </w:rPr>
        <w:t>requirements</w:t>
      </w:r>
      <w:r>
        <w:rPr>
          <w:spacing w:val="-10"/>
          <w:sz w:val="20"/>
        </w:rPr>
        <w:t> </w:t>
      </w:r>
      <w:r>
        <w:rPr>
          <w:sz w:val="20"/>
        </w:rPr>
        <w:t>from external stakeholders such as the Committee, The Hague Working Group, the Assembly of States</w:t>
      </w:r>
      <w:r>
        <w:rPr>
          <w:spacing w:val="-1"/>
          <w:sz w:val="20"/>
        </w:rPr>
        <w:t> </w:t>
      </w:r>
      <w:r>
        <w:rPr>
          <w:sz w:val="20"/>
        </w:rPr>
        <w:t>Parties,</w:t>
      </w:r>
      <w:r>
        <w:rPr>
          <w:spacing w:val="-2"/>
          <w:sz w:val="20"/>
        </w:rPr>
        <w:t> </w:t>
      </w:r>
      <w:r>
        <w:rPr>
          <w:sz w:val="20"/>
        </w:rPr>
        <w:t>the</w:t>
      </w:r>
      <w:r>
        <w:rPr>
          <w:spacing w:val="-3"/>
          <w:sz w:val="20"/>
        </w:rPr>
        <w:t> </w:t>
      </w:r>
      <w:r>
        <w:rPr>
          <w:sz w:val="20"/>
        </w:rPr>
        <w:t>External Auditor</w:t>
      </w:r>
      <w:r>
        <w:rPr>
          <w:spacing w:val="-5"/>
          <w:sz w:val="20"/>
        </w:rPr>
        <w:t> </w:t>
      </w:r>
      <w:r>
        <w:rPr>
          <w:sz w:val="20"/>
        </w:rPr>
        <w:t>and</w:t>
      </w:r>
      <w:r>
        <w:rPr>
          <w:spacing w:val="-5"/>
          <w:sz w:val="20"/>
        </w:rPr>
        <w:t> </w:t>
      </w:r>
      <w:r>
        <w:rPr>
          <w:sz w:val="20"/>
        </w:rPr>
        <w:t>the</w:t>
      </w:r>
      <w:r>
        <w:rPr>
          <w:spacing w:val="-3"/>
          <w:sz w:val="20"/>
        </w:rPr>
        <w:t> </w:t>
      </w:r>
      <w:r>
        <w:rPr>
          <w:sz w:val="20"/>
        </w:rPr>
        <w:t>Audit</w:t>
      </w:r>
      <w:r>
        <w:rPr>
          <w:spacing w:val="-3"/>
          <w:sz w:val="20"/>
        </w:rPr>
        <w:t> </w:t>
      </w:r>
      <w:r>
        <w:rPr>
          <w:sz w:val="20"/>
        </w:rPr>
        <w:t>Committee. Support</w:t>
      </w:r>
      <w:r>
        <w:rPr>
          <w:spacing w:val="-3"/>
          <w:sz w:val="20"/>
        </w:rPr>
        <w:t> </w:t>
      </w:r>
      <w:r>
        <w:rPr>
          <w:sz w:val="20"/>
        </w:rPr>
        <w:t>is</w:t>
      </w:r>
      <w:r>
        <w:rPr>
          <w:spacing w:val="-6"/>
          <w:sz w:val="20"/>
        </w:rPr>
        <w:t> </w:t>
      </w:r>
      <w:r>
        <w:rPr>
          <w:sz w:val="20"/>
        </w:rPr>
        <w:t>also</w:t>
      </w:r>
      <w:r>
        <w:rPr>
          <w:spacing w:val="-5"/>
          <w:sz w:val="20"/>
        </w:rPr>
        <w:t> </w:t>
      </w:r>
      <w:r>
        <w:rPr>
          <w:sz w:val="20"/>
        </w:rPr>
        <w:t>needed for</w:t>
      </w:r>
      <w:r>
        <w:rPr>
          <w:spacing w:val="-5"/>
          <w:sz w:val="20"/>
        </w:rPr>
        <w:t> </w:t>
      </w:r>
      <w:r>
        <w:rPr>
          <w:sz w:val="20"/>
        </w:rPr>
        <w:t>the coordination,</w:t>
      </w:r>
      <w:r>
        <w:rPr>
          <w:spacing w:val="-2"/>
          <w:sz w:val="20"/>
        </w:rPr>
        <w:t> </w:t>
      </w:r>
      <w:r>
        <w:rPr>
          <w:sz w:val="20"/>
        </w:rPr>
        <w:t>guidance</w:t>
      </w:r>
      <w:r>
        <w:rPr>
          <w:spacing w:val="-3"/>
          <w:sz w:val="20"/>
        </w:rPr>
        <w:t> </w:t>
      </w:r>
      <w:r>
        <w:rPr>
          <w:sz w:val="20"/>
        </w:rPr>
        <w:t>and oversight</w:t>
      </w:r>
      <w:r>
        <w:rPr>
          <w:spacing w:val="-3"/>
          <w:sz w:val="20"/>
        </w:rPr>
        <w:t> </w:t>
      </w:r>
      <w:r>
        <w:rPr>
          <w:sz w:val="20"/>
        </w:rPr>
        <w:t>of</w:t>
      </w:r>
      <w:r>
        <w:rPr>
          <w:spacing w:val="-5"/>
          <w:sz w:val="20"/>
        </w:rPr>
        <w:t> </w:t>
      </w:r>
      <w:r>
        <w:rPr>
          <w:sz w:val="20"/>
        </w:rPr>
        <w:t>audit</w:t>
      </w:r>
      <w:r>
        <w:rPr>
          <w:spacing w:val="-3"/>
          <w:sz w:val="20"/>
        </w:rPr>
        <w:t> </w:t>
      </w:r>
      <w:r>
        <w:rPr>
          <w:sz w:val="20"/>
        </w:rPr>
        <w:t>compliance;</w:t>
      </w:r>
      <w:r>
        <w:rPr>
          <w:spacing w:val="-3"/>
          <w:sz w:val="20"/>
        </w:rPr>
        <w:t> </w:t>
      </w:r>
      <w:r>
        <w:rPr>
          <w:sz w:val="20"/>
        </w:rPr>
        <w:t>strategic planning</w:t>
      </w:r>
      <w:r>
        <w:rPr>
          <w:spacing w:val="-5"/>
          <w:sz w:val="20"/>
        </w:rPr>
        <w:t> </w:t>
      </w:r>
      <w:r>
        <w:rPr>
          <w:sz w:val="20"/>
        </w:rPr>
        <w:t>initiatives;</w:t>
      </w:r>
      <w:r>
        <w:rPr>
          <w:spacing w:val="-3"/>
          <w:sz w:val="20"/>
        </w:rPr>
        <w:t> </w:t>
      </w:r>
      <w:r>
        <w:rPr>
          <w:sz w:val="20"/>
        </w:rPr>
        <w:t>and assessment</w:t>
      </w:r>
      <w:r>
        <w:rPr>
          <w:spacing w:val="-4"/>
          <w:sz w:val="20"/>
        </w:rPr>
        <w:t> </w:t>
      </w:r>
      <w:r>
        <w:rPr>
          <w:sz w:val="20"/>
        </w:rPr>
        <w:t>and</w:t>
      </w:r>
      <w:r>
        <w:rPr>
          <w:spacing w:val="-6"/>
          <w:sz w:val="20"/>
        </w:rPr>
        <w:t> </w:t>
      </w:r>
      <w:r>
        <w:rPr>
          <w:sz w:val="20"/>
        </w:rPr>
        <w:t>implementation</w:t>
      </w:r>
      <w:r>
        <w:rPr>
          <w:spacing w:val="-1"/>
          <w:sz w:val="20"/>
        </w:rPr>
        <w:t> </w:t>
      </w:r>
      <w:r>
        <w:rPr>
          <w:sz w:val="20"/>
        </w:rPr>
        <w:t>of</w:t>
      </w:r>
      <w:r>
        <w:rPr>
          <w:spacing w:val="-1"/>
          <w:sz w:val="20"/>
        </w:rPr>
        <w:t> </w:t>
      </w:r>
      <w:r>
        <w:rPr>
          <w:sz w:val="20"/>
        </w:rPr>
        <w:t>the Independent</w:t>
      </w:r>
      <w:r>
        <w:rPr>
          <w:spacing w:val="-4"/>
          <w:sz w:val="20"/>
        </w:rPr>
        <w:t> </w:t>
      </w:r>
      <w:r>
        <w:rPr>
          <w:sz w:val="20"/>
        </w:rPr>
        <w:t>Expert Review</w:t>
      </w:r>
      <w:r>
        <w:rPr>
          <w:spacing w:val="-2"/>
          <w:sz w:val="20"/>
        </w:rPr>
        <w:t> </w:t>
      </w:r>
      <w:r>
        <w:rPr>
          <w:sz w:val="20"/>
        </w:rPr>
        <w:t>recommendations</w:t>
      </w:r>
      <w:r>
        <w:rPr>
          <w:spacing w:val="-2"/>
          <w:sz w:val="20"/>
        </w:rPr>
        <w:t> </w:t>
      </w:r>
      <w:r>
        <w:rPr>
          <w:sz w:val="20"/>
        </w:rPr>
        <w:t>within the Division. Finally, the post would also contribute to assisting the Director on various intra-organ matters and Registry-specific requirements.</w:t>
      </w:r>
    </w:p>
    <w:p>
      <w:pPr>
        <w:pStyle w:val="ListParagraph"/>
        <w:numPr>
          <w:ilvl w:val="0"/>
          <w:numId w:val="4"/>
        </w:numPr>
        <w:tabs>
          <w:tab w:pos="2967" w:val="left" w:leader="none"/>
        </w:tabs>
        <w:spacing w:line="240" w:lineRule="auto" w:before="118" w:after="0"/>
        <w:ind w:left="2246" w:right="2238" w:firstLine="0"/>
        <w:jc w:val="both"/>
        <w:rPr>
          <w:sz w:val="20"/>
        </w:rPr>
      </w:pPr>
      <w:r>
        <w:rPr>
          <w:i/>
          <w:sz w:val="20"/>
        </w:rPr>
        <w:t>Request to convert one Occupational Health Nurse (GS-OL) position into an</w:t>
      </w:r>
      <w:r>
        <w:rPr>
          <w:i/>
          <w:sz w:val="20"/>
        </w:rPr>
        <w:t> established post; request to convert one Field Paramedic (GS-OL) GTA position into an established post;</w:t>
      </w:r>
      <w:r>
        <w:rPr>
          <w:i/>
          <w:spacing w:val="-1"/>
          <w:sz w:val="20"/>
        </w:rPr>
        <w:t> </w:t>
      </w:r>
      <w:r>
        <w:rPr>
          <w:i/>
          <w:sz w:val="20"/>
        </w:rPr>
        <w:t>these changes will generate minor savings. </w:t>
      </w:r>
      <w:r>
        <w:rPr>
          <w:sz w:val="20"/>
        </w:rPr>
        <w:t>The positions of</w:t>
      </w:r>
      <w:r>
        <w:rPr>
          <w:spacing w:val="-1"/>
          <w:sz w:val="20"/>
        </w:rPr>
        <w:t> </w:t>
      </w:r>
      <w:r>
        <w:rPr>
          <w:sz w:val="20"/>
        </w:rPr>
        <w:t>Occupational Health</w:t>
      </w:r>
      <w:r>
        <w:rPr>
          <w:spacing w:val="-8"/>
          <w:sz w:val="20"/>
        </w:rPr>
        <w:t> </w:t>
      </w:r>
      <w:r>
        <w:rPr>
          <w:sz w:val="20"/>
        </w:rPr>
        <w:t>Nurse</w:t>
      </w:r>
      <w:r>
        <w:rPr>
          <w:spacing w:val="-12"/>
          <w:sz w:val="20"/>
        </w:rPr>
        <w:t> </w:t>
      </w:r>
      <w:r>
        <w:rPr>
          <w:sz w:val="20"/>
        </w:rPr>
        <w:t>and</w:t>
      </w:r>
      <w:r>
        <w:rPr>
          <w:spacing w:val="-6"/>
          <w:sz w:val="20"/>
        </w:rPr>
        <w:t> </w:t>
      </w:r>
      <w:r>
        <w:rPr>
          <w:sz w:val="20"/>
        </w:rPr>
        <w:t>Field</w:t>
      </w:r>
      <w:r>
        <w:rPr>
          <w:spacing w:val="-13"/>
          <w:sz w:val="20"/>
        </w:rPr>
        <w:t> </w:t>
      </w:r>
      <w:r>
        <w:rPr>
          <w:sz w:val="20"/>
        </w:rPr>
        <w:t>Paramedic</w:t>
      </w:r>
      <w:r>
        <w:rPr>
          <w:spacing w:val="-6"/>
          <w:sz w:val="20"/>
        </w:rPr>
        <w:t> </w:t>
      </w:r>
      <w:r>
        <w:rPr>
          <w:sz w:val="20"/>
        </w:rPr>
        <w:t>were</w:t>
      </w:r>
      <w:r>
        <w:rPr>
          <w:spacing w:val="-11"/>
          <w:sz w:val="20"/>
        </w:rPr>
        <w:t> </w:t>
      </w:r>
      <w:r>
        <w:rPr>
          <w:sz w:val="20"/>
        </w:rPr>
        <w:t>created</w:t>
      </w:r>
      <w:r>
        <w:rPr>
          <w:spacing w:val="-13"/>
          <w:sz w:val="20"/>
        </w:rPr>
        <w:t> </w:t>
      </w:r>
      <w:r>
        <w:rPr>
          <w:sz w:val="20"/>
        </w:rPr>
        <w:t>pursuant</w:t>
      </w:r>
      <w:r>
        <w:rPr>
          <w:spacing w:val="-11"/>
          <w:sz w:val="20"/>
        </w:rPr>
        <w:t> </w:t>
      </w:r>
      <w:r>
        <w:rPr>
          <w:sz w:val="20"/>
        </w:rPr>
        <w:t>to</w:t>
      </w:r>
      <w:r>
        <w:rPr>
          <w:spacing w:val="-13"/>
          <w:sz w:val="20"/>
        </w:rPr>
        <w:t> </w:t>
      </w:r>
      <w:r>
        <w:rPr>
          <w:sz w:val="20"/>
        </w:rPr>
        <w:t>a</w:t>
      </w:r>
      <w:r>
        <w:rPr>
          <w:spacing w:val="-11"/>
          <w:sz w:val="20"/>
        </w:rPr>
        <w:t> </w:t>
      </w:r>
      <w:r>
        <w:rPr>
          <w:sz w:val="20"/>
        </w:rPr>
        <w:t>decision</w:t>
      </w:r>
      <w:r>
        <w:rPr>
          <w:spacing w:val="-6"/>
          <w:sz w:val="20"/>
        </w:rPr>
        <w:t> </w:t>
      </w:r>
      <w:r>
        <w:rPr>
          <w:sz w:val="20"/>
        </w:rPr>
        <w:t>not</w:t>
      </w:r>
      <w:r>
        <w:rPr>
          <w:spacing w:val="-12"/>
          <w:sz w:val="20"/>
        </w:rPr>
        <w:t> </w:t>
      </w:r>
      <w:r>
        <w:rPr>
          <w:sz w:val="20"/>
        </w:rPr>
        <w:t>to</w:t>
      </w:r>
      <w:r>
        <w:rPr>
          <w:spacing w:val="-8"/>
          <w:sz w:val="20"/>
        </w:rPr>
        <w:t> </w:t>
      </w:r>
      <w:r>
        <w:rPr>
          <w:sz w:val="20"/>
        </w:rPr>
        <w:t>renew</w:t>
      </w:r>
      <w:r>
        <w:rPr>
          <w:spacing w:val="-10"/>
          <w:sz w:val="20"/>
        </w:rPr>
        <w:t> </w:t>
      </w:r>
      <w:r>
        <w:rPr>
          <w:sz w:val="20"/>
        </w:rPr>
        <w:t>a</w:t>
      </w:r>
      <w:r>
        <w:rPr>
          <w:spacing w:val="-11"/>
          <w:sz w:val="20"/>
        </w:rPr>
        <w:t> </w:t>
      </w:r>
      <w:r>
        <w:rPr>
          <w:sz w:val="20"/>
        </w:rPr>
        <w:t>medical services contract with an external vendor, which both generated savings and ensured sustainable support. The continued insourcing of those positions is required to meet permanent operational needs. These positions enhance the Registry’s ability to provide required medical and welfare services and result in more efficient workflows. The Occupational Health Nurse addresses pressing health issues and implements preventive programmes and measures, while providing backup when the Court’s medical staff are on leave or attending mandatory training to maintain certifications. The Field Paramedic maintains and manages medical equipment, pharmaceuticals and relevant infrastructure for field operations; assists with remote (high-risk) missions; trains field staff on first aid and emergency protocols; writes and maintains standard operating procedures for field medical support;</w:t>
      </w:r>
      <w:r>
        <w:rPr>
          <w:spacing w:val="-7"/>
          <w:sz w:val="20"/>
        </w:rPr>
        <w:t> </w:t>
      </w:r>
      <w:r>
        <w:rPr>
          <w:sz w:val="20"/>
        </w:rPr>
        <w:t>and writes reports</w:t>
      </w:r>
      <w:r>
        <w:rPr>
          <w:spacing w:val="-5"/>
          <w:sz w:val="20"/>
        </w:rPr>
        <w:t> </w:t>
      </w:r>
      <w:r>
        <w:rPr>
          <w:sz w:val="20"/>
        </w:rPr>
        <w:t>and</w:t>
      </w:r>
      <w:r>
        <w:rPr>
          <w:spacing w:val="-4"/>
          <w:sz w:val="20"/>
        </w:rPr>
        <w:t> </w:t>
      </w:r>
      <w:r>
        <w:rPr>
          <w:sz w:val="20"/>
        </w:rPr>
        <w:t>situation</w:t>
      </w:r>
      <w:r>
        <w:rPr>
          <w:spacing w:val="-4"/>
          <w:sz w:val="20"/>
        </w:rPr>
        <w:t> </w:t>
      </w:r>
      <w:r>
        <w:rPr>
          <w:sz w:val="20"/>
        </w:rPr>
        <w:t>updates as needed.</w:t>
      </w:r>
      <w:r>
        <w:rPr>
          <w:spacing w:val="-1"/>
          <w:sz w:val="20"/>
        </w:rPr>
        <w:t> </w:t>
      </w:r>
      <w:r>
        <w:rPr>
          <w:sz w:val="20"/>
        </w:rPr>
        <w:t>The</w:t>
      </w:r>
      <w:r>
        <w:rPr>
          <w:spacing w:val="-2"/>
          <w:sz w:val="20"/>
        </w:rPr>
        <w:t> </w:t>
      </w:r>
      <w:r>
        <w:rPr>
          <w:sz w:val="20"/>
        </w:rPr>
        <w:t>Field</w:t>
      </w:r>
      <w:r>
        <w:rPr>
          <w:spacing w:val="-4"/>
          <w:sz w:val="20"/>
        </w:rPr>
        <w:t> </w:t>
      </w:r>
      <w:r>
        <w:rPr>
          <w:sz w:val="20"/>
        </w:rPr>
        <w:t>Paramedic</w:t>
      </w:r>
      <w:r>
        <w:rPr>
          <w:spacing w:val="-2"/>
          <w:sz w:val="20"/>
        </w:rPr>
        <w:t> </w:t>
      </w:r>
      <w:r>
        <w:rPr>
          <w:sz w:val="20"/>
        </w:rPr>
        <w:t>is</w:t>
      </w:r>
      <w:r>
        <w:rPr>
          <w:spacing w:val="-5"/>
          <w:sz w:val="20"/>
        </w:rPr>
        <w:t> </w:t>
      </w:r>
      <w:r>
        <w:rPr>
          <w:sz w:val="20"/>
        </w:rPr>
        <w:t>based</w:t>
      </w:r>
      <w:r>
        <w:rPr>
          <w:spacing w:val="-4"/>
          <w:sz w:val="20"/>
        </w:rPr>
        <w:t> </w:t>
      </w:r>
      <w:r>
        <w:rPr>
          <w:sz w:val="20"/>
        </w:rPr>
        <w:t>in The Hague and can be dispatched quickly and efficiently to deal with medical emergencies in the field or support critical missions.</w:t>
      </w:r>
    </w:p>
    <w:p>
      <w:pPr>
        <w:pStyle w:val="BodyText"/>
        <w:spacing w:before="2"/>
        <w:rPr>
          <w:sz w:val="21"/>
        </w:rPr>
      </w:pPr>
    </w:p>
    <w:p>
      <w:pPr>
        <w:tabs>
          <w:tab w:pos="8138" w:val="left" w:leader="none"/>
        </w:tabs>
        <w:spacing w:before="0"/>
        <w:ind w:left="2246" w:right="0" w:firstLine="0"/>
        <w:jc w:val="both"/>
        <w:rPr>
          <w:i/>
          <w:sz w:val="20"/>
        </w:rPr>
      </w:pPr>
      <w:r>
        <w:rPr>
          <w:i/>
          <w:sz w:val="20"/>
        </w:rPr>
        <w:t>General</w:t>
      </w:r>
      <w:r>
        <w:rPr>
          <w:i/>
          <w:spacing w:val="-9"/>
          <w:sz w:val="20"/>
        </w:rPr>
        <w:t> </w:t>
      </w:r>
      <w:r>
        <w:rPr>
          <w:i/>
          <w:sz w:val="20"/>
        </w:rPr>
        <w:t>temporary</w:t>
      </w:r>
      <w:r>
        <w:rPr>
          <w:i/>
          <w:spacing w:val="-4"/>
          <w:sz w:val="20"/>
        </w:rPr>
        <w:t> </w:t>
      </w:r>
      <w:r>
        <w:rPr>
          <w:i/>
          <w:spacing w:val="-2"/>
          <w:sz w:val="20"/>
        </w:rPr>
        <w:t>assistance</w:t>
      </w:r>
      <w:r>
        <w:rPr>
          <w:i/>
          <w:sz w:val="20"/>
        </w:rPr>
        <w:tab/>
        <w:t>€1,460.8</w:t>
      </w:r>
      <w:r>
        <w:rPr>
          <w:i/>
          <w:spacing w:val="-11"/>
          <w:sz w:val="20"/>
        </w:rPr>
        <w:t> </w:t>
      </w:r>
      <w:r>
        <w:rPr>
          <w:i/>
          <w:spacing w:val="-2"/>
          <w:sz w:val="20"/>
        </w:rPr>
        <w:t>thousand</w:t>
      </w:r>
    </w:p>
    <w:p>
      <w:pPr>
        <w:pStyle w:val="BodyText"/>
        <w:spacing w:before="10"/>
        <w:rPr>
          <w:i/>
        </w:rPr>
      </w:pPr>
    </w:p>
    <w:p>
      <w:pPr>
        <w:pStyle w:val="ListParagraph"/>
        <w:numPr>
          <w:ilvl w:val="0"/>
          <w:numId w:val="4"/>
        </w:numPr>
        <w:tabs>
          <w:tab w:pos="2967" w:val="left" w:leader="none"/>
        </w:tabs>
        <w:spacing w:line="240" w:lineRule="auto" w:before="0" w:after="0"/>
        <w:ind w:left="2246" w:right="2240" w:firstLine="0"/>
        <w:jc w:val="both"/>
        <w:rPr>
          <w:sz w:val="20"/>
        </w:rPr>
      </w:pPr>
      <w:r>
        <w:rPr>
          <w:sz w:val="20"/>
        </w:rPr>
        <w:t>As</w:t>
      </w:r>
      <w:r>
        <w:rPr>
          <w:spacing w:val="-13"/>
          <w:sz w:val="20"/>
        </w:rPr>
        <w:t> </w:t>
      </w:r>
      <w:r>
        <w:rPr>
          <w:sz w:val="20"/>
        </w:rPr>
        <w:t>indicated,</w:t>
      </w:r>
      <w:r>
        <w:rPr>
          <w:spacing w:val="-12"/>
          <w:sz w:val="20"/>
        </w:rPr>
        <w:t> </w:t>
      </w:r>
      <w:r>
        <w:rPr>
          <w:sz w:val="20"/>
        </w:rPr>
        <w:t>in</w:t>
      </w:r>
      <w:r>
        <w:rPr>
          <w:spacing w:val="-13"/>
          <w:sz w:val="20"/>
        </w:rPr>
        <w:t> </w:t>
      </w:r>
      <w:r>
        <w:rPr>
          <w:sz w:val="20"/>
        </w:rPr>
        <w:t>the</w:t>
      </w:r>
      <w:r>
        <w:rPr>
          <w:spacing w:val="-12"/>
          <w:sz w:val="20"/>
        </w:rPr>
        <w:t> </w:t>
      </w:r>
      <w:r>
        <w:rPr>
          <w:sz w:val="20"/>
        </w:rPr>
        <w:t>light</w:t>
      </w:r>
      <w:r>
        <w:rPr>
          <w:spacing w:val="-13"/>
          <w:sz w:val="20"/>
        </w:rPr>
        <w:t> </w:t>
      </w:r>
      <w:r>
        <w:rPr>
          <w:sz w:val="20"/>
        </w:rPr>
        <w:t>of</w:t>
      </w:r>
      <w:r>
        <w:rPr>
          <w:spacing w:val="-12"/>
          <w:sz w:val="20"/>
        </w:rPr>
        <w:t> </w:t>
      </w:r>
      <w:r>
        <w:rPr>
          <w:sz w:val="20"/>
        </w:rPr>
        <w:t>the</w:t>
      </w:r>
      <w:r>
        <w:rPr>
          <w:spacing w:val="-13"/>
          <w:sz w:val="20"/>
        </w:rPr>
        <w:t> </w:t>
      </w:r>
      <w:r>
        <w:rPr>
          <w:sz w:val="20"/>
        </w:rPr>
        <w:t>additional</w:t>
      </w:r>
      <w:r>
        <w:rPr>
          <w:spacing w:val="-12"/>
          <w:sz w:val="20"/>
        </w:rPr>
        <w:t> </w:t>
      </w:r>
      <w:r>
        <w:rPr>
          <w:sz w:val="20"/>
        </w:rPr>
        <w:t>operational</w:t>
      </w:r>
      <w:r>
        <w:rPr>
          <w:spacing w:val="-13"/>
          <w:sz w:val="20"/>
        </w:rPr>
        <w:t> </w:t>
      </w:r>
      <w:r>
        <w:rPr>
          <w:sz w:val="20"/>
        </w:rPr>
        <w:t>requirements</w:t>
      </w:r>
      <w:r>
        <w:rPr>
          <w:spacing w:val="-12"/>
          <w:sz w:val="20"/>
        </w:rPr>
        <w:t> </w:t>
      </w:r>
      <w:r>
        <w:rPr>
          <w:sz w:val="20"/>
        </w:rPr>
        <w:t>expected</w:t>
      </w:r>
      <w:r>
        <w:rPr>
          <w:spacing w:val="-13"/>
          <w:sz w:val="20"/>
        </w:rPr>
        <w:t> </w:t>
      </w:r>
      <w:r>
        <w:rPr>
          <w:sz w:val="20"/>
        </w:rPr>
        <w:t>in</w:t>
      </w:r>
      <w:r>
        <w:rPr>
          <w:spacing w:val="-12"/>
          <w:sz w:val="20"/>
        </w:rPr>
        <w:t> </w:t>
      </w:r>
      <w:r>
        <w:rPr>
          <w:sz w:val="20"/>
        </w:rPr>
        <w:t>2023 in</w:t>
      </w:r>
      <w:r>
        <w:rPr>
          <w:spacing w:val="-4"/>
          <w:sz w:val="20"/>
        </w:rPr>
        <w:t> </w:t>
      </w:r>
      <w:r>
        <w:rPr>
          <w:sz w:val="20"/>
        </w:rPr>
        <w:t>respect</w:t>
      </w:r>
      <w:r>
        <w:rPr>
          <w:spacing w:val="-7"/>
          <w:sz w:val="20"/>
        </w:rPr>
        <w:t> </w:t>
      </w:r>
      <w:r>
        <w:rPr>
          <w:sz w:val="20"/>
        </w:rPr>
        <w:t>of</w:t>
      </w:r>
      <w:r>
        <w:rPr>
          <w:spacing w:val="-8"/>
          <w:sz w:val="20"/>
        </w:rPr>
        <w:t> </w:t>
      </w:r>
      <w:r>
        <w:rPr>
          <w:sz w:val="20"/>
        </w:rPr>
        <w:t>judicial</w:t>
      </w:r>
      <w:r>
        <w:rPr>
          <w:spacing w:val="-7"/>
          <w:sz w:val="20"/>
        </w:rPr>
        <w:t> </w:t>
      </w:r>
      <w:r>
        <w:rPr>
          <w:sz w:val="20"/>
        </w:rPr>
        <w:t>activities</w:t>
      </w:r>
      <w:r>
        <w:rPr>
          <w:spacing w:val="-10"/>
          <w:sz w:val="20"/>
        </w:rPr>
        <w:t> </w:t>
      </w:r>
      <w:r>
        <w:rPr>
          <w:sz w:val="20"/>
        </w:rPr>
        <w:t>and</w:t>
      </w:r>
      <w:r>
        <w:rPr>
          <w:spacing w:val="-8"/>
          <w:sz w:val="20"/>
        </w:rPr>
        <w:t> </w:t>
      </w:r>
      <w:r>
        <w:rPr>
          <w:sz w:val="20"/>
        </w:rPr>
        <w:t>Court</w:t>
      </w:r>
      <w:r>
        <w:rPr>
          <w:spacing w:val="-7"/>
          <w:sz w:val="20"/>
        </w:rPr>
        <w:t> </w:t>
      </w:r>
      <w:r>
        <w:rPr>
          <w:sz w:val="20"/>
        </w:rPr>
        <w:t>hearing</w:t>
      </w:r>
      <w:r>
        <w:rPr>
          <w:spacing w:val="-8"/>
          <w:sz w:val="20"/>
        </w:rPr>
        <w:t> </w:t>
      </w:r>
      <w:r>
        <w:rPr>
          <w:sz w:val="20"/>
        </w:rPr>
        <w:t>days,</w:t>
      </w:r>
      <w:r>
        <w:rPr>
          <w:spacing w:val="-6"/>
          <w:sz w:val="20"/>
        </w:rPr>
        <w:t> </w:t>
      </w:r>
      <w:r>
        <w:rPr>
          <w:sz w:val="20"/>
        </w:rPr>
        <w:t>the</w:t>
      </w:r>
      <w:r>
        <w:rPr>
          <w:spacing w:val="-2"/>
          <w:sz w:val="20"/>
        </w:rPr>
        <w:t> </w:t>
      </w:r>
      <w:r>
        <w:rPr>
          <w:sz w:val="20"/>
        </w:rPr>
        <w:t>requested</w:t>
      </w:r>
      <w:r>
        <w:rPr>
          <w:spacing w:val="-8"/>
          <w:sz w:val="20"/>
        </w:rPr>
        <w:t> </w:t>
      </w:r>
      <w:r>
        <w:rPr>
          <w:sz w:val="20"/>
        </w:rPr>
        <w:t>amount</w:t>
      </w:r>
      <w:r>
        <w:rPr>
          <w:spacing w:val="-7"/>
          <w:sz w:val="20"/>
        </w:rPr>
        <w:t> </w:t>
      </w:r>
      <w:r>
        <w:rPr>
          <w:sz w:val="20"/>
        </w:rPr>
        <w:t>represents</w:t>
      </w:r>
      <w:r>
        <w:rPr>
          <w:spacing w:val="-10"/>
          <w:sz w:val="20"/>
        </w:rPr>
        <w:t> </w:t>
      </w:r>
      <w:r>
        <w:rPr>
          <w:sz w:val="20"/>
        </w:rPr>
        <w:t>a</w:t>
      </w:r>
      <w:r>
        <w:rPr>
          <w:spacing w:val="-2"/>
          <w:sz w:val="20"/>
        </w:rPr>
        <w:t> </w:t>
      </w:r>
      <w:r>
        <w:rPr>
          <w:sz w:val="20"/>
        </w:rPr>
        <w:t>net increase of €544.4 thousand (59.4 per cent), reflecting a proposed increase of €536.5 thousand for new positions to ensure security and logistical support to courtroom activities, as</w:t>
      </w:r>
      <w:r>
        <w:rPr>
          <w:spacing w:val="-11"/>
          <w:sz w:val="20"/>
        </w:rPr>
        <w:t> </w:t>
      </w:r>
      <w:r>
        <w:rPr>
          <w:sz w:val="20"/>
        </w:rPr>
        <w:t>well</w:t>
      </w:r>
      <w:r>
        <w:rPr>
          <w:spacing w:val="-11"/>
          <w:sz w:val="20"/>
        </w:rPr>
        <w:t> </w:t>
      </w:r>
      <w:r>
        <w:rPr>
          <w:sz w:val="20"/>
        </w:rPr>
        <w:t>as</w:t>
      </w:r>
      <w:r>
        <w:rPr>
          <w:spacing w:val="-13"/>
          <w:sz w:val="20"/>
        </w:rPr>
        <w:t> </w:t>
      </w:r>
      <w:r>
        <w:rPr>
          <w:sz w:val="20"/>
        </w:rPr>
        <w:t>an</w:t>
      </w:r>
      <w:r>
        <w:rPr>
          <w:spacing w:val="-12"/>
          <w:sz w:val="20"/>
        </w:rPr>
        <w:t> </w:t>
      </w:r>
      <w:r>
        <w:rPr>
          <w:sz w:val="20"/>
        </w:rPr>
        <w:t>increase</w:t>
      </w:r>
      <w:r>
        <w:rPr>
          <w:spacing w:val="-10"/>
          <w:sz w:val="20"/>
        </w:rPr>
        <w:t> </w:t>
      </w:r>
      <w:r>
        <w:rPr>
          <w:sz w:val="20"/>
        </w:rPr>
        <w:t>of</w:t>
      </w:r>
      <w:r>
        <w:rPr>
          <w:spacing w:val="-12"/>
          <w:sz w:val="20"/>
        </w:rPr>
        <w:t> </w:t>
      </w:r>
      <w:r>
        <w:rPr>
          <w:sz w:val="20"/>
        </w:rPr>
        <w:t>€236.4</w:t>
      </w:r>
      <w:r>
        <w:rPr>
          <w:spacing w:val="-12"/>
          <w:sz w:val="20"/>
        </w:rPr>
        <w:t> </w:t>
      </w:r>
      <w:r>
        <w:rPr>
          <w:sz w:val="20"/>
        </w:rPr>
        <w:t>thousand</w:t>
      </w:r>
      <w:r>
        <w:rPr>
          <w:spacing w:val="-12"/>
          <w:sz w:val="20"/>
        </w:rPr>
        <w:t> </w:t>
      </w:r>
      <w:r>
        <w:rPr>
          <w:sz w:val="20"/>
        </w:rPr>
        <w:t>to</w:t>
      </w:r>
      <w:r>
        <w:rPr>
          <w:spacing w:val="-12"/>
          <w:sz w:val="20"/>
        </w:rPr>
        <w:t> </w:t>
      </w:r>
      <w:r>
        <w:rPr>
          <w:sz w:val="20"/>
        </w:rPr>
        <w:t>ensure</w:t>
      </w:r>
      <w:r>
        <w:rPr>
          <w:spacing w:val="-10"/>
          <w:sz w:val="20"/>
        </w:rPr>
        <w:t> </w:t>
      </w:r>
      <w:r>
        <w:rPr>
          <w:sz w:val="20"/>
        </w:rPr>
        <w:t>security</w:t>
      </w:r>
      <w:r>
        <w:rPr>
          <w:spacing w:val="-12"/>
          <w:sz w:val="20"/>
        </w:rPr>
        <w:t> </w:t>
      </w:r>
      <w:r>
        <w:rPr>
          <w:sz w:val="20"/>
        </w:rPr>
        <w:t>support</w:t>
      </w:r>
      <w:r>
        <w:rPr>
          <w:spacing w:val="-11"/>
          <w:sz w:val="20"/>
        </w:rPr>
        <w:t> </w:t>
      </w:r>
      <w:r>
        <w:rPr>
          <w:sz w:val="20"/>
        </w:rPr>
        <w:t>to</w:t>
      </w:r>
      <w:r>
        <w:rPr>
          <w:spacing w:val="-12"/>
          <w:sz w:val="20"/>
        </w:rPr>
        <w:t> </w:t>
      </w:r>
      <w:r>
        <w:rPr>
          <w:sz w:val="20"/>
        </w:rPr>
        <w:t>increased</w:t>
      </w:r>
      <w:r>
        <w:rPr>
          <w:spacing w:val="-12"/>
          <w:sz w:val="20"/>
        </w:rPr>
        <w:t> </w:t>
      </w:r>
      <w:r>
        <w:rPr>
          <w:sz w:val="20"/>
        </w:rPr>
        <w:t>investigative activities</w:t>
      </w:r>
      <w:r>
        <w:rPr>
          <w:spacing w:val="-2"/>
          <w:sz w:val="20"/>
        </w:rPr>
        <w:t> </w:t>
      </w:r>
      <w:r>
        <w:rPr>
          <w:sz w:val="20"/>
        </w:rPr>
        <w:t>and</w:t>
      </w:r>
      <w:r>
        <w:rPr>
          <w:spacing w:val="-1"/>
          <w:sz w:val="20"/>
        </w:rPr>
        <w:t> </w:t>
      </w:r>
      <w:r>
        <w:rPr>
          <w:sz w:val="20"/>
        </w:rPr>
        <w:t>field</w:t>
      </w:r>
      <w:r>
        <w:rPr>
          <w:spacing w:val="-6"/>
          <w:sz w:val="20"/>
        </w:rPr>
        <w:t> </w:t>
      </w:r>
      <w:r>
        <w:rPr>
          <w:sz w:val="20"/>
        </w:rPr>
        <w:t>operations. These</w:t>
      </w:r>
      <w:r>
        <w:rPr>
          <w:spacing w:val="-4"/>
          <w:sz w:val="20"/>
        </w:rPr>
        <w:t> </w:t>
      </w:r>
      <w:r>
        <w:rPr>
          <w:sz w:val="20"/>
        </w:rPr>
        <w:t>increases</w:t>
      </w:r>
      <w:r>
        <w:rPr>
          <w:spacing w:val="-6"/>
          <w:sz w:val="20"/>
        </w:rPr>
        <w:t> </w:t>
      </w:r>
      <w:r>
        <w:rPr>
          <w:sz w:val="20"/>
        </w:rPr>
        <w:t>are</w:t>
      </w:r>
      <w:r>
        <w:rPr>
          <w:spacing w:val="-4"/>
          <w:sz w:val="20"/>
        </w:rPr>
        <w:t> </w:t>
      </w:r>
      <w:r>
        <w:rPr>
          <w:sz w:val="20"/>
        </w:rPr>
        <w:t>partially</w:t>
      </w:r>
      <w:r>
        <w:rPr>
          <w:spacing w:val="-1"/>
          <w:sz w:val="20"/>
        </w:rPr>
        <w:t> </w:t>
      </w:r>
      <w:r>
        <w:rPr>
          <w:sz w:val="20"/>
        </w:rPr>
        <w:t>offset by</w:t>
      </w:r>
      <w:r>
        <w:rPr>
          <w:spacing w:val="-1"/>
          <w:sz w:val="20"/>
        </w:rPr>
        <w:t> </w:t>
      </w:r>
      <w:r>
        <w:rPr>
          <w:sz w:val="20"/>
        </w:rPr>
        <w:t>the expected reduction of €265.5</w:t>
      </w:r>
      <w:r>
        <w:rPr>
          <w:spacing w:val="-6"/>
          <w:sz w:val="20"/>
        </w:rPr>
        <w:t> </w:t>
      </w:r>
      <w:r>
        <w:rPr>
          <w:sz w:val="20"/>
        </w:rPr>
        <w:t>thousand</w:t>
      </w:r>
      <w:r>
        <w:rPr>
          <w:spacing w:val="-2"/>
          <w:sz w:val="20"/>
        </w:rPr>
        <w:t> </w:t>
      </w:r>
      <w:r>
        <w:rPr>
          <w:sz w:val="20"/>
        </w:rPr>
        <w:t>in</w:t>
      </w:r>
      <w:r>
        <w:rPr>
          <w:spacing w:val="-2"/>
          <w:sz w:val="20"/>
        </w:rPr>
        <w:t> </w:t>
      </w:r>
      <w:r>
        <w:rPr>
          <w:sz w:val="20"/>
        </w:rPr>
        <w:t>GTA</w:t>
      </w:r>
      <w:r>
        <w:rPr>
          <w:spacing w:val="-9"/>
          <w:sz w:val="20"/>
        </w:rPr>
        <w:t> </w:t>
      </w:r>
      <w:r>
        <w:rPr>
          <w:sz w:val="20"/>
        </w:rPr>
        <w:t>costs</w:t>
      </w:r>
      <w:r>
        <w:rPr>
          <w:spacing w:val="-3"/>
          <w:sz w:val="20"/>
        </w:rPr>
        <w:t> </w:t>
      </w:r>
      <w:r>
        <w:rPr>
          <w:sz w:val="20"/>
        </w:rPr>
        <w:t>as</w:t>
      </w:r>
      <w:r>
        <w:rPr>
          <w:spacing w:val="-3"/>
          <w:sz w:val="20"/>
        </w:rPr>
        <w:t> </w:t>
      </w:r>
      <w:r>
        <w:rPr>
          <w:sz w:val="20"/>
        </w:rPr>
        <w:t>a result of</w:t>
      </w:r>
      <w:r>
        <w:rPr>
          <w:spacing w:val="-2"/>
          <w:sz w:val="20"/>
        </w:rPr>
        <w:t> </w:t>
      </w:r>
      <w:r>
        <w:rPr>
          <w:sz w:val="20"/>
        </w:rPr>
        <w:t>the proposed</w:t>
      </w:r>
      <w:r>
        <w:rPr>
          <w:spacing w:val="-6"/>
          <w:sz w:val="20"/>
        </w:rPr>
        <w:t> </w:t>
      </w:r>
      <w:r>
        <w:rPr>
          <w:sz w:val="20"/>
        </w:rPr>
        <w:t>conversions</w:t>
      </w:r>
      <w:r>
        <w:rPr>
          <w:spacing w:val="-3"/>
          <w:sz w:val="20"/>
        </w:rPr>
        <w:t> </w:t>
      </w:r>
      <w:r>
        <w:rPr>
          <w:sz w:val="20"/>
        </w:rPr>
        <w:t>to</w:t>
      </w:r>
      <w:r>
        <w:rPr>
          <w:spacing w:val="-6"/>
          <w:sz w:val="20"/>
        </w:rPr>
        <w:t> </w:t>
      </w:r>
      <w:r>
        <w:rPr>
          <w:sz w:val="20"/>
        </w:rPr>
        <w:t>established</w:t>
      </w:r>
      <w:r>
        <w:rPr>
          <w:spacing w:val="-2"/>
          <w:sz w:val="20"/>
        </w:rPr>
        <w:t> </w:t>
      </w:r>
      <w:r>
        <w:rPr>
          <w:sz w:val="20"/>
        </w:rPr>
        <w:t>post. In addition,</w:t>
      </w:r>
      <w:r>
        <w:rPr>
          <w:spacing w:val="-1"/>
          <w:sz w:val="20"/>
        </w:rPr>
        <w:t> </w:t>
      </w:r>
      <w:r>
        <w:rPr>
          <w:sz w:val="20"/>
        </w:rPr>
        <w:t>the</w:t>
      </w:r>
      <w:r>
        <w:rPr>
          <w:spacing w:val="-2"/>
          <w:sz w:val="20"/>
        </w:rPr>
        <w:t> </w:t>
      </w:r>
      <w:r>
        <w:rPr>
          <w:sz w:val="20"/>
        </w:rPr>
        <w:t>costs associated with</w:t>
      </w:r>
      <w:r>
        <w:rPr>
          <w:spacing w:val="-4"/>
          <w:sz w:val="20"/>
        </w:rPr>
        <w:t> </w:t>
      </w:r>
      <w:r>
        <w:rPr>
          <w:sz w:val="20"/>
        </w:rPr>
        <w:t>the</w:t>
      </w:r>
      <w:r>
        <w:rPr>
          <w:spacing w:val="-2"/>
          <w:sz w:val="20"/>
        </w:rPr>
        <w:t> </w:t>
      </w:r>
      <w:r>
        <w:rPr>
          <w:sz w:val="20"/>
        </w:rPr>
        <w:t>application</w:t>
      </w:r>
      <w:r>
        <w:rPr>
          <w:spacing w:val="-4"/>
          <w:sz w:val="20"/>
        </w:rPr>
        <w:t> </w:t>
      </w:r>
      <w:r>
        <w:rPr>
          <w:sz w:val="20"/>
        </w:rPr>
        <w:t>of</w:t>
      </w:r>
      <w:r>
        <w:rPr>
          <w:spacing w:val="-4"/>
          <w:sz w:val="20"/>
        </w:rPr>
        <w:t> </w:t>
      </w:r>
      <w:r>
        <w:rPr>
          <w:sz w:val="20"/>
        </w:rPr>
        <w:t>the</w:t>
      </w:r>
      <w:r>
        <w:rPr>
          <w:spacing w:val="-2"/>
          <w:sz w:val="20"/>
        </w:rPr>
        <w:t> </w:t>
      </w:r>
      <w:r>
        <w:rPr>
          <w:sz w:val="20"/>
        </w:rPr>
        <w:t>UNCS</w:t>
      </w:r>
      <w:r>
        <w:rPr>
          <w:spacing w:val="-1"/>
          <w:sz w:val="20"/>
        </w:rPr>
        <w:t> </w:t>
      </w:r>
      <w:r>
        <w:rPr>
          <w:sz w:val="20"/>
        </w:rPr>
        <w:t>to GTA positions</w:t>
      </w:r>
      <w:r>
        <w:rPr>
          <w:spacing w:val="-5"/>
          <w:sz w:val="20"/>
        </w:rPr>
        <w:t> </w:t>
      </w:r>
      <w:r>
        <w:rPr>
          <w:sz w:val="20"/>
        </w:rPr>
        <w:t>amount to</w:t>
      </w:r>
      <w:r>
        <w:rPr>
          <w:spacing w:val="-8"/>
          <w:sz w:val="20"/>
        </w:rPr>
        <w:t> </w:t>
      </w:r>
      <w:r>
        <w:rPr>
          <w:sz w:val="20"/>
        </w:rPr>
        <w:t>€37.4</w:t>
      </w:r>
      <w:r>
        <w:rPr>
          <w:spacing w:val="-8"/>
          <w:sz w:val="20"/>
        </w:rPr>
        <w:t> </w:t>
      </w:r>
      <w:r>
        <w:rPr>
          <w:sz w:val="20"/>
        </w:rPr>
        <w:t>thousand.</w:t>
      </w:r>
      <w:r>
        <w:rPr>
          <w:spacing w:val="-6"/>
          <w:sz w:val="20"/>
        </w:rPr>
        <w:t> </w:t>
      </w:r>
      <w:r>
        <w:rPr>
          <w:sz w:val="20"/>
        </w:rPr>
        <w:t>New</w:t>
      </w:r>
      <w:r>
        <w:rPr>
          <w:spacing w:val="-10"/>
          <w:sz w:val="20"/>
        </w:rPr>
        <w:t> </w:t>
      </w:r>
      <w:r>
        <w:rPr>
          <w:sz w:val="20"/>
        </w:rPr>
        <w:t>GTA</w:t>
      </w:r>
      <w:r>
        <w:rPr>
          <w:spacing w:val="-10"/>
          <w:sz w:val="20"/>
        </w:rPr>
        <w:t> </w:t>
      </w:r>
      <w:r>
        <w:rPr>
          <w:sz w:val="20"/>
        </w:rPr>
        <w:t>requirements</w:t>
      </w:r>
      <w:r>
        <w:rPr>
          <w:spacing w:val="-10"/>
          <w:sz w:val="20"/>
        </w:rPr>
        <w:t> </w:t>
      </w:r>
      <w:r>
        <w:rPr>
          <w:sz w:val="20"/>
        </w:rPr>
        <w:t>and</w:t>
      </w:r>
      <w:r>
        <w:rPr>
          <w:spacing w:val="-13"/>
          <w:sz w:val="20"/>
        </w:rPr>
        <w:t> </w:t>
      </w:r>
      <w:r>
        <w:rPr>
          <w:sz w:val="20"/>
        </w:rPr>
        <w:t>those</w:t>
      </w:r>
      <w:r>
        <w:rPr>
          <w:spacing w:val="-10"/>
          <w:sz w:val="20"/>
        </w:rPr>
        <w:t> </w:t>
      </w:r>
      <w:r>
        <w:rPr>
          <w:sz w:val="20"/>
        </w:rPr>
        <w:t>that</w:t>
      </w:r>
      <w:r>
        <w:rPr>
          <w:spacing w:val="-7"/>
          <w:sz w:val="20"/>
        </w:rPr>
        <w:t> </w:t>
      </w:r>
      <w:r>
        <w:rPr>
          <w:sz w:val="20"/>
        </w:rPr>
        <w:t>DMS</w:t>
      </w:r>
      <w:r>
        <w:rPr>
          <w:spacing w:val="-5"/>
          <w:sz w:val="20"/>
        </w:rPr>
        <w:t> </w:t>
      </w:r>
      <w:r>
        <w:rPr>
          <w:sz w:val="20"/>
        </w:rPr>
        <w:t>proposes</w:t>
      </w:r>
      <w:r>
        <w:rPr>
          <w:spacing w:val="-10"/>
          <w:sz w:val="20"/>
        </w:rPr>
        <w:t> </w:t>
      </w:r>
      <w:r>
        <w:rPr>
          <w:sz w:val="20"/>
        </w:rPr>
        <w:t>to</w:t>
      </w:r>
      <w:r>
        <w:rPr>
          <w:spacing w:val="-13"/>
          <w:sz w:val="20"/>
        </w:rPr>
        <w:t> </w:t>
      </w:r>
      <w:r>
        <w:rPr>
          <w:sz w:val="20"/>
        </w:rPr>
        <w:t>continue</w:t>
      </w:r>
      <w:r>
        <w:rPr>
          <w:spacing w:val="-6"/>
          <w:sz w:val="20"/>
        </w:rPr>
        <w:t> </w:t>
      </w:r>
      <w:r>
        <w:rPr>
          <w:sz w:val="20"/>
        </w:rPr>
        <w:t>in</w:t>
      </w:r>
      <w:r>
        <w:rPr>
          <w:spacing w:val="-13"/>
          <w:sz w:val="20"/>
        </w:rPr>
        <w:t> </w:t>
      </w:r>
      <w:r>
        <w:rPr>
          <w:sz w:val="20"/>
        </w:rPr>
        <w:t>2022 are described below.</w:t>
      </w:r>
    </w:p>
    <w:p>
      <w:pPr>
        <w:pStyle w:val="ListParagraph"/>
        <w:numPr>
          <w:ilvl w:val="0"/>
          <w:numId w:val="4"/>
        </w:numPr>
        <w:tabs>
          <w:tab w:pos="2967" w:val="left" w:leader="none"/>
        </w:tabs>
        <w:spacing w:line="240" w:lineRule="auto" w:before="120" w:after="0"/>
        <w:ind w:left="2246" w:right="2243" w:firstLine="0"/>
        <w:jc w:val="both"/>
        <w:rPr>
          <w:sz w:val="20"/>
        </w:rPr>
      </w:pPr>
      <w:r>
        <w:rPr>
          <w:sz w:val="20"/>
        </w:rPr>
        <w:t>One </w:t>
      </w:r>
      <w:r>
        <w:rPr>
          <w:i/>
          <w:sz w:val="20"/>
        </w:rPr>
        <w:t>Human Resources Officer (Legal and Policy) (P-3), 12 months. Continued.</w:t>
      </w:r>
      <w:r>
        <w:rPr>
          <w:i/>
          <w:sz w:val="20"/>
        </w:rPr>
        <w:t> Multi-year</w:t>
      </w:r>
      <w:r>
        <w:rPr>
          <w:sz w:val="20"/>
        </w:rPr>
        <w:t>. The Human Resources Officer (Legal and Policy) is required to continue supporting the Court’s policy developments, act as Secretary to the Advisory Board on Compensation Claims and support early resolution of contract disputes.</w:t>
      </w:r>
    </w:p>
    <w:p>
      <w:pPr>
        <w:spacing w:after="0" w:line="240" w:lineRule="auto"/>
        <w:jc w:val="both"/>
        <w:rPr>
          <w:sz w:val="20"/>
        </w:rPr>
        <w:sectPr>
          <w:pgSz w:w="11910" w:h="16840"/>
          <w:pgMar w:header="957" w:footer="940" w:top="1140" w:bottom="1140" w:left="20" w:right="20"/>
        </w:sectPr>
      </w:pPr>
    </w:p>
    <w:p>
      <w:pPr>
        <w:pStyle w:val="ListParagraph"/>
        <w:numPr>
          <w:ilvl w:val="0"/>
          <w:numId w:val="4"/>
        </w:numPr>
        <w:tabs>
          <w:tab w:pos="2967" w:val="left" w:leader="none"/>
        </w:tabs>
        <w:spacing w:line="240" w:lineRule="auto" w:before="124" w:after="0"/>
        <w:ind w:left="2246" w:right="2238" w:firstLine="0"/>
        <w:jc w:val="both"/>
        <w:rPr>
          <w:sz w:val="20"/>
        </w:rPr>
      </w:pPr>
      <w:r>
        <w:rPr>
          <w:sz w:val="20"/>
        </w:rPr>
        <w:t>One </w:t>
      </w:r>
      <w:r>
        <w:rPr>
          <w:i/>
          <w:sz w:val="20"/>
        </w:rPr>
        <w:t>Associate ERP Systems Officer (P-2), 12</w:t>
      </w:r>
      <w:r>
        <w:rPr>
          <w:i/>
          <w:spacing w:val="-2"/>
          <w:sz w:val="20"/>
        </w:rPr>
        <w:t> </w:t>
      </w:r>
      <w:r>
        <w:rPr>
          <w:i/>
          <w:sz w:val="20"/>
        </w:rPr>
        <w:t>months. Continued. Multi-Year. </w:t>
      </w:r>
      <w:r>
        <w:rPr>
          <w:sz w:val="20"/>
        </w:rPr>
        <w:t>The position</w:t>
      </w:r>
      <w:r>
        <w:rPr>
          <w:spacing w:val="-4"/>
          <w:sz w:val="20"/>
        </w:rPr>
        <w:t> </w:t>
      </w:r>
      <w:r>
        <w:rPr>
          <w:sz w:val="20"/>
        </w:rPr>
        <w:t>continues</w:t>
      </w:r>
      <w:r>
        <w:rPr>
          <w:spacing w:val="-10"/>
          <w:sz w:val="20"/>
        </w:rPr>
        <w:t> </w:t>
      </w:r>
      <w:r>
        <w:rPr>
          <w:sz w:val="20"/>
        </w:rPr>
        <w:t>to</w:t>
      </w:r>
      <w:r>
        <w:rPr>
          <w:spacing w:val="-4"/>
          <w:sz w:val="20"/>
        </w:rPr>
        <w:t> </w:t>
      </w:r>
      <w:r>
        <w:rPr>
          <w:sz w:val="20"/>
        </w:rPr>
        <w:t>be</w:t>
      </w:r>
      <w:r>
        <w:rPr>
          <w:spacing w:val="-2"/>
          <w:sz w:val="20"/>
        </w:rPr>
        <w:t> </w:t>
      </w:r>
      <w:r>
        <w:rPr>
          <w:sz w:val="20"/>
        </w:rPr>
        <w:t>required</w:t>
      </w:r>
      <w:r>
        <w:rPr>
          <w:spacing w:val="-8"/>
          <w:sz w:val="20"/>
        </w:rPr>
        <w:t> </w:t>
      </w:r>
      <w:r>
        <w:rPr>
          <w:sz w:val="20"/>
        </w:rPr>
        <w:t>to</w:t>
      </w:r>
      <w:r>
        <w:rPr>
          <w:spacing w:val="-8"/>
          <w:sz w:val="20"/>
        </w:rPr>
        <w:t> </w:t>
      </w:r>
      <w:r>
        <w:rPr>
          <w:sz w:val="20"/>
        </w:rPr>
        <w:t>assist</w:t>
      </w:r>
      <w:r>
        <w:rPr>
          <w:spacing w:val="-2"/>
          <w:sz w:val="20"/>
        </w:rPr>
        <w:t> </w:t>
      </w:r>
      <w:r>
        <w:rPr>
          <w:sz w:val="20"/>
        </w:rPr>
        <w:t>with</w:t>
      </w:r>
      <w:r>
        <w:rPr>
          <w:spacing w:val="-4"/>
          <w:sz w:val="20"/>
        </w:rPr>
        <w:t> </w:t>
      </w:r>
      <w:r>
        <w:rPr>
          <w:sz w:val="20"/>
        </w:rPr>
        <w:t>preparation</w:t>
      </w:r>
      <w:r>
        <w:rPr>
          <w:spacing w:val="-8"/>
          <w:sz w:val="20"/>
        </w:rPr>
        <w:t> </w:t>
      </w:r>
      <w:r>
        <w:rPr>
          <w:sz w:val="20"/>
        </w:rPr>
        <w:t>for</w:t>
      </w:r>
      <w:r>
        <w:rPr>
          <w:spacing w:val="-4"/>
          <w:sz w:val="20"/>
        </w:rPr>
        <w:t> </w:t>
      </w:r>
      <w:r>
        <w:rPr>
          <w:sz w:val="20"/>
        </w:rPr>
        <w:t>the</w:t>
      </w:r>
      <w:r>
        <w:rPr>
          <w:spacing w:val="-1"/>
          <w:sz w:val="20"/>
        </w:rPr>
        <w:t> </w:t>
      </w:r>
      <w:r>
        <w:rPr>
          <w:sz w:val="20"/>
        </w:rPr>
        <w:t>replacement</w:t>
      </w:r>
      <w:r>
        <w:rPr>
          <w:spacing w:val="-2"/>
          <w:sz w:val="20"/>
        </w:rPr>
        <w:t> </w:t>
      </w:r>
      <w:r>
        <w:rPr>
          <w:sz w:val="20"/>
        </w:rPr>
        <w:t>of</w:t>
      </w:r>
      <w:r>
        <w:rPr>
          <w:spacing w:val="-8"/>
          <w:sz w:val="20"/>
        </w:rPr>
        <w:t> </w:t>
      </w:r>
      <w:r>
        <w:rPr>
          <w:sz w:val="20"/>
        </w:rPr>
        <w:t>the</w:t>
      </w:r>
      <w:r>
        <w:rPr>
          <w:spacing w:val="-2"/>
          <w:sz w:val="20"/>
        </w:rPr>
        <w:t> </w:t>
      </w:r>
      <w:r>
        <w:rPr>
          <w:sz w:val="20"/>
        </w:rPr>
        <w:t>current SAP ERP system and related projects and changes under the 2023-2025 information technology/information management strategy pending endorsement by the Information Management</w:t>
      </w:r>
      <w:r>
        <w:rPr>
          <w:spacing w:val="-10"/>
          <w:sz w:val="20"/>
        </w:rPr>
        <w:t> </w:t>
      </w:r>
      <w:r>
        <w:rPr>
          <w:sz w:val="20"/>
        </w:rPr>
        <w:t>Governance</w:t>
      </w:r>
      <w:r>
        <w:rPr>
          <w:spacing w:val="-6"/>
          <w:sz w:val="20"/>
        </w:rPr>
        <w:t> </w:t>
      </w:r>
      <w:r>
        <w:rPr>
          <w:sz w:val="20"/>
        </w:rPr>
        <w:t>Board.</w:t>
      </w:r>
      <w:r>
        <w:rPr>
          <w:spacing w:val="-11"/>
          <w:sz w:val="20"/>
        </w:rPr>
        <w:t> </w:t>
      </w:r>
      <w:r>
        <w:rPr>
          <w:sz w:val="20"/>
        </w:rPr>
        <w:t>This</w:t>
      </w:r>
      <w:r>
        <w:rPr>
          <w:spacing w:val="-13"/>
          <w:sz w:val="20"/>
        </w:rPr>
        <w:t> </w:t>
      </w:r>
      <w:r>
        <w:rPr>
          <w:sz w:val="20"/>
        </w:rPr>
        <w:t>includes</w:t>
      </w:r>
      <w:r>
        <w:rPr>
          <w:spacing w:val="-9"/>
          <w:sz w:val="20"/>
        </w:rPr>
        <w:t> </w:t>
      </w:r>
      <w:r>
        <w:rPr>
          <w:sz w:val="20"/>
        </w:rPr>
        <w:t>support</w:t>
      </w:r>
      <w:r>
        <w:rPr>
          <w:spacing w:val="-7"/>
          <w:sz w:val="20"/>
        </w:rPr>
        <w:t> </w:t>
      </w:r>
      <w:r>
        <w:rPr>
          <w:sz w:val="20"/>
        </w:rPr>
        <w:t>with</w:t>
      </w:r>
      <w:r>
        <w:rPr>
          <w:spacing w:val="-13"/>
          <w:sz w:val="20"/>
        </w:rPr>
        <w:t> </w:t>
      </w:r>
      <w:r>
        <w:rPr>
          <w:sz w:val="20"/>
        </w:rPr>
        <w:t>projects</w:t>
      </w:r>
      <w:r>
        <w:rPr>
          <w:spacing w:val="-12"/>
          <w:sz w:val="20"/>
        </w:rPr>
        <w:t> </w:t>
      </w:r>
      <w:r>
        <w:rPr>
          <w:sz w:val="20"/>
        </w:rPr>
        <w:t>and</w:t>
      </w:r>
      <w:r>
        <w:rPr>
          <w:spacing w:val="-13"/>
          <w:sz w:val="20"/>
        </w:rPr>
        <w:t> </w:t>
      </w:r>
      <w:r>
        <w:rPr>
          <w:sz w:val="20"/>
        </w:rPr>
        <w:t>changes</w:t>
      </w:r>
      <w:r>
        <w:rPr>
          <w:spacing w:val="-9"/>
          <w:sz w:val="20"/>
        </w:rPr>
        <w:t> </w:t>
      </w:r>
      <w:r>
        <w:rPr>
          <w:sz w:val="20"/>
        </w:rPr>
        <w:t>to</w:t>
      </w:r>
      <w:r>
        <w:rPr>
          <w:spacing w:val="-13"/>
          <w:sz w:val="20"/>
        </w:rPr>
        <w:t> </w:t>
      </w:r>
      <w:r>
        <w:rPr>
          <w:sz w:val="20"/>
        </w:rPr>
        <w:t>keep</w:t>
      </w:r>
      <w:r>
        <w:rPr>
          <w:spacing w:val="-12"/>
          <w:sz w:val="20"/>
        </w:rPr>
        <w:t> </w:t>
      </w:r>
      <w:r>
        <w:rPr>
          <w:sz w:val="20"/>
        </w:rPr>
        <w:t>the current</w:t>
      </w:r>
      <w:r>
        <w:rPr>
          <w:spacing w:val="-7"/>
          <w:sz w:val="20"/>
        </w:rPr>
        <w:t> </w:t>
      </w:r>
      <w:r>
        <w:rPr>
          <w:sz w:val="20"/>
        </w:rPr>
        <w:t>SAP</w:t>
      </w:r>
      <w:r>
        <w:rPr>
          <w:spacing w:val="-10"/>
          <w:sz w:val="20"/>
        </w:rPr>
        <w:t> </w:t>
      </w:r>
      <w:r>
        <w:rPr>
          <w:sz w:val="20"/>
        </w:rPr>
        <w:t>ERP</w:t>
      </w:r>
      <w:r>
        <w:rPr>
          <w:spacing w:val="-10"/>
          <w:sz w:val="20"/>
        </w:rPr>
        <w:t> </w:t>
      </w:r>
      <w:r>
        <w:rPr>
          <w:sz w:val="20"/>
        </w:rPr>
        <w:t>system</w:t>
      </w:r>
      <w:r>
        <w:rPr>
          <w:spacing w:val="-12"/>
          <w:sz w:val="20"/>
        </w:rPr>
        <w:t> </w:t>
      </w:r>
      <w:r>
        <w:rPr>
          <w:sz w:val="20"/>
        </w:rPr>
        <w:t>up</w:t>
      </w:r>
      <w:r>
        <w:rPr>
          <w:spacing w:val="-8"/>
          <w:sz w:val="20"/>
        </w:rPr>
        <w:t> </w:t>
      </w:r>
      <w:r>
        <w:rPr>
          <w:sz w:val="20"/>
        </w:rPr>
        <w:t>to</w:t>
      </w:r>
      <w:r>
        <w:rPr>
          <w:spacing w:val="-13"/>
          <w:sz w:val="20"/>
        </w:rPr>
        <w:t> </w:t>
      </w:r>
      <w:r>
        <w:rPr>
          <w:sz w:val="20"/>
        </w:rPr>
        <w:t>date</w:t>
      </w:r>
      <w:r>
        <w:rPr>
          <w:spacing w:val="-10"/>
          <w:sz w:val="20"/>
        </w:rPr>
        <w:t> </w:t>
      </w:r>
      <w:r>
        <w:rPr>
          <w:sz w:val="20"/>
        </w:rPr>
        <w:t>and</w:t>
      </w:r>
      <w:r>
        <w:rPr>
          <w:spacing w:val="-8"/>
          <w:sz w:val="20"/>
        </w:rPr>
        <w:t> </w:t>
      </w:r>
      <w:r>
        <w:rPr>
          <w:sz w:val="20"/>
        </w:rPr>
        <w:t>support</w:t>
      </w:r>
      <w:r>
        <w:rPr>
          <w:spacing w:val="-7"/>
          <w:sz w:val="20"/>
        </w:rPr>
        <w:t> </w:t>
      </w:r>
      <w:r>
        <w:rPr>
          <w:sz w:val="20"/>
        </w:rPr>
        <w:t>in</w:t>
      </w:r>
      <w:r>
        <w:rPr>
          <w:spacing w:val="-8"/>
          <w:sz w:val="20"/>
        </w:rPr>
        <w:t> </w:t>
      </w:r>
      <w:r>
        <w:rPr>
          <w:sz w:val="20"/>
        </w:rPr>
        <w:t>preparing</w:t>
      </w:r>
      <w:r>
        <w:rPr>
          <w:spacing w:val="-13"/>
          <w:sz w:val="20"/>
        </w:rPr>
        <w:t> </w:t>
      </w:r>
      <w:r>
        <w:rPr>
          <w:sz w:val="20"/>
        </w:rPr>
        <w:t>and</w:t>
      </w:r>
      <w:r>
        <w:rPr>
          <w:spacing w:val="-7"/>
          <w:sz w:val="20"/>
        </w:rPr>
        <w:t> </w:t>
      </w:r>
      <w:r>
        <w:rPr>
          <w:sz w:val="20"/>
        </w:rPr>
        <w:t>developing</w:t>
      </w:r>
      <w:r>
        <w:rPr>
          <w:spacing w:val="-8"/>
          <w:sz w:val="20"/>
        </w:rPr>
        <w:t> </w:t>
      </w:r>
      <w:r>
        <w:rPr>
          <w:sz w:val="20"/>
        </w:rPr>
        <w:t>a</w:t>
      </w:r>
      <w:r>
        <w:rPr>
          <w:spacing w:val="-7"/>
          <w:sz w:val="20"/>
        </w:rPr>
        <w:t> </w:t>
      </w:r>
      <w:r>
        <w:rPr>
          <w:sz w:val="20"/>
        </w:rPr>
        <w:t>Court-specific road</w:t>
      </w:r>
      <w:r>
        <w:rPr>
          <w:spacing w:val="-8"/>
          <w:sz w:val="20"/>
        </w:rPr>
        <w:t> </w:t>
      </w:r>
      <w:r>
        <w:rPr>
          <w:sz w:val="20"/>
        </w:rPr>
        <w:t>map</w:t>
      </w:r>
      <w:r>
        <w:rPr>
          <w:spacing w:val="-4"/>
          <w:sz w:val="20"/>
        </w:rPr>
        <w:t> </w:t>
      </w:r>
      <w:r>
        <w:rPr>
          <w:sz w:val="20"/>
        </w:rPr>
        <w:t>for</w:t>
      </w:r>
      <w:r>
        <w:rPr>
          <w:spacing w:val="-4"/>
          <w:sz w:val="20"/>
        </w:rPr>
        <w:t> </w:t>
      </w:r>
      <w:r>
        <w:rPr>
          <w:sz w:val="20"/>
        </w:rPr>
        <w:t>the</w:t>
      </w:r>
      <w:r>
        <w:rPr>
          <w:spacing w:val="-7"/>
          <w:sz w:val="20"/>
        </w:rPr>
        <w:t> </w:t>
      </w:r>
      <w:r>
        <w:rPr>
          <w:sz w:val="20"/>
        </w:rPr>
        <w:t>transition</w:t>
      </w:r>
      <w:r>
        <w:rPr>
          <w:spacing w:val="-8"/>
          <w:sz w:val="20"/>
        </w:rPr>
        <w:t> </w:t>
      </w:r>
      <w:r>
        <w:rPr>
          <w:sz w:val="20"/>
        </w:rPr>
        <w:t>to</w:t>
      </w:r>
      <w:r>
        <w:rPr>
          <w:spacing w:val="-8"/>
          <w:sz w:val="20"/>
        </w:rPr>
        <w:t> </w:t>
      </w:r>
      <w:r>
        <w:rPr>
          <w:sz w:val="20"/>
        </w:rPr>
        <w:t>a</w:t>
      </w:r>
      <w:r>
        <w:rPr>
          <w:spacing w:val="-7"/>
          <w:sz w:val="20"/>
        </w:rPr>
        <w:t> </w:t>
      </w:r>
      <w:r>
        <w:rPr>
          <w:sz w:val="20"/>
        </w:rPr>
        <w:t>new</w:t>
      </w:r>
      <w:r>
        <w:rPr>
          <w:spacing w:val="-10"/>
          <w:sz w:val="20"/>
        </w:rPr>
        <w:t> </w:t>
      </w:r>
      <w:r>
        <w:rPr>
          <w:sz w:val="20"/>
        </w:rPr>
        <w:t>(SAP)</w:t>
      </w:r>
      <w:r>
        <w:rPr>
          <w:spacing w:val="-4"/>
          <w:sz w:val="20"/>
        </w:rPr>
        <w:t> </w:t>
      </w:r>
      <w:r>
        <w:rPr>
          <w:sz w:val="20"/>
        </w:rPr>
        <w:t>ERP</w:t>
      </w:r>
      <w:r>
        <w:rPr>
          <w:spacing w:val="-5"/>
          <w:sz w:val="20"/>
        </w:rPr>
        <w:t> </w:t>
      </w:r>
      <w:r>
        <w:rPr>
          <w:sz w:val="20"/>
        </w:rPr>
        <w:t>platform.</w:t>
      </w:r>
      <w:r>
        <w:rPr>
          <w:spacing w:val="-6"/>
          <w:sz w:val="20"/>
        </w:rPr>
        <w:t> </w:t>
      </w:r>
      <w:r>
        <w:rPr>
          <w:sz w:val="20"/>
        </w:rPr>
        <w:t>The</w:t>
      </w:r>
      <w:r>
        <w:rPr>
          <w:spacing w:val="-2"/>
          <w:sz w:val="20"/>
        </w:rPr>
        <w:t> </w:t>
      </w:r>
      <w:r>
        <w:rPr>
          <w:sz w:val="20"/>
        </w:rPr>
        <w:t>transition</w:t>
      </w:r>
      <w:r>
        <w:rPr>
          <w:spacing w:val="-4"/>
          <w:sz w:val="20"/>
        </w:rPr>
        <w:t> </w:t>
      </w:r>
      <w:r>
        <w:rPr>
          <w:sz w:val="20"/>
        </w:rPr>
        <w:t>is</w:t>
      </w:r>
      <w:r>
        <w:rPr>
          <w:spacing w:val="-10"/>
          <w:sz w:val="20"/>
        </w:rPr>
        <w:t> </w:t>
      </w:r>
      <w:r>
        <w:rPr>
          <w:sz w:val="20"/>
        </w:rPr>
        <w:t>recommended</w:t>
      </w:r>
      <w:r>
        <w:rPr>
          <w:spacing w:val="-4"/>
          <w:sz w:val="20"/>
        </w:rPr>
        <w:t> </w:t>
      </w:r>
      <w:r>
        <w:rPr>
          <w:sz w:val="20"/>
        </w:rPr>
        <w:t>for all SAP customers as the current ERP system reaches its end of life in 2027, after which it will no longer be supported by the supplier. The new (SAP) ERP platform is expected to better support administrative business processes with increased usability and performance. The position is also required to assist with the implementation of miscellaneous SAP automation</w:t>
      </w:r>
      <w:r>
        <w:rPr>
          <w:spacing w:val="-12"/>
          <w:sz w:val="20"/>
        </w:rPr>
        <w:t> </w:t>
      </w:r>
      <w:r>
        <w:rPr>
          <w:sz w:val="20"/>
        </w:rPr>
        <w:t>projects</w:t>
      </w:r>
      <w:r>
        <w:rPr>
          <w:spacing w:val="-12"/>
          <w:sz w:val="20"/>
        </w:rPr>
        <w:t> </w:t>
      </w:r>
      <w:r>
        <w:rPr>
          <w:sz w:val="20"/>
        </w:rPr>
        <w:t>and</w:t>
      </w:r>
      <w:r>
        <w:rPr>
          <w:spacing w:val="-9"/>
          <w:sz w:val="20"/>
        </w:rPr>
        <w:t> </w:t>
      </w:r>
      <w:r>
        <w:rPr>
          <w:sz w:val="20"/>
        </w:rPr>
        <w:t>SAP</w:t>
      </w:r>
      <w:r>
        <w:rPr>
          <w:spacing w:val="-11"/>
          <w:sz w:val="20"/>
        </w:rPr>
        <w:t> </w:t>
      </w:r>
      <w:r>
        <w:rPr>
          <w:sz w:val="20"/>
        </w:rPr>
        <w:t>knowledge</w:t>
      </w:r>
      <w:r>
        <w:rPr>
          <w:spacing w:val="-13"/>
          <w:sz w:val="20"/>
        </w:rPr>
        <w:t> </w:t>
      </w:r>
      <w:r>
        <w:rPr>
          <w:sz w:val="20"/>
        </w:rPr>
        <w:t>management</w:t>
      </w:r>
      <w:r>
        <w:rPr>
          <w:spacing w:val="-7"/>
          <w:sz w:val="20"/>
        </w:rPr>
        <w:t> </w:t>
      </w:r>
      <w:r>
        <w:rPr>
          <w:sz w:val="20"/>
        </w:rPr>
        <w:t>and</w:t>
      </w:r>
      <w:r>
        <w:rPr>
          <w:spacing w:val="-9"/>
          <w:sz w:val="20"/>
        </w:rPr>
        <w:t> </w:t>
      </w:r>
      <w:r>
        <w:rPr>
          <w:sz w:val="20"/>
        </w:rPr>
        <w:t>training,</w:t>
      </w:r>
      <w:r>
        <w:rPr>
          <w:spacing w:val="-12"/>
          <w:sz w:val="20"/>
        </w:rPr>
        <w:t> </w:t>
      </w:r>
      <w:r>
        <w:rPr>
          <w:sz w:val="20"/>
        </w:rPr>
        <w:t>including</w:t>
      </w:r>
      <w:r>
        <w:rPr>
          <w:spacing w:val="-9"/>
          <w:sz w:val="20"/>
        </w:rPr>
        <w:t> </w:t>
      </w:r>
      <w:r>
        <w:rPr>
          <w:sz w:val="20"/>
        </w:rPr>
        <w:t>the</w:t>
      </w:r>
      <w:r>
        <w:rPr>
          <w:spacing w:val="-13"/>
          <w:sz w:val="20"/>
        </w:rPr>
        <w:t> </w:t>
      </w:r>
      <w:r>
        <w:rPr>
          <w:sz w:val="20"/>
        </w:rPr>
        <w:t>publication of SAP</w:t>
      </w:r>
      <w:r>
        <w:rPr>
          <w:spacing w:val="-1"/>
          <w:sz w:val="20"/>
        </w:rPr>
        <w:t> </w:t>
      </w:r>
      <w:r>
        <w:rPr>
          <w:sz w:val="20"/>
        </w:rPr>
        <w:t>training</w:t>
      </w:r>
      <w:r>
        <w:rPr>
          <w:spacing w:val="-9"/>
          <w:sz w:val="20"/>
        </w:rPr>
        <w:t> </w:t>
      </w:r>
      <w:r>
        <w:rPr>
          <w:sz w:val="20"/>
        </w:rPr>
        <w:t>materials</w:t>
      </w:r>
      <w:r>
        <w:rPr>
          <w:spacing w:val="-1"/>
          <w:sz w:val="20"/>
        </w:rPr>
        <w:t> </w:t>
      </w:r>
      <w:r>
        <w:rPr>
          <w:sz w:val="20"/>
        </w:rPr>
        <w:t>in</w:t>
      </w:r>
      <w:r>
        <w:rPr>
          <w:spacing w:val="-5"/>
          <w:sz w:val="20"/>
        </w:rPr>
        <w:t> </w:t>
      </w:r>
      <w:r>
        <w:rPr>
          <w:sz w:val="20"/>
        </w:rPr>
        <w:t>the</w:t>
      </w:r>
      <w:r>
        <w:rPr>
          <w:spacing w:val="-3"/>
          <w:sz w:val="20"/>
        </w:rPr>
        <w:t> </w:t>
      </w:r>
      <w:r>
        <w:rPr>
          <w:sz w:val="20"/>
        </w:rPr>
        <w:t>learning</w:t>
      </w:r>
      <w:r>
        <w:rPr>
          <w:spacing w:val="-9"/>
          <w:sz w:val="20"/>
        </w:rPr>
        <w:t> </w:t>
      </w:r>
      <w:r>
        <w:rPr>
          <w:sz w:val="20"/>
        </w:rPr>
        <w:t>management</w:t>
      </w:r>
      <w:r>
        <w:rPr>
          <w:spacing w:val="-3"/>
          <w:sz w:val="20"/>
        </w:rPr>
        <w:t> </w:t>
      </w:r>
      <w:r>
        <w:rPr>
          <w:sz w:val="20"/>
        </w:rPr>
        <w:t>system</w:t>
      </w:r>
      <w:r>
        <w:rPr>
          <w:spacing w:val="-3"/>
          <w:sz w:val="20"/>
        </w:rPr>
        <w:t> </w:t>
      </w:r>
      <w:r>
        <w:rPr>
          <w:sz w:val="20"/>
        </w:rPr>
        <w:t>to facilitate online</w:t>
      </w:r>
      <w:r>
        <w:rPr>
          <w:spacing w:val="-3"/>
          <w:sz w:val="20"/>
        </w:rPr>
        <w:t> </w:t>
      </w:r>
      <w:r>
        <w:rPr>
          <w:sz w:val="20"/>
        </w:rPr>
        <w:t>and remote SAP learning. The position is also required to cope with the SAP team’s high workload in the light of the high level of SAP service requests and the continuous demands for system changes as a result of the travel and procurement process reviews.</w:t>
      </w:r>
    </w:p>
    <w:p>
      <w:pPr>
        <w:pStyle w:val="ListParagraph"/>
        <w:numPr>
          <w:ilvl w:val="0"/>
          <w:numId w:val="4"/>
        </w:numPr>
        <w:tabs>
          <w:tab w:pos="2967" w:val="left" w:leader="none"/>
        </w:tabs>
        <w:spacing w:line="240" w:lineRule="auto" w:before="123" w:after="0"/>
        <w:ind w:left="2246" w:right="2238" w:firstLine="0"/>
        <w:jc w:val="both"/>
        <w:rPr>
          <w:sz w:val="20"/>
        </w:rPr>
      </w:pPr>
      <w:r>
        <w:rPr>
          <w:sz w:val="20"/>
        </w:rPr>
        <w:t>One </w:t>
      </w:r>
      <w:r>
        <w:rPr>
          <w:i/>
          <w:sz w:val="20"/>
        </w:rPr>
        <w:t>Associate</w:t>
      </w:r>
      <w:r>
        <w:rPr>
          <w:i/>
          <w:spacing w:val="-3"/>
          <w:sz w:val="20"/>
        </w:rPr>
        <w:t> </w:t>
      </w:r>
      <w:r>
        <w:rPr>
          <w:i/>
          <w:sz w:val="20"/>
        </w:rPr>
        <w:t>Procurement Officer</w:t>
      </w:r>
      <w:r>
        <w:rPr>
          <w:i/>
          <w:spacing w:val="-1"/>
          <w:sz w:val="20"/>
        </w:rPr>
        <w:t> </w:t>
      </w:r>
      <w:r>
        <w:rPr>
          <w:i/>
          <w:sz w:val="20"/>
        </w:rPr>
        <w:t>(P-2), 12 months. Continued. Multi-year</w:t>
      </w:r>
      <w:r>
        <w:rPr>
          <w:sz w:val="20"/>
        </w:rPr>
        <w:t>. This position</w:t>
      </w:r>
      <w:r>
        <w:rPr>
          <w:spacing w:val="-13"/>
          <w:sz w:val="20"/>
        </w:rPr>
        <w:t> </w:t>
      </w:r>
      <w:r>
        <w:rPr>
          <w:sz w:val="20"/>
        </w:rPr>
        <w:t>is</w:t>
      </w:r>
      <w:r>
        <w:rPr>
          <w:spacing w:val="-12"/>
          <w:sz w:val="20"/>
        </w:rPr>
        <w:t> </w:t>
      </w:r>
      <w:r>
        <w:rPr>
          <w:sz w:val="20"/>
        </w:rPr>
        <w:t>needed</w:t>
      </w:r>
      <w:r>
        <w:rPr>
          <w:spacing w:val="-13"/>
          <w:sz w:val="20"/>
        </w:rPr>
        <w:t> </w:t>
      </w:r>
      <w:r>
        <w:rPr>
          <w:sz w:val="20"/>
        </w:rPr>
        <w:t>to</w:t>
      </w:r>
      <w:r>
        <w:rPr>
          <w:spacing w:val="-12"/>
          <w:sz w:val="20"/>
        </w:rPr>
        <w:t> </w:t>
      </w:r>
      <w:r>
        <w:rPr>
          <w:sz w:val="20"/>
        </w:rPr>
        <w:t>track</w:t>
      </w:r>
      <w:r>
        <w:rPr>
          <w:spacing w:val="-13"/>
          <w:sz w:val="20"/>
        </w:rPr>
        <w:t> </w:t>
      </w:r>
      <w:r>
        <w:rPr>
          <w:sz w:val="20"/>
        </w:rPr>
        <w:t>contracts,</w:t>
      </w:r>
      <w:r>
        <w:rPr>
          <w:spacing w:val="-12"/>
          <w:sz w:val="20"/>
        </w:rPr>
        <w:t> </w:t>
      </w:r>
      <w:r>
        <w:rPr>
          <w:sz w:val="20"/>
        </w:rPr>
        <w:t>perform</w:t>
      </w:r>
      <w:r>
        <w:rPr>
          <w:spacing w:val="-13"/>
          <w:sz w:val="20"/>
        </w:rPr>
        <w:t> </w:t>
      </w:r>
      <w:r>
        <w:rPr>
          <w:sz w:val="20"/>
        </w:rPr>
        <w:t>the</w:t>
      </w:r>
      <w:r>
        <w:rPr>
          <w:spacing w:val="-12"/>
          <w:sz w:val="20"/>
        </w:rPr>
        <w:t> </w:t>
      </w:r>
      <w:r>
        <w:rPr>
          <w:sz w:val="20"/>
        </w:rPr>
        <w:t>role</w:t>
      </w:r>
      <w:r>
        <w:rPr>
          <w:spacing w:val="-13"/>
          <w:sz w:val="20"/>
        </w:rPr>
        <w:t> </w:t>
      </w:r>
      <w:r>
        <w:rPr>
          <w:sz w:val="20"/>
        </w:rPr>
        <w:t>of</w:t>
      </w:r>
      <w:r>
        <w:rPr>
          <w:spacing w:val="-12"/>
          <w:sz w:val="20"/>
        </w:rPr>
        <w:t> </w:t>
      </w:r>
      <w:r>
        <w:rPr>
          <w:sz w:val="20"/>
        </w:rPr>
        <w:t>Secretary</w:t>
      </w:r>
      <w:r>
        <w:rPr>
          <w:spacing w:val="-13"/>
          <w:sz w:val="20"/>
        </w:rPr>
        <w:t> </w:t>
      </w:r>
      <w:r>
        <w:rPr>
          <w:sz w:val="20"/>
        </w:rPr>
        <w:t>to</w:t>
      </w:r>
      <w:r>
        <w:rPr>
          <w:spacing w:val="-12"/>
          <w:sz w:val="20"/>
        </w:rPr>
        <w:t> </w:t>
      </w:r>
      <w:r>
        <w:rPr>
          <w:sz w:val="20"/>
        </w:rPr>
        <w:t>the</w:t>
      </w:r>
      <w:r>
        <w:rPr>
          <w:spacing w:val="-13"/>
          <w:sz w:val="20"/>
        </w:rPr>
        <w:t> </w:t>
      </w:r>
      <w:r>
        <w:rPr>
          <w:sz w:val="20"/>
        </w:rPr>
        <w:t>Procurement</w:t>
      </w:r>
      <w:r>
        <w:rPr>
          <w:spacing w:val="-12"/>
          <w:sz w:val="20"/>
        </w:rPr>
        <w:t> </w:t>
      </w:r>
      <w:r>
        <w:rPr>
          <w:sz w:val="20"/>
        </w:rPr>
        <w:t>Review Committee, and accommodate the expansion and improvement of the vendor database and the increase in the amount of complex procurement.</w:t>
      </w:r>
    </w:p>
    <w:p>
      <w:pPr>
        <w:pStyle w:val="ListParagraph"/>
        <w:numPr>
          <w:ilvl w:val="0"/>
          <w:numId w:val="4"/>
        </w:numPr>
        <w:tabs>
          <w:tab w:pos="2967" w:val="left" w:leader="none"/>
        </w:tabs>
        <w:spacing w:line="240" w:lineRule="auto" w:before="123" w:after="0"/>
        <w:ind w:left="2246" w:right="2237" w:firstLine="0"/>
        <w:jc w:val="both"/>
        <w:rPr>
          <w:sz w:val="20"/>
        </w:rPr>
      </w:pPr>
      <w:r>
        <w:rPr>
          <w:sz w:val="20"/>
        </w:rPr>
        <w:t>Six </w:t>
      </w:r>
      <w:r>
        <w:rPr>
          <w:i/>
          <w:sz w:val="20"/>
        </w:rPr>
        <w:t>Security Officers </w:t>
      </w:r>
      <w:r>
        <w:rPr>
          <w:sz w:val="20"/>
        </w:rPr>
        <w:t>(</w:t>
      </w:r>
      <w:r>
        <w:rPr>
          <w:i/>
          <w:sz w:val="20"/>
        </w:rPr>
        <w:t>GS-OL) 12 months</w:t>
      </w:r>
      <w:r>
        <w:rPr>
          <w:sz w:val="20"/>
        </w:rPr>
        <w:t>. </w:t>
      </w:r>
      <w:r>
        <w:rPr>
          <w:i/>
          <w:sz w:val="20"/>
        </w:rPr>
        <w:t>Continued </w:t>
      </w:r>
      <w:r>
        <w:rPr>
          <w:sz w:val="20"/>
        </w:rPr>
        <w:t>and Four </w:t>
      </w:r>
      <w:r>
        <w:rPr>
          <w:i/>
          <w:sz w:val="20"/>
        </w:rPr>
        <w:t>Security Officers</w:t>
      </w:r>
      <w:r>
        <w:rPr>
          <w:i/>
          <w:sz w:val="20"/>
        </w:rPr>
        <w:t> </w:t>
      </w:r>
      <w:r>
        <w:rPr>
          <w:sz w:val="20"/>
        </w:rPr>
        <w:t>(</w:t>
      </w:r>
      <w:r>
        <w:rPr>
          <w:i/>
          <w:sz w:val="20"/>
        </w:rPr>
        <w:t>GS-OL) 12 months New. Multi-year. </w:t>
      </w:r>
      <w:r>
        <w:rPr>
          <w:sz w:val="20"/>
        </w:rPr>
        <w:t>The approved budget for 2022 includes resources for six GTA Security Officers (GS-OL) (4.5 FTE) required to be continued for 12</w:t>
      </w:r>
      <w:r>
        <w:rPr>
          <w:spacing w:val="-3"/>
          <w:sz w:val="20"/>
        </w:rPr>
        <w:t> </w:t>
      </w:r>
      <w:r>
        <w:rPr>
          <w:sz w:val="20"/>
        </w:rPr>
        <w:t>months each into</w:t>
      </w:r>
      <w:r>
        <w:rPr>
          <w:spacing w:val="35"/>
          <w:sz w:val="20"/>
        </w:rPr>
        <w:t> </w:t>
      </w:r>
      <w:r>
        <w:rPr>
          <w:sz w:val="20"/>
        </w:rPr>
        <w:t>2023.</w:t>
      </w:r>
      <w:r>
        <w:rPr>
          <w:spacing w:val="37"/>
          <w:sz w:val="20"/>
        </w:rPr>
        <w:t> </w:t>
      </w:r>
      <w:r>
        <w:rPr>
          <w:sz w:val="20"/>
        </w:rPr>
        <w:t>Four</w:t>
      </w:r>
      <w:r>
        <w:rPr>
          <w:spacing w:val="35"/>
          <w:sz w:val="20"/>
        </w:rPr>
        <w:t> </w:t>
      </w:r>
      <w:r>
        <w:rPr>
          <w:sz w:val="20"/>
        </w:rPr>
        <w:t>additional</w:t>
      </w:r>
      <w:r>
        <w:rPr>
          <w:spacing w:val="36"/>
          <w:sz w:val="20"/>
        </w:rPr>
        <w:t> </w:t>
      </w:r>
      <w:r>
        <w:rPr>
          <w:sz w:val="20"/>
        </w:rPr>
        <w:t>GTA</w:t>
      </w:r>
      <w:r>
        <w:rPr>
          <w:spacing w:val="33"/>
          <w:sz w:val="20"/>
        </w:rPr>
        <w:t> </w:t>
      </w:r>
      <w:r>
        <w:rPr>
          <w:sz w:val="20"/>
        </w:rPr>
        <w:t>Security</w:t>
      </w:r>
      <w:r>
        <w:rPr>
          <w:spacing w:val="35"/>
          <w:sz w:val="20"/>
        </w:rPr>
        <w:t> </w:t>
      </w:r>
      <w:r>
        <w:rPr>
          <w:sz w:val="20"/>
        </w:rPr>
        <w:t>Officers</w:t>
      </w:r>
      <w:r>
        <w:rPr>
          <w:spacing w:val="33"/>
          <w:sz w:val="20"/>
        </w:rPr>
        <w:t> </w:t>
      </w:r>
      <w:r>
        <w:rPr>
          <w:sz w:val="20"/>
        </w:rPr>
        <w:t>(GS-OL)</w:t>
      </w:r>
      <w:r>
        <w:rPr>
          <w:spacing w:val="35"/>
          <w:sz w:val="20"/>
        </w:rPr>
        <w:t> </w:t>
      </w:r>
      <w:r>
        <w:rPr>
          <w:sz w:val="20"/>
        </w:rPr>
        <w:t>are</w:t>
      </w:r>
      <w:r>
        <w:rPr>
          <w:spacing w:val="36"/>
          <w:sz w:val="20"/>
        </w:rPr>
        <w:t> </w:t>
      </w:r>
      <w:r>
        <w:rPr>
          <w:sz w:val="20"/>
        </w:rPr>
        <w:t>required</w:t>
      </w:r>
      <w:r>
        <w:rPr>
          <w:spacing w:val="35"/>
          <w:sz w:val="20"/>
        </w:rPr>
        <w:t> </w:t>
      </w:r>
      <w:r>
        <w:rPr>
          <w:sz w:val="20"/>
        </w:rPr>
        <w:t>for</w:t>
      </w:r>
      <w:r>
        <w:rPr>
          <w:spacing w:val="35"/>
          <w:sz w:val="20"/>
        </w:rPr>
        <w:t> </w:t>
      </w:r>
      <w:r>
        <w:rPr>
          <w:sz w:val="20"/>
        </w:rPr>
        <w:t>12</w:t>
      </w:r>
      <w:r>
        <w:rPr>
          <w:spacing w:val="30"/>
          <w:sz w:val="20"/>
        </w:rPr>
        <w:t> </w:t>
      </w:r>
      <w:r>
        <w:rPr>
          <w:sz w:val="20"/>
        </w:rPr>
        <w:t>months in 2023.</w:t>
      </w:r>
      <w:r>
        <w:rPr>
          <w:spacing w:val="-6"/>
          <w:sz w:val="20"/>
        </w:rPr>
        <w:t> </w:t>
      </w:r>
      <w:r>
        <w:rPr>
          <w:sz w:val="20"/>
        </w:rPr>
        <w:t>The</w:t>
      </w:r>
      <w:r>
        <w:rPr>
          <w:spacing w:val="-7"/>
          <w:sz w:val="20"/>
        </w:rPr>
        <w:t> </w:t>
      </w:r>
      <w:r>
        <w:rPr>
          <w:sz w:val="20"/>
        </w:rPr>
        <w:t>expansion</w:t>
      </w:r>
      <w:r>
        <w:rPr>
          <w:spacing w:val="-8"/>
          <w:sz w:val="20"/>
        </w:rPr>
        <w:t> </w:t>
      </w:r>
      <w:r>
        <w:rPr>
          <w:sz w:val="20"/>
        </w:rPr>
        <w:t>to</w:t>
      </w:r>
      <w:r>
        <w:rPr>
          <w:spacing w:val="-8"/>
          <w:sz w:val="20"/>
        </w:rPr>
        <w:t> </w:t>
      </w:r>
      <w:r>
        <w:rPr>
          <w:sz w:val="20"/>
        </w:rPr>
        <w:t>three</w:t>
      </w:r>
      <w:r>
        <w:rPr>
          <w:spacing w:val="-4"/>
          <w:sz w:val="20"/>
        </w:rPr>
        <w:t> </w:t>
      </w:r>
      <w:r>
        <w:rPr>
          <w:sz w:val="20"/>
        </w:rPr>
        <w:t>concurrently</w:t>
      </w:r>
      <w:r>
        <w:rPr>
          <w:spacing w:val="-4"/>
          <w:sz w:val="20"/>
        </w:rPr>
        <w:t> </w:t>
      </w:r>
      <w:r>
        <w:rPr>
          <w:sz w:val="20"/>
        </w:rPr>
        <w:t>operating</w:t>
      </w:r>
      <w:r>
        <w:rPr>
          <w:spacing w:val="-4"/>
          <w:sz w:val="20"/>
        </w:rPr>
        <w:t> </w:t>
      </w:r>
      <w:r>
        <w:rPr>
          <w:sz w:val="20"/>
        </w:rPr>
        <w:t>courtrooms</w:t>
      </w:r>
      <w:r>
        <w:rPr>
          <w:spacing w:val="-5"/>
          <w:sz w:val="20"/>
        </w:rPr>
        <w:t> </w:t>
      </w:r>
      <w:r>
        <w:rPr>
          <w:sz w:val="20"/>
        </w:rPr>
        <w:t>in</w:t>
      </w:r>
      <w:r>
        <w:rPr>
          <w:spacing w:val="-4"/>
          <w:sz w:val="20"/>
        </w:rPr>
        <w:t> </w:t>
      </w:r>
      <w:r>
        <w:rPr>
          <w:sz w:val="20"/>
        </w:rPr>
        <w:t>2023</w:t>
      </w:r>
      <w:r>
        <w:rPr>
          <w:spacing w:val="-8"/>
          <w:sz w:val="20"/>
        </w:rPr>
        <w:t> </w:t>
      </w:r>
      <w:r>
        <w:rPr>
          <w:sz w:val="20"/>
        </w:rPr>
        <w:t>would</w:t>
      </w:r>
      <w:r>
        <w:rPr>
          <w:spacing w:val="-4"/>
          <w:sz w:val="20"/>
        </w:rPr>
        <w:t> </w:t>
      </w:r>
      <w:r>
        <w:rPr>
          <w:sz w:val="20"/>
        </w:rPr>
        <w:t>ordinarily require a total of 16 GTA Security Officers to escort defendants and ensure the safety and security of hearing participants and public observers. However, based on a revised business model and careful consideration of the activities expected in 2023, a flexible and more efficient approach is proposed whereby staffing needs can temporarily be covered by a combination</w:t>
      </w:r>
      <w:r>
        <w:rPr>
          <w:spacing w:val="-3"/>
          <w:sz w:val="20"/>
        </w:rPr>
        <w:t> </w:t>
      </w:r>
      <w:r>
        <w:rPr>
          <w:sz w:val="20"/>
        </w:rPr>
        <w:t>of</w:t>
      </w:r>
      <w:r>
        <w:rPr>
          <w:spacing w:val="-7"/>
          <w:sz w:val="20"/>
        </w:rPr>
        <w:t> </w:t>
      </w:r>
      <w:r>
        <w:rPr>
          <w:sz w:val="20"/>
        </w:rPr>
        <w:t>10</w:t>
      </w:r>
      <w:r>
        <w:rPr>
          <w:spacing w:val="-3"/>
          <w:sz w:val="20"/>
        </w:rPr>
        <w:t> </w:t>
      </w:r>
      <w:r>
        <w:rPr>
          <w:sz w:val="20"/>
        </w:rPr>
        <w:t>GTA</w:t>
      </w:r>
      <w:r>
        <w:rPr>
          <w:spacing w:val="-4"/>
          <w:sz w:val="20"/>
        </w:rPr>
        <w:t> </w:t>
      </w:r>
      <w:r>
        <w:rPr>
          <w:sz w:val="20"/>
        </w:rPr>
        <w:t>Security</w:t>
      </w:r>
      <w:r>
        <w:rPr>
          <w:spacing w:val="-7"/>
          <w:sz w:val="20"/>
        </w:rPr>
        <w:t> </w:t>
      </w:r>
      <w:r>
        <w:rPr>
          <w:sz w:val="20"/>
        </w:rPr>
        <w:t>Officers</w:t>
      </w:r>
      <w:r>
        <w:rPr>
          <w:spacing w:val="-9"/>
          <w:sz w:val="20"/>
        </w:rPr>
        <w:t> </w:t>
      </w:r>
      <w:r>
        <w:rPr>
          <w:sz w:val="20"/>
        </w:rPr>
        <w:t>and</w:t>
      </w:r>
      <w:r>
        <w:rPr>
          <w:spacing w:val="-7"/>
          <w:sz w:val="20"/>
        </w:rPr>
        <w:t> </w:t>
      </w:r>
      <w:r>
        <w:rPr>
          <w:sz w:val="20"/>
        </w:rPr>
        <w:t>maintaining</w:t>
      </w:r>
      <w:r>
        <w:rPr>
          <w:spacing w:val="-3"/>
          <w:sz w:val="20"/>
        </w:rPr>
        <w:t> </w:t>
      </w:r>
      <w:r>
        <w:rPr>
          <w:sz w:val="20"/>
        </w:rPr>
        <w:t>overtime</w:t>
      </w:r>
      <w:r>
        <w:rPr>
          <w:spacing w:val="-6"/>
          <w:sz w:val="20"/>
        </w:rPr>
        <w:t> </w:t>
      </w:r>
      <w:r>
        <w:rPr>
          <w:sz w:val="20"/>
        </w:rPr>
        <w:t>capacity.</w:t>
      </w:r>
      <w:r>
        <w:rPr>
          <w:spacing w:val="-5"/>
          <w:sz w:val="20"/>
        </w:rPr>
        <w:t> </w:t>
      </w:r>
      <w:r>
        <w:rPr>
          <w:sz w:val="20"/>
        </w:rPr>
        <w:t>This</w:t>
      </w:r>
      <w:r>
        <w:rPr>
          <w:spacing w:val="-9"/>
          <w:sz w:val="20"/>
        </w:rPr>
        <w:t> </w:t>
      </w:r>
      <w:r>
        <w:rPr>
          <w:sz w:val="20"/>
        </w:rPr>
        <w:t>proposed approach</w:t>
      </w:r>
      <w:r>
        <w:rPr>
          <w:spacing w:val="-4"/>
          <w:sz w:val="20"/>
        </w:rPr>
        <w:t> </w:t>
      </w:r>
      <w:r>
        <w:rPr>
          <w:sz w:val="20"/>
        </w:rPr>
        <w:t>would</w:t>
      </w:r>
      <w:r>
        <w:rPr>
          <w:spacing w:val="-8"/>
          <w:sz w:val="20"/>
        </w:rPr>
        <w:t> </w:t>
      </w:r>
      <w:r>
        <w:rPr>
          <w:sz w:val="20"/>
        </w:rPr>
        <w:t>allow</w:t>
      </w:r>
      <w:r>
        <w:rPr>
          <w:spacing w:val="-5"/>
          <w:sz w:val="20"/>
        </w:rPr>
        <w:t> </w:t>
      </w:r>
      <w:r>
        <w:rPr>
          <w:sz w:val="20"/>
        </w:rPr>
        <w:t>the</w:t>
      </w:r>
      <w:r>
        <w:rPr>
          <w:spacing w:val="-2"/>
          <w:sz w:val="20"/>
        </w:rPr>
        <w:t> </w:t>
      </w:r>
      <w:r>
        <w:rPr>
          <w:sz w:val="20"/>
        </w:rPr>
        <w:t>Registry</w:t>
      </w:r>
      <w:r>
        <w:rPr>
          <w:spacing w:val="-8"/>
          <w:sz w:val="20"/>
        </w:rPr>
        <w:t> </w:t>
      </w:r>
      <w:r>
        <w:rPr>
          <w:sz w:val="20"/>
        </w:rPr>
        <w:t>to</w:t>
      </w:r>
      <w:r>
        <w:rPr>
          <w:spacing w:val="-8"/>
          <w:sz w:val="20"/>
        </w:rPr>
        <w:t> </w:t>
      </w:r>
      <w:r>
        <w:rPr>
          <w:sz w:val="20"/>
        </w:rPr>
        <w:t>achieve</w:t>
      </w:r>
      <w:r>
        <w:rPr>
          <w:spacing w:val="-2"/>
          <w:sz w:val="20"/>
        </w:rPr>
        <w:t> </w:t>
      </w:r>
      <w:r>
        <w:rPr>
          <w:sz w:val="20"/>
        </w:rPr>
        <w:t>savings</w:t>
      </w:r>
      <w:r>
        <w:rPr>
          <w:spacing w:val="-5"/>
          <w:sz w:val="20"/>
        </w:rPr>
        <w:t> </w:t>
      </w:r>
      <w:r>
        <w:rPr>
          <w:sz w:val="20"/>
        </w:rPr>
        <w:t>of</w:t>
      </w:r>
      <w:r>
        <w:rPr>
          <w:spacing w:val="-8"/>
          <w:sz w:val="20"/>
        </w:rPr>
        <w:t> </w:t>
      </w:r>
      <w:r>
        <w:rPr>
          <w:sz w:val="20"/>
        </w:rPr>
        <w:t>approximately €218.0</w:t>
      </w:r>
      <w:r>
        <w:rPr>
          <w:spacing w:val="-3"/>
          <w:sz w:val="20"/>
        </w:rPr>
        <w:t> </w:t>
      </w:r>
      <w:r>
        <w:rPr>
          <w:sz w:val="20"/>
        </w:rPr>
        <w:t>thousand</w:t>
      </w:r>
      <w:r>
        <w:rPr>
          <w:spacing w:val="-8"/>
          <w:sz w:val="20"/>
        </w:rPr>
        <w:t> </w:t>
      </w:r>
      <w:r>
        <w:rPr>
          <w:sz w:val="20"/>
        </w:rPr>
        <w:t>(as measured considering the cost of six GS-OL positions against the cost of overtime to cover for extended courtroom hours) while ensuring the required flexibility and enabling the provision</w:t>
      </w:r>
      <w:r>
        <w:rPr>
          <w:spacing w:val="-4"/>
          <w:sz w:val="20"/>
        </w:rPr>
        <w:t> </w:t>
      </w:r>
      <w:r>
        <w:rPr>
          <w:sz w:val="20"/>
        </w:rPr>
        <w:t>of</w:t>
      </w:r>
      <w:r>
        <w:rPr>
          <w:spacing w:val="-4"/>
          <w:sz w:val="20"/>
        </w:rPr>
        <w:t> </w:t>
      </w:r>
      <w:r>
        <w:rPr>
          <w:sz w:val="20"/>
        </w:rPr>
        <w:t>security</w:t>
      </w:r>
      <w:r>
        <w:rPr>
          <w:spacing w:val="-13"/>
          <w:sz w:val="20"/>
        </w:rPr>
        <w:t> </w:t>
      </w:r>
      <w:r>
        <w:rPr>
          <w:sz w:val="20"/>
        </w:rPr>
        <w:t>and</w:t>
      </w:r>
      <w:r>
        <w:rPr>
          <w:spacing w:val="-7"/>
          <w:sz w:val="20"/>
        </w:rPr>
        <w:t> </w:t>
      </w:r>
      <w:r>
        <w:rPr>
          <w:sz w:val="20"/>
        </w:rPr>
        <w:t>safety</w:t>
      </w:r>
      <w:r>
        <w:rPr>
          <w:spacing w:val="-8"/>
          <w:sz w:val="20"/>
        </w:rPr>
        <w:t> </w:t>
      </w:r>
      <w:r>
        <w:rPr>
          <w:sz w:val="20"/>
        </w:rPr>
        <w:t>services</w:t>
      </w:r>
      <w:r>
        <w:rPr>
          <w:spacing w:val="-10"/>
          <w:sz w:val="20"/>
        </w:rPr>
        <w:t> </w:t>
      </w:r>
      <w:r>
        <w:rPr>
          <w:sz w:val="20"/>
        </w:rPr>
        <w:t>in</w:t>
      </w:r>
      <w:r>
        <w:rPr>
          <w:spacing w:val="-8"/>
          <w:sz w:val="20"/>
        </w:rPr>
        <w:t> </w:t>
      </w:r>
      <w:r>
        <w:rPr>
          <w:sz w:val="20"/>
        </w:rPr>
        <w:t>line</w:t>
      </w:r>
      <w:r>
        <w:rPr>
          <w:spacing w:val="-7"/>
          <w:sz w:val="20"/>
        </w:rPr>
        <w:t> </w:t>
      </w:r>
      <w:r>
        <w:rPr>
          <w:sz w:val="20"/>
        </w:rPr>
        <w:t>with</w:t>
      </w:r>
      <w:r>
        <w:rPr>
          <w:spacing w:val="-8"/>
          <w:sz w:val="20"/>
        </w:rPr>
        <w:t> </w:t>
      </w:r>
      <w:r>
        <w:rPr>
          <w:sz w:val="20"/>
        </w:rPr>
        <w:t>the</w:t>
      </w:r>
      <w:r>
        <w:rPr>
          <w:spacing w:val="-7"/>
          <w:sz w:val="20"/>
        </w:rPr>
        <w:t> </w:t>
      </w:r>
      <w:r>
        <w:rPr>
          <w:sz w:val="20"/>
        </w:rPr>
        <w:t>development</w:t>
      </w:r>
      <w:r>
        <w:rPr>
          <w:spacing w:val="-7"/>
          <w:sz w:val="20"/>
        </w:rPr>
        <w:t> </w:t>
      </w:r>
      <w:r>
        <w:rPr>
          <w:sz w:val="20"/>
        </w:rPr>
        <w:t>of</w:t>
      </w:r>
      <w:r>
        <w:rPr>
          <w:spacing w:val="-8"/>
          <w:sz w:val="20"/>
        </w:rPr>
        <w:t> </w:t>
      </w:r>
      <w:r>
        <w:rPr>
          <w:sz w:val="20"/>
        </w:rPr>
        <w:t>judicial</w:t>
      </w:r>
      <w:r>
        <w:rPr>
          <w:spacing w:val="-7"/>
          <w:sz w:val="20"/>
        </w:rPr>
        <w:t> </w:t>
      </w:r>
      <w:r>
        <w:rPr>
          <w:sz w:val="20"/>
        </w:rPr>
        <w:t>proceedings and courtroom requirements.</w:t>
      </w:r>
    </w:p>
    <w:p>
      <w:pPr>
        <w:pStyle w:val="ListParagraph"/>
        <w:numPr>
          <w:ilvl w:val="0"/>
          <w:numId w:val="4"/>
        </w:numPr>
        <w:tabs>
          <w:tab w:pos="2967" w:val="left" w:leader="none"/>
        </w:tabs>
        <w:spacing w:line="240" w:lineRule="auto" w:before="117" w:after="0"/>
        <w:ind w:left="2246" w:right="2243" w:firstLine="0"/>
        <w:jc w:val="both"/>
        <w:rPr>
          <w:sz w:val="20"/>
        </w:rPr>
      </w:pPr>
      <w:r>
        <w:rPr>
          <w:sz w:val="20"/>
        </w:rPr>
        <w:t>Three </w:t>
      </w:r>
      <w:r>
        <w:rPr>
          <w:i/>
          <w:sz w:val="20"/>
        </w:rPr>
        <w:t>Senior Security Officers (GS-OL) 12 months. New. </w:t>
      </w:r>
      <w:r>
        <w:rPr>
          <w:sz w:val="20"/>
        </w:rPr>
        <w:t>To provide close protection</w:t>
      </w:r>
      <w:r>
        <w:rPr>
          <w:spacing w:val="-4"/>
          <w:sz w:val="20"/>
        </w:rPr>
        <w:t> </w:t>
      </w:r>
      <w:r>
        <w:rPr>
          <w:sz w:val="20"/>
        </w:rPr>
        <w:t>and security</w:t>
      </w:r>
      <w:r>
        <w:rPr>
          <w:spacing w:val="-4"/>
          <w:sz w:val="20"/>
        </w:rPr>
        <w:t> </w:t>
      </w:r>
      <w:r>
        <w:rPr>
          <w:sz w:val="20"/>
        </w:rPr>
        <w:t>liaison</w:t>
      </w:r>
      <w:r>
        <w:rPr>
          <w:spacing w:val="-4"/>
          <w:sz w:val="20"/>
        </w:rPr>
        <w:t> </w:t>
      </w:r>
      <w:r>
        <w:rPr>
          <w:sz w:val="20"/>
        </w:rPr>
        <w:t>to</w:t>
      </w:r>
      <w:r>
        <w:rPr>
          <w:spacing w:val="-4"/>
          <w:sz w:val="20"/>
        </w:rPr>
        <w:t> </w:t>
      </w:r>
      <w:r>
        <w:rPr>
          <w:sz w:val="20"/>
        </w:rPr>
        <w:t>support</w:t>
      </w:r>
      <w:r>
        <w:rPr>
          <w:spacing w:val="-2"/>
          <w:sz w:val="20"/>
        </w:rPr>
        <w:t> </w:t>
      </w:r>
      <w:r>
        <w:rPr>
          <w:sz w:val="20"/>
        </w:rPr>
        <w:t>the</w:t>
      </w:r>
      <w:r>
        <w:rPr>
          <w:spacing w:val="-2"/>
          <w:sz w:val="20"/>
        </w:rPr>
        <w:t> </w:t>
      </w:r>
      <w:r>
        <w:rPr>
          <w:sz w:val="20"/>
        </w:rPr>
        <w:t>Court’s elected</w:t>
      </w:r>
      <w:r>
        <w:rPr>
          <w:spacing w:val="-8"/>
          <w:sz w:val="20"/>
        </w:rPr>
        <w:t> </w:t>
      </w:r>
      <w:r>
        <w:rPr>
          <w:sz w:val="20"/>
        </w:rPr>
        <w:t>officials during</w:t>
      </w:r>
      <w:r>
        <w:rPr>
          <w:spacing w:val="-4"/>
          <w:sz w:val="20"/>
        </w:rPr>
        <w:t> </w:t>
      </w:r>
      <w:r>
        <w:rPr>
          <w:sz w:val="20"/>
        </w:rPr>
        <w:t>their</w:t>
      </w:r>
      <w:r>
        <w:rPr>
          <w:spacing w:val="-4"/>
          <w:sz w:val="20"/>
        </w:rPr>
        <w:t> </w:t>
      </w:r>
      <w:r>
        <w:rPr>
          <w:sz w:val="20"/>
        </w:rPr>
        <w:t>travel</w:t>
      </w:r>
      <w:r>
        <w:rPr>
          <w:spacing w:val="-2"/>
          <w:sz w:val="20"/>
        </w:rPr>
        <w:t> </w:t>
      </w:r>
      <w:r>
        <w:rPr>
          <w:sz w:val="20"/>
        </w:rPr>
        <w:t>and on</w:t>
      </w:r>
      <w:r>
        <w:rPr>
          <w:spacing w:val="-8"/>
          <w:sz w:val="20"/>
        </w:rPr>
        <w:t> </w:t>
      </w:r>
      <w:r>
        <w:rPr>
          <w:sz w:val="20"/>
        </w:rPr>
        <w:t>mission.</w:t>
      </w:r>
      <w:r>
        <w:rPr>
          <w:spacing w:val="-6"/>
          <w:sz w:val="20"/>
        </w:rPr>
        <w:t> </w:t>
      </w:r>
      <w:r>
        <w:rPr>
          <w:sz w:val="20"/>
        </w:rPr>
        <w:t>As</w:t>
      </w:r>
      <w:r>
        <w:rPr>
          <w:spacing w:val="-10"/>
          <w:sz w:val="20"/>
        </w:rPr>
        <w:t> </w:t>
      </w:r>
      <w:r>
        <w:rPr>
          <w:sz w:val="20"/>
        </w:rPr>
        <w:t>a</w:t>
      </w:r>
      <w:r>
        <w:rPr>
          <w:spacing w:val="-7"/>
          <w:sz w:val="20"/>
        </w:rPr>
        <w:t> </w:t>
      </w:r>
      <w:r>
        <w:rPr>
          <w:sz w:val="20"/>
        </w:rPr>
        <w:t>result</w:t>
      </w:r>
      <w:r>
        <w:rPr>
          <w:spacing w:val="-7"/>
          <w:sz w:val="20"/>
        </w:rPr>
        <w:t> </w:t>
      </w:r>
      <w:r>
        <w:rPr>
          <w:sz w:val="20"/>
        </w:rPr>
        <w:t>of</w:t>
      </w:r>
      <w:r>
        <w:rPr>
          <w:spacing w:val="-13"/>
          <w:sz w:val="20"/>
        </w:rPr>
        <w:t> </w:t>
      </w:r>
      <w:r>
        <w:rPr>
          <w:sz w:val="20"/>
        </w:rPr>
        <w:t>the</w:t>
      </w:r>
      <w:r>
        <w:rPr>
          <w:spacing w:val="-7"/>
          <w:sz w:val="20"/>
        </w:rPr>
        <w:t> </w:t>
      </w:r>
      <w:r>
        <w:rPr>
          <w:sz w:val="20"/>
        </w:rPr>
        <w:t>Court’s</w:t>
      </w:r>
      <w:r>
        <w:rPr>
          <w:spacing w:val="-10"/>
          <w:sz w:val="20"/>
        </w:rPr>
        <w:t> </w:t>
      </w:r>
      <w:r>
        <w:rPr>
          <w:sz w:val="20"/>
        </w:rPr>
        <w:t>raised</w:t>
      </w:r>
      <w:r>
        <w:rPr>
          <w:spacing w:val="-8"/>
          <w:sz w:val="20"/>
        </w:rPr>
        <w:t> </w:t>
      </w:r>
      <w:r>
        <w:rPr>
          <w:sz w:val="20"/>
        </w:rPr>
        <w:t>profile,</w:t>
      </w:r>
      <w:r>
        <w:rPr>
          <w:spacing w:val="-2"/>
          <w:sz w:val="20"/>
        </w:rPr>
        <w:t> </w:t>
      </w:r>
      <w:r>
        <w:rPr>
          <w:sz w:val="20"/>
        </w:rPr>
        <w:t>these</w:t>
      </w:r>
      <w:r>
        <w:rPr>
          <w:spacing w:val="-7"/>
          <w:sz w:val="20"/>
        </w:rPr>
        <w:t> </w:t>
      </w:r>
      <w:r>
        <w:rPr>
          <w:sz w:val="20"/>
        </w:rPr>
        <w:t>positions</w:t>
      </w:r>
      <w:r>
        <w:rPr>
          <w:spacing w:val="-10"/>
          <w:sz w:val="20"/>
        </w:rPr>
        <w:t> </w:t>
      </w:r>
      <w:r>
        <w:rPr>
          <w:sz w:val="20"/>
        </w:rPr>
        <w:t>are</w:t>
      </w:r>
      <w:r>
        <w:rPr>
          <w:spacing w:val="-7"/>
          <w:sz w:val="20"/>
        </w:rPr>
        <w:t> </w:t>
      </w:r>
      <w:r>
        <w:rPr>
          <w:sz w:val="20"/>
        </w:rPr>
        <w:t>required</w:t>
      </w:r>
      <w:r>
        <w:rPr>
          <w:spacing w:val="-13"/>
          <w:sz w:val="20"/>
        </w:rPr>
        <w:t> </w:t>
      </w:r>
      <w:r>
        <w:rPr>
          <w:sz w:val="20"/>
        </w:rPr>
        <w:t>to</w:t>
      </w:r>
      <w:r>
        <w:rPr>
          <w:spacing w:val="-8"/>
          <w:sz w:val="20"/>
        </w:rPr>
        <w:t> </w:t>
      </w:r>
      <w:r>
        <w:rPr>
          <w:sz w:val="20"/>
        </w:rPr>
        <w:t>ensure</w:t>
      </w:r>
      <w:r>
        <w:rPr>
          <w:spacing w:val="-7"/>
          <w:sz w:val="20"/>
        </w:rPr>
        <w:t> </w:t>
      </w:r>
      <w:r>
        <w:rPr>
          <w:sz w:val="20"/>
        </w:rPr>
        <w:t>the safety of</w:t>
      </w:r>
      <w:r>
        <w:rPr>
          <w:spacing w:val="-5"/>
          <w:sz w:val="20"/>
        </w:rPr>
        <w:t> </w:t>
      </w:r>
      <w:r>
        <w:rPr>
          <w:sz w:val="20"/>
        </w:rPr>
        <w:t>senior</w:t>
      </w:r>
      <w:r>
        <w:rPr>
          <w:spacing w:val="-5"/>
          <w:sz w:val="20"/>
        </w:rPr>
        <w:t> </w:t>
      </w:r>
      <w:r>
        <w:rPr>
          <w:sz w:val="20"/>
        </w:rPr>
        <w:t>Court officials</w:t>
      </w:r>
      <w:r>
        <w:rPr>
          <w:spacing w:val="-1"/>
          <w:sz w:val="20"/>
        </w:rPr>
        <w:t> </w:t>
      </w:r>
      <w:r>
        <w:rPr>
          <w:sz w:val="20"/>
        </w:rPr>
        <w:t>who</w:t>
      </w:r>
      <w:r>
        <w:rPr>
          <w:spacing w:val="-5"/>
          <w:sz w:val="20"/>
        </w:rPr>
        <w:t> </w:t>
      </w:r>
      <w:r>
        <w:rPr>
          <w:sz w:val="20"/>
        </w:rPr>
        <w:t>are</w:t>
      </w:r>
      <w:r>
        <w:rPr>
          <w:spacing w:val="-3"/>
          <w:sz w:val="20"/>
        </w:rPr>
        <w:t> </w:t>
      </w:r>
      <w:r>
        <w:rPr>
          <w:sz w:val="20"/>
        </w:rPr>
        <w:t>travelling</w:t>
      </w:r>
      <w:r>
        <w:rPr>
          <w:spacing w:val="-5"/>
          <w:sz w:val="20"/>
        </w:rPr>
        <w:t> </w:t>
      </w:r>
      <w:r>
        <w:rPr>
          <w:sz w:val="20"/>
        </w:rPr>
        <w:t>more frequently</w:t>
      </w:r>
      <w:r>
        <w:rPr>
          <w:spacing w:val="-5"/>
          <w:sz w:val="20"/>
        </w:rPr>
        <w:t> </w:t>
      </w:r>
      <w:r>
        <w:rPr>
          <w:sz w:val="20"/>
        </w:rPr>
        <w:t>to ongoing</w:t>
      </w:r>
      <w:r>
        <w:rPr>
          <w:spacing w:val="-5"/>
          <w:sz w:val="20"/>
        </w:rPr>
        <w:t> </w:t>
      </w:r>
      <w:r>
        <w:rPr>
          <w:sz w:val="20"/>
        </w:rPr>
        <w:t>conflict</w:t>
      </w:r>
      <w:r>
        <w:rPr>
          <w:spacing w:val="-3"/>
          <w:sz w:val="20"/>
        </w:rPr>
        <w:t> </w:t>
      </w:r>
      <w:r>
        <w:rPr>
          <w:sz w:val="20"/>
        </w:rPr>
        <w:t>areas, by providing security mitigation and protection commensurate to the risks. The increased need for close protection requires additional resources in order to avoid compromising regular</w:t>
      </w:r>
      <w:r>
        <w:rPr>
          <w:spacing w:val="-13"/>
          <w:sz w:val="20"/>
        </w:rPr>
        <w:t> </w:t>
      </w:r>
      <w:r>
        <w:rPr>
          <w:sz w:val="20"/>
        </w:rPr>
        <w:t>travel,</w:t>
      </w:r>
      <w:r>
        <w:rPr>
          <w:spacing w:val="-12"/>
          <w:sz w:val="20"/>
        </w:rPr>
        <w:t> </w:t>
      </w:r>
      <w:r>
        <w:rPr>
          <w:sz w:val="20"/>
        </w:rPr>
        <w:t>mission</w:t>
      </w:r>
      <w:r>
        <w:rPr>
          <w:spacing w:val="-13"/>
          <w:sz w:val="20"/>
        </w:rPr>
        <w:t> </w:t>
      </w:r>
      <w:r>
        <w:rPr>
          <w:sz w:val="20"/>
        </w:rPr>
        <w:t>and</w:t>
      </w:r>
      <w:r>
        <w:rPr>
          <w:spacing w:val="-12"/>
          <w:sz w:val="20"/>
        </w:rPr>
        <w:t> </w:t>
      </w:r>
      <w:r>
        <w:rPr>
          <w:sz w:val="20"/>
        </w:rPr>
        <w:t>field</w:t>
      </w:r>
      <w:r>
        <w:rPr>
          <w:spacing w:val="-13"/>
          <w:sz w:val="20"/>
        </w:rPr>
        <w:t> </w:t>
      </w:r>
      <w:r>
        <w:rPr>
          <w:sz w:val="20"/>
        </w:rPr>
        <w:t>activities.</w:t>
      </w:r>
      <w:r>
        <w:rPr>
          <w:spacing w:val="-12"/>
          <w:sz w:val="20"/>
        </w:rPr>
        <w:t> </w:t>
      </w:r>
      <w:r>
        <w:rPr>
          <w:sz w:val="20"/>
        </w:rPr>
        <w:t>The</w:t>
      </w:r>
      <w:r>
        <w:rPr>
          <w:spacing w:val="-13"/>
          <w:sz w:val="20"/>
        </w:rPr>
        <w:t> </w:t>
      </w:r>
      <w:r>
        <w:rPr>
          <w:sz w:val="20"/>
        </w:rPr>
        <w:t>absence</w:t>
      </w:r>
      <w:r>
        <w:rPr>
          <w:spacing w:val="-12"/>
          <w:sz w:val="20"/>
        </w:rPr>
        <w:t> </w:t>
      </w:r>
      <w:r>
        <w:rPr>
          <w:sz w:val="20"/>
        </w:rPr>
        <w:t>of</w:t>
      </w:r>
      <w:r>
        <w:rPr>
          <w:spacing w:val="-13"/>
          <w:sz w:val="20"/>
        </w:rPr>
        <w:t> </w:t>
      </w:r>
      <w:r>
        <w:rPr>
          <w:sz w:val="20"/>
        </w:rPr>
        <w:t>dedicated</w:t>
      </w:r>
      <w:r>
        <w:rPr>
          <w:spacing w:val="-12"/>
          <w:sz w:val="20"/>
        </w:rPr>
        <w:t> </w:t>
      </w:r>
      <w:r>
        <w:rPr>
          <w:sz w:val="20"/>
        </w:rPr>
        <w:t>close</w:t>
      </w:r>
      <w:r>
        <w:rPr>
          <w:spacing w:val="-8"/>
          <w:sz w:val="20"/>
        </w:rPr>
        <w:t> </w:t>
      </w:r>
      <w:r>
        <w:rPr>
          <w:sz w:val="20"/>
        </w:rPr>
        <w:t>protection</w:t>
      </w:r>
      <w:r>
        <w:rPr>
          <w:spacing w:val="-13"/>
          <w:sz w:val="20"/>
        </w:rPr>
        <w:t> </w:t>
      </w:r>
      <w:r>
        <w:rPr>
          <w:sz w:val="20"/>
        </w:rPr>
        <w:t>capacity and</w:t>
      </w:r>
      <w:r>
        <w:rPr>
          <w:spacing w:val="-3"/>
          <w:sz w:val="20"/>
        </w:rPr>
        <w:t> </w:t>
      </w:r>
      <w:r>
        <w:rPr>
          <w:sz w:val="20"/>
        </w:rPr>
        <w:t>limited security</w:t>
      </w:r>
      <w:r>
        <w:rPr>
          <w:spacing w:val="-4"/>
          <w:sz w:val="20"/>
        </w:rPr>
        <w:t> </w:t>
      </w:r>
      <w:r>
        <w:rPr>
          <w:sz w:val="20"/>
        </w:rPr>
        <w:t>planning</w:t>
      </w:r>
      <w:r>
        <w:rPr>
          <w:spacing w:val="-8"/>
          <w:sz w:val="20"/>
        </w:rPr>
        <w:t> </w:t>
      </w:r>
      <w:r>
        <w:rPr>
          <w:sz w:val="20"/>
        </w:rPr>
        <w:t>and</w:t>
      </w:r>
      <w:r>
        <w:rPr>
          <w:spacing w:val="-4"/>
          <w:sz w:val="20"/>
        </w:rPr>
        <w:t> </w:t>
      </w:r>
      <w:r>
        <w:rPr>
          <w:sz w:val="20"/>
        </w:rPr>
        <w:t>coordination</w:t>
      </w:r>
      <w:r>
        <w:rPr>
          <w:spacing w:val="-4"/>
          <w:sz w:val="20"/>
        </w:rPr>
        <w:t> </w:t>
      </w:r>
      <w:r>
        <w:rPr>
          <w:sz w:val="20"/>
        </w:rPr>
        <w:t>places</w:t>
      </w:r>
      <w:r>
        <w:rPr>
          <w:spacing w:val="-5"/>
          <w:sz w:val="20"/>
        </w:rPr>
        <w:t> </w:t>
      </w:r>
      <w:r>
        <w:rPr>
          <w:sz w:val="20"/>
        </w:rPr>
        <w:t>a</w:t>
      </w:r>
      <w:r>
        <w:rPr>
          <w:spacing w:val="-2"/>
          <w:sz w:val="20"/>
        </w:rPr>
        <w:t> </w:t>
      </w:r>
      <w:r>
        <w:rPr>
          <w:sz w:val="20"/>
        </w:rPr>
        <w:t>strain on</w:t>
      </w:r>
      <w:r>
        <w:rPr>
          <w:spacing w:val="-8"/>
          <w:sz w:val="20"/>
        </w:rPr>
        <w:t> </w:t>
      </w:r>
      <w:r>
        <w:rPr>
          <w:sz w:val="20"/>
        </w:rPr>
        <w:t>existing</w:t>
      </w:r>
      <w:r>
        <w:rPr>
          <w:spacing w:val="-4"/>
          <w:sz w:val="20"/>
        </w:rPr>
        <w:t> </w:t>
      </w:r>
      <w:r>
        <w:rPr>
          <w:sz w:val="20"/>
        </w:rPr>
        <w:t>SSS resources</w:t>
      </w:r>
      <w:r>
        <w:rPr>
          <w:spacing w:val="-5"/>
          <w:sz w:val="20"/>
        </w:rPr>
        <w:t> </w:t>
      </w:r>
      <w:r>
        <w:rPr>
          <w:sz w:val="20"/>
        </w:rPr>
        <w:t>and poses substantial risks to the security and safety of ongoing field operations.</w:t>
      </w:r>
    </w:p>
    <w:p>
      <w:pPr>
        <w:pStyle w:val="ListParagraph"/>
        <w:numPr>
          <w:ilvl w:val="0"/>
          <w:numId w:val="4"/>
        </w:numPr>
        <w:tabs>
          <w:tab w:pos="2967" w:val="left" w:leader="none"/>
        </w:tabs>
        <w:spacing w:line="240" w:lineRule="auto" w:before="124" w:after="0"/>
        <w:ind w:left="2246" w:right="2239" w:firstLine="0"/>
        <w:jc w:val="both"/>
        <w:rPr>
          <w:sz w:val="20"/>
        </w:rPr>
      </w:pPr>
      <w:r>
        <w:rPr>
          <w:sz w:val="20"/>
        </w:rPr>
        <w:t>One </w:t>
      </w:r>
      <w:r>
        <w:rPr>
          <w:i/>
          <w:sz w:val="20"/>
        </w:rPr>
        <w:t>Staff Counsellor (P-3), 12 months</w:t>
      </w:r>
      <w:r>
        <w:rPr>
          <w:sz w:val="20"/>
        </w:rPr>
        <w:t>. </w:t>
      </w:r>
      <w:r>
        <w:rPr>
          <w:i/>
          <w:sz w:val="20"/>
        </w:rPr>
        <w:t>Continued. Multi-year. </w:t>
      </w:r>
      <w:r>
        <w:rPr>
          <w:sz w:val="20"/>
        </w:rPr>
        <w:t>The position is needed as additional staffing for the OHU to deliver on the Secondary Trauma Survey prevention project. In</w:t>
      </w:r>
      <w:r>
        <w:rPr>
          <w:spacing w:val="-4"/>
          <w:sz w:val="20"/>
        </w:rPr>
        <w:t> </w:t>
      </w:r>
      <w:r>
        <w:rPr>
          <w:sz w:val="20"/>
        </w:rPr>
        <w:t>carrying out their duties and responsibilities, many staff members are directly or</w:t>
      </w:r>
      <w:r>
        <w:rPr>
          <w:spacing w:val="-4"/>
          <w:sz w:val="20"/>
        </w:rPr>
        <w:t> </w:t>
      </w:r>
      <w:r>
        <w:rPr>
          <w:sz w:val="20"/>
        </w:rPr>
        <w:t>indirectly exposed</w:t>
      </w:r>
      <w:r>
        <w:rPr>
          <w:spacing w:val="-4"/>
          <w:sz w:val="20"/>
        </w:rPr>
        <w:t> </w:t>
      </w:r>
      <w:r>
        <w:rPr>
          <w:sz w:val="20"/>
        </w:rPr>
        <w:t>to</w:t>
      </w:r>
      <w:r>
        <w:rPr>
          <w:spacing w:val="-4"/>
          <w:sz w:val="20"/>
        </w:rPr>
        <w:t> </w:t>
      </w:r>
      <w:r>
        <w:rPr>
          <w:sz w:val="20"/>
        </w:rPr>
        <w:t>evidence</w:t>
      </w:r>
      <w:r>
        <w:rPr>
          <w:spacing w:val="-2"/>
          <w:sz w:val="20"/>
        </w:rPr>
        <w:t> </w:t>
      </w:r>
      <w:r>
        <w:rPr>
          <w:sz w:val="20"/>
        </w:rPr>
        <w:t>or stories</w:t>
      </w:r>
      <w:r>
        <w:rPr>
          <w:spacing w:val="-5"/>
          <w:sz w:val="20"/>
        </w:rPr>
        <w:t> </w:t>
      </w:r>
      <w:r>
        <w:rPr>
          <w:sz w:val="20"/>
        </w:rPr>
        <w:t>of crimes committed in cases before the Court.</w:t>
      </w:r>
      <w:r>
        <w:rPr>
          <w:spacing w:val="-10"/>
          <w:sz w:val="20"/>
        </w:rPr>
        <w:t> </w:t>
      </w:r>
      <w:r>
        <w:rPr>
          <w:sz w:val="20"/>
        </w:rPr>
        <w:t>Studies</w:t>
      </w:r>
      <w:r>
        <w:rPr>
          <w:spacing w:val="-11"/>
          <w:sz w:val="20"/>
        </w:rPr>
        <w:t> </w:t>
      </w:r>
      <w:r>
        <w:rPr>
          <w:sz w:val="20"/>
        </w:rPr>
        <w:t>have</w:t>
      </w:r>
      <w:r>
        <w:rPr>
          <w:spacing w:val="-8"/>
          <w:sz w:val="20"/>
        </w:rPr>
        <w:t> </w:t>
      </w:r>
      <w:r>
        <w:rPr>
          <w:sz w:val="20"/>
        </w:rPr>
        <w:t>shown</w:t>
      </w:r>
      <w:r>
        <w:rPr>
          <w:spacing w:val="-9"/>
          <w:sz w:val="20"/>
        </w:rPr>
        <w:t> </w:t>
      </w:r>
      <w:r>
        <w:rPr>
          <w:sz w:val="20"/>
        </w:rPr>
        <w:t>that</w:t>
      </w:r>
      <w:r>
        <w:rPr>
          <w:spacing w:val="-13"/>
          <w:sz w:val="20"/>
        </w:rPr>
        <w:t> </w:t>
      </w:r>
      <w:r>
        <w:rPr>
          <w:sz w:val="20"/>
        </w:rPr>
        <w:t>intense</w:t>
      </w:r>
      <w:r>
        <w:rPr>
          <w:spacing w:val="-12"/>
          <w:sz w:val="20"/>
        </w:rPr>
        <w:t> </w:t>
      </w:r>
      <w:r>
        <w:rPr>
          <w:sz w:val="20"/>
        </w:rPr>
        <w:t>exposure</w:t>
      </w:r>
      <w:r>
        <w:rPr>
          <w:spacing w:val="-8"/>
          <w:sz w:val="20"/>
        </w:rPr>
        <w:t> </w:t>
      </w:r>
      <w:r>
        <w:rPr>
          <w:sz w:val="20"/>
        </w:rPr>
        <w:t>to</w:t>
      </w:r>
      <w:r>
        <w:rPr>
          <w:spacing w:val="-9"/>
          <w:sz w:val="20"/>
        </w:rPr>
        <w:t> </w:t>
      </w:r>
      <w:r>
        <w:rPr>
          <w:sz w:val="20"/>
        </w:rPr>
        <w:t>potentially</w:t>
      </w:r>
      <w:r>
        <w:rPr>
          <w:spacing w:val="-9"/>
          <w:sz w:val="20"/>
        </w:rPr>
        <w:t> </w:t>
      </w:r>
      <w:r>
        <w:rPr>
          <w:sz w:val="20"/>
        </w:rPr>
        <w:t>traumatizing</w:t>
      </w:r>
      <w:r>
        <w:rPr>
          <w:spacing w:val="-13"/>
          <w:sz w:val="20"/>
        </w:rPr>
        <w:t> </w:t>
      </w:r>
      <w:r>
        <w:rPr>
          <w:sz w:val="20"/>
        </w:rPr>
        <w:t>material</w:t>
      </w:r>
      <w:r>
        <w:rPr>
          <w:spacing w:val="-12"/>
          <w:sz w:val="20"/>
        </w:rPr>
        <w:t> </w:t>
      </w:r>
      <w:r>
        <w:rPr>
          <w:sz w:val="20"/>
        </w:rPr>
        <w:t>can</w:t>
      </w:r>
      <w:r>
        <w:rPr>
          <w:spacing w:val="-13"/>
          <w:sz w:val="20"/>
        </w:rPr>
        <w:t> </w:t>
      </w:r>
      <w:r>
        <w:rPr>
          <w:sz w:val="20"/>
        </w:rPr>
        <w:t>lead to</w:t>
      </w:r>
      <w:r>
        <w:rPr>
          <w:spacing w:val="-13"/>
          <w:sz w:val="20"/>
        </w:rPr>
        <w:t> </w:t>
      </w:r>
      <w:r>
        <w:rPr>
          <w:sz w:val="20"/>
        </w:rPr>
        <w:t>the</w:t>
      </w:r>
      <w:r>
        <w:rPr>
          <w:spacing w:val="-12"/>
          <w:sz w:val="20"/>
        </w:rPr>
        <w:t> </w:t>
      </w:r>
      <w:r>
        <w:rPr>
          <w:sz w:val="20"/>
        </w:rPr>
        <w:t>development</w:t>
      </w:r>
      <w:r>
        <w:rPr>
          <w:spacing w:val="-13"/>
          <w:sz w:val="20"/>
        </w:rPr>
        <w:t> </w:t>
      </w:r>
      <w:r>
        <w:rPr>
          <w:sz w:val="20"/>
        </w:rPr>
        <w:t>of</w:t>
      </w:r>
      <w:r>
        <w:rPr>
          <w:spacing w:val="-12"/>
          <w:sz w:val="20"/>
        </w:rPr>
        <w:t> </w:t>
      </w:r>
      <w:r>
        <w:rPr>
          <w:sz w:val="20"/>
        </w:rPr>
        <w:t>psychological</w:t>
      </w:r>
      <w:r>
        <w:rPr>
          <w:spacing w:val="-13"/>
          <w:sz w:val="20"/>
        </w:rPr>
        <w:t> </w:t>
      </w:r>
      <w:r>
        <w:rPr>
          <w:sz w:val="20"/>
        </w:rPr>
        <w:t>or</w:t>
      </w:r>
      <w:r>
        <w:rPr>
          <w:spacing w:val="-12"/>
          <w:sz w:val="20"/>
        </w:rPr>
        <w:t> </w:t>
      </w:r>
      <w:r>
        <w:rPr>
          <w:sz w:val="20"/>
        </w:rPr>
        <w:t>physical</w:t>
      </w:r>
      <w:r>
        <w:rPr>
          <w:spacing w:val="-13"/>
          <w:sz w:val="20"/>
        </w:rPr>
        <w:t> </w:t>
      </w:r>
      <w:r>
        <w:rPr>
          <w:sz w:val="20"/>
        </w:rPr>
        <w:t>symptoms</w:t>
      </w:r>
      <w:r>
        <w:rPr>
          <w:spacing w:val="-12"/>
          <w:sz w:val="20"/>
        </w:rPr>
        <w:t> </w:t>
      </w:r>
      <w:r>
        <w:rPr>
          <w:sz w:val="20"/>
        </w:rPr>
        <w:t>similar</w:t>
      </w:r>
      <w:r>
        <w:rPr>
          <w:spacing w:val="-13"/>
          <w:sz w:val="20"/>
        </w:rPr>
        <w:t> </w:t>
      </w:r>
      <w:r>
        <w:rPr>
          <w:sz w:val="20"/>
        </w:rPr>
        <w:t>to</w:t>
      </w:r>
      <w:r>
        <w:rPr>
          <w:spacing w:val="-12"/>
          <w:sz w:val="20"/>
        </w:rPr>
        <w:t> </w:t>
      </w:r>
      <w:r>
        <w:rPr>
          <w:sz w:val="20"/>
        </w:rPr>
        <w:t>those</w:t>
      </w:r>
      <w:r>
        <w:rPr>
          <w:spacing w:val="-13"/>
          <w:sz w:val="20"/>
        </w:rPr>
        <w:t> </w:t>
      </w:r>
      <w:r>
        <w:rPr>
          <w:sz w:val="20"/>
        </w:rPr>
        <w:t>of</w:t>
      </w:r>
      <w:r>
        <w:rPr>
          <w:spacing w:val="-12"/>
          <w:sz w:val="20"/>
        </w:rPr>
        <w:t> </w:t>
      </w:r>
      <w:r>
        <w:rPr>
          <w:sz w:val="20"/>
        </w:rPr>
        <w:t>Post-Traumatic Stress Disorder (PTSD), such as numbness, sadness, anxiety, sleep and concentration problems or muscular pain and headaches. In January 2019, the Coordination Council and the</w:t>
      </w:r>
      <w:r>
        <w:rPr>
          <w:spacing w:val="-7"/>
          <w:sz w:val="20"/>
        </w:rPr>
        <w:t> </w:t>
      </w:r>
      <w:r>
        <w:rPr>
          <w:sz w:val="20"/>
        </w:rPr>
        <w:t>Staff</w:t>
      </w:r>
      <w:r>
        <w:rPr>
          <w:spacing w:val="-8"/>
          <w:sz w:val="20"/>
        </w:rPr>
        <w:t> </w:t>
      </w:r>
      <w:r>
        <w:rPr>
          <w:sz w:val="20"/>
        </w:rPr>
        <w:t>Wellbeing</w:t>
      </w:r>
      <w:r>
        <w:rPr>
          <w:spacing w:val="-8"/>
          <w:sz w:val="20"/>
        </w:rPr>
        <w:t> </w:t>
      </w:r>
      <w:r>
        <w:rPr>
          <w:sz w:val="20"/>
        </w:rPr>
        <w:t>and</w:t>
      </w:r>
      <w:r>
        <w:rPr>
          <w:spacing w:val="-8"/>
          <w:sz w:val="20"/>
        </w:rPr>
        <w:t> </w:t>
      </w:r>
      <w:r>
        <w:rPr>
          <w:sz w:val="20"/>
        </w:rPr>
        <w:t>Engagement</w:t>
      </w:r>
      <w:r>
        <w:rPr>
          <w:spacing w:val="-7"/>
          <w:sz w:val="20"/>
        </w:rPr>
        <w:t> </w:t>
      </w:r>
      <w:r>
        <w:rPr>
          <w:sz w:val="20"/>
        </w:rPr>
        <w:t>Committee</w:t>
      </w:r>
      <w:r>
        <w:rPr>
          <w:spacing w:val="-7"/>
          <w:sz w:val="20"/>
        </w:rPr>
        <w:t> </w:t>
      </w:r>
      <w:r>
        <w:rPr>
          <w:sz w:val="20"/>
        </w:rPr>
        <w:t>endorsed</w:t>
      </w:r>
      <w:r>
        <w:rPr>
          <w:spacing w:val="-8"/>
          <w:sz w:val="20"/>
        </w:rPr>
        <w:t> </w:t>
      </w:r>
      <w:r>
        <w:rPr>
          <w:sz w:val="20"/>
        </w:rPr>
        <w:t>a</w:t>
      </w:r>
      <w:r>
        <w:rPr>
          <w:spacing w:val="-7"/>
          <w:sz w:val="20"/>
        </w:rPr>
        <w:t> </w:t>
      </w:r>
      <w:r>
        <w:rPr>
          <w:sz w:val="20"/>
        </w:rPr>
        <w:t>three-year</w:t>
      </w:r>
      <w:r>
        <w:rPr>
          <w:spacing w:val="-4"/>
          <w:sz w:val="20"/>
        </w:rPr>
        <w:t> </w:t>
      </w:r>
      <w:r>
        <w:rPr>
          <w:sz w:val="20"/>
        </w:rPr>
        <w:t>project</w:t>
      </w:r>
      <w:r>
        <w:rPr>
          <w:spacing w:val="-2"/>
          <w:sz w:val="20"/>
        </w:rPr>
        <w:t> </w:t>
      </w:r>
      <w:r>
        <w:rPr>
          <w:sz w:val="20"/>
        </w:rPr>
        <w:t>on</w:t>
      </w:r>
      <w:r>
        <w:rPr>
          <w:spacing w:val="-8"/>
          <w:sz w:val="20"/>
        </w:rPr>
        <w:t> </w:t>
      </w:r>
      <w:r>
        <w:rPr>
          <w:sz w:val="20"/>
        </w:rPr>
        <w:t>Secondary Trauma prevention (“the STS project”).</w:t>
      </w:r>
    </w:p>
    <w:p>
      <w:pPr>
        <w:spacing w:after="0" w:line="240" w:lineRule="auto"/>
        <w:jc w:val="both"/>
        <w:rPr>
          <w:sz w:val="20"/>
        </w:rPr>
        <w:sectPr>
          <w:pgSz w:w="11910" w:h="16840"/>
          <w:pgMar w:header="953" w:footer="940" w:top="1140" w:bottom="1140" w:left="20" w:right="20"/>
        </w:sectPr>
      </w:pPr>
    </w:p>
    <w:p>
      <w:pPr>
        <w:tabs>
          <w:tab w:pos="8287" w:val="left" w:leader="none"/>
        </w:tabs>
        <w:spacing w:before="120"/>
        <w:ind w:left="2246" w:right="0" w:firstLine="0"/>
        <w:jc w:val="both"/>
        <w:rPr>
          <w:i/>
          <w:sz w:val="20"/>
        </w:rPr>
      </w:pPr>
      <w:r>
        <w:rPr>
          <w:i/>
          <w:spacing w:val="-2"/>
          <w:sz w:val="20"/>
        </w:rPr>
        <w:t>Overtime</w:t>
      </w:r>
      <w:r>
        <w:rPr>
          <w:i/>
          <w:sz w:val="20"/>
        </w:rPr>
        <w:tab/>
        <w:t>€324.7</w:t>
      </w:r>
      <w:r>
        <w:rPr>
          <w:i/>
          <w:spacing w:val="-8"/>
          <w:sz w:val="20"/>
        </w:rPr>
        <w:t> </w:t>
      </w:r>
      <w:r>
        <w:rPr>
          <w:i/>
          <w:spacing w:val="-2"/>
          <w:sz w:val="20"/>
        </w:rPr>
        <w:t>thousand</w:t>
      </w:r>
    </w:p>
    <w:p>
      <w:pPr>
        <w:pStyle w:val="BodyText"/>
        <w:spacing w:before="10"/>
        <w:rPr>
          <w:i/>
        </w:rPr>
      </w:pPr>
    </w:p>
    <w:p>
      <w:pPr>
        <w:pStyle w:val="ListParagraph"/>
        <w:numPr>
          <w:ilvl w:val="0"/>
          <w:numId w:val="4"/>
        </w:numPr>
        <w:tabs>
          <w:tab w:pos="2967" w:val="left" w:leader="none"/>
        </w:tabs>
        <w:spacing w:line="240" w:lineRule="auto" w:before="1" w:after="0"/>
        <w:ind w:left="2246" w:right="2242" w:firstLine="0"/>
        <w:jc w:val="both"/>
        <w:rPr>
          <w:sz w:val="20"/>
        </w:rPr>
      </w:pPr>
      <w:r>
        <w:rPr>
          <w:sz w:val="20"/>
        </w:rPr>
        <w:t>The requested amount shows a slight increase of €10.0 thousand (3.2 per cent) to compensate for on-call duty and out-of-hours travel-related requests. Overtime resource requests are recurrent and fluctuate to cope with operational needs. Overtime requirements are reassessed annually.</w:t>
      </w:r>
    </w:p>
    <w:p>
      <w:pPr>
        <w:pStyle w:val="ListParagraph"/>
        <w:numPr>
          <w:ilvl w:val="0"/>
          <w:numId w:val="4"/>
        </w:numPr>
        <w:tabs>
          <w:tab w:pos="2967" w:val="left" w:leader="none"/>
        </w:tabs>
        <w:spacing w:line="240" w:lineRule="auto" w:before="122" w:after="0"/>
        <w:ind w:left="2967" w:right="0" w:hanging="721"/>
        <w:jc w:val="both"/>
        <w:rPr>
          <w:sz w:val="20"/>
        </w:rPr>
      </w:pPr>
      <w:r>
        <w:rPr>
          <w:sz w:val="20"/>
        </w:rPr>
        <w:t>As</w:t>
      </w:r>
      <w:r>
        <w:rPr>
          <w:spacing w:val="30"/>
          <w:sz w:val="20"/>
        </w:rPr>
        <w:t> </w:t>
      </w:r>
      <w:r>
        <w:rPr>
          <w:sz w:val="20"/>
        </w:rPr>
        <w:t>a</w:t>
      </w:r>
      <w:r>
        <w:rPr>
          <w:spacing w:val="29"/>
          <w:sz w:val="20"/>
        </w:rPr>
        <w:t> </w:t>
      </w:r>
      <w:r>
        <w:rPr>
          <w:sz w:val="20"/>
        </w:rPr>
        <w:t>way</w:t>
      </w:r>
      <w:r>
        <w:rPr>
          <w:spacing w:val="27"/>
          <w:sz w:val="20"/>
        </w:rPr>
        <w:t> </w:t>
      </w:r>
      <w:r>
        <w:rPr>
          <w:sz w:val="20"/>
        </w:rPr>
        <w:t>of</w:t>
      </w:r>
      <w:r>
        <w:rPr>
          <w:spacing w:val="22"/>
          <w:sz w:val="20"/>
        </w:rPr>
        <w:t> </w:t>
      </w:r>
      <w:r>
        <w:rPr>
          <w:sz w:val="20"/>
        </w:rPr>
        <w:t>achieving</w:t>
      </w:r>
      <w:r>
        <w:rPr>
          <w:spacing w:val="28"/>
          <w:sz w:val="20"/>
        </w:rPr>
        <w:t> </w:t>
      </w:r>
      <w:r>
        <w:rPr>
          <w:sz w:val="20"/>
        </w:rPr>
        <w:t>savings</w:t>
      </w:r>
      <w:r>
        <w:rPr>
          <w:spacing w:val="21"/>
          <w:sz w:val="20"/>
        </w:rPr>
        <w:t> </w:t>
      </w:r>
      <w:r>
        <w:rPr>
          <w:sz w:val="20"/>
        </w:rPr>
        <w:t>in</w:t>
      </w:r>
      <w:r>
        <w:rPr>
          <w:spacing w:val="27"/>
          <w:sz w:val="20"/>
        </w:rPr>
        <w:t> </w:t>
      </w:r>
      <w:r>
        <w:rPr>
          <w:sz w:val="20"/>
        </w:rPr>
        <w:t>GTA</w:t>
      </w:r>
      <w:r>
        <w:rPr>
          <w:spacing w:val="26"/>
          <w:sz w:val="20"/>
        </w:rPr>
        <w:t> </w:t>
      </w:r>
      <w:r>
        <w:rPr>
          <w:sz w:val="20"/>
        </w:rPr>
        <w:t>requirements,</w:t>
      </w:r>
      <w:r>
        <w:rPr>
          <w:spacing w:val="29"/>
          <w:sz w:val="20"/>
        </w:rPr>
        <w:t> </w:t>
      </w:r>
      <w:r>
        <w:rPr>
          <w:sz w:val="20"/>
        </w:rPr>
        <w:t>SSS</w:t>
      </w:r>
      <w:r>
        <w:rPr>
          <w:spacing w:val="30"/>
          <w:sz w:val="20"/>
        </w:rPr>
        <w:t> </w:t>
      </w:r>
      <w:r>
        <w:rPr>
          <w:sz w:val="20"/>
        </w:rPr>
        <w:t>continues</w:t>
      </w:r>
      <w:r>
        <w:rPr>
          <w:spacing w:val="21"/>
          <w:sz w:val="20"/>
        </w:rPr>
        <w:t> </w:t>
      </w:r>
      <w:r>
        <w:rPr>
          <w:sz w:val="20"/>
        </w:rPr>
        <w:t>to</w:t>
      </w:r>
      <w:r>
        <w:rPr>
          <w:spacing w:val="28"/>
          <w:sz w:val="20"/>
        </w:rPr>
        <w:t> </w:t>
      </w:r>
      <w:r>
        <w:rPr>
          <w:spacing w:val="-2"/>
          <w:sz w:val="20"/>
        </w:rPr>
        <w:t>require</w:t>
      </w:r>
    </w:p>
    <w:p>
      <w:pPr>
        <w:pStyle w:val="BodyText"/>
        <w:ind w:left="2246" w:right="2241"/>
        <w:jc w:val="both"/>
      </w:pPr>
      <w:r>
        <w:rPr/>
        <w:t>€234.7 thousand in overtime, of which €137.1 thousand is requested to cover security and safety services for Court hearings in</w:t>
      </w:r>
      <w:r>
        <w:rPr>
          <w:spacing w:val="-4"/>
        </w:rPr>
        <w:t> </w:t>
      </w:r>
      <w:r>
        <w:rPr/>
        <w:t>three simultaneous courtrooms</w:t>
      </w:r>
      <w:r>
        <w:rPr>
          <w:spacing w:val="-5"/>
        </w:rPr>
        <w:t> </w:t>
      </w:r>
      <w:r>
        <w:rPr/>
        <w:t>in 2023.</w:t>
      </w:r>
      <w:r>
        <w:rPr>
          <w:spacing w:val="-1"/>
        </w:rPr>
        <w:t> </w:t>
      </w:r>
      <w:r>
        <w:rPr/>
        <w:t>The</w:t>
      </w:r>
      <w:r>
        <w:rPr>
          <w:spacing w:val="-2"/>
        </w:rPr>
        <w:t> </w:t>
      </w:r>
      <w:r>
        <w:rPr/>
        <w:t>remainder continues to be required for security and safety services during official Court holidays; and the night differential for GS-OL staff working evenings and nights.</w:t>
      </w:r>
    </w:p>
    <w:p>
      <w:pPr>
        <w:pStyle w:val="ListParagraph"/>
        <w:numPr>
          <w:ilvl w:val="0"/>
          <w:numId w:val="4"/>
        </w:numPr>
        <w:tabs>
          <w:tab w:pos="2967" w:val="left" w:leader="none"/>
        </w:tabs>
        <w:spacing w:line="240" w:lineRule="auto" w:before="117" w:after="0"/>
        <w:ind w:left="2246" w:right="2246" w:firstLine="0"/>
        <w:jc w:val="both"/>
        <w:rPr>
          <w:sz w:val="20"/>
        </w:rPr>
      </w:pPr>
      <w:r>
        <w:rPr>
          <w:sz w:val="20"/>
        </w:rPr>
        <w:t>In</w:t>
      </w:r>
      <w:r>
        <w:rPr>
          <w:spacing w:val="-5"/>
          <w:sz w:val="20"/>
        </w:rPr>
        <w:t> </w:t>
      </w:r>
      <w:r>
        <w:rPr>
          <w:sz w:val="20"/>
        </w:rPr>
        <w:t>the</w:t>
      </w:r>
      <w:r>
        <w:rPr>
          <w:spacing w:val="-3"/>
          <w:sz w:val="20"/>
        </w:rPr>
        <w:t> </w:t>
      </w:r>
      <w:r>
        <w:rPr>
          <w:sz w:val="20"/>
        </w:rPr>
        <w:t>area</w:t>
      </w:r>
      <w:r>
        <w:rPr>
          <w:spacing w:val="-8"/>
          <w:sz w:val="20"/>
        </w:rPr>
        <w:t> </w:t>
      </w:r>
      <w:r>
        <w:rPr>
          <w:sz w:val="20"/>
        </w:rPr>
        <w:t>of</w:t>
      </w:r>
      <w:r>
        <w:rPr>
          <w:spacing w:val="-5"/>
          <w:sz w:val="20"/>
        </w:rPr>
        <w:t> </w:t>
      </w:r>
      <w:r>
        <w:rPr>
          <w:sz w:val="20"/>
        </w:rPr>
        <w:t>general</w:t>
      </w:r>
      <w:r>
        <w:rPr>
          <w:spacing w:val="-8"/>
          <w:sz w:val="20"/>
        </w:rPr>
        <w:t> </w:t>
      </w:r>
      <w:r>
        <w:rPr>
          <w:sz w:val="20"/>
        </w:rPr>
        <w:t>services, despite</w:t>
      </w:r>
      <w:r>
        <w:rPr>
          <w:spacing w:val="-8"/>
          <w:sz w:val="20"/>
        </w:rPr>
        <w:t> </w:t>
      </w:r>
      <w:r>
        <w:rPr>
          <w:sz w:val="20"/>
        </w:rPr>
        <w:t>the</w:t>
      </w:r>
      <w:r>
        <w:rPr>
          <w:spacing w:val="-8"/>
          <w:sz w:val="20"/>
        </w:rPr>
        <w:t> </w:t>
      </w:r>
      <w:r>
        <w:rPr>
          <w:sz w:val="20"/>
        </w:rPr>
        <w:t>expected</w:t>
      </w:r>
      <w:r>
        <w:rPr>
          <w:spacing w:val="-5"/>
          <w:sz w:val="20"/>
        </w:rPr>
        <w:t> </w:t>
      </w:r>
      <w:r>
        <w:rPr>
          <w:sz w:val="20"/>
        </w:rPr>
        <w:t>increase</w:t>
      </w:r>
      <w:r>
        <w:rPr>
          <w:spacing w:val="-8"/>
          <w:sz w:val="20"/>
        </w:rPr>
        <w:t> </w:t>
      </w:r>
      <w:r>
        <w:rPr>
          <w:sz w:val="20"/>
        </w:rPr>
        <w:t>in</w:t>
      </w:r>
      <w:r>
        <w:rPr>
          <w:spacing w:val="-5"/>
          <w:sz w:val="20"/>
        </w:rPr>
        <w:t> </w:t>
      </w:r>
      <w:r>
        <w:rPr>
          <w:sz w:val="20"/>
        </w:rPr>
        <w:t>workload</w:t>
      </w:r>
      <w:r>
        <w:rPr>
          <w:spacing w:val="-9"/>
          <w:sz w:val="20"/>
        </w:rPr>
        <w:t> </w:t>
      </w:r>
      <w:r>
        <w:rPr>
          <w:sz w:val="20"/>
        </w:rPr>
        <w:t>to</w:t>
      </w:r>
      <w:r>
        <w:rPr>
          <w:spacing w:val="-5"/>
          <w:sz w:val="20"/>
        </w:rPr>
        <w:t> </w:t>
      </w:r>
      <w:r>
        <w:rPr>
          <w:sz w:val="20"/>
        </w:rPr>
        <w:t>support more courtroom hearing days,</w:t>
      </w:r>
      <w:r>
        <w:rPr>
          <w:spacing w:val="21"/>
          <w:sz w:val="20"/>
        </w:rPr>
        <w:t> </w:t>
      </w:r>
      <w:r>
        <w:rPr>
          <w:sz w:val="20"/>
        </w:rPr>
        <w:t>overtime requirements remain</w:t>
      </w:r>
      <w:r>
        <w:rPr>
          <w:spacing w:val="19"/>
          <w:sz w:val="20"/>
        </w:rPr>
        <w:t> </w:t>
      </w:r>
      <w:r>
        <w:rPr>
          <w:sz w:val="20"/>
        </w:rPr>
        <w:t>unchanged in the amount of</w:t>
      </w:r>
    </w:p>
    <w:p>
      <w:pPr>
        <w:pStyle w:val="BodyText"/>
        <w:spacing w:before="1"/>
        <w:ind w:left="2246" w:right="2246"/>
        <w:jc w:val="both"/>
      </w:pPr>
      <w:r>
        <w:rPr/>
        <w:t>€84.0 thousand, mainly to accommodate out-of-hours driver services, facilities staff, travel assistants and, occasionally, procurement buyers. Overtime will be needed for the local transport of some of the 130 witnesses expected to appear at Court hearings in 2023.</w:t>
      </w:r>
    </w:p>
    <w:p>
      <w:pPr>
        <w:pStyle w:val="ListParagraph"/>
        <w:numPr>
          <w:ilvl w:val="0"/>
          <w:numId w:val="4"/>
        </w:numPr>
        <w:tabs>
          <w:tab w:pos="2967" w:val="left" w:leader="none"/>
        </w:tabs>
        <w:spacing w:line="240" w:lineRule="auto" w:before="122" w:after="0"/>
        <w:ind w:left="2246" w:right="2239" w:firstLine="0"/>
        <w:jc w:val="both"/>
        <w:rPr>
          <w:sz w:val="20"/>
        </w:rPr>
      </w:pPr>
      <w:r>
        <w:rPr>
          <w:sz w:val="20"/>
        </w:rPr>
        <w:t>An amount</w:t>
      </w:r>
      <w:r>
        <w:rPr>
          <w:spacing w:val="-3"/>
          <w:sz w:val="20"/>
        </w:rPr>
        <w:t> </w:t>
      </w:r>
      <w:r>
        <w:rPr>
          <w:sz w:val="20"/>
        </w:rPr>
        <w:t>of</w:t>
      </w:r>
      <w:r>
        <w:rPr>
          <w:spacing w:val="-5"/>
          <w:sz w:val="20"/>
        </w:rPr>
        <w:t> </w:t>
      </w:r>
      <w:r>
        <w:rPr>
          <w:sz w:val="20"/>
        </w:rPr>
        <w:t>€6.0</w:t>
      </w:r>
      <w:r>
        <w:rPr>
          <w:spacing w:val="-5"/>
          <w:sz w:val="20"/>
        </w:rPr>
        <w:t> </w:t>
      </w:r>
      <w:r>
        <w:rPr>
          <w:sz w:val="20"/>
        </w:rPr>
        <w:t>thousand</w:t>
      </w:r>
      <w:r>
        <w:rPr>
          <w:spacing w:val="-5"/>
          <w:sz w:val="20"/>
        </w:rPr>
        <w:t> </w:t>
      </w:r>
      <w:r>
        <w:rPr>
          <w:sz w:val="20"/>
        </w:rPr>
        <w:t>also</w:t>
      </w:r>
      <w:r>
        <w:rPr>
          <w:spacing w:val="-5"/>
          <w:sz w:val="20"/>
        </w:rPr>
        <w:t> </w:t>
      </w:r>
      <w:r>
        <w:rPr>
          <w:sz w:val="20"/>
        </w:rPr>
        <w:t>continues</w:t>
      </w:r>
      <w:r>
        <w:rPr>
          <w:spacing w:val="-6"/>
          <w:sz w:val="20"/>
        </w:rPr>
        <w:t> </w:t>
      </w:r>
      <w:r>
        <w:rPr>
          <w:sz w:val="20"/>
        </w:rPr>
        <w:t>to</w:t>
      </w:r>
      <w:r>
        <w:rPr>
          <w:spacing w:val="-5"/>
          <w:sz w:val="20"/>
        </w:rPr>
        <w:t> </w:t>
      </w:r>
      <w:r>
        <w:rPr>
          <w:sz w:val="20"/>
        </w:rPr>
        <w:t>be required for</w:t>
      </w:r>
      <w:r>
        <w:rPr>
          <w:spacing w:val="-5"/>
          <w:sz w:val="20"/>
        </w:rPr>
        <w:t> </w:t>
      </w:r>
      <w:r>
        <w:rPr>
          <w:sz w:val="20"/>
        </w:rPr>
        <w:t>time-bound</w:t>
      </w:r>
      <w:r>
        <w:rPr>
          <w:spacing w:val="-5"/>
          <w:sz w:val="20"/>
        </w:rPr>
        <w:t> </w:t>
      </w:r>
      <w:r>
        <w:rPr>
          <w:sz w:val="20"/>
        </w:rPr>
        <w:t>activities such as the preparation of the annual proposed and approved programme budgets, and for periods of accounting close, financial reporting and external auditing.</w:t>
      </w:r>
    </w:p>
    <w:p>
      <w:pPr>
        <w:pStyle w:val="BodyText"/>
        <w:rPr>
          <w:sz w:val="21"/>
        </w:rPr>
      </w:pPr>
    </w:p>
    <w:p>
      <w:pPr>
        <w:pStyle w:val="Heading3"/>
        <w:tabs>
          <w:tab w:pos="8076" w:val="left" w:leader="none"/>
        </w:tabs>
        <w:jc w:val="both"/>
      </w:pPr>
      <w:r>
        <w:rPr/>
        <w:t>Non-staff</w:t>
      </w:r>
      <w:r>
        <w:rPr>
          <w:spacing w:val="-4"/>
        </w:rPr>
        <w:t> </w:t>
      </w:r>
      <w:r>
        <w:rPr>
          <w:spacing w:val="-2"/>
        </w:rPr>
        <w:t>resources</w:t>
      </w:r>
      <w:r>
        <w:rPr/>
        <w:tab/>
        <w:t>€5,062.9</w:t>
      </w:r>
      <w:r>
        <w:rPr>
          <w:spacing w:val="-6"/>
        </w:rPr>
        <w:t> </w:t>
      </w:r>
      <w:r>
        <w:rPr>
          <w:spacing w:val="-2"/>
        </w:rPr>
        <w:t>thousand</w:t>
      </w:r>
    </w:p>
    <w:p>
      <w:pPr>
        <w:pStyle w:val="BodyText"/>
        <w:spacing w:before="10"/>
        <w:rPr>
          <w:b/>
        </w:rPr>
      </w:pPr>
    </w:p>
    <w:p>
      <w:pPr>
        <w:pStyle w:val="ListParagraph"/>
        <w:numPr>
          <w:ilvl w:val="0"/>
          <w:numId w:val="4"/>
        </w:numPr>
        <w:tabs>
          <w:tab w:pos="2967" w:val="left" w:leader="none"/>
        </w:tabs>
        <w:spacing w:line="240" w:lineRule="auto" w:before="1" w:after="0"/>
        <w:ind w:left="2246" w:right="2239" w:firstLine="0"/>
        <w:jc w:val="both"/>
        <w:rPr>
          <w:sz w:val="20"/>
        </w:rPr>
      </w:pPr>
      <w:r>
        <w:rPr>
          <w:sz w:val="20"/>
        </w:rPr>
        <w:t>The</w:t>
      </w:r>
      <w:r>
        <w:rPr>
          <w:spacing w:val="74"/>
          <w:sz w:val="20"/>
        </w:rPr>
        <w:t> </w:t>
      </w:r>
      <w:r>
        <w:rPr>
          <w:sz w:val="20"/>
        </w:rPr>
        <w:t>non-staff</w:t>
      </w:r>
      <w:r>
        <w:rPr>
          <w:spacing w:val="77"/>
          <w:sz w:val="20"/>
        </w:rPr>
        <w:t> </w:t>
      </w:r>
      <w:r>
        <w:rPr>
          <w:sz w:val="20"/>
        </w:rPr>
        <w:t>budget</w:t>
      </w:r>
      <w:r>
        <w:rPr>
          <w:spacing w:val="74"/>
          <w:sz w:val="20"/>
        </w:rPr>
        <w:t> </w:t>
      </w:r>
      <w:r>
        <w:rPr>
          <w:sz w:val="20"/>
        </w:rPr>
        <w:t>proposal</w:t>
      </w:r>
      <w:r>
        <w:rPr>
          <w:spacing w:val="74"/>
          <w:sz w:val="20"/>
        </w:rPr>
        <w:t> </w:t>
      </w:r>
      <w:r>
        <w:rPr>
          <w:sz w:val="20"/>
        </w:rPr>
        <w:t>for</w:t>
      </w:r>
      <w:r>
        <w:rPr>
          <w:spacing w:val="72"/>
          <w:sz w:val="20"/>
        </w:rPr>
        <w:t> </w:t>
      </w:r>
      <w:r>
        <w:rPr>
          <w:sz w:val="20"/>
        </w:rPr>
        <w:t>DMS</w:t>
      </w:r>
      <w:r>
        <w:rPr>
          <w:spacing w:val="75"/>
          <w:sz w:val="20"/>
        </w:rPr>
        <w:t> </w:t>
      </w:r>
      <w:r>
        <w:rPr>
          <w:sz w:val="20"/>
        </w:rPr>
        <w:t>represents</w:t>
      </w:r>
      <w:r>
        <w:rPr>
          <w:spacing w:val="70"/>
          <w:sz w:val="20"/>
        </w:rPr>
        <w:t> </w:t>
      </w:r>
      <w:r>
        <w:rPr>
          <w:sz w:val="20"/>
        </w:rPr>
        <w:t>an</w:t>
      </w:r>
      <w:r>
        <w:rPr>
          <w:spacing w:val="72"/>
          <w:sz w:val="20"/>
        </w:rPr>
        <w:t> </w:t>
      </w:r>
      <w:r>
        <w:rPr>
          <w:sz w:val="20"/>
        </w:rPr>
        <w:t>overall</w:t>
      </w:r>
      <w:r>
        <w:rPr>
          <w:spacing w:val="74"/>
          <w:sz w:val="20"/>
        </w:rPr>
        <w:t> </w:t>
      </w:r>
      <w:r>
        <w:rPr>
          <w:sz w:val="20"/>
        </w:rPr>
        <w:t>net</w:t>
      </w:r>
      <w:r>
        <w:rPr>
          <w:spacing w:val="74"/>
          <w:sz w:val="20"/>
        </w:rPr>
        <w:t> </w:t>
      </w:r>
      <w:r>
        <w:rPr>
          <w:sz w:val="20"/>
        </w:rPr>
        <w:t>increase of €1,463.9 thousand (40.7 per cent) against the approved budget for 2022. Despite the considerable</w:t>
      </w:r>
      <w:r>
        <w:rPr>
          <w:spacing w:val="40"/>
          <w:sz w:val="20"/>
        </w:rPr>
        <w:t> </w:t>
      </w:r>
      <w:r>
        <w:rPr>
          <w:sz w:val="20"/>
        </w:rPr>
        <w:t>additional</w:t>
      </w:r>
      <w:r>
        <w:rPr>
          <w:spacing w:val="40"/>
          <w:sz w:val="20"/>
        </w:rPr>
        <w:t> </w:t>
      </w:r>
      <w:r>
        <w:rPr>
          <w:sz w:val="20"/>
        </w:rPr>
        <w:t>pressures</w:t>
      </w:r>
      <w:r>
        <w:rPr>
          <w:spacing w:val="40"/>
          <w:sz w:val="20"/>
        </w:rPr>
        <w:t> </w:t>
      </w:r>
      <w:r>
        <w:rPr>
          <w:sz w:val="20"/>
        </w:rPr>
        <w:t>anticipated</w:t>
      </w:r>
      <w:r>
        <w:rPr>
          <w:spacing w:val="40"/>
          <w:sz w:val="20"/>
        </w:rPr>
        <w:t> </w:t>
      </w:r>
      <w:r>
        <w:rPr>
          <w:sz w:val="20"/>
        </w:rPr>
        <w:t>in</w:t>
      </w:r>
      <w:r>
        <w:rPr>
          <w:spacing w:val="40"/>
          <w:sz w:val="20"/>
        </w:rPr>
        <w:t> </w:t>
      </w:r>
      <w:r>
        <w:rPr>
          <w:sz w:val="20"/>
        </w:rPr>
        <w:t>2023,</w:t>
      </w:r>
      <w:r>
        <w:rPr>
          <w:spacing w:val="40"/>
          <w:sz w:val="20"/>
        </w:rPr>
        <w:t> </w:t>
      </w:r>
      <w:r>
        <w:rPr>
          <w:sz w:val="20"/>
        </w:rPr>
        <w:t>DMS</w:t>
      </w:r>
      <w:r>
        <w:rPr>
          <w:spacing w:val="40"/>
          <w:sz w:val="20"/>
        </w:rPr>
        <w:t> </w:t>
      </w:r>
      <w:r>
        <w:rPr>
          <w:sz w:val="20"/>
        </w:rPr>
        <w:t>is</w:t>
      </w:r>
      <w:r>
        <w:rPr>
          <w:spacing w:val="40"/>
          <w:sz w:val="20"/>
        </w:rPr>
        <w:t> </w:t>
      </w:r>
      <w:r>
        <w:rPr>
          <w:sz w:val="20"/>
        </w:rPr>
        <w:t>presenting</w:t>
      </w:r>
      <w:r>
        <w:rPr>
          <w:spacing w:val="40"/>
          <w:sz w:val="20"/>
        </w:rPr>
        <w:t> </w:t>
      </w:r>
      <w:r>
        <w:rPr>
          <w:sz w:val="20"/>
        </w:rPr>
        <w:t>a</w:t>
      </w:r>
      <w:r>
        <w:rPr>
          <w:spacing w:val="40"/>
          <w:sz w:val="20"/>
        </w:rPr>
        <w:t> </w:t>
      </w:r>
      <w:r>
        <w:rPr>
          <w:sz w:val="20"/>
        </w:rPr>
        <w:t>budget</w:t>
      </w:r>
      <w:r>
        <w:rPr>
          <w:spacing w:val="40"/>
          <w:sz w:val="20"/>
        </w:rPr>
        <w:t> </w:t>
      </w:r>
      <w:r>
        <w:rPr>
          <w:sz w:val="20"/>
        </w:rPr>
        <w:t>for non-staff</w:t>
      </w:r>
      <w:r>
        <w:rPr>
          <w:spacing w:val="22"/>
          <w:sz w:val="20"/>
        </w:rPr>
        <w:t> </w:t>
      </w:r>
      <w:r>
        <w:rPr>
          <w:sz w:val="20"/>
        </w:rPr>
        <w:t>costs</w:t>
      </w:r>
      <w:r>
        <w:rPr>
          <w:spacing w:val="21"/>
          <w:sz w:val="20"/>
        </w:rPr>
        <w:t> </w:t>
      </w:r>
      <w:r>
        <w:rPr>
          <w:sz w:val="20"/>
        </w:rPr>
        <w:t>at</w:t>
      </w:r>
      <w:r>
        <w:rPr>
          <w:spacing w:val="19"/>
          <w:sz w:val="20"/>
        </w:rPr>
        <w:t> </w:t>
      </w:r>
      <w:r>
        <w:rPr>
          <w:sz w:val="20"/>
        </w:rPr>
        <w:t>a</w:t>
      </w:r>
      <w:r>
        <w:rPr>
          <w:spacing w:val="24"/>
          <w:sz w:val="20"/>
        </w:rPr>
        <w:t> </w:t>
      </w:r>
      <w:r>
        <w:rPr>
          <w:sz w:val="20"/>
        </w:rPr>
        <w:t>level</w:t>
      </w:r>
      <w:r>
        <w:rPr>
          <w:spacing w:val="24"/>
          <w:sz w:val="20"/>
        </w:rPr>
        <w:t> </w:t>
      </w:r>
      <w:r>
        <w:rPr>
          <w:sz w:val="20"/>
        </w:rPr>
        <w:t>consistent</w:t>
      </w:r>
      <w:r>
        <w:rPr>
          <w:spacing w:val="24"/>
          <w:sz w:val="20"/>
        </w:rPr>
        <w:t> </w:t>
      </w:r>
      <w:r>
        <w:rPr>
          <w:sz w:val="20"/>
        </w:rPr>
        <w:t>with</w:t>
      </w:r>
      <w:r>
        <w:rPr>
          <w:spacing w:val="22"/>
          <w:sz w:val="20"/>
        </w:rPr>
        <w:t> </w:t>
      </w:r>
      <w:r>
        <w:rPr>
          <w:sz w:val="20"/>
        </w:rPr>
        <w:t>the</w:t>
      </w:r>
      <w:r>
        <w:rPr>
          <w:spacing w:val="19"/>
          <w:sz w:val="20"/>
        </w:rPr>
        <w:t> </w:t>
      </w:r>
      <w:r>
        <w:rPr>
          <w:sz w:val="20"/>
        </w:rPr>
        <w:t>average</w:t>
      </w:r>
      <w:r>
        <w:rPr>
          <w:spacing w:val="19"/>
          <w:sz w:val="20"/>
        </w:rPr>
        <w:t> </w:t>
      </w:r>
      <w:r>
        <w:rPr>
          <w:sz w:val="20"/>
        </w:rPr>
        <w:t>approved</w:t>
      </w:r>
      <w:r>
        <w:rPr>
          <w:spacing w:val="22"/>
          <w:sz w:val="20"/>
        </w:rPr>
        <w:t> </w:t>
      </w:r>
      <w:r>
        <w:rPr>
          <w:sz w:val="20"/>
        </w:rPr>
        <w:t>budget</w:t>
      </w:r>
      <w:r>
        <w:rPr>
          <w:spacing w:val="24"/>
          <w:sz w:val="20"/>
        </w:rPr>
        <w:t> </w:t>
      </w:r>
      <w:r>
        <w:rPr>
          <w:sz w:val="20"/>
        </w:rPr>
        <w:t>for</w:t>
      </w:r>
      <w:r>
        <w:rPr>
          <w:spacing w:val="22"/>
          <w:sz w:val="20"/>
        </w:rPr>
        <w:t> </w:t>
      </w:r>
      <w:r>
        <w:rPr>
          <w:sz w:val="20"/>
        </w:rPr>
        <w:t>non-staff</w:t>
      </w:r>
      <w:r>
        <w:rPr>
          <w:spacing w:val="22"/>
          <w:sz w:val="20"/>
        </w:rPr>
        <w:t> </w:t>
      </w:r>
      <w:r>
        <w:rPr>
          <w:sz w:val="20"/>
        </w:rPr>
        <w:t>costs of €5,033.4</w:t>
      </w:r>
      <w:r>
        <w:rPr>
          <w:spacing w:val="-5"/>
          <w:sz w:val="20"/>
        </w:rPr>
        <w:t> </w:t>
      </w:r>
      <w:r>
        <w:rPr>
          <w:sz w:val="20"/>
        </w:rPr>
        <w:t>thousand during</w:t>
      </w:r>
      <w:r>
        <w:rPr>
          <w:spacing w:val="-5"/>
          <w:sz w:val="20"/>
        </w:rPr>
        <w:t> </w:t>
      </w:r>
      <w:r>
        <w:rPr>
          <w:sz w:val="20"/>
        </w:rPr>
        <w:t>the pre-pandemic years</w:t>
      </w:r>
      <w:r>
        <w:rPr>
          <w:spacing w:val="-1"/>
          <w:sz w:val="20"/>
        </w:rPr>
        <w:t> </w:t>
      </w:r>
      <w:r>
        <w:rPr>
          <w:sz w:val="20"/>
        </w:rPr>
        <w:t>(2016-2020). Over</w:t>
      </w:r>
      <w:r>
        <w:rPr>
          <w:spacing w:val="-5"/>
          <w:sz w:val="20"/>
        </w:rPr>
        <w:t> </w:t>
      </w:r>
      <w:r>
        <w:rPr>
          <w:sz w:val="20"/>
        </w:rPr>
        <w:t>the years, DMS</w:t>
      </w:r>
      <w:r>
        <w:rPr>
          <w:spacing w:val="-1"/>
          <w:sz w:val="20"/>
        </w:rPr>
        <w:t> </w:t>
      </w:r>
      <w:r>
        <w:rPr>
          <w:sz w:val="20"/>
        </w:rPr>
        <w:t>has been</w:t>
      </w:r>
      <w:r>
        <w:rPr>
          <w:spacing w:val="-13"/>
          <w:sz w:val="20"/>
        </w:rPr>
        <w:t> </w:t>
      </w:r>
      <w:r>
        <w:rPr>
          <w:sz w:val="20"/>
        </w:rPr>
        <w:t>consistently</w:t>
      </w:r>
      <w:r>
        <w:rPr>
          <w:spacing w:val="-12"/>
          <w:sz w:val="20"/>
        </w:rPr>
        <w:t> </w:t>
      </w:r>
      <w:r>
        <w:rPr>
          <w:sz w:val="20"/>
        </w:rPr>
        <w:t>identifying</w:t>
      </w:r>
      <w:r>
        <w:rPr>
          <w:spacing w:val="-13"/>
          <w:sz w:val="20"/>
        </w:rPr>
        <w:t> </w:t>
      </w:r>
      <w:r>
        <w:rPr>
          <w:sz w:val="20"/>
        </w:rPr>
        <w:t>ways</w:t>
      </w:r>
      <w:r>
        <w:rPr>
          <w:spacing w:val="-12"/>
          <w:sz w:val="20"/>
        </w:rPr>
        <w:t> </w:t>
      </w:r>
      <w:r>
        <w:rPr>
          <w:sz w:val="20"/>
        </w:rPr>
        <w:t>to</w:t>
      </w:r>
      <w:r>
        <w:rPr>
          <w:spacing w:val="-13"/>
          <w:sz w:val="20"/>
        </w:rPr>
        <w:t> </w:t>
      </w:r>
      <w:r>
        <w:rPr>
          <w:sz w:val="20"/>
        </w:rPr>
        <w:t>contain</w:t>
      </w:r>
      <w:r>
        <w:rPr>
          <w:spacing w:val="-12"/>
          <w:sz w:val="20"/>
        </w:rPr>
        <w:t> </w:t>
      </w:r>
      <w:r>
        <w:rPr>
          <w:sz w:val="20"/>
        </w:rPr>
        <w:t>and</w:t>
      </w:r>
      <w:r>
        <w:rPr>
          <w:spacing w:val="-13"/>
          <w:sz w:val="20"/>
        </w:rPr>
        <w:t> </w:t>
      </w:r>
      <w:r>
        <w:rPr>
          <w:sz w:val="20"/>
        </w:rPr>
        <w:t>reduce</w:t>
      </w:r>
      <w:r>
        <w:rPr>
          <w:spacing w:val="-12"/>
          <w:sz w:val="20"/>
        </w:rPr>
        <w:t> </w:t>
      </w:r>
      <w:r>
        <w:rPr>
          <w:sz w:val="20"/>
        </w:rPr>
        <w:t>its</w:t>
      </w:r>
      <w:r>
        <w:rPr>
          <w:spacing w:val="-13"/>
          <w:sz w:val="20"/>
        </w:rPr>
        <w:t> </w:t>
      </w:r>
      <w:r>
        <w:rPr>
          <w:sz w:val="20"/>
        </w:rPr>
        <w:t>non-staff</w:t>
      </w:r>
      <w:r>
        <w:rPr>
          <w:spacing w:val="-12"/>
          <w:sz w:val="20"/>
        </w:rPr>
        <w:t> </w:t>
      </w:r>
      <w:r>
        <w:rPr>
          <w:sz w:val="20"/>
        </w:rPr>
        <w:t>costs</w:t>
      </w:r>
      <w:r>
        <w:rPr>
          <w:spacing w:val="-13"/>
          <w:sz w:val="20"/>
        </w:rPr>
        <w:t> </w:t>
      </w:r>
      <w:r>
        <w:rPr>
          <w:sz w:val="20"/>
        </w:rPr>
        <w:t>through</w:t>
      </w:r>
      <w:r>
        <w:rPr>
          <w:spacing w:val="-12"/>
          <w:sz w:val="20"/>
        </w:rPr>
        <w:t> </w:t>
      </w:r>
      <w:r>
        <w:rPr>
          <w:sz w:val="20"/>
        </w:rPr>
        <w:t>continued reprioritization</w:t>
      </w:r>
      <w:r>
        <w:rPr>
          <w:spacing w:val="-8"/>
          <w:sz w:val="20"/>
        </w:rPr>
        <w:t> </w:t>
      </w:r>
      <w:r>
        <w:rPr>
          <w:sz w:val="20"/>
        </w:rPr>
        <w:t>and</w:t>
      </w:r>
      <w:r>
        <w:rPr>
          <w:spacing w:val="-4"/>
          <w:sz w:val="20"/>
        </w:rPr>
        <w:t> </w:t>
      </w:r>
      <w:r>
        <w:rPr>
          <w:sz w:val="20"/>
        </w:rPr>
        <w:t>the</w:t>
      </w:r>
      <w:r>
        <w:rPr>
          <w:spacing w:val="-2"/>
          <w:sz w:val="20"/>
        </w:rPr>
        <w:t> </w:t>
      </w:r>
      <w:r>
        <w:rPr>
          <w:sz w:val="20"/>
        </w:rPr>
        <w:t>search</w:t>
      </w:r>
      <w:r>
        <w:rPr>
          <w:spacing w:val="-4"/>
          <w:sz w:val="20"/>
        </w:rPr>
        <w:t> </w:t>
      </w:r>
      <w:r>
        <w:rPr>
          <w:sz w:val="20"/>
        </w:rPr>
        <w:t>for</w:t>
      </w:r>
      <w:r>
        <w:rPr>
          <w:spacing w:val="-4"/>
          <w:sz w:val="20"/>
        </w:rPr>
        <w:t> </w:t>
      </w:r>
      <w:r>
        <w:rPr>
          <w:sz w:val="20"/>
        </w:rPr>
        <w:t>efficiencies</w:t>
      </w:r>
      <w:r>
        <w:rPr>
          <w:spacing w:val="-5"/>
          <w:sz w:val="20"/>
        </w:rPr>
        <w:t> </w:t>
      </w:r>
      <w:r>
        <w:rPr>
          <w:sz w:val="20"/>
        </w:rPr>
        <w:t>which</w:t>
      </w:r>
      <w:r>
        <w:rPr>
          <w:spacing w:val="-4"/>
          <w:sz w:val="20"/>
        </w:rPr>
        <w:t> </w:t>
      </w:r>
      <w:r>
        <w:rPr>
          <w:sz w:val="20"/>
        </w:rPr>
        <w:t>has resulted</w:t>
      </w:r>
      <w:r>
        <w:rPr>
          <w:spacing w:val="-4"/>
          <w:sz w:val="20"/>
        </w:rPr>
        <w:t> </w:t>
      </w:r>
      <w:r>
        <w:rPr>
          <w:sz w:val="20"/>
        </w:rPr>
        <w:t>in</w:t>
      </w:r>
      <w:r>
        <w:rPr>
          <w:spacing w:val="-8"/>
          <w:sz w:val="20"/>
        </w:rPr>
        <w:t> </w:t>
      </w:r>
      <w:r>
        <w:rPr>
          <w:sz w:val="20"/>
        </w:rPr>
        <w:t>a</w:t>
      </w:r>
      <w:r>
        <w:rPr>
          <w:spacing w:val="-2"/>
          <w:sz w:val="20"/>
        </w:rPr>
        <w:t> </w:t>
      </w:r>
      <w:r>
        <w:rPr>
          <w:sz w:val="20"/>
        </w:rPr>
        <w:t>consistent</w:t>
      </w:r>
      <w:r>
        <w:rPr>
          <w:spacing w:val="-2"/>
          <w:sz w:val="20"/>
        </w:rPr>
        <w:t> </w:t>
      </w:r>
      <w:r>
        <w:rPr>
          <w:sz w:val="20"/>
        </w:rPr>
        <w:t>reduction</w:t>
      </w:r>
      <w:r>
        <w:rPr>
          <w:spacing w:val="-8"/>
          <w:sz w:val="20"/>
        </w:rPr>
        <w:t> </w:t>
      </w:r>
      <w:r>
        <w:rPr>
          <w:sz w:val="20"/>
        </w:rPr>
        <w:t>in requirements since 2017. In fact, in comparison to the 2017 approved level, there is a reduction of €245.0 thousand to DMS’s proposed non-staff budget for 2023. Given the anticipated increase in judicial and investigative activities, the inflationary pressures faced worldwide,</w:t>
      </w:r>
      <w:r>
        <w:rPr>
          <w:spacing w:val="-10"/>
          <w:sz w:val="20"/>
        </w:rPr>
        <w:t> </w:t>
      </w:r>
      <w:r>
        <w:rPr>
          <w:sz w:val="20"/>
        </w:rPr>
        <w:t>and</w:t>
      </w:r>
      <w:r>
        <w:rPr>
          <w:spacing w:val="-7"/>
          <w:sz w:val="20"/>
        </w:rPr>
        <w:t> </w:t>
      </w:r>
      <w:r>
        <w:rPr>
          <w:sz w:val="20"/>
        </w:rPr>
        <w:t>the</w:t>
      </w:r>
      <w:r>
        <w:rPr>
          <w:spacing w:val="-6"/>
          <w:sz w:val="20"/>
        </w:rPr>
        <w:t> </w:t>
      </w:r>
      <w:r>
        <w:rPr>
          <w:sz w:val="20"/>
        </w:rPr>
        <w:t>need</w:t>
      </w:r>
      <w:r>
        <w:rPr>
          <w:spacing w:val="-7"/>
          <w:sz w:val="20"/>
        </w:rPr>
        <w:t> </w:t>
      </w:r>
      <w:r>
        <w:rPr>
          <w:sz w:val="20"/>
        </w:rPr>
        <w:t>to</w:t>
      </w:r>
      <w:r>
        <w:rPr>
          <w:spacing w:val="-7"/>
          <w:sz w:val="20"/>
        </w:rPr>
        <w:t> </w:t>
      </w:r>
      <w:r>
        <w:rPr>
          <w:sz w:val="20"/>
        </w:rPr>
        <w:t>cater</w:t>
      </w:r>
      <w:r>
        <w:rPr>
          <w:spacing w:val="-7"/>
          <w:sz w:val="20"/>
        </w:rPr>
        <w:t> </w:t>
      </w:r>
      <w:r>
        <w:rPr>
          <w:sz w:val="20"/>
        </w:rPr>
        <w:t>for</w:t>
      </w:r>
      <w:r>
        <w:rPr>
          <w:spacing w:val="-7"/>
          <w:sz w:val="20"/>
        </w:rPr>
        <w:t> </w:t>
      </w:r>
      <w:r>
        <w:rPr>
          <w:sz w:val="20"/>
        </w:rPr>
        <w:t>the</w:t>
      </w:r>
      <w:r>
        <w:rPr>
          <w:spacing w:val="-6"/>
          <w:sz w:val="20"/>
        </w:rPr>
        <w:t> </w:t>
      </w:r>
      <w:r>
        <w:rPr>
          <w:sz w:val="20"/>
        </w:rPr>
        <w:t>Court’s</w:t>
      </w:r>
      <w:r>
        <w:rPr>
          <w:spacing w:val="-4"/>
          <w:sz w:val="20"/>
        </w:rPr>
        <w:t> </w:t>
      </w:r>
      <w:r>
        <w:rPr>
          <w:sz w:val="20"/>
        </w:rPr>
        <w:t>return</w:t>
      </w:r>
      <w:r>
        <w:rPr>
          <w:spacing w:val="-7"/>
          <w:sz w:val="20"/>
        </w:rPr>
        <w:t> </w:t>
      </w:r>
      <w:r>
        <w:rPr>
          <w:sz w:val="20"/>
        </w:rPr>
        <w:t>to</w:t>
      </w:r>
      <w:r>
        <w:rPr>
          <w:spacing w:val="-7"/>
          <w:sz w:val="20"/>
        </w:rPr>
        <w:t> </w:t>
      </w:r>
      <w:r>
        <w:rPr>
          <w:sz w:val="20"/>
        </w:rPr>
        <w:t>its</w:t>
      </w:r>
      <w:r>
        <w:rPr>
          <w:spacing w:val="-9"/>
          <w:sz w:val="20"/>
        </w:rPr>
        <w:t> </w:t>
      </w:r>
      <w:r>
        <w:rPr>
          <w:sz w:val="20"/>
        </w:rPr>
        <w:t>full</w:t>
      </w:r>
      <w:r>
        <w:rPr>
          <w:spacing w:val="-6"/>
          <w:sz w:val="20"/>
        </w:rPr>
        <w:t> </w:t>
      </w:r>
      <w:r>
        <w:rPr>
          <w:sz w:val="20"/>
        </w:rPr>
        <w:t>occupancy,</w:t>
      </w:r>
      <w:r>
        <w:rPr>
          <w:spacing w:val="-5"/>
          <w:sz w:val="20"/>
        </w:rPr>
        <w:t> </w:t>
      </w:r>
      <w:r>
        <w:rPr>
          <w:sz w:val="20"/>
        </w:rPr>
        <w:t>it</w:t>
      </w:r>
      <w:r>
        <w:rPr>
          <w:spacing w:val="-6"/>
          <w:sz w:val="20"/>
        </w:rPr>
        <w:t> </w:t>
      </w:r>
      <w:r>
        <w:rPr>
          <w:sz w:val="20"/>
        </w:rPr>
        <w:t>is</w:t>
      </w:r>
      <w:r>
        <w:rPr>
          <w:spacing w:val="-9"/>
          <w:sz w:val="20"/>
        </w:rPr>
        <w:t> </w:t>
      </w:r>
      <w:r>
        <w:rPr>
          <w:sz w:val="20"/>
        </w:rPr>
        <w:t>essential</w:t>
      </w:r>
      <w:r>
        <w:rPr>
          <w:spacing w:val="-6"/>
          <w:sz w:val="20"/>
        </w:rPr>
        <w:t> </w:t>
      </w:r>
      <w:r>
        <w:rPr>
          <w:sz w:val="20"/>
        </w:rPr>
        <w:t>for the Division to recover capacity.</w:t>
      </w:r>
    </w:p>
    <w:p>
      <w:pPr>
        <w:pStyle w:val="ListParagraph"/>
        <w:numPr>
          <w:ilvl w:val="0"/>
          <w:numId w:val="4"/>
        </w:numPr>
        <w:tabs>
          <w:tab w:pos="2967" w:val="left" w:leader="none"/>
        </w:tabs>
        <w:spacing w:line="240" w:lineRule="auto" w:before="121" w:after="0"/>
        <w:ind w:left="2246" w:right="2241" w:firstLine="0"/>
        <w:jc w:val="both"/>
        <w:rPr>
          <w:sz w:val="20"/>
        </w:rPr>
      </w:pPr>
      <w:r>
        <w:rPr>
          <w:sz w:val="20"/>
        </w:rPr>
        <w:t>Consequently,</w:t>
      </w:r>
      <w:r>
        <w:rPr>
          <w:spacing w:val="37"/>
          <w:sz w:val="20"/>
        </w:rPr>
        <w:t> </w:t>
      </w:r>
      <w:r>
        <w:rPr>
          <w:sz w:val="20"/>
        </w:rPr>
        <w:t>the</w:t>
      </w:r>
      <w:r>
        <w:rPr>
          <w:spacing w:val="40"/>
          <w:sz w:val="20"/>
        </w:rPr>
        <w:t> </w:t>
      </w:r>
      <w:r>
        <w:rPr>
          <w:sz w:val="20"/>
        </w:rPr>
        <w:t>overall</w:t>
      </w:r>
      <w:r>
        <w:rPr>
          <w:spacing w:val="40"/>
          <w:sz w:val="20"/>
        </w:rPr>
        <w:t> </w:t>
      </w:r>
      <w:r>
        <w:rPr>
          <w:sz w:val="20"/>
        </w:rPr>
        <w:t>proposed</w:t>
      </w:r>
      <w:r>
        <w:rPr>
          <w:spacing w:val="39"/>
          <w:sz w:val="20"/>
        </w:rPr>
        <w:t> </w:t>
      </w:r>
      <w:r>
        <w:rPr>
          <w:sz w:val="20"/>
        </w:rPr>
        <w:t>increase</w:t>
      </w:r>
      <w:r>
        <w:rPr>
          <w:spacing w:val="40"/>
          <w:sz w:val="20"/>
        </w:rPr>
        <w:t> </w:t>
      </w:r>
      <w:r>
        <w:rPr>
          <w:sz w:val="20"/>
        </w:rPr>
        <w:t>in</w:t>
      </w:r>
      <w:r>
        <w:rPr>
          <w:spacing w:val="39"/>
          <w:sz w:val="20"/>
        </w:rPr>
        <w:t> </w:t>
      </w:r>
      <w:r>
        <w:rPr>
          <w:sz w:val="20"/>
        </w:rPr>
        <w:t>non-staff</w:t>
      </w:r>
      <w:r>
        <w:rPr>
          <w:spacing w:val="40"/>
          <w:sz w:val="20"/>
        </w:rPr>
        <w:t> </w:t>
      </w:r>
      <w:r>
        <w:rPr>
          <w:sz w:val="20"/>
        </w:rPr>
        <w:t>costs</w:t>
      </w:r>
      <w:r>
        <w:rPr>
          <w:spacing w:val="38"/>
          <w:sz w:val="20"/>
        </w:rPr>
        <w:t> </w:t>
      </w:r>
      <w:r>
        <w:rPr>
          <w:sz w:val="20"/>
        </w:rPr>
        <w:t>in</w:t>
      </w:r>
      <w:r>
        <w:rPr>
          <w:spacing w:val="39"/>
          <w:sz w:val="20"/>
        </w:rPr>
        <w:t> </w:t>
      </w:r>
      <w:r>
        <w:rPr>
          <w:sz w:val="20"/>
        </w:rPr>
        <w:t>DMS</w:t>
      </w:r>
      <w:r>
        <w:rPr>
          <w:spacing w:val="40"/>
          <w:sz w:val="20"/>
        </w:rPr>
        <w:t> </w:t>
      </w:r>
      <w:r>
        <w:rPr>
          <w:sz w:val="20"/>
        </w:rPr>
        <w:t>is</w:t>
      </w:r>
      <w:r>
        <w:rPr>
          <w:spacing w:val="38"/>
          <w:sz w:val="20"/>
        </w:rPr>
        <w:t> </w:t>
      </w:r>
      <w:r>
        <w:rPr>
          <w:sz w:val="20"/>
        </w:rPr>
        <w:t>due to:</w:t>
      </w:r>
      <w:r>
        <w:rPr>
          <w:spacing w:val="-2"/>
          <w:sz w:val="20"/>
        </w:rPr>
        <w:t> </w:t>
      </w:r>
      <w:r>
        <w:rPr>
          <w:sz w:val="20"/>
        </w:rPr>
        <w:t>(i)</w:t>
      </w:r>
      <w:r>
        <w:rPr>
          <w:spacing w:val="-3"/>
          <w:sz w:val="20"/>
        </w:rPr>
        <w:t> </w:t>
      </w:r>
      <w:r>
        <w:rPr>
          <w:sz w:val="20"/>
        </w:rPr>
        <w:t>unavoidable</w:t>
      </w:r>
      <w:r>
        <w:rPr>
          <w:spacing w:val="-7"/>
          <w:sz w:val="20"/>
        </w:rPr>
        <w:t> </w:t>
      </w:r>
      <w:r>
        <w:rPr>
          <w:sz w:val="20"/>
        </w:rPr>
        <w:t>inflationary</w:t>
      </w:r>
      <w:r>
        <w:rPr>
          <w:spacing w:val="-8"/>
          <w:sz w:val="20"/>
        </w:rPr>
        <w:t> </w:t>
      </w:r>
      <w:r>
        <w:rPr>
          <w:sz w:val="20"/>
        </w:rPr>
        <w:t>pressures</w:t>
      </w:r>
      <w:r>
        <w:rPr>
          <w:spacing w:val="-10"/>
          <w:sz w:val="20"/>
        </w:rPr>
        <w:t> </w:t>
      </w:r>
      <w:r>
        <w:rPr>
          <w:sz w:val="20"/>
        </w:rPr>
        <w:t>resulting</w:t>
      </w:r>
      <w:r>
        <w:rPr>
          <w:spacing w:val="-8"/>
          <w:sz w:val="20"/>
        </w:rPr>
        <w:t> </w:t>
      </w:r>
      <w:r>
        <w:rPr>
          <w:sz w:val="20"/>
        </w:rPr>
        <w:t>in</w:t>
      </w:r>
      <w:r>
        <w:rPr>
          <w:spacing w:val="-8"/>
          <w:sz w:val="20"/>
        </w:rPr>
        <w:t> </w:t>
      </w:r>
      <w:r>
        <w:rPr>
          <w:sz w:val="20"/>
        </w:rPr>
        <w:t>increases</w:t>
      </w:r>
      <w:r>
        <w:rPr>
          <w:spacing w:val="-5"/>
          <w:sz w:val="20"/>
        </w:rPr>
        <w:t> </w:t>
      </w:r>
      <w:r>
        <w:rPr>
          <w:sz w:val="20"/>
        </w:rPr>
        <w:t>in</w:t>
      </w:r>
      <w:r>
        <w:rPr>
          <w:spacing w:val="-8"/>
          <w:sz w:val="20"/>
        </w:rPr>
        <w:t> </w:t>
      </w:r>
      <w:r>
        <w:rPr>
          <w:sz w:val="20"/>
        </w:rPr>
        <w:t>the</w:t>
      </w:r>
      <w:r>
        <w:rPr>
          <w:spacing w:val="-2"/>
          <w:sz w:val="20"/>
        </w:rPr>
        <w:t> </w:t>
      </w:r>
      <w:r>
        <w:rPr>
          <w:sz w:val="20"/>
        </w:rPr>
        <w:t>price</w:t>
      </w:r>
      <w:r>
        <w:rPr>
          <w:spacing w:val="-7"/>
          <w:sz w:val="20"/>
        </w:rPr>
        <w:t> </w:t>
      </w:r>
      <w:r>
        <w:rPr>
          <w:sz w:val="20"/>
        </w:rPr>
        <w:t>indices</w:t>
      </w:r>
      <w:r>
        <w:rPr>
          <w:spacing w:val="-5"/>
          <w:sz w:val="20"/>
        </w:rPr>
        <w:t> </w:t>
      </w:r>
      <w:r>
        <w:rPr>
          <w:sz w:val="20"/>
        </w:rPr>
        <w:t>for</w:t>
      </w:r>
      <w:r>
        <w:rPr>
          <w:spacing w:val="-8"/>
          <w:sz w:val="20"/>
        </w:rPr>
        <w:t> </w:t>
      </w:r>
      <w:r>
        <w:rPr>
          <w:sz w:val="20"/>
        </w:rPr>
        <w:t>goods, utilities</w:t>
      </w:r>
      <w:r>
        <w:rPr>
          <w:spacing w:val="-4"/>
          <w:sz w:val="20"/>
        </w:rPr>
        <w:t> </w:t>
      </w:r>
      <w:r>
        <w:rPr>
          <w:sz w:val="20"/>
        </w:rPr>
        <w:t>and</w:t>
      </w:r>
      <w:r>
        <w:rPr>
          <w:spacing w:val="-3"/>
          <w:sz w:val="20"/>
        </w:rPr>
        <w:t> </w:t>
      </w:r>
      <w:r>
        <w:rPr>
          <w:sz w:val="20"/>
        </w:rPr>
        <w:t>services for which DMS is</w:t>
      </w:r>
      <w:r>
        <w:rPr>
          <w:spacing w:val="-4"/>
          <w:sz w:val="20"/>
        </w:rPr>
        <w:t> </w:t>
      </w:r>
      <w:r>
        <w:rPr>
          <w:sz w:val="20"/>
        </w:rPr>
        <w:t>the Court-wide</w:t>
      </w:r>
      <w:r>
        <w:rPr>
          <w:spacing w:val="-1"/>
          <w:sz w:val="20"/>
        </w:rPr>
        <w:t> </w:t>
      </w:r>
      <w:r>
        <w:rPr>
          <w:sz w:val="20"/>
        </w:rPr>
        <w:t>service</w:t>
      </w:r>
      <w:r>
        <w:rPr>
          <w:spacing w:val="-1"/>
          <w:sz w:val="20"/>
        </w:rPr>
        <w:t> </w:t>
      </w:r>
      <w:r>
        <w:rPr>
          <w:sz w:val="20"/>
        </w:rPr>
        <w:t>provider</w:t>
      </w:r>
      <w:r>
        <w:rPr>
          <w:spacing w:val="-3"/>
          <w:sz w:val="20"/>
        </w:rPr>
        <w:t> </w:t>
      </w:r>
      <w:r>
        <w:rPr>
          <w:sz w:val="20"/>
        </w:rPr>
        <w:t>and</w:t>
      </w:r>
      <w:r>
        <w:rPr>
          <w:spacing w:val="-3"/>
          <w:sz w:val="20"/>
        </w:rPr>
        <w:t> </w:t>
      </w:r>
      <w:r>
        <w:rPr>
          <w:sz w:val="20"/>
        </w:rPr>
        <w:t>has</w:t>
      </w:r>
      <w:r>
        <w:rPr>
          <w:spacing w:val="-4"/>
          <w:sz w:val="20"/>
        </w:rPr>
        <w:t> </w:t>
      </w:r>
      <w:r>
        <w:rPr>
          <w:sz w:val="20"/>
        </w:rPr>
        <w:t>contracts</w:t>
      </w:r>
      <w:r>
        <w:rPr>
          <w:spacing w:val="-4"/>
          <w:sz w:val="20"/>
        </w:rPr>
        <w:t> </w:t>
      </w:r>
      <w:r>
        <w:rPr>
          <w:sz w:val="20"/>
        </w:rPr>
        <w:t>in place (€447.6 thousand), (ii)</w:t>
      </w:r>
      <w:r>
        <w:rPr>
          <w:spacing w:val="-5"/>
          <w:sz w:val="20"/>
        </w:rPr>
        <w:t> </w:t>
      </w:r>
      <w:r>
        <w:rPr>
          <w:sz w:val="20"/>
        </w:rPr>
        <w:t>increased support</w:t>
      </w:r>
      <w:r>
        <w:rPr>
          <w:spacing w:val="-3"/>
          <w:sz w:val="20"/>
        </w:rPr>
        <w:t> </w:t>
      </w:r>
      <w:r>
        <w:rPr>
          <w:sz w:val="20"/>
        </w:rPr>
        <w:t>requirements</w:t>
      </w:r>
      <w:r>
        <w:rPr>
          <w:spacing w:val="-6"/>
          <w:sz w:val="20"/>
        </w:rPr>
        <w:t> </w:t>
      </w:r>
      <w:r>
        <w:rPr>
          <w:sz w:val="20"/>
        </w:rPr>
        <w:t>by the Office</w:t>
      </w:r>
      <w:r>
        <w:rPr>
          <w:spacing w:val="-3"/>
          <w:sz w:val="20"/>
        </w:rPr>
        <w:t> </w:t>
      </w:r>
      <w:r>
        <w:rPr>
          <w:sz w:val="20"/>
        </w:rPr>
        <w:t>of the Prosecutor for investigative activities,</w:t>
      </w:r>
      <w:r>
        <w:rPr>
          <w:spacing w:val="20"/>
          <w:sz w:val="20"/>
        </w:rPr>
        <w:t> </w:t>
      </w:r>
      <w:r>
        <w:rPr>
          <w:sz w:val="20"/>
        </w:rPr>
        <w:t>including enhanced support in the</w:t>
      </w:r>
      <w:r>
        <w:rPr>
          <w:spacing w:val="20"/>
          <w:sz w:val="20"/>
        </w:rPr>
        <w:t> </w:t>
      </w:r>
      <w:r>
        <w:rPr>
          <w:sz w:val="20"/>
        </w:rPr>
        <w:t>field (€275.6 thousand) and</w:t>
      </w:r>
    </w:p>
    <w:p>
      <w:pPr>
        <w:pStyle w:val="BodyText"/>
        <w:ind w:left="2246" w:right="2241"/>
        <w:jc w:val="both"/>
      </w:pPr>
      <w:r>
        <w:rPr/>
        <w:t>(iii) administrative requirements, as well as the implementation of strategic priorities, such as</w:t>
      </w:r>
      <w:r>
        <w:rPr>
          <w:spacing w:val="-13"/>
        </w:rPr>
        <w:t> </w:t>
      </w:r>
      <w:r>
        <w:rPr/>
        <w:t>improvements</w:t>
      </w:r>
      <w:r>
        <w:rPr>
          <w:spacing w:val="-12"/>
        </w:rPr>
        <w:t> </w:t>
      </w:r>
      <w:r>
        <w:rPr/>
        <w:t>in</w:t>
      </w:r>
      <w:r>
        <w:rPr>
          <w:spacing w:val="-13"/>
        </w:rPr>
        <w:t> </w:t>
      </w:r>
      <w:r>
        <w:rPr/>
        <w:t>the</w:t>
      </w:r>
      <w:r>
        <w:rPr>
          <w:spacing w:val="-12"/>
        </w:rPr>
        <w:t> </w:t>
      </w:r>
      <w:r>
        <w:rPr/>
        <w:t>recruitment</w:t>
      </w:r>
      <w:r>
        <w:rPr>
          <w:spacing w:val="-13"/>
        </w:rPr>
        <w:t> </w:t>
      </w:r>
      <w:r>
        <w:rPr/>
        <w:t>process,</w:t>
      </w:r>
      <w:r>
        <w:rPr>
          <w:spacing w:val="-12"/>
        </w:rPr>
        <w:t> </w:t>
      </w:r>
      <w:r>
        <w:rPr/>
        <w:t>workforce</w:t>
      </w:r>
      <w:r>
        <w:rPr>
          <w:spacing w:val="-13"/>
        </w:rPr>
        <w:t> </w:t>
      </w:r>
      <w:r>
        <w:rPr/>
        <w:t>planning</w:t>
      </w:r>
      <w:r>
        <w:rPr>
          <w:spacing w:val="-10"/>
        </w:rPr>
        <w:t> </w:t>
      </w:r>
      <w:r>
        <w:rPr/>
        <w:t>and</w:t>
      </w:r>
      <w:r>
        <w:rPr>
          <w:spacing w:val="-12"/>
        </w:rPr>
        <w:t> </w:t>
      </w:r>
      <w:r>
        <w:rPr/>
        <w:t>mobility,</w:t>
      </w:r>
      <w:r>
        <w:rPr>
          <w:spacing w:val="-13"/>
        </w:rPr>
        <w:t> </w:t>
      </w:r>
      <w:r>
        <w:rPr/>
        <w:t>improvements to the</w:t>
      </w:r>
      <w:r>
        <w:rPr>
          <w:spacing w:val="-2"/>
        </w:rPr>
        <w:t> </w:t>
      </w:r>
      <w:r>
        <w:rPr/>
        <w:t>procurement</w:t>
      </w:r>
      <w:r>
        <w:rPr>
          <w:spacing w:val="-2"/>
        </w:rPr>
        <w:t> </w:t>
      </w:r>
      <w:r>
        <w:rPr/>
        <w:t>process,</w:t>
      </w:r>
      <w:r>
        <w:rPr>
          <w:spacing w:val="-1"/>
        </w:rPr>
        <w:t> </w:t>
      </w:r>
      <w:r>
        <w:rPr/>
        <w:t>and</w:t>
      </w:r>
      <w:r>
        <w:rPr>
          <w:spacing w:val="-4"/>
        </w:rPr>
        <w:t> </w:t>
      </w:r>
      <w:r>
        <w:rPr/>
        <w:t>the SAP</w:t>
      </w:r>
      <w:r>
        <w:rPr>
          <w:spacing w:val="-1"/>
        </w:rPr>
        <w:t> </w:t>
      </w:r>
      <w:r>
        <w:rPr/>
        <w:t>transition</w:t>
      </w:r>
      <w:r>
        <w:rPr>
          <w:spacing w:val="-4"/>
        </w:rPr>
        <w:t> </w:t>
      </w:r>
      <w:r>
        <w:rPr/>
        <w:t>plan</w:t>
      </w:r>
      <w:r>
        <w:rPr>
          <w:spacing w:val="-2"/>
        </w:rPr>
        <w:t> </w:t>
      </w:r>
      <w:r>
        <w:rPr/>
        <w:t>in</w:t>
      </w:r>
      <w:r>
        <w:rPr>
          <w:spacing w:val="-4"/>
        </w:rPr>
        <w:t> </w:t>
      </w:r>
      <w:r>
        <w:rPr/>
        <w:t>line with</w:t>
      </w:r>
      <w:r>
        <w:rPr>
          <w:spacing w:val="-4"/>
        </w:rPr>
        <w:t> </w:t>
      </w:r>
      <w:r>
        <w:rPr/>
        <w:t>the objectives</w:t>
      </w:r>
      <w:r>
        <w:rPr>
          <w:spacing w:val="-5"/>
        </w:rPr>
        <w:t> </w:t>
      </w:r>
      <w:r>
        <w:rPr/>
        <w:t>set</w:t>
      </w:r>
      <w:r>
        <w:rPr>
          <w:spacing w:val="-2"/>
        </w:rPr>
        <w:t> </w:t>
      </w:r>
      <w:r>
        <w:rPr/>
        <w:t>out in the Registry’s Strategic Plan (€740.7 thousand).</w:t>
      </w:r>
    </w:p>
    <w:p>
      <w:pPr>
        <w:pStyle w:val="BodyText"/>
        <w:spacing w:before="9"/>
      </w:pPr>
    </w:p>
    <w:p>
      <w:pPr>
        <w:tabs>
          <w:tab w:pos="8282" w:val="left" w:leader="none"/>
        </w:tabs>
        <w:spacing w:before="0"/>
        <w:ind w:left="2246" w:right="0" w:firstLine="0"/>
        <w:jc w:val="both"/>
        <w:rPr>
          <w:i/>
          <w:sz w:val="20"/>
        </w:rPr>
      </w:pPr>
      <w:r>
        <w:rPr>
          <w:i/>
          <w:spacing w:val="-2"/>
          <w:sz w:val="20"/>
        </w:rPr>
        <w:t>Travel</w:t>
      </w:r>
      <w:r>
        <w:rPr>
          <w:i/>
          <w:sz w:val="20"/>
        </w:rPr>
        <w:tab/>
        <w:t>€323.8</w:t>
      </w:r>
      <w:r>
        <w:rPr>
          <w:i/>
          <w:spacing w:val="-3"/>
          <w:sz w:val="20"/>
        </w:rPr>
        <w:t> </w:t>
      </w:r>
      <w:r>
        <w:rPr>
          <w:i/>
          <w:spacing w:val="-2"/>
          <w:sz w:val="20"/>
        </w:rPr>
        <w:t>thousand</w:t>
      </w:r>
    </w:p>
    <w:p>
      <w:pPr>
        <w:pStyle w:val="BodyText"/>
        <w:spacing w:before="10"/>
        <w:rPr>
          <w:i/>
        </w:rPr>
      </w:pPr>
    </w:p>
    <w:p>
      <w:pPr>
        <w:pStyle w:val="ListParagraph"/>
        <w:numPr>
          <w:ilvl w:val="0"/>
          <w:numId w:val="4"/>
        </w:numPr>
        <w:tabs>
          <w:tab w:pos="2967" w:val="left" w:leader="none"/>
        </w:tabs>
        <w:spacing w:line="240" w:lineRule="auto" w:before="1" w:after="0"/>
        <w:ind w:left="2246" w:right="2239" w:firstLine="0"/>
        <w:jc w:val="both"/>
        <w:rPr>
          <w:sz w:val="20"/>
        </w:rPr>
      </w:pPr>
      <w:r>
        <w:rPr>
          <w:sz w:val="20"/>
        </w:rPr>
        <w:t>The</w:t>
      </w:r>
      <w:r>
        <w:rPr>
          <w:spacing w:val="-7"/>
          <w:sz w:val="20"/>
        </w:rPr>
        <w:t> </w:t>
      </w:r>
      <w:r>
        <w:rPr>
          <w:sz w:val="20"/>
        </w:rPr>
        <w:t>requested</w:t>
      </w:r>
      <w:r>
        <w:rPr>
          <w:spacing w:val="-8"/>
          <w:sz w:val="20"/>
        </w:rPr>
        <w:t> </w:t>
      </w:r>
      <w:r>
        <w:rPr>
          <w:sz w:val="20"/>
        </w:rPr>
        <w:t>amount</w:t>
      </w:r>
      <w:r>
        <w:rPr>
          <w:spacing w:val="-7"/>
          <w:sz w:val="20"/>
        </w:rPr>
        <w:t> </w:t>
      </w:r>
      <w:r>
        <w:rPr>
          <w:sz w:val="20"/>
        </w:rPr>
        <w:t>represents</w:t>
      </w:r>
      <w:r>
        <w:rPr>
          <w:spacing w:val="-10"/>
          <w:sz w:val="20"/>
        </w:rPr>
        <w:t> </w:t>
      </w:r>
      <w:r>
        <w:rPr>
          <w:sz w:val="20"/>
        </w:rPr>
        <w:t>an</w:t>
      </w:r>
      <w:r>
        <w:rPr>
          <w:spacing w:val="-8"/>
          <w:sz w:val="20"/>
        </w:rPr>
        <w:t> </w:t>
      </w:r>
      <w:r>
        <w:rPr>
          <w:sz w:val="20"/>
        </w:rPr>
        <w:t>increase</w:t>
      </w:r>
      <w:r>
        <w:rPr>
          <w:spacing w:val="-7"/>
          <w:sz w:val="20"/>
        </w:rPr>
        <w:t> </w:t>
      </w:r>
      <w:r>
        <w:rPr>
          <w:sz w:val="20"/>
        </w:rPr>
        <w:t>of</w:t>
      </w:r>
      <w:r>
        <w:rPr>
          <w:spacing w:val="-6"/>
          <w:sz w:val="20"/>
        </w:rPr>
        <w:t> </w:t>
      </w:r>
      <w:r>
        <w:rPr>
          <w:sz w:val="20"/>
        </w:rPr>
        <w:t>€194.1</w:t>
      </w:r>
      <w:r>
        <w:rPr>
          <w:spacing w:val="-8"/>
          <w:sz w:val="20"/>
        </w:rPr>
        <w:t> </w:t>
      </w:r>
      <w:r>
        <w:rPr>
          <w:sz w:val="20"/>
        </w:rPr>
        <w:t>thousand</w:t>
      </w:r>
      <w:r>
        <w:rPr>
          <w:spacing w:val="-8"/>
          <w:sz w:val="20"/>
        </w:rPr>
        <w:t> </w:t>
      </w:r>
      <w:r>
        <w:rPr>
          <w:sz w:val="20"/>
        </w:rPr>
        <w:t>(149.7</w:t>
      </w:r>
      <w:r>
        <w:rPr>
          <w:spacing w:val="-8"/>
          <w:sz w:val="20"/>
        </w:rPr>
        <w:t> </w:t>
      </w:r>
      <w:r>
        <w:rPr>
          <w:sz w:val="20"/>
        </w:rPr>
        <w:t>per</w:t>
      </w:r>
      <w:r>
        <w:rPr>
          <w:spacing w:val="-8"/>
          <w:sz w:val="20"/>
        </w:rPr>
        <w:t> </w:t>
      </w:r>
      <w:r>
        <w:rPr>
          <w:sz w:val="20"/>
        </w:rPr>
        <w:t>cent)</w:t>
      </w:r>
      <w:r>
        <w:rPr>
          <w:spacing w:val="-4"/>
          <w:sz w:val="20"/>
        </w:rPr>
        <w:t> </w:t>
      </w:r>
      <w:r>
        <w:rPr>
          <w:sz w:val="20"/>
        </w:rPr>
        <w:t>of which</w:t>
      </w:r>
      <w:r>
        <w:rPr>
          <w:spacing w:val="-13"/>
          <w:sz w:val="20"/>
        </w:rPr>
        <w:t> </w:t>
      </w:r>
      <w:r>
        <w:rPr>
          <w:sz w:val="20"/>
        </w:rPr>
        <w:t>most</w:t>
      </w:r>
      <w:r>
        <w:rPr>
          <w:spacing w:val="-6"/>
          <w:sz w:val="20"/>
        </w:rPr>
        <w:t> </w:t>
      </w:r>
      <w:r>
        <w:rPr>
          <w:sz w:val="20"/>
        </w:rPr>
        <w:t>is</w:t>
      </w:r>
      <w:r>
        <w:rPr>
          <w:spacing w:val="-10"/>
          <w:sz w:val="20"/>
        </w:rPr>
        <w:t> </w:t>
      </w:r>
      <w:r>
        <w:rPr>
          <w:sz w:val="20"/>
        </w:rPr>
        <w:t>required</w:t>
      </w:r>
      <w:r>
        <w:rPr>
          <w:spacing w:val="-8"/>
          <w:sz w:val="20"/>
        </w:rPr>
        <w:t> </w:t>
      </w:r>
      <w:r>
        <w:rPr>
          <w:sz w:val="20"/>
        </w:rPr>
        <w:t>to</w:t>
      </w:r>
      <w:r>
        <w:rPr>
          <w:spacing w:val="-4"/>
          <w:sz w:val="20"/>
        </w:rPr>
        <w:t> </w:t>
      </w:r>
      <w:r>
        <w:rPr>
          <w:sz w:val="20"/>
        </w:rPr>
        <w:t>support</w:t>
      </w:r>
      <w:r>
        <w:rPr>
          <w:spacing w:val="-12"/>
          <w:sz w:val="20"/>
        </w:rPr>
        <w:t> </w:t>
      </w:r>
      <w:r>
        <w:rPr>
          <w:sz w:val="20"/>
        </w:rPr>
        <w:t>the</w:t>
      </w:r>
      <w:r>
        <w:rPr>
          <w:spacing w:val="-7"/>
          <w:sz w:val="20"/>
        </w:rPr>
        <w:t> </w:t>
      </w:r>
      <w:r>
        <w:rPr>
          <w:sz w:val="20"/>
        </w:rPr>
        <w:t>safety</w:t>
      </w:r>
      <w:r>
        <w:rPr>
          <w:spacing w:val="-8"/>
          <w:sz w:val="20"/>
        </w:rPr>
        <w:t> </w:t>
      </w:r>
      <w:r>
        <w:rPr>
          <w:sz w:val="20"/>
        </w:rPr>
        <w:t>and</w:t>
      </w:r>
      <w:r>
        <w:rPr>
          <w:spacing w:val="-8"/>
          <w:sz w:val="20"/>
        </w:rPr>
        <w:t> </w:t>
      </w:r>
      <w:r>
        <w:rPr>
          <w:sz w:val="20"/>
        </w:rPr>
        <w:t>security</w:t>
      </w:r>
      <w:r>
        <w:rPr>
          <w:spacing w:val="-8"/>
          <w:sz w:val="20"/>
        </w:rPr>
        <w:t> </w:t>
      </w:r>
      <w:r>
        <w:rPr>
          <w:sz w:val="20"/>
        </w:rPr>
        <w:t>of</w:t>
      </w:r>
      <w:r>
        <w:rPr>
          <w:spacing w:val="-8"/>
          <w:sz w:val="20"/>
        </w:rPr>
        <w:t> </w:t>
      </w:r>
      <w:r>
        <w:rPr>
          <w:sz w:val="20"/>
        </w:rPr>
        <w:t>field</w:t>
      </w:r>
      <w:r>
        <w:rPr>
          <w:spacing w:val="-8"/>
          <w:sz w:val="20"/>
        </w:rPr>
        <w:t> </w:t>
      </w:r>
      <w:r>
        <w:rPr>
          <w:sz w:val="20"/>
        </w:rPr>
        <w:t>operations</w:t>
      </w:r>
      <w:r>
        <w:rPr>
          <w:spacing w:val="-10"/>
          <w:sz w:val="20"/>
        </w:rPr>
        <w:t> </w:t>
      </w:r>
      <w:r>
        <w:rPr>
          <w:sz w:val="20"/>
        </w:rPr>
        <w:t>and</w:t>
      </w:r>
      <w:r>
        <w:rPr>
          <w:spacing w:val="-8"/>
          <w:sz w:val="20"/>
        </w:rPr>
        <w:t> </w:t>
      </w:r>
      <w:r>
        <w:rPr>
          <w:sz w:val="20"/>
        </w:rPr>
        <w:t>investigative activities. Accordingly, SSS</w:t>
      </w:r>
      <w:r>
        <w:rPr>
          <w:spacing w:val="-2"/>
          <w:sz w:val="20"/>
        </w:rPr>
        <w:t> </w:t>
      </w:r>
      <w:r>
        <w:rPr>
          <w:sz w:val="20"/>
        </w:rPr>
        <w:t>requests</w:t>
      </w:r>
      <w:r>
        <w:rPr>
          <w:spacing w:val="-2"/>
          <w:sz w:val="20"/>
        </w:rPr>
        <w:t> </w:t>
      </w:r>
      <w:r>
        <w:rPr>
          <w:sz w:val="20"/>
        </w:rPr>
        <w:t>additional resources</w:t>
      </w:r>
      <w:r>
        <w:rPr>
          <w:spacing w:val="-6"/>
          <w:sz w:val="20"/>
        </w:rPr>
        <w:t> </w:t>
      </w:r>
      <w:r>
        <w:rPr>
          <w:sz w:val="20"/>
        </w:rPr>
        <w:t>in</w:t>
      </w:r>
      <w:r>
        <w:rPr>
          <w:spacing w:val="-5"/>
          <w:sz w:val="20"/>
        </w:rPr>
        <w:t> </w:t>
      </w:r>
      <w:r>
        <w:rPr>
          <w:sz w:val="20"/>
        </w:rPr>
        <w:t>the</w:t>
      </w:r>
      <w:r>
        <w:rPr>
          <w:spacing w:val="-3"/>
          <w:sz w:val="20"/>
        </w:rPr>
        <w:t> </w:t>
      </w:r>
      <w:r>
        <w:rPr>
          <w:sz w:val="20"/>
        </w:rPr>
        <w:t>amount</w:t>
      </w:r>
      <w:r>
        <w:rPr>
          <w:spacing w:val="-3"/>
          <w:sz w:val="20"/>
        </w:rPr>
        <w:t> </w:t>
      </w:r>
      <w:r>
        <w:rPr>
          <w:sz w:val="20"/>
        </w:rPr>
        <w:t>of €158.7 thousand to</w:t>
      </w:r>
      <w:r>
        <w:rPr>
          <w:spacing w:val="-4"/>
          <w:sz w:val="20"/>
        </w:rPr>
        <w:t> </w:t>
      </w:r>
      <w:r>
        <w:rPr>
          <w:sz w:val="20"/>
        </w:rPr>
        <w:t>ensure security</w:t>
      </w:r>
      <w:r>
        <w:rPr>
          <w:spacing w:val="-4"/>
          <w:sz w:val="20"/>
        </w:rPr>
        <w:t> </w:t>
      </w:r>
      <w:r>
        <w:rPr>
          <w:sz w:val="20"/>
        </w:rPr>
        <w:t>support</w:t>
      </w:r>
      <w:r>
        <w:rPr>
          <w:spacing w:val="-2"/>
          <w:sz w:val="20"/>
        </w:rPr>
        <w:t> </w:t>
      </w:r>
      <w:r>
        <w:rPr>
          <w:sz w:val="20"/>
        </w:rPr>
        <w:t>for</w:t>
      </w:r>
      <w:r>
        <w:rPr>
          <w:spacing w:val="-4"/>
          <w:sz w:val="20"/>
        </w:rPr>
        <w:t> </w:t>
      </w:r>
      <w:r>
        <w:rPr>
          <w:sz w:val="20"/>
        </w:rPr>
        <w:t>an</w:t>
      </w:r>
      <w:r>
        <w:rPr>
          <w:spacing w:val="-4"/>
          <w:sz w:val="20"/>
        </w:rPr>
        <w:t> </w:t>
      </w:r>
      <w:r>
        <w:rPr>
          <w:sz w:val="20"/>
        </w:rPr>
        <w:t>increased</w:t>
      </w:r>
      <w:r>
        <w:rPr>
          <w:spacing w:val="-4"/>
          <w:sz w:val="20"/>
        </w:rPr>
        <w:t> </w:t>
      </w:r>
      <w:r>
        <w:rPr>
          <w:sz w:val="20"/>
        </w:rPr>
        <w:t>number</w:t>
      </w:r>
      <w:r>
        <w:rPr>
          <w:spacing w:val="-4"/>
          <w:sz w:val="20"/>
        </w:rPr>
        <w:t> </w:t>
      </w:r>
      <w:r>
        <w:rPr>
          <w:sz w:val="20"/>
        </w:rPr>
        <w:t>of</w:t>
      </w:r>
      <w:r>
        <w:rPr>
          <w:spacing w:val="-4"/>
          <w:sz w:val="20"/>
        </w:rPr>
        <w:t> </w:t>
      </w:r>
      <w:r>
        <w:rPr>
          <w:sz w:val="20"/>
        </w:rPr>
        <w:t>field</w:t>
      </w:r>
      <w:r>
        <w:rPr>
          <w:spacing w:val="-4"/>
          <w:sz w:val="20"/>
        </w:rPr>
        <w:t> </w:t>
      </w:r>
      <w:r>
        <w:rPr>
          <w:sz w:val="20"/>
        </w:rPr>
        <w:t>operations,</w:t>
      </w:r>
      <w:r>
        <w:rPr>
          <w:spacing w:val="-1"/>
          <w:sz w:val="20"/>
        </w:rPr>
        <w:t> </w:t>
      </w:r>
      <w:r>
        <w:rPr>
          <w:sz w:val="20"/>
        </w:rPr>
        <w:t>including</w:t>
      </w:r>
      <w:r>
        <w:rPr>
          <w:spacing w:val="-4"/>
          <w:sz w:val="20"/>
        </w:rPr>
        <w:t> </w:t>
      </w:r>
      <w:r>
        <w:rPr>
          <w:sz w:val="20"/>
        </w:rPr>
        <w:t>missions</w:t>
      </w:r>
      <w:r>
        <w:rPr>
          <w:spacing w:val="-5"/>
          <w:sz w:val="20"/>
        </w:rPr>
        <w:t> </w:t>
      </w:r>
      <w:r>
        <w:rPr>
          <w:sz w:val="20"/>
        </w:rPr>
        <w:t>to situation</w:t>
      </w:r>
      <w:r>
        <w:rPr>
          <w:spacing w:val="-2"/>
          <w:sz w:val="20"/>
        </w:rPr>
        <w:t> </w:t>
      </w:r>
      <w:r>
        <w:rPr>
          <w:sz w:val="20"/>
        </w:rPr>
        <w:t>countries. An</w:t>
      </w:r>
      <w:r>
        <w:rPr>
          <w:spacing w:val="-6"/>
          <w:sz w:val="20"/>
        </w:rPr>
        <w:t> </w:t>
      </w:r>
      <w:r>
        <w:rPr>
          <w:sz w:val="20"/>
        </w:rPr>
        <w:t>amount</w:t>
      </w:r>
      <w:r>
        <w:rPr>
          <w:spacing w:val="-5"/>
          <w:sz w:val="20"/>
        </w:rPr>
        <w:t> </w:t>
      </w:r>
      <w:r>
        <w:rPr>
          <w:sz w:val="20"/>
        </w:rPr>
        <w:t>of</w:t>
      </w:r>
      <w:r>
        <w:rPr>
          <w:spacing w:val="-5"/>
          <w:sz w:val="20"/>
        </w:rPr>
        <w:t> </w:t>
      </w:r>
      <w:r>
        <w:rPr>
          <w:sz w:val="20"/>
        </w:rPr>
        <w:t>€84.2</w:t>
      </w:r>
      <w:r>
        <w:rPr>
          <w:spacing w:val="-6"/>
          <w:sz w:val="20"/>
        </w:rPr>
        <w:t> </w:t>
      </w:r>
      <w:r>
        <w:rPr>
          <w:sz w:val="20"/>
        </w:rPr>
        <w:t>thousand</w:t>
      </w:r>
      <w:r>
        <w:rPr>
          <w:spacing w:val="-6"/>
          <w:sz w:val="20"/>
        </w:rPr>
        <w:t> </w:t>
      </w:r>
      <w:r>
        <w:rPr>
          <w:sz w:val="20"/>
        </w:rPr>
        <w:t>continues</w:t>
      </w:r>
      <w:r>
        <w:rPr>
          <w:spacing w:val="-7"/>
          <w:sz w:val="20"/>
        </w:rPr>
        <w:t> </w:t>
      </w:r>
      <w:r>
        <w:rPr>
          <w:sz w:val="20"/>
        </w:rPr>
        <w:t>to</w:t>
      </w:r>
      <w:r>
        <w:rPr>
          <w:spacing w:val="-2"/>
          <w:sz w:val="20"/>
        </w:rPr>
        <w:t> </w:t>
      </w:r>
      <w:r>
        <w:rPr>
          <w:sz w:val="20"/>
        </w:rPr>
        <w:t>be</w:t>
      </w:r>
      <w:r>
        <w:rPr>
          <w:spacing w:val="-5"/>
          <w:sz w:val="20"/>
        </w:rPr>
        <w:t> </w:t>
      </w:r>
      <w:r>
        <w:rPr>
          <w:sz w:val="20"/>
        </w:rPr>
        <w:t>required</w:t>
      </w:r>
      <w:r>
        <w:rPr>
          <w:spacing w:val="-4"/>
          <w:sz w:val="20"/>
        </w:rPr>
        <w:t> </w:t>
      </w:r>
      <w:r>
        <w:rPr>
          <w:sz w:val="20"/>
        </w:rPr>
        <w:t>to</w:t>
      </w:r>
      <w:r>
        <w:rPr>
          <w:spacing w:val="-6"/>
          <w:sz w:val="20"/>
        </w:rPr>
        <w:t> </w:t>
      </w:r>
      <w:r>
        <w:rPr>
          <w:sz w:val="20"/>
        </w:rPr>
        <w:t>ensure security support</w:t>
      </w:r>
      <w:r>
        <w:rPr>
          <w:spacing w:val="-4"/>
          <w:sz w:val="20"/>
        </w:rPr>
        <w:t> </w:t>
      </w:r>
      <w:r>
        <w:rPr>
          <w:sz w:val="20"/>
        </w:rPr>
        <w:t>for</w:t>
      </w:r>
      <w:r>
        <w:rPr>
          <w:spacing w:val="-9"/>
          <w:sz w:val="20"/>
        </w:rPr>
        <w:t> </w:t>
      </w:r>
      <w:r>
        <w:rPr>
          <w:sz w:val="20"/>
        </w:rPr>
        <w:t>the</w:t>
      </w:r>
      <w:r>
        <w:rPr>
          <w:spacing w:val="-4"/>
          <w:sz w:val="20"/>
        </w:rPr>
        <w:t> </w:t>
      </w:r>
      <w:r>
        <w:rPr>
          <w:sz w:val="20"/>
        </w:rPr>
        <w:t>Presidency,</w:t>
      </w:r>
      <w:r>
        <w:rPr>
          <w:spacing w:val="-4"/>
          <w:sz w:val="20"/>
        </w:rPr>
        <w:t> </w:t>
      </w:r>
      <w:r>
        <w:rPr>
          <w:sz w:val="20"/>
        </w:rPr>
        <w:t>the</w:t>
      </w:r>
      <w:r>
        <w:rPr>
          <w:spacing w:val="-4"/>
          <w:sz w:val="20"/>
        </w:rPr>
        <w:t> </w:t>
      </w:r>
      <w:r>
        <w:rPr>
          <w:sz w:val="20"/>
        </w:rPr>
        <w:t>Prosecutor</w:t>
      </w:r>
      <w:r>
        <w:rPr>
          <w:spacing w:val="-9"/>
          <w:sz w:val="20"/>
        </w:rPr>
        <w:t> </w:t>
      </w:r>
      <w:r>
        <w:rPr>
          <w:sz w:val="20"/>
        </w:rPr>
        <w:t>and</w:t>
      </w:r>
      <w:r>
        <w:rPr>
          <w:spacing w:val="-9"/>
          <w:sz w:val="20"/>
        </w:rPr>
        <w:t> </w:t>
      </w:r>
      <w:r>
        <w:rPr>
          <w:sz w:val="20"/>
        </w:rPr>
        <w:t>the</w:t>
      </w:r>
      <w:r>
        <w:rPr>
          <w:spacing w:val="-8"/>
          <w:sz w:val="20"/>
        </w:rPr>
        <w:t> </w:t>
      </w:r>
      <w:r>
        <w:rPr>
          <w:sz w:val="20"/>
        </w:rPr>
        <w:t>Registrar</w:t>
      </w:r>
      <w:r>
        <w:rPr>
          <w:spacing w:val="-5"/>
          <w:sz w:val="20"/>
        </w:rPr>
        <w:t> </w:t>
      </w:r>
      <w:r>
        <w:rPr>
          <w:sz w:val="20"/>
        </w:rPr>
        <w:t>during</w:t>
      </w:r>
      <w:r>
        <w:rPr>
          <w:spacing w:val="-5"/>
          <w:sz w:val="20"/>
        </w:rPr>
        <w:t> </w:t>
      </w:r>
      <w:r>
        <w:rPr>
          <w:sz w:val="20"/>
        </w:rPr>
        <w:t>official</w:t>
      </w:r>
      <w:r>
        <w:rPr>
          <w:spacing w:val="-8"/>
          <w:sz w:val="20"/>
        </w:rPr>
        <w:t> </w:t>
      </w:r>
      <w:r>
        <w:rPr>
          <w:sz w:val="20"/>
        </w:rPr>
        <w:t>travel</w:t>
      </w:r>
      <w:r>
        <w:rPr>
          <w:spacing w:val="-8"/>
          <w:sz w:val="20"/>
        </w:rPr>
        <w:t> </w:t>
      </w:r>
      <w:r>
        <w:rPr>
          <w:sz w:val="20"/>
        </w:rPr>
        <w:t>to</w:t>
      </w:r>
      <w:r>
        <w:rPr>
          <w:spacing w:val="-5"/>
          <w:sz w:val="20"/>
        </w:rPr>
        <w:t> </w:t>
      </w:r>
      <w:r>
        <w:rPr>
          <w:sz w:val="20"/>
        </w:rPr>
        <w:t>situation countries</w:t>
      </w:r>
      <w:r>
        <w:rPr>
          <w:spacing w:val="-5"/>
          <w:sz w:val="20"/>
        </w:rPr>
        <w:t> </w:t>
      </w:r>
      <w:r>
        <w:rPr>
          <w:sz w:val="20"/>
        </w:rPr>
        <w:t>and</w:t>
      </w:r>
      <w:r>
        <w:rPr>
          <w:spacing w:val="-4"/>
          <w:sz w:val="20"/>
        </w:rPr>
        <w:t> </w:t>
      </w:r>
      <w:r>
        <w:rPr>
          <w:sz w:val="20"/>
        </w:rPr>
        <w:t>other</w:t>
      </w:r>
      <w:r>
        <w:rPr>
          <w:spacing w:val="-4"/>
          <w:sz w:val="20"/>
        </w:rPr>
        <w:t> </w:t>
      </w:r>
      <w:r>
        <w:rPr>
          <w:sz w:val="20"/>
        </w:rPr>
        <w:t>locations.</w:t>
      </w:r>
      <w:r>
        <w:rPr>
          <w:spacing w:val="-1"/>
          <w:sz w:val="20"/>
        </w:rPr>
        <w:t> </w:t>
      </w:r>
      <w:r>
        <w:rPr>
          <w:sz w:val="20"/>
        </w:rPr>
        <w:t>These</w:t>
      </w:r>
      <w:r>
        <w:rPr>
          <w:spacing w:val="-2"/>
          <w:sz w:val="20"/>
        </w:rPr>
        <w:t> </w:t>
      </w:r>
      <w:r>
        <w:rPr>
          <w:sz w:val="20"/>
        </w:rPr>
        <w:t>resources</w:t>
      </w:r>
      <w:r>
        <w:rPr>
          <w:spacing w:val="-2"/>
          <w:sz w:val="20"/>
        </w:rPr>
        <w:t> </w:t>
      </w:r>
      <w:r>
        <w:rPr>
          <w:sz w:val="20"/>
        </w:rPr>
        <w:t>will</w:t>
      </w:r>
      <w:r>
        <w:rPr>
          <w:spacing w:val="-2"/>
          <w:sz w:val="20"/>
        </w:rPr>
        <w:t> </w:t>
      </w:r>
      <w:r>
        <w:rPr>
          <w:sz w:val="20"/>
        </w:rPr>
        <w:t>also</w:t>
      </w:r>
      <w:r>
        <w:rPr>
          <w:spacing w:val="-4"/>
          <w:sz w:val="20"/>
        </w:rPr>
        <w:t> </w:t>
      </w:r>
      <w:r>
        <w:rPr>
          <w:sz w:val="20"/>
        </w:rPr>
        <w:t>cover</w:t>
      </w:r>
      <w:r>
        <w:rPr>
          <w:spacing w:val="-4"/>
          <w:sz w:val="20"/>
        </w:rPr>
        <w:t> </w:t>
      </w:r>
      <w:r>
        <w:rPr>
          <w:sz w:val="20"/>
        </w:rPr>
        <w:t>travel to</w:t>
      </w:r>
      <w:r>
        <w:rPr>
          <w:spacing w:val="-4"/>
          <w:sz w:val="20"/>
        </w:rPr>
        <w:t> </w:t>
      </w:r>
      <w:r>
        <w:rPr>
          <w:sz w:val="20"/>
        </w:rPr>
        <w:t>the</w:t>
      </w:r>
      <w:r>
        <w:rPr>
          <w:spacing w:val="-2"/>
          <w:sz w:val="20"/>
        </w:rPr>
        <w:t> </w:t>
      </w:r>
      <w:r>
        <w:rPr>
          <w:sz w:val="20"/>
        </w:rPr>
        <w:t>country</w:t>
      </w:r>
      <w:r>
        <w:rPr>
          <w:spacing w:val="-4"/>
          <w:sz w:val="20"/>
        </w:rPr>
        <w:t> </w:t>
      </w:r>
      <w:r>
        <w:rPr>
          <w:sz w:val="20"/>
        </w:rPr>
        <w:t>offices</w:t>
      </w:r>
      <w:r>
        <w:rPr>
          <w:spacing w:val="-5"/>
          <w:sz w:val="20"/>
        </w:rPr>
        <w:t> </w:t>
      </w:r>
      <w:r>
        <w:rPr>
          <w:sz w:val="20"/>
        </w:rPr>
        <w:t>to </w:t>
      </w:r>
      <w:r>
        <w:rPr>
          <w:spacing w:val="-2"/>
          <w:sz w:val="20"/>
        </w:rPr>
        <w:t>provide operational support for</w:t>
      </w:r>
      <w:r>
        <w:rPr>
          <w:spacing w:val="-8"/>
          <w:sz w:val="20"/>
        </w:rPr>
        <w:t> </w:t>
      </w:r>
      <w:r>
        <w:rPr>
          <w:spacing w:val="-2"/>
          <w:sz w:val="20"/>
        </w:rPr>
        <w:t>inspections,</w:t>
      </w:r>
      <w:r>
        <w:rPr>
          <w:spacing w:val="-6"/>
          <w:sz w:val="20"/>
        </w:rPr>
        <w:t> </w:t>
      </w:r>
      <w:r>
        <w:rPr>
          <w:spacing w:val="-2"/>
          <w:sz w:val="20"/>
        </w:rPr>
        <w:t>compliance verification</w:t>
      </w:r>
      <w:r>
        <w:rPr>
          <w:spacing w:val="-4"/>
          <w:sz w:val="20"/>
        </w:rPr>
        <w:t> </w:t>
      </w:r>
      <w:r>
        <w:rPr>
          <w:spacing w:val="-2"/>
          <w:sz w:val="20"/>
        </w:rPr>
        <w:t>and</w:t>
      </w:r>
      <w:r>
        <w:rPr>
          <w:spacing w:val="-8"/>
          <w:sz w:val="20"/>
        </w:rPr>
        <w:t> </w:t>
      </w:r>
      <w:r>
        <w:rPr>
          <w:spacing w:val="-2"/>
          <w:sz w:val="20"/>
        </w:rPr>
        <w:t>policy</w:t>
      </w:r>
      <w:r>
        <w:rPr>
          <w:spacing w:val="-4"/>
          <w:sz w:val="20"/>
        </w:rPr>
        <w:t> </w:t>
      </w:r>
      <w:r>
        <w:rPr>
          <w:spacing w:val="-2"/>
          <w:sz w:val="20"/>
        </w:rPr>
        <w:t>assurance,</w:t>
      </w:r>
      <w:r>
        <w:rPr>
          <w:spacing w:val="-6"/>
          <w:sz w:val="20"/>
        </w:rPr>
        <w:t> </w:t>
      </w:r>
      <w:r>
        <w:rPr>
          <w:spacing w:val="-2"/>
          <w:sz w:val="20"/>
        </w:rPr>
        <w:t>and </w:t>
      </w:r>
      <w:r>
        <w:rPr>
          <w:sz w:val="20"/>
        </w:rPr>
        <w:t>for participation in security management and coordination meetings with UNDSS, the</w:t>
      </w:r>
      <w:r>
        <w:rPr>
          <w:spacing w:val="80"/>
          <w:sz w:val="20"/>
        </w:rPr>
        <w:t> </w:t>
      </w:r>
      <w:r>
        <w:rPr>
          <w:sz w:val="20"/>
        </w:rPr>
        <w:t>Inter-Agency Security Management Network and INTERPOL.</w:t>
      </w:r>
    </w:p>
    <w:p>
      <w:pPr>
        <w:pStyle w:val="ListParagraph"/>
        <w:numPr>
          <w:ilvl w:val="0"/>
          <w:numId w:val="4"/>
        </w:numPr>
        <w:tabs>
          <w:tab w:pos="2967" w:val="left" w:leader="none"/>
        </w:tabs>
        <w:spacing w:line="240" w:lineRule="auto" w:before="120" w:after="0"/>
        <w:ind w:left="2246" w:right="2243" w:firstLine="0"/>
        <w:jc w:val="both"/>
        <w:rPr>
          <w:sz w:val="20"/>
        </w:rPr>
      </w:pPr>
      <w:r>
        <w:rPr>
          <w:spacing w:val="-4"/>
          <w:sz w:val="20"/>
        </w:rPr>
        <w:t>Travel</w:t>
      </w:r>
      <w:r>
        <w:rPr>
          <w:sz w:val="20"/>
        </w:rPr>
        <w:t> </w:t>
      </w:r>
      <w:r>
        <w:rPr>
          <w:spacing w:val="-4"/>
          <w:sz w:val="20"/>
        </w:rPr>
        <w:t>resources</w:t>
      </w:r>
      <w:r>
        <w:rPr>
          <w:spacing w:val="-9"/>
          <w:sz w:val="20"/>
        </w:rPr>
        <w:t> </w:t>
      </w:r>
      <w:r>
        <w:rPr>
          <w:spacing w:val="-4"/>
          <w:sz w:val="20"/>
        </w:rPr>
        <w:t>in</w:t>
      </w:r>
      <w:r>
        <w:rPr>
          <w:spacing w:val="-6"/>
          <w:sz w:val="20"/>
        </w:rPr>
        <w:t> </w:t>
      </w:r>
      <w:r>
        <w:rPr>
          <w:spacing w:val="-4"/>
          <w:sz w:val="20"/>
        </w:rPr>
        <w:t>the amount</w:t>
      </w:r>
      <w:r>
        <w:rPr>
          <w:sz w:val="20"/>
        </w:rPr>
        <w:t> </w:t>
      </w:r>
      <w:r>
        <w:rPr>
          <w:spacing w:val="-4"/>
          <w:sz w:val="20"/>
        </w:rPr>
        <w:t>of</w:t>
      </w:r>
      <w:r>
        <w:rPr>
          <w:spacing w:val="-7"/>
          <w:sz w:val="20"/>
        </w:rPr>
        <w:t> </w:t>
      </w:r>
      <w:r>
        <w:rPr>
          <w:spacing w:val="-4"/>
          <w:sz w:val="20"/>
        </w:rPr>
        <w:t>€23.4</w:t>
      </w:r>
      <w:r>
        <w:rPr>
          <w:spacing w:val="-7"/>
          <w:sz w:val="20"/>
        </w:rPr>
        <w:t> </w:t>
      </w:r>
      <w:r>
        <w:rPr>
          <w:spacing w:val="-4"/>
          <w:sz w:val="20"/>
        </w:rPr>
        <w:t>thousand</w:t>
      </w:r>
      <w:r>
        <w:rPr>
          <w:spacing w:val="-7"/>
          <w:sz w:val="20"/>
        </w:rPr>
        <w:t> </w:t>
      </w:r>
      <w:r>
        <w:rPr>
          <w:spacing w:val="-4"/>
          <w:sz w:val="20"/>
        </w:rPr>
        <w:t>are also requested in OHU</w:t>
      </w:r>
      <w:r>
        <w:rPr>
          <w:spacing w:val="-9"/>
          <w:sz w:val="20"/>
        </w:rPr>
        <w:t> </w:t>
      </w:r>
      <w:r>
        <w:rPr>
          <w:spacing w:val="-4"/>
          <w:sz w:val="20"/>
        </w:rPr>
        <w:t>for</w:t>
      </w:r>
      <w:r>
        <w:rPr>
          <w:spacing w:val="-6"/>
          <w:sz w:val="20"/>
        </w:rPr>
        <w:t> </w:t>
      </w:r>
      <w:r>
        <w:rPr>
          <w:spacing w:val="-4"/>
          <w:sz w:val="20"/>
        </w:rPr>
        <w:t>health </w:t>
      </w:r>
      <w:r>
        <w:rPr>
          <w:sz w:val="20"/>
        </w:rPr>
        <w:t>risk</w:t>
      </w:r>
      <w:r>
        <w:rPr>
          <w:spacing w:val="-11"/>
          <w:sz w:val="20"/>
        </w:rPr>
        <w:t> </w:t>
      </w:r>
      <w:r>
        <w:rPr>
          <w:sz w:val="20"/>
        </w:rPr>
        <w:t>assessment</w:t>
      </w:r>
      <w:r>
        <w:rPr>
          <w:spacing w:val="-9"/>
          <w:sz w:val="20"/>
        </w:rPr>
        <w:t> </w:t>
      </w:r>
      <w:r>
        <w:rPr>
          <w:sz w:val="20"/>
        </w:rPr>
        <w:t>missions</w:t>
      </w:r>
      <w:r>
        <w:rPr>
          <w:spacing w:val="-11"/>
          <w:sz w:val="20"/>
        </w:rPr>
        <w:t> </w:t>
      </w:r>
      <w:r>
        <w:rPr>
          <w:sz w:val="20"/>
        </w:rPr>
        <w:t>to</w:t>
      </w:r>
      <w:r>
        <w:rPr>
          <w:spacing w:val="-11"/>
          <w:sz w:val="20"/>
        </w:rPr>
        <w:t> </w:t>
      </w:r>
      <w:r>
        <w:rPr>
          <w:sz w:val="20"/>
        </w:rPr>
        <w:t>situation</w:t>
      </w:r>
      <w:r>
        <w:rPr>
          <w:spacing w:val="-11"/>
          <w:sz w:val="20"/>
        </w:rPr>
        <w:t> </w:t>
      </w:r>
      <w:r>
        <w:rPr>
          <w:sz w:val="20"/>
        </w:rPr>
        <w:t>countries</w:t>
      </w:r>
      <w:r>
        <w:rPr>
          <w:spacing w:val="-11"/>
          <w:sz w:val="20"/>
        </w:rPr>
        <w:t> </w:t>
      </w:r>
      <w:r>
        <w:rPr>
          <w:sz w:val="20"/>
        </w:rPr>
        <w:t>where</w:t>
      </w:r>
      <w:r>
        <w:rPr>
          <w:spacing w:val="-9"/>
          <w:sz w:val="20"/>
        </w:rPr>
        <w:t> </w:t>
      </w:r>
      <w:r>
        <w:rPr>
          <w:sz w:val="20"/>
        </w:rPr>
        <w:t>new</w:t>
      </w:r>
      <w:r>
        <w:rPr>
          <w:spacing w:val="-11"/>
          <w:sz w:val="20"/>
        </w:rPr>
        <w:t> </w:t>
      </w:r>
      <w:r>
        <w:rPr>
          <w:sz w:val="20"/>
        </w:rPr>
        <w:t>presences</w:t>
      </w:r>
      <w:r>
        <w:rPr>
          <w:spacing w:val="-11"/>
          <w:sz w:val="20"/>
        </w:rPr>
        <w:t> </w:t>
      </w:r>
      <w:r>
        <w:rPr>
          <w:sz w:val="20"/>
        </w:rPr>
        <w:t>are</w:t>
      </w:r>
      <w:r>
        <w:rPr>
          <w:spacing w:val="-9"/>
          <w:sz w:val="20"/>
        </w:rPr>
        <w:t> </w:t>
      </w:r>
      <w:r>
        <w:rPr>
          <w:sz w:val="20"/>
        </w:rPr>
        <w:t>being</w:t>
      </w:r>
      <w:r>
        <w:rPr>
          <w:spacing w:val="-11"/>
          <w:sz w:val="20"/>
        </w:rPr>
        <w:t> </w:t>
      </w:r>
      <w:r>
        <w:rPr>
          <w:sz w:val="20"/>
        </w:rPr>
        <w:t>established,</w:t>
      </w:r>
      <w:r>
        <w:rPr>
          <w:spacing w:val="-8"/>
          <w:sz w:val="20"/>
        </w:rPr>
        <w:t> </w:t>
      </w:r>
      <w:r>
        <w:rPr>
          <w:sz w:val="20"/>
        </w:rPr>
        <w:t>or </w:t>
      </w:r>
      <w:r>
        <w:rPr>
          <w:spacing w:val="-2"/>
          <w:sz w:val="20"/>
        </w:rPr>
        <w:t>long-term</w:t>
      </w:r>
      <w:r>
        <w:rPr>
          <w:spacing w:val="-11"/>
          <w:sz w:val="20"/>
        </w:rPr>
        <w:t> </w:t>
      </w:r>
      <w:r>
        <w:rPr>
          <w:spacing w:val="-2"/>
          <w:sz w:val="20"/>
        </w:rPr>
        <w:t>operational</w:t>
      </w:r>
      <w:r>
        <w:rPr>
          <w:spacing w:val="-11"/>
          <w:sz w:val="20"/>
        </w:rPr>
        <w:t> </w:t>
      </w:r>
      <w:r>
        <w:rPr>
          <w:spacing w:val="-2"/>
          <w:sz w:val="20"/>
        </w:rPr>
        <w:t>missions</w:t>
      </w:r>
      <w:r>
        <w:rPr>
          <w:spacing w:val="-9"/>
          <w:sz w:val="20"/>
        </w:rPr>
        <w:t> </w:t>
      </w:r>
      <w:r>
        <w:rPr>
          <w:spacing w:val="-2"/>
          <w:sz w:val="20"/>
        </w:rPr>
        <w:t>are</w:t>
      </w:r>
      <w:r>
        <w:rPr>
          <w:spacing w:val="-6"/>
          <w:sz w:val="20"/>
        </w:rPr>
        <w:t> </w:t>
      </w:r>
      <w:r>
        <w:rPr>
          <w:spacing w:val="-2"/>
          <w:sz w:val="20"/>
        </w:rPr>
        <w:t>planned.</w:t>
      </w:r>
      <w:r>
        <w:rPr>
          <w:spacing w:val="-5"/>
          <w:sz w:val="20"/>
        </w:rPr>
        <w:t> </w:t>
      </w:r>
      <w:r>
        <w:rPr>
          <w:spacing w:val="-2"/>
          <w:sz w:val="20"/>
        </w:rPr>
        <w:t>In</w:t>
      </w:r>
      <w:r>
        <w:rPr>
          <w:spacing w:val="-7"/>
          <w:sz w:val="20"/>
        </w:rPr>
        <w:t> </w:t>
      </w:r>
      <w:r>
        <w:rPr>
          <w:spacing w:val="-2"/>
          <w:sz w:val="20"/>
        </w:rPr>
        <w:t>addition,</w:t>
      </w:r>
      <w:r>
        <w:rPr>
          <w:spacing w:val="-5"/>
          <w:sz w:val="20"/>
        </w:rPr>
        <w:t> </w:t>
      </w:r>
      <w:r>
        <w:rPr>
          <w:spacing w:val="-2"/>
          <w:sz w:val="20"/>
        </w:rPr>
        <w:t>OHU</w:t>
      </w:r>
      <w:r>
        <w:rPr>
          <w:spacing w:val="-14"/>
          <w:sz w:val="20"/>
        </w:rPr>
        <w:t> </w:t>
      </w:r>
      <w:r>
        <w:rPr>
          <w:spacing w:val="-2"/>
          <w:sz w:val="20"/>
        </w:rPr>
        <w:t>will</w:t>
      </w:r>
      <w:r>
        <w:rPr>
          <w:spacing w:val="-6"/>
          <w:sz w:val="20"/>
        </w:rPr>
        <w:t> </w:t>
      </w:r>
      <w:r>
        <w:rPr>
          <w:spacing w:val="-2"/>
          <w:sz w:val="20"/>
        </w:rPr>
        <w:t>need</w:t>
      </w:r>
      <w:r>
        <w:rPr>
          <w:spacing w:val="-7"/>
          <w:sz w:val="20"/>
        </w:rPr>
        <w:t> </w:t>
      </w:r>
      <w:r>
        <w:rPr>
          <w:spacing w:val="-2"/>
          <w:sz w:val="20"/>
        </w:rPr>
        <w:t>to</w:t>
      </w:r>
      <w:r>
        <w:rPr>
          <w:spacing w:val="-12"/>
          <w:sz w:val="20"/>
        </w:rPr>
        <w:t> </w:t>
      </w:r>
      <w:r>
        <w:rPr>
          <w:spacing w:val="-2"/>
          <w:sz w:val="20"/>
        </w:rPr>
        <w:t>conduct</w:t>
      </w:r>
      <w:r>
        <w:rPr>
          <w:spacing w:val="-6"/>
          <w:sz w:val="20"/>
        </w:rPr>
        <w:t> </w:t>
      </w:r>
      <w:r>
        <w:rPr>
          <w:spacing w:val="-2"/>
          <w:sz w:val="20"/>
        </w:rPr>
        <w:t>missions</w:t>
      </w:r>
      <w:r>
        <w:rPr>
          <w:spacing w:val="-14"/>
          <w:sz w:val="20"/>
        </w:rPr>
        <w:t> </w:t>
      </w:r>
      <w:r>
        <w:rPr>
          <w:spacing w:val="-2"/>
          <w:sz w:val="20"/>
        </w:rPr>
        <w:t>to</w:t>
      </w:r>
    </w:p>
    <w:p>
      <w:pPr>
        <w:spacing w:after="0" w:line="240" w:lineRule="auto"/>
        <w:jc w:val="both"/>
        <w:rPr>
          <w:sz w:val="20"/>
        </w:rPr>
        <w:sectPr>
          <w:pgSz w:w="11910" w:h="16840"/>
          <w:pgMar w:header="957" w:footer="940" w:top="1140" w:bottom="1140" w:left="20" w:right="20"/>
        </w:sectPr>
      </w:pPr>
    </w:p>
    <w:p>
      <w:pPr>
        <w:pStyle w:val="BodyText"/>
        <w:spacing w:before="124"/>
        <w:ind w:left="2246" w:right="2195"/>
      </w:pPr>
      <w:r>
        <w:rPr/>
        <w:t>existing duty</w:t>
      </w:r>
      <w:r>
        <w:rPr>
          <w:spacing w:val="17"/>
        </w:rPr>
        <w:t> </w:t>
      </w:r>
      <w:r>
        <w:rPr/>
        <w:t>stations</w:t>
      </w:r>
      <w:r>
        <w:rPr>
          <w:spacing w:val="15"/>
        </w:rPr>
        <w:t> </w:t>
      </w:r>
      <w:r>
        <w:rPr/>
        <w:t>in</w:t>
      </w:r>
      <w:r>
        <w:rPr>
          <w:spacing w:val="17"/>
        </w:rPr>
        <w:t> </w:t>
      </w:r>
      <w:r>
        <w:rPr/>
        <w:t>order</w:t>
      </w:r>
      <w:r>
        <w:rPr>
          <w:spacing w:val="17"/>
        </w:rPr>
        <w:t> </w:t>
      </w:r>
      <w:r>
        <w:rPr/>
        <w:t>to</w:t>
      </w:r>
      <w:r>
        <w:rPr>
          <w:spacing w:val="17"/>
        </w:rPr>
        <w:t> </w:t>
      </w:r>
      <w:r>
        <w:rPr/>
        <w:t>perform</w:t>
      </w:r>
      <w:r>
        <w:rPr>
          <w:spacing w:val="15"/>
        </w:rPr>
        <w:t> </w:t>
      </w:r>
      <w:r>
        <w:rPr/>
        <w:t>medical</w:t>
      </w:r>
      <w:r>
        <w:rPr>
          <w:spacing w:val="15"/>
        </w:rPr>
        <w:t> </w:t>
      </w:r>
      <w:r>
        <w:rPr/>
        <w:t>and</w:t>
      </w:r>
      <w:r>
        <w:rPr>
          <w:spacing w:val="17"/>
        </w:rPr>
        <w:t> </w:t>
      </w:r>
      <w:r>
        <w:rPr/>
        <w:t>psychological</w:t>
      </w:r>
      <w:r>
        <w:rPr>
          <w:spacing w:val="18"/>
        </w:rPr>
        <w:t> </w:t>
      </w:r>
      <w:r>
        <w:rPr/>
        <w:t>post-COVID-19</w:t>
      </w:r>
      <w:r>
        <w:rPr>
          <w:spacing w:val="17"/>
        </w:rPr>
        <w:t> </w:t>
      </w:r>
      <w:r>
        <w:rPr/>
        <w:t>risk </w:t>
      </w:r>
      <w:r>
        <w:rPr>
          <w:spacing w:val="-2"/>
        </w:rPr>
        <w:t>assessments.</w:t>
      </w:r>
    </w:p>
    <w:p>
      <w:pPr>
        <w:pStyle w:val="ListParagraph"/>
        <w:numPr>
          <w:ilvl w:val="0"/>
          <w:numId w:val="4"/>
        </w:numPr>
        <w:tabs>
          <w:tab w:pos="2967" w:val="left" w:leader="none"/>
        </w:tabs>
        <w:spacing w:line="240" w:lineRule="auto" w:before="121" w:after="0"/>
        <w:ind w:left="2246" w:right="2236" w:firstLine="0"/>
        <w:jc w:val="both"/>
        <w:rPr>
          <w:sz w:val="20"/>
        </w:rPr>
      </w:pPr>
      <w:r>
        <w:rPr>
          <w:sz w:val="20"/>
        </w:rPr>
        <w:t>An</w:t>
      </w:r>
      <w:r>
        <w:rPr>
          <w:spacing w:val="-2"/>
          <w:sz w:val="20"/>
        </w:rPr>
        <w:t> </w:t>
      </w:r>
      <w:r>
        <w:rPr>
          <w:sz w:val="20"/>
        </w:rPr>
        <w:t>additional €16.3</w:t>
      </w:r>
      <w:r>
        <w:rPr>
          <w:spacing w:val="-2"/>
          <w:sz w:val="20"/>
        </w:rPr>
        <w:t> </w:t>
      </w:r>
      <w:r>
        <w:rPr>
          <w:sz w:val="20"/>
        </w:rPr>
        <w:t>thousand</w:t>
      </w:r>
      <w:r>
        <w:rPr>
          <w:spacing w:val="-2"/>
          <w:sz w:val="20"/>
        </w:rPr>
        <w:t> </w:t>
      </w:r>
      <w:r>
        <w:rPr>
          <w:sz w:val="20"/>
        </w:rPr>
        <w:t>is</w:t>
      </w:r>
      <w:r>
        <w:rPr>
          <w:spacing w:val="-3"/>
          <w:sz w:val="20"/>
        </w:rPr>
        <w:t> </w:t>
      </w:r>
      <w:r>
        <w:rPr>
          <w:sz w:val="20"/>
        </w:rPr>
        <w:t>required</w:t>
      </w:r>
      <w:r>
        <w:rPr>
          <w:spacing w:val="-2"/>
          <w:sz w:val="20"/>
        </w:rPr>
        <w:t> </w:t>
      </w:r>
      <w:r>
        <w:rPr>
          <w:sz w:val="20"/>
        </w:rPr>
        <w:t>in</w:t>
      </w:r>
      <w:r>
        <w:rPr>
          <w:spacing w:val="-2"/>
          <w:sz w:val="20"/>
        </w:rPr>
        <w:t> </w:t>
      </w:r>
      <w:r>
        <w:rPr>
          <w:sz w:val="20"/>
        </w:rPr>
        <w:t>the Division</w:t>
      </w:r>
      <w:r>
        <w:rPr>
          <w:spacing w:val="-2"/>
          <w:sz w:val="20"/>
        </w:rPr>
        <w:t> </w:t>
      </w:r>
      <w:r>
        <w:rPr>
          <w:sz w:val="20"/>
        </w:rPr>
        <w:t>for</w:t>
      </w:r>
      <w:r>
        <w:rPr>
          <w:spacing w:val="-2"/>
          <w:sz w:val="20"/>
        </w:rPr>
        <w:t> </w:t>
      </w:r>
      <w:r>
        <w:rPr>
          <w:sz w:val="20"/>
        </w:rPr>
        <w:t>travel to</w:t>
      </w:r>
      <w:r>
        <w:rPr>
          <w:spacing w:val="-2"/>
          <w:sz w:val="20"/>
        </w:rPr>
        <w:t> </w:t>
      </w:r>
      <w:r>
        <w:rPr>
          <w:sz w:val="20"/>
        </w:rPr>
        <w:t>the session</w:t>
      </w:r>
      <w:r>
        <w:rPr>
          <w:spacing w:val="-2"/>
          <w:sz w:val="20"/>
        </w:rPr>
        <w:t> </w:t>
      </w:r>
      <w:r>
        <w:rPr>
          <w:sz w:val="20"/>
        </w:rPr>
        <w:t>of </w:t>
      </w:r>
      <w:r>
        <w:rPr>
          <w:spacing w:val="-4"/>
          <w:sz w:val="20"/>
        </w:rPr>
        <w:t>the Assembly</w:t>
      </w:r>
      <w:r>
        <w:rPr>
          <w:spacing w:val="-6"/>
          <w:sz w:val="20"/>
        </w:rPr>
        <w:t> </w:t>
      </w:r>
      <w:r>
        <w:rPr>
          <w:spacing w:val="-4"/>
          <w:sz w:val="20"/>
        </w:rPr>
        <w:t>of States Parties</w:t>
      </w:r>
      <w:r>
        <w:rPr>
          <w:spacing w:val="-9"/>
          <w:sz w:val="20"/>
        </w:rPr>
        <w:t> </w:t>
      </w:r>
      <w:r>
        <w:rPr>
          <w:spacing w:val="-4"/>
          <w:sz w:val="20"/>
        </w:rPr>
        <w:t>to</w:t>
      </w:r>
      <w:r>
        <w:rPr>
          <w:spacing w:val="-6"/>
          <w:sz w:val="20"/>
        </w:rPr>
        <w:t> </w:t>
      </w:r>
      <w:r>
        <w:rPr>
          <w:spacing w:val="-4"/>
          <w:sz w:val="20"/>
        </w:rPr>
        <w:t>be held</w:t>
      </w:r>
      <w:r>
        <w:rPr>
          <w:spacing w:val="-6"/>
          <w:sz w:val="20"/>
        </w:rPr>
        <w:t> </w:t>
      </w:r>
      <w:r>
        <w:rPr>
          <w:spacing w:val="-4"/>
          <w:sz w:val="20"/>
        </w:rPr>
        <w:t>in</w:t>
      </w:r>
      <w:r>
        <w:rPr>
          <w:spacing w:val="-6"/>
          <w:sz w:val="20"/>
        </w:rPr>
        <w:t> </w:t>
      </w:r>
      <w:r>
        <w:rPr>
          <w:spacing w:val="-4"/>
          <w:sz w:val="20"/>
        </w:rPr>
        <w:t>New York. The proposed</w:t>
      </w:r>
      <w:r>
        <w:rPr>
          <w:spacing w:val="-6"/>
          <w:sz w:val="20"/>
        </w:rPr>
        <w:t> </w:t>
      </w:r>
      <w:r>
        <w:rPr>
          <w:spacing w:val="-4"/>
          <w:sz w:val="20"/>
        </w:rPr>
        <w:t>amount of</w:t>
      </w:r>
      <w:r>
        <w:rPr>
          <w:spacing w:val="7"/>
          <w:sz w:val="20"/>
        </w:rPr>
        <w:t> </w:t>
      </w:r>
      <w:r>
        <w:rPr>
          <w:spacing w:val="-4"/>
          <w:sz w:val="20"/>
        </w:rPr>
        <w:t>€41.2 thousand </w:t>
      </w:r>
      <w:r>
        <w:rPr>
          <w:sz w:val="20"/>
        </w:rPr>
        <w:t>will</w:t>
      </w:r>
      <w:r>
        <w:rPr>
          <w:spacing w:val="-13"/>
          <w:sz w:val="20"/>
        </w:rPr>
        <w:t> </w:t>
      </w:r>
      <w:r>
        <w:rPr>
          <w:sz w:val="20"/>
        </w:rPr>
        <w:t>cover</w:t>
      </w:r>
      <w:r>
        <w:rPr>
          <w:spacing w:val="-12"/>
          <w:sz w:val="20"/>
        </w:rPr>
        <w:t> </w:t>
      </w:r>
      <w:r>
        <w:rPr>
          <w:sz w:val="20"/>
        </w:rPr>
        <w:t>travel</w:t>
      </w:r>
      <w:r>
        <w:rPr>
          <w:spacing w:val="-13"/>
          <w:sz w:val="20"/>
        </w:rPr>
        <w:t> </w:t>
      </w:r>
      <w:r>
        <w:rPr>
          <w:sz w:val="20"/>
        </w:rPr>
        <w:t>to</w:t>
      </w:r>
      <w:r>
        <w:rPr>
          <w:spacing w:val="-12"/>
          <w:sz w:val="20"/>
        </w:rPr>
        <w:t> </w:t>
      </w:r>
      <w:r>
        <w:rPr>
          <w:sz w:val="20"/>
        </w:rPr>
        <w:t>attend</w:t>
      </w:r>
      <w:r>
        <w:rPr>
          <w:spacing w:val="-13"/>
          <w:sz w:val="20"/>
        </w:rPr>
        <w:t> </w:t>
      </w:r>
      <w:r>
        <w:rPr>
          <w:sz w:val="20"/>
        </w:rPr>
        <w:t>relevant</w:t>
      </w:r>
      <w:r>
        <w:rPr>
          <w:spacing w:val="-12"/>
          <w:sz w:val="20"/>
        </w:rPr>
        <w:t> </w:t>
      </w:r>
      <w:r>
        <w:rPr>
          <w:sz w:val="20"/>
        </w:rPr>
        <w:t>United</w:t>
      </w:r>
      <w:r>
        <w:rPr>
          <w:spacing w:val="-13"/>
          <w:sz w:val="20"/>
        </w:rPr>
        <w:t> </w:t>
      </w:r>
      <w:r>
        <w:rPr>
          <w:sz w:val="20"/>
        </w:rPr>
        <w:t>Nations</w:t>
      </w:r>
      <w:r>
        <w:rPr>
          <w:spacing w:val="-12"/>
          <w:sz w:val="20"/>
        </w:rPr>
        <w:t> </w:t>
      </w:r>
      <w:r>
        <w:rPr>
          <w:sz w:val="20"/>
        </w:rPr>
        <w:t>system</w:t>
      </w:r>
      <w:r>
        <w:rPr>
          <w:spacing w:val="-13"/>
          <w:sz w:val="20"/>
        </w:rPr>
        <w:t> </w:t>
      </w:r>
      <w:r>
        <w:rPr>
          <w:sz w:val="20"/>
        </w:rPr>
        <w:t>conferences</w:t>
      </w:r>
      <w:r>
        <w:rPr>
          <w:spacing w:val="-12"/>
          <w:sz w:val="20"/>
        </w:rPr>
        <w:t> </w:t>
      </w:r>
      <w:r>
        <w:rPr>
          <w:sz w:val="20"/>
        </w:rPr>
        <w:t>on</w:t>
      </w:r>
      <w:r>
        <w:rPr>
          <w:spacing w:val="-13"/>
          <w:sz w:val="20"/>
        </w:rPr>
        <w:t> </w:t>
      </w:r>
      <w:r>
        <w:rPr>
          <w:sz w:val="20"/>
        </w:rPr>
        <w:t>finance</w:t>
      </w:r>
      <w:r>
        <w:rPr>
          <w:spacing w:val="-12"/>
          <w:sz w:val="20"/>
        </w:rPr>
        <w:t> </w:t>
      </w:r>
      <w:r>
        <w:rPr>
          <w:sz w:val="20"/>
        </w:rPr>
        <w:t>(accounting standards/IPSAS, treasury services, etc.) and budget matters, and to attend meetings with relevant</w:t>
      </w:r>
      <w:r>
        <w:rPr>
          <w:spacing w:val="-1"/>
          <w:sz w:val="20"/>
        </w:rPr>
        <w:t> </w:t>
      </w:r>
      <w:r>
        <w:rPr>
          <w:sz w:val="20"/>
        </w:rPr>
        <w:t>UN</w:t>
      </w:r>
      <w:r>
        <w:rPr>
          <w:spacing w:val="-4"/>
          <w:sz w:val="20"/>
        </w:rPr>
        <w:t> </w:t>
      </w:r>
      <w:r>
        <w:rPr>
          <w:sz w:val="20"/>
        </w:rPr>
        <w:t>bodies</w:t>
      </w:r>
      <w:r>
        <w:rPr>
          <w:spacing w:val="-4"/>
          <w:sz w:val="20"/>
        </w:rPr>
        <w:t> </w:t>
      </w:r>
      <w:r>
        <w:rPr>
          <w:sz w:val="20"/>
        </w:rPr>
        <w:t>to</w:t>
      </w:r>
      <w:r>
        <w:rPr>
          <w:spacing w:val="-3"/>
          <w:sz w:val="20"/>
        </w:rPr>
        <w:t> </w:t>
      </w:r>
      <w:r>
        <w:rPr>
          <w:sz w:val="20"/>
        </w:rPr>
        <w:t>keep</w:t>
      </w:r>
      <w:r>
        <w:rPr>
          <w:spacing w:val="-7"/>
          <w:sz w:val="20"/>
        </w:rPr>
        <w:t> </w:t>
      </w:r>
      <w:r>
        <w:rPr>
          <w:sz w:val="20"/>
        </w:rPr>
        <w:t>abreast</w:t>
      </w:r>
      <w:r>
        <w:rPr>
          <w:spacing w:val="-1"/>
          <w:sz w:val="20"/>
        </w:rPr>
        <w:t> </w:t>
      </w:r>
      <w:r>
        <w:rPr>
          <w:sz w:val="20"/>
        </w:rPr>
        <w:t>of</w:t>
      </w:r>
      <w:r>
        <w:rPr>
          <w:spacing w:val="-7"/>
          <w:sz w:val="20"/>
        </w:rPr>
        <w:t> </w:t>
      </w:r>
      <w:r>
        <w:rPr>
          <w:sz w:val="20"/>
        </w:rPr>
        <w:t>the</w:t>
      </w:r>
      <w:r>
        <w:rPr>
          <w:spacing w:val="-6"/>
          <w:sz w:val="20"/>
        </w:rPr>
        <w:t> </w:t>
      </w:r>
      <w:r>
        <w:rPr>
          <w:sz w:val="20"/>
        </w:rPr>
        <w:t>latest</w:t>
      </w:r>
      <w:r>
        <w:rPr>
          <w:spacing w:val="-1"/>
          <w:sz w:val="20"/>
        </w:rPr>
        <w:t> </w:t>
      </w:r>
      <w:r>
        <w:rPr>
          <w:sz w:val="20"/>
        </w:rPr>
        <w:t>inter-agency</w:t>
      </w:r>
      <w:r>
        <w:rPr>
          <w:spacing w:val="-7"/>
          <w:sz w:val="20"/>
        </w:rPr>
        <w:t> </w:t>
      </w:r>
      <w:r>
        <w:rPr>
          <w:sz w:val="20"/>
        </w:rPr>
        <w:t>developments</w:t>
      </w:r>
      <w:r>
        <w:rPr>
          <w:spacing w:val="-4"/>
          <w:sz w:val="20"/>
        </w:rPr>
        <w:t> </w:t>
      </w:r>
      <w:r>
        <w:rPr>
          <w:sz w:val="20"/>
        </w:rPr>
        <w:t>on</w:t>
      </w:r>
      <w:r>
        <w:rPr>
          <w:spacing w:val="-7"/>
          <w:sz w:val="20"/>
        </w:rPr>
        <w:t> </w:t>
      </w:r>
      <w:r>
        <w:rPr>
          <w:sz w:val="20"/>
        </w:rPr>
        <w:t>ERP</w:t>
      </w:r>
      <w:r>
        <w:rPr>
          <w:spacing w:val="-5"/>
          <w:sz w:val="20"/>
        </w:rPr>
        <w:t> </w:t>
      </w:r>
      <w:r>
        <w:rPr>
          <w:sz w:val="20"/>
        </w:rPr>
        <w:t>projects, SAP initiatives and efficiency efforts, which are especially important given the Court’s upcoming</w:t>
      </w:r>
      <w:r>
        <w:rPr>
          <w:spacing w:val="40"/>
          <w:sz w:val="20"/>
        </w:rPr>
        <w:t> </w:t>
      </w:r>
      <w:r>
        <w:rPr>
          <w:sz w:val="20"/>
        </w:rPr>
        <w:t>SAP</w:t>
      </w:r>
      <w:r>
        <w:rPr>
          <w:spacing w:val="40"/>
          <w:sz w:val="20"/>
        </w:rPr>
        <w:t> </w:t>
      </w:r>
      <w:r>
        <w:rPr>
          <w:sz w:val="20"/>
        </w:rPr>
        <w:t>transition</w:t>
      </w:r>
      <w:r>
        <w:rPr>
          <w:spacing w:val="40"/>
          <w:sz w:val="20"/>
        </w:rPr>
        <w:t> </w:t>
      </w:r>
      <w:r>
        <w:rPr>
          <w:sz w:val="20"/>
        </w:rPr>
        <w:t>to</w:t>
      </w:r>
      <w:r>
        <w:rPr>
          <w:spacing w:val="40"/>
          <w:sz w:val="20"/>
        </w:rPr>
        <w:t> </w:t>
      </w:r>
      <w:r>
        <w:rPr>
          <w:sz w:val="20"/>
        </w:rPr>
        <w:t>a</w:t>
      </w:r>
      <w:r>
        <w:rPr>
          <w:spacing w:val="40"/>
          <w:sz w:val="20"/>
        </w:rPr>
        <w:t> </w:t>
      </w:r>
      <w:r>
        <w:rPr>
          <w:sz w:val="20"/>
        </w:rPr>
        <w:t>new</w:t>
      </w:r>
      <w:r>
        <w:rPr>
          <w:spacing w:val="40"/>
          <w:sz w:val="20"/>
        </w:rPr>
        <w:t> </w:t>
      </w:r>
      <w:r>
        <w:rPr>
          <w:sz w:val="20"/>
        </w:rPr>
        <w:t>platform.</w:t>
      </w:r>
      <w:r>
        <w:rPr>
          <w:spacing w:val="40"/>
          <w:sz w:val="20"/>
        </w:rPr>
        <w:t> </w:t>
      </w:r>
      <w:r>
        <w:rPr>
          <w:sz w:val="20"/>
        </w:rPr>
        <w:t>The</w:t>
      </w:r>
      <w:r>
        <w:rPr>
          <w:spacing w:val="40"/>
          <w:sz w:val="20"/>
        </w:rPr>
        <w:t> </w:t>
      </w:r>
      <w:r>
        <w:rPr>
          <w:sz w:val="20"/>
        </w:rPr>
        <w:t>amount</w:t>
      </w:r>
      <w:r>
        <w:rPr>
          <w:spacing w:val="40"/>
          <w:sz w:val="20"/>
        </w:rPr>
        <w:t> </w:t>
      </w:r>
      <w:r>
        <w:rPr>
          <w:sz w:val="20"/>
        </w:rPr>
        <w:t>will</w:t>
      </w:r>
      <w:r>
        <w:rPr>
          <w:spacing w:val="40"/>
          <w:sz w:val="20"/>
        </w:rPr>
        <w:t> </w:t>
      </w:r>
      <w:r>
        <w:rPr>
          <w:sz w:val="20"/>
        </w:rPr>
        <w:t>also</w:t>
      </w:r>
      <w:r>
        <w:rPr>
          <w:spacing w:val="40"/>
          <w:sz w:val="20"/>
        </w:rPr>
        <w:t> </w:t>
      </w:r>
      <w:r>
        <w:rPr>
          <w:sz w:val="20"/>
        </w:rPr>
        <w:t>cover</w:t>
      </w:r>
      <w:r>
        <w:rPr>
          <w:spacing w:val="40"/>
          <w:sz w:val="20"/>
        </w:rPr>
        <w:t> </w:t>
      </w:r>
      <w:r>
        <w:rPr>
          <w:sz w:val="20"/>
        </w:rPr>
        <w:t>human resources-related</w:t>
      </w:r>
      <w:r>
        <w:rPr>
          <w:spacing w:val="-8"/>
          <w:sz w:val="20"/>
        </w:rPr>
        <w:t> </w:t>
      </w:r>
      <w:r>
        <w:rPr>
          <w:sz w:val="20"/>
        </w:rPr>
        <w:t>travel</w:t>
      </w:r>
      <w:r>
        <w:rPr>
          <w:spacing w:val="-7"/>
          <w:sz w:val="20"/>
        </w:rPr>
        <w:t> </w:t>
      </w:r>
      <w:r>
        <w:rPr>
          <w:sz w:val="20"/>
        </w:rPr>
        <w:t>to</w:t>
      </w:r>
      <w:r>
        <w:rPr>
          <w:spacing w:val="-8"/>
          <w:sz w:val="20"/>
        </w:rPr>
        <w:t> </w:t>
      </w:r>
      <w:r>
        <w:rPr>
          <w:sz w:val="20"/>
        </w:rPr>
        <w:t>the</w:t>
      </w:r>
      <w:r>
        <w:rPr>
          <w:spacing w:val="-7"/>
          <w:sz w:val="20"/>
        </w:rPr>
        <w:t> </w:t>
      </w:r>
      <w:r>
        <w:rPr>
          <w:sz w:val="20"/>
        </w:rPr>
        <w:t>field</w:t>
      </w:r>
      <w:r>
        <w:rPr>
          <w:spacing w:val="-8"/>
          <w:sz w:val="20"/>
        </w:rPr>
        <w:t> </w:t>
      </w:r>
      <w:r>
        <w:rPr>
          <w:sz w:val="20"/>
        </w:rPr>
        <w:t>and</w:t>
      </w:r>
      <w:r>
        <w:rPr>
          <w:spacing w:val="-8"/>
          <w:sz w:val="20"/>
        </w:rPr>
        <w:t> </w:t>
      </w:r>
      <w:r>
        <w:rPr>
          <w:sz w:val="20"/>
        </w:rPr>
        <w:t>General</w:t>
      </w:r>
      <w:r>
        <w:rPr>
          <w:spacing w:val="-2"/>
          <w:sz w:val="20"/>
        </w:rPr>
        <w:t> </w:t>
      </w:r>
      <w:r>
        <w:rPr>
          <w:sz w:val="20"/>
        </w:rPr>
        <w:t>Services</w:t>
      </w:r>
      <w:r>
        <w:rPr>
          <w:spacing w:val="-5"/>
          <w:sz w:val="20"/>
        </w:rPr>
        <w:t> </w:t>
      </w:r>
      <w:r>
        <w:rPr>
          <w:sz w:val="20"/>
        </w:rPr>
        <w:t>staff</w:t>
      </w:r>
      <w:r>
        <w:rPr>
          <w:spacing w:val="-4"/>
          <w:sz w:val="20"/>
        </w:rPr>
        <w:t> </w:t>
      </w:r>
      <w:r>
        <w:rPr>
          <w:sz w:val="20"/>
        </w:rPr>
        <w:t>travel</w:t>
      </w:r>
      <w:r>
        <w:rPr>
          <w:spacing w:val="-2"/>
          <w:sz w:val="20"/>
        </w:rPr>
        <w:t> </w:t>
      </w:r>
      <w:r>
        <w:rPr>
          <w:sz w:val="20"/>
        </w:rPr>
        <w:t>to</w:t>
      </w:r>
      <w:r>
        <w:rPr>
          <w:spacing w:val="-4"/>
          <w:sz w:val="20"/>
        </w:rPr>
        <w:t> </w:t>
      </w:r>
      <w:r>
        <w:rPr>
          <w:sz w:val="20"/>
        </w:rPr>
        <w:t>field</w:t>
      </w:r>
      <w:r>
        <w:rPr>
          <w:spacing w:val="-8"/>
          <w:sz w:val="20"/>
        </w:rPr>
        <w:t> </w:t>
      </w:r>
      <w:r>
        <w:rPr>
          <w:sz w:val="20"/>
        </w:rPr>
        <w:t>locations</w:t>
      </w:r>
      <w:r>
        <w:rPr>
          <w:spacing w:val="-5"/>
          <w:sz w:val="20"/>
        </w:rPr>
        <w:t> </w:t>
      </w:r>
      <w:r>
        <w:rPr>
          <w:sz w:val="20"/>
        </w:rPr>
        <w:t>for</w:t>
      </w:r>
      <w:r>
        <w:rPr>
          <w:spacing w:val="-8"/>
          <w:sz w:val="20"/>
        </w:rPr>
        <w:t> </w:t>
      </w:r>
      <w:r>
        <w:rPr>
          <w:sz w:val="20"/>
        </w:rPr>
        <w:t>the physical inventory of the Court’s country office assets and assessment of the maintenance status of facilities and vehicle fleets for the purposes of capital replacement planning</w:t>
      </w:r>
      <w:r>
        <w:rPr>
          <w:spacing w:val="-4"/>
          <w:sz w:val="20"/>
        </w:rPr>
        <w:t> </w:t>
      </w:r>
      <w:r>
        <w:rPr>
          <w:sz w:val="20"/>
        </w:rPr>
        <w:t>and to ensure that vehicles are maintained to standard and used appropriately.</w:t>
      </w:r>
    </w:p>
    <w:p>
      <w:pPr>
        <w:pStyle w:val="BodyText"/>
        <w:spacing w:before="11"/>
      </w:pPr>
    </w:p>
    <w:p>
      <w:pPr>
        <w:tabs>
          <w:tab w:pos="8287" w:val="left" w:leader="none"/>
        </w:tabs>
        <w:spacing w:before="0"/>
        <w:ind w:left="2246" w:right="0" w:firstLine="0"/>
        <w:jc w:val="left"/>
        <w:rPr>
          <w:i/>
          <w:sz w:val="20"/>
        </w:rPr>
      </w:pPr>
      <w:r>
        <w:rPr>
          <w:i/>
          <w:sz w:val="20"/>
        </w:rPr>
        <w:t>Contractual</w:t>
      </w:r>
      <w:r>
        <w:rPr>
          <w:i/>
          <w:spacing w:val="-5"/>
          <w:sz w:val="20"/>
        </w:rPr>
        <w:t> </w:t>
      </w:r>
      <w:r>
        <w:rPr>
          <w:i/>
          <w:spacing w:val="-2"/>
          <w:sz w:val="20"/>
        </w:rPr>
        <w:t>services</w:t>
      </w:r>
      <w:r>
        <w:rPr>
          <w:i/>
          <w:sz w:val="20"/>
        </w:rPr>
        <w:tab/>
        <w:t>€384.1</w:t>
      </w:r>
      <w:r>
        <w:rPr>
          <w:i/>
          <w:spacing w:val="-8"/>
          <w:sz w:val="20"/>
        </w:rPr>
        <w:t> </w:t>
      </w:r>
      <w:r>
        <w:rPr>
          <w:i/>
          <w:spacing w:val="-2"/>
          <w:sz w:val="20"/>
        </w:rPr>
        <w:t>thousand</w:t>
      </w:r>
    </w:p>
    <w:p>
      <w:pPr>
        <w:pStyle w:val="BodyText"/>
        <w:spacing w:before="10"/>
        <w:rPr>
          <w:i/>
        </w:rPr>
      </w:pPr>
    </w:p>
    <w:p>
      <w:pPr>
        <w:pStyle w:val="ListParagraph"/>
        <w:numPr>
          <w:ilvl w:val="0"/>
          <w:numId w:val="4"/>
        </w:numPr>
        <w:tabs>
          <w:tab w:pos="2967" w:val="left" w:leader="none"/>
        </w:tabs>
        <w:spacing w:line="240" w:lineRule="auto" w:before="0" w:after="0"/>
        <w:ind w:left="2246" w:right="2245" w:firstLine="0"/>
        <w:jc w:val="both"/>
        <w:rPr>
          <w:sz w:val="20"/>
        </w:rPr>
      </w:pPr>
      <w:r>
        <w:rPr>
          <w:sz w:val="20"/>
        </w:rPr>
        <w:t>The requested amount has increased by €161.7 thousand (72.7 per cent) in comparison to the level approved for 2022.</w:t>
      </w:r>
    </w:p>
    <w:p>
      <w:pPr>
        <w:pStyle w:val="ListParagraph"/>
        <w:numPr>
          <w:ilvl w:val="0"/>
          <w:numId w:val="4"/>
        </w:numPr>
        <w:tabs>
          <w:tab w:pos="2967" w:val="left" w:leader="none"/>
        </w:tabs>
        <w:spacing w:line="240" w:lineRule="auto" w:before="121" w:after="0"/>
        <w:ind w:left="2246" w:right="2241" w:firstLine="0"/>
        <w:jc w:val="both"/>
        <w:rPr>
          <w:sz w:val="20"/>
        </w:rPr>
      </w:pPr>
      <w:r>
        <w:rPr>
          <w:sz w:val="20"/>
        </w:rPr>
        <w:t>An amount of €100.0 thousand is required to engage external experts to facilitate decision</w:t>
      </w:r>
      <w:r>
        <w:rPr>
          <w:spacing w:val="-12"/>
          <w:sz w:val="20"/>
        </w:rPr>
        <w:t> </w:t>
      </w:r>
      <w:r>
        <w:rPr>
          <w:sz w:val="20"/>
        </w:rPr>
        <w:t>making</w:t>
      </w:r>
      <w:r>
        <w:rPr>
          <w:spacing w:val="-12"/>
          <w:sz w:val="20"/>
        </w:rPr>
        <w:t> </w:t>
      </w:r>
      <w:r>
        <w:rPr>
          <w:sz w:val="20"/>
        </w:rPr>
        <w:t>and</w:t>
      </w:r>
      <w:r>
        <w:rPr>
          <w:spacing w:val="-12"/>
          <w:sz w:val="20"/>
        </w:rPr>
        <w:t> </w:t>
      </w:r>
      <w:r>
        <w:rPr>
          <w:sz w:val="20"/>
        </w:rPr>
        <w:t>assess</w:t>
      </w:r>
      <w:r>
        <w:rPr>
          <w:spacing w:val="-9"/>
          <w:sz w:val="20"/>
        </w:rPr>
        <w:t> </w:t>
      </w:r>
      <w:r>
        <w:rPr>
          <w:sz w:val="20"/>
        </w:rPr>
        <w:t>the</w:t>
      </w:r>
      <w:r>
        <w:rPr>
          <w:spacing w:val="-10"/>
          <w:sz w:val="20"/>
        </w:rPr>
        <w:t> </w:t>
      </w:r>
      <w:r>
        <w:rPr>
          <w:sz w:val="20"/>
        </w:rPr>
        <w:t>transition</w:t>
      </w:r>
      <w:r>
        <w:rPr>
          <w:spacing w:val="-7"/>
          <w:sz w:val="20"/>
        </w:rPr>
        <w:t> </w:t>
      </w:r>
      <w:r>
        <w:rPr>
          <w:sz w:val="20"/>
        </w:rPr>
        <w:t>readiness</w:t>
      </w:r>
      <w:r>
        <w:rPr>
          <w:spacing w:val="-9"/>
          <w:sz w:val="20"/>
        </w:rPr>
        <w:t> </w:t>
      </w:r>
      <w:r>
        <w:rPr>
          <w:sz w:val="20"/>
        </w:rPr>
        <w:t>of</w:t>
      </w:r>
      <w:r>
        <w:rPr>
          <w:spacing w:val="-12"/>
          <w:sz w:val="20"/>
        </w:rPr>
        <w:t> </w:t>
      </w:r>
      <w:r>
        <w:rPr>
          <w:sz w:val="20"/>
        </w:rPr>
        <w:t>the</w:t>
      </w:r>
      <w:r>
        <w:rPr>
          <w:spacing w:val="-10"/>
          <w:sz w:val="20"/>
        </w:rPr>
        <w:t> </w:t>
      </w:r>
      <w:r>
        <w:rPr>
          <w:sz w:val="20"/>
        </w:rPr>
        <w:t>Court’s</w:t>
      </w:r>
      <w:r>
        <w:rPr>
          <w:spacing w:val="-9"/>
          <w:sz w:val="20"/>
        </w:rPr>
        <w:t> </w:t>
      </w:r>
      <w:r>
        <w:rPr>
          <w:sz w:val="20"/>
        </w:rPr>
        <w:t>current</w:t>
      </w:r>
      <w:r>
        <w:rPr>
          <w:spacing w:val="-6"/>
          <w:sz w:val="20"/>
        </w:rPr>
        <w:t> </w:t>
      </w:r>
      <w:r>
        <w:rPr>
          <w:sz w:val="20"/>
        </w:rPr>
        <w:t>SAP</w:t>
      </w:r>
      <w:r>
        <w:rPr>
          <w:spacing w:val="-9"/>
          <w:sz w:val="20"/>
        </w:rPr>
        <w:t> </w:t>
      </w:r>
      <w:r>
        <w:rPr>
          <w:sz w:val="20"/>
        </w:rPr>
        <w:t>landscape</w:t>
      </w:r>
      <w:r>
        <w:rPr>
          <w:spacing w:val="-10"/>
          <w:sz w:val="20"/>
        </w:rPr>
        <w:t> </w:t>
      </w:r>
      <w:r>
        <w:rPr>
          <w:sz w:val="20"/>
        </w:rPr>
        <w:t>and the Court’s deployment options upon transitioning to a new platform, and to support the creation</w:t>
      </w:r>
      <w:r>
        <w:rPr>
          <w:spacing w:val="80"/>
          <w:sz w:val="20"/>
        </w:rPr>
        <w:t> </w:t>
      </w:r>
      <w:r>
        <w:rPr>
          <w:sz w:val="20"/>
        </w:rPr>
        <w:t>of</w:t>
      </w:r>
      <w:r>
        <w:rPr>
          <w:spacing w:val="40"/>
          <w:sz w:val="20"/>
        </w:rPr>
        <w:t> </w:t>
      </w:r>
      <w:r>
        <w:rPr>
          <w:sz w:val="20"/>
        </w:rPr>
        <w:t>a</w:t>
      </w:r>
      <w:r>
        <w:rPr>
          <w:spacing w:val="80"/>
          <w:sz w:val="20"/>
        </w:rPr>
        <w:t> </w:t>
      </w:r>
      <w:r>
        <w:rPr>
          <w:sz w:val="20"/>
        </w:rPr>
        <w:t>Court-specific</w:t>
      </w:r>
      <w:r>
        <w:rPr>
          <w:spacing w:val="40"/>
          <w:sz w:val="20"/>
        </w:rPr>
        <w:t> </w:t>
      </w:r>
      <w:r>
        <w:rPr>
          <w:sz w:val="20"/>
        </w:rPr>
        <w:t>implementation</w:t>
      </w:r>
      <w:r>
        <w:rPr>
          <w:spacing w:val="80"/>
          <w:sz w:val="20"/>
        </w:rPr>
        <w:t> </w:t>
      </w:r>
      <w:r>
        <w:rPr>
          <w:sz w:val="20"/>
        </w:rPr>
        <w:t>road</w:t>
      </w:r>
      <w:r>
        <w:rPr>
          <w:spacing w:val="80"/>
          <w:sz w:val="20"/>
        </w:rPr>
        <w:t> </w:t>
      </w:r>
      <w:r>
        <w:rPr>
          <w:sz w:val="20"/>
        </w:rPr>
        <w:t>map.</w:t>
      </w:r>
      <w:r>
        <w:rPr>
          <w:spacing w:val="40"/>
          <w:sz w:val="20"/>
        </w:rPr>
        <w:t> </w:t>
      </w:r>
      <w:r>
        <w:rPr>
          <w:sz w:val="20"/>
        </w:rPr>
        <w:t>The</w:t>
      </w:r>
      <w:r>
        <w:rPr>
          <w:spacing w:val="80"/>
          <w:sz w:val="20"/>
        </w:rPr>
        <w:t> </w:t>
      </w:r>
      <w:r>
        <w:rPr>
          <w:sz w:val="20"/>
        </w:rPr>
        <w:t>required</w:t>
      </w:r>
      <w:r>
        <w:rPr>
          <w:spacing w:val="40"/>
          <w:sz w:val="20"/>
        </w:rPr>
        <w:t> </w:t>
      </w:r>
      <w:r>
        <w:rPr>
          <w:sz w:val="20"/>
        </w:rPr>
        <w:t>resources</w:t>
      </w:r>
      <w:r>
        <w:rPr>
          <w:spacing w:val="40"/>
          <w:sz w:val="20"/>
        </w:rPr>
        <w:t> </w:t>
      </w:r>
      <w:r>
        <w:rPr>
          <w:sz w:val="20"/>
        </w:rPr>
        <w:t>are </w:t>
      </w:r>
      <w:r>
        <w:rPr>
          <w:spacing w:val="-2"/>
          <w:sz w:val="20"/>
        </w:rPr>
        <w:t>non-recurrent.</w:t>
      </w:r>
    </w:p>
    <w:p>
      <w:pPr>
        <w:pStyle w:val="ListParagraph"/>
        <w:numPr>
          <w:ilvl w:val="0"/>
          <w:numId w:val="4"/>
        </w:numPr>
        <w:tabs>
          <w:tab w:pos="2967" w:val="left" w:leader="none"/>
        </w:tabs>
        <w:spacing w:line="240" w:lineRule="auto" w:before="123" w:after="0"/>
        <w:ind w:left="2246" w:right="2247" w:firstLine="0"/>
        <w:jc w:val="both"/>
        <w:rPr>
          <w:sz w:val="20"/>
        </w:rPr>
      </w:pPr>
      <w:r>
        <w:rPr>
          <w:sz w:val="20"/>
        </w:rPr>
        <w:t>Additional resources</w:t>
      </w:r>
      <w:r>
        <w:rPr>
          <w:spacing w:val="-1"/>
          <w:sz w:val="20"/>
        </w:rPr>
        <w:t> </w:t>
      </w:r>
      <w:r>
        <w:rPr>
          <w:sz w:val="20"/>
        </w:rPr>
        <w:t>corresponding to €70.0</w:t>
      </w:r>
      <w:r>
        <w:rPr>
          <w:spacing w:val="-4"/>
          <w:sz w:val="20"/>
        </w:rPr>
        <w:t> </w:t>
      </w:r>
      <w:r>
        <w:rPr>
          <w:sz w:val="20"/>
        </w:rPr>
        <w:t>thousand are required in GSS</w:t>
      </w:r>
      <w:r>
        <w:rPr>
          <w:spacing w:val="-1"/>
          <w:sz w:val="20"/>
        </w:rPr>
        <w:t> </w:t>
      </w:r>
      <w:r>
        <w:rPr>
          <w:sz w:val="20"/>
        </w:rPr>
        <w:t>to cater for</w:t>
      </w:r>
      <w:r>
        <w:rPr>
          <w:spacing w:val="-2"/>
          <w:sz w:val="20"/>
        </w:rPr>
        <w:t> </w:t>
      </w:r>
      <w:r>
        <w:rPr>
          <w:sz w:val="20"/>
        </w:rPr>
        <w:t>the</w:t>
      </w:r>
      <w:r>
        <w:rPr>
          <w:spacing w:val="-6"/>
          <w:sz w:val="20"/>
        </w:rPr>
        <w:t> </w:t>
      </w:r>
      <w:r>
        <w:rPr>
          <w:sz w:val="20"/>
        </w:rPr>
        <w:t>continuous</w:t>
      </w:r>
      <w:r>
        <w:rPr>
          <w:spacing w:val="-4"/>
          <w:sz w:val="20"/>
        </w:rPr>
        <w:t> </w:t>
      </w:r>
      <w:r>
        <w:rPr>
          <w:sz w:val="20"/>
        </w:rPr>
        <w:t>need</w:t>
      </w:r>
      <w:r>
        <w:rPr>
          <w:spacing w:val="-3"/>
          <w:sz w:val="20"/>
        </w:rPr>
        <w:t> </w:t>
      </w:r>
      <w:r>
        <w:rPr>
          <w:sz w:val="20"/>
        </w:rPr>
        <w:t>for</w:t>
      </w:r>
      <w:r>
        <w:rPr>
          <w:spacing w:val="-7"/>
          <w:sz w:val="20"/>
        </w:rPr>
        <w:t> </w:t>
      </w:r>
      <w:r>
        <w:rPr>
          <w:sz w:val="20"/>
        </w:rPr>
        <w:t>adjustment</w:t>
      </w:r>
      <w:r>
        <w:rPr>
          <w:spacing w:val="-6"/>
          <w:sz w:val="20"/>
        </w:rPr>
        <w:t> </w:t>
      </w:r>
      <w:r>
        <w:rPr>
          <w:sz w:val="20"/>
        </w:rPr>
        <w:t>after</w:t>
      </w:r>
      <w:r>
        <w:rPr>
          <w:spacing w:val="-3"/>
          <w:sz w:val="20"/>
        </w:rPr>
        <w:t> </w:t>
      </w:r>
      <w:r>
        <w:rPr>
          <w:sz w:val="20"/>
        </w:rPr>
        <w:t>the return</w:t>
      </w:r>
      <w:r>
        <w:rPr>
          <w:spacing w:val="-3"/>
          <w:sz w:val="20"/>
        </w:rPr>
        <w:t> </w:t>
      </w:r>
      <w:r>
        <w:rPr>
          <w:sz w:val="20"/>
        </w:rPr>
        <w:t>to</w:t>
      </w:r>
      <w:r>
        <w:rPr>
          <w:spacing w:val="-3"/>
          <w:sz w:val="20"/>
        </w:rPr>
        <w:t> </w:t>
      </w:r>
      <w:r>
        <w:rPr>
          <w:sz w:val="20"/>
        </w:rPr>
        <w:t>the</w:t>
      </w:r>
      <w:r>
        <w:rPr>
          <w:spacing w:val="-6"/>
          <w:sz w:val="20"/>
        </w:rPr>
        <w:t> </w:t>
      </w:r>
      <w:r>
        <w:rPr>
          <w:sz w:val="20"/>
        </w:rPr>
        <w:t>premises</w:t>
      </w:r>
      <w:r>
        <w:rPr>
          <w:spacing w:val="-4"/>
          <w:sz w:val="20"/>
        </w:rPr>
        <w:t> </w:t>
      </w:r>
      <w:r>
        <w:rPr>
          <w:sz w:val="20"/>
        </w:rPr>
        <w:t>and</w:t>
      </w:r>
      <w:r>
        <w:rPr>
          <w:spacing w:val="-3"/>
          <w:sz w:val="20"/>
        </w:rPr>
        <w:t> </w:t>
      </w:r>
      <w:r>
        <w:rPr>
          <w:sz w:val="20"/>
        </w:rPr>
        <w:t>full</w:t>
      </w:r>
      <w:r>
        <w:rPr>
          <w:spacing w:val="-1"/>
          <w:sz w:val="20"/>
        </w:rPr>
        <w:t> </w:t>
      </w:r>
      <w:r>
        <w:rPr>
          <w:sz w:val="20"/>
        </w:rPr>
        <w:t>occupancy</w:t>
      </w:r>
      <w:r>
        <w:rPr>
          <w:spacing w:val="-3"/>
          <w:sz w:val="20"/>
        </w:rPr>
        <w:t> </w:t>
      </w:r>
      <w:r>
        <w:rPr>
          <w:sz w:val="20"/>
        </w:rPr>
        <w:t>of the</w:t>
      </w:r>
      <w:r>
        <w:rPr>
          <w:spacing w:val="-13"/>
          <w:sz w:val="20"/>
        </w:rPr>
        <w:t> </w:t>
      </w:r>
      <w:r>
        <w:rPr>
          <w:sz w:val="20"/>
        </w:rPr>
        <w:t>building,</w:t>
      </w:r>
      <w:r>
        <w:rPr>
          <w:spacing w:val="-12"/>
          <w:sz w:val="20"/>
        </w:rPr>
        <w:t> </w:t>
      </w:r>
      <w:r>
        <w:rPr>
          <w:sz w:val="20"/>
        </w:rPr>
        <w:t>including</w:t>
      </w:r>
      <w:r>
        <w:rPr>
          <w:spacing w:val="-13"/>
          <w:sz w:val="20"/>
        </w:rPr>
        <w:t> </w:t>
      </w:r>
      <w:r>
        <w:rPr>
          <w:sz w:val="20"/>
        </w:rPr>
        <w:t>the</w:t>
      </w:r>
      <w:r>
        <w:rPr>
          <w:spacing w:val="-12"/>
          <w:sz w:val="20"/>
        </w:rPr>
        <w:t> </w:t>
      </w:r>
      <w:r>
        <w:rPr>
          <w:sz w:val="20"/>
        </w:rPr>
        <w:t>provision</w:t>
      </w:r>
      <w:r>
        <w:rPr>
          <w:spacing w:val="-13"/>
          <w:sz w:val="20"/>
        </w:rPr>
        <w:t> </w:t>
      </w:r>
      <w:r>
        <w:rPr>
          <w:sz w:val="20"/>
        </w:rPr>
        <w:t>of</w:t>
      </w:r>
      <w:r>
        <w:rPr>
          <w:spacing w:val="-12"/>
          <w:sz w:val="20"/>
        </w:rPr>
        <w:t> </w:t>
      </w:r>
      <w:r>
        <w:rPr>
          <w:sz w:val="20"/>
        </w:rPr>
        <w:t>logistical</w:t>
      </w:r>
      <w:r>
        <w:rPr>
          <w:spacing w:val="-13"/>
          <w:sz w:val="20"/>
        </w:rPr>
        <w:t> </w:t>
      </w:r>
      <w:r>
        <w:rPr>
          <w:sz w:val="20"/>
        </w:rPr>
        <w:t>support</w:t>
      </w:r>
      <w:r>
        <w:rPr>
          <w:spacing w:val="-12"/>
          <w:sz w:val="20"/>
        </w:rPr>
        <w:t> </w:t>
      </w:r>
      <w:r>
        <w:rPr>
          <w:sz w:val="20"/>
        </w:rPr>
        <w:t>to</w:t>
      </w:r>
      <w:r>
        <w:rPr>
          <w:spacing w:val="-13"/>
          <w:sz w:val="20"/>
        </w:rPr>
        <w:t> </w:t>
      </w:r>
      <w:r>
        <w:rPr>
          <w:sz w:val="20"/>
        </w:rPr>
        <w:t>special</w:t>
      </w:r>
      <w:r>
        <w:rPr>
          <w:spacing w:val="-12"/>
          <w:sz w:val="20"/>
        </w:rPr>
        <w:t> </w:t>
      </w:r>
      <w:r>
        <w:rPr>
          <w:sz w:val="20"/>
        </w:rPr>
        <w:t>activities</w:t>
      </w:r>
      <w:r>
        <w:rPr>
          <w:spacing w:val="-13"/>
          <w:sz w:val="20"/>
        </w:rPr>
        <w:t> </w:t>
      </w:r>
      <w:r>
        <w:rPr>
          <w:sz w:val="20"/>
        </w:rPr>
        <w:t>at</w:t>
      </w:r>
      <w:r>
        <w:rPr>
          <w:spacing w:val="-12"/>
          <w:sz w:val="20"/>
        </w:rPr>
        <w:t> </w:t>
      </w:r>
      <w:r>
        <w:rPr>
          <w:sz w:val="20"/>
        </w:rPr>
        <w:t>Headquarters, and the implementation of office space adaptations in connection with the continued reorganization of the OTP.</w:t>
      </w:r>
    </w:p>
    <w:p>
      <w:pPr>
        <w:pStyle w:val="ListParagraph"/>
        <w:numPr>
          <w:ilvl w:val="0"/>
          <w:numId w:val="4"/>
        </w:numPr>
        <w:tabs>
          <w:tab w:pos="2967" w:val="left" w:leader="none"/>
        </w:tabs>
        <w:spacing w:line="240" w:lineRule="auto" w:before="118" w:after="0"/>
        <w:ind w:left="2246" w:right="2240" w:firstLine="0"/>
        <w:jc w:val="both"/>
        <w:rPr>
          <w:sz w:val="20"/>
        </w:rPr>
      </w:pPr>
      <w:r>
        <w:rPr>
          <w:sz w:val="20"/>
        </w:rPr>
        <w:t>The remaining resources are requested to cover United Nations laissez-passer renewal; building management software maintenance; external printing and postage costs; the annual fee for the formal agreement between the Court and INTERPOL; key-holding services for the residences of elected officials; rental of the shooting range to conduct firearms training and certification; consulting services provided for the STS project, and related debriefing of the Head of OHU and the Staff Counsellor; and the yearly mandatory cost-sharing contribution to the United Nations system network of medical officers, which works</w:t>
      </w:r>
      <w:r>
        <w:rPr>
          <w:spacing w:val="-6"/>
          <w:sz w:val="20"/>
        </w:rPr>
        <w:t> </w:t>
      </w:r>
      <w:r>
        <w:rPr>
          <w:sz w:val="20"/>
        </w:rPr>
        <w:t>on</w:t>
      </w:r>
      <w:r>
        <w:rPr>
          <w:spacing w:val="-9"/>
          <w:sz w:val="20"/>
        </w:rPr>
        <w:t> </w:t>
      </w:r>
      <w:r>
        <w:rPr>
          <w:sz w:val="20"/>
        </w:rPr>
        <w:t>implementing</w:t>
      </w:r>
      <w:r>
        <w:rPr>
          <w:spacing w:val="-9"/>
          <w:sz w:val="20"/>
        </w:rPr>
        <w:t> </w:t>
      </w:r>
      <w:r>
        <w:rPr>
          <w:sz w:val="20"/>
        </w:rPr>
        <w:t>best</w:t>
      </w:r>
      <w:r>
        <w:rPr>
          <w:spacing w:val="-8"/>
          <w:sz w:val="20"/>
        </w:rPr>
        <w:t> </w:t>
      </w:r>
      <w:r>
        <w:rPr>
          <w:sz w:val="20"/>
        </w:rPr>
        <w:t>practices</w:t>
      </w:r>
      <w:r>
        <w:rPr>
          <w:spacing w:val="-10"/>
          <w:sz w:val="20"/>
        </w:rPr>
        <w:t> </w:t>
      </w:r>
      <w:r>
        <w:rPr>
          <w:sz w:val="20"/>
        </w:rPr>
        <w:t>and</w:t>
      </w:r>
      <w:r>
        <w:rPr>
          <w:spacing w:val="-9"/>
          <w:sz w:val="20"/>
        </w:rPr>
        <w:t> </w:t>
      </w:r>
      <w:r>
        <w:rPr>
          <w:sz w:val="20"/>
        </w:rPr>
        <w:t>international</w:t>
      </w:r>
      <w:r>
        <w:rPr>
          <w:spacing w:val="-8"/>
          <w:sz w:val="20"/>
        </w:rPr>
        <w:t> </w:t>
      </w:r>
      <w:r>
        <w:rPr>
          <w:sz w:val="20"/>
        </w:rPr>
        <w:t>guidelines</w:t>
      </w:r>
      <w:r>
        <w:rPr>
          <w:spacing w:val="-6"/>
          <w:sz w:val="20"/>
        </w:rPr>
        <w:t> </w:t>
      </w:r>
      <w:r>
        <w:rPr>
          <w:sz w:val="20"/>
        </w:rPr>
        <w:t>within</w:t>
      </w:r>
      <w:r>
        <w:rPr>
          <w:spacing w:val="-13"/>
          <w:sz w:val="20"/>
        </w:rPr>
        <w:t> </w:t>
      </w:r>
      <w:r>
        <w:rPr>
          <w:sz w:val="20"/>
        </w:rPr>
        <w:t>the</w:t>
      </w:r>
      <w:r>
        <w:rPr>
          <w:spacing w:val="-7"/>
          <w:sz w:val="20"/>
        </w:rPr>
        <w:t> </w:t>
      </w:r>
      <w:r>
        <w:rPr>
          <w:sz w:val="20"/>
        </w:rPr>
        <w:t>United</w:t>
      </w:r>
      <w:r>
        <w:rPr>
          <w:spacing w:val="-5"/>
          <w:sz w:val="20"/>
        </w:rPr>
        <w:t> </w:t>
      </w:r>
      <w:r>
        <w:rPr>
          <w:sz w:val="20"/>
        </w:rPr>
        <w:t>Nations system and its affiliated agencies. These resource requirements are recurrent.</w:t>
      </w:r>
    </w:p>
    <w:p>
      <w:pPr>
        <w:pStyle w:val="BodyText"/>
        <w:spacing w:before="9"/>
      </w:pPr>
    </w:p>
    <w:p>
      <w:pPr>
        <w:tabs>
          <w:tab w:pos="8287" w:val="left" w:leader="none"/>
        </w:tabs>
        <w:spacing w:before="0"/>
        <w:ind w:left="2246" w:right="0" w:firstLine="0"/>
        <w:jc w:val="left"/>
        <w:rPr>
          <w:i/>
          <w:sz w:val="20"/>
        </w:rPr>
      </w:pPr>
      <w:r>
        <w:rPr>
          <w:i/>
          <w:spacing w:val="-2"/>
          <w:sz w:val="20"/>
        </w:rPr>
        <w:t>Training</w:t>
      </w:r>
      <w:r>
        <w:rPr>
          <w:i/>
          <w:sz w:val="20"/>
        </w:rPr>
        <w:tab/>
        <w:t>€331.5</w:t>
      </w:r>
      <w:r>
        <w:rPr>
          <w:i/>
          <w:spacing w:val="-8"/>
          <w:sz w:val="20"/>
        </w:rPr>
        <w:t> </w:t>
      </w:r>
      <w:r>
        <w:rPr>
          <w:i/>
          <w:spacing w:val="-2"/>
          <w:sz w:val="20"/>
        </w:rPr>
        <w:t>thousand</w:t>
      </w:r>
    </w:p>
    <w:p>
      <w:pPr>
        <w:pStyle w:val="BodyText"/>
        <w:spacing w:before="10"/>
        <w:rPr>
          <w:i/>
        </w:rPr>
      </w:pPr>
    </w:p>
    <w:p>
      <w:pPr>
        <w:pStyle w:val="ListParagraph"/>
        <w:numPr>
          <w:ilvl w:val="0"/>
          <w:numId w:val="4"/>
        </w:numPr>
        <w:tabs>
          <w:tab w:pos="2967" w:val="left" w:leader="none"/>
        </w:tabs>
        <w:spacing w:line="240" w:lineRule="auto" w:before="0" w:after="0"/>
        <w:ind w:left="2246" w:right="2241" w:firstLine="0"/>
        <w:jc w:val="both"/>
        <w:rPr>
          <w:sz w:val="20"/>
        </w:rPr>
      </w:pPr>
      <w:r>
        <w:rPr>
          <w:sz w:val="20"/>
        </w:rPr>
        <w:t>The</w:t>
      </w:r>
      <w:r>
        <w:rPr>
          <w:spacing w:val="-10"/>
          <w:sz w:val="20"/>
        </w:rPr>
        <w:t> </w:t>
      </w:r>
      <w:r>
        <w:rPr>
          <w:sz w:val="20"/>
        </w:rPr>
        <w:t>requested</w:t>
      </w:r>
      <w:r>
        <w:rPr>
          <w:spacing w:val="-8"/>
          <w:sz w:val="20"/>
        </w:rPr>
        <w:t> </w:t>
      </w:r>
      <w:r>
        <w:rPr>
          <w:sz w:val="20"/>
        </w:rPr>
        <w:t>amount</w:t>
      </w:r>
      <w:r>
        <w:rPr>
          <w:spacing w:val="-7"/>
          <w:sz w:val="20"/>
        </w:rPr>
        <w:t> </w:t>
      </w:r>
      <w:r>
        <w:rPr>
          <w:sz w:val="20"/>
        </w:rPr>
        <w:t>has</w:t>
      </w:r>
      <w:r>
        <w:rPr>
          <w:spacing w:val="-13"/>
          <w:sz w:val="20"/>
        </w:rPr>
        <w:t> </w:t>
      </w:r>
      <w:r>
        <w:rPr>
          <w:sz w:val="20"/>
        </w:rPr>
        <w:t>increased</w:t>
      </w:r>
      <w:r>
        <w:rPr>
          <w:spacing w:val="-8"/>
          <w:sz w:val="20"/>
        </w:rPr>
        <w:t> </w:t>
      </w:r>
      <w:r>
        <w:rPr>
          <w:sz w:val="20"/>
        </w:rPr>
        <w:t>by</w:t>
      </w:r>
      <w:r>
        <w:rPr>
          <w:spacing w:val="-8"/>
          <w:sz w:val="20"/>
        </w:rPr>
        <w:t> </w:t>
      </w:r>
      <w:r>
        <w:rPr>
          <w:sz w:val="20"/>
        </w:rPr>
        <w:t>€16.8</w:t>
      </w:r>
      <w:r>
        <w:rPr>
          <w:spacing w:val="-13"/>
          <w:sz w:val="20"/>
        </w:rPr>
        <w:t> </w:t>
      </w:r>
      <w:r>
        <w:rPr>
          <w:sz w:val="20"/>
        </w:rPr>
        <w:t>thousand</w:t>
      </w:r>
      <w:r>
        <w:rPr>
          <w:spacing w:val="-8"/>
          <w:sz w:val="20"/>
        </w:rPr>
        <w:t> </w:t>
      </w:r>
      <w:r>
        <w:rPr>
          <w:sz w:val="20"/>
        </w:rPr>
        <w:t>(5.3</w:t>
      </w:r>
      <w:r>
        <w:rPr>
          <w:spacing w:val="-8"/>
          <w:sz w:val="20"/>
        </w:rPr>
        <w:t> </w:t>
      </w:r>
      <w:r>
        <w:rPr>
          <w:sz w:val="20"/>
        </w:rPr>
        <w:t>per</w:t>
      </w:r>
      <w:r>
        <w:rPr>
          <w:spacing w:val="-8"/>
          <w:sz w:val="20"/>
        </w:rPr>
        <w:t> </w:t>
      </w:r>
      <w:r>
        <w:rPr>
          <w:sz w:val="20"/>
        </w:rPr>
        <w:t>cent)</w:t>
      </w:r>
      <w:r>
        <w:rPr>
          <w:spacing w:val="-13"/>
          <w:sz w:val="20"/>
        </w:rPr>
        <w:t> </w:t>
      </w:r>
      <w:r>
        <w:rPr>
          <w:sz w:val="20"/>
        </w:rPr>
        <w:t>in</w:t>
      </w:r>
      <w:r>
        <w:rPr>
          <w:spacing w:val="-8"/>
          <w:sz w:val="20"/>
        </w:rPr>
        <w:t> </w:t>
      </w:r>
      <w:r>
        <w:rPr>
          <w:sz w:val="20"/>
        </w:rPr>
        <w:t>comparison to</w:t>
      </w:r>
      <w:r>
        <w:rPr>
          <w:spacing w:val="-13"/>
          <w:sz w:val="20"/>
        </w:rPr>
        <w:t> </w:t>
      </w:r>
      <w:r>
        <w:rPr>
          <w:sz w:val="20"/>
        </w:rPr>
        <w:t>the</w:t>
      </w:r>
      <w:r>
        <w:rPr>
          <w:spacing w:val="-12"/>
          <w:sz w:val="20"/>
        </w:rPr>
        <w:t> </w:t>
      </w:r>
      <w:r>
        <w:rPr>
          <w:sz w:val="20"/>
        </w:rPr>
        <w:t>approved</w:t>
      </w:r>
      <w:r>
        <w:rPr>
          <w:spacing w:val="-13"/>
          <w:sz w:val="20"/>
        </w:rPr>
        <w:t> </w:t>
      </w:r>
      <w:r>
        <w:rPr>
          <w:sz w:val="20"/>
        </w:rPr>
        <w:t>budget</w:t>
      </w:r>
      <w:r>
        <w:rPr>
          <w:spacing w:val="-12"/>
          <w:sz w:val="20"/>
        </w:rPr>
        <w:t> </w:t>
      </w:r>
      <w:r>
        <w:rPr>
          <w:sz w:val="20"/>
        </w:rPr>
        <w:t>for</w:t>
      </w:r>
      <w:r>
        <w:rPr>
          <w:spacing w:val="-13"/>
          <w:sz w:val="20"/>
        </w:rPr>
        <w:t> </w:t>
      </w:r>
      <w:r>
        <w:rPr>
          <w:sz w:val="20"/>
        </w:rPr>
        <w:t>2022.</w:t>
      </w:r>
      <w:r>
        <w:rPr>
          <w:spacing w:val="-12"/>
          <w:sz w:val="20"/>
        </w:rPr>
        <w:t> </w:t>
      </w:r>
      <w:r>
        <w:rPr>
          <w:sz w:val="20"/>
        </w:rPr>
        <w:t>The</w:t>
      </w:r>
      <w:r>
        <w:rPr>
          <w:spacing w:val="-13"/>
          <w:sz w:val="20"/>
        </w:rPr>
        <w:t> </w:t>
      </w:r>
      <w:r>
        <w:rPr>
          <w:sz w:val="20"/>
        </w:rPr>
        <w:t>resources</w:t>
      </w:r>
      <w:r>
        <w:rPr>
          <w:spacing w:val="-12"/>
          <w:sz w:val="20"/>
        </w:rPr>
        <w:t> </w:t>
      </w:r>
      <w:r>
        <w:rPr>
          <w:sz w:val="20"/>
        </w:rPr>
        <w:t>requested</w:t>
      </w:r>
      <w:r>
        <w:rPr>
          <w:spacing w:val="-8"/>
          <w:sz w:val="20"/>
        </w:rPr>
        <w:t> </w:t>
      </w:r>
      <w:r>
        <w:rPr>
          <w:sz w:val="20"/>
        </w:rPr>
        <w:t>show</w:t>
      </w:r>
      <w:r>
        <w:rPr>
          <w:spacing w:val="-10"/>
          <w:sz w:val="20"/>
        </w:rPr>
        <w:t> </w:t>
      </w:r>
      <w:r>
        <w:rPr>
          <w:sz w:val="20"/>
        </w:rPr>
        <w:t>a</w:t>
      </w:r>
      <w:r>
        <w:rPr>
          <w:spacing w:val="-11"/>
          <w:sz w:val="20"/>
        </w:rPr>
        <w:t> </w:t>
      </w:r>
      <w:r>
        <w:rPr>
          <w:sz w:val="20"/>
        </w:rPr>
        <w:t>reduction</w:t>
      </w:r>
      <w:r>
        <w:rPr>
          <w:spacing w:val="-13"/>
          <w:sz w:val="20"/>
        </w:rPr>
        <w:t> </w:t>
      </w:r>
      <w:r>
        <w:rPr>
          <w:sz w:val="20"/>
        </w:rPr>
        <w:t>of</w:t>
      </w:r>
      <w:r>
        <w:rPr>
          <w:spacing w:val="-12"/>
          <w:sz w:val="20"/>
        </w:rPr>
        <w:t> </w:t>
      </w:r>
      <w:r>
        <w:rPr>
          <w:sz w:val="20"/>
        </w:rPr>
        <w:t>€49.6</w:t>
      </w:r>
      <w:r>
        <w:rPr>
          <w:spacing w:val="-13"/>
          <w:sz w:val="20"/>
        </w:rPr>
        <w:t> </w:t>
      </w:r>
      <w:r>
        <w:rPr>
          <w:sz w:val="20"/>
        </w:rPr>
        <w:t>thousand in</w:t>
      </w:r>
      <w:r>
        <w:rPr>
          <w:spacing w:val="-13"/>
          <w:sz w:val="20"/>
        </w:rPr>
        <w:t> </w:t>
      </w:r>
      <w:r>
        <w:rPr>
          <w:sz w:val="20"/>
        </w:rPr>
        <w:t>comparison</w:t>
      </w:r>
      <w:r>
        <w:rPr>
          <w:spacing w:val="-12"/>
          <w:sz w:val="20"/>
        </w:rPr>
        <w:t> </w:t>
      </w:r>
      <w:r>
        <w:rPr>
          <w:sz w:val="20"/>
        </w:rPr>
        <w:t>to</w:t>
      </w:r>
      <w:r>
        <w:rPr>
          <w:spacing w:val="-13"/>
          <w:sz w:val="20"/>
        </w:rPr>
        <w:t> </w:t>
      </w:r>
      <w:r>
        <w:rPr>
          <w:sz w:val="20"/>
        </w:rPr>
        <w:t>the</w:t>
      </w:r>
      <w:r>
        <w:rPr>
          <w:spacing w:val="-12"/>
          <w:sz w:val="20"/>
        </w:rPr>
        <w:t> </w:t>
      </w:r>
      <w:r>
        <w:rPr>
          <w:sz w:val="20"/>
        </w:rPr>
        <w:t>2021</w:t>
      </w:r>
      <w:r>
        <w:rPr>
          <w:spacing w:val="-13"/>
          <w:sz w:val="20"/>
        </w:rPr>
        <w:t> </w:t>
      </w:r>
      <w:r>
        <w:rPr>
          <w:sz w:val="20"/>
        </w:rPr>
        <w:t>level,</w:t>
      </w:r>
      <w:r>
        <w:rPr>
          <w:spacing w:val="-12"/>
          <w:sz w:val="20"/>
        </w:rPr>
        <w:t> </w:t>
      </w:r>
      <w:r>
        <w:rPr>
          <w:sz w:val="20"/>
        </w:rPr>
        <w:t>which</w:t>
      </w:r>
      <w:r>
        <w:rPr>
          <w:spacing w:val="-13"/>
          <w:sz w:val="20"/>
        </w:rPr>
        <w:t> </w:t>
      </w:r>
      <w:r>
        <w:rPr>
          <w:sz w:val="20"/>
        </w:rPr>
        <w:t>is</w:t>
      </w:r>
      <w:r>
        <w:rPr>
          <w:spacing w:val="-12"/>
          <w:sz w:val="20"/>
        </w:rPr>
        <w:t> </w:t>
      </w:r>
      <w:r>
        <w:rPr>
          <w:sz w:val="20"/>
        </w:rPr>
        <w:t>due</w:t>
      </w:r>
      <w:r>
        <w:rPr>
          <w:spacing w:val="-13"/>
          <w:sz w:val="20"/>
        </w:rPr>
        <w:t> </w:t>
      </w:r>
      <w:r>
        <w:rPr>
          <w:sz w:val="20"/>
        </w:rPr>
        <w:t>to</w:t>
      </w:r>
      <w:r>
        <w:rPr>
          <w:spacing w:val="-12"/>
          <w:sz w:val="20"/>
        </w:rPr>
        <w:t> </w:t>
      </w:r>
      <w:r>
        <w:rPr>
          <w:sz w:val="20"/>
        </w:rPr>
        <w:t>a</w:t>
      </w:r>
      <w:r>
        <w:rPr>
          <w:spacing w:val="-13"/>
          <w:sz w:val="20"/>
        </w:rPr>
        <w:t> </w:t>
      </w:r>
      <w:r>
        <w:rPr>
          <w:sz w:val="20"/>
        </w:rPr>
        <w:t>more</w:t>
      </w:r>
      <w:r>
        <w:rPr>
          <w:spacing w:val="-12"/>
          <w:sz w:val="20"/>
        </w:rPr>
        <w:t> </w:t>
      </w:r>
      <w:r>
        <w:rPr>
          <w:sz w:val="20"/>
        </w:rPr>
        <w:t>efficient</w:t>
      </w:r>
      <w:r>
        <w:rPr>
          <w:spacing w:val="-13"/>
          <w:sz w:val="20"/>
        </w:rPr>
        <w:t> </w:t>
      </w:r>
      <w:r>
        <w:rPr>
          <w:sz w:val="20"/>
        </w:rPr>
        <w:t>approach</w:t>
      </w:r>
      <w:r>
        <w:rPr>
          <w:spacing w:val="-12"/>
          <w:sz w:val="20"/>
        </w:rPr>
        <w:t> </w:t>
      </w:r>
      <w:r>
        <w:rPr>
          <w:sz w:val="20"/>
        </w:rPr>
        <w:t>to</w:t>
      </w:r>
      <w:r>
        <w:rPr>
          <w:spacing w:val="-13"/>
          <w:sz w:val="20"/>
        </w:rPr>
        <w:t> </w:t>
      </w:r>
      <w:r>
        <w:rPr>
          <w:sz w:val="20"/>
        </w:rPr>
        <w:t>training</w:t>
      </w:r>
      <w:r>
        <w:rPr>
          <w:spacing w:val="-12"/>
          <w:sz w:val="20"/>
        </w:rPr>
        <w:t> </w:t>
      </w:r>
      <w:r>
        <w:rPr>
          <w:sz w:val="20"/>
        </w:rPr>
        <w:t>whereby the</w:t>
      </w:r>
      <w:r>
        <w:rPr>
          <w:spacing w:val="-8"/>
          <w:sz w:val="20"/>
        </w:rPr>
        <w:t> </w:t>
      </w:r>
      <w:r>
        <w:rPr>
          <w:sz w:val="20"/>
        </w:rPr>
        <w:t>majority</w:t>
      </w:r>
      <w:r>
        <w:rPr>
          <w:spacing w:val="-8"/>
          <w:sz w:val="20"/>
        </w:rPr>
        <w:t> </w:t>
      </w:r>
      <w:r>
        <w:rPr>
          <w:sz w:val="20"/>
        </w:rPr>
        <w:t>of</w:t>
      </w:r>
      <w:r>
        <w:rPr>
          <w:spacing w:val="-8"/>
          <w:sz w:val="20"/>
        </w:rPr>
        <w:t> </w:t>
      </w:r>
      <w:r>
        <w:rPr>
          <w:sz w:val="20"/>
        </w:rPr>
        <w:t>the</w:t>
      </w:r>
      <w:r>
        <w:rPr>
          <w:spacing w:val="-7"/>
          <w:sz w:val="20"/>
        </w:rPr>
        <w:t> </w:t>
      </w:r>
      <w:r>
        <w:rPr>
          <w:sz w:val="20"/>
        </w:rPr>
        <w:t>Court’s</w:t>
      </w:r>
      <w:r>
        <w:rPr>
          <w:spacing w:val="-10"/>
          <w:sz w:val="20"/>
        </w:rPr>
        <w:t> </w:t>
      </w:r>
      <w:r>
        <w:rPr>
          <w:sz w:val="20"/>
        </w:rPr>
        <w:t>corporate</w:t>
      </w:r>
      <w:r>
        <w:rPr>
          <w:spacing w:val="-7"/>
          <w:sz w:val="20"/>
        </w:rPr>
        <w:t> </w:t>
      </w:r>
      <w:r>
        <w:rPr>
          <w:sz w:val="20"/>
        </w:rPr>
        <w:t>training</w:t>
      </w:r>
      <w:r>
        <w:rPr>
          <w:spacing w:val="-8"/>
          <w:sz w:val="20"/>
        </w:rPr>
        <w:t> </w:t>
      </w:r>
      <w:r>
        <w:rPr>
          <w:sz w:val="20"/>
        </w:rPr>
        <w:t>and</w:t>
      </w:r>
      <w:r>
        <w:rPr>
          <w:spacing w:val="-8"/>
          <w:sz w:val="20"/>
        </w:rPr>
        <w:t> </w:t>
      </w:r>
      <w:r>
        <w:rPr>
          <w:sz w:val="20"/>
        </w:rPr>
        <w:t>knowledge-sharing</w:t>
      </w:r>
      <w:r>
        <w:rPr>
          <w:spacing w:val="-13"/>
          <w:sz w:val="20"/>
        </w:rPr>
        <w:t> </w:t>
      </w:r>
      <w:r>
        <w:rPr>
          <w:sz w:val="20"/>
        </w:rPr>
        <w:t>is</w:t>
      </w:r>
      <w:r>
        <w:rPr>
          <w:spacing w:val="-5"/>
          <w:sz w:val="20"/>
        </w:rPr>
        <w:t> </w:t>
      </w:r>
      <w:r>
        <w:rPr>
          <w:sz w:val="20"/>
        </w:rPr>
        <w:t>provided</w:t>
      </w:r>
      <w:r>
        <w:rPr>
          <w:spacing w:val="-8"/>
          <w:sz w:val="20"/>
        </w:rPr>
        <w:t> </w:t>
      </w:r>
      <w:r>
        <w:rPr>
          <w:sz w:val="20"/>
        </w:rPr>
        <w:t>online.</w:t>
      </w:r>
      <w:r>
        <w:rPr>
          <w:spacing w:val="-6"/>
          <w:sz w:val="20"/>
        </w:rPr>
        <w:t> </w:t>
      </w:r>
      <w:r>
        <w:rPr>
          <w:sz w:val="20"/>
        </w:rPr>
        <w:t>The Court’s</w:t>
      </w:r>
      <w:r>
        <w:rPr>
          <w:spacing w:val="-10"/>
          <w:sz w:val="20"/>
        </w:rPr>
        <w:t> </w:t>
      </w:r>
      <w:r>
        <w:rPr>
          <w:sz w:val="20"/>
        </w:rPr>
        <w:t>online</w:t>
      </w:r>
      <w:r>
        <w:rPr>
          <w:spacing w:val="-7"/>
          <w:sz w:val="20"/>
        </w:rPr>
        <w:t> </w:t>
      </w:r>
      <w:r>
        <w:rPr>
          <w:sz w:val="20"/>
        </w:rPr>
        <w:t>learning</w:t>
      </w:r>
      <w:r>
        <w:rPr>
          <w:spacing w:val="-8"/>
          <w:sz w:val="20"/>
        </w:rPr>
        <w:t> </w:t>
      </w:r>
      <w:r>
        <w:rPr>
          <w:sz w:val="20"/>
        </w:rPr>
        <w:t>platform</w:t>
      </w:r>
      <w:r>
        <w:rPr>
          <w:spacing w:val="-2"/>
          <w:sz w:val="20"/>
        </w:rPr>
        <w:t> </w:t>
      </w:r>
      <w:r>
        <w:rPr>
          <w:sz w:val="20"/>
        </w:rPr>
        <w:t>offers</w:t>
      </w:r>
      <w:r>
        <w:rPr>
          <w:spacing w:val="-10"/>
          <w:sz w:val="20"/>
        </w:rPr>
        <w:t> </w:t>
      </w:r>
      <w:r>
        <w:rPr>
          <w:sz w:val="20"/>
        </w:rPr>
        <w:t>a</w:t>
      </w:r>
      <w:r>
        <w:rPr>
          <w:spacing w:val="-7"/>
          <w:sz w:val="20"/>
        </w:rPr>
        <w:t> </w:t>
      </w:r>
      <w:r>
        <w:rPr>
          <w:sz w:val="20"/>
        </w:rPr>
        <w:t>library</w:t>
      </w:r>
      <w:r>
        <w:rPr>
          <w:spacing w:val="-4"/>
          <w:sz w:val="20"/>
        </w:rPr>
        <w:t> </w:t>
      </w:r>
      <w:r>
        <w:rPr>
          <w:sz w:val="20"/>
        </w:rPr>
        <w:t>of</w:t>
      </w:r>
      <w:r>
        <w:rPr>
          <w:spacing w:val="-8"/>
          <w:sz w:val="20"/>
        </w:rPr>
        <w:t> </w:t>
      </w:r>
      <w:r>
        <w:rPr>
          <w:sz w:val="20"/>
        </w:rPr>
        <w:t>flexible,</w:t>
      </w:r>
      <w:r>
        <w:rPr>
          <w:spacing w:val="-6"/>
          <w:sz w:val="20"/>
        </w:rPr>
        <w:t> </w:t>
      </w:r>
      <w:r>
        <w:rPr>
          <w:sz w:val="20"/>
        </w:rPr>
        <w:t>cost-effective</w:t>
      </w:r>
      <w:r>
        <w:rPr>
          <w:spacing w:val="-7"/>
          <w:sz w:val="20"/>
        </w:rPr>
        <w:t> </w:t>
      </w:r>
      <w:r>
        <w:rPr>
          <w:sz w:val="20"/>
        </w:rPr>
        <w:t>tutorials</w:t>
      </w:r>
      <w:r>
        <w:rPr>
          <w:spacing w:val="-10"/>
          <w:sz w:val="20"/>
        </w:rPr>
        <w:t> </w:t>
      </w:r>
      <w:r>
        <w:rPr>
          <w:sz w:val="20"/>
        </w:rPr>
        <w:t>in</w:t>
      </w:r>
      <w:r>
        <w:rPr>
          <w:spacing w:val="-8"/>
          <w:sz w:val="20"/>
        </w:rPr>
        <w:t> </w:t>
      </w:r>
      <w:r>
        <w:rPr>
          <w:sz w:val="20"/>
        </w:rPr>
        <w:t>several languages on personal and professional goal achievement and performance management. It also includes language courses and the Court’s onboarding programme for new staff.</w:t>
      </w:r>
    </w:p>
    <w:p>
      <w:pPr>
        <w:pStyle w:val="ListParagraph"/>
        <w:numPr>
          <w:ilvl w:val="0"/>
          <w:numId w:val="4"/>
        </w:numPr>
        <w:tabs>
          <w:tab w:pos="2967" w:val="left" w:leader="none"/>
        </w:tabs>
        <w:spacing w:line="240" w:lineRule="auto" w:before="124" w:after="0"/>
        <w:ind w:left="2246" w:right="2235" w:firstLine="0"/>
        <w:jc w:val="both"/>
        <w:rPr>
          <w:sz w:val="20"/>
        </w:rPr>
      </w:pPr>
      <w:r>
        <w:rPr>
          <w:sz w:val="20"/>
        </w:rPr>
        <w:t>The</w:t>
      </w:r>
      <w:r>
        <w:rPr>
          <w:spacing w:val="-3"/>
          <w:sz w:val="20"/>
        </w:rPr>
        <w:t> </w:t>
      </w:r>
      <w:r>
        <w:rPr>
          <w:sz w:val="20"/>
        </w:rPr>
        <w:t>increase</w:t>
      </w:r>
      <w:r>
        <w:rPr>
          <w:spacing w:val="-8"/>
          <w:sz w:val="20"/>
        </w:rPr>
        <w:t> </w:t>
      </w:r>
      <w:r>
        <w:rPr>
          <w:sz w:val="20"/>
        </w:rPr>
        <w:t>is</w:t>
      </w:r>
      <w:r>
        <w:rPr>
          <w:spacing w:val="-2"/>
          <w:sz w:val="20"/>
        </w:rPr>
        <w:t> </w:t>
      </w:r>
      <w:r>
        <w:rPr>
          <w:sz w:val="20"/>
        </w:rPr>
        <w:t>attributed</w:t>
      </w:r>
      <w:r>
        <w:rPr>
          <w:spacing w:val="-5"/>
          <w:sz w:val="20"/>
        </w:rPr>
        <w:t> </w:t>
      </w:r>
      <w:r>
        <w:rPr>
          <w:sz w:val="20"/>
        </w:rPr>
        <w:t>to</w:t>
      </w:r>
      <w:r>
        <w:rPr>
          <w:spacing w:val="-5"/>
          <w:sz w:val="20"/>
        </w:rPr>
        <w:t> </w:t>
      </w:r>
      <w:r>
        <w:rPr>
          <w:sz w:val="20"/>
        </w:rPr>
        <w:t>additional requirements</w:t>
      </w:r>
      <w:r>
        <w:rPr>
          <w:spacing w:val="-6"/>
          <w:sz w:val="20"/>
        </w:rPr>
        <w:t> </w:t>
      </w:r>
      <w:r>
        <w:rPr>
          <w:sz w:val="20"/>
        </w:rPr>
        <w:t>in</w:t>
      </w:r>
      <w:r>
        <w:rPr>
          <w:spacing w:val="-5"/>
          <w:sz w:val="20"/>
        </w:rPr>
        <w:t> </w:t>
      </w:r>
      <w:r>
        <w:rPr>
          <w:sz w:val="20"/>
        </w:rPr>
        <w:t>GSS</w:t>
      </w:r>
      <w:r>
        <w:rPr>
          <w:spacing w:val="-2"/>
          <w:sz w:val="20"/>
        </w:rPr>
        <w:t> </w:t>
      </w:r>
      <w:r>
        <w:rPr>
          <w:sz w:val="20"/>
        </w:rPr>
        <w:t>in the</w:t>
      </w:r>
      <w:r>
        <w:rPr>
          <w:spacing w:val="-3"/>
          <w:sz w:val="20"/>
        </w:rPr>
        <w:t> </w:t>
      </w:r>
      <w:r>
        <w:rPr>
          <w:sz w:val="20"/>
        </w:rPr>
        <w:t>amount of €17.7 thousand for training in UN contracts and supplier relations, and the UN Leadership for Programme</w:t>
      </w:r>
      <w:r>
        <w:rPr>
          <w:spacing w:val="-13"/>
          <w:sz w:val="20"/>
        </w:rPr>
        <w:t> </w:t>
      </w:r>
      <w:r>
        <w:rPr>
          <w:sz w:val="20"/>
        </w:rPr>
        <w:t>Support</w:t>
      </w:r>
      <w:r>
        <w:rPr>
          <w:spacing w:val="-12"/>
          <w:sz w:val="20"/>
        </w:rPr>
        <w:t> </w:t>
      </w:r>
      <w:r>
        <w:rPr>
          <w:sz w:val="20"/>
        </w:rPr>
        <w:t>and</w:t>
      </w:r>
      <w:r>
        <w:rPr>
          <w:spacing w:val="-13"/>
          <w:sz w:val="20"/>
        </w:rPr>
        <w:t> </w:t>
      </w:r>
      <w:r>
        <w:rPr>
          <w:sz w:val="20"/>
        </w:rPr>
        <w:t>Administrative</w:t>
      </w:r>
      <w:r>
        <w:rPr>
          <w:spacing w:val="-12"/>
          <w:sz w:val="20"/>
        </w:rPr>
        <w:t> </w:t>
      </w:r>
      <w:r>
        <w:rPr>
          <w:sz w:val="20"/>
        </w:rPr>
        <w:t>Services.</w:t>
      </w:r>
      <w:r>
        <w:rPr>
          <w:spacing w:val="-13"/>
          <w:sz w:val="20"/>
        </w:rPr>
        <w:t> </w:t>
      </w:r>
      <w:r>
        <w:rPr>
          <w:sz w:val="20"/>
        </w:rPr>
        <w:t>This</w:t>
      </w:r>
      <w:r>
        <w:rPr>
          <w:spacing w:val="-12"/>
          <w:sz w:val="20"/>
        </w:rPr>
        <w:t> </w:t>
      </w:r>
      <w:r>
        <w:rPr>
          <w:sz w:val="20"/>
        </w:rPr>
        <w:t>training</w:t>
      </w:r>
      <w:r>
        <w:rPr>
          <w:spacing w:val="-13"/>
          <w:sz w:val="20"/>
        </w:rPr>
        <w:t> </w:t>
      </w:r>
      <w:r>
        <w:rPr>
          <w:sz w:val="20"/>
        </w:rPr>
        <w:t>is</w:t>
      </w:r>
      <w:r>
        <w:rPr>
          <w:spacing w:val="-12"/>
          <w:sz w:val="20"/>
        </w:rPr>
        <w:t> </w:t>
      </w:r>
      <w:r>
        <w:rPr>
          <w:sz w:val="20"/>
        </w:rPr>
        <w:t>required</w:t>
      </w:r>
      <w:r>
        <w:rPr>
          <w:spacing w:val="-13"/>
          <w:sz w:val="20"/>
        </w:rPr>
        <w:t> </w:t>
      </w:r>
      <w:r>
        <w:rPr>
          <w:sz w:val="20"/>
        </w:rPr>
        <w:t>in</w:t>
      </w:r>
      <w:r>
        <w:rPr>
          <w:spacing w:val="-12"/>
          <w:sz w:val="20"/>
        </w:rPr>
        <w:t> </w:t>
      </w:r>
      <w:r>
        <w:rPr>
          <w:sz w:val="20"/>
        </w:rPr>
        <w:t>connection</w:t>
      </w:r>
      <w:r>
        <w:rPr>
          <w:spacing w:val="-13"/>
          <w:sz w:val="20"/>
        </w:rPr>
        <w:t> </w:t>
      </w:r>
      <w:r>
        <w:rPr>
          <w:sz w:val="20"/>
        </w:rPr>
        <w:t>with the</w:t>
      </w:r>
      <w:r>
        <w:rPr>
          <w:spacing w:val="-13"/>
          <w:sz w:val="20"/>
        </w:rPr>
        <w:t> </w:t>
      </w:r>
      <w:r>
        <w:rPr>
          <w:sz w:val="20"/>
        </w:rPr>
        <w:t>implementation</w:t>
      </w:r>
      <w:r>
        <w:rPr>
          <w:spacing w:val="-12"/>
          <w:sz w:val="20"/>
        </w:rPr>
        <w:t> </w:t>
      </w:r>
      <w:r>
        <w:rPr>
          <w:sz w:val="20"/>
        </w:rPr>
        <w:t>of</w:t>
      </w:r>
      <w:r>
        <w:rPr>
          <w:spacing w:val="-13"/>
          <w:sz w:val="20"/>
        </w:rPr>
        <w:t> </w:t>
      </w:r>
      <w:r>
        <w:rPr>
          <w:sz w:val="20"/>
        </w:rPr>
        <w:t>Registry’s</w:t>
      </w:r>
      <w:r>
        <w:rPr>
          <w:spacing w:val="-12"/>
          <w:sz w:val="20"/>
        </w:rPr>
        <w:t> </w:t>
      </w:r>
      <w:r>
        <w:rPr>
          <w:sz w:val="20"/>
        </w:rPr>
        <w:t>Strategic</w:t>
      </w:r>
      <w:r>
        <w:rPr>
          <w:spacing w:val="-13"/>
          <w:sz w:val="20"/>
        </w:rPr>
        <w:t> </w:t>
      </w:r>
      <w:r>
        <w:rPr>
          <w:sz w:val="20"/>
        </w:rPr>
        <w:t>Plan</w:t>
      </w:r>
      <w:r>
        <w:rPr>
          <w:spacing w:val="-12"/>
          <w:sz w:val="20"/>
        </w:rPr>
        <w:t> </w:t>
      </w:r>
      <w:r>
        <w:rPr>
          <w:sz w:val="20"/>
        </w:rPr>
        <w:t>in</w:t>
      </w:r>
      <w:r>
        <w:rPr>
          <w:spacing w:val="-13"/>
          <w:sz w:val="20"/>
        </w:rPr>
        <w:t> </w:t>
      </w:r>
      <w:r>
        <w:rPr>
          <w:sz w:val="20"/>
        </w:rPr>
        <w:t>compliance</w:t>
      </w:r>
      <w:r>
        <w:rPr>
          <w:spacing w:val="-12"/>
          <w:sz w:val="20"/>
        </w:rPr>
        <w:t> </w:t>
      </w:r>
      <w:r>
        <w:rPr>
          <w:sz w:val="20"/>
        </w:rPr>
        <w:t>with</w:t>
      </w:r>
      <w:r>
        <w:rPr>
          <w:spacing w:val="-13"/>
          <w:sz w:val="20"/>
        </w:rPr>
        <w:t> </w:t>
      </w:r>
      <w:r>
        <w:rPr>
          <w:sz w:val="20"/>
        </w:rPr>
        <w:t>the</w:t>
      </w:r>
      <w:r>
        <w:rPr>
          <w:spacing w:val="-12"/>
          <w:sz w:val="20"/>
        </w:rPr>
        <w:t> </w:t>
      </w:r>
      <w:r>
        <w:rPr>
          <w:sz w:val="20"/>
        </w:rPr>
        <w:t>external</w:t>
      </w:r>
      <w:r>
        <w:rPr>
          <w:spacing w:val="-13"/>
          <w:sz w:val="20"/>
        </w:rPr>
        <w:t> </w:t>
      </w:r>
      <w:r>
        <w:rPr>
          <w:sz w:val="20"/>
        </w:rPr>
        <w:t>expert</w:t>
      </w:r>
      <w:r>
        <w:rPr>
          <w:spacing w:val="-12"/>
          <w:sz w:val="20"/>
        </w:rPr>
        <w:t> </w:t>
      </w:r>
      <w:r>
        <w:rPr>
          <w:sz w:val="20"/>
        </w:rPr>
        <w:t>review and recommendations on the procurement process.</w:t>
      </w:r>
    </w:p>
    <w:p>
      <w:pPr>
        <w:pStyle w:val="ListParagraph"/>
        <w:numPr>
          <w:ilvl w:val="0"/>
          <w:numId w:val="4"/>
        </w:numPr>
        <w:tabs>
          <w:tab w:pos="2967" w:val="left" w:leader="none"/>
        </w:tabs>
        <w:spacing w:line="240" w:lineRule="auto" w:before="118" w:after="0"/>
        <w:ind w:left="2246" w:right="2239" w:firstLine="0"/>
        <w:jc w:val="both"/>
        <w:rPr>
          <w:sz w:val="20"/>
        </w:rPr>
      </w:pPr>
      <w:r>
        <w:rPr>
          <w:sz w:val="20"/>
        </w:rPr>
        <w:t>For Human Resources, an amount of €173.3 thousand is requested, representing a reduction of €10.4 thousand. These resources are required mainly to cover the Court’s corporate training programmes, including the Court’s corporate leadership development programme,</w:t>
      </w:r>
      <w:r>
        <w:rPr>
          <w:spacing w:val="-13"/>
          <w:sz w:val="20"/>
        </w:rPr>
        <w:t> </w:t>
      </w:r>
      <w:r>
        <w:rPr>
          <w:sz w:val="20"/>
        </w:rPr>
        <w:t>in</w:t>
      </w:r>
      <w:r>
        <w:rPr>
          <w:spacing w:val="-12"/>
          <w:sz w:val="20"/>
        </w:rPr>
        <w:t> </w:t>
      </w:r>
      <w:r>
        <w:rPr>
          <w:sz w:val="20"/>
        </w:rPr>
        <w:t>line</w:t>
      </w:r>
      <w:r>
        <w:rPr>
          <w:spacing w:val="-13"/>
          <w:sz w:val="20"/>
        </w:rPr>
        <w:t> </w:t>
      </w:r>
      <w:r>
        <w:rPr>
          <w:sz w:val="20"/>
        </w:rPr>
        <w:t>with</w:t>
      </w:r>
      <w:r>
        <w:rPr>
          <w:spacing w:val="-12"/>
          <w:sz w:val="20"/>
        </w:rPr>
        <w:t> </w:t>
      </w:r>
      <w:r>
        <w:rPr>
          <w:sz w:val="20"/>
        </w:rPr>
        <w:t>the</w:t>
      </w:r>
      <w:r>
        <w:rPr>
          <w:spacing w:val="-13"/>
          <w:sz w:val="20"/>
        </w:rPr>
        <w:t> </w:t>
      </w:r>
      <w:r>
        <w:rPr>
          <w:sz w:val="20"/>
        </w:rPr>
        <w:t>commitment</w:t>
      </w:r>
      <w:r>
        <w:rPr>
          <w:spacing w:val="-12"/>
          <w:sz w:val="20"/>
        </w:rPr>
        <w:t> </w:t>
      </w:r>
      <w:r>
        <w:rPr>
          <w:sz w:val="20"/>
        </w:rPr>
        <w:t>made</w:t>
      </w:r>
      <w:r>
        <w:rPr>
          <w:spacing w:val="-13"/>
          <w:sz w:val="20"/>
        </w:rPr>
        <w:t> </w:t>
      </w:r>
      <w:r>
        <w:rPr>
          <w:sz w:val="20"/>
        </w:rPr>
        <w:t>in</w:t>
      </w:r>
      <w:r>
        <w:rPr>
          <w:spacing w:val="-12"/>
          <w:sz w:val="20"/>
        </w:rPr>
        <w:t> </w:t>
      </w:r>
      <w:r>
        <w:rPr>
          <w:sz w:val="20"/>
        </w:rPr>
        <w:t>the</w:t>
      </w:r>
      <w:r>
        <w:rPr>
          <w:spacing w:val="-13"/>
          <w:sz w:val="20"/>
        </w:rPr>
        <w:t> </w:t>
      </w:r>
      <w:r>
        <w:rPr>
          <w:sz w:val="20"/>
        </w:rPr>
        <w:t>Registry’s</w:t>
      </w:r>
      <w:r>
        <w:rPr>
          <w:spacing w:val="-12"/>
          <w:sz w:val="20"/>
        </w:rPr>
        <w:t> </w:t>
      </w:r>
      <w:r>
        <w:rPr>
          <w:sz w:val="20"/>
        </w:rPr>
        <w:t>Strategic</w:t>
      </w:r>
      <w:r>
        <w:rPr>
          <w:spacing w:val="-13"/>
          <w:sz w:val="20"/>
        </w:rPr>
        <w:t> </w:t>
      </w:r>
      <w:r>
        <w:rPr>
          <w:sz w:val="20"/>
        </w:rPr>
        <w:t>Plan</w:t>
      </w:r>
      <w:r>
        <w:rPr>
          <w:spacing w:val="-12"/>
          <w:sz w:val="20"/>
        </w:rPr>
        <w:t> </w:t>
      </w:r>
      <w:r>
        <w:rPr>
          <w:sz w:val="20"/>
        </w:rPr>
        <w:t>for</w:t>
      </w:r>
      <w:r>
        <w:rPr>
          <w:spacing w:val="-13"/>
          <w:sz w:val="20"/>
        </w:rPr>
        <w:t> </w:t>
      </w:r>
      <w:r>
        <w:rPr>
          <w:sz w:val="20"/>
        </w:rPr>
        <w:t>2019-2021 to</w:t>
      </w:r>
      <w:r>
        <w:rPr>
          <w:spacing w:val="-9"/>
          <w:sz w:val="20"/>
        </w:rPr>
        <w:t> </w:t>
      </w:r>
      <w:r>
        <w:rPr>
          <w:sz w:val="20"/>
        </w:rPr>
        <w:t>agree</w:t>
      </w:r>
      <w:r>
        <w:rPr>
          <w:spacing w:val="-11"/>
          <w:sz w:val="20"/>
        </w:rPr>
        <w:t> </w:t>
      </w:r>
      <w:r>
        <w:rPr>
          <w:sz w:val="20"/>
        </w:rPr>
        <w:t>and</w:t>
      </w:r>
      <w:r>
        <w:rPr>
          <w:spacing w:val="-8"/>
          <w:sz w:val="20"/>
        </w:rPr>
        <w:t> </w:t>
      </w:r>
      <w:r>
        <w:rPr>
          <w:sz w:val="20"/>
        </w:rPr>
        <w:t>disseminate</w:t>
      </w:r>
      <w:r>
        <w:rPr>
          <w:spacing w:val="-7"/>
          <w:sz w:val="20"/>
        </w:rPr>
        <w:t> </w:t>
      </w:r>
      <w:r>
        <w:rPr>
          <w:sz w:val="20"/>
        </w:rPr>
        <w:t>a</w:t>
      </w:r>
      <w:r>
        <w:rPr>
          <w:spacing w:val="-7"/>
          <w:sz w:val="20"/>
        </w:rPr>
        <w:t> </w:t>
      </w:r>
      <w:r>
        <w:rPr>
          <w:sz w:val="20"/>
        </w:rPr>
        <w:t>Court-wide</w:t>
      </w:r>
      <w:r>
        <w:rPr>
          <w:spacing w:val="-11"/>
          <w:sz w:val="20"/>
        </w:rPr>
        <w:t> </w:t>
      </w:r>
      <w:r>
        <w:rPr>
          <w:sz w:val="20"/>
        </w:rPr>
        <w:t>leadership</w:t>
      </w:r>
      <w:r>
        <w:rPr>
          <w:spacing w:val="-8"/>
          <w:sz w:val="20"/>
        </w:rPr>
        <w:t> </w:t>
      </w:r>
      <w:r>
        <w:rPr>
          <w:sz w:val="20"/>
        </w:rPr>
        <w:t>framework</w:t>
      </w:r>
      <w:r>
        <w:rPr>
          <w:spacing w:val="-13"/>
          <w:sz w:val="20"/>
        </w:rPr>
        <w:t> </w:t>
      </w:r>
      <w:r>
        <w:rPr>
          <w:sz w:val="20"/>
        </w:rPr>
        <w:t>and</w:t>
      </w:r>
      <w:r>
        <w:rPr>
          <w:spacing w:val="-8"/>
          <w:sz w:val="20"/>
        </w:rPr>
        <w:t> </w:t>
      </w:r>
      <w:r>
        <w:rPr>
          <w:sz w:val="20"/>
        </w:rPr>
        <w:t>make</w:t>
      </w:r>
      <w:r>
        <w:rPr>
          <w:spacing w:val="-7"/>
          <w:sz w:val="20"/>
        </w:rPr>
        <w:t> </w:t>
      </w:r>
      <w:r>
        <w:rPr>
          <w:sz w:val="20"/>
        </w:rPr>
        <w:t>available</w:t>
      </w:r>
      <w:r>
        <w:rPr>
          <w:spacing w:val="-11"/>
          <w:sz w:val="20"/>
        </w:rPr>
        <w:t> </w:t>
      </w:r>
      <w:r>
        <w:rPr>
          <w:sz w:val="20"/>
        </w:rPr>
        <w:t>the</w:t>
      </w:r>
      <w:r>
        <w:rPr>
          <w:spacing w:val="-11"/>
          <w:sz w:val="20"/>
        </w:rPr>
        <w:t> </w:t>
      </w:r>
      <w:r>
        <w:rPr>
          <w:sz w:val="20"/>
        </w:rPr>
        <w:t>relevant training.</w:t>
      </w:r>
      <w:r>
        <w:rPr>
          <w:spacing w:val="72"/>
          <w:sz w:val="20"/>
        </w:rPr>
        <w:t> </w:t>
      </w:r>
      <w:r>
        <w:rPr>
          <w:sz w:val="20"/>
        </w:rPr>
        <w:t>Additional</w:t>
      </w:r>
      <w:r>
        <w:rPr>
          <w:spacing w:val="70"/>
          <w:sz w:val="20"/>
        </w:rPr>
        <w:t> </w:t>
      </w:r>
      <w:r>
        <w:rPr>
          <w:sz w:val="20"/>
        </w:rPr>
        <w:t>specialized</w:t>
      </w:r>
      <w:r>
        <w:rPr>
          <w:spacing w:val="68"/>
          <w:sz w:val="20"/>
        </w:rPr>
        <w:t> </w:t>
      </w:r>
      <w:r>
        <w:rPr>
          <w:sz w:val="20"/>
        </w:rPr>
        <w:t>training</w:t>
      </w:r>
      <w:r>
        <w:rPr>
          <w:spacing w:val="63"/>
          <w:sz w:val="20"/>
        </w:rPr>
        <w:t> </w:t>
      </w:r>
      <w:r>
        <w:rPr>
          <w:sz w:val="20"/>
        </w:rPr>
        <w:t>in</w:t>
      </w:r>
      <w:r>
        <w:rPr>
          <w:spacing w:val="68"/>
          <w:sz w:val="20"/>
        </w:rPr>
        <w:t> </w:t>
      </w:r>
      <w:r>
        <w:rPr>
          <w:sz w:val="20"/>
        </w:rPr>
        <w:t>French</w:t>
      </w:r>
      <w:r>
        <w:rPr>
          <w:spacing w:val="63"/>
          <w:sz w:val="20"/>
        </w:rPr>
        <w:t> </w:t>
      </w:r>
      <w:r>
        <w:rPr>
          <w:sz w:val="20"/>
        </w:rPr>
        <w:t>is</w:t>
      </w:r>
      <w:r>
        <w:rPr>
          <w:spacing w:val="67"/>
          <w:sz w:val="20"/>
        </w:rPr>
        <w:t> </w:t>
      </w:r>
      <w:r>
        <w:rPr>
          <w:sz w:val="20"/>
        </w:rPr>
        <w:t>requested</w:t>
      </w:r>
      <w:r>
        <w:rPr>
          <w:spacing w:val="68"/>
          <w:sz w:val="20"/>
        </w:rPr>
        <w:t> </w:t>
      </w:r>
      <w:r>
        <w:rPr>
          <w:sz w:val="20"/>
        </w:rPr>
        <w:t>under</w:t>
      </w:r>
      <w:r>
        <w:rPr>
          <w:spacing w:val="68"/>
          <w:sz w:val="20"/>
        </w:rPr>
        <w:t> </w:t>
      </w:r>
      <w:r>
        <w:rPr>
          <w:sz w:val="20"/>
        </w:rPr>
        <w:t>a</w:t>
      </w:r>
      <w:r>
        <w:rPr>
          <w:spacing w:val="65"/>
          <w:sz w:val="20"/>
        </w:rPr>
        <w:t> </w:t>
      </w:r>
      <w:r>
        <w:rPr>
          <w:sz w:val="20"/>
        </w:rPr>
        <w:t>cost-sharing</w:t>
      </w:r>
    </w:p>
    <w:p>
      <w:pPr>
        <w:spacing w:after="0" w:line="240" w:lineRule="auto"/>
        <w:jc w:val="both"/>
        <w:rPr>
          <w:sz w:val="20"/>
        </w:rPr>
        <w:sectPr>
          <w:pgSz w:w="11910" w:h="16840"/>
          <w:pgMar w:header="953" w:footer="940" w:top="1140" w:bottom="1140" w:left="20" w:right="20"/>
        </w:sectPr>
      </w:pPr>
    </w:p>
    <w:p>
      <w:pPr>
        <w:pStyle w:val="BodyText"/>
        <w:spacing w:before="120"/>
        <w:ind w:left="2246" w:right="2195"/>
      </w:pPr>
      <w:r>
        <w:rPr/>
        <w:t>programme with</w:t>
      </w:r>
      <w:r>
        <w:rPr>
          <w:spacing w:val="-6"/>
        </w:rPr>
        <w:t> </w:t>
      </w:r>
      <w:r>
        <w:rPr/>
        <w:t>Alliance Française.</w:t>
      </w:r>
      <w:r>
        <w:rPr>
          <w:spacing w:val="-3"/>
        </w:rPr>
        <w:t> </w:t>
      </w:r>
      <w:r>
        <w:rPr/>
        <w:t>Funds</w:t>
      </w:r>
      <w:r>
        <w:rPr>
          <w:spacing w:val="-6"/>
        </w:rPr>
        <w:t> </w:t>
      </w:r>
      <w:r>
        <w:rPr/>
        <w:t>are</w:t>
      </w:r>
      <w:r>
        <w:rPr>
          <w:spacing w:val="-4"/>
        </w:rPr>
        <w:t> </w:t>
      </w:r>
      <w:r>
        <w:rPr/>
        <w:t>also</w:t>
      </w:r>
      <w:r>
        <w:rPr>
          <w:spacing w:val="-1"/>
        </w:rPr>
        <w:t> </w:t>
      </w:r>
      <w:r>
        <w:rPr/>
        <w:t>requested</w:t>
      </w:r>
      <w:r>
        <w:rPr>
          <w:spacing w:val="-1"/>
        </w:rPr>
        <w:t> </w:t>
      </w:r>
      <w:r>
        <w:rPr/>
        <w:t>for</w:t>
      </w:r>
      <w:r>
        <w:rPr>
          <w:spacing w:val="-6"/>
        </w:rPr>
        <w:t> </w:t>
      </w:r>
      <w:r>
        <w:rPr/>
        <w:t>the</w:t>
      </w:r>
      <w:r>
        <w:rPr>
          <w:spacing w:val="-4"/>
        </w:rPr>
        <w:t> </w:t>
      </w:r>
      <w:r>
        <w:rPr/>
        <w:t>mentoring</w:t>
      </w:r>
      <w:r>
        <w:rPr>
          <w:spacing w:val="-6"/>
        </w:rPr>
        <w:t> </w:t>
      </w:r>
      <w:r>
        <w:rPr/>
        <w:t>programme for women and for online learning platforms through LinkedIn.</w:t>
      </w:r>
    </w:p>
    <w:p>
      <w:pPr>
        <w:pStyle w:val="ListParagraph"/>
        <w:numPr>
          <w:ilvl w:val="0"/>
          <w:numId w:val="4"/>
        </w:numPr>
        <w:tabs>
          <w:tab w:pos="2967" w:val="left" w:leader="none"/>
        </w:tabs>
        <w:spacing w:line="240" w:lineRule="auto" w:before="121" w:after="0"/>
        <w:ind w:left="2246" w:right="2245" w:firstLine="0"/>
        <w:jc w:val="both"/>
        <w:rPr>
          <w:sz w:val="20"/>
        </w:rPr>
      </w:pPr>
      <w:r>
        <w:rPr>
          <w:sz w:val="20"/>
        </w:rPr>
        <w:t>In the area of security, an amount of €95.5 thousand is required to ensure the provision of mandatory training for security staff and other staff involved in emergency response, in full compliance with Court and host State regulations. The mandatory training includes</w:t>
      </w:r>
      <w:r>
        <w:rPr>
          <w:spacing w:val="-11"/>
          <w:sz w:val="20"/>
        </w:rPr>
        <w:t> </w:t>
      </w:r>
      <w:r>
        <w:rPr>
          <w:sz w:val="20"/>
        </w:rPr>
        <w:t>first</w:t>
      </w:r>
      <w:r>
        <w:rPr>
          <w:spacing w:val="-8"/>
          <w:sz w:val="20"/>
        </w:rPr>
        <w:t> </w:t>
      </w:r>
      <w:r>
        <w:rPr>
          <w:sz w:val="20"/>
        </w:rPr>
        <w:t>aid,</w:t>
      </w:r>
      <w:r>
        <w:rPr>
          <w:spacing w:val="-7"/>
          <w:sz w:val="20"/>
        </w:rPr>
        <w:t> </w:t>
      </w:r>
      <w:r>
        <w:rPr>
          <w:sz w:val="20"/>
        </w:rPr>
        <w:t>fire</w:t>
      </w:r>
      <w:r>
        <w:rPr>
          <w:spacing w:val="-8"/>
          <w:sz w:val="20"/>
        </w:rPr>
        <w:t> </w:t>
      </w:r>
      <w:r>
        <w:rPr>
          <w:sz w:val="20"/>
        </w:rPr>
        <w:t>and</w:t>
      </w:r>
      <w:r>
        <w:rPr>
          <w:spacing w:val="-9"/>
          <w:sz w:val="20"/>
        </w:rPr>
        <w:t> </w:t>
      </w:r>
      <w:r>
        <w:rPr>
          <w:sz w:val="20"/>
        </w:rPr>
        <w:t>emergency</w:t>
      </w:r>
      <w:r>
        <w:rPr>
          <w:spacing w:val="-9"/>
          <w:sz w:val="20"/>
        </w:rPr>
        <w:t> </w:t>
      </w:r>
      <w:r>
        <w:rPr>
          <w:sz w:val="20"/>
        </w:rPr>
        <w:t>response</w:t>
      </w:r>
      <w:r>
        <w:rPr>
          <w:spacing w:val="-8"/>
          <w:sz w:val="20"/>
        </w:rPr>
        <w:t> </w:t>
      </w:r>
      <w:r>
        <w:rPr>
          <w:sz w:val="20"/>
        </w:rPr>
        <w:t>and</w:t>
      </w:r>
      <w:r>
        <w:rPr>
          <w:spacing w:val="-9"/>
          <w:sz w:val="20"/>
        </w:rPr>
        <w:t> </w:t>
      </w:r>
      <w:r>
        <w:rPr>
          <w:sz w:val="20"/>
        </w:rPr>
        <w:t>(in</w:t>
      </w:r>
      <w:r>
        <w:rPr>
          <w:spacing w:val="-9"/>
          <w:sz w:val="20"/>
        </w:rPr>
        <w:t> </w:t>
      </w:r>
      <w:r>
        <w:rPr>
          <w:sz w:val="20"/>
        </w:rPr>
        <w:t>the</w:t>
      </w:r>
      <w:r>
        <w:rPr>
          <w:spacing w:val="-8"/>
          <w:sz w:val="20"/>
        </w:rPr>
        <w:t> </w:t>
      </w:r>
      <w:r>
        <w:rPr>
          <w:sz w:val="20"/>
        </w:rPr>
        <w:t>case</w:t>
      </w:r>
      <w:r>
        <w:rPr>
          <w:spacing w:val="-3"/>
          <w:sz w:val="20"/>
        </w:rPr>
        <w:t> </w:t>
      </w:r>
      <w:r>
        <w:rPr>
          <w:sz w:val="20"/>
        </w:rPr>
        <w:t>of</w:t>
      </w:r>
      <w:r>
        <w:rPr>
          <w:spacing w:val="-5"/>
          <w:sz w:val="20"/>
        </w:rPr>
        <w:t> </w:t>
      </w:r>
      <w:r>
        <w:rPr>
          <w:sz w:val="20"/>
        </w:rPr>
        <w:t>Security</w:t>
      </w:r>
      <w:r>
        <w:rPr>
          <w:spacing w:val="-9"/>
          <w:sz w:val="20"/>
        </w:rPr>
        <w:t> </w:t>
      </w:r>
      <w:r>
        <w:rPr>
          <w:sz w:val="20"/>
        </w:rPr>
        <w:t>Officers)</w:t>
      </w:r>
      <w:r>
        <w:rPr>
          <w:spacing w:val="-9"/>
          <w:sz w:val="20"/>
        </w:rPr>
        <w:t> </w:t>
      </w:r>
      <w:r>
        <w:rPr>
          <w:sz w:val="20"/>
        </w:rPr>
        <w:t>firearms training</w:t>
      </w:r>
      <w:r>
        <w:rPr>
          <w:spacing w:val="-8"/>
          <w:sz w:val="20"/>
        </w:rPr>
        <w:t> </w:t>
      </w:r>
      <w:r>
        <w:rPr>
          <w:sz w:val="20"/>
        </w:rPr>
        <w:t>and</w:t>
      </w:r>
      <w:r>
        <w:rPr>
          <w:spacing w:val="-8"/>
          <w:sz w:val="20"/>
        </w:rPr>
        <w:t> </w:t>
      </w:r>
      <w:r>
        <w:rPr>
          <w:sz w:val="20"/>
        </w:rPr>
        <w:t>specialized</w:t>
      </w:r>
      <w:r>
        <w:rPr>
          <w:spacing w:val="-4"/>
          <w:sz w:val="20"/>
        </w:rPr>
        <w:t> </w:t>
      </w:r>
      <w:r>
        <w:rPr>
          <w:sz w:val="20"/>
        </w:rPr>
        <w:t>topics</w:t>
      </w:r>
      <w:r>
        <w:rPr>
          <w:spacing w:val="-5"/>
          <w:sz w:val="20"/>
        </w:rPr>
        <w:t> </w:t>
      </w:r>
      <w:r>
        <w:rPr>
          <w:sz w:val="20"/>
        </w:rPr>
        <w:t>such</w:t>
      </w:r>
      <w:r>
        <w:rPr>
          <w:spacing w:val="-8"/>
          <w:sz w:val="20"/>
        </w:rPr>
        <w:t> </w:t>
      </w:r>
      <w:r>
        <w:rPr>
          <w:sz w:val="20"/>
        </w:rPr>
        <w:t>as</w:t>
      </w:r>
      <w:r>
        <w:rPr>
          <w:spacing w:val="-5"/>
          <w:sz w:val="20"/>
        </w:rPr>
        <w:t> </w:t>
      </w:r>
      <w:r>
        <w:rPr>
          <w:sz w:val="20"/>
        </w:rPr>
        <w:t>transport</w:t>
      </w:r>
      <w:r>
        <w:rPr>
          <w:spacing w:val="-2"/>
          <w:sz w:val="20"/>
        </w:rPr>
        <w:t> </w:t>
      </w:r>
      <w:r>
        <w:rPr>
          <w:sz w:val="20"/>
        </w:rPr>
        <w:t>of</w:t>
      </w:r>
      <w:r>
        <w:rPr>
          <w:spacing w:val="-4"/>
          <w:sz w:val="20"/>
        </w:rPr>
        <w:t> </w:t>
      </w:r>
      <w:r>
        <w:rPr>
          <w:sz w:val="20"/>
        </w:rPr>
        <w:t>defendants</w:t>
      </w:r>
      <w:r>
        <w:rPr>
          <w:spacing w:val="-5"/>
          <w:sz w:val="20"/>
        </w:rPr>
        <w:t> </w:t>
      </w:r>
      <w:r>
        <w:rPr>
          <w:sz w:val="20"/>
        </w:rPr>
        <w:t>and</w:t>
      </w:r>
      <w:r>
        <w:rPr>
          <w:spacing w:val="-4"/>
          <w:sz w:val="20"/>
        </w:rPr>
        <w:t> </w:t>
      </w:r>
      <w:r>
        <w:rPr>
          <w:sz w:val="20"/>
        </w:rPr>
        <w:t>close</w:t>
      </w:r>
      <w:r>
        <w:rPr>
          <w:spacing w:val="-7"/>
          <w:sz w:val="20"/>
        </w:rPr>
        <w:t> </w:t>
      </w:r>
      <w:r>
        <w:rPr>
          <w:sz w:val="20"/>
        </w:rPr>
        <w:t>protection.</w:t>
      </w:r>
      <w:r>
        <w:rPr>
          <w:spacing w:val="-6"/>
          <w:sz w:val="20"/>
        </w:rPr>
        <w:t> </w:t>
      </w:r>
      <w:r>
        <w:rPr>
          <w:sz w:val="20"/>
        </w:rPr>
        <w:t>Training on safe and secure approaches in the field environment will continue to be delivered in collaboration with the host State military.</w:t>
      </w:r>
    </w:p>
    <w:p>
      <w:pPr>
        <w:pStyle w:val="ListParagraph"/>
        <w:numPr>
          <w:ilvl w:val="0"/>
          <w:numId w:val="4"/>
        </w:numPr>
        <w:tabs>
          <w:tab w:pos="2967" w:val="left" w:leader="none"/>
        </w:tabs>
        <w:spacing w:line="240" w:lineRule="auto" w:before="124" w:after="0"/>
        <w:ind w:left="2246" w:right="2247" w:firstLine="0"/>
        <w:jc w:val="both"/>
        <w:rPr>
          <w:sz w:val="20"/>
        </w:rPr>
      </w:pPr>
      <w:r>
        <w:rPr>
          <w:sz w:val="20"/>
        </w:rPr>
        <w:t>An</w:t>
      </w:r>
      <w:r>
        <w:rPr>
          <w:spacing w:val="-6"/>
          <w:sz w:val="20"/>
        </w:rPr>
        <w:t> </w:t>
      </w:r>
      <w:r>
        <w:rPr>
          <w:sz w:val="20"/>
        </w:rPr>
        <w:t>amount</w:t>
      </w:r>
      <w:r>
        <w:rPr>
          <w:spacing w:val="-9"/>
          <w:sz w:val="20"/>
        </w:rPr>
        <w:t> </w:t>
      </w:r>
      <w:r>
        <w:rPr>
          <w:sz w:val="20"/>
        </w:rPr>
        <w:t>of</w:t>
      </w:r>
      <w:r>
        <w:rPr>
          <w:spacing w:val="-10"/>
          <w:sz w:val="20"/>
        </w:rPr>
        <w:t> </w:t>
      </w:r>
      <w:r>
        <w:rPr>
          <w:sz w:val="20"/>
        </w:rPr>
        <w:t>€24.5</w:t>
      </w:r>
      <w:r>
        <w:rPr>
          <w:spacing w:val="-10"/>
          <w:sz w:val="20"/>
        </w:rPr>
        <w:t> </w:t>
      </w:r>
      <w:r>
        <w:rPr>
          <w:sz w:val="20"/>
        </w:rPr>
        <w:t>thousand</w:t>
      </w:r>
      <w:r>
        <w:rPr>
          <w:spacing w:val="-10"/>
          <w:sz w:val="20"/>
        </w:rPr>
        <w:t> </w:t>
      </w:r>
      <w:r>
        <w:rPr>
          <w:sz w:val="20"/>
        </w:rPr>
        <w:t>is</w:t>
      </w:r>
      <w:r>
        <w:rPr>
          <w:spacing w:val="-12"/>
          <w:sz w:val="20"/>
        </w:rPr>
        <w:t> </w:t>
      </w:r>
      <w:r>
        <w:rPr>
          <w:sz w:val="20"/>
        </w:rPr>
        <w:t>required</w:t>
      </w:r>
      <w:r>
        <w:rPr>
          <w:spacing w:val="-10"/>
          <w:sz w:val="20"/>
        </w:rPr>
        <w:t> </w:t>
      </w:r>
      <w:r>
        <w:rPr>
          <w:sz w:val="20"/>
        </w:rPr>
        <w:t>for</w:t>
      </w:r>
      <w:r>
        <w:rPr>
          <w:spacing w:val="-10"/>
          <w:sz w:val="20"/>
        </w:rPr>
        <w:t> </w:t>
      </w:r>
      <w:r>
        <w:rPr>
          <w:sz w:val="20"/>
        </w:rPr>
        <w:t>medical</w:t>
      </w:r>
      <w:r>
        <w:rPr>
          <w:spacing w:val="-9"/>
          <w:sz w:val="20"/>
        </w:rPr>
        <w:t> </w:t>
      </w:r>
      <w:r>
        <w:rPr>
          <w:sz w:val="20"/>
        </w:rPr>
        <w:t>training.</w:t>
      </w:r>
      <w:r>
        <w:rPr>
          <w:spacing w:val="-8"/>
          <w:sz w:val="20"/>
        </w:rPr>
        <w:t> </w:t>
      </w:r>
      <w:r>
        <w:rPr>
          <w:sz w:val="20"/>
        </w:rPr>
        <w:t>The</w:t>
      </w:r>
      <w:r>
        <w:rPr>
          <w:spacing w:val="-5"/>
          <w:sz w:val="20"/>
        </w:rPr>
        <w:t> </w:t>
      </w:r>
      <w:r>
        <w:rPr>
          <w:sz w:val="20"/>
        </w:rPr>
        <w:t>Medical</w:t>
      </w:r>
      <w:r>
        <w:rPr>
          <w:spacing w:val="-5"/>
          <w:sz w:val="20"/>
        </w:rPr>
        <w:t> </w:t>
      </w:r>
      <w:r>
        <w:rPr>
          <w:sz w:val="20"/>
        </w:rPr>
        <w:t>Officer, the</w:t>
      </w:r>
      <w:r>
        <w:rPr>
          <w:spacing w:val="-13"/>
          <w:sz w:val="20"/>
        </w:rPr>
        <w:t> </w:t>
      </w:r>
      <w:r>
        <w:rPr>
          <w:sz w:val="20"/>
        </w:rPr>
        <w:t>Senior</w:t>
      </w:r>
      <w:r>
        <w:rPr>
          <w:spacing w:val="-12"/>
          <w:sz w:val="20"/>
        </w:rPr>
        <w:t> </w:t>
      </w:r>
      <w:r>
        <w:rPr>
          <w:sz w:val="20"/>
        </w:rPr>
        <w:t>Nurse</w:t>
      </w:r>
      <w:r>
        <w:rPr>
          <w:spacing w:val="-13"/>
          <w:sz w:val="20"/>
        </w:rPr>
        <w:t> </w:t>
      </w:r>
      <w:r>
        <w:rPr>
          <w:sz w:val="20"/>
        </w:rPr>
        <w:t>and</w:t>
      </w:r>
      <w:r>
        <w:rPr>
          <w:spacing w:val="-12"/>
          <w:sz w:val="20"/>
        </w:rPr>
        <w:t> </w:t>
      </w:r>
      <w:r>
        <w:rPr>
          <w:sz w:val="20"/>
        </w:rPr>
        <w:t>the</w:t>
      </w:r>
      <w:r>
        <w:rPr>
          <w:spacing w:val="-13"/>
          <w:sz w:val="20"/>
        </w:rPr>
        <w:t> </w:t>
      </w:r>
      <w:r>
        <w:rPr>
          <w:sz w:val="20"/>
        </w:rPr>
        <w:t>Occupational</w:t>
      </w:r>
      <w:r>
        <w:rPr>
          <w:spacing w:val="-12"/>
          <w:sz w:val="20"/>
        </w:rPr>
        <w:t> </w:t>
      </w:r>
      <w:r>
        <w:rPr>
          <w:sz w:val="20"/>
        </w:rPr>
        <w:t>Health</w:t>
      </w:r>
      <w:r>
        <w:rPr>
          <w:spacing w:val="-13"/>
          <w:sz w:val="20"/>
        </w:rPr>
        <w:t> </w:t>
      </w:r>
      <w:r>
        <w:rPr>
          <w:sz w:val="20"/>
        </w:rPr>
        <w:t>Nurse/Paramedic</w:t>
      </w:r>
      <w:r>
        <w:rPr>
          <w:spacing w:val="-12"/>
          <w:sz w:val="20"/>
        </w:rPr>
        <w:t> </w:t>
      </w:r>
      <w:r>
        <w:rPr>
          <w:sz w:val="20"/>
        </w:rPr>
        <w:t>are</w:t>
      </w:r>
      <w:r>
        <w:rPr>
          <w:spacing w:val="-12"/>
          <w:sz w:val="20"/>
        </w:rPr>
        <w:t> </w:t>
      </w:r>
      <w:r>
        <w:rPr>
          <w:sz w:val="20"/>
        </w:rPr>
        <w:t>required</w:t>
      </w:r>
      <w:r>
        <w:rPr>
          <w:spacing w:val="-13"/>
          <w:sz w:val="20"/>
        </w:rPr>
        <w:t> </w:t>
      </w:r>
      <w:r>
        <w:rPr>
          <w:sz w:val="20"/>
        </w:rPr>
        <w:t>to</w:t>
      </w:r>
      <w:r>
        <w:rPr>
          <w:spacing w:val="-12"/>
          <w:sz w:val="20"/>
        </w:rPr>
        <w:t> </w:t>
      </w:r>
      <w:r>
        <w:rPr>
          <w:sz w:val="20"/>
        </w:rPr>
        <w:t>maintain</w:t>
      </w:r>
      <w:r>
        <w:rPr>
          <w:spacing w:val="-13"/>
          <w:sz w:val="20"/>
        </w:rPr>
        <w:t> </w:t>
      </w:r>
      <w:r>
        <w:rPr>
          <w:sz w:val="20"/>
        </w:rPr>
        <w:t>their accreditations,</w:t>
      </w:r>
      <w:r>
        <w:rPr>
          <w:spacing w:val="-1"/>
          <w:sz w:val="20"/>
        </w:rPr>
        <w:t> </w:t>
      </w:r>
      <w:r>
        <w:rPr>
          <w:sz w:val="20"/>
        </w:rPr>
        <w:t>authorizations, skills</w:t>
      </w:r>
      <w:r>
        <w:rPr>
          <w:spacing w:val="-6"/>
          <w:sz w:val="20"/>
        </w:rPr>
        <w:t> </w:t>
      </w:r>
      <w:r>
        <w:rPr>
          <w:sz w:val="20"/>
        </w:rPr>
        <w:t>and</w:t>
      </w:r>
      <w:r>
        <w:rPr>
          <w:spacing w:val="-1"/>
          <w:sz w:val="20"/>
        </w:rPr>
        <w:t> </w:t>
      </w:r>
      <w:r>
        <w:rPr>
          <w:sz w:val="20"/>
        </w:rPr>
        <w:t>BIG</w:t>
      </w:r>
      <w:r>
        <w:rPr>
          <w:spacing w:val="-2"/>
          <w:sz w:val="20"/>
        </w:rPr>
        <w:t> </w:t>
      </w:r>
      <w:r>
        <w:rPr>
          <w:sz w:val="20"/>
        </w:rPr>
        <w:t>registration</w:t>
      </w:r>
      <w:r>
        <w:rPr>
          <w:spacing w:val="-1"/>
          <w:sz w:val="20"/>
        </w:rPr>
        <w:t> </w:t>
      </w:r>
      <w:r>
        <w:rPr>
          <w:sz w:val="20"/>
        </w:rPr>
        <w:t>in</w:t>
      </w:r>
      <w:r>
        <w:rPr>
          <w:spacing w:val="-5"/>
          <w:sz w:val="20"/>
        </w:rPr>
        <w:t> </w:t>
      </w:r>
      <w:r>
        <w:rPr>
          <w:sz w:val="20"/>
        </w:rPr>
        <w:t>the Netherlands, for</w:t>
      </w:r>
      <w:r>
        <w:rPr>
          <w:spacing w:val="-1"/>
          <w:sz w:val="20"/>
        </w:rPr>
        <w:t> </w:t>
      </w:r>
      <w:r>
        <w:rPr>
          <w:sz w:val="20"/>
        </w:rPr>
        <w:t>which</w:t>
      </w:r>
      <w:r>
        <w:rPr>
          <w:spacing w:val="-1"/>
          <w:sz w:val="20"/>
        </w:rPr>
        <w:t> </w:t>
      </w:r>
      <w:r>
        <w:rPr>
          <w:sz w:val="20"/>
        </w:rPr>
        <w:t>they must attend mandatory specialized training courses.</w:t>
      </w:r>
    </w:p>
    <w:p>
      <w:pPr>
        <w:pStyle w:val="ListParagraph"/>
        <w:numPr>
          <w:ilvl w:val="0"/>
          <w:numId w:val="4"/>
        </w:numPr>
        <w:tabs>
          <w:tab w:pos="2967" w:val="left" w:leader="none"/>
        </w:tabs>
        <w:spacing w:line="240" w:lineRule="auto" w:before="117" w:after="0"/>
        <w:ind w:left="2246" w:right="2247" w:firstLine="0"/>
        <w:jc w:val="both"/>
        <w:rPr>
          <w:sz w:val="20"/>
        </w:rPr>
      </w:pPr>
      <w:r>
        <w:rPr>
          <w:sz w:val="20"/>
        </w:rPr>
        <w:t>An</w:t>
      </w:r>
      <w:r>
        <w:rPr>
          <w:spacing w:val="-5"/>
          <w:sz w:val="20"/>
        </w:rPr>
        <w:t> </w:t>
      </w:r>
      <w:r>
        <w:rPr>
          <w:sz w:val="20"/>
        </w:rPr>
        <w:t>amount</w:t>
      </w:r>
      <w:r>
        <w:rPr>
          <w:spacing w:val="-3"/>
          <w:sz w:val="20"/>
        </w:rPr>
        <w:t> </w:t>
      </w:r>
      <w:r>
        <w:rPr>
          <w:sz w:val="20"/>
        </w:rPr>
        <w:t>of</w:t>
      </w:r>
      <w:r>
        <w:rPr>
          <w:spacing w:val="-9"/>
          <w:sz w:val="20"/>
        </w:rPr>
        <w:t> </w:t>
      </w:r>
      <w:r>
        <w:rPr>
          <w:sz w:val="20"/>
        </w:rPr>
        <w:t>€20.5</w:t>
      </w:r>
      <w:r>
        <w:rPr>
          <w:spacing w:val="-9"/>
          <w:sz w:val="20"/>
        </w:rPr>
        <w:t> </w:t>
      </w:r>
      <w:r>
        <w:rPr>
          <w:sz w:val="20"/>
        </w:rPr>
        <w:t>thousand</w:t>
      </w:r>
      <w:r>
        <w:rPr>
          <w:spacing w:val="-9"/>
          <w:sz w:val="20"/>
        </w:rPr>
        <w:t> </w:t>
      </w:r>
      <w:r>
        <w:rPr>
          <w:sz w:val="20"/>
        </w:rPr>
        <w:t>is</w:t>
      </w:r>
      <w:r>
        <w:rPr>
          <w:spacing w:val="-11"/>
          <w:sz w:val="20"/>
        </w:rPr>
        <w:t> </w:t>
      </w:r>
      <w:r>
        <w:rPr>
          <w:sz w:val="20"/>
        </w:rPr>
        <w:t>required</w:t>
      </w:r>
      <w:r>
        <w:rPr>
          <w:spacing w:val="-9"/>
          <w:sz w:val="20"/>
        </w:rPr>
        <w:t> </w:t>
      </w:r>
      <w:r>
        <w:rPr>
          <w:sz w:val="20"/>
        </w:rPr>
        <w:t>mainly</w:t>
      </w:r>
      <w:r>
        <w:rPr>
          <w:spacing w:val="-5"/>
          <w:sz w:val="20"/>
        </w:rPr>
        <w:t> </w:t>
      </w:r>
      <w:r>
        <w:rPr>
          <w:sz w:val="20"/>
        </w:rPr>
        <w:t>for</w:t>
      </w:r>
      <w:r>
        <w:rPr>
          <w:spacing w:val="-9"/>
          <w:sz w:val="20"/>
        </w:rPr>
        <w:t> </w:t>
      </w:r>
      <w:r>
        <w:rPr>
          <w:sz w:val="20"/>
        </w:rPr>
        <w:t>technical</w:t>
      </w:r>
      <w:r>
        <w:rPr>
          <w:spacing w:val="-8"/>
          <w:sz w:val="20"/>
        </w:rPr>
        <w:t> </w:t>
      </w:r>
      <w:r>
        <w:rPr>
          <w:sz w:val="20"/>
        </w:rPr>
        <w:t>training</w:t>
      </w:r>
      <w:r>
        <w:rPr>
          <w:spacing w:val="-9"/>
          <w:sz w:val="20"/>
        </w:rPr>
        <w:t> </w:t>
      </w:r>
      <w:r>
        <w:rPr>
          <w:sz w:val="20"/>
        </w:rPr>
        <w:t>related</w:t>
      </w:r>
      <w:r>
        <w:rPr>
          <w:spacing w:val="-9"/>
          <w:sz w:val="20"/>
        </w:rPr>
        <w:t> </w:t>
      </w:r>
      <w:r>
        <w:rPr>
          <w:sz w:val="20"/>
        </w:rPr>
        <w:t>to</w:t>
      </w:r>
      <w:r>
        <w:rPr>
          <w:spacing w:val="-9"/>
          <w:sz w:val="20"/>
        </w:rPr>
        <w:t> </w:t>
      </w:r>
      <w:r>
        <w:rPr>
          <w:sz w:val="20"/>
        </w:rPr>
        <w:t>the upcoming transition to the new SAP system, specialized training in financial reporting, mandatory</w:t>
      </w:r>
      <w:r>
        <w:rPr>
          <w:spacing w:val="-8"/>
          <w:sz w:val="20"/>
        </w:rPr>
        <w:t> </w:t>
      </w:r>
      <w:r>
        <w:rPr>
          <w:sz w:val="20"/>
        </w:rPr>
        <w:t>training</w:t>
      </w:r>
      <w:r>
        <w:rPr>
          <w:spacing w:val="-4"/>
          <w:sz w:val="20"/>
        </w:rPr>
        <w:t> </w:t>
      </w:r>
      <w:r>
        <w:rPr>
          <w:sz w:val="20"/>
        </w:rPr>
        <w:t>for</w:t>
      </w:r>
      <w:r>
        <w:rPr>
          <w:spacing w:val="-8"/>
          <w:sz w:val="20"/>
        </w:rPr>
        <w:t> </w:t>
      </w:r>
      <w:r>
        <w:rPr>
          <w:sz w:val="20"/>
        </w:rPr>
        <w:t>drivers</w:t>
      </w:r>
      <w:r>
        <w:rPr>
          <w:spacing w:val="-10"/>
          <w:sz w:val="20"/>
        </w:rPr>
        <w:t> </w:t>
      </w:r>
      <w:r>
        <w:rPr>
          <w:sz w:val="20"/>
        </w:rPr>
        <w:t>and</w:t>
      </w:r>
      <w:r>
        <w:rPr>
          <w:spacing w:val="-8"/>
          <w:sz w:val="20"/>
        </w:rPr>
        <w:t> </w:t>
      </w:r>
      <w:r>
        <w:rPr>
          <w:sz w:val="20"/>
        </w:rPr>
        <w:t>management</w:t>
      </w:r>
      <w:r>
        <w:rPr>
          <w:spacing w:val="-7"/>
          <w:sz w:val="20"/>
        </w:rPr>
        <w:t> </w:t>
      </w:r>
      <w:r>
        <w:rPr>
          <w:sz w:val="20"/>
        </w:rPr>
        <w:t>training.</w:t>
      </w:r>
      <w:r>
        <w:rPr>
          <w:spacing w:val="-1"/>
          <w:sz w:val="20"/>
        </w:rPr>
        <w:t> </w:t>
      </w:r>
      <w:r>
        <w:rPr>
          <w:sz w:val="20"/>
        </w:rPr>
        <w:t>Training</w:t>
      </w:r>
      <w:r>
        <w:rPr>
          <w:spacing w:val="-4"/>
          <w:sz w:val="20"/>
        </w:rPr>
        <w:t> </w:t>
      </w:r>
      <w:r>
        <w:rPr>
          <w:sz w:val="20"/>
        </w:rPr>
        <w:t>resource</w:t>
      </w:r>
      <w:r>
        <w:rPr>
          <w:spacing w:val="-7"/>
          <w:sz w:val="20"/>
        </w:rPr>
        <w:t> </w:t>
      </w:r>
      <w:r>
        <w:rPr>
          <w:sz w:val="20"/>
        </w:rPr>
        <w:t>requirements</w:t>
      </w:r>
      <w:r>
        <w:rPr>
          <w:spacing w:val="-10"/>
          <w:sz w:val="20"/>
        </w:rPr>
        <w:t> </w:t>
      </w:r>
      <w:r>
        <w:rPr>
          <w:sz w:val="20"/>
        </w:rPr>
        <w:t>are </w:t>
      </w:r>
      <w:r>
        <w:rPr>
          <w:spacing w:val="-2"/>
          <w:sz w:val="20"/>
        </w:rPr>
        <w:t>recurrent.</w:t>
      </w:r>
    </w:p>
    <w:p>
      <w:pPr>
        <w:pStyle w:val="BodyText"/>
        <w:rPr>
          <w:sz w:val="21"/>
        </w:rPr>
      </w:pPr>
    </w:p>
    <w:p>
      <w:pPr>
        <w:tabs>
          <w:tab w:pos="8287" w:val="left" w:leader="none"/>
        </w:tabs>
        <w:spacing w:before="0"/>
        <w:ind w:left="2246" w:right="0" w:firstLine="0"/>
        <w:jc w:val="left"/>
        <w:rPr>
          <w:i/>
          <w:sz w:val="20"/>
        </w:rPr>
      </w:pPr>
      <w:r>
        <w:rPr>
          <w:i/>
          <w:spacing w:val="-2"/>
          <w:sz w:val="20"/>
        </w:rPr>
        <w:t>Consultants</w:t>
      </w:r>
      <w:r>
        <w:rPr>
          <w:i/>
          <w:sz w:val="20"/>
        </w:rPr>
        <w:tab/>
        <w:t>€347.2</w:t>
      </w:r>
      <w:r>
        <w:rPr>
          <w:i/>
          <w:spacing w:val="-8"/>
          <w:sz w:val="20"/>
        </w:rPr>
        <w:t> </w:t>
      </w:r>
      <w:r>
        <w:rPr>
          <w:i/>
          <w:spacing w:val="-2"/>
          <w:sz w:val="20"/>
        </w:rPr>
        <w:t>thousand</w:t>
      </w:r>
    </w:p>
    <w:p>
      <w:pPr>
        <w:pStyle w:val="BodyText"/>
        <w:spacing w:before="11"/>
        <w:rPr>
          <w:i/>
        </w:rPr>
      </w:pPr>
    </w:p>
    <w:p>
      <w:pPr>
        <w:pStyle w:val="ListParagraph"/>
        <w:numPr>
          <w:ilvl w:val="0"/>
          <w:numId w:val="4"/>
        </w:numPr>
        <w:tabs>
          <w:tab w:pos="2967" w:val="left" w:leader="none"/>
        </w:tabs>
        <w:spacing w:line="240" w:lineRule="auto" w:before="0" w:after="0"/>
        <w:ind w:left="2246" w:right="2235" w:firstLine="0"/>
        <w:jc w:val="both"/>
        <w:rPr>
          <w:sz w:val="20"/>
        </w:rPr>
      </w:pPr>
      <w:r>
        <w:rPr>
          <w:sz w:val="20"/>
        </w:rPr>
        <w:t>The requested amount has increased by €327.1 thousand (1,627.4 per cent). An additional amount of €224.6 thousand is requested in GSS to engage experts in connection with the Registry’s Strategic Plan for the implementation of the external expert review and recommendations</w:t>
      </w:r>
      <w:r>
        <w:rPr>
          <w:spacing w:val="-6"/>
          <w:sz w:val="20"/>
        </w:rPr>
        <w:t> </w:t>
      </w:r>
      <w:r>
        <w:rPr>
          <w:sz w:val="20"/>
        </w:rPr>
        <w:t>on</w:t>
      </w:r>
      <w:r>
        <w:rPr>
          <w:spacing w:val="-5"/>
          <w:sz w:val="20"/>
        </w:rPr>
        <w:t> </w:t>
      </w:r>
      <w:r>
        <w:rPr>
          <w:sz w:val="20"/>
        </w:rPr>
        <w:t>the</w:t>
      </w:r>
      <w:r>
        <w:rPr>
          <w:spacing w:val="-4"/>
          <w:sz w:val="20"/>
        </w:rPr>
        <w:t> </w:t>
      </w:r>
      <w:r>
        <w:rPr>
          <w:sz w:val="20"/>
        </w:rPr>
        <w:t>procurement process. Furthermore,</w:t>
      </w:r>
      <w:r>
        <w:rPr>
          <w:spacing w:val="-3"/>
          <w:sz w:val="20"/>
        </w:rPr>
        <w:t> </w:t>
      </w:r>
      <w:r>
        <w:rPr>
          <w:sz w:val="20"/>
        </w:rPr>
        <w:t>€121.1</w:t>
      </w:r>
      <w:r>
        <w:rPr>
          <w:spacing w:val="-5"/>
          <w:sz w:val="20"/>
        </w:rPr>
        <w:t> </w:t>
      </w:r>
      <w:r>
        <w:rPr>
          <w:sz w:val="20"/>
        </w:rPr>
        <w:t>thousand</w:t>
      </w:r>
      <w:r>
        <w:rPr>
          <w:spacing w:val="-5"/>
          <w:sz w:val="20"/>
        </w:rPr>
        <w:t> </w:t>
      </w:r>
      <w:r>
        <w:rPr>
          <w:sz w:val="20"/>
        </w:rPr>
        <w:t>is proposed</w:t>
      </w:r>
      <w:r>
        <w:rPr>
          <w:spacing w:val="-5"/>
          <w:sz w:val="20"/>
        </w:rPr>
        <w:t> </w:t>
      </w:r>
      <w:r>
        <w:rPr>
          <w:sz w:val="20"/>
        </w:rPr>
        <w:t>in HRS</w:t>
      </w:r>
      <w:r>
        <w:rPr>
          <w:spacing w:val="-5"/>
          <w:sz w:val="20"/>
        </w:rPr>
        <w:t> </w:t>
      </w:r>
      <w:r>
        <w:rPr>
          <w:sz w:val="20"/>
        </w:rPr>
        <w:t>for</w:t>
      </w:r>
      <w:r>
        <w:rPr>
          <w:spacing w:val="-13"/>
          <w:sz w:val="20"/>
        </w:rPr>
        <w:t> </w:t>
      </w:r>
      <w:r>
        <w:rPr>
          <w:sz w:val="20"/>
        </w:rPr>
        <w:t>a</w:t>
      </w:r>
      <w:r>
        <w:rPr>
          <w:spacing w:val="-6"/>
          <w:sz w:val="20"/>
        </w:rPr>
        <w:t> </w:t>
      </w:r>
      <w:r>
        <w:rPr>
          <w:sz w:val="20"/>
        </w:rPr>
        <w:t>number</w:t>
      </w:r>
      <w:r>
        <w:rPr>
          <w:spacing w:val="-8"/>
          <w:sz w:val="20"/>
        </w:rPr>
        <w:t> </w:t>
      </w:r>
      <w:r>
        <w:rPr>
          <w:sz w:val="20"/>
        </w:rPr>
        <w:t>of</w:t>
      </w:r>
      <w:r>
        <w:rPr>
          <w:spacing w:val="-8"/>
          <w:sz w:val="20"/>
        </w:rPr>
        <w:t> </w:t>
      </w:r>
      <w:r>
        <w:rPr>
          <w:sz w:val="20"/>
        </w:rPr>
        <w:t>efforts</w:t>
      </w:r>
      <w:r>
        <w:rPr>
          <w:spacing w:val="-10"/>
          <w:sz w:val="20"/>
        </w:rPr>
        <w:t> </w:t>
      </w:r>
      <w:r>
        <w:rPr>
          <w:sz w:val="20"/>
        </w:rPr>
        <w:t>directly</w:t>
      </w:r>
      <w:r>
        <w:rPr>
          <w:spacing w:val="-8"/>
          <w:sz w:val="20"/>
        </w:rPr>
        <w:t> </w:t>
      </w:r>
      <w:r>
        <w:rPr>
          <w:sz w:val="20"/>
        </w:rPr>
        <w:t>related</w:t>
      </w:r>
      <w:r>
        <w:rPr>
          <w:spacing w:val="-8"/>
          <w:sz w:val="20"/>
        </w:rPr>
        <w:t> </w:t>
      </w:r>
      <w:r>
        <w:rPr>
          <w:sz w:val="20"/>
        </w:rPr>
        <w:t>to</w:t>
      </w:r>
      <w:r>
        <w:rPr>
          <w:spacing w:val="-13"/>
          <w:sz w:val="20"/>
        </w:rPr>
        <w:t> </w:t>
      </w:r>
      <w:r>
        <w:rPr>
          <w:sz w:val="20"/>
        </w:rPr>
        <w:t>the</w:t>
      </w:r>
      <w:r>
        <w:rPr>
          <w:spacing w:val="-10"/>
          <w:sz w:val="20"/>
        </w:rPr>
        <w:t> </w:t>
      </w:r>
      <w:r>
        <w:rPr>
          <w:sz w:val="20"/>
        </w:rPr>
        <w:t>implementation</w:t>
      </w:r>
      <w:r>
        <w:rPr>
          <w:spacing w:val="-8"/>
          <w:sz w:val="20"/>
        </w:rPr>
        <w:t> </w:t>
      </w:r>
      <w:r>
        <w:rPr>
          <w:sz w:val="20"/>
        </w:rPr>
        <w:t>of</w:t>
      </w:r>
      <w:r>
        <w:rPr>
          <w:spacing w:val="-8"/>
          <w:sz w:val="20"/>
        </w:rPr>
        <w:t> </w:t>
      </w:r>
      <w:r>
        <w:rPr>
          <w:sz w:val="20"/>
        </w:rPr>
        <w:t>the</w:t>
      </w:r>
      <w:r>
        <w:rPr>
          <w:spacing w:val="-7"/>
          <w:sz w:val="20"/>
        </w:rPr>
        <w:t> </w:t>
      </w:r>
      <w:r>
        <w:rPr>
          <w:sz w:val="20"/>
        </w:rPr>
        <w:t>Registry’s</w:t>
      </w:r>
      <w:r>
        <w:rPr>
          <w:spacing w:val="-10"/>
          <w:sz w:val="20"/>
        </w:rPr>
        <w:t> </w:t>
      </w:r>
      <w:r>
        <w:rPr>
          <w:sz w:val="20"/>
        </w:rPr>
        <w:t>Strategic Plan; including an annual pulse survey to assess staff well-being and engagement; the implementation of recommendations in relation to the improvement of the recruitment process;</w:t>
      </w:r>
      <w:r>
        <w:rPr>
          <w:spacing w:val="-1"/>
          <w:sz w:val="20"/>
        </w:rPr>
        <w:t> </w:t>
      </w:r>
      <w:r>
        <w:rPr>
          <w:sz w:val="20"/>
        </w:rPr>
        <w:t>the establishment of job families and competency</w:t>
      </w:r>
      <w:r>
        <w:rPr>
          <w:spacing w:val="-3"/>
          <w:sz w:val="20"/>
        </w:rPr>
        <w:t> </w:t>
      </w:r>
      <w:r>
        <w:rPr>
          <w:sz w:val="20"/>
        </w:rPr>
        <w:t>mapping to initiate</w:t>
      </w:r>
      <w:r>
        <w:rPr>
          <w:spacing w:val="-1"/>
          <w:sz w:val="20"/>
        </w:rPr>
        <w:t> </w:t>
      </w:r>
      <w:r>
        <w:rPr>
          <w:sz w:val="20"/>
        </w:rPr>
        <w:t>the</w:t>
      </w:r>
      <w:r>
        <w:rPr>
          <w:spacing w:val="-1"/>
          <w:sz w:val="20"/>
        </w:rPr>
        <w:t> </w:t>
      </w:r>
      <w:r>
        <w:rPr>
          <w:sz w:val="20"/>
        </w:rPr>
        <w:t>transition to more generic job profiles and support the planning and mobility required for a more flexible workforce. These resources are non-recurrent.</w:t>
      </w:r>
    </w:p>
    <w:p>
      <w:pPr>
        <w:pStyle w:val="ListParagraph"/>
        <w:numPr>
          <w:ilvl w:val="0"/>
          <w:numId w:val="4"/>
        </w:numPr>
        <w:tabs>
          <w:tab w:pos="2967" w:val="left" w:leader="none"/>
        </w:tabs>
        <w:spacing w:line="240" w:lineRule="auto" w:before="120" w:after="0"/>
        <w:ind w:left="2246" w:right="2250" w:firstLine="0"/>
        <w:jc w:val="both"/>
        <w:rPr>
          <w:sz w:val="20"/>
        </w:rPr>
      </w:pPr>
      <w:r>
        <w:rPr>
          <w:sz w:val="20"/>
        </w:rPr>
        <w:t>Limited resources are also required mainly for an expert consultant to provide support on the administration of the Court’s insurance programmes.</w:t>
      </w:r>
    </w:p>
    <w:p>
      <w:pPr>
        <w:pStyle w:val="BodyText"/>
        <w:spacing w:before="11"/>
      </w:pPr>
    </w:p>
    <w:p>
      <w:pPr>
        <w:tabs>
          <w:tab w:pos="8138" w:val="left" w:leader="none"/>
        </w:tabs>
        <w:spacing w:before="0"/>
        <w:ind w:left="2246" w:right="0" w:firstLine="0"/>
        <w:jc w:val="left"/>
        <w:rPr>
          <w:i/>
          <w:sz w:val="20"/>
        </w:rPr>
      </w:pPr>
      <w:r>
        <w:rPr>
          <w:i/>
          <w:sz w:val="20"/>
        </w:rPr>
        <w:t>General</w:t>
      </w:r>
      <w:r>
        <w:rPr>
          <w:i/>
          <w:spacing w:val="-7"/>
          <w:sz w:val="20"/>
        </w:rPr>
        <w:t> </w:t>
      </w:r>
      <w:r>
        <w:rPr>
          <w:i/>
          <w:sz w:val="20"/>
        </w:rPr>
        <w:t>operating</w:t>
      </w:r>
      <w:r>
        <w:rPr>
          <w:i/>
          <w:spacing w:val="-8"/>
          <w:sz w:val="20"/>
        </w:rPr>
        <w:t> </w:t>
      </w:r>
      <w:r>
        <w:rPr>
          <w:i/>
          <w:spacing w:val="-2"/>
          <w:sz w:val="20"/>
        </w:rPr>
        <w:t>expenses</w:t>
      </w:r>
      <w:r>
        <w:rPr>
          <w:i/>
          <w:sz w:val="20"/>
        </w:rPr>
        <w:tab/>
        <w:t>€3,386.0</w:t>
      </w:r>
      <w:r>
        <w:rPr>
          <w:i/>
          <w:spacing w:val="-11"/>
          <w:sz w:val="20"/>
        </w:rPr>
        <w:t> </w:t>
      </w:r>
      <w:r>
        <w:rPr>
          <w:i/>
          <w:spacing w:val="-2"/>
          <w:sz w:val="20"/>
        </w:rPr>
        <w:t>thousand</w:t>
      </w:r>
    </w:p>
    <w:p>
      <w:pPr>
        <w:pStyle w:val="BodyText"/>
        <w:spacing w:before="10"/>
        <w:rPr>
          <w:i/>
        </w:rPr>
      </w:pPr>
    </w:p>
    <w:p>
      <w:pPr>
        <w:pStyle w:val="ListParagraph"/>
        <w:numPr>
          <w:ilvl w:val="0"/>
          <w:numId w:val="4"/>
        </w:numPr>
        <w:tabs>
          <w:tab w:pos="2967" w:val="left" w:leader="none"/>
        </w:tabs>
        <w:spacing w:line="240" w:lineRule="auto" w:before="1" w:after="0"/>
        <w:ind w:left="2246" w:right="2242" w:firstLine="0"/>
        <w:jc w:val="both"/>
        <w:rPr>
          <w:sz w:val="20"/>
        </w:rPr>
      </w:pPr>
      <w:r>
        <w:rPr>
          <w:sz w:val="20"/>
        </w:rPr>
        <w:t>The</w:t>
      </w:r>
      <w:r>
        <w:rPr>
          <w:spacing w:val="-13"/>
          <w:sz w:val="20"/>
        </w:rPr>
        <w:t> </w:t>
      </w:r>
      <w:r>
        <w:rPr>
          <w:sz w:val="20"/>
        </w:rPr>
        <w:t>proposed</w:t>
      </w:r>
      <w:r>
        <w:rPr>
          <w:spacing w:val="-12"/>
          <w:sz w:val="20"/>
        </w:rPr>
        <w:t> </w:t>
      </w:r>
      <w:r>
        <w:rPr>
          <w:sz w:val="20"/>
        </w:rPr>
        <w:t>amount</w:t>
      </w:r>
      <w:r>
        <w:rPr>
          <w:spacing w:val="-13"/>
          <w:sz w:val="20"/>
        </w:rPr>
        <w:t> </w:t>
      </w:r>
      <w:r>
        <w:rPr>
          <w:sz w:val="20"/>
        </w:rPr>
        <w:t>has</w:t>
      </w:r>
      <w:r>
        <w:rPr>
          <w:spacing w:val="-12"/>
          <w:sz w:val="20"/>
        </w:rPr>
        <w:t> </w:t>
      </w:r>
      <w:r>
        <w:rPr>
          <w:sz w:val="20"/>
        </w:rPr>
        <w:t>increased</w:t>
      </w:r>
      <w:r>
        <w:rPr>
          <w:spacing w:val="-13"/>
          <w:sz w:val="20"/>
        </w:rPr>
        <w:t> </w:t>
      </w:r>
      <w:r>
        <w:rPr>
          <w:sz w:val="20"/>
        </w:rPr>
        <w:t>by</w:t>
      </w:r>
      <w:r>
        <w:rPr>
          <w:spacing w:val="-12"/>
          <w:sz w:val="20"/>
        </w:rPr>
        <w:t> </w:t>
      </w:r>
      <w:r>
        <w:rPr>
          <w:sz w:val="20"/>
        </w:rPr>
        <w:t>€688.2</w:t>
      </w:r>
      <w:r>
        <w:rPr>
          <w:spacing w:val="-13"/>
          <w:sz w:val="20"/>
        </w:rPr>
        <w:t> </w:t>
      </w:r>
      <w:r>
        <w:rPr>
          <w:sz w:val="20"/>
        </w:rPr>
        <w:t>thousand</w:t>
      </w:r>
      <w:r>
        <w:rPr>
          <w:spacing w:val="-12"/>
          <w:sz w:val="20"/>
        </w:rPr>
        <w:t> </w:t>
      </w:r>
      <w:r>
        <w:rPr>
          <w:sz w:val="20"/>
        </w:rPr>
        <w:t>(25.5</w:t>
      </w:r>
      <w:r>
        <w:rPr>
          <w:spacing w:val="-13"/>
          <w:sz w:val="20"/>
        </w:rPr>
        <w:t> </w:t>
      </w:r>
      <w:r>
        <w:rPr>
          <w:sz w:val="20"/>
        </w:rPr>
        <w:t>per</w:t>
      </w:r>
      <w:r>
        <w:rPr>
          <w:spacing w:val="-12"/>
          <w:sz w:val="20"/>
        </w:rPr>
        <w:t> </w:t>
      </w:r>
      <w:r>
        <w:rPr>
          <w:sz w:val="20"/>
        </w:rPr>
        <w:t>cent).</w:t>
      </w:r>
      <w:r>
        <w:rPr>
          <w:spacing w:val="-13"/>
          <w:sz w:val="20"/>
        </w:rPr>
        <w:t> </w:t>
      </w:r>
      <w:r>
        <w:rPr>
          <w:sz w:val="20"/>
        </w:rPr>
        <w:t>All</w:t>
      </w:r>
      <w:r>
        <w:rPr>
          <w:spacing w:val="-12"/>
          <w:sz w:val="20"/>
        </w:rPr>
        <w:t> </w:t>
      </w:r>
      <w:r>
        <w:rPr>
          <w:sz w:val="20"/>
        </w:rPr>
        <w:t>resource requirements below are recurrent.</w:t>
      </w:r>
    </w:p>
    <w:p>
      <w:pPr>
        <w:pStyle w:val="ListParagraph"/>
        <w:numPr>
          <w:ilvl w:val="0"/>
          <w:numId w:val="4"/>
        </w:numPr>
        <w:tabs>
          <w:tab w:pos="2967" w:val="left" w:leader="none"/>
        </w:tabs>
        <w:spacing w:line="240" w:lineRule="auto" w:before="116" w:after="0"/>
        <w:ind w:left="2246" w:right="2247" w:firstLine="0"/>
        <w:jc w:val="both"/>
        <w:rPr>
          <w:sz w:val="20"/>
        </w:rPr>
      </w:pPr>
      <w:r>
        <w:rPr>
          <w:sz w:val="20"/>
        </w:rPr>
        <w:t>Approximately €419.0 thousand of the increase is the direct result of inflationary increases in the price indices of utilities and services. This is particularly reflected in the increase for heating and cooling costs by €337.0 thousand due to the price increase in the energy market. Similarly, a price increase of €87.6 thousand is expected in the cleaning contract.</w:t>
      </w:r>
      <w:r>
        <w:rPr>
          <w:spacing w:val="-2"/>
          <w:sz w:val="20"/>
        </w:rPr>
        <w:t> </w:t>
      </w:r>
      <w:r>
        <w:rPr>
          <w:sz w:val="20"/>
        </w:rPr>
        <w:t>Importantly,</w:t>
      </w:r>
      <w:r>
        <w:rPr>
          <w:spacing w:val="-2"/>
          <w:sz w:val="20"/>
        </w:rPr>
        <w:t> </w:t>
      </w:r>
      <w:r>
        <w:rPr>
          <w:sz w:val="20"/>
        </w:rPr>
        <w:t>no</w:t>
      </w:r>
      <w:r>
        <w:rPr>
          <w:spacing w:val="-5"/>
          <w:sz w:val="20"/>
        </w:rPr>
        <w:t> </w:t>
      </w:r>
      <w:r>
        <w:rPr>
          <w:sz w:val="20"/>
        </w:rPr>
        <w:t>increases</w:t>
      </w:r>
      <w:r>
        <w:rPr>
          <w:spacing w:val="-6"/>
          <w:sz w:val="20"/>
        </w:rPr>
        <w:t> </w:t>
      </w:r>
      <w:r>
        <w:rPr>
          <w:sz w:val="20"/>
        </w:rPr>
        <w:t>are</w:t>
      </w:r>
      <w:r>
        <w:rPr>
          <w:spacing w:val="-3"/>
          <w:sz w:val="20"/>
        </w:rPr>
        <w:t> </w:t>
      </w:r>
      <w:r>
        <w:rPr>
          <w:sz w:val="20"/>
        </w:rPr>
        <w:t>expected</w:t>
      </w:r>
      <w:r>
        <w:rPr>
          <w:spacing w:val="-5"/>
          <w:sz w:val="20"/>
        </w:rPr>
        <w:t> </w:t>
      </w:r>
      <w:r>
        <w:rPr>
          <w:sz w:val="20"/>
        </w:rPr>
        <w:t>for</w:t>
      </w:r>
      <w:r>
        <w:rPr>
          <w:spacing w:val="-5"/>
          <w:sz w:val="20"/>
        </w:rPr>
        <w:t> </w:t>
      </w:r>
      <w:r>
        <w:rPr>
          <w:sz w:val="20"/>
        </w:rPr>
        <w:t>electricity in 2023</w:t>
      </w:r>
      <w:r>
        <w:rPr>
          <w:spacing w:val="-5"/>
          <w:sz w:val="20"/>
        </w:rPr>
        <w:t> </w:t>
      </w:r>
      <w:r>
        <w:rPr>
          <w:sz w:val="20"/>
        </w:rPr>
        <w:t>as</w:t>
      </w:r>
      <w:r>
        <w:rPr>
          <w:spacing w:val="-6"/>
          <w:sz w:val="20"/>
        </w:rPr>
        <w:t> </w:t>
      </w:r>
      <w:r>
        <w:rPr>
          <w:sz w:val="20"/>
        </w:rPr>
        <w:t>prices</w:t>
      </w:r>
      <w:r>
        <w:rPr>
          <w:spacing w:val="-6"/>
          <w:sz w:val="20"/>
        </w:rPr>
        <w:t> </w:t>
      </w:r>
      <w:r>
        <w:rPr>
          <w:sz w:val="20"/>
        </w:rPr>
        <w:t>were</w:t>
      </w:r>
      <w:r>
        <w:rPr>
          <w:spacing w:val="-3"/>
          <w:sz w:val="20"/>
        </w:rPr>
        <w:t> </w:t>
      </w:r>
      <w:r>
        <w:rPr>
          <w:sz w:val="20"/>
        </w:rPr>
        <w:t>locked in a multi-year contract. Nevertheless, a significant increase in electrical consumption is likely in future years.</w:t>
      </w:r>
    </w:p>
    <w:p>
      <w:pPr>
        <w:pStyle w:val="ListParagraph"/>
        <w:numPr>
          <w:ilvl w:val="0"/>
          <w:numId w:val="4"/>
        </w:numPr>
        <w:tabs>
          <w:tab w:pos="2967" w:val="left" w:leader="none"/>
        </w:tabs>
        <w:spacing w:line="240" w:lineRule="auto" w:before="123" w:after="0"/>
        <w:ind w:left="2246" w:right="2240" w:firstLine="0"/>
        <w:jc w:val="both"/>
        <w:rPr>
          <w:sz w:val="20"/>
        </w:rPr>
      </w:pPr>
      <w:r>
        <w:rPr>
          <w:sz w:val="20"/>
        </w:rPr>
        <w:t>The</w:t>
      </w:r>
      <w:r>
        <w:rPr>
          <w:spacing w:val="-7"/>
          <w:sz w:val="20"/>
        </w:rPr>
        <w:t> </w:t>
      </w:r>
      <w:r>
        <w:rPr>
          <w:sz w:val="20"/>
        </w:rPr>
        <w:t>bulk</w:t>
      </w:r>
      <w:r>
        <w:rPr>
          <w:spacing w:val="-8"/>
          <w:sz w:val="20"/>
        </w:rPr>
        <w:t> </w:t>
      </w:r>
      <w:r>
        <w:rPr>
          <w:sz w:val="20"/>
        </w:rPr>
        <w:t>of</w:t>
      </w:r>
      <w:r>
        <w:rPr>
          <w:spacing w:val="-8"/>
          <w:sz w:val="20"/>
        </w:rPr>
        <w:t> </w:t>
      </w:r>
      <w:r>
        <w:rPr>
          <w:sz w:val="20"/>
        </w:rPr>
        <w:t>general</w:t>
      </w:r>
      <w:r>
        <w:rPr>
          <w:spacing w:val="-7"/>
          <w:sz w:val="20"/>
        </w:rPr>
        <w:t> </w:t>
      </w:r>
      <w:r>
        <w:rPr>
          <w:sz w:val="20"/>
        </w:rPr>
        <w:t>operating</w:t>
      </w:r>
      <w:r>
        <w:rPr>
          <w:spacing w:val="-8"/>
          <w:sz w:val="20"/>
        </w:rPr>
        <w:t> </w:t>
      </w:r>
      <w:r>
        <w:rPr>
          <w:sz w:val="20"/>
        </w:rPr>
        <w:t>expenses</w:t>
      </w:r>
      <w:r>
        <w:rPr>
          <w:spacing w:val="-10"/>
          <w:sz w:val="20"/>
        </w:rPr>
        <w:t> </w:t>
      </w:r>
      <w:r>
        <w:rPr>
          <w:sz w:val="20"/>
        </w:rPr>
        <w:t>are</w:t>
      </w:r>
      <w:r>
        <w:rPr>
          <w:spacing w:val="-7"/>
          <w:sz w:val="20"/>
        </w:rPr>
        <w:t> </w:t>
      </w:r>
      <w:r>
        <w:rPr>
          <w:sz w:val="20"/>
        </w:rPr>
        <w:t>related</w:t>
      </w:r>
      <w:r>
        <w:rPr>
          <w:spacing w:val="-13"/>
          <w:sz w:val="20"/>
        </w:rPr>
        <w:t> </w:t>
      </w:r>
      <w:r>
        <w:rPr>
          <w:sz w:val="20"/>
        </w:rPr>
        <w:t>to</w:t>
      </w:r>
      <w:r>
        <w:rPr>
          <w:spacing w:val="-7"/>
          <w:sz w:val="20"/>
        </w:rPr>
        <w:t> </w:t>
      </w:r>
      <w:r>
        <w:rPr>
          <w:sz w:val="20"/>
        </w:rPr>
        <w:t>general</w:t>
      </w:r>
      <w:r>
        <w:rPr>
          <w:spacing w:val="-12"/>
          <w:sz w:val="20"/>
        </w:rPr>
        <w:t> </w:t>
      </w:r>
      <w:r>
        <w:rPr>
          <w:sz w:val="20"/>
        </w:rPr>
        <w:t>services</w:t>
      </w:r>
      <w:r>
        <w:rPr>
          <w:spacing w:val="-10"/>
          <w:sz w:val="20"/>
        </w:rPr>
        <w:t> </w:t>
      </w:r>
      <w:r>
        <w:rPr>
          <w:sz w:val="20"/>
        </w:rPr>
        <w:t>in</w:t>
      </w:r>
      <w:r>
        <w:rPr>
          <w:spacing w:val="-8"/>
          <w:sz w:val="20"/>
        </w:rPr>
        <w:t> </w:t>
      </w:r>
      <w:r>
        <w:rPr>
          <w:sz w:val="20"/>
        </w:rPr>
        <w:t>the</w:t>
      </w:r>
      <w:r>
        <w:rPr>
          <w:spacing w:val="-7"/>
          <w:sz w:val="20"/>
        </w:rPr>
        <w:t> </w:t>
      </w:r>
      <w:r>
        <w:rPr>
          <w:sz w:val="20"/>
        </w:rPr>
        <w:t>amount of €2,621.4 thousand and include cleaning at Headquarters; electricity and electrical transmission; heating and cooling; adjustments to premises in The Hague and in situation countries; grounds maintenance; waste management; freight forwarding; vehicle and equipment maintenance at Headquarters; water; and commercial insurance policies. The remainder</w:t>
      </w:r>
      <w:r>
        <w:rPr>
          <w:spacing w:val="-8"/>
          <w:sz w:val="20"/>
        </w:rPr>
        <w:t> </w:t>
      </w:r>
      <w:r>
        <w:rPr>
          <w:sz w:val="20"/>
        </w:rPr>
        <w:t>is</w:t>
      </w:r>
      <w:r>
        <w:rPr>
          <w:spacing w:val="-6"/>
          <w:sz w:val="20"/>
        </w:rPr>
        <w:t> </w:t>
      </w:r>
      <w:r>
        <w:rPr>
          <w:sz w:val="20"/>
        </w:rPr>
        <w:t>made</w:t>
      </w:r>
      <w:r>
        <w:rPr>
          <w:spacing w:val="-8"/>
          <w:sz w:val="20"/>
        </w:rPr>
        <w:t> </w:t>
      </w:r>
      <w:r>
        <w:rPr>
          <w:sz w:val="20"/>
        </w:rPr>
        <w:t>up</w:t>
      </w:r>
      <w:r>
        <w:rPr>
          <w:spacing w:val="-5"/>
          <w:sz w:val="20"/>
        </w:rPr>
        <w:t> </w:t>
      </w:r>
      <w:r>
        <w:rPr>
          <w:sz w:val="20"/>
        </w:rPr>
        <w:t>of</w:t>
      </w:r>
      <w:r>
        <w:rPr>
          <w:spacing w:val="-5"/>
          <w:sz w:val="20"/>
        </w:rPr>
        <w:t> </w:t>
      </w:r>
      <w:r>
        <w:rPr>
          <w:sz w:val="20"/>
        </w:rPr>
        <w:t>smaller</w:t>
      </w:r>
      <w:r>
        <w:rPr>
          <w:spacing w:val="-5"/>
          <w:sz w:val="20"/>
        </w:rPr>
        <w:t> </w:t>
      </w:r>
      <w:r>
        <w:rPr>
          <w:sz w:val="20"/>
        </w:rPr>
        <w:t>items</w:t>
      </w:r>
      <w:r>
        <w:rPr>
          <w:spacing w:val="-1"/>
          <w:sz w:val="20"/>
        </w:rPr>
        <w:t> </w:t>
      </w:r>
      <w:r>
        <w:rPr>
          <w:sz w:val="20"/>
        </w:rPr>
        <w:t>such</w:t>
      </w:r>
      <w:r>
        <w:rPr>
          <w:spacing w:val="-8"/>
          <w:sz w:val="20"/>
        </w:rPr>
        <w:t> </w:t>
      </w:r>
      <w:r>
        <w:rPr>
          <w:sz w:val="20"/>
        </w:rPr>
        <w:t>as</w:t>
      </w:r>
      <w:r>
        <w:rPr>
          <w:spacing w:val="-6"/>
          <w:sz w:val="20"/>
        </w:rPr>
        <w:t> </w:t>
      </w:r>
      <w:r>
        <w:rPr>
          <w:sz w:val="20"/>
        </w:rPr>
        <w:t>furniture</w:t>
      </w:r>
      <w:r>
        <w:rPr>
          <w:spacing w:val="-3"/>
          <w:sz w:val="20"/>
        </w:rPr>
        <w:t> </w:t>
      </w:r>
      <w:r>
        <w:rPr>
          <w:sz w:val="20"/>
        </w:rPr>
        <w:t>repair,</w:t>
      </w:r>
      <w:r>
        <w:rPr>
          <w:spacing w:val="-2"/>
          <w:sz w:val="20"/>
        </w:rPr>
        <w:t> </w:t>
      </w:r>
      <w:r>
        <w:rPr>
          <w:sz w:val="20"/>
        </w:rPr>
        <w:t>sewage</w:t>
      </w:r>
      <w:r>
        <w:rPr>
          <w:spacing w:val="-8"/>
          <w:sz w:val="20"/>
        </w:rPr>
        <w:t> </w:t>
      </w:r>
      <w:r>
        <w:rPr>
          <w:sz w:val="20"/>
        </w:rPr>
        <w:t>charges,</w:t>
      </w:r>
      <w:r>
        <w:rPr>
          <w:spacing w:val="-2"/>
          <w:sz w:val="20"/>
        </w:rPr>
        <w:t> </w:t>
      </w:r>
      <w:r>
        <w:rPr>
          <w:sz w:val="20"/>
        </w:rPr>
        <w:t>pest</w:t>
      </w:r>
      <w:r>
        <w:rPr>
          <w:spacing w:val="-3"/>
          <w:sz w:val="20"/>
        </w:rPr>
        <w:t> </w:t>
      </w:r>
      <w:r>
        <w:rPr>
          <w:sz w:val="20"/>
        </w:rPr>
        <w:t>control, parking permits and other sundries.</w:t>
      </w:r>
    </w:p>
    <w:p>
      <w:pPr>
        <w:pStyle w:val="ListParagraph"/>
        <w:numPr>
          <w:ilvl w:val="0"/>
          <w:numId w:val="4"/>
        </w:numPr>
        <w:tabs>
          <w:tab w:pos="2967" w:val="left" w:leader="none"/>
        </w:tabs>
        <w:spacing w:line="240" w:lineRule="auto" w:before="119" w:after="0"/>
        <w:ind w:left="2246" w:right="2236" w:firstLine="0"/>
        <w:jc w:val="both"/>
        <w:rPr>
          <w:sz w:val="20"/>
        </w:rPr>
      </w:pPr>
      <w:r>
        <w:rPr>
          <w:sz w:val="20"/>
        </w:rPr>
        <w:t>Additional resources in the amount of €123.8 thousand are required in HRS for initiatives in furthering the Registry’s Strategic Plan, including for LinkedIn recruiter seats for</w:t>
      </w:r>
      <w:r>
        <w:rPr>
          <w:spacing w:val="-12"/>
          <w:sz w:val="20"/>
        </w:rPr>
        <w:t> </w:t>
      </w:r>
      <w:r>
        <w:rPr>
          <w:sz w:val="20"/>
        </w:rPr>
        <w:t>candidate</w:t>
      </w:r>
      <w:r>
        <w:rPr>
          <w:spacing w:val="-9"/>
          <w:sz w:val="20"/>
        </w:rPr>
        <w:t> </w:t>
      </w:r>
      <w:r>
        <w:rPr>
          <w:sz w:val="20"/>
        </w:rPr>
        <w:t>sourcing</w:t>
      </w:r>
      <w:r>
        <w:rPr>
          <w:spacing w:val="-10"/>
          <w:sz w:val="20"/>
        </w:rPr>
        <w:t> </w:t>
      </w:r>
      <w:r>
        <w:rPr>
          <w:sz w:val="20"/>
        </w:rPr>
        <w:t>and</w:t>
      </w:r>
      <w:r>
        <w:rPr>
          <w:spacing w:val="-10"/>
          <w:sz w:val="20"/>
        </w:rPr>
        <w:t> </w:t>
      </w:r>
      <w:r>
        <w:rPr>
          <w:sz w:val="20"/>
        </w:rPr>
        <w:t>improving</w:t>
      </w:r>
      <w:r>
        <w:rPr>
          <w:spacing w:val="-13"/>
          <w:sz w:val="20"/>
        </w:rPr>
        <w:t> </w:t>
      </w:r>
      <w:r>
        <w:rPr>
          <w:sz w:val="20"/>
        </w:rPr>
        <w:t>gender</w:t>
      </w:r>
      <w:r>
        <w:rPr>
          <w:spacing w:val="-12"/>
          <w:sz w:val="20"/>
        </w:rPr>
        <w:t> </w:t>
      </w:r>
      <w:r>
        <w:rPr>
          <w:sz w:val="20"/>
        </w:rPr>
        <w:t>and</w:t>
      </w:r>
      <w:r>
        <w:rPr>
          <w:spacing w:val="-10"/>
          <w:sz w:val="20"/>
        </w:rPr>
        <w:t> </w:t>
      </w:r>
      <w:r>
        <w:rPr>
          <w:sz w:val="20"/>
        </w:rPr>
        <w:t>geographical</w:t>
      </w:r>
      <w:r>
        <w:rPr>
          <w:spacing w:val="-9"/>
          <w:sz w:val="20"/>
        </w:rPr>
        <w:t> </w:t>
      </w:r>
      <w:r>
        <w:rPr>
          <w:sz w:val="20"/>
        </w:rPr>
        <w:t>balance</w:t>
      </w:r>
      <w:r>
        <w:rPr>
          <w:spacing w:val="-9"/>
          <w:sz w:val="20"/>
        </w:rPr>
        <w:t> </w:t>
      </w:r>
      <w:r>
        <w:rPr>
          <w:sz w:val="20"/>
        </w:rPr>
        <w:t>in</w:t>
      </w:r>
      <w:r>
        <w:rPr>
          <w:spacing w:val="-10"/>
          <w:sz w:val="20"/>
        </w:rPr>
        <w:t> </w:t>
      </w:r>
      <w:r>
        <w:rPr>
          <w:sz w:val="20"/>
        </w:rPr>
        <w:t>applications,</w:t>
      </w:r>
      <w:r>
        <w:rPr>
          <w:spacing w:val="-8"/>
          <w:sz w:val="20"/>
        </w:rPr>
        <w:t> </w:t>
      </w:r>
      <w:r>
        <w:rPr>
          <w:sz w:val="20"/>
        </w:rPr>
        <w:t>video interview system and a competency assessment system, as well as for the digital personnel files and HR service platform. Furthermore, resources in the amount of €36.8 thousand continued to be required for the Court’s software licensing fees for its online learning management system.</w:t>
      </w:r>
    </w:p>
    <w:p>
      <w:pPr>
        <w:spacing w:after="0" w:line="240" w:lineRule="auto"/>
        <w:jc w:val="both"/>
        <w:rPr>
          <w:sz w:val="20"/>
        </w:rPr>
        <w:sectPr>
          <w:pgSz w:w="11910" w:h="16840"/>
          <w:pgMar w:header="957" w:footer="940" w:top="1140" w:bottom="1140" w:left="20" w:right="20"/>
        </w:sectPr>
      </w:pPr>
    </w:p>
    <w:p>
      <w:pPr>
        <w:pStyle w:val="ListParagraph"/>
        <w:numPr>
          <w:ilvl w:val="0"/>
          <w:numId w:val="4"/>
        </w:numPr>
        <w:tabs>
          <w:tab w:pos="2967" w:val="left" w:leader="none"/>
        </w:tabs>
        <w:spacing w:line="240" w:lineRule="auto" w:before="124" w:after="0"/>
        <w:ind w:left="2246" w:right="2235" w:firstLine="0"/>
        <w:jc w:val="both"/>
        <w:rPr>
          <w:sz w:val="20"/>
        </w:rPr>
      </w:pPr>
      <w:r>
        <w:rPr>
          <w:sz w:val="20"/>
        </w:rPr>
        <w:t>An amount of €341.0 thousand is required to cover maintenance fees for SAP licenses, fixed costs related to SAP software maintenance and SAP SuccessFactors cloud service</w:t>
      </w:r>
      <w:r>
        <w:rPr>
          <w:spacing w:val="-2"/>
          <w:sz w:val="20"/>
        </w:rPr>
        <w:t> </w:t>
      </w:r>
      <w:r>
        <w:rPr>
          <w:sz w:val="20"/>
        </w:rPr>
        <w:t>subscription</w:t>
      </w:r>
      <w:r>
        <w:rPr>
          <w:spacing w:val="-4"/>
          <w:sz w:val="20"/>
        </w:rPr>
        <w:t> </w:t>
      </w:r>
      <w:r>
        <w:rPr>
          <w:sz w:val="20"/>
        </w:rPr>
        <w:t>fees.</w:t>
      </w:r>
      <w:r>
        <w:rPr>
          <w:spacing w:val="-1"/>
          <w:sz w:val="20"/>
        </w:rPr>
        <w:t> </w:t>
      </w:r>
      <w:r>
        <w:rPr>
          <w:sz w:val="20"/>
        </w:rPr>
        <w:t>These</w:t>
      </w:r>
      <w:r>
        <w:rPr>
          <w:spacing w:val="-7"/>
          <w:sz w:val="20"/>
        </w:rPr>
        <w:t> </w:t>
      </w:r>
      <w:r>
        <w:rPr>
          <w:sz w:val="20"/>
        </w:rPr>
        <w:t>costs</w:t>
      </w:r>
      <w:r>
        <w:rPr>
          <w:spacing w:val="-5"/>
          <w:sz w:val="20"/>
        </w:rPr>
        <w:t> </w:t>
      </w:r>
      <w:r>
        <w:rPr>
          <w:sz w:val="20"/>
        </w:rPr>
        <w:t>are fixed</w:t>
      </w:r>
      <w:r>
        <w:rPr>
          <w:spacing w:val="-4"/>
          <w:sz w:val="20"/>
        </w:rPr>
        <w:t> </w:t>
      </w:r>
      <w:r>
        <w:rPr>
          <w:sz w:val="20"/>
        </w:rPr>
        <w:t>and</w:t>
      </w:r>
      <w:r>
        <w:rPr>
          <w:spacing w:val="-4"/>
          <w:sz w:val="20"/>
        </w:rPr>
        <w:t> </w:t>
      </w:r>
      <w:r>
        <w:rPr>
          <w:sz w:val="20"/>
        </w:rPr>
        <w:t>directly related</w:t>
      </w:r>
      <w:r>
        <w:rPr>
          <w:spacing w:val="-4"/>
          <w:sz w:val="20"/>
        </w:rPr>
        <w:t> </w:t>
      </w:r>
      <w:r>
        <w:rPr>
          <w:sz w:val="20"/>
        </w:rPr>
        <w:t>to</w:t>
      </w:r>
      <w:r>
        <w:rPr>
          <w:spacing w:val="-4"/>
          <w:sz w:val="20"/>
        </w:rPr>
        <w:t> </w:t>
      </w:r>
      <w:r>
        <w:rPr>
          <w:sz w:val="20"/>
        </w:rPr>
        <w:t>the number</w:t>
      </w:r>
      <w:r>
        <w:rPr>
          <w:spacing w:val="-4"/>
          <w:sz w:val="20"/>
        </w:rPr>
        <w:t> </w:t>
      </w:r>
      <w:r>
        <w:rPr>
          <w:sz w:val="20"/>
        </w:rPr>
        <w:t>of</w:t>
      </w:r>
      <w:r>
        <w:rPr>
          <w:spacing w:val="-4"/>
          <w:sz w:val="20"/>
        </w:rPr>
        <w:t> </w:t>
      </w:r>
      <w:r>
        <w:rPr>
          <w:sz w:val="20"/>
        </w:rPr>
        <w:t>users</w:t>
      </w:r>
      <w:r>
        <w:rPr>
          <w:spacing w:val="-5"/>
          <w:sz w:val="20"/>
        </w:rPr>
        <w:t> </w:t>
      </w:r>
      <w:r>
        <w:rPr>
          <w:sz w:val="20"/>
        </w:rPr>
        <w:t>at the Court. They are optimized by retaining the most economical license type according to user needs. An amount of €17.0 thousand is required to cover license costs and data maintenance for the digital medical filing system (healthcare management software) which allows</w:t>
      </w:r>
      <w:r>
        <w:rPr>
          <w:spacing w:val="-13"/>
          <w:sz w:val="20"/>
        </w:rPr>
        <w:t> </w:t>
      </w:r>
      <w:r>
        <w:rPr>
          <w:sz w:val="20"/>
        </w:rPr>
        <w:t>the</w:t>
      </w:r>
      <w:r>
        <w:rPr>
          <w:spacing w:val="-8"/>
          <w:sz w:val="20"/>
        </w:rPr>
        <w:t> </w:t>
      </w:r>
      <w:r>
        <w:rPr>
          <w:sz w:val="20"/>
        </w:rPr>
        <w:t>Court</w:t>
      </w:r>
      <w:r>
        <w:rPr>
          <w:spacing w:val="-12"/>
          <w:sz w:val="20"/>
        </w:rPr>
        <w:t> </w:t>
      </w:r>
      <w:r>
        <w:rPr>
          <w:sz w:val="20"/>
        </w:rPr>
        <w:t>to</w:t>
      </w:r>
      <w:r>
        <w:rPr>
          <w:spacing w:val="-13"/>
          <w:sz w:val="20"/>
        </w:rPr>
        <w:t> </w:t>
      </w:r>
      <w:r>
        <w:rPr>
          <w:sz w:val="20"/>
        </w:rPr>
        <w:t>perform</w:t>
      </w:r>
      <w:r>
        <w:rPr>
          <w:spacing w:val="-12"/>
          <w:sz w:val="20"/>
        </w:rPr>
        <w:t> </w:t>
      </w:r>
      <w:r>
        <w:rPr>
          <w:sz w:val="20"/>
        </w:rPr>
        <w:t>health</w:t>
      </w:r>
      <w:r>
        <w:rPr>
          <w:spacing w:val="-9"/>
          <w:sz w:val="20"/>
        </w:rPr>
        <w:t> </w:t>
      </w:r>
      <w:r>
        <w:rPr>
          <w:sz w:val="20"/>
        </w:rPr>
        <w:t>risk</w:t>
      </w:r>
      <w:r>
        <w:rPr>
          <w:spacing w:val="-13"/>
          <w:sz w:val="20"/>
        </w:rPr>
        <w:t> </w:t>
      </w:r>
      <w:r>
        <w:rPr>
          <w:sz w:val="20"/>
        </w:rPr>
        <w:t>assessments,</w:t>
      </w:r>
      <w:r>
        <w:rPr>
          <w:spacing w:val="-11"/>
          <w:sz w:val="20"/>
        </w:rPr>
        <w:t> </w:t>
      </w:r>
      <w:r>
        <w:rPr>
          <w:sz w:val="20"/>
        </w:rPr>
        <w:t>recommend</w:t>
      </w:r>
      <w:r>
        <w:rPr>
          <w:spacing w:val="-8"/>
          <w:sz w:val="20"/>
        </w:rPr>
        <w:t> </w:t>
      </w:r>
      <w:r>
        <w:rPr>
          <w:sz w:val="20"/>
        </w:rPr>
        <w:t>prevention</w:t>
      </w:r>
      <w:r>
        <w:rPr>
          <w:spacing w:val="-8"/>
          <w:sz w:val="20"/>
        </w:rPr>
        <w:t> </w:t>
      </w:r>
      <w:r>
        <w:rPr>
          <w:sz w:val="20"/>
        </w:rPr>
        <w:t>programmes</w:t>
      </w:r>
      <w:r>
        <w:rPr>
          <w:spacing w:val="-13"/>
          <w:sz w:val="20"/>
        </w:rPr>
        <w:t> </w:t>
      </w:r>
      <w:r>
        <w:rPr>
          <w:sz w:val="20"/>
        </w:rPr>
        <w:t>and provide management with validated up-to-date information.</w:t>
      </w:r>
    </w:p>
    <w:p>
      <w:pPr>
        <w:pStyle w:val="ListParagraph"/>
        <w:numPr>
          <w:ilvl w:val="0"/>
          <w:numId w:val="4"/>
        </w:numPr>
        <w:tabs>
          <w:tab w:pos="2967" w:val="left" w:leader="none"/>
        </w:tabs>
        <w:spacing w:line="240" w:lineRule="auto" w:before="124" w:after="0"/>
        <w:ind w:left="2246" w:right="2235" w:firstLine="0"/>
        <w:jc w:val="both"/>
        <w:rPr>
          <w:sz w:val="20"/>
        </w:rPr>
      </w:pPr>
      <w:r>
        <w:rPr>
          <w:sz w:val="20"/>
        </w:rPr>
        <w:t>An amount of €176.0 thousand is required for the following security-related services:</w:t>
      </w:r>
      <w:r>
        <w:rPr>
          <w:spacing w:val="80"/>
          <w:w w:val="150"/>
          <w:sz w:val="20"/>
        </w:rPr>
        <w:t> </w:t>
      </w:r>
      <w:r>
        <w:rPr>
          <w:sz w:val="20"/>
        </w:rPr>
        <w:t>(i)</w:t>
      </w:r>
      <w:r>
        <w:rPr>
          <w:spacing w:val="80"/>
          <w:w w:val="150"/>
          <w:sz w:val="20"/>
        </w:rPr>
        <w:t> </w:t>
      </w:r>
      <w:r>
        <w:rPr>
          <w:sz w:val="20"/>
        </w:rPr>
        <w:t>the</w:t>
      </w:r>
      <w:r>
        <w:rPr>
          <w:spacing w:val="80"/>
          <w:w w:val="150"/>
          <w:sz w:val="20"/>
        </w:rPr>
        <w:t> </w:t>
      </w:r>
      <w:r>
        <w:rPr>
          <w:sz w:val="20"/>
        </w:rPr>
        <w:t>United</w:t>
      </w:r>
      <w:r>
        <w:rPr>
          <w:spacing w:val="80"/>
          <w:w w:val="150"/>
          <w:sz w:val="20"/>
        </w:rPr>
        <w:t> </w:t>
      </w:r>
      <w:r>
        <w:rPr>
          <w:sz w:val="20"/>
        </w:rPr>
        <w:t>Nations</w:t>
      </w:r>
      <w:r>
        <w:rPr>
          <w:spacing w:val="80"/>
          <w:w w:val="150"/>
          <w:sz w:val="20"/>
        </w:rPr>
        <w:t> </w:t>
      </w:r>
      <w:r>
        <w:rPr>
          <w:sz w:val="20"/>
        </w:rPr>
        <w:t>Security</w:t>
      </w:r>
      <w:r>
        <w:rPr>
          <w:spacing w:val="80"/>
          <w:w w:val="150"/>
          <w:sz w:val="20"/>
        </w:rPr>
        <w:t> </w:t>
      </w:r>
      <w:r>
        <w:rPr>
          <w:sz w:val="20"/>
        </w:rPr>
        <w:t>Management</w:t>
      </w:r>
      <w:r>
        <w:rPr>
          <w:spacing w:val="80"/>
          <w:w w:val="150"/>
          <w:sz w:val="20"/>
        </w:rPr>
        <w:t> </w:t>
      </w:r>
      <w:r>
        <w:rPr>
          <w:sz w:val="20"/>
        </w:rPr>
        <w:t>System</w:t>
      </w:r>
      <w:r>
        <w:rPr>
          <w:spacing w:val="80"/>
          <w:w w:val="150"/>
          <w:sz w:val="20"/>
        </w:rPr>
        <w:t> </w:t>
      </w:r>
      <w:r>
        <w:rPr>
          <w:sz w:val="20"/>
        </w:rPr>
        <w:t>membership</w:t>
      </w:r>
      <w:r>
        <w:rPr>
          <w:spacing w:val="80"/>
          <w:w w:val="150"/>
          <w:sz w:val="20"/>
        </w:rPr>
        <w:t> </w:t>
      </w:r>
      <w:r>
        <w:rPr>
          <w:sz w:val="20"/>
        </w:rPr>
        <w:t>fee;</w:t>
      </w:r>
    </w:p>
    <w:p>
      <w:pPr>
        <w:pStyle w:val="ListParagraph"/>
        <w:numPr>
          <w:ilvl w:val="0"/>
          <w:numId w:val="14"/>
        </w:numPr>
        <w:tabs>
          <w:tab w:pos="2545" w:val="left" w:leader="none"/>
        </w:tabs>
        <w:spacing w:line="240" w:lineRule="auto" w:before="0" w:after="0"/>
        <w:ind w:left="2246" w:right="2249" w:firstLine="0"/>
        <w:jc w:val="both"/>
        <w:rPr>
          <w:sz w:val="20"/>
        </w:rPr>
      </w:pPr>
      <w:r>
        <w:rPr>
          <w:sz w:val="20"/>
        </w:rPr>
        <w:t>mandatory</w:t>
      </w:r>
      <w:r>
        <w:rPr>
          <w:spacing w:val="-13"/>
          <w:sz w:val="20"/>
        </w:rPr>
        <w:t> </w:t>
      </w:r>
      <w:r>
        <w:rPr>
          <w:sz w:val="20"/>
        </w:rPr>
        <w:t>inspections</w:t>
      </w:r>
      <w:r>
        <w:rPr>
          <w:spacing w:val="-12"/>
          <w:sz w:val="20"/>
        </w:rPr>
        <w:t> </w:t>
      </w:r>
      <w:r>
        <w:rPr>
          <w:sz w:val="20"/>
        </w:rPr>
        <w:t>and</w:t>
      </w:r>
      <w:r>
        <w:rPr>
          <w:spacing w:val="-13"/>
          <w:sz w:val="20"/>
        </w:rPr>
        <w:t> </w:t>
      </w:r>
      <w:r>
        <w:rPr>
          <w:sz w:val="20"/>
        </w:rPr>
        <w:t>preventative</w:t>
      </w:r>
      <w:r>
        <w:rPr>
          <w:spacing w:val="-12"/>
          <w:sz w:val="20"/>
        </w:rPr>
        <w:t> </w:t>
      </w:r>
      <w:r>
        <w:rPr>
          <w:sz w:val="20"/>
        </w:rPr>
        <w:t>and</w:t>
      </w:r>
      <w:r>
        <w:rPr>
          <w:spacing w:val="-13"/>
          <w:sz w:val="20"/>
        </w:rPr>
        <w:t> </w:t>
      </w:r>
      <w:r>
        <w:rPr>
          <w:sz w:val="20"/>
        </w:rPr>
        <w:t>corrective</w:t>
      </w:r>
      <w:r>
        <w:rPr>
          <w:spacing w:val="-12"/>
          <w:sz w:val="20"/>
        </w:rPr>
        <w:t> </w:t>
      </w:r>
      <w:r>
        <w:rPr>
          <w:sz w:val="20"/>
        </w:rPr>
        <w:t>maintenance</w:t>
      </w:r>
      <w:r>
        <w:rPr>
          <w:spacing w:val="-13"/>
          <w:sz w:val="20"/>
        </w:rPr>
        <w:t> </w:t>
      </w:r>
      <w:r>
        <w:rPr>
          <w:sz w:val="20"/>
        </w:rPr>
        <w:t>of</w:t>
      </w:r>
      <w:r>
        <w:rPr>
          <w:spacing w:val="-11"/>
          <w:sz w:val="20"/>
        </w:rPr>
        <w:t> </w:t>
      </w:r>
      <w:r>
        <w:rPr>
          <w:sz w:val="20"/>
        </w:rPr>
        <w:t>security</w:t>
      </w:r>
      <w:r>
        <w:rPr>
          <w:spacing w:val="-13"/>
          <w:sz w:val="20"/>
        </w:rPr>
        <w:t> </w:t>
      </w:r>
      <w:r>
        <w:rPr>
          <w:sz w:val="20"/>
        </w:rPr>
        <w:t>screening equipment</w:t>
      </w:r>
      <w:r>
        <w:rPr>
          <w:spacing w:val="26"/>
          <w:sz w:val="20"/>
        </w:rPr>
        <w:t> </w:t>
      </w:r>
      <w:r>
        <w:rPr>
          <w:sz w:val="20"/>
        </w:rPr>
        <w:t>(X-ray</w:t>
      </w:r>
      <w:r>
        <w:rPr>
          <w:spacing w:val="24"/>
          <w:sz w:val="20"/>
        </w:rPr>
        <w:t> </w:t>
      </w:r>
      <w:r>
        <w:rPr>
          <w:sz w:val="20"/>
        </w:rPr>
        <w:t>machines,</w:t>
      </w:r>
      <w:r>
        <w:rPr>
          <w:spacing w:val="27"/>
          <w:sz w:val="20"/>
        </w:rPr>
        <w:t> </w:t>
      </w:r>
      <w:r>
        <w:rPr>
          <w:sz w:val="20"/>
        </w:rPr>
        <w:t>walkthrough metal</w:t>
      </w:r>
      <w:r>
        <w:rPr>
          <w:spacing w:val="26"/>
          <w:sz w:val="20"/>
        </w:rPr>
        <w:t> </w:t>
      </w:r>
      <w:r>
        <w:rPr>
          <w:sz w:val="20"/>
        </w:rPr>
        <w:t>detectors and</w:t>
      </w:r>
      <w:r>
        <w:rPr>
          <w:spacing w:val="24"/>
          <w:sz w:val="20"/>
        </w:rPr>
        <w:t> </w:t>
      </w:r>
      <w:r>
        <w:rPr>
          <w:sz w:val="20"/>
        </w:rPr>
        <w:t>handheld</w:t>
      </w:r>
      <w:r>
        <w:rPr>
          <w:spacing w:val="24"/>
          <w:sz w:val="20"/>
        </w:rPr>
        <w:t> </w:t>
      </w:r>
      <w:r>
        <w:rPr>
          <w:sz w:val="20"/>
        </w:rPr>
        <w:t>metal</w:t>
      </w:r>
      <w:r>
        <w:rPr>
          <w:spacing w:val="26"/>
          <w:sz w:val="20"/>
        </w:rPr>
        <w:t> </w:t>
      </w:r>
      <w:r>
        <w:rPr>
          <w:sz w:val="20"/>
        </w:rPr>
        <w:t>detectors);</w:t>
      </w:r>
    </w:p>
    <w:p>
      <w:pPr>
        <w:pStyle w:val="ListParagraph"/>
        <w:numPr>
          <w:ilvl w:val="0"/>
          <w:numId w:val="14"/>
        </w:numPr>
        <w:tabs>
          <w:tab w:pos="2597" w:val="left" w:leader="none"/>
        </w:tabs>
        <w:spacing w:line="240" w:lineRule="auto" w:before="0" w:after="0"/>
        <w:ind w:left="2246" w:right="2241" w:firstLine="0"/>
        <w:jc w:val="both"/>
        <w:rPr>
          <w:sz w:val="20"/>
        </w:rPr>
      </w:pPr>
      <w:r>
        <w:rPr>
          <w:sz w:val="20"/>
        </w:rPr>
        <w:t>maintenance</w:t>
      </w:r>
      <w:r>
        <w:rPr>
          <w:spacing w:val="-13"/>
          <w:sz w:val="20"/>
        </w:rPr>
        <w:t> </w:t>
      </w:r>
      <w:r>
        <w:rPr>
          <w:sz w:val="20"/>
        </w:rPr>
        <w:t>of</w:t>
      </w:r>
      <w:r>
        <w:rPr>
          <w:spacing w:val="-12"/>
          <w:sz w:val="20"/>
        </w:rPr>
        <w:t> </w:t>
      </w:r>
      <w:r>
        <w:rPr>
          <w:sz w:val="20"/>
        </w:rPr>
        <w:t>firearms</w:t>
      </w:r>
      <w:r>
        <w:rPr>
          <w:spacing w:val="-13"/>
          <w:sz w:val="20"/>
        </w:rPr>
        <w:t> </w:t>
      </w:r>
      <w:r>
        <w:rPr>
          <w:sz w:val="20"/>
        </w:rPr>
        <w:t>and</w:t>
      </w:r>
      <w:r>
        <w:rPr>
          <w:spacing w:val="-12"/>
          <w:sz w:val="20"/>
        </w:rPr>
        <w:t> </w:t>
      </w:r>
      <w:r>
        <w:rPr>
          <w:sz w:val="20"/>
        </w:rPr>
        <w:t>other</w:t>
      </w:r>
      <w:r>
        <w:rPr>
          <w:spacing w:val="-9"/>
          <w:sz w:val="20"/>
        </w:rPr>
        <w:t> </w:t>
      </w:r>
      <w:r>
        <w:rPr>
          <w:sz w:val="20"/>
        </w:rPr>
        <w:t>security</w:t>
      </w:r>
      <w:r>
        <w:rPr>
          <w:spacing w:val="-13"/>
          <w:sz w:val="20"/>
        </w:rPr>
        <w:t> </w:t>
      </w:r>
      <w:r>
        <w:rPr>
          <w:sz w:val="20"/>
        </w:rPr>
        <w:t>and</w:t>
      </w:r>
      <w:r>
        <w:rPr>
          <w:spacing w:val="-12"/>
          <w:sz w:val="20"/>
        </w:rPr>
        <w:t> </w:t>
      </w:r>
      <w:r>
        <w:rPr>
          <w:sz w:val="20"/>
        </w:rPr>
        <w:t>training</w:t>
      </w:r>
      <w:r>
        <w:rPr>
          <w:spacing w:val="-13"/>
          <w:sz w:val="20"/>
        </w:rPr>
        <w:t> </w:t>
      </w:r>
      <w:r>
        <w:rPr>
          <w:sz w:val="20"/>
        </w:rPr>
        <w:t>equipment;</w:t>
      </w:r>
      <w:r>
        <w:rPr>
          <w:spacing w:val="-12"/>
          <w:sz w:val="20"/>
        </w:rPr>
        <w:t> </w:t>
      </w:r>
      <w:r>
        <w:rPr>
          <w:sz w:val="20"/>
        </w:rPr>
        <w:t>(iv)</w:t>
      </w:r>
      <w:r>
        <w:rPr>
          <w:spacing w:val="-12"/>
          <w:sz w:val="20"/>
        </w:rPr>
        <w:t> </w:t>
      </w:r>
      <w:r>
        <w:rPr>
          <w:sz w:val="20"/>
        </w:rPr>
        <w:t>maintenance</w:t>
      </w:r>
      <w:r>
        <w:rPr>
          <w:spacing w:val="-13"/>
          <w:sz w:val="20"/>
        </w:rPr>
        <w:t> </w:t>
      </w:r>
      <w:r>
        <w:rPr>
          <w:sz w:val="20"/>
        </w:rPr>
        <w:t>and update of the computer-based X-ray training system (Quadratica) required for the recertification of Security Officers; and (v) maintenance and upgrades of the SCAAN (Security Communications and Analysis Network) application, which provides a comprehensive, reliable digital solution to deliver timely, effective and efficient communication and assistance to staff members in any situation, especially during an emergency or crisis.</w:t>
      </w:r>
    </w:p>
    <w:p>
      <w:pPr>
        <w:pStyle w:val="ListParagraph"/>
        <w:numPr>
          <w:ilvl w:val="0"/>
          <w:numId w:val="4"/>
        </w:numPr>
        <w:tabs>
          <w:tab w:pos="2967" w:val="left" w:leader="none"/>
        </w:tabs>
        <w:spacing w:line="240" w:lineRule="auto" w:before="120" w:after="0"/>
        <w:ind w:left="2246" w:right="2239" w:firstLine="0"/>
        <w:jc w:val="both"/>
        <w:rPr>
          <w:sz w:val="20"/>
        </w:rPr>
      </w:pPr>
      <w:r>
        <w:rPr>
          <w:sz w:val="20"/>
        </w:rPr>
        <w:t>An</w:t>
      </w:r>
      <w:r>
        <w:rPr>
          <w:spacing w:val="-10"/>
          <w:sz w:val="20"/>
        </w:rPr>
        <w:t> </w:t>
      </w:r>
      <w:r>
        <w:rPr>
          <w:sz w:val="20"/>
        </w:rPr>
        <w:t>amount</w:t>
      </w:r>
      <w:r>
        <w:rPr>
          <w:spacing w:val="-8"/>
          <w:sz w:val="20"/>
        </w:rPr>
        <w:t> </w:t>
      </w:r>
      <w:r>
        <w:rPr>
          <w:sz w:val="20"/>
        </w:rPr>
        <w:t>of</w:t>
      </w:r>
      <w:r>
        <w:rPr>
          <w:spacing w:val="-9"/>
          <w:sz w:val="20"/>
        </w:rPr>
        <w:t> </w:t>
      </w:r>
      <w:r>
        <w:rPr>
          <w:sz w:val="20"/>
        </w:rPr>
        <w:t>€70.0</w:t>
      </w:r>
      <w:r>
        <w:rPr>
          <w:spacing w:val="-9"/>
          <w:sz w:val="20"/>
        </w:rPr>
        <w:t> </w:t>
      </w:r>
      <w:r>
        <w:rPr>
          <w:sz w:val="20"/>
        </w:rPr>
        <w:t>thousand</w:t>
      </w:r>
      <w:r>
        <w:rPr>
          <w:spacing w:val="-9"/>
          <w:sz w:val="20"/>
        </w:rPr>
        <w:t> </w:t>
      </w:r>
      <w:r>
        <w:rPr>
          <w:sz w:val="20"/>
        </w:rPr>
        <w:t>continues</w:t>
      </w:r>
      <w:r>
        <w:rPr>
          <w:spacing w:val="-11"/>
          <w:sz w:val="20"/>
        </w:rPr>
        <w:t> </w:t>
      </w:r>
      <w:r>
        <w:rPr>
          <w:sz w:val="20"/>
        </w:rPr>
        <w:t>to</w:t>
      </w:r>
      <w:r>
        <w:rPr>
          <w:spacing w:val="-9"/>
          <w:sz w:val="20"/>
        </w:rPr>
        <w:t> </w:t>
      </w:r>
      <w:r>
        <w:rPr>
          <w:sz w:val="20"/>
        </w:rPr>
        <w:t>be</w:t>
      </w:r>
      <w:r>
        <w:rPr>
          <w:spacing w:val="-12"/>
          <w:sz w:val="20"/>
        </w:rPr>
        <w:t> </w:t>
      </w:r>
      <w:r>
        <w:rPr>
          <w:sz w:val="20"/>
        </w:rPr>
        <w:t>required</w:t>
      </w:r>
      <w:r>
        <w:rPr>
          <w:spacing w:val="-9"/>
          <w:sz w:val="20"/>
        </w:rPr>
        <w:t> </w:t>
      </w:r>
      <w:r>
        <w:rPr>
          <w:sz w:val="20"/>
        </w:rPr>
        <w:t>to</w:t>
      </w:r>
      <w:r>
        <w:rPr>
          <w:spacing w:val="-13"/>
          <w:sz w:val="20"/>
        </w:rPr>
        <w:t> </w:t>
      </w:r>
      <w:r>
        <w:rPr>
          <w:sz w:val="20"/>
        </w:rPr>
        <w:t>cover</w:t>
      </w:r>
      <w:r>
        <w:rPr>
          <w:spacing w:val="-9"/>
          <w:sz w:val="20"/>
        </w:rPr>
        <w:t> </w:t>
      </w:r>
      <w:r>
        <w:rPr>
          <w:sz w:val="20"/>
        </w:rPr>
        <w:t>banking</w:t>
      </w:r>
      <w:r>
        <w:rPr>
          <w:spacing w:val="-9"/>
          <w:sz w:val="20"/>
        </w:rPr>
        <w:t> </w:t>
      </w:r>
      <w:r>
        <w:rPr>
          <w:sz w:val="20"/>
        </w:rPr>
        <w:t>service</w:t>
      </w:r>
      <w:r>
        <w:rPr>
          <w:spacing w:val="-8"/>
          <w:sz w:val="20"/>
        </w:rPr>
        <w:t> </w:t>
      </w:r>
      <w:r>
        <w:rPr>
          <w:sz w:val="20"/>
        </w:rPr>
        <w:t>fees and charges.</w:t>
      </w:r>
    </w:p>
    <w:p>
      <w:pPr>
        <w:pStyle w:val="BodyText"/>
        <w:rPr>
          <w:sz w:val="21"/>
        </w:rPr>
      </w:pPr>
    </w:p>
    <w:p>
      <w:pPr>
        <w:tabs>
          <w:tab w:pos="6044" w:val="left" w:leader="none"/>
        </w:tabs>
        <w:spacing w:before="0"/>
        <w:ind w:left="3" w:right="0" w:firstLine="0"/>
        <w:jc w:val="center"/>
        <w:rPr>
          <w:i/>
          <w:sz w:val="20"/>
        </w:rPr>
      </w:pPr>
      <w:r>
        <w:rPr>
          <w:i/>
          <w:sz w:val="20"/>
        </w:rPr>
        <w:t>Supplies</w:t>
      </w:r>
      <w:r>
        <w:rPr>
          <w:i/>
          <w:spacing w:val="-5"/>
          <w:sz w:val="20"/>
        </w:rPr>
        <w:t> </w:t>
      </w:r>
      <w:r>
        <w:rPr>
          <w:i/>
          <w:sz w:val="20"/>
        </w:rPr>
        <w:t>and</w:t>
      </w:r>
      <w:r>
        <w:rPr>
          <w:i/>
          <w:spacing w:val="-4"/>
          <w:sz w:val="20"/>
        </w:rPr>
        <w:t> </w:t>
      </w:r>
      <w:r>
        <w:rPr>
          <w:i/>
          <w:spacing w:val="-2"/>
          <w:sz w:val="20"/>
        </w:rPr>
        <w:t>materials</w:t>
      </w:r>
      <w:r>
        <w:rPr>
          <w:i/>
          <w:sz w:val="20"/>
        </w:rPr>
        <w:tab/>
        <w:t>€230.3</w:t>
      </w:r>
      <w:r>
        <w:rPr>
          <w:i/>
          <w:spacing w:val="-8"/>
          <w:sz w:val="20"/>
        </w:rPr>
        <w:t> </w:t>
      </w:r>
      <w:r>
        <w:rPr>
          <w:i/>
          <w:spacing w:val="-2"/>
          <w:sz w:val="20"/>
        </w:rPr>
        <w:t>thousand</w:t>
      </w:r>
    </w:p>
    <w:p>
      <w:pPr>
        <w:pStyle w:val="BodyText"/>
        <w:spacing w:before="6"/>
        <w:rPr>
          <w:i/>
        </w:rPr>
      </w:pPr>
    </w:p>
    <w:p>
      <w:pPr>
        <w:pStyle w:val="ListParagraph"/>
        <w:numPr>
          <w:ilvl w:val="0"/>
          <w:numId w:val="4"/>
        </w:numPr>
        <w:tabs>
          <w:tab w:pos="2967" w:val="left" w:leader="none"/>
        </w:tabs>
        <w:spacing w:line="240" w:lineRule="auto" w:before="0" w:after="0"/>
        <w:ind w:left="2246" w:right="2248" w:firstLine="0"/>
        <w:jc w:val="both"/>
        <w:rPr>
          <w:sz w:val="20"/>
        </w:rPr>
      </w:pPr>
      <w:r>
        <w:rPr>
          <w:sz w:val="20"/>
        </w:rPr>
        <w:t>The</w:t>
      </w:r>
      <w:r>
        <w:rPr>
          <w:spacing w:val="-7"/>
          <w:sz w:val="20"/>
        </w:rPr>
        <w:t> </w:t>
      </w:r>
      <w:r>
        <w:rPr>
          <w:sz w:val="20"/>
        </w:rPr>
        <w:t>proposed</w:t>
      </w:r>
      <w:r>
        <w:rPr>
          <w:spacing w:val="-8"/>
          <w:sz w:val="20"/>
        </w:rPr>
        <w:t> </w:t>
      </w:r>
      <w:r>
        <w:rPr>
          <w:sz w:val="20"/>
        </w:rPr>
        <w:t>amount</w:t>
      </w:r>
      <w:r>
        <w:rPr>
          <w:spacing w:val="-7"/>
          <w:sz w:val="20"/>
        </w:rPr>
        <w:t> </w:t>
      </w:r>
      <w:r>
        <w:rPr>
          <w:sz w:val="20"/>
        </w:rPr>
        <w:t>has</w:t>
      </w:r>
      <w:r>
        <w:rPr>
          <w:spacing w:val="-10"/>
          <w:sz w:val="20"/>
        </w:rPr>
        <w:t> </w:t>
      </w:r>
      <w:r>
        <w:rPr>
          <w:sz w:val="20"/>
        </w:rPr>
        <w:t>increased</w:t>
      </w:r>
      <w:r>
        <w:rPr>
          <w:spacing w:val="-8"/>
          <w:sz w:val="20"/>
        </w:rPr>
        <w:t> </w:t>
      </w:r>
      <w:r>
        <w:rPr>
          <w:sz w:val="20"/>
        </w:rPr>
        <w:t>by</w:t>
      </w:r>
      <w:r>
        <w:rPr>
          <w:spacing w:val="-4"/>
          <w:sz w:val="20"/>
        </w:rPr>
        <w:t> </w:t>
      </w:r>
      <w:r>
        <w:rPr>
          <w:sz w:val="20"/>
        </w:rPr>
        <w:t>€26.0</w:t>
      </w:r>
      <w:r>
        <w:rPr>
          <w:spacing w:val="-8"/>
          <w:sz w:val="20"/>
        </w:rPr>
        <w:t> </w:t>
      </w:r>
      <w:r>
        <w:rPr>
          <w:sz w:val="20"/>
        </w:rPr>
        <w:t>thousand</w:t>
      </w:r>
      <w:r>
        <w:rPr>
          <w:spacing w:val="-8"/>
          <w:sz w:val="20"/>
        </w:rPr>
        <w:t> </w:t>
      </w:r>
      <w:r>
        <w:rPr>
          <w:sz w:val="20"/>
        </w:rPr>
        <w:t>(12.7</w:t>
      </w:r>
      <w:r>
        <w:rPr>
          <w:spacing w:val="-8"/>
          <w:sz w:val="20"/>
        </w:rPr>
        <w:t> </w:t>
      </w:r>
      <w:r>
        <w:rPr>
          <w:sz w:val="20"/>
        </w:rPr>
        <w:t>per</w:t>
      </w:r>
      <w:r>
        <w:rPr>
          <w:spacing w:val="-8"/>
          <w:sz w:val="20"/>
        </w:rPr>
        <w:t> </w:t>
      </w:r>
      <w:r>
        <w:rPr>
          <w:sz w:val="20"/>
        </w:rPr>
        <w:t>cent).</w:t>
      </w:r>
      <w:r>
        <w:rPr>
          <w:spacing w:val="-6"/>
          <w:sz w:val="20"/>
        </w:rPr>
        <w:t> </w:t>
      </w:r>
      <w:r>
        <w:rPr>
          <w:sz w:val="20"/>
        </w:rPr>
        <w:t>All</w:t>
      </w:r>
      <w:r>
        <w:rPr>
          <w:spacing w:val="-2"/>
          <w:sz w:val="20"/>
        </w:rPr>
        <w:t> </w:t>
      </w:r>
      <w:r>
        <w:rPr>
          <w:sz w:val="20"/>
        </w:rPr>
        <w:t>resource requirements</w:t>
      </w:r>
      <w:r>
        <w:rPr>
          <w:spacing w:val="-13"/>
          <w:sz w:val="20"/>
        </w:rPr>
        <w:t> </w:t>
      </w:r>
      <w:r>
        <w:rPr>
          <w:sz w:val="20"/>
        </w:rPr>
        <w:t>below</w:t>
      </w:r>
      <w:r>
        <w:rPr>
          <w:spacing w:val="-12"/>
          <w:sz w:val="20"/>
        </w:rPr>
        <w:t> </w:t>
      </w:r>
      <w:r>
        <w:rPr>
          <w:sz w:val="20"/>
        </w:rPr>
        <w:t>are</w:t>
      </w:r>
      <w:r>
        <w:rPr>
          <w:spacing w:val="-13"/>
          <w:sz w:val="20"/>
        </w:rPr>
        <w:t> </w:t>
      </w:r>
      <w:r>
        <w:rPr>
          <w:sz w:val="20"/>
        </w:rPr>
        <w:t>recurrent.</w:t>
      </w:r>
      <w:r>
        <w:rPr>
          <w:spacing w:val="-12"/>
          <w:sz w:val="20"/>
        </w:rPr>
        <w:t> </w:t>
      </w:r>
      <w:r>
        <w:rPr>
          <w:sz w:val="20"/>
        </w:rPr>
        <w:t>Of</w:t>
      </w:r>
      <w:r>
        <w:rPr>
          <w:spacing w:val="-13"/>
          <w:sz w:val="20"/>
        </w:rPr>
        <w:t> </w:t>
      </w:r>
      <w:r>
        <w:rPr>
          <w:sz w:val="20"/>
        </w:rPr>
        <w:t>the</w:t>
      </w:r>
      <w:r>
        <w:rPr>
          <w:spacing w:val="-12"/>
          <w:sz w:val="20"/>
        </w:rPr>
        <w:t> </w:t>
      </w:r>
      <w:r>
        <w:rPr>
          <w:sz w:val="20"/>
        </w:rPr>
        <w:t>increase,</w:t>
      </w:r>
      <w:r>
        <w:rPr>
          <w:spacing w:val="-13"/>
          <w:sz w:val="20"/>
        </w:rPr>
        <w:t> </w:t>
      </w:r>
      <w:r>
        <w:rPr>
          <w:sz w:val="20"/>
        </w:rPr>
        <w:t>€18.4</w:t>
      </w:r>
      <w:r>
        <w:rPr>
          <w:spacing w:val="-12"/>
          <w:sz w:val="20"/>
        </w:rPr>
        <w:t> </w:t>
      </w:r>
      <w:r>
        <w:rPr>
          <w:sz w:val="20"/>
        </w:rPr>
        <w:t>thousand</w:t>
      </w:r>
      <w:r>
        <w:rPr>
          <w:spacing w:val="-13"/>
          <w:sz w:val="20"/>
        </w:rPr>
        <w:t> </w:t>
      </w:r>
      <w:r>
        <w:rPr>
          <w:sz w:val="20"/>
        </w:rPr>
        <w:t>corresponds</w:t>
      </w:r>
      <w:r>
        <w:rPr>
          <w:spacing w:val="-12"/>
          <w:sz w:val="20"/>
        </w:rPr>
        <w:t> </w:t>
      </w:r>
      <w:r>
        <w:rPr>
          <w:sz w:val="20"/>
        </w:rPr>
        <w:t>to</w:t>
      </w:r>
      <w:r>
        <w:rPr>
          <w:spacing w:val="-13"/>
          <w:sz w:val="20"/>
        </w:rPr>
        <w:t> </w:t>
      </w:r>
      <w:r>
        <w:rPr>
          <w:sz w:val="20"/>
        </w:rPr>
        <w:t>inflationary increases in the price indices of goods.</w:t>
      </w:r>
    </w:p>
    <w:p>
      <w:pPr>
        <w:pStyle w:val="ListParagraph"/>
        <w:numPr>
          <w:ilvl w:val="0"/>
          <w:numId w:val="4"/>
        </w:numPr>
        <w:tabs>
          <w:tab w:pos="2967" w:val="left" w:leader="none"/>
        </w:tabs>
        <w:spacing w:line="240" w:lineRule="auto" w:before="122" w:after="0"/>
        <w:ind w:left="2246" w:right="2239" w:firstLine="0"/>
        <w:jc w:val="both"/>
        <w:rPr>
          <w:sz w:val="20"/>
        </w:rPr>
      </w:pPr>
      <w:r>
        <w:rPr>
          <w:sz w:val="20"/>
        </w:rPr>
        <w:t>Resources amounting to €171.0 thousand are required to cover items under the framework</w:t>
      </w:r>
      <w:r>
        <w:rPr>
          <w:spacing w:val="-8"/>
          <w:sz w:val="20"/>
        </w:rPr>
        <w:t> </w:t>
      </w:r>
      <w:r>
        <w:rPr>
          <w:sz w:val="20"/>
        </w:rPr>
        <w:t>contract</w:t>
      </w:r>
      <w:r>
        <w:rPr>
          <w:spacing w:val="-7"/>
          <w:sz w:val="20"/>
        </w:rPr>
        <w:t> </w:t>
      </w:r>
      <w:r>
        <w:rPr>
          <w:sz w:val="20"/>
        </w:rPr>
        <w:t>for</w:t>
      </w:r>
      <w:r>
        <w:rPr>
          <w:spacing w:val="-3"/>
          <w:sz w:val="20"/>
        </w:rPr>
        <w:t> </w:t>
      </w:r>
      <w:r>
        <w:rPr>
          <w:sz w:val="20"/>
        </w:rPr>
        <w:t>supplies,</w:t>
      </w:r>
      <w:r>
        <w:rPr>
          <w:spacing w:val="-1"/>
          <w:sz w:val="20"/>
        </w:rPr>
        <w:t> </w:t>
      </w:r>
      <w:r>
        <w:rPr>
          <w:sz w:val="20"/>
        </w:rPr>
        <w:t>stationery,</w:t>
      </w:r>
      <w:r>
        <w:rPr>
          <w:spacing w:val="-1"/>
          <w:sz w:val="20"/>
        </w:rPr>
        <w:t> </w:t>
      </w:r>
      <w:r>
        <w:rPr>
          <w:sz w:val="20"/>
        </w:rPr>
        <w:t>toner</w:t>
      </w:r>
      <w:r>
        <w:rPr>
          <w:spacing w:val="-8"/>
          <w:sz w:val="20"/>
        </w:rPr>
        <w:t> </w:t>
      </w:r>
      <w:r>
        <w:rPr>
          <w:sz w:val="20"/>
        </w:rPr>
        <w:t>and</w:t>
      </w:r>
      <w:r>
        <w:rPr>
          <w:spacing w:val="-4"/>
          <w:sz w:val="20"/>
        </w:rPr>
        <w:t> </w:t>
      </w:r>
      <w:r>
        <w:rPr>
          <w:sz w:val="20"/>
        </w:rPr>
        <w:t>paper;</w:t>
      </w:r>
      <w:r>
        <w:rPr>
          <w:spacing w:val="-7"/>
          <w:sz w:val="20"/>
        </w:rPr>
        <w:t> </w:t>
      </w:r>
      <w:r>
        <w:rPr>
          <w:sz w:val="20"/>
        </w:rPr>
        <w:t>building</w:t>
      </w:r>
      <w:r>
        <w:rPr>
          <w:spacing w:val="-8"/>
          <w:sz w:val="20"/>
        </w:rPr>
        <w:t> </w:t>
      </w:r>
      <w:r>
        <w:rPr>
          <w:sz w:val="20"/>
        </w:rPr>
        <w:t>management</w:t>
      </w:r>
      <w:r>
        <w:rPr>
          <w:spacing w:val="-7"/>
          <w:sz w:val="20"/>
        </w:rPr>
        <w:t> </w:t>
      </w:r>
      <w:r>
        <w:rPr>
          <w:sz w:val="20"/>
        </w:rPr>
        <w:t>supplies; building management hardware and electrical supplies; uniforms for drivers and other General</w:t>
      </w:r>
      <w:r>
        <w:rPr>
          <w:spacing w:val="-9"/>
          <w:sz w:val="20"/>
        </w:rPr>
        <w:t> </w:t>
      </w:r>
      <w:r>
        <w:rPr>
          <w:sz w:val="20"/>
        </w:rPr>
        <w:t>Services</w:t>
      </w:r>
      <w:r>
        <w:rPr>
          <w:spacing w:val="-8"/>
          <w:sz w:val="20"/>
        </w:rPr>
        <w:t> </w:t>
      </w:r>
      <w:r>
        <w:rPr>
          <w:sz w:val="20"/>
        </w:rPr>
        <w:t>staff;</w:t>
      </w:r>
      <w:r>
        <w:rPr>
          <w:spacing w:val="-3"/>
          <w:sz w:val="20"/>
        </w:rPr>
        <w:t> </w:t>
      </w:r>
      <w:r>
        <w:rPr>
          <w:sz w:val="20"/>
        </w:rPr>
        <w:t>fuel</w:t>
      </w:r>
      <w:r>
        <w:rPr>
          <w:spacing w:val="-9"/>
          <w:sz w:val="20"/>
        </w:rPr>
        <w:t> </w:t>
      </w:r>
      <w:r>
        <w:rPr>
          <w:sz w:val="20"/>
        </w:rPr>
        <w:t>and</w:t>
      </w:r>
      <w:r>
        <w:rPr>
          <w:spacing w:val="-7"/>
          <w:sz w:val="20"/>
        </w:rPr>
        <w:t> </w:t>
      </w:r>
      <w:r>
        <w:rPr>
          <w:sz w:val="20"/>
        </w:rPr>
        <w:t>supplies</w:t>
      </w:r>
      <w:r>
        <w:rPr>
          <w:spacing w:val="-8"/>
          <w:sz w:val="20"/>
        </w:rPr>
        <w:t> </w:t>
      </w:r>
      <w:r>
        <w:rPr>
          <w:sz w:val="20"/>
        </w:rPr>
        <w:t>for</w:t>
      </w:r>
      <w:r>
        <w:rPr>
          <w:spacing w:val="-7"/>
          <w:sz w:val="20"/>
        </w:rPr>
        <w:t> </w:t>
      </w:r>
      <w:r>
        <w:rPr>
          <w:sz w:val="20"/>
        </w:rPr>
        <w:t>vehicles;</w:t>
      </w:r>
      <w:r>
        <w:rPr>
          <w:spacing w:val="-9"/>
          <w:sz w:val="20"/>
        </w:rPr>
        <w:t> </w:t>
      </w:r>
      <w:r>
        <w:rPr>
          <w:sz w:val="20"/>
        </w:rPr>
        <w:t>and</w:t>
      </w:r>
      <w:r>
        <w:rPr>
          <w:spacing w:val="-7"/>
          <w:sz w:val="20"/>
        </w:rPr>
        <w:t> </w:t>
      </w:r>
      <w:r>
        <w:rPr>
          <w:sz w:val="20"/>
        </w:rPr>
        <w:t>Court</w:t>
      </w:r>
      <w:r>
        <w:rPr>
          <w:spacing w:val="-5"/>
          <w:sz w:val="20"/>
        </w:rPr>
        <w:t> </w:t>
      </w:r>
      <w:r>
        <w:rPr>
          <w:sz w:val="20"/>
        </w:rPr>
        <w:t>robes.</w:t>
      </w:r>
      <w:r>
        <w:rPr>
          <w:spacing w:val="-4"/>
          <w:sz w:val="20"/>
        </w:rPr>
        <w:t> </w:t>
      </w:r>
      <w:r>
        <w:rPr>
          <w:sz w:val="20"/>
        </w:rPr>
        <w:t>Resources</w:t>
      </w:r>
      <w:r>
        <w:rPr>
          <w:spacing w:val="-12"/>
          <w:sz w:val="20"/>
        </w:rPr>
        <w:t> </w:t>
      </w:r>
      <w:r>
        <w:rPr>
          <w:sz w:val="20"/>
        </w:rPr>
        <w:t>amounting to €59.3 thousand are requested for security and safety purposes, for first aid kits, maintenance</w:t>
      </w:r>
      <w:r>
        <w:rPr>
          <w:spacing w:val="-9"/>
          <w:sz w:val="20"/>
        </w:rPr>
        <w:t> </w:t>
      </w:r>
      <w:r>
        <w:rPr>
          <w:sz w:val="20"/>
        </w:rPr>
        <w:t>of</w:t>
      </w:r>
      <w:r>
        <w:rPr>
          <w:spacing w:val="-9"/>
          <w:sz w:val="20"/>
        </w:rPr>
        <w:t> </w:t>
      </w:r>
      <w:r>
        <w:rPr>
          <w:sz w:val="20"/>
        </w:rPr>
        <w:t>emergency</w:t>
      </w:r>
      <w:r>
        <w:rPr>
          <w:spacing w:val="-13"/>
          <w:sz w:val="20"/>
        </w:rPr>
        <w:t> </w:t>
      </w:r>
      <w:r>
        <w:rPr>
          <w:sz w:val="20"/>
        </w:rPr>
        <w:t>equipment</w:t>
      </w:r>
      <w:r>
        <w:rPr>
          <w:spacing w:val="-12"/>
          <w:sz w:val="20"/>
        </w:rPr>
        <w:t> </w:t>
      </w:r>
      <w:r>
        <w:rPr>
          <w:sz w:val="20"/>
        </w:rPr>
        <w:t>(evacuation</w:t>
      </w:r>
      <w:r>
        <w:rPr>
          <w:spacing w:val="-13"/>
          <w:sz w:val="20"/>
        </w:rPr>
        <w:t> </w:t>
      </w:r>
      <w:r>
        <w:rPr>
          <w:sz w:val="20"/>
        </w:rPr>
        <w:t>chairs,</w:t>
      </w:r>
      <w:r>
        <w:rPr>
          <w:spacing w:val="-11"/>
          <w:sz w:val="20"/>
        </w:rPr>
        <w:t> </w:t>
      </w:r>
      <w:r>
        <w:rPr>
          <w:sz w:val="20"/>
        </w:rPr>
        <w:t>etc.)</w:t>
      </w:r>
      <w:r>
        <w:rPr>
          <w:spacing w:val="-9"/>
          <w:sz w:val="20"/>
        </w:rPr>
        <w:t> </w:t>
      </w:r>
      <w:r>
        <w:rPr>
          <w:sz w:val="20"/>
        </w:rPr>
        <w:t>and</w:t>
      </w:r>
      <w:r>
        <w:rPr>
          <w:spacing w:val="-7"/>
          <w:sz w:val="20"/>
        </w:rPr>
        <w:t> </w:t>
      </w:r>
      <w:r>
        <w:rPr>
          <w:sz w:val="20"/>
        </w:rPr>
        <w:t>replacement</w:t>
      </w:r>
      <w:r>
        <w:rPr>
          <w:spacing w:val="-8"/>
          <w:sz w:val="20"/>
        </w:rPr>
        <w:t> </w:t>
      </w:r>
      <w:r>
        <w:rPr>
          <w:sz w:val="20"/>
        </w:rPr>
        <w:t>of</w:t>
      </w:r>
      <w:r>
        <w:rPr>
          <w:spacing w:val="-9"/>
          <w:sz w:val="20"/>
        </w:rPr>
        <w:t> </w:t>
      </w:r>
      <w:r>
        <w:rPr>
          <w:sz w:val="20"/>
        </w:rPr>
        <w:t>protective equipment (concealed body armour for personnel involved in liaison/close protection services</w:t>
      </w:r>
      <w:r>
        <w:rPr>
          <w:spacing w:val="-3"/>
          <w:sz w:val="20"/>
        </w:rPr>
        <w:t> </w:t>
      </w:r>
      <w:r>
        <w:rPr>
          <w:sz w:val="20"/>
        </w:rPr>
        <w:t>at Headquarters</w:t>
      </w:r>
      <w:r>
        <w:rPr>
          <w:spacing w:val="-3"/>
          <w:sz w:val="20"/>
        </w:rPr>
        <w:t> </w:t>
      </w:r>
      <w:r>
        <w:rPr>
          <w:sz w:val="20"/>
        </w:rPr>
        <w:t>and</w:t>
      </w:r>
      <w:r>
        <w:rPr>
          <w:spacing w:val="-2"/>
          <w:sz w:val="20"/>
        </w:rPr>
        <w:t> </w:t>
      </w:r>
      <w:r>
        <w:rPr>
          <w:sz w:val="20"/>
        </w:rPr>
        <w:t>in</w:t>
      </w:r>
      <w:r>
        <w:rPr>
          <w:spacing w:val="-2"/>
          <w:sz w:val="20"/>
        </w:rPr>
        <w:t> </w:t>
      </w:r>
      <w:r>
        <w:rPr>
          <w:sz w:val="20"/>
        </w:rPr>
        <w:t>situation</w:t>
      </w:r>
      <w:r>
        <w:rPr>
          <w:spacing w:val="-2"/>
          <w:sz w:val="20"/>
        </w:rPr>
        <w:t> </w:t>
      </w:r>
      <w:r>
        <w:rPr>
          <w:sz w:val="20"/>
        </w:rPr>
        <w:t>countries)</w:t>
      </w:r>
      <w:r>
        <w:rPr>
          <w:spacing w:val="-2"/>
          <w:sz w:val="20"/>
        </w:rPr>
        <w:t> </w:t>
      </w:r>
      <w:r>
        <w:rPr>
          <w:sz w:val="20"/>
        </w:rPr>
        <w:t>that is reaching</w:t>
      </w:r>
      <w:r>
        <w:rPr>
          <w:spacing w:val="-2"/>
          <w:sz w:val="20"/>
        </w:rPr>
        <w:t> </w:t>
      </w:r>
      <w:r>
        <w:rPr>
          <w:sz w:val="20"/>
        </w:rPr>
        <w:t>the end</w:t>
      </w:r>
      <w:r>
        <w:rPr>
          <w:spacing w:val="-2"/>
          <w:sz w:val="20"/>
        </w:rPr>
        <w:t> </w:t>
      </w:r>
      <w:r>
        <w:rPr>
          <w:sz w:val="20"/>
        </w:rPr>
        <w:t>of</w:t>
      </w:r>
      <w:r>
        <w:rPr>
          <w:spacing w:val="-2"/>
          <w:sz w:val="20"/>
        </w:rPr>
        <w:t> </w:t>
      </w:r>
      <w:r>
        <w:rPr>
          <w:sz w:val="20"/>
        </w:rPr>
        <w:t>its</w:t>
      </w:r>
      <w:r>
        <w:rPr>
          <w:spacing w:val="-3"/>
          <w:sz w:val="20"/>
        </w:rPr>
        <w:t> </w:t>
      </w:r>
      <w:r>
        <w:rPr>
          <w:sz w:val="20"/>
        </w:rPr>
        <w:t>useful life.</w:t>
      </w:r>
    </w:p>
    <w:p>
      <w:pPr>
        <w:pStyle w:val="ListParagraph"/>
        <w:numPr>
          <w:ilvl w:val="0"/>
          <w:numId w:val="4"/>
        </w:numPr>
        <w:tabs>
          <w:tab w:pos="2967" w:val="left" w:leader="none"/>
        </w:tabs>
        <w:spacing w:line="240" w:lineRule="auto" w:before="119" w:after="0"/>
        <w:ind w:left="2246" w:right="2245" w:firstLine="0"/>
        <w:jc w:val="both"/>
        <w:rPr>
          <w:sz w:val="20"/>
        </w:rPr>
      </w:pPr>
      <w:r>
        <w:rPr>
          <w:sz w:val="20"/>
        </w:rPr>
        <w:t>Resources</w:t>
      </w:r>
      <w:r>
        <w:rPr>
          <w:spacing w:val="-10"/>
          <w:sz w:val="20"/>
        </w:rPr>
        <w:t> </w:t>
      </w:r>
      <w:r>
        <w:rPr>
          <w:sz w:val="20"/>
        </w:rPr>
        <w:t>are</w:t>
      </w:r>
      <w:r>
        <w:rPr>
          <w:spacing w:val="-7"/>
          <w:sz w:val="20"/>
        </w:rPr>
        <w:t> </w:t>
      </w:r>
      <w:r>
        <w:rPr>
          <w:sz w:val="20"/>
        </w:rPr>
        <w:t>also</w:t>
      </w:r>
      <w:r>
        <w:rPr>
          <w:spacing w:val="-8"/>
          <w:sz w:val="20"/>
        </w:rPr>
        <w:t> </w:t>
      </w:r>
      <w:r>
        <w:rPr>
          <w:sz w:val="20"/>
        </w:rPr>
        <w:t>required</w:t>
      </w:r>
      <w:r>
        <w:rPr>
          <w:spacing w:val="-11"/>
          <w:sz w:val="20"/>
        </w:rPr>
        <w:t> </w:t>
      </w:r>
      <w:r>
        <w:rPr>
          <w:sz w:val="20"/>
        </w:rPr>
        <w:t>to</w:t>
      </w:r>
      <w:r>
        <w:rPr>
          <w:spacing w:val="-8"/>
          <w:sz w:val="20"/>
        </w:rPr>
        <w:t> </w:t>
      </w:r>
      <w:r>
        <w:rPr>
          <w:sz w:val="20"/>
        </w:rPr>
        <w:t>cover</w:t>
      </w:r>
      <w:r>
        <w:rPr>
          <w:spacing w:val="-8"/>
          <w:sz w:val="20"/>
        </w:rPr>
        <w:t> </w:t>
      </w:r>
      <w:r>
        <w:rPr>
          <w:sz w:val="20"/>
        </w:rPr>
        <w:t>the</w:t>
      </w:r>
      <w:r>
        <w:rPr>
          <w:spacing w:val="-7"/>
          <w:sz w:val="20"/>
        </w:rPr>
        <w:t> </w:t>
      </w:r>
      <w:r>
        <w:rPr>
          <w:sz w:val="20"/>
        </w:rPr>
        <w:t>Pass</w:t>
      </w:r>
      <w:r>
        <w:rPr>
          <w:spacing w:val="-10"/>
          <w:sz w:val="20"/>
        </w:rPr>
        <w:t> </w:t>
      </w:r>
      <w:r>
        <w:rPr>
          <w:sz w:val="20"/>
        </w:rPr>
        <w:t>and</w:t>
      </w:r>
      <w:r>
        <w:rPr>
          <w:spacing w:val="-8"/>
          <w:sz w:val="20"/>
        </w:rPr>
        <w:t> </w:t>
      </w:r>
      <w:r>
        <w:rPr>
          <w:sz w:val="20"/>
        </w:rPr>
        <w:t>ID</w:t>
      </w:r>
      <w:r>
        <w:rPr>
          <w:spacing w:val="-10"/>
          <w:sz w:val="20"/>
        </w:rPr>
        <w:t> </w:t>
      </w:r>
      <w:r>
        <w:rPr>
          <w:sz w:val="20"/>
        </w:rPr>
        <w:t>Office’s</w:t>
      </w:r>
      <w:r>
        <w:rPr>
          <w:spacing w:val="-10"/>
          <w:sz w:val="20"/>
        </w:rPr>
        <w:t> </w:t>
      </w:r>
      <w:r>
        <w:rPr>
          <w:sz w:val="20"/>
        </w:rPr>
        <w:t>essential</w:t>
      </w:r>
      <w:r>
        <w:rPr>
          <w:spacing w:val="-7"/>
          <w:sz w:val="20"/>
        </w:rPr>
        <w:t> </w:t>
      </w:r>
      <w:r>
        <w:rPr>
          <w:sz w:val="20"/>
        </w:rPr>
        <w:t>needs</w:t>
      </w:r>
      <w:r>
        <w:rPr>
          <w:spacing w:val="-5"/>
          <w:sz w:val="20"/>
        </w:rPr>
        <w:t> </w:t>
      </w:r>
      <w:r>
        <w:rPr>
          <w:sz w:val="20"/>
        </w:rPr>
        <w:t>for</w:t>
      </w:r>
      <w:r>
        <w:rPr>
          <w:spacing w:val="-8"/>
          <w:sz w:val="20"/>
        </w:rPr>
        <w:t> </w:t>
      </w:r>
      <w:r>
        <w:rPr>
          <w:sz w:val="20"/>
        </w:rPr>
        <w:t>the issuance</w:t>
      </w:r>
      <w:r>
        <w:rPr>
          <w:spacing w:val="-13"/>
          <w:sz w:val="20"/>
        </w:rPr>
        <w:t> </w:t>
      </w:r>
      <w:r>
        <w:rPr>
          <w:sz w:val="20"/>
        </w:rPr>
        <w:t>of</w:t>
      </w:r>
      <w:r>
        <w:rPr>
          <w:spacing w:val="-12"/>
          <w:sz w:val="20"/>
        </w:rPr>
        <w:t> </w:t>
      </w:r>
      <w:r>
        <w:rPr>
          <w:sz w:val="20"/>
        </w:rPr>
        <w:t>passes;</w:t>
      </w:r>
      <w:r>
        <w:rPr>
          <w:spacing w:val="-10"/>
          <w:sz w:val="20"/>
        </w:rPr>
        <w:t> </w:t>
      </w:r>
      <w:r>
        <w:rPr>
          <w:sz w:val="20"/>
        </w:rPr>
        <w:t>supplies</w:t>
      </w:r>
      <w:r>
        <w:rPr>
          <w:spacing w:val="-11"/>
          <w:sz w:val="20"/>
        </w:rPr>
        <w:t> </w:t>
      </w:r>
      <w:r>
        <w:rPr>
          <w:sz w:val="20"/>
        </w:rPr>
        <w:t>and</w:t>
      </w:r>
      <w:r>
        <w:rPr>
          <w:spacing w:val="-13"/>
          <w:sz w:val="20"/>
        </w:rPr>
        <w:t> </w:t>
      </w:r>
      <w:r>
        <w:rPr>
          <w:sz w:val="20"/>
        </w:rPr>
        <w:t>materials</w:t>
      </w:r>
      <w:r>
        <w:rPr>
          <w:spacing w:val="-11"/>
          <w:sz w:val="20"/>
        </w:rPr>
        <w:t> </w:t>
      </w:r>
      <w:r>
        <w:rPr>
          <w:sz w:val="20"/>
        </w:rPr>
        <w:t>for</w:t>
      </w:r>
      <w:r>
        <w:rPr>
          <w:spacing w:val="-13"/>
          <w:sz w:val="20"/>
        </w:rPr>
        <w:t> </w:t>
      </w:r>
      <w:r>
        <w:rPr>
          <w:sz w:val="20"/>
        </w:rPr>
        <w:t>firearms</w:t>
      </w:r>
      <w:r>
        <w:rPr>
          <w:spacing w:val="-11"/>
          <w:sz w:val="20"/>
        </w:rPr>
        <w:t> </w:t>
      </w:r>
      <w:r>
        <w:rPr>
          <w:sz w:val="20"/>
        </w:rPr>
        <w:t>training;</w:t>
      </w:r>
      <w:r>
        <w:rPr>
          <w:spacing w:val="-9"/>
          <w:sz w:val="20"/>
        </w:rPr>
        <w:t> </w:t>
      </w:r>
      <w:r>
        <w:rPr>
          <w:sz w:val="20"/>
        </w:rPr>
        <w:t>and</w:t>
      </w:r>
      <w:r>
        <w:rPr>
          <w:spacing w:val="-10"/>
          <w:sz w:val="20"/>
        </w:rPr>
        <w:t> </w:t>
      </w:r>
      <w:r>
        <w:rPr>
          <w:sz w:val="20"/>
        </w:rPr>
        <w:t>replacement</w:t>
      </w:r>
      <w:r>
        <w:rPr>
          <w:spacing w:val="-9"/>
          <w:sz w:val="20"/>
        </w:rPr>
        <w:t> </w:t>
      </w:r>
      <w:r>
        <w:rPr>
          <w:sz w:val="20"/>
        </w:rPr>
        <w:t>of</w:t>
      </w:r>
      <w:r>
        <w:rPr>
          <w:spacing w:val="-13"/>
          <w:sz w:val="20"/>
        </w:rPr>
        <w:t> </w:t>
      </w:r>
      <w:r>
        <w:rPr>
          <w:sz w:val="20"/>
        </w:rPr>
        <w:t>uniforms, safety footwear and other materials and equipment used by Security Officers.</w:t>
      </w:r>
    </w:p>
    <w:p>
      <w:pPr>
        <w:pStyle w:val="BodyText"/>
        <w:spacing w:before="11"/>
      </w:pPr>
    </w:p>
    <w:p>
      <w:pPr>
        <w:tabs>
          <w:tab w:pos="6145" w:val="left" w:leader="none"/>
        </w:tabs>
        <w:spacing w:before="0"/>
        <w:ind w:left="3" w:right="0" w:firstLine="0"/>
        <w:jc w:val="center"/>
        <w:rPr>
          <w:i/>
          <w:sz w:val="20"/>
        </w:rPr>
      </w:pPr>
      <w:r>
        <w:rPr>
          <w:i/>
          <w:sz w:val="20"/>
        </w:rPr>
        <w:t>Furniture</w:t>
      </w:r>
      <w:r>
        <w:rPr>
          <w:i/>
          <w:spacing w:val="-5"/>
          <w:sz w:val="20"/>
        </w:rPr>
        <w:t> </w:t>
      </w:r>
      <w:r>
        <w:rPr>
          <w:i/>
          <w:sz w:val="20"/>
        </w:rPr>
        <w:t>and</w:t>
      </w:r>
      <w:r>
        <w:rPr>
          <w:i/>
          <w:spacing w:val="-5"/>
          <w:sz w:val="20"/>
        </w:rPr>
        <w:t> </w:t>
      </w:r>
      <w:r>
        <w:rPr>
          <w:i/>
          <w:spacing w:val="-2"/>
          <w:sz w:val="20"/>
        </w:rPr>
        <w:t>equipment</w:t>
      </w:r>
      <w:r>
        <w:rPr>
          <w:i/>
          <w:sz w:val="20"/>
        </w:rPr>
        <w:tab/>
        <w:t>€60.0</w:t>
      </w:r>
      <w:r>
        <w:rPr>
          <w:i/>
          <w:spacing w:val="-8"/>
          <w:sz w:val="20"/>
        </w:rPr>
        <w:t> </w:t>
      </w:r>
      <w:r>
        <w:rPr>
          <w:i/>
          <w:spacing w:val="-2"/>
          <w:sz w:val="20"/>
        </w:rPr>
        <w:t>thousand</w:t>
      </w:r>
    </w:p>
    <w:p>
      <w:pPr>
        <w:pStyle w:val="BodyText"/>
        <w:spacing w:before="11"/>
        <w:rPr>
          <w:i/>
        </w:rPr>
      </w:pPr>
    </w:p>
    <w:p>
      <w:pPr>
        <w:pStyle w:val="ListParagraph"/>
        <w:numPr>
          <w:ilvl w:val="0"/>
          <w:numId w:val="4"/>
        </w:numPr>
        <w:tabs>
          <w:tab w:pos="2967" w:val="left" w:leader="none"/>
        </w:tabs>
        <w:spacing w:line="240" w:lineRule="auto" w:before="0" w:after="0"/>
        <w:ind w:left="2246" w:right="2243" w:firstLine="0"/>
        <w:jc w:val="both"/>
        <w:rPr>
          <w:sz w:val="20"/>
        </w:rPr>
      </w:pPr>
      <w:r>
        <w:rPr>
          <w:sz w:val="20"/>
        </w:rPr>
        <w:t>The</w:t>
      </w:r>
      <w:r>
        <w:rPr>
          <w:spacing w:val="-7"/>
          <w:sz w:val="20"/>
        </w:rPr>
        <w:t> </w:t>
      </w:r>
      <w:r>
        <w:rPr>
          <w:sz w:val="20"/>
        </w:rPr>
        <w:t>requested</w:t>
      </w:r>
      <w:r>
        <w:rPr>
          <w:spacing w:val="-8"/>
          <w:sz w:val="20"/>
        </w:rPr>
        <w:t> </w:t>
      </w:r>
      <w:r>
        <w:rPr>
          <w:sz w:val="20"/>
        </w:rPr>
        <w:t>amount</w:t>
      </w:r>
      <w:r>
        <w:rPr>
          <w:spacing w:val="-7"/>
          <w:sz w:val="20"/>
        </w:rPr>
        <w:t> </w:t>
      </w:r>
      <w:r>
        <w:rPr>
          <w:sz w:val="20"/>
        </w:rPr>
        <w:t>has</w:t>
      </w:r>
      <w:r>
        <w:rPr>
          <w:spacing w:val="-10"/>
          <w:sz w:val="20"/>
        </w:rPr>
        <w:t> </w:t>
      </w:r>
      <w:r>
        <w:rPr>
          <w:sz w:val="20"/>
        </w:rPr>
        <w:t>increased</w:t>
      </w:r>
      <w:r>
        <w:rPr>
          <w:spacing w:val="-8"/>
          <w:sz w:val="20"/>
        </w:rPr>
        <w:t> </w:t>
      </w:r>
      <w:r>
        <w:rPr>
          <w:sz w:val="20"/>
        </w:rPr>
        <w:t>by</w:t>
      </w:r>
      <w:r>
        <w:rPr>
          <w:spacing w:val="-8"/>
          <w:sz w:val="20"/>
        </w:rPr>
        <w:t> </w:t>
      </w:r>
      <w:r>
        <w:rPr>
          <w:sz w:val="20"/>
        </w:rPr>
        <w:t>€50.0</w:t>
      </w:r>
      <w:r>
        <w:rPr>
          <w:spacing w:val="-8"/>
          <w:sz w:val="20"/>
        </w:rPr>
        <w:t> </w:t>
      </w:r>
      <w:r>
        <w:rPr>
          <w:sz w:val="20"/>
        </w:rPr>
        <w:t>thousand</w:t>
      </w:r>
      <w:r>
        <w:rPr>
          <w:spacing w:val="-8"/>
          <w:sz w:val="20"/>
        </w:rPr>
        <w:t> </w:t>
      </w:r>
      <w:r>
        <w:rPr>
          <w:sz w:val="20"/>
        </w:rPr>
        <w:t>(500</w:t>
      </w:r>
      <w:r>
        <w:rPr>
          <w:spacing w:val="-13"/>
          <w:sz w:val="20"/>
        </w:rPr>
        <w:t> </w:t>
      </w:r>
      <w:r>
        <w:rPr>
          <w:sz w:val="20"/>
        </w:rPr>
        <w:t>per</w:t>
      </w:r>
      <w:r>
        <w:rPr>
          <w:spacing w:val="-7"/>
          <w:sz w:val="20"/>
        </w:rPr>
        <w:t> </w:t>
      </w:r>
      <w:r>
        <w:rPr>
          <w:sz w:val="20"/>
        </w:rPr>
        <w:t>cent).</w:t>
      </w:r>
      <w:r>
        <w:rPr>
          <w:spacing w:val="-6"/>
          <w:sz w:val="20"/>
        </w:rPr>
        <w:t> </w:t>
      </w:r>
      <w:r>
        <w:rPr>
          <w:sz w:val="20"/>
        </w:rPr>
        <w:t>The</w:t>
      </w:r>
      <w:r>
        <w:rPr>
          <w:spacing w:val="-7"/>
          <w:sz w:val="20"/>
        </w:rPr>
        <w:t> </w:t>
      </w:r>
      <w:r>
        <w:rPr>
          <w:sz w:val="20"/>
        </w:rPr>
        <w:t>increase reflects the</w:t>
      </w:r>
      <w:r>
        <w:rPr>
          <w:spacing w:val="-1"/>
          <w:sz w:val="20"/>
        </w:rPr>
        <w:t> </w:t>
      </w:r>
      <w:r>
        <w:rPr>
          <w:sz w:val="20"/>
        </w:rPr>
        <w:t>need for</w:t>
      </w:r>
      <w:r>
        <w:rPr>
          <w:spacing w:val="-3"/>
          <w:sz w:val="20"/>
        </w:rPr>
        <w:t> </w:t>
      </w:r>
      <w:r>
        <w:rPr>
          <w:sz w:val="20"/>
        </w:rPr>
        <w:t>the replacement of power generators</w:t>
      </w:r>
      <w:r>
        <w:rPr>
          <w:spacing w:val="-4"/>
          <w:sz w:val="20"/>
        </w:rPr>
        <w:t> </w:t>
      </w:r>
      <w:r>
        <w:rPr>
          <w:sz w:val="20"/>
        </w:rPr>
        <w:t>in the country</w:t>
      </w:r>
      <w:r>
        <w:rPr>
          <w:spacing w:val="-3"/>
          <w:sz w:val="20"/>
        </w:rPr>
        <w:t> </w:t>
      </w:r>
      <w:r>
        <w:rPr>
          <w:sz w:val="20"/>
        </w:rPr>
        <w:t>offices in CAR and Uganda.</w:t>
      </w:r>
      <w:r>
        <w:rPr>
          <w:spacing w:val="-1"/>
          <w:sz w:val="20"/>
        </w:rPr>
        <w:t> </w:t>
      </w:r>
      <w:r>
        <w:rPr>
          <w:sz w:val="20"/>
        </w:rPr>
        <w:t>In</w:t>
      </w:r>
      <w:r>
        <w:rPr>
          <w:spacing w:val="-8"/>
          <w:sz w:val="20"/>
        </w:rPr>
        <w:t> </w:t>
      </w:r>
      <w:r>
        <w:rPr>
          <w:sz w:val="20"/>
        </w:rPr>
        <w:t>order</w:t>
      </w:r>
      <w:r>
        <w:rPr>
          <w:spacing w:val="-4"/>
          <w:sz w:val="20"/>
        </w:rPr>
        <w:t> </w:t>
      </w:r>
      <w:r>
        <w:rPr>
          <w:sz w:val="20"/>
        </w:rPr>
        <w:t>to</w:t>
      </w:r>
      <w:r>
        <w:rPr>
          <w:spacing w:val="-4"/>
          <w:sz w:val="20"/>
        </w:rPr>
        <w:t> </w:t>
      </w:r>
      <w:r>
        <w:rPr>
          <w:sz w:val="20"/>
        </w:rPr>
        <w:t>ensure</w:t>
      </w:r>
      <w:r>
        <w:rPr>
          <w:spacing w:val="-2"/>
          <w:sz w:val="20"/>
        </w:rPr>
        <w:t> </w:t>
      </w:r>
      <w:r>
        <w:rPr>
          <w:sz w:val="20"/>
        </w:rPr>
        <w:t>business</w:t>
      </w:r>
      <w:r>
        <w:rPr>
          <w:spacing w:val="-10"/>
          <w:sz w:val="20"/>
        </w:rPr>
        <w:t> </w:t>
      </w:r>
      <w:r>
        <w:rPr>
          <w:sz w:val="20"/>
        </w:rPr>
        <w:t>continuity</w:t>
      </w:r>
      <w:r>
        <w:rPr>
          <w:spacing w:val="-8"/>
          <w:sz w:val="20"/>
        </w:rPr>
        <w:t> </w:t>
      </w:r>
      <w:r>
        <w:rPr>
          <w:sz w:val="20"/>
        </w:rPr>
        <w:t>in</w:t>
      </w:r>
      <w:r>
        <w:rPr>
          <w:spacing w:val="-4"/>
          <w:sz w:val="20"/>
        </w:rPr>
        <w:t> </w:t>
      </w:r>
      <w:r>
        <w:rPr>
          <w:sz w:val="20"/>
        </w:rPr>
        <w:t>the</w:t>
      </w:r>
      <w:r>
        <w:rPr>
          <w:spacing w:val="-7"/>
          <w:sz w:val="20"/>
        </w:rPr>
        <w:t> </w:t>
      </w:r>
      <w:r>
        <w:rPr>
          <w:sz w:val="20"/>
        </w:rPr>
        <w:t>country</w:t>
      </w:r>
      <w:r>
        <w:rPr>
          <w:spacing w:val="-8"/>
          <w:sz w:val="20"/>
        </w:rPr>
        <w:t> </w:t>
      </w:r>
      <w:r>
        <w:rPr>
          <w:sz w:val="20"/>
        </w:rPr>
        <w:t>offices,</w:t>
      </w:r>
      <w:r>
        <w:rPr>
          <w:spacing w:val="-6"/>
          <w:sz w:val="20"/>
        </w:rPr>
        <w:t> </w:t>
      </w:r>
      <w:r>
        <w:rPr>
          <w:sz w:val="20"/>
        </w:rPr>
        <w:t>the</w:t>
      </w:r>
      <w:r>
        <w:rPr>
          <w:spacing w:val="-2"/>
          <w:sz w:val="20"/>
        </w:rPr>
        <w:t> </w:t>
      </w:r>
      <w:r>
        <w:rPr>
          <w:sz w:val="20"/>
        </w:rPr>
        <w:t>replacement</w:t>
      </w:r>
      <w:r>
        <w:rPr>
          <w:spacing w:val="-2"/>
          <w:sz w:val="20"/>
        </w:rPr>
        <w:t> </w:t>
      </w:r>
      <w:r>
        <w:rPr>
          <w:sz w:val="20"/>
        </w:rPr>
        <w:t>of</w:t>
      </w:r>
      <w:r>
        <w:rPr>
          <w:spacing w:val="-4"/>
          <w:sz w:val="20"/>
        </w:rPr>
        <w:t> </w:t>
      </w:r>
      <w:r>
        <w:rPr>
          <w:sz w:val="20"/>
        </w:rPr>
        <w:t>end of useful life generators is crucial, as the offices have erratic power supply through the national grids and face frequent intermittent power outages. The required resources are</w:t>
      </w:r>
      <w:r>
        <w:rPr>
          <w:spacing w:val="80"/>
          <w:sz w:val="20"/>
        </w:rPr>
        <w:t> </w:t>
      </w:r>
      <w:r>
        <w:rPr>
          <w:spacing w:val="-2"/>
          <w:sz w:val="20"/>
        </w:rPr>
        <w:t>non-recurrent.</w:t>
      </w:r>
    </w:p>
    <w:p>
      <w:pPr>
        <w:spacing w:after="0" w:line="240" w:lineRule="auto"/>
        <w:jc w:val="both"/>
        <w:rPr>
          <w:sz w:val="20"/>
        </w:rPr>
        <w:sectPr>
          <w:pgSz w:w="11910" w:h="16840"/>
          <w:pgMar w:header="953" w:footer="940" w:top="1140" w:bottom="1140" w:left="20" w:right="20"/>
        </w:sectPr>
      </w:pPr>
    </w:p>
    <w:p>
      <w:pPr>
        <w:spacing w:before="120"/>
        <w:ind w:left="2246" w:right="0" w:firstLine="0"/>
        <w:jc w:val="left"/>
        <w:rPr>
          <w:b/>
          <w:sz w:val="20"/>
        </w:rPr>
      </w:pPr>
      <w:r>
        <w:rPr>
          <w:b/>
          <w:sz w:val="20"/>
        </w:rPr>
        <w:t>Table</w:t>
      </w:r>
      <w:r>
        <w:rPr>
          <w:b/>
          <w:spacing w:val="-6"/>
          <w:sz w:val="20"/>
        </w:rPr>
        <w:t> </w:t>
      </w:r>
      <w:r>
        <w:rPr>
          <w:b/>
          <w:sz w:val="20"/>
        </w:rPr>
        <w:t>26:</w:t>
      </w:r>
      <w:r>
        <w:rPr>
          <w:b/>
          <w:spacing w:val="-7"/>
          <w:sz w:val="20"/>
        </w:rPr>
        <w:t> </w:t>
      </w:r>
      <w:r>
        <w:rPr>
          <w:b/>
          <w:sz w:val="20"/>
        </w:rPr>
        <w:t>Programme</w:t>
      </w:r>
      <w:r>
        <w:rPr>
          <w:b/>
          <w:spacing w:val="-5"/>
          <w:sz w:val="20"/>
        </w:rPr>
        <w:t> </w:t>
      </w:r>
      <w:r>
        <w:rPr>
          <w:b/>
          <w:sz w:val="20"/>
        </w:rPr>
        <w:t>3200:</w:t>
      </w:r>
      <w:r>
        <w:rPr>
          <w:b/>
          <w:spacing w:val="-7"/>
          <w:sz w:val="20"/>
        </w:rPr>
        <w:t> </w:t>
      </w:r>
      <w:r>
        <w:rPr>
          <w:b/>
          <w:sz w:val="20"/>
        </w:rPr>
        <w:t>Proposed</w:t>
      </w:r>
      <w:r>
        <w:rPr>
          <w:b/>
          <w:spacing w:val="-8"/>
          <w:sz w:val="20"/>
        </w:rPr>
        <w:t> </w:t>
      </w:r>
      <w:r>
        <w:rPr>
          <w:b/>
          <w:sz w:val="20"/>
        </w:rPr>
        <w:t>budget</w:t>
      </w:r>
      <w:r>
        <w:rPr>
          <w:b/>
          <w:spacing w:val="-7"/>
          <w:sz w:val="20"/>
        </w:rPr>
        <w:t> </w:t>
      </w:r>
      <w:r>
        <w:rPr>
          <w:b/>
          <w:sz w:val="20"/>
        </w:rPr>
        <w:t>for </w:t>
      </w:r>
      <w:r>
        <w:rPr>
          <w:b/>
          <w:spacing w:val="-4"/>
          <w:sz w:val="20"/>
        </w:rPr>
        <w:t>2023</w:t>
      </w:r>
    </w:p>
    <w:tbl>
      <w:tblPr>
        <w:tblW w:w="0" w:type="auto"/>
        <w:jc w:val="left"/>
        <w:tblInd w:w="1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61"/>
        <w:gridCol w:w="1218"/>
        <w:gridCol w:w="827"/>
        <w:gridCol w:w="1133"/>
        <w:gridCol w:w="1078"/>
        <w:gridCol w:w="1076"/>
        <w:gridCol w:w="798"/>
        <w:gridCol w:w="1053"/>
      </w:tblGrid>
      <w:tr>
        <w:trPr>
          <w:trHeight w:val="324" w:hRule="atLeast"/>
        </w:trPr>
        <w:tc>
          <w:tcPr>
            <w:tcW w:w="2461" w:type="dxa"/>
            <w:vMerge w:val="restart"/>
            <w:tcBorders>
              <w:top w:val="single" w:sz="4" w:space="0" w:color="000000"/>
              <w:bottom w:val="single" w:sz="12" w:space="0" w:color="000000"/>
            </w:tcBorders>
          </w:tcPr>
          <w:p>
            <w:pPr>
              <w:pStyle w:val="TableParagraph"/>
              <w:spacing w:line="183" w:lineRule="exact" w:before="153"/>
              <w:ind w:left="117"/>
              <w:jc w:val="left"/>
              <w:rPr>
                <w:b/>
                <w:sz w:val="16"/>
              </w:rPr>
            </w:pPr>
            <w:r>
              <w:rPr>
                <w:b/>
                <w:spacing w:val="-4"/>
                <w:sz w:val="16"/>
              </w:rPr>
              <w:t>3200</w:t>
            </w:r>
          </w:p>
          <w:p>
            <w:pPr>
              <w:pStyle w:val="TableParagraph"/>
              <w:spacing w:line="183" w:lineRule="exact"/>
              <w:ind w:left="117"/>
              <w:jc w:val="left"/>
              <w:rPr>
                <w:b/>
                <w:sz w:val="16"/>
              </w:rPr>
            </w:pPr>
            <w:r>
              <w:rPr>
                <w:b/>
                <w:sz w:val="16"/>
              </w:rPr>
              <w:t>Division</w:t>
            </w:r>
            <w:r>
              <w:rPr>
                <w:b/>
                <w:spacing w:val="-7"/>
                <w:sz w:val="16"/>
              </w:rPr>
              <w:t> </w:t>
            </w:r>
            <w:r>
              <w:rPr>
                <w:b/>
                <w:sz w:val="16"/>
              </w:rPr>
              <w:t>of</w:t>
            </w:r>
            <w:r>
              <w:rPr>
                <w:b/>
                <w:spacing w:val="-1"/>
                <w:sz w:val="16"/>
              </w:rPr>
              <w:t> </w:t>
            </w:r>
            <w:r>
              <w:rPr>
                <w:b/>
                <w:spacing w:val="-2"/>
                <w:sz w:val="16"/>
              </w:rPr>
              <w:t>Management</w:t>
            </w:r>
          </w:p>
          <w:p>
            <w:pPr>
              <w:pStyle w:val="TableParagraph"/>
              <w:spacing w:line="172" w:lineRule="exact" w:before="3"/>
              <w:ind w:left="117"/>
              <w:jc w:val="left"/>
              <w:rPr>
                <w:b/>
                <w:sz w:val="16"/>
              </w:rPr>
            </w:pPr>
            <w:r>
              <w:rPr>
                <w:b/>
                <w:sz w:val="16"/>
              </w:rPr>
              <w:t>Services</w:t>
            </w:r>
            <w:r>
              <w:rPr>
                <w:b/>
                <w:spacing w:val="-7"/>
                <w:sz w:val="16"/>
              </w:rPr>
              <w:t> </w:t>
            </w:r>
            <w:r>
              <w:rPr>
                <w:b/>
                <w:spacing w:val="-2"/>
                <w:sz w:val="16"/>
              </w:rPr>
              <w:t>(DMS)</w:t>
            </w:r>
          </w:p>
        </w:tc>
        <w:tc>
          <w:tcPr>
            <w:tcW w:w="3178" w:type="dxa"/>
            <w:gridSpan w:val="3"/>
            <w:tcBorders>
              <w:top w:val="single" w:sz="4" w:space="0" w:color="000000"/>
            </w:tcBorders>
          </w:tcPr>
          <w:p>
            <w:pPr>
              <w:pStyle w:val="TableParagraph"/>
              <w:tabs>
                <w:tab w:pos="311" w:val="left" w:leader="none"/>
                <w:tab w:pos="3178" w:val="left" w:leader="none"/>
              </w:tabs>
              <w:spacing w:line="180" w:lineRule="exact" w:before="124"/>
              <w:ind w:left="-1" w:right="-15"/>
              <w:jc w:val="left"/>
              <w:rPr>
                <w:sz w:val="16"/>
              </w:rPr>
            </w:pPr>
            <w:r>
              <w:rPr>
                <w:sz w:val="16"/>
                <w:u w:val="single"/>
              </w:rPr>
              <w:tab/>
              <w:t>2021</w:t>
            </w:r>
            <w:r>
              <w:rPr>
                <w:spacing w:val="-3"/>
                <w:sz w:val="16"/>
                <w:u w:val="single"/>
              </w:rPr>
              <w:t> </w:t>
            </w:r>
            <w:r>
              <w:rPr>
                <w:sz w:val="16"/>
                <w:u w:val="single"/>
              </w:rPr>
              <w:t>Expenditures</w:t>
            </w:r>
            <w:r>
              <w:rPr>
                <w:spacing w:val="-4"/>
                <w:sz w:val="16"/>
                <w:u w:val="single"/>
              </w:rPr>
              <w:t> </w:t>
            </w:r>
            <w:r>
              <w:rPr>
                <w:sz w:val="16"/>
                <w:u w:val="single"/>
              </w:rPr>
              <w:t>(thousands</w:t>
            </w:r>
            <w:r>
              <w:rPr>
                <w:spacing w:val="-4"/>
                <w:sz w:val="16"/>
                <w:u w:val="single"/>
              </w:rPr>
              <w:t> </w:t>
            </w:r>
            <w:r>
              <w:rPr>
                <w:sz w:val="16"/>
                <w:u w:val="single"/>
              </w:rPr>
              <w:t>of</w:t>
            </w:r>
            <w:r>
              <w:rPr>
                <w:spacing w:val="-4"/>
                <w:sz w:val="16"/>
                <w:u w:val="single"/>
              </w:rPr>
              <w:t> </w:t>
            </w:r>
            <w:r>
              <w:rPr>
                <w:spacing w:val="-2"/>
                <w:sz w:val="16"/>
                <w:u w:val="single"/>
              </w:rPr>
              <w:t>euros)</w:t>
            </w:r>
            <w:r>
              <w:rPr>
                <w:sz w:val="16"/>
                <w:u w:val="single"/>
              </w:rPr>
              <w:tab/>
            </w:r>
          </w:p>
        </w:tc>
        <w:tc>
          <w:tcPr>
            <w:tcW w:w="1078" w:type="dxa"/>
            <w:vMerge w:val="restart"/>
            <w:tcBorders>
              <w:top w:val="single" w:sz="4" w:space="0" w:color="000000"/>
              <w:bottom w:val="single" w:sz="12" w:space="0" w:color="000000"/>
            </w:tcBorders>
          </w:tcPr>
          <w:p>
            <w:pPr>
              <w:pStyle w:val="TableParagraph"/>
              <w:spacing w:line="183" w:lineRule="exact" w:before="153"/>
              <w:ind w:left="228" w:right="181"/>
              <w:jc w:val="center"/>
              <w:rPr>
                <w:sz w:val="16"/>
              </w:rPr>
            </w:pPr>
            <w:r>
              <w:rPr>
                <w:spacing w:val="-4"/>
                <w:sz w:val="16"/>
              </w:rPr>
              <w:t>2022</w:t>
            </w:r>
          </w:p>
          <w:p>
            <w:pPr>
              <w:pStyle w:val="TableParagraph"/>
              <w:spacing w:line="183" w:lineRule="exact"/>
              <w:ind w:left="227" w:right="184"/>
              <w:jc w:val="center"/>
              <w:rPr>
                <w:sz w:val="16"/>
              </w:rPr>
            </w:pPr>
            <w:r>
              <w:rPr>
                <w:spacing w:val="-2"/>
                <w:sz w:val="16"/>
              </w:rPr>
              <w:t>Approved</w:t>
            </w:r>
          </w:p>
          <w:p>
            <w:pPr>
              <w:pStyle w:val="TableParagraph"/>
              <w:spacing w:line="172" w:lineRule="exact" w:before="3"/>
              <w:ind w:left="228" w:right="176"/>
              <w:jc w:val="center"/>
              <w:rPr>
                <w:sz w:val="16"/>
              </w:rPr>
            </w:pPr>
            <w:r>
              <w:rPr>
                <w:spacing w:val="-2"/>
                <w:sz w:val="16"/>
              </w:rPr>
              <w:t>Budget</w:t>
            </w:r>
          </w:p>
        </w:tc>
        <w:tc>
          <w:tcPr>
            <w:tcW w:w="1874" w:type="dxa"/>
            <w:gridSpan w:val="2"/>
            <w:tcBorders>
              <w:top w:val="single" w:sz="4" w:space="0" w:color="000000"/>
            </w:tcBorders>
          </w:tcPr>
          <w:p>
            <w:pPr>
              <w:pStyle w:val="TableParagraph"/>
              <w:tabs>
                <w:tab w:pos="339" w:val="left" w:leader="none"/>
                <w:tab w:pos="1803" w:val="left" w:leader="none"/>
              </w:tabs>
              <w:spacing w:line="180" w:lineRule="exact" w:before="124"/>
              <w:ind w:left="56"/>
              <w:jc w:val="left"/>
              <w:rPr>
                <w:sz w:val="16"/>
              </w:rPr>
            </w:pPr>
            <w:r>
              <w:rPr>
                <w:sz w:val="16"/>
                <w:u w:val="single"/>
              </w:rPr>
              <w:tab/>
              <w:t>Resource</w:t>
            </w:r>
            <w:r>
              <w:rPr>
                <w:spacing w:val="-2"/>
                <w:sz w:val="16"/>
                <w:u w:val="single"/>
              </w:rPr>
              <w:t> Changes</w:t>
            </w:r>
            <w:r>
              <w:rPr>
                <w:sz w:val="16"/>
                <w:u w:val="single"/>
              </w:rPr>
              <w:tab/>
            </w:r>
          </w:p>
        </w:tc>
        <w:tc>
          <w:tcPr>
            <w:tcW w:w="1053" w:type="dxa"/>
            <w:tcBorders>
              <w:top w:val="single" w:sz="4" w:space="0" w:color="000000"/>
            </w:tcBorders>
          </w:tcPr>
          <w:p>
            <w:pPr>
              <w:pStyle w:val="TableParagraph"/>
              <w:jc w:val="left"/>
              <w:rPr>
                <w:sz w:val="14"/>
              </w:rPr>
            </w:pPr>
          </w:p>
        </w:tc>
      </w:tr>
      <w:tr>
        <w:trPr>
          <w:trHeight w:val="359" w:hRule="atLeast"/>
        </w:trPr>
        <w:tc>
          <w:tcPr>
            <w:tcW w:w="2461" w:type="dxa"/>
            <w:vMerge/>
            <w:tcBorders>
              <w:top w:val="nil"/>
              <w:bottom w:val="single" w:sz="12" w:space="0" w:color="000000"/>
            </w:tcBorders>
          </w:tcPr>
          <w:p>
            <w:pPr>
              <w:rPr>
                <w:sz w:val="2"/>
                <w:szCs w:val="2"/>
              </w:rPr>
            </w:pPr>
          </w:p>
        </w:tc>
        <w:tc>
          <w:tcPr>
            <w:tcW w:w="1218" w:type="dxa"/>
            <w:tcBorders>
              <w:bottom w:val="single" w:sz="12" w:space="0" w:color="000000"/>
            </w:tcBorders>
          </w:tcPr>
          <w:p>
            <w:pPr>
              <w:pStyle w:val="TableParagraph"/>
              <w:spacing w:before="7"/>
              <w:jc w:val="left"/>
              <w:rPr>
                <w:b/>
                <w:sz w:val="14"/>
              </w:rPr>
            </w:pPr>
          </w:p>
          <w:p>
            <w:pPr>
              <w:pStyle w:val="TableParagraph"/>
              <w:spacing w:line="172" w:lineRule="exact"/>
              <w:ind w:left="393"/>
              <w:jc w:val="left"/>
              <w:rPr>
                <w:sz w:val="16"/>
              </w:rPr>
            </w:pPr>
            <w:r>
              <w:rPr>
                <w:spacing w:val="-2"/>
                <w:sz w:val="16"/>
              </w:rPr>
              <w:t>Total</w:t>
            </w:r>
          </w:p>
        </w:tc>
        <w:tc>
          <w:tcPr>
            <w:tcW w:w="827" w:type="dxa"/>
            <w:tcBorders>
              <w:bottom w:val="single" w:sz="12" w:space="0" w:color="000000"/>
            </w:tcBorders>
          </w:tcPr>
          <w:p>
            <w:pPr>
              <w:pStyle w:val="TableParagraph"/>
              <w:spacing w:line="165" w:lineRule="exact"/>
              <w:ind w:left="193"/>
              <w:jc w:val="left"/>
              <w:rPr>
                <w:sz w:val="16"/>
              </w:rPr>
            </w:pPr>
            <w:r>
              <w:rPr>
                <w:spacing w:val="-2"/>
                <w:sz w:val="16"/>
              </w:rPr>
              <w:t>Cont.</w:t>
            </w:r>
          </w:p>
          <w:p>
            <w:pPr>
              <w:pStyle w:val="TableParagraph"/>
              <w:spacing w:line="172" w:lineRule="exact" w:before="3"/>
              <w:ind w:left="203"/>
              <w:jc w:val="left"/>
              <w:rPr>
                <w:sz w:val="16"/>
              </w:rPr>
            </w:pPr>
            <w:r>
              <w:rPr>
                <w:spacing w:val="-4"/>
                <w:sz w:val="16"/>
              </w:rPr>
              <w:t>Fund</w:t>
            </w:r>
          </w:p>
        </w:tc>
        <w:tc>
          <w:tcPr>
            <w:tcW w:w="1133" w:type="dxa"/>
            <w:tcBorders>
              <w:bottom w:val="single" w:sz="12" w:space="0" w:color="000000"/>
            </w:tcBorders>
          </w:tcPr>
          <w:p>
            <w:pPr>
              <w:pStyle w:val="TableParagraph"/>
              <w:spacing w:before="7"/>
              <w:jc w:val="left"/>
              <w:rPr>
                <w:b/>
                <w:sz w:val="14"/>
              </w:rPr>
            </w:pPr>
          </w:p>
          <w:p>
            <w:pPr>
              <w:pStyle w:val="TableParagraph"/>
              <w:spacing w:line="172" w:lineRule="exact"/>
              <w:ind w:right="121"/>
              <w:rPr>
                <w:sz w:val="16"/>
              </w:rPr>
            </w:pPr>
            <w:r>
              <w:rPr>
                <w:sz w:val="16"/>
              </w:rPr>
              <w:t>Total</w:t>
            </w:r>
            <w:r>
              <w:rPr>
                <w:spacing w:val="-7"/>
                <w:sz w:val="16"/>
              </w:rPr>
              <w:t> </w:t>
            </w:r>
            <w:r>
              <w:rPr>
                <w:sz w:val="16"/>
              </w:rPr>
              <w:t>Incl.</w:t>
            </w:r>
            <w:r>
              <w:rPr>
                <w:spacing w:val="-6"/>
                <w:sz w:val="16"/>
              </w:rPr>
              <w:t> </w:t>
            </w:r>
            <w:r>
              <w:rPr>
                <w:spacing w:val="-5"/>
                <w:sz w:val="16"/>
              </w:rPr>
              <w:t>CF</w:t>
            </w:r>
          </w:p>
        </w:tc>
        <w:tc>
          <w:tcPr>
            <w:tcW w:w="1078" w:type="dxa"/>
            <w:vMerge/>
            <w:tcBorders>
              <w:top w:val="nil"/>
              <w:bottom w:val="single" w:sz="12" w:space="0" w:color="000000"/>
            </w:tcBorders>
          </w:tcPr>
          <w:p>
            <w:pPr>
              <w:rPr>
                <w:sz w:val="2"/>
                <w:szCs w:val="2"/>
              </w:rPr>
            </w:pPr>
          </w:p>
        </w:tc>
        <w:tc>
          <w:tcPr>
            <w:tcW w:w="1076" w:type="dxa"/>
            <w:tcBorders>
              <w:bottom w:val="single" w:sz="12" w:space="0" w:color="000000"/>
            </w:tcBorders>
          </w:tcPr>
          <w:p>
            <w:pPr>
              <w:pStyle w:val="TableParagraph"/>
              <w:spacing w:before="7"/>
              <w:jc w:val="left"/>
              <w:rPr>
                <w:b/>
                <w:sz w:val="14"/>
              </w:rPr>
            </w:pPr>
          </w:p>
          <w:p>
            <w:pPr>
              <w:pStyle w:val="TableParagraph"/>
              <w:spacing w:line="172" w:lineRule="exact"/>
              <w:ind w:right="134"/>
              <w:rPr>
                <w:sz w:val="16"/>
              </w:rPr>
            </w:pPr>
            <w:r>
              <w:rPr>
                <w:spacing w:val="-2"/>
                <w:sz w:val="16"/>
              </w:rPr>
              <w:t>Amount</w:t>
            </w:r>
          </w:p>
        </w:tc>
        <w:tc>
          <w:tcPr>
            <w:tcW w:w="798" w:type="dxa"/>
            <w:tcBorders>
              <w:bottom w:val="single" w:sz="12" w:space="0" w:color="000000"/>
            </w:tcBorders>
          </w:tcPr>
          <w:p>
            <w:pPr>
              <w:pStyle w:val="TableParagraph"/>
              <w:spacing w:before="7"/>
              <w:jc w:val="left"/>
              <w:rPr>
                <w:b/>
                <w:sz w:val="14"/>
              </w:rPr>
            </w:pPr>
          </w:p>
          <w:p>
            <w:pPr>
              <w:pStyle w:val="TableParagraph"/>
              <w:spacing w:line="172" w:lineRule="exact"/>
              <w:ind w:right="176"/>
              <w:rPr>
                <w:sz w:val="16"/>
              </w:rPr>
            </w:pPr>
            <w:r>
              <w:rPr>
                <w:w w:val="98"/>
                <w:sz w:val="16"/>
              </w:rPr>
              <w:t>%</w:t>
            </w:r>
          </w:p>
        </w:tc>
        <w:tc>
          <w:tcPr>
            <w:tcW w:w="1053" w:type="dxa"/>
            <w:tcBorders>
              <w:bottom w:val="single" w:sz="12" w:space="0" w:color="000000"/>
            </w:tcBorders>
          </w:tcPr>
          <w:p>
            <w:pPr>
              <w:pStyle w:val="TableParagraph"/>
              <w:spacing w:line="165" w:lineRule="exact"/>
              <w:ind w:left="58" w:right="134"/>
              <w:jc w:val="center"/>
              <w:rPr>
                <w:sz w:val="16"/>
              </w:rPr>
            </w:pPr>
            <w:r>
              <w:rPr>
                <w:spacing w:val="-2"/>
                <w:sz w:val="16"/>
              </w:rPr>
              <w:t>Proposed</w:t>
            </w:r>
          </w:p>
          <w:p>
            <w:pPr>
              <w:pStyle w:val="TableParagraph"/>
              <w:spacing w:line="172" w:lineRule="exact" w:before="3"/>
              <w:ind w:left="65" w:right="133"/>
              <w:jc w:val="center"/>
              <w:rPr>
                <w:sz w:val="16"/>
              </w:rPr>
            </w:pPr>
            <w:r>
              <w:rPr>
                <w:sz w:val="16"/>
              </w:rPr>
              <w:t>2023</w:t>
            </w:r>
            <w:r>
              <w:rPr>
                <w:spacing w:val="2"/>
                <w:sz w:val="16"/>
              </w:rPr>
              <w:t> </w:t>
            </w:r>
            <w:r>
              <w:rPr>
                <w:spacing w:val="-2"/>
                <w:sz w:val="16"/>
              </w:rPr>
              <w:t>Budget</w:t>
            </w:r>
          </w:p>
        </w:tc>
      </w:tr>
      <w:tr>
        <w:trPr>
          <w:trHeight w:val="231" w:hRule="atLeast"/>
        </w:trPr>
        <w:tc>
          <w:tcPr>
            <w:tcW w:w="2461" w:type="dxa"/>
            <w:tcBorders>
              <w:top w:val="single" w:sz="12" w:space="0" w:color="000000"/>
            </w:tcBorders>
          </w:tcPr>
          <w:p>
            <w:pPr>
              <w:pStyle w:val="TableParagraph"/>
              <w:spacing w:before="13"/>
              <w:ind w:left="117"/>
              <w:jc w:val="left"/>
              <w:rPr>
                <w:sz w:val="16"/>
              </w:rPr>
            </w:pPr>
            <w:r>
              <w:rPr>
                <w:w w:val="95"/>
                <w:sz w:val="16"/>
              </w:rPr>
              <w:t>Professional</w:t>
            </w:r>
            <w:r>
              <w:rPr>
                <w:spacing w:val="28"/>
                <w:sz w:val="16"/>
              </w:rPr>
              <w:t> </w:t>
            </w:r>
            <w:r>
              <w:rPr>
                <w:spacing w:val="-2"/>
                <w:sz w:val="16"/>
              </w:rPr>
              <w:t>staff</w:t>
            </w:r>
          </w:p>
        </w:tc>
        <w:tc>
          <w:tcPr>
            <w:tcW w:w="1218" w:type="dxa"/>
            <w:tcBorders>
              <w:top w:val="single" w:sz="12" w:space="0" w:color="000000"/>
            </w:tcBorders>
            <w:shd w:val="clear" w:color="auto" w:fill="D9D9D9"/>
          </w:tcPr>
          <w:p>
            <w:pPr>
              <w:pStyle w:val="TableParagraph"/>
              <w:jc w:val="left"/>
              <w:rPr>
                <w:sz w:val="14"/>
              </w:rPr>
            </w:pPr>
          </w:p>
        </w:tc>
        <w:tc>
          <w:tcPr>
            <w:tcW w:w="827" w:type="dxa"/>
            <w:tcBorders>
              <w:top w:val="single" w:sz="12" w:space="0" w:color="000000"/>
            </w:tcBorders>
            <w:shd w:val="clear" w:color="auto" w:fill="D9D9D9"/>
          </w:tcPr>
          <w:p>
            <w:pPr>
              <w:pStyle w:val="TableParagraph"/>
              <w:jc w:val="left"/>
              <w:rPr>
                <w:sz w:val="14"/>
              </w:rPr>
            </w:pPr>
          </w:p>
        </w:tc>
        <w:tc>
          <w:tcPr>
            <w:tcW w:w="1133" w:type="dxa"/>
            <w:tcBorders>
              <w:top w:val="single" w:sz="12" w:space="0" w:color="000000"/>
            </w:tcBorders>
            <w:shd w:val="clear" w:color="auto" w:fill="D9D9D9"/>
          </w:tcPr>
          <w:p>
            <w:pPr>
              <w:pStyle w:val="TableParagraph"/>
              <w:jc w:val="left"/>
              <w:rPr>
                <w:sz w:val="14"/>
              </w:rPr>
            </w:pPr>
          </w:p>
        </w:tc>
        <w:tc>
          <w:tcPr>
            <w:tcW w:w="1078" w:type="dxa"/>
            <w:tcBorders>
              <w:top w:val="single" w:sz="12" w:space="0" w:color="000000"/>
            </w:tcBorders>
          </w:tcPr>
          <w:p>
            <w:pPr>
              <w:pStyle w:val="TableParagraph"/>
              <w:spacing w:before="13"/>
              <w:ind w:right="51"/>
              <w:rPr>
                <w:sz w:val="16"/>
              </w:rPr>
            </w:pPr>
            <w:r>
              <w:rPr>
                <w:spacing w:val="-2"/>
                <w:sz w:val="16"/>
              </w:rPr>
              <w:t>4,220.7</w:t>
            </w:r>
          </w:p>
        </w:tc>
        <w:tc>
          <w:tcPr>
            <w:tcW w:w="1076" w:type="dxa"/>
            <w:tcBorders>
              <w:top w:val="single" w:sz="12" w:space="0" w:color="000000"/>
            </w:tcBorders>
          </w:tcPr>
          <w:p>
            <w:pPr>
              <w:pStyle w:val="TableParagraph"/>
              <w:spacing w:before="13"/>
              <w:ind w:right="137"/>
              <w:rPr>
                <w:sz w:val="16"/>
              </w:rPr>
            </w:pPr>
            <w:r>
              <w:rPr>
                <w:spacing w:val="-2"/>
                <w:sz w:val="16"/>
              </w:rPr>
              <w:t>344.0</w:t>
            </w:r>
          </w:p>
        </w:tc>
        <w:tc>
          <w:tcPr>
            <w:tcW w:w="798" w:type="dxa"/>
            <w:tcBorders>
              <w:top w:val="single" w:sz="12" w:space="0" w:color="000000"/>
            </w:tcBorders>
          </w:tcPr>
          <w:p>
            <w:pPr>
              <w:pStyle w:val="TableParagraph"/>
              <w:spacing w:before="13"/>
              <w:ind w:right="176"/>
              <w:rPr>
                <w:sz w:val="16"/>
              </w:rPr>
            </w:pPr>
            <w:r>
              <w:rPr>
                <w:spacing w:val="-5"/>
                <w:sz w:val="16"/>
              </w:rPr>
              <w:t>8.2</w:t>
            </w:r>
          </w:p>
        </w:tc>
        <w:tc>
          <w:tcPr>
            <w:tcW w:w="1053" w:type="dxa"/>
            <w:tcBorders>
              <w:top w:val="single" w:sz="12" w:space="0" w:color="000000"/>
            </w:tcBorders>
          </w:tcPr>
          <w:p>
            <w:pPr>
              <w:pStyle w:val="TableParagraph"/>
              <w:spacing w:before="13"/>
              <w:ind w:right="101"/>
              <w:rPr>
                <w:sz w:val="16"/>
              </w:rPr>
            </w:pPr>
            <w:r>
              <w:rPr>
                <w:spacing w:val="-2"/>
                <w:sz w:val="16"/>
              </w:rPr>
              <w:t>4,564.7</w:t>
            </w:r>
          </w:p>
        </w:tc>
      </w:tr>
      <w:tr>
        <w:trPr>
          <w:trHeight w:val="223" w:hRule="atLeast"/>
        </w:trPr>
        <w:tc>
          <w:tcPr>
            <w:tcW w:w="2461" w:type="dxa"/>
            <w:tcBorders>
              <w:bottom w:val="single" w:sz="4" w:space="0" w:color="000000"/>
            </w:tcBorders>
          </w:tcPr>
          <w:p>
            <w:pPr>
              <w:pStyle w:val="TableParagraph"/>
              <w:spacing w:before="8"/>
              <w:ind w:left="117"/>
              <w:jc w:val="left"/>
              <w:rPr>
                <w:sz w:val="16"/>
              </w:rPr>
            </w:pPr>
            <w:r>
              <w:rPr>
                <w:sz w:val="16"/>
              </w:rPr>
              <w:t>General</w:t>
            </w:r>
            <w:r>
              <w:rPr>
                <w:spacing w:val="-6"/>
                <w:sz w:val="16"/>
              </w:rPr>
              <w:t> </w:t>
            </w:r>
            <w:r>
              <w:rPr>
                <w:sz w:val="16"/>
              </w:rPr>
              <w:t>Service</w:t>
            </w:r>
            <w:r>
              <w:rPr>
                <w:spacing w:val="-4"/>
                <w:sz w:val="16"/>
              </w:rPr>
              <w:t> staff</w:t>
            </w:r>
          </w:p>
        </w:tc>
        <w:tc>
          <w:tcPr>
            <w:tcW w:w="1218" w:type="dxa"/>
            <w:tcBorders>
              <w:bottom w:val="single" w:sz="4" w:space="0" w:color="000000"/>
            </w:tcBorders>
            <w:shd w:val="clear" w:color="auto" w:fill="D9D9D9"/>
          </w:tcPr>
          <w:p>
            <w:pPr>
              <w:pStyle w:val="TableParagraph"/>
              <w:jc w:val="left"/>
              <w:rPr>
                <w:sz w:val="14"/>
              </w:rPr>
            </w:pPr>
          </w:p>
        </w:tc>
        <w:tc>
          <w:tcPr>
            <w:tcW w:w="827" w:type="dxa"/>
            <w:tcBorders>
              <w:bottom w:val="single" w:sz="4" w:space="0" w:color="000000"/>
            </w:tcBorders>
            <w:shd w:val="clear" w:color="auto" w:fill="D9D9D9"/>
          </w:tcPr>
          <w:p>
            <w:pPr>
              <w:pStyle w:val="TableParagraph"/>
              <w:jc w:val="left"/>
              <w:rPr>
                <w:sz w:val="14"/>
              </w:rPr>
            </w:pPr>
          </w:p>
        </w:tc>
        <w:tc>
          <w:tcPr>
            <w:tcW w:w="1133" w:type="dxa"/>
            <w:tcBorders>
              <w:bottom w:val="single" w:sz="4" w:space="0" w:color="000000"/>
            </w:tcBorders>
            <w:shd w:val="clear" w:color="auto" w:fill="D9D9D9"/>
          </w:tcPr>
          <w:p>
            <w:pPr>
              <w:pStyle w:val="TableParagraph"/>
              <w:jc w:val="left"/>
              <w:rPr>
                <w:sz w:val="14"/>
              </w:rPr>
            </w:pPr>
          </w:p>
        </w:tc>
        <w:tc>
          <w:tcPr>
            <w:tcW w:w="1078" w:type="dxa"/>
            <w:tcBorders>
              <w:bottom w:val="single" w:sz="4" w:space="0" w:color="000000"/>
            </w:tcBorders>
          </w:tcPr>
          <w:p>
            <w:pPr>
              <w:pStyle w:val="TableParagraph"/>
              <w:spacing w:before="8"/>
              <w:ind w:right="51"/>
              <w:rPr>
                <w:sz w:val="16"/>
              </w:rPr>
            </w:pPr>
            <w:r>
              <w:rPr>
                <w:spacing w:val="-2"/>
                <w:sz w:val="16"/>
              </w:rPr>
              <w:t>9,424.8</w:t>
            </w:r>
          </w:p>
        </w:tc>
        <w:tc>
          <w:tcPr>
            <w:tcW w:w="1076" w:type="dxa"/>
            <w:tcBorders>
              <w:bottom w:val="single" w:sz="4" w:space="0" w:color="000000"/>
            </w:tcBorders>
          </w:tcPr>
          <w:p>
            <w:pPr>
              <w:pStyle w:val="TableParagraph"/>
              <w:spacing w:before="8"/>
              <w:ind w:right="137"/>
              <w:rPr>
                <w:sz w:val="16"/>
              </w:rPr>
            </w:pPr>
            <w:r>
              <w:rPr>
                <w:spacing w:val="-2"/>
                <w:sz w:val="16"/>
              </w:rPr>
              <w:t>437.8</w:t>
            </w:r>
          </w:p>
        </w:tc>
        <w:tc>
          <w:tcPr>
            <w:tcW w:w="798" w:type="dxa"/>
            <w:tcBorders>
              <w:bottom w:val="single" w:sz="4" w:space="0" w:color="000000"/>
            </w:tcBorders>
          </w:tcPr>
          <w:p>
            <w:pPr>
              <w:pStyle w:val="TableParagraph"/>
              <w:spacing w:before="8"/>
              <w:ind w:right="176"/>
              <w:rPr>
                <w:sz w:val="16"/>
              </w:rPr>
            </w:pPr>
            <w:r>
              <w:rPr>
                <w:spacing w:val="-5"/>
                <w:sz w:val="16"/>
              </w:rPr>
              <w:t>4.6</w:t>
            </w:r>
          </w:p>
        </w:tc>
        <w:tc>
          <w:tcPr>
            <w:tcW w:w="1053" w:type="dxa"/>
            <w:tcBorders>
              <w:bottom w:val="single" w:sz="4" w:space="0" w:color="000000"/>
            </w:tcBorders>
          </w:tcPr>
          <w:p>
            <w:pPr>
              <w:pStyle w:val="TableParagraph"/>
              <w:spacing w:before="8"/>
              <w:ind w:right="101"/>
              <w:rPr>
                <w:sz w:val="16"/>
              </w:rPr>
            </w:pPr>
            <w:r>
              <w:rPr>
                <w:spacing w:val="-2"/>
                <w:sz w:val="16"/>
              </w:rPr>
              <w:t>9,862.6</w:t>
            </w:r>
          </w:p>
        </w:tc>
      </w:tr>
      <w:tr>
        <w:trPr>
          <w:trHeight w:val="225" w:hRule="atLeast"/>
        </w:trPr>
        <w:tc>
          <w:tcPr>
            <w:tcW w:w="2461" w:type="dxa"/>
            <w:tcBorders>
              <w:top w:val="single" w:sz="4" w:space="0" w:color="000000"/>
              <w:bottom w:val="single" w:sz="4" w:space="0" w:color="000000"/>
            </w:tcBorders>
          </w:tcPr>
          <w:p>
            <w:pPr>
              <w:pStyle w:val="TableParagraph"/>
              <w:spacing w:before="9"/>
              <w:ind w:right="104"/>
              <w:rPr>
                <w:i/>
                <w:sz w:val="16"/>
              </w:rPr>
            </w:pPr>
            <w:r>
              <w:rPr>
                <w:i/>
                <w:sz w:val="16"/>
              </w:rPr>
              <w:t>Subtotal</w:t>
            </w:r>
            <w:r>
              <w:rPr>
                <w:i/>
                <w:spacing w:val="-1"/>
                <w:sz w:val="16"/>
              </w:rPr>
              <w:t> </w:t>
            </w:r>
            <w:r>
              <w:rPr>
                <w:i/>
                <w:spacing w:val="-2"/>
                <w:sz w:val="16"/>
              </w:rPr>
              <w:t>staff</w:t>
            </w:r>
          </w:p>
        </w:tc>
        <w:tc>
          <w:tcPr>
            <w:tcW w:w="1218" w:type="dxa"/>
            <w:tcBorders>
              <w:top w:val="single" w:sz="4" w:space="0" w:color="000000"/>
              <w:bottom w:val="single" w:sz="4" w:space="0" w:color="000000"/>
            </w:tcBorders>
          </w:tcPr>
          <w:p>
            <w:pPr>
              <w:pStyle w:val="TableParagraph"/>
              <w:spacing w:before="9"/>
              <w:ind w:right="192"/>
              <w:rPr>
                <w:i/>
                <w:sz w:val="16"/>
              </w:rPr>
            </w:pPr>
            <w:r>
              <w:rPr>
                <w:i/>
                <w:spacing w:val="-2"/>
                <w:sz w:val="16"/>
              </w:rPr>
              <w:t>13,774.3</w:t>
            </w:r>
          </w:p>
        </w:tc>
        <w:tc>
          <w:tcPr>
            <w:tcW w:w="827" w:type="dxa"/>
            <w:tcBorders>
              <w:top w:val="single" w:sz="4" w:space="0" w:color="000000"/>
              <w:bottom w:val="single" w:sz="4" w:space="0" w:color="000000"/>
            </w:tcBorders>
          </w:tcPr>
          <w:p>
            <w:pPr>
              <w:pStyle w:val="TableParagraph"/>
              <w:spacing w:before="9"/>
              <w:ind w:right="107"/>
              <w:rPr>
                <w:i/>
                <w:sz w:val="16"/>
              </w:rPr>
            </w:pPr>
            <w:r>
              <w:rPr>
                <w:i/>
                <w:w w:val="98"/>
                <w:sz w:val="16"/>
              </w:rPr>
              <w:t>-</w:t>
            </w:r>
          </w:p>
        </w:tc>
        <w:tc>
          <w:tcPr>
            <w:tcW w:w="1133" w:type="dxa"/>
            <w:tcBorders>
              <w:top w:val="single" w:sz="4" w:space="0" w:color="000000"/>
              <w:bottom w:val="single" w:sz="4" w:space="0" w:color="000000"/>
            </w:tcBorders>
          </w:tcPr>
          <w:p>
            <w:pPr>
              <w:pStyle w:val="TableParagraph"/>
              <w:spacing w:before="9"/>
              <w:ind w:right="106"/>
              <w:rPr>
                <w:i/>
                <w:sz w:val="16"/>
              </w:rPr>
            </w:pPr>
            <w:r>
              <w:rPr>
                <w:i/>
                <w:spacing w:val="-2"/>
                <w:sz w:val="16"/>
              </w:rPr>
              <w:t>13,774.3</w:t>
            </w:r>
          </w:p>
        </w:tc>
        <w:tc>
          <w:tcPr>
            <w:tcW w:w="1078" w:type="dxa"/>
            <w:tcBorders>
              <w:top w:val="single" w:sz="4" w:space="0" w:color="000000"/>
              <w:bottom w:val="single" w:sz="4" w:space="0" w:color="000000"/>
            </w:tcBorders>
          </w:tcPr>
          <w:p>
            <w:pPr>
              <w:pStyle w:val="TableParagraph"/>
              <w:spacing w:before="9"/>
              <w:ind w:right="51"/>
              <w:rPr>
                <w:i/>
                <w:sz w:val="16"/>
              </w:rPr>
            </w:pPr>
            <w:r>
              <w:rPr>
                <w:i/>
                <w:spacing w:val="-2"/>
                <w:sz w:val="16"/>
              </w:rPr>
              <w:t>13,645.5</w:t>
            </w:r>
          </w:p>
        </w:tc>
        <w:tc>
          <w:tcPr>
            <w:tcW w:w="1076" w:type="dxa"/>
            <w:tcBorders>
              <w:top w:val="single" w:sz="4" w:space="0" w:color="000000"/>
              <w:bottom w:val="single" w:sz="4" w:space="0" w:color="000000"/>
            </w:tcBorders>
          </w:tcPr>
          <w:p>
            <w:pPr>
              <w:pStyle w:val="TableParagraph"/>
              <w:spacing w:before="9"/>
              <w:ind w:right="137"/>
              <w:rPr>
                <w:i/>
                <w:sz w:val="16"/>
              </w:rPr>
            </w:pPr>
            <w:r>
              <w:rPr>
                <w:i/>
                <w:spacing w:val="-2"/>
                <w:sz w:val="16"/>
              </w:rPr>
              <w:t>781.8</w:t>
            </w:r>
          </w:p>
        </w:tc>
        <w:tc>
          <w:tcPr>
            <w:tcW w:w="798" w:type="dxa"/>
            <w:tcBorders>
              <w:top w:val="single" w:sz="4" w:space="0" w:color="000000"/>
              <w:bottom w:val="single" w:sz="4" w:space="0" w:color="000000"/>
            </w:tcBorders>
          </w:tcPr>
          <w:p>
            <w:pPr>
              <w:pStyle w:val="TableParagraph"/>
              <w:spacing w:before="9"/>
              <w:ind w:right="176"/>
              <w:rPr>
                <w:i/>
                <w:sz w:val="16"/>
              </w:rPr>
            </w:pPr>
            <w:r>
              <w:rPr>
                <w:i/>
                <w:spacing w:val="-5"/>
                <w:sz w:val="16"/>
              </w:rPr>
              <w:t>5.7</w:t>
            </w:r>
          </w:p>
        </w:tc>
        <w:tc>
          <w:tcPr>
            <w:tcW w:w="1053" w:type="dxa"/>
            <w:tcBorders>
              <w:top w:val="single" w:sz="4" w:space="0" w:color="000000"/>
              <w:bottom w:val="single" w:sz="4" w:space="0" w:color="000000"/>
            </w:tcBorders>
          </w:tcPr>
          <w:p>
            <w:pPr>
              <w:pStyle w:val="TableParagraph"/>
              <w:spacing w:before="9"/>
              <w:ind w:right="101"/>
              <w:rPr>
                <w:i/>
                <w:sz w:val="16"/>
              </w:rPr>
            </w:pPr>
            <w:r>
              <w:rPr>
                <w:i/>
                <w:spacing w:val="-2"/>
                <w:sz w:val="16"/>
              </w:rPr>
              <w:t>14,427.3</w:t>
            </w:r>
          </w:p>
        </w:tc>
      </w:tr>
      <w:tr>
        <w:trPr>
          <w:trHeight w:val="231" w:hRule="atLeast"/>
        </w:trPr>
        <w:tc>
          <w:tcPr>
            <w:tcW w:w="2461" w:type="dxa"/>
            <w:tcBorders>
              <w:top w:val="single" w:sz="4" w:space="0" w:color="000000"/>
            </w:tcBorders>
          </w:tcPr>
          <w:p>
            <w:pPr>
              <w:pStyle w:val="TableParagraph"/>
              <w:spacing w:before="14"/>
              <w:ind w:left="117"/>
              <w:jc w:val="left"/>
              <w:rPr>
                <w:sz w:val="16"/>
              </w:rPr>
            </w:pPr>
            <w:r>
              <w:rPr>
                <w:sz w:val="16"/>
              </w:rPr>
              <w:t>General</w:t>
            </w:r>
            <w:r>
              <w:rPr>
                <w:spacing w:val="-4"/>
                <w:sz w:val="16"/>
              </w:rPr>
              <w:t> </w:t>
            </w:r>
            <w:r>
              <w:rPr>
                <w:sz w:val="16"/>
              </w:rPr>
              <w:t>temporary</w:t>
            </w:r>
            <w:r>
              <w:rPr>
                <w:spacing w:val="-1"/>
                <w:sz w:val="16"/>
              </w:rPr>
              <w:t> </w:t>
            </w:r>
            <w:r>
              <w:rPr>
                <w:spacing w:val="-2"/>
                <w:sz w:val="16"/>
              </w:rPr>
              <w:t>assistance</w:t>
            </w:r>
          </w:p>
        </w:tc>
        <w:tc>
          <w:tcPr>
            <w:tcW w:w="1218" w:type="dxa"/>
            <w:tcBorders>
              <w:top w:val="single" w:sz="4" w:space="0" w:color="000000"/>
            </w:tcBorders>
          </w:tcPr>
          <w:p>
            <w:pPr>
              <w:pStyle w:val="TableParagraph"/>
              <w:spacing w:before="14"/>
              <w:ind w:right="191"/>
              <w:rPr>
                <w:sz w:val="16"/>
              </w:rPr>
            </w:pPr>
            <w:r>
              <w:rPr>
                <w:spacing w:val="-2"/>
                <w:sz w:val="16"/>
              </w:rPr>
              <w:t>749.6</w:t>
            </w:r>
          </w:p>
        </w:tc>
        <w:tc>
          <w:tcPr>
            <w:tcW w:w="827" w:type="dxa"/>
            <w:tcBorders>
              <w:top w:val="single" w:sz="4" w:space="0" w:color="000000"/>
            </w:tcBorders>
          </w:tcPr>
          <w:p>
            <w:pPr>
              <w:pStyle w:val="TableParagraph"/>
              <w:spacing w:before="14"/>
              <w:ind w:right="107"/>
              <w:rPr>
                <w:sz w:val="16"/>
              </w:rPr>
            </w:pPr>
            <w:r>
              <w:rPr>
                <w:w w:val="98"/>
                <w:sz w:val="16"/>
              </w:rPr>
              <w:t>-</w:t>
            </w:r>
          </w:p>
        </w:tc>
        <w:tc>
          <w:tcPr>
            <w:tcW w:w="1133" w:type="dxa"/>
            <w:tcBorders>
              <w:top w:val="single" w:sz="4" w:space="0" w:color="000000"/>
            </w:tcBorders>
          </w:tcPr>
          <w:p>
            <w:pPr>
              <w:pStyle w:val="TableParagraph"/>
              <w:spacing w:before="14"/>
              <w:ind w:right="106"/>
              <w:rPr>
                <w:sz w:val="16"/>
              </w:rPr>
            </w:pPr>
            <w:r>
              <w:rPr>
                <w:spacing w:val="-2"/>
                <w:sz w:val="16"/>
              </w:rPr>
              <w:t>749.6</w:t>
            </w:r>
          </w:p>
        </w:tc>
        <w:tc>
          <w:tcPr>
            <w:tcW w:w="1078" w:type="dxa"/>
            <w:tcBorders>
              <w:top w:val="single" w:sz="4" w:space="0" w:color="000000"/>
            </w:tcBorders>
          </w:tcPr>
          <w:p>
            <w:pPr>
              <w:pStyle w:val="TableParagraph"/>
              <w:spacing w:before="14"/>
              <w:ind w:right="50"/>
              <w:rPr>
                <w:sz w:val="16"/>
              </w:rPr>
            </w:pPr>
            <w:r>
              <w:rPr>
                <w:spacing w:val="-2"/>
                <w:sz w:val="16"/>
              </w:rPr>
              <w:t>916.4</w:t>
            </w:r>
          </w:p>
        </w:tc>
        <w:tc>
          <w:tcPr>
            <w:tcW w:w="1076" w:type="dxa"/>
            <w:tcBorders>
              <w:top w:val="single" w:sz="4" w:space="0" w:color="000000"/>
            </w:tcBorders>
          </w:tcPr>
          <w:p>
            <w:pPr>
              <w:pStyle w:val="TableParagraph"/>
              <w:spacing w:before="14"/>
              <w:ind w:right="137"/>
              <w:rPr>
                <w:sz w:val="16"/>
              </w:rPr>
            </w:pPr>
            <w:r>
              <w:rPr>
                <w:spacing w:val="-2"/>
                <w:sz w:val="16"/>
              </w:rPr>
              <w:t>544.4</w:t>
            </w:r>
          </w:p>
        </w:tc>
        <w:tc>
          <w:tcPr>
            <w:tcW w:w="798" w:type="dxa"/>
            <w:tcBorders>
              <w:top w:val="single" w:sz="4" w:space="0" w:color="000000"/>
            </w:tcBorders>
          </w:tcPr>
          <w:p>
            <w:pPr>
              <w:pStyle w:val="TableParagraph"/>
              <w:spacing w:before="14"/>
              <w:ind w:right="171"/>
              <w:rPr>
                <w:sz w:val="16"/>
              </w:rPr>
            </w:pPr>
            <w:r>
              <w:rPr>
                <w:spacing w:val="-4"/>
                <w:sz w:val="16"/>
              </w:rPr>
              <w:t>59.4</w:t>
            </w:r>
          </w:p>
        </w:tc>
        <w:tc>
          <w:tcPr>
            <w:tcW w:w="1053" w:type="dxa"/>
            <w:tcBorders>
              <w:top w:val="single" w:sz="4" w:space="0" w:color="000000"/>
            </w:tcBorders>
          </w:tcPr>
          <w:p>
            <w:pPr>
              <w:pStyle w:val="TableParagraph"/>
              <w:spacing w:before="14"/>
              <w:ind w:right="101"/>
              <w:rPr>
                <w:sz w:val="16"/>
              </w:rPr>
            </w:pPr>
            <w:r>
              <w:rPr>
                <w:spacing w:val="-2"/>
                <w:sz w:val="16"/>
              </w:rPr>
              <w:t>1,460.8</w:t>
            </w:r>
          </w:p>
        </w:tc>
      </w:tr>
      <w:tr>
        <w:trPr>
          <w:trHeight w:val="225" w:hRule="atLeast"/>
        </w:trPr>
        <w:tc>
          <w:tcPr>
            <w:tcW w:w="2461" w:type="dxa"/>
          </w:tcPr>
          <w:p>
            <w:pPr>
              <w:pStyle w:val="TableParagraph"/>
              <w:spacing w:before="7"/>
              <w:ind w:left="117"/>
              <w:jc w:val="left"/>
              <w:rPr>
                <w:sz w:val="16"/>
              </w:rPr>
            </w:pPr>
            <w:r>
              <w:rPr>
                <w:sz w:val="16"/>
              </w:rPr>
              <w:t>Temporary</w:t>
            </w:r>
            <w:r>
              <w:rPr>
                <w:spacing w:val="-1"/>
                <w:sz w:val="16"/>
              </w:rPr>
              <w:t> </w:t>
            </w:r>
            <w:r>
              <w:rPr>
                <w:sz w:val="16"/>
              </w:rPr>
              <w:t>assistance</w:t>
            </w:r>
            <w:r>
              <w:rPr>
                <w:spacing w:val="-4"/>
                <w:sz w:val="16"/>
              </w:rPr>
              <w:t> </w:t>
            </w:r>
            <w:r>
              <w:rPr>
                <w:sz w:val="16"/>
              </w:rPr>
              <w:t>for</w:t>
            </w:r>
            <w:r>
              <w:rPr>
                <w:spacing w:val="-5"/>
                <w:sz w:val="16"/>
              </w:rPr>
              <w:t> </w:t>
            </w:r>
            <w:r>
              <w:rPr>
                <w:spacing w:val="-2"/>
                <w:sz w:val="16"/>
              </w:rPr>
              <w:t>meetings</w:t>
            </w:r>
          </w:p>
        </w:tc>
        <w:tc>
          <w:tcPr>
            <w:tcW w:w="1218" w:type="dxa"/>
          </w:tcPr>
          <w:p>
            <w:pPr>
              <w:pStyle w:val="TableParagraph"/>
              <w:spacing w:before="7"/>
              <w:ind w:right="193"/>
              <w:rPr>
                <w:sz w:val="16"/>
              </w:rPr>
            </w:pPr>
            <w:r>
              <w:rPr>
                <w:w w:val="98"/>
                <w:sz w:val="16"/>
              </w:rPr>
              <w:t>-</w:t>
            </w:r>
          </w:p>
        </w:tc>
        <w:tc>
          <w:tcPr>
            <w:tcW w:w="827" w:type="dxa"/>
          </w:tcPr>
          <w:p>
            <w:pPr>
              <w:pStyle w:val="TableParagraph"/>
              <w:spacing w:before="7"/>
              <w:ind w:right="107"/>
              <w:rPr>
                <w:sz w:val="16"/>
              </w:rPr>
            </w:pPr>
            <w:r>
              <w:rPr>
                <w:w w:val="98"/>
                <w:sz w:val="16"/>
              </w:rPr>
              <w:t>-</w:t>
            </w:r>
          </w:p>
        </w:tc>
        <w:tc>
          <w:tcPr>
            <w:tcW w:w="1133" w:type="dxa"/>
          </w:tcPr>
          <w:p>
            <w:pPr>
              <w:pStyle w:val="TableParagraph"/>
              <w:spacing w:before="7"/>
              <w:ind w:right="107"/>
              <w:rPr>
                <w:sz w:val="16"/>
              </w:rPr>
            </w:pPr>
            <w:r>
              <w:rPr>
                <w:w w:val="98"/>
                <w:sz w:val="16"/>
              </w:rPr>
              <w:t>-</w:t>
            </w:r>
          </w:p>
        </w:tc>
        <w:tc>
          <w:tcPr>
            <w:tcW w:w="1078" w:type="dxa"/>
          </w:tcPr>
          <w:p>
            <w:pPr>
              <w:pStyle w:val="TableParagraph"/>
              <w:spacing w:before="7"/>
              <w:ind w:right="52"/>
              <w:rPr>
                <w:sz w:val="16"/>
              </w:rPr>
            </w:pPr>
            <w:r>
              <w:rPr>
                <w:w w:val="98"/>
                <w:sz w:val="16"/>
              </w:rPr>
              <w:t>-</w:t>
            </w:r>
          </w:p>
        </w:tc>
        <w:tc>
          <w:tcPr>
            <w:tcW w:w="1076" w:type="dxa"/>
          </w:tcPr>
          <w:p>
            <w:pPr>
              <w:pStyle w:val="TableParagraph"/>
              <w:spacing w:before="7"/>
              <w:ind w:right="139"/>
              <w:rPr>
                <w:sz w:val="16"/>
              </w:rPr>
            </w:pPr>
            <w:r>
              <w:rPr>
                <w:w w:val="98"/>
                <w:sz w:val="16"/>
              </w:rPr>
              <w:t>-</w:t>
            </w:r>
          </w:p>
        </w:tc>
        <w:tc>
          <w:tcPr>
            <w:tcW w:w="798" w:type="dxa"/>
          </w:tcPr>
          <w:p>
            <w:pPr>
              <w:pStyle w:val="TableParagraph"/>
              <w:spacing w:before="7"/>
              <w:ind w:right="173"/>
              <w:rPr>
                <w:sz w:val="16"/>
              </w:rPr>
            </w:pPr>
            <w:r>
              <w:rPr>
                <w:w w:val="98"/>
                <w:sz w:val="16"/>
              </w:rPr>
              <w:t>-</w:t>
            </w:r>
          </w:p>
        </w:tc>
        <w:tc>
          <w:tcPr>
            <w:tcW w:w="1053" w:type="dxa"/>
          </w:tcPr>
          <w:p>
            <w:pPr>
              <w:pStyle w:val="TableParagraph"/>
              <w:spacing w:before="7"/>
              <w:ind w:right="102"/>
              <w:rPr>
                <w:sz w:val="16"/>
              </w:rPr>
            </w:pPr>
            <w:r>
              <w:rPr>
                <w:w w:val="98"/>
                <w:sz w:val="16"/>
              </w:rPr>
              <w:t>-</w:t>
            </w:r>
          </w:p>
        </w:tc>
      </w:tr>
      <w:tr>
        <w:trPr>
          <w:trHeight w:val="223" w:hRule="atLeast"/>
        </w:trPr>
        <w:tc>
          <w:tcPr>
            <w:tcW w:w="2461" w:type="dxa"/>
            <w:tcBorders>
              <w:bottom w:val="single" w:sz="4" w:space="0" w:color="000000"/>
            </w:tcBorders>
          </w:tcPr>
          <w:p>
            <w:pPr>
              <w:pStyle w:val="TableParagraph"/>
              <w:spacing w:before="7"/>
              <w:ind w:left="117"/>
              <w:jc w:val="left"/>
              <w:rPr>
                <w:sz w:val="16"/>
              </w:rPr>
            </w:pPr>
            <w:r>
              <w:rPr>
                <w:spacing w:val="-2"/>
                <w:sz w:val="16"/>
              </w:rPr>
              <w:t>Overtime</w:t>
            </w:r>
          </w:p>
        </w:tc>
        <w:tc>
          <w:tcPr>
            <w:tcW w:w="1218" w:type="dxa"/>
            <w:tcBorders>
              <w:bottom w:val="single" w:sz="4" w:space="0" w:color="000000"/>
            </w:tcBorders>
          </w:tcPr>
          <w:p>
            <w:pPr>
              <w:pStyle w:val="TableParagraph"/>
              <w:spacing w:before="7"/>
              <w:ind w:right="191"/>
              <w:rPr>
                <w:sz w:val="16"/>
              </w:rPr>
            </w:pPr>
            <w:r>
              <w:rPr>
                <w:spacing w:val="-2"/>
                <w:sz w:val="16"/>
              </w:rPr>
              <w:t>166.2</w:t>
            </w:r>
          </w:p>
        </w:tc>
        <w:tc>
          <w:tcPr>
            <w:tcW w:w="827" w:type="dxa"/>
            <w:tcBorders>
              <w:bottom w:val="single" w:sz="4" w:space="0" w:color="000000"/>
            </w:tcBorders>
          </w:tcPr>
          <w:p>
            <w:pPr>
              <w:pStyle w:val="TableParagraph"/>
              <w:spacing w:before="7"/>
              <w:ind w:right="107"/>
              <w:rPr>
                <w:sz w:val="16"/>
              </w:rPr>
            </w:pPr>
            <w:r>
              <w:rPr>
                <w:w w:val="98"/>
                <w:sz w:val="16"/>
              </w:rPr>
              <w:t>-</w:t>
            </w:r>
          </w:p>
        </w:tc>
        <w:tc>
          <w:tcPr>
            <w:tcW w:w="1133" w:type="dxa"/>
            <w:tcBorders>
              <w:bottom w:val="single" w:sz="4" w:space="0" w:color="000000"/>
            </w:tcBorders>
          </w:tcPr>
          <w:p>
            <w:pPr>
              <w:pStyle w:val="TableParagraph"/>
              <w:spacing w:before="7"/>
              <w:ind w:right="106"/>
              <w:rPr>
                <w:sz w:val="16"/>
              </w:rPr>
            </w:pPr>
            <w:r>
              <w:rPr>
                <w:spacing w:val="-2"/>
                <w:sz w:val="16"/>
              </w:rPr>
              <w:t>166.2</w:t>
            </w:r>
          </w:p>
        </w:tc>
        <w:tc>
          <w:tcPr>
            <w:tcW w:w="1078" w:type="dxa"/>
            <w:tcBorders>
              <w:bottom w:val="single" w:sz="4" w:space="0" w:color="000000"/>
            </w:tcBorders>
          </w:tcPr>
          <w:p>
            <w:pPr>
              <w:pStyle w:val="TableParagraph"/>
              <w:spacing w:before="7"/>
              <w:ind w:right="50"/>
              <w:rPr>
                <w:sz w:val="16"/>
              </w:rPr>
            </w:pPr>
            <w:r>
              <w:rPr>
                <w:spacing w:val="-2"/>
                <w:sz w:val="16"/>
              </w:rPr>
              <w:t>314.7</w:t>
            </w:r>
          </w:p>
        </w:tc>
        <w:tc>
          <w:tcPr>
            <w:tcW w:w="1076" w:type="dxa"/>
            <w:tcBorders>
              <w:bottom w:val="single" w:sz="4" w:space="0" w:color="000000"/>
            </w:tcBorders>
          </w:tcPr>
          <w:p>
            <w:pPr>
              <w:pStyle w:val="TableParagraph"/>
              <w:spacing w:before="7"/>
              <w:ind w:right="137"/>
              <w:rPr>
                <w:sz w:val="16"/>
              </w:rPr>
            </w:pPr>
            <w:r>
              <w:rPr>
                <w:spacing w:val="-4"/>
                <w:sz w:val="16"/>
              </w:rPr>
              <w:t>10.0</w:t>
            </w:r>
          </w:p>
        </w:tc>
        <w:tc>
          <w:tcPr>
            <w:tcW w:w="798" w:type="dxa"/>
            <w:tcBorders>
              <w:bottom w:val="single" w:sz="4" w:space="0" w:color="000000"/>
            </w:tcBorders>
          </w:tcPr>
          <w:p>
            <w:pPr>
              <w:pStyle w:val="TableParagraph"/>
              <w:spacing w:before="7"/>
              <w:ind w:right="176"/>
              <w:rPr>
                <w:sz w:val="16"/>
              </w:rPr>
            </w:pPr>
            <w:r>
              <w:rPr>
                <w:spacing w:val="-5"/>
                <w:sz w:val="16"/>
              </w:rPr>
              <w:t>3.2</w:t>
            </w:r>
          </w:p>
        </w:tc>
        <w:tc>
          <w:tcPr>
            <w:tcW w:w="1053" w:type="dxa"/>
            <w:tcBorders>
              <w:bottom w:val="single" w:sz="4" w:space="0" w:color="000000"/>
            </w:tcBorders>
          </w:tcPr>
          <w:p>
            <w:pPr>
              <w:pStyle w:val="TableParagraph"/>
              <w:spacing w:before="7"/>
              <w:ind w:right="101"/>
              <w:rPr>
                <w:sz w:val="16"/>
              </w:rPr>
            </w:pPr>
            <w:r>
              <w:rPr>
                <w:spacing w:val="-2"/>
                <w:sz w:val="16"/>
              </w:rPr>
              <w:t>324.7</w:t>
            </w:r>
          </w:p>
        </w:tc>
      </w:tr>
      <w:tr>
        <w:trPr>
          <w:trHeight w:val="230" w:hRule="atLeast"/>
        </w:trPr>
        <w:tc>
          <w:tcPr>
            <w:tcW w:w="2461" w:type="dxa"/>
            <w:tcBorders>
              <w:top w:val="single" w:sz="4" w:space="0" w:color="000000"/>
              <w:bottom w:val="single" w:sz="4" w:space="0" w:color="000000"/>
            </w:tcBorders>
          </w:tcPr>
          <w:p>
            <w:pPr>
              <w:pStyle w:val="TableParagraph"/>
              <w:spacing w:before="14"/>
              <w:ind w:right="105"/>
              <w:rPr>
                <w:i/>
                <w:sz w:val="16"/>
              </w:rPr>
            </w:pPr>
            <w:r>
              <w:rPr>
                <w:i/>
                <w:sz w:val="16"/>
              </w:rPr>
              <w:t>Subtotal</w:t>
            </w:r>
            <w:r>
              <w:rPr>
                <w:i/>
                <w:spacing w:val="-2"/>
                <w:sz w:val="16"/>
              </w:rPr>
              <w:t> </w:t>
            </w:r>
            <w:r>
              <w:rPr>
                <w:i/>
                <w:sz w:val="16"/>
              </w:rPr>
              <w:t>other</w:t>
            </w:r>
            <w:r>
              <w:rPr>
                <w:i/>
                <w:spacing w:val="-1"/>
                <w:sz w:val="16"/>
              </w:rPr>
              <w:t> </w:t>
            </w:r>
            <w:r>
              <w:rPr>
                <w:i/>
                <w:spacing w:val="-2"/>
                <w:sz w:val="16"/>
              </w:rPr>
              <w:t>staff</w:t>
            </w:r>
          </w:p>
        </w:tc>
        <w:tc>
          <w:tcPr>
            <w:tcW w:w="1218" w:type="dxa"/>
            <w:tcBorders>
              <w:top w:val="single" w:sz="4" w:space="0" w:color="000000"/>
              <w:bottom w:val="single" w:sz="4" w:space="0" w:color="000000"/>
            </w:tcBorders>
          </w:tcPr>
          <w:p>
            <w:pPr>
              <w:pStyle w:val="TableParagraph"/>
              <w:spacing w:before="14"/>
              <w:ind w:right="191"/>
              <w:rPr>
                <w:i/>
                <w:sz w:val="16"/>
              </w:rPr>
            </w:pPr>
            <w:r>
              <w:rPr>
                <w:i/>
                <w:spacing w:val="-2"/>
                <w:sz w:val="16"/>
              </w:rPr>
              <w:t>915.9</w:t>
            </w:r>
          </w:p>
        </w:tc>
        <w:tc>
          <w:tcPr>
            <w:tcW w:w="827" w:type="dxa"/>
            <w:tcBorders>
              <w:top w:val="single" w:sz="4" w:space="0" w:color="000000"/>
              <w:bottom w:val="single" w:sz="4" w:space="0" w:color="000000"/>
            </w:tcBorders>
          </w:tcPr>
          <w:p>
            <w:pPr>
              <w:pStyle w:val="TableParagraph"/>
              <w:spacing w:before="14"/>
              <w:ind w:right="107"/>
              <w:rPr>
                <w:i/>
                <w:sz w:val="16"/>
              </w:rPr>
            </w:pPr>
            <w:r>
              <w:rPr>
                <w:i/>
                <w:w w:val="98"/>
                <w:sz w:val="16"/>
              </w:rPr>
              <w:t>-</w:t>
            </w:r>
          </w:p>
        </w:tc>
        <w:tc>
          <w:tcPr>
            <w:tcW w:w="1133" w:type="dxa"/>
            <w:tcBorders>
              <w:top w:val="single" w:sz="4" w:space="0" w:color="000000"/>
              <w:bottom w:val="single" w:sz="4" w:space="0" w:color="000000"/>
            </w:tcBorders>
          </w:tcPr>
          <w:p>
            <w:pPr>
              <w:pStyle w:val="TableParagraph"/>
              <w:spacing w:before="14"/>
              <w:ind w:right="106"/>
              <w:rPr>
                <w:i/>
                <w:sz w:val="16"/>
              </w:rPr>
            </w:pPr>
            <w:r>
              <w:rPr>
                <w:i/>
                <w:spacing w:val="-2"/>
                <w:sz w:val="16"/>
              </w:rPr>
              <w:t>915.9</w:t>
            </w:r>
          </w:p>
        </w:tc>
        <w:tc>
          <w:tcPr>
            <w:tcW w:w="1078" w:type="dxa"/>
            <w:tcBorders>
              <w:top w:val="single" w:sz="4" w:space="0" w:color="000000"/>
              <w:bottom w:val="single" w:sz="4" w:space="0" w:color="000000"/>
            </w:tcBorders>
          </w:tcPr>
          <w:p>
            <w:pPr>
              <w:pStyle w:val="TableParagraph"/>
              <w:spacing w:before="14"/>
              <w:ind w:right="51"/>
              <w:rPr>
                <w:i/>
                <w:sz w:val="16"/>
              </w:rPr>
            </w:pPr>
            <w:r>
              <w:rPr>
                <w:i/>
                <w:spacing w:val="-2"/>
                <w:sz w:val="16"/>
              </w:rPr>
              <w:t>1,231.1</w:t>
            </w:r>
          </w:p>
        </w:tc>
        <w:tc>
          <w:tcPr>
            <w:tcW w:w="1076" w:type="dxa"/>
            <w:tcBorders>
              <w:top w:val="single" w:sz="4" w:space="0" w:color="000000"/>
              <w:bottom w:val="single" w:sz="4" w:space="0" w:color="000000"/>
            </w:tcBorders>
          </w:tcPr>
          <w:p>
            <w:pPr>
              <w:pStyle w:val="TableParagraph"/>
              <w:spacing w:before="14"/>
              <w:ind w:right="137"/>
              <w:rPr>
                <w:i/>
                <w:sz w:val="16"/>
              </w:rPr>
            </w:pPr>
            <w:r>
              <w:rPr>
                <w:i/>
                <w:spacing w:val="-2"/>
                <w:sz w:val="16"/>
              </w:rPr>
              <w:t>554.4</w:t>
            </w:r>
          </w:p>
        </w:tc>
        <w:tc>
          <w:tcPr>
            <w:tcW w:w="798" w:type="dxa"/>
            <w:tcBorders>
              <w:top w:val="single" w:sz="4" w:space="0" w:color="000000"/>
              <w:bottom w:val="single" w:sz="4" w:space="0" w:color="000000"/>
            </w:tcBorders>
          </w:tcPr>
          <w:p>
            <w:pPr>
              <w:pStyle w:val="TableParagraph"/>
              <w:spacing w:before="14"/>
              <w:ind w:right="171"/>
              <w:rPr>
                <w:i/>
                <w:sz w:val="16"/>
              </w:rPr>
            </w:pPr>
            <w:r>
              <w:rPr>
                <w:i/>
                <w:spacing w:val="-4"/>
                <w:sz w:val="16"/>
              </w:rPr>
              <w:t>45.0</w:t>
            </w:r>
          </w:p>
        </w:tc>
        <w:tc>
          <w:tcPr>
            <w:tcW w:w="1053" w:type="dxa"/>
            <w:tcBorders>
              <w:top w:val="single" w:sz="4" w:space="0" w:color="000000"/>
              <w:bottom w:val="single" w:sz="4" w:space="0" w:color="000000"/>
            </w:tcBorders>
          </w:tcPr>
          <w:p>
            <w:pPr>
              <w:pStyle w:val="TableParagraph"/>
              <w:spacing w:before="14"/>
              <w:ind w:right="101"/>
              <w:rPr>
                <w:i/>
                <w:sz w:val="16"/>
              </w:rPr>
            </w:pPr>
            <w:r>
              <w:rPr>
                <w:i/>
                <w:spacing w:val="-2"/>
                <w:sz w:val="16"/>
              </w:rPr>
              <w:t>1,785.5</w:t>
            </w:r>
          </w:p>
        </w:tc>
      </w:tr>
      <w:tr>
        <w:trPr>
          <w:trHeight w:val="227" w:hRule="atLeast"/>
        </w:trPr>
        <w:tc>
          <w:tcPr>
            <w:tcW w:w="2461" w:type="dxa"/>
            <w:tcBorders>
              <w:top w:val="single" w:sz="4" w:space="0" w:color="000000"/>
            </w:tcBorders>
          </w:tcPr>
          <w:p>
            <w:pPr>
              <w:pStyle w:val="TableParagraph"/>
              <w:spacing w:before="9"/>
              <w:ind w:left="117"/>
              <w:jc w:val="left"/>
              <w:rPr>
                <w:sz w:val="16"/>
              </w:rPr>
            </w:pPr>
            <w:r>
              <w:rPr>
                <w:spacing w:val="-2"/>
                <w:sz w:val="16"/>
              </w:rPr>
              <w:t>Travel</w:t>
            </w:r>
          </w:p>
        </w:tc>
        <w:tc>
          <w:tcPr>
            <w:tcW w:w="1218" w:type="dxa"/>
            <w:tcBorders>
              <w:top w:val="single" w:sz="4" w:space="0" w:color="000000"/>
            </w:tcBorders>
          </w:tcPr>
          <w:p>
            <w:pPr>
              <w:pStyle w:val="TableParagraph"/>
              <w:spacing w:before="9"/>
              <w:ind w:right="191"/>
              <w:rPr>
                <w:sz w:val="16"/>
              </w:rPr>
            </w:pPr>
            <w:r>
              <w:rPr>
                <w:spacing w:val="-2"/>
                <w:sz w:val="16"/>
              </w:rPr>
              <w:t>111.4</w:t>
            </w:r>
          </w:p>
        </w:tc>
        <w:tc>
          <w:tcPr>
            <w:tcW w:w="827" w:type="dxa"/>
            <w:tcBorders>
              <w:top w:val="single" w:sz="4" w:space="0" w:color="000000"/>
            </w:tcBorders>
          </w:tcPr>
          <w:p>
            <w:pPr>
              <w:pStyle w:val="TableParagraph"/>
              <w:spacing w:before="9"/>
              <w:ind w:right="107"/>
              <w:rPr>
                <w:sz w:val="16"/>
              </w:rPr>
            </w:pPr>
            <w:r>
              <w:rPr>
                <w:w w:val="98"/>
                <w:sz w:val="16"/>
              </w:rPr>
              <w:t>-</w:t>
            </w:r>
          </w:p>
        </w:tc>
        <w:tc>
          <w:tcPr>
            <w:tcW w:w="1133" w:type="dxa"/>
            <w:tcBorders>
              <w:top w:val="single" w:sz="4" w:space="0" w:color="000000"/>
            </w:tcBorders>
          </w:tcPr>
          <w:p>
            <w:pPr>
              <w:pStyle w:val="TableParagraph"/>
              <w:spacing w:before="9"/>
              <w:ind w:right="106"/>
              <w:rPr>
                <w:sz w:val="16"/>
              </w:rPr>
            </w:pPr>
            <w:r>
              <w:rPr>
                <w:spacing w:val="-2"/>
                <w:sz w:val="16"/>
              </w:rPr>
              <w:t>111.4</w:t>
            </w:r>
          </w:p>
        </w:tc>
        <w:tc>
          <w:tcPr>
            <w:tcW w:w="1078" w:type="dxa"/>
            <w:tcBorders>
              <w:top w:val="single" w:sz="4" w:space="0" w:color="000000"/>
            </w:tcBorders>
          </w:tcPr>
          <w:p>
            <w:pPr>
              <w:pStyle w:val="TableParagraph"/>
              <w:spacing w:before="9"/>
              <w:ind w:right="50"/>
              <w:rPr>
                <w:sz w:val="16"/>
              </w:rPr>
            </w:pPr>
            <w:r>
              <w:rPr>
                <w:spacing w:val="-2"/>
                <w:sz w:val="16"/>
              </w:rPr>
              <w:t>129.7</w:t>
            </w:r>
          </w:p>
        </w:tc>
        <w:tc>
          <w:tcPr>
            <w:tcW w:w="1076" w:type="dxa"/>
            <w:tcBorders>
              <w:top w:val="single" w:sz="4" w:space="0" w:color="000000"/>
            </w:tcBorders>
          </w:tcPr>
          <w:p>
            <w:pPr>
              <w:pStyle w:val="TableParagraph"/>
              <w:spacing w:before="9"/>
              <w:ind w:right="137"/>
              <w:rPr>
                <w:sz w:val="16"/>
              </w:rPr>
            </w:pPr>
            <w:r>
              <w:rPr>
                <w:spacing w:val="-2"/>
                <w:sz w:val="16"/>
              </w:rPr>
              <w:t>194.1</w:t>
            </w:r>
          </w:p>
        </w:tc>
        <w:tc>
          <w:tcPr>
            <w:tcW w:w="798" w:type="dxa"/>
            <w:tcBorders>
              <w:top w:val="single" w:sz="4" w:space="0" w:color="000000"/>
            </w:tcBorders>
          </w:tcPr>
          <w:p>
            <w:pPr>
              <w:pStyle w:val="TableParagraph"/>
              <w:spacing w:before="9"/>
              <w:ind w:right="171"/>
              <w:rPr>
                <w:sz w:val="16"/>
              </w:rPr>
            </w:pPr>
            <w:r>
              <w:rPr>
                <w:spacing w:val="-2"/>
                <w:sz w:val="16"/>
              </w:rPr>
              <w:t>149.7</w:t>
            </w:r>
          </w:p>
        </w:tc>
        <w:tc>
          <w:tcPr>
            <w:tcW w:w="1053" w:type="dxa"/>
            <w:tcBorders>
              <w:top w:val="single" w:sz="4" w:space="0" w:color="000000"/>
            </w:tcBorders>
          </w:tcPr>
          <w:p>
            <w:pPr>
              <w:pStyle w:val="TableParagraph"/>
              <w:spacing w:before="9"/>
              <w:ind w:right="101"/>
              <w:rPr>
                <w:sz w:val="16"/>
              </w:rPr>
            </w:pPr>
            <w:r>
              <w:rPr>
                <w:spacing w:val="-2"/>
                <w:sz w:val="16"/>
              </w:rPr>
              <w:t>323.8</w:t>
            </w:r>
          </w:p>
        </w:tc>
      </w:tr>
      <w:tr>
        <w:trPr>
          <w:trHeight w:val="228" w:hRule="atLeast"/>
        </w:trPr>
        <w:tc>
          <w:tcPr>
            <w:tcW w:w="2461" w:type="dxa"/>
          </w:tcPr>
          <w:p>
            <w:pPr>
              <w:pStyle w:val="TableParagraph"/>
              <w:spacing w:before="7"/>
              <w:ind w:left="117"/>
              <w:jc w:val="left"/>
              <w:rPr>
                <w:sz w:val="16"/>
              </w:rPr>
            </w:pPr>
            <w:r>
              <w:rPr>
                <w:spacing w:val="-2"/>
                <w:sz w:val="16"/>
              </w:rPr>
              <w:t>Hospitality</w:t>
            </w:r>
          </w:p>
        </w:tc>
        <w:tc>
          <w:tcPr>
            <w:tcW w:w="1218" w:type="dxa"/>
          </w:tcPr>
          <w:p>
            <w:pPr>
              <w:pStyle w:val="TableParagraph"/>
              <w:spacing w:before="7"/>
              <w:ind w:right="193"/>
              <w:rPr>
                <w:sz w:val="16"/>
              </w:rPr>
            </w:pPr>
            <w:r>
              <w:rPr>
                <w:w w:val="98"/>
                <w:sz w:val="16"/>
              </w:rPr>
              <w:t>-</w:t>
            </w:r>
          </w:p>
        </w:tc>
        <w:tc>
          <w:tcPr>
            <w:tcW w:w="827" w:type="dxa"/>
          </w:tcPr>
          <w:p>
            <w:pPr>
              <w:pStyle w:val="TableParagraph"/>
              <w:spacing w:before="7"/>
              <w:ind w:right="107"/>
              <w:rPr>
                <w:sz w:val="16"/>
              </w:rPr>
            </w:pPr>
            <w:r>
              <w:rPr>
                <w:w w:val="98"/>
                <w:sz w:val="16"/>
              </w:rPr>
              <w:t>-</w:t>
            </w:r>
          </w:p>
        </w:tc>
        <w:tc>
          <w:tcPr>
            <w:tcW w:w="1133" w:type="dxa"/>
          </w:tcPr>
          <w:p>
            <w:pPr>
              <w:pStyle w:val="TableParagraph"/>
              <w:spacing w:before="7"/>
              <w:ind w:right="107"/>
              <w:rPr>
                <w:sz w:val="16"/>
              </w:rPr>
            </w:pPr>
            <w:r>
              <w:rPr>
                <w:w w:val="98"/>
                <w:sz w:val="16"/>
              </w:rPr>
              <w:t>-</w:t>
            </w:r>
          </w:p>
        </w:tc>
        <w:tc>
          <w:tcPr>
            <w:tcW w:w="1078" w:type="dxa"/>
          </w:tcPr>
          <w:p>
            <w:pPr>
              <w:pStyle w:val="TableParagraph"/>
              <w:spacing w:before="7"/>
              <w:ind w:right="52"/>
              <w:rPr>
                <w:sz w:val="16"/>
              </w:rPr>
            </w:pPr>
            <w:r>
              <w:rPr>
                <w:w w:val="98"/>
                <w:sz w:val="16"/>
              </w:rPr>
              <w:t>-</w:t>
            </w:r>
          </w:p>
        </w:tc>
        <w:tc>
          <w:tcPr>
            <w:tcW w:w="1076" w:type="dxa"/>
          </w:tcPr>
          <w:p>
            <w:pPr>
              <w:pStyle w:val="TableParagraph"/>
              <w:spacing w:before="7"/>
              <w:ind w:right="139"/>
              <w:rPr>
                <w:sz w:val="16"/>
              </w:rPr>
            </w:pPr>
            <w:r>
              <w:rPr>
                <w:w w:val="98"/>
                <w:sz w:val="16"/>
              </w:rPr>
              <w:t>-</w:t>
            </w:r>
          </w:p>
        </w:tc>
        <w:tc>
          <w:tcPr>
            <w:tcW w:w="798" w:type="dxa"/>
          </w:tcPr>
          <w:p>
            <w:pPr>
              <w:pStyle w:val="TableParagraph"/>
              <w:spacing w:before="7"/>
              <w:ind w:right="173"/>
              <w:rPr>
                <w:sz w:val="16"/>
              </w:rPr>
            </w:pPr>
            <w:r>
              <w:rPr>
                <w:w w:val="98"/>
                <w:sz w:val="16"/>
              </w:rPr>
              <w:t>-</w:t>
            </w:r>
          </w:p>
        </w:tc>
        <w:tc>
          <w:tcPr>
            <w:tcW w:w="1053" w:type="dxa"/>
          </w:tcPr>
          <w:p>
            <w:pPr>
              <w:pStyle w:val="TableParagraph"/>
              <w:spacing w:before="7"/>
              <w:ind w:right="102"/>
              <w:rPr>
                <w:sz w:val="16"/>
              </w:rPr>
            </w:pPr>
            <w:r>
              <w:rPr>
                <w:w w:val="98"/>
                <w:sz w:val="16"/>
              </w:rPr>
              <w:t>-</w:t>
            </w:r>
          </w:p>
        </w:tc>
      </w:tr>
      <w:tr>
        <w:trPr>
          <w:trHeight w:val="228" w:hRule="atLeast"/>
        </w:trPr>
        <w:tc>
          <w:tcPr>
            <w:tcW w:w="2461" w:type="dxa"/>
          </w:tcPr>
          <w:p>
            <w:pPr>
              <w:pStyle w:val="TableParagraph"/>
              <w:spacing w:before="10"/>
              <w:ind w:left="117"/>
              <w:jc w:val="left"/>
              <w:rPr>
                <w:sz w:val="16"/>
              </w:rPr>
            </w:pPr>
            <w:r>
              <w:rPr>
                <w:w w:val="95"/>
                <w:sz w:val="16"/>
              </w:rPr>
              <w:t>Contractual</w:t>
            </w:r>
            <w:r>
              <w:rPr>
                <w:spacing w:val="33"/>
                <w:sz w:val="16"/>
              </w:rPr>
              <w:t> </w:t>
            </w:r>
            <w:r>
              <w:rPr>
                <w:spacing w:val="-2"/>
                <w:sz w:val="16"/>
              </w:rPr>
              <w:t>services</w:t>
            </w:r>
          </w:p>
        </w:tc>
        <w:tc>
          <w:tcPr>
            <w:tcW w:w="1218" w:type="dxa"/>
          </w:tcPr>
          <w:p>
            <w:pPr>
              <w:pStyle w:val="TableParagraph"/>
              <w:spacing w:before="10"/>
              <w:ind w:right="191"/>
              <w:rPr>
                <w:sz w:val="16"/>
              </w:rPr>
            </w:pPr>
            <w:r>
              <w:rPr>
                <w:spacing w:val="-2"/>
                <w:sz w:val="16"/>
              </w:rPr>
              <w:t>252.8</w:t>
            </w:r>
          </w:p>
        </w:tc>
        <w:tc>
          <w:tcPr>
            <w:tcW w:w="827" w:type="dxa"/>
          </w:tcPr>
          <w:p>
            <w:pPr>
              <w:pStyle w:val="TableParagraph"/>
              <w:spacing w:before="10"/>
              <w:ind w:right="107"/>
              <w:rPr>
                <w:sz w:val="16"/>
              </w:rPr>
            </w:pPr>
            <w:r>
              <w:rPr>
                <w:w w:val="98"/>
                <w:sz w:val="16"/>
              </w:rPr>
              <w:t>-</w:t>
            </w:r>
          </w:p>
        </w:tc>
        <w:tc>
          <w:tcPr>
            <w:tcW w:w="1133" w:type="dxa"/>
          </w:tcPr>
          <w:p>
            <w:pPr>
              <w:pStyle w:val="TableParagraph"/>
              <w:spacing w:before="10"/>
              <w:ind w:right="106"/>
              <w:rPr>
                <w:sz w:val="16"/>
              </w:rPr>
            </w:pPr>
            <w:r>
              <w:rPr>
                <w:spacing w:val="-2"/>
                <w:sz w:val="16"/>
              </w:rPr>
              <w:t>252.8</w:t>
            </w:r>
          </w:p>
        </w:tc>
        <w:tc>
          <w:tcPr>
            <w:tcW w:w="1078" w:type="dxa"/>
          </w:tcPr>
          <w:p>
            <w:pPr>
              <w:pStyle w:val="TableParagraph"/>
              <w:spacing w:before="10"/>
              <w:ind w:right="50"/>
              <w:rPr>
                <w:sz w:val="16"/>
              </w:rPr>
            </w:pPr>
            <w:r>
              <w:rPr>
                <w:spacing w:val="-2"/>
                <w:sz w:val="16"/>
              </w:rPr>
              <w:t>222.4</w:t>
            </w:r>
          </w:p>
        </w:tc>
        <w:tc>
          <w:tcPr>
            <w:tcW w:w="1076" w:type="dxa"/>
          </w:tcPr>
          <w:p>
            <w:pPr>
              <w:pStyle w:val="TableParagraph"/>
              <w:spacing w:before="10"/>
              <w:ind w:right="137"/>
              <w:rPr>
                <w:sz w:val="16"/>
              </w:rPr>
            </w:pPr>
            <w:r>
              <w:rPr>
                <w:spacing w:val="-2"/>
                <w:sz w:val="16"/>
              </w:rPr>
              <w:t>161.7</w:t>
            </w:r>
          </w:p>
        </w:tc>
        <w:tc>
          <w:tcPr>
            <w:tcW w:w="798" w:type="dxa"/>
          </w:tcPr>
          <w:p>
            <w:pPr>
              <w:pStyle w:val="TableParagraph"/>
              <w:spacing w:before="10"/>
              <w:ind w:right="171"/>
              <w:rPr>
                <w:sz w:val="16"/>
              </w:rPr>
            </w:pPr>
            <w:r>
              <w:rPr>
                <w:spacing w:val="-4"/>
                <w:sz w:val="16"/>
              </w:rPr>
              <w:t>72.7</w:t>
            </w:r>
          </w:p>
        </w:tc>
        <w:tc>
          <w:tcPr>
            <w:tcW w:w="1053" w:type="dxa"/>
          </w:tcPr>
          <w:p>
            <w:pPr>
              <w:pStyle w:val="TableParagraph"/>
              <w:spacing w:before="10"/>
              <w:ind w:right="101"/>
              <w:rPr>
                <w:sz w:val="16"/>
              </w:rPr>
            </w:pPr>
            <w:r>
              <w:rPr>
                <w:spacing w:val="-2"/>
                <w:sz w:val="16"/>
              </w:rPr>
              <w:t>384.1</w:t>
            </w:r>
          </w:p>
        </w:tc>
      </w:tr>
      <w:tr>
        <w:trPr>
          <w:trHeight w:val="225" w:hRule="atLeast"/>
        </w:trPr>
        <w:tc>
          <w:tcPr>
            <w:tcW w:w="2461" w:type="dxa"/>
          </w:tcPr>
          <w:p>
            <w:pPr>
              <w:pStyle w:val="TableParagraph"/>
              <w:spacing w:before="7"/>
              <w:ind w:left="117"/>
              <w:jc w:val="left"/>
              <w:rPr>
                <w:sz w:val="16"/>
              </w:rPr>
            </w:pPr>
            <w:r>
              <w:rPr>
                <w:spacing w:val="-2"/>
                <w:sz w:val="16"/>
              </w:rPr>
              <w:t>Training</w:t>
            </w:r>
          </w:p>
        </w:tc>
        <w:tc>
          <w:tcPr>
            <w:tcW w:w="1218" w:type="dxa"/>
          </w:tcPr>
          <w:p>
            <w:pPr>
              <w:pStyle w:val="TableParagraph"/>
              <w:spacing w:before="7"/>
              <w:ind w:right="191"/>
              <w:rPr>
                <w:sz w:val="16"/>
              </w:rPr>
            </w:pPr>
            <w:r>
              <w:rPr>
                <w:spacing w:val="-2"/>
                <w:sz w:val="16"/>
              </w:rPr>
              <w:t>243.4</w:t>
            </w:r>
          </w:p>
        </w:tc>
        <w:tc>
          <w:tcPr>
            <w:tcW w:w="827" w:type="dxa"/>
          </w:tcPr>
          <w:p>
            <w:pPr>
              <w:pStyle w:val="TableParagraph"/>
              <w:spacing w:before="7"/>
              <w:ind w:right="107"/>
              <w:rPr>
                <w:sz w:val="16"/>
              </w:rPr>
            </w:pPr>
            <w:r>
              <w:rPr>
                <w:w w:val="98"/>
                <w:sz w:val="16"/>
              </w:rPr>
              <w:t>-</w:t>
            </w:r>
          </w:p>
        </w:tc>
        <w:tc>
          <w:tcPr>
            <w:tcW w:w="1133" w:type="dxa"/>
          </w:tcPr>
          <w:p>
            <w:pPr>
              <w:pStyle w:val="TableParagraph"/>
              <w:spacing w:before="7"/>
              <w:ind w:right="106"/>
              <w:rPr>
                <w:sz w:val="16"/>
              </w:rPr>
            </w:pPr>
            <w:r>
              <w:rPr>
                <w:spacing w:val="-2"/>
                <w:sz w:val="16"/>
              </w:rPr>
              <w:t>243.4</w:t>
            </w:r>
          </w:p>
        </w:tc>
        <w:tc>
          <w:tcPr>
            <w:tcW w:w="1078" w:type="dxa"/>
          </w:tcPr>
          <w:p>
            <w:pPr>
              <w:pStyle w:val="TableParagraph"/>
              <w:spacing w:before="7"/>
              <w:ind w:right="50"/>
              <w:rPr>
                <w:sz w:val="16"/>
              </w:rPr>
            </w:pPr>
            <w:r>
              <w:rPr>
                <w:spacing w:val="-2"/>
                <w:sz w:val="16"/>
              </w:rPr>
              <w:t>314.7</w:t>
            </w:r>
          </w:p>
        </w:tc>
        <w:tc>
          <w:tcPr>
            <w:tcW w:w="1076" w:type="dxa"/>
          </w:tcPr>
          <w:p>
            <w:pPr>
              <w:pStyle w:val="TableParagraph"/>
              <w:spacing w:before="7"/>
              <w:ind w:right="137"/>
              <w:rPr>
                <w:sz w:val="16"/>
              </w:rPr>
            </w:pPr>
            <w:r>
              <w:rPr>
                <w:spacing w:val="-4"/>
                <w:sz w:val="16"/>
              </w:rPr>
              <w:t>16.8</w:t>
            </w:r>
          </w:p>
        </w:tc>
        <w:tc>
          <w:tcPr>
            <w:tcW w:w="798" w:type="dxa"/>
          </w:tcPr>
          <w:p>
            <w:pPr>
              <w:pStyle w:val="TableParagraph"/>
              <w:spacing w:before="7"/>
              <w:ind w:right="176"/>
              <w:rPr>
                <w:sz w:val="16"/>
              </w:rPr>
            </w:pPr>
            <w:r>
              <w:rPr>
                <w:spacing w:val="-5"/>
                <w:sz w:val="16"/>
              </w:rPr>
              <w:t>5.3</w:t>
            </w:r>
          </w:p>
        </w:tc>
        <w:tc>
          <w:tcPr>
            <w:tcW w:w="1053" w:type="dxa"/>
          </w:tcPr>
          <w:p>
            <w:pPr>
              <w:pStyle w:val="TableParagraph"/>
              <w:spacing w:before="7"/>
              <w:ind w:right="101"/>
              <w:rPr>
                <w:sz w:val="16"/>
              </w:rPr>
            </w:pPr>
            <w:r>
              <w:rPr>
                <w:spacing w:val="-2"/>
                <w:sz w:val="16"/>
              </w:rPr>
              <w:t>331.5</w:t>
            </w:r>
          </w:p>
        </w:tc>
      </w:tr>
      <w:tr>
        <w:trPr>
          <w:trHeight w:val="228" w:hRule="atLeast"/>
        </w:trPr>
        <w:tc>
          <w:tcPr>
            <w:tcW w:w="2461" w:type="dxa"/>
          </w:tcPr>
          <w:p>
            <w:pPr>
              <w:pStyle w:val="TableParagraph"/>
              <w:spacing w:before="7"/>
              <w:ind w:left="117"/>
              <w:jc w:val="left"/>
              <w:rPr>
                <w:sz w:val="16"/>
              </w:rPr>
            </w:pPr>
            <w:r>
              <w:rPr>
                <w:spacing w:val="-2"/>
                <w:sz w:val="16"/>
              </w:rPr>
              <w:t>Consultants</w:t>
            </w:r>
          </w:p>
        </w:tc>
        <w:tc>
          <w:tcPr>
            <w:tcW w:w="1218" w:type="dxa"/>
          </w:tcPr>
          <w:p>
            <w:pPr>
              <w:pStyle w:val="TableParagraph"/>
              <w:spacing w:before="7"/>
              <w:ind w:right="191"/>
              <w:rPr>
                <w:sz w:val="16"/>
              </w:rPr>
            </w:pPr>
            <w:r>
              <w:rPr>
                <w:spacing w:val="-2"/>
                <w:sz w:val="16"/>
              </w:rPr>
              <w:t>112.6</w:t>
            </w:r>
          </w:p>
        </w:tc>
        <w:tc>
          <w:tcPr>
            <w:tcW w:w="827" w:type="dxa"/>
          </w:tcPr>
          <w:p>
            <w:pPr>
              <w:pStyle w:val="TableParagraph"/>
              <w:spacing w:before="7"/>
              <w:ind w:right="107"/>
              <w:rPr>
                <w:sz w:val="16"/>
              </w:rPr>
            </w:pPr>
            <w:r>
              <w:rPr>
                <w:w w:val="98"/>
                <w:sz w:val="16"/>
              </w:rPr>
              <w:t>-</w:t>
            </w:r>
          </w:p>
        </w:tc>
        <w:tc>
          <w:tcPr>
            <w:tcW w:w="1133" w:type="dxa"/>
          </w:tcPr>
          <w:p>
            <w:pPr>
              <w:pStyle w:val="TableParagraph"/>
              <w:spacing w:before="7"/>
              <w:ind w:right="106"/>
              <w:rPr>
                <w:sz w:val="16"/>
              </w:rPr>
            </w:pPr>
            <w:r>
              <w:rPr>
                <w:spacing w:val="-2"/>
                <w:sz w:val="16"/>
              </w:rPr>
              <w:t>112.6</w:t>
            </w:r>
          </w:p>
        </w:tc>
        <w:tc>
          <w:tcPr>
            <w:tcW w:w="1078" w:type="dxa"/>
          </w:tcPr>
          <w:p>
            <w:pPr>
              <w:pStyle w:val="TableParagraph"/>
              <w:spacing w:before="7"/>
              <w:ind w:right="50"/>
              <w:rPr>
                <w:sz w:val="16"/>
              </w:rPr>
            </w:pPr>
            <w:r>
              <w:rPr>
                <w:spacing w:val="-4"/>
                <w:sz w:val="16"/>
              </w:rPr>
              <w:t>20.1</w:t>
            </w:r>
          </w:p>
        </w:tc>
        <w:tc>
          <w:tcPr>
            <w:tcW w:w="1076" w:type="dxa"/>
          </w:tcPr>
          <w:p>
            <w:pPr>
              <w:pStyle w:val="TableParagraph"/>
              <w:spacing w:before="7"/>
              <w:ind w:right="137"/>
              <w:rPr>
                <w:sz w:val="16"/>
              </w:rPr>
            </w:pPr>
            <w:r>
              <w:rPr>
                <w:spacing w:val="-2"/>
                <w:sz w:val="16"/>
              </w:rPr>
              <w:t>327.1</w:t>
            </w:r>
          </w:p>
        </w:tc>
        <w:tc>
          <w:tcPr>
            <w:tcW w:w="798" w:type="dxa"/>
          </w:tcPr>
          <w:p>
            <w:pPr>
              <w:pStyle w:val="TableParagraph"/>
              <w:spacing w:before="7"/>
              <w:ind w:right="172"/>
              <w:rPr>
                <w:sz w:val="16"/>
              </w:rPr>
            </w:pPr>
            <w:r>
              <w:rPr>
                <w:spacing w:val="-2"/>
                <w:sz w:val="16"/>
              </w:rPr>
              <w:t>1,627.4</w:t>
            </w:r>
          </w:p>
        </w:tc>
        <w:tc>
          <w:tcPr>
            <w:tcW w:w="1053" w:type="dxa"/>
          </w:tcPr>
          <w:p>
            <w:pPr>
              <w:pStyle w:val="TableParagraph"/>
              <w:spacing w:before="7"/>
              <w:ind w:right="101"/>
              <w:rPr>
                <w:sz w:val="16"/>
              </w:rPr>
            </w:pPr>
            <w:r>
              <w:rPr>
                <w:spacing w:val="-2"/>
                <w:sz w:val="16"/>
              </w:rPr>
              <w:t>347.2</w:t>
            </w:r>
          </w:p>
        </w:tc>
      </w:tr>
      <w:tr>
        <w:trPr>
          <w:trHeight w:val="227" w:hRule="atLeast"/>
        </w:trPr>
        <w:tc>
          <w:tcPr>
            <w:tcW w:w="2461" w:type="dxa"/>
          </w:tcPr>
          <w:p>
            <w:pPr>
              <w:pStyle w:val="TableParagraph"/>
              <w:spacing w:before="10"/>
              <w:ind w:left="117"/>
              <w:jc w:val="left"/>
              <w:rPr>
                <w:sz w:val="16"/>
              </w:rPr>
            </w:pPr>
            <w:r>
              <w:rPr>
                <w:sz w:val="16"/>
              </w:rPr>
              <w:t>General</w:t>
            </w:r>
            <w:r>
              <w:rPr>
                <w:spacing w:val="-4"/>
                <w:sz w:val="16"/>
              </w:rPr>
              <w:t> </w:t>
            </w:r>
            <w:r>
              <w:rPr>
                <w:sz w:val="16"/>
              </w:rPr>
              <w:t>operating</w:t>
            </w:r>
            <w:r>
              <w:rPr>
                <w:spacing w:val="-1"/>
                <w:sz w:val="16"/>
              </w:rPr>
              <w:t> </w:t>
            </w:r>
            <w:r>
              <w:rPr>
                <w:spacing w:val="-2"/>
                <w:sz w:val="16"/>
              </w:rPr>
              <w:t>expenses</w:t>
            </w:r>
          </w:p>
        </w:tc>
        <w:tc>
          <w:tcPr>
            <w:tcW w:w="1218" w:type="dxa"/>
          </w:tcPr>
          <w:p>
            <w:pPr>
              <w:pStyle w:val="TableParagraph"/>
              <w:spacing w:before="10"/>
              <w:ind w:right="192"/>
              <w:rPr>
                <w:sz w:val="16"/>
              </w:rPr>
            </w:pPr>
            <w:r>
              <w:rPr>
                <w:spacing w:val="-2"/>
                <w:sz w:val="16"/>
              </w:rPr>
              <w:t>2,559.1</w:t>
            </w:r>
          </w:p>
        </w:tc>
        <w:tc>
          <w:tcPr>
            <w:tcW w:w="827" w:type="dxa"/>
          </w:tcPr>
          <w:p>
            <w:pPr>
              <w:pStyle w:val="TableParagraph"/>
              <w:spacing w:before="10"/>
              <w:ind w:right="107"/>
              <w:rPr>
                <w:sz w:val="16"/>
              </w:rPr>
            </w:pPr>
            <w:r>
              <w:rPr>
                <w:w w:val="98"/>
                <w:sz w:val="16"/>
              </w:rPr>
              <w:t>-</w:t>
            </w:r>
          </w:p>
        </w:tc>
        <w:tc>
          <w:tcPr>
            <w:tcW w:w="1133" w:type="dxa"/>
          </w:tcPr>
          <w:p>
            <w:pPr>
              <w:pStyle w:val="TableParagraph"/>
              <w:spacing w:before="10"/>
              <w:ind w:right="106"/>
              <w:rPr>
                <w:sz w:val="16"/>
              </w:rPr>
            </w:pPr>
            <w:r>
              <w:rPr>
                <w:spacing w:val="-2"/>
                <w:sz w:val="16"/>
              </w:rPr>
              <w:t>2,559.1</w:t>
            </w:r>
          </w:p>
        </w:tc>
        <w:tc>
          <w:tcPr>
            <w:tcW w:w="1078" w:type="dxa"/>
          </w:tcPr>
          <w:p>
            <w:pPr>
              <w:pStyle w:val="TableParagraph"/>
              <w:spacing w:before="10"/>
              <w:ind w:right="51"/>
              <w:rPr>
                <w:sz w:val="16"/>
              </w:rPr>
            </w:pPr>
            <w:r>
              <w:rPr>
                <w:spacing w:val="-2"/>
                <w:sz w:val="16"/>
              </w:rPr>
              <w:t>2,697.8</w:t>
            </w:r>
          </w:p>
        </w:tc>
        <w:tc>
          <w:tcPr>
            <w:tcW w:w="1076" w:type="dxa"/>
          </w:tcPr>
          <w:p>
            <w:pPr>
              <w:pStyle w:val="TableParagraph"/>
              <w:spacing w:before="10"/>
              <w:ind w:right="137"/>
              <w:rPr>
                <w:sz w:val="16"/>
              </w:rPr>
            </w:pPr>
            <w:r>
              <w:rPr>
                <w:spacing w:val="-2"/>
                <w:sz w:val="16"/>
              </w:rPr>
              <w:t>688.2</w:t>
            </w:r>
          </w:p>
        </w:tc>
        <w:tc>
          <w:tcPr>
            <w:tcW w:w="798" w:type="dxa"/>
          </w:tcPr>
          <w:p>
            <w:pPr>
              <w:pStyle w:val="TableParagraph"/>
              <w:spacing w:before="10"/>
              <w:ind w:right="171"/>
              <w:rPr>
                <w:sz w:val="16"/>
              </w:rPr>
            </w:pPr>
            <w:r>
              <w:rPr>
                <w:spacing w:val="-4"/>
                <w:sz w:val="16"/>
              </w:rPr>
              <w:t>25.5</w:t>
            </w:r>
          </w:p>
        </w:tc>
        <w:tc>
          <w:tcPr>
            <w:tcW w:w="1053" w:type="dxa"/>
          </w:tcPr>
          <w:p>
            <w:pPr>
              <w:pStyle w:val="TableParagraph"/>
              <w:spacing w:before="10"/>
              <w:ind w:right="101"/>
              <w:rPr>
                <w:sz w:val="16"/>
              </w:rPr>
            </w:pPr>
            <w:r>
              <w:rPr>
                <w:spacing w:val="-2"/>
                <w:sz w:val="16"/>
              </w:rPr>
              <w:t>3,386.0</w:t>
            </w:r>
          </w:p>
        </w:tc>
      </w:tr>
      <w:tr>
        <w:trPr>
          <w:trHeight w:val="225" w:hRule="atLeast"/>
        </w:trPr>
        <w:tc>
          <w:tcPr>
            <w:tcW w:w="2461" w:type="dxa"/>
          </w:tcPr>
          <w:p>
            <w:pPr>
              <w:pStyle w:val="TableParagraph"/>
              <w:spacing w:before="7"/>
              <w:ind w:left="117"/>
              <w:jc w:val="left"/>
              <w:rPr>
                <w:sz w:val="16"/>
              </w:rPr>
            </w:pPr>
            <w:r>
              <w:rPr>
                <w:sz w:val="16"/>
              </w:rPr>
              <w:t>Supplies</w:t>
            </w:r>
            <w:r>
              <w:rPr>
                <w:spacing w:val="-4"/>
                <w:sz w:val="16"/>
              </w:rPr>
              <w:t> </w:t>
            </w:r>
            <w:r>
              <w:rPr>
                <w:sz w:val="16"/>
              </w:rPr>
              <w:t>and</w:t>
            </w:r>
            <w:r>
              <w:rPr>
                <w:spacing w:val="-2"/>
                <w:sz w:val="16"/>
              </w:rPr>
              <w:t> materials</w:t>
            </w:r>
          </w:p>
        </w:tc>
        <w:tc>
          <w:tcPr>
            <w:tcW w:w="1218" w:type="dxa"/>
          </w:tcPr>
          <w:p>
            <w:pPr>
              <w:pStyle w:val="TableParagraph"/>
              <w:spacing w:before="7"/>
              <w:ind w:right="191"/>
              <w:rPr>
                <w:sz w:val="16"/>
              </w:rPr>
            </w:pPr>
            <w:r>
              <w:rPr>
                <w:spacing w:val="-2"/>
                <w:sz w:val="16"/>
              </w:rPr>
              <w:t>149.7</w:t>
            </w:r>
          </w:p>
        </w:tc>
        <w:tc>
          <w:tcPr>
            <w:tcW w:w="827" w:type="dxa"/>
          </w:tcPr>
          <w:p>
            <w:pPr>
              <w:pStyle w:val="TableParagraph"/>
              <w:spacing w:before="7"/>
              <w:ind w:right="107"/>
              <w:rPr>
                <w:sz w:val="16"/>
              </w:rPr>
            </w:pPr>
            <w:r>
              <w:rPr>
                <w:w w:val="98"/>
                <w:sz w:val="16"/>
              </w:rPr>
              <w:t>-</w:t>
            </w:r>
          </w:p>
        </w:tc>
        <w:tc>
          <w:tcPr>
            <w:tcW w:w="1133" w:type="dxa"/>
          </w:tcPr>
          <w:p>
            <w:pPr>
              <w:pStyle w:val="TableParagraph"/>
              <w:spacing w:before="7"/>
              <w:ind w:right="106"/>
              <w:rPr>
                <w:sz w:val="16"/>
              </w:rPr>
            </w:pPr>
            <w:r>
              <w:rPr>
                <w:spacing w:val="-2"/>
                <w:sz w:val="16"/>
              </w:rPr>
              <w:t>149.7</w:t>
            </w:r>
          </w:p>
        </w:tc>
        <w:tc>
          <w:tcPr>
            <w:tcW w:w="1078" w:type="dxa"/>
          </w:tcPr>
          <w:p>
            <w:pPr>
              <w:pStyle w:val="TableParagraph"/>
              <w:spacing w:before="7"/>
              <w:ind w:right="50"/>
              <w:rPr>
                <w:sz w:val="16"/>
              </w:rPr>
            </w:pPr>
            <w:r>
              <w:rPr>
                <w:spacing w:val="-2"/>
                <w:sz w:val="16"/>
              </w:rPr>
              <w:t>204.3</w:t>
            </w:r>
          </w:p>
        </w:tc>
        <w:tc>
          <w:tcPr>
            <w:tcW w:w="1076" w:type="dxa"/>
          </w:tcPr>
          <w:p>
            <w:pPr>
              <w:pStyle w:val="TableParagraph"/>
              <w:spacing w:before="7"/>
              <w:ind w:right="137"/>
              <w:rPr>
                <w:sz w:val="16"/>
              </w:rPr>
            </w:pPr>
            <w:r>
              <w:rPr>
                <w:spacing w:val="-4"/>
                <w:sz w:val="16"/>
              </w:rPr>
              <w:t>26.0</w:t>
            </w:r>
          </w:p>
        </w:tc>
        <w:tc>
          <w:tcPr>
            <w:tcW w:w="798" w:type="dxa"/>
          </w:tcPr>
          <w:p>
            <w:pPr>
              <w:pStyle w:val="TableParagraph"/>
              <w:spacing w:before="7"/>
              <w:ind w:right="171"/>
              <w:rPr>
                <w:sz w:val="16"/>
              </w:rPr>
            </w:pPr>
            <w:r>
              <w:rPr>
                <w:spacing w:val="-4"/>
                <w:sz w:val="16"/>
              </w:rPr>
              <w:t>12.7</w:t>
            </w:r>
          </w:p>
        </w:tc>
        <w:tc>
          <w:tcPr>
            <w:tcW w:w="1053" w:type="dxa"/>
          </w:tcPr>
          <w:p>
            <w:pPr>
              <w:pStyle w:val="TableParagraph"/>
              <w:spacing w:before="7"/>
              <w:ind w:right="101"/>
              <w:rPr>
                <w:sz w:val="16"/>
              </w:rPr>
            </w:pPr>
            <w:r>
              <w:rPr>
                <w:spacing w:val="-2"/>
                <w:sz w:val="16"/>
              </w:rPr>
              <w:t>230.3</w:t>
            </w:r>
          </w:p>
        </w:tc>
      </w:tr>
      <w:tr>
        <w:trPr>
          <w:trHeight w:val="223" w:hRule="atLeast"/>
        </w:trPr>
        <w:tc>
          <w:tcPr>
            <w:tcW w:w="2461" w:type="dxa"/>
            <w:tcBorders>
              <w:bottom w:val="single" w:sz="4" w:space="0" w:color="000000"/>
            </w:tcBorders>
          </w:tcPr>
          <w:p>
            <w:pPr>
              <w:pStyle w:val="TableParagraph"/>
              <w:spacing w:before="7"/>
              <w:ind w:left="117"/>
              <w:jc w:val="left"/>
              <w:rPr>
                <w:sz w:val="16"/>
              </w:rPr>
            </w:pPr>
            <w:r>
              <w:rPr>
                <w:sz w:val="16"/>
              </w:rPr>
              <w:t>Furniture</w:t>
            </w:r>
            <w:r>
              <w:rPr>
                <w:spacing w:val="-4"/>
                <w:sz w:val="16"/>
              </w:rPr>
              <w:t> </w:t>
            </w:r>
            <w:r>
              <w:rPr>
                <w:sz w:val="16"/>
              </w:rPr>
              <w:t>and</w:t>
            </w:r>
            <w:r>
              <w:rPr>
                <w:spacing w:val="-2"/>
                <w:sz w:val="16"/>
              </w:rPr>
              <w:t> equipment</w:t>
            </w:r>
          </w:p>
        </w:tc>
        <w:tc>
          <w:tcPr>
            <w:tcW w:w="1218" w:type="dxa"/>
            <w:tcBorders>
              <w:bottom w:val="single" w:sz="4" w:space="0" w:color="000000"/>
            </w:tcBorders>
          </w:tcPr>
          <w:p>
            <w:pPr>
              <w:pStyle w:val="TableParagraph"/>
              <w:spacing w:before="7"/>
              <w:ind w:right="191"/>
              <w:rPr>
                <w:sz w:val="16"/>
              </w:rPr>
            </w:pPr>
            <w:r>
              <w:rPr>
                <w:spacing w:val="-4"/>
                <w:sz w:val="16"/>
              </w:rPr>
              <w:t>20.0</w:t>
            </w:r>
          </w:p>
        </w:tc>
        <w:tc>
          <w:tcPr>
            <w:tcW w:w="827" w:type="dxa"/>
            <w:tcBorders>
              <w:bottom w:val="single" w:sz="4" w:space="0" w:color="000000"/>
            </w:tcBorders>
          </w:tcPr>
          <w:p>
            <w:pPr>
              <w:pStyle w:val="TableParagraph"/>
              <w:spacing w:before="7"/>
              <w:ind w:right="107"/>
              <w:rPr>
                <w:sz w:val="16"/>
              </w:rPr>
            </w:pPr>
            <w:r>
              <w:rPr>
                <w:w w:val="98"/>
                <w:sz w:val="16"/>
              </w:rPr>
              <w:t>-</w:t>
            </w:r>
          </w:p>
        </w:tc>
        <w:tc>
          <w:tcPr>
            <w:tcW w:w="1133" w:type="dxa"/>
            <w:tcBorders>
              <w:bottom w:val="single" w:sz="4" w:space="0" w:color="000000"/>
            </w:tcBorders>
          </w:tcPr>
          <w:p>
            <w:pPr>
              <w:pStyle w:val="TableParagraph"/>
              <w:spacing w:before="7"/>
              <w:ind w:right="105"/>
              <w:rPr>
                <w:sz w:val="16"/>
              </w:rPr>
            </w:pPr>
            <w:r>
              <w:rPr>
                <w:spacing w:val="-4"/>
                <w:sz w:val="16"/>
              </w:rPr>
              <w:t>20.0</w:t>
            </w:r>
          </w:p>
        </w:tc>
        <w:tc>
          <w:tcPr>
            <w:tcW w:w="1078" w:type="dxa"/>
            <w:tcBorders>
              <w:bottom w:val="single" w:sz="4" w:space="0" w:color="000000"/>
            </w:tcBorders>
          </w:tcPr>
          <w:p>
            <w:pPr>
              <w:pStyle w:val="TableParagraph"/>
              <w:spacing w:before="7"/>
              <w:ind w:right="50"/>
              <w:rPr>
                <w:sz w:val="16"/>
              </w:rPr>
            </w:pPr>
            <w:r>
              <w:rPr>
                <w:spacing w:val="-4"/>
                <w:sz w:val="16"/>
              </w:rPr>
              <w:t>10.0</w:t>
            </w:r>
          </w:p>
        </w:tc>
        <w:tc>
          <w:tcPr>
            <w:tcW w:w="1076" w:type="dxa"/>
            <w:tcBorders>
              <w:bottom w:val="single" w:sz="4" w:space="0" w:color="000000"/>
            </w:tcBorders>
          </w:tcPr>
          <w:p>
            <w:pPr>
              <w:pStyle w:val="TableParagraph"/>
              <w:spacing w:before="7"/>
              <w:ind w:right="137"/>
              <w:rPr>
                <w:sz w:val="16"/>
              </w:rPr>
            </w:pPr>
            <w:r>
              <w:rPr>
                <w:spacing w:val="-4"/>
                <w:sz w:val="16"/>
              </w:rPr>
              <w:t>50.0</w:t>
            </w:r>
          </w:p>
        </w:tc>
        <w:tc>
          <w:tcPr>
            <w:tcW w:w="798" w:type="dxa"/>
            <w:tcBorders>
              <w:bottom w:val="single" w:sz="4" w:space="0" w:color="000000"/>
            </w:tcBorders>
          </w:tcPr>
          <w:p>
            <w:pPr>
              <w:pStyle w:val="TableParagraph"/>
              <w:spacing w:before="7"/>
              <w:ind w:right="171"/>
              <w:rPr>
                <w:sz w:val="16"/>
              </w:rPr>
            </w:pPr>
            <w:r>
              <w:rPr>
                <w:spacing w:val="-2"/>
                <w:sz w:val="16"/>
              </w:rPr>
              <w:t>500.0</w:t>
            </w:r>
          </w:p>
        </w:tc>
        <w:tc>
          <w:tcPr>
            <w:tcW w:w="1053" w:type="dxa"/>
            <w:tcBorders>
              <w:bottom w:val="single" w:sz="4" w:space="0" w:color="000000"/>
            </w:tcBorders>
          </w:tcPr>
          <w:p>
            <w:pPr>
              <w:pStyle w:val="TableParagraph"/>
              <w:spacing w:before="7"/>
              <w:ind w:right="100"/>
              <w:rPr>
                <w:sz w:val="16"/>
              </w:rPr>
            </w:pPr>
            <w:r>
              <w:rPr>
                <w:spacing w:val="-4"/>
                <w:sz w:val="16"/>
              </w:rPr>
              <w:t>60.0</w:t>
            </w:r>
          </w:p>
        </w:tc>
      </w:tr>
      <w:tr>
        <w:trPr>
          <w:trHeight w:val="225" w:hRule="atLeast"/>
        </w:trPr>
        <w:tc>
          <w:tcPr>
            <w:tcW w:w="2461" w:type="dxa"/>
            <w:tcBorders>
              <w:top w:val="single" w:sz="4" w:space="0" w:color="000000"/>
              <w:bottom w:val="single" w:sz="4" w:space="0" w:color="000000"/>
            </w:tcBorders>
          </w:tcPr>
          <w:p>
            <w:pPr>
              <w:pStyle w:val="TableParagraph"/>
              <w:spacing w:before="14"/>
              <w:ind w:right="103"/>
              <w:rPr>
                <w:i/>
                <w:sz w:val="16"/>
              </w:rPr>
            </w:pPr>
            <w:r>
              <w:rPr>
                <w:i/>
                <w:w w:val="95"/>
                <w:sz w:val="16"/>
              </w:rPr>
              <w:t>Subtotal</w:t>
            </w:r>
            <w:r>
              <w:rPr>
                <w:i/>
                <w:spacing w:val="40"/>
                <w:sz w:val="16"/>
              </w:rPr>
              <w:t> </w:t>
            </w:r>
            <w:r>
              <w:rPr>
                <w:i/>
                <w:w w:val="95"/>
                <w:sz w:val="16"/>
              </w:rPr>
              <w:t>non-</w:t>
            </w:r>
            <w:r>
              <w:rPr>
                <w:i/>
                <w:spacing w:val="-4"/>
                <w:w w:val="95"/>
                <w:sz w:val="16"/>
              </w:rPr>
              <w:t>staff</w:t>
            </w:r>
          </w:p>
        </w:tc>
        <w:tc>
          <w:tcPr>
            <w:tcW w:w="1218" w:type="dxa"/>
            <w:tcBorders>
              <w:top w:val="single" w:sz="4" w:space="0" w:color="000000"/>
              <w:bottom w:val="single" w:sz="4" w:space="0" w:color="000000"/>
            </w:tcBorders>
          </w:tcPr>
          <w:p>
            <w:pPr>
              <w:pStyle w:val="TableParagraph"/>
              <w:spacing w:before="14"/>
              <w:ind w:right="192"/>
              <w:rPr>
                <w:i/>
                <w:sz w:val="16"/>
              </w:rPr>
            </w:pPr>
            <w:r>
              <w:rPr>
                <w:i/>
                <w:spacing w:val="-2"/>
                <w:sz w:val="16"/>
              </w:rPr>
              <w:t>3,449.0</w:t>
            </w:r>
          </w:p>
        </w:tc>
        <w:tc>
          <w:tcPr>
            <w:tcW w:w="827" w:type="dxa"/>
            <w:tcBorders>
              <w:top w:val="single" w:sz="4" w:space="0" w:color="000000"/>
              <w:bottom w:val="single" w:sz="4" w:space="0" w:color="000000"/>
            </w:tcBorders>
          </w:tcPr>
          <w:p>
            <w:pPr>
              <w:pStyle w:val="TableParagraph"/>
              <w:spacing w:before="14"/>
              <w:ind w:right="107"/>
              <w:rPr>
                <w:i/>
                <w:sz w:val="16"/>
              </w:rPr>
            </w:pPr>
            <w:r>
              <w:rPr>
                <w:i/>
                <w:w w:val="98"/>
                <w:sz w:val="16"/>
              </w:rPr>
              <w:t>-</w:t>
            </w:r>
          </w:p>
        </w:tc>
        <w:tc>
          <w:tcPr>
            <w:tcW w:w="1133" w:type="dxa"/>
            <w:tcBorders>
              <w:top w:val="single" w:sz="4" w:space="0" w:color="000000"/>
              <w:bottom w:val="single" w:sz="4" w:space="0" w:color="000000"/>
            </w:tcBorders>
          </w:tcPr>
          <w:p>
            <w:pPr>
              <w:pStyle w:val="TableParagraph"/>
              <w:spacing w:before="14"/>
              <w:ind w:right="106"/>
              <w:rPr>
                <w:i/>
                <w:sz w:val="16"/>
              </w:rPr>
            </w:pPr>
            <w:r>
              <w:rPr>
                <w:i/>
                <w:spacing w:val="-2"/>
                <w:sz w:val="16"/>
              </w:rPr>
              <w:t>3,449.0</w:t>
            </w:r>
          </w:p>
        </w:tc>
        <w:tc>
          <w:tcPr>
            <w:tcW w:w="1078" w:type="dxa"/>
            <w:tcBorders>
              <w:top w:val="single" w:sz="4" w:space="0" w:color="000000"/>
              <w:bottom w:val="single" w:sz="4" w:space="0" w:color="000000"/>
            </w:tcBorders>
          </w:tcPr>
          <w:p>
            <w:pPr>
              <w:pStyle w:val="TableParagraph"/>
              <w:spacing w:before="14"/>
              <w:ind w:right="51"/>
              <w:rPr>
                <w:i/>
                <w:sz w:val="16"/>
              </w:rPr>
            </w:pPr>
            <w:r>
              <w:rPr>
                <w:i/>
                <w:spacing w:val="-2"/>
                <w:sz w:val="16"/>
              </w:rPr>
              <w:t>3,599.0</w:t>
            </w:r>
          </w:p>
        </w:tc>
        <w:tc>
          <w:tcPr>
            <w:tcW w:w="1076" w:type="dxa"/>
            <w:tcBorders>
              <w:top w:val="single" w:sz="4" w:space="0" w:color="000000"/>
              <w:bottom w:val="single" w:sz="4" w:space="0" w:color="000000"/>
            </w:tcBorders>
          </w:tcPr>
          <w:p>
            <w:pPr>
              <w:pStyle w:val="TableParagraph"/>
              <w:spacing w:before="14"/>
              <w:ind w:right="137"/>
              <w:rPr>
                <w:i/>
                <w:sz w:val="16"/>
              </w:rPr>
            </w:pPr>
            <w:r>
              <w:rPr>
                <w:i/>
                <w:spacing w:val="-2"/>
                <w:sz w:val="16"/>
              </w:rPr>
              <w:t>1,463.9</w:t>
            </w:r>
          </w:p>
        </w:tc>
        <w:tc>
          <w:tcPr>
            <w:tcW w:w="798" w:type="dxa"/>
            <w:tcBorders>
              <w:top w:val="single" w:sz="4" w:space="0" w:color="000000"/>
              <w:bottom w:val="single" w:sz="4" w:space="0" w:color="000000"/>
            </w:tcBorders>
          </w:tcPr>
          <w:p>
            <w:pPr>
              <w:pStyle w:val="TableParagraph"/>
              <w:spacing w:before="14"/>
              <w:ind w:right="171"/>
              <w:rPr>
                <w:i/>
                <w:sz w:val="16"/>
              </w:rPr>
            </w:pPr>
            <w:r>
              <w:rPr>
                <w:i/>
                <w:spacing w:val="-4"/>
                <w:sz w:val="16"/>
              </w:rPr>
              <w:t>40.7</w:t>
            </w:r>
          </w:p>
        </w:tc>
        <w:tc>
          <w:tcPr>
            <w:tcW w:w="1053" w:type="dxa"/>
            <w:tcBorders>
              <w:top w:val="single" w:sz="4" w:space="0" w:color="000000"/>
              <w:bottom w:val="single" w:sz="4" w:space="0" w:color="000000"/>
            </w:tcBorders>
          </w:tcPr>
          <w:p>
            <w:pPr>
              <w:pStyle w:val="TableParagraph"/>
              <w:spacing w:before="14"/>
              <w:ind w:right="101"/>
              <w:rPr>
                <w:i/>
                <w:sz w:val="16"/>
              </w:rPr>
            </w:pPr>
            <w:r>
              <w:rPr>
                <w:i/>
                <w:spacing w:val="-2"/>
                <w:sz w:val="16"/>
              </w:rPr>
              <w:t>5,062.9</w:t>
            </w:r>
          </w:p>
        </w:tc>
      </w:tr>
      <w:tr>
        <w:trPr>
          <w:trHeight w:val="230" w:hRule="atLeast"/>
        </w:trPr>
        <w:tc>
          <w:tcPr>
            <w:tcW w:w="2461" w:type="dxa"/>
            <w:tcBorders>
              <w:top w:val="single" w:sz="4" w:space="0" w:color="000000"/>
              <w:bottom w:val="single" w:sz="12" w:space="0" w:color="000000"/>
            </w:tcBorders>
          </w:tcPr>
          <w:p>
            <w:pPr>
              <w:pStyle w:val="TableParagraph"/>
              <w:spacing w:before="14"/>
              <w:ind w:left="117"/>
              <w:jc w:val="left"/>
              <w:rPr>
                <w:b/>
                <w:sz w:val="16"/>
              </w:rPr>
            </w:pPr>
            <w:r>
              <w:rPr>
                <w:b/>
                <w:spacing w:val="-2"/>
                <w:sz w:val="16"/>
              </w:rPr>
              <w:t>Total</w:t>
            </w:r>
          </w:p>
        </w:tc>
        <w:tc>
          <w:tcPr>
            <w:tcW w:w="1218" w:type="dxa"/>
            <w:tcBorders>
              <w:top w:val="single" w:sz="4" w:space="0" w:color="000000"/>
              <w:bottom w:val="single" w:sz="12" w:space="0" w:color="000000"/>
            </w:tcBorders>
          </w:tcPr>
          <w:p>
            <w:pPr>
              <w:pStyle w:val="TableParagraph"/>
              <w:spacing w:before="14"/>
              <w:ind w:right="192"/>
              <w:rPr>
                <w:b/>
                <w:sz w:val="16"/>
              </w:rPr>
            </w:pPr>
            <w:r>
              <w:rPr>
                <w:b/>
                <w:spacing w:val="-2"/>
                <w:sz w:val="16"/>
              </w:rPr>
              <w:t>18,139.1</w:t>
            </w:r>
          </w:p>
        </w:tc>
        <w:tc>
          <w:tcPr>
            <w:tcW w:w="827" w:type="dxa"/>
            <w:tcBorders>
              <w:top w:val="single" w:sz="4" w:space="0" w:color="000000"/>
              <w:bottom w:val="single" w:sz="12" w:space="0" w:color="000000"/>
            </w:tcBorders>
          </w:tcPr>
          <w:p>
            <w:pPr>
              <w:pStyle w:val="TableParagraph"/>
              <w:spacing w:before="14"/>
              <w:ind w:right="107"/>
              <w:rPr>
                <w:b/>
                <w:sz w:val="16"/>
              </w:rPr>
            </w:pPr>
            <w:r>
              <w:rPr>
                <w:b/>
                <w:w w:val="98"/>
                <w:sz w:val="16"/>
              </w:rPr>
              <w:t>-</w:t>
            </w:r>
          </w:p>
        </w:tc>
        <w:tc>
          <w:tcPr>
            <w:tcW w:w="1133" w:type="dxa"/>
            <w:tcBorders>
              <w:top w:val="single" w:sz="4" w:space="0" w:color="000000"/>
              <w:bottom w:val="single" w:sz="12" w:space="0" w:color="000000"/>
            </w:tcBorders>
          </w:tcPr>
          <w:p>
            <w:pPr>
              <w:pStyle w:val="TableParagraph"/>
              <w:spacing w:before="14"/>
              <w:ind w:right="106"/>
              <w:rPr>
                <w:b/>
                <w:sz w:val="16"/>
              </w:rPr>
            </w:pPr>
            <w:r>
              <w:rPr>
                <w:b/>
                <w:spacing w:val="-2"/>
                <w:sz w:val="16"/>
              </w:rPr>
              <w:t>18,139.1</w:t>
            </w:r>
          </w:p>
        </w:tc>
        <w:tc>
          <w:tcPr>
            <w:tcW w:w="1078" w:type="dxa"/>
            <w:tcBorders>
              <w:top w:val="single" w:sz="4" w:space="0" w:color="000000"/>
              <w:bottom w:val="single" w:sz="12" w:space="0" w:color="000000"/>
            </w:tcBorders>
          </w:tcPr>
          <w:p>
            <w:pPr>
              <w:pStyle w:val="TableParagraph"/>
              <w:spacing w:before="14"/>
              <w:ind w:right="51"/>
              <w:rPr>
                <w:b/>
                <w:sz w:val="16"/>
              </w:rPr>
            </w:pPr>
            <w:r>
              <w:rPr>
                <w:b/>
                <w:spacing w:val="-2"/>
                <w:sz w:val="16"/>
              </w:rPr>
              <w:t>18,475.6</w:t>
            </w:r>
          </w:p>
        </w:tc>
        <w:tc>
          <w:tcPr>
            <w:tcW w:w="1076" w:type="dxa"/>
            <w:tcBorders>
              <w:top w:val="single" w:sz="4" w:space="0" w:color="000000"/>
              <w:bottom w:val="single" w:sz="12" w:space="0" w:color="000000"/>
            </w:tcBorders>
          </w:tcPr>
          <w:p>
            <w:pPr>
              <w:pStyle w:val="TableParagraph"/>
              <w:spacing w:before="14"/>
              <w:ind w:right="137"/>
              <w:rPr>
                <w:b/>
                <w:sz w:val="16"/>
              </w:rPr>
            </w:pPr>
            <w:r>
              <w:rPr>
                <w:b/>
                <w:spacing w:val="-2"/>
                <w:sz w:val="16"/>
              </w:rPr>
              <w:t>2,800.1</w:t>
            </w:r>
          </w:p>
        </w:tc>
        <w:tc>
          <w:tcPr>
            <w:tcW w:w="798" w:type="dxa"/>
            <w:tcBorders>
              <w:top w:val="single" w:sz="4" w:space="0" w:color="000000"/>
              <w:bottom w:val="single" w:sz="12" w:space="0" w:color="000000"/>
            </w:tcBorders>
          </w:tcPr>
          <w:p>
            <w:pPr>
              <w:pStyle w:val="TableParagraph"/>
              <w:spacing w:before="14"/>
              <w:ind w:right="171"/>
              <w:rPr>
                <w:b/>
                <w:sz w:val="16"/>
              </w:rPr>
            </w:pPr>
            <w:r>
              <w:rPr>
                <w:b/>
                <w:spacing w:val="-4"/>
                <w:sz w:val="16"/>
              </w:rPr>
              <w:t>15.2</w:t>
            </w:r>
          </w:p>
        </w:tc>
        <w:tc>
          <w:tcPr>
            <w:tcW w:w="1053" w:type="dxa"/>
            <w:tcBorders>
              <w:top w:val="single" w:sz="4" w:space="0" w:color="000000"/>
              <w:bottom w:val="single" w:sz="12" w:space="0" w:color="000000"/>
            </w:tcBorders>
          </w:tcPr>
          <w:p>
            <w:pPr>
              <w:pStyle w:val="TableParagraph"/>
              <w:spacing w:before="14"/>
              <w:ind w:right="101"/>
              <w:rPr>
                <w:b/>
                <w:sz w:val="16"/>
              </w:rPr>
            </w:pPr>
            <w:r>
              <w:rPr>
                <w:b/>
                <w:spacing w:val="-2"/>
                <w:sz w:val="16"/>
              </w:rPr>
              <w:t>21,275.7</w:t>
            </w:r>
          </w:p>
        </w:tc>
      </w:tr>
    </w:tbl>
    <w:p>
      <w:pPr>
        <w:pStyle w:val="BodyText"/>
        <w:spacing w:before="8"/>
        <w:rPr>
          <w:b/>
          <w:sz w:val="21"/>
        </w:rPr>
      </w:pPr>
    </w:p>
    <w:p>
      <w:pPr>
        <w:spacing w:before="0"/>
        <w:ind w:left="2246" w:right="0" w:firstLine="0"/>
        <w:jc w:val="left"/>
        <w:rPr>
          <w:b/>
          <w:sz w:val="20"/>
        </w:rPr>
      </w:pPr>
      <w:r>
        <w:rPr>
          <w:b/>
          <w:sz w:val="20"/>
        </w:rPr>
        <w:t>Table</w:t>
      </w:r>
      <w:r>
        <w:rPr>
          <w:b/>
          <w:spacing w:val="-6"/>
          <w:sz w:val="20"/>
        </w:rPr>
        <w:t> </w:t>
      </w:r>
      <w:r>
        <w:rPr>
          <w:b/>
          <w:sz w:val="20"/>
        </w:rPr>
        <w:t>27:</w:t>
      </w:r>
      <w:r>
        <w:rPr>
          <w:b/>
          <w:spacing w:val="-7"/>
          <w:sz w:val="20"/>
        </w:rPr>
        <w:t> </w:t>
      </w:r>
      <w:r>
        <w:rPr>
          <w:b/>
          <w:sz w:val="20"/>
        </w:rPr>
        <w:t>Programme</w:t>
      </w:r>
      <w:r>
        <w:rPr>
          <w:b/>
          <w:spacing w:val="-6"/>
          <w:sz w:val="20"/>
        </w:rPr>
        <w:t> </w:t>
      </w:r>
      <w:r>
        <w:rPr>
          <w:b/>
          <w:sz w:val="20"/>
        </w:rPr>
        <w:t>3200:</w:t>
      </w:r>
      <w:r>
        <w:rPr>
          <w:b/>
          <w:spacing w:val="-7"/>
          <w:sz w:val="20"/>
        </w:rPr>
        <w:t> </w:t>
      </w:r>
      <w:r>
        <w:rPr>
          <w:b/>
          <w:sz w:val="20"/>
        </w:rPr>
        <w:t>Proposed</w:t>
      </w:r>
      <w:r>
        <w:rPr>
          <w:b/>
          <w:spacing w:val="-7"/>
          <w:sz w:val="20"/>
        </w:rPr>
        <w:t> </w:t>
      </w:r>
      <w:r>
        <w:rPr>
          <w:b/>
          <w:sz w:val="20"/>
        </w:rPr>
        <w:t>staffing</w:t>
      </w:r>
      <w:r>
        <w:rPr>
          <w:b/>
          <w:spacing w:val="-3"/>
          <w:sz w:val="20"/>
        </w:rPr>
        <w:t> </w:t>
      </w:r>
      <w:r>
        <w:rPr>
          <w:b/>
          <w:sz w:val="20"/>
        </w:rPr>
        <w:t>for</w:t>
      </w:r>
      <w:r>
        <w:rPr>
          <w:b/>
          <w:spacing w:val="-5"/>
          <w:sz w:val="20"/>
        </w:rPr>
        <w:t> </w:t>
      </w:r>
      <w:r>
        <w:rPr>
          <w:b/>
          <w:spacing w:val="-4"/>
          <w:sz w:val="20"/>
        </w:rPr>
        <w:t>2023</w:t>
      </w:r>
    </w:p>
    <w:tbl>
      <w:tblPr>
        <w:tblW w:w="0" w:type="auto"/>
        <w:jc w:val="left"/>
        <w:tblInd w:w="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6"/>
        <w:gridCol w:w="678"/>
        <w:gridCol w:w="607"/>
        <w:gridCol w:w="563"/>
        <w:gridCol w:w="581"/>
        <w:gridCol w:w="581"/>
        <w:gridCol w:w="566"/>
        <w:gridCol w:w="624"/>
        <w:gridCol w:w="735"/>
        <w:gridCol w:w="463"/>
        <w:gridCol w:w="795"/>
        <w:gridCol w:w="566"/>
        <w:gridCol w:w="576"/>
        <w:gridCol w:w="564"/>
        <w:gridCol w:w="811"/>
        <w:gridCol w:w="522"/>
      </w:tblGrid>
      <w:tr>
        <w:trPr>
          <w:trHeight w:val="484" w:hRule="atLeast"/>
        </w:trPr>
        <w:tc>
          <w:tcPr>
            <w:tcW w:w="1186"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left="67"/>
              <w:jc w:val="left"/>
              <w:rPr>
                <w:sz w:val="14"/>
              </w:rPr>
            </w:pPr>
            <w:r>
              <w:rPr>
                <w:spacing w:val="-4"/>
                <w:sz w:val="14"/>
              </w:rPr>
              <w:t>3200</w:t>
            </w:r>
          </w:p>
        </w:tc>
        <w:tc>
          <w:tcPr>
            <w:tcW w:w="678"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152"/>
              <w:rPr>
                <w:sz w:val="14"/>
              </w:rPr>
            </w:pPr>
            <w:r>
              <w:rPr>
                <w:spacing w:val="-5"/>
                <w:sz w:val="14"/>
              </w:rPr>
              <w:t>USG</w:t>
            </w:r>
          </w:p>
        </w:tc>
        <w:tc>
          <w:tcPr>
            <w:tcW w:w="607"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169"/>
              <w:rPr>
                <w:sz w:val="14"/>
              </w:rPr>
            </w:pPr>
            <w:r>
              <w:rPr>
                <w:spacing w:val="-5"/>
                <w:sz w:val="14"/>
              </w:rPr>
              <w:t>ASG</w:t>
            </w:r>
          </w:p>
        </w:tc>
        <w:tc>
          <w:tcPr>
            <w:tcW w:w="563"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167"/>
              <w:rPr>
                <w:sz w:val="14"/>
              </w:rPr>
            </w:pPr>
            <w:r>
              <w:rPr>
                <w:w w:val="95"/>
                <w:sz w:val="14"/>
              </w:rPr>
              <w:t>D-</w:t>
            </w:r>
            <w:r>
              <w:rPr>
                <w:spacing w:val="-10"/>
                <w:sz w:val="14"/>
              </w:rPr>
              <w:t>2</w:t>
            </w:r>
          </w:p>
        </w:tc>
        <w:tc>
          <w:tcPr>
            <w:tcW w:w="581"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187"/>
              <w:rPr>
                <w:sz w:val="14"/>
              </w:rPr>
            </w:pPr>
            <w:r>
              <w:rPr>
                <w:w w:val="95"/>
                <w:sz w:val="14"/>
              </w:rPr>
              <w:t>D-</w:t>
            </w:r>
            <w:r>
              <w:rPr>
                <w:spacing w:val="-10"/>
                <w:sz w:val="14"/>
              </w:rPr>
              <w:t>1</w:t>
            </w:r>
          </w:p>
        </w:tc>
        <w:tc>
          <w:tcPr>
            <w:tcW w:w="581"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left="17" w:right="17"/>
              <w:jc w:val="center"/>
              <w:rPr>
                <w:sz w:val="14"/>
              </w:rPr>
            </w:pPr>
            <w:r>
              <w:rPr>
                <w:w w:val="95"/>
                <w:sz w:val="14"/>
              </w:rPr>
              <w:t>P-</w:t>
            </w:r>
            <w:r>
              <w:rPr>
                <w:spacing w:val="-10"/>
                <w:sz w:val="14"/>
              </w:rPr>
              <w:t>5</w:t>
            </w:r>
          </w:p>
        </w:tc>
        <w:tc>
          <w:tcPr>
            <w:tcW w:w="566"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172"/>
              <w:rPr>
                <w:sz w:val="14"/>
              </w:rPr>
            </w:pPr>
            <w:r>
              <w:rPr>
                <w:w w:val="95"/>
                <w:sz w:val="14"/>
              </w:rPr>
              <w:t>P-</w:t>
            </w:r>
            <w:r>
              <w:rPr>
                <w:spacing w:val="-10"/>
                <w:sz w:val="14"/>
              </w:rPr>
              <w:t>4</w:t>
            </w:r>
          </w:p>
        </w:tc>
        <w:tc>
          <w:tcPr>
            <w:tcW w:w="624"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200"/>
              <w:rPr>
                <w:sz w:val="14"/>
              </w:rPr>
            </w:pPr>
            <w:r>
              <w:rPr>
                <w:w w:val="95"/>
                <w:sz w:val="14"/>
              </w:rPr>
              <w:t>P-</w:t>
            </w:r>
            <w:r>
              <w:rPr>
                <w:spacing w:val="-10"/>
                <w:sz w:val="14"/>
              </w:rPr>
              <w:t>3</w:t>
            </w:r>
          </w:p>
        </w:tc>
        <w:tc>
          <w:tcPr>
            <w:tcW w:w="735"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195"/>
              <w:rPr>
                <w:sz w:val="14"/>
              </w:rPr>
            </w:pPr>
            <w:r>
              <w:rPr>
                <w:w w:val="95"/>
                <w:sz w:val="14"/>
              </w:rPr>
              <w:t>P-</w:t>
            </w:r>
            <w:r>
              <w:rPr>
                <w:spacing w:val="-10"/>
                <w:sz w:val="14"/>
              </w:rPr>
              <w:t>2</w:t>
            </w:r>
          </w:p>
        </w:tc>
        <w:tc>
          <w:tcPr>
            <w:tcW w:w="463"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63"/>
              <w:rPr>
                <w:sz w:val="14"/>
              </w:rPr>
            </w:pPr>
            <w:r>
              <w:rPr>
                <w:w w:val="95"/>
                <w:sz w:val="14"/>
              </w:rPr>
              <w:t>P-</w:t>
            </w:r>
            <w:r>
              <w:rPr>
                <w:spacing w:val="-10"/>
                <w:sz w:val="14"/>
              </w:rPr>
              <w:t>1</w:t>
            </w:r>
          </w:p>
        </w:tc>
        <w:tc>
          <w:tcPr>
            <w:tcW w:w="795" w:type="dxa"/>
            <w:tcBorders>
              <w:top w:val="single" w:sz="4" w:space="0" w:color="000000"/>
              <w:bottom w:val="single" w:sz="4" w:space="0" w:color="000000"/>
            </w:tcBorders>
          </w:tcPr>
          <w:p>
            <w:pPr>
              <w:pStyle w:val="TableParagraph"/>
              <w:spacing w:line="150" w:lineRule="exact"/>
              <w:ind w:left="374"/>
              <w:jc w:val="left"/>
              <w:rPr>
                <w:i/>
                <w:sz w:val="14"/>
              </w:rPr>
            </w:pPr>
            <w:r>
              <w:rPr>
                <w:i/>
                <w:spacing w:val="-2"/>
                <w:sz w:val="14"/>
              </w:rPr>
              <w:t>Total</w:t>
            </w:r>
          </w:p>
          <w:p>
            <w:pPr>
              <w:pStyle w:val="TableParagraph"/>
              <w:spacing w:line="160" w:lineRule="atLeast"/>
              <w:ind w:left="75" w:right="114" w:firstLine="201"/>
              <w:jc w:val="left"/>
              <w:rPr>
                <w:i/>
                <w:sz w:val="14"/>
              </w:rPr>
            </w:pPr>
            <w:r>
              <w:rPr>
                <w:i/>
                <w:spacing w:val="-2"/>
                <w:sz w:val="14"/>
              </w:rPr>
              <w:t>P-Staff</w:t>
            </w:r>
            <w:r>
              <w:rPr>
                <w:i/>
                <w:spacing w:val="40"/>
                <w:sz w:val="14"/>
              </w:rPr>
              <w:t> </w:t>
            </w:r>
            <w:r>
              <w:rPr>
                <w:i/>
                <w:sz w:val="14"/>
              </w:rPr>
              <w:t>and</w:t>
            </w:r>
            <w:r>
              <w:rPr>
                <w:i/>
                <w:spacing w:val="1"/>
                <w:sz w:val="14"/>
              </w:rPr>
              <w:t> </w:t>
            </w:r>
            <w:r>
              <w:rPr>
                <w:i/>
                <w:spacing w:val="-2"/>
                <w:sz w:val="14"/>
              </w:rPr>
              <w:t>Above</w:t>
            </w:r>
          </w:p>
        </w:tc>
        <w:tc>
          <w:tcPr>
            <w:tcW w:w="566"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90"/>
              <w:rPr>
                <w:sz w:val="14"/>
              </w:rPr>
            </w:pPr>
            <w:r>
              <w:rPr>
                <w:w w:val="95"/>
                <w:sz w:val="14"/>
              </w:rPr>
              <w:t>NO-</w:t>
            </w:r>
            <w:r>
              <w:rPr>
                <w:spacing w:val="-10"/>
                <w:sz w:val="14"/>
              </w:rPr>
              <w:t>C</w:t>
            </w:r>
          </w:p>
        </w:tc>
        <w:tc>
          <w:tcPr>
            <w:tcW w:w="576"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79"/>
              <w:rPr>
                <w:sz w:val="14"/>
              </w:rPr>
            </w:pPr>
            <w:r>
              <w:rPr>
                <w:w w:val="95"/>
                <w:sz w:val="14"/>
              </w:rPr>
              <w:t>GS-</w:t>
            </w:r>
            <w:r>
              <w:rPr>
                <w:spacing w:val="-5"/>
                <w:sz w:val="14"/>
              </w:rPr>
              <w:t>PL</w:t>
            </w:r>
          </w:p>
        </w:tc>
        <w:tc>
          <w:tcPr>
            <w:tcW w:w="564"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51"/>
              <w:rPr>
                <w:sz w:val="14"/>
              </w:rPr>
            </w:pPr>
            <w:r>
              <w:rPr>
                <w:w w:val="95"/>
                <w:sz w:val="14"/>
              </w:rPr>
              <w:t>GS-</w:t>
            </w:r>
            <w:r>
              <w:rPr>
                <w:spacing w:val="-5"/>
                <w:sz w:val="14"/>
              </w:rPr>
              <w:t>OL</w:t>
            </w:r>
          </w:p>
        </w:tc>
        <w:tc>
          <w:tcPr>
            <w:tcW w:w="811" w:type="dxa"/>
            <w:tcBorders>
              <w:top w:val="single" w:sz="4" w:space="0" w:color="000000"/>
              <w:bottom w:val="single" w:sz="4" w:space="0" w:color="000000"/>
            </w:tcBorders>
          </w:tcPr>
          <w:p>
            <w:pPr>
              <w:pStyle w:val="TableParagraph"/>
              <w:spacing w:line="150" w:lineRule="exact"/>
              <w:ind w:left="389"/>
              <w:jc w:val="left"/>
              <w:rPr>
                <w:i/>
                <w:sz w:val="14"/>
              </w:rPr>
            </w:pPr>
            <w:r>
              <w:rPr>
                <w:i/>
                <w:spacing w:val="-2"/>
                <w:sz w:val="14"/>
              </w:rPr>
              <w:t>Total</w:t>
            </w:r>
          </w:p>
          <w:p>
            <w:pPr>
              <w:pStyle w:val="TableParagraph"/>
              <w:spacing w:line="160" w:lineRule="atLeast"/>
              <w:ind w:left="67" w:right="119" w:firstLine="197"/>
              <w:jc w:val="left"/>
              <w:rPr>
                <w:i/>
                <w:sz w:val="14"/>
              </w:rPr>
            </w:pPr>
            <w:r>
              <w:rPr>
                <w:i/>
                <w:sz w:val="14"/>
              </w:rPr>
              <w:t>GS</w:t>
            </w:r>
            <w:r>
              <w:rPr>
                <w:i/>
                <w:spacing w:val="-9"/>
                <w:sz w:val="14"/>
              </w:rPr>
              <w:t> </w:t>
            </w:r>
            <w:r>
              <w:rPr>
                <w:i/>
                <w:sz w:val="14"/>
              </w:rPr>
              <w:t>and</w:t>
            </w:r>
            <w:r>
              <w:rPr>
                <w:i/>
                <w:spacing w:val="40"/>
                <w:sz w:val="14"/>
              </w:rPr>
              <w:t> </w:t>
            </w:r>
            <w:r>
              <w:rPr>
                <w:i/>
                <w:sz w:val="14"/>
              </w:rPr>
              <w:t>Other</w:t>
            </w:r>
            <w:r>
              <w:rPr>
                <w:i/>
                <w:spacing w:val="-5"/>
                <w:sz w:val="14"/>
              </w:rPr>
              <w:t> </w:t>
            </w:r>
            <w:r>
              <w:rPr>
                <w:i/>
                <w:spacing w:val="-2"/>
                <w:sz w:val="14"/>
              </w:rPr>
              <w:t>Staff</w:t>
            </w:r>
          </w:p>
        </w:tc>
        <w:tc>
          <w:tcPr>
            <w:tcW w:w="522" w:type="dxa"/>
            <w:tcBorders>
              <w:top w:val="single" w:sz="4" w:space="0" w:color="000000"/>
              <w:bottom w:val="single" w:sz="4" w:space="0" w:color="000000"/>
            </w:tcBorders>
          </w:tcPr>
          <w:p>
            <w:pPr>
              <w:pStyle w:val="TableParagraph"/>
              <w:spacing w:before="4"/>
              <w:jc w:val="left"/>
              <w:rPr>
                <w:b/>
                <w:sz w:val="12"/>
              </w:rPr>
            </w:pPr>
          </w:p>
          <w:p>
            <w:pPr>
              <w:pStyle w:val="TableParagraph"/>
              <w:spacing w:line="160" w:lineRule="atLeast"/>
              <w:ind w:left="187" w:hanging="34"/>
              <w:jc w:val="left"/>
              <w:rPr>
                <w:b/>
                <w:sz w:val="14"/>
              </w:rPr>
            </w:pPr>
            <w:r>
              <w:rPr>
                <w:b/>
                <w:spacing w:val="-4"/>
                <w:sz w:val="14"/>
              </w:rPr>
              <w:t>Total</w:t>
            </w:r>
            <w:r>
              <w:rPr>
                <w:b/>
                <w:spacing w:val="40"/>
                <w:sz w:val="14"/>
              </w:rPr>
              <w:t> </w:t>
            </w:r>
            <w:r>
              <w:rPr>
                <w:b/>
                <w:spacing w:val="-4"/>
                <w:sz w:val="14"/>
              </w:rPr>
              <w:t>Staff</w:t>
            </w:r>
          </w:p>
        </w:tc>
      </w:tr>
      <w:tr>
        <w:trPr>
          <w:trHeight w:val="228" w:hRule="atLeast"/>
        </w:trPr>
        <w:tc>
          <w:tcPr>
            <w:tcW w:w="1186" w:type="dxa"/>
            <w:tcBorders>
              <w:top w:val="single" w:sz="4" w:space="0" w:color="000000"/>
            </w:tcBorders>
          </w:tcPr>
          <w:p>
            <w:pPr>
              <w:pStyle w:val="TableParagraph"/>
              <w:spacing w:before="22"/>
              <w:ind w:left="67"/>
              <w:jc w:val="left"/>
              <w:rPr>
                <w:b/>
                <w:sz w:val="14"/>
              </w:rPr>
            </w:pPr>
            <w:r>
              <w:rPr>
                <w:b/>
                <w:spacing w:val="-2"/>
                <w:sz w:val="14"/>
              </w:rPr>
              <w:t>Established</w:t>
            </w:r>
            <w:r>
              <w:rPr>
                <w:b/>
                <w:spacing w:val="11"/>
                <w:sz w:val="14"/>
              </w:rPr>
              <w:t> </w:t>
            </w:r>
            <w:r>
              <w:rPr>
                <w:b/>
                <w:spacing w:val="-2"/>
                <w:sz w:val="14"/>
              </w:rPr>
              <w:t>Posts</w:t>
            </w:r>
          </w:p>
        </w:tc>
        <w:tc>
          <w:tcPr>
            <w:tcW w:w="678" w:type="dxa"/>
            <w:tcBorders>
              <w:top w:val="single" w:sz="4" w:space="0" w:color="000000"/>
            </w:tcBorders>
          </w:tcPr>
          <w:p>
            <w:pPr>
              <w:pStyle w:val="TableParagraph"/>
              <w:jc w:val="left"/>
              <w:rPr>
                <w:sz w:val="14"/>
              </w:rPr>
            </w:pPr>
          </w:p>
        </w:tc>
        <w:tc>
          <w:tcPr>
            <w:tcW w:w="607" w:type="dxa"/>
            <w:tcBorders>
              <w:top w:val="single" w:sz="4" w:space="0" w:color="000000"/>
            </w:tcBorders>
          </w:tcPr>
          <w:p>
            <w:pPr>
              <w:pStyle w:val="TableParagraph"/>
              <w:jc w:val="left"/>
              <w:rPr>
                <w:sz w:val="14"/>
              </w:rPr>
            </w:pPr>
          </w:p>
        </w:tc>
        <w:tc>
          <w:tcPr>
            <w:tcW w:w="563" w:type="dxa"/>
            <w:tcBorders>
              <w:top w:val="single" w:sz="4" w:space="0" w:color="000000"/>
            </w:tcBorders>
          </w:tcPr>
          <w:p>
            <w:pPr>
              <w:pStyle w:val="TableParagraph"/>
              <w:jc w:val="left"/>
              <w:rPr>
                <w:sz w:val="14"/>
              </w:rPr>
            </w:pPr>
          </w:p>
        </w:tc>
        <w:tc>
          <w:tcPr>
            <w:tcW w:w="581" w:type="dxa"/>
            <w:tcBorders>
              <w:top w:val="single" w:sz="4" w:space="0" w:color="000000"/>
            </w:tcBorders>
          </w:tcPr>
          <w:p>
            <w:pPr>
              <w:pStyle w:val="TableParagraph"/>
              <w:jc w:val="left"/>
              <w:rPr>
                <w:sz w:val="14"/>
              </w:rPr>
            </w:pPr>
          </w:p>
        </w:tc>
        <w:tc>
          <w:tcPr>
            <w:tcW w:w="581" w:type="dxa"/>
            <w:tcBorders>
              <w:top w:val="single" w:sz="4" w:space="0" w:color="000000"/>
            </w:tcBorders>
          </w:tcPr>
          <w:p>
            <w:pPr>
              <w:pStyle w:val="TableParagraph"/>
              <w:jc w:val="left"/>
              <w:rPr>
                <w:sz w:val="14"/>
              </w:rPr>
            </w:pPr>
          </w:p>
        </w:tc>
        <w:tc>
          <w:tcPr>
            <w:tcW w:w="566" w:type="dxa"/>
            <w:tcBorders>
              <w:top w:val="single" w:sz="4" w:space="0" w:color="000000"/>
            </w:tcBorders>
          </w:tcPr>
          <w:p>
            <w:pPr>
              <w:pStyle w:val="TableParagraph"/>
              <w:jc w:val="left"/>
              <w:rPr>
                <w:sz w:val="14"/>
              </w:rPr>
            </w:pPr>
          </w:p>
        </w:tc>
        <w:tc>
          <w:tcPr>
            <w:tcW w:w="624" w:type="dxa"/>
            <w:tcBorders>
              <w:top w:val="single" w:sz="4" w:space="0" w:color="000000"/>
            </w:tcBorders>
          </w:tcPr>
          <w:p>
            <w:pPr>
              <w:pStyle w:val="TableParagraph"/>
              <w:jc w:val="left"/>
              <w:rPr>
                <w:sz w:val="14"/>
              </w:rPr>
            </w:pPr>
          </w:p>
        </w:tc>
        <w:tc>
          <w:tcPr>
            <w:tcW w:w="735" w:type="dxa"/>
            <w:tcBorders>
              <w:top w:val="single" w:sz="4" w:space="0" w:color="000000"/>
            </w:tcBorders>
          </w:tcPr>
          <w:p>
            <w:pPr>
              <w:pStyle w:val="TableParagraph"/>
              <w:jc w:val="left"/>
              <w:rPr>
                <w:sz w:val="14"/>
              </w:rPr>
            </w:pPr>
          </w:p>
        </w:tc>
        <w:tc>
          <w:tcPr>
            <w:tcW w:w="463" w:type="dxa"/>
            <w:tcBorders>
              <w:top w:val="single" w:sz="4" w:space="0" w:color="000000"/>
            </w:tcBorders>
          </w:tcPr>
          <w:p>
            <w:pPr>
              <w:pStyle w:val="TableParagraph"/>
              <w:jc w:val="left"/>
              <w:rPr>
                <w:sz w:val="14"/>
              </w:rPr>
            </w:pPr>
          </w:p>
        </w:tc>
        <w:tc>
          <w:tcPr>
            <w:tcW w:w="795" w:type="dxa"/>
            <w:tcBorders>
              <w:top w:val="single" w:sz="4" w:space="0" w:color="000000"/>
            </w:tcBorders>
          </w:tcPr>
          <w:p>
            <w:pPr>
              <w:pStyle w:val="TableParagraph"/>
              <w:jc w:val="left"/>
              <w:rPr>
                <w:sz w:val="14"/>
              </w:rPr>
            </w:pPr>
          </w:p>
        </w:tc>
        <w:tc>
          <w:tcPr>
            <w:tcW w:w="566" w:type="dxa"/>
            <w:tcBorders>
              <w:top w:val="single" w:sz="4" w:space="0" w:color="000000"/>
            </w:tcBorders>
          </w:tcPr>
          <w:p>
            <w:pPr>
              <w:pStyle w:val="TableParagraph"/>
              <w:jc w:val="left"/>
              <w:rPr>
                <w:sz w:val="14"/>
              </w:rPr>
            </w:pPr>
          </w:p>
        </w:tc>
        <w:tc>
          <w:tcPr>
            <w:tcW w:w="576" w:type="dxa"/>
            <w:tcBorders>
              <w:top w:val="single" w:sz="4" w:space="0" w:color="000000"/>
            </w:tcBorders>
          </w:tcPr>
          <w:p>
            <w:pPr>
              <w:pStyle w:val="TableParagraph"/>
              <w:jc w:val="left"/>
              <w:rPr>
                <w:sz w:val="14"/>
              </w:rPr>
            </w:pPr>
          </w:p>
        </w:tc>
        <w:tc>
          <w:tcPr>
            <w:tcW w:w="564" w:type="dxa"/>
            <w:tcBorders>
              <w:top w:val="single" w:sz="4" w:space="0" w:color="000000"/>
            </w:tcBorders>
          </w:tcPr>
          <w:p>
            <w:pPr>
              <w:pStyle w:val="TableParagraph"/>
              <w:jc w:val="left"/>
              <w:rPr>
                <w:sz w:val="14"/>
              </w:rPr>
            </w:pPr>
          </w:p>
        </w:tc>
        <w:tc>
          <w:tcPr>
            <w:tcW w:w="811" w:type="dxa"/>
            <w:tcBorders>
              <w:top w:val="single" w:sz="4" w:space="0" w:color="000000"/>
            </w:tcBorders>
          </w:tcPr>
          <w:p>
            <w:pPr>
              <w:pStyle w:val="TableParagraph"/>
              <w:jc w:val="left"/>
              <w:rPr>
                <w:sz w:val="14"/>
              </w:rPr>
            </w:pPr>
          </w:p>
        </w:tc>
        <w:tc>
          <w:tcPr>
            <w:tcW w:w="522" w:type="dxa"/>
            <w:tcBorders>
              <w:top w:val="single" w:sz="4" w:space="0" w:color="000000"/>
            </w:tcBorders>
          </w:tcPr>
          <w:p>
            <w:pPr>
              <w:pStyle w:val="TableParagraph"/>
              <w:jc w:val="left"/>
              <w:rPr>
                <w:sz w:val="14"/>
              </w:rPr>
            </w:pPr>
          </w:p>
        </w:tc>
      </w:tr>
      <w:tr>
        <w:trPr>
          <w:trHeight w:val="221" w:hRule="atLeast"/>
        </w:trPr>
        <w:tc>
          <w:tcPr>
            <w:tcW w:w="1186" w:type="dxa"/>
            <w:tcBorders>
              <w:bottom w:val="single" w:sz="12" w:space="0" w:color="000000"/>
            </w:tcBorders>
          </w:tcPr>
          <w:p>
            <w:pPr>
              <w:pStyle w:val="TableParagraph"/>
              <w:spacing w:before="19"/>
              <w:ind w:left="67"/>
              <w:jc w:val="left"/>
              <w:rPr>
                <w:sz w:val="14"/>
              </w:rPr>
            </w:pPr>
            <w:r>
              <w:rPr>
                <w:w w:val="95"/>
                <w:sz w:val="14"/>
              </w:rPr>
              <w:t>Approved</w:t>
            </w:r>
            <w:r>
              <w:rPr>
                <w:spacing w:val="22"/>
                <w:sz w:val="14"/>
              </w:rPr>
              <w:t> </w:t>
            </w:r>
            <w:r>
              <w:rPr>
                <w:spacing w:val="-4"/>
                <w:sz w:val="14"/>
              </w:rPr>
              <w:t>2022</w:t>
            </w:r>
          </w:p>
        </w:tc>
        <w:tc>
          <w:tcPr>
            <w:tcW w:w="678" w:type="dxa"/>
            <w:tcBorders>
              <w:bottom w:val="single" w:sz="12" w:space="0" w:color="000000"/>
            </w:tcBorders>
          </w:tcPr>
          <w:p>
            <w:pPr>
              <w:pStyle w:val="TableParagraph"/>
              <w:spacing w:before="19"/>
              <w:ind w:right="154"/>
              <w:rPr>
                <w:sz w:val="14"/>
              </w:rPr>
            </w:pPr>
            <w:r>
              <w:rPr>
                <w:w w:val="99"/>
                <w:sz w:val="14"/>
              </w:rPr>
              <w:t>-</w:t>
            </w:r>
          </w:p>
        </w:tc>
        <w:tc>
          <w:tcPr>
            <w:tcW w:w="607" w:type="dxa"/>
            <w:tcBorders>
              <w:bottom w:val="single" w:sz="12" w:space="0" w:color="000000"/>
            </w:tcBorders>
          </w:tcPr>
          <w:p>
            <w:pPr>
              <w:pStyle w:val="TableParagraph"/>
              <w:spacing w:before="19"/>
              <w:ind w:right="170"/>
              <w:rPr>
                <w:sz w:val="14"/>
              </w:rPr>
            </w:pPr>
            <w:r>
              <w:rPr>
                <w:w w:val="99"/>
                <w:sz w:val="14"/>
              </w:rPr>
              <w:t>-</w:t>
            </w:r>
          </w:p>
        </w:tc>
        <w:tc>
          <w:tcPr>
            <w:tcW w:w="563" w:type="dxa"/>
            <w:tcBorders>
              <w:bottom w:val="single" w:sz="12" w:space="0" w:color="000000"/>
            </w:tcBorders>
          </w:tcPr>
          <w:p>
            <w:pPr>
              <w:pStyle w:val="TableParagraph"/>
              <w:spacing w:before="19"/>
              <w:ind w:right="171"/>
              <w:rPr>
                <w:sz w:val="14"/>
              </w:rPr>
            </w:pPr>
            <w:r>
              <w:rPr>
                <w:w w:val="99"/>
                <w:sz w:val="14"/>
              </w:rPr>
              <w:t>-</w:t>
            </w:r>
          </w:p>
        </w:tc>
        <w:tc>
          <w:tcPr>
            <w:tcW w:w="581" w:type="dxa"/>
            <w:tcBorders>
              <w:bottom w:val="single" w:sz="12" w:space="0" w:color="000000"/>
            </w:tcBorders>
          </w:tcPr>
          <w:p>
            <w:pPr>
              <w:pStyle w:val="TableParagraph"/>
              <w:spacing w:before="19"/>
              <w:ind w:right="192"/>
              <w:rPr>
                <w:sz w:val="14"/>
              </w:rPr>
            </w:pPr>
            <w:r>
              <w:rPr>
                <w:w w:val="99"/>
                <w:sz w:val="14"/>
              </w:rPr>
              <w:t>1</w:t>
            </w:r>
          </w:p>
        </w:tc>
        <w:tc>
          <w:tcPr>
            <w:tcW w:w="581" w:type="dxa"/>
            <w:tcBorders>
              <w:bottom w:val="single" w:sz="12" w:space="0" w:color="000000"/>
            </w:tcBorders>
          </w:tcPr>
          <w:p>
            <w:pPr>
              <w:pStyle w:val="TableParagraph"/>
              <w:spacing w:before="19"/>
              <w:ind w:left="124"/>
              <w:jc w:val="center"/>
              <w:rPr>
                <w:sz w:val="14"/>
              </w:rPr>
            </w:pPr>
            <w:r>
              <w:rPr>
                <w:w w:val="99"/>
                <w:sz w:val="14"/>
              </w:rPr>
              <w:t>5</w:t>
            </w:r>
          </w:p>
        </w:tc>
        <w:tc>
          <w:tcPr>
            <w:tcW w:w="566" w:type="dxa"/>
            <w:tcBorders>
              <w:bottom w:val="single" w:sz="12" w:space="0" w:color="000000"/>
            </w:tcBorders>
          </w:tcPr>
          <w:p>
            <w:pPr>
              <w:pStyle w:val="TableParagraph"/>
              <w:spacing w:before="19"/>
              <w:ind w:right="172"/>
              <w:rPr>
                <w:sz w:val="14"/>
              </w:rPr>
            </w:pPr>
            <w:r>
              <w:rPr>
                <w:w w:val="99"/>
                <w:sz w:val="14"/>
              </w:rPr>
              <w:t>9</w:t>
            </w:r>
          </w:p>
        </w:tc>
        <w:tc>
          <w:tcPr>
            <w:tcW w:w="624" w:type="dxa"/>
            <w:tcBorders>
              <w:bottom w:val="single" w:sz="12" w:space="0" w:color="000000"/>
            </w:tcBorders>
          </w:tcPr>
          <w:p>
            <w:pPr>
              <w:pStyle w:val="TableParagraph"/>
              <w:spacing w:before="19"/>
              <w:ind w:right="193"/>
              <w:rPr>
                <w:sz w:val="14"/>
              </w:rPr>
            </w:pPr>
            <w:r>
              <w:rPr>
                <w:spacing w:val="-5"/>
                <w:sz w:val="14"/>
              </w:rPr>
              <w:t>12</w:t>
            </w:r>
          </w:p>
        </w:tc>
        <w:tc>
          <w:tcPr>
            <w:tcW w:w="735" w:type="dxa"/>
            <w:tcBorders>
              <w:bottom w:val="single" w:sz="12" w:space="0" w:color="000000"/>
            </w:tcBorders>
          </w:tcPr>
          <w:p>
            <w:pPr>
              <w:pStyle w:val="TableParagraph"/>
              <w:spacing w:before="19"/>
              <w:ind w:right="195"/>
              <w:rPr>
                <w:sz w:val="14"/>
              </w:rPr>
            </w:pPr>
            <w:r>
              <w:rPr>
                <w:w w:val="99"/>
                <w:sz w:val="14"/>
              </w:rPr>
              <w:t>6</w:t>
            </w:r>
          </w:p>
        </w:tc>
        <w:tc>
          <w:tcPr>
            <w:tcW w:w="463" w:type="dxa"/>
            <w:tcBorders>
              <w:bottom w:val="single" w:sz="12" w:space="0" w:color="000000"/>
            </w:tcBorders>
          </w:tcPr>
          <w:p>
            <w:pPr>
              <w:pStyle w:val="TableParagraph"/>
              <w:spacing w:before="19"/>
              <w:ind w:right="62"/>
              <w:rPr>
                <w:sz w:val="14"/>
              </w:rPr>
            </w:pPr>
            <w:r>
              <w:rPr>
                <w:w w:val="99"/>
                <w:sz w:val="14"/>
              </w:rPr>
              <w:t>-</w:t>
            </w:r>
          </w:p>
        </w:tc>
        <w:tc>
          <w:tcPr>
            <w:tcW w:w="795" w:type="dxa"/>
            <w:tcBorders>
              <w:bottom w:val="single" w:sz="12" w:space="0" w:color="000000"/>
            </w:tcBorders>
          </w:tcPr>
          <w:p>
            <w:pPr>
              <w:pStyle w:val="TableParagraph"/>
              <w:spacing w:before="19"/>
              <w:ind w:right="116"/>
              <w:rPr>
                <w:i/>
                <w:sz w:val="14"/>
              </w:rPr>
            </w:pPr>
            <w:r>
              <w:rPr>
                <w:i/>
                <w:spacing w:val="-5"/>
                <w:sz w:val="14"/>
              </w:rPr>
              <w:t>33</w:t>
            </w:r>
          </w:p>
        </w:tc>
        <w:tc>
          <w:tcPr>
            <w:tcW w:w="566" w:type="dxa"/>
            <w:tcBorders>
              <w:bottom w:val="single" w:sz="12" w:space="0" w:color="000000"/>
            </w:tcBorders>
          </w:tcPr>
          <w:p>
            <w:pPr>
              <w:pStyle w:val="TableParagraph"/>
              <w:spacing w:before="19"/>
              <w:ind w:right="93"/>
              <w:rPr>
                <w:sz w:val="14"/>
              </w:rPr>
            </w:pPr>
            <w:r>
              <w:rPr>
                <w:w w:val="99"/>
                <w:sz w:val="14"/>
              </w:rPr>
              <w:t>-</w:t>
            </w:r>
          </w:p>
        </w:tc>
        <w:tc>
          <w:tcPr>
            <w:tcW w:w="576" w:type="dxa"/>
            <w:tcBorders>
              <w:bottom w:val="single" w:sz="12" w:space="0" w:color="000000"/>
            </w:tcBorders>
          </w:tcPr>
          <w:p>
            <w:pPr>
              <w:pStyle w:val="TableParagraph"/>
              <w:spacing w:before="19"/>
              <w:ind w:right="79"/>
              <w:rPr>
                <w:sz w:val="14"/>
              </w:rPr>
            </w:pPr>
            <w:r>
              <w:rPr>
                <w:w w:val="99"/>
                <w:sz w:val="14"/>
              </w:rPr>
              <w:t>8</w:t>
            </w:r>
          </w:p>
        </w:tc>
        <w:tc>
          <w:tcPr>
            <w:tcW w:w="564" w:type="dxa"/>
            <w:tcBorders>
              <w:bottom w:val="single" w:sz="12" w:space="0" w:color="000000"/>
            </w:tcBorders>
          </w:tcPr>
          <w:p>
            <w:pPr>
              <w:pStyle w:val="TableParagraph"/>
              <w:spacing w:before="19"/>
              <w:ind w:right="46"/>
              <w:rPr>
                <w:sz w:val="14"/>
              </w:rPr>
            </w:pPr>
            <w:r>
              <w:rPr>
                <w:spacing w:val="-5"/>
                <w:sz w:val="14"/>
              </w:rPr>
              <w:t>136</w:t>
            </w:r>
          </w:p>
        </w:tc>
        <w:tc>
          <w:tcPr>
            <w:tcW w:w="811" w:type="dxa"/>
            <w:tcBorders>
              <w:bottom w:val="single" w:sz="12" w:space="0" w:color="000000"/>
            </w:tcBorders>
          </w:tcPr>
          <w:p>
            <w:pPr>
              <w:pStyle w:val="TableParagraph"/>
              <w:spacing w:before="19"/>
              <w:ind w:right="117"/>
              <w:rPr>
                <w:i/>
                <w:sz w:val="14"/>
              </w:rPr>
            </w:pPr>
            <w:r>
              <w:rPr>
                <w:i/>
                <w:spacing w:val="-5"/>
                <w:sz w:val="14"/>
              </w:rPr>
              <w:t>144</w:t>
            </w:r>
          </w:p>
        </w:tc>
        <w:tc>
          <w:tcPr>
            <w:tcW w:w="522" w:type="dxa"/>
            <w:tcBorders>
              <w:bottom w:val="single" w:sz="12" w:space="0" w:color="000000"/>
            </w:tcBorders>
          </w:tcPr>
          <w:p>
            <w:pPr>
              <w:pStyle w:val="TableParagraph"/>
              <w:spacing w:before="19"/>
              <w:ind w:right="39"/>
              <w:rPr>
                <w:b/>
                <w:sz w:val="14"/>
              </w:rPr>
            </w:pPr>
            <w:r>
              <w:rPr>
                <w:b/>
                <w:spacing w:val="-5"/>
                <w:sz w:val="14"/>
              </w:rPr>
              <w:t>177</w:t>
            </w:r>
          </w:p>
        </w:tc>
      </w:tr>
      <w:tr>
        <w:trPr>
          <w:trHeight w:val="230" w:hRule="atLeast"/>
        </w:trPr>
        <w:tc>
          <w:tcPr>
            <w:tcW w:w="1186" w:type="dxa"/>
            <w:tcBorders>
              <w:top w:val="single" w:sz="12" w:space="0" w:color="000000"/>
              <w:bottom w:val="single" w:sz="4" w:space="0" w:color="000000"/>
            </w:tcBorders>
          </w:tcPr>
          <w:p>
            <w:pPr>
              <w:pStyle w:val="TableParagraph"/>
              <w:spacing w:before="27"/>
              <w:ind w:left="67"/>
              <w:jc w:val="left"/>
              <w:rPr>
                <w:sz w:val="14"/>
              </w:rPr>
            </w:pPr>
            <w:r>
              <w:rPr>
                <w:spacing w:val="-5"/>
                <w:sz w:val="14"/>
              </w:rPr>
              <w:t>New</w:t>
            </w:r>
          </w:p>
        </w:tc>
        <w:tc>
          <w:tcPr>
            <w:tcW w:w="678" w:type="dxa"/>
            <w:tcBorders>
              <w:top w:val="single" w:sz="12" w:space="0" w:color="000000"/>
              <w:bottom w:val="single" w:sz="4" w:space="0" w:color="000000"/>
            </w:tcBorders>
          </w:tcPr>
          <w:p>
            <w:pPr>
              <w:pStyle w:val="TableParagraph"/>
              <w:spacing w:before="27"/>
              <w:ind w:right="154"/>
              <w:rPr>
                <w:sz w:val="14"/>
              </w:rPr>
            </w:pPr>
            <w:r>
              <w:rPr>
                <w:w w:val="99"/>
                <w:sz w:val="14"/>
              </w:rPr>
              <w:t>-</w:t>
            </w:r>
          </w:p>
        </w:tc>
        <w:tc>
          <w:tcPr>
            <w:tcW w:w="607" w:type="dxa"/>
            <w:tcBorders>
              <w:top w:val="single" w:sz="12" w:space="0" w:color="000000"/>
              <w:bottom w:val="single" w:sz="4" w:space="0" w:color="000000"/>
            </w:tcBorders>
          </w:tcPr>
          <w:p>
            <w:pPr>
              <w:pStyle w:val="TableParagraph"/>
              <w:spacing w:before="27"/>
              <w:ind w:right="170"/>
              <w:rPr>
                <w:sz w:val="14"/>
              </w:rPr>
            </w:pPr>
            <w:r>
              <w:rPr>
                <w:w w:val="99"/>
                <w:sz w:val="14"/>
              </w:rPr>
              <w:t>-</w:t>
            </w:r>
          </w:p>
        </w:tc>
        <w:tc>
          <w:tcPr>
            <w:tcW w:w="563" w:type="dxa"/>
            <w:tcBorders>
              <w:top w:val="single" w:sz="12" w:space="0" w:color="000000"/>
              <w:bottom w:val="single" w:sz="4" w:space="0" w:color="000000"/>
            </w:tcBorders>
          </w:tcPr>
          <w:p>
            <w:pPr>
              <w:pStyle w:val="TableParagraph"/>
              <w:spacing w:before="27"/>
              <w:ind w:right="171"/>
              <w:rPr>
                <w:sz w:val="14"/>
              </w:rPr>
            </w:pPr>
            <w:r>
              <w:rPr>
                <w:w w:val="99"/>
                <w:sz w:val="14"/>
              </w:rPr>
              <w:t>-</w:t>
            </w:r>
          </w:p>
        </w:tc>
        <w:tc>
          <w:tcPr>
            <w:tcW w:w="581" w:type="dxa"/>
            <w:tcBorders>
              <w:top w:val="single" w:sz="12" w:space="0" w:color="000000"/>
              <w:bottom w:val="single" w:sz="4" w:space="0" w:color="000000"/>
            </w:tcBorders>
          </w:tcPr>
          <w:p>
            <w:pPr>
              <w:pStyle w:val="TableParagraph"/>
              <w:spacing w:before="27"/>
              <w:ind w:right="191"/>
              <w:rPr>
                <w:sz w:val="14"/>
              </w:rPr>
            </w:pPr>
            <w:r>
              <w:rPr>
                <w:w w:val="99"/>
                <w:sz w:val="14"/>
              </w:rPr>
              <w:t>-</w:t>
            </w:r>
          </w:p>
        </w:tc>
        <w:tc>
          <w:tcPr>
            <w:tcW w:w="581" w:type="dxa"/>
            <w:tcBorders>
              <w:top w:val="single" w:sz="12" w:space="0" w:color="000000"/>
              <w:bottom w:val="single" w:sz="4" w:space="0" w:color="000000"/>
            </w:tcBorders>
          </w:tcPr>
          <w:p>
            <w:pPr>
              <w:pStyle w:val="TableParagraph"/>
              <w:spacing w:before="27"/>
              <w:ind w:left="148"/>
              <w:jc w:val="center"/>
              <w:rPr>
                <w:sz w:val="14"/>
              </w:rPr>
            </w:pPr>
            <w:r>
              <w:rPr>
                <w:w w:val="99"/>
                <w:sz w:val="14"/>
              </w:rPr>
              <w:t>-</w:t>
            </w:r>
          </w:p>
        </w:tc>
        <w:tc>
          <w:tcPr>
            <w:tcW w:w="566" w:type="dxa"/>
            <w:tcBorders>
              <w:top w:val="single" w:sz="12" w:space="0" w:color="000000"/>
              <w:bottom w:val="single" w:sz="4" w:space="0" w:color="000000"/>
            </w:tcBorders>
          </w:tcPr>
          <w:p>
            <w:pPr>
              <w:pStyle w:val="TableParagraph"/>
              <w:spacing w:before="27"/>
              <w:ind w:right="171"/>
              <w:rPr>
                <w:sz w:val="14"/>
              </w:rPr>
            </w:pPr>
            <w:r>
              <w:rPr>
                <w:w w:val="99"/>
                <w:sz w:val="14"/>
              </w:rPr>
              <w:t>-</w:t>
            </w:r>
          </w:p>
        </w:tc>
        <w:tc>
          <w:tcPr>
            <w:tcW w:w="624" w:type="dxa"/>
            <w:tcBorders>
              <w:top w:val="single" w:sz="12" w:space="0" w:color="000000"/>
              <w:bottom w:val="single" w:sz="4" w:space="0" w:color="000000"/>
            </w:tcBorders>
          </w:tcPr>
          <w:p>
            <w:pPr>
              <w:pStyle w:val="TableParagraph"/>
              <w:spacing w:before="27"/>
              <w:ind w:right="199"/>
              <w:rPr>
                <w:sz w:val="14"/>
              </w:rPr>
            </w:pPr>
            <w:r>
              <w:rPr>
                <w:w w:val="99"/>
                <w:sz w:val="14"/>
              </w:rPr>
              <w:t>-</w:t>
            </w:r>
          </w:p>
        </w:tc>
        <w:tc>
          <w:tcPr>
            <w:tcW w:w="735" w:type="dxa"/>
            <w:tcBorders>
              <w:top w:val="single" w:sz="12" w:space="0" w:color="000000"/>
              <w:bottom w:val="single" w:sz="4" w:space="0" w:color="000000"/>
            </w:tcBorders>
          </w:tcPr>
          <w:p>
            <w:pPr>
              <w:pStyle w:val="TableParagraph"/>
              <w:spacing w:before="27"/>
              <w:ind w:right="195"/>
              <w:rPr>
                <w:sz w:val="14"/>
              </w:rPr>
            </w:pPr>
            <w:r>
              <w:rPr>
                <w:w w:val="99"/>
                <w:sz w:val="14"/>
              </w:rPr>
              <w:t>2</w:t>
            </w:r>
          </w:p>
        </w:tc>
        <w:tc>
          <w:tcPr>
            <w:tcW w:w="463" w:type="dxa"/>
            <w:tcBorders>
              <w:top w:val="single" w:sz="12" w:space="0" w:color="000000"/>
              <w:bottom w:val="single" w:sz="4" w:space="0" w:color="000000"/>
            </w:tcBorders>
          </w:tcPr>
          <w:p>
            <w:pPr>
              <w:pStyle w:val="TableParagraph"/>
              <w:spacing w:before="27"/>
              <w:ind w:right="62"/>
              <w:rPr>
                <w:sz w:val="14"/>
              </w:rPr>
            </w:pPr>
            <w:r>
              <w:rPr>
                <w:w w:val="99"/>
                <w:sz w:val="14"/>
              </w:rPr>
              <w:t>-</w:t>
            </w:r>
          </w:p>
        </w:tc>
        <w:tc>
          <w:tcPr>
            <w:tcW w:w="795" w:type="dxa"/>
            <w:tcBorders>
              <w:top w:val="single" w:sz="12" w:space="0" w:color="000000"/>
              <w:bottom w:val="single" w:sz="4" w:space="0" w:color="000000"/>
            </w:tcBorders>
          </w:tcPr>
          <w:p>
            <w:pPr>
              <w:pStyle w:val="TableParagraph"/>
              <w:spacing w:before="27"/>
              <w:ind w:right="123"/>
              <w:rPr>
                <w:i/>
                <w:sz w:val="14"/>
              </w:rPr>
            </w:pPr>
            <w:r>
              <w:rPr>
                <w:i/>
                <w:w w:val="99"/>
                <w:sz w:val="14"/>
              </w:rPr>
              <w:t>2</w:t>
            </w:r>
          </w:p>
        </w:tc>
        <w:tc>
          <w:tcPr>
            <w:tcW w:w="566" w:type="dxa"/>
            <w:tcBorders>
              <w:top w:val="single" w:sz="12" w:space="0" w:color="000000"/>
              <w:bottom w:val="single" w:sz="4" w:space="0" w:color="000000"/>
            </w:tcBorders>
          </w:tcPr>
          <w:p>
            <w:pPr>
              <w:pStyle w:val="TableParagraph"/>
              <w:spacing w:before="27"/>
              <w:ind w:right="93"/>
              <w:rPr>
                <w:sz w:val="14"/>
              </w:rPr>
            </w:pPr>
            <w:r>
              <w:rPr>
                <w:w w:val="99"/>
                <w:sz w:val="14"/>
              </w:rPr>
              <w:t>-</w:t>
            </w:r>
          </w:p>
        </w:tc>
        <w:tc>
          <w:tcPr>
            <w:tcW w:w="576" w:type="dxa"/>
            <w:tcBorders>
              <w:top w:val="single" w:sz="12" w:space="0" w:color="000000"/>
              <w:bottom w:val="single" w:sz="4" w:space="0" w:color="000000"/>
            </w:tcBorders>
          </w:tcPr>
          <w:p>
            <w:pPr>
              <w:pStyle w:val="TableParagraph"/>
              <w:spacing w:before="27"/>
              <w:ind w:right="78"/>
              <w:rPr>
                <w:sz w:val="14"/>
              </w:rPr>
            </w:pPr>
            <w:r>
              <w:rPr>
                <w:w w:val="99"/>
                <w:sz w:val="14"/>
              </w:rPr>
              <w:t>-</w:t>
            </w:r>
          </w:p>
        </w:tc>
        <w:tc>
          <w:tcPr>
            <w:tcW w:w="564" w:type="dxa"/>
            <w:tcBorders>
              <w:top w:val="single" w:sz="12" w:space="0" w:color="000000"/>
              <w:bottom w:val="single" w:sz="4" w:space="0" w:color="000000"/>
            </w:tcBorders>
          </w:tcPr>
          <w:p>
            <w:pPr>
              <w:pStyle w:val="TableParagraph"/>
              <w:spacing w:before="27"/>
              <w:ind w:right="53"/>
              <w:rPr>
                <w:sz w:val="14"/>
              </w:rPr>
            </w:pPr>
            <w:r>
              <w:rPr>
                <w:w w:val="99"/>
                <w:sz w:val="14"/>
              </w:rPr>
              <w:t>2</w:t>
            </w:r>
          </w:p>
        </w:tc>
        <w:tc>
          <w:tcPr>
            <w:tcW w:w="811" w:type="dxa"/>
            <w:tcBorders>
              <w:top w:val="single" w:sz="12" w:space="0" w:color="000000"/>
              <w:bottom w:val="single" w:sz="4" w:space="0" w:color="000000"/>
            </w:tcBorders>
          </w:tcPr>
          <w:p>
            <w:pPr>
              <w:pStyle w:val="TableParagraph"/>
              <w:spacing w:before="27"/>
              <w:ind w:right="124"/>
              <w:rPr>
                <w:i/>
                <w:sz w:val="14"/>
              </w:rPr>
            </w:pPr>
            <w:r>
              <w:rPr>
                <w:i/>
                <w:w w:val="99"/>
                <w:sz w:val="14"/>
              </w:rPr>
              <w:t>2</w:t>
            </w:r>
          </w:p>
        </w:tc>
        <w:tc>
          <w:tcPr>
            <w:tcW w:w="522" w:type="dxa"/>
            <w:tcBorders>
              <w:top w:val="single" w:sz="12" w:space="0" w:color="000000"/>
              <w:bottom w:val="single" w:sz="4" w:space="0" w:color="000000"/>
            </w:tcBorders>
          </w:tcPr>
          <w:p>
            <w:pPr>
              <w:pStyle w:val="TableParagraph"/>
              <w:spacing w:before="27"/>
              <w:ind w:right="46"/>
              <w:rPr>
                <w:b/>
                <w:sz w:val="14"/>
              </w:rPr>
            </w:pPr>
            <w:r>
              <w:rPr>
                <w:b/>
                <w:w w:val="99"/>
                <w:sz w:val="14"/>
              </w:rPr>
              <w:t>4</w:t>
            </w:r>
          </w:p>
        </w:tc>
      </w:tr>
      <w:tr>
        <w:trPr>
          <w:trHeight w:val="225" w:hRule="atLeast"/>
        </w:trPr>
        <w:tc>
          <w:tcPr>
            <w:tcW w:w="1186" w:type="dxa"/>
            <w:tcBorders>
              <w:top w:val="single" w:sz="4" w:space="0" w:color="000000"/>
              <w:bottom w:val="single" w:sz="4" w:space="0" w:color="000000"/>
            </w:tcBorders>
          </w:tcPr>
          <w:p>
            <w:pPr>
              <w:pStyle w:val="TableParagraph"/>
              <w:spacing w:before="22"/>
              <w:ind w:left="67"/>
              <w:jc w:val="left"/>
              <w:rPr>
                <w:sz w:val="14"/>
              </w:rPr>
            </w:pPr>
            <w:r>
              <w:rPr>
                <w:spacing w:val="-2"/>
                <w:sz w:val="14"/>
              </w:rPr>
              <w:t>Redeployed</w:t>
            </w:r>
          </w:p>
        </w:tc>
        <w:tc>
          <w:tcPr>
            <w:tcW w:w="678" w:type="dxa"/>
            <w:tcBorders>
              <w:top w:val="single" w:sz="4" w:space="0" w:color="000000"/>
              <w:bottom w:val="single" w:sz="4" w:space="0" w:color="000000"/>
            </w:tcBorders>
          </w:tcPr>
          <w:p>
            <w:pPr>
              <w:pStyle w:val="TableParagraph"/>
              <w:spacing w:before="22"/>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2"/>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2"/>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2"/>
              <w:ind w:right="191"/>
              <w:rPr>
                <w:sz w:val="14"/>
              </w:rPr>
            </w:pPr>
            <w:r>
              <w:rPr>
                <w:w w:val="99"/>
                <w:sz w:val="14"/>
              </w:rPr>
              <w:t>-</w:t>
            </w:r>
          </w:p>
        </w:tc>
        <w:tc>
          <w:tcPr>
            <w:tcW w:w="581" w:type="dxa"/>
            <w:tcBorders>
              <w:top w:val="single" w:sz="4" w:space="0" w:color="000000"/>
              <w:bottom w:val="single" w:sz="4" w:space="0" w:color="000000"/>
            </w:tcBorders>
          </w:tcPr>
          <w:p>
            <w:pPr>
              <w:pStyle w:val="TableParagraph"/>
              <w:spacing w:before="22"/>
              <w:ind w:left="148"/>
              <w:jc w:val="center"/>
              <w:rPr>
                <w:sz w:val="14"/>
              </w:rPr>
            </w:pPr>
            <w:r>
              <w:rPr>
                <w:w w:val="99"/>
                <w:sz w:val="14"/>
              </w:rPr>
              <w:t>-</w:t>
            </w:r>
          </w:p>
        </w:tc>
        <w:tc>
          <w:tcPr>
            <w:tcW w:w="566" w:type="dxa"/>
            <w:tcBorders>
              <w:top w:val="single" w:sz="4" w:space="0" w:color="000000"/>
              <w:bottom w:val="single" w:sz="4" w:space="0" w:color="000000"/>
            </w:tcBorders>
          </w:tcPr>
          <w:p>
            <w:pPr>
              <w:pStyle w:val="TableParagraph"/>
              <w:spacing w:before="22"/>
              <w:ind w:right="171"/>
              <w:rPr>
                <w:sz w:val="14"/>
              </w:rPr>
            </w:pPr>
            <w:r>
              <w:rPr>
                <w:w w:val="99"/>
                <w:sz w:val="14"/>
              </w:rPr>
              <w:t>-</w:t>
            </w:r>
          </w:p>
        </w:tc>
        <w:tc>
          <w:tcPr>
            <w:tcW w:w="624" w:type="dxa"/>
            <w:tcBorders>
              <w:top w:val="single" w:sz="4" w:space="0" w:color="000000"/>
              <w:bottom w:val="single" w:sz="4" w:space="0" w:color="000000"/>
            </w:tcBorders>
          </w:tcPr>
          <w:p>
            <w:pPr>
              <w:pStyle w:val="TableParagraph"/>
              <w:spacing w:before="22"/>
              <w:ind w:right="199"/>
              <w:rPr>
                <w:sz w:val="14"/>
              </w:rPr>
            </w:pPr>
            <w:r>
              <w:rPr>
                <w:w w:val="99"/>
                <w:sz w:val="14"/>
              </w:rPr>
              <w:t>-</w:t>
            </w:r>
          </w:p>
        </w:tc>
        <w:tc>
          <w:tcPr>
            <w:tcW w:w="735" w:type="dxa"/>
            <w:tcBorders>
              <w:top w:val="single" w:sz="4" w:space="0" w:color="000000"/>
              <w:bottom w:val="single" w:sz="4" w:space="0" w:color="000000"/>
            </w:tcBorders>
          </w:tcPr>
          <w:p>
            <w:pPr>
              <w:pStyle w:val="TableParagraph"/>
              <w:spacing w:before="22"/>
              <w:ind w:right="195"/>
              <w:rPr>
                <w:sz w:val="14"/>
              </w:rPr>
            </w:pPr>
            <w:r>
              <w:rPr>
                <w:w w:val="99"/>
                <w:sz w:val="14"/>
              </w:rPr>
              <w:t>-</w:t>
            </w:r>
          </w:p>
        </w:tc>
        <w:tc>
          <w:tcPr>
            <w:tcW w:w="463" w:type="dxa"/>
            <w:tcBorders>
              <w:top w:val="single" w:sz="4" w:space="0" w:color="000000"/>
              <w:bottom w:val="single" w:sz="4" w:space="0" w:color="000000"/>
            </w:tcBorders>
          </w:tcPr>
          <w:p>
            <w:pPr>
              <w:pStyle w:val="TableParagraph"/>
              <w:spacing w:before="22"/>
              <w:ind w:right="62"/>
              <w:rPr>
                <w:sz w:val="14"/>
              </w:rPr>
            </w:pPr>
            <w:r>
              <w:rPr>
                <w:w w:val="99"/>
                <w:sz w:val="14"/>
              </w:rPr>
              <w:t>-</w:t>
            </w:r>
          </w:p>
        </w:tc>
        <w:tc>
          <w:tcPr>
            <w:tcW w:w="795" w:type="dxa"/>
            <w:tcBorders>
              <w:top w:val="single" w:sz="4" w:space="0" w:color="000000"/>
              <w:bottom w:val="single" w:sz="4" w:space="0" w:color="000000"/>
            </w:tcBorders>
          </w:tcPr>
          <w:p>
            <w:pPr>
              <w:pStyle w:val="TableParagraph"/>
              <w:spacing w:before="22"/>
              <w:ind w:right="122"/>
              <w:rPr>
                <w:i/>
                <w:sz w:val="14"/>
              </w:rPr>
            </w:pPr>
            <w:r>
              <w:rPr>
                <w:i/>
                <w:w w:val="99"/>
                <w:sz w:val="14"/>
              </w:rPr>
              <w:t>-</w:t>
            </w:r>
          </w:p>
        </w:tc>
        <w:tc>
          <w:tcPr>
            <w:tcW w:w="566" w:type="dxa"/>
            <w:tcBorders>
              <w:top w:val="single" w:sz="4" w:space="0" w:color="000000"/>
              <w:bottom w:val="single" w:sz="4" w:space="0" w:color="000000"/>
            </w:tcBorders>
          </w:tcPr>
          <w:p>
            <w:pPr>
              <w:pStyle w:val="TableParagraph"/>
              <w:spacing w:before="22"/>
              <w:ind w:right="93"/>
              <w:rPr>
                <w:sz w:val="14"/>
              </w:rPr>
            </w:pPr>
            <w:r>
              <w:rPr>
                <w:w w:val="99"/>
                <w:sz w:val="14"/>
              </w:rPr>
              <w:t>-</w:t>
            </w:r>
          </w:p>
        </w:tc>
        <w:tc>
          <w:tcPr>
            <w:tcW w:w="576" w:type="dxa"/>
            <w:tcBorders>
              <w:top w:val="single" w:sz="4" w:space="0" w:color="000000"/>
              <w:bottom w:val="single" w:sz="4" w:space="0" w:color="000000"/>
            </w:tcBorders>
          </w:tcPr>
          <w:p>
            <w:pPr>
              <w:pStyle w:val="TableParagraph"/>
              <w:spacing w:before="22"/>
              <w:ind w:right="78"/>
              <w:rPr>
                <w:sz w:val="14"/>
              </w:rPr>
            </w:pPr>
            <w:r>
              <w:rPr>
                <w:w w:val="99"/>
                <w:sz w:val="14"/>
              </w:rPr>
              <w:t>-</w:t>
            </w:r>
          </w:p>
        </w:tc>
        <w:tc>
          <w:tcPr>
            <w:tcW w:w="564" w:type="dxa"/>
            <w:tcBorders>
              <w:top w:val="single" w:sz="4" w:space="0" w:color="000000"/>
              <w:bottom w:val="single" w:sz="4" w:space="0" w:color="000000"/>
            </w:tcBorders>
          </w:tcPr>
          <w:p>
            <w:pPr>
              <w:pStyle w:val="TableParagraph"/>
              <w:spacing w:before="22"/>
              <w:ind w:right="52"/>
              <w:rPr>
                <w:sz w:val="14"/>
              </w:rPr>
            </w:pPr>
            <w:r>
              <w:rPr>
                <w:w w:val="99"/>
                <w:sz w:val="14"/>
              </w:rPr>
              <w:t>-</w:t>
            </w:r>
          </w:p>
        </w:tc>
        <w:tc>
          <w:tcPr>
            <w:tcW w:w="811" w:type="dxa"/>
            <w:tcBorders>
              <w:top w:val="single" w:sz="4" w:space="0" w:color="000000"/>
              <w:bottom w:val="single" w:sz="4" w:space="0" w:color="000000"/>
            </w:tcBorders>
          </w:tcPr>
          <w:p>
            <w:pPr>
              <w:pStyle w:val="TableParagraph"/>
              <w:spacing w:before="22"/>
              <w:ind w:right="123"/>
              <w:rPr>
                <w:i/>
                <w:sz w:val="14"/>
              </w:rPr>
            </w:pPr>
            <w:r>
              <w:rPr>
                <w:i/>
                <w:w w:val="99"/>
                <w:sz w:val="14"/>
              </w:rPr>
              <w:t>-</w:t>
            </w:r>
          </w:p>
        </w:tc>
        <w:tc>
          <w:tcPr>
            <w:tcW w:w="522" w:type="dxa"/>
            <w:tcBorders>
              <w:top w:val="single" w:sz="4" w:space="0" w:color="000000"/>
              <w:bottom w:val="single" w:sz="4" w:space="0" w:color="000000"/>
            </w:tcBorders>
          </w:tcPr>
          <w:p>
            <w:pPr>
              <w:pStyle w:val="TableParagraph"/>
              <w:spacing w:before="22"/>
              <w:ind w:right="45"/>
              <w:rPr>
                <w:b/>
                <w:sz w:val="14"/>
              </w:rPr>
            </w:pPr>
            <w:r>
              <w:rPr>
                <w:b/>
                <w:w w:val="99"/>
                <w:sz w:val="14"/>
              </w:rPr>
              <w:t>-</w:t>
            </w:r>
          </w:p>
        </w:tc>
      </w:tr>
      <w:tr>
        <w:trPr>
          <w:trHeight w:val="230" w:hRule="atLeast"/>
        </w:trPr>
        <w:tc>
          <w:tcPr>
            <w:tcW w:w="1186" w:type="dxa"/>
            <w:tcBorders>
              <w:top w:val="single" w:sz="4" w:space="0" w:color="000000"/>
              <w:bottom w:val="single" w:sz="4" w:space="0" w:color="000000"/>
            </w:tcBorders>
          </w:tcPr>
          <w:p>
            <w:pPr>
              <w:pStyle w:val="TableParagraph"/>
              <w:spacing w:before="27"/>
              <w:ind w:left="67"/>
              <w:jc w:val="left"/>
              <w:rPr>
                <w:sz w:val="14"/>
              </w:rPr>
            </w:pPr>
            <w:r>
              <w:rPr>
                <w:spacing w:val="-2"/>
                <w:sz w:val="14"/>
              </w:rPr>
              <w:t>Reclassified</w:t>
            </w:r>
          </w:p>
        </w:tc>
        <w:tc>
          <w:tcPr>
            <w:tcW w:w="678" w:type="dxa"/>
            <w:tcBorders>
              <w:top w:val="single" w:sz="4" w:space="0" w:color="000000"/>
              <w:bottom w:val="single" w:sz="4" w:space="0" w:color="000000"/>
            </w:tcBorders>
          </w:tcPr>
          <w:p>
            <w:pPr>
              <w:pStyle w:val="TableParagraph"/>
              <w:spacing w:before="27"/>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7"/>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7"/>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7"/>
              <w:ind w:right="191"/>
              <w:rPr>
                <w:sz w:val="14"/>
              </w:rPr>
            </w:pPr>
            <w:r>
              <w:rPr>
                <w:w w:val="99"/>
                <w:sz w:val="14"/>
              </w:rPr>
              <w:t>-</w:t>
            </w:r>
          </w:p>
        </w:tc>
        <w:tc>
          <w:tcPr>
            <w:tcW w:w="581" w:type="dxa"/>
            <w:tcBorders>
              <w:top w:val="single" w:sz="4" w:space="0" w:color="000000"/>
              <w:bottom w:val="single" w:sz="4" w:space="0" w:color="000000"/>
            </w:tcBorders>
          </w:tcPr>
          <w:p>
            <w:pPr>
              <w:pStyle w:val="TableParagraph"/>
              <w:spacing w:before="27"/>
              <w:ind w:left="148"/>
              <w:jc w:val="center"/>
              <w:rPr>
                <w:sz w:val="14"/>
              </w:rPr>
            </w:pPr>
            <w:r>
              <w:rPr>
                <w:w w:val="99"/>
                <w:sz w:val="14"/>
              </w:rPr>
              <w:t>-</w:t>
            </w:r>
          </w:p>
        </w:tc>
        <w:tc>
          <w:tcPr>
            <w:tcW w:w="566" w:type="dxa"/>
            <w:tcBorders>
              <w:top w:val="single" w:sz="4" w:space="0" w:color="000000"/>
              <w:bottom w:val="single" w:sz="4" w:space="0" w:color="000000"/>
            </w:tcBorders>
          </w:tcPr>
          <w:p>
            <w:pPr>
              <w:pStyle w:val="TableParagraph"/>
              <w:spacing w:before="27"/>
              <w:ind w:right="171"/>
              <w:rPr>
                <w:sz w:val="14"/>
              </w:rPr>
            </w:pPr>
            <w:r>
              <w:rPr>
                <w:w w:val="99"/>
                <w:sz w:val="14"/>
              </w:rPr>
              <w:t>-</w:t>
            </w:r>
          </w:p>
        </w:tc>
        <w:tc>
          <w:tcPr>
            <w:tcW w:w="624" w:type="dxa"/>
            <w:tcBorders>
              <w:top w:val="single" w:sz="4" w:space="0" w:color="000000"/>
              <w:bottom w:val="single" w:sz="4" w:space="0" w:color="000000"/>
            </w:tcBorders>
          </w:tcPr>
          <w:p>
            <w:pPr>
              <w:pStyle w:val="TableParagraph"/>
              <w:spacing w:before="27"/>
              <w:ind w:right="199"/>
              <w:rPr>
                <w:sz w:val="14"/>
              </w:rPr>
            </w:pPr>
            <w:r>
              <w:rPr>
                <w:w w:val="99"/>
                <w:sz w:val="14"/>
              </w:rPr>
              <w:t>-</w:t>
            </w:r>
          </w:p>
        </w:tc>
        <w:tc>
          <w:tcPr>
            <w:tcW w:w="735" w:type="dxa"/>
            <w:tcBorders>
              <w:top w:val="single" w:sz="4" w:space="0" w:color="000000"/>
              <w:bottom w:val="single" w:sz="4" w:space="0" w:color="000000"/>
            </w:tcBorders>
          </w:tcPr>
          <w:p>
            <w:pPr>
              <w:pStyle w:val="TableParagraph"/>
              <w:spacing w:before="27"/>
              <w:ind w:right="195"/>
              <w:rPr>
                <w:sz w:val="14"/>
              </w:rPr>
            </w:pPr>
            <w:r>
              <w:rPr>
                <w:w w:val="99"/>
                <w:sz w:val="14"/>
              </w:rPr>
              <w:t>-</w:t>
            </w:r>
          </w:p>
        </w:tc>
        <w:tc>
          <w:tcPr>
            <w:tcW w:w="463" w:type="dxa"/>
            <w:tcBorders>
              <w:top w:val="single" w:sz="4" w:space="0" w:color="000000"/>
              <w:bottom w:val="single" w:sz="4" w:space="0" w:color="000000"/>
            </w:tcBorders>
          </w:tcPr>
          <w:p>
            <w:pPr>
              <w:pStyle w:val="TableParagraph"/>
              <w:spacing w:before="27"/>
              <w:ind w:right="62"/>
              <w:rPr>
                <w:sz w:val="14"/>
              </w:rPr>
            </w:pPr>
            <w:r>
              <w:rPr>
                <w:w w:val="99"/>
                <w:sz w:val="14"/>
              </w:rPr>
              <w:t>-</w:t>
            </w:r>
          </w:p>
        </w:tc>
        <w:tc>
          <w:tcPr>
            <w:tcW w:w="795" w:type="dxa"/>
            <w:tcBorders>
              <w:top w:val="single" w:sz="4" w:space="0" w:color="000000"/>
              <w:bottom w:val="single" w:sz="4" w:space="0" w:color="000000"/>
            </w:tcBorders>
          </w:tcPr>
          <w:p>
            <w:pPr>
              <w:pStyle w:val="TableParagraph"/>
              <w:spacing w:before="27"/>
              <w:ind w:right="122"/>
              <w:rPr>
                <w:i/>
                <w:sz w:val="14"/>
              </w:rPr>
            </w:pPr>
            <w:r>
              <w:rPr>
                <w:i/>
                <w:w w:val="99"/>
                <w:sz w:val="14"/>
              </w:rPr>
              <w:t>-</w:t>
            </w:r>
          </w:p>
        </w:tc>
        <w:tc>
          <w:tcPr>
            <w:tcW w:w="566" w:type="dxa"/>
            <w:tcBorders>
              <w:top w:val="single" w:sz="4" w:space="0" w:color="000000"/>
              <w:bottom w:val="single" w:sz="4" w:space="0" w:color="000000"/>
            </w:tcBorders>
          </w:tcPr>
          <w:p>
            <w:pPr>
              <w:pStyle w:val="TableParagraph"/>
              <w:spacing w:before="27"/>
              <w:ind w:right="93"/>
              <w:rPr>
                <w:sz w:val="14"/>
              </w:rPr>
            </w:pPr>
            <w:r>
              <w:rPr>
                <w:w w:val="99"/>
                <w:sz w:val="14"/>
              </w:rPr>
              <w:t>-</w:t>
            </w:r>
          </w:p>
        </w:tc>
        <w:tc>
          <w:tcPr>
            <w:tcW w:w="576" w:type="dxa"/>
            <w:tcBorders>
              <w:top w:val="single" w:sz="4" w:space="0" w:color="000000"/>
              <w:bottom w:val="single" w:sz="4" w:space="0" w:color="000000"/>
            </w:tcBorders>
          </w:tcPr>
          <w:p>
            <w:pPr>
              <w:pStyle w:val="TableParagraph"/>
              <w:spacing w:before="27"/>
              <w:ind w:right="78"/>
              <w:rPr>
                <w:sz w:val="14"/>
              </w:rPr>
            </w:pPr>
            <w:r>
              <w:rPr>
                <w:w w:val="99"/>
                <w:sz w:val="14"/>
              </w:rPr>
              <w:t>-</w:t>
            </w:r>
          </w:p>
        </w:tc>
        <w:tc>
          <w:tcPr>
            <w:tcW w:w="564" w:type="dxa"/>
            <w:tcBorders>
              <w:top w:val="single" w:sz="4" w:space="0" w:color="000000"/>
              <w:bottom w:val="single" w:sz="4" w:space="0" w:color="000000"/>
            </w:tcBorders>
          </w:tcPr>
          <w:p>
            <w:pPr>
              <w:pStyle w:val="TableParagraph"/>
              <w:spacing w:before="27"/>
              <w:ind w:right="52"/>
              <w:rPr>
                <w:sz w:val="14"/>
              </w:rPr>
            </w:pPr>
            <w:r>
              <w:rPr>
                <w:w w:val="99"/>
                <w:sz w:val="14"/>
              </w:rPr>
              <w:t>-</w:t>
            </w:r>
          </w:p>
        </w:tc>
        <w:tc>
          <w:tcPr>
            <w:tcW w:w="811" w:type="dxa"/>
            <w:tcBorders>
              <w:top w:val="single" w:sz="4" w:space="0" w:color="000000"/>
              <w:bottom w:val="single" w:sz="4" w:space="0" w:color="000000"/>
            </w:tcBorders>
          </w:tcPr>
          <w:p>
            <w:pPr>
              <w:pStyle w:val="TableParagraph"/>
              <w:spacing w:before="27"/>
              <w:ind w:right="123"/>
              <w:rPr>
                <w:i/>
                <w:sz w:val="14"/>
              </w:rPr>
            </w:pPr>
            <w:r>
              <w:rPr>
                <w:i/>
                <w:w w:val="99"/>
                <w:sz w:val="14"/>
              </w:rPr>
              <w:t>-</w:t>
            </w:r>
          </w:p>
        </w:tc>
        <w:tc>
          <w:tcPr>
            <w:tcW w:w="522" w:type="dxa"/>
            <w:tcBorders>
              <w:top w:val="single" w:sz="4" w:space="0" w:color="000000"/>
              <w:bottom w:val="single" w:sz="4" w:space="0" w:color="000000"/>
            </w:tcBorders>
          </w:tcPr>
          <w:p>
            <w:pPr>
              <w:pStyle w:val="TableParagraph"/>
              <w:spacing w:before="27"/>
              <w:ind w:right="45"/>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2"/>
              <w:ind w:left="67"/>
              <w:jc w:val="left"/>
              <w:rPr>
                <w:sz w:val="14"/>
              </w:rPr>
            </w:pPr>
            <w:r>
              <w:rPr>
                <w:spacing w:val="-2"/>
                <w:sz w:val="14"/>
              </w:rPr>
              <w:t>Returned</w:t>
            </w:r>
          </w:p>
        </w:tc>
        <w:tc>
          <w:tcPr>
            <w:tcW w:w="678" w:type="dxa"/>
            <w:tcBorders>
              <w:top w:val="single" w:sz="4" w:space="0" w:color="000000"/>
              <w:bottom w:val="single" w:sz="4" w:space="0" w:color="000000"/>
            </w:tcBorders>
          </w:tcPr>
          <w:p>
            <w:pPr>
              <w:pStyle w:val="TableParagraph"/>
              <w:spacing w:before="22"/>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2"/>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2"/>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2"/>
              <w:ind w:right="191"/>
              <w:rPr>
                <w:sz w:val="14"/>
              </w:rPr>
            </w:pPr>
            <w:r>
              <w:rPr>
                <w:w w:val="99"/>
                <w:sz w:val="14"/>
              </w:rPr>
              <w:t>-</w:t>
            </w:r>
          </w:p>
        </w:tc>
        <w:tc>
          <w:tcPr>
            <w:tcW w:w="581" w:type="dxa"/>
            <w:tcBorders>
              <w:top w:val="single" w:sz="4" w:space="0" w:color="000000"/>
              <w:bottom w:val="single" w:sz="4" w:space="0" w:color="000000"/>
            </w:tcBorders>
          </w:tcPr>
          <w:p>
            <w:pPr>
              <w:pStyle w:val="TableParagraph"/>
              <w:spacing w:before="22"/>
              <w:ind w:left="148"/>
              <w:jc w:val="center"/>
              <w:rPr>
                <w:sz w:val="14"/>
              </w:rPr>
            </w:pPr>
            <w:r>
              <w:rPr>
                <w:w w:val="99"/>
                <w:sz w:val="14"/>
              </w:rPr>
              <w:t>-</w:t>
            </w:r>
          </w:p>
        </w:tc>
        <w:tc>
          <w:tcPr>
            <w:tcW w:w="566" w:type="dxa"/>
            <w:tcBorders>
              <w:top w:val="single" w:sz="4" w:space="0" w:color="000000"/>
              <w:bottom w:val="single" w:sz="4" w:space="0" w:color="000000"/>
            </w:tcBorders>
          </w:tcPr>
          <w:p>
            <w:pPr>
              <w:pStyle w:val="TableParagraph"/>
              <w:spacing w:before="22"/>
              <w:ind w:right="171"/>
              <w:rPr>
                <w:sz w:val="14"/>
              </w:rPr>
            </w:pPr>
            <w:r>
              <w:rPr>
                <w:w w:val="99"/>
                <w:sz w:val="14"/>
              </w:rPr>
              <w:t>-</w:t>
            </w:r>
          </w:p>
        </w:tc>
        <w:tc>
          <w:tcPr>
            <w:tcW w:w="624" w:type="dxa"/>
            <w:tcBorders>
              <w:top w:val="single" w:sz="4" w:space="0" w:color="000000"/>
              <w:bottom w:val="single" w:sz="4" w:space="0" w:color="000000"/>
            </w:tcBorders>
          </w:tcPr>
          <w:p>
            <w:pPr>
              <w:pStyle w:val="TableParagraph"/>
              <w:spacing w:before="22"/>
              <w:ind w:right="199"/>
              <w:rPr>
                <w:sz w:val="14"/>
              </w:rPr>
            </w:pPr>
            <w:r>
              <w:rPr>
                <w:w w:val="99"/>
                <w:sz w:val="14"/>
              </w:rPr>
              <w:t>-</w:t>
            </w:r>
          </w:p>
        </w:tc>
        <w:tc>
          <w:tcPr>
            <w:tcW w:w="735" w:type="dxa"/>
            <w:tcBorders>
              <w:top w:val="single" w:sz="4" w:space="0" w:color="000000"/>
              <w:bottom w:val="single" w:sz="4" w:space="0" w:color="000000"/>
            </w:tcBorders>
          </w:tcPr>
          <w:p>
            <w:pPr>
              <w:pStyle w:val="TableParagraph"/>
              <w:spacing w:before="22"/>
              <w:ind w:right="195"/>
              <w:rPr>
                <w:sz w:val="14"/>
              </w:rPr>
            </w:pPr>
            <w:r>
              <w:rPr>
                <w:w w:val="99"/>
                <w:sz w:val="14"/>
              </w:rPr>
              <w:t>-</w:t>
            </w:r>
          </w:p>
        </w:tc>
        <w:tc>
          <w:tcPr>
            <w:tcW w:w="463" w:type="dxa"/>
            <w:tcBorders>
              <w:top w:val="single" w:sz="4" w:space="0" w:color="000000"/>
              <w:bottom w:val="single" w:sz="4" w:space="0" w:color="000000"/>
            </w:tcBorders>
          </w:tcPr>
          <w:p>
            <w:pPr>
              <w:pStyle w:val="TableParagraph"/>
              <w:spacing w:before="22"/>
              <w:ind w:right="62"/>
              <w:rPr>
                <w:sz w:val="14"/>
              </w:rPr>
            </w:pPr>
            <w:r>
              <w:rPr>
                <w:w w:val="99"/>
                <w:sz w:val="14"/>
              </w:rPr>
              <w:t>-</w:t>
            </w:r>
          </w:p>
        </w:tc>
        <w:tc>
          <w:tcPr>
            <w:tcW w:w="795" w:type="dxa"/>
            <w:tcBorders>
              <w:top w:val="single" w:sz="4" w:space="0" w:color="000000"/>
              <w:bottom w:val="single" w:sz="4" w:space="0" w:color="000000"/>
            </w:tcBorders>
          </w:tcPr>
          <w:p>
            <w:pPr>
              <w:pStyle w:val="TableParagraph"/>
              <w:spacing w:before="22"/>
              <w:ind w:right="122"/>
              <w:rPr>
                <w:i/>
                <w:sz w:val="14"/>
              </w:rPr>
            </w:pPr>
            <w:r>
              <w:rPr>
                <w:i/>
                <w:w w:val="99"/>
                <w:sz w:val="14"/>
              </w:rPr>
              <w:t>-</w:t>
            </w:r>
          </w:p>
        </w:tc>
        <w:tc>
          <w:tcPr>
            <w:tcW w:w="566" w:type="dxa"/>
            <w:tcBorders>
              <w:top w:val="single" w:sz="4" w:space="0" w:color="000000"/>
              <w:bottom w:val="single" w:sz="4" w:space="0" w:color="000000"/>
            </w:tcBorders>
          </w:tcPr>
          <w:p>
            <w:pPr>
              <w:pStyle w:val="TableParagraph"/>
              <w:spacing w:before="22"/>
              <w:ind w:right="93"/>
              <w:rPr>
                <w:sz w:val="14"/>
              </w:rPr>
            </w:pPr>
            <w:r>
              <w:rPr>
                <w:w w:val="99"/>
                <w:sz w:val="14"/>
              </w:rPr>
              <w:t>-</w:t>
            </w:r>
          </w:p>
        </w:tc>
        <w:tc>
          <w:tcPr>
            <w:tcW w:w="576" w:type="dxa"/>
            <w:tcBorders>
              <w:top w:val="single" w:sz="4" w:space="0" w:color="000000"/>
              <w:bottom w:val="single" w:sz="4" w:space="0" w:color="000000"/>
            </w:tcBorders>
          </w:tcPr>
          <w:p>
            <w:pPr>
              <w:pStyle w:val="TableParagraph"/>
              <w:spacing w:before="22"/>
              <w:ind w:right="78"/>
              <w:rPr>
                <w:sz w:val="14"/>
              </w:rPr>
            </w:pPr>
            <w:r>
              <w:rPr>
                <w:w w:val="99"/>
                <w:sz w:val="14"/>
              </w:rPr>
              <w:t>-</w:t>
            </w:r>
          </w:p>
        </w:tc>
        <w:tc>
          <w:tcPr>
            <w:tcW w:w="564" w:type="dxa"/>
            <w:tcBorders>
              <w:top w:val="single" w:sz="4" w:space="0" w:color="000000"/>
              <w:bottom w:val="single" w:sz="4" w:space="0" w:color="000000"/>
            </w:tcBorders>
          </w:tcPr>
          <w:p>
            <w:pPr>
              <w:pStyle w:val="TableParagraph"/>
              <w:spacing w:before="22"/>
              <w:ind w:right="52"/>
              <w:rPr>
                <w:sz w:val="14"/>
              </w:rPr>
            </w:pPr>
            <w:r>
              <w:rPr>
                <w:w w:val="99"/>
                <w:sz w:val="14"/>
              </w:rPr>
              <w:t>-</w:t>
            </w:r>
          </w:p>
        </w:tc>
        <w:tc>
          <w:tcPr>
            <w:tcW w:w="811" w:type="dxa"/>
            <w:tcBorders>
              <w:top w:val="single" w:sz="4" w:space="0" w:color="000000"/>
              <w:bottom w:val="single" w:sz="4" w:space="0" w:color="000000"/>
            </w:tcBorders>
          </w:tcPr>
          <w:p>
            <w:pPr>
              <w:pStyle w:val="TableParagraph"/>
              <w:spacing w:before="22"/>
              <w:ind w:right="123"/>
              <w:rPr>
                <w:i/>
                <w:sz w:val="14"/>
              </w:rPr>
            </w:pPr>
            <w:r>
              <w:rPr>
                <w:i/>
                <w:w w:val="99"/>
                <w:sz w:val="14"/>
              </w:rPr>
              <w:t>-</w:t>
            </w:r>
          </w:p>
        </w:tc>
        <w:tc>
          <w:tcPr>
            <w:tcW w:w="522" w:type="dxa"/>
            <w:tcBorders>
              <w:top w:val="single" w:sz="4" w:space="0" w:color="000000"/>
              <w:bottom w:val="single" w:sz="4" w:space="0" w:color="000000"/>
            </w:tcBorders>
          </w:tcPr>
          <w:p>
            <w:pPr>
              <w:pStyle w:val="TableParagraph"/>
              <w:spacing w:before="22"/>
              <w:ind w:right="45"/>
              <w:rPr>
                <w:b/>
                <w:sz w:val="14"/>
              </w:rPr>
            </w:pPr>
            <w:r>
              <w:rPr>
                <w:b/>
                <w:w w:val="99"/>
                <w:sz w:val="14"/>
              </w:rPr>
              <w:t>-</w:t>
            </w:r>
          </w:p>
        </w:tc>
      </w:tr>
      <w:tr>
        <w:trPr>
          <w:trHeight w:val="224" w:hRule="atLeast"/>
        </w:trPr>
        <w:tc>
          <w:tcPr>
            <w:tcW w:w="1186" w:type="dxa"/>
            <w:tcBorders>
              <w:top w:val="single" w:sz="4" w:space="0" w:color="000000"/>
              <w:bottom w:val="single" w:sz="12" w:space="0" w:color="000000"/>
            </w:tcBorders>
          </w:tcPr>
          <w:p>
            <w:pPr>
              <w:pStyle w:val="TableParagraph"/>
              <w:spacing w:before="22"/>
              <w:ind w:left="67"/>
              <w:jc w:val="left"/>
              <w:rPr>
                <w:b/>
                <w:sz w:val="14"/>
              </w:rPr>
            </w:pPr>
            <w:r>
              <w:rPr>
                <w:b/>
                <w:sz w:val="14"/>
              </w:rPr>
              <w:t>Proposed</w:t>
            </w:r>
            <w:r>
              <w:rPr>
                <w:b/>
                <w:spacing w:val="-6"/>
                <w:sz w:val="14"/>
              </w:rPr>
              <w:t> </w:t>
            </w:r>
            <w:r>
              <w:rPr>
                <w:b/>
                <w:spacing w:val="-4"/>
                <w:sz w:val="14"/>
              </w:rPr>
              <w:t>2023</w:t>
            </w:r>
          </w:p>
        </w:tc>
        <w:tc>
          <w:tcPr>
            <w:tcW w:w="678" w:type="dxa"/>
            <w:tcBorders>
              <w:top w:val="single" w:sz="4" w:space="0" w:color="000000"/>
              <w:bottom w:val="single" w:sz="12" w:space="0" w:color="000000"/>
            </w:tcBorders>
          </w:tcPr>
          <w:p>
            <w:pPr>
              <w:pStyle w:val="TableParagraph"/>
              <w:spacing w:before="22"/>
              <w:ind w:right="154"/>
              <w:rPr>
                <w:b/>
                <w:sz w:val="14"/>
              </w:rPr>
            </w:pPr>
            <w:r>
              <w:rPr>
                <w:b/>
                <w:w w:val="99"/>
                <w:sz w:val="14"/>
              </w:rPr>
              <w:t>-</w:t>
            </w:r>
          </w:p>
        </w:tc>
        <w:tc>
          <w:tcPr>
            <w:tcW w:w="607" w:type="dxa"/>
            <w:tcBorders>
              <w:top w:val="single" w:sz="4" w:space="0" w:color="000000"/>
              <w:bottom w:val="single" w:sz="12" w:space="0" w:color="000000"/>
            </w:tcBorders>
          </w:tcPr>
          <w:p>
            <w:pPr>
              <w:pStyle w:val="TableParagraph"/>
              <w:spacing w:before="22"/>
              <w:ind w:right="170"/>
              <w:rPr>
                <w:b/>
                <w:sz w:val="14"/>
              </w:rPr>
            </w:pPr>
            <w:r>
              <w:rPr>
                <w:b/>
                <w:w w:val="99"/>
                <w:sz w:val="14"/>
              </w:rPr>
              <w:t>-</w:t>
            </w:r>
          </w:p>
        </w:tc>
        <w:tc>
          <w:tcPr>
            <w:tcW w:w="563" w:type="dxa"/>
            <w:tcBorders>
              <w:top w:val="single" w:sz="4" w:space="0" w:color="000000"/>
              <w:bottom w:val="single" w:sz="12" w:space="0" w:color="000000"/>
            </w:tcBorders>
          </w:tcPr>
          <w:p>
            <w:pPr>
              <w:pStyle w:val="TableParagraph"/>
              <w:spacing w:before="22"/>
              <w:ind w:right="171"/>
              <w:rPr>
                <w:b/>
                <w:sz w:val="14"/>
              </w:rPr>
            </w:pPr>
            <w:r>
              <w:rPr>
                <w:b/>
                <w:w w:val="99"/>
                <w:sz w:val="14"/>
              </w:rPr>
              <w:t>-</w:t>
            </w:r>
          </w:p>
        </w:tc>
        <w:tc>
          <w:tcPr>
            <w:tcW w:w="581" w:type="dxa"/>
            <w:tcBorders>
              <w:top w:val="single" w:sz="4" w:space="0" w:color="000000"/>
              <w:bottom w:val="single" w:sz="12" w:space="0" w:color="000000"/>
            </w:tcBorders>
          </w:tcPr>
          <w:p>
            <w:pPr>
              <w:pStyle w:val="TableParagraph"/>
              <w:spacing w:before="22"/>
              <w:ind w:right="192"/>
              <w:rPr>
                <w:b/>
                <w:sz w:val="14"/>
              </w:rPr>
            </w:pPr>
            <w:r>
              <w:rPr>
                <w:b/>
                <w:w w:val="99"/>
                <w:sz w:val="14"/>
              </w:rPr>
              <w:t>1</w:t>
            </w:r>
          </w:p>
        </w:tc>
        <w:tc>
          <w:tcPr>
            <w:tcW w:w="581" w:type="dxa"/>
            <w:tcBorders>
              <w:top w:val="single" w:sz="4" w:space="0" w:color="000000"/>
              <w:bottom w:val="single" w:sz="12" w:space="0" w:color="000000"/>
            </w:tcBorders>
          </w:tcPr>
          <w:p>
            <w:pPr>
              <w:pStyle w:val="TableParagraph"/>
              <w:spacing w:before="22"/>
              <w:ind w:left="124"/>
              <w:jc w:val="center"/>
              <w:rPr>
                <w:b/>
                <w:sz w:val="14"/>
              </w:rPr>
            </w:pPr>
            <w:r>
              <w:rPr>
                <w:b/>
                <w:w w:val="99"/>
                <w:sz w:val="14"/>
              </w:rPr>
              <w:t>5</w:t>
            </w:r>
          </w:p>
        </w:tc>
        <w:tc>
          <w:tcPr>
            <w:tcW w:w="566" w:type="dxa"/>
            <w:tcBorders>
              <w:top w:val="single" w:sz="4" w:space="0" w:color="000000"/>
              <w:bottom w:val="single" w:sz="12" w:space="0" w:color="000000"/>
            </w:tcBorders>
          </w:tcPr>
          <w:p>
            <w:pPr>
              <w:pStyle w:val="TableParagraph"/>
              <w:spacing w:before="22"/>
              <w:ind w:right="172"/>
              <w:rPr>
                <w:b/>
                <w:sz w:val="14"/>
              </w:rPr>
            </w:pPr>
            <w:r>
              <w:rPr>
                <w:b/>
                <w:w w:val="99"/>
                <w:sz w:val="14"/>
              </w:rPr>
              <w:t>9</w:t>
            </w:r>
          </w:p>
        </w:tc>
        <w:tc>
          <w:tcPr>
            <w:tcW w:w="624" w:type="dxa"/>
            <w:tcBorders>
              <w:top w:val="single" w:sz="4" w:space="0" w:color="000000"/>
              <w:bottom w:val="single" w:sz="12" w:space="0" w:color="000000"/>
            </w:tcBorders>
          </w:tcPr>
          <w:p>
            <w:pPr>
              <w:pStyle w:val="TableParagraph"/>
              <w:spacing w:before="22"/>
              <w:ind w:right="193"/>
              <w:rPr>
                <w:b/>
                <w:sz w:val="14"/>
              </w:rPr>
            </w:pPr>
            <w:r>
              <w:rPr>
                <w:b/>
                <w:spacing w:val="-5"/>
                <w:sz w:val="14"/>
              </w:rPr>
              <w:t>12</w:t>
            </w:r>
          </w:p>
        </w:tc>
        <w:tc>
          <w:tcPr>
            <w:tcW w:w="735" w:type="dxa"/>
            <w:tcBorders>
              <w:top w:val="single" w:sz="4" w:space="0" w:color="000000"/>
              <w:bottom w:val="single" w:sz="12" w:space="0" w:color="000000"/>
            </w:tcBorders>
          </w:tcPr>
          <w:p>
            <w:pPr>
              <w:pStyle w:val="TableParagraph"/>
              <w:spacing w:before="22"/>
              <w:ind w:right="195"/>
              <w:rPr>
                <w:b/>
                <w:sz w:val="14"/>
              </w:rPr>
            </w:pPr>
            <w:r>
              <w:rPr>
                <w:b/>
                <w:w w:val="99"/>
                <w:sz w:val="14"/>
              </w:rPr>
              <w:t>8</w:t>
            </w:r>
          </w:p>
        </w:tc>
        <w:tc>
          <w:tcPr>
            <w:tcW w:w="463" w:type="dxa"/>
            <w:tcBorders>
              <w:top w:val="single" w:sz="4" w:space="0" w:color="000000"/>
              <w:bottom w:val="single" w:sz="12" w:space="0" w:color="000000"/>
            </w:tcBorders>
          </w:tcPr>
          <w:p>
            <w:pPr>
              <w:pStyle w:val="TableParagraph"/>
              <w:spacing w:before="22"/>
              <w:ind w:right="62"/>
              <w:rPr>
                <w:b/>
                <w:sz w:val="14"/>
              </w:rPr>
            </w:pPr>
            <w:r>
              <w:rPr>
                <w:b/>
                <w:w w:val="99"/>
                <w:sz w:val="14"/>
              </w:rPr>
              <w:t>-</w:t>
            </w:r>
          </w:p>
        </w:tc>
        <w:tc>
          <w:tcPr>
            <w:tcW w:w="795" w:type="dxa"/>
            <w:tcBorders>
              <w:top w:val="single" w:sz="4" w:space="0" w:color="000000"/>
              <w:bottom w:val="single" w:sz="12" w:space="0" w:color="000000"/>
            </w:tcBorders>
          </w:tcPr>
          <w:p>
            <w:pPr>
              <w:pStyle w:val="TableParagraph"/>
              <w:spacing w:before="22"/>
              <w:ind w:right="116"/>
              <w:rPr>
                <w:b/>
                <w:i/>
                <w:sz w:val="14"/>
              </w:rPr>
            </w:pPr>
            <w:r>
              <w:rPr>
                <w:b/>
                <w:i/>
                <w:spacing w:val="-5"/>
                <w:sz w:val="14"/>
              </w:rPr>
              <w:t>35</w:t>
            </w:r>
          </w:p>
        </w:tc>
        <w:tc>
          <w:tcPr>
            <w:tcW w:w="566" w:type="dxa"/>
            <w:tcBorders>
              <w:top w:val="single" w:sz="4" w:space="0" w:color="000000"/>
              <w:bottom w:val="single" w:sz="12" w:space="0" w:color="000000"/>
            </w:tcBorders>
          </w:tcPr>
          <w:p>
            <w:pPr>
              <w:pStyle w:val="TableParagraph"/>
              <w:spacing w:before="22"/>
              <w:ind w:right="93"/>
              <w:rPr>
                <w:b/>
                <w:sz w:val="14"/>
              </w:rPr>
            </w:pPr>
            <w:r>
              <w:rPr>
                <w:b/>
                <w:w w:val="99"/>
                <w:sz w:val="14"/>
              </w:rPr>
              <w:t>-</w:t>
            </w:r>
          </w:p>
        </w:tc>
        <w:tc>
          <w:tcPr>
            <w:tcW w:w="576" w:type="dxa"/>
            <w:tcBorders>
              <w:top w:val="single" w:sz="4" w:space="0" w:color="000000"/>
              <w:bottom w:val="single" w:sz="12" w:space="0" w:color="000000"/>
            </w:tcBorders>
          </w:tcPr>
          <w:p>
            <w:pPr>
              <w:pStyle w:val="TableParagraph"/>
              <w:spacing w:before="22"/>
              <w:ind w:right="79"/>
              <w:rPr>
                <w:b/>
                <w:sz w:val="14"/>
              </w:rPr>
            </w:pPr>
            <w:r>
              <w:rPr>
                <w:b/>
                <w:w w:val="99"/>
                <w:sz w:val="14"/>
              </w:rPr>
              <w:t>8</w:t>
            </w:r>
          </w:p>
        </w:tc>
        <w:tc>
          <w:tcPr>
            <w:tcW w:w="564" w:type="dxa"/>
            <w:tcBorders>
              <w:top w:val="single" w:sz="4" w:space="0" w:color="000000"/>
              <w:bottom w:val="single" w:sz="12" w:space="0" w:color="000000"/>
            </w:tcBorders>
          </w:tcPr>
          <w:p>
            <w:pPr>
              <w:pStyle w:val="TableParagraph"/>
              <w:spacing w:before="22"/>
              <w:ind w:right="46"/>
              <w:rPr>
                <w:b/>
                <w:sz w:val="14"/>
              </w:rPr>
            </w:pPr>
            <w:r>
              <w:rPr>
                <w:b/>
                <w:spacing w:val="-5"/>
                <w:sz w:val="14"/>
              </w:rPr>
              <w:t>138</w:t>
            </w:r>
          </w:p>
        </w:tc>
        <w:tc>
          <w:tcPr>
            <w:tcW w:w="811" w:type="dxa"/>
            <w:tcBorders>
              <w:top w:val="single" w:sz="4" w:space="0" w:color="000000"/>
              <w:bottom w:val="single" w:sz="12" w:space="0" w:color="000000"/>
            </w:tcBorders>
          </w:tcPr>
          <w:p>
            <w:pPr>
              <w:pStyle w:val="TableParagraph"/>
              <w:spacing w:before="22"/>
              <w:ind w:right="117"/>
              <w:rPr>
                <w:b/>
                <w:i/>
                <w:sz w:val="14"/>
              </w:rPr>
            </w:pPr>
            <w:r>
              <w:rPr>
                <w:b/>
                <w:i/>
                <w:spacing w:val="-5"/>
                <w:sz w:val="14"/>
              </w:rPr>
              <w:t>146</w:t>
            </w:r>
          </w:p>
        </w:tc>
        <w:tc>
          <w:tcPr>
            <w:tcW w:w="522" w:type="dxa"/>
            <w:tcBorders>
              <w:top w:val="single" w:sz="4" w:space="0" w:color="000000"/>
              <w:bottom w:val="single" w:sz="12" w:space="0" w:color="000000"/>
            </w:tcBorders>
          </w:tcPr>
          <w:p>
            <w:pPr>
              <w:pStyle w:val="TableParagraph"/>
              <w:spacing w:before="22"/>
              <w:ind w:right="39"/>
              <w:rPr>
                <w:b/>
                <w:sz w:val="14"/>
              </w:rPr>
            </w:pPr>
            <w:r>
              <w:rPr>
                <w:b/>
                <w:spacing w:val="-5"/>
                <w:sz w:val="14"/>
              </w:rPr>
              <w:t>181</w:t>
            </w:r>
          </w:p>
        </w:tc>
      </w:tr>
      <w:tr>
        <w:trPr>
          <w:trHeight w:val="571" w:hRule="atLeast"/>
        </w:trPr>
        <w:tc>
          <w:tcPr>
            <w:tcW w:w="1186" w:type="dxa"/>
            <w:tcBorders>
              <w:top w:val="single" w:sz="12" w:space="0" w:color="000000"/>
            </w:tcBorders>
          </w:tcPr>
          <w:p>
            <w:pPr>
              <w:pStyle w:val="TableParagraph"/>
              <w:jc w:val="left"/>
              <w:rPr>
                <w:b/>
                <w:sz w:val="19"/>
              </w:rPr>
            </w:pPr>
          </w:p>
          <w:p>
            <w:pPr>
              <w:pStyle w:val="TableParagraph"/>
              <w:spacing w:line="242" w:lineRule="auto"/>
              <w:ind w:left="67" w:right="232"/>
              <w:jc w:val="left"/>
              <w:rPr>
                <w:b/>
                <w:sz w:val="14"/>
              </w:rPr>
            </w:pPr>
            <w:r>
              <w:rPr>
                <w:b/>
                <w:sz w:val="14"/>
              </w:rPr>
              <w:t>GTA</w:t>
            </w:r>
            <w:r>
              <w:rPr>
                <w:b/>
                <w:spacing w:val="-9"/>
                <w:sz w:val="14"/>
              </w:rPr>
              <w:t> </w:t>
            </w:r>
            <w:r>
              <w:rPr>
                <w:b/>
                <w:sz w:val="14"/>
              </w:rPr>
              <w:t>Positions</w:t>
            </w:r>
            <w:r>
              <w:rPr>
                <w:b/>
                <w:spacing w:val="40"/>
                <w:sz w:val="14"/>
              </w:rPr>
              <w:t> </w:t>
            </w:r>
            <w:r>
              <w:rPr>
                <w:b/>
                <w:spacing w:val="-2"/>
                <w:sz w:val="14"/>
              </w:rPr>
              <w:t>(FTE)</w:t>
            </w:r>
          </w:p>
        </w:tc>
        <w:tc>
          <w:tcPr>
            <w:tcW w:w="678" w:type="dxa"/>
            <w:tcBorders>
              <w:top w:val="single" w:sz="12" w:space="0" w:color="000000"/>
            </w:tcBorders>
          </w:tcPr>
          <w:p>
            <w:pPr>
              <w:pStyle w:val="TableParagraph"/>
              <w:jc w:val="left"/>
              <w:rPr>
                <w:sz w:val="14"/>
              </w:rPr>
            </w:pPr>
          </w:p>
        </w:tc>
        <w:tc>
          <w:tcPr>
            <w:tcW w:w="607" w:type="dxa"/>
            <w:tcBorders>
              <w:top w:val="single" w:sz="12" w:space="0" w:color="000000"/>
            </w:tcBorders>
          </w:tcPr>
          <w:p>
            <w:pPr>
              <w:pStyle w:val="TableParagraph"/>
              <w:jc w:val="left"/>
              <w:rPr>
                <w:sz w:val="14"/>
              </w:rPr>
            </w:pPr>
          </w:p>
        </w:tc>
        <w:tc>
          <w:tcPr>
            <w:tcW w:w="563" w:type="dxa"/>
            <w:tcBorders>
              <w:top w:val="single" w:sz="12" w:space="0" w:color="000000"/>
            </w:tcBorders>
          </w:tcPr>
          <w:p>
            <w:pPr>
              <w:pStyle w:val="TableParagraph"/>
              <w:jc w:val="left"/>
              <w:rPr>
                <w:sz w:val="14"/>
              </w:rPr>
            </w:pPr>
          </w:p>
        </w:tc>
        <w:tc>
          <w:tcPr>
            <w:tcW w:w="581" w:type="dxa"/>
            <w:tcBorders>
              <w:top w:val="single" w:sz="12" w:space="0" w:color="000000"/>
            </w:tcBorders>
          </w:tcPr>
          <w:p>
            <w:pPr>
              <w:pStyle w:val="TableParagraph"/>
              <w:jc w:val="left"/>
              <w:rPr>
                <w:sz w:val="14"/>
              </w:rPr>
            </w:pPr>
          </w:p>
        </w:tc>
        <w:tc>
          <w:tcPr>
            <w:tcW w:w="581" w:type="dxa"/>
            <w:tcBorders>
              <w:top w:val="single" w:sz="12" w:space="0" w:color="000000"/>
            </w:tcBorders>
          </w:tcPr>
          <w:p>
            <w:pPr>
              <w:pStyle w:val="TableParagraph"/>
              <w:jc w:val="left"/>
              <w:rPr>
                <w:sz w:val="14"/>
              </w:rPr>
            </w:pPr>
          </w:p>
        </w:tc>
        <w:tc>
          <w:tcPr>
            <w:tcW w:w="566" w:type="dxa"/>
            <w:tcBorders>
              <w:top w:val="single" w:sz="12" w:space="0" w:color="000000"/>
            </w:tcBorders>
          </w:tcPr>
          <w:p>
            <w:pPr>
              <w:pStyle w:val="TableParagraph"/>
              <w:jc w:val="left"/>
              <w:rPr>
                <w:sz w:val="14"/>
              </w:rPr>
            </w:pPr>
          </w:p>
        </w:tc>
        <w:tc>
          <w:tcPr>
            <w:tcW w:w="624" w:type="dxa"/>
            <w:tcBorders>
              <w:top w:val="single" w:sz="12" w:space="0" w:color="000000"/>
            </w:tcBorders>
          </w:tcPr>
          <w:p>
            <w:pPr>
              <w:pStyle w:val="TableParagraph"/>
              <w:jc w:val="left"/>
              <w:rPr>
                <w:sz w:val="14"/>
              </w:rPr>
            </w:pPr>
          </w:p>
        </w:tc>
        <w:tc>
          <w:tcPr>
            <w:tcW w:w="735" w:type="dxa"/>
            <w:tcBorders>
              <w:top w:val="single" w:sz="12" w:space="0" w:color="000000"/>
            </w:tcBorders>
          </w:tcPr>
          <w:p>
            <w:pPr>
              <w:pStyle w:val="TableParagraph"/>
              <w:jc w:val="left"/>
              <w:rPr>
                <w:sz w:val="14"/>
              </w:rPr>
            </w:pPr>
          </w:p>
        </w:tc>
        <w:tc>
          <w:tcPr>
            <w:tcW w:w="463" w:type="dxa"/>
            <w:tcBorders>
              <w:top w:val="single" w:sz="12" w:space="0" w:color="000000"/>
            </w:tcBorders>
          </w:tcPr>
          <w:p>
            <w:pPr>
              <w:pStyle w:val="TableParagraph"/>
              <w:jc w:val="left"/>
              <w:rPr>
                <w:sz w:val="14"/>
              </w:rPr>
            </w:pPr>
          </w:p>
        </w:tc>
        <w:tc>
          <w:tcPr>
            <w:tcW w:w="795" w:type="dxa"/>
            <w:tcBorders>
              <w:top w:val="single" w:sz="12" w:space="0" w:color="000000"/>
            </w:tcBorders>
          </w:tcPr>
          <w:p>
            <w:pPr>
              <w:pStyle w:val="TableParagraph"/>
              <w:jc w:val="left"/>
              <w:rPr>
                <w:sz w:val="14"/>
              </w:rPr>
            </w:pPr>
          </w:p>
        </w:tc>
        <w:tc>
          <w:tcPr>
            <w:tcW w:w="566" w:type="dxa"/>
            <w:tcBorders>
              <w:top w:val="single" w:sz="12" w:space="0" w:color="000000"/>
            </w:tcBorders>
          </w:tcPr>
          <w:p>
            <w:pPr>
              <w:pStyle w:val="TableParagraph"/>
              <w:jc w:val="left"/>
              <w:rPr>
                <w:sz w:val="14"/>
              </w:rPr>
            </w:pPr>
          </w:p>
        </w:tc>
        <w:tc>
          <w:tcPr>
            <w:tcW w:w="576" w:type="dxa"/>
            <w:tcBorders>
              <w:top w:val="single" w:sz="12" w:space="0" w:color="000000"/>
            </w:tcBorders>
          </w:tcPr>
          <w:p>
            <w:pPr>
              <w:pStyle w:val="TableParagraph"/>
              <w:jc w:val="left"/>
              <w:rPr>
                <w:sz w:val="14"/>
              </w:rPr>
            </w:pPr>
          </w:p>
        </w:tc>
        <w:tc>
          <w:tcPr>
            <w:tcW w:w="564" w:type="dxa"/>
            <w:tcBorders>
              <w:top w:val="single" w:sz="12" w:space="0" w:color="000000"/>
            </w:tcBorders>
          </w:tcPr>
          <w:p>
            <w:pPr>
              <w:pStyle w:val="TableParagraph"/>
              <w:jc w:val="left"/>
              <w:rPr>
                <w:sz w:val="14"/>
              </w:rPr>
            </w:pPr>
          </w:p>
        </w:tc>
        <w:tc>
          <w:tcPr>
            <w:tcW w:w="811" w:type="dxa"/>
            <w:tcBorders>
              <w:top w:val="single" w:sz="12" w:space="0" w:color="000000"/>
            </w:tcBorders>
          </w:tcPr>
          <w:p>
            <w:pPr>
              <w:pStyle w:val="TableParagraph"/>
              <w:jc w:val="left"/>
              <w:rPr>
                <w:sz w:val="14"/>
              </w:rPr>
            </w:pPr>
          </w:p>
        </w:tc>
        <w:tc>
          <w:tcPr>
            <w:tcW w:w="522" w:type="dxa"/>
            <w:tcBorders>
              <w:top w:val="single" w:sz="12" w:space="0" w:color="000000"/>
            </w:tcBorders>
          </w:tcPr>
          <w:p>
            <w:pPr>
              <w:pStyle w:val="TableParagraph"/>
              <w:jc w:val="left"/>
              <w:rPr>
                <w:sz w:val="14"/>
              </w:rPr>
            </w:pPr>
          </w:p>
        </w:tc>
      </w:tr>
      <w:tr>
        <w:trPr>
          <w:trHeight w:val="205" w:hRule="atLeast"/>
        </w:trPr>
        <w:tc>
          <w:tcPr>
            <w:tcW w:w="1186" w:type="dxa"/>
            <w:tcBorders>
              <w:bottom w:val="single" w:sz="12" w:space="0" w:color="000000"/>
            </w:tcBorders>
          </w:tcPr>
          <w:p>
            <w:pPr>
              <w:pStyle w:val="TableParagraph"/>
              <w:spacing w:before="2"/>
              <w:ind w:left="67"/>
              <w:jc w:val="left"/>
              <w:rPr>
                <w:sz w:val="14"/>
              </w:rPr>
            </w:pPr>
            <w:r>
              <w:rPr>
                <w:w w:val="95"/>
                <w:sz w:val="14"/>
              </w:rPr>
              <w:t>Approved</w:t>
            </w:r>
            <w:r>
              <w:rPr>
                <w:spacing w:val="22"/>
                <w:sz w:val="14"/>
              </w:rPr>
              <w:t> </w:t>
            </w:r>
            <w:r>
              <w:rPr>
                <w:spacing w:val="-4"/>
                <w:sz w:val="14"/>
              </w:rPr>
              <w:t>2022</w:t>
            </w:r>
          </w:p>
        </w:tc>
        <w:tc>
          <w:tcPr>
            <w:tcW w:w="678" w:type="dxa"/>
            <w:tcBorders>
              <w:bottom w:val="single" w:sz="12" w:space="0" w:color="000000"/>
            </w:tcBorders>
          </w:tcPr>
          <w:p>
            <w:pPr>
              <w:pStyle w:val="TableParagraph"/>
              <w:spacing w:before="2"/>
              <w:ind w:right="154"/>
              <w:rPr>
                <w:sz w:val="14"/>
              </w:rPr>
            </w:pPr>
            <w:r>
              <w:rPr>
                <w:w w:val="99"/>
                <w:sz w:val="14"/>
              </w:rPr>
              <w:t>-</w:t>
            </w:r>
          </w:p>
        </w:tc>
        <w:tc>
          <w:tcPr>
            <w:tcW w:w="607" w:type="dxa"/>
            <w:tcBorders>
              <w:bottom w:val="single" w:sz="12" w:space="0" w:color="000000"/>
            </w:tcBorders>
          </w:tcPr>
          <w:p>
            <w:pPr>
              <w:pStyle w:val="TableParagraph"/>
              <w:spacing w:before="2"/>
              <w:ind w:right="170"/>
              <w:rPr>
                <w:sz w:val="14"/>
              </w:rPr>
            </w:pPr>
            <w:r>
              <w:rPr>
                <w:w w:val="99"/>
                <w:sz w:val="14"/>
              </w:rPr>
              <w:t>-</w:t>
            </w:r>
          </w:p>
        </w:tc>
        <w:tc>
          <w:tcPr>
            <w:tcW w:w="563" w:type="dxa"/>
            <w:tcBorders>
              <w:bottom w:val="single" w:sz="12" w:space="0" w:color="000000"/>
            </w:tcBorders>
          </w:tcPr>
          <w:p>
            <w:pPr>
              <w:pStyle w:val="TableParagraph"/>
              <w:spacing w:before="2"/>
              <w:ind w:right="171"/>
              <w:rPr>
                <w:sz w:val="14"/>
              </w:rPr>
            </w:pPr>
            <w:r>
              <w:rPr>
                <w:w w:val="99"/>
                <w:sz w:val="14"/>
              </w:rPr>
              <w:t>-</w:t>
            </w:r>
          </w:p>
        </w:tc>
        <w:tc>
          <w:tcPr>
            <w:tcW w:w="581" w:type="dxa"/>
            <w:tcBorders>
              <w:bottom w:val="single" w:sz="12" w:space="0" w:color="000000"/>
            </w:tcBorders>
          </w:tcPr>
          <w:p>
            <w:pPr>
              <w:pStyle w:val="TableParagraph"/>
              <w:spacing w:before="2"/>
              <w:ind w:right="191"/>
              <w:rPr>
                <w:sz w:val="14"/>
              </w:rPr>
            </w:pPr>
            <w:r>
              <w:rPr>
                <w:w w:val="99"/>
                <w:sz w:val="14"/>
              </w:rPr>
              <w:t>-</w:t>
            </w:r>
          </w:p>
        </w:tc>
        <w:tc>
          <w:tcPr>
            <w:tcW w:w="581" w:type="dxa"/>
            <w:tcBorders>
              <w:bottom w:val="single" w:sz="12" w:space="0" w:color="000000"/>
            </w:tcBorders>
          </w:tcPr>
          <w:p>
            <w:pPr>
              <w:pStyle w:val="TableParagraph"/>
              <w:spacing w:before="2"/>
              <w:ind w:left="148"/>
              <w:jc w:val="center"/>
              <w:rPr>
                <w:sz w:val="14"/>
              </w:rPr>
            </w:pPr>
            <w:r>
              <w:rPr>
                <w:w w:val="99"/>
                <w:sz w:val="14"/>
              </w:rPr>
              <w:t>-</w:t>
            </w:r>
          </w:p>
        </w:tc>
        <w:tc>
          <w:tcPr>
            <w:tcW w:w="566" w:type="dxa"/>
            <w:tcBorders>
              <w:bottom w:val="single" w:sz="12" w:space="0" w:color="000000"/>
            </w:tcBorders>
          </w:tcPr>
          <w:p>
            <w:pPr>
              <w:pStyle w:val="TableParagraph"/>
              <w:spacing w:before="2"/>
              <w:ind w:right="171"/>
              <w:rPr>
                <w:sz w:val="14"/>
              </w:rPr>
            </w:pPr>
            <w:r>
              <w:rPr>
                <w:w w:val="99"/>
                <w:sz w:val="14"/>
              </w:rPr>
              <w:t>-</w:t>
            </w:r>
          </w:p>
        </w:tc>
        <w:tc>
          <w:tcPr>
            <w:tcW w:w="624" w:type="dxa"/>
            <w:tcBorders>
              <w:bottom w:val="single" w:sz="12" w:space="0" w:color="000000"/>
            </w:tcBorders>
          </w:tcPr>
          <w:p>
            <w:pPr>
              <w:pStyle w:val="TableParagraph"/>
              <w:spacing w:before="2"/>
              <w:ind w:right="196"/>
              <w:rPr>
                <w:sz w:val="14"/>
              </w:rPr>
            </w:pPr>
            <w:r>
              <w:rPr>
                <w:spacing w:val="-4"/>
                <w:sz w:val="14"/>
              </w:rPr>
              <w:t>2.00</w:t>
            </w:r>
          </w:p>
        </w:tc>
        <w:tc>
          <w:tcPr>
            <w:tcW w:w="735" w:type="dxa"/>
            <w:tcBorders>
              <w:bottom w:val="single" w:sz="12" w:space="0" w:color="000000"/>
            </w:tcBorders>
          </w:tcPr>
          <w:p>
            <w:pPr>
              <w:pStyle w:val="TableParagraph"/>
              <w:spacing w:before="2"/>
              <w:ind w:right="191"/>
              <w:rPr>
                <w:sz w:val="14"/>
              </w:rPr>
            </w:pPr>
            <w:r>
              <w:rPr>
                <w:spacing w:val="-4"/>
                <w:sz w:val="14"/>
              </w:rPr>
              <w:t>3.00</w:t>
            </w:r>
          </w:p>
        </w:tc>
        <w:tc>
          <w:tcPr>
            <w:tcW w:w="463" w:type="dxa"/>
            <w:tcBorders>
              <w:bottom w:val="single" w:sz="12" w:space="0" w:color="000000"/>
            </w:tcBorders>
          </w:tcPr>
          <w:p>
            <w:pPr>
              <w:pStyle w:val="TableParagraph"/>
              <w:spacing w:before="2"/>
              <w:ind w:right="62"/>
              <w:rPr>
                <w:sz w:val="14"/>
              </w:rPr>
            </w:pPr>
            <w:r>
              <w:rPr>
                <w:w w:val="99"/>
                <w:sz w:val="14"/>
              </w:rPr>
              <w:t>-</w:t>
            </w:r>
          </w:p>
        </w:tc>
        <w:tc>
          <w:tcPr>
            <w:tcW w:w="795" w:type="dxa"/>
            <w:tcBorders>
              <w:bottom w:val="single" w:sz="12" w:space="0" w:color="000000"/>
            </w:tcBorders>
          </w:tcPr>
          <w:p>
            <w:pPr>
              <w:pStyle w:val="TableParagraph"/>
              <w:spacing w:before="2"/>
              <w:ind w:right="119"/>
              <w:rPr>
                <w:i/>
                <w:sz w:val="14"/>
              </w:rPr>
            </w:pPr>
            <w:r>
              <w:rPr>
                <w:i/>
                <w:spacing w:val="-4"/>
                <w:sz w:val="14"/>
              </w:rPr>
              <w:t>5.00</w:t>
            </w:r>
          </w:p>
        </w:tc>
        <w:tc>
          <w:tcPr>
            <w:tcW w:w="566" w:type="dxa"/>
            <w:tcBorders>
              <w:bottom w:val="single" w:sz="12" w:space="0" w:color="000000"/>
            </w:tcBorders>
          </w:tcPr>
          <w:p>
            <w:pPr>
              <w:pStyle w:val="TableParagraph"/>
              <w:spacing w:before="2"/>
              <w:ind w:right="93"/>
              <w:rPr>
                <w:sz w:val="14"/>
              </w:rPr>
            </w:pPr>
            <w:r>
              <w:rPr>
                <w:w w:val="99"/>
                <w:sz w:val="14"/>
              </w:rPr>
              <w:t>-</w:t>
            </w:r>
          </w:p>
        </w:tc>
        <w:tc>
          <w:tcPr>
            <w:tcW w:w="576" w:type="dxa"/>
            <w:tcBorders>
              <w:bottom w:val="single" w:sz="12" w:space="0" w:color="000000"/>
            </w:tcBorders>
          </w:tcPr>
          <w:p>
            <w:pPr>
              <w:pStyle w:val="TableParagraph"/>
              <w:spacing w:before="2"/>
              <w:ind w:right="78"/>
              <w:rPr>
                <w:sz w:val="14"/>
              </w:rPr>
            </w:pPr>
            <w:r>
              <w:rPr>
                <w:w w:val="99"/>
                <w:sz w:val="14"/>
              </w:rPr>
              <w:t>-</w:t>
            </w:r>
          </w:p>
        </w:tc>
        <w:tc>
          <w:tcPr>
            <w:tcW w:w="564" w:type="dxa"/>
            <w:tcBorders>
              <w:bottom w:val="single" w:sz="12" w:space="0" w:color="000000"/>
            </w:tcBorders>
          </w:tcPr>
          <w:p>
            <w:pPr>
              <w:pStyle w:val="TableParagraph"/>
              <w:spacing w:before="2"/>
              <w:ind w:right="48"/>
              <w:rPr>
                <w:sz w:val="14"/>
              </w:rPr>
            </w:pPr>
            <w:r>
              <w:rPr>
                <w:spacing w:val="-4"/>
                <w:sz w:val="14"/>
              </w:rPr>
              <w:t>5.36</w:t>
            </w:r>
          </w:p>
        </w:tc>
        <w:tc>
          <w:tcPr>
            <w:tcW w:w="811" w:type="dxa"/>
            <w:tcBorders>
              <w:bottom w:val="single" w:sz="12" w:space="0" w:color="000000"/>
            </w:tcBorders>
          </w:tcPr>
          <w:p>
            <w:pPr>
              <w:pStyle w:val="TableParagraph"/>
              <w:spacing w:before="2"/>
              <w:ind w:right="120"/>
              <w:rPr>
                <w:i/>
                <w:sz w:val="14"/>
              </w:rPr>
            </w:pPr>
            <w:r>
              <w:rPr>
                <w:i/>
                <w:spacing w:val="-4"/>
                <w:sz w:val="14"/>
              </w:rPr>
              <w:t>5.36</w:t>
            </w:r>
          </w:p>
        </w:tc>
        <w:tc>
          <w:tcPr>
            <w:tcW w:w="522" w:type="dxa"/>
            <w:tcBorders>
              <w:bottom w:val="single" w:sz="12" w:space="0" w:color="000000"/>
            </w:tcBorders>
          </w:tcPr>
          <w:p>
            <w:pPr>
              <w:pStyle w:val="TableParagraph"/>
              <w:spacing w:before="2"/>
              <w:ind w:right="42"/>
              <w:rPr>
                <w:b/>
                <w:sz w:val="14"/>
              </w:rPr>
            </w:pPr>
            <w:r>
              <w:rPr>
                <w:b/>
                <w:spacing w:val="-2"/>
                <w:sz w:val="14"/>
              </w:rPr>
              <w:t>10.36</w:t>
            </w:r>
          </w:p>
        </w:tc>
      </w:tr>
      <w:tr>
        <w:trPr>
          <w:trHeight w:val="229" w:hRule="atLeast"/>
        </w:trPr>
        <w:tc>
          <w:tcPr>
            <w:tcW w:w="1186" w:type="dxa"/>
            <w:tcBorders>
              <w:top w:val="single" w:sz="12" w:space="0" w:color="000000"/>
              <w:bottom w:val="single" w:sz="4" w:space="0" w:color="000000"/>
            </w:tcBorders>
          </w:tcPr>
          <w:p>
            <w:pPr>
              <w:pStyle w:val="TableParagraph"/>
              <w:spacing w:before="27"/>
              <w:ind w:left="67"/>
              <w:jc w:val="left"/>
              <w:rPr>
                <w:sz w:val="14"/>
              </w:rPr>
            </w:pPr>
            <w:r>
              <w:rPr>
                <w:spacing w:val="-2"/>
                <w:sz w:val="14"/>
              </w:rPr>
              <w:t>Continued</w:t>
            </w:r>
          </w:p>
        </w:tc>
        <w:tc>
          <w:tcPr>
            <w:tcW w:w="678" w:type="dxa"/>
            <w:tcBorders>
              <w:top w:val="single" w:sz="12" w:space="0" w:color="000000"/>
              <w:bottom w:val="single" w:sz="4" w:space="0" w:color="000000"/>
            </w:tcBorders>
          </w:tcPr>
          <w:p>
            <w:pPr>
              <w:pStyle w:val="TableParagraph"/>
              <w:spacing w:before="27"/>
              <w:ind w:right="154"/>
              <w:rPr>
                <w:sz w:val="14"/>
              </w:rPr>
            </w:pPr>
            <w:r>
              <w:rPr>
                <w:w w:val="99"/>
                <w:sz w:val="14"/>
              </w:rPr>
              <w:t>-</w:t>
            </w:r>
          </w:p>
        </w:tc>
        <w:tc>
          <w:tcPr>
            <w:tcW w:w="607" w:type="dxa"/>
            <w:tcBorders>
              <w:top w:val="single" w:sz="12" w:space="0" w:color="000000"/>
              <w:bottom w:val="single" w:sz="4" w:space="0" w:color="000000"/>
            </w:tcBorders>
          </w:tcPr>
          <w:p>
            <w:pPr>
              <w:pStyle w:val="TableParagraph"/>
              <w:spacing w:before="27"/>
              <w:ind w:right="170"/>
              <w:rPr>
                <w:sz w:val="14"/>
              </w:rPr>
            </w:pPr>
            <w:r>
              <w:rPr>
                <w:w w:val="99"/>
                <w:sz w:val="14"/>
              </w:rPr>
              <w:t>-</w:t>
            </w:r>
          </w:p>
        </w:tc>
        <w:tc>
          <w:tcPr>
            <w:tcW w:w="563" w:type="dxa"/>
            <w:tcBorders>
              <w:top w:val="single" w:sz="12" w:space="0" w:color="000000"/>
              <w:bottom w:val="single" w:sz="4" w:space="0" w:color="000000"/>
            </w:tcBorders>
          </w:tcPr>
          <w:p>
            <w:pPr>
              <w:pStyle w:val="TableParagraph"/>
              <w:spacing w:before="27"/>
              <w:ind w:right="171"/>
              <w:rPr>
                <w:sz w:val="14"/>
              </w:rPr>
            </w:pPr>
            <w:r>
              <w:rPr>
                <w:w w:val="99"/>
                <w:sz w:val="14"/>
              </w:rPr>
              <w:t>-</w:t>
            </w:r>
          </w:p>
        </w:tc>
        <w:tc>
          <w:tcPr>
            <w:tcW w:w="581" w:type="dxa"/>
            <w:tcBorders>
              <w:top w:val="single" w:sz="12" w:space="0" w:color="000000"/>
              <w:bottom w:val="single" w:sz="4" w:space="0" w:color="000000"/>
            </w:tcBorders>
          </w:tcPr>
          <w:p>
            <w:pPr>
              <w:pStyle w:val="TableParagraph"/>
              <w:spacing w:before="27"/>
              <w:ind w:right="191"/>
              <w:rPr>
                <w:sz w:val="14"/>
              </w:rPr>
            </w:pPr>
            <w:r>
              <w:rPr>
                <w:w w:val="99"/>
                <w:sz w:val="14"/>
              </w:rPr>
              <w:t>-</w:t>
            </w:r>
          </w:p>
        </w:tc>
        <w:tc>
          <w:tcPr>
            <w:tcW w:w="581" w:type="dxa"/>
            <w:tcBorders>
              <w:top w:val="single" w:sz="12" w:space="0" w:color="000000"/>
              <w:bottom w:val="single" w:sz="4" w:space="0" w:color="000000"/>
            </w:tcBorders>
          </w:tcPr>
          <w:p>
            <w:pPr>
              <w:pStyle w:val="TableParagraph"/>
              <w:spacing w:before="27"/>
              <w:ind w:left="148"/>
              <w:jc w:val="center"/>
              <w:rPr>
                <w:sz w:val="14"/>
              </w:rPr>
            </w:pPr>
            <w:r>
              <w:rPr>
                <w:w w:val="99"/>
                <w:sz w:val="14"/>
              </w:rPr>
              <w:t>-</w:t>
            </w:r>
          </w:p>
        </w:tc>
        <w:tc>
          <w:tcPr>
            <w:tcW w:w="566" w:type="dxa"/>
            <w:tcBorders>
              <w:top w:val="single" w:sz="12" w:space="0" w:color="000000"/>
              <w:bottom w:val="single" w:sz="4" w:space="0" w:color="000000"/>
            </w:tcBorders>
          </w:tcPr>
          <w:p>
            <w:pPr>
              <w:pStyle w:val="TableParagraph"/>
              <w:spacing w:before="27"/>
              <w:ind w:right="171"/>
              <w:rPr>
                <w:sz w:val="14"/>
              </w:rPr>
            </w:pPr>
            <w:r>
              <w:rPr>
                <w:w w:val="99"/>
                <w:sz w:val="14"/>
              </w:rPr>
              <w:t>-</w:t>
            </w:r>
          </w:p>
        </w:tc>
        <w:tc>
          <w:tcPr>
            <w:tcW w:w="624" w:type="dxa"/>
            <w:tcBorders>
              <w:top w:val="single" w:sz="12" w:space="0" w:color="000000"/>
              <w:bottom w:val="single" w:sz="4" w:space="0" w:color="000000"/>
            </w:tcBorders>
          </w:tcPr>
          <w:p>
            <w:pPr>
              <w:pStyle w:val="TableParagraph"/>
              <w:spacing w:before="27"/>
              <w:ind w:right="196"/>
              <w:rPr>
                <w:sz w:val="14"/>
              </w:rPr>
            </w:pPr>
            <w:r>
              <w:rPr>
                <w:spacing w:val="-4"/>
                <w:sz w:val="14"/>
              </w:rPr>
              <w:t>2.00</w:t>
            </w:r>
          </w:p>
        </w:tc>
        <w:tc>
          <w:tcPr>
            <w:tcW w:w="735" w:type="dxa"/>
            <w:tcBorders>
              <w:top w:val="single" w:sz="12" w:space="0" w:color="000000"/>
              <w:bottom w:val="single" w:sz="4" w:space="0" w:color="000000"/>
            </w:tcBorders>
          </w:tcPr>
          <w:p>
            <w:pPr>
              <w:pStyle w:val="TableParagraph"/>
              <w:spacing w:before="27"/>
              <w:ind w:right="191"/>
              <w:rPr>
                <w:sz w:val="14"/>
              </w:rPr>
            </w:pPr>
            <w:r>
              <w:rPr>
                <w:spacing w:val="-4"/>
                <w:sz w:val="14"/>
              </w:rPr>
              <w:t>3.00</w:t>
            </w:r>
          </w:p>
        </w:tc>
        <w:tc>
          <w:tcPr>
            <w:tcW w:w="463" w:type="dxa"/>
            <w:tcBorders>
              <w:top w:val="single" w:sz="12" w:space="0" w:color="000000"/>
              <w:bottom w:val="single" w:sz="4" w:space="0" w:color="000000"/>
            </w:tcBorders>
          </w:tcPr>
          <w:p>
            <w:pPr>
              <w:pStyle w:val="TableParagraph"/>
              <w:spacing w:before="27"/>
              <w:ind w:right="62"/>
              <w:rPr>
                <w:sz w:val="14"/>
              </w:rPr>
            </w:pPr>
            <w:r>
              <w:rPr>
                <w:w w:val="99"/>
                <w:sz w:val="14"/>
              </w:rPr>
              <w:t>-</w:t>
            </w:r>
          </w:p>
        </w:tc>
        <w:tc>
          <w:tcPr>
            <w:tcW w:w="795" w:type="dxa"/>
            <w:tcBorders>
              <w:top w:val="single" w:sz="12" w:space="0" w:color="000000"/>
              <w:bottom w:val="single" w:sz="4" w:space="0" w:color="000000"/>
            </w:tcBorders>
          </w:tcPr>
          <w:p>
            <w:pPr>
              <w:pStyle w:val="TableParagraph"/>
              <w:spacing w:before="27"/>
              <w:ind w:right="119"/>
              <w:rPr>
                <w:i/>
                <w:sz w:val="14"/>
              </w:rPr>
            </w:pPr>
            <w:r>
              <w:rPr>
                <w:i/>
                <w:spacing w:val="-4"/>
                <w:sz w:val="14"/>
              </w:rPr>
              <w:t>5.00</w:t>
            </w:r>
          </w:p>
        </w:tc>
        <w:tc>
          <w:tcPr>
            <w:tcW w:w="566" w:type="dxa"/>
            <w:tcBorders>
              <w:top w:val="single" w:sz="12" w:space="0" w:color="000000"/>
              <w:bottom w:val="single" w:sz="4" w:space="0" w:color="000000"/>
            </w:tcBorders>
          </w:tcPr>
          <w:p>
            <w:pPr>
              <w:pStyle w:val="TableParagraph"/>
              <w:spacing w:before="27"/>
              <w:ind w:right="93"/>
              <w:rPr>
                <w:sz w:val="14"/>
              </w:rPr>
            </w:pPr>
            <w:r>
              <w:rPr>
                <w:w w:val="99"/>
                <w:sz w:val="14"/>
              </w:rPr>
              <w:t>-</w:t>
            </w:r>
          </w:p>
        </w:tc>
        <w:tc>
          <w:tcPr>
            <w:tcW w:w="576" w:type="dxa"/>
            <w:tcBorders>
              <w:top w:val="single" w:sz="12" w:space="0" w:color="000000"/>
              <w:bottom w:val="single" w:sz="4" w:space="0" w:color="000000"/>
            </w:tcBorders>
          </w:tcPr>
          <w:p>
            <w:pPr>
              <w:pStyle w:val="TableParagraph"/>
              <w:spacing w:before="27"/>
              <w:ind w:right="78"/>
              <w:rPr>
                <w:sz w:val="14"/>
              </w:rPr>
            </w:pPr>
            <w:r>
              <w:rPr>
                <w:w w:val="99"/>
                <w:sz w:val="14"/>
              </w:rPr>
              <w:t>-</w:t>
            </w:r>
          </w:p>
        </w:tc>
        <w:tc>
          <w:tcPr>
            <w:tcW w:w="564" w:type="dxa"/>
            <w:tcBorders>
              <w:top w:val="single" w:sz="12" w:space="0" w:color="000000"/>
              <w:bottom w:val="single" w:sz="4" w:space="0" w:color="000000"/>
            </w:tcBorders>
          </w:tcPr>
          <w:p>
            <w:pPr>
              <w:pStyle w:val="TableParagraph"/>
              <w:spacing w:before="27"/>
              <w:ind w:right="48"/>
              <w:rPr>
                <w:sz w:val="14"/>
              </w:rPr>
            </w:pPr>
            <w:r>
              <w:rPr>
                <w:spacing w:val="-4"/>
                <w:sz w:val="14"/>
              </w:rPr>
              <w:t>8.00</w:t>
            </w:r>
          </w:p>
        </w:tc>
        <w:tc>
          <w:tcPr>
            <w:tcW w:w="811" w:type="dxa"/>
            <w:tcBorders>
              <w:top w:val="single" w:sz="12" w:space="0" w:color="000000"/>
              <w:bottom w:val="single" w:sz="4" w:space="0" w:color="000000"/>
            </w:tcBorders>
          </w:tcPr>
          <w:p>
            <w:pPr>
              <w:pStyle w:val="TableParagraph"/>
              <w:spacing w:before="27"/>
              <w:ind w:right="120"/>
              <w:rPr>
                <w:i/>
                <w:sz w:val="14"/>
              </w:rPr>
            </w:pPr>
            <w:r>
              <w:rPr>
                <w:i/>
                <w:spacing w:val="-4"/>
                <w:sz w:val="14"/>
              </w:rPr>
              <w:t>8.00</w:t>
            </w:r>
          </w:p>
        </w:tc>
        <w:tc>
          <w:tcPr>
            <w:tcW w:w="522" w:type="dxa"/>
            <w:tcBorders>
              <w:top w:val="single" w:sz="12" w:space="0" w:color="000000"/>
              <w:bottom w:val="single" w:sz="4" w:space="0" w:color="000000"/>
            </w:tcBorders>
          </w:tcPr>
          <w:p>
            <w:pPr>
              <w:pStyle w:val="TableParagraph"/>
              <w:spacing w:before="27"/>
              <w:ind w:right="42"/>
              <w:rPr>
                <w:b/>
                <w:sz w:val="14"/>
              </w:rPr>
            </w:pPr>
            <w:r>
              <w:rPr>
                <w:b/>
                <w:spacing w:val="-2"/>
                <w:sz w:val="14"/>
              </w:rPr>
              <w:t>13.00</w:t>
            </w:r>
          </w:p>
        </w:tc>
      </w:tr>
      <w:tr>
        <w:trPr>
          <w:trHeight w:val="225" w:hRule="atLeast"/>
        </w:trPr>
        <w:tc>
          <w:tcPr>
            <w:tcW w:w="1186" w:type="dxa"/>
            <w:tcBorders>
              <w:top w:val="single" w:sz="4" w:space="0" w:color="000000"/>
              <w:bottom w:val="single" w:sz="4" w:space="0" w:color="000000"/>
            </w:tcBorders>
          </w:tcPr>
          <w:p>
            <w:pPr>
              <w:pStyle w:val="TableParagraph"/>
              <w:spacing w:before="22"/>
              <w:ind w:left="67"/>
              <w:jc w:val="left"/>
              <w:rPr>
                <w:sz w:val="14"/>
              </w:rPr>
            </w:pPr>
            <w:r>
              <w:rPr>
                <w:spacing w:val="-5"/>
                <w:sz w:val="14"/>
              </w:rPr>
              <w:t>New</w:t>
            </w:r>
          </w:p>
        </w:tc>
        <w:tc>
          <w:tcPr>
            <w:tcW w:w="678" w:type="dxa"/>
            <w:tcBorders>
              <w:top w:val="single" w:sz="4" w:space="0" w:color="000000"/>
              <w:bottom w:val="single" w:sz="4" w:space="0" w:color="000000"/>
            </w:tcBorders>
          </w:tcPr>
          <w:p>
            <w:pPr>
              <w:pStyle w:val="TableParagraph"/>
              <w:spacing w:before="22"/>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2"/>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2"/>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2"/>
              <w:ind w:right="191"/>
              <w:rPr>
                <w:sz w:val="14"/>
              </w:rPr>
            </w:pPr>
            <w:r>
              <w:rPr>
                <w:w w:val="99"/>
                <w:sz w:val="14"/>
              </w:rPr>
              <w:t>-</w:t>
            </w:r>
          </w:p>
        </w:tc>
        <w:tc>
          <w:tcPr>
            <w:tcW w:w="581" w:type="dxa"/>
            <w:tcBorders>
              <w:top w:val="single" w:sz="4" w:space="0" w:color="000000"/>
              <w:bottom w:val="single" w:sz="4" w:space="0" w:color="000000"/>
            </w:tcBorders>
          </w:tcPr>
          <w:p>
            <w:pPr>
              <w:pStyle w:val="TableParagraph"/>
              <w:spacing w:before="22"/>
              <w:ind w:left="148"/>
              <w:jc w:val="center"/>
              <w:rPr>
                <w:sz w:val="14"/>
              </w:rPr>
            </w:pPr>
            <w:r>
              <w:rPr>
                <w:w w:val="99"/>
                <w:sz w:val="14"/>
              </w:rPr>
              <w:t>-</w:t>
            </w:r>
          </w:p>
        </w:tc>
        <w:tc>
          <w:tcPr>
            <w:tcW w:w="566" w:type="dxa"/>
            <w:tcBorders>
              <w:top w:val="single" w:sz="4" w:space="0" w:color="000000"/>
              <w:bottom w:val="single" w:sz="4" w:space="0" w:color="000000"/>
            </w:tcBorders>
          </w:tcPr>
          <w:p>
            <w:pPr>
              <w:pStyle w:val="TableParagraph"/>
              <w:spacing w:before="22"/>
              <w:ind w:right="171"/>
              <w:rPr>
                <w:sz w:val="14"/>
              </w:rPr>
            </w:pPr>
            <w:r>
              <w:rPr>
                <w:w w:val="99"/>
                <w:sz w:val="14"/>
              </w:rPr>
              <w:t>-</w:t>
            </w:r>
          </w:p>
        </w:tc>
        <w:tc>
          <w:tcPr>
            <w:tcW w:w="624" w:type="dxa"/>
            <w:tcBorders>
              <w:top w:val="single" w:sz="4" w:space="0" w:color="000000"/>
              <w:bottom w:val="single" w:sz="4" w:space="0" w:color="000000"/>
            </w:tcBorders>
          </w:tcPr>
          <w:p>
            <w:pPr>
              <w:pStyle w:val="TableParagraph"/>
              <w:spacing w:before="22"/>
              <w:ind w:right="199"/>
              <w:rPr>
                <w:sz w:val="14"/>
              </w:rPr>
            </w:pPr>
            <w:r>
              <w:rPr>
                <w:w w:val="99"/>
                <w:sz w:val="14"/>
              </w:rPr>
              <w:t>-</w:t>
            </w:r>
          </w:p>
        </w:tc>
        <w:tc>
          <w:tcPr>
            <w:tcW w:w="735" w:type="dxa"/>
            <w:tcBorders>
              <w:top w:val="single" w:sz="4" w:space="0" w:color="000000"/>
              <w:bottom w:val="single" w:sz="4" w:space="0" w:color="000000"/>
            </w:tcBorders>
          </w:tcPr>
          <w:p>
            <w:pPr>
              <w:pStyle w:val="TableParagraph"/>
              <w:spacing w:before="22"/>
              <w:ind w:right="195"/>
              <w:rPr>
                <w:sz w:val="14"/>
              </w:rPr>
            </w:pPr>
            <w:r>
              <w:rPr>
                <w:w w:val="99"/>
                <w:sz w:val="14"/>
              </w:rPr>
              <w:t>-</w:t>
            </w:r>
          </w:p>
        </w:tc>
        <w:tc>
          <w:tcPr>
            <w:tcW w:w="463" w:type="dxa"/>
            <w:tcBorders>
              <w:top w:val="single" w:sz="4" w:space="0" w:color="000000"/>
              <w:bottom w:val="single" w:sz="4" w:space="0" w:color="000000"/>
            </w:tcBorders>
          </w:tcPr>
          <w:p>
            <w:pPr>
              <w:pStyle w:val="TableParagraph"/>
              <w:spacing w:before="22"/>
              <w:ind w:right="62"/>
              <w:rPr>
                <w:sz w:val="14"/>
              </w:rPr>
            </w:pPr>
            <w:r>
              <w:rPr>
                <w:w w:val="99"/>
                <w:sz w:val="14"/>
              </w:rPr>
              <w:t>-</w:t>
            </w:r>
          </w:p>
        </w:tc>
        <w:tc>
          <w:tcPr>
            <w:tcW w:w="795" w:type="dxa"/>
            <w:tcBorders>
              <w:top w:val="single" w:sz="4" w:space="0" w:color="000000"/>
              <w:bottom w:val="single" w:sz="4" w:space="0" w:color="000000"/>
            </w:tcBorders>
          </w:tcPr>
          <w:p>
            <w:pPr>
              <w:pStyle w:val="TableParagraph"/>
              <w:spacing w:before="22"/>
              <w:ind w:right="122"/>
              <w:rPr>
                <w:i/>
                <w:sz w:val="14"/>
              </w:rPr>
            </w:pPr>
            <w:r>
              <w:rPr>
                <w:i/>
                <w:w w:val="99"/>
                <w:sz w:val="14"/>
              </w:rPr>
              <w:t>-</w:t>
            </w:r>
          </w:p>
        </w:tc>
        <w:tc>
          <w:tcPr>
            <w:tcW w:w="566" w:type="dxa"/>
            <w:tcBorders>
              <w:top w:val="single" w:sz="4" w:space="0" w:color="000000"/>
              <w:bottom w:val="single" w:sz="4" w:space="0" w:color="000000"/>
            </w:tcBorders>
          </w:tcPr>
          <w:p>
            <w:pPr>
              <w:pStyle w:val="TableParagraph"/>
              <w:spacing w:before="22"/>
              <w:ind w:right="93"/>
              <w:rPr>
                <w:sz w:val="14"/>
              </w:rPr>
            </w:pPr>
            <w:r>
              <w:rPr>
                <w:w w:val="99"/>
                <w:sz w:val="14"/>
              </w:rPr>
              <w:t>-</w:t>
            </w:r>
          </w:p>
        </w:tc>
        <w:tc>
          <w:tcPr>
            <w:tcW w:w="576" w:type="dxa"/>
            <w:tcBorders>
              <w:top w:val="single" w:sz="4" w:space="0" w:color="000000"/>
              <w:bottom w:val="single" w:sz="4" w:space="0" w:color="000000"/>
            </w:tcBorders>
          </w:tcPr>
          <w:p>
            <w:pPr>
              <w:pStyle w:val="TableParagraph"/>
              <w:spacing w:before="22"/>
              <w:ind w:right="78"/>
              <w:rPr>
                <w:sz w:val="14"/>
              </w:rPr>
            </w:pPr>
            <w:r>
              <w:rPr>
                <w:w w:val="99"/>
                <w:sz w:val="14"/>
              </w:rPr>
              <w:t>-</w:t>
            </w:r>
          </w:p>
        </w:tc>
        <w:tc>
          <w:tcPr>
            <w:tcW w:w="564" w:type="dxa"/>
            <w:tcBorders>
              <w:top w:val="single" w:sz="4" w:space="0" w:color="000000"/>
              <w:bottom w:val="single" w:sz="4" w:space="0" w:color="000000"/>
            </w:tcBorders>
          </w:tcPr>
          <w:p>
            <w:pPr>
              <w:pStyle w:val="TableParagraph"/>
              <w:spacing w:before="22"/>
              <w:ind w:right="48"/>
              <w:rPr>
                <w:sz w:val="14"/>
              </w:rPr>
            </w:pPr>
            <w:r>
              <w:rPr>
                <w:spacing w:val="-4"/>
                <w:sz w:val="14"/>
              </w:rPr>
              <w:t>8.83</w:t>
            </w:r>
          </w:p>
        </w:tc>
        <w:tc>
          <w:tcPr>
            <w:tcW w:w="811" w:type="dxa"/>
            <w:tcBorders>
              <w:top w:val="single" w:sz="4" w:space="0" w:color="000000"/>
              <w:bottom w:val="single" w:sz="4" w:space="0" w:color="000000"/>
            </w:tcBorders>
          </w:tcPr>
          <w:p>
            <w:pPr>
              <w:pStyle w:val="TableParagraph"/>
              <w:spacing w:before="22"/>
              <w:ind w:right="120"/>
              <w:rPr>
                <w:i/>
                <w:sz w:val="14"/>
              </w:rPr>
            </w:pPr>
            <w:r>
              <w:rPr>
                <w:i/>
                <w:spacing w:val="-4"/>
                <w:sz w:val="14"/>
              </w:rPr>
              <w:t>8.83</w:t>
            </w:r>
          </w:p>
        </w:tc>
        <w:tc>
          <w:tcPr>
            <w:tcW w:w="522" w:type="dxa"/>
            <w:tcBorders>
              <w:top w:val="single" w:sz="4" w:space="0" w:color="000000"/>
              <w:bottom w:val="single" w:sz="4" w:space="0" w:color="000000"/>
            </w:tcBorders>
          </w:tcPr>
          <w:p>
            <w:pPr>
              <w:pStyle w:val="TableParagraph"/>
              <w:spacing w:before="22"/>
              <w:ind w:right="42"/>
              <w:rPr>
                <w:b/>
                <w:sz w:val="14"/>
              </w:rPr>
            </w:pPr>
            <w:r>
              <w:rPr>
                <w:b/>
                <w:spacing w:val="-4"/>
                <w:sz w:val="14"/>
              </w:rPr>
              <w:t>8.83</w:t>
            </w:r>
          </w:p>
        </w:tc>
      </w:tr>
      <w:tr>
        <w:trPr>
          <w:trHeight w:val="225" w:hRule="atLeast"/>
        </w:trPr>
        <w:tc>
          <w:tcPr>
            <w:tcW w:w="1186" w:type="dxa"/>
            <w:tcBorders>
              <w:top w:val="single" w:sz="4" w:space="0" w:color="000000"/>
              <w:bottom w:val="single" w:sz="4" w:space="0" w:color="000000"/>
            </w:tcBorders>
          </w:tcPr>
          <w:p>
            <w:pPr>
              <w:pStyle w:val="TableParagraph"/>
              <w:spacing w:before="27"/>
              <w:ind w:left="67"/>
              <w:jc w:val="left"/>
              <w:rPr>
                <w:sz w:val="14"/>
              </w:rPr>
            </w:pPr>
            <w:r>
              <w:rPr>
                <w:spacing w:val="-2"/>
                <w:sz w:val="14"/>
              </w:rPr>
              <w:t>Redeployed</w:t>
            </w:r>
          </w:p>
        </w:tc>
        <w:tc>
          <w:tcPr>
            <w:tcW w:w="678" w:type="dxa"/>
            <w:tcBorders>
              <w:top w:val="single" w:sz="4" w:space="0" w:color="000000"/>
              <w:bottom w:val="single" w:sz="4" w:space="0" w:color="000000"/>
            </w:tcBorders>
          </w:tcPr>
          <w:p>
            <w:pPr>
              <w:pStyle w:val="TableParagraph"/>
              <w:spacing w:before="27"/>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7"/>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7"/>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7"/>
              <w:ind w:right="191"/>
              <w:rPr>
                <w:sz w:val="14"/>
              </w:rPr>
            </w:pPr>
            <w:r>
              <w:rPr>
                <w:w w:val="99"/>
                <w:sz w:val="14"/>
              </w:rPr>
              <w:t>-</w:t>
            </w:r>
          </w:p>
        </w:tc>
        <w:tc>
          <w:tcPr>
            <w:tcW w:w="581" w:type="dxa"/>
            <w:tcBorders>
              <w:top w:val="single" w:sz="4" w:space="0" w:color="000000"/>
              <w:bottom w:val="single" w:sz="4" w:space="0" w:color="000000"/>
            </w:tcBorders>
          </w:tcPr>
          <w:p>
            <w:pPr>
              <w:pStyle w:val="TableParagraph"/>
              <w:spacing w:before="27"/>
              <w:ind w:left="148"/>
              <w:jc w:val="center"/>
              <w:rPr>
                <w:sz w:val="14"/>
              </w:rPr>
            </w:pPr>
            <w:r>
              <w:rPr>
                <w:w w:val="99"/>
                <w:sz w:val="14"/>
              </w:rPr>
              <w:t>-</w:t>
            </w:r>
          </w:p>
        </w:tc>
        <w:tc>
          <w:tcPr>
            <w:tcW w:w="566" w:type="dxa"/>
            <w:tcBorders>
              <w:top w:val="single" w:sz="4" w:space="0" w:color="000000"/>
              <w:bottom w:val="single" w:sz="4" w:space="0" w:color="000000"/>
            </w:tcBorders>
          </w:tcPr>
          <w:p>
            <w:pPr>
              <w:pStyle w:val="TableParagraph"/>
              <w:spacing w:before="27"/>
              <w:ind w:right="171"/>
              <w:rPr>
                <w:sz w:val="14"/>
              </w:rPr>
            </w:pPr>
            <w:r>
              <w:rPr>
                <w:w w:val="99"/>
                <w:sz w:val="14"/>
              </w:rPr>
              <w:t>-</w:t>
            </w:r>
          </w:p>
        </w:tc>
        <w:tc>
          <w:tcPr>
            <w:tcW w:w="624" w:type="dxa"/>
            <w:tcBorders>
              <w:top w:val="single" w:sz="4" w:space="0" w:color="000000"/>
              <w:bottom w:val="single" w:sz="4" w:space="0" w:color="000000"/>
            </w:tcBorders>
          </w:tcPr>
          <w:p>
            <w:pPr>
              <w:pStyle w:val="TableParagraph"/>
              <w:spacing w:before="27"/>
              <w:ind w:right="199"/>
              <w:rPr>
                <w:sz w:val="14"/>
              </w:rPr>
            </w:pPr>
            <w:r>
              <w:rPr>
                <w:w w:val="99"/>
                <w:sz w:val="14"/>
              </w:rPr>
              <w:t>-</w:t>
            </w:r>
          </w:p>
        </w:tc>
        <w:tc>
          <w:tcPr>
            <w:tcW w:w="735" w:type="dxa"/>
            <w:tcBorders>
              <w:top w:val="single" w:sz="4" w:space="0" w:color="000000"/>
              <w:bottom w:val="single" w:sz="4" w:space="0" w:color="000000"/>
            </w:tcBorders>
          </w:tcPr>
          <w:p>
            <w:pPr>
              <w:pStyle w:val="TableParagraph"/>
              <w:spacing w:before="27"/>
              <w:ind w:right="195"/>
              <w:rPr>
                <w:sz w:val="14"/>
              </w:rPr>
            </w:pPr>
            <w:r>
              <w:rPr>
                <w:w w:val="99"/>
                <w:sz w:val="14"/>
              </w:rPr>
              <w:t>-</w:t>
            </w:r>
          </w:p>
        </w:tc>
        <w:tc>
          <w:tcPr>
            <w:tcW w:w="463" w:type="dxa"/>
            <w:tcBorders>
              <w:top w:val="single" w:sz="4" w:space="0" w:color="000000"/>
              <w:bottom w:val="single" w:sz="4" w:space="0" w:color="000000"/>
            </w:tcBorders>
          </w:tcPr>
          <w:p>
            <w:pPr>
              <w:pStyle w:val="TableParagraph"/>
              <w:spacing w:before="27"/>
              <w:ind w:right="62"/>
              <w:rPr>
                <w:sz w:val="14"/>
              </w:rPr>
            </w:pPr>
            <w:r>
              <w:rPr>
                <w:w w:val="99"/>
                <w:sz w:val="14"/>
              </w:rPr>
              <w:t>-</w:t>
            </w:r>
          </w:p>
        </w:tc>
        <w:tc>
          <w:tcPr>
            <w:tcW w:w="795" w:type="dxa"/>
            <w:tcBorders>
              <w:top w:val="single" w:sz="4" w:space="0" w:color="000000"/>
              <w:bottom w:val="single" w:sz="4" w:space="0" w:color="000000"/>
            </w:tcBorders>
          </w:tcPr>
          <w:p>
            <w:pPr>
              <w:pStyle w:val="TableParagraph"/>
              <w:spacing w:before="27"/>
              <w:ind w:right="122"/>
              <w:rPr>
                <w:i/>
                <w:sz w:val="14"/>
              </w:rPr>
            </w:pPr>
            <w:r>
              <w:rPr>
                <w:i/>
                <w:w w:val="99"/>
                <w:sz w:val="14"/>
              </w:rPr>
              <w:t>-</w:t>
            </w:r>
          </w:p>
        </w:tc>
        <w:tc>
          <w:tcPr>
            <w:tcW w:w="566" w:type="dxa"/>
            <w:tcBorders>
              <w:top w:val="single" w:sz="4" w:space="0" w:color="000000"/>
              <w:bottom w:val="single" w:sz="4" w:space="0" w:color="000000"/>
            </w:tcBorders>
          </w:tcPr>
          <w:p>
            <w:pPr>
              <w:pStyle w:val="TableParagraph"/>
              <w:spacing w:before="27"/>
              <w:ind w:right="93"/>
              <w:rPr>
                <w:sz w:val="14"/>
              </w:rPr>
            </w:pPr>
            <w:r>
              <w:rPr>
                <w:w w:val="99"/>
                <w:sz w:val="14"/>
              </w:rPr>
              <w:t>-</w:t>
            </w:r>
          </w:p>
        </w:tc>
        <w:tc>
          <w:tcPr>
            <w:tcW w:w="576" w:type="dxa"/>
            <w:tcBorders>
              <w:top w:val="single" w:sz="4" w:space="0" w:color="000000"/>
              <w:bottom w:val="single" w:sz="4" w:space="0" w:color="000000"/>
            </w:tcBorders>
          </w:tcPr>
          <w:p>
            <w:pPr>
              <w:pStyle w:val="TableParagraph"/>
              <w:spacing w:before="27"/>
              <w:ind w:right="78"/>
              <w:rPr>
                <w:sz w:val="14"/>
              </w:rPr>
            </w:pPr>
            <w:r>
              <w:rPr>
                <w:w w:val="99"/>
                <w:sz w:val="14"/>
              </w:rPr>
              <w:t>-</w:t>
            </w:r>
          </w:p>
        </w:tc>
        <w:tc>
          <w:tcPr>
            <w:tcW w:w="564" w:type="dxa"/>
            <w:tcBorders>
              <w:top w:val="single" w:sz="4" w:space="0" w:color="000000"/>
              <w:bottom w:val="single" w:sz="4" w:space="0" w:color="000000"/>
            </w:tcBorders>
          </w:tcPr>
          <w:p>
            <w:pPr>
              <w:pStyle w:val="TableParagraph"/>
              <w:spacing w:before="27"/>
              <w:ind w:right="52"/>
              <w:rPr>
                <w:sz w:val="14"/>
              </w:rPr>
            </w:pPr>
            <w:r>
              <w:rPr>
                <w:w w:val="99"/>
                <w:sz w:val="14"/>
              </w:rPr>
              <w:t>-</w:t>
            </w:r>
          </w:p>
        </w:tc>
        <w:tc>
          <w:tcPr>
            <w:tcW w:w="811" w:type="dxa"/>
            <w:tcBorders>
              <w:top w:val="single" w:sz="4" w:space="0" w:color="000000"/>
              <w:bottom w:val="single" w:sz="4" w:space="0" w:color="000000"/>
            </w:tcBorders>
          </w:tcPr>
          <w:p>
            <w:pPr>
              <w:pStyle w:val="TableParagraph"/>
              <w:spacing w:before="27"/>
              <w:ind w:right="123"/>
              <w:rPr>
                <w:i/>
                <w:sz w:val="14"/>
              </w:rPr>
            </w:pPr>
            <w:r>
              <w:rPr>
                <w:i/>
                <w:w w:val="99"/>
                <w:sz w:val="14"/>
              </w:rPr>
              <w:t>-</w:t>
            </w:r>
          </w:p>
        </w:tc>
        <w:tc>
          <w:tcPr>
            <w:tcW w:w="522" w:type="dxa"/>
            <w:tcBorders>
              <w:top w:val="single" w:sz="4" w:space="0" w:color="000000"/>
              <w:bottom w:val="single" w:sz="4" w:space="0" w:color="000000"/>
            </w:tcBorders>
          </w:tcPr>
          <w:p>
            <w:pPr>
              <w:pStyle w:val="TableParagraph"/>
              <w:spacing w:before="27"/>
              <w:ind w:right="45"/>
              <w:rPr>
                <w:b/>
                <w:sz w:val="14"/>
              </w:rPr>
            </w:pPr>
            <w:r>
              <w:rPr>
                <w:b/>
                <w:w w:val="99"/>
                <w:sz w:val="14"/>
              </w:rPr>
              <w:t>-</w:t>
            </w:r>
          </w:p>
        </w:tc>
      </w:tr>
      <w:tr>
        <w:trPr>
          <w:trHeight w:val="230" w:hRule="atLeast"/>
        </w:trPr>
        <w:tc>
          <w:tcPr>
            <w:tcW w:w="1186" w:type="dxa"/>
            <w:tcBorders>
              <w:top w:val="single" w:sz="4" w:space="0" w:color="000000"/>
              <w:bottom w:val="single" w:sz="4" w:space="0" w:color="000000"/>
            </w:tcBorders>
          </w:tcPr>
          <w:p>
            <w:pPr>
              <w:pStyle w:val="TableParagraph"/>
              <w:spacing w:before="27"/>
              <w:ind w:left="67"/>
              <w:jc w:val="left"/>
              <w:rPr>
                <w:sz w:val="14"/>
              </w:rPr>
            </w:pPr>
            <w:r>
              <w:rPr>
                <w:spacing w:val="-2"/>
                <w:sz w:val="14"/>
              </w:rPr>
              <w:t>Reclassified</w:t>
            </w:r>
          </w:p>
        </w:tc>
        <w:tc>
          <w:tcPr>
            <w:tcW w:w="678" w:type="dxa"/>
            <w:tcBorders>
              <w:top w:val="single" w:sz="4" w:space="0" w:color="000000"/>
              <w:bottom w:val="single" w:sz="4" w:space="0" w:color="000000"/>
            </w:tcBorders>
          </w:tcPr>
          <w:p>
            <w:pPr>
              <w:pStyle w:val="TableParagraph"/>
              <w:spacing w:before="27"/>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7"/>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7"/>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7"/>
              <w:ind w:right="191"/>
              <w:rPr>
                <w:sz w:val="14"/>
              </w:rPr>
            </w:pPr>
            <w:r>
              <w:rPr>
                <w:w w:val="99"/>
                <w:sz w:val="14"/>
              </w:rPr>
              <w:t>-</w:t>
            </w:r>
          </w:p>
        </w:tc>
        <w:tc>
          <w:tcPr>
            <w:tcW w:w="581" w:type="dxa"/>
            <w:tcBorders>
              <w:top w:val="single" w:sz="4" w:space="0" w:color="000000"/>
              <w:bottom w:val="single" w:sz="4" w:space="0" w:color="000000"/>
            </w:tcBorders>
          </w:tcPr>
          <w:p>
            <w:pPr>
              <w:pStyle w:val="TableParagraph"/>
              <w:spacing w:before="27"/>
              <w:ind w:left="148"/>
              <w:jc w:val="center"/>
              <w:rPr>
                <w:sz w:val="14"/>
              </w:rPr>
            </w:pPr>
            <w:r>
              <w:rPr>
                <w:w w:val="99"/>
                <w:sz w:val="14"/>
              </w:rPr>
              <w:t>-</w:t>
            </w:r>
          </w:p>
        </w:tc>
        <w:tc>
          <w:tcPr>
            <w:tcW w:w="566" w:type="dxa"/>
            <w:tcBorders>
              <w:top w:val="single" w:sz="4" w:space="0" w:color="000000"/>
              <w:bottom w:val="single" w:sz="4" w:space="0" w:color="000000"/>
            </w:tcBorders>
          </w:tcPr>
          <w:p>
            <w:pPr>
              <w:pStyle w:val="TableParagraph"/>
              <w:spacing w:before="27"/>
              <w:ind w:right="171"/>
              <w:rPr>
                <w:sz w:val="14"/>
              </w:rPr>
            </w:pPr>
            <w:r>
              <w:rPr>
                <w:w w:val="99"/>
                <w:sz w:val="14"/>
              </w:rPr>
              <w:t>-</w:t>
            </w:r>
          </w:p>
        </w:tc>
        <w:tc>
          <w:tcPr>
            <w:tcW w:w="624" w:type="dxa"/>
            <w:tcBorders>
              <w:top w:val="single" w:sz="4" w:space="0" w:color="000000"/>
              <w:bottom w:val="single" w:sz="4" w:space="0" w:color="000000"/>
            </w:tcBorders>
          </w:tcPr>
          <w:p>
            <w:pPr>
              <w:pStyle w:val="TableParagraph"/>
              <w:spacing w:before="27"/>
              <w:ind w:right="199"/>
              <w:rPr>
                <w:sz w:val="14"/>
              </w:rPr>
            </w:pPr>
            <w:r>
              <w:rPr>
                <w:w w:val="99"/>
                <w:sz w:val="14"/>
              </w:rPr>
              <w:t>-</w:t>
            </w:r>
          </w:p>
        </w:tc>
        <w:tc>
          <w:tcPr>
            <w:tcW w:w="735" w:type="dxa"/>
            <w:tcBorders>
              <w:top w:val="single" w:sz="4" w:space="0" w:color="000000"/>
              <w:bottom w:val="single" w:sz="4" w:space="0" w:color="000000"/>
            </w:tcBorders>
          </w:tcPr>
          <w:p>
            <w:pPr>
              <w:pStyle w:val="TableParagraph"/>
              <w:spacing w:before="27"/>
              <w:ind w:right="195"/>
              <w:rPr>
                <w:sz w:val="14"/>
              </w:rPr>
            </w:pPr>
            <w:r>
              <w:rPr>
                <w:w w:val="99"/>
                <w:sz w:val="14"/>
              </w:rPr>
              <w:t>-</w:t>
            </w:r>
          </w:p>
        </w:tc>
        <w:tc>
          <w:tcPr>
            <w:tcW w:w="463" w:type="dxa"/>
            <w:tcBorders>
              <w:top w:val="single" w:sz="4" w:space="0" w:color="000000"/>
              <w:bottom w:val="single" w:sz="4" w:space="0" w:color="000000"/>
            </w:tcBorders>
          </w:tcPr>
          <w:p>
            <w:pPr>
              <w:pStyle w:val="TableParagraph"/>
              <w:spacing w:before="27"/>
              <w:ind w:right="62"/>
              <w:rPr>
                <w:sz w:val="14"/>
              </w:rPr>
            </w:pPr>
            <w:r>
              <w:rPr>
                <w:w w:val="99"/>
                <w:sz w:val="14"/>
              </w:rPr>
              <w:t>-</w:t>
            </w:r>
          </w:p>
        </w:tc>
        <w:tc>
          <w:tcPr>
            <w:tcW w:w="795" w:type="dxa"/>
            <w:tcBorders>
              <w:top w:val="single" w:sz="4" w:space="0" w:color="000000"/>
              <w:bottom w:val="single" w:sz="4" w:space="0" w:color="000000"/>
            </w:tcBorders>
          </w:tcPr>
          <w:p>
            <w:pPr>
              <w:pStyle w:val="TableParagraph"/>
              <w:spacing w:before="27"/>
              <w:ind w:right="122"/>
              <w:rPr>
                <w:i/>
                <w:sz w:val="14"/>
              </w:rPr>
            </w:pPr>
            <w:r>
              <w:rPr>
                <w:i/>
                <w:w w:val="99"/>
                <w:sz w:val="14"/>
              </w:rPr>
              <w:t>-</w:t>
            </w:r>
          </w:p>
        </w:tc>
        <w:tc>
          <w:tcPr>
            <w:tcW w:w="566" w:type="dxa"/>
            <w:tcBorders>
              <w:top w:val="single" w:sz="4" w:space="0" w:color="000000"/>
              <w:bottom w:val="single" w:sz="4" w:space="0" w:color="000000"/>
            </w:tcBorders>
          </w:tcPr>
          <w:p>
            <w:pPr>
              <w:pStyle w:val="TableParagraph"/>
              <w:spacing w:before="27"/>
              <w:ind w:right="93"/>
              <w:rPr>
                <w:sz w:val="14"/>
              </w:rPr>
            </w:pPr>
            <w:r>
              <w:rPr>
                <w:w w:val="99"/>
                <w:sz w:val="14"/>
              </w:rPr>
              <w:t>-</w:t>
            </w:r>
          </w:p>
        </w:tc>
        <w:tc>
          <w:tcPr>
            <w:tcW w:w="576" w:type="dxa"/>
            <w:tcBorders>
              <w:top w:val="single" w:sz="4" w:space="0" w:color="000000"/>
              <w:bottom w:val="single" w:sz="4" w:space="0" w:color="000000"/>
            </w:tcBorders>
          </w:tcPr>
          <w:p>
            <w:pPr>
              <w:pStyle w:val="TableParagraph"/>
              <w:spacing w:before="27"/>
              <w:ind w:right="78"/>
              <w:rPr>
                <w:sz w:val="14"/>
              </w:rPr>
            </w:pPr>
            <w:r>
              <w:rPr>
                <w:w w:val="99"/>
                <w:sz w:val="14"/>
              </w:rPr>
              <w:t>-</w:t>
            </w:r>
          </w:p>
        </w:tc>
        <w:tc>
          <w:tcPr>
            <w:tcW w:w="564" w:type="dxa"/>
            <w:tcBorders>
              <w:top w:val="single" w:sz="4" w:space="0" w:color="000000"/>
              <w:bottom w:val="single" w:sz="4" w:space="0" w:color="000000"/>
            </w:tcBorders>
          </w:tcPr>
          <w:p>
            <w:pPr>
              <w:pStyle w:val="TableParagraph"/>
              <w:spacing w:before="27"/>
              <w:ind w:right="52"/>
              <w:rPr>
                <w:sz w:val="14"/>
              </w:rPr>
            </w:pPr>
            <w:r>
              <w:rPr>
                <w:w w:val="99"/>
                <w:sz w:val="14"/>
              </w:rPr>
              <w:t>-</w:t>
            </w:r>
          </w:p>
        </w:tc>
        <w:tc>
          <w:tcPr>
            <w:tcW w:w="811" w:type="dxa"/>
            <w:tcBorders>
              <w:top w:val="single" w:sz="4" w:space="0" w:color="000000"/>
              <w:bottom w:val="single" w:sz="4" w:space="0" w:color="000000"/>
            </w:tcBorders>
          </w:tcPr>
          <w:p>
            <w:pPr>
              <w:pStyle w:val="TableParagraph"/>
              <w:spacing w:before="27"/>
              <w:ind w:right="123"/>
              <w:rPr>
                <w:i/>
                <w:sz w:val="14"/>
              </w:rPr>
            </w:pPr>
            <w:r>
              <w:rPr>
                <w:i/>
                <w:w w:val="99"/>
                <w:sz w:val="14"/>
              </w:rPr>
              <w:t>-</w:t>
            </w:r>
          </w:p>
        </w:tc>
        <w:tc>
          <w:tcPr>
            <w:tcW w:w="522" w:type="dxa"/>
            <w:tcBorders>
              <w:top w:val="single" w:sz="4" w:space="0" w:color="000000"/>
              <w:bottom w:val="single" w:sz="4" w:space="0" w:color="000000"/>
            </w:tcBorders>
          </w:tcPr>
          <w:p>
            <w:pPr>
              <w:pStyle w:val="TableParagraph"/>
              <w:spacing w:before="27"/>
              <w:ind w:right="45"/>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2"/>
              <w:ind w:left="67"/>
              <w:jc w:val="left"/>
              <w:rPr>
                <w:sz w:val="14"/>
              </w:rPr>
            </w:pPr>
            <w:r>
              <w:rPr>
                <w:spacing w:val="-2"/>
                <w:sz w:val="14"/>
              </w:rPr>
              <w:t>Converted</w:t>
            </w:r>
          </w:p>
        </w:tc>
        <w:tc>
          <w:tcPr>
            <w:tcW w:w="678" w:type="dxa"/>
            <w:tcBorders>
              <w:top w:val="single" w:sz="4" w:space="0" w:color="000000"/>
              <w:bottom w:val="single" w:sz="4" w:space="0" w:color="000000"/>
            </w:tcBorders>
          </w:tcPr>
          <w:p>
            <w:pPr>
              <w:pStyle w:val="TableParagraph"/>
              <w:spacing w:before="22"/>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2"/>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2"/>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2"/>
              <w:ind w:right="191"/>
              <w:rPr>
                <w:sz w:val="14"/>
              </w:rPr>
            </w:pPr>
            <w:r>
              <w:rPr>
                <w:w w:val="99"/>
                <w:sz w:val="14"/>
              </w:rPr>
              <w:t>-</w:t>
            </w:r>
          </w:p>
        </w:tc>
        <w:tc>
          <w:tcPr>
            <w:tcW w:w="581" w:type="dxa"/>
            <w:tcBorders>
              <w:top w:val="single" w:sz="4" w:space="0" w:color="000000"/>
              <w:bottom w:val="single" w:sz="4" w:space="0" w:color="000000"/>
            </w:tcBorders>
          </w:tcPr>
          <w:p>
            <w:pPr>
              <w:pStyle w:val="TableParagraph"/>
              <w:spacing w:before="22"/>
              <w:ind w:left="148"/>
              <w:jc w:val="center"/>
              <w:rPr>
                <w:sz w:val="14"/>
              </w:rPr>
            </w:pPr>
            <w:r>
              <w:rPr>
                <w:w w:val="99"/>
                <w:sz w:val="14"/>
              </w:rPr>
              <w:t>-</w:t>
            </w:r>
          </w:p>
        </w:tc>
        <w:tc>
          <w:tcPr>
            <w:tcW w:w="566" w:type="dxa"/>
            <w:tcBorders>
              <w:top w:val="single" w:sz="4" w:space="0" w:color="000000"/>
              <w:bottom w:val="single" w:sz="4" w:space="0" w:color="000000"/>
            </w:tcBorders>
          </w:tcPr>
          <w:p>
            <w:pPr>
              <w:pStyle w:val="TableParagraph"/>
              <w:spacing w:before="22"/>
              <w:ind w:right="171"/>
              <w:rPr>
                <w:sz w:val="14"/>
              </w:rPr>
            </w:pPr>
            <w:r>
              <w:rPr>
                <w:w w:val="99"/>
                <w:sz w:val="14"/>
              </w:rPr>
              <w:t>-</w:t>
            </w:r>
          </w:p>
        </w:tc>
        <w:tc>
          <w:tcPr>
            <w:tcW w:w="624" w:type="dxa"/>
            <w:tcBorders>
              <w:top w:val="single" w:sz="4" w:space="0" w:color="000000"/>
              <w:bottom w:val="single" w:sz="4" w:space="0" w:color="000000"/>
            </w:tcBorders>
          </w:tcPr>
          <w:p>
            <w:pPr>
              <w:pStyle w:val="TableParagraph"/>
              <w:spacing w:before="22"/>
              <w:ind w:right="199"/>
              <w:rPr>
                <w:sz w:val="14"/>
              </w:rPr>
            </w:pPr>
            <w:r>
              <w:rPr>
                <w:w w:val="99"/>
                <w:sz w:val="14"/>
              </w:rPr>
              <w:t>-</w:t>
            </w:r>
          </w:p>
        </w:tc>
        <w:tc>
          <w:tcPr>
            <w:tcW w:w="735" w:type="dxa"/>
            <w:tcBorders>
              <w:top w:val="single" w:sz="4" w:space="0" w:color="000000"/>
              <w:bottom w:val="single" w:sz="4" w:space="0" w:color="000000"/>
            </w:tcBorders>
          </w:tcPr>
          <w:p>
            <w:pPr>
              <w:pStyle w:val="TableParagraph"/>
              <w:spacing w:before="22"/>
              <w:ind w:right="191"/>
              <w:rPr>
                <w:sz w:val="14"/>
              </w:rPr>
            </w:pPr>
            <w:r>
              <w:rPr>
                <w:spacing w:val="-2"/>
                <w:sz w:val="14"/>
              </w:rPr>
              <w:t>(1.00)</w:t>
            </w:r>
          </w:p>
        </w:tc>
        <w:tc>
          <w:tcPr>
            <w:tcW w:w="463" w:type="dxa"/>
            <w:tcBorders>
              <w:top w:val="single" w:sz="4" w:space="0" w:color="000000"/>
              <w:bottom w:val="single" w:sz="4" w:space="0" w:color="000000"/>
            </w:tcBorders>
          </w:tcPr>
          <w:p>
            <w:pPr>
              <w:pStyle w:val="TableParagraph"/>
              <w:spacing w:before="22"/>
              <w:ind w:right="62"/>
              <w:rPr>
                <w:sz w:val="14"/>
              </w:rPr>
            </w:pPr>
            <w:r>
              <w:rPr>
                <w:w w:val="99"/>
                <w:sz w:val="14"/>
              </w:rPr>
              <w:t>-</w:t>
            </w:r>
          </w:p>
        </w:tc>
        <w:tc>
          <w:tcPr>
            <w:tcW w:w="795" w:type="dxa"/>
            <w:tcBorders>
              <w:top w:val="single" w:sz="4" w:space="0" w:color="000000"/>
              <w:bottom w:val="single" w:sz="4" w:space="0" w:color="000000"/>
            </w:tcBorders>
          </w:tcPr>
          <w:p>
            <w:pPr>
              <w:pStyle w:val="TableParagraph"/>
              <w:spacing w:before="22"/>
              <w:ind w:right="119"/>
              <w:rPr>
                <w:i/>
                <w:sz w:val="14"/>
              </w:rPr>
            </w:pPr>
            <w:r>
              <w:rPr>
                <w:i/>
                <w:spacing w:val="-2"/>
                <w:sz w:val="14"/>
              </w:rPr>
              <w:t>(1.00)</w:t>
            </w:r>
          </w:p>
        </w:tc>
        <w:tc>
          <w:tcPr>
            <w:tcW w:w="566" w:type="dxa"/>
            <w:tcBorders>
              <w:top w:val="single" w:sz="4" w:space="0" w:color="000000"/>
              <w:bottom w:val="single" w:sz="4" w:space="0" w:color="000000"/>
            </w:tcBorders>
          </w:tcPr>
          <w:p>
            <w:pPr>
              <w:pStyle w:val="TableParagraph"/>
              <w:spacing w:before="22"/>
              <w:ind w:right="93"/>
              <w:rPr>
                <w:sz w:val="14"/>
              </w:rPr>
            </w:pPr>
            <w:r>
              <w:rPr>
                <w:w w:val="99"/>
                <w:sz w:val="14"/>
              </w:rPr>
              <w:t>-</w:t>
            </w:r>
          </w:p>
        </w:tc>
        <w:tc>
          <w:tcPr>
            <w:tcW w:w="576" w:type="dxa"/>
            <w:tcBorders>
              <w:top w:val="single" w:sz="4" w:space="0" w:color="000000"/>
              <w:bottom w:val="single" w:sz="4" w:space="0" w:color="000000"/>
            </w:tcBorders>
          </w:tcPr>
          <w:p>
            <w:pPr>
              <w:pStyle w:val="TableParagraph"/>
              <w:spacing w:before="22"/>
              <w:ind w:right="78"/>
              <w:rPr>
                <w:sz w:val="14"/>
              </w:rPr>
            </w:pPr>
            <w:r>
              <w:rPr>
                <w:w w:val="99"/>
                <w:sz w:val="14"/>
              </w:rPr>
              <w:t>-</w:t>
            </w:r>
          </w:p>
        </w:tc>
        <w:tc>
          <w:tcPr>
            <w:tcW w:w="564" w:type="dxa"/>
            <w:tcBorders>
              <w:top w:val="single" w:sz="4" w:space="0" w:color="000000"/>
              <w:bottom w:val="single" w:sz="4" w:space="0" w:color="000000"/>
            </w:tcBorders>
          </w:tcPr>
          <w:p>
            <w:pPr>
              <w:pStyle w:val="TableParagraph"/>
              <w:spacing w:before="22"/>
              <w:ind w:right="48"/>
              <w:rPr>
                <w:sz w:val="14"/>
              </w:rPr>
            </w:pPr>
            <w:r>
              <w:rPr>
                <w:spacing w:val="-2"/>
                <w:sz w:val="14"/>
              </w:rPr>
              <w:t>(2.00)</w:t>
            </w:r>
          </w:p>
        </w:tc>
        <w:tc>
          <w:tcPr>
            <w:tcW w:w="811" w:type="dxa"/>
            <w:tcBorders>
              <w:top w:val="single" w:sz="4" w:space="0" w:color="000000"/>
              <w:bottom w:val="single" w:sz="4" w:space="0" w:color="000000"/>
            </w:tcBorders>
          </w:tcPr>
          <w:p>
            <w:pPr>
              <w:pStyle w:val="TableParagraph"/>
              <w:spacing w:before="22"/>
              <w:ind w:right="119"/>
              <w:rPr>
                <w:i/>
                <w:sz w:val="14"/>
              </w:rPr>
            </w:pPr>
            <w:r>
              <w:rPr>
                <w:i/>
                <w:spacing w:val="-2"/>
                <w:sz w:val="14"/>
              </w:rPr>
              <w:t>(2.00)</w:t>
            </w:r>
          </w:p>
        </w:tc>
        <w:tc>
          <w:tcPr>
            <w:tcW w:w="522" w:type="dxa"/>
            <w:tcBorders>
              <w:top w:val="single" w:sz="4" w:space="0" w:color="000000"/>
              <w:bottom w:val="single" w:sz="4" w:space="0" w:color="000000"/>
            </w:tcBorders>
          </w:tcPr>
          <w:p>
            <w:pPr>
              <w:pStyle w:val="TableParagraph"/>
              <w:spacing w:before="22"/>
              <w:ind w:right="41"/>
              <w:rPr>
                <w:b/>
                <w:sz w:val="14"/>
              </w:rPr>
            </w:pPr>
            <w:r>
              <w:rPr>
                <w:b/>
                <w:spacing w:val="-2"/>
                <w:sz w:val="14"/>
              </w:rPr>
              <w:t>(3.00)</w:t>
            </w:r>
          </w:p>
        </w:tc>
      </w:tr>
      <w:tr>
        <w:trPr>
          <w:trHeight w:val="229" w:hRule="atLeast"/>
        </w:trPr>
        <w:tc>
          <w:tcPr>
            <w:tcW w:w="1186" w:type="dxa"/>
            <w:tcBorders>
              <w:top w:val="single" w:sz="4" w:space="0" w:color="000000"/>
              <w:bottom w:val="single" w:sz="12" w:space="0" w:color="000000"/>
            </w:tcBorders>
          </w:tcPr>
          <w:p>
            <w:pPr>
              <w:pStyle w:val="TableParagraph"/>
              <w:spacing w:before="27"/>
              <w:ind w:left="67"/>
              <w:jc w:val="left"/>
              <w:rPr>
                <w:b/>
                <w:sz w:val="14"/>
              </w:rPr>
            </w:pPr>
            <w:r>
              <w:rPr>
                <w:b/>
                <w:sz w:val="14"/>
              </w:rPr>
              <w:t>Proposed</w:t>
            </w:r>
            <w:r>
              <w:rPr>
                <w:b/>
                <w:spacing w:val="-6"/>
                <w:sz w:val="14"/>
              </w:rPr>
              <w:t> </w:t>
            </w:r>
            <w:r>
              <w:rPr>
                <w:b/>
                <w:spacing w:val="-4"/>
                <w:sz w:val="14"/>
              </w:rPr>
              <w:t>2023</w:t>
            </w:r>
          </w:p>
        </w:tc>
        <w:tc>
          <w:tcPr>
            <w:tcW w:w="678" w:type="dxa"/>
            <w:tcBorders>
              <w:top w:val="single" w:sz="4" w:space="0" w:color="000000"/>
              <w:bottom w:val="single" w:sz="12" w:space="0" w:color="000000"/>
            </w:tcBorders>
          </w:tcPr>
          <w:p>
            <w:pPr>
              <w:pStyle w:val="TableParagraph"/>
              <w:spacing w:before="27"/>
              <w:ind w:right="154"/>
              <w:rPr>
                <w:b/>
                <w:sz w:val="14"/>
              </w:rPr>
            </w:pPr>
            <w:r>
              <w:rPr>
                <w:b/>
                <w:w w:val="99"/>
                <w:sz w:val="14"/>
              </w:rPr>
              <w:t>-</w:t>
            </w:r>
          </w:p>
        </w:tc>
        <w:tc>
          <w:tcPr>
            <w:tcW w:w="607" w:type="dxa"/>
            <w:tcBorders>
              <w:top w:val="single" w:sz="4" w:space="0" w:color="000000"/>
              <w:bottom w:val="single" w:sz="12" w:space="0" w:color="000000"/>
            </w:tcBorders>
          </w:tcPr>
          <w:p>
            <w:pPr>
              <w:pStyle w:val="TableParagraph"/>
              <w:spacing w:before="27"/>
              <w:ind w:right="170"/>
              <w:rPr>
                <w:b/>
                <w:sz w:val="14"/>
              </w:rPr>
            </w:pPr>
            <w:r>
              <w:rPr>
                <w:b/>
                <w:w w:val="99"/>
                <w:sz w:val="14"/>
              </w:rPr>
              <w:t>-</w:t>
            </w:r>
          </w:p>
        </w:tc>
        <w:tc>
          <w:tcPr>
            <w:tcW w:w="563" w:type="dxa"/>
            <w:tcBorders>
              <w:top w:val="single" w:sz="4" w:space="0" w:color="000000"/>
              <w:bottom w:val="single" w:sz="12" w:space="0" w:color="000000"/>
            </w:tcBorders>
          </w:tcPr>
          <w:p>
            <w:pPr>
              <w:pStyle w:val="TableParagraph"/>
              <w:spacing w:before="27"/>
              <w:ind w:right="171"/>
              <w:rPr>
                <w:b/>
                <w:sz w:val="14"/>
              </w:rPr>
            </w:pPr>
            <w:r>
              <w:rPr>
                <w:b/>
                <w:w w:val="99"/>
                <w:sz w:val="14"/>
              </w:rPr>
              <w:t>-</w:t>
            </w:r>
          </w:p>
        </w:tc>
        <w:tc>
          <w:tcPr>
            <w:tcW w:w="581" w:type="dxa"/>
            <w:tcBorders>
              <w:top w:val="single" w:sz="4" w:space="0" w:color="000000"/>
              <w:bottom w:val="single" w:sz="12" w:space="0" w:color="000000"/>
            </w:tcBorders>
          </w:tcPr>
          <w:p>
            <w:pPr>
              <w:pStyle w:val="TableParagraph"/>
              <w:spacing w:before="27"/>
              <w:ind w:right="191"/>
              <w:rPr>
                <w:b/>
                <w:sz w:val="14"/>
              </w:rPr>
            </w:pPr>
            <w:r>
              <w:rPr>
                <w:b/>
                <w:w w:val="99"/>
                <w:sz w:val="14"/>
              </w:rPr>
              <w:t>-</w:t>
            </w:r>
          </w:p>
        </w:tc>
        <w:tc>
          <w:tcPr>
            <w:tcW w:w="581" w:type="dxa"/>
            <w:tcBorders>
              <w:top w:val="single" w:sz="4" w:space="0" w:color="000000"/>
              <w:bottom w:val="single" w:sz="12" w:space="0" w:color="000000"/>
            </w:tcBorders>
          </w:tcPr>
          <w:p>
            <w:pPr>
              <w:pStyle w:val="TableParagraph"/>
              <w:spacing w:before="27"/>
              <w:ind w:left="148"/>
              <w:jc w:val="center"/>
              <w:rPr>
                <w:b/>
                <w:sz w:val="14"/>
              </w:rPr>
            </w:pPr>
            <w:r>
              <w:rPr>
                <w:b/>
                <w:w w:val="99"/>
                <w:sz w:val="14"/>
              </w:rPr>
              <w:t>-</w:t>
            </w:r>
          </w:p>
        </w:tc>
        <w:tc>
          <w:tcPr>
            <w:tcW w:w="566" w:type="dxa"/>
            <w:tcBorders>
              <w:top w:val="single" w:sz="4" w:space="0" w:color="000000"/>
              <w:bottom w:val="single" w:sz="12" w:space="0" w:color="000000"/>
            </w:tcBorders>
          </w:tcPr>
          <w:p>
            <w:pPr>
              <w:pStyle w:val="TableParagraph"/>
              <w:spacing w:before="27"/>
              <w:ind w:right="171"/>
              <w:rPr>
                <w:b/>
                <w:sz w:val="14"/>
              </w:rPr>
            </w:pPr>
            <w:r>
              <w:rPr>
                <w:b/>
                <w:w w:val="99"/>
                <w:sz w:val="14"/>
              </w:rPr>
              <w:t>-</w:t>
            </w:r>
          </w:p>
        </w:tc>
        <w:tc>
          <w:tcPr>
            <w:tcW w:w="624" w:type="dxa"/>
            <w:tcBorders>
              <w:top w:val="single" w:sz="4" w:space="0" w:color="000000"/>
              <w:bottom w:val="single" w:sz="12" w:space="0" w:color="000000"/>
            </w:tcBorders>
          </w:tcPr>
          <w:p>
            <w:pPr>
              <w:pStyle w:val="TableParagraph"/>
              <w:spacing w:before="27"/>
              <w:ind w:right="196"/>
              <w:rPr>
                <w:b/>
                <w:sz w:val="14"/>
              </w:rPr>
            </w:pPr>
            <w:r>
              <w:rPr>
                <w:b/>
                <w:spacing w:val="-4"/>
                <w:sz w:val="14"/>
              </w:rPr>
              <w:t>2.00</w:t>
            </w:r>
          </w:p>
        </w:tc>
        <w:tc>
          <w:tcPr>
            <w:tcW w:w="735" w:type="dxa"/>
            <w:tcBorders>
              <w:top w:val="single" w:sz="4" w:space="0" w:color="000000"/>
              <w:bottom w:val="single" w:sz="12" w:space="0" w:color="000000"/>
            </w:tcBorders>
          </w:tcPr>
          <w:p>
            <w:pPr>
              <w:pStyle w:val="TableParagraph"/>
              <w:spacing w:before="27"/>
              <w:ind w:right="191"/>
              <w:rPr>
                <w:b/>
                <w:sz w:val="14"/>
              </w:rPr>
            </w:pPr>
            <w:r>
              <w:rPr>
                <w:b/>
                <w:spacing w:val="-4"/>
                <w:sz w:val="14"/>
              </w:rPr>
              <w:t>2.00</w:t>
            </w:r>
          </w:p>
        </w:tc>
        <w:tc>
          <w:tcPr>
            <w:tcW w:w="463" w:type="dxa"/>
            <w:tcBorders>
              <w:top w:val="single" w:sz="4" w:space="0" w:color="000000"/>
              <w:bottom w:val="single" w:sz="12" w:space="0" w:color="000000"/>
            </w:tcBorders>
          </w:tcPr>
          <w:p>
            <w:pPr>
              <w:pStyle w:val="TableParagraph"/>
              <w:spacing w:before="27"/>
              <w:ind w:right="62"/>
              <w:rPr>
                <w:b/>
                <w:sz w:val="14"/>
              </w:rPr>
            </w:pPr>
            <w:r>
              <w:rPr>
                <w:b/>
                <w:w w:val="99"/>
                <w:sz w:val="14"/>
              </w:rPr>
              <w:t>-</w:t>
            </w:r>
          </w:p>
        </w:tc>
        <w:tc>
          <w:tcPr>
            <w:tcW w:w="795" w:type="dxa"/>
            <w:tcBorders>
              <w:top w:val="single" w:sz="4" w:space="0" w:color="000000"/>
              <w:bottom w:val="single" w:sz="12" w:space="0" w:color="000000"/>
            </w:tcBorders>
          </w:tcPr>
          <w:p>
            <w:pPr>
              <w:pStyle w:val="TableParagraph"/>
              <w:spacing w:before="27"/>
              <w:ind w:right="119"/>
              <w:rPr>
                <w:b/>
                <w:i/>
                <w:sz w:val="14"/>
              </w:rPr>
            </w:pPr>
            <w:r>
              <w:rPr>
                <w:b/>
                <w:i/>
                <w:spacing w:val="-4"/>
                <w:sz w:val="14"/>
              </w:rPr>
              <w:t>4.00</w:t>
            </w:r>
          </w:p>
        </w:tc>
        <w:tc>
          <w:tcPr>
            <w:tcW w:w="566" w:type="dxa"/>
            <w:tcBorders>
              <w:top w:val="single" w:sz="4" w:space="0" w:color="000000"/>
              <w:bottom w:val="single" w:sz="12" w:space="0" w:color="000000"/>
            </w:tcBorders>
          </w:tcPr>
          <w:p>
            <w:pPr>
              <w:pStyle w:val="TableParagraph"/>
              <w:spacing w:before="27"/>
              <w:ind w:right="93"/>
              <w:rPr>
                <w:b/>
                <w:sz w:val="14"/>
              </w:rPr>
            </w:pPr>
            <w:r>
              <w:rPr>
                <w:b/>
                <w:w w:val="99"/>
                <w:sz w:val="14"/>
              </w:rPr>
              <w:t>-</w:t>
            </w:r>
          </w:p>
        </w:tc>
        <w:tc>
          <w:tcPr>
            <w:tcW w:w="576" w:type="dxa"/>
            <w:tcBorders>
              <w:top w:val="single" w:sz="4" w:space="0" w:color="000000"/>
              <w:bottom w:val="single" w:sz="12" w:space="0" w:color="000000"/>
            </w:tcBorders>
          </w:tcPr>
          <w:p>
            <w:pPr>
              <w:pStyle w:val="TableParagraph"/>
              <w:spacing w:before="27"/>
              <w:ind w:right="78"/>
              <w:rPr>
                <w:b/>
                <w:sz w:val="14"/>
              </w:rPr>
            </w:pPr>
            <w:r>
              <w:rPr>
                <w:b/>
                <w:w w:val="99"/>
                <w:sz w:val="14"/>
              </w:rPr>
              <w:t>-</w:t>
            </w:r>
          </w:p>
        </w:tc>
        <w:tc>
          <w:tcPr>
            <w:tcW w:w="564" w:type="dxa"/>
            <w:tcBorders>
              <w:top w:val="single" w:sz="4" w:space="0" w:color="000000"/>
              <w:bottom w:val="single" w:sz="12" w:space="0" w:color="000000"/>
            </w:tcBorders>
          </w:tcPr>
          <w:p>
            <w:pPr>
              <w:pStyle w:val="TableParagraph"/>
              <w:spacing w:before="27"/>
              <w:ind w:right="49"/>
              <w:rPr>
                <w:b/>
                <w:sz w:val="14"/>
              </w:rPr>
            </w:pPr>
            <w:r>
              <w:rPr>
                <w:b/>
                <w:spacing w:val="-2"/>
                <w:sz w:val="14"/>
              </w:rPr>
              <w:t>14.83</w:t>
            </w:r>
          </w:p>
        </w:tc>
        <w:tc>
          <w:tcPr>
            <w:tcW w:w="811" w:type="dxa"/>
            <w:tcBorders>
              <w:top w:val="single" w:sz="4" w:space="0" w:color="000000"/>
              <w:bottom w:val="single" w:sz="12" w:space="0" w:color="000000"/>
            </w:tcBorders>
          </w:tcPr>
          <w:p>
            <w:pPr>
              <w:pStyle w:val="TableParagraph"/>
              <w:spacing w:before="27"/>
              <w:ind w:right="120"/>
              <w:rPr>
                <w:b/>
                <w:i/>
                <w:sz w:val="14"/>
              </w:rPr>
            </w:pPr>
            <w:r>
              <w:rPr>
                <w:b/>
                <w:i/>
                <w:spacing w:val="-2"/>
                <w:sz w:val="14"/>
              </w:rPr>
              <w:t>14.83</w:t>
            </w:r>
          </w:p>
        </w:tc>
        <w:tc>
          <w:tcPr>
            <w:tcW w:w="522" w:type="dxa"/>
            <w:tcBorders>
              <w:top w:val="single" w:sz="4" w:space="0" w:color="000000"/>
              <w:bottom w:val="single" w:sz="12" w:space="0" w:color="000000"/>
            </w:tcBorders>
          </w:tcPr>
          <w:p>
            <w:pPr>
              <w:pStyle w:val="TableParagraph"/>
              <w:spacing w:before="27"/>
              <w:ind w:right="42"/>
              <w:rPr>
                <w:b/>
                <w:sz w:val="14"/>
              </w:rPr>
            </w:pPr>
            <w:r>
              <w:rPr>
                <w:b/>
                <w:spacing w:val="-2"/>
                <w:sz w:val="14"/>
              </w:rPr>
              <w:t>18.83</w:t>
            </w:r>
          </w:p>
        </w:tc>
      </w:tr>
    </w:tbl>
    <w:p>
      <w:pPr>
        <w:spacing w:after="0"/>
        <w:rPr>
          <w:sz w:val="14"/>
        </w:rPr>
        <w:sectPr>
          <w:pgSz w:w="11910" w:h="16840"/>
          <w:pgMar w:header="957" w:footer="940" w:top="1140" w:bottom="1140" w:left="20" w:right="20"/>
        </w:sectPr>
      </w:pPr>
    </w:p>
    <w:p>
      <w:pPr>
        <w:pStyle w:val="ListParagraph"/>
        <w:numPr>
          <w:ilvl w:val="2"/>
          <w:numId w:val="3"/>
        </w:numPr>
        <w:tabs>
          <w:tab w:pos="2246" w:val="left" w:leader="none"/>
          <w:tab w:pos="2247" w:val="left" w:leader="none"/>
        </w:tabs>
        <w:spacing w:line="491" w:lineRule="auto" w:before="124" w:after="0"/>
        <w:ind w:left="2246" w:right="5632" w:hanging="567"/>
        <w:jc w:val="left"/>
        <w:rPr>
          <w:b/>
          <w:sz w:val="20"/>
        </w:rPr>
      </w:pPr>
      <w:bookmarkStart w:name="_bookmark38" w:id="39"/>
      <w:bookmarkEnd w:id="39"/>
      <w:r>
        <w:rPr>
          <w:b/>
          <w:sz w:val="20"/>
        </w:rPr>
        <w:t>P</w:t>
      </w:r>
      <w:r>
        <w:rPr>
          <w:b/>
          <w:sz w:val="20"/>
        </w:rPr>
        <w:t>rogramme</w:t>
      </w:r>
      <w:r>
        <w:rPr>
          <w:b/>
          <w:spacing w:val="-7"/>
          <w:sz w:val="20"/>
        </w:rPr>
        <w:t> </w:t>
      </w:r>
      <w:r>
        <w:rPr>
          <w:b/>
          <w:sz w:val="20"/>
        </w:rPr>
        <w:t>3300:</w:t>
      </w:r>
      <w:r>
        <w:rPr>
          <w:b/>
          <w:spacing w:val="-5"/>
          <w:sz w:val="20"/>
        </w:rPr>
        <w:t> </w:t>
      </w:r>
      <w:r>
        <w:rPr>
          <w:b/>
          <w:sz w:val="20"/>
        </w:rPr>
        <w:t>Division</w:t>
      </w:r>
      <w:r>
        <w:rPr>
          <w:b/>
          <w:spacing w:val="-10"/>
          <w:sz w:val="20"/>
        </w:rPr>
        <w:t> </w:t>
      </w:r>
      <w:r>
        <w:rPr>
          <w:b/>
          <w:sz w:val="20"/>
        </w:rPr>
        <w:t>of</w:t>
      </w:r>
      <w:r>
        <w:rPr>
          <w:b/>
          <w:spacing w:val="-9"/>
          <w:sz w:val="20"/>
        </w:rPr>
        <w:t> </w:t>
      </w:r>
      <w:r>
        <w:rPr>
          <w:b/>
          <w:sz w:val="20"/>
        </w:rPr>
        <w:t>Judicial</w:t>
      </w:r>
      <w:r>
        <w:rPr>
          <w:b/>
          <w:spacing w:val="-3"/>
          <w:sz w:val="20"/>
        </w:rPr>
        <w:t> </w:t>
      </w:r>
      <w:r>
        <w:rPr>
          <w:b/>
          <w:sz w:val="20"/>
        </w:rPr>
        <w:t>Services </w:t>
      </w:r>
      <w:r>
        <w:rPr>
          <w:b/>
          <w:spacing w:val="-2"/>
          <w:sz w:val="20"/>
        </w:rPr>
        <w:t>Introduction</w:t>
      </w:r>
    </w:p>
    <w:p>
      <w:pPr>
        <w:pStyle w:val="ListParagraph"/>
        <w:numPr>
          <w:ilvl w:val="0"/>
          <w:numId w:val="4"/>
        </w:numPr>
        <w:tabs>
          <w:tab w:pos="2967" w:val="left" w:leader="none"/>
        </w:tabs>
        <w:spacing w:line="240" w:lineRule="auto" w:before="0" w:after="0"/>
        <w:ind w:left="2246" w:right="2242" w:firstLine="0"/>
        <w:jc w:val="both"/>
        <w:rPr>
          <w:sz w:val="20"/>
        </w:rPr>
      </w:pPr>
      <w:bookmarkStart w:name="_bookmark39" w:id="40"/>
      <w:bookmarkEnd w:id="40"/>
      <w:r>
        <w:rPr>
          <w:sz w:val="20"/>
        </w:rPr>
        <w:t>T</w:t>
      </w:r>
      <w:r>
        <w:rPr>
          <w:sz w:val="20"/>
        </w:rPr>
        <w:t>he Division of Judicial Services (DJS or “the Division”) is responsible for providing</w:t>
      </w:r>
      <w:r>
        <w:rPr>
          <w:spacing w:val="-1"/>
          <w:sz w:val="20"/>
        </w:rPr>
        <w:t> </w:t>
      </w:r>
      <w:r>
        <w:rPr>
          <w:sz w:val="20"/>
        </w:rPr>
        <w:t>support for</w:t>
      </w:r>
      <w:r>
        <w:rPr>
          <w:spacing w:val="-5"/>
          <w:sz w:val="20"/>
        </w:rPr>
        <w:t> </w:t>
      </w:r>
      <w:r>
        <w:rPr>
          <w:sz w:val="20"/>
        </w:rPr>
        <w:t>the</w:t>
      </w:r>
      <w:r>
        <w:rPr>
          <w:spacing w:val="-4"/>
          <w:sz w:val="20"/>
        </w:rPr>
        <w:t> </w:t>
      </w:r>
      <w:r>
        <w:rPr>
          <w:sz w:val="20"/>
        </w:rPr>
        <w:t>judicial proceedings</w:t>
      </w:r>
      <w:r>
        <w:rPr>
          <w:spacing w:val="-2"/>
          <w:sz w:val="20"/>
        </w:rPr>
        <w:t> </w:t>
      </w:r>
      <w:r>
        <w:rPr>
          <w:sz w:val="20"/>
        </w:rPr>
        <w:t>of</w:t>
      </w:r>
      <w:r>
        <w:rPr>
          <w:spacing w:val="-5"/>
          <w:sz w:val="20"/>
        </w:rPr>
        <w:t> </w:t>
      </w:r>
      <w:r>
        <w:rPr>
          <w:sz w:val="20"/>
        </w:rPr>
        <w:t>the</w:t>
      </w:r>
      <w:r>
        <w:rPr>
          <w:spacing w:val="-4"/>
          <w:sz w:val="20"/>
        </w:rPr>
        <w:t> </w:t>
      </w:r>
      <w:r>
        <w:rPr>
          <w:sz w:val="20"/>
        </w:rPr>
        <w:t>Court,</w:t>
      </w:r>
      <w:r>
        <w:rPr>
          <w:spacing w:val="-3"/>
          <w:sz w:val="20"/>
        </w:rPr>
        <w:t> </w:t>
      </w:r>
      <w:r>
        <w:rPr>
          <w:sz w:val="20"/>
        </w:rPr>
        <w:t>as</w:t>
      </w:r>
      <w:r>
        <w:rPr>
          <w:spacing w:val="-2"/>
          <w:sz w:val="20"/>
        </w:rPr>
        <w:t> </w:t>
      </w:r>
      <w:r>
        <w:rPr>
          <w:sz w:val="20"/>
        </w:rPr>
        <w:t>well</w:t>
      </w:r>
      <w:r>
        <w:rPr>
          <w:spacing w:val="-4"/>
          <w:sz w:val="20"/>
        </w:rPr>
        <w:t> </w:t>
      </w:r>
      <w:r>
        <w:rPr>
          <w:sz w:val="20"/>
        </w:rPr>
        <w:t>as</w:t>
      </w:r>
      <w:r>
        <w:rPr>
          <w:spacing w:val="-2"/>
          <w:sz w:val="20"/>
        </w:rPr>
        <w:t> </w:t>
      </w:r>
      <w:r>
        <w:rPr>
          <w:sz w:val="20"/>
        </w:rPr>
        <w:t>corporate</w:t>
      </w:r>
      <w:r>
        <w:rPr>
          <w:spacing w:val="-4"/>
          <w:sz w:val="20"/>
        </w:rPr>
        <w:t> </w:t>
      </w:r>
      <w:r>
        <w:rPr>
          <w:sz w:val="20"/>
        </w:rPr>
        <w:t>information technology/information management and language services. It comprises the Office of the Director (OD-DJS), the Court Management Section (CMS), the Information Management Services</w:t>
      </w:r>
      <w:r>
        <w:rPr>
          <w:spacing w:val="-6"/>
          <w:sz w:val="20"/>
        </w:rPr>
        <w:t> </w:t>
      </w:r>
      <w:r>
        <w:rPr>
          <w:sz w:val="20"/>
        </w:rPr>
        <w:t>Section</w:t>
      </w:r>
      <w:r>
        <w:rPr>
          <w:spacing w:val="-5"/>
          <w:sz w:val="20"/>
        </w:rPr>
        <w:t> </w:t>
      </w:r>
      <w:r>
        <w:rPr>
          <w:sz w:val="20"/>
        </w:rPr>
        <w:t>(IMSS),</w:t>
      </w:r>
      <w:r>
        <w:rPr>
          <w:spacing w:val="-7"/>
          <w:sz w:val="20"/>
        </w:rPr>
        <w:t> </w:t>
      </w:r>
      <w:r>
        <w:rPr>
          <w:sz w:val="20"/>
        </w:rPr>
        <w:t>the</w:t>
      </w:r>
      <w:r>
        <w:rPr>
          <w:spacing w:val="-3"/>
          <w:sz w:val="20"/>
        </w:rPr>
        <w:t> </w:t>
      </w:r>
      <w:r>
        <w:rPr>
          <w:sz w:val="20"/>
        </w:rPr>
        <w:t>Detention</w:t>
      </w:r>
      <w:r>
        <w:rPr>
          <w:spacing w:val="-5"/>
          <w:sz w:val="20"/>
        </w:rPr>
        <w:t> </w:t>
      </w:r>
      <w:r>
        <w:rPr>
          <w:sz w:val="20"/>
        </w:rPr>
        <w:t>Section</w:t>
      </w:r>
      <w:r>
        <w:rPr>
          <w:spacing w:val="-5"/>
          <w:sz w:val="20"/>
        </w:rPr>
        <w:t> </w:t>
      </w:r>
      <w:r>
        <w:rPr>
          <w:sz w:val="20"/>
        </w:rPr>
        <w:t>(DS),</w:t>
      </w:r>
      <w:r>
        <w:rPr>
          <w:spacing w:val="-7"/>
          <w:sz w:val="20"/>
        </w:rPr>
        <w:t> </w:t>
      </w:r>
      <w:r>
        <w:rPr>
          <w:sz w:val="20"/>
        </w:rPr>
        <w:t>the</w:t>
      </w:r>
      <w:r>
        <w:rPr>
          <w:spacing w:val="-8"/>
          <w:sz w:val="20"/>
        </w:rPr>
        <w:t> </w:t>
      </w:r>
      <w:r>
        <w:rPr>
          <w:sz w:val="20"/>
        </w:rPr>
        <w:t>Language</w:t>
      </w:r>
      <w:r>
        <w:rPr>
          <w:spacing w:val="-3"/>
          <w:sz w:val="20"/>
        </w:rPr>
        <w:t> </w:t>
      </w:r>
      <w:r>
        <w:rPr>
          <w:sz w:val="20"/>
        </w:rPr>
        <w:t>Services</w:t>
      </w:r>
      <w:r>
        <w:rPr>
          <w:spacing w:val="-1"/>
          <w:sz w:val="20"/>
        </w:rPr>
        <w:t> </w:t>
      </w:r>
      <w:r>
        <w:rPr>
          <w:sz w:val="20"/>
        </w:rPr>
        <w:t>Section</w:t>
      </w:r>
      <w:r>
        <w:rPr>
          <w:spacing w:val="-5"/>
          <w:sz w:val="20"/>
        </w:rPr>
        <w:t> </w:t>
      </w:r>
      <w:r>
        <w:rPr>
          <w:sz w:val="20"/>
        </w:rPr>
        <w:t>(LSS), the Victims Participation and Reparations Section (VPRS), the Counsel Support Section (CSS), the Office of Public Counsel for Victims (OPCV) and the Office of Public Counsel for the Defence (OPCD).</w:t>
      </w:r>
    </w:p>
    <w:p>
      <w:pPr>
        <w:pStyle w:val="ListParagraph"/>
        <w:numPr>
          <w:ilvl w:val="0"/>
          <w:numId w:val="4"/>
        </w:numPr>
        <w:tabs>
          <w:tab w:pos="2967" w:val="left" w:leader="none"/>
        </w:tabs>
        <w:spacing w:line="240" w:lineRule="auto" w:before="117" w:after="0"/>
        <w:ind w:left="2246" w:right="2238" w:firstLine="0"/>
        <w:jc w:val="both"/>
        <w:rPr>
          <w:sz w:val="20"/>
        </w:rPr>
      </w:pPr>
      <w:r>
        <w:rPr>
          <w:sz w:val="20"/>
        </w:rPr>
        <w:t>DJS provides a number of services that are crucial for the implementation of the Court’s core mandate. As part of its support for judicial proceedings, it manages the courtrooms and organizes hearings, including hearings by video link. In addition, DJS is responsible for the management of Court records and the functioning of the eCourt system. It</w:t>
      </w:r>
      <w:r>
        <w:rPr>
          <w:spacing w:val="-3"/>
          <w:sz w:val="20"/>
        </w:rPr>
        <w:t> </w:t>
      </w:r>
      <w:r>
        <w:rPr>
          <w:sz w:val="20"/>
        </w:rPr>
        <w:t>helps</w:t>
      </w:r>
      <w:r>
        <w:rPr>
          <w:spacing w:val="-1"/>
          <w:sz w:val="20"/>
        </w:rPr>
        <w:t> </w:t>
      </w:r>
      <w:r>
        <w:rPr>
          <w:sz w:val="20"/>
        </w:rPr>
        <w:t>victims</w:t>
      </w:r>
      <w:r>
        <w:rPr>
          <w:spacing w:val="-1"/>
          <w:sz w:val="20"/>
        </w:rPr>
        <w:t> </w:t>
      </w:r>
      <w:r>
        <w:rPr>
          <w:sz w:val="20"/>
        </w:rPr>
        <w:t>participate</w:t>
      </w:r>
      <w:r>
        <w:rPr>
          <w:spacing w:val="-3"/>
          <w:sz w:val="20"/>
        </w:rPr>
        <w:t> </w:t>
      </w:r>
      <w:r>
        <w:rPr>
          <w:sz w:val="20"/>
        </w:rPr>
        <w:t>in</w:t>
      </w:r>
      <w:r>
        <w:rPr>
          <w:spacing w:val="-5"/>
          <w:sz w:val="20"/>
        </w:rPr>
        <w:t> </w:t>
      </w:r>
      <w:r>
        <w:rPr>
          <w:sz w:val="20"/>
        </w:rPr>
        <w:t>the</w:t>
      </w:r>
      <w:r>
        <w:rPr>
          <w:spacing w:val="-3"/>
          <w:sz w:val="20"/>
        </w:rPr>
        <w:t> </w:t>
      </w:r>
      <w:r>
        <w:rPr>
          <w:sz w:val="20"/>
        </w:rPr>
        <w:t>various</w:t>
      </w:r>
      <w:r>
        <w:rPr>
          <w:spacing w:val="-6"/>
          <w:sz w:val="20"/>
        </w:rPr>
        <w:t> </w:t>
      </w:r>
      <w:r>
        <w:rPr>
          <w:sz w:val="20"/>
        </w:rPr>
        <w:t>phases</w:t>
      </w:r>
      <w:r>
        <w:rPr>
          <w:spacing w:val="-6"/>
          <w:sz w:val="20"/>
        </w:rPr>
        <w:t> </w:t>
      </w:r>
      <w:r>
        <w:rPr>
          <w:sz w:val="20"/>
        </w:rPr>
        <w:t>of</w:t>
      </w:r>
      <w:r>
        <w:rPr>
          <w:spacing w:val="-5"/>
          <w:sz w:val="20"/>
        </w:rPr>
        <w:t> </w:t>
      </w:r>
      <w:r>
        <w:rPr>
          <w:sz w:val="20"/>
        </w:rPr>
        <w:t>Court</w:t>
      </w:r>
      <w:r>
        <w:rPr>
          <w:spacing w:val="-3"/>
          <w:sz w:val="20"/>
        </w:rPr>
        <w:t> </w:t>
      </w:r>
      <w:r>
        <w:rPr>
          <w:sz w:val="20"/>
        </w:rPr>
        <w:t>proceedings,</w:t>
      </w:r>
      <w:r>
        <w:rPr>
          <w:spacing w:val="-2"/>
          <w:sz w:val="20"/>
        </w:rPr>
        <w:t> </w:t>
      </w:r>
      <w:r>
        <w:rPr>
          <w:sz w:val="20"/>
        </w:rPr>
        <w:t>including</w:t>
      </w:r>
      <w:r>
        <w:rPr>
          <w:spacing w:val="-5"/>
          <w:sz w:val="20"/>
        </w:rPr>
        <w:t> </w:t>
      </w:r>
      <w:r>
        <w:rPr>
          <w:sz w:val="20"/>
        </w:rPr>
        <w:t>reparations proceedings, and facilitates the appointment of reparations experts where appropriate. Through CSS,</w:t>
      </w:r>
      <w:r>
        <w:rPr>
          <w:spacing w:val="-1"/>
          <w:sz w:val="20"/>
        </w:rPr>
        <w:t> </w:t>
      </w:r>
      <w:r>
        <w:rPr>
          <w:sz w:val="20"/>
        </w:rPr>
        <w:t>it</w:t>
      </w:r>
      <w:r>
        <w:rPr>
          <w:spacing w:val="-2"/>
          <w:sz w:val="20"/>
        </w:rPr>
        <w:t> </w:t>
      </w:r>
      <w:r>
        <w:rPr>
          <w:sz w:val="20"/>
        </w:rPr>
        <w:t>also</w:t>
      </w:r>
      <w:r>
        <w:rPr>
          <w:spacing w:val="-4"/>
          <w:sz w:val="20"/>
        </w:rPr>
        <w:t> </w:t>
      </w:r>
      <w:r>
        <w:rPr>
          <w:sz w:val="20"/>
        </w:rPr>
        <w:t>manages legal aid</w:t>
      </w:r>
      <w:r>
        <w:rPr>
          <w:spacing w:val="-4"/>
          <w:sz w:val="20"/>
        </w:rPr>
        <w:t> </w:t>
      </w:r>
      <w:r>
        <w:rPr>
          <w:sz w:val="20"/>
        </w:rPr>
        <w:t>for</w:t>
      </w:r>
      <w:r>
        <w:rPr>
          <w:spacing w:val="-3"/>
          <w:sz w:val="20"/>
        </w:rPr>
        <w:t> </w:t>
      </w:r>
      <w:r>
        <w:rPr>
          <w:sz w:val="20"/>
        </w:rPr>
        <w:t>indigent victims</w:t>
      </w:r>
      <w:r>
        <w:rPr>
          <w:spacing w:val="-5"/>
          <w:sz w:val="20"/>
        </w:rPr>
        <w:t> </w:t>
      </w:r>
      <w:r>
        <w:rPr>
          <w:sz w:val="20"/>
        </w:rPr>
        <w:t>and defendants</w:t>
      </w:r>
      <w:r>
        <w:rPr>
          <w:spacing w:val="-5"/>
          <w:sz w:val="20"/>
        </w:rPr>
        <w:t> </w:t>
      </w:r>
      <w:r>
        <w:rPr>
          <w:sz w:val="20"/>
        </w:rPr>
        <w:t>and</w:t>
      </w:r>
      <w:r>
        <w:rPr>
          <w:spacing w:val="-4"/>
          <w:sz w:val="20"/>
        </w:rPr>
        <w:t> </w:t>
      </w:r>
      <w:r>
        <w:rPr>
          <w:sz w:val="20"/>
        </w:rPr>
        <w:t>coordinates all assistance provided to counsel by the Court. DS ensures safe, secure and humane conditions for persons in the Court’s custody and the smooth functioning of the detention facilities according to international standards. Although substantively independent of the Registry, OPCV and OPCD fall under DJS for administrative purposes. Working under the mandates set out in the Regulations of the Court, they provide substantive legal support to victims and defence teams, respectively. In addition, OPCV may, upon appointment by a Chamber of the Court or by the victims, represent victims in Court proceedings.</w:t>
      </w:r>
    </w:p>
    <w:p>
      <w:pPr>
        <w:pStyle w:val="ListParagraph"/>
        <w:numPr>
          <w:ilvl w:val="0"/>
          <w:numId w:val="4"/>
        </w:numPr>
        <w:tabs>
          <w:tab w:pos="2967" w:val="left" w:leader="none"/>
        </w:tabs>
        <w:spacing w:line="240" w:lineRule="auto" w:before="122" w:after="0"/>
        <w:ind w:left="2246" w:right="2238" w:firstLine="0"/>
        <w:jc w:val="both"/>
        <w:rPr>
          <w:sz w:val="20"/>
        </w:rPr>
      </w:pPr>
      <w:r>
        <w:rPr>
          <w:sz w:val="20"/>
        </w:rPr>
        <w:t>The Division’s services are not limited to courtroom activities. DJS provides two types of corporate services: (1) information technology and information management support, including IT services and systems to support all of the Court’s daily judicial, administrative,</w:t>
      </w:r>
      <w:r>
        <w:rPr>
          <w:spacing w:val="-1"/>
          <w:sz w:val="20"/>
        </w:rPr>
        <w:t> </w:t>
      </w:r>
      <w:r>
        <w:rPr>
          <w:sz w:val="20"/>
        </w:rPr>
        <w:t>investigative</w:t>
      </w:r>
      <w:r>
        <w:rPr>
          <w:spacing w:val="-2"/>
          <w:sz w:val="20"/>
        </w:rPr>
        <w:t> </w:t>
      </w:r>
      <w:r>
        <w:rPr>
          <w:sz w:val="20"/>
        </w:rPr>
        <w:t>and</w:t>
      </w:r>
      <w:r>
        <w:rPr>
          <w:spacing w:val="-4"/>
          <w:sz w:val="20"/>
        </w:rPr>
        <w:t> </w:t>
      </w:r>
      <w:r>
        <w:rPr>
          <w:sz w:val="20"/>
        </w:rPr>
        <w:t>governance</w:t>
      </w:r>
      <w:r>
        <w:rPr>
          <w:spacing w:val="-2"/>
          <w:sz w:val="20"/>
        </w:rPr>
        <w:t> </w:t>
      </w:r>
      <w:r>
        <w:rPr>
          <w:sz w:val="20"/>
        </w:rPr>
        <w:t>activities; and</w:t>
      </w:r>
      <w:r>
        <w:rPr>
          <w:spacing w:val="-4"/>
          <w:sz w:val="20"/>
        </w:rPr>
        <w:t> </w:t>
      </w:r>
      <w:r>
        <w:rPr>
          <w:sz w:val="20"/>
        </w:rPr>
        <w:t>(2) language services,</w:t>
      </w:r>
      <w:r>
        <w:rPr>
          <w:spacing w:val="-1"/>
          <w:sz w:val="20"/>
        </w:rPr>
        <w:t> </w:t>
      </w:r>
      <w:r>
        <w:rPr>
          <w:sz w:val="20"/>
        </w:rPr>
        <w:t>including translation, court and conference interpretation, and field and operational interpretation in more than 30 situation-related languages.</w:t>
      </w:r>
    </w:p>
    <w:p>
      <w:pPr>
        <w:pStyle w:val="BodyText"/>
        <w:spacing w:before="2"/>
        <w:rPr>
          <w:sz w:val="21"/>
        </w:rPr>
      </w:pPr>
    </w:p>
    <w:p>
      <w:pPr>
        <w:pStyle w:val="Heading3"/>
        <w:tabs>
          <w:tab w:pos="7980" w:val="left" w:leader="none"/>
        </w:tabs>
        <w:jc w:val="both"/>
      </w:pPr>
      <w:r>
        <w:rPr/>
        <w:t>Budget</w:t>
      </w:r>
      <w:r>
        <w:rPr>
          <w:spacing w:val="-6"/>
        </w:rPr>
        <w:t> </w:t>
      </w:r>
      <w:r>
        <w:rPr>
          <w:spacing w:val="-2"/>
        </w:rPr>
        <w:t>resources</w:t>
      </w:r>
      <w:r>
        <w:rPr/>
        <w:tab/>
        <w:t>€42,663.1</w:t>
      </w:r>
      <w:r>
        <w:rPr>
          <w:spacing w:val="-6"/>
        </w:rPr>
        <w:t> </w:t>
      </w:r>
      <w:r>
        <w:rPr>
          <w:spacing w:val="-2"/>
        </w:rPr>
        <w:t>thousand</w:t>
      </w:r>
    </w:p>
    <w:p>
      <w:pPr>
        <w:pStyle w:val="BodyText"/>
        <w:spacing w:before="11"/>
        <w:rPr>
          <w:b/>
        </w:rPr>
      </w:pPr>
    </w:p>
    <w:p>
      <w:pPr>
        <w:pStyle w:val="ListParagraph"/>
        <w:numPr>
          <w:ilvl w:val="0"/>
          <w:numId w:val="4"/>
        </w:numPr>
        <w:tabs>
          <w:tab w:pos="2967" w:val="left" w:leader="none"/>
        </w:tabs>
        <w:spacing w:line="240" w:lineRule="auto" w:before="0" w:after="0"/>
        <w:ind w:left="2967" w:right="0" w:hanging="721"/>
        <w:jc w:val="both"/>
        <w:rPr>
          <w:sz w:val="20"/>
        </w:rPr>
      </w:pPr>
      <w:r>
        <w:rPr>
          <w:sz w:val="20"/>
        </w:rPr>
        <w:t>The</w:t>
      </w:r>
      <w:r>
        <w:rPr>
          <w:spacing w:val="33"/>
          <w:sz w:val="20"/>
        </w:rPr>
        <w:t> </w:t>
      </w:r>
      <w:r>
        <w:rPr>
          <w:sz w:val="20"/>
        </w:rPr>
        <w:t>Division’s</w:t>
      </w:r>
      <w:r>
        <w:rPr>
          <w:spacing w:val="31"/>
          <w:sz w:val="20"/>
        </w:rPr>
        <w:t> </w:t>
      </w:r>
      <w:r>
        <w:rPr>
          <w:sz w:val="20"/>
        </w:rPr>
        <w:t>proposed</w:t>
      </w:r>
      <w:r>
        <w:rPr>
          <w:spacing w:val="32"/>
          <w:sz w:val="20"/>
        </w:rPr>
        <w:t> </w:t>
      </w:r>
      <w:r>
        <w:rPr>
          <w:sz w:val="20"/>
        </w:rPr>
        <w:t>budget</w:t>
      </w:r>
      <w:r>
        <w:rPr>
          <w:spacing w:val="34"/>
          <w:sz w:val="20"/>
        </w:rPr>
        <w:t> </w:t>
      </w:r>
      <w:r>
        <w:rPr>
          <w:sz w:val="20"/>
        </w:rPr>
        <w:t>for</w:t>
      </w:r>
      <w:r>
        <w:rPr>
          <w:spacing w:val="33"/>
          <w:sz w:val="20"/>
        </w:rPr>
        <w:t> </w:t>
      </w:r>
      <w:r>
        <w:rPr>
          <w:sz w:val="20"/>
        </w:rPr>
        <w:t>2023</w:t>
      </w:r>
      <w:r>
        <w:rPr>
          <w:spacing w:val="32"/>
          <w:sz w:val="20"/>
        </w:rPr>
        <w:t> </w:t>
      </w:r>
      <w:r>
        <w:rPr>
          <w:sz w:val="20"/>
        </w:rPr>
        <w:t>represents</w:t>
      </w:r>
      <w:r>
        <w:rPr>
          <w:spacing w:val="31"/>
          <w:sz w:val="20"/>
        </w:rPr>
        <w:t> </w:t>
      </w:r>
      <w:r>
        <w:rPr>
          <w:sz w:val="20"/>
        </w:rPr>
        <w:t>an</w:t>
      </w:r>
      <w:r>
        <w:rPr>
          <w:spacing w:val="33"/>
          <w:sz w:val="20"/>
        </w:rPr>
        <w:t> </w:t>
      </w:r>
      <w:r>
        <w:rPr>
          <w:sz w:val="20"/>
        </w:rPr>
        <w:t>overall</w:t>
      </w:r>
      <w:r>
        <w:rPr>
          <w:spacing w:val="33"/>
          <w:sz w:val="20"/>
        </w:rPr>
        <w:t> </w:t>
      </w:r>
      <w:r>
        <w:rPr>
          <w:sz w:val="20"/>
        </w:rPr>
        <w:t>net</w:t>
      </w:r>
      <w:r>
        <w:rPr>
          <w:spacing w:val="34"/>
          <w:sz w:val="20"/>
        </w:rPr>
        <w:t> </w:t>
      </w:r>
      <w:r>
        <w:rPr>
          <w:sz w:val="20"/>
        </w:rPr>
        <w:t>increase</w:t>
      </w:r>
      <w:r>
        <w:rPr>
          <w:spacing w:val="34"/>
          <w:sz w:val="20"/>
        </w:rPr>
        <w:t> </w:t>
      </w:r>
      <w:r>
        <w:rPr>
          <w:spacing w:val="-5"/>
          <w:sz w:val="20"/>
        </w:rPr>
        <w:t>of</w:t>
      </w:r>
    </w:p>
    <w:p>
      <w:pPr>
        <w:pStyle w:val="BodyText"/>
        <w:ind w:left="2246" w:right="2238"/>
        <w:jc w:val="both"/>
      </w:pPr>
      <w:r>
        <w:rPr/>
        <w:t>€5,311.8</w:t>
      </w:r>
      <w:r>
        <w:rPr>
          <w:spacing w:val="-4"/>
        </w:rPr>
        <w:t> </w:t>
      </w:r>
      <w:r>
        <w:rPr/>
        <w:t>thousand</w:t>
      </w:r>
      <w:r>
        <w:rPr>
          <w:spacing w:val="-4"/>
        </w:rPr>
        <w:t> </w:t>
      </w:r>
      <w:r>
        <w:rPr/>
        <w:t>(14.2</w:t>
      </w:r>
      <w:r>
        <w:rPr>
          <w:spacing w:val="-4"/>
        </w:rPr>
        <w:t> </w:t>
      </w:r>
      <w:r>
        <w:rPr/>
        <w:t>per</w:t>
      </w:r>
      <w:r>
        <w:rPr>
          <w:spacing w:val="-4"/>
        </w:rPr>
        <w:t> </w:t>
      </w:r>
      <w:r>
        <w:rPr/>
        <w:t>cent),</w:t>
      </w:r>
      <w:r>
        <w:rPr>
          <w:spacing w:val="-1"/>
        </w:rPr>
        <w:t> </w:t>
      </w:r>
      <w:r>
        <w:rPr/>
        <w:t>mostly</w:t>
      </w:r>
      <w:r>
        <w:rPr>
          <w:spacing w:val="-4"/>
        </w:rPr>
        <w:t> </w:t>
      </w:r>
      <w:r>
        <w:rPr/>
        <w:t>attributable</w:t>
      </w:r>
      <w:r>
        <w:rPr>
          <w:spacing w:val="-2"/>
        </w:rPr>
        <w:t> </w:t>
      </w:r>
      <w:r>
        <w:rPr/>
        <w:t>to</w:t>
      </w:r>
      <w:r>
        <w:rPr>
          <w:spacing w:val="-4"/>
        </w:rPr>
        <w:t> </w:t>
      </w:r>
      <w:r>
        <w:rPr/>
        <w:t>the</w:t>
      </w:r>
      <w:r>
        <w:rPr>
          <w:spacing w:val="-2"/>
        </w:rPr>
        <w:t> </w:t>
      </w:r>
      <w:r>
        <w:rPr/>
        <w:t>request for additional resources to address the impact of the fast-paced and increased level of judicial activities (new requirements</w:t>
      </w:r>
      <w:r>
        <w:rPr>
          <w:spacing w:val="-9"/>
        </w:rPr>
        <w:t> </w:t>
      </w:r>
      <w:r>
        <w:rPr/>
        <w:t>in</w:t>
      </w:r>
      <w:r>
        <w:rPr>
          <w:spacing w:val="-3"/>
        </w:rPr>
        <w:t> </w:t>
      </w:r>
      <w:r>
        <w:rPr/>
        <w:t>relation</w:t>
      </w:r>
      <w:r>
        <w:rPr>
          <w:spacing w:val="-7"/>
        </w:rPr>
        <w:t> </w:t>
      </w:r>
      <w:r>
        <w:rPr/>
        <w:t>to</w:t>
      </w:r>
      <w:r>
        <w:rPr>
          <w:spacing w:val="-7"/>
        </w:rPr>
        <w:t> </w:t>
      </w:r>
      <w:r>
        <w:rPr/>
        <w:t>five</w:t>
      </w:r>
      <w:r>
        <w:rPr>
          <w:spacing w:val="-6"/>
        </w:rPr>
        <w:t> </w:t>
      </w:r>
      <w:r>
        <w:rPr/>
        <w:t>ongoing</w:t>
      </w:r>
      <w:r>
        <w:rPr>
          <w:spacing w:val="-7"/>
        </w:rPr>
        <w:t> </w:t>
      </w:r>
      <w:r>
        <w:rPr/>
        <w:t>trials</w:t>
      </w:r>
      <w:r>
        <w:rPr>
          <w:spacing w:val="-8"/>
        </w:rPr>
        <w:t> </w:t>
      </w:r>
      <w:r>
        <w:rPr/>
        <w:t>and</w:t>
      </w:r>
      <w:r>
        <w:rPr>
          <w:spacing w:val="-7"/>
        </w:rPr>
        <w:t> </w:t>
      </w:r>
      <w:r>
        <w:rPr/>
        <w:t>an</w:t>
      </w:r>
      <w:r>
        <w:rPr>
          <w:spacing w:val="-7"/>
        </w:rPr>
        <w:t> </w:t>
      </w:r>
      <w:r>
        <w:rPr/>
        <w:t>estimated</w:t>
      </w:r>
      <w:r>
        <w:rPr>
          <w:spacing w:val="-3"/>
        </w:rPr>
        <w:t> </w:t>
      </w:r>
      <w:r>
        <w:rPr/>
        <w:t>400</w:t>
      </w:r>
      <w:r>
        <w:rPr>
          <w:spacing w:val="-7"/>
        </w:rPr>
        <w:t> </w:t>
      </w:r>
      <w:r>
        <w:rPr/>
        <w:t>days</w:t>
      </w:r>
      <w:r>
        <w:rPr>
          <w:spacing w:val="-4"/>
        </w:rPr>
        <w:t> </w:t>
      </w:r>
      <w:r>
        <w:rPr/>
        <w:t>of</w:t>
      </w:r>
      <w:r>
        <w:rPr>
          <w:spacing w:val="-7"/>
        </w:rPr>
        <w:t> </w:t>
      </w:r>
      <w:r>
        <w:rPr/>
        <w:t>hearings</w:t>
      </w:r>
      <w:r>
        <w:rPr>
          <w:spacing w:val="-9"/>
        </w:rPr>
        <w:t> </w:t>
      </w:r>
      <w:r>
        <w:rPr/>
        <w:t>in</w:t>
      </w:r>
      <w:r>
        <w:rPr>
          <w:spacing w:val="-7"/>
        </w:rPr>
        <w:t> </w:t>
      </w:r>
      <w:r>
        <w:rPr/>
        <w:t>2023, with at least three trials running simultaneously throughout the year, as indicated in the budget assumptions) and the consequent need of additional resources for the use of three courtrooms. As explained below, resources are also required to cope with inflationary pressures</w:t>
      </w:r>
      <w:r>
        <w:rPr>
          <w:spacing w:val="-14"/>
        </w:rPr>
        <w:t> </w:t>
      </w:r>
      <w:r>
        <w:rPr/>
        <w:t>including</w:t>
      </w:r>
      <w:r>
        <w:rPr>
          <w:spacing w:val="-13"/>
        </w:rPr>
        <w:t> </w:t>
      </w:r>
      <w:r>
        <w:rPr/>
        <w:t>on</w:t>
      </w:r>
      <w:r>
        <w:rPr>
          <w:spacing w:val="-12"/>
        </w:rPr>
        <w:t> </w:t>
      </w:r>
      <w:r>
        <w:rPr/>
        <w:t>staff</w:t>
      </w:r>
      <w:r>
        <w:rPr>
          <w:spacing w:val="-13"/>
        </w:rPr>
        <w:t> </w:t>
      </w:r>
      <w:r>
        <w:rPr/>
        <w:t>costs</w:t>
      </w:r>
      <w:r>
        <w:rPr>
          <w:spacing w:val="-14"/>
        </w:rPr>
        <w:t> </w:t>
      </w:r>
      <w:r>
        <w:rPr/>
        <w:t>and</w:t>
      </w:r>
      <w:r>
        <w:rPr>
          <w:spacing w:val="-12"/>
        </w:rPr>
        <w:t> </w:t>
      </w:r>
      <w:r>
        <w:rPr/>
        <w:t>travel,</w:t>
      </w:r>
      <w:r>
        <w:rPr>
          <w:spacing w:val="-13"/>
        </w:rPr>
        <w:t> </w:t>
      </w:r>
      <w:r>
        <w:rPr/>
        <w:t>and</w:t>
      </w:r>
      <w:r>
        <w:rPr>
          <w:spacing w:val="-12"/>
        </w:rPr>
        <w:t> </w:t>
      </w:r>
      <w:r>
        <w:rPr/>
        <w:t>price</w:t>
      </w:r>
      <w:r>
        <w:rPr>
          <w:spacing w:val="-13"/>
        </w:rPr>
        <w:t> </w:t>
      </w:r>
      <w:r>
        <w:rPr/>
        <w:t>index</w:t>
      </w:r>
      <w:r>
        <w:rPr>
          <w:spacing w:val="-12"/>
        </w:rPr>
        <w:t> </w:t>
      </w:r>
      <w:r>
        <w:rPr/>
        <w:t>increases</w:t>
      </w:r>
      <w:r>
        <w:rPr>
          <w:spacing w:val="-13"/>
        </w:rPr>
        <w:t> </w:t>
      </w:r>
      <w:r>
        <w:rPr/>
        <w:t>on</w:t>
      </w:r>
      <w:r>
        <w:rPr>
          <w:spacing w:val="-12"/>
        </w:rPr>
        <w:t> </w:t>
      </w:r>
      <w:r>
        <w:rPr/>
        <w:t>goods</w:t>
      </w:r>
      <w:r>
        <w:rPr>
          <w:spacing w:val="-14"/>
        </w:rPr>
        <w:t> </w:t>
      </w:r>
      <w:r>
        <w:rPr/>
        <w:t>and</w:t>
      </w:r>
      <w:r>
        <w:rPr>
          <w:spacing w:val="-10"/>
        </w:rPr>
        <w:t> </w:t>
      </w:r>
      <w:r>
        <w:rPr>
          <w:spacing w:val="-2"/>
        </w:rPr>
        <w:t>services.</w:t>
      </w:r>
    </w:p>
    <w:p>
      <w:pPr>
        <w:pStyle w:val="ListParagraph"/>
        <w:numPr>
          <w:ilvl w:val="0"/>
          <w:numId w:val="4"/>
        </w:numPr>
        <w:tabs>
          <w:tab w:pos="2967" w:val="left" w:leader="none"/>
        </w:tabs>
        <w:spacing w:line="240" w:lineRule="auto" w:before="119" w:after="0"/>
        <w:ind w:left="2246" w:right="2248" w:firstLine="0"/>
        <w:jc w:val="both"/>
        <w:rPr>
          <w:sz w:val="20"/>
        </w:rPr>
      </w:pPr>
      <w:r>
        <w:rPr>
          <w:sz w:val="20"/>
        </w:rPr>
        <w:t>An overall reduction of approximately €2,001.9 thousand has been achieved throughout the Division, partially off-setting the additional requirements.</w:t>
      </w:r>
    </w:p>
    <w:p>
      <w:pPr>
        <w:pStyle w:val="BodyText"/>
        <w:spacing w:before="11"/>
      </w:pPr>
    </w:p>
    <w:p>
      <w:pPr>
        <w:tabs>
          <w:tab w:pos="8133" w:val="left" w:leader="none"/>
        </w:tabs>
        <w:spacing w:before="0"/>
        <w:ind w:left="2246" w:right="0" w:firstLine="0"/>
        <w:jc w:val="both"/>
        <w:rPr>
          <w:i/>
          <w:sz w:val="20"/>
        </w:rPr>
      </w:pPr>
      <w:r>
        <w:rPr>
          <w:i/>
          <w:sz w:val="20"/>
        </w:rPr>
        <w:t>Support</w:t>
      </w:r>
      <w:r>
        <w:rPr>
          <w:i/>
          <w:spacing w:val="-6"/>
          <w:sz w:val="20"/>
        </w:rPr>
        <w:t> </w:t>
      </w:r>
      <w:r>
        <w:rPr>
          <w:i/>
          <w:sz w:val="20"/>
        </w:rPr>
        <w:t>to</w:t>
      </w:r>
      <w:r>
        <w:rPr>
          <w:i/>
          <w:spacing w:val="-6"/>
          <w:sz w:val="20"/>
        </w:rPr>
        <w:t> </w:t>
      </w:r>
      <w:r>
        <w:rPr>
          <w:i/>
          <w:sz w:val="20"/>
        </w:rPr>
        <w:t>increased</w:t>
      </w:r>
      <w:r>
        <w:rPr>
          <w:i/>
          <w:spacing w:val="-7"/>
          <w:sz w:val="20"/>
        </w:rPr>
        <w:t> </w:t>
      </w:r>
      <w:r>
        <w:rPr>
          <w:i/>
          <w:sz w:val="20"/>
        </w:rPr>
        <w:t>judicial</w:t>
      </w:r>
      <w:r>
        <w:rPr>
          <w:i/>
          <w:spacing w:val="-5"/>
          <w:sz w:val="20"/>
        </w:rPr>
        <w:t> </w:t>
      </w:r>
      <w:r>
        <w:rPr>
          <w:i/>
          <w:spacing w:val="-2"/>
          <w:sz w:val="20"/>
        </w:rPr>
        <w:t>activities</w:t>
      </w:r>
      <w:r>
        <w:rPr>
          <w:i/>
          <w:sz w:val="20"/>
        </w:rPr>
        <w:tab/>
        <w:t>€4,180.3</w:t>
      </w:r>
      <w:r>
        <w:rPr>
          <w:i/>
          <w:spacing w:val="-4"/>
          <w:sz w:val="20"/>
        </w:rPr>
        <w:t> </w:t>
      </w:r>
      <w:r>
        <w:rPr>
          <w:i/>
          <w:spacing w:val="-2"/>
          <w:sz w:val="20"/>
        </w:rPr>
        <w:t>thousand</w:t>
      </w:r>
    </w:p>
    <w:p>
      <w:pPr>
        <w:pStyle w:val="BodyText"/>
        <w:spacing w:before="10"/>
        <w:rPr>
          <w:i/>
        </w:rPr>
      </w:pPr>
    </w:p>
    <w:p>
      <w:pPr>
        <w:pStyle w:val="ListParagraph"/>
        <w:numPr>
          <w:ilvl w:val="0"/>
          <w:numId w:val="4"/>
        </w:numPr>
        <w:tabs>
          <w:tab w:pos="2967" w:val="left" w:leader="none"/>
        </w:tabs>
        <w:spacing w:line="240" w:lineRule="auto" w:before="0" w:after="0"/>
        <w:ind w:left="2246" w:right="2243" w:firstLine="0"/>
        <w:jc w:val="both"/>
        <w:rPr>
          <w:sz w:val="20"/>
        </w:rPr>
      </w:pPr>
      <w:r>
        <w:rPr>
          <w:sz w:val="20"/>
        </w:rPr>
        <w:t>Resource requirements in the Division are driven by its judicial support responsibilities and duty to provide efficient and effective support to the increased level of judicial activities</w:t>
      </w:r>
      <w:r>
        <w:rPr>
          <w:spacing w:val="-1"/>
          <w:sz w:val="20"/>
        </w:rPr>
        <w:t> </w:t>
      </w:r>
      <w:r>
        <w:rPr>
          <w:sz w:val="20"/>
        </w:rPr>
        <w:t>and</w:t>
      </w:r>
      <w:r>
        <w:rPr>
          <w:spacing w:val="-5"/>
          <w:sz w:val="20"/>
        </w:rPr>
        <w:t> </w:t>
      </w:r>
      <w:r>
        <w:rPr>
          <w:sz w:val="20"/>
        </w:rPr>
        <w:t>the fast-paced proceedings.</w:t>
      </w:r>
      <w:r>
        <w:rPr>
          <w:spacing w:val="-2"/>
          <w:sz w:val="20"/>
        </w:rPr>
        <w:t> </w:t>
      </w:r>
      <w:r>
        <w:rPr>
          <w:sz w:val="20"/>
        </w:rPr>
        <w:t>These investments</w:t>
      </w:r>
      <w:r>
        <w:rPr>
          <w:spacing w:val="-1"/>
          <w:sz w:val="20"/>
        </w:rPr>
        <w:t> </w:t>
      </w:r>
      <w:r>
        <w:rPr>
          <w:sz w:val="20"/>
        </w:rPr>
        <w:t>will ensure continuous and expeditious judicial proceedings, safeguarding the rights of the parties and participants and avoiding costly inefficiencies to the Court.</w:t>
      </w:r>
    </w:p>
    <w:p>
      <w:pPr>
        <w:pStyle w:val="ListParagraph"/>
        <w:numPr>
          <w:ilvl w:val="0"/>
          <w:numId w:val="4"/>
        </w:numPr>
        <w:tabs>
          <w:tab w:pos="2967" w:val="left" w:leader="none"/>
        </w:tabs>
        <w:spacing w:line="240" w:lineRule="auto" w:before="118" w:after="0"/>
        <w:ind w:left="2246" w:right="2239" w:firstLine="0"/>
        <w:jc w:val="both"/>
        <w:rPr>
          <w:sz w:val="20"/>
        </w:rPr>
      </w:pPr>
      <w:r>
        <w:rPr>
          <w:sz w:val="20"/>
        </w:rPr>
        <w:t>An additional amount of</w:t>
      </w:r>
      <w:r>
        <w:rPr>
          <w:spacing w:val="-4"/>
          <w:sz w:val="20"/>
        </w:rPr>
        <w:t> </w:t>
      </w:r>
      <w:r>
        <w:rPr>
          <w:sz w:val="20"/>
        </w:rPr>
        <w:t>€1,835.1</w:t>
      </w:r>
      <w:r>
        <w:rPr>
          <w:spacing w:val="-4"/>
          <w:sz w:val="20"/>
        </w:rPr>
        <w:t> </w:t>
      </w:r>
      <w:r>
        <w:rPr>
          <w:sz w:val="20"/>
        </w:rPr>
        <w:t>thousand is</w:t>
      </w:r>
      <w:r>
        <w:rPr>
          <w:spacing w:val="-1"/>
          <w:sz w:val="20"/>
        </w:rPr>
        <w:t> </w:t>
      </w:r>
      <w:r>
        <w:rPr>
          <w:sz w:val="20"/>
        </w:rPr>
        <w:t>required by</w:t>
      </w:r>
      <w:r>
        <w:rPr>
          <w:spacing w:val="-4"/>
          <w:sz w:val="20"/>
        </w:rPr>
        <w:t> </w:t>
      </w:r>
      <w:r>
        <w:rPr>
          <w:sz w:val="20"/>
        </w:rPr>
        <w:t>LSS</w:t>
      </w:r>
      <w:r>
        <w:rPr>
          <w:spacing w:val="-1"/>
          <w:sz w:val="20"/>
        </w:rPr>
        <w:t> </w:t>
      </w:r>
      <w:r>
        <w:rPr>
          <w:sz w:val="20"/>
        </w:rPr>
        <w:t>for the provision</w:t>
      </w:r>
      <w:r>
        <w:rPr>
          <w:spacing w:val="-4"/>
          <w:sz w:val="20"/>
        </w:rPr>
        <w:t> </w:t>
      </w:r>
      <w:r>
        <w:rPr>
          <w:sz w:val="20"/>
        </w:rPr>
        <w:t>of translation</w:t>
      </w:r>
      <w:r>
        <w:rPr>
          <w:spacing w:val="39"/>
          <w:sz w:val="20"/>
        </w:rPr>
        <w:t> </w:t>
      </w:r>
      <w:r>
        <w:rPr>
          <w:sz w:val="20"/>
        </w:rPr>
        <w:t>and</w:t>
      </w:r>
      <w:r>
        <w:rPr>
          <w:spacing w:val="39"/>
          <w:sz w:val="20"/>
        </w:rPr>
        <w:t> </w:t>
      </w:r>
      <w:r>
        <w:rPr>
          <w:sz w:val="20"/>
        </w:rPr>
        <w:t>interpretation</w:t>
      </w:r>
      <w:r>
        <w:rPr>
          <w:spacing w:val="39"/>
          <w:sz w:val="20"/>
        </w:rPr>
        <w:t> </w:t>
      </w:r>
      <w:r>
        <w:rPr>
          <w:sz w:val="20"/>
        </w:rPr>
        <w:t>services</w:t>
      </w:r>
      <w:r>
        <w:rPr>
          <w:spacing w:val="38"/>
          <w:sz w:val="20"/>
        </w:rPr>
        <w:t> </w:t>
      </w:r>
      <w:r>
        <w:rPr>
          <w:sz w:val="20"/>
        </w:rPr>
        <w:t>to</w:t>
      </w:r>
      <w:r>
        <w:rPr>
          <w:spacing w:val="35"/>
          <w:sz w:val="20"/>
        </w:rPr>
        <w:t> </w:t>
      </w:r>
      <w:r>
        <w:rPr>
          <w:sz w:val="20"/>
        </w:rPr>
        <w:t>assist</w:t>
      </w:r>
      <w:r>
        <w:rPr>
          <w:spacing w:val="40"/>
          <w:sz w:val="20"/>
        </w:rPr>
        <w:t> </w:t>
      </w:r>
      <w:r>
        <w:rPr>
          <w:sz w:val="20"/>
        </w:rPr>
        <w:t>in</w:t>
      </w:r>
      <w:r>
        <w:rPr>
          <w:spacing w:val="39"/>
          <w:sz w:val="20"/>
        </w:rPr>
        <w:t> </w:t>
      </w:r>
      <w:r>
        <w:rPr>
          <w:sz w:val="20"/>
        </w:rPr>
        <w:t>the</w:t>
      </w:r>
      <w:r>
        <w:rPr>
          <w:spacing w:val="40"/>
          <w:sz w:val="20"/>
        </w:rPr>
        <w:t> </w:t>
      </w:r>
      <w:r>
        <w:rPr>
          <w:sz w:val="20"/>
        </w:rPr>
        <w:t>conduct</w:t>
      </w:r>
      <w:r>
        <w:rPr>
          <w:spacing w:val="40"/>
          <w:sz w:val="20"/>
        </w:rPr>
        <w:t> </w:t>
      </w:r>
      <w:r>
        <w:rPr>
          <w:sz w:val="20"/>
        </w:rPr>
        <w:t>of</w:t>
      </w:r>
      <w:r>
        <w:rPr>
          <w:spacing w:val="35"/>
          <w:sz w:val="20"/>
        </w:rPr>
        <w:t> </w:t>
      </w:r>
      <w:r>
        <w:rPr>
          <w:sz w:val="20"/>
        </w:rPr>
        <w:t>all</w:t>
      </w:r>
      <w:r>
        <w:rPr>
          <w:spacing w:val="40"/>
          <w:sz w:val="20"/>
        </w:rPr>
        <w:t> </w:t>
      </w:r>
      <w:r>
        <w:rPr>
          <w:sz w:val="20"/>
        </w:rPr>
        <w:t>Court</w:t>
      </w:r>
      <w:r>
        <w:rPr>
          <w:spacing w:val="40"/>
          <w:sz w:val="20"/>
        </w:rPr>
        <w:t> </w:t>
      </w:r>
      <w:r>
        <w:rPr>
          <w:sz w:val="20"/>
        </w:rPr>
        <w:t>proceedings in 2023,</w:t>
      </w:r>
      <w:r>
        <w:rPr>
          <w:spacing w:val="-11"/>
          <w:sz w:val="20"/>
        </w:rPr>
        <w:t> </w:t>
      </w:r>
      <w:r>
        <w:rPr>
          <w:sz w:val="20"/>
        </w:rPr>
        <w:t>to</w:t>
      </w:r>
      <w:r>
        <w:rPr>
          <w:spacing w:val="-8"/>
          <w:sz w:val="20"/>
        </w:rPr>
        <w:t> </w:t>
      </w:r>
      <w:r>
        <w:rPr>
          <w:sz w:val="20"/>
        </w:rPr>
        <w:t>safeguard</w:t>
      </w:r>
      <w:r>
        <w:rPr>
          <w:spacing w:val="-13"/>
          <w:sz w:val="20"/>
        </w:rPr>
        <w:t> </w:t>
      </w:r>
      <w:r>
        <w:rPr>
          <w:sz w:val="20"/>
        </w:rPr>
        <w:t>the</w:t>
      </w:r>
      <w:r>
        <w:rPr>
          <w:spacing w:val="-6"/>
          <w:sz w:val="20"/>
        </w:rPr>
        <w:t> </w:t>
      </w:r>
      <w:r>
        <w:rPr>
          <w:sz w:val="20"/>
        </w:rPr>
        <w:t>right</w:t>
      </w:r>
      <w:r>
        <w:rPr>
          <w:spacing w:val="-12"/>
          <w:sz w:val="20"/>
        </w:rPr>
        <w:t> </w:t>
      </w:r>
      <w:r>
        <w:rPr>
          <w:sz w:val="20"/>
        </w:rPr>
        <w:t>of</w:t>
      </w:r>
      <w:r>
        <w:rPr>
          <w:spacing w:val="-8"/>
          <w:sz w:val="20"/>
        </w:rPr>
        <w:t> </w:t>
      </w:r>
      <w:r>
        <w:rPr>
          <w:sz w:val="20"/>
        </w:rPr>
        <w:t>suspects</w:t>
      </w:r>
      <w:r>
        <w:rPr>
          <w:spacing w:val="-13"/>
          <w:sz w:val="20"/>
        </w:rPr>
        <w:t> </w:t>
      </w:r>
      <w:r>
        <w:rPr>
          <w:sz w:val="20"/>
        </w:rPr>
        <w:t>and</w:t>
      </w:r>
      <w:r>
        <w:rPr>
          <w:spacing w:val="-12"/>
          <w:sz w:val="20"/>
        </w:rPr>
        <w:t> </w:t>
      </w:r>
      <w:r>
        <w:rPr>
          <w:sz w:val="20"/>
        </w:rPr>
        <w:t>accused</w:t>
      </w:r>
      <w:r>
        <w:rPr>
          <w:spacing w:val="-8"/>
          <w:sz w:val="20"/>
        </w:rPr>
        <w:t> </w:t>
      </w:r>
      <w:r>
        <w:rPr>
          <w:sz w:val="20"/>
        </w:rPr>
        <w:t>persons</w:t>
      </w:r>
      <w:r>
        <w:rPr>
          <w:spacing w:val="-10"/>
          <w:sz w:val="20"/>
        </w:rPr>
        <w:t> </w:t>
      </w:r>
      <w:r>
        <w:rPr>
          <w:sz w:val="20"/>
        </w:rPr>
        <w:t>to</w:t>
      </w:r>
      <w:r>
        <w:rPr>
          <w:spacing w:val="-8"/>
          <w:sz w:val="20"/>
        </w:rPr>
        <w:t> </w:t>
      </w:r>
      <w:r>
        <w:rPr>
          <w:sz w:val="20"/>
        </w:rPr>
        <w:t>understand</w:t>
      </w:r>
      <w:r>
        <w:rPr>
          <w:spacing w:val="-13"/>
          <w:sz w:val="20"/>
        </w:rPr>
        <w:t> </w:t>
      </w:r>
      <w:r>
        <w:rPr>
          <w:sz w:val="20"/>
        </w:rPr>
        <w:t>the</w:t>
      </w:r>
      <w:r>
        <w:rPr>
          <w:spacing w:val="-11"/>
          <w:sz w:val="20"/>
        </w:rPr>
        <w:t> </w:t>
      </w:r>
      <w:r>
        <w:rPr>
          <w:sz w:val="20"/>
        </w:rPr>
        <w:t>proceedings and the right of witnesses to testify in their own language.</w:t>
      </w:r>
    </w:p>
    <w:p>
      <w:pPr>
        <w:pStyle w:val="ListParagraph"/>
        <w:numPr>
          <w:ilvl w:val="0"/>
          <w:numId w:val="4"/>
        </w:numPr>
        <w:tabs>
          <w:tab w:pos="2967" w:val="left" w:leader="none"/>
        </w:tabs>
        <w:spacing w:line="240" w:lineRule="auto" w:before="122" w:after="0"/>
        <w:ind w:left="2246" w:right="2238" w:firstLine="0"/>
        <w:jc w:val="both"/>
        <w:rPr>
          <w:sz w:val="20"/>
        </w:rPr>
      </w:pPr>
      <w:r>
        <w:rPr>
          <w:sz w:val="20"/>
        </w:rPr>
        <w:t>A net</w:t>
      </w:r>
      <w:r>
        <w:rPr>
          <w:spacing w:val="-1"/>
          <w:sz w:val="20"/>
        </w:rPr>
        <w:t> </w:t>
      </w:r>
      <w:r>
        <w:rPr>
          <w:sz w:val="20"/>
        </w:rPr>
        <w:t>increase</w:t>
      </w:r>
      <w:r>
        <w:rPr>
          <w:spacing w:val="-1"/>
          <w:sz w:val="20"/>
        </w:rPr>
        <w:t> </w:t>
      </w:r>
      <w:r>
        <w:rPr>
          <w:sz w:val="20"/>
        </w:rPr>
        <w:t>of</w:t>
      </w:r>
      <w:r>
        <w:rPr>
          <w:spacing w:val="-3"/>
          <w:sz w:val="20"/>
        </w:rPr>
        <w:t> </w:t>
      </w:r>
      <w:r>
        <w:rPr>
          <w:sz w:val="20"/>
        </w:rPr>
        <w:t>€424.1</w:t>
      </w:r>
      <w:r>
        <w:rPr>
          <w:spacing w:val="-3"/>
          <w:sz w:val="20"/>
        </w:rPr>
        <w:t> </w:t>
      </w:r>
      <w:r>
        <w:rPr>
          <w:sz w:val="20"/>
        </w:rPr>
        <w:t>thousand</w:t>
      </w:r>
      <w:r>
        <w:rPr>
          <w:spacing w:val="-3"/>
          <w:sz w:val="20"/>
        </w:rPr>
        <w:t> </w:t>
      </w:r>
      <w:r>
        <w:rPr>
          <w:sz w:val="20"/>
        </w:rPr>
        <w:t>is</w:t>
      </w:r>
      <w:r>
        <w:rPr>
          <w:spacing w:val="-4"/>
          <w:sz w:val="20"/>
        </w:rPr>
        <w:t> </w:t>
      </w:r>
      <w:r>
        <w:rPr>
          <w:sz w:val="20"/>
        </w:rPr>
        <w:t>requested</w:t>
      </w:r>
      <w:r>
        <w:rPr>
          <w:spacing w:val="-3"/>
          <w:sz w:val="20"/>
        </w:rPr>
        <w:t> </w:t>
      </w:r>
      <w:r>
        <w:rPr>
          <w:sz w:val="20"/>
        </w:rPr>
        <w:t>for</w:t>
      </w:r>
      <w:r>
        <w:rPr>
          <w:spacing w:val="-3"/>
          <w:sz w:val="20"/>
        </w:rPr>
        <w:t> </w:t>
      </w:r>
      <w:r>
        <w:rPr>
          <w:sz w:val="20"/>
        </w:rPr>
        <w:t>legal</w:t>
      </w:r>
      <w:r>
        <w:rPr>
          <w:spacing w:val="-1"/>
          <w:sz w:val="20"/>
        </w:rPr>
        <w:t> </w:t>
      </w:r>
      <w:r>
        <w:rPr>
          <w:sz w:val="20"/>
        </w:rPr>
        <w:t>aid</w:t>
      </w:r>
      <w:r>
        <w:rPr>
          <w:spacing w:val="-3"/>
          <w:sz w:val="20"/>
        </w:rPr>
        <w:t> </w:t>
      </w:r>
      <w:r>
        <w:rPr>
          <w:sz w:val="20"/>
        </w:rPr>
        <w:t>to fund</w:t>
      </w:r>
      <w:r>
        <w:rPr>
          <w:spacing w:val="-3"/>
          <w:sz w:val="20"/>
        </w:rPr>
        <w:t> </w:t>
      </w:r>
      <w:r>
        <w:rPr>
          <w:sz w:val="20"/>
        </w:rPr>
        <w:t>increases in</w:t>
      </w:r>
      <w:r>
        <w:rPr>
          <w:spacing w:val="-3"/>
          <w:sz w:val="20"/>
        </w:rPr>
        <w:t> </w:t>
      </w:r>
      <w:r>
        <w:rPr>
          <w:sz w:val="20"/>
        </w:rPr>
        <w:t>the teams of legal</w:t>
      </w:r>
      <w:r>
        <w:rPr>
          <w:spacing w:val="17"/>
          <w:sz w:val="20"/>
        </w:rPr>
        <w:t> </w:t>
      </w:r>
      <w:r>
        <w:rPr>
          <w:sz w:val="20"/>
        </w:rPr>
        <w:t>representatives for</w:t>
      </w:r>
      <w:r>
        <w:rPr>
          <w:spacing w:val="16"/>
          <w:sz w:val="20"/>
        </w:rPr>
        <w:t> </w:t>
      </w:r>
      <w:r>
        <w:rPr>
          <w:sz w:val="20"/>
        </w:rPr>
        <w:t>victims as per the</w:t>
      </w:r>
      <w:r>
        <w:rPr>
          <w:spacing w:val="17"/>
          <w:sz w:val="20"/>
        </w:rPr>
        <w:t> </w:t>
      </w:r>
      <w:r>
        <w:rPr>
          <w:sz w:val="20"/>
        </w:rPr>
        <w:t>legal</w:t>
      </w:r>
      <w:r>
        <w:rPr>
          <w:spacing w:val="17"/>
          <w:sz w:val="20"/>
        </w:rPr>
        <w:t> </w:t>
      </w:r>
      <w:r>
        <w:rPr>
          <w:sz w:val="20"/>
        </w:rPr>
        <w:t>policy. The additional resources</w:t>
      </w:r>
    </w:p>
    <w:p>
      <w:pPr>
        <w:spacing w:after="0" w:line="240" w:lineRule="auto"/>
        <w:jc w:val="both"/>
        <w:rPr>
          <w:sz w:val="20"/>
        </w:rPr>
        <w:sectPr>
          <w:pgSz w:w="11910" w:h="16840"/>
          <w:pgMar w:header="953" w:footer="940" w:top="1140" w:bottom="1140" w:left="20" w:right="20"/>
        </w:sectPr>
      </w:pPr>
    </w:p>
    <w:p>
      <w:pPr>
        <w:pStyle w:val="BodyText"/>
        <w:spacing w:before="120"/>
        <w:ind w:left="2246" w:right="2250"/>
        <w:jc w:val="both"/>
      </w:pPr>
      <w:r>
        <w:rPr/>
        <w:t>required</w:t>
      </w:r>
      <w:r>
        <w:rPr>
          <w:spacing w:val="-13"/>
        </w:rPr>
        <w:t> </w:t>
      </w:r>
      <w:r>
        <w:rPr/>
        <w:t>for</w:t>
      </w:r>
      <w:r>
        <w:rPr>
          <w:spacing w:val="-12"/>
        </w:rPr>
        <w:t> </w:t>
      </w:r>
      <w:r>
        <w:rPr/>
        <w:t>the</w:t>
      </w:r>
      <w:r>
        <w:rPr>
          <w:spacing w:val="-13"/>
        </w:rPr>
        <w:t> </w:t>
      </w:r>
      <w:r>
        <w:rPr/>
        <w:t>different</w:t>
      </w:r>
      <w:r>
        <w:rPr>
          <w:spacing w:val="-12"/>
        </w:rPr>
        <w:t> </w:t>
      </w:r>
      <w:r>
        <w:rPr/>
        <w:t>Defence</w:t>
      </w:r>
      <w:r>
        <w:rPr>
          <w:spacing w:val="-13"/>
        </w:rPr>
        <w:t> </w:t>
      </w:r>
      <w:r>
        <w:rPr/>
        <w:t>teams</w:t>
      </w:r>
      <w:r>
        <w:rPr>
          <w:spacing w:val="-12"/>
        </w:rPr>
        <w:t> </w:t>
      </w:r>
      <w:r>
        <w:rPr/>
        <w:t>have</w:t>
      </w:r>
      <w:r>
        <w:rPr>
          <w:spacing w:val="-13"/>
        </w:rPr>
        <w:t> </w:t>
      </w:r>
      <w:r>
        <w:rPr/>
        <w:t>been</w:t>
      </w:r>
      <w:r>
        <w:rPr>
          <w:spacing w:val="-12"/>
        </w:rPr>
        <w:t> </w:t>
      </w:r>
      <w:r>
        <w:rPr/>
        <w:t>fully</w:t>
      </w:r>
      <w:r>
        <w:rPr>
          <w:spacing w:val="-13"/>
        </w:rPr>
        <w:t> </w:t>
      </w:r>
      <w:r>
        <w:rPr/>
        <w:t>offset</w:t>
      </w:r>
      <w:r>
        <w:rPr>
          <w:spacing w:val="-12"/>
        </w:rPr>
        <w:t> </w:t>
      </w:r>
      <w:r>
        <w:rPr/>
        <w:t>by</w:t>
      </w:r>
      <w:r>
        <w:rPr>
          <w:spacing w:val="-13"/>
        </w:rPr>
        <w:t> </w:t>
      </w:r>
      <w:r>
        <w:rPr/>
        <w:t>reductions</w:t>
      </w:r>
      <w:r>
        <w:rPr>
          <w:spacing w:val="-12"/>
        </w:rPr>
        <w:t> </w:t>
      </w:r>
      <w:r>
        <w:rPr/>
        <w:t>in</w:t>
      </w:r>
      <w:r>
        <w:rPr>
          <w:spacing w:val="-13"/>
        </w:rPr>
        <w:t> </w:t>
      </w:r>
      <w:r>
        <w:rPr/>
        <w:t>other</w:t>
      </w:r>
      <w:r>
        <w:rPr>
          <w:spacing w:val="-12"/>
        </w:rPr>
        <w:t> </w:t>
      </w:r>
      <w:r>
        <w:rPr/>
        <w:t>Defence teams as a result of the application of the legal aid policy in line with changes at the stages of the different proceedings.</w:t>
      </w:r>
    </w:p>
    <w:p>
      <w:pPr>
        <w:pStyle w:val="ListParagraph"/>
        <w:numPr>
          <w:ilvl w:val="0"/>
          <w:numId w:val="4"/>
        </w:numPr>
        <w:tabs>
          <w:tab w:pos="2967" w:val="left" w:leader="none"/>
        </w:tabs>
        <w:spacing w:line="240" w:lineRule="auto" w:before="121" w:after="0"/>
        <w:ind w:left="2246" w:right="2239" w:firstLine="0"/>
        <w:jc w:val="both"/>
        <w:rPr>
          <w:sz w:val="20"/>
        </w:rPr>
      </w:pPr>
      <w:r>
        <w:rPr>
          <w:sz w:val="20"/>
        </w:rPr>
        <w:t>In</w:t>
      </w:r>
      <w:r>
        <w:rPr>
          <w:spacing w:val="-10"/>
          <w:sz w:val="20"/>
        </w:rPr>
        <w:t> </w:t>
      </w:r>
      <w:r>
        <w:rPr>
          <w:sz w:val="20"/>
        </w:rPr>
        <w:t>order</w:t>
      </w:r>
      <w:r>
        <w:rPr>
          <w:spacing w:val="-9"/>
          <w:sz w:val="20"/>
        </w:rPr>
        <w:t> </w:t>
      </w:r>
      <w:r>
        <w:rPr>
          <w:sz w:val="20"/>
        </w:rPr>
        <w:t>to</w:t>
      </w:r>
      <w:r>
        <w:rPr>
          <w:spacing w:val="-13"/>
          <w:sz w:val="20"/>
        </w:rPr>
        <w:t> </w:t>
      </w:r>
      <w:r>
        <w:rPr>
          <w:sz w:val="20"/>
        </w:rPr>
        <w:t>ensure</w:t>
      </w:r>
      <w:r>
        <w:rPr>
          <w:spacing w:val="-7"/>
          <w:sz w:val="20"/>
        </w:rPr>
        <w:t> </w:t>
      </w:r>
      <w:r>
        <w:rPr>
          <w:sz w:val="20"/>
        </w:rPr>
        <w:t>the</w:t>
      </w:r>
      <w:r>
        <w:rPr>
          <w:spacing w:val="-8"/>
          <w:sz w:val="20"/>
        </w:rPr>
        <w:t> </w:t>
      </w:r>
      <w:r>
        <w:rPr>
          <w:sz w:val="20"/>
        </w:rPr>
        <w:t>efficient</w:t>
      </w:r>
      <w:r>
        <w:rPr>
          <w:spacing w:val="-12"/>
          <w:sz w:val="20"/>
        </w:rPr>
        <w:t> </w:t>
      </w:r>
      <w:r>
        <w:rPr>
          <w:sz w:val="20"/>
        </w:rPr>
        <w:t>management</w:t>
      </w:r>
      <w:r>
        <w:rPr>
          <w:spacing w:val="-12"/>
          <w:sz w:val="20"/>
        </w:rPr>
        <w:t> </w:t>
      </w:r>
      <w:r>
        <w:rPr>
          <w:sz w:val="20"/>
        </w:rPr>
        <w:t>and</w:t>
      </w:r>
      <w:r>
        <w:rPr>
          <w:spacing w:val="-13"/>
          <w:sz w:val="20"/>
        </w:rPr>
        <w:t> </w:t>
      </w:r>
      <w:r>
        <w:rPr>
          <w:sz w:val="20"/>
        </w:rPr>
        <w:t>organization</w:t>
      </w:r>
      <w:r>
        <w:rPr>
          <w:spacing w:val="-12"/>
          <w:sz w:val="20"/>
        </w:rPr>
        <w:t> </w:t>
      </w:r>
      <w:r>
        <w:rPr>
          <w:sz w:val="20"/>
        </w:rPr>
        <w:t>of</w:t>
      </w:r>
      <w:r>
        <w:rPr>
          <w:spacing w:val="-9"/>
          <w:sz w:val="20"/>
        </w:rPr>
        <w:t> </w:t>
      </w:r>
      <w:r>
        <w:rPr>
          <w:sz w:val="20"/>
        </w:rPr>
        <w:t>hearings,</w:t>
      </w:r>
      <w:r>
        <w:rPr>
          <w:spacing w:val="-7"/>
          <w:sz w:val="20"/>
        </w:rPr>
        <w:t> </w:t>
      </w:r>
      <w:r>
        <w:rPr>
          <w:sz w:val="20"/>
        </w:rPr>
        <w:t>additional resources in the amount of €593.0 thousand are requested to increase the capacity of the Division</w:t>
      </w:r>
      <w:r>
        <w:rPr>
          <w:spacing w:val="-3"/>
          <w:sz w:val="20"/>
        </w:rPr>
        <w:t> </w:t>
      </w:r>
      <w:r>
        <w:rPr>
          <w:sz w:val="20"/>
        </w:rPr>
        <w:t>to run</w:t>
      </w:r>
      <w:r>
        <w:rPr>
          <w:spacing w:val="-3"/>
          <w:sz w:val="20"/>
        </w:rPr>
        <w:t> </w:t>
      </w:r>
      <w:r>
        <w:rPr>
          <w:sz w:val="20"/>
        </w:rPr>
        <w:t>three courtrooms simultaneously for the confirmation hearing in one case</w:t>
      </w:r>
      <w:r>
        <w:rPr>
          <w:spacing w:val="-1"/>
          <w:sz w:val="20"/>
        </w:rPr>
        <w:t> </w:t>
      </w:r>
      <w:r>
        <w:rPr>
          <w:sz w:val="20"/>
        </w:rPr>
        <w:t>at the pre-trial phase and at least three cases at trial expected to be held simultaneously throughout the year. Importantly, as the trials continue for the whole of 2023, additional capacity</w:t>
      </w:r>
      <w:r>
        <w:rPr>
          <w:spacing w:val="-8"/>
          <w:sz w:val="20"/>
        </w:rPr>
        <w:t> </w:t>
      </w:r>
      <w:r>
        <w:rPr>
          <w:sz w:val="20"/>
        </w:rPr>
        <w:t>will</w:t>
      </w:r>
      <w:r>
        <w:rPr>
          <w:spacing w:val="-7"/>
          <w:sz w:val="20"/>
        </w:rPr>
        <w:t> </w:t>
      </w:r>
      <w:r>
        <w:rPr>
          <w:sz w:val="20"/>
        </w:rPr>
        <w:t>be</w:t>
      </w:r>
      <w:r>
        <w:rPr>
          <w:spacing w:val="-7"/>
          <w:sz w:val="20"/>
        </w:rPr>
        <w:t> </w:t>
      </w:r>
      <w:r>
        <w:rPr>
          <w:sz w:val="20"/>
        </w:rPr>
        <w:t>required</w:t>
      </w:r>
      <w:r>
        <w:rPr>
          <w:spacing w:val="-8"/>
          <w:sz w:val="20"/>
        </w:rPr>
        <w:t> </w:t>
      </w:r>
      <w:r>
        <w:rPr>
          <w:sz w:val="20"/>
        </w:rPr>
        <w:t>to</w:t>
      </w:r>
      <w:r>
        <w:rPr>
          <w:spacing w:val="-8"/>
          <w:sz w:val="20"/>
        </w:rPr>
        <w:t> </w:t>
      </w:r>
      <w:r>
        <w:rPr>
          <w:sz w:val="20"/>
        </w:rPr>
        <w:t>sustain</w:t>
      </w:r>
      <w:r>
        <w:rPr>
          <w:spacing w:val="-8"/>
          <w:sz w:val="20"/>
        </w:rPr>
        <w:t> </w:t>
      </w:r>
      <w:r>
        <w:rPr>
          <w:sz w:val="20"/>
        </w:rPr>
        <w:t>these</w:t>
      </w:r>
      <w:r>
        <w:rPr>
          <w:spacing w:val="-2"/>
          <w:sz w:val="20"/>
        </w:rPr>
        <w:t> </w:t>
      </w:r>
      <w:r>
        <w:rPr>
          <w:sz w:val="20"/>
        </w:rPr>
        <w:t>proceedings</w:t>
      </w:r>
      <w:r>
        <w:rPr>
          <w:spacing w:val="-10"/>
          <w:sz w:val="20"/>
        </w:rPr>
        <w:t> </w:t>
      </w:r>
      <w:r>
        <w:rPr>
          <w:sz w:val="20"/>
        </w:rPr>
        <w:t>simultaneously,</w:t>
      </w:r>
      <w:r>
        <w:rPr>
          <w:spacing w:val="-6"/>
          <w:sz w:val="20"/>
        </w:rPr>
        <w:t> </w:t>
      </w:r>
      <w:r>
        <w:rPr>
          <w:sz w:val="20"/>
        </w:rPr>
        <w:t>notwithstanding</w:t>
      </w:r>
      <w:r>
        <w:rPr>
          <w:spacing w:val="-8"/>
          <w:sz w:val="20"/>
        </w:rPr>
        <w:t> </w:t>
      </w:r>
      <w:r>
        <w:rPr>
          <w:sz w:val="20"/>
        </w:rPr>
        <w:t>slight differences</w:t>
      </w:r>
      <w:r>
        <w:rPr>
          <w:spacing w:val="-13"/>
          <w:sz w:val="20"/>
        </w:rPr>
        <w:t> </w:t>
      </w:r>
      <w:r>
        <w:rPr>
          <w:sz w:val="20"/>
        </w:rPr>
        <w:t>between</w:t>
      </w:r>
      <w:r>
        <w:rPr>
          <w:spacing w:val="-12"/>
          <w:sz w:val="20"/>
        </w:rPr>
        <w:t> </w:t>
      </w:r>
      <w:r>
        <w:rPr>
          <w:sz w:val="20"/>
        </w:rPr>
        <w:t>the</w:t>
      </w:r>
      <w:r>
        <w:rPr>
          <w:spacing w:val="-9"/>
          <w:sz w:val="20"/>
        </w:rPr>
        <w:t> </w:t>
      </w:r>
      <w:r>
        <w:rPr>
          <w:sz w:val="20"/>
        </w:rPr>
        <w:t>actual</w:t>
      </w:r>
      <w:r>
        <w:rPr>
          <w:spacing w:val="-13"/>
          <w:sz w:val="20"/>
        </w:rPr>
        <w:t> </w:t>
      </w:r>
      <w:r>
        <w:rPr>
          <w:sz w:val="20"/>
        </w:rPr>
        <w:t>hearing</w:t>
      </w:r>
      <w:r>
        <w:rPr>
          <w:spacing w:val="-9"/>
          <w:sz w:val="20"/>
        </w:rPr>
        <w:t> </w:t>
      </w:r>
      <w:r>
        <w:rPr>
          <w:sz w:val="20"/>
        </w:rPr>
        <w:t>days</w:t>
      </w:r>
      <w:r>
        <w:rPr>
          <w:spacing w:val="-12"/>
          <w:sz w:val="20"/>
        </w:rPr>
        <w:t> </w:t>
      </w:r>
      <w:r>
        <w:rPr>
          <w:sz w:val="20"/>
        </w:rPr>
        <w:t>and</w:t>
      </w:r>
      <w:r>
        <w:rPr>
          <w:spacing w:val="-5"/>
          <w:sz w:val="20"/>
        </w:rPr>
        <w:t> </w:t>
      </w:r>
      <w:r>
        <w:rPr>
          <w:sz w:val="20"/>
        </w:rPr>
        <w:t>the</w:t>
      </w:r>
      <w:r>
        <w:rPr>
          <w:spacing w:val="-9"/>
          <w:sz w:val="20"/>
        </w:rPr>
        <w:t> </w:t>
      </w:r>
      <w:r>
        <w:rPr>
          <w:sz w:val="20"/>
        </w:rPr>
        <w:t>number</w:t>
      </w:r>
      <w:r>
        <w:rPr>
          <w:spacing w:val="-10"/>
          <w:sz w:val="20"/>
        </w:rPr>
        <w:t> </w:t>
      </w:r>
      <w:r>
        <w:rPr>
          <w:sz w:val="20"/>
        </w:rPr>
        <w:t>of</w:t>
      </w:r>
      <w:r>
        <w:rPr>
          <w:spacing w:val="-10"/>
          <w:sz w:val="20"/>
        </w:rPr>
        <w:t> </w:t>
      </w:r>
      <w:r>
        <w:rPr>
          <w:sz w:val="20"/>
        </w:rPr>
        <w:t>forecast</w:t>
      </w:r>
      <w:r>
        <w:rPr>
          <w:spacing w:val="-9"/>
          <w:sz w:val="20"/>
        </w:rPr>
        <w:t> </w:t>
      </w:r>
      <w:r>
        <w:rPr>
          <w:sz w:val="20"/>
        </w:rPr>
        <w:t>hearing</w:t>
      </w:r>
      <w:r>
        <w:rPr>
          <w:spacing w:val="-10"/>
          <w:sz w:val="20"/>
        </w:rPr>
        <w:t> </w:t>
      </w:r>
      <w:r>
        <w:rPr>
          <w:sz w:val="20"/>
        </w:rPr>
        <w:t>days.</w:t>
      </w:r>
      <w:r>
        <w:rPr>
          <w:spacing w:val="-12"/>
          <w:sz w:val="20"/>
        </w:rPr>
        <w:t> </w:t>
      </w:r>
      <w:r>
        <w:rPr>
          <w:sz w:val="20"/>
        </w:rPr>
        <w:t>In</w:t>
      </w:r>
      <w:r>
        <w:rPr>
          <w:spacing w:val="-10"/>
          <w:sz w:val="20"/>
        </w:rPr>
        <w:t> </w:t>
      </w:r>
      <w:r>
        <w:rPr>
          <w:sz w:val="20"/>
        </w:rPr>
        <w:t>other words, by</w:t>
      </w:r>
      <w:r>
        <w:rPr>
          <w:spacing w:val="-5"/>
          <w:sz w:val="20"/>
        </w:rPr>
        <w:t> </w:t>
      </w:r>
      <w:r>
        <w:rPr>
          <w:sz w:val="20"/>
        </w:rPr>
        <w:t>requesting</w:t>
      </w:r>
      <w:r>
        <w:rPr>
          <w:spacing w:val="-5"/>
          <w:sz w:val="20"/>
        </w:rPr>
        <w:t> </w:t>
      </w:r>
      <w:r>
        <w:rPr>
          <w:sz w:val="20"/>
        </w:rPr>
        <w:t>resources</w:t>
      </w:r>
      <w:r>
        <w:rPr>
          <w:spacing w:val="-6"/>
          <w:sz w:val="20"/>
        </w:rPr>
        <w:t> </w:t>
      </w:r>
      <w:r>
        <w:rPr>
          <w:sz w:val="20"/>
        </w:rPr>
        <w:t>to</w:t>
      </w:r>
      <w:r>
        <w:rPr>
          <w:spacing w:val="-1"/>
          <w:sz w:val="20"/>
        </w:rPr>
        <w:t> </w:t>
      </w:r>
      <w:r>
        <w:rPr>
          <w:sz w:val="20"/>
        </w:rPr>
        <w:t>fully</w:t>
      </w:r>
      <w:r>
        <w:rPr>
          <w:spacing w:val="-1"/>
          <w:sz w:val="20"/>
        </w:rPr>
        <w:t> </w:t>
      </w:r>
      <w:r>
        <w:rPr>
          <w:sz w:val="20"/>
        </w:rPr>
        <w:t>fund</w:t>
      </w:r>
      <w:r>
        <w:rPr>
          <w:spacing w:val="-1"/>
          <w:sz w:val="20"/>
        </w:rPr>
        <w:t> </w:t>
      </w:r>
      <w:r>
        <w:rPr>
          <w:sz w:val="20"/>
        </w:rPr>
        <w:t>three courtrooms, any</w:t>
      </w:r>
      <w:r>
        <w:rPr>
          <w:spacing w:val="-1"/>
          <w:sz w:val="20"/>
        </w:rPr>
        <w:t> </w:t>
      </w:r>
      <w:r>
        <w:rPr>
          <w:sz w:val="20"/>
        </w:rPr>
        <w:t>reasonable fluctuation</w:t>
      </w:r>
      <w:r>
        <w:rPr>
          <w:spacing w:val="-1"/>
          <w:sz w:val="20"/>
        </w:rPr>
        <w:t> </w:t>
      </w:r>
      <w:r>
        <w:rPr>
          <w:sz w:val="20"/>
        </w:rPr>
        <w:t>in the planned hearing days will not impact this capacity.</w:t>
      </w:r>
    </w:p>
    <w:p>
      <w:pPr>
        <w:pStyle w:val="ListParagraph"/>
        <w:numPr>
          <w:ilvl w:val="0"/>
          <w:numId w:val="4"/>
        </w:numPr>
        <w:tabs>
          <w:tab w:pos="2967" w:val="left" w:leader="none"/>
        </w:tabs>
        <w:spacing w:line="240" w:lineRule="auto" w:before="120" w:after="0"/>
        <w:ind w:left="2246" w:right="2244" w:firstLine="0"/>
        <w:jc w:val="both"/>
        <w:rPr>
          <w:sz w:val="20"/>
        </w:rPr>
      </w:pPr>
      <w:r>
        <w:rPr>
          <w:sz w:val="20"/>
        </w:rPr>
        <w:t>Additional resources in the amount of €159.3 thousand are proposed for the increased</w:t>
      </w:r>
      <w:r>
        <w:rPr>
          <w:spacing w:val="-8"/>
          <w:sz w:val="20"/>
        </w:rPr>
        <w:t> </w:t>
      </w:r>
      <w:r>
        <w:rPr>
          <w:sz w:val="20"/>
        </w:rPr>
        <w:t>workload</w:t>
      </w:r>
      <w:r>
        <w:rPr>
          <w:spacing w:val="-13"/>
          <w:sz w:val="20"/>
        </w:rPr>
        <w:t> </w:t>
      </w:r>
      <w:r>
        <w:rPr>
          <w:sz w:val="20"/>
        </w:rPr>
        <w:t>related</w:t>
      </w:r>
      <w:r>
        <w:rPr>
          <w:spacing w:val="-12"/>
          <w:sz w:val="20"/>
        </w:rPr>
        <w:t> </w:t>
      </w:r>
      <w:r>
        <w:rPr>
          <w:sz w:val="20"/>
        </w:rPr>
        <w:t>to</w:t>
      </w:r>
      <w:r>
        <w:rPr>
          <w:spacing w:val="-8"/>
          <w:sz w:val="20"/>
        </w:rPr>
        <w:t> </w:t>
      </w:r>
      <w:r>
        <w:rPr>
          <w:sz w:val="20"/>
        </w:rPr>
        <w:t>supporting</w:t>
      </w:r>
      <w:r>
        <w:rPr>
          <w:spacing w:val="-8"/>
          <w:sz w:val="20"/>
        </w:rPr>
        <w:t> </w:t>
      </w:r>
      <w:r>
        <w:rPr>
          <w:sz w:val="20"/>
        </w:rPr>
        <w:t>the</w:t>
      </w:r>
      <w:r>
        <w:rPr>
          <w:spacing w:val="-7"/>
          <w:sz w:val="20"/>
        </w:rPr>
        <w:t> </w:t>
      </w:r>
      <w:r>
        <w:rPr>
          <w:sz w:val="20"/>
        </w:rPr>
        <w:t>defence</w:t>
      </w:r>
      <w:r>
        <w:rPr>
          <w:spacing w:val="-11"/>
          <w:sz w:val="20"/>
        </w:rPr>
        <w:t> </w:t>
      </w:r>
      <w:r>
        <w:rPr>
          <w:sz w:val="20"/>
        </w:rPr>
        <w:t>and</w:t>
      </w:r>
      <w:r>
        <w:rPr>
          <w:spacing w:val="-13"/>
          <w:sz w:val="20"/>
        </w:rPr>
        <w:t> </w:t>
      </w:r>
      <w:r>
        <w:rPr>
          <w:sz w:val="20"/>
        </w:rPr>
        <w:t>the</w:t>
      </w:r>
      <w:r>
        <w:rPr>
          <w:spacing w:val="-10"/>
          <w:sz w:val="20"/>
        </w:rPr>
        <w:t> </w:t>
      </w:r>
      <w:r>
        <w:rPr>
          <w:sz w:val="20"/>
        </w:rPr>
        <w:t>participation</w:t>
      </w:r>
      <w:r>
        <w:rPr>
          <w:spacing w:val="-13"/>
          <w:sz w:val="20"/>
        </w:rPr>
        <w:t> </w:t>
      </w:r>
      <w:r>
        <w:rPr>
          <w:sz w:val="20"/>
        </w:rPr>
        <w:t>and</w:t>
      </w:r>
      <w:r>
        <w:rPr>
          <w:spacing w:val="-12"/>
          <w:sz w:val="20"/>
        </w:rPr>
        <w:t> </w:t>
      </w:r>
      <w:r>
        <w:rPr>
          <w:sz w:val="20"/>
        </w:rPr>
        <w:t>representation of</w:t>
      </w:r>
      <w:r>
        <w:rPr>
          <w:spacing w:val="-13"/>
          <w:sz w:val="20"/>
        </w:rPr>
        <w:t> </w:t>
      </w:r>
      <w:r>
        <w:rPr>
          <w:sz w:val="20"/>
        </w:rPr>
        <w:t>victims</w:t>
      </w:r>
      <w:r>
        <w:rPr>
          <w:spacing w:val="-12"/>
          <w:sz w:val="20"/>
        </w:rPr>
        <w:t> </w:t>
      </w:r>
      <w:r>
        <w:rPr>
          <w:sz w:val="20"/>
        </w:rPr>
        <w:t>in</w:t>
      </w:r>
      <w:r>
        <w:rPr>
          <w:spacing w:val="-13"/>
          <w:sz w:val="20"/>
        </w:rPr>
        <w:t> </w:t>
      </w:r>
      <w:r>
        <w:rPr>
          <w:sz w:val="20"/>
        </w:rPr>
        <w:t>proceedings</w:t>
      </w:r>
      <w:r>
        <w:rPr>
          <w:spacing w:val="-12"/>
          <w:sz w:val="20"/>
        </w:rPr>
        <w:t> </w:t>
      </w:r>
      <w:r>
        <w:rPr>
          <w:sz w:val="20"/>
        </w:rPr>
        <w:t>before</w:t>
      </w:r>
      <w:r>
        <w:rPr>
          <w:spacing w:val="-13"/>
          <w:sz w:val="20"/>
        </w:rPr>
        <w:t> </w:t>
      </w:r>
      <w:r>
        <w:rPr>
          <w:sz w:val="20"/>
        </w:rPr>
        <w:t>the</w:t>
      </w:r>
      <w:r>
        <w:rPr>
          <w:spacing w:val="-12"/>
          <w:sz w:val="20"/>
        </w:rPr>
        <w:t> </w:t>
      </w:r>
      <w:r>
        <w:rPr>
          <w:sz w:val="20"/>
        </w:rPr>
        <w:t>Court.</w:t>
      </w:r>
      <w:r>
        <w:rPr>
          <w:spacing w:val="-13"/>
          <w:sz w:val="20"/>
        </w:rPr>
        <w:t> </w:t>
      </w:r>
      <w:r>
        <w:rPr>
          <w:sz w:val="20"/>
        </w:rPr>
        <w:t>The</w:t>
      </w:r>
      <w:r>
        <w:rPr>
          <w:spacing w:val="-12"/>
          <w:sz w:val="20"/>
        </w:rPr>
        <w:t> </w:t>
      </w:r>
      <w:r>
        <w:rPr>
          <w:sz w:val="20"/>
        </w:rPr>
        <w:t>DS</w:t>
      </w:r>
      <w:r>
        <w:rPr>
          <w:spacing w:val="-13"/>
          <w:sz w:val="20"/>
        </w:rPr>
        <w:t> </w:t>
      </w:r>
      <w:r>
        <w:rPr>
          <w:sz w:val="20"/>
        </w:rPr>
        <w:t>requires</w:t>
      </w:r>
      <w:r>
        <w:rPr>
          <w:spacing w:val="-12"/>
          <w:sz w:val="20"/>
        </w:rPr>
        <w:t> </w:t>
      </w:r>
      <w:r>
        <w:rPr>
          <w:sz w:val="20"/>
        </w:rPr>
        <w:t>a</w:t>
      </w:r>
      <w:r>
        <w:rPr>
          <w:spacing w:val="-13"/>
          <w:sz w:val="20"/>
        </w:rPr>
        <w:t> </w:t>
      </w:r>
      <w:r>
        <w:rPr>
          <w:sz w:val="20"/>
        </w:rPr>
        <w:t>net</w:t>
      </w:r>
      <w:r>
        <w:rPr>
          <w:spacing w:val="-12"/>
          <w:sz w:val="20"/>
        </w:rPr>
        <w:t> </w:t>
      </w:r>
      <w:r>
        <w:rPr>
          <w:sz w:val="20"/>
        </w:rPr>
        <w:t>increase</w:t>
      </w:r>
      <w:r>
        <w:rPr>
          <w:spacing w:val="-11"/>
          <w:sz w:val="20"/>
        </w:rPr>
        <w:t> </w:t>
      </w:r>
      <w:r>
        <w:rPr>
          <w:sz w:val="20"/>
        </w:rPr>
        <w:t>of</w:t>
      </w:r>
      <w:r>
        <w:rPr>
          <w:spacing w:val="-13"/>
          <w:sz w:val="20"/>
        </w:rPr>
        <w:t> </w:t>
      </w:r>
      <w:r>
        <w:rPr>
          <w:sz w:val="20"/>
        </w:rPr>
        <w:t>€426.1</w:t>
      </w:r>
      <w:r>
        <w:rPr>
          <w:spacing w:val="-12"/>
          <w:sz w:val="20"/>
        </w:rPr>
        <w:t> </w:t>
      </w:r>
      <w:r>
        <w:rPr>
          <w:sz w:val="20"/>
        </w:rPr>
        <w:t>thousand for the rental costs of an additional block of six cells as a result of the higher number of suspects, accused persons or convicted persons at the Detention Centre.</w:t>
      </w:r>
    </w:p>
    <w:p>
      <w:pPr>
        <w:pStyle w:val="ListParagraph"/>
        <w:numPr>
          <w:ilvl w:val="0"/>
          <w:numId w:val="4"/>
        </w:numPr>
        <w:tabs>
          <w:tab w:pos="2967" w:val="left" w:leader="none"/>
        </w:tabs>
        <w:spacing w:line="240" w:lineRule="auto" w:before="123" w:after="0"/>
        <w:ind w:left="2967" w:right="0" w:hanging="721"/>
        <w:jc w:val="both"/>
        <w:rPr>
          <w:sz w:val="20"/>
        </w:rPr>
      </w:pPr>
      <w:r>
        <w:rPr>
          <w:sz w:val="20"/>
        </w:rPr>
        <w:t>Lastly,</w:t>
      </w:r>
      <w:r>
        <w:rPr>
          <w:spacing w:val="35"/>
          <w:sz w:val="20"/>
        </w:rPr>
        <w:t> </w:t>
      </w:r>
      <w:r>
        <w:rPr>
          <w:sz w:val="20"/>
        </w:rPr>
        <w:t>to</w:t>
      </w:r>
      <w:r>
        <w:rPr>
          <w:spacing w:val="35"/>
          <w:sz w:val="20"/>
        </w:rPr>
        <w:t> </w:t>
      </w:r>
      <w:r>
        <w:rPr>
          <w:sz w:val="20"/>
        </w:rPr>
        <w:t>avoid</w:t>
      </w:r>
      <w:r>
        <w:rPr>
          <w:spacing w:val="34"/>
          <w:sz w:val="20"/>
        </w:rPr>
        <w:t> </w:t>
      </w:r>
      <w:r>
        <w:rPr>
          <w:sz w:val="20"/>
        </w:rPr>
        <w:t>technical</w:t>
      </w:r>
      <w:r>
        <w:rPr>
          <w:spacing w:val="37"/>
          <w:sz w:val="20"/>
        </w:rPr>
        <w:t> </w:t>
      </w:r>
      <w:r>
        <w:rPr>
          <w:sz w:val="20"/>
        </w:rPr>
        <w:t>disruption</w:t>
      </w:r>
      <w:r>
        <w:rPr>
          <w:spacing w:val="34"/>
          <w:sz w:val="20"/>
        </w:rPr>
        <w:t> </w:t>
      </w:r>
      <w:r>
        <w:rPr>
          <w:sz w:val="20"/>
        </w:rPr>
        <w:t>during</w:t>
      </w:r>
      <w:r>
        <w:rPr>
          <w:spacing w:val="35"/>
          <w:sz w:val="20"/>
        </w:rPr>
        <w:t> </w:t>
      </w:r>
      <w:r>
        <w:rPr>
          <w:sz w:val="20"/>
        </w:rPr>
        <w:t>judicial</w:t>
      </w:r>
      <w:r>
        <w:rPr>
          <w:spacing w:val="41"/>
          <w:sz w:val="20"/>
        </w:rPr>
        <w:t> </w:t>
      </w:r>
      <w:r>
        <w:rPr>
          <w:sz w:val="20"/>
        </w:rPr>
        <w:t>proceedings,</w:t>
      </w:r>
      <w:r>
        <w:rPr>
          <w:spacing w:val="38"/>
          <w:sz w:val="20"/>
        </w:rPr>
        <w:t> </w:t>
      </w:r>
      <w:r>
        <w:rPr>
          <w:sz w:val="20"/>
        </w:rPr>
        <w:t>an</w:t>
      </w:r>
      <w:r>
        <w:rPr>
          <w:spacing w:val="35"/>
          <w:sz w:val="20"/>
        </w:rPr>
        <w:t> </w:t>
      </w:r>
      <w:r>
        <w:rPr>
          <w:spacing w:val="-2"/>
          <w:sz w:val="20"/>
        </w:rPr>
        <w:t>additional</w:t>
      </w:r>
    </w:p>
    <w:p>
      <w:pPr>
        <w:pStyle w:val="BodyText"/>
        <w:ind w:left="2246" w:right="2238"/>
        <w:jc w:val="both"/>
      </w:pPr>
      <w:r>
        <w:rPr/>
        <w:t>€742.7 thousand is requested in IMSS, mainly to replace end-of-life equipment in the courtrooms, without which hearings cannot take place as well as for the migration of evidentiary data from</w:t>
      </w:r>
      <w:r>
        <w:rPr>
          <w:spacing w:val="-2"/>
        </w:rPr>
        <w:t> </w:t>
      </w:r>
      <w:r>
        <w:rPr/>
        <w:t>Ringtail into</w:t>
      </w:r>
      <w:r>
        <w:rPr>
          <w:spacing w:val="-4"/>
        </w:rPr>
        <w:t> </w:t>
      </w:r>
      <w:r>
        <w:rPr/>
        <w:t>the</w:t>
      </w:r>
      <w:r>
        <w:rPr>
          <w:spacing w:val="-2"/>
        </w:rPr>
        <w:t> </w:t>
      </w:r>
      <w:r>
        <w:rPr/>
        <w:t>JWP,</w:t>
      </w:r>
      <w:r>
        <w:rPr>
          <w:spacing w:val="-2"/>
        </w:rPr>
        <w:t> </w:t>
      </w:r>
      <w:r>
        <w:rPr/>
        <w:t>as</w:t>
      </w:r>
      <w:r>
        <w:rPr>
          <w:spacing w:val="-5"/>
        </w:rPr>
        <w:t> </w:t>
      </w:r>
      <w:r>
        <w:rPr/>
        <w:t>per</w:t>
      </w:r>
      <w:r>
        <w:rPr>
          <w:spacing w:val="-4"/>
        </w:rPr>
        <w:t> </w:t>
      </w:r>
      <w:r>
        <w:rPr/>
        <w:t>the</w:t>
      </w:r>
      <w:r>
        <w:rPr>
          <w:spacing w:val="-2"/>
        </w:rPr>
        <w:t> </w:t>
      </w:r>
      <w:r>
        <w:rPr/>
        <w:t>IT/IM</w:t>
      </w:r>
      <w:r>
        <w:rPr>
          <w:spacing w:val="-5"/>
        </w:rPr>
        <w:t> </w:t>
      </w:r>
      <w:r>
        <w:rPr/>
        <w:t>Strategy</w:t>
      </w:r>
      <w:r>
        <w:rPr>
          <w:spacing w:val="-4"/>
        </w:rPr>
        <w:t> </w:t>
      </w:r>
      <w:r>
        <w:rPr/>
        <w:t>in 2023. Notably,</w:t>
      </w:r>
      <w:r>
        <w:rPr>
          <w:spacing w:val="-2"/>
        </w:rPr>
        <w:t> </w:t>
      </w:r>
      <w:r>
        <w:rPr/>
        <w:t>the total net additional requirement in IMSS for 2023 (€1,140.6 thousand) is below the sum of the additional resources required for IT/IM Strategy in 2023 (€200.6 thousand), the overall proposed capital replacements (€980.0 thousand), the UNCS and inflationary increases (€398.0</w:t>
      </w:r>
      <w:r>
        <w:rPr>
          <w:spacing w:val="-4"/>
        </w:rPr>
        <w:t> </w:t>
      </w:r>
      <w:r>
        <w:rPr/>
        <w:t>thousand),</w:t>
      </w:r>
      <w:r>
        <w:rPr>
          <w:spacing w:val="-6"/>
        </w:rPr>
        <w:t> </w:t>
      </w:r>
      <w:r>
        <w:rPr/>
        <w:t>which</w:t>
      </w:r>
      <w:r>
        <w:rPr>
          <w:spacing w:val="-8"/>
        </w:rPr>
        <w:t> </w:t>
      </w:r>
      <w:r>
        <w:rPr/>
        <w:t>total</w:t>
      </w:r>
      <w:r>
        <w:rPr>
          <w:spacing w:val="-7"/>
        </w:rPr>
        <w:t> </w:t>
      </w:r>
      <w:r>
        <w:rPr/>
        <w:t>€1,578.6</w:t>
      </w:r>
      <w:r>
        <w:rPr>
          <w:spacing w:val="-8"/>
        </w:rPr>
        <w:t> </w:t>
      </w:r>
      <w:r>
        <w:rPr/>
        <w:t>thousand.</w:t>
      </w:r>
      <w:r>
        <w:rPr>
          <w:spacing w:val="-6"/>
        </w:rPr>
        <w:t> </w:t>
      </w:r>
      <w:r>
        <w:rPr/>
        <w:t>This</w:t>
      </w:r>
      <w:r>
        <w:rPr>
          <w:spacing w:val="-5"/>
        </w:rPr>
        <w:t> </w:t>
      </w:r>
      <w:r>
        <w:rPr/>
        <w:t>was</w:t>
      </w:r>
      <w:r>
        <w:rPr>
          <w:spacing w:val="-5"/>
        </w:rPr>
        <w:t> </w:t>
      </w:r>
      <w:r>
        <w:rPr/>
        <w:t>possible</w:t>
      </w:r>
      <w:r>
        <w:rPr>
          <w:spacing w:val="-7"/>
        </w:rPr>
        <w:t> </w:t>
      </w:r>
      <w:r>
        <w:rPr/>
        <w:t>as</w:t>
      </w:r>
      <w:r>
        <w:rPr>
          <w:spacing w:val="-10"/>
        </w:rPr>
        <w:t> </w:t>
      </w:r>
      <w:r>
        <w:rPr/>
        <w:t>a</w:t>
      </w:r>
      <w:r>
        <w:rPr>
          <w:spacing w:val="-7"/>
        </w:rPr>
        <w:t> </w:t>
      </w:r>
      <w:r>
        <w:rPr/>
        <w:t>result</w:t>
      </w:r>
      <w:r>
        <w:rPr>
          <w:spacing w:val="-2"/>
        </w:rPr>
        <w:t> </w:t>
      </w:r>
      <w:r>
        <w:rPr/>
        <w:t>of</w:t>
      </w:r>
      <w:r>
        <w:rPr>
          <w:spacing w:val="-4"/>
        </w:rPr>
        <w:t> </w:t>
      </w:r>
      <w:r>
        <w:rPr/>
        <w:t>savings</w:t>
      </w:r>
      <w:r>
        <w:rPr>
          <w:spacing w:val="-10"/>
        </w:rPr>
        <w:t> </w:t>
      </w:r>
      <w:r>
        <w:rPr/>
        <w:t>of approximately €438.0 thousand achieved through the continual optimization of the Court’s lights-on costs.</w:t>
      </w:r>
    </w:p>
    <w:p>
      <w:pPr>
        <w:pStyle w:val="BodyText"/>
        <w:spacing w:before="10"/>
      </w:pPr>
    </w:p>
    <w:p>
      <w:pPr>
        <w:tabs>
          <w:tab w:pos="8282" w:val="left" w:leader="none"/>
        </w:tabs>
        <w:spacing w:before="0"/>
        <w:ind w:left="2246" w:right="0" w:firstLine="0"/>
        <w:jc w:val="both"/>
        <w:rPr>
          <w:i/>
          <w:sz w:val="20"/>
        </w:rPr>
      </w:pPr>
      <w:r>
        <w:rPr>
          <w:i/>
          <w:sz w:val="20"/>
        </w:rPr>
        <w:t>Inflationary</w:t>
      </w:r>
      <w:r>
        <w:rPr>
          <w:i/>
          <w:spacing w:val="-9"/>
          <w:sz w:val="20"/>
        </w:rPr>
        <w:t> </w:t>
      </w:r>
      <w:r>
        <w:rPr>
          <w:i/>
          <w:sz w:val="20"/>
        </w:rPr>
        <w:t>increases</w:t>
      </w:r>
      <w:r>
        <w:rPr>
          <w:i/>
          <w:spacing w:val="-10"/>
          <w:sz w:val="20"/>
        </w:rPr>
        <w:t> </w:t>
      </w:r>
      <w:r>
        <w:rPr>
          <w:i/>
          <w:sz w:val="20"/>
        </w:rPr>
        <w:t>(including</w:t>
      </w:r>
      <w:r>
        <w:rPr>
          <w:i/>
          <w:spacing w:val="-6"/>
          <w:sz w:val="20"/>
        </w:rPr>
        <w:t> </w:t>
      </w:r>
      <w:r>
        <w:rPr>
          <w:i/>
          <w:sz w:val="20"/>
        </w:rPr>
        <w:t>UNCS,</w:t>
      </w:r>
      <w:r>
        <w:rPr>
          <w:i/>
          <w:spacing w:val="-7"/>
          <w:sz w:val="20"/>
        </w:rPr>
        <w:t> </w:t>
      </w:r>
      <w:r>
        <w:rPr>
          <w:i/>
          <w:sz w:val="20"/>
        </w:rPr>
        <w:t>travel</w:t>
      </w:r>
      <w:r>
        <w:rPr>
          <w:i/>
          <w:spacing w:val="-4"/>
          <w:sz w:val="20"/>
        </w:rPr>
        <w:t> </w:t>
      </w:r>
      <w:r>
        <w:rPr>
          <w:i/>
          <w:sz w:val="20"/>
        </w:rPr>
        <w:t>and</w:t>
      </w:r>
      <w:r>
        <w:rPr>
          <w:i/>
          <w:spacing w:val="-4"/>
          <w:sz w:val="20"/>
        </w:rPr>
        <w:t> </w:t>
      </w:r>
      <w:r>
        <w:rPr>
          <w:i/>
          <w:spacing w:val="-2"/>
          <w:sz w:val="20"/>
        </w:rPr>
        <w:t>inflation)</w:t>
      </w:r>
      <w:r>
        <w:rPr>
          <w:i/>
          <w:sz w:val="20"/>
        </w:rPr>
        <w:tab/>
        <w:t>€889.0</w:t>
      </w:r>
      <w:r>
        <w:rPr>
          <w:i/>
          <w:spacing w:val="-3"/>
          <w:sz w:val="20"/>
        </w:rPr>
        <w:t> </w:t>
      </w:r>
      <w:r>
        <w:rPr>
          <w:i/>
          <w:spacing w:val="-2"/>
          <w:sz w:val="20"/>
        </w:rPr>
        <w:t>thousand</w:t>
      </w:r>
    </w:p>
    <w:p>
      <w:pPr>
        <w:pStyle w:val="BodyText"/>
        <w:spacing w:before="10"/>
        <w:rPr>
          <w:i/>
        </w:rPr>
      </w:pPr>
    </w:p>
    <w:p>
      <w:pPr>
        <w:pStyle w:val="ListParagraph"/>
        <w:numPr>
          <w:ilvl w:val="0"/>
          <w:numId w:val="4"/>
        </w:numPr>
        <w:tabs>
          <w:tab w:pos="2967" w:val="left" w:leader="none"/>
        </w:tabs>
        <w:spacing w:line="240" w:lineRule="auto" w:before="0" w:after="0"/>
        <w:ind w:left="2246" w:right="2238" w:firstLine="0"/>
        <w:jc w:val="both"/>
        <w:rPr>
          <w:sz w:val="20"/>
        </w:rPr>
      </w:pPr>
      <w:r>
        <w:rPr>
          <w:sz w:val="20"/>
        </w:rPr>
        <w:t>The unavoidable</w:t>
      </w:r>
      <w:r>
        <w:rPr>
          <w:spacing w:val="-1"/>
          <w:sz w:val="20"/>
        </w:rPr>
        <w:t> </w:t>
      </w:r>
      <w:r>
        <w:rPr>
          <w:sz w:val="20"/>
        </w:rPr>
        <w:t>impact of the application of</w:t>
      </w:r>
      <w:r>
        <w:rPr>
          <w:spacing w:val="-3"/>
          <w:sz w:val="20"/>
        </w:rPr>
        <w:t> </w:t>
      </w:r>
      <w:r>
        <w:rPr>
          <w:sz w:val="20"/>
        </w:rPr>
        <w:t>the UNCS in</w:t>
      </w:r>
      <w:r>
        <w:rPr>
          <w:spacing w:val="-3"/>
          <w:sz w:val="20"/>
        </w:rPr>
        <w:t> </w:t>
      </w:r>
      <w:r>
        <w:rPr>
          <w:sz w:val="20"/>
        </w:rPr>
        <w:t>DJS amounts to €560.0 thousand. Similarly, the impact of increases in the price indices for goods and services has resulted in an additional requirement of €277.6 thousand in the Division, mostly in relation to</w:t>
      </w:r>
      <w:r>
        <w:rPr>
          <w:spacing w:val="-12"/>
          <w:sz w:val="20"/>
        </w:rPr>
        <w:t> </w:t>
      </w:r>
      <w:r>
        <w:rPr>
          <w:sz w:val="20"/>
        </w:rPr>
        <w:t>services</w:t>
      </w:r>
      <w:r>
        <w:rPr>
          <w:spacing w:val="-12"/>
          <w:sz w:val="20"/>
        </w:rPr>
        <w:t> </w:t>
      </w:r>
      <w:r>
        <w:rPr>
          <w:sz w:val="20"/>
        </w:rPr>
        <w:t>and</w:t>
      </w:r>
      <w:r>
        <w:rPr>
          <w:spacing w:val="-12"/>
          <w:sz w:val="20"/>
        </w:rPr>
        <w:t> </w:t>
      </w:r>
      <w:r>
        <w:rPr>
          <w:sz w:val="20"/>
        </w:rPr>
        <w:t>contracts</w:t>
      </w:r>
      <w:r>
        <w:rPr>
          <w:spacing w:val="-13"/>
          <w:sz w:val="20"/>
        </w:rPr>
        <w:t> </w:t>
      </w:r>
      <w:r>
        <w:rPr>
          <w:sz w:val="20"/>
        </w:rPr>
        <w:t>managed</w:t>
      </w:r>
      <w:r>
        <w:rPr>
          <w:spacing w:val="-7"/>
          <w:sz w:val="20"/>
        </w:rPr>
        <w:t> </w:t>
      </w:r>
      <w:r>
        <w:rPr>
          <w:sz w:val="20"/>
        </w:rPr>
        <w:t>by</w:t>
      </w:r>
      <w:r>
        <w:rPr>
          <w:spacing w:val="-7"/>
          <w:sz w:val="20"/>
        </w:rPr>
        <w:t> </w:t>
      </w:r>
      <w:r>
        <w:rPr>
          <w:sz w:val="20"/>
        </w:rPr>
        <w:t>IMSS,</w:t>
      </w:r>
      <w:r>
        <w:rPr>
          <w:spacing w:val="-10"/>
          <w:sz w:val="20"/>
        </w:rPr>
        <w:t> </w:t>
      </w:r>
      <w:r>
        <w:rPr>
          <w:sz w:val="20"/>
        </w:rPr>
        <w:t>as</w:t>
      </w:r>
      <w:r>
        <w:rPr>
          <w:spacing w:val="-13"/>
          <w:sz w:val="20"/>
        </w:rPr>
        <w:t> </w:t>
      </w:r>
      <w:r>
        <w:rPr>
          <w:sz w:val="20"/>
        </w:rPr>
        <w:t>well</w:t>
      </w:r>
      <w:r>
        <w:rPr>
          <w:spacing w:val="-11"/>
          <w:sz w:val="20"/>
        </w:rPr>
        <w:t> </w:t>
      </w:r>
      <w:r>
        <w:rPr>
          <w:sz w:val="20"/>
        </w:rPr>
        <w:t>as</w:t>
      </w:r>
      <w:r>
        <w:rPr>
          <w:spacing w:val="-13"/>
          <w:sz w:val="20"/>
        </w:rPr>
        <w:t> </w:t>
      </w:r>
      <w:r>
        <w:rPr>
          <w:sz w:val="20"/>
        </w:rPr>
        <w:t>an</w:t>
      </w:r>
      <w:r>
        <w:rPr>
          <w:spacing w:val="-12"/>
          <w:sz w:val="20"/>
        </w:rPr>
        <w:t> </w:t>
      </w:r>
      <w:r>
        <w:rPr>
          <w:sz w:val="20"/>
        </w:rPr>
        <w:t>increase</w:t>
      </w:r>
      <w:r>
        <w:rPr>
          <w:spacing w:val="-10"/>
          <w:sz w:val="20"/>
        </w:rPr>
        <w:t> </w:t>
      </w:r>
      <w:r>
        <w:rPr>
          <w:sz w:val="20"/>
        </w:rPr>
        <w:t>of</w:t>
      </w:r>
      <w:r>
        <w:rPr>
          <w:spacing w:val="-12"/>
          <w:sz w:val="20"/>
        </w:rPr>
        <w:t> </w:t>
      </w:r>
      <w:r>
        <w:rPr>
          <w:sz w:val="20"/>
        </w:rPr>
        <w:t>€51.4</w:t>
      </w:r>
      <w:r>
        <w:rPr>
          <w:spacing w:val="-12"/>
          <w:sz w:val="20"/>
        </w:rPr>
        <w:t> </w:t>
      </w:r>
      <w:r>
        <w:rPr>
          <w:sz w:val="20"/>
        </w:rPr>
        <w:t>thousand</w:t>
      </w:r>
      <w:r>
        <w:rPr>
          <w:spacing w:val="-12"/>
          <w:sz w:val="20"/>
        </w:rPr>
        <w:t> </w:t>
      </w:r>
      <w:r>
        <w:rPr>
          <w:sz w:val="20"/>
        </w:rPr>
        <w:t>in</w:t>
      </w:r>
      <w:r>
        <w:rPr>
          <w:spacing w:val="-12"/>
          <w:sz w:val="20"/>
        </w:rPr>
        <w:t> </w:t>
      </w:r>
      <w:r>
        <w:rPr>
          <w:sz w:val="20"/>
        </w:rPr>
        <w:t>travel costs caused by the increase in transport fares.</w:t>
      </w:r>
    </w:p>
    <w:p>
      <w:pPr>
        <w:pStyle w:val="BodyText"/>
        <w:spacing w:before="8"/>
      </w:pPr>
    </w:p>
    <w:p>
      <w:pPr>
        <w:tabs>
          <w:tab w:pos="8282" w:val="left" w:leader="none"/>
        </w:tabs>
        <w:spacing w:before="0"/>
        <w:ind w:left="2246" w:right="2240" w:firstLine="0"/>
        <w:jc w:val="both"/>
        <w:rPr>
          <w:i/>
          <w:sz w:val="20"/>
        </w:rPr>
      </w:pPr>
      <w:r>
        <w:rPr>
          <w:i/>
          <w:sz w:val="20"/>
        </w:rPr>
        <w:t>Other increases (including field support and support</w:t>
        <w:tab/>
        <w:t>€242.6</w:t>
      </w:r>
      <w:r>
        <w:rPr>
          <w:i/>
          <w:spacing w:val="-13"/>
          <w:sz w:val="20"/>
        </w:rPr>
        <w:t> </w:t>
      </w:r>
      <w:r>
        <w:rPr>
          <w:i/>
          <w:sz w:val="20"/>
        </w:rPr>
        <w:t>thousand</w:t>
      </w:r>
      <w:r>
        <w:rPr>
          <w:i/>
          <w:sz w:val="20"/>
        </w:rPr>
        <w:t> to the Assembly of States Parties)</w:t>
      </w:r>
    </w:p>
    <w:p>
      <w:pPr>
        <w:pStyle w:val="BodyText"/>
        <w:spacing w:before="11"/>
        <w:rPr>
          <w:i/>
        </w:rPr>
      </w:pPr>
    </w:p>
    <w:p>
      <w:pPr>
        <w:pStyle w:val="ListParagraph"/>
        <w:numPr>
          <w:ilvl w:val="0"/>
          <w:numId w:val="4"/>
        </w:numPr>
        <w:tabs>
          <w:tab w:pos="2967" w:val="left" w:leader="none"/>
        </w:tabs>
        <w:spacing w:line="240" w:lineRule="auto" w:before="0" w:after="0"/>
        <w:ind w:left="2246" w:right="2244" w:firstLine="0"/>
        <w:jc w:val="both"/>
        <w:rPr>
          <w:sz w:val="20"/>
        </w:rPr>
      </w:pPr>
      <w:r>
        <w:rPr>
          <w:sz w:val="20"/>
        </w:rPr>
        <w:t>Additional resources in the amount of €101.0 thousand are also proposed as a consequence</w:t>
      </w:r>
      <w:r>
        <w:rPr>
          <w:spacing w:val="-7"/>
          <w:sz w:val="20"/>
        </w:rPr>
        <w:t> </w:t>
      </w:r>
      <w:r>
        <w:rPr>
          <w:sz w:val="20"/>
        </w:rPr>
        <w:t>of</w:t>
      </w:r>
      <w:r>
        <w:rPr>
          <w:spacing w:val="-8"/>
          <w:sz w:val="20"/>
        </w:rPr>
        <w:t> </w:t>
      </w:r>
      <w:r>
        <w:rPr>
          <w:sz w:val="20"/>
        </w:rPr>
        <w:t>enhanced</w:t>
      </w:r>
      <w:r>
        <w:rPr>
          <w:spacing w:val="-8"/>
          <w:sz w:val="20"/>
        </w:rPr>
        <w:t> </w:t>
      </w:r>
      <w:r>
        <w:rPr>
          <w:sz w:val="20"/>
        </w:rPr>
        <w:t>investigative</w:t>
      </w:r>
      <w:r>
        <w:rPr>
          <w:spacing w:val="-7"/>
          <w:sz w:val="20"/>
        </w:rPr>
        <w:t> </w:t>
      </w:r>
      <w:r>
        <w:rPr>
          <w:sz w:val="20"/>
        </w:rPr>
        <w:t>and</w:t>
      </w:r>
      <w:r>
        <w:rPr>
          <w:spacing w:val="-8"/>
          <w:sz w:val="20"/>
        </w:rPr>
        <w:t> </w:t>
      </w:r>
      <w:r>
        <w:rPr>
          <w:sz w:val="20"/>
        </w:rPr>
        <w:t>field</w:t>
      </w:r>
      <w:r>
        <w:rPr>
          <w:spacing w:val="-8"/>
          <w:sz w:val="20"/>
        </w:rPr>
        <w:t> </w:t>
      </w:r>
      <w:r>
        <w:rPr>
          <w:sz w:val="20"/>
        </w:rPr>
        <w:t>activities,</w:t>
      </w:r>
      <w:r>
        <w:rPr>
          <w:spacing w:val="-6"/>
          <w:sz w:val="20"/>
        </w:rPr>
        <w:t> </w:t>
      </w:r>
      <w:r>
        <w:rPr>
          <w:sz w:val="20"/>
        </w:rPr>
        <w:t>including</w:t>
      </w:r>
      <w:r>
        <w:rPr>
          <w:spacing w:val="-8"/>
          <w:sz w:val="20"/>
        </w:rPr>
        <w:t> </w:t>
      </w:r>
      <w:r>
        <w:rPr>
          <w:sz w:val="20"/>
        </w:rPr>
        <w:t>in</w:t>
      </w:r>
      <w:r>
        <w:rPr>
          <w:spacing w:val="-4"/>
          <w:sz w:val="20"/>
        </w:rPr>
        <w:t> </w:t>
      </w:r>
      <w:r>
        <w:rPr>
          <w:sz w:val="20"/>
        </w:rPr>
        <w:t>new</w:t>
      </w:r>
      <w:r>
        <w:rPr>
          <w:spacing w:val="-5"/>
          <w:sz w:val="20"/>
        </w:rPr>
        <w:t> </w:t>
      </w:r>
      <w:r>
        <w:rPr>
          <w:sz w:val="20"/>
        </w:rPr>
        <w:t>situations</w:t>
      </w:r>
      <w:r>
        <w:rPr>
          <w:spacing w:val="-5"/>
          <w:sz w:val="20"/>
        </w:rPr>
        <w:t> </w:t>
      </w:r>
      <w:r>
        <w:rPr>
          <w:sz w:val="20"/>
        </w:rPr>
        <w:t>under investigation. Lastly, an additional €141.6 thousand has been requested to support interpretation into English and French for the meetings of the subsidiary bodies of the Assembly,</w:t>
      </w:r>
      <w:r>
        <w:rPr>
          <w:spacing w:val="-3"/>
          <w:sz w:val="20"/>
        </w:rPr>
        <w:t> </w:t>
      </w:r>
      <w:r>
        <w:rPr>
          <w:sz w:val="20"/>
        </w:rPr>
        <w:t>in</w:t>
      </w:r>
      <w:r>
        <w:rPr>
          <w:spacing w:val="-6"/>
          <w:sz w:val="20"/>
        </w:rPr>
        <w:t> </w:t>
      </w:r>
      <w:r>
        <w:rPr>
          <w:sz w:val="20"/>
        </w:rPr>
        <w:t>particular,</w:t>
      </w:r>
      <w:r>
        <w:rPr>
          <w:spacing w:val="-3"/>
          <w:sz w:val="20"/>
        </w:rPr>
        <w:t> </w:t>
      </w:r>
      <w:r>
        <w:rPr>
          <w:sz w:val="20"/>
        </w:rPr>
        <w:t>the</w:t>
      </w:r>
      <w:r>
        <w:rPr>
          <w:spacing w:val="-4"/>
          <w:sz w:val="20"/>
        </w:rPr>
        <w:t> </w:t>
      </w:r>
      <w:r>
        <w:rPr>
          <w:sz w:val="20"/>
        </w:rPr>
        <w:t>Advisory</w:t>
      </w:r>
      <w:r>
        <w:rPr>
          <w:spacing w:val="-6"/>
          <w:sz w:val="20"/>
        </w:rPr>
        <w:t> </w:t>
      </w:r>
      <w:r>
        <w:rPr>
          <w:sz w:val="20"/>
        </w:rPr>
        <w:t>Committee</w:t>
      </w:r>
      <w:r>
        <w:rPr>
          <w:spacing w:val="-4"/>
          <w:sz w:val="20"/>
        </w:rPr>
        <w:t> </w:t>
      </w:r>
      <w:r>
        <w:rPr>
          <w:sz w:val="20"/>
        </w:rPr>
        <w:t>on</w:t>
      </w:r>
      <w:r>
        <w:rPr>
          <w:spacing w:val="-6"/>
          <w:sz w:val="20"/>
        </w:rPr>
        <w:t> </w:t>
      </w:r>
      <w:r>
        <w:rPr>
          <w:sz w:val="20"/>
        </w:rPr>
        <w:t>Nominations</w:t>
      </w:r>
      <w:r>
        <w:rPr>
          <w:spacing w:val="-7"/>
          <w:sz w:val="20"/>
        </w:rPr>
        <w:t> </w:t>
      </w:r>
      <w:r>
        <w:rPr>
          <w:sz w:val="20"/>
        </w:rPr>
        <w:t>in</w:t>
      </w:r>
      <w:r>
        <w:rPr>
          <w:spacing w:val="-6"/>
          <w:sz w:val="20"/>
        </w:rPr>
        <w:t> </w:t>
      </w:r>
      <w:r>
        <w:rPr>
          <w:sz w:val="20"/>
        </w:rPr>
        <w:t>regard</w:t>
      </w:r>
      <w:r>
        <w:rPr>
          <w:spacing w:val="-9"/>
          <w:sz w:val="20"/>
        </w:rPr>
        <w:t> </w:t>
      </w:r>
      <w:r>
        <w:rPr>
          <w:sz w:val="20"/>
        </w:rPr>
        <w:t>to</w:t>
      </w:r>
      <w:r>
        <w:rPr>
          <w:spacing w:val="-9"/>
          <w:sz w:val="20"/>
        </w:rPr>
        <w:t> </w:t>
      </w:r>
      <w:r>
        <w:rPr>
          <w:sz w:val="20"/>
        </w:rPr>
        <w:t>the</w:t>
      </w:r>
      <w:r>
        <w:rPr>
          <w:spacing w:val="-4"/>
          <w:sz w:val="20"/>
        </w:rPr>
        <w:t> </w:t>
      </w:r>
      <w:r>
        <w:rPr>
          <w:sz w:val="20"/>
        </w:rPr>
        <w:t>upcoming judicial election process in 2023.</w:t>
      </w:r>
    </w:p>
    <w:p>
      <w:pPr>
        <w:pStyle w:val="BodyText"/>
        <w:spacing w:before="1"/>
        <w:rPr>
          <w:sz w:val="21"/>
        </w:rPr>
      </w:pPr>
    </w:p>
    <w:p>
      <w:pPr>
        <w:pStyle w:val="Heading3"/>
        <w:tabs>
          <w:tab w:pos="7980" w:val="left" w:leader="none"/>
        </w:tabs>
        <w:spacing w:before="1"/>
        <w:jc w:val="both"/>
      </w:pPr>
      <w:r>
        <w:rPr/>
        <w:t>Staff</w:t>
      </w:r>
      <w:r>
        <w:rPr>
          <w:spacing w:val="-2"/>
        </w:rPr>
        <w:t> resources</w:t>
      </w:r>
      <w:r>
        <w:rPr/>
        <w:tab/>
        <w:t>€25,353.7</w:t>
      </w:r>
      <w:r>
        <w:rPr>
          <w:spacing w:val="-6"/>
        </w:rPr>
        <w:t> </w:t>
      </w:r>
      <w:r>
        <w:rPr>
          <w:spacing w:val="-2"/>
        </w:rPr>
        <w:t>thousand</w:t>
      </w:r>
    </w:p>
    <w:p>
      <w:pPr>
        <w:pStyle w:val="BodyText"/>
        <w:spacing w:before="10"/>
        <w:rPr>
          <w:b/>
        </w:rPr>
      </w:pPr>
    </w:p>
    <w:p>
      <w:pPr>
        <w:pStyle w:val="ListParagraph"/>
        <w:numPr>
          <w:ilvl w:val="0"/>
          <w:numId w:val="4"/>
        </w:numPr>
        <w:tabs>
          <w:tab w:pos="2967" w:val="left" w:leader="none"/>
        </w:tabs>
        <w:spacing w:line="240" w:lineRule="auto" w:before="0" w:after="0"/>
        <w:ind w:left="2246" w:right="2241" w:firstLine="0"/>
        <w:jc w:val="both"/>
        <w:rPr>
          <w:sz w:val="20"/>
        </w:rPr>
      </w:pPr>
      <w:r>
        <w:rPr>
          <w:sz w:val="20"/>
        </w:rPr>
        <w:t>The</w:t>
      </w:r>
      <w:r>
        <w:rPr>
          <w:spacing w:val="-2"/>
          <w:sz w:val="20"/>
        </w:rPr>
        <w:t> </w:t>
      </w:r>
      <w:r>
        <w:rPr>
          <w:sz w:val="20"/>
        </w:rPr>
        <w:t>staff</w:t>
      </w:r>
      <w:r>
        <w:rPr>
          <w:spacing w:val="-4"/>
          <w:sz w:val="20"/>
        </w:rPr>
        <w:t> </w:t>
      </w:r>
      <w:r>
        <w:rPr>
          <w:sz w:val="20"/>
        </w:rPr>
        <w:t>resources</w:t>
      </w:r>
      <w:r>
        <w:rPr>
          <w:spacing w:val="-5"/>
          <w:sz w:val="20"/>
        </w:rPr>
        <w:t> </w:t>
      </w:r>
      <w:r>
        <w:rPr>
          <w:sz w:val="20"/>
        </w:rPr>
        <w:t>requested</w:t>
      </w:r>
      <w:r>
        <w:rPr>
          <w:spacing w:val="-4"/>
          <w:sz w:val="20"/>
        </w:rPr>
        <w:t> </w:t>
      </w:r>
      <w:r>
        <w:rPr>
          <w:sz w:val="20"/>
        </w:rPr>
        <w:t>for</w:t>
      </w:r>
      <w:r>
        <w:rPr>
          <w:spacing w:val="-4"/>
          <w:sz w:val="20"/>
        </w:rPr>
        <w:t> </w:t>
      </w:r>
      <w:r>
        <w:rPr>
          <w:sz w:val="20"/>
        </w:rPr>
        <w:t>2023</w:t>
      </w:r>
      <w:r>
        <w:rPr>
          <w:spacing w:val="-8"/>
          <w:sz w:val="20"/>
        </w:rPr>
        <w:t> </w:t>
      </w:r>
      <w:r>
        <w:rPr>
          <w:sz w:val="20"/>
        </w:rPr>
        <w:t>amount</w:t>
      </w:r>
      <w:r>
        <w:rPr>
          <w:spacing w:val="-7"/>
          <w:sz w:val="20"/>
        </w:rPr>
        <w:t> </w:t>
      </w:r>
      <w:r>
        <w:rPr>
          <w:sz w:val="20"/>
        </w:rPr>
        <w:t>to</w:t>
      </w:r>
      <w:r>
        <w:rPr>
          <w:spacing w:val="-4"/>
          <w:sz w:val="20"/>
        </w:rPr>
        <w:t> </w:t>
      </w:r>
      <w:r>
        <w:rPr>
          <w:sz w:val="20"/>
        </w:rPr>
        <w:t>€25,353.7</w:t>
      </w:r>
      <w:r>
        <w:rPr>
          <w:spacing w:val="-7"/>
          <w:sz w:val="20"/>
        </w:rPr>
        <w:t> </w:t>
      </w:r>
      <w:r>
        <w:rPr>
          <w:sz w:val="20"/>
        </w:rPr>
        <w:t>thousand</w:t>
      </w:r>
      <w:r>
        <w:rPr>
          <w:spacing w:val="-8"/>
          <w:sz w:val="20"/>
        </w:rPr>
        <w:t> </w:t>
      </w:r>
      <w:r>
        <w:rPr>
          <w:sz w:val="20"/>
        </w:rPr>
        <w:t>and</w:t>
      </w:r>
      <w:r>
        <w:rPr>
          <w:spacing w:val="-4"/>
          <w:sz w:val="20"/>
        </w:rPr>
        <w:t> </w:t>
      </w:r>
      <w:r>
        <w:rPr>
          <w:sz w:val="20"/>
        </w:rPr>
        <w:t>represent a</w:t>
      </w:r>
      <w:r>
        <w:rPr>
          <w:spacing w:val="-4"/>
          <w:sz w:val="20"/>
        </w:rPr>
        <w:t> </w:t>
      </w:r>
      <w:r>
        <w:rPr>
          <w:sz w:val="20"/>
        </w:rPr>
        <w:t>net</w:t>
      </w:r>
      <w:r>
        <w:rPr>
          <w:spacing w:val="-8"/>
          <w:sz w:val="20"/>
        </w:rPr>
        <w:t> </w:t>
      </w:r>
      <w:r>
        <w:rPr>
          <w:sz w:val="20"/>
        </w:rPr>
        <w:t>increase</w:t>
      </w:r>
      <w:r>
        <w:rPr>
          <w:spacing w:val="-8"/>
          <w:sz w:val="20"/>
        </w:rPr>
        <w:t> </w:t>
      </w:r>
      <w:r>
        <w:rPr>
          <w:sz w:val="20"/>
        </w:rPr>
        <w:t>of</w:t>
      </w:r>
      <w:r>
        <w:rPr>
          <w:spacing w:val="-9"/>
          <w:sz w:val="20"/>
        </w:rPr>
        <w:t> </w:t>
      </w:r>
      <w:r>
        <w:rPr>
          <w:sz w:val="20"/>
        </w:rPr>
        <w:t>€3,461.9</w:t>
      </w:r>
      <w:r>
        <w:rPr>
          <w:spacing w:val="-9"/>
          <w:sz w:val="20"/>
        </w:rPr>
        <w:t> </w:t>
      </w:r>
      <w:r>
        <w:rPr>
          <w:sz w:val="20"/>
        </w:rPr>
        <w:t>thousand</w:t>
      </w:r>
      <w:r>
        <w:rPr>
          <w:spacing w:val="-5"/>
          <w:sz w:val="20"/>
        </w:rPr>
        <w:t> </w:t>
      </w:r>
      <w:r>
        <w:rPr>
          <w:sz w:val="20"/>
        </w:rPr>
        <w:t>(15.8</w:t>
      </w:r>
      <w:r>
        <w:rPr>
          <w:spacing w:val="-9"/>
          <w:sz w:val="20"/>
        </w:rPr>
        <w:t> </w:t>
      </w:r>
      <w:r>
        <w:rPr>
          <w:sz w:val="20"/>
        </w:rPr>
        <w:t>percent)</w:t>
      </w:r>
      <w:r>
        <w:rPr>
          <w:spacing w:val="-9"/>
          <w:sz w:val="20"/>
        </w:rPr>
        <w:t> </w:t>
      </w:r>
      <w:r>
        <w:rPr>
          <w:sz w:val="20"/>
        </w:rPr>
        <w:t>consisting</w:t>
      </w:r>
      <w:r>
        <w:rPr>
          <w:spacing w:val="-13"/>
          <w:sz w:val="20"/>
        </w:rPr>
        <w:t> </w:t>
      </w:r>
      <w:r>
        <w:rPr>
          <w:sz w:val="20"/>
        </w:rPr>
        <w:t>of</w:t>
      </w:r>
      <w:r>
        <w:rPr>
          <w:spacing w:val="-4"/>
          <w:sz w:val="20"/>
        </w:rPr>
        <w:t> </w:t>
      </w:r>
      <w:r>
        <w:rPr>
          <w:sz w:val="20"/>
        </w:rPr>
        <w:t>an</w:t>
      </w:r>
      <w:r>
        <w:rPr>
          <w:spacing w:val="-5"/>
          <w:sz w:val="20"/>
        </w:rPr>
        <w:t> </w:t>
      </w:r>
      <w:r>
        <w:rPr>
          <w:sz w:val="20"/>
        </w:rPr>
        <w:t>overall</w:t>
      </w:r>
      <w:r>
        <w:rPr>
          <w:spacing w:val="-8"/>
          <w:sz w:val="20"/>
        </w:rPr>
        <w:t> </w:t>
      </w:r>
      <w:r>
        <w:rPr>
          <w:sz w:val="20"/>
        </w:rPr>
        <w:t>increase</w:t>
      </w:r>
      <w:r>
        <w:rPr>
          <w:spacing w:val="-8"/>
          <w:sz w:val="20"/>
        </w:rPr>
        <w:t> </w:t>
      </w:r>
      <w:r>
        <w:rPr>
          <w:sz w:val="20"/>
        </w:rPr>
        <w:t>of</w:t>
      </w:r>
      <w:r>
        <w:rPr>
          <w:spacing w:val="-9"/>
          <w:sz w:val="20"/>
        </w:rPr>
        <w:t> </w:t>
      </w:r>
      <w:r>
        <w:rPr>
          <w:sz w:val="20"/>
        </w:rPr>
        <w:t>€808.1 thousand in established posts and an increase of €2,653.8 thousand in GTA and TAM. As indicated, this amount includes the €560.0 thousand in the Court’s staff costs linked to the application of the UNCS.</w:t>
      </w:r>
    </w:p>
    <w:p>
      <w:pPr>
        <w:pStyle w:val="ListParagraph"/>
        <w:numPr>
          <w:ilvl w:val="0"/>
          <w:numId w:val="4"/>
        </w:numPr>
        <w:tabs>
          <w:tab w:pos="2967" w:val="left" w:leader="none"/>
        </w:tabs>
        <w:spacing w:line="240" w:lineRule="auto" w:before="118" w:after="0"/>
        <w:ind w:left="2246" w:right="2242" w:firstLine="0"/>
        <w:jc w:val="both"/>
        <w:rPr>
          <w:sz w:val="20"/>
        </w:rPr>
      </w:pPr>
      <w:r>
        <w:rPr>
          <w:sz w:val="20"/>
        </w:rPr>
        <w:t>Furthermore,</w:t>
      </w:r>
      <w:r>
        <w:rPr>
          <w:spacing w:val="-7"/>
          <w:sz w:val="20"/>
        </w:rPr>
        <w:t> </w:t>
      </w:r>
      <w:r>
        <w:rPr>
          <w:sz w:val="20"/>
        </w:rPr>
        <w:t>in</w:t>
      </w:r>
      <w:r>
        <w:rPr>
          <w:spacing w:val="-5"/>
          <w:sz w:val="20"/>
        </w:rPr>
        <w:t> </w:t>
      </w:r>
      <w:r>
        <w:rPr>
          <w:sz w:val="20"/>
        </w:rPr>
        <w:t>line</w:t>
      </w:r>
      <w:r>
        <w:rPr>
          <w:spacing w:val="-3"/>
          <w:sz w:val="20"/>
        </w:rPr>
        <w:t> </w:t>
      </w:r>
      <w:r>
        <w:rPr>
          <w:sz w:val="20"/>
        </w:rPr>
        <w:t>with</w:t>
      </w:r>
      <w:r>
        <w:rPr>
          <w:spacing w:val="-5"/>
          <w:sz w:val="20"/>
        </w:rPr>
        <w:t> </w:t>
      </w:r>
      <w:r>
        <w:rPr>
          <w:sz w:val="20"/>
        </w:rPr>
        <w:t>the</w:t>
      </w:r>
      <w:r>
        <w:rPr>
          <w:spacing w:val="-3"/>
          <w:sz w:val="20"/>
        </w:rPr>
        <w:t> </w:t>
      </w:r>
      <w:r>
        <w:rPr>
          <w:sz w:val="20"/>
        </w:rPr>
        <w:t>aforementioned</w:t>
      </w:r>
      <w:r>
        <w:rPr>
          <w:spacing w:val="-5"/>
          <w:sz w:val="20"/>
        </w:rPr>
        <w:t> </w:t>
      </w:r>
      <w:r>
        <w:rPr>
          <w:sz w:val="20"/>
        </w:rPr>
        <w:t>cost-drivers,</w:t>
      </w:r>
      <w:r>
        <w:rPr>
          <w:spacing w:val="-2"/>
          <w:sz w:val="20"/>
        </w:rPr>
        <w:t> </w:t>
      </w:r>
      <w:r>
        <w:rPr>
          <w:sz w:val="20"/>
        </w:rPr>
        <w:t>the</w:t>
      </w:r>
      <w:r>
        <w:rPr>
          <w:spacing w:val="-3"/>
          <w:sz w:val="20"/>
        </w:rPr>
        <w:t> </w:t>
      </w:r>
      <w:r>
        <w:rPr>
          <w:sz w:val="20"/>
        </w:rPr>
        <w:t>core</w:t>
      </w:r>
      <w:r>
        <w:rPr>
          <w:spacing w:val="-3"/>
          <w:sz w:val="20"/>
        </w:rPr>
        <w:t> </w:t>
      </w:r>
      <w:r>
        <w:rPr>
          <w:sz w:val="20"/>
        </w:rPr>
        <w:t>increase</w:t>
      </w:r>
      <w:r>
        <w:rPr>
          <w:spacing w:val="-3"/>
          <w:sz w:val="20"/>
        </w:rPr>
        <w:t> </w:t>
      </w:r>
      <w:r>
        <w:rPr>
          <w:sz w:val="20"/>
        </w:rPr>
        <w:t>in</w:t>
      </w:r>
      <w:r>
        <w:rPr>
          <w:spacing w:val="-5"/>
          <w:sz w:val="20"/>
        </w:rPr>
        <w:t> </w:t>
      </w:r>
      <w:r>
        <w:rPr>
          <w:sz w:val="20"/>
        </w:rPr>
        <w:t>staff costs</w:t>
      </w:r>
      <w:r>
        <w:rPr>
          <w:spacing w:val="-13"/>
          <w:sz w:val="20"/>
        </w:rPr>
        <w:t> </w:t>
      </w:r>
      <w:r>
        <w:rPr>
          <w:sz w:val="20"/>
        </w:rPr>
        <w:t>directly</w:t>
      </w:r>
      <w:r>
        <w:rPr>
          <w:spacing w:val="-12"/>
          <w:sz w:val="20"/>
        </w:rPr>
        <w:t> </w:t>
      </w:r>
      <w:r>
        <w:rPr>
          <w:sz w:val="20"/>
        </w:rPr>
        <w:t>relates</w:t>
      </w:r>
      <w:r>
        <w:rPr>
          <w:spacing w:val="-13"/>
          <w:sz w:val="20"/>
        </w:rPr>
        <w:t> </w:t>
      </w:r>
      <w:r>
        <w:rPr>
          <w:sz w:val="20"/>
        </w:rPr>
        <w:t>to</w:t>
      </w:r>
      <w:r>
        <w:rPr>
          <w:spacing w:val="-12"/>
          <w:sz w:val="20"/>
        </w:rPr>
        <w:t> </w:t>
      </w:r>
      <w:r>
        <w:rPr>
          <w:sz w:val="20"/>
        </w:rPr>
        <w:t>the</w:t>
      </w:r>
      <w:r>
        <w:rPr>
          <w:spacing w:val="-13"/>
          <w:sz w:val="20"/>
        </w:rPr>
        <w:t> </w:t>
      </w:r>
      <w:r>
        <w:rPr>
          <w:sz w:val="20"/>
        </w:rPr>
        <w:t>increase</w:t>
      </w:r>
      <w:r>
        <w:rPr>
          <w:spacing w:val="-12"/>
          <w:sz w:val="20"/>
        </w:rPr>
        <w:t> </w:t>
      </w:r>
      <w:r>
        <w:rPr>
          <w:sz w:val="20"/>
        </w:rPr>
        <w:t>in</w:t>
      </w:r>
      <w:r>
        <w:rPr>
          <w:spacing w:val="-13"/>
          <w:sz w:val="20"/>
        </w:rPr>
        <w:t> </w:t>
      </w:r>
      <w:r>
        <w:rPr>
          <w:sz w:val="20"/>
        </w:rPr>
        <w:t>judicial</w:t>
      </w:r>
      <w:r>
        <w:rPr>
          <w:spacing w:val="-12"/>
          <w:sz w:val="20"/>
        </w:rPr>
        <w:t> </w:t>
      </w:r>
      <w:r>
        <w:rPr>
          <w:sz w:val="20"/>
        </w:rPr>
        <w:t>activities,</w:t>
      </w:r>
      <w:r>
        <w:rPr>
          <w:spacing w:val="-8"/>
          <w:sz w:val="20"/>
        </w:rPr>
        <w:t> </w:t>
      </w:r>
      <w:r>
        <w:rPr>
          <w:sz w:val="20"/>
        </w:rPr>
        <w:t>with</w:t>
      </w:r>
      <w:r>
        <w:rPr>
          <w:spacing w:val="-13"/>
          <w:sz w:val="20"/>
        </w:rPr>
        <w:t> </w:t>
      </w:r>
      <w:r>
        <w:rPr>
          <w:sz w:val="20"/>
        </w:rPr>
        <w:t>€596.8</w:t>
      </w:r>
      <w:r>
        <w:rPr>
          <w:spacing w:val="-12"/>
          <w:sz w:val="20"/>
        </w:rPr>
        <w:t> </w:t>
      </w:r>
      <w:r>
        <w:rPr>
          <w:sz w:val="20"/>
        </w:rPr>
        <w:t>thousand</w:t>
      </w:r>
      <w:r>
        <w:rPr>
          <w:spacing w:val="-13"/>
          <w:sz w:val="20"/>
        </w:rPr>
        <w:t> </w:t>
      </w:r>
      <w:r>
        <w:rPr>
          <w:sz w:val="20"/>
        </w:rPr>
        <w:t>corresponding to resources required in CMS to manage and organize courtroom support activities for the simultaneous use of three courtrooms throughout 2023; €1,869.1 thousand for language requirements in connection with the ongoing judicial proceedings; and €141.1 thousand for other</w:t>
      </w:r>
      <w:r>
        <w:rPr>
          <w:spacing w:val="19"/>
          <w:sz w:val="20"/>
        </w:rPr>
        <w:t> </w:t>
      </w:r>
      <w:r>
        <w:rPr>
          <w:sz w:val="20"/>
        </w:rPr>
        <w:t>requirements</w:t>
      </w:r>
      <w:r>
        <w:rPr>
          <w:spacing w:val="23"/>
          <w:sz w:val="20"/>
        </w:rPr>
        <w:t> </w:t>
      </w:r>
      <w:r>
        <w:rPr>
          <w:sz w:val="20"/>
        </w:rPr>
        <w:t>following</w:t>
      </w:r>
      <w:r>
        <w:rPr>
          <w:spacing w:val="19"/>
          <w:sz w:val="20"/>
        </w:rPr>
        <w:t> </w:t>
      </w:r>
      <w:r>
        <w:rPr>
          <w:sz w:val="20"/>
        </w:rPr>
        <w:t>the</w:t>
      </w:r>
      <w:r>
        <w:rPr>
          <w:spacing w:val="21"/>
          <w:sz w:val="20"/>
        </w:rPr>
        <w:t> </w:t>
      </w:r>
      <w:r>
        <w:rPr>
          <w:sz w:val="20"/>
        </w:rPr>
        <w:t>increase</w:t>
      </w:r>
      <w:r>
        <w:rPr>
          <w:spacing w:val="21"/>
          <w:sz w:val="20"/>
        </w:rPr>
        <w:t> </w:t>
      </w:r>
      <w:r>
        <w:rPr>
          <w:sz w:val="20"/>
        </w:rPr>
        <w:t>in</w:t>
      </w:r>
      <w:r>
        <w:rPr>
          <w:spacing w:val="19"/>
          <w:sz w:val="20"/>
        </w:rPr>
        <w:t> </w:t>
      </w:r>
      <w:r>
        <w:rPr>
          <w:sz w:val="20"/>
        </w:rPr>
        <w:t>judicial</w:t>
      </w:r>
      <w:r>
        <w:rPr>
          <w:spacing w:val="21"/>
          <w:sz w:val="20"/>
        </w:rPr>
        <w:t> </w:t>
      </w:r>
      <w:r>
        <w:rPr>
          <w:sz w:val="20"/>
        </w:rPr>
        <w:t>activities,</w:t>
      </w:r>
      <w:r>
        <w:rPr>
          <w:spacing w:val="22"/>
          <w:sz w:val="20"/>
        </w:rPr>
        <w:t> </w:t>
      </w:r>
      <w:r>
        <w:rPr>
          <w:sz w:val="20"/>
        </w:rPr>
        <w:t>relating</w:t>
      </w:r>
      <w:r>
        <w:rPr>
          <w:spacing w:val="19"/>
          <w:sz w:val="20"/>
        </w:rPr>
        <w:t> </w:t>
      </w:r>
      <w:r>
        <w:rPr>
          <w:sz w:val="20"/>
        </w:rPr>
        <w:t>to,</w:t>
      </w:r>
      <w:r>
        <w:rPr>
          <w:spacing w:val="21"/>
          <w:sz w:val="20"/>
        </w:rPr>
        <w:t> </w:t>
      </w:r>
      <w:r>
        <w:rPr>
          <w:sz w:val="20"/>
        </w:rPr>
        <w:t>among</w:t>
      </w:r>
      <w:r>
        <w:rPr>
          <w:spacing w:val="19"/>
          <w:sz w:val="20"/>
        </w:rPr>
        <w:t> </w:t>
      </w:r>
      <w:r>
        <w:rPr>
          <w:sz w:val="20"/>
        </w:rPr>
        <w:t>others,</w:t>
      </w:r>
    </w:p>
    <w:p>
      <w:pPr>
        <w:spacing w:after="0" w:line="240" w:lineRule="auto"/>
        <w:jc w:val="both"/>
        <w:rPr>
          <w:sz w:val="20"/>
        </w:rPr>
        <w:sectPr>
          <w:pgSz w:w="11910" w:h="16840"/>
          <w:pgMar w:header="957" w:footer="940" w:top="1140" w:bottom="1140" w:left="20" w:right="20"/>
        </w:sectPr>
      </w:pPr>
    </w:p>
    <w:p>
      <w:pPr>
        <w:pStyle w:val="BodyText"/>
        <w:spacing w:before="124"/>
        <w:ind w:left="2246" w:right="2242"/>
        <w:jc w:val="both"/>
      </w:pPr>
      <w:r>
        <w:rPr/>
        <w:t>defence support, the participation and representation of victims and detention costs. Similarly, approximately €72.1 thousand of the increase in staff costs requested is for field support</w:t>
      </w:r>
      <w:r>
        <w:rPr>
          <w:spacing w:val="-2"/>
        </w:rPr>
        <w:t> </w:t>
      </w:r>
      <w:r>
        <w:rPr/>
        <w:t>operations, including for</w:t>
      </w:r>
      <w:r>
        <w:rPr>
          <w:spacing w:val="-4"/>
        </w:rPr>
        <w:t> </w:t>
      </w:r>
      <w:r>
        <w:rPr/>
        <w:t>the</w:t>
      </w:r>
      <w:r>
        <w:rPr>
          <w:spacing w:val="-2"/>
        </w:rPr>
        <w:t> </w:t>
      </w:r>
      <w:r>
        <w:rPr/>
        <w:t>new</w:t>
      </w:r>
      <w:r>
        <w:rPr>
          <w:spacing w:val="-5"/>
        </w:rPr>
        <w:t> </w:t>
      </w:r>
      <w:r>
        <w:rPr/>
        <w:t>situations</w:t>
      </w:r>
      <w:r>
        <w:rPr>
          <w:spacing w:val="-5"/>
        </w:rPr>
        <w:t> </w:t>
      </w:r>
      <w:r>
        <w:rPr/>
        <w:t>under</w:t>
      </w:r>
      <w:r>
        <w:rPr>
          <w:spacing w:val="-4"/>
        </w:rPr>
        <w:t> </w:t>
      </w:r>
      <w:r>
        <w:rPr/>
        <w:t>investigation,</w:t>
      </w:r>
      <w:r>
        <w:rPr>
          <w:spacing w:val="-1"/>
        </w:rPr>
        <w:t> </w:t>
      </w:r>
      <w:r>
        <w:rPr/>
        <w:t>and</w:t>
      </w:r>
      <w:r>
        <w:rPr>
          <w:spacing w:val="-4"/>
        </w:rPr>
        <w:t> </w:t>
      </w:r>
      <w:r>
        <w:rPr/>
        <w:t>€80.9</w:t>
      </w:r>
      <w:r>
        <w:rPr>
          <w:spacing w:val="-4"/>
        </w:rPr>
        <w:t> </w:t>
      </w:r>
      <w:r>
        <w:rPr/>
        <w:t>thousand is</w:t>
      </w:r>
      <w:r>
        <w:rPr>
          <w:spacing w:val="-5"/>
        </w:rPr>
        <w:t> </w:t>
      </w:r>
      <w:r>
        <w:rPr/>
        <w:t>requested</w:t>
      </w:r>
      <w:r>
        <w:rPr>
          <w:spacing w:val="-4"/>
        </w:rPr>
        <w:t> </w:t>
      </w:r>
      <w:r>
        <w:rPr/>
        <w:t>for</w:t>
      </w:r>
      <w:r>
        <w:rPr>
          <w:spacing w:val="-8"/>
        </w:rPr>
        <w:t> </w:t>
      </w:r>
      <w:r>
        <w:rPr/>
        <w:t>a</w:t>
      </w:r>
      <w:r>
        <w:rPr>
          <w:spacing w:val="-2"/>
        </w:rPr>
        <w:t> </w:t>
      </w:r>
      <w:r>
        <w:rPr/>
        <w:t>position</w:t>
      </w:r>
      <w:r>
        <w:rPr>
          <w:spacing w:val="-8"/>
        </w:rPr>
        <w:t> </w:t>
      </w:r>
      <w:r>
        <w:rPr/>
        <w:t>in</w:t>
      </w:r>
      <w:r>
        <w:rPr>
          <w:spacing w:val="-4"/>
        </w:rPr>
        <w:t> </w:t>
      </w:r>
      <w:r>
        <w:rPr/>
        <w:t>IMSS</w:t>
      </w:r>
      <w:r>
        <w:rPr>
          <w:spacing w:val="-10"/>
        </w:rPr>
        <w:t> </w:t>
      </w:r>
      <w:r>
        <w:rPr/>
        <w:t>to</w:t>
      </w:r>
      <w:r>
        <w:rPr>
          <w:spacing w:val="-4"/>
        </w:rPr>
        <w:t> </w:t>
      </w:r>
      <w:r>
        <w:rPr/>
        <w:t>support</w:t>
      </w:r>
      <w:r>
        <w:rPr>
          <w:spacing w:val="-7"/>
        </w:rPr>
        <w:t> </w:t>
      </w:r>
      <w:r>
        <w:rPr/>
        <w:t>the</w:t>
      </w:r>
      <w:r>
        <w:rPr>
          <w:spacing w:val="-7"/>
        </w:rPr>
        <w:t> </w:t>
      </w:r>
      <w:r>
        <w:rPr/>
        <w:t>evidentiary</w:t>
      </w:r>
      <w:r>
        <w:rPr>
          <w:spacing w:val="-8"/>
        </w:rPr>
        <w:t> </w:t>
      </w:r>
      <w:r>
        <w:rPr/>
        <w:t>data</w:t>
      </w:r>
      <w:r>
        <w:rPr>
          <w:spacing w:val="-7"/>
        </w:rPr>
        <w:t> </w:t>
      </w:r>
      <w:r>
        <w:rPr/>
        <w:t>migration</w:t>
      </w:r>
      <w:r>
        <w:rPr>
          <w:spacing w:val="-8"/>
        </w:rPr>
        <w:t> </w:t>
      </w:r>
      <w:r>
        <w:rPr/>
        <w:t>into</w:t>
      </w:r>
      <w:r>
        <w:rPr>
          <w:spacing w:val="-4"/>
        </w:rPr>
        <w:t> </w:t>
      </w:r>
      <w:r>
        <w:rPr/>
        <w:t>the</w:t>
      </w:r>
      <w:r>
        <w:rPr>
          <w:spacing w:val="-7"/>
        </w:rPr>
        <w:t> </w:t>
      </w:r>
      <w:r>
        <w:rPr/>
        <w:t>Judicial Workflow Platform (JWP). Lastly, €141.6 thousand corresponds to additional TAM requirements to provide interpretation services for meetings of subsidiary bodies of the </w:t>
      </w:r>
      <w:r>
        <w:rPr>
          <w:spacing w:val="-2"/>
        </w:rPr>
        <w:t>Assembly.</w:t>
      </w:r>
    </w:p>
    <w:p>
      <w:pPr>
        <w:pStyle w:val="BodyText"/>
        <w:spacing w:before="2"/>
        <w:rPr>
          <w:sz w:val="21"/>
        </w:rPr>
      </w:pPr>
    </w:p>
    <w:p>
      <w:pPr>
        <w:tabs>
          <w:tab w:pos="8042" w:val="left" w:leader="none"/>
        </w:tabs>
        <w:spacing w:before="0"/>
        <w:ind w:left="2246" w:right="0" w:firstLine="0"/>
        <w:jc w:val="both"/>
        <w:rPr>
          <w:i/>
          <w:sz w:val="20"/>
        </w:rPr>
      </w:pPr>
      <w:r>
        <w:rPr>
          <w:i/>
          <w:sz w:val="20"/>
        </w:rPr>
        <w:t>Established</w:t>
      </w:r>
      <w:r>
        <w:rPr>
          <w:i/>
          <w:spacing w:val="-11"/>
          <w:sz w:val="20"/>
        </w:rPr>
        <w:t> </w:t>
      </w:r>
      <w:r>
        <w:rPr>
          <w:i/>
          <w:sz w:val="20"/>
        </w:rPr>
        <w:t>posts:</w:t>
      </w:r>
      <w:r>
        <w:rPr>
          <w:i/>
          <w:spacing w:val="-12"/>
          <w:sz w:val="20"/>
        </w:rPr>
        <w:t> </w:t>
      </w:r>
      <w:r>
        <w:rPr>
          <w:i/>
          <w:sz w:val="20"/>
        </w:rPr>
        <w:t>Professional</w:t>
      </w:r>
      <w:r>
        <w:rPr>
          <w:i/>
          <w:spacing w:val="-12"/>
          <w:sz w:val="20"/>
        </w:rPr>
        <w:t> </w:t>
      </w:r>
      <w:r>
        <w:rPr>
          <w:i/>
          <w:sz w:val="20"/>
        </w:rPr>
        <w:t>and</w:t>
      </w:r>
      <w:r>
        <w:rPr>
          <w:i/>
          <w:spacing w:val="-13"/>
          <w:sz w:val="20"/>
        </w:rPr>
        <w:t> </w:t>
      </w:r>
      <w:r>
        <w:rPr>
          <w:i/>
          <w:sz w:val="20"/>
        </w:rPr>
        <w:t>General</w:t>
      </w:r>
      <w:r>
        <w:rPr>
          <w:i/>
          <w:spacing w:val="-11"/>
          <w:sz w:val="20"/>
        </w:rPr>
        <w:t> </w:t>
      </w:r>
      <w:r>
        <w:rPr>
          <w:i/>
          <w:spacing w:val="-2"/>
          <w:sz w:val="20"/>
        </w:rPr>
        <w:t>Service</w:t>
      </w:r>
      <w:r>
        <w:rPr>
          <w:i/>
          <w:sz w:val="20"/>
        </w:rPr>
        <w:tab/>
        <w:t>€18,720.0</w:t>
      </w:r>
      <w:r>
        <w:rPr>
          <w:i/>
          <w:spacing w:val="-14"/>
          <w:sz w:val="20"/>
        </w:rPr>
        <w:t> </w:t>
      </w:r>
      <w:r>
        <w:rPr>
          <w:i/>
          <w:spacing w:val="-2"/>
          <w:sz w:val="20"/>
        </w:rPr>
        <w:t>thousand</w:t>
      </w:r>
    </w:p>
    <w:p>
      <w:pPr>
        <w:pStyle w:val="BodyText"/>
        <w:spacing w:before="11"/>
        <w:rPr>
          <w:i/>
        </w:rPr>
      </w:pPr>
    </w:p>
    <w:p>
      <w:pPr>
        <w:pStyle w:val="ListParagraph"/>
        <w:numPr>
          <w:ilvl w:val="0"/>
          <w:numId w:val="4"/>
        </w:numPr>
        <w:tabs>
          <w:tab w:pos="2967" w:val="left" w:leader="none"/>
        </w:tabs>
        <w:spacing w:line="240" w:lineRule="auto" w:before="0" w:after="0"/>
        <w:ind w:left="2246" w:right="2243" w:firstLine="0"/>
        <w:jc w:val="both"/>
        <w:rPr>
          <w:sz w:val="20"/>
        </w:rPr>
      </w:pPr>
      <w:r>
        <w:rPr>
          <w:sz w:val="20"/>
        </w:rPr>
        <w:t>The total proposed increase in established posts amounts to €808.1 thousand (4.5 per cent), including €488.5 thousand which relates to the Court-wide application of the UNCS. As explained below, the remaining increase of €259.3 thousand is the result of requests for conversion of three GTA positions into established posts to reflect and meet actual</w:t>
      </w:r>
      <w:r>
        <w:rPr>
          <w:spacing w:val="-2"/>
          <w:sz w:val="20"/>
        </w:rPr>
        <w:t> </w:t>
      </w:r>
      <w:r>
        <w:rPr>
          <w:sz w:val="20"/>
        </w:rPr>
        <w:t>ongoing</w:t>
      </w:r>
      <w:r>
        <w:rPr>
          <w:spacing w:val="-8"/>
          <w:sz w:val="20"/>
        </w:rPr>
        <w:t> </w:t>
      </w:r>
      <w:r>
        <w:rPr>
          <w:sz w:val="20"/>
        </w:rPr>
        <w:t>operational</w:t>
      </w:r>
      <w:r>
        <w:rPr>
          <w:spacing w:val="-2"/>
          <w:sz w:val="20"/>
        </w:rPr>
        <w:t> </w:t>
      </w:r>
      <w:r>
        <w:rPr>
          <w:sz w:val="20"/>
        </w:rPr>
        <w:t>requirements</w:t>
      </w:r>
      <w:r>
        <w:rPr>
          <w:spacing w:val="-5"/>
          <w:sz w:val="20"/>
        </w:rPr>
        <w:t> </w:t>
      </w:r>
      <w:r>
        <w:rPr>
          <w:sz w:val="20"/>
        </w:rPr>
        <w:t>in</w:t>
      </w:r>
      <w:r>
        <w:rPr>
          <w:spacing w:val="-8"/>
          <w:sz w:val="20"/>
        </w:rPr>
        <w:t> </w:t>
      </w:r>
      <w:r>
        <w:rPr>
          <w:sz w:val="20"/>
        </w:rPr>
        <w:t>the</w:t>
      </w:r>
      <w:r>
        <w:rPr>
          <w:spacing w:val="-2"/>
          <w:sz w:val="20"/>
        </w:rPr>
        <w:t> </w:t>
      </w:r>
      <w:r>
        <w:rPr>
          <w:sz w:val="20"/>
        </w:rPr>
        <w:t>Division.</w:t>
      </w:r>
      <w:r>
        <w:rPr>
          <w:spacing w:val="-6"/>
          <w:sz w:val="20"/>
        </w:rPr>
        <w:t> </w:t>
      </w:r>
      <w:r>
        <w:rPr>
          <w:sz w:val="20"/>
        </w:rPr>
        <w:t>The</w:t>
      </w:r>
      <w:r>
        <w:rPr>
          <w:spacing w:val="-7"/>
          <w:sz w:val="20"/>
        </w:rPr>
        <w:t> </w:t>
      </w:r>
      <w:r>
        <w:rPr>
          <w:sz w:val="20"/>
        </w:rPr>
        <w:t>increase</w:t>
      </w:r>
      <w:r>
        <w:rPr>
          <w:spacing w:val="-2"/>
          <w:sz w:val="20"/>
        </w:rPr>
        <w:t> </w:t>
      </w:r>
      <w:r>
        <w:rPr>
          <w:sz w:val="20"/>
        </w:rPr>
        <w:t>in</w:t>
      </w:r>
      <w:r>
        <w:rPr>
          <w:spacing w:val="-8"/>
          <w:sz w:val="20"/>
        </w:rPr>
        <w:t> </w:t>
      </w:r>
      <w:r>
        <w:rPr>
          <w:sz w:val="20"/>
        </w:rPr>
        <w:t>established</w:t>
      </w:r>
      <w:r>
        <w:rPr>
          <w:spacing w:val="-8"/>
          <w:sz w:val="20"/>
        </w:rPr>
        <w:t> </w:t>
      </w:r>
      <w:r>
        <w:rPr>
          <w:sz w:val="20"/>
        </w:rPr>
        <w:t>posts</w:t>
      </w:r>
      <w:r>
        <w:rPr>
          <w:spacing w:val="-10"/>
          <w:sz w:val="20"/>
        </w:rPr>
        <w:t> </w:t>
      </w:r>
      <w:r>
        <w:rPr>
          <w:sz w:val="20"/>
        </w:rPr>
        <w:t>as a result of the proposed conversions is offset by a consequent reduction in GTA costs, in effect</w:t>
      </w:r>
      <w:r>
        <w:rPr>
          <w:spacing w:val="-3"/>
          <w:sz w:val="20"/>
        </w:rPr>
        <w:t> </w:t>
      </w:r>
      <w:r>
        <w:rPr>
          <w:sz w:val="20"/>
        </w:rPr>
        <w:t>producing</w:t>
      </w:r>
      <w:r>
        <w:rPr>
          <w:spacing w:val="-5"/>
          <w:sz w:val="20"/>
        </w:rPr>
        <w:t> </w:t>
      </w:r>
      <w:r>
        <w:rPr>
          <w:sz w:val="20"/>
        </w:rPr>
        <w:t>some savings. The proposed</w:t>
      </w:r>
      <w:r>
        <w:rPr>
          <w:spacing w:val="-5"/>
          <w:sz w:val="20"/>
        </w:rPr>
        <w:t> </w:t>
      </w:r>
      <w:r>
        <w:rPr>
          <w:sz w:val="20"/>
        </w:rPr>
        <w:t>changes</w:t>
      </w:r>
      <w:r>
        <w:rPr>
          <w:spacing w:val="-1"/>
          <w:sz w:val="20"/>
        </w:rPr>
        <w:t> </w:t>
      </w:r>
      <w:r>
        <w:rPr>
          <w:sz w:val="20"/>
        </w:rPr>
        <w:t>in</w:t>
      </w:r>
      <w:r>
        <w:rPr>
          <w:spacing w:val="-5"/>
          <w:sz w:val="20"/>
        </w:rPr>
        <w:t> </w:t>
      </w:r>
      <w:r>
        <w:rPr>
          <w:sz w:val="20"/>
        </w:rPr>
        <w:t>the</w:t>
      </w:r>
      <w:r>
        <w:rPr>
          <w:spacing w:val="-3"/>
          <w:sz w:val="20"/>
        </w:rPr>
        <w:t> </w:t>
      </w:r>
      <w:r>
        <w:rPr>
          <w:sz w:val="20"/>
        </w:rPr>
        <w:t>staffing structure</w:t>
      </w:r>
      <w:r>
        <w:rPr>
          <w:spacing w:val="-3"/>
          <w:sz w:val="20"/>
        </w:rPr>
        <w:t> </w:t>
      </w:r>
      <w:r>
        <w:rPr>
          <w:sz w:val="20"/>
        </w:rPr>
        <w:t>are described </w:t>
      </w:r>
      <w:r>
        <w:rPr>
          <w:spacing w:val="-2"/>
          <w:sz w:val="20"/>
        </w:rPr>
        <w:t>below.</w:t>
      </w:r>
    </w:p>
    <w:p>
      <w:pPr>
        <w:pStyle w:val="ListParagraph"/>
        <w:numPr>
          <w:ilvl w:val="0"/>
          <w:numId w:val="4"/>
        </w:numPr>
        <w:tabs>
          <w:tab w:pos="2967" w:val="left" w:leader="none"/>
        </w:tabs>
        <w:spacing w:line="240" w:lineRule="auto" w:before="119" w:after="0"/>
        <w:ind w:left="2246" w:right="2239" w:firstLine="0"/>
        <w:jc w:val="both"/>
        <w:rPr>
          <w:sz w:val="20"/>
        </w:rPr>
      </w:pPr>
      <w:bookmarkStart w:name="_bookmark40" w:id="41"/>
      <w:bookmarkEnd w:id="41"/>
      <w:r>
        <w:rPr>
          <w:i/>
          <w:sz w:val="20"/>
        </w:rPr>
        <w:t>R</w:t>
      </w:r>
      <w:r>
        <w:rPr>
          <w:i/>
          <w:sz w:val="20"/>
        </w:rPr>
        <w:t>equest to convert one Assistant Legal Officer (P-1) GTA position into an</w:t>
      </w:r>
      <w:r>
        <w:rPr>
          <w:i/>
          <w:sz w:val="20"/>
        </w:rPr>
        <w:t> established post, which will generate minor savings. </w:t>
      </w:r>
      <w:r>
        <w:rPr>
          <w:sz w:val="20"/>
        </w:rPr>
        <w:t>Since 2015, the current GTA position has covered a constant and increasing workload in VPRS. The continued need for this position to perform core functions and manage a sustained level of activities makes the temporary nature of a GTA position unsuitable to meet the permanent operational requirements</w:t>
      </w:r>
      <w:r>
        <w:rPr>
          <w:spacing w:val="-1"/>
          <w:sz w:val="20"/>
        </w:rPr>
        <w:t> </w:t>
      </w:r>
      <w:r>
        <w:rPr>
          <w:sz w:val="20"/>
        </w:rPr>
        <w:t>of VPRS. Besides</w:t>
      </w:r>
      <w:r>
        <w:rPr>
          <w:spacing w:val="-1"/>
          <w:sz w:val="20"/>
        </w:rPr>
        <w:t> </w:t>
      </w:r>
      <w:r>
        <w:rPr>
          <w:sz w:val="20"/>
        </w:rPr>
        <w:t>legal analysis</w:t>
      </w:r>
      <w:r>
        <w:rPr>
          <w:spacing w:val="-1"/>
          <w:sz w:val="20"/>
        </w:rPr>
        <w:t> </w:t>
      </w:r>
      <w:r>
        <w:rPr>
          <w:sz w:val="20"/>
        </w:rPr>
        <w:t>and preparation of</w:t>
      </w:r>
      <w:r>
        <w:rPr>
          <w:spacing w:val="-5"/>
          <w:sz w:val="20"/>
        </w:rPr>
        <w:t> </w:t>
      </w:r>
      <w:r>
        <w:rPr>
          <w:sz w:val="20"/>
        </w:rPr>
        <w:t>legal</w:t>
      </w:r>
      <w:r>
        <w:rPr>
          <w:spacing w:val="-3"/>
          <w:sz w:val="20"/>
        </w:rPr>
        <w:t> </w:t>
      </w:r>
      <w:r>
        <w:rPr>
          <w:sz w:val="20"/>
        </w:rPr>
        <w:t>correspondence with multiple partners, the Assistant Legal Officer also coordinates multiple simultaneous workflows relating to victim representations under article 15(3) of the Rome Statute and reparations</w:t>
      </w:r>
      <w:r>
        <w:rPr>
          <w:spacing w:val="-10"/>
          <w:sz w:val="20"/>
        </w:rPr>
        <w:t> </w:t>
      </w:r>
      <w:r>
        <w:rPr>
          <w:sz w:val="20"/>
        </w:rPr>
        <w:t>proceedings.</w:t>
      </w:r>
      <w:r>
        <w:rPr>
          <w:spacing w:val="-6"/>
          <w:sz w:val="20"/>
        </w:rPr>
        <w:t> </w:t>
      </w:r>
      <w:r>
        <w:rPr>
          <w:sz w:val="20"/>
        </w:rPr>
        <w:t>This</w:t>
      </w:r>
      <w:r>
        <w:rPr>
          <w:spacing w:val="-10"/>
          <w:sz w:val="20"/>
        </w:rPr>
        <w:t> </w:t>
      </w:r>
      <w:r>
        <w:rPr>
          <w:sz w:val="20"/>
        </w:rPr>
        <w:t>coordination</w:t>
      </w:r>
      <w:r>
        <w:rPr>
          <w:spacing w:val="-8"/>
          <w:sz w:val="20"/>
        </w:rPr>
        <w:t> </w:t>
      </w:r>
      <w:r>
        <w:rPr>
          <w:sz w:val="20"/>
        </w:rPr>
        <w:t>role</w:t>
      </w:r>
      <w:r>
        <w:rPr>
          <w:spacing w:val="-7"/>
          <w:sz w:val="20"/>
        </w:rPr>
        <w:t> </w:t>
      </w:r>
      <w:r>
        <w:rPr>
          <w:sz w:val="20"/>
        </w:rPr>
        <w:t>is</w:t>
      </w:r>
      <w:r>
        <w:rPr>
          <w:spacing w:val="-10"/>
          <w:sz w:val="20"/>
        </w:rPr>
        <w:t> </w:t>
      </w:r>
      <w:r>
        <w:rPr>
          <w:sz w:val="20"/>
        </w:rPr>
        <w:t>indispensable</w:t>
      </w:r>
      <w:r>
        <w:rPr>
          <w:spacing w:val="-7"/>
          <w:sz w:val="20"/>
        </w:rPr>
        <w:t> </w:t>
      </w:r>
      <w:r>
        <w:rPr>
          <w:sz w:val="20"/>
        </w:rPr>
        <w:t>to</w:t>
      </w:r>
      <w:r>
        <w:rPr>
          <w:spacing w:val="-8"/>
          <w:sz w:val="20"/>
        </w:rPr>
        <w:t> </w:t>
      </w:r>
      <w:r>
        <w:rPr>
          <w:sz w:val="20"/>
        </w:rPr>
        <w:t>the</w:t>
      </w:r>
      <w:r>
        <w:rPr>
          <w:spacing w:val="-2"/>
          <w:sz w:val="20"/>
        </w:rPr>
        <w:t> </w:t>
      </w:r>
      <w:r>
        <w:rPr>
          <w:sz w:val="20"/>
        </w:rPr>
        <w:t>smooth</w:t>
      </w:r>
      <w:r>
        <w:rPr>
          <w:spacing w:val="-4"/>
          <w:sz w:val="20"/>
        </w:rPr>
        <w:t> </w:t>
      </w:r>
      <w:r>
        <w:rPr>
          <w:sz w:val="20"/>
        </w:rPr>
        <w:t>running</w:t>
      </w:r>
      <w:r>
        <w:rPr>
          <w:spacing w:val="-4"/>
          <w:sz w:val="20"/>
        </w:rPr>
        <w:t> </w:t>
      </w:r>
      <w:r>
        <w:rPr>
          <w:sz w:val="20"/>
        </w:rPr>
        <w:t>of</w:t>
      </w:r>
      <w:r>
        <w:rPr>
          <w:spacing w:val="-8"/>
          <w:sz w:val="20"/>
        </w:rPr>
        <w:t> </w:t>
      </w:r>
      <w:r>
        <w:rPr>
          <w:sz w:val="20"/>
        </w:rPr>
        <w:t>the workflows of the entire team and Section.</w:t>
      </w:r>
    </w:p>
    <w:p>
      <w:pPr>
        <w:pStyle w:val="ListParagraph"/>
        <w:numPr>
          <w:ilvl w:val="0"/>
          <w:numId w:val="4"/>
        </w:numPr>
        <w:tabs>
          <w:tab w:pos="2967" w:val="left" w:leader="none"/>
        </w:tabs>
        <w:spacing w:line="240" w:lineRule="auto" w:before="120" w:after="0"/>
        <w:ind w:left="2246" w:right="2237" w:firstLine="0"/>
        <w:jc w:val="both"/>
        <w:rPr>
          <w:sz w:val="20"/>
        </w:rPr>
      </w:pPr>
      <w:bookmarkStart w:name="_bookmark41" w:id="42"/>
      <w:bookmarkEnd w:id="42"/>
      <w:r>
        <w:rPr>
          <w:i/>
          <w:sz w:val="20"/>
        </w:rPr>
        <w:t>R</w:t>
      </w:r>
      <w:r>
        <w:rPr>
          <w:i/>
          <w:sz w:val="20"/>
        </w:rPr>
        <w:t>equest to convert one Data Processing Assistant (GS-OL) GTA position into an</w:t>
      </w:r>
      <w:r>
        <w:rPr>
          <w:i/>
          <w:sz w:val="20"/>
        </w:rPr>
        <w:t> established post, which will generate minor savings. </w:t>
      </w:r>
      <w:r>
        <w:rPr>
          <w:sz w:val="20"/>
        </w:rPr>
        <w:t>Since 2016, the current GTA position has performed functions that are core to the Section’s operations, making the temporary nature of a GTA position inadequate to cover ongoing operations. The Data Processing Assistant’s key tasks include registration of applications and verification of the chain of custody of application forms. This role is essential to populating and updating the VPRS database (Victim Application</w:t>
      </w:r>
      <w:r>
        <w:rPr>
          <w:spacing w:val="-1"/>
          <w:sz w:val="20"/>
        </w:rPr>
        <w:t> </w:t>
      </w:r>
      <w:r>
        <w:rPr>
          <w:sz w:val="20"/>
        </w:rPr>
        <w:t>Management System)</w:t>
      </w:r>
      <w:r>
        <w:rPr>
          <w:spacing w:val="-6"/>
          <w:sz w:val="20"/>
        </w:rPr>
        <w:t> </w:t>
      </w:r>
      <w:r>
        <w:rPr>
          <w:sz w:val="20"/>
        </w:rPr>
        <w:t>and</w:t>
      </w:r>
      <w:r>
        <w:rPr>
          <w:spacing w:val="-6"/>
          <w:sz w:val="20"/>
        </w:rPr>
        <w:t> </w:t>
      </w:r>
      <w:r>
        <w:rPr>
          <w:sz w:val="20"/>
        </w:rPr>
        <w:t>transmitting</w:t>
      </w:r>
      <w:r>
        <w:rPr>
          <w:spacing w:val="-6"/>
          <w:sz w:val="20"/>
        </w:rPr>
        <w:t> </w:t>
      </w:r>
      <w:r>
        <w:rPr>
          <w:sz w:val="20"/>
        </w:rPr>
        <w:t>victim</w:t>
      </w:r>
      <w:r>
        <w:rPr>
          <w:spacing w:val="-4"/>
          <w:sz w:val="20"/>
        </w:rPr>
        <w:t> </w:t>
      </w:r>
      <w:r>
        <w:rPr>
          <w:sz w:val="20"/>
        </w:rPr>
        <w:t>applications</w:t>
      </w:r>
      <w:r>
        <w:rPr>
          <w:spacing w:val="-7"/>
          <w:sz w:val="20"/>
        </w:rPr>
        <w:t> </w:t>
      </w:r>
      <w:r>
        <w:rPr>
          <w:sz w:val="20"/>
        </w:rPr>
        <w:t>for entry into the record of the case.</w:t>
      </w:r>
    </w:p>
    <w:p>
      <w:pPr>
        <w:pStyle w:val="ListParagraph"/>
        <w:numPr>
          <w:ilvl w:val="0"/>
          <w:numId w:val="4"/>
        </w:numPr>
        <w:tabs>
          <w:tab w:pos="2967" w:val="left" w:leader="none"/>
        </w:tabs>
        <w:spacing w:line="240" w:lineRule="auto" w:before="119" w:after="0"/>
        <w:ind w:left="2246" w:right="2238" w:firstLine="0"/>
        <w:jc w:val="both"/>
        <w:rPr>
          <w:sz w:val="20"/>
        </w:rPr>
      </w:pPr>
      <w:r>
        <w:rPr>
          <w:i/>
          <w:sz w:val="20"/>
        </w:rPr>
        <w:t>Request to convert one Associate Legal Officer (P-2) GTA position into an</w:t>
      </w:r>
      <w:r>
        <w:rPr>
          <w:i/>
          <w:sz w:val="20"/>
        </w:rPr>
        <w:t> established</w:t>
      </w:r>
      <w:r>
        <w:rPr>
          <w:i/>
          <w:spacing w:val="-7"/>
          <w:sz w:val="20"/>
        </w:rPr>
        <w:t> </w:t>
      </w:r>
      <w:r>
        <w:rPr>
          <w:i/>
          <w:sz w:val="20"/>
        </w:rPr>
        <w:t>post,</w:t>
      </w:r>
      <w:r>
        <w:rPr>
          <w:i/>
          <w:spacing w:val="-7"/>
          <w:sz w:val="20"/>
        </w:rPr>
        <w:t> </w:t>
      </w:r>
      <w:r>
        <w:rPr>
          <w:i/>
          <w:sz w:val="20"/>
        </w:rPr>
        <w:t>which</w:t>
      </w:r>
      <w:r>
        <w:rPr>
          <w:i/>
          <w:spacing w:val="-6"/>
          <w:sz w:val="20"/>
        </w:rPr>
        <w:t> </w:t>
      </w:r>
      <w:r>
        <w:rPr>
          <w:i/>
          <w:sz w:val="20"/>
        </w:rPr>
        <w:t>will</w:t>
      </w:r>
      <w:r>
        <w:rPr>
          <w:i/>
          <w:spacing w:val="-8"/>
          <w:sz w:val="20"/>
        </w:rPr>
        <w:t> </w:t>
      </w:r>
      <w:r>
        <w:rPr>
          <w:i/>
          <w:sz w:val="20"/>
        </w:rPr>
        <w:t>generate</w:t>
      </w:r>
      <w:r>
        <w:rPr>
          <w:i/>
          <w:spacing w:val="-4"/>
          <w:sz w:val="20"/>
        </w:rPr>
        <w:t> </w:t>
      </w:r>
      <w:r>
        <w:rPr>
          <w:i/>
          <w:sz w:val="20"/>
        </w:rPr>
        <w:t>minor</w:t>
      </w:r>
      <w:r>
        <w:rPr>
          <w:i/>
          <w:spacing w:val="-7"/>
          <w:sz w:val="20"/>
        </w:rPr>
        <w:t> </w:t>
      </w:r>
      <w:r>
        <w:rPr>
          <w:i/>
          <w:sz w:val="20"/>
        </w:rPr>
        <w:t>savings.</w:t>
      </w:r>
      <w:r>
        <w:rPr>
          <w:i/>
          <w:spacing w:val="-4"/>
          <w:sz w:val="20"/>
        </w:rPr>
        <w:t> </w:t>
      </w:r>
      <w:r>
        <w:rPr>
          <w:sz w:val="20"/>
        </w:rPr>
        <w:t>The</w:t>
      </w:r>
      <w:r>
        <w:rPr>
          <w:spacing w:val="-8"/>
          <w:sz w:val="20"/>
        </w:rPr>
        <w:t> </w:t>
      </w:r>
      <w:r>
        <w:rPr>
          <w:sz w:val="20"/>
        </w:rPr>
        <w:t>position</w:t>
      </w:r>
      <w:r>
        <w:rPr>
          <w:spacing w:val="-8"/>
          <w:sz w:val="20"/>
        </w:rPr>
        <w:t> </w:t>
      </w:r>
      <w:r>
        <w:rPr>
          <w:sz w:val="20"/>
        </w:rPr>
        <w:t>was</w:t>
      </w:r>
      <w:r>
        <w:rPr>
          <w:spacing w:val="-11"/>
          <w:sz w:val="20"/>
        </w:rPr>
        <w:t> </w:t>
      </w:r>
      <w:r>
        <w:rPr>
          <w:sz w:val="20"/>
        </w:rPr>
        <w:t>originally</w:t>
      </w:r>
      <w:r>
        <w:rPr>
          <w:spacing w:val="-9"/>
          <w:sz w:val="20"/>
        </w:rPr>
        <w:t> </w:t>
      </w:r>
      <w:r>
        <w:rPr>
          <w:sz w:val="20"/>
        </w:rPr>
        <w:t>approved</w:t>
      </w:r>
      <w:r>
        <w:rPr>
          <w:spacing w:val="-13"/>
          <w:sz w:val="20"/>
        </w:rPr>
        <w:t> </w:t>
      </w:r>
      <w:r>
        <w:rPr>
          <w:sz w:val="20"/>
        </w:rPr>
        <w:t>in the 2016 budget and continues to be essential for the satisfactory fulfilment of OPCV’s mandate.</w:t>
      </w:r>
      <w:r>
        <w:rPr>
          <w:spacing w:val="-6"/>
          <w:sz w:val="20"/>
        </w:rPr>
        <w:t> </w:t>
      </w:r>
      <w:r>
        <w:rPr>
          <w:sz w:val="20"/>
        </w:rPr>
        <w:t>The</w:t>
      </w:r>
      <w:r>
        <w:rPr>
          <w:spacing w:val="-7"/>
          <w:sz w:val="20"/>
        </w:rPr>
        <w:t> </w:t>
      </w:r>
      <w:r>
        <w:rPr>
          <w:sz w:val="20"/>
        </w:rPr>
        <w:t>incumbent</w:t>
      </w:r>
      <w:r>
        <w:rPr>
          <w:spacing w:val="-7"/>
          <w:sz w:val="20"/>
        </w:rPr>
        <w:t> </w:t>
      </w:r>
      <w:r>
        <w:rPr>
          <w:sz w:val="20"/>
        </w:rPr>
        <w:t>assists</w:t>
      </w:r>
      <w:r>
        <w:rPr>
          <w:spacing w:val="-10"/>
          <w:sz w:val="20"/>
        </w:rPr>
        <w:t> </w:t>
      </w:r>
      <w:r>
        <w:rPr>
          <w:sz w:val="20"/>
        </w:rPr>
        <w:t>counsel</w:t>
      </w:r>
      <w:r>
        <w:rPr>
          <w:spacing w:val="-7"/>
          <w:sz w:val="20"/>
        </w:rPr>
        <w:t> </w:t>
      </w:r>
      <w:r>
        <w:rPr>
          <w:sz w:val="20"/>
        </w:rPr>
        <w:t>in</w:t>
      </w:r>
      <w:r>
        <w:rPr>
          <w:spacing w:val="-8"/>
          <w:sz w:val="20"/>
        </w:rPr>
        <w:t> </w:t>
      </w:r>
      <w:r>
        <w:rPr>
          <w:sz w:val="20"/>
        </w:rPr>
        <w:t>a</w:t>
      </w:r>
      <w:r>
        <w:rPr>
          <w:spacing w:val="-2"/>
          <w:sz w:val="20"/>
        </w:rPr>
        <w:t> </w:t>
      </w:r>
      <w:r>
        <w:rPr>
          <w:sz w:val="20"/>
        </w:rPr>
        <w:t>variety</w:t>
      </w:r>
      <w:r>
        <w:rPr>
          <w:spacing w:val="-8"/>
          <w:sz w:val="20"/>
        </w:rPr>
        <w:t> </w:t>
      </w:r>
      <w:r>
        <w:rPr>
          <w:sz w:val="20"/>
        </w:rPr>
        <w:t>of</w:t>
      </w:r>
      <w:r>
        <w:rPr>
          <w:spacing w:val="-8"/>
          <w:sz w:val="20"/>
        </w:rPr>
        <w:t> </w:t>
      </w:r>
      <w:r>
        <w:rPr>
          <w:sz w:val="20"/>
        </w:rPr>
        <w:t>situations</w:t>
      </w:r>
      <w:r>
        <w:rPr>
          <w:spacing w:val="-5"/>
          <w:sz w:val="20"/>
        </w:rPr>
        <w:t> </w:t>
      </w:r>
      <w:r>
        <w:rPr>
          <w:sz w:val="20"/>
        </w:rPr>
        <w:t>and</w:t>
      </w:r>
      <w:r>
        <w:rPr>
          <w:spacing w:val="-8"/>
          <w:sz w:val="20"/>
        </w:rPr>
        <w:t> </w:t>
      </w:r>
      <w:r>
        <w:rPr>
          <w:sz w:val="20"/>
        </w:rPr>
        <w:t>cases</w:t>
      </w:r>
      <w:r>
        <w:rPr>
          <w:spacing w:val="-5"/>
          <w:sz w:val="20"/>
        </w:rPr>
        <w:t> </w:t>
      </w:r>
      <w:r>
        <w:rPr>
          <w:sz w:val="20"/>
        </w:rPr>
        <w:t>depending</w:t>
      </w:r>
      <w:r>
        <w:rPr>
          <w:spacing w:val="-4"/>
          <w:sz w:val="20"/>
        </w:rPr>
        <w:t> </w:t>
      </w:r>
      <w:r>
        <w:rPr>
          <w:sz w:val="20"/>
        </w:rPr>
        <w:t>on</w:t>
      </w:r>
      <w:r>
        <w:rPr>
          <w:spacing w:val="-4"/>
          <w:sz w:val="20"/>
        </w:rPr>
        <w:t> </w:t>
      </w:r>
      <w:r>
        <w:rPr>
          <w:sz w:val="20"/>
        </w:rPr>
        <w:t>the workload</w:t>
      </w:r>
      <w:r>
        <w:rPr>
          <w:spacing w:val="-4"/>
          <w:sz w:val="20"/>
        </w:rPr>
        <w:t> </w:t>
      </w:r>
      <w:r>
        <w:rPr>
          <w:sz w:val="20"/>
        </w:rPr>
        <w:t>of</w:t>
      </w:r>
      <w:r>
        <w:rPr>
          <w:spacing w:val="-4"/>
          <w:sz w:val="20"/>
        </w:rPr>
        <w:t> </w:t>
      </w:r>
      <w:r>
        <w:rPr>
          <w:sz w:val="20"/>
        </w:rPr>
        <w:t>other</w:t>
      </w:r>
      <w:r>
        <w:rPr>
          <w:spacing w:val="-4"/>
          <w:sz w:val="20"/>
        </w:rPr>
        <w:t> </w:t>
      </w:r>
      <w:r>
        <w:rPr>
          <w:sz w:val="20"/>
        </w:rPr>
        <w:t>staff</w:t>
      </w:r>
      <w:r>
        <w:rPr>
          <w:spacing w:val="-4"/>
          <w:sz w:val="20"/>
        </w:rPr>
        <w:t> </w:t>
      </w:r>
      <w:r>
        <w:rPr>
          <w:sz w:val="20"/>
        </w:rPr>
        <w:t>and</w:t>
      </w:r>
      <w:r>
        <w:rPr>
          <w:spacing w:val="-4"/>
          <w:sz w:val="20"/>
        </w:rPr>
        <w:t> </w:t>
      </w:r>
      <w:r>
        <w:rPr>
          <w:sz w:val="20"/>
        </w:rPr>
        <w:t>priorities</w:t>
      </w:r>
      <w:r>
        <w:rPr>
          <w:spacing w:val="-5"/>
          <w:sz w:val="20"/>
        </w:rPr>
        <w:t> </w:t>
      </w:r>
      <w:r>
        <w:rPr>
          <w:sz w:val="20"/>
        </w:rPr>
        <w:t>in</w:t>
      </w:r>
      <w:r>
        <w:rPr>
          <w:spacing w:val="-8"/>
          <w:sz w:val="20"/>
        </w:rPr>
        <w:t> </w:t>
      </w:r>
      <w:r>
        <w:rPr>
          <w:sz w:val="20"/>
        </w:rPr>
        <w:t>the</w:t>
      </w:r>
      <w:r>
        <w:rPr>
          <w:spacing w:val="-2"/>
          <w:sz w:val="20"/>
        </w:rPr>
        <w:t> </w:t>
      </w:r>
      <w:r>
        <w:rPr>
          <w:sz w:val="20"/>
        </w:rPr>
        <w:t>proceedings.</w:t>
      </w:r>
      <w:r>
        <w:rPr>
          <w:spacing w:val="-6"/>
          <w:sz w:val="20"/>
        </w:rPr>
        <w:t> </w:t>
      </w:r>
      <w:r>
        <w:rPr>
          <w:sz w:val="20"/>
        </w:rPr>
        <w:t>The</w:t>
      </w:r>
      <w:r>
        <w:rPr>
          <w:spacing w:val="-2"/>
          <w:sz w:val="20"/>
        </w:rPr>
        <w:t> </w:t>
      </w:r>
      <w:r>
        <w:rPr>
          <w:sz w:val="20"/>
        </w:rPr>
        <w:t>fact</w:t>
      </w:r>
      <w:r>
        <w:rPr>
          <w:spacing w:val="-7"/>
          <w:sz w:val="20"/>
        </w:rPr>
        <w:t> </w:t>
      </w:r>
      <w:r>
        <w:rPr>
          <w:sz w:val="20"/>
        </w:rPr>
        <w:t>that</w:t>
      </w:r>
      <w:r>
        <w:rPr>
          <w:spacing w:val="-2"/>
          <w:sz w:val="20"/>
        </w:rPr>
        <w:t> </w:t>
      </w:r>
      <w:r>
        <w:rPr>
          <w:sz w:val="20"/>
        </w:rPr>
        <w:t>this GTA</w:t>
      </w:r>
      <w:r>
        <w:rPr>
          <w:spacing w:val="-5"/>
          <w:sz w:val="20"/>
        </w:rPr>
        <w:t> </w:t>
      </w:r>
      <w:r>
        <w:rPr>
          <w:sz w:val="20"/>
        </w:rPr>
        <w:t>position has consistently been requested as a recurrent resource shows that it is needed on an ongoing basis. The workload of the OPCV is not limited to ongoing trial proceedings or only based on hearing days but includes the preparation of written submissions and reparations proceedings which are very demanding and time-consuming. Therefore, the workload of OPCV staff members covering ongoing proceedings on trial</w:t>
      </w:r>
      <w:r>
        <w:rPr>
          <w:spacing w:val="-2"/>
          <w:sz w:val="20"/>
        </w:rPr>
        <w:t> </w:t>
      </w:r>
      <w:r>
        <w:rPr>
          <w:sz w:val="20"/>
        </w:rPr>
        <w:t>and on appeal remain identical in terms of written submissions and regular consultations with victims.</w:t>
      </w:r>
    </w:p>
    <w:p>
      <w:pPr>
        <w:pStyle w:val="BodyText"/>
        <w:spacing w:before="4"/>
        <w:rPr>
          <w:sz w:val="21"/>
        </w:rPr>
      </w:pPr>
    </w:p>
    <w:p>
      <w:pPr>
        <w:tabs>
          <w:tab w:pos="8133" w:val="left" w:leader="none"/>
        </w:tabs>
        <w:spacing w:before="0"/>
        <w:ind w:left="2246" w:right="0" w:firstLine="0"/>
        <w:jc w:val="both"/>
        <w:rPr>
          <w:i/>
          <w:sz w:val="20"/>
        </w:rPr>
      </w:pPr>
      <w:r>
        <w:rPr>
          <w:i/>
          <w:sz w:val="20"/>
        </w:rPr>
        <w:t>General</w:t>
      </w:r>
      <w:r>
        <w:rPr>
          <w:i/>
          <w:spacing w:val="-9"/>
          <w:sz w:val="20"/>
        </w:rPr>
        <w:t> </w:t>
      </w:r>
      <w:r>
        <w:rPr>
          <w:i/>
          <w:sz w:val="20"/>
        </w:rPr>
        <w:t>temporary</w:t>
      </w:r>
      <w:r>
        <w:rPr>
          <w:i/>
          <w:spacing w:val="-4"/>
          <w:sz w:val="20"/>
        </w:rPr>
        <w:t> </w:t>
      </w:r>
      <w:r>
        <w:rPr>
          <w:i/>
          <w:spacing w:val="-2"/>
          <w:sz w:val="20"/>
        </w:rPr>
        <w:t>assistance</w:t>
      </w:r>
      <w:r>
        <w:rPr>
          <w:i/>
          <w:sz w:val="20"/>
        </w:rPr>
        <w:tab/>
        <w:t>€5,205.7</w:t>
      </w:r>
      <w:r>
        <w:rPr>
          <w:i/>
          <w:spacing w:val="-4"/>
          <w:sz w:val="20"/>
        </w:rPr>
        <w:t> </w:t>
      </w:r>
      <w:r>
        <w:rPr>
          <w:i/>
          <w:spacing w:val="-2"/>
          <w:sz w:val="20"/>
        </w:rPr>
        <w:t>thousand</w:t>
      </w:r>
    </w:p>
    <w:p>
      <w:pPr>
        <w:pStyle w:val="BodyText"/>
        <w:spacing w:before="6"/>
        <w:rPr>
          <w:i/>
        </w:rPr>
      </w:pPr>
    </w:p>
    <w:p>
      <w:pPr>
        <w:pStyle w:val="ListParagraph"/>
        <w:numPr>
          <w:ilvl w:val="0"/>
          <w:numId w:val="4"/>
        </w:numPr>
        <w:tabs>
          <w:tab w:pos="2967" w:val="left" w:leader="none"/>
        </w:tabs>
        <w:spacing w:line="240" w:lineRule="auto" w:before="0" w:after="0"/>
        <w:ind w:left="2246" w:right="2237" w:firstLine="0"/>
        <w:jc w:val="both"/>
        <w:rPr>
          <w:sz w:val="20"/>
        </w:rPr>
      </w:pPr>
      <w:r>
        <w:rPr>
          <w:sz w:val="20"/>
        </w:rPr>
        <w:t>On the basis of the anticipated increase in judicial activity in 2023, a net increase</w:t>
      </w:r>
      <w:r>
        <w:rPr>
          <w:spacing w:val="40"/>
          <w:sz w:val="20"/>
        </w:rPr>
        <w:t> </w:t>
      </w:r>
      <w:r>
        <w:rPr>
          <w:sz w:val="20"/>
        </w:rPr>
        <w:t>of</w:t>
      </w:r>
      <w:r>
        <w:rPr>
          <w:spacing w:val="-6"/>
          <w:sz w:val="20"/>
        </w:rPr>
        <w:t> </w:t>
      </w:r>
      <w:r>
        <w:rPr>
          <w:sz w:val="20"/>
        </w:rPr>
        <w:t>€1,954.2</w:t>
      </w:r>
      <w:r>
        <w:rPr>
          <w:spacing w:val="-13"/>
          <w:sz w:val="20"/>
        </w:rPr>
        <w:t> </w:t>
      </w:r>
      <w:r>
        <w:rPr>
          <w:sz w:val="20"/>
        </w:rPr>
        <w:t>thousand</w:t>
      </w:r>
      <w:r>
        <w:rPr>
          <w:spacing w:val="-8"/>
          <w:sz w:val="20"/>
        </w:rPr>
        <w:t> </w:t>
      </w:r>
      <w:r>
        <w:rPr>
          <w:sz w:val="20"/>
        </w:rPr>
        <w:t>(60.1</w:t>
      </w:r>
      <w:r>
        <w:rPr>
          <w:spacing w:val="-9"/>
          <w:sz w:val="20"/>
        </w:rPr>
        <w:t> </w:t>
      </w:r>
      <w:r>
        <w:rPr>
          <w:sz w:val="20"/>
        </w:rPr>
        <w:t>per</w:t>
      </w:r>
      <w:r>
        <w:rPr>
          <w:spacing w:val="-13"/>
          <w:sz w:val="20"/>
        </w:rPr>
        <w:t> </w:t>
      </w:r>
      <w:r>
        <w:rPr>
          <w:sz w:val="20"/>
        </w:rPr>
        <w:t>cent)</w:t>
      </w:r>
      <w:r>
        <w:rPr>
          <w:spacing w:val="-8"/>
          <w:sz w:val="20"/>
        </w:rPr>
        <w:t> </w:t>
      </w:r>
      <w:r>
        <w:rPr>
          <w:sz w:val="20"/>
        </w:rPr>
        <w:t>is</w:t>
      </w:r>
      <w:r>
        <w:rPr>
          <w:spacing w:val="-13"/>
          <w:sz w:val="20"/>
        </w:rPr>
        <w:t> </w:t>
      </w:r>
      <w:r>
        <w:rPr>
          <w:sz w:val="20"/>
        </w:rPr>
        <w:t>requested</w:t>
      </w:r>
      <w:r>
        <w:rPr>
          <w:spacing w:val="-8"/>
          <w:sz w:val="20"/>
        </w:rPr>
        <w:t> </w:t>
      </w:r>
      <w:r>
        <w:rPr>
          <w:sz w:val="20"/>
        </w:rPr>
        <w:t>for</w:t>
      </w:r>
      <w:r>
        <w:rPr>
          <w:spacing w:val="-9"/>
          <w:sz w:val="20"/>
        </w:rPr>
        <w:t> </w:t>
      </w:r>
      <w:r>
        <w:rPr>
          <w:sz w:val="20"/>
        </w:rPr>
        <w:t>GTA</w:t>
      </w:r>
      <w:r>
        <w:rPr>
          <w:spacing w:val="-11"/>
          <w:sz w:val="20"/>
        </w:rPr>
        <w:t> </w:t>
      </w:r>
      <w:r>
        <w:rPr>
          <w:sz w:val="20"/>
        </w:rPr>
        <w:t>in</w:t>
      </w:r>
      <w:r>
        <w:rPr>
          <w:spacing w:val="-13"/>
          <w:sz w:val="20"/>
        </w:rPr>
        <w:t> </w:t>
      </w:r>
      <w:r>
        <w:rPr>
          <w:sz w:val="20"/>
        </w:rPr>
        <w:t>the</w:t>
      </w:r>
      <w:r>
        <w:rPr>
          <w:spacing w:val="-7"/>
          <w:sz w:val="20"/>
        </w:rPr>
        <w:t> </w:t>
      </w:r>
      <w:r>
        <w:rPr>
          <w:sz w:val="20"/>
        </w:rPr>
        <w:t>Division.</w:t>
      </w:r>
      <w:r>
        <w:rPr>
          <w:spacing w:val="-7"/>
          <w:sz w:val="20"/>
        </w:rPr>
        <w:t> </w:t>
      </w:r>
      <w:r>
        <w:rPr>
          <w:sz w:val="20"/>
        </w:rPr>
        <w:t>As</w:t>
      </w:r>
      <w:r>
        <w:rPr>
          <w:spacing w:val="-13"/>
          <w:sz w:val="20"/>
        </w:rPr>
        <w:t> </w:t>
      </w:r>
      <w:r>
        <w:rPr>
          <w:sz w:val="20"/>
        </w:rPr>
        <w:t>detailed</w:t>
      </w:r>
      <w:r>
        <w:rPr>
          <w:spacing w:val="-8"/>
          <w:sz w:val="20"/>
        </w:rPr>
        <w:t> </w:t>
      </w:r>
      <w:r>
        <w:rPr>
          <w:sz w:val="20"/>
        </w:rPr>
        <w:t>below, the proposed</w:t>
      </w:r>
      <w:r>
        <w:rPr>
          <w:spacing w:val="-4"/>
          <w:sz w:val="20"/>
        </w:rPr>
        <w:t> </w:t>
      </w:r>
      <w:r>
        <w:rPr>
          <w:sz w:val="20"/>
        </w:rPr>
        <w:t>increase</w:t>
      </w:r>
      <w:r>
        <w:rPr>
          <w:spacing w:val="-2"/>
          <w:sz w:val="20"/>
        </w:rPr>
        <w:t> </w:t>
      </w:r>
      <w:r>
        <w:rPr>
          <w:sz w:val="20"/>
        </w:rPr>
        <w:t>corresponds mainly</w:t>
      </w:r>
      <w:r>
        <w:rPr>
          <w:spacing w:val="-4"/>
          <w:sz w:val="20"/>
        </w:rPr>
        <w:t> </w:t>
      </w:r>
      <w:r>
        <w:rPr>
          <w:sz w:val="20"/>
        </w:rPr>
        <w:t>to the increased requirements</w:t>
      </w:r>
      <w:r>
        <w:rPr>
          <w:spacing w:val="-1"/>
          <w:sz w:val="20"/>
        </w:rPr>
        <w:t> </w:t>
      </w:r>
      <w:r>
        <w:rPr>
          <w:sz w:val="20"/>
        </w:rPr>
        <w:t>of €609.4 thousand in CMS to properly resource its capacity to support simultaneous courtroom proceedings in at least three trials throughout the year, and €1,404.4 thousand in LSS to support increased language requirements in the judicial proceedings currently before the Court. This is in addition to the enhanced requirements to support field operations, including through field interpretation,</w:t>
      </w:r>
      <w:r>
        <w:rPr>
          <w:spacing w:val="-6"/>
          <w:sz w:val="20"/>
        </w:rPr>
        <w:t> </w:t>
      </w:r>
      <w:r>
        <w:rPr>
          <w:sz w:val="20"/>
        </w:rPr>
        <w:t>and</w:t>
      </w:r>
      <w:r>
        <w:rPr>
          <w:spacing w:val="-4"/>
          <w:sz w:val="20"/>
        </w:rPr>
        <w:t> </w:t>
      </w:r>
      <w:r>
        <w:rPr>
          <w:sz w:val="20"/>
        </w:rPr>
        <w:t>the</w:t>
      </w:r>
      <w:r>
        <w:rPr>
          <w:spacing w:val="-2"/>
          <w:sz w:val="20"/>
        </w:rPr>
        <w:t> </w:t>
      </w:r>
      <w:r>
        <w:rPr>
          <w:sz w:val="20"/>
        </w:rPr>
        <w:t>additional</w:t>
      </w:r>
      <w:r>
        <w:rPr>
          <w:spacing w:val="-7"/>
          <w:sz w:val="20"/>
        </w:rPr>
        <w:t> </w:t>
      </w:r>
      <w:r>
        <w:rPr>
          <w:sz w:val="20"/>
        </w:rPr>
        <w:t>interpretation</w:t>
      </w:r>
      <w:r>
        <w:rPr>
          <w:spacing w:val="-4"/>
          <w:sz w:val="20"/>
        </w:rPr>
        <w:t> </w:t>
      </w:r>
      <w:r>
        <w:rPr>
          <w:sz w:val="20"/>
        </w:rPr>
        <w:t>services requested</w:t>
      </w:r>
      <w:r>
        <w:rPr>
          <w:spacing w:val="-8"/>
          <w:sz w:val="20"/>
        </w:rPr>
        <w:t> </w:t>
      </w:r>
      <w:r>
        <w:rPr>
          <w:sz w:val="20"/>
        </w:rPr>
        <w:t>to</w:t>
      </w:r>
      <w:r>
        <w:rPr>
          <w:spacing w:val="-4"/>
          <w:sz w:val="20"/>
        </w:rPr>
        <w:t> </w:t>
      </w:r>
      <w:r>
        <w:rPr>
          <w:sz w:val="20"/>
        </w:rPr>
        <w:t>support</w:t>
      </w:r>
      <w:r>
        <w:rPr>
          <w:spacing w:val="-2"/>
          <w:sz w:val="20"/>
        </w:rPr>
        <w:t> </w:t>
      </w:r>
      <w:r>
        <w:rPr>
          <w:sz w:val="20"/>
        </w:rPr>
        <w:t>meetings of</w:t>
      </w:r>
      <w:r>
        <w:rPr>
          <w:spacing w:val="-4"/>
          <w:sz w:val="20"/>
        </w:rPr>
        <w:t> </w:t>
      </w:r>
      <w:r>
        <w:rPr>
          <w:sz w:val="20"/>
        </w:rPr>
        <w:t>the Assembly’s subsidiary bodies, including the Advisory Committee on Nominations. Of the</w:t>
      </w:r>
    </w:p>
    <w:p>
      <w:pPr>
        <w:spacing w:after="0" w:line="240" w:lineRule="auto"/>
        <w:jc w:val="both"/>
        <w:rPr>
          <w:sz w:val="20"/>
        </w:rPr>
        <w:sectPr>
          <w:pgSz w:w="11910" w:h="16840"/>
          <w:pgMar w:header="953" w:footer="940" w:top="1140" w:bottom="1140" w:left="20" w:right="20"/>
        </w:sectPr>
      </w:pPr>
    </w:p>
    <w:p>
      <w:pPr>
        <w:pStyle w:val="BodyText"/>
        <w:spacing w:before="120"/>
        <w:ind w:left="2246" w:right="2249"/>
        <w:jc w:val="both"/>
      </w:pPr>
      <w:r>
        <w:rPr/>
        <w:t>increase,</w:t>
      </w:r>
      <w:r>
        <w:rPr>
          <w:spacing w:val="40"/>
        </w:rPr>
        <w:t> </w:t>
      </w:r>
      <w:r>
        <w:rPr/>
        <w:t>€71.5</w:t>
      </w:r>
      <w:r>
        <w:rPr>
          <w:spacing w:val="40"/>
        </w:rPr>
        <w:t> </w:t>
      </w:r>
      <w:r>
        <w:rPr/>
        <w:t>thousand</w:t>
      </w:r>
      <w:r>
        <w:rPr>
          <w:spacing w:val="40"/>
        </w:rPr>
        <w:t> </w:t>
      </w:r>
      <w:r>
        <w:rPr/>
        <w:t>arises</w:t>
      </w:r>
      <w:r>
        <w:rPr>
          <w:spacing w:val="40"/>
        </w:rPr>
        <w:t> </w:t>
      </w:r>
      <w:r>
        <w:rPr/>
        <w:t>out</w:t>
      </w:r>
      <w:r>
        <w:rPr>
          <w:spacing w:val="40"/>
        </w:rPr>
        <w:t> </w:t>
      </w:r>
      <w:r>
        <w:rPr/>
        <w:t>of</w:t>
      </w:r>
      <w:r>
        <w:rPr>
          <w:spacing w:val="40"/>
        </w:rPr>
        <w:t> </w:t>
      </w:r>
      <w:r>
        <w:rPr/>
        <w:t>the</w:t>
      </w:r>
      <w:r>
        <w:rPr>
          <w:spacing w:val="40"/>
        </w:rPr>
        <w:t> </w:t>
      </w:r>
      <w:r>
        <w:rPr/>
        <w:t>application</w:t>
      </w:r>
      <w:r>
        <w:rPr>
          <w:spacing w:val="40"/>
        </w:rPr>
        <w:t> </w:t>
      </w:r>
      <w:r>
        <w:rPr/>
        <w:t>of</w:t>
      </w:r>
      <w:r>
        <w:rPr>
          <w:spacing w:val="40"/>
        </w:rPr>
        <w:t> </w:t>
      </w:r>
      <w:r>
        <w:rPr/>
        <w:t>the</w:t>
      </w:r>
      <w:r>
        <w:rPr>
          <w:spacing w:val="40"/>
        </w:rPr>
        <w:t> </w:t>
      </w:r>
      <w:r>
        <w:rPr/>
        <w:t>UNCS</w:t>
      </w:r>
      <w:r>
        <w:rPr>
          <w:spacing w:val="40"/>
        </w:rPr>
        <w:t> </w:t>
      </w:r>
      <w:r>
        <w:rPr/>
        <w:t>in</w:t>
      </w:r>
      <w:r>
        <w:rPr>
          <w:spacing w:val="40"/>
        </w:rPr>
        <w:t> </w:t>
      </w:r>
      <w:r>
        <w:rPr/>
        <w:t>the</w:t>
      </w:r>
      <w:r>
        <w:rPr>
          <w:spacing w:val="40"/>
        </w:rPr>
        <w:t> </w:t>
      </w:r>
      <w:r>
        <w:rPr/>
        <w:t>Division’s GTA costs.</w:t>
      </w:r>
    </w:p>
    <w:p>
      <w:pPr>
        <w:pStyle w:val="ListParagraph"/>
        <w:numPr>
          <w:ilvl w:val="0"/>
          <w:numId w:val="4"/>
        </w:numPr>
        <w:tabs>
          <w:tab w:pos="2967" w:val="left" w:leader="none"/>
        </w:tabs>
        <w:spacing w:line="240" w:lineRule="auto" w:before="121" w:after="0"/>
        <w:ind w:left="2246" w:right="2238" w:firstLine="0"/>
        <w:jc w:val="both"/>
        <w:rPr>
          <w:sz w:val="20"/>
        </w:rPr>
      </w:pPr>
      <w:r>
        <w:rPr>
          <w:sz w:val="20"/>
        </w:rPr>
        <w:t>The</w:t>
      </w:r>
      <w:r>
        <w:rPr>
          <w:spacing w:val="-12"/>
          <w:sz w:val="20"/>
        </w:rPr>
        <w:t> </w:t>
      </w:r>
      <w:r>
        <w:rPr>
          <w:sz w:val="20"/>
        </w:rPr>
        <w:t>requested</w:t>
      </w:r>
      <w:r>
        <w:rPr>
          <w:spacing w:val="-13"/>
          <w:sz w:val="20"/>
        </w:rPr>
        <w:t> </w:t>
      </w:r>
      <w:r>
        <w:rPr>
          <w:sz w:val="20"/>
        </w:rPr>
        <w:t>amount</w:t>
      </w:r>
      <w:r>
        <w:rPr>
          <w:spacing w:val="-12"/>
          <w:sz w:val="20"/>
        </w:rPr>
        <w:t> </w:t>
      </w:r>
      <w:r>
        <w:rPr>
          <w:sz w:val="20"/>
        </w:rPr>
        <w:t>for</w:t>
      </w:r>
      <w:r>
        <w:rPr>
          <w:spacing w:val="-9"/>
          <w:sz w:val="20"/>
        </w:rPr>
        <w:t> </w:t>
      </w:r>
      <w:r>
        <w:rPr>
          <w:sz w:val="20"/>
        </w:rPr>
        <w:t>GTA</w:t>
      </w:r>
      <w:r>
        <w:rPr>
          <w:spacing w:val="-11"/>
          <w:sz w:val="20"/>
        </w:rPr>
        <w:t> </w:t>
      </w:r>
      <w:r>
        <w:rPr>
          <w:sz w:val="20"/>
        </w:rPr>
        <w:t>resources</w:t>
      </w:r>
      <w:r>
        <w:rPr>
          <w:spacing w:val="-11"/>
          <w:sz w:val="20"/>
        </w:rPr>
        <w:t> </w:t>
      </w:r>
      <w:r>
        <w:rPr>
          <w:sz w:val="20"/>
        </w:rPr>
        <w:t>in</w:t>
      </w:r>
      <w:r>
        <w:rPr>
          <w:spacing w:val="-9"/>
          <w:sz w:val="20"/>
        </w:rPr>
        <w:t> </w:t>
      </w:r>
      <w:r>
        <w:rPr>
          <w:sz w:val="20"/>
        </w:rPr>
        <w:t>CMS</w:t>
      </w:r>
      <w:r>
        <w:rPr>
          <w:spacing w:val="-11"/>
          <w:sz w:val="20"/>
        </w:rPr>
        <w:t> </w:t>
      </w:r>
      <w:r>
        <w:rPr>
          <w:sz w:val="20"/>
        </w:rPr>
        <w:t>has</w:t>
      </w:r>
      <w:r>
        <w:rPr>
          <w:spacing w:val="-11"/>
          <w:sz w:val="20"/>
        </w:rPr>
        <w:t> </w:t>
      </w:r>
      <w:r>
        <w:rPr>
          <w:sz w:val="20"/>
        </w:rPr>
        <w:t>increased</w:t>
      </w:r>
      <w:r>
        <w:rPr>
          <w:spacing w:val="-9"/>
          <w:sz w:val="20"/>
        </w:rPr>
        <w:t> </w:t>
      </w:r>
      <w:r>
        <w:rPr>
          <w:sz w:val="20"/>
        </w:rPr>
        <w:t>by</w:t>
      </w:r>
      <w:r>
        <w:rPr>
          <w:spacing w:val="-10"/>
          <w:sz w:val="20"/>
        </w:rPr>
        <w:t> </w:t>
      </w:r>
      <w:r>
        <w:rPr>
          <w:sz w:val="20"/>
        </w:rPr>
        <w:t>€609.4</w:t>
      </w:r>
      <w:r>
        <w:rPr>
          <w:spacing w:val="-13"/>
          <w:sz w:val="20"/>
        </w:rPr>
        <w:t> </w:t>
      </w:r>
      <w:r>
        <w:rPr>
          <w:sz w:val="20"/>
        </w:rPr>
        <w:t>thousand to enable</w:t>
      </w:r>
      <w:r>
        <w:rPr>
          <w:spacing w:val="-2"/>
          <w:sz w:val="20"/>
        </w:rPr>
        <w:t> </w:t>
      </w:r>
      <w:r>
        <w:rPr>
          <w:sz w:val="20"/>
        </w:rPr>
        <w:t>it</w:t>
      </w:r>
      <w:r>
        <w:rPr>
          <w:spacing w:val="-2"/>
          <w:sz w:val="20"/>
        </w:rPr>
        <w:t> </w:t>
      </w:r>
      <w:r>
        <w:rPr>
          <w:sz w:val="20"/>
        </w:rPr>
        <w:t>to fully resource</w:t>
      </w:r>
      <w:r>
        <w:rPr>
          <w:spacing w:val="-2"/>
          <w:sz w:val="20"/>
        </w:rPr>
        <w:t> </w:t>
      </w:r>
      <w:r>
        <w:rPr>
          <w:sz w:val="20"/>
        </w:rPr>
        <w:t>its</w:t>
      </w:r>
      <w:r>
        <w:rPr>
          <w:spacing w:val="-5"/>
          <w:sz w:val="20"/>
        </w:rPr>
        <w:t> </w:t>
      </w:r>
      <w:r>
        <w:rPr>
          <w:sz w:val="20"/>
        </w:rPr>
        <w:t>capacity</w:t>
      </w:r>
      <w:r>
        <w:rPr>
          <w:spacing w:val="-4"/>
          <w:sz w:val="20"/>
        </w:rPr>
        <w:t> </w:t>
      </w:r>
      <w:r>
        <w:rPr>
          <w:sz w:val="20"/>
        </w:rPr>
        <w:t>to support five full-time trials totalling 400</w:t>
      </w:r>
      <w:r>
        <w:rPr>
          <w:spacing w:val="-4"/>
          <w:sz w:val="20"/>
        </w:rPr>
        <w:t> </w:t>
      </w:r>
      <w:r>
        <w:rPr>
          <w:sz w:val="20"/>
        </w:rPr>
        <w:t>hearing days, in at least three trials running simultaneously throughout the year. As detailed below, one</w:t>
      </w:r>
      <w:r>
        <w:rPr>
          <w:spacing w:val="-7"/>
          <w:sz w:val="20"/>
        </w:rPr>
        <w:t> </w:t>
      </w:r>
      <w:r>
        <w:rPr>
          <w:sz w:val="20"/>
        </w:rPr>
        <w:t>new</w:t>
      </w:r>
      <w:r>
        <w:rPr>
          <w:spacing w:val="-10"/>
          <w:sz w:val="20"/>
        </w:rPr>
        <w:t> </w:t>
      </w:r>
      <w:r>
        <w:rPr>
          <w:sz w:val="20"/>
        </w:rPr>
        <w:t>GTA</w:t>
      </w:r>
      <w:r>
        <w:rPr>
          <w:spacing w:val="-10"/>
          <w:sz w:val="20"/>
        </w:rPr>
        <w:t> </w:t>
      </w:r>
      <w:r>
        <w:rPr>
          <w:sz w:val="20"/>
        </w:rPr>
        <w:t>eCourt</w:t>
      </w:r>
      <w:r>
        <w:rPr>
          <w:spacing w:val="-7"/>
          <w:sz w:val="20"/>
        </w:rPr>
        <w:t> </w:t>
      </w:r>
      <w:r>
        <w:rPr>
          <w:sz w:val="20"/>
        </w:rPr>
        <w:t>Assistant</w:t>
      </w:r>
      <w:r>
        <w:rPr>
          <w:spacing w:val="-7"/>
          <w:sz w:val="20"/>
        </w:rPr>
        <w:t> </w:t>
      </w:r>
      <w:r>
        <w:rPr>
          <w:sz w:val="20"/>
        </w:rPr>
        <w:t>(GS-OL)</w:t>
      </w:r>
      <w:r>
        <w:rPr>
          <w:spacing w:val="-8"/>
          <w:sz w:val="20"/>
        </w:rPr>
        <w:t> </w:t>
      </w:r>
      <w:r>
        <w:rPr>
          <w:sz w:val="20"/>
        </w:rPr>
        <w:t>is</w:t>
      </w:r>
      <w:r>
        <w:rPr>
          <w:spacing w:val="-10"/>
          <w:sz w:val="20"/>
        </w:rPr>
        <w:t> </w:t>
      </w:r>
      <w:r>
        <w:rPr>
          <w:sz w:val="20"/>
        </w:rPr>
        <w:t>being</w:t>
      </w:r>
      <w:r>
        <w:rPr>
          <w:spacing w:val="-8"/>
          <w:sz w:val="20"/>
        </w:rPr>
        <w:t> </w:t>
      </w:r>
      <w:r>
        <w:rPr>
          <w:sz w:val="20"/>
        </w:rPr>
        <w:t>requested</w:t>
      </w:r>
      <w:r>
        <w:rPr>
          <w:spacing w:val="-8"/>
          <w:sz w:val="20"/>
        </w:rPr>
        <w:t> </w:t>
      </w:r>
      <w:r>
        <w:rPr>
          <w:sz w:val="20"/>
        </w:rPr>
        <w:t>for</w:t>
      </w:r>
      <w:r>
        <w:rPr>
          <w:spacing w:val="-4"/>
          <w:sz w:val="20"/>
        </w:rPr>
        <w:t> </w:t>
      </w:r>
      <w:r>
        <w:rPr>
          <w:sz w:val="20"/>
        </w:rPr>
        <w:t>9</w:t>
      </w:r>
      <w:r>
        <w:rPr>
          <w:spacing w:val="-8"/>
          <w:sz w:val="20"/>
        </w:rPr>
        <w:t> </w:t>
      </w:r>
      <w:r>
        <w:rPr>
          <w:sz w:val="20"/>
        </w:rPr>
        <w:t>months.</w:t>
      </w:r>
      <w:r>
        <w:rPr>
          <w:spacing w:val="-1"/>
          <w:sz w:val="20"/>
        </w:rPr>
        <w:t> </w:t>
      </w:r>
      <w:r>
        <w:rPr>
          <w:sz w:val="20"/>
        </w:rPr>
        <w:t>All</w:t>
      </w:r>
      <w:r>
        <w:rPr>
          <w:spacing w:val="-7"/>
          <w:sz w:val="20"/>
        </w:rPr>
        <w:t> </w:t>
      </w:r>
      <w:r>
        <w:rPr>
          <w:sz w:val="20"/>
        </w:rPr>
        <w:t>other</w:t>
      </w:r>
      <w:r>
        <w:rPr>
          <w:spacing w:val="-8"/>
          <w:sz w:val="20"/>
        </w:rPr>
        <w:t> </w:t>
      </w:r>
      <w:r>
        <w:rPr>
          <w:sz w:val="20"/>
        </w:rPr>
        <w:t>positions are</w:t>
      </w:r>
      <w:r>
        <w:rPr>
          <w:spacing w:val="-2"/>
          <w:sz w:val="20"/>
        </w:rPr>
        <w:t> </w:t>
      </w:r>
      <w:r>
        <w:rPr>
          <w:sz w:val="20"/>
        </w:rPr>
        <w:t>continued from</w:t>
      </w:r>
      <w:r>
        <w:rPr>
          <w:spacing w:val="-2"/>
          <w:sz w:val="20"/>
        </w:rPr>
        <w:t> </w:t>
      </w:r>
      <w:r>
        <w:rPr>
          <w:sz w:val="20"/>
        </w:rPr>
        <w:t>2022</w:t>
      </w:r>
      <w:r>
        <w:rPr>
          <w:spacing w:val="-4"/>
          <w:sz w:val="20"/>
        </w:rPr>
        <w:t> </w:t>
      </w:r>
      <w:r>
        <w:rPr>
          <w:sz w:val="20"/>
        </w:rPr>
        <w:t>and</w:t>
      </w:r>
      <w:r>
        <w:rPr>
          <w:spacing w:val="-4"/>
          <w:sz w:val="20"/>
        </w:rPr>
        <w:t> </w:t>
      </w:r>
      <w:r>
        <w:rPr>
          <w:sz w:val="20"/>
        </w:rPr>
        <w:t>are</w:t>
      </w:r>
      <w:r>
        <w:rPr>
          <w:spacing w:val="-2"/>
          <w:sz w:val="20"/>
        </w:rPr>
        <w:t> </w:t>
      </w:r>
      <w:r>
        <w:rPr>
          <w:sz w:val="20"/>
        </w:rPr>
        <w:t>required</w:t>
      </w:r>
      <w:r>
        <w:rPr>
          <w:spacing w:val="-4"/>
          <w:sz w:val="20"/>
        </w:rPr>
        <w:t> </w:t>
      </w:r>
      <w:r>
        <w:rPr>
          <w:sz w:val="20"/>
        </w:rPr>
        <w:t>in</w:t>
      </w:r>
      <w:r>
        <w:rPr>
          <w:spacing w:val="-4"/>
          <w:sz w:val="20"/>
        </w:rPr>
        <w:t> </w:t>
      </w:r>
      <w:r>
        <w:rPr>
          <w:sz w:val="20"/>
        </w:rPr>
        <w:t>2023</w:t>
      </w:r>
      <w:r>
        <w:rPr>
          <w:spacing w:val="-4"/>
          <w:sz w:val="20"/>
        </w:rPr>
        <w:t> </w:t>
      </w:r>
      <w:r>
        <w:rPr>
          <w:sz w:val="20"/>
        </w:rPr>
        <w:t>for</w:t>
      </w:r>
      <w:r>
        <w:rPr>
          <w:spacing w:val="-4"/>
          <w:sz w:val="20"/>
        </w:rPr>
        <w:t> </w:t>
      </w:r>
      <w:r>
        <w:rPr>
          <w:sz w:val="20"/>
        </w:rPr>
        <w:t>12</w:t>
      </w:r>
      <w:r>
        <w:rPr>
          <w:spacing w:val="-8"/>
          <w:sz w:val="20"/>
        </w:rPr>
        <w:t> </w:t>
      </w:r>
      <w:r>
        <w:rPr>
          <w:sz w:val="20"/>
        </w:rPr>
        <w:t>months.</w:t>
      </w:r>
      <w:r>
        <w:rPr>
          <w:spacing w:val="-1"/>
          <w:sz w:val="20"/>
        </w:rPr>
        <w:t> </w:t>
      </w:r>
      <w:r>
        <w:rPr>
          <w:sz w:val="20"/>
        </w:rPr>
        <w:t>Three GTA positions</w:t>
      </w:r>
      <w:r>
        <w:rPr>
          <w:spacing w:val="-5"/>
          <w:sz w:val="20"/>
        </w:rPr>
        <w:t> </w:t>
      </w:r>
      <w:r>
        <w:rPr>
          <w:sz w:val="20"/>
        </w:rPr>
        <w:t>have been</w:t>
      </w:r>
      <w:r>
        <w:rPr>
          <w:spacing w:val="-5"/>
          <w:sz w:val="20"/>
        </w:rPr>
        <w:t> </w:t>
      </w:r>
      <w:r>
        <w:rPr>
          <w:sz w:val="20"/>
        </w:rPr>
        <w:t>discontinued</w:t>
      </w:r>
      <w:r>
        <w:rPr>
          <w:spacing w:val="-5"/>
          <w:sz w:val="20"/>
        </w:rPr>
        <w:t> </w:t>
      </w:r>
      <w:r>
        <w:rPr>
          <w:sz w:val="20"/>
        </w:rPr>
        <w:t>for</w:t>
      </w:r>
      <w:r>
        <w:rPr>
          <w:spacing w:val="-5"/>
          <w:sz w:val="20"/>
        </w:rPr>
        <w:t> </w:t>
      </w:r>
      <w:r>
        <w:rPr>
          <w:sz w:val="20"/>
        </w:rPr>
        <w:t>2023:</w:t>
      </w:r>
      <w:r>
        <w:rPr>
          <w:spacing w:val="-3"/>
          <w:sz w:val="20"/>
        </w:rPr>
        <w:t> </w:t>
      </w:r>
      <w:r>
        <w:rPr>
          <w:sz w:val="20"/>
        </w:rPr>
        <w:t>one</w:t>
      </w:r>
      <w:r>
        <w:rPr>
          <w:spacing w:val="-3"/>
          <w:sz w:val="20"/>
        </w:rPr>
        <w:t> </w:t>
      </w:r>
      <w:r>
        <w:rPr>
          <w:sz w:val="20"/>
        </w:rPr>
        <w:t>eCourt</w:t>
      </w:r>
      <w:r>
        <w:rPr>
          <w:spacing w:val="-3"/>
          <w:sz w:val="20"/>
        </w:rPr>
        <w:t> </w:t>
      </w:r>
      <w:r>
        <w:rPr>
          <w:sz w:val="20"/>
        </w:rPr>
        <w:t>Project</w:t>
      </w:r>
      <w:r>
        <w:rPr>
          <w:spacing w:val="-3"/>
          <w:sz w:val="20"/>
        </w:rPr>
        <w:t> </w:t>
      </w:r>
      <w:r>
        <w:rPr>
          <w:sz w:val="20"/>
        </w:rPr>
        <w:t>Manager</w:t>
      </w:r>
      <w:r>
        <w:rPr>
          <w:spacing w:val="-5"/>
          <w:sz w:val="20"/>
        </w:rPr>
        <w:t> </w:t>
      </w:r>
      <w:r>
        <w:rPr>
          <w:sz w:val="20"/>
        </w:rPr>
        <w:t>(P-4),</w:t>
      </w:r>
      <w:r>
        <w:rPr>
          <w:spacing w:val="-2"/>
          <w:sz w:val="20"/>
        </w:rPr>
        <w:t> </w:t>
      </w:r>
      <w:r>
        <w:rPr>
          <w:sz w:val="20"/>
        </w:rPr>
        <w:t>one</w:t>
      </w:r>
      <w:r>
        <w:rPr>
          <w:spacing w:val="-3"/>
          <w:sz w:val="20"/>
        </w:rPr>
        <w:t> </w:t>
      </w:r>
      <w:r>
        <w:rPr>
          <w:sz w:val="20"/>
        </w:rPr>
        <w:t>Text</w:t>
      </w:r>
      <w:r>
        <w:rPr>
          <w:spacing w:val="-3"/>
          <w:sz w:val="20"/>
        </w:rPr>
        <w:t> </w:t>
      </w:r>
      <w:r>
        <w:rPr>
          <w:sz w:val="20"/>
        </w:rPr>
        <w:t>Processor</w:t>
      </w:r>
      <w:r>
        <w:rPr>
          <w:spacing w:val="-5"/>
          <w:sz w:val="20"/>
        </w:rPr>
        <w:t> </w:t>
      </w:r>
      <w:r>
        <w:rPr>
          <w:sz w:val="20"/>
        </w:rPr>
        <w:t>(French) (GS-OL) and one Text Processor (English) (GS-OL), resulting in a reduction of approximately €217.0 thousand.</w:t>
      </w:r>
    </w:p>
    <w:p>
      <w:pPr>
        <w:pStyle w:val="ListParagraph"/>
        <w:numPr>
          <w:ilvl w:val="0"/>
          <w:numId w:val="4"/>
        </w:numPr>
        <w:tabs>
          <w:tab w:pos="2967" w:val="left" w:leader="none"/>
        </w:tabs>
        <w:spacing w:line="240" w:lineRule="auto" w:before="119" w:after="0"/>
        <w:ind w:left="2246" w:right="2238" w:firstLine="0"/>
        <w:jc w:val="both"/>
        <w:rPr>
          <w:sz w:val="20"/>
        </w:rPr>
      </w:pPr>
      <w:r>
        <w:rPr>
          <w:sz w:val="20"/>
        </w:rPr>
        <w:t>One </w:t>
      </w:r>
      <w:r>
        <w:rPr>
          <w:i/>
          <w:sz w:val="20"/>
        </w:rPr>
        <w:t>Associate Legal Officer/Courtroom Officer (P-2), 12 months. Continued,</w:t>
      </w:r>
      <w:r>
        <w:rPr>
          <w:i/>
          <w:sz w:val="20"/>
        </w:rPr>
        <w:t> Multi-year. </w:t>
      </w:r>
      <w:r>
        <w:rPr>
          <w:sz w:val="20"/>
        </w:rPr>
        <w:t>This position is required to provide continuous support for hearings and related back-office</w:t>
      </w:r>
      <w:r>
        <w:rPr>
          <w:spacing w:val="-13"/>
          <w:sz w:val="20"/>
        </w:rPr>
        <w:t> </w:t>
      </w:r>
      <w:r>
        <w:rPr>
          <w:sz w:val="20"/>
        </w:rPr>
        <w:t>activities,</w:t>
      </w:r>
      <w:r>
        <w:rPr>
          <w:spacing w:val="-12"/>
          <w:sz w:val="20"/>
        </w:rPr>
        <w:t> </w:t>
      </w:r>
      <w:r>
        <w:rPr>
          <w:sz w:val="20"/>
        </w:rPr>
        <w:t>including</w:t>
      </w:r>
      <w:r>
        <w:rPr>
          <w:spacing w:val="-13"/>
          <w:sz w:val="20"/>
        </w:rPr>
        <w:t> </w:t>
      </w:r>
      <w:r>
        <w:rPr>
          <w:sz w:val="20"/>
        </w:rPr>
        <w:t>the</w:t>
      </w:r>
      <w:r>
        <w:rPr>
          <w:spacing w:val="-12"/>
          <w:sz w:val="20"/>
        </w:rPr>
        <w:t> </w:t>
      </w:r>
      <w:r>
        <w:rPr>
          <w:sz w:val="20"/>
        </w:rPr>
        <w:t>verification</w:t>
      </w:r>
      <w:r>
        <w:rPr>
          <w:spacing w:val="-13"/>
          <w:sz w:val="20"/>
        </w:rPr>
        <w:t> </w:t>
      </w:r>
      <w:r>
        <w:rPr>
          <w:sz w:val="20"/>
        </w:rPr>
        <w:t>and</w:t>
      </w:r>
      <w:r>
        <w:rPr>
          <w:spacing w:val="-12"/>
          <w:sz w:val="20"/>
        </w:rPr>
        <w:t> </w:t>
      </w:r>
      <w:r>
        <w:rPr>
          <w:sz w:val="20"/>
        </w:rPr>
        <w:t>certification</w:t>
      </w:r>
      <w:r>
        <w:rPr>
          <w:spacing w:val="-13"/>
          <w:sz w:val="20"/>
        </w:rPr>
        <w:t> </w:t>
      </w:r>
      <w:r>
        <w:rPr>
          <w:sz w:val="20"/>
        </w:rPr>
        <w:t>of</w:t>
      </w:r>
      <w:r>
        <w:rPr>
          <w:spacing w:val="-12"/>
          <w:sz w:val="20"/>
        </w:rPr>
        <w:t> </w:t>
      </w:r>
      <w:r>
        <w:rPr>
          <w:sz w:val="20"/>
        </w:rPr>
        <w:t>situation</w:t>
      </w:r>
      <w:r>
        <w:rPr>
          <w:spacing w:val="-13"/>
          <w:sz w:val="20"/>
        </w:rPr>
        <w:t> </w:t>
      </w:r>
      <w:r>
        <w:rPr>
          <w:sz w:val="20"/>
        </w:rPr>
        <w:t>and</w:t>
      </w:r>
      <w:r>
        <w:rPr>
          <w:spacing w:val="-12"/>
          <w:sz w:val="20"/>
        </w:rPr>
        <w:t> </w:t>
      </w:r>
      <w:r>
        <w:rPr>
          <w:sz w:val="20"/>
        </w:rPr>
        <w:t>case</w:t>
      </w:r>
      <w:r>
        <w:rPr>
          <w:spacing w:val="-13"/>
          <w:sz w:val="20"/>
        </w:rPr>
        <w:t> </w:t>
      </w:r>
      <w:r>
        <w:rPr>
          <w:sz w:val="20"/>
        </w:rPr>
        <w:t>records as part of the JWP project, with a view to the migration of existing records into the new </w:t>
      </w:r>
      <w:r>
        <w:rPr>
          <w:spacing w:val="-2"/>
          <w:sz w:val="20"/>
        </w:rPr>
        <w:t>system.</w:t>
      </w:r>
    </w:p>
    <w:p>
      <w:pPr>
        <w:pStyle w:val="ListParagraph"/>
        <w:numPr>
          <w:ilvl w:val="0"/>
          <w:numId w:val="4"/>
        </w:numPr>
        <w:tabs>
          <w:tab w:pos="2967" w:val="left" w:leader="none"/>
        </w:tabs>
        <w:spacing w:line="240" w:lineRule="auto" w:before="123" w:after="0"/>
        <w:ind w:left="2246" w:right="2239" w:firstLine="0"/>
        <w:jc w:val="both"/>
        <w:rPr>
          <w:sz w:val="20"/>
        </w:rPr>
      </w:pPr>
      <w:r>
        <w:rPr>
          <w:sz w:val="20"/>
        </w:rPr>
        <w:t>One </w:t>
      </w:r>
      <w:r>
        <w:rPr>
          <w:i/>
          <w:sz w:val="20"/>
        </w:rPr>
        <w:t>Associate Legal Officer/Courtroom Officer (P-2), 12 months. Continued.</w:t>
      </w:r>
      <w:r>
        <w:rPr>
          <w:i/>
          <w:sz w:val="20"/>
        </w:rPr>
        <w:t> Multi-year. </w:t>
      </w:r>
      <w:r>
        <w:rPr>
          <w:sz w:val="20"/>
        </w:rPr>
        <w:t>This position is required to ensure continuous support to hearing activity, once the case of </w:t>
      </w:r>
      <w:r>
        <w:rPr>
          <w:i/>
          <w:sz w:val="20"/>
        </w:rPr>
        <w:t>Said </w:t>
      </w:r>
      <w:r>
        <w:rPr>
          <w:sz w:val="20"/>
        </w:rPr>
        <w:t>proceeds to the trial hearings phase.</w:t>
      </w:r>
    </w:p>
    <w:p>
      <w:pPr>
        <w:pStyle w:val="ListParagraph"/>
        <w:numPr>
          <w:ilvl w:val="0"/>
          <w:numId w:val="4"/>
        </w:numPr>
        <w:tabs>
          <w:tab w:pos="2967" w:val="left" w:leader="none"/>
        </w:tabs>
        <w:spacing w:line="240" w:lineRule="auto" w:before="121" w:after="0"/>
        <w:ind w:left="2246" w:right="2242" w:firstLine="0"/>
        <w:jc w:val="both"/>
        <w:rPr>
          <w:sz w:val="20"/>
        </w:rPr>
      </w:pPr>
      <w:r>
        <w:rPr>
          <w:sz w:val="20"/>
        </w:rPr>
        <w:t>One</w:t>
      </w:r>
      <w:r>
        <w:rPr>
          <w:spacing w:val="-13"/>
          <w:sz w:val="20"/>
        </w:rPr>
        <w:t> </w:t>
      </w:r>
      <w:r>
        <w:rPr>
          <w:i/>
          <w:sz w:val="20"/>
        </w:rPr>
        <w:t>AudioVisual</w:t>
      </w:r>
      <w:r>
        <w:rPr>
          <w:i/>
          <w:spacing w:val="-12"/>
          <w:sz w:val="20"/>
        </w:rPr>
        <w:t> </w:t>
      </w:r>
      <w:r>
        <w:rPr>
          <w:i/>
          <w:sz w:val="20"/>
        </w:rPr>
        <w:t>Production</w:t>
      </w:r>
      <w:r>
        <w:rPr>
          <w:i/>
          <w:spacing w:val="-13"/>
          <w:sz w:val="20"/>
        </w:rPr>
        <w:t> </w:t>
      </w:r>
      <w:r>
        <w:rPr>
          <w:i/>
          <w:sz w:val="20"/>
        </w:rPr>
        <w:t>Assistant</w:t>
      </w:r>
      <w:r>
        <w:rPr>
          <w:i/>
          <w:spacing w:val="-10"/>
          <w:sz w:val="20"/>
        </w:rPr>
        <w:t> </w:t>
      </w:r>
      <w:r>
        <w:rPr>
          <w:i/>
          <w:sz w:val="20"/>
        </w:rPr>
        <w:t>(GS-OL),</w:t>
      </w:r>
      <w:r>
        <w:rPr>
          <w:i/>
          <w:spacing w:val="-10"/>
          <w:sz w:val="20"/>
        </w:rPr>
        <w:t> </w:t>
      </w:r>
      <w:r>
        <w:rPr>
          <w:i/>
          <w:sz w:val="20"/>
        </w:rPr>
        <w:t>12</w:t>
      </w:r>
      <w:r>
        <w:rPr>
          <w:i/>
          <w:spacing w:val="-12"/>
          <w:sz w:val="20"/>
        </w:rPr>
        <w:t> </w:t>
      </w:r>
      <w:r>
        <w:rPr>
          <w:i/>
          <w:sz w:val="20"/>
        </w:rPr>
        <w:t>months.</w:t>
      </w:r>
      <w:r>
        <w:rPr>
          <w:i/>
          <w:spacing w:val="-13"/>
          <w:sz w:val="20"/>
        </w:rPr>
        <w:t> </w:t>
      </w:r>
      <w:r>
        <w:rPr>
          <w:i/>
          <w:sz w:val="20"/>
        </w:rPr>
        <w:t>Continued.</w:t>
      </w:r>
      <w:r>
        <w:rPr>
          <w:i/>
          <w:spacing w:val="-9"/>
          <w:sz w:val="20"/>
        </w:rPr>
        <w:t> </w:t>
      </w:r>
      <w:r>
        <w:rPr>
          <w:i/>
          <w:sz w:val="20"/>
        </w:rPr>
        <w:t>Multi-year.</w:t>
      </w:r>
      <w:r>
        <w:rPr>
          <w:i/>
          <w:sz w:val="20"/>
        </w:rPr>
        <w:t> </w:t>
      </w:r>
      <w:r>
        <w:rPr>
          <w:sz w:val="20"/>
        </w:rPr>
        <w:t>This position is required to ensure continuous support to hearing activity, once the case of </w:t>
      </w:r>
      <w:r>
        <w:rPr>
          <w:i/>
          <w:sz w:val="20"/>
        </w:rPr>
        <w:t>Said </w:t>
      </w:r>
      <w:r>
        <w:rPr>
          <w:sz w:val="20"/>
        </w:rPr>
        <w:t>proceeds to the trial hearings phase.</w:t>
      </w:r>
    </w:p>
    <w:p>
      <w:pPr>
        <w:pStyle w:val="ListParagraph"/>
        <w:numPr>
          <w:ilvl w:val="0"/>
          <w:numId w:val="4"/>
        </w:numPr>
        <w:tabs>
          <w:tab w:pos="2967" w:val="left" w:leader="none"/>
        </w:tabs>
        <w:spacing w:line="237" w:lineRule="auto" w:before="124" w:after="0"/>
        <w:ind w:left="2246" w:right="2240" w:firstLine="0"/>
        <w:jc w:val="both"/>
        <w:rPr>
          <w:sz w:val="20"/>
        </w:rPr>
      </w:pPr>
      <w:r>
        <w:rPr>
          <w:sz w:val="20"/>
        </w:rPr>
        <w:t>One </w:t>
      </w:r>
      <w:r>
        <w:rPr>
          <w:i/>
          <w:sz w:val="20"/>
        </w:rPr>
        <w:t>Court Clerk (GS-OL), 12 months. Continued. Multi-year. </w:t>
      </w:r>
      <w:r>
        <w:rPr>
          <w:sz w:val="20"/>
        </w:rPr>
        <w:t>This position is required to ensure continuous support to hearing activity, once the case of </w:t>
      </w:r>
      <w:r>
        <w:rPr>
          <w:i/>
          <w:sz w:val="20"/>
        </w:rPr>
        <w:t>Said </w:t>
      </w:r>
      <w:r>
        <w:rPr>
          <w:sz w:val="20"/>
        </w:rPr>
        <w:t>proceeds to the trial hearings phase.</w:t>
      </w:r>
    </w:p>
    <w:p>
      <w:pPr>
        <w:pStyle w:val="ListParagraph"/>
        <w:numPr>
          <w:ilvl w:val="0"/>
          <w:numId w:val="4"/>
        </w:numPr>
        <w:tabs>
          <w:tab w:pos="2967" w:val="left" w:leader="none"/>
        </w:tabs>
        <w:spacing w:line="240" w:lineRule="auto" w:before="121" w:after="0"/>
        <w:ind w:left="2246" w:right="2237" w:firstLine="0"/>
        <w:jc w:val="both"/>
        <w:rPr>
          <w:sz w:val="20"/>
        </w:rPr>
      </w:pPr>
      <w:r>
        <w:rPr>
          <w:sz w:val="20"/>
        </w:rPr>
        <w:t>Two </w:t>
      </w:r>
      <w:r>
        <w:rPr>
          <w:i/>
          <w:sz w:val="20"/>
        </w:rPr>
        <w:t>Court Reporters (English) (P-2), 12 months each. Continued. Multi-year.</w:t>
      </w:r>
      <w:r>
        <w:rPr>
          <w:i/>
          <w:sz w:val="20"/>
        </w:rPr>
        <w:t> </w:t>
      </w:r>
      <w:r>
        <w:rPr>
          <w:sz w:val="20"/>
        </w:rPr>
        <w:t>These positions are required to complement the in-house core team to support increased hearing activity.</w:t>
      </w:r>
    </w:p>
    <w:p>
      <w:pPr>
        <w:pStyle w:val="ListParagraph"/>
        <w:numPr>
          <w:ilvl w:val="0"/>
          <w:numId w:val="4"/>
        </w:numPr>
        <w:tabs>
          <w:tab w:pos="2967" w:val="left" w:leader="none"/>
        </w:tabs>
        <w:spacing w:line="240" w:lineRule="auto" w:before="122" w:after="0"/>
        <w:ind w:left="2246" w:right="2238" w:firstLine="0"/>
        <w:jc w:val="both"/>
        <w:rPr>
          <w:sz w:val="20"/>
        </w:rPr>
      </w:pPr>
      <w:r>
        <w:rPr>
          <w:sz w:val="20"/>
        </w:rPr>
        <w:t>One </w:t>
      </w:r>
      <w:r>
        <w:rPr>
          <w:i/>
          <w:sz w:val="20"/>
        </w:rPr>
        <w:t>Court Reporter (French) (P-2), 12 months. Continued. Multi-year. </w:t>
      </w:r>
      <w:r>
        <w:rPr>
          <w:sz w:val="20"/>
        </w:rPr>
        <w:t>This position is required to complement the in-house core team to support increased hearing </w:t>
      </w:r>
      <w:r>
        <w:rPr>
          <w:spacing w:val="-2"/>
          <w:sz w:val="20"/>
        </w:rPr>
        <w:t>activity.</w:t>
      </w:r>
    </w:p>
    <w:p>
      <w:pPr>
        <w:pStyle w:val="ListParagraph"/>
        <w:numPr>
          <w:ilvl w:val="0"/>
          <w:numId w:val="4"/>
        </w:numPr>
        <w:tabs>
          <w:tab w:pos="2967" w:val="left" w:leader="none"/>
        </w:tabs>
        <w:spacing w:line="240" w:lineRule="auto" w:before="121" w:after="0"/>
        <w:ind w:left="2246" w:right="2242" w:firstLine="0"/>
        <w:jc w:val="both"/>
        <w:rPr>
          <w:sz w:val="20"/>
        </w:rPr>
      </w:pPr>
      <w:r>
        <w:rPr>
          <w:sz w:val="20"/>
        </w:rPr>
        <w:t>Four </w:t>
      </w:r>
      <w:r>
        <w:rPr>
          <w:i/>
          <w:sz w:val="20"/>
        </w:rPr>
        <w:t>Text Processors (French) (GS-OL), 12 months each. Continued. Multi-year.</w:t>
      </w:r>
      <w:r>
        <w:rPr>
          <w:i/>
          <w:sz w:val="20"/>
        </w:rPr>
        <w:t> </w:t>
      </w:r>
      <w:r>
        <w:rPr>
          <w:sz w:val="20"/>
        </w:rPr>
        <w:t>These positions are required to complement the in-house core team to support increased hearing activity.</w:t>
      </w:r>
    </w:p>
    <w:p>
      <w:pPr>
        <w:pStyle w:val="ListParagraph"/>
        <w:numPr>
          <w:ilvl w:val="0"/>
          <w:numId w:val="4"/>
        </w:numPr>
        <w:tabs>
          <w:tab w:pos="2967" w:val="left" w:leader="none"/>
        </w:tabs>
        <w:spacing w:line="240" w:lineRule="auto" w:before="117" w:after="0"/>
        <w:ind w:left="2246" w:right="2237" w:firstLine="0"/>
        <w:jc w:val="both"/>
        <w:rPr>
          <w:sz w:val="20"/>
        </w:rPr>
      </w:pPr>
      <w:r>
        <w:rPr>
          <w:sz w:val="20"/>
        </w:rPr>
        <w:t>Two </w:t>
      </w:r>
      <w:r>
        <w:rPr>
          <w:i/>
          <w:sz w:val="20"/>
        </w:rPr>
        <w:t>Text Processors (English) (GS-OL), 12 months each. Continued. Multi-year.</w:t>
      </w:r>
      <w:r>
        <w:rPr>
          <w:i/>
          <w:sz w:val="20"/>
        </w:rPr>
        <w:t> </w:t>
      </w:r>
      <w:r>
        <w:rPr>
          <w:sz w:val="20"/>
        </w:rPr>
        <w:t>These positions are required to complement the in-house core team to support hearing </w:t>
      </w:r>
      <w:r>
        <w:rPr>
          <w:spacing w:val="-2"/>
          <w:sz w:val="20"/>
        </w:rPr>
        <w:t>activity.</w:t>
      </w:r>
    </w:p>
    <w:p>
      <w:pPr>
        <w:pStyle w:val="ListParagraph"/>
        <w:numPr>
          <w:ilvl w:val="0"/>
          <w:numId w:val="4"/>
        </w:numPr>
        <w:tabs>
          <w:tab w:pos="2967" w:val="left" w:leader="none"/>
        </w:tabs>
        <w:spacing w:line="240" w:lineRule="auto" w:before="121" w:after="0"/>
        <w:ind w:left="2246" w:right="2240" w:firstLine="0"/>
        <w:jc w:val="both"/>
        <w:rPr>
          <w:sz w:val="20"/>
        </w:rPr>
      </w:pPr>
      <w:r>
        <w:rPr>
          <w:sz w:val="20"/>
        </w:rPr>
        <w:t>One</w:t>
      </w:r>
      <w:r>
        <w:rPr>
          <w:spacing w:val="-13"/>
          <w:sz w:val="20"/>
        </w:rPr>
        <w:t> </w:t>
      </w:r>
      <w:r>
        <w:rPr>
          <w:i/>
          <w:sz w:val="20"/>
        </w:rPr>
        <w:t>eCourt</w:t>
      </w:r>
      <w:r>
        <w:rPr>
          <w:i/>
          <w:spacing w:val="-12"/>
          <w:sz w:val="20"/>
        </w:rPr>
        <w:t> </w:t>
      </w:r>
      <w:r>
        <w:rPr>
          <w:i/>
          <w:sz w:val="20"/>
        </w:rPr>
        <w:t>Assistant</w:t>
      </w:r>
      <w:r>
        <w:rPr>
          <w:i/>
          <w:spacing w:val="-13"/>
          <w:sz w:val="20"/>
        </w:rPr>
        <w:t> </w:t>
      </w:r>
      <w:r>
        <w:rPr>
          <w:i/>
          <w:sz w:val="20"/>
        </w:rPr>
        <w:t>(GS-OL),</w:t>
      </w:r>
      <w:r>
        <w:rPr>
          <w:i/>
          <w:spacing w:val="-11"/>
          <w:sz w:val="20"/>
        </w:rPr>
        <w:t> </w:t>
      </w:r>
      <w:r>
        <w:rPr>
          <w:i/>
          <w:sz w:val="20"/>
        </w:rPr>
        <w:t>9</w:t>
      </w:r>
      <w:r>
        <w:rPr>
          <w:i/>
          <w:spacing w:val="-13"/>
          <w:sz w:val="20"/>
        </w:rPr>
        <w:t> </w:t>
      </w:r>
      <w:r>
        <w:rPr>
          <w:i/>
          <w:sz w:val="20"/>
        </w:rPr>
        <w:t>months,</w:t>
      </w:r>
      <w:r>
        <w:rPr>
          <w:i/>
          <w:spacing w:val="-11"/>
          <w:sz w:val="20"/>
        </w:rPr>
        <w:t> </w:t>
      </w:r>
      <w:r>
        <w:rPr>
          <w:i/>
          <w:sz w:val="20"/>
        </w:rPr>
        <w:t>New.</w:t>
      </w:r>
      <w:r>
        <w:rPr>
          <w:i/>
          <w:spacing w:val="-12"/>
          <w:sz w:val="20"/>
        </w:rPr>
        <w:t> </w:t>
      </w:r>
      <w:r>
        <w:rPr>
          <w:i/>
          <w:sz w:val="20"/>
        </w:rPr>
        <w:t>Multi-year.</w:t>
      </w:r>
      <w:r>
        <w:rPr>
          <w:i/>
          <w:spacing w:val="-10"/>
          <w:sz w:val="20"/>
        </w:rPr>
        <w:t> </w:t>
      </w:r>
      <w:r>
        <w:rPr>
          <w:sz w:val="20"/>
        </w:rPr>
        <w:t>This</w:t>
      </w:r>
      <w:r>
        <w:rPr>
          <w:spacing w:val="-11"/>
          <w:sz w:val="20"/>
        </w:rPr>
        <w:t> </w:t>
      </w:r>
      <w:r>
        <w:rPr>
          <w:sz w:val="20"/>
        </w:rPr>
        <w:t>position</w:t>
      </w:r>
      <w:r>
        <w:rPr>
          <w:spacing w:val="-9"/>
          <w:sz w:val="20"/>
        </w:rPr>
        <w:t> </w:t>
      </w:r>
      <w:r>
        <w:rPr>
          <w:sz w:val="20"/>
        </w:rPr>
        <w:t>is</w:t>
      </w:r>
      <w:r>
        <w:rPr>
          <w:spacing w:val="-13"/>
          <w:sz w:val="20"/>
        </w:rPr>
        <w:t> </w:t>
      </w:r>
      <w:r>
        <w:rPr>
          <w:sz w:val="20"/>
        </w:rPr>
        <w:t>required to complement, on a continuous basis, the existing in-house core team to support three simultaneous hearings and provide related support.</w:t>
      </w:r>
    </w:p>
    <w:p>
      <w:pPr>
        <w:pStyle w:val="ListParagraph"/>
        <w:numPr>
          <w:ilvl w:val="0"/>
          <w:numId w:val="4"/>
        </w:numPr>
        <w:tabs>
          <w:tab w:pos="2967" w:val="left" w:leader="none"/>
        </w:tabs>
        <w:spacing w:line="240" w:lineRule="auto" w:before="122" w:after="0"/>
        <w:ind w:left="2246" w:right="2246" w:firstLine="0"/>
        <w:jc w:val="both"/>
        <w:rPr>
          <w:sz w:val="20"/>
        </w:rPr>
      </w:pPr>
      <w:r>
        <w:rPr>
          <w:sz w:val="20"/>
        </w:rPr>
        <w:t>The GTA resources proposed for IMSS have increased by €82.5 thousand as compared to the 2022 approved programme budget.</w:t>
      </w:r>
    </w:p>
    <w:p>
      <w:pPr>
        <w:pStyle w:val="ListParagraph"/>
        <w:numPr>
          <w:ilvl w:val="0"/>
          <w:numId w:val="4"/>
        </w:numPr>
        <w:tabs>
          <w:tab w:pos="2967" w:val="left" w:leader="none"/>
        </w:tabs>
        <w:spacing w:line="240" w:lineRule="auto" w:before="121" w:after="0"/>
        <w:ind w:left="2246" w:right="2240" w:firstLine="0"/>
        <w:jc w:val="both"/>
        <w:rPr>
          <w:sz w:val="20"/>
        </w:rPr>
      </w:pPr>
      <w:r>
        <w:rPr>
          <w:sz w:val="20"/>
        </w:rPr>
        <w:t>One </w:t>
      </w:r>
      <w:r>
        <w:rPr>
          <w:i/>
          <w:sz w:val="20"/>
        </w:rPr>
        <w:t>Information Management Assistant (Web-based Collaboration) (GS-OL), 12</w:t>
      </w:r>
      <w:r>
        <w:rPr>
          <w:i/>
          <w:sz w:val="20"/>
        </w:rPr>
        <w:t> months.</w:t>
      </w:r>
      <w:r>
        <w:rPr>
          <w:i/>
          <w:spacing w:val="-7"/>
          <w:sz w:val="20"/>
        </w:rPr>
        <w:t> </w:t>
      </w:r>
      <w:r>
        <w:rPr>
          <w:i/>
          <w:sz w:val="20"/>
        </w:rPr>
        <w:t>Continued.</w:t>
      </w:r>
      <w:r>
        <w:rPr>
          <w:i/>
          <w:spacing w:val="-6"/>
          <w:sz w:val="20"/>
        </w:rPr>
        <w:t> </w:t>
      </w:r>
      <w:r>
        <w:rPr>
          <w:i/>
          <w:sz w:val="20"/>
        </w:rPr>
        <w:t>Multi-year</w:t>
      </w:r>
      <w:r>
        <w:rPr>
          <w:sz w:val="20"/>
        </w:rPr>
        <w:t>.</w:t>
      </w:r>
      <w:r>
        <w:rPr>
          <w:spacing w:val="-7"/>
          <w:sz w:val="20"/>
        </w:rPr>
        <w:t> </w:t>
      </w:r>
      <w:r>
        <w:rPr>
          <w:sz w:val="20"/>
        </w:rPr>
        <w:t>This</w:t>
      </w:r>
      <w:r>
        <w:rPr>
          <w:spacing w:val="-6"/>
          <w:sz w:val="20"/>
        </w:rPr>
        <w:t> </w:t>
      </w:r>
      <w:r>
        <w:rPr>
          <w:sz w:val="20"/>
        </w:rPr>
        <w:t>position</w:t>
      </w:r>
      <w:r>
        <w:rPr>
          <w:spacing w:val="-5"/>
          <w:sz w:val="20"/>
        </w:rPr>
        <w:t> </w:t>
      </w:r>
      <w:r>
        <w:rPr>
          <w:sz w:val="20"/>
        </w:rPr>
        <w:t>was</w:t>
      </w:r>
      <w:r>
        <w:rPr>
          <w:spacing w:val="-6"/>
          <w:sz w:val="20"/>
        </w:rPr>
        <w:t> </w:t>
      </w:r>
      <w:r>
        <w:rPr>
          <w:sz w:val="20"/>
        </w:rPr>
        <w:t>transferred</w:t>
      </w:r>
      <w:r>
        <w:rPr>
          <w:spacing w:val="-9"/>
          <w:sz w:val="20"/>
        </w:rPr>
        <w:t> </w:t>
      </w:r>
      <w:r>
        <w:rPr>
          <w:sz w:val="20"/>
        </w:rPr>
        <w:t>in</w:t>
      </w:r>
      <w:r>
        <w:rPr>
          <w:spacing w:val="-5"/>
          <w:sz w:val="20"/>
        </w:rPr>
        <w:t> </w:t>
      </w:r>
      <w:r>
        <w:rPr>
          <w:sz w:val="20"/>
        </w:rPr>
        <w:t>2017</w:t>
      </w:r>
      <w:r>
        <w:rPr>
          <w:spacing w:val="-5"/>
          <w:sz w:val="20"/>
        </w:rPr>
        <w:t> </w:t>
      </w:r>
      <w:r>
        <w:rPr>
          <w:sz w:val="20"/>
        </w:rPr>
        <w:t>from</w:t>
      </w:r>
      <w:r>
        <w:rPr>
          <w:spacing w:val="-3"/>
          <w:sz w:val="20"/>
        </w:rPr>
        <w:t> </w:t>
      </w:r>
      <w:r>
        <w:rPr>
          <w:sz w:val="20"/>
        </w:rPr>
        <w:t>the</w:t>
      </w:r>
      <w:r>
        <w:rPr>
          <w:spacing w:val="-3"/>
          <w:sz w:val="20"/>
        </w:rPr>
        <w:t> </w:t>
      </w:r>
      <w:r>
        <w:rPr>
          <w:sz w:val="20"/>
        </w:rPr>
        <w:t>Secretariat</w:t>
      </w:r>
      <w:r>
        <w:rPr>
          <w:spacing w:val="-8"/>
          <w:sz w:val="20"/>
        </w:rPr>
        <w:t> </w:t>
      </w:r>
      <w:r>
        <w:rPr>
          <w:sz w:val="20"/>
        </w:rPr>
        <w:t>of the</w:t>
      </w:r>
      <w:r>
        <w:rPr>
          <w:spacing w:val="-1"/>
          <w:sz w:val="20"/>
        </w:rPr>
        <w:t> </w:t>
      </w:r>
      <w:r>
        <w:rPr>
          <w:sz w:val="20"/>
        </w:rPr>
        <w:t>Assembly</w:t>
      </w:r>
      <w:r>
        <w:rPr>
          <w:spacing w:val="-3"/>
          <w:sz w:val="20"/>
        </w:rPr>
        <w:t> </w:t>
      </w:r>
      <w:r>
        <w:rPr>
          <w:sz w:val="20"/>
        </w:rPr>
        <w:t>of</w:t>
      </w:r>
      <w:r>
        <w:rPr>
          <w:spacing w:val="-3"/>
          <w:sz w:val="20"/>
        </w:rPr>
        <w:t> </w:t>
      </w:r>
      <w:r>
        <w:rPr>
          <w:sz w:val="20"/>
        </w:rPr>
        <w:t>State</w:t>
      </w:r>
      <w:r>
        <w:rPr>
          <w:spacing w:val="-1"/>
          <w:sz w:val="20"/>
        </w:rPr>
        <w:t> </w:t>
      </w:r>
      <w:r>
        <w:rPr>
          <w:sz w:val="20"/>
        </w:rPr>
        <w:t>Parties to</w:t>
      </w:r>
      <w:r>
        <w:rPr>
          <w:spacing w:val="-3"/>
          <w:sz w:val="20"/>
        </w:rPr>
        <w:t> </w:t>
      </w:r>
      <w:r>
        <w:rPr>
          <w:sz w:val="20"/>
        </w:rPr>
        <w:t>the</w:t>
      </w:r>
      <w:r>
        <w:rPr>
          <w:spacing w:val="-1"/>
          <w:sz w:val="20"/>
        </w:rPr>
        <w:t> </w:t>
      </w:r>
      <w:r>
        <w:rPr>
          <w:sz w:val="20"/>
        </w:rPr>
        <w:t>Registry</w:t>
      </w:r>
      <w:r>
        <w:rPr>
          <w:spacing w:val="-3"/>
          <w:sz w:val="20"/>
        </w:rPr>
        <w:t> </w:t>
      </w:r>
      <w:r>
        <w:rPr>
          <w:sz w:val="20"/>
        </w:rPr>
        <w:t>and</w:t>
      </w:r>
      <w:r>
        <w:rPr>
          <w:spacing w:val="-3"/>
          <w:sz w:val="20"/>
        </w:rPr>
        <w:t> </w:t>
      </w:r>
      <w:r>
        <w:rPr>
          <w:sz w:val="20"/>
        </w:rPr>
        <w:t>has</w:t>
      </w:r>
      <w:r>
        <w:rPr>
          <w:spacing w:val="-4"/>
          <w:sz w:val="20"/>
        </w:rPr>
        <w:t> </w:t>
      </w:r>
      <w:r>
        <w:rPr>
          <w:sz w:val="20"/>
        </w:rPr>
        <w:t>been</w:t>
      </w:r>
      <w:r>
        <w:rPr>
          <w:spacing w:val="-3"/>
          <w:sz w:val="20"/>
        </w:rPr>
        <w:t> </w:t>
      </w:r>
      <w:r>
        <w:rPr>
          <w:sz w:val="20"/>
        </w:rPr>
        <w:t>included</w:t>
      </w:r>
      <w:r>
        <w:rPr>
          <w:spacing w:val="-3"/>
          <w:sz w:val="20"/>
        </w:rPr>
        <w:t> </w:t>
      </w:r>
      <w:r>
        <w:rPr>
          <w:sz w:val="20"/>
        </w:rPr>
        <w:t>as</w:t>
      </w:r>
      <w:r>
        <w:rPr>
          <w:spacing w:val="-4"/>
          <w:sz w:val="20"/>
        </w:rPr>
        <w:t> </w:t>
      </w:r>
      <w:r>
        <w:rPr>
          <w:sz w:val="20"/>
        </w:rPr>
        <w:t>of 2018</w:t>
      </w:r>
      <w:r>
        <w:rPr>
          <w:spacing w:val="-3"/>
          <w:sz w:val="20"/>
        </w:rPr>
        <w:t> </w:t>
      </w:r>
      <w:r>
        <w:rPr>
          <w:sz w:val="20"/>
        </w:rPr>
        <w:t>in</w:t>
      </w:r>
      <w:r>
        <w:rPr>
          <w:spacing w:val="-3"/>
          <w:sz w:val="20"/>
        </w:rPr>
        <w:t> </w:t>
      </w:r>
      <w:r>
        <w:rPr>
          <w:sz w:val="20"/>
        </w:rPr>
        <w:t>the</w:t>
      </w:r>
      <w:r>
        <w:rPr>
          <w:spacing w:val="-1"/>
          <w:sz w:val="20"/>
        </w:rPr>
        <w:t> </w:t>
      </w:r>
      <w:r>
        <w:rPr>
          <w:sz w:val="20"/>
        </w:rPr>
        <w:t>annual budget for IMSS. This position remains essential to ensuring transparency for the Court’s governing</w:t>
      </w:r>
      <w:r>
        <w:rPr>
          <w:spacing w:val="-13"/>
          <w:sz w:val="20"/>
        </w:rPr>
        <w:t> </w:t>
      </w:r>
      <w:r>
        <w:rPr>
          <w:sz w:val="20"/>
        </w:rPr>
        <w:t>bodies</w:t>
      </w:r>
      <w:r>
        <w:rPr>
          <w:spacing w:val="-12"/>
          <w:sz w:val="20"/>
        </w:rPr>
        <w:t> </w:t>
      </w:r>
      <w:r>
        <w:rPr>
          <w:sz w:val="20"/>
        </w:rPr>
        <w:t>and</w:t>
      </w:r>
      <w:r>
        <w:rPr>
          <w:spacing w:val="-13"/>
          <w:sz w:val="20"/>
        </w:rPr>
        <w:t> </w:t>
      </w:r>
      <w:r>
        <w:rPr>
          <w:sz w:val="20"/>
        </w:rPr>
        <w:t>the</w:t>
      </w:r>
      <w:r>
        <w:rPr>
          <w:spacing w:val="-12"/>
          <w:sz w:val="20"/>
        </w:rPr>
        <w:t> </w:t>
      </w:r>
      <w:r>
        <w:rPr>
          <w:sz w:val="20"/>
        </w:rPr>
        <w:t>public.</w:t>
      </w:r>
      <w:r>
        <w:rPr>
          <w:spacing w:val="-13"/>
          <w:sz w:val="20"/>
        </w:rPr>
        <w:t> </w:t>
      </w:r>
      <w:r>
        <w:rPr>
          <w:sz w:val="20"/>
        </w:rPr>
        <w:t>The</w:t>
      </w:r>
      <w:r>
        <w:rPr>
          <w:spacing w:val="-12"/>
          <w:sz w:val="20"/>
        </w:rPr>
        <w:t> </w:t>
      </w:r>
      <w:r>
        <w:rPr>
          <w:sz w:val="20"/>
        </w:rPr>
        <w:t>incumbent</w:t>
      </w:r>
      <w:r>
        <w:rPr>
          <w:spacing w:val="-13"/>
          <w:sz w:val="20"/>
        </w:rPr>
        <w:t> </w:t>
      </w:r>
      <w:r>
        <w:rPr>
          <w:sz w:val="20"/>
        </w:rPr>
        <w:t>is</w:t>
      </w:r>
      <w:r>
        <w:rPr>
          <w:spacing w:val="-12"/>
          <w:sz w:val="20"/>
        </w:rPr>
        <w:t> </w:t>
      </w:r>
      <w:r>
        <w:rPr>
          <w:sz w:val="20"/>
        </w:rPr>
        <w:t>responsible</w:t>
      </w:r>
      <w:r>
        <w:rPr>
          <w:spacing w:val="-13"/>
          <w:sz w:val="20"/>
        </w:rPr>
        <w:t> </w:t>
      </w:r>
      <w:r>
        <w:rPr>
          <w:sz w:val="20"/>
        </w:rPr>
        <w:t>for</w:t>
      </w:r>
      <w:r>
        <w:rPr>
          <w:spacing w:val="-12"/>
          <w:sz w:val="20"/>
        </w:rPr>
        <w:t> </w:t>
      </w:r>
      <w:r>
        <w:rPr>
          <w:sz w:val="20"/>
        </w:rPr>
        <w:t>maintaining</w:t>
      </w:r>
      <w:r>
        <w:rPr>
          <w:spacing w:val="-13"/>
          <w:sz w:val="20"/>
        </w:rPr>
        <w:t> </w:t>
      </w:r>
      <w:r>
        <w:rPr>
          <w:sz w:val="20"/>
        </w:rPr>
        <w:t>the</w:t>
      </w:r>
      <w:r>
        <w:rPr>
          <w:spacing w:val="-12"/>
          <w:sz w:val="20"/>
        </w:rPr>
        <w:t> </w:t>
      </w:r>
      <w:r>
        <w:rPr>
          <w:sz w:val="20"/>
        </w:rPr>
        <w:t>IT</w:t>
      </w:r>
      <w:r>
        <w:rPr>
          <w:spacing w:val="-13"/>
          <w:sz w:val="20"/>
        </w:rPr>
        <w:t> </w:t>
      </w:r>
      <w:r>
        <w:rPr>
          <w:sz w:val="20"/>
        </w:rPr>
        <w:t>systems which</w:t>
      </w:r>
      <w:r>
        <w:rPr>
          <w:spacing w:val="-12"/>
          <w:sz w:val="20"/>
        </w:rPr>
        <w:t> </w:t>
      </w:r>
      <w:r>
        <w:rPr>
          <w:sz w:val="20"/>
        </w:rPr>
        <w:t>provide</w:t>
      </w:r>
      <w:r>
        <w:rPr>
          <w:spacing w:val="-10"/>
          <w:sz w:val="20"/>
        </w:rPr>
        <w:t> </w:t>
      </w:r>
      <w:r>
        <w:rPr>
          <w:sz w:val="20"/>
        </w:rPr>
        <w:t>documentation</w:t>
      </w:r>
      <w:r>
        <w:rPr>
          <w:spacing w:val="-11"/>
          <w:sz w:val="20"/>
        </w:rPr>
        <w:t> </w:t>
      </w:r>
      <w:r>
        <w:rPr>
          <w:sz w:val="20"/>
        </w:rPr>
        <w:t>and</w:t>
      </w:r>
      <w:r>
        <w:rPr>
          <w:spacing w:val="-11"/>
          <w:sz w:val="20"/>
        </w:rPr>
        <w:t> </w:t>
      </w:r>
      <w:r>
        <w:rPr>
          <w:sz w:val="20"/>
        </w:rPr>
        <w:t>information</w:t>
      </w:r>
      <w:r>
        <w:rPr>
          <w:spacing w:val="-11"/>
          <w:sz w:val="20"/>
        </w:rPr>
        <w:t> </w:t>
      </w:r>
      <w:r>
        <w:rPr>
          <w:sz w:val="20"/>
        </w:rPr>
        <w:t>for</w:t>
      </w:r>
      <w:r>
        <w:rPr>
          <w:spacing w:val="-11"/>
          <w:sz w:val="20"/>
        </w:rPr>
        <w:t> </w:t>
      </w:r>
      <w:r>
        <w:rPr>
          <w:sz w:val="20"/>
        </w:rPr>
        <w:t>the</w:t>
      </w:r>
      <w:r>
        <w:rPr>
          <w:spacing w:val="-9"/>
          <w:sz w:val="20"/>
        </w:rPr>
        <w:t> </w:t>
      </w:r>
      <w:r>
        <w:rPr>
          <w:sz w:val="20"/>
        </w:rPr>
        <w:t>Assembly</w:t>
      </w:r>
      <w:r>
        <w:rPr>
          <w:spacing w:val="-11"/>
          <w:sz w:val="20"/>
        </w:rPr>
        <w:t> </w:t>
      </w:r>
      <w:r>
        <w:rPr>
          <w:sz w:val="20"/>
        </w:rPr>
        <w:t>and</w:t>
      </w:r>
      <w:r>
        <w:rPr>
          <w:spacing w:val="-11"/>
          <w:sz w:val="20"/>
        </w:rPr>
        <w:t> </w:t>
      </w:r>
      <w:r>
        <w:rPr>
          <w:sz w:val="20"/>
        </w:rPr>
        <w:t>its</w:t>
      </w:r>
      <w:r>
        <w:rPr>
          <w:spacing w:val="-8"/>
          <w:sz w:val="20"/>
        </w:rPr>
        <w:t> </w:t>
      </w:r>
      <w:r>
        <w:rPr>
          <w:sz w:val="20"/>
        </w:rPr>
        <w:t>subsidiary</w:t>
      </w:r>
      <w:r>
        <w:rPr>
          <w:spacing w:val="-6"/>
          <w:sz w:val="20"/>
        </w:rPr>
        <w:t> </w:t>
      </w:r>
      <w:r>
        <w:rPr>
          <w:sz w:val="20"/>
        </w:rPr>
        <w:t>bodies</w:t>
      </w:r>
      <w:r>
        <w:rPr>
          <w:spacing w:val="-13"/>
          <w:sz w:val="20"/>
        </w:rPr>
        <w:t> </w:t>
      </w:r>
      <w:r>
        <w:rPr>
          <w:sz w:val="20"/>
        </w:rPr>
        <w:t>via the Secretariat’s website.</w:t>
      </w:r>
    </w:p>
    <w:p>
      <w:pPr>
        <w:pStyle w:val="ListParagraph"/>
        <w:numPr>
          <w:ilvl w:val="0"/>
          <w:numId w:val="4"/>
        </w:numPr>
        <w:tabs>
          <w:tab w:pos="2967" w:val="left" w:leader="none"/>
        </w:tabs>
        <w:spacing w:line="240" w:lineRule="auto" w:before="118" w:after="0"/>
        <w:ind w:left="2246" w:right="2240" w:firstLine="0"/>
        <w:jc w:val="both"/>
        <w:rPr>
          <w:sz w:val="20"/>
        </w:rPr>
      </w:pPr>
      <w:r>
        <w:rPr>
          <w:sz w:val="20"/>
        </w:rPr>
        <w:t>One </w:t>
      </w:r>
      <w:r>
        <w:rPr>
          <w:i/>
          <w:sz w:val="20"/>
        </w:rPr>
        <w:t>JWP Software Programming Officer (P-2), 9 months. New. Multi-year. </w:t>
      </w:r>
      <w:r>
        <w:rPr>
          <w:sz w:val="20"/>
        </w:rPr>
        <w:t>The position is requested as part of the limited resources required in the Division in the context of the 2023-2025 IT/IM</w:t>
      </w:r>
      <w:r>
        <w:rPr>
          <w:spacing w:val="-6"/>
          <w:sz w:val="20"/>
        </w:rPr>
        <w:t> </w:t>
      </w:r>
      <w:r>
        <w:rPr>
          <w:sz w:val="20"/>
        </w:rPr>
        <w:t>Strategy.</w:t>
      </w:r>
      <w:r>
        <w:rPr>
          <w:spacing w:val="-2"/>
          <w:sz w:val="20"/>
        </w:rPr>
        <w:t> </w:t>
      </w:r>
      <w:r>
        <w:rPr>
          <w:sz w:val="20"/>
        </w:rPr>
        <w:t>Since</w:t>
      </w:r>
      <w:r>
        <w:rPr>
          <w:spacing w:val="-3"/>
          <w:sz w:val="20"/>
        </w:rPr>
        <w:t> </w:t>
      </w:r>
      <w:r>
        <w:rPr>
          <w:sz w:val="20"/>
        </w:rPr>
        <w:t>2021,</w:t>
      </w:r>
      <w:r>
        <w:rPr>
          <w:spacing w:val="-2"/>
          <w:sz w:val="20"/>
        </w:rPr>
        <w:t> </w:t>
      </w:r>
      <w:r>
        <w:rPr>
          <w:sz w:val="20"/>
        </w:rPr>
        <w:t>the required</w:t>
      </w:r>
      <w:r>
        <w:rPr>
          <w:spacing w:val="-5"/>
          <w:sz w:val="20"/>
        </w:rPr>
        <w:t> </w:t>
      </w:r>
      <w:r>
        <w:rPr>
          <w:sz w:val="20"/>
        </w:rPr>
        <w:t>support</w:t>
      </w:r>
      <w:r>
        <w:rPr>
          <w:spacing w:val="-3"/>
          <w:sz w:val="20"/>
        </w:rPr>
        <w:t> </w:t>
      </w:r>
      <w:r>
        <w:rPr>
          <w:sz w:val="20"/>
        </w:rPr>
        <w:t>has</w:t>
      </w:r>
      <w:r>
        <w:rPr>
          <w:spacing w:val="-6"/>
          <w:sz w:val="20"/>
        </w:rPr>
        <w:t> </w:t>
      </w:r>
      <w:r>
        <w:rPr>
          <w:sz w:val="20"/>
        </w:rPr>
        <w:t>been funded through approved contractual services for the</w:t>
      </w:r>
      <w:r>
        <w:rPr>
          <w:spacing w:val="-2"/>
          <w:sz w:val="20"/>
        </w:rPr>
        <w:t> </w:t>
      </w:r>
      <w:r>
        <w:rPr>
          <w:sz w:val="20"/>
        </w:rPr>
        <w:t>JWP project. As of 2023, in the light of the continued support</w:t>
      </w:r>
      <w:r>
        <w:rPr>
          <w:spacing w:val="-13"/>
          <w:sz w:val="20"/>
        </w:rPr>
        <w:t> </w:t>
      </w:r>
      <w:r>
        <w:rPr>
          <w:sz w:val="20"/>
        </w:rPr>
        <w:t>required,</w:t>
      </w:r>
      <w:r>
        <w:rPr>
          <w:spacing w:val="-12"/>
          <w:sz w:val="20"/>
        </w:rPr>
        <w:t> </w:t>
      </w:r>
      <w:r>
        <w:rPr>
          <w:sz w:val="20"/>
        </w:rPr>
        <w:t>the</w:t>
      </w:r>
      <w:r>
        <w:rPr>
          <w:spacing w:val="-13"/>
          <w:sz w:val="20"/>
        </w:rPr>
        <w:t> </w:t>
      </w:r>
      <w:r>
        <w:rPr>
          <w:sz w:val="20"/>
        </w:rPr>
        <w:t>GTA</w:t>
      </w:r>
      <w:r>
        <w:rPr>
          <w:spacing w:val="-12"/>
          <w:sz w:val="20"/>
        </w:rPr>
        <w:t> </w:t>
      </w:r>
      <w:r>
        <w:rPr>
          <w:sz w:val="20"/>
        </w:rPr>
        <w:t>position</w:t>
      </w:r>
      <w:r>
        <w:rPr>
          <w:spacing w:val="-13"/>
          <w:sz w:val="20"/>
        </w:rPr>
        <w:t> </w:t>
      </w:r>
      <w:r>
        <w:rPr>
          <w:sz w:val="20"/>
        </w:rPr>
        <w:t>will</w:t>
      </w:r>
      <w:r>
        <w:rPr>
          <w:spacing w:val="-12"/>
          <w:sz w:val="20"/>
        </w:rPr>
        <w:t> </w:t>
      </w:r>
      <w:r>
        <w:rPr>
          <w:sz w:val="20"/>
        </w:rPr>
        <w:t>consolidate</w:t>
      </w:r>
      <w:r>
        <w:rPr>
          <w:spacing w:val="-13"/>
          <w:sz w:val="20"/>
        </w:rPr>
        <w:t> </w:t>
      </w:r>
      <w:r>
        <w:rPr>
          <w:sz w:val="20"/>
        </w:rPr>
        <w:t>judicial</w:t>
      </w:r>
      <w:r>
        <w:rPr>
          <w:spacing w:val="-12"/>
          <w:sz w:val="20"/>
        </w:rPr>
        <w:t> </w:t>
      </w:r>
      <w:r>
        <w:rPr>
          <w:sz w:val="20"/>
        </w:rPr>
        <w:t>records</w:t>
      </w:r>
      <w:r>
        <w:rPr>
          <w:spacing w:val="-13"/>
          <w:sz w:val="20"/>
        </w:rPr>
        <w:t> </w:t>
      </w:r>
      <w:r>
        <w:rPr>
          <w:sz w:val="20"/>
        </w:rPr>
        <w:t>into</w:t>
      </w:r>
      <w:r>
        <w:rPr>
          <w:spacing w:val="-12"/>
          <w:sz w:val="20"/>
        </w:rPr>
        <w:t> </w:t>
      </w:r>
      <w:r>
        <w:rPr>
          <w:sz w:val="20"/>
        </w:rPr>
        <w:t>the</w:t>
      </w:r>
      <w:r>
        <w:rPr>
          <w:spacing w:val="-13"/>
          <w:sz w:val="20"/>
        </w:rPr>
        <w:t> </w:t>
      </w:r>
      <w:r>
        <w:rPr>
          <w:sz w:val="20"/>
        </w:rPr>
        <w:t>JWP</w:t>
      </w:r>
      <w:r>
        <w:rPr>
          <w:spacing w:val="-12"/>
          <w:sz w:val="20"/>
        </w:rPr>
        <w:t> </w:t>
      </w:r>
      <w:r>
        <w:rPr>
          <w:sz w:val="20"/>
        </w:rPr>
        <w:t>and</w:t>
      </w:r>
      <w:r>
        <w:rPr>
          <w:spacing w:val="-13"/>
          <w:sz w:val="20"/>
        </w:rPr>
        <w:t> </w:t>
      </w:r>
      <w:r>
        <w:rPr>
          <w:sz w:val="20"/>
        </w:rPr>
        <w:t>manage the technical migration of evidentiary material from legacy systems into the JWP.</w:t>
      </w:r>
    </w:p>
    <w:p>
      <w:pPr>
        <w:spacing w:after="0" w:line="240" w:lineRule="auto"/>
        <w:jc w:val="both"/>
        <w:rPr>
          <w:sz w:val="20"/>
        </w:rPr>
        <w:sectPr>
          <w:pgSz w:w="11910" w:h="16840"/>
          <w:pgMar w:header="957" w:footer="940" w:top="1140" w:bottom="1140" w:left="20" w:right="20"/>
        </w:sectPr>
      </w:pPr>
    </w:p>
    <w:p>
      <w:pPr>
        <w:pStyle w:val="ListParagraph"/>
        <w:numPr>
          <w:ilvl w:val="0"/>
          <w:numId w:val="4"/>
        </w:numPr>
        <w:tabs>
          <w:tab w:pos="2967" w:val="left" w:leader="none"/>
        </w:tabs>
        <w:spacing w:line="240" w:lineRule="auto" w:before="124" w:after="0"/>
        <w:ind w:left="2246" w:right="2242" w:firstLine="0"/>
        <w:jc w:val="both"/>
        <w:rPr>
          <w:sz w:val="20"/>
        </w:rPr>
      </w:pPr>
      <w:r>
        <w:rPr>
          <w:sz w:val="20"/>
        </w:rPr>
        <w:t>The</w:t>
      </w:r>
      <w:r>
        <w:rPr>
          <w:spacing w:val="-7"/>
          <w:sz w:val="20"/>
        </w:rPr>
        <w:t> </w:t>
      </w:r>
      <w:r>
        <w:rPr>
          <w:sz w:val="20"/>
        </w:rPr>
        <w:t>amount</w:t>
      </w:r>
      <w:r>
        <w:rPr>
          <w:spacing w:val="-2"/>
          <w:sz w:val="20"/>
        </w:rPr>
        <w:t> </w:t>
      </w:r>
      <w:r>
        <w:rPr>
          <w:sz w:val="20"/>
        </w:rPr>
        <w:t>requested</w:t>
      </w:r>
      <w:r>
        <w:rPr>
          <w:spacing w:val="-8"/>
          <w:sz w:val="20"/>
        </w:rPr>
        <w:t> </w:t>
      </w:r>
      <w:r>
        <w:rPr>
          <w:sz w:val="20"/>
        </w:rPr>
        <w:t>for</w:t>
      </w:r>
      <w:r>
        <w:rPr>
          <w:spacing w:val="-8"/>
          <w:sz w:val="20"/>
        </w:rPr>
        <w:t> </w:t>
      </w:r>
      <w:r>
        <w:rPr>
          <w:sz w:val="20"/>
        </w:rPr>
        <w:t>GTA</w:t>
      </w:r>
      <w:r>
        <w:rPr>
          <w:spacing w:val="-2"/>
          <w:sz w:val="20"/>
        </w:rPr>
        <w:t> </w:t>
      </w:r>
      <w:r>
        <w:rPr>
          <w:sz w:val="20"/>
        </w:rPr>
        <w:t>resources</w:t>
      </w:r>
      <w:r>
        <w:rPr>
          <w:spacing w:val="-10"/>
          <w:sz w:val="20"/>
        </w:rPr>
        <w:t> </w:t>
      </w:r>
      <w:r>
        <w:rPr>
          <w:sz w:val="20"/>
        </w:rPr>
        <w:t>in</w:t>
      </w:r>
      <w:r>
        <w:rPr>
          <w:spacing w:val="-4"/>
          <w:sz w:val="20"/>
        </w:rPr>
        <w:t> </w:t>
      </w:r>
      <w:r>
        <w:rPr>
          <w:sz w:val="20"/>
        </w:rPr>
        <w:t>DS</w:t>
      </w:r>
      <w:r>
        <w:rPr>
          <w:spacing w:val="-10"/>
          <w:sz w:val="20"/>
        </w:rPr>
        <w:t> </w:t>
      </w:r>
      <w:r>
        <w:rPr>
          <w:sz w:val="20"/>
        </w:rPr>
        <w:t>has</w:t>
      </w:r>
      <w:r>
        <w:rPr>
          <w:spacing w:val="-10"/>
          <w:sz w:val="20"/>
        </w:rPr>
        <w:t> </w:t>
      </w:r>
      <w:r>
        <w:rPr>
          <w:sz w:val="20"/>
        </w:rPr>
        <w:t>increased</w:t>
      </w:r>
      <w:r>
        <w:rPr>
          <w:spacing w:val="-4"/>
          <w:sz w:val="20"/>
        </w:rPr>
        <w:t> </w:t>
      </w:r>
      <w:r>
        <w:rPr>
          <w:sz w:val="20"/>
        </w:rPr>
        <w:t>by</w:t>
      </w:r>
      <w:r>
        <w:rPr>
          <w:spacing w:val="-4"/>
          <w:sz w:val="20"/>
        </w:rPr>
        <w:t> </w:t>
      </w:r>
      <w:r>
        <w:rPr>
          <w:sz w:val="20"/>
        </w:rPr>
        <w:t>€16.5</w:t>
      </w:r>
      <w:r>
        <w:rPr>
          <w:spacing w:val="-8"/>
          <w:sz w:val="20"/>
        </w:rPr>
        <w:t> </w:t>
      </w:r>
      <w:r>
        <w:rPr>
          <w:sz w:val="20"/>
        </w:rPr>
        <w:t>thousand</w:t>
      </w:r>
      <w:r>
        <w:rPr>
          <w:spacing w:val="-8"/>
          <w:sz w:val="20"/>
        </w:rPr>
        <w:t> </w:t>
      </w:r>
      <w:r>
        <w:rPr>
          <w:sz w:val="20"/>
        </w:rPr>
        <w:t>as compared to the 2022 approved programme budget.</w:t>
      </w:r>
    </w:p>
    <w:p>
      <w:pPr>
        <w:pStyle w:val="ListParagraph"/>
        <w:numPr>
          <w:ilvl w:val="0"/>
          <w:numId w:val="4"/>
        </w:numPr>
        <w:tabs>
          <w:tab w:pos="2967" w:val="left" w:leader="none"/>
        </w:tabs>
        <w:spacing w:line="240" w:lineRule="auto" w:before="121" w:after="0"/>
        <w:ind w:left="2246" w:right="2235" w:firstLine="0"/>
        <w:jc w:val="both"/>
        <w:rPr>
          <w:sz w:val="20"/>
        </w:rPr>
      </w:pPr>
      <w:r>
        <w:rPr>
          <w:sz w:val="20"/>
        </w:rPr>
        <w:t>Two </w:t>
      </w:r>
      <w:r>
        <w:rPr>
          <w:i/>
          <w:sz w:val="20"/>
        </w:rPr>
        <w:t>Associate Legal Officers (P-2), 6 months each. Continued. Multi-year. </w:t>
      </w:r>
      <w:r>
        <w:rPr>
          <w:sz w:val="20"/>
        </w:rPr>
        <w:t>The Associate Legal Officers are required to support DS in implementing active monitoring orders for the full year. The positions are required to review the translated summaries or transcripts of non-privileged telephone calls and visits and to submit legal filings to each issuing Chamber on a regular basis. Any suspected breaches of orders for the active monitoring of non-privileged telephone calls and visits must be brought to the Chambers’ attention in a timely manner. All redactions ordered by the Chambers must be made and </w:t>
      </w:r>
      <w:r>
        <w:rPr>
          <w:spacing w:val="-2"/>
          <w:sz w:val="20"/>
        </w:rPr>
        <w:t>maintained.</w:t>
      </w:r>
    </w:p>
    <w:p>
      <w:pPr>
        <w:pStyle w:val="ListParagraph"/>
        <w:numPr>
          <w:ilvl w:val="0"/>
          <w:numId w:val="4"/>
        </w:numPr>
        <w:tabs>
          <w:tab w:pos="2967" w:val="left" w:leader="none"/>
        </w:tabs>
        <w:spacing w:line="240" w:lineRule="auto" w:before="119" w:after="0"/>
        <w:ind w:left="2246" w:right="2241" w:firstLine="0"/>
        <w:jc w:val="both"/>
        <w:rPr>
          <w:sz w:val="20"/>
        </w:rPr>
      </w:pPr>
      <w:r>
        <w:rPr>
          <w:sz w:val="20"/>
        </w:rPr>
        <w:t>One </w:t>
      </w:r>
      <w:r>
        <w:rPr>
          <w:i/>
          <w:sz w:val="20"/>
        </w:rPr>
        <w:t>Administrative Assistant (G-5), 12 months. Continued. Multi-year</w:t>
      </w:r>
      <w:r>
        <w:rPr>
          <w:sz w:val="20"/>
        </w:rPr>
        <w:t>. The Administrative Assistant is required to support DS in coordinating and implementing interpretation resources and technical solutions, while maintaining accurate and up-to-date physical records in various databases in compliance with the four judicial orders for active monitoring of the non-privileged telephone calls and visits of four detained persons.</w:t>
      </w:r>
    </w:p>
    <w:p>
      <w:pPr>
        <w:pStyle w:val="ListParagraph"/>
        <w:numPr>
          <w:ilvl w:val="0"/>
          <w:numId w:val="4"/>
        </w:numPr>
        <w:tabs>
          <w:tab w:pos="2967" w:val="left" w:leader="none"/>
        </w:tabs>
        <w:spacing w:line="240" w:lineRule="auto" w:before="123" w:after="0"/>
        <w:ind w:left="2246" w:right="2239" w:firstLine="0"/>
        <w:jc w:val="both"/>
        <w:rPr>
          <w:sz w:val="20"/>
        </w:rPr>
      </w:pPr>
      <w:r>
        <w:rPr>
          <w:sz w:val="20"/>
        </w:rPr>
        <w:t>For LSS,</w:t>
      </w:r>
      <w:r>
        <w:rPr>
          <w:spacing w:val="-2"/>
          <w:sz w:val="20"/>
        </w:rPr>
        <w:t> </w:t>
      </w:r>
      <w:r>
        <w:rPr>
          <w:sz w:val="20"/>
        </w:rPr>
        <w:t>the</w:t>
      </w:r>
      <w:r>
        <w:rPr>
          <w:spacing w:val="-3"/>
          <w:sz w:val="20"/>
        </w:rPr>
        <w:t> </w:t>
      </w:r>
      <w:r>
        <w:rPr>
          <w:sz w:val="20"/>
        </w:rPr>
        <w:t>requested</w:t>
      </w:r>
      <w:r>
        <w:rPr>
          <w:spacing w:val="-5"/>
          <w:sz w:val="20"/>
        </w:rPr>
        <w:t> </w:t>
      </w:r>
      <w:r>
        <w:rPr>
          <w:sz w:val="20"/>
        </w:rPr>
        <w:t>amount has</w:t>
      </w:r>
      <w:r>
        <w:rPr>
          <w:spacing w:val="-6"/>
          <w:sz w:val="20"/>
        </w:rPr>
        <w:t> </w:t>
      </w:r>
      <w:r>
        <w:rPr>
          <w:sz w:val="20"/>
        </w:rPr>
        <w:t>increased</w:t>
      </w:r>
      <w:r>
        <w:rPr>
          <w:spacing w:val="-5"/>
          <w:sz w:val="20"/>
        </w:rPr>
        <w:t> </w:t>
      </w:r>
      <w:r>
        <w:rPr>
          <w:sz w:val="20"/>
        </w:rPr>
        <w:t>by</w:t>
      </w:r>
      <w:r>
        <w:rPr>
          <w:spacing w:val="-5"/>
          <w:sz w:val="20"/>
        </w:rPr>
        <w:t> </w:t>
      </w:r>
      <w:r>
        <w:rPr>
          <w:sz w:val="20"/>
        </w:rPr>
        <w:t>€1,404.4</w:t>
      </w:r>
      <w:r>
        <w:rPr>
          <w:spacing w:val="-5"/>
          <w:sz w:val="20"/>
        </w:rPr>
        <w:t> </w:t>
      </w:r>
      <w:r>
        <w:rPr>
          <w:sz w:val="20"/>
        </w:rPr>
        <w:t>thousand (74.8 per</w:t>
      </w:r>
      <w:r>
        <w:rPr>
          <w:spacing w:val="-5"/>
          <w:sz w:val="20"/>
        </w:rPr>
        <w:t> </w:t>
      </w:r>
      <w:r>
        <w:rPr>
          <w:sz w:val="20"/>
        </w:rPr>
        <w:t>cent). The Division’s strategic choice is to recruit temporary courtroom interpreters for situation- related languages on GTA contracts rather than through TAM, as the recruitment of GTA positions</w:t>
      </w:r>
      <w:r>
        <w:rPr>
          <w:spacing w:val="-4"/>
          <w:sz w:val="20"/>
        </w:rPr>
        <w:t> </w:t>
      </w:r>
      <w:r>
        <w:rPr>
          <w:sz w:val="20"/>
        </w:rPr>
        <w:t>is</w:t>
      </w:r>
      <w:r>
        <w:rPr>
          <w:spacing w:val="-9"/>
          <w:sz w:val="20"/>
        </w:rPr>
        <w:t> </w:t>
      </w:r>
      <w:r>
        <w:rPr>
          <w:sz w:val="20"/>
        </w:rPr>
        <w:t>more</w:t>
      </w:r>
      <w:r>
        <w:rPr>
          <w:spacing w:val="-6"/>
          <w:sz w:val="20"/>
        </w:rPr>
        <w:t> </w:t>
      </w:r>
      <w:r>
        <w:rPr>
          <w:sz w:val="20"/>
        </w:rPr>
        <w:t>cost-efficient</w:t>
      </w:r>
      <w:r>
        <w:rPr>
          <w:spacing w:val="-1"/>
          <w:sz w:val="20"/>
        </w:rPr>
        <w:t> </w:t>
      </w:r>
      <w:r>
        <w:rPr>
          <w:sz w:val="20"/>
        </w:rPr>
        <w:t>than</w:t>
      </w:r>
      <w:r>
        <w:rPr>
          <w:spacing w:val="-7"/>
          <w:sz w:val="20"/>
        </w:rPr>
        <w:t> </w:t>
      </w:r>
      <w:r>
        <w:rPr>
          <w:sz w:val="20"/>
        </w:rPr>
        <w:t>TAM</w:t>
      </w:r>
      <w:r>
        <w:rPr>
          <w:spacing w:val="-4"/>
          <w:sz w:val="20"/>
        </w:rPr>
        <w:t> </w:t>
      </w:r>
      <w:r>
        <w:rPr>
          <w:sz w:val="20"/>
        </w:rPr>
        <w:t>and</w:t>
      </w:r>
      <w:r>
        <w:rPr>
          <w:spacing w:val="-3"/>
          <w:sz w:val="20"/>
        </w:rPr>
        <w:t> </w:t>
      </w:r>
      <w:r>
        <w:rPr>
          <w:sz w:val="20"/>
        </w:rPr>
        <w:t>ensures</w:t>
      </w:r>
      <w:r>
        <w:rPr>
          <w:spacing w:val="-4"/>
          <w:sz w:val="20"/>
        </w:rPr>
        <w:t> </w:t>
      </w:r>
      <w:r>
        <w:rPr>
          <w:sz w:val="20"/>
        </w:rPr>
        <w:t>better</w:t>
      </w:r>
      <w:r>
        <w:rPr>
          <w:spacing w:val="-7"/>
          <w:sz w:val="20"/>
        </w:rPr>
        <w:t> </w:t>
      </w:r>
      <w:r>
        <w:rPr>
          <w:sz w:val="20"/>
        </w:rPr>
        <w:t>staff</w:t>
      </w:r>
      <w:r>
        <w:rPr>
          <w:spacing w:val="-7"/>
          <w:sz w:val="20"/>
        </w:rPr>
        <w:t> </w:t>
      </w:r>
      <w:r>
        <w:rPr>
          <w:sz w:val="20"/>
        </w:rPr>
        <w:t>availability</w:t>
      </w:r>
      <w:r>
        <w:rPr>
          <w:spacing w:val="-3"/>
          <w:sz w:val="20"/>
        </w:rPr>
        <w:t> </w:t>
      </w:r>
      <w:r>
        <w:rPr>
          <w:sz w:val="20"/>
        </w:rPr>
        <w:t>for</w:t>
      </w:r>
      <w:r>
        <w:rPr>
          <w:spacing w:val="-7"/>
          <w:sz w:val="20"/>
        </w:rPr>
        <w:t> </w:t>
      </w:r>
      <w:r>
        <w:rPr>
          <w:sz w:val="20"/>
        </w:rPr>
        <w:t>other</w:t>
      </w:r>
      <w:r>
        <w:rPr>
          <w:spacing w:val="-3"/>
          <w:sz w:val="20"/>
        </w:rPr>
        <w:t> </w:t>
      </w:r>
      <w:r>
        <w:rPr>
          <w:sz w:val="20"/>
        </w:rPr>
        <w:t>tasks such as translation.</w:t>
      </w:r>
    </w:p>
    <w:p>
      <w:pPr>
        <w:pStyle w:val="ListParagraph"/>
        <w:numPr>
          <w:ilvl w:val="0"/>
          <w:numId w:val="4"/>
        </w:numPr>
        <w:tabs>
          <w:tab w:pos="2967" w:val="left" w:leader="none"/>
        </w:tabs>
        <w:spacing w:line="240" w:lineRule="auto" w:before="123" w:after="0"/>
        <w:ind w:left="2246" w:right="2235" w:firstLine="0"/>
        <w:jc w:val="both"/>
        <w:rPr>
          <w:sz w:val="20"/>
        </w:rPr>
      </w:pPr>
      <w:r>
        <w:rPr>
          <w:sz w:val="20"/>
        </w:rPr>
        <w:t>As</w:t>
      </w:r>
      <w:r>
        <w:rPr>
          <w:spacing w:val="-13"/>
          <w:sz w:val="20"/>
        </w:rPr>
        <w:t> </w:t>
      </w:r>
      <w:r>
        <w:rPr>
          <w:sz w:val="20"/>
        </w:rPr>
        <w:t>detailed</w:t>
      </w:r>
      <w:r>
        <w:rPr>
          <w:spacing w:val="-12"/>
          <w:sz w:val="20"/>
        </w:rPr>
        <w:t> </w:t>
      </w:r>
      <w:r>
        <w:rPr>
          <w:sz w:val="20"/>
        </w:rPr>
        <w:t>below,</w:t>
      </w:r>
      <w:r>
        <w:rPr>
          <w:spacing w:val="-13"/>
          <w:sz w:val="20"/>
        </w:rPr>
        <w:t> </w:t>
      </w:r>
      <w:r>
        <w:rPr>
          <w:sz w:val="20"/>
        </w:rPr>
        <w:t>in</w:t>
      </w:r>
      <w:r>
        <w:rPr>
          <w:spacing w:val="-12"/>
          <w:sz w:val="20"/>
        </w:rPr>
        <w:t> </w:t>
      </w:r>
      <w:r>
        <w:rPr>
          <w:sz w:val="20"/>
        </w:rPr>
        <w:t>the</w:t>
      </w:r>
      <w:r>
        <w:rPr>
          <w:spacing w:val="-13"/>
          <w:sz w:val="20"/>
        </w:rPr>
        <w:t> </w:t>
      </w:r>
      <w:r>
        <w:rPr>
          <w:sz w:val="20"/>
        </w:rPr>
        <w:t>two</w:t>
      </w:r>
      <w:r>
        <w:rPr>
          <w:spacing w:val="-12"/>
          <w:sz w:val="20"/>
        </w:rPr>
        <w:t> </w:t>
      </w:r>
      <w:r>
        <w:rPr>
          <w:sz w:val="20"/>
        </w:rPr>
        <w:t>CAR</w:t>
      </w:r>
      <w:r>
        <w:rPr>
          <w:spacing w:val="-13"/>
          <w:sz w:val="20"/>
        </w:rPr>
        <w:t> </w:t>
      </w:r>
      <w:r>
        <w:rPr>
          <w:sz w:val="20"/>
        </w:rPr>
        <w:t>cases,</w:t>
      </w:r>
      <w:r>
        <w:rPr>
          <w:spacing w:val="-12"/>
          <w:sz w:val="20"/>
        </w:rPr>
        <w:t> </w:t>
      </w:r>
      <w:r>
        <w:rPr>
          <w:sz w:val="20"/>
        </w:rPr>
        <w:t>namely,</w:t>
      </w:r>
      <w:r>
        <w:rPr>
          <w:spacing w:val="-13"/>
          <w:sz w:val="20"/>
        </w:rPr>
        <w:t> </w:t>
      </w:r>
      <w:r>
        <w:rPr>
          <w:i/>
          <w:sz w:val="20"/>
        </w:rPr>
        <w:t>Said</w:t>
      </w:r>
      <w:r>
        <w:rPr>
          <w:i/>
          <w:spacing w:val="-12"/>
          <w:sz w:val="20"/>
        </w:rPr>
        <w:t> </w:t>
      </w:r>
      <w:r>
        <w:rPr>
          <w:sz w:val="20"/>
        </w:rPr>
        <w:t>and</w:t>
      </w:r>
      <w:r>
        <w:rPr>
          <w:spacing w:val="-13"/>
          <w:sz w:val="20"/>
        </w:rPr>
        <w:t> </w:t>
      </w:r>
      <w:r>
        <w:rPr>
          <w:i/>
          <w:sz w:val="20"/>
        </w:rPr>
        <w:t>Yekatom</w:t>
      </w:r>
      <w:r>
        <w:rPr>
          <w:i/>
          <w:spacing w:val="-12"/>
          <w:sz w:val="20"/>
        </w:rPr>
        <w:t> </w:t>
      </w:r>
      <w:r>
        <w:rPr>
          <w:i/>
          <w:sz w:val="20"/>
        </w:rPr>
        <w:t>and</w:t>
      </w:r>
      <w:r>
        <w:rPr>
          <w:i/>
          <w:spacing w:val="-13"/>
          <w:sz w:val="20"/>
        </w:rPr>
        <w:t> </w:t>
      </w:r>
      <w:r>
        <w:rPr>
          <w:i/>
          <w:sz w:val="20"/>
        </w:rPr>
        <w:t>Ngaïssona</w:t>
      </w:r>
      <w:r>
        <w:rPr>
          <w:sz w:val="20"/>
        </w:rPr>
        <w:t>, resources in Sango are required to provide interpretation to the accused and the Sango- speaking</w:t>
      </w:r>
      <w:r>
        <w:rPr>
          <w:spacing w:val="-5"/>
          <w:sz w:val="20"/>
        </w:rPr>
        <w:t> </w:t>
      </w:r>
      <w:r>
        <w:rPr>
          <w:sz w:val="20"/>
        </w:rPr>
        <w:t>witnesses.</w:t>
      </w:r>
      <w:r>
        <w:rPr>
          <w:spacing w:val="-7"/>
          <w:sz w:val="20"/>
        </w:rPr>
        <w:t> </w:t>
      </w:r>
      <w:r>
        <w:rPr>
          <w:sz w:val="20"/>
        </w:rPr>
        <w:t>As</w:t>
      </w:r>
      <w:r>
        <w:rPr>
          <w:spacing w:val="-6"/>
          <w:sz w:val="20"/>
        </w:rPr>
        <w:t> </w:t>
      </w:r>
      <w:r>
        <w:rPr>
          <w:sz w:val="20"/>
        </w:rPr>
        <w:t>the</w:t>
      </w:r>
      <w:r>
        <w:rPr>
          <w:spacing w:val="-8"/>
          <w:sz w:val="20"/>
        </w:rPr>
        <w:t> </w:t>
      </w:r>
      <w:r>
        <w:rPr>
          <w:sz w:val="20"/>
        </w:rPr>
        <w:t>two</w:t>
      </w:r>
      <w:r>
        <w:rPr>
          <w:spacing w:val="-9"/>
          <w:sz w:val="20"/>
        </w:rPr>
        <w:t> </w:t>
      </w:r>
      <w:r>
        <w:rPr>
          <w:sz w:val="20"/>
        </w:rPr>
        <w:t>cases</w:t>
      </w:r>
      <w:r>
        <w:rPr>
          <w:spacing w:val="-6"/>
          <w:sz w:val="20"/>
        </w:rPr>
        <w:t> </w:t>
      </w:r>
      <w:r>
        <w:rPr>
          <w:sz w:val="20"/>
        </w:rPr>
        <w:t>are</w:t>
      </w:r>
      <w:r>
        <w:rPr>
          <w:spacing w:val="-8"/>
          <w:sz w:val="20"/>
        </w:rPr>
        <w:t> </w:t>
      </w:r>
      <w:r>
        <w:rPr>
          <w:sz w:val="20"/>
        </w:rPr>
        <w:t>expected</w:t>
      </w:r>
      <w:r>
        <w:rPr>
          <w:spacing w:val="-5"/>
          <w:sz w:val="20"/>
        </w:rPr>
        <w:t> </w:t>
      </w:r>
      <w:r>
        <w:rPr>
          <w:sz w:val="20"/>
        </w:rPr>
        <w:t>to</w:t>
      </w:r>
      <w:r>
        <w:rPr>
          <w:spacing w:val="-5"/>
          <w:sz w:val="20"/>
        </w:rPr>
        <w:t> </w:t>
      </w:r>
      <w:r>
        <w:rPr>
          <w:sz w:val="20"/>
        </w:rPr>
        <w:t>run</w:t>
      </w:r>
      <w:r>
        <w:rPr>
          <w:spacing w:val="-5"/>
          <w:sz w:val="20"/>
        </w:rPr>
        <w:t> </w:t>
      </w:r>
      <w:r>
        <w:rPr>
          <w:sz w:val="20"/>
        </w:rPr>
        <w:t>simultaneously,</w:t>
      </w:r>
      <w:r>
        <w:rPr>
          <w:spacing w:val="-2"/>
          <w:sz w:val="20"/>
        </w:rPr>
        <w:t> </w:t>
      </w:r>
      <w:r>
        <w:rPr>
          <w:sz w:val="20"/>
        </w:rPr>
        <w:t>additional</w:t>
      </w:r>
      <w:r>
        <w:rPr>
          <w:spacing w:val="-8"/>
          <w:sz w:val="20"/>
        </w:rPr>
        <w:t> </w:t>
      </w:r>
      <w:r>
        <w:rPr>
          <w:sz w:val="20"/>
        </w:rPr>
        <w:t>capacity is requested in 2023 when trial proceedings open in the </w:t>
      </w:r>
      <w:r>
        <w:rPr>
          <w:i/>
          <w:sz w:val="20"/>
        </w:rPr>
        <w:t>Said </w:t>
      </w:r>
      <w:r>
        <w:rPr>
          <w:sz w:val="20"/>
        </w:rPr>
        <w:t>case. Arabic resources are required to provide interpretation to the accused in the </w:t>
      </w:r>
      <w:r>
        <w:rPr>
          <w:i/>
          <w:sz w:val="20"/>
        </w:rPr>
        <w:t>Abd-Al-Rahman </w:t>
      </w:r>
      <w:r>
        <w:rPr>
          <w:sz w:val="20"/>
        </w:rPr>
        <w:t>case, as well as for residual requirements in the context of the </w:t>
      </w:r>
      <w:r>
        <w:rPr>
          <w:i/>
          <w:sz w:val="20"/>
        </w:rPr>
        <w:t>Al Hassan </w:t>
      </w:r>
      <w:r>
        <w:rPr>
          <w:sz w:val="20"/>
        </w:rPr>
        <w:t>case. In addition, Fur resources are required to provide interpretation for witnesses in the </w:t>
      </w:r>
      <w:r>
        <w:rPr>
          <w:i/>
          <w:sz w:val="20"/>
        </w:rPr>
        <w:t>Abd-Al-Rahman </w:t>
      </w:r>
      <w:r>
        <w:rPr>
          <w:sz w:val="20"/>
        </w:rPr>
        <w:t>case, while reduced capacity is required for the same purpose in Tamasheq in the </w:t>
      </w:r>
      <w:r>
        <w:rPr>
          <w:i/>
          <w:sz w:val="20"/>
        </w:rPr>
        <w:t>Al Hassan </w:t>
      </w:r>
      <w:r>
        <w:rPr>
          <w:sz w:val="20"/>
        </w:rPr>
        <w:t>case. Additional capacity is also required for Ukrainian and Russian for essential document translation and operational interpretation to meet Registry service requests in the context of the Ukraine situation.</w:t>
      </w:r>
      <w:r>
        <w:rPr>
          <w:spacing w:val="-1"/>
          <w:sz w:val="20"/>
        </w:rPr>
        <w:t> </w:t>
      </w:r>
      <w:r>
        <w:rPr>
          <w:sz w:val="20"/>
        </w:rPr>
        <w:t>Three GTA Arabic</w:t>
      </w:r>
      <w:r>
        <w:rPr>
          <w:spacing w:val="-2"/>
          <w:sz w:val="20"/>
        </w:rPr>
        <w:t> </w:t>
      </w:r>
      <w:r>
        <w:rPr>
          <w:sz w:val="20"/>
        </w:rPr>
        <w:t>Court</w:t>
      </w:r>
      <w:r>
        <w:rPr>
          <w:spacing w:val="-2"/>
          <w:sz w:val="20"/>
        </w:rPr>
        <w:t> </w:t>
      </w:r>
      <w:r>
        <w:rPr>
          <w:sz w:val="20"/>
        </w:rPr>
        <w:t>Interpreters</w:t>
      </w:r>
      <w:r>
        <w:rPr>
          <w:spacing w:val="-5"/>
          <w:sz w:val="20"/>
        </w:rPr>
        <w:t> </w:t>
      </w:r>
      <w:r>
        <w:rPr>
          <w:sz w:val="20"/>
        </w:rPr>
        <w:t>(P-3)</w:t>
      </w:r>
      <w:r>
        <w:rPr>
          <w:spacing w:val="-4"/>
          <w:sz w:val="20"/>
        </w:rPr>
        <w:t> </w:t>
      </w:r>
      <w:r>
        <w:rPr>
          <w:sz w:val="20"/>
        </w:rPr>
        <w:t>approved</w:t>
      </w:r>
      <w:r>
        <w:rPr>
          <w:spacing w:val="-4"/>
          <w:sz w:val="20"/>
        </w:rPr>
        <w:t> </w:t>
      </w:r>
      <w:r>
        <w:rPr>
          <w:sz w:val="20"/>
        </w:rPr>
        <w:t>in</w:t>
      </w:r>
      <w:r>
        <w:rPr>
          <w:spacing w:val="-4"/>
          <w:sz w:val="20"/>
        </w:rPr>
        <w:t> </w:t>
      </w:r>
      <w:r>
        <w:rPr>
          <w:sz w:val="20"/>
        </w:rPr>
        <w:t>2022</w:t>
      </w:r>
      <w:r>
        <w:rPr>
          <w:spacing w:val="-4"/>
          <w:sz w:val="20"/>
        </w:rPr>
        <w:t> </w:t>
      </w:r>
      <w:r>
        <w:rPr>
          <w:sz w:val="20"/>
        </w:rPr>
        <w:t>will</w:t>
      </w:r>
      <w:r>
        <w:rPr>
          <w:spacing w:val="-2"/>
          <w:sz w:val="20"/>
        </w:rPr>
        <w:t> </w:t>
      </w:r>
      <w:r>
        <w:rPr>
          <w:sz w:val="20"/>
        </w:rPr>
        <w:t>be</w:t>
      </w:r>
      <w:r>
        <w:rPr>
          <w:spacing w:val="-2"/>
          <w:sz w:val="20"/>
        </w:rPr>
        <w:t> </w:t>
      </w:r>
      <w:r>
        <w:rPr>
          <w:sz w:val="20"/>
        </w:rPr>
        <w:t>discontinued in</w:t>
      </w:r>
      <w:r>
        <w:rPr>
          <w:spacing w:val="40"/>
          <w:sz w:val="20"/>
        </w:rPr>
        <w:t> </w:t>
      </w:r>
      <w:r>
        <w:rPr>
          <w:sz w:val="20"/>
        </w:rPr>
        <w:t>2023</w:t>
      </w:r>
      <w:r>
        <w:rPr>
          <w:spacing w:val="40"/>
          <w:sz w:val="20"/>
        </w:rPr>
        <w:t> </w:t>
      </w:r>
      <w:r>
        <w:rPr>
          <w:sz w:val="20"/>
        </w:rPr>
        <w:t>as</w:t>
      </w:r>
      <w:r>
        <w:rPr>
          <w:spacing w:val="40"/>
          <w:sz w:val="20"/>
        </w:rPr>
        <w:t> </w:t>
      </w:r>
      <w:r>
        <w:rPr>
          <w:sz w:val="20"/>
        </w:rPr>
        <w:t>a</w:t>
      </w:r>
      <w:r>
        <w:rPr>
          <w:spacing w:val="40"/>
          <w:sz w:val="20"/>
        </w:rPr>
        <w:t> </w:t>
      </w:r>
      <w:r>
        <w:rPr>
          <w:sz w:val="20"/>
        </w:rPr>
        <w:t>result</w:t>
      </w:r>
      <w:r>
        <w:rPr>
          <w:spacing w:val="40"/>
          <w:sz w:val="20"/>
        </w:rPr>
        <w:t> </w:t>
      </w:r>
      <w:r>
        <w:rPr>
          <w:sz w:val="20"/>
        </w:rPr>
        <w:t>of</w:t>
      </w:r>
      <w:r>
        <w:rPr>
          <w:spacing w:val="40"/>
          <w:sz w:val="20"/>
        </w:rPr>
        <w:t> </w:t>
      </w:r>
      <w:r>
        <w:rPr>
          <w:sz w:val="20"/>
        </w:rPr>
        <w:t>a</w:t>
      </w:r>
      <w:r>
        <w:rPr>
          <w:spacing w:val="40"/>
          <w:sz w:val="20"/>
        </w:rPr>
        <w:t> </w:t>
      </w:r>
      <w:r>
        <w:rPr>
          <w:sz w:val="20"/>
        </w:rPr>
        <w:t>reassessment</w:t>
      </w:r>
      <w:r>
        <w:rPr>
          <w:spacing w:val="40"/>
          <w:sz w:val="20"/>
        </w:rPr>
        <w:t> </w:t>
      </w:r>
      <w:r>
        <w:rPr>
          <w:sz w:val="20"/>
        </w:rPr>
        <w:t>of</w:t>
      </w:r>
      <w:r>
        <w:rPr>
          <w:spacing w:val="40"/>
          <w:sz w:val="20"/>
        </w:rPr>
        <w:t> </w:t>
      </w:r>
      <w:r>
        <w:rPr>
          <w:sz w:val="20"/>
        </w:rPr>
        <w:t>needs</w:t>
      </w:r>
      <w:r>
        <w:rPr>
          <w:spacing w:val="40"/>
          <w:sz w:val="20"/>
        </w:rPr>
        <w:t> </w:t>
      </w:r>
      <w:r>
        <w:rPr>
          <w:sz w:val="20"/>
        </w:rPr>
        <w:t>based</w:t>
      </w:r>
      <w:r>
        <w:rPr>
          <w:spacing w:val="40"/>
          <w:sz w:val="20"/>
        </w:rPr>
        <w:t> </w:t>
      </w:r>
      <w:r>
        <w:rPr>
          <w:sz w:val="20"/>
        </w:rPr>
        <w:t>on</w:t>
      </w:r>
      <w:r>
        <w:rPr>
          <w:spacing w:val="40"/>
          <w:sz w:val="20"/>
        </w:rPr>
        <w:t> </w:t>
      </w:r>
      <w:r>
        <w:rPr>
          <w:sz w:val="20"/>
        </w:rPr>
        <w:t>the</w:t>
      </w:r>
      <w:r>
        <w:rPr>
          <w:spacing w:val="40"/>
          <w:sz w:val="20"/>
        </w:rPr>
        <w:t> </w:t>
      </w:r>
      <w:r>
        <w:rPr>
          <w:sz w:val="20"/>
        </w:rPr>
        <w:t>current</w:t>
      </w:r>
      <w:r>
        <w:rPr>
          <w:spacing w:val="40"/>
          <w:sz w:val="20"/>
        </w:rPr>
        <w:t> </w:t>
      </w:r>
      <w:r>
        <w:rPr>
          <w:sz w:val="20"/>
        </w:rPr>
        <w:t>context</w:t>
      </w:r>
      <w:r>
        <w:rPr>
          <w:spacing w:val="40"/>
          <w:sz w:val="20"/>
        </w:rPr>
        <w:t> </w:t>
      </w:r>
      <w:r>
        <w:rPr>
          <w:sz w:val="20"/>
        </w:rPr>
        <w:t>of</w:t>
      </w:r>
      <w:r>
        <w:rPr>
          <w:spacing w:val="40"/>
          <w:sz w:val="20"/>
        </w:rPr>
        <w:t> </w:t>
      </w:r>
      <w:r>
        <w:rPr>
          <w:sz w:val="20"/>
        </w:rPr>
        <w:t>the </w:t>
      </w:r>
      <w:r>
        <w:rPr>
          <w:i/>
          <w:sz w:val="20"/>
        </w:rPr>
        <w:t>Abd-Al-Rahman </w:t>
      </w:r>
      <w:r>
        <w:rPr>
          <w:sz w:val="20"/>
        </w:rPr>
        <w:t>and the </w:t>
      </w:r>
      <w:r>
        <w:rPr>
          <w:i/>
          <w:sz w:val="20"/>
        </w:rPr>
        <w:t>Al Hassan </w:t>
      </w:r>
      <w:r>
        <w:rPr>
          <w:sz w:val="20"/>
        </w:rPr>
        <w:t>cases.</w:t>
      </w:r>
    </w:p>
    <w:p>
      <w:pPr>
        <w:pStyle w:val="BodyText"/>
        <w:spacing w:before="11"/>
      </w:pPr>
    </w:p>
    <w:p>
      <w:pPr>
        <w:spacing w:before="0"/>
        <w:ind w:left="2246" w:right="0" w:firstLine="0"/>
        <w:jc w:val="both"/>
        <w:rPr>
          <w:i/>
          <w:sz w:val="20"/>
        </w:rPr>
      </w:pPr>
      <w:r>
        <w:rPr>
          <w:i/>
          <w:sz w:val="20"/>
        </w:rPr>
        <w:t>Interpretation</w:t>
      </w:r>
      <w:r>
        <w:rPr>
          <w:i/>
          <w:spacing w:val="-9"/>
          <w:sz w:val="20"/>
        </w:rPr>
        <w:t> </w:t>
      </w:r>
      <w:r>
        <w:rPr>
          <w:i/>
          <w:sz w:val="20"/>
        </w:rPr>
        <w:t>of</w:t>
      </w:r>
      <w:r>
        <w:rPr>
          <w:i/>
          <w:spacing w:val="-7"/>
          <w:sz w:val="20"/>
        </w:rPr>
        <w:t> </w:t>
      </w:r>
      <w:r>
        <w:rPr>
          <w:i/>
          <w:sz w:val="20"/>
        </w:rPr>
        <w:t>judicial</w:t>
      </w:r>
      <w:r>
        <w:rPr>
          <w:i/>
          <w:spacing w:val="-7"/>
          <w:sz w:val="20"/>
        </w:rPr>
        <w:t> </w:t>
      </w:r>
      <w:r>
        <w:rPr>
          <w:i/>
          <w:spacing w:val="-2"/>
          <w:sz w:val="20"/>
        </w:rPr>
        <w:t>proceedings</w:t>
      </w:r>
    </w:p>
    <w:p>
      <w:pPr>
        <w:pStyle w:val="BodyText"/>
        <w:spacing w:before="5"/>
        <w:rPr>
          <w:i/>
        </w:rPr>
      </w:pPr>
    </w:p>
    <w:p>
      <w:pPr>
        <w:pStyle w:val="ListParagraph"/>
        <w:numPr>
          <w:ilvl w:val="0"/>
          <w:numId w:val="4"/>
        </w:numPr>
        <w:tabs>
          <w:tab w:pos="2967" w:val="left" w:leader="none"/>
        </w:tabs>
        <w:spacing w:line="240" w:lineRule="auto" w:before="1" w:after="0"/>
        <w:ind w:left="2246" w:right="2237" w:firstLine="0"/>
        <w:jc w:val="both"/>
        <w:rPr>
          <w:sz w:val="20"/>
        </w:rPr>
      </w:pPr>
      <w:r>
        <w:rPr>
          <w:sz w:val="20"/>
        </w:rPr>
        <w:t>Four </w:t>
      </w:r>
      <w:r>
        <w:rPr>
          <w:i/>
          <w:sz w:val="20"/>
        </w:rPr>
        <w:t>Associate Court Interpreters (Sango) (P-2), 4.0 FTE, 12 months Continued</w:t>
      </w:r>
      <w:r>
        <w:rPr>
          <w:sz w:val="20"/>
        </w:rPr>
        <w:t>. Yekatom</w:t>
      </w:r>
      <w:r>
        <w:rPr>
          <w:spacing w:val="-3"/>
          <w:sz w:val="20"/>
        </w:rPr>
        <w:t> </w:t>
      </w:r>
      <w:r>
        <w:rPr>
          <w:sz w:val="20"/>
        </w:rPr>
        <w:t>and</w:t>
      </w:r>
      <w:r>
        <w:rPr>
          <w:spacing w:val="-5"/>
          <w:sz w:val="20"/>
        </w:rPr>
        <w:t> </w:t>
      </w:r>
      <w:r>
        <w:rPr>
          <w:sz w:val="20"/>
        </w:rPr>
        <w:t>Ngaïssona</w:t>
      </w:r>
      <w:r>
        <w:rPr>
          <w:spacing w:val="-3"/>
          <w:sz w:val="20"/>
        </w:rPr>
        <w:t> </w:t>
      </w:r>
      <w:r>
        <w:rPr>
          <w:sz w:val="20"/>
        </w:rPr>
        <w:t>and</w:t>
      </w:r>
      <w:r>
        <w:rPr>
          <w:spacing w:val="-5"/>
          <w:sz w:val="20"/>
        </w:rPr>
        <w:t> </w:t>
      </w:r>
      <w:r>
        <w:rPr>
          <w:sz w:val="20"/>
        </w:rPr>
        <w:t>Mahamat</w:t>
      </w:r>
      <w:r>
        <w:rPr>
          <w:spacing w:val="-3"/>
          <w:sz w:val="20"/>
        </w:rPr>
        <w:t> </w:t>
      </w:r>
      <w:r>
        <w:rPr>
          <w:sz w:val="20"/>
        </w:rPr>
        <w:t>Said</w:t>
      </w:r>
      <w:r>
        <w:rPr>
          <w:spacing w:val="-5"/>
          <w:sz w:val="20"/>
        </w:rPr>
        <w:t> </w:t>
      </w:r>
      <w:r>
        <w:rPr>
          <w:sz w:val="20"/>
        </w:rPr>
        <w:t>Abdel</w:t>
      </w:r>
      <w:r>
        <w:rPr>
          <w:spacing w:val="-3"/>
          <w:sz w:val="20"/>
        </w:rPr>
        <w:t> </w:t>
      </w:r>
      <w:r>
        <w:rPr>
          <w:sz w:val="20"/>
        </w:rPr>
        <w:t>Kani</w:t>
      </w:r>
      <w:r>
        <w:rPr>
          <w:spacing w:val="-3"/>
          <w:sz w:val="20"/>
        </w:rPr>
        <w:t> </w:t>
      </w:r>
      <w:r>
        <w:rPr>
          <w:sz w:val="20"/>
        </w:rPr>
        <w:t>CARII -</w:t>
      </w:r>
      <w:r>
        <w:rPr>
          <w:spacing w:val="-4"/>
          <w:sz w:val="20"/>
        </w:rPr>
        <w:t> </w:t>
      </w:r>
      <w:r>
        <w:rPr>
          <w:sz w:val="20"/>
        </w:rPr>
        <w:t>Court</w:t>
      </w:r>
      <w:r>
        <w:rPr>
          <w:spacing w:val="-3"/>
          <w:sz w:val="20"/>
        </w:rPr>
        <w:t> </w:t>
      </w:r>
      <w:r>
        <w:rPr>
          <w:sz w:val="20"/>
        </w:rPr>
        <w:t>capacity.</w:t>
      </w:r>
      <w:r>
        <w:rPr>
          <w:spacing w:val="-2"/>
          <w:sz w:val="20"/>
        </w:rPr>
        <w:t> </w:t>
      </w:r>
      <w:r>
        <w:rPr>
          <w:sz w:val="20"/>
        </w:rPr>
        <w:t>The</w:t>
      </w:r>
      <w:r>
        <w:rPr>
          <w:spacing w:val="-3"/>
          <w:sz w:val="20"/>
        </w:rPr>
        <w:t> </w:t>
      </w:r>
      <w:r>
        <w:rPr>
          <w:sz w:val="20"/>
        </w:rPr>
        <w:t>Sango team provides interpretation in both cases from and into Sango and French to the accused and the Sango speaking witnesses.</w:t>
      </w:r>
    </w:p>
    <w:p>
      <w:pPr>
        <w:pStyle w:val="ListParagraph"/>
        <w:numPr>
          <w:ilvl w:val="0"/>
          <w:numId w:val="4"/>
        </w:numPr>
        <w:tabs>
          <w:tab w:pos="2967" w:val="left" w:leader="none"/>
        </w:tabs>
        <w:spacing w:line="240" w:lineRule="auto" w:before="121" w:after="0"/>
        <w:ind w:left="2246" w:right="2241" w:firstLine="0"/>
        <w:jc w:val="both"/>
        <w:rPr>
          <w:sz w:val="20"/>
        </w:rPr>
      </w:pPr>
      <w:r>
        <w:rPr>
          <w:sz w:val="20"/>
        </w:rPr>
        <w:t>Four </w:t>
      </w:r>
      <w:r>
        <w:rPr>
          <w:i/>
          <w:sz w:val="20"/>
        </w:rPr>
        <w:t>Paraprofessional Interpreters (Sango) (P-1), 12 months, New</w:t>
      </w:r>
      <w:r>
        <w:rPr>
          <w:sz w:val="20"/>
        </w:rPr>
        <w:t>. Yekatom and Ngaïssona and Mahamat Said Abdel Kani CARII - Court capacity. As four interpreters are required per case, in order to complement the Division’s capacity to provide Sango interpretation</w:t>
      </w:r>
      <w:r>
        <w:rPr>
          <w:spacing w:val="-5"/>
          <w:sz w:val="20"/>
        </w:rPr>
        <w:t> </w:t>
      </w:r>
      <w:r>
        <w:rPr>
          <w:sz w:val="20"/>
        </w:rPr>
        <w:t>in</w:t>
      </w:r>
      <w:r>
        <w:rPr>
          <w:spacing w:val="-9"/>
          <w:sz w:val="20"/>
        </w:rPr>
        <w:t> </w:t>
      </w:r>
      <w:r>
        <w:rPr>
          <w:sz w:val="20"/>
        </w:rPr>
        <w:t>two</w:t>
      </w:r>
      <w:r>
        <w:rPr>
          <w:spacing w:val="-5"/>
          <w:sz w:val="20"/>
        </w:rPr>
        <w:t> </w:t>
      </w:r>
      <w:r>
        <w:rPr>
          <w:sz w:val="20"/>
        </w:rPr>
        <w:t>simultaneous</w:t>
      </w:r>
      <w:r>
        <w:rPr>
          <w:spacing w:val="-6"/>
          <w:sz w:val="20"/>
        </w:rPr>
        <w:t> </w:t>
      </w:r>
      <w:r>
        <w:rPr>
          <w:sz w:val="20"/>
        </w:rPr>
        <w:t>cases,</w:t>
      </w:r>
      <w:r>
        <w:rPr>
          <w:spacing w:val="-7"/>
          <w:sz w:val="20"/>
        </w:rPr>
        <w:t> </w:t>
      </w:r>
      <w:r>
        <w:rPr>
          <w:sz w:val="20"/>
        </w:rPr>
        <w:t>four</w:t>
      </w:r>
      <w:r>
        <w:rPr>
          <w:spacing w:val="-9"/>
          <w:sz w:val="20"/>
        </w:rPr>
        <w:t> </w:t>
      </w:r>
      <w:r>
        <w:rPr>
          <w:sz w:val="20"/>
        </w:rPr>
        <w:t>additional</w:t>
      </w:r>
      <w:r>
        <w:rPr>
          <w:spacing w:val="-3"/>
          <w:sz w:val="20"/>
        </w:rPr>
        <w:t> </w:t>
      </w:r>
      <w:r>
        <w:rPr>
          <w:sz w:val="20"/>
        </w:rPr>
        <w:t>Paraprofessional</w:t>
      </w:r>
      <w:r>
        <w:rPr>
          <w:spacing w:val="-8"/>
          <w:sz w:val="20"/>
        </w:rPr>
        <w:t> </w:t>
      </w:r>
      <w:r>
        <w:rPr>
          <w:sz w:val="20"/>
        </w:rPr>
        <w:t>Interpreters</w:t>
      </w:r>
      <w:r>
        <w:rPr>
          <w:spacing w:val="-6"/>
          <w:sz w:val="20"/>
        </w:rPr>
        <w:t> </w:t>
      </w:r>
      <w:r>
        <w:rPr>
          <w:sz w:val="20"/>
        </w:rPr>
        <w:t>Sango (P-1) are requested. The positions are requested to complement the existing capacity to provide</w:t>
      </w:r>
      <w:r>
        <w:rPr>
          <w:spacing w:val="-12"/>
          <w:sz w:val="20"/>
        </w:rPr>
        <w:t> </w:t>
      </w:r>
      <w:r>
        <w:rPr>
          <w:sz w:val="20"/>
        </w:rPr>
        <w:t>interpretation</w:t>
      </w:r>
      <w:r>
        <w:rPr>
          <w:spacing w:val="-8"/>
          <w:sz w:val="20"/>
        </w:rPr>
        <w:t> </w:t>
      </w:r>
      <w:r>
        <w:rPr>
          <w:sz w:val="20"/>
        </w:rPr>
        <w:t>from</w:t>
      </w:r>
      <w:r>
        <w:rPr>
          <w:spacing w:val="-12"/>
          <w:sz w:val="20"/>
        </w:rPr>
        <w:t> </w:t>
      </w:r>
      <w:r>
        <w:rPr>
          <w:sz w:val="20"/>
        </w:rPr>
        <w:t>and</w:t>
      </w:r>
      <w:r>
        <w:rPr>
          <w:spacing w:val="-13"/>
          <w:sz w:val="20"/>
        </w:rPr>
        <w:t> </w:t>
      </w:r>
      <w:r>
        <w:rPr>
          <w:sz w:val="20"/>
        </w:rPr>
        <w:t>into</w:t>
      </w:r>
      <w:r>
        <w:rPr>
          <w:spacing w:val="-12"/>
          <w:sz w:val="20"/>
        </w:rPr>
        <w:t> </w:t>
      </w:r>
      <w:r>
        <w:rPr>
          <w:sz w:val="20"/>
        </w:rPr>
        <w:t>Sango</w:t>
      </w:r>
      <w:r>
        <w:rPr>
          <w:spacing w:val="-13"/>
          <w:sz w:val="20"/>
        </w:rPr>
        <w:t> </w:t>
      </w:r>
      <w:r>
        <w:rPr>
          <w:sz w:val="20"/>
        </w:rPr>
        <w:t>and</w:t>
      </w:r>
      <w:r>
        <w:rPr>
          <w:spacing w:val="-12"/>
          <w:sz w:val="20"/>
        </w:rPr>
        <w:t> </w:t>
      </w:r>
      <w:r>
        <w:rPr>
          <w:sz w:val="20"/>
        </w:rPr>
        <w:t>French</w:t>
      </w:r>
      <w:r>
        <w:rPr>
          <w:spacing w:val="-13"/>
          <w:sz w:val="20"/>
        </w:rPr>
        <w:t> </w:t>
      </w:r>
      <w:r>
        <w:rPr>
          <w:sz w:val="20"/>
        </w:rPr>
        <w:t>to</w:t>
      </w:r>
      <w:r>
        <w:rPr>
          <w:spacing w:val="-12"/>
          <w:sz w:val="20"/>
        </w:rPr>
        <w:t> </w:t>
      </w:r>
      <w:r>
        <w:rPr>
          <w:sz w:val="20"/>
        </w:rPr>
        <w:t>the</w:t>
      </w:r>
      <w:r>
        <w:rPr>
          <w:spacing w:val="-12"/>
          <w:sz w:val="20"/>
        </w:rPr>
        <w:t> </w:t>
      </w:r>
      <w:r>
        <w:rPr>
          <w:sz w:val="20"/>
        </w:rPr>
        <w:t>accused</w:t>
      </w:r>
      <w:r>
        <w:rPr>
          <w:spacing w:val="-13"/>
          <w:sz w:val="20"/>
        </w:rPr>
        <w:t> </w:t>
      </w:r>
      <w:r>
        <w:rPr>
          <w:sz w:val="20"/>
        </w:rPr>
        <w:t>and</w:t>
      </w:r>
      <w:r>
        <w:rPr>
          <w:spacing w:val="-7"/>
          <w:sz w:val="20"/>
        </w:rPr>
        <w:t> </w:t>
      </w:r>
      <w:r>
        <w:rPr>
          <w:sz w:val="20"/>
        </w:rPr>
        <w:t>the</w:t>
      </w:r>
      <w:r>
        <w:rPr>
          <w:spacing w:val="-11"/>
          <w:sz w:val="20"/>
        </w:rPr>
        <w:t> </w:t>
      </w:r>
      <w:r>
        <w:rPr>
          <w:sz w:val="20"/>
        </w:rPr>
        <w:t>Sango</w:t>
      </w:r>
      <w:r>
        <w:rPr>
          <w:spacing w:val="-13"/>
          <w:sz w:val="20"/>
        </w:rPr>
        <w:t> </w:t>
      </w:r>
      <w:r>
        <w:rPr>
          <w:sz w:val="20"/>
        </w:rPr>
        <w:t>speaking witnesses in order to support simultaneous hearings in the two CAR cases. While these positions are new requirements in the context of the 2023 proposed budget, they are a continuation of resources engaged in 2022 through use of the Contingency Fund.</w:t>
      </w:r>
    </w:p>
    <w:p>
      <w:pPr>
        <w:pStyle w:val="ListParagraph"/>
        <w:numPr>
          <w:ilvl w:val="0"/>
          <w:numId w:val="4"/>
        </w:numPr>
        <w:tabs>
          <w:tab w:pos="2967" w:val="left" w:leader="none"/>
        </w:tabs>
        <w:spacing w:line="240" w:lineRule="auto" w:before="120" w:after="0"/>
        <w:ind w:left="2246" w:right="2236" w:firstLine="0"/>
        <w:jc w:val="both"/>
        <w:rPr>
          <w:sz w:val="20"/>
        </w:rPr>
      </w:pPr>
      <w:r>
        <w:rPr>
          <w:sz w:val="20"/>
        </w:rPr>
        <w:t>Two </w:t>
      </w:r>
      <w:r>
        <w:rPr>
          <w:i/>
          <w:sz w:val="20"/>
        </w:rPr>
        <w:t>Language Assistants (Sango) (GS-PL), 12 months. Continued</w:t>
      </w:r>
      <w:r>
        <w:rPr>
          <w:sz w:val="20"/>
        </w:rPr>
        <w:t>. Yekatom and Ngaïssona and Mahamat Said Abdel Kani CARII - Court capacity and ancillary activities. The</w:t>
      </w:r>
      <w:r>
        <w:rPr>
          <w:spacing w:val="-11"/>
          <w:sz w:val="20"/>
        </w:rPr>
        <w:t> </w:t>
      </w:r>
      <w:r>
        <w:rPr>
          <w:sz w:val="20"/>
        </w:rPr>
        <w:t>Language</w:t>
      </w:r>
      <w:r>
        <w:rPr>
          <w:spacing w:val="-11"/>
          <w:sz w:val="20"/>
        </w:rPr>
        <w:t> </w:t>
      </w:r>
      <w:r>
        <w:rPr>
          <w:sz w:val="20"/>
        </w:rPr>
        <w:t>Assistants</w:t>
      </w:r>
      <w:r>
        <w:rPr>
          <w:spacing w:val="-10"/>
          <w:sz w:val="20"/>
        </w:rPr>
        <w:t> </w:t>
      </w:r>
      <w:r>
        <w:rPr>
          <w:sz w:val="20"/>
        </w:rPr>
        <w:t>will</w:t>
      </w:r>
      <w:r>
        <w:rPr>
          <w:spacing w:val="-12"/>
          <w:sz w:val="20"/>
        </w:rPr>
        <w:t> </w:t>
      </w:r>
      <w:r>
        <w:rPr>
          <w:sz w:val="20"/>
        </w:rPr>
        <w:t>continue</w:t>
      </w:r>
      <w:r>
        <w:rPr>
          <w:spacing w:val="-12"/>
          <w:sz w:val="20"/>
        </w:rPr>
        <w:t> </w:t>
      </w:r>
      <w:r>
        <w:rPr>
          <w:sz w:val="20"/>
        </w:rPr>
        <w:t>to</w:t>
      </w:r>
      <w:r>
        <w:rPr>
          <w:spacing w:val="-8"/>
          <w:sz w:val="20"/>
        </w:rPr>
        <w:t> </w:t>
      </w:r>
      <w:r>
        <w:rPr>
          <w:sz w:val="20"/>
        </w:rPr>
        <w:t>provide</w:t>
      </w:r>
      <w:r>
        <w:rPr>
          <w:spacing w:val="-7"/>
          <w:sz w:val="20"/>
        </w:rPr>
        <w:t> </w:t>
      </w:r>
      <w:r>
        <w:rPr>
          <w:sz w:val="20"/>
        </w:rPr>
        <w:t>field</w:t>
      </w:r>
      <w:r>
        <w:rPr>
          <w:spacing w:val="-13"/>
          <w:sz w:val="20"/>
        </w:rPr>
        <w:t> </w:t>
      </w:r>
      <w:r>
        <w:rPr>
          <w:sz w:val="20"/>
        </w:rPr>
        <w:t>and</w:t>
      </w:r>
      <w:r>
        <w:rPr>
          <w:spacing w:val="-12"/>
          <w:sz w:val="20"/>
        </w:rPr>
        <w:t> </w:t>
      </w:r>
      <w:r>
        <w:rPr>
          <w:sz w:val="20"/>
        </w:rPr>
        <w:t>operational</w:t>
      </w:r>
      <w:r>
        <w:rPr>
          <w:spacing w:val="-12"/>
          <w:sz w:val="20"/>
        </w:rPr>
        <w:t> </w:t>
      </w:r>
      <w:r>
        <w:rPr>
          <w:sz w:val="20"/>
        </w:rPr>
        <w:t>interpretation,</w:t>
      </w:r>
      <w:r>
        <w:rPr>
          <w:spacing w:val="-11"/>
          <w:sz w:val="20"/>
        </w:rPr>
        <w:t> </w:t>
      </w:r>
      <w:r>
        <w:rPr>
          <w:sz w:val="20"/>
        </w:rPr>
        <w:t>as</w:t>
      </w:r>
      <w:r>
        <w:rPr>
          <w:spacing w:val="-10"/>
          <w:sz w:val="20"/>
        </w:rPr>
        <w:t> </w:t>
      </w:r>
      <w:r>
        <w:rPr>
          <w:sz w:val="20"/>
        </w:rPr>
        <w:t>well as translation. There is a continuous demand for Sango language assistance from the DS, VWS, VPRS and CSS. Without these posts it would not be possible to provide language services as per the orders of the Chamber. The second Language Assistant is required to ensure uninterrupted service and implementation of regulations 174 and 175 of the Regulations of the Registry.</w:t>
      </w:r>
    </w:p>
    <w:p>
      <w:pPr>
        <w:spacing w:after="0" w:line="240" w:lineRule="auto"/>
        <w:jc w:val="both"/>
        <w:rPr>
          <w:sz w:val="20"/>
        </w:rPr>
        <w:sectPr>
          <w:pgSz w:w="11910" w:h="16840"/>
          <w:pgMar w:header="953" w:footer="940" w:top="1140" w:bottom="1140" w:left="20" w:right="20"/>
        </w:sectPr>
      </w:pPr>
    </w:p>
    <w:p>
      <w:pPr>
        <w:pStyle w:val="ListParagraph"/>
        <w:numPr>
          <w:ilvl w:val="0"/>
          <w:numId w:val="4"/>
        </w:numPr>
        <w:tabs>
          <w:tab w:pos="2967" w:val="left" w:leader="none"/>
        </w:tabs>
        <w:spacing w:line="240" w:lineRule="auto" w:before="120" w:after="0"/>
        <w:ind w:left="2246" w:right="2242" w:firstLine="0"/>
        <w:jc w:val="both"/>
        <w:rPr>
          <w:sz w:val="20"/>
        </w:rPr>
      </w:pPr>
      <w:r>
        <w:rPr>
          <w:i/>
          <w:sz w:val="20"/>
        </w:rPr>
        <w:t>Three Court Interpreters/Translators Arabic (P-3), 12 months each. Continued</w:t>
      </w:r>
      <w:r>
        <w:rPr>
          <w:sz w:val="20"/>
        </w:rPr>
        <w:t>. Abd-Al</w:t>
      </w:r>
      <w:r>
        <w:rPr>
          <w:spacing w:val="-4"/>
          <w:sz w:val="20"/>
        </w:rPr>
        <w:t> </w:t>
      </w:r>
      <w:r>
        <w:rPr>
          <w:sz w:val="20"/>
        </w:rPr>
        <w:t>Rahman,</w:t>
      </w:r>
      <w:r>
        <w:rPr>
          <w:spacing w:val="-3"/>
          <w:sz w:val="20"/>
        </w:rPr>
        <w:t> </w:t>
      </w:r>
      <w:r>
        <w:rPr>
          <w:sz w:val="20"/>
        </w:rPr>
        <w:t>Darfur,</w:t>
      </w:r>
      <w:r>
        <w:rPr>
          <w:spacing w:val="-3"/>
          <w:sz w:val="20"/>
        </w:rPr>
        <w:t> </w:t>
      </w:r>
      <w:r>
        <w:rPr>
          <w:sz w:val="20"/>
        </w:rPr>
        <w:t>Sudan</w:t>
      </w:r>
      <w:r>
        <w:rPr>
          <w:spacing w:val="-2"/>
          <w:sz w:val="20"/>
        </w:rPr>
        <w:t> </w:t>
      </w:r>
      <w:r>
        <w:rPr>
          <w:sz w:val="20"/>
        </w:rPr>
        <w:t>-</w:t>
      </w:r>
      <w:r>
        <w:rPr>
          <w:spacing w:val="-10"/>
          <w:sz w:val="20"/>
        </w:rPr>
        <w:t> </w:t>
      </w:r>
      <w:r>
        <w:rPr>
          <w:sz w:val="20"/>
        </w:rPr>
        <w:t>Court</w:t>
      </w:r>
      <w:r>
        <w:rPr>
          <w:spacing w:val="-9"/>
          <w:sz w:val="20"/>
        </w:rPr>
        <w:t> </w:t>
      </w:r>
      <w:r>
        <w:rPr>
          <w:sz w:val="20"/>
        </w:rPr>
        <w:t>capacity.</w:t>
      </w:r>
      <w:r>
        <w:rPr>
          <w:spacing w:val="-8"/>
          <w:sz w:val="20"/>
        </w:rPr>
        <w:t> </w:t>
      </w:r>
      <w:r>
        <w:rPr>
          <w:sz w:val="20"/>
        </w:rPr>
        <w:t>The</w:t>
      </w:r>
      <w:r>
        <w:rPr>
          <w:spacing w:val="-4"/>
          <w:sz w:val="20"/>
        </w:rPr>
        <w:t> </w:t>
      </w:r>
      <w:r>
        <w:rPr>
          <w:sz w:val="20"/>
        </w:rPr>
        <w:t>team</w:t>
      </w:r>
      <w:r>
        <w:rPr>
          <w:spacing w:val="-9"/>
          <w:sz w:val="20"/>
        </w:rPr>
        <w:t> </w:t>
      </w:r>
      <w:r>
        <w:rPr>
          <w:sz w:val="20"/>
        </w:rPr>
        <w:t>provides</w:t>
      </w:r>
      <w:r>
        <w:rPr>
          <w:spacing w:val="-7"/>
          <w:sz w:val="20"/>
        </w:rPr>
        <w:t> </w:t>
      </w:r>
      <w:r>
        <w:rPr>
          <w:sz w:val="20"/>
        </w:rPr>
        <w:t>Arabic</w:t>
      </w:r>
      <w:r>
        <w:rPr>
          <w:spacing w:val="-9"/>
          <w:sz w:val="20"/>
        </w:rPr>
        <w:t> </w:t>
      </w:r>
      <w:r>
        <w:rPr>
          <w:sz w:val="20"/>
        </w:rPr>
        <w:t>interpretation</w:t>
      </w:r>
      <w:r>
        <w:rPr>
          <w:spacing w:val="-10"/>
          <w:sz w:val="20"/>
        </w:rPr>
        <w:t> </w:t>
      </w:r>
      <w:r>
        <w:rPr>
          <w:sz w:val="20"/>
        </w:rPr>
        <w:t>to the accused and interprets from Arabic into English and French the testimony of Arabic speaking witnesses.</w:t>
      </w:r>
    </w:p>
    <w:p>
      <w:pPr>
        <w:pStyle w:val="ListParagraph"/>
        <w:numPr>
          <w:ilvl w:val="0"/>
          <w:numId w:val="4"/>
        </w:numPr>
        <w:tabs>
          <w:tab w:pos="2967" w:val="left" w:leader="none"/>
        </w:tabs>
        <w:spacing w:line="240" w:lineRule="auto" w:before="122" w:after="0"/>
        <w:ind w:left="2246" w:right="2239" w:firstLine="0"/>
        <w:jc w:val="both"/>
        <w:rPr>
          <w:sz w:val="20"/>
        </w:rPr>
      </w:pPr>
      <w:r>
        <w:rPr>
          <w:sz w:val="20"/>
        </w:rPr>
        <w:t>Four </w:t>
      </w:r>
      <w:r>
        <w:rPr>
          <w:i/>
          <w:sz w:val="20"/>
        </w:rPr>
        <w:t>Paraprofessional Interpreters (Fur / Sudanese Arabic) (P-1), 12 months</w:t>
      </w:r>
      <w:r>
        <w:rPr>
          <w:i/>
          <w:sz w:val="20"/>
        </w:rPr>
        <w:t> Continued</w:t>
      </w:r>
      <w:r>
        <w:rPr>
          <w:sz w:val="20"/>
        </w:rPr>
        <w:t>. Abd-Al Rahman, Darfur, Sudan - Court capacity. The team provides Fur and Sudanese Arabic interpretation</w:t>
      </w:r>
      <w:r>
        <w:rPr>
          <w:spacing w:val="-4"/>
          <w:sz w:val="20"/>
        </w:rPr>
        <w:t> </w:t>
      </w:r>
      <w:r>
        <w:rPr>
          <w:sz w:val="20"/>
        </w:rPr>
        <w:t>to</w:t>
      </w:r>
      <w:r>
        <w:rPr>
          <w:spacing w:val="-4"/>
          <w:sz w:val="20"/>
        </w:rPr>
        <w:t> </w:t>
      </w:r>
      <w:r>
        <w:rPr>
          <w:sz w:val="20"/>
        </w:rPr>
        <w:t>facilitate</w:t>
      </w:r>
      <w:r>
        <w:rPr>
          <w:spacing w:val="-2"/>
          <w:sz w:val="20"/>
        </w:rPr>
        <w:t> </w:t>
      </w:r>
      <w:r>
        <w:rPr>
          <w:sz w:val="20"/>
        </w:rPr>
        <w:t>the</w:t>
      </w:r>
      <w:r>
        <w:rPr>
          <w:spacing w:val="-2"/>
          <w:sz w:val="20"/>
        </w:rPr>
        <w:t> </w:t>
      </w:r>
      <w:r>
        <w:rPr>
          <w:sz w:val="20"/>
        </w:rPr>
        <w:t>Court</w:t>
      </w:r>
      <w:r>
        <w:rPr>
          <w:spacing w:val="-2"/>
          <w:sz w:val="20"/>
        </w:rPr>
        <w:t> </w:t>
      </w:r>
      <w:r>
        <w:rPr>
          <w:sz w:val="20"/>
        </w:rPr>
        <w:t>testimony of Fur</w:t>
      </w:r>
      <w:r>
        <w:rPr>
          <w:spacing w:val="-4"/>
          <w:sz w:val="20"/>
        </w:rPr>
        <w:t> </w:t>
      </w:r>
      <w:r>
        <w:rPr>
          <w:sz w:val="20"/>
        </w:rPr>
        <w:t>and Sudanese</w:t>
      </w:r>
      <w:r>
        <w:rPr>
          <w:spacing w:val="-2"/>
          <w:sz w:val="20"/>
        </w:rPr>
        <w:t> </w:t>
      </w:r>
      <w:r>
        <w:rPr>
          <w:sz w:val="20"/>
        </w:rPr>
        <w:t>Arabic speaking witnesses.</w:t>
      </w:r>
    </w:p>
    <w:p>
      <w:pPr>
        <w:pStyle w:val="ListParagraph"/>
        <w:numPr>
          <w:ilvl w:val="0"/>
          <w:numId w:val="4"/>
        </w:numPr>
        <w:tabs>
          <w:tab w:pos="2967" w:val="left" w:leader="none"/>
        </w:tabs>
        <w:spacing w:line="237" w:lineRule="auto" w:before="124" w:after="0"/>
        <w:ind w:left="2246" w:right="2240" w:firstLine="0"/>
        <w:jc w:val="both"/>
        <w:rPr>
          <w:sz w:val="20"/>
        </w:rPr>
      </w:pPr>
      <w:r>
        <w:rPr>
          <w:sz w:val="20"/>
        </w:rPr>
        <w:t>Two </w:t>
      </w:r>
      <w:r>
        <w:rPr>
          <w:i/>
          <w:sz w:val="20"/>
        </w:rPr>
        <w:t>Language Assistants (Arabic) (GS-PL), 12 months. Continued. Multi-year</w:t>
      </w:r>
      <w:r>
        <w:rPr>
          <w:sz w:val="20"/>
        </w:rPr>
        <w:t>. Provision of ad hoc Arabic language services to all Registry sections in support of requirements in the situations in Mali, CAR, Libya, Darfur, Sudan and Palestine, and in particular to the DS to meet the daily needs of Arabic speaking detainees.</w:t>
      </w:r>
    </w:p>
    <w:p>
      <w:pPr>
        <w:pStyle w:val="ListParagraph"/>
        <w:numPr>
          <w:ilvl w:val="0"/>
          <w:numId w:val="4"/>
        </w:numPr>
        <w:tabs>
          <w:tab w:pos="2967" w:val="left" w:leader="none"/>
        </w:tabs>
        <w:spacing w:line="240" w:lineRule="auto" w:before="125" w:after="0"/>
        <w:ind w:left="2246" w:right="2240" w:firstLine="0"/>
        <w:jc w:val="both"/>
        <w:rPr>
          <w:sz w:val="20"/>
        </w:rPr>
      </w:pPr>
      <w:r>
        <w:rPr>
          <w:sz w:val="20"/>
        </w:rPr>
        <w:t>Two</w:t>
      </w:r>
      <w:r>
        <w:rPr>
          <w:spacing w:val="-13"/>
          <w:sz w:val="20"/>
        </w:rPr>
        <w:t> </w:t>
      </w:r>
      <w:r>
        <w:rPr>
          <w:i/>
          <w:sz w:val="20"/>
        </w:rPr>
        <w:t>Language</w:t>
      </w:r>
      <w:r>
        <w:rPr>
          <w:i/>
          <w:spacing w:val="-12"/>
          <w:sz w:val="20"/>
        </w:rPr>
        <w:t> </w:t>
      </w:r>
      <w:r>
        <w:rPr>
          <w:i/>
          <w:sz w:val="20"/>
        </w:rPr>
        <w:t>Assistants</w:t>
      </w:r>
      <w:r>
        <w:rPr>
          <w:i/>
          <w:spacing w:val="-13"/>
          <w:sz w:val="20"/>
        </w:rPr>
        <w:t> </w:t>
      </w:r>
      <w:r>
        <w:rPr>
          <w:i/>
          <w:sz w:val="20"/>
        </w:rPr>
        <w:t>(Fur)</w:t>
      </w:r>
      <w:r>
        <w:rPr>
          <w:i/>
          <w:spacing w:val="-12"/>
          <w:sz w:val="20"/>
        </w:rPr>
        <w:t> </w:t>
      </w:r>
      <w:r>
        <w:rPr>
          <w:i/>
          <w:sz w:val="20"/>
        </w:rPr>
        <w:t>(GS-PL),</w:t>
      </w:r>
      <w:r>
        <w:rPr>
          <w:i/>
          <w:spacing w:val="-13"/>
          <w:sz w:val="20"/>
        </w:rPr>
        <w:t> </w:t>
      </w:r>
      <w:r>
        <w:rPr>
          <w:i/>
          <w:sz w:val="20"/>
        </w:rPr>
        <w:t>12</w:t>
      </w:r>
      <w:r>
        <w:rPr>
          <w:i/>
          <w:spacing w:val="-12"/>
          <w:sz w:val="20"/>
        </w:rPr>
        <w:t> </w:t>
      </w:r>
      <w:r>
        <w:rPr>
          <w:i/>
          <w:sz w:val="20"/>
        </w:rPr>
        <w:t>months.</w:t>
      </w:r>
      <w:r>
        <w:rPr>
          <w:i/>
          <w:spacing w:val="-13"/>
          <w:sz w:val="20"/>
        </w:rPr>
        <w:t> </w:t>
      </w:r>
      <w:r>
        <w:rPr>
          <w:i/>
          <w:sz w:val="20"/>
        </w:rPr>
        <w:t>New</w:t>
      </w:r>
      <w:r>
        <w:rPr>
          <w:sz w:val="20"/>
        </w:rPr>
        <w:t>.</w:t>
      </w:r>
      <w:r>
        <w:rPr>
          <w:spacing w:val="-12"/>
          <w:sz w:val="20"/>
        </w:rPr>
        <w:t> </w:t>
      </w:r>
      <w:r>
        <w:rPr>
          <w:sz w:val="20"/>
        </w:rPr>
        <w:t>Abd-Al</w:t>
      </w:r>
      <w:r>
        <w:rPr>
          <w:spacing w:val="-13"/>
          <w:sz w:val="20"/>
        </w:rPr>
        <w:t> </w:t>
      </w:r>
      <w:r>
        <w:rPr>
          <w:sz w:val="20"/>
        </w:rPr>
        <w:t>Rahman,</w:t>
      </w:r>
      <w:r>
        <w:rPr>
          <w:spacing w:val="-12"/>
          <w:sz w:val="20"/>
        </w:rPr>
        <w:t> </w:t>
      </w:r>
      <w:r>
        <w:rPr>
          <w:sz w:val="20"/>
        </w:rPr>
        <w:t>Darfur, Sudan - Court</w:t>
      </w:r>
      <w:r>
        <w:rPr>
          <w:spacing w:val="-3"/>
          <w:sz w:val="20"/>
        </w:rPr>
        <w:t> </w:t>
      </w:r>
      <w:r>
        <w:rPr>
          <w:sz w:val="20"/>
        </w:rPr>
        <w:t>capacity.</w:t>
      </w:r>
      <w:r>
        <w:rPr>
          <w:spacing w:val="-2"/>
          <w:sz w:val="20"/>
        </w:rPr>
        <w:t> </w:t>
      </w:r>
      <w:r>
        <w:rPr>
          <w:sz w:val="20"/>
        </w:rPr>
        <w:t>The</w:t>
      </w:r>
      <w:r>
        <w:rPr>
          <w:spacing w:val="-3"/>
          <w:sz w:val="20"/>
        </w:rPr>
        <w:t> </w:t>
      </w:r>
      <w:r>
        <w:rPr>
          <w:sz w:val="20"/>
        </w:rPr>
        <w:t>Language Assistants will provide operational</w:t>
      </w:r>
      <w:r>
        <w:rPr>
          <w:spacing w:val="-3"/>
          <w:sz w:val="20"/>
        </w:rPr>
        <w:t> </w:t>
      </w:r>
      <w:r>
        <w:rPr>
          <w:sz w:val="20"/>
        </w:rPr>
        <w:t>language support from</w:t>
      </w:r>
      <w:r>
        <w:rPr>
          <w:spacing w:val="-3"/>
          <w:sz w:val="20"/>
        </w:rPr>
        <w:t> </w:t>
      </w:r>
      <w:r>
        <w:rPr>
          <w:sz w:val="20"/>
        </w:rPr>
        <w:t>Fur</w:t>
      </w:r>
      <w:r>
        <w:rPr>
          <w:spacing w:val="-5"/>
          <w:sz w:val="20"/>
        </w:rPr>
        <w:t> </w:t>
      </w:r>
      <w:r>
        <w:rPr>
          <w:sz w:val="20"/>
        </w:rPr>
        <w:t>and</w:t>
      </w:r>
      <w:r>
        <w:rPr>
          <w:spacing w:val="-5"/>
          <w:sz w:val="20"/>
        </w:rPr>
        <w:t> </w:t>
      </w:r>
      <w:r>
        <w:rPr>
          <w:sz w:val="20"/>
        </w:rPr>
        <w:t>Sudanese</w:t>
      </w:r>
      <w:r>
        <w:rPr>
          <w:spacing w:val="-3"/>
          <w:sz w:val="20"/>
        </w:rPr>
        <w:t> </w:t>
      </w:r>
      <w:r>
        <w:rPr>
          <w:sz w:val="20"/>
        </w:rPr>
        <w:t>Arabic</w:t>
      </w:r>
      <w:r>
        <w:rPr>
          <w:spacing w:val="-3"/>
          <w:sz w:val="20"/>
        </w:rPr>
        <w:t> </w:t>
      </w:r>
      <w:r>
        <w:rPr>
          <w:sz w:val="20"/>
        </w:rPr>
        <w:t>as</w:t>
      </w:r>
      <w:r>
        <w:rPr>
          <w:spacing w:val="-6"/>
          <w:sz w:val="20"/>
        </w:rPr>
        <w:t> </w:t>
      </w:r>
      <w:r>
        <w:rPr>
          <w:sz w:val="20"/>
        </w:rPr>
        <w:t>required</w:t>
      </w:r>
      <w:r>
        <w:rPr>
          <w:spacing w:val="-9"/>
          <w:sz w:val="20"/>
        </w:rPr>
        <w:t> </w:t>
      </w:r>
      <w:r>
        <w:rPr>
          <w:sz w:val="20"/>
        </w:rPr>
        <w:t>to</w:t>
      </w:r>
      <w:r>
        <w:rPr>
          <w:spacing w:val="-5"/>
          <w:sz w:val="20"/>
        </w:rPr>
        <w:t> </w:t>
      </w:r>
      <w:r>
        <w:rPr>
          <w:sz w:val="20"/>
        </w:rPr>
        <w:t>the</w:t>
      </w:r>
      <w:r>
        <w:rPr>
          <w:spacing w:val="-3"/>
          <w:sz w:val="20"/>
        </w:rPr>
        <w:t> </w:t>
      </w:r>
      <w:r>
        <w:rPr>
          <w:sz w:val="20"/>
        </w:rPr>
        <w:t>VWS,</w:t>
      </w:r>
      <w:r>
        <w:rPr>
          <w:spacing w:val="-2"/>
          <w:sz w:val="20"/>
        </w:rPr>
        <w:t> </w:t>
      </w:r>
      <w:r>
        <w:rPr>
          <w:sz w:val="20"/>
        </w:rPr>
        <w:t>VPRS, PIOS</w:t>
      </w:r>
      <w:r>
        <w:rPr>
          <w:spacing w:val="-6"/>
          <w:sz w:val="20"/>
        </w:rPr>
        <w:t> </w:t>
      </w:r>
      <w:r>
        <w:rPr>
          <w:sz w:val="20"/>
        </w:rPr>
        <w:t>and</w:t>
      </w:r>
      <w:r>
        <w:rPr>
          <w:spacing w:val="-5"/>
          <w:sz w:val="20"/>
        </w:rPr>
        <w:t> </w:t>
      </w:r>
      <w:r>
        <w:rPr>
          <w:sz w:val="20"/>
        </w:rPr>
        <w:t>other</w:t>
      </w:r>
      <w:r>
        <w:rPr>
          <w:spacing w:val="-5"/>
          <w:sz w:val="20"/>
        </w:rPr>
        <w:t> </w:t>
      </w:r>
      <w:r>
        <w:rPr>
          <w:sz w:val="20"/>
        </w:rPr>
        <w:t>service</w:t>
      </w:r>
      <w:r>
        <w:rPr>
          <w:spacing w:val="-3"/>
          <w:sz w:val="20"/>
        </w:rPr>
        <w:t> </w:t>
      </w:r>
      <w:r>
        <w:rPr>
          <w:sz w:val="20"/>
        </w:rPr>
        <w:t>users within</w:t>
      </w:r>
      <w:r>
        <w:rPr>
          <w:spacing w:val="-13"/>
          <w:sz w:val="20"/>
        </w:rPr>
        <w:t> </w:t>
      </w:r>
      <w:r>
        <w:rPr>
          <w:sz w:val="20"/>
        </w:rPr>
        <w:t>the</w:t>
      </w:r>
      <w:r>
        <w:rPr>
          <w:spacing w:val="-12"/>
          <w:sz w:val="20"/>
        </w:rPr>
        <w:t> </w:t>
      </w:r>
      <w:r>
        <w:rPr>
          <w:sz w:val="20"/>
        </w:rPr>
        <w:t>Registry.</w:t>
      </w:r>
      <w:r>
        <w:rPr>
          <w:spacing w:val="-13"/>
          <w:sz w:val="20"/>
        </w:rPr>
        <w:t> </w:t>
      </w:r>
      <w:r>
        <w:rPr>
          <w:sz w:val="20"/>
        </w:rPr>
        <w:t>Without</w:t>
      </w:r>
      <w:r>
        <w:rPr>
          <w:spacing w:val="-12"/>
          <w:sz w:val="20"/>
        </w:rPr>
        <w:t> </w:t>
      </w:r>
      <w:r>
        <w:rPr>
          <w:sz w:val="20"/>
        </w:rPr>
        <w:t>these</w:t>
      </w:r>
      <w:r>
        <w:rPr>
          <w:spacing w:val="-13"/>
          <w:sz w:val="20"/>
        </w:rPr>
        <w:t> </w:t>
      </w:r>
      <w:r>
        <w:rPr>
          <w:sz w:val="20"/>
        </w:rPr>
        <w:t>posts</w:t>
      </w:r>
      <w:r>
        <w:rPr>
          <w:spacing w:val="-12"/>
          <w:sz w:val="20"/>
        </w:rPr>
        <w:t> </w:t>
      </w:r>
      <w:r>
        <w:rPr>
          <w:sz w:val="20"/>
        </w:rPr>
        <w:t>it</w:t>
      </w:r>
      <w:r>
        <w:rPr>
          <w:spacing w:val="-13"/>
          <w:sz w:val="20"/>
        </w:rPr>
        <w:t> </w:t>
      </w:r>
      <w:r>
        <w:rPr>
          <w:sz w:val="20"/>
        </w:rPr>
        <w:t>would</w:t>
      </w:r>
      <w:r>
        <w:rPr>
          <w:spacing w:val="-12"/>
          <w:sz w:val="20"/>
        </w:rPr>
        <w:t> </w:t>
      </w:r>
      <w:r>
        <w:rPr>
          <w:sz w:val="20"/>
        </w:rPr>
        <w:t>not</w:t>
      </w:r>
      <w:r>
        <w:rPr>
          <w:spacing w:val="-13"/>
          <w:sz w:val="20"/>
        </w:rPr>
        <w:t> </w:t>
      </w:r>
      <w:r>
        <w:rPr>
          <w:sz w:val="20"/>
        </w:rPr>
        <w:t>be</w:t>
      </w:r>
      <w:r>
        <w:rPr>
          <w:spacing w:val="-9"/>
          <w:sz w:val="20"/>
        </w:rPr>
        <w:t> </w:t>
      </w:r>
      <w:r>
        <w:rPr>
          <w:sz w:val="20"/>
        </w:rPr>
        <w:t>possible</w:t>
      </w:r>
      <w:r>
        <w:rPr>
          <w:spacing w:val="-12"/>
          <w:sz w:val="20"/>
        </w:rPr>
        <w:t> </w:t>
      </w:r>
      <w:r>
        <w:rPr>
          <w:sz w:val="20"/>
        </w:rPr>
        <w:t>to</w:t>
      </w:r>
      <w:r>
        <w:rPr>
          <w:spacing w:val="-13"/>
          <w:sz w:val="20"/>
        </w:rPr>
        <w:t> </w:t>
      </w:r>
      <w:r>
        <w:rPr>
          <w:sz w:val="20"/>
        </w:rPr>
        <w:t>provide</w:t>
      </w:r>
      <w:r>
        <w:rPr>
          <w:spacing w:val="-6"/>
          <w:sz w:val="20"/>
        </w:rPr>
        <w:t> </w:t>
      </w:r>
      <w:r>
        <w:rPr>
          <w:sz w:val="20"/>
        </w:rPr>
        <w:t>language</w:t>
      </w:r>
      <w:r>
        <w:rPr>
          <w:spacing w:val="-9"/>
          <w:sz w:val="20"/>
        </w:rPr>
        <w:t> </w:t>
      </w:r>
      <w:r>
        <w:rPr>
          <w:sz w:val="20"/>
        </w:rPr>
        <w:t>services as per the orders of the Chamber. The second Language Assistant is required to ensure uninterrupted service and implementation of regulations 174 and 175 of the Regulations of the Registry.</w:t>
      </w:r>
    </w:p>
    <w:p>
      <w:pPr>
        <w:pStyle w:val="ListParagraph"/>
        <w:numPr>
          <w:ilvl w:val="0"/>
          <w:numId w:val="4"/>
        </w:numPr>
        <w:tabs>
          <w:tab w:pos="2967" w:val="left" w:leader="none"/>
        </w:tabs>
        <w:spacing w:line="240" w:lineRule="auto" w:before="123" w:after="0"/>
        <w:ind w:left="2246" w:right="2242" w:firstLine="0"/>
        <w:jc w:val="both"/>
        <w:rPr>
          <w:sz w:val="20"/>
        </w:rPr>
      </w:pPr>
      <w:r>
        <w:rPr>
          <w:sz w:val="20"/>
        </w:rPr>
        <w:t>Two </w:t>
      </w:r>
      <w:r>
        <w:rPr>
          <w:i/>
          <w:sz w:val="20"/>
        </w:rPr>
        <w:t>Language Assistants (Tamasheq) (GS-PL), one for 12 months and one for 6</w:t>
      </w:r>
      <w:r>
        <w:rPr>
          <w:i/>
          <w:sz w:val="20"/>
        </w:rPr>
        <w:t> months.</w:t>
      </w:r>
      <w:r>
        <w:rPr>
          <w:i/>
          <w:spacing w:val="-7"/>
          <w:sz w:val="20"/>
        </w:rPr>
        <w:t> </w:t>
      </w:r>
      <w:r>
        <w:rPr>
          <w:i/>
          <w:sz w:val="20"/>
        </w:rPr>
        <w:t>Continued</w:t>
      </w:r>
      <w:r>
        <w:rPr>
          <w:sz w:val="20"/>
        </w:rPr>
        <w:t>.</w:t>
      </w:r>
      <w:r>
        <w:rPr>
          <w:spacing w:val="-2"/>
          <w:sz w:val="20"/>
        </w:rPr>
        <w:t> </w:t>
      </w:r>
      <w:r>
        <w:rPr>
          <w:sz w:val="20"/>
        </w:rPr>
        <w:t>Al</w:t>
      </w:r>
      <w:r>
        <w:rPr>
          <w:spacing w:val="-8"/>
          <w:sz w:val="20"/>
        </w:rPr>
        <w:t> </w:t>
      </w:r>
      <w:r>
        <w:rPr>
          <w:sz w:val="20"/>
        </w:rPr>
        <w:t>Hassan</w:t>
      </w:r>
      <w:r>
        <w:rPr>
          <w:spacing w:val="-9"/>
          <w:sz w:val="20"/>
        </w:rPr>
        <w:t> </w:t>
      </w:r>
      <w:r>
        <w:rPr>
          <w:sz w:val="20"/>
        </w:rPr>
        <w:t>Mali</w:t>
      </w:r>
      <w:r>
        <w:rPr>
          <w:spacing w:val="-6"/>
          <w:sz w:val="20"/>
        </w:rPr>
        <w:t> </w:t>
      </w:r>
      <w:r>
        <w:rPr>
          <w:sz w:val="20"/>
        </w:rPr>
        <w:t>-</w:t>
      </w:r>
      <w:r>
        <w:rPr>
          <w:spacing w:val="-4"/>
          <w:sz w:val="20"/>
        </w:rPr>
        <w:t> </w:t>
      </w:r>
      <w:r>
        <w:rPr>
          <w:sz w:val="20"/>
        </w:rPr>
        <w:t>Court</w:t>
      </w:r>
      <w:r>
        <w:rPr>
          <w:spacing w:val="-8"/>
          <w:sz w:val="20"/>
        </w:rPr>
        <w:t> </w:t>
      </w:r>
      <w:r>
        <w:rPr>
          <w:sz w:val="20"/>
        </w:rPr>
        <w:t>capacity.</w:t>
      </w:r>
      <w:r>
        <w:rPr>
          <w:spacing w:val="-7"/>
          <w:sz w:val="20"/>
        </w:rPr>
        <w:t> </w:t>
      </w:r>
      <w:r>
        <w:rPr>
          <w:sz w:val="20"/>
        </w:rPr>
        <w:t>The</w:t>
      </w:r>
      <w:r>
        <w:rPr>
          <w:spacing w:val="-8"/>
          <w:sz w:val="20"/>
        </w:rPr>
        <w:t> </w:t>
      </w:r>
      <w:r>
        <w:rPr>
          <w:sz w:val="20"/>
        </w:rPr>
        <w:t>Language</w:t>
      </w:r>
      <w:r>
        <w:rPr>
          <w:spacing w:val="-3"/>
          <w:sz w:val="20"/>
        </w:rPr>
        <w:t> </w:t>
      </w:r>
      <w:r>
        <w:rPr>
          <w:sz w:val="20"/>
        </w:rPr>
        <w:t>Assistants</w:t>
      </w:r>
      <w:r>
        <w:rPr>
          <w:spacing w:val="-6"/>
          <w:sz w:val="20"/>
        </w:rPr>
        <w:t> </w:t>
      </w:r>
      <w:r>
        <w:rPr>
          <w:sz w:val="20"/>
        </w:rPr>
        <w:t>will</w:t>
      </w:r>
      <w:r>
        <w:rPr>
          <w:spacing w:val="-8"/>
          <w:sz w:val="20"/>
        </w:rPr>
        <w:t> </w:t>
      </w:r>
      <w:r>
        <w:rPr>
          <w:sz w:val="20"/>
        </w:rPr>
        <w:t>continue to provide</w:t>
      </w:r>
      <w:r>
        <w:rPr>
          <w:spacing w:val="-2"/>
          <w:sz w:val="20"/>
        </w:rPr>
        <w:t> </w:t>
      </w:r>
      <w:r>
        <w:rPr>
          <w:sz w:val="20"/>
        </w:rPr>
        <w:t>language support from</w:t>
      </w:r>
      <w:r>
        <w:rPr>
          <w:spacing w:val="-2"/>
          <w:sz w:val="20"/>
        </w:rPr>
        <w:t> </w:t>
      </w:r>
      <w:r>
        <w:rPr>
          <w:sz w:val="20"/>
        </w:rPr>
        <w:t>Tamasheq</w:t>
      </w:r>
      <w:r>
        <w:rPr>
          <w:spacing w:val="-4"/>
          <w:sz w:val="20"/>
        </w:rPr>
        <w:t> </w:t>
      </w:r>
      <w:r>
        <w:rPr>
          <w:sz w:val="20"/>
        </w:rPr>
        <w:t>as required</w:t>
      </w:r>
      <w:r>
        <w:rPr>
          <w:spacing w:val="-4"/>
          <w:sz w:val="20"/>
        </w:rPr>
        <w:t> </w:t>
      </w:r>
      <w:r>
        <w:rPr>
          <w:sz w:val="20"/>
        </w:rPr>
        <w:t>to the DS and</w:t>
      </w:r>
      <w:r>
        <w:rPr>
          <w:spacing w:val="-4"/>
          <w:sz w:val="20"/>
        </w:rPr>
        <w:t> </w:t>
      </w:r>
      <w:r>
        <w:rPr>
          <w:sz w:val="20"/>
        </w:rPr>
        <w:t>VWS. Without</w:t>
      </w:r>
      <w:r>
        <w:rPr>
          <w:spacing w:val="-2"/>
          <w:sz w:val="20"/>
        </w:rPr>
        <w:t> </w:t>
      </w:r>
      <w:r>
        <w:rPr>
          <w:sz w:val="20"/>
        </w:rPr>
        <w:t>these posts</w:t>
      </w:r>
      <w:r>
        <w:rPr>
          <w:spacing w:val="-4"/>
          <w:sz w:val="20"/>
        </w:rPr>
        <w:t> </w:t>
      </w:r>
      <w:r>
        <w:rPr>
          <w:sz w:val="20"/>
        </w:rPr>
        <w:t>it</w:t>
      </w:r>
      <w:r>
        <w:rPr>
          <w:spacing w:val="-6"/>
          <w:sz w:val="20"/>
        </w:rPr>
        <w:t> </w:t>
      </w:r>
      <w:r>
        <w:rPr>
          <w:sz w:val="20"/>
        </w:rPr>
        <w:t>would</w:t>
      </w:r>
      <w:r>
        <w:rPr>
          <w:spacing w:val="-7"/>
          <w:sz w:val="20"/>
        </w:rPr>
        <w:t> </w:t>
      </w:r>
      <w:r>
        <w:rPr>
          <w:sz w:val="20"/>
        </w:rPr>
        <w:t>not</w:t>
      </w:r>
      <w:r>
        <w:rPr>
          <w:spacing w:val="-6"/>
          <w:sz w:val="20"/>
        </w:rPr>
        <w:t> </w:t>
      </w:r>
      <w:r>
        <w:rPr>
          <w:sz w:val="20"/>
        </w:rPr>
        <w:t>be</w:t>
      </w:r>
      <w:r>
        <w:rPr>
          <w:spacing w:val="-6"/>
          <w:sz w:val="20"/>
        </w:rPr>
        <w:t> </w:t>
      </w:r>
      <w:r>
        <w:rPr>
          <w:sz w:val="20"/>
        </w:rPr>
        <w:t>possible</w:t>
      </w:r>
      <w:r>
        <w:rPr>
          <w:spacing w:val="-1"/>
          <w:sz w:val="20"/>
        </w:rPr>
        <w:t> </w:t>
      </w:r>
      <w:r>
        <w:rPr>
          <w:sz w:val="20"/>
        </w:rPr>
        <w:t>to</w:t>
      </w:r>
      <w:r>
        <w:rPr>
          <w:spacing w:val="-3"/>
          <w:sz w:val="20"/>
        </w:rPr>
        <w:t> </w:t>
      </w:r>
      <w:r>
        <w:rPr>
          <w:sz w:val="20"/>
        </w:rPr>
        <w:t>provide</w:t>
      </w:r>
      <w:r>
        <w:rPr>
          <w:spacing w:val="-6"/>
          <w:sz w:val="20"/>
        </w:rPr>
        <w:t> </w:t>
      </w:r>
      <w:r>
        <w:rPr>
          <w:sz w:val="20"/>
        </w:rPr>
        <w:t>language services</w:t>
      </w:r>
      <w:r>
        <w:rPr>
          <w:spacing w:val="-9"/>
          <w:sz w:val="20"/>
        </w:rPr>
        <w:t> </w:t>
      </w:r>
      <w:r>
        <w:rPr>
          <w:sz w:val="20"/>
        </w:rPr>
        <w:t>as</w:t>
      </w:r>
      <w:r>
        <w:rPr>
          <w:spacing w:val="-9"/>
          <w:sz w:val="20"/>
        </w:rPr>
        <w:t> </w:t>
      </w:r>
      <w:r>
        <w:rPr>
          <w:sz w:val="20"/>
        </w:rPr>
        <w:t>per</w:t>
      </w:r>
      <w:r>
        <w:rPr>
          <w:spacing w:val="-7"/>
          <w:sz w:val="20"/>
        </w:rPr>
        <w:t> </w:t>
      </w:r>
      <w:r>
        <w:rPr>
          <w:sz w:val="20"/>
        </w:rPr>
        <w:t>the</w:t>
      </w:r>
      <w:r>
        <w:rPr>
          <w:spacing w:val="-6"/>
          <w:sz w:val="20"/>
        </w:rPr>
        <w:t> </w:t>
      </w:r>
      <w:r>
        <w:rPr>
          <w:sz w:val="20"/>
        </w:rPr>
        <w:t>orders</w:t>
      </w:r>
      <w:r>
        <w:rPr>
          <w:spacing w:val="-4"/>
          <w:sz w:val="20"/>
        </w:rPr>
        <w:t> </w:t>
      </w:r>
      <w:r>
        <w:rPr>
          <w:sz w:val="20"/>
        </w:rPr>
        <w:t>of</w:t>
      </w:r>
      <w:r>
        <w:rPr>
          <w:spacing w:val="-3"/>
          <w:sz w:val="20"/>
        </w:rPr>
        <w:t> </w:t>
      </w:r>
      <w:r>
        <w:rPr>
          <w:sz w:val="20"/>
        </w:rPr>
        <w:t>the</w:t>
      </w:r>
      <w:r>
        <w:rPr>
          <w:spacing w:val="-1"/>
          <w:sz w:val="20"/>
        </w:rPr>
        <w:t> </w:t>
      </w:r>
      <w:r>
        <w:rPr>
          <w:sz w:val="20"/>
        </w:rPr>
        <w:t>Chamber. The second Language Assistant is required to ensure uninterrupted service and implementation of regulations 174 and 175 of the Regulations of the Registry.</w:t>
      </w:r>
    </w:p>
    <w:p>
      <w:pPr>
        <w:pStyle w:val="ListParagraph"/>
        <w:numPr>
          <w:ilvl w:val="0"/>
          <w:numId w:val="4"/>
        </w:numPr>
        <w:tabs>
          <w:tab w:pos="2967" w:val="left" w:leader="none"/>
        </w:tabs>
        <w:spacing w:line="240" w:lineRule="auto" w:before="118" w:after="0"/>
        <w:ind w:left="2246" w:right="2243" w:firstLine="0"/>
        <w:jc w:val="both"/>
        <w:rPr>
          <w:sz w:val="20"/>
        </w:rPr>
      </w:pPr>
      <w:r>
        <w:rPr>
          <w:sz w:val="20"/>
        </w:rPr>
        <w:t>One</w:t>
      </w:r>
      <w:r>
        <w:rPr>
          <w:spacing w:val="40"/>
          <w:sz w:val="20"/>
        </w:rPr>
        <w:t> </w:t>
      </w:r>
      <w:r>
        <w:rPr>
          <w:i/>
          <w:sz w:val="20"/>
        </w:rPr>
        <w:t>Language</w:t>
      </w:r>
      <w:r>
        <w:rPr>
          <w:i/>
          <w:spacing w:val="40"/>
          <w:sz w:val="20"/>
        </w:rPr>
        <w:t> </w:t>
      </w:r>
      <w:r>
        <w:rPr>
          <w:i/>
          <w:sz w:val="20"/>
        </w:rPr>
        <w:t>Assistant</w:t>
      </w:r>
      <w:r>
        <w:rPr>
          <w:i/>
          <w:spacing w:val="40"/>
          <w:sz w:val="20"/>
        </w:rPr>
        <w:t> </w:t>
      </w:r>
      <w:r>
        <w:rPr>
          <w:i/>
          <w:sz w:val="20"/>
        </w:rPr>
        <w:t>(Ukrainian/Russian)</w:t>
      </w:r>
      <w:r>
        <w:rPr>
          <w:i/>
          <w:spacing w:val="40"/>
          <w:sz w:val="20"/>
        </w:rPr>
        <w:t> </w:t>
      </w:r>
      <w:r>
        <w:rPr>
          <w:i/>
          <w:sz w:val="20"/>
        </w:rPr>
        <w:t>(GS-PL),</w:t>
      </w:r>
      <w:r>
        <w:rPr>
          <w:i/>
          <w:spacing w:val="40"/>
          <w:sz w:val="20"/>
        </w:rPr>
        <w:t> </w:t>
      </w:r>
      <w:r>
        <w:rPr>
          <w:i/>
          <w:sz w:val="20"/>
        </w:rPr>
        <w:t>12</w:t>
      </w:r>
      <w:r>
        <w:rPr>
          <w:i/>
          <w:spacing w:val="40"/>
          <w:sz w:val="20"/>
        </w:rPr>
        <w:t> </w:t>
      </w:r>
      <w:r>
        <w:rPr>
          <w:i/>
          <w:sz w:val="20"/>
        </w:rPr>
        <w:t>months.</w:t>
      </w:r>
      <w:r>
        <w:rPr>
          <w:i/>
          <w:spacing w:val="40"/>
          <w:sz w:val="20"/>
        </w:rPr>
        <w:t> </w:t>
      </w:r>
      <w:r>
        <w:rPr>
          <w:i/>
          <w:sz w:val="20"/>
        </w:rPr>
        <w:t>New.</w:t>
      </w:r>
      <w:r>
        <w:rPr>
          <w:i/>
          <w:spacing w:val="80"/>
          <w:sz w:val="20"/>
        </w:rPr>
        <w:t> </w:t>
      </w:r>
      <w:r>
        <w:rPr>
          <w:i/>
          <w:sz w:val="20"/>
        </w:rPr>
        <w:t>Multi-year</w:t>
      </w:r>
      <w:r>
        <w:rPr>
          <w:sz w:val="20"/>
        </w:rPr>
        <w:t>. The Language Assistant for Ukrainian and Russian is required for essential document translation and operational interpretation to meet Registry service requests in the context of the Ukraine situation.</w:t>
      </w:r>
    </w:p>
    <w:p>
      <w:pPr>
        <w:pStyle w:val="ListParagraph"/>
        <w:numPr>
          <w:ilvl w:val="0"/>
          <w:numId w:val="4"/>
        </w:numPr>
        <w:tabs>
          <w:tab w:pos="2967" w:val="left" w:leader="none"/>
        </w:tabs>
        <w:spacing w:line="240" w:lineRule="auto" w:before="122" w:after="0"/>
        <w:ind w:left="2246" w:right="2237" w:firstLine="0"/>
        <w:jc w:val="both"/>
        <w:rPr>
          <w:sz w:val="20"/>
        </w:rPr>
      </w:pPr>
      <w:r>
        <w:rPr>
          <w:sz w:val="20"/>
        </w:rPr>
        <w:t>One </w:t>
      </w:r>
      <w:r>
        <w:rPr>
          <w:i/>
          <w:sz w:val="20"/>
        </w:rPr>
        <w:t>Administrative Assistant (GS-OL), 6 months. New. Multi-year</w:t>
      </w:r>
      <w:r>
        <w:rPr>
          <w:sz w:val="20"/>
        </w:rPr>
        <w:t>. The administrative assistant will support the increasing administrative workload for Court interpretation</w:t>
      </w:r>
      <w:r>
        <w:rPr>
          <w:spacing w:val="-4"/>
          <w:sz w:val="20"/>
        </w:rPr>
        <w:t> </w:t>
      </w:r>
      <w:r>
        <w:rPr>
          <w:sz w:val="20"/>
        </w:rPr>
        <w:t>and</w:t>
      </w:r>
      <w:r>
        <w:rPr>
          <w:spacing w:val="-4"/>
          <w:sz w:val="20"/>
        </w:rPr>
        <w:t> </w:t>
      </w:r>
      <w:r>
        <w:rPr>
          <w:sz w:val="20"/>
        </w:rPr>
        <w:t>operational</w:t>
      </w:r>
      <w:r>
        <w:rPr>
          <w:spacing w:val="-2"/>
          <w:sz w:val="20"/>
        </w:rPr>
        <w:t> </w:t>
      </w:r>
      <w:r>
        <w:rPr>
          <w:sz w:val="20"/>
        </w:rPr>
        <w:t>and</w:t>
      </w:r>
      <w:r>
        <w:rPr>
          <w:spacing w:val="-4"/>
          <w:sz w:val="20"/>
        </w:rPr>
        <w:t> </w:t>
      </w:r>
      <w:r>
        <w:rPr>
          <w:sz w:val="20"/>
        </w:rPr>
        <w:t>field</w:t>
      </w:r>
      <w:r>
        <w:rPr>
          <w:spacing w:val="-4"/>
          <w:sz w:val="20"/>
        </w:rPr>
        <w:t> </w:t>
      </w:r>
      <w:r>
        <w:rPr>
          <w:sz w:val="20"/>
        </w:rPr>
        <w:t>interpretation</w:t>
      </w:r>
      <w:r>
        <w:rPr>
          <w:spacing w:val="-4"/>
          <w:sz w:val="20"/>
        </w:rPr>
        <w:t> </w:t>
      </w:r>
      <w:r>
        <w:rPr>
          <w:sz w:val="20"/>
        </w:rPr>
        <w:t>services which</w:t>
      </w:r>
      <w:r>
        <w:rPr>
          <w:spacing w:val="-4"/>
          <w:sz w:val="20"/>
        </w:rPr>
        <w:t> </w:t>
      </w:r>
      <w:r>
        <w:rPr>
          <w:sz w:val="20"/>
        </w:rPr>
        <w:t>are</w:t>
      </w:r>
      <w:r>
        <w:rPr>
          <w:spacing w:val="-2"/>
          <w:sz w:val="20"/>
        </w:rPr>
        <w:t> </w:t>
      </w:r>
      <w:r>
        <w:rPr>
          <w:sz w:val="20"/>
        </w:rPr>
        <w:t>necessary</w:t>
      </w:r>
      <w:r>
        <w:rPr>
          <w:spacing w:val="-4"/>
          <w:sz w:val="20"/>
        </w:rPr>
        <w:t> </w:t>
      </w:r>
      <w:r>
        <w:rPr>
          <w:sz w:val="20"/>
        </w:rPr>
        <w:t>to</w:t>
      </w:r>
      <w:r>
        <w:rPr>
          <w:spacing w:val="-4"/>
          <w:sz w:val="20"/>
        </w:rPr>
        <w:t> </w:t>
      </w:r>
      <w:r>
        <w:rPr>
          <w:sz w:val="20"/>
        </w:rPr>
        <w:t>ensure timely delivery of interpretation services in support of all active situations and cases.</w:t>
      </w:r>
    </w:p>
    <w:p>
      <w:pPr>
        <w:pStyle w:val="BodyText"/>
        <w:rPr>
          <w:sz w:val="21"/>
        </w:rPr>
      </w:pPr>
    </w:p>
    <w:p>
      <w:pPr>
        <w:spacing w:before="1"/>
        <w:ind w:left="2246" w:right="0" w:firstLine="0"/>
        <w:jc w:val="both"/>
        <w:rPr>
          <w:i/>
          <w:sz w:val="20"/>
        </w:rPr>
      </w:pPr>
      <w:r>
        <w:rPr>
          <w:i/>
          <w:sz w:val="20"/>
        </w:rPr>
        <w:t>Translation</w:t>
      </w:r>
      <w:r>
        <w:rPr>
          <w:i/>
          <w:spacing w:val="-6"/>
          <w:sz w:val="20"/>
        </w:rPr>
        <w:t> </w:t>
      </w:r>
      <w:r>
        <w:rPr>
          <w:i/>
          <w:spacing w:val="-2"/>
          <w:sz w:val="20"/>
        </w:rPr>
        <w:t>(judicial)</w:t>
      </w:r>
    </w:p>
    <w:p>
      <w:pPr>
        <w:pStyle w:val="BodyText"/>
        <w:spacing w:before="5"/>
        <w:rPr>
          <w:i/>
        </w:rPr>
      </w:pPr>
    </w:p>
    <w:p>
      <w:pPr>
        <w:pStyle w:val="ListParagraph"/>
        <w:numPr>
          <w:ilvl w:val="0"/>
          <w:numId w:val="4"/>
        </w:numPr>
        <w:tabs>
          <w:tab w:pos="2967" w:val="left" w:leader="none"/>
        </w:tabs>
        <w:spacing w:line="240" w:lineRule="auto" w:before="0" w:after="0"/>
        <w:ind w:left="2246" w:right="2241" w:firstLine="0"/>
        <w:jc w:val="both"/>
        <w:rPr>
          <w:sz w:val="20"/>
        </w:rPr>
      </w:pPr>
      <w:r>
        <w:rPr>
          <w:sz w:val="20"/>
        </w:rPr>
        <w:t>One </w:t>
      </w:r>
      <w:r>
        <w:rPr>
          <w:i/>
          <w:sz w:val="20"/>
        </w:rPr>
        <w:t>Reviser Arabic (P-4), 12 months. Continued. Multi-year. </w:t>
      </w:r>
      <w:r>
        <w:rPr>
          <w:sz w:val="20"/>
        </w:rPr>
        <w:t>Translation and revision of official Court translations. An</w:t>
      </w:r>
      <w:r>
        <w:rPr>
          <w:spacing w:val="-4"/>
          <w:sz w:val="20"/>
        </w:rPr>
        <w:t> </w:t>
      </w:r>
      <w:r>
        <w:rPr>
          <w:sz w:val="20"/>
        </w:rPr>
        <w:t>in-house Arabic</w:t>
      </w:r>
      <w:r>
        <w:rPr>
          <w:spacing w:val="-2"/>
          <w:sz w:val="20"/>
        </w:rPr>
        <w:t> </w:t>
      </w:r>
      <w:r>
        <w:rPr>
          <w:sz w:val="20"/>
        </w:rPr>
        <w:t>Reviser is required to</w:t>
      </w:r>
      <w:r>
        <w:rPr>
          <w:spacing w:val="-4"/>
          <w:sz w:val="20"/>
        </w:rPr>
        <w:t> </w:t>
      </w:r>
      <w:r>
        <w:rPr>
          <w:sz w:val="20"/>
        </w:rPr>
        <w:t>ensure that quality</w:t>
      </w:r>
      <w:r>
        <w:rPr>
          <w:spacing w:val="-8"/>
          <w:sz w:val="20"/>
        </w:rPr>
        <w:t> </w:t>
      </w:r>
      <w:r>
        <w:rPr>
          <w:sz w:val="20"/>
        </w:rPr>
        <w:t>standards</w:t>
      </w:r>
      <w:r>
        <w:rPr>
          <w:spacing w:val="-10"/>
          <w:sz w:val="20"/>
        </w:rPr>
        <w:t> </w:t>
      </w:r>
      <w:r>
        <w:rPr>
          <w:sz w:val="20"/>
        </w:rPr>
        <w:t>are</w:t>
      </w:r>
      <w:r>
        <w:rPr>
          <w:spacing w:val="-11"/>
          <w:sz w:val="20"/>
        </w:rPr>
        <w:t> </w:t>
      </w:r>
      <w:r>
        <w:rPr>
          <w:sz w:val="20"/>
        </w:rPr>
        <w:t>maintained</w:t>
      </w:r>
      <w:r>
        <w:rPr>
          <w:spacing w:val="-8"/>
          <w:sz w:val="20"/>
        </w:rPr>
        <w:t> </w:t>
      </w:r>
      <w:r>
        <w:rPr>
          <w:sz w:val="20"/>
        </w:rPr>
        <w:t>in</w:t>
      </w:r>
      <w:r>
        <w:rPr>
          <w:spacing w:val="-8"/>
          <w:sz w:val="20"/>
        </w:rPr>
        <w:t> </w:t>
      </w:r>
      <w:r>
        <w:rPr>
          <w:sz w:val="20"/>
        </w:rPr>
        <w:t>view</w:t>
      </w:r>
      <w:r>
        <w:rPr>
          <w:spacing w:val="-10"/>
          <w:sz w:val="20"/>
        </w:rPr>
        <w:t> </w:t>
      </w:r>
      <w:r>
        <w:rPr>
          <w:sz w:val="20"/>
        </w:rPr>
        <w:t>of</w:t>
      </w:r>
      <w:r>
        <w:rPr>
          <w:spacing w:val="-8"/>
          <w:sz w:val="20"/>
        </w:rPr>
        <w:t> </w:t>
      </w:r>
      <w:r>
        <w:rPr>
          <w:sz w:val="20"/>
        </w:rPr>
        <w:t>the</w:t>
      </w:r>
      <w:r>
        <w:rPr>
          <w:spacing w:val="-7"/>
          <w:sz w:val="20"/>
        </w:rPr>
        <w:t> </w:t>
      </w:r>
      <w:r>
        <w:rPr>
          <w:sz w:val="20"/>
        </w:rPr>
        <w:t>large</w:t>
      </w:r>
      <w:r>
        <w:rPr>
          <w:spacing w:val="-7"/>
          <w:sz w:val="20"/>
        </w:rPr>
        <w:t> </w:t>
      </w:r>
      <w:r>
        <w:rPr>
          <w:sz w:val="20"/>
        </w:rPr>
        <w:t>volume</w:t>
      </w:r>
      <w:r>
        <w:rPr>
          <w:spacing w:val="-7"/>
          <w:sz w:val="20"/>
        </w:rPr>
        <w:t> </w:t>
      </w:r>
      <w:r>
        <w:rPr>
          <w:sz w:val="20"/>
        </w:rPr>
        <w:t>of</w:t>
      </w:r>
      <w:r>
        <w:rPr>
          <w:spacing w:val="-4"/>
          <w:sz w:val="20"/>
        </w:rPr>
        <w:t> </w:t>
      </w:r>
      <w:r>
        <w:rPr>
          <w:sz w:val="20"/>
        </w:rPr>
        <w:t>translation</w:t>
      </w:r>
      <w:r>
        <w:rPr>
          <w:spacing w:val="-8"/>
          <w:sz w:val="20"/>
        </w:rPr>
        <w:t> </w:t>
      </w:r>
      <w:r>
        <w:rPr>
          <w:sz w:val="20"/>
        </w:rPr>
        <w:t>requests</w:t>
      </w:r>
      <w:r>
        <w:rPr>
          <w:spacing w:val="-10"/>
          <w:sz w:val="20"/>
        </w:rPr>
        <w:t> </w:t>
      </w:r>
      <w:r>
        <w:rPr>
          <w:sz w:val="20"/>
        </w:rPr>
        <w:t>from</w:t>
      </w:r>
      <w:r>
        <w:rPr>
          <w:spacing w:val="-7"/>
          <w:sz w:val="20"/>
        </w:rPr>
        <w:t> </w:t>
      </w:r>
      <w:r>
        <w:rPr>
          <w:sz w:val="20"/>
        </w:rPr>
        <w:t>and into Arabic, including filings.</w:t>
      </w:r>
    </w:p>
    <w:p>
      <w:pPr>
        <w:pStyle w:val="BodyText"/>
        <w:spacing w:before="1"/>
        <w:rPr>
          <w:sz w:val="21"/>
        </w:rPr>
      </w:pPr>
    </w:p>
    <w:p>
      <w:pPr>
        <w:spacing w:before="0"/>
        <w:ind w:left="2246" w:right="0" w:firstLine="0"/>
        <w:jc w:val="both"/>
        <w:rPr>
          <w:i/>
          <w:sz w:val="20"/>
        </w:rPr>
      </w:pPr>
      <w:r>
        <w:rPr>
          <w:i/>
          <w:sz w:val="20"/>
        </w:rPr>
        <w:t>Field</w:t>
      </w:r>
      <w:r>
        <w:rPr>
          <w:i/>
          <w:spacing w:val="-3"/>
          <w:sz w:val="20"/>
        </w:rPr>
        <w:t> </w:t>
      </w:r>
      <w:r>
        <w:rPr>
          <w:i/>
          <w:spacing w:val="-2"/>
          <w:sz w:val="20"/>
        </w:rPr>
        <w:t>interpretation</w:t>
      </w:r>
    </w:p>
    <w:p>
      <w:pPr>
        <w:pStyle w:val="BodyText"/>
        <w:spacing w:before="10"/>
        <w:rPr>
          <w:i/>
        </w:rPr>
      </w:pPr>
    </w:p>
    <w:p>
      <w:pPr>
        <w:pStyle w:val="ListParagraph"/>
        <w:numPr>
          <w:ilvl w:val="0"/>
          <w:numId w:val="4"/>
        </w:numPr>
        <w:tabs>
          <w:tab w:pos="2967" w:val="left" w:leader="none"/>
        </w:tabs>
        <w:spacing w:line="240" w:lineRule="auto" w:before="0" w:after="0"/>
        <w:ind w:left="2246" w:right="2237" w:firstLine="0"/>
        <w:jc w:val="both"/>
        <w:rPr>
          <w:sz w:val="20"/>
        </w:rPr>
      </w:pPr>
      <w:r>
        <w:rPr>
          <w:sz w:val="20"/>
        </w:rPr>
        <w:t>The number of field and operational interpretation days requested by service users is 1,816 on the basis of the specific service requests received for 2023. Taking into account budgetary and resource constraints, a reduction of 76 days is applied based on average expenditures</w:t>
      </w:r>
      <w:r>
        <w:rPr>
          <w:spacing w:val="-13"/>
          <w:sz w:val="20"/>
        </w:rPr>
        <w:t> </w:t>
      </w:r>
      <w:r>
        <w:rPr>
          <w:sz w:val="20"/>
        </w:rPr>
        <w:t>over</w:t>
      </w:r>
      <w:r>
        <w:rPr>
          <w:spacing w:val="-12"/>
          <w:sz w:val="20"/>
        </w:rPr>
        <w:t> </w:t>
      </w:r>
      <w:r>
        <w:rPr>
          <w:sz w:val="20"/>
        </w:rPr>
        <w:t>the</w:t>
      </w:r>
      <w:r>
        <w:rPr>
          <w:spacing w:val="-11"/>
          <w:sz w:val="20"/>
        </w:rPr>
        <w:t> </w:t>
      </w:r>
      <w:r>
        <w:rPr>
          <w:sz w:val="20"/>
        </w:rPr>
        <w:t>previous</w:t>
      </w:r>
      <w:r>
        <w:rPr>
          <w:spacing w:val="-10"/>
          <w:sz w:val="20"/>
        </w:rPr>
        <w:t> </w:t>
      </w:r>
      <w:r>
        <w:rPr>
          <w:sz w:val="20"/>
        </w:rPr>
        <w:t>three</w:t>
      </w:r>
      <w:r>
        <w:rPr>
          <w:spacing w:val="-8"/>
          <w:sz w:val="20"/>
        </w:rPr>
        <w:t> </w:t>
      </w:r>
      <w:r>
        <w:rPr>
          <w:sz w:val="20"/>
        </w:rPr>
        <w:t>years.</w:t>
      </w:r>
      <w:r>
        <w:rPr>
          <w:spacing w:val="-7"/>
          <w:sz w:val="20"/>
        </w:rPr>
        <w:t> </w:t>
      </w:r>
      <w:r>
        <w:rPr>
          <w:sz w:val="20"/>
        </w:rPr>
        <w:t>Field</w:t>
      </w:r>
      <w:r>
        <w:rPr>
          <w:spacing w:val="-13"/>
          <w:sz w:val="20"/>
        </w:rPr>
        <w:t> </w:t>
      </w:r>
      <w:r>
        <w:rPr>
          <w:sz w:val="20"/>
        </w:rPr>
        <w:t>and</w:t>
      </w:r>
      <w:r>
        <w:rPr>
          <w:spacing w:val="-8"/>
          <w:sz w:val="20"/>
        </w:rPr>
        <w:t> </w:t>
      </w:r>
      <w:r>
        <w:rPr>
          <w:sz w:val="20"/>
        </w:rPr>
        <w:t>Operational</w:t>
      </w:r>
      <w:r>
        <w:rPr>
          <w:spacing w:val="-13"/>
          <w:sz w:val="20"/>
        </w:rPr>
        <w:t> </w:t>
      </w:r>
      <w:r>
        <w:rPr>
          <w:sz w:val="20"/>
        </w:rPr>
        <w:t>Interpreters</w:t>
      </w:r>
      <w:r>
        <w:rPr>
          <w:spacing w:val="-10"/>
          <w:sz w:val="20"/>
        </w:rPr>
        <w:t> </w:t>
      </w:r>
      <w:r>
        <w:rPr>
          <w:sz w:val="20"/>
        </w:rPr>
        <w:t>are</w:t>
      </w:r>
      <w:r>
        <w:rPr>
          <w:spacing w:val="-13"/>
          <w:sz w:val="20"/>
        </w:rPr>
        <w:t> </w:t>
      </w:r>
      <w:r>
        <w:rPr>
          <w:sz w:val="20"/>
        </w:rPr>
        <w:t>called</w:t>
      </w:r>
      <w:r>
        <w:rPr>
          <w:spacing w:val="-8"/>
          <w:sz w:val="20"/>
        </w:rPr>
        <w:t> </w:t>
      </w:r>
      <w:r>
        <w:rPr>
          <w:sz w:val="20"/>
        </w:rPr>
        <w:t>upon to</w:t>
      </w:r>
      <w:r>
        <w:rPr>
          <w:spacing w:val="40"/>
          <w:sz w:val="20"/>
        </w:rPr>
        <w:t> </w:t>
      </w:r>
      <w:r>
        <w:rPr>
          <w:sz w:val="20"/>
        </w:rPr>
        <w:t>provide</w:t>
      </w:r>
      <w:r>
        <w:rPr>
          <w:spacing w:val="40"/>
          <w:sz w:val="20"/>
        </w:rPr>
        <w:t> </w:t>
      </w:r>
      <w:r>
        <w:rPr>
          <w:sz w:val="20"/>
        </w:rPr>
        <w:t>services</w:t>
      </w:r>
      <w:r>
        <w:rPr>
          <w:spacing w:val="40"/>
          <w:sz w:val="20"/>
        </w:rPr>
        <w:t> </w:t>
      </w:r>
      <w:r>
        <w:rPr>
          <w:sz w:val="20"/>
        </w:rPr>
        <w:t>which</w:t>
      </w:r>
      <w:r>
        <w:rPr>
          <w:spacing w:val="40"/>
          <w:sz w:val="20"/>
        </w:rPr>
        <w:t> </w:t>
      </w:r>
      <w:r>
        <w:rPr>
          <w:sz w:val="20"/>
        </w:rPr>
        <w:t>are</w:t>
      </w:r>
      <w:r>
        <w:rPr>
          <w:spacing w:val="37"/>
          <w:sz w:val="20"/>
        </w:rPr>
        <w:t> </w:t>
      </w:r>
      <w:r>
        <w:rPr>
          <w:sz w:val="20"/>
        </w:rPr>
        <w:t>core</w:t>
      </w:r>
      <w:r>
        <w:rPr>
          <w:spacing w:val="40"/>
          <w:sz w:val="20"/>
        </w:rPr>
        <w:t> </w:t>
      </w:r>
      <w:r>
        <w:rPr>
          <w:sz w:val="20"/>
        </w:rPr>
        <w:t>to</w:t>
      </w:r>
      <w:r>
        <w:rPr>
          <w:spacing w:val="40"/>
          <w:sz w:val="20"/>
        </w:rPr>
        <w:t> </w:t>
      </w:r>
      <w:r>
        <w:rPr>
          <w:sz w:val="20"/>
        </w:rPr>
        <w:t>the</w:t>
      </w:r>
      <w:r>
        <w:rPr>
          <w:spacing w:val="40"/>
          <w:sz w:val="20"/>
        </w:rPr>
        <w:t> </w:t>
      </w:r>
      <w:r>
        <w:rPr>
          <w:sz w:val="20"/>
        </w:rPr>
        <w:t>business</w:t>
      </w:r>
      <w:r>
        <w:rPr>
          <w:spacing w:val="40"/>
          <w:sz w:val="20"/>
        </w:rPr>
        <w:t> </w:t>
      </w:r>
      <w:r>
        <w:rPr>
          <w:sz w:val="20"/>
        </w:rPr>
        <w:t>of</w:t>
      </w:r>
      <w:r>
        <w:rPr>
          <w:spacing w:val="36"/>
          <w:sz w:val="20"/>
        </w:rPr>
        <w:t> </w:t>
      </w:r>
      <w:r>
        <w:rPr>
          <w:sz w:val="20"/>
        </w:rPr>
        <w:t>the</w:t>
      </w:r>
      <w:r>
        <w:rPr>
          <w:spacing w:val="40"/>
          <w:sz w:val="20"/>
        </w:rPr>
        <w:t> </w:t>
      </w:r>
      <w:r>
        <w:rPr>
          <w:sz w:val="20"/>
        </w:rPr>
        <w:t>Court</w:t>
      </w:r>
      <w:r>
        <w:rPr>
          <w:spacing w:val="40"/>
          <w:sz w:val="20"/>
        </w:rPr>
        <w:t> </w:t>
      </w:r>
      <w:r>
        <w:rPr>
          <w:sz w:val="20"/>
        </w:rPr>
        <w:t>in</w:t>
      </w:r>
      <w:r>
        <w:rPr>
          <w:spacing w:val="40"/>
          <w:sz w:val="20"/>
        </w:rPr>
        <w:t> </w:t>
      </w:r>
      <w:r>
        <w:rPr>
          <w:sz w:val="20"/>
        </w:rPr>
        <w:t>situation</w:t>
      </w:r>
      <w:r>
        <w:rPr>
          <w:spacing w:val="36"/>
          <w:sz w:val="20"/>
        </w:rPr>
        <w:t> </w:t>
      </w:r>
      <w:r>
        <w:rPr>
          <w:sz w:val="20"/>
        </w:rPr>
        <w:t>languages – languages</w:t>
      </w:r>
      <w:r>
        <w:rPr>
          <w:spacing w:val="-10"/>
          <w:sz w:val="20"/>
        </w:rPr>
        <w:t> </w:t>
      </w:r>
      <w:r>
        <w:rPr>
          <w:sz w:val="20"/>
        </w:rPr>
        <w:t>of</w:t>
      </w:r>
      <w:r>
        <w:rPr>
          <w:spacing w:val="-4"/>
          <w:sz w:val="20"/>
        </w:rPr>
        <w:t> </w:t>
      </w:r>
      <w:r>
        <w:rPr>
          <w:sz w:val="20"/>
        </w:rPr>
        <w:t>lesser</w:t>
      </w:r>
      <w:r>
        <w:rPr>
          <w:spacing w:val="-4"/>
          <w:sz w:val="20"/>
        </w:rPr>
        <w:t> </w:t>
      </w:r>
      <w:r>
        <w:rPr>
          <w:sz w:val="20"/>
        </w:rPr>
        <w:t>diffusion</w:t>
      </w:r>
      <w:r>
        <w:rPr>
          <w:spacing w:val="-4"/>
          <w:sz w:val="20"/>
        </w:rPr>
        <w:t> </w:t>
      </w:r>
      <w:r>
        <w:rPr>
          <w:sz w:val="20"/>
        </w:rPr>
        <w:t>in</w:t>
      </w:r>
      <w:r>
        <w:rPr>
          <w:spacing w:val="-4"/>
          <w:sz w:val="20"/>
        </w:rPr>
        <w:t> </w:t>
      </w:r>
      <w:r>
        <w:rPr>
          <w:sz w:val="20"/>
        </w:rPr>
        <w:t>some</w:t>
      </w:r>
      <w:r>
        <w:rPr>
          <w:spacing w:val="-7"/>
          <w:sz w:val="20"/>
        </w:rPr>
        <w:t> </w:t>
      </w:r>
      <w:r>
        <w:rPr>
          <w:sz w:val="20"/>
        </w:rPr>
        <w:t>locations</w:t>
      </w:r>
      <w:r>
        <w:rPr>
          <w:spacing w:val="-1"/>
          <w:sz w:val="20"/>
        </w:rPr>
        <w:t> </w:t>
      </w:r>
      <w:r>
        <w:rPr>
          <w:sz w:val="20"/>
        </w:rPr>
        <w:t>–</w:t>
      </w:r>
      <w:r>
        <w:rPr>
          <w:spacing w:val="-8"/>
          <w:sz w:val="20"/>
        </w:rPr>
        <w:t> </w:t>
      </w:r>
      <w:r>
        <w:rPr>
          <w:sz w:val="20"/>
        </w:rPr>
        <w:t>at</w:t>
      </w:r>
      <w:r>
        <w:rPr>
          <w:spacing w:val="-2"/>
          <w:sz w:val="20"/>
        </w:rPr>
        <w:t> </w:t>
      </w:r>
      <w:r>
        <w:rPr>
          <w:sz w:val="20"/>
        </w:rPr>
        <w:t>short</w:t>
      </w:r>
      <w:r>
        <w:rPr>
          <w:spacing w:val="-2"/>
          <w:sz w:val="20"/>
        </w:rPr>
        <w:t> </w:t>
      </w:r>
      <w:r>
        <w:rPr>
          <w:sz w:val="20"/>
        </w:rPr>
        <w:t>notice</w:t>
      </w:r>
      <w:r>
        <w:rPr>
          <w:spacing w:val="-7"/>
          <w:sz w:val="20"/>
        </w:rPr>
        <w:t> </w:t>
      </w:r>
      <w:r>
        <w:rPr>
          <w:sz w:val="20"/>
        </w:rPr>
        <w:t>and</w:t>
      </w:r>
      <w:r>
        <w:rPr>
          <w:spacing w:val="-8"/>
          <w:sz w:val="20"/>
        </w:rPr>
        <w:t> </w:t>
      </w:r>
      <w:r>
        <w:rPr>
          <w:sz w:val="20"/>
        </w:rPr>
        <w:t>in</w:t>
      </w:r>
      <w:r>
        <w:rPr>
          <w:spacing w:val="-4"/>
          <w:sz w:val="20"/>
        </w:rPr>
        <w:t> </w:t>
      </w:r>
      <w:r>
        <w:rPr>
          <w:sz w:val="20"/>
        </w:rPr>
        <w:t>remote</w:t>
      </w:r>
      <w:r>
        <w:rPr>
          <w:spacing w:val="-7"/>
          <w:sz w:val="20"/>
        </w:rPr>
        <w:t> </w:t>
      </w:r>
      <w:r>
        <w:rPr>
          <w:sz w:val="20"/>
        </w:rPr>
        <w:t>locations.</w:t>
      </w:r>
      <w:r>
        <w:rPr>
          <w:spacing w:val="-1"/>
          <w:sz w:val="20"/>
        </w:rPr>
        <w:t> </w:t>
      </w:r>
      <w:r>
        <w:rPr>
          <w:sz w:val="20"/>
        </w:rPr>
        <w:t>In order to be able to provide these services, a wide network of connections and accredited interpreters must be maintained. The accredited field interpreters are recruited at Headquarters for operational assignments as GS-PL and as G7/1 for field assignments on location (locally recruited).</w:t>
      </w:r>
    </w:p>
    <w:p>
      <w:pPr>
        <w:pStyle w:val="ListParagraph"/>
        <w:numPr>
          <w:ilvl w:val="0"/>
          <w:numId w:val="4"/>
        </w:numPr>
        <w:tabs>
          <w:tab w:pos="2967" w:val="left" w:leader="none"/>
        </w:tabs>
        <w:spacing w:line="240" w:lineRule="auto" w:before="120" w:after="0"/>
        <w:ind w:left="2246" w:right="2242" w:firstLine="0"/>
        <w:jc w:val="both"/>
        <w:rPr>
          <w:sz w:val="20"/>
        </w:rPr>
      </w:pPr>
      <w:r>
        <w:rPr>
          <w:i/>
          <w:sz w:val="20"/>
        </w:rPr>
        <w:t>Accredited field and operational interpreters (GS-PL or G7/1), 80 months. </w:t>
      </w:r>
      <w:r>
        <w:rPr>
          <w:sz w:val="20"/>
        </w:rPr>
        <w:t>New. Representing</w:t>
      </w:r>
      <w:r>
        <w:rPr>
          <w:spacing w:val="-13"/>
          <w:sz w:val="20"/>
        </w:rPr>
        <w:t> </w:t>
      </w:r>
      <w:r>
        <w:rPr>
          <w:sz w:val="20"/>
        </w:rPr>
        <w:t>an</w:t>
      </w:r>
      <w:r>
        <w:rPr>
          <w:spacing w:val="-12"/>
          <w:sz w:val="20"/>
        </w:rPr>
        <w:t> </w:t>
      </w:r>
      <w:r>
        <w:rPr>
          <w:sz w:val="20"/>
        </w:rPr>
        <w:t>increase</w:t>
      </w:r>
      <w:r>
        <w:rPr>
          <w:spacing w:val="-13"/>
          <w:sz w:val="20"/>
        </w:rPr>
        <w:t> </w:t>
      </w:r>
      <w:r>
        <w:rPr>
          <w:sz w:val="20"/>
        </w:rPr>
        <w:t>of</w:t>
      </w:r>
      <w:r>
        <w:rPr>
          <w:spacing w:val="-12"/>
          <w:sz w:val="20"/>
        </w:rPr>
        <w:t> </w:t>
      </w:r>
      <w:r>
        <w:rPr>
          <w:sz w:val="20"/>
        </w:rPr>
        <w:t>15.7</w:t>
      </w:r>
      <w:r>
        <w:rPr>
          <w:spacing w:val="-13"/>
          <w:sz w:val="20"/>
        </w:rPr>
        <w:t> </w:t>
      </w:r>
      <w:r>
        <w:rPr>
          <w:sz w:val="20"/>
        </w:rPr>
        <w:t>months</w:t>
      </w:r>
      <w:r>
        <w:rPr>
          <w:spacing w:val="-12"/>
          <w:sz w:val="20"/>
        </w:rPr>
        <w:t> </w:t>
      </w:r>
      <w:r>
        <w:rPr>
          <w:sz w:val="20"/>
        </w:rPr>
        <w:t>compared</w:t>
      </w:r>
      <w:r>
        <w:rPr>
          <w:spacing w:val="-13"/>
          <w:sz w:val="20"/>
        </w:rPr>
        <w:t> </w:t>
      </w:r>
      <w:r>
        <w:rPr>
          <w:sz w:val="20"/>
        </w:rPr>
        <w:t>to</w:t>
      </w:r>
      <w:r>
        <w:rPr>
          <w:spacing w:val="-12"/>
          <w:sz w:val="20"/>
        </w:rPr>
        <w:t> </w:t>
      </w:r>
      <w:r>
        <w:rPr>
          <w:sz w:val="20"/>
        </w:rPr>
        <w:t>2022.</w:t>
      </w:r>
      <w:r>
        <w:rPr>
          <w:spacing w:val="-13"/>
          <w:sz w:val="20"/>
        </w:rPr>
        <w:t> </w:t>
      </w:r>
      <w:r>
        <w:rPr>
          <w:sz w:val="20"/>
        </w:rPr>
        <w:t>Field</w:t>
      </w:r>
      <w:r>
        <w:rPr>
          <w:spacing w:val="-12"/>
          <w:sz w:val="20"/>
        </w:rPr>
        <w:t> </w:t>
      </w:r>
      <w:r>
        <w:rPr>
          <w:sz w:val="20"/>
        </w:rPr>
        <w:t>interpretation</w:t>
      </w:r>
      <w:r>
        <w:rPr>
          <w:spacing w:val="-13"/>
          <w:sz w:val="20"/>
        </w:rPr>
        <w:t> </w:t>
      </w:r>
      <w:r>
        <w:rPr>
          <w:sz w:val="20"/>
        </w:rPr>
        <w:t>requirements (Individual Contractors) are included in GTA. Field interpreters are recruited on special service agreement (SSA) contracts. All requested funds are based on service requests from</w:t>
      </w:r>
    </w:p>
    <w:p>
      <w:pPr>
        <w:spacing w:after="0" w:line="240" w:lineRule="auto"/>
        <w:jc w:val="both"/>
        <w:rPr>
          <w:sz w:val="20"/>
        </w:rPr>
        <w:sectPr>
          <w:pgSz w:w="11910" w:h="16840"/>
          <w:pgMar w:header="957" w:footer="940" w:top="1140" w:bottom="1140" w:left="20" w:right="20"/>
        </w:sectPr>
      </w:pPr>
    </w:p>
    <w:p>
      <w:pPr>
        <w:pStyle w:val="BodyText"/>
        <w:spacing w:before="124"/>
        <w:ind w:left="2246" w:right="2251"/>
        <w:jc w:val="both"/>
      </w:pPr>
      <w:r>
        <w:rPr/>
        <w:t>clients which change every year, in addition to the requirement to provide field and operational interpretation for different situations and cases:</w:t>
      </w:r>
    </w:p>
    <w:p>
      <w:pPr>
        <w:pStyle w:val="BodyText"/>
        <w:spacing w:before="11"/>
      </w:pPr>
    </w:p>
    <w:p>
      <w:pPr>
        <w:spacing w:before="0"/>
        <w:ind w:left="2246" w:right="0" w:firstLine="0"/>
        <w:jc w:val="both"/>
        <w:rPr>
          <w:i/>
          <w:sz w:val="20"/>
        </w:rPr>
      </w:pPr>
      <w:r>
        <w:rPr>
          <w:i/>
          <w:sz w:val="20"/>
        </w:rPr>
        <w:t>Field</w:t>
      </w:r>
      <w:r>
        <w:rPr>
          <w:i/>
          <w:spacing w:val="-7"/>
          <w:sz w:val="20"/>
        </w:rPr>
        <w:t> </w:t>
      </w:r>
      <w:r>
        <w:rPr>
          <w:i/>
          <w:sz w:val="20"/>
        </w:rPr>
        <w:t>and</w:t>
      </w:r>
      <w:r>
        <w:rPr>
          <w:i/>
          <w:spacing w:val="-6"/>
          <w:sz w:val="20"/>
        </w:rPr>
        <w:t> </w:t>
      </w:r>
      <w:r>
        <w:rPr>
          <w:i/>
          <w:sz w:val="20"/>
        </w:rPr>
        <w:t>Operational</w:t>
      </w:r>
      <w:r>
        <w:rPr>
          <w:i/>
          <w:spacing w:val="-5"/>
          <w:sz w:val="20"/>
        </w:rPr>
        <w:t> </w:t>
      </w:r>
      <w:r>
        <w:rPr>
          <w:i/>
          <w:sz w:val="20"/>
        </w:rPr>
        <w:t>Support</w:t>
      </w:r>
      <w:r>
        <w:rPr>
          <w:i/>
          <w:spacing w:val="-2"/>
          <w:sz w:val="20"/>
        </w:rPr>
        <w:t> </w:t>
      </w:r>
      <w:r>
        <w:rPr>
          <w:i/>
          <w:sz w:val="20"/>
        </w:rPr>
        <w:t>–</w:t>
      </w:r>
      <w:r>
        <w:rPr>
          <w:i/>
          <w:spacing w:val="-1"/>
          <w:sz w:val="20"/>
        </w:rPr>
        <w:t> </w:t>
      </w:r>
      <w:r>
        <w:rPr>
          <w:i/>
          <w:spacing w:val="-5"/>
          <w:sz w:val="20"/>
        </w:rPr>
        <w:t>CAR</w:t>
      </w:r>
    </w:p>
    <w:p>
      <w:pPr>
        <w:pStyle w:val="BodyText"/>
        <w:rPr>
          <w:i/>
          <w:sz w:val="21"/>
        </w:rPr>
      </w:pPr>
    </w:p>
    <w:p>
      <w:pPr>
        <w:pStyle w:val="ListParagraph"/>
        <w:numPr>
          <w:ilvl w:val="0"/>
          <w:numId w:val="4"/>
        </w:numPr>
        <w:tabs>
          <w:tab w:pos="2967" w:val="left" w:leader="none"/>
        </w:tabs>
        <w:spacing w:line="240" w:lineRule="auto" w:before="0" w:after="0"/>
        <w:ind w:left="2246" w:right="2244" w:firstLine="0"/>
        <w:jc w:val="both"/>
        <w:rPr>
          <w:sz w:val="20"/>
        </w:rPr>
      </w:pPr>
      <w:r>
        <w:rPr>
          <w:sz w:val="20"/>
        </w:rPr>
        <w:t>For the situation in the CAR, field and operational interpreters in Sango will have to be deployed for an estimated 14 working months to support VWS, VPRS, missions undertaken</w:t>
      </w:r>
      <w:r>
        <w:rPr>
          <w:spacing w:val="-13"/>
          <w:sz w:val="20"/>
        </w:rPr>
        <w:t> </w:t>
      </w:r>
      <w:r>
        <w:rPr>
          <w:sz w:val="20"/>
        </w:rPr>
        <w:t>by</w:t>
      </w:r>
      <w:r>
        <w:rPr>
          <w:spacing w:val="-12"/>
          <w:sz w:val="20"/>
        </w:rPr>
        <w:t> </w:t>
      </w:r>
      <w:r>
        <w:rPr>
          <w:sz w:val="20"/>
        </w:rPr>
        <w:t>counsel,</w:t>
      </w:r>
      <w:r>
        <w:rPr>
          <w:spacing w:val="-13"/>
          <w:sz w:val="20"/>
        </w:rPr>
        <w:t> </w:t>
      </w:r>
      <w:r>
        <w:rPr>
          <w:sz w:val="20"/>
        </w:rPr>
        <w:t>TFV</w:t>
      </w:r>
      <w:r>
        <w:rPr>
          <w:spacing w:val="-12"/>
          <w:sz w:val="20"/>
        </w:rPr>
        <w:t> </w:t>
      </w:r>
      <w:r>
        <w:rPr>
          <w:sz w:val="20"/>
        </w:rPr>
        <w:t>and</w:t>
      </w:r>
      <w:r>
        <w:rPr>
          <w:spacing w:val="-13"/>
          <w:sz w:val="20"/>
        </w:rPr>
        <w:t> </w:t>
      </w:r>
      <w:r>
        <w:rPr>
          <w:sz w:val="20"/>
        </w:rPr>
        <w:t>OPCV</w:t>
      </w:r>
      <w:r>
        <w:rPr>
          <w:spacing w:val="-12"/>
          <w:sz w:val="20"/>
        </w:rPr>
        <w:t> </w:t>
      </w:r>
      <w:r>
        <w:rPr>
          <w:sz w:val="20"/>
        </w:rPr>
        <w:t>field</w:t>
      </w:r>
      <w:r>
        <w:rPr>
          <w:spacing w:val="-13"/>
          <w:sz w:val="20"/>
        </w:rPr>
        <w:t> </w:t>
      </w:r>
      <w:r>
        <w:rPr>
          <w:sz w:val="20"/>
        </w:rPr>
        <w:t>visits</w:t>
      </w:r>
      <w:r>
        <w:rPr>
          <w:spacing w:val="-12"/>
          <w:sz w:val="20"/>
        </w:rPr>
        <w:t> </w:t>
      </w:r>
      <w:r>
        <w:rPr>
          <w:sz w:val="20"/>
        </w:rPr>
        <w:t>and</w:t>
      </w:r>
      <w:r>
        <w:rPr>
          <w:spacing w:val="-13"/>
          <w:sz w:val="20"/>
        </w:rPr>
        <w:t> </w:t>
      </w:r>
      <w:r>
        <w:rPr>
          <w:sz w:val="20"/>
        </w:rPr>
        <w:t>activities</w:t>
      </w:r>
      <w:r>
        <w:rPr>
          <w:spacing w:val="-12"/>
          <w:sz w:val="20"/>
        </w:rPr>
        <w:t> </w:t>
      </w:r>
      <w:r>
        <w:rPr>
          <w:sz w:val="20"/>
        </w:rPr>
        <w:t>related</w:t>
      </w:r>
      <w:r>
        <w:rPr>
          <w:spacing w:val="-13"/>
          <w:sz w:val="20"/>
        </w:rPr>
        <w:t> </w:t>
      </w:r>
      <w:r>
        <w:rPr>
          <w:sz w:val="20"/>
        </w:rPr>
        <w:t>to</w:t>
      </w:r>
      <w:r>
        <w:rPr>
          <w:spacing w:val="-12"/>
          <w:sz w:val="20"/>
        </w:rPr>
        <w:t> </w:t>
      </w:r>
      <w:r>
        <w:rPr>
          <w:sz w:val="20"/>
        </w:rPr>
        <w:t>witness</w:t>
      </w:r>
      <w:r>
        <w:rPr>
          <w:spacing w:val="-13"/>
          <w:sz w:val="20"/>
        </w:rPr>
        <w:t> </w:t>
      </w:r>
      <w:r>
        <w:rPr>
          <w:sz w:val="20"/>
        </w:rPr>
        <w:t>protection and support in the field.</w:t>
      </w:r>
    </w:p>
    <w:p>
      <w:pPr>
        <w:pStyle w:val="BodyText"/>
        <w:rPr>
          <w:sz w:val="21"/>
        </w:rPr>
      </w:pPr>
    </w:p>
    <w:p>
      <w:pPr>
        <w:spacing w:before="0"/>
        <w:ind w:left="2246" w:right="0" w:firstLine="0"/>
        <w:jc w:val="both"/>
        <w:rPr>
          <w:i/>
          <w:sz w:val="20"/>
        </w:rPr>
      </w:pPr>
      <w:r>
        <w:rPr>
          <w:i/>
          <w:sz w:val="20"/>
        </w:rPr>
        <w:t>Field</w:t>
      </w:r>
      <w:r>
        <w:rPr>
          <w:i/>
          <w:spacing w:val="-7"/>
          <w:sz w:val="20"/>
        </w:rPr>
        <w:t> </w:t>
      </w:r>
      <w:r>
        <w:rPr>
          <w:i/>
          <w:sz w:val="20"/>
        </w:rPr>
        <w:t>and</w:t>
      </w:r>
      <w:r>
        <w:rPr>
          <w:i/>
          <w:spacing w:val="-6"/>
          <w:sz w:val="20"/>
        </w:rPr>
        <w:t> </w:t>
      </w:r>
      <w:r>
        <w:rPr>
          <w:i/>
          <w:sz w:val="20"/>
        </w:rPr>
        <w:t>Operational</w:t>
      </w:r>
      <w:r>
        <w:rPr>
          <w:i/>
          <w:spacing w:val="-4"/>
          <w:sz w:val="20"/>
        </w:rPr>
        <w:t> </w:t>
      </w:r>
      <w:r>
        <w:rPr>
          <w:i/>
          <w:sz w:val="20"/>
        </w:rPr>
        <w:t>Support</w:t>
      </w:r>
      <w:r>
        <w:rPr>
          <w:i/>
          <w:spacing w:val="-5"/>
          <w:sz w:val="20"/>
        </w:rPr>
        <w:t> </w:t>
      </w:r>
      <w:r>
        <w:rPr>
          <w:i/>
          <w:sz w:val="20"/>
        </w:rPr>
        <w:t>–</w:t>
      </w:r>
      <w:r>
        <w:rPr>
          <w:i/>
          <w:spacing w:val="-1"/>
          <w:sz w:val="20"/>
        </w:rPr>
        <w:t> </w:t>
      </w:r>
      <w:r>
        <w:rPr>
          <w:i/>
          <w:sz w:val="20"/>
        </w:rPr>
        <w:t>Côte</w:t>
      </w:r>
      <w:r>
        <w:rPr>
          <w:i/>
          <w:spacing w:val="-4"/>
          <w:sz w:val="20"/>
        </w:rPr>
        <w:t> </w:t>
      </w:r>
      <w:r>
        <w:rPr>
          <w:i/>
          <w:spacing w:val="-2"/>
          <w:sz w:val="20"/>
        </w:rPr>
        <w:t>d</w:t>
      </w:r>
      <w:r>
        <w:rPr>
          <w:i/>
          <w:color w:val="5F6268"/>
          <w:spacing w:val="-2"/>
          <w:sz w:val="20"/>
        </w:rPr>
        <w:t>’</w:t>
      </w:r>
      <w:r>
        <w:rPr>
          <w:i/>
          <w:spacing w:val="-2"/>
          <w:sz w:val="20"/>
        </w:rPr>
        <w:t>Ivoire</w:t>
      </w:r>
    </w:p>
    <w:p>
      <w:pPr>
        <w:pStyle w:val="BodyText"/>
        <w:spacing w:before="10"/>
        <w:rPr>
          <w:i/>
        </w:rPr>
      </w:pPr>
    </w:p>
    <w:p>
      <w:pPr>
        <w:pStyle w:val="ListParagraph"/>
        <w:numPr>
          <w:ilvl w:val="0"/>
          <w:numId w:val="4"/>
        </w:numPr>
        <w:tabs>
          <w:tab w:pos="2967" w:val="left" w:leader="none"/>
        </w:tabs>
        <w:spacing w:line="240" w:lineRule="auto" w:before="0" w:after="0"/>
        <w:ind w:left="2246" w:right="2243" w:firstLine="0"/>
        <w:jc w:val="both"/>
        <w:rPr>
          <w:sz w:val="20"/>
        </w:rPr>
      </w:pPr>
      <w:r>
        <w:rPr>
          <w:sz w:val="20"/>
        </w:rPr>
        <w:t>For the case and situation in Côte d</w:t>
      </w:r>
      <w:r>
        <w:rPr>
          <w:color w:val="5F6268"/>
          <w:sz w:val="20"/>
        </w:rPr>
        <w:t>’</w:t>
      </w:r>
      <w:r>
        <w:rPr>
          <w:sz w:val="20"/>
        </w:rPr>
        <w:t>Ivoire, field and operational interpreters in Dyula and other Côte d’Ivoire situation languages will be deployed for 1 working month in total. The interpreters will be deployed to support 20 days of TFV field visits.</w:t>
      </w:r>
    </w:p>
    <w:p>
      <w:pPr>
        <w:pStyle w:val="BodyText"/>
        <w:spacing w:before="7"/>
      </w:pPr>
    </w:p>
    <w:p>
      <w:pPr>
        <w:spacing w:before="0"/>
        <w:ind w:left="2246" w:right="0" w:firstLine="0"/>
        <w:jc w:val="both"/>
        <w:rPr>
          <w:i/>
          <w:sz w:val="20"/>
        </w:rPr>
      </w:pPr>
      <w:r>
        <w:rPr>
          <w:i/>
          <w:sz w:val="20"/>
        </w:rPr>
        <w:t>Field</w:t>
      </w:r>
      <w:r>
        <w:rPr>
          <w:i/>
          <w:spacing w:val="-8"/>
          <w:sz w:val="20"/>
        </w:rPr>
        <w:t> </w:t>
      </w:r>
      <w:r>
        <w:rPr>
          <w:i/>
          <w:sz w:val="20"/>
        </w:rPr>
        <w:t>and</w:t>
      </w:r>
      <w:r>
        <w:rPr>
          <w:i/>
          <w:spacing w:val="-6"/>
          <w:sz w:val="20"/>
        </w:rPr>
        <w:t> </w:t>
      </w:r>
      <w:r>
        <w:rPr>
          <w:i/>
          <w:sz w:val="20"/>
        </w:rPr>
        <w:t>Operational</w:t>
      </w:r>
      <w:r>
        <w:rPr>
          <w:i/>
          <w:spacing w:val="-4"/>
          <w:sz w:val="20"/>
        </w:rPr>
        <w:t> </w:t>
      </w:r>
      <w:r>
        <w:rPr>
          <w:i/>
          <w:sz w:val="20"/>
        </w:rPr>
        <w:t>support</w:t>
      </w:r>
      <w:r>
        <w:rPr>
          <w:i/>
          <w:spacing w:val="-2"/>
          <w:sz w:val="20"/>
        </w:rPr>
        <w:t> </w:t>
      </w:r>
      <w:r>
        <w:rPr>
          <w:i/>
          <w:sz w:val="20"/>
        </w:rPr>
        <w:t>–</w:t>
      </w:r>
      <w:r>
        <w:rPr>
          <w:i/>
          <w:spacing w:val="-4"/>
          <w:sz w:val="20"/>
        </w:rPr>
        <w:t> </w:t>
      </w:r>
      <w:r>
        <w:rPr>
          <w:i/>
          <w:spacing w:val="-5"/>
          <w:sz w:val="20"/>
        </w:rPr>
        <w:t>DRC</w:t>
      </w:r>
    </w:p>
    <w:p>
      <w:pPr>
        <w:pStyle w:val="BodyText"/>
        <w:spacing w:before="10"/>
        <w:rPr>
          <w:i/>
        </w:rPr>
      </w:pPr>
    </w:p>
    <w:p>
      <w:pPr>
        <w:pStyle w:val="ListParagraph"/>
        <w:numPr>
          <w:ilvl w:val="0"/>
          <w:numId w:val="4"/>
        </w:numPr>
        <w:tabs>
          <w:tab w:pos="2967" w:val="left" w:leader="none"/>
        </w:tabs>
        <w:spacing w:line="240" w:lineRule="auto" w:before="1" w:after="0"/>
        <w:ind w:left="2246" w:right="2247" w:firstLine="0"/>
        <w:jc w:val="both"/>
        <w:rPr>
          <w:sz w:val="20"/>
        </w:rPr>
      </w:pPr>
      <w:r>
        <w:rPr>
          <w:sz w:val="20"/>
        </w:rPr>
        <w:t>For the cases and situations in DRC, field and operational interpreters will be deployed</w:t>
      </w:r>
      <w:r>
        <w:rPr>
          <w:spacing w:val="-4"/>
          <w:sz w:val="20"/>
        </w:rPr>
        <w:t> </w:t>
      </w:r>
      <w:r>
        <w:rPr>
          <w:sz w:val="20"/>
        </w:rPr>
        <w:t>to support</w:t>
      </w:r>
      <w:r>
        <w:rPr>
          <w:spacing w:val="-7"/>
          <w:sz w:val="20"/>
        </w:rPr>
        <w:t> </w:t>
      </w:r>
      <w:r>
        <w:rPr>
          <w:sz w:val="20"/>
        </w:rPr>
        <w:t>missions</w:t>
      </w:r>
      <w:r>
        <w:rPr>
          <w:spacing w:val="-5"/>
          <w:sz w:val="20"/>
        </w:rPr>
        <w:t> </w:t>
      </w:r>
      <w:r>
        <w:rPr>
          <w:sz w:val="20"/>
        </w:rPr>
        <w:t>undertaken</w:t>
      </w:r>
      <w:r>
        <w:rPr>
          <w:spacing w:val="-4"/>
          <w:sz w:val="20"/>
        </w:rPr>
        <w:t> </w:t>
      </w:r>
      <w:r>
        <w:rPr>
          <w:sz w:val="20"/>
        </w:rPr>
        <w:t>by</w:t>
      </w:r>
      <w:r>
        <w:rPr>
          <w:spacing w:val="-5"/>
          <w:sz w:val="20"/>
        </w:rPr>
        <w:t> </w:t>
      </w:r>
      <w:r>
        <w:rPr>
          <w:sz w:val="20"/>
        </w:rPr>
        <w:t>counsel,</w:t>
      </w:r>
      <w:r>
        <w:rPr>
          <w:spacing w:val="-2"/>
          <w:sz w:val="20"/>
        </w:rPr>
        <w:t> </w:t>
      </w:r>
      <w:r>
        <w:rPr>
          <w:sz w:val="20"/>
        </w:rPr>
        <w:t>TFV</w:t>
      </w:r>
      <w:r>
        <w:rPr>
          <w:spacing w:val="-5"/>
          <w:sz w:val="20"/>
        </w:rPr>
        <w:t> </w:t>
      </w:r>
      <w:r>
        <w:rPr>
          <w:sz w:val="20"/>
        </w:rPr>
        <w:t>and OPCV</w:t>
      </w:r>
      <w:r>
        <w:rPr>
          <w:spacing w:val="-5"/>
          <w:sz w:val="20"/>
        </w:rPr>
        <w:t> </w:t>
      </w:r>
      <w:r>
        <w:rPr>
          <w:sz w:val="20"/>
        </w:rPr>
        <w:t>for</w:t>
      </w:r>
      <w:r>
        <w:rPr>
          <w:spacing w:val="-4"/>
          <w:sz w:val="20"/>
        </w:rPr>
        <w:t> </w:t>
      </w:r>
      <w:r>
        <w:rPr>
          <w:sz w:val="20"/>
        </w:rPr>
        <w:t>4 working</w:t>
      </w:r>
      <w:r>
        <w:rPr>
          <w:spacing w:val="-4"/>
          <w:sz w:val="20"/>
        </w:rPr>
        <w:t> </w:t>
      </w:r>
      <w:r>
        <w:rPr>
          <w:sz w:val="20"/>
        </w:rPr>
        <w:t>months in total as per service requests.</w:t>
      </w:r>
    </w:p>
    <w:p>
      <w:pPr>
        <w:pStyle w:val="BodyText"/>
        <w:rPr>
          <w:sz w:val="21"/>
        </w:rPr>
      </w:pPr>
    </w:p>
    <w:p>
      <w:pPr>
        <w:spacing w:before="0"/>
        <w:ind w:left="2246" w:right="0" w:firstLine="0"/>
        <w:jc w:val="both"/>
        <w:rPr>
          <w:i/>
          <w:sz w:val="20"/>
        </w:rPr>
      </w:pPr>
      <w:r>
        <w:rPr>
          <w:i/>
          <w:sz w:val="20"/>
        </w:rPr>
        <w:t>Field</w:t>
      </w:r>
      <w:r>
        <w:rPr>
          <w:i/>
          <w:spacing w:val="-6"/>
          <w:sz w:val="20"/>
        </w:rPr>
        <w:t> </w:t>
      </w:r>
      <w:r>
        <w:rPr>
          <w:i/>
          <w:sz w:val="20"/>
        </w:rPr>
        <w:t>and</w:t>
      </w:r>
      <w:r>
        <w:rPr>
          <w:i/>
          <w:spacing w:val="-6"/>
          <w:sz w:val="20"/>
        </w:rPr>
        <w:t> </w:t>
      </w:r>
      <w:r>
        <w:rPr>
          <w:i/>
          <w:sz w:val="20"/>
        </w:rPr>
        <w:t>Operational</w:t>
      </w:r>
      <w:r>
        <w:rPr>
          <w:i/>
          <w:spacing w:val="-4"/>
          <w:sz w:val="20"/>
        </w:rPr>
        <w:t> </w:t>
      </w:r>
      <w:r>
        <w:rPr>
          <w:i/>
          <w:sz w:val="20"/>
        </w:rPr>
        <w:t>support</w:t>
      </w:r>
      <w:r>
        <w:rPr>
          <w:i/>
          <w:spacing w:val="-2"/>
          <w:sz w:val="20"/>
        </w:rPr>
        <w:t> </w:t>
      </w:r>
      <w:r>
        <w:rPr>
          <w:i/>
          <w:sz w:val="20"/>
        </w:rPr>
        <w:t>–</w:t>
      </w:r>
      <w:r>
        <w:rPr>
          <w:i/>
          <w:spacing w:val="-4"/>
          <w:sz w:val="20"/>
        </w:rPr>
        <w:t> </w:t>
      </w:r>
      <w:r>
        <w:rPr>
          <w:i/>
          <w:spacing w:val="-2"/>
          <w:sz w:val="20"/>
        </w:rPr>
        <w:t>Georgia</w:t>
      </w:r>
    </w:p>
    <w:p>
      <w:pPr>
        <w:pStyle w:val="BodyText"/>
        <w:spacing w:before="10"/>
        <w:rPr>
          <w:i/>
        </w:rPr>
      </w:pPr>
    </w:p>
    <w:p>
      <w:pPr>
        <w:pStyle w:val="ListParagraph"/>
        <w:numPr>
          <w:ilvl w:val="0"/>
          <w:numId w:val="4"/>
        </w:numPr>
        <w:tabs>
          <w:tab w:pos="2967" w:val="left" w:leader="none"/>
        </w:tabs>
        <w:spacing w:line="240" w:lineRule="auto" w:before="0" w:after="0"/>
        <w:ind w:left="2246" w:right="2249" w:firstLine="0"/>
        <w:jc w:val="both"/>
        <w:rPr>
          <w:sz w:val="20"/>
        </w:rPr>
      </w:pPr>
      <w:r>
        <w:rPr>
          <w:sz w:val="20"/>
        </w:rPr>
        <w:t>For the Georgia situation, field and operational interpreters in Georgian, Ossetian and</w:t>
      </w:r>
      <w:r>
        <w:rPr>
          <w:spacing w:val="-9"/>
          <w:sz w:val="20"/>
        </w:rPr>
        <w:t> </w:t>
      </w:r>
      <w:r>
        <w:rPr>
          <w:sz w:val="20"/>
        </w:rPr>
        <w:t>Russian</w:t>
      </w:r>
      <w:r>
        <w:rPr>
          <w:spacing w:val="-5"/>
          <w:sz w:val="20"/>
        </w:rPr>
        <w:t> </w:t>
      </w:r>
      <w:r>
        <w:rPr>
          <w:sz w:val="20"/>
        </w:rPr>
        <w:t>will</w:t>
      </w:r>
      <w:r>
        <w:rPr>
          <w:spacing w:val="-8"/>
          <w:sz w:val="20"/>
        </w:rPr>
        <w:t> </w:t>
      </w:r>
      <w:r>
        <w:rPr>
          <w:sz w:val="20"/>
        </w:rPr>
        <w:t>have</w:t>
      </w:r>
      <w:r>
        <w:rPr>
          <w:spacing w:val="-8"/>
          <w:sz w:val="20"/>
        </w:rPr>
        <w:t> </w:t>
      </w:r>
      <w:r>
        <w:rPr>
          <w:sz w:val="20"/>
        </w:rPr>
        <w:t>to</w:t>
      </w:r>
      <w:r>
        <w:rPr>
          <w:spacing w:val="-5"/>
          <w:sz w:val="20"/>
        </w:rPr>
        <w:t> </w:t>
      </w:r>
      <w:r>
        <w:rPr>
          <w:sz w:val="20"/>
        </w:rPr>
        <w:t>be</w:t>
      </w:r>
      <w:r>
        <w:rPr>
          <w:spacing w:val="-8"/>
          <w:sz w:val="20"/>
        </w:rPr>
        <w:t> </w:t>
      </w:r>
      <w:r>
        <w:rPr>
          <w:sz w:val="20"/>
        </w:rPr>
        <w:t>deployed</w:t>
      </w:r>
      <w:r>
        <w:rPr>
          <w:spacing w:val="-5"/>
          <w:sz w:val="20"/>
        </w:rPr>
        <w:t> </w:t>
      </w:r>
      <w:r>
        <w:rPr>
          <w:sz w:val="20"/>
        </w:rPr>
        <w:t>for</w:t>
      </w:r>
      <w:r>
        <w:rPr>
          <w:spacing w:val="-9"/>
          <w:sz w:val="20"/>
        </w:rPr>
        <w:t> </w:t>
      </w:r>
      <w:r>
        <w:rPr>
          <w:sz w:val="20"/>
        </w:rPr>
        <w:t>an</w:t>
      </w:r>
      <w:r>
        <w:rPr>
          <w:spacing w:val="-9"/>
          <w:sz w:val="20"/>
        </w:rPr>
        <w:t> </w:t>
      </w:r>
      <w:r>
        <w:rPr>
          <w:sz w:val="20"/>
        </w:rPr>
        <w:t>estimated</w:t>
      </w:r>
      <w:r>
        <w:rPr>
          <w:spacing w:val="-9"/>
          <w:sz w:val="20"/>
        </w:rPr>
        <w:t> </w:t>
      </w:r>
      <w:r>
        <w:rPr>
          <w:sz w:val="20"/>
        </w:rPr>
        <w:t>0.7</w:t>
      </w:r>
      <w:r>
        <w:rPr>
          <w:spacing w:val="-5"/>
          <w:sz w:val="20"/>
        </w:rPr>
        <w:t> </w:t>
      </w:r>
      <w:r>
        <w:rPr>
          <w:sz w:val="20"/>
        </w:rPr>
        <w:t>working</w:t>
      </w:r>
      <w:r>
        <w:rPr>
          <w:spacing w:val="-9"/>
          <w:sz w:val="20"/>
        </w:rPr>
        <w:t> </w:t>
      </w:r>
      <w:r>
        <w:rPr>
          <w:sz w:val="20"/>
        </w:rPr>
        <w:t>months</w:t>
      </w:r>
      <w:r>
        <w:rPr>
          <w:spacing w:val="-11"/>
          <w:sz w:val="20"/>
        </w:rPr>
        <w:t> </w:t>
      </w:r>
      <w:r>
        <w:rPr>
          <w:sz w:val="20"/>
        </w:rPr>
        <w:t>in</w:t>
      </w:r>
      <w:r>
        <w:rPr>
          <w:spacing w:val="-9"/>
          <w:sz w:val="20"/>
        </w:rPr>
        <w:t> </w:t>
      </w:r>
      <w:r>
        <w:rPr>
          <w:sz w:val="20"/>
        </w:rPr>
        <w:t>total</w:t>
      </w:r>
      <w:r>
        <w:rPr>
          <w:spacing w:val="-8"/>
          <w:sz w:val="20"/>
        </w:rPr>
        <w:t> </w:t>
      </w:r>
      <w:r>
        <w:rPr>
          <w:sz w:val="20"/>
        </w:rPr>
        <w:t>to</w:t>
      </w:r>
      <w:r>
        <w:rPr>
          <w:spacing w:val="-9"/>
          <w:sz w:val="20"/>
        </w:rPr>
        <w:t> </w:t>
      </w:r>
      <w:r>
        <w:rPr>
          <w:sz w:val="20"/>
        </w:rPr>
        <w:t>support VPRS, TFV and outreach missions.</w:t>
      </w:r>
    </w:p>
    <w:p>
      <w:pPr>
        <w:pStyle w:val="BodyText"/>
        <w:rPr>
          <w:sz w:val="21"/>
        </w:rPr>
      </w:pPr>
    </w:p>
    <w:p>
      <w:pPr>
        <w:spacing w:before="1"/>
        <w:ind w:left="2246" w:right="0" w:firstLine="0"/>
        <w:jc w:val="both"/>
        <w:rPr>
          <w:i/>
          <w:sz w:val="20"/>
        </w:rPr>
      </w:pPr>
      <w:r>
        <w:rPr>
          <w:i/>
          <w:sz w:val="20"/>
        </w:rPr>
        <w:t>Field</w:t>
      </w:r>
      <w:r>
        <w:rPr>
          <w:i/>
          <w:spacing w:val="-5"/>
          <w:sz w:val="20"/>
        </w:rPr>
        <w:t> </w:t>
      </w:r>
      <w:r>
        <w:rPr>
          <w:i/>
          <w:sz w:val="20"/>
        </w:rPr>
        <w:t>and</w:t>
      </w:r>
      <w:r>
        <w:rPr>
          <w:i/>
          <w:spacing w:val="-6"/>
          <w:sz w:val="20"/>
        </w:rPr>
        <w:t> </w:t>
      </w:r>
      <w:r>
        <w:rPr>
          <w:i/>
          <w:sz w:val="20"/>
        </w:rPr>
        <w:t>Operational</w:t>
      </w:r>
      <w:r>
        <w:rPr>
          <w:i/>
          <w:spacing w:val="-4"/>
          <w:sz w:val="20"/>
        </w:rPr>
        <w:t> </w:t>
      </w:r>
      <w:r>
        <w:rPr>
          <w:i/>
          <w:sz w:val="20"/>
        </w:rPr>
        <w:t>support</w:t>
      </w:r>
      <w:r>
        <w:rPr>
          <w:i/>
          <w:spacing w:val="-3"/>
          <w:sz w:val="20"/>
        </w:rPr>
        <w:t> </w:t>
      </w:r>
      <w:r>
        <w:rPr>
          <w:i/>
          <w:sz w:val="20"/>
        </w:rPr>
        <w:t>–</w:t>
      </w:r>
      <w:r>
        <w:rPr>
          <w:i/>
          <w:spacing w:val="-4"/>
          <w:sz w:val="20"/>
        </w:rPr>
        <w:t> Mali</w:t>
      </w:r>
    </w:p>
    <w:p>
      <w:pPr>
        <w:pStyle w:val="BodyText"/>
        <w:rPr>
          <w:i/>
          <w:sz w:val="21"/>
        </w:rPr>
      </w:pPr>
    </w:p>
    <w:p>
      <w:pPr>
        <w:pStyle w:val="ListParagraph"/>
        <w:numPr>
          <w:ilvl w:val="0"/>
          <w:numId w:val="4"/>
        </w:numPr>
        <w:tabs>
          <w:tab w:pos="2967" w:val="left" w:leader="none"/>
        </w:tabs>
        <w:spacing w:line="237" w:lineRule="auto" w:before="0" w:after="0"/>
        <w:ind w:left="2246" w:right="2243" w:firstLine="0"/>
        <w:jc w:val="both"/>
        <w:rPr>
          <w:sz w:val="20"/>
        </w:rPr>
      </w:pPr>
      <w:r>
        <w:rPr>
          <w:sz w:val="20"/>
        </w:rPr>
        <w:t>For the Mali situation, for meetings with victims, witnesses, intermediaries and Defence counsel clients, field and operational interpreters in Bambara, Songhay and especially</w:t>
      </w:r>
      <w:r>
        <w:rPr>
          <w:spacing w:val="-8"/>
          <w:sz w:val="20"/>
        </w:rPr>
        <w:t> </w:t>
      </w:r>
      <w:r>
        <w:rPr>
          <w:sz w:val="20"/>
        </w:rPr>
        <w:t>Tamasheq</w:t>
      </w:r>
      <w:r>
        <w:rPr>
          <w:spacing w:val="-4"/>
          <w:sz w:val="20"/>
        </w:rPr>
        <w:t> </w:t>
      </w:r>
      <w:r>
        <w:rPr>
          <w:sz w:val="20"/>
        </w:rPr>
        <w:t>will</w:t>
      </w:r>
      <w:r>
        <w:rPr>
          <w:spacing w:val="-2"/>
          <w:sz w:val="20"/>
        </w:rPr>
        <w:t> </w:t>
      </w:r>
      <w:r>
        <w:rPr>
          <w:sz w:val="20"/>
        </w:rPr>
        <w:t>have</w:t>
      </w:r>
      <w:r>
        <w:rPr>
          <w:spacing w:val="-2"/>
          <w:sz w:val="20"/>
        </w:rPr>
        <w:t> </w:t>
      </w:r>
      <w:r>
        <w:rPr>
          <w:sz w:val="20"/>
        </w:rPr>
        <w:t>to</w:t>
      </w:r>
      <w:r>
        <w:rPr>
          <w:spacing w:val="-4"/>
          <w:sz w:val="20"/>
        </w:rPr>
        <w:t> </w:t>
      </w:r>
      <w:r>
        <w:rPr>
          <w:sz w:val="20"/>
        </w:rPr>
        <w:t>be</w:t>
      </w:r>
      <w:r>
        <w:rPr>
          <w:spacing w:val="-2"/>
          <w:sz w:val="20"/>
        </w:rPr>
        <w:t> </w:t>
      </w:r>
      <w:r>
        <w:rPr>
          <w:sz w:val="20"/>
        </w:rPr>
        <w:t>deployed</w:t>
      </w:r>
      <w:r>
        <w:rPr>
          <w:spacing w:val="-4"/>
          <w:sz w:val="20"/>
        </w:rPr>
        <w:t> </w:t>
      </w:r>
      <w:r>
        <w:rPr>
          <w:sz w:val="20"/>
        </w:rPr>
        <w:t>for</w:t>
      </w:r>
      <w:r>
        <w:rPr>
          <w:spacing w:val="-8"/>
          <w:sz w:val="20"/>
        </w:rPr>
        <w:t> </w:t>
      </w:r>
      <w:r>
        <w:rPr>
          <w:sz w:val="20"/>
        </w:rPr>
        <w:t>an</w:t>
      </w:r>
      <w:r>
        <w:rPr>
          <w:spacing w:val="-4"/>
          <w:sz w:val="20"/>
        </w:rPr>
        <w:t> </w:t>
      </w:r>
      <w:r>
        <w:rPr>
          <w:sz w:val="20"/>
        </w:rPr>
        <w:t>estimated 11.6</w:t>
      </w:r>
      <w:r>
        <w:rPr>
          <w:spacing w:val="-4"/>
          <w:sz w:val="20"/>
        </w:rPr>
        <w:t> </w:t>
      </w:r>
      <w:r>
        <w:rPr>
          <w:sz w:val="20"/>
        </w:rPr>
        <w:t>working</w:t>
      </w:r>
      <w:r>
        <w:rPr>
          <w:spacing w:val="-8"/>
          <w:sz w:val="20"/>
        </w:rPr>
        <w:t> </w:t>
      </w:r>
      <w:r>
        <w:rPr>
          <w:sz w:val="20"/>
        </w:rPr>
        <w:t>months</w:t>
      </w:r>
      <w:r>
        <w:rPr>
          <w:spacing w:val="-5"/>
          <w:sz w:val="20"/>
        </w:rPr>
        <w:t> </w:t>
      </w:r>
      <w:r>
        <w:rPr>
          <w:sz w:val="20"/>
        </w:rPr>
        <w:t>in</w:t>
      </w:r>
      <w:r>
        <w:rPr>
          <w:spacing w:val="-4"/>
          <w:sz w:val="20"/>
        </w:rPr>
        <w:t> </w:t>
      </w:r>
      <w:r>
        <w:rPr>
          <w:sz w:val="20"/>
        </w:rPr>
        <w:t>total to support CSS, VWS, PIOS and TFV.</w:t>
      </w:r>
    </w:p>
    <w:p>
      <w:pPr>
        <w:pStyle w:val="BodyText"/>
        <w:spacing w:before="3"/>
        <w:rPr>
          <w:sz w:val="21"/>
        </w:rPr>
      </w:pPr>
    </w:p>
    <w:p>
      <w:pPr>
        <w:spacing w:before="0"/>
        <w:ind w:left="2246" w:right="0" w:firstLine="0"/>
        <w:jc w:val="both"/>
        <w:rPr>
          <w:i/>
          <w:sz w:val="20"/>
        </w:rPr>
      </w:pPr>
      <w:r>
        <w:rPr>
          <w:i/>
          <w:sz w:val="20"/>
        </w:rPr>
        <w:t>Field</w:t>
      </w:r>
      <w:r>
        <w:rPr>
          <w:i/>
          <w:spacing w:val="-8"/>
          <w:sz w:val="20"/>
        </w:rPr>
        <w:t> </w:t>
      </w:r>
      <w:r>
        <w:rPr>
          <w:i/>
          <w:sz w:val="20"/>
        </w:rPr>
        <w:t>and</w:t>
      </w:r>
      <w:r>
        <w:rPr>
          <w:i/>
          <w:spacing w:val="-6"/>
          <w:sz w:val="20"/>
        </w:rPr>
        <w:t> </w:t>
      </w:r>
      <w:r>
        <w:rPr>
          <w:i/>
          <w:sz w:val="20"/>
        </w:rPr>
        <w:t>Operational</w:t>
      </w:r>
      <w:r>
        <w:rPr>
          <w:i/>
          <w:spacing w:val="-4"/>
          <w:sz w:val="20"/>
        </w:rPr>
        <w:t> </w:t>
      </w:r>
      <w:r>
        <w:rPr>
          <w:i/>
          <w:sz w:val="20"/>
        </w:rPr>
        <w:t>support</w:t>
      </w:r>
      <w:r>
        <w:rPr>
          <w:i/>
          <w:spacing w:val="-2"/>
          <w:sz w:val="20"/>
        </w:rPr>
        <w:t> </w:t>
      </w:r>
      <w:r>
        <w:rPr>
          <w:i/>
          <w:sz w:val="20"/>
        </w:rPr>
        <w:t>–</w:t>
      </w:r>
      <w:r>
        <w:rPr>
          <w:i/>
          <w:spacing w:val="-4"/>
          <w:sz w:val="20"/>
        </w:rPr>
        <w:t> </w:t>
      </w:r>
      <w:r>
        <w:rPr>
          <w:i/>
          <w:spacing w:val="-2"/>
          <w:sz w:val="20"/>
        </w:rPr>
        <w:t>Uganda</w:t>
      </w:r>
    </w:p>
    <w:p>
      <w:pPr>
        <w:pStyle w:val="BodyText"/>
        <w:spacing w:before="11"/>
        <w:rPr>
          <w:i/>
        </w:rPr>
      </w:pPr>
    </w:p>
    <w:p>
      <w:pPr>
        <w:pStyle w:val="ListParagraph"/>
        <w:numPr>
          <w:ilvl w:val="0"/>
          <w:numId w:val="4"/>
        </w:numPr>
        <w:tabs>
          <w:tab w:pos="2967" w:val="left" w:leader="none"/>
        </w:tabs>
        <w:spacing w:line="240" w:lineRule="auto" w:before="0" w:after="0"/>
        <w:ind w:left="2246" w:right="2249" w:firstLine="0"/>
        <w:jc w:val="both"/>
        <w:rPr>
          <w:sz w:val="20"/>
        </w:rPr>
      </w:pPr>
      <w:r>
        <w:rPr>
          <w:sz w:val="20"/>
        </w:rPr>
        <w:t>For</w:t>
      </w:r>
      <w:r>
        <w:rPr>
          <w:spacing w:val="-1"/>
          <w:sz w:val="20"/>
        </w:rPr>
        <w:t> </w:t>
      </w:r>
      <w:r>
        <w:rPr>
          <w:sz w:val="20"/>
        </w:rPr>
        <w:t>the </w:t>
      </w:r>
      <w:r>
        <w:rPr>
          <w:i/>
          <w:sz w:val="20"/>
        </w:rPr>
        <w:t>Ongwen</w:t>
      </w:r>
      <w:r>
        <w:rPr>
          <w:i/>
          <w:spacing w:val="-4"/>
          <w:sz w:val="20"/>
        </w:rPr>
        <w:t> </w:t>
      </w:r>
      <w:r>
        <w:rPr>
          <w:sz w:val="20"/>
        </w:rPr>
        <w:t>case,</w:t>
      </w:r>
      <w:r>
        <w:rPr>
          <w:spacing w:val="-2"/>
          <w:sz w:val="20"/>
        </w:rPr>
        <w:t> </w:t>
      </w:r>
      <w:r>
        <w:rPr>
          <w:sz w:val="20"/>
        </w:rPr>
        <w:t>field</w:t>
      </w:r>
      <w:r>
        <w:rPr>
          <w:spacing w:val="-5"/>
          <w:sz w:val="20"/>
        </w:rPr>
        <w:t> </w:t>
      </w:r>
      <w:r>
        <w:rPr>
          <w:sz w:val="20"/>
        </w:rPr>
        <w:t>and</w:t>
      </w:r>
      <w:r>
        <w:rPr>
          <w:spacing w:val="-1"/>
          <w:sz w:val="20"/>
        </w:rPr>
        <w:t> </w:t>
      </w:r>
      <w:r>
        <w:rPr>
          <w:sz w:val="20"/>
        </w:rPr>
        <w:t>operational interpreters</w:t>
      </w:r>
      <w:r>
        <w:rPr>
          <w:spacing w:val="-6"/>
          <w:sz w:val="20"/>
        </w:rPr>
        <w:t> </w:t>
      </w:r>
      <w:r>
        <w:rPr>
          <w:sz w:val="20"/>
        </w:rPr>
        <w:t>will</w:t>
      </w:r>
      <w:r>
        <w:rPr>
          <w:spacing w:val="-3"/>
          <w:sz w:val="20"/>
        </w:rPr>
        <w:t> </w:t>
      </w:r>
      <w:r>
        <w:rPr>
          <w:sz w:val="20"/>
        </w:rPr>
        <w:t>be deployed</w:t>
      </w:r>
      <w:r>
        <w:rPr>
          <w:spacing w:val="-5"/>
          <w:sz w:val="20"/>
        </w:rPr>
        <w:t> </w:t>
      </w:r>
      <w:r>
        <w:rPr>
          <w:sz w:val="20"/>
        </w:rPr>
        <w:t>to</w:t>
      </w:r>
      <w:r>
        <w:rPr>
          <w:spacing w:val="-5"/>
          <w:sz w:val="20"/>
        </w:rPr>
        <w:t> </w:t>
      </w:r>
      <w:r>
        <w:rPr>
          <w:sz w:val="20"/>
        </w:rPr>
        <w:t>support CSS and TFV for Acholi, Ateso and other situation languages for 1 month.</w:t>
      </w:r>
    </w:p>
    <w:p>
      <w:pPr>
        <w:pStyle w:val="BodyText"/>
        <w:spacing w:before="11"/>
      </w:pPr>
    </w:p>
    <w:p>
      <w:pPr>
        <w:spacing w:before="0"/>
        <w:ind w:left="2246" w:right="0" w:firstLine="0"/>
        <w:jc w:val="both"/>
        <w:rPr>
          <w:i/>
          <w:sz w:val="20"/>
        </w:rPr>
      </w:pPr>
      <w:r>
        <w:rPr>
          <w:i/>
          <w:sz w:val="20"/>
        </w:rPr>
        <w:t>Field</w:t>
      </w:r>
      <w:r>
        <w:rPr>
          <w:i/>
          <w:spacing w:val="-7"/>
          <w:sz w:val="20"/>
        </w:rPr>
        <w:t> </w:t>
      </w:r>
      <w:r>
        <w:rPr>
          <w:i/>
          <w:sz w:val="20"/>
        </w:rPr>
        <w:t>and</w:t>
      </w:r>
      <w:r>
        <w:rPr>
          <w:i/>
          <w:spacing w:val="-6"/>
          <w:sz w:val="20"/>
        </w:rPr>
        <w:t> </w:t>
      </w:r>
      <w:r>
        <w:rPr>
          <w:i/>
          <w:sz w:val="20"/>
        </w:rPr>
        <w:t>operational</w:t>
      </w:r>
      <w:r>
        <w:rPr>
          <w:i/>
          <w:spacing w:val="-5"/>
          <w:sz w:val="20"/>
        </w:rPr>
        <w:t> </w:t>
      </w:r>
      <w:r>
        <w:rPr>
          <w:i/>
          <w:sz w:val="20"/>
        </w:rPr>
        <w:t>support</w:t>
      </w:r>
      <w:r>
        <w:rPr>
          <w:i/>
          <w:spacing w:val="3"/>
          <w:sz w:val="20"/>
        </w:rPr>
        <w:t> </w:t>
      </w:r>
      <w:r>
        <w:rPr>
          <w:i/>
          <w:sz w:val="20"/>
        </w:rPr>
        <w:t>–</w:t>
      </w:r>
      <w:r>
        <w:rPr>
          <w:i/>
          <w:spacing w:val="-5"/>
          <w:sz w:val="20"/>
        </w:rPr>
        <w:t> </w:t>
      </w:r>
      <w:r>
        <w:rPr>
          <w:i/>
          <w:spacing w:val="-4"/>
          <w:sz w:val="20"/>
        </w:rPr>
        <w:t>Libya</w:t>
      </w:r>
    </w:p>
    <w:p>
      <w:pPr>
        <w:pStyle w:val="BodyText"/>
        <w:spacing w:before="10"/>
        <w:rPr>
          <w:i/>
        </w:rPr>
      </w:pPr>
    </w:p>
    <w:p>
      <w:pPr>
        <w:pStyle w:val="ListParagraph"/>
        <w:numPr>
          <w:ilvl w:val="0"/>
          <w:numId w:val="4"/>
        </w:numPr>
        <w:tabs>
          <w:tab w:pos="2967" w:val="left" w:leader="none"/>
        </w:tabs>
        <w:spacing w:line="240" w:lineRule="auto" w:before="0" w:after="0"/>
        <w:ind w:left="2246" w:right="2249" w:firstLine="0"/>
        <w:jc w:val="both"/>
        <w:rPr>
          <w:sz w:val="20"/>
        </w:rPr>
      </w:pPr>
      <w:r>
        <w:rPr>
          <w:sz w:val="20"/>
        </w:rPr>
        <w:t>For</w:t>
      </w:r>
      <w:r>
        <w:rPr>
          <w:spacing w:val="-13"/>
          <w:sz w:val="20"/>
        </w:rPr>
        <w:t> </w:t>
      </w:r>
      <w:r>
        <w:rPr>
          <w:sz w:val="20"/>
        </w:rPr>
        <w:t>the</w:t>
      </w:r>
      <w:r>
        <w:rPr>
          <w:spacing w:val="-12"/>
          <w:sz w:val="20"/>
        </w:rPr>
        <w:t> </w:t>
      </w:r>
      <w:r>
        <w:rPr>
          <w:sz w:val="20"/>
        </w:rPr>
        <w:t>Libya</w:t>
      </w:r>
      <w:r>
        <w:rPr>
          <w:spacing w:val="-13"/>
          <w:sz w:val="20"/>
        </w:rPr>
        <w:t> </w:t>
      </w:r>
      <w:r>
        <w:rPr>
          <w:sz w:val="20"/>
        </w:rPr>
        <w:t>situation,</w:t>
      </w:r>
      <w:r>
        <w:rPr>
          <w:spacing w:val="-12"/>
          <w:sz w:val="20"/>
        </w:rPr>
        <w:t> </w:t>
      </w:r>
      <w:r>
        <w:rPr>
          <w:sz w:val="20"/>
        </w:rPr>
        <w:t>field</w:t>
      </w:r>
      <w:r>
        <w:rPr>
          <w:spacing w:val="-13"/>
          <w:sz w:val="20"/>
        </w:rPr>
        <w:t> </w:t>
      </w:r>
      <w:r>
        <w:rPr>
          <w:sz w:val="20"/>
        </w:rPr>
        <w:t>and</w:t>
      </w:r>
      <w:r>
        <w:rPr>
          <w:spacing w:val="-12"/>
          <w:sz w:val="20"/>
        </w:rPr>
        <w:t> </w:t>
      </w:r>
      <w:r>
        <w:rPr>
          <w:sz w:val="20"/>
        </w:rPr>
        <w:t>operational</w:t>
      </w:r>
      <w:r>
        <w:rPr>
          <w:spacing w:val="-13"/>
          <w:sz w:val="20"/>
        </w:rPr>
        <w:t> </w:t>
      </w:r>
      <w:r>
        <w:rPr>
          <w:sz w:val="20"/>
        </w:rPr>
        <w:t>interpreters</w:t>
      </w:r>
      <w:r>
        <w:rPr>
          <w:spacing w:val="-12"/>
          <w:sz w:val="20"/>
        </w:rPr>
        <w:t> </w:t>
      </w:r>
      <w:r>
        <w:rPr>
          <w:sz w:val="20"/>
        </w:rPr>
        <w:t>will</w:t>
      </w:r>
      <w:r>
        <w:rPr>
          <w:spacing w:val="-13"/>
          <w:sz w:val="20"/>
        </w:rPr>
        <w:t> </w:t>
      </w:r>
      <w:r>
        <w:rPr>
          <w:sz w:val="20"/>
        </w:rPr>
        <w:t>be</w:t>
      </w:r>
      <w:r>
        <w:rPr>
          <w:spacing w:val="-12"/>
          <w:sz w:val="20"/>
        </w:rPr>
        <w:t> </w:t>
      </w:r>
      <w:r>
        <w:rPr>
          <w:sz w:val="20"/>
        </w:rPr>
        <w:t>deployed</w:t>
      </w:r>
      <w:r>
        <w:rPr>
          <w:spacing w:val="-13"/>
          <w:sz w:val="20"/>
        </w:rPr>
        <w:t> </w:t>
      </w:r>
      <w:r>
        <w:rPr>
          <w:sz w:val="20"/>
        </w:rPr>
        <w:t>to</w:t>
      </w:r>
      <w:r>
        <w:rPr>
          <w:spacing w:val="-12"/>
          <w:sz w:val="20"/>
        </w:rPr>
        <w:t> </w:t>
      </w:r>
      <w:r>
        <w:rPr>
          <w:sz w:val="20"/>
        </w:rPr>
        <w:t>support VWS risk and psychosocial</w:t>
      </w:r>
      <w:r>
        <w:rPr>
          <w:spacing w:val="-3"/>
          <w:sz w:val="20"/>
        </w:rPr>
        <w:t> </w:t>
      </w:r>
      <w:r>
        <w:rPr>
          <w:sz w:val="20"/>
        </w:rPr>
        <w:t>assessments</w:t>
      </w:r>
      <w:r>
        <w:rPr>
          <w:spacing w:val="-1"/>
          <w:sz w:val="20"/>
        </w:rPr>
        <w:t> </w:t>
      </w:r>
      <w:r>
        <w:rPr>
          <w:sz w:val="20"/>
        </w:rPr>
        <w:t>related</w:t>
      </w:r>
      <w:r>
        <w:rPr>
          <w:spacing w:val="-5"/>
          <w:sz w:val="20"/>
        </w:rPr>
        <w:t> </w:t>
      </w:r>
      <w:r>
        <w:rPr>
          <w:sz w:val="20"/>
        </w:rPr>
        <w:t>to protection and support referrals</w:t>
      </w:r>
      <w:r>
        <w:rPr>
          <w:spacing w:val="-1"/>
          <w:sz w:val="20"/>
        </w:rPr>
        <w:t> </w:t>
      </w:r>
      <w:r>
        <w:rPr>
          <w:sz w:val="20"/>
        </w:rPr>
        <w:t>and case management in Arabic for an estimated 2.3 working months.</w:t>
      </w:r>
    </w:p>
    <w:p>
      <w:pPr>
        <w:pStyle w:val="BodyText"/>
        <w:spacing w:before="1"/>
        <w:rPr>
          <w:sz w:val="21"/>
        </w:rPr>
      </w:pPr>
    </w:p>
    <w:p>
      <w:pPr>
        <w:spacing w:before="0"/>
        <w:ind w:left="2246" w:right="0" w:firstLine="0"/>
        <w:jc w:val="both"/>
        <w:rPr>
          <w:i/>
          <w:sz w:val="20"/>
        </w:rPr>
      </w:pPr>
      <w:r>
        <w:rPr>
          <w:i/>
          <w:sz w:val="20"/>
        </w:rPr>
        <w:t>Field</w:t>
      </w:r>
      <w:r>
        <w:rPr>
          <w:i/>
          <w:spacing w:val="-7"/>
          <w:sz w:val="20"/>
        </w:rPr>
        <w:t> </w:t>
      </w:r>
      <w:r>
        <w:rPr>
          <w:i/>
          <w:sz w:val="20"/>
        </w:rPr>
        <w:t>and</w:t>
      </w:r>
      <w:r>
        <w:rPr>
          <w:i/>
          <w:spacing w:val="-6"/>
          <w:sz w:val="20"/>
        </w:rPr>
        <w:t> </w:t>
      </w:r>
      <w:r>
        <w:rPr>
          <w:i/>
          <w:sz w:val="20"/>
        </w:rPr>
        <w:t>operational</w:t>
      </w:r>
      <w:r>
        <w:rPr>
          <w:i/>
          <w:spacing w:val="-5"/>
          <w:sz w:val="20"/>
        </w:rPr>
        <w:t> </w:t>
      </w:r>
      <w:r>
        <w:rPr>
          <w:i/>
          <w:sz w:val="20"/>
        </w:rPr>
        <w:t>support</w:t>
      </w:r>
      <w:r>
        <w:rPr>
          <w:i/>
          <w:spacing w:val="3"/>
          <w:sz w:val="20"/>
        </w:rPr>
        <w:t> </w:t>
      </w:r>
      <w:r>
        <w:rPr>
          <w:i/>
          <w:sz w:val="20"/>
        </w:rPr>
        <w:t>–</w:t>
      </w:r>
      <w:r>
        <w:rPr>
          <w:i/>
          <w:spacing w:val="-10"/>
          <w:sz w:val="20"/>
        </w:rPr>
        <w:t> </w:t>
      </w:r>
      <w:r>
        <w:rPr>
          <w:i/>
          <w:spacing w:val="-2"/>
          <w:sz w:val="20"/>
        </w:rPr>
        <w:t>Burundi</w:t>
      </w:r>
    </w:p>
    <w:p>
      <w:pPr>
        <w:pStyle w:val="BodyText"/>
        <w:rPr>
          <w:i/>
          <w:sz w:val="21"/>
        </w:rPr>
      </w:pPr>
    </w:p>
    <w:p>
      <w:pPr>
        <w:pStyle w:val="ListParagraph"/>
        <w:numPr>
          <w:ilvl w:val="0"/>
          <w:numId w:val="4"/>
        </w:numPr>
        <w:tabs>
          <w:tab w:pos="2967" w:val="left" w:leader="none"/>
        </w:tabs>
        <w:spacing w:line="237" w:lineRule="auto" w:before="1" w:after="0"/>
        <w:ind w:left="2246" w:right="2241" w:firstLine="0"/>
        <w:jc w:val="both"/>
        <w:rPr>
          <w:sz w:val="20"/>
        </w:rPr>
      </w:pPr>
      <w:r>
        <w:rPr>
          <w:sz w:val="20"/>
        </w:rPr>
        <w:t>For the Burundi situation, a total of 6 working months is estimated for field and operational interpreters to be deployed to support VWS risk and psychosocial assessments related to protection, support referrals and case management.</w:t>
      </w:r>
    </w:p>
    <w:p>
      <w:pPr>
        <w:pStyle w:val="BodyText"/>
        <w:rPr>
          <w:sz w:val="21"/>
        </w:rPr>
      </w:pPr>
    </w:p>
    <w:p>
      <w:pPr>
        <w:spacing w:before="0"/>
        <w:ind w:left="2246" w:right="0" w:firstLine="0"/>
        <w:jc w:val="both"/>
        <w:rPr>
          <w:i/>
          <w:sz w:val="20"/>
        </w:rPr>
      </w:pPr>
      <w:r>
        <w:rPr>
          <w:i/>
          <w:sz w:val="20"/>
        </w:rPr>
        <w:t>Field</w:t>
      </w:r>
      <w:r>
        <w:rPr>
          <w:i/>
          <w:spacing w:val="-7"/>
          <w:sz w:val="20"/>
        </w:rPr>
        <w:t> </w:t>
      </w:r>
      <w:r>
        <w:rPr>
          <w:i/>
          <w:sz w:val="20"/>
        </w:rPr>
        <w:t>and</w:t>
      </w:r>
      <w:r>
        <w:rPr>
          <w:i/>
          <w:spacing w:val="-6"/>
          <w:sz w:val="20"/>
        </w:rPr>
        <w:t> </w:t>
      </w:r>
      <w:r>
        <w:rPr>
          <w:i/>
          <w:sz w:val="20"/>
        </w:rPr>
        <w:t>operational</w:t>
      </w:r>
      <w:r>
        <w:rPr>
          <w:i/>
          <w:spacing w:val="-5"/>
          <w:sz w:val="20"/>
        </w:rPr>
        <w:t> </w:t>
      </w:r>
      <w:r>
        <w:rPr>
          <w:i/>
          <w:sz w:val="20"/>
        </w:rPr>
        <w:t>support</w:t>
      </w:r>
      <w:r>
        <w:rPr>
          <w:i/>
          <w:spacing w:val="3"/>
          <w:sz w:val="20"/>
        </w:rPr>
        <w:t> </w:t>
      </w:r>
      <w:r>
        <w:rPr>
          <w:i/>
          <w:sz w:val="20"/>
        </w:rPr>
        <w:t>–</w:t>
      </w:r>
      <w:r>
        <w:rPr>
          <w:i/>
          <w:spacing w:val="-10"/>
          <w:sz w:val="20"/>
        </w:rPr>
        <w:t> </w:t>
      </w:r>
      <w:r>
        <w:rPr>
          <w:i/>
          <w:spacing w:val="-2"/>
          <w:sz w:val="20"/>
        </w:rPr>
        <w:t>Afghanistan</w:t>
      </w:r>
    </w:p>
    <w:p>
      <w:pPr>
        <w:pStyle w:val="BodyText"/>
        <w:spacing w:before="10"/>
        <w:rPr>
          <w:i/>
        </w:rPr>
      </w:pPr>
    </w:p>
    <w:p>
      <w:pPr>
        <w:pStyle w:val="ListParagraph"/>
        <w:numPr>
          <w:ilvl w:val="0"/>
          <w:numId w:val="4"/>
        </w:numPr>
        <w:tabs>
          <w:tab w:pos="2967" w:val="left" w:leader="none"/>
        </w:tabs>
        <w:spacing w:line="240" w:lineRule="auto" w:before="0" w:after="0"/>
        <w:ind w:left="2246" w:right="2241" w:firstLine="0"/>
        <w:jc w:val="both"/>
        <w:rPr>
          <w:sz w:val="20"/>
        </w:rPr>
      </w:pPr>
      <w:r>
        <w:rPr>
          <w:sz w:val="20"/>
        </w:rPr>
        <w:t>For</w:t>
      </w:r>
      <w:r>
        <w:rPr>
          <w:spacing w:val="-4"/>
          <w:sz w:val="20"/>
        </w:rPr>
        <w:t> </w:t>
      </w:r>
      <w:r>
        <w:rPr>
          <w:sz w:val="20"/>
        </w:rPr>
        <w:t>the</w:t>
      </w:r>
      <w:r>
        <w:rPr>
          <w:spacing w:val="-7"/>
          <w:sz w:val="20"/>
        </w:rPr>
        <w:t> </w:t>
      </w:r>
      <w:r>
        <w:rPr>
          <w:sz w:val="20"/>
        </w:rPr>
        <w:t>Afghanistan</w:t>
      </w:r>
      <w:r>
        <w:rPr>
          <w:spacing w:val="-4"/>
          <w:sz w:val="20"/>
        </w:rPr>
        <w:t> </w:t>
      </w:r>
      <w:r>
        <w:rPr>
          <w:sz w:val="20"/>
        </w:rPr>
        <w:t>situation,</w:t>
      </w:r>
      <w:r>
        <w:rPr>
          <w:spacing w:val="-1"/>
          <w:sz w:val="20"/>
        </w:rPr>
        <w:t> </w:t>
      </w:r>
      <w:r>
        <w:rPr>
          <w:sz w:val="20"/>
        </w:rPr>
        <w:t>1</w:t>
      </w:r>
      <w:r>
        <w:rPr>
          <w:spacing w:val="-8"/>
          <w:sz w:val="20"/>
        </w:rPr>
        <w:t> </w:t>
      </w:r>
      <w:r>
        <w:rPr>
          <w:sz w:val="20"/>
        </w:rPr>
        <w:t>working</w:t>
      </w:r>
      <w:r>
        <w:rPr>
          <w:spacing w:val="-4"/>
          <w:sz w:val="20"/>
        </w:rPr>
        <w:t> </w:t>
      </w:r>
      <w:r>
        <w:rPr>
          <w:sz w:val="20"/>
        </w:rPr>
        <w:t>month</w:t>
      </w:r>
      <w:r>
        <w:rPr>
          <w:spacing w:val="-8"/>
          <w:sz w:val="20"/>
        </w:rPr>
        <w:t> </w:t>
      </w:r>
      <w:r>
        <w:rPr>
          <w:sz w:val="20"/>
        </w:rPr>
        <w:t>is</w:t>
      </w:r>
      <w:r>
        <w:rPr>
          <w:spacing w:val="-5"/>
          <w:sz w:val="20"/>
        </w:rPr>
        <w:t> </w:t>
      </w:r>
      <w:r>
        <w:rPr>
          <w:sz w:val="20"/>
        </w:rPr>
        <w:t>estimated</w:t>
      </w:r>
      <w:r>
        <w:rPr>
          <w:spacing w:val="-8"/>
          <w:sz w:val="20"/>
        </w:rPr>
        <w:t> </w:t>
      </w:r>
      <w:r>
        <w:rPr>
          <w:sz w:val="20"/>
        </w:rPr>
        <w:t>for</w:t>
      </w:r>
      <w:r>
        <w:rPr>
          <w:spacing w:val="-4"/>
          <w:sz w:val="20"/>
        </w:rPr>
        <w:t> </w:t>
      </w:r>
      <w:r>
        <w:rPr>
          <w:sz w:val="20"/>
        </w:rPr>
        <w:t>field</w:t>
      </w:r>
      <w:r>
        <w:rPr>
          <w:spacing w:val="-8"/>
          <w:sz w:val="20"/>
        </w:rPr>
        <w:t> </w:t>
      </w:r>
      <w:r>
        <w:rPr>
          <w:sz w:val="20"/>
        </w:rPr>
        <w:t>interpreters</w:t>
      </w:r>
      <w:r>
        <w:rPr>
          <w:spacing w:val="-5"/>
          <w:sz w:val="20"/>
        </w:rPr>
        <w:t> </w:t>
      </w:r>
      <w:r>
        <w:rPr>
          <w:sz w:val="20"/>
        </w:rPr>
        <w:t>to be</w:t>
      </w:r>
      <w:r>
        <w:rPr>
          <w:spacing w:val="-9"/>
          <w:sz w:val="20"/>
        </w:rPr>
        <w:t> </w:t>
      </w:r>
      <w:r>
        <w:rPr>
          <w:sz w:val="20"/>
        </w:rPr>
        <w:t>deployed</w:t>
      </w:r>
      <w:r>
        <w:rPr>
          <w:spacing w:val="-13"/>
          <w:sz w:val="20"/>
        </w:rPr>
        <w:t> </w:t>
      </w:r>
      <w:r>
        <w:rPr>
          <w:sz w:val="20"/>
        </w:rPr>
        <w:t>to</w:t>
      </w:r>
      <w:r>
        <w:rPr>
          <w:spacing w:val="-12"/>
          <w:sz w:val="20"/>
        </w:rPr>
        <w:t> </w:t>
      </w:r>
      <w:r>
        <w:rPr>
          <w:sz w:val="20"/>
        </w:rPr>
        <w:t>support</w:t>
      </w:r>
      <w:r>
        <w:rPr>
          <w:spacing w:val="-7"/>
          <w:sz w:val="20"/>
        </w:rPr>
        <w:t> </w:t>
      </w:r>
      <w:r>
        <w:rPr>
          <w:sz w:val="20"/>
        </w:rPr>
        <w:t>VWS</w:t>
      </w:r>
      <w:r>
        <w:rPr>
          <w:spacing w:val="-10"/>
          <w:sz w:val="20"/>
        </w:rPr>
        <w:t> </w:t>
      </w:r>
      <w:r>
        <w:rPr>
          <w:sz w:val="20"/>
        </w:rPr>
        <w:t>risk</w:t>
      </w:r>
      <w:r>
        <w:rPr>
          <w:spacing w:val="-13"/>
          <w:sz w:val="20"/>
        </w:rPr>
        <w:t> </w:t>
      </w:r>
      <w:r>
        <w:rPr>
          <w:sz w:val="20"/>
        </w:rPr>
        <w:t>and</w:t>
      </w:r>
      <w:r>
        <w:rPr>
          <w:spacing w:val="-12"/>
          <w:sz w:val="20"/>
        </w:rPr>
        <w:t> </w:t>
      </w:r>
      <w:r>
        <w:rPr>
          <w:sz w:val="20"/>
        </w:rPr>
        <w:t>psychosocial</w:t>
      </w:r>
      <w:r>
        <w:rPr>
          <w:spacing w:val="-7"/>
          <w:sz w:val="20"/>
        </w:rPr>
        <w:t> </w:t>
      </w:r>
      <w:r>
        <w:rPr>
          <w:sz w:val="20"/>
        </w:rPr>
        <w:t>assessments</w:t>
      </w:r>
      <w:r>
        <w:rPr>
          <w:spacing w:val="-10"/>
          <w:sz w:val="20"/>
        </w:rPr>
        <w:t> </w:t>
      </w:r>
      <w:r>
        <w:rPr>
          <w:sz w:val="20"/>
        </w:rPr>
        <w:t>related</w:t>
      </w:r>
      <w:r>
        <w:rPr>
          <w:spacing w:val="-13"/>
          <w:sz w:val="20"/>
        </w:rPr>
        <w:t> </w:t>
      </w:r>
      <w:r>
        <w:rPr>
          <w:sz w:val="20"/>
        </w:rPr>
        <w:t>to</w:t>
      </w:r>
      <w:r>
        <w:rPr>
          <w:spacing w:val="-12"/>
          <w:sz w:val="20"/>
        </w:rPr>
        <w:t> </w:t>
      </w:r>
      <w:r>
        <w:rPr>
          <w:sz w:val="20"/>
        </w:rPr>
        <w:t>protection,</w:t>
      </w:r>
      <w:r>
        <w:rPr>
          <w:spacing w:val="-11"/>
          <w:sz w:val="20"/>
        </w:rPr>
        <w:t> </w:t>
      </w:r>
      <w:r>
        <w:rPr>
          <w:sz w:val="20"/>
        </w:rPr>
        <w:t>support referrals and case management.</w:t>
      </w:r>
    </w:p>
    <w:p>
      <w:pPr>
        <w:spacing w:after="0" w:line="240" w:lineRule="auto"/>
        <w:jc w:val="both"/>
        <w:rPr>
          <w:sz w:val="20"/>
        </w:rPr>
        <w:sectPr>
          <w:pgSz w:w="11910" w:h="16840"/>
          <w:pgMar w:header="953" w:footer="940" w:top="1140" w:bottom="1140" w:left="20" w:right="20"/>
        </w:sectPr>
      </w:pPr>
    </w:p>
    <w:p>
      <w:pPr>
        <w:spacing w:before="120"/>
        <w:ind w:left="2246" w:right="0" w:firstLine="0"/>
        <w:jc w:val="both"/>
        <w:rPr>
          <w:i/>
          <w:sz w:val="20"/>
        </w:rPr>
      </w:pPr>
      <w:r>
        <w:rPr>
          <w:i/>
          <w:sz w:val="20"/>
        </w:rPr>
        <w:t>Field</w:t>
      </w:r>
      <w:r>
        <w:rPr>
          <w:i/>
          <w:spacing w:val="-7"/>
          <w:sz w:val="20"/>
        </w:rPr>
        <w:t> </w:t>
      </w:r>
      <w:r>
        <w:rPr>
          <w:i/>
          <w:sz w:val="20"/>
        </w:rPr>
        <w:t>and</w:t>
      </w:r>
      <w:r>
        <w:rPr>
          <w:i/>
          <w:spacing w:val="-6"/>
          <w:sz w:val="20"/>
        </w:rPr>
        <w:t> </w:t>
      </w:r>
      <w:r>
        <w:rPr>
          <w:i/>
          <w:sz w:val="20"/>
        </w:rPr>
        <w:t>operational</w:t>
      </w:r>
      <w:r>
        <w:rPr>
          <w:i/>
          <w:spacing w:val="-5"/>
          <w:sz w:val="20"/>
        </w:rPr>
        <w:t> </w:t>
      </w:r>
      <w:r>
        <w:rPr>
          <w:i/>
          <w:sz w:val="20"/>
        </w:rPr>
        <w:t>support</w:t>
      </w:r>
      <w:r>
        <w:rPr>
          <w:i/>
          <w:spacing w:val="3"/>
          <w:sz w:val="20"/>
        </w:rPr>
        <w:t> </w:t>
      </w:r>
      <w:r>
        <w:rPr>
          <w:i/>
          <w:sz w:val="20"/>
        </w:rPr>
        <w:t>–</w:t>
      </w:r>
      <w:r>
        <w:rPr>
          <w:i/>
          <w:spacing w:val="-10"/>
          <w:sz w:val="20"/>
        </w:rPr>
        <w:t> </w:t>
      </w:r>
      <w:r>
        <w:rPr>
          <w:i/>
          <w:spacing w:val="-2"/>
          <w:sz w:val="20"/>
        </w:rPr>
        <w:t>Bangladesh/Myanmar</w:t>
      </w:r>
    </w:p>
    <w:p>
      <w:pPr>
        <w:pStyle w:val="BodyText"/>
        <w:spacing w:before="10"/>
        <w:rPr>
          <w:i/>
        </w:rPr>
      </w:pPr>
    </w:p>
    <w:p>
      <w:pPr>
        <w:pStyle w:val="ListParagraph"/>
        <w:numPr>
          <w:ilvl w:val="0"/>
          <w:numId w:val="4"/>
        </w:numPr>
        <w:tabs>
          <w:tab w:pos="2967" w:val="left" w:leader="none"/>
        </w:tabs>
        <w:spacing w:line="240" w:lineRule="auto" w:before="1" w:after="0"/>
        <w:ind w:left="2246" w:right="2240" w:firstLine="0"/>
        <w:jc w:val="both"/>
        <w:rPr>
          <w:sz w:val="20"/>
        </w:rPr>
      </w:pPr>
      <w:r>
        <w:rPr>
          <w:sz w:val="20"/>
        </w:rPr>
        <w:t>For the Bangladesh/Myanmar situation, a total of 5.5 working months</w:t>
      </w:r>
      <w:r>
        <w:rPr>
          <w:spacing w:val="-1"/>
          <w:sz w:val="20"/>
        </w:rPr>
        <w:t> </w:t>
      </w:r>
      <w:r>
        <w:rPr>
          <w:sz w:val="20"/>
        </w:rPr>
        <w:t>is</w:t>
      </w:r>
      <w:r>
        <w:rPr>
          <w:spacing w:val="-1"/>
          <w:sz w:val="20"/>
        </w:rPr>
        <w:t> </w:t>
      </w:r>
      <w:r>
        <w:rPr>
          <w:sz w:val="20"/>
        </w:rPr>
        <w:t>estimated for</w:t>
      </w:r>
      <w:r>
        <w:rPr>
          <w:spacing w:val="-3"/>
          <w:sz w:val="20"/>
        </w:rPr>
        <w:t> </w:t>
      </w:r>
      <w:r>
        <w:rPr>
          <w:sz w:val="20"/>
        </w:rPr>
        <w:t>field</w:t>
      </w:r>
      <w:r>
        <w:rPr>
          <w:spacing w:val="-8"/>
          <w:sz w:val="20"/>
        </w:rPr>
        <w:t> </w:t>
      </w:r>
      <w:r>
        <w:rPr>
          <w:sz w:val="20"/>
        </w:rPr>
        <w:t>interpreters</w:t>
      </w:r>
      <w:r>
        <w:rPr>
          <w:spacing w:val="-5"/>
          <w:sz w:val="20"/>
        </w:rPr>
        <w:t> </w:t>
      </w:r>
      <w:r>
        <w:rPr>
          <w:sz w:val="20"/>
        </w:rPr>
        <w:t>to</w:t>
      </w:r>
      <w:r>
        <w:rPr>
          <w:spacing w:val="-4"/>
          <w:sz w:val="20"/>
        </w:rPr>
        <w:t> </w:t>
      </w:r>
      <w:r>
        <w:rPr>
          <w:sz w:val="20"/>
        </w:rPr>
        <w:t>be</w:t>
      </w:r>
      <w:r>
        <w:rPr>
          <w:spacing w:val="-7"/>
          <w:sz w:val="20"/>
        </w:rPr>
        <w:t> </w:t>
      </w:r>
      <w:r>
        <w:rPr>
          <w:sz w:val="20"/>
        </w:rPr>
        <w:t>deployed</w:t>
      </w:r>
      <w:r>
        <w:rPr>
          <w:spacing w:val="-4"/>
          <w:sz w:val="20"/>
        </w:rPr>
        <w:t> </w:t>
      </w:r>
      <w:r>
        <w:rPr>
          <w:sz w:val="20"/>
        </w:rPr>
        <w:t>to</w:t>
      </w:r>
      <w:r>
        <w:rPr>
          <w:spacing w:val="-4"/>
          <w:sz w:val="20"/>
        </w:rPr>
        <w:t> </w:t>
      </w:r>
      <w:r>
        <w:rPr>
          <w:sz w:val="20"/>
        </w:rPr>
        <w:t>support</w:t>
      </w:r>
      <w:r>
        <w:rPr>
          <w:spacing w:val="-2"/>
          <w:sz w:val="20"/>
        </w:rPr>
        <w:t> </w:t>
      </w:r>
      <w:r>
        <w:rPr>
          <w:sz w:val="20"/>
        </w:rPr>
        <w:t>VPRS</w:t>
      </w:r>
      <w:r>
        <w:rPr>
          <w:spacing w:val="-10"/>
          <w:sz w:val="20"/>
        </w:rPr>
        <w:t> </w:t>
      </w:r>
      <w:r>
        <w:rPr>
          <w:sz w:val="20"/>
        </w:rPr>
        <w:t>meetings</w:t>
      </w:r>
      <w:r>
        <w:rPr>
          <w:spacing w:val="-5"/>
          <w:sz w:val="20"/>
        </w:rPr>
        <w:t> </w:t>
      </w:r>
      <w:r>
        <w:rPr>
          <w:sz w:val="20"/>
        </w:rPr>
        <w:t>and</w:t>
      </w:r>
      <w:r>
        <w:rPr>
          <w:spacing w:val="-4"/>
          <w:sz w:val="20"/>
        </w:rPr>
        <w:t> </w:t>
      </w:r>
      <w:r>
        <w:rPr>
          <w:sz w:val="20"/>
        </w:rPr>
        <w:t>training</w:t>
      </w:r>
      <w:r>
        <w:rPr>
          <w:spacing w:val="-8"/>
          <w:sz w:val="20"/>
        </w:rPr>
        <w:t> </w:t>
      </w:r>
      <w:r>
        <w:rPr>
          <w:sz w:val="20"/>
        </w:rPr>
        <w:t>with</w:t>
      </w:r>
      <w:r>
        <w:rPr>
          <w:spacing w:val="-4"/>
          <w:sz w:val="20"/>
        </w:rPr>
        <w:t> </w:t>
      </w:r>
      <w:r>
        <w:rPr>
          <w:sz w:val="20"/>
        </w:rPr>
        <w:t>victims</w:t>
      </w:r>
      <w:r>
        <w:rPr>
          <w:spacing w:val="-10"/>
          <w:sz w:val="20"/>
        </w:rPr>
        <w:t> </w:t>
      </w:r>
      <w:r>
        <w:rPr>
          <w:sz w:val="20"/>
        </w:rPr>
        <w:t>and intermediaries, PIOS outreach missions to the affected communities, online training and VWS risk and psychosocial assessments related to protection, support referrals and case </w:t>
      </w:r>
      <w:r>
        <w:rPr>
          <w:spacing w:val="-2"/>
          <w:sz w:val="20"/>
        </w:rPr>
        <w:t>management.</w:t>
      </w:r>
    </w:p>
    <w:p>
      <w:pPr>
        <w:pStyle w:val="BodyText"/>
        <w:spacing w:before="1"/>
        <w:rPr>
          <w:sz w:val="21"/>
        </w:rPr>
      </w:pPr>
    </w:p>
    <w:p>
      <w:pPr>
        <w:spacing w:before="0"/>
        <w:ind w:left="2246" w:right="0" w:firstLine="0"/>
        <w:jc w:val="both"/>
        <w:rPr>
          <w:i/>
          <w:sz w:val="20"/>
        </w:rPr>
      </w:pPr>
      <w:r>
        <w:rPr>
          <w:i/>
          <w:sz w:val="20"/>
        </w:rPr>
        <w:t>Field</w:t>
      </w:r>
      <w:r>
        <w:rPr>
          <w:i/>
          <w:spacing w:val="-8"/>
          <w:sz w:val="20"/>
        </w:rPr>
        <w:t> </w:t>
      </w:r>
      <w:r>
        <w:rPr>
          <w:i/>
          <w:sz w:val="20"/>
        </w:rPr>
        <w:t>and</w:t>
      </w:r>
      <w:r>
        <w:rPr>
          <w:i/>
          <w:spacing w:val="-7"/>
          <w:sz w:val="20"/>
        </w:rPr>
        <w:t> </w:t>
      </w:r>
      <w:r>
        <w:rPr>
          <w:i/>
          <w:sz w:val="20"/>
        </w:rPr>
        <w:t>operational</w:t>
      </w:r>
      <w:r>
        <w:rPr>
          <w:i/>
          <w:spacing w:val="-6"/>
          <w:sz w:val="20"/>
        </w:rPr>
        <w:t> </w:t>
      </w:r>
      <w:r>
        <w:rPr>
          <w:i/>
          <w:sz w:val="20"/>
        </w:rPr>
        <w:t>support</w:t>
      </w:r>
      <w:r>
        <w:rPr>
          <w:i/>
          <w:spacing w:val="2"/>
          <w:sz w:val="20"/>
        </w:rPr>
        <w:t> </w:t>
      </w:r>
      <w:r>
        <w:rPr>
          <w:i/>
          <w:sz w:val="20"/>
        </w:rPr>
        <w:t>–</w:t>
      </w:r>
      <w:r>
        <w:rPr>
          <w:i/>
          <w:spacing w:val="-7"/>
          <w:sz w:val="20"/>
        </w:rPr>
        <w:t> </w:t>
      </w:r>
      <w:r>
        <w:rPr>
          <w:i/>
          <w:sz w:val="20"/>
        </w:rPr>
        <w:t>Darfur,</w:t>
      </w:r>
      <w:r>
        <w:rPr>
          <w:i/>
          <w:spacing w:val="-4"/>
          <w:sz w:val="20"/>
        </w:rPr>
        <w:t> </w:t>
      </w:r>
      <w:r>
        <w:rPr>
          <w:i/>
          <w:spacing w:val="-2"/>
          <w:sz w:val="20"/>
        </w:rPr>
        <w:t>Sudan</w:t>
      </w:r>
    </w:p>
    <w:p>
      <w:pPr>
        <w:pStyle w:val="BodyText"/>
        <w:spacing w:before="10"/>
        <w:rPr>
          <w:i/>
        </w:rPr>
      </w:pPr>
    </w:p>
    <w:p>
      <w:pPr>
        <w:pStyle w:val="ListParagraph"/>
        <w:numPr>
          <w:ilvl w:val="0"/>
          <w:numId w:val="4"/>
        </w:numPr>
        <w:tabs>
          <w:tab w:pos="2967" w:val="left" w:leader="none"/>
        </w:tabs>
        <w:spacing w:line="240" w:lineRule="auto" w:before="0" w:after="0"/>
        <w:ind w:left="2246" w:right="2242" w:firstLine="0"/>
        <w:jc w:val="both"/>
        <w:rPr>
          <w:sz w:val="20"/>
        </w:rPr>
      </w:pPr>
      <w:r>
        <w:rPr>
          <w:sz w:val="20"/>
        </w:rPr>
        <w:t>For</w:t>
      </w:r>
      <w:r>
        <w:rPr>
          <w:spacing w:val="-11"/>
          <w:sz w:val="20"/>
        </w:rPr>
        <w:t> </w:t>
      </w:r>
      <w:r>
        <w:rPr>
          <w:sz w:val="20"/>
        </w:rPr>
        <w:t>the</w:t>
      </w:r>
      <w:r>
        <w:rPr>
          <w:spacing w:val="-11"/>
          <w:sz w:val="20"/>
        </w:rPr>
        <w:t> </w:t>
      </w:r>
      <w:r>
        <w:rPr>
          <w:sz w:val="20"/>
        </w:rPr>
        <w:t>Darfur,</w:t>
      </w:r>
      <w:r>
        <w:rPr>
          <w:spacing w:val="-7"/>
          <w:sz w:val="20"/>
        </w:rPr>
        <w:t> </w:t>
      </w:r>
      <w:r>
        <w:rPr>
          <w:sz w:val="20"/>
        </w:rPr>
        <w:t>Sudan</w:t>
      </w:r>
      <w:r>
        <w:rPr>
          <w:spacing w:val="-13"/>
          <w:sz w:val="20"/>
        </w:rPr>
        <w:t> </w:t>
      </w:r>
      <w:r>
        <w:rPr>
          <w:sz w:val="20"/>
        </w:rPr>
        <w:t>situation,</w:t>
      </w:r>
      <w:r>
        <w:rPr>
          <w:spacing w:val="-6"/>
          <w:sz w:val="20"/>
        </w:rPr>
        <w:t> </w:t>
      </w:r>
      <w:r>
        <w:rPr>
          <w:sz w:val="20"/>
        </w:rPr>
        <w:t>a</w:t>
      </w:r>
      <w:r>
        <w:rPr>
          <w:spacing w:val="-12"/>
          <w:sz w:val="20"/>
        </w:rPr>
        <w:t> </w:t>
      </w:r>
      <w:r>
        <w:rPr>
          <w:sz w:val="20"/>
        </w:rPr>
        <w:t>total</w:t>
      </w:r>
      <w:r>
        <w:rPr>
          <w:spacing w:val="-8"/>
          <w:sz w:val="20"/>
        </w:rPr>
        <w:t> </w:t>
      </w:r>
      <w:r>
        <w:rPr>
          <w:sz w:val="20"/>
        </w:rPr>
        <w:t>of</w:t>
      </w:r>
      <w:r>
        <w:rPr>
          <w:spacing w:val="-9"/>
          <w:sz w:val="20"/>
        </w:rPr>
        <w:t> </w:t>
      </w:r>
      <w:r>
        <w:rPr>
          <w:sz w:val="20"/>
        </w:rPr>
        <w:t>21.3</w:t>
      </w:r>
      <w:r>
        <w:rPr>
          <w:spacing w:val="-13"/>
          <w:sz w:val="20"/>
        </w:rPr>
        <w:t> </w:t>
      </w:r>
      <w:r>
        <w:rPr>
          <w:sz w:val="20"/>
        </w:rPr>
        <w:t>working</w:t>
      </w:r>
      <w:r>
        <w:rPr>
          <w:spacing w:val="-12"/>
          <w:sz w:val="20"/>
        </w:rPr>
        <w:t> </w:t>
      </w:r>
      <w:r>
        <w:rPr>
          <w:sz w:val="20"/>
        </w:rPr>
        <w:t>months</w:t>
      </w:r>
      <w:r>
        <w:rPr>
          <w:spacing w:val="-11"/>
          <w:sz w:val="20"/>
        </w:rPr>
        <w:t> </w:t>
      </w:r>
      <w:r>
        <w:rPr>
          <w:sz w:val="20"/>
        </w:rPr>
        <w:t>is</w:t>
      </w:r>
      <w:r>
        <w:rPr>
          <w:spacing w:val="-11"/>
          <w:sz w:val="20"/>
        </w:rPr>
        <w:t> </w:t>
      </w:r>
      <w:r>
        <w:rPr>
          <w:sz w:val="20"/>
        </w:rPr>
        <w:t>estimated</w:t>
      </w:r>
      <w:r>
        <w:rPr>
          <w:spacing w:val="-9"/>
          <w:sz w:val="20"/>
        </w:rPr>
        <w:t> </w:t>
      </w:r>
      <w:r>
        <w:rPr>
          <w:sz w:val="20"/>
        </w:rPr>
        <w:t>for</w:t>
      </w:r>
      <w:r>
        <w:rPr>
          <w:spacing w:val="-13"/>
          <w:sz w:val="20"/>
        </w:rPr>
        <w:t> </w:t>
      </w:r>
      <w:r>
        <w:rPr>
          <w:sz w:val="20"/>
        </w:rPr>
        <w:t>field and operational interpreters to be deployed for telephone communication requirements of counsel,</w:t>
      </w:r>
      <w:r>
        <w:rPr>
          <w:spacing w:val="-11"/>
          <w:sz w:val="20"/>
        </w:rPr>
        <w:t> </w:t>
      </w:r>
      <w:r>
        <w:rPr>
          <w:sz w:val="20"/>
        </w:rPr>
        <w:t>missions</w:t>
      </w:r>
      <w:r>
        <w:rPr>
          <w:spacing w:val="-10"/>
          <w:sz w:val="20"/>
        </w:rPr>
        <w:t> </w:t>
      </w:r>
      <w:r>
        <w:rPr>
          <w:sz w:val="20"/>
        </w:rPr>
        <w:t>undertaken</w:t>
      </w:r>
      <w:r>
        <w:rPr>
          <w:spacing w:val="-8"/>
          <w:sz w:val="20"/>
        </w:rPr>
        <w:t> </w:t>
      </w:r>
      <w:r>
        <w:rPr>
          <w:sz w:val="20"/>
        </w:rPr>
        <w:t>by</w:t>
      </w:r>
      <w:r>
        <w:rPr>
          <w:spacing w:val="-8"/>
          <w:sz w:val="20"/>
        </w:rPr>
        <w:t> </w:t>
      </w:r>
      <w:r>
        <w:rPr>
          <w:sz w:val="20"/>
        </w:rPr>
        <w:t>counsel,</w:t>
      </w:r>
      <w:r>
        <w:rPr>
          <w:spacing w:val="-1"/>
          <w:sz w:val="20"/>
        </w:rPr>
        <w:t> </w:t>
      </w:r>
      <w:r>
        <w:rPr>
          <w:sz w:val="20"/>
        </w:rPr>
        <w:t>VPRS</w:t>
      </w:r>
      <w:r>
        <w:rPr>
          <w:spacing w:val="-10"/>
          <w:sz w:val="20"/>
        </w:rPr>
        <w:t> </w:t>
      </w:r>
      <w:r>
        <w:rPr>
          <w:sz w:val="20"/>
        </w:rPr>
        <w:t>interactions</w:t>
      </w:r>
      <w:r>
        <w:rPr>
          <w:spacing w:val="-10"/>
          <w:sz w:val="20"/>
        </w:rPr>
        <w:t> </w:t>
      </w:r>
      <w:r>
        <w:rPr>
          <w:sz w:val="20"/>
        </w:rPr>
        <w:t>with</w:t>
      </w:r>
      <w:r>
        <w:rPr>
          <w:spacing w:val="-8"/>
          <w:sz w:val="20"/>
        </w:rPr>
        <w:t> </w:t>
      </w:r>
      <w:r>
        <w:rPr>
          <w:sz w:val="20"/>
        </w:rPr>
        <w:t>victims</w:t>
      </w:r>
      <w:r>
        <w:rPr>
          <w:spacing w:val="-10"/>
          <w:sz w:val="20"/>
        </w:rPr>
        <w:t> </w:t>
      </w:r>
      <w:r>
        <w:rPr>
          <w:sz w:val="20"/>
        </w:rPr>
        <w:t>and</w:t>
      </w:r>
      <w:r>
        <w:rPr>
          <w:spacing w:val="-8"/>
          <w:sz w:val="20"/>
        </w:rPr>
        <w:t> </w:t>
      </w:r>
      <w:r>
        <w:rPr>
          <w:sz w:val="20"/>
        </w:rPr>
        <w:t>intermediaries in the field, remote meetings and training sessions with victims and intermediaries, PIOS outreach missions to the affected communities and VWS assessments related to protection and support.</w:t>
      </w:r>
    </w:p>
    <w:p>
      <w:pPr>
        <w:pStyle w:val="BodyText"/>
        <w:spacing w:before="8"/>
      </w:pPr>
    </w:p>
    <w:p>
      <w:pPr>
        <w:spacing w:before="0"/>
        <w:ind w:left="2246" w:right="0" w:firstLine="0"/>
        <w:jc w:val="both"/>
        <w:rPr>
          <w:i/>
          <w:sz w:val="20"/>
        </w:rPr>
      </w:pPr>
      <w:r>
        <w:rPr>
          <w:i/>
          <w:sz w:val="20"/>
        </w:rPr>
        <w:t>Field</w:t>
      </w:r>
      <w:r>
        <w:rPr>
          <w:i/>
          <w:spacing w:val="-7"/>
          <w:sz w:val="20"/>
        </w:rPr>
        <w:t> </w:t>
      </w:r>
      <w:r>
        <w:rPr>
          <w:i/>
          <w:sz w:val="20"/>
        </w:rPr>
        <w:t>and</w:t>
      </w:r>
      <w:r>
        <w:rPr>
          <w:i/>
          <w:spacing w:val="-6"/>
          <w:sz w:val="20"/>
        </w:rPr>
        <w:t> </w:t>
      </w:r>
      <w:r>
        <w:rPr>
          <w:i/>
          <w:sz w:val="20"/>
        </w:rPr>
        <w:t>operational</w:t>
      </w:r>
      <w:r>
        <w:rPr>
          <w:i/>
          <w:spacing w:val="-5"/>
          <w:sz w:val="20"/>
        </w:rPr>
        <w:t> </w:t>
      </w:r>
      <w:r>
        <w:rPr>
          <w:i/>
          <w:sz w:val="20"/>
        </w:rPr>
        <w:t>support</w:t>
      </w:r>
      <w:r>
        <w:rPr>
          <w:i/>
          <w:spacing w:val="3"/>
          <w:sz w:val="20"/>
        </w:rPr>
        <w:t> </w:t>
      </w:r>
      <w:r>
        <w:rPr>
          <w:i/>
          <w:sz w:val="20"/>
        </w:rPr>
        <w:t>–</w:t>
      </w:r>
      <w:r>
        <w:rPr>
          <w:i/>
          <w:spacing w:val="-5"/>
          <w:sz w:val="20"/>
        </w:rPr>
        <w:t> </w:t>
      </w:r>
      <w:r>
        <w:rPr>
          <w:i/>
          <w:spacing w:val="-4"/>
          <w:sz w:val="20"/>
        </w:rPr>
        <w:t>Kenya</w:t>
      </w:r>
    </w:p>
    <w:p>
      <w:pPr>
        <w:pStyle w:val="BodyText"/>
        <w:spacing w:before="11"/>
        <w:rPr>
          <w:i/>
        </w:rPr>
      </w:pPr>
    </w:p>
    <w:p>
      <w:pPr>
        <w:pStyle w:val="ListParagraph"/>
        <w:numPr>
          <w:ilvl w:val="0"/>
          <w:numId w:val="4"/>
        </w:numPr>
        <w:tabs>
          <w:tab w:pos="2967" w:val="left" w:leader="none"/>
        </w:tabs>
        <w:spacing w:line="240" w:lineRule="auto" w:before="0" w:after="0"/>
        <w:ind w:left="2246" w:right="2246" w:firstLine="0"/>
        <w:jc w:val="both"/>
        <w:rPr>
          <w:sz w:val="20"/>
        </w:rPr>
      </w:pPr>
      <w:r>
        <w:rPr>
          <w:sz w:val="20"/>
        </w:rPr>
        <w:t>For the Kenya situation, a total of 1.9 working months is estimated for field interpreter</w:t>
      </w:r>
      <w:r>
        <w:rPr>
          <w:spacing w:val="-13"/>
          <w:sz w:val="20"/>
        </w:rPr>
        <w:t> </w:t>
      </w:r>
      <w:r>
        <w:rPr>
          <w:sz w:val="20"/>
        </w:rPr>
        <w:t>support</w:t>
      </w:r>
      <w:r>
        <w:rPr>
          <w:spacing w:val="-12"/>
          <w:sz w:val="20"/>
        </w:rPr>
        <w:t> </w:t>
      </w:r>
      <w:r>
        <w:rPr>
          <w:sz w:val="20"/>
        </w:rPr>
        <w:t>to</w:t>
      </w:r>
      <w:r>
        <w:rPr>
          <w:spacing w:val="-13"/>
          <w:sz w:val="20"/>
        </w:rPr>
        <w:t> </w:t>
      </w:r>
      <w:r>
        <w:rPr>
          <w:sz w:val="20"/>
        </w:rPr>
        <w:t>TFV</w:t>
      </w:r>
      <w:r>
        <w:rPr>
          <w:spacing w:val="-12"/>
          <w:sz w:val="20"/>
        </w:rPr>
        <w:t> </w:t>
      </w:r>
      <w:r>
        <w:rPr>
          <w:sz w:val="20"/>
        </w:rPr>
        <w:t>field</w:t>
      </w:r>
      <w:r>
        <w:rPr>
          <w:spacing w:val="-10"/>
          <w:sz w:val="20"/>
        </w:rPr>
        <w:t> </w:t>
      </w:r>
      <w:r>
        <w:rPr>
          <w:sz w:val="20"/>
        </w:rPr>
        <w:t>visits</w:t>
      </w:r>
      <w:r>
        <w:rPr>
          <w:spacing w:val="-13"/>
          <w:sz w:val="20"/>
        </w:rPr>
        <w:t> </w:t>
      </w:r>
      <w:r>
        <w:rPr>
          <w:sz w:val="20"/>
        </w:rPr>
        <w:t>and</w:t>
      </w:r>
      <w:r>
        <w:rPr>
          <w:spacing w:val="-12"/>
          <w:sz w:val="20"/>
        </w:rPr>
        <w:t> </w:t>
      </w:r>
      <w:r>
        <w:rPr>
          <w:sz w:val="20"/>
        </w:rPr>
        <w:t>to</w:t>
      </w:r>
      <w:r>
        <w:rPr>
          <w:spacing w:val="-13"/>
          <w:sz w:val="20"/>
        </w:rPr>
        <w:t> </w:t>
      </w:r>
      <w:r>
        <w:rPr>
          <w:sz w:val="20"/>
        </w:rPr>
        <w:t>support</w:t>
      </w:r>
      <w:r>
        <w:rPr>
          <w:spacing w:val="-8"/>
          <w:sz w:val="20"/>
        </w:rPr>
        <w:t> </w:t>
      </w:r>
      <w:r>
        <w:rPr>
          <w:sz w:val="20"/>
        </w:rPr>
        <w:t>VWS</w:t>
      </w:r>
      <w:r>
        <w:rPr>
          <w:spacing w:val="-11"/>
          <w:sz w:val="20"/>
        </w:rPr>
        <w:t> </w:t>
      </w:r>
      <w:r>
        <w:rPr>
          <w:sz w:val="20"/>
        </w:rPr>
        <w:t>risk</w:t>
      </w:r>
      <w:r>
        <w:rPr>
          <w:spacing w:val="-9"/>
          <w:sz w:val="20"/>
        </w:rPr>
        <w:t> </w:t>
      </w:r>
      <w:r>
        <w:rPr>
          <w:sz w:val="20"/>
        </w:rPr>
        <w:t>and</w:t>
      </w:r>
      <w:r>
        <w:rPr>
          <w:spacing w:val="-13"/>
          <w:sz w:val="20"/>
        </w:rPr>
        <w:t> </w:t>
      </w:r>
      <w:r>
        <w:rPr>
          <w:sz w:val="20"/>
        </w:rPr>
        <w:t>psychosocial</w:t>
      </w:r>
      <w:r>
        <w:rPr>
          <w:spacing w:val="-8"/>
          <w:sz w:val="20"/>
        </w:rPr>
        <w:t> </w:t>
      </w:r>
      <w:r>
        <w:rPr>
          <w:sz w:val="20"/>
        </w:rPr>
        <w:t>assessments related to protection and support referrals and case management.</w:t>
      </w:r>
    </w:p>
    <w:p>
      <w:pPr>
        <w:pStyle w:val="BodyText"/>
        <w:rPr>
          <w:sz w:val="21"/>
        </w:rPr>
      </w:pPr>
    </w:p>
    <w:p>
      <w:pPr>
        <w:spacing w:before="0"/>
        <w:ind w:left="2246" w:right="0" w:firstLine="0"/>
        <w:jc w:val="both"/>
        <w:rPr>
          <w:i/>
          <w:sz w:val="20"/>
        </w:rPr>
      </w:pPr>
      <w:r>
        <w:rPr>
          <w:i/>
          <w:sz w:val="20"/>
        </w:rPr>
        <w:t>Field</w:t>
      </w:r>
      <w:r>
        <w:rPr>
          <w:i/>
          <w:spacing w:val="-7"/>
          <w:sz w:val="20"/>
        </w:rPr>
        <w:t> </w:t>
      </w:r>
      <w:r>
        <w:rPr>
          <w:i/>
          <w:sz w:val="20"/>
        </w:rPr>
        <w:t>and</w:t>
      </w:r>
      <w:r>
        <w:rPr>
          <w:i/>
          <w:spacing w:val="-6"/>
          <w:sz w:val="20"/>
        </w:rPr>
        <w:t> </w:t>
      </w:r>
      <w:r>
        <w:rPr>
          <w:i/>
          <w:sz w:val="20"/>
        </w:rPr>
        <w:t>operational</w:t>
      </w:r>
      <w:r>
        <w:rPr>
          <w:i/>
          <w:spacing w:val="-5"/>
          <w:sz w:val="20"/>
        </w:rPr>
        <w:t> </w:t>
      </w:r>
      <w:r>
        <w:rPr>
          <w:i/>
          <w:sz w:val="20"/>
        </w:rPr>
        <w:t>support</w:t>
      </w:r>
      <w:r>
        <w:rPr>
          <w:i/>
          <w:spacing w:val="3"/>
          <w:sz w:val="20"/>
        </w:rPr>
        <w:t> </w:t>
      </w:r>
      <w:r>
        <w:rPr>
          <w:i/>
          <w:sz w:val="20"/>
        </w:rPr>
        <w:t>–</w:t>
      </w:r>
      <w:r>
        <w:rPr>
          <w:i/>
          <w:spacing w:val="-5"/>
          <w:sz w:val="20"/>
        </w:rPr>
        <w:t> </w:t>
      </w:r>
      <w:r>
        <w:rPr>
          <w:i/>
          <w:spacing w:val="-2"/>
          <w:sz w:val="20"/>
        </w:rPr>
        <w:t>Ukraine</w:t>
      </w:r>
    </w:p>
    <w:p>
      <w:pPr>
        <w:pStyle w:val="BodyText"/>
        <w:spacing w:before="10"/>
        <w:rPr>
          <w:i/>
        </w:rPr>
      </w:pPr>
    </w:p>
    <w:p>
      <w:pPr>
        <w:pStyle w:val="ListParagraph"/>
        <w:numPr>
          <w:ilvl w:val="0"/>
          <w:numId w:val="4"/>
        </w:numPr>
        <w:tabs>
          <w:tab w:pos="2967" w:val="left" w:leader="none"/>
        </w:tabs>
        <w:spacing w:line="240" w:lineRule="auto" w:before="1" w:after="0"/>
        <w:ind w:left="2246" w:right="2239" w:firstLine="0"/>
        <w:jc w:val="both"/>
        <w:rPr>
          <w:sz w:val="20"/>
        </w:rPr>
      </w:pPr>
      <w:r>
        <w:rPr>
          <w:sz w:val="20"/>
        </w:rPr>
        <w:t>For the Ukraine situation, a total of 3.8 working months is estimated for field interpreter support</w:t>
      </w:r>
      <w:r>
        <w:rPr>
          <w:spacing w:val="-2"/>
          <w:sz w:val="20"/>
        </w:rPr>
        <w:t> </w:t>
      </w:r>
      <w:r>
        <w:rPr>
          <w:sz w:val="20"/>
        </w:rPr>
        <w:t>to</w:t>
      </w:r>
      <w:r>
        <w:rPr>
          <w:spacing w:val="-4"/>
          <w:sz w:val="20"/>
        </w:rPr>
        <w:t> </w:t>
      </w:r>
      <w:r>
        <w:rPr>
          <w:sz w:val="20"/>
        </w:rPr>
        <w:t>missions undertaken</w:t>
      </w:r>
      <w:r>
        <w:rPr>
          <w:spacing w:val="-4"/>
          <w:sz w:val="20"/>
        </w:rPr>
        <w:t> </w:t>
      </w:r>
      <w:r>
        <w:rPr>
          <w:sz w:val="20"/>
        </w:rPr>
        <w:t>by</w:t>
      </w:r>
      <w:r>
        <w:rPr>
          <w:spacing w:val="-4"/>
          <w:sz w:val="20"/>
        </w:rPr>
        <w:t> </w:t>
      </w:r>
      <w:r>
        <w:rPr>
          <w:sz w:val="20"/>
        </w:rPr>
        <w:t>counsel,</w:t>
      </w:r>
      <w:r>
        <w:rPr>
          <w:spacing w:val="-1"/>
          <w:sz w:val="20"/>
        </w:rPr>
        <w:t> </w:t>
      </w:r>
      <w:r>
        <w:rPr>
          <w:sz w:val="20"/>
        </w:rPr>
        <w:t>VPRS</w:t>
      </w:r>
      <w:r>
        <w:rPr>
          <w:spacing w:val="-6"/>
          <w:sz w:val="20"/>
        </w:rPr>
        <w:t> </w:t>
      </w:r>
      <w:r>
        <w:rPr>
          <w:sz w:val="20"/>
        </w:rPr>
        <w:t>meetings</w:t>
      </w:r>
      <w:r>
        <w:rPr>
          <w:spacing w:val="-5"/>
          <w:sz w:val="20"/>
        </w:rPr>
        <w:t> </w:t>
      </w:r>
      <w:r>
        <w:rPr>
          <w:sz w:val="20"/>
        </w:rPr>
        <w:t>and</w:t>
      </w:r>
      <w:r>
        <w:rPr>
          <w:spacing w:val="-4"/>
          <w:sz w:val="20"/>
        </w:rPr>
        <w:t> </w:t>
      </w:r>
      <w:r>
        <w:rPr>
          <w:sz w:val="20"/>
        </w:rPr>
        <w:t>training</w:t>
      </w:r>
      <w:r>
        <w:rPr>
          <w:spacing w:val="-4"/>
          <w:sz w:val="20"/>
        </w:rPr>
        <w:t> </w:t>
      </w:r>
      <w:r>
        <w:rPr>
          <w:sz w:val="20"/>
        </w:rPr>
        <w:t>sessions with victims and intermediaries, VWS risk and psychosocial assessments related to protection, support referrals and case management, and PIOS outreach missions.</w:t>
      </w:r>
    </w:p>
    <w:p>
      <w:pPr>
        <w:pStyle w:val="BodyText"/>
        <w:rPr>
          <w:sz w:val="21"/>
        </w:rPr>
      </w:pPr>
    </w:p>
    <w:p>
      <w:pPr>
        <w:spacing w:before="0"/>
        <w:ind w:left="2246" w:right="0" w:firstLine="0"/>
        <w:jc w:val="both"/>
        <w:rPr>
          <w:i/>
          <w:sz w:val="20"/>
        </w:rPr>
      </w:pPr>
      <w:r>
        <w:rPr>
          <w:i/>
          <w:sz w:val="20"/>
        </w:rPr>
        <w:t>Field</w:t>
      </w:r>
      <w:r>
        <w:rPr>
          <w:i/>
          <w:spacing w:val="-7"/>
          <w:sz w:val="20"/>
        </w:rPr>
        <w:t> </w:t>
      </w:r>
      <w:r>
        <w:rPr>
          <w:i/>
          <w:sz w:val="20"/>
        </w:rPr>
        <w:t>and</w:t>
      </w:r>
      <w:r>
        <w:rPr>
          <w:i/>
          <w:spacing w:val="-6"/>
          <w:sz w:val="20"/>
        </w:rPr>
        <w:t> </w:t>
      </w:r>
      <w:r>
        <w:rPr>
          <w:i/>
          <w:sz w:val="20"/>
        </w:rPr>
        <w:t>operational</w:t>
      </w:r>
      <w:r>
        <w:rPr>
          <w:i/>
          <w:spacing w:val="-5"/>
          <w:sz w:val="20"/>
        </w:rPr>
        <w:t> </w:t>
      </w:r>
      <w:r>
        <w:rPr>
          <w:i/>
          <w:sz w:val="20"/>
        </w:rPr>
        <w:t>support</w:t>
      </w:r>
      <w:r>
        <w:rPr>
          <w:i/>
          <w:spacing w:val="3"/>
          <w:sz w:val="20"/>
        </w:rPr>
        <w:t> </w:t>
      </w:r>
      <w:r>
        <w:rPr>
          <w:i/>
          <w:sz w:val="20"/>
        </w:rPr>
        <w:t>–</w:t>
      </w:r>
      <w:r>
        <w:rPr>
          <w:i/>
          <w:spacing w:val="-10"/>
          <w:sz w:val="20"/>
        </w:rPr>
        <w:t> </w:t>
      </w:r>
      <w:r>
        <w:rPr>
          <w:i/>
          <w:spacing w:val="-2"/>
          <w:sz w:val="20"/>
        </w:rPr>
        <w:t>Venezuela</w:t>
      </w:r>
    </w:p>
    <w:p>
      <w:pPr>
        <w:pStyle w:val="BodyText"/>
        <w:spacing w:before="6"/>
        <w:rPr>
          <w:i/>
        </w:rPr>
      </w:pPr>
    </w:p>
    <w:p>
      <w:pPr>
        <w:pStyle w:val="ListParagraph"/>
        <w:numPr>
          <w:ilvl w:val="0"/>
          <w:numId w:val="4"/>
        </w:numPr>
        <w:tabs>
          <w:tab w:pos="2967" w:val="left" w:leader="none"/>
        </w:tabs>
        <w:spacing w:line="240" w:lineRule="auto" w:before="0" w:after="0"/>
        <w:ind w:left="2246" w:right="2242" w:firstLine="0"/>
        <w:jc w:val="both"/>
        <w:rPr>
          <w:sz w:val="20"/>
        </w:rPr>
      </w:pPr>
      <w:r>
        <w:rPr>
          <w:sz w:val="20"/>
        </w:rPr>
        <w:t>For the Venezuela situation, a total of 3.4 months is estimated for field interpreter support to missions undertaken by counsel and VWS risk and psychosocial assessments related to protection, support referrals and case management.</w:t>
      </w:r>
    </w:p>
    <w:p>
      <w:pPr>
        <w:pStyle w:val="BodyText"/>
        <w:rPr>
          <w:sz w:val="21"/>
        </w:rPr>
      </w:pPr>
    </w:p>
    <w:p>
      <w:pPr>
        <w:spacing w:before="0"/>
        <w:ind w:left="2246" w:right="0" w:firstLine="0"/>
        <w:jc w:val="both"/>
        <w:rPr>
          <w:i/>
          <w:sz w:val="20"/>
        </w:rPr>
      </w:pPr>
      <w:r>
        <w:rPr>
          <w:i/>
          <w:sz w:val="20"/>
        </w:rPr>
        <w:t>Field</w:t>
      </w:r>
      <w:r>
        <w:rPr>
          <w:i/>
          <w:spacing w:val="-7"/>
          <w:sz w:val="20"/>
        </w:rPr>
        <w:t> </w:t>
      </w:r>
      <w:r>
        <w:rPr>
          <w:i/>
          <w:sz w:val="20"/>
        </w:rPr>
        <w:t>and</w:t>
      </w:r>
      <w:r>
        <w:rPr>
          <w:i/>
          <w:spacing w:val="-6"/>
          <w:sz w:val="20"/>
        </w:rPr>
        <w:t> </w:t>
      </w:r>
      <w:r>
        <w:rPr>
          <w:i/>
          <w:sz w:val="20"/>
        </w:rPr>
        <w:t>operational</w:t>
      </w:r>
      <w:r>
        <w:rPr>
          <w:i/>
          <w:spacing w:val="-5"/>
          <w:sz w:val="20"/>
        </w:rPr>
        <w:t> </w:t>
      </w:r>
      <w:r>
        <w:rPr>
          <w:i/>
          <w:sz w:val="20"/>
        </w:rPr>
        <w:t>support</w:t>
      </w:r>
      <w:r>
        <w:rPr>
          <w:i/>
          <w:spacing w:val="3"/>
          <w:sz w:val="20"/>
        </w:rPr>
        <w:t> </w:t>
      </w:r>
      <w:r>
        <w:rPr>
          <w:i/>
          <w:sz w:val="20"/>
        </w:rPr>
        <w:t>–</w:t>
      </w:r>
      <w:r>
        <w:rPr>
          <w:i/>
          <w:spacing w:val="-10"/>
          <w:sz w:val="20"/>
        </w:rPr>
        <w:t> </w:t>
      </w:r>
      <w:r>
        <w:rPr>
          <w:i/>
          <w:spacing w:val="-2"/>
          <w:sz w:val="20"/>
        </w:rPr>
        <w:t>Philippines</w:t>
      </w:r>
    </w:p>
    <w:p>
      <w:pPr>
        <w:pStyle w:val="BodyText"/>
        <w:spacing w:before="10"/>
        <w:rPr>
          <w:i/>
        </w:rPr>
      </w:pPr>
    </w:p>
    <w:p>
      <w:pPr>
        <w:pStyle w:val="ListParagraph"/>
        <w:numPr>
          <w:ilvl w:val="0"/>
          <w:numId w:val="4"/>
        </w:numPr>
        <w:tabs>
          <w:tab w:pos="2967" w:val="left" w:leader="none"/>
        </w:tabs>
        <w:spacing w:line="240" w:lineRule="auto" w:before="1" w:after="0"/>
        <w:ind w:left="2246" w:right="2248" w:firstLine="0"/>
        <w:jc w:val="both"/>
        <w:rPr>
          <w:sz w:val="20"/>
        </w:rPr>
      </w:pPr>
      <w:r>
        <w:rPr>
          <w:sz w:val="20"/>
        </w:rPr>
        <w:t>For the Philippines situation, 0.5</w:t>
      </w:r>
      <w:r>
        <w:rPr>
          <w:spacing w:val="-5"/>
          <w:sz w:val="20"/>
        </w:rPr>
        <w:t> </w:t>
      </w:r>
      <w:r>
        <w:rPr>
          <w:sz w:val="20"/>
        </w:rPr>
        <w:t>month is</w:t>
      </w:r>
      <w:r>
        <w:rPr>
          <w:spacing w:val="-1"/>
          <w:sz w:val="20"/>
        </w:rPr>
        <w:t> </w:t>
      </w:r>
      <w:r>
        <w:rPr>
          <w:sz w:val="20"/>
        </w:rPr>
        <w:t>estimated for field interpreter support</w:t>
      </w:r>
      <w:r>
        <w:rPr>
          <w:spacing w:val="-3"/>
          <w:sz w:val="20"/>
        </w:rPr>
        <w:t> </w:t>
      </w:r>
      <w:r>
        <w:rPr>
          <w:sz w:val="20"/>
        </w:rPr>
        <w:t>to missions undertaken by counsel.</w:t>
      </w:r>
    </w:p>
    <w:p>
      <w:pPr>
        <w:pStyle w:val="BodyText"/>
        <w:spacing w:before="10"/>
      </w:pPr>
    </w:p>
    <w:p>
      <w:pPr>
        <w:spacing w:before="0"/>
        <w:ind w:left="2246" w:right="0" w:firstLine="0"/>
        <w:jc w:val="both"/>
        <w:rPr>
          <w:i/>
          <w:sz w:val="20"/>
        </w:rPr>
      </w:pPr>
      <w:r>
        <w:rPr>
          <w:i/>
          <w:sz w:val="20"/>
        </w:rPr>
        <w:t>Field</w:t>
      </w:r>
      <w:r>
        <w:rPr>
          <w:i/>
          <w:spacing w:val="-6"/>
          <w:sz w:val="20"/>
        </w:rPr>
        <w:t> </w:t>
      </w:r>
      <w:r>
        <w:rPr>
          <w:i/>
          <w:sz w:val="20"/>
        </w:rPr>
        <w:t>and</w:t>
      </w:r>
      <w:r>
        <w:rPr>
          <w:i/>
          <w:spacing w:val="-5"/>
          <w:sz w:val="20"/>
        </w:rPr>
        <w:t> </w:t>
      </w:r>
      <w:r>
        <w:rPr>
          <w:i/>
          <w:sz w:val="20"/>
        </w:rPr>
        <w:t>operational</w:t>
      </w:r>
      <w:r>
        <w:rPr>
          <w:i/>
          <w:spacing w:val="-3"/>
          <w:sz w:val="20"/>
        </w:rPr>
        <w:t> </w:t>
      </w:r>
      <w:r>
        <w:rPr>
          <w:i/>
          <w:sz w:val="20"/>
        </w:rPr>
        <w:t>support</w:t>
      </w:r>
      <w:r>
        <w:rPr>
          <w:i/>
          <w:spacing w:val="4"/>
          <w:sz w:val="20"/>
        </w:rPr>
        <w:t> </w:t>
      </w:r>
      <w:r>
        <w:rPr>
          <w:i/>
          <w:sz w:val="20"/>
        </w:rPr>
        <w:t>–</w:t>
      </w:r>
      <w:r>
        <w:rPr>
          <w:i/>
          <w:spacing w:val="-9"/>
          <w:sz w:val="20"/>
        </w:rPr>
        <w:t> </w:t>
      </w:r>
      <w:r>
        <w:rPr>
          <w:i/>
          <w:sz w:val="20"/>
        </w:rPr>
        <w:t>FOP</w:t>
      </w:r>
      <w:r>
        <w:rPr>
          <w:i/>
          <w:spacing w:val="-3"/>
          <w:sz w:val="20"/>
        </w:rPr>
        <w:t> </w:t>
      </w:r>
      <w:r>
        <w:rPr>
          <w:i/>
          <w:sz w:val="20"/>
        </w:rPr>
        <w:t>OPS</w:t>
      </w:r>
      <w:r>
        <w:rPr>
          <w:i/>
          <w:spacing w:val="-5"/>
          <w:sz w:val="20"/>
        </w:rPr>
        <w:t> </w:t>
      </w:r>
      <w:r>
        <w:rPr>
          <w:i/>
          <w:sz w:val="20"/>
        </w:rPr>
        <w:t>and</w:t>
      </w:r>
      <w:r>
        <w:rPr>
          <w:i/>
          <w:spacing w:val="-5"/>
          <w:sz w:val="20"/>
        </w:rPr>
        <w:t> </w:t>
      </w:r>
      <w:r>
        <w:rPr>
          <w:i/>
          <w:sz w:val="20"/>
        </w:rPr>
        <w:t>CIS</w:t>
      </w:r>
      <w:r>
        <w:rPr>
          <w:i/>
          <w:spacing w:val="-5"/>
          <w:sz w:val="20"/>
        </w:rPr>
        <w:t> OPS</w:t>
      </w:r>
    </w:p>
    <w:p>
      <w:pPr>
        <w:pStyle w:val="BodyText"/>
        <w:rPr>
          <w:i/>
          <w:sz w:val="21"/>
        </w:rPr>
      </w:pPr>
    </w:p>
    <w:p>
      <w:pPr>
        <w:pStyle w:val="ListParagraph"/>
        <w:numPr>
          <w:ilvl w:val="0"/>
          <w:numId w:val="4"/>
        </w:numPr>
        <w:tabs>
          <w:tab w:pos="2967" w:val="left" w:leader="none"/>
        </w:tabs>
        <w:spacing w:line="240" w:lineRule="auto" w:before="0" w:after="0"/>
        <w:ind w:left="2246" w:right="2245" w:firstLine="0"/>
        <w:jc w:val="both"/>
        <w:rPr>
          <w:sz w:val="20"/>
        </w:rPr>
      </w:pPr>
      <w:r>
        <w:rPr>
          <w:sz w:val="20"/>
        </w:rPr>
        <w:t>For</w:t>
      </w:r>
      <w:r>
        <w:rPr>
          <w:spacing w:val="-9"/>
          <w:sz w:val="20"/>
        </w:rPr>
        <w:t> </w:t>
      </w:r>
      <w:r>
        <w:rPr>
          <w:sz w:val="20"/>
        </w:rPr>
        <w:t>essential</w:t>
      </w:r>
      <w:r>
        <w:rPr>
          <w:spacing w:val="-7"/>
          <w:sz w:val="20"/>
        </w:rPr>
        <w:t> </w:t>
      </w:r>
      <w:r>
        <w:rPr>
          <w:sz w:val="20"/>
        </w:rPr>
        <w:t>terminology</w:t>
      </w:r>
      <w:r>
        <w:rPr>
          <w:spacing w:val="-8"/>
          <w:sz w:val="20"/>
        </w:rPr>
        <w:t> </w:t>
      </w:r>
      <w:r>
        <w:rPr>
          <w:sz w:val="20"/>
        </w:rPr>
        <w:t>work</w:t>
      </w:r>
      <w:r>
        <w:rPr>
          <w:spacing w:val="-8"/>
          <w:sz w:val="20"/>
        </w:rPr>
        <w:t> </w:t>
      </w:r>
      <w:r>
        <w:rPr>
          <w:sz w:val="20"/>
        </w:rPr>
        <w:t>with</w:t>
      </w:r>
      <w:r>
        <w:rPr>
          <w:spacing w:val="-13"/>
          <w:sz w:val="20"/>
        </w:rPr>
        <w:t> </w:t>
      </w:r>
      <w:r>
        <w:rPr>
          <w:sz w:val="20"/>
        </w:rPr>
        <w:t>field</w:t>
      </w:r>
      <w:r>
        <w:rPr>
          <w:spacing w:val="-12"/>
          <w:sz w:val="20"/>
        </w:rPr>
        <w:t> </w:t>
      </w:r>
      <w:r>
        <w:rPr>
          <w:sz w:val="20"/>
        </w:rPr>
        <w:t>interpreters</w:t>
      </w:r>
      <w:r>
        <w:rPr>
          <w:spacing w:val="-10"/>
          <w:sz w:val="20"/>
        </w:rPr>
        <w:t> </w:t>
      </w:r>
      <w:r>
        <w:rPr>
          <w:sz w:val="20"/>
        </w:rPr>
        <w:t>in</w:t>
      </w:r>
      <w:r>
        <w:rPr>
          <w:spacing w:val="-8"/>
          <w:sz w:val="20"/>
        </w:rPr>
        <w:t> </w:t>
      </w:r>
      <w:r>
        <w:rPr>
          <w:sz w:val="20"/>
        </w:rPr>
        <w:t>situation</w:t>
      </w:r>
      <w:r>
        <w:rPr>
          <w:spacing w:val="-13"/>
          <w:sz w:val="20"/>
        </w:rPr>
        <w:t> </w:t>
      </w:r>
      <w:r>
        <w:rPr>
          <w:sz w:val="20"/>
        </w:rPr>
        <w:t>languages</w:t>
      </w:r>
      <w:r>
        <w:rPr>
          <w:spacing w:val="-10"/>
          <w:sz w:val="20"/>
        </w:rPr>
        <w:t> </w:t>
      </w:r>
      <w:r>
        <w:rPr>
          <w:sz w:val="20"/>
        </w:rPr>
        <w:t>that</w:t>
      </w:r>
      <w:r>
        <w:rPr>
          <w:spacing w:val="-12"/>
          <w:sz w:val="20"/>
        </w:rPr>
        <w:t> </w:t>
      </w:r>
      <w:r>
        <w:rPr>
          <w:sz w:val="20"/>
        </w:rPr>
        <w:t>are not supported in-house, a total of 2.0 working months is required.</w:t>
      </w:r>
    </w:p>
    <w:p>
      <w:pPr>
        <w:pStyle w:val="ListParagraph"/>
        <w:numPr>
          <w:ilvl w:val="0"/>
          <w:numId w:val="4"/>
        </w:numPr>
        <w:tabs>
          <w:tab w:pos="2967" w:val="left" w:leader="none"/>
        </w:tabs>
        <w:spacing w:line="237" w:lineRule="auto" w:before="123" w:after="0"/>
        <w:ind w:left="2246" w:right="2242" w:firstLine="0"/>
        <w:jc w:val="both"/>
        <w:rPr>
          <w:sz w:val="20"/>
        </w:rPr>
      </w:pPr>
      <w:r>
        <w:rPr>
          <w:sz w:val="20"/>
        </w:rPr>
        <w:t>The proposed GTA requirements in VPRS present a net reduction of €106.1 thousand</w:t>
      </w:r>
      <w:r>
        <w:rPr>
          <w:spacing w:val="-4"/>
          <w:sz w:val="20"/>
        </w:rPr>
        <w:t> </w:t>
      </w:r>
      <w:r>
        <w:rPr>
          <w:sz w:val="20"/>
        </w:rPr>
        <w:t>in</w:t>
      </w:r>
      <w:r>
        <w:rPr>
          <w:spacing w:val="-4"/>
          <w:sz w:val="20"/>
        </w:rPr>
        <w:t> </w:t>
      </w:r>
      <w:r>
        <w:rPr>
          <w:sz w:val="20"/>
        </w:rPr>
        <w:t>comparison</w:t>
      </w:r>
      <w:r>
        <w:rPr>
          <w:spacing w:val="-4"/>
          <w:sz w:val="20"/>
        </w:rPr>
        <w:t> </w:t>
      </w:r>
      <w:r>
        <w:rPr>
          <w:sz w:val="20"/>
        </w:rPr>
        <w:t>to</w:t>
      </w:r>
      <w:r>
        <w:rPr>
          <w:spacing w:val="-4"/>
          <w:sz w:val="20"/>
        </w:rPr>
        <w:t> </w:t>
      </w:r>
      <w:r>
        <w:rPr>
          <w:sz w:val="20"/>
        </w:rPr>
        <w:t>the</w:t>
      </w:r>
      <w:r>
        <w:rPr>
          <w:spacing w:val="-2"/>
          <w:sz w:val="20"/>
        </w:rPr>
        <w:t> </w:t>
      </w:r>
      <w:r>
        <w:rPr>
          <w:sz w:val="20"/>
        </w:rPr>
        <w:t>2022</w:t>
      </w:r>
      <w:r>
        <w:rPr>
          <w:spacing w:val="-4"/>
          <w:sz w:val="20"/>
        </w:rPr>
        <w:t> </w:t>
      </w:r>
      <w:r>
        <w:rPr>
          <w:sz w:val="20"/>
        </w:rPr>
        <w:t>approved</w:t>
      </w:r>
      <w:r>
        <w:rPr>
          <w:spacing w:val="-4"/>
          <w:sz w:val="20"/>
        </w:rPr>
        <w:t> </w:t>
      </w:r>
      <w:r>
        <w:rPr>
          <w:sz w:val="20"/>
        </w:rPr>
        <w:t>budget,</w:t>
      </w:r>
      <w:r>
        <w:rPr>
          <w:spacing w:val="-1"/>
          <w:sz w:val="20"/>
        </w:rPr>
        <w:t> </w:t>
      </w:r>
      <w:r>
        <w:rPr>
          <w:sz w:val="20"/>
        </w:rPr>
        <w:t>as</w:t>
      </w:r>
      <w:r>
        <w:rPr>
          <w:spacing w:val="-5"/>
          <w:sz w:val="20"/>
        </w:rPr>
        <w:t> </w:t>
      </w:r>
      <w:r>
        <w:rPr>
          <w:sz w:val="20"/>
        </w:rPr>
        <w:t>a result</w:t>
      </w:r>
      <w:r>
        <w:rPr>
          <w:spacing w:val="-2"/>
          <w:sz w:val="20"/>
        </w:rPr>
        <w:t> </w:t>
      </w:r>
      <w:r>
        <w:rPr>
          <w:sz w:val="20"/>
        </w:rPr>
        <w:t>of</w:t>
      </w:r>
      <w:r>
        <w:rPr>
          <w:spacing w:val="-4"/>
          <w:sz w:val="20"/>
        </w:rPr>
        <w:t> </w:t>
      </w:r>
      <w:r>
        <w:rPr>
          <w:sz w:val="20"/>
        </w:rPr>
        <w:t>the</w:t>
      </w:r>
      <w:r>
        <w:rPr>
          <w:spacing w:val="-2"/>
          <w:sz w:val="20"/>
        </w:rPr>
        <w:t> </w:t>
      </w:r>
      <w:r>
        <w:rPr>
          <w:sz w:val="20"/>
        </w:rPr>
        <w:t>proposed</w:t>
      </w:r>
      <w:r>
        <w:rPr>
          <w:spacing w:val="-4"/>
          <w:sz w:val="20"/>
        </w:rPr>
        <w:t> </w:t>
      </w:r>
      <w:r>
        <w:rPr>
          <w:sz w:val="20"/>
        </w:rPr>
        <w:t>conversion of two</w:t>
      </w:r>
      <w:r>
        <w:rPr>
          <w:spacing w:val="-4"/>
          <w:sz w:val="20"/>
        </w:rPr>
        <w:t> </w:t>
      </w:r>
      <w:r>
        <w:rPr>
          <w:sz w:val="20"/>
        </w:rPr>
        <w:t>GTA positions</w:t>
      </w:r>
      <w:r>
        <w:rPr>
          <w:spacing w:val="-5"/>
          <w:sz w:val="20"/>
        </w:rPr>
        <w:t> </w:t>
      </w:r>
      <w:r>
        <w:rPr>
          <w:sz w:val="20"/>
        </w:rPr>
        <w:t>into</w:t>
      </w:r>
      <w:r>
        <w:rPr>
          <w:spacing w:val="-4"/>
          <w:sz w:val="20"/>
        </w:rPr>
        <w:t> </w:t>
      </w:r>
      <w:r>
        <w:rPr>
          <w:sz w:val="20"/>
        </w:rPr>
        <w:t>established posts,</w:t>
      </w:r>
      <w:r>
        <w:rPr>
          <w:spacing w:val="-1"/>
          <w:sz w:val="20"/>
        </w:rPr>
        <w:t> </w:t>
      </w:r>
      <w:r>
        <w:rPr>
          <w:sz w:val="20"/>
        </w:rPr>
        <w:t>as explained</w:t>
      </w:r>
      <w:r>
        <w:rPr>
          <w:spacing w:val="-4"/>
          <w:sz w:val="20"/>
        </w:rPr>
        <w:t> </w:t>
      </w:r>
      <w:r>
        <w:rPr>
          <w:sz w:val="20"/>
        </w:rPr>
        <w:t>in</w:t>
      </w:r>
      <w:r>
        <w:rPr>
          <w:spacing w:val="-4"/>
          <w:sz w:val="20"/>
        </w:rPr>
        <w:t> </w:t>
      </w:r>
      <w:r>
        <w:rPr>
          <w:sz w:val="20"/>
        </w:rPr>
        <w:t>paragraphs </w:t>
      </w:r>
      <w:hyperlink w:history="true" w:anchor="_bookmark40">
        <w:r>
          <w:rPr>
            <w:sz w:val="20"/>
          </w:rPr>
          <w:t>599</w:t>
        </w:r>
      </w:hyperlink>
      <w:r>
        <w:rPr>
          <w:spacing w:val="-3"/>
          <w:sz w:val="20"/>
        </w:rPr>
        <w:t> </w:t>
      </w:r>
      <w:r>
        <w:rPr>
          <w:sz w:val="20"/>
        </w:rPr>
        <w:t>and</w:t>
      </w:r>
      <w:r>
        <w:rPr>
          <w:spacing w:val="-3"/>
          <w:sz w:val="20"/>
        </w:rPr>
        <w:t> </w:t>
      </w:r>
      <w:hyperlink w:history="true" w:anchor="_bookmark41">
        <w:r>
          <w:rPr>
            <w:sz w:val="20"/>
          </w:rPr>
          <w:t>600</w:t>
        </w:r>
      </w:hyperlink>
      <w:r>
        <w:rPr>
          <w:spacing w:val="-3"/>
          <w:sz w:val="20"/>
        </w:rPr>
        <w:t> </w:t>
      </w:r>
      <w:r>
        <w:rPr>
          <w:sz w:val="20"/>
        </w:rPr>
        <w:t>above. The following GTA positions will continue to be required in 2023.</w:t>
      </w:r>
    </w:p>
    <w:p>
      <w:pPr>
        <w:pStyle w:val="ListParagraph"/>
        <w:numPr>
          <w:ilvl w:val="0"/>
          <w:numId w:val="4"/>
        </w:numPr>
        <w:tabs>
          <w:tab w:pos="2967" w:val="left" w:leader="none"/>
        </w:tabs>
        <w:spacing w:line="240" w:lineRule="auto" w:before="124" w:after="0"/>
        <w:ind w:left="2246" w:right="2239" w:firstLine="0"/>
        <w:jc w:val="both"/>
        <w:rPr>
          <w:sz w:val="20"/>
        </w:rPr>
      </w:pPr>
      <w:r>
        <w:rPr>
          <w:sz w:val="20"/>
        </w:rPr>
        <w:t>One </w:t>
      </w:r>
      <w:r>
        <w:rPr>
          <w:i/>
          <w:sz w:val="20"/>
        </w:rPr>
        <w:t>Data Processing Assistant, (GS-OL), 12 months, Continued. Multi-year.</w:t>
      </w:r>
      <w:r>
        <w:rPr>
          <w:i/>
          <w:sz w:val="20"/>
        </w:rPr>
        <w:t> </w:t>
      </w:r>
      <w:r>
        <w:rPr>
          <w:sz w:val="20"/>
        </w:rPr>
        <w:t>Despite efficiencies gained through innovative and enhanced use of IT technology in application collection, the sheer numerical increase as well as the increase in diversity and complexity (conditions in the field, multiple cases per situation with overlap of victim communities</w:t>
      </w:r>
      <w:r>
        <w:rPr>
          <w:spacing w:val="-5"/>
          <w:sz w:val="20"/>
        </w:rPr>
        <w:t> </w:t>
      </w:r>
      <w:r>
        <w:rPr>
          <w:sz w:val="20"/>
        </w:rPr>
        <w:t>etc.)</w:t>
      </w:r>
      <w:r>
        <w:rPr>
          <w:spacing w:val="-4"/>
          <w:sz w:val="20"/>
        </w:rPr>
        <w:t> </w:t>
      </w:r>
      <w:r>
        <w:rPr>
          <w:sz w:val="20"/>
        </w:rPr>
        <w:t>require</w:t>
      </w:r>
      <w:r>
        <w:rPr>
          <w:spacing w:val="-2"/>
          <w:sz w:val="20"/>
        </w:rPr>
        <w:t> </w:t>
      </w:r>
      <w:r>
        <w:rPr>
          <w:sz w:val="20"/>
        </w:rPr>
        <w:t>the</w:t>
      </w:r>
      <w:r>
        <w:rPr>
          <w:spacing w:val="-7"/>
          <w:sz w:val="20"/>
        </w:rPr>
        <w:t> </w:t>
      </w:r>
      <w:r>
        <w:rPr>
          <w:sz w:val="20"/>
        </w:rPr>
        <w:t>continuation</w:t>
      </w:r>
      <w:r>
        <w:rPr>
          <w:spacing w:val="-4"/>
          <w:sz w:val="20"/>
        </w:rPr>
        <w:t> </w:t>
      </w:r>
      <w:r>
        <w:rPr>
          <w:sz w:val="20"/>
        </w:rPr>
        <w:t>of</w:t>
      </w:r>
      <w:r>
        <w:rPr>
          <w:spacing w:val="-4"/>
          <w:sz w:val="20"/>
        </w:rPr>
        <w:t> </w:t>
      </w:r>
      <w:r>
        <w:rPr>
          <w:sz w:val="20"/>
        </w:rPr>
        <w:t>this</w:t>
      </w:r>
      <w:r>
        <w:rPr>
          <w:spacing w:val="-5"/>
          <w:sz w:val="20"/>
        </w:rPr>
        <w:t> </w:t>
      </w:r>
      <w:r>
        <w:rPr>
          <w:sz w:val="20"/>
        </w:rPr>
        <w:t>position.</w:t>
      </w:r>
      <w:r>
        <w:rPr>
          <w:spacing w:val="-1"/>
          <w:sz w:val="20"/>
        </w:rPr>
        <w:t> </w:t>
      </w:r>
      <w:r>
        <w:rPr>
          <w:sz w:val="20"/>
        </w:rPr>
        <w:t>The</w:t>
      </w:r>
      <w:r>
        <w:rPr>
          <w:spacing w:val="-2"/>
          <w:sz w:val="20"/>
        </w:rPr>
        <w:t> </w:t>
      </w:r>
      <w:r>
        <w:rPr>
          <w:sz w:val="20"/>
        </w:rPr>
        <w:t>position</w:t>
      </w:r>
      <w:r>
        <w:rPr>
          <w:spacing w:val="-4"/>
          <w:sz w:val="20"/>
        </w:rPr>
        <w:t> </w:t>
      </w:r>
      <w:r>
        <w:rPr>
          <w:sz w:val="20"/>
        </w:rPr>
        <w:t>provides data</w:t>
      </w:r>
      <w:r>
        <w:rPr>
          <w:spacing w:val="-2"/>
          <w:sz w:val="20"/>
        </w:rPr>
        <w:t> </w:t>
      </w:r>
      <w:r>
        <w:rPr>
          <w:sz w:val="20"/>
        </w:rPr>
        <w:t>entry, data assessment and relevant reporting capacity for the Section to be able to carry out its mandate within deadlines set by the Chambers.</w:t>
      </w:r>
    </w:p>
    <w:p>
      <w:pPr>
        <w:pStyle w:val="ListParagraph"/>
        <w:numPr>
          <w:ilvl w:val="0"/>
          <w:numId w:val="4"/>
        </w:numPr>
        <w:tabs>
          <w:tab w:pos="2967" w:val="left" w:leader="none"/>
        </w:tabs>
        <w:spacing w:line="237" w:lineRule="auto" w:before="125" w:after="0"/>
        <w:ind w:left="2246" w:right="2240" w:firstLine="0"/>
        <w:jc w:val="both"/>
        <w:rPr>
          <w:sz w:val="20"/>
        </w:rPr>
      </w:pPr>
      <w:r>
        <w:rPr>
          <w:sz w:val="20"/>
        </w:rPr>
        <w:t>One</w:t>
      </w:r>
      <w:r>
        <w:rPr>
          <w:spacing w:val="-5"/>
          <w:sz w:val="20"/>
        </w:rPr>
        <w:t> </w:t>
      </w:r>
      <w:r>
        <w:rPr>
          <w:i/>
          <w:sz w:val="20"/>
        </w:rPr>
        <w:t>Associate</w:t>
      </w:r>
      <w:r>
        <w:rPr>
          <w:i/>
          <w:spacing w:val="-5"/>
          <w:sz w:val="20"/>
        </w:rPr>
        <w:t> </w:t>
      </w:r>
      <w:r>
        <w:rPr>
          <w:i/>
          <w:sz w:val="20"/>
        </w:rPr>
        <w:t>Legal Officer</w:t>
      </w:r>
      <w:r>
        <w:rPr>
          <w:i/>
          <w:spacing w:val="-3"/>
          <w:sz w:val="20"/>
        </w:rPr>
        <w:t> </w:t>
      </w:r>
      <w:r>
        <w:rPr>
          <w:i/>
          <w:sz w:val="20"/>
        </w:rPr>
        <w:t>(P-2)</w:t>
      </w:r>
      <w:r>
        <w:rPr>
          <w:i/>
          <w:spacing w:val="-6"/>
          <w:sz w:val="20"/>
        </w:rPr>
        <w:t> </w:t>
      </w:r>
      <w:r>
        <w:rPr>
          <w:i/>
          <w:sz w:val="20"/>
        </w:rPr>
        <w:t>12</w:t>
      </w:r>
      <w:r>
        <w:rPr>
          <w:i/>
          <w:spacing w:val="-6"/>
          <w:sz w:val="20"/>
        </w:rPr>
        <w:t> </w:t>
      </w:r>
      <w:r>
        <w:rPr>
          <w:i/>
          <w:sz w:val="20"/>
        </w:rPr>
        <w:t>months.</w:t>
      </w:r>
      <w:r>
        <w:rPr>
          <w:i/>
          <w:spacing w:val="-3"/>
          <w:sz w:val="20"/>
        </w:rPr>
        <w:t> </w:t>
      </w:r>
      <w:r>
        <w:rPr>
          <w:i/>
          <w:sz w:val="20"/>
        </w:rPr>
        <w:t>Continued.</w:t>
      </w:r>
      <w:r>
        <w:rPr>
          <w:i/>
          <w:spacing w:val="-4"/>
          <w:sz w:val="20"/>
        </w:rPr>
        <w:t> </w:t>
      </w:r>
      <w:r>
        <w:rPr>
          <w:i/>
          <w:sz w:val="20"/>
        </w:rPr>
        <w:t>Multi-year.</w:t>
      </w:r>
      <w:r>
        <w:rPr>
          <w:i/>
          <w:spacing w:val="-4"/>
          <w:sz w:val="20"/>
        </w:rPr>
        <w:t> </w:t>
      </w:r>
      <w:r>
        <w:rPr>
          <w:sz w:val="20"/>
        </w:rPr>
        <w:t>This</w:t>
      </w:r>
      <w:r>
        <w:rPr>
          <w:spacing w:val="-7"/>
          <w:sz w:val="20"/>
        </w:rPr>
        <w:t> </w:t>
      </w:r>
      <w:r>
        <w:rPr>
          <w:sz w:val="20"/>
        </w:rPr>
        <w:t>position is required to support the field coordination work of VPRS. The Section is tasked with continuing</w:t>
      </w:r>
      <w:r>
        <w:rPr>
          <w:spacing w:val="-9"/>
          <w:sz w:val="20"/>
        </w:rPr>
        <w:t> </w:t>
      </w:r>
      <w:r>
        <w:rPr>
          <w:sz w:val="20"/>
        </w:rPr>
        <w:t>to</w:t>
      </w:r>
      <w:r>
        <w:rPr>
          <w:spacing w:val="-5"/>
          <w:sz w:val="20"/>
        </w:rPr>
        <w:t> </w:t>
      </w:r>
      <w:r>
        <w:rPr>
          <w:sz w:val="20"/>
        </w:rPr>
        <w:t>engage</w:t>
      </w:r>
      <w:r>
        <w:rPr>
          <w:spacing w:val="-8"/>
          <w:sz w:val="20"/>
        </w:rPr>
        <w:t> </w:t>
      </w:r>
      <w:r>
        <w:rPr>
          <w:sz w:val="20"/>
        </w:rPr>
        <w:t>effectively</w:t>
      </w:r>
      <w:r>
        <w:rPr>
          <w:spacing w:val="-5"/>
          <w:sz w:val="20"/>
        </w:rPr>
        <w:t> </w:t>
      </w:r>
      <w:r>
        <w:rPr>
          <w:sz w:val="20"/>
        </w:rPr>
        <w:t>with</w:t>
      </w:r>
      <w:r>
        <w:rPr>
          <w:spacing w:val="-9"/>
          <w:sz w:val="20"/>
        </w:rPr>
        <w:t> </w:t>
      </w:r>
      <w:r>
        <w:rPr>
          <w:sz w:val="20"/>
        </w:rPr>
        <w:t>intermediaries,</w:t>
      </w:r>
      <w:r>
        <w:rPr>
          <w:spacing w:val="-7"/>
          <w:sz w:val="20"/>
        </w:rPr>
        <w:t> </w:t>
      </w:r>
      <w:r>
        <w:rPr>
          <w:sz w:val="20"/>
        </w:rPr>
        <w:t>civil</w:t>
      </w:r>
      <w:r>
        <w:rPr>
          <w:spacing w:val="-3"/>
          <w:sz w:val="20"/>
        </w:rPr>
        <w:t> </w:t>
      </w:r>
      <w:r>
        <w:rPr>
          <w:sz w:val="20"/>
        </w:rPr>
        <w:t>society</w:t>
      </w:r>
      <w:r>
        <w:rPr>
          <w:spacing w:val="-9"/>
          <w:sz w:val="20"/>
        </w:rPr>
        <w:t> </w:t>
      </w:r>
      <w:r>
        <w:rPr>
          <w:sz w:val="20"/>
        </w:rPr>
        <w:t>and</w:t>
      </w:r>
      <w:r>
        <w:rPr>
          <w:spacing w:val="-9"/>
          <w:sz w:val="20"/>
        </w:rPr>
        <w:t> </w:t>
      </w:r>
      <w:r>
        <w:rPr>
          <w:sz w:val="20"/>
        </w:rPr>
        <w:t>victim</w:t>
      </w:r>
      <w:r>
        <w:rPr>
          <w:spacing w:val="-3"/>
          <w:sz w:val="20"/>
        </w:rPr>
        <w:t> </w:t>
      </w:r>
      <w:r>
        <w:rPr>
          <w:sz w:val="20"/>
        </w:rPr>
        <w:t>representatives</w:t>
      </w:r>
    </w:p>
    <w:p>
      <w:pPr>
        <w:spacing w:after="0" w:line="237" w:lineRule="auto"/>
        <w:jc w:val="both"/>
        <w:rPr>
          <w:sz w:val="20"/>
        </w:rPr>
        <w:sectPr>
          <w:pgSz w:w="11910" w:h="16840"/>
          <w:pgMar w:header="957" w:footer="940" w:top="1140" w:bottom="1140" w:left="20" w:right="20"/>
        </w:sectPr>
      </w:pPr>
    </w:p>
    <w:p>
      <w:pPr>
        <w:pStyle w:val="BodyText"/>
        <w:spacing w:before="124"/>
        <w:ind w:left="2246" w:right="2243"/>
        <w:jc w:val="both"/>
      </w:pPr>
      <w:r>
        <w:rPr/>
        <w:t>in situations where the Court does not maintain a field presence. Such engagement will be required</w:t>
      </w:r>
      <w:r>
        <w:rPr>
          <w:spacing w:val="-8"/>
        </w:rPr>
        <w:t> </w:t>
      </w:r>
      <w:r>
        <w:rPr/>
        <w:t>at</w:t>
      </w:r>
      <w:r>
        <w:rPr>
          <w:spacing w:val="-7"/>
        </w:rPr>
        <w:t> </w:t>
      </w:r>
      <w:r>
        <w:rPr/>
        <w:t>all</w:t>
      </w:r>
      <w:r>
        <w:rPr>
          <w:spacing w:val="-7"/>
        </w:rPr>
        <w:t> </w:t>
      </w:r>
      <w:r>
        <w:rPr/>
        <w:t>stages</w:t>
      </w:r>
      <w:r>
        <w:rPr>
          <w:spacing w:val="-10"/>
        </w:rPr>
        <w:t> </w:t>
      </w:r>
      <w:r>
        <w:rPr/>
        <w:t>of</w:t>
      </w:r>
      <w:r>
        <w:rPr>
          <w:spacing w:val="-4"/>
        </w:rPr>
        <w:t> </w:t>
      </w:r>
      <w:r>
        <w:rPr/>
        <w:t>proceedings</w:t>
      </w:r>
      <w:r>
        <w:rPr>
          <w:spacing w:val="-10"/>
        </w:rPr>
        <w:t> </w:t>
      </w:r>
      <w:r>
        <w:rPr/>
        <w:t>and</w:t>
      </w:r>
      <w:r>
        <w:rPr>
          <w:spacing w:val="-8"/>
        </w:rPr>
        <w:t> </w:t>
      </w:r>
      <w:r>
        <w:rPr/>
        <w:t>in</w:t>
      </w:r>
      <w:r>
        <w:rPr>
          <w:spacing w:val="-8"/>
        </w:rPr>
        <w:t> </w:t>
      </w:r>
      <w:r>
        <w:rPr/>
        <w:t>a</w:t>
      </w:r>
      <w:r>
        <w:rPr>
          <w:spacing w:val="-7"/>
        </w:rPr>
        <w:t> </w:t>
      </w:r>
      <w:r>
        <w:rPr/>
        <w:t>variety</w:t>
      </w:r>
      <w:r>
        <w:rPr>
          <w:spacing w:val="-8"/>
        </w:rPr>
        <w:t> </w:t>
      </w:r>
      <w:r>
        <w:rPr/>
        <w:t>of</w:t>
      </w:r>
      <w:r>
        <w:rPr>
          <w:spacing w:val="-4"/>
        </w:rPr>
        <w:t> </w:t>
      </w:r>
      <w:r>
        <w:rPr/>
        <w:t>situations</w:t>
      </w:r>
      <w:r>
        <w:rPr>
          <w:spacing w:val="-5"/>
        </w:rPr>
        <w:t> </w:t>
      </w:r>
      <w:r>
        <w:rPr/>
        <w:t>including</w:t>
      </w:r>
      <w:r>
        <w:rPr>
          <w:spacing w:val="-8"/>
        </w:rPr>
        <w:t> </w:t>
      </w:r>
      <w:r>
        <w:rPr/>
        <w:t>those in</w:t>
      </w:r>
      <w:r>
        <w:rPr>
          <w:spacing w:val="-4"/>
        </w:rPr>
        <w:t> </w:t>
      </w:r>
      <w:r>
        <w:rPr/>
        <w:t>Ukraine, Venezuela, Darfur, Sudan, Burundi, Afghanistan, Palestine and Bangladesh/Myanmar. In order</w:t>
      </w:r>
      <w:r>
        <w:rPr>
          <w:spacing w:val="-4"/>
        </w:rPr>
        <w:t> </w:t>
      </w:r>
      <w:r>
        <w:rPr/>
        <w:t>for</w:t>
      </w:r>
      <w:r>
        <w:rPr>
          <w:spacing w:val="-4"/>
        </w:rPr>
        <w:t> </w:t>
      </w:r>
      <w:r>
        <w:rPr/>
        <w:t>VPRS</w:t>
      </w:r>
      <w:r>
        <w:rPr>
          <w:spacing w:val="-6"/>
        </w:rPr>
        <w:t> </w:t>
      </w:r>
      <w:r>
        <w:rPr/>
        <w:t>to</w:t>
      </w:r>
      <w:r>
        <w:rPr>
          <w:spacing w:val="-4"/>
        </w:rPr>
        <w:t> </w:t>
      </w:r>
      <w:r>
        <w:rPr/>
        <w:t>carry</w:t>
      </w:r>
      <w:r>
        <w:rPr>
          <w:spacing w:val="-4"/>
        </w:rPr>
        <w:t> </w:t>
      </w:r>
      <w:r>
        <w:rPr/>
        <w:t>out</w:t>
      </w:r>
      <w:r>
        <w:rPr>
          <w:spacing w:val="-2"/>
        </w:rPr>
        <w:t> </w:t>
      </w:r>
      <w:r>
        <w:rPr/>
        <w:t>the</w:t>
      </w:r>
      <w:r>
        <w:rPr>
          <w:spacing w:val="-2"/>
        </w:rPr>
        <w:t> </w:t>
      </w:r>
      <w:r>
        <w:rPr/>
        <w:t>necessary</w:t>
      </w:r>
      <w:r>
        <w:rPr>
          <w:spacing w:val="-4"/>
        </w:rPr>
        <w:t> </w:t>
      </w:r>
      <w:r>
        <w:rPr/>
        <w:t>field</w:t>
      </w:r>
      <w:r>
        <w:rPr>
          <w:spacing w:val="-4"/>
        </w:rPr>
        <w:t> </w:t>
      </w:r>
      <w:r>
        <w:rPr/>
        <w:t>activities</w:t>
      </w:r>
      <w:r>
        <w:rPr>
          <w:spacing w:val="-5"/>
        </w:rPr>
        <w:t> </w:t>
      </w:r>
      <w:r>
        <w:rPr/>
        <w:t>and</w:t>
      </w:r>
      <w:r>
        <w:rPr>
          <w:spacing w:val="-8"/>
        </w:rPr>
        <w:t> </w:t>
      </w:r>
      <w:r>
        <w:rPr/>
        <w:t>duly</w:t>
      </w:r>
      <w:r>
        <w:rPr>
          <w:spacing w:val="-4"/>
        </w:rPr>
        <w:t> </w:t>
      </w:r>
      <w:r>
        <w:rPr/>
        <w:t>provide</w:t>
      </w:r>
      <w:r>
        <w:rPr>
          <w:spacing w:val="-2"/>
        </w:rPr>
        <w:t> </w:t>
      </w:r>
      <w:r>
        <w:rPr/>
        <w:t>the</w:t>
      </w:r>
      <w:r>
        <w:rPr>
          <w:spacing w:val="-2"/>
        </w:rPr>
        <w:t> </w:t>
      </w:r>
      <w:r>
        <w:rPr/>
        <w:t>required</w:t>
      </w:r>
      <w:r>
        <w:rPr>
          <w:spacing w:val="-4"/>
        </w:rPr>
        <w:t> </w:t>
      </w:r>
      <w:r>
        <w:rPr/>
        <w:t>level of service to victims in accordance with the Statute, the GTA position of Associate Legal Officer (P-2) will be indispensable.</w:t>
      </w:r>
    </w:p>
    <w:p>
      <w:pPr>
        <w:pStyle w:val="ListParagraph"/>
        <w:numPr>
          <w:ilvl w:val="0"/>
          <w:numId w:val="4"/>
        </w:numPr>
        <w:tabs>
          <w:tab w:pos="2967" w:val="left" w:leader="none"/>
        </w:tabs>
        <w:spacing w:line="240" w:lineRule="auto" w:before="123" w:after="0"/>
        <w:ind w:left="2246" w:right="2236" w:firstLine="0"/>
        <w:jc w:val="both"/>
        <w:rPr>
          <w:sz w:val="20"/>
        </w:rPr>
      </w:pPr>
      <w:r>
        <w:rPr>
          <w:sz w:val="20"/>
        </w:rPr>
        <w:t>One</w:t>
      </w:r>
      <w:r>
        <w:rPr>
          <w:spacing w:val="-8"/>
          <w:sz w:val="20"/>
        </w:rPr>
        <w:t> </w:t>
      </w:r>
      <w:r>
        <w:rPr>
          <w:i/>
          <w:sz w:val="20"/>
        </w:rPr>
        <w:t>Associate</w:t>
      </w:r>
      <w:r>
        <w:rPr>
          <w:i/>
          <w:spacing w:val="-8"/>
          <w:sz w:val="20"/>
        </w:rPr>
        <w:t> </w:t>
      </w:r>
      <w:r>
        <w:rPr>
          <w:i/>
          <w:sz w:val="20"/>
        </w:rPr>
        <w:t>Legal</w:t>
      </w:r>
      <w:r>
        <w:rPr>
          <w:i/>
          <w:spacing w:val="-8"/>
          <w:sz w:val="20"/>
        </w:rPr>
        <w:t> </w:t>
      </w:r>
      <w:r>
        <w:rPr>
          <w:i/>
          <w:sz w:val="20"/>
        </w:rPr>
        <w:t>Officer</w:t>
      </w:r>
      <w:r>
        <w:rPr>
          <w:i/>
          <w:spacing w:val="-11"/>
          <w:sz w:val="20"/>
        </w:rPr>
        <w:t> </w:t>
      </w:r>
      <w:r>
        <w:rPr>
          <w:i/>
          <w:sz w:val="20"/>
        </w:rPr>
        <w:t>(P-2),</w:t>
      </w:r>
      <w:r>
        <w:rPr>
          <w:i/>
          <w:spacing w:val="-7"/>
          <w:sz w:val="20"/>
        </w:rPr>
        <w:t> </w:t>
      </w:r>
      <w:r>
        <w:rPr>
          <w:i/>
          <w:sz w:val="20"/>
        </w:rPr>
        <w:t>12</w:t>
      </w:r>
      <w:r>
        <w:rPr>
          <w:i/>
          <w:spacing w:val="-9"/>
          <w:sz w:val="20"/>
        </w:rPr>
        <w:t> </w:t>
      </w:r>
      <w:r>
        <w:rPr>
          <w:i/>
          <w:sz w:val="20"/>
        </w:rPr>
        <w:t>months.</w:t>
      </w:r>
      <w:r>
        <w:rPr>
          <w:i/>
          <w:spacing w:val="-7"/>
          <w:sz w:val="20"/>
        </w:rPr>
        <w:t> </w:t>
      </w:r>
      <w:r>
        <w:rPr>
          <w:i/>
          <w:sz w:val="20"/>
        </w:rPr>
        <w:t>Continued.</w:t>
      </w:r>
      <w:r>
        <w:rPr>
          <w:i/>
          <w:spacing w:val="-7"/>
          <w:sz w:val="20"/>
        </w:rPr>
        <w:t> </w:t>
      </w:r>
      <w:r>
        <w:rPr>
          <w:i/>
          <w:sz w:val="20"/>
        </w:rPr>
        <w:t>Multi-year.</w:t>
      </w:r>
      <w:r>
        <w:rPr>
          <w:i/>
          <w:spacing w:val="-11"/>
          <w:sz w:val="20"/>
        </w:rPr>
        <w:t> </w:t>
      </w:r>
      <w:r>
        <w:rPr>
          <w:sz w:val="20"/>
        </w:rPr>
        <w:t>This</w:t>
      </w:r>
      <w:r>
        <w:rPr>
          <w:spacing w:val="-11"/>
          <w:sz w:val="20"/>
        </w:rPr>
        <w:t> </w:t>
      </w:r>
      <w:r>
        <w:rPr>
          <w:sz w:val="20"/>
        </w:rPr>
        <w:t>position is</w:t>
      </w:r>
      <w:r>
        <w:rPr>
          <w:spacing w:val="-5"/>
          <w:sz w:val="20"/>
        </w:rPr>
        <w:t> </w:t>
      </w:r>
      <w:r>
        <w:rPr>
          <w:sz w:val="20"/>
        </w:rPr>
        <w:t>required</w:t>
      </w:r>
      <w:r>
        <w:rPr>
          <w:spacing w:val="-4"/>
          <w:sz w:val="20"/>
        </w:rPr>
        <w:t> </w:t>
      </w:r>
      <w:r>
        <w:rPr>
          <w:sz w:val="20"/>
        </w:rPr>
        <w:t>to</w:t>
      </w:r>
      <w:r>
        <w:rPr>
          <w:spacing w:val="-8"/>
          <w:sz w:val="20"/>
        </w:rPr>
        <w:t> </w:t>
      </w:r>
      <w:r>
        <w:rPr>
          <w:sz w:val="20"/>
        </w:rPr>
        <w:t>provide</w:t>
      </w:r>
      <w:r>
        <w:rPr>
          <w:spacing w:val="-7"/>
          <w:sz w:val="20"/>
        </w:rPr>
        <w:t> </w:t>
      </w:r>
      <w:r>
        <w:rPr>
          <w:sz w:val="20"/>
        </w:rPr>
        <w:t>additional</w:t>
      </w:r>
      <w:r>
        <w:rPr>
          <w:spacing w:val="-2"/>
          <w:sz w:val="20"/>
        </w:rPr>
        <w:t> </w:t>
      </w:r>
      <w:r>
        <w:rPr>
          <w:sz w:val="20"/>
        </w:rPr>
        <w:t>legal</w:t>
      </w:r>
      <w:r>
        <w:rPr>
          <w:spacing w:val="-2"/>
          <w:sz w:val="20"/>
        </w:rPr>
        <w:t> </w:t>
      </w:r>
      <w:r>
        <w:rPr>
          <w:sz w:val="20"/>
        </w:rPr>
        <w:t>support</w:t>
      </w:r>
      <w:r>
        <w:rPr>
          <w:spacing w:val="-7"/>
          <w:sz w:val="20"/>
        </w:rPr>
        <w:t> </w:t>
      </w:r>
      <w:r>
        <w:rPr>
          <w:sz w:val="20"/>
        </w:rPr>
        <w:t>to</w:t>
      </w:r>
      <w:r>
        <w:rPr>
          <w:spacing w:val="-4"/>
          <w:sz w:val="20"/>
        </w:rPr>
        <w:t> </w:t>
      </w:r>
      <w:r>
        <w:rPr>
          <w:sz w:val="20"/>
        </w:rPr>
        <w:t>VPRS</w:t>
      </w:r>
      <w:r>
        <w:rPr>
          <w:spacing w:val="-5"/>
          <w:sz w:val="20"/>
        </w:rPr>
        <w:t> </w:t>
      </w:r>
      <w:r>
        <w:rPr>
          <w:sz w:val="20"/>
        </w:rPr>
        <w:t>with</w:t>
      </w:r>
      <w:r>
        <w:rPr>
          <w:spacing w:val="-8"/>
          <w:sz w:val="20"/>
        </w:rPr>
        <w:t> </w:t>
      </w:r>
      <w:r>
        <w:rPr>
          <w:sz w:val="20"/>
        </w:rPr>
        <w:t>a</w:t>
      </w:r>
      <w:r>
        <w:rPr>
          <w:spacing w:val="-2"/>
          <w:sz w:val="20"/>
        </w:rPr>
        <w:t> </w:t>
      </w:r>
      <w:r>
        <w:rPr>
          <w:sz w:val="20"/>
        </w:rPr>
        <w:t>focus</w:t>
      </w:r>
      <w:r>
        <w:rPr>
          <w:spacing w:val="-5"/>
          <w:sz w:val="20"/>
        </w:rPr>
        <w:t> </w:t>
      </w:r>
      <w:r>
        <w:rPr>
          <w:sz w:val="20"/>
        </w:rPr>
        <w:t>on</w:t>
      </w:r>
      <w:r>
        <w:rPr>
          <w:spacing w:val="-8"/>
          <w:sz w:val="20"/>
        </w:rPr>
        <w:t> </w:t>
      </w:r>
      <w:r>
        <w:rPr>
          <w:sz w:val="20"/>
        </w:rPr>
        <w:t>ensuring</w:t>
      </w:r>
      <w:r>
        <w:rPr>
          <w:spacing w:val="-4"/>
          <w:sz w:val="20"/>
        </w:rPr>
        <w:t> </w:t>
      </w:r>
      <w:r>
        <w:rPr>
          <w:sz w:val="20"/>
        </w:rPr>
        <w:t>streamlined coordination</w:t>
      </w:r>
      <w:r>
        <w:rPr>
          <w:spacing w:val="-4"/>
          <w:sz w:val="20"/>
        </w:rPr>
        <w:t> </w:t>
      </w:r>
      <w:r>
        <w:rPr>
          <w:sz w:val="20"/>
        </w:rPr>
        <w:t>and collaboration between</w:t>
      </w:r>
      <w:r>
        <w:rPr>
          <w:spacing w:val="-4"/>
          <w:sz w:val="20"/>
        </w:rPr>
        <w:t> </w:t>
      </w:r>
      <w:r>
        <w:rPr>
          <w:sz w:val="20"/>
        </w:rPr>
        <w:t>VPRS</w:t>
      </w:r>
      <w:r>
        <w:rPr>
          <w:spacing w:val="-1"/>
          <w:sz w:val="20"/>
        </w:rPr>
        <w:t> </w:t>
      </w:r>
      <w:r>
        <w:rPr>
          <w:sz w:val="20"/>
        </w:rPr>
        <w:t>and the</w:t>
      </w:r>
      <w:r>
        <w:rPr>
          <w:spacing w:val="-2"/>
          <w:sz w:val="20"/>
        </w:rPr>
        <w:t> </w:t>
      </w:r>
      <w:r>
        <w:rPr>
          <w:sz w:val="20"/>
        </w:rPr>
        <w:t>TFV in the growing number of</w:t>
      </w:r>
      <w:r>
        <w:rPr>
          <w:spacing w:val="-4"/>
          <w:sz w:val="20"/>
        </w:rPr>
        <w:t> </w:t>
      </w:r>
      <w:r>
        <w:rPr>
          <w:sz w:val="20"/>
        </w:rPr>
        <w:t>cases where they operate hand-in-hand at the reparations stage of proceedings. At present, VPRS provides</w:t>
      </w:r>
      <w:r>
        <w:rPr>
          <w:spacing w:val="-13"/>
          <w:sz w:val="20"/>
        </w:rPr>
        <w:t> </w:t>
      </w:r>
      <w:r>
        <w:rPr>
          <w:sz w:val="20"/>
        </w:rPr>
        <w:t>different</w:t>
      </w:r>
      <w:r>
        <w:rPr>
          <w:spacing w:val="-11"/>
          <w:sz w:val="20"/>
        </w:rPr>
        <w:t> </w:t>
      </w:r>
      <w:r>
        <w:rPr>
          <w:sz w:val="20"/>
        </w:rPr>
        <w:t>kinds</w:t>
      </w:r>
      <w:r>
        <w:rPr>
          <w:spacing w:val="-10"/>
          <w:sz w:val="20"/>
        </w:rPr>
        <w:t> </w:t>
      </w:r>
      <w:r>
        <w:rPr>
          <w:sz w:val="20"/>
        </w:rPr>
        <w:t>and</w:t>
      </w:r>
      <w:r>
        <w:rPr>
          <w:spacing w:val="-13"/>
          <w:sz w:val="20"/>
        </w:rPr>
        <w:t> </w:t>
      </w:r>
      <w:r>
        <w:rPr>
          <w:sz w:val="20"/>
        </w:rPr>
        <w:t>levels</w:t>
      </w:r>
      <w:r>
        <w:rPr>
          <w:spacing w:val="-12"/>
          <w:sz w:val="20"/>
        </w:rPr>
        <w:t> </w:t>
      </w:r>
      <w:r>
        <w:rPr>
          <w:sz w:val="20"/>
        </w:rPr>
        <w:t>of</w:t>
      </w:r>
      <w:r>
        <w:rPr>
          <w:spacing w:val="-8"/>
          <w:sz w:val="20"/>
        </w:rPr>
        <w:t> </w:t>
      </w:r>
      <w:r>
        <w:rPr>
          <w:sz w:val="20"/>
        </w:rPr>
        <w:t>support</w:t>
      </w:r>
      <w:r>
        <w:rPr>
          <w:spacing w:val="-12"/>
          <w:sz w:val="20"/>
        </w:rPr>
        <w:t> </w:t>
      </w:r>
      <w:r>
        <w:rPr>
          <w:sz w:val="20"/>
        </w:rPr>
        <w:t>depending</w:t>
      </w:r>
      <w:r>
        <w:rPr>
          <w:spacing w:val="-8"/>
          <w:sz w:val="20"/>
        </w:rPr>
        <w:t> </w:t>
      </w:r>
      <w:r>
        <w:rPr>
          <w:sz w:val="20"/>
        </w:rPr>
        <w:t>on</w:t>
      </w:r>
      <w:r>
        <w:rPr>
          <w:spacing w:val="-8"/>
          <w:sz w:val="20"/>
        </w:rPr>
        <w:t> </w:t>
      </w:r>
      <w:r>
        <w:rPr>
          <w:sz w:val="20"/>
        </w:rPr>
        <w:t>the</w:t>
      </w:r>
      <w:r>
        <w:rPr>
          <w:spacing w:val="-7"/>
          <w:sz w:val="20"/>
        </w:rPr>
        <w:t> </w:t>
      </w:r>
      <w:r>
        <w:rPr>
          <w:sz w:val="20"/>
        </w:rPr>
        <w:t>specific</w:t>
      </w:r>
      <w:r>
        <w:rPr>
          <w:spacing w:val="-11"/>
          <w:sz w:val="20"/>
        </w:rPr>
        <w:t> </w:t>
      </w:r>
      <w:r>
        <w:rPr>
          <w:sz w:val="20"/>
        </w:rPr>
        <w:t>arrangements</w:t>
      </w:r>
      <w:r>
        <w:rPr>
          <w:spacing w:val="-10"/>
          <w:sz w:val="20"/>
        </w:rPr>
        <w:t> </w:t>
      </w:r>
      <w:r>
        <w:rPr>
          <w:sz w:val="20"/>
        </w:rPr>
        <w:t>in</w:t>
      </w:r>
      <w:r>
        <w:rPr>
          <w:spacing w:val="-13"/>
          <w:sz w:val="20"/>
        </w:rPr>
        <w:t> </w:t>
      </w:r>
      <w:r>
        <w:rPr>
          <w:sz w:val="20"/>
        </w:rPr>
        <w:t>each case</w:t>
      </w:r>
      <w:r>
        <w:rPr>
          <w:i/>
          <w:sz w:val="20"/>
        </w:rPr>
        <w:t>. </w:t>
      </w:r>
      <w:r>
        <w:rPr>
          <w:sz w:val="20"/>
        </w:rPr>
        <w:t>The position provides support in the areas of legal assessment of victim dossiers, mapping and/or sampling. This requires a centralized dispatch and support function on the part of VPRS. As most of the relevant services require legal analysis and assessment, the required</w:t>
      </w:r>
      <w:r>
        <w:rPr>
          <w:spacing w:val="-3"/>
          <w:sz w:val="20"/>
        </w:rPr>
        <w:t> </w:t>
      </w:r>
      <w:r>
        <w:rPr>
          <w:sz w:val="20"/>
        </w:rPr>
        <w:t>GTA</w:t>
      </w:r>
      <w:r>
        <w:rPr>
          <w:spacing w:val="-4"/>
          <w:sz w:val="20"/>
        </w:rPr>
        <w:t> </w:t>
      </w:r>
      <w:r>
        <w:rPr>
          <w:sz w:val="20"/>
        </w:rPr>
        <w:t>role</w:t>
      </w:r>
      <w:r>
        <w:rPr>
          <w:spacing w:val="-6"/>
          <w:sz w:val="20"/>
        </w:rPr>
        <w:t> </w:t>
      </w:r>
      <w:r>
        <w:rPr>
          <w:sz w:val="20"/>
        </w:rPr>
        <w:t>includes</w:t>
      </w:r>
      <w:r>
        <w:rPr>
          <w:spacing w:val="-9"/>
          <w:sz w:val="20"/>
        </w:rPr>
        <w:t> </w:t>
      </w:r>
      <w:r>
        <w:rPr>
          <w:sz w:val="20"/>
        </w:rPr>
        <w:t>a</w:t>
      </w:r>
      <w:r>
        <w:rPr>
          <w:spacing w:val="-1"/>
          <w:sz w:val="20"/>
        </w:rPr>
        <w:t> </w:t>
      </w:r>
      <w:r>
        <w:rPr>
          <w:sz w:val="20"/>
        </w:rPr>
        <w:t>legal</w:t>
      </w:r>
      <w:r>
        <w:rPr>
          <w:spacing w:val="-6"/>
          <w:sz w:val="20"/>
        </w:rPr>
        <w:t> </w:t>
      </w:r>
      <w:r>
        <w:rPr>
          <w:sz w:val="20"/>
        </w:rPr>
        <w:t>component.</w:t>
      </w:r>
      <w:r>
        <w:rPr>
          <w:spacing w:val="-5"/>
          <w:sz w:val="20"/>
        </w:rPr>
        <w:t> </w:t>
      </w:r>
      <w:r>
        <w:rPr>
          <w:sz w:val="20"/>
        </w:rPr>
        <w:t>The</w:t>
      </w:r>
      <w:r>
        <w:rPr>
          <w:spacing w:val="-6"/>
          <w:sz w:val="20"/>
        </w:rPr>
        <w:t> </w:t>
      </w:r>
      <w:r>
        <w:rPr>
          <w:sz w:val="20"/>
        </w:rPr>
        <w:t>position</w:t>
      </w:r>
      <w:r>
        <w:rPr>
          <w:spacing w:val="-12"/>
          <w:sz w:val="20"/>
        </w:rPr>
        <w:t> </w:t>
      </w:r>
      <w:r>
        <w:rPr>
          <w:sz w:val="20"/>
        </w:rPr>
        <w:t>assists</w:t>
      </w:r>
      <w:r>
        <w:rPr>
          <w:spacing w:val="-4"/>
          <w:sz w:val="20"/>
        </w:rPr>
        <w:t> </w:t>
      </w:r>
      <w:r>
        <w:rPr>
          <w:sz w:val="20"/>
        </w:rPr>
        <w:t>the</w:t>
      </w:r>
      <w:r>
        <w:rPr>
          <w:spacing w:val="-1"/>
          <w:sz w:val="20"/>
        </w:rPr>
        <w:t> </w:t>
      </w:r>
      <w:r>
        <w:rPr>
          <w:sz w:val="20"/>
        </w:rPr>
        <w:t>Section</w:t>
      </w:r>
      <w:r>
        <w:rPr>
          <w:spacing w:val="-7"/>
          <w:sz w:val="20"/>
        </w:rPr>
        <w:t> </w:t>
      </w:r>
      <w:r>
        <w:rPr>
          <w:sz w:val="20"/>
        </w:rPr>
        <w:t>as</w:t>
      </w:r>
      <w:r>
        <w:rPr>
          <w:spacing w:val="-9"/>
          <w:sz w:val="20"/>
        </w:rPr>
        <w:t> </w:t>
      </w:r>
      <w:r>
        <w:rPr>
          <w:sz w:val="20"/>
        </w:rPr>
        <w:t>a</w:t>
      </w:r>
      <w:r>
        <w:rPr>
          <w:spacing w:val="-1"/>
          <w:sz w:val="20"/>
        </w:rPr>
        <w:t> </w:t>
      </w:r>
      <w:r>
        <w:rPr>
          <w:sz w:val="20"/>
        </w:rPr>
        <w:t>whole</w:t>
      </w:r>
      <w:r>
        <w:rPr>
          <w:spacing w:val="-6"/>
          <w:sz w:val="20"/>
        </w:rPr>
        <w:t> </w:t>
      </w:r>
      <w:r>
        <w:rPr>
          <w:sz w:val="20"/>
        </w:rPr>
        <w:t>at times of peak activity, as required.</w:t>
      </w:r>
    </w:p>
    <w:p>
      <w:pPr>
        <w:pStyle w:val="ListParagraph"/>
        <w:numPr>
          <w:ilvl w:val="0"/>
          <w:numId w:val="4"/>
        </w:numPr>
        <w:tabs>
          <w:tab w:pos="2967" w:val="left" w:leader="none"/>
        </w:tabs>
        <w:spacing w:line="240" w:lineRule="auto" w:before="120" w:after="0"/>
        <w:ind w:left="2246" w:right="2241" w:firstLine="0"/>
        <w:jc w:val="both"/>
        <w:rPr>
          <w:sz w:val="20"/>
        </w:rPr>
      </w:pPr>
      <w:r>
        <w:rPr>
          <w:sz w:val="20"/>
        </w:rPr>
        <w:t>The GTA resources proposed for OPCD have increased by €54.0 thousand in comparison to the 2022 approved programme budget as a result of the request for one new GTA position to support the increase in judicial activities.</w:t>
      </w:r>
    </w:p>
    <w:p>
      <w:pPr>
        <w:pStyle w:val="ListParagraph"/>
        <w:numPr>
          <w:ilvl w:val="0"/>
          <w:numId w:val="4"/>
        </w:numPr>
        <w:tabs>
          <w:tab w:pos="2967" w:val="left" w:leader="none"/>
        </w:tabs>
        <w:spacing w:line="240" w:lineRule="auto" w:before="122" w:after="0"/>
        <w:ind w:left="2246" w:right="2242" w:firstLine="0"/>
        <w:jc w:val="both"/>
        <w:rPr>
          <w:sz w:val="20"/>
        </w:rPr>
      </w:pPr>
      <w:r>
        <w:rPr>
          <w:sz w:val="20"/>
        </w:rPr>
        <w:t>One</w:t>
      </w:r>
      <w:r>
        <w:rPr>
          <w:spacing w:val="-7"/>
          <w:sz w:val="20"/>
        </w:rPr>
        <w:t> </w:t>
      </w:r>
      <w:r>
        <w:rPr>
          <w:i/>
          <w:sz w:val="20"/>
        </w:rPr>
        <w:t>Associate</w:t>
      </w:r>
      <w:r>
        <w:rPr>
          <w:i/>
          <w:spacing w:val="-7"/>
          <w:sz w:val="20"/>
        </w:rPr>
        <w:t> </w:t>
      </w:r>
      <w:r>
        <w:rPr>
          <w:i/>
          <w:sz w:val="20"/>
        </w:rPr>
        <w:t>Legal</w:t>
      </w:r>
      <w:r>
        <w:rPr>
          <w:i/>
          <w:spacing w:val="-2"/>
          <w:sz w:val="20"/>
        </w:rPr>
        <w:t> </w:t>
      </w:r>
      <w:r>
        <w:rPr>
          <w:i/>
          <w:sz w:val="20"/>
        </w:rPr>
        <w:t>Officer</w:t>
      </w:r>
      <w:r>
        <w:rPr>
          <w:i/>
          <w:spacing w:val="-10"/>
          <w:sz w:val="20"/>
        </w:rPr>
        <w:t> </w:t>
      </w:r>
      <w:r>
        <w:rPr>
          <w:i/>
          <w:sz w:val="20"/>
        </w:rPr>
        <w:t>(P-2),</w:t>
      </w:r>
      <w:r>
        <w:rPr>
          <w:i/>
          <w:spacing w:val="-6"/>
          <w:sz w:val="20"/>
        </w:rPr>
        <w:t> </w:t>
      </w:r>
      <w:r>
        <w:rPr>
          <w:i/>
          <w:sz w:val="20"/>
        </w:rPr>
        <w:t>6</w:t>
      </w:r>
      <w:r>
        <w:rPr>
          <w:i/>
          <w:spacing w:val="-4"/>
          <w:sz w:val="20"/>
        </w:rPr>
        <w:t> </w:t>
      </w:r>
      <w:r>
        <w:rPr>
          <w:i/>
          <w:sz w:val="20"/>
        </w:rPr>
        <w:t>months.</w:t>
      </w:r>
      <w:r>
        <w:rPr>
          <w:i/>
          <w:spacing w:val="-6"/>
          <w:sz w:val="20"/>
        </w:rPr>
        <w:t> </w:t>
      </w:r>
      <w:r>
        <w:rPr>
          <w:i/>
          <w:sz w:val="20"/>
        </w:rPr>
        <w:t>New.</w:t>
      </w:r>
      <w:r>
        <w:rPr>
          <w:i/>
          <w:spacing w:val="-5"/>
          <w:sz w:val="20"/>
        </w:rPr>
        <w:t> </w:t>
      </w:r>
      <w:r>
        <w:rPr>
          <w:sz w:val="20"/>
        </w:rPr>
        <w:t>The</w:t>
      </w:r>
      <w:r>
        <w:rPr>
          <w:spacing w:val="-2"/>
          <w:sz w:val="20"/>
        </w:rPr>
        <w:t> </w:t>
      </w:r>
      <w:r>
        <w:rPr>
          <w:sz w:val="20"/>
        </w:rPr>
        <w:t>GTA</w:t>
      </w:r>
      <w:r>
        <w:rPr>
          <w:spacing w:val="-10"/>
          <w:sz w:val="20"/>
        </w:rPr>
        <w:t> </w:t>
      </w:r>
      <w:r>
        <w:rPr>
          <w:sz w:val="20"/>
        </w:rPr>
        <w:t>position</w:t>
      </w:r>
      <w:r>
        <w:rPr>
          <w:spacing w:val="-8"/>
          <w:sz w:val="20"/>
        </w:rPr>
        <w:t> </w:t>
      </w:r>
      <w:r>
        <w:rPr>
          <w:sz w:val="20"/>
        </w:rPr>
        <w:t>is</w:t>
      </w:r>
      <w:r>
        <w:rPr>
          <w:spacing w:val="-5"/>
          <w:sz w:val="20"/>
        </w:rPr>
        <w:t> </w:t>
      </w:r>
      <w:r>
        <w:rPr>
          <w:sz w:val="20"/>
        </w:rPr>
        <w:t>required</w:t>
      </w:r>
      <w:r>
        <w:rPr>
          <w:spacing w:val="-8"/>
          <w:sz w:val="20"/>
        </w:rPr>
        <w:t> </w:t>
      </w:r>
      <w:r>
        <w:rPr>
          <w:sz w:val="20"/>
        </w:rPr>
        <w:t>to ensure</w:t>
      </w:r>
      <w:r>
        <w:rPr>
          <w:spacing w:val="-1"/>
          <w:sz w:val="20"/>
        </w:rPr>
        <w:t> </w:t>
      </w:r>
      <w:r>
        <w:rPr>
          <w:sz w:val="20"/>
        </w:rPr>
        <w:t>that OPCD</w:t>
      </w:r>
      <w:r>
        <w:rPr>
          <w:spacing w:val="-4"/>
          <w:sz w:val="20"/>
        </w:rPr>
        <w:t> </w:t>
      </w:r>
      <w:r>
        <w:rPr>
          <w:sz w:val="20"/>
        </w:rPr>
        <w:t>fulfils</w:t>
      </w:r>
      <w:r>
        <w:rPr>
          <w:spacing w:val="-4"/>
          <w:sz w:val="20"/>
        </w:rPr>
        <w:t> </w:t>
      </w:r>
      <w:r>
        <w:rPr>
          <w:sz w:val="20"/>
        </w:rPr>
        <w:t>its</w:t>
      </w:r>
      <w:r>
        <w:rPr>
          <w:spacing w:val="-4"/>
          <w:sz w:val="20"/>
        </w:rPr>
        <w:t> </w:t>
      </w:r>
      <w:r>
        <w:rPr>
          <w:sz w:val="20"/>
        </w:rPr>
        <w:t>mandate</w:t>
      </w:r>
      <w:r>
        <w:rPr>
          <w:spacing w:val="-1"/>
          <w:sz w:val="20"/>
        </w:rPr>
        <w:t> </w:t>
      </w:r>
      <w:r>
        <w:rPr>
          <w:sz w:val="20"/>
        </w:rPr>
        <w:t>covering</w:t>
      </w:r>
      <w:r>
        <w:rPr>
          <w:spacing w:val="-3"/>
          <w:sz w:val="20"/>
        </w:rPr>
        <w:t> </w:t>
      </w:r>
      <w:r>
        <w:rPr>
          <w:sz w:val="20"/>
        </w:rPr>
        <w:t>all situations</w:t>
      </w:r>
      <w:r>
        <w:rPr>
          <w:spacing w:val="-4"/>
          <w:sz w:val="20"/>
        </w:rPr>
        <w:t> </w:t>
      </w:r>
      <w:r>
        <w:rPr>
          <w:sz w:val="20"/>
        </w:rPr>
        <w:t>and</w:t>
      </w:r>
      <w:r>
        <w:rPr>
          <w:spacing w:val="-3"/>
          <w:sz w:val="20"/>
        </w:rPr>
        <w:t> </w:t>
      </w:r>
      <w:r>
        <w:rPr>
          <w:sz w:val="20"/>
        </w:rPr>
        <w:t>cases</w:t>
      </w:r>
      <w:r>
        <w:rPr>
          <w:spacing w:val="-4"/>
          <w:sz w:val="20"/>
        </w:rPr>
        <w:t> </w:t>
      </w:r>
      <w:r>
        <w:rPr>
          <w:sz w:val="20"/>
        </w:rPr>
        <w:t>before</w:t>
      </w:r>
      <w:r>
        <w:rPr>
          <w:spacing w:val="-1"/>
          <w:sz w:val="20"/>
        </w:rPr>
        <w:t> </w:t>
      </w:r>
      <w:r>
        <w:rPr>
          <w:sz w:val="20"/>
        </w:rPr>
        <w:t>the Court. The increase in cases and situation-level litigation (e.g. Ukraine, Venezuela), as well as the simultaneous</w:t>
      </w:r>
      <w:r>
        <w:rPr>
          <w:spacing w:val="-10"/>
          <w:sz w:val="20"/>
        </w:rPr>
        <w:t> </w:t>
      </w:r>
      <w:r>
        <w:rPr>
          <w:sz w:val="20"/>
        </w:rPr>
        <w:t>hearings</w:t>
      </w:r>
      <w:r>
        <w:rPr>
          <w:spacing w:val="-5"/>
          <w:sz w:val="20"/>
        </w:rPr>
        <w:t> </w:t>
      </w:r>
      <w:r>
        <w:rPr>
          <w:sz w:val="20"/>
        </w:rPr>
        <w:t>in</w:t>
      </w:r>
      <w:r>
        <w:rPr>
          <w:spacing w:val="-8"/>
          <w:sz w:val="20"/>
        </w:rPr>
        <w:t> </w:t>
      </w:r>
      <w:r>
        <w:rPr>
          <w:sz w:val="20"/>
        </w:rPr>
        <w:t>at</w:t>
      </w:r>
      <w:r>
        <w:rPr>
          <w:spacing w:val="-7"/>
          <w:sz w:val="20"/>
        </w:rPr>
        <w:t> </w:t>
      </w:r>
      <w:r>
        <w:rPr>
          <w:sz w:val="20"/>
        </w:rPr>
        <w:t>least</w:t>
      </w:r>
      <w:r>
        <w:rPr>
          <w:spacing w:val="-7"/>
          <w:sz w:val="20"/>
        </w:rPr>
        <w:t> </w:t>
      </w:r>
      <w:r>
        <w:rPr>
          <w:sz w:val="20"/>
        </w:rPr>
        <w:t>three</w:t>
      </w:r>
      <w:r>
        <w:rPr>
          <w:spacing w:val="-7"/>
          <w:sz w:val="20"/>
        </w:rPr>
        <w:t> </w:t>
      </w:r>
      <w:r>
        <w:rPr>
          <w:sz w:val="20"/>
        </w:rPr>
        <w:t>trial</w:t>
      </w:r>
      <w:r>
        <w:rPr>
          <w:spacing w:val="-7"/>
          <w:sz w:val="20"/>
        </w:rPr>
        <w:t> </w:t>
      </w:r>
      <w:r>
        <w:rPr>
          <w:sz w:val="20"/>
        </w:rPr>
        <w:t>proceedings</w:t>
      </w:r>
      <w:r>
        <w:rPr>
          <w:spacing w:val="-10"/>
          <w:sz w:val="20"/>
        </w:rPr>
        <w:t> </w:t>
      </w:r>
      <w:r>
        <w:rPr>
          <w:sz w:val="20"/>
        </w:rPr>
        <w:t>throughout</w:t>
      </w:r>
      <w:r>
        <w:rPr>
          <w:spacing w:val="-7"/>
          <w:sz w:val="20"/>
        </w:rPr>
        <w:t> </w:t>
      </w:r>
      <w:r>
        <w:rPr>
          <w:sz w:val="20"/>
        </w:rPr>
        <w:t>the</w:t>
      </w:r>
      <w:r>
        <w:rPr>
          <w:spacing w:val="-2"/>
          <w:sz w:val="20"/>
        </w:rPr>
        <w:t> </w:t>
      </w:r>
      <w:r>
        <w:rPr>
          <w:sz w:val="20"/>
        </w:rPr>
        <w:t>year,</w:t>
      </w:r>
      <w:r>
        <w:rPr>
          <w:spacing w:val="-1"/>
          <w:sz w:val="20"/>
        </w:rPr>
        <w:t> </w:t>
      </w:r>
      <w:r>
        <w:rPr>
          <w:sz w:val="20"/>
        </w:rPr>
        <w:t>have</w:t>
      </w:r>
      <w:r>
        <w:rPr>
          <w:spacing w:val="-2"/>
          <w:sz w:val="20"/>
        </w:rPr>
        <w:t> </w:t>
      </w:r>
      <w:r>
        <w:rPr>
          <w:sz w:val="20"/>
        </w:rPr>
        <w:t>resulted</w:t>
      </w:r>
      <w:r>
        <w:rPr>
          <w:spacing w:val="-8"/>
          <w:sz w:val="20"/>
        </w:rPr>
        <w:t> </w:t>
      </w:r>
      <w:r>
        <w:rPr>
          <w:sz w:val="20"/>
        </w:rPr>
        <w:t>in an</w:t>
      </w:r>
      <w:r>
        <w:rPr>
          <w:spacing w:val="-13"/>
          <w:sz w:val="20"/>
        </w:rPr>
        <w:t> </w:t>
      </w:r>
      <w:r>
        <w:rPr>
          <w:sz w:val="20"/>
        </w:rPr>
        <w:t>increase</w:t>
      </w:r>
      <w:r>
        <w:rPr>
          <w:spacing w:val="-12"/>
          <w:sz w:val="20"/>
        </w:rPr>
        <w:t> </w:t>
      </w:r>
      <w:r>
        <w:rPr>
          <w:sz w:val="20"/>
        </w:rPr>
        <w:t>in</w:t>
      </w:r>
      <w:r>
        <w:rPr>
          <w:spacing w:val="-13"/>
          <w:sz w:val="20"/>
        </w:rPr>
        <w:t> </w:t>
      </w:r>
      <w:r>
        <w:rPr>
          <w:sz w:val="20"/>
        </w:rPr>
        <w:t>OPCD’s</w:t>
      </w:r>
      <w:r>
        <w:rPr>
          <w:spacing w:val="-12"/>
          <w:sz w:val="20"/>
        </w:rPr>
        <w:t> </w:t>
      </w:r>
      <w:r>
        <w:rPr>
          <w:sz w:val="20"/>
        </w:rPr>
        <w:t>workload</w:t>
      </w:r>
      <w:r>
        <w:rPr>
          <w:spacing w:val="-13"/>
          <w:sz w:val="20"/>
        </w:rPr>
        <w:t> </w:t>
      </w:r>
      <w:r>
        <w:rPr>
          <w:sz w:val="20"/>
        </w:rPr>
        <w:t>in</w:t>
      </w:r>
      <w:r>
        <w:rPr>
          <w:spacing w:val="-12"/>
          <w:sz w:val="20"/>
        </w:rPr>
        <w:t> </w:t>
      </w:r>
      <w:r>
        <w:rPr>
          <w:sz w:val="20"/>
        </w:rPr>
        <w:t>2022</w:t>
      </w:r>
      <w:r>
        <w:rPr>
          <w:spacing w:val="-13"/>
          <w:sz w:val="20"/>
        </w:rPr>
        <w:t> </w:t>
      </w:r>
      <w:r>
        <w:rPr>
          <w:sz w:val="20"/>
        </w:rPr>
        <w:t>and</w:t>
      </w:r>
      <w:r>
        <w:rPr>
          <w:spacing w:val="-12"/>
          <w:sz w:val="20"/>
        </w:rPr>
        <w:t> </w:t>
      </w:r>
      <w:r>
        <w:rPr>
          <w:sz w:val="20"/>
        </w:rPr>
        <w:t>it</w:t>
      </w:r>
      <w:r>
        <w:rPr>
          <w:spacing w:val="-13"/>
          <w:sz w:val="20"/>
        </w:rPr>
        <w:t> </w:t>
      </w:r>
      <w:r>
        <w:rPr>
          <w:sz w:val="20"/>
        </w:rPr>
        <w:t>is</w:t>
      </w:r>
      <w:r>
        <w:rPr>
          <w:spacing w:val="-12"/>
          <w:sz w:val="20"/>
        </w:rPr>
        <w:t> </w:t>
      </w:r>
      <w:r>
        <w:rPr>
          <w:sz w:val="20"/>
        </w:rPr>
        <w:t>anticipated</w:t>
      </w:r>
      <w:r>
        <w:rPr>
          <w:spacing w:val="-13"/>
          <w:sz w:val="20"/>
        </w:rPr>
        <w:t> </w:t>
      </w:r>
      <w:r>
        <w:rPr>
          <w:sz w:val="20"/>
        </w:rPr>
        <w:t>that</w:t>
      </w:r>
      <w:r>
        <w:rPr>
          <w:spacing w:val="-12"/>
          <w:sz w:val="20"/>
        </w:rPr>
        <w:t> </w:t>
      </w:r>
      <w:r>
        <w:rPr>
          <w:sz w:val="20"/>
        </w:rPr>
        <w:t>this</w:t>
      </w:r>
      <w:r>
        <w:rPr>
          <w:spacing w:val="-13"/>
          <w:sz w:val="20"/>
        </w:rPr>
        <w:t> </w:t>
      </w:r>
      <w:r>
        <w:rPr>
          <w:sz w:val="20"/>
        </w:rPr>
        <w:t>will</w:t>
      </w:r>
      <w:r>
        <w:rPr>
          <w:spacing w:val="-12"/>
          <w:sz w:val="20"/>
        </w:rPr>
        <w:t> </w:t>
      </w:r>
      <w:r>
        <w:rPr>
          <w:sz w:val="20"/>
        </w:rPr>
        <w:t>continue</w:t>
      </w:r>
      <w:r>
        <w:rPr>
          <w:spacing w:val="-13"/>
          <w:sz w:val="20"/>
        </w:rPr>
        <w:t> </w:t>
      </w:r>
      <w:r>
        <w:rPr>
          <w:sz w:val="20"/>
        </w:rPr>
        <w:t>into</w:t>
      </w:r>
      <w:r>
        <w:rPr>
          <w:spacing w:val="-12"/>
          <w:sz w:val="20"/>
        </w:rPr>
        <w:t> </w:t>
      </w:r>
      <w:r>
        <w:rPr>
          <w:sz w:val="20"/>
        </w:rPr>
        <w:t>2023. This additional work for the Office is represented by research and drafting assistance and advice, as well as case management support to the Defence. While OPCD is able to absorb additional</w:t>
      </w:r>
      <w:r>
        <w:rPr>
          <w:spacing w:val="-2"/>
          <w:sz w:val="20"/>
        </w:rPr>
        <w:t> </w:t>
      </w:r>
      <w:r>
        <w:rPr>
          <w:sz w:val="20"/>
        </w:rPr>
        <w:t>work generally, the</w:t>
      </w:r>
      <w:r>
        <w:rPr>
          <w:spacing w:val="-2"/>
          <w:sz w:val="20"/>
        </w:rPr>
        <w:t> </w:t>
      </w:r>
      <w:r>
        <w:rPr>
          <w:sz w:val="20"/>
        </w:rPr>
        <w:t>advent of</w:t>
      </w:r>
      <w:r>
        <w:rPr>
          <w:spacing w:val="-4"/>
          <w:sz w:val="20"/>
        </w:rPr>
        <w:t> </w:t>
      </w:r>
      <w:r>
        <w:rPr>
          <w:sz w:val="20"/>
        </w:rPr>
        <w:t>new</w:t>
      </w:r>
      <w:r>
        <w:rPr>
          <w:spacing w:val="-5"/>
          <w:sz w:val="20"/>
        </w:rPr>
        <w:t> </w:t>
      </w:r>
      <w:r>
        <w:rPr>
          <w:sz w:val="20"/>
        </w:rPr>
        <w:t>cases and</w:t>
      </w:r>
      <w:r>
        <w:rPr>
          <w:spacing w:val="-4"/>
          <w:sz w:val="20"/>
        </w:rPr>
        <w:t> </w:t>
      </w:r>
      <w:r>
        <w:rPr>
          <w:sz w:val="20"/>
        </w:rPr>
        <w:t>early-stage litigation</w:t>
      </w:r>
      <w:r>
        <w:rPr>
          <w:spacing w:val="-4"/>
          <w:sz w:val="20"/>
        </w:rPr>
        <w:t> </w:t>
      </w:r>
      <w:r>
        <w:rPr>
          <w:sz w:val="20"/>
        </w:rPr>
        <w:t>means</w:t>
      </w:r>
      <w:r>
        <w:rPr>
          <w:spacing w:val="-5"/>
          <w:sz w:val="20"/>
        </w:rPr>
        <w:t> </w:t>
      </w:r>
      <w:r>
        <w:rPr>
          <w:sz w:val="20"/>
        </w:rPr>
        <w:t>that this additional GTA position will still be needed in 2023.</w:t>
      </w:r>
    </w:p>
    <w:p>
      <w:pPr>
        <w:pStyle w:val="BodyText"/>
        <w:spacing w:before="9"/>
      </w:pPr>
    </w:p>
    <w:p>
      <w:pPr>
        <w:tabs>
          <w:tab w:pos="8133" w:val="left" w:leader="none"/>
        </w:tabs>
        <w:spacing w:before="0"/>
        <w:ind w:left="2246" w:right="0" w:firstLine="0"/>
        <w:jc w:val="both"/>
        <w:rPr>
          <w:i/>
          <w:sz w:val="20"/>
        </w:rPr>
      </w:pPr>
      <w:r>
        <w:rPr>
          <w:i/>
          <w:sz w:val="20"/>
        </w:rPr>
        <w:t>Temporary</w:t>
      </w:r>
      <w:r>
        <w:rPr>
          <w:i/>
          <w:spacing w:val="-6"/>
          <w:sz w:val="20"/>
        </w:rPr>
        <w:t> </w:t>
      </w:r>
      <w:r>
        <w:rPr>
          <w:i/>
          <w:sz w:val="20"/>
        </w:rPr>
        <w:t>assistance</w:t>
      </w:r>
      <w:r>
        <w:rPr>
          <w:i/>
          <w:spacing w:val="-6"/>
          <w:sz w:val="20"/>
        </w:rPr>
        <w:t> </w:t>
      </w:r>
      <w:r>
        <w:rPr>
          <w:i/>
          <w:sz w:val="20"/>
        </w:rPr>
        <w:t>for</w:t>
      </w:r>
      <w:r>
        <w:rPr>
          <w:i/>
          <w:spacing w:val="-8"/>
          <w:sz w:val="20"/>
        </w:rPr>
        <w:t> </w:t>
      </w:r>
      <w:r>
        <w:rPr>
          <w:i/>
          <w:spacing w:val="-2"/>
          <w:sz w:val="20"/>
        </w:rPr>
        <w:t>meetings</w:t>
      </w:r>
      <w:r>
        <w:rPr>
          <w:i/>
          <w:sz w:val="20"/>
        </w:rPr>
        <w:tab/>
        <w:t>€1,408.0</w:t>
      </w:r>
      <w:r>
        <w:rPr>
          <w:i/>
          <w:spacing w:val="-4"/>
          <w:sz w:val="20"/>
        </w:rPr>
        <w:t> </w:t>
      </w:r>
      <w:r>
        <w:rPr>
          <w:i/>
          <w:spacing w:val="-2"/>
          <w:sz w:val="20"/>
        </w:rPr>
        <w:t>thousand</w:t>
      </w:r>
    </w:p>
    <w:p>
      <w:pPr>
        <w:pStyle w:val="BodyText"/>
        <w:spacing w:before="11"/>
        <w:rPr>
          <w:i/>
        </w:rPr>
      </w:pPr>
    </w:p>
    <w:p>
      <w:pPr>
        <w:pStyle w:val="ListParagraph"/>
        <w:numPr>
          <w:ilvl w:val="0"/>
          <w:numId w:val="4"/>
        </w:numPr>
        <w:tabs>
          <w:tab w:pos="2967" w:val="left" w:leader="none"/>
        </w:tabs>
        <w:spacing w:line="240" w:lineRule="auto" w:before="0" w:after="0"/>
        <w:ind w:left="2246" w:right="2243" w:firstLine="0"/>
        <w:jc w:val="both"/>
        <w:rPr>
          <w:sz w:val="20"/>
        </w:rPr>
      </w:pPr>
      <w:r>
        <w:rPr>
          <w:sz w:val="20"/>
        </w:rPr>
        <w:t>The requested amount has increased by €699.6 thousand (98.8 per cent) in comparison</w:t>
      </w:r>
      <w:r>
        <w:rPr>
          <w:spacing w:val="-13"/>
          <w:sz w:val="20"/>
        </w:rPr>
        <w:t> </w:t>
      </w:r>
      <w:r>
        <w:rPr>
          <w:sz w:val="20"/>
        </w:rPr>
        <w:t>to</w:t>
      </w:r>
      <w:r>
        <w:rPr>
          <w:spacing w:val="-12"/>
          <w:sz w:val="20"/>
        </w:rPr>
        <w:t> </w:t>
      </w:r>
      <w:r>
        <w:rPr>
          <w:sz w:val="20"/>
        </w:rPr>
        <w:t>the</w:t>
      </w:r>
      <w:r>
        <w:rPr>
          <w:spacing w:val="-13"/>
          <w:sz w:val="20"/>
        </w:rPr>
        <w:t> </w:t>
      </w:r>
      <w:r>
        <w:rPr>
          <w:sz w:val="20"/>
        </w:rPr>
        <w:t>previous</w:t>
      </w:r>
      <w:r>
        <w:rPr>
          <w:spacing w:val="-12"/>
          <w:sz w:val="20"/>
        </w:rPr>
        <w:t> </w:t>
      </w:r>
      <w:r>
        <w:rPr>
          <w:sz w:val="20"/>
        </w:rPr>
        <w:t>year</w:t>
      </w:r>
      <w:r>
        <w:rPr>
          <w:spacing w:val="-13"/>
          <w:sz w:val="20"/>
        </w:rPr>
        <w:t> </w:t>
      </w:r>
      <w:r>
        <w:rPr>
          <w:sz w:val="20"/>
        </w:rPr>
        <w:t>because</w:t>
      </w:r>
      <w:r>
        <w:rPr>
          <w:spacing w:val="-12"/>
          <w:sz w:val="20"/>
        </w:rPr>
        <w:t> </w:t>
      </w:r>
      <w:r>
        <w:rPr>
          <w:sz w:val="20"/>
        </w:rPr>
        <w:t>of</w:t>
      </w:r>
      <w:r>
        <w:rPr>
          <w:spacing w:val="-13"/>
          <w:sz w:val="20"/>
        </w:rPr>
        <w:t> </w:t>
      </w:r>
      <w:r>
        <w:rPr>
          <w:sz w:val="20"/>
        </w:rPr>
        <w:t>the</w:t>
      </w:r>
      <w:r>
        <w:rPr>
          <w:spacing w:val="-12"/>
          <w:sz w:val="20"/>
        </w:rPr>
        <w:t> </w:t>
      </w:r>
      <w:r>
        <w:rPr>
          <w:sz w:val="20"/>
        </w:rPr>
        <w:t>simultaneous</w:t>
      </w:r>
      <w:r>
        <w:rPr>
          <w:spacing w:val="-13"/>
          <w:sz w:val="20"/>
        </w:rPr>
        <w:t> </w:t>
      </w:r>
      <w:r>
        <w:rPr>
          <w:sz w:val="20"/>
        </w:rPr>
        <w:t>trial</w:t>
      </w:r>
      <w:r>
        <w:rPr>
          <w:spacing w:val="-12"/>
          <w:sz w:val="20"/>
        </w:rPr>
        <w:t> </w:t>
      </w:r>
      <w:r>
        <w:rPr>
          <w:sz w:val="20"/>
        </w:rPr>
        <w:t>proceedings</w:t>
      </w:r>
      <w:r>
        <w:rPr>
          <w:spacing w:val="-13"/>
          <w:sz w:val="20"/>
        </w:rPr>
        <w:t> </w:t>
      </w:r>
      <w:r>
        <w:rPr>
          <w:sz w:val="20"/>
        </w:rPr>
        <w:t>in</w:t>
      </w:r>
      <w:r>
        <w:rPr>
          <w:spacing w:val="-12"/>
          <w:sz w:val="20"/>
        </w:rPr>
        <w:t> </w:t>
      </w:r>
      <w:r>
        <w:rPr>
          <w:sz w:val="20"/>
        </w:rPr>
        <w:t>at</w:t>
      </w:r>
      <w:r>
        <w:rPr>
          <w:spacing w:val="-13"/>
          <w:sz w:val="20"/>
        </w:rPr>
        <w:t> </w:t>
      </w:r>
      <w:r>
        <w:rPr>
          <w:sz w:val="20"/>
        </w:rPr>
        <w:t>least</w:t>
      </w:r>
      <w:r>
        <w:rPr>
          <w:spacing w:val="-12"/>
          <w:sz w:val="20"/>
        </w:rPr>
        <w:t> </w:t>
      </w:r>
      <w:r>
        <w:rPr>
          <w:sz w:val="20"/>
        </w:rPr>
        <w:t>three cases. In-house resources need to be reinforced with freelancers to provide the requested services for the hearings. Without adequate funding for freelance interpreters, trials may come</w:t>
      </w:r>
      <w:r>
        <w:rPr>
          <w:spacing w:val="-3"/>
          <w:sz w:val="20"/>
        </w:rPr>
        <w:t> </w:t>
      </w:r>
      <w:r>
        <w:rPr>
          <w:sz w:val="20"/>
        </w:rPr>
        <w:t>to</w:t>
      </w:r>
      <w:r>
        <w:rPr>
          <w:spacing w:val="-5"/>
          <w:sz w:val="20"/>
        </w:rPr>
        <w:t> </w:t>
      </w:r>
      <w:r>
        <w:rPr>
          <w:sz w:val="20"/>
        </w:rPr>
        <w:t>a halt</w:t>
      </w:r>
      <w:r>
        <w:rPr>
          <w:spacing w:val="-3"/>
          <w:sz w:val="20"/>
        </w:rPr>
        <w:t> </w:t>
      </w:r>
      <w:r>
        <w:rPr>
          <w:sz w:val="20"/>
        </w:rPr>
        <w:t>due to lack of</w:t>
      </w:r>
      <w:r>
        <w:rPr>
          <w:spacing w:val="-5"/>
          <w:sz w:val="20"/>
        </w:rPr>
        <w:t> </w:t>
      </w:r>
      <w:r>
        <w:rPr>
          <w:sz w:val="20"/>
        </w:rPr>
        <w:t>interpretation. Of</w:t>
      </w:r>
      <w:r>
        <w:rPr>
          <w:spacing w:val="-5"/>
          <w:sz w:val="20"/>
        </w:rPr>
        <w:t> </w:t>
      </w:r>
      <w:r>
        <w:rPr>
          <w:sz w:val="20"/>
        </w:rPr>
        <w:t>the increase,</w:t>
      </w:r>
      <w:r>
        <w:rPr>
          <w:spacing w:val="-2"/>
          <w:sz w:val="20"/>
        </w:rPr>
        <w:t> </w:t>
      </w:r>
      <w:r>
        <w:rPr>
          <w:sz w:val="20"/>
        </w:rPr>
        <w:t>€141.6</w:t>
      </w:r>
      <w:r>
        <w:rPr>
          <w:spacing w:val="-5"/>
          <w:sz w:val="20"/>
        </w:rPr>
        <w:t> </w:t>
      </w:r>
      <w:r>
        <w:rPr>
          <w:sz w:val="20"/>
        </w:rPr>
        <w:t>thousand</w:t>
      </w:r>
      <w:r>
        <w:rPr>
          <w:spacing w:val="-5"/>
          <w:sz w:val="20"/>
        </w:rPr>
        <w:t> </w:t>
      </w:r>
      <w:r>
        <w:rPr>
          <w:sz w:val="20"/>
        </w:rPr>
        <w:t>corresponds</w:t>
      </w:r>
      <w:r>
        <w:rPr>
          <w:spacing w:val="-1"/>
          <w:sz w:val="20"/>
        </w:rPr>
        <w:t> </w:t>
      </w:r>
      <w:r>
        <w:rPr>
          <w:sz w:val="20"/>
        </w:rPr>
        <w:t>to interpretation into English and French for meetings of the Assembly’s subsidiary bodies, in particular of the Advisory Committee on Nominations in regard to the upcoming judicial election process in 2023.</w:t>
      </w:r>
    </w:p>
    <w:p>
      <w:pPr>
        <w:pStyle w:val="ListParagraph"/>
        <w:numPr>
          <w:ilvl w:val="0"/>
          <w:numId w:val="4"/>
        </w:numPr>
        <w:tabs>
          <w:tab w:pos="2967" w:val="left" w:leader="none"/>
        </w:tabs>
        <w:spacing w:line="240" w:lineRule="auto" w:before="119" w:after="0"/>
        <w:ind w:left="2967" w:right="0" w:hanging="721"/>
        <w:jc w:val="both"/>
        <w:rPr>
          <w:sz w:val="20"/>
        </w:rPr>
      </w:pPr>
      <w:r>
        <w:rPr>
          <w:sz w:val="20"/>
        </w:rPr>
        <w:t>Freelance</w:t>
      </w:r>
      <w:r>
        <w:rPr>
          <w:spacing w:val="-9"/>
          <w:sz w:val="20"/>
        </w:rPr>
        <w:t> </w:t>
      </w:r>
      <w:r>
        <w:rPr>
          <w:sz w:val="20"/>
        </w:rPr>
        <w:t>interpreters</w:t>
      </w:r>
      <w:r>
        <w:rPr>
          <w:spacing w:val="-8"/>
          <w:sz w:val="20"/>
        </w:rPr>
        <w:t> </w:t>
      </w:r>
      <w:r>
        <w:rPr>
          <w:sz w:val="20"/>
        </w:rPr>
        <w:t>are</w:t>
      </w:r>
      <w:r>
        <w:rPr>
          <w:spacing w:val="-2"/>
          <w:sz w:val="20"/>
        </w:rPr>
        <w:t> </w:t>
      </w:r>
      <w:r>
        <w:rPr>
          <w:sz w:val="20"/>
        </w:rPr>
        <w:t>needed</w:t>
      </w:r>
      <w:r>
        <w:rPr>
          <w:spacing w:val="-8"/>
          <w:sz w:val="20"/>
        </w:rPr>
        <w:t> </w:t>
      </w:r>
      <w:r>
        <w:rPr>
          <w:sz w:val="20"/>
        </w:rPr>
        <w:t>to</w:t>
      </w:r>
      <w:r>
        <w:rPr>
          <w:spacing w:val="-3"/>
          <w:sz w:val="20"/>
        </w:rPr>
        <w:t> </w:t>
      </w:r>
      <w:r>
        <w:rPr>
          <w:sz w:val="20"/>
        </w:rPr>
        <w:t>reinforce</w:t>
      </w:r>
      <w:r>
        <w:rPr>
          <w:spacing w:val="-6"/>
          <w:sz w:val="20"/>
        </w:rPr>
        <w:t> </w:t>
      </w:r>
      <w:r>
        <w:rPr>
          <w:sz w:val="20"/>
        </w:rPr>
        <w:t>in-house</w:t>
      </w:r>
      <w:r>
        <w:rPr>
          <w:spacing w:val="-6"/>
          <w:sz w:val="20"/>
        </w:rPr>
        <w:t> </w:t>
      </w:r>
      <w:r>
        <w:rPr>
          <w:sz w:val="20"/>
        </w:rPr>
        <w:t>resources</w:t>
      </w:r>
      <w:r>
        <w:rPr>
          <w:spacing w:val="-9"/>
          <w:sz w:val="20"/>
        </w:rPr>
        <w:t> </w:t>
      </w:r>
      <w:r>
        <w:rPr>
          <w:sz w:val="20"/>
        </w:rPr>
        <w:t>as</w:t>
      </w:r>
      <w:r>
        <w:rPr>
          <w:spacing w:val="-8"/>
          <w:sz w:val="20"/>
        </w:rPr>
        <w:t> </w:t>
      </w:r>
      <w:r>
        <w:rPr>
          <w:spacing w:val="-2"/>
          <w:sz w:val="20"/>
        </w:rPr>
        <w:t>follows:</w:t>
      </w:r>
    </w:p>
    <w:p>
      <w:pPr>
        <w:pStyle w:val="BodyText"/>
        <w:spacing w:before="11"/>
      </w:pPr>
    </w:p>
    <w:p>
      <w:pPr>
        <w:spacing w:before="0"/>
        <w:ind w:left="2246" w:right="0" w:firstLine="0"/>
        <w:jc w:val="both"/>
        <w:rPr>
          <w:i/>
          <w:sz w:val="20"/>
        </w:rPr>
      </w:pPr>
      <w:r>
        <w:rPr>
          <w:i/>
          <w:sz w:val="20"/>
        </w:rPr>
        <w:t>Interpretation</w:t>
      </w:r>
      <w:r>
        <w:rPr>
          <w:i/>
          <w:spacing w:val="-9"/>
          <w:sz w:val="20"/>
        </w:rPr>
        <w:t> </w:t>
      </w:r>
      <w:r>
        <w:rPr>
          <w:i/>
          <w:sz w:val="20"/>
        </w:rPr>
        <w:t>of</w:t>
      </w:r>
      <w:r>
        <w:rPr>
          <w:i/>
          <w:spacing w:val="-7"/>
          <w:sz w:val="20"/>
        </w:rPr>
        <w:t> </w:t>
      </w:r>
      <w:r>
        <w:rPr>
          <w:i/>
          <w:sz w:val="20"/>
        </w:rPr>
        <w:t>judicial</w:t>
      </w:r>
      <w:r>
        <w:rPr>
          <w:i/>
          <w:spacing w:val="-7"/>
          <w:sz w:val="20"/>
        </w:rPr>
        <w:t> </w:t>
      </w:r>
      <w:r>
        <w:rPr>
          <w:i/>
          <w:spacing w:val="-2"/>
          <w:sz w:val="20"/>
        </w:rPr>
        <w:t>proceedings</w:t>
      </w:r>
    </w:p>
    <w:p>
      <w:pPr>
        <w:pStyle w:val="BodyText"/>
        <w:spacing w:before="10"/>
        <w:rPr>
          <w:i/>
        </w:rPr>
      </w:pPr>
    </w:p>
    <w:p>
      <w:pPr>
        <w:pStyle w:val="ListParagraph"/>
        <w:numPr>
          <w:ilvl w:val="0"/>
          <w:numId w:val="4"/>
        </w:numPr>
        <w:tabs>
          <w:tab w:pos="2967" w:val="left" w:leader="none"/>
        </w:tabs>
        <w:spacing w:line="240" w:lineRule="auto" w:before="0" w:after="0"/>
        <w:ind w:left="2967" w:right="0" w:hanging="721"/>
        <w:jc w:val="both"/>
        <w:rPr>
          <w:sz w:val="20"/>
        </w:rPr>
      </w:pPr>
      <w:r>
        <w:rPr>
          <w:i/>
          <w:sz w:val="20"/>
        </w:rPr>
        <w:t>Abd-Al</w:t>
      </w:r>
      <w:r>
        <w:rPr>
          <w:i/>
          <w:spacing w:val="-7"/>
          <w:sz w:val="20"/>
        </w:rPr>
        <w:t> </w:t>
      </w:r>
      <w:r>
        <w:rPr>
          <w:i/>
          <w:sz w:val="20"/>
        </w:rPr>
        <w:t>Rahman</w:t>
      </w:r>
      <w:r>
        <w:rPr>
          <w:i/>
          <w:spacing w:val="-6"/>
          <w:sz w:val="20"/>
        </w:rPr>
        <w:t> </w:t>
      </w:r>
      <w:r>
        <w:rPr>
          <w:sz w:val="20"/>
        </w:rPr>
        <w:t>trial:</w:t>
      </w:r>
      <w:r>
        <w:rPr>
          <w:spacing w:val="-2"/>
          <w:sz w:val="20"/>
        </w:rPr>
        <w:t> </w:t>
      </w:r>
      <w:r>
        <w:rPr>
          <w:sz w:val="20"/>
        </w:rPr>
        <w:t>Recruitment</w:t>
      </w:r>
      <w:r>
        <w:rPr>
          <w:spacing w:val="-6"/>
          <w:sz w:val="20"/>
        </w:rPr>
        <w:t> </w:t>
      </w:r>
      <w:r>
        <w:rPr>
          <w:sz w:val="20"/>
        </w:rPr>
        <w:t>of</w:t>
      </w:r>
      <w:r>
        <w:rPr>
          <w:spacing w:val="-8"/>
          <w:sz w:val="20"/>
        </w:rPr>
        <w:t> </w:t>
      </w:r>
      <w:r>
        <w:rPr>
          <w:sz w:val="20"/>
        </w:rPr>
        <w:t>4</w:t>
      </w:r>
      <w:r>
        <w:rPr>
          <w:spacing w:val="-8"/>
          <w:sz w:val="20"/>
        </w:rPr>
        <w:t> </w:t>
      </w:r>
      <w:r>
        <w:rPr>
          <w:sz w:val="20"/>
        </w:rPr>
        <w:t>ENG/FRA</w:t>
      </w:r>
      <w:r>
        <w:rPr>
          <w:spacing w:val="-8"/>
          <w:sz w:val="20"/>
        </w:rPr>
        <w:t> </w:t>
      </w:r>
      <w:r>
        <w:rPr>
          <w:sz w:val="20"/>
        </w:rPr>
        <w:t>freelancers</w:t>
      </w:r>
      <w:r>
        <w:rPr>
          <w:spacing w:val="-5"/>
          <w:sz w:val="20"/>
        </w:rPr>
        <w:t> </w:t>
      </w:r>
      <w:r>
        <w:rPr>
          <w:sz w:val="20"/>
        </w:rPr>
        <w:t>for</w:t>
      </w:r>
      <w:r>
        <w:rPr>
          <w:spacing w:val="-7"/>
          <w:sz w:val="20"/>
        </w:rPr>
        <w:t> </w:t>
      </w:r>
      <w:r>
        <w:rPr>
          <w:sz w:val="20"/>
        </w:rPr>
        <w:t>40</w:t>
      </w:r>
      <w:r>
        <w:rPr>
          <w:spacing w:val="-3"/>
          <w:sz w:val="20"/>
        </w:rPr>
        <w:t> </w:t>
      </w:r>
      <w:r>
        <w:rPr>
          <w:sz w:val="20"/>
        </w:rPr>
        <w:t>weeks;</w:t>
      </w:r>
      <w:r>
        <w:rPr>
          <w:spacing w:val="-6"/>
          <w:sz w:val="20"/>
        </w:rPr>
        <w:t> </w:t>
      </w:r>
      <w:r>
        <w:rPr>
          <w:spacing w:val="-4"/>
          <w:sz w:val="20"/>
        </w:rPr>
        <w:t>and,</w:t>
      </w:r>
    </w:p>
    <w:p>
      <w:pPr>
        <w:pStyle w:val="ListParagraph"/>
        <w:numPr>
          <w:ilvl w:val="0"/>
          <w:numId w:val="4"/>
        </w:numPr>
        <w:tabs>
          <w:tab w:pos="2967" w:val="left" w:leader="none"/>
        </w:tabs>
        <w:spacing w:line="240" w:lineRule="auto" w:before="121" w:after="0"/>
        <w:ind w:left="2246" w:right="2242" w:firstLine="0"/>
        <w:jc w:val="both"/>
        <w:rPr>
          <w:sz w:val="20"/>
        </w:rPr>
      </w:pPr>
      <w:r>
        <w:rPr>
          <w:i/>
          <w:sz w:val="20"/>
        </w:rPr>
        <w:t>Yekatom</w:t>
      </w:r>
      <w:r>
        <w:rPr>
          <w:i/>
          <w:spacing w:val="-13"/>
          <w:sz w:val="20"/>
        </w:rPr>
        <w:t> </w:t>
      </w:r>
      <w:r>
        <w:rPr>
          <w:i/>
          <w:sz w:val="20"/>
        </w:rPr>
        <w:t>and</w:t>
      </w:r>
      <w:r>
        <w:rPr>
          <w:i/>
          <w:spacing w:val="-12"/>
          <w:sz w:val="20"/>
        </w:rPr>
        <w:t> </w:t>
      </w:r>
      <w:r>
        <w:rPr>
          <w:i/>
          <w:sz w:val="20"/>
        </w:rPr>
        <w:t>Ngaïssona</w:t>
      </w:r>
      <w:r>
        <w:rPr>
          <w:i/>
          <w:spacing w:val="-13"/>
          <w:sz w:val="20"/>
        </w:rPr>
        <w:t> </w:t>
      </w:r>
      <w:r>
        <w:rPr>
          <w:sz w:val="20"/>
        </w:rPr>
        <w:t>trial:</w:t>
      </w:r>
      <w:r>
        <w:rPr>
          <w:spacing w:val="-8"/>
          <w:sz w:val="20"/>
        </w:rPr>
        <w:t> </w:t>
      </w:r>
      <w:r>
        <w:rPr>
          <w:sz w:val="20"/>
        </w:rPr>
        <w:t>Recruitment</w:t>
      </w:r>
      <w:r>
        <w:rPr>
          <w:spacing w:val="-8"/>
          <w:sz w:val="20"/>
        </w:rPr>
        <w:t> </w:t>
      </w:r>
      <w:r>
        <w:rPr>
          <w:sz w:val="20"/>
        </w:rPr>
        <w:t>of</w:t>
      </w:r>
      <w:r>
        <w:rPr>
          <w:spacing w:val="-13"/>
          <w:sz w:val="20"/>
        </w:rPr>
        <w:t> </w:t>
      </w:r>
      <w:r>
        <w:rPr>
          <w:sz w:val="20"/>
        </w:rPr>
        <w:t>3</w:t>
      </w:r>
      <w:r>
        <w:rPr>
          <w:spacing w:val="-8"/>
          <w:sz w:val="20"/>
        </w:rPr>
        <w:t> </w:t>
      </w:r>
      <w:r>
        <w:rPr>
          <w:sz w:val="20"/>
        </w:rPr>
        <w:t>ENG/FRA</w:t>
      </w:r>
      <w:r>
        <w:rPr>
          <w:spacing w:val="-11"/>
          <w:sz w:val="20"/>
        </w:rPr>
        <w:t> </w:t>
      </w:r>
      <w:r>
        <w:rPr>
          <w:sz w:val="20"/>
        </w:rPr>
        <w:t>freelancers</w:t>
      </w:r>
      <w:r>
        <w:rPr>
          <w:spacing w:val="-11"/>
          <w:sz w:val="20"/>
        </w:rPr>
        <w:t> </w:t>
      </w:r>
      <w:r>
        <w:rPr>
          <w:sz w:val="20"/>
        </w:rPr>
        <w:t>for</w:t>
      </w:r>
      <w:r>
        <w:rPr>
          <w:spacing w:val="-9"/>
          <w:sz w:val="20"/>
        </w:rPr>
        <w:t> </w:t>
      </w:r>
      <w:r>
        <w:rPr>
          <w:sz w:val="20"/>
        </w:rPr>
        <w:t>20</w:t>
      </w:r>
      <w:r>
        <w:rPr>
          <w:spacing w:val="-9"/>
          <w:sz w:val="20"/>
        </w:rPr>
        <w:t> </w:t>
      </w:r>
      <w:r>
        <w:rPr>
          <w:sz w:val="20"/>
        </w:rPr>
        <w:t>weeks, in the context of simultaneous trials (</w:t>
      </w:r>
      <w:r>
        <w:rPr>
          <w:i/>
          <w:sz w:val="20"/>
        </w:rPr>
        <w:t>Abd-Al Rahman</w:t>
      </w:r>
      <w:r>
        <w:rPr>
          <w:sz w:val="20"/>
        </w:rPr>
        <w:t>, </w:t>
      </w:r>
      <w:r>
        <w:rPr>
          <w:i/>
          <w:sz w:val="20"/>
        </w:rPr>
        <w:t>Yekatom and Ngaïssona</w:t>
      </w:r>
      <w:r>
        <w:rPr>
          <w:sz w:val="20"/>
        </w:rPr>
        <w:t>, </w:t>
      </w:r>
      <w:r>
        <w:rPr>
          <w:i/>
          <w:sz w:val="20"/>
        </w:rPr>
        <w:t>Said Abdel</w:t>
      </w:r>
      <w:r>
        <w:rPr>
          <w:i/>
          <w:sz w:val="20"/>
        </w:rPr>
        <w:t> </w:t>
      </w:r>
      <w:r>
        <w:rPr>
          <w:i/>
          <w:spacing w:val="-2"/>
          <w:sz w:val="20"/>
        </w:rPr>
        <w:t>Kani</w:t>
      </w:r>
      <w:r>
        <w:rPr>
          <w:spacing w:val="-2"/>
          <w:sz w:val="20"/>
        </w:rPr>
        <w:t>).</w:t>
      </w:r>
    </w:p>
    <w:p>
      <w:pPr>
        <w:pStyle w:val="BodyText"/>
        <w:rPr>
          <w:sz w:val="21"/>
        </w:rPr>
      </w:pPr>
    </w:p>
    <w:p>
      <w:pPr>
        <w:spacing w:before="0"/>
        <w:ind w:left="2246" w:right="0" w:firstLine="0"/>
        <w:jc w:val="both"/>
        <w:rPr>
          <w:i/>
          <w:sz w:val="20"/>
        </w:rPr>
      </w:pPr>
      <w:r>
        <w:rPr>
          <w:i/>
          <w:sz w:val="20"/>
        </w:rPr>
        <w:t>Other</w:t>
      </w:r>
      <w:r>
        <w:rPr>
          <w:i/>
          <w:spacing w:val="-4"/>
          <w:sz w:val="20"/>
        </w:rPr>
        <w:t> </w:t>
      </w:r>
      <w:r>
        <w:rPr>
          <w:i/>
          <w:spacing w:val="-2"/>
          <w:sz w:val="20"/>
        </w:rPr>
        <w:t>interpretation</w:t>
      </w:r>
    </w:p>
    <w:p>
      <w:pPr>
        <w:pStyle w:val="BodyText"/>
        <w:spacing w:before="10"/>
        <w:rPr>
          <w:i/>
        </w:rPr>
      </w:pPr>
    </w:p>
    <w:p>
      <w:pPr>
        <w:pStyle w:val="ListParagraph"/>
        <w:numPr>
          <w:ilvl w:val="0"/>
          <w:numId w:val="4"/>
        </w:numPr>
        <w:tabs>
          <w:tab w:pos="2967" w:val="left" w:leader="none"/>
        </w:tabs>
        <w:spacing w:line="240" w:lineRule="auto" w:before="0" w:after="0"/>
        <w:ind w:left="2246" w:right="2249" w:firstLine="0"/>
        <w:jc w:val="both"/>
        <w:rPr>
          <w:sz w:val="20"/>
        </w:rPr>
      </w:pPr>
      <w:r>
        <w:rPr>
          <w:sz w:val="20"/>
        </w:rPr>
        <w:t>Assembly - recruitment of 6 ENG/FRA/SPA freelancers for 12 virtual meetings; one meeting per month.</w:t>
      </w:r>
    </w:p>
    <w:p>
      <w:pPr>
        <w:pStyle w:val="ListParagraph"/>
        <w:numPr>
          <w:ilvl w:val="0"/>
          <w:numId w:val="4"/>
        </w:numPr>
        <w:tabs>
          <w:tab w:pos="2967" w:val="left" w:leader="none"/>
        </w:tabs>
        <w:spacing w:line="240" w:lineRule="auto" w:before="116" w:after="0"/>
        <w:ind w:left="2246" w:right="2244" w:firstLine="0"/>
        <w:jc w:val="both"/>
        <w:rPr>
          <w:sz w:val="20"/>
        </w:rPr>
      </w:pPr>
      <w:r>
        <w:rPr>
          <w:sz w:val="20"/>
        </w:rPr>
        <w:t>Assembly</w:t>
      </w:r>
      <w:r>
        <w:rPr>
          <w:spacing w:val="-9"/>
          <w:sz w:val="20"/>
        </w:rPr>
        <w:t> </w:t>
      </w:r>
      <w:r>
        <w:rPr>
          <w:sz w:val="20"/>
        </w:rPr>
        <w:t>-</w:t>
      </w:r>
      <w:r>
        <w:rPr>
          <w:spacing w:val="-4"/>
          <w:sz w:val="20"/>
        </w:rPr>
        <w:t> </w:t>
      </w:r>
      <w:r>
        <w:rPr>
          <w:sz w:val="20"/>
        </w:rPr>
        <w:t>recruitment</w:t>
      </w:r>
      <w:r>
        <w:rPr>
          <w:spacing w:val="-3"/>
          <w:sz w:val="20"/>
        </w:rPr>
        <w:t> </w:t>
      </w:r>
      <w:r>
        <w:rPr>
          <w:sz w:val="20"/>
        </w:rPr>
        <w:t>of</w:t>
      </w:r>
      <w:r>
        <w:rPr>
          <w:spacing w:val="-9"/>
          <w:sz w:val="20"/>
        </w:rPr>
        <w:t> </w:t>
      </w:r>
      <w:r>
        <w:rPr>
          <w:sz w:val="20"/>
        </w:rPr>
        <w:t>4</w:t>
      </w:r>
      <w:r>
        <w:rPr>
          <w:spacing w:val="-5"/>
          <w:sz w:val="20"/>
        </w:rPr>
        <w:t> </w:t>
      </w:r>
      <w:r>
        <w:rPr>
          <w:sz w:val="20"/>
        </w:rPr>
        <w:t>freelancers</w:t>
      </w:r>
      <w:r>
        <w:rPr>
          <w:spacing w:val="-6"/>
          <w:sz w:val="20"/>
        </w:rPr>
        <w:t> </w:t>
      </w:r>
      <w:r>
        <w:rPr>
          <w:sz w:val="20"/>
        </w:rPr>
        <w:t>for</w:t>
      </w:r>
      <w:r>
        <w:rPr>
          <w:spacing w:val="-5"/>
          <w:sz w:val="20"/>
        </w:rPr>
        <w:t> </w:t>
      </w:r>
      <w:r>
        <w:rPr>
          <w:sz w:val="20"/>
        </w:rPr>
        <w:t>7</w:t>
      </w:r>
      <w:r>
        <w:rPr>
          <w:spacing w:val="-5"/>
          <w:sz w:val="20"/>
        </w:rPr>
        <w:t> </w:t>
      </w:r>
      <w:r>
        <w:rPr>
          <w:sz w:val="20"/>
        </w:rPr>
        <w:t>Advisory</w:t>
      </w:r>
      <w:r>
        <w:rPr>
          <w:spacing w:val="-9"/>
          <w:sz w:val="20"/>
        </w:rPr>
        <w:t> </w:t>
      </w:r>
      <w:r>
        <w:rPr>
          <w:sz w:val="20"/>
        </w:rPr>
        <w:t>Committee</w:t>
      </w:r>
      <w:r>
        <w:rPr>
          <w:spacing w:val="-3"/>
          <w:sz w:val="20"/>
        </w:rPr>
        <w:t> </w:t>
      </w:r>
      <w:r>
        <w:rPr>
          <w:sz w:val="20"/>
        </w:rPr>
        <w:t>on</w:t>
      </w:r>
      <w:r>
        <w:rPr>
          <w:spacing w:val="-9"/>
          <w:sz w:val="20"/>
        </w:rPr>
        <w:t> </w:t>
      </w:r>
      <w:r>
        <w:rPr>
          <w:sz w:val="20"/>
        </w:rPr>
        <w:t>Nominations </w:t>
      </w:r>
      <w:r>
        <w:rPr>
          <w:spacing w:val="-2"/>
          <w:sz w:val="20"/>
        </w:rPr>
        <w:t>meetings.</w:t>
      </w:r>
    </w:p>
    <w:p>
      <w:pPr>
        <w:pStyle w:val="ListParagraph"/>
        <w:numPr>
          <w:ilvl w:val="0"/>
          <w:numId w:val="4"/>
        </w:numPr>
        <w:tabs>
          <w:tab w:pos="2967" w:val="left" w:leader="none"/>
        </w:tabs>
        <w:spacing w:line="240" w:lineRule="auto" w:before="121" w:after="0"/>
        <w:ind w:left="2246" w:right="2246" w:firstLine="0"/>
        <w:jc w:val="both"/>
        <w:rPr>
          <w:sz w:val="20"/>
        </w:rPr>
      </w:pPr>
      <w:r>
        <w:rPr>
          <w:sz w:val="20"/>
        </w:rPr>
        <w:t>Assembly - recruitment of 4 ENG/FRA freelancers for 3 days for the roundtables with candidates.</w:t>
      </w:r>
    </w:p>
    <w:p>
      <w:pPr>
        <w:pStyle w:val="ListParagraph"/>
        <w:numPr>
          <w:ilvl w:val="0"/>
          <w:numId w:val="4"/>
        </w:numPr>
        <w:tabs>
          <w:tab w:pos="2967" w:val="left" w:leader="none"/>
        </w:tabs>
        <w:spacing w:line="240" w:lineRule="auto" w:before="122" w:after="0"/>
        <w:ind w:left="2967" w:right="0" w:hanging="721"/>
        <w:jc w:val="both"/>
        <w:rPr>
          <w:sz w:val="20"/>
        </w:rPr>
      </w:pPr>
      <w:r>
        <w:rPr>
          <w:sz w:val="20"/>
        </w:rPr>
        <w:t>Assembly</w:t>
      </w:r>
      <w:r>
        <w:rPr>
          <w:spacing w:val="-10"/>
          <w:sz w:val="20"/>
        </w:rPr>
        <w:t> </w:t>
      </w:r>
      <w:r>
        <w:rPr>
          <w:sz w:val="20"/>
        </w:rPr>
        <w:t>-</w:t>
      </w:r>
      <w:r>
        <w:rPr>
          <w:spacing w:val="-8"/>
          <w:sz w:val="20"/>
        </w:rPr>
        <w:t> </w:t>
      </w:r>
      <w:r>
        <w:rPr>
          <w:sz w:val="20"/>
        </w:rPr>
        <w:t>recruitment</w:t>
      </w:r>
      <w:r>
        <w:rPr>
          <w:spacing w:val="-3"/>
          <w:sz w:val="20"/>
        </w:rPr>
        <w:t> </w:t>
      </w:r>
      <w:r>
        <w:rPr>
          <w:sz w:val="20"/>
        </w:rPr>
        <w:t>of</w:t>
      </w:r>
      <w:r>
        <w:rPr>
          <w:spacing w:val="-5"/>
          <w:sz w:val="20"/>
        </w:rPr>
        <w:t> </w:t>
      </w:r>
      <w:r>
        <w:rPr>
          <w:sz w:val="20"/>
        </w:rPr>
        <w:t>4</w:t>
      </w:r>
      <w:r>
        <w:rPr>
          <w:spacing w:val="-8"/>
          <w:sz w:val="20"/>
        </w:rPr>
        <w:t> </w:t>
      </w:r>
      <w:r>
        <w:rPr>
          <w:sz w:val="20"/>
        </w:rPr>
        <w:t>ENG/FRA</w:t>
      </w:r>
      <w:r>
        <w:rPr>
          <w:spacing w:val="-3"/>
          <w:sz w:val="20"/>
        </w:rPr>
        <w:t> </w:t>
      </w:r>
      <w:r>
        <w:rPr>
          <w:sz w:val="20"/>
        </w:rPr>
        <w:t>freelancers</w:t>
      </w:r>
      <w:r>
        <w:rPr>
          <w:spacing w:val="-5"/>
          <w:sz w:val="20"/>
        </w:rPr>
        <w:t> </w:t>
      </w:r>
      <w:r>
        <w:rPr>
          <w:sz w:val="20"/>
        </w:rPr>
        <w:t>for</w:t>
      </w:r>
      <w:r>
        <w:rPr>
          <w:spacing w:val="-5"/>
          <w:sz w:val="20"/>
        </w:rPr>
        <w:t> </w:t>
      </w:r>
      <w:r>
        <w:rPr>
          <w:sz w:val="20"/>
        </w:rPr>
        <w:t>6</w:t>
      </w:r>
      <w:r>
        <w:rPr>
          <w:spacing w:val="-9"/>
          <w:sz w:val="20"/>
        </w:rPr>
        <w:t> </w:t>
      </w:r>
      <w:r>
        <w:rPr>
          <w:sz w:val="20"/>
        </w:rPr>
        <w:t>cooperation</w:t>
      </w:r>
      <w:r>
        <w:rPr>
          <w:spacing w:val="-8"/>
          <w:sz w:val="20"/>
        </w:rPr>
        <w:t> </w:t>
      </w:r>
      <w:r>
        <w:rPr>
          <w:spacing w:val="-2"/>
          <w:sz w:val="20"/>
        </w:rPr>
        <w:t>meetings.</w:t>
      </w:r>
    </w:p>
    <w:p>
      <w:pPr>
        <w:spacing w:after="0" w:line="240" w:lineRule="auto"/>
        <w:jc w:val="both"/>
        <w:rPr>
          <w:sz w:val="20"/>
        </w:rPr>
        <w:sectPr>
          <w:pgSz w:w="11910" w:h="16840"/>
          <w:pgMar w:header="953" w:footer="940" w:top="1140" w:bottom="1140" w:left="20" w:right="20"/>
        </w:sectPr>
      </w:pPr>
    </w:p>
    <w:p>
      <w:pPr>
        <w:pStyle w:val="ListParagraph"/>
        <w:numPr>
          <w:ilvl w:val="0"/>
          <w:numId w:val="4"/>
        </w:numPr>
        <w:tabs>
          <w:tab w:pos="2966" w:val="left" w:leader="none"/>
          <w:tab w:pos="2967" w:val="left" w:leader="none"/>
        </w:tabs>
        <w:spacing w:line="240" w:lineRule="auto" w:before="120" w:after="0"/>
        <w:ind w:left="2967" w:right="0" w:hanging="721"/>
        <w:jc w:val="left"/>
        <w:rPr>
          <w:sz w:val="20"/>
        </w:rPr>
      </w:pPr>
      <w:r>
        <w:rPr>
          <w:sz w:val="20"/>
        </w:rPr>
        <w:t>CSS</w:t>
      </w:r>
      <w:r>
        <w:rPr>
          <w:spacing w:val="-3"/>
          <w:sz w:val="20"/>
        </w:rPr>
        <w:t> </w:t>
      </w:r>
      <w:r>
        <w:rPr>
          <w:sz w:val="20"/>
        </w:rPr>
        <w:t>-</w:t>
      </w:r>
      <w:r>
        <w:rPr>
          <w:spacing w:val="-2"/>
          <w:sz w:val="20"/>
        </w:rPr>
        <w:t> </w:t>
      </w:r>
      <w:r>
        <w:rPr>
          <w:sz w:val="20"/>
        </w:rPr>
        <w:t>recruitment</w:t>
      </w:r>
      <w:r>
        <w:rPr>
          <w:spacing w:val="-5"/>
          <w:sz w:val="20"/>
        </w:rPr>
        <w:t> </w:t>
      </w:r>
      <w:r>
        <w:rPr>
          <w:sz w:val="20"/>
        </w:rPr>
        <w:t>of</w:t>
      </w:r>
      <w:r>
        <w:rPr>
          <w:spacing w:val="-6"/>
          <w:sz w:val="20"/>
        </w:rPr>
        <w:t> </w:t>
      </w:r>
      <w:r>
        <w:rPr>
          <w:sz w:val="20"/>
        </w:rPr>
        <w:t>4</w:t>
      </w:r>
      <w:r>
        <w:rPr>
          <w:spacing w:val="-6"/>
          <w:sz w:val="20"/>
        </w:rPr>
        <w:t> </w:t>
      </w:r>
      <w:r>
        <w:rPr>
          <w:sz w:val="20"/>
        </w:rPr>
        <w:t>ENG/FRA</w:t>
      </w:r>
      <w:r>
        <w:rPr>
          <w:spacing w:val="-8"/>
          <w:sz w:val="20"/>
        </w:rPr>
        <w:t> </w:t>
      </w:r>
      <w:r>
        <w:rPr>
          <w:sz w:val="20"/>
        </w:rPr>
        <w:t>freelancers</w:t>
      </w:r>
      <w:r>
        <w:rPr>
          <w:spacing w:val="-7"/>
          <w:sz w:val="20"/>
        </w:rPr>
        <w:t> </w:t>
      </w:r>
      <w:r>
        <w:rPr>
          <w:sz w:val="20"/>
        </w:rPr>
        <w:t>for</w:t>
      </w:r>
      <w:r>
        <w:rPr>
          <w:spacing w:val="-7"/>
          <w:sz w:val="20"/>
        </w:rPr>
        <w:t> </w:t>
      </w:r>
      <w:r>
        <w:rPr>
          <w:sz w:val="20"/>
        </w:rPr>
        <w:t>4</w:t>
      </w:r>
      <w:r>
        <w:rPr>
          <w:spacing w:val="-6"/>
          <w:sz w:val="20"/>
        </w:rPr>
        <w:t> </w:t>
      </w:r>
      <w:r>
        <w:rPr>
          <w:sz w:val="20"/>
        </w:rPr>
        <w:t>disciplinary</w:t>
      </w:r>
      <w:r>
        <w:rPr>
          <w:spacing w:val="-2"/>
          <w:sz w:val="20"/>
        </w:rPr>
        <w:t> </w:t>
      </w:r>
      <w:r>
        <w:rPr>
          <w:sz w:val="20"/>
        </w:rPr>
        <w:t>hearings</w:t>
      </w:r>
      <w:r>
        <w:rPr>
          <w:spacing w:val="-7"/>
          <w:sz w:val="20"/>
        </w:rPr>
        <w:t> </w:t>
      </w:r>
      <w:r>
        <w:rPr>
          <w:sz w:val="20"/>
        </w:rPr>
        <w:t>of</w:t>
      </w:r>
      <w:r>
        <w:rPr>
          <w:spacing w:val="-2"/>
          <w:sz w:val="20"/>
        </w:rPr>
        <w:t> </w:t>
      </w:r>
      <w:r>
        <w:rPr>
          <w:sz w:val="20"/>
        </w:rPr>
        <w:t>3</w:t>
      </w:r>
      <w:r>
        <w:rPr>
          <w:spacing w:val="-6"/>
          <w:sz w:val="20"/>
        </w:rPr>
        <w:t> </w:t>
      </w:r>
      <w:r>
        <w:rPr>
          <w:spacing w:val="-2"/>
          <w:sz w:val="20"/>
        </w:rPr>
        <w:t>days.</w:t>
      </w:r>
    </w:p>
    <w:p>
      <w:pPr>
        <w:pStyle w:val="ListParagraph"/>
        <w:numPr>
          <w:ilvl w:val="0"/>
          <w:numId w:val="4"/>
        </w:numPr>
        <w:tabs>
          <w:tab w:pos="2966" w:val="left" w:leader="none"/>
          <w:tab w:pos="2967" w:val="left" w:leader="none"/>
        </w:tabs>
        <w:spacing w:line="240" w:lineRule="auto" w:before="121" w:after="0"/>
        <w:ind w:left="2967" w:right="0" w:hanging="721"/>
        <w:jc w:val="left"/>
        <w:rPr>
          <w:sz w:val="20"/>
        </w:rPr>
      </w:pPr>
      <w:r>
        <w:rPr>
          <w:sz w:val="20"/>
        </w:rPr>
        <w:t>VPRS</w:t>
      </w:r>
      <w:r>
        <w:rPr>
          <w:spacing w:val="-3"/>
          <w:sz w:val="20"/>
        </w:rPr>
        <w:t> </w:t>
      </w:r>
      <w:r>
        <w:rPr>
          <w:sz w:val="20"/>
        </w:rPr>
        <w:t>-</w:t>
      </w:r>
      <w:r>
        <w:rPr>
          <w:spacing w:val="-2"/>
          <w:sz w:val="20"/>
        </w:rPr>
        <w:t> </w:t>
      </w:r>
      <w:r>
        <w:rPr>
          <w:sz w:val="20"/>
        </w:rPr>
        <w:t>recruitment</w:t>
      </w:r>
      <w:r>
        <w:rPr>
          <w:spacing w:val="-4"/>
          <w:sz w:val="20"/>
        </w:rPr>
        <w:t> </w:t>
      </w:r>
      <w:r>
        <w:rPr>
          <w:sz w:val="20"/>
        </w:rPr>
        <w:t>of</w:t>
      </w:r>
      <w:r>
        <w:rPr>
          <w:spacing w:val="-7"/>
          <w:sz w:val="20"/>
        </w:rPr>
        <w:t> </w:t>
      </w:r>
      <w:r>
        <w:rPr>
          <w:sz w:val="20"/>
        </w:rPr>
        <w:t>4</w:t>
      </w:r>
      <w:r>
        <w:rPr>
          <w:spacing w:val="-6"/>
          <w:sz w:val="20"/>
        </w:rPr>
        <w:t> </w:t>
      </w:r>
      <w:r>
        <w:rPr>
          <w:sz w:val="20"/>
        </w:rPr>
        <w:t>ENG/RUS</w:t>
      </w:r>
      <w:r>
        <w:rPr>
          <w:spacing w:val="-7"/>
          <w:sz w:val="20"/>
        </w:rPr>
        <w:t> </w:t>
      </w:r>
      <w:r>
        <w:rPr>
          <w:sz w:val="20"/>
        </w:rPr>
        <w:t>freelancers</w:t>
      </w:r>
      <w:r>
        <w:rPr>
          <w:spacing w:val="-7"/>
          <w:sz w:val="20"/>
        </w:rPr>
        <w:t> </w:t>
      </w:r>
      <w:r>
        <w:rPr>
          <w:sz w:val="20"/>
        </w:rPr>
        <w:t>for</w:t>
      </w:r>
      <w:r>
        <w:rPr>
          <w:spacing w:val="-7"/>
          <w:sz w:val="20"/>
        </w:rPr>
        <w:t> </w:t>
      </w:r>
      <w:r>
        <w:rPr>
          <w:sz w:val="20"/>
        </w:rPr>
        <w:t>4</w:t>
      </w:r>
      <w:r>
        <w:rPr>
          <w:spacing w:val="-6"/>
          <w:sz w:val="20"/>
        </w:rPr>
        <w:t> </w:t>
      </w:r>
      <w:r>
        <w:rPr>
          <w:sz w:val="20"/>
        </w:rPr>
        <w:t>training</w:t>
      </w:r>
      <w:r>
        <w:rPr>
          <w:spacing w:val="-6"/>
          <w:sz w:val="20"/>
        </w:rPr>
        <w:t> </w:t>
      </w:r>
      <w:r>
        <w:rPr>
          <w:spacing w:val="-2"/>
          <w:sz w:val="20"/>
        </w:rPr>
        <w:t>days.</w:t>
      </w:r>
    </w:p>
    <w:p>
      <w:pPr>
        <w:pStyle w:val="ListParagraph"/>
        <w:numPr>
          <w:ilvl w:val="0"/>
          <w:numId w:val="4"/>
        </w:numPr>
        <w:tabs>
          <w:tab w:pos="2966" w:val="left" w:leader="none"/>
          <w:tab w:pos="2967" w:val="left" w:leader="none"/>
        </w:tabs>
        <w:spacing w:line="240" w:lineRule="auto" w:before="120" w:after="0"/>
        <w:ind w:left="2967" w:right="0" w:hanging="721"/>
        <w:jc w:val="left"/>
        <w:rPr>
          <w:sz w:val="20"/>
        </w:rPr>
      </w:pPr>
      <w:r>
        <w:rPr>
          <w:sz w:val="20"/>
        </w:rPr>
        <w:t>VPRS</w:t>
      </w:r>
      <w:r>
        <w:rPr>
          <w:spacing w:val="-4"/>
          <w:sz w:val="20"/>
        </w:rPr>
        <w:t> </w:t>
      </w:r>
      <w:r>
        <w:rPr>
          <w:sz w:val="20"/>
        </w:rPr>
        <w:t>-</w:t>
      </w:r>
      <w:r>
        <w:rPr>
          <w:spacing w:val="-3"/>
          <w:sz w:val="20"/>
        </w:rPr>
        <w:t> </w:t>
      </w:r>
      <w:r>
        <w:rPr>
          <w:sz w:val="20"/>
        </w:rPr>
        <w:t>recruitment</w:t>
      </w:r>
      <w:r>
        <w:rPr>
          <w:spacing w:val="-5"/>
          <w:sz w:val="20"/>
        </w:rPr>
        <w:t> </w:t>
      </w:r>
      <w:r>
        <w:rPr>
          <w:sz w:val="20"/>
        </w:rPr>
        <w:t>of</w:t>
      </w:r>
      <w:r>
        <w:rPr>
          <w:spacing w:val="-7"/>
          <w:sz w:val="20"/>
        </w:rPr>
        <w:t> </w:t>
      </w:r>
      <w:r>
        <w:rPr>
          <w:sz w:val="20"/>
        </w:rPr>
        <w:t>4</w:t>
      </w:r>
      <w:r>
        <w:rPr>
          <w:spacing w:val="-7"/>
          <w:sz w:val="20"/>
        </w:rPr>
        <w:t> </w:t>
      </w:r>
      <w:r>
        <w:rPr>
          <w:sz w:val="20"/>
        </w:rPr>
        <w:t>ENG/UKR</w:t>
      </w:r>
      <w:r>
        <w:rPr>
          <w:spacing w:val="-7"/>
          <w:sz w:val="20"/>
        </w:rPr>
        <w:t> </w:t>
      </w:r>
      <w:r>
        <w:rPr>
          <w:sz w:val="20"/>
        </w:rPr>
        <w:t>freelancers</w:t>
      </w:r>
      <w:r>
        <w:rPr>
          <w:spacing w:val="-9"/>
          <w:sz w:val="20"/>
        </w:rPr>
        <w:t> </w:t>
      </w:r>
      <w:r>
        <w:rPr>
          <w:sz w:val="20"/>
        </w:rPr>
        <w:t>for</w:t>
      </w:r>
      <w:r>
        <w:rPr>
          <w:spacing w:val="-7"/>
          <w:sz w:val="20"/>
        </w:rPr>
        <w:t> </w:t>
      </w:r>
      <w:r>
        <w:rPr>
          <w:sz w:val="20"/>
        </w:rPr>
        <w:t>4</w:t>
      </w:r>
      <w:r>
        <w:rPr>
          <w:spacing w:val="-7"/>
          <w:sz w:val="20"/>
        </w:rPr>
        <w:t> </w:t>
      </w:r>
      <w:r>
        <w:rPr>
          <w:sz w:val="20"/>
        </w:rPr>
        <w:t>training</w:t>
      </w:r>
      <w:r>
        <w:rPr>
          <w:spacing w:val="-2"/>
          <w:sz w:val="20"/>
        </w:rPr>
        <w:t> days.</w:t>
      </w:r>
    </w:p>
    <w:p>
      <w:pPr>
        <w:pStyle w:val="ListParagraph"/>
        <w:numPr>
          <w:ilvl w:val="0"/>
          <w:numId w:val="4"/>
        </w:numPr>
        <w:tabs>
          <w:tab w:pos="2966" w:val="left" w:leader="none"/>
          <w:tab w:pos="2967" w:val="left" w:leader="none"/>
        </w:tabs>
        <w:spacing w:line="240" w:lineRule="auto" w:before="120" w:after="0"/>
        <w:ind w:left="2967" w:right="0" w:hanging="721"/>
        <w:jc w:val="left"/>
        <w:rPr>
          <w:sz w:val="20"/>
        </w:rPr>
      </w:pPr>
      <w:r>
        <w:rPr>
          <w:sz w:val="20"/>
        </w:rPr>
        <w:t>CSS</w:t>
      </w:r>
      <w:r>
        <w:rPr>
          <w:spacing w:val="-2"/>
          <w:sz w:val="20"/>
        </w:rPr>
        <w:t> </w:t>
      </w:r>
      <w:r>
        <w:rPr>
          <w:sz w:val="20"/>
        </w:rPr>
        <w:t>-</w:t>
      </w:r>
      <w:r>
        <w:rPr>
          <w:spacing w:val="-1"/>
          <w:sz w:val="20"/>
        </w:rPr>
        <w:t> </w:t>
      </w:r>
      <w:r>
        <w:rPr>
          <w:sz w:val="20"/>
        </w:rPr>
        <w:t>recruitment</w:t>
      </w:r>
      <w:r>
        <w:rPr>
          <w:spacing w:val="-4"/>
          <w:sz w:val="20"/>
        </w:rPr>
        <w:t> </w:t>
      </w:r>
      <w:r>
        <w:rPr>
          <w:sz w:val="20"/>
        </w:rPr>
        <w:t>of</w:t>
      </w:r>
      <w:r>
        <w:rPr>
          <w:spacing w:val="-6"/>
          <w:sz w:val="20"/>
        </w:rPr>
        <w:t> </w:t>
      </w:r>
      <w:r>
        <w:rPr>
          <w:sz w:val="20"/>
        </w:rPr>
        <w:t>4</w:t>
      </w:r>
      <w:r>
        <w:rPr>
          <w:spacing w:val="-6"/>
          <w:sz w:val="20"/>
        </w:rPr>
        <w:t> </w:t>
      </w:r>
      <w:r>
        <w:rPr>
          <w:sz w:val="20"/>
        </w:rPr>
        <w:t>ENG/FRA</w:t>
      </w:r>
      <w:r>
        <w:rPr>
          <w:spacing w:val="-6"/>
          <w:sz w:val="20"/>
        </w:rPr>
        <w:t> </w:t>
      </w:r>
      <w:r>
        <w:rPr>
          <w:sz w:val="20"/>
        </w:rPr>
        <w:t>freelancers</w:t>
      </w:r>
      <w:r>
        <w:rPr>
          <w:spacing w:val="-7"/>
          <w:sz w:val="20"/>
        </w:rPr>
        <w:t> </w:t>
      </w:r>
      <w:r>
        <w:rPr>
          <w:sz w:val="20"/>
        </w:rPr>
        <w:t>for</w:t>
      </w:r>
      <w:r>
        <w:rPr>
          <w:spacing w:val="-6"/>
          <w:sz w:val="20"/>
        </w:rPr>
        <w:t> </w:t>
      </w:r>
      <w:r>
        <w:rPr>
          <w:sz w:val="20"/>
        </w:rPr>
        <w:t>a</w:t>
      </w:r>
      <w:r>
        <w:rPr>
          <w:spacing w:val="-3"/>
          <w:sz w:val="20"/>
        </w:rPr>
        <w:t> </w:t>
      </w:r>
      <w:r>
        <w:rPr>
          <w:sz w:val="20"/>
        </w:rPr>
        <w:t>5-day</w:t>
      </w:r>
      <w:r>
        <w:rPr>
          <w:spacing w:val="-1"/>
          <w:sz w:val="20"/>
        </w:rPr>
        <w:t> </w:t>
      </w:r>
      <w:r>
        <w:rPr>
          <w:spacing w:val="-2"/>
          <w:sz w:val="20"/>
        </w:rPr>
        <w:t>seminar.</w:t>
      </w:r>
    </w:p>
    <w:p>
      <w:pPr>
        <w:pStyle w:val="BodyText"/>
        <w:rPr>
          <w:sz w:val="21"/>
        </w:rPr>
      </w:pPr>
    </w:p>
    <w:p>
      <w:pPr>
        <w:spacing w:before="0"/>
        <w:ind w:left="2246" w:right="0" w:firstLine="0"/>
        <w:jc w:val="left"/>
        <w:rPr>
          <w:i/>
          <w:sz w:val="20"/>
        </w:rPr>
      </w:pPr>
      <w:r>
        <w:rPr>
          <w:i/>
          <w:spacing w:val="-2"/>
          <w:sz w:val="20"/>
        </w:rPr>
        <w:t>Translation</w:t>
      </w:r>
    </w:p>
    <w:p>
      <w:pPr>
        <w:pStyle w:val="BodyText"/>
        <w:spacing w:before="10"/>
        <w:rPr>
          <w:i/>
        </w:rPr>
      </w:pPr>
    </w:p>
    <w:p>
      <w:pPr>
        <w:pStyle w:val="ListParagraph"/>
        <w:numPr>
          <w:ilvl w:val="0"/>
          <w:numId w:val="4"/>
        </w:numPr>
        <w:tabs>
          <w:tab w:pos="2967" w:val="left" w:leader="none"/>
        </w:tabs>
        <w:spacing w:line="240" w:lineRule="auto" w:before="0" w:after="0"/>
        <w:ind w:left="2246" w:right="2244" w:firstLine="0"/>
        <w:jc w:val="both"/>
        <w:rPr>
          <w:sz w:val="20"/>
        </w:rPr>
      </w:pPr>
      <w:r>
        <w:rPr>
          <w:sz w:val="20"/>
        </w:rPr>
        <w:t>The English Translation Unit (ETU) and the French Translation Unit (FTU) will continue to rely mainly on in-house resources to meet the needs of their clients, calling on occasional</w:t>
      </w:r>
      <w:r>
        <w:rPr>
          <w:spacing w:val="-13"/>
          <w:sz w:val="20"/>
        </w:rPr>
        <w:t> </w:t>
      </w:r>
      <w:r>
        <w:rPr>
          <w:sz w:val="20"/>
        </w:rPr>
        <w:t>external</w:t>
      </w:r>
      <w:r>
        <w:rPr>
          <w:spacing w:val="-9"/>
          <w:sz w:val="20"/>
        </w:rPr>
        <w:t> </w:t>
      </w:r>
      <w:r>
        <w:rPr>
          <w:sz w:val="20"/>
        </w:rPr>
        <w:t>support</w:t>
      </w:r>
      <w:r>
        <w:rPr>
          <w:spacing w:val="-13"/>
          <w:sz w:val="20"/>
        </w:rPr>
        <w:t> </w:t>
      </w:r>
      <w:r>
        <w:rPr>
          <w:sz w:val="20"/>
        </w:rPr>
        <w:t>during</w:t>
      </w:r>
      <w:r>
        <w:rPr>
          <w:spacing w:val="-9"/>
          <w:sz w:val="20"/>
        </w:rPr>
        <w:t> </w:t>
      </w:r>
      <w:r>
        <w:rPr>
          <w:sz w:val="20"/>
        </w:rPr>
        <w:t>peak</w:t>
      </w:r>
      <w:r>
        <w:rPr>
          <w:spacing w:val="-10"/>
          <w:sz w:val="20"/>
        </w:rPr>
        <w:t> </w:t>
      </w:r>
      <w:r>
        <w:rPr>
          <w:sz w:val="20"/>
        </w:rPr>
        <w:t>times</w:t>
      </w:r>
      <w:r>
        <w:rPr>
          <w:spacing w:val="-11"/>
          <w:sz w:val="20"/>
        </w:rPr>
        <w:t> </w:t>
      </w:r>
      <w:r>
        <w:rPr>
          <w:sz w:val="20"/>
        </w:rPr>
        <w:t>and</w:t>
      </w:r>
      <w:r>
        <w:rPr>
          <w:spacing w:val="-10"/>
          <w:sz w:val="20"/>
        </w:rPr>
        <w:t> </w:t>
      </w:r>
      <w:r>
        <w:rPr>
          <w:sz w:val="20"/>
        </w:rPr>
        <w:t>for</w:t>
      </w:r>
      <w:r>
        <w:rPr>
          <w:spacing w:val="-10"/>
          <w:sz w:val="20"/>
        </w:rPr>
        <w:t> </w:t>
      </w:r>
      <w:r>
        <w:rPr>
          <w:sz w:val="20"/>
        </w:rPr>
        <w:t>specific</w:t>
      </w:r>
      <w:r>
        <w:rPr>
          <w:spacing w:val="-12"/>
          <w:sz w:val="20"/>
        </w:rPr>
        <w:t> </w:t>
      </w:r>
      <w:r>
        <w:rPr>
          <w:sz w:val="20"/>
        </w:rPr>
        <w:t>projects</w:t>
      </w:r>
      <w:r>
        <w:rPr>
          <w:spacing w:val="-11"/>
          <w:sz w:val="20"/>
        </w:rPr>
        <w:t> </w:t>
      </w:r>
      <w:r>
        <w:rPr>
          <w:sz w:val="20"/>
        </w:rPr>
        <w:t>that</w:t>
      </w:r>
      <w:r>
        <w:rPr>
          <w:spacing w:val="-9"/>
          <w:sz w:val="20"/>
        </w:rPr>
        <w:t> </w:t>
      </w:r>
      <w:r>
        <w:rPr>
          <w:sz w:val="20"/>
        </w:rPr>
        <w:t>require</w:t>
      </w:r>
      <w:r>
        <w:rPr>
          <w:spacing w:val="-12"/>
          <w:sz w:val="20"/>
        </w:rPr>
        <w:t> </w:t>
      </w:r>
      <w:r>
        <w:rPr>
          <w:sz w:val="20"/>
        </w:rPr>
        <w:t>additional staff to be recruited on a short-term basis. Off-site contracts are a more economical option than on-site contracts to compensate for the shortfall in staff, because this mode of remote working entails no travel costs and no post adjustment. For ETU, the workload for 2023 is anticipated to be in line with that of 2022. Efficiencies will continue to be achieved: the French Translation Unit has two staff members who can translate into another language (English and Arabic) and other staff will continue to assist with occasional interpretation </w:t>
      </w:r>
      <w:r>
        <w:rPr>
          <w:spacing w:val="-2"/>
          <w:sz w:val="20"/>
        </w:rPr>
        <w:t>assignments.</w:t>
      </w:r>
    </w:p>
    <w:p>
      <w:pPr>
        <w:pStyle w:val="ListParagraph"/>
        <w:numPr>
          <w:ilvl w:val="0"/>
          <w:numId w:val="4"/>
        </w:numPr>
        <w:tabs>
          <w:tab w:pos="2967" w:val="left" w:leader="none"/>
        </w:tabs>
        <w:spacing w:line="240" w:lineRule="auto" w:before="120" w:after="0"/>
        <w:ind w:left="2246" w:right="2236" w:firstLine="0"/>
        <w:jc w:val="both"/>
        <w:rPr>
          <w:sz w:val="20"/>
        </w:rPr>
      </w:pPr>
      <w:r>
        <w:rPr>
          <w:sz w:val="20"/>
        </w:rPr>
        <w:t>The Situation Languages Translation Unit (SLTU) relies primarily on external resources, given the range of situation languages for which there are insufficient in-house resources</w:t>
      </w:r>
      <w:r>
        <w:rPr>
          <w:spacing w:val="-13"/>
          <w:sz w:val="20"/>
        </w:rPr>
        <w:t> </w:t>
      </w:r>
      <w:r>
        <w:rPr>
          <w:sz w:val="20"/>
        </w:rPr>
        <w:t>to</w:t>
      </w:r>
      <w:r>
        <w:rPr>
          <w:spacing w:val="-12"/>
          <w:sz w:val="20"/>
        </w:rPr>
        <w:t> </w:t>
      </w:r>
      <w:r>
        <w:rPr>
          <w:sz w:val="20"/>
        </w:rPr>
        <w:t>meet</w:t>
      </w:r>
      <w:r>
        <w:rPr>
          <w:spacing w:val="-12"/>
          <w:sz w:val="20"/>
        </w:rPr>
        <w:t> </w:t>
      </w:r>
      <w:r>
        <w:rPr>
          <w:sz w:val="20"/>
        </w:rPr>
        <w:t>the</w:t>
      </w:r>
      <w:r>
        <w:rPr>
          <w:spacing w:val="-10"/>
          <w:sz w:val="20"/>
        </w:rPr>
        <w:t> </w:t>
      </w:r>
      <w:r>
        <w:rPr>
          <w:sz w:val="20"/>
        </w:rPr>
        <w:t>demand</w:t>
      </w:r>
      <w:r>
        <w:rPr>
          <w:spacing w:val="-12"/>
          <w:sz w:val="20"/>
        </w:rPr>
        <w:t> </w:t>
      </w:r>
      <w:r>
        <w:rPr>
          <w:sz w:val="20"/>
        </w:rPr>
        <w:t>(including</w:t>
      </w:r>
      <w:r>
        <w:rPr>
          <w:spacing w:val="-12"/>
          <w:sz w:val="20"/>
        </w:rPr>
        <w:t> </w:t>
      </w:r>
      <w:r>
        <w:rPr>
          <w:sz w:val="20"/>
        </w:rPr>
        <w:t>Arabic,</w:t>
      </w:r>
      <w:r>
        <w:rPr>
          <w:spacing w:val="-10"/>
          <w:sz w:val="20"/>
        </w:rPr>
        <w:t> </w:t>
      </w:r>
      <w:r>
        <w:rPr>
          <w:sz w:val="20"/>
        </w:rPr>
        <w:t>Sango</w:t>
      </w:r>
      <w:r>
        <w:rPr>
          <w:spacing w:val="-12"/>
          <w:sz w:val="20"/>
        </w:rPr>
        <w:t> </w:t>
      </w:r>
      <w:r>
        <w:rPr>
          <w:sz w:val="20"/>
        </w:rPr>
        <w:t>and</w:t>
      </w:r>
      <w:r>
        <w:rPr>
          <w:spacing w:val="-12"/>
          <w:sz w:val="20"/>
        </w:rPr>
        <w:t> </w:t>
      </w:r>
      <w:r>
        <w:rPr>
          <w:sz w:val="20"/>
        </w:rPr>
        <w:t>Tamasheq)</w:t>
      </w:r>
      <w:r>
        <w:rPr>
          <w:spacing w:val="-12"/>
          <w:sz w:val="20"/>
        </w:rPr>
        <w:t> </w:t>
      </w:r>
      <w:r>
        <w:rPr>
          <w:sz w:val="20"/>
        </w:rPr>
        <w:t>or</w:t>
      </w:r>
      <w:r>
        <w:rPr>
          <w:spacing w:val="-12"/>
          <w:sz w:val="20"/>
        </w:rPr>
        <w:t> </w:t>
      </w:r>
      <w:r>
        <w:rPr>
          <w:sz w:val="20"/>
        </w:rPr>
        <w:t>for</w:t>
      </w:r>
      <w:r>
        <w:rPr>
          <w:spacing w:val="-12"/>
          <w:sz w:val="20"/>
        </w:rPr>
        <w:t> </w:t>
      </w:r>
      <w:r>
        <w:rPr>
          <w:sz w:val="20"/>
        </w:rPr>
        <w:t>which</w:t>
      </w:r>
      <w:r>
        <w:rPr>
          <w:spacing w:val="-12"/>
          <w:sz w:val="20"/>
        </w:rPr>
        <w:t> </w:t>
      </w:r>
      <w:r>
        <w:rPr>
          <w:sz w:val="20"/>
        </w:rPr>
        <w:t>in-house resources are non-existent (among others Dari, Pashto, Burmese, Bengali, Rohingya, Georgian, Hebrew, Zaghawa, Fur, Russian, Ukrainian, Tagalog and Spanish). Efficiencies are</w:t>
      </w:r>
      <w:r>
        <w:rPr>
          <w:spacing w:val="-7"/>
          <w:sz w:val="20"/>
        </w:rPr>
        <w:t> </w:t>
      </w:r>
      <w:r>
        <w:rPr>
          <w:sz w:val="20"/>
        </w:rPr>
        <w:t>achieved</w:t>
      </w:r>
      <w:r>
        <w:rPr>
          <w:spacing w:val="-4"/>
          <w:sz w:val="20"/>
        </w:rPr>
        <w:t> </w:t>
      </w:r>
      <w:r>
        <w:rPr>
          <w:sz w:val="20"/>
        </w:rPr>
        <w:t>by</w:t>
      </w:r>
      <w:r>
        <w:rPr>
          <w:spacing w:val="-8"/>
          <w:sz w:val="20"/>
        </w:rPr>
        <w:t> </w:t>
      </w:r>
      <w:r>
        <w:rPr>
          <w:sz w:val="20"/>
        </w:rPr>
        <w:t>assigning staff</w:t>
      </w:r>
      <w:r>
        <w:rPr>
          <w:spacing w:val="-8"/>
          <w:sz w:val="20"/>
        </w:rPr>
        <w:t> </w:t>
      </w:r>
      <w:r>
        <w:rPr>
          <w:sz w:val="20"/>
        </w:rPr>
        <w:t>interpreters</w:t>
      </w:r>
      <w:r>
        <w:rPr>
          <w:spacing w:val="-5"/>
          <w:sz w:val="20"/>
        </w:rPr>
        <w:t> </w:t>
      </w:r>
      <w:r>
        <w:rPr>
          <w:sz w:val="20"/>
        </w:rPr>
        <w:t>(Sango,</w:t>
      </w:r>
      <w:r>
        <w:rPr>
          <w:spacing w:val="-1"/>
          <w:sz w:val="20"/>
        </w:rPr>
        <w:t> </w:t>
      </w:r>
      <w:r>
        <w:rPr>
          <w:sz w:val="20"/>
        </w:rPr>
        <w:t>Arabic)</w:t>
      </w:r>
      <w:r>
        <w:rPr>
          <w:spacing w:val="-4"/>
          <w:sz w:val="20"/>
        </w:rPr>
        <w:t> </w:t>
      </w:r>
      <w:r>
        <w:rPr>
          <w:sz w:val="20"/>
        </w:rPr>
        <w:t>to translations</w:t>
      </w:r>
      <w:r>
        <w:rPr>
          <w:spacing w:val="-5"/>
          <w:sz w:val="20"/>
        </w:rPr>
        <w:t> </w:t>
      </w:r>
      <w:r>
        <w:rPr>
          <w:sz w:val="20"/>
        </w:rPr>
        <w:t>from</w:t>
      </w:r>
      <w:r>
        <w:rPr>
          <w:spacing w:val="-2"/>
          <w:sz w:val="20"/>
        </w:rPr>
        <w:t> </w:t>
      </w:r>
      <w:r>
        <w:rPr>
          <w:sz w:val="20"/>
        </w:rPr>
        <w:t>/</w:t>
      </w:r>
      <w:r>
        <w:rPr>
          <w:spacing w:val="-2"/>
          <w:sz w:val="20"/>
        </w:rPr>
        <w:t> </w:t>
      </w:r>
      <w:r>
        <w:rPr>
          <w:sz w:val="20"/>
        </w:rPr>
        <w:t>into</w:t>
      </w:r>
      <w:r>
        <w:rPr>
          <w:spacing w:val="-4"/>
          <w:sz w:val="20"/>
        </w:rPr>
        <w:t> </w:t>
      </w:r>
      <w:r>
        <w:rPr>
          <w:sz w:val="20"/>
        </w:rPr>
        <w:t>Sango or Arabic whenever their schedule allows. The Unit outsources language combinations that cannot be provided by in-house LSS language staff.</w:t>
      </w:r>
    </w:p>
    <w:p>
      <w:pPr>
        <w:pStyle w:val="BodyText"/>
        <w:spacing w:before="10"/>
      </w:pPr>
    </w:p>
    <w:p>
      <w:pPr>
        <w:tabs>
          <w:tab w:pos="8383" w:val="left" w:leader="none"/>
        </w:tabs>
        <w:spacing w:before="0"/>
        <w:ind w:left="2246" w:right="0" w:firstLine="0"/>
        <w:jc w:val="both"/>
        <w:rPr>
          <w:i/>
          <w:sz w:val="20"/>
        </w:rPr>
      </w:pPr>
      <w:r>
        <w:rPr>
          <w:i/>
          <w:spacing w:val="-2"/>
          <w:sz w:val="20"/>
        </w:rPr>
        <w:t>Overtime</w:t>
      </w:r>
      <w:r>
        <w:rPr>
          <w:i/>
          <w:sz w:val="20"/>
        </w:rPr>
        <w:tab/>
        <w:t>€20.0</w:t>
      </w:r>
      <w:r>
        <w:rPr>
          <w:i/>
          <w:spacing w:val="-3"/>
          <w:sz w:val="20"/>
        </w:rPr>
        <w:t> </w:t>
      </w:r>
      <w:r>
        <w:rPr>
          <w:i/>
          <w:spacing w:val="-2"/>
          <w:sz w:val="20"/>
        </w:rPr>
        <w:t>thousand</w:t>
      </w:r>
    </w:p>
    <w:p>
      <w:pPr>
        <w:pStyle w:val="BodyText"/>
        <w:spacing w:before="10"/>
        <w:rPr>
          <w:i/>
        </w:rPr>
      </w:pPr>
    </w:p>
    <w:p>
      <w:pPr>
        <w:pStyle w:val="ListParagraph"/>
        <w:numPr>
          <w:ilvl w:val="0"/>
          <w:numId w:val="4"/>
        </w:numPr>
        <w:tabs>
          <w:tab w:pos="2967" w:val="left" w:leader="none"/>
        </w:tabs>
        <w:spacing w:line="240" w:lineRule="auto" w:before="0" w:after="0"/>
        <w:ind w:left="2246" w:right="2243" w:firstLine="0"/>
        <w:jc w:val="both"/>
        <w:rPr>
          <w:sz w:val="20"/>
        </w:rPr>
      </w:pPr>
      <w:r>
        <w:rPr>
          <w:sz w:val="20"/>
        </w:rPr>
        <w:t>The</w:t>
      </w:r>
      <w:r>
        <w:rPr>
          <w:spacing w:val="-8"/>
          <w:sz w:val="20"/>
        </w:rPr>
        <w:t> </w:t>
      </w:r>
      <w:r>
        <w:rPr>
          <w:sz w:val="20"/>
        </w:rPr>
        <w:t>proposed</w:t>
      </w:r>
      <w:r>
        <w:rPr>
          <w:spacing w:val="-9"/>
          <w:sz w:val="20"/>
        </w:rPr>
        <w:t> </w:t>
      </w:r>
      <w:r>
        <w:rPr>
          <w:sz w:val="20"/>
        </w:rPr>
        <w:t>amount</w:t>
      </w:r>
      <w:r>
        <w:rPr>
          <w:spacing w:val="-8"/>
          <w:sz w:val="20"/>
        </w:rPr>
        <w:t> </w:t>
      </w:r>
      <w:r>
        <w:rPr>
          <w:sz w:val="20"/>
        </w:rPr>
        <w:t>is</w:t>
      </w:r>
      <w:r>
        <w:rPr>
          <w:spacing w:val="-11"/>
          <w:sz w:val="20"/>
        </w:rPr>
        <w:t> </w:t>
      </w:r>
      <w:r>
        <w:rPr>
          <w:sz w:val="20"/>
        </w:rPr>
        <w:t>attributable</w:t>
      </w:r>
      <w:r>
        <w:rPr>
          <w:spacing w:val="-12"/>
          <w:sz w:val="20"/>
        </w:rPr>
        <w:t> </w:t>
      </w:r>
      <w:r>
        <w:rPr>
          <w:sz w:val="20"/>
        </w:rPr>
        <w:t>to</w:t>
      </w:r>
      <w:r>
        <w:rPr>
          <w:spacing w:val="-9"/>
          <w:sz w:val="20"/>
        </w:rPr>
        <w:t> </w:t>
      </w:r>
      <w:r>
        <w:rPr>
          <w:sz w:val="20"/>
        </w:rPr>
        <w:t>IMSS</w:t>
      </w:r>
      <w:r>
        <w:rPr>
          <w:spacing w:val="-11"/>
          <w:sz w:val="20"/>
        </w:rPr>
        <w:t> </w:t>
      </w:r>
      <w:r>
        <w:rPr>
          <w:sz w:val="20"/>
        </w:rPr>
        <w:t>and</w:t>
      </w:r>
      <w:r>
        <w:rPr>
          <w:spacing w:val="-9"/>
          <w:sz w:val="20"/>
        </w:rPr>
        <w:t> </w:t>
      </w:r>
      <w:r>
        <w:rPr>
          <w:sz w:val="20"/>
        </w:rPr>
        <w:t>remains</w:t>
      </w:r>
      <w:r>
        <w:rPr>
          <w:spacing w:val="-11"/>
          <w:sz w:val="20"/>
        </w:rPr>
        <w:t> </w:t>
      </w:r>
      <w:r>
        <w:rPr>
          <w:sz w:val="20"/>
        </w:rPr>
        <w:t>unchanged</w:t>
      </w:r>
      <w:r>
        <w:rPr>
          <w:spacing w:val="-9"/>
          <w:sz w:val="20"/>
        </w:rPr>
        <w:t> </w:t>
      </w:r>
      <w:r>
        <w:rPr>
          <w:sz w:val="20"/>
        </w:rPr>
        <w:t>from</w:t>
      </w:r>
      <w:r>
        <w:rPr>
          <w:spacing w:val="-8"/>
          <w:sz w:val="20"/>
        </w:rPr>
        <w:t> </w:t>
      </w:r>
      <w:r>
        <w:rPr>
          <w:sz w:val="20"/>
        </w:rPr>
        <w:t>the</w:t>
      </w:r>
      <w:r>
        <w:rPr>
          <w:spacing w:val="-8"/>
          <w:sz w:val="20"/>
        </w:rPr>
        <w:t> </w:t>
      </w:r>
      <w:r>
        <w:rPr>
          <w:sz w:val="20"/>
        </w:rPr>
        <w:t>2022 approved budget. The resources</w:t>
      </w:r>
      <w:r>
        <w:rPr>
          <w:spacing w:val="-1"/>
          <w:sz w:val="20"/>
        </w:rPr>
        <w:t> </w:t>
      </w:r>
      <w:r>
        <w:rPr>
          <w:sz w:val="20"/>
        </w:rPr>
        <w:t>continue to be required to accommodate IMSS’s enhanced information security practice of vulnerability scanning across the Court’s IT infrastructure, which</w:t>
      </w:r>
      <w:r>
        <w:rPr>
          <w:spacing w:val="-9"/>
          <w:sz w:val="20"/>
        </w:rPr>
        <w:t> </w:t>
      </w:r>
      <w:r>
        <w:rPr>
          <w:sz w:val="20"/>
        </w:rPr>
        <w:t>requires</w:t>
      </w:r>
      <w:r>
        <w:rPr>
          <w:spacing w:val="-11"/>
          <w:sz w:val="20"/>
        </w:rPr>
        <w:t> </w:t>
      </w:r>
      <w:r>
        <w:rPr>
          <w:sz w:val="20"/>
        </w:rPr>
        <w:t>additional</w:t>
      </w:r>
      <w:r>
        <w:rPr>
          <w:spacing w:val="-8"/>
          <w:sz w:val="20"/>
        </w:rPr>
        <w:t> </w:t>
      </w:r>
      <w:r>
        <w:rPr>
          <w:sz w:val="20"/>
        </w:rPr>
        <w:t>out-of-hours</w:t>
      </w:r>
      <w:r>
        <w:rPr>
          <w:spacing w:val="-11"/>
          <w:sz w:val="20"/>
        </w:rPr>
        <w:t> </w:t>
      </w:r>
      <w:r>
        <w:rPr>
          <w:sz w:val="20"/>
        </w:rPr>
        <w:t>maintenance</w:t>
      </w:r>
      <w:r>
        <w:rPr>
          <w:spacing w:val="-3"/>
          <w:sz w:val="20"/>
        </w:rPr>
        <w:t> </w:t>
      </w:r>
      <w:r>
        <w:rPr>
          <w:sz w:val="20"/>
        </w:rPr>
        <w:t>by</w:t>
      </w:r>
      <w:r>
        <w:rPr>
          <w:spacing w:val="-9"/>
          <w:sz w:val="20"/>
        </w:rPr>
        <w:t> </w:t>
      </w:r>
      <w:r>
        <w:rPr>
          <w:sz w:val="20"/>
        </w:rPr>
        <w:t>technicians,</w:t>
      </w:r>
      <w:r>
        <w:rPr>
          <w:spacing w:val="-7"/>
          <w:sz w:val="20"/>
        </w:rPr>
        <w:t> </w:t>
      </w:r>
      <w:r>
        <w:rPr>
          <w:sz w:val="20"/>
        </w:rPr>
        <w:t>as</w:t>
      </w:r>
      <w:r>
        <w:rPr>
          <w:spacing w:val="-6"/>
          <w:sz w:val="20"/>
        </w:rPr>
        <w:t> </w:t>
      </w:r>
      <w:r>
        <w:rPr>
          <w:sz w:val="20"/>
        </w:rPr>
        <w:t>well</w:t>
      </w:r>
      <w:r>
        <w:rPr>
          <w:spacing w:val="-8"/>
          <w:sz w:val="20"/>
        </w:rPr>
        <w:t> </w:t>
      </w:r>
      <w:r>
        <w:rPr>
          <w:sz w:val="20"/>
        </w:rPr>
        <w:t>as</w:t>
      </w:r>
      <w:r>
        <w:rPr>
          <w:spacing w:val="-6"/>
          <w:sz w:val="20"/>
        </w:rPr>
        <w:t> </w:t>
      </w:r>
      <w:r>
        <w:rPr>
          <w:sz w:val="20"/>
        </w:rPr>
        <w:t>to</w:t>
      </w:r>
      <w:r>
        <w:rPr>
          <w:spacing w:val="-9"/>
          <w:sz w:val="20"/>
        </w:rPr>
        <w:t> </w:t>
      </w:r>
      <w:r>
        <w:rPr>
          <w:sz w:val="20"/>
        </w:rPr>
        <w:t>compensate staff</w:t>
      </w:r>
      <w:r>
        <w:rPr>
          <w:spacing w:val="-4"/>
          <w:sz w:val="20"/>
        </w:rPr>
        <w:t> </w:t>
      </w:r>
      <w:r>
        <w:rPr>
          <w:sz w:val="20"/>
        </w:rPr>
        <w:t>needed</w:t>
      </w:r>
      <w:r>
        <w:rPr>
          <w:spacing w:val="-4"/>
          <w:sz w:val="20"/>
        </w:rPr>
        <w:t> </w:t>
      </w:r>
      <w:r>
        <w:rPr>
          <w:sz w:val="20"/>
        </w:rPr>
        <w:t>to</w:t>
      </w:r>
      <w:r>
        <w:rPr>
          <w:spacing w:val="-4"/>
          <w:sz w:val="20"/>
        </w:rPr>
        <w:t> </w:t>
      </w:r>
      <w:r>
        <w:rPr>
          <w:sz w:val="20"/>
        </w:rPr>
        <w:t>complete</w:t>
      </w:r>
      <w:r>
        <w:rPr>
          <w:spacing w:val="-2"/>
          <w:sz w:val="20"/>
        </w:rPr>
        <w:t> </w:t>
      </w:r>
      <w:r>
        <w:rPr>
          <w:sz w:val="20"/>
        </w:rPr>
        <w:t>complex</w:t>
      </w:r>
      <w:r>
        <w:rPr>
          <w:spacing w:val="-4"/>
          <w:sz w:val="20"/>
        </w:rPr>
        <w:t> </w:t>
      </w:r>
      <w:r>
        <w:rPr>
          <w:sz w:val="20"/>
        </w:rPr>
        <w:t>work</w:t>
      </w:r>
      <w:r>
        <w:rPr>
          <w:spacing w:val="-4"/>
          <w:sz w:val="20"/>
        </w:rPr>
        <w:t> </w:t>
      </w:r>
      <w:r>
        <w:rPr>
          <w:sz w:val="20"/>
        </w:rPr>
        <w:t>such</w:t>
      </w:r>
      <w:r>
        <w:rPr>
          <w:spacing w:val="-4"/>
          <w:sz w:val="20"/>
        </w:rPr>
        <w:t> </w:t>
      </w:r>
      <w:r>
        <w:rPr>
          <w:sz w:val="20"/>
        </w:rPr>
        <w:t>as upgrades</w:t>
      </w:r>
      <w:r>
        <w:rPr>
          <w:spacing w:val="-5"/>
          <w:sz w:val="20"/>
        </w:rPr>
        <w:t> </w:t>
      </w:r>
      <w:r>
        <w:rPr>
          <w:sz w:val="20"/>
        </w:rPr>
        <w:t>to</w:t>
      </w:r>
      <w:r>
        <w:rPr>
          <w:spacing w:val="-4"/>
          <w:sz w:val="20"/>
        </w:rPr>
        <w:t> </w:t>
      </w:r>
      <w:r>
        <w:rPr>
          <w:sz w:val="20"/>
        </w:rPr>
        <w:t>core</w:t>
      </w:r>
      <w:r>
        <w:rPr>
          <w:spacing w:val="-2"/>
          <w:sz w:val="20"/>
        </w:rPr>
        <w:t> </w:t>
      </w:r>
      <w:r>
        <w:rPr>
          <w:sz w:val="20"/>
        </w:rPr>
        <w:t>Court systems and</w:t>
      </w:r>
      <w:r>
        <w:rPr>
          <w:spacing w:val="-4"/>
          <w:sz w:val="20"/>
        </w:rPr>
        <w:t> </w:t>
      </w:r>
      <w:r>
        <w:rPr>
          <w:sz w:val="20"/>
        </w:rPr>
        <w:t>security fixes</w:t>
      </w:r>
      <w:r>
        <w:rPr>
          <w:spacing w:val="-3"/>
          <w:sz w:val="20"/>
        </w:rPr>
        <w:t> </w:t>
      </w:r>
      <w:r>
        <w:rPr>
          <w:sz w:val="20"/>
        </w:rPr>
        <w:t>that can only</w:t>
      </w:r>
      <w:r>
        <w:rPr>
          <w:spacing w:val="-2"/>
          <w:sz w:val="20"/>
        </w:rPr>
        <w:t> </w:t>
      </w:r>
      <w:r>
        <w:rPr>
          <w:sz w:val="20"/>
        </w:rPr>
        <w:t>be performed</w:t>
      </w:r>
      <w:r>
        <w:rPr>
          <w:spacing w:val="-2"/>
          <w:sz w:val="20"/>
        </w:rPr>
        <w:t> </w:t>
      </w:r>
      <w:r>
        <w:rPr>
          <w:sz w:val="20"/>
        </w:rPr>
        <w:t>outside business hours so</w:t>
      </w:r>
      <w:r>
        <w:rPr>
          <w:spacing w:val="-2"/>
          <w:sz w:val="20"/>
        </w:rPr>
        <w:t> </w:t>
      </w:r>
      <w:r>
        <w:rPr>
          <w:sz w:val="20"/>
        </w:rPr>
        <w:t>as</w:t>
      </w:r>
      <w:r>
        <w:rPr>
          <w:spacing w:val="-3"/>
          <w:sz w:val="20"/>
        </w:rPr>
        <w:t> </w:t>
      </w:r>
      <w:r>
        <w:rPr>
          <w:sz w:val="20"/>
        </w:rPr>
        <w:t>not to disrupt Court activities.</w:t>
      </w:r>
    </w:p>
    <w:p>
      <w:pPr>
        <w:pStyle w:val="BodyText"/>
        <w:spacing w:before="1"/>
        <w:rPr>
          <w:sz w:val="21"/>
        </w:rPr>
      </w:pPr>
    </w:p>
    <w:p>
      <w:pPr>
        <w:pStyle w:val="Heading3"/>
        <w:tabs>
          <w:tab w:pos="7980" w:val="left" w:leader="none"/>
        </w:tabs>
        <w:spacing w:before="1"/>
        <w:jc w:val="both"/>
      </w:pPr>
      <w:r>
        <w:rPr/>
        <w:t>Non-staff</w:t>
      </w:r>
      <w:r>
        <w:rPr>
          <w:spacing w:val="-4"/>
        </w:rPr>
        <w:t> </w:t>
      </w:r>
      <w:r>
        <w:rPr>
          <w:spacing w:val="-2"/>
        </w:rPr>
        <w:t>resources</w:t>
      </w:r>
      <w:r>
        <w:rPr/>
        <w:tab/>
        <w:t>€17,309.4</w:t>
      </w:r>
      <w:r>
        <w:rPr>
          <w:spacing w:val="-6"/>
        </w:rPr>
        <w:t> </w:t>
      </w:r>
      <w:r>
        <w:rPr>
          <w:spacing w:val="-2"/>
        </w:rPr>
        <w:t>thousand</w:t>
      </w:r>
    </w:p>
    <w:p>
      <w:pPr>
        <w:pStyle w:val="BodyText"/>
        <w:spacing w:before="10"/>
        <w:rPr>
          <w:b/>
        </w:rPr>
      </w:pPr>
    </w:p>
    <w:p>
      <w:pPr>
        <w:pStyle w:val="ListParagraph"/>
        <w:numPr>
          <w:ilvl w:val="0"/>
          <w:numId w:val="4"/>
        </w:numPr>
        <w:tabs>
          <w:tab w:pos="2967" w:val="left" w:leader="none"/>
        </w:tabs>
        <w:spacing w:line="240" w:lineRule="auto" w:before="0" w:after="0"/>
        <w:ind w:left="2246" w:right="2239" w:firstLine="0"/>
        <w:jc w:val="both"/>
        <w:rPr>
          <w:sz w:val="20"/>
        </w:rPr>
      </w:pPr>
      <w:r>
        <w:rPr>
          <w:sz w:val="20"/>
        </w:rPr>
        <w:t>The proposed net increase in non-staff resources amounts to €1,849.9 thousand (12.0 percent). Of that increase, €329.0 thousand is the result of price index increases in travel, goods and services as a result of inflation. The increase is mostly driven by the additional</w:t>
      </w:r>
      <w:r>
        <w:rPr>
          <w:spacing w:val="-13"/>
          <w:sz w:val="20"/>
        </w:rPr>
        <w:t> </w:t>
      </w:r>
      <w:r>
        <w:rPr>
          <w:sz w:val="20"/>
        </w:rPr>
        <w:t>€980.0</w:t>
      </w:r>
      <w:r>
        <w:rPr>
          <w:spacing w:val="-12"/>
          <w:sz w:val="20"/>
        </w:rPr>
        <w:t> </w:t>
      </w:r>
      <w:r>
        <w:rPr>
          <w:sz w:val="20"/>
        </w:rPr>
        <w:t>thousand</w:t>
      </w:r>
      <w:r>
        <w:rPr>
          <w:spacing w:val="-13"/>
          <w:sz w:val="20"/>
        </w:rPr>
        <w:t> </w:t>
      </w:r>
      <w:r>
        <w:rPr>
          <w:sz w:val="20"/>
        </w:rPr>
        <w:t>required</w:t>
      </w:r>
      <w:r>
        <w:rPr>
          <w:spacing w:val="-12"/>
          <w:sz w:val="20"/>
        </w:rPr>
        <w:t> </w:t>
      </w:r>
      <w:r>
        <w:rPr>
          <w:sz w:val="20"/>
        </w:rPr>
        <w:t>in</w:t>
      </w:r>
      <w:r>
        <w:rPr>
          <w:spacing w:val="-13"/>
          <w:sz w:val="20"/>
        </w:rPr>
        <w:t> </w:t>
      </w:r>
      <w:r>
        <w:rPr>
          <w:sz w:val="20"/>
        </w:rPr>
        <w:t>IMSS</w:t>
      </w:r>
      <w:r>
        <w:rPr>
          <w:spacing w:val="-10"/>
          <w:sz w:val="20"/>
        </w:rPr>
        <w:t> </w:t>
      </w:r>
      <w:r>
        <w:rPr>
          <w:sz w:val="20"/>
        </w:rPr>
        <w:t>for</w:t>
      </w:r>
      <w:r>
        <w:rPr>
          <w:spacing w:val="-13"/>
          <w:sz w:val="20"/>
        </w:rPr>
        <w:t> </w:t>
      </w:r>
      <w:r>
        <w:rPr>
          <w:sz w:val="20"/>
        </w:rPr>
        <w:t>IT</w:t>
      </w:r>
      <w:r>
        <w:rPr>
          <w:spacing w:val="-12"/>
          <w:sz w:val="20"/>
        </w:rPr>
        <w:t> </w:t>
      </w:r>
      <w:r>
        <w:rPr>
          <w:sz w:val="20"/>
        </w:rPr>
        <w:t>capital</w:t>
      </w:r>
      <w:r>
        <w:rPr>
          <w:spacing w:val="-12"/>
          <w:sz w:val="20"/>
        </w:rPr>
        <w:t> </w:t>
      </w:r>
      <w:r>
        <w:rPr>
          <w:sz w:val="20"/>
        </w:rPr>
        <w:t>replacement</w:t>
      </w:r>
      <w:r>
        <w:rPr>
          <w:spacing w:val="-12"/>
          <w:sz w:val="20"/>
        </w:rPr>
        <w:t> </w:t>
      </w:r>
      <w:r>
        <w:rPr>
          <w:sz w:val="20"/>
        </w:rPr>
        <w:t>to</w:t>
      </w:r>
      <w:r>
        <w:rPr>
          <w:spacing w:val="-6"/>
          <w:sz w:val="20"/>
        </w:rPr>
        <w:t> </w:t>
      </w:r>
      <w:r>
        <w:rPr>
          <w:sz w:val="20"/>
        </w:rPr>
        <w:t>replace</w:t>
      </w:r>
      <w:r>
        <w:rPr>
          <w:spacing w:val="-11"/>
          <w:sz w:val="20"/>
        </w:rPr>
        <w:t> </w:t>
      </w:r>
      <w:r>
        <w:rPr>
          <w:sz w:val="20"/>
        </w:rPr>
        <w:t>end-of-life hardware,</w:t>
      </w:r>
      <w:r>
        <w:rPr>
          <w:spacing w:val="-6"/>
          <w:sz w:val="20"/>
        </w:rPr>
        <w:t> </w:t>
      </w:r>
      <w:r>
        <w:rPr>
          <w:sz w:val="20"/>
        </w:rPr>
        <w:t>including</w:t>
      </w:r>
      <w:r>
        <w:rPr>
          <w:spacing w:val="-12"/>
          <w:sz w:val="20"/>
        </w:rPr>
        <w:t> </w:t>
      </w:r>
      <w:r>
        <w:rPr>
          <w:sz w:val="20"/>
        </w:rPr>
        <w:t>critical</w:t>
      </w:r>
      <w:r>
        <w:rPr>
          <w:spacing w:val="-7"/>
          <w:sz w:val="20"/>
        </w:rPr>
        <w:t> </w:t>
      </w:r>
      <w:r>
        <w:rPr>
          <w:sz w:val="20"/>
        </w:rPr>
        <w:t>end-of-life</w:t>
      </w:r>
      <w:r>
        <w:rPr>
          <w:spacing w:val="-11"/>
          <w:sz w:val="20"/>
        </w:rPr>
        <w:t> </w:t>
      </w:r>
      <w:r>
        <w:rPr>
          <w:sz w:val="20"/>
        </w:rPr>
        <w:t>infrastructure</w:t>
      </w:r>
      <w:r>
        <w:rPr>
          <w:spacing w:val="-7"/>
          <w:sz w:val="20"/>
        </w:rPr>
        <w:t> </w:t>
      </w:r>
      <w:r>
        <w:rPr>
          <w:sz w:val="20"/>
        </w:rPr>
        <w:t>in</w:t>
      </w:r>
      <w:r>
        <w:rPr>
          <w:spacing w:val="-13"/>
          <w:sz w:val="20"/>
        </w:rPr>
        <w:t> </w:t>
      </w:r>
      <w:r>
        <w:rPr>
          <w:sz w:val="20"/>
        </w:rPr>
        <w:t>the</w:t>
      </w:r>
      <w:r>
        <w:rPr>
          <w:spacing w:val="-10"/>
          <w:sz w:val="20"/>
        </w:rPr>
        <w:t> </w:t>
      </w:r>
      <w:r>
        <w:rPr>
          <w:sz w:val="20"/>
        </w:rPr>
        <w:t>data</w:t>
      </w:r>
      <w:r>
        <w:rPr>
          <w:spacing w:val="-11"/>
          <w:sz w:val="20"/>
        </w:rPr>
        <w:t> </w:t>
      </w:r>
      <w:r>
        <w:rPr>
          <w:sz w:val="20"/>
        </w:rPr>
        <w:t>centre,</w:t>
      </w:r>
      <w:r>
        <w:rPr>
          <w:spacing w:val="-11"/>
          <w:sz w:val="20"/>
        </w:rPr>
        <w:t> </w:t>
      </w:r>
      <w:r>
        <w:rPr>
          <w:sz w:val="20"/>
        </w:rPr>
        <w:t>courtroom</w:t>
      </w:r>
      <w:r>
        <w:rPr>
          <w:spacing w:val="-7"/>
          <w:sz w:val="20"/>
        </w:rPr>
        <w:t> </w:t>
      </w:r>
      <w:r>
        <w:rPr>
          <w:sz w:val="20"/>
        </w:rPr>
        <w:t>hardware, including the replacement of end-of-life workstations in two courtrooms, and network infrastructure. As explained below, an additional €119.8 thousand is required in 2023 in non-staff</w:t>
      </w:r>
      <w:r>
        <w:rPr>
          <w:spacing w:val="-3"/>
          <w:sz w:val="20"/>
        </w:rPr>
        <w:t> </w:t>
      </w:r>
      <w:r>
        <w:rPr>
          <w:sz w:val="20"/>
        </w:rPr>
        <w:t>costs</w:t>
      </w:r>
      <w:r>
        <w:rPr>
          <w:spacing w:val="-4"/>
          <w:sz w:val="20"/>
        </w:rPr>
        <w:t> </w:t>
      </w:r>
      <w:r>
        <w:rPr>
          <w:sz w:val="20"/>
        </w:rPr>
        <w:t>for</w:t>
      </w:r>
      <w:r>
        <w:rPr>
          <w:spacing w:val="-3"/>
          <w:sz w:val="20"/>
        </w:rPr>
        <w:t> </w:t>
      </w:r>
      <w:r>
        <w:rPr>
          <w:sz w:val="20"/>
        </w:rPr>
        <w:t>the</w:t>
      </w:r>
      <w:r>
        <w:rPr>
          <w:spacing w:val="-1"/>
          <w:sz w:val="20"/>
        </w:rPr>
        <w:t> </w:t>
      </w:r>
      <w:r>
        <w:rPr>
          <w:sz w:val="20"/>
        </w:rPr>
        <w:t>IT/IM</w:t>
      </w:r>
      <w:r>
        <w:rPr>
          <w:spacing w:val="-4"/>
          <w:sz w:val="20"/>
        </w:rPr>
        <w:t> </w:t>
      </w:r>
      <w:r>
        <w:rPr>
          <w:sz w:val="20"/>
        </w:rPr>
        <w:t>Strategy. A</w:t>
      </w:r>
      <w:r>
        <w:rPr>
          <w:spacing w:val="-4"/>
          <w:sz w:val="20"/>
        </w:rPr>
        <w:t> </w:t>
      </w:r>
      <w:r>
        <w:rPr>
          <w:sz w:val="20"/>
        </w:rPr>
        <w:t>net</w:t>
      </w:r>
      <w:r>
        <w:rPr>
          <w:spacing w:val="-1"/>
          <w:sz w:val="20"/>
        </w:rPr>
        <w:t> </w:t>
      </w:r>
      <w:r>
        <w:rPr>
          <w:sz w:val="20"/>
        </w:rPr>
        <w:t>increase</w:t>
      </w:r>
      <w:r>
        <w:rPr>
          <w:spacing w:val="-1"/>
          <w:sz w:val="20"/>
        </w:rPr>
        <w:t> </w:t>
      </w:r>
      <w:r>
        <w:rPr>
          <w:sz w:val="20"/>
        </w:rPr>
        <w:t>of</w:t>
      </w:r>
      <w:r>
        <w:rPr>
          <w:spacing w:val="-3"/>
          <w:sz w:val="20"/>
        </w:rPr>
        <w:t> </w:t>
      </w:r>
      <w:r>
        <w:rPr>
          <w:sz w:val="20"/>
        </w:rPr>
        <w:t>€424.1</w:t>
      </w:r>
      <w:r>
        <w:rPr>
          <w:spacing w:val="-3"/>
          <w:sz w:val="20"/>
        </w:rPr>
        <w:t> </w:t>
      </w:r>
      <w:r>
        <w:rPr>
          <w:sz w:val="20"/>
        </w:rPr>
        <w:t>thousand</w:t>
      </w:r>
      <w:r>
        <w:rPr>
          <w:spacing w:val="-3"/>
          <w:sz w:val="20"/>
        </w:rPr>
        <w:t> </w:t>
      </w:r>
      <w:r>
        <w:rPr>
          <w:sz w:val="20"/>
        </w:rPr>
        <w:t>is</w:t>
      </w:r>
      <w:r>
        <w:rPr>
          <w:spacing w:val="-4"/>
          <w:sz w:val="20"/>
        </w:rPr>
        <w:t> </w:t>
      </w:r>
      <w:r>
        <w:rPr>
          <w:sz w:val="20"/>
        </w:rPr>
        <w:t>required</w:t>
      </w:r>
      <w:r>
        <w:rPr>
          <w:spacing w:val="-3"/>
          <w:sz w:val="20"/>
        </w:rPr>
        <w:t> </w:t>
      </w:r>
      <w:r>
        <w:rPr>
          <w:sz w:val="20"/>
        </w:rPr>
        <w:t>in</w:t>
      </w:r>
      <w:r>
        <w:rPr>
          <w:spacing w:val="-3"/>
          <w:sz w:val="20"/>
        </w:rPr>
        <w:t> </w:t>
      </w:r>
      <w:r>
        <w:rPr>
          <w:sz w:val="20"/>
        </w:rPr>
        <w:t>legal aid</w:t>
      </w:r>
      <w:r>
        <w:rPr>
          <w:spacing w:val="-10"/>
          <w:sz w:val="20"/>
        </w:rPr>
        <w:t> </w:t>
      </w:r>
      <w:r>
        <w:rPr>
          <w:sz w:val="20"/>
        </w:rPr>
        <w:t>for</w:t>
      </w:r>
      <w:r>
        <w:rPr>
          <w:spacing w:val="-8"/>
          <w:sz w:val="20"/>
        </w:rPr>
        <w:t> </w:t>
      </w:r>
      <w:r>
        <w:rPr>
          <w:sz w:val="20"/>
        </w:rPr>
        <w:t>victims</w:t>
      </w:r>
      <w:r>
        <w:rPr>
          <w:spacing w:val="-9"/>
          <w:sz w:val="20"/>
        </w:rPr>
        <w:t> </w:t>
      </w:r>
      <w:r>
        <w:rPr>
          <w:sz w:val="20"/>
        </w:rPr>
        <w:t>as</w:t>
      </w:r>
      <w:r>
        <w:rPr>
          <w:spacing w:val="-13"/>
          <w:sz w:val="20"/>
        </w:rPr>
        <w:t> </w:t>
      </w:r>
      <w:r>
        <w:rPr>
          <w:sz w:val="20"/>
        </w:rPr>
        <w:t>a</w:t>
      </w:r>
      <w:r>
        <w:rPr>
          <w:spacing w:val="-7"/>
          <w:sz w:val="20"/>
        </w:rPr>
        <w:t> </w:t>
      </w:r>
      <w:r>
        <w:rPr>
          <w:sz w:val="20"/>
        </w:rPr>
        <w:t>result</w:t>
      </w:r>
      <w:r>
        <w:rPr>
          <w:spacing w:val="-12"/>
          <w:sz w:val="20"/>
        </w:rPr>
        <w:t> </w:t>
      </w:r>
      <w:r>
        <w:rPr>
          <w:sz w:val="20"/>
        </w:rPr>
        <w:t>of</w:t>
      </w:r>
      <w:r>
        <w:rPr>
          <w:spacing w:val="-8"/>
          <w:sz w:val="20"/>
        </w:rPr>
        <w:t> </w:t>
      </w:r>
      <w:r>
        <w:rPr>
          <w:sz w:val="20"/>
        </w:rPr>
        <w:t>the</w:t>
      </w:r>
      <w:r>
        <w:rPr>
          <w:spacing w:val="-12"/>
          <w:sz w:val="20"/>
        </w:rPr>
        <w:t> </w:t>
      </w:r>
      <w:r>
        <w:rPr>
          <w:sz w:val="20"/>
        </w:rPr>
        <w:t>application</w:t>
      </w:r>
      <w:r>
        <w:rPr>
          <w:spacing w:val="-13"/>
          <w:sz w:val="20"/>
        </w:rPr>
        <w:t> </w:t>
      </w:r>
      <w:r>
        <w:rPr>
          <w:sz w:val="20"/>
        </w:rPr>
        <w:t>of</w:t>
      </w:r>
      <w:r>
        <w:rPr>
          <w:spacing w:val="-8"/>
          <w:sz w:val="20"/>
        </w:rPr>
        <w:t> </w:t>
      </w:r>
      <w:r>
        <w:rPr>
          <w:sz w:val="20"/>
        </w:rPr>
        <w:t>the</w:t>
      </w:r>
      <w:r>
        <w:rPr>
          <w:spacing w:val="-7"/>
          <w:sz w:val="20"/>
        </w:rPr>
        <w:t> </w:t>
      </w:r>
      <w:r>
        <w:rPr>
          <w:sz w:val="20"/>
        </w:rPr>
        <w:t>Court’s</w:t>
      </w:r>
      <w:r>
        <w:rPr>
          <w:spacing w:val="-10"/>
          <w:sz w:val="20"/>
        </w:rPr>
        <w:t> </w:t>
      </w:r>
      <w:r>
        <w:rPr>
          <w:sz w:val="20"/>
        </w:rPr>
        <w:t>legal</w:t>
      </w:r>
      <w:r>
        <w:rPr>
          <w:spacing w:val="-12"/>
          <w:sz w:val="20"/>
        </w:rPr>
        <w:t> </w:t>
      </w:r>
      <w:r>
        <w:rPr>
          <w:sz w:val="20"/>
        </w:rPr>
        <w:t>aid</w:t>
      </w:r>
      <w:r>
        <w:rPr>
          <w:spacing w:val="-8"/>
          <w:sz w:val="20"/>
        </w:rPr>
        <w:t> </w:t>
      </w:r>
      <w:r>
        <w:rPr>
          <w:sz w:val="20"/>
        </w:rPr>
        <w:t>system</w:t>
      </w:r>
      <w:r>
        <w:rPr>
          <w:spacing w:val="-7"/>
          <w:sz w:val="20"/>
        </w:rPr>
        <w:t> </w:t>
      </w:r>
      <w:r>
        <w:rPr>
          <w:sz w:val="20"/>
        </w:rPr>
        <w:t>to</w:t>
      </w:r>
      <w:r>
        <w:rPr>
          <w:spacing w:val="-8"/>
          <w:sz w:val="20"/>
        </w:rPr>
        <w:t> </w:t>
      </w:r>
      <w:r>
        <w:rPr>
          <w:sz w:val="20"/>
        </w:rPr>
        <w:t>planned</w:t>
      </w:r>
      <w:r>
        <w:rPr>
          <w:spacing w:val="-13"/>
          <w:sz w:val="20"/>
        </w:rPr>
        <w:t> </w:t>
      </w:r>
      <w:r>
        <w:rPr>
          <w:sz w:val="20"/>
        </w:rPr>
        <w:t>judicial activities and related assumptions for 2023. An increase of €499.8 thousand is required in regard to detention costs for the rental of an additional block of six cells on account of the increase in the number of suspects, accused or convicted persons in detention. These increases have been partially offset by reductions and savings throughout the Division, and in particular in the non-staff IMSS proposed budget, mostly in relation to continued improvements in the management of the lights-on costs.</w:t>
      </w:r>
    </w:p>
    <w:p>
      <w:pPr>
        <w:pStyle w:val="BodyText"/>
        <w:spacing w:before="8"/>
      </w:pPr>
    </w:p>
    <w:p>
      <w:pPr>
        <w:tabs>
          <w:tab w:pos="8282" w:val="left" w:leader="none"/>
        </w:tabs>
        <w:spacing w:before="0"/>
        <w:ind w:left="2246" w:right="0" w:firstLine="0"/>
        <w:jc w:val="both"/>
        <w:rPr>
          <w:i/>
          <w:sz w:val="20"/>
        </w:rPr>
      </w:pPr>
      <w:r>
        <w:rPr>
          <w:i/>
          <w:spacing w:val="-2"/>
          <w:sz w:val="20"/>
        </w:rPr>
        <w:t>Travel</w:t>
      </w:r>
      <w:r>
        <w:rPr>
          <w:i/>
          <w:sz w:val="20"/>
        </w:rPr>
        <w:tab/>
        <w:t>€596.6</w:t>
      </w:r>
      <w:r>
        <w:rPr>
          <w:i/>
          <w:spacing w:val="-3"/>
          <w:sz w:val="20"/>
        </w:rPr>
        <w:t> </w:t>
      </w:r>
      <w:r>
        <w:rPr>
          <w:i/>
          <w:spacing w:val="-2"/>
          <w:sz w:val="20"/>
        </w:rPr>
        <w:t>thousand</w:t>
      </w:r>
    </w:p>
    <w:p>
      <w:pPr>
        <w:pStyle w:val="BodyText"/>
        <w:spacing w:before="10"/>
        <w:rPr>
          <w:i/>
        </w:rPr>
      </w:pPr>
    </w:p>
    <w:p>
      <w:pPr>
        <w:pStyle w:val="ListParagraph"/>
        <w:numPr>
          <w:ilvl w:val="0"/>
          <w:numId w:val="4"/>
        </w:numPr>
        <w:tabs>
          <w:tab w:pos="2967" w:val="left" w:leader="none"/>
        </w:tabs>
        <w:spacing w:line="240" w:lineRule="auto" w:before="0" w:after="0"/>
        <w:ind w:left="2246" w:right="2240" w:firstLine="0"/>
        <w:jc w:val="both"/>
        <w:rPr>
          <w:sz w:val="20"/>
        </w:rPr>
      </w:pPr>
      <w:r>
        <w:rPr>
          <w:sz w:val="20"/>
        </w:rPr>
        <w:t>The</w:t>
      </w:r>
      <w:r>
        <w:rPr>
          <w:spacing w:val="80"/>
          <w:sz w:val="20"/>
        </w:rPr>
        <w:t> </w:t>
      </w:r>
      <w:r>
        <w:rPr>
          <w:sz w:val="20"/>
        </w:rPr>
        <w:t>resources</w:t>
      </w:r>
      <w:r>
        <w:rPr>
          <w:spacing w:val="80"/>
          <w:sz w:val="20"/>
        </w:rPr>
        <w:t> </w:t>
      </w:r>
      <w:r>
        <w:rPr>
          <w:sz w:val="20"/>
        </w:rPr>
        <w:t>requested</w:t>
      </w:r>
      <w:r>
        <w:rPr>
          <w:spacing w:val="80"/>
          <w:sz w:val="20"/>
        </w:rPr>
        <w:t> </w:t>
      </w:r>
      <w:r>
        <w:rPr>
          <w:sz w:val="20"/>
        </w:rPr>
        <w:t>for</w:t>
      </w:r>
      <w:r>
        <w:rPr>
          <w:spacing w:val="80"/>
          <w:sz w:val="20"/>
        </w:rPr>
        <w:t> </w:t>
      </w:r>
      <w:r>
        <w:rPr>
          <w:sz w:val="20"/>
        </w:rPr>
        <w:t>travel</w:t>
      </w:r>
      <w:r>
        <w:rPr>
          <w:spacing w:val="80"/>
          <w:sz w:val="20"/>
        </w:rPr>
        <w:t> </w:t>
      </w:r>
      <w:r>
        <w:rPr>
          <w:sz w:val="20"/>
        </w:rPr>
        <w:t>have</w:t>
      </w:r>
      <w:r>
        <w:rPr>
          <w:spacing w:val="80"/>
          <w:sz w:val="20"/>
        </w:rPr>
        <w:t> </w:t>
      </w:r>
      <w:r>
        <w:rPr>
          <w:sz w:val="20"/>
        </w:rPr>
        <w:t>increased</w:t>
      </w:r>
      <w:r>
        <w:rPr>
          <w:spacing w:val="80"/>
          <w:sz w:val="20"/>
        </w:rPr>
        <w:t> </w:t>
      </w:r>
      <w:r>
        <w:rPr>
          <w:sz w:val="20"/>
        </w:rPr>
        <w:t>by</w:t>
      </w:r>
      <w:r>
        <w:rPr>
          <w:spacing w:val="80"/>
          <w:sz w:val="20"/>
        </w:rPr>
        <w:t> </w:t>
      </w:r>
      <w:r>
        <w:rPr>
          <w:sz w:val="20"/>
        </w:rPr>
        <w:t>€108.4</w:t>
      </w:r>
      <w:r>
        <w:rPr>
          <w:spacing w:val="80"/>
          <w:sz w:val="20"/>
        </w:rPr>
        <w:t> </w:t>
      </w:r>
      <w:r>
        <w:rPr>
          <w:sz w:val="20"/>
        </w:rPr>
        <w:t>thousand (23.5</w:t>
      </w:r>
      <w:r>
        <w:rPr>
          <w:spacing w:val="-3"/>
          <w:sz w:val="20"/>
        </w:rPr>
        <w:t> </w:t>
      </w:r>
      <w:r>
        <w:rPr>
          <w:sz w:val="20"/>
        </w:rPr>
        <w:t>percent). Of the total increase, €51.4 thousand results from the impact of price index increases on travel costs in the Division as a result of inflation. Resources are mainly requested for LSS</w:t>
      </w:r>
      <w:r>
        <w:rPr>
          <w:spacing w:val="19"/>
          <w:sz w:val="20"/>
        </w:rPr>
        <w:t> </w:t>
      </w:r>
      <w:r>
        <w:rPr>
          <w:sz w:val="20"/>
        </w:rPr>
        <w:t>(€56.9 thousand), OPCV (€28.3 thousand),VPRS (€10.6 thousand) and</w:t>
      </w:r>
    </w:p>
    <w:p>
      <w:pPr>
        <w:spacing w:after="0" w:line="240" w:lineRule="auto"/>
        <w:jc w:val="both"/>
        <w:rPr>
          <w:sz w:val="20"/>
        </w:rPr>
        <w:sectPr>
          <w:pgSz w:w="11910" w:h="16840"/>
          <w:pgMar w:header="957" w:footer="940" w:top="1140" w:bottom="1140" w:left="20" w:right="20"/>
        </w:sectPr>
      </w:pPr>
    </w:p>
    <w:p>
      <w:pPr>
        <w:pStyle w:val="BodyText"/>
        <w:spacing w:before="124"/>
        <w:ind w:left="2246" w:right="2251"/>
        <w:jc w:val="both"/>
      </w:pPr>
      <w:r>
        <w:rPr/>
        <w:t>OPCD (€4.0 thousand). These requirements are directly linked to the increase in judicial </w:t>
      </w:r>
      <w:r>
        <w:rPr>
          <w:spacing w:val="-2"/>
        </w:rPr>
        <w:t>activities.</w:t>
      </w:r>
    </w:p>
    <w:p>
      <w:pPr>
        <w:pStyle w:val="ListParagraph"/>
        <w:numPr>
          <w:ilvl w:val="0"/>
          <w:numId w:val="4"/>
        </w:numPr>
        <w:tabs>
          <w:tab w:pos="2967" w:val="left" w:leader="none"/>
        </w:tabs>
        <w:spacing w:line="240" w:lineRule="auto" w:before="121" w:after="0"/>
        <w:ind w:left="2246" w:right="2240" w:firstLine="0"/>
        <w:jc w:val="both"/>
        <w:rPr>
          <w:sz w:val="20"/>
        </w:rPr>
      </w:pPr>
      <w:r>
        <w:rPr>
          <w:sz w:val="20"/>
        </w:rPr>
        <w:t>In addition to the resources mentioned above, OPCV will need travel resources to cover</w:t>
      </w:r>
      <w:r>
        <w:rPr>
          <w:spacing w:val="-8"/>
          <w:sz w:val="20"/>
        </w:rPr>
        <w:t> </w:t>
      </w:r>
      <w:r>
        <w:rPr>
          <w:sz w:val="20"/>
        </w:rPr>
        <w:t>the</w:t>
      </w:r>
      <w:r>
        <w:rPr>
          <w:spacing w:val="-7"/>
          <w:sz w:val="20"/>
        </w:rPr>
        <w:t> </w:t>
      </w:r>
      <w:r>
        <w:rPr>
          <w:sz w:val="20"/>
        </w:rPr>
        <w:t>expected</w:t>
      </w:r>
      <w:r>
        <w:rPr>
          <w:spacing w:val="-8"/>
          <w:sz w:val="20"/>
        </w:rPr>
        <w:t> </w:t>
      </w:r>
      <w:r>
        <w:rPr>
          <w:sz w:val="20"/>
        </w:rPr>
        <w:t>increase</w:t>
      </w:r>
      <w:r>
        <w:rPr>
          <w:spacing w:val="-7"/>
          <w:sz w:val="20"/>
        </w:rPr>
        <w:t> </w:t>
      </w:r>
      <w:r>
        <w:rPr>
          <w:sz w:val="20"/>
        </w:rPr>
        <w:t>in</w:t>
      </w:r>
      <w:r>
        <w:rPr>
          <w:spacing w:val="-8"/>
          <w:sz w:val="20"/>
        </w:rPr>
        <w:t> </w:t>
      </w:r>
      <w:r>
        <w:rPr>
          <w:sz w:val="20"/>
        </w:rPr>
        <w:t>judicial</w:t>
      </w:r>
      <w:r>
        <w:rPr>
          <w:spacing w:val="-7"/>
          <w:sz w:val="20"/>
        </w:rPr>
        <w:t> </w:t>
      </w:r>
      <w:r>
        <w:rPr>
          <w:sz w:val="20"/>
        </w:rPr>
        <w:t>activity</w:t>
      </w:r>
      <w:r>
        <w:rPr>
          <w:spacing w:val="-4"/>
          <w:sz w:val="20"/>
        </w:rPr>
        <w:t> </w:t>
      </w:r>
      <w:r>
        <w:rPr>
          <w:sz w:val="20"/>
        </w:rPr>
        <w:t>in</w:t>
      </w:r>
      <w:r>
        <w:rPr>
          <w:spacing w:val="-4"/>
          <w:sz w:val="20"/>
        </w:rPr>
        <w:t> </w:t>
      </w:r>
      <w:r>
        <w:rPr>
          <w:sz w:val="20"/>
        </w:rPr>
        <w:t>2023</w:t>
      </w:r>
      <w:r>
        <w:rPr>
          <w:spacing w:val="-4"/>
          <w:sz w:val="20"/>
        </w:rPr>
        <w:t> </w:t>
      </w:r>
      <w:r>
        <w:rPr>
          <w:sz w:val="20"/>
        </w:rPr>
        <w:t>(specifically</w:t>
      </w:r>
      <w:r>
        <w:rPr>
          <w:spacing w:val="-4"/>
          <w:sz w:val="20"/>
        </w:rPr>
        <w:t> </w:t>
      </w:r>
      <w:r>
        <w:rPr>
          <w:sz w:val="20"/>
        </w:rPr>
        <w:t>reparations</w:t>
      </w:r>
      <w:r>
        <w:rPr>
          <w:spacing w:val="-5"/>
          <w:sz w:val="20"/>
        </w:rPr>
        <w:t> </w:t>
      </w:r>
      <w:r>
        <w:rPr>
          <w:sz w:val="20"/>
        </w:rPr>
        <w:t>proceedings, which require extensive field work). Travel resources will also be required generally to support the discharge of OPCV’s mandate in ongoing trial, appeals and reparations proceedings and to enable necessary consultations with clients.</w:t>
      </w:r>
    </w:p>
    <w:p>
      <w:pPr>
        <w:pStyle w:val="ListParagraph"/>
        <w:numPr>
          <w:ilvl w:val="0"/>
          <w:numId w:val="4"/>
        </w:numPr>
        <w:tabs>
          <w:tab w:pos="2967" w:val="left" w:leader="none"/>
        </w:tabs>
        <w:spacing w:line="240" w:lineRule="auto" w:before="123" w:after="0"/>
        <w:ind w:left="2246" w:right="2241" w:firstLine="0"/>
        <w:jc w:val="both"/>
        <w:rPr>
          <w:sz w:val="20"/>
        </w:rPr>
      </w:pPr>
      <w:r>
        <w:rPr>
          <w:sz w:val="20"/>
        </w:rPr>
        <w:t>Travel resources are required in CSS for the travel of members of the disciplinary boards for counsel to attend hearings in The Hague, and for missions to encourage lawyers from situation countries to apply for admission to the List of Counsel, which contributes to reducing the cost of appointments </w:t>
      </w:r>
      <w:r>
        <w:rPr>
          <w:i/>
          <w:sz w:val="20"/>
        </w:rPr>
        <w:t>in situ</w:t>
      </w:r>
      <w:r>
        <w:rPr>
          <w:sz w:val="20"/>
        </w:rPr>
        <w:t>.</w:t>
      </w:r>
    </w:p>
    <w:p>
      <w:pPr>
        <w:pStyle w:val="ListParagraph"/>
        <w:numPr>
          <w:ilvl w:val="0"/>
          <w:numId w:val="4"/>
        </w:numPr>
        <w:tabs>
          <w:tab w:pos="2967" w:val="left" w:leader="none"/>
        </w:tabs>
        <w:spacing w:line="240" w:lineRule="auto" w:before="117" w:after="0"/>
        <w:ind w:left="2246" w:right="2240" w:firstLine="0"/>
        <w:jc w:val="both"/>
        <w:rPr>
          <w:sz w:val="20"/>
        </w:rPr>
      </w:pPr>
      <w:r>
        <w:rPr>
          <w:sz w:val="20"/>
        </w:rPr>
        <w:t>DJS also requires travel resources for missions undertaken to provide relevant judicial services. In CMS, travel resources</w:t>
      </w:r>
      <w:r>
        <w:rPr>
          <w:spacing w:val="-2"/>
          <w:sz w:val="20"/>
        </w:rPr>
        <w:t> </w:t>
      </w:r>
      <w:r>
        <w:rPr>
          <w:sz w:val="20"/>
        </w:rPr>
        <w:t>of €32.7</w:t>
      </w:r>
      <w:r>
        <w:rPr>
          <w:spacing w:val="-5"/>
          <w:sz w:val="20"/>
        </w:rPr>
        <w:t> </w:t>
      </w:r>
      <w:r>
        <w:rPr>
          <w:sz w:val="20"/>
        </w:rPr>
        <w:t>thousand</w:t>
      </w:r>
      <w:r>
        <w:rPr>
          <w:spacing w:val="-5"/>
          <w:sz w:val="20"/>
        </w:rPr>
        <w:t> </w:t>
      </w:r>
      <w:r>
        <w:rPr>
          <w:sz w:val="20"/>
        </w:rPr>
        <w:t>are required in 2023 for</w:t>
      </w:r>
      <w:r>
        <w:rPr>
          <w:spacing w:val="-5"/>
          <w:sz w:val="20"/>
        </w:rPr>
        <w:t> </w:t>
      </w:r>
      <w:r>
        <w:rPr>
          <w:sz w:val="20"/>
        </w:rPr>
        <w:t>travel by ALO/Courtroom Officers to provide support for remote testimony by video link. It is estimated</w:t>
      </w:r>
      <w:r>
        <w:rPr>
          <w:spacing w:val="-13"/>
          <w:sz w:val="20"/>
        </w:rPr>
        <w:t> </w:t>
      </w:r>
      <w:r>
        <w:rPr>
          <w:sz w:val="20"/>
        </w:rPr>
        <w:t>that</w:t>
      </w:r>
      <w:r>
        <w:rPr>
          <w:spacing w:val="-9"/>
          <w:sz w:val="20"/>
        </w:rPr>
        <w:t> </w:t>
      </w:r>
      <w:r>
        <w:rPr>
          <w:sz w:val="20"/>
        </w:rPr>
        <w:t>50</w:t>
      </w:r>
      <w:r>
        <w:rPr>
          <w:spacing w:val="-9"/>
          <w:sz w:val="20"/>
        </w:rPr>
        <w:t> </w:t>
      </w:r>
      <w:r>
        <w:rPr>
          <w:sz w:val="20"/>
        </w:rPr>
        <w:t>percent</w:t>
      </w:r>
      <w:r>
        <w:rPr>
          <w:spacing w:val="-8"/>
          <w:sz w:val="20"/>
        </w:rPr>
        <w:t> </w:t>
      </w:r>
      <w:r>
        <w:rPr>
          <w:sz w:val="20"/>
        </w:rPr>
        <w:t>of</w:t>
      </w:r>
      <w:r>
        <w:rPr>
          <w:spacing w:val="-9"/>
          <w:sz w:val="20"/>
        </w:rPr>
        <w:t> </w:t>
      </w:r>
      <w:r>
        <w:rPr>
          <w:sz w:val="20"/>
        </w:rPr>
        <w:t>all</w:t>
      </w:r>
      <w:r>
        <w:rPr>
          <w:spacing w:val="-8"/>
          <w:sz w:val="20"/>
        </w:rPr>
        <w:t> </w:t>
      </w:r>
      <w:r>
        <w:rPr>
          <w:sz w:val="20"/>
        </w:rPr>
        <w:t>witnesses</w:t>
      </w:r>
      <w:r>
        <w:rPr>
          <w:spacing w:val="-11"/>
          <w:sz w:val="20"/>
        </w:rPr>
        <w:t> </w:t>
      </w:r>
      <w:r>
        <w:rPr>
          <w:sz w:val="20"/>
        </w:rPr>
        <w:t>will</w:t>
      </w:r>
      <w:r>
        <w:rPr>
          <w:spacing w:val="-8"/>
          <w:sz w:val="20"/>
        </w:rPr>
        <w:t> </w:t>
      </w:r>
      <w:r>
        <w:rPr>
          <w:sz w:val="20"/>
        </w:rPr>
        <w:t>testify</w:t>
      </w:r>
      <w:r>
        <w:rPr>
          <w:spacing w:val="-9"/>
          <w:sz w:val="20"/>
        </w:rPr>
        <w:t> </w:t>
      </w:r>
      <w:r>
        <w:rPr>
          <w:sz w:val="20"/>
        </w:rPr>
        <w:t>remotely</w:t>
      </w:r>
      <w:r>
        <w:rPr>
          <w:spacing w:val="-9"/>
          <w:sz w:val="20"/>
        </w:rPr>
        <w:t> </w:t>
      </w:r>
      <w:r>
        <w:rPr>
          <w:sz w:val="20"/>
        </w:rPr>
        <w:t>via</w:t>
      </w:r>
      <w:r>
        <w:rPr>
          <w:spacing w:val="-8"/>
          <w:sz w:val="20"/>
        </w:rPr>
        <w:t> </w:t>
      </w:r>
      <w:r>
        <w:rPr>
          <w:sz w:val="20"/>
        </w:rPr>
        <w:t>video</w:t>
      </w:r>
      <w:r>
        <w:rPr>
          <w:spacing w:val="-9"/>
          <w:sz w:val="20"/>
        </w:rPr>
        <w:t> </w:t>
      </w:r>
      <w:r>
        <w:rPr>
          <w:sz w:val="20"/>
        </w:rPr>
        <w:t>link.</w:t>
      </w:r>
      <w:r>
        <w:rPr>
          <w:spacing w:val="-7"/>
          <w:sz w:val="20"/>
        </w:rPr>
        <w:t> </w:t>
      </w:r>
      <w:r>
        <w:rPr>
          <w:sz w:val="20"/>
        </w:rPr>
        <w:t>However,</w:t>
      </w:r>
      <w:r>
        <w:rPr>
          <w:spacing w:val="-7"/>
          <w:sz w:val="20"/>
        </w:rPr>
        <w:t> </w:t>
      </w:r>
      <w:r>
        <w:rPr>
          <w:sz w:val="20"/>
        </w:rPr>
        <w:t>CMS has now trained field staff to provide the necessary technical support for witness testimony via remote video link without the aid of CMS staff from Headquarters. Accordingly, it is estimated</w:t>
      </w:r>
      <w:r>
        <w:rPr>
          <w:spacing w:val="-4"/>
          <w:sz w:val="20"/>
        </w:rPr>
        <w:t> </w:t>
      </w:r>
      <w:r>
        <w:rPr>
          <w:sz w:val="20"/>
        </w:rPr>
        <w:t>that,</w:t>
      </w:r>
      <w:r>
        <w:rPr>
          <w:spacing w:val="-1"/>
          <w:sz w:val="20"/>
        </w:rPr>
        <w:t> </w:t>
      </w:r>
      <w:r>
        <w:rPr>
          <w:sz w:val="20"/>
        </w:rPr>
        <w:t>in</w:t>
      </w:r>
      <w:r>
        <w:rPr>
          <w:spacing w:val="-4"/>
          <w:sz w:val="20"/>
        </w:rPr>
        <w:t> </w:t>
      </w:r>
      <w:r>
        <w:rPr>
          <w:sz w:val="20"/>
        </w:rPr>
        <w:t>areas where the Court has a country office</w:t>
      </w:r>
      <w:r>
        <w:rPr>
          <w:spacing w:val="-2"/>
          <w:sz w:val="20"/>
        </w:rPr>
        <w:t> </w:t>
      </w:r>
      <w:r>
        <w:rPr>
          <w:sz w:val="20"/>
        </w:rPr>
        <w:t>or other field</w:t>
      </w:r>
      <w:r>
        <w:rPr>
          <w:spacing w:val="-4"/>
          <w:sz w:val="20"/>
        </w:rPr>
        <w:t> </w:t>
      </w:r>
      <w:r>
        <w:rPr>
          <w:sz w:val="20"/>
        </w:rPr>
        <w:t>presence that</w:t>
      </w:r>
      <w:r>
        <w:rPr>
          <w:spacing w:val="-2"/>
          <w:sz w:val="20"/>
        </w:rPr>
        <w:t> </w:t>
      </w:r>
      <w:r>
        <w:rPr>
          <w:sz w:val="20"/>
        </w:rPr>
        <w:t>can support witness testimony via video link, 85 per cent of remotely-testifying witnesses will testify</w:t>
      </w:r>
      <w:r>
        <w:rPr>
          <w:spacing w:val="-9"/>
          <w:sz w:val="20"/>
        </w:rPr>
        <w:t> </w:t>
      </w:r>
      <w:r>
        <w:rPr>
          <w:sz w:val="20"/>
        </w:rPr>
        <w:t>with</w:t>
      </w:r>
      <w:r>
        <w:rPr>
          <w:spacing w:val="-13"/>
          <w:sz w:val="20"/>
        </w:rPr>
        <w:t> </w:t>
      </w:r>
      <w:r>
        <w:rPr>
          <w:sz w:val="20"/>
        </w:rPr>
        <w:t>the</w:t>
      </w:r>
      <w:r>
        <w:rPr>
          <w:spacing w:val="-7"/>
          <w:sz w:val="20"/>
        </w:rPr>
        <w:t> </w:t>
      </w:r>
      <w:r>
        <w:rPr>
          <w:sz w:val="20"/>
        </w:rPr>
        <w:t>support</w:t>
      </w:r>
      <w:r>
        <w:rPr>
          <w:spacing w:val="-12"/>
          <w:sz w:val="20"/>
        </w:rPr>
        <w:t> </w:t>
      </w:r>
      <w:r>
        <w:rPr>
          <w:sz w:val="20"/>
        </w:rPr>
        <w:t>of</w:t>
      </w:r>
      <w:r>
        <w:rPr>
          <w:spacing w:val="-13"/>
          <w:sz w:val="20"/>
        </w:rPr>
        <w:t> </w:t>
      </w:r>
      <w:r>
        <w:rPr>
          <w:sz w:val="20"/>
        </w:rPr>
        <w:t>CMS-trained</w:t>
      </w:r>
      <w:r>
        <w:rPr>
          <w:spacing w:val="-12"/>
          <w:sz w:val="20"/>
        </w:rPr>
        <w:t> </w:t>
      </w:r>
      <w:r>
        <w:rPr>
          <w:sz w:val="20"/>
        </w:rPr>
        <w:t>field</w:t>
      </w:r>
      <w:r>
        <w:rPr>
          <w:spacing w:val="-13"/>
          <w:sz w:val="20"/>
        </w:rPr>
        <w:t> </w:t>
      </w:r>
      <w:r>
        <w:rPr>
          <w:sz w:val="20"/>
        </w:rPr>
        <w:t>staff.</w:t>
      </w:r>
      <w:r>
        <w:rPr>
          <w:spacing w:val="-11"/>
          <w:sz w:val="20"/>
        </w:rPr>
        <w:t> </w:t>
      </w:r>
      <w:r>
        <w:rPr>
          <w:sz w:val="20"/>
        </w:rPr>
        <w:t>The</w:t>
      </w:r>
      <w:r>
        <w:rPr>
          <w:spacing w:val="-11"/>
          <w:sz w:val="20"/>
        </w:rPr>
        <w:t> </w:t>
      </w:r>
      <w:r>
        <w:rPr>
          <w:sz w:val="20"/>
        </w:rPr>
        <w:t>remaining</w:t>
      </w:r>
      <w:r>
        <w:rPr>
          <w:spacing w:val="-13"/>
          <w:sz w:val="20"/>
        </w:rPr>
        <w:t> </w:t>
      </w:r>
      <w:r>
        <w:rPr>
          <w:sz w:val="20"/>
        </w:rPr>
        <w:t>15</w:t>
      </w:r>
      <w:r>
        <w:rPr>
          <w:spacing w:val="-8"/>
          <w:sz w:val="20"/>
        </w:rPr>
        <w:t> </w:t>
      </w:r>
      <w:r>
        <w:rPr>
          <w:sz w:val="20"/>
        </w:rPr>
        <w:t>per</w:t>
      </w:r>
      <w:r>
        <w:rPr>
          <w:spacing w:val="-13"/>
          <w:sz w:val="20"/>
        </w:rPr>
        <w:t> </w:t>
      </w:r>
      <w:r>
        <w:rPr>
          <w:sz w:val="20"/>
        </w:rPr>
        <w:t>cent</w:t>
      </w:r>
      <w:r>
        <w:rPr>
          <w:spacing w:val="-12"/>
          <w:sz w:val="20"/>
        </w:rPr>
        <w:t> </w:t>
      </w:r>
      <w:r>
        <w:rPr>
          <w:sz w:val="20"/>
        </w:rPr>
        <w:t>will</w:t>
      </w:r>
      <w:r>
        <w:rPr>
          <w:spacing w:val="-12"/>
          <w:sz w:val="20"/>
        </w:rPr>
        <w:t> </w:t>
      </w:r>
      <w:r>
        <w:rPr>
          <w:sz w:val="20"/>
        </w:rPr>
        <w:t>testify</w:t>
      </w:r>
      <w:r>
        <w:rPr>
          <w:spacing w:val="-13"/>
          <w:sz w:val="20"/>
        </w:rPr>
        <w:t> </w:t>
      </w:r>
      <w:r>
        <w:rPr>
          <w:sz w:val="20"/>
        </w:rPr>
        <w:t>with CMS</w:t>
      </w:r>
      <w:r>
        <w:rPr>
          <w:spacing w:val="-5"/>
          <w:sz w:val="20"/>
        </w:rPr>
        <w:t> </w:t>
      </w:r>
      <w:r>
        <w:rPr>
          <w:sz w:val="20"/>
        </w:rPr>
        <w:t>support</w:t>
      </w:r>
      <w:r>
        <w:rPr>
          <w:spacing w:val="-7"/>
          <w:sz w:val="20"/>
        </w:rPr>
        <w:t> </w:t>
      </w:r>
      <w:r>
        <w:rPr>
          <w:sz w:val="20"/>
        </w:rPr>
        <w:t>at</w:t>
      </w:r>
      <w:r>
        <w:rPr>
          <w:spacing w:val="-7"/>
          <w:sz w:val="20"/>
        </w:rPr>
        <w:t> </w:t>
      </w:r>
      <w:r>
        <w:rPr>
          <w:sz w:val="20"/>
        </w:rPr>
        <w:t>other</w:t>
      </w:r>
      <w:r>
        <w:rPr>
          <w:spacing w:val="-8"/>
          <w:sz w:val="20"/>
        </w:rPr>
        <w:t> </w:t>
      </w:r>
      <w:r>
        <w:rPr>
          <w:sz w:val="20"/>
        </w:rPr>
        <w:t>locations,</w:t>
      </w:r>
      <w:r>
        <w:rPr>
          <w:spacing w:val="-1"/>
          <w:sz w:val="20"/>
        </w:rPr>
        <w:t> </w:t>
      </w:r>
      <w:r>
        <w:rPr>
          <w:sz w:val="20"/>
        </w:rPr>
        <w:t>70</w:t>
      </w:r>
      <w:r>
        <w:rPr>
          <w:spacing w:val="-4"/>
          <w:sz w:val="20"/>
        </w:rPr>
        <w:t> </w:t>
      </w:r>
      <w:r>
        <w:rPr>
          <w:sz w:val="20"/>
        </w:rPr>
        <w:t>per</w:t>
      </w:r>
      <w:r>
        <w:rPr>
          <w:spacing w:val="-8"/>
          <w:sz w:val="20"/>
        </w:rPr>
        <w:t> </w:t>
      </w:r>
      <w:r>
        <w:rPr>
          <w:sz w:val="20"/>
        </w:rPr>
        <w:t>cent</w:t>
      </w:r>
      <w:r>
        <w:rPr>
          <w:spacing w:val="-7"/>
          <w:sz w:val="20"/>
        </w:rPr>
        <w:t> </w:t>
      </w:r>
      <w:r>
        <w:rPr>
          <w:sz w:val="20"/>
        </w:rPr>
        <w:t>of</w:t>
      </w:r>
      <w:r>
        <w:rPr>
          <w:spacing w:val="-4"/>
          <w:sz w:val="20"/>
        </w:rPr>
        <w:t> </w:t>
      </w:r>
      <w:r>
        <w:rPr>
          <w:sz w:val="20"/>
        </w:rPr>
        <w:t>which</w:t>
      </w:r>
      <w:r>
        <w:rPr>
          <w:spacing w:val="-13"/>
          <w:sz w:val="20"/>
        </w:rPr>
        <w:t> </w:t>
      </w:r>
      <w:r>
        <w:rPr>
          <w:sz w:val="20"/>
        </w:rPr>
        <w:t>are</w:t>
      </w:r>
      <w:r>
        <w:rPr>
          <w:spacing w:val="-11"/>
          <w:sz w:val="20"/>
        </w:rPr>
        <w:t> </w:t>
      </w:r>
      <w:r>
        <w:rPr>
          <w:sz w:val="20"/>
        </w:rPr>
        <w:t>expected</w:t>
      </w:r>
      <w:r>
        <w:rPr>
          <w:spacing w:val="-8"/>
          <w:sz w:val="20"/>
        </w:rPr>
        <w:t> </w:t>
      </w:r>
      <w:r>
        <w:rPr>
          <w:sz w:val="20"/>
        </w:rPr>
        <w:t>to</w:t>
      </w:r>
      <w:r>
        <w:rPr>
          <w:spacing w:val="-8"/>
          <w:sz w:val="20"/>
        </w:rPr>
        <w:t> </w:t>
      </w:r>
      <w:r>
        <w:rPr>
          <w:sz w:val="20"/>
        </w:rPr>
        <w:t>be</w:t>
      </w:r>
      <w:r>
        <w:rPr>
          <w:spacing w:val="-11"/>
          <w:sz w:val="20"/>
        </w:rPr>
        <w:t> </w:t>
      </w:r>
      <w:r>
        <w:rPr>
          <w:sz w:val="20"/>
        </w:rPr>
        <w:t>in</w:t>
      </w:r>
      <w:r>
        <w:rPr>
          <w:spacing w:val="-8"/>
          <w:sz w:val="20"/>
        </w:rPr>
        <w:t> </w:t>
      </w:r>
      <w:r>
        <w:rPr>
          <w:sz w:val="20"/>
        </w:rPr>
        <w:t>Europe</w:t>
      </w:r>
      <w:r>
        <w:rPr>
          <w:spacing w:val="-7"/>
          <w:sz w:val="20"/>
        </w:rPr>
        <w:t> </w:t>
      </w:r>
      <w:r>
        <w:rPr>
          <w:sz w:val="20"/>
        </w:rPr>
        <w:t>and</w:t>
      </w:r>
      <w:r>
        <w:rPr>
          <w:spacing w:val="-8"/>
          <w:sz w:val="20"/>
        </w:rPr>
        <w:t> </w:t>
      </w:r>
      <w:r>
        <w:rPr>
          <w:sz w:val="20"/>
        </w:rPr>
        <w:t>30</w:t>
      </w:r>
      <w:r>
        <w:rPr>
          <w:spacing w:val="-8"/>
          <w:sz w:val="20"/>
        </w:rPr>
        <w:t> </w:t>
      </w:r>
      <w:r>
        <w:rPr>
          <w:sz w:val="20"/>
        </w:rPr>
        <w:t>per cent</w:t>
      </w:r>
      <w:r>
        <w:rPr>
          <w:spacing w:val="-7"/>
          <w:sz w:val="20"/>
        </w:rPr>
        <w:t> </w:t>
      </w:r>
      <w:r>
        <w:rPr>
          <w:sz w:val="20"/>
        </w:rPr>
        <w:t>elsewhere.</w:t>
      </w:r>
      <w:r>
        <w:rPr>
          <w:spacing w:val="-6"/>
          <w:sz w:val="20"/>
        </w:rPr>
        <w:t> </w:t>
      </w:r>
      <w:r>
        <w:rPr>
          <w:sz w:val="20"/>
        </w:rPr>
        <w:t>In</w:t>
      </w:r>
      <w:r>
        <w:rPr>
          <w:spacing w:val="-8"/>
          <w:sz w:val="20"/>
        </w:rPr>
        <w:t> </w:t>
      </w:r>
      <w:r>
        <w:rPr>
          <w:sz w:val="20"/>
        </w:rPr>
        <w:t>areas</w:t>
      </w:r>
      <w:r>
        <w:rPr>
          <w:spacing w:val="-10"/>
          <w:sz w:val="20"/>
        </w:rPr>
        <w:t> </w:t>
      </w:r>
      <w:r>
        <w:rPr>
          <w:sz w:val="20"/>
        </w:rPr>
        <w:t>where</w:t>
      </w:r>
      <w:r>
        <w:rPr>
          <w:spacing w:val="-7"/>
          <w:sz w:val="20"/>
        </w:rPr>
        <w:t> </w:t>
      </w:r>
      <w:r>
        <w:rPr>
          <w:sz w:val="20"/>
        </w:rPr>
        <w:t>the</w:t>
      </w:r>
      <w:r>
        <w:rPr>
          <w:spacing w:val="-2"/>
          <w:sz w:val="20"/>
        </w:rPr>
        <w:t> </w:t>
      </w:r>
      <w:r>
        <w:rPr>
          <w:sz w:val="20"/>
        </w:rPr>
        <w:t>Court</w:t>
      </w:r>
      <w:r>
        <w:rPr>
          <w:spacing w:val="-7"/>
          <w:sz w:val="20"/>
        </w:rPr>
        <w:t> </w:t>
      </w:r>
      <w:r>
        <w:rPr>
          <w:sz w:val="20"/>
        </w:rPr>
        <w:t>does</w:t>
      </w:r>
      <w:r>
        <w:rPr>
          <w:spacing w:val="-5"/>
          <w:sz w:val="20"/>
        </w:rPr>
        <w:t> </w:t>
      </w:r>
      <w:r>
        <w:rPr>
          <w:sz w:val="20"/>
        </w:rPr>
        <w:t>not</w:t>
      </w:r>
      <w:r>
        <w:rPr>
          <w:spacing w:val="-1"/>
          <w:sz w:val="20"/>
        </w:rPr>
        <w:t> </w:t>
      </w:r>
      <w:r>
        <w:rPr>
          <w:sz w:val="20"/>
        </w:rPr>
        <w:t>have</w:t>
      </w:r>
      <w:r>
        <w:rPr>
          <w:spacing w:val="-7"/>
          <w:sz w:val="20"/>
        </w:rPr>
        <w:t> </w:t>
      </w:r>
      <w:r>
        <w:rPr>
          <w:sz w:val="20"/>
        </w:rPr>
        <w:t>a</w:t>
      </w:r>
      <w:r>
        <w:rPr>
          <w:spacing w:val="-7"/>
          <w:sz w:val="20"/>
        </w:rPr>
        <w:t> </w:t>
      </w:r>
      <w:r>
        <w:rPr>
          <w:sz w:val="20"/>
        </w:rPr>
        <w:t>country</w:t>
      </w:r>
      <w:r>
        <w:rPr>
          <w:spacing w:val="-8"/>
          <w:sz w:val="20"/>
        </w:rPr>
        <w:t> </w:t>
      </w:r>
      <w:r>
        <w:rPr>
          <w:sz w:val="20"/>
        </w:rPr>
        <w:t>office</w:t>
      </w:r>
      <w:r>
        <w:rPr>
          <w:spacing w:val="-7"/>
          <w:sz w:val="20"/>
        </w:rPr>
        <w:t> </w:t>
      </w:r>
      <w:r>
        <w:rPr>
          <w:sz w:val="20"/>
        </w:rPr>
        <w:t>or</w:t>
      </w:r>
      <w:r>
        <w:rPr>
          <w:spacing w:val="-8"/>
          <w:sz w:val="20"/>
        </w:rPr>
        <w:t> </w:t>
      </w:r>
      <w:r>
        <w:rPr>
          <w:sz w:val="20"/>
        </w:rPr>
        <w:t>field</w:t>
      </w:r>
      <w:r>
        <w:rPr>
          <w:spacing w:val="-8"/>
          <w:sz w:val="20"/>
        </w:rPr>
        <w:t> </w:t>
      </w:r>
      <w:r>
        <w:rPr>
          <w:sz w:val="20"/>
        </w:rPr>
        <w:t>presence</w:t>
      </w:r>
      <w:r>
        <w:rPr>
          <w:spacing w:val="-7"/>
          <w:sz w:val="20"/>
        </w:rPr>
        <w:t> </w:t>
      </w:r>
      <w:r>
        <w:rPr>
          <w:sz w:val="20"/>
        </w:rPr>
        <w:t>that can</w:t>
      </w:r>
      <w:r>
        <w:rPr>
          <w:spacing w:val="-13"/>
          <w:sz w:val="20"/>
        </w:rPr>
        <w:t> </w:t>
      </w:r>
      <w:r>
        <w:rPr>
          <w:sz w:val="20"/>
        </w:rPr>
        <w:t>accommodate</w:t>
      </w:r>
      <w:r>
        <w:rPr>
          <w:spacing w:val="-12"/>
          <w:sz w:val="20"/>
        </w:rPr>
        <w:t> </w:t>
      </w:r>
      <w:r>
        <w:rPr>
          <w:sz w:val="20"/>
        </w:rPr>
        <w:t>remote</w:t>
      </w:r>
      <w:r>
        <w:rPr>
          <w:spacing w:val="-13"/>
          <w:sz w:val="20"/>
        </w:rPr>
        <w:t> </w:t>
      </w:r>
      <w:r>
        <w:rPr>
          <w:sz w:val="20"/>
        </w:rPr>
        <w:t>video</w:t>
      </w:r>
      <w:r>
        <w:rPr>
          <w:spacing w:val="-12"/>
          <w:sz w:val="20"/>
        </w:rPr>
        <w:t> </w:t>
      </w:r>
      <w:r>
        <w:rPr>
          <w:sz w:val="20"/>
        </w:rPr>
        <w:t>link</w:t>
      </w:r>
      <w:r>
        <w:rPr>
          <w:spacing w:val="-13"/>
          <w:sz w:val="20"/>
        </w:rPr>
        <w:t> </w:t>
      </w:r>
      <w:r>
        <w:rPr>
          <w:sz w:val="20"/>
        </w:rPr>
        <w:t>testimony,</w:t>
      </w:r>
      <w:r>
        <w:rPr>
          <w:spacing w:val="-12"/>
          <w:sz w:val="20"/>
        </w:rPr>
        <w:t> </w:t>
      </w:r>
      <w:r>
        <w:rPr>
          <w:sz w:val="20"/>
        </w:rPr>
        <w:t>all</w:t>
      </w:r>
      <w:r>
        <w:rPr>
          <w:spacing w:val="-13"/>
          <w:sz w:val="20"/>
        </w:rPr>
        <w:t> </w:t>
      </w:r>
      <w:r>
        <w:rPr>
          <w:sz w:val="20"/>
        </w:rPr>
        <w:t>remotely-testifying</w:t>
      </w:r>
      <w:r>
        <w:rPr>
          <w:spacing w:val="-12"/>
          <w:sz w:val="20"/>
        </w:rPr>
        <w:t> </w:t>
      </w:r>
      <w:r>
        <w:rPr>
          <w:sz w:val="20"/>
        </w:rPr>
        <w:t>witnesses</w:t>
      </w:r>
      <w:r>
        <w:rPr>
          <w:spacing w:val="-13"/>
          <w:sz w:val="20"/>
        </w:rPr>
        <w:t> </w:t>
      </w:r>
      <w:r>
        <w:rPr>
          <w:sz w:val="20"/>
        </w:rPr>
        <w:t>are</w:t>
      </w:r>
      <w:r>
        <w:rPr>
          <w:spacing w:val="-12"/>
          <w:sz w:val="20"/>
        </w:rPr>
        <w:t> </w:t>
      </w:r>
      <w:r>
        <w:rPr>
          <w:sz w:val="20"/>
        </w:rPr>
        <w:t>expected to</w:t>
      </w:r>
      <w:r>
        <w:rPr>
          <w:spacing w:val="-9"/>
          <w:sz w:val="20"/>
        </w:rPr>
        <w:t> </w:t>
      </w:r>
      <w:r>
        <w:rPr>
          <w:sz w:val="20"/>
        </w:rPr>
        <w:t>be</w:t>
      </w:r>
      <w:r>
        <w:rPr>
          <w:spacing w:val="-8"/>
          <w:sz w:val="20"/>
        </w:rPr>
        <w:t> </w:t>
      </w:r>
      <w:r>
        <w:rPr>
          <w:sz w:val="20"/>
        </w:rPr>
        <w:t>supported</w:t>
      </w:r>
      <w:r>
        <w:rPr>
          <w:spacing w:val="-9"/>
          <w:sz w:val="20"/>
        </w:rPr>
        <w:t> </w:t>
      </w:r>
      <w:r>
        <w:rPr>
          <w:sz w:val="20"/>
        </w:rPr>
        <w:t>by</w:t>
      </w:r>
      <w:r>
        <w:rPr>
          <w:spacing w:val="-9"/>
          <w:sz w:val="20"/>
        </w:rPr>
        <w:t> </w:t>
      </w:r>
      <w:r>
        <w:rPr>
          <w:sz w:val="20"/>
        </w:rPr>
        <w:t>a</w:t>
      </w:r>
      <w:r>
        <w:rPr>
          <w:spacing w:val="-12"/>
          <w:sz w:val="20"/>
        </w:rPr>
        <w:t> </w:t>
      </w:r>
      <w:r>
        <w:rPr>
          <w:sz w:val="20"/>
        </w:rPr>
        <w:t>CMS</w:t>
      </w:r>
      <w:r>
        <w:rPr>
          <w:spacing w:val="-6"/>
          <w:sz w:val="20"/>
        </w:rPr>
        <w:t> </w:t>
      </w:r>
      <w:r>
        <w:rPr>
          <w:sz w:val="20"/>
        </w:rPr>
        <w:t>staff</w:t>
      </w:r>
      <w:r>
        <w:rPr>
          <w:spacing w:val="-13"/>
          <w:sz w:val="20"/>
        </w:rPr>
        <w:t> </w:t>
      </w:r>
      <w:r>
        <w:rPr>
          <w:sz w:val="20"/>
        </w:rPr>
        <w:t>member</w:t>
      </w:r>
      <w:r>
        <w:rPr>
          <w:spacing w:val="-4"/>
          <w:sz w:val="20"/>
        </w:rPr>
        <w:t> </w:t>
      </w:r>
      <w:r>
        <w:rPr>
          <w:sz w:val="20"/>
        </w:rPr>
        <w:t>who</w:t>
      </w:r>
      <w:r>
        <w:rPr>
          <w:spacing w:val="-9"/>
          <w:sz w:val="20"/>
        </w:rPr>
        <w:t> </w:t>
      </w:r>
      <w:r>
        <w:rPr>
          <w:sz w:val="20"/>
        </w:rPr>
        <w:t>has</w:t>
      </w:r>
      <w:r>
        <w:rPr>
          <w:spacing w:val="-11"/>
          <w:sz w:val="20"/>
        </w:rPr>
        <w:t> </w:t>
      </w:r>
      <w:r>
        <w:rPr>
          <w:sz w:val="20"/>
        </w:rPr>
        <w:t>travelled</w:t>
      </w:r>
      <w:r>
        <w:rPr>
          <w:spacing w:val="-9"/>
          <w:sz w:val="20"/>
        </w:rPr>
        <w:t> </w:t>
      </w:r>
      <w:r>
        <w:rPr>
          <w:sz w:val="20"/>
        </w:rPr>
        <w:t>from</w:t>
      </w:r>
      <w:r>
        <w:rPr>
          <w:spacing w:val="-3"/>
          <w:sz w:val="20"/>
        </w:rPr>
        <w:t> </w:t>
      </w:r>
      <w:r>
        <w:rPr>
          <w:sz w:val="20"/>
        </w:rPr>
        <w:t>Headquarters</w:t>
      </w:r>
      <w:r>
        <w:rPr>
          <w:spacing w:val="-11"/>
          <w:sz w:val="20"/>
        </w:rPr>
        <w:t> </w:t>
      </w:r>
      <w:r>
        <w:rPr>
          <w:sz w:val="20"/>
        </w:rPr>
        <w:t>to</w:t>
      </w:r>
      <w:r>
        <w:rPr>
          <w:spacing w:val="-9"/>
          <w:sz w:val="20"/>
        </w:rPr>
        <w:t> </w:t>
      </w:r>
      <w:r>
        <w:rPr>
          <w:sz w:val="20"/>
        </w:rPr>
        <w:t>the</w:t>
      </w:r>
      <w:r>
        <w:rPr>
          <w:spacing w:val="-8"/>
          <w:sz w:val="20"/>
        </w:rPr>
        <w:t> </w:t>
      </w:r>
      <w:r>
        <w:rPr>
          <w:sz w:val="20"/>
        </w:rPr>
        <w:t>location. Likewise, of those locations, 70 per cent are expected to be in Europe and 30 per cent </w:t>
      </w:r>
      <w:r>
        <w:rPr>
          <w:spacing w:val="-2"/>
          <w:sz w:val="20"/>
        </w:rPr>
        <w:t>elsewhere.</w:t>
      </w:r>
    </w:p>
    <w:p>
      <w:pPr>
        <w:pStyle w:val="ListParagraph"/>
        <w:numPr>
          <w:ilvl w:val="0"/>
          <w:numId w:val="4"/>
        </w:numPr>
        <w:tabs>
          <w:tab w:pos="2967" w:val="left" w:leader="none"/>
        </w:tabs>
        <w:spacing w:line="240" w:lineRule="auto" w:before="123" w:after="0"/>
        <w:ind w:left="2246" w:right="2239" w:firstLine="0"/>
        <w:jc w:val="both"/>
        <w:rPr>
          <w:sz w:val="20"/>
        </w:rPr>
      </w:pPr>
      <w:r>
        <w:rPr>
          <w:sz w:val="20"/>
        </w:rPr>
        <w:t>The missions planned for IMSS in 2023 are to ensure business continuity in the field, in line with IMSS’s biennial scheduled maintenance visits to all country offices. The remainder of the amount requested is for travel by the Chief of IMSS and the Information Security Officer to the country offices to conduct information security assessments. These visits afford an opportunity to assess the level of IT services provided by Headquarters and to audit information security practices.</w:t>
      </w:r>
    </w:p>
    <w:p>
      <w:pPr>
        <w:pStyle w:val="ListParagraph"/>
        <w:numPr>
          <w:ilvl w:val="0"/>
          <w:numId w:val="4"/>
        </w:numPr>
        <w:tabs>
          <w:tab w:pos="2967" w:val="left" w:leader="none"/>
        </w:tabs>
        <w:spacing w:line="240" w:lineRule="auto" w:before="122" w:after="0"/>
        <w:ind w:left="2246" w:right="2243" w:firstLine="0"/>
        <w:jc w:val="both"/>
        <w:rPr>
          <w:sz w:val="20"/>
        </w:rPr>
      </w:pPr>
      <w:r>
        <w:rPr>
          <w:sz w:val="20"/>
        </w:rPr>
        <w:t>Other judicial services requiring travel include interpretation provided by LSS and facilitation of victim participation by VPRS. The requested amount in LSS is for travel of field interpreters</w:t>
      </w:r>
      <w:r>
        <w:rPr>
          <w:spacing w:val="-1"/>
          <w:sz w:val="20"/>
        </w:rPr>
        <w:t> </w:t>
      </w:r>
      <w:r>
        <w:rPr>
          <w:sz w:val="20"/>
        </w:rPr>
        <w:t>to support VWS field missions. Resources</w:t>
      </w:r>
      <w:r>
        <w:rPr>
          <w:spacing w:val="-1"/>
          <w:sz w:val="20"/>
        </w:rPr>
        <w:t> </w:t>
      </w:r>
      <w:r>
        <w:rPr>
          <w:sz w:val="20"/>
        </w:rPr>
        <w:t>in VPRS are required owing to the</w:t>
      </w:r>
      <w:r>
        <w:rPr>
          <w:spacing w:val="-1"/>
          <w:sz w:val="20"/>
        </w:rPr>
        <w:t> </w:t>
      </w:r>
      <w:r>
        <w:rPr>
          <w:sz w:val="20"/>
        </w:rPr>
        <w:t>growing number of</w:t>
      </w:r>
      <w:r>
        <w:rPr>
          <w:spacing w:val="-3"/>
          <w:sz w:val="20"/>
        </w:rPr>
        <w:t> </w:t>
      </w:r>
      <w:r>
        <w:rPr>
          <w:sz w:val="20"/>
        </w:rPr>
        <w:t>investigations</w:t>
      </w:r>
      <w:r>
        <w:rPr>
          <w:spacing w:val="-4"/>
          <w:sz w:val="20"/>
        </w:rPr>
        <w:t> </w:t>
      </w:r>
      <w:r>
        <w:rPr>
          <w:sz w:val="20"/>
        </w:rPr>
        <w:t>in</w:t>
      </w:r>
      <w:r>
        <w:rPr>
          <w:spacing w:val="-3"/>
          <w:sz w:val="20"/>
        </w:rPr>
        <w:t> </w:t>
      </w:r>
      <w:r>
        <w:rPr>
          <w:sz w:val="20"/>
        </w:rPr>
        <w:t>countries where work needs to</w:t>
      </w:r>
      <w:r>
        <w:rPr>
          <w:spacing w:val="-3"/>
          <w:sz w:val="20"/>
        </w:rPr>
        <w:t> </w:t>
      </w:r>
      <w:r>
        <w:rPr>
          <w:sz w:val="20"/>
        </w:rPr>
        <w:t>be</w:t>
      </w:r>
      <w:r>
        <w:rPr>
          <w:spacing w:val="-1"/>
          <w:sz w:val="20"/>
        </w:rPr>
        <w:t> </w:t>
      </w:r>
      <w:r>
        <w:rPr>
          <w:sz w:val="20"/>
        </w:rPr>
        <w:t>carried</w:t>
      </w:r>
      <w:r>
        <w:rPr>
          <w:spacing w:val="-3"/>
          <w:sz w:val="20"/>
        </w:rPr>
        <w:t> </w:t>
      </w:r>
      <w:r>
        <w:rPr>
          <w:sz w:val="20"/>
        </w:rPr>
        <w:t>out</w:t>
      </w:r>
      <w:r>
        <w:rPr>
          <w:spacing w:val="-1"/>
          <w:sz w:val="20"/>
        </w:rPr>
        <w:t> </w:t>
      </w:r>
      <w:r>
        <w:rPr>
          <w:sz w:val="20"/>
        </w:rPr>
        <w:t>in</w:t>
      </w:r>
      <w:r>
        <w:rPr>
          <w:spacing w:val="-3"/>
          <w:sz w:val="20"/>
        </w:rPr>
        <w:t> </w:t>
      </w:r>
      <w:r>
        <w:rPr>
          <w:sz w:val="20"/>
        </w:rPr>
        <w:t>the absence or in advance of the establishment of presences. Resources in OPCD remain unchanged and are required for situation-related travel for representation duties pursuant to appointments under Article 56 of the Statute.</w:t>
      </w:r>
    </w:p>
    <w:p>
      <w:pPr>
        <w:pStyle w:val="BodyText"/>
        <w:spacing w:before="9"/>
      </w:pPr>
    </w:p>
    <w:p>
      <w:pPr>
        <w:tabs>
          <w:tab w:pos="8282" w:val="left" w:leader="none"/>
        </w:tabs>
        <w:spacing w:before="0"/>
        <w:ind w:left="2246" w:right="0" w:firstLine="0"/>
        <w:jc w:val="both"/>
        <w:rPr>
          <w:i/>
          <w:sz w:val="20"/>
        </w:rPr>
      </w:pPr>
      <w:r>
        <w:rPr>
          <w:i/>
          <w:sz w:val="20"/>
        </w:rPr>
        <w:t>Contractual</w:t>
      </w:r>
      <w:r>
        <w:rPr>
          <w:i/>
          <w:spacing w:val="-4"/>
          <w:sz w:val="20"/>
        </w:rPr>
        <w:t> </w:t>
      </w:r>
      <w:r>
        <w:rPr>
          <w:i/>
          <w:spacing w:val="-2"/>
          <w:sz w:val="20"/>
        </w:rPr>
        <w:t>services</w:t>
      </w:r>
      <w:r>
        <w:rPr>
          <w:i/>
          <w:sz w:val="20"/>
        </w:rPr>
        <w:tab/>
        <w:t>€590.3</w:t>
      </w:r>
      <w:r>
        <w:rPr>
          <w:i/>
          <w:spacing w:val="-2"/>
          <w:sz w:val="20"/>
        </w:rPr>
        <w:t> thousand</w:t>
      </w:r>
    </w:p>
    <w:p>
      <w:pPr>
        <w:pStyle w:val="BodyText"/>
        <w:spacing w:before="11"/>
        <w:rPr>
          <w:i/>
        </w:rPr>
      </w:pPr>
    </w:p>
    <w:p>
      <w:pPr>
        <w:pStyle w:val="ListParagraph"/>
        <w:numPr>
          <w:ilvl w:val="0"/>
          <w:numId w:val="4"/>
        </w:numPr>
        <w:tabs>
          <w:tab w:pos="2967" w:val="left" w:leader="none"/>
        </w:tabs>
        <w:spacing w:line="240" w:lineRule="auto" w:before="0" w:after="0"/>
        <w:ind w:left="2246" w:right="2248" w:firstLine="0"/>
        <w:jc w:val="both"/>
        <w:rPr>
          <w:sz w:val="20"/>
        </w:rPr>
      </w:pPr>
      <w:r>
        <w:rPr>
          <w:sz w:val="20"/>
        </w:rPr>
        <w:t>The resources requested for contractual services has decreased by €7.2 thousand (1.2 per cent).</w:t>
      </w:r>
    </w:p>
    <w:p>
      <w:pPr>
        <w:pStyle w:val="ListParagraph"/>
        <w:numPr>
          <w:ilvl w:val="0"/>
          <w:numId w:val="4"/>
        </w:numPr>
        <w:tabs>
          <w:tab w:pos="2967" w:val="left" w:leader="none"/>
        </w:tabs>
        <w:spacing w:line="240" w:lineRule="auto" w:before="121" w:after="0"/>
        <w:ind w:left="2246" w:right="2240" w:firstLine="0"/>
        <w:jc w:val="both"/>
        <w:rPr>
          <w:sz w:val="20"/>
        </w:rPr>
      </w:pPr>
      <w:r>
        <w:rPr>
          <w:sz w:val="20"/>
        </w:rPr>
        <w:t>IMSS</w:t>
      </w:r>
      <w:r>
        <w:rPr>
          <w:spacing w:val="-12"/>
          <w:sz w:val="20"/>
        </w:rPr>
        <w:t> </w:t>
      </w:r>
      <w:r>
        <w:rPr>
          <w:sz w:val="20"/>
        </w:rPr>
        <w:t>requests</w:t>
      </w:r>
      <w:r>
        <w:rPr>
          <w:spacing w:val="-11"/>
          <w:sz w:val="20"/>
        </w:rPr>
        <w:t> </w:t>
      </w:r>
      <w:r>
        <w:rPr>
          <w:sz w:val="20"/>
        </w:rPr>
        <w:t>€410.6</w:t>
      </w:r>
      <w:r>
        <w:rPr>
          <w:spacing w:val="-13"/>
          <w:sz w:val="20"/>
        </w:rPr>
        <w:t> </w:t>
      </w:r>
      <w:r>
        <w:rPr>
          <w:sz w:val="20"/>
        </w:rPr>
        <w:t>thousand,</w:t>
      </w:r>
      <w:r>
        <w:rPr>
          <w:spacing w:val="-6"/>
          <w:sz w:val="20"/>
        </w:rPr>
        <w:t> </w:t>
      </w:r>
      <w:r>
        <w:rPr>
          <w:sz w:val="20"/>
        </w:rPr>
        <w:t>a</w:t>
      </w:r>
      <w:r>
        <w:rPr>
          <w:spacing w:val="-12"/>
          <w:sz w:val="20"/>
        </w:rPr>
        <w:t> </w:t>
      </w:r>
      <w:r>
        <w:rPr>
          <w:sz w:val="20"/>
        </w:rPr>
        <w:t>net</w:t>
      </w:r>
      <w:r>
        <w:rPr>
          <w:spacing w:val="-8"/>
          <w:sz w:val="20"/>
        </w:rPr>
        <w:t> </w:t>
      </w:r>
      <w:r>
        <w:rPr>
          <w:sz w:val="20"/>
        </w:rPr>
        <w:t>increase</w:t>
      </w:r>
      <w:r>
        <w:rPr>
          <w:spacing w:val="-12"/>
          <w:sz w:val="20"/>
        </w:rPr>
        <w:t> </w:t>
      </w:r>
      <w:r>
        <w:rPr>
          <w:sz w:val="20"/>
        </w:rPr>
        <w:t>of</w:t>
      </w:r>
      <w:r>
        <w:rPr>
          <w:spacing w:val="-9"/>
          <w:sz w:val="20"/>
        </w:rPr>
        <w:t> </w:t>
      </w:r>
      <w:r>
        <w:rPr>
          <w:sz w:val="20"/>
        </w:rPr>
        <w:t>€26.8</w:t>
      </w:r>
      <w:r>
        <w:rPr>
          <w:spacing w:val="-9"/>
          <w:sz w:val="20"/>
        </w:rPr>
        <w:t> </w:t>
      </w:r>
      <w:r>
        <w:rPr>
          <w:sz w:val="20"/>
        </w:rPr>
        <w:t>thousand</w:t>
      </w:r>
      <w:r>
        <w:rPr>
          <w:spacing w:val="-9"/>
          <w:sz w:val="20"/>
        </w:rPr>
        <w:t> </w:t>
      </w:r>
      <w:r>
        <w:rPr>
          <w:sz w:val="20"/>
        </w:rPr>
        <w:t>(7.0</w:t>
      </w:r>
      <w:r>
        <w:rPr>
          <w:spacing w:val="-13"/>
          <w:sz w:val="20"/>
        </w:rPr>
        <w:t> </w:t>
      </w:r>
      <w:r>
        <w:rPr>
          <w:sz w:val="20"/>
        </w:rPr>
        <w:t>per</w:t>
      </w:r>
      <w:r>
        <w:rPr>
          <w:spacing w:val="-12"/>
          <w:sz w:val="20"/>
        </w:rPr>
        <w:t> </w:t>
      </w:r>
      <w:r>
        <w:rPr>
          <w:sz w:val="20"/>
        </w:rPr>
        <w:t>cent).</w:t>
      </w:r>
      <w:r>
        <w:rPr>
          <w:spacing w:val="-12"/>
          <w:sz w:val="20"/>
        </w:rPr>
        <w:t> </w:t>
      </w:r>
      <w:r>
        <w:rPr>
          <w:sz w:val="20"/>
        </w:rPr>
        <w:t>The requested</w:t>
      </w:r>
      <w:r>
        <w:rPr>
          <w:spacing w:val="-7"/>
          <w:sz w:val="20"/>
        </w:rPr>
        <w:t> </w:t>
      </w:r>
      <w:r>
        <w:rPr>
          <w:sz w:val="20"/>
        </w:rPr>
        <w:t>amount</w:t>
      </w:r>
      <w:r>
        <w:rPr>
          <w:spacing w:val="-6"/>
          <w:sz w:val="20"/>
        </w:rPr>
        <w:t> </w:t>
      </w:r>
      <w:r>
        <w:rPr>
          <w:sz w:val="20"/>
        </w:rPr>
        <w:t>mainly</w:t>
      </w:r>
      <w:r>
        <w:rPr>
          <w:spacing w:val="-7"/>
          <w:sz w:val="20"/>
        </w:rPr>
        <w:t> </w:t>
      </w:r>
      <w:r>
        <w:rPr>
          <w:sz w:val="20"/>
        </w:rPr>
        <w:t>relates</w:t>
      </w:r>
      <w:r>
        <w:rPr>
          <w:spacing w:val="-9"/>
          <w:sz w:val="20"/>
        </w:rPr>
        <w:t> </w:t>
      </w:r>
      <w:r>
        <w:rPr>
          <w:sz w:val="20"/>
        </w:rPr>
        <w:t>to</w:t>
      </w:r>
      <w:r>
        <w:rPr>
          <w:spacing w:val="-7"/>
          <w:sz w:val="20"/>
        </w:rPr>
        <w:t> </w:t>
      </w:r>
      <w:r>
        <w:rPr>
          <w:sz w:val="20"/>
        </w:rPr>
        <w:t>the</w:t>
      </w:r>
      <w:r>
        <w:rPr>
          <w:spacing w:val="-1"/>
          <w:sz w:val="20"/>
        </w:rPr>
        <w:t> </w:t>
      </w:r>
      <w:r>
        <w:rPr>
          <w:sz w:val="20"/>
        </w:rPr>
        <w:t>need</w:t>
      </w:r>
      <w:r>
        <w:rPr>
          <w:spacing w:val="-7"/>
          <w:sz w:val="20"/>
        </w:rPr>
        <w:t> </w:t>
      </w:r>
      <w:r>
        <w:rPr>
          <w:sz w:val="20"/>
        </w:rPr>
        <w:t>to</w:t>
      </w:r>
      <w:r>
        <w:rPr>
          <w:spacing w:val="-7"/>
          <w:sz w:val="20"/>
        </w:rPr>
        <w:t> </w:t>
      </w:r>
      <w:r>
        <w:rPr>
          <w:sz w:val="20"/>
        </w:rPr>
        <w:t>consolidate</w:t>
      </w:r>
      <w:r>
        <w:rPr>
          <w:spacing w:val="-1"/>
          <w:sz w:val="20"/>
        </w:rPr>
        <w:t> </w:t>
      </w:r>
      <w:r>
        <w:rPr>
          <w:sz w:val="20"/>
        </w:rPr>
        <w:t>ICT</w:t>
      </w:r>
      <w:r>
        <w:rPr>
          <w:spacing w:val="-1"/>
          <w:sz w:val="20"/>
        </w:rPr>
        <w:t> </w:t>
      </w:r>
      <w:r>
        <w:rPr>
          <w:sz w:val="20"/>
        </w:rPr>
        <w:t>systems</w:t>
      </w:r>
      <w:r>
        <w:rPr>
          <w:spacing w:val="-9"/>
          <w:sz w:val="20"/>
        </w:rPr>
        <w:t> </w:t>
      </w:r>
      <w:r>
        <w:rPr>
          <w:sz w:val="20"/>
        </w:rPr>
        <w:t>and</w:t>
      </w:r>
      <w:r>
        <w:rPr>
          <w:spacing w:val="-7"/>
          <w:sz w:val="20"/>
        </w:rPr>
        <w:t> </w:t>
      </w:r>
      <w:r>
        <w:rPr>
          <w:sz w:val="20"/>
        </w:rPr>
        <w:t>data</w:t>
      </w:r>
      <w:r>
        <w:rPr>
          <w:spacing w:val="-6"/>
          <w:sz w:val="20"/>
        </w:rPr>
        <w:t> </w:t>
      </w:r>
      <w:r>
        <w:rPr>
          <w:sz w:val="20"/>
        </w:rPr>
        <w:t>in</w:t>
      </w:r>
      <w:r>
        <w:rPr>
          <w:spacing w:val="-7"/>
          <w:sz w:val="20"/>
        </w:rPr>
        <w:t> </w:t>
      </w:r>
      <w:r>
        <w:rPr>
          <w:sz w:val="20"/>
        </w:rPr>
        <w:t>line</w:t>
      </w:r>
      <w:r>
        <w:rPr>
          <w:spacing w:val="-1"/>
          <w:sz w:val="20"/>
        </w:rPr>
        <w:t> </w:t>
      </w:r>
      <w:r>
        <w:rPr>
          <w:sz w:val="20"/>
        </w:rPr>
        <w:t>with the IT/IM strategy. In particular, the funds are required for a project to migrate legacy evidence to the newly implemented JWP system. While the JWP system is now up and running, it currently only applies to new cases although in the long run, all legacy data also needs to be integrated in this new platform. The amount required for the 2023 integration project is estimated at €300.0 thousand. The remaining funds are requested for consultancy expertise</w:t>
      </w:r>
      <w:r>
        <w:rPr>
          <w:spacing w:val="-3"/>
          <w:sz w:val="20"/>
        </w:rPr>
        <w:t> </w:t>
      </w:r>
      <w:r>
        <w:rPr>
          <w:sz w:val="20"/>
        </w:rPr>
        <w:t>on</w:t>
      </w:r>
      <w:r>
        <w:rPr>
          <w:spacing w:val="-9"/>
          <w:sz w:val="20"/>
        </w:rPr>
        <w:t> </w:t>
      </w:r>
      <w:r>
        <w:rPr>
          <w:sz w:val="20"/>
        </w:rPr>
        <w:t>maintenance</w:t>
      </w:r>
      <w:r>
        <w:rPr>
          <w:spacing w:val="-3"/>
          <w:sz w:val="20"/>
        </w:rPr>
        <w:t> </w:t>
      </w:r>
      <w:r>
        <w:rPr>
          <w:sz w:val="20"/>
        </w:rPr>
        <w:t>of</w:t>
      </w:r>
      <w:r>
        <w:rPr>
          <w:spacing w:val="-9"/>
          <w:sz w:val="20"/>
        </w:rPr>
        <w:t> </w:t>
      </w:r>
      <w:r>
        <w:rPr>
          <w:sz w:val="20"/>
        </w:rPr>
        <w:t>running</w:t>
      </w:r>
      <w:r>
        <w:rPr>
          <w:spacing w:val="-5"/>
          <w:sz w:val="20"/>
        </w:rPr>
        <w:t> </w:t>
      </w:r>
      <w:r>
        <w:rPr>
          <w:sz w:val="20"/>
        </w:rPr>
        <w:t>systems,</w:t>
      </w:r>
      <w:r>
        <w:rPr>
          <w:spacing w:val="-2"/>
          <w:sz w:val="20"/>
        </w:rPr>
        <w:t> </w:t>
      </w:r>
      <w:r>
        <w:rPr>
          <w:sz w:val="20"/>
        </w:rPr>
        <w:t>in</w:t>
      </w:r>
      <w:r>
        <w:rPr>
          <w:spacing w:val="-9"/>
          <w:sz w:val="20"/>
        </w:rPr>
        <w:t> </w:t>
      </w:r>
      <w:r>
        <w:rPr>
          <w:sz w:val="20"/>
        </w:rPr>
        <w:t>particular</w:t>
      </w:r>
      <w:r>
        <w:rPr>
          <w:spacing w:val="-9"/>
          <w:sz w:val="20"/>
        </w:rPr>
        <w:t> </w:t>
      </w:r>
      <w:r>
        <w:rPr>
          <w:sz w:val="20"/>
        </w:rPr>
        <w:t>continued</w:t>
      </w:r>
      <w:r>
        <w:rPr>
          <w:spacing w:val="-5"/>
          <w:sz w:val="20"/>
        </w:rPr>
        <w:t> </w:t>
      </w:r>
      <w:r>
        <w:rPr>
          <w:sz w:val="20"/>
        </w:rPr>
        <w:t>support</w:t>
      </w:r>
      <w:r>
        <w:rPr>
          <w:spacing w:val="-8"/>
          <w:sz w:val="20"/>
        </w:rPr>
        <w:t> </w:t>
      </w:r>
      <w:r>
        <w:rPr>
          <w:sz w:val="20"/>
        </w:rPr>
        <w:t>to</w:t>
      </w:r>
      <w:r>
        <w:rPr>
          <w:spacing w:val="-5"/>
          <w:sz w:val="20"/>
        </w:rPr>
        <w:t> </w:t>
      </w:r>
      <w:r>
        <w:rPr>
          <w:sz w:val="20"/>
        </w:rPr>
        <w:t>resolve</w:t>
      </w:r>
      <w:r>
        <w:rPr>
          <w:spacing w:val="-3"/>
          <w:sz w:val="20"/>
        </w:rPr>
        <w:t> </w:t>
      </w:r>
      <w:r>
        <w:rPr>
          <w:sz w:val="20"/>
        </w:rPr>
        <w:t>high complexity</w:t>
      </w:r>
      <w:r>
        <w:rPr>
          <w:spacing w:val="-5"/>
          <w:sz w:val="20"/>
        </w:rPr>
        <w:t> </w:t>
      </w:r>
      <w:r>
        <w:rPr>
          <w:sz w:val="20"/>
        </w:rPr>
        <w:t>incidents</w:t>
      </w:r>
      <w:r>
        <w:rPr>
          <w:spacing w:val="-6"/>
          <w:sz w:val="20"/>
        </w:rPr>
        <w:t> </w:t>
      </w:r>
      <w:r>
        <w:rPr>
          <w:sz w:val="20"/>
        </w:rPr>
        <w:t>with</w:t>
      </w:r>
      <w:r>
        <w:rPr>
          <w:spacing w:val="-5"/>
          <w:sz w:val="20"/>
        </w:rPr>
        <w:t> </w:t>
      </w:r>
      <w:r>
        <w:rPr>
          <w:sz w:val="20"/>
        </w:rPr>
        <w:t>SAP</w:t>
      </w:r>
      <w:r>
        <w:rPr>
          <w:spacing w:val="-6"/>
          <w:sz w:val="20"/>
        </w:rPr>
        <w:t> </w:t>
      </w:r>
      <w:r>
        <w:rPr>
          <w:sz w:val="20"/>
        </w:rPr>
        <w:t>and</w:t>
      </w:r>
      <w:r>
        <w:rPr>
          <w:spacing w:val="-5"/>
          <w:sz w:val="20"/>
        </w:rPr>
        <w:t> </w:t>
      </w:r>
      <w:r>
        <w:rPr>
          <w:sz w:val="20"/>
        </w:rPr>
        <w:t>SharePoint,</w:t>
      </w:r>
      <w:r>
        <w:rPr>
          <w:spacing w:val="-7"/>
          <w:sz w:val="20"/>
        </w:rPr>
        <w:t> </w:t>
      </w:r>
      <w:r>
        <w:rPr>
          <w:sz w:val="20"/>
        </w:rPr>
        <w:t>maintenance</w:t>
      </w:r>
      <w:r>
        <w:rPr>
          <w:spacing w:val="-8"/>
          <w:sz w:val="20"/>
        </w:rPr>
        <w:t> </w:t>
      </w:r>
      <w:r>
        <w:rPr>
          <w:sz w:val="20"/>
        </w:rPr>
        <w:t>of</w:t>
      </w:r>
      <w:r>
        <w:rPr>
          <w:spacing w:val="-5"/>
          <w:sz w:val="20"/>
        </w:rPr>
        <w:t> </w:t>
      </w:r>
      <w:r>
        <w:rPr>
          <w:sz w:val="20"/>
        </w:rPr>
        <w:t>high</w:t>
      </w:r>
      <w:r>
        <w:rPr>
          <w:spacing w:val="-5"/>
          <w:sz w:val="20"/>
        </w:rPr>
        <w:t> </w:t>
      </w:r>
      <w:r>
        <w:rPr>
          <w:sz w:val="20"/>
        </w:rPr>
        <w:t>availability</w:t>
      </w:r>
      <w:r>
        <w:rPr>
          <w:spacing w:val="-9"/>
          <w:sz w:val="20"/>
        </w:rPr>
        <w:t> </w:t>
      </w:r>
      <w:r>
        <w:rPr>
          <w:sz w:val="20"/>
        </w:rPr>
        <w:t>networking and data centre, and to support courtroom infrastructure and services (€86.0 thousand). Additionally,</w:t>
      </w:r>
      <w:r>
        <w:rPr>
          <w:spacing w:val="-13"/>
          <w:sz w:val="20"/>
        </w:rPr>
        <w:t> </w:t>
      </w:r>
      <w:r>
        <w:rPr>
          <w:sz w:val="20"/>
        </w:rPr>
        <w:t>€24.6</w:t>
      </w:r>
      <w:r>
        <w:rPr>
          <w:spacing w:val="-12"/>
          <w:sz w:val="20"/>
        </w:rPr>
        <w:t> </w:t>
      </w:r>
      <w:r>
        <w:rPr>
          <w:sz w:val="20"/>
        </w:rPr>
        <w:t>thousand</w:t>
      </w:r>
      <w:r>
        <w:rPr>
          <w:spacing w:val="-13"/>
          <w:sz w:val="20"/>
        </w:rPr>
        <w:t> </w:t>
      </w:r>
      <w:r>
        <w:rPr>
          <w:sz w:val="20"/>
        </w:rPr>
        <w:t>is</w:t>
      </w:r>
      <w:r>
        <w:rPr>
          <w:spacing w:val="-12"/>
          <w:sz w:val="20"/>
        </w:rPr>
        <w:t> </w:t>
      </w:r>
      <w:r>
        <w:rPr>
          <w:sz w:val="20"/>
        </w:rPr>
        <w:t>requested</w:t>
      </w:r>
      <w:r>
        <w:rPr>
          <w:spacing w:val="-13"/>
          <w:sz w:val="20"/>
        </w:rPr>
        <w:t> </w:t>
      </w:r>
      <w:r>
        <w:rPr>
          <w:sz w:val="20"/>
        </w:rPr>
        <w:t>for</w:t>
      </w:r>
      <w:r>
        <w:rPr>
          <w:spacing w:val="-12"/>
          <w:sz w:val="20"/>
        </w:rPr>
        <w:t> </w:t>
      </w:r>
      <w:r>
        <w:rPr>
          <w:sz w:val="20"/>
        </w:rPr>
        <w:t>the</w:t>
      </w:r>
      <w:r>
        <w:rPr>
          <w:spacing w:val="-13"/>
          <w:sz w:val="20"/>
        </w:rPr>
        <w:t> </w:t>
      </w:r>
      <w:r>
        <w:rPr>
          <w:sz w:val="20"/>
        </w:rPr>
        <w:t>Court’s</w:t>
      </w:r>
      <w:r>
        <w:rPr>
          <w:spacing w:val="-12"/>
          <w:sz w:val="20"/>
        </w:rPr>
        <w:t> </w:t>
      </w:r>
      <w:r>
        <w:rPr>
          <w:sz w:val="20"/>
        </w:rPr>
        <w:t>legacy</w:t>
      </w:r>
      <w:r>
        <w:rPr>
          <w:spacing w:val="-13"/>
          <w:sz w:val="20"/>
        </w:rPr>
        <w:t> </w:t>
      </w:r>
      <w:r>
        <w:rPr>
          <w:sz w:val="20"/>
        </w:rPr>
        <w:t>and</w:t>
      </w:r>
      <w:r>
        <w:rPr>
          <w:spacing w:val="-12"/>
          <w:sz w:val="20"/>
        </w:rPr>
        <w:t> </w:t>
      </w:r>
      <w:r>
        <w:rPr>
          <w:sz w:val="20"/>
        </w:rPr>
        <w:t>archives</w:t>
      </w:r>
      <w:r>
        <w:rPr>
          <w:spacing w:val="-13"/>
          <w:sz w:val="20"/>
        </w:rPr>
        <w:t> </w:t>
      </w:r>
      <w:r>
        <w:rPr>
          <w:sz w:val="20"/>
        </w:rPr>
        <w:t>material</w:t>
      </w:r>
      <w:r>
        <w:rPr>
          <w:spacing w:val="-12"/>
          <w:sz w:val="20"/>
        </w:rPr>
        <w:t> </w:t>
      </w:r>
      <w:r>
        <w:rPr>
          <w:sz w:val="20"/>
        </w:rPr>
        <w:t>project and</w:t>
      </w:r>
      <w:r>
        <w:rPr>
          <w:spacing w:val="-13"/>
          <w:sz w:val="20"/>
        </w:rPr>
        <w:t> </w:t>
      </w:r>
      <w:r>
        <w:rPr>
          <w:sz w:val="20"/>
        </w:rPr>
        <w:t>for</w:t>
      </w:r>
      <w:r>
        <w:rPr>
          <w:spacing w:val="-12"/>
          <w:sz w:val="20"/>
        </w:rPr>
        <w:t> </w:t>
      </w:r>
      <w:r>
        <w:rPr>
          <w:sz w:val="20"/>
        </w:rPr>
        <w:t>the</w:t>
      </w:r>
      <w:r>
        <w:rPr>
          <w:spacing w:val="-13"/>
          <w:sz w:val="20"/>
        </w:rPr>
        <w:t> </w:t>
      </w:r>
      <w:r>
        <w:rPr>
          <w:sz w:val="20"/>
        </w:rPr>
        <w:t>Auditor’s</w:t>
      </w:r>
      <w:r>
        <w:rPr>
          <w:spacing w:val="-12"/>
          <w:sz w:val="20"/>
        </w:rPr>
        <w:t> </w:t>
      </w:r>
      <w:r>
        <w:rPr>
          <w:sz w:val="20"/>
        </w:rPr>
        <w:t>software</w:t>
      </w:r>
      <w:r>
        <w:rPr>
          <w:spacing w:val="-13"/>
          <w:sz w:val="20"/>
        </w:rPr>
        <w:t> </w:t>
      </w:r>
      <w:r>
        <w:rPr>
          <w:sz w:val="20"/>
        </w:rPr>
        <w:t>upgrade.</w:t>
      </w:r>
      <w:r>
        <w:rPr>
          <w:spacing w:val="-12"/>
          <w:sz w:val="20"/>
        </w:rPr>
        <w:t> </w:t>
      </w:r>
      <w:r>
        <w:rPr>
          <w:sz w:val="20"/>
        </w:rPr>
        <w:t>It</w:t>
      </w:r>
      <w:r>
        <w:rPr>
          <w:spacing w:val="-13"/>
          <w:sz w:val="20"/>
        </w:rPr>
        <w:t> </w:t>
      </w:r>
      <w:r>
        <w:rPr>
          <w:sz w:val="20"/>
        </w:rPr>
        <w:t>should</w:t>
      </w:r>
      <w:r>
        <w:rPr>
          <w:spacing w:val="-12"/>
          <w:sz w:val="20"/>
        </w:rPr>
        <w:t> </w:t>
      </w:r>
      <w:r>
        <w:rPr>
          <w:sz w:val="20"/>
        </w:rPr>
        <w:t>be</w:t>
      </w:r>
      <w:r>
        <w:rPr>
          <w:spacing w:val="-13"/>
          <w:sz w:val="20"/>
        </w:rPr>
        <w:t> </w:t>
      </w:r>
      <w:r>
        <w:rPr>
          <w:sz w:val="20"/>
        </w:rPr>
        <w:t>noted</w:t>
      </w:r>
      <w:r>
        <w:rPr>
          <w:spacing w:val="-12"/>
          <w:sz w:val="20"/>
        </w:rPr>
        <w:t> </w:t>
      </w:r>
      <w:r>
        <w:rPr>
          <w:sz w:val="20"/>
        </w:rPr>
        <w:t>that</w:t>
      </w:r>
      <w:r>
        <w:rPr>
          <w:spacing w:val="-13"/>
          <w:sz w:val="20"/>
        </w:rPr>
        <w:t> </w:t>
      </w:r>
      <w:r>
        <w:rPr>
          <w:sz w:val="20"/>
        </w:rPr>
        <w:t>the</w:t>
      </w:r>
      <w:r>
        <w:rPr>
          <w:spacing w:val="-12"/>
          <w:sz w:val="20"/>
        </w:rPr>
        <w:t> </w:t>
      </w:r>
      <w:r>
        <w:rPr>
          <w:sz w:val="20"/>
        </w:rPr>
        <w:t>funds</w:t>
      </w:r>
      <w:r>
        <w:rPr>
          <w:spacing w:val="-13"/>
          <w:sz w:val="20"/>
        </w:rPr>
        <w:t> </w:t>
      </w:r>
      <w:r>
        <w:rPr>
          <w:sz w:val="20"/>
        </w:rPr>
        <w:t>for</w:t>
      </w:r>
      <w:r>
        <w:rPr>
          <w:spacing w:val="-12"/>
          <w:sz w:val="20"/>
        </w:rPr>
        <w:t> </w:t>
      </w:r>
      <w:r>
        <w:rPr>
          <w:sz w:val="20"/>
        </w:rPr>
        <w:t>the</w:t>
      </w:r>
      <w:r>
        <w:rPr>
          <w:spacing w:val="-13"/>
          <w:sz w:val="20"/>
        </w:rPr>
        <w:t> </w:t>
      </w:r>
      <w:r>
        <w:rPr>
          <w:sz w:val="20"/>
        </w:rPr>
        <w:t>legacy</w:t>
      </w:r>
      <w:r>
        <w:rPr>
          <w:spacing w:val="-12"/>
          <w:sz w:val="20"/>
        </w:rPr>
        <w:t> </w:t>
      </w:r>
      <w:r>
        <w:rPr>
          <w:sz w:val="20"/>
        </w:rPr>
        <w:t>project were requested last year but were not approved by the Committee. If these funds are not approved this year, the system will have to run unsupported.</w:t>
      </w:r>
    </w:p>
    <w:p>
      <w:pPr>
        <w:spacing w:after="0" w:line="240" w:lineRule="auto"/>
        <w:jc w:val="both"/>
        <w:rPr>
          <w:sz w:val="20"/>
        </w:rPr>
        <w:sectPr>
          <w:pgSz w:w="11910" w:h="16840"/>
          <w:pgMar w:header="953" w:footer="940" w:top="1140" w:bottom="1140" w:left="20" w:right="20"/>
        </w:sectPr>
      </w:pPr>
    </w:p>
    <w:p>
      <w:pPr>
        <w:pStyle w:val="ListParagraph"/>
        <w:numPr>
          <w:ilvl w:val="0"/>
          <w:numId w:val="4"/>
        </w:numPr>
        <w:tabs>
          <w:tab w:pos="2967" w:val="left" w:leader="none"/>
        </w:tabs>
        <w:spacing w:line="240" w:lineRule="auto" w:before="120" w:after="0"/>
        <w:ind w:left="2246" w:right="2244" w:firstLine="0"/>
        <w:jc w:val="both"/>
        <w:rPr>
          <w:sz w:val="20"/>
        </w:rPr>
      </w:pPr>
      <w:r>
        <w:rPr>
          <w:sz w:val="20"/>
        </w:rPr>
        <w:t>Resources in the amount of €123.7 thousand are required in LSS, representing a reduction of €34.0 thousand. Outsourcing remains essential to the provision of translation services, as not all languages are available in-house. Translations in the Court’s working languages</w:t>
      </w:r>
      <w:r>
        <w:rPr>
          <w:spacing w:val="-6"/>
          <w:sz w:val="20"/>
        </w:rPr>
        <w:t> </w:t>
      </w:r>
      <w:r>
        <w:rPr>
          <w:sz w:val="20"/>
        </w:rPr>
        <w:t>may</w:t>
      </w:r>
      <w:r>
        <w:rPr>
          <w:spacing w:val="-5"/>
          <w:sz w:val="20"/>
        </w:rPr>
        <w:t> </w:t>
      </w:r>
      <w:r>
        <w:rPr>
          <w:sz w:val="20"/>
        </w:rPr>
        <w:t>also</w:t>
      </w:r>
      <w:r>
        <w:rPr>
          <w:spacing w:val="-5"/>
          <w:sz w:val="20"/>
        </w:rPr>
        <w:t> </w:t>
      </w:r>
      <w:r>
        <w:rPr>
          <w:sz w:val="20"/>
        </w:rPr>
        <w:t>be</w:t>
      </w:r>
      <w:r>
        <w:rPr>
          <w:spacing w:val="-3"/>
          <w:sz w:val="20"/>
        </w:rPr>
        <w:t> </w:t>
      </w:r>
      <w:r>
        <w:rPr>
          <w:sz w:val="20"/>
        </w:rPr>
        <w:t>outsourced</w:t>
      </w:r>
      <w:r>
        <w:rPr>
          <w:spacing w:val="-5"/>
          <w:sz w:val="20"/>
        </w:rPr>
        <w:t> </w:t>
      </w:r>
      <w:r>
        <w:rPr>
          <w:sz w:val="20"/>
        </w:rPr>
        <w:t>where</w:t>
      </w:r>
      <w:r>
        <w:rPr>
          <w:spacing w:val="-3"/>
          <w:sz w:val="20"/>
        </w:rPr>
        <w:t> </w:t>
      </w:r>
      <w:r>
        <w:rPr>
          <w:sz w:val="20"/>
        </w:rPr>
        <w:t>all</w:t>
      </w:r>
      <w:r>
        <w:rPr>
          <w:spacing w:val="-3"/>
          <w:sz w:val="20"/>
        </w:rPr>
        <w:t> </w:t>
      </w:r>
      <w:r>
        <w:rPr>
          <w:sz w:val="20"/>
        </w:rPr>
        <w:t>in-house</w:t>
      </w:r>
      <w:r>
        <w:rPr>
          <w:spacing w:val="-3"/>
          <w:sz w:val="20"/>
        </w:rPr>
        <w:t> </w:t>
      </w:r>
      <w:r>
        <w:rPr>
          <w:sz w:val="20"/>
        </w:rPr>
        <w:t>translation</w:t>
      </w:r>
      <w:r>
        <w:rPr>
          <w:spacing w:val="-5"/>
          <w:sz w:val="20"/>
        </w:rPr>
        <w:t> </w:t>
      </w:r>
      <w:r>
        <w:rPr>
          <w:sz w:val="20"/>
        </w:rPr>
        <w:t>resources</w:t>
      </w:r>
      <w:r>
        <w:rPr>
          <w:spacing w:val="-6"/>
          <w:sz w:val="20"/>
        </w:rPr>
        <w:t> </w:t>
      </w:r>
      <w:r>
        <w:rPr>
          <w:sz w:val="20"/>
        </w:rPr>
        <w:t>are</w:t>
      </w:r>
      <w:r>
        <w:rPr>
          <w:spacing w:val="-8"/>
          <w:sz w:val="20"/>
        </w:rPr>
        <w:t> </w:t>
      </w:r>
      <w:r>
        <w:rPr>
          <w:sz w:val="20"/>
        </w:rPr>
        <w:t>already</w:t>
      </w:r>
      <w:r>
        <w:rPr>
          <w:spacing w:val="-5"/>
          <w:sz w:val="20"/>
        </w:rPr>
        <w:t> </w:t>
      </w:r>
      <w:r>
        <w:rPr>
          <w:sz w:val="20"/>
        </w:rPr>
        <w:t>being used at</w:t>
      </w:r>
      <w:r>
        <w:rPr>
          <w:spacing w:val="-2"/>
          <w:sz w:val="20"/>
        </w:rPr>
        <w:t> </w:t>
      </w:r>
      <w:r>
        <w:rPr>
          <w:sz w:val="20"/>
        </w:rPr>
        <w:t>capacity. Furthermore, outsourcing is necessary for judicial cooperation purposes to enable translation from and into the languages of communication chosen by States Parties. Most such</w:t>
      </w:r>
      <w:r>
        <w:rPr>
          <w:spacing w:val="-3"/>
          <w:sz w:val="20"/>
        </w:rPr>
        <w:t> </w:t>
      </w:r>
      <w:r>
        <w:rPr>
          <w:sz w:val="20"/>
        </w:rPr>
        <w:t>languages</w:t>
      </w:r>
      <w:r>
        <w:rPr>
          <w:spacing w:val="-4"/>
          <w:sz w:val="20"/>
        </w:rPr>
        <w:t> </w:t>
      </w:r>
      <w:r>
        <w:rPr>
          <w:sz w:val="20"/>
        </w:rPr>
        <w:t>are not</w:t>
      </w:r>
      <w:r>
        <w:rPr>
          <w:spacing w:val="-1"/>
          <w:sz w:val="20"/>
        </w:rPr>
        <w:t> </w:t>
      </w:r>
      <w:r>
        <w:rPr>
          <w:sz w:val="20"/>
        </w:rPr>
        <w:t>supported</w:t>
      </w:r>
      <w:r>
        <w:rPr>
          <w:spacing w:val="-3"/>
          <w:sz w:val="20"/>
        </w:rPr>
        <w:t> </w:t>
      </w:r>
      <w:r>
        <w:rPr>
          <w:sz w:val="20"/>
        </w:rPr>
        <w:t>in-house. The</w:t>
      </w:r>
      <w:r>
        <w:rPr>
          <w:spacing w:val="-1"/>
          <w:sz w:val="20"/>
        </w:rPr>
        <w:t> </w:t>
      </w:r>
      <w:r>
        <w:rPr>
          <w:sz w:val="20"/>
        </w:rPr>
        <w:t>rates paid</w:t>
      </w:r>
      <w:r>
        <w:rPr>
          <w:spacing w:val="-3"/>
          <w:sz w:val="20"/>
        </w:rPr>
        <w:t> </w:t>
      </w:r>
      <w:r>
        <w:rPr>
          <w:sz w:val="20"/>
        </w:rPr>
        <w:t>by the</w:t>
      </w:r>
      <w:r>
        <w:rPr>
          <w:spacing w:val="-1"/>
          <w:sz w:val="20"/>
        </w:rPr>
        <w:t> </w:t>
      </w:r>
      <w:r>
        <w:rPr>
          <w:sz w:val="20"/>
        </w:rPr>
        <w:t>Court</w:t>
      </w:r>
      <w:r>
        <w:rPr>
          <w:spacing w:val="-1"/>
          <w:sz w:val="20"/>
        </w:rPr>
        <w:t> </w:t>
      </w:r>
      <w:r>
        <w:rPr>
          <w:sz w:val="20"/>
        </w:rPr>
        <w:t>for</w:t>
      </w:r>
      <w:r>
        <w:rPr>
          <w:spacing w:val="-2"/>
          <w:sz w:val="20"/>
        </w:rPr>
        <w:t> </w:t>
      </w:r>
      <w:r>
        <w:rPr>
          <w:sz w:val="20"/>
        </w:rPr>
        <w:t>outsourced translation have not changed since 2003.</w:t>
      </w:r>
    </w:p>
    <w:p>
      <w:pPr>
        <w:pStyle w:val="ListParagraph"/>
        <w:numPr>
          <w:ilvl w:val="0"/>
          <w:numId w:val="4"/>
        </w:numPr>
        <w:tabs>
          <w:tab w:pos="2967" w:val="left" w:leader="none"/>
        </w:tabs>
        <w:spacing w:line="237" w:lineRule="auto" w:before="126" w:after="0"/>
        <w:ind w:left="2246" w:right="2239" w:firstLine="0"/>
        <w:jc w:val="both"/>
        <w:rPr>
          <w:sz w:val="20"/>
        </w:rPr>
      </w:pPr>
      <w:r>
        <w:rPr>
          <w:sz w:val="20"/>
        </w:rPr>
        <w:t>The</w:t>
      </w:r>
      <w:r>
        <w:rPr>
          <w:spacing w:val="40"/>
          <w:sz w:val="20"/>
        </w:rPr>
        <w:t> </w:t>
      </w:r>
      <w:r>
        <w:rPr>
          <w:sz w:val="20"/>
        </w:rPr>
        <w:t>amount</w:t>
      </w:r>
      <w:r>
        <w:rPr>
          <w:spacing w:val="40"/>
          <w:sz w:val="20"/>
        </w:rPr>
        <w:t> </w:t>
      </w:r>
      <w:r>
        <w:rPr>
          <w:sz w:val="20"/>
        </w:rPr>
        <w:t>requested</w:t>
      </w:r>
      <w:r>
        <w:rPr>
          <w:spacing w:val="40"/>
          <w:sz w:val="20"/>
        </w:rPr>
        <w:t> </w:t>
      </w:r>
      <w:r>
        <w:rPr>
          <w:sz w:val="20"/>
        </w:rPr>
        <w:t>by</w:t>
      </w:r>
      <w:r>
        <w:rPr>
          <w:spacing w:val="40"/>
          <w:sz w:val="20"/>
        </w:rPr>
        <w:t> </w:t>
      </w:r>
      <w:r>
        <w:rPr>
          <w:sz w:val="20"/>
        </w:rPr>
        <w:t>VPRS</w:t>
      </w:r>
      <w:r>
        <w:rPr>
          <w:spacing w:val="80"/>
          <w:sz w:val="20"/>
        </w:rPr>
        <w:t> </w:t>
      </w:r>
      <w:r>
        <w:rPr>
          <w:sz w:val="20"/>
        </w:rPr>
        <w:t>remains</w:t>
      </w:r>
      <w:r>
        <w:rPr>
          <w:spacing w:val="40"/>
          <w:sz w:val="20"/>
        </w:rPr>
        <w:t> </w:t>
      </w:r>
      <w:r>
        <w:rPr>
          <w:sz w:val="20"/>
        </w:rPr>
        <w:t>at</w:t>
      </w:r>
      <w:r>
        <w:rPr>
          <w:spacing w:val="40"/>
          <w:sz w:val="20"/>
        </w:rPr>
        <w:t> </w:t>
      </w:r>
      <w:r>
        <w:rPr>
          <w:sz w:val="20"/>
        </w:rPr>
        <w:t>the</w:t>
      </w:r>
      <w:r>
        <w:rPr>
          <w:spacing w:val="40"/>
          <w:sz w:val="20"/>
        </w:rPr>
        <w:t> </w:t>
      </w:r>
      <w:r>
        <w:rPr>
          <w:sz w:val="20"/>
        </w:rPr>
        <w:t>level</w:t>
      </w:r>
      <w:r>
        <w:rPr>
          <w:spacing w:val="40"/>
          <w:sz w:val="20"/>
        </w:rPr>
        <w:t> </w:t>
      </w:r>
      <w:r>
        <w:rPr>
          <w:sz w:val="20"/>
        </w:rPr>
        <w:t>approved</w:t>
      </w:r>
      <w:r>
        <w:rPr>
          <w:spacing w:val="40"/>
          <w:sz w:val="20"/>
        </w:rPr>
        <w:t> </w:t>
      </w:r>
      <w:r>
        <w:rPr>
          <w:sz w:val="20"/>
        </w:rPr>
        <w:t>for</w:t>
      </w:r>
      <w:r>
        <w:rPr>
          <w:spacing w:val="40"/>
          <w:sz w:val="20"/>
        </w:rPr>
        <w:t> </w:t>
      </w:r>
      <w:r>
        <w:rPr>
          <w:sz w:val="20"/>
        </w:rPr>
        <w:t>2022</w:t>
      </w:r>
      <w:r>
        <w:rPr>
          <w:spacing w:val="80"/>
          <w:sz w:val="20"/>
        </w:rPr>
        <w:t> </w:t>
      </w:r>
      <w:r>
        <w:rPr>
          <w:sz w:val="20"/>
        </w:rPr>
        <w:t>(€6.0</w:t>
      </w:r>
      <w:r>
        <w:rPr>
          <w:spacing w:val="-4"/>
          <w:sz w:val="20"/>
        </w:rPr>
        <w:t> </w:t>
      </w:r>
      <w:r>
        <w:rPr>
          <w:sz w:val="20"/>
        </w:rPr>
        <w:t>thousand). The resources in question are required, particularly where country offices cannot</w:t>
      </w:r>
      <w:r>
        <w:rPr>
          <w:spacing w:val="-3"/>
          <w:sz w:val="20"/>
        </w:rPr>
        <w:t> </w:t>
      </w:r>
      <w:r>
        <w:rPr>
          <w:sz w:val="20"/>
        </w:rPr>
        <w:t>assist, for specialized</w:t>
      </w:r>
      <w:r>
        <w:rPr>
          <w:spacing w:val="-5"/>
          <w:sz w:val="20"/>
        </w:rPr>
        <w:t> </w:t>
      </w:r>
      <w:r>
        <w:rPr>
          <w:sz w:val="20"/>
        </w:rPr>
        <w:t>services</w:t>
      </w:r>
      <w:r>
        <w:rPr>
          <w:spacing w:val="-1"/>
          <w:sz w:val="20"/>
        </w:rPr>
        <w:t> </w:t>
      </w:r>
      <w:r>
        <w:rPr>
          <w:sz w:val="20"/>
        </w:rPr>
        <w:t>and facilities</w:t>
      </w:r>
      <w:r>
        <w:rPr>
          <w:spacing w:val="-1"/>
          <w:sz w:val="20"/>
        </w:rPr>
        <w:t> </w:t>
      </w:r>
      <w:r>
        <w:rPr>
          <w:sz w:val="20"/>
        </w:rPr>
        <w:t>needed</w:t>
      </w:r>
      <w:r>
        <w:rPr>
          <w:spacing w:val="-5"/>
          <w:sz w:val="20"/>
        </w:rPr>
        <w:t> </w:t>
      </w:r>
      <w:r>
        <w:rPr>
          <w:sz w:val="20"/>
        </w:rPr>
        <w:t>by VPRS</w:t>
      </w:r>
      <w:r>
        <w:rPr>
          <w:spacing w:val="-2"/>
          <w:sz w:val="20"/>
        </w:rPr>
        <w:t> </w:t>
      </w:r>
      <w:r>
        <w:rPr>
          <w:sz w:val="20"/>
        </w:rPr>
        <w:t>staff</w:t>
      </w:r>
      <w:r>
        <w:rPr>
          <w:spacing w:val="-4"/>
          <w:sz w:val="20"/>
        </w:rPr>
        <w:t> </w:t>
      </w:r>
      <w:r>
        <w:rPr>
          <w:sz w:val="20"/>
        </w:rPr>
        <w:t>(and</w:t>
      </w:r>
      <w:r>
        <w:rPr>
          <w:spacing w:val="-5"/>
          <w:sz w:val="20"/>
        </w:rPr>
        <w:t> </w:t>
      </w:r>
      <w:r>
        <w:rPr>
          <w:sz w:val="20"/>
        </w:rPr>
        <w:t>not</w:t>
      </w:r>
      <w:r>
        <w:rPr>
          <w:spacing w:val="-3"/>
          <w:sz w:val="20"/>
        </w:rPr>
        <w:t> </w:t>
      </w:r>
      <w:r>
        <w:rPr>
          <w:sz w:val="20"/>
        </w:rPr>
        <w:t>available in-house) to carry out relevant activities in the field with victims and victim groups.</w:t>
      </w:r>
    </w:p>
    <w:p>
      <w:pPr>
        <w:pStyle w:val="ListParagraph"/>
        <w:numPr>
          <w:ilvl w:val="0"/>
          <w:numId w:val="4"/>
        </w:numPr>
        <w:tabs>
          <w:tab w:pos="2967" w:val="left" w:leader="none"/>
        </w:tabs>
        <w:spacing w:line="240" w:lineRule="auto" w:before="125" w:after="0"/>
        <w:ind w:left="2246" w:right="2241" w:firstLine="0"/>
        <w:jc w:val="both"/>
        <w:rPr>
          <w:sz w:val="20"/>
        </w:rPr>
      </w:pPr>
      <w:r>
        <w:rPr>
          <w:sz w:val="20"/>
        </w:rPr>
        <w:t>The amount requested by OPCV (€50.0 thousand) remains at the level approved for 2022 and continues to be needed for OPCV’s participation in ongoing judicial proceedings and to reimburse transport fees to victims who travel from their place of residence to a safe location to meet with counsel.</w:t>
      </w:r>
    </w:p>
    <w:p>
      <w:pPr>
        <w:pStyle w:val="BodyText"/>
        <w:rPr>
          <w:sz w:val="21"/>
        </w:rPr>
      </w:pPr>
    </w:p>
    <w:p>
      <w:pPr>
        <w:tabs>
          <w:tab w:pos="8383" w:val="left" w:leader="none"/>
        </w:tabs>
        <w:spacing w:before="0"/>
        <w:ind w:left="2246" w:right="0" w:firstLine="0"/>
        <w:jc w:val="both"/>
        <w:rPr>
          <w:i/>
          <w:sz w:val="20"/>
        </w:rPr>
      </w:pPr>
      <w:r>
        <w:rPr>
          <w:i/>
          <w:spacing w:val="-2"/>
          <w:sz w:val="20"/>
        </w:rPr>
        <w:t>Training</w:t>
      </w:r>
      <w:r>
        <w:rPr>
          <w:i/>
          <w:sz w:val="20"/>
        </w:rPr>
        <w:tab/>
        <w:t>€65.0</w:t>
      </w:r>
      <w:r>
        <w:rPr>
          <w:i/>
          <w:spacing w:val="-3"/>
          <w:sz w:val="20"/>
        </w:rPr>
        <w:t> </w:t>
      </w:r>
      <w:r>
        <w:rPr>
          <w:i/>
          <w:spacing w:val="-2"/>
          <w:sz w:val="20"/>
        </w:rPr>
        <w:t>thousand</w:t>
      </w:r>
    </w:p>
    <w:p>
      <w:pPr>
        <w:pStyle w:val="BodyText"/>
        <w:spacing w:before="10"/>
        <w:rPr>
          <w:i/>
        </w:rPr>
      </w:pPr>
    </w:p>
    <w:p>
      <w:pPr>
        <w:pStyle w:val="ListParagraph"/>
        <w:numPr>
          <w:ilvl w:val="0"/>
          <w:numId w:val="4"/>
        </w:numPr>
        <w:tabs>
          <w:tab w:pos="2967" w:val="left" w:leader="none"/>
        </w:tabs>
        <w:spacing w:line="240" w:lineRule="auto" w:before="0" w:after="0"/>
        <w:ind w:left="2246" w:right="2235" w:firstLine="0"/>
        <w:jc w:val="both"/>
        <w:rPr>
          <w:sz w:val="20"/>
        </w:rPr>
      </w:pPr>
      <w:r>
        <w:rPr>
          <w:sz w:val="20"/>
        </w:rPr>
        <w:t>The</w:t>
      </w:r>
      <w:r>
        <w:rPr>
          <w:spacing w:val="27"/>
          <w:sz w:val="20"/>
        </w:rPr>
        <w:t> </w:t>
      </w:r>
      <w:r>
        <w:rPr>
          <w:sz w:val="20"/>
        </w:rPr>
        <w:t>amount</w:t>
      </w:r>
      <w:r>
        <w:rPr>
          <w:spacing w:val="27"/>
          <w:sz w:val="20"/>
        </w:rPr>
        <w:t> </w:t>
      </w:r>
      <w:r>
        <w:rPr>
          <w:sz w:val="20"/>
        </w:rPr>
        <w:t>proposed</w:t>
      </w:r>
      <w:r>
        <w:rPr>
          <w:spacing w:val="25"/>
          <w:sz w:val="20"/>
        </w:rPr>
        <w:t> </w:t>
      </w:r>
      <w:r>
        <w:rPr>
          <w:sz w:val="20"/>
        </w:rPr>
        <w:t>remains</w:t>
      </w:r>
      <w:r>
        <w:rPr>
          <w:spacing w:val="24"/>
          <w:sz w:val="20"/>
        </w:rPr>
        <w:t> </w:t>
      </w:r>
      <w:r>
        <w:rPr>
          <w:sz w:val="20"/>
        </w:rPr>
        <w:t>at</w:t>
      </w:r>
      <w:r>
        <w:rPr>
          <w:spacing w:val="27"/>
          <w:sz w:val="20"/>
        </w:rPr>
        <w:t> </w:t>
      </w:r>
      <w:r>
        <w:rPr>
          <w:sz w:val="20"/>
        </w:rPr>
        <w:t>the</w:t>
      </w:r>
      <w:r>
        <w:rPr>
          <w:spacing w:val="27"/>
          <w:sz w:val="20"/>
        </w:rPr>
        <w:t> </w:t>
      </w:r>
      <w:r>
        <w:rPr>
          <w:sz w:val="20"/>
        </w:rPr>
        <w:t>same</w:t>
      </w:r>
      <w:r>
        <w:rPr>
          <w:spacing w:val="27"/>
          <w:sz w:val="20"/>
        </w:rPr>
        <w:t> </w:t>
      </w:r>
      <w:r>
        <w:rPr>
          <w:sz w:val="20"/>
        </w:rPr>
        <w:t>level</w:t>
      </w:r>
      <w:r>
        <w:rPr>
          <w:spacing w:val="27"/>
          <w:sz w:val="20"/>
        </w:rPr>
        <w:t> </w:t>
      </w:r>
      <w:r>
        <w:rPr>
          <w:sz w:val="20"/>
        </w:rPr>
        <w:t>as</w:t>
      </w:r>
      <w:r>
        <w:rPr>
          <w:spacing w:val="24"/>
          <w:sz w:val="20"/>
        </w:rPr>
        <w:t> </w:t>
      </w:r>
      <w:r>
        <w:rPr>
          <w:sz w:val="20"/>
        </w:rPr>
        <w:t>that</w:t>
      </w:r>
      <w:r>
        <w:rPr>
          <w:spacing w:val="27"/>
          <w:sz w:val="20"/>
        </w:rPr>
        <w:t> </w:t>
      </w:r>
      <w:r>
        <w:rPr>
          <w:sz w:val="20"/>
        </w:rPr>
        <w:t>of</w:t>
      </w:r>
      <w:r>
        <w:rPr>
          <w:spacing w:val="25"/>
          <w:sz w:val="20"/>
        </w:rPr>
        <w:t> </w:t>
      </w:r>
      <w:r>
        <w:rPr>
          <w:sz w:val="20"/>
        </w:rPr>
        <w:t>the</w:t>
      </w:r>
      <w:r>
        <w:rPr>
          <w:spacing w:val="27"/>
          <w:sz w:val="20"/>
        </w:rPr>
        <w:t> </w:t>
      </w:r>
      <w:r>
        <w:rPr>
          <w:sz w:val="20"/>
        </w:rPr>
        <w:t>approved</w:t>
      </w:r>
      <w:r>
        <w:rPr>
          <w:spacing w:val="25"/>
          <w:sz w:val="20"/>
        </w:rPr>
        <w:t> </w:t>
      </w:r>
      <w:r>
        <w:rPr>
          <w:sz w:val="20"/>
        </w:rPr>
        <w:t>budget for 2022.</w:t>
      </w:r>
      <w:r>
        <w:rPr>
          <w:spacing w:val="-1"/>
          <w:sz w:val="20"/>
        </w:rPr>
        <w:t> </w:t>
      </w:r>
      <w:r>
        <w:rPr>
          <w:sz w:val="20"/>
        </w:rPr>
        <w:t>The staff</w:t>
      </w:r>
      <w:r>
        <w:rPr>
          <w:spacing w:val="-3"/>
          <w:sz w:val="20"/>
        </w:rPr>
        <w:t> </w:t>
      </w:r>
      <w:r>
        <w:rPr>
          <w:sz w:val="20"/>
        </w:rPr>
        <w:t>training resources requested for</w:t>
      </w:r>
      <w:r>
        <w:rPr>
          <w:spacing w:val="-4"/>
          <w:sz w:val="20"/>
        </w:rPr>
        <w:t> </w:t>
      </w:r>
      <w:r>
        <w:rPr>
          <w:sz w:val="20"/>
        </w:rPr>
        <w:t>2023</w:t>
      </w:r>
      <w:r>
        <w:rPr>
          <w:spacing w:val="-4"/>
          <w:sz w:val="20"/>
        </w:rPr>
        <w:t> </w:t>
      </w:r>
      <w:r>
        <w:rPr>
          <w:sz w:val="20"/>
        </w:rPr>
        <w:t>are</w:t>
      </w:r>
      <w:r>
        <w:rPr>
          <w:spacing w:val="-2"/>
          <w:sz w:val="20"/>
        </w:rPr>
        <w:t> </w:t>
      </w:r>
      <w:r>
        <w:rPr>
          <w:sz w:val="20"/>
        </w:rPr>
        <w:t>essential to</w:t>
      </w:r>
      <w:r>
        <w:rPr>
          <w:spacing w:val="-4"/>
          <w:sz w:val="20"/>
        </w:rPr>
        <w:t> </w:t>
      </w:r>
      <w:r>
        <w:rPr>
          <w:sz w:val="20"/>
        </w:rPr>
        <w:t>enable DJS</w:t>
      </w:r>
      <w:r>
        <w:rPr>
          <w:spacing w:val="-5"/>
          <w:sz w:val="20"/>
        </w:rPr>
        <w:t> </w:t>
      </w:r>
      <w:r>
        <w:rPr>
          <w:sz w:val="20"/>
        </w:rPr>
        <w:t>to</w:t>
      </w:r>
      <w:r>
        <w:rPr>
          <w:spacing w:val="-4"/>
          <w:sz w:val="20"/>
        </w:rPr>
        <w:t> </w:t>
      </w:r>
      <w:r>
        <w:rPr>
          <w:sz w:val="20"/>
        </w:rPr>
        <w:t>cope with changes in its workload and to cover any additional expertise required. A number of sections must maintain a certain level of technical expertise if the Registry is to provide optimal services to all of the Court’s organs, including Chambers and the OTP. Training is proposed for the following sections under their recurring</w:t>
      </w:r>
      <w:r>
        <w:rPr>
          <w:spacing w:val="-4"/>
          <w:sz w:val="20"/>
        </w:rPr>
        <w:t> </w:t>
      </w:r>
      <w:r>
        <w:rPr>
          <w:sz w:val="20"/>
        </w:rPr>
        <w:t>expenses: IMSS</w:t>
      </w:r>
      <w:r>
        <w:rPr>
          <w:spacing w:val="-1"/>
          <w:sz w:val="20"/>
        </w:rPr>
        <w:t> </w:t>
      </w:r>
      <w:r>
        <w:rPr>
          <w:sz w:val="20"/>
        </w:rPr>
        <w:t>(€59.0</w:t>
      </w:r>
      <w:r>
        <w:rPr>
          <w:spacing w:val="-4"/>
          <w:sz w:val="20"/>
        </w:rPr>
        <w:t> </w:t>
      </w:r>
      <w:r>
        <w:rPr>
          <w:sz w:val="20"/>
        </w:rPr>
        <w:t>thousand), VPRS</w:t>
      </w:r>
      <w:r>
        <w:rPr>
          <w:spacing w:val="-11"/>
          <w:sz w:val="20"/>
        </w:rPr>
        <w:t> </w:t>
      </w:r>
      <w:r>
        <w:rPr>
          <w:sz w:val="20"/>
        </w:rPr>
        <w:t>(€5.4</w:t>
      </w:r>
      <w:r>
        <w:rPr>
          <w:spacing w:val="-13"/>
          <w:sz w:val="20"/>
        </w:rPr>
        <w:t> </w:t>
      </w:r>
      <w:r>
        <w:rPr>
          <w:sz w:val="20"/>
        </w:rPr>
        <w:t>thousand)</w:t>
      </w:r>
      <w:r>
        <w:rPr>
          <w:spacing w:val="-12"/>
          <w:sz w:val="20"/>
        </w:rPr>
        <w:t> </w:t>
      </w:r>
      <w:r>
        <w:rPr>
          <w:sz w:val="20"/>
        </w:rPr>
        <w:t>and</w:t>
      </w:r>
      <w:r>
        <w:rPr>
          <w:spacing w:val="-13"/>
          <w:sz w:val="20"/>
        </w:rPr>
        <w:t> </w:t>
      </w:r>
      <w:r>
        <w:rPr>
          <w:sz w:val="20"/>
        </w:rPr>
        <w:t>OPCD</w:t>
      </w:r>
      <w:r>
        <w:rPr>
          <w:spacing w:val="-9"/>
          <w:sz w:val="20"/>
        </w:rPr>
        <w:t> </w:t>
      </w:r>
      <w:r>
        <w:rPr>
          <w:sz w:val="20"/>
        </w:rPr>
        <w:t>(€0.6</w:t>
      </w:r>
      <w:r>
        <w:rPr>
          <w:spacing w:val="-13"/>
          <w:sz w:val="20"/>
        </w:rPr>
        <w:t> </w:t>
      </w:r>
      <w:r>
        <w:rPr>
          <w:sz w:val="20"/>
        </w:rPr>
        <w:t>thousand).</w:t>
      </w:r>
      <w:r>
        <w:rPr>
          <w:spacing w:val="-10"/>
          <w:sz w:val="20"/>
        </w:rPr>
        <w:t> </w:t>
      </w:r>
      <w:r>
        <w:rPr>
          <w:sz w:val="20"/>
        </w:rPr>
        <w:t>Training</w:t>
      </w:r>
      <w:r>
        <w:rPr>
          <w:spacing w:val="-8"/>
          <w:sz w:val="20"/>
        </w:rPr>
        <w:t> </w:t>
      </w:r>
      <w:r>
        <w:rPr>
          <w:sz w:val="20"/>
        </w:rPr>
        <w:t>in</w:t>
      </w:r>
      <w:r>
        <w:rPr>
          <w:spacing w:val="-8"/>
          <w:sz w:val="20"/>
        </w:rPr>
        <w:t> </w:t>
      </w:r>
      <w:r>
        <w:rPr>
          <w:sz w:val="20"/>
        </w:rPr>
        <w:t>IMSS</w:t>
      </w:r>
      <w:r>
        <w:rPr>
          <w:spacing w:val="-10"/>
          <w:sz w:val="20"/>
        </w:rPr>
        <w:t> </w:t>
      </w:r>
      <w:r>
        <w:rPr>
          <w:sz w:val="20"/>
        </w:rPr>
        <w:t>continues</w:t>
      </w:r>
      <w:r>
        <w:rPr>
          <w:spacing w:val="-13"/>
          <w:sz w:val="20"/>
        </w:rPr>
        <w:t> </w:t>
      </w:r>
      <w:r>
        <w:rPr>
          <w:sz w:val="20"/>
        </w:rPr>
        <w:t>to</w:t>
      </w:r>
      <w:r>
        <w:rPr>
          <w:spacing w:val="-7"/>
          <w:sz w:val="20"/>
        </w:rPr>
        <w:t> </w:t>
      </w:r>
      <w:r>
        <w:rPr>
          <w:sz w:val="20"/>
        </w:rPr>
        <w:t>be</w:t>
      </w:r>
      <w:r>
        <w:rPr>
          <w:spacing w:val="-7"/>
          <w:sz w:val="20"/>
        </w:rPr>
        <w:t> </w:t>
      </w:r>
      <w:r>
        <w:rPr>
          <w:sz w:val="20"/>
        </w:rPr>
        <w:t>focused on</w:t>
      </w:r>
      <w:r>
        <w:rPr>
          <w:spacing w:val="-8"/>
          <w:sz w:val="20"/>
        </w:rPr>
        <w:t> </w:t>
      </w:r>
      <w:r>
        <w:rPr>
          <w:sz w:val="20"/>
        </w:rPr>
        <w:t>providing</w:t>
      </w:r>
      <w:r>
        <w:rPr>
          <w:spacing w:val="-13"/>
          <w:sz w:val="20"/>
        </w:rPr>
        <w:t> </w:t>
      </w:r>
      <w:r>
        <w:rPr>
          <w:sz w:val="20"/>
        </w:rPr>
        <w:t>staff</w:t>
      </w:r>
      <w:r>
        <w:rPr>
          <w:spacing w:val="-8"/>
          <w:sz w:val="20"/>
        </w:rPr>
        <w:t> </w:t>
      </w:r>
      <w:r>
        <w:rPr>
          <w:sz w:val="20"/>
        </w:rPr>
        <w:t>with</w:t>
      </w:r>
      <w:r>
        <w:rPr>
          <w:spacing w:val="-8"/>
          <w:sz w:val="20"/>
        </w:rPr>
        <w:t> </w:t>
      </w:r>
      <w:r>
        <w:rPr>
          <w:sz w:val="20"/>
        </w:rPr>
        <w:t>the</w:t>
      </w:r>
      <w:r>
        <w:rPr>
          <w:spacing w:val="-7"/>
          <w:sz w:val="20"/>
        </w:rPr>
        <w:t> </w:t>
      </w:r>
      <w:r>
        <w:rPr>
          <w:sz w:val="20"/>
        </w:rPr>
        <w:t>technical</w:t>
      </w:r>
      <w:r>
        <w:rPr>
          <w:spacing w:val="-7"/>
          <w:sz w:val="20"/>
        </w:rPr>
        <w:t> </w:t>
      </w:r>
      <w:r>
        <w:rPr>
          <w:sz w:val="20"/>
        </w:rPr>
        <w:t>skills</w:t>
      </w:r>
      <w:r>
        <w:rPr>
          <w:spacing w:val="-10"/>
          <w:sz w:val="20"/>
        </w:rPr>
        <w:t> </w:t>
      </w:r>
      <w:r>
        <w:rPr>
          <w:sz w:val="20"/>
        </w:rPr>
        <w:t>and</w:t>
      </w:r>
      <w:r>
        <w:rPr>
          <w:spacing w:val="-8"/>
          <w:sz w:val="20"/>
        </w:rPr>
        <w:t> </w:t>
      </w:r>
      <w:r>
        <w:rPr>
          <w:sz w:val="20"/>
        </w:rPr>
        <w:t>knowledge</w:t>
      </w:r>
      <w:r>
        <w:rPr>
          <w:spacing w:val="-7"/>
          <w:sz w:val="20"/>
        </w:rPr>
        <w:t> </w:t>
      </w:r>
      <w:r>
        <w:rPr>
          <w:sz w:val="20"/>
        </w:rPr>
        <w:t>required</w:t>
      </w:r>
      <w:r>
        <w:rPr>
          <w:spacing w:val="-13"/>
          <w:sz w:val="20"/>
        </w:rPr>
        <w:t> </w:t>
      </w:r>
      <w:r>
        <w:rPr>
          <w:sz w:val="20"/>
        </w:rPr>
        <w:t>to</w:t>
      </w:r>
      <w:r>
        <w:rPr>
          <w:spacing w:val="-12"/>
          <w:sz w:val="20"/>
        </w:rPr>
        <w:t> </w:t>
      </w:r>
      <w:r>
        <w:rPr>
          <w:sz w:val="20"/>
        </w:rPr>
        <w:t>maintain</w:t>
      </w:r>
      <w:r>
        <w:rPr>
          <w:spacing w:val="-13"/>
          <w:sz w:val="20"/>
        </w:rPr>
        <w:t> </w:t>
      </w:r>
      <w:r>
        <w:rPr>
          <w:sz w:val="20"/>
        </w:rPr>
        <w:t>certifications, in particular those necessary for the mandatory upgrade of core Court infrastructure such as the network, firewall, email, operating systems and SharePoint, which equips the Court’s Intranet with content repositories and custom applications. If IMSS fails to keep staff certifications and training</w:t>
      </w:r>
      <w:r>
        <w:rPr>
          <w:spacing w:val="-4"/>
          <w:sz w:val="20"/>
        </w:rPr>
        <w:t> </w:t>
      </w:r>
      <w:r>
        <w:rPr>
          <w:sz w:val="20"/>
        </w:rPr>
        <w:t>up-to-date,</w:t>
      </w:r>
      <w:r>
        <w:rPr>
          <w:spacing w:val="-1"/>
          <w:sz w:val="20"/>
        </w:rPr>
        <w:t> </w:t>
      </w:r>
      <w:r>
        <w:rPr>
          <w:sz w:val="20"/>
        </w:rPr>
        <w:t>it</w:t>
      </w:r>
      <w:r>
        <w:rPr>
          <w:spacing w:val="-2"/>
          <w:sz w:val="20"/>
        </w:rPr>
        <w:t> </w:t>
      </w:r>
      <w:r>
        <w:rPr>
          <w:sz w:val="20"/>
        </w:rPr>
        <w:t>will</w:t>
      </w:r>
      <w:r>
        <w:rPr>
          <w:spacing w:val="-2"/>
          <w:sz w:val="20"/>
        </w:rPr>
        <w:t> </w:t>
      </w:r>
      <w:r>
        <w:rPr>
          <w:sz w:val="20"/>
        </w:rPr>
        <w:t>increasingly have to</w:t>
      </w:r>
      <w:r>
        <w:rPr>
          <w:spacing w:val="-4"/>
          <w:sz w:val="20"/>
        </w:rPr>
        <w:t> </w:t>
      </w:r>
      <w:r>
        <w:rPr>
          <w:sz w:val="20"/>
        </w:rPr>
        <w:t>rely on vendors for routine maintenance</w:t>
      </w:r>
      <w:r>
        <w:rPr>
          <w:spacing w:val="80"/>
          <w:sz w:val="20"/>
        </w:rPr>
        <w:t> </w:t>
      </w:r>
      <w:r>
        <w:rPr>
          <w:sz w:val="20"/>
        </w:rPr>
        <w:t>and</w:t>
      </w:r>
      <w:r>
        <w:rPr>
          <w:spacing w:val="80"/>
          <w:sz w:val="20"/>
        </w:rPr>
        <w:t> </w:t>
      </w:r>
      <w:r>
        <w:rPr>
          <w:sz w:val="20"/>
        </w:rPr>
        <w:t>upgrades,</w:t>
      </w:r>
      <w:r>
        <w:rPr>
          <w:spacing w:val="80"/>
          <w:sz w:val="20"/>
        </w:rPr>
        <w:t> </w:t>
      </w:r>
      <w:r>
        <w:rPr>
          <w:sz w:val="20"/>
        </w:rPr>
        <w:t>thus</w:t>
      </w:r>
      <w:r>
        <w:rPr>
          <w:spacing w:val="80"/>
          <w:sz w:val="20"/>
        </w:rPr>
        <w:t> </w:t>
      </w:r>
      <w:r>
        <w:rPr>
          <w:sz w:val="20"/>
        </w:rPr>
        <w:t>increasing</w:t>
      </w:r>
      <w:r>
        <w:rPr>
          <w:spacing w:val="80"/>
          <w:sz w:val="20"/>
        </w:rPr>
        <w:t> </w:t>
      </w:r>
      <w:r>
        <w:rPr>
          <w:sz w:val="20"/>
        </w:rPr>
        <w:t>contractual</w:t>
      </w:r>
      <w:r>
        <w:rPr>
          <w:spacing w:val="40"/>
          <w:sz w:val="20"/>
        </w:rPr>
        <w:t> </w:t>
      </w:r>
      <w:r>
        <w:rPr>
          <w:sz w:val="20"/>
        </w:rPr>
        <w:t>service</w:t>
      </w:r>
      <w:r>
        <w:rPr>
          <w:spacing w:val="40"/>
          <w:sz w:val="20"/>
        </w:rPr>
        <w:t> </w:t>
      </w:r>
      <w:r>
        <w:rPr>
          <w:sz w:val="20"/>
        </w:rPr>
        <w:t>costs.</w:t>
      </w:r>
      <w:r>
        <w:rPr>
          <w:spacing w:val="80"/>
          <w:sz w:val="20"/>
        </w:rPr>
        <w:t> </w:t>
      </w:r>
      <w:r>
        <w:rPr>
          <w:sz w:val="20"/>
        </w:rPr>
        <w:t>As</w:t>
      </w:r>
      <w:r>
        <w:rPr>
          <w:spacing w:val="80"/>
          <w:sz w:val="20"/>
        </w:rPr>
        <w:t> </w:t>
      </w:r>
      <w:r>
        <w:rPr>
          <w:sz w:val="20"/>
        </w:rPr>
        <w:t>the</w:t>
      </w:r>
      <w:r>
        <w:rPr>
          <w:spacing w:val="40"/>
          <w:sz w:val="20"/>
        </w:rPr>
        <w:t> </w:t>
      </w:r>
      <w:r>
        <w:rPr>
          <w:sz w:val="20"/>
        </w:rPr>
        <w:t>most cost-efficient solution, and where possible, it is recommended that training be completed online or that a trainer be engaged to conduct programmes at the Court’s premises.</w:t>
      </w:r>
    </w:p>
    <w:p>
      <w:pPr>
        <w:pStyle w:val="BodyText"/>
        <w:spacing w:before="1"/>
        <w:rPr>
          <w:sz w:val="21"/>
        </w:rPr>
      </w:pPr>
    </w:p>
    <w:p>
      <w:pPr>
        <w:tabs>
          <w:tab w:pos="8282" w:val="left" w:leader="none"/>
        </w:tabs>
        <w:spacing w:before="1"/>
        <w:ind w:left="2246" w:right="0" w:firstLine="0"/>
        <w:jc w:val="both"/>
        <w:rPr>
          <w:i/>
          <w:sz w:val="20"/>
        </w:rPr>
      </w:pPr>
      <w:r>
        <w:rPr>
          <w:i/>
          <w:spacing w:val="-2"/>
          <w:sz w:val="20"/>
        </w:rPr>
        <w:t>Consultants</w:t>
      </w:r>
      <w:r>
        <w:rPr>
          <w:i/>
          <w:sz w:val="20"/>
        </w:rPr>
        <w:tab/>
        <w:t>€469.8</w:t>
      </w:r>
      <w:r>
        <w:rPr>
          <w:i/>
          <w:spacing w:val="-3"/>
          <w:sz w:val="20"/>
        </w:rPr>
        <w:t> </w:t>
      </w:r>
      <w:r>
        <w:rPr>
          <w:i/>
          <w:spacing w:val="-2"/>
          <w:sz w:val="20"/>
        </w:rPr>
        <w:t>thousand</w:t>
      </w:r>
    </w:p>
    <w:p>
      <w:pPr>
        <w:pStyle w:val="BodyText"/>
        <w:spacing w:before="10"/>
        <w:rPr>
          <w:i/>
        </w:rPr>
      </w:pPr>
    </w:p>
    <w:p>
      <w:pPr>
        <w:pStyle w:val="ListParagraph"/>
        <w:numPr>
          <w:ilvl w:val="0"/>
          <w:numId w:val="4"/>
        </w:numPr>
        <w:tabs>
          <w:tab w:pos="2967" w:val="left" w:leader="none"/>
        </w:tabs>
        <w:spacing w:line="240" w:lineRule="auto" w:before="0" w:after="0"/>
        <w:ind w:left="2967" w:right="0" w:hanging="721"/>
        <w:jc w:val="both"/>
        <w:rPr>
          <w:sz w:val="20"/>
        </w:rPr>
      </w:pPr>
      <w:r>
        <w:rPr>
          <w:spacing w:val="-4"/>
          <w:sz w:val="20"/>
        </w:rPr>
        <w:t>The</w:t>
      </w:r>
      <w:r>
        <w:rPr>
          <w:spacing w:val="-3"/>
          <w:sz w:val="20"/>
        </w:rPr>
        <w:t> </w:t>
      </w:r>
      <w:r>
        <w:rPr>
          <w:spacing w:val="-4"/>
          <w:sz w:val="20"/>
        </w:rPr>
        <w:t>amount</w:t>
      </w:r>
      <w:r>
        <w:rPr>
          <w:spacing w:val="-3"/>
          <w:sz w:val="20"/>
        </w:rPr>
        <w:t> </w:t>
      </w:r>
      <w:r>
        <w:rPr>
          <w:spacing w:val="-4"/>
          <w:sz w:val="20"/>
        </w:rPr>
        <w:t>requested for</w:t>
      </w:r>
      <w:r>
        <w:rPr>
          <w:spacing w:val="-5"/>
          <w:sz w:val="20"/>
        </w:rPr>
        <w:t> </w:t>
      </w:r>
      <w:r>
        <w:rPr>
          <w:spacing w:val="-4"/>
          <w:sz w:val="20"/>
        </w:rPr>
        <w:t>the</w:t>
      </w:r>
      <w:r>
        <w:rPr>
          <w:spacing w:val="-2"/>
          <w:sz w:val="20"/>
        </w:rPr>
        <w:t> </w:t>
      </w:r>
      <w:r>
        <w:rPr>
          <w:spacing w:val="-4"/>
          <w:sz w:val="20"/>
        </w:rPr>
        <w:t>Division has</w:t>
      </w:r>
      <w:r>
        <w:rPr>
          <w:spacing w:val="-7"/>
          <w:sz w:val="20"/>
        </w:rPr>
        <w:t> </w:t>
      </w:r>
      <w:r>
        <w:rPr>
          <w:spacing w:val="-4"/>
          <w:sz w:val="20"/>
        </w:rPr>
        <w:t>increased by</w:t>
      </w:r>
      <w:r>
        <w:rPr>
          <w:spacing w:val="-5"/>
          <w:sz w:val="20"/>
        </w:rPr>
        <w:t> </w:t>
      </w:r>
      <w:r>
        <w:rPr>
          <w:spacing w:val="-4"/>
          <w:sz w:val="20"/>
        </w:rPr>
        <w:t>€21.6 thousand</w:t>
      </w:r>
      <w:r>
        <w:rPr>
          <w:spacing w:val="-5"/>
          <w:sz w:val="20"/>
        </w:rPr>
        <w:t> </w:t>
      </w:r>
      <w:r>
        <w:rPr>
          <w:spacing w:val="-4"/>
          <w:sz w:val="20"/>
        </w:rPr>
        <w:t>(4.8 per cent).</w:t>
      </w:r>
    </w:p>
    <w:p>
      <w:pPr>
        <w:pStyle w:val="ListParagraph"/>
        <w:numPr>
          <w:ilvl w:val="0"/>
          <w:numId w:val="4"/>
        </w:numPr>
        <w:tabs>
          <w:tab w:pos="2967" w:val="left" w:leader="none"/>
        </w:tabs>
        <w:spacing w:line="240" w:lineRule="auto" w:before="116" w:after="0"/>
        <w:ind w:left="2246" w:right="2235" w:firstLine="0"/>
        <w:jc w:val="both"/>
        <w:rPr>
          <w:sz w:val="20"/>
        </w:rPr>
      </w:pPr>
      <w:r>
        <w:rPr>
          <w:sz w:val="20"/>
        </w:rPr>
        <w:t>The amount requested in OPCV of €434.8 thousand has increased by €12.2 thousand. These resources</w:t>
      </w:r>
      <w:r>
        <w:rPr>
          <w:spacing w:val="-5"/>
          <w:sz w:val="20"/>
        </w:rPr>
        <w:t> </w:t>
      </w:r>
      <w:r>
        <w:rPr>
          <w:sz w:val="20"/>
        </w:rPr>
        <w:t>are</w:t>
      </w:r>
      <w:r>
        <w:rPr>
          <w:spacing w:val="-2"/>
          <w:sz w:val="20"/>
        </w:rPr>
        <w:t> </w:t>
      </w:r>
      <w:r>
        <w:rPr>
          <w:sz w:val="20"/>
        </w:rPr>
        <w:t>recurrent</w:t>
      </w:r>
      <w:r>
        <w:rPr>
          <w:spacing w:val="-2"/>
          <w:sz w:val="20"/>
        </w:rPr>
        <w:t> </w:t>
      </w:r>
      <w:r>
        <w:rPr>
          <w:sz w:val="20"/>
        </w:rPr>
        <w:t>and are required to</w:t>
      </w:r>
      <w:r>
        <w:rPr>
          <w:spacing w:val="-4"/>
          <w:sz w:val="20"/>
        </w:rPr>
        <w:t> </w:t>
      </w:r>
      <w:r>
        <w:rPr>
          <w:sz w:val="20"/>
        </w:rPr>
        <w:t>cover</w:t>
      </w:r>
      <w:r>
        <w:rPr>
          <w:spacing w:val="-4"/>
          <w:sz w:val="20"/>
        </w:rPr>
        <w:t> </w:t>
      </w:r>
      <w:r>
        <w:rPr>
          <w:sz w:val="20"/>
        </w:rPr>
        <w:t>expenses for field counsel in cases where counsel from OPCV are appointed to represent victims in the proceedings. Practice has shown that the support of field-based counsel and assistants based in situation countries</w:t>
      </w:r>
      <w:r>
        <w:rPr>
          <w:spacing w:val="-4"/>
          <w:sz w:val="20"/>
        </w:rPr>
        <w:t> </w:t>
      </w:r>
      <w:r>
        <w:rPr>
          <w:sz w:val="20"/>
        </w:rPr>
        <w:t>is</w:t>
      </w:r>
      <w:r>
        <w:rPr>
          <w:spacing w:val="-9"/>
          <w:sz w:val="20"/>
        </w:rPr>
        <w:t> </w:t>
      </w:r>
      <w:r>
        <w:rPr>
          <w:sz w:val="20"/>
        </w:rPr>
        <w:t>essential</w:t>
      </w:r>
      <w:r>
        <w:rPr>
          <w:spacing w:val="-6"/>
          <w:sz w:val="20"/>
        </w:rPr>
        <w:t> </w:t>
      </w:r>
      <w:r>
        <w:rPr>
          <w:sz w:val="20"/>
        </w:rPr>
        <w:t>to</w:t>
      </w:r>
      <w:r>
        <w:rPr>
          <w:spacing w:val="-7"/>
          <w:sz w:val="20"/>
        </w:rPr>
        <w:t> </w:t>
      </w:r>
      <w:r>
        <w:rPr>
          <w:sz w:val="20"/>
        </w:rPr>
        <w:t>maintaining</w:t>
      </w:r>
      <w:r>
        <w:rPr>
          <w:spacing w:val="-7"/>
          <w:sz w:val="20"/>
        </w:rPr>
        <w:t> </w:t>
      </w:r>
      <w:r>
        <w:rPr>
          <w:sz w:val="20"/>
        </w:rPr>
        <w:t>continuous</w:t>
      </w:r>
      <w:r>
        <w:rPr>
          <w:spacing w:val="-9"/>
          <w:sz w:val="20"/>
        </w:rPr>
        <w:t> </w:t>
      </w:r>
      <w:r>
        <w:rPr>
          <w:sz w:val="20"/>
        </w:rPr>
        <w:t>contact</w:t>
      </w:r>
      <w:r>
        <w:rPr>
          <w:spacing w:val="-1"/>
          <w:sz w:val="20"/>
        </w:rPr>
        <w:t> </w:t>
      </w:r>
      <w:r>
        <w:rPr>
          <w:sz w:val="20"/>
        </w:rPr>
        <w:t>with</w:t>
      </w:r>
      <w:r>
        <w:rPr>
          <w:spacing w:val="-12"/>
          <w:sz w:val="20"/>
        </w:rPr>
        <w:t> </w:t>
      </w:r>
      <w:r>
        <w:rPr>
          <w:sz w:val="20"/>
        </w:rPr>
        <w:t>victims,</w:t>
      </w:r>
      <w:r>
        <w:rPr>
          <w:spacing w:val="-5"/>
          <w:sz w:val="20"/>
        </w:rPr>
        <w:t> </w:t>
      </w:r>
      <w:r>
        <w:rPr>
          <w:sz w:val="20"/>
        </w:rPr>
        <w:t>keeping</w:t>
      </w:r>
      <w:r>
        <w:rPr>
          <w:spacing w:val="-7"/>
          <w:sz w:val="20"/>
        </w:rPr>
        <w:t> </w:t>
      </w:r>
      <w:r>
        <w:rPr>
          <w:sz w:val="20"/>
        </w:rPr>
        <w:t>them</w:t>
      </w:r>
      <w:r>
        <w:rPr>
          <w:spacing w:val="-6"/>
          <w:sz w:val="20"/>
        </w:rPr>
        <w:t> </w:t>
      </w:r>
      <w:r>
        <w:rPr>
          <w:sz w:val="20"/>
        </w:rPr>
        <w:t>regularly updated about the proceedings and collecting their views, concerns, and evidence in a language they understand. The collection of completed applications and evidence is particularly important at the reparations stage of proceedings. Costs are calculated on the basis of the actual consulting contracts entered into.</w:t>
      </w:r>
    </w:p>
    <w:p>
      <w:pPr>
        <w:pStyle w:val="ListParagraph"/>
        <w:numPr>
          <w:ilvl w:val="0"/>
          <w:numId w:val="4"/>
        </w:numPr>
        <w:tabs>
          <w:tab w:pos="2967" w:val="left" w:leader="none"/>
        </w:tabs>
        <w:spacing w:line="240" w:lineRule="auto" w:before="124" w:after="0"/>
        <w:ind w:left="2246" w:right="2242" w:firstLine="0"/>
        <w:jc w:val="both"/>
        <w:rPr>
          <w:sz w:val="20"/>
        </w:rPr>
      </w:pPr>
      <w:r>
        <w:rPr>
          <w:sz w:val="20"/>
        </w:rPr>
        <w:t>Resources for OD-DJS (€5.0 thousand) are required to assess applications for the List of Experts. An increase of €5.0 thousand (100.0 per cent) has been requested in VPRS to conduct mapping of victim communities in cases at different stages of proceedings, including new situations. The resources requested for OPCD (€20.0 thousand) remain </w:t>
      </w:r>
      <w:r>
        <w:rPr>
          <w:spacing w:val="-2"/>
          <w:sz w:val="20"/>
        </w:rPr>
        <w:t>unchanged.</w:t>
      </w:r>
    </w:p>
    <w:p>
      <w:pPr>
        <w:pStyle w:val="BodyText"/>
        <w:spacing w:before="8"/>
      </w:pPr>
    </w:p>
    <w:p>
      <w:pPr>
        <w:tabs>
          <w:tab w:pos="8133" w:val="left" w:leader="none"/>
        </w:tabs>
        <w:spacing w:before="0"/>
        <w:ind w:left="2246" w:right="0" w:firstLine="0"/>
        <w:jc w:val="both"/>
        <w:rPr>
          <w:i/>
          <w:sz w:val="20"/>
        </w:rPr>
      </w:pPr>
      <w:r>
        <w:rPr>
          <w:i/>
          <w:sz w:val="20"/>
        </w:rPr>
        <w:t>Counsel</w:t>
      </w:r>
      <w:r>
        <w:rPr>
          <w:i/>
          <w:spacing w:val="-4"/>
          <w:sz w:val="20"/>
        </w:rPr>
        <w:t> </w:t>
      </w:r>
      <w:r>
        <w:rPr>
          <w:i/>
          <w:sz w:val="20"/>
        </w:rPr>
        <w:t>for</w:t>
      </w:r>
      <w:r>
        <w:rPr>
          <w:i/>
          <w:spacing w:val="-1"/>
          <w:sz w:val="20"/>
        </w:rPr>
        <w:t> </w:t>
      </w:r>
      <w:r>
        <w:rPr>
          <w:i/>
          <w:spacing w:val="-2"/>
          <w:sz w:val="20"/>
        </w:rPr>
        <w:t>defence</w:t>
      </w:r>
      <w:r>
        <w:rPr>
          <w:i/>
          <w:sz w:val="20"/>
        </w:rPr>
        <w:tab/>
        <w:t>€5,189.4</w:t>
      </w:r>
      <w:r>
        <w:rPr>
          <w:i/>
          <w:spacing w:val="-4"/>
          <w:sz w:val="20"/>
        </w:rPr>
        <w:t> </w:t>
      </w:r>
      <w:r>
        <w:rPr>
          <w:i/>
          <w:spacing w:val="-2"/>
          <w:sz w:val="20"/>
        </w:rPr>
        <w:t>thousand</w:t>
      </w:r>
    </w:p>
    <w:p>
      <w:pPr>
        <w:pStyle w:val="BodyText"/>
        <w:spacing w:before="10"/>
        <w:rPr>
          <w:i/>
        </w:rPr>
      </w:pPr>
    </w:p>
    <w:p>
      <w:pPr>
        <w:pStyle w:val="ListParagraph"/>
        <w:numPr>
          <w:ilvl w:val="0"/>
          <w:numId w:val="4"/>
        </w:numPr>
        <w:tabs>
          <w:tab w:pos="2967" w:val="left" w:leader="none"/>
        </w:tabs>
        <w:spacing w:line="240" w:lineRule="auto" w:before="0" w:after="0"/>
        <w:ind w:left="2246" w:right="2242" w:firstLine="0"/>
        <w:jc w:val="both"/>
        <w:rPr>
          <w:sz w:val="20"/>
        </w:rPr>
      </w:pPr>
      <w:r>
        <w:rPr>
          <w:sz w:val="20"/>
        </w:rPr>
        <w:t>This budget item is highly dependent on judicial assumptions. The requested amount has decreased by €7.3 thousand (0.1 per cent) as a result of the application of the Court’s</w:t>
      </w:r>
      <w:r>
        <w:rPr>
          <w:spacing w:val="-4"/>
          <w:sz w:val="20"/>
        </w:rPr>
        <w:t> </w:t>
      </w:r>
      <w:r>
        <w:rPr>
          <w:sz w:val="20"/>
        </w:rPr>
        <w:t>legal</w:t>
      </w:r>
      <w:r>
        <w:rPr>
          <w:spacing w:val="-1"/>
          <w:sz w:val="20"/>
        </w:rPr>
        <w:t> </w:t>
      </w:r>
      <w:r>
        <w:rPr>
          <w:sz w:val="20"/>
        </w:rPr>
        <w:t>aid</w:t>
      </w:r>
      <w:r>
        <w:rPr>
          <w:spacing w:val="-3"/>
          <w:sz w:val="20"/>
        </w:rPr>
        <w:t> </w:t>
      </w:r>
      <w:r>
        <w:rPr>
          <w:sz w:val="20"/>
        </w:rPr>
        <w:t>system</w:t>
      </w:r>
      <w:r>
        <w:rPr>
          <w:spacing w:val="-1"/>
          <w:sz w:val="20"/>
        </w:rPr>
        <w:t> </w:t>
      </w:r>
      <w:r>
        <w:rPr>
          <w:sz w:val="20"/>
        </w:rPr>
        <w:t>to</w:t>
      </w:r>
      <w:r>
        <w:rPr>
          <w:spacing w:val="-3"/>
          <w:sz w:val="20"/>
        </w:rPr>
        <w:t> </w:t>
      </w:r>
      <w:r>
        <w:rPr>
          <w:sz w:val="20"/>
        </w:rPr>
        <w:t>planned</w:t>
      </w:r>
      <w:r>
        <w:rPr>
          <w:spacing w:val="-3"/>
          <w:sz w:val="20"/>
        </w:rPr>
        <w:t> </w:t>
      </w:r>
      <w:r>
        <w:rPr>
          <w:sz w:val="20"/>
        </w:rPr>
        <w:t>judicial</w:t>
      </w:r>
      <w:r>
        <w:rPr>
          <w:spacing w:val="-1"/>
          <w:sz w:val="20"/>
        </w:rPr>
        <w:t> </w:t>
      </w:r>
      <w:r>
        <w:rPr>
          <w:sz w:val="20"/>
        </w:rPr>
        <w:t>activities and related</w:t>
      </w:r>
      <w:r>
        <w:rPr>
          <w:spacing w:val="-3"/>
          <w:sz w:val="20"/>
        </w:rPr>
        <w:t> </w:t>
      </w:r>
      <w:r>
        <w:rPr>
          <w:sz w:val="20"/>
        </w:rPr>
        <w:t>assumptions</w:t>
      </w:r>
      <w:r>
        <w:rPr>
          <w:spacing w:val="-4"/>
          <w:sz w:val="20"/>
        </w:rPr>
        <w:t> </w:t>
      </w:r>
      <w:r>
        <w:rPr>
          <w:sz w:val="20"/>
        </w:rPr>
        <w:t>for</w:t>
      </w:r>
      <w:r>
        <w:rPr>
          <w:spacing w:val="-3"/>
          <w:sz w:val="20"/>
        </w:rPr>
        <w:t> </w:t>
      </w:r>
      <w:r>
        <w:rPr>
          <w:sz w:val="20"/>
        </w:rPr>
        <w:t>2023. The proposed</w:t>
      </w:r>
      <w:r>
        <w:rPr>
          <w:spacing w:val="76"/>
          <w:sz w:val="20"/>
        </w:rPr>
        <w:t> </w:t>
      </w:r>
      <w:r>
        <w:rPr>
          <w:sz w:val="20"/>
        </w:rPr>
        <w:t>budget</w:t>
      </w:r>
      <w:r>
        <w:rPr>
          <w:spacing w:val="78"/>
          <w:sz w:val="20"/>
        </w:rPr>
        <w:t> </w:t>
      </w:r>
      <w:r>
        <w:rPr>
          <w:sz w:val="20"/>
        </w:rPr>
        <w:t>for</w:t>
      </w:r>
      <w:r>
        <w:rPr>
          <w:spacing w:val="76"/>
          <w:sz w:val="20"/>
        </w:rPr>
        <w:t> </w:t>
      </w:r>
      <w:r>
        <w:rPr>
          <w:sz w:val="20"/>
        </w:rPr>
        <w:t>defence</w:t>
      </w:r>
      <w:r>
        <w:rPr>
          <w:spacing w:val="78"/>
          <w:sz w:val="20"/>
        </w:rPr>
        <w:t> </w:t>
      </w:r>
      <w:r>
        <w:rPr>
          <w:sz w:val="20"/>
        </w:rPr>
        <w:t>counsel</w:t>
      </w:r>
      <w:r>
        <w:rPr>
          <w:spacing w:val="78"/>
          <w:sz w:val="20"/>
        </w:rPr>
        <w:t> </w:t>
      </w:r>
      <w:r>
        <w:rPr>
          <w:sz w:val="20"/>
        </w:rPr>
        <w:t>will</w:t>
      </w:r>
      <w:r>
        <w:rPr>
          <w:spacing w:val="78"/>
          <w:sz w:val="20"/>
        </w:rPr>
        <w:t> </w:t>
      </w:r>
      <w:r>
        <w:rPr>
          <w:sz w:val="20"/>
        </w:rPr>
        <w:t>fund</w:t>
      </w:r>
      <w:r>
        <w:rPr>
          <w:spacing w:val="71"/>
          <w:sz w:val="20"/>
        </w:rPr>
        <w:t> </w:t>
      </w:r>
      <w:r>
        <w:rPr>
          <w:sz w:val="20"/>
        </w:rPr>
        <w:t>the</w:t>
      </w:r>
      <w:r>
        <w:rPr>
          <w:spacing w:val="78"/>
          <w:sz w:val="20"/>
        </w:rPr>
        <w:t> </w:t>
      </w:r>
      <w:r>
        <w:rPr>
          <w:sz w:val="20"/>
        </w:rPr>
        <w:t>defence</w:t>
      </w:r>
      <w:r>
        <w:rPr>
          <w:spacing w:val="78"/>
          <w:sz w:val="20"/>
        </w:rPr>
        <w:t> </w:t>
      </w:r>
      <w:r>
        <w:rPr>
          <w:sz w:val="20"/>
        </w:rPr>
        <w:t>teams</w:t>
      </w:r>
      <w:r>
        <w:rPr>
          <w:spacing w:val="74"/>
          <w:sz w:val="20"/>
        </w:rPr>
        <w:t> </w:t>
      </w:r>
      <w:r>
        <w:rPr>
          <w:sz w:val="20"/>
        </w:rPr>
        <w:t>of</w:t>
      </w:r>
      <w:r>
        <w:rPr>
          <w:spacing w:val="76"/>
          <w:sz w:val="20"/>
        </w:rPr>
        <w:t> </w:t>
      </w:r>
      <w:r>
        <w:rPr>
          <w:sz w:val="20"/>
        </w:rPr>
        <w:t>Mr Ongwen,</w:t>
      </w:r>
    </w:p>
    <w:p>
      <w:pPr>
        <w:spacing w:after="0" w:line="240" w:lineRule="auto"/>
        <w:jc w:val="both"/>
        <w:rPr>
          <w:sz w:val="20"/>
        </w:rPr>
        <w:sectPr>
          <w:pgSz w:w="11910" w:h="16840"/>
          <w:pgMar w:header="957" w:footer="940" w:top="1140" w:bottom="1140" w:left="20" w:right="20"/>
        </w:sectPr>
      </w:pPr>
    </w:p>
    <w:p>
      <w:pPr>
        <w:pStyle w:val="BodyText"/>
        <w:spacing w:before="124"/>
        <w:ind w:left="2246" w:right="2243"/>
        <w:jc w:val="both"/>
      </w:pPr>
      <w:r>
        <w:rPr/>
        <w:t>Mr</w:t>
      </w:r>
      <w:r>
        <w:rPr>
          <w:spacing w:val="-8"/>
        </w:rPr>
        <w:t> </w:t>
      </w:r>
      <w:r>
        <w:rPr/>
        <w:t>Al</w:t>
      </w:r>
      <w:r>
        <w:rPr>
          <w:spacing w:val="-4"/>
        </w:rPr>
        <w:t> </w:t>
      </w:r>
      <w:r>
        <w:rPr/>
        <w:t>Hassan,</w:t>
      </w:r>
      <w:r>
        <w:rPr>
          <w:spacing w:val="-9"/>
        </w:rPr>
        <w:t> </w:t>
      </w:r>
      <w:r>
        <w:rPr/>
        <w:t>Mr</w:t>
      </w:r>
      <w:r>
        <w:rPr>
          <w:spacing w:val="-11"/>
        </w:rPr>
        <w:t> </w:t>
      </w:r>
      <w:r>
        <w:rPr/>
        <w:t>Ngaïssona,</w:t>
      </w:r>
      <w:r>
        <w:rPr>
          <w:spacing w:val="-13"/>
        </w:rPr>
        <w:t> </w:t>
      </w:r>
      <w:r>
        <w:rPr/>
        <w:t>Mr</w:t>
      </w:r>
      <w:r>
        <w:rPr>
          <w:spacing w:val="-10"/>
        </w:rPr>
        <w:t> </w:t>
      </w:r>
      <w:r>
        <w:rPr/>
        <w:t>Yekatom,</w:t>
      </w:r>
      <w:r>
        <w:rPr>
          <w:spacing w:val="-13"/>
        </w:rPr>
        <w:t> </w:t>
      </w:r>
      <w:r>
        <w:rPr/>
        <w:t>Mr</w:t>
      </w:r>
      <w:r>
        <w:rPr>
          <w:spacing w:val="-10"/>
        </w:rPr>
        <w:t> </w:t>
      </w:r>
      <w:r>
        <w:rPr/>
        <w:t>Ntaganda,</w:t>
      </w:r>
      <w:r>
        <w:rPr>
          <w:spacing w:val="-13"/>
        </w:rPr>
        <w:t> </w:t>
      </w:r>
      <w:r>
        <w:rPr/>
        <w:t>Mr</w:t>
      </w:r>
      <w:r>
        <w:rPr>
          <w:spacing w:val="-10"/>
        </w:rPr>
        <w:t> </w:t>
      </w:r>
      <w:r>
        <w:rPr/>
        <w:t>Abd-Al-Rahman,</w:t>
      </w:r>
      <w:r>
        <w:rPr>
          <w:spacing w:val="-13"/>
        </w:rPr>
        <w:t> </w:t>
      </w:r>
      <w:r>
        <w:rPr/>
        <w:t>Mr</w:t>
      </w:r>
      <w:r>
        <w:rPr>
          <w:spacing w:val="-12"/>
        </w:rPr>
        <w:t> </w:t>
      </w:r>
      <w:r>
        <w:rPr/>
        <w:t>Gicheru, Mr</w:t>
      </w:r>
      <w:r>
        <w:rPr>
          <w:spacing w:val="40"/>
        </w:rPr>
        <w:t> </w:t>
      </w:r>
      <w:r>
        <w:rPr/>
        <w:t>Said</w:t>
      </w:r>
      <w:r>
        <w:rPr>
          <w:spacing w:val="38"/>
        </w:rPr>
        <w:t> </w:t>
      </w:r>
      <w:r>
        <w:rPr/>
        <w:t>and</w:t>
      </w:r>
      <w:r>
        <w:rPr>
          <w:spacing w:val="40"/>
        </w:rPr>
        <w:t> </w:t>
      </w:r>
      <w:r>
        <w:rPr/>
        <w:t>Mr</w:t>
      </w:r>
      <w:r>
        <w:rPr>
          <w:spacing w:val="39"/>
        </w:rPr>
        <w:t> </w:t>
      </w:r>
      <w:r>
        <w:rPr/>
        <w:t>Mokom,</w:t>
      </w:r>
      <w:r>
        <w:rPr>
          <w:spacing w:val="40"/>
        </w:rPr>
        <w:t> </w:t>
      </w:r>
      <w:r>
        <w:rPr/>
        <w:t>and</w:t>
      </w:r>
      <w:r>
        <w:rPr>
          <w:spacing w:val="38"/>
        </w:rPr>
        <w:t> </w:t>
      </w:r>
      <w:r>
        <w:rPr/>
        <w:t>includes</w:t>
      </w:r>
      <w:r>
        <w:rPr>
          <w:spacing w:val="37"/>
        </w:rPr>
        <w:t> </w:t>
      </w:r>
      <w:r>
        <w:rPr/>
        <w:t>provisions</w:t>
      </w:r>
      <w:r>
        <w:rPr>
          <w:spacing w:val="37"/>
        </w:rPr>
        <w:t> </w:t>
      </w:r>
      <w:r>
        <w:rPr/>
        <w:t>for</w:t>
      </w:r>
      <w:r>
        <w:rPr>
          <w:spacing w:val="39"/>
        </w:rPr>
        <w:t> </w:t>
      </w:r>
      <w:r>
        <w:rPr/>
        <w:t>reduced</w:t>
      </w:r>
      <w:r>
        <w:rPr>
          <w:spacing w:val="40"/>
        </w:rPr>
        <w:t> </w:t>
      </w:r>
      <w:r>
        <w:rPr/>
        <w:t>funding</w:t>
      </w:r>
      <w:r>
        <w:rPr>
          <w:spacing w:val="38"/>
        </w:rPr>
        <w:t> </w:t>
      </w:r>
      <w:r>
        <w:rPr/>
        <w:t>in</w:t>
      </w:r>
      <w:r>
        <w:rPr>
          <w:spacing w:val="38"/>
        </w:rPr>
        <w:t> </w:t>
      </w:r>
      <w:r>
        <w:rPr/>
        <w:t>the</w:t>
      </w:r>
      <w:r>
        <w:rPr>
          <w:spacing w:val="40"/>
        </w:rPr>
        <w:t> </w:t>
      </w:r>
      <w:r>
        <w:rPr/>
        <w:t>cases</w:t>
      </w:r>
      <w:r>
        <w:rPr>
          <w:spacing w:val="37"/>
        </w:rPr>
        <w:t> </w:t>
      </w:r>
      <w:r>
        <w:rPr/>
        <w:t>of Mr Al Mahdi, Mr Banda and Mr Gaddafi.</w:t>
      </w:r>
    </w:p>
    <w:p>
      <w:pPr>
        <w:pStyle w:val="ListParagraph"/>
        <w:numPr>
          <w:ilvl w:val="0"/>
          <w:numId w:val="4"/>
        </w:numPr>
        <w:tabs>
          <w:tab w:pos="2967" w:val="left" w:leader="none"/>
        </w:tabs>
        <w:spacing w:line="240" w:lineRule="auto" w:before="122" w:after="0"/>
        <w:ind w:left="2246" w:right="2250" w:firstLine="0"/>
        <w:jc w:val="both"/>
        <w:rPr>
          <w:sz w:val="20"/>
        </w:rPr>
      </w:pPr>
      <w:r>
        <w:rPr>
          <w:sz w:val="20"/>
        </w:rPr>
        <w:t>An additional sum is proposed for duty and ad hoc counsel appointed by the Registrar</w:t>
      </w:r>
      <w:r>
        <w:rPr>
          <w:spacing w:val="-5"/>
          <w:sz w:val="20"/>
        </w:rPr>
        <w:t> </w:t>
      </w:r>
      <w:r>
        <w:rPr>
          <w:sz w:val="20"/>
        </w:rPr>
        <w:t>and</w:t>
      </w:r>
      <w:r>
        <w:rPr>
          <w:spacing w:val="-3"/>
          <w:sz w:val="20"/>
        </w:rPr>
        <w:t> </w:t>
      </w:r>
      <w:r>
        <w:rPr>
          <w:sz w:val="20"/>
        </w:rPr>
        <w:t>Chambers,</w:t>
      </w:r>
      <w:r>
        <w:rPr>
          <w:spacing w:val="-2"/>
          <w:sz w:val="20"/>
        </w:rPr>
        <w:t> </w:t>
      </w:r>
      <w:r>
        <w:rPr>
          <w:sz w:val="20"/>
        </w:rPr>
        <w:t>respectively, under</w:t>
      </w:r>
      <w:r>
        <w:rPr>
          <w:spacing w:val="-5"/>
          <w:sz w:val="20"/>
        </w:rPr>
        <w:t> </w:t>
      </w:r>
      <w:r>
        <w:rPr>
          <w:sz w:val="20"/>
        </w:rPr>
        <w:t>the</w:t>
      </w:r>
      <w:r>
        <w:rPr>
          <w:spacing w:val="-3"/>
          <w:sz w:val="20"/>
        </w:rPr>
        <w:t> </w:t>
      </w:r>
      <w:r>
        <w:rPr>
          <w:sz w:val="20"/>
        </w:rPr>
        <w:t>conditions</w:t>
      </w:r>
      <w:r>
        <w:rPr>
          <w:spacing w:val="-1"/>
          <w:sz w:val="20"/>
        </w:rPr>
        <w:t> </w:t>
      </w:r>
      <w:r>
        <w:rPr>
          <w:sz w:val="20"/>
        </w:rPr>
        <w:t>established</w:t>
      </w:r>
      <w:r>
        <w:rPr>
          <w:spacing w:val="-5"/>
          <w:sz w:val="20"/>
        </w:rPr>
        <w:t> </w:t>
      </w:r>
      <w:r>
        <w:rPr>
          <w:sz w:val="20"/>
        </w:rPr>
        <w:t>in</w:t>
      </w:r>
      <w:r>
        <w:rPr>
          <w:spacing w:val="-5"/>
          <w:sz w:val="20"/>
        </w:rPr>
        <w:t> </w:t>
      </w:r>
      <w:r>
        <w:rPr>
          <w:sz w:val="20"/>
        </w:rPr>
        <w:t>the Rome</w:t>
      </w:r>
      <w:r>
        <w:rPr>
          <w:spacing w:val="-3"/>
          <w:sz w:val="20"/>
        </w:rPr>
        <w:t> </w:t>
      </w:r>
      <w:r>
        <w:rPr>
          <w:sz w:val="20"/>
        </w:rPr>
        <w:t>Statute, the Rules of Procedure and Evidence and the Regulations of the Court.</w:t>
      </w:r>
    </w:p>
    <w:p>
      <w:pPr>
        <w:pStyle w:val="BodyText"/>
        <w:rPr>
          <w:sz w:val="21"/>
        </w:rPr>
      </w:pPr>
    </w:p>
    <w:p>
      <w:pPr>
        <w:tabs>
          <w:tab w:pos="8133" w:val="left" w:leader="none"/>
        </w:tabs>
        <w:spacing w:before="0"/>
        <w:ind w:left="2246" w:right="0" w:firstLine="0"/>
        <w:jc w:val="both"/>
        <w:rPr>
          <w:i/>
          <w:sz w:val="20"/>
        </w:rPr>
      </w:pPr>
      <w:r>
        <w:rPr>
          <w:i/>
          <w:sz w:val="20"/>
        </w:rPr>
        <w:t>Counsel</w:t>
      </w:r>
      <w:r>
        <w:rPr>
          <w:i/>
          <w:spacing w:val="-4"/>
          <w:sz w:val="20"/>
        </w:rPr>
        <w:t> </w:t>
      </w:r>
      <w:r>
        <w:rPr>
          <w:i/>
          <w:sz w:val="20"/>
        </w:rPr>
        <w:t>for</w:t>
      </w:r>
      <w:r>
        <w:rPr>
          <w:i/>
          <w:spacing w:val="-6"/>
          <w:sz w:val="20"/>
        </w:rPr>
        <w:t> </w:t>
      </w:r>
      <w:r>
        <w:rPr>
          <w:i/>
          <w:spacing w:val="-2"/>
          <w:sz w:val="20"/>
        </w:rPr>
        <w:t>victims</w:t>
      </w:r>
      <w:r>
        <w:rPr>
          <w:i/>
          <w:sz w:val="20"/>
        </w:rPr>
        <w:tab/>
        <w:t>€2,338.0</w:t>
      </w:r>
      <w:r>
        <w:rPr>
          <w:i/>
          <w:spacing w:val="-5"/>
          <w:sz w:val="20"/>
        </w:rPr>
        <w:t> </w:t>
      </w:r>
      <w:r>
        <w:rPr>
          <w:i/>
          <w:spacing w:val="-2"/>
          <w:sz w:val="20"/>
        </w:rPr>
        <w:t>thousand</w:t>
      </w:r>
    </w:p>
    <w:p>
      <w:pPr>
        <w:pStyle w:val="BodyText"/>
        <w:spacing w:before="10"/>
        <w:rPr>
          <w:i/>
        </w:rPr>
      </w:pPr>
    </w:p>
    <w:p>
      <w:pPr>
        <w:pStyle w:val="ListParagraph"/>
        <w:numPr>
          <w:ilvl w:val="0"/>
          <w:numId w:val="4"/>
        </w:numPr>
        <w:tabs>
          <w:tab w:pos="2967" w:val="left" w:leader="none"/>
        </w:tabs>
        <w:spacing w:line="240" w:lineRule="auto" w:before="0" w:after="0"/>
        <w:ind w:left="2246" w:right="2236" w:firstLine="0"/>
        <w:jc w:val="both"/>
        <w:rPr>
          <w:sz w:val="20"/>
        </w:rPr>
      </w:pPr>
      <w:r>
        <w:rPr>
          <w:sz w:val="20"/>
        </w:rPr>
        <w:t>This budget item is highly dependent on judicial assumptions. The amount requested has increased by €431.4 thousand (22.6 per cent) as a result of the application of the assumptions on which the 2023 Proposed Programme Budget is based. The amount requested is required to fund existing external teams of legal representatives for victims currently participating in proceedings before the Court. This figure includes external teams in the </w:t>
      </w:r>
      <w:r>
        <w:rPr>
          <w:i/>
          <w:sz w:val="20"/>
        </w:rPr>
        <w:t>Ongwen </w:t>
      </w:r>
      <w:r>
        <w:rPr>
          <w:sz w:val="20"/>
        </w:rPr>
        <w:t>case and the common legal representatives of victims in the </w:t>
      </w:r>
      <w:r>
        <w:rPr>
          <w:i/>
          <w:sz w:val="20"/>
        </w:rPr>
        <w:t>Lubanga </w:t>
      </w:r>
      <w:r>
        <w:rPr>
          <w:sz w:val="20"/>
        </w:rPr>
        <w:t>(two teams),</w:t>
      </w:r>
      <w:r>
        <w:rPr>
          <w:spacing w:val="40"/>
          <w:sz w:val="20"/>
        </w:rPr>
        <w:t> </w:t>
      </w:r>
      <w:r>
        <w:rPr>
          <w:i/>
          <w:sz w:val="20"/>
        </w:rPr>
        <w:t>Katanga</w:t>
      </w:r>
      <w:r>
        <w:rPr>
          <w:sz w:val="20"/>
        </w:rPr>
        <w:t>,</w:t>
      </w:r>
      <w:r>
        <w:rPr>
          <w:spacing w:val="40"/>
          <w:sz w:val="20"/>
        </w:rPr>
        <w:t> </w:t>
      </w:r>
      <w:r>
        <w:rPr>
          <w:i/>
          <w:sz w:val="20"/>
        </w:rPr>
        <w:t>Al</w:t>
      </w:r>
      <w:r>
        <w:rPr>
          <w:i/>
          <w:spacing w:val="40"/>
          <w:sz w:val="20"/>
        </w:rPr>
        <w:t> </w:t>
      </w:r>
      <w:r>
        <w:rPr>
          <w:i/>
          <w:sz w:val="20"/>
        </w:rPr>
        <w:t>Hassan</w:t>
      </w:r>
      <w:r>
        <w:rPr>
          <w:sz w:val="20"/>
        </w:rPr>
        <w:t>,</w:t>
      </w:r>
      <w:r>
        <w:rPr>
          <w:spacing w:val="40"/>
          <w:sz w:val="20"/>
        </w:rPr>
        <w:t> </w:t>
      </w:r>
      <w:r>
        <w:rPr>
          <w:i/>
          <w:sz w:val="20"/>
        </w:rPr>
        <w:t>Al</w:t>
      </w:r>
      <w:r>
        <w:rPr>
          <w:i/>
          <w:spacing w:val="40"/>
          <w:sz w:val="20"/>
        </w:rPr>
        <w:t> </w:t>
      </w:r>
      <w:r>
        <w:rPr>
          <w:i/>
          <w:sz w:val="20"/>
        </w:rPr>
        <w:t>Mahdi,</w:t>
      </w:r>
      <w:r>
        <w:rPr>
          <w:i/>
          <w:spacing w:val="40"/>
          <w:sz w:val="20"/>
        </w:rPr>
        <w:t> </w:t>
      </w:r>
      <w:r>
        <w:rPr>
          <w:i/>
          <w:sz w:val="20"/>
        </w:rPr>
        <w:t>Ongwen,</w:t>
      </w:r>
      <w:r>
        <w:rPr>
          <w:i/>
          <w:spacing w:val="40"/>
          <w:sz w:val="20"/>
        </w:rPr>
        <w:t> </w:t>
      </w:r>
      <w:r>
        <w:rPr>
          <w:i/>
          <w:sz w:val="20"/>
        </w:rPr>
        <w:t>Yekatom</w:t>
      </w:r>
      <w:r>
        <w:rPr>
          <w:i/>
          <w:spacing w:val="40"/>
          <w:sz w:val="20"/>
        </w:rPr>
        <w:t> </w:t>
      </w:r>
      <w:r>
        <w:rPr>
          <w:i/>
          <w:sz w:val="20"/>
        </w:rPr>
        <w:t>and</w:t>
      </w:r>
      <w:r>
        <w:rPr>
          <w:i/>
          <w:spacing w:val="40"/>
          <w:sz w:val="20"/>
        </w:rPr>
        <w:t> </w:t>
      </w:r>
      <w:r>
        <w:rPr>
          <w:i/>
          <w:sz w:val="20"/>
        </w:rPr>
        <w:t>Ngaïssona,</w:t>
      </w:r>
      <w:r>
        <w:rPr>
          <w:i/>
          <w:spacing w:val="40"/>
          <w:sz w:val="20"/>
        </w:rPr>
        <w:t> </w:t>
      </w:r>
      <w:r>
        <w:rPr>
          <w:i/>
          <w:sz w:val="20"/>
        </w:rPr>
        <w:t>Said</w:t>
      </w:r>
      <w:r>
        <w:rPr>
          <w:i/>
          <w:spacing w:val="40"/>
          <w:sz w:val="20"/>
        </w:rPr>
        <w:t> </w:t>
      </w:r>
      <w:r>
        <w:rPr>
          <w:sz w:val="20"/>
        </w:rPr>
        <w:t>and </w:t>
      </w:r>
      <w:r>
        <w:rPr>
          <w:i/>
          <w:sz w:val="20"/>
        </w:rPr>
        <w:t>Abd-Al-Rahman </w:t>
      </w:r>
      <w:r>
        <w:rPr>
          <w:sz w:val="20"/>
        </w:rPr>
        <w:t>cases.</w:t>
      </w:r>
    </w:p>
    <w:p>
      <w:pPr>
        <w:pStyle w:val="BodyText"/>
        <w:spacing w:before="9"/>
      </w:pPr>
    </w:p>
    <w:p>
      <w:pPr>
        <w:tabs>
          <w:tab w:pos="8133" w:val="left" w:leader="none"/>
        </w:tabs>
        <w:spacing w:before="0"/>
        <w:ind w:left="2246" w:right="0" w:firstLine="0"/>
        <w:jc w:val="both"/>
        <w:rPr>
          <w:i/>
          <w:sz w:val="20"/>
        </w:rPr>
      </w:pPr>
      <w:r>
        <w:rPr>
          <w:i/>
          <w:sz w:val="20"/>
        </w:rPr>
        <w:t>General</w:t>
      </w:r>
      <w:r>
        <w:rPr>
          <w:i/>
          <w:spacing w:val="-7"/>
          <w:sz w:val="20"/>
        </w:rPr>
        <w:t> </w:t>
      </w:r>
      <w:r>
        <w:rPr>
          <w:i/>
          <w:sz w:val="20"/>
        </w:rPr>
        <w:t>operating</w:t>
      </w:r>
      <w:r>
        <w:rPr>
          <w:i/>
          <w:spacing w:val="-8"/>
          <w:sz w:val="20"/>
        </w:rPr>
        <w:t> </w:t>
      </w:r>
      <w:r>
        <w:rPr>
          <w:i/>
          <w:spacing w:val="-2"/>
          <w:sz w:val="20"/>
        </w:rPr>
        <w:t>expenses</w:t>
      </w:r>
      <w:r>
        <w:rPr>
          <w:i/>
          <w:sz w:val="20"/>
        </w:rPr>
        <w:tab/>
        <w:t>€6,427.7</w:t>
      </w:r>
      <w:r>
        <w:rPr>
          <w:i/>
          <w:spacing w:val="-4"/>
          <w:sz w:val="20"/>
        </w:rPr>
        <w:t> </w:t>
      </w:r>
      <w:r>
        <w:rPr>
          <w:i/>
          <w:spacing w:val="-2"/>
          <w:sz w:val="20"/>
        </w:rPr>
        <w:t>thousand</w:t>
      </w:r>
    </w:p>
    <w:p>
      <w:pPr>
        <w:pStyle w:val="BodyText"/>
        <w:rPr>
          <w:i/>
          <w:sz w:val="21"/>
        </w:rPr>
      </w:pPr>
    </w:p>
    <w:p>
      <w:pPr>
        <w:pStyle w:val="ListParagraph"/>
        <w:numPr>
          <w:ilvl w:val="0"/>
          <w:numId w:val="4"/>
        </w:numPr>
        <w:tabs>
          <w:tab w:pos="2967" w:val="left" w:leader="none"/>
        </w:tabs>
        <w:spacing w:line="240" w:lineRule="auto" w:before="0" w:after="0"/>
        <w:ind w:left="2246" w:right="2243" w:firstLine="0"/>
        <w:jc w:val="both"/>
        <w:rPr>
          <w:sz w:val="20"/>
        </w:rPr>
      </w:pPr>
      <w:r>
        <w:rPr>
          <w:sz w:val="20"/>
        </w:rPr>
        <w:t>The amount proposed has increased by €469.6 thousand (7.9 per cent). Of the proposed amount of €6,427.7 thousand, €4,004.6 thousand is attributable to resources required</w:t>
      </w:r>
      <w:r>
        <w:rPr>
          <w:spacing w:val="-13"/>
          <w:sz w:val="20"/>
        </w:rPr>
        <w:t> </w:t>
      </w:r>
      <w:r>
        <w:rPr>
          <w:sz w:val="20"/>
        </w:rPr>
        <w:t>in</w:t>
      </w:r>
      <w:r>
        <w:rPr>
          <w:spacing w:val="-12"/>
          <w:sz w:val="20"/>
        </w:rPr>
        <w:t> </w:t>
      </w:r>
      <w:r>
        <w:rPr>
          <w:sz w:val="20"/>
        </w:rPr>
        <w:t>IMSS,</w:t>
      </w:r>
      <w:r>
        <w:rPr>
          <w:spacing w:val="-13"/>
          <w:sz w:val="20"/>
        </w:rPr>
        <w:t> </w:t>
      </w:r>
      <w:r>
        <w:rPr>
          <w:sz w:val="20"/>
        </w:rPr>
        <w:t>€2,393.4</w:t>
      </w:r>
      <w:r>
        <w:rPr>
          <w:spacing w:val="-12"/>
          <w:sz w:val="20"/>
        </w:rPr>
        <w:t> </w:t>
      </w:r>
      <w:r>
        <w:rPr>
          <w:sz w:val="20"/>
        </w:rPr>
        <w:t>thousand</w:t>
      </w:r>
      <w:r>
        <w:rPr>
          <w:spacing w:val="-13"/>
          <w:sz w:val="20"/>
        </w:rPr>
        <w:t> </w:t>
      </w:r>
      <w:r>
        <w:rPr>
          <w:sz w:val="20"/>
        </w:rPr>
        <w:t>to</w:t>
      </w:r>
      <w:r>
        <w:rPr>
          <w:spacing w:val="-12"/>
          <w:sz w:val="20"/>
        </w:rPr>
        <w:t> </w:t>
      </w:r>
      <w:r>
        <w:rPr>
          <w:sz w:val="20"/>
        </w:rPr>
        <w:t>resources</w:t>
      </w:r>
      <w:r>
        <w:rPr>
          <w:spacing w:val="-13"/>
          <w:sz w:val="20"/>
        </w:rPr>
        <w:t> </w:t>
      </w:r>
      <w:r>
        <w:rPr>
          <w:sz w:val="20"/>
        </w:rPr>
        <w:t>required</w:t>
      </w:r>
      <w:r>
        <w:rPr>
          <w:spacing w:val="-12"/>
          <w:sz w:val="20"/>
        </w:rPr>
        <w:t> </w:t>
      </w:r>
      <w:r>
        <w:rPr>
          <w:sz w:val="20"/>
        </w:rPr>
        <w:t>in</w:t>
      </w:r>
      <w:r>
        <w:rPr>
          <w:spacing w:val="-13"/>
          <w:sz w:val="20"/>
        </w:rPr>
        <w:t> </w:t>
      </w:r>
      <w:r>
        <w:rPr>
          <w:sz w:val="20"/>
        </w:rPr>
        <w:t>DS,</w:t>
      </w:r>
      <w:r>
        <w:rPr>
          <w:spacing w:val="-12"/>
          <w:sz w:val="20"/>
        </w:rPr>
        <w:t> </w:t>
      </w:r>
      <w:r>
        <w:rPr>
          <w:sz w:val="20"/>
        </w:rPr>
        <w:t>€11.0</w:t>
      </w:r>
      <w:r>
        <w:rPr>
          <w:spacing w:val="-13"/>
          <w:sz w:val="20"/>
        </w:rPr>
        <w:t> </w:t>
      </w:r>
      <w:r>
        <w:rPr>
          <w:sz w:val="20"/>
        </w:rPr>
        <w:t>thousand</w:t>
      </w:r>
      <w:r>
        <w:rPr>
          <w:spacing w:val="-12"/>
          <w:sz w:val="20"/>
        </w:rPr>
        <w:t> </w:t>
      </w:r>
      <w:r>
        <w:rPr>
          <w:sz w:val="20"/>
        </w:rPr>
        <w:t>to</w:t>
      </w:r>
      <w:r>
        <w:rPr>
          <w:spacing w:val="-13"/>
          <w:sz w:val="20"/>
        </w:rPr>
        <w:t> </w:t>
      </w:r>
      <w:r>
        <w:rPr>
          <w:sz w:val="20"/>
        </w:rPr>
        <w:t>resources required in OPCV and €18.0 thousand to resources required in VPRS.</w:t>
      </w:r>
    </w:p>
    <w:p>
      <w:pPr>
        <w:pStyle w:val="ListParagraph"/>
        <w:numPr>
          <w:ilvl w:val="0"/>
          <w:numId w:val="4"/>
        </w:numPr>
        <w:tabs>
          <w:tab w:pos="2967" w:val="left" w:leader="none"/>
        </w:tabs>
        <w:spacing w:line="240" w:lineRule="auto" w:before="122" w:after="0"/>
        <w:ind w:left="2246" w:right="2244" w:firstLine="0"/>
        <w:jc w:val="both"/>
        <w:rPr>
          <w:sz w:val="20"/>
        </w:rPr>
      </w:pPr>
      <w:r>
        <w:rPr>
          <w:sz w:val="20"/>
        </w:rPr>
        <w:t>The</w:t>
      </w:r>
      <w:r>
        <w:rPr>
          <w:spacing w:val="31"/>
          <w:sz w:val="20"/>
        </w:rPr>
        <w:t> </w:t>
      </w:r>
      <w:r>
        <w:rPr>
          <w:sz w:val="20"/>
        </w:rPr>
        <w:t>amount</w:t>
      </w:r>
      <w:r>
        <w:rPr>
          <w:spacing w:val="35"/>
          <w:sz w:val="20"/>
        </w:rPr>
        <w:t> </w:t>
      </w:r>
      <w:r>
        <w:rPr>
          <w:sz w:val="20"/>
        </w:rPr>
        <w:t>proposed</w:t>
      </w:r>
      <w:r>
        <w:rPr>
          <w:spacing w:val="34"/>
          <w:sz w:val="20"/>
        </w:rPr>
        <w:t> </w:t>
      </w:r>
      <w:r>
        <w:rPr>
          <w:sz w:val="20"/>
        </w:rPr>
        <w:t>for</w:t>
      </w:r>
      <w:r>
        <w:rPr>
          <w:spacing w:val="34"/>
          <w:sz w:val="20"/>
        </w:rPr>
        <w:t> </w:t>
      </w:r>
      <w:r>
        <w:rPr>
          <w:sz w:val="20"/>
        </w:rPr>
        <w:t>IMSS</w:t>
      </w:r>
      <w:r>
        <w:rPr>
          <w:spacing w:val="32"/>
          <w:sz w:val="20"/>
        </w:rPr>
        <w:t> </w:t>
      </w:r>
      <w:r>
        <w:rPr>
          <w:sz w:val="20"/>
        </w:rPr>
        <w:t>is</w:t>
      </w:r>
      <w:r>
        <w:rPr>
          <w:spacing w:val="32"/>
          <w:sz w:val="20"/>
        </w:rPr>
        <w:t> </w:t>
      </w:r>
      <w:r>
        <w:rPr>
          <w:sz w:val="20"/>
        </w:rPr>
        <w:t>€4,004.6</w:t>
      </w:r>
      <w:r>
        <w:rPr>
          <w:spacing w:val="34"/>
          <w:sz w:val="20"/>
        </w:rPr>
        <w:t> </w:t>
      </w:r>
      <w:r>
        <w:rPr>
          <w:sz w:val="20"/>
        </w:rPr>
        <w:t>thousand,</w:t>
      </w:r>
      <w:r>
        <w:rPr>
          <w:spacing w:val="36"/>
          <w:sz w:val="20"/>
        </w:rPr>
        <w:t> </w:t>
      </w:r>
      <w:r>
        <w:rPr>
          <w:sz w:val="20"/>
        </w:rPr>
        <w:t>representing</w:t>
      </w:r>
      <w:r>
        <w:rPr>
          <w:spacing w:val="29"/>
          <w:sz w:val="20"/>
        </w:rPr>
        <w:t> </w:t>
      </w:r>
      <w:r>
        <w:rPr>
          <w:sz w:val="20"/>
        </w:rPr>
        <w:t>an</w:t>
      </w:r>
      <w:r>
        <w:rPr>
          <w:spacing w:val="34"/>
          <w:sz w:val="20"/>
        </w:rPr>
        <w:t> </w:t>
      </w:r>
      <w:r>
        <w:rPr>
          <w:sz w:val="20"/>
        </w:rPr>
        <w:t>increase of €68.3 thousand. General operating expenses represent the largest component of IMSS non-staff</w:t>
      </w:r>
      <w:r>
        <w:rPr>
          <w:spacing w:val="-8"/>
          <w:sz w:val="20"/>
        </w:rPr>
        <w:t> </w:t>
      </w:r>
      <w:r>
        <w:rPr>
          <w:sz w:val="20"/>
        </w:rPr>
        <w:t>costs</w:t>
      </w:r>
      <w:r>
        <w:rPr>
          <w:spacing w:val="-10"/>
          <w:sz w:val="20"/>
        </w:rPr>
        <w:t> </w:t>
      </w:r>
      <w:r>
        <w:rPr>
          <w:sz w:val="20"/>
        </w:rPr>
        <w:t>and</w:t>
      </w:r>
      <w:r>
        <w:rPr>
          <w:spacing w:val="-8"/>
          <w:sz w:val="20"/>
        </w:rPr>
        <w:t> </w:t>
      </w:r>
      <w:r>
        <w:rPr>
          <w:sz w:val="20"/>
        </w:rPr>
        <w:t>include</w:t>
      </w:r>
      <w:r>
        <w:rPr>
          <w:spacing w:val="-7"/>
          <w:sz w:val="20"/>
        </w:rPr>
        <w:t> </w:t>
      </w:r>
      <w:r>
        <w:rPr>
          <w:sz w:val="20"/>
        </w:rPr>
        <w:t>(a)</w:t>
      </w:r>
      <w:r>
        <w:rPr>
          <w:spacing w:val="-8"/>
          <w:sz w:val="20"/>
        </w:rPr>
        <w:t> </w:t>
      </w:r>
      <w:r>
        <w:rPr>
          <w:sz w:val="20"/>
        </w:rPr>
        <w:t>rental</w:t>
      </w:r>
      <w:r>
        <w:rPr>
          <w:spacing w:val="-7"/>
          <w:sz w:val="20"/>
        </w:rPr>
        <w:t> </w:t>
      </w:r>
      <w:r>
        <w:rPr>
          <w:sz w:val="20"/>
        </w:rPr>
        <w:t>of</w:t>
      </w:r>
      <w:r>
        <w:rPr>
          <w:spacing w:val="-8"/>
          <w:sz w:val="20"/>
        </w:rPr>
        <w:t> </w:t>
      </w:r>
      <w:r>
        <w:rPr>
          <w:sz w:val="20"/>
        </w:rPr>
        <w:t>furniture</w:t>
      </w:r>
      <w:r>
        <w:rPr>
          <w:spacing w:val="-7"/>
          <w:sz w:val="20"/>
        </w:rPr>
        <w:t> </w:t>
      </w:r>
      <w:r>
        <w:rPr>
          <w:sz w:val="20"/>
        </w:rPr>
        <w:t>and</w:t>
      </w:r>
      <w:r>
        <w:rPr>
          <w:spacing w:val="-8"/>
          <w:sz w:val="20"/>
        </w:rPr>
        <w:t> </w:t>
      </w:r>
      <w:r>
        <w:rPr>
          <w:sz w:val="20"/>
        </w:rPr>
        <w:t>equipment,</w:t>
      </w:r>
      <w:r>
        <w:rPr>
          <w:spacing w:val="-6"/>
          <w:sz w:val="20"/>
        </w:rPr>
        <w:t> </w:t>
      </w:r>
      <w:r>
        <w:rPr>
          <w:sz w:val="20"/>
        </w:rPr>
        <w:t>(b)</w:t>
      </w:r>
      <w:r>
        <w:rPr>
          <w:spacing w:val="-8"/>
          <w:sz w:val="20"/>
        </w:rPr>
        <w:t> </w:t>
      </w:r>
      <w:r>
        <w:rPr>
          <w:sz w:val="20"/>
        </w:rPr>
        <w:t>communications</w:t>
      </w:r>
      <w:r>
        <w:rPr>
          <w:spacing w:val="-10"/>
          <w:sz w:val="20"/>
        </w:rPr>
        <w:t> </w:t>
      </w:r>
      <w:r>
        <w:rPr>
          <w:sz w:val="20"/>
        </w:rPr>
        <w:t>and</w:t>
      </w:r>
      <w:r>
        <w:rPr>
          <w:spacing w:val="-8"/>
          <w:sz w:val="20"/>
        </w:rPr>
        <w:t> </w:t>
      </w:r>
      <w:r>
        <w:rPr>
          <w:sz w:val="20"/>
        </w:rPr>
        <w:t>(c) maintenance of furniture and equipment.</w:t>
      </w:r>
    </w:p>
    <w:p>
      <w:pPr>
        <w:pStyle w:val="ListParagraph"/>
        <w:numPr>
          <w:ilvl w:val="0"/>
          <w:numId w:val="4"/>
        </w:numPr>
        <w:tabs>
          <w:tab w:pos="2967" w:val="left" w:leader="none"/>
        </w:tabs>
        <w:spacing w:line="240" w:lineRule="auto" w:before="117" w:after="0"/>
        <w:ind w:left="2246" w:right="2238" w:firstLine="0"/>
        <w:jc w:val="both"/>
        <w:rPr>
          <w:sz w:val="20"/>
        </w:rPr>
      </w:pPr>
      <w:r>
        <w:rPr>
          <w:sz w:val="20"/>
        </w:rPr>
        <w:t>The remaining resources requested in IMSS are required to cover contractual obligations</w:t>
      </w:r>
      <w:r>
        <w:rPr>
          <w:spacing w:val="-9"/>
          <w:sz w:val="20"/>
        </w:rPr>
        <w:t> </w:t>
      </w:r>
      <w:r>
        <w:rPr>
          <w:sz w:val="20"/>
        </w:rPr>
        <w:t>connected</w:t>
      </w:r>
      <w:r>
        <w:rPr>
          <w:spacing w:val="-7"/>
          <w:sz w:val="20"/>
        </w:rPr>
        <w:t> </w:t>
      </w:r>
      <w:r>
        <w:rPr>
          <w:sz w:val="20"/>
        </w:rPr>
        <w:t>to</w:t>
      </w:r>
      <w:r>
        <w:rPr>
          <w:spacing w:val="-7"/>
          <w:sz w:val="20"/>
        </w:rPr>
        <w:t> </w:t>
      </w:r>
      <w:r>
        <w:rPr>
          <w:sz w:val="20"/>
        </w:rPr>
        <w:t>the maintenance</w:t>
      </w:r>
      <w:r>
        <w:rPr>
          <w:spacing w:val="-6"/>
          <w:sz w:val="20"/>
        </w:rPr>
        <w:t> </w:t>
      </w:r>
      <w:r>
        <w:rPr>
          <w:sz w:val="20"/>
        </w:rPr>
        <w:t>of</w:t>
      </w:r>
      <w:r>
        <w:rPr>
          <w:spacing w:val="-2"/>
          <w:sz w:val="20"/>
        </w:rPr>
        <w:t> </w:t>
      </w:r>
      <w:r>
        <w:rPr>
          <w:sz w:val="20"/>
        </w:rPr>
        <w:t>services</w:t>
      </w:r>
      <w:r>
        <w:rPr>
          <w:spacing w:val="-9"/>
          <w:sz w:val="20"/>
        </w:rPr>
        <w:t> </w:t>
      </w:r>
      <w:r>
        <w:rPr>
          <w:sz w:val="20"/>
        </w:rPr>
        <w:t>and</w:t>
      </w:r>
      <w:r>
        <w:rPr>
          <w:spacing w:val="-7"/>
          <w:sz w:val="20"/>
        </w:rPr>
        <w:t> </w:t>
      </w:r>
      <w:r>
        <w:rPr>
          <w:sz w:val="20"/>
        </w:rPr>
        <w:t>hardware</w:t>
      </w:r>
      <w:r>
        <w:rPr>
          <w:spacing w:val="-6"/>
          <w:sz w:val="20"/>
        </w:rPr>
        <w:t> </w:t>
      </w:r>
      <w:r>
        <w:rPr>
          <w:sz w:val="20"/>
        </w:rPr>
        <w:t>provided</w:t>
      </w:r>
      <w:r>
        <w:rPr>
          <w:spacing w:val="-7"/>
          <w:sz w:val="20"/>
        </w:rPr>
        <w:t> </w:t>
      </w:r>
      <w:r>
        <w:rPr>
          <w:sz w:val="20"/>
        </w:rPr>
        <w:t>by</w:t>
      </w:r>
      <w:r>
        <w:rPr>
          <w:spacing w:val="-2"/>
          <w:sz w:val="20"/>
        </w:rPr>
        <w:t> </w:t>
      </w:r>
      <w:r>
        <w:rPr>
          <w:sz w:val="20"/>
        </w:rPr>
        <w:t>IMSS</w:t>
      </w:r>
      <w:r>
        <w:rPr>
          <w:spacing w:val="-9"/>
          <w:sz w:val="20"/>
        </w:rPr>
        <w:t> </w:t>
      </w:r>
      <w:r>
        <w:rPr>
          <w:sz w:val="20"/>
        </w:rPr>
        <w:t>for</w:t>
      </w:r>
      <w:r>
        <w:rPr>
          <w:spacing w:val="-7"/>
          <w:sz w:val="20"/>
        </w:rPr>
        <w:t> </w:t>
      </w:r>
      <w:r>
        <w:rPr>
          <w:sz w:val="20"/>
        </w:rPr>
        <w:t>all the systems that the Court and its staff use on a daily basis at Headquarters and elsewhere. Any additional reductions in general operating expenses would require the Court to discontinue specific services and systems currently in use, thus disrupting operations and risking non-compliance with multi-year contractual obligations.</w:t>
      </w:r>
    </w:p>
    <w:p>
      <w:pPr>
        <w:pStyle w:val="ListParagraph"/>
        <w:numPr>
          <w:ilvl w:val="0"/>
          <w:numId w:val="4"/>
        </w:numPr>
        <w:tabs>
          <w:tab w:pos="2967" w:val="left" w:leader="none"/>
        </w:tabs>
        <w:spacing w:line="240" w:lineRule="auto" w:before="123" w:after="0"/>
        <w:ind w:left="2246" w:right="2235" w:firstLine="0"/>
        <w:jc w:val="both"/>
        <w:rPr>
          <w:sz w:val="20"/>
        </w:rPr>
      </w:pPr>
      <w:r>
        <w:rPr>
          <w:sz w:val="20"/>
        </w:rPr>
        <w:t>The requirement of €2,393.4 thousand for DS</w:t>
      </w:r>
      <w:r>
        <w:rPr>
          <w:spacing w:val="-1"/>
          <w:sz w:val="20"/>
        </w:rPr>
        <w:t> </w:t>
      </w:r>
      <w:r>
        <w:rPr>
          <w:sz w:val="20"/>
        </w:rPr>
        <w:t>has</w:t>
      </w:r>
      <w:r>
        <w:rPr>
          <w:spacing w:val="-1"/>
          <w:sz w:val="20"/>
        </w:rPr>
        <w:t> </w:t>
      </w:r>
      <w:r>
        <w:rPr>
          <w:sz w:val="20"/>
        </w:rPr>
        <w:t>increased by €413.0 thousand in rental</w:t>
      </w:r>
      <w:r>
        <w:rPr>
          <w:spacing w:val="-7"/>
          <w:sz w:val="20"/>
        </w:rPr>
        <w:t> </w:t>
      </w:r>
      <w:r>
        <w:rPr>
          <w:sz w:val="20"/>
        </w:rPr>
        <w:t>costs</w:t>
      </w:r>
      <w:r>
        <w:rPr>
          <w:spacing w:val="-5"/>
          <w:sz w:val="20"/>
        </w:rPr>
        <w:t> </w:t>
      </w:r>
      <w:r>
        <w:rPr>
          <w:sz w:val="20"/>
        </w:rPr>
        <w:t>following</w:t>
      </w:r>
      <w:r>
        <w:rPr>
          <w:spacing w:val="-4"/>
          <w:sz w:val="20"/>
        </w:rPr>
        <w:t> </w:t>
      </w:r>
      <w:r>
        <w:rPr>
          <w:sz w:val="20"/>
        </w:rPr>
        <w:t>the</w:t>
      </w:r>
      <w:r>
        <w:rPr>
          <w:spacing w:val="-2"/>
          <w:sz w:val="20"/>
        </w:rPr>
        <w:t> </w:t>
      </w:r>
      <w:r>
        <w:rPr>
          <w:sz w:val="20"/>
        </w:rPr>
        <w:t>increase</w:t>
      </w:r>
      <w:r>
        <w:rPr>
          <w:spacing w:val="-7"/>
          <w:sz w:val="20"/>
        </w:rPr>
        <w:t> </w:t>
      </w:r>
      <w:r>
        <w:rPr>
          <w:sz w:val="20"/>
        </w:rPr>
        <w:t>in</w:t>
      </w:r>
      <w:r>
        <w:rPr>
          <w:spacing w:val="-4"/>
          <w:sz w:val="20"/>
        </w:rPr>
        <w:t> </w:t>
      </w:r>
      <w:r>
        <w:rPr>
          <w:sz w:val="20"/>
        </w:rPr>
        <w:t>the</w:t>
      </w:r>
      <w:r>
        <w:rPr>
          <w:spacing w:val="-2"/>
          <w:sz w:val="20"/>
        </w:rPr>
        <w:t> </w:t>
      </w:r>
      <w:r>
        <w:rPr>
          <w:sz w:val="20"/>
        </w:rPr>
        <w:t>number</w:t>
      </w:r>
      <w:r>
        <w:rPr>
          <w:spacing w:val="-4"/>
          <w:sz w:val="20"/>
        </w:rPr>
        <w:t> </w:t>
      </w:r>
      <w:r>
        <w:rPr>
          <w:sz w:val="20"/>
        </w:rPr>
        <w:t>of</w:t>
      </w:r>
      <w:r>
        <w:rPr>
          <w:spacing w:val="-8"/>
          <w:sz w:val="20"/>
        </w:rPr>
        <w:t> </w:t>
      </w:r>
      <w:r>
        <w:rPr>
          <w:sz w:val="20"/>
        </w:rPr>
        <w:t>cells</w:t>
      </w:r>
      <w:r>
        <w:rPr>
          <w:spacing w:val="-5"/>
          <w:sz w:val="20"/>
        </w:rPr>
        <w:t> </w:t>
      </w:r>
      <w:r>
        <w:rPr>
          <w:sz w:val="20"/>
        </w:rPr>
        <w:t>rented</w:t>
      </w:r>
      <w:r>
        <w:rPr>
          <w:spacing w:val="-4"/>
          <w:sz w:val="20"/>
        </w:rPr>
        <w:t> </w:t>
      </w:r>
      <w:r>
        <w:rPr>
          <w:sz w:val="20"/>
        </w:rPr>
        <w:t>from</w:t>
      </w:r>
      <w:r>
        <w:rPr>
          <w:spacing w:val="-2"/>
          <w:sz w:val="20"/>
        </w:rPr>
        <w:t> </w:t>
      </w:r>
      <w:r>
        <w:rPr>
          <w:sz w:val="20"/>
        </w:rPr>
        <w:t>six</w:t>
      </w:r>
      <w:r>
        <w:rPr>
          <w:spacing w:val="-4"/>
          <w:sz w:val="20"/>
        </w:rPr>
        <w:t> </w:t>
      </w:r>
      <w:r>
        <w:rPr>
          <w:sz w:val="20"/>
        </w:rPr>
        <w:t>to</w:t>
      </w:r>
      <w:r>
        <w:rPr>
          <w:spacing w:val="-4"/>
          <w:sz w:val="20"/>
        </w:rPr>
        <w:t> </w:t>
      </w:r>
      <w:r>
        <w:rPr>
          <w:sz w:val="20"/>
        </w:rPr>
        <w:t>twelve as</w:t>
      </w:r>
      <w:r>
        <w:rPr>
          <w:spacing w:val="-5"/>
          <w:sz w:val="20"/>
        </w:rPr>
        <w:t> </w:t>
      </w:r>
      <w:r>
        <w:rPr>
          <w:sz w:val="20"/>
        </w:rPr>
        <w:t>per</w:t>
      </w:r>
      <w:r>
        <w:rPr>
          <w:spacing w:val="-4"/>
          <w:sz w:val="20"/>
        </w:rPr>
        <w:t> </w:t>
      </w:r>
      <w:r>
        <w:rPr>
          <w:sz w:val="20"/>
        </w:rPr>
        <w:t>the Product Price Agreement as a result of the increase in the number of suspects, accused or convicted persons in detention. Other costs include medical care and items specific to ensuring respect for detained persons’ religious and cultural backgrounds as part of their well-being, and costs for indigent detained persons to call family and make privileged calls to defence</w:t>
      </w:r>
      <w:r>
        <w:rPr>
          <w:spacing w:val="-2"/>
          <w:sz w:val="20"/>
        </w:rPr>
        <w:t> </w:t>
      </w:r>
      <w:r>
        <w:rPr>
          <w:sz w:val="20"/>
        </w:rPr>
        <w:t>teams.</w:t>
      </w:r>
      <w:r>
        <w:rPr>
          <w:spacing w:val="-1"/>
          <w:sz w:val="20"/>
        </w:rPr>
        <w:t> </w:t>
      </w:r>
      <w:r>
        <w:rPr>
          <w:sz w:val="20"/>
        </w:rPr>
        <w:t>These costs are recurrent.</w:t>
      </w:r>
      <w:r>
        <w:rPr>
          <w:spacing w:val="-1"/>
          <w:sz w:val="20"/>
        </w:rPr>
        <w:t> </w:t>
      </w:r>
      <w:r>
        <w:rPr>
          <w:sz w:val="20"/>
        </w:rPr>
        <w:t>Additional</w:t>
      </w:r>
      <w:r>
        <w:rPr>
          <w:spacing w:val="-2"/>
          <w:sz w:val="20"/>
        </w:rPr>
        <w:t> </w:t>
      </w:r>
      <w:r>
        <w:rPr>
          <w:sz w:val="20"/>
        </w:rPr>
        <w:t>resources will</w:t>
      </w:r>
      <w:r>
        <w:rPr>
          <w:spacing w:val="-2"/>
          <w:sz w:val="20"/>
        </w:rPr>
        <w:t> </w:t>
      </w:r>
      <w:r>
        <w:rPr>
          <w:sz w:val="20"/>
        </w:rPr>
        <w:t>be</w:t>
      </w:r>
      <w:r>
        <w:rPr>
          <w:spacing w:val="-2"/>
          <w:sz w:val="20"/>
        </w:rPr>
        <w:t> </w:t>
      </w:r>
      <w:r>
        <w:rPr>
          <w:sz w:val="20"/>
        </w:rPr>
        <w:t>required if</w:t>
      </w:r>
      <w:r>
        <w:rPr>
          <w:spacing w:val="-4"/>
          <w:sz w:val="20"/>
        </w:rPr>
        <w:t> </w:t>
      </w:r>
      <w:r>
        <w:rPr>
          <w:sz w:val="20"/>
        </w:rPr>
        <w:t>charges are confirmed in the cases currently at the pre-trial phase.</w:t>
      </w:r>
    </w:p>
    <w:p>
      <w:pPr>
        <w:pStyle w:val="ListParagraph"/>
        <w:numPr>
          <w:ilvl w:val="0"/>
          <w:numId w:val="4"/>
        </w:numPr>
        <w:tabs>
          <w:tab w:pos="2967" w:val="left" w:leader="none"/>
        </w:tabs>
        <w:spacing w:line="240" w:lineRule="auto" w:before="119" w:after="0"/>
        <w:ind w:left="2246" w:right="2241" w:firstLine="0"/>
        <w:jc w:val="both"/>
        <w:rPr>
          <w:sz w:val="20"/>
        </w:rPr>
      </w:pPr>
      <w:r>
        <w:rPr>
          <w:sz w:val="20"/>
        </w:rPr>
        <w:t>The requirement of €11.0 thousand proposed for OPCV is to cover the cost of renting premises</w:t>
      </w:r>
      <w:r>
        <w:rPr>
          <w:spacing w:val="-1"/>
          <w:sz w:val="20"/>
        </w:rPr>
        <w:t> </w:t>
      </w:r>
      <w:r>
        <w:rPr>
          <w:sz w:val="20"/>
        </w:rPr>
        <w:t>where victims</w:t>
      </w:r>
      <w:r>
        <w:rPr>
          <w:spacing w:val="-1"/>
          <w:sz w:val="20"/>
        </w:rPr>
        <w:t> </w:t>
      </w:r>
      <w:r>
        <w:rPr>
          <w:sz w:val="20"/>
        </w:rPr>
        <w:t>can be</w:t>
      </w:r>
      <w:r>
        <w:rPr>
          <w:spacing w:val="-3"/>
          <w:sz w:val="20"/>
        </w:rPr>
        <w:t> </w:t>
      </w:r>
      <w:r>
        <w:rPr>
          <w:sz w:val="20"/>
        </w:rPr>
        <w:t>met safely</w:t>
      </w:r>
      <w:r>
        <w:rPr>
          <w:spacing w:val="-5"/>
          <w:sz w:val="20"/>
        </w:rPr>
        <w:t> </w:t>
      </w:r>
      <w:r>
        <w:rPr>
          <w:sz w:val="20"/>
        </w:rPr>
        <w:t>and in a way that preserves the privileged relationship between counsel and client.</w:t>
      </w:r>
    </w:p>
    <w:p>
      <w:pPr>
        <w:pStyle w:val="ListParagraph"/>
        <w:numPr>
          <w:ilvl w:val="0"/>
          <w:numId w:val="4"/>
        </w:numPr>
        <w:tabs>
          <w:tab w:pos="2967" w:val="left" w:leader="none"/>
        </w:tabs>
        <w:spacing w:line="240" w:lineRule="auto" w:before="121" w:after="0"/>
        <w:ind w:left="2246" w:right="2240" w:firstLine="0"/>
        <w:jc w:val="both"/>
        <w:rPr>
          <w:sz w:val="20"/>
        </w:rPr>
      </w:pPr>
      <w:r>
        <w:rPr>
          <w:sz w:val="20"/>
        </w:rPr>
        <w:t>The requirement of €18.0 thousand proposed for VPRS is required, particularly where country offices cannot assist, for special facilities needed by VPRS staff to carry out relevant activities in the field with victims and victim groups in a secure and conducive environment. This includes facility rental costs, in-country travel and victim-related expenses, and limited external printing of explanatory booklets and materials for victims regarding participation and reparations.</w:t>
      </w:r>
    </w:p>
    <w:p>
      <w:pPr>
        <w:pStyle w:val="BodyText"/>
        <w:spacing w:before="8"/>
      </w:pPr>
    </w:p>
    <w:p>
      <w:pPr>
        <w:tabs>
          <w:tab w:pos="8282" w:val="left" w:leader="none"/>
        </w:tabs>
        <w:spacing w:before="0"/>
        <w:ind w:left="2246" w:right="0" w:firstLine="0"/>
        <w:jc w:val="both"/>
        <w:rPr>
          <w:i/>
          <w:sz w:val="20"/>
        </w:rPr>
      </w:pPr>
      <w:r>
        <w:rPr>
          <w:i/>
          <w:sz w:val="20"/>
        </w:rPr>
        <w:t>Supplies</w:t>
      </w:r>
      <w:r>
        <w:rPr>
          <w:i/>
          <w:spacing w:val="-5"/>
          <w:sz w:val="20"/>
        </w:rPr>
        <w:t> </w:t>
      </w:r>
      <w:r>
        <w:rPr>
          <w:i/>
          <w:sz w:val="20"/>
        </w:rPr>
        <w:t>and</w:t>
      </w:r>
      <w:r>
        <w:rPr>
          <w:i/>
          <w:spacing w:val="-4"/>
          <w:sz w:val="20"/>
        </w:rPr>
        <w:t> </w:t>
      </w:r>
      <w:r>
        <w:rPr>
          <w:i/>
          <w:spacing w:val="-2"/>
          <w:sz w:val="20"/>
        </w:rPr>
        <w:t>materials</w:t>
      </w:r>
      <w:r>
        <w:rPr>
          <w:i/>
          <w:sz w:val="20"/>
        </w:rPr>
        <w:tab/>
        <w:t>€329.6</w:t>
      </w:r>
      <w:r>
        <w:rPr>
          <w:i/>
          <w:spacing w:val="-3"/>
          <w:sz w:val="20"/>
        </w:rPr>
        <w:t> </w:t>
      </w:r>
      <w:r>
        <w:rPr>
          <w:i/>
          <w:spacing w:val="-2"/>
          <w:sz w:val="20"/>
        </w:rPr>
        <w:t>thousand</w:t>
      </w:r>
    </w:p>
    <w:p>
      <w:pPr>
        <w:pStyle w:val="BodyText"/>
        <w:spacing w:before="11"/>
        <w:rPr>
          <w:i/>
        </w:rPr>
      </w:pPr>
    </w:p>
    <w:p>
      <w:pPr>
        <w:pStyle w:val="ListParagraph"/>
        <w:numPr>
          <w:ilvl w:val="0"/>
          <w:numId w:val="4"/>
        </w:numPr>
        <w:tabs>
          <w:tab w:pos="2967" w:val="left" w:leader="none"/>
        </w:tabs>
        <w:spacing w:line="240" w:lineRule="auto" w:before="0" w:after="0"/>
        <w:ind w:left="2246" w:right="2244" w:firstLine="0"/>
        <w:jc w:val="both"/>
        <w:rPr>
          <w:sz w:val="20"/>
        </w:rPr>
      </w:pPr>
      <w:r>
        <w:rPr>
          <w:sz w:val="20"/>
        </w:rPr>
        <w:t>The</w:t>
      </w:r>
      <w:r>
        <w:rPr>
          <w:spacing w:val="-8"/>
          <w:sz w:val="20"/>
        </w:rPr>
        <w:t> </w:t>
      </w:r>
      <w:r>
        <w:rPr>
          <w:sz w:val="20"/>
        </w:rPr>
        <w:t>amount</w:t>
      </w:r>
      <w:r>
        <w:rPr>
          <w:spacing w:val="-3"/>
          <w:sz w:val="20"/>
        </w:rPr>
        <w:t> </w:t>
      </w:r>
      <w:r>
        <w:rPr>
          <w:sz w:val="20"/>
        </w:rPr>
        <w:t>proposed</w:t>
      </w:r>
      <w:r>
        <w:rPr>
          <w:spacing w:val="-5"/>
          <w:sz w:val="20"/>
        </w:rPr>
        <w:t> </w:t>
      </w:r>
      <w:r>
        <w:rPr>
          <w:sz w:val="20"/>
        </w:rPr>
        <w:t>represents</w:t>
      </w:r>
      <w:r>
        <w:rPr>
          <w:spacing w:val="-6"/>
          <w:sz w:val="20"/>
        </w:rPr>
        <w:t> </w:t>
      </w:r>
      <w:r>
        <w:rPr>
          <w:sz w:val="20"/>
        </w:rPr>
        <w:t>an</w:t>
      </w:r>
      <w:r>
        <w:rPr>
          <w:spacing w:val="-5"/>
          <w:sz w:val="20"/>
        </w:rPr>
        <w:t> </w:t>
      </w:r>
      <w:r>
        <w:rPr>
          <w:sz w:val="20"/>
        </w:rPr>
        <w:t>increase</w:t>
      </w:r>
      <w:r>
        <w:rPr>
          <w:spacing w:val="-3"/>
          <w:sz w:val="20"/>
        </w:rPr>
        <w:t> </w:t>
      </w:r>
      <w:r>
        <w:rPr>
          <w:sz w:val="20"/>
        </w:rPr>
        <w:t>of</w:t>
      </w:r>
      <w:r>
        <w:rPr>
          <w:spacing w:val="-5"/>
          <w:sz w:val="20"/>
        </w:rPr>
        <w:t> </w:t>
      </w:r>
      <w:r>
        <w:rPr>
          <w:sz w:val="20"/>
        </w:rPr>
        <w:t>€13.9</w:t>
      </w:r>
      <w:r>
        <w:rPr>
          <w:spacing w:val="-5"/>
          <w:sz w:val="20"/>
        </w:rPr>
        <w:t> </w:t>
      </w:r>
      <w:r>
        <w:rPr>
          <w:sz w:val="20"/>
        </w:rPr>
        <w:t>thousand (4.4</w:t>
      </w:r>
      <w:r>
        <w:rPr>
          <w:spacing w:val="-5"/>
          <w:sz w:val="20"/>
        </w:rPr>
        <w:t> </w:t>
      </w:r>
      <w:r>
        <w:rPr>
          <w:sz w:val="20"/>
        </w:rPr>
        <w:t>per</w:t>
      </w:r>
      <w:r>
        <w:rPr>
          <w:spacing w:val="-9"/>
          <w:sz w:val="20"/>
        </w:rPr>
        <w:t> </w:t>
      </w:r>
      <w:r>
        <w:rPr>
          <w:sz w:val="20"/>
        </w:rPr>
        <w:t>cent).</w:t>
      </w:r>
      <w:r>
        <w:rPr>
          <w:spacing w:val="-2"/>
          <w:sz w:val="20"/>
        </w:rPr>
        <w:t> </w:t>
      </w:r>
      <w:r>
        <w:rPr>
          <w:sz w:val="20"/>
        </w:rPr>
        <w:t>Most resources</w:t>
      </w:r>
      <w:r>
        <w:rPr>
          <w:spacing w:val="40"/>
          <w:sz w:val="20"/>
        </w:rPr>
        <w:t> </w:t>
      </w:r>
      <w:r>
        <w:rPr>
          <w:sz w:val="20"/>
        </w:rPr>
        <w:t>in</w:t>
      </w:r>
      <w:r>
        <w:rPr>
          <w:spacing w:val="40"/>
          <w:sz w:val="20"/>
        </w:rPr>
        <w:t> </w:t>
      </w:r>
      <w:r>
        <w:rPr>
          <w:sz w:val="20"/>
        </w:rPr>
        <w:t>the</w:t>
      </w:r>
      <w:r>
        <w:rPr>
          <w:spacing w:val="40"/>
          <w:sz w:val="20"/>
        </w:rPr>
        <w:t> </w:t>
      </w:r>
      <w:r>
        <w:rPr>
          <w:sz w:val="20"/>
        </w:rPr>
        <w:t>Division’s</w:t>
      </w:r>
      <w:r>
        <w:rPr>
          <w:spacing w:val="40"/>
          <w:sz w:val="20"/>
        </w:rPr>
        <w:t> </w:t>
      </w:r>
      <w:r>
        <w:rPr>
          <w:sz w:val="20"/>
        </w:rPr>
        <w:t>budget</w:t>
      </w:r>
      <w:r>
        <w:rPr>
          <w:spacing w:val="40"/>
          <w:sz w:val="20"/>
        </w:rPr>
        <w:t> </w:t>
      </w:r>
      <w:r>
        <w:rPr>
          <w:sz w:val="20"/>
        </w:rPr>
        <w:t>for</w:t>
      </w:r>
      <w:r>
        <w:rPr>
          <w:spacing w:val="40"/>
          <w:sz w:val="20"/>
        </w:rPr>
        <w:t> </w:t>
      </w:r>
      <w:r>
        <w:rPr>
          <w:sz w:val="20"/>
        </w:rPr>
        <w:t>supplies</w:t>
      </w:r>
      <w:r>
        <w:rPr>
          <w:spacing w:val="40"/>
          <w:sz w:val="20"/>
        </w:rPr>
        <w:t> </w:t>
      </w:r>
      <w:r>
        <w:rPr>
          <w:sz w:val="20"/>
        </w:rPr>
        <w:t>and</w:t>
      </w:r>
      <w:r>
        <w:rPr>
          <w:spacing w:val="40"/>
          <w:sz w:val="20"/>
        </w:rPr>
        <w:t> </w:t>
      </w:r>
      <w:r>
        <w:rPr>
          <w:sz w:val="20"/>
        </w:rPr>
        <w:t>materials</w:t>
      </w:r>
      <w:r>
        <w:rPr>
          <w:spacing w:val="40"/>
          <w:sz w:val="20"/>
        </w:rPr>
        <w:t> </w:t>
      </w:r>
      <w:r>
        <w:rPr>
          <w:sz w:val="20"/>
        </w:rPr>
        <w:t>are</w:t>
      </w:r>
      <w:r>
        <w:rPr>
          <w:spacing w:val="40"/>
          <w:sz w:val="20"/>
        </w:rPr>
        <w:t> </w:t>
      </w:r>
      <w:r>
        <w:rPr>
          <w:sz w:val="20"/>
        </w:rPr>
        <w:t>required</w:t>
      </w:r>
      <w:r>
        <w:rPr>
          <w:spacing w:val="40"/>
          <w:sz w:val="20"/>
        </w:rPr>
        <w:t> </w:t>
      </w:r>
      <w:r>
        <w:rPr>
          <w:sz w:val="20"/>
        </w:rPr>
        <w:t>by</w:t>
      </w:r>
      <w:r>
        <w:rPr>
          <w:spacing w:val="40"/>
          <w:sz w:val="20"/>
        </w:rPr>
        <w:t> </w:t>
      </w:r>
      <w:r>
        <w:rPr>
          <w:sz w:val="20"/>
        </w:rPr>
        <w:t>IMSS (€304.9</w:t>
      </w:r>
      <w:r>
        <w:rPr>
          <w:spacing w:val="-3"/>
          <w:sz w:val="20"/>
        </w:rPr>
        <w:t> </w:t>
      </w:r>
      <w:r>
        <w:rPr>
          <w:sz w:val="20"/>
        </w:rPr>
        <w:t>thousand), DS (€7.5 thousand), LSS (€8.0 thousand), CMS (€7.2 thousand) and VPRS (€2.0 thousand).</w:t>
      </w:r>
    </w:p>
    <w:p>
      <w:pPr>
        <w:spacing w:after="0" w:line="240" w:lineRule="auto"/>
        <w:jc w:val="both"/>
        <w:rPr>
          <w:sz w:val="20"/>
        </w:rPr>
        <w:sectPr>
          <w:pgSz w:w="11910" w:h="16840"/>
          <w:pgMar w:header="953" w:footer="940" w:top="1140" w:bottom="1140" w:left="20" w:right="20"/>
        </w:sectPr>
      </w:pPr>
    </w:p>
    <w:p>
      <w:pPr>
        <w:pStyle w:val="ListParagraph"/>
        <w:numPr>
          <w:ilvl w:val="0"/>
          <w:numId w:val="4"/>
        </w:numPr>
        <w:tabs>
          <w:tab w:pos="2967" w:val="left" w:leader="none"/>
        </w:tabs>
        <w:spacing w:line="240" w:lineRule="auto" w:before="120" w:after="0"/>
        <w:ind w:left="2246" w:right="2236" w:firstLine="0"/>
        <w:jc w:val="both"/>
        <w:rPr>
          <w:sz w:val="20"/>
        </w:rPr>
      </w:pPr>
      <w:r>
        <w:rPr>
          <w:sz w:val="20"/>
        </w:rPr>
        <w:t>The</w:t>
      </w:r>
      <w:r>
        <w:rPr>
          <w:spacing w:val="-8"/>
          <w:sz w:val="20"/>
        </w:rPr>
        <w:t> </w:t>
      </w:r>
      <w:r>
        <w:rPr>
          <w:sz w:val="20"/>
        </w:rPr>
        <w:t>amount</w:t>
      </w:r>
      <w:r>
        <w:rPr>
          <w:spacing w:val="-8"/>
          <w:sz w:val="20"/>
        </w:rPr>
        <w:t> </w:t>
      </w:r>
      <w:r>
        <w:rPr>
          <w:sz w:val="20"/>
        </w:rPr>
        <w:t>requested</w:t>
      </w:r>
      <w:r>
        <w:rPr>
          <w:spacing w:val="-9"/>
          <w:sz w:val="20"/>
        </w:rPr>
        <w:t> </w:t>
      </w:r>
      <w:r>
        <w:rPr>
          <w:sz w:val="20"/>
        </w:rPr>
        <w:t>for</w:t>
      </w:r>
      <w:r>
        <w:rPr>
          <w:spacing w:val="-9"/>
          <w:sz w:val="20"/>
        </w:rPr>
        <w:t> </w:t>
      </w:r>
      <w:r>
        <w:rPr>
          <w:sz w:val="20"/>
        </w:rPr>
        <w:t>CMS</w:t>
      </w:r>
      <w:r>
        <w:rPr>
          <w:spacing w:val="-10"/>
          <w:sz w:val="20"/>
        </w:rPr>
        <w:t> </w:t>
      </w:r>
      <w:r>
        <w:rPr>
          <w:sz w:val="20"/>
        </w:rPr>
        <w:t>is</w:t>
      </w:r>
      <w:r>
        <w:rPr>
          <w:spacing w:val="-6"/>
          <w:sz w:val="20"/>
        </w:rPr>
        <w:t> </w:t>
      </w:r>
      <w:r>
        <w:rPr>
          <w:sz w:val="20"/>
        </w:rPr>
        <w:t>required</w:t>
      </w:r>
      <w:r>
        <w:rPr>
          <w:spacing w:val="-9"/>
          <w:sz w:val="20"/>
        </w:rPr>
        <w:t> </w:t>
      </w:r>
      <w:r>
        <w:rPr>
          <w:sz w:val="20"/>
        </w:rPr>
        <w:t>for</w:t>
      </w:r>
      <w:r>
        <w:rPr>
          <w:spacing w:val="-9"/>
          <w:sz w:val="20"/>
        </w:rPr>
        <w:t> </w:t>
      </w:r>
      <w:r>
        <w:rPr>
          <w:sz w:val="20"/>
        </w:rPr>
        <w:t>the</w:t>
      </w:r>
      <w:r>
        <w:rPr>
          <w:spacing w:val="-8"/>
          <w:sz w:val="20"/>
        </w:rPr>
        <w:t> </w:t>
      </w:r>
      <w:r>
        <w:rPr>
          <w:sz w:val="20"/>
        </w:rPr>
        <w:t>purchase</w:t>
      </w:r>
      <w:r>
        <w:rPr>
          <w:spacing w:val="-3"/>
          <w:sz w:val="20"/>
        </w:rPr>
        <w:t> </w:t>
      </w:r>
      <w:r>
        <w:rPr>
          <w:sz w:val="20"/>
        </w:rPr>
        <w:t>of</w:t>
      </w:r>
      <w:r>
        <w:rPr>
          <w:spacing w:val="-5"/>
          <w:sz w:val="20"/>
        </w:rPr>
        <w:t> </w:t>
      </w:r>
      <w:r>
        <w:rPr>
          <w:sz w:val="20"/>
        </w:rPr>
        <w:t>LTO-6</w:t>
      </w:r>
      <w:r>
        <w:rPr>
          <w:spacing w:val="-9"/>
          <w:sz w:val="20"/>
        </w:rPr>
        <w:t> </w:t>
      </w:r>
      <w:r>
        <w:rPr>
          <w:sz w:val="20"/>
        </w:rPr>
        <w:t>cartridges</w:t>
      </w:r>
      <w:r>
        <w:rPr>
          <w:spacing w:val="-6"/>
          <w:sz w:val="20"/>
        </w:rPr>
        <w:t> </w:t>
      </w:r>
      <w:r>
        <w:rPr>
          <w:sz w:val="20"/>
        </w:rPr>
        <w:t>for daily</w:t>
      </w:r>
      <w:r>
        <w:rPr>
          <w:spacing w:val="-5"/>
          <w:sz w:val="20"/>
        </w:rPr>
        <w:t> </w:t>
      </w:r>
      <w:r>
        <w:rPr>
          <w:sz w:val="20"/>
        </w:rPr>
        <w:t>audio-visual</w:t>
      </w:r>
      <w:r>
        <w:rPr>
          <w:spacing w:val="-4"/>
          <w:sz w:val="20"/>
        </w:rPr>
        <w:t> </w:t>
      </w:r>
      <w:r>
        <w:rPr>
          <w:sz w:val="20"/>
        </w:rPr>
        <w:t>recording</w:t>
      </w:r>
      <w:r>
        <w:rPr>
          <w:spacing w:val="-5"/>
          <w:sz w:val="20"/>
        </w:rPr>
        <w:t> </w:t>
      </w:r>
      <w:r>
        <w:rPr>
          <w:sz w:val="20"/>
        </w:rPr>
        <w:t>of</w:t>
      </w:r>
      <w:r>
        <w:rPr>
          <w:spacing w:val="-5"/>
          <w:sz w:val="20"/>
        </w:rPr>
        <w:t> </w:t>
      </w:r>
      <w:r>
        <w:rPr>
          <w:sz w:val="20"/>
        </w:rPr>
        <w:t>courtroom</w:t>
      </w:r>
      <w:r>
        <w:rPr>
          <w:spacing w:val="-4"/>
          <w:sz w:val="20"/>
        </w:rPr>
        <w:t> </w:t>
      </w:r>
      <w:r>
        <w:rPr>
          <w:sz w:val="20"/>
        </w:rPr>
        <w:t>proceedings,</w:t>
      </w:r>
      <w:r>
        <w:rPr>
          <w:spacing w:val="-7"/>
          <w:sz w:val="20"/>
        </w:rPr>
        <w:t> </w:t>
      </w:r>
      <w:r>
        <w:rPr>
          <w:sz w:val="20"/>
        </w:rPr>
        <w:t>and</w:t>
      </w:r>
      <w:r>
        <w:rPr>
          <w:spacing w:val="-9"/>
          <w:sz w:val="20"/>
        </w:rPr>
        <w:t> </w:t>
      </w:r>
      <w:r>
        <w:rPr>
          <w:sz w:val="20"/>
        </w:rPr>
        <w:t>to</w:t>
      </w:r>
      <w:r>
        <w:rPr>
          <w:spacing w:val="-1"/>
          <w:sz w:val="20"/>
        </w:rPr>
        <w:t> </w:t>
      </w:r>
      <w:r>
        <w:rPr>
          <w:sz w:val="20"/>
        </w:rPr>
        <w:t>run</w:t>
      </w:r>
      <w:r>
        <w:rPr>
          <w:spacing w:val="-5"/>
          <w:sz w:val="20"/>
        </w:rPr>
        <w:t> </w:t>
      </w:r>
      <w:r>
        <w:rPr>
          <w:sz w:val="20"/>
        </w:rPr>
        <w:t>the</w:t>
      </w:r>
      <w:r>
        <w:rPr>
          <w:spacing w:val="-4"/>
          <w:sz w:val="20"/>
        </w:rPr>
        <w:t> </w:t>
      </w:r>
      <w:r>
        <w:rPr>
          <w:sz w:val="20"/>
        </w:rPr>
        <w:t>distribution/streaming system (live streaming, delayed streaming and footage of witness testimony without facial distortion). The LTO recording system runs</w:t>
      </w:r>
      <w:r>
        <w:rPr>
          <w:spacing w:val="-5"/>
          <w:sz w:val="20"/>
        </w:rPr>
        <w:t> </w:t>
      </w:r>
      <w:r>
        <w:rPr>
          <w:sz w:val="20"/>
        </w:rPr>
        <w:t>as a backup/fail-safe concurrently with the IPV digital recording and archiving system. No</w:t>
      </w:r>
      <w:r>
        <w:rPr>
          <w:spacing w:val="-4"/>
          <w:sz w:val="20"/>
        </w:rPr>
        <w:t> </w:t>
      </w:r>
      <w:r>
        <w:rPr>
          <w:sz w:val="20"/>
        </w:rPr>
        <w:t>LTO-5</w:t>
      </w:r>
      <w:r>
        <w:rPr>
          <w:spacing w:val="-4"/>
          <w:sz w:val="20"/>
        </w:rPr>
        <w:t> </w:t>
      </w:r>
      <w:r>
        <w:rPr>
          <w:sz w:val="20"/>
        </w:rPr>
        <w:t>cartridges need</w:t>
      </w:r>
      <w:r>
        <w:rPr>
          <w:spacing w:val="-4"/>
          <w:sz w:val="20"/>
        </w:rPr>
        <w:t> </w:t>
      </w:r>
      <w:r>
        <w:rPr>
          <w:sz w:val="20"/>
        </w:rPr>
        <w:t>to be purchased for 2023 as the existing inventory is sufficient.</w:t>
      </w:r>
    </w:p>
    <w:p>
      <w:pPr>
        <w:pStyle w:val="ListParagraph"/>
        <w:numPr>
          <w:ilvl w:val="0"/>
          <w:numId w:val="4"/>
        </w:numPr>
        <w:tabs>
          <w:tab w:pos="2967" w:val="left" w:leader="none"/>
        </w:tabs>
        <w:spacing w:line="240" w:lineRule="auto" w:before="123" w:after="0"/>
        <w:ind w:left="2246" w:right="2240" w:firstLine="0"/>
        <w:jc w:val="both"/>
        <w:rPr>
          <w:sz w:val="20"/>
        </w:rPr>
      </w:pPr>
      <w:r>
        <w:rPr>
          <w:sz w:val="20"/>
        </w:rPr>
        <w:t>The</w:t>
      </w:r>
      <w:r>
        <w:rPr>
          <w:spacing w:val="-13"/>
          <w:sz w:val="20"/>
        </w:rPr>
        <w:t> </w:t>
      </w:r>
      <w:r>
        <w:rPr>
          <w:sz w:val="20"/>
        </w:rPr>
        <w:t>€304.9</w:t>
      </w:r>
      <w:r>
        <w:rPr>
          <w:spacing w:val="-12"/>
          <w:sz w:val="20"/>
        </w:rPr>
        <w:t> </w:t>
      </w:r>
      <w:r>
        <w:rPr>
          <w:sz w:val="20"/>
        </w:rPr>
        <w:t>thousand</w:t>
      </w:r>
      <w:r>
        <w:rPr>
          <w:spacing w:val="-13"/>
          <w:sz w:val="20"/>
        </w:rPr>
        <w:t> </w:t>
      </w:r>
      <w:r>
        <w:rPr>
          <w:sz w:val="20"/>
        </w:rPr>
        <w:t>requested</w:t>
      </w:r>
      <w:r>
        <w:rPr>
          <w:spacing w:val="-12"/>
          <w:sz w:val="20"/>
        </w:rPr>
        <w:t> </w:t>
      </w:r>
      <w:r>
        <w:rPr>
          <w:sz w:val="20"/>
        </w:rPr>
        <w:t>for</w:t>
      </w:r>
      <w:r>
        <w:rPr>
          <w:spacing w:val="-13"/>
          <w:sz w:val="20"/>
        </w:rPr>
        <w:t> </w:t>
      </w:r>
      <w:r>
        <w:rPr>
          <w:sz w:val="20"/>
        </w:rPr>
        <w:t>IMSS</w:t>
      </w:r>
      <w:r>
        <w:rPr>
          <w:spacing w:val="-12"/>
          <w:sz w:val="20"/>
        </w:rPr>
        <w:t> </w:t>
      </w:r>
      <w:r>
        <w:rPr>
          <w:sz w:val="20"/>
        </w:rPr>
        <w:t>represents</w:t>
      </w:r>
      <w:r>
        <w:rPr>
          <w:spacing w:val="-13"/>
          <w:sz w:val="20"/>
        </w:rPr>
        <w:t> </w:t>
      </w:r>
      <w:r>
        <w:rPr>
          <w:sz w:val="20"/>
        </w:rPr>
        <w:t>a</w:t>
      </w:r>
      <w:r>
        <w:rPr>
          <w:spacing w:val="-12"/>
          <w:sz w:val="20"/>
        </w:rPr>
        <w:t> </w:t>
      </w:r>
      <w:r>
        <w:rPr>
          <w:sz w:val="20"/>
        </w:rPr>
        <w:t>net</w:t>
      </w:r>
      <w:r>
        <w:rPr>
          <w:spacing w:val="-13"/>
          <w:sz w:val="20"/>
        </w:rPr>
        <w:t> </w:t>
      </w:r>
      <w:r>
        <w:rPr>
          <w:sz w:val="20"/>
        </w:rPr>
        <w:t>increase</w:t>
      </w:r>
      <w:r>
        <w:rPr>
          <w:spacing w:val="-12"/>
          <w:sz w:val="20"/>
        </w:rPr>
        <w:t> </w:t>
      </w:r>
      <w:r>
        <w:rPr>
          <w:sz w:val="20"/>
        </w:rPr>
        <w:t>of</w:t>
      </w:r>
      <w:r>
        <w:rPr>
          <w:spacing w:val="-13"/>
          <w:sz w:val="20"/>
        </w:rPr>
        <w:t> </w:t>
      </w:r>
      <w:r>
        <w:rPr>
          <w:sz w:val="20"/>
        </w:rPr>
        <w:t>€13.1</w:t>
      </w:r>
      <w:r>
        <w:rPr>
          <w:spacing w:val="-12"/>
          <w:sz w:val="20"/>
        </w:rPr>
        <w:t> </w:t>
      </w:r>
      <w:r>
        <w:rPr>
          <w:sz w:val="20"/>
        </w:rPr>
        <w:t>thousand (4.5</w:t>
      </w:r>
      <w:r>
        <w:rPr>
          <w:spacing w:val="-13"/>
          <w:sz w:val="20"/>
        </w:rPr>
        <w:t> </w:t>
      </w:r>
      <w:r>
        <w:rPr>
          <w:sz w:val="20"/>
        </w:rPr>
        <w:t>per</w:t>
      </w:r>
      <w:r>
        <w:rPr>
          <w:spacing w:val="-12"/>
          <w:sz w:val="20"/>
        </w:rPr>
        <w:t> </w:t>
      </w:r>
      <w:r>
        <w:rPr>
          <w:sz w:val="20"/>
        </w:rPr>
        <w:t>cent).</w:t>
      </w:r>
      <w:r>
        <w:rPr>
          <w:spacing w:val="-13"/>
          <w:sz w:val="20"/>
        </w:rPr>
        <w:t> </w:t>
      </w:r>
      <w:r>
        <w:rPr>
          <w:sz w:val="20"/>
        </w:rPr>
        <w:t>The</w:t>
      </w:r>
      <w:r>
        <w:rPr>
          <w:spacing w:val="-12"/>
          <w:sz w:val="20"/>
        </w:rPr>
        <w:t> </w:t>
      </w:r>
      <w:r>
        <w:rPr>
          <w:sz w:val="20"/>
        </w:rPr>
        <w:t>amount</w:t>
      </w:r>
      <w:r>
        <w:rPr>
          <w:spacing w:val="-13"/>
          <w:sz w:val="20"/>
        </w:rPr>
        <w:t> </w:t>
      </w:r>
      <w:r>
        <w:rPr>
          <w:sz w:val="20"/>
        </w:rPr>
        <w:t>proposed</w:t>
      </w:r>
      <w:r>
        <w:rPr>
          <w:spacing w:val="-12"/>
          <w:sz w:val="20"/>
        </w:rPr>
        <w:t> </w:t>
      </w:r>
      <w:r>
        <w:rPr>
          <w:sz w:val="20"/>
        </w:rPr>
        <w:t>for</w:t>
      </w:r>
      <w:r>
        <w:rPr>
          <w:spacing w:val="-13"/>
          <w:sz w:val="20"/>
        </w:rPr>
        <w:t> </w:t>
      </w:r>
      <w:r>
        <w:rPr>
          <w:sz w:val="20"/>
        </w:rPr>
        <w:t>IMSS</w:t>
      </w:r>
      <w:r>
        <w:rPr>
          <w:spacing w:val="-12"/>
          <w:sz w:val="20"/>
        </w:rPr>
        <w:t> </w:t>
      </w:r>
      <w:r>
        <w:rPr>
          <w:sz w:val="20"/>
        </w:rPr>
        <w:t>in</w:t>
      </w:r>
      <w:r>
        <w:rPr>
          <w:spacing w:val="-13"/>
          <w:sz w:val="20"/>
        </w:rPr>
        <w:t> </w:t>
      </w:r>
      <w:r>
        <w:rPr>
          <w:sz w:val="20"/>
        </w:rPr>
        <w:t>2023</w:t>
      </w:r>
      <w:r>
        <w:rPr>
          <w:spacing w:val="-12"/>
          <w:sz w:val="20"/>
        </w:rPr>
        <w:t> </w:t>
      </w:r>
      <w:r>
        <w:rPr>
          <w:sz w:val="20"/>
        </w:rPr>
        <w:t>is</w:t>
      </w:r>
      <w:r>
        <w:rPr>
          <w:spacing w:val="-13"/>
          <w:sz w:val="20"/>
        </w:rPr>
        <w:t> </w:t>
      </w:r>
      <w:r>
        <w:rPr>
          <w:sz w:val="20"/>
        </w:rPr>
        <w:t>comprised</w:t>
      </w:r>
      <w:r>
        <w:rPr>
          <w:spacing w:val="-12"/>
          <w:sz w:val="20"/>
        </w:rPr>
        <w:t> </w:t>
      </w:r>
      <w:r>
        <w:rPr>
          <w:sz w:val="20"/>
        </w:rPr>
        <w:t>wholly</w:t>
      </w:r>
      <w:r>
        <w:rPr>
          <w:spacing w:val="-13"/>
          <w:sz w:val="20"/>
        </w:rPr>
        <w:t> </w:t>
      </w:r>
      <w:r>
        <w:rPr>
          <w:sz w:val="20"/>
        </w:rPr>
        <w:t>of</w:t>
      </w:r>
      <w:r>
        <w:rPr>
          <w:spacing w:val="-12"/>
          <w:sz w:val="20"/>
        </w:rPr>
        <w:t> </w:t>
      </w:r>
      <w:r>
        <w:rPr>
          <w:sz w:val="20"/>
        </w:rPr>
        <w:t>recurrent</w:t>
      </w:r>
      <w:r>
        <w:rPr>
          <w:spacing w:val="-13"/>
          <w:sz w:val="20"/>
        </w:rPr>
        <w:t> </w:t>
      </w:r>
      <w:r>
        <w:rPr>
          <w:sz w:val="20"/>
        </w:rPr>
        <w:t>costs, and includes resources for the continued provision of library reference materials and resources such as digital and print subscriptions to serials and monographs, used daily by OTP,</w:t>
      </w:r>
      <w:r>
        <w:rPr>
          <w:spacing w:val="-8"/>
          <w:sz w:val="20"/>
        </w:rPr>
        <w:t> </w:t>
      </w:r>
      <w:r>
        <w:rPr>
          <w:sz w:val="20"/>
        </w:rPr>
        <w:t>Chambers</w:t>
      </w:r>
      <w:r>
        <w:rPr>
          <w:spacing w:val="-11"/>
          <w:sz w:val="20"/>
        </w:rPr>
        <w:t> </w:t>
      </w:r>
      <w:r>
        <w:rPr>
          <w:sz w:val="20"/>
        </w:rPr>
        <w:t>and</w:t>
      </w:r>
      <w:r>
        <w:rPr>
          <w:spacing w:val="-13"/>
          <w:sz w:val="20"/>
        </w:rPr>
        <w:t> </w:t>
      </w:r>
      <w:r>
        <w:rPr>
          <w:sz w:val="20"/>
        </w:rPr>
        <w:t>the</w:t>
      </w:r>
      <w:r>
        <w:rPr>
          <w:spacing w:val="-7"/>
          <w:sz w:val="20"/>
        </w:rPr>
        <w:t> </w:t>
      </w:r>
      <w:r>
        <w:rPr>
          <w:sz w:val="20"/>
        </w:rPr>
        <w:t>Registry</w:t>
      </w:r>
      <w:r>
        <w:rPr>
          <w:spacing w:val="-9"/>
          <w:sz w:val="20"/>
        </w:rPr>
        <w:t> </w:t>
      </w:r>
      <w:r>
        <w:rPr>
          <w:sz w:val="20"/>
        </w:rPr>
        <w:t>for</w:t>
      </w:r>
      <w:r>
        <w:rPr>
          <w:spacing w:val="-9"/>
          <w:sz w:val="20"/>
        </w:rPr>
        <w:t> </w:t>
      </w:r>
      <w:r>
        <w:rPr>
          <w:sz w:val="20"/>
        </w:rPr>
        <w:t>legal</w:t>
      </w:r>
      <w:r>
        <w:rPr>
          <w:spacing w:val="-8"/>
          <w:sz w:val="20"/>
        </w:rPr>
        <w:t> </w:t>
      </w:r>
      <w:r>
        <w:rPr>
          <w:sz w:val="20"/>
        </w:rPr>
        <w:t>research.</w:t>
      </w:r>
      <w:r>
        <w:rPr>
          <w:spacing w:val="-2"/>
          <w:sz w:val="20"/>
        </w:rPr>
        <w:t> </w:t>
      </w:r>
      <w:r>
        <w:rPr>
          <w:sz w:val="20"/>
        </w:rPr>
        <w:t>Resources</w:t>
      </w:r>
      <w:r>
        <w:rPr>
          <w:spacing w:val="-6"/>
          <w:sz w:val="20"/>
        </w:rPr>
        <w:t> </w:t>
      </w:r>
      <w:r>
        <w:rPr>
          <w:sz w:val="20"/>
        </w:rPr>
        <w:t>are</w:t>
      </w:r>
      <w:r>
        <w:rPr>
          <w:spacing w:val="-8"/>
          <w:sz w:val="20"/>
        </w:rPr>
        <w:t> </w:t>
      </w:r>
      <w:r>
        <w:rPr>
          <w:sz w:val="20"/>
        </w:rPr>
        <w:t>also</w:t>
      </w:r>
      <w:r>
        <w:rPr>
          <w:spacing w:val="-5"/>
          <w:sz w:val="20"/>
        </w:rPr>
        <w:t> </w:t>
      </w:r>
      <w:r>
        <w:rPr>
          <w:sz w:val="20"/>
        </w:rPr>
        <w:t>needed</w:t>
      </w:r>
      <w:r>
        <w:rPr>
          <w:spacing w:val="-13"/>
          <w:sz w:val="20"/>
        </w:rPr>
        <w:t> </w:t>
      </w:r>
      <w:r>
        <w:rPr>
          <w:sz w:val="20"/>
        </w:rPr>
        <w:t>to</w:t>
      </w:r>
      <w:r>
        <w:rPr>
          <w:spacing w:val="-8"/>
          <w:sz w:val="20"/>
        </w:rPr>
        <w:t> </w:t>
      </w:r>
      <w:r>
        <w:rPr>
          <w:sz w:val="20"/>
        </w:rPr>
        <w:t>cover</w:t>
      </w:r>
      <w:r>
        <w:rPr>
          <w:spacing w:val="-9"/>
          <w:sz w:val="20"/>
        </w:rPr>
        <w:t> </w:t>
      </w:r>
      <w:r>
        <w:rPr>
          <w:sz w:val="20"/>
        </w:rPr>
        <w:t>basic printing supplies (toner cartridges and paper), backup tapes, replacement of memory cards, archival</w:t>
      </w:r>
      <w:r>
        <w:rPr>
          <w:spacing w:val="-13"/>
          <w:sz w:val="20"/>
        </w:rPr>
        <w:t> </w:t>
      </w:r>
      <w:r>
        <w:rPr>
          <w:sz w:val="20"/>
        </w:rPr>
        <w:t>supplies</w:t>
      </w:r>
      <w:r>
        <w:rPr>
          <w:spacing w:val="-12"/>
          <w:sz w:val="20"/>
        </w:rPr>
        <w:t> </w:t>
      </w:r>
      <w:r>
        <w:rPr>
          <w:sz w:val="20"/>
        </w:rPr>
        <w:t>to</w:t>
      </w:r>
      <w:r>
        <w:rPr>
          <w:spacing w:val="-13"/>
          <w:sz w:val="20"/>
        </w:rPr>
        <w:t> </w:t>
      </w:r>
      <w:r>
        <w:rPr>
          <w:sz w:val="20"/>
        </w:rPr>
        <w:t>preserve</w:t>
      </w:r>
      <w:r>
        <w:rPr>
          <w:spacing w:val="-12"/>
          <w:sz w:val="20"/>
        </w:rPr>
        <w:t> </w:t>
      </w:r>
      <w:r>
        <w:rPr>
          <w:sz w:val="20"/>
        </w:rPr>
        <w:t>the</w:t>
      </w:r>
      <w:r>
        <w:rPr>
          <w:spacing w:val="-13"/>
          <w:sz w:val="20"/>
        </w:rPr>
        <w:t> </w:t>
      </w:r>
      <w:r>
        <w:rPr>
          <w:sz w:val="20"/>
        </w:rPr>
        <w:t>Court’s</w:t>
      </w:r>
      <w:r>
        <w:rPr>
          <w:spacing w:val="-12"/>
          <w:sz w:val="20"/>
        </w:rPr>
        <w:t> </w:t>
      </w:r>
      <w:r>
        <w:rPr>
          <w:sz w:val="20"/>
        </w:rPr>
        <w:t>legacy</w:t>
      </w:r>
      <w:r>
        <w:rPr>
          <w:spacing w:val="-13"/>
          <w:sz w:val="20"/>
        </w:rPr>
        <w:t> </w:t>
      </w:r>
      <w:r>
        <w:rPr>
          <w:sz w:val="20"/>
        </w:rPr>
        <w:t>records,</w:t>
      </w:r>
      <w:r>
        <w:rPr>
          <w:spacing w:val="-12"/>
          <w:sz w:val="20"/>
        </w:rPr>
        <w:t> </w:t>
      </w:r>
      <w:r>
        <w:rPr>
          <w:sz w:val="20"/>
        </w:rPr>
        <w:t>audio-visual</w:t>
      </w:r>
      <w:r>
        <w:rPr>
          <w:spacing w:val="-9"/>
          <w:sz w:val="20"/>
        </w:rPr>
        <w:t> </w:t>
      </w:r>
      <w:r>
        <w:rPr>
          <w:sz w:val="20"/>
        </w:rPr>
        <w:t>supplies</w:t>
      </w:r>
      <w:r>
        <w:rPr>
          <w:spacing w:val="-11"/>
          <w:sz w:val="20"/>
        </w:rPr>
        <w:t> </w:t>
      </w:r>
      <w:r>
        <w:rPr>
          <w:sz w:val="20"/>
        </w:rPr>
        <w:t>for</w:t>
      </w:r>
      <w:r>
        <w:rPr>
          <w:spacing w:val="-13"/>
          <w:sz w:val="20"/>
        </w:rPr>
        <w:t> </w:t>
      </w:r>
      <w:r>
        <w:rPr>
          <w:sz w:val="20"/>
        </w:rPr>
        <w:t>courtrooms and offices and end-user requests for language-specific keyboards, encrypted drives and laptop batteries.</w:t>
      </w:r>
    </w:p>
    <w:p>
      <w:pPr>
        <w:pStyle w:val="ListParagraph"/>
        <w:numPr>
          <w:ilvl w:val="0"/>
          <w:numId w:val="4"/>
        </w:numPr>
        <w:tabs>
          <w:tab w:pos="2967" w:val="left" w:leader="none"/>
        </w:tabs>
        <w:spacing w:line="240" w:lineRule="auto" w:before="120" w:after="0"/>
        <w:ind w:left="2246" w:right="2242" w:firstLine="0"/>
        <w:jc w:val="both"/>
        <w:rPr>
          <w:sz w:val="20"/>
        </w:rPr>
      </w:pPr>
      <w:r>
        <w:rPr>
          <w:sz w:val="20"/>
        </w:rPr>
        <w:t>For</w:t>
      </w:r>
      <w:r>
        <w:rPr>
          <w:spacing w:val="-13"/>
          <w:sz w:val="20"/>
        </w:rPr>
        <w:t> </w:t>
      </w:r>
      <w:r>
        <w:rPr>
          <w:sz w:val="20"/>
        </w:rPr>
        <w:t>LSS,</w:t>
      </w:r>
      <w:r>
        <w:rPr>
          <w:spacing w:val="-11"/>
          <w:sz w:val="20"/>
        </w:rPr>
        <w:t> </w:t>
      </w:r>
      <w:r>
        <w:rPr>
          <w:sz w:val="20"/>
        </w:rPr>
        <w:t>DS</w:t>
      </w:r>
      <w:r>
        <w:rPr>
          <w:spacing w:val="-13"/>
          <w:sz w:val="20"/>
        </w:rPr>
        <w:t> </w:t>
      </w:r>
      <w:r>
        <w:rPr>
          <w:sz w:val="20"/>
        </w:rPr>
        <w:t>and</w:t>
      </w:r>
      <w:r>
        <w:rPr>
          <w:spacing w:val="-12"/>
          <w:sz w:val="20"/>
        </w:rPr>
        <w:t> </w:t>
      </w:r>
      <w:r>
        <w:rPr>
          <w:sz w:val="20"/>
        </w:rPr>
        <w:t>VPRS</w:t>
      </w:r>
      <w:r>
        <w:rPr>
          <w:spacing w:val="-10"/>
          <w:sz w:val="20"/>
        </w:rPr>
        <w:t> </w:t>
      </w:r>
      <w:r>
        <w:rPr>
          <w:sz w:val="20"/>
        </w:rPr>
        <w:t>the</w:t>
      </w:r>
      <w:r>
        <w:rPr>
          <w:spacing w:val="-12"/>
          <w:sz w:val="20"/>
        </w:rPr>
        <w:t> </w:t>
      </w:r>
      <w:r>
        <w:rPr>
          <w:sz w:val="20"/>
        </w:rPr>
        <w:t>proposed</w:t>
      </w:r>
      <w:r>
        <w:rPr>
          <w:spacing w:val="-13"/>
          <w:sz w:val="20"/>
        </w:rPr>
        <w:t> </w:t>
      </w:r>
      <w:r>
        <w:rPr>
          <w:sz w:val="20"/>
        </w:rPr>
        <w:t>amounts</w:t>
      </w:r>
      <w:r>
        <w:rPr>
          <w:spacing w:val="-12"/>
          <w:sz w:val="20"/>
        </w:rPr>
        <w:t> </w:t>
      </w:r>
      <w:r>
        <w:rPr>
          <w:sz w:val="20"/>
        </w:rPr>
        <w:t>remain</w:t>
      </w:r>
      <w:r>
        <w:rPr>
          <w:spacing w:val="-13"/>
          <w:sz w:val="20"/>
        </w:rPr>
        <w:t> </w:t>
      </w:r>
      <w:r>
        <w:rPr>
          <w:sz w:val="20"/>
        </w:rPr>
        <w:t>largely</w:t>
      </w:r>
      <w:r>
        <w:rPr>
          <w:spacing w:val="-12"/>
          <w:sz w:val="20"/>
        </w:rPr>
        <w:t> </w:t>
      </w:r>
      <w:r>
        <w:rPr>
          <w:sz w:val="20"/>
        </w:rPr>
        <w:t>unchanged</w:t>
      </w:r>
      <w:r>
        <w:rPr>
          <w:spacing w:val="-8"/>
          <w:sz w:val="20"/>
        </w:rPr>
        <w:t> </w:t>
      </w:r>
      <w:r>
        <w:rPr>
          <w:sz w:val="20"/>
        </w:rPr>
        <w:t>from</w:t>
      </w:r>
      <w:r>
        <w:rPr>
          <w:spacing w:val="-12"/>
          <w:sz w:val="20"/>
        </w:rPr>
        <w:t> </w:t>
      </w:r>
      <w:r>
        <w:rPr>
          <w:sz w:val="20"/>
        </w:rPr>
        <w:t>those approved for 2022 and include, respectively, resources for up-to-date dictionaries and materials,</w:t>
      </w:r>
      <w:r>
        <w:rPr>
          <w:spacing w:val="-9"/>
          <w:sz w:val="20"/>
        </w:rPr>
        <w:t> </w:t>
      </w:r>
      <w:r>
        <w:rPr>
          <w:sz w:val="20"/>
        </w:rPr>
        <w:t>for</w:t>
      </w:r>
      <w:r>
        <w:rPr>
          <w:spacing w:val="-13"/>
          <w:sz w:val="20"/>
        </w:rPr>
        <w:t> </w:t>
      </w:r>
      <w:r>
        <w:rPr>
          <w:sz w:val="20"/>
        </w:rPr>
        <w:t>uniforms</w:t>
      </w:r>
      <w:r>
        <w:rPr>
          <w:spacing w:val="-12"/>
          <w:sz w:val="20"/>
        </w:rPr>
        <w:t> </w:t>
      </w:r>
      <w:r>
        <w:rPr>
          <w:sz w:val="20"/>
        </w:rPr>
        <w:t>and</w:t>
      </w:r>
      <w:r>
        <w:rPr>
          <w:spacing w:val="-8"/>
          <w:sz w:val="20"/>
        </w:rPr>
        <w:t> </w:t>
      </w:r>
      <w:r>
        <w:rPr>
          <w:sz w:val="20"/>
        </w:rPr>
        <w:t>for</w:t>
      </w:r>
      <w:r>
        <w:rPr>
          <w:spacing w:val="-8"/>
          <w:sz w:val="20"/>
        </w:rPr>
        <w:t> </w:t>
      </w:r>
      <w:r>
        <w:rPr>
          <w:sz w:val="20"/>
        </w:rPr>
        <w:t>supplies</w:t>
      </w:r>
      <w:r>
        <w:rPr>
          <w:spacing w:val="-13"/>
          <w:sz w:val="20"/>
        </w:rPr>
        <w:t> </w:t>
      </w:r>
      <w:r>
        <w:rPr>
          <w:sz w:val="20"/>
        </w:rPr>
        <w:t>to</w:t>
      </w:r>
      <w:r>
        <w:rPr>
          <w:spacing w:val="-7"/>
          <w:sz w:val="20"/>
        </w:rPr>
        <w:t> </w:t>
      </w:r>
      <w:r>
        <w:rPr>
          <w:sz w:val="20"/>
        </w:rPr>
        <w:t>store</w:t>
      </w:r>
      <w:r>
        <w:rPr>
          <w:spacing w:val="-7"/>
          <w:sz w:val="20"/>
        </w:rPr>
        <w:t> </w:t>
      </w:r>
      <w:r>
        <w:rPr>
          <w:sz w:val="20"/>
        </w:rPr>
        <w:t>original</w:t>
      </w:r>
      <w:r>
        <w:rPr>
          <w:spacing w:val="-12"/>
          <w:sz w:val="20"/>
        </w:rPr>
        <w:t> </w:t>
      </w:r>
      <w:r>
        <w:rPr>
          <w:sz w:val="20"/>
        </w:rPr>
        <w:t>victim</w:t>
      </w:r>
      <w:r>
        <w:rPr>
          <w:spacing w:val="-7"/>
          <w:sz w:val="20"/>
        </w:rPr>
        <w:t> </w:t>
      </w:r>
      <w:r>
        <w:rPr>
          <w:sz w:val="20"/>
        </w:rPr>
        <w:t>applications</w:t>
      </w:r>
      <w:r>
        <w:rPr>
          <w:spacing w:val="-10"/>
          <w:sz w:val="20"/>
        </w:rPr>
        <w:t> </w:t>
      </w:r>
      <w:r>
        <w:rPr>
          <w:sz w:val="20"/>
        </w:rPr>
        <w:t>and</w:t>
      </w:r>
      <w:r>
        <w:rPr>
          <w:spacing w:val="-13"/>
          <w:sz w:val="20"/>
        </w:rPr>
        <w:t> </w:t>
      </w:r>
      <w:r>
        <w:rPr>
          <w:sz w:val="20"/>
        </w:rPr>
        <w:t>materials</w:t>
      </w:r>
      <w:r>
        <w:rPr>
          <w:spacing w:val="-9"/>
          <w:sz w:val="20"/>
        </w:rPr>
        <w:t> </w:t>
      </w:r>
      <w:r>
        <w:rPr>
          <w:sz w:val="20"/>
        </w:rPr>
        <w:t>for field missions.</w:t>
      </w:r>
    </w:p>
    <w:p>
      <w:pPr>
        <w:pStyle w:val="BodyText"/>
        <w:rPr>
          <w:sz w:val="21"/>
        </w:rPr>
      </w:pPr>
    </w:p>
    <w:p>
      <w:pPr>
        <w:tabs>
          <w:tab w:pos="8133" w:val="left" w:leader="none"/>
        </w:tabs>
        <w:spacing w:before="0"/>
        <w:ind w:left="2246" w:right="0" w:firstLine="0"/>
        <w:jc w:val="both"/>
        <w:rPr>
          <w:i/>
          <w:sz w:val="20"/>
        </w:rPr>
      </w:pPr>
      <w:r>
        <w:rPr>
          <w:i/>
          <w:sz w:val="20"/>
        </w:rPr>
        <w:t>Furniture</w:t>
      </w:r>
      <w:r>
        <w:rPr>
          <w:i/>
          <w:spacing w:val="-4"/>
          <w:sz w:val="20"/>
        </w:rPr>
        <w:t> </w:t>
      </w:r>
      <w:r>
        <w:rPr>
          <w:i/>
          <w:sz w:val="20"/>
        </w:rPr>
        <w:t>and</w:t>
      </w:r>
      <w:r>
        <w:rPr>
          <w:i/>
          <w:spacing w:val="-5"/>
          <w:sz w:val="20"/>
        </w:rPr>
        <w:t> </w:t>
      </w:r>
      <w:r>
        <w:rPr>
          <w:i/>
          <w:spacing w:val="-2"/>
          <w:sz w:val="20"/>
        </w:rPr>
        <w:t>equipment</w:t>
      </w:r>
      <w:r>
        <w:rPr>
          <w:i/>
          <w:sz w:val="20"/>
        </w:rPr>
        <w:tab/>
        <w:t>€1,330.0</w:t>
      </w:r>
      <w:r>
        <w:rPr>
          <w:i/>
          <w:spacing w:val="-4"/>
          <w:sz w:val="20"/>
        </w:rPr>
        <w:t> </w:t>
      </w:r>
      <w:r>
        <w:rPr>
          <w:i/>
          <w:spacing w:val="-2"/>
          <w:sz w:val="20"/>
        </w:rPr>
        <w:t>thousand</w:t>
      </w:r>
    </w:p>
    <w:p>
      <w:pPr>
        <w:pStyle w:val="BodyText"/>
        <w:spacing w:before="11"/>
        <w:rPr>
          <w:i/>
        </w:rPr>
      </w:pPr>
    </w:p>
    <w:p>
      <w:pPr>
        <w:pStyle w:val="ListParagraph"/>
        <w:numPr>
          <w:ilvl w:val="0"/>
          <w:numId w:val="4"/>
        </w:numPr>
        <w:tabs>
          <w:tab w:pos="2967" w:val="left" w:leader="none"/>
        </w:tabs>
        <w:spacing w:line="240" w:lineRule="auto" w:before="0" w:after="0"/>
        <w:ind w:left="2246" w:right="2248" w:firstLine="0"/>
        <w:jc w:val="both"/>
        <w:rPr>
          <w:sz w:val="20"/>
        </w:rPr>
      </w:pPr>
      <w:r>
        <w:rPr>
          <w:sz w:val="20"/>
        </w:rPr>
        <w:t>The amount proposed for furniture and equipment in 2023 represents an increase</w:t>
      </w:r>
      <w:r>
        <w:rPr>
          <w:spacing w:val="40"/>
          <w:sz w:val="20"/>
        </w:rPr>
        <w:t> </w:t>
      </w:r>
      <w:r>
        <w:rPr>
          <w:sz w:val="20"/>
        </w:rPr>
        <w:t>of €819.5</w:t>
      </w:r>
      <w:r>
        <w:rPr>
          <w:spacing w:val="-9"/>
          <w:sz w:val="20"/>
        </w:rPr>
        <w:t> </w:t>
      </w:r>
      <w:r>
        <w:rPr>
          <w:sz w:val="20"/>
        </w:rPr>
        <w:t>thousand</w:t>
      </w:r>
      <w:r>
        <w:rPr>
          <w:spacing w:val="-5"/>
          <w:sz w:val="20"/>
        </w:rPr>
        <w:t> </w:t>
      </w:r>
      <w:r>
        <w:rPr>
          <w:sz w:val="20"/>
        </w:rPr>
        <w:t>(160.5</w:t>
      </w:r>
      <w:r>
        <w:rPr>
          <w:spacing w:val="-5"/>
          <w:sz w:val="20"/>
        </w:rPr>
        <w:t> </w:t>
      </w:r>
      <w:r>
        <w:rPr>
          <w:sz w:val="20"/>
        </w:rPr>
        <w:t>per</w:t>
      </w:r>
      <w:r>
        <w:rPr>
          <w:spacing w:val="-5"/>
          <w:sz w:val="20"/>
        </w:rPr>
        <w:t> </w:t>
      </w:r>
      <w:r>
        <w:rPr>
          <w:sz w:val="20"/>
        </w:rPr>
        <w:t>cent)</w:t>
      </w:r>
      <w:r>
        <w:rPr>
          <w:spacing w:val="-5"/>
          <w:sz w:val="20"/>
        </w:rPr>
        <w:t> </w:t>
      </w:r>
      <w:r>
        <w:rPr>
          <w:sz w:val="20"/>
        </w:rPr>
        <w:t>from</w:t>
      </w:r>
      <w:r>
        <w:rPr>
          <w:spacing w:val="-8"/>
          <w:sz w:val="20"/>
        </w:rPr>
        <w:t> </w:t>
      </w:r>
      <w:r>
        <w:rPr>
          <w:sz w:val="20"/>
        </w:rPr>
        <w:t>the</w:t>
      </w:r>
      <w:r>
        <w:rPr>
          <w:spacing w:val="-8"/>
          <w:sz w:val="20"/>
        </w:rPr>
        <w:t> </w:t>
      </w:r>
      <w:r>
        <w:rPr>
          <w:sz w:val="20"/>
        </w:rPr>
        <w:t>amount</w:t>
      </w:r>
      <w:r>
        <w:rPr>
          <w:spacing w:val="-3"/>
          <w:sz w:val="20"/>
        </w:rPr>
        <w:t> </w:t>
      </w:r>
      <w:r>
        <w:rPr>
          <w:sz w:val="20"/>
        </w:rPr>
        <w:t>of</w:t>
      </w:r>
      <w:r>
        <w:rPr>
          <w:spacing w:val="-5"/>
          <w:sz w:val="20"/>
        </w:rPr>
        <w:t> </w:t>
      </w:r>
      <w:r>
        <w:rPr>
          <w:sz w:val="20"/>
        </w:rPr>
        <w:t>€510.5</w:t>
      </w:r>
      <w:r>
        <w:rPr>
          <w:spacing w:val="-5"/>
          <w:sz w:val="20"/>
        </w:rPr>
        <w:t> </w:t>
      </w:r>
      <w:r>
        <w:rPr>
          <w:sz w:val="20"/>
        </w:rPr>
        <w:t>thousand</w:t>
      </w:r>
      <w:r>
        <w:rPr>
          <w:spacing w:val="-5"/>
          <w:sz w:val="20"/>
        </w:rPr>
        <w:t> </w:t>
      </w:r>
      <w:r>
        <w:rPr>
          <w:sz w:val="20"/>
        </w:rPr>
        <w:t>approved</w:t>
      </w:r>
      <w:r>
        <w:rPr>
          <w:spacing w:val="-5"/>
          <w:sz w:val="20"/>
        </w:rPr>
        <w:t> </w:t>
      </w:r>
      <w:r>
        <w:rPr>
          <w:sz w:val="20"/>
        </w:rPr>
        <w:t>for</w:t>
      </w:r>
      <w:r>
        <w:rPr>
          <w:spacing w:val="-9"/>
          <w:sz w:val="20"/>
        </w:rPr>
        <w:t> </w:t>
      </w:r>
      <w:r>
        <w:rPr>
          <w:sz w:val="20"/>
        </w:rPr>
        <w:t>2022, solely in IMSS.</w:t>
      </w:r>
    </w:p>
    <w:p>
      <w:pPr>
        <w:pStyle w:val="ListParagraph"/>
        <w:numPr>
          <w:ilvl w:val="0"/>
          <w:numId w:val="4"/>
        </w:numPr>
        <w:tabs>
          <w:tab w:pos="2967" w:val="left" w:leader="none"/>
        </w:tabs>
        <w:spacing w:line="240" w:lineRule="auto" w:before="116" w:after="0"/>
        <w:ind w:left="2246" w:right="2244" w:firstLine="0"/>
        <w:jc w:val="both"/>
        <w:rPr>
          <w:sz w:val="20"/>
        </w:rPr>
      </w:pPr>
      <w:r>
        <w:rPr>
          <w:sz w:val="20"/>
        </w:rPr>
        <w:t>For 2023, the Division is requesting additional resources in the amount of €980.0 thousand</w:t>
      </w:r>
      <w:r>
        <w:rPr>
          <w:spacing w:val="-13"/>
          <w:sz w:val="20"/>
        </w:rPr>
        <w:t> </w:t>
      </w:r>
      <w:r>
        <w:rPr>
          <w:sz w:val="20"/>
        </w:rPr>
        <w:t>to</w:t>
      </w:r>
      <w:r>
        <w:rPr>
          <w:spacing w:val="-12"/>
          <w:sz w:val="20"/>
        </w:rPr>
        <w:t> </w:t>
      </w:r>
      <w:r>
        <w:rPr>
          <w:sz w:val="20"/>
        </w:rPr>
        <w:t>replace</w:t>
      </w:r>
      <w:r>
        <w:rPr>
          <w:spacing w:val="-12"/>
          <w:sz w:val="20"/>
        </w:rPr>
        <w:t> </w:t>
      </w:r>
      <w:r>
        <w:rPr>
          <w:sz w:val="20"/>
        </w:rPr>
        <w:t>end-of-life</w:t>
      </w:r>
      <w:r>
        <w:rPr>
          <w:spacing w:val="-8"/>
          <w:sz w:val="20"/>
        </w:rPr>
        <w:t> </w:t>
      </w:r>
      <w:r>
        <w:rPr>
          <w:sz w:val="20"/>
        </w:rPr>
        <w:t>hardware.</w:t>
      </w:r>
      <w:r>
        <w:rPr>
          <w:spacing w:val="-7"/>
          <w:sz w:val="20"/>
        </w:rPr>
        <w:t> </w:t>
      </w:r>
      <w:r>
        <w:rPr>
          <w:sz w:val="20"/>
        </w:rPr>
        <w:t>Of</w:t>
      </w:r>
      <w:r>
        <w:rPr>
          <w:spacing w:val="-13"/>
          <w:sz w:val="20"/>
        </w:rPr>
        <w:t> </w:t>
      </w:r>
      <w:r>
        <w:rPr>
          <w:sz w:val="20"/>
        </w:rPr>
        <w:t>this</w:t>
      </w:r>
      <w:r>
        <w:rPr>
          <w:spacing w:val="-10"/>
          <w:sz w:val="20"/>
        </w:rPr>
        <w:t> </w:t>
      </w:r>
      <w:r>
        <w:rPr>
          <w:sz w:val="20"/>
        </w:rPr>
        <w:t>figure,</w:t>
      </w:r>
      <w:r>
        <w:rPr>
          <w:spacing w:val="-12"/>
          <w:sz w:val="20"/>
        </w:rPr>
        <w:t> </w:t>
      </w:r>
      <w:r>
        <w:rPr>
          <w:sz w:val="20"/>
        </w:rPr>
        <w:t>€240.0</w:t>
      </w:r>
      <w:r>
        <w:rPr>
          <w:spacing w:val="-9"/>
          <w:sz w:val="20"/>
        </w:rPr>
        <w:t> </w:t>
      </w:r>
      <w:r>
        <w:rPr>
          <w:sz w:val="20"/>
        </w:rPr>
        <w:t>thousand</w:t>
      </w:r>
      <w:r>
        <w:rPr>
          <w:spacing w:val="-9"/>
          <w:sz w:val="20"/>
        </w:rPr>
        <w:t> </w:t>
      </w:r>
      <w:r>
        <w:rPr>
          <w:sz w:val="20"/>
        </w:rPr>
        <w:t>is</w:t>
      </w:r>
      <w:r>
        <w:rPr>
          <w:spacing w:val="-13"/>
          <w:sz w:val="20"/>
        </w:rPr>
        <w:t> </w:t>
      </w:r>
      <w:r>
        <w:rPr>
          <w:sz w:val="20"/>
        </w:rPr>
        <w:t>to</w:t>
      </w:r>
      <w:r>
        <w:rPr>
          <w:spacing w:val="-8"/>
          <w:sz w:val="20"/>
        </w:rPr>
        <w:t> </w:t>
      </w:r>
      <w:r>
        <w:rPr>
          <w:sz w:val="20"/>
        </w:rPr>
        <w:t>replace</w:t>
      </w:r>
      <w:r>
        <w:rPr>
          <w:spacing w:val="-13"/>
          <w:sz w:val="20"/>
        </w:rPr>
        <w:t> </w:t>
      </w:r>
      <w:r>
        <w:rPr>
          <w:sz w:val="20"/>
        </w:rPr>
        <w:t>critical end-of-life infrastructure in the data centre, €465.0 thousand is for courtroom hardware, including the replacement of end-of-life workstations in two courtrooms and the remaining</w:t>
      </w:r>
    </w:p>
    <w:p>
      <w:pPr>
        <w:pStyle w:val="BodyText"/>
        <w:spacing w:before="2"/>
        <w:ind w:left="2246" w:right="2243"/>
        <w:jc w:val="both"/>
      </w:pPr>
      <w:r>
        <w:rPr/>
        <w:t>€275.0</w:t>
      </w:r>
      <w:r>
        <w:rPr>
          <w:spacing w:val="40"/>
        </w:rPr>
        <w:t> </w:t>
      </w:r>
      <w:r>
        <w:rPr/>
        <w:t>thousand</w:t>
      </w:r>
      <w:r>
        <w:rPr>
          <w:spacing w:val="40"/>
        </w:rPr>
        <w:t> </w:t>
      </w:r>
      <w:r>
        <w:rPr/>
        <w:t>is</w:t>
      </w:r>
      <w:r>
        <w:rPr>
          <w:spacing w:val="40"/>
        </w:rPr>
        <w:t> </w:t>
      </w:r>
      <w:r>
        <w:rPr/>
        <w:t>for</w:t>
      </w:r>
      <w:r>
        <w:rPr>
          <w:spacing w:val="40"/>
        </w:rPr>
        <w:t> </w:t>
      </w:r>
      <w:r>
        <w:rPr/>
        <w:t>network</w:t>
      </w:r>
      <w:r>
        <w:rPr>
          <w:spacing w:val="40"/>
        </w:rPr>
        <w:t> </w:t>
      </w:r>
      <w:r>
        <w:rPr/>
        <w:t>infrastructure</w:t>
      </w:r>
      <w:r>
        <w:rPr>
          <w:spacing w:val="40"/>
        </w:rPr>
        <w:t> </w:t>
      </w:r>
      <w:r>
        <w:rPr/>
        <w:t>and</w:t>
      </w:r>
      <w:r>
        <w:rPr>
          <w:spacing w:val="40"/>
        </w:rPr>
        <w:t> </w:t>
      </w:r>
      <w:r>
        <w:rPr/>
        <w:t>this</w:t>
      </w:r>
      <w:r>
        <w:rPr>
          <w:spacing w:val="40"/>
        </w:rPr>
        <w:t> </w:t>
      </w:r>
      <w:r>
        <w:rPr/>
        <w:t>has</w:t>
      </w:r>
      <w:r>
        <w:rPr>
          <w:spacing w:val="40"/>
        </w:rPr>
        <w:t> </w:t>
      </w:r>
      <w:r>
        <w:rPr/>
        <w:t>been</w:t>
      </w:r>
      <w:r>
        <w:rPr>
          <w:spacing w:val="40"/>
        </w:rPr>
        <w:t> </w:t>
      </w:r>
      <w:r>
        <w:rPr/>
        <w:t>included</w:t>
      </w:r>
      <w:r>
        <w:rPr>
          <w:spacing w:val="40"/>
        </w:rPr>
        <w:t> </w:t>
      </w:r>
      <w:r>
        <w:rPr/>
        <w:t>in</w:t>
      </w:r>
      <w:r>
        <w:rPr>
          <w:spacing w:val="40"/>
        </w:rPr>
        <w:t> </w:t>
      </w:r>
      <w:r>
        <w:rPr/>
        <w:t>the</w:t>
      </w:r>
      <w:r>
        <w:rPr>
          <w:spacing w:val="40"/>
        </w:rPr>
        <w:t> </w:t>
      </w:r>
      <w:r>
        <w:rPr/>
        <w:t>total Court-wide IT costs detailed in Annex IX (b). In 2022, the Court forecast €621.0 thousand for</w:t>
      </w:r>
      <w:r>
        <w:rPr>
          <w:spacing w:val="-9"/>
        </w:rPr>
        <w:t> </w:t>
      </w:r>
      <w:r>
        <w:rPr/>
        <w:t>2023.</w:t>
      </w:r>
      <w:r>
        <w:rPr>
          <w:spacing w:val="-12"/>
        </w:rPr>
        <w:t> </w:t>
      </w:r>
      <w:r>
        <w:rPr/>
        <w:t>This</w:t>
      </w:r>
      <w:r>
        <w:rPr>
          <w:spacing w:val="-13"/>
        </w:rPr>
        <w:t> </w:t>
      </w:r>
      <w:r>
        <w:rPr/>
        <w:t>forecast</w:t>
      </w:r>
      <w:r>
        <w:rPr>
          <w:spacing w:val="-11"/>
        </w:rPr>
        <w:t> </w:t>
      </w:r>
      <w:r>
        <w:rPr/>
        <w:t>was</w:t>
      </w:r>
      <w:r>
        <w:rPr>
          <w:spacing w:val="-13"/>
        </w:rPr>
        <w:t> </w:t>
      </w:r>
      <w:r>
        <w:rPr/>
        <w:t>based</w:t>
      </w:r>
      <w:r>
        <w:rPr>
          <w:spacing w:val="-12"/>
        </w:rPr>
        <w:t> </w:t>
      </w:r>
      <w:r>
        <w:rPr/>
        <w:t>on</w:t>
      </w:r>
      <w:r>
        <w:rPr>
          <w:spacing w:val="-13"/>
        </w:rPr>
        <w:t> </w:t>
      </w:r>
      <w:r>
        <w:rPr/>
        <w:t>the</w:t>
      </w:r>
      <w:r>
        <w:rPr>
          <w:spacing w:val="-11"/>
        </w:rPr>
        <w:t> </w:t>
      </w:r>
      <w:r>
        <w:rPr/>
        <w:t>provision</w:t>
      </w:r>
      <w:r>
        <w:rPr>
          <w:spacing w:val="-13"/>
        </w:rPr>
        <w:t> </w:t>
      </w:r>
      <w:r>
        <w:rPr/>
        <w:t>of</w:t>
      </w:r>
      <w:r>
        <w:rPr>
          <w:spacing w:val="-12"/>
        </w:rPr>
        <w:t> </w:t>
      </w:r>
      <w:r>
        <w:rPr/>
        <w:t>the</w:t>
      </w:r>
      <w:r>
        <w:rPr>
          <w:spacing w:val="-12"/>
        </w:rPr>
        <w:t> </w:t>
      </w:r>
      <w:r>
        <w:rPr/>
        <w:t>€438.0</w:t>
      </w:r>
      <w:r>
        <w:rPr>
          <w:spacing w:val="-13"/>
        </w:rPr>
        <w:t> </w:t>
      </w:r>
      <w:r>
        <w:rPr/>
        <w:t>thousand</w:t>
      </w:r>
      <w:r>
        <w:rPr>
          <w:spacing w:val="-12"/>
        </w:rPr>
        <w:t> </w:t>
      </w:r>
      <w:r>
        <w:rPr/>
        <w:t>requested</w:t>
      </w:r>
      <w:r>
        <w:rPr>
          <w:spacing w:val="-13"/>
        </w:rPr>
        <w:t> </w:t>
      </w:r>
      <w:r>
        <w:rPr/>
        <w:t>for</w:t>
      </w:r>
      <w:r>
        <w:rPr>
          <w:spacing w:val="-12"/>
        </w:rPr>
        <w:t> </w:t>
      </w:r>
      <w:r>
        <w:rPr/>
        <w:t>2022. No funding for IT capital replacements was approved for 2022 and consequently the Court has more end-of-life infrastructure accumulated from 2022 and 2023 for replacement.</w:t>
      </w:r>
    </w:p>
    <w:p>
      <w:pPr>
        <w:pStyle w:val="ListParagraph"/>
        <w:numPr>
          <w:ilvl w:val="0"/>
          <w:numId w:val="4"/>
        </w:numPr>
        <w:tabs>
          <w:tab w:pos="2967" w:val="left" w:leader="none"/>
        </w:tabs>
        <w:spacing w:line="240" w:lineRule="auto" w:before="123" w:after="0"/>
        <w:ind w:left="2246" w:right="2239" w:firstLine="0"/>
        <w:jc w:val="both"/>
        <w:rPr>
          <w:sz w:val="20"/>
        </w:rPr>
      </w:pPr>
      <w:r>
        <w:rPr>
          <w:sz w:val="20"/>
        </w:rPr>
        <w:t>The remaining resources are required in recurrent costs for lights-on items, which vary annually owing to obsolescence and wear and tear. The Court uses furniture and equipment until it is no longer usable or</w:t>
      </w:r>
      <w:r>
        <w:rPr>
          <w:spacing w:val="-4"/>
          <w:sz w:val="20"/>
        </w:rPr>
        <w:t> </w:t>
      </w:r>
      <w:r>
        <w:rPr>
          <w:sz w:val="20"/>
        </w:rPr>
        <w:t>compatible with</w:t>
      </w:r>
      <w:r>
        <w:rPr>
          <w:spacing w:val="-4"/>
          <w:sz w:val="20"/>
        </w:rPr>
        <w:t> </w:t>
      </w:r>
      <w:r>
        <w:rPr>
          <w:sz w:val="20"/>
        </w:rPr>
        <w:t>the rest of</w:t>
      </w:r>
      <w:r>
        <w:rPr>
          <w:spacing w:val="-4"/>
          <w:sz w:val="20"/>
        </w:rPr>
        <w:t> </w:t>
      </w:r>
      <w:r>
        <w:rPr>
          <w:sz w:val="20"/>
        </w:rPr>
        <w:t>the Court’s</w:t>
      </w:r>
      <w:r>
        <w:rPr>
          <w:spacing w:val="-5"/>
          <w:sz w:val="20"/>
        </w:rPr>
        <w:t> </w:t>
      </w:r>
      <w:r>
        <w:rPr>
          <w:sz w:val="20"/>
        </w:rPr>
        <w:t>information technology infrastructure. Failure to replace end-of-life infrastructure would prevent the Court from keeping its systems up to date and lead to additional security risks.</w:t>
      </w:r>
    </w:p>
    <w:p>
      <w:pPr>
        <w:spacing w:after="0" w:line="240" w:lineRule="auto"/>
        <w:jc w:val="both"/>
        <w:rPr>
          <w:sz w:val="20"/>
        </w:rPr>
        <w:sectPr>
          <w:pgSz w:w="11910" w:h="16840"/>
          <w:pgMar w:header="957" w:footer="940" w:top="1140" w:bottom="1140" w:left="20" w:right="20"/>
        </w:sectPr>
      </w:pPr>
    </w:p>
    <w:p>
      <w:pPr>
        <w:pStyle w:val="BodyText"/>
        <w:spacing w:line="20" w:lineRule="exact"/>
        <w:ind w:left="1084"/>
        <w:rPr>
          <w:sz w:val="2"/>
        </w:rPr>
      </w:pPr>
      <w:r>
        <w:rPr>
          <w:sz w:val="2"/>
        </w:rPr>
        <w:pict>
          <v:group style="width:485pt;height:.25pt;mso-position-horizontal-relative:char;mso-position-vertical-relative:line" id="docshapegroup241" coordorigin="0,0" coordsize="9700,5">
            <v:rect style="position:absolute;left:0;top:0;width:9700;height:5" id="docshape242" filled="true" fillcolor="#000000" stroked="false">
              <v:fill type="solid"/>
            </v:rect>
          </v:group>
        </w:pict>
      </w:r>
      <w:r>
        <w:rPr>
          <w:sz w:val="2"/>
        </w:rPr>
      </w:r>
    </w:p>
    <w:p>
      <w:pPr>
        <w:spacing w:before="104"/>
        <w:ind w:left="2246" w:right="0" w:firstLine="0"/>
        <w:jc w:val="left"/>
        <w:rPr>
          <w:b/>
          <w:sz w:val="20"/>
        </w:rPr>
      </w:pPr>
      <w:r>
        <w:rPr>
          <w:b/>
          <w:sz w:val="20"/>
        </w:rPr>
        <w:t>Table</w:t>
      </w:r>
      <w:r>
        <w:rPr>
          <w:b/>
          <w:spacing w:val="-6"/>
          <w:sz w:val="20"/>
        </w:rPr>
        <w:t> </w:t>
      </w:r>
      <w:r>
        <w:rPr>
          <w:b/>
          <w:sz w:val="20"/>
        </w:rPr>
        <w:t>28:</w:t>
      </w:r>
      <w:r>
        <w:rPr>
          <w:b/>
          <w:spacing w:val="-6"/>
          <w:sz w:val="20"/>
        </w:rPr>
        <w:t> </w:t>
      </w:r>
      <w:r>
        <w:rPr>
          <w:b/>
          <w:sz w:val="20"/>
        </w:rPr>
        <w:t>Programme</w:t>
      </w:r>
      <w:r>
        <w:rPr>
          <w:b/>
          <w:spacing w:val="-5"/>
          <w:sz w:val="20"/>
        </w:rPr>
        <w:t> </w:t>
      </w:r>
      <w:r>
        <w:rPr>
          <w:b/>
          <w:sz w:val="20"/>
        </w:rPr>
        <w:t>3300:</w:t>
      </w:r>
      <w:r>
        <w:rPr>
          <w:b/>
          <w:spacing w:val="-7"/>
          <w:sz w:val="20"/>
        </w:rPr>
        <w:t> </w:t>
      </w:r>
      <w:r>
        <w:rPr>
          <w:b/>
          <w:sz w:val="20"/>
        </w:rPr>
        <w:t>Proposed</w:t>
      </w:r>
      <w:r>
        <w:rPr>
          <w:b/>
          <w:spacing w:val="-8"/>
          <w:sz w:val="20"/>
        </w:rPr>
        <w:t> </w:t>
      </w:r>
      <w:r>
        <w:rPr>
          <w:b/>
          <w:sz w:val="20"/>
        </w:rPr>
        <w:t>budget</w:t>
      </w:r>
      <w:r>
        <w:rPr>
          <w:b/>
          <w:spacing w:val="-7"/>
          <w:sz w:val="20"/>
        </w:rPr>
        <w:t> </w:t>
      </w:r>
      <w:r>
        <w:rPr>
          <w:b/>
          <w:sz w:val="20"/>
        </w:rPr>
        <w:t>for </w:t>
      </w:r>
      <w:r>
        <w:rPr>
          <w:b/>
          <w:spacing w:val="-4"/>
          <w:sz w:val="20"/>
        </w:rPr>
        <w:t>2023</w:t>
      </w:r>
    </w:p>
    <w:tbl>
      <w:tblPr>
        <w:tblW w:w="0" w:type="auto"/>
        <w:jc w:val="left"/>
        <w:tblInd w:w="1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61"/>
        <w:gridCol w:w="1204"/>
        <w:gridCol w:w="891"/>
        <w:gridCol w:w="1056"/>
        <w:gridCol w:w="1060"/>
        <w:gridCol w:w="1181"/>
        <w:gridCol w:w="759"/>
        <w:gridCol w:w="1040"/>
      </w:tblGrid>
      <w:tr>
        <w:trPr>
          <w:trHeight w:val="324" w:hRule="atLeast"/>
        </w:trPr>
        <w:tc>
          <w:tcPr>
            <w:tcW w:w="2461" w:type="dxa"/>
            <w:vMerge w:val="restart"/>
            <w:tcBorders>
              <w:top w:val="single" w:sz="4" w:space="0" w:color="000000"/>
              <w:bottom w:val="single" w:sz="12" w:space="0" w:color="000000"/>
            </w:tcBorders>
          </w:tcPr>
          <w:p>
            <w:pPr>
              <w:pStyle w:val="TableParagraph"/>
              <w:spacing w:line="183" w:lineRule="exact" w:before="153"/>
              <w:ind w:left="117"/>
              <w:jc w:val="left"/>
              <w:rPr>
                <w:b/>
                <w:sz w:val="16"/>
              </w:rPr>
            </w:pPr>
            <w:r>
              <w:rPr>
                <w:b/>
                <w:spacing w:val="-4"/>
                <w:sz w:val="16"/>
              </w:rPr>
              <w:t>3300</w:t>
            </w:r>
          </w:p>
          <w:p>
            <w:pPr>
              <w:pStyle w:val="TableParagraph"/>
              <w:spacing w:line="183" w:lineRule="exact"/>
              <w:ind w:left="117"/>
              <w:jc w:val="left"/>
              <w:rPr>
                <w:b/>
                <w:sz w:val="16"/>
              </w:rPr>
            </w:pPr>
            <w:r>
              <w:rPr>
                <w:b/>
                <w:sz w:val="16"/>
              </w:rPr>
              <w:t>Division</w:t>
            </w:r>
            <w:r>
              <w:rPr>
                <w:b/>
                <w:spacing w:val="-8"/>
                <w:sz w:val="16"/>
              </w:rPr>
              <w:t> </w:t>
            </w:r>
            <w:r>
              <w:rPr>
                <w:b/>
                <w:sz w:val="16"/>
              </w:rPr>
              <w:t>of</w:t>
            </w:r>
            <w:r>
              <w:rPr>
                <w:b/>
                <w:spacing w:val="-5"/>
                <w:sz w:val="16"/>
              </w:rPr>
              <w:t> </w:t>
            </w:r>
            <w:r>
              <w:rPr>
                <w:b/>
                <w:spacing w:val="-2"/>
                <w:sz w:val="16"/>
              </w:rPr>
              <w:t>Judicial</w:t>
            </w:r>
          </w:p>
          <w:p>
            <w:pPr>
              <w:pStyle w:val="TableParagraph"/>
              <w:spacing w:line="171" w:lineRule="exact" w:before="3"/>
              <w:ind w:left="117"/>
              <w:jc w:val="left"/>
              <w:rPr>
                <w:b/>
                <w:sz w:val="16"/>
              </w:rPr>
            </w:pPr>
            <w:r>
              <w:rPr>
                <w:b/>
                <w:sz w:val="16"/>
              </w:rPr>
              <w:t>Services</w:t>
            </w:r>
            <w:r>
              <w:rPr>
                <w:b/>
                <w:spacing w:val="-7"/>
                <w:sz w:val="16"/>
              </w:rPr>
              <w:t> </w:t>
            </w:r>
            <w:r>
              <w:rPr>
                <w:b/>
                <w:spacing w:val="-2"/>
                <w:sz w:val="16"/>
              </w:rPr>
              <w:t>(DJS)</w:t>
            </w:r>
          </w:p>
        </w:tc>
        <w:tc>
          <w:tcPr>
            <w:tcW w:w="3151" w:type="dxa"/>
            <w:gridSpan w:val="3"/>
            <w:tcBorders>
              <w:top w:val="single" w:sz="4" w:space="0" w:color="000000"/>
            </w:tcBorders>
          </w:tcPr>
          <w:p>
            <w:pPr>
              <w:pStyle w:val="TableParagraph"/>
              <w:tabs>
                <w:tab w:pos="297" w:val="left" w:leader="none"/>
                <w:tab w:pos="3145" w:val="left" w:leader="none"/>
              </w:tabs>
              <w:spacing w:line="180" w:lineRule="exact" w:before="124"/>
              <w:ind w:left="-1"/>
              <w:jc w:val="left"/>
              <w:rPr>
                <w:sz w:val="16"/>
              </w:rPr>
            </w:pPr>
            <w:r>
              <w:rPr>
                <w:sz w:val="16"/>
                <w:u w:val="single"/>
              </w:rPr>
              <w:tab/>
              <w:t>2021</w:t>
            </w:r>
            <w:r>
              <w:rPr>
                <w:spacing w:val="-3"/>
                <w:sz w:val="16"/>
                <w:u w:val="single"/>
              </w:rPr>
              <w:t> </w:t>
            </w:r>
            <w:r>
              <w:rPr>
                <w:sz w:val="16"/>
                <w:u w:val="single"/>
              </w:rPr>
              <w:t>Expenditures</w:t>
            </w:r>
            <w:r>
              <w:rPr>
                <w:spacing w:val="-4"/>
                <w:sz w:val="16"/>
                <w:u w:val="single"/>
              </w:rPr>
              <w:t> </w:t>
            </w:r>
            <w:r>
              <w:rPr>
                <w:sz w:val="16"/>
                <w:u w:val="single"/>
              </w:rPr>
              <w:t>(thousands</w:t>
            </w:r>
            <w:r>
              <w:rPr>
                <w:spacing w:val="-4"/>
                <w:sz w:val="16"/>
                <w:u w:val="single"/>
              </w:rPr>
              <w:t> </w:t>
            </w:r>
            <w:r>
              <w:rPr>
                <w:sz w:val="16"/>
                <w:u w:val="single"/>
              </w:rPr>
              <w:t>of</w:t>
            </w:r>
            <w:r>
              <w:rPr>
                <w:spacing w:val="-4"/>
                <w:sz w:val="16"/>
                <w:u w:val="single"/>
              </w:rPr>
              <w:t> </w:t>
            </w:r>
            <w:r>
              <w:rPr>
                <w:spacing w:val="-2"/>
                <w:sz w:val="16"/>
                <w:u w:val="single"/>
              </w:rPr>
              <w:t>euros)</w:t>
            </w:r>
            <w:r>
              <w:rPr>
                <w:sz w:val="16"/>
                <w:u w:val="single"/>
              </w:rPr>
              <w:tab/>
            </w:r>
          </w:p>
        </w:tc>
        <w:tc>
          <w:tcPr>
            <w:tcW w:w="1060" w:type="dxa"/>
            <w:vMerge w:val="restart"/>
            <w:tcBorders>
              <w:top w:val="single" w:sz="4" w:space="0" w:color="000000"/>
              <w:bottom w:val="single" w:sz="12" w:space="0" w:color="000000"/>
            </w:tcBorders>
          </w:tcPr>
          <w:p>
            <w:pPr>
              <w:pStyle w:val="TableParagraph"/>
              <w:spacing w:line="183" w:lineRule="exact" w:before="153"/>
              <w:ind w:left="217" w:right="175"/>
              <w:jc w:val="center"/>
              <w:rPr>
                <w:sz w:val="16"/>
              </w:rPr>
            </w:pPr>
            <w:r>
              <w:rPr>
                <w:spacing w:val="-4"/>
                <w:sz w:val="16"/>
              </w:rPr>
              <w:t>2022</w:t>
            </w:r>
          </w:p>
          <w:p>
            <w:pPr>
              <w:pStyle w:val="TableParagraph"/>
              <w:spacing w:line="183" w:lineRule="exact"/>
              <w:ind w:left="217" w:right="179"/>
              <w:jc w:val="center"/>
              <w:rPr>
                <w:sz w:val="16"/>
              </w:rPr>
            </w:pPr>
            <w:r>
              <w:rPr>
                <w:spacing w:val="-2"/>
                <w:sz w:val="16"/>
              </w:rPr>
              <w:t>Approved</w:t>
            </w:r>
          </w:p>
          <w:p>
            <w:pPr>
              <w:pStyle w:val="TableParagraph"/>
              <w:spacing w:line="171" w:lineRule="exact" w:before="3"/>
              <w:ind w:left="217" w:right="170"/>
              <w:jc w:val="center"/>
              <w:rPr>
                <w:sz w:val="16"/>
              </w:rPr>
            </w:pPr>
            <w:r>
              <w:rPr>
                <w:spacing w:val="-2"/>
                <w:sz w:val="16"/>
              </w:rPr>
              <w:t>Budget</w:t>
            </w:r>
          </w:p>
        </w:tc>
        <w:tc>
          <w:tcPr>
            <w:tcW w:w="1940" w:type="dxa"/>
            <w:gridSpan w:val="2"/>
            <w:tcBorders>
              <w:top w:val="single" w:sz="4" w:space="0" w:color="000000"/>
            </w:tcBorders>
          </w:tcPr>
          <w:p>
            <w:pPr>
              <w:pStyle w:val="TableParagraph"/>
              <w:tabs>
                <w:tab w:pos="365" w:val="left" w:leader="none"/>
                <w:tab w:pos="1863" w:val="left" w:leader="none"/>
              </w:tabs>
              <w:spacing w:line="180" w:lineRule="exact" w:before="124"/>
              <w:ind w:left="53"/>
              <w:jc w:val="left"/>
              <w:rPr>
                <w:sz w:val="16"/>
              </w:rPr>
            </w:pPr>
            <w:r>
              <w:rPr>
                <w:sz w:val="16"/>
                <w:u w:val="single"/>
              </w:rPr>
              <w:tab/>
              <w:t>Resource</w:t>
            </w:r>
            <w:r>
              <w:rPr>
                <w:spacing w:val="-2"/>
                <w:sz w:val="16"/>
                <w:u w:val="single"/>
              </w:rPr>
              <w:t> Changes</w:t>
            </w:r>
            <w:r>
              <w:rPr>
                <w:sz w:val="16"/>
                <w:u w:val="single"/>
              </w:rPr>
              <w:tab/>
            </w:r>
          </w:p>
        </w:tc>
        <w:tc>
          <w:tcPr>
            <w:tcW w:w="1040" w:type="dxa"/>
            <w:tcBorders>
              <w:top w:val="single" w:sz="4" w:space="0" w:color="000000"/>
            </w:tcBorders>
          </w:tcPr>
          <w:p>
            <w:pPr>
              <w:pStyle w:val="TableParagraph"/>
              <w:jc w:val="left"/>
              <w:rPr>
                <w:sz w:val="14"/>
              </w:rPr>
            </w:pPr>
          </w:p>
        </w:tc>
      </w:tr>
      <w:tr>
        <w:trPr>
          <w:trHeight w:val="359" w:hRule="atLeast"/>
        </w:trPr>
        <w:tc>
          <w:tcPr>
            <w:tcW w:w="2461" w:type="dxa"/>
            <w:vMerge/>
            <w:tcBorders>
              <w:top w:val="nil"/>
              <w:bottom w:val="single" w:sz="12" w:space="0" w:color="000000"/>
            </w:tcBorders>
          </w:tcPr>
          <w:p>
            <w:pPr>
              <w:rPr>
                <w:sz w:val="2"/>
                <w:szCs w:val="2"/>
              </w:rPr>
            </w:pPr>
          </w:p>
        </w:tc>
        <w:tc>
          <w:tcPr>
            <w:tcW w:w="1204" w:type="dxa"/>
            <w:tcBorders>
              <w:bottom w:val="single" w:sz="12" w:space="0" w:color="000000"/>
            </w:tcBorders>
          </w:tcPr>
          <w:p>
            <w:pPr>
              <w:pStyle w:val="TableParagraph"/>
              <w:spacing w:before="7"/>
              <w:jc w:val="left"/>
              <w:rPr>
                <w:b/>
                <w:sz w:val="14"/>
              </w:rPr>
            </w:pPr>
          </w:p>
          <w:p>
            <w:pPr>
              <w:pStyle w:val="TableParagraph"/>
              <w:spacing w:line="171" w:lineRule="exact"/>
              <w:ind w:left="388"/>
              <w:jc w:val="left"/>
              <w:rPr>
                <w:sz w:val="16"/>
              </w:rPr>
            </w:pPr>
            <w:r>
              <w:rPr>
                <w:spacing w:val="-2"/>
                <w:sz w:val="16"/>
              </w:rPr>
              <w:t>Total</w:t>
            </w:r>
          </w:p>
        </w:tc>
        <w:tc>
          <w:tcPr>
            <w:tcW w:w="891" w:type="dxa"/>
            <w:tcBorders>
              <w:bottom w:val="single" w:sz="12" w:space="0" w:color="000000"/>
            </w:tcBorders>
          </w:tcPr>
          <w:p>
            <w:pPr>
              <w:pStyle w:val="TableParagraph"/>
              <w:spacing w:line="165" w:lineRule="exact"/>
              <w:ind w:left="193"/>
              <w:jc w:val="left"/>
              <w:rPr>
                <w:sz w:val="16"/>
              </w:rPr>
            </w:pPr>
            <w:r>
              <w:rPr>
                <w:spacing w:val="-2"/>
                <w:sz w:val="16"/>
              </w:rPr>
              <w:t>Cont.</w:t>
            </w:r>
          </w:p>
          <w:p>
            <w:pPr>
              <w:pStyle w:val="TableParagraph"/>
              <w:spacing w:line="171" w:lineRule="exact" w:before="3"/>
              <w:ind w:left="202"/>
              <w:jc w:val="left"/>
              <w:rPr>
                <w:sz w:val="16"/>
              </w:rPr>
            </w:pPr>
            <w:r>
              <w:rPr>
                <w:spacing w:val="-4"/>
                <w:sz w:val="16"/>
              </w:rPr>
              <w:t>Fund</w:t>
            </w:r>
          </w:p>
        </w:tc>
        <w:tc>
          <w:tcPr>
            <w:tcW w:w="1056" w:type="dxa"/>
            <w:tcBorders>
              <w:bottom w:val="single" w:sz="12" w:space="0" w:color="000000"/>
            </w:tcBorders>
          </w:tcPr>
          <w:p>
            <w:pPr>
              <w:pStyle w:val="TableParagraph"/>
              <w:spacing w:line="165" w:lineRule="exact"/>
              <w:ind w:left="154" w:right="211"/>
              <w:jc w:val="center"/>
              <w:rPr>
                <w:sz w:val="16"/>
              </w:rPr>
            </w:pPr>
            <w:r>
              <w:rPr>
                <w:sz w:val="16"/>
              </w:rPr>
              <w:t>Total</w:t>
            </w:r>
            <w:r>
              <w:rPr>
                <w:spacing w:val="-6"/>
                <w:sz w:val="16"/>
              </w:rPr>
              <w:t> </w:t>
            </w:r>
            <w:r>
              <w:rPr>
                <w:spacing w:val="-2"/>
                <w:sz w:val="16"/>
              </w:rPr>
              <w:t>Incl.</w:t>
            </w:r>
          </w:p>
          <w:p>
            <w:pPr>
              <w:pStyle w:val="TableParagraph"/>
              <w:spacing w:line="171" w:lineRule="exact" w:before="3"/>
              <w:ind w:left="145" w:right="211"/>
              <w:jc w:val="center"/>
              <w:rPr>
                <w:sz w:val="16"/>
              </w:rPr>
            </w:pPr>
            <w:r>
              <w:rPr>
                <w:spacing w:val="-5"/>
                <w:sz w:val="16"/>
              </w:rPr>
              <w:t>CF</w:t>
            </w:r>
          </w:p>
        </w:tc>
        <w:tc>
          <w:tcPr>
            <w:tcW w:w="1060" w:type="dxa"/>
            <w:vMerge/>
            <w:tcBorders>
              <w:top w:val="nil"/>
              <w:bottom w:val="single" w:sz="12" w:space="0" w:color="000000"/>
            </w:tcBorders>
          </w:tcPr>
          <w:p>
            <w:pPr>
              <w:rPr>
                <w:sz w:val="2"/>
                <w:szCs w:val="2"/>
              </w:rPr>
            </w:pPr>
          </w:p>
        </w:tc>
        <w:tc>
          <w:tcPr>
            <w:tcW w:w="1181" w:type="dxa"/>
            <w:tcBorders>
              <w:bottom w:val="single" w:sz="12" w:space="0" w:color="000000"/>
            </w:tcBorders>
          </w:tcPr>
          <w:p>
            <w:pPr>
              <w:pStyle w:val="TableParagraph"/>
              <w:spacing w:before="7"/>
              <w:jc w:val="left"/>
              <w:rPr>
                <w:b/>
                <w:sz w:val="14"/>
              </w:rPr>
            </w:pPr>
          </w:p>
          <w:p>
            <w:pPr>
              <w:pStyle w:val="TableParagraph"/>
              <w:spacing w:line="171" w:lineRule="exact"/>
              <w:ind w:right="213"/>
              <w:rPr>
                <w:sz w:val="16"/>
              </w:rPr>
            </w:pPr>
            <w:r>
              <w:rPr>
                <w:spacing w:val="-2"/>
                <w:sz w:val="16"/>
              </w:rPr>
              <w:t>Amount</w:t>
            </w:r>
          </w:p>
        </w:tc>
        <w:tc>
          <w:tcPr>
            <w:tcW w:w="759" w:type="dxa"/>
            <w:tcBorders>
              <w:bottom w:val="single" w:sz="12" w:space="0" w:color="000000"/>
            </w:tcBorders>
          </w:tcPr>
          <w:p>
            <w:pPr>
              <w:pStyle w:val="TableParagraph"/>
              <w:spacing w:before="7"/>
              <w:jc w:val="left"/>
              <w:rPr>
                <w:b/>
                <w:sz w:val="14"/>
              </w:rPr>
            </w:pPr>
          </w:p>
          <w:p>
            <w:pPr>
              <w:pStyle w:val="TableParagraph"/>
              <w:spacing w:line="171" w:lineRule="exact"/>
              <w:ind w:right="187"/>
              <w:rPr>
                <w:sz w:val="16"/>
              </w:rPr>
            </w:pPr>
            <w:r>
              <w:rPr>
                <w:w w:val="98"/>
                <w:sz w:val="16"/>
              </w:rPr>
              <w:t>%</w:t>
            </w:r>
          </w:p>
        </w:tc>
        <w:tc>
          <w:tcPr>
            <w:tcW w:w="1040" w:type="dxa"/>
            <w:tcBorders>
              <w:bottom w:val="single" w:sz="12" w:space="0" w:color="000000"/>
            </w:tcBorders>
          </w:tcPr>
          <w:p>
            <w:pPr>
              <w:pStyle w:val="TableParagraph"/>
              <w:spacing w:line="165" w:lineRule="exact"/>
              <w:ind w:left="51" w:right="127"/>
              <w:jc w:val="center"/>
              <w:rPr>
                <w:sz w:val="16"/>
              </w:rPr>
            </w:pPr>
            <w:r>
              <w:rPr>
                <w:spacing w:val="-2"/>
                <w:sz w:val="16"/>
              </w:rPr>
              <w:t>Proposed</w:t>
            </w:r>
          </w:p>
          <w:p>
            <w:pPr>
              <w:pStyle w:val="TableParagraph"/>
              <w:spacing w:line="171" w:lineRule="exact" w:before="3"/>
              <w:ind w:left="59" w:right="127"/>
              <w:jc w:val="center"/>
              <w:rPr>
                <w:sz w:val="16"/>
              </w:rPr>
            </w:pPr>
            <w:r>
              <w:rPr>
                <w:sz w:val="16"/>
              </w:rPr>
              <w:t>2023</w:t>
            </w:r>
            <w:r>
              <w:rPr>
                <w:spacing w:val="2"/>
                <w:sz w:val="16"/>
              </w:rPr>
              <w:t> </w:t>
            </w:r>
            <w:r>
              <w:rPr>
                <w:spacing w:val="-2"/>
                <w:sz w:val="16"/>
              </w:rPr>
              <w:t>Budget</w:t>
            </w:r>
          </w:p>
        </w:tc>
      </w:tr>
      <w:tr>
        <w:trPr>
          <w:trHeight w:val="231" w:hRule="atLeast"/>
        </w:trPr>
        <w:tc>
          <w:tcPr>
            <w:tcW w:w="2461" w:type="dxa"/>
            <w:tcBorders>
              <w:top w:val="single" w:sz="12" w:space="0" w:color="000000"/>
            </w:tcBorders>
          </w:tcPr>
          <w:p>
            <w:pPr>
              <w:pStyle w:val="TableParagraph"/>
              <w:spacing w:before="13"/>
              <w:ind w:left="117"/>
              <w:jc w:val="left"/>
              <w:rPr>
                <w:sz w:val="16"/>
              </w:rPr>
            </w:pPr>
            <w:r>
              <w:rPr>
                <w:w w:val="95"/>
                <w:sz w:val="16"/>
              </w:rPr>
              <w:t>Professional</w:t>
            </w:r>
            <w:r>
              <w:rPr>
                <w:spacing w:val="28"/>
                <w:sz w:val="16"/>
              </w:rPr>
              <w:t> </w:t>
            </w:r>
            <w:r>
              <w:rPr>
                <w:spacing w:val="-2"/>
                <w:sz w:val="16"/>
              </w:rPr>
              <w:t>staff</w:t>
            </w:r>
          </w:p>
        </w:tc>
        <w:tc>
          <w:tcPr>
            <w:tcW w:w="1204" w:type="dxa"/>
            <w:tcBorders>
              <w:top w:val="single" w:sz="12" w:space="0" w:color="000000"/>
            </w:tcBorders>
            <w:shd w:val="clear" w:color="auto" w:fill="D9D9D9"/>
          </w:tcPr>
          <w:p>
            <w:pPr>
              <w:pStyle w:val="TableParagraph"/>
              <w:jc w:val="left"/>
              <w:rPr>
                <w:sz w:val="14"/>
              </w:rPr>
            </w:pPr>
          </w:p>
        </w:tc>
        <w:tc>
          <w:tcPr>
            <w:tcW w:w="891" w:type="dxa"/>
            <w:tcBorders>
              <w:top w:val="single" w:sz="12" w:space="0" w:color="000000"/>
            </w:tcBorders>
            <w:shd w:val="clear" w:color="auto" w:fill="D9D9D9"/>
          </w:tcPr>
          <w:p>
            <w:pPr>
              <w:pStyle w:val="TableParagraph"/>
              <w:jc w:val="left"/>
              <w:rPr>
                <w:sz w:val="14"/>
              </w:rPr>
            </w:pPr>
          </w:p>
        </w:tc>
        <w:tc>
          <w:tcPr>
            <w:tcW w:w="1056" w:type="dxa"/>
            <w:tcBorders>
              <w:top w:val="single" w:sz="12" w:space="0" w:color="000000"/>
            </w:tcBorders>
            <w:shd w:val="clear" w:color="auto" w:fill="D9D9D9"/>
          </w:tcPr>
          <w:p>
            <w:pPr>
              <w:pStyle w:val="TableParagraph"/>
              <w:jc w:val="left"/>
              <w:rPr>
                <w:sz w:val="14"/>
              </w:rPr>
            </w:pPr>
          </w:p>
        </w:tc>
        <w:tc>
          <w:tcPr>
            <w:tcW w:w="1060" w:type="dxa"/>
            <w:tcBorders>
              <w:top w:val="single" w:sz="12" w:space="0" w:color="000000"/>
            </w:tcBorders>
          </w:tcPr>
          <w:p>
            <w:pPr>
              <w:pStyle w:val="TableParagraph"/>
              <w:spacing w:before="13"/>
              <w:ind w:right="54"/>
              <w:rPr>
                <w:sz w:val="16"/>
              </w:rPr>
            </w:pPr>
            <w:r>
              <w:rPr>
                <w:spacing w:val="-2"/>
                <w:sz w:val="16"/>
              </w:rPr>
              <w:t>12,711.9</w:t>
            </w:r>
          </w:p>
        </w:tc>
        <w:tc>
          <w:tcPr>
            <w:tcW w:w="1181" w:type="dxa"/>
            <w:tcBorders>
              <w:top w:val="single" w:sz="12" w:space="0" w:color="000000"/>
            </w:tcBorders>
          </w:tcPr>
          <w:p>
            <w:pPr>
              <w:pStyle w:val="TableParagraph"/>
              <w:spacing w:before="13"/>
              <w:ind w:right="216"/>
              <w:rPr>
                <w:sz w:val="16"/>
              </w:rPr>
            </w:pPr>
            <w:r>
              <w:rPr>
                <w:spacing w:val="-2"/>
                <w:sz w:val="16"/>
              </w:rPr>
              <w:t>631.4</w:t>
            </w:r>
          </w:p>
        </w:tc>
        <w:tc>
          <w:tcPr>
            <w:tcW w:w="759" w:type="dxa"/>
            <w:tcBorders>
              <w:top w:val="single" w:sz="12" w:space="0" w:color="000000"/>
            </w:tcBorders>
          </w:tcPr>
          <w:p>
            <w:pPr>
              <w:pStyle w:val="TableParagraph"/>
              <w:spacing w:before="13"/>
              <w:ind w:right="187"/>
              <w:rPr>
                <w:sz w:val="16"/>
              </w:rPr>
            </w:pPr>
            <w:r>
              <w:rPr>
                <w:spacing w:val="-5"/>
                <w:sz w:val="16"/>
              </w:rPr>
              <w:t>5.0</w:t>
            </w:r>
          </w:p>
        </w:tc>
        <w:tc>
          <w:tcPr>
            <w:tcW w:w="1040" w:type="dxa"/>
            <w:tcBorders>
              <w:top w:val="single" w:sz="12" w:space="0" w:color="000000"/>
            </w:tcBorders>
          </w:tcPr>
          <w:p>
            <w:pPr>
              <w:pStyle w:val="TableParagraph"/>
              <w:spacing w:before="13"/>
              <w:ind w:right="104"/>
              <w:rPr>
                <w:sz w:val="16"/>
              </w:rPr>
            </w:pPr>
            <w:r>
              <w:rPr>
                <w:spacing w:val="-2"/>
                <w:sz w:val="16"/>
              </w:rPr>
              <w:t>13,343.3</w:t>
            </w:r>
          </w:p>
        </w:tc>
      </w:tr>
      <w:tr>
        <w:trPr>
          <w:trHeight w:val="223" w:hRule="atLeast"/>
        </w:trPr>
        <w:tc>
          <w:tcPr>
            <w:tcW w:w="2461" w:type="dxa"/>
            <w:tcBorders>
              <w:bottom w:val="single" w:sz="4" w:space="0" w:color="000000"/>
            </w:tcBorders>
          </w:tcPr>
          <w:p>
            <w:pPr>
              <w:pStyle w:val="TableParagraph"/>
              <w:spacing w:before="8"/>
              <w:ind w:left="117"/>
              <w:jc w:val="left"/>
              <w:rPr>
                <w:sz w:val="16"/>
              </w:rPr>
            </w:pPr>
            <w:r>
              <w:rPr>
                <w:sz w:val="16"/>
              </w:rPr>
              <w:t>General</w:t>
            </w:r>
            <w:r>
              <w:rPr>
                <w:spacing w:val="-6"/>
                <w:sz w:val="16"/>
              </w:rPr>
              <w:t> </w:t>
            </w:r>
            <w:r>
              <w:rPr>
                <w:sz w:val="16"/>
              </w:rPr>
              <w:t>Service</w:t>
            </w:r>
            <w:r>
              <w:rPr>
                <w:spacing w:val="-4"/>
                <w:sz w:val="16"/>
              </w:rPr>
              <w:t> staff</w:t>
            </w:r>
          </w:p>
        </w:tc>
        <w:tc>
          <w:tcPr>
            <w:tcW w:w="1204" w:type="dxa"/>
            <w:tcBorders>
              <w:bottom w:val="single" w:sz="4" w:space="0" w:color="000000"/>
            </w:tcBorders>
            <w:shd w:val="clear" w:color="auto" w:fill="D9D9D9"/>
          </w:tcPr>
          <w:p>
            <w:pPr>
              <w:pStyle w:val="TableParagraph"/>
              <w:jc w:val="left"/>
              <w:rPr>
                <w:sz w:val="14"/>
              </w:rPr>
            </w:pPr>
          </w:p>
        </w:tc>
        <w:tc>
          <w:tcPr>
            <w:tcW w:w="891" w:type="dxa"/>
            <w:tcBorders>
              <w:bottom w:val="single" w:sz="4" w:space="0" w:color="000000"/>
            </w:tcBorders>
            <w:shd w:val="clear" w:color="auto" w:fill="D9D9D9"/>
          </w:tcPr>
          <w:p>
            <w:pPr>
              <w:pStyle w:val="TableParagraph"/>
              <w:jc w:val="left"/>
              <w:rPr>
                <w:sz w:val="14"/>
              </w:rPr>
            </w:pPr>
          </w:p>
        </w:tc>
        <w:tc>
          <w:tcPr>
            <w:tcW w:w="1056" w:type="dxa"/>
            <w:tcBorders>
              <w:bottom w:val="single" w:sz="4" w:space="0" w:color="000000"/>
            </w:tcBorders>
            <w:shd w:val="clear" w:color="auto" w:fill="D9D9D9"/>
          </w:tcPr>
          <w:p>
            <w:pPr>
              <w:pStyle w:val="TableParagraph"/>
              <w:jc w:val="left"/>
              <w:rPr>
                <w:sz w:val="14"/>
              </w:rPr>
            </w:pPr>
          </w:p>
        </w:tc>
        <w:tc>
          <w:tcPr>
            <w:tcW w:w="1060" w:type="dxa"/>
            <w:tcBorders>
              <w:bottom w:val="single" w:sz="4" w:space="0" w:color="000000"/>
            </w:tcBorders>
          </w:tcPr>
          <w:p>
            <w:pPr>
              <w:pStyle w:val="TableParagraph"/>
              <w:spacing w:before="8"/>
              <w:ind w:right="54"/>
              <w:rPr>
                <w:sz w:val="16"/>
              </w:rPr>
            </w:pPr>
            <w:r>
              <w:rPr>
                <w:spacing w:val="-2"/>
                <w:sz w:val="16"/>
              </w:rPr>
              <w:t>5,200.0</w:t>
            </w:r>
          </w:p>
        </w:tc>
        <w:tc>
          <w:tcPr>
            <w:tcW w:w="1181" w:type="dxa"/>
            <w:tcBorders>
              <w:bottom w:val="single" w:sz="4" w:space="0" w:color="000000"/>
            </w:tcBorders>
          </w:tcPr>
          <w:p>
            <w:pPr>
              <w:pStyle w:val="TableParagraph"/>
              <w:spacing w:before="8"/>
              <w:ind w:right="216"/>
              <w:rPr>
                <w:sz w:val="16"/>
              </w:rPr>
            </w:pPr>
            <w:r>
              <w:rPr>
                <w:spacing w:val="-2"/>
                <w:sz w:val="16"/>
              </w:rPr>
              <w:t>176.7</w:t>
            </w:r>
          </w:p>
        </w:tc>
        <w:tc>
          <w:tcPr>
            <w:tcW w:w="759" w:type="dxa"/>
            <w:tcBorders>
              <w:bottom w:val="single" w:sz="4" w:space="0" w:color="000000"/>
            </w:tcBorders>
          </w:tcPr>
          <w:p>
            <w:pPr>
              <w:pStyle w:val="TableParagraph"/>
              <w:spacing w:before="8"/>
              <w:ind w:right="187"/>
              <w:rPr>
                <w:sz w:val="16"/>
              </w:rPr>
            </w:pPr>
            <w:r>
              <w:rPr>
                <w:spacing w:val="-5"/>
                <w:sz w:val="16"/>
              </w:rPr>
              <w:t>3.4</w:t>
            </w:r>
          </w:p>
        </w:tc>
        <w:tc>
          <w:tcPr>
            <w:tcW w:w="1040" w:type="dxa"/>
            <w:tcBorders>
              <w:bottom w:val="single" w:sz="4" w:space="0" w:color="000000"/>
            </w:tcBorders>
          </w:tcPr>
          <w:p>
            <w:pPr>
              <w:pStyle w:val="TableParagraph"/>
              <w:spacing w:before="8"/>
              <w:ind w:right="104"/>
              <w:rPr>
                <w:sz w:val="16"/>
              </w:rPr>
            </w:pPr>
            <w:r>
              <w:rPr>
                <w:spacing w:val="-2"/>
                <w:sz w:val="16"/>
              </w:rPr>
              <w:t>5,376.7</w:t>
            </w:r>
          </w:p>
        </w:tc>
      </w:tr>
      <w:tr>
        <w:trPr>
          <w:trHeight w:val="225" w:hRule="atLeast"/>
        </w:trPr>
        <w:tc>
          <w:tcPr>
            <w:tcW w:w="2461" w:type="dxa"/>
            <w:tcBorders>
              <w:top w:val="single" w:sz="4" w:space="0" w:color="000000"/>
              <w:bottom w:val="single" w:sz="4" w:space="0" w:color="000000"/>
            </w:tcBorders>
          </w:tcPr>
          <w:p>
            <w:pPr>
              <w:pStyle w:val="TableParagraph"/>
              <w:spacing w:before="9"/>
              <w:ind w:right="104"/>
              <w:rPr>
                <w:i/>
                <w:sz w:val="16"/>
              </w:rPr>
            </w:pPr>
            <w:r>
              <w:rPr>
                <w:i/>
                <w:sz w:val="16"/>
              </w:rPr>
              <w:t>Subtotal</w:t>
            </w:r>
            <w:r>
              <w:rPr>
                <w:i/>
                <w:spacing w:val="-1"/>
                <w:sz w:val="16"/>
              </w:rPr>
              <w:t> </w:t>
            </w:r>
            <w:r>
              <w:rPr>
                <w:i/>
                <w:spacing w:val="-2"/>
                <w:sz w:val="16"/>
              </w:rPr>
              <w:t>staff</w:t>
            </w:r>
          </w:p>
        </w:tc>
        <w:tc>
          <w:tcPr>
            <w:tcW w:w="1204" w:type="dxa"/>
            <w:tcBorders>
              <w:top w:val="single" w:sz="4" w:space="0" w:color="000000"/>
              <w:bottom w:val="single" w:sz="4" w:space="0" w:color="000000"/>
            </w:tcBorders>
          </w:tcPr>
          <w:p>
            <w:pPr>
              <w:pStyle w:val="TableParagraph"/>
              <w:spacing w:before="9"/>
              <w:ind w:right="192"/>
              <w:rPr>
                <w:i/>
                <w:sz w:val="16"/>
              </w:rPr>
            </w:pPr>
            <w:r>
              <w:rPr>
                <w:i/>
                <w:spacing w:val="-2"/>
                <w:sz w:val="16"/>
              </w:rPr>
              <w:t>18,111.5</w:t>
            </w:r>
          </w:p>
        </w:tc>
        <w:tc>
          <w:tcPr>
            <w:tcW w:w="891" w:type="dxa"/>
            <w:tcBorders>
              <w:top w:val="single" w:sz="4" w:space="0" w:color="000000"/>
              <w:bottom w:val="single" w:sz="4" w:space="0" w:color="000000"/>
            </w:tcBorders>
          </w:tcPr>
          <w:p>
            <w:pPr>
              <w:pStyle w:val="TableParagraph"/>
              <w:spacing w:before="9"/>
              <w:ind w:right="167"/>
              <w:rPr>
                <w:i/>
                <w:sz w:val="16"/>
              </w:rPr>
            </w:pPr>
            <w:r>
              <w:rPr>
                <w:i/>
                <w:w w:val="98"/>
                <w:sz w:val="16"/>
              </w:rPr>
              <w:t>-</w:t>
            </w:r>
          </w:p>
        </w:tc>
        <w:tc>
          <w:tcPr>
            <w:tcW w:w="1056" w:type="dxa"/>
            <w:tcBorders>
              <w:top w:val="single" w:sz="4" w:space="0" w:color="000000"/>
              <w:bottom w:val="single" w:sz="4" w:space="0" w:color="000000"/>
            </w:tcBorders>
          </w:tcPr>
          <w:p>
            <w:pPr>
              <w:pStyle w:val="TableParagraph"/>
              <w:spacing w:before="9"/>
              <w:ind w:right="103"/>
              <w:rPr>
                <w:i/>
                <w:sz w:val="16"/>
              </w:rPr>
            </w:pPr>
            <w:r>
              <w:rPr>
                <w:i/>
                <w:spacing w:val="-2"/>
                <w:sz w:val="16"/>
              </w:rPr>
              <w:t>18,111.5</w:t>
            </w:r>
          </w:p>
        </w:tc>
        <w:tc>
          <w:tcPr>
            <w:tcW w:w="1060" w:type="dxa"/>
            <w:tcBorders>
              <w:top w:val="single" w:sz="4" w:space="0" w:color="000000"/>
              <w:bottom w:val="single" w:sz="4" w:space="0" w:color="000000"/>
            </w:tcBorders>
          </w:tcPr>
          <w:p>
            <w:pPr>
              <w:pStyle w:val="TableParagraph"/>
              <w:spacing w:before="9"/>
              <w:ind w:right="54"/>
              <w:rPr>
                <w:i/>
                <w:sz w:val="16"/>
              </w:rPr>
            </w:pPr>
            <w:r>
              <w:rPr>
                <w:i/>
                <w:spacing w:val="-2"/>
                <w:sz w:val="16"/>
              </w:rPr>
              <w:t>17,911.9</w:t>
            </w:r>
          </w:p>
        </w:tc>
        <w:tc>
          <w:tcPr>
            <w:tcW w:w="1181" w:type="dxa"/>
            <w:tcBorders>
              <w:top w:val="single" w:sz="4" w:space="0" w:color="000000"/>
              <w:bottom w:val="single" w:sz="4" w:space="0" w:color="000000"/>
            </w:tcBorders>
          </w:tcPr>
          <w:p>
            <w:pPr>
              <w:pStyle w:val="TableParagraph"/>
              <w:spacing w:before="9"/>
              <w:ind w:right="216"/>
              <w:rPr>
                <w:i/>
                <w:sz w:val="16"/>
              </w:rPr>
            </w:pPr>
            <w:r>
              <w:rPr>
                <w:i/>
                <w:spacing w:val="-2"/>
                <w:sz w:val="16"/>
              </w:rPr>
              <w:t>808.1</w:t>
            </w:r>
          </w:p>
        </w:tc>
        <w:tc>
          <w:tcPr>
            <w:tcW w:w="759" w:type="dxa"/>
            <w:tcBorders>
              <w:top w:val="single" w:sz="4" w:space="0" w:color="000000"/>
              <w:bottom w:val="single" w:sz="4" w:space="0" w:color="000000"/>
            </w:tcBorders>
          </w:tcPr>
          <w:p>
            <w:pPr>
              <w:pStyle w:val="TableParagraph"/>
              <w:spacing w:before="9"/>
              <w:ind w:right="187"/>
              <w:rPr>
                <w:i/>
                <w:sz w:val="16"/>
              </w:rPr>
            </w:pPr>
            <w:r>
              <w:rPr>
                <w:i/>
                <w:spacing w:val="-5"/>
                <w:sz w:val="16"/>
              </w:rPr>
              <w:t>4.5</w:t>
            </w:r>
          </w:p>
        </w:tc>
        <w:tc>
          <w:tcPr>
            <w:tcW w:w="1040" w:type="dxa"/>
            <w:tcBorders>
              <w:top w:val="single" w:sz="4" w:space="0" w:color="000000"/>
              <w:bottom w:val="single" w:sz="4" w:space="0" w:color="000000"/>
            </w:tcBorders>
          </w:tcPr>
          <w:p>
            <w:pPr>
              <w:pStyle w:val="TableParagraph"/>
              <w:spacing w:before="9"/>
              <w:ind w:right="104"/>
              <w:rPr>
                <w:i/>
                <w:sz w:val="16"/>
              </w:rPr>
            </w:pPr>
            <w:r>
              <w:rPr>
                <w:i/>
                <w:spacing w:val="-2"/>
                <w:sz w:val="16"/>
              </w:rPr>
              <w:t>18,720.0</w:t>
            </w:r>
          </w:p>
        </w:tc>
      </w:tr>
      <w:tr>
        <w:trPr>
          <w:trHeight w:val="231" w:hRule="atLeast"/>
        </w:trPr>
        <w:tc>
          <w:tcPr>
            <w:tcW w:w="2461" w:type="dxa"/>
            <w:tcBorders>
              <w:top w:val="single" w:sz="4" w:space="0" w:color="000000"/>
            </w:tcBorders>
          </w:tcPr>
          <w:p>
            <w:pPr>
              <w:pStyle w:val="TableParagraph"/>
              <w:spacing w:before="14"/>
              <w:ind w:left="117"/>
              <w:jc w:val="left"/>
              <w:rPr>
                <w:sz w:val="16"/>
              </w:rPr>
            </w:pPr>
            <w:r>
              <w:rPr>
                <w:sz w:val="16"/>
              </w:rPr>
              <w:t>General</w:t>
            </w:r>
            <w:r>
              <w:rPr>
                <w:spacing w:val="-4"/>
                <w:sz w:val="16"/>
              </w:rPr>
              <w:t> </w:t>
            </w:r>
            <w:r>
              <w:rPr>
                <w:sz w:val="16"/>
              </w:rPr>
              <w:t>temporary</w:t>
            </w:r>
            <w:r>
              <w:rPr>
                <w:spacing w:val="-1"/>
                <w:sz w:val="16"/>
              </w:rPr>
              <w:t> </w:t>
            </w:r>
            <w:r>
              <w:rPr>
                <w:spacing w:val="-2"/>
                <w:sz w:val="16"/>
              </w:rPr>
              <w:t>assistance</w:t>
            </w:r>
          </w:p>
        </w:tc>
        <w:tc>
          <w:tcPr>
            <w:tcW w:w="1204" w:type="dxa"/>
            <w:tcBorders>
              <w:top w:val="single" w:sz="4" w:space="0" w:color="000000"/>
            </w:tcBorders>
          </w:tcPr>
          <w:p>
            <w:pPr>
              <w:pStyle w:val="TableParagraph"/>
              <w:spacing w:before="14"/>
              <w:ind w:right="192"/>
              <w:rPr>
                <w:sz w:val="16"/>
              </w:rPr>
            </w:pPr>
            <w:r>
              <w:rPr>
                <w:spacing w:val="-2"/>
                <w:sz w:val="16"/>
              </w:rPr>
              <w:t>2,093.5</w:t>
            </w:r>
          </w:p>
        </w:tc>
        <w:tc>
          <w:tcPr>
            <w:tcW w:w="891" w:type="dxa"/>
            <w:tcBorders>
              <w:top w:val="single" w:sz="4" w:space="0" w:color="000000"/>
            </w:tcBorders>
          </w:tcPr>
          <w:p>
            <w:pPr>
              <w:pStyle w:val="TableParagraph"/>
              <w:spacing w:before="14"/>
              <w:ind w:right="165"/>
              <w:rPr>
                <w:sz w:val="16"/>
              </w:rPr>
            </w:pPr>
            <w:r>
              <w:rPr>
                <w:spacing w:val="-4"/>
                <w:sz w:val="16"/>
              </w:rPr>
              <w:t>22.4</w:t>
            </w:r>
          </w:p>
        </w:tc>
        <w:tc>
          <w:tcPr>
            <w:tcW w:w="1056" w:type="dxa"/>
            <w:tcBorders>
              <w:top w:val="single" w:sz="4" w:space="0" w:color="000000"/>
            </w:tcBorders>
          </w:tcPr>
          <w:p>
            <w:pPr>
              <w:pStyle w:val="TableParagraph"/>
              <w:spacing w:before="14"/>
              <w:ind w:right="103"/>
              <w:rPr>
                <w:sz w:val="16"/>
              </w:rPr>
            </w:pPr>
            <w:r>
              <w:rPr>
                <w:spacing w:val="-2"/>
                <w:sz w:val="16"/>
              </w:rPr>
              <w:t>2,115.9</w:t>
            </w:r>
          </w:p>
        </w:tc>
        <w:tc>
          <w:tcPr>
            <w:tcW w:w="1060" w:type="dxa"/>
            <w:tcBorders>
              <w:top w:val="single" w:sz="4" w:space="0" w:color="000000"/>
            </w:tcBorders>
          </w:tcPr>
          <w:p>
            <w:pPr>
              <w:pStyle w:val="TableParagraph"/>
              <w:spacing w:before="14"/>
              <w:ind w:right="54"/>
              <w:rPr>
                <w:sz w:val="16"/>
              </w:rPr>
            </w:pPr>
            <w:r>
              <w:rPr>
                <w:spacing w:val="-2"/>
                <w:sz w:val="16"/>
              </w:rPr>
              <w:t>3,251.5</w:t>
            </w:r>
          </w:p>
        </w:tc>
        <w:tc>
          <w:tcPr>
            <w:tcW w:w="1181" w:type="dxa"/>
            <w:tcBorders>
              <w:top w:val="single" w:sz="4" w:space="0" w:color="000000"/>
            </w:tcBorders>
          </w:tcPr>
          <w:p>
            <w:pPr>
              <w:pStyle w:val="TableParagraph"/>
              <w:spacing w:before="14"/>
              <w:ind w:right="216"/>
              <w:rPr>
                <w:sz w:val="16"/>
              </w:rPr>
            </w:pPr>
            <w:r>
              <w:rPr>
                <w:spacing w:val="-2"/>
                <w:sz w:val="16"/>
              </w:rPr>
              <w:t>1,954.2</w:t>
            </w:r>
          </w:p>
        </w:tc>
        <w:tc>
          <w:tcPr>
            <w:tcW w:w="759" w:type="dxa"/>
            <w:tcBorders>
              <w:top w:val="single" w:sz="4" w:space="0" w:color="000000"/>
            </w:tcBorders>
          </w:tcPr>
          <w:p>
            <w:pPr>
              <w:pStyle w:val="TableParagraph"/>
              <w:spacing w:before="14"/>
              <w:ind w:right="183"/>
              <w:rPr>
                <w:sz w:val="16"/>
              </w:rPr>
            </w:pPr>
            <w:r>
              <w:rPr>
                <w:spacing w:val="-4"/>
                <w:sz w:val="16"/>
              </w:rPr>
              <w:t>60.1</w:t>
            </w:r>
          </w:p>
        </w:tc>
        <w:tc>
          <w:tcPr>
            <w:tcW w:w="1040" w:type="dxa"/>
            <w:tcBorders>
              <w:top w:val="single" w:sz="4" w:space="0" w:color="000000"/>
            </w:tcBorders>
          </w:tcPr>
          <w:p>
            <w:pPr>
              <w:pStyle w:val="TableParagraph"/>
              <w:spacing w:before="14"/>
              <w:ind w:right="104"/>
              <w:rPr>
                <w:sz w:val="16"/>
              </w:rPr>
            </w:pPr>
            <w:r>
              <w:rPr>
                <w:spacing w:val="-2"/>
                <w:sz w:val="16"/>
              </w:rPr>
              <w:t>5,205.7</w:t>
            </w:r>
          </w:p>
        </w:tc>
      </w:tr>
      <w:tr>
        <w:trPr>
          <w:trHeight w:val="225" w:hRule="atLeast"/>
        </w:trPr>
        <w:tc>
          <w:tcPr>
            <w:tcW w:w="2461" w:type="dxa"/>
          </w:tcPr>
          <w:p>
            <w:pPr>
              <w:pStyle w:val="TableParagraph"/>
              <w:spacing w:before="8"/>
              <w:ind w:left="117"/>
              <w:jc w:val="left"/>
              <w:rPr>
                <w:sz w:val="16"/>
              </w:rPr>
            </w:pPr>
            <w:r>
              <w:rPr>
                <w:sz w:val="16"/>
              </w:rPr>
              <w:t>Temporary</w:t>
            </w:r>
            <w:r>
              <w:rPr>
                <w:spacing w:val="-3"/>
                <w:sz w:val="16"/>
              </w:rPr>
              <w:t> </w:t>
            </w:r>
            <w:r>
              <w:rPr>
                <w:sz w:val="16"/>
              </w:rPr>
              <w:t>assistance</w:t>
            </w:r>
            <w:r>
              <w:rPr>
                <w:spacing w:val="-4"/>
                <w:sz w:val="16"/>
              </w:rPr>
              <w:t> </w:t>
            </w:r>
            <w:r>
              <w:rPr>
                <w:sz w:val="16"/>
              </w:rPr>
              <w:t>for</w:t>
            </w:r>
            <w:r>
              <w:rPr>
                <w:spacing w:val="-5"/>
                <w:sz w:val="16"/>
              </w:rPr>
              <w:t> </w:t>
            </w:r>
            <w:r>
              <w:rPr>
                <w:spacing w:val="-2"/>
                <w:sz w:val="16"/>
              </w:rPr>
              <w:t>meetings</w:t>
            </w:r>
          </w:p>
        </w:tc>
        <w:tc>
          <w:tcPr>
            <w:tcW w:w="1204" w:type="dxa"/>
          </w:tcPr>
          <w:p>
            <w:pPr>
              <w:pStyle w:val="TableParagraph"/>
              <w:spacing w:before="8"/>
              <w:ind w:right="191"/>
              <w:rPr>
                <w:sz w:val="16"/>
              </w:rPr>
            </w:pPr>
            <w:r>
              <w:rPr>
                <w:spacing w:val="-2"/>
                <w:sz w:val="16"/>
              </w:rPr>
              <w:t>894.0</w:t>
            </w:r>
          </w:p>
        </w:tc>
        <w:tc>
          <w:tcPr>
            <w:tcW w:w="891" w:type="dxa"/>
          </w:tcPr>
          <w:p>
            <w:pPr>
              <w:pStyle w:val="TableParagraph"/>
              <w:spacing w:before="8"/>
              <w:ind w:right="167"/>
              <w:rPr>
                <w:sz w:val="16"/>
              </w:rPr>
            </w:pPr>
            <w:r>
              <w:rPr>
                <w:w w:val="98"/>
                <w:sz w:val="16"/>
              </w:rPr>
              <w:t>-</w:t>
            </w:r>
          </w:p>
        </w:tc>
        <w:tc>
          <w:tcPr>
            <w:tcW w:w="1056" w:type="dxa"/>
          </w:tcPr>
          <w:p>
            <w:pPr>
              <w:pStyle w:val="TableParagraph"/>
              <w:spacing w:before="8"/>
              <w:ind w:right="103"/>
              <w:rPr>
                <w:sz w:val="16"/>
              </w:rPr>
            </w:pPr>
            <w:r>
              <w:rPr>
                <w:spacing w:val="-2"/>
                <w:sz w:val="16"/>
              </w:rPr>
              <w:t>894.0</w:t>
            </w:r>
          </w:p>
        </w:tc>
        <w:tc>
          <w:tcPr>
            <w:tcW w:w="1060" w:type="dxa"/>
          </w:tcPr>
          <w:p>
            <w:pPr>
              <w:pStyle w:val="TableParagraph"/>
              <w:spacing w:before="8"/>
              <w:ind w:right="53"/>
              <w:rPr>
                <w:sz w:val="16"/>
              </w:rPr>
            </w:pPr>
            <w:r>
              <w:rPr>
                <w:spacing w:val="-2"/>
                <w:sz w:val="16"/>
              </w:rPr>
              <w:t>708.4</w:t>
            </w:r>
          </w:p>
        </w:tc>
        <w:tc>
          <w:tcPr>
            <w:tcW w:w="1181" w:type="dxa"/>
          </w:tcPr>
          <w:p>
            <w:pPr>
              <w:pStyle w:val="TableParagraph"/>
              <w:spacing w:before="8"/>
              <w:ind w:right="216"/>
              <w:rPr>
                <w:sz w:val="16"/>
              </w:rPr>
            </w:pPr>
            <w:r>
              <w:rPr>
                <w:spacing w:val="-2"/>
                <w:sz w:val="16"/>
              </w:rPr>
              <w:t>699.6</w:t>
            </w:r>
          </w:p>
        </w:tc>
        <w:tc>
          <w:tcPr>
            <w:tcW w:w="759" w:type="dxa"/>
          </w:tcPr>
          <w:p>
            <w:pPr>
              <w:pStyle w:val="TableParagraph"/>
              <w:spacing w:before="8"/>
              <w:ind w:right="183"/>
              <w:rPr>
                <w:sz w:val="16"/>
              </w:rPr>
            </w:pPr>
            <w:r>
              <w:rPr>
                <w:spacing w:val="-4"/>
                <w:sz w:val="16"/>
              </w:rPr>
              <w:t>98.8</w:t>
            </w:r>
          </w:p>
        </w:tc>
        <w:tc>
          <w:tcPr>
            <w:tcW w:w="1040" w:type="dxa"/>
          </w:tcPr>
          <w:p>
            <w:pPr>
              <w:pStyle w:val="TableParagraph"/>
              <w:spacing w:before="8"/>
              <w:ind w:right="104"/>
              <w:rPr>
                <w:sz w:val="16"/>
              </w:rPr>
            </w:pPr>
            <w:r>
              <w:rPr>
                <w:spacing w:val="-2"/>
                <w:sz w:val="16"/>
              </w:rPr>
              <w:t>1,408.0</w:t>
            </w:r>
          </w:p>
        </w:tc>
      </w:tr>
      <w:tr>
        <w:trPr>
          <w:trHeight w:val="223" w:hRule="atLeast"/>
        </w:trPr>
        <w:tc>
          <w:tcPr>
            <w:tcW w:w="2461" w:type="dxa"/>
            <w:tcBorders>
              <w:bottom w:val="single" w:sz="4" w:space="0" w:color="000000"/>
            </w:tcBorders>
          </w:tcPr>
          <w:p>
            <w:pPr>
              <w:pStyle w:val="TableParagraph"/>
              <w:spacing w:before="8"/>
              <w:ind w:left="117"/>
              <w:jc w:val="left"/>
              <w:rPr>
                <w:sz w:val="16"/>
              </w:rPr>
            </w:pPr>
            <w:r>
              <w:rPr>
                <w:spacing w:val="-2"/>
                <w:sz w:val="16"/>
              </w:rPr>
              <w:t>Overtime</w:t>
            </w:r>
          </w:p>
        </w:tc>
        <w:tc>
          <w:tcPr>
            <w:tcW w:w="1204" w:type="dxa"/>
            <w:tcBorders>
              <w:bottom w:val="single" w:sz="4" w:space="0" w:color="000000"/>
            </w:tcBorders>
          </w:tcPr>
          <w:p>
            <w:pPr>
              <w:pStyle w:val="TableParagraph"/>
              <w:spacing w:before="8"/>
              <w:ind w:right="191"/>
              <w:rPr>
                <w:sz w:val="16"/>
              </w:rPr>
            </w:pPr>
            <w:r>
              <w:rPr>
                <w:spacing w:val="-4"/>
                <w:sz w:val="16"/>
              </w:rPr>
              <w:t>17.2</w:t>
            </w:r>
          </w:p>
        </w:tc>
        <w:tc>
          <w:tcPr>
            <w:tcW w:w="891" w:type="dxa"/>
            <w:tcBorders>
              <w:bottom w:val="single" w:sz="4" w:space="0" w:color="000000"/>
            </w:tcBorders>
          </w:tcPr>
          <w:p>
            <w:pPr>
              <w:pStyle w:val="TableParagraph"/>
              <w:spacing w:before="8"/>
              <w:ind w:right="167"/>
              <w:rPr>
                <w:sz w:val="16"/>
              </w:rPr>
            </w:pPr>
            <w:r>
              <w:rPr>
                <w:w w:val="98"/>
                <w:sz w:val="16"/>
              </w:rPr>
              <w:t>-</w:t>
            </w:r>
          </w:p>
        </w:tc>
        <w:tc>
          <w:tcPr>
            <w:tcW w:w="1056" w:type="dxa"/>
            <w:tcBorders>
              <w:bottom w:val="single" w:sz="4" w:space="0" w:color="000000"/>
            </w:tcBorders>
          </w:tcPr>
          <w:p>
            <w:pPr>
              <w:pStyle w:val="TableParagraph"/>
              <w:spacing w:before="8"/>
              <w:ind w:right="102"/>
              <w:rPr>
                <w:sz w:val="16"/>
              </w:rPr>
            </w:pPr>
            <w:r>
              <w:rPr>
                <w:spacing w:val="-4"/>
                <w:sz w:val="16"/>
              </w:rPr>
              <w:t>17.2</w:t>
            </w:r>
          </w:p>
        </w:tc>
        <w:tc>
          <w:tcPr>
            <w:tcW w:w="1060" w:type="dxa"/>
            <w:tcBorders>
              <w:bottom w:val="single" w:sz="4" w:space="0" w:color="000000"/>
            </w:tcBorders>
          </w:tcPr>
          <w:p>
            <w:pPr>
              <w:pStyle w:val="TableParagraph"/>
              <w:spacing w:before="8"/>
              <w:ind w:right="53"/>
              <w:rPr>
                <w:sz w:val="16"/>
              </w:rPr>
            </w:pPr>
            <w:r>
              <w:rPr>
                <w:spacing w:val="-4"/>
                <w:sz w:val="16"/>
              </w:rPr>
              <w:t>20.0</w:t>
            </w:r>
          </w:p>
        </w:tc>
        <w:tc>
          <w:tcPr>
            <w:tcW w:w="1181" w:type="dxa"/>
            <w:tcBorders>
              <w:bottom w:val="single" w:sz="4" w:space="0" w:color="000000"/>
            </w:tcBorders>
          </w:tcPr>
          <w:p>
            <w:pPr>
              <w:pStyle w:val="TableParagraph"/>
              <w:spacing w:before="8"/>
              <w:ind w:right="218"/>
              <w:rPr>
                <w:sz w:val="16"/>
              </w:rPr>
            </w:pPr>
            <w:r>
              <w:rPr>
                <w:w w:val="98"/>
                <w:sz w:val="16"/>
              </w:rPr>
              <w:t>-</w:t>
            </w:r>
          </w:p>
        </w:tc>
        <w:tc>
          <w:tcPr>
            <w:tcW w:w="759" w:type="dxa"/>
            <w:tcBorders>
              <w:bottom w:val="single" w:sz="4" w:space="0" w:color="000000"/>
            </w:tcBorders>
          </w:tcPr>
          <w:p>
            <w:pPr>
              <w:pStyle w:val="TableParagraph"/>
              <w:spacing w:before="8"/>
              <w:ind w:right="185"/>
              <w:rPr>
                <w:sz w:val="16"/>
              </w:rPr>
            </w:pPr>
            <w:r>
              <w:rPr>
                <w:w w:val="98"/>
                <w:sz w:val="16"/>
              </w:rPr>
              <w:t>-</w:t>
            </w:r>
          </w:p>
        </w:tc>
        <w:tc>
          <w:tcPr>
            <w:tcW w:w="1040" w:type="dxa"/>
            <w:tcBorders>
              <w:bottom w:val="single" w:sz="4" w:space="0" w:color="000000"/>
            </w:tcBorders>
          </w:tcPr>
          <w:p>
            <w:pPr>
              <w:pStyle w:val="TableParagraph"/>
              <w:spacing w:before="8"/>
              <w:ind w:right="104"/>
              <w:rPr>
                <w:sz w:val="16"/>
              </w:rPr>
            </w:pPr>
            <w:r>
              <w:rPr>
                <w:spacing w:val="-4"/>
                <w:sz w:val="16"/>
              </w:rPr>
              <w:t>20.0</w:t>
            </w:r>
          </w:p>
        </w:tc>
      </w:tr>
      <w:tr>
        <w:trPr>
          <w:trHeight w:val="230" w:hRule="atLeast"/>
        </w:trPr>
        <w:tc>
          <w:tcPr>
            <w:tcW w:w="2461" w:type="dxa"/>
            <w:tcBorders>
              <w:top w:val="single" w:sz="4" w:space="0" w:color="000000"/>
              <w:bottom w:val="single" w:sz="4" w:space="0" w:color="000000"/>
            </w:tcBorders>
          </w:tcPr>
          <w:p>
            <w:pPr>
              <w:pStyle w:val="TableParagraph"/>
              <w:spacing w:before="14"/>
              <w:ind w:right="105"/>
              <w:rPr>
                <w:i/>
                <w:sz w:val="16"/>
              </w:rPr>
            </w:pPr>
            <w:r>
              <w:rPr>
                <w:i/>
                <w:sz w:val="16"/>
              </w:rPr>
              <w:t>Subtotal</w:t>
            </w:r>
            <w:r>
              <w:rPr>
                <w:i/>
                <w:spacing w:val="-2"/>
                <w:sz w:val="16"/>
              </w:rPr>
              <w:t> </w:t>
            </w:r>
            <w:r>
              <w:rPr>
                <w:i/>
                <w:sz w:val="16"/>
              </w:rPr>
              <w:t>other</w:t>
            </w:r>
            <w:r>
              <w:rPr>
                <w:i/>
                <w:spacing w:val="-1"/>
                <w:sz w:val="16"/>
              </w:rPr>
              <w:t> </w:t>
            </w:r>
            <w:r>
              <w:rPr>
                <w:i/>
                <w:spacing w:val="-2"/>
                <w:sz w:val="16"/>
              </w:rPr>
              <w:t>staff</w:t>
            </w:r>
          </w:p>
        </w:tc>
        <w:tc>
          <w:tcPr>
            <w:tcW w:w="1204" w:type="dxa"/>
            <w:tcBorders>
              <w:top w:val="single" w:sz="4" w:space="0" w:color="000000"/>
              <w:bottom w:val="single" w:sz="4" w:space="0" w:color="000000"/>
            </w:tcBorders>
          </w:tcPr>
          <w:p>
            <w:pPr>
              <w:pStyle w:val="TableParagraph"/>
              <w:spacing w:before="14"/>
              <w:ind w:right="192"/>
              <w:rPr>
                <w:i/>
                <w:sz w:val="16"/>
              </w:rPr>
            </w:pPr>
            <w:r>
              <w:rPr>
                <w:i/>
                <w:spacing w:val="-2"/>
                <w:sz w:val="16"/>
              </w:rPr>
              <w:t>3,004.7</w:t>
            </w:r>
          </w:p>
        </w:tc>
        <w:tc>
          <w:tcPr>
            <w:tcW w:w="891" w:type="dxa"/>
            <w:tcBorders>
              <w:top w:val="single" w:sz="4" w:space="0" w:color="000000"/>
              <w:bottom w:val="single" w:sz="4" w:space="0" w:color="000000"/>
            </w:tcBorders>
          </w:tcPr>
          <w:p>
            <w:pPr>
              <w:pStyle w:val="TableParagraph"/>
              <w:spacing w:before="14"/>
              <w:ind w:right="165"/>
              <w:rPr>
                <w:i/>
                <w:sz w:val="16"/>
              </w:rPr>
            </w:pPr>
            <w:r>
              <w:rPr>
                <w:i/>
                <w:spacing w:val="-4"/>
                <w:sz w:val="16"/>
              </w:rPr>
              <w:t>22.4</w:t>
            </w:r>
          </w:p>
        </w:tc>
        <w:tc>
          <w:tcPr>
            <w:tcW w:w="1056" w:type="dxa"/>
            <w:tcBorders>
              <w:top w:val="single" w:sz="4" w:space="0" w:color="000000"/>
              <w:bottom w:val="single" w:sz="4" w:space="0" w:color="000000"/>
            </w:tcBorders>
          </w:tcPr>
          <w:p>
            <w:pPr>
              <w:pStyle w:val="TableParagraph"/>
              <w:spacing w:before="14"/>
              <w:ind w:right="103"/>
              <w:rPr>
                <w:i/>
                <w:sz w:val="16"/>
              </w:rPr>
            </w:pPr>
            <w:r>
              <w:rPr>
                <w:i/>
                <w:spacing w:val="-2"/>
                <w:sz w:val="16"/>
              </w:rPr>
              <w:t>3,027.1</w:t>
            </w:r>
          </w:p>
        </w:tc>
        <w:tc>
          <w:tcPr>
            <w:tcW w:w="1060" w:type="dxa"/>
            <w:tcBorders>
              <w:top w:val="single" w:sz="4" w:space="0" w:color="000000"/>
              <w:bottom w:val="single" w:sz="4" w:space="0" w:color="000000"/>
            </w:tcBorders>
          </w:tcPr>
          <w:p>
            <w:pPr>
              <w:pStyle w:val="TableParagraph"/>
              <w:spacing w:before="14"/>
              <w:ind w:right="54"/>
              <w:rPr>
                <w:i/>
                <w:sz w:val="16"/>
              </w:rPr>
            </w:pPr>
            <w:r>
              <w:rPr>
                <w:i/>
                <w:spacing w:val="-2"/>
                <w:sz w:val="16"/>
              </w:rPr>
              <w:t>3,979.9</w:t>
            </w:r>
          </w:p>
        </w:tc>
        <w:tc>
          <w:tcPr>
            <w:tcW w:w="1181" w:type="dxa"/>
            <w:tcBorders>
              <w:top w:val="single" w:sz="4" w:space="0" w:color="000000"/>
              <w:bottom w:val="single" w:sz="4" w:space="0" w:color="000000"/>
            </w:tcBorders>
          </w:tcPr>
          <w:p>
            <w:pPr>
              <w:pStyle w:val="TableParagraph"/>
              <w:spacing w:before="14"/>
              <w:ind w:right="216"/>
              <w:rPr>
                <w:i/>
                <w:sz w:val="16"/>
              </w:rPr>
            </w:pPr>
            <w:r>
              <w:rPr>
                <w:i/>
                <w:spacing w:val="-2"/>
                <w:sz w:val="16"/>
              </w:rPr>
              <w:t>2,653.8</w:t>
            </w:r>
          </w:p>
        </w:tc>
        <w:tc>
          <w:tcPr>
            <w:tcW w:w="759" w:type="dxa"/>
            <w:tcBorders>
              <w:top w:val="single" w:sz="4" w:space="0" w:color="000000"/>
              <w:bottom w:val="single" w:sz="4" w:space="0" w:color="000000"/>
            </w:tcBorders>
          </w:tcPr>
          <w:p>
            <w:pPr>
              <w:pStyle w:val="TableParagraph"/>
              <w:spacing w:before="14"/>
              <w:ind w:right="183"/>
              <w:rPr>
                <w:i/>
                <w:sz w:val="16"/>
              </w:rPr>
            </w:pPr>
            <w:r>
              <w:rPr>
                <w:i/>
                <w:spacing w:val="-4"/>
                <w:sz w:val="16"/>
              </w:rPr>
              <w:t>66.7</w:t>
            </w:r>
          </w:p>
        </w:tc>
        <w:tc>
          <w:tcPr>
            <w:tcW w:w="1040" w:type="dxa"/>
            <w:tcBorders>
              <w:top w:val="single" w:sz="4" w:space="0" w:color="000000"/>
              <w:bottom w:val="single" w:sz="4" w:space="0" w:color="000000"/>
            </w:tcBorders>
          </w:tcPr>
          <w:p>
            <w:pPr>
              <w:pStyle w:val="TableParagraph"/>
              <w:spacing w:before="14"/>
              <w:ind w:right="104"/>
              <w:rPr>
                <w:i/>
                <w:sz w:val="16"/>
              </w:rPr>
            </w:pPr>
            <w:r>
              <w:rPr>
                <w:i/>
                <w:spacing w:val="-2"/>
                <w:sz w:val="16"/>
              </w:rPr>
              <w:t>6,633.7</w:t>
            </w:r>
          </w:p>
        </w:tc>
      </w:tr>
      <w:tr>
        <w:trPr>
          <w:trHeight w:val="227" w:hRule="atLeast"/>
        </w:trPr>
        <w:tc>
          <w:tcPr>
            <w:tcW w:w="2461" w:type="dxa"/>
            <w:tcBorders>
              <w:top w:val="single" w:sz="4" w:space="0" w:color="000000"/>
            </w:tcBorders>
          </w:tcPr>
          <w:p>
            <w:pPr>
              <w:pStyle w:val="TableParagraph"/>
              <w:spacing w:before="9"/>
              <w:ind w:left="117"/>
              <w:jc w:val="left"/>
              <w:rPr>
                <w:sz w:val="16"/>
              </w:rPr>
            </w:pPr>
            <w:r>
              <w:rPr>
                <w:spacing w:val="-2"/>
                <w:sz w:val="16"/>
              </w:rPr>
              <w:t>Travel</w:t>
            </w:r>
          </w:p>
        </w:tc>
        <w:tc>
          <w:tcPr>
            <w:tcW w:w="1204" w:type="dxa"/>
            <w:tcBorders>
              <w:top w:val="single" w:sz="4" w:space="0" w:color="000000"/>
            </w:tcBorders>
          </w:tcPr>
          <w:p>
            <w:pPr>
              <w:pStyle w:val="TableParagraph"/>
              <w:spacing w:before="9"/>
              <w:ind w:right="191"/>
              <w:rPr>
                <w:sz w:val="16"/>
              </w:rPr>
            </w:pPr>
            <w:r>
              <w:rPr>
                <w:spacing w:val="-4"/>
                <w:sz w:val="16"/>
              </w:rPr>
              <w:t>36.6</w:t>
            </w:r>
          </w:p>
        </w:tc>
        <w:tc>
          <w:tcPr>
            <w:tcW w:w="891" w:type="dxa"/>
            <w:tcBorders>
              <w:top w:val="single" w:sz="4" w:space="0" w:color="000000"/>
            </w:tcBorders>
          </w:tcPr>
          <w:p>
            <w:pPr>
              <w:pStyle w:val="TableParagraph"/>
              <w:spacing w:before="9"/>
              <w:ind w:right="170"/>
              <w:rPr>
                <w:sz w:val="16"/>
              </w:rPr>
            </w:pPr>
            <w:r>
              <w:rPr>
                <w:spacing w:val="-5"/>
                <w:sz w:val="16"/>
              </w:rPr>
              <w:t>3.9</w:t>
            </w:r>
          </w:p>
        </w:tc>
        <w:tc>
          <w:tcPr>
            <w:tcW w:w="1056" w:type="dxa"/>
            <w:tcBorders>
              <w:top w:val="single" w:sz="4" w:space="0" w:color="000000"/>
            </w:tcBorders>
          </w:tcPr>
          <w:p>
            <w:pPr>
              <w:pStyle w:val="TableParagraph"/>
              <w:spacing w:before="9"/>
              <w:ind w:right="102"/>
              <w:rPr>
                <w:sz w:val="16"/>
              </w:rPr>
            </w:pPr>
            <w:r>
              <w:rPr>
                <w:spacing w:val="-4"/>
                <w:sz w:val="16"/>
              </w:rPr>
              <w:t>40.5</w:t>
            </w:r>
          </w:p>
        </w:tc>
        <w:tc>
          <w:tcPr>
            <w:tcW w:w="1060" w:type="dxa"/>
            <w:tcBorders>
              <w:top w:val="single" w:sz="4" w:space="0" w:color="000000"/>
            </w:tcBorders>
          </w:tcPr>
          <w:p>
            <w:pPr>
              <w:pStyle w:val="TableParagraph"/>
              <w:spacing w:before="9"/>
              <w:ind w:right="53"/>
              <w:rPr>
                <w:sz w:val="16"/>
              </w:rPr>
            </w:pPr>
            <w:r>
              <w:rPr>
                <w:spacing w:val="-2"/>
                <w:sz w:val="16"/>
              </w:rPr>
              <w:t>461.2</w:t>
            </w:r>
          </w:p>
        </w:tc>
        <w:tc>
          <w:tcPr>
            <w:tcW w:w="1181" w:type="dxa"/>
            <w:tcBorders>
              <w:top w:val="single" w:sz="4" w:space="0" w:color="000000"/>
            </w:tcBorders>
          </w:tcPr>
          <w:p>
            <w:pPr>
              <w:pStyle w:val="TableParagraph"/>
              <w:spacing w:before="9"/>
              <w:ind w:right="216"/>
              <w:rPr>
                <w:sz w:val="16"/>
              </w:rPr>
            </w:pPr>
            <w:r>
              <w:rPr>
                <w:spacing w:val="-2"/>
                <w:sz w:val="16"/>
              </w:rPr>
              <w:t>108.4</w:t>
            </w:r>
          </w:p>
        </w:tc>
        <w:tc>
          <w:tcPr>
            <w:tcW w:w="759" w:type="dxa"/>
            <w:tcBorders>
              <w:top w:val="single" w:sz="4" w:space="0" w:color="000000"/>
            </w:tcBorders>
          </w:tcPr>
          <w:p>
            <w:pPr>
              <w:pStyle w:val="TableParagraph"/>
              <w:spacing w:before="9"/>
              <w:ind w:right="183"/>
              <w:rPr>
                <w:sz w:val="16"/>
              </w:rPr>
            </w:pPr>
            <w:r>
              <w:rPr>
                <w:spacing w:val="-4"/>
                <w:sz w:val="16"/>
              </w:rPr>
              <w:t>23.5</w:t>
            </w:r>
          </w:p>
        </w:tc>
        <w:tc>
          <w:tcPr>
            <w:tcW w:w="1040" w:type="dxa"/>
            <w:tcBorders>
              <w:top w:val="single" w:sz="4" w:space="0" w:color="000000"/>
            </w:tcBorders>
          </w:tcPr>
          <w:p>
            <w:pPr>
              <w:pStyle w:val="TableParagraph"/>
              <w:spacing w:before="9"/>
              <w:ind w:right="104"/>
              <w:rPr>
                <w:sz w:val="16"/>
              </w:rPr>
            </w:pPr>
            <w:r>
              <w:rPr>
                <w:spacing w:val="-2"/>
                <w:sz w:val="16"/>
              </w:rPr>
              <w:t>569.6</w:t>
            </w:r>
          </w:p>
        </w:tc>
      </w:tr>
      <w:tr>
        <w:trPr>
          <w:trHeight w:val="228" w:hRule="atLeast"/>
        </w:trPr>
        <w:tc>
          <w:tcPr>
            <w:tcW w:w="2461" w:type="dxa"/>
          </w:tcPr>
          <w:p>
            <w:pPr>
              <w:pStyle w:val="TableParagraph"/>
              <w:spacing w:before="8"/>
              <w:ind w:left="117"/>
              <w:jc w:val="left"/>
              <w:rPr>
                <w:sz w:val="16"/>
              </w:rPr>
            </w:pPr>
            <w:r>
              <w:rPr>
                <w:spacing w:val="-2"/>
                <w:sz w:val="16"/>
              </w:rPr>
              <w:t>Hospitality</w:t>
            </w:r>
          </w:p>
        </w:tc>
        <w:tc>
          <w:tcPr>
            <w:tcW w:w="1204" w:type="dxa"/>
          </w:tcPr>
          <w:p>
            <w:pPr>
              <w:pStyle w:val="TableParagraph"/>
              <w:spacing w:before="8"/>
              <w:ind w:right="193"/>
              <w:rPr>
                <w:sz w:val="16"/>
              </w:rPr>
            </w:pPr>
            <w:r>
              <w:rPr>
                <w:w w:val="98"/>
                <w:sz w:val="16"/>
              </w:rPr>
              <w:t>-</w:t>
            </w:r>
          </w:p>
        </w:tc>
        <w:tc>
          <w:tcPr>
            <w:tcW w:w="891" w:type="dxa"/>
          </w:tcPr>
          <w:p>
            <w:pPr>
              <w:pStyle w:val="TableParagraph"/>
              <w:spacing w:before="8"/>
              <w:ind w:right="167"/>
              <w:rPr>
                <w:sz w:val="16"/>
              </w:rPr>
            </w:pPr>
            <w:r>
              <w:rPr>
                <w:w w:val="98"/>
                <w:sz w:val="16"/>
              </w:rPr>
              <w:t>-</w:t>
            </w:r>
          </w:p>
        </w:tc>
        <w:tc>
          <w:tcPr>
            <w:tcW w:w="1056" w:type="dxa"/>
          </w:tcPr>
          <w:p>
            <w:pPr>
              <w:pStyle w:val="TableParagraph"/>
              <w:spacing w:before="8"/>
              <w:ind w:right="104"/>
              <w:rPr>
                <w:sz w:val="16"/>
              </w:rPr>
            </w:pPr>
            <w:r>
              <w:rPr>
                <w:w w:val="98"/>
                <w:sz w:val="16"/>
              </w:rPr>
              <w:t>-</w:t>
            </w:r>
          </w:p>
        </w:tc>
        <w:tc>
          <w:tcPr>
            <w:tcW w:w="1060" w:type="dxa"/>
          </w:tcPr>
          <w:p>
            <w:pPr>
              <w:pStyle w:val="TableParagraph"/>
              <w:spacing w:before="8"/>
              <w:ind w:right="55"/>
              <w:rPr>
                <w:sz w:val="16"/>
              </w:rPr>
            </w:pPr>
            <w:r>
              <w:rPr>
                <w:w w:val="98"/>
                <w:sz w:val="16"/>
              </w:rPr>
              <w:t>-</w:t>
            </w:r>
          </w:p>
        </w:tc>
        <w:tc>
          <w:tcPr>
            <w:tcW w:w="1181" w:type="dxa"/>
          </w:tcPr>
          <w:p>
            <w:pPr>
              <w:pStyle w:val="TableParagraph"/>
              <w:spacing w:before="8"/>
              <w:ind w:right="218"/>
              <w:rPr>
                <w:sz w:val="16"/>
              </w:rPr>
            </w:pPr>
            <w:r>
              <w:rPr>
                <w:w w:val="98"/>
                <w:sz w:val="16"/>
              </w:rPr>
              <w:t>-</w:t>
            </w:r>
          </w:p>
        </w:tc>
        <w:tc>
          <w:tcPr>
            <w:tcW w:w="759" w:type="dxa"/>
          </w:tcPr>
          <w:p>
            <w:pPr>
              <w:pStyle w:val="TableParagraph"/>
              <w:spacing w:before="8"/>
              <w:ind w:right="185"/>
              <w:rPr>
                <w:sz w:val="16"/>
              </w:rPr>
            </w:pPr>
            <w:r>
              <w:rPr>
                <w:w w:val="98"/>
                <w:sz w:val="16"/>
              </w:rPr>
              <w:t>-</w:t>
            </w:r>
          </w:p>
        </w:tc>
        <w:tc>
          <w:tcPr>
            <w:tcW w:w="1040" w:type="dxa"/>
          </w:tcPr>
          <w:p>
            <w:pPr>
              <w:pStyle w:val="TableParagraph"/>
              <w:spacing w:before="8"/>
              <w:ind w:right="106"/>
              <w:rPr>
                <w:sz w:val="16"/>
              </w:rPr>
            </w:pPr>
            <w:r>
              <w:rPr>
                <w:w w:val="98"/>
                <w:sz w:val="16"/>
              </w:rPr>
              <w:t>-</w:t>
            </w:r>
          </w:p>
        </w:tc>
      </w:tr>
      <w:tr>
        <w:trPr>
          <w:trHeight w:val="228" w:hRule="atLeast"/>
        </w:trPr>
        <w:tc>
          <w:tcPr>
            <w:tcW w:w="2461" w:type="dxa"/>
          </w:tcPr>
          <w:p>
            <w:pPr>
              <w:pStyle w:val="TableParagraph"/>
              <w:spacing w:before="10"/>
              <w:ind w:left="117"/>
              <w:jc w:val="left"/>
              <w:rPr>
                <w:sz w:val="16"/>
              </w:rPr>
            </w:pPr>
            <w:r>
              <w:rPr>
                <w:w w:val="95"/>
                <w:sz w:val="16"/>
              </w:rPr>
              <w:t>Contractual</w:t>
            </w:r>
            <w:r>
              <w:rPr>
                <w:spacing w:val="33"/>
                <w:sz w:val="16"/>
              </w:rPr>
              <w:t> </w:t>
            </w:r>
            <w:r>
              <w:rPr>
                <w:spacing w:val="-2"/>
                <w:sz w:val="16"/>
              </w:rPr>
              <w:t>services</w:t>
            </w:r>
          </w:p>
        </w:tc>
        <w:tc>
          <w:tcPr>
            <w:tcW w:w="1204" w:type="dxa"/>
          </w:tcPr>
          <w:p>
            <w:pPr>
              <w:pStyle w:val="TableParagraph"/>
              <w:spacing w:before="10"/>
              <w:ind w:right="192"/>
              <w:rPr>
                <w:sz w:val="16"/>
              </w:rPr>
            </w:pPr>
            <w:r>
              <w:rPr>
                <w:spacing w:val="-2"/>
                <w:sz w:val="16"/>
              </w:rPr>
              <w:t>1,492.4</w:t>
            </w:r>
          </w:p>
        </w:tc>
        <w:tc>
          <w:tcPr>
            <w:tcW w:w="891" w:type="dxa"/>
          </w:tcPr>
          <w:p>
            <w:pPr>
              <w:pStyle w:val="TableParagraph"/>
              <w:spacing w:before="10"/>
              <w:ind w:right="167"/>
              <w:rPr>
                <w:sz w:val="16"/>
              </w:rPr>
            </w:pPr>
            <w:r>
              <w:rPr>
                <w:w w:val="98"/>
                <w:sz w:val="16"/>
              </w:rPr>
              <w:t>-</w:t>
            </w:r>
          </w:p>
        </w:tc>
        <w:tc>
          <w:tcPr>
            <w:tcW w:w="1056" w:type="dxa"/>
          </w:tcPr>
          <w:p>
            <w:pPr>
              <w:pStyle w:val="TableParagraph"/>
              <w:spacing w:before="10"/>
              <w:ind w:right="103"/>
              <w:rPr>
                <w:sz w:val="16"/>
              </w:rPr>
            </w:pPr>
            <w:r>
              <w:rPr>
                <w:spacing w:val="-2"/>
                <w:sz w:val="16"/>
              </w:rPr>
              <w:t>1,492.4</w:t>
            </w:r>
          </w:p>
        </w:tc>
        <w:tc>
          <w:tcPr>
            <w:tcW w:w="1060" w:type="dxa"/>
          </w:tcPr>
          <w:p>
            <w:pPr>
              <w:pStyle w:val="TableParagraph"/>
              <w:spacing w:before="10"/>
              <w:ind w:right="53"/>
              <w:rPr>
                <w:sz w:val="16"/>
              </w:rPr>
            </w:pPr>
            <w:r>
              <w:rPr>
                <w:spacing w:val="-2"/>
                <w:sz w:val="16"/>
              </w:rPr>
              <w:t>597.5</w:t>
            </w:r>
          </w:p>
        </w:tc>
        <w:tc>
          <w:tcPr>
            <w:tcW w:w="1181" w:type="dxa"/>
          </w:tcPr>
          <w:p>
            <w:pPr>
              <w:pStyle w:val="TableParagraph"/>
              <w:spacing w:before="10"/>
              <w:ind w:right="219"/>
              <w:rPr>
                <w:sz w:val="16"/>
              </w:rPr>
            </w:pPr>
            <w:r>
              <w:rPr>
                <w:spacing w:val="-2"/>
                <w:sz w:val="16"/>
              </w:rPr>
              <w:t>(7.2)</w:t>
            </w:r>
          </w:p>
        </w:tc>
        <w:tc>
          <w:tcPr>
            <w:tcW w:w="759" w:type="dxa"/>
          </w:tcPr>
          <w:p>
            <w:pPr>
              <w:pStyle w:val="TableParagraph"/>
              <w:spacing w:before="10"/>
              <w:ind w:right="185"/>
              <w:rPr>
                <w:sz w:val="16"/>
              </w:rPr>
            </w:pPr>
            <w:r>
              <w:rPr>
                <w:spacing w:val="-2"/>
                <w:sz w:val="16"/>
              </w:rPr>
              <w:t>(1.2)</w:t>
            </w:r>
          </w:p>
        </w:tc>
        <w:tc>
          <w:tcPr>
            <w:tcW w:w="1040" w:type="dxa"/>
          </w:tcPr>
          <w:p>
            <w:pPr>
              <w:pStyle w:val="TableParagraph"/>
              <w:spacing w:before="10"/>
              <w:ind w:right="104"/>
              <w:rPr>
                <w:sz w:val="16"/>
              </w:rPr>
            </w:pPr>
            <w:r>
              <w:rPr>
                <w:spacing w:val="-2"/>
                <w:sz w:val="16"/>
              </w:rPr>
              <w:t>590.3</w:t>
            </w:r>
          </w:p>
        </w:tc>
      </w:tr>
      <w:tr>
        <w:trPr>
          <w:trHeight w:val="225" w:hRule="atLeast"/>
        </w:trPr>
        <w:tc>
          <w:tcPr>
            <w:tcW w:w="2461" w:type="dxa"/>
          </w:tcPr>
          <w:p>
            <w:pPr>
              <w:pStyle w:val="TableParagraph"/>
              <w:spacing w:before="8"/>
              <w:ind w:left="117"/>
              <w:jc w:val="left"/>
              <w:rPr>
                <w:sz w:val="16"/>
              </w:rPr>
            </w:pPr>
            <w:r>
              <w:rPr>
                <w:spacing w:val="-2"/>
                <w:sz w:val="16"/>
              </w:rPr>
              <w:t>Training</w:t>
            </w:r>
          </w:p>
        </w:tc>
        <w:tc>
          <w:tcPr>
            <w:tcW w:w="1204" w:type="dxa"/>
          </w:tcPr>
          <w:p>
            <w:pPr>
              <w:pStyle w:val="TableParagraph"/>
              <w:spacing w:before="8"/>
              <w:ind w:right="191"/>
              <w:rPr>
                <w:sz w:val="16"/>
              </w:rPr>
            </w:pPr>
            <w:r>
              <w:rPr>
                <w:spacing w:val="-4"/>
                <w:sz w:val="16"/>
              </w:rPr>
              <w:t>47.9</w:t>
            </w:r>
          </w:p>
        </w:tc>
        <w:tc>
          <w:tcPr>
            <w:tcW w:w="891" w:type="dxa"/>
          </w:tcPr>
          <w:p>
            <w:pPr>
              <w:pStyle w:val="TableParagraph"/>
              <w:spacing w:before="8"/>
              <w:ind w:right="167"/>
              <w:rPr>
                <w:sz w:val="16"/>
              </w:rPr>
            </w:pPr>
            <w:r>
              <w:rPr>
                <w:w w:val="98"/>
                <w:sz w:val="16"/>
              </w:rPr>
              <w:t>-</w:t>
            </w:r>
          </w:p>
        </w:tc>
        <w:tc>
          <w:tcPr>
            <w:tcW w:w="1056" w:type="dxa"/>
          </w:tcPr>
          <w:p>
            <w:pPr>
              <w:pStyle w:val="TableParagraph"/>
              <w:spacing w:before="8"/>
              <w:ind w:right="102"/>
              <w:rPr>
                <w:sz w:val="16"/>
              </w:rPr>
            </w:pPr>
            <w:r>
              <w:rPr>
                <w:spacing w:val="-4"/>
                <w:sz w:val="16"/>
              </w:rPr>
              <w:t>47.9</w:t>
            </w:r>
          </w:p>
        </w:tc>
        <w:tc>
          <w:tcPr>
            <w:tcW w:w="1060" w:type="dxa"/>
          </w:tcPr>
          <w:p>
            <w:pPr>
              <w:pStyle w:val="TableParagraph"/>
              <w:spacing w:before="8"/>
              <w:ind w:right="53"/>
              <w:rPr>
                <w:sz w:val="16"/>
              </w:rPr>
            </w:pPr>
            <w:r>
              <w:rPr>
                <w:spacing w:val="-4"/>
                <w:sz w:val="16"/>
              </w:rPr>
              <w:t>65.0</w:t>
            </w:r>
          </w:p>
        </w:tc>
        <w:tc>
          <w:tcPr>
            <w:tcW w:w="1181" w:type="dxa"/>
          </w:tcPr>
          <w:p>
            <w:pPr>
              <w:pStyle w:val="TableParagraph"/>
              <w:spacing w:before="8"/>
              <w:ind w:right="218"/>
              <w:rPr>
                <w:sz w:val="16"/>
              </w:rPr>
            </w:pPr>
            <w:r>
              <w:rPr>
                <w:w w:val="98"/>
                <w:sz w:val="16"/>
              </w:rPr>
              <w:t>-</w:t>
            </w:r>
          </w:p>
        </w:tc>
        <w:tc>
          <w:tcPr>
            <w:tcW w:w="759" w:type="dxa"/>
          </w:tcPr>
          <w:p>
            <w:pPr>
              <w:pStyle w:val="TableParagraph"/>
              <w:spacing w:before="8"/>
              <w:ind w:right="185"/>
              <w:rPr>
                <w:sz w:val="16"/>
              </w:rPr>
            </w:pPr>
            <w:r>
              <w:rPr>
                <w:w w:val="98"/>
                <w:sz w:val="16"/>
              </w:rPr>
              <w:t>-</w:t>
            </w:r>
          </w:p>
        </w:tc>
        <w:tc>
          <w:tcPr>
            <w:tcW w:w="1040" w:type="dxa"/>
          </w:tcPr>
          <w:p>
            <w:pPr>
              <w:pStyle w:val="TableParagraph"/>
              <w:spacing w:before="8"/>
              <w:ind w:right="104"/>
              <w:rPr>
                <w:sz w:val="16"/>
              </w:rPr>
            </w:pPr>
            <w:r>
              <w:rPr>
                <w:spacing w:val="-4"/>
                <w:sz w:val="16"/>
              </w:rPr>
              <w:t>65.0</w:t>
            </w:r>
          </w:p>
        </w:tc>
      </w:tr>
      <w:tr>
        <w:trPr>
          <w:trHeight w:val="228" w:hRule="atLeast"/>
        </w:trPr>
        <w:tc>
          <w:tcPr>
            <w:tcW w:w="2461" w:type="dxa"/>
          </w:tcPr>
          <w:p>
            <w:pPr>
              <w:pStyle w:val="TableParagraph"/>
              <w:spacing w:before="8"/>
              <w:ind w:left="117"/>
              <w:jc w:val="left"/>
              <w:rPr>
                <w:sz w:val="16"/>
              </w:rPr>
            </w:pPr>
            <w:r>
              <w:rPr>
                <w:spacing w:val="-2"/>
                <w:sz w:val="16"/>
              </w:rPr>
              <w:t>Consultants</w:t>
            </w:r>
          </w:p>
        </w:tc>
        <w:tc>
          <w:tcPr>
            <w:tcW w:w="1204" w:type="dxa"/>
          </w:tcPr>
          <w:p>
            <w:pPr>
              <w:pStyle w:val="TableParagraph"/>
              <w:spacing w:before="8"/>
              <w:ind w:right="191"/>
              <w:rPr>
                <w:sz w:val="16"/>
              </w:rPr>
            </w:pPr>
            <w:r>
              <w:rPr>
                <w:spacing w:val="-2"/>
                <w:sz w:val="16"/>
              </w:rPr>
              <w:t>389.3</w:t>
            </w:r>
          </w:p>
        </w:tc>
        <w:tc>
          <w:tcPr>
            <w:tcW w:w="891" w:type="dxa"/>
          </w:tcPr>
          <w:p>
            <w:pPr>
              <w:pStyle w:val="TableParagraph"/>
              <w:spacing w:before="8"/>
              <w:ind w:right="165"/>
              <w:rPr>
                <w:sz w:val="16"/>
              </w:rPr>
            </w:pPr>
            <w:r>
              <w:rPr>
                <w:spacing w:val="-4"/>
                <w:sz w:val="16"/>
              </w:rPr>
              <w:t>57.8</w:t>
            </w:r>
          </w:p>
        </w:tc>
        <w:tc>
          <w:tcPr>
            <w:tcW w:w="1056" w:type="dxa"/>
          </w:tcPr>
          <w:p>
            <w:pPr>
              <w:pStyle w:val="TableParagraph"/>
              <w:spacing w:before="8"/>
              <w:ind w:right="103"/>
              <w:rPr>
                <w:sz w:val="16"/>
              </w:rPr>
            </w:pPr>
            <w:r>
              <w:rPr>
                <w:spacing w:val="-2"/>
                <w:sz w:val="16"/>
              </w:rPr>
              <w:t>447.0</w:t>
            </w:r>
          </w:p>
        </w:tc>
        <w:tc>
          <w:tcPr>
            <w:tcW w:w="1060" w:type="dxa"/>
          </w:tcPr>
          <w:p>
            <w:pPr>
              <w:pStyle w:val="TableParagraph"/>
              <w:spacing w:before="8"/>
              <w:ind w:right="53"/>
              <w:rPr>
                <w:sz w:val="16"/>
              </w:rPr>
            </w:pPr>
            <w:r>
              <w:rPr>
                <w:spacing w:val="-2"/>
                <w:sz w:val="16"/>
              </w:rPr>
              <w:t>448.2</w:t>
            </w:r>
          </w:p>
        </w:tc>
        <w:tc>
          <w:tcPr>
            <w:tcW w:w="1181" w:type="dxa"/>
          </w:tcPr>
          <w:p>
            <w:pPr>
              <w:pStyle w:val="TableParagraph"/>
              <w:spacing w:before="8"/>
              <w:ind w:right="216"/>
              <w:rPr>
                <w:sz w:val="16"/>
              </w:rPr>
            </w:pPr>
            <w:r>
              <w:rPr>
                <w:spacing w:val="-4"/>
                <w:sz w:val="16"/>
              </w:rPr>
              <w:t>21.6</w:t>
            </w:r>
          </w:p>
        </w:tc>
        <w:tc>
          <w:tcPr>
            <w:tcW w:w="759" w:type="dxa"/>
          </w:tcPr>
          <w:p>
            <w:pPr>
              <w:pStyle w:val="TableParagraph"/>
              <w:spacing w:before="8"/>
              <w:ind w:right="187"/>
              <w:rPr>
                <w:sz w:val="16"/>
              </w:rPr>
            </w:pPr>
            <w:r>
              <w:rPr>
                <w:spacing w:val="-5"/>
                <w:sz w:val="16"/>
              </w:rPr>
              <w:t>4.8</w:t>
            </w:r>
          </w:p>
        </w:tc>
        <w:tc>
          <w:tcPr>
            <w:tcW w:w="1040" w:type="dxa"/>
          </w:tcPr>
          <w:p>
            <w:pPr>
              <w:pStyle w:val="TableParagraph"/>
              <w:spacing w:before="8"/>
              <w:ind w:right="104"/>
              <w:rPr>
                <w:sz w:val="16"/>
              </w:rPr>
            </w:pPr>
            <w:r>
              <w:rPr>
                <w:spacing w:val="-2"/>
                <w:sz w:val="16"/>
              </w:rPr>
              <w:t>469.8</w:t>
            </w:r>
          </w:p>
        </w:tc>
      </w:tr>
      <w:tr>
        <w:trPr>
          <w:trHeight w:val="227" w:hRule="atLeast"/>
        </w:trPr>
        <w:tc>
          <w:tcPr>
            <w:tcW w:w="2461" w:type="dxa"/>
          </w:tcPr>
          <w:p>
            <w:pPr>
              <w:pStyle w:val="TableParagraph"/>
              <w:spacing w:before="10"/>
              <w:ind w:left="117"/>
              <w:jc w:val="left"/>
              <w:rPr>
                <w:sz w:val="16"/>
              </w:rPr>
            </w:pPr>
            <w:r>
              <w:rPr>
                <w:sz w:val="16"/>
              </w:rPr>
              <w:t>Counsel</w:t>
            </w:r>
            <w:r>
              <w:rPr>
                <w:spacing w:val="-4"/>
                <w:sz w:val="16"/>
              </w:rPr>
              <w:t> </w:t>
            </w:r>
            <w:r>
              <w:rPr>
                <w:sz w:val="16"/>
              </w:rPr>
              <w:t>for</w:t>
            </w:r>
            <w:r>
              <w:rPr>
                <w:spacing w:val="-2"/>
                <w:sz w:val="16"/>
              </w:rPr>
              <w:t> defence</w:t>
            </w:r>
          </w:p>
        </w:tc>
        <w:tc>
          <w:tcPr>
            <w:tcW w:w="1204" w:type="dxa"/>
          </w:tcPr>
          <w:p>
            <w:pPr>
              <w:pStyle w:val="TableParagraph"/>
              <w:spacing w:before="10"/>
              <w:ind w:right="192"/>
              <w:rPr>
                <w:sz w:val="16"/>
              </w:rPr>
            </w:pPr>
            <w:r>
              <w:rPr>
                <w:spacing w:val="-2"/>
                <w:sz w:val="16"/>
              </w:rPr>
              <w:t>3,913.0</w:t>
            </w:r>
          </w:p>
        </w:tc>
        <w:tc>
          <w:tcPr>
            <w:tcW w:w="891" w:type="dxa"/>
          </w:tcPr>
          <w:p>
            <w:pPr>
              <w:pStyle w:val="TableParagraph"/>
              <w:spacing w:before="10"/>
              <w:ind w:right="165"/>
              <w:rPr>
                <w:sz w:val="16"/>
              </w:rPr>
            </w:pPr>
            <w:r>
              <w:rPr>
                <w:spacing w:val="-2"/>
                <w:sz w:val="16"/>
              </w:rPr>
              <w:t>624.6</w:t>
            </w:r>
          </w:p>
        </w:tc>
        <w:tc>
          <w:tcPr>
            <w:tcW w:w="1056" w:type="dxa"/>
          </w:tcPr>
          <w:p>
            <w:pPr>
              <w:pStyle w:val="TableParagraph"/>
              <w:spacing w:before="10"/>
              <w:ind w:right="103"/>
              <w:rPr>
                <w:sz w:val="16"/>
              </w:rPr>
            </w:pPr>
            <w:r>
              <w:rPr>
                <w:spacing w:val="-2"/>
                <w:sz w:val="16"/>
              </w:rPr>
              <w:t>4,537.6</w:t>
            </w:r>
          </w:p>
        </w:tc>
        <w:tc>
          <w:tcPr>
            <w:tcW w:w="1060" w:type="dxa"/>
          </w:tcPr>
          <w:p>
            <w:pPr>
              <w:pStyle w:val="TableParagraph"/>
              <w:spacing w:before="10"/>
              <w:ind w:right="54"/>
              <w:rPr>
                <w:sz w:val="16"/>
              </w:rPr>
            </w:pPr>
            <w:r>
              <w:rPr>
                <w:spacing w:val="-2"/>
                <w:sz w:val="16"/>
              </w:rPr>
              <w:t>5,196.7</w:t>
            </w:r>
          </w:p>
        </w:tc>
        <w:tc>
          <w:tcPr>
            <w:tcW w:w="1181" w:type="dxa"/>
          </w:tcPr>
          <w:p>
            <w:pPr>
              <w:pStyle w:val="TableParagraph"/>
              <w:spacing w:before="10"/>
              <w:ind w:right="219"/>
              <w:rPr>
                <w:sz w:val="16"/>
              </w:rPr>
            </w:pPr>
            <w:r>
              <w:rPr>
                <w:spacing w:val="-2"/>
                <w:sz w:val="16"/>
              </w:rPr>
              <w:t>(7.3)</w:t>
            </w:r>
          </w:p>
        </w:tc>
        <w:tc>
          <w:tcPr>
            <w:tcW w:w="759" w:type="dxa"/>
          </w:tcPr>
          <w:p>
            <w:pPr>
              <w:pStyle w:val="TableParagraph"/>
              <w:spacing w:before="10"/>
              <w:ind w:right="185"/>
              <w:rPr>
                <w:sz w:val="16"/>
              </w:rPr>
            </w:pPr>
            <w:r>
              <w:rPr>
                <w:spacing w:val="-2"/>
                <w:sz w:val="16"/>
              </w:rPr>
              <w:t>(0.1)</w:t>
            </w:r>
          </w:p>
        </w:tc>
        <w:tc>
          <w:tcPr>
            <w:tcW w:w="1040" w:type="dxa"/>
          </w:tcPr>
          <w:p>
            <w:pPr>
              <w:pStyle w:val="TableParagraph"/>
              <w:spacing w:before="10"/>
              <w:ind w:right="104"/>
              <w:rPr>
                <w:sz w:val="16"/>
              </w:rPr>
            </w:pPr>
            <w:r>
              <w:rPr>
                <w:spacing w:val="-2"/>
                <w:sz w:val="16"/>
              </w:rPr>
              <w:t>5,189.4</w:t>
            </w:r>
          </w:p>
        </w:tc>
      </w:tr>
      <w:tr>
        <w:trPr>
          <w:trHeight w:val="225" w:hRule="atLeast"/>
        </w:trPr>
        <w:tc>
          <w:tcPr>
            <w:tcW w:w="2461" w:type="dxa"/>
          </w:tcPr>
          <w:p>
            <w:pPr>
              <w:pStyle w:val="TableParagraph"/>
              <w:spacing w:before="8"/>
              <w:ind w:left="117"/>
              <w:jc w:val="left"/>
              <w:rPr>
                <w:sz w:val="16"/>
              </w:rPr>
            </w:pPr>
            <w:r>
              <w:rPr>
                <w:sz w:val="16"/>
              </w:rPr>
              <w:t>Counsel</w:t>
            </w:r>
            <w:r>
              <w:rPr>
                <w:spacing w:val="-4"/>
                <w:sz w:val="16"/>
              </w:rPr>
              <w:t> </w:t>
            </w:r>
            <w:r>
              <w:rPr>
                <w:sz w:val="16"/>
              </w:rPr>
              <w:t>for</w:t>
            </w:r>
            <w:r>
              <w:rPr>
                <w:spacing w:val="-2"/>
                <w:sz w:val="16"/>
              </w:rPr>
              <w:t> victims</w:t>
            </w:r>
          </w:p>
        </w:tc>
        <w:tc>
          <w:tcPr>
            <w:tcW w:w="1204" w:type="dxa"/>
          </w:tcPr>
          <w:p>
            <w:pPr>
              <w:pStyle w:val="TableParagraph"/>
              <w:spacing w:before="8"/>
              <w:ind w:right="192"/>
              <w:rPr>
                <w:sz w:val="16"/>
              </w:rPr>
            </w:pPr>
            <w:r>
              <w:rPr>
                <w:spacing w:val="-2"/>
                <w:sz w:val="16"/>
              </w:rPr>
              <w:t>1,531.7</w:t>
            </w:r>
          </w:p>
        </w:tc>
        <w:tc>
          <w:tcPr>
            <w:tcW w:w="891" w:type="dxa"/>
          </w:tcPr>
          <w:p>
            <w:pPr>
              <w:pStyle w:val="TableParagraph"/>
              <w:spacing w:before="8"/>
              <w:ind w:right="167"/>
              <w:rPr>
                <w:sz w:val="16"/>
              </w:rPr>
            </w:pPr>
            <w:r>
              <w:rPr>
                <w:w w:val="98"/>
                <w:sz w:val="16"/>
              </w:rPr>
              <w:t>-</w:t>
            </w:r>
          </w:p>
        </w:tc>
        <w:tc>
          <w:tcPr>
            <w:tcW w:w="1056" w:type="dxa"/>
          </w:tcPr>
          <w:p>
            <w:pPr>
              <w:pStyle w:val="TableParagraph"/>
              <w:spacing w:before="8"/>
              <w:ind w:right="103"/>
              <w:rPr>
                <w:sz w:val="16"/>
              </w:rPr>
            </w:pPr>
            <w:r>
              <w:rPr>
                <w:spacing w:val="-2"/>
                <w:sz w:val="16"/>
              </w:rPr>
              <w:t>1,531.7</w:t>
            </w:r>
          </w:p>
        </w:tc>
        <w:tc>
          <w:tcPr>
            <w:tcW w:w="1060" w:type="dxa"/>
          </w:tcPr>
          <w:p>
            <w:pPr>
              <w:pStyle w:val="TableParagraph"/>
              <w:spacing w:before="8"/>
              <w:ind w:right="54"/>
              <w:rPr>
                <w:sz w:val="16"/>
              </w:rPr>
            </w:pPr>
            <w:r>
              <w:rPr>
                <w:spacing w:val="-2"/>
                <w:sz w:val="16"/>
              </w:rPr>
              <w:t>1,906.6</w:t>
            </w:r>
          </w:p>
        </w:tc>
        <w:tc>
          <w:tcPr>
            <w:tcW w:w="1181" w:type="dxa"/>
          </w:tcPr>
          <w:p>
            <w:pPr>
              <w:pStyle w:val="TableParagraph"/>
              <w:spacing w:before="8"/>
              <w:ind w:right="216"/>
              <w:rPr>
                <w:sz w:val="16"/>
              </w:rPr>
            </w:pPr>
            <w:r>
              <w:rPr>
                <w:spacing w:val="-2"/>
                <w:sz w:val="16"/>
              </w:rPr>
              <w:t>431.4</w:t>
            </w:r>
          </w:p>
        </w:tc>
        <w:tc>
          <w:tcPr>
            <w:tcW w:w="759" w:type="dxa"/>
          </w:tcPr>
          <w:p>
            <w:pPr>
              <w:pStyle w:val="TableParagraph"/>
              <w:spacing w:before="8"/>
              <w:ind w:right="183"/>
              <w:rPr>
                <w:sz w:val="16"/>
              </w:rPr>
            </w:pPr>
            <w:r>
              <w:rPr>
                <w:spacing w:val="-4"/>
                <w:sz w:val="16"/>
              </w:rPr>
              <w:t>22.6</w:t>
            </w:r>
          </w:p>
        </w:tc>
        <w:tc>
          <w:tcPr>
            <w:tcW w:w="1040" w:type="dxa"/>
          </w:tcPr>
          <w:p>
            <w:pPr>
              <w:pStyle w:val="TableParagraph"/>
              <w:spacing w:before="8"/>
              <w:ind w:right="104"/>
              <w:rPr>
                <w:sz w:val="16"/>
              </w:rPr>
            </w:pPr>
            <w:r>
              <w:rPr>
                <w:spacing w:val="-2"/>
                <w:sz w:val="16"/>
              </w:rPr>
              <w:t>2,338.0</w:t>
            </w:r>
          </w:p>
        </w:tc>
      </w:tr>
      <w:tr>
        <w:trPr>
          <w:trHeight w:val="225" w:hRule="atLeast"/>
        </w:trPr>
        <w:tc>
          <w:tcPr>
            <w:tcW w:w="2461" w:type="dxa"/>
          </w:tcPr>
          <w:p>
            <w:pPr>
              <w:pStyle w:val="TableParagraph"/>
              <w:spacing w:before="8"/>
              <w:ind w:left="117"/>
              <w:jc w:val="left"/>
              <w:rPr>
                <w:sz w:val="16"/>
              </w:rPr>
            </w:pPr>
            <w:r>
              <w:rPr>
                <w:sz w:val="16"/>
              </w:rPr>
              <w:t>General</w:t>
            </w:r>
            <w:r>
              <w:rPr>
                <w:spacing w:val="-4"/>
                <w:sz w:val="16"/>
              </w:rPr>
              <w:t> </w:t>
            </w:r>
            <w:r>
              <w:rPr>
                <w:sz w:val="16"/>
              </w:rPr>
              <w:t>operating</w:t>
            </w:r>
            <w:r>
              <w:rPr>
                <w:spacing w:val="-1"/>
                <w:sz w:val="16"/>
              </w:rPr>
              <w:t> </w:t>
            </w:r>
            <w:r>
              <w:rPr>
                <w:spacing w:val="-2"/>
                <w:sz w:val="16"/>
              </w:rPr>
              <w:t>expenses</w:t>
            </w:r>
          </w:p>
        </w:tc>
        <w:tc>
          <w:tcPr>
            <w:tcW w:w="1204" w:type="dxa"/>
          </w:tcPr>
          <w:p>
            <w:pPr>
              <w:pStyle w:val="TableParagraph"/>
              <w:spacing w:before="8"/>
              <w:ind w:right="192"/>
              <w:rPr>
                <w:sz w:val="16"/>
              </w:rPr>
            </w:pPr>
            <w:r>
              <w:rPr>
                <w:spacing w:val="-2"/>
                <w:sz w:val="16"/>
              </w:rPr>
              <w:t>6,035.8</w:t>
            </w:r>
          </w:p>
        </w:tc>
        <w:tc>
          <w:tcPr>
            <w:tcW w:w="891" w:type="dxa"/>
          </w:tcPr>
          <w:p>
            <w:pPr>
              <w:pStyle w:val="TableParagraph"/>
              <w:spacing w:before="8"/>
              <w:ind w:right="165"/>
              <w:rPr>
                <w:sz w:val="16"/>
              </w:rPr>
            </w:pPr>
            <w:r>
              <w:rPr>
                <w:spacing w:val="-2"/>
                <w:sz w:val="16"/>
              </w:rPr>
              <w:t>557.6</w:t>
            </w:r>
          </w:p>
        </w:tc>
        <w:tc>
          <w:tcPr>
            <w:tcW w:w="1056" w:type="dxa"/>
          </w:tcPr>
          <w:p>
            <w:pPr>
              <w:pStyle w:val="TableParagraph"/>
              <w:spacing w:before="8"/>
              <w:ind w:right="103"/>
              <w:rPr>
                <w:sz w:val="16"/>
              </w:rPr>
            </w:pPr>
            <w:r>
              <w:rPr>
                <w:spacing w:val="-2"/>
                <w:sz w:val="16"/>
              </w:rPr>
              <w:t>6,593.4</w:t>
            </w:r>
          </w:p>
        </w:tc>
        <w:tc>
          <w:tcPr>
            <w:tcW w:w="1060" w:type="dxa"/>
          </w:tcPr>
          <w:p>
            <w:pPr>
              <w:pStyle w:val="TableParagraph"/>
              <w:spacing w:before="8"/>
              <w:ind w:right="54"/>
              <w:rPr>
                <w:sz w:val="16"/>
              </w:rPr>
            </w:pPr>
            <w:r>
              <w:rPr>
                <w:spacing w:val="-2"/>
                <w:sz w:val="16"/>
              </w:rPr>
              <w:t>5,958.1</w:t>
            </w:r>
          </w:p>
        </w:tc>
        <w:tc>
          <w:tcPr>
            <w:tcW w:w="1181" w:type="dxa"/>
          </w:tcPr>
          <w:p>
            <w:pPr>
              <w:pStyle w:val="TableParagraph"/>
              <w:spacing w:before="8"/>
              <w:ind w:right="216"/>
              <w:rPr>
                <w:sz w:val="16"/>
              </w:rPr>
            </w:pPr>
            <w:r>
              <w:rPr>
                <w:spacing w:val="-2"/>
                <w:sz w:val="16"/>
              </w:rPr>
              <w:t>469.6</w:t>
            </w:r>
          </w:p>
        </w:tc>
        <w:tc>
          <w:tcPr>
            <w:tcW w:w="759" w:type="dxa"/>
          </w:tcPr>
          <w:p>
            <w:pPr>
              <w:pStyle w:val="TableParagraph"/>
              <w:spacing w:before="8"/>
              <w:ind w:right="187"/>
              <w:rPr>
                <w:sz w:val="16"/>
              </w:rPr>
            </w:pPr>
            <w:r>
              <w:rPr>
                <w:spacing w:val="-5"/>
                <w:sz w:val="16"/>
              </w:rPr>
              <w:t>7.9</w:t>
            </w:r>
          </w:p>
        </w:tc>
        <w:tc>
          <w:tcPr>
            <w:tcW w:w="1040" w:type="dxa"/>
          </w:tcPr>
          <w:p>
            <w:pPr>
              <w:pStyle w:val="TableParagraph"/>
              <w:spacing w:before="8"/>
              <w:ind w:right="104"/>
              <w:rPr>
                <w:sz w:val="16"/>
              </w:rPr>
            </w:pPr>
            <w:r>
              <w:rPr>
                <w:spacing w:val="-2"/>
                <w:sz w:val="16"/>
              </w:rPr>
              <w:t>6,427.7</w:t>
            </w:r>
          </w:p>
        </w:tc>
      </w:tr>
      <w:tr>
        <w:trPr>
          <w:trHeight w:val="227" w:hRule="atLeast"/>
        </w:trPr>
        <w:tc>
          <w:tcPr>
            <w:tcW w:w="2461" w:type="dxa"/>
          </w:tcPr>
          <w:p>
            <w:pPr>
              <w:pStyle w:val="TableParagraph"/>
              <w:spacing w:before="8"/>
              <w:ind w:left="117"/>
              <w:jc w:val="left"/>
              <w:rPr>
                <w:sz w:val="16"/>
              </w:rPr>
            </w:pPr>
            <w:r>
              <w:rPr>
                <w:sz w:val="16"/>
              </w:rPr>
              <w:t>Supplies</w:t>
            </w:r>
            <w:r>
              <w:rPr>
                <w:spacing w:val="-4"/>
                <w:sz w:val="16"/>
              </w:rPr>
              <w:t> </w:t>
            </w:r>
            <w:r>
              <w:rPr>
                <w:sz w:val="16"/>
              </w:rPr>
              <w:t>and</w:t>
            </w:r>
            <w:r>
              <w:rPr>
                <w:spacing w:val="-2"/>
                <w:sz w:val="16"/>
              </w:rPr>
              <w:t> materials</w:t>
            </w:r>
          </w:p>
        </w:tc>
        <w:tc>
          <w:tcPr>
            <w:tcW w:w="1204" w:type="dxa"/>
          </w:tcPr>
          <w:p>
            <w:pPr>
              <w:pStyle w:val="TableParagraph"/>
              <w:spacing w:before="8"/>
              <w:ind w:right="191"/>
              <w:rPr>
                <w:sz w:val="16"/>
              </w:rPr>
            </w:pPr>
            <w:r>
              <w:rPr>
                <w:spacing w:val="-2"/>
                <w:sz w:val="16"/>
              </w:rPr>
              <w:t>370.6</w:t>
            </w:r>
          </w:p>
        </w:tc>
        <w:tc>
          <w:tcPr>
            <w:tcW w:w="891" w:type="dxa"/>
          </w:tcPr>
          <w:p>
            <w:pPr>
              <w:pStyle w:val="TableParagraph"/>
              <w:spacing w:before="8"/>
              <w:ind w:right="167"/>
              <w:rPr>
                <w:sz w:val="16"/>
              </w:rPr>
            </w:pPr>
            <w:r>
              <w:rPr>
                <w:w w:val="98"/>
                <w:sz w:val="16"/>
              </w:rPr>
              <w:t>-</w:t>
            </w:r>
          </w:p>
        </w:tc>
        <w:tc>
          <w:tcPr>
            <w:tcW w:w="1056" w:type="dxa"/>
          </w:tcPr>
          <w:p>
            <w:pPr>
              <w:pStyle w:val="TableParagraph"/>
              <w:spacing w:before="8"/>
              <w:ind w:right="103"/>
              <w:rPr>
                <w:sz w:val="16"/>
              </w:rPr>
            </w:pPr>
            <w:r>
              <w:rPr>
                <w:spacing w:val="-2"/>
                <w:sz w:val="16"/>
              </w:rPr>
              <w:t>370.6</w:t>
            </w:r>
          </w:p>
        </w:tc>
        <w:tc>
          <w:tcPr>
            <w:tcW w:w="1060" w:type="dxa"/>
          </w:tcPr>
          <w:p>
            <w:pPr>
              <w:pStyle w:val="TableParagraph"/>
              <w:spacing w:before="8"/>
              <w:ind w:right="53"/>
              <w:rPr>
                <w:sz w:val="16"/>
              </w:rPr>
            </w:pPr>
            <w:r>
              <w:rPr>
                <w:spacing w:val="-2"/>
                <w:sz w:val="16"/>
              </w:rPr>
              <w:t>315.7</w:t>
            </w:r>
          </w:p>
        </w:tc>
        <w:tc>
          <w:tcPr>
            <w:tcW w:w="1181" w:type="dxa"/>
          </w:tcPr>
          <w:p>
            <w:pPr>
              <w:pStyle w:val="TableParagraph"/>
              <w:spacing w:before="8"/>
              <w:ind w:right="216"/>
              <w:rPr>
                <w:sz w:val="16"/>
              </w:rPr>
            </w:pPr>
            <w:r>
              <w:rPr>
                <w:spacing w:val="-4"/>
                <w:sz w:val="16"/>
              </w:rPr>
              <w:t>13.9</w:t>
            </w:r>
          </w:p>
        </w:tc>
        <w:tc>
          <w:tcPr>
            <w:tcW w:w="759" w:type="dxa"/>
          </w:tcPr>
          <w:p>
            <w:pPr>
              <w:pStyle w:val="TableParagraph"/>
              <w:spacing w:before="8"/>
              <w:ind w:right="187"/>
              <w:rPr>
                <w:sz w:val="16"/>
              </w:rPr>
            </w:pPr>
            <w:r>
              <w:rPr>
                <w:spacing w:val="-5"/>
                <w:sz w:val="16"/>
              </w:rPr>
              <w:t>4.4</w:t>
            </w:r>
          </w:p>
        </w:tc>
        <w:tc>
          <w:tcPr>
            <w:tcW w:w="1040" w:type="dxa"/>
          </w:tcPr>
          <w:p>
            <w:pPr>
              <w:pStyle w:val="TableParagraph"/>
              <w:spacing w:before="8"/>
              <w:ind w:right="104"/>
              <w:rPr>
                <w:sz w:val="16"/>
              </w:rPr>
            </w:pPr>
            <w:r>
              <w:rPr>
                <w:spacing w:val="-2"/>
                <w:sz w:val="16"/>
              </w:rPr>
              <w:t>329.6</w:t>
            </w:r>
          </w:p>
        </w:tc>
      </w:tr>
      <w:tr>
        <w:trPr>
          <w:trHeight w:val="226" w:hRule="atLeast"/>
        </w:trPr>
        <w:tc>
          <w:tcPr>
            <w:tcW w:w="2461" w:type="dxa"/>
            <w:tcBorders>
              <w:bottom w:val="single" w:sz="4" w:space="0" w:color="000000"/>
            </w:tcBorders>
          </w:tcPr>
          <w:p>
            <w:pPr>
              <w:pStyle w:val="TableParagraph"/>
              <w:spacing w:before="10"/>
              <w:ind w:left="117"/>
              <w:jc w:val="left"/>
              <w:rPr>
                <w:sz w:val="16"/>
              </w:rPr>
            </w:pPr>
            <w:r>
              <w:rPr>
                <w:sz w:val="16"/>
              </w:rPr>
              <w:t>Furniture</w:t>
            </w:r>
            <w:r>
              <w:rPr>
                <w:spacing w:val="-4"/>
                <w:sz w:val="16"/>
              </w:rPr>
              <w:t> </w:t>
            </w:r>
            <w:r>
              <w:rPr>
                <w:sz w:val="16"/>
              </w:rPr>
              <w:t>and</w:t>
            </w:r>
            <w:r>
              <w:rPr>
                <w:spacing w:val="-2"/>
                <w:sz w:val="16"/>
              </w:rPr>
              <w:t> equipment</w:t>
            </w:r>
          </w:p>
        </w:tc>
        <w:tc>
          <w:tcPr>
            <w:tcW w:w="1204" w:type="dxa"/>
            <w:tcBorders>
              <w:bottom w:val="single" w:sz="4" w:space="0" w:color="000000"/>
            </w:tcBorders>
          </w:tcPr>
          <w:p>
            <w:pPr>
              <w:pStyle w:val="TableParagraph"/>
              <w:spacing w:before="10"/>
              <w:ind w:right="191"/>
              <w:rPr>
                <w:sz w:val="16"/>
              </w:rPr>
            </w:pPr>
            <w:r>
              <w:rPr>
                <w:spacing w:val="-2"/>
                <w:sz w:val="16"/>
              </w:rPr>
              <w:t>420.4</w:t>
            </w:r>
          </w:p>
        </w:tc>
        <w:tc>
          <w:tcPr>
            <w:tcW w:w="891" w:type="dxa"/>
            <w:tcBorders>
              <w:bottom w:val="single" w:sz="4" w:space="0" w:color="000000"/>
            </w:tcBorders>
          </w:tcPr>
          <w:p>
            <w:pPr>
              <w:pStyle w:val="TableParagraph"/>
              <w:spacing w:before="10"/>
              <w:ind w:right="167"/>
              <w:rPr>
                <w:sz w:val="16"/>
              </w:rPr>
            </w:pPr>
            <w:r>
              <w:rPr>
                <w:w w:val="98"/>
                <w:sz w:val="16"/>
              </w:rPr>
              <w:t>-</w:t>
            </w:r>
          </w:p>
        </w:tc>
        <w:tc>
          <w:tcPr>
            <w:tcW w:w="1056" w:type="dxa"/>
            <w:tcBorders>
              <w:bottom w:val="single" w:sz="4" w:space="0" w:color="000000"/>
            </w:tcBorders>
          </w:tcPr>
          <w:p>
            <w:pPr>
              <w:pStyle w:val="TableParagraph"/>
              <w:spacing w:before="10"/>
              <w:ind w:right="103"/>
              <w:rPr>
                <w:sz w:val="16"/>
              </w:rPr>
            </w:pPr>
            <w:r>
              <w:rPr>
                <w:spacing w:val="-2"/>
                <w:sz w:val="16"/>
              </w:rPr>
              <w:t>420.4</w:t>
            </w:r>
          </w:p>
        </w:tc>
        <w:tc>
          <w:tcPr>
            <w:tcW w:w="1060" w:type="dxa"/>
            <w:tcBorders>
              <w:bottom w:val="single" w:sz="4" w:space="0" w:color="000000"/>
            </w:tcBorders>
          </w:tcPr>
          <w:p>
            <w:pPr>
              <w:pStyle w:val="TableParagraph"/>
              <w:spacing w:before="10"/>
              <w:ind w:right="53"/>
              <w:rPr>
                <w:sz w:val="16"/>
              </w:rPr>
            </w:pPr>
            <w:r>
              <w:rPr>
                <w:spacing w:val="-2"/>
                <w:sz w:val="16"/>
              </w:rPr>
              <w:t>510.5</w:t>
            </w:r>
          </w:p>
        </w:tc>
        <w:tc>
          <w:tcPr>
            <w:tcW w:w="1181" w:type="dxa"/>
            <w:tcBorders>
              <w:bottom w:val="single" w:sz="4" w:space="0" w:color="000000"/>
            </w:tcBorders>
          </w:tcPr>
          <w:p>
            <w:pPr>
              <w:pStyle w:val="TableParagraph"/>
              <w:spacing w:before="10"/>
              <w:ind w:right="216"/>
              <w:rPr>
                <w:sz w:val="16"/>
              </w:rPr>
            </w:pPr>
            <w:r>
              <w:rPr>
                <w:spacing w:val="-2"/>
                <w:sz w:val="16"/>
              </w:rPr>
              <w:t>819.5</w:t>
            </w:r>
          </w:p>
        </w:tc>
        <w:tc>
          <w:tcPr>
            <w:tcW w:w="759" w:type="dxa"/>
            <w:tcBorders>
              <w:bottom w:val="single" w:sz="4" w:space="0" w:color="000000"/>
            </w:tcBorders>
          </w:tcPr>
          <w:p>
            <w:pPr>
              <w:pStyle w:val="TableParagraph"/>
              <w:spacing w:before="10"/>
              <w:ind w:right="183"/>
              <w:rPr>
                <w:sz w:val="16"/>
              </w:rPr>
            </w:pPr>
            <w:r>
              <w:rPr>
                <w:spacing w:val="-2"/>
                <w:sz w:val="16"/>
              </w:rPr>
              <w:t>160.5</w:t>
            </w:r>
          </w:p>
        </w:tc>
        <w:tc>
          <w:tcPr>
            <w:tcW w:w="1040" w:type="dxa"/>
            <w:tcBorders>
              <w:bottom w:val="single" w:sz="4" w:space="0" w:color="000000"/>
            </w:tcBorders>
          </w:tcPr>
          <w:p>
            <w:pPr>
              <w:pStyle w:val="TableParagraph"/>
              <w:spacing w:before="10"/>
              <w:ind w:right="104"/>
              <w:rPr>
                <w:sz w:val="16"/>
              </w:rPr>
            </w:pPr>
            <w:r>
              <w:rPr>
                <w:spacing w:val="-2"/>
                <w:sz w:val="16"/>
              </w:rPr>
              <w:t>1,330.0</w:t>
            </w:r>
          </w:p>
        </w:tc>
      </w:tr>
      <w:tr>
        <w:trPr>
          <w:trHeight w:val="225" w:hRule="atLeast"/>
        </w:trPr>
        <w:tc>
          <w:tcPr>
            <w:tcW w:w="2461" w:type="dxa"/>
            <w:tcBorders>
              <w:top w:val="single" w:sz="4" w:space="0" w:color="000000"/>
              <w:bottom w:val="single" w:sz="4" w:space="0" w:color="000000"/>
            </w:tcBorders>
          </w:tcPr>
          <w:p>
            <w:pPr>
              <w:pStyle w:val="TableParagraph"/>
              <w:spacing w:before="9"/>
              <w:ind w:right="103"/>
              <w:rPr>
                <w:i/>
                <w:sz w:val="16"/>
              </w:rPr>
            </w:pPr>
            <w:r>
              <w:rPr>
                <w:i/>
                <w:w w:val="95"/>
                <w:sz w:val="16"/>
              </w:rPr>
              <w:t>Subtotal</w:t>
            </w:r>
            <w:r>
              <w:rPr>
                <w:i/>
                <w:spacing w:val="40"/>
                <w:sz w:val="16"/>
              </w:rPr>
              <w:t> </w:t>
            </w:r>
            <w:r>
              <w:rPr>
                <w:i/>
                <w:w w:val="95"/>
                <w:sz w:val="16"/>
              </w:rPr>
              <w:t>non-</w:t>
            </w:r>
            <w:r>
              <w:rPr>
                <w:i/>
                <w:spacing w:val="-4"/>
                <w:w w:val="95"/>
                <w:sz w:val="16"/>
              </w:rPr>
              <w:t>staff</w:t>
            </w:r>
          </w:p>
        </w:tc>
        <w:tc>
          <w:tcPr>
            <w:tcW w:w="1204" w:type="dxa"/>
            <w:tcBorders>
              <w:top w:val="single" w:sz="4" w:space="0" w:color="000000"/>
              <w:bottom w:val="single" w:sz="4" w:space="0" w:color="000000"/>
            </w:tcBorders>
          </w:tcPr>
          <w:p>
            <w:pPr>
              <w:pStyle w:val="TableParagraph"/>
              <w:spacing w:before="9"/>
              <w:ind w:right="192"/>
              <w:rPr>
                <w:i/>
                <w:sz w:val="16"/>
              </w:rPr>
            </w:pPr>
            <w:r>
              <w:rPr>
                <w:i/>
                <w:spacing w:val="-2"/>
                <w:sz w:val="16"/>
              </w:rPr>
              <w:t>14,237.6</w:t>
            </w:r>
          </w:p>
        </w:tc>
        <w:tc>
          <w:tcPr>
            <w:tcW w:w="891" w:type="dxa"/>
            <w:tcBorders>
              <w:top w:val="single" w:sz="4" w:space="0" w:color="000000"/>
              <w:bottom w:val="single" w:sz="4" w:space="0" w:color="000000"/>
            </w:tcBorders>
          </w:tcPr>
          <w:p>
            <w:pPr>
              <w:pStyle w:val="TableParagraph"/>
              <w:spacing w:before="9"/>
              <w:ind w:right="166"/>
              <w:rPr>
                <w:i/>
                <w:sz w:val="16"/>
              </w:rPr>
            </w:pPr>
            <w:r>
              <w:rPr>
                <w:i/>
                <w:spacing w:val="-2"/>
                <w:sz w:val="16"/>
              </w:rPr>
              <w:t>1,243.9</w:t>
            </w:r>
          </w:p>
        </w:tc>
        <w:tc>
          <w:tcPr>
            <w:tcW w:w="1056" w:type="dxa"/>
            <w:tcBorders>
              <w:top w:val="single" w:sz="4" w:space="0" w:color="000000"/>
              <w:bottom w:val="single" w:sz="4" w:space="0" w:color="000000"/>
            </w:tcBorders>
          </w:tcPr>
          <w:p>
            <w:pPr>
              <w:pStyle w:val="TableParagraph"/>
              <w:spacing w:before="9"/>
              <w:ind w:right="103"/>
              <w:rPr>
                <w:i/>
                <w:sz w:val="16"/>
              </w:rPr>
            </w:pPr>
            <w:r>
              <w:rPr>
                <w:i/>
                <w:spacing w:val="-2"/>
                <w:sz w:val="16"/>
              </w:rPr>
              <w:t>15,481.5</w:t>
            </w:r>
          </w:p>
        </w:tc>
        <w:tc>
          <w:tcPr>
            <w:tcW w:w="1060" w:type="dxa"/>
            <w:tcBorders>
              <w:top w:val="single" w:sz="4" w:space="0" w:color="000000"/>
              <w:bottom w:val="single" w:sz="4" w:space="0" w:color="000000"/>
            </w:tcBorders>
          </w:tcPr>
          <w:p>
            <w:pPr>
              <w:pStyle w:val="TableParagraph"/>
              <w:spacing w:before="9"/>
              <w:ind w:right="54"/>
              <w:rPr>
                <w:i/>
                <w:sz w:val="16"/>
              </w:rPr>
            </w:pPr>
            <w:r>
              <w:rPr>
                <w:i/>
                <w:spacing w:val="-2"/>
                <w:sz w:val="16"/>
              </w:rPr>
              <w:t>15,459.5</w:t>
            </w:r>
          </w:p>
        </w:tc>
        <w:tc>
          <w:tcPr>
            <w:tcW w:w="1181" w:type="dxa"/>
            <w:tcBorders>
              <w:top w:val="single" w:sz="4" w:space="0" w:color="000000"/>
              <w:bottom w:val="single" w:sz="4" w:space="0" w:color="000000"/>
            </w:tcBorders>
          </w:tcPr>
          <w:p>
            <w:pPr>
              <w:pStyle w:val="TableParagraph"/>
              <w:spacing w:before="9"/>
              <w:ind w:right="216"/>
              <w:rPr>
                <w:i/>
                <w:sz w:val="16"/>
              </w:rPr>
            </w:pPr>
            <w:r>
              <w:rPr>
                <w:i/>
                <w:spacing w:val="-2"/>
                <w:sz w:val="16"/>
              </w:rPr>
              <w:t>1,849.9</w:t>
            </w:r>
          </w:p>
        </w:tc>
        <w:tc>
          <w:tcPr>
            <w:tcW w:w="759" w:type="dxa"/>
            <w:tcBorders>
              <w:top w:val="single" w:sz="4" w:space="0" w:color="000000"/>
              <w:bottom w:val="single" w:sz="4" w:space="0" w:color="000000"/>
            </w:tcBorders>
          </w:tcPr>
          <w:p>
            <w:pPr>
              <w:pStyle w:val="TableParagraph"/>
              <w:spacing w:before="9"/>
              <w:ind w:right="183"/>
              <w:rPr>
                <w:i/>
                <w:sz w:val="16"/>
              </w:rPr>
            </w:pPr>
            <w:r>
              <w:rPr>
                <w:i/>
                <w:spacing w:val="-4"/>
                <w:sz w:val="16"/>
              </w:rPr>
              <w:t>12.0</w:t>
            </w:r>
          </w:p>
        </w:tc>
        <w:tc>
          <w:tcPr>
            <w:tcW w:w="1040" w:type="dxa"/>
            <w:tcBorders>
              <w:top w:val="single" w:sz="4" w:space="0" w:color="000000"/>
              <w:bottom w:val="single" w:sz="4" w:space="0" w:color="000000"/>
            </w:tcBorders>
          </w:tcPr>
          <w:p>
            <w:pPr>
              <w:pStyle w:val="TableParagraph"/>
              <w:spacing w:before="9"/>
              <w:ind w:right="104"/>
              <w:rPr>
                <w:i/>
                <w:sz w:val="16"/>
              </w:rPr>
            </w:pPr>
            <w:r>
              <w:rPr>
                <w:i/>
                <w:spacing w:val="-2"/>
                <w:sz w:val="16"/>
              </w:rPr>
              <w:t>17,309.4</w:t>
            </w:r>
          </w:p>
        </w:tc>
      </w:tr>
      <w:tr>
        <w:trPr>
          <w:trHeight w:val="229" w:hRule="atLeast"/>
        </w:trPr>
        <w:tc>
          <w:tcPr>
            <w:tcW w:w="2461" w:type="dxa"/>
            <w:tcBorders>
              <w:top w:val="single" w:sz="4" w:space="0" w:color="000000"/>
              <w:bottom w:val="single" w:sz="12" w:space="0" w:color="000000"/>
            </w:tcBorders>
          </w:tcPr>
          <w:p>
            <w:pPr>
              <w:pStyle w:val="TableParagraph"/>
              <w:spacing w:before="9"/>
              <w:ind w:left="117"/>
              <w:jc w:val="left"/>
              <w:rPr>
                <w:b/>
                <w:sz w:val="16"/>
              </w:rPr>
            </w:pPr>
            <w:r>
              <w:rPr>
                <w:b/>
                <w:spacing w:val="-2"/>
                <w:sz w:val="16"/>
              </w:rPr>
              <w:t>Total</w:t>
            </w:r>
          </w:p>
        </w:tc>
        <w:tc>
          <w:tcPr>
            <w:tcW w:w="1204" w:type="dxa"/>
            <w:tcBorders>
              <w:top w:val="single" w:sz="4" w:space="0" w:color="000000"/>
              <w:bottom w:val="single" w:sz="12" w:space="0" w:color="000000"/>
            </w:tcBorders>
          </w:tcPr>
          <w:p>
            <w:pPr>
              <w:pStyle w:val="TableParagraph"/>
              <w:spacing w:before="9"/>
              <w:ind w:right="192"/>
              <w:rPr>
                <w:b/>
                <w:sz w:val="16"/>
              </w:rPr>
            </w:pPr>
            <w:r>
              <w:rPr>
                <w:b/>
                <w:spacing w:val="-2"/>
                <w:sz w:val="16"/>
              </w:rPr>
              <w:t>35,353.8</w:t>
            </w:r>
          </w:p>
        </w:tc>
        <w:tc>
          <w:tcPr>
            <w:tcW w:w="891" w:type="dxa"/>
            <w:tcBorders>
              <w:top w:val="single" w:sz="4" w:space="0" w:color="000000"/>
              <w:bottom w:val="single" w:sz="12" w:space="0" w:color="000000"/>
            </w:tcBorders>
          </w:tcPr>
          <w:p>
            <w:pPr>
              <w:pStyle w:val="TableParagraph"/>
              <w:spacing w:before="9"/>
              <w:ind w:right="166"/>
              <w:rPr>
                <w:b/>
                <w:sz w:val="16"/>
              </w:rPr>
            </w:pPr>
            <w:r>
              <w:rPr>
                <w:b/>
                <w:spacing w:val="-2"/>
                <w:sz w:val="16"/>
              </w:rPr>
              <w:t>1,266.4</w:t>
            </w:r>
          </w:p>
        </w:tc>
        <w:tc>
          <w:tcPr>
            <w:tcW w:w="1056" w:type="dxa"/>
            <w:tcBorders>
              <w:top w:val="single" w:sz="4" w:space="0" w:color="000000"/>
              <w:bottom w:val="single" w:sz="12" w:space="0" w:color="000000"/>
            </w:tcBorders>
          </w:tcPr>
          <w:p>
            <w:pPr>
              <w:pStyle w:val="TableParagraph"/>
              <w:spacing w:before="9"/>
              <w:ind w:right="103"/>
              <w:rPr>
                <w:b/>
                <w:sz w:val="16"/>
              </w:rPr>
            </w:pPr>
            <w:r>
              <w:rPr>
                <w:b/>
                <w:spacing w:val="-2"/>
                <w:sz w:val="16"/>
              </w:rPr>
              <w:t>36,620.2</w:t>
            </w:r>
          </w:p>
        </w:tc>
        <w:tc>
          <w:tcPr>
            <w:tcW w:w="1060" w:type="dxa"/>
            <w:tcBorders>
              <w:top w:val="single" w:sz="4" w:space="0" w:color="000000"/>
              <w:bottom w:val="single" w:sz="12" w:space="0" w:color="000000"/>
            </w:tcBorders>
          </w:tcPr>
          <w:p>
            <w:pPr>
              <w:pStyle w:val="TableParagraph"/>
              <w:spacing w:before="9"/>
              <w:ind w:right="54"/>
              <w:rPr>
                <w:b/>
                <w:sz w:val="16"/>
              </w:rPr>
            </w:pPr>
            <w:r>
              <w:rPr>
                <w:b/>
                <w:spacing w:val="-2"/>
                <w:sz w:val="16"/>
              </w:rPr>
              <w:t>37,351.3</w:t>
            </w:r>
          </w:p>
        </w:tc>
        <w:tc>
          <w:tcPr>
            <w:tcW w:w="1181" w:type="dxa"/>
            <w:tcBorders>
              <w:top w:val="single" w:sz="4" w:space="0" w:color="000000"/>
              <w:bottom w:val="single" w:sz="12" w:space="0" w:color="000000"/>
            </w:tcBorders>
          </w:tcPr>
          <w:p>
            <w:pPr>
              <w:pStyle w:val="TableParagraph"/>
              <w:spacing w:before="9"/>
              <w:ind w:right="216"/>
              <w:rPr>
                <w:b/>
                <w:sz w:val="16"/>
              </w:rPr>
            </w:pPr>
            <w:r>
              <w:rPr>
                <w:b/>
                <w:spacing w:val="-2"/>
                <w:sz w:val="16"/>
              </w:rPr>
              <w:t>5,311.8</w:t>
            </w:r>
          </w:p>
        </w:tc>
        <w:tc>
          <w:tcPr>
            <w:tcW w:w="759" w:type="dxa"/>
            <w:tcBorders>
              <w:top w:val="single" w:sz="4" w:space="0" w:color="000000"/>
              <w:bottom w:val="single" w:sz="12" w:space="0" w:color="000000"/>
            </w:tcBorders>
          </w:tcPr>
          <w:p>
            <w:pPr>
              <w:pStyle w:val="TableParagraph"/>
              <w:spacing w:before="9"/>
              <w:ind w:right="183"/>
              <w:rPr>
                <w:b/>
                <w:sz w:val="16"/>
              </w:rPr>
            </w:pPr>
            <w:r>
              <w:rPr>
                <w:b/>
                <w:spacing w:val="-4"/>
                <w:sz w:val="16"/>
              </w:rPr>
              <w:t>14.2</w:t>
            </w:r>
          </w:p>
        </w:tc>
        <w:tc>
          <w:tcPr>
            <w:tcW w:w="1040" w:type="dxa"/>
            <w:tcBorders>
              <w:top w:val="single" w:sz="4" w:space="0" w:color="000000"/>
              <w:bottom w:val="single" w:sz="12" w:space="0" w:color="000000"/>
            </w:tcBorders>
          </w:tcPr>
          <w:p>
            <w:pPr>
              <w:pStyle w:val="TableParagraph"/>
              <w:spacing w:before="9"/>
              <w:ind w:right="104"/>
              <w:rPr>
                <w:b/>
                <w:sz w:val="16"/>
              </w:rPr>
            </w:pPr>
            <w:r>
              <w:rPr>
                <w:b/>
                <w:spacing w:val="-2"/>
                <w:sz w:val="16"/>
              </w:rPr>
              <w:t>42,663.1</w:t>
            </w:r>
          </w:p>
        </w:tc>
      </w:tr>
    </w:tbl>
    <w:p>
      <w:pPr>
        <w:pStyle w:val="BodyText"/>
        <w:spacing w:before="5"/>
        <w:rPr>
          <w:b/>
          <w:sz w:val="21"/>
        </w:rPr>
      </w:pPr>
    </w:p>
    <w:p>
      <w:pPr>
        <w:spacing w:before="0"/>
        <w:ind w:left="2246" w:right="0" w:firstLine="0"/>
        <w:jc w:val="left"/>
        <w:rPr>
          <w:b/>
          <w:sz w:val="20"/>
        </w:rPr>
      </w:pPr>
      <w:r>
        <w:rPr>
          <w:b/>
          <w:sz w:val="20"/>
        </w:rPr>
        <w:t>Table</w:t>
      </w:r>
      <w:r>
        <w:rPr>
          <w:b/>
          <w:spacing w:val="-6"/>
          <w:sz w:val="20"/>
        </w:rPr>
        <w:t> </w:t>
      </w:r>
      <w:r>
        <w:rPr>
          <w:b/>
          <w:sz w:val="20"/>
        </w:rPr>
        <w:t>29:</w:t>
      </w:r>
      <w:r>
        <w:rPr>
          <w:b/>
          <w:spacing w:val="-7"/>
          <w:sz w:val="20"/>
        </w:rPr>
        <w:t> </w:t>
      </w:r>
      <w:r>
        <w:rPr>
          <w:b/>
          <w:sz w:val="20"/>
        </w:rPr>
        <w:t>Programme</w:t>
      </w:r>
      <w:r>
        <w:rPr>
          <w:b/>
          <w:spacing w:val="-6"/>
          <w:sz w:val="20"/>
        </w:rPr>
        <w:t> </w:t>
      </w:r>
      <w:r>
        <w:rPr>
          <w:b/>
          <w:sz w:val="20"/>
        </w:rPr>
        <w:t>3300:</w:t>
      </w:r>
      <w:r>
        <w:rPr>
          <w:b/>
          <w:spacing w:val="-7"/>
          <w:sz w:val="20"/>
        </w:rPr>
        <w:t> </w:t>
      </w:r>
      <w:r>
        <w:rPr>
          <w:b/>
          <w:sz w:val="20"/>
        </w:rPr>
        <w:t>Proposed</w:t>
      </w:r>
      <w:r>
        <w:rPr>
          <w:b/>
          <w:spacing w:val="-8"/>
          <w:sz w:val="20"/>
        </w:rPr>
        <w:t> </w:t>
      </w:r>
      <w:r>
        <w:rPr>
          <w:b/>
          <w:sz w:val="20"/>
        </w:rPr>
        <w:t>staffing</w:t>
      </w:r>
      <w:r>
        <w:rPr>
          <w:b/>
          <w:spacing w:val="-3"/>
          <w:sz w:val="20"/>
        </w:rPr>
        <w:t> </w:t>
      </w:r>
      <w:r>
        <w:rPr>
          <w:b/>
          <w:sz w:val="20"/>
        </w:rPr>
        <w:t>for</w:t>
      </w:r>
      <w:r>
        <w:rPr>
          <w:b/>
          <w:spacing w:val="-5"/>
          <w:sz w:val="20"/>
        </w:rPr>
        <w:t> </w:t>
      </w:r>
      <w:r>
        <w:rPr>
          <w:b/>
          <w:spacing w:val="-4"/>
          <w:sz w:val="20"/>
        </w:rPr>
        <w:t>2023</w:t>
      </w:r>
    </w:p>
    <w:tbl>
      <w:tblPr>
        <w:tblW w:w="0" w:type="auto"/>
        <w:jc w:val="left"/>
        <w:tblInd w:w="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6"/>
        <w:gridCol w:w="678"/>
        <w:gridCol w:w="607"/>
        <w:gridCol w:w="563"/>
        <w:gridCol w:w="581"/>
        <w:gridCol w:w="557"/>
        <w:gridCol w:w="593"/>
        <w:gridCol w:w="621"/>
        <w:gridCol w:w="667"/>
        <w:gridCol w:w="534"/>
        <w:gridCol w:w="794"/>
        <w:gridCol w:w="568"/>
        <w:gridCol w:w="580"/>
        <w:gridCol w:w="564"/>
        <w:gridCol w:w="813"/>
        <w:gridCol w:w="524"/>
      </w:tblGrid>
      <w:tr>
        <w:trPr>
          <w:trHeight w:val="484" w:hRule="atLeast"/>
        </w:trPr>
        <w:tc>
          <w:tcPr>
            <w:tcW w:w="1186"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left="67"/>
              <w:jc w:val="left"/>
              <w:rPr>
                <w:sz w:val="14"/>
              </w:rPr>
            </w:pPr>
            <w:r>
              <w:rPr>
                <w:spacing w:val="-4"/>
                <w:sz w:val="14"/>
              </w:rPr>
              <w:t>3300</w:t>
            </w:r>
          </w:p>
        </w:tc>
        <w:tc>
          <w:tcPr>
            <w:tcW w:w="678"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152"/>
              <w:rPr>
                <w:sz w:val="14"/>
              </w:rPr>
            </w:pPr>
            <w:r>
              <w:rPr>
                <w:spacing w:val="-5"/>
                <w:sz w:val="14"/>
              </w:rPr>
              <w:t>USG</w:t>
            </w:r>
          </w:p>
        </w:tc>
        <w:tc>
          <w:tcPr>
            <w:tcW w:w="607"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169"/>
              <w:rPr>
                <w:sz w:val="14"/>
              </w:rPr>
            </w:pPr>
            <w:r>
              <w:rPr>
                <w:spacing w:val="-5"/>
                <w:sz w:val="14"/>
              </w:rPr>
              <w:t>ASG</w:t>
            </w:r>
          </w:p>
        </w:tc>
        <w:tc>
          <w:tcPr>
            <w:tcW w:w="563"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167"/>
              <w:rPr>
                <w:sz w:val="14"/>
              </w:rPr>
            </w:pPr>
            <w:r>
              <w:rPr>
                <w:w w:val="95"/>
                <w:sz w:val="14"/>
              </w:rPr>
              <w:t>D-</w:t>
            </w:r>
            <w:r>
              <w:rPr>
                <w:spacing w:val="-10"/>
                <w:sz w:val="14"/>
              </w:rPr>
              <w:t>2</w:t>
            </w:r>
          </w:p>
        </w:tc>
        <w:tc>
          <w:tcPr>
            <w:tcW w:w="581"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187"/>
              <w:rPr>
                <w:sz w:val="14"/>
              </w:rPr>
            </w:pPr>
            <w:r>
              <w:rPr>
                <w:w w:val="95"/>
                <w:sz w:val="14"/>
              </w:rPr>
              <w:t>D-</w:t>
            </w:r>
            <w:r>
              <w:rPr>
                <w:spacing w:val="-10"/>
                <w:sz w:val="14"/>
              </w:rPr>
              <w:t>1</w:t>
            </w:r>
          </w:p>
        </w:tc>
        <w:tc>
          <w:tcPr>
            <w:tcW w:w="557"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167"/>
              <w:rPr>
                <w:sz w:val="14"/>
              </w:rPr>
            </w:pPr>
            <w:r>
              <w:rPr>
                <w:w w:val="95"/>
                <w:sz w:val="14"/>
              </w:rPr>
              <w:t>P-</w:t>
            </w:r>
            <w:r>
              <w:rPr>
                <w:spacing w:val="-10"/>
                <w:sz w:val="14"/>
              </w:rPr>
              <w:t>5</w:t>
            </w:r>
          </w:p>
        </w:tc>
        <w:tc>
          <w:tcPr>
            <w:tcW w:w="593"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175"/>
              <w:rPr>
                <w:sz w:val="14"/>
              </w:rPr>
            </w:pPr>
            <w:r>
              <w:rPr>
                <w:w w:val="95"/>
                <w:sz w:val="14"/>
              </w:rPr>
              <w:t>P-</w:t>
            </w:r>
            <w:r>
              <w:rPr>
                <w:spacing w:val="-10"/>
                <w:sz w:val="14"/>
              </w:rPr>
              <w:t>4</w:t>
            </w:r>
          </w:p>
        </w:tc>
        <w:tc>
          <w:tcPr>
            <w:tcW w:w="621"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200"/>
              <w:rPr>
                <w:sz w:val="14"/>
              </w:rPr>
            </w:pPr>
            <w:r>
              <w:rPr>
                <w:w w:val="95"/>
                <w:sz w:val="14"/>
              </w:rPr>
              <w:t>P-</w:t>
            </w:r>
            <w:r>
              <w:rPr>
                <w:spacing w:val="-10"/>
                <w:sz w:val="14"/>
              </w:rPr>
              <w:t>3</w:t>
            </w:r>
          </w:p>
        </w:tc>
        <w:tc>
          <w:tcPr>
            <w:tcW w:w="667"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127"/>
              <w:rPr>
                <w:sz w:val="14"/>
              </w:rPr>
            </w:pPr>
            <w:r>
              <w:rPr>
                <w:w w:val="95"/>
                <w:sz w:val="14"/>
              </w:rPr>
              <w:t>P-</w:t>
            </w:r>
            <w:r>
              <w:rPr>
                <w:spacing w:val="-10"/>
                <w:sz w:val="14"/>
              </w:rPr>
              <w:t>2</w:t>
            </w:r>
          </w:p>
        </w:tc>
        <w:tc>
          <w:tcPr>
            <w:tcW w:w="534"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66"/>
              <w:rPr>
                <w:sz w:val="14"/>
              </w:rPr>
            </w:pPr>
            <w:r>
              <w:rPr>
                <w:w w:val="95"/>
                <w:sz w:val="14"/>
              </w:rPr>
              <w:t>P-</w:t>
            </w:r>
            <w:r>
              <w:rPr>
                <w:spacing w:val="-10"/>
                <w:sz w:val="14"/>
              </w:rPr>
              <w:t>1</w:t>
            </w:r>
          </w:p>
        </w:tc>
        <w:tc>
          <w:tcPr>
            <w:tcW w:w="794" w:type="dxa"/>
            <w:tcBorders>
              <w:top w:val="single" w:sz="4" w:space="0" w:color="000000"/>
              <w:bottom w:val="single" w:sz="4" w:space="0" w:color="000000"/>
            </w:tcBorders>
          </w:tcPr>
          <w:p>
            <w:pPr>
              <w:pStyle w:val="TableParagraph"/>
              <w:spacing w:line="155" w:lineRule="exact"/>
              <w:ind w:left="274" w:firstLine="96"/>
              <w:jc w:val="left"/>
              <w:rPr>
                <w:i/>
                <w:sz w:val="14"/>
              </w:rPr>
            </w:pPr>
            <w:r>
              <w:rPr>
                <w:i/>
                <w:spacing w:val="-2"/>
                <w:sz w:val="14"/>
              </w:rPr>
              <w:t>Total</w:t>
            </w:r>
          </w:p>
          <w:p>
            <w:pPr>
              <w:pStyle w:val="TableParagraph"/>
              <w:spacing w:line="158" w:lineRule="exact"/>
              <w:ind w:left="72" w:right="116" w:firstLine="201"/>
              <w:jc w:val="left"/>
              <w:rPr>
                <w:i/>
                <w:sz w:val="14"/>
              </w:rPr>
            </w:pPr>
            <w:r>
              <w:rPr>
                <w:i/>
                <w:spacing w:val="-2"/>
                <w:sz w:val="14"/>
              </w:rPr>
              <w:t>P-Staff</w:t>
            </w:r>
            <w:r>
              <w:rPr>
                <w:i/>
                <w:spacing w:val="40"/>
                <w:sz w:val="14"/>
              </w:rPr>
              <w:t> </w:t>
            </w:r>
            <w:r>
              <w:rPr>
                <w:i/>
                <w:sz w:val="14"/>
              </w:rPr>
              <w:t>and</w:t>
            </w:r>
            <w:r>
              <w:rPr>
                <w:i/>
                <w:spacing w:val="1"/>
                <w:sz w:val="14"/>
              </w:rPr>
              <w:t> </w:t>
            </w:r>
            <w:r>
              <w:rPr>
                <w:i/>
                <w:spacing w:val="-2"/>
                <w:sz w:val="14"/>
              </w:rPr>
              <w:t>Above</w:t>
            </w:r>
          </w:p>
        </w:tc>
        <w:tc>
          <w:tcPr>
            <w:tcW w:w="568"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94"/>
              <w:rPr>
                <w:sz w:val="14"/>
              </w:rPr>
            </w:pPr>
            <w:r>
              <w:rPr>
                <w:w w:val="95"/>
                <w:sz w:val="14"/>
              </w:rPr>
              <w:t>NO-</w:t>
            </w:r>
            <w:r>
              <w:rPr>
                <w:spacing w:val="-10"/>
                <w:sz w:val="14"/>
              </w:rPr>
              <w:t>C</w:t>
            </w:r>
          </w:p>
        </w:tc>
        <w:tc>
          <w:tcPr>
            <w:tcW w:w="580"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87"/>
              <w:rPr>
                <w:sz w:val="14"/>
              </w:rPr>
            </w:pPr>
            <w:r>
              <w:rPr>
                <w:w w:val="95"/>
                <w:sz w:val="14"/>
              </w:rPr>
              <w:t>GS-</w:t>
            </w:r>
            <w:r>
              <w:rPr>
                <w:spacing w:val="-5"/>
                <w:sz w:val="14"/>
              </w:rPr>
              <w:t>PL</w:t>
            </w:r>
          </w:p>
        </w:tc>
        <w:tc>
          <w:tcPr>
            <w:tcW w:w="564"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59"/>
              <w:rPr>
                <w:sz w:val="14"/>
              </w:rPr>
            </w:pPr>
            <w:r>
              <w:rPr>
                <w:w w:val="95"/>
                <w:sz w:val="14"/>
              </w:rPr>
              <w:t>GS-</w:t>
            </w:r>
            <w:r>
              <w:rPr>
                <w:spacing w:val="-5"/>
                <w:sz w:val="14"/>
              </w:rPr>
              <w:t>OL</w:t>
            </w:r>
          </w:p>
        </w:tc>
        <w:tc>
          <w:tcPr>
            <w:tcW w:w="813" w:type="dxa"/>
            <w:tcBorders>
              <w:top w:val="single" w:sz="4" w:space="0" w:color="000000"/>
              <w:bottom w:val="single" w:sz="4" w:space="0" w:color="000000"/>
            </w:tcBorders>
          </w:tcPr>
          <w:p>
            <w:pPr>
              <w:pStyle w:val="TableParagraph"/>
              <w:spacing w:line="155" w:lineRule="exact"/>
              <w:ind w:left="256" w:firstLine="124"/>
              <w:jc w:val="left"/>
              <w:rPr>
                <w:i/>
                <w:sz w:val="14"/>
              </w:rPr>
            </w:pPr>
            <w:r>
              <w:rPr>
                <w:i/>
                <w:spacing w:val="-2"/>
                <w:sz w:val="14"/>
              </w:rPr>
              <w:t>Total</w:t>
            </w:r>
          </w:p>
          <w:p>
            <w:pPr>
              <w:pStyle w:val="TableParagraph"/>
              <w:spacing w:line="158" w:lineRule="exact"/>
              <w:ind w:left="59" w:right="129" w:firstLine="197"/>
              <w:jc w:val="left"/>
              <w:rPr>
                <w:i/>
                <w:sz w:val="14"/>
              </w:rPr>
            </w:pPr>
            <w:r>
              <w:rPr>
                <w:i/>
                <w:sz w:val="14"/>
              </w:rPr>
              <w:t>GS</w:t>
            </w:r>
            <w:r>
              <w:rPr>
                <w:i/>
                <w:spacing w:val="-9"/>
                <w:sz w:val="14"/>
              </w:rPr>
              <w:t> </w:t>
            </w:r>
            <w:r>
              <w:rPr>
                <w:i/>
                <w:sz w:val="14"/>
              </w:rPr>
              <w:t>and</w:t>
            </w:r>
            <w:r>
              <w:rPr>
                <w:i/>
                <w:spacing w:val="40"/>
                <w:sz w:val="14"/>
              </w:rPr>
              <w:t> </w:t>
            </w:r>
            <w:r>
              <w:rPr>
                <w:i/>
                <w:sz w:val="14"/>
              </w:rPr>
              <w:t>Other</w:t>
            </w:r>
            <w:r>
              <w:rPr>
                <w:i/>
                <w:spacing w:val="-5"/>
                <w:sz w:val="14"/>
              </w:rPr>
              <w:t> </w:t>
            </w:r>
            <w:r>
              <w:rPr>
                <w:i/>
                <w:spacing w:val="-2"/>
                <w:sz w:val="14"/>
              </w:rPr>
              <w:t>Staff</w:t>
            </w:r>
          </w:p>
        </w:tc>
        <w:tc>
          <w:tcPr>
            <w:tcW w:w="524" w:type="dxa"/>
            <w:tcBorders>
              <w:top w:val="single" w:sz="4" w:space="0" w:color="000000"/>
              <w:bottom w:val="single" w:sz="4" w:space="0" w:color="000000"/>
            </w:tcBorders>
          </w:tcPr>
          <w:p>
            <w:pPr>
              <w:pStyle w:val="TableParagraph"/>
              <w:spacing w:before="10"/>
              <w:jc w:val="left"/>
              <w:rPr>
                <w:b/>
                <w:sz w:val="12"/>
              </w:rPr>
            </w:pPr>
          </w:p>
          <w:p>
            <w:pPr>
              <w:pStyle w:val="TableParagraph"/>
              <w:spacing w:line="158" w:lineRule="exact"/>
              <w:ind w:left="177" w:hanging="34"/>
              <w:jc w:val="left"/>
              <w:rPr>
                <w:b/>
                <w:sz w:val="14"/>
              </w:rPr>
            </w:pPr>
            <w:r>
              <w:rPr>
                <w:b/>
                <w:spacing w:val="-4"/>
                <w:sz w:val="14"/>
              </w:rPr>
              <w:t>Total</w:t>
            </w:r>
            <w:r>
              <w:rPr>
                <w:b/>
                <w:spacing w:val="40"/>
                <w:sz w:val="14"/>
              </w:rPr>
              <w:t> </w:t>
            </w:r>
            <w:r>
              <w:rPr>
                <w:b/>
                <w:spacing w:val="-4"/>
                <w:sz w:val="14"/>
              </w:rPr>
              <w:t>Staff</w:t>
            </w:r>
          </w:p>
        </w:tc>
      </w:tr>
      <w:tr>
        <w:trPr>
          <w:trHeight w:val="233" w:hRule="atLeast"/>
        </w:trPr>
        <w:tc>
          <w:tcPr>
            <w:tcW w:w="1186" w:type="dxa"/>
            <w:tcBorders>
              <w:top w:val="single" w:sz="4" w:space="0" w:color="000000"/>
            </w:tcBorders>
          </w:tcPr>
          <w:p>
            <w:pPr>
              <w:pStyle w:val="TableParagraph"/>
              <w:spacing w:before="27"/>
              <w:ind w:left="67"/>
              <w:jc w:val="left"/>
              <w:rPr>
                <w:b/>
                <w:sz w:val="14"/>
              </w:rPr>
            </w:pPr>
            <w:r>
              <w:rPr>
                <w:b/>
                <w:spacing w:val="-2"/>
                <w:sz w:val="14"/>
              </w:rPr>
              <w:t>Established</w:t>
            </w:r>
            <w:r>
              <w:rPr>
                <w:b/>
                <w:spacing w:val="11"/>
                <w:sz w:val="14"/>
              </w:rPr>
              <w:t> </w:t>
            </w:r>
            <w:r>
              <w:rPr>
                <w:b/>
                <w:spacing w:val="-2"/>
                <w:sz w:val="14"/>
              </w:rPr>
              <w:t>Posts</w:t>
            </w:r>
          </w:p>
        </w:tc>
        <w:tc>
          <w:tcPr>
            <w:tcW w:w="678" w:type="dxa"/>
            <w:tcBorders>
              <w:top w:val="single" w:sz="4" w:space="0" w:color="000000"/>
            </w:tcBorders>
          </w:tcPr>
          <w:p>
            <w:pPr>
              <w:pStyle w:val="TableParagraph"/>
              <w:jc w:val="left"/>
              <w:rPr>
                <w:sz w:val="14"/>
              </w:rPr>
            </w:pPr>
          </w:p>
        </w:tc>
        <w:tc>
          <w:tcPr>
            <w:tcW w:w="607" w:type="dxa"/>
            <w:tcBorders>
              <w:top w:val="single" w:sz="4" w:space="0" w:color="000000"/>
            </w:tcBorders>
          </w:tcPr>
          <w:p>
            <w:pPr>
              <w:pStyle w:val="TableParagraph"/>
              <w:jc w:val="left"/>
              <w:rPr>
                <w:sz w:val="14"/>
              </w:rPr>
            </w:pPr>
          </w:p>
        </w:tc>
        <w:tc>
          <w:tcPr>
            <w:tcW w:w="563" w:type="dxa"/>
            <w:tcBorders>
              <w:top w:val="single" w:sz="4" w:space="0" w:color="000000"/>
            </w:tcBorders>
          </w:tcPr>
          <w:p>
            <w:pPr>
              <w:pStyle w:val="TableParagraph"/>
              <w:jc w:val="left"/>
              <w:rPr>
                <w:sz w:val="14"/>
              </w:rPr>
            </w:pPr>
          </w:p>
        </w:tc>
        <w:tc>
          <w:tcPr>
            <w:tcW w:w="581" w:type="dxa"/>
            <w:tcBorders>
              <w:top w:val="single" w:sz="4" w:space="0" w:color="000000"/>
            </w:tcBorders>
          </w:tcPr>
          <w:p>
            <w:pPr>
              <w:pStyle w:val="TableParagraph"/>
              <w:jc w:val="left"/>
              <w:rPr>
                <w:sz w:val="14"/>
              </w:rPr>
            </w:pPr>
          </w:p>
        </w:tc>
        <w:tc>
          <w:tcPr>
            <w:tcW w:w="557" w:type="dxa"/>
            <w:tcBorders>
              <w:top w:val="single" w:sz="4" w:space="0" w:color="000000"/>
            </w:tcBorders>
          </w:tcPr>
          <w:p>
            <w:pPr>
              <w:pStyle w:val="TableParagraph"/>
              <w:jc w:val="left"/>
              <w:rPr>
                <w:sz w:val="14"/>
              </w:rPr>
            </w:pPr>
          </w:p>
        </w:tc>
        <w:tc>
          <w:tcPr>
            <w:tcW w:w="593" w:type="dxa"/>
            <w:tcBorders>
              <w:top w:val="single" w:sz="4" w:space="0" w:color="000000"/>
            </w:tcBorders>
          </w:tcPr>
          <w:p>
            <w:pPr>
              <w:pStyle w:val="TableParagraph"/>
              <w:jc w:val="left"/>
              <w:rPr>
                <w:sz w:val="14"/>
              </w:rPr>
            </w:pPr>
          </w:p>
        </w:tc>
        <w:tc>
          <w:tcPr>
            <w:tcW w:w="621" w:type="dxa"/>
            <w:tcBorders>
              <w:top w:val="single" w:sz="4" w:space="0" w:color="000000"/>
            </w:tcBorders>
          </w:tcPr>
          <w:p>
            <w:pPr>
              <w:pStyle w:val="TableParagraph"/>
              <w:jc w:val="left"/>
              <w:rPr>
                <w:sz w:val="14"/>
              </w:rPr>
            </w:pPr>
          </w:p>
        </w:tc>
        <w:tc>
          <w:tcPr>
            <w:tcW w:w="667" w:type="dxa"/>
            <w:tcBorders>
              <w:top w:val="single" w:sz="4" w:space="0" w:color="000000"/>
            </w:tcBorders>
          </w:tcPr>
          <w:p>
            <w:pPr>
              <w:pStyle w:val="TableParagraph"/>
              <w:jc w:val="left"/>
              <w:rPr>
                <w:sz w:val="14"/>
              </w:rPr>
            </w:pPr>
          </w:p>
        </w:tc>
        <w:tc>
          <w:tcPr>
            <w:tcW w:w="534" w:type="dxa"/>
            <w:tcBorders>
              <w:top w:val="single" w:sz="4" w:space="0" w:color="000000"/>
            </w:tcBorders>
          </w:tcPr>
          <w:p>
            <w:pPr>
              <w:pStyle w:val="TableParagraph"/>
              <w:jc w:val="left"/>
              <w:rPr>
                <w:sz w:val="14"/>
              </w:rPr>
            </w:pPr>
          </w:p>
        </w:tc>
        <w:tc>
          <w:tcPr>
            <w:tcW w:w="794" w:type="dxa"/>
            <w:tcBorders>
              <w:top w:val="single" w:sz="4" w:space="0" w:color="000000"/>
            </w:tcBorders>
          </w:tcPr>
          <w:p>
            <w:pPr>
              <w:pStyle w:val="TableParagraph"/>
              <w:jc w:val="left"/>
              <w:rPr>
                <w:sz w:val="14"/>
              </w:rPr>
            </w:pPr>
          </w:p>
        </w:tc>
        <w:tc>
          <w:tcPr>
            <w:tcW w:w="568" w:type="dxa"/>
            <w:tcBorders>
              <w:top w:val="single" w:sz="4" w:space="0" w:color="000000"/>
            </w:tcBorders>
          </w:tcPr>
          <w:p>
            <w:pPr>
              <w:pStyle w:val="TableParagraph"/>
              <w:jc w:val="left"/>
              <w:rPr>
                <w:sz w:val="14"/>
              </w:rPr>
            </w:pPr>
          </w:p>
        </w:tc>
        <w:tc>
          <w:tcPr>
            <w:tcW w:w="580" w:type="dxa"/>
            <w:tcBorders>
              <w:top w:val="single" w:sz="4" w:space="0" w:color="000000"/>
            </w:tcBorders>
          </w:tcPr>
          <w:p>
            <w:pPr>
              <w:pStyle w:val="TableParagraph"/>
              <w:jc w:val="left"/>
              <w:rPr>
                <w:sz w:val="14"/>
              </w:rPr>
            </w:pPr>
          </w:p>
        </w:tc>
        <w:tc>
          <w:tcPr>
            <w:tcW w:w="564" w:type="dxa"/>
            <w:tcBorders>
              <w:top w:val="single" w:sz="4" w:space="0" w:color="000000"/>
            </w:tcBorders>
          </w:tcPr>
          <w:p>
            <w:pPr>
              <w:pStyle w:val="TableParagraph"/>
              <w:jc w:val="left"/>
              <w:rPr>
                <w:sz w:val="14"/>
              </w:rPr>
            </w:pPr>
          </w:p>
        </w:tc>
        <w:tc>
          <w:tcPr>
            <w:tcW w:w="813" w:type="dxa"/>
            <w:tcBorders>
              <w:top w:val="single" w:sz="4" w:space="0" w:color="000000"/>
            </w:tcBorders>
          </w:tcPr>
          <w:p>
            <w:pPr>
              <w:pStyle w:val="TableParagraph"/>
              <w:jc w:val="left"/>
              <w:rPr>
                <w:sz w:val="14"/>
              </w:rPr>
            </w:pPr>
          </w:p>
        </w:tc>
        <w:tc>
          <w:tcPr>
            <w:tcW w:w="524" w:type="dxa"/>
            <w:tcBorders>
              <w:top w:val="single" w:sz="4" w:space="0" w:color="000000"/>
            </w:tcBorders>
          </w:tcPr>
          <w:p>
            <w:pPr>
              <w:pStyle w:val="TableParagraph"/>
              <w:jc w:val="left"/>
              <w:rPr>
                <w:sz w:val="14"/>
              </w:rPr>
            </w:pPr>
          </w:p>
        </w:tc>
      </w:tr>
      <w:tr>
        <w:trPr>
          <w:trHeight w:val="221" w:hRule="atLeast"/>
        </w:trPr>
        <w:tc>
          <w:tcPr>
            <w:tcW w:w="1186" w:type="dxa"/>
            <w:tcBorders>
              <w:bottom w:val="single" w:sz="12" w:space="0" w:color="000000"/>
            </w:tcBorders>
          </w:tcPr>
          <w:p>
            <w:pPr>
              <w:pStyle w:val="TableParagraph"/>
              <w:spacing w:before="20"/>
              <w:ind w:left="67"/>
              <w:jc w:val="left"/>
              <w:rPr>
                <w:sz w:val="14"/>
              </w:rPr>
            </w:pPr>
            <w:r>
              <w:rPr>
                <w:w w:val="95"/>
                <w:sz w:val="14"/>
              </w:rPr>
              <w:t>Approved</w:t>
            </w:r>
            <w:r>
              <w:rPr>
                <w:spacing w:val="22"/>
                <w:sz w:val="14"/>
              </w:rPr>
              <w:t> </w:t>
            </w:r>
            <w:r>
              <w:rPr>
                <w:spacing w:val="-4"/>
                <w:sz w:val="14"/>
              </w:rPr>
              <w:t>2022</w:t>
            </w:r>
          </w:p>
        </w:tc>
        <w:tc>
          <w:tcPr>
            <w:tcW w:w="678" w:type="dxa"/>
            <w:tcBorders>
              <w:bottom w:val="single" w:sz="12" w:space="0" w:color="000000"/>
            </w:tcBorders>
          </w:tcPr>
          <w:p>
            <w:pPr>
              <w:pStyle w:val="TableParagraph"/>
              <w:spacing w:before="20"/>
              <w:ind w:right="154"/>
              <w:rPr>
                <w:sz w:val="14"/>
              </w:rPr>
            </w:pPr>
            <w:r>
              <w:rPr>
                <w:w w:val="99"/>
                <w:sz w:val="14"/>
              </w:rPr>
              <w:t>-</w:t>
            </w:r>
          </w:p>
        </w:tc>
        <w:tc>
          <w:tcPr>
            <w:tcW w:w="607" w:type="dxa"/>
            <w:tcBorders>
              <w:bottom w:val="single" w:sz="12" w:space="0" w:color="000000"/>
            </w:tcBorders>
          </w:tcPr>
          <w:p>
            <w:pPr>
              <w:pStyle w:val="TableParagraph"/>
              <w:spacing w:before="20"/>
              <w:ind w:right="170"/>
              <w:rPr>
                <w:sz w:val="14"/>
              </w:rPr>
            </w:pPr>
            <w:r>
              <w:rPr>
                <w:w w:val="99"/>
                <w:sz w:val="14"/>
              </w:rPr>
              <w:t>-</w:t>
            </w:r>
          </w:p>
        </w:tc>
        <w:tc>
          <w:tcPr>
            <w:tcW w:w="563" w:type="dxa"/>
            <w:tcBorders>
              <w:bottom w:val="single" w:sz="12" w:space="0" w:color="000000"/>
            </w:tcBorders>
          </w:tcPr>
          <w:p>
            <w:pPr>
              <w:pStyle w:val="TableParagraph"/>
              <w:spacing w:before="20"/>
              <w:ind w:right="171"/>
              <w:rPr>
                <w:sz w:val="14"/>
              </w:rPr>
            </w:pPr>
            <w:r>
              <w:rPr>
                <w:w w:val="99"/>
                <w:sz w:val="14"/>
              </w:rPr>
              <w:t>-</w:t>
            </w:r>
          </w:p>
        </w:tc>
        <w:tc>
          <w:tcPr>
            <w:tcW w:w="581" w:type="dxa"/>
            <w:tcBorders>
              <w:bottom w:val="single" w:sz="12" w:space="0" w:color="000000"/>
            </w:tcBorders>
          </w:tcPr>
          <w:p>
            <w:pPr>
              <w:pStyle w:val="TableParagraph"/>
              <w:spacing w:before="20"/>
              <w:ind w:right="192"/>
              <w:rPr>
                <w:sz w:val="14"/>
              </w:rPr>
            </w:pPr>
            <w:r>
              <w:rPr>
                <w:w w:val="99"/>
                <w:sz w:val="14"/>
              </w:rPr>
              <w:t>1</w:t>
            </w:r>
          </w:p>
        </w:tc>
        <w:tc>
          <w:tcPr>
            <w:tcW w:w="557" w:type="dxa"/>
            <w:tcBorders>
              <w:bottom w:val="single" w:sz="12" w:space="0" w:color="000000"/>
            </w:tcBorders>
          </w:tcPr>
          <w:p>
            <w:pPr>
              <w:pStyle w:val="TableParagraph"/>
              <w:spacing w:before="20"/>
              <w:ind w:right="167"/>
              <w:rPr>
                <w:sz w:val="14"/>
              </w:rPr>
            </w:pPr>
            <w:r>
              <w:rPr>
                <w:w w:val="99"/>
                <w:sz w:val="14"/>
              </w:rPr>
              <w:t>7</w:t>
            </w:r>
          </w:p>
        </w:tc>
        <w:tc>
          <w:tcPr>
            <w:tcW w:w="593" w:type="dxa"/>
            <w:tcBorders>
              <w:bottom w:val="single" w:sz="12" w:space="0" w:color="000000"/>
            </w:tcBorders>
          </w:tcPr>
          <w:p>
            <w:pPr>
              <w:pStyle w:val="TableParagraph"/>
              <w:spacing w:before="20"/>
              <w:ind w:right="167"/>
              <w:rPr>
                <w:sz w:val="14"/>
              </w:rPr>
            </w:pPr>
            <w:r>
              <w:rPr>
                <w:spacing w:val="-5"/>
                <w:sz w:val="14"/>
              </w:rPr>
              <w:t>23</w:t>
            </w:r>
          </w:p>
        </w:tc>
        <w:tc>
          <w:tcPr>
            <w:tcW w:w="621" w:type="dxa"/>
            <w:tcBorders>
              <w:bottom w:val="single" w:sz="12" w:space="0" w:color="000000"/>
            </w:tcBorders>
          </w:tcPr>
          <w:p>
            <w:pPr>
              <w:pStyle w:val="TableParagraph"/>
              <w:spacing w:before="20"/>
              <w:ind w:right="193"/>
              <w:rPr>
                <w:sz w:val="14"/>
              </w:rPr>
            </w:pPr>
            <w:r>
              <w:rPr>
                <w:spacing w:val="-5"/>
                <w:sz w:val="14"/>
              </w:rPr>
              <w:t>36</w:t>
            </w:r>
          </w:p>
        </w:tc>
        <w:tc>
          <w:tcPr>
            <w:tcW w:w="667" w:type="dxa"/>
            <w:tcBorders>
              <w:bottom w:val="single" w:sz="12" w:space="0" w:color="000000"/>
            </w:tcBorders>
          </w:tcPr>
          <w:p>
            <w:pPr>
              <w:pStyle w:val="TableParagraph"/>
              <w:spacing w:before="20"/>
              <w:ind w:right="120"/>
              <w:rPr>
                <w:sz w:val="14"/>
              </w:rPr>
            </w:pPr>
            <w:r>
              <w:rPr>
                <w:spacing w:val="-5"/>
                <w:sz w:val="14"/>
              </w:rPr>
              <w:t>42</w:t>
            </w:r>
          </w:p>
        </w:tc>
        <w:tc>
          <w:tcPr>
            <w:tcW w:w="534" w:type="dxa"/>
            <w:tcBorders>
              <w:bottom w:val="single" w:sz="12" w:space="0" w:color="000000"/>
            </w:tcBorders>
          </w:tcPr>
          <w:p>
            <w:pPr>
              <w:pStyle w:val="TableParagraph"/>
              <w:spacing w:before="20"/>
              <w:ind w:right="66"/>
              <w:rPr>
                <w:sz w:val="14"/>
              </w:rPr>
            </w:pPr>
            <w:r>
              <w:rPr>
                <w:w w:val="99"/>
                <w:sz w:val="14"/>
              </w:rPr>
              <w:t>5</w:t>
            </w:r>
          </w:p>
        </w:tc>
        <w:tc>
          <w:tcPr>
            <w:tcW w:w="794" w:type="dxa"/>
            <w:tcBorders>
              <w:bottom w:val="single" w:sz="12" w:space="0" w:color="000000"/>
            </w:tcBorders>
          </w:tcPr>
          <w:p>
            <w:pPr>
              <w:pStyle w:val="TableParagraph"/>
              <w:spacing w:before="20"/>
              <w:ind w:right="118"/>
              <w:rPr>
                <w:i/>
                <w:sz w:val="14"/>
              </w:rPr>
            </w:pPr>
            <w:r>
              <w:rPr>
                <w:i/>
                <w:spacing w:val="-5"/>
                <w:sz w:val="14"/>
              </w:rPr>
              <w:t>114</w:t>
            </w:r>
          </w:p>
        </w:tc>
        <w:tc>
          <w:tcPr>
            <w:tcW w:w="568" w:type="dxa"/>
            <w:tcBorders>
              <w:bottom w:val="single" w:sz="12" w:space="0" w:color="000000"/>
            </w:tcBorders>
          </w:tcPr>
          <w:p>
            <w:pPr>
              <w:pStyle w:val="TableParagraph"/>
              <w:spacing w:before="20"/>
              <w:ind w:right="97"/>
              <w:rPr>
                <w:sz w:val="14"/>
              </w:rPr>
            </w:pPr>
            <w:r>
              <w:rPr>
                <w:w w:val="99"/>
                <w:sz w:val="14"/>
              </w:rPr>
              <w:t>-</w:t>
            </w:r>
          </w:p>
        </w:tc>
        <w:tc>
          <w:tcPr>
            <w:tcW w:w="580" w:type="dxa"/>
            <w:tcBorders>
              <w:bottom w:val="single" w:sz="12" w:space="0" w:color="000000"/>
            </w:tcBorders>
          </w:tcPr>
          <w:p>
            <w:pPr>
              <w:pStyle w:val="TableParagraph"/>
              <w:spacing w:before="20"/>
              <w:ind w:right="87"/>
              <w:rPr>
                <w:sz w:val="14"/>
              </w:rPr>
            </w:pPr>
            <w:r>
              <w:rPr>
                <w:w w:val="99"/>
                <w:sz w:val="14"/>
              </w:rPr>
              <w:t>2</w:t>
            </w:r>
          </w:p>
        </w:tc>
        <w:tc>
          <w:tcPr>
            <w:tcW w:w="564" w:type="dxa"/>
            <w:tcBorders>
              <w:bottom w:val="single" w:sz="12" w:space="0" w:color="000000"/>
            </w:tcBorders>
          </w:tcPr>
          <w:p>
            <w:pPr>
              <w:pStyle w:val="TableParagraph"/>
              <w:spacing w:before="20"/>
              <w:ind w:right="54"/>
              <w:rPr>
                <w:sz w:val="14"/>
              </w:rPr>
            </w:pPr>
            <w:r>
              <w:rPr>
                <w:spacing w:val="-5"/>
                <w:sz w:val="14"/>
              </w:rPr>
              <w:t>74</w:t>
            </w:r>
          </w:p>
        </w:tc>
        <w:tc>
          <w:tcPr>
            <w:tcW w:w="813" w:type="dxa"/>
            <w:tcBorders>
              <w:bottom w:val="single" w:sz="12" w:space="0" w:color="000000"/>
            </w:tcBorders>
          </w:tcPr>
          <w:p>
            <w:pPr>
              <w:pStyle w:val="TableParagraph"/>
              <w:spacing w:before="20"/>
              <w:ind w:right="127"/>
              <w:rPr>
                <w:i/>
                <w:sz w:val="14"/>
              </w:rPr>
            </w:pPr>
            <w:r>
              <w:rPr>
                <w:i/>
                <w:spacing w:val="-5"/>
                <w:sz w:val="14"/>
              </w:rPr>
              <w:t>76</w:t>
            </w:r>
          </w:p>
        </w:tc>
        <w:tc>
          <w:tcPr>
            <w:tcW w:w="524" w:type="dxa"/>
            <w:tcBorders>
              <w:bottom w:val="single" w:sz="12" w:space="0" w:color="000000"/>
            </w:tcBorders>
          </w:tcPr>
          <w:p>
            <w:pPr>
              <w:pStyle w:val="TableParagraph"/>
              <w:spacing w:before="20"/>
              <w:ind w:right="51"/>
              <w:rPr>
                <w:b/>
                <w:sz w:val="14"/>
              </w:rPr>
            </w:pPr>
            <w:r>
              <w:rPr>
                <w:b/>
                <w:spacing w:val="-5"/>
                <w:sz w:val="14"/>
              </w:rPr>
              <w:t>190</w:t>
            </w:r>
          </w:p>
        </w:tc>
      </w:tr>
      <w:tr>
        <w:trPr>
          <w:trHeight w:val="224" w:hRule="atLeast"/>
        </w:trPr>
        <w:tc>
          <w:tcPr>
            <w:tcW w:w="1186" w:type="dxa"/>
            <w:tcBorders>
              <w:top w:val="single" w:sz="12" w:space="0" w:color="000000"/>
              <w:bottom w:val="single" w:sz="4" w:space="0" w:color="000000"/>
            </w:tcBorders>
          </w:tcPr>
          <w:p>
            <w:pPr>
              <w:pStyle w:val="TableParagraph"/>
              <w:spacing w:before="22"/>
              <w:ind w:left="67"/>
              <w:jc w:val="left"/>
              <w:rPr>
                <w:sz w:val="14"/>
              </w:rPr>
            </w:pPr>
            <w:r>
              <w:rPr>
                <w:spacing w:val="-5"/>
                <w:sz w:val="14"/>
              </w:rPr>
              <w:t>New</w:t>
            </w:r>
          </w:p>
        </w:tc>
        <w:tc>
          <w:tcPr>
            <w:tcW w:w="678" w:type="dxa"/>
            <w:tcBorders>
              <w:top w:val="single" w:sz="12" w:space="0" w:color="000000"/>
              <w:bottom w:val="single" w:sz="4" w:space="0" w:color="000000"/>
            </w:tcBorders>
          </w:tcPr>
          <w:p>
            <w:pPr>
              <w:pStyle w:val="TableParagraph"/>
              <w:spacing w:before="22"/>
              <w:ind w:right="154"/>
              <w:rPr>
                <w:sz w:val="14"/>
              </w:rPr>
            </w:pPr>
            <w:r>
              <w:rPr>
                <w:w w:val="99"/>
                <w:sz w:val="14"/>
              </w:rPr>
              <w:t>-</w:t>
            </w:r>
          </w:p>
        </w:tc>
        <w:tc>
          <w:tcPr>
            <w:tcW w:w="607" w:type="dxa"/>
            <w:tcBorders>
              <w:top w:val="single" w:sz="12" w:space="0" w:color="000000"/>
              <w:bottom w:val="single" w:sz="4" w:space="0" w:color="000000"/>
            </w:tcBorders>
          </w:tcPr>
          <w:p>
            <w:pPr>
              <w:pStyle w:val="TableParagraph"/>
              <w:spacing w:before="22"/>
              <w:ind w:right="170"/>
              <w:rPr>
                <w:sz w:val="14"/>
              </w:rPr>
            </w:pPr>
            <w:r>
              <w:rPr>
                <w:w w:val="99"/>
                <w:sz w:val="14"/>
              </w:rPr>
              <w:t>-</w:t>
            </w:r>
          </w:p>
        </w:tc>
        <w:tc>
          <w:tcPr>
            <w:tcW w:w="563" w:type="dxa"/>
            <w:tcBorders>
              <w:top w:val="single" w:sz="12" w:space="0" w:color="000000"/>
              <w:bottom w:val="single" w:sz="4" w:space="0" w:color="000000"/>
            </w:tcBorders>
          </w:tcPr>
          <w:p>
            <w:pPr>
              <w:pStyle w:val="TableParagraph"/>
              <w:spacing w:before="22"/>
              <w:ind w:right="171"/>
              <w:rPr>
                <w:sz w:val="14"/>
              </w:rPr>
            </w:pPr>
            <w:r>
              <w:rPr>
                <w:w w:val="99"/>
                <w:sz w:val="14"/>
              </w:rPr>
              <w:t>-</w:t>
            </w:r>
          </w:p>
        </w:tc>
        <w:tc>
          <w:tcPr>
            <w:tcW w:w="581" w:type="dxa"/>
            <w:tcBorders>
              <w:top w:val="single" w:sz="12" w:space="0" w:color="000000"/>
              <w:bottom w:val="single" w:sz="4" w:space="0" w:color="000000"/>
            </w:tcBorders>
          </w:tcPr>
          <w:p>
            <w:pPr>
              <w:pStyle w:val="TableParagraph"/>
              <w:spacing w:before="22"/>
              <w:ind w:right="191"/>
              <w:rPr>
                <w:sz w:val="14"/>
              </w:rPr>
            </w:pPr>
            <w:r>
              <w:rPr>
                <w:w w:val="99"/>
                <w:sz w:val="14"/>
              </w:rPr>
              <w:t>-</w:t>
            </w:r>
          </w:p>
        </w:tc>
        <w:tc>
          <w:tcPr>
            <w:tcW w:w="557" w:type="dxa"/>
            <w:tcBorders>
              <w:top w:val="single" w:sz="12" w:space="0" w:color="000000"/>
              <w:bottom w:val="single" w:sz="4" w:space="0" w:color="000000"/>
            </w:tcBorders>
          </w:tcPr>
          <w:p>
            <w:pPr>
              <w:pStyle w:val="TableParagraph"/>
              <w:spacing w:before="22"/>
              <w:ind w:right="166"/>
              <w:rPr>
                <w:sz w:val="14"/>
              </w:rPr>
            </w:pPr>
            <w:r>
              <w:rPr>
                <w:w w:val="99"/>
                <w:sz w:val="14"/>
              </w:rPr>
              <w:t>-</w:t>
            </w:r>
          </w:p>
        </w:tc>
        <w:tc>
          <w:tcPr>
            <w:tcW w:w="593" w:type="dxa"/>
            <w:tcBorders>
              <w:top w:val="single" w:sz="12" w:space="0" w:color="000000"/>
              <w:bottom w:val="single" w:sz="4" w:space="0" w:color="000000"/>
            </w:tcBorders>
          </w:tcPr>
          <w:p>
            <w:pPr>
              <w:pStyle w:val="TableParagraph"/>
              <w:spacing w:before="22"/>
              <w:ind w:right="174"/>
              <w:rPr>
                <w:sz w:val="14"/>
              </w:rPr>
            </w:pPr>
            <w:r>
              <w:rPr>
                <w:w w:val="99"/>
                <w:sz w:val="14"/>
              </w:rPr>
              <w:t>-</w:t>
            </w:r>
          </w:p>
        </w:tc>
        <w:tc>
          <w:tcPr>
            <w:tcW w:w="621" w:type="dxa"/>
            <w:tcBorders>
              <w:top w:val="single" w:sz="12" w:space="0" w:color="000000"/>
              <w:bottom w:val="single" w:sz="4" w:space="0" w:color="000000"/>
            </w:tcBorders>
          </w:tcPr>
          <w:p>
            <w:pPr>
              <w:pStyle w:val="TableParagraph"/>
              <w:spacing w:before="22"/>
              <w:ind w:right="199"/>
              <w:rPr>
                <w:sz w:val="14"/>
              </w:rPr>
            </w:pPr>
            <w:r>
              <w:rPr>
                <w:w w:val="99"/>
                <w:sz w:val="14"/>
              </w:rPr>
              <w:t>-</w:t>
            </w:r>
          </w:p>
        </w:tc>
        <w:tc>
          <w:tcPr>
            <w:tcW w:w="667" w:type="dxa"/>
            <w:tcBorders>
              <w:top w:val="single" w:sz="12" w:space="0" w:color="000000"/>
              <w:bottom w:val="single" w:sz="4" w:space="0" w:color="000000"/>
            </w:tcBorders>
          </w:tcPr>
          <w:p>
            <w:pPr>
              <w:pStyle w:val="TableParagraph"/>
              <w:spacing w:before="22"/>
              <w:ind w:right="127"/>
              <w:rPr>
                <w:sz w:val="14"/>
              </w:rPr>
            </w:pPr>
            <w:r>
              <w:rPr>
                <w:w w:val="99"/>
                <w:sz w:val="14"/>
              </w:rPr>
              <w:t>1</w:t>
            </w:r>
          </w:p>
        </w:tc>
        <w:tc>
          <w:tcPr>
            <w:tcW w:w="534" w:type="dxa"/>
            <w:tcBorders>
              <w:top w:val="single" w:sz="12" w:space="0" w:color="000000"/>
              <w:bottom w:val="single" w:sz="4" w:space="0" w:color="000000"/>
            </w:tcBorders>
          </w:tcPr>
          <w:p>
            <w:pPr>
              <w:pStyle w:val="TableParagraph"/>
              <w:spacing w:before="22"/>
              <w:ind w:right="66"/>
              <w:rPr>
                <w:sz w:val="14"/>
              </w:rPr>
            </w:pPr>
            <w:r>
              <w:rPr>
                <w:w w:val="99"/>
                <w:sz w:val="14"/>
              </w:rPr>
              <w:t>1</w:t>
            </w:r>
          </w:p>
        </w:tc>
        <w:tc>
          <w:tcPr>
            <w:tcW w:w="794" w:type="dxa"/>
            <w:tcBorders>
              <w:top w:val="single" w:sz="12" w:space="0" w:color="000000"/>
              <w:bottom w:val="single" w:sz="4" w:space="0" w:color="000000"/>
            </w:tcBorders>
          </w:tcPr>
          <w:p>
            <w:pPr>
              <w:pStyle w:val="TableParagraph"/>
              <w:spacing w:before="22"/>
              <w:ind w:right="125"/>
              <w:rPr>
                <w:i/>
                <w:sz w:val="14"/>
              </w:rPr>
            </w:pPr>
            <w:r>
              <w:rPr>
                <w:i/>
                <w:w w:val="99"/>
                <w:sz w:val="14"/>
              </w:rPr>
              <w:t>2</w:t>
            </w:r>
          </w:p>
        </w:tc>
        <w:tc>
          <w:tcPr>
            <w:tcW w:w="568" w:type="dxa"/>
            <w:tcBorders>
              <w:top w:val="single" w:sz="12" w:space="0" w:color="000000"/>
              <w:bottom w:val="single" w:sz="4" w:space="0" w:color="000000"/>
            </w:tcBorders>
          </w:tcPr>
          <w:p>
            <w:pPr>
              <w:pStyle w:val="TableParagraph"/>
              <w:spacing w:before="22"/>
              <w:ind w:right="97"/>
              <w:rPr>
                <w:sz w:val="14"/>
              </w:rPr>
            </w:pPr>
            <w:r>
              <w:rPr>
                <w:w w:val="99"/>
                <w:sz w:val="14"/>
              </w:rPr>
              <w:t>-</w:t>
            </w:r>
          </w:p>
        </w:tc>
        <w:tc>
          <w:tcPr>
            <w:tcW w:w="580" w:type="dxa"/>
            <w:tcBorders>
              <w:top w:val="single" w:sz="12" w:space="0" w:color="000000"/>
              <w:bottom w:val="single" w:sz="4" w:space="0" w:color="000000"/>
            </w:tcBorders>
          </w:tcPr>
          <w:p>
            <w:pPr>
              <w:pStyle w:val="TableParagraph"/>
              <w:spacing w:before="22"/>
              <w:ind w:right="86"/>
              <w:rPr>
                <w:sz w:val="14"/>
              </w:rPr>
            </w:pPr>
            <w:r>
              <w:rPr>
                <w:w w:val="99"/>
                <w:sz w:val="14"/>
              </w:rPr>
              <w:t>-</w:t>
            </w:r>
          </w:p>
        </w:tc>
        <w:tc>
          <w:tcPr>
            <w:tcW w:w="564" w:type="dxa"/>
            <w:tcBorders>
              <w:top w:val="single" w:sz="12" w:space="0" w:color="000000"/>
              <w:bottom w:val="single" w:sz="4" w:space="0" w:color="000000"/>
            </w:tcBorders>
          </w:tcPr>
          <w:p>
            <w:pPr>
              <w:pStyle w:val="TableParagraph"/>
              <w:spacing w:before="22"/>
              <w:ind w:right="61"/>
              <w:rPr>
                <w:sz w:val="14"/>
              </w:rPr>
            </w:pPr>
            <w:r>
              <w:rPr>
                <w:w w:val="99"/>
                <w:sz w:val="14"/>
              </w:rPr>
              <w:t>1</w:t>
            </w:r>
          </w:p>
        </w:tc>
        <w:tc>
          <w:tcPr>
            <w:tcW w:w="813" w:type="dxa"/>
            <w:tcBorders>
              <w:top w:val="single" w:sz="12" w:space="0" w:color="000000"/>
              <w:bottom w:val="single" w:sz="4" w:space="0" w:color="000000"/>
            </w:tcBorders>
          </w:tcPr>
          <w:p>
            <w:pPr>
              <w:pStyle w:val="TableParagraph"/>
              <w:spacing w:before="22"/>
              <w:ind w:right="134"/>
              <w:rPr>
                <w:i/>
                <w:sz w:val="14"/>
              </w:rPr>
            </w:pPr>
            <w:r>
              <w:rPr>
                <w:i/>
                <w:w w:val="99"/>
                <w:sz w:val="14"/>
              </w:rPr>
              <w:t>1</w:t>
            </w:r>
          </w:p>
        </w:tc>
        <w:tc>
          <w:tcPr>
            <w:tcW w:w="524" w:type="dxa"/>
            <w:tcBorders>
              <w:top w:val="single" w:sz="12" w:space="0" w:color="000000"/>
              <w:bottom w:val="single" w:sz="4" w:space="0" w:color="000000"/>
            </w:tcBorders>
          </w:tcPr>
          <w:p>
            <w:pPr>
              <w:pStyle w:val="TableParagraph"/>
              <w:spacing w:before="22"/>
              <w:ind w:right="58"/>
              <w:rPr>
                <w:b/>
                <w:sz w:val="14"/>
              </w:rPr>
            </w:pPr>
            <w:r>
              <w:rPr>
                <w:b/>
                <w:w w:val="99"/>
                <w:sz w:val="14"/>
              </w:rPr>
              <w:t>3</w:t>
            </w:r>
          </w:p>
        </w:tc>
      </w:tr>
      <w:tr>
        <w:trPr>
          <w:trHeight w:val="230" w:hRule="atLeast"/>
        </w:trPr>
        <w:tc>
          <w:tcPr>
            <w:tcW w:w="1186" w:type="dxa"/>
            <w:tcBorders>
              <w:top w:val="single" w:sz="4" w:space="0" w:color="000000"/>
              <w:bottom w:val="single" w:sz="4" w:space="0" w:color="000000"/>
            </w:tcBorders>
          </w:tcPr>
          <w:p>
            <w:pPr>
              <w:pStyle w:val="TableParagraph"/>
              <w:spacing w:before="27"/>
              <w:ind w:left="67"/>
              <w:jc w:val="left"/>
              <w:rPr>
                <w:sz w:val="14"/>
              </w:rPr>
            </w:pPr>
            <w:r>
              <w:rPr>
                <w:spacing w:val="-2"/>
                <w:sz w:val="14"/>
              </w:rPr>
              <w:t>Redeployed</w:t>
            </w:r>
          </w:p>
        </w:tc>
        <w:tc>
          <w:tcPr>
            <w:tcW w:w="678" w:type="dxa"/>
            <w:tcBorders>
              <w:top w:val="single" w:sz="4" w:space="0" w:color="000000"/>
              <w:bottom w:val="single" w:sz="4" w:space="0" w:color="000000"/>
            </w:tcBorders>
          </w:tcPr>
          <w:p>
            <w:pPr>
              <w:pStyle w:val="TableParagraph"/>
              <w:spacing w:before="27"/>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7"/>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7"/>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7"/>
              <w:ind w:right="191"/>
              <w:rPr>
                <w:sz w:val="14"/>
              </w:rPr>
            </w:pPr>
            <w:r>
              <w:rPr>
                <w:w w:val="99"/>
                <w:sz w:val="14"/>
              </w:rPr>
              <w:t>-</w:t>
            </w:r>
          </w:p>
        </w:tc>
        <w:tc>
          <w:tcPr>
            <w:tcW w:w="557" w:type="dxa"/>
            <w:tcBorders>
              <w:top w:val="single" w:sz="4" w:space="0" w:color="000000"/>
              <w:bottom w:val="single" w:sz="4" w:space="0" w:color="000000"/>
            </w:tcBorders>
          </w:tcPr>
          <w:p>
            <w:pPr>
              <w:pStyle w:val="TableParagraph"/>
              <w:spacing w:before="27"/>
              <w:ind w:right="166"/>
              <w:rPr>
                <w:sz w:val="14"/>
              </w:rPr>
            </w:pPr>
            <w:r>
              <w:rPr>
                <w:w w:val="99"/>
                <w:sz w:val="14"/>
              </w:rPr>
              <w:t>-</w:t>
            </w:r>
          </w:p>
        </w:tc>
        <w:tc>
          <w:tcPr>
            <w:tcW w:w="593" w:type="dxa"/>
            <w:tcBorders>
              <w:top w:val="single" w:sz="4" w:space="0" w:color="000000"/>
              <w:bottom w:val="single" w:sz="4" w:space="0" w:color="000000"/>
            </w:tcBorders>
          </w:tcPr>
          <w:p>
            <w:pPr>
              <w:pStyle w:val="TableParagraph"/>
              <w:spacing w:before="27"/>
              <w:ind w:right="174"/>
              <w:rPr>
                <w:sz w:val="14"/>
              </w:rPr>
            </w:pPr>
            <w:r>
              <w:rPr>
                <w:w w:val="99"/>
                <w:sz w:val="14"/>
              </w:rPr>
              <w:t>-</w:t>
            </w:r>
          </w:p>
        </w:tc>
        <w:tc>
          <w:tcPr>
            <w:tcW w:w="621" w:type="dxa"/>
            <w:tcBorders>
              <w:top w:val="single" w:sz="4" w:space="0" w:color="000000"/>
              <w:bottom w:val="single" w:sz="4" w:space="0" w:color="000000"/>
            </w:tcBorders>
          </w:tcPr>
          <w:p>
            <w:pPr>
              <w:pStyle w:val="TableParagraph"/>
              <w:spacing w:before="27"/>
              <w:ind w:right="199"/>
              <w:rPr>
                <w:sz w:val="14"/>
              </w:rPr>
            </w:pPr>
            <w:r>
              <w:rPr>
                <w:w w:val="99"/>
                <w:sz w:val="14"/>
              </w:rPr>
              <w:t>-</w:t>
            </w:r>
          </w:p>
        </w:tc>
        <w:tc>
          <w:tcPr>
            <w:tcW w:w="667" w:type="dxa"/>
            <w:tcBorders>
              <w:top w:val="single" w:sz="4" w:space="0" w:color="000000"/>
              <w:bottom w:val="single" w:sz="4" w:space="0" w:color="000000"/>
            </w:tcBorders>
          </w:tcPr>
          <w:p>
            <w:pPr>
              <w:pStyle w:val="TableParagraph"/>
              <w:spacing w:before="27"/>
              <w:ind w:right="127"/>
              <w:rPr>
                <w:sz w:val="14"/>
              </w:rPr>
            </w:pPr>
            <w:r>
              <w:rPr>
                <w:w w:val="99"/>
                <w:sz w:val="14"/>
              </w:rPr>
              <w:t>-</w:t>
            </w:r>
          </w:p>
        </w:tc>
        <w:tc>
          <w:tcPr>
            <w:tcW w:w="534" w:type="dxa"/>
            <w:tcBorders>
              <w:top w:val="single" w:sz="4" w:space="0" w:color="000000"/>
              <w:bottom w:val="single" w:sz="4" w:space="0" w:color="000000"/>
            </w:tcBorders>
          </w:tcPr>
          <w:p>
            <w:pPr>
              <w:pStyle w:val="TableParagraph"/>
              <w:spacing w:before="27"/>
              <w:ind w:right="65"/>
              <w:rPr>
                <w:sz w:val="14"/>
              </w:rPr>
            </w:pPr>
            <w:r>
              <w:rPr>
                <w:w w:val="99"/>
                <w:sz w:val="14"/>
              </w:rPr>
              <w:t>-</w:t>
            </w:r>
          </w:p>
        </w:tc>
        <w:tc>
          <w:tcPr>
            <w:tcW w:w="794" w:type="dxa"/>
            <w:tcBorders>
              <w:top w:val="single" w:sz="4" w:space="0" w:color="000000"/>
              <w:bottom w:val="single" w:sz="4" w:space="0" w:color="000000"/>
            </w:tcBorders>
          </w:tcPr>
          <w:p>
            <w:pPr>
              <w:pStyle w:val="TableParagraph"/>
              <w:spacing w:before="27"/>
              <w:ind w:right="124"/>
              <w:rPr>
                <w:i/>
                <w:sz w:val="14"/>
              </w:rPr>
            </w:pPr>
            <w:r>
              <w:rPr>
                <w:i/>
                <w:w w:val="99"/>
                <w:sz w:val="14"/>
              </w:rPr>
              <w:t>-</w:t>
            </w:r>
          </w:p>
        </w:tc>
        <w:tc>
          <w:tcPr>
            <w:tcW w:w="568" w:type="dxa"/>
            <w:tcBorders>
              <w:top w:val="single" w:sz="4" w:space="0" w:color="000000"/>
              <w:bottom w:val="single" w:sz="4" w:space="0" w:color="000000"/>
            </w:tcBorders>
          </w:tcPr>
          <w:p>
            <w:pPr>
              <w:pStyle w:val="TableParagraph"/>
              <w:spacing w:before="27"/>
              <w:ind w:right="97"/>
              <w:rPr>
                <w:sz w:val="14"/>
              </w:rPr>
            </w:pPr>
            <w:r>
              <w:rPr>
                <w:w w:val="99"/>
                <w:sz w:val="14"/>
              </w:rPr>
              <w:t>-</w:t>
            </w:r>
          </w:p>
        </w:tc>
        <w:tc>
          <w:tcPr>
            <w:tcW w:w="580" w:type="dxa"/>
            <w:tcBorders>
              <w:top w:val="single" w:sz="4" w:space="0" w:color="000000"/>
              <w:bottom w:val="single" w:sz="4" w:space="0" w:color="000000"/>
            </w:tcBorders>
          </w:tcPr>
          <w:p>
            <w:pPr>
              <w:pStyle w:val="TableParagraph"/>
              <w:spacing w:before="27"/>
              <w:ind w:right="86"/>
              <w:rPr>
                <w:sz w:val="14"/>
              </w:rPr>
            </w:pPr>
            <w:r>
              <w:rPr>
                <w:w w:val="99"/>
                <w:sz w:val="14"/>
              </w:rPr>
              <w:t>-</w:t>
            </w:r>
          </w:p>
        </w:tc>
        <w:tc>
          <w:tcPr>
            <w:tcW w:w="564" w:type="dxa"/>
            <w:tcBorders>
              <w:top w:val="single" w:sz="4" w:space="0" w:color="000000"/>
              <w:bottom w:val="single" w:sz="4" w:space="0" w:color="000000"/>
            </w:tcBorders>
          </w:tcPr>
          <w:p>
            <w:pPr>
              <w:pStyle w:val="TableParagraph"/>
              <w:spacing w:before="27"/>
              <w:ind w:right="60"/>
              <w:rPr>
                <w:sz w:val="14"/>
              </w:rPr>
            </w:pPr>
            <w:r>
              <w:rPr>
                <w:w w:val="99"/>
                <w:sz w:val="14"/>
              </w:rPr>
              <w:t>-</w:t>
            </w:r>
          </w:p>
        </w:tc>
        <w:tc>
          <w:tcPr>
            <w:tcW w:w="813" w:type="dxa"/>
            <w:tcBorders>
              <w:top w:val="single" w:sz="4" w:space="0" w:color="000000"/>
              <w:bottom w:val="single" w:sz="4" w:space="0" w:color="000000"/>
            </w:tcBorders>
          </w:tcPr>
          <w:p>
            <w:pPr>
              <w:pStyle w:val="TableParagraph"/>
              <w:spacing w:before="27"/>
              <w:ind w:right="133"/>
              <w:rPr>
                <w:i/>
                <w:sz w:val="14"/>
              </w:rPr>
            </w:pPr>
            <w:r>
              <w:rPr>
                <w:i/>
                <w:w w:val="99"/>
                <w:sz w:val="14"/>
              </w:rPr>
              <w:t>-</w:t>
            </w:r>
          </w:p>
        </w:tc>
        <w:tc>
          <w:tcPr>
            <w:tcW w:w="524" w:type="dxa"/>
            <w:tcBorders>
              <w:top w:val="single" w:sz="4" w:space="0" w:color="000000"/>
              <w:bottom w:val="single" w:sz="4" w:space="0" w:color="000000"/>
            </w:tcBorders>
          </w:tcPr>
          <w:p>
            <w:pPr>
              <w:pStyle w:val="TableParagraph"/>
              <w:spacing w:before="27"/>
              <w:ind w:right="57"/>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3"/>
              <w:ind w:left="67"/>
              <w:jc w:val="left"/>
              <w:rPr>
                <w:sz w:val="14"/>
              </w:rPr>
            </w:pPr>
            <w:r>
              <w:rPr>
                <w:spacing w:val="-2"/>
                <w:sz w:val="14"/>
              </w:rPr>
              <w:t>Reclassified</w:t>
            </w:r>
          </w:p>
        </w:tc>
        <w:tc>
          <w:tcPr>
            <w:tcW w:w="678" w:type="dxa"/>
            <w:tcBorders>
              <w:top w:val="single" w:sz="4" w:space="0" w:color="000000"/>
              <w:bottom w:val="single" w:sz="4" w:space="0" w:color="000000"/>
            </w:tcBorders>
          </w:tcPr>
          <w:p>
            <w:pPr>
              <w:pStyle w:val="TableParagraph"/>
              <w:spacing w:before="23"/>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3"/>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3"/>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3"/>
              <w:ind w:right="191"/>
              <w:rPr>
                <w:sz w:val="14"/>
              </w:rPr>
            </w:pPr>
            <w:r>
              <w:rPr>
                <w:w w:val="99"/>
                <w:sz w:val="14"/>
              </w:rPr>
              <w:t>-</w:t>
            </w:r>
          </w:p>
        </w:tc>
        <w:tc>
          <w:tcPr>
            <w:tcW w:w="557" w:type="dxa"/>
            <w:tcBorders>
              <w:top w:val="single" w:sz="4" w:space="0" w:color="000000"/>
              <w:bottom w:val="single" w:sz="4" w:space="0" w:color="000000"/>
            </w:tcBorders>
          </w:tcPr>
          <w:p>
            <w:pPr>
              <w:pStyle w:val="TableParagraph"/>
              <w:spacing w:before="23"/>
              <w:ind w:right="166"/>
              <w:rPr>
                <w:sz w:val="14"/>
              </w:rPr>
            </w:pPr>
            <w:r>
              <w:rPr>
                <w:w w:val="99"/>
                <w:sz w:val="14"/>
              </w:rPr>
              <w:t>-</w:t>
            </w:r>
          </w:p>
        </w:tc>
        <w:tc>
          <w:tcPr>
            <w:tcW w:w="593" w:type="dxa"/>
            <w:tcBorders>
              <w:top w:val="single" w:sz="4" w:space="0" w:color="000000"/>
              <w:bottom w:val="single" w:sz="4" w:space="0" w:color="000000"/>
            </w:tcBorders>
          </w:tcPr>
          <w:p>
            <w:pPr>
              <w:pStyle w:val="TableParagraph"/>
              <w:spacing w:before="23"/>
              <w:ind w:right="174"/>
              <w:rPr>
                <w:sz w:val="14"/>
              </w:rPr>
            </w:pPr>
            <w:r>
              <w:rPr>
                <w:w w:val="99"/>
                <w:sz w:val="14"/>
              </w:rPr>
              <w:t>-</w:t>
            </w:r>
          </w:p>
        </w:tc>
        <w:tc>
          <w:tcPr>
            <w:tcW w:w="621" w:type="dxa"/>
            <w:tcBorders>
              <w:top w:val="single" w:sz="4" w:space="0" w:color="000000"/>
              <w:bottom w:val="single" w:sz="4" w:space="0" w:color="000000"/>
            </w:tcBorders>
          </w:tcPr>
          <w:p>
            <w:pPr>
              <w:pStyle w:val="TableParagraph"/>
              <w:spacing w:before="23"/>
              <w:ind w:right="199"/>
              <w:rPr>
                <w:sz w:val="14"/>
              </w:rPr>
            </w:pPr>
            <w:r>
              <w:rPr>
                <w:w w:val="99"/>
                <w:sz w:val="14"/>
              </w:rPr>
              <w:t>-</w:t>
            </w:r>
          </w:p>
        </w:tc>
        <w:tc>
          <w:tcPr>
            <w:tcW w:w="667" w:type="dxa"/>
            <w:tcBorders>
              <w:top w:val="single" w:sz="4" w:space="0" w:color="000000"/>
              <w:bottom w:val="single" w:sz="4" w:space="0" w:color="000000"/>
            </w:tcBorders>
          </w:tcPr>
          <w:p>
            <w:pPr>
              <w:pStyle w:val="TableParagraph"/>
              <w:spacing w:before="23"/>
              <w:ind w:right="127"/>
              <w:rPr>
                <w:sz w:val="14"/>
              </w:rPr>
            </w:pPr>
            <w:r>
              <w:rPr>
                <w:w w:val="99"/>
                <w:sz w:val="14"/>
              </w:rPr>
              <w:t>-</w:t>
            </w:r>
          </w:p>
        </w:tc>
        <w:tc>
          <w:tcPr>
            <w:tcW w:w="534" w:type="dxa"/>
            <w:tcBorders>
              <w:top w:val="single" w:sz="4" w:space="0" w:color="000000"/>
              <w:bottom w:val="single" w:sz="4" w:space="0" w:color="000000"/>
            </w:tcBorders>
          </w:tcPr>
          <w:p>
            <w:pPr>
              <w:pStyle w:val="TableParagraph"/>
              <w:spacing w:before="23"/>
              <w:ind w:right="65"/>
              <w:rPr>
                <w:sz w:val="14"/>
              </w:rPr>
            </w:pPr>
            <w:r>
              <w:rPr>
                <w:w w:val="99"/>
                <w:sz w:val="14"/>
              </w:rPr>
              <w:t>-</w:t>
            </w:r>
          </w:p>
        </w:tc>
        <w:tc>
          <w:tcPr>
            <w:tcW w:w="794" w:type="dxa"/>
            <w:tcBorders>
              <w:top w:val="single" w:sz="4" w:space="0" w:color="000000"/>
              <w:bottom w:val="single" w:sz="4" w:space="0" w:color="000000"/>
            </w:tcBorders>
          </w:tcPr>
          <w:p>
            <w:pPr>
              <w:pStyle w:val="TableParagraph"/>
              <w:spacing w:before="23"/>
              <w:ind w:right="124"/>
              <w:rPr>
                <w:i/>
                <w:sz w:val="14"/>
              </w:rPr>
            </w:pPr>
            <w:r>
              <w:rPr>
                <w:i/>
                <w:w w:val="99"/>
                <w:sz w:val="14"/>
              </w:rPr>
              <w:t>-</w:t>
            </w:r>
          </w:p>
        </w:tc>
        <w:tc>
          <w:tcPr>
            <w:tcW w:w="568" w:type="dxa"/>
            <w:tcBorders>
              <w:top w:val="single" w:sz="4" w:space="0" w:color="000000"/>
              <w:bottom w:val="single" w:sz="4" w:space="0" w:color="000000"/>
            </w:tcBorders>
          </w:tcPr>
          <w:p>
            <w:pPr>
              <w:pStyle w:val="TableParagraph"/>
              <w:spacing w:before="23"/>
              <w:ind w:right="97"/>
              <w:rPr>
                <w:sz w:val="14"/>
              </w:rPr>
            </w:pPr>
            <w:r>
              <w:rPr>
                <w:w w:val="99"/>
                <w:sz w:val="14"/>
              </w:rPr>
              <w:t>-</w:t>
            </w:r>
          </w:p>
        </w:tc>
        <w:tc>
          <w:tcPr>
            <w:tcW w:w="580" w:type="dxa"/>
            <w:tcBorders>
              <w:top w:val="single" w:sz="4" w:space="0" w:color="000000"/>
              <w:bottom w:val="single" w:sz="4" w:space="0" w:color="000000"/>
            </w:tcBorders>
          </w:tcPr>
          <w:p>
            <w:pPr>
              <w:pStyle w:val="TableParagraph"/>
              <w:spacing w:before="23"/>
              <w:ind w:right="86"/>
              <w:rPr>
                <w:sz w:val="14"/>
              </w:rPr>
            </w:pPr>
            <w:r>
              <w:rPr>
                <w:w w:val="99"/>
                <w:sz w:val="14"/>
              </w:rPr>
              <w:t>-</w:t>
            </w:r>
          </w:p>
        </w:tc>
        <w:tc>
          <w:tcPr>
            <w:tcW w:w="564" w:type="dxa"/>
            <w:tcBorders>
              <w:top w:val="single" w:sz="4" w:space="0" w:color="000000"/>
              <w:bottom w:val="single" w:sz="4" w:space="0" w:color="000000"/>
            </w:tcBorders>
          </w:tcPr>
          <w:p>
            <w:pPr>
              <w:pStyle w:val="TableParagraph"/>
              <w:spacing w:before="23"/>
              <w:ind w:right="60"/>
              <w:rPr>
                <w:sz w:val="14"/>
              </w:rPr>
            </w:pPr>
            <w:r>
              <w:rPr>
                <w:w w:val="99"/>
                <w:sz w:val="14"/>
              </w:rPr>
              <w:t>-</w:t>
            </w:r>
          </w:p>
        </w:tc>
        <w:tc>
          <w:tcPr>
            <w:tcW w:w="813" w:type="dxa"/>
            <w:tcBorders>
              <w:top w:val="single" w:sz="4" w:space="0" w:color="000000"/>
              <w:bottom w:val="single" w:sz="4" w:space="0" w:color="000000"/>
            </w:tcBorders>
          </w:tcPr>
          <w:p>
            <w:pPr>
              <w:pStyle w:val="TableParagraph"/>
              <w:spacing w:before="23"/>
              <w:ind w:right="133"/>
              <w:rPr>
                <w:i/>
                <w:sz w:val="14"/>
              </w:rPr>
            </w:pPr>
            <w:r>
              <w:rPr>
                <w:i/>
                <w:w w:val="99"/>
                <w:sz w:val="14"/>
              </w:rPr>
              <w:t>-</w:t>
            </w:r>
          </w:p>
        </w:tc>
        <w:tc>
          <w:tcPr>
            <w:tcW w:w="524" w:type="dxa"/>
            <w:tcBorders>
              <w:top w:val="single" w:sz="4" w:space="0" w:color="000000"/>
              <w:bottom w:val="single" w:sz="4" w:space="0" w:color="000000"/>
            </w:tcBorders>
          </w:tcPr>
          <w:p>
            <w:pPr>
              <w:pStyle w:val="TableParagraph"/>
              <w:spacing w:before="23"/>
              <w:ind w:right="57"/>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7"/>
              <w:ind w:left="67"/>
              <w:jc w:val="left"/>
              <w:rPr>
                <w:sz w:val="14"/>
              </w:rPr>
            </w:pPr>
            <w:r>
              <w:rPr>
                <w:spacing w:val="-2"/>
                <w:sz w:val="14"/>
              </w:rPr>
              <w:t>Returned</w:t>
            </w:r>
          </w:p>
        </w:tc>
        <w:tc>
          <w:tcPr>
            <w:tcW w:w="678" w:type="dxa"/>
            <w:tcBorders>
              <w:top w:val="single" w:sz="4" w:space="0" w:color="000000"/>
              <w:bottom w:val="single" w:sz="4" w:space="0" w:color="000000"/>
            </w:tcBorders>
          </w:tcPr>
          <w:p>
            <w:pPr>
              <w:pStyle w:val="TableParagraph"/>
              <w:spacing w:before="27"/>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7"/>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7"/>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7"/>
              <w:ind w:right="191"/>
              <w:rPr>
                <w:sz w:val="14"/>
              </w:rPr>
            </w:pPr>
            <w:r>
              <w:rPr>
                <w:w w:val="99"/>
                <w:sz w:val="14"/>
              </w:rPr>
              <w:t>-</w:t>
            </w:r>
          </w:p>
        </w:tc>
        <w:tc>
          <w:tcPr>
            <w:tcW w:w="557" w:type="dxa"/>
            <w:tcBorders>
              <w:top w:val="single" w:sz="4" w:space="0" w:color="000000"/>
              <w:bottom w:val="single" w:sz="4" w:space="0" w:color="000000"/>
            </w:tcBorders>
          </w:tcPr>
          <w:p>
            <w:pPr>
              <w:pStyle w:val="TableParagraph"/>
              <w:spacing w:before="27"/>
              <w:ind w:right="166"/>
              <w:rPr>
                <w:sz w:val="14"/>
              </w:rPr>
            </w:pPr>
            <w:r>
              <w:rPr>
                <w:w w:val="99"/>
                <w:sz w:val="14"/>
              </w:rPr>
              <w:t>-</w:t>
            </w:r>
          </w:p>
        </w:tc>
        <w:tc>
          <w:tcPr>
            <w:tcW w:w="593" w:type="dxa"/>
            <w:tcBorders>
              <w:top w:val="single" w:sz="4" w:space="0" w:color="000000"/>
              <w:bottom w:val="single" w:sz="4" w:space="0" w:color="000000"/>
            </w:tcBorders>
          </w:tcPr>
          <w:p>
            <w:pPr>
              <w:pStyle w:val="TableParagraph"/>
              <w:spacing w:before="27"/>
              <w:ind w:right="174"/>
              <w:rPr>
                <w:sz w:val="14"/>
              </w:rPr>
            </w:pPr>
            <w:r>
              <w:rPr>
                <w:w w:val="99"/>
                <w:sz w:val="14"/>
              </w:rPr>
              <w:t>-</w:t>
            </w:r>
          </w:p>
        </w:tc>
        <w:tc>
          <w:tcPr>
            <w:tcW w:w="621" w:type="dxa"/>
            <w:tcBorders>
              <w:top w:val="single" w:sz="4" w:space="0" w:color="000000"/>
              <w:bottom w:val="single" w:sz="4" w:space="0" w:color="000000"/>
            </w:tcBorders>
          </w:tcPr>
          <w:p>
            <w:pPr>
              <w:pStyle w:val="TableParagraph"/>
              <w:spacing w:before="27"/>
              <w:ind w:right="199"/>
              <w:rPr>
                <w:sz w:val="14"/>
              </w:rPr>
            </w:pPr>
            <w:r>
              <w:rPr>
                <w:w w:val="99"/>
                <w:sz w:val="14"/>
              </w:rPr>
              <w:t>-</w:t>
            </w:r>
          </w:p>
        </w:tc>
        <w:tc>
          <w:tcPr>
            <w:tcW w:w="667" w:type="dxa"/>
            <w:tcBorders>
              <w:top w:val="single" w:sz="4" w:space="0" w:color="000000"/>
              <w:bottom w:val="single" w:sz="4" w:space="0" w:color="000000"/>
            </w:tcBorders>
          </w:tcPr>
          <w:p>
            <w:pPr>
              <w:pStyle w:val="TableParagraph"/>
              <w:spacing w:before="27"/>
              <w:ind w:right="127"/>
              <w:rPr>
                <w:sz w:val="14"/>
              </w:rPr>
            </w:pPr>
            <w:r>
              <w:rPr>
                <w:w w:val="99"/>
                <w:sz w:val="14"/>
              </w:rPr>
              <w:t>-</w:t>
            </w:r>
          </w:p>
        </w:tc>
        <w:tc>
          <w:tcPr>
            <w:tcW w:w="534" w:type="dxa"/>
            <w:tcBorders>
              <w:top w:val="single" w:sz="4" w:space="0" w:color="000000"/>
              <w:bottom w:val="single" w:sz="4" w:space="0" w:color="000000"/>
            </w:tcBorders>
          </w:tcPr>
          <w:p>
            <w:pPr>
              <w:pStyle w:val="TableParagraph"/>
              <w:spacing w:before="27"/>
              <w:ind w:right="65"/>
              <w:rPr>
                <w:sz w:val="14"/>
              </w:rPr>
            </w:pPr>
            <w:r>
              <w:rPr>
                <w:w w:val="99"/>
                <w:sz w:val="14"/>
              </w:rPr>
              <w:t>-</w:t>
            </w:r>
          </w:p>
        </w:tc>
        <w:tc>
          <w:tcPr>
            <w:tcW w:w="794" w:type="dxa"/>
            <w:tcBorders>
              <w:top w:val="single" w:sz="4" w:space="0" w:color="000000"/>
              <w:bottom w:val="single" w:sz="4" w:space="0" w:color="000000"/>
            </w:tcBorders>
          </w:tcPr>
          <w:p>
            <w:pPr>
              <w:pStyle w:val="TableParagraph"/>
              <w:spacing w:before="27"/>
              <w:ind w:right="124"/>
              <w:rPr>
                <w:i/>
                <w:sz w:val="14"/>
              </w:rPr>
            </w:pPr>
            <w:r>
              <w:rPr>
                <w:i/>
                <w:w w:val="99"/>
                <w:sz w:val="14"/>
              </w:rPr>
              <w:t>-</w:t>
            </w:r>
          </w:p>
        </w:tc>
        <w:tc>
          <w:tcPr>
            <w:tcW w:w="568" w:type="dxa"/>
            <w:tcBorders>
              <w:top w:val="single" w:sz="4" w:space="0" w:color="000000"/>
              <w:bottom w:val="single" w:sz="4" w:space="0" w:color="000000"/>
            </w:tcBorders>
          </w:tcPr>
          <w:p>
            <w:pPr>
              <w:pStyle w:val="TableParagraph"/>
              <w:spacing w:before="27"/>
              <w:ind w:right="97"/>
              <w:rPr>
                <w:sz w:val="14"/>
              </w:rPr>
            </w:pPr>
            <w:r>
              <w:rPr>
                <w:w w:val="99"/>
                <w:sz w:val="14"/>
              </w:rPr>
              <w:t>-</w:t>
            </w:r>
          </w:p>
        </w:tc>
        <w:tc>
          <w:tcPr>
            <w:tcW w:w="580" w:type="dxa"/>
            <w:tcBorders>
              <w:top w:val="single" w:sz="4" w:space="0" w:color="000000"/>
              <w:bottom w:val="single" w:sz="4" w:space="0" w:color="000000"/>
            </w:tcBorders>
          </w:tcPr>
          <w:p>
            <w:pPr>
              <w:pStyle w:val="TableParagraph"/>
              <w:spacing w:before="27"/>
              <w:ind w:right="86"/>
              <w:rPr>
                <w:sz w:val="14"/>
              </w:rPr>
            </w:pPr>
            <w:r>
              <w:rPr>
                <w:w w:val="99"/>
                <w:sz w:val="14"/>
              </w:rPr>
              <w:t>-</w:t>
            </w:r>
          </w:p>
        </w:tc>
        <w:tc>
          <w:tcPr>
            <w:tcW w:w="564" w:type="dxa"/>
            <w:tcBorders>
              <w:top w:val="single" w:sz="4" w:space="0" w:color="000000"/>
              <w:bottom w:val="single" w:sz="4" w:space="0" w:color="000000"/>
            </w:tcBorders>
          </w:tcPr>
          <w:p>
            <w:pPr>
              <w:pStyle w:val="TableParagraph"/>
              <w:spacing w:before="27"/>
              <w:ind w:right="60"/>
              <w:rPr>
                <w:sz w:val="14"/>
              </w:rPr>
            </w:pPr>
            <w:r>
              <w:rPr>
                <w:w w:val="99"/>
                <w:sz w:val="14"/>
              </w:rPr>
              <w:t>-</w:t>
            </w:r>
          </w:p>
        </w:tc>
        <w:tc>
          <w:tcPr>
            <w:tcW w:w="813" w:type="dxa"/>
            <w:tcBorders>
              <w:top w:val="single" w:sz="4" w:space="0" w:color="000000"/>
              <w:bottom w:val="single" w:sz="4" w:space="0" w:color="000000"/>
            </w:tcBorders>
          </w:tcPr>
          <w:p>
            <w:pPr>
              <w:pStyle w:val="TableParagraph"/>
              <w:spacing w:before="27"/>
              <w:ind w:right="133"/>
              <w:rPr>
                <w:i/>
                <w:sz w:val="14"/>
              </w:rPr>
            </w:pPr>
            <w:r>
              <w:rPr>
                <w:i/>
                <w:w w:val="99"/>
                <w:sz w:val="14"/>
              </w:rPr>
              <w:t>-</w:t>
            </w:r>
          </w:p>
        </w:tc>
        <w:tc>
          <w:tcPr>
            <w:tcW w:w="524" w:type="dxa"/>
            <w:tcBorders>
              <w:top w:val="single" w:sz="4" w:space="0" w:color="000000"/>
              <w:bottom w:val="single" w:sz="4" w:space="0" w:color="000000"/>
            </w:tcBorders>
          </w:tcPr>
          <w:p>
            <w:pPr>
              <w:pStyle w:val="TableParagraph"/>
              <w:spacing w:before="27"/>
              <w:ind w:right="57"/>
              <w:rPr>
                <w:b/>
                <w:sz w:val="14"/>
              </w:rPr>
            </w:pPr>
            <w:r>
              <w:rPr>
                <w:b/>
                <w:w w:val="99"/>
                <w:sz w:val="14"/>
              </w:rPr>
              <w:t>-</w:t>
            </w:r>
          </w:p>
        </w:tc>
      </w:tr>
      <w:tr>
        <w:trPr>
          <w:trHeight w:val="229" w:hRule="atLeast"/>
        </w:trPr>
        <w:tc>
          <w:tcPr>
            <w:tcW w:w="1186" w:type="dxa"/>
            <w:tcBorders>
              <w:top w:val="single" w:sz="4" w:space="0" w:color="000000"/>
              <w:bottom w:val="single" w:sz="12" w:space="0" w:color="000000"/>
            </w:tcBorders>
          </w:tcPr>
          <w:p>
            <w:pPr>
              <w:pStyle w:val="TableParagraph"/>
              <w:spacing w:before="27"/>
              <w:ind w:left="67"/>
              <w:jc w:val="left"/>
              <w:rPr>
                <w:b/>
                <w:sz w:val="14"/>
              </w:rPr>
            </w:pPr>
            <w:r>
              <w:rPr>
                <w:b/>
                <w:sz w:val="14"/>
              </w:rPr>
              <w:t>Proposed</w:t>
            </w:r>
            <w:r>
              <w:rPr>
                <w:b/>
                <w:spacing w:val="-6"/>
                <w:sz w:val="14"/>
              </w:rPr>
              <w:t> </w:t>
            </w:r>
            <w:r>
              <w:rPr>
                <w:b/>
                <w:spacing w:val="-4"/>
                <w:sz w:val="14"/>
              </w:rPr>
              <w:t>2023</w:t>
            </w:r>
          </w:p>
        </w:tc>
        <w:tc>
          <w:tcPr>
            <w:tcW w:w="678" w:type="dxa"/>
            <w:tcBorders>
              <w:top w:val="single" w:sz="4" w:space="0" w:color="000000"/>
              <w:bottom w:val="single" w:sz="12" w:space="0" w:color="000000"/>
            </w:tcBorders>
          </w:tcPr>
          <w:p>
            <w:pPr>
              <w:pStyle w:val="TableParagraph"/>
              <w:spacing w:before="27"/>
              <w:ind w:right="154"/>
              <w:rPr>
                <w:b/>
                <w:sz w:val="14"/>
              </w:rPr>
            </w:pPr>
            <w:r>
              <w:rPr>
                <w:b/>
                <w:w w:val="99"/>
                <w:sz w:val="14"/>
              </w:rPr>
              <w:t>-</w:t>
            </w:r>
          </w:p>
        </w:tc>
        <w:tc>
          <w:tcPr>
            <w:tcW w:w="607" w:type="dxa"/>
            <w:tcBorders>
              <w:top w:val="single" w:sz="4" w:space="0" w:color="000000"/>
              <w:bottom w:val="single" w:sz="12" w:space="0" w:color="000000"/>
            </w:tcBorders>
          </w:tcPr>
          <w:p>
            <w:pPr>
              <w:pStyle w:val="TableParagraph"/>
              <w:spacing w:before="27"/>
              <w:ind w:right="170"/>
              <w:rPr>
                <w:b/>
                <w:sz w:val="14"/>
              </w:rPr>
            </w:pPr>
            <w:r>
              <w:rPr>
                <w:b/>
                <w:w w:val="99"/>
                <w:sz w:val="14"/>
              </w:rPr>
              <w:t>-</w:t>
            </w:r>
          </w:p>
        </w:tc>
        <w:tc>
          <w:tcPr>
            <w:tcW w:w="563" w:type="dxa"/>
            <w:tcBorders>
              <w:top w:val="single" w:sz="4" w:space="0" w:color="000000"/>
              <w:bottom w:val="single" w:sz="12" w:space="0" w:color="000000"/>
            </w:tcBorders>
          </w:tcPr>
          <w:p>
            <w:pPr>
              <w:pStyle w:val="TableParagraph"/>
              <w:spacing w:before="27"/>
              <w:ind w:right="171"/>
              <w:rPr>
                <w:b/>
                <w:sz w:val="14"/>
              </w:rPr>
            </w:pPr>
            <w:r>
              <w:rPr>
                <w:b/>
                <w:w w:val="99"/>
                <w:sz w:val="14"/>
              </w:rPr>
              <w:t>-</w:t>
            </w:r>
          </w:p>
        </w:tc>
        <w:tc>
          <w:tcPr>
            <w:tcW w:w="581" w:type="dxa"/>
            <w:tcBorders>
              <w:top w:val="single" w:sz="4" w:space="0" w:color="000000"/>
              <w:bottom w:val="single" w:sz="12" w:space="0" w:color="000000"/>
            </w:tcBorders>
          </w:tcPr>
          <w:p>
            <w:pPr>
              <w:pStyle w:val="TableParagraph"/>
              <w:spacing w:before="27"/>
              <w:ind w:right="192"/>
              <w:rPr>
                <w:b/>
                <w:sz w:val="14"/>
              </w:rPr>
            </w:pPr>
            <w:r>
              <w:rPr>
                <w:b/>
                <w:w w:val="99"/>
                <w:sz w:val="14"/>
              </w:rPr>
              <w:t>1</w:t>
            </w:r>
          </w:p>
        </w:tc>
        <w:tc>
          <w:tcPr>
            <w:tcW w:w="557" w:type="dxa"/>
            <w:tcBorders>
              <w:top w:val="single" w:sz="4" w:space="0" w:color="000000"/>
              <w:bottom w:val="single" w:sz="12" w:space="0" w:color="000000"/>
            </w:tcBorders>
          </w:tcPr>
          <w:p>
            <w:pPr>
              <w:pStyle w:val="TableParagraph"/>
              <w:spacing w:before="27"/>
              <w:ind w:right="167"/>
              <w:rPr>
                <w:b/>
                <w:sz w:val="14"/>
              </w:rPr>
            </w:pPr>
            <w:r>
              <w:rPr>
                <w:b/>
                <w:w w:val="99"/>
                <w:sz w:val="14"/>
              </w:rPr>
              <w:t>7</w:t>
            </w:r>
          </w:p>
        </w:tc>
        <w:tc>
          <w:tcPr>
            <w:tcW w:w="593" w:type="dxa"/>
            <w:tcBorders>
              <w:top w:val="single" w:sz="4" w:space="0" w:color="000000"/>
              <w:bottom w:val="single" w:sz="12" w:space="0" w:color="000000"/>
            </w:tcBorders>
          </w:tcPr>
          <w:p>
            <w:pPr>
              <w:pStyle w:val="TableParagraph"/>
              <w:spacing w:before="27"/>
              <w:ind w:right="167"/>
              <w:rPr>
                <w:b/>
                <w:sz w:val="14"/>
              </w:rPr>
            </w:pPr>
            <w:r>
              <w:rPr>
                <w:b/>
                <w:spacing w:val="-5"/>
                <w:sz w:val="14"/>
              </w:rPr>
              <w:t>23</w:t>
            </w:r>
          </w:p>
        </w:tc>
        <w:tc>
          <w:tcPr>
            <w:tcW w:w="621" w:type="dxa"/>
            <w:tcBorders>
              <w:top w:val="single" w:sz="4" w:space="0" w:color="000000"/>
              <w:bottom w:val="single" w:sz="12" w:space="0" w:color="000000"/>
            </w:tcBorders>
          </w:tcPr>
          <w:p>
            <w:pPr>
              <w:pStyle w:val="TableParagraph"/>
              <w:spacing w:before="27"/>
              <w:ind w:right="193"/>
              <w:rPr>
                <w:b/>
                <w:sz w:val="14"/>
              </w:rPr>
            </w:pPr>
            <w:r>
              <w:rPr>
                <w:b/>
                <w:spacing w:val="-5"/>
                <w:sz w:val="14"/>
              </w:rPr>
              <w:t>36</w:t>
            </w:r>
          </w:p>
        </w:tc>
        <w:tc>
          <w:tcPr>
            <w:tcW w:w="667" w:type="dxa"/>
            <w:tcBorders>
              <w:top w:val="single" w:sz="4" w:space="0" w:color="000000"/>
              <w:bottom w:val="single" w:sz="12" w:space="0" w:color="000000"/>
            </w:tcBorders>
          </w:tcPr>
          <w:p>
            <w:pPr>
              <w:pStyle w:val="TableParagraph"/>
              <w:spacing w:before="27"/>
              <w:ind w:right="120"/>
              <w:rPr>
                <w:b/>
                <w:sz w:val="14"/>
              </w:rPr>
            </w:pPr>
            <w:r>
              <w:rPr>
                <w:b/>
                <w:spacing w:val="-5"/>
                <w:sz w:val="14"/>
              </w:rPr>
              <w:t>43</w:t>
            </w:r>
          </w:p>
        </w:tc>
        <w:tc>
          <w:tcPr>
            <w:tcW w:w="534" w:type="dxa"/>
            <w:tcBorders>
              <w:top w:val="single" w:sz="4" w:space="0" w:color="000000"/>
              <w:bottom w:val="single" w:sz="12" w:space="0" w:color="000000"/>
            </w:tcBorders>
          </w:tcPr>
          <w:p>
            <w:pPr>
              <w:pStyle w:val="TableParagraph"/>
              <w:spacing w:before="27"/>
              <w:ind w:right="66"/>
              <w:rPr>
                <w:b/>
                <w:sz w:val="14"/>
              </w:rPr>
            </w:pPr>
            <w:r>
              <w:rPr>
                <w:b/>
                <w:w w:val="99"/>
                <w:sz w:val="14"/>
              </w:rPr>
              <w:t>6</w:t>
            </w:r>
          </w:p>
        </w:tc>
        <w:tc>
          <w:tcPr>
            <w:tcW w:w="794" w:type="dxa"/>
            <w:tcBorders>
              <w:top w:val="single" w:sz="4" w:space="0" w:color="000000"/>
              <w:bottom w:val="single" w:sz="12" w:space="0" w:color="000000"/>
            </w:tcBorders>
          </w:tcPr>
          <w:p>
            <w:pPr>
              <w:pStyle w:val="TableParagraph"/>
              <w:spacing w:before="27"/>
              <w:ind w:right="118"/>
              <w:rPr>
                <w:b/>
                <w:i/>
                <w:sz w:val="14"/>
              </w:rPr>
            </w:pPr>
            <w:r>
              <w:rPr>
                <w:b/>
                <w:i/>
                <w:spacing w:val="-5"/>
                <w:sz w:val="14"/>
              </w:rPr>
              <w:t>116</w:t>
            </w:r>
          </w:p>
        </w:tc>
        <w:tc>
          <w:tcPr>
            <w:tcW w:w="568" w:type="dxa"/>
            <w:tcBorders>
              <w:top w:val="single" w:sz="4" w:space="0" w:color="000000"/>
              <w:bottom w:val="single" w:sz="12" w:space="0" w:color="000000"/>
            </w:tcBorders>
          </w:tcPr>
          <w:p>
            <w:pPr>
              <w:pStyle w:val="TableParagraph"/>
              <w:spacing w:before="27"/>
              <w:ind w:right="97"/>
              <w:rPr>
                <w:b/>
                <w:sz w:val="14"/>
              </w:rPr>
            </w:pPr>
            <w:r>
              <w:rPr>
                <w:b/>
                <w:w w:val="99"/>
                <w:sz w:val="14"/>
              </w:rPr>
              <w:t>-</w:t>
            </w:r>
          </w:p>
        </w:tc>
        <w:tc>
          <w:tcPr>
            <w:tcW w:w="580" w:type="dxa"/>
            <w:tcBorders>
              <w:top w:val="single" w:sz="4" w:space="0" w:color="000000"/>
              <w:bottom w:val="single" w:sz="12" w:space="0" w:color="000000"/>
            </w:tcBorders>
          </w:tcPr>
          <w:p>
            <w:pPr>
              <w:pStyle w:val="TableParagraph"/>
              <w:spacing w:before="27"/>
              <w:ind w:right="87"/>
              <w:rPr>
                <w:b/>
                <w:sz w:val="14"/>
              </w:rPr>
            </w:pPr>
            <w:r>
              <w:rPr>
                <w:b/>
                <w:w w:val="99"/>
                <w:sz w:val="14"/>
              </w:rPr>
              <w:t>2</w:t>
            </w:r>
          </w:p>
        </w:tc>
        <w:tc>
          <w:tcPr>
            <w:tcW w:w="564" w:type="dxa"/>
            <w:tcBorders>
              <w:top w:val="single" w:sz="4" w:space="0" w:color="000000"/>
              <w:bottom w:val="single" w:sz="12" w:space="0" w:color="000000"/>
            </w:tcBorders>
          </w:tcPr>
          <w:p>
            <w:pPr>
              <w:pStyle w:val="TableParagraph"/>
              <w:spacing w:before="27"/>
              <w:ind w:right="54"/>
              <w:rPr>
                <w:b/>
                <w:sz w:val="14"/>
              </w:rPr>
            </w:pPr>
            <w:r>
              <w:rPr>
                <w:b/>
                <w:spacing w:val="-5"/>
                <w:sz w:val="14"/>
              </w:rPr>
              <w:t>75</w:t>
            </w:r>
          </w:p>
        </w:tc>
        <w:tc>
          <w:tcPr>
            <w:tcW w:w="813" w:type="dxa"/>
            <w:tcBorders>
              <w:top w:val="single" w:sz="4" w:space="0" w:color="000000"/>
              <w:bottom w:val="single" w:sz="12" w:space="0" w:color="000000"/>
            </w:tcBorders>
          </w:tcPr>
          <w:p>
            <w:pPr>
              <w:pStyle w:val="TableParagraph"/>
              <w:spacing w:before="27"/>
              <w:ind w:right="127"/>
              <w:rPr>
                <w:b/>
                <w:i/>
                <w:sz w:val="14"/>
              </w:rPr>
            </w:pPr>
            <w:r>
              <w:rPr>
                <w:b/>
                <w:i/>
                <w:spacing w:val="-5"/>
                <w:sz w:val="14"/>
              </w:rPr>
              <w:t>77</w:t>
            </w:r>
          </w:p>
        </w:tc>
        <w:tc>
          <w:tcPr>
            <w:tcW w:w="524" w:type="dxa"/>
            <w:tcBorders>
              <w:top w:val="single" w:sz="4" w:space="0" w:color="000000"/>
              <w:bottom w:val="single" w:sz="12" w:space="0" w:color="000000"/>
            </w:tcBorders>
          </w:tcPr>
          <w:p>
            <w:pPr>
              <w:pStyle w:val="TableParagraph"/>
              <w:spacing w:before="27"/>
              <w:ind w:right="51"/>
              <w:rPr>
                <w:b/>
                <w:sz w:val="14"/>
              </w:rPr>
            </w:pPr>
            <w:r>
              <w:rPr>
                <w:b/>
                <w:spacing w:val="-5"/>
                <w:sz w:val="14"/>
              </w:rPr>
              <w:t>193</w:t>
            </w:r>
          </w:p>
        </w:tc>
      </w:tr>
      <w:tr>
        <w:trPr>
          <w:trHeight w:val="569" w:hRule="atLeast"/>
        </w:trPr>
        <w:tc>
          <w:tcPr>
            <w:tcW w:w="1186" w:type="dxa"/>
            <w:tcBorders>
              <w:top w:val="single" w:sz="12" w:space="0" w:color="000000"/>
            </w:tcBorders>
          </w:tcPr>
          <w:p>
            <w:pPr>
              <w:pStyle w:val="TableParagraph"/>
              <w:spacing w:before="3"/>
              <w:jc w:val="left"/>
              <w:rPr>
                <w:b/>
                <w:sz w:val="19"/>
              </w:rPr>
            </w:pPr>
          </w:p>
          <w:p>
            <w:pPr>
              <w:pStyle w:val="TableParagraph"/>
              <w:spacing w:line="235" w:lineRule="auto" w:before="1"/>
              <w:ind w:left="67" w:right="232"/>
              <w:jc w:val="left"/>
              <w:rPr>
                <w:b/>
                <w:sz w:val="14"/>
              </w:rPr>
            </w:pPr>
            <w:r>
              <w:rPr>
                <w:b/>
                <w:sz w:val="14"/>
              </w:rPr>
              <w:t>GTA</w:t>
            </w:r>
            <w:r>
              <w:rPr>
                <w:b/>
                <w:spacing w:val="-9"/>
                <w:sz w:val="14"/>
              </w:rPr>
              <w:t> </w:t>
            </w:r>
            <w:r>
              <w:rPr>
                <w:b/>
                <w:sz w:val="14"/>
              </w:rPr>
              <w:t>Positions</w:t>
            </w:r>
            <w:r>
              <w:rPr>
                <w:b/>
                <w:spacing w:val="40"/>
                <w:sz w:val="14"/>
              </w:rPr>
              <w:t> </w:t>
            </w:r>
            <w:r>
              <w:rPr>
                <w:b/>
                <w:spacing w:val="-2"/>
                <w:sz w:val="14"/>
              </w:rPr>
              <w:t>(FTE)</w:t>
            </w:r>
          </w:p>
        </w:tc>
        <w:tc>
          <w:tcPr>
            <w:tcW w:w="678" w:type="dxa"/>
            <w:tcBorders>
              <w:top w:val="single" w:sz="12" w:space="0" w:color="000000"/>
            </w:tcBorders>
          </w:tcPr>
          <w:p>
            <w:pPr>
              <w:pStyle w:val="TableParagraph"/>
              <w:jc w:val="left"/>
              <w:rPr>
                <w:sz w:val="14"/>
              </w:rPr>
            </w:pPr>
          </w:p>
        </w:tc>
        <w:tc>
          <w:tcPr>
            <w:tcW w:w="607" w:type="dxa"/>
            <w:tcBorders>
              <w:top w:val="single" w:sz="12" w:space="0" w:color="000000"/>
            </w:tcBorders>
          </w:tcPr>
          <w:p>
            <w:pPr>
              <w:pStyle w:val="TableParagraph"/>
              <w:jc w:val="left"/>
              <w:rPr>
                <w:sz w:val="14"/>
              </w:rPr>
            </w:pPr>
          </w:p>
        </w:tc>
        <w:tc>
          <w:tcPr>
            <w:tcW w:w="563" w:type="dxa"/>
            <w:tcBorders>
              <w:top w:val="single" w:sz="12" w:space="0" w:color="000000"/>
            </w:tcBorders>
          </w:tcPr>
          <w:p>
            <w:pPr>
              <w:pStyle w:val="TableParagraph"/>
              <w:jc w:val="left"/>
              <w:rPr>
                <w:sz w:val="14"/>
              </w:rPr>
            </w:pPr>
          </w:p>
        </w:tc>
        <w:tc>
          <w:tcPr>
            <w:tcW w:w="581" w:type="dxa"/>
            <w:tcBorders>
              <w:top w:val="single" w:sz="12" w:space="0" w:color="000000"/>
            </w:tcBorders>
          </w:tcPr>
          <w:p>
            <w:pPr>
              <w:pStyle w:val="TableParagraph"/>
              <w:jc w:val="left"/>
              <w:rPr>
                <w:sz w:val="14"/>
              </w:rPr>
            </w:pPr>
          </w:p>
        </w:tc>
        <w:tc>
          <w:tcPr>
            <w:tcW w:w="557" w:type="dxa"/>
            <w:tcBorders>
              <w:top w:val="single" w:sz="12" w:space="0" w:color="000000"/>
            </w:tcBorders>
          </w:tcPr>
          <w:p>
            <w:pPr>
              <w:pStyle w:val="TableParagraph"/>
              <w:jc w:val="left"/>
              <w:rPr>
                <w:sz w:val="14"/>
              </w:rPr>
            </w:pPr>
          </w:p>
        </w:tc>
        <w:tc>
          <w:tcPr>
            <w:tcW w:w="593" w:type="dxa"/>
            <w:tcBorders>
              <w:top w:val="single" w:sz="12" w:space="0" w:color="000000"/>
            </w:tcBorders>
          </w:tcPr>
          <w:p>
            <w:pPr>
              <w:pStyle w:val="TableParagraph"/>
              <w:jc w:val="left"/>
              <w:rPr>
                <w:sz w:val="14"/>
              </w:rPr>
            </w:pPr>
          </w:p>
        </w:tc>
        <w:tc>
          <w:tcPr>
            <w:tcW w:w="621" w:type="dxa"/>
            <w:tcBorders>
              <w:top w:val="single" w:sz="12" w:space="0" w:color="000000"/>
            </w:tcBorders>
          </w:tcPr>
          <w:p>
            <w:pPr>
              <w:pStyle w:val="TableParagraph"/>
              <w:jc w:val="left"/>
              <w:rPr>
                <w:sz w:val="14"/>
              </w:rPr>
            </w:pPr>
          </w:p>
        </w:tc>
        <w:tc>
          <w:tcPr>
            <w:tcW w:w="667" w:type="dxa"/>
            <w:tcBorders>
              <w:top w:val="single" w:sz="12" w:space="0" w:color="000000"/>
            </w:tcBorders>
          </w:tcPr>
          <w:p>
            <w:pPr>
              <w:pStyle w:val="TableParagraph"/>
              <w:jc w:val="left"/>
              <w:rPr>
                <w:sz w:val="14"/>
              </w:rPr>
            </w:pPr>
          </w:p>
        </w:tc>
        <w:tc>
          <w:tcPr>
            <w:tcW w:w="534" w:type="dxa"/>
            <w:tcBorders>
              <w:top w:val="single" w:sz="12" w:space="0" w:color="000000"/>
            </w:tcBorders>
          </w:tcPr>
          <w:p>
            <w:pPr>
              <w:pStyle w:val="TableParagraph"/>
              <w:jc w:val="left"/>
              <w:rPr>
                <w:sz w:val="14"/>
              </w:rPr>
            </w:pPr>
          </w:p>
        </w:tc>
        <w:tc>
          <w:tcPr>
            <w:tcW w:w="794" w:type="dxa"/>
            <w:tcBorders>
              <w:top w:val="single" w:sz="12" w:space="0" w:color="000000"/>
            </w:tcBorders>
          </w:tcPr>
          <w:p>
            <w:pPr>
              <w:pStyle w:val="TableParagraph"/>
              <w:jc w:val="left"/>
              <w:rPr>
                <w:sz w:val="14"/>
              </w:rPr>
            </w:pPr>
          </w:p>
        </w:tc>
        <w:tc>
          <w:tcPr>
            <w:tcW w:w="568" w:type="dxa"/>
            <w:tcBorders>
              <w:top w:val="single" w:sz="12" w:space="0" w:color="000000"/>
            </w:tcBorders>
          </w:tcPr>
          <w:p>
            <w:pPr>
              <w:pStyle w:val="TableParagraph"/>
              <w:jc w:val="left"/>
              <w:rPr>
                <w:sz w:val="14"/>
              </w:rPr>
            </w:pPr>
          </w:p>
        </w:tc>
        <w:tc>
          <w:tcPr>
            <w:tcW w:w="580" w:type="dxa"/>
            <w:tcBorders>
              <w:top w:val="single" w:sz="12" w:space="0" w:color="000000"/>
            </w:tcBorders>
          </w:tcPr>
          <w:p>
            <w:pPr>
              <w:pStyle w:val="TableParagraph"/>
              <w:jc w:val="left"/>
              <w:rPr>
                <w:sz w:val="14"/>
              </w:rPr>
            </w:pPr>
          </w:p>
        </w:tc>
        <w:tc>
          <w:tcPr>
            <w:tcW w:w="564" w:type="dxa"/>
            <w:tcBorders>
              <w:top w:val="single" w:sz="12" w:space="0" w:color="000000"/>
            </w:tcBorders>
          </w:tcPr>
          <w:p>
            <w:pPr>
              <w:pStyle w:val="TableParagraph"/>
              <w:jc w:val="left"/>
              <w:rPr>
                <w:sz w:val="14"/>
              </w:rPr>
            </w:pPr>
          </w:p>
        </w:tc>
        <w:tc>
          <w:tcPr>
            <w:tcW w:w="813" w:type="dxa"/>
            <w:tcBorders>
              <w:top w:val="single" w:sz="12" w:space="0" w:color="000000"/>
            </w:tcBorders>
          </w:tcPr>
          <w:p>
            <w:pPr>
              <w:pStyle w:val="TableParagraph"/>
              <w:jc w:val="left"/>
              <w:rPr>
                <w:sz w:val="14"/>
              </w:rPr>
            </w:pPr>
          </w:p>
        </w:tc>
        <w:tc>
          <w:tcPr>
            <w:tcW w:w="524" w:type="dxa"/>
            <w:tcBorders>
              <w:top w:val="single" w:sz="12" w:space="0" w:color="000000"/>
            </w:tcBorders>
          </w:tcPr>
          <w:p>
            <w:pPr>
              <w:pStyle w:val="TableParagraph"/>
              <w:jc w:val="left"/>
              <w:rPr>
                <w:sz w:val="14"/>
              </w:rPr>
            </w:pPr>
          </w:p>
        </w:tc>
      </w:tr>
      <w:tr>
        <w:trPr>
          <w:trHeight w:val="207" w:hRule="atLeast"/>
        </w:trPr>
        <w:tc>
          <w:tcPr>
            <w:tcW w:w="1186" w:type="dxa"/>
            <w:tcBorders>
              <w:bottom w:val="single" w:sz="12" w:space="0" w:color="000000"/>
            </w:tcBorders>
          </w:tcPr>
          <w:p>
            <w:pPr>
              <w:pStyle w:val="TableParagraph"/>
              <w:spacing w:before="5"/>
              <w:ind w:left="67"/>
              <w:jc w:val="left"/>
              <w:rPr>
                <w:sz w:val="14"/>
              </w:rPr>
            </w:pPr>
            <w:r>
              <w:rPr>
                <w:w w:val="95"/>
                <w:sz w:val="14"/>
              </w:rPr>
              <w:t>Approved</w:t>
            </w:r>
            <w:r>
              <w:rPr>
                <w:spacing w:val="22"/>
                <w:sz w:val="14"/>
              </w:rPr>
              <w:t> </w:t>
            </w:r>
            <w:r>
              <w:rPr>
                <w:spacing w:val="-4"/>
                <w:sz w:val="14"/>
              </w:rPr>
              <w:t>2022</w:t>
            </w:r>
          </w:p>
        </w:tc>
        <w:tc>
          <w:tcPr>
            <w:tcW w:w="678" w:type="dxa"/>
            <w:tcBorders>
              <w:bottom w:val="single" w:sz="12" w:space="0" w:color="000000"/>
            </w:tcBorders>
          </w:tcPr>
          <w:p>
            <w:pPr>
              <w:pStyle w:val="TableParagraph"/>
              <w:spacing w:before="5"/>
              <w:ind w:right="154"/>
              <w:rPr>
                <w:sz w:val="14"/>
              </w:rPr>
            </w:pPr>
            <w:r>
              <w:rPr>
                <w:w w:val="99"/>
                <w:sz w:val="14"/>
              </w:rPr>
              <w:t>-</w:t>
            </w:r>
          </w:p>
        </w:tc>
        <w:tc>
          <w:tcPr>
            <w:tcW w:w="607" w:type="dxa"/>
            <w:tcBorders>
              <w:bottom w:val="single" w:sz="12" w:space="0" w:color="000000"/>
            </w:tcBorders>
          </w:tcPr>
          <w:p>
            <w:pPr>
              <w:pStyle w:val="TableParagraph"/>
              <w:spacing w:before="5"/>
              <w:ind w:right="170"/>
              <w:rPr>
                <w:sz w:val="14"/>
              </w:rPr>
            </w:pPr>
            <w:r>
              <w:rPr>
                <w:w w:val="99"/>
                <w:sz w:val="14"/>
              </w:rPr>
              <w:t>-</w:t>
            </w:r>
          </w:p>
        </w:tc>
        <w:tc>
          <w:tcPr>
            <w:tcW w:w="563" w:type="dxa"/>
            <w:tcBorders>
              <w:bottom w:val="single" w:sz="12" w:space="0" w:color="000000"/>
            </w:tcBorders>
          </w:tcPr>
          <w:p>
            <w:pPr>
              <w:pStyle w:val="TableParagraph"/>
              <w:spacing w:before="5"/>
              <w:ind w:right="171"/>
              <w:rPr>
                <w:sz w:val="14"/>
              </w:rPr>
            </w:pPr>
            <w:r>
              <w:rPr>
                <w:w w:val="99"/>
                <w:sz w:val="14"/>
              </w:rPr>
              <w:t>-</w:t>
            </w:r>
          </w:p>
        </w:tc>
        <w:tc>
          <w:tcPr>
            <w:tcW w:w="581" w:type="dxa"/>
            <w:tcBorders>
              <w:bottom w:val="single" w:sz="12" w:space="0" w:color="000000"/>
            </w:tcBorders>
          </w:tcPr>
          <w:p>
            <w:pPr>
              <w:pStyle w:val="TableParagraph"/>
              <w:spacing w:before="5"/>
              <w:ind w:right="191"/>
              <w:rPr>
                <w:sz w:val="14"/>
              </w:rPr>
            </w:pPr>
            <w:r>
              <w:rPr>
                <w:w w:val="99"/>
                <w:sz w:val="14"/>
              </w:rPr>
              <w:t>-</w:t>
            </w:r>
          </w:p>
        </w:tc>
        <w:tc>
          <w:tcPr>
            <w:tcW w:w="557" w:type="dxa"/>
            <w:tcBorders>
              <w:bottom w:val="single" w:sz="12" w:space="0" w:color="000000"/>
            </w:tcBorders>
          </w:tcPr>
          <w:p>
            <w:pPr>
              <w:pStyle w:val="TableParagraph"/>
              <w:spacing w:before="5"/>
              <w:ind w:right="166"/>
              <w:rPr>
                <w:sz w:val="14"/>
              </w:rPr>
            </w:pPr>
            <w:r>
              <w:rPr>
                <w:w w:val="99"/>
                <w:sz w:val="14"/>
              </w:rPr>
              <w:t>-</w:t>
            </w:r>
          </w:p>
        </w:tc>
        <w:tc>
          <w:tcPr>
            <w:tcW w:w="593" w:type="dxa"/>
            <w:tcBorders>
              <w:bottom w:val="single" w:sz="12" w:space="0" w:color="000000"/>
            </w:tcBorders>
          </w:tcPr>
          <w:p>
            <w:pPr>
              <w:pStyle w:val="TableParagraph"/>
              <w:spacing w:before="5"/>
              <w:ind w:right="170"/>
              <w:rPr>
                <w:sz w:val="14"/>
              </w:rPr>
            </w:pPr>
            <w:r>
              <w:rPr>
                <w:spacing w:val="-4"/>
                <w:sz w:val="14"/>
              </w:rPr>
              <w:t>1.75</w:t>
            </w:r>
          </w:p>
        </w:tc>
        <w:tc>
          <w:tcPr>
            <w:tcW w:w="621" w:type="dxa"/>
            <w:tcBorders>
              <w:bottom w:val="single" w:sz="12" w:space="0" w:color="000000"/>
            </w:tcBorders>
          </w:tcPr>
          <w:p>
            <w:pPr>
              <w:pStyle w:val="TableParagraph"/>
              <w:spacing w:before="5"/>
              <w:ind w:right="196"/>
              <w:rPr>
                <w:sz w:val="14"/>
              </w:rPr>
            </w:pPr>
            <w:r>
              <w:rPr>
                <w:spacing w:val="-4"/>
                <w:sz w:val="14"/>
              </w:rPr>
              <w:t>3.68</w:t>
            </w:r>
          </w:p>
        </w:tc>
        <w:tc>
          <w:tcPr>
            <w:tcW w:w="667" w:type="dxa"/>
            <w:tcBorders>
              <w:bottom w:val="single" w:sz="12" w:space="0" w:color="000000"/>
            </w:tcBorders>
          </w:tcPr>
          <w:p>
            <w:pPr>
              <w:pStyle w:val="TableParagraph"/>
              <w:spacing w:before="5"/>
              <w:ind w:right="124"/>
              <w:rPr>
                <w:sz w:val="14"/>
              </w:rPr>
            </w:pPr>
            <w:r>
              <w:rPr>
                <w:spacing w:val="-2"/>
                <w:sz w:val="14"/>
              </w:rPr>
              <w:t>10.39</w:t>
            </w:r>
          </w:p>
        </w:tc>
        <w:tc>
          <w:tcPr>
            <w:tcW w:w="534" w:type="dxa"/>
            <w:tcBorders>
              <w:bottom w:val="single" w:sz="12" w:space="0" w:color="000000"/>
            </w:tcBorders>
          </w:tcPr>
          <w:p>
            <w:pPr>
              <w:pStyle w:val="TableParagraph"/>
              <w:spacing w:before="5"/>
              <w:ind w:right="62"/>
              <w:rPr>
                <w:sz w:val="14"/>
              </w:rPr>
            </w:pPr>
            <w:r>
              <w:rPr>
                <w:spacing w:val="-4"/>
                <w:sz w:val="14"/>
              </w:rPr>
              <w:t>1.00</w:t>
            </w:r>
          </w:p>
        </w:tc>
        <w:tc>
          <w:tcPr>
            <w:tcW w:w="794" w:type="dxa"/>
            <w:tcBorders>
              <w:bottom w:val="single" w:sz="12" w:space="0" w:color="000000"/>
            </w:tcBorders>
          </w:tcPr>
          <w:p>
            <w:pPr>
              <w:pStyle w:val="TableParagraph"/>
              <w:spacing w:before="5"/>
              <w:ind w:right="122"/>
              <w:rPr>
                <w:i/>
                <w:sz w:val="14"/>
              </w:rPr>
            </w:pPr>
            <w:r>
              <w:rPr>
                <w:i/>
                <w:spacing w:val="-2"/>
                <w:sz w:val="14"/>
              </w:rPr>
              <w:t>16.81</w:t>
            </w:r>
          </w:p>
        </w:tc>
        <w:tc>
          <w:tcPr>
            <w:tcW w:w="568" w:type="dxa"/>
            <w:tcBorders>
              <w:bottom w:val="single" w:sz="12" w:space="0" w:color="000000"/>
            </w:tcBorders>
          </w:tcPr>
          <w:p>
            <w:pPr>
              <w:pStyle w:val="TableParagraph"/>
              <w:spacing w:before="5"/>
              <w:ind w:right="97"/>
              <w:rPr>
                <w:sz w:val="14"/>
              </w:rPr>
            </w:pPr>
            <w:r>
              <w:rPr>
                <w:w w:val="99"/>
                <w:sz w:val="14"/>
              </w:rPr>
              <w:t>-</w:t>
            </w:r>
          </w:p>
        </w:tc>
        <w:tc>
          <w:tcPr>
            <w:tcW w:w="580" w:type="dxa"/>
            <w:tcBorders>
              <w:bottom w:val="single" w:sz="12" w:space="0" w:color="000000"/>
            </w:tcBorders>
          </w:tcPr>
          <w:p>
            <w:pPr>
              <w:pStyle w:val="TableParagraph"/>
              <w:spacing w:before="5"/>
              <w:ind w:right="83"/>
              <w:rPr>
                <w:sz w:val="14"/>
              </w:rPr>
            </w:pPr>
            <w:r>
              <w:rPr>
                <w:spacing w:val="-2"/>
                <w:sz w:val="14"/>
              </w:rPr>
              <w:t>10.59</w:t>
            </w:r>
          </w:p>
        </w:tc>
        <w:tc>
          <w:tcPr>
            <w:tcW w:w="564" w:type="dxa"/>
            <w:tcBorders>
              <w:bottom w:val="single" w:sz="12" w:space="0" w:color="000000"/>
            </w:tcBorders>
          </w:tcPr>
          <w:p>
            <w:pPr>
              <w:pStyle w:val="TableParagraph"/>
              <w:spacing w:before="5"/>
              <w:ind w:right="56"/>
              <w:rPr>
                <w:sz w:val="14"/>
              </w:rPr>
            </w:pPr>
            <w:r>
              <w:rPr>
                <w:spacing w:val="-4"/>
                <w:sz w:val="14"/>
              </w:rPr>
              <w:t>8.19</w:t>
            </w:r>
          </w:p>
        </w:tc>
        <w:tc>
          <w:tcPr>
            <w:tcW w:w="813" w:type="dxa"/>
            <w:tcBorders>
              <w:bottom w:val="single" w:sz="12" w:space="0" w:color="000000"/>
            </w:tcBorders>
          </w:tcPr>
          <w:p>
            <w:pPr>
              <w:pStyle w:val="TableParagraph"/>
              <w:spacing w:before="5"/>
              <w:ind w:right="130"/>
              <w:rPr>
                <w:i/>
                <w:sz w:val="14"/>
              </w:rPr>
            </w:pPr>
            <w:r>
              <w:rPr>
                <w:i/>
                <w:spacing w:val="-2"/>
                <w:sz w:val="14"/>
              </w:rPr>
              <w:t>18.78</w:t>
            </w:r>
          </w:p>
        </w:tc>
        <w:tc>
          <w:tcPr>
            <w:tcW w:w="524" w:type="dxa"/>
            <w:tcBorders>
              <w:bottom w:val="single" w:sz="12" w:space="0" w:color="000000"/>
            </w:tcBorders>
          </w:tcPr>
          <w:p>
            <w:pPr>
              <w:pStyle w:val="TableParagraph"/>
              <w:spacing w:before="5"/>
              <w:ind w:right="54"/>
              <w:rPr>
                <w:b/>
                <w:sz w:val="14"/>
              </w:rPr>
            </w:pPr>
            <w:r>
              <w:rPr>
                <w:b/>
                <w:spacing w:val="-2"/>
                <w:sz w:val="14"/>
              </w:rPr>
              <w:t>35.59</w:t>
            </w:r>
          </w:p>
        </w:tc>
      </w:tr>
      <w:tr>
        <w:trPr>
          <w:trHeight w:val="224" w:hRule="atLeast"/>
        </w:trPr>
        <w:tc>
          <w:tcPr>
            <w:tcW w:w="1186" w:type="dxa"/>
            <w:tcBorders>
              <w:top w:val="single" w:sz="12" w:space="0" w:color="000000"/>
              <w:bottom w:val="single" w:sz="4" w:space="0" w:color="000000"/>
            </w:tcBorders>
          </w:tcPr>
          <w:p>
            <w:pPr>
              <w:pStyle w:val="TableParagraph"/>
              <w:spacing w:before="22"/>
              <w:ind w:left="67"/>
              <w:jc w:val="left"/>
              <w:rPr>
                <w:sz w:val="14"/>
              </w:rPr>
            </w:pPr>
            <w:r>
              <w:rPr>
                <w:spacing w:val="-2"/>
                <w:sz w:val="14"/>
              </w:rPr>
              <w:t>Continued</w:t>
            </w:r>
          </w:p>
        </w:tc>
        <w:tc>
          <w:tcPr>
            <w:tcW w:w="678" w:type="dxa"/>
            <w:tcBorders>
              <w:top w:val="single" w:sz="12" w:space="0" w:color="000000"/>
              <w:bottom w:val="single" w:sz="4" w:space="0" w:color="000000"/>
            </w:tcBorders>
          </w:tcPr>
          <w:p>
            <w:pPr>
              <w:pStyle w:val="TableParagraph"/>
              <w:spacing w:before="22"/>
              <w:ind w:right="154"/>
              <w:rPr>
                <w:sz w:val="14"/>
              </w:rPr>
            </w:pPr>
            <w:r>
              <w:rPr>
                <w:w w:val="99"/>
                <w:sz w:val="14"/>
              </w:rPr>
              <w:t>-</w:t>
            </w:r>
          </w:p>
        </w:tc>
        <w:tc>
          <w:tcPr>
            <w:tcW w:w="607" w:type="dxa"/>
            <w:tcBorders>
              <w:top w:val="single" w:sz="12" w:space="0" w:color="000000"/>
              <w:bottom w:val="single" w:sz="4" w:space="0" w:color="000000"/>
            </w:tcBorders>
          </w:tcPr>
          <w:p>
            <w:pPr>
              <w:pStyle w:val="TableParagraph"/>
              <w:spacing w:before="22"/>
              <w:ind w:right="170"/>
              <w:rPr>
                <w:sz w:val="14"/>
              </w:rPr>
            </w:pPr>
            <w:r>
              <w:rPr>
                <w:w w:val="99"/>
                <w:sz w:val="14"/>
              </w:rPr>
              <w:t>-</w:t>
            </w:r>
          </w:p>
        </w:tc>
        <w:tc>
          <w:tcPr>
            <w:tcW w:w="563" w:type="dxa"/>
            <w:tcBorders>
              <w:top w:val="single" w:sz="12" w:space="0" w:color="000000"/>
              <w:bottom w:val="single" w:sz="4" w:space="0" w:color="000000"/>
            </w:tcBorders>
          </w:tcPr>
          <w:p>
            <w:pPr>
              <w:pStyle w:val="TableParagraph"/>
              <w:spacing w:before="22"/>
              <w:ind w:right="171"/>
              <w:rPr>
                <w:sz w:val="14"/>
              </w:rPr>
            </w:pPr>
            <w:r>
              <w:rPr>
                <w:w w:val="99"/>
                <w:sz w:val="14"/>
              </w:rPr>
              <w:t>-</w:t>
            </w:r>
          </w:p>
        </w:tc>
        <w:tc>
          <w:tcPr>
            <w:tcW w:w="581" w:type="dxa"/>
            <w:tcBorders>
              <w:top w:val="single" w:sz="12" w:space="0" w:color="000000"/>
              <w:bottom w:val="single" w:sz="4" w:space="0" w:color="000000"/>
            </w:tcBorders>
          </w:tcPr>
          <w:p>
            <w:pPr>
              <w:pStyle w:val="TableParagraph"/>
              <w:spacing w:before="22"/>
              <w:ind w:right="191"/>
              <w:rPr>
                <w:sz w:val="14"/>
              </w:rPr>
            </w:pPr>
            <w:r>
              <w:rPr>
                <w:w w:val="99"/>
                <w:sz w:val="14"/>
              </w:rPr>
              <w:t>-</w:t>
            </w:r>
          </w:p>
        </w:tc>
        <w:tc>
          <w:tcPr>
            <w:tcW w:w="557" w:type="dxa"/>
            <w:tcBorders>
              <w:top w:val="single" w:sz="12" w:space="0" w:color="000000"/>
              <w:bottom w:val="single" w:sz="4" w:space="0" w:color="000000"/>
            </w:tcBorders>
          </w:tcPr>
          <w:p>
            <w:pPr>
              <w:pStyle w:val="TableParagraph"/>
              <w:spacing w:before="22"/>
              <w:ind w:right="166"/>
              <w:rPr>
                <w:sz w:val="14"/>
              </w:rPr>
            </w:pPr>
            <w:r>
              <w:rPr>
                <w:w w:val="99"/>
                <w:sz w:val="14"/>
              </w:rPr>
              <w:t>-</w:t>
            </w:r>
          </w:p>
        </w:tc>
        <w:tc>
          <w:tcPr>
            <w:tcW w:w="593" w:type="dxa"/>
            <w:tcBorders>
              <w:top w:val="single" w:sz="12" w:space="0" w:color="000000"/>
              <w:bottom w:val="single" w:sz="4" w:space="0" w:color="000000"/>
            </w:tcBorders>
          </w:tcPr>
          <w:p>
            <w:pPr>
              <w:pStyle w:val="TableParagraph"/>
              <w:spacing w:before="22"/>
              <w:ind w:right="170"/>
              <w:rPr>
                <w:sz w:val="14"/>
              </w:rPr>
            </w:pPr>
            <w:r>
              <w:rPr>
                <w:spacing w:val="-4"/>
                <w:sz w:val="14"/>
              </w:rPr>
              <w:t>1.00</w:t>
            </w:r>
          </w:p>
        </w:tc>
        <w:tc>
          <w:tcPr>
            <w:tcW w:w="621" w:type="dxa"/>
            <w:tcBorders>
              <w:top w:val="single" w:sz="12" w:space="0" w:color="000000"/>
              <w:bottom w:val="single" w:sz="4" w:space="0" w:color="000000"/>
            </w:tcBorders>
          </w:tcPr>
          <w:p>
            <w:pPr>
              <w:pStyle w:val="TableParagraph"/>
              <w:spacing w:before="22"/>
              <w:ind w:right="196"/>
              <w:rPr>
                <w:sz w:val="14"/>
              </w:rPr>
            </w:pPr>
            <w:r>
              <w:rPr>
                <w:spacing w:val="-4"/>
                <w:sz w:val="14"/>
              </w:rPr>
              <w:t>3.00</w:t>
            </w:r>
          </w:p>
        </w:tc>
        <w:tc>
          <w:tcPr>
            <w:tcW w:w="667" w:type="dxa"/>
            <w:tcBorders>
              <w:top w:val="single" w:sz="12" w:space="0" w:color="000000"/>
              <w:bottom w:val="single" w:sz="4" w:space="0" w:color="000000"/>
            </w:tcBorders>
          </w:tcPr>
          <w:p>
            <w:pPr>
              <w:pStyle w:val="TableParagraph"/>
              <w:spacing w:before="22"/>
              <w:ind w:right="124"/>
              <w:rPr>
                <w:sz w:val="14"/>
              </w:rPr>
            </w:pPr>
            <w:r>
              <w:rPr>
                <w:spacing w:val="-2"/>
                <w:sz w:val="14"/>
              </w:rPr>
              <w:t>13.00</w:t>
            </w:r>
          </w:p>
        </w:tc>
        <w:tc>
          <w:tcPr>
            <w:tcW w:w="534" w:type="dxa"/>
            <w:tcBorders>
              <w:top w:val="single" w:sz="12" w:space="0" w:color="000000"/>
              <w:bottom w:val="single" w:sz="4" w:space="0" w:color="000000"/>
            </w:tcBorders>
          </w:tcPr>
          <w:p>
            <w:pPr>
              <w:pStyle w:val="TableParagraph"/>
              <w:spacing w:before="22"/>
              <w:ind w:right="62"/>
              <w:rPr>
                <w:sz w:val="14"/>
              </w:rPr>
            </w:pPr>
            <w:r>
              <w:rPr>
                <w:spacing w:val="-4"/>
                <w:sz w:val="14"/>
              </w:rPr>
              <w:t>1.00</w:t>
            </w:r>
          </w:p>
        </w:tc>
        <w:tc>
          <w:tcPr>
            <w:tcW w:w="794" w:type="dxa"/>
            <w:tcBorders>
              <w:top w:val="single" w:sz="12" w:space="0" w:color="000000"/>
              <w:bottom w:val="single" w:sz="4" w:space="0" w:color="000000"/>
            </w:tcBorders>
          </w:tcPr>
          <w:p>
            <w:pPr>
              <w:pStyle w:val="TableParagraph"/>
              <w:spacing w:before="22"/>
              <w:ind w:right="122"/>
              <w:rPr>
                <w:i/>
                <w:sz w:val="14"/>
              </w:rPr>
            </w:pPr>
            <w:r>
              <w:rPr>
                <w:i/>
                <w:spacing w:val="-2"/>
                <w:sz w:val="14"/>
              </w:rPr>
              <w:t>18.00</w:t>
            </w:r>
          </w:p>
        </w:tc>
        <w:tc>
          <w:tcPr>
            <w:tcW w:w="568" w:type="dxa"/>
            <w:tcBorders>
              <w:top w:val="single" w:sz="12" w:space="0" w:color="000000"/>
              <w:bottom w:val="single" w:sz="4" w:space="0" w:color="000000"/>
            </w:tcBorders>
          </w:tcPr>
          <w:p>
            <w:pPr>
              <w:pStyle w:val="TableParagraph"/>
              <w:spacing w:before="22"/>
              <w:ind w:right="97"/>
              <w:rPr>
                <w:sz w:val="14"/>
              </w:rPr>
            </w:pPr>
            <w:r>
              <w:rPr>
                <w:w w:val="99"/>
                <w:sz w:val="14"/>
              </w:rPr>
              <w:t>-</w:t>
            </w:r>
          </w:p>
        </w:tc>
        <w:tc>
          <w:tcPr>
            <w:tcW w:w="580" w:type="dxa"/>
            <w:tcBorders>
              <w:top w:val="single" w:sz="12" w:space="0" w:color="000000"/>
              <w:bottom w:val="single" w:sz="4" w:space="0" w:color="000000"/>
            </w:tcBorders>
          </w:tcPr>
          <w:p>
            <w:pPr>
              <w:pStyle w:val="TableParagraph"/>
              <w:spacing w:before="22"/>
              <w:ind w:right="83"/>
              <w:rPr>
                <w:sz w:val="14"/>
              </w:rPr>
            </w:pPr>
            <w:r>
              <w:rPr>
                <w:spacing w:val="-4"/>
                <w:sz w:val="14"/>
              </w:rPr>
              <w:t>5.50</w:t>
            </w:r>
          </w:p>
        </w:tc>
        <w:tc>
          <w:tcPr>
            <w:tcW w:w="564" w:type="dxa"/>
            <w:tcBorders>
              <w:top w:val="single" w:sz="12" w:space="0" w:color="000000"/>
              <w:bottom w:val="single" w:sz="4" w:space="0" w:color="000000"/>
            </w:tcBorders>
          </w:tcPr>
          <w:p>
            <w:pPr>
              <w:pStyle w:val="TableParagraph"/>
              <w:spacing w:before="22"/>
              <w:ind w:right="57"/>
              <w:rPr>
                <w:sz w:val="14"/>
              </w:rPr>
            </w:pPr>
            <w:r>
              <w:rPr>
                <w:spacing w:val="-2"/>
                <w:sz w:val="14"/>
              </w:rPr>
              <w:t>12.00</w:t>
            </w:r>
          </w:p>
        </w:tc>
        <w:tc>
          <w:tcPr>
            <w:tcW w:w="813" w:type="dxa"/>
            <w:tcBorders>
              <w:top w:val="single" w:sz="12" w:space="0" w:color="000000"/>
              <w:bottom w:val="single" w:sz="4" w:space="0" w:color="000000"/>
            </w:tcBorders>
          </w:tcPr>
          <w:p>
            <w:pPr>
              <w:pStyle w:val="TableParagraph"/>
              <w:spacing w:before="22"/>
              <w:ind w:right="130"/>
              <w:rPr>
                <w:i/>
                <w:sz w:val="14"/>
              </w:rPr>
            </w:pPr>
            <w:r>
              <w:rPr>
                <w:i/>
                <w:spacing w:val="-2"/>
                <w:sz w:val="14"/>
              </w:rPr>
              <w:t>17.50</w:t>
            </w:r>
          </w:p>
        </w:tc>
        <w:tc>
          <w:tcPr>
            <w:tcW w:w="524" w:type="dxa"/>
            <w:tcBorders>
              <w:top w:val="single" w:sz="12" w:space="0" w:color="000000"/>
              <w:bottom w:val="single" w:sz="4" w:space="0" w:color="000000"/>
            </w:tcBorders>
          </w:tcPr>
          <w:p>
            <w:pPr>
              <w:pStyle w:val="TableParagraph"/>
              <w:spacing w:before="22"/>
              <w:ind w:right="54"/>
              <w:rPr>
                <w:b/>
                <w:sz w:val="14"/>
              </w:rPr>
            </w:pPr>
            <w:r>
              <w:rPr>
                <w:b/>
                <w:spacing w:val="-2"/>
                <w:sz w:val="14"/>
              </w:rPr>
              <w:t>35.50</w:t>
            </w:r>
          </w:p>
        </w:tc>
      </w:tr>
      <w:tr>
        <w:trPr>
          <w:trHeight w:val="230" w:hRule="atLeast"/>
        </w:trPr>
        <w:tc>
          <w:tcPr>
            <w:tcW w:w="1186" w:type="dxa"/>
            <w:tcBorders>
              <w:top w:val="single" w:sz="4" w:space="0" w:color="000000"/>
              <w:bottom w:val="single" w:sz="4" w:space="0" w:color="000000"/>
            </w:tcBorders>
          </w:tcPr>
          <w:p>
            <w:pPr>
              <w:pStyle w:val="TableParagraph"/>
              <w:spacing w:before="27"/>
              <w:ind w:left="67"/>
              <w:jc w:val="left"/>
              <w:rPr>
                <w:sz w:val="14"/>
              </w:rPr>
            </w:pPr>
            <w:r>
              <w:rPr>
                <w:spacing w:val="-5"/>
                <w:sz w:val="14"/>
              </w:rPr>
              <w:t>New</w:t>
            </w:r>
          </w:p>
        </w:tc>
        <w:tc>
          <w:tcPr>
            <w:tcW w:w="678" w:type="dxa"/>
            <w:tcBorders>
              <w:top w:val="single" w:sz="4" w:space="0" w:color="000000"/>
              <w:bottom w:val="single" w:sz="4" w:space="0" w:color="000000"/>
            </w:tcBorders>
          </w:tcPr>
          <w:p>
            <w:pPr>
              <w:pStyle w:val="TableParagraph"/>
              <w:spacing w:before="27"/>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7"/>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7"/>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7"/>
              <w:ind w:right="191"/>
              <w:rPr>
                <w:sz w:val="14"/>
              </w:rPr>
            </w:pPr>
            <w:r>
              <w:rPr>
                <w:w w:val="99"/>
                <w:sz w:val="14"/>
              </w:rPr>
              <w:t>-</w:t>
            </w:r>
          </w:p>
        </w:tc>
        <w:tc>
          <w:tcPr>
            <w:tcW w:w="557" w:type="dxa"/>
            <w:tcBorders>
              <w:top w:val="single" w:sz="4" w:space="0" w:color="000000"/>
              <w:bottom w:val="single" w:sz="4" w:space="0" w:color="000000"/>
            </w:tcBorders>
          </w:tcPr>
          <w:p>
            <w:pPr>
              <w:pStyle w:val="TableParagraph"/>
              <w:spacing w:before="27"/>
              <w:ind w:right="166"/>
              <w:rPr>
                <w:sz w:val="14"/>
              </w:rPr>
            </w:pPr>
            <w:r>
              <w:rPr>
                <w:w w:val="99"/>
                <w:sz w:val="14"/>
              </w:rPr>
              <w:t>-</w:t>
            </w:r>
          </w:p>
        </w:tc>
        <w:tc>
          <w:tcPr>
            <w:tcW w:w="593" w:type="dxa"/>
            <w:tcBorders>
              <w:top w:val="single" w:sz="4" w:space="0" w:color="000000"/>
              <w:bottom w:val="single" w:sz="4" w:space="0" w:color="000000"/>
            </w:tcBorders>
          </w:tcPr>
          <w:p>
            <w:pPr>
              <w:pStyle w:val="TableParagraph"/>
              <w:spacing w:before="27"/>
              <w:ind w:right="174"/>
              <w:rPr>
                <w:sz w:val="14"/>
              </w:rPr>
            </w:pPr>
            <w:r>
              <w:rPr>
                <w:w w:val="99"/>
                <w:sz w:val="14"/>
              </w:rPr>
              <w:t>-</w:t>
            </w:r>
          </w:p>
        </w:tc>
        <w:tc>
          <w:tcPr>
            <w:tcW w:w="621" w:type="dxa"/>
            <w:tcBorders>
              <w:top w:val="single" w:sz="4" w:space="0" w:color="000000"/>
              <w:bottom w:val="single" w:sz="4" w:space="0" w:color="000000"/>
            </w:tcBorders>
          </w:tcPr>
          <w:p>
            <w:pPr>
              <w:pStyle w:val="TableParagraph"/>
              <w:spacing w:before="27"/>
              <w:ind w:right="199"/>
              <w:rPr>
                <w:sz w:val="14"/>
              </w:rPr>
            </w:pPr>
            <w:r>
              <w:rPr>
                <w:w w:val="99"/>
                <w:sz w:val="14"/>
              </w:rPr>
              <w:t>-</w:t>
            </w:r>
          </w:p>
        </w:tc>
        <w:tc>
          <w:tcPr>
            <w:tcW w:w="667" w:type="dxa"/>
            <w:tcBorders>
              <w:top w:val="single" w:sz="4" w:space="0" w:color="000000"/>
              <w:bottom w:val="single" w:sz="4" w:space="0" w:color="000000"/>
            </w:tcBorders>
          </w:tcPr>
          <w:p>
            <w:pPr>
              <w:pStyle w:val="TableParagraph"/>
              <w:spacing w:before="27"/>
              <w:ind w:right="123"/>
              <w:rPr>
                <w:sz w:val="14"/>
              </w:rPr>
            </w:pPr>
            <w:r>
              <w:rPr>
                <w:spacing w:val="-4"/>
                <w:sz w:val="14"/>
              </w:rPr>
              <w:t>1.25</w:t>
            </w:r>
          </w:p>
        </w:tc>
        <w:tc>
          <w:tcPr>
            <w:tcW w:w="534" w:type="dxa"/>
            <w:tcBorders>
              <w:top w:val="single" w:sz="4" w:space="0" w:color="000000"/>
              <w:bottom w:val="single" w:sz="4" w:space="0" w:color="000000"/>
            </w:tcBorders>
          </w:tcPr>
          <w:p>
            <w:pPr>
              <w:pStyle w:val="TableParagraph"/>
              <w:spacing w:before="27"/>
              <w:ind w:right="62"/>
              <w:rPr>
                <w:sz w:val="14"/>
              </w:rPr>
            </w:pPr>
            <w:r>
              <w:rPr>
                <w:spacing w:val="-4"/>
                <w:sz w:val="14"/>
              </w:rPr>
              <w:t>8.00</w:t>
            </w:r>
          </w:p>
        </w:tc>
        <w:tc>
          <w:tcPr>
            <w:tcW w:w="794" w:type="dxa"/>
            <w:tcBorders>
              <w:top w:val="single" w:sz="4" w:space="0" w:color="000000"/>
              <w:bottom w:val="single" w:sz="4" w:space="0" w:color="000000"/>
            </w:tcBorders>
          </w:tcPr>
          <w:p>
            <w:pPr>
              <w:pStyle w:val="TableParagraph"/>
              <w:spacing w:before="27"/>
              <w:ind w:right="121"/>
              <w:rPr>
                <w:i/>
                <w:sz w:val="14"/>
              </w:rPr>
            </w:pPr>
            <w:r>
              <w:rPr>
                <w:i/>
                <w:spacing w:val="-4"/>
                <w:sz w:val="14"/>
              </w:rPr>
              <w:t>9.25</w:t>
            </w:r>
          </w:p>
        </w:tc>
        <w:tc>
          <w:tcPr>
            <w:tcW w:w="568" w:type="dxa"/>
            <w:tcBorders>
              <w:top w:val="single" w:sz="4" w:space="0" w:color="000000"/>
              <w:bottom w:val="single" w:sz="4" w:space="0" w:color="000000"/>
            </w:tcBorders>
          </w:tcPr>
          <w:p>
            <w:pPr>
              <w:pStyle w:val="TableParagraph"/>
              <w:spacing w:before="27"/>
              <w:ind w:right="97"/>
              <w:rPr>
                <w:sz w:val="14"/>
              </w:rPr>
            </w:pPr>
            <w:r>
              <w:rPr>
                <w:w w:val="99"/>
                <w:sz w:val="14"/>
              </w:rPr>
              <w:t>-</w:t>
            </w:r>
          </w:p>
        </w:tc>
        <w:tc>
          <w:tcPr>
            <w:tcW w:w="580" w:type="dxa"/>
            <w:tcBorders>
              <w:top w:val="single" w:sz="4" w:space="0" w:color="000000"/>
              <w:bottom w:val="single" w:sz="4" w:space="0" w:color="000000"/>
            </w:tcBorders>
          </w:tcPr>
          <w:p>
            <w:pPr>
              <w:pStyle w:val="TableParagraph"/>
              <w:spacing w:before="27"/>
              <w:ind w:right="83"/>
              <w:rPr>
                <w:sz w:val="14"/>
              </w:rPr>
            </w:pPr>
            <w:r>
              <w:rPr>
                <w:spacing w:val="-4"/>
                <w:sz w:val="14"/>
              </w:rPr>
              <w:t>9.67</w:t>
            </w:r>
          </w:p>
        </w:tc>
        <w:tc>
          <w:tcPr>
            <w:tcW w:w="564" w:type="dxa"/>
            <w:tcBorders>
              <w:top w:val="single" w:sz="4" w:space="0" w:color="000000"/>
              <w:bottom w:val="single" w:sz="4" w:space="0" w:color="000000"/>
            </w:tcBorders>
          </w:tcPr>
          <w:p>
            <w:pPr>
              <w:pStyle w:val="TableParagraph"/>
              <w:spacing w:before="27"/>
              <w:ind w:right="56"/>
              <w:rPr>
                <w:sz w:val="14"/>
              </w:rPr>
            </w:pPr>
            <w:r>
              <w:rPr>
                <w:spacing w:val="-4"/>
                <w:sz w:val="14"/>
              </w:rPr>
              <w:t>1.25</w:t>
            </w:r>
          </w:p>
        </w:tc>
        <w:tc>
          <w:tcPr>
            <w:tcW w:w="813" w:type="dxa"/>
            <w:tcBorders>
              <w:top w:val="single" w:sz="4" w:space="0" w:color="000000"/>
              <w:bottom w:val="single" w:sz="4" w:space="0" w:color="000000"/>
            </w:tcBorders>
          </w:tcPr>
          <w:p>
            <w:pPr>
              <w:pStyle w:val="TableParagraph"/>
              <w:spacing w:before="27"/>
              <w:ind w:right="130"/>
              <w:rPr>
                <w:i/>
                <w:sz w:val="14"/>
              </w:rPr>
            </w:pPr>
            <w:r>
              <w:rPr>
                <w:i/>
                <w:spacing w:val="-2"/>
                <w:sz w:val="14"/>
              </w:rPr>
              <w:t>10.92</w:t>
            </w:r>
          </w:p>
        </w:tc>
        <w:tc>
          <w:tcPr>
            <w:tcW w:w="524" w:type="dxa"/>
            <w:tcBorders>
              <w:top w:val="single" w:sz="4" w:space="0" w:color="000000"/>
              <w:bottom w:val="single" w:sz="4" w:space="0" w:color="000000"/>
            </w:tcBorders>
          </w:tcPr>
          <w:p>
            <w:pPr>
              <w:pStyle w:val="TableParagraph"/>
              <w:spacing w:before="27"/>
              <w:ind w:right="54"/>
              <w:rPr>
                <w:b/>
                <w:sz w:val="14"/>
              </w:rPr>
            </w:pPr>
            <w:r>
              <w:rPr>
                <w:b/>
                <w:spacing w:val="-2"/>
                <w:sz w:val="14"/>
              </w:rPr>
              <w:t>20.17</w:t>
            </w:r>
          </w:p>
        </w:tc>
      </w:tr>
      <w:tr>
        <w:trPr>
          <w:trHeight w:val="225" w:hRule="atLeast"/>
        </w:trPr>
        <w:tc>
          <w:tcPr>
            <w:tcW w:w="1186" w:type="dxa"/>
            <w:tcBorders>
              <w:top w:val="single" w:sz="4" w:space="0" w:color="000000"/>
              <w:bottom w:val="single" w:sz="4" w:space="0" w:color="000000"/>
            </w:tcBorders>
          </w:tcPr>
          <w:p>
            <w:pPr>
              <w:pStyle w:val="TableParagraph"/>
              <w:spacing w:before="23"/>
              <w:ind w:left="67"/>
              <w:jc w:val="left"/>
              <w:rPr>
                <w:sz w:val="14"/>
              </w:rPr>
            </w:pPr>
            <w:r>
              <w:rPr>
                <w:spacing w:val="-2"/>
                <w:sz w:val="14"/>
              </w:rPr>
              <w:t>Redeployed</w:t>
            </w:r>
          </w:p>
        </w:tc>
        <w:tc>
          <w:tcPr>
            <w:tcW w:w="678" w:type="dxa"/>
            <w:tcBorders>
              <w:top w:val="single" w:sz="4" w:space="0" w:color="000000"/>
              <w:bottom w:val="single" w:sz="4" w:space="0" w:color="000000"/>
            </w:tcBorders>
          </w:tcPr>
          <w:p>
            <w:pPr>
              <w:pStyle w:val="TableParagraph"/>
              <w:spacing w:before="23"/>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3"/>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3"/>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3"/>
              <w:ind w:right="191"/>
              <w:rPr>
                <w:sz w:val="14"/>
              </w:rPr>
            </w:pPr>
            <w:r>
              <w:rPr>
                <w:w w:val="99"/>
                <w:sz w:val="14"/>
              </w:rPr>
              <w:t>-</w:t>
            </w:r>
          </w:p>
        </w:tc>
        <w:tc>
          <w:tcPr>
            <w:tcW w:w="557" w:type="dxa"/>
            <w:tcBorders>
              <w:top w:val="single" w:sz="4" w:space="0" w:color="000000"/>
              <w:bottom w:val="single" w:sz="4" w:space="0" w:color="000000"/>
            </w:tcBorders>
          </w:tcPr>
          <w:p>
            <w:pPr>
              <w:pStyle w:val="TableParagraph"/>
              <w:spacing w:before="23"/>
              <w:ind w:right="166"/>
              <w:rPr>
                <w:sz w:val="14"/>
              </w:rPr>
            </w:pPr>
            <w:r>
              <w:rPr>
                <w:w w:val="99"/>
                <w:sz w:val="14"/>
              </w:rPr>
              <w:t>-</w:t>
            </w:r>
          </w:p>
        </w:tc>
        <w:tc>
          <w:tcPr>
            <w:tcW w:w="593" w:type="dxa"/>
            <w:tcBorders>
              <w:top w:val="single" w:sz="4" w:space="0" w:color="000000"/>
              <w:bottom w:val="single" w:sz="4" w:space="0" w:color="000000"/>
            </w:tcBorders>
          </w:tcPr>
          <w:p>
            <w:pPr>
              <w:pStyle w:val="TableParagraph"/>
              <w:spacing w:before="23"/>
              <w:ind w:right="174"/>
              <w:rPr>
                <w:sz w:val="14"/>
              </w:rPr>
            </w:pPr>
            <w:r>
              <w:rPr>
                <w:w w:val="99"/>
                <w:sz w:val="14"/>
              </w:rPr>
              <w:t>-</w:t>
            </w:r>
          </w:p>
        </w:tc>
        <w:tc>
          <w:tcPr>
            <w:tcW w:w="621" w:type="dxa"/>
            <w:tcBorders>
              <w:top w:val="single" w:sz="4" w:space="0" w:color="000000"/>
              <w:bottom w:val="single" w:sz="4" w:space="0" w:color="000000"/>
            </w:tcBorders>
          </w:tcPr>
          <w:p>
            <w:pPr>
              <w:pStyle w:val="TableParagraph"/>
              <w:spacing w:before="23"/>
              <w:ind w:right="199"/>
              <w:rPr>
                <w:sz w:val="14"/>
              </w:rPr>
            </w:pPr>
            <w:r>
              <w:rPr>
                <w:w w:val="99"/>
                <w:sz w:val="14"/>
              </w:rPr>
              <w:t>-</w:t>
            </w:r>
          </w:p>
        </w:tc>
        <w:tc>
          <w:tcPr>
            <w:tcW w:w="667" w:type="dxa"/>
            <w:tcBorders>
              <w:top w:val="single" w:sz="4" w:space="0" w:color="000000"/>
              <w:bottom w:val="single" w:sz="4" w:space="0" w:color="000000"/>
            </w:tcBorders>
          </w:tcPr>
          <w:p>
            <w:pPr>
              <w:pStyle w:val="TableParagraph"/>
              <w:spacing w:before="23"/>
              <w:ind w:right="127"/>
              <w:rPr>
                <w:sz w:val="14"/>
              </w:rPr>
            </w:pPr>
            <w:r>
              <w:rPr>
                <w:w w:val="99"/>
                <w:sz w:val="14"/>
              </w:rPr>
              <w:t>-</w:t>
            </w:r>
          </w:p>
        </w:tc>
        <w:tc>
          <w:tcPr>
            <w:tcW w:w="534" w:type="dxa"/>
            <w:tcBorders>
              <w:top w:val="single" w:sz="4" w:space="0" w:color="000000"/>
              <w:bottom w:val="single" w:sz="4" w:space="0" w:color="000000"/>
            </w:tcBorders>
          </w:tcPr>
          <w:p>
            <w:pPr>
              <w:pStyle w:val="TableParagraph"/>
              <w:spacing w:before="23"/>
              <w:ind w:right="65"/>
              <w:rPr>
                <w:sz w:val="14"/>
              </w:rPr>
            </w:pPr>
            <w:r>
              <w:rPr>
                <w:w w:val="99"/>
                <w:sz w:val="14"/>
              </w:rPr>
              <w:t>-</w:t>
            </w:r>
          </w:p>
        </w:tc>
        <w:tc>
          <w:tcPr>
            <w:tcW w:w="794" w:type="dxa"/>
            <w:tcBorders>
              <w:top w:val="single" w:sz="4" w:space="0" w:color="000000"/>
              <w:bottom w:val="single" w:sz="4" w:space="0" w:color="000000"/>
            </w:tcBorders>
          </w:tcPr>
          <w:p>
            <w:pPr>
              <w:pStyle w:val="TableParagraph"/>
              <w:spacing w:before="23"/>
              <w:ind w:right="124"/>
              <w:rPr>
                <w:i/>
                <w:sz w:val="14"/>
              </w:rPr>
            </w:pPr>
            <w:r>
              <w:rPr>
                <w:i/>
                <w:w w:val="99"/>
                <w:sz w:val="14"/>
              </w:rPr>
              <w:t>-</w:t>
            </w:r>
          </w:p>
        </w:tc>
        <w:tc>
          <w:tcPr>
            <w:tcW w:w="568" w:type="dxa"/>
            <w:tcBorders>
              <w:top w:val="single" w:sz="4" w:space="0" w:color="000000"/>
              <w:bottom w:val="single" w:sz="4" w:space="0" w:color="000000"/>
            </w:tcBorders>
          </w:tcPr>
          <w:p>
            <w:pPr>
              <w:pStyle w:val="TableParagraph"/>
              <w:spacing w:before="23"/>
              <w:ind w:right="97"/>
              <w:rPr>
                <w:sz w:val="14"/>
              </w:rPr>
            </w:pPr>
            <w:r>
              <w:rPr>
                <w:w w:val="99"/>
                <w:sz w:val="14"/>
              </w:rPr>
              <w:t>-</w:t>
            </w:r>
          </w:p>
        </w:tc>
        <w:tc>
          <w:tcPr>
            <w:tcW w:w="580" w:type="dxa"/>
            <w:tcBorders>
              <w:top w:val="single" w:sz="4" w:space="0" w:color="000000"/>
              <w:bottom w:val="single" w:sz="4" w:space="0" w:color="000000"/>
            </w:tcBorders>
          </w:tcPr>
          <w:p>
            <w:pPr>
              <w:pStyle w:val="TableParagraph"/>
              <w:spacing w:before="23"/>
              <w:ind w:right="86"/>
              <w:rPr>
                <w:sz w:val="14"/>
              </w:rPr>
            </w:pPr>
            <w:r>
              <w:rPr>
                <w:w w:val="99"/>
                <w:sz w:val="14"/>
              </w:rPr>
              <w:t>-</w:t>
            </w:r>
          </w:p>
        </w:tc>
        <w:tc>
          <w:tcPr>
            <w:tcW w:w="564" w:type="dxa"/>
            <w:tcBorders>
              <w:top w:val="single" w:sz="4" w:space="0" w:color="000000"/>
              <w:bottom w:val="single" w:sz="4" w:space="0" w:color="000000"/>
            </w:tcBorders>
          </w:tcPr>
          <w:p>
            <w:pPr>
              <w:pStyle w:val="TableParagraph"/>
              <w:spacing w:before="23"/>
              <w:ind w:right="60"/>
              <w:rPr>
                <w:sz w:val="14"/>
              </w:rPr>
            </w:pPr>
            <w:r>
              <w:rPr>
                <w:w w:val="99"/>
                <w:sz w:val="14"/>
              </w:rPr>
              <w:t>-</w:t>
            </w:r>
          </w:p>
        </w:tc>
        <w:tc>
          <w:tcPr>
            <w:tcW w:w="813" w:type="dxa"/>
            <w:tcBorders>
              <w:top w:val="single" w:sz="4" w:space="0" w:color="000000"/>
              <w:bottom w:val="single" w:sz="4" w:space="0" w:color="000000"/>
            </w:tcBorders>
          </w:tcPr>
          <w:p>
            <w:pPr>
              <w:pStyle w:val="TableParagraph"/>
              <w:spacing w:before="23"/>
              <w:ind w:right="133"/>
              <w:rPr>
                <w:i/>
                <w:sz w:val="14"/>
              </w:rPr>
            </w:pPr>
            <w:r>
              <w:rPr>
                <w:i/>
                <w:w w:val="99"/>
                <w:sz w:val="14"/>
              </w:rPr>
              <w:t>-</w:t>
            </w:r>
          </w:p>
        </w:tc>
        <w:tc>
          <w:tcPr>
            <w:tcW w:w="524" w:type="dxa"/>
            <w:tcBorders>
              <w:top w:val="single" w:sz="4" w:space="0" w:color="000000"/>
              <w:bottom w:val="single" w:sz="4" w:space="0" w:color="000000"/>
            </w:tcBorders>
          </w:tcPr>
          <w:p>
            <w:pPr>
              <w:pStyle w:val="TableParagraph"/>
              <w:spacing w:before="23"/>
              <w:ind w:right="57"/>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7"/>
              <w:ind w:left="67"/>
              <w:jc w:val="left"/>
              <w:rPr>
                <w:sz w:val="14"/>
              </w:rPr>
            </w:pPr>
            <w:r>
              <w:rPr>
                <w:spacing w:val="-2"/>
                <w:sz w:val="14"/>
              </w:rPr>
              <w:t>Reclassified</w:t>
            </w:r>
          </w:p>
        </w:tc>
        <w:tc>
          <w:tcPr>
            <w:tcW w:w="678" w:type="dxa"/>
            <w:tcBorders>
              <w:top w:val="single" w:sz="4" w:space="0" w:color="000000"/>
              <w:bottom w:val="single" w:sz="4" w:space="0" w:color="000000"/>
            </w:tcBorders>
          </w:tcPr>
          <w:p>
            <w:pPr>
              <w:pStyle w:val="TableParagraph"/>
              <w:spacing w:before="27"/>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7"/>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7"/>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7"/>
              <w:ind w:right="191"/>
              <w:rPr>
                <w:sz w:val="14"/>
              </w:rPr>
            </w:pPr>
            <w:r>
              <w:rPr>
                <w:w w:val="99"/>
                <w:sz w:val="14"/>
              </w:rPr>
              <w:t>-</w:t>
            </w:r>
          </w:p>
        </w:tc>
        <w:tc>
          <w:tcPr>
            <w:tcW w:w="557" w:type="dxa"/>
            <w:tcBorders>
              <w:top w:val="single" w:sz="4" w:space="0" w:color="000000"/>
              <w:bottom w:val="single" w:sz="4" w:space="0" w:color="000000"/>
            </w:tcBorders>
          </w:tcPr>
          <w:p>
            <w:pPr>
              <w:pStyle w:val="TableParagraph"/>
              <w:spacing w:before="27"/>
              <w:ind w:right="166"/>
              <w:rPr>
                <w:sz w:val="14"/>
              </w:rPr>
            </w:pPr>
            <w:r>
              <w:rPr>
                <w:w w:val="99"/>
                <w:sz w:val="14"/>
              </w:rPr>
              <w:t>-</w:t>
            </w:r>
          </w:p>
        </w:tc>
        <w:tc>
          <w:tcPr>
            <w:tcW w:w="593" w:type="dxa"/>
            <w:tcBorders>
              <w:top w:val="single" w:sz="4" w:space="0" w:color="000000"/>
              <w:bottom w:val="single" w:sz="4" w:space="0" w:color="000000"/>
            </w:tcBorders>
          </w:tcPr>
          <w:p>
            <w:pPr>
              <w:pStyle w:val="TableParagraph"/>
              <w:spacing w:before="27"/>
              <w:ind w:right="174"/>
              <w:rPr>
                <w:sz w:val="14"/>
              </w:rPr>
            </w:pPr>
            <w:r>
              <w:rPr>
                <w:w w:val="99"/>
                <w:sz w:val="14"/>
              </w:rPr>
              <w:t>-</w:t>
            </w:r>
          </w:p>
        </w:tc>
        <w:tc>
          <w:tcPr>
            <w:tcW w:w="621" w:type="dxa"/>
            <w:tcBorders>
              <w:top w:val="single" w:sz="4" w:space="0" w:color="000000"/>
              <w:bottom w:val="single" w:sz="4" w:space="0" w:color="000000"/>
            </w:tcBorders>
          </w:tcPr>
          <w:p>
            <w:pPr>
              <w:pStyle w:val="TableParagraph"/>
              <w:spacing w:before="27"/>
              <w:ind w:right="199"/>
              <w:rPr>
                <w:sz w:val="14"/>
              </w:rPr>
            </w:pPr>
            <w:r>
              <w:rPr>
                <w:w w:val="99"/>
                <w:sz w:val="14"/>
              </w:rPr>
              <w:t>-</w:t>
            </w:r>
          </w:p>
        </w:tc>
        <w:tc>
          <w:tcPr>
            <w:tcW w:w="667" w:type="dxa"/>
            <w:tcBorders>
              <w:top w:val="single" w:sz="4" w:space="0" w:color="000000"/>
              <w:bottom w:val="single" w:sz="4" w:space="0" w:color="000000"/>
            </w:tcBorders>
          </w:tcPr>
          <w:p>
            <w:pPr>
              <w:pStyle w:val="TableParagraph"/>
              <w:spacing w:before="27"/>
              <w:ind w:right="127"/>
              <w:rPr>
                <w:sz w:val="14"/>
              </w:rPr>
            </w:pPr>
            <w:r>
              <w:rPr>
                <w:w w:val="99"/>
                <w:sz w:val="14"/>
              </w:rPr>
              <w:t>-</w:t>
            </w:r>
          </w:p>
        </w:tc>
        <w:tc>
          <w:tcPr>
            <w:tcW w:w="534" w:type="dxa"/>
            <w:tcBorders>
              <w:top w:val="single" w:sz="4" w:space="0" w:color="000000"/>
              <w:bottom w:val="single" w:sz="4" w:space="0" w:color="000000"/>
            </w:tcBorders>
          </w:tcPr>
          <w:p>
            <w:pPr>
              <w:pStyle w:val="TableParagraph"/>
              <w:spacing w:before="27"/>
              <w:ind w:right="65"/>
              <w:rPr>
                <w:sz w:val="14"/>
              </w:rPr>
            </w:pPr>
            <w:r>
              <w:rPr>
                <w:w w:val="99"/>
                <w:sz w:val="14"/>
              </w:rPr>
              <w:t>-</w:t>
            </w:r>
          </w:p>
        </w:tc>
        <w:tc>
          <w:tcPr>
            <w:tcW w:w="794" w:type="dxa"/>
            <w:tcBorders>
              <w:top w:val="single" w:sz="4" w:space="0" w:color="000000"/>
              <w:bottom w:val="single" w:sz="4" w:space="0" w:color="000000"/>
            </w:tcBorders>
          </w:tcPr>
          <w:p>
            <w:pPr>
              <w:pStyle w:val="TableParagraph"/>
              <w:spacing w:before="27"/>
              <w:ind w:right="124"/>
              <w:rPr>
                <w:i/>
                <w:sz w:val="14"/>
              </w:rPr>
            </w:pPr>
            <w:r>
              <w:rPr>
                <w:i/>
                <w:w w:val="99"/>
                <w:sz w:val="14"/>
              </w:rPr>
              <w:t>-</w:t>
            </w:r>
          </w:p>
        </w:tc>
        <w:tc>
          <w:tcPr>
            <w:tcW w:w="568" w:type="dxa"/>
            <w:tcBorders>
              <w:top w:val="single" w:sz="4" w:space="0" w:color="000000"/>
              <w:bottom w:val="single" w:sz="4" w:space="0" w:color="000000"/>
            </w:tcBorders>
          </w:tcPr>
          <w:p>
            <w:pPr>
              <w:pStyle w:val="TableParagraph"/>
              <w:spacing w:before="27"/>
              <w:ind w:right="97"/>
              <w:rPr>
                <w:sz w:val="14"/>
              </w:rPr>
            </w:pPr>
            <w:r>
              <w:rPr>
                <w:w w:val="99"/>
                <w:sz w:val="14"/>
              </w:rPr>
              <w:t>-</w:t>
            </w:r>
          </w:p>
        </w:tc>
        <w:tc>
          <w:tcPr>
            <w:tcW w:w="580" w:type="dxa"/>
            <w:tcBorders>
              <w:top w:val="single" w:sz="4" w:space="0" w:color="000000"/>
              <w:bottom w:val="single" w:sz="4" w:space="0" w:color="000000"/>
            </w:tcBorders>
          </w:tcPr>
          <w:p>
            <w:pPr>
              <w:pStyle w:val="TableParagraph"/>
              <w:spacing w:before="27"/>
              <w:ind w:right="86"/>
              <w:rPr>
                <w:sz w:val="14"/>
              </w:rPr>
            </w:pPr>
            <w:r>
              <w:rPr>
                <w:w w:val="99"/>
                <w:sz w:val="14"/>
              </w:rPr>
              <w:t>-</w:t>
            </w:r>
          </w:p>
        </w:tc>
        <w:tc>
          <w:tcPr>
            <w:tcW w:w="564" w:type="dxa"/>
            <w:tcBorders>
              <w:top w:val="single" w:sz="4" w:space="0" w:color="000000"/>
              <w:bottom w:val="single" w:sz="4" w:space="0" w:color="000000"/>
            </w:tcBorders>
          </w:tcPr>
          <w:p>
            <w:pPr>
              <w:pStyle w:val="TableParagraph"/>
              <w:spacing w:before="27"/>
              <w:ind w:right="60"/>
              <w:rPr>
                <w:sz w:val="14"/>
              </w:rPr>
            </w:pPr>
            <w:r>
              <w:rPr>
                <w:w w:val="99"/>
                <w:sz w:val="14"/>
              </w:rPr>
              <w:t>-</w:t>
            </w:r>
          </w:p>
        </w:tc>
        <w:tc>
          <w:tcPr>
            <w:tcW w:w="813" w:type="dxa"/>
            <w:tcBorders>
              <w:top w:val="single" w:sz="4" w:space="0" w:color="000000"/>
              <w:bottom w:val="single" w:sz="4" w:space="0" w:color="000000"/>
            </w:tcBorders>
          </w:tcPr>
          <w:p>
            <w:pPr>
              <w:pStyle w:val="TableParagraph"/>
              <w:spacing w:before="27"/>
              <w:ind w:right="133"/>
              <w:rPr>
                <w:i/>
                <w:sz w:val="14"/>
              </w:rPr>
            </w:pPr>
            <w:r>
              <w:rPr>
                <w:i/>
                <w:w w:val="99"/>
                <w:sz w:val="14"/>
              </w:rPr>
              <w:t>-</w:t>
            </w:r>
          </w:p>
        </w:tc>
        <w:tc>
          <w:tcPr>
            <w:tcW w:w="524" w:type="dxa"/>
            <w:tcBorders>
              <w:top w:val="single" w:sz="4" w:space="0" w:color="000000"/>
              <w:bottom w:val="single" w:sz="4" w:space="0" w:color="000000"/>
            </w:tcBorders>
          </w:tcPr>
          <w:p>
            <w:pPr>
              <w:pStyle w:val="TableParagraph"/>
              <w:spacing w:before="27"/>
              <w:ind w:right="57"/>
              <w:rPr>
                <w:b/>
                <w:sz w:val="14"/>
              </w:rPr>
            </w:pPr>
            <w:r>
              <w:rPr>
                <w:b/>
                <w:w w:val="99"/>
                <w:sz w:val="14"/>
              </w:rPr>
              <w:t>-</w:t>
            </w:r>
          </w:p>
        </w:tc>
      </w:tr>
      <w:tr>
        <w:trPr>
          <w:trHeight w:val="230" w:hRule="atLeast"/>
        </w:trPr>
        <w:tc>
          <w:tcPr>
            <w:tcW w:w="1186" w:type="dxa"/>
            <w:tcBorders>
              <w:top w:val="single" w:sz="4" w:space="0" w:color="000000"/>
              <w:bottom w:val="single" w:sz="4" w:space="0" w:color="000000"/>
            </w:tcBorders>
          </w:tcPr>
          <w:p>
            <w:pPr>
              <w:pStyle w:val="TableParagraph"/>
              <w:spacing w:before="27"/>
              <w:ind w:left="67"/>
              <w:jc w:val="left"/>
              <w:rPr>
                <w:sz w:val="14"/>
              </w:rPr>
            </w:pPr>
            <w:r>
              <w:rPr>
                <w:spacing w:val="-2"/>
                <w:sz w:val="14"/>
              </w:rPr>
              <w:t>Converted</w:t>
            </w:r>
          </w:p>
        </w:tc>
        <w:tc>
          <w:tcPr>
            <w:tcW w:w="678" w:type="dxa"/>
            <w:tcBorders>
              <w:top w:val="single" w:sz="4" w:space="0" w:color="000000"/>
              <w:bottom w:val="single" w:sz="4" w:space="0" w:color="000000"/>
            </w:tcBorders>
          </w:tcPr>
          <w:p>
            <w:pPr>
              <w:pStyle w:val="TableParagraph"/>
              <w:spacing w:before="27"/>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7"/>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7"/>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7"/>
              <w:ind w:right="191"/>
              <w:rPr>
                <w:sz w:val="14"/>
              </w:rPr>
            </w:pPr>
            <w:r>
              <w:rPr>
                <w:w w:val="99"/>
                <w:sz w:val="14"/>
              </w:rPr>
              <w:t>-</w:t>
            </w:r>
          </w:p>
        </w:tc>
        <w:tc>
          <w:tcPr>
            <w:tcW w:w="557" w:type="dxa"/>
            <w:tcBorders>
              <w:top w:val="single" w:sz="4" w:space="0" w:color="000000"/>
              <w:bottom w:val="single" w:sz="4" w:space="0" w:color="000000"/>
            </w:tcBorders>
          </w:tcPr>
          <w:p>
            <w:pPr>
              <w:pStyle w:val="TableParagraph"/>
              <w:spacing w:before="27"/>
              <w:ind w:right="166"/>
              <w:rPr>
                <w:sz w:val="14"/>
              </w:rPr>
            </w:pPr>
            <w:r>
              <w:rPr>
                <w:w w:val="99"/>
                <w:sz w:val="14"/>
              </w:rPr>
              <w:t>-</w:t>
            </w:r>
          </w:p>
        </w:tc>
        <w:tc>
          <w:tcPr>
            <w:tcW w:w="593" w:type="dxa"/>
            <w:tcBorders>
              <w:top w:val="single" w:sz="4" w:space="0" w:color="000000"/>
              <w:bottom w:val="single" w:sz="4" w:space="0" w:color="000000"/>
            </w:tcBorders>
          </w:tcPr>
          <w:p>
            <w:pPr>
              <w:pStyle w:val="TableParagraph"/>
              <w:spacing w:before="27"/>
              <w:ind w:right="174"/>
              <w:rPr>
                <w:sz w:val="14"/>
              </w:rPr>
            </w:pPr>
            <w:r>
              <w:rPr>
                <w:w w:val="99"/>
                <w:sz w:val="14"/>
              </w:rPr>
              <w:t>-</w:t>
            </w:r>
          </w:p>
        </w:tc>
        <w:tc>
          <w:tcPr>
            <w:tcW w:w="621" w:type="dxa"/>
            <w:tcBorders>
              <w:top w:val="single" w:sz="4" w:space="0" w:color="000000"/>
              <w:bottom w:val="single" w:sz="4" w:space="0" w:color="000000"/>
            </w:tcBorders>
          </w:tcPr>
          <w:p>
            <w:pPr>
              <w:pStyle w:val="TableParagraph"/>
              <w:spacing w:before="27"/>
              <w:ind w:right="199"/>
              <w:rPr>
                <w:sz w:val="14"/>
              </w:rPr>
            </w:pPr>
            <w:r>
              <w:rPr>
                <w:w w:val="99"/>
                <w:sz w:val="14"/>
              </w:rPr>
              <w:t>-</w:t>
            </w:r>
          </w:p>
        </w:tc>
        <w:tc>
          <w:tcPr>
            <w:tcW w:w="667" w:type="dxa"/>
            <w:tcBorders>
              <w:top w:val="single" w:sz="4" w:space="0" w:color="000000"/>
              <w:bottom w:val="single" w:sz="4" w:space="0" w:color="000000"/>
            </w:tcBorders>
          </w:tcPr>
          <w:p>
            <w:pPr>
              <w:pStyle w:val="TableParagraph"/>
              <w:spacing w:before="27"/>
              <w:ind w:right="123"/>
              <w:rPr>
                <w:sz w:val="14"/>
              </w:rPr>
            </w:pPr>
            <w:r>
              <w:rPr>
                <w:spacing w:val="-2"/>
                <w:sz w:val="14"/>
              </w:rPr>
              <w:t>(1.00)</w:t>
            </w:r>
          </w:p>
        </w:tc>
        <w:tc>
          <w:tcPr>
            <w:tcW w:w="534" w:type="dxa"/>
            <w:tcBorders>
              <w:top w:val="single" w:sz="4" w:space="0" w:color="000000"/>
              <w:bottom w:val="single" w:sz="4" w:space="0" w:color="000000"/>
            </w:tcBorders>
          </w:tcPr>
          <w:p>
            <w:pPr>
              <w:pStyle w:val="TableParagraph"/>
              <w:spacing w:before="27"/>
              <w:ind w:right="61"/>
              <w:rPr>
                <w:sz w:val="14"/>
              </w:rPr>
            </w:pPr>
            <w:r>
              <w:rPr>
                <w:spacing w:val="-2"/>
                <w:sz w:val="14"/>
              </w:rPr>
              <w:t>(1.00)</w:t>
            </w:r>
          </w:p>
        </w:tc>
        <w:tc>
          <w:tcPr>
            <w:tcW w:w="794" w:type="dxa"/>
            <w:tcBorders>
              <w:top w:val="single" w:sz="4" w:space="0" w:color="000000"/>
              <w:bottom w:val="single" w:sz="4" w:space="0" w:color="000000"/>
            </w:tcBorders>
          </w:tcPr>
          <w:p>
            <w:pPr>
              <w:pStyle w:val="TableParagraph"/>
              <w:spacing w:before="27"/>
              <w:ind w:right="121"/>
              <w:rPr>
                <w:i/>
                <w:sz w:val="14"/>
              </w:rPr>
            </w:pPr>
            <w:r>
              <w:rPr>
                <w:i/>
                <w:spacing w:val="-2"/>
                <w:sz w:val="14"/>
              </w:rPr>
              <w:t>(2.00)</w:t>
            </w:r>
          </w:p>
        </w:tc>
        <w:tc>
          <w:tcPr>
            <w:tcW w:w="568" w:type="dxa"/>
            <w:tcBorders>
              <w:top w:val="single" w:sz="4" w:space="0" w:color="000000"/>
              <w:bottom w:val="single" w:sz="4" w:space="0" w:color="000000"/>
            </w:tcBorders>
          </w:tcPr>
          <w:p>
            <w:pPr>
              <w:pStyle w:val="TableParagraph"/>
              <w:spacing w:before="27"/>
              <w:ind w:right="97"/>
              <w:rPr>
                <w:sz w:val="14"/>
              </w:rPr>
            </w:pPr>
            <w:r>
              <w:rPr>
                <w:w w:val="99"/>
                <w:sz w:val="14"/>
              </w:rPr>
              <w:t>-</w:t>
            </w:r>
          </w:p>
        </w:tc>
        <w:tc>
          <w:tcPr>
            <w:tcW w:w="580" w:type="dxa"/>
            <w:tcBorders>
              <w:top w:val="single" w:sz="4" w:space="0" w:color="000000"/>
              <w:bottom w:val="single" w:sz="4" w:space="0" w:color="000000"/>
            </w:tcBorders>
          </w:tcPr>
          <w:p>
            <w:pPr>
              <w:pStyle w:val="TableParagraph"/>
              <w:spacing w:before="27"/>
              <w:ind w:right="86"/>
              <w:rPr>
                <w:sz w:val="14"/>
              </w:rPr>
            </w:pPr>
            <w:r>
              <w:rPr>
                <w:w w:val="99"/>
                <w:sz w:val="14"/>
              </w:rPr>
              <w:t>-</w:t>
            </w:r>
          </w:p>
        </w:tc>
        <w:tc>
          <w:tcPr>
            <w:tcW w:w="564" w:type="dxa"/>
            <w:tcBorders>
              <w:top w:val="single" w:sz="4" w:space="0" w:color="000000"/>
              <w:bottom w:val="single" w:sz="4" w:space="0" w:color="000000"/>
            </w:tcBorders>
          </w:tcPr>
          <w:p>
            <w:pPr>
              <w:pStyle w:val="TableParagraph"/>
              <w:spacing w:before="27"/>
              <w:ind w:right="56"/>
              <w:rPr>
                <w:sz w:val="14"/>
              </w:rPr>
            </w:pPr>
            <w:r>
              <w:rPr>
                <w:spacing w:val="-2"/>
                <w:sz w:val="14"/>
              </w:rPr>
              <w:t>(1.00)</w:t>
            </w:r>
          </w:p>
        </w:tc>
        <w:tc>
          <w:tcPr>
            <w:tcW w:w="813" w:type="dxa"/>
            <w:tcBorders>
              <w:top w:val="single" w:sz="4" w:space="0" w:color="000000"/>
              <w:bottom w:val="single" w:sz="4" w:space="0" w:color="000000"/>
            </w:tcBorders>
          </w:tcPr>
          <w:p>
            <w:pPr>
              <w:pStyle w:val="TableParagraph"/>
              <w:spacing w:before="27"/>
              <w:ind w:right="129"/>
              <w:rPr>
                <w:i/>
                <w:sz w:val="14"/>
              </w:rPr>
            </w:pPr>
            <w:r>
              <w:rPr>
                <w:i/>
                <w:spacing w:val="-2"/>
                <w:sz w:val="14"/>
              </w:rPr>
              <w:t>(1.00)</w:t>
            </w:r>
          </w:p>
        </w:tc>
        <w:tc>
          <w:tcPr>
            <w:tcW w:w="524" w:type="dxa"/>
            <w:tcBorders>
              <w:top w:val="single" w:sz="4" w:space="0" w:color="000000"/>
              <w:bottom w:val="single" w:sz="4" w:space="0" w:color="000000"/>
            </w:tcBorders>
          </w:tcPr>
          <w:p>
            <w:pPr>
              <w:pStyle w:val="TableParagraph"/>
              <w:spacing w:before="27"/>
              <w:ind w:right="53"/>
              <w:rPr>
                <w:b/>
                <w:sz w:val="14"/>
              </w:rPr>
            </w:pPr>
            <w:r>
              <w:rPr>
                <w:b/>
                <w:spacing w:val="-2"/>
                <w:sz w:val="14"/>
              </w:rPr>
              <w:t>(3.00)</w:t>
            </w:r>
          </w:p>
        </w:tc>
      </w:tr>
      <w:tr>
        <w:trPr>
          <w:trHeight w:val="225" w:hRule="atLeast"/>
        </w:trPr>
        <w:tc>
          <w:tcPr>
            <w:tcW w:w="1186" w:type="dxa"/>
            <w:tcBorders>
              <w:top w:val="single" w:sz="4" w:space="0" w:color="000000"/>
              <w:bottom w:val="single" w:sz="12" w:space="0" w:color="000000"/>
            </w:tcBorders>
          </w:tcPr>
          <w:p>
            <w:pPr>
              <w:pStyle w:val="TableParagraph"/>
              <w:spacing w:before="23"/>
              <w:ind w:left="67"/>
              <w:jc w:val="left"/>
              <w:rPr>
                <w:b/>
                <w:sz w:val="14"/>
              </w:rPr>
            </w:pPr>
            <w:r>
              <w:rPr>
                <w:b/>
                <w:sz w:val="14"/>
              </w:rPr>
              <w:t>Proposed</w:t>
            </w:r>
            <w:r>
              <w:rPr>
                <w:b/>
                <w:spacing w:val="-6"/>
                <w:sz w:val="14"/>
              </w:rPr>
              <w:t> </w:t>
            </w:r>
            <w:r>
              <w:rPr>
                <w:b/>
                <w:spacing w:val="-4"/>
                <w:sz w:val="14"/>
              </w:rPr>
              <w:t>2023</w:t>
            </w:r>
          </w:p>
        </w:tc>
        <w:tc>
          <w:tcPr>
            <w:tcW w:w="678" w:type="dxa"/>
            <w:tcBorders>
              <w:top w:val="single" w:sz="4" w:space="0" w:color="000000"/>
              <w:bottom w:val="single" w:sz="12" w:space="0" w:color="000000"/>
            </w:tcBorders>
          </w:tcPr>
          <w:p>
            <w:pPr>
              <w:pStyle w:val="TableParagraph"/>
              <w:spacing w:before="23"/>
              <w:ind w:right="154"/>
              <w:rPr>
                <w:b/>
                <w:sz w:val="14"/>
              </w:rPr>
            </w:pPr>
            <w:r>
              <w:rPr>
                <w:b/>
                <w:w w:val="99"/>
                <w:sz w:val="14"/>
              </w:rPr>
              <w:t>-</w:t>
            </w:r>
          </w:p>
        </w:tc>
        <w:tc>
          <w:tcPr>
            <w:tcW w:w="607" w:type="dxa"/>
            <w:tcBorders>
              <w:top w:val="single" w:sz="4" w:space="0" w:color="000000"/>
              <w:bottom w:val="single" w:sz="12" w:space="0" w:color="000000"/>
            </w:tcBorders>
          </w:tcPr>
          <w:p>
            <w:pPr>
              <w:pStyle w:val="TableParagraph"/>
              <w:spacing w:before="23"/>
              <w:ind w:right="170"/>
              <w:rPr>
                <w:b/>
                <w:sz w:val="14"/>
              </w:rPr>
            </w:pPr>
            <w:r>
              <w:rPr>
                <w:b/>
                <w:w w:val="99"/>
                <w:sz w:val="14"/>
              </w:rPr>
              <w:t>-</w:t>
            </w:r>
          </w:p>
        </w:tc>
        <w:tc>
          <w:tcPr>
            <w:tcW w:w="563" w:type="dxa"/>
            <w:tcBorders>
              <w:top w:val="single" w:sz="4" w:space="0" w:color="000000"/>
              <w:bottom w:val="single" w:sz="12" w:space="0" w:color="000000"/>
            </w:tcBorders>
          </w:tcPr>
          <w:p>
            <w:pPr>
              <w:pStyle w:val="TableParagraph"/>
              <w:spacing w:before="23"/>
              <w:ind w:right="171"/>
              <w:rPr>
                <w:b/>
                <w:sz w:val="14"/>
              </w:rPr>
            </w:pPr>
            <w:r>
              <w:rPr>
                <w:b/>
                <w:w w:val="99"/>
                <w:sz w:val="14"/>
              </w:rPr>
              <w:t>-</w:t>
            </w:r>
          </w:p>
        </w:tc>
        <w:tc>
          <w:tcPr>
            <w:tcW w:w="581" w:type="dxa"/>
            <w:tcBorders>
              <w:top w:val="single" w:sz="4" w:space="0" w:color="000000"/>
              <w:bottom w:val="single" w:sz="12" w:space="0" w:color="000000"/>
            </w:tcBorders>
          </w:tcPr>
          <w:p>
            <w:pPr>
              <w:pStyle w:val="TableParagraph"/>
              <w:spacing w:before="23"/>
              <w:ind w:right="191"/>
              <w:rPr>
                <w:b/>
                <w:sz w:val="14"/>
              </w:rPr>
            </w:pPr>
            <w:r>
              <w:rPr>
                <w:b/>
                <w:w w:val="99"/>
                <w:sz w:val="14"/>
              </w:rPr>
              <w:t>-</w:t>
            </w:r>
          </w:p>
        </w:tc>
        <w:tc>
          <w:tcPr>
            <w:tcW w:w="557" w:type="dxa"/>
            <w:tcBorders>
              <w:top w:val="single" w:sz="4" w:space="0" w:color="000000"/>
              <w:bottom w:val="single" w:sz="12" w:space="0" w:color="000000"/>
            </w:tcBorders>
          </w:tcPr>
          <w:p>
            <w:pPr>
              <w:pStyle w:val="TableParagraph"/>
              <w:spacing w:before="23"/>
              <w:ind w:right="166"/>
              <w:rPr>
                <w:b/>
                <w:sz w:val="14"/>
              </w:rPr>
            </w:pPr>
            <w:r>
              <w:rPr>
                <w:b/>
                <w:w w:val="99"/>
                <w:sz w:val="14"/>
              </w:rPr>
              <w:t>-</w:t>
            </w:r>
          </w:p>
        </w:tc>
        <w:tc>
          <w:tcPr>
            <w:tcW w:w="593" w:type="dxa"/>
            <w:tcBorders>
              <w:top w:val="single" w:sz="4" w:space="0" w:color="000000"/>
              <w:bottom w:val="single" w:sz="12" w:space="0" w:color="000000"/>
            </w:tcBorders>
          </w:tcPr>
          <w:p>
            <w:pPr>
              <w:pStyle w:val="TableParagraph"/>
              <w:spacing w:before="23"/>
              <w:ind w:right="170"/>
              <w:rPr>
                <w:b/>
                <w:sz w:val="14"/>
              </w:rPr>
            </w:pPr>
            <w:r>
              <w:rPr>
                <w:b/>
                <w:spacing w:val="-4"/>
                <w:sz w:val="14"/>
              </w:rPr>
              <w:t>1.00</w:t>
            </w:r>
          </w:p>
        </w:tc>
        <w:tc>
          <w:tcPr>
            <w:tcW w:w="621" w:type="dxa"/>
            <w:tcBorders>
              <w:top w:val="single" w:sz="4" w:space="0" w:color="000000"/>
              <w:bottom w:val="single" w:sz="12" w:space="0" w:color="000000"/>
            </w:tcBorders>
          </w:tcPr>
          <w:p>
            <w:pPr>
              <w:pStyle w:val="TableParagraph"/>
              <w:spacing w:before="23"/>
              <w:ind w:right="196"/>
              <w:rPr>
                <w:b/>
                <w:sz w:val="14"/>
              </w:rPr>
            </w:pPr>
            <w:r>
              <w:rPr>
                <w:b/>
                <w:spacing w:val="-4"/>
                <w:sz w:val="14"/>
              </w:rPr>
              <w:t>3.00</w:t>
            </w:r>
          </w:p>
        </w:tc>
        <w:tc>
          <w:tcPr>
            <w:tcW w:w="667" w:type="dxa"/>
            <w:tcBorders>
              <w:top w:val="single" w:sz="4" w:space="0" w:color="000000"/>
              <w:bottom w:val="single" w:sz="12" w:space="0" w:color="000000"/>
            </w:tcBorders>
          </w:tcPr>
          <w:p>
            <w:pPr>
              <w:pStyle w:val="TableParagraph"/>
              <w:spacing w:before="23"/>
              <w:ind w:right="124"/>
              <w:rPr>
                <w:b/>
                <w:sz w:val="14"/>
              </w:rPr>
            </w:pPr>
            <w:r>
              <w:rPr>
                <w:b/>
                <w:spacing w:val="-2"/>
                <w:sz w:val="14"/>
              </w:rPr>
              <w:t>13.25</w:t>
            </w:r>
          </w:p>
        </w:tc>
        <w:tc>
          <w:tcPr>
            <w:tcW w:w="534" w:type="dxa"/>
            <w:tcBorders>
              <w:top w:val="single" w:sz="4" w:space="0" w:color="000000"/>
              <w:bottom w:val="single" w:sz="12" w:space="0" w:color="000000"/>
            </w:tcBorders>
          </w:tcPr>
          <w:p>
            <w:pPr>
              <w:pStyle w:val="TableParagraph"/>
              <w:spacing w:before="23"/>
              <w:ind w:right="62"/>
              <w:rPr>
                <w:b/>
                <w:sz w:val="14"/>
              </w:rPr>
            </w:pPr>
            <w:r>
              <w:rPr>
                <w:b/>
                <w:spacing w:val="-4"/>
                <w:sz w:val="14"/>
              </w:rPr>
              <w:t>8.00</w:t>
            </w:r>
          </w:p>
        </w:tc>
        <w:tc>
          <w:tcPr>
            <w:tcW w:w="794" w:type="dxa"/>
            <w:tcBorders>
              <w:top w:val="single" w:sz="4" w:space="0" w:color="000000"/>
              <w:bottom w:val="single" w:sz="12" w:space="0" w:color="000000"/>
            </w:tcBorders>
          </w:tcPr>
          <w:p>
            <w:pPr>
              <w:pStyle w:val="TableParagraph"/>
              <w:spacing w:before="23"/>
              <w:ind w:right="122"/>
              <w:rPr>
                <w:b/>
                <w:i/>
                <w:sz w:val="14"/>
              </w:rPr>
            </w:pPr>
            <w:r>
              <w:rPr>
                <w:b/>
                <w:i/>
                <w:spacing w:val="-2"/>
                <w:sz w:val="14"/>
              </w:rPr>
              <w:t>25.25</w:t>
            </w:r>
          </w:p>
        </w:tc>
        <w:tc>
          <w:tcPr>
            <w:tcW w:w="568" w:type="dxa"/>
            <w:tcBorders>
              <w:top w:val="single" w:sz="4" w:space="0" w:color="000000"/>
              <w:bottom w:val="single" w:sz="12" w:space="0" w:color="000000"/>
            </w:tcBorders>
          </w:tcPr>
          <w:p>
            <w:pPr>
              <w:pStyle w:val="TableParagraph"/>
              <w:spacing w:before="23"/>
              <w:ind w:right="97"/>
              <w:rPr>
                <w:b/>
                <w:sz w:val="14"/>
              </w:rPr>
            </w:pPr>
            <w:r>
              <w:rPr>
                <w:b/>
                <w:w w:val="99"/>
                <w:sz w:val="14"/>
              </w:rPr>
              <w:t>-</w:t>
            </w:r>
          </w:p>
        </w:tc>
        <w:tc>
          <w:tcPr>
            <w:tcW w:w="580" w:type="dxa"/>
            <w:tcBorders>
              <w:top w:val="single" w:sz="4" w:space="0" w:color="000000"/>
              <w:bottom w:val="single" w:sz="12" w:space="0" w:color="000000"/>
            </w:tcBorders>
          </w:tcPr>
          <w:p>
            <w:pPr>
              <w:pStyle w:val="TableParagraph"/>
              <w:spacing w:before="23"/>
              <w:ind w:right="83"/>
              <w:rPr>
                <w:b/>
                <w:sz w:val="14"/>
              </w:rPr>
            </w:pPr>
            <w:r>
              <w:rPr>
                <w:b/>
                <w:spacing w:val="-2"/>
                <w:sz w:val="14"/>
              </w:rPr>
              <w:t>15.17</w:t>
            </w:r>
          </w:p>
        </w:tc>
        <w:tc>
          <w:tcPr>
            <w:tcW w:w="564" w:type="dxa"/>
            <w:tcBorders>
              <w:top w:val="single" w:sz="4" w:space="0" w:color="000000"/>
              <w:bottom w:val="single" w:sz="12" w:space="0" w:color="000000"/>
            </w:tcBorders>
          </w:tcPr>
          <w:p>
            <w:pPr>
              <w:pStyle w:val="TableParagraph"/>
              <w:spacing w:before="23"/>
              <w:ind w:right="57"/>
              <w:rPr>
                <w:b/>
                <w:sz w:val="14"/>
              </w:rPr>
            </w:pPr>
            <w:r>
              <w:rPr>
                <w:b/>
                <w:spacing w:val="-2"/>
                <w:sz w:val="14"/>
              </w:rPr>
              <w:t>12.25</w:t>
            </w:r>
          </w:p>
        </w:tc>
        <w:tc>
          <w:tcPr>
            <w:tcW w:w="813" w:type="dxa"/>
            <w:tcBorders>
              <w:top w:val="single" w:sz="4" w:space="0" w:color="000000"/>
              <w:bottom w:val="single" w:sz="12" w:space="0" w:color="000000"/>
            </w:tcBorders>
          </w:tcPr>
          <w:p>
            <w:pPr>
              <w:pStyle w:val="TableParagraph"/>
              <w:spacing w:before="23"/>
              <w:ind w:right="130"/>
              <w:rPr>
                <w:b/>
                <w:i/>
                <w:sz w:val="14"/>
              </w:rPr>
            </w:pPr>
            <w:r>
              <w:rPr>
                <w:b/>
                <w:i/>
                <w:spacing w:val="-2"/>
                <w:sz w:val="14"/>
              </w:rPr>
              <w:t>27.42</w:t>
            </w:r>
          </w:p>
        </w:tc>
        <w:tc>
          <w:tcPr>
            <w:tcW w:w="524" w:type="dxa"/>
            <w:tcBorders>
              <w:top w:val="single" w:sz="4" w:space="0" w:color="000000"/>
              <w:bottom w:val="single" w:sz="12" w:space="0" w:color="000000"/>
            </w:tcBorders>
          </w:tcPr>
          <w:p>
            <w:pPr>
              <w:pStyle w:val="TableParagraph"/>
              <w:spacing w:before="23"/>
              <w:ind w:right="54"/>
              <w:rPr>
                <w:b/>
                <w:sz w:val="14"/>
              </w:rPr>
            </w:pPr>
            <w:r>
              <w:rPr>
                <w:b/>
                <w:spacing w:val="-2"/>
                <w:sz w:val="14"/>
              </w:rPr>
              <w:t>52.67</w:t>
            </w:r>
          </w:p>
        </w:tc>
      </w:tr>
    </w:tbl>
    <w:p>
      <w:pPr>
        <w:spacing w:after="0"/>
        <w:rPr>
          <w:sz w:val="14"/>
        </w:rPr>
        <w:sectPr>
          <w:headerReference w:type="even" r:id="rId91"/>
          <w:headerReference w:type="default" r:id="rId92"/>
          <w:footerReference w:type="even" r:id="rId93"/>
          <w:footerReference w:type="default" r:id="rId94"/>
          <w:pgSz w:w="11910" w:h="16840"/>
          <w:pgMar w:header="953" w:footer="940" w:top="1140" w:bottom="1140" w:left="20" w:right="20"/>
          <w:pgNumType w:start="130"/>
        </w:sectPr>
      </w:pPr>
    </w:p>
    <w:p>
      <w:pPr>
        <w:pStyle w:val="ListParagraph"/>
        <w:numPr>
          <w:ilvl w:val="2"/>
          <w:numId w:val="3"/>
        </w:numPr>
        <w:tabs>
          <w:tab w:pos="2246" w:val="left" w:leader="none"/>
          <w:tab w:pos="2247" w:val="left" w:leader="none"/>
        </w:tabs>
        <w:spacing w:line="441" w:lineRule="auto" w:before="121" w:after="0"/>
        <w:ind w:left="2246" w:right="5311" w:hanging="567"/>
        <w:jc w:val="left"/>
        <w:rPr>
          <w:b/>
          <w:sz w:val="24"/>
        </w:rPr>
      </w:pPr>
      <w:bookmarkStart w:name="_bookmark42" w:id="43"/>
      <w:bookmarkEnd w:id="43"/>
      <w:r>
        <w:rPr>
          <w:b/>
          <w:sz w:val="20"/>
        </w:rPr>
        <w:t>P</w:t>
      </w:r>
      <w:r>
        <w:rPr>
          <w:b/>
          <w:sz w:val="20"/>
        </w:rPr>
        <w:t>rogramme</w:t>
      </w:r>
      <w:r>
        <w:rPr>
          <w:b/>
          <w:spacing w:val="-7"/>
          <w:sz w:val="20"/>
        </w:rPr>
        <w:t> </w:t>
      </w:r>
      <w:r>
        <w:rPr>
          <w:b/>
          <w:sz w:val="20"/>
        </w:rPr>
        <w:t>3800:</w:t>
      </w:r>
      <w:r>
        <w:rPr>
          <w:b/>
          <w:spacing w:val="-4"/>
          <w:sz w:val="20"/>
        </w:rPr>
        <w:t> </w:t>
      </w:r>
      <w:r>
        <w:rPr>
          <w:b/>
          <w:sz w:val="20"/>
        </w:rPr>
        <w:t>Division</w:t>
      </w:r>
      <w:r>
        <w:rPr>
          <w:b/>
          <w:spacing w:val="-9"/>
          <w:sz w:val="20"/>
        </w:rPr>
        <w:t> </w:t>
      </w:r>
      <w:r>
        <w:rPr>
          <w:b/>
          <w:sz w:val="20"/>
        </w:rPr>
        <w:t>of</w:t>
      </w:r>
      <w:r>
        <w:rPr>
          <w:b/>
          <w:spacing w:val="-8"/>
          <w:sz w:val="20"/>
        </w:rPr>
        <w:t> </w:t>
      </w:r>
      <w:r>
        <w:rPr>
          <w:b/>
          <w:sz w:val="20"/>
        </w:rPr>
        <w:t>External</w:t>
      </w:r>
      <w:r>
        <w:rPr>
          <w:b/>
          <w:spacing w:val="-7"/>
          <w:sz w:val="20"/>
        </w:rPr>
        <w:t> </w:t>
      </w:r>
      <w:r>
        <w:rPr>
          <w:b/>
          <w:sz w:val="20"/>
        </w:rPr>
        <w:t>Operations </w:t>
      </w:r>
      <w:r>
        <w:rPr>
          <w:b/>
          <w:spacing w:val="-2"/>
          <w:sz w:val="20"/>
        </w:rPr>
        <w:t>Introduction</w:t>
      </w:r>
    </w:p>
    <w:p>
      <w:pPr>
        <w:pStyle w:val="ListParagraph"/>
        <w:numPr>
          <w:ilvl w:val="0"/>
          <w:numId w:val="4"/>
        </w:numPr>
        <w:tabs>
          <w:tab w:pos="2967" w:val="left" w:leader="none"/>
        </w:tabs>
        <w:spacing w:line="240" w:lineRule="auto" w:before="47" w:after="0"/>
        <w:ind w:left="2246" w:right="2238" w:firstLine="0"/>
        <w:jc w:val="both"/>
        <w:rPr>
          <w:sz w:val="20"/>
        </w:rPr>
      </w:pPr>
      <w:bookmarkStart w:name="_bookmark43" w:id="44"/>
      <w:bookmarkEnd w:id="44"/>
      <w:r>
        <w:rPr>
          <w:sz w:val="20"/>
        </w:rPr>
        <w:t>T</w:t>
      </w:r>
      <w:r>
        <w:rPr>
          <w:sz w:val="20"/>
        </w:rPr>
        <w:t>he Division of External Operations (DEO) is responsible for the Registry’s functions in the areas of cooperation, analysis, external communication, protection of witnesses and facilitation of their appearance before the Court, and field operations. In addition to the Office of the Director (OD-DEO), DEO comprises three sections at Headquarters, namely, the Victims and Witnesses Section (VWS), the External Operations Support</w:t>
      </w:r>
      <w:r>
        <w:rPr>
          <w:spacing w:val="-8"/>
          <w:sz w:val="20"/>
        </w:rPr>
        <w:t> </w:t>
      </w:r>
      <w:r>
        <w:rPr>
          <w:sz w:val="20"/>
        </w:rPr>
        <w:t>Section</w:t>
      </w:r>
      <w:r>
        <w:rPr>
          <w:spacing w:val="-5"/>
          <w:sz w:val="20"/>
        </w:rPr>
        <w:t> </w:t>
      </w:r>
      <w:r>
        <w:rPr>
          <w:sz w:val="20"/>
        </w:rPr>
        <w:t>(EOSS)</w:t>
      </w:r>
      <w:r>
        <w:rPr>
          <w:spacing w:val="-9"/>
          <w:sz w:val="20"/>
        </w:rPr>
        <w:t> </w:t>
      </w:r>
      <w:r>
        <w:rPr>
          <w:sz w:val="20"/>
        </w:rPr>
        <w:t>and</w:t>
      </w:r>
      <w:r>
        <w:rPr>
          <w:spacing w:val="-9"/>
          <w:sz w:val="20"/>
        </w:rPr>
        <w:t> </w:t>
      </w:r>
      <w:r>
        <w:rPr>
          <w:sz w:val="20"/>
        </w:rPr>
        <w:t>the</w:t>
      </w:r>
      <w:r>
        <w:rPr>
          <w:spacing w:val="-3"/>
          <w:sz w:val="20"/>
        </w:rPr>
        <w:t> </w:t>
      </w:r>
      <w:r>
        <w:rPr>
          <w:sz w:val="20"/>
        </w:rPr>
        <w:t>Public</w:t>
      </w:r>
      <w:r>
        <w:rPr>
          <w:spacing w:val="-3"/>
          <w:sz w:val="20"/>
        </w:rPr>
        <w:t> </w:t>
      </w:r>
      <w:r>
        <w:rPr>
          <w:sz w:val="20"/>
        </w:rPr>
        <w:t>Information</w:t>
      </w:r>
      <w:r>
        <w:rPr>
          <w:spacing w:val="-9"/>
          <w:sz w:val="20"/>
        </w:rPr>
        <w:t> </w:t>
      </w:r>
      <w:r>
        <w:rPr>
          <w:sz w:val="20"/>
        </w:rPr>
        <w:t>and</w:t>
      </w:r>
      <w:r>
        <w:rPr>
          <w:spacing w:val="-5"/>
          <w:sz w:val="20"/>
        </w:rPr>
        <w:t> </w:t>
      </w:r>
      <w:r>
        <w:rPr>
          <w:sz w:val="20"/>
        </w:rPr>
        <w:t>Outreach</w:t>
      </w:r>
      <w:r>
        <w:rPr>
          <w:spacing w:val="-5"/>
          <w:sz w:val="20"/>
        </w:rPr>
        <w:t> </w:t>
      </w:r>
      <w:r>
        <w:rPr>
          <w:sz w:val="20"/>
        </w:rPr>
        <w:t>Section</w:t>
      </w:r>
      <w:r>
        <w:rPr>
          <w:spacing w:val="-9"/>
          <w:sz w:val="20"/>
        </w:rPr>
        <w:t> </w:t>
      </w:r>
      <w:r>
        <w:rPr>
          <w:sz w:val="20"/>
        </w:rPr>
        <w:t>(PIOS).</w:t>
      </w:r>
      <w:r>
        <w:rPr>
          <w:spacing w:val="-7"/>
          <w:sz w:val="20"/>
        </w:rPr>
        <w:t> </w:t>
      </w:r>
      <w:r>
        <w:rPr>
          <w:sz w:val="20"/>
        </w:rPr>
        <w:t>DEO</w:t>
      </w:r>
      <w:r>
        <w:rPr>
          <w:spacing w:val="-11"/>
          <w:sz w:val="20"/>
        </w:rPr>
        <w:t> </w:t>
      </w:r>
      <w:r>
        <w:rPr>
          <w:sz w:val="20"/>
        </w:rPr>
        <w:t>also includes</w:t>
      </w:r>
      <w:r>
        <w:rPr>
          <w:spacing w:val="-5"/>
          <w:sz w:val="20"/>
        </w:rPr>
        <w:t> </w:t>
      </w:r>
      <w:r>
        <w:rPr>
          <w:sz w:val="20"/>
        </w:rPr>
        <w:t>the</w:t>
      </w:r>
      <w:r>
        <w:rPr>
          <w:spacing w:val="-7"/>
          <w:sz w:val="20"/>
        </w:rPr>
        <w:t> </w:t>
      </w:r>
      <w:r>
        <w:rPr>
          <w:sz w:val="20"/>
        </w:rPr>
        <w:t>external</w:t>
      </w:r>
      <w:r>
        <w:rPr>
          <w:spacing w:val="-2"/>
          <w:sz w:val="20"/>
        </w:rPr>
        <w:t> </w:t>
      </w:r>
      <w:r>
        <w:rPr>
          <w:sz w:val="20"/>
        </w:rPr>
        <w:t>representations</w:t>
      </w:r>
      <w:r>
        <w:rPr>
          <w:spacing w:val="-5"/>
          <w:sz w:val="20"/>
        </w:rPr>
        <w:t> </w:t>
      </w:r>
      <w:r>
        <w:rPr>
          <w:sz w:val="20"/>
        </w:rPr>
        <w:t>of</w:t>
      </w:r>
      <w:r>
        <w:rPr>
          <w:spacing w:val="-4"/>
          <w:sz w:val="20"/>
        </w:rPr>
        <w:t> </w:t>
      </w:r>
      <w:r>
        <w:rPr>
          <w:sz w:val="20"/>
        </w:rPr>
        <w:t>the</w:t>
      </w:r>
      <w:r>
        <w:rPr>
          <w:spacing w:val="-2"/>
          <w:sz w:val="20"/>
        </w:rPr>
        <w:t> </w:t>
      </w:r>
      <w:r>
        <w:rPr>
          <w:sz w:val="20"/>
        </w:rPr>
        <w:t>Court</w:t>
      </w:r>
      <w:r>
        <w:rPr>
          <w:spacing w:val="-2"/>
          <w:sz w:val="20"/>
        </w:rPr>
        <w:t> </w:t>
      </w:r>
      <w:r>
        <w:rPr>
          <w:sz w:val="20"/>
        </w:rPr>
        <w:t>in</w:t>
      </w:r>
      <w:r>
        <w:rPr>
          <w:spacing w:val="-4"/>
          <w:sz w:val="20"/>
        </w:rPr>
        <w:t> </w:t>
      </w:r>
      <w:r>
        <w:rPr>
          <w:sz w:val="20"/>
        </w:rPr>
        <w:t>situation</w:t>
      </w:r>
      <w:r>
        <w:rPr>
          <w:spacing w:val="-4"/>
          <w:sz w:val="20"/>
        </w:rPr>
        <w:t> </w:t>
      </w:r>
      <w:r>
        <w:rPr>
          <w:sz w:val="20"/>
        </w:rPr>
        <w:t>countries</w:t>
      </w:r>
      <w:r>
        <w:rPr>
          <w:spacing w:val="-5"/>
          <w:sz w:val="20"/>
        </w:rPr>
        <w:t> </w:t>
      </w:r>
      <w:r>
        <w:rPr>
          <w:sz w:val="20"/>
        </w:rPr>
        <w:t>(country</w:t>
      </w:r>
      <w:r>
        <w:rPr>
          <w:spacing w:val="-4"/>
          <w:sz w:val="20"/>
        </w:rPr>
        <w:t> </w:t>
      </w:r>
      <w:r>
        <w:rPr>
          <w:sz w:val="20"/>
        </w:rPr>
        <w:t>offices)</w:t>
      </w:r>
      <w:r>
        <w:rPr>
          <w:spacing w:val="-4"/>
          <w:sz w:val="20"/>
        </w:rPr>
        <w:t> </w:t>
      </w:r>
      <w:r>
        <w:rPr>
          <w:sz w:val="20"/>
        </w:rPr>
        <w:t>and at United Nations Headquarters in New York.</w:t>
      </w:r>
    </w:p>
    <w:p>
      <w:pPr>
        <w:pStyle w:val="ListParagraph"/>
        <w:numPr>
          <w:ilvl w:val="0"/>
          <w:numId w:val="4"/>
        </w:numPr>
        <w:tabs>
          <w:tab w:pos="2967" w:val="left" w:leader="none"/>
        </w:tabs>
        <w:spacing w:line="240" w:lineRule="auto" w:before="120" w:after="0"/>
        <w:ind w:left="2246" w:right="2239" w:firstLine="0"/>
        <w:jc w:val="both"/>
        <w:rPr>
          <w:sz w:val="20"/>
        </w:rPr>
      </w:pPr>
      <w:r>
        <w:rPr>
          <w:sz w:val="20"/>
        </w:rPr>
        <w:t>The</w:t>
      </w:r>
      <w:r>
        <w:rPr>
          <w:spacing w:val="-3"/>
          <w:sz w:val="20"/>
        </w:rPr>
        <w:t> </w:t>
      </w:r>
      <w:r>
        <w:rPr>
          <w:sz w:val="20"/>
        </w:rPr>
        <w:t>Court’s</w:t>
      </w:r>
      <w:r>
        <w:rPr>
          <w:spacing w:val="-6"/>
          <w:sz w:val="20"/>
        </w:rPr>
        <w:t> </w:t>
      </w:r>
      <w:r>
        <w:rPr>
          <w:sz w:val="20"/>
        </w:rPr>
        <w:t>country offices</w:t>
      </w:r>
      <w:r>
        <w:rPr>
          <w:spacing w:val="-6"/>
          <w:sz w:val="20"/>
        </w:rPr>
        <w:t> </w:t>
      </w:r>
      <w:r>
        <w:rPr>
          <w:sz w:val="20"/>
        </w:rPr>
        <w:t>are</w:t>
      </w:r>
      <w:r>
        <w:rPr>
          <w:spacing w:val="-3"/>
          <w:sz w:val="20"/>
        </w:rPr>
        <w:t> </w:t>
      </w:r>
      <w:r>
        <w:rPr>
          <w:sz w:val="20"/>
        </w:rPr>
        <w:t>established,</w:t>
      </w:r>
      <w:r>
        <w:rPr>
          <w:spacing w:val="-2"/>
          <w:sz w:val="20"/>
        </w:rPr>
        <w:t> </w:t>
      </w:r>
      <w:r>
        <w:rPr>
          <w:sz w:val="20"/>
        </w:rPr>
        <w:t>as</w:t>
      </w:r>
      <w:r>
        <w:rPr>
          <w:spacing w:val="-6"/>
          <w:sz w:val="20"/>
        </w:rPr>
        <w:t> </w:t>
      </w:r>
      <w:r>
        <w:rPr>
          <w:sz w:val="20"/>
        </w:rPr>
        <w:t>appropriate,</w:t>
      </w:r>
      <w:r>
        <w:rPr>
          <w:spacing w:val="-2"/>
          <w:sz w:val="20"/>
        </w:rPr>
        <w:t> </w:t>
      </w:r>
      <w:r>
        <w:rPr>
          <w:sz w:val="20"/>
        </w:rPr>
        <w:t>in situation</w:t>
      </w:r>
      <w:r>
        <w:rPr>
          <w:spacing w:val="-9"/>
          <w:sz w:val="20"/>
        </w:rPr>
        <w:t> </w:t>
      </w:r>
      <w:r>
        <w:rPr>
          <w:sz w:val="20"/>
        </w:rPr>
        <w:t>countries</w:t>
      </w:r>
      <w:r>
        <w:rPr>
          <w:spacing w:val="-6"/>
          <w:sz w:val="20"/>
        </w:rPr>
        <w:t> </w:t>
      </w:r>
      <w:r>
        <w:rPr>
          <w:sz w:val="20"/>
        </w:rPr>
        <w:t>to carry</w:t>
      </w:r>
      <w:r>
        <w:rPr>
          <w:spacing w:val="-7"/>
          <w:sz w:val="20"/>
        </w:rPr>
        <w:t> </w:t>
      </w:r>
      <w:r>
        <w:rPr>
          <w:sz w:val="20"/>
        </w:rPr>
        <w:t>out</w:t>
      </w:r>
      <w:r>
        <w:rPr>
          <w:spacing w:val="-6"/>
          <w:sz w:val="20"/>
        </w:rPr>
        <w:t> </w:t>
      </w:r>
      <w:r>
        <w:rPr>
          <w:sz w:val="20"/>
        </w:rPr>
        <w:t>the</w:t>
      </w:r>
      <w:r>
        <w:rPr>
          <w:spacing w:val="-6"/>
          <w:sz w:val="20"/>
        </w:rPr>
        <w:t> </w:t>
      </w:r>
      <w:r>
        <w:rPr>
          <w:sz w:val="20"/>
        </w:rPr>
        <w:t>Registry’s</w:t>
      </w:r>
      <w:r>
        <w:rPr>
          <w:spacing w:val="-9"/>
          <w:sz w:val="20"/>
        </w:rPr>
        <w:t> </w:t>
      </w:r>
      <w:r>
        <w:rPr>
          <w:sz w:val="20"/>
        </w:rPr>
        <w:t>mandated</w:t>
      </w:r>
      <w:r>
        <w:rPr>
          <w:spacing w:val="-7"/>
          <w:sz w:val="20"/>
        </w:rPr>
        <w:t> </w:t>
      </w:r>
      <w:r>
        <w:rPr>
          <w:sz w:val="20"/>
        </w:rPr>
        <w:t>tasks</w:t>
      </w:r>
      <w:r>
        <w:rPr>
          <w:spacing w:val="-9"/>
          <w:sz w:val="20"/>
        </w:rPr>
        <w:t> </w:t>
      </w:r>
      <w:r>
        <w:rPr>
          <w:sz w:val="20"/>
        </w:rPr>
        <w:t>in</w:t>
      </w:r>
      <w:r>
        <w:rPr>
          <w:spacing w:val="-7"/>
          <w:sz w:val="20"/>
        </w:rPr>
        <w:t> </w:t>
      </w:r>
      <w:r>
        <w:rPr>
          <w:sz w:val="20"/>
        </w:rPr>
        <w:t>relation</w:t>
      </w:r>
      <w:r>
        <w:rPr>
          <w:spacing w:val="-7"/>
          <w:sz w:val="20"/>
        </w:rPr>
        <w:t> </w:t>
      </w:r>
      <w:r>
        <w:rPr>
          <w:sz w:val="20"/>
        </w:rPr>
        <w:t>to</w:t>
      </w:r>
      <w:r>
        <w:rPr>
          <w:spacing w:val="-7"/>
          <w:sz w:val="20"/>
        </w:rPr>
        <w:t> </w:t>
      </w:r>
      <w:r>
        <w:rPr>
          <w:sz w:val="20"/>
        </w:rPr>
        <w:t>witnesses,</w:t>
      </w:r>
      <w:r>
        <w:rPr>
          <w:spacing w:val="-5"/>
          <w:sz w:val="20"/>
        </w:rPr>
        <w:t> </w:t>
      </w:r>
      <w:r>
        <w:rPr>
          <w:sz w:val="20"/>
        </w:rPr>
        <w:t>victims</w:t>
      </w:r>
      <w:r>
        <w:rPr>
          <w:spacing w:val="-9"/>
          <w:sz w:val="20"/>
        </w:rPr>
        <w:t> </w:t>
      </w:r>
      <w:r>
        <w:rPr>
          <w:sz w:val="20"/>
        </w:rPr>
        <w:t>and</w:t>
      </w:r>
      <w:r>
        <w:rPr>
          <w:spacing w:val="-7"/>
          <w:sz w:val="20"/>
        </w:rPr>
        <w:t> </w:t>
      </w:r>
      <w:r>
        <w:rPr>
          <w:sz w:val="20"/>
        </w:rPr>
        <w:t>communication, and to provide support for the activities of the Office of the Prosecutor (OTP), counsel for the defence and for victims and the Trust Fund for Victims (TFV). In 2023, the Court will operate</w:t>
      </w:r>
      <w:r>
        <w:rPr>
          <w:spacing w:val="-13"/>
          <w:sz w:val="20"/>
        </w:rPr>
        <w:t> </w:t>
      </w:r>
      <w:r>
        <w:rPr>
          <w:sz w:val="20"/>
        </w:rPr>
        <w:t>offices</w:t>
      </w:r>
      <w:r>
        <w:rPr>
          <w:spacing w:val="-12"/>
          <w:sz w:val="20"/>
        </w:rPr>
        <w:t> </w:t>
      </w:r>
      <w:r>
        <w:rPr>
          <w:sz w:val="20"/>
        </w:rPr>
        <w:t>in</w:t>
      </w:r>
      <w:r>
        <w:rPr>
          <w:spacing w:val="-13"/>
          <w:sz w:val="20"/>
        </w:rPr>
        <w:t> </w:t>
      </w:r>
      <w:r>
        <w:rPr>
          <w:sz w:val="20"/>
        </w:rPr>
        <w:t>eight</w:t>
      </w:r>
      <w:r>
        <w:rPr>
          <w:spacing w:val="-8"/>
          <w:sz w:val="20"/>
        </w:rPr>
        <w:t> </w:t>
      </w:r>
      <w:r>
        <w:rPr>
          <w:sz w:val="20"/>
        </w:rPr>
        <w:t>situation</w:t>
      </w:r>
      <w:r>
        <w:rPr>
          <w:spacing w:val="-8"/>
          <w:sz w:val="20"/>
        </w:rPr>
        <w:t> </w:t>
      </w:r>
      <w:r>
        <w:rPr>
          <w:sz w:val="20"/>
        </w:rPr>
        <w:t>countries,</w:t>
      </w:r>
      <w:r>
        <w:rPr>
          <w:spacing w:val="-6"/>
          <w:sz w:val="20"/>
        </w:rPr>
        <w:t> </w:t>
      </w:r>
      <w:r>
        <w:rPr>
          <w:sz w:val="20"/>
        </w:rPr>
        <w:t>namely,</w:t>
      </w:r>
      <w:r>
        <w:rPr>
          <w:spacing w:val="-6"/>
          <w:sz w:val="20"/>
        </w:rPr>
        <w:t> </w:t>
      </w:r>
      <w:r>
        <w:rPr>
          <w:sz w:val="20"/>
        </w:rPr>
        <w:t>the</w:t>
      </w:r>
      <w:r>
        <w:rPr>
          <w:spacing w:val="-12"/>
          <w:sz w:val="20"/>
        </w:rPr>
        <w:t> </w:t>
      </w:r>
      <w:r>
        <w:rPr>
          <w:sz w:val="20"/>
        </w:rPr>
        <w:t>existing</w:t>
      </w:r>
      <w:r>
        <w:rPr>
          <w:spacing w:val="-8"/>
          <w:sz w:val="20"/>
        </w:rPr>
        <w:t> </w:t>
      </w:r>
      <w:r>
        <w:rPr>
          <w:sz w:val="20"/>
        </w:rPr>
        <w:t>offices</w:t>
      </w:r>
      <w:r>
        <w:rPr>
          <w:spacing w:val="-13"/>
          <w:sz w:val="20"/>
        </w:rPr>
        <w:t> </w:t>
      </w:r>
      <w:r>
        <w:rPr>
          <w:sz w:val="20"/>
        </w:rPr>
        <w:t>in</w:t>
      </w:r>
      <w:r>
        <w:rPr>
          <w:spacing w:val="-12"/>
          <w:sz w:val="20"/>
        </w:rPr>
        <w:t> </w:t>
      </w:r>
      <w:r>
        <w:rPr>
          <w:sz w:val="20"/>
        </w:rPr>
        <w:t>the</w:t>
      </w:r>
      <w:r>
        <w:rPr>
          <w:spacing w:val="-12"/>
          <w:sz w:val="20"/>
        </w:rPr>
        <w:t> </w:t>
      </w:r>
      <w:r>
        <w:rPr>
          <w:sz w:val="20"/>
        </w:rPr>
        <w:t>Central</w:t>
      </w:r>
      <w:r>
        <w:rPr>
          <w:spacing w:val="-7"/>
          <w:sz w:val="20"/>
        </w:rPr>
        <w:t> </w:t>
      </w:r>
      <w:r>
        <w:rPr>
          <w:sz w:val="20"/>
        </w:rPr>
        <w:t>African Republic</w:t>
      </w:r>
      <w:r>
        <w:rPr>
          <w:spacing w:val="-13"/>
          <w:sz w:val="20"/>
        </w:rPr>
        <w:t> </w:t>
      </w:r>
      <w:r>
        <w:rPr>
          <w:sz w:val="20"/>
        </w:rPr>
        <w:t>(CAR),</w:t>
      </w:r>
      <w:r>
        <w:rPr>
          <w:spacing w:val="-12"/>
          <w:sz w:val="20"/>
        </w:rPr>
        <w:t> </w:t>
      </w:r>
      <w:r>
        <w:rPr>
          <w:sz w:val="20"/>
        </w:rPr>
        <w:t>Côte</w:t>
      </w:r>
      <w:r>
        <w:rPr>
          <w:spacing w:val="-13"/>
          <w:sz w:val="20"/>
        </w:rPr>
        <w:t> </w:t>
      </w:r>
      <w:r>
        <w:rPr>
          <w:sz w:val="20"/>
        </w:rPr>
        <w:t>d’Ivoire,</w:t>
      </w:r>
      <w:r>
        <w:rPr>
          <w:spacing w:val="-12"/>
          <w:sz w:val="20"/>
        </w:rPr>
        <w:t> </w:t>
      </w:r>
      <w:r>
        <w:rPr>
          <w:sz w:val="20"/>
        </w:rPr>
        <w:t>the</w:t>
      </w:r>
      <w:r>
        <w:rPr>
          <w:spacing w:val="-13"/>
          <w:sz w:val="20"/>
        </w:rPr>
        <w:t> </w:t>
      </w:r>
      <w:r>
        <w:rPr>
          <w:sz w:val="20"/>
        </w:rPr>
        <w:t>Democratic</w:t>
      </w:r>
      <w:r>
        <w:rPr>
          <w:spacing w:val="-12"/>
          <w:sz w:val="20"/>
        </w:rPr>
        <w:t> </w:t>
      </w:r>
      <w:r>
        <w:rPr>
          <w:sz w:val="20"/>
        </w:rPr>
        <w:t>Republic</w:t>
      </w:r>
      <w:r>
        <w:rPr>
          <w:spacing w:val="-13"/>
          <w:sz w:val="20"/>
        </w:rPr>
        <w:t> </w:t>
      </w:r>
      <w:r>
        <w:rPr>
          <w:sz w:val="20"/>
        </w:rPr>
        <w:t>of</w:t>
      </w:r>
      <w:r>
        <w:rPr>
          <w:spacing w:val="-12"/>
          <w:sz w:val="20"/>
        </w:rPr>
        <w:t> </w:t>
      </w:r>
      <w:r>
        <w:rPr>
          <w:sz w:val="20"/>
        </w:rPr>
        <w:t>the</w:t>
      </w:r>
      <w:r>
        <w:rPr>
          <w:spacing w:val="-13"/>
          <w:sz w:val="20"/>
        </w:rPr>
        <w:t> </w:t>
      </w:r>
      <w:r>
        <w:rPr>
          <w:sz w:val="20"/>
        </w:rPr>
        <w:t>Congo</w:t>
      </w:r>
      <w:r>
        <w:rPr>
          <w:spacing w:val="-12"/>
          <w:sz w:val="20"/>
        </w:rPr>
        <w:t> </w:t>
      </w:r>
      <w:r>
        <w:rPr>
          <w:sz w:val="20"/>
        </w:rPr>
        <w:t>(DRC),</w:t>
      </w:r>
      <w:r>
        <w:rPr>
          <w:spacing w:val="-13"/>
          <w:sz w:val="20"/>
        </w:rPr>
        <w:t> </w:t>
      </w:r>
      <w:r>
        <w:rPr>
          <w:sz w:val="20"/>
        </w:rPr>
        <w:t>Georgia,</w:t>
      </w:r>
      <w:r>
        <w:rPr>
          <w:spacing w:val="-12"/>
          <w:sz w:val="20"/>
        </w:rPr>
        <w:t> </w:t>
      </w:r>
      <w:r>
        <w:rPr>
          <w:sz w:val="20"/>
        </w:rPr>
        <w:t>Mali and</w:t>
      </w:r>
      <w:r>
        <w:rPr>
          <w:spacing w:val="-3"/>
          <w:sz w:val="20"/>
        </w:rPr>
        <w:t> </w:t>
      </w:r>
      <w:r>
        <w:rPr>
          <w:sz w:val="20"/>
        </w:rPr>
        <w:t>Uganda,</w:t>
      </w:r>
      <w:r>
        <w:rPr>
          <w:spacing w:val="-5"/>
          <w:sz w:val="20"/>
        </w:rPr>
        <w:t> </w:t>
      </w:r>
      <w:r>
        <w:rPr>
          <w:sz w:val="20"/>
        </w:rPr>
        <w:t>as</w:t>
      </w:r>
      <w:r>
        <w:rPr>
          <w:spacing w:val="-4"/>
          <w:sz w:val="20"/>
        </w:rPr>
        <w:t> </w:t>
      </w:r>
      <w:r>
        <w:rPr>
          <w:sz w:val="20"/>
        </w:rPr>
        <w:t>well</w:t>
      </w:r>
      <w:r>
        <w:rPr>
          <w:spacing w:val="-6"/>
          <w:sz w:val="20"/>
        </w:rPr>
        <w:t> </w:t>
      </w:r>
      <w:r>
        <w:rPr>
          <w:sz w:val="20"/>
        </w:rPr>
        <w:t>as</w:t>
      </w:r>
      <w:r>
        <w:rPr>
          <w:spacing w:val="-4"/>
          <w:sz w:val="20"/>
        </w:rPr>
        <w:t> </w:t>
      </w:r>
      <w:r>
        <w:rPr>
          <w:sz w:val="20"/>
        </w:rPr>
        <w:t>new</w:t>
      </w:r>
      <w:r>
        <w:rPr>
          <w:spacing w:val="-9"/>
          <w:sz w:val="20"/>
        </w:rPr>
        <w:t> </w:t>
      </w:r>
      <w:r>
        <w:rPr>
          <w:sz w:val="20"/>
        </w:rPr>
        <w:t>offices</w:t>
      </w:r>
      <w:r>
        <w:rPr>
          <w:spacing w:val="-9"/>
          <w:sz w:val="20"/>
        </w:rPr>
        <w:t> </w:t>
      </w:r>
      <w:r>
        <w:rPr>
          <w:sz w:val="20"/>
        </w:rPr>
        <w:t>in</w:t>
      </w:r>
      <w:r>
        <w:rPr>
          <w:spacing w:val="-3"/>
          <w:sz w:val="20"/>
        </w:rPr>
        <w:t> </w:t>
      </w:r>
      <w:r>
        <w:rPr>
          <w:sz w:val="20"/>
        </w:rPr>
        <w:t>Sudan</w:t>
      </w:r>
      <w:r>
        <w:rPr>
          <w:spacing w:val="-7"/>
          <w:sz w:val="20"/>
        </w:rPr>
        <w:t> </w:t>
      </w:r>
      <w:r>
        <w:rPr>
          <w:sz w:val="20"/>
        </w:rPr>
        <w:t>and</w:t>
      </w:r>
      <w:r>
        <w:rPr>
          <w:spacing w:val="-3"/>
          <w:sz w:val="20"/>
        </w:rPr>
        <w:t> </w:t>
      </w:r>
      <w:r>
        <w:rPr>
          <w:sz w:val="20"/>
        </w:rPr>
        <w:t>Ukraine. The</w:t>
      </w:r>
      <w:r>
        <w:rPr>
          <w:spacing w:val="-1"/>
          <w:sz w:val="20"/>
        </w:rPr>
        <w:t> </w:t>
      </w:r>
      <w:r>
        <w:rPr>
          <w:sz w:val="20"/>
        </w:rPr>
        <w:t>size</w:t>
      </w:r>
      <w:r>
        <w:rPr>
          <w:spacing w:val="-6"/>
          <w:sz w:val="20"/>
        </w:rPr>
        <w:t> </w:t>
      </w:r>
      <w:r>
        <w:rPr>
          <w:sz w:val="20"/>
        </w:rPr>
        <w:t>and</w:t>
      </w:r>
      <w:r>
        <w:rPr>
          <w:spacing w:val="-3"/>
          <w:sz w:val="20"/>
        </w:rPr>
        <w:t> </w:t>
      </w:r>
      <w:r>
        <w:rPr>
          <w:sz w:val="20"/>
        </w:rPr>
        <w:t>staffing</w:t>
      </w:r>
      <w:r>
        <w:rPr>
          <w:spacing w:val="-7"/>
          <w:sz w:val="20"/>
        </w:rPr>
        <w:t> </w:t>
      </w:r>
      <w:r>
        <w:rPr>
          <w:sz w:val="20"/>
        </w:rPr>
        <w:t>composition of</w:t>
      </w:r>
      <w:r>
        <w:rPr>
          <w:spacing w:val="-3"/>
          <w:sz w:val="20"/>
        </w:rPr>
        <w:t> </w:t>
      </w:r>
      <w:r>
        <w:rPr>
          <w:sz w:val="20"/>
        </w:rPr>
        <w:t>each</w:t>
      </w:r>
      <w:r>
        <w:rPr>
          <w:spacing w:val="-7"/>
          <w:sz w:val="20"/>
        </w:rPr>
        <w:t> </w:t>
      </w:r>
      <w:r>
        <w:rPr>
          <w:sz w:val="20"/>
        </w:rPr>
        <w:t>country</w:t>
      </w:r>
      <w:r>
        <w:rPr>
          <w:spacing w:val="-3"/>
          <w:sz w:val="20"/>
        </w:rPr>
        <w:t> </w:t>
      </w:r>
      <w:r>
        <w:rPr>
          <w:sz w:val="20"/>
        </w:rPr>
        <w:t>office</w:t>
      </w:r>
      <w:r>
        <w:rPr>
          <w:spacing w:val="-1"/>
          <w:sz w:val="20"/>
        </w:rPr>
        <w:t> </w:t>
      </w:r>
      <w:r>
        <w:rPr>
          <w:sz w:val="20"/>
        </w:rPr>
        <w:t>is</w:t>
      </w:r>
      <w:r>
        <w:rPr>
          <w:spacing w:val="-9"/>
          <w:sz w:val="20"/>
        </w:rPr>
        <w:t> </w:t>
      </w:r>
      <w:r>
        <w:rPr>
          <w:sz w:val="20"/>
        </w:rPr>
        <w:t>determined</w:t>
      </w:r>
      <w:r>
        <w:rPr>
          <w:spacing w:val="-3"/>
          <w:sz w:val="20"/>
        </w:rPr>
        <w:t> </w:t>
      </w:r>
      <w:r>
        <w:rPr>
          <w:sz w:val="20"/>
        </w:rPr>
        <w:t>on</w:t>
      </w:r>
      <w:r>
        <w:rPr>
          <w:spacing w:val="-7"/>
          <w:sz w:val="20"/>
        </w:rPr>
        <w:t> </w:t>
      </w:r>
      <w:r>
        <w:rPr>
          <w:sz w:val="20"/>
        </w:rPr>
        <w:t>a</w:t>
      </w:r>
      <w:r>
        <w:rPr>
          <w:spacing w:val="-6"/>
          <w:sz w:val="20"/>
        </w:rPr>
        <w:t> </w:t>
      </w:r>
      <w:r>
        <w:rPr>
          <w:sz w:val="20"/>
        </w:rPr>
        <w:t>case-by-case</w:t>
      </w:r>
      <w:r>
        <w:rPr>
          <w:spacing w:val="-6"/>
          <w:sz w:val="20"/>
        </w:rPr>
        <w:t> </w:t>
      </w:r>
      <w:r>
        <w:rPr>
          <w:sz w:val="20"/>
        </w:rPr>
        <w:t>basis,</w:t>
      </w:r>
      <w:r>
        <w:rPr>
          <w:spacing w:val="-5"/>
          <w:sz w:val="20"/>
        </w:rPr>
        <w:t> </w:t>
      </w:r>
      <w:r>
        <w:rPr>
          <w:sz w:val="20"/>
        </w:rPr>
        <w:t>taking</w:t>
      </w:r>
      <w:r>
        <w:rPr>
          <w:spacing w:val="-3"/>
          <w:sz w:val="20"/>
        </w:rPr>
        <w:t> </w:t>
      </w:r>
      <w:r>
        <w:rPr>
          <w:sz w:val="20"/>
        </w:rPr>
        <w:t>into</w:t>
      </w:r>
      <w:r>
        <w:rPr>
          <w:spacing w:val="-7"/>
          <w:sz w:val="20"/>
        </w:rPr>
        <w:t> </w:t>
      </w:r>
      <w:r>
        <w:rPr>
          <w:sz w:val="20"/>
        </w:rPr>
        <w:t>account</w:t>
      </w:r>
      <w:r>
        <w:rPr>
          <w:spacing w:val="-1"/>
          <w:sz w:val="20"/>
        </w:rPr>
        <w:t> </w:t>
      </w:r>
      <w:r>
        <w:rPr>
          <w:sz w:val="20"/>
        </w:rPr>
        <w:t>the</w:t>
      </w:r>
      <w:r>
        <w:rPr>
          <w:spacing w:val="-1"/>
          <w:sz w:val="20"/>
        </w:rPr>
        <w:t> </w:t>
      </w:r>
      <w:r>
        <w:rPr>
          <w:sz w:val="20"/>
        </w:rPr>
        <w:t>stage</w:t>
      </w:r>
      <w:r>
        <w:rPr>
          <w:spacing w:val="-6"/>
          <w:sz w:val="20"/>
        </w:rPr>
        <w:t> </w:t>
      </w:r>
      <w:r>
        <w:rPr>
          <w:sz w:val="20"/>
        </w:rPr>
        <w:t>of the Court’s engagement in the situation country, the specific circumstances of the situation and</w:t>
      </w:r>
      <w:r>
        <w:rPr>
          <w:spacing w:val="-7"/>
          <w:sz w:val="20"/>
        </w:rPr>
        <w:t> </w:t>
      </w:r>
      <w:r>
        <w:rPr>
          <w:sz w:val="20"/>
        </w:rPr>
        <w:t>the</w:t>
      </w:r>
      <w:r>
        <w:rPr>
          <w:spacing w:val="-6"/>
          <w:sz w:val="20"/>
        </w:rPr>
        <w:t> </w:t>
      </w:r>
      <w:r>
        <w:rPr>
          <w:sz w:val="20"/>
        </w:rPr>
        <w:t>need</w:t>
      </w:r>
      <w:r>
        <w:rPr>
          <w:spacing w:val="-7"/>
          <w:sz w:val="20"/>
        </w:rPr>
        <w:t> </w:t>
      </w:r>
      <w:r>
        <w:rPr>
          <w:sz w:val="20"/>
        </w:rPr>
        <w:t>to</w:t>
      </w:r>
      <w:r>
        <w:rPr>
          <w:spacing w:val="-3"/>
          <w:sz w:val="20"/>
        </w:rPr>
        <w:t> </w:t>
      </w:r>
      <w:r>
        <w:rPr>
          <w:sz w:val="20"/>
        </w:rPr>
        <w:t>support</w:t>
      </w:r>
      <w:r>
        <w:rPr>
          <w:spacing w:val="-6"/>
          <w:sz w:val="20"/>
        </w:rPr>
        <w:t> </w:t>
      </w:r>
      <w:r>
        <w:rPr>
          <w:sz w:val="20"/>
        </w:rPr>
        <w:t>activities</w:t>
      </w:r>
      <w:r>
        <w:rPr>
          <w:spacing w:val="-9"/>
          <w:sz w:val="20"/>
        </w:rPr>
        <w:t> </w:t>
      </w:r>
      <w:r>
        <w:rPr>
          <w:sz w:val="20"/>
        </w:rPr>
        <w:t>in</w:t>
      </w:r>
      <w:r>
        <w:rPr>
          <w:spacing w:val="-3"/>
          <w:sz w:val="20"/>
        </w:rPr>
        <w:t> </w:t>
      </w:r>
      <w:r>
        <w:rPr>
          <w:sz w:val="20"/>
        </w:rPr>
        <w:t>neighbouring</w:t>
      </w:r>
      <w:r>
        <w:rPr>
          <w:spacing w:val="-7"/>
          <w:sz w:val="20"/>
        </w:rPr>
        <w:t> </w:t>
      </w:r>
      <w:r>
        <w:rPr>
          <w:sz w:val="20"/>
        </w:rPr>
        <w:t>countries.</w:t>
      </w:r>
      <w:r>
        <w:rPr>
          <w:spacing w:val="-5"/>
          <w:sz w:val="20"/>
        </w:rPr>
        <w:t> </w:t>
      </w:r>
      <w:r>
        <w:rPr>
          <w:sz w:val="20"/>
        </w:rPr>
        <w:t>Country</w:t>
      </w:r>
      <w:r>
        <w:rPr>
          <w:spacing w:val="-7"/>
          <w:sz w:val="20"/>
        </w:rPr>
        <w:t> </w:t>
      </w:r>
      <w:r>
        <w:rPr>
          <w:sz w:val="20"/>
        </w:rPr>
        <w:t>offices</w:t>
      </w:r>
      <w:r>
        <w:rPr>
          <w:spacing w:val="-4"/>
          <w:sz w:val="20"/>
        </w:rPr>
        <w:t> </w:t>
      </w:r>
      <w:r>
        <w:rPr>
          <w:sz w:val="20"/>
        </w:rPr>
        <w:t>are</w:t>
      </w:r>
      <w:r>
        <w:rPr>
          <w:spacing w:val="-1"/>
          <w:sz w:val="20"/>
        </w:rPr>
        <w:t> </w:t>
      </w:r>
      <w:r>
        <w:rPr>
          <w:sz w:val="20"/>
        </w:rPr>
        <w:t>time-bound, scalable representations in situation countries. Multiple factors are considered in assessing the best way to provide in-country/regional support for investigative and judicial activities. Depending</w:t>
      </w:r>
      <w:r>
        <w:rPr>
          <w:spacing w:val="-13"/>
          <w:sz w:val="20"/>
        </w:rPr>
        <w:t> </w:t>
      </w:r>
      <w:r>
        <w:rPr>
          <w:sz w:val="20"/>
        </w:rPr>
        <w:t>on</w:t>
      </w:r>
      <w:r>
        <w:rPr>
          <w:spacing w:val="-12"/>
          <w:sz w:val="20"/>
        </w:rPr>
        <w:t> </w:t>
      </w:r>
      <w:r>
        <w:rPr>
          <w:sz w:val="20"/>
        </w:rPr>
        <w:t>the</w:t>
      </w:r>
      <w:r>
        <w:rPr>
          <w:spacing w:val="-13"/>
          <w:sz w:val="20"/>
        </w:rPr>
        <w:t> </w:t>
      </w:r>
      <w:r>
        <w:rPr>
          <w:sz w:val="20"/>
        </w:rPr>
        <w:t>stage</w:t>
      </w:r>
      <w:r>
        <w:rPr>
          <w:spacing w:val="-12"/>
          <w:sz w:val="20"/>
        </w:rPr>
        <w:t> </w:t>
      </w:r>
      <w:r>
        <w:rPr>
          <w:sz w:val="20"/>
        </w:rPr>
        <w:t>of</w:t>
      </w:r>
      <w:r>
        <w:rPr>
          <w:spacing w:val="-13"/>
          <w:sz w:val="20"/>
        </w:rPr>
        <w:t> </w:t>
      </w:r>
      <w:r>
        <w:rPr>
          <w:sz w:val="20"/>
        </w:rPr>
        <w:t>proceedings,</w:t>
      </w:r>
      <w:r>
        <w:rPr>
          <w:spacing w:val="-12"/>
          <w:sz w:val="20"/>
        </w:rPr>
        <w:t> </w:t>
      </w:r>
      <w:r>
        <w:rPr>
          <w:sz w:val="20"/>
        </w:rPr>
        <w:t>the</w:t>
      </w:r>
      <w:r>
        <w:rPr>
          <w:spacing w:val="-10"/>
          <w:sz w:val="20"/>
        </w:rPr>
        <w:t> </w:t>
      </w:r>
      <w:r>
        <w:rPr>
          <w:sz w:val="20"/>
        </w:rPr>
        <w:t>situation</w:t>
      </w:r>
      <w:r>
        <w:rPr>
          <w:spacing w:val="-12"/>
          <w:sz w:val="20"/>
        </w:rPr>
        <w:t> </w:t>
      </w:r>
      <w:r>
        <w:rPr>
          <w:sz w:val="20"/>
        </w:rPr>
        <w:t>and</w:t>
      </w:r>
      <w:r>
        <w:rPr>
          <w:spacing w:val="-13"/>
          <w:sz w:val="20"/>
        </w:rPr>
        <w:t> </w:t>
      </w:r>
      <w:r>
        <w:rPr>
          <w:sz w:val="20"/>
        </w:rPr>
        <w:t>the</w:t>
      </w:r>
      <w:r>
        <w:rPr>
          <w:spacing w:val="-11"/>
          <w:sz w:val="20"/>
        </w:rPr>
        <w:t> </w:t>
      </w:r>
      <w:r>
        <w:rPr>
          <w:sz w:val="20"/>
        </w:rPr>
        <w:t>context</w:t>
      </w:r>
      <w:r>
        <w:rPr>
          <w:spacing w:val="-13"/>
          <w:sz w:val="20"/>
        </w:rPr>
        <w:t> </w:t>
      </w:r>
      <w:r>
        <w:rPr>
          <w:sz w:val="20"/>
        </w:rPr>
        <w:t>on</w:t>
      </w:r>
      <w:r>
        <w:rPr>
          <w:spacing w:val="-12"/>
          <w:sz w:val="20"/>
        </w:rPr>
        <w:t> </w:t>
      </w:r>
      <w:r>
        <w:rPr>
          <w:sz w:val="20"/>
        </w:rPr>
        <w:t>the</w:t>
      </w:r>
      <w:r>
        <w:rPr>
          <w:spacing w:val="-8"/>
          <w:sz w:val="20"/>
        </w:rPr>
        <w:t> </w:t>
      </w:r>
      <w:r>
        <w:rPr>
          <w:sz w:val="20"/>
        </w:rPr>
        <w:t>ground,</w:t>
      </w:r>
      <w:r>
        <w:rPr>
          <w:spacing w:val="-12"/>
          <w:sz w:val="20"/>
        </w:rPr>
        <w:t> </w:t>
      </w:r>
      <w:r>
        <w:rPr>
          <w:sz w:val="20"/>
        </w:rPr>
        <w:t>presences vary between small representation offices and more complex operations needed to address multifaceted requirements. The Court’s Liaison Office to the United Nations in New York (“Liaison Office”) supports external relations with diplomatic representations to the United Nations and the cooperation activities of all organs of the Court in relation to the United Nations itself.</w:t>
      </w:r>
    </w:p>
    <w:p>
      <w:pPr>
        <w:pStyle w:val="ListParagraph"/>
        <w:numPr>
          <w:ilvl w:val="0"/>
          <w:numId w:val="4"/>
        </w:numPr>
        <w:tabs>
          <w:tab w:pos="2967" w:val="left" w:leader="none"/>
        </w:tabs>
        <w:spacing w:line="240" w:lineRule="auto" w:before="124" w:after="0"/>
        <w:ind w:left="2246" w:right="2242" w:firstLine="0"/>
        <w:jc w:val="both"/>
        <w:rPr>
          <w:sz w:val="20"/>
        </w:rPr>
      </w:pPr>
      <w:r>
        <w:rPr>
          <w:sz w:val="20"/>
        </w:rPr>
        <w:t>Through</w:t>
      </w:r>
      <w:r>
        <w:rPr>
          <w:spacing w:val="-11"/>
          <w:sz w:val="20"/>
        </w:rPr>
        <w:t> </w:t>
      </w:r>
      <w:r>
        <w:rPr>
          <w:sz w:val="20"/>
        </w:rPr>
        <w:t>coordination</w:t>
      </w:r>
      <w:r>
        <w:rPr>
          <w:spacing w:val="-10"/>
          <w:sz w:val="20"/>
        </w:rPr>
        <w:t> </w:t>
      </w:r>
      <w:r>
        <w:rPr>
          <w:sz w:val="20"/>
        </w:rPr>
        <w:t>and</w:t>
      </w:r>
      <w:r>
        <w:rPr>
          <w:spacing w:val="-10"/>
          <w:sz w:val="20"/>
        </w:rPr>
        <w:t> </w:t>
      </w:r>
      <w:r>
        <w:rPr>
          <w:sz w:val="20"/>
        </w:rPr>
        <w:t>support</w:t>
      </w:r>
      <w:r>
        <w:rPr>
          <w:spacing w:val="-9"/>
          <w:sz w:val="20"/>
        </w:rPr>
        <w:t> </w:t>
      </w:r>
      <w:r>
        <w:rPr>
          <w:sz w:val="20"/>
        </w:rPr>
        <w:t>from</w:t>
      </w:r>
      <w:r>
        <w:rPr>
          <w:spacing w:val="-9"/>
          <w:sz w:val="20"/>
        </w:rPr>
        <w:t> </w:t>
      </w:r>
      <w:r>
        <w:rPr>
          <w:sz w:val="20"/>
        </w:rPr>
        <w:t>the</w:t>
      </w:r>
      <w:r>
        <w:rPr>
          <w:spacing w:val="-9"/>
          <w:sz w:val="20"/>
        </w:rPr>
        <w:t> </w:t>
      </w:r>
      <w:r>
        <w:rPr>
          <w:sz w:val="20"/>
        </w:rPr>
        <w:t>Court’s</w:t>
      </w:r>
      <w:r>
        <w:rPr>
          <w:spacing w:val="-7"/>
          <w:sz w:val="20"/>
        </w:rPr>
        <w:t> </w:t>
      </w:r>
      <w:r>
        <w:rPr>
          <w:sz w:val="20"/>
        </w:rPr>
        <w:t>Headquarters</w:t>
      </w:r>
      <w:r>
        <w:rPr>
          <w:spacing w:val="-12"/>
          <w:sz w:val="20"/>
        </w:rPr>
        <w:t> </w:t>
      </w:r>
      <w:r>
        <w:rPr>
          <w:sz w:val="20"/>
        </w:rPr>
        <w:t>in</w:t>
      </w:r>
      <w:r>
        <w:rPr>
          <w:spacing w:val="-13"/>
          <w:sz w:val="20"/>
        </w:rPr>
        <w:t> </w:t>
      </w:r>
      <w:r>
        <w:rPr>
          <w:sz w:val="20"/>
        </w:rPr>
        <w:t>The</w:t>
      </w:r>
      <w:r>
        <w:rPr>
          <w:spacing w:val="-4"/>
          <w:sz w:val="20"/>
        </w:rPr>
        <w:t> </w:t>
      </w:r>
      <w:r>
        <w:rPr>
          <w:sz w:val="20"/>
        </w:rPr>
        <w:t>Hague,</w:t>
      </w:r>
      <w:r>
        <w:rPr>
          <w:spacing w:val="-13"/>
          <w:sz w:val="20"/>
        </w:rPr>
        <w:t> </w:t>
      </w:r>
      <w:r>
        <w:rPr>
          <w:sz w:val="20"/>
        </w:rPr>
        <w:t>the Division ensures that administrative, logistical and security issues concerning the Court’s external representations are addressed effectively and efficiently. In this regard, DEO centralizes the Court’s mission planning capacity and supports its crisis management procedures. DEO</w:t>
      </w:r>
      <w:r>
        <w:rPr>
          <w:spacing w:val="-5"/>
          <w:sz w:val="20"/>
        </w:rPr>
        <w:t> </w:t>
      </w:r>
      <w:r>
        <w:rPr>
          <w:sz w:val="20"/>
        </w:rPr>
        <w:t>also</w:t>
      </w:r>
      <w:r>
        <w:rPr>
          <w:spacing w:val="-4"/>
          <w:sz w:val="20"/>
        </w:rPr>
        <w:t> </w:t>
      </w:r>
      <w:r>
        <w:rPr>
          <w:sz w:val="20"/>
        </w:rPr>
        <w:t>provides its</w:t>
      </w:r>
      <w:r>
        <w:rPr>
          <w:spacing w:val="-5"/>
          <w:sz w:val="20"/>
        </w:rPr>
        <w:t> </w:t>
      </w:r>
      <w:r>
        <w:rPr>
          <w:sz w:val="20"/>
        </w:rPr>
        <w:t>clients with</w:t>
      </w:r>
      <w:r>
        <w:rPr>
          <w:spacing w:val="-4"/>
          <w:sz w:val="20"/>
        </w:rPr>
        <w:t> </w:t>
      </w:r>
      <w:r>
        <w:rPr>
          <w:sz w:val="20"/>
        </w:rPr>
        <w:t>high-quality</w:t>
      </w:r>
      <w:r>
        <w:rPr>
          <w:spacing w:val="-4"/>
          <w:sz w:val="20"/>
        </w:rPr>
        <w:t> </w:t>
      </w:r>
      <w:r>
        <w:rPr>
          <w:sz w:val="20"/>
        </w:rPr>
        <w:t>targeted</w:t>
      </w:r>
      <w:r>
        <w:rPr>
          <w:spacing w:val="-8"/>
          <w:sz w:val="20"/>
        </w:rPr>
        <w:t> </w:t>
      </w:r>
      <w:r>
        <w:rPr>
          <w:sz w:val="20"/>
        </w:rPr>
        <w:t>analysis</w:t>
      </w:r>
      <w:r>
        <w:rPr>
          <w:spacing w:val="-5"/>
          <w:sz w:val="20"/>
        </w:rPr>
        <w:t> </w:t>
      </w:r>
      <w:r>
        <w:rPr>
          <w:sz w:val="20"/>
        </w:rPr>
        <w:t>of security</w:t>
      </w:r>
      <w:r>
        <w:rPr>
          <w:spacing w:val="-8"/>
          <w:sz w:val="20"/>
        </w:rPr>
        <w:t> </w:t>
      </w:r>
      <w:r>
        <w:rPr>
          <w:sz w:val="20"/>
        </w:rPr>
        <w:t>and sociopolitical</w:t>
      </w:r>
      <w:r>
        <w:rPr>
          <w:spacing w:val="-13"/>
          <w:sz w:val="20"/>
        </w:rPr>
        <w:t> </w:t>
      </w:r>
      <w:r>
        <w:rPr>
          <w:sz w:val="20"/>
        </w:rPr>
        <w:t>developments</w:t>
      </w:r>
      <w:r>
        <w:rPr>
          <w:spacing w:val="-12"/>
          <w:sz w:val="20"/>
        </w:rPr>
        <w:t> </w:t>
      </w:r>
      <w:r>
        <w:rPr>
          <w:sz w:val="20"/>
        </w:rPr>
        <w:t>relevant</w:t>
      </w:r>
      <w:r>
        <w:rPr>
          <w:spacing w:val="-13"/>
          <w:sz w:val="20"/>
        </w:rPr>
        <w:t> </w:t>
      </w:r>
      <w:r>
        <w:rPr>
          <w:sz w:val="20"/>
        </w:rPr>
        <w:t>to</w:t>
      </w:r>
      <w:r>
        <w:rPr>
          <w:spacing w:val="-12"/>
          <w:sz w:val="20"/>
        </w:rPr>
        <w:t> </w:t>
      </w:r>
      <w:r>
        <w:rPr>
          <w:sz w:val="20"/>
        </w:rPr>
        <w:t>the</w:t>
      </w:r>
      <w:r>
        <w:rPr>
          <w:spacing w:val="-13"/>
          <w:sz w:val="20"/>
        </w:rPr>
        <w:t> </w:t>
      </w:r>
      <w:r>
        <w:rPr>
          <w:sz w:val="20"/>
        </w:rPr>
        <w:t>Court’s</w:t>
      </w:r>
      <w:r>
        <w:rPr>
          <w:spacing w:val="-12"/>
          <w:sz w:val="20"/>
        </w:rPr>
        <w:t> </w:t>
      </w:r>
      <w:r>
        <w:rPr>
          <w:sz w:val="20"/>
        </w:rPr>
        <w:t>work.</w:t>
      </w:r>
      <w:r>
        <w:rPr>
          <w:spacing w:val="-13"/>
          <w:sz w:val="20"/>
        </w:rPr>
        <w:t> </w:t>
      </w:r>
      <w:r>
        <w:rPr>
          <w:sz w:val="20"/>
        </w:rPr>
        <w:t>Through</w:t>
      </w:r>
      <w:r>
        <w:rPr>
          <w:spacing w:val="-12"/>
          <w:sz w:val="20"/>
        </w:rPr>
        <w:t> </w:t>
      </w:r>
      <w:r>
        <w:rPr>
          <w:sz w:val="20"/>
        </w:rPr>
        <w:t>VWS,</w:t>
      </w:r>
      <w:r>
        <w:rPr>
          <w:spacing w:val="-13"/>
          <w:sz w:val="20"/>
        </w:rPr>
        <w:t> </w:t>
      </w:r>
      <w:r>
        <w:rPr>
          <w:sz w:val="20"/>
        </w:rPr>
        <w:t>DEO</w:t>
      </w:r>
      <w:r>
        <w:rPr>
          <w:spacing w:val="-12"/>
          <w:sz w:val="20"/>
        </w:rPr>
        <w:t> </w:t>
      </w:r>
      <w:r>
        <w:rPr>
          <w:sz w:val="20"/>
        </w:rPr>
        <w:t>is</w:t>
      </w:r>
      <w:r>
        <w:rPr>
          <w:spacing w:val="-13"/>
          <w:sz w:val="20"/>
        </w:rPr>
        <w:t> </w:t>
      </w:r>
      <w:r>
        <w:rPr>
          <w:sz w:val="20"/>
        </w:rPr>
        <w:t>responsible for providing protective measures, security arrangements, counselling, logistical and other assistance to witnesses, victims appearing before the Court and others who are at risk on account of testimony by such witnesses.</w:t>
      </w:r>
    </w:p>
    <w:p>
      <w:pPr>
        <w:pStyle w:val="ListParagraph"/>
        <w:numPr>
          <w:ilvl w:val="0"/>
          <w:numId w:val="4"/>
        </w:numPr>
        <w:tabs>
          <w:tab w:pos="2967" w:val="left" w:leader="none"/>
        </w:tabs>
        <w:spacing w:line="240" w:lineRule="auto" w:before="119" w:after="0"/>
        <w:ind w:left="2246" w:right="2244" w:firstLine="0"/>
        <w:jc w:val="both"/>
        <w:rPr>
          <w:sz w:val="20"/>
        </w:rPr>
      </w:pPr>
      <w:r>
        <w:rPr>
          <w:sz w:val="20"/>
        </w:rPr>
        <w:t>The</w:t>
      </w:r>
      <w:r>
        <w:rPr>
          <w:spacing w:val="-8"/>
          <w:sz w:val="20"/>
        </w:rPr>
        <w:t> </w:t>
      </w:r>
      <w:r>
        <w:rPr>
          <w:sz w:val="20"/>
        </w:rPr>
        <w:t>Division</w:t>
      </w:r>
      <w:r>
        <w:rPr>
          <w:spacing w:val="-13"/>
          <w:sz w:val="20"/>
        </w:rPr>
        <w:t> </w:t>
      </w:r>
      <w:r>
        <w:rPr>
          <w:sz w:val="20"/>
        </w:rPr>
        <w:t>is</w:t>
      </w:r>
      <w:r>
        <w:rPr>
          <w:spacing w:val="-10"/>
          <w:sz w:val="20"/>
        </w:rPr>
        <w:t> </w:t>
      </w:r>
      <w:r>
        <w:rPr>
          <w:sz w:val="20"/>
        </w:rPr>
        <w:t>also</w:t>
      </w:r>
      <w:r>
        <w:rPr>
          <w:spacing w:val="-8"/>
          <w:sz w:val="20"/>
        </w:rPr>
        <w:t> </w:t>
      </w:r>
      <w:r>
        <w:rPr>
          <w:sz w:val="20"/>
        </w:rPr>
        <w:t>responsible</w:t>
      </w:r>
      <w:r>
        <w:rPr>
          <w:spacing w:val="-7"/>
          <w:sz w:val="20"/>
        </w:rPr>
        <w:t> </w:t>
      </w:r>
      <w:r>
        <w:rPr>
          <w:sz w:val="20"/>
        </w:rPr>
        <w:t>for</w:t>
      </w:r>
      <w:r>
        <w:rPr>
          <w:spacing w:val="-8"/>
          <w:sz w:val="20"/>
        </w:rPr>
        <w:t> </w:t>
      </w:r>
      <w:r>
        <w:rPr>
          <w:sz w:val="20"/>
        </w:rPr>
        <w:t>the</w:t>
      </w:r>
      <w:r>
        <w:rPr>
          <w:spacing w:val="-7"/>
          <w:sz w:val="20"/>
        </w:rPr>
        <w:t> </w:t>
      </w:r>
      <w:r>
        <w:rPr>
          <w:sz w:val="20"/>
        </w:rPr>
        <w:t>Court’s</w:t>
      </w:r>
      <w:r>
        <w:rPr>
          <w:spacing w:val="-10"/>
          <w:sz w:val="20"/>
        </w:rPr>
        <w:t> </w:t>
      </w:r>
      <w:r>
        <w:rPr>
          <w:sz w:val="20"/>
        </w:rPr>
        <w:t>external</w:t>
      </w:r>
      <w:r>
        <w:rPr>
          <w:spacing w:val="-7"/>
          <w:sz w:val="20"/>
        </w:rPr>
        <w:t> </w:t>
      </w:r>
      <w:r>
        <w:rPr>
          <w:sz w:val="20"/>
        </w:rPr>
        <w:t>communication</w:t>
      </w:r>
      <w:r>
        <w:rPr>
          <w:spacing w:val="-8"/>
          <w:sz w:val="20"/>
        </w:rPr>
        <w:t> </w:t>
      </w:r>
      <w:r>
        <w:rPr>
          <w:sz w:val="20"/>
        </w:rPr>
        <w:t>and,</w:t>
      </w:r>
      <w:r>
        <w:rPr>
          <w:spacing w:val="-6"/>
          <w:sz w:val="20"/>
        </w:rPr>
        <w:t> </w:t>
      </w:r>
      <w:r>
        <w:rPr>
          <w:sz w:val="20"/>
        </w:rPr>
        <w:t>in</w:t>
      </w:r>
      <w:r>
        <w:rPr>
          <w:spacing w:val="-8"/>
          <w:sz w:val="20"/>
        </w:rPr>
        <w:t> </w:t>
      </w:r>
      <w:r>
        <w:rPr>
          <w:sz w:val="20"/>
        </w:rPr>
        <w:t>this regard,</w:t>
      </w:r>
      <w:r>
        <w:rPr>
          <w:spacing w:val="-6"/>
          <w:sz w:val="20"/>
        </w:rPr>
        <w:t> </w:t>
      </w:r>
      <w:r>
        <w:rPr>
          <w:sz w:val="20"/>
        </w:rPr>
        <w:t>ensures</w:t>
      </w:r>
      <w:r>
        <w:rPr>
          <w:spacing w:val="-5"/>
          <w:sz w:val="20"/>
        </w:rPr>
        <w:t> </w:t>
      </w:r>
      <w:r>
        <w:rPr>
          <w:sz w:val="20"/>
        </w:rPr>
        <w:t>the</w:t>
      </w:r>
      <w:r>
        <w:rPr>
          <w:spacing w:val="-7"/>
          <w:sz w:val="20"/>
        </w:rPr>
        <w:t> </w:t>
      </w:r>
      <w:r>
        <w:rPr>
          <w:sz w:val="20"/>
        </w:rPr>
        <w:t>timely</w:t>
      </w:r>
      <w:r>
        <w:rPr>
          <w:spacing w:val="-8"/>
          <w:sz w:val="20"/>
        </w:rPr>
        <w:t> </w:t>
      </w:r>
      <w:r>
        <w:rPr>
          <w:sz w:val="20"/>
        </w:rPr>
        <w:t>and</w:t>
      </w:r>
      <w:r>
        <w:rPr>
          <w:spacing w:val="-8"/>
          <w:sz w:val="20"/>
        </w:rPr>
        <w:t> </w:t>
      </w:r>
      <w:r>
        <w:rPr>
          <w:sz w:val="20"/>
        </w:rPr>
        <w:t>accurate</w:t>
      </w:r>
      <w:r>
        <w:rPr>
          <w:spacing w:val="-2"/>
          <w:sz w:val="20"/>
        </w:rPr>
        <w:t> </w:t>
      </w:r>
      <w:r>
        <w:rPr>
          <w:sz w:val="20"/>
        </w:rPr>
        <w:t>delivery</w:t>
      </w:r>
      <w:r>
        <w:rPr>
          <w:spacing w:val="-4"/>
          <w:sz w:val="20"/>
        </w:rPr>
        <w:t> </w:t>
      </w:r>
      <w:r>
        <w:rPr>
          <w:sz w:val="20"/>
        </w:rPr>
        <w:t>of</w:t>
      </w:r>
      <w:r>
        <w:rPr>
          <w:spacing w:val="-8"/>
          <w:sz w:val="20"/>
        </w:rPr>
        <w:t> </w:t>
      </w:r>
      <w:r>
        <w:rPr>
          <w:sz w:val="20"/>
        </w:rPr>
        <w:t>information</w:t>
      </w:r>
      <w:r>
        <w:rPr>
          <w:spacing w:val="-4"/>
          <w:sz w:val="20"/>
        </w:rPr>
        <w:t> </w:t>
      </w:r>
      <w:r>
        <w:rPr>
          <w:sz w:val="20"/>
        </w:rPr>
        <w:t>on</w:t>
      </w:r>
      <w:r>
        <w:rPr>
          <w:spacing w:val="-8"/>
          <w:sz w:val="20"/>
        </w:rPr>
        <w:t> </w:t>
      </w:r>
      <w:r>
        <w:rPr>
          <w:sz w:val="20"/>
        </w:rPr>
        <w:t>the</w:t>
      </w:r>
      <w:r>
        <w:rPr>
          <w:spacing w:val="-7"/>
          <w:sz w:val="20"/>
        </w:rPr>
        <w:t> </w:t>
      </w:r>
      <w:r>
        <w:rPr>
          <w:sz w:val="20"/>
        </w:rPr>
        <w:t>mandate</w:t>
      </w:r>
      <w:r>
        <w:rPr>
          <w:spacing w:val="-7"/>
          <w:sz w:val="20"/>
        </w:rPr>
        <w:t> </w:t>
      </w:r>
      <w:r>
        <w:rPr>
          <w:sz w:val="20"/>
        </w:rPr>
        <w:t>and</w:t>
      </w:r>
      <w:r>
        <w:rPr>
          <w:spacing w:val="-8"/>
          <w:sz w:val="20"/>
        </w:rPr>
        <w:t> </w:t>
      </w:r>
      <w:r>
        <w:rPr>
          <w:sz w:val="20"/>
        </w:rPr>
        <w:t>activities of</w:t>
      </w:r>
      <w:r>
        <w:rPr>
          <w:spacing w:val="-4"/>
          <w:sz w:val="20"/>
        </w:rPr>
        <w:t> </w:t>
      </w:r>
      <w:r>
        <w:rPr>
          <w:sz w:val="20"/>
        </w:rPr>
        <w:t>the</w:t>
      </w:r>
      <w:r>
        <w:rPr>
          <w:spacing w:val="-2"/>
          <w:sz w:val="20"/>
        </w:rPr>
        <w:t> </w:t>
      </w:r>
      <w:r>
        <w:rPr>
          <w:sz w:val="20"/>
        </w:rPr>
        <w:t>Court</w:t>
      </w:r>
      <w:r>
        <w:rPr>
          <w:spacing w:val="-2"/>
          <w:sz w:val="20"/>
        </w:rPr>
        <w:t> </w:t>
      </w:r>
      <w:r>
        <w:rPr>
          <w:sz w:val="20"/>
        </w:rPr>
        <w:t>through</w:t>
      </w:r>
      <w:r>
        <w:rPr>
          <w:spacing w:val="-8"/>
          <w:sz w:val="20"/>
        </w:rPr>
        <w:t> </w:t>
      </w:r>
      <w:r>
        <w:rPr>
          <w:sz w:val="20"/>
        </w:rPr>
        <w:t>a</w:t>
      </w:r>
      <w:r>
        <w:rPr>
          <w:spacing w:val="-2"/>
          <w:sz w:val="20"/>
        </w:rPr>
        <w:t> </w:t>
      </w:r>
      <w:r>
        <w:rPr>
          <w:sz w:val="20"/>
        </w:rPr>
        <w:t>variety</w:t>
      </w:r>
      <w:r>
        <w:rPr>
          <w:spacing w:val="-4"/>
          <w:sz w:val="20"/>
        </w:rPr>
        <w:t> </w:t>
      </w:r>
      <w:r>
        <w:rPr>
          <w:sz w:val="20"/>
        </w:rPr>
        <w:t>of</w:t>
      </w:r>
      <w:r>
        <w:rPr>
          <w:spacing w:val="-8"/>
          <w:sz w:val="20"/>
        </w:rPr>
        <w:t> </w:t>
      </w:r>
      <w:r>
        <w:rPr>
          <w:sz w:val="20"/>
        </w:rPr>
        <w:t>media</w:t>
      </w:r>
      <w:r>
        <w:rPr>
          <w:spacing w:val="-7"/>
          <w:sz w:val="20"/>
        </w:rPr>
        <w:t> </w:t>
      </w:r>
      <w:r>
        <w:rPr>
          <w:sz w:val="20"/>
        </w:rPr>
        <w:t>to</w:t>
      </w:r>
      <w:r>
        <w:rPr>
          <w:spacing w:val="-4"/>
          <w:sz w:val="20"/>
        </w:rPr>
        <w:t> </w:t>
      </w:r>
      <w:r>
        <w:rPr>
          <w:sz w:val="20"/>
        </w:rPr>
        <w:t>both</w:t>
      </w:r>
      <w:r>
        <w:rPr>
          <w:spacing w:val="-8"/>
          <w:sz w:val="20"/>
        </w:rPr>
        <w:t> </w:t>
      </w:r>
      <w:r>
        <w:rPr>
          <w:sz w:val="20"/>
        </w:rPr>
        <w:t>key</w:t>
      </w:r>
      <w:r>
        <w:rPr>
          <w:spacing w:val="-4"/>
          <w:sz w:val="20"/>
        </w:rPr>
        <w:t> </w:t>
      </w:r>
      <w:r>
        <w:rPr>
          <w:sz w:val="20"/>
        </w:rPr>
        <w:t>stakeholders</w:t>
      </w:r>
      <w:r>
        <w:rPr>
          <w:spacing w:val="-5"/>
          <w:sz w:val="20"/>
        </w:rPr>
        <w:t> </w:t>
      </w:r>
      <w:r>
        <w:rPr>
          <w:sz w:val="20"/>
        </w:rPr>
        <w:t>and</w:t>
      </w:r>
      <w:r>
        <w:rPr>
          <w:spacing w:val="-8"/>
          <w:sz w:val="20"/>
        </w:rPr>
        <w:t> </w:t>
      </w:r>
      <w:r>
        <w:rPr>
          <w:sz w:val="20"/>
        </w:rPr>
        <w:t>the</w:t>
      </w:r>
      <w:r>
        <w:rPr>
          <w:spacing w:val="-2"/>
          <w:sz w:val="20"/>
        </w:rPr>
        <w:t> </w:t>
      </w:r>
      <w:r>
        <w:rPr>
          <w:sz w:val="20"/>
        </w:rPr>
        <w:t>general</w:t>
      </w:r>
      <w:r>
        <w:rPr>
          <w:spacing w:val="-7"/>
          <w:sz w:val="20"/>
        </w:rPr>
        <w:t> </w:t>
      </w:r>
      <w:r>
        <w:rPr>
          <w:sz w:val="20"/>
        </w:rPr>
        <w:t>public.</w:t>
      </w:r>
      <w:r>
        <w:rPr>
          <w:spacing w:val="-6"/>
          <w:sz w:val="20"/>
        </w:rPr>
        <w:t> </w:t>
      </w:r>
      <w:r>
        <w:rPr>
          <w:sz w:val="20"/>
        </w:rPr>
        <w:t>This includes, in particular, outreach activities aimed at victims and affected communities in situation countries. The Registry’s statutory responsibilities regarding international cooperation and judicial assistance, for example in relation to the arrest and surrender of persons</w:t>
      </w:r>
      <w:r>
        <w:rPr>
          <w:spacing w:val="-6"/>
          <w:sz w:val="20"/>
        </w:rPr>
        <w:t> </w:t>
      </w:r>
      <w:r>
        <w:rPr>
          <w:sz w:val="20"/>
        </w:rPr>
        <w:t>subject</w:t>
      </w:r>
      <w:r>
        <w:rPr>
          <w:spacing w:val="-3"/>
          <w:sz w:val="20"/>
        </w:rPr>
        <w:t> </w:t>
      </w:r>
      <w:r>
        <w:rPr>
          <w:sz w:val="20"/>
        </w:rPr>
        <w:t>to</w:t>
      </w:r>
      <w:r>
        <w:rPr>
          <w:spacing w:val="-5"/>
          <w:sz w:val="20"/>
        </w:rPr>
        <w:t> </w:t>
      </w:r>
      <w:r>
        <w:rPr>
          <w:sz w:val="20"/>
        </w:rPr>
        <w:t>warrants</w:t>
      </w:r>
      <w:r>
        <w:rPr>
          <w:spacing w:val="-11"/>
          <w:sz w:val="20"/>
        </w:rPr>
        <w:t> </w:t>
      </w:r>
      <w:r>
        <w:rPr>
          <w:sz w:val="20"/>
        </w:rPr>
        <w:t>of</w:t>
      </w:r>
      <w:r>
        <w:rPr>
          <w:spacing w:val="-5"/>
          <w:sz w:val="20"/>
        </w:rPr>
        <w:t> </w:t>
      </w:r>
      <w:r>
        <w:rPr>
          <w:sz w:val="20"/>
        </w:rPr>
        <w:t>arrest,</w:t>
      </w:r>
      <w:r>
        <w:rPr>
          <w:spacing w:val="-2"/>
          <w:sz w:val="20"/>
        </w:rPr>
        <w:t> </w:t>
      </w:r>
      <w:r>
        <w:rPr>
          <w:sz w:val="20"/>
        </w:rPr>
        <w:t>execution</w:t>
      </w:r>
      <w:r>
        <w:rPr>
          <w:spacing w:val="-5"/>
          <w:sz w:val="20"/>
        </w:rPr>
        <w:t> </w:t>
      </w:r>
      <w:r>
        <w:rPr>
          <w:sz w:val="20"/>
        </w:rPr>
        <w:t>of</w:t>
      </w:r>
      <w:r>
        <w:rPr>
          <w:spacing w:val="-9"/>
          <w:sz w:val="20"/>
        </w:rPr>
        <w:t> </w:t>
      </w:r>
      <w:r>
        <w:rPr>
          <w:sz w:val="20"/>
        </w:rPr>
        <w:t>summonses</w:t>
      </w:r>
      <w:r>
        <w:rPr>
          <w:spacing w:val="-6"/>
          <w:sz w:val="20"/>
        </w:rPr>
        <w:t> </w:t>
      </w:r>
      <w:r>
        <w:rPr>
          <w:sz w:val="20"/>
        </w:rPr>
        <w:t>to</w:t>
      </w:r>
      <w:r>
        <w:rPr>
          <w:spacing w:val="-5"/>
          <w:sz w:val="20"/>
        </w:rPr>
        <w:t> </w:t>
      </w:r>
      <w:r>
        <w:rPr>
          <w:sz w:val="20"/>
        </w:rPr>
        <w:t>appear,</w:t>
      </w:r>
      <w:r>
        <w:rPr>
          <w:spacing w:val="-7"/>
          <w:sz w:val="20"/>
        </w:rPr>
        <w:t> </w:t>
      </w:r>
      <w:r>
        <w:rPr>
          <w:sz w:val="20"/>
        </w:rPr>
        <w:t>transfer</w:t>
      </w:r>
      <w:r>
        <w:rPr>
          <w:spacing w:val="-5"/>
          <w:sz w:val="20"/>
        </w:rPr>
        <w:t> </w:t>
      </w:r>
      <w:r>
        <w:rPr>
          <w:sz w:val="20"/>
        </w:rPr>
        <w:t>of</w:t>
      </w:r>
      <w:r>
        <w:rPr>
          <w:spacing w:val="-5"/>
          <w:sz w:val="20"/>
        </w:rPr>
        <w:t> </w:t>
      </w:r>
      <w:r>
        <w:rPr>
          <w:sz w:val="20"/>
        </w:rPr>
        <w:t>detained witnesses, implementation of interim release or release of acquitted persons and facilitation of judicial site visits, are also discharged by DEO.</w:t>
      </w:r>
    </w:p>
    <w:p>
      <w:pPr>
        <w:pStyle w:val="BodyText"/>
        <w:spacing w:before="10"/>
      </w:pPr>
    </w:p>
    <w:p>
      <w:pPr>
        <w:pStyle w:val="Heading3"/>
        <w:tabs>
          <w:tab w:pos="7980" w:val="left" w:leader="none"/>
        </w:tabs>
        <w:jc w:val="both"/>
      </w:pPr>
      <w:r>
        <w:rPr/>
        <w:t>Budget</w:t>
      </w:r>
      <w:r>
        <w:rPr>
          <w:spacing w:val="-6"/>
        </w:rPr>
        <w:t> </w:t>
      </w:r>
      <w:r>
        <w:rPr>
          <w:spacing w:val="-2"/>
        </w:rPr>
        <w:t>resources</w:t>
      </w:r>
      <w:r>
        <w:rPr/>
        <w:tab/>
        <w:t>€24,294.7</w:t>
      </w:r>
      <w:r>
        <w:rPr>
          <w:spacing w:val="-6"/>
        </w:rPr>
        <w:t> </w:t>
      </w:r>
      <w:r>
        <w:rPr>
          <w:spacing w:val="-2"/>
        </w:rPr>
        <w:t>thousand</w:t>
      </w:r>
    </w:p>
    <w:p>
      <w:pPr>
        <w:pStyle w:val="BodyText"/>
        <w:spacing w:before="10"/>
        <w:rPr>
          <w:b/>
        </w:rPr>
      </w:pPr>
    </w:p>
    <w:p>
      <w:pPr>
        <w:pStyle w:val="ListParagraph"/>
        <w:numPr>
          <w:ilvl w:val="0"/>
          <w:numId w:val="4"/>
        </w:numPr>
        <w:tabs>
          <w:tab w:pos="2967" w:val="left" w:leader="none"/>
        </w:tabs>
        <w:spacing w:line="240" w:lineRule="auto" w:before="1" w:after="0"/>
        <w:ind w:left="2246" w:right="2239" w:firstLine="0"/>
        <w:jc w:val="both"/>
        <w:rPr>
          <w:sz w:val="20"/>
        </w:rPr>
      </w:pPr>
      <w:r>
        <w:rPr>
          <w:sz w:val="20"/>
        </w:rPr>
        <w:t>The overall proposed budget for 2023 for DEO represents an increase of €2,740.3 thousand (12.7 per cent) as compared with the 2022 approved budget. Such an increase in both</w:t>
      </w:r>
      <w:r>
        <w:rPr>
          <w:spacing w:val="-3"/>
          <w:sz w:val="20"/>
        </w:rPr>
        <w:t> </w:t>
      </w:r>
      <w:r>
        <w:rPr>
          <w:sz w:val="20"/>
        </w:rPr>
        <w:t>staff</w:t>
      </w:r>
      <w:r>
        <w:rPr>
          <w:spacing w:val="-7"/>
          <w:sz w:val="20"/>
        </w:rPr>
        <w:t> </w:t>
      </w:r>
      <w:r>
        <w:rPr>
          <w:sz w:val="20"/>
        </w:rPr>
        <w:t>and</w:t>
      </w:r>
      <w:r>
        <w:rPr>
          <w:spacing w:val="-3"/>
          <w:sz w:val="20"/>
        </w:rPr>
        <w:t> </w:t>
      </w:r>
      <w:r>
        <w:rPr>
          <w:sz w:val="20"/>
        </w:rPr>
        <w:t>non-staff</w:t>
      </w:r>
      <w:r>
        <w:rPr>
          <w:spacing w:val="-3"/>
          <w:sz w:val="20"/>
        </w:rPr>
        <w:t> </w:t>
      </w:r>
      <w:r>
        <w:rPr>
          <w:sz w:val="20"/>
        </w:rPr>
        <w:t>resources</w:t>
      </w:r>
      <w:r>
        <w:rPr>
          <w:spacing w:val="-9"/>
          <w:sz w:val="20"/>
        </w:rPr>
        <w:t> </w:t>
      </w:r>
      <w:r>
        <w:rPr>
          <w:sz w:val="20"/>
        </w:rPr>
        <w:t>is</w:t>
      </w:r>
      <w:r>
        <w:rPr>
          <w:spacing w:val="-4"/>
          <w:sz w:val="20"/>
        </w:rPr>
        <w:t> </w:t>
      </w:r>
      <w:r>
        <w:rPr>
          <w:sz w:val="20"/>
        </w:rPr>
        <w:t>driven</w:t>
      </w:r>
      <w:r>
        <w:rPr>
          <w:spacing w:val="-3"/>
          <w:sz w:val="20"/>
        </w:rPr>
        <w:t> </w:t>
      </w:r>
      <w:r>
        <w:rPr>
          <w:sz w:val="20"/>
        </w:rPr>
        <w:t>by</w:t>
      </w:r>
      <w:r>
        <w:rPr>
          <w:spacing w:val="-3"/>
          <w:sz w:val="20"/>
        </w:rPr>
        <w:t> </w:t>
      </w:r>
      <w:r>
        <w:rPr>
          <w:sz w:val="20"/>
        </w:rPr>
        <w:t>the</w:t>
      </w:r>
      <w:r>
        <w:rPr>
          <w:spacing w:val="-1"/>
          <w:sz w:val="20"/>
        </w:rPr>
        <w:t> </w:t>
      </w:r>
      <w:r>
        <w:rPr>
          <w:sz w:val="20"/>
        </w:rPr>
        <w:t>need</w:t>
      </w:r>
      <w:r>
        <w:rPr>
          <w:spacing w:val="-7"/>
          <w:sz w:val="20"/>
        </w:rPr>
        <w:t> </w:t>
      </w:r>
      <w:r>
        <w:rPr>
          <w:sz w:val="20"/>
        </w:rPr>
        <w:t>to</w:t>
      </w:r>
      <w:r>
        <w:rPr>
          <w:spacing w:val="-3"/>
          <w:sz w:val="20"/>
        </w:rPr>
        <w:t> </w:t>
      </w:r>
      <w:r>
        <w:rPr>
          <w:sz w:val="20"/>
        </w:rPr>
        <w:t>(1)</w:t>
      </w:r>
      <w:r>
        <w:rPr>
          <w:spacing w:val="-7"/>
          <w:sz w:val="20"/>
        </w:rPr>
        <w:t> </w:t>
      </w:r>
      <w:r>
        <w:rPr>
          <w:sz w:val="20"/>
        </w:rPr>
        <w:t>facilitate</w:t>
      </w:r>
      <w:r>
        <w:rPr>
          <w:spacing w:val="-6"/>
          <w:sz w:val="20"/>
        </w:rPr>
        <w:t> </w:t>
      </w:r>
      <w:r>
        <w:rPr>
          <w:sz w:val="20"/>
        </w:rPr>
        <w:t>the</w:t>
      </w:r>
      <w:r>
        <w:rPr>
          <w:spacing w:val="-1"/>
          <w:sz w:val="20"/>
        </w:rPr>
        <w:t> </w:t>
      </w:r>
      <w:r>
        <w:rPr>
          <w:sz w:val="20"/>
        </w:rPr>
        <w:t>simultaneous</w:t>
      </w:r>
      <w:r>
        <w:rPr>
          <w:spacing w:val="-4"/>
          <w:sz w:val="20"/>
        </w:rPr>
        <w:t> </w:t>
      </w:r>
      <w:r>
        <w:rPr>
          <w:sz w:val="20"/>
        </w:rPr>
        <w:t>trial activities</w:t>
      </w:r>
      <w:r>
        <w:rPr>
          <w:spacing w:val="-1"/>
          <w:sz w:val="20"/>
        </w:rPr>
        <w:t> </w:t>
      </w:r>
      <w:r>
        <w:rPr>
          <w:sz w:val="20"/>
        </w:rPr>
        <w:t>in</w:t>
      </w:r>
      <w:r>
        <w:rPr>
          <w:spacing w:val="-5"/>
          <w:sz w:val="20"/>
        </w:rPr>
        <w:t> </w:t>
      </w:r>
      <w:r>
        <w:rPr>
          <w:sz w:val="20"/>
        </w:rPr>
        <w:t>the </w:t>
      </w:r>
      <w:r>
        <w:rPr>
          <w:i/>
          <w:sz w:val="20"/>
        </w:rPr>
        <w:t>Yekatom</w:t>
      </w:r>
      <w:r>
        <w:rPr>
          <w:i/>
          <w:spacing w:val="-1"/>
          <w:sz w:val="20"/>
        </w:rPr>
        <w:t> </w:t>
      </w:r>
      <w:r>
        <w:rPr>
          <w:i/>
          <w:sz w:val="20"/>
        </w:rPr>
        <w:t>and Ngaïssona </w:t>
      </w:r>
      <w:r>
        <w:rPr>
          <w:sz w:val="20"/>
        </w:rPr>
        <w:t>case, the </w:t>
      </w:r>
      <w:r>
        <w:rPr>
          <w:i/>
          <w:sz w:val="20"/>
        </w:rPr>
        <w:t>Said</w:t>
      </w:r>
      <w:r>
        <w:rPr>
          <w:i/>
          <w:spacing w:val="-4"/>
          <w:sz w:val="20"/>
        </w:rPr>
        <w:t> </w:t>
      </w:r>
      <w:r>
        <w:rPr>
          <w:sz w:val="20"/>
        </w:rPr>
        <w:t>case and the </w:t>
      </w:r>
      <w:r>
        <w:rPr>
          <w:i/>
          <w:sz w:val="20"/>
        </w:rPr>
        <w:t>Abd-Al-Rahman</w:t>
      </w:r>
      <w:r>
        <w:rPr>
          <w:i/>
          <w:spacing w:val="-4"/>
          <w:sz w:val="20"/>
        </w:rPr>
        <w:t> </w:t>
      </w:r>
      <w:r>
        <w:rPr>
          <w:sz w:val="20"/>
        </w:rPr>
        <w:t>case</w:t>
      </w:r>
      <w:r>
        <w:rPr>
          <w:spacing w:val="-3"/>
          <w:sz w:val="20"/>
        </w:rPr>
        <w:t> </w:t>
      </w:r>
      <w:r>
        <w:rPr>
          <w:sz w:val="20"/>
        </w:rPr>
        <w:t>as well as the pre-trial activities in the </w:t>
      </w:r>
      <w:r>
        <w:rPr>
          <w:i/>
          <w:sz w:val="20"/>
        </w:rPr>
        <w:t>Mokom </w:t>
      </w:r>
      <w:r>
        <w:rPr>
          <w:sz w:val="20"/>
        </w:rPr>
        <w:t>case, and (2) support activities in the situations currently under investigation in Libya, Afghanistan, Palestine, Bangladesh/Myanmar, the Philippines,</w:t>
      </w:r>
      <w:r>
        <w:rPr>
          <w:spacing w:val="-3"/>
          <w:sz w:val="20"/>
        </w:rPr>
        <w:t> </w:t>
      </w:r>
      <w:r>
        <w:rPr>
          <w:sz w:val="20"/>
        </w:rPr>
        <w:t>Venezuela</w:t>
      </w:r>
      <w:r>
        <w:rPr>
          <w:spacing w:val="-2"/>
          <w:sz w:val="20"/>
        </w:rPr>
        <w:t> </w:t>
      </w:r>
      <w:r>
        <w:rPr>
          <w:sz w:val="20"/>
        </w:rPr>
        <w:t>and</w:t>
      </w:r>
      <w:r>
        <w:rPr>
          <w:spacing w:val="-4"/>
          <w:sz w:val="20"/>
        </w:rPr>
        <w:t> </w:t>
      </w:r>
      <w:r>
        <w:rPr>
          <w:sz w:val="20"/>
        </w:rPr>
        <w:t>Ukraine.</w:t>
      </w:r>
      <w:r>
        <w:rPr>
          <w:spacing w:val="-6"/>
          <w:sz w:val="20"/>
        </w:rPr>
        <w:t> </w:t>
      </w:r>
      <w:r>
        <w:rPr>
          <w:sz w:val="20"/>
        </w:rPr>
        <w:t>The</w:t>
      </w:r>
      <w:r>
        <w:rPr>
          <w:spacing w:val="-2"/>
          <w:sz w:val="20"/>
        </w:rPr>
        <w:t> </w:t>
      </w:r>
      <w:r>
        <w:rPr>
          <w:sz w:val="20"/>
        </w:rPr>
        <w:t>required</w:t>
      </w:r>
      <w:r>
        <w:rPr>
          <w:spacing w:val="-8"/>
          <w:sz w:val="20"/>
        </w:rPr>
        <w:t> </w:t>
      </w:r>
      <w:r>
        <w:rPr>
          <w:sz w:val="20"/>
        </w:rPr>
        <w:t>resources</w:t>
      </w:r>
      <w:r>
        <w:rPr>
          <w:spacing w:val="-13"/>
          <w:sz w:val="20"/>
        </w:rPr>
        <w:t> </w:t>
      </w:r>
      <w:r>
        <w:rPr>
          <w:sz w:val="20"/>
        </w:rPr>
        <w:t>proposed</w:t>
      </w:r>
      <w:r>
        <w:rPr>
          <w:spacing w:val="-7"/>
          <w:sz w:val="20"/>
        </w:rPr>
        <w:t> </w:t>
      </w:r>
      <w:r>
        <w:rPr>
          <w:sz w:val="20"/>
        </w:rPr>
        <w:t>by</w:t>
      </w:r>
      <w:r>
        <w:rPr>
          <w:spacing w:val="-4"/>
          <w:sz w:val="20"/>
        </w:rPr>
        <w:t> </w:t>
      </w:r>
      <w:r>
        <w:rPr>
          <w:sz w:val="20"/>
        </w:rPr>
        <w:t>DEO</w:t>
      </w:r>
      <w:r>
        <w:rPr>
          <w:spacing w:val="-5"/>
          <w:sz w:val="20"/>
        </w:rPr>
        <w:t> </w:t>
      </w:r>
      <w:r>
        <w:rPr>
          <w:sz w:val="20"/>
        </w:rPr>
        <w:t>for</w:t>
      </w:r>
      <w:r>
        <w:rPr>
          <w:spacing w:val="-8"/>
          <w:sz w:val="20"/>
        </w:rPr>
        <w:t> </w:t>
      </w:r>
      <w:r>
        <w:rPr>
          <w:sz w:val="20"/>
        </w:rPr>
        <w:t>2023</w:t>
      </w:r>
      <w:r>
        <w:rPr>
          <w:spacing w:val="-8"/>
          <w:sz w:val="20"/>
        </w:rPr>
        <w:t> </w:t>
      </w:r>
      <w:r>
        <w:rPr>
          <w:sz w:val="20"/>
        </w:rPr>
        <w:t>also reflect</w:t>
      </w:r>
      <w:r>
        <w:rPr>
          <w:spacing w:val="27"/>
          <w:sz w:val="20"/>
        </w:rPr>
        <w:t> </w:t>
      </w:r>
      <w:r>
        <w:rPr>
          <w:sz w:val="20"/>
        </w:rPr>
        <w:t>the</w:t>
      </w:r>
      <w:r>
        <w:rPr>
          <w:spacing w:val="27"/>
          <w:sz w:val="20"/>
        </w:rPr>
        <w:t> </w:t>
      </w:r>
      <w:r>
        <w:rPr>
          <w:sz w:val="20"/>
        </w:rPr>
        <w:t>establishment</w:t>
      </w:r>
      <w:r>
        <w:rPr>
          <w:spacing w:val="27"/>
          <w:sz w:val="20"/>
        </w:rPr>
        <w:t> </w:t>
      </w:r>
      <w:r>
        <w:rPr>
          <w:sz w:val="20"/>
        </w:rPr>
        <w:t>of</w:t>
      </w:r>
      <w:r>
        <w:rPr>
          <w:spacing w:val="20"/>
          <w:sz w:val="20"/>
        </w:rPr>
        <w:t> </w:t>
      </w:r>
      <w:r>
        <w:rPr>
          <w:sz w:val="20"/>
        </w:rPr>
        <w:t>country</w:t>
      </w:r>
      <w:r>
        <w:rPr>
          <w:spacing w:val="25"/>
          <w:sz w:val="20"/>
        </w:rPr>
        <w:t> </w:t>
      </w:r>
      <w:r>
        <w:rPr>
          <w:sz w:val="20"/>
        </w:rPr>
        <w:t>offices</w:t>
      </w:r>
      <w:r>
        <w:rPr>
          <w:spacing w:val="24"/>
          <w:sz w:val="20"/>
        </w:rPr>
        <w:t> </w:t>
      </w:r>
      <w:r>
        <w:rPr>
          <w:sz w:val="20"/>
        </w:rPr>
        <w:t>in</w:t>
      </w:r>
      <w:r>
        <w:rPr>
          <w:spacing w:val="25"/>
          <w:sz w:val="20"/>
        </w:rPr>
        <w:t> </w:t>
      </w:r>
      <w:r>
        <w:rPr>
          <w:sz w:val="20"/>
        </w:rPr>
        <w:t>Sudan</w:t>
      </w:r>
      <w:r>
        <w:rPr>
          <w:spacing w:val="20"/>
          <w:sz w:val="20"/>
        </w:rPr>
        <w:t> </w:t>
      </w:r>
      <w:r>
        <w:rPr>
          <w:sz w:val="20"/>
        </w:rPr>
        <w:t>and</w:t>
      </w:r>
      <w:r>
        <w:rPr>
          <w:spacing w:val="20"/>
          <w:sz w:val="20"/>
        </w:rPr>
        <w:t> </w:t>
      </w:r>
      <w:r>
        <w:rPr>
          <w:sz w:val="20"/>
        </w:rPr>
        <w:t>Ukraine</w:t>
      </w:r>
      <w:r>
        <w:rPr>
          <w:spacing w:val="27"/>
          <w:sz w:val="20"/>
        </w:rPr>
        <w:t> </w:t>
      </w:r>
      <w:r>
        <w:rPr>
          <w:sz w:val="20"/>
        </w:rPr>
        <w:t>anticipated</w:t>
      </w:r>
      <w:r>
        <w:rPr>
          <w:spacing w:val="25"/>
          <w:sz w:val="20"/>
        </w:rPr>
        <w:t> </w:t>
      </w:r>
      <w:r>
        <w:rPr>
          <w:sz w:val="20"/>
        </w:rPr>
        <w:t>by</w:t>
      </w:r>
      <w:r>
        <w:rPr>
          <w:spacing w:val="25"/>
          <w:sz w:val="20"/>
        </w:rPr>
        <w:t> </w:t>
      </w:r>
      <w:r>
        <w:rPr>
          <w:sz w:val="20"/>
        </w:rPr>
        <w:t>the</w:t>
      </w:r>
      <w:r>
        <w:rPr>
          <w:spacing w:val="27"/>
          <w:sz w:val="20"/>
        </w:rPr>
        <w:t> </w:t>
      </w:r>
      <w:r>
        <w:rPr>
          <w:sz w:val="20"/>
        </w:rPr>
        <w:t>end of 2022</w:t>
      </w:r>
      <w:r>
        <w:rPr>
          <w:spacing w:val="59"/>
          <w:sz w:val="20"/>
        </w:rPr>
        <w:t> </w:t>
      </w:r>
      <w:r>
        <w:rPr>
          <w:sz w:val="20"/>
        </w:rPr>
        <w:t>and</w:t>
      </w:r>
      <w:r>
        <w:rPr>
          <w:spacing w:val="40"/>
          <w:sz w:val="20"/>
        </w:rPr>
        <w:t> </w:t>
      </w:r>
      <w:r>
        <w:rPr>
          <w:sz w:val="20"/>
        </w:rPr>
        <w:t>the</w:t>
      </w:r>
      <w:r>
        <w:rPr>
          <w:spacing w:val="56"/>
          <w:sz w:val="20"/>
        </w:rPr>
        <w:t> </w:t>
      </w:r>
      <w:r>
        <w:rPr>
          <w:sz w:val="20"/>
        </w:rPr>
        <w:t>(further)</w:t>
      </w:r>
      <w:r>
        <w:rPr>
          <w:spacing w:val="59"/>
          <w:sz w:val="20"/>
        </w:rPr>
        <w:t> </w:t>
      </w:r>
      <w:r>
        <w:rPr>
          <w:sz w:val="20"/>
        </w:rPr>
        <w:t>downsizing</w:t>
      </w:r>
      <w:r>
        <w:rPr>
          <w:spacing w:val="59"/>
          <w:sz w:val="20"/>
        </w:rPr>
        <w:t> </w:t>
      </w:r>
      <w:r>
        <w:rPr>
          <w:sz w:val="20"/>
        </w:rPr>
        <w:t>of</w:t>
      </w:r>
      <w:r>
        <w:rPr>
          <w:spacing w:val="40"/>
          <w:sz w:val="20"/>
        </w:rPr>
        <w:t> </w:t>
      </w:r>
      <w:r>
        <w:rPr>
          <w:sz w:val="20"/>
        </w:rPr>
        <w:t>the</w:t>
      </w:r>
      <w:r>
        <w:rPr>
          <w:spacing w:val="60"/>
          <w:sz w:val="20"/>
        </w:rPr>
        <w:t> </w:t>
      </w:r>
      <w:r>
        <w:rPr>
          <w:sz w:val="20"/>
        </w:rPr>
        <w:t>country</w:t>
      </w:r>
      <w:r>
        <w:rPr>
          <w:spacing w:val="59"/>
          <w:sz w:val="20"/>
        </w:rPr>
        <w:t> </w:t>
      </w:r>
      <w:r>
        <w:rPr>
          <w:sz w:val="20"/>
        </w:rPr>
        <w:t>offices</w:t>
      </w:r>
      <w:r>
        <w:rPr>
          <w:spacing w:val="40"/>
          <w:sz w:val="20"/>
        </w:rPr>
        <w:t> </w:t>
      </w:r>
      <w:r>
        <w:rPr>
          <w:sz w:val="20"/>
        </w:rPr>
        <w:t>in</w:t>
      </w:r>
      <w:r>
        <w:rPr>
          <w:spacing w:val="59"/>
          <w:sz w:val="20"/>
        </w:rPr>
        <w:t> </w:t>
      </w:r>
      <w:r>
        <w:rPr>
          <w:sz w:val="20"/>
        </w:rPr>
        <w:t>the</w:t>
      </w:r>
      <w:r>
        <w:rPr>
          <w:spacing w:val="60"/>
          <w:sz w:val="20"/>
        </w:rPr>
        <w:t> </w:t>
      </w:r>
      <w:r>
        <w:rPr>
          <w:sz w:val="20"/>
        </w:rPr>
        <w:t>DRC</w:t>
      </w:r>
      <w:r>
        <w:rPr>
          <w:spacing w:val="59"/>
          <w:sz w:val="20"/>
        </w:rPr>
        <w:t> </w:t>
      </w:r>
      <w:r>
        <w:rPr>
          <w:sz w:val="20"/>
        </w:rPr>
        <w:t>(Kinshasa),</w:t>
      </w:r>
    </w:p>
    <w:p>
      <w:pPr>
        <w:spacing w:after="0" w:line="240" w:lineRule="auto"/>
        <w:jc w:val="both"/>
        <w:rPr>
          <w:sz w:val="20"/>
        </w:rPr>
        <w:sectPr>
          <w:pgSz w:w="11910" w:h="16840"/>
          <w:pgMar w:header="957" w:footer="940" w:top="1140" w:bottom="1140" w:left="20" w:right="20"/>
        </w:sectPr>
      </w:pPr>
    </w:p>
    <w:p>
      <w:pPr>
        <w:pStyle w:val="BodyText"/>
        <w:spacing w:before="124"/>
        <w:ind w:left="2246" w:right="2238"/>
        <w:jc w:val="both"/>
      </w:pPr>
      <w:r>
        <w:rPr/>
        <w:t>Côte d’Ivoire and Georgia scheduled in 2023, which will mark major changes to the Registry’s field presence. Furthermore,</w:t>
      </w:r>
      <w:r>
        <w:rPr>
          <w:spacing w:val="-1"/>
        </w:rPr>
        <w:t> </w:t>
      </w:r>
      <w:r>
        <w:rPr/>
        <w:t>the</w:t>
      </w:r>
      <w:r>
        <w:rPr>
          <w:spacing w:val="-2"/>
        </w:rPr>
        <w:t> </w:t>
      </w:r>
      <w:r>
        <w:rPr/>
        <w:t>Registry</w:t>
      </w:r>
      <w:r>
        <w:rPr>
          <w:spacing w:val="-4"/>
        </w:rPr>
        <w:t> </w:t>
      </w:r>
      <w:r>
        <w:rPr/>
        <w:t>is required to</w:t>
      </w:r>
      <w:r>
        <w:rPr>
          <w:spacing w:val="-4"/>
        </w:rPr>
        <w:t> </w:t>
      </w:r>
      <w:r>
        <w:rPr/>
        <w:t>provide</w:t>
      </w:r>
      <w:r>
        <w:rPr>
          <w:spacing w:val="-2"/>
        </w:rPr>
        <w:t> </w:t>
      </w:r>
      <w:r>
        <w:rPr/>
        <w:t>protection and/or support to an increased number of witnesses, in particular in relation to new referrals for witness protection in the situations in Sudan, Libya, Burundi, Afghanistan, the Philippines and Bangladesh/Myanmar and Ukraine. Support is also provided by</w:t>
      </w:r>
      <w:r>
        <w:rPr>
          <w:spacing w:val="-4"/>
        </w:rPr>
        <w:t> </w:t>
      </w:r>
      <w:r>
        <w:rPr/>
        <w:t>the Registry in relation to ongoing reparation proceedings, including support to the TFV in the implementation of </w:t>
      </w:r>
      <w:r>
        <w:rPr>
          <w:spacing w:val="-2"/>
        </w:rPr>
        <w:t>reparations.</w:t>
      </w:r>
    </w:p>
    <w:p>
      <w:pPr>
        <w:pStyle w:val="ListParagraph"/>
        <w:numPr>
          <w:ilvl w:val="0"/>
          <w:numId w:val="4"/>
        </w:numPr>
        <w:tabs>
          <w:tab w:pos="2967" w:val="left" w:leader="none"/>
        </w:tabs>
        <w:spacing w:line="240" w:lineRule="auto" w:before="124" w:after="0"/>
        <w:ind w:left="2246" w:right="2240" w:firstLine="0"/>
        <w:jc w:val="both"/>
        <w:rPr>
          <w:sz w:val="20"/>
        </w:rPr>
      </w:pPr>
      <w:r>
        <w:rPr>
          <w:sz w:val="20"/>
        </w:rPr>
        <w:t>The increase requested by DEO in its non-staff resources is mainly driven by the increased</w:t>
      </w:r>
      <w:r>
        <w:rPr>
          <w:spacing w:val="-8"/>
          <w:sz w:val="20"/>
        </w:rPr>
        <w:t> </w:t>
      </w:r>
      <w:r>
        <w:rPr>
          <w:sz w:val="20"/>
        </w:rPr>
        <w:t>requirements</w:t>
      </w:r>
      <w:r>
        <w:rPr>
          <w:spacing w:val="-10"/>
          <w:sz w:val="20"/>
        </w:rPr>
        <w:t> </w:t>
      </w:r>
      <w:r>
        <w:rPr>
          <w:sz w:val="20"/>
        </w:rPr>
        <w:t>for</w:t>
      </w:r>
      <w:r>
        <w:rPr>
          <w:spacing w:val="-8"/>
          <w:sz w:val="20"/>
        </w:rPr>
        <w:t> </w:t>
      </w:r>
      <w:r>
        <w:rPr>
          <w:sz w:val="20"/>
        </w:rPr>
        <w:t>VWS</w:t>
      </w:r>
      <w:r>
        <w:rPr>
          <w:spacing w:val="-10"/>
          <w:sz w:val="20"/>
        </w:rPr>
        <w:t> </w:t>
      </w:r>
      <w:r>
        <w:rPr>
          <w:sz w:val="20"/>
        </w:rPr>
        <w:t>to</w:t>
      </w:r>
      <w:r>
        <w:rPr>
          <w:spacing w:val="-8"/>
          <w:sz w:val="20"/>
        </w:rPr>
        <w:t> </w:t>
      </w:r>
      <w:r>
        <w:rPr>
          <w:sz w:val="20"/>
        </w:rPr>
        <w:t>cater</w:t>
      </w:r>
      <w:r>
        <w:rPr>
          <w:spacing w:val="-8"/>
          <w:sz w:val="20"/>
        </w:rPr>
        <w:t> </w:t>
      </w:r>
      <w:r>
        <w:rPr>
          <w:sz w:val="20"/>
        </w:rPr>
        <w:t>for</w:t>
      </w:r>
      <w:r>
        <w:rPr>
          <w:spacing w:val="-8"/>
          <w:sz w:val="20"/>
        </w:rPr>
        <w:t> </w:t>
      </w:r>
      <w:r>
        <w:rPr>
          <w:sz w:val="20"/>
        </w:rPr>
        <w:t>the</w:t>
      </w:r>
      <w:r>
        <w:rPr>
          <w:spacing w:val="-7"/>
          <w:sz w:val="20"/>
        </w:rPr>
        <w:t> </w:t>
      </w:r>
      <w:r>
        <w:rPr>
          <w:sz w:val="20"/>
        </w:rPr>
        <w:t>protection</w:t>
      </w:r>
      <w:r>
        <w:rPr>
          <w:spacing w:val="-8"/>
          <w:sz w:val="20"/>
        </w:rPr>
        <w:t> </w:t>
      </w:r>
      <w:r>
        <w:rPr>
          <w:sz w:val="20"/>
        </w:rPr>
        <w:t>and/or</w:t>
      </w:r>
      <w:r>
        <w:rPr>
          <w:spacing w:val="-8"/>
          <w:sz w:val="20"/>
        </w:rPr>
        <w:t> </w:t>
      </w:r>
      <w:r>
        <w:rPr>
          <w:sz w:val="20"/>
        </w:rPr>
        <w:t>support</w:t>
      </w:r>
      <w:r>
        <w:rPr>
          <w:spacing w:val="-7"/>
          <w:sz w:val="20"/>
        </w:rPr>
        <w:t> </w:t>
      </w:r>
      <w:r>
        <w:rPr>
          <w:sz w:val="20"/>
        </w:rPr>
        <w:t>of</w:t>
      </w:r>
      <w:r>
        <w:rPr>
          <w:spacing w:val="-8"/>
          <w:sz w:val="20"/>
        </w:rPr>
        <w:t> </w:t>
      </w:r>
      <w:r>
        <w:rPr>
          <w:sz w:val="20"/>
        </w:rPr>
        <w:t>witnesses</w:t>
      </w:r>
      <w:r>
        <w:rPr>
          <w:spacing w:val="-10"/>
          <w:sz w:val="20"/>
        </w:rPr>
        <w:t> </w:t>
      </w:r>
      <w:r>
        <w:rPr>
          <w:sz w:val="20"/>
        </w:rPr>
        <w:t>in</w:t>
      </w:r>
      <w:r>
        <w:rPr>
          <w:spacing w:val="-13"/>
          <w:sz w:val="20"/>
        </w:rPr>
        <w:t> </w:t>
      </w:r>
      <w:r>
        <w:rPr>
          <w:sz w:val="20"/>
        </w:rPr>
        <w:t>the situations in Darfur, Libya, Afghanistan, the Philippines, Bangladesh/Myanmar and lastly Ukraine, which was referred to VWS after the submission of the 2022 budget proposal or will</w:t>
      </w:r>
      <w:r>
        <w:rPr>
          <w:spacing w:val="-1"/>
          <w:sz w:val="20"/>
        </w:rPr>
        <w:t> </w:t>
      </w:r>
      <w:r>
        <w:rPr>
          <w:sz w:val="20"/>
        </w:rPr>
        <w:t>be</w:t>
      </w:r>
      <w:r>
        <w:rPr>
          <w:spacing w:val="-1"/>
          <w:sz w:val="20"/>
        </w:rPr>
        <w:t> </w:t>
      </w:r>
      <w:r>
        <w:rPr>
          <w:sz w:val="20"/>
        </w:rPr>
        <w:t>referred</w:t>
      </w:r>
      <w:r>
        <w:rPr>
          <w:spacing w:val="-3"/>
          <w:sz w:val="20"/>
        </w:rPr>
        <w:t> </w:t>
      </w:r>
      <w:r>
        <w:rPr>
          <w:sz w:val="20"/>
        </w:rPr>
        <w:t>to</w:t>
      </w:r>
      <w:r>
        <w:rPr>
          <w:spacing w:val="-3"/>
          <w:sz w:val="20"/>
        </w:rPr>
        <w:t> </w:t>
      </w:r>
      <w:r>
        <w:rPr>
          <w:sz w:val="20"/>
        </w:rPr>
        <w:t>VWS</w:t>
      </w:r>
      <w:r>
        <w:rPr>
          <w:spacing w:val="-4"/>
          <w:sz w:val="20"/>
        </w:rPr>
        <w:t> </w:t>
      </w:r>
      <w:r>
        <w:rPr>
          <w:sz w:val="20"/>
        </w:rPr>
        <w:t>in</w:t>
      </w:r>
      <w:r>
        <w:rPr>
          <w:spacing w:val="-3"/>
          <w:sz w:val="20"/>
        </w:rPr>
        <w:t> </w:t>
      </w:r>
      <w:r>
        <w:rPr>
          <w:sz w:val="20"/>
        </w:rPr>
        <w:t>2023</w:t>
      </w:r>
      <w:r>
        <w:rPr>
          <w:spacing w:val="-3"/>
          <w:sz w:val="20"/>
        </w:rPr>
        <w:t> </w:t>
      </w:r>
      <w:r>
        <w:rPr>
          <w:sz w:val="20"/>
        </w:rPr>
        <w:t>as</w:t>
      </w:r>
      <w:r>
        <w:rPr>
          <w:spacing w:val="-4"/>
          <w:sz w:val="20"/>
        </w:rPr>
        <w:t> </w:t>
      </w:r>
      <w:r>
        <w:rPr>
          <w:sz w:val="20"/>
        </w:rPr>
        <w:t>per the</w:t>
      </w:r>
      <w:r>
        <w:rPr>
          <w:spacing w:val="-1"/>
          <w:sz w:val="20"/>
        </w:rPr>
        <w:t> </w:t>
      </w:r>
      <w:r>
        <w:rPr>
          <w:sz w:val="20"/>
        </w:rPr>
        <w:t>OTP’s service</w:t>
      </w:r>
      <w:r>
        <w:rPr>
          <w:spacing w:val="-1"/>
          <w:sz w:val="20"/>
        </w:rPr>
        <w:t> </w:t>
      </w:r>
      <w:r>
        <w:rPr>
          <w:sz w:val="20"/>
        </w:rPr>
        <w:t>requests. The</w:t>
      </w:r>
      <w:r>
        <w:rPr>
          <w:spacing w:val="-1"/>
          <w:sz w:val="20"/>
        </w:rPr>
        <w:t> </w:t>
      </w:r>
      <w:r>
        <w:rPr>
          <w:sz w:val="20"/>
        </w:rPr>
        <w:t>additional</w:t>
      </w:r>
      <w:r>
        <w:rPr>
          <w:spacing w:val="-1"/>
          <w:sz w:val="20"/>
        </w:rPr>
        <w:t> </w:t>
      </w:r>
      <w:r>
        <w:rPr>
          <w:sz w:val="20"/>
        </w:rPr>
        <w:t>resources required</w:t>
      </w:r>
      <w:r>
        <w:rPr>
          <w:spacing w:val="-10"/>
          <w:sz w:val="20"/>
        </w:rPr>
        <w:t> </w:t>
      </w:r>
      <w:r>
        <w:rPr>
          <w:sz w:val="20"/>
        </w:rPr>
        <w:t>by</w:t>
      </w:r>
      <w:r>
        <w:rPr>
          <w:spacing w:val="-8"/>
          <w:sz w:val="20"/>
        </w:rPr>
        <w:t> </w:t>
      </w:r>
      <w:r>
        <w:rPr>
          <w:sz w:val="20"/>
        </w:rPr>
        <w:t>VWS</w:t>
      </w:r>
      <w:r>
        <w:rPr>
          <w:spacing w:val="-13"/>
          <w:sz w:val="20"/>
        </w:rPr>
        <w:t> </w:t>
      </w:r>
      <w:r>
        <w:rPr>
          <w:sz w:val="20"/>
        </w:rPr>
        <w:t>are</w:t>
      </w:r>
      <w:r>
        <w:rPr>
          <w:spacing w:val="-10"/>
          <w:sz w:val="20"/>
        </w:rPr>
        <w:t> </w:t>
      </w:r>
      <w:r>
        <w:rPr>
          <w:sz w:val="20"/>
        </w:rPr>
        <w:t>explained</w:t>
      </w:r>
      <w:r>
        <w:rPr>
          <w:spacing w:val="-13"/>
          <w:sz w:val="20"/>
        </w:rPr>
        <w:t> </w:t>
      </w:r>
      <w:r>
        <w:rPr>
          <w:sz w:val="20"/>
        </w:rPr>
        <w:t>in</w:t>
      </w:r>
      <w:r>
        <w:rPr>
          <w:spacing w:val="-7"/>
          <w:sz w:val="20"/>
        </w:rPr>
        <w:t> </w:t>
      </w:r>
      <w:r>
        <w:rPr>
          <w:sz w:val="20"/>
        </w:rPr>
        <w:t>detail</w:t>
      </w:r>
      <w:r>
        <w:rPr>
          <w:spacing w:val="-7"/>
          <w:sz w:val="20"/>
        </w:rPr>
        <w:t> </w:t>
      </w:r>
      <w:r>
        <w:rPr>
          <w:sz w:val="20"/>
        </w:rPr>
        <w:t>below.</w:t>
      </w:r>
      <w:r>
        <w:rPr>
          <w:spacing w:val="-11"/>
          <w:sz w:val="20"/>
        </w:rPr>
        <w:t> </w:t>
      </w:r>
      <w:r>
        <w:rPr>
          <w:sz w:val="20"/>
        </w:rPr>
        <w:t>It</w:t>
      </w:r>
      <w:r>
        <w:rPr>
          <w:spacing w:val="-7"/>
          <w:sz w:val="20"/>
        </w:rPr>
        <w:t> </w:t>
      </w:r>
      <w:r>
        <w:rPr>
          <w:sz w:val="20"/>
        </w:rPr>
        <w:t>should</w:t>
      </w:r>
      <w:r>
        <w:rPr>
          <w:spacing w:val="-8"/>
          <w:sz w:val="20"/>
        </w:rPr>
        <w:t> </w:t>
      </w:r>
      <w:r>
        <w:rPr>
          <w:sz w:val="20"/>
        </w:rPr>
        <w:t>be</w:t>
      </w:r>
      <w:r>
        <w:rPr>
          <w:spacing w:val="-7"/>
          <w:sz w:val="20"/>
        </w:rPr>
        <w:t> </w:t>
      </w:r>
      <w:r>
        <w:rPr>
          <w:sz w:val="20"/>
        </w:rPr>
        <w:t>noted</w:t>
      </w:r>
      <w:r>
        <w:rPr>
          <w:spacing w:val="-13"/>
          <w:sz w:val="20"/>
        </w:rPr>
        <w:t> </w:t>
      </w:r>
      <w:r>
        <w:rPr>
          <w:sz w:val="20"/>
        </w:rPr>
        <w:t>that</w:t>
      </w:r>
      <w:r>
        <w:rPr>
          <w:spacing w:val="-6"/>
          <w:sz w:val="20"/>
        </w:rPr>
        <w:t> </w:t>
      </w:r>
      <w:r>
        <w:rPr>
          <w:sz w:val="20"/>
        </w:rPr>
        <w:t>the</w:t>
      </w:r>
      <w:r>
        <w:rPr>
          <w:spacing w:val="-7"/>
          <w:sz w:val="20"/>
        </w:rPr>
        <w:t> </w:t>
      </w:r>
      <w:r>
        <w:rPr>
          <w:sz w:val="20"/>
        </w:rPr>
        <w:t>resources</w:t>
      </w:r>
      <w:r>
        <w:rPr>
          <w:spacing w:val="-10"/>
          <w:sz w:val="20"/>
        </w:rPr>
        <w:t> </w:t>
      </w:r>
      <w:r>
        <w:rPr>
          <w:sz w:val="20"/>
        </w:rPr>
        <w:t>required to support a sizeable number of witnesses and their dependants already under the care of VWS have a tremendous financial impact. Despite the best efforts of the Registry to reach out to States which have signed an agreement with the Court on witness relocation, a sustainable solution through international relocation could not be found for</w:t>
      </w:r>
      <w:r>
        <w:rPr>
          <w:spacing w:val="-1"/>
          <w:sz w:val="20"/>
        </w:rPr>
        <w:t> </w:t>
      </w:r>
      <w:r>
        <w:rPr>
          <w:sz w:val="20"/>
        </w:rPr>
        <w:t>these witnesses and thus they remain under the care of VWS until they can</w:t>
      </w:r>
      <w:r>
        <w:rPr>
          <w:spacing w:val="-3"/>
          <w:sz w:val="20"/>
        </w:rPr>
        <w:t> </w:t>
      </w:r>
      <w:r>
        <w:rPr>
          <w:sz w:val="20"/>
        </w:rPr>
        <w:t>be relocated to a State. Support from</w:t>
      </w:r>
      <w:r>
        <w:rPr>
          <w:spacing w:val="-13"/>
          <w:sz w:val="20"/>
        </w:rPr>
        <w:t> </w:t>
      </w:r>
      <w:r>
        <w:rPr>
          <w:sz w:val="20"/>
        </w:rPr>
        <w:t>States</w:t>
      </w:r>
      <w:r>
        <w:rPr>
          <w:spacing w:val="-12"/>
          <w:sz w:val="20"/>
        </w:rPr>
        <w:t> </w:t>
      </w:r>
      <w:r>
        <w:rPr>
          <w:sz w:val="20"/>
        </w:rPr>
        <w:t>to</w:t>
      </w:r>
      <w:r>
        <w:rPr>
          <w:spacing w:val="-13"/>
          <w:sz w:val="20"/>
        </w:rPr>
        <w:t> </w:t>
      </w:r>
      <w:r>
        <w:rPr>
          <w:sz w:val="20"/>
        </w:rPr>
        <w:t>sign</w:t>
      </w:r>
      <w:r>
        <w:rPr>
          <w:spacing w:val="-12"/>
          <w:sz w:val="20"/>
        </w:rPr>
        <w:t> </w:t>
      </w:r>
      <w:r>
        <w:rPr>
          <w:sz w:val="20"/>
        </w:rPr>
        <w:t>agreements</w:t>
      </w:r>
      <w:r>
        <w:rPr>
          <w:spacing w:val="-13"/>
          <w:sz w:val="20"/>
        </w:rPr>
        <w:t> </w:t>
      </w:r>
      <w:r>
        <w:rPr>
          <w:sz w:val="20"/>
        </w:rPr>
        <w:t>with</w:t>
      </w:r>
      <w:r>
        <w:rPr>
          <w:spacing w:val="-12"/>
          <w:sz w:val="20"/>
        </w:rPr>
        <w:t> </w:t>
      </w:r>
      <w:r>
        <w:rPr>
          <w:sz w:val="20"/>
        </w:rPr>
        <w:t>the</w:t>
      </w:r>
      <w:r>
        <w:rPr>
          <w:spacing w:val="-13"/>
          <w:sz w:val="20"/>
        </w:rPr>
        <w:t> </w:t>
      </w:r>
      <w:r>
        <w:rPr>
          <w:sz w:val="20"/>
        </w:rPr>
        <w:t>Court</w:t>
      </w:r>
      <w:r>
        <w:rPr>
          <w:spacing w:val="-12"/>
          <w:sz w:val="20"/>
        </w:rPr>
        <w:t> </w:t>
      </w:r>
      <w:r>
        <w:rPr>
          <w:sz w:val="20"/>
        </w:rPr>
        <w:t>on</w:t>
      </w:r>
      <w:r>
        <w:rPr>
          <w:spacing w:val="-13"/>
          <w:sz w:val="20"/>
        </w:rPr>
        <w:t> </w:t>
      </w:r>
      <w:r>
        <w:rPr>
          <w:sz w:val="20"/>
        </w:rPr>
        <w:t>witness</w:t>
      </w:r>
      <w:r>
        <w:rPr>
          <w:spacing w:val="-12"/>
          <w:sz w:val="20"/>
        </w:rPr>
        <w:t> </w:t>
      </w:r>
      <w:r>
        <w:rPr>
          <w:sz w:val="20"/>
        </w:rPr>
        <w:t>relocation</w:t>
      </w:r>
      <w:r>
        <w:rPr>
          <w:spacing w:val="-13"/>
          <w:sz w:val="20"/>
        </w:rPr>
        <w:t> </w:t>
      </w:r>
      <w:r>
        <w:rPr>
          <w:sz w:val="20"/>
        </w:rPr>
        <w:t>and</w:t>
      </w:r>
      <w:r>
        <w:rPr>
          <w:spacing w:val="-12"/>
          <w:sz w:val="20"/>
        </w:rPr>
        <w:t> </w:t>
      </w:r>
      <w:r>
        <w:rPr>
          <w:sz w:val="20"/>
        </w:rPr>
        <w:t>to</w:t>
      </w:r>
      <w:r>
        <w:rPr>
          <w:spacing w:val="-13"/>
          <w:sz w:val="20"/>
        </w:rPr>
        <w:t> </w:t>
      </w:r>
      <w:r>
        <w:rPr>
          <w:sz w:val="20"/>
        </w:rPr>
        <w:t>enter</w:t>
      </w:r>
      <w:r>
        <w:rPr>
          <w:spacing w:val="-12"/>
          <w:sz w:val="20"/>
        </w:rPr>
        <w:t> </w:t>
      </w:r>
      <w:r>
        <w:rPr>
          <w:sz w:val="20"/>
        </w:rPr>
        <w:t>the</w:t>
      </w:r>
      <w:r>
        <w:rPr>
          <w:spacing w:val="-8"/>
          <w:sz w:val="20"/>
        </w:rPr>
        <w:t> </w:t>
      </w:r>
      <w:r>
        <w:rPr>
          <w:sz w:val="20"/>
        </w:rPr>
        <w:t>witnesses into</w:t>
      </w:r>
      <w:r>
        <w:rPr>
          <w:spacing w:val="-13"/>
          <w:sz w:val="20"/>
        </w:rPr>
        <w:t> </w:t>
      </w:r>
      <w:r>
        <w:rPr>
          <w:sz w:val="20"/>
        </w:rPr>
        <w:t>their</w:t>
      </w:r>
      <w:r>
        <w:rPr>
          <w:spacing w:val="-9"/>
          <w:sz w:val="20"/>
        </w:rPr>
        <w:t> </w:t>
      </w:r>
      <w:r>
        <w:rPr>
          <w:sz w:val="20"/>
        </w:rPr>
        <w:t>domestic</w:t>
      </w:r>
      <w:r>
        <w:rPr>
          <w:spacing w:val="-7"/>
          <w:sz w:val="20"/>
        </w:rPr>
        <w:t> </w:t>
      </w:r>
      <w:r>
        <w:rPr>
          <w:sz w:val="20"/>
        </w:rPr>
        <w:t>system</w:t>
      </w:r>
      <w:r>
        <w:rPr>
          <w:spacing w:val="-7"/>
          <w:sz w:val="20"/>
        </w:rPr>
        <w:t> </w:t>
      </w:r>
      <w:r>
        <w:rPr>
          <w:sz w:val="20"/>
        </w:rPr>
        <w:t>would</w:t>
      </w:r>
      <w:r>
        <w:rPr>
          <w:spacing w:val="-13"/>
          <w:sz w:val="20"/>
        </w:rPr>
        <w:t> </w:t>
      </w:r>
      <w:r>
        <w:rPr>
          <w:sz w:val="20"/>
        </w:rPr>
        <w:t>immensely</w:t>
      </w:r>
      <w:r>
        <w:rPr>
          <w:spacing w:val="-7"/>
          <w:sz w:val="20"/>
        </w:rPr>
        <w:t> </w:t>
      </w:r>
      <w:r>
        <w:rPr>
          <w:sz w:val="20"/>
        </w:rPr>
        <w:t>reduce</w:t>
      </w:r>
      <w:r>
        <w:rPr>
          <w:spacing w:val="-12"/>
          <w:sz w:val="20"/>
        </w:rPr>
        <w:t> </w:t>
      </w:r>
      <w:r>
        <w:rPr>
          <w:sz w:val="20"/>
        </w:rPr>
        <w:t>the</w:t>
      </w:r>
      <w:r>
        <w:rPr>
          <w:spacing w:val="-12"/>
          <w:sz w:val="20"/>
        </w:rPr>
        <w:t> </w:t>
      </w:r>
      <w:r>
        <w:rPr>
          <w:sz w:val="20"/>
        </w:rPr>
        <w:t>cost</w:t>
      </w:r>
      <w:r>
        <w:rPr>
          <w:spacing w:val="-12"/>
          <w:sz w:val="20"/>
        </w:rPr>
        <w:t> </w:t>
      </w:r>
      <w:r>
        <w:rPr>
          <w:sz w:val="20"/>
        </w:rPr>
        <w:t>and</w:t>
      </w:r>
      <w:r>
        <w:rPr>
          <w:spacing w:val="-8"/>
          <w:sz w:val="20"/>
        </w:rPr>
        <w:t> </w:t>
      </w:r>
      <w:r>
        <w:rPr>
          <w:sz w:val="20"/>
        </w:rPr>
        <w:t>funding</w:t>
      </w:r>
      <w:r>
        <w:rPr>
          <w:spacing w:val="-8"/>
          <w:sz w:val="20"/>
        </w:rPr>
        <w:t> </w:t>
      </w:r>
      <w:r>
        <w:rPr>
          <w:sz w:val="20"/>
        </w:rPr>
        <w:t>needs</w:t>
      </w:r>
      <w:r>
        <w:rPr>
          <w:spacing w:val="-13"/>
          <w:sz w:val="20"/>
        </w:rPr>
        <w:t> </w:t>
      </w:r>
      <w:r>
        <w:rPr>
          <w:sz w:val="20"/>
        </w:rPr>
        <w:t>for</w:t>
      </w:r>
      <w:r>
        <w:rPr>
          <w:spacing w:val="-12"/>
          <w:sz w:val="20"/>
        </w:rPr>
        <w:t> </w:t>
      </w:r>
      <w:r>
        <w:rPr>
          <w:sz w:val="20"/>
        </w:rPr>
        <w:t>managing protected witnesses and victims.</w:t>
      </w:r>
    </w:p>
    <w:p>
      <w:pPr>
        <w:pStyle w:val="ListParagraph"/>
        <w:numPr>
          <w:ilvl w:val="0"/>
          <w:numId w:val="4"/>
        </w:numPr>
        <w:tabs>
          <w:tab w:pos="2967" w:val="left" w:leader="none"/>
        </w:tabs>
        <w:spacing w:line="240" w:lineRule="auto" w:before="122" w:after="0"/>
        <w:ind w:left="2246" w:right="2239" w:firstLine="0"/>
        <w:jc w:val="both"/>
        <w:rPr>
          <w:sz w:val="20"/>
        </w:rPr>
      </w:pPr>
      <w:r>
        <w:rPr>
          <w:sz w:val="20"/>
        </w:rPr>
        <w:t>Additional resources are</w:t>
      </w:r>
      <w:r>
        <w:rPr>
          <w:spacing w:val="-2"/>
          <w:sz w:val="20"/>
        </w:rPr>
        <w:t> </w:t>
      </w:r>
      <w:r>
        <w:rPr>
          <w:sz w:val="20"/>
        </w:rPr>
        <w:t>also required</w:t>
      </w:r>
      <w:r>
        <w:rPr>
          <w:spacing w:val="-4"/>
          <w:sz w:val="20"/>
        </w:rPr>
        <w:t> </w:t>
      </w:r>
      <w:r>
        <w:rPr>
          <w:sz w:val="20"/>
        </w:rPr>
        <w:t>to</w:t>
      </w:r>
      <w:r>
        <w:rPr>
          <w:spacing w:val="-4"/>
          <w:sz w:val="20"/>
        </w:rPr>
        <w:t> </w:t>
      </w:r>
      <w:r>
        <w:rPr>
          <w:sz w:val="20"/>
        </w:rPr>
        <w:t>allow PIOS to</w:t>
      </w:r>
      <w:r>
        <w:rPr>
          <w:spacing w:val="-4"/>
          <w:sz w:val="20"/>
        </w:rPr>
        <w:t> </w:t>
      </w:r>
      <w:r>
        <w:rPr>
          <w:sz w:val="20"/>
        </w:rPr>
        <w:t>conduct outreach activities in</w:t>
      </w:r>
      <w:r>
        <w:rPr>
          <w:spacing w:val="-13"/>
          <w:sz w:val="20"/>
        </w:rPr>
        <w:t> </w:t>
      </w:r>
      <w:r>
        <w:rPr>
          <w:sz w:val="20"/>
        </w:rPr>
        <w:t>the</w:t>
      </w:r>
      <w:r>
        <w:rPr>
          <w:spacing w:val="-12"/>
          <w:sz w:val="20"/>
        </w:rPr>
        <w:t> </w:t>
      </w:r>
      <w:r>
        <w:rPr>
          <w:sz w:val="20"/>
        </w:rPr>
        <w:t>situations</w:t>
      </w:r>
      <w:r>
        <w:rPr>
          <w:spacing w:val="-13"/>
          <w:sz w:val="20"/>
        </w:rPr>
        <w:t> </w:t>
      </w:r>
      <w:r>
        <w:rPr>
          <w:sz w:val="20"/>
        </w:rPr>
        <w:t>currently</w:t>
      </w:r>
      <w:r>
        <w:rPr>
          <w:spacing w:val="-12"/>
          <w:sz w:val="20"/>
        </w:rPr>
        <w:t> </w:t>
      </w:r>
      <w:r>
        <w:rPr>
          <w:sz w:val="20"/>
        </w:rPr>
        <w:t>under</w:t>
      </w:r>
      <w:r>
        <w:rPr>
          <w:spacing w:val="-13"/>
          <w:sz w:val="20"/>
        </w:rPr>
        <w:t> </w:t>
      </w:r>
      <w:r>
        <w:rPr>
          <w:sz w:val="20"/>
        </w:rPr>
        <w:t>investigation</w:t>
      </w:r>
      <w:r>
        <w:rPr>
          <w:spacing w:val="-12"/>
          <w:sz w:val="20"/>
        </w:rPr>
        <w:t> </w:t>
      </w:r>
      <w:r>
        <w:rPr>
          <w:sz w:val="20"/>
        </w:rPr>
        <w:t>in</w:t>
      </w:r>
      <w:r>
        <w:rPr>
          <w:spacing w:val="-13"/>
          <w:sz w:val="20"/>
        </w:rPr>
        <w:t> </w:t>
      </w:r>
      <w:r>
        <w:rPr>
          <w:sz w:val="20"/>
        </w:rPr>
        <w:t>Bangladesh/Myanmar,</w:t>
      </w:r>
      <w:r>
        <w:rPr>
          <w:spacing w:val="-12"/>
          <w:sz w:val="20"/>
        </w:rPr>
        <w:t> </w:t>
      </w:r>
      <w:r>
        <w:rPr>
          <w:sz w:val="20"/>
        </w:rPr>
        <w:t>Afghanistan,</w:t>
      </w:r>
      <w:r>
        <w:rPr>
          <w:spacing w:val="-13"/>
          <w:sz w:val="20"/>
        </w:rPr>
        <w:t> </w:t>
      </w:r>
      <w:r>
        <w:rPr>
          <w:sz w:val="20"/>
        </w:rPr>
        <w:t>Ukraine and</w:t>
      </w:r>
      <w:r>
        <w:rPr>
          <w:spacing w:val="-10"/>
          <w:sz w:val="20"/>
        </w:rPr>
        <w:t> </w:t>
      </w:r>
      <w:r>
        <w:rPr>
          <w:sz w:val="20"/>
        </w:rPr>
        <w:t>Venezuela</w:t>
      </w:r>
      <w:r>
        <w:rPr>
          <w:spacing w:val="-12"/>
          <w:sz w:val="20"/>
        </w:rPr>
        <w:t> </w:t>
      </w:r>
      <w:r>
        <w:rPr>
          <w:sz w:val="20"/>
        </w:rPr>
        <w:t>as</w:t>
      </w:r>
      <w:r>
        <w:rPr>
          <w:spacing w:val="-11"/>
          <w:sz w:val="20"/>
        </w:rPr>
        <w:t> </w:t>
      </w:r>
      <w:r>
        <w:rPr>
          <w:sz w:val="20"/>
        </w:rPr>
        <w:t>well</w:t>
      </w:r>
      <w:r>
        <w:rPr>
          <w:spacing w:val="-8"/>
          <w:sz w:val="20"/>
        </w:rPr>
        <w:t> </w:t>
      </w:r>
      <w:r>
        <w:rPr>
          <w:sz w:val="20"/>
        </w:rPr>
        <w:t>as</w:t>
      </w:r>
      <w:r>
        <w:rPr>
          <w:spacing w:val="-11"/>
          <w:sz w:val="20"/>
        </w:rPr>
        <w:t> </w:t>
      </w:r>
      <w:r>
        <w:rPr>
          <w:sz w:val="20"/>
        </w:rPr>
        <w:t>for</w:t>
      </w:r>
      <w:r>
        <w:rPr>
          <w:spacing w:val="-9"/>
          <w:sz w:val="20"/>
        </w:rPr>
        <w:t> </w:t>
      </w:r>
      <w:r>
        <w:rPr>
          <w:sz w:val="20"/>
        </w:rPr>
        <w:t>the</w:t>
      </w:r>
      <w:r>
        <w:rPr>
          <w:spacing w:val="-8"/>
          <w:sz w:val="20"/>
        </w:rPr>
        <w:t> </w:t>
      </w:r>
      <w:r>
        <w:rPr>
          <w:sz w:val="20"/>
        </w:rPr>
        <w:t>publicity</w:t>
      </w:r>
      <w:r>
        <w:rPr>
          <w:spacing w:val="-9"/>
          <w:sz w:val="20"/>
        </w:rPr>
        <w:t> </w:t>
      </w:r>
      <w:r>
        <w:rPr>
          <w:sz w:val="20"/>
        </w:rPr>
        <w:t>of</w:t>
      </w:r>
      <w:r>
        <w:rPr>
          <w:spacing w:val="-13"/>
          <w:sz w:val="20"/>
        </w:rPr>
        <w:t> </w:t>
      </w:r>
      <w:r>
        <w:rPr>
          <w:sz w:val="20"/>
        </w:rPr>
        <w:t>the</w:t>
      </w:r>
      <w:r>
        <w:rPr>
          <w:spacing w:val="-7"/>
          <w:sz w:val="20"/>
        </w:rPr>
        <w:t> </w:t>
      </w:r>
      <w:r>
        <w:rPr>
          <w:i/>
          <w:sz w:val="20"/>
        </w:rPr>
        <w:t>Abd-Al-Rahman</w:t>
      </w:r>
      <w:r>
        <w:rPr>
          <w:i/>
          <w:spacing w:val="-9"/>
          <w:sz w:val="20"/>
        </w:rPr>
        <w:t> </w:t>
      </w:r>
      <w:r>
        <w:rPr>
          <w:sz w:val="20"/>
        </w:rPr>
        <w:t>trial.</w:t>
      </w:r>
      <w:r>
        <w:rPr>
          <w:spacing w:val="-7"/>
          <w:sz w:val="20"/>
        </w:rPr>
        <w:t> </w:t>
      </w:r>
      <w:r>
        <w:rPr>
          <w:sz w:val="20"/>
        </w:rPr>
        <w:t>The</w:t>
      </w:r>
      <w:r>
        <w:rPr>
          <w:spacing w:val="-8"/>
          <w:sz w:val="20"/>
        </w:rPr>
        <w:t> </w:t>
      </w:r>
      <w:r>
        <w:rPr>
          <w:sz w:val="20"/>
        </w:rPr>
        <w:t>simultaneous</w:t>
      </w:r>
      <w:r>
        <w:rPr>
          <w:spacing w:val="-11"/>
          <w:sz w:val="20"/>
        </w:rPr>
        <w:t> </w:t>
      </w:r>
      <w:r>
        <w:rPr>
          <w:sz w:val="20"/>
        </w:rPr>
        <w:t>trial activities</w:t>
      </w:r>
      <w:r>
        <w:rPr>
          <w:spacing w:val="-1"/>
          <w:sz w:val="20"/>
        </w:rPr>
        <w:t> </w:t>
      </w:r>
      <w:r>
        <w:rPr>
          <w:sz w:val="20"/>
        </w:rPr>
        <w:t>in</w:t>
      </w:r>
      <w:r>
        <w:rPr>
          <w:spacing w:val="-5"/>
          <w:sz w:val="20"/>
        </w:rPr>
        <w:t> </w:t>
      </w:r>
      <w:r>
        <w:rPr>
          <w:sz w:val="20"/>
        </w:rPr>
        <w:t>the </w:t>
      </w:r>
      <w:r>
        <w:rPr>
          <w:i/>
          <w:sz w:val="20"/>
        </w:rPr>
        <w:t>Yekatom</w:t>
      </w:r>
      <w:r>
        <w:rPr>
          <w:i/>
          <w:spacing w:val="-1"/>
          <w:sz w:val="20"/>
        </w:rPr>
        <w:t> </w:t>
      </w:r>
      <w:r>
        <w:rPr>
          <w:i/>
          <w:sz w:val="20"/>
        </w:rPr>
        <w:t>and Ngaïssona </w:t>
      </w:r>
      <w:r>
        <w:rPr>
          <w:sz w:val="20"/>
        </w:rPr>
        <w:t>case, the </w:t>
      </w:r>
      <w:r>
        <w:rPr>
          <w:i/>
          <w:sz w:val="20"/>
        </w:rPr>
        <w:t>Said</w:t>
      </w:r>
      <w:r>
        <w:rPr>
          <w:i/>
          <w:spacing w:val="-4"/>
          <w:sz w:val="20"/>
        </w:rPr>
        <w:t> </w:t>
      </w:r>
      <w:r>
        <w:rPr>
          <w:sz w:val="20"/>
        </w:rPr>
        <w:t>case and the </w:t>
      </w:r>
      <w:r>
        <w:rPr>
          <w:i/>
          <w:sz w:val="20"/>
        </w:rPr>
        <w:t>Abd-Al-Rahman</w:t>
      </w:r>
      <w:r>
        <w:rPr>
          <w:i/>
          <w:spacing w:val="-4"/>
          <w:sz w:val="20"/>
        </w:rPr>
        <w:t> </w:t>
      </w:r>
      <w:r>
        <w:rPr>
          <w:sz w:val="20"/>
        </w:rPr>
        <w:t>case</w:t>
      </w:r>
      <w:r>
        <w:rPr>
          <w:spacing w:val="-3"/>
          <w:sz w:val="20"/>
        </w:rPr>
        <w:t> </w:t>
      </w:r>
      <w:r>
        <w:rPr>
          <w:sz w:val="20"/>
        </w:rPr>
        <w:t>as well</w:t>
      </w:r>
      <w:r>
        <w:rPr>
          <w:spacing w:val="-13"/>
          <w:sz w:val="20"/>
        </w:rPr>
        <w:t> </w:t>
      </w:r>
      <w:r>
        <w:rPr>
          <w:sz w:val="20"/>
        </w:rPr>
        <w:t>as</w:t>
      </w:r>
      <w:r>
        <w:rPr>
          <w:spacing w:val="-12"/>
          <w:sz w:val="20"/>
        </w:rPr>
        <w:t> </w:t>
      </w:r>
      <w:r>
        <w:rPr>
          <w:sz w:val="20"/>
        </w:rPr>
        <w:t>the</w:t>
      </w:r>
      <w:r>
        <w:rPr>
          <w:spacing w:val="-13"/>
          <w:sz w:val="20"/>
        </w:rPr>
        <w:t> </w:t>
      </w:r>
      <w:r>
        <w:rPr>
          <w:sz w:val="20"/>
        </w:rPr>
        <w:t>pre-trial</w:t>
      </w:r>
      <w:r>
        <w:rPr>
          <w:spacing w:val="-12"/>
          <w:sz w:val="20"/>
        </w:rPr>
        <w:t> </w:t>
      </w:r>
      <w:r>
        <w:rPr>
          <w:sz w:val="20"/>
        </w:rPr>
        <w:t>activities</w:t>
      </w:r>
      <w:r>
        <w:rPr>
          <w:spacing w:val="-13"/>
          <w:sz w:val="20"/>
        </w:rPr>
        <w:t> </w:t>
      </w:r>
      <w:r>
        <w:rPr>
          <w:sz w:val="20"/>
        </w:rPr>
        <w:t>in</w:t>
      </w:r>
      <w:r>
        <w:rPr>
          <w:spacing w:val="-12"/>
          <w:sz w:val="20"/>
        </w:rPr>
        <w:t> </w:t>
      </w:r>
      <w:r>
        <w:rPr>
          <w:sz w:val="20"/>
        </w:rPr>
        <w:t>the</w:t>
      </w:r>
      <w:r>
        <w:rPr>
          <w:spacing w:val="-13"/>
          <w:sz w:val="20"/>
        </w:rPr>
        <w:t> </w:t>
      </w:r>
      <w:r>
        <w:rPr>
          <w:i/>
          <w:sz w:val="20"/>
        </w:rPr>
        <w:t>Mokom</w:t>
      </w:r>
      <w:r>
        <w:rPr>
          <w:i/>
          <w:spacing w:val="-12"/>
          <w:sz w:val="20"/>
        </w:rPr>
        <w:t> </w:t>
      </w:r>
      <w:r>
        <w:rPr>
          <w:sz w:val="20"/>
        </w:rPr>
        <w:t>case</w:t>
      </w:r>
      <w:r>
        <w:rPr>
          <w:spacing w:val="-13"/>
          <w:sz w:val="20"/>
        </w:rPr>
        <w:t> </w:t>
      </w:r>
      <w:r>
        <w:rPr>
          <w:sz w:val="20"/>
        </w:rPr>
        <w:t>also</w:t>
      </w:r>
      <w:r>
        <w:rPr>
          <w:spacing w:val="-12"/>
          <w:sz w:val="20"/>
        </w:rPr>
        <w:t> </w:t>
      </w:r>
      <w:r>
        <w:rPr>
          <w:sz w:val="20"/>
        </w:rPr>
        <w:t>require</w:t>
      </w:r>
      <w:r>
        <w:rPr>
          <w:spacing w:val="-13"/>
          <w:sz w:val="20"/>
        </w:rPr>
        <w:t> </w:t>
      </w:r>
      <w:r>
        <w:rPr>
          <w:sz w:val="20"/>
        </w:rPr>
        <w:t>the</w:t>
      </w:r>
      <w:r>
        <w:rPr>
          <w:spacing w:val="-12"/>
          <w:sz w:val="20"/>
        </w:rPr>
        <w:t> </w:t>
      </w:r>
      <w:r>
        <w:rPr>
          <w:sz w:val="20"/>
        </w:rPr>
        <w:t>reinforcement</w:t>
      </w:r>
      <w:r>
        <w:rPr>
          <w:spacing w:val="-13"/>
          <w:sz w:val="20"/>
        </w:rPr>
        <w:t> </w:t>
      </w:r>
      <w:r>
        <w:rPr>
          <w:sz w:val="20"/>
        </w:rPr>
        <w:t>of</w:t>
      </w:r>
      <w:r>
        <w:rPr>
          <w:spacing w:val="-12"/>
          <w:sz w:val="20"/>
        </w:rPr>
        <w:t> </w:t>
      </w:r>
      <w:r>
        <w:rPr>
          <w:sz w:val="20"/>
        </w:rPr>
        <w:t>the</w:t>
      </w:r>
      <w:r>
        <w:rPr>
          <w:spacing w:val="-13"/>
          <w:sz w:val="20"/>
        </w:rPr>
        <w:t> </w:t>
      </w:r>
      <w:r>
        <w:rPr>
          <w:sz w:val="20"/>
        </w:rPr>
        <w:t>capacity of the VWS team at Headquarters and in the Country Office (CAR) (for the cases of the situation</w:t>
      </w:r>
      <w:r>
        <w:rPr>
          <w:spacing w:val="34"/>
          <w:sz w:val="20"/>
        </w:rPr>
        <w:t> </w:t>
      </w:r>
      <w:r>
        <w:rPr>
          <w:sz w:val="20"/>
        </w:rPr>
        <w:t>in</w:t>
      </w:r>
      <w:r>
        <w:rPr>
          <w:spacing w:val="29"/>
          <w:sz w:val="20"/>
        </w:rPr>
        <w:t> </w:t>
      </w:r>
      <w:r>
        <w:rPr>
          <w:sz w:val="20"/>
        </w:rPr>
        <w:t>the</w:t>
      </w:r>
      <w:r>
        <w:rPr>
          <w:spacing w:val="30"/>
          <w:sz w:val="20"/>
        </w:rPr>
        <w:t> </w:t>
      </w:r>
      <w:r>
        <w:rPr>
          <w:sz w:val="20"/>
        </w:rPr>
        <w:t>CAR)</w:t>
      </w:r>
      <w:r>
        <w:rPr>
          <w:spacing w:val="29"/>
          <w:sz w:val="20"/>
        </w:rPr>
        <w:t> </w:t>
      </w:r>
      <w:r>
        <w:rPr>
          <w:sz w:val="20"/>
        </w:rPr>
        <w:t>to</w:t>
      </w:r>
      <w:r>
        <w:rPr>
          <w:spacing w:val="34"/>
          <w:sz w:val="20"/>
        </w:rPr>
        <w:t> </w:t>
      </w:r>
      <w:r>
        <w:rPr>
          <w:sz w:val="20"/>
        </w:rPr>
        <w:t>provide</w:t>
      </w:r>
      <w:r>
        <w:rPr>
          <w:spacing w:val="35"/>
          <w:sz w:val="20"/>
        </w:rPr>
        <w:t> </w:t>
      </w:r>
      <w:r>
        <w:rPr>
          <w:sz w:val="20"/>
        </w:rPr>
        <w:t>support</w:t>
      </w:r>
      <w:r>
        <w:rPr>
          <w:spacing w:val="31"/>
          <w:sz w:val="20"/>
        </w:rPr>
        <w:t> </w:t>
      </w:r>
      <w:r>
        <w:rPr>
          <w:sz w:val="20"/>
        </w:rPr>
        <w:t>to</w:t>
      </w:r>
      <w:r>
        <w:rPr>
          <w:spacing w:val="29"/>
          <w:sz w:val="20"/>
        </w:rPr>
        <w:t> </w:t>
      </w:r>
      <w:r>
        <w:rPr>
          <w:sz w:val="20"/>
        </w:rPr>
        <w:t>the</w:t>
      </w:r>
      <w:r>
        <w:rPr>
          <w:spacing w:val="35"/>
          <w:sz w:val="20"/>
        </w:rPr>
        <w:t> </w:t>
      </w:r>
      <w:r>
        <w:rPr>
          <w:sz w:val="20"/>
        </w:rPr>
        <w:t>increasing</w:t>
      </w:r>
      <w:r>
        <w:rPr>
          <w:spacing w:val="34"/>
          <w:sz w:val="20"/>
        </w:rPr>
        <w:t> </w:t>
      </w:r>
      <w:r>
        <w:rPr>
          <w:sz w:val="20"/>
        </w:rPr>
        <w:t>judicial</w:t>
      </w:r>
      <w:r>
        <w:rPr>
          <w:spacing w:val="35"/>
          <w:sz w:val="20"/>
        </w:rPr>
        <w:t> </w:t>
      </w:r>
      <w:r>
        <w:rPr>
          <w:sz w:val="20"/>
        </w:rPr>
        <w:t>activities</w:t>
      </w:r>
      <w:r>
        <w:rPr>
          <w:spacing w:val="32"/>
          <w:sz w:val="20"/>
        </w:rPr>
        <w:t> </w:t>
      </w:r>
      <w:r>
        <w:rPr>
          <w:sz w:val="20"/>
        </w:rPr>
        <w:t>anticipated in 2023.</w:t>
      </w:r>
      <w:r>
        <w:rPr>
          <w:spacing w:val="-1"/>
          <w:sz w:val="20"/>
        </w:rPr>
        <w:t> </w:t>
      </w:r>
      <w:r>
        <w:rPr>
          <w:sz w:val="20"/>
        </w:rPr>
        <w:t>Lastly,</w:t>
      </w:r>
      <w:r>
        <w:rPr>
          <w:spacing w:val="-1"/>
          <w:sz w:val="20"/>
        </w:rPr>
        <w:t> </w:t>
      </w:r>
      <w:r>
        <w:rPr>
          <w:sz w:val="20"/>
        </w:rPr>
        <w:t>as</w:t>
      </w:r>
      <w:r>
        <w:rPr>
          <w:spacing w:val="-1"/>
          <w:sz w:val="20"/>
        </w:rPr>
        <w:t> </w:t>
      </w:r>
      <w:r>
        <w:rPr>
          <w:sz w:val="20"/>
        </w:rPr>
        <w:t>per DEO’s priority</w:t>
      </w:r>
      <w:r>
        <w:rPr>
          <w:spacing w:val="-4"/>
          <w:sz w:val="20"/>
        </w:rPr>
        <w:t> </w:t>
      </w:r>
      <w:r>
        <w:rPr>
          <w:sz w:val="20"/>
        </w:rPr>
        <w:t>for 2023, DEO will</w:t>
      </w:r>
      <w:r>
        <w:rPr>
          <w:spacing w:val="-2"/>
          <w:sz w:val="20"/>
        </w:rPr>
        <w:t> </w:t>
      </w:r>
      <w:r>
        <w:rPr>
          <w:sz w:val="20"/>
        </w:rPr>
        <w:t>require</w:t>
      </w:r>
      <w:r>
        <w:rPr>
          <w:spacing w:val="-2"/>
          <w:sz w:val="20"/>
        </w:rPr>
        <w:t> </w:t>
      </w:r>
      <w:r>
        <w:rPr>
          <w:sz w:val="20"/>
        </w:rPr>
        <w:t>limited resources to</w:t>
      </w:r>
      <w:r>
        <w:rPr>
          <w:spacing w:val="-4"/>
          <w:sz w:val="20"/>
        </w:rPr>
        <w:t> </w:t>
      </w:r>
      <w:r>
        <w:rPr>
          <w:sz w:val="20"/>
        </w:rPr>
        <w:t>build up local/regional/international</w:t>
      </w:r>
      <w:r>
        <w:rPr>
          <w:spacing w:val="-3"/>
          <w:sz w:val="20"/>
        </w:rPr>
        <w:t> </w:t>
      </w:r>
      <w:r>
        <w:rPr>
          <w:sz w:val="20"/>
        </w:rPr>
        <w:t>networks</w:t>
      </w:r>
      <w:r>
        <w:rPr>
          <w:spacing w:val="-6"/>
          <w:sz w:val="20"/>
        </w:rPr>
        <w:t> </w:t>
      </w:r>
      <w:r>
        <w:rPr>
          <w:sz w:val="20"/>
        </w:rPr>
        <w:t>to</w:t>
      </w:r>
      <w:r>
        <w:rPr>
          <w:spacing w:val="-5"/>
          <w:sz w:val="20"/>
        </w:rPr>
        <w:t> </w:t>
      </w:r>
      <w:r>
        <w:rPr>
          <w:sz w:val="20"/>
        </w:rPr>
        <w:t>collect</w:t>
      </w:r>
      <w:r>
        <w:rPr>
          <w:spacing w:val="-3"/>
          <w:sz w:val="20"/>
        </w:rPr>
        <w:t> </w:t>
      </w:r>
      <w:r>
        <w:rPr>
          <w:sz w:val="20"/>
        </w:rPr>
        <w:t>information regarding</w:t>
      </w:r>
      <w:r>
        <w:rPr>
          <w:spacing w:val="-5"/>
          <w:sz w:val="20"/>
        </w:rPr>
        <w:t> </w:t>
      </w:r>
      <w:r>
        <w:rPr>
          <w:sz w:val="20"/>
        </w:rPr>
        <w:t>the whereabouts</w:t>
      </w:r>
      <w:r>
        <w:rPr>
          <w:spacing w:val="-6"/>
          <w:sz w:val="20"/>
        </w:rPr>
        <w:t> </w:t>
      </w:r>
      <w:r>
        <w:rPr>
          <w:sz w:val="20"/>
        </w:rPr>
        <w:t>of suspects</w:t>
      </w:r>
      <w:r>
        <w:rPr>
          <w:spacing w:val="-5"/>
          <w:sz w:val="20"/>
        </w:rPr>
        <w:t> </w:t>
      </w:r>
      <w:r>
        <w:rPr>
          <w:sz w:val="20"/>
        </w:rPr>
        <w:t>at</w:t>
      </w:r>
      <w:r>
        <w:rPr>
          <w:spacing w:val="-2"/>
          <w:sz w:val="20"/>
        </w:rPr>
        <w:t> </w:t>
      </w:r>
      <w:r>
        <w:rPr>
          <w:sz w:val="20"/>
        </w:rPr>
        <w:t>large</w:t>
      </w:r>
      <w:r>
        <w:rPr>
          <w:spacing w:val="-2"/>
          <w:sz w:val="20"/>
        </w:rPr>
        <w:t> </w:t>
      </w:r>
      <w:r>
        <w:rPr>
          <w:sz w:val="20"/>
        </w:rPr>
        <w:t>and to</w:t>
      </w:r>
      <w:r>
        <w:rPr>
          <w:spacing w:val="-4"/>
          <w:sz w:val="20"/>
        </w:rPr>
        <w:t> </w:t>
      </w:r>
      <w:r>
        <w:rPr>
          <w:sz w:val="20"/>
        </w:rPr>
        <w:t>develop/implement</w:t>
      </w:r>
      <w:r>
        <w:rPr>
          <w:spacing w:val="-2"/>
          <w:sz w:val="20"/>
        </w:rPr>
        <w:t> </w:t>
      </w:r>
      <w:r>
        <w:rPr>
          <w:sz w:val="20"/>
        </w:rPr>
        <w:t>arrest strategies for the</w:t>
      </w:r>
      <w:r>
        <w:rPr>
          <w:spacing w:val="-2"/>
          <w:sz w:val="20"/>
        </w:rPr>
        <w:t> </w:t>
      </w:r>
      <w:r>
        <w:rPr>
          <w:sz w:val="20"/>
        </w:rPr>
        <w:t>execution</w:t>
      </w:r>
      <w:r>
        <w:rPr>
          <w:spacing w:val="-4"/>
          <w:sz w:val="20"/>
        </w:rPr>
        <w:t> </w:t>
      </w:r>
      <w:r>
        <w:rPr>
          <w:sz w:val="20"/>
        </w:rPr>
        <w:t>of outstanding warrants of arrest.</w:t>
      </w:r>
    </w:p>
    <w:p>
      <w:pPr>
        <w:pStyle w:val="BodyText"/>
        <w:spacing w:before="10"/>
      </w:pPr>
    </w:p>
    <w:p>
      <w:pPr>
        <w:pStyle w:val="Heading3"/>
        <w:tabs>
          <w:tab w:pos="7975" w:val="left" w:leader="none"/>
        </w:tabs>
        <w:jc w:val="both"/>
      </w:pPr>
      <w:r>
        <w:rPr/>
        <w:t>Staff</w:t>
      </w:r>
      <w:r>
        <w:rPr>
          <w:spacing w:val="-2"/>
        </w:rPr>
        <w:t> resources</w:t>
      </w:r>
      <w:r>
        <w:rPr/>
        <w:tab/>
        <w:t>€17,846.3</w:t>
      </w:r>
      <w:r>
        <w:rPr>
          <w:spacing w:val="-6"/>
        </w:rPr>
        <w:t> </w:t>
      </w:r>
      <w:r>
        <w:rPr>
          <w:spacing w:val="-2"/>
        </w:rPr>
        <w:t>thousand</w:t>
      </w:r>
    </w:p>
    <w:p>
      <w:pPr>
        <w:pStyle w:val="BodyText"/>
        <w:spacing w:before="6"/>
        <w:rPr>
          <w:b/>
        </w:rPr>
      </w:pPr>
    </w:p>
    <w:p>
      <w:pPr>
        <w:pStyle w:val="ListParagraph"/>
        <w:numPr>
          <w:ilvl w:val="0"/>
          <w:numId w:val="4"/>
        </w:numPr>
        <w:tabs>
          <w:tab w:pos="2967" w:val="left" w:leader="none"/>
        </w:tabs>
        <w:spacing w:line="240" w:lineRule="auto" w:before="0" w:after="0"/>
        <w:ind w:left="2246" w:right="2237" w:firstLine="0"/>
        <w:jc w:val="both"/>
        <w:rPr>
          <w:sz w:val="20"/>
        </w:rPr>
      </w:pPr>
      <w:r>
        <w:rPr>
          <w:sz w:val="20"/>
        </w:rPr>
        <w:t>Proposed</w:t>
      </w:r>
      <w:r>
        <w:rPr>
          <w:spacing w:val="40"/>
          <w:sz w:val="20"/>
        </w:rPr>
        <w:t> </w:t>
      </w:r>
      <w:r>
        <w:rPr>
          <w:sz w:val="20"/>
        </w:rPr>
        <w:t>staff</w:t>
      </w:r>
      <w:r>
        <w:rPr>
          <w:spacing w:val="40"/>
          <w:sz w:val="20"/>
        </w:rPr>
        <w:t> </w:t>
      </w:r>
      <w:r>
        <w:rPr>
          <w:sz w:val="20"/>
        </w:rPr>
        <w:t>resources</w:t>
      </w:r>
      <w:r>
        <w:rPr>
          <w:spacing w:val="40"/>
          <w:sz w:val="20"/>
        </w:rPr>
        <w:t> </w:t>
      </w:r>
      <w:r>
        <w:rPr>
          <w:sz w:val="20"/>
        </w:rPr>
        <w:t>for</w:t>
      </w:r>
      <w:r>
        <w:rPr>
          <w:spacing w:val="40"/>
          <w:sz w:val="20"/>
        </w:rPr>
        <w:t> </w:t>
      </w:r>
      <w:r>
        <w:rPr>
          <w:sz w:val="20"/>
        </w:rPr>
        <w:t>DEO</w:t>
      </w:r>
      <w:r>
        <w:rPr>
          <w:spacing w:val="40"/>
          <w:sz w:val="20"/>
        </w:rPr>
        <w:t> </w:t>
      </w:r>
      <w:r>
        <w:rPr>
          <w:sz w:val="20"/>
        </w:rPr>
        <w:t>represent</w:t>
      </w:r>
      <w:r>
        <w:rPr>
          <w:spacing w:val="40"/>
          <w:sz w:val="20"/>
        </w:rPr>
        <w:t> </w:t>
      </w:r>
      <w:r>
        <w:rPr>
          <w:sz w:val="20"/>
        </w:rPr>
        <w:t>an</w:t>
      </w:r>
      <w:r>
        <w:rPr>
          <w:spacing w:val="40"/>
          <w:sz w:val="20"/>
        </w:rPr>
        <w:t> </w:t>
      </w:r>
      <w:r>
        <w:rPr>
          <w:sz w:val="20"/>
        </w:rPr>
        <w:t>increase</w:t>
      </w:r>
      <w:r>
        <w:rPr>
          <w:spacing w:val="40"/>
          <w:sz w:val="20"/>
        </w:rPr>
        <w:t> </w:t>
      </w:r>
      <w:r>
        <w:rPr>
          <w:sz w:val="20"/>
        </w:rPr>
        <w:t>of</w:t>
      </w:r>
      <w:r>
        <w:rPr>
          <w:spacing w:val="40"/>
          <w:sz w:val="20"/>
        </w:rPr>
        <w:t> </w:t>
      </w:r>
      <w:r>
        <w:rPr>
          <w:sz w:val="20"/>
        </w:rPr>
        <w:t>€1,567.3</w:t>
      </w:r>
      <w:r>
        <w:rPr>
          <w:spacing w:val="40"/>
          <w:sz w:val="20"/>
        </w:rPr>
        <w:t> </w:t>
      </w:r>
      <w:r>
        <w:rPr>
          <w:sz w:val="20"/>
        </w:rPr>
        <w:t>thousand (9.6</w:t>
      </w:r>
      <w:r>
        <w:rPr>
          <w:spacing w:val="-2"/>
          <w:sz w:val="20"/>
        </w:rPr>
        <w:t> </w:t>
      </w:r>
      <w:r>
        <w:rPr>
          <w:sz w:val="20"/>
        </w:rPr>
        <w:t>per cent) as compared with the 2022 approved budget. Following diligent budget preparation, the requested increase under established posts has been largely offset by the abolishment</w:t>
      </w:r>
      <w:r>
        <w:rPr>
          <w:spacing w:val="-5"/>
          <w:sz w:val="20"/>
        </w:rPr>
        <w:t> </w:t>
      </w:r>
      <w:r>
        <w:rPr>
          <w:sz w:val="20"/>
        </w:rPr>
        <w:t>of</w:t>
      </w:r>
      <w:r>
        <w:rPr>
          <w:spacing w:val="-2"/>
          <w:sz w:val="20"/>
        </w:rPr>
        <w:t> </w:t>
      </w:r>
      <w:r>
        <w:rPr>
          <w:sz w:val="20"/>
        </w:rPr>
        <w:t>10</w:t>
      </w:r>
      <w:r>
        <w:rPr>
          <w:spacing w:val="-6"/>
          <w:sz w:val="20"/>
        </w:rPr>
        <w:t> </w:t>
      </w:r>
      <w:r>
        <w:rPr>
          <w:sz w:val="20"/>
        </w:rPr>
        <w:t>positions</w:t>
      </w:r>
      <w:r>
        <w:rPr>
          <w:spacing w:val="-8"/>
          <w:sz w:val="20"/>
        </w:rPr>
        <w:t> </w:t>
      </w:r>
      <w:r>
        <w:rPr>
          <w:sz w:val="20"/>
        </w:rPr>
        <w:t>and</w:t>
      </w:r>
      <w:r>
        <w:rPr>
          <w:spacing w:val="-6"/>
          <w:sz w:val="20"/>
        </w:rPr>
        <w:t> </w:t>
      </w:r>
      <w:r>
        <w:rPr>
          <w:sz w:val="20"/>
        </w:rPr>
        <w:t>the defunding</w:t>
      </w:r>
      <w:r>
        <w:rPr>
          <w:spacing w:val="-2"/>
          <w:sz w:val="20"/>
        </w:rPr>
        <w:t> </w:t>
      </w:r>
      <w:r>
        <w:rPr>
          <w:sz w:val="20"/>
        </w:rPr>
        <w:t>of</w:t>
      </w:r>
      <w:r>
        <w:rPr>
          <w:spacing w:val="-6"/>
          <w:sz w:val="20"/>
        </w:rPr>
        <w:t> </w:t>
      </w:r>
      <w:r>
        <w:rPr>
          <w:sz w:val="20"/>
        </w:rPr>
        <w:t>three</w:t>
      </w:r>
      <w:r>
        <w:rPr>
          <w:spacing w:val="-5"/>
          <w:sz w:val="20"/>
        </w:rPr>
        <w:t> </w:t>
      </w:r>
      <w:r>
        <w:rPr>
          <w:sz w:val="20"/>
        </w:rPr>
        <w:t>posts</w:t>
      </w:r>
      <w:r>
        <w:rPr>
          <w:spacing w:val="-8"/>
          <w:sz w:val="20"/>
        </w:rPr>
        <w:t> </w:t>
      </w:r>
      <w:r>
        <w:rPr>
          <w:sz w:val="20"/>
        </w:rPr>
        <w:t>(in</w:t>
      </w:r>
      <w:r>
        <w:rPr>
          <w:spacing w:val="-2"/>
          <w:sz w:val="20"/>
        </w:rPr>
        <w:t> </w:t>
      </w:r>
      <w:r>
        <w:rPr>
          <w:sz w:val="20"/>
        </w:rPr>
        <w:t>addition</w:t>
      </w:r>
      <w:r>
        <w:rPr>
          <w:spacing w:val="-6"/>
          <w:sz w:val="20"/>
        </w:rPr>
        <w:t> </w:t>
      </w:r>
      <w:r>
        <w:rPr>
          <w:sz w:val="20"/>
        </w:rPr>
        <w:t>to</w:t>
      </w:r>
      <w:r>
        <w:rPr>
          <w:spacing w:val="-6"/>
          <w:sz w:val="20"/>
        </w:rPr>
        <w:t> </w:t>
      </w:r>
      <w:r>
        <w:rPr>
          <w:sz w:val="20"/>
        </w:rPr>
        <w:t>the posts</w:t>
      </w:r>
      <w:r>
        <w:rPr>
          <w:spacing w:val="-8"/>
          <w:sz w:val="20"/>
        </w:rPr>
        <w:t> </w:t>
      </w:r>
      <w:r>
        <w:rPr>
          <w:sz w:val="20"/>
        </w:rPr>
        <w:t>already defunded</w:t>
      </w:r>
      <w:r>
        <w:rPr>
          <w:spacing w:val="-13"/>
          <w:sz w:val="20"/>
        </w:rPr>
        <w:t> </w:t>
      </w:r>
      <w:r>
        <w:rPr>
          <w:sz w:val="20"/>
        </w:rPr>
        <w:t>for</w:t>
      </w:r>
      <w:r>
        <w:rPr>
          <w:spacing w:val="-8"/>
          <w:sz w:val="20"/>
        </w:rPr>
        <w:t> </w:t>
      </w:r>
      <w:r>
        <w:rPr>
          <w:sz w:val="20"/>
        </w:rPr>
        <w:t>2022)</w:t>
      </w:r>
      <w:r>
        <w:rPr>
          <w:spacing w:val="-13"/>
          <w:sz w:val="20"/>
        </w:rPr>
        <w:t> </w:t>
      </w:r>
      <w:r>
        <w:rPr>
          <w:sz w:val="20"/>
        </w:rPr>
        <w:t>located</w:t>
      </w:r>
      <w:r>
        <w:rPr>
          <w:spacing w:val="-12"/>
          <w:sz w:val="20"/>
        </w:rPr>
        <w:t> </w:t>
      </w:r>
      <w:r>
        <w:rPr>
          <w:sz w:val="20"/>
        </w:rPr>
        <w:t>in</w:t>
      </w:r>
      <w:r>
        <w:rPr>
          <w:spacing w:val="-13"/>
          <w:sz w:val="20"/>
        </w:rPr>
        <w:t> </w:t>
      </w:r>
      <w:r>
        <w:rPr>
          <w:sz w:val="20"/>
        </w:rPr>
        <w:t>the</w:t>
      </w:r>
      <w:r>
        <w:rPr>
          <w:spacing w:val="-11"/>
          <w:sz w:val="20"/>
        </w:rPr>
        <w:t> </w:t>
      </w:r>
      <w:r>
        <w:rPr>
          <w:sz w:val="20"/>
        </w:rPr>
        <w:t>DRC,</w:t>
      </w:r>
      <w:r>
        <w:rPr>
          <w:spacing w:val="-12"/>
          <w:sz w:val="20"/>
        </w:rPr>
        <w:t> </w:t>
      </w:r>
      <w:r>
        <w:rPr>
          <w:sz w:val="20"/>
        </w:rPr>
        <w:t>Uganda,</w:t>
      </w:r>
      <w:r>
        <w:rPr>
          <w:spacing w:val="-4"/>
          <w:sz w:val="20"/>
        </w:rPr>
        <w:t> </w:t>
      </w:r>
      <w:r>
        <w:rPr>
          <w:sz w:val="20"/>
        </w:rPr>
        <w:t>Côte</w:t>
      </w:r>
      <w:r>
        <w:rPr>
          <w:spacing w:val="-12"/>
          <w:sz w:val="20"/>
        </w:rPr>
        <w:t> </w:t>
      </w:r>
      <w:r>
        <w:rPr>
          <w:sz w:val="20"/>
        </w:rPr>
        <w:t>d’Ivoire,</w:t>
      </w:r>
      <w:r>
        <w:rPr>
          <w:spacing w:val="-7"/>
          <w:sz w:val="20"/>
        </w:rPr>
        <w:t> </w:t>
      </w:r>
      <w:r>
        <w:rPr>
          <w:sz w:val="20"/>
        </w:rPr>
        <w:t>Mali</w:t>
      </w:r>
      <w:r>
        <w:rPr>
          <w:spacing w:val="-13"/>
          <w:sz w:val="20"/>
        </w:rPr>
        <w:t> </w:t>
      </w:r>
      <w:r>
        <w:rPr>
          <w:sz w:val="20"/>
        </w:rPr>
        <w:t>and</w:t>
      </w:r>
      <w:r>
        <w:rPr>
          <w:spacing w:val="-8"/>
          <w:sz w:val="20"/>
        </w:rPr>
        <w:t> </w:t>
      </w:r>
      <w:r>
        <w:rPr>
          <w:sz w:val="20"/>
        </w:rPr>
        <w:t>Georgia,</w:t>
      </w:r>
      <w:r>
        <w:rPr>
          <w:spacing w:val="-7"/>
          <w:sz w:val="20"/>
        </w:rPr>
        <w:t> </w:t>
      </w:r>
      <w:r>
        <w:rPr>
          <w:sz w:val="20"/>
        </w:rPr>
        <w:t>as</w:t>
      </w:r>
      <w:r>
        <w:rPr>
          <w:spacing w:val="-13"/>
          <w:sz w:val="20"/>
        </w:rPr>
        <w:t> </w:t>
      </w:r>
      <w:r>
        <w:rPr>
          <w:sz w:val="20"/>
        </w:rPr>
        <w:t>detailed below, and the implementation of</w:t>
      </w:r>
      <w:r>
        <w:rPr>
          <w:spacing w:val="-4"/>
          <w:sz w:val="20"/>
        </w:rPr>
        <w:t> </w:t>
      </w:r>
      <w:r>
        <w:rPr>
          <w:sz w:val="20"/>
        </w:rPr>
        <w:t>measures to identify further efficiencies and savings. The increase</w:t>
      </w:r>
      <w:r>
        <w:rPr>
          <w:spacing w:val="78"/>
          <w:sz w:val="20"/>
        </w:rPr>
        <w:t> </w:t>
      </w:r>
      <w:r>
        <w:rPr>
          <w:sz w:val="20"/>
        </w:rPr>
        <w:t>results</w:t>
      </w:r>
      <w:r>
        <w:rPr>
          <w:spacing w:val="75"/>
          <w:sz w:val="20"/>
        </w:rPr>
        <w:t> </w:t>
      </w:r>
      <w:r>
        <w:rPr>
          <w:sz w:val="20"/>
        </w:rPr>
        <w:t>from</w:t>
      </w:r>
      <w:r>
        <w:rPr>
          <w:spacing w:val="74"/>
          <w:sz w:val="20"/>
        </w:rPr>
        <w:t> </w:t>
      </w:r>
      <w:r>
        <w:rPr>
          <w:sz w:val="20"/>
        </w:rPr>
        <w:t>adjustments</w:t>
      </w:r>
      <w:r>
        <w:rPr>
          <w:spacing w:val="75"/>
          <w:sz w:val="20"/>
        </w:rPr>
        <w:t> </w:t>
      </w:r>
      <w:r>
        <w:rPr>
          <w:sz w:val="20"/>
        </w:rPr>
        <w:t>to</w:t>
      </w:r>
      <w:r>
        <w:rPr>
          <w:spacing w:val="72"/>
          <w:sz w:val="20"/>
        </w:rPr>
        <w:t> </w:t>
      </w:r>
      <w:r>
        <w:rPr>
          <w:sz w:val="20"/>
        </w:rPr>
        <w:t>the</w:t>
      </w:r>
      <w:r>
        <w:rPr>
          <w:spacing w:val="74"/>
          <w:sz w:val="20"/>
        </w:rPr>
        <w:t> </w:t>
      </w:r>
      <w:r>
        <w:rPr>
          <w:sz w:val="20"/>
        </w:rPr>
        <w:t>UNCS</w:t>
      </w:r>
      <w:r>
        <w:rPr>
          <w:spacing w:val="75"/>
          <w:sz w:val="20"/>
        </w:rPr>
        <w:t> </w:t>
      </w:r>
      <w:r>
        <w:rPr>
          <w:sz w:val="20"/>
        </w:rPr>
        <w:t>(€981.7 thousand)</w:t>
      </w:r>
      <w:r>
        <w:rPr>
          <w:spacing w:val="72"/>
          <w:sz w:val="20"/>
        </w:rPr>
        <w:t> </w:t>
      </w:r>
      <w:r>
        <w:rPr>
          <w:sz w:val="20"/>
        </w:rPr>
        <w:t>and</w:t>
      </w:r>
      <w:r>
        <w:rPr>
          <w:spacing w:val="72"/>
          <w:sz w:val="20"/>
        </w:rPr>
        <w:t> </w:t>
      </w:r>
      <w:r>
        <w:rPr>
          <w:sz w:val="20"/>
        </w:rPr>
        <w:t>the</w:t>
      </w:r>
      <w:r>
        <w:rPr>
          <w:spacing w:val="74"/>
          <w:sz w:val="20"/>
        </w:rPr>
        <w:t> </w:t>
      </w:r>
      <w:r>
        <w:rPr>
          <w:sz w:val="20"/>
        </w:rPr>
        <w:t>requests for (1)</w:t>
      </w:r>
      <w:r>
        <w:rPr>
          <w:spacing w:val="-8"/>
          <w:sz w:val="20"/>
        </w:rPr>
        <w:t> </w:t>
      </w:r>
      <w:r>
        <w:rPr>
          <w:sz w:val="20"/>
        </w:rPr>
        <w:t>eight new positions under general temporary assistance to support the OTP’s investigation and to ensure the security and welfare of the witnesses and victims in the situation in Ukraine, (2) five new positions under general temporary assistance in Sudan to facilitate</w:t>
      </w:r>
      <w:r>
        <w:rPr>
          <w:spacing w:val="-2"/>
          <w:sz w:val="20"/>
        </w:rPr>
        <w:t> </w:t>
      </w:r>
      <w:r>
        <w:rPr>
          <w:sz w:val="20"/>
        </w:rPr>
        <w:t>the </w:t>
      </w:r>
      <w:r>
        <w:rPr>
          <w:i/>
          <w:sz w:val="20"/>
        </w:rPr>
        <w:t>Abd-Al-Rahman</w:t>
      </w:r>
      <w:r>
        <w:rPr>
          <w:i/>
          <w:spacing w:val="-3"/>
          <w:sz w:val="20"/>
        </w:rPr>
        <w:t> </w:t>
      </w:r>
      <w:r>
        <w:rPr>
          <w:sz w:val="20"/>
        </w:rPr>
        <w:t>trial</w:t>
      </w:r>
      <w:r>
        <w:rPr>
          <w:spacing w:val="-2"/>
          <w:sz w:val="20"/>
        </w:rPr>
        <w:t> </w:t>
      </w:r>
      <w:r>
        <w:rPr>
          <w:sz w:val="20"/>
        </w:rPr>
        <w:t>and</w:t>
      </w:r>
      <w:r>
        <w:rPr>
          <w:spacing w:val="-4"/>
          <w:sz w:val="20"/>
        </w:rPr>
        <w:t> </w:t>
      </w:r>
      <w:r>
        <w:rPr>
          <w:sz w:val="20"/>
        </w:rPr>
        <w:t>to provide support</w:t>
      </w:r>
      <w:r>
        <w:rPr>
          <w:spacing w:val="-2"/>
          <w:sz w:val="20"/>
        </w:rPr>
        <w:t> </w:t>
      </w:r>
      <w:r>
        <w:rPr>
          <w:sz w:val="20"/>
        </w:rPr>
        <w:t>to the witnesses</w:t>
      </w:r>
      <w:r>
        <w:rPr>
          <w:spacing w:val="-5"/>
          <w:sz w:val="20"/>
        </w:rPr>
        <w:t> </w:t>
      </w:r>
      <w:r>
        <w:rPr>
          <w:sz w:val="20"/>
        </w:rPr>
        <w:t>and</w:t>
      </w:r>
      <w:r>
        <w:rPr>
          <w:spacing w:val="-4"/>
          <w:sz w:val="20"/>
        </w:rPr>
        <w:t> </w:t>
      </w:r>
      <w:r>
        <w:rPr>
          <w:sz w:val="20"/>
        </w:rPr>
        <w:t>victims</w:t>
      </w:r>
      <w:r>
        <w:rPr>
          <w:spacing w:val="-5"/>
          <w:sz w:val="20"/>
        </w:rPr>
        <w:t> </w:t>
      </w:r>
      <w:r>
        <w:rPr>
          <w:sz w:val="20"/>
        </w:rPr>
        <w:t>in</w:t>
      </w:r>
      <w:r>
        <w:rPr>
          <w:spacing w:val="-4"/>
          <w:sz w:val="20"/>
        </w:rPr>
        <w:t> </w:t>
      </w:r>
      <w:r>
        <w:rPr>
          <w:sz w:val="20"/>
        </w:rPr>
        <w:t>the situation in Darfur, (3) one established post in VWS to be funded again to provide psychological/welfare</w:t>
      </w:r>
      <w:r>
        <w:rPr>
          <w:spacing w:val="-9"/>
          <w:sz w:val="20"/>
        </w:rPr>
        <w:t> </w:t>
      </w:r>
      <w:r>
        <w:rPr>
          <w:sz w:val="20"/>
        </w:rPr>
        <w:t>support</w:t>
      </w:r>
      <w:r>
        <w:rPr>
          <w:spacing w:val="-13"/>
          <w:sz w:val="20"/>
        </w:rPr>
        <w:t> </w:t>
      </w:r>
      <w:r>
        <w:rPr>
          <w:sz w:val="20"/>
        </w:rPr>
        <w:t>to</w:t>
      </w:r>
      <w:r>
        <w:rPr>
          <w:spacing w:val="-9"/>
          <w:sz w:val="20"/>
        </w:rPr>
        <w:t> </w:t>
      </w:r>
      <w:r>
        <w:rPr>
          <w:sz w:val="20"/>
        </w:rPr>
        <w:t>witnesses</w:t>
      </w:r>
      <w:r>
        <w:rPr>
          <w:spacing w:val="-11"/>
          <w:sz w:val="20"/>
        </w:rPr>
        <w:t> </w:t>
      </w:r>
      <w:r>
        <w:rPr>
          <w:sz w:val="20"/>
        </w:rPr>
        <w:t>during</w:t>
      </w:r>
      <w:r>
        <w:rPr>
          <w:spacing w:val="-9"/>
          <w:sz w:val="20"/>
        </w:rPr>
        <w:t> </w:t>
      </w:r>
      <w:r>
        <w:rPr>
          <w:sz w:val="20"/>
        </w:rPr>
        <w:t>the</w:t>
      </w:r>
      <w:r>
        <w:rPr>
          <w:spacing w:val="-8"/>
          <w:sz w:val="20"/>
        </w:rPr>
        <w:t> </w:t>
      </w:r>
      <w:r>
        <w:rPr>
          <w:sz w:val="20"/>
        </w:rPr>
        <w:t>simultaneous</w:t>
      </w:r>
      <w:r>
        <w:rPr>
          <w:spacing w:val="-11"/>
          <w:sz w:val="20"/>
        </w:rPr>
        <w:t> </w:t>
      </w:r>
      <w:r>
        <w:rPr>
          <w:sz w:val="20"/>
        </w:rPr>
        <w:t>trials</w:t>
      </w:r>
      <w:r>
        <w:rPr>
          <w:spacing w:val="-11"/>
          <w:sz w:val="20"/>
        </w:rPr>
        <w:t> </w:t>
      </w:r>
      <w:r>
        <w:rPr>
          <w:sz w:val="20"/>
        </w:rPr>
        <w:t>in</w:t>
      </w:r>
      <w:r>
        <w:rPr>
          <w:spacing w:val="-13"/>
          <w:sz w:val="20"/>
        </w:rPr>
        <w:t> </w:t>
      </w:r>
      <w:r>
        <w:rPr>
          <w:sz w:val="20"/>
        </w:rPr>
        <w:t>the</w:t>
      </w:r>
      <w:r>
        <w:rPr>
          <w:spacing w:val="-1"/>
          <w:sz w:val="20"/>
        </w:rPr>
        <w:t> </w:t>
      </w:r>
      <w:r>
        <w:rPr>
          <w:i/>
          <w:sz w:val="20"/>
        </w:rPr>
        <w:t>Yekatom</w:t>
      </w:r>
      <w:r>
        <w:rPr>
          <w:i/>
          <w:spacing w:val="-11"/>
          <w:sz w:val="20"/>
        </w:rPr>
        <w:t> </w:t>
      </w:r>
      <w:r>
        <w:rPr>
          <w:i/>
          <w:sz w:val="20"/>
        </w:rPr>
        <w:t>and</w:t>
      </w:r>
      <w:r>
        <w:rPr>
          <w:i/>
          <w:sz w:val="20"/>
        </w:rPr>
        <w:t> Ngaïssona </w:t>
      </w:r>
      <w:r>
        <w:rPr>
          <w:sz w:val="20"/>
        </w:rPr>
        <w:t>case, the </w:t>
      </w:r>
      <w:r>
        <w:rPr>
          <w:i/>
          <w:sz w:val="20"/>
        </w:rPr>
        <w:t>Abd-Al-Rahman </w:t>
      </w:r>
      <w:r>
        <w:rPr>
          <w:sz w:val="20"/>
        </w:rPr>
        <w:t>case and the </w:t>
      </w:r>
      <w:r>
        <w:rPr>
          <w:i/>
          <w:sz w:val="20"/>
        </w:rPr>
        <w:t>Said </w:t>
      </w:r>
      <w:r>
        <w:rPr>
          <w:sz w:val="20"/>
        </w:rPr>
        <w:t>case at Headquarters, (4) two new positions under general temporary assistance in PIOS</w:t>
      </w:r>
      <w:r>
        <w:rPr>
          <w:spacing w:val="-1"/>
          <w:sz w:val="20"/>
        </w:rPr>
        <w:t> </w:t>
      </w:r>
      <w:r>
        <w:rPr>
          <w:sz w:val="20"/>
        </w:rPr>
        <w:t>to support the audiovisual production for the aforementioned simultaneous trials as well as the pre-trial activities in the </w:t>
      </w:r>
      <w:r>
        <w:rPr>
          <w:i/>
          <w:sz w:val="20"/>
        </w:rPr>
        <w:t>Mokom</w:t>
      </w:r>
      <w:r>
        <w:rPr>
          <w:i/>
          <w:sz w:val="20"/>
        </w:rPr>
        <w:t> </w:t>
      </w:r>
      <w:r>
        <w:rPr>
          <w:sz w:val="20"/>
        </w:rPr>
        <w:t>case, and (5) one new established post in OD-DEO to enhance the capacity of the office to manage</w:t>
      </w:r>
      <w:r>
        <w:rPr>
          <w:spacing w:val="-13"/>
          <w:sz w:val="20"/>
        </w:rPr>
        <w:t> </w:t>
      </w:r>
      <w:r>
        <w:rPr>
          <w:sz w:val="20"/>
        </w:rPr>
        <w:t>the</w:t>
      </w:r>
      <w:r>
        <w:rPr>
          <w:spacing w:val="-12"/>
          <w:sz w:val="20"/>
        </w:rPr>
        <w:t> </w:t>
      </w:r>
      <w:r>
        <w:rPr>
          <w:sz w:val="20"/>
        </w:rPr>
        <w:t>increasing</w:t>
      </w:r>
      <w:r>
        <w:rPr>
          <w:spacing w:val="-13"/>
          <w:sz w:val="20"/>
        </w:rPr>
        <w:t> </w:t>
      </w:r>
      <w:r>
        <w:rPr>
          <w:sz w:val="20"/>
        </w:rPr>
        <w:t>number</w:t>
      </w:r>
      <w:r>
        <w:rPr>
          <w:spacing w:val="-12"/>
          <w:sz w:val="20"/>
        </w:rPr>
        <w:t> </w:t>
      </w:r>
      <w:r>
        <w:rPr>
          <w:sz w:val="20"/>
        </w:rPr>
        <w:t>of</w:t>
      </w:r>
      <w:r>
        <w:rPr>
          <w:spacing w:val="-13"/>
          <w:sz w:val="20"/>
        </w:rPr>
        <w:t> </w:t>
      </w:r>
      <w:r>
        <w:rPr>
          <w:sz w:val="20"/>
        </w:rPr>
        <w:t>country</w:t>
      </w:r>
      <w:r>
        <w:rPr>
          <w:spacing w:val="-12"/>
          <w:sz w:val="20"/>
        </w:rPr>
        <w:t> </w:t>
      </w:r>
      <w:r>
        <w:rPr>
          <w:sz w:val="20"/>
        </w:rPr>
        <w:t>offices</w:t>
      </w:r>
      <w:r>
        <w:rPr>
          <w:spacing w:val="-13"/>
          <w:sz w:val="20"/>
        </w:rPr>
        <w:t> </w:t>
      </w:r>
      <w:r>
        <w:rPr>
          <w:sz w:val="20"/>
        </w:rPr>
        <w:t>and</w:t>
      </w:r>
      <w:r>
        <w:rPr>
          <w:spacing w:val="-12"/>
          <w:sz w:val="20"/>
        </w:rPr>
        <w:t> </w:t>
      </w:r>
      <w:r>
        <w:rPr>
          <w:sz w:val="20"/>
        </w:rPr>
        <w:t>field</w:t>
      </w:r>
      <w:r>
        <w:rPr>
          <w:spacing w:val="-13"/>
          <w:sz w:val="20"/>
        </w:rPr>
        <w:t> </w:t>
      </w:r>
      <w:r>
        <w:rPr>
          <w:sz w:val="20"/>
        </w:rPr>
        <w:t>operations.</w:t>
      </w:r>
      <w:r>
        <w:rPr>
          <w:spacing w:val="-12"/>
          <w:sz w:val="20"/>
        </w:rPr>
        <w:t> </w:t>
      </w:r>
      <w:r>
        <w:rPr>
          <w:sz w:val="20"/>
        </w:rPr>
        <w:t>The</w:t>
      </w:r>
      <w:r>
        <w:rPr>
          <w:spacing w:val="-8"/>
          <w:sz w:val="20"/>
        </w:rPr>
        <w:t> </w:t>
      </w:r>
      <w:r>
        <w:rPr>
          <w:sz w:val="20"/>
        </w:rPr>
        <w:t>requested</w:t>
      </w:r>
      <w:r>
        <w:rPr>
          <w:spacing w:val="-13"/>
          <w:sz w:val="20"/>
        </w:rPr>
        <w:t> </w:t>
      </w:r>
      <w:r>
        <w:rPr>
          <w:sz w:val="20"/>
        </w:rPr>
        <w:t>increase is driven mainly by the need to provide support to the OTP investigation in the situation in Ukraine as well as to the witnesses and victims in that situation as a result of that investigation, and the simultaneous trial activities in the </w:t>
      </w:r>
      <w:r>
        <w:rPr>
          <w:i/>
          <w:sz w:val="20"/>
        </w:rPr>
        <w:t>Yekatom and Ngaïssona </w:t>
      </w:r>
      <w:r>
        <w:rPr>
          <w:sz w:val="20"/>
        </w:rPr>
        <w:t>case, the </w:t>
      </w:r>
      <w:r>
        <w:rPr>
          <w:i/>
          <w:sz w:val="20"/>
        </w:rPr>
        <w:t>Abd-Al-Rahman </w:t>
      </w:r>
      <w:r>
        <w:rPr>
          <w:sz w:val="20"/>
        </w:rPr>
        <w:t>case and the </w:t>
      </w:r>
      <w:r>
        <w:rPr>
          <w:i/>
          <w:sz w:val="20"/>
        </w:rPr>
        <w:t>Said </w:t>
      </w:r>
      <w:r>
        <w:rPr>
          <w:sz w:val="20"/>
        </w:rPr>
        <w:t>case as well</w:t>
      </w:r>
      <w:r>
        <w:rPr>
          <w:spacing w:val="-3"/>
          <w:sz w:val="20"/>
        </w:rPr>
        <w:t> </w:t>
      </w:r>
      <w:r>
        <w:rPr>
          <w:sz w:val="20"/>
        </w:rPr>
        <w:t>as the pre-trial activities</w:t>
      </w:r>
      <w:r>
        <w:rPr>
          <w:spacing w:val="-1"/>
          <w:sz w:val="20"/>
        </w:rPr>
        <w:t> </w:t>
      </w:r>
      <w:r>
        <w:rPr>
          <w:sz w:val="20"/>
        </w:rPr>
        <w:t>in the </w:t>
      </w:r>
      <w:r>
        <w:rPr>
          <w:i/>
          <w:sz w:val="20"/>
        </w:rPr>
        <w:t>Mokom </w:t>
      </w:r>
      <w:r>
        <w:rPr>
          <w:sz w:val="20"/>
        </w:rPr>
        <w:t>case.</w:t>
      </w:r>
    </w:p>
    <w:p>
      <w:pPr>
        <w:spacing w:after="0" w:line="240" w:lineRule="auto"/>
        <w:jc w:val="both"/>
        <w:rPr>
          <w:sz w:val="20"/>
        </w:rPr>
        <w:sectPr>
          <w:headerReference w:type="even" r:id="rId95"/>
          <w:headerReference w:type="default" r:id="rId96"/>
          <w:footerReference w:type="even" r:id="rId97"/>
          <w:footerReference w:type="default" r:id="rId98"/>
          <w:pgSz w:w="11910" w:h="16840"/>
          <w:pgMar w:header="953" w:footer="940" w:top="1140" w:bottom="1140" w:left="20" w:right="20"/>
          <w:pgNumType w:start="132"/>
        </w:sectPr>
      </w:pPr>
    </w:p>
    <w:p>
      <w:pPr>
        <w:pStyle w:val="ListParagraph"/>
        <w:numPr>
          <w:ilvl w:val="0"/>
          <w:numId w:val="4"/>
        </w:numPr>
        <w:tabs>
          <w:tab w:pos="2967" w:val="left" w:leader="none"/>
        </w:tabs>
        <w:spacing w:line="240" w:lineRule="auto" w:before="120" w:after="0"/>
        <w:ind w:left="2246" w:right="2236" w:firstLine="0"/>
        <w:jc w:val="both"/>
        <w:rPr>
          <w:sz w:val="20"/>
        </w:rPr>
      </w:pPr>
      <w:r>
        <w:rPr>
          <w:sz w:val="20"/>
        </w:rPr>
        <w:t>In</w:t>
      </w:r>
      <w:r>
        <w:rPr>
          <w:spacing w:val="-10"/>
          <w:sz w:val="20"/>
        </w:rPr>
        <w:t> </w:t>
      </w:r>
      <w:r>
        <w:rPr>
          <w:sz w:val="20"/>
        </w:rPr>
        <w:t>the</w:t>
      </w:r>
      <w:r>
        <w:rPr>
          <w:spacing w:val="-11"/>
          <w:sz w:val="20"/>
        </w:rPr>
        <w:t> </w:t>
      </w:r>
      <w:r>
        <w:rPr>
          <w:sz w:val="20"/>
        </w:rPr>
        <w:t>context</w:t>
      </w:r>
      <w:r>
        <w:rPr>
          <w:spacing w:val="-7"/>
          <w:sz w:val="20"/>
        </w:rPr>
        <w:t> </w:t>
      </w:r>
      <w:r>
        <w:rPr>
          <w:sz w:val="20"/>
        </w:rPr>
        <w:t>of</w:t>
      </w:r>
      <w:r>
        <w:rPr>
          <w:spacing w:val="-13"/>
          <w:sz w:val="20"/>
        </w:rPr>
        <w:t> </w:t>
      </w:r>
      <w:r>
        <w:rPr>
          <w:sz w:val="20"/>
        </w:rPr>
        <w:t>the</w:t>
      </w:r>
      <w:r>
        <w:rPr>
          <w:spacing w:val="-7"/>
          <w:sz w:val="20"/>
        </w:rPr>
        <w:t> </w:t>
      </w:r>
      <w:r>
        <w:rPr>
          <w:sz w:val="20"/>
        </w:rPr>
        <w:t>situation</w:t>
      </w:r>
      <w:r>
        <w:rPr>
          <w:spacing w:val="-8"/>
          <w:sz w:val="20"/>
        </w:rPr>
        <w:t> </w:t>
      </w:r>
      <w:r>
        <w:rPr>
          <w:sz w:val="20"/>
        </w:rPr>
        <w:t>in</w:t>
      </w:r>
      <w:r>
        <w:rPr>
          <w:spacing w:val="-5"/>
          <w:sz w:val="20"/>
        </w:rPr>
        <w:t> </w:t>
      </w:r>
      <w:r>
        <w:rPr>
          <w:sz w:val="20"/>
        </w:rPr>
        <w:t>Ukraine,</w:t>
      </w:r>
      <w:r>
        <w:rPr>
          <w:spacing w:val="-6"/>
          <w:sz w:val="20"/>
        </w:rPr>
        <w:t> </w:t>
      </w:r>
      <w:r>
        <w:rPr>
          <w:sz w:val="20"/>
        </w:rPr>
        <w:t>VWS</w:t>
      </w:r>
      <w:r>
        <w:rPr>
          <w:spacing w:val="-10"/>
          <w:sz w:val="20"/>
        </w:rPr>
        <w:t> </w:t>
      </w:r>
      <w:r>
        <w:rPr>
          <w:sz w:val="20"/>
        </w:rPr>
        <w:t>requires</w:t>
      </w:r>
      <w:r>
        <w:rPr>
          <w:spacing w:val="-13"/>
          <w:sz w:val="20"/>
        </w:rPr>
        <w:t> </w:t>
      </w:r>
      <w:r>
        <w:rPr>
          <w:sz w:val="20"/>
        </w:rPr>
        <w:t>a</w:t>
      </w:r>
      <w:r>
        <w:rPr>
          <w:spacing w:val="-7"/>
          <w:sz w:val="20"/>
        </w:rPr>
        <w:t> </w:t>
      </w:r>
      <w:r>
        <w:rPr>
          <w:sz w:val="20"/>
        </w:rPr>
        <w:t>situation</w:t>
      </w:r>
      <w:r>
        <w:rPr>
          <w:spacing w:val="-8"/>
          <w:sz w:val="20"/>
        </w:rPr>
        <w:t> </w:t>
      </w:r>
      <w:r>
        <w:rPr>
          <w:sz w:val="20"/>
        </w:rPr>
        <w:t>team</w:t>
      </w:r>
      <w:r>
        <w:rPr>
          <w:spacing w:val="-7"/>
          <w:sz w:val="20"/>
        </w:rPr>
        <w:t> </w:t>
      </w:r>
      <w:r>
        <w:rPr>
          <w:sz w:val="20"/>
        </w:rPr>
        <w:t>to</w:t>
      </w:r>
      <w:r>
        <w:rPr>
          <w:spacing w:val="-13"/>
          <w:sz w:val="20"/>
        </w:rPr>
        <w:t> </w:t>
      </w:r>
      <w:r>
        <w:rPr>
          <w:sz w:val="20"/>
        </w:rPr>
        <w:t>be</w:t>
      </w:r>
      <w:r>
        <w:rPr>
          <w:spacing w:val="-7"/>
          <w:sz w:val="20"/>
        </w:rPr>
        <w:t> </w:t>
      </w:r>
      <w:r>
        <w:rPr>
          <w:sz w:val="20"/>
        </w:rPr>
        <w:t>based in the</w:t>
      </w:r>
      <w:r>
        <w:rPr>
          <w:spacing w:val="-2"/>
          <w:sz w:val="20"/>
        </w:rPr>
        <w:t> </w:t>
      </w:r>
      <w:r>
        <w:rPr>
          <w:sz w:val="20"/>
        </w:rPr>
        <w:t>country,</w:t>
      </w:r>
      <w:r>
        <w:rPr>
          <w:spacing w:val="-1"/>
          <w:sz w:val="20"/>
        </w:rPr>
        <w:t> </w:t>
      </w:r>
      <w:r>
        <w:rPr>
          <w:sz w:val="20"/>
        </w:rPr>
        <w:t>as such</w:t>
      </w:r>
      <w:r>
        <w:rPr>
          <w:spacing w:val="-4"/>
          <w:sz w:val="20"/>
        </w:rPr>
        <w:t> </w:t>
      </w:r>
      <w:r>
        <w:rPr>
          <w:sz w:val="20"/>
        </w:rPr>
        <w:t>teams</w:t>
      </w:r>
      <w:r>
        <w:rPr>
          <w:spacing w:val="-5"/>
          <w:sz w:val="20"/>
        </w:rPr>
        <w:t> </w:t>
      </w:r>
      <w:r>
        <w:rPr>
          <w:sz w:val="20"/>
        </w:rPr>
        <w:t>form</w:t>
      </w:r>
      <w:r>
        <w:rPr>
          <w:spacing w:val="-2"/>
          <w:sz w:val="20"/>
        </w:rPr>
        <w:t> </w:t>
      </w:r>
      <w:r>
        <w:rPr>
          <w:sz w:val="20"/>
        </w:rPr>
        <w:t>the</w:t>
      </w:r>
      <w:r>
        <w:rPr>
          <w:spacing w:val="-2"/>
          <w:sz w:val="20"/>
        </w:rPr>
        <w:t> </w:t>
      </w:r>
      <w:r>
        <w:rPr>
          <w:sz w:val="20"/>
        </w:rPr>
        <w:t>basic set-up</w:t>
      </w:r>
      <w:r>
        <w:rPr>
          <w:spacing w:val="-4"/>
          <w:sz w:val="20"/>
        </w:rPr>
        <w:t> </w:t>
      </w:r>
      <w:r>
        <w:rPr>
          <w:sz w:val="20"/>
        </w:rPr>
        <w:t>requirement</w:t>
      </w:r>
      <w:r>
        <w:rPr>
          <w:sz w:val="20"/>
          <w:vertAlign w:val="superscript"/>
        </w:rPr>
        <w:t>118</w:t>
      </w:r>
      <w:r>
        <w:rPr>
          <w:sz w:val="20"/>
          <w:vertAlign w:val="baseline"/>
        </w:rPr>
        <w:t> necessary</w:t>
      </w:r>
      <w:r>
        <w:rPr>
          <w:spacing w:val="-4"/>
          <w:sz w:val="20"/>
          <w:vertAlign w:val="baseline"/>
        </w:rPr>
        <w:t> </w:t>
      </w:r>
      <w:r>
        <w:rPr>
          <w:sz w:val="20"/>
          <w:vertAlign w:val="baseline"/>
        </w:rPr>
        <w:t>for</w:t>
      </w:r>
      <w:r>
        <w:rPr>
          <w:spacing w:val="-3"/>
          <w:sz w:val="20"/>
          <w:vertAlign w:val="baseline"/>
        </w:rPr>
        <w:t> </w:t>
      </w:r>
      <w:r>
        <w:rPr>
          <w:sz w:val="20"/>
          <w:vertAlign w:val="baseline"/>
        </w:rPr>
        <w:t>the VWS to implement its mandate. Therefore, in addition to the redeployment of two Professional positions, from Côte d’Ivoire and Georgia, respectively, to Ukraine, additional resources under general temporary assistance to constitute this basic set-up requirement are required. As</w:t>
      </w:r>
      <w:r>
        <w:rPr>
          <w:spacing w:val="-6"/>
          <w:sz w:val="20"/>
          <w:vertAlign w:val="baseline"/>
        </w:rPr>
        <w:t> </w:t>
      </w:r>
      <w:r>
        <w:rPr>
          <w:sz w:val="20"/>
          <w:vertAlign w:val="baseline"/>
        </w:rPr>
        <w:t>a</w:t>
      </w:r>
      <w:r>
        <w:rPr>
          <w:spacing w:val="-8"/>
          <w:sz w:val="20"/>
          <w:vertAlign w:val="baseline"/>
        </w:rPr>
        <w:t> </w:t>
      </w:r>
      <w:r>
        <w:rPr>
          <w:sz w:val="20"/>
          <w:vertAlign w:val="baseline"/>
        </w:rPr>
        <w:t>significant</w:t>
      </w:r>
      <w:r>
        <w:rPr>
          <w:spacing w:val="-8"/>
          <w:sz w:val="20"/>
          <w:vertAlign w:val="baseline"/>
        </w:rPr>
        <w:t> </w:t>
      </w:r>
      <w:r>
        <w:rPr>
          <w:sz w:val="20"/>
          <w:vertAlign w:val="baseline"/>
        </w:rPr>
        <w:t>level</w:t>
      </w:r>
      <w:r>
        <w:rPr>
          <w:spacing w:val="-8"/>
          <w:sz w:val="20"/>
          <w:vertAlign w:val="baseline"/>
        </w:rPr>
        <w:t> </w:t>
      </w:r>
      <w:r>
        <w:rPr>
          <w:sz w:val="20"/>
          <w:vertAlign w:val="baseline"/>
        </w:rPr>
        <w:t>of</w:t>
      </w:r>
      <w:r>
        <w:rPr>
          <w:spacing w:val="-9"/>
          <w:sz w:val="20"/>
          <w:vertAlign w:val="baseline"/>
        </w:rPr>
        <w:t> </w:t>
      </w:r>
      <w:r>
        <w:rPr>
          <w:sz w:val="20"/>
          <w:vertAlign w:val="baseline"/>
        </w:rPr>
        <w:t>diplomatic,</w:t>
      </w:r>
      <w:r>
        <w:rPr>
          <w:spacing w:val="-7"/>
          <w:sz w:val="20"/>
          <w:vertAlign w:val="baseline"/>
        </w:rPr>
        <w:t> </w:t>
      </w:r>
      <w:r>
        <w:rPr>
          <w:sz w:val="20"/>
          <w:vertAlign w:val="baseline"/>
        </w:rPr>
        <w:t>operational</w:t>
      </w:r>
      <w:r>
        <w:rPr>
          <w:spacing w:val="-8"/>
          <w:sz w:val="20"/>
          <w:vertAlign w:val="baseline"/>
        </w:rPr>
        <w:t> </w:t>
      </w:r>
      <w:r>
        <w:rPr>
          <w:sz w:val="20"/>
          <w:vertAlign w:val="baseline"/>
        </w:rPr>
        <w:t>and</w:t>
      </w:r>
      <w:r>
        <w:rPr>
          <w:spacing w:val="-9"/>
          <w:sz w:val="20"/>
          <w:vertAlign w:val="baseline"/>
        </w:rPr>
        <w:t> </w:t>
      </w:r>
      <w:r>
        <w:rPr>
          <w:sz w:val="20"/>
          <w:vertAlign w:val="baseline"/>
        </w:rPr>
        <w:t>security</w:t>
      </w:r>
      <w:r>
        <w:rPr>
          <w:spacing w:val="-9"/>
          <w:sz w:val="20"/>
          <w:vertAlign w:val="baseline"/>
        </w:rPr>
        <w:t> </w:t>
      </w:r>
      <w:r>
        <w:rPr>
          <w:sz w:val="20"/>
          <w:vertAlign w:val="baseline"/>
        </w:rPr>
        <w:t>support</w:t>
      </w:r>
      <w:r>
        <w:rPr>
          <w:spacing w:val="-8"/>
          <w:sz w:val="20"/>
          <w:vertAlign w:val="baseline"/>
        </w:rPr>
        <w:t> </w:t>
      </w:r>
      <w:r>
        <w:rPr>
          <w:sz w:val="20"/>
          <w:vertAlign w:val="baseline"/>
        </w:rPr>
        <w:t>will</w:t>
      </w:r>
      <w:r>
        <w:rPr>
          <w:spacing w:val="-8"/>
          <w:sz w:val="20"/>
          <w:vertAlign w:val="baseline"/>
        </w:rPr>
        <w:t> </w:t>
      </w:r>
      <w:r>
        <w:rPr>
          <w:sz w:val="20"/>
          <w:vertAlign w:val="baseline"/>
        </w:rPr>
        <w:t>be</w:t>
      </w:r>
      <w:r>
        <w:rPr>
          <w:spacing w:val="-8"/>
          <w:sz w:val="20"/>
          <w:vertAlign w:val="baseline"/>
        </w:rPr>
        <w:t> </w:t>
      </w:r>
      <w:r>
        <w:rPr>
          <w:sz w:val="20"/>
          <w:vertAlign w:val="baseline"/>
        </w:rPr>
        <w:t>requested</w:t>
      </w:r>
      <w:r>
        <w:rPr>
          <w:spacing w:val="-5"/>
          <w:sz w:val="20"/>
          <w:vertAlign w:val="baseline"/>
        </w:rPr>
        <w:t> </w:t>
      </w:r>
      <w:r>
        <w:rPr>
          <w:sz w:val="20"/>
          <w:vertAlign w:val="baseline"/>
        </w:rPr>
        <w:t>by</w:t>
      </w:r>
      <w:r>
        <w:rPr>
          <w:spacing w:val="-9"/>
          <w:sz w:val="20"/>
          <w:vertAlign w:val="baseline"/>
        </w:rPr>
        <w:t> </w:t>
      </w:r>
      <w:r>
        <w:rPr>
          <w:sz w:val="20"/>
          <w:vertAlign w:val="baseline"/>
        </w:rPr>
        <w:t>the OTP for</w:t>
      </w:r>
      <w:r>
        <w:rPr>
          <w:spacing w:val="-8"/>
          <w:sz w:val="20"/>
          <w:vertAlign w:val="baseline"/>
        </w:rPr>
        <w:t> </w:t>
      </w:r>
      <w:r>
        <w:rPr>
          <w:sz w:val="20"/>
          <w:vertAlign w:val="baseline"/>
        </w:rPr>
        <w:t>its</w:t>
      </w:r>
      <w:r>
        <w:rPr>
          <w:spacing w:val="-5"/>
          <w:sz w:val="20"/>
          <w:vertAlign w:val="baseline"/>
        </w:rPr>
        <w:t> </w:t>
      </w:r>
      <w:r>
        <w:rPr>
          <w:sz w:val="20"/>
          <w:vertAlign w:val="baseline"/>
        </w:rPr>
        <w:t>intensive</w:t>
      </w:r>
      <w:r>
        <w:rPr>
          <w:spacing w:val="-2"/>
          <w:sz w:val="20"/>
          <w:vertAlign w:val="baseline"/>
        </w:rPr>
        <w:t> </w:t>
      </w:r>
      <w:r>
        <w:rPr>
          <w:sz w:val="20"/>
          <w:vertAlign w:val="baseline"/>
        </w:rPr>
        <w:t>investigation</w:t>
      </w:r>
      <w:r>
        <w:rPr>
          <w:spacing w:val="-4"/>
          <w:sz w:val="20"/>
          <w:vertAlign w:val="baseline"/>
        </w:rPr>
        <w:t> </w:t>
      </w:r>
      <w:r>
        <w:rPr>
          <w:sz w:val="20"/>
          <w:vertAlign w:val="baseline"/>
        </w:rPr>
        <w:t>in</w:t>
      </w:r>
      <w:r>
        <w:rPr>
          <w:spacing w:val="-4"/>
          <w:sz w:val="20"/>
          <w:vertAlign w:val="baseline"/>
        </w:rPr>
        <w:t> </w:t>
      </w:r>
      <w:r>
        <w:rPr>
          <w:sz w:val="20"/>
          <w:vertAlign w:val="baseline"/>
        </w:rPr>
        <w:t>Ukraine,</w:t>
      </w:r>
      <w:r>
        <w:rPr>
          <w:spacing w:val="-1"/>
          <w:sz w:val="20"/>
          <w:vertAlign w:val="baseline"/>
        </w:rPr>
        <w:t> </w:t>
      </w:r>
      <w:r>
        <w:rPr>
          <w:sz w:val="20"/>
          <w:vertAlign w:val="baseline"/>
        </w:rPr>
        <w:t>where</w:t>
      </w:r>
      <w:r>
        <w:rPr>
          <w:spacing w:val="-7"/>
          <w:sz w:val="20"/>
          <w:vertAlign w:val="baseline"/>
        </w:rPr>
        <w:t> </w:t>
      </w:r>
      <w:r>
        <w:rPr>
          <w:sz w:val="20"/>
          <w:vertAlign w:val="baseline"/>
        </w:rPr>
        <w:t>there</w:t>
      </w:r>
      <w:r>
        <w:rPr>
          <w:spacing w:val="-2"/>
          <w:sz w:val="20"/>
          <w:vertAlign w:val="baseline"/>
        </w:rPr>
        <w:t> </w:t>
      </w:r>
      <w:r>
        <w:rPr>
          <w:sz w:val="20"/>
          <w:vertAlign w:val="baseline"/>
        </w:rPr>
        <w:t>are still</w:t>
      </w:r>
      <w:r>
        <w:rPr>
          <w:spacing w:val="-2"/>
          <w:sz w:val="20"/>
          <w:vertAlign w:val="baseline"/>
        </w:rPr>
        <w:t> </w:t>
      </w:r>
      <w:r>
        <w:rPr>
          <w:sz w:val="20"/>
          <w:vertAlign w:val="baseline"/>
        </w:rPr>
        <w:t>ongoing</w:t>
      </w:r>
      <w:r>
        <w:rPr>
          <w:spacing w:val="-4"/>
          <w:sz w:val="20"/>
          <w:vertAlign w:val="baseline"/>
        </w:rPr>
        <w:t> </w:t>
      </w:r>
      <w:r>
        <w:rPr>
          <w:sz w:val="20"/>
          <w:vertAlign w:val="baseline"/>
        </w:rPr>
        <w:t>armed</w:t>
      </w:r>
      <w:r>
        <w:rPr>
          <w:spacing w:val="-4"/>
          <w:sz w:val="20"/>
          <w:vertAlign w:val="baseline"/>
        </w:rPr>
        <w:t> </w:t>
      </w:r>
      <w:r>
        <w:rPr>
          <w:sz w:val="20"/>
          <w:vertAlign w:val="baseline"/>
        </w:rPr>
        <w:t>conflicts, and</w:t>
      </w:r>
      <w:r>
        <w:rPr>
          <w:spacing w:val="-9"/>
          <w:sz w:val="20"/>
          <w:vertAlign w:val="baseline"/>
        </w:rPr>
        <w:t> </w:t>
      </w:r>
      <w:r>
        <w:rPr>
          <w:sz w:val="20"/>
          <w:vertAlign w:val="baseline"/>
        </w:rPr>
        <w:t>by</w:t>
      </w:r>
      <w:r>
        <w:rPr>
          <w:spacing w:val="-7"/>
          <w:sz w:val="20"/>
          <w:vertAlign w:val="baseline"/>
        </w:rPr>
        <w:t> </w:t>
      </w:r>
      <w:r>
        <w:rPr>
          <w:sz w:val="20"/>
          <w:vertAlign w:val="baseline"/>
        </w:rPr>
        <w:t>VWS</w:t>
      </w:r>
      <w:r>
        <w:rPr>
          <w:spacing w:val="-9"/>
          <w:sz w:val="20"/>
          <w:vertAlign w:val="baseline"/>
        </w:rPr>
        <w:t> </w:t>
      </w:r>
      <w:r>
        <w:rPr>
          <w:sz w:val="20"/>
          <w:vertAlign w:val="baseline"/>
        </w:rPr>
        <w:t>to</w:t>
      </w:r>
      <w:r>
        <w:rPr>
          <w:spacing w:val="-7"/>
          <w:sz w:val="20"/>
          <w:vertAlign w:val="baseline"/>
        </w:rPr>
        <w:t> </w:t>
      </w:r>
      <w:r>
        <w:rPr>
          <w:sz w:val="20"/>
          <w:vertAlign w:val="baseline"/>
        </w:rPr>
        <w:t>discharge</w:t>
      </w:r>
      <w:r>
        <w:rPr>
          <w:spacing w:val="-11"/>
          <w:sz w:val="20"/>
          <w:vertAlign w:val="baseline"/>
        </w:rPr>
        <w:t> </w:t>
      </w:r>
      <w:r>
        <w:rPr>
          <w:sz w:val="20"/>
          <w:vertAlign w:val="baseline"/>
        </w:rPr>
        <w:t>its</w:t>
      </w:r>
      <w:r>
        <w:rPr>
          <w:spacing w:val="-13"/>
          <w:sz w:val="20"/>
          <w:vertAlign w:val="baseline"/>
        </w:rPr>
        <w:t> </w:t>
      </w:r>
      <w:r>
        <w:rPr>
          <w:sz w:val="20"/>
          <w:vertAlign w:val="baseline"/>
        </w:rPr>
        <w:t>mandate</w:t>
      </w:r>
      <w:r>
        <w:rPr>
          <w:spacing w:val="-11"/>
          <w:sz w:val="20"/>
          <w:vertAlign w:val="baseline"/>
        </w:rPr>
        <w:t> </w:t>
      </w:r>
      <w:r>
        <w:rPr>
          <w:sz w:val="20"/>
          <w:vertAlign w:val="baseline"/>
        </w:rPr>
        <w:t>to</w:t>
      </w:r>
      <w:r>
        <w:rPr>
          <w:spacing w:val="-7"/>
          <w:sz w:val="20"/>
          <w:vertAlign w:val="baseline"/>
        </w:rPr>
        <w:t> </w:t>
      </w:r>
      <w:r>
        <w:rPr>
          <w:sz w:val="20"/>
          <w:vertAlign w:val="baseline"/>
        </w:rPr>
        <w:t>protect</w:t>
      </w:r>
      <w:r>
        <w:rPr>
          <w:spacing w:val="-11"/>
          <w:sz w:val="20"/>
          <w:vertAlign w:val="baseline"/>
        </w:rPr>
        <w:t> </w:t>
      </w:r>
      <w:r>
        <w:rPr>
          <w:sz w:val="20"/>
          <w:vertAlign w:val="baseline"/>
        </w:rPr>
        <w:t>and</w:t>
      </w:r>
      <w:r>
        <w:rPr>
          <w:spacing w:val="-7"/>
          <w:sz w:val="20"/>
          <w:vertAlign w:val="baseline"/>
        </w:rPr>
        <w:t> </w:t>
      </w:r>
      <w:r>
        <w:rPr>
          <w:sz w:val="20"/>
          <w:vertAlign w:val="baseline"/>
        </w:rPr>
        <w:t>provide</w:t>
      </w:r>
      <w:r>
        <w:rPr>
          <w:spacing w:val="-6"/>
          <w:sz w:val="20"/>
          <w:vertAlign w:val="baseline"/>
        </w:rPr>
        <w:t> </w:t>
      </w:r>
      <w:r>
        <w:rPr>
          <w:sz w:val="20"/>
          <w:vertAlign w:val="baseline"/>
        </w:rPr>
        <w:t>support</w:t>
      </w:r>
      <w:r>
        <w:rPr>
          <w:spacing w:val="-11"/>
          <w:sz w:val="20"/>
          <w:vertAlign w:val="baseline"/>
        </w:rPr>
        <w:t> </w:t>
      </w:r>
      <w:r>
        <w:rPr>
          <w:sz w:val="20"/>
          <w:vertAlign w:val="baseline"/>
        </w:rPr>
        <w:t>to</w:t>
      </w:r>
      <w:r>
        <w:rPr>
          <w:spacing w:val="-7"/>
          <w:sz w:val="20"/>
          <w:vertAlign w:val="baseline"/>
        </w:rPr>
        <w:t> </w:t>
      </w:r>
      <w:r>
        <w:rPr>
          <w:sz w:val="20"/>
          <w:vertAlign w:val="baseline"/>
        </w:rPr>
        <w:t>witnesses</w:t>
      </w:r>
      <w:r>
        <w:rPr>
          <w:spacing w:val="-9"/>
          <w:sz w:val="20"/>
          <w:vertAlign w:val="baseline"/>
        </w:rPr>
        <w:t> </w:t>
      </w:r>
      <w:r>
        <w:rPr>
          <w:sz w:val="20"/>
          <w:vertAlign w:val="baseline"/>
        </w:rPr>
        <w:t>and</w:t>
      </w:r>
      <w:r>
        <w:rPr>
          <w:spacing w:val="-12"/>
          <w:sz w:val="20"/>
          <w:vertAlign w:val="baseline"/>
        </w:rPr>
        <w:t> </w:t>
      </w:r>
      <w:r>
        <w:rPr>
          <w:sz w:val="20"/>
          <w:vertAlign w:val="baseline"/>
        </w:rPr>
        <w:t>victims in Ukraine</w:t>
      </w:r>
      <w:r>
        <w:rPr>
          <w:spacing w:val="-2"/>
          <w:sz w:val="20"/>
          <w:vertAlign w:val="baseline"/>
        </w:rPr>
        <w:t> </w:t>
      </w:r>
      <w:r>
        <w:rPr>
          <w:sz w:val="20"/>
          <w:vertAlign w:val="baseline"/>
        </w:rPr>
        <w:t>in</w:t>
      </w:r>
      <w:r>
        <w:rPr>
          <w:spacing w:val="-4"/>
          <w:sz w:val="20"/>
          <w:vertAlign w:val="baseline"/>
        </w:rPr>
        <w:t> </w:t>
      </w:r>
      <w:r>
        <w:rPr>
          <w:sz w:val="20"/>
          <w:vertAlign w:val="baseline"/>
        </w:rPr>
        <w:t>an</w:t>
      </w:r>
      <w:r>
        <w:rPr>
          <w:spacing w:val="-4"/>
          <w:sz w:val="20"/>
          <w:vertAlign w:val="baseline"/>
        </w:rPr>
        <w:t> </w:t>
      </w:r>
      <w:r>
        <w:rPr>
          <w:sz w:val="20"/>
          <w:vertAlign w:val="baseline"/>
        </w:rPr>
        <w:t>extremely</w:t>
      </w:r>
      <w:r>
        <w:rPr>
          <w:spacing w:val="-4"/>
          <w:sz w:val="20"/>
          <w:vertAlign w:val="baseline"/>
        </w:rPr>
        <w:t> </w:t>
      </w:r>
      <w:r>
        <w:rPr>
          <w:sz w:val="20"/>
          <w:vertAlign w:val="baseline"/>
        </w:rPr>
        <w:t>complex</w:t>
      </w:r>
      <w:r>
        <w:rPr>
          <w:spacing w:val="-4"/>
          <w:sz w:val="20"/>
          <w:vertAlign w:val="baseline"/>
        </w:rPr>
        <w:t> </w:t>
      </w:r>
      <w:r>
        <w:rPr>
          <w:sz w:val="20"/>
          <w:vertAlign w:val="baseline"/>
        </w:rPr>
        <w:t>operating</w:t>
      </w:r>
      <w:r>
        <w:rPr>
          <w:spacing w:val="-4"/>
          <w:sz w:val="20"/>
          <w:vertAlign w:val="baseline"/>
        </w:rPr>
        <w:t> </w:t>
      </w:r>
      <w:r>
        <w:rPr>
          <w:sz w:val="20"/>
          <w:vertAlign w:val="baseline"/>
        </w:rPr>
        <w:t>environment,</w:t>
      </w:r>
      <w:r>
        <w:rPr>
          <w:spacing w:val="-1"/>
          <w:sz w:val="20"/>
          <w:vertAlign w:val="baseline"/>
        </w:rPr>
        <w:t> </w:t>
      </w:r>
      <w:r>
        <w:rPr>
          <w:sz w:val="20"/>
          <w:vertAlign w:val="baseline"/>
        </w:rPr>
        <w:t>the Registry will,</w:t>
      </w:r>
      <w:r>
        <w:rPr>
          <w:spacing w:val="-1"/>
          <w:sz w:val="20"/>
          <w:vertAlign w:val="baseline"/>
        </w:rPr>
        <w:t> </w:t>
      </w:r>
      <w:r>
        <w:rPr>
          <w:sz w:val="20"/>
          <w:vertAlign w:val="baseline"/>
        </w:rPr>
        <w:t>through</w:t>
      </w:r>
      <w:r>
        <w:rPr>
          <w:spacing w:val="-4"/>
          <w:sz w:val="20"/>
          <w:vertAlign w:val="baseline"/>
        </w:rPr>
        <w:t> </w:t>
      </w:r>
      <w:r>
        <w:rPr>
          <w:sz w:val="20"/>
          <w:vertAlign w:val="baseline"/>
        </w:rPr>
        <w:t>close coordination with the OTP, deploy a field team forming a basic set-up</w:t>
      </w:r>
      <w:r>
        <w:rPr>
          <w:sz w:val="20"/>
          <w:vertAlign w:val="superscript"/>
        </w:rPr>
        <w:t>119</w:t>
      </w:r>
      <w:r>
        <w:rPr>
          <w:sz w:val="20"/>
          <w:vertAlign w:val="baseline"/>
        </w:rPr>
        <w:t> comprising administrative and security staff only to ensure the security</w:t>
      </w:r>
      <w:r>
        <w:rPr>
          <w:spacing w:val="-4"/>
          <w:sz w:val="20"/>
          <w:vertAlign w:val="baseline"/>
        </w:rPr>
        <w:t> </w:t>
      </w:r>
      <w:r>
        <w:rPr>
          <w:sz w:val="20"/>
          <w:vertAlign w:val="baseline"/>
        </w:rPr>
        <w:t>of the Court’s activities. Such a Registry</w:t>
      </w:r>
      <w:r>
        <w:rPr>
          <w:spacing w:val="-9"/>
          <w:sz w:val="20"/>
          <w:vertAlign w:val="baseline"/>
        </w:rPr>
        <w:t> </w:t>
      </w:r>
      <w:r>
        <w:rPr>
          <w:sz w:val="20"/>
          <w:vertAlign w:val="baseline"/>
        </w:rPr>
        <w:t>basic</w:t>
      </w:r>
      <w:r>
        <w:rPr>
          <w:spacing w:val="-7"/>
          <w:sz w:val="20"/>
          <w:vertAlign w:val="baseline"/>
        </w:rPr>
        <w:t> </w:t>
      </w:r>
      <w:r>
        <w:rPr>
          <w:sz w:val="20"/>
          <w:vertAlign w:val="baseline"/>
        </w:rPr>
        <w:t>field</w:t>
      </w:r>
      <w:r>
        <w:rPr>
          <w:spacing w:val="-8"/>
          <w:sz w:val="20"/>
          <w:vertAlign w:val="baseline"/>
        </w:rPr>
        <w:t> </w:t>
      </w:r>
      <w:r>
        <w:rPr>
          <w:sz w:val="20"/>
          <w:vertAlign w:val="baseline"/>
        </w:rPr>
        <w:t>set-up</w:t>
      </w:r>
      <w:r>
        <w:rPr>
          <w:spacing w:val="-8"/>
          <w:sz w:val="20"/>
          <w:vertAlign w:val="baseline"/>
        </w:rPr>
        <w:t> </w:t>
      </w:r>
      <w:r>
        <w:rPr>
          <w:sz w:val="20"/>
          <w:vertAlign w:val="baseline"/>
        </w:rPr>
        <w:t>will</w:t>
      </w:r>
      <w:r>
        <w:rPr>
          <w:spacing w:val="-7"/>
          <w:sz w:val="20"/>
          <w:vertAlign w:val="baseline"/>
        </w:rPr>
        <w:t> </w:t>
      </w:r>
      <w:r>
        <w:rPr>
          <w:sz w:val="20"/>
          <w:vertAlign w:val="baseline"/>
        </w:rPr>
        <w:t>be</w:t>
      </w:r>
      <w:r>
        <w:rPr>
          <w:spacing w:val="-7"/>
          <w:sz w:val="20"/>
          <w:vertAlign w:val="baseline"/>
        </w:rPr>
        <w:t> </w:t>
      </w:r>
      <w:r>
        <w:rPr>
          <w:sz w:val="20"/>
          <w:vertAlign w:val="baseline"/>
        </w:rPr>
        <w:t>led</w:t>
      </w:r>
      <w:r>
        <w:rPr>
          <w:spacing w:val="-8"/>
          <w:sz w:val="20"/>
          <w:vertAlign w:val="baseline"/>
        </w:rPr>
        <w:t> </w:t>
      </w:r>
      <w:r>
        <w:rPr>
          <w:sz w:val="20"/>
          <w:vertAlign w:val="baseline"/>
        </w:rPr>
        <w:t>by</w:t>
      </w:r>
      <w:r>
        <w:rPr>
          <w:spacing w:val="-13"/>
          <w:sz w:val="20"/>
          <w:vertAlign w:val="baseline"/>
        </w:rPr>
        <w:t> </w:t>
      </w:r>
      <w:r>
        <w:rPr>
          <w:sz w:val="20"/>
          <w:vertAlign w:val="baseline"/>
        </w:rPr>
        <w:t>the</w:t>
      </w:r>
      <w:r>
        <w:rPr>
          <w:spacing w:val="-7"/>
          <w:sz w:val="20"/>
          <w:vertAlign w:val="baseline"/>
        </w:rPr>
        <w:t> </w:t>
      </w:r>
      <w:r>
        <w:rPr>
          <w:sz w:val="20"/>
          <w:vertAlign w:val="baseline"/>
        </w:rPr>
        <w:t>Chief</w:t>
      </w:r>
      <w:r>
        <w:rPr>
          <w:spacing w:val="-8"/>
          <w:sz w:val="20"/>
          <w:vertAlign w:val="baseline"/>
        </w:rPr>
        <w:t> </w:t>
      </w:r>
      <w:r>
        <w:rPr>
          <w:sz w:val="20"/>
          <w:vertAlign w:val="baseline"/>
        </w:rPr>
        <w:t>of</w:t>
      </w:r>
      <w:r>
        <w:rPr>
          <w:spacing w:val="-8"/>
          <w:sz w:val="20"/>
          <w:vertAlign w:val="baseline"/>
        </w:rPr>
        <w:t> </w:t>
      </w:r>
      <w:r>
        <w:rPr>
          <w:sz w:val="20"/>
          <w:vertAlign w:val="baseline"/>
        </w:rPr>
        <w:t>Country</w:t>
      </w:r>
      <w:r>
        <w:rPr>
          <w:spacing w:val="-8"/>
          <w:sz w:val="20"/>
          <w:vertAlign w:val="baseline"/>
        </w:rPr>
        <w:t> </w:t>
      </w:r>
      <w:r>
        <w:rPr>
          <w:sz w:val="20"/>
          <w:vertAlign w:val="baseline"/>
        </w:rPr>
        <w:t>Office</w:t>
      </w:r>
      <w:r>
        <w:rPr>
          <w:spacing w:val="-7"/>
          <w:sz w:val="20"/>
          <w:vertAlign w:val="baseline"/>
        </w:rPr>
        <w:t> </w:t>
      </w:r>
      <w:r>
        <w:rPr>
          <w:sz w:val="20"/>
          <w:vertAlign w:val="baseline"/>
        </w:rPr>
        <w:t>(Georgia)</w:t>
      </w:r>
      <w:r>
        <w:rPr>
          <w:spacing w:val="-8"/>
          <w:sz w:val="20"/>
          <w:vertAlign w:val="baseline"/>
        </w:rPr>
        <w:t> </w:t>
      </w:r>
      <w:r>
        <w:rPr>
          <w:sz w:val="20"/>
          <w:vertAlign w:val="baseline"/>
        </w:rPr>
        <w:t>who</w:t>
      </w:r>
      <w:r>
        <w:rPr>
          <w:spacing w:val="-8"/>
          <w:sz w:val="20"/>
          <w:vertAlign w:val="baseline"/>
        </w:rPr>
        <w:t> </w:t>
      </w:r>
      <w:r>
        <w:rPr>
          <w:sz w:val="20"/>
          <w:vertAlign w:val="baseline"/>
        </w:rPr>
        <w:t>has</w:t>
      </w:r>
      <w:r>
        <w:rPr>
          <w:spacing w:val="-10"/>
          <w:sz w:val="20"/>
          <w:vertAlign w:val="baseline"/>
        </w:rPr>
        <w:t> </w:t>
      </w:r>
      <w:r>
        <w:rPr>
          <w:sz w:val="20"/>
          <w:vertAlign w:val="baseline"/>
        </w:rPr>
        <w:t>been newly</w:t>
      </w:r>
      <w:r>
        <w:rPr>
          <w:spacing w:val="-13"/>
          <w:sz w:val="20"/>
          <w:vertAlign w:val="baseline"/>
        </w:rPr>
        <w:t> </w:t>
      </w:r>
      <w:r>
        <w:rPr>
          <w:sz w:val="20"/>
          <w:vertAlign w:val="baseline"/>
        </w:rPr>
        <w:t>tasked</w:t>
      </w:r>
      <w:r>
        <w:rPr>
          <w:spacing w:val="-12"/>
          <w:sz w:val="20"/>
          <w:vertAlign w:val="baseline"/>
        </w:rPr>
        <w:t> </w:t>
      </w:r>
      <w:r>
        <w:rPr>
          <w:sz w:val="20"/>
          <w:vertAlign w:val="baseline"/>
        </w:rPr>
        <w:t>to</w:t>
      </w:r>
      <w:r>
        <w:rPr>
          <w:spacing w:val="-8"/>
          <w:sz w:val="20"/>
          <w:vertAlign w:val="baseline"/>
        </w:rPr>
        <w:t> </w:t>
      </w:r>
      <w:r>
        <w:rPr>
          <w:sz w:val="20"/>
          <w:vertAlign w:val="baseline"/>
        </w:rPr>
        <w:t>oversee</w:t>
      </w:r>
      <w:r>
        <w:rPr>
          <w:spacing w:val="-12"/>
          <w:sz w:val="20"/>
          <w:vertAlign w:val="baseline"/>
        </w:rPr>
        <w:t> </w:t>
      </w:r>
      <w:r>
        <w:rPr>
          <w:sz w:val="20"/>
          <w:vertAlign w:val="baseline"/>
        </w:rPr>
        <w:t>the</w:t>
      </w:r>
      <w:r>
        <w:rPr>
          <w:spacing w:val="-11"/>
          <w:sz w:val="20"/>
          <w:vertAlign w:val="baseline"/>
        </w:rPr>
        <w:t> </w:t>
      </w:r>
      <w:r>
        <w:rPr>
          <w:sz w:val="20"/>
          <w:vertAlign w:val="baseline"/>
        </w:rPr>
        <w:t>support</w:t>
      </w:r>
      <w:r>
        <w:rPr>
          <w:spacing w:val="-7"/>
          <w:sz w:val="20"/>
          <w:vertAlign w:val="baseline"/>
        </w:rPr>
        <w:t> </w:t>
      </w:r>
      <w:r>
        <w:rPr>
          <w:sz w:val="20"/>
          <w:vertAlign w:val="baseline"/>
        </w:rPr>
        <w:t>to</w:t>
      </w:r>
      <w:r>
        <w:rPr>
          <w:spacing w:val="-8"/>
          <w:sz w:val="20"/>
          <w:vertAlign w:val="baseline"/>
        </w:rPr>
        <w:t> </w:t>
      </w:r>
      <w:r>
        <w:rPr>
          <w:sz w:val="20"/>
          <w:vertAlign w:val="baseline"/>
        </w:rPr>
        <w:t>be</w:t>
      </w:r>
      <w:r>
        <w:rPr>
          <w:spacing w:val="-7"/>
          <w:sz w:val="20"/>
          <w:vertAlign w:val="baseline"/>
        </w:rPr>
        <w:t> </w:t>
      </w:r>
      <w:r>
        <w:rPr>
          <w:sz w:val="20"/>
          <w:vertAlign w:val="baseline"/>
        </w:rPr>
        <w:t>provided</w:t>
      </w:r>
      <w:r>
        <w:rPr>
          <w:spacing w:val="-8"/>
          <w:sz w:val="20"/>
          <w:vertAlign w:val="baseline"/>
        </w:rPr>
        <w:t> </w:t>
      </w:r>
      <w:r>
        <w:rPr>
          <w:sz w:val="20"/>
          <w:vertAlign w:val="baseline"/>
        </w:rPr>
        <w:t>by</w:t>
      </w:r>
      <w:r>
        <w:rPr>
          <w:spacing w:val="-13"/>
          <w:sz w:val="20"/>
          <w:vertAlign w:val="baseline"/>
        </w:rPr>
        <w:t> </w:t>
      </w:r>
      <w:r>
        <w:rPr>
          <w:sz w:val="20"/>
          <w:vertAlign w:val="baseline"/>
        </w:rPr>
        <w:t>the</w:t>
      </w:r>
      <w:r>
        <w:rPr>
          <w:spacing w:val="-6"/>
          <w:sz w:val="20"/>
          <w:vertAlign w:val="baseline"/>
        </w:rPr>
        <w:t> </w:t>
      </w:r>
      <w:r>
        <w:rPr>
          <w:sz w:val="20"/>
          <w:vertAlign w:val="baseline"/>
        </w:rPr>
        <w:t>Registry</w:t>
      </w:r>
      <w:r>
        <w:rPr>
          <w:spacing w:val="-13"/>
          <w:sz w:val="20"/>
          <w:vertAlign w:val="baseline"/>
        </w:rPr>
        <w:t> </w:t>
      </w:r>
      <w:r>
        <w:rPr>
          <w:sz w:val="20"/>
          <w:vertAlign w:val="baseline"/>
        </w:rPr>
        <w:t>to</w:t>
      </w:r>
      <w:r>
        <w:rPr>
          <w:spacing w:val="-12"/>
          <w:sz w:val="20"/>
          <w:vertAlign w:val="baseline"/>
        </w:rPr>
        <w:t> </w:t>
      </w:r>
      <w:r>
        <w:rPr>
          <w:sz w:val="20"/>
          <w:vertAlign w:val="baseline"/>
        </w:rPr>
        <w:t>the</w:t>
      </w:r>
      <w:r>
        <w:rPr>
          <w:spacing w:val="-11"/>
          <w:sz w:val="20"/>
          <w:vertAlign w:val="baseline"/>
        </w:rPr>
        <w:t> </w:t>
      </w:r>
      <w:r>
        <w:rPr>
          <w:sz w:val="20"/>
          <w:vertAlign w:val="baseline"/>
        </w:rPr>
        <w:t>intensive</w:t>
      </w:r>
      <w:r>
        <w:rPr>
          <w:spacing w:val="-12"/>
          <w:sz w:val="20"/>
          <w:vertAlign w:val="baseline"/>
        </w:rPr>
        <w:t> </w:t>
      </w:r>
      <w:r>
        <w:rPr>
          <w:sz w:val="20"/>
          <w:vertAlign w:val="baseline"/>
        </w:rPr>
        <w:t>operations to be conducted by the OTP and VWS in Ukraine, while also continuing to oversee the Court’s residual activities in Georgia.</w:t>
      </w:r>
    </w:p>
    <w:p>
      <w:pPr>
        <w:pStyle w:val="ListParagraph"/>
        <w:numPr>
          <w:ilvl w:val="0"/>
          <w:numId w:val="4"/>
        </w:numPr>
        <w:tabs>
          <w:tab w:pos="2967" w:val="left" w:leader="none"/>
        </w:tabs>
        <w:spacing w:line="240" w:lineRule="auto" w:before="123" w:after="0"/>
        <w:ind w:left="2246" w:right="2235" w:firstLine="0"/>
        <w:jc w:val="both"/>
        <w:rPr>
          <w:sz w:val="20"/>
        </w:rPr>
      </w:pPr>
      <w:r>
        <w:rPr>
          <w:sz w:val="20"/>
        </w:rPr>
        <w:t>In anticipation of the opening of the country office in Sudan by late 2022, it is essential that the Registry deploy the same VWS situation team and basic field set-up as indicated</w:t>
      </w:r>
      <w:r>
        <w:rPr>
          <w:spacing w:val="80"/>
          <w:sz w:val="20"/>
        </w:rPr>
        <w:t> </w:t>
      </w:r>
      <w:r>
        <w:rPr>
          <w:sz w:val="20"/>
        </w:rPr>
        <w:t>in</w:t>
      </w:r>
      <w:r>
        <w:rPr>
          <w:spacing w:val="80"/>
          <w:sz w:val="20"/>
        </w:rPr>
        <w:t> </w:t>
      </w:r>
      <w:r>
        <w:rPr>
          <w:sz w:val="20"/>
        </w:rPr>
        <w:t>the</w:t>
      </w:r>
      <w:r>
        <w:rPr>
          <w:spacing w:val="80"/>
          <w:sz w:val="20"/>
        </w:rPr>
        <w:t> </w:t>
      </w:r>
      <w:r>
        <w:rPr>
          <w:sz w:val="20"/>
        </w:rPr>
        <w:t>preceding</w:t>
      </w:r>
      <w:r>
        <w:rPr>
          <w:spacing w:val="80"/>
          <w:sz w:val="20"/>
        </w:rPr>
        <w:t> </w:t>
      </w:r>
      <w:r>
        <w:rPr>
          <w:sz w:val="20"/>
        </w:rPr>
        <w:t>paragraph</w:t>
      </w:r>
      <w:r>
        <w:rPr>
          <w:spacing w:val="80"/>
          <w:sz w:val="20"/>
        </w:rPr>
        <w:t> </w:t>
      </w:r>
      <w:r>
        <w:rPr>
          <w:sz w:val="20"/>
        </w:rPr>
        <w:t>to</w:t>
      </w:r>
      <w:r>
        <w:rPr>
          <w:spacing w:val="80"/>
          <w:sz w:val="20"/>
        </w:rPr>
        <w:t> </w:t>
      </w:r>
      <w:r>
        <w:rPr>
          <w:sz w:val="20"/>
        </w:rPr>
        <w:t>facilitate</w:t>
      </w:r>
      <w:r>
        <w:rPr>
          <w:spacing w:val="80"/>
          <w:sz w:val="20"/>
        </w:rPr>
        <w:t> </w:t>
      </w:r>
      <w:r>
        <w:rPr>
          <w:sz w:val="20"/>
        </w:rPr>
        <w:t>smooth</w:t>
      </w:r>
      <w:r>
        <w:rPr>
          <w:spacing w:val="80"/>
          <w:sz w:val="20"/>
        </w:rPr>
        <w:t> </w:t>
      </w:r>
      <w:r>
        <w:rPr>
          <w:sz w:val="20"/>
        </w:rPr>
        <w:t>trial</w:t>
      </w:r>
      <w:r>
        <w:rPr>
          <w:spacing w:val="80"/>
          <w:sz w:val="20"/>
        </w:rPr>
        <w:t> </w:t>
      </w:r>
      <w:r>
        <w:rPr>
          <w:sz w:val="20"/>
        </w:rPr>
        <w:t>proceedings</w:t>
      </w:r>
      <w:r>
        <w:rPr>
          <w:spacing w:val="80"/>
          <w:sz w:val="20"/>
        </w:rPr>
        <w:t> </w:t>
      </w:r>
      <w:r>
        <w:rPr>
          <w:sz w:val="20"/>
        </w:rPr>
        <w:t>in</w:t>
      </w:r>
      <w:r>
        <w:rPr>
          <w:spacing w:val="80"/>
          <w:sz w:val="20"/>
        </w:rPr>
        <w:t> </w:t>
      </w:r>
      <w:r>
        <w:rPr>
          <w:sz w:val="20"/>
        </w:rPr>
        <w:t>the </w:t>
      </w:r>
      <w:r>
        <w:rPr>
          <w:i/>
          <w:sz w:val="20"/>
        </w:rPr>
        <w:t>Abd-Al-Rahman </w:t>
      </w:r>
      <w:r>
        <w:rPr>
          <w:sz w:val="20"/>
        </w:rPr>
        <w:t>case and provide support for the safety and welfare of the witnesses and victims in the situation in Darfur. It should be noted that the required posts/positions were already</w:t>
      </w:r>
      <w:r>
        <w:rPr>
          <w:spacing w:val="-13"/>
          <w:sz w:val="20"/>
        </w:rPr>
        <w:t> </w:t>
      </w:r>
      <w:r>
        <w:rPr>
          <w:sz w:val="20"/>
        </w:rPr>
        <w:t>approved</w:t>
      </w:r>
      <w:r>
        <w:rPr>
          <w:spacing w:val="-9"/>
          <w:sz w:val="20"/>
        </w:rPr>
        <w:t> </w:t>
      </w:r>
      <w:r>
        <w:rPr>
          <w:sz w:val="20"/>
        </w:rPr>
        <w:t>or</w:t>
      </w:r>
      <w:r>
        <w:rPr>
          <w:spacing w:val="-8"/>
          <w:sz w:val="20"/>
        </w:rPr>
        <w:t> </w:t>
      </w:r>
      <w:r>
        <w:rPr>
          <w:sz w:val="20"/>
        </w:rPr>
        <w:t>redeployed</w:t>
      </w:r>
      <w:r>
        <w:rPr>
          <w:spacing w:val="-13"/>
          <w:sz w:val="20"/>
        </w:rPr>
        <w:t> </w:t>
      </w:r>
      <w:r>
        <w:rPr>
          <w:sz w:val="20"/>
        </w:rPr>
        <w:t>to</w:t>
      </w:r>
      <w:r>
        <w:rPr>
          <w:spacing w:val="-7"/>
          <w:sz w:val="20"/>
        </w:rPr>
        <w:t> </w:t>
      </w:r>
      <w:r>
        <w:rPr>
          <w:sz w:val="20"/>
        </w:rPr>
        <w:t>Uganda</w:t>
      </w:r>
      <w:r>
        <w:rPr>
          <w:spacing w:val="-11"/>
          <w:sz w:val="20"/>
        </w:rPr>
        <w:t> </w:t>
      </w:r>
      <w:r>
        <w:rPr>
          <w:sz w:val="20"/>
        </w:rPr>
        <w:t>for</w:t>
      </w:r>
      <w:r>
        <w:rPr>
          <w:spacing w:val="-8"/>
          <w:sz w:val="20"/>
        </w:rPr>
        <w:t> </w:t>
      </w:r>
      <w:r>
        <w:rPr>
          <w:sz w:val="20"/>
        </w:rPr>
        <w:t>2022</w:t>
      </w:r>
      <w:r>
        <w:rPr>
          <w:spacing w:val="-8"/>
          <w:sz w:val="20"/>
        </w:rPr>
        <w:t> </w:t>
      </w:r>
      <w:r>
        <w:rPr>
          <w:sz w:val="20"/>
        </w:rPr>
        <w:t>to</w:t>
      </w:r>
      <w:r>
        <w:rPr>
          <w:spacing w:val="-8"/>
          <w:sz w:val="20"/>
        </w:rPr>
        <w:t> </w:t>
      </w:r>
      <w:r>
        <w:rPr>
          <w:sz w:val="20"/>
        </w:rPr>
        <w:t>support</w:t>
      </w:r>
      <w:r>
        <w:rPr>
          <w:spacing w:val="-7"/>
          <w:sz w:val="20"/>
        </w:rPr>
        <w:t> </w:t>
      </w:r>
      <w:r>
        <w:rPr>
          <w:sz w:val="20"/>
        </w:rPr>
        <w:t>the</w:t>
      </w:r>
      <w:r>
        <w:rPr>
          <w:spacing w:val="-7"/>
          <w:sz w:val="20"/>
        </w:rPr>
        <w:t> </w:t>
      </w:r>
      <w:r>
        <w:rPr>
          <w:sz w:val="20"/>
        </w:rPr>
        <w:t>Court’s</w:t>
      </w:r>
      <w:r>
        <w:rPr>
          <w:spacing w:val="-13"/>
          <w:sz w:val="20"/>
        </w:rPr>
        <w:t> </w:t>
      </w:r>
      <w:r>
        <w:rPr>
          <w:sz w:val="20"/>
        </w:rPr>
        <w:t>activities</w:t>
      </w:r>
      <w:r>
        <w:rPr>
          <w:spacing w:val="-9"/>
          <w:sz w:val="20"/>
        </w:rPr>
        <w:t> </w:t>
      </w:r>
      <w:r>
        <w:rPr>
          <w:sz w:val="20"/>
        </w:rPr>
        <w:t>in</w:t>
      </w:r>
      <w:r>
        <w:rPr>
          <w:spacing w:val="-13"/>
          <w:sz w:val="20"/>
        </w:rPr>
        <w:t> </w:t>
      </w:r>
      <w:r>
        <w:rPr>
          <w:sz w:val="20"/>
        </w:rPr>
        <w:t>Sudan from Uganda, with the exception of one position of Field Case Management Assistant to</w:t>
      </w:r>
      <w:r>
        <w:rPr>
          <w:spacing w:val="-5"/>
          <w:sz w:val="20"/>
        </w:rPr>
        <w:t> </w:t>
      </w:r>
      <w:r>
        <w:rPr>
          <w:sz w:val="20"/>
        </w:rPr>
        <w:t>be requested</w:t>
      </w:r>
      <w:r>
        <w:rPr>
          <w:spacing w:val="-5"/>
          <w:sz w:val="20"/>
        </w:rPr>
        <w:t> </w:t>
      </w:r>
      <w:r>
        <w:rPr>
          <w:sz w:val="20"/>
        </w:rPr>
        <w:t>under</w:t>
      </w:r>
      <w:r>
        <w:rPr>
          <w:spacing w:val="-5"/>
          <w:sz w:val="20"/>
        </w:rPr>
        <w:t> </w:t>
      </w:r>
      <w:r>
        <w:rPr>
          <w:sz w:val="20"/>
        </w:rPr>
        <w:t>general</w:t>
      </w:r>
      <w:r>
        <w:rPr>
          <w:spacing w:val="-3"/>
          <w:sz w:val="20"/>
        </w:rPr>
        <w:t> </w:t>
      </w:r>
      <w:r>
        <w:rPr>
          <w:sz w:val="20"/>
        </w:rPr>
        <w:t>temporary</w:t>
      </w:r>
      <w:r>
        <w:rPr>
          <w:spacing w:val="-5"/>
          <w:sz w:val="20"/>
        </w:rPr>
        <w:t> </w:t>
      </w:r>
      <w:r>
        <w:rPr>
          <w:sz w:val="20"/>
        </w:rPr>
        <w:t>assistance for 2023.</w:t>
      </w:r>
      <w:r>
        <w:rPr>
          <w:sz w:val="20"/>
          <w:vertAlign w:val="superscript"/>
        </w:rPr>
        <w:t>120</w:t>
      </w:r>
      <w:r>
        <w:rPr>
          <w:sz w:val="20"/>
          <w:vertAlign w:val="baseline"/>
        </w:rPr>
        <w:t> For</w:t>
      </w:r>
      <w:r>
        <w:rPr>
          <w:spacing w:val="-5"/>
          <w:sz w:val="20"/>
          <w:vertAlign w:val="baseline"/>
        </w:rPr>
        <w:t> </w:t>
      </w:r>
      <w:r>
        <w:rPr>
          <w:sz w:val="20"/>
          <w:vertAlign w:val="baseline"/>
        </w:rPr>
        <w:t>2023,</w:t>
      </w:r>
      <w:r>
        <w:rPr>
          <w:spacing w:val="-2"/>
          <w:sz w:val="20"/>
          <w:vertAlign w:val="baseline"/>
        </w:rPr>
        <w:t> </w:t>
      </w:r>
      <w:r>
        <w:rPr>
          <w:sz w:val="20"/>
          <w:vertAlign w:val="baseline"/>
        </w:rPr>
        <w:t>owing</w:t>
      </w:r>
      <w:r>
        <w:rPr>
          <w:spacing w:val="-5"/>
          <w:sz w:val="20"/>
          <w:vertAlign w:val="baseline"/>
        </w:rPr>
        <w:t> </w:t>
      </w:r>
      <w:r>
        <w:rPr>
          <w:sz w:val="20"/>
          <w:vertAlign w:val="baseline"/>
        </w:rPr>
        <w:t>to</w:t>
      </w:r>
      <w:r>
        <w:rPr>
          <w:spacing w:val="-5"/>
          <w:sz w:val="20"/>
          <w:vertAlign w:val="baseline"/>
        </w:rPr>
        <w:t> </w:t>
      </w:r>
      <w:r>
        <w:rPr>
          <w:sz w:val="20"/>
          <w:vertAlign w:val="baseline"/>
        </w:rPr>
        <w:t>the</w:t>
      </w:r>
      <w:r>
        <w:rPr>
          <w:spacing w:val="-3"/>
          <w:sz w:val="20"/>
          <w:vertAlign w:val="baseline"/>
        </w:rPr>
        <w:t> </w:t>
      </w:r>
      <w:r>
        <w:rPr>
          <w:sz w:val="20"/>
          <w:vertAlign w:val="baseline"/>
        </w:rPr>
        <w:t>precarious political</w:t>
      </w:r>
      <w:r>
        <w:rPr>
          <w:spacing w:val="-13"/>
          <w:sz w:val="20"/>
          <w:vertAlign w:val="baseline"/>
        </w:rPr>
        <w:t> </w:t>
      </w:r>
      <w:r>
        <w:rPr>
          <w:sz w:val="20"/>
          <w:vertAlign w:val="baseline"/>
        </w:rPr>
        <w:t>situation</w:t>
      </w:r>
      <w:r>
        <w:rPr>
          <w:spacing w:val="-12"/>
          <w:sz w:val="20"/>
          <w:vertAlign w:val="baseline"/>
        </w:rPr>
        <w:t> </w:t>
      </w:r>
      <w:r>
        <w:rPr>
          <w:sz w:val="20"/>
          <w:vertAlign w:val="baseline"/>
        </w:rPr>
        <w:t>in</w:t>
      </w:r>
      <w:r>
        <w:rPr>
          <w:spacing w:val="-10"/>
          <w:sz w:val="20"/>
          <w:vertAlign w:val="baseline"/>
        </w:rPr>
        <w:t> </w:t>
      </w:r>
      <w:r>
        <w:rPr>
          <w:sz w:val="20"/>
          <w:vertAlign w:val="baseline"/>
        </w:rPr>
        <w:t>Sudan</w:t>
      </w:r>
      <w:r>
        <w:rPr>
          <w:spacing w:val="-12"/>
          <w:sz w:val="20"/>
          <w:vertAlign w:val="baseline"/>
        </w:rPr>
        <w:t> </w:t>
      </w:r>
      <w:r>
        <w:rPr>
          <w:sz w:val="20"/>
          <w:vertAlign w:val="baseline"/>
        </w:rPr>
        <w:t>and</w:t>
      </w:r>
      <w:r>
        <w:rPr>
          <w:spacing w:val="-12"/>
          <w:sz w:val="20"/>
          <w:vertAlign w:val="baseline"/>
        </w:rPr>
        <w:t> </w:t>
      </w:r>
      <w:r>
        <w:rPr>
          <w:sz w:val="20"/>
          <w:vertAlign w:val="baseline"/>
        </w:rPr>
        <w:t>the</w:t>
      </w:r>
      <w:r>
        <w:rPr>
          <w:spacing w:val="-11"/>
          <w:sz w:val="20"/>
          <w:vertAlign w:val="baseline"/>
        </w:rPr>
        <w:t> </w:t>
      </w:r>
      <w:r>
        <w:rPr>
          <w:sz w:val="20"/>
          <w:vertAlign w:val="baseline"/>
        </w:rPr>
        <w:t>time-bound</w:t>
      </w:r>
      <w:r>
        <w:rPr>
          <w:spacing w:val="-12"/>
          <w:sz w:val="20"/>
          <w:vertAlign w:val="baseline"/>
        </w:rPr>
        <w:t> </w:t>
      </w:r>
      <w:r>
        <w:rPr>
          <w:sz w:val="20"/>
          <w:vertAlign w:val="baseline"/>
        </w:rPr>
        <w:t>nature</w:t>
      </w:r>
      <w:r>
        <w:rPr>
          <w:spacing w:val="-6"/>
          <w:sz w:val="20"/>
          <w:vertAlign w:val="baseline"/>
        </w:rPr>
        <w:t> </w:t>
      </w:r>
      <w:r>
        <w:rPr>
          <w:sz w:val="20"/>
          <w:vertAlign w:val="baseline"/>
        </w:rPr>
        <w:t>of</w:t>
      </w:r>
      <w:r>
        <w:rPr>
          <w:spacing w:val="-12"/>
          <w:sz w:val="20"/>
          <w:vertAlign w:val="baseline"/>
        </w:rPr>
        <w:t> </w:t>
      </w:r>
      <w:r>
        <w:rPr>
          <w:sz w:val="20"/>
          <w:vertAlign w:val="baseline"/>
        </w:rPr>
        <w:t>field</w:t>
      </w:r>
      <w:r>
        <w:rPr>
          <w:spacing w:val="-13"/>
          <w:sz w:val="20"/>
          <w:vertAlign w:val="baseline"/>
        </w:rPr>
        <w:t> </w:t>
      </w:r>
      <w:r>
        <w:rPr>
          <w:sz w:val="20"/>
          <w:vertAlign w:val="baseline"/>
        </w:rPr>
        <w:t>positions,</w:t>
      </w:r>
      <w:r>
        <w:rPr>
          <w:spacing w:val="-10"/>
          <w:sz w:val="20"/>
          <w:vertAlign w:val="baseline"/>
        </w:rPr>
        <w:t> </w:t>
      </w:r>
      <w:r>
        <w:rPr>
          <w:sz w:val="20"/>
          <w:vertAlign w:val="baseline"/>
        </w:rPr>
        <w:t>the</w:t>
      </w:r>
      <w:r>
        <w:rPr>
          <w:spacing w:val="-6"/>
          <w:sz w:val="20"/>
          <w:vertAlign w:val="baseline"/>
        </w:rPr>
        <w:t> </w:t>
      </w:r>
      <w:r>
        <w:rPr>
          <w:sz w:val="20"/>
          <w:vertAlign w:val="baseline"/>
        </w:rPr>
        <w:t>Registry</w:t>
      </w:r>
      <w:r>
        <w:rPr>
          <w:spacing w:val="-12"/>
          <w:sz w:val="20"/>
          <w:vertAlign w:val="baseline"/>
        </w:rPr>
        <w:t> </w:t>
      </w:r>
      <w:r>
        <w:rPr>
          <w:sz w:val="20"/>
          <w:vertAlign w:val="baseline"/>
        </w:rPr>
        <w:t>requests that the posts approved for 2022 in Uganda to form the Registry basic field set-up in Sudan be</w:t>
      </w:r>
      <w:r>
        <w:rPr>
          <w:spacing w:val="-3"/>
          <w:sz w:val="20"/>
          <w:vertAlign w:val="baseline"/>
        </w:rPr>
        <w:t> </w:t>
      </w:r>
      <w:r>
        <w:rPr>
          <w:sz w:val="20"/>
          <w:vertAlign w:val="baseline"/>
        </w:rPr>
        <w:t>abolished</w:t>
      </w:r>
      <w:r>
        <w:rPr>
          <w:spacing w:val="-9"/>
          <w:sz w:val="20"/>
          <w:vertAlign w:val="baseline"/>
        </w:rPr>
        <w:t> </w:t>
      </w:r>
      <w:r>
        <w:rPr>
          <w:sz w:val="20"/>
          <w:vertAlign w:val="baseline"/>
        </w:rPr>
        <w:t>and</w:t>
      </w:r>
      <w:r>
        <w:rPr>
          <w:spacing w:val="-5"/>
          <w:sz w:val="20"/>
          <w:vertAlign w:val="baseline"/>
        </w:rPr>
        <w:t> </w:t>
      </w:r>
      <w:r>
        <w:rPr>
          <w:sz w:val="20"/>
          <w:vertAlign w:val="baseline"/>
        </w:rPr>
        <w:t>instead</w:t>
      </w:r>
      <w:r>
        <w:rPr>
          <w:spacing w:val="-5"/>
          <w:sz w:val="20"/>
          <w:vertAlign w:val="baseline"/>
        </w:rPr>
        <w:t> </w:t>
      </w:r>
      <w:r>
        <w:rPr>
          <w:sz w:val="20"/>
          <w:vertAlign w:val="baseline"/>
        </w:rPr>
        <w:t>that</w:t>
      </w:r>
      <w:r>
        <w:rPr>
          <w:spacing w:val="-3"/>
          <w:sz w:val="20"/>
          <w:vertAlign w:val="baseline"/>
        </w:rPr>
        <w:t> </w:t>
      </w:r>
      <w:r>
        <w:rPr>
          <w:sz w:val="20"/>
          <w:vertAlign w:val="baseline"/>
        </w:rPr>
        <w:t>they</w:t>
      </w:r>
      <w:r>
        <w:rPr>
          <w:spacing w:val="-5"/>
          <w:sz w:val="20"/>
          <w:vertAlign w:val="baseline"/>
        </w:rPr>
        <w:t> </w:t>
      </w:r>
      <w:r>
        <w:rPr>
          <w:sz w:val="20"/>
          <w:vertAlign w:val="baseline"/>
        </w:rPr>
        <w:t>be</w:t>
      </w:r>
      <w:r>
        <w:rPr>
          <w:spacing w:val="-3"/>
          <w:sz w:val="20"/>
          <w:vertAlign w:val="baseline"/>
        </w:rPr>
        <w:t> </w:t>
      </w:r>
      <w:r>
        <w:rPr>
          <w:sz w:val="20"/>
          <w:vertAlign w:val="baseline"/>
        </w:rPr>
        <w:t>deployed</w:t>
      </w:r>
      <w:r>
        <w:rPr>
          <w:spacing w:val="-5"/>
          <w:sz w:val="20"/>
          <w:vertAlign w:val="baseline"/>
        </w:rPr>
        <w:t> </w:t>
      </w:r>
      <w:r>
        <w:rPr>
          <w:sz w:val="20"/>
          <w:vertAlign w:val="baseline"/>
        </w:rPr>
        <w:t>to</w:t>
      </w:r>
      <w:r>
        <w:rPr>
          <w:spacing w:val="-5"/>
          <w:sz w:val="20"/>
          <w:vertAlign w:val="baseline"/>
        </w:rPr>
        <w:t> </w:t>
      </w:r>
      <w:r>
        <w:rPr>
          <w:sz w:val="20"/>
          <w:vertAlign w:val="baseline"/>
        </w:rPr>
        <w:t>Sudan</w:t>
      </w:r>
      <w:r>
        <w:rPr>
          <w:spacing w:val="-3"/>
          <w:sz w:val="20"/>
          <w:vertAlign w:val="baseline"/>
        </w:rPr>
        <w:t> </w:t>
      </w:r>
      <w:r>
        <w:rPr>
          <w:sz w:val="20"/>
          <w:vertAlign w:val="baseline"/>
        </w:rPr>
        <w:t>under general</w:t>
      </w:r>
      <w:r>
        <w:rPr>
          <w:spacing w:val="-3"/>
          <w:sz w:val="20"/>
          <w:vertAlign w:val="baseline"/>
        </w:rPr>
        <w:t> </w:t>
      </w:r>
      <w:r>
        <w:rPr>
          <w:sz w:val="20"/>
          <w:vertAlign w:val="baseline"/>
        </w:rPr>
        <w:t>temporary</w:t>
      </w:r>
      <w:r>
        <w:rPr>
          <w:spacing w:val="-9"/>
          <w:sz w:val="20"/>
          <w:vertAlign w:val="baseline"/>
        </w:rPr>
        <w:t> </w:t>
      </w:r>
      <w:r>
        <w:rPr>
          <w:sz w:val="20"/>
          <w:vertAlign w:val="baseline"/>
        </w:rPr>
        <w:t>assistance. The post of Chief of Country Office in Uganda is further abolished to create</w:t>
      </w:r>
      <w:r>
        <w:rPr>
          <w:spacing w:val="-1"/>
          <w:sz w:val="20"/>
          <w:vertAlign w:val="baseline"/>
        </w:rPr>
        <w:t> </w:t>
      </w:r>
      <w:r>
        <w:rPr>
          <w:sz w:val="20"/>
          <w:vertAlign w:val="baseline"/>
        </w:rPr>
        <w:t>a new position of Chief of Country Office in Sudan under general temporary assistance which will also oversee the</w:t>
      </w:r>
      <w:r>
        <w:rPr>
          <w:spacing w:val="-2"/>
          <w:sz w:val="20"/>
          <w:vertAlign w:val="baseline"/>
        </w:rPr>
        <w:t> </w:t>
      </w:r>
      <w:r>
        <w:rPr>
          <w:sz w:val="20"/>
          <w:vertAlign w:val="baseline"/>
        </w:rPr>
        <w:t>activities in the DRC</w:t>
      </w:r>
      <w:r>
        <w:rPr>
          <w:spacing w:val="-4"/>
          <w:sz w:val="20"/>
          <w:vertAlign w:val="baseline"/>
        </w:rPr>
        <w:t> </w:t>
      </w:r>
      <w:r>
        <w:rPr>
          <w:sz w:val="20"/>
          <w:vertAlign w:val="baseline"/>
        </w:rPr>
        <w:t>and</w:t>
      </w:r>
      <w:r>
        <w:rPr>
          <w:spacing w:val="-4"/>
          <w:sz w:val="20"/>
          <w:vertAlign w:val="baseline"/>
        </w:rPr>
        <w:t> </w:t>
      </w:r>
      <w:r>
        <w:rPr>
          <w:sz w:val="20"/>
          <w:vertAlign w:val="baseline"/>
        </w:rPr>
        <w:t>Uganda. VWS will also abolish</w:t>
      </w:r>
      <w:r>
        <w:rPr>
          <w:spacing w:val="-4"/>
          <w:sz w:val="20"/>
          <w:vertAlign w:val="baseline"/>
        </w:rPr>
        <w:t> </w:t>
      </w:r>
      <w:r>
        <w:rPr>
          <w:sz w:val="20"/>
          <w:vertAlign w:val="baseline"/>
        </w:rPr>
        <w:t>the</w:t>
      </w:r>
      <w:r>
        <w:rPr>
          <w:spacing w:val="-2"/>
          <w:sz w:val="20"/>
          <w:vertAlign w:val="baseline"/>
        </w:rPr>
        <w:t> </w:t>
      </w:r>
      <w:r>
        <w:rPr>
          <w:sz w:val="20"/>
          <w:vertAlign w:val="baseline"/>
        </w:rPr>
        <w:t>two posts of Field Case Management Assistant in the DRC and request a new position with the same function in Sudan instead of requesting the redeployment of one of the posts in the DRC to Sudan. However, the established Professional posts forming the standard VWS situation team will be redeployed from Uganda to Sudan since the incumbents are recruited for multiple duty stations and are intended to be redeployed whenever a need arises. The differences in the salary scales between the Uganda and Sudan duty stations as well as between established posts</w:t>
      </w:r>
      <w:r>
        <w:rPr>
          <w:spacing w:val="-5"/>
          <w:sz w:val="20"/>
          <w:vertAlign w:val="baseline"/>
        </w:rPr>
        <w:t> </w:t>
      </w:r>
      <w:r>
        <w:rPr>
          <w:sz w:val="20"/>
          <w:vertAlign w:val="baseline"/>
        </w:rPr>
        <w:t>and</w:t>
      </w:r>
      <w:r>
        <w:rPr>
          <w:spacing w:val="-8"/>
          <w:sz w:val="20"/>
          <w:vertAlign w:val="baseline"/>
        </w:rPr>
        <w:t> </w:t>
      </w:r>
      <w:r>
        <w:rPr>
          <w:sz w:val="20"/>
          <w:vertAlign w:val="baseline"/>
        </w:rPr>
        <w:t>positions</w:t>
      </w:r>
      <w:r>
        <w:rPr>
          <w:spacing w:val="-5"/>
          <w:sz w:val="20"/>
          <w:vertAlign w:val="baseline"/>
        </w:rPr>
        <w:t> </w:t>
      </w:r>
      <w:r>
        <w:rPr>
          <w:sz w:val="20"/>
          <w:vertAlign w:val="baseline"/>
        </w:rPr>
        <w:t>under</w:t>
      </w:r>
      <w:r>
        <w:rPr>
          <w:spacing w:val="-8"/>
          <w:sz w:val="20"/>
          <w:vertAlign w:val="baseline"/>
        </w:rPr>
        <w:t> </w:t>
      </w:r>
      <w:r>
        <w:rPr>
          <w:sz w:val="20"/>
          <w:vertAlign w:val="baseline"/>
        </w:rPr>
        <w:t>general</w:t>
      </w:r>
      <w:r>
        <w:rPr>
          <w:spacing w:val="-2"/>
          <w:sz w:val="20"/>
          <w:vertAlign w:val="baseline"/>
        </w:rPr>
        <w:t> </w:t>
      </w:r>
      <w:r>
        <w:rPr>
          <w:sz w:val="20"/>
          <w:vertAlign w:val="baseline"/>
        </w:rPr>
        <w:t>temporary</w:t>
      </w:r>
      <w:r>
        <w:rPr>
          <w:spacing w:val="-4"/>
          <w:sz w:val="20"/>
          <w:vertAlign w:val="baseline"/>
        </w:rPr>
        <w:t> </w:t>
      </w:r>
      <w:r>
        <w:rPr>
          <w:sz w:val="20"/>
          <w:vertAlign w:val="baseline"/>
        </w:rPr>
        <w:t>assistance</w:t>
      </w:r>
      <w:r>
        <w:rPr>
          <w:spacing w:val="-2"/>
          <w:sz w:val="20"/>
          <w:vertAlign w:val="baseline"/>
        </w:rPr>
        <w:t> </w:t>
      </w:r>
      <w:r>
        <w:rPr>
          <w:sz w:val="20"/>
          <w:vertAlign w:val="baseline"/>
        </w:rPr>
        <w:t>will</w:t>
      </w:r>
      <w:r>
        <w:rPr>
          <w:spacing w:val="-2"/>
          <w:sz w:val="20"/>
          <w:vertAlign w:val="baseline"/>
        </w:rPr>
        <w:t> </w:t>
      </w:r>
      <w:r>
        <w:rPr>
          <w:sz w:val="20"/>
          <w:vertAlign w:val="baseline"/>
        </w:rPr>
        <w:t>result</w:t>
      </w:r>
      <w:r>
        <w:rPr>
          <w:spacing w:val="-7"/>
          <w:sz w:val="20"/>
          <w:vertAlign w:val="baseline"/>
        </w:rPr>
        <w:t> </w:t>
      </w:r>
      <w:r>
        <w:rPr>
          <w:sz w:val="20"/>
          <w:vertAlign w:val="baseline"/>
        </w:rPr>
        <w:t>in</w:t>
      </w:r>
      <w:r>
        <w:rPr>
          <w:spacing w:val="-8"/>
          <w:sz w:val="20"/>
          <w:vertAlign w:val="baseline"/>
        </w:rPr>
        <w:t> </w:t>
      </w:r>
      <w:r>
        <w:rPr>
          <w:sz w:val="20"/>
          <w:vertAlign w:val="baseline"/>
        </w:rPr>
        <w:t>a</w:t>
      </w:r>
      <w:r>
        <w:rPr>
          <w:spacing w:val="-2"/>
          <w:sz w:val="20"/>
          <w:vertAlign w:val="baseline"/>
        </w:rPr>
        <w:t> </w:t>
      </w:r>
      <w:r>
        <w:rPr>
          <w:sz w:val="20"/>
          <w:vertAlign w:val="baseline"/>
        </w:rPr>
        <w:t>slight</w:t>
      </w:r>
      <w:r>
        <w:rPr>
          <w:spacing w:val="-7"/>
          <w:sz w:val="20"/>
          <w:vertAlign w:val="baseline"/>
        </w:rPr>
        <w:t> </w:t>
      </w:r>
      <w:r>
        <w:rPr>
          <w:sz w:val="20"/>
          <w:vertAlign w:val="baseline"/>
        </w:rPr>
        <w:t>increase</w:t>
      </w:r>
      <w:r>
        <w:rPr>
          <w:spacing w:val="-2"/>
          <w:sz w:val="20"/>
          <w:vertAlign w:val="baseline"/>
        </w:rPr>
        <w:t> </w:t>
      </w:r>
      <w:r>
        <w:rPr>
          <w:sz w:val="20"/>
          <w:vertAlign w:val="baseline"/>
        </w:rPr>
        <w:t>despite the fact that no new positions are requested in essence.</w:t>
      </w:r>
    </w:p>
    <w:p>
      <w:pPr>
        <w:pStyle w:val="ListParagraph"/>
        <w:numPr>
          <w:ilvl w:val="0"/>
          <w:numId w:val="4"/>
        </w:numPr>
        <w:tabs>
          <w:tab w:pos="2967" w:val="left" w:leader="none"/>
        </w:tabs>
        <w:spacing w:line="240" w:lineRule="auto" w:before="121" w:after="0"/>
        <w:ind w:left="2246" w:right="2240" w:firstLine="0"/>
        <w:jc w:val="both"/>
        <w:rPr>
          <w:sz w:val="20"/>
        </w:rPr>
      </w:pPr>
      <w:r>
        <w:rPr>
          <w:sz w:val="20"/>
        </w:rPr>
        <w:t>The</w:t>
      </w:r>
      <w:r>
        <w:rPr>
          <w:spacing w:val="-3"/>
          <w:sz w:val="20"/>
        </w:rPr>
        <w:t> </w:t>
      </w:r>
      <w:r>
        <w:rPr>
          <w:sz w:val="20"/>
        </w:rPr>
        <w:t>same</w:t>
      </w:r>
      <w:r>
        <w:rPr>
          <w:spacing w:val="-3"/>
          <w:sz w:val="20"/>
        </w:rPr>
        <w:t> </w:t>
      </w:r>
      <w:r>
        <w:rPr>
          <w:sz w:val="20"/>
        </w:rPr>
        <w:t>rationale</w:t>
      </w:r>
      <w:r>
        <w:rPr>
          <w:spacing w:val="-3"/>
          <w:sz w:val="20"/>
        </w:rPr>
        <w:t> </w:t>
      </w:r>
      <w:r>
        <w:rPr>
          <w:sz w:val="20"/>
        </w:rPr>
        <w:t>applies</w:t>
      </w:r>
      <w:r>
        <w:rPr>
          <w:spacing w:val="-5"/>
          <w:sz w:val="20"/>
        </w:rPr>
        <w:t> </w:t>
      </w:r>
      <w:r>
        <w:rPr>
          <w:sz w:val="20"/>
        </w:rPr>
        <w:t>to</w:t>
      </w:r>
      <w:r>
        <w:rPr>
          <w:spacing w:val="-5"/>
          <w:sz w:val="20"/>
        </w:rPr>
        <w:t> </w:t>
      </w:r>
      <w:r>
        <w:rPr>
          <w:sz w:val="20"/>
        </w:rPr>
        <w:t>the</w:t>
      </w:r>
      <w:r>
        <w:rPr>
          <w:spacing w:val="-3"/>
          <w:sz w:val="20"/>
        </w:rPr>
        <w:t> </w:t>
      </w:r>
      <w:r>
        <w:rPr>
          <w:sz w:val="20"/>
        </w:rPr>
        <w:t>other posts</w:t>
      </w:r>
      <w:r>
        <w:rPr>
          <w:spacing w:val="-1"/>
          <w:sz w:val="20"/>
        </w:rPr>
        <w:t> </w:t>
      </w:r>
      <w:r>
        <w:rPr>
          <w:sz w:val="20"/>
        </w:rPr>
        <w:t>whose</w:t>
      </w:r>
      <w:r>
        <w:rPr>
          <w:spacing w:val="-3"/>
          <w:sz w:val="20"/>
        </w:rPr>
        <w:t> </w:t>
      </w:r>
      <w:r>
        <w:rPr>
          <w:sz w:val="20"/>
        </w:rPr>
        <w:t>abolishment</w:t>
      </w:r>
      <w:r>
        <w:rPr>
          <w:spacing w:val="-3"/>
          <w:sz w:val="20"/>
        </w:rPr>
        <w:t> </w:t>
      </w:r>
      <w:r>
        <w:rPr>
          <w:sz w:val="20"/>
        </w:rPr>
        <w:t>is</w:t>
      </w:r>
      <w:r>
        <w:rPr>
          <w:spacing w:val="-1"/>
          <w:sz w:val="20"/>
        </w:rPr>
        <w:t> </w:t>
      </w:r>
      <w:r>
        <w:rPr>
          <w:sz w:val="20"/>
        </w:rPr>
        <w:t>being requested for 2023, including those which were also defunded for 2022.</w:t>
      </w:r>
      <w:r>
        <w:rPr>
          <w:sz w:val="20"/>
          <w:vertAlign w:val="superscript"/>
        </w:rPr>
        <w:t>121</w:t>
      </w:r>
      <w:r>
        <w:rPr>
          <w:sz w:val="20"/>
          <w:vertAlign w:val="baseline"/>
        </w:rPr>
        <w:t> The Registry does not foresee the need for their redeployment to other duty stations in the coming years and will request additional resources under general temporary assistance when a need arises in other situation</w:t>
      </w:r>
      <w:r>
        <w:rPr>
          <w:spacing w:val="-9"/>
          <w:sz w:val="20"/>
          <w:vertAlign w:val="baseline"/>
        </w:rPr>
        <w:t> </w:t>
      </w:r>
      <w:r>
        <w:rPr>
          <w:sz w:val="20"/>
          <w:vertAlign w:val="baseline"/>
        </w:rPr>
        <w:t>countries.</w:t>
      </w:r>
      <w:r>
        <w:rPr>
          <w:spacing w:val="-10"/>
          <w:sz w:val="20"/>
          <w:vertAlign w:val="baseline"/>
        </w:rPr>
        <w:t> </w:t>
      </w:r>
      <w:r>
        <w:rPr>
          <w:sz w:val="20"/>
          <w:vertAlign w:val="baseline"/>
        </w:rPr>
        <w:t>The</w:t>
      </w:r>
      <w:r>
        <w:rPr>
          <w:spacing w:val="-11"/>
          <w:sz w:val="20"/>
          <w:vertAlign w:val="baseline"/>
        </w:rPr>
        <w:t> </w:t>
      </w:r>
      <w:r>
        <w:rPr>
          <w:sz w:val="20"/>
          <w:vertAlign w:val="baseline"/>
        </w:rPr>
        <w:t>Registry</w:t>
      </w:r>
      <w:r>
        <w:rPr>
          <w:spacing w:val="-8"/>
          <w:sz w:val="20"/>
          <w:vertAlign w:val="baseline"/>
        </w:rPr>
        <w:t> </w:t>
      </w:r>
      <w:r>
        <w:rPr>
          <w:sz w:val="20"/>
          <w:vertAlign w:val="baseline"/>
        </w:rPr>
        <w:t>however</w:t>
      </w:r>
      <w:r>
        <w:rPr>
          <w:spacing w:val="-8"/>
          <w:sz w:val="20"/>
          <w:vertAlign w:val="baseline"/>
        </w:rPr>
        <w:t> </w:t>
      </w:r>
      <w:r>
        <w:rPr>
          <w:sz w:val="20"/>
          <w:vertAlign w:val="baseline"/>
        </w:rPr>
        <w:t>requests</w:t>
      </w:r>
      <w:r>
        <w:rPr>
          <w:spacing w:val="-13"/>
          <w:sz w:val="20"/>
          <w:vertAlign w:val="baseline"/>
        </w:rPr>
        <w:t> </w:t>
      </w:r>
      <w:r>
        <w:rPr>
          <w:sz w:val="20"/>
          <w:vertAlign w:val="baseline"/>
        </w:rPr>
        <w:t>the</w:t>
      </w:r>
      <w:r>
        <w:rPr>
          <w:spacing w:val="-7"/>
          <w:sz w:val="20"/>
          <w:vertAlign w:val="baseline"/>
        </w:rPr>
        <w:t> </w:t>
      </w:r>
      <w:r>
        <w:rPr>
          <w:sz w:val="20"/>
          <w:vertAlign w:val="baseline"/>
        </w:rPr>
        <w:t>defunding</w:t>
      </w:r>
      <w:r>
        <w:rPr>
          <w:spacing w:val="-8"/>
          <w:sz w:val="20"/>
          <w:vertAlign w:val="baseline"/>
        </w:rPr>
        <w:t> </w:t>
      </w:r>
      <w:r>
        <w:rPr>
          <w:sz w:val="20"/>
          <w:vertAlign w:val="baseline"/>
        </w:rPr>
        <w:t>of</w:t>
      </w:r>
      <w:r>
        <w:rPr>
          <w:spacing w:val="-8"/>
          <w:sz w:val="20"/>
          <w:vertAlign w:val="baseline"/>
        </w:rPr>
        <w:t> </w:t>
      </w:r>
      <w:r>
        <w:rPr>
          <w:sz w:val="20"/>
          <w:vertAlign w:val="baseline"/>
        </w:rPr>
        <w:t>five</w:t>
      </w:r>
      <w:r>
        <w:rPr>
          <w:spacing w:val="-7"/>
          <w:sz w:val="20"/>
          <w:vertAlign w:val="baseline"/>
        </w:rPr>
        <w:t> </w:t>
      </w:r>
      <w:r>
        <w:rPr>
          <w:sz w:val="20"/>
          <w:vertAlign w:val="baseline"/>
        </w:rPr>
        <w:t>posts</w:t>
      </w:r>
      <w:r>
        <w:rPr>
          <w:spacing w:val="-10"/>
          <w:sz w:val="20"/>
          <w:vertAlign w:val="baseline"/>
        </w:rPr>
        <w:t> </w:t>
      </w:r>
      <w:r>
        <w:rPr>
          <w:sz w:val="20"/>
          <w:vertAlign w:val="baseline"/>
        </w:rPr>
        <w:t>in</w:t>
      </w:r>
      <w:r>
        <w:rPr>
          <w:spacing w:val="-8"/>
          <w:sz w:val="20"/>
          <w:vertAlign w:val="baseline"/>
        </w:rPr>
        <w:t> </w:t>
      </w:r>
      <w:r>
        <w:rPr>
          <w:sz w:val="20"/>
          <w:vertAlign w:val="baseline"/>
        </w:rPr>
        <w:t>the</w:t>
      </w:r>
      <w:r>
        <w:rPr>
          <w:spacing w:val="-7"/>
          <w:sz w:val="20"/>
          <w:vertAlign w:val="baseline"/>
        </w:rPr>
        <w:t> </w:t>
      </w:r>
      <w:r>
        <w:rPr>
          <w:sz w:val="20"/>
          <w:vertAlign w:val="baseline"/>
        </w:rPr>
        <w:t>Country Office</w:t>
      </w:r>
      <w:r>
        <w:rPr>
          <w:spacing w:val="-13"/>
          <w:sz w:val="20"/>
          <w:vertAlign w:val="baseline"/>
        </w:rPr>
        <w:t> </w:t>
      </w:r>
      <w:r>
        <w:rPr>
          <w:sz w:val="20"/>
          <w:vertAlign w:val="baseline"/>
        </w:rPr>
        <w:t>(Côte</w:t>
      </w:r>
      <w:r>
        <w:rPr>
          <w:spacing w:val="-12"/>
          <w:sz w:val="20"/>
          <w:vertAlign w:val="baseline"/>
        </w:rPr>
        <w:t> </w:t>
      </w:r>
      <w:r>
        <w:rPr>
          <w:sz w:val="20"/>
          <w:vertAlign w:val="baseline"/>
        </w:rPr>
        <w:t>d’Ivoire)</w:t>
      </w:r>
      <w:r>
        <w:rPr>
          <w:spacing w:val="-13"/>
          <w:sz w:val="20"/>
          <w:vertAlign w:val="baseline"/>
        </w:rPr>
        <w:t> </w:t>
      </w:r>
      <w:r>
        <w:rPr>
          <w:sz w:val="20"/>
          <w:vertAlign w:val="baseline"/>
        </w:rPr>
        <w:t>because</w:t>
      </w:r>
      <w:r>
        <w:rPr>
          <w:spacing w:val="-12"/>
          <w:sz w:val="20"/>
          <w:vertAlign w:val="baseline"/>
        </w:rPr>
        <w:t> </w:t>
      </w:r>
      <w:r>
        <w:rPr>
          <w:sz w:val="20"/>
          <w:vertAlign w:val="baseline"/>
        </w:rPr>
        <w:t>of</w:t>
      </w:r>
      <w:r>
        <w:rPr>
          <w:spacing w:val="-13"/>
          <w:sz w:val="20"/>
          <w:vertAlign w:val="baseline"/>
        </w:rPr>
        <w:t> </w:t>
      </w:r>
      <w:r>
        <w:rPr>
          <w:sz w:val="20"/>
          <w:vertAlign w:val="baseline"/>
        </w:rPr>
        <w:t>the</w:t>
      </w:r>
      <w:r>
        <w:rPr>
          <w:spacing w:val="-12"/>
          <w:sz w:val="20"/>
          <w:vertAlign w:val="baseline"/>
        </w:rPr>
        <w:t> </w:t>
      </w:r>
      <w:r>
        <w:rPr>
          <w:sz w:val="20"/>
          <w:vertAlign w:val="baseline"/>
        </w:rPr>
        <w:t>Court’s</w:t>
      </w:r>
      <w:r>
        <w:rPr>
          <w:spacing w:val="-13"/>
          <w:sz w:val="20"/>
          <w:vertAlign w:val="baseline"/>
        </w:rPr>
        <w:t> </w:t>
      </w:r>
      <w:r>
        <w:rPr>
          <w:sz w:val="20"/>
          <w:vertAlign w:val="baseline"/>
        </w:rPr>
        <w:t>reduced</w:t>
      </w:r>
      <w:r>
        <w:rPr>
          <w:spacing w:val="-12"/>
          <w:sz w:val="20"/>
          <w:vertAlign w:val="baseline"/>
        </w:rPr>
        <w:t> </w:t>
      </w:r>
      <w:r>
        <w:rPr>
          <w:sz w:val="20"/>
          <w:vertAlign w:val="baseline"/>
        </w:rPr>
        <w:t>activities</w:t>
      </w:r>
      <w:r>
        <w:rPr>
          <w:spacing w:val="-13"/>
          <w:sz w:val="20"/>
          <w:vertAlign w:val="baseline"/>
        </w:rPr>
        <w:t> </w:t>
      </w:r>
      <w:r>
        <w:rPr>
          <w:sz w:val="20"/>
          <w:vertAlign w:val="baseline"/>
        </w:rPr>
        <w:t>in</w:t>
      </w:r>
      <w:r>
        <w:rPr>
          <w:spacing w:val="-12"/>
          <w:sz w:val="20"/>
          <w:vertAlign w:val="baseline"/>
        </w:rPr>
        <w:t> </w:t>
      </w:r>
      <w:r>
        <w:rPr>
          <w:sz w:val="20"/>
          <w:vertAlign w:val="baseline"/>
        </w:rPr>
        <w:t>that</w:t>
      </w:r>
      <w:r>
        <w:rPr>
          <w:spacing w:val="-13"/>
          <w:sz w:val="20"/>
          <w:vertAlign w:val="baseline"/>
        </w:rPr>
        <w:t> </w:t>
      </w:r>
      <w:r>
        <w:rPr>
          <w:sz w:val="20"/>
          <w:vertAlign w:val="baseline"/>
        </w:rPr>
        <w:t>country</w:t>
      </w:r>
      <w:r>
        <w:rPr>
          <w:spacing w:val="-12"/>
          <w:sz w:val="20"/>
          <w:vertAlign w:val="baseline"/>
        </w:rPr>
        <w:t> </w:t>
      </w:r>
      <w:r>
        <w:rPr>
          <w:sz w:val="20"/>
          <w:vertAlign w:val="baseline"/>
        </w:rPr>
        <w:t>and</w:t>
      </w:r>
      <w:r>
        <w:rPr>
          <w:spacing w:val="-13"/>
          <w:sz w:val="20"/>
          <w:vertAlign w:val="baseline"/>
        </w:rPr>
        <w:t> </w:t>
      </w:r>
      <w:r>
        <w:rPr>
          <w:sz w:val="20"/>
          <w:vertAlign w:val="baseline"/>
        </w:rPr>
        <w:t>the</w:t>
      </w:r>
      <w:r>
        <w:rPr>
          <w:spacing w:val="-12"/>
          <w:sz w:val="20"/>
          <w:vertAlign w:val="baseline"/>
        </w:rPr>
        <w:t> </w:t>
      </w:r>
      <w:r>
        <w:rPr>
          <w:sz w:val="20"/>
          <w:vertAlign w:val="baseline"/>
        </w:rPr>
        <w:t>limited support required from the office for 2023. Following the OTP’s announcement that it is to continue its</w:t>
      </w:r>
      <w:r>
        <w:rPr>
          <w:spacing w:val="-2"/>
          <w:sz w:val="20"/>
          <w:vertAlign w:val="baseline"/>
        </w:rPr>
        <w:t> </w:t>
      </w:r>
      <w:r>
        <w:rPr>
          <w:sz w:val="20"/>
          <w:vertAlign w:val="baseline"/>
        </w:rPr>
        <w:t>investigation in</w:t>
      </w:r>
      <w:r>
        <w:rPr>
          <w:spacing w:val="-5"/>
          <w:sz w:val="20"/>
          <w:vertAlign w:val="baseline"/>
        </w:rPr>
        <w:t> </w:t>
      </w:r>
      <w:r>
        <w:rPr>
          <w:sz w:val="20"/>
          <w:vertAlign w:val="baseline"/>
        </w:rPr>
        <w:t>the situation in</w:t>
      </w:r>
      <w:r>
        <w:rPr>
          <w:spacing w:val="-5"/>
          <w:sz w:val="20"/>
          <w:vertAlign w:val="baseline"/>
        </w:rPr>
        <w:t> </w:t>
      </w:r>
      <w:r>
        <w:rPr>
          <w:sz w:val="20"/>
          <w:vertAlign w:val="baseline"/>
        </w:rPr>
        <w:t>Côte d’Ivoire, instead</w:t>
      </w:r>
      <w:r>
        <w:rPr>
          <w:spacing w:val="-5"/>
          <w:sz w:val="20"/>
          <w:vertAlign w:val="baseline"/>
        </w:rPr>
        <w:t> </w:t>
      </w:r>
      <w:r>
        <w:rPr>
          <w:sz w:val="20"/>
          <w:vertAlign w:val="baseline"/>
        </w:rPr>
        <w:t>of requesting all</w:t>
      </w:r>
      <w:r>
        <w:rPr>
          <w:spacing w:val="-3"/>
          <w:sz w:val="20"/>
          <w:vertAlign w:val="baseline"/>
        </w:rPr>
        <w:t> </w:t>
      </w:r>
      <w:r>
        <w:rPr>
          <w:sz w:val="20"/>
          <w:vertAlign w:val="baseline"/>
        </w:rPr>
        <w:t>the posts that</w:t>
      </w:r>
      <w:r>
        <w:rPr>
          <w:spacing w:val="-7"/>
          <w:sz w:val="20"/>
          <w:vertAlign w:val="baseline"/>
        </w:rPr>
        <w:t> </w:t>
      </w:r>
      <w:r>
        <w:rPr>
          <w:sz w:val="20"/>
          <w:vertAlign w:val="baseline"/>
        </w:rPr>
        <w:t>are</w:t>
      </w:r>
      <w:r>
        <w:rPr>
          <w:spacing w:val="-7"/>
          <w:sz w:val="20"/>
          <w:vertAlign w:val="baseline"/>
        </w:rPr>
        <w:t> </w:t>
      </w:r>
      <w:r>
        <w:rPr>
          <w:sz w:val="20"/>
          <w:vertAlign w:val="baseline"/>
        </w:rPr>
        <w:t>no</w:t>
      </w:r>
      <w:r>
        <w:rPr>
          <w:spacing w:val="-13"/>
          <w:sz w:val="20"/>
          <w:vertAlign w:val="baseline"/>
        </w:rPr>
        <w:t> </w:t>
      </w:r>
      <w:r>
        <w:rPr>
          <w:sz w:val="20"/>
          <w:vertAlign w:val="baseline"/>
        </w:rPr>
        <w:t>longer</w:t>
      </w:r>
      <w:r>
        <w:rPr>
          <w:spacing w:val="-8"/>
          <w:sz w:val="20"/>
          <w:vertAlign w:val="baseline"/>
        </w:rPr>
        <w:t> </w:t>
      </w:r>
      <w:r>
        <w:rPr>
          <w:sz w:val="20"/>
          <w:vertAlign w:val="baseline"/>
        </w:rPr>
        <w:t>justified</w:t>
      </w:r>
      <w:r>
        <w:rPr>
          <w:spacing w:val="-13"/>
          <w:sz w:val="20"/>
          <w:vertAlign w:val="baseline"/>
        </w:rPr>
        <w:t> </w:t>
      </w:r>
      <w:r>
        <w:rPr>
          <w:sz w:val="20"/>
          <w:vertAlign w:val="baseline"/>
        </w:rPr>
        <w:t>in</w:t>
      </w:r>
      <w:r>
        <w:rPr>
          <w:spacing w:val="-8"/>
          <w:sz w:val="20"/>
          <w:vertAlign w:val="baseline"/>
        </w:rPr>
        <w:t> </w:t>
      </w:r>
      <w:r>
        <w:rPr>
          <w:sz w:val="20"/>
          <w:vertAlign w:val="baseline"/>
        </w:rPr>
        <w:t>the</w:t>
      </w:r>
      <w:r>
        <w:rPr>
          <w:spacing w:val="-7"/>
          <w:sz w:val="20"/>
          <w:vertAlign w:val="baseline"/>
        </w:rPr>
        <w:t> </w:t>
      </w:r>
      <w:r>
        <w:rPr>
          <w:sz w:val="20"/>
          <w:vertAlign w:val="baseline"/>
        </w:rPr>
        <w:t>light</w:t>
      </w:r>
      <w:r>
        <w:rPr>
          <w:spacing w:val="-7"/>
          <w:sz w:val="20"/>
          <w:vertAlign w:val="baseline"/>
        </w:rPr>
        <w:t> </w:t>
      </w:r>
      <w:r>
        <w:rPr>
          <w:sz w:val="20"/>
          <w:vertAlign w:val="baseline"/>
        </w:rPr>
        <w:t>of</w:t>
      </w:r>
      <w:r>
        <w:rPr>
          <w:spacing w:val="-8"/>
          <w:sz w:val="20"/>
          <w:vertAlign w:val="baseline"/>
        </w:rPr>
        <w:t> </w:t>
      </w:r>
      <w:r>
        <w:rPr>
          <w:sz w:val="20"/>
          <w:vertAlign w:val="baseline"/>
        </w:rPr>
        <w:t>the</w:t>
      </w:r>
      <w:r>
        <w:rPr>
          <w:spacing w:val="-11"/>
          <w:sz w:val="20"/>
          <w:vertAlign w:val="baseline"/>
        </w:rPr>
        <w:t> </w:t>
      </w:r>
      <w:r>
        <w:rPr>
          <w:sz w:val="20"/>
          <w:vertAlign w:val="baseline"/>
        </w:rPr>
        <w:t>limited</w:t>
      </w:r>
      <w:r>
        <w:rPr>
          <w:spacing w:val="-8"/>
          <w:sz w:val="20"/>
          <w:vertAlign w:val="baseline"/>
        </w:rPr>
        <w:t> </w:t>
      </w:r>
      <w:r>
        <w:rPr>
          <w:sz w:val="20"/>
          <w:vertAlign w:val="baseline"/>
        </w:rPr>
        <w:t>support</w:t>
      </w:r>
      <w:r>
        <w:rPr>
          <w:spacing w:val="-7"/>
          <w:sz w:val="20"/>
          <w:vertAlign w:val="baseline"/>
        </w:rPr>
        <w:t> </w:t>
      </w:r>
      <w:r>
        <w:rPr>
          <w:sz w:val="20"/>
          <w:vertAlign w:val="baseline"/>
        </w:rPr>
        <w:t>required</w:t>
      </w:r>
      <w:r>
        <w:rPr>
          <w:spacing w:val="-8"/>
          <w:sz w:val="20"/>
          <w:vertAlign w:val="baseline"/>
        </w:rPr>
        <w:t> </w:t>
      </w:r>
      <w:r>
        <w:rPr>
          <w:sz w:val="20"/>
          <w:vertAlign w:val="baseline"/>
        </w:rPr>
        <w:t>from</w:t>
      </w:r>
      <w:r>
        <w:rPr>
          <w:spacing w:val="-12"/>
          <w:sz w:val="20"/>
          <w:vertAlign w:val="baseline"/>
        </w:rPr>
        <w:t> </w:t>
      </w:r>
      <w:r>
        <w:rPr>
          <w:sz w:val="20"/>
          <w:vertAlign w:val="baseline"/>
        </w:rPr>
        <w:t>the</w:t>
      </w:r>
      <w:r>
        <w:rPr>
          <w:spacing w:val="-11"/>
          <w:sz w:val="20"/>
          <w:vertAlign w:val="baseline"/>
        </w:rPr>
        <w:t> </w:t>
      </w:r>
      <w:r>
        <w:rPr>
          <w:sz w:val="20"/>
          <w:vertAlign w:val="baseline"/>
        </w:rPr>
        <w:t>country</w:t>
      </w:r>
      <w:r>
        <w:rPr>
          <w:spacing w:val="-8"/>
          <w:sz w:val="20"/>
          <w:vertAlign w:val="baseline"/>
        </w:rPr>
        <w:t> </w:t>
      </w:r>
      <w:r>
        <w:rPr>
          <w:sz w:val="20"/>
          <w:vertAlign w:val="baseline"/>
        </w:rPr>
        <w:t>office, the Registry requests that they be maintained without funding. Should the continuing investigation conducted by the OTP in the CIV II situation result in the issuance of any warrants of arrest, the Registry will consider requesting that the unfunded posts be funded again if there is a significant increase in activities in-country. In the meantime, the post of Chief of Country Office (Côte d’Ivoire) is requested to be redeployed to the office in Mali which will oversee residual activities in Côte d’Ivoire.</w:t>
      </w:r>
    </w:p>
    <w:p>
      <w:pPr>
        <w:pStyle w:val="BodyText"/>
        <w:spacing w:before="3"/>
        <w:rPr>
          <w:sz w:val="27"/>
        </w:rPr>
      </w:pPr>
      <w:r>
        <w:rPr/>
        <w:pict>
          <v:rect style="position:absolute;margin-left:113.330002pt;margin-top:16.900742pt;width:144.050pt;height:.48004pt;mso-position-horizontal-relative:page;mso-position-vertical-relative:paragraph;z-index:-15690240;mso-wrap-distance-left:0;mso-wrap-distance-right:0" id="docshape250" filled="true" fillcolor="#000000" stroked="false">
            <v:fill type="solid"/>
            <w10:wrap type="topAndBottom"/>
          </v:rect>
        </w:pict>
      </w:r>
    </w:p>
    <w:p>
      <w:pPr>
        <w:spacing w:before="86"/>
        <w:ind w:left="2246" w:right="2244" w:firstLine="0"/>
        <w:jc w:val="both"/>
        <w:rPr>
          <w:sz w:val="16"/>
        </w:rPr>
      </w:pPr>
      <w:r>
        <w:rPr>
          <w:position w:val="5"/>
          <w:sz w:val="10"/>
        </w:rPr>
        <w:t>118</w:t>
      </w:r>
      <w:r>
        <w:rPr>
          <w:spacing w:val="13"/>
          <w:position w:val="5"/>
          <w:sz w:val="10"/>
        </w:rPr>
        <w:t> </w:t>
      </w:r>
      <w:r>
        <w:rPr>
          <w:sz w:val="16"/>
        </w:rPr>
        <w:t>The</w:t>
      </w:r>
      <w:r>
        <w:rPr>
          <w:spacing w:val="-2"/>
          <w:sz w:val="16"/>
        </w:rPr>
        <w:t> </w:t>
      </w:r>
      <w:r>
        <w:rPr>
          <w:sz w:val="16"/>
        </w:rPr>
        <w:t>VWS</w:t>
      </w:r>
      <w:r>
        <w:rPr>
          <w:spacing w:val="-1"/>
          <w:sz w:val="16"/>
        </w:rPr>
        <w:t> </w:t>
      </w:r>
      <w:r>
        <w:rPr>
          <w:sz w:val="16"/>
        </w:rPr>
        <w:t>standard</w:t>
      </w:r>
      <w:r>
        <w:rPr>
          <w:spacing w:val="-2"/>
          <w:sz w:val="16"/>
        </w:rPr>
        <w:t> </w:t>
      </w:r>
      <w:r>
        <w:rPr>
          <w:sz w:val="16"/>
        </w:rPr>
        <w:t>situation</w:t>
      </w:r>
      <w:r>
        <w:rPr>
          <w:spacing w:val="-2"/>
          <w:sz w:val="16"/>
        </w:rPr>
        <w:t> </w:t>
      </w:r>
      <w:r>
        <w:rPr>
          <w:sz w:val="16"/>
        </w:rPr>
        <w:t>team comprises</w:t>
      </w:r>
      <w:r>
        <w:rPr>
          <w:spacing w:val="-4"/>
          <w:sz w:val="16"/>
        </w:rPr>
        <w:t> </w:t>
      </w:r>
      <w:r>
        <w:rPr>
          <w:sz w:val="16"/>
        </w:rPr>
        <w:t>one</w:t>
      </w:r>
      <w:r>
        <w:rPr>
          <w:spacing w:val="-3"/>
          <w:sz w:val="16"/>
        </w:rPr>
        <w:t> </w:t>
      </w:r>
      <w:r>
        <w:rPr>
          <w:sz w:val="16"/>
        </w:rPr>
        <w:t>Associate</w:t>
      </w:r>
      <w:r>
        <w:rPr>
          <w:spacing w:val="-3"/>
          <w:sz w:val="16"/>
        </w:rPr>
        <w:t> </w:t>
      </w:r>
      <w:r>
        <w:rPr>
          <w:sz w:val="16"/>
        </w:rPr>
        <w:t>Team</w:t>
      </w:r>
      <w:r>
        <w:rPr>
          <w:spacing w:val="-3"/>
          <w:sz w:val="16"/>
        </w:rPr>
        <w:t> </w:t>
      </w:r>
      <w:r>
        <w:rPr>
          <w:sz w:val="16"/>
        </w:rPr>
        <w:t>Leader,</w:t>
      </w:r>
      <w:r>
        <w:rPr>
          <w:spacing w:val="-5"/>
          <w:sz w:val="16"/>
        </w:rPr>
        <w:t> </w:t>
      </w:r>
      <w:r>
        <w:rPr>
          <w:sz w:val="16"/>
        </w:rPr>
        <w:t>one</w:t>
      </w:r>
      <w:r>
        <w:rPr>
          <w:spacing w:val="-3"/>
          <w:sz w:val="16"/>
        </w:rPr>
        <w:t> </w:t>
      </w:r>
      <w:r>
        <w:rPr>
          <w:sz w:val="16"/>
        </w:rPr>
        <w:t>Associate</w:t>
      </w:r>
      <w:r>
        <w:rPr>
          <w:spacing w:val="-3"/>
          <w:sz w:val="16"/>
        </w:rPr>
        <w:t> </w:t>
      </w:r>
      <w:r>
        <w:rPr>
          <w:sz w:val="16"/>
        </w:rPr>
        <w:t>Field</w:t>
      </w:r>
      <w:r>
        <w:rPr>
          <w:spacing w:val="-2"/>
          <w:sz w:val="16"/>
        </w:rPr>
        <w:t> </w:t>
      </w:r>
      <w:r>
        <w:rPr>
          <w:sz w:val="16"/>
        </w:rPr>
        <w:t>Case</w:t>
      </w:r>
      <w:r>
        <w:rPr>
          <w:spacing w:val="-3"/>
          <w:sz w:val="16"/>
        </w:rPr>
        <w:t> </w:t>
      </w:r>
      <w:r>
        <w:rPr>
          <w:sz w:val="16"/>
        </w:rPr>
        <w:t>Officer,</w:t>
      </w:r>
      <w:r>
        <w:rPr>
          <w:spacing w:val="-5"/>
          <w:sz w:val="16"/>
        </w:rPr>
        <w:t> </w:t>
      </w:r>
      <w:r>
        <w:rPr>
          <w:sz w:val="16"/>
        </w:rPr>
        <w:t>one</w:t>
      </w:r>
      <w:r>
        <w:rPr>
          <w:spacing w:val="40"/>
          <w:sz w:val="16"/>
        </w:rPr>
        <w:t> </w:t>
      </w:r>
      <w:r>
        <w:rPr>
          <w:sz w:val="16"/>
        </w:rPr>
        <w:t>Associate Welfare Officer and two Field Case Management Assistants.</w:t>
      </w:r>
    </w:p>
    <w:p>
      <w:pPr>
        <w:spacing w:line="244" w:lineRule="auto" w:before="0"/>
        <w:ind w:left="2246" w:right="2247" w:firstLine="0"/>
        <w:jc w:val="both"/>
        <w:rPr>
          <w:sz w:val="16"/>
        </w:rPr>
      </w:pPr>
      <w:r>
        <w:rPr>
          <w:position w:val="5"/>
          <w:sz w:val="10"/>
        </w:rPr>
        <w:t>119</w:t>
      </w:r>
      <w:r>
        <w:rPr>
          <w:spacing w:val="18"/>
          <w:position w:val="5"/>
          <w:sz w:val="10"/>
        </w:rPr>
        <w:t> </w:t>
      </w:r>
      <w:r>
        <w:rPr>
          <w:sz w:val="16"/>
        </w:rPr>
        <w:t>The Registry basic set-up in the field comprises one Administration and Operations Officer,</w:t>
      </w:r>
      <w:r>
        <w:rPr>
          <w:spacing w:val="-1"/>
          <w:sz w:val="16"/>
        </w:rPr>
        <w:t> </w:t>
      </w:r>
      <w:r>
        <w:rPr>
          <w:sz w:val="16"/>
        </w:rPr>
        <w:t>one Field Security</w:t>
      </w:r>
      <w:r>
        <w:rPr>
          <w:spacing w:val="40"/>
          <w:sz w:val="16"/>
        </w:rPr>
        <w:t> </w:t>
      </w:r>
      <w:r>
        <w:rPr>
          <w:sz w:val="16"/>
        </w:rPr>
        <w:t>Officer and/or one Associate Field Security Officer and one Administrative Assistant.</w:t>
      </w:r>
    </w:p>
    <w:p>
      <w:pPr>
        <w:spacing w:line="240" w:lineRule="auto" w:before="0"/>
        <w:ind w:left="2246" w:right="2239" w:firstLine="0"/>
        <w:jc w:val="both"/>
        <w:rPr>
          <w:sz w:val="16"/>
        </w:rPr>
      </w:pPr>
      <w:r>
        <w:rPr>
          <w:position w:val="5"/>
          <w:sz w:val="10"/>
        </w:rPr>
        <w:t>120</w:t>
      </w:r>
      <w:r>
        <w:rPr>
          <w:spacing w:val="37"/>
          <w:position w:val="5"/>
          <w:sz w:val="10"/>
        </w:rPr>
        <w:t> </w:t>
      </w:r>
      <w:r>
        <w:rPr>
          <w:sz w:val="16"/>
        </w:rPr>
        <w:t>(1) One established Associate Team Leader, (2) one Associate Field Case Officer under general temporary</w:t>
      </w:r>
      <w:r>
        <w:rPr>
          <w:spacing w:val="40"/>
          <w:sz w:val="16"/>
        </w:rPr>
        <w:t> </w:t>
      </w:r>
      <w:r>
        <w:rPr>
          <w:sz w:val="16"/>
        </w:rPr>
        <w:t>assistance, (3) one established Associate Welfare Officer, (4) one Field Case Management</w:t>
      </w:r>
      <w:r>
        <w:rPr>
          <w:spacing w:val="-1"/>
          <w:sz w:val="16"/>
        </w:rPr>
        <w:t> </w:t>
      </w:r>
      <w:r>
        <w:rPr>
          <w:sz w:val="16"/>
        </w:rPr>
        <w:t>Assistant</w:t>
      </w:r>
      <w:r>
        <w:rPr>
          <w:spacing w:val="-1"/>
          <w:sz w:val="16"/>
        </w:rPr>
        <w:t> </w:t>
      </w:r>
      <w:r>
        <w:rPr>
          <w:sz w:val="16"/>
        </w:rPr>
        <w:t>under general</w:t>
      </w:r>
      <w:r>
        <w:rPr>
          <w:spacing w:val="40"/>
          <w:sz w:val="16"/>
        </w:rPr>
        <w:t> </w:t>
      </w:r>
      <w:r>
        <w:rPr>
          <w:sz w:val="16"/>
        </w:rPr>
        <w:t>temporary</w:t>
      </w:r>
      <w:r>
        <w:rPr>
          <w:spacing w:val="-2"/>
          <w:sz w:val="16"/>
        </w:rPr>
        <w:t> </w:t>
      </w:r>
      <w:r>
        <w:rPr>
          <w:sz w:val="16"/>
        </w:rPr>
        <w:t>assistance,</w:t>
      </w:r>
      <w:r>
        <w:rPr>
          <w:spacing w:val="-3"/>
          <w:sz w:val="16"/>
        </w:rPr>
        <w:t> </w:t>
      </w:r>
      <w:r>
        <w:rPr>
          <w:sz w:val="16"/>
        </w:rPr>
        <w:t>(5)</w:t>
      </w:r>
      <w:r>
        <w:rPr>
          <w:spacing w:val="-4"/>
          <w:sz w:val="16"/>
        </w:rPr>
        <w:t> </w:t>
      </w:r>
      <w:r>
        <w:rPr>
          <w:sz w:val="16"/>
        </w:rPr>
        <w:t>one</w:t>
      </w:r>
      <w:r>
        <w:rPr>
          <w:spacing w:val="-3"/>
          <w:sz w:val="16"/>
        </w:rPr>
        <w:t> </w:t>
      </w:r>
      <w:r>
        <w:rPr>
          <w:sz w:val="16"/>
        </w:rPr>
        <w:t>established</w:t>
      </w:r>
      <w:r>
        <w:rPr>
          <w:spacing w:val="-2"/>
          <w:sz w:val="16"/>
        </w:rPr>
        <w:t> </w:t>
      </w:r>
      <w:r>
        <w:rPr>
          <w:sz w:val="16"/>
        </w:rPr>
        <w:t>Administration</w:t>
      </w:r>
      <w:r>
        <w:rPr>
          <w:spacing w:val="-2"/>
          <w:sz w:val="16"/>
        </w:rPr>
        <w:t> </w:t>
      </w:r>
      <w:r>
        <w:rPr>
          <w:sz w:val="16"/>
        </w:rPr>
        <w:t>and</w:t>
      </w:r>
      <w:r>
        <w:rPr>
          <w:spacing w:val="-2"/>
          <w:sz w:val="16"/>
        </w:rPr>
        <w:t> </w:t>
      </w:r>
      <w:r>
        <w:rPr>
          <w:sz w:val="16"/>
        </w:rPr>
        <w:t>Operations</w:t>
      </w:r>
      <w:r>
        <w:rPr>
          <w:spacing w:val="-4"/>
          <w:sz w:val="16"/>
        </w:rPr>
        <w:t> </w:t>
      </w:r>
      <w:r>
        <w:rPr>
          <w:sz w:val="16"/>
        </w:rPr>
        <w:t>Officer,</w:t>
      </w:r>
      <w:r>
        <w:rPr>
          <w:spacing w:val="-3"/>
          <w:sz w:val="16"/>
        </w:rPr>
        <w:t> </w:t>
      </w:r>
      <w:r>
        <w:rPr>
          <w:sz w:val="16"/>
        </w:rPr>
        <w:t>(6)</w:t>
      </w:r>
      <w:r>
        <w:rPr>
          <w:spacing w:val="-4"/>
          <w:sz w:val="16"/>
        </w:rPr>
        <w:t> </w:t>
      </w:r>
      <w:r>
        <w:rPr>
          <w:sz w:val="16"/>
        </w:rPr>
        <w:t>one</w:t>
      </w:r>
      <w:r>
        <w:rPr>
          <w:spacing w:val="-3"/>
          <w:sz w:val="16"/>
        </w:rPr>
        <w:t> </w:t>
      </w:r>
      <w:r>
        <w:rPr>
          <w:sz w:val="16"/>
        </w:rPr>
        <w:t>established</w:t>
      </w:r>
      <w:r>
        <w:rPr>
          <w:spacing w:val="-2"/>
          <w:sz w:val="16"/>
        </w:rPr>
        <w:t> </w:t>
      </w:r>
      <w:r>
        <w:rPr>
          <w:sz w:val="16"/>
        </w:rPr>
        <w:t>Field</w:t>
      </w:r>
      <w:r>
        <w:rPr>
          <w:spacing w:val="-2"/>
          <w:sz w:val="16"/>
        </w:rPr>
        <w:t> </w:t>
      </w:r>
      <w:r>
        <w:rPr>
          <w:sz w:val="16"/>
        </w:rPr>
        <w:t>Security</w:t>
      </w:r>
      <w:r>
        <w:rPr>
          <w:spacing w:val="40"/>
          <w:sz w:val="16"/>
        </w:rPr>
        <w:t> </w:t>
      </w:r>
      <w:r>
        <w:rPr>
          <w:sz w:val="16"/>
        </w:rPr>
        <w:t>Officer and (7) one established Administrative Assistant.</w:t>
      </w:r>
    </w:p>
    <w:p>
      <w:pPr>
        <w:spacing w:line="183" w:lineRule="exact" w:before="0"/>
        <w:ind w:left="2246" w:right="0" w:firstLine="0"/>
        <w:jc w:val="both"/>
        <w:rPr>
          <w:sz w:val="16"/>
        </w:rPr>
      </w:pPr>
      <w:r>
        <w:rPr>
          <w:position w:val="5"/>
          <w:sz w:val="10"/>
        </w:rPr>
        <w:t>121</w:t>
      </w:r>
      <w:r>
        <w:rPr>
          <w:spacing w:val="13"/>
          <w:position w:val="5"/>
          <w:sz w:val="10"/>
        </w:rPr>
        <w:t> </w:t>
      </w:r>
      <w:r>
        <w:rPr>
          <w:sz w:val="16"/>
        </w:rPr>
        <w:t>For</w:t>
      </w:r>
      <w:r>
        <w:rPr>
          <w:spacing w:val="-3"/>
          <w:sz w:val="16"/>
        </w:rPr>
        <w:t> </w:t>
      </w:r>
      <w:r>
        <w:rPr>
          <w:sz w:val="16"/>
        </w:rPr>
        <w:t>details, please</w:t>
      </w:r>
      <w:r>
        <w:rPr>
          <w:spacing w:val="-2"/>
          <w:sz w:val="16"/>
        </w:rPr>
        <w:t> </w:t>
      </w:r>
      <w:r>
        <w:rPr>
          <w:sz w:val="16"/>
        </w:rPr>
        <w:t>refer</w:t>
      </w:r>
      <w:r>
        <w:rPr>
          <w:spacing w:val="-3"/>
          <w:sz w:val="16"/>
        </w:rPr>
        <w:t> </w:t>
      </w:r>
      <w:r>
        <w:rPr>
          <w:sz w:val="16"/>
        </w:rPr>
        <w:t>to</w:t>
      </w:r>
      <w:r>
        <w:rPr>
          <w:spacing w:val="-2"/>
          <w:sz w:val="16"/>
        </w:rPr>
        <w:t> </w:t>
      </w:r>
      <w:r>
        <w:rPr>
          <w:sz w:val="16"/>
        </w:rPr>
        <w:t>paragraph</w:t>
      </w:r>
      <w:r>
        <w:rPr>
          <w:spacing w:val="2"/>
          <w:sz w:val="16"/>
        </w:rPr>
        <w:t> </w:t>
      </w:r>
      <w:hyperlink w:history="true" w:anchor="_bookmark44">
        <w:r>
          <w:rPr>
            <w:sz w:val="16"/>
          </w:rPr>
          <w:t>718</w:t>
        </w:r>
      </w:hyperlink>
      <w:r>
        <w:rPr>
          <w:spacing w:val="-2"/>
          <w:sz w:val="16"/>
        </w:rPr>
        <w:t> below.</w:t>
      </w:r>
    </w:p>
    <w:p>
      <w:pPr>
        <w:spacing w:after="0" w:line="183" w:lineRule="exact"/>
        <w:jc w:val="both"/>
        <w:rPr>
          <w:sz w:val="16"/>
        </w:rPr>
        <w:sectPr>
          <w:pgSz w:w="11910" w:h="16840"/>
          <w:pgMar w:header="957" w:footer="940" w:top="1140" w:bottom="1140" w:left="20" w:right="20"/>
        </w:sectPr>
      </w:pPr>
    </w:p>
    <w:p>
      <w:pPr>
        <w:pStyle w:val="ListParagraph"/>
        <w:numPr>
          <w:ilvl w:val="0"/>
          <w:numId w:val="4"/>
        </w:numPr>
        <w:tabs>
          <w:tab w:pos="2967" w:val="left" w:leader="none"/>
        </w:tabs>
        <w:spacing w:line="240" w:lineRule="auto" w:before="124" w:after="0"/>
        <w:ind w:left="2246" w:right="2235" w:firstLine="0"/>
        <w:jc w:val="both"/>
        <w:rPr>
          <w:sz w:val="20"/>
        </w:rPr>
      </w:pPr>
      <w:r>
        <w:rPr>
          <w:sz w:val="20"/>
        </w:rPr>
        <w:t>As indicated above, the increase in the requested staff resources has been largely offset by the abolishment and defunding of field positions. Following the closing of the country</w:t>
      </w:r>
      <w:r>
        <w:rPr>
          <w:spacing w:val="-4"/>
          <w:sz w:val="20"/>
        </w:rPr>
        <w:t> </w:t>
      </w:r>
      <w:r>
        <w:rPr>
          <w:sz w:val="20"/>
        </w:rPr>
        <w:t>office</w:t>
      </w:r>
      <w:r>
        <w:rPr>
          <w:spacing w:val="-2"/>
          <w:sz w:val="20"/>
        </w:rPr>
        <w:t> </w:t>
      </w:r>
      <w:r>
        <w:rPr>
          <w:sz w:val="20"/>
        </w:rPr>
        <w:t>premises</w:t>
      </w:r>
      <w:r>
        <w:rPr>
          <w:spacing w:val="-5"/>
          <w:sz w:val="20"/>
        </w:rPr>
        <w:t> </w:t>
      </w:r>
      <w:r>
        <w:rPr>
          <w:sz w:val="20"/>
        </w:rPr>
        <w:t>in</w:t>
      </w:r>
      <w:r>
        <w:rPr>
          <w:spacing w:val="-4"/>
          <w:sz w:val="20"/>
        </w:rPr>
        <w:t> </w:t>
      </w:r>
      <w:r>
        <w:rPr>
          <w:sz w:val="20"/>
        </w:rPr>
        <w:t>the</w:t>
      </w:r>
      <w:r>
        <w:rPr>
          <w:spacing w:val="-2"/>
          <w:sz w:val="20"/>
        </w:rPr>
        <w:t> </w:t>
      </w:r>
      <w:r>
        <w:rPr>
          <w:sz w:val="20"/>
        </w:rPr>
        <w:t>DRC</w:t>
      </w:r>
      <w:r>
        <w:rPr>
          <w:spacing w:val="-4"/>
          <w:sz w:val="20"/>
        </w:rPr>
        <w:t> </w:t>
      </w:r>
      <w:r>
        <w:rPr>
          <w:sz w:val="20"/>
        </w:rPr>
        <w:t>(Kinshasa)</w:t>
      </w:r>
      <w:r>
        <w:rPr>
          <w:spacing w:val="-4"/>
          <w:sz w:val="20"/>
        </w:rPr>
        <w:t> </w:t>
      </w:r>
      <w:r>
        <w:rPr>
          <w:sz w:val="20"/>
        </w:rPr>
        <w:t>in</w:t>
      </w:r>
      <w:r>
        <w:rPr>
          <w:spacing w:val="-4"/>
          <w:sz w:val="20"/>
        </w:rPr>
        <w:t> </w:t>
      </w:r>
      <w:r>
        <w:rPr>
          <w:sz w:val="20"/>
        </w:rPr>
        <w:t>2022,</w:t>
      </w:r>
      <w:r>
        <w:rPr>
          <w:spacing w:val="-1"/>
          <w:sz w:val="20"/>
        </w:rPr>
        <w:t> </w:t>
      </w:r>
      <w:r>
        <w:rPr>
          <w:sz w:val="20"/>
        </w:rPr>
        <w:t>only</w:t>
      </w:r>
      <w:r>
        <w:rPr>
          <w:spacing w:val="-4"/>
          <w:sz w:val="20"/>
        </w:rPr>
        <w:t> </w:t>
      </w:r>
      <w:r>
        <w:rPr>
          <w:sz w:val="20"/>
        </w:rPr>
        <w:t>one Field Assistant</w:t>
      </w:r>
      <w:r>
        <w:rPr>
          <w:spacing w:val="-2"/>
          <w:sz w:val="20"/>
        </w:rPr>
        <w:t> </w:t>
      </w:r>
      <w:r>
        <w:rPr>
          <w:sz w:val="20"/>
        </w:rPr>
        <w:t>(Outreach) will remain in that office to maintain a minimal liaison function with the Congolese authorities and to conduct outreach activities for the DRC cases during their reparations phase,</w:t>
      </w:r>
      <w:r>
        <w:rPr>
          <w:spacing w:val="-13"/>
          <w:sz w:val="20"/>
        </w:rPr>
        <w:t> </w:t>
      </w:r>
      <w:r>
        <w:rPr>
          <w:sz w:val="20"/>
        </w:rPr>
        <w:t>as</w:t>
      </w:r>
      <w:r>
        <w:rPr>
          <w:spacing w:val="-12"/>
          <w:sz w:val="20"/>
        </w:rPr>
        <w:t> </w:t>
      </w:r>
      <w:r>
        <w:rPr>
          <w:sz w:val="20"/>
        </w:rPr>
        <w:t>requested</w:t>
      </w:r>
      <w:r>
        <w:rPr>
          <w:spacing w:val="-13"/>
          <w:sz w:val="20"/>
        </w:rPr>
        <w:t> </w:t>
      </w:r>
      <w:r>
        <w:rPr>
          <w:sz w:val="20"/>
        </w:rPr>
        <w:t>by</w:t>
      </w:r>
      <w:r>
        <w:rPr>
          <w:spacing w:val="-12"/>
          <w:sz w:val="20"/>
        </w:rPr>
        <w:t> </w:t>
      </w:r>
      <w:r>
        <w:rPr>
          <w:sz w:val="20"/>
        </w:rPr>
        <w:t>the</w:t>
      </w:r>
      <w:r>
        <w:rPr>
          <w:spacing w:val="-13"/>
          <w:sz w:val="20"/>
        </w:rPr>
        <w:t> </w:t>
      </w:r>
      <w:r>
        <w:rPr>
          <w:sz w:val="20"/>
        </w:rPr>
        <w:t>TFV,</w:t>
      </w:r>
      <w:r>
        <w:rPr>
          <w:spacing w:val="-12"/>
          <w:sz w:val="20"/>
        </w:rPr>
        <w:t> </w:t>
      </w:r>
      <w:r>
        <w:rPr>
          <w:sz w:val="20"/>
        </w:rPr>
        <w:t>which</w:t>
      </w:r>
      <w:r>
        <w:rPr>
          <w:spacing w:val="-13"/>
          <w:sz w:val="20"/>
        </w:rPr>
        <w:t> </w:t>
      </w:r>
      <w:r>
        <w:rPr>
          <w:sz w:val="20"/>
        </w:rPr>
        <w:t>results</w:t>
      </w:r>
      <w:r>
        <w:rPr>
          <w:spacing w:val="-12"/>
          <w:sz w:val="20"/>
        </w:rPr>
        <w:t> </w:t>
      </w:r>
      <w:r>
        <w:rPr>
          <w:sz w:val="20"/>
        </w:rPr>
        <w:t>in</w:t>
      </w:r>
      <w:r>
        <w:rPr>
          <w:spacing w:val="-13"/>
          <w:sz w:val="20"/>
        </w:rPr>
        <w:t> </w:t>
      </w:r>
      <w:r>
        <w:rPr>
          <w:sz w:val="20"/>
        </w:rPr>
        <w:t>the</w:t>
      </w:r>
      <w:r>
        <w:rPr>
          <w:spacing w:val="-12"/>
          <w:sz w:val="20"/>
        </w:rPr>
        <w:t> </w:t>
      </w:r>
      <w:r>
        <w:rPr>
          <w:sz w:val="20"/>
        </w:rPr>
        <w:t>abolishment</w:t>
      </w:r>
      <w:r>
        <w:rPr>
          <w:spacing w:val="-13"/>
          <w:sz w:val="20"/>
        </w:rPr>
        <w:t> </w:t>
      </w:r>
      <w:r>
        <w:rPr>
          <w:sz w:val="20"/>
        </w:rPr>
        <w:t>of</w:t>
      </w:r>
      <w:r>
        <w:rPr>
          <w:spacing w:val="-12"/>
          <w:sz w:val="20"/>
        </w:rPr>
        <w:t> </w:t>
      </w:r>
      <w:r>
        <w:rPr>
          <w:sz w:val="20"/>
        </w:rPr>
        <w:t>one</w:t>
      </w:r>
      <w:r>
        <w:rPr>
          <w:spacing w:val="-13"/>
          <w:sz w:val="20"/>
        </w:rPr>
        <w:t> </w:t>
      </w:r>
      <w:r>
        <w:rPr>
          <w:sz w:val="20"/>
        </w:rPr>
        <w:t>post</w:t>
      </w:r>
      <w:r>
        <w:rPr>
          <w:spacing w:val="-12"/>
          <w:sz w:val="20"/>
        </w:rPr>
        <w:t> </w:t>
      </w:r>
      <w:r>
        <w:rPr>
          <w:sz w:val="20"/>
        </w:rPr>
        <w:t>of</w:t>
      </w:r>
      <w:r>
        <w:rPr>
          <w:spacing w:val="-13"/>
          <w:sz w:val="20"/>
        </w:rPr>
        <w:t> </w:t>
      </w:r>
      <w:r>
        <w:rPr>
          <w:sz w:val="20"/>
        </w:rPr>
        <w:t>Senior</w:t>
      </w:r>
      <w:r>
        <w:rPr>
          <w:spacing w:val="-12"/>
          <w:sz w:val="20"/>
        </w:rPr>
        <w:t> </w:t>
      </w:r>
      <w:r>
        <w:rPr>
          <w:sz w:val="20"/>
        </w:rPr>
        <w:t>Driver. In 2023, the country offices in the DRC (Bunia) and in Uganda will provide support to the reparations activities in both situation countries and will scale down their resources by abolishing two posts in the Country Office (DRC) in Bunia and four posts/positions in the Country Office (Uganda), including that of Chief of Country Office in both countries. As indicated</w:t>
      </w:r>
      <w:r>
        <w:rPr>
          <w:spacing w:val="-9"/>
          <w:sz w:val="20"/>
        </w:rPr>
        <w:t> </w:t>
      </w:r>
      <w:r>
        <w:rPr>
          <w:sz w:val="20"/>
        </w:rPr>
        <w:t>above,</w:t>
      </w:r>
      <w:r>
        <w:rPr>
          <w:spacing w:val="-7"/>
          <w:sz w:val="20"/>
        </w:rPr>
        <w:t> </w:t>
      </w:r>
      <w:r>
        <w:rPr>
          <w:sz w:val="20"/>
        </w:rPr>
        <w:t>the</w:t>
      </w:r>
      <w:r>
        <w:rPr>
          <w:spacing w:val="-8"/>
          <w:sz w:val="20"/>
        </w:rPr>
        <w:t> </w:t>
      </w:r>
      <w:r>
        <w:rPr>
          <w:sz w:val="20"/>
        </w:rPr>
        <w:t>Court’s</w:t>
      </w:r>
      <w:r>
        <w:rPr>
          <w:spacing w:val="-6"/>
          <w:sz w:val="20"/>
        </w:rPr>
        <w:t> </w:t>
      </w:r>
      <w:r>
        <w:rPr>
          <w:sz w:val="20"/>
        </w:rPr>
        <w:t>activities</w:t>
      </w:r>
      <w:r>
        <w:rPr>
          <w:spacing w:val="-11"/>
          <w:sz w:val="20"/>
        </w:rPr>
        <w:t> </w:t>
      </w:r>
      <w:r>
        <w:rPr>
          <w:sz w:val="20"/>
        </w:rPr>
        <w:t>in</w:t>
      </w:r>
      <w:r>
        <w:rPr>
          <w:spacing w:val="-9"/>
          <w:sz w:val="20"/>
        </w:rPr>
        <w:t> </w:t>
      </w:r>
      <w:r>
        <w:rPr>
          <w:sz w:val="20"/>
        </w:rPr>
        <w:t>the</w:t>
      </w:r>
      <w:r>
        <w:rPr>
          <w:spacing w:val="-8"/>
          <w:sz w:val="20"/>
        </w:rPr>
        <w:t> </w:t>
      </w:r>
      <w:r>
        <w:rPr>
          <w:sz w:val="20"/>
        </w:rPr>
        <w:t>DRC</w:t>
      </w:r>
      <w:r>
        <w:rPr>
          <w:spacing w:val="-9"/>
          <w:sz w:val="20"/>
        </w:rPr>
        <w:t> </w:t>
      </w:r>
      <w:r>
        <w:rPr>
          <w:sz w:val="20"/>
        </w:rPr>
        <w:t>and</w:t>
      </w:r>
      <w:r>
        <w:rPr>
          <w:spacing w:val="-5"/>
          <w:sz w:val="20"/>
        </w:rPr>
        <w:t> </w:t>
      </w:r>
      <w:r>
        <w:rPr>
          <w:sz w:val="20"/>
        </w:rPr>
        <w:t>Uganda</w:t>
      </w:r>
      <w:r>
        <w:rPr>
          <w:spacing w:val="-3"/>
          <w:sz w:val="20"/>
        </w:rPr>
        <w:t> </w:t>
      </w:r>
      <w:r>
        <w:rPr>
          <w:sz w:val="20"/>
        </w:rPr>
        <w:t>will</w:t>
      </w:r>
      <w:r>
        <w:rPr>
          <w:spacing w:val="-8"/>
          <w:sz w:val="20"/>
        </w:rPr>
        <w:t> </w:t>
      </w:r>
      <w:r>
        <w:rPr>
          <w:sz w:val="20"/>
        </w:rPr>
        <w:t>be</w:t>
      </w:r>
      <w:r>
        <w:rPr>
          <w:spacing w:val="-3"/>
          <w:sz w:val="20"/>
        </w:rPr>
        <w:t> </w:t>
      </w:r>
      <w:r>
        <w:rPr>
          <w:sz w:val="20"/>
        </w:rPr>
        <w:t>overseen</w:t>
      </w:r>
      <w:r>
        <w:rPr>
          <w:spacing w:val="-9"/>
          <w:sz w:val="20"/>
        </w:rPr>
        <w:t> </w:t>
      </w:r>
      <w:r>
        <w:rPr>
          <w:sz w:val="20"/>
        </w:rPr>
        <w:t>by</w:t>
      </w:r>
      <w:r>
        <w:rPr>
          <w:spacing w:val="-9"/>
          <w:sz w:val="20"/>
        </w:rPr>
        <w:t> </w:t>
      </w:r>
      <w:r>
        <w:rPr>
          <w:sz w:val="20"/>
        </w:rPr>
        <w:t>the</w:t>
      </w:r>
      <w:r>
        <w:rPr>
          <w:spacing w:val="-3"/>
          <w:sz w:val="20"/>
        </w:rPr>
        <w:t> </w:t>
      </w:r>
      <w:r>
        <w:rPr>
          <w:sz w:val="20"/>
        </w:rPr>
        <w:t>newly requested</w:t>
      </w:r>
      <w:r>
        <w:rPr>
          <w:spacing w:val="-4"/>
          <w:sz w:val="20"/>
        </w:rPr>
        <w:t> </w:t>
      </w:r>
      <w:r>
        <w:rPr>
          <w:sz w:val="20"/>
        </w:rPr>
        <w:t>position</w:t>
      </w:r>
      <w:r>
        <w:rPr>
          <w:spacing w:val="-4"/>
          <w:sz w:val="20"/>
        </w:rPr>
        <w:t> </w:t>
      </w:r>
      <w:r>
        <w:rPr>
          <w:sz w:val="20"/>
        </w:rPr>
        <w:t>of Chief of</w:t>
      </w:r>
      <w:r>
        <w:rPr>
          <w:spacing w:val="-4"/>
          <w:sz w:val="20"/>
        </w:rPr>
        <w:t> </w:t>
      </w:r>
      <w:r>
        <w:rPr>
          <w:sz w:val="20"/>
        </w:rPr>
        <w:t>Country Office</w:t>
      </w:r>
      <w:r>
        <w:rPr>
          <w:spacing w:val="-2"/>
          <w:sz w:val="20"/>
        </w:rPr>
        <w:t> </w:t>
      </w:r>
      <w:r>
        <w:rPr>
          <w:sz w:val="20"/>
        </w:rPr>
        <w:t>in Sudan. In</w:t>
      </w:r>
      <w:r>
        <w:rPr>
          <w:spacing w:val="-4"/>
          <w:sz w:val="20"/>
        </w:rPr>
        <w:t> </w:t>
      </w:r>
      <w:r>
        <w:rPr>
          <w:sz w:val="20"/>
        </w:rPr>
        <w:t>addition, it is</w:t>
      </w:r>
      <w:r>
        <w:rPr>
          <w:spacing w:val="-5"/>
          <w:sz w:val="20"/>
        </w:rPr>
        <w:t> </w:t>
      </w:r>
      <w:r>
        <w:rPr>
          <w:sz w:val="20"/>
        </w:rPr>
        <w:t>anticipated that the </w:t>
      </w:r>
      <w:r>
        <w:rPr>
          <w:i/>
          <w:sz w:val="20"/>
        </w:rPr>
        <w:t>Al Hassan </w:t>
      </w:r>
      <w:r>
        <w:rPr>
          <w:sz w:val="20"/>
        </w:rPr>
        <w:t>case will be at the deliberations stage for</w:t>
      </w:r>
      <w:r>
        <w:rPr>
          <w:spacing w:val="-3"/>
          <w:sz w:val="20"/>
        </w:rPr>
        <w:t> </w:t>
      </w:r>
      <w:r>
        <w:rPr>
          <w:sz w:val="20"/>
        </w:rPr>
        <w:t>a large</w:t>
      </w:r>
      <w:r>
        <w:rPr>
          <w:spacing w:val="-1"/>
          <w:sz w:val="20"/>
        </w:rPr>
        <w:t> </w:t>
      </w:r>
      <w:r>
        <w:rPr>
          <w:sz w:val="20"/>
        </w:rPr>
        <w:t>part of 2023</w:t>
      </w:r>
      <w:r>
        <w:rPr>
          <w:spacing w:val="-3"/>
          <w:sz w:val="20"/>
        </w:rPr>
        <w:t> </w:t>
      </w:r>
      <w:r>
        <w:rPr>
          <w:sz w:val="20"/>
        </w:rPr>
        <w:t>and thus two Field Assistant positions under general temporary assistance will be discontinued, leaving two Field Assistants</w:t>
      </w:r>
      <w:r>
        <w:rPr>
          <w:spacing w:val="-1"/>
          <w:sz w:val="20"/>
        </w:rPr>
        <w:t> </w:t>
      </w:r>
      <w:r>
        <w:rPr>
          <w:sz w:val="20"/>
        </w:rPr>
        <w:t>remaining in the Country Office (Mali) to provide support to the necessary outreach and victims participation/reparations activities in both the </w:t>
      </w:r>
      <w:r>
        <w:rPr>
          <w:i/>
          <w:sz w:val="20"/>
        </w:rPr>
        <w:t>Al Hassan </w:t>
      </w:r>
      <w:r>
        <w:rPr>
          <w:sz w:val="20"/>
        </w:rPr>
        <w:t>case and the </w:t>
      </w:r>
      <w:r>
        <w:rPr>
          <w:i/>
          <w:sz w:val="20"/>
        </w:rPr>
        <w:t>Al Mahdi </w:t>
      </w:r>
      <w:r>
        <w:rPr>
          <w:sz w:val="20"/>
        </w:rPr>
        <w:t>case. Lastly, owing to the downsizing of the Country Office (Georgia), two positions under general temporary assistance will be discontinued and one position under general temporary assistance is requested to be redeployed to the Country Office (CAR) to support the above-mentioned simultaneous trial activities.</w:t>
      </w:r>
    </w:p>
    <w:p>
      <w:pPr>
        <w:pStyle w:val="ListParagraph"/>
        <w:numPr>
          <w:ilvl w:val="0"/>
          <w:numId w:val="4"/>
        </w:numPr>
        <w:tabs>
          <w:tab w:pos="2967" w:val="left" w:leader="none"/>
        </w:tabs>
        <w:spacing w:line="240" w:lineRule="auto" w:before="126" w:after="0"/>
        <w:ind w:left="2246" w:right="2238" w:firstLine="0"/>
        <w:jc w:val="both"/>
        <w:rPr>
          <w:sz w:val="20"/>
        </w:rPr>
      </w:pPr>
      <w:r>
        <w:rPr>
          <w:sz w:val="20"/>
        </w:rPr>
        <w:t>In order to further offset the increase requested by DEO in its staff resources, measures to achieve savings and efficiencies have been identified. First of all, the Registry requests the redeployment of the post of Associate Field Security Officer in the Country Office (DRC) in Bunia to the Country Office (Uganda) in view of the savings in salaries which will</w:t>
      </w:r>
      <w:r>
        <w:rPr>
          <w:spacing w:val="-1"/>
          <w:sz w:val="20"/>
        </w:rPr>
        <w:t> </w:t>
      </w:r>
      <w:r>
        <w:rPr>
          <w:sz w:val="20"/>
        </w:rPr>
        <w:t>be</w:t>
      </w:r>
      <w:r>
        <w:rPr>
          <w:spacing w:val="-1"/>
          <w:sz w:val="20"/>
        </w:rPr>
        <w:t> </w:t>
      </w:r>
      <w:r>
        <w:rPr>
          <w:sz w:val="20"/>
        </w:rPr>
        <w:t>achieved</w:t>
      </w:r>
      <w:r>
        <w:rPr>
          <w:spacing w:val="-3"/>
          <w:sz w:val="20"/>
        </w:rPr>
        <w:t> </w:t>
      </w:r>
      <w:r>
        <w:rPr>
          <w:sz w:val="20"/>
        </w:rPr>
        <w:t>on account</w:t>
      </w:r>
      <w:r>
        <w:rPr>
          <w:spacing w:val="-1"/>
          <w:sz w:val="20"/>
        </w:rPr>
        <w:t> </w:t>
      </w:r>
      <w:r>
        <w:rPr>
          <w:sz w:val="20"/>
        </w:rPr>
        <w:t>of the difference</w:t>
      </w:r>
      <w:r>
        <w:rPr>
          <w:spacing w:val="-1"/>
          <w:sz w:val="20"/>
        </w:rPr>
        <w:t> </w:t>
      </w:r>
      <w:r>
        <w:rPr>
          <w:sz w:val="20"/>
        </w:rPr>
        <w:t>in salary</w:t>
      </w:r>
      <w:r>
        <w:rPr>
          <w:spacing w:val="-3"/>
          <w:sz w:val="20"/>
        </w:rPr>
        <w:t> </w:t>
      </w:r>
      <w:r>
        <w:rPr>
          <w:sz w:val="20"/>
        </w:rPr>
        <w:t>scales between</w:t>
      </w:r>
      <w:r>
        <w:rPr>
          <w:spacing w:val="-3"/>
          <w:sz w:val="20"/>
        </w:rPr>
        <w:t> </w:t>
      </w:r>
      <w:r>
        <w:rPr>
          <w:sz w:val="20"/>
        </w:rPr>
        <w:t>these</w:t>
      </w:r>
      <w:r>
        <w:rPr>
          <w:spacing w:val="-1"/>
          <w:sz w:val="20"/>
        </w:rPr>
        <w:t> </w:t>
      </w:r>
      <w:r>
        <w:rPr>
          <w:sz w:val="20"/>
        </w:rPr>
        <w:t>two duty stations.</w:t>
      </w:r>
      <w:r>
        <w:rPr>
          <w:spacing w:val="34"/>
          <w:sz w:val="20"/>
        </w:rPr>
        <w:t> </w:t>
      </w:r>
      <w:r>
        <w:rPr>
          <w:sz w:val="20"/>
        </w:rPr>
        <w:t>Cost</w:t>
      </w:r>
      <w:r>
        <w:rPr>
          <w:spacing w:val="32"/>
          <w:sz w:val="20"/>
        </w:rPr>
        <w:t> </w:t>
      </w:r>
      <w:r>
        <w:rPr>
          <w:sz w:val="20"/>
        </w:rPr>
        <w:t>analysis</w:t>
      </w:r>
      <w:r>
        <w:rPr>
          <w:spacing w:val="29"/>
          <w:sz w:val="20"/>
        </w:rPr>
        <w:t> </w:t>
      </w:r>
      <w:r>
        <w:rPr>
          <w:sz w:val="20"/>
        </w:rPr>
        <w:t>conducted</w:t>
      </w:r>
      <w:r>
        <w:rPr>
          <w:spacing w:val="31"/>
          <w:sz w:val="20"/>
        </w:rPr>
        <w:t> </w:t>
      </w:r>
      <w:r>
        <w:rPr>
          <w:sz w:val="20"/>
        </w:rPr>
        <w:t>by</w:t>
      </w:r>
      <w:r>
        <w:rPr>
          <w:spacing w:val="31"/>
          <w:sz w:val="20"/>
        </w:rPr>
        <w:t> </w:t>
      </w:r>
      <w:r>
        <w:rPr>
          <w:sz w:val="20"/>
        </w:rPr>
        <w:t>the</w:t>
      </w:r>
      <w:r>
        <w:rPr>
          <w:spacing w:val="34"/>
          <w:sz w:val="20"/>
        </w:rPr>
        <w:t> </w:t>
      </w:r>
      <w:r>
        <w:rPr>
          <w:sz w:val="20"/>
        </w:rPr>
        <w:t>Registry</w:t>
      </w:r>
      <w:r>
        <w:rPr>
          <w:spacing w:val="31"/>
          <w:sz w:val="20"/>
        </w:rPr>
        <w:t> </w:t>
      </w:r>
      <w:r>
        <w:rPr>
          <w:sz w:val="20"/>
        </w:rPr>
        <w:t>shows</w:t>
      </w:r>
      <w:r>
        <w:rPr>
          <w:spacing w:val="35"/>
          <w:sz w:val="20"/>
        </w:rPr>
        <w:t> </w:t>
      </w:r>
      <w:r>
        <w:rPr>
          <w:sz w:val="20"/>
        </w:rPr>
        <w:t>that</w:t>
      </w:r>
      <w:r>
        <w:rPr>
          <w:spacing w:val="32"/>
          <w:sz w:val="20"/>
        </w:rPr>
        <w:t> </w:t>
      </w:r>
      <w:r>
        <w:rPr>
          <w:sz w:val="20"/>
        </w:rPr>
        <w:t>a</w:t>
      </w:r>
      <w:r>
        <w:rPr>
          <w:spacing w:val="38"/>
          <w:sz w:val="20"/>
        </w:rPr>
        <w:t> </w:t>
      </w:r>
      <w:r>
        <w:rPr>
          <w:sz w:val="20"/>
        </w:rPr>
        <w:t>saving</w:t>
      </w:r>
      <w:r>
        <w:rPr>
          <w:spacing w:val="31"/>
          <w:sz w:val="20"/>
        </w:rPr>
        <w:t> </w:t>
      </w:r>
      <w:r>
        <w:rPr>
          <w:sz w:val="20"/>
        </w:rPr>
        <w:t>of</w:t>
      </w:r>
      <w:r>
        <w:rPr>
          <w:spacing w:val="31"/>
          <w:sz w:val="20"/>
        </w:rPr>
        <w:t> </w:t>
      </w:r>
      <w:r>
        <w:rPr>
          <w:sz w:val="20"/>
        </w:rPr>
        <w:t>approximately</w:t>
      </w:r>
    </w:p>
    <w:p>
      <w:pPr>
        <w:pStyle w:val="BodyText"/>
        <w:ind w:left="2246" w:right="2241"/>
        <w:jc w:val="both"/>
      </w:pPr>
      <w:r>
        <w:rPr/>
        <w:t>€27.9</w:t>
      </w:r>
      <w:r>
        <w:rPr>
          <w:spacing w:val="-4"/>
        </w:rPr>
        <w:t> </w:t>
      </w:r>
      <w:r>
        <w:rPr/>
        <w:t>thousand</w:t>
      </w:r>
      <w:r>
        <w:rPr>
          <w:spacing w:val="-5"/>
        </w:rPr>
        <w:t> </w:t>
      </w:r>
      <w:r>
        <w:rPr/>
        <w:t>could</w:t>
      </w:r>
      <w:r>
        <w:rPr>
          <w:spacing w:val="-1"/>
        </w:rPr>
        <w:t> </w:t>
      </w:r>
      <w:r>
        <w:rPr/>
        <w:t>be achieved</w:t>
      </w:r>
      <w:r>
        <w:rPr>
          <w:spacing w:val="-1"/>
        </w:rPr>
        <w:t> </w:t>
      </w:r>
      <w:r>
        <w:rPr/>
        <w:t>taking</w:t>
      </w:r>
      <w:r>
        <w:rPr>
          <w:spacing w:val="-1"/>
        </w:rPr>
        <w:t> </w:t>
      </w:r>
      <w:r>
        <w:rPr/>
        <w:t>into</w:t>
      </w:r>
      <w:r>
        <w:rPr>
          <w:spacing w:val="-5"/>
        </w:rPr>
        <w:t> </w:t>
      </w:r>
      <w:r>
        <w:rPr/>
        <w:t>consideration</w:t>
      </w:r>
      <w:r>
        <w:rPr>
          <w:spacing w:val="-1"/>
        </w:rPr>
        <w:t> </w:t>
      </w:r>
      <w:r>
        <w:rPr/>
        <w:t>the need for</w:t>
      </w:r>
      <w:r>
        <w:rPr>
          <w:spacing w:val="-1"/>
        </w:rPr>
        <w:t> </w:t>
      </w:r>
      <w:r>
        <w:rPr/>
        <w:t>the Associate Field Security</w:t>
      </w:r>
      <w:r>
        <w:rPr>
          <w:spacing w:val="-9"/>
        </w:rPr>
        <w:t> </w:t>
      </w:r>
      <w:r>
        <w:rPr/>
        <w:t>Officer</w:t>
      </w:r>
      <w:r>
        <w:rPr>
          <w:spacing w:val="-9"/>
        </w:rPr>
        <w:t> </w:t>
      </w:r>
      <w:r>
        <w:rPr/>
        <w:t>to</w:t>
      </w:r>
      <w:r>
        <w:rPr>
          <w:spacing w:val="-9"/>
        </w:rPr>
        <w:t> </w:t>
      </w:r>
      <w:r>
        <w:rPr/>
        <w:t>travel</w:t>
      </w:r>
      <w:r>
        <w:rPr>
          <w:spacing w:val="-8"/>
        </w:rPr>
        <w:t> </w:t>
      </w:r>
      <w:r>
        <w:rPr/>
        <w:t>from</w:t>
      </w:r>
      <w:r>
        <w:rPr>
          <w:spacing w:val="-8"/>
        </w:rPr>
        <w:t> </w:t>
      </w:r>
      <w:r>
        <w:rPr/>
        <w:t>Kampala,</w:t>
      </w:r>
      <w:r>
        <w:rPr>
          <w:spacing w:val="-2"/>
        </w:rPr>
        <w:t> </w:t>
      </w:r>
      <w:r>
        <w:rPr/>
        <w:t>Uganda</w:t>
      </w:r>
      <w:r>
        <w:rPr>
          <w:spacing w:val="-8"/>
        </w:rPr>
        <w:t> </w:t>
      </w:r>
      <w:r>
        <w:rPr/>
        <w:t>to</w:t>
      </w:r>
      <w:r>
        <w:rPr>
          <w:spacing w:val="-9"/>
        </w:rPr>
        <w:t> </w:t>
      </w:r>
      <w:r>
        <w:rPr/>
        <w:t>Bunia,</w:t>
      </w:r>
      <w:r>
        <w:rPr>
          <w:spacing w:val="-2"/>
        </w:rPr>
        <w:t> </w:t>
      </w:r>
      <w:r>
        <w:rPr/>
        <w:t>DRC,</w:t>
      </w:r>
      <w:r>
        <w:rPr>
          <w:spacing w:val="-7"/>
        </w:rPr>
        <w:t> </w:t>
      </w:r>
      <w:r>
        <w:rPr/>
        <w:t>to</w:t>
      </w:r>
      <w:r>
        <w:rPr>
          <w:spacing w:val="-9"/>
        </w:rPr>
        <w:t> </w:t>
      </w:r>
      <w:r>
        <w:rPr/>
        <w:t>provide</w:t>
      </w:r>
      <w:r>
        <w:rPr>
          <w:spacing w:val="-8"/>
        </w:rPr>
        <w:t> </w:t>
      </w:r>
      <w:r>
        <w:rPr/>
        <w:t>security</w:t>
      </w:r>
      <w:r>
        <w:rPr>
          <w:spacing w:val="-9"/>
        </w:rPr>
        <w:t> </w:t>
      </w:r>
      <w:r>
        <w:rPr/>
        <w:t>support to missions to be conducted in the DRC. The requested redeployment is considered appropriate given the anticipated decrease in reparations-related activities in the DRC through</w:t>
      </w:r>
      <w:r>
        <w:rPr>
          <w:spacing w:val="-10"/>
        </w:rPr>
        <w:t> </w:t>
      </w:r>
      <w:r>
        <w:rPr/>
        <w:t>proper</w:t>
      </w:r>
      <w:r>
        <w:rPr>
          <w:spacing w:val="-9"/>
        </w:rPr>
        <w:t> </w:t>
      </w:r>
      <w:r>
        <w:rPr/>
        <w:t>planning</w:t>
      </w:r>
      <w:r>
        <w:rPr>
          <w:spacing w:val="-9"/>
        </w:rPr>
        <w:t> </w:t>
      </w:r>
      <w:r>
        <w:rPr/>
        <w:t>to</w:t>
      </w:r>
      <w:r>
        <w:rPr>
          <w:spacing w:val="-9"/>
        </w:rPr>
        <w:t> </w:t>
      </w:r>
      <w:r>
        <w:rPr/>
        <w:t>enable</w:t>
      </w:r>
      <w:r>
        <w:rPr>
          <w:spacing w:val="-8"/>
        </w:rPr>
        <w:t> </w:t>
      </w:r>
      <w:r>
        <w:rPr/>
        <w:t>the</w:t>
      </w:r>
      <w:r>
        <w:rPr>
          <w:spacing w:val="-8"/>
        </w:rPr>
        <w:t> </w:t>
      </w:r>
      <w:r>
        <w:rPr/>
        <w:t>Associate</w:t>
      </w:r>
      <w:r>
        <w:rPr>
          <w:spacing w:val="-8"/>
        </w:rPr>
        <w:t> </w:t>
      </w:r>
      <w:r>
        <w:rPr/>
        <w:t>Field</w:t>
      </w:r>
      <w:r>
        <w:rPr>
          <w:spacing w:val="-9"/>
        </w:rPr>
        <w:t> </w:t>
      </w:r>
      <w:r>
        <w:rPr/>
        <w:t>Security</w:t>
      </w:r>
      <w:r>
        <w:rPr>
          <w:spacing w:val="-5"/>
        </w:rPr>
        <w:t> </w:t>
      </w:r>
      <w:r>
        <w:rPr/>
        <w:t>Officer</w:t>
      </w:r>
      <w:r>
        <w:rPr>
          <w:spacing w:val="-9"/>
        </w:rPr>
        <w:t> </w:t>
      </w:r>
      <w:r>
        <w:rPr/>
        <w:t>to</w:t>
      </w:r>
      <w:r>
        <w:rPr>
          <w:spacing w:val="-13"/>
        </w:rPr>
        <w:t> </w:t>
      </w:r>
      <w:r>
        <w:rPr/>
        <w:t>effectively</w:t>
      </w:r>
      <w:r>
        <w:rPr>
          <w:spacing w:val="-8"/>
        </w:rPr>
        <w:t> </w:t>
      </w:r>
      <w:r>
        <w:rPr/>
        <w:t>monitor the security situation in the DRC from Uganda with the assistance of the Local Security Assistant remaining in Bunia, DRC.</w:t>
      </w:r>
    </w:p>
    <w:p>
      <w:pPr>
        <w:pStyle w:val="ListParagraph"/>
        <w:numPr>
          <w:ilvl w:val="0"/>
          <w:numId w:val="4"/>
        </w:numPr>
        <w:tabs>
          <w:tab w:pos="2967" w:val="left" w:leader="none"/>
        </w:tabs>
        <w:spacing w:line="240" w:lineRule="auto" w:before="116" w:after="0"/>
        <w:ind w:left="2246" w:right="2238" w:firstLine="0"/>
        <w:jc w:val="both"/>
        <w:rPr>
          <w:sz w:val="20"/>
        </w:rPr>
      </w:pPr>
      <w:r>
        <w:rPr>
          <w:sz w:val="20"/>
        </w:rPr>
        <w:t>Requesting the services of individual contractors under general temporary assistance instead of new positions to cope with the additional workload resulting from the increase</w:t>
      </w:r>
      <w:r>
        <w:rPr>
          <w:spacing w:val="-7"/>
          <w:sz w:val="20"/>
        </w:rPr>
        <w:t> </w:t>
      </w:r>
      <w:r>
        <w:rPr>
          <w:sz w:val="20"/>
        </w:rPr>
        <w:t>in</w:t>
      </w:r>
      <w:r>
        <w:rPr>
          <w:spacing w:val="-7"/>
          <w:sz w:val="20"/>
        </w:rPr>
        <w:t> </w:t>
      </w:r>
      <w:r>
        <w:rPr>
          <w:sz w:val="20"/>
        </w:rPr>
        <w:t>judicial</w:t>
      </w:r>
      <w:r>
        <w:rPr>
          <w:spacing w:val="-6"/>
          <w:sz w:val="20"/>
        </w:rPr>
        <w:t> </w:t>
      </w:r>
      <w:r>
        <w:rPr>
          <w:sz w:val="20"/>
        </w:rPr>
        <w:t>activities</w:t>
      </w:r>
      <w:r>
        <w:rPr>
          <w:spacing w:val="-13"/>
          <w:sz w:val="20"/>
        </w:rPr>
        <w:t> </w:t>
      </w:r>
      <w:r>
        <w:rPr>
          <w:sz w:val="20"/>
        </w:rPr>
        <w:t>and</w:t>
      </w:r>
      <w:r>
        <w:rPr>
          <w:spacing w:val="-7"/>
          <w:sz w:val="20"/>
        </w:rPr>
        <w:t> </w:t>
      </w:r>
      <w:r>
        <w:rPr>
          <w:sz w:val="20"/>
        </w:rPr>
        <w:t>the</w:t>
      </w:r>
      <w:r>
        <w:rPr>
          <w:spacing w:val="-6"/>
          <w:sz w:val="20"/>
        </w:rPr>
        <w:t> </w:t>
      </w:r>
      <w:r>
        <w:rPr>
          <w:sz w:val="20"/>
        </w:rPr>
        <w:t>need</w:t>
      </w:r>
      <w:r>
        <w:rPr>
          <w:spacing w:val="-7"/>
          <w:sz w:val="20"/>
        </w:rPr>
        <w:t> </w:t>
      </w:r>
      <w:r>
        <w:rPr>
          <w:sz w:val="20"/>
        </w:rPr>
        <w:t>to</w:t>
      </w:r>
      <w:r>
        <w:rPr>
          <w:spacing w:val="-12"/>
          <w:sz w:val="20"/>
        </w:rPr>
        <w:t> </w:t>
      </w:r>
      <w:r>
        <w:rPr>
          <w:sz w:val="20"/>
        </w:rPr>
        <w:t>cover</w:t>
      </w:r>
      <w:r>
        <w:rPr>
          <w:spacing w:val="-7"/>
          <w:sz w:val="20"/>
        </w:rPr>
        <w:t> </w:t>
      </w:r>
      <w:r>
        <w:rPr>
          <w:sz w:val="20"/>
        </w:rPr>
        <w:t>missing</w:t>
      </w:r>
      <w:r>
        <w:rPr>
          <w:spacing w:val="-7"/>
          <w:sz w:val="20"/>
        </w:rPr>
        <w:t> </w:t>
      </w:r>
      <w:r>
        <w:rPr>
          <w:sz w:val="20"/>
        </w:rPr>
        <w:t>resources</w:t>
      </w:r>
      <w:r>
        <w:rPr>
          <w:spacing w:val="-9"/>
          <w:sz w:val="20"/>
        </w:rPr>
        <w:t> </w:t>
      </w:r>
      <w:r>
        <w:rPr>
          <w:sz w:val="20"/>
        </w:rPr>
        <w:t>in</w:t>
      </w:r>
      <w:r>
        <w:rPr>
          <w:spacing w:val="-7"/>
          <w:sz w:val="20"/>
        </w:rPr>
        <w:t> </w:t>
      </w:r>
      <w:r>
        <w:rPr>
          <w:sz w:val="20"/>
        </w:rPr>
        <w:t>some</w:t>
      </w:r>
      <w:r>
        <w:rPr>
          <w:spacing w:val="-10"/>
          <w:sz w:val="20"/>
        </w:rPr>
        <w:t> </w:t>
      </w:r>
      <w:r>
        <w:rPr>
          <w:sz w:val="20"/>
        </w:rPr>
        <w:t>country</w:t>
      </w:r>
      <w:r>
        <w:rPr>
          <w:spacing w:val="-7"/>
          <w:sz w:val="20"/>
        </w:rPr>
        <w:t> </w:t>
      </w:r>
      <w:r>
        <w:rPr>
          <w:sz w:val="20"/>
        </w:rPr>
        <w:t>offices is also</w:t>
      </w:r>
      <w:r>
        <w:rPr>
          <w:spacing w:val="-4"/>
          <w:sz w:val="20"/>
        </w:rPr>
        <w:t> </w:t>
      </w:r>
      <w:r>
        <w:rPr>
          <w:sz w:val="20"/>
        </w:rPr>
        <w:t>intended</w:t>
      </w:r>
      <w:r>
        <w:rPr>
          <w:spacing w:val="-4"/>
          <w:sz w:val="20"/>
        </w:rPr>
        <w:t> </w:t>
      </w:r>
      <w:r>
        <w:rPr>
          <w:sz w:val="20"/>
        </w:rPr>
        <w:t>to</w:t>
      </w:r>
      <w:r>
        <w:rPr>
          <w:spacing w:val="-8"/>
          <w:sz w:val="20"/>
        </w:rPr>
        <w:t> </w:t>
      </w:r>
      <w:r>
        <w:rPr>
          <w:sz w:val="20"/>
        </w:rPr>
        <w:t>achieve</w:t>
      </w:r>
      <w:r>
        <w:rPr>
          <w:spacing w:val="-2"/>
          <w:sz w:val="20"/>
        </w:rPr>
        <w:t> </w:t>
      </w:r>
      <w:r>
        <w:rPr>
          <w:sz w:val="20"/>
        </w:rPr>
        <w:t>savings</w:t>
      </w:r>
      <w:r>
        <w:rPr>
          <w:spacing w:val="-5"/>
          <w:sz w:val="20"/>
        </w:rPr>
        <w:t> </w:t>
      </w:r>
      <w:r>
        <w:rPr>
          <w:sz w:val="20"/>
        </w:rPr>
        <w:t>and</w:t>
      </w:r>
      <w:r>
        <w:rPr>
          <w:spacing w:val="-8"/>
          <w:sz w:val="20"/>
        </w:rPr>
        <w:t> </w:t>
      </w:r>
      <w:r>
        <w:rPr>
          <w:sz w:val="20"/>
        </w:rPr>
        <w:t>efficiencies. For</w:t>
      </w:r>
      <w:r>
        <w:rPr>
          <w:spacing w:val="-4"/>
          <w:sz w:val="20"/>
        </w:rPr>
        <w:t> </w:t>
      </w:r>
      <w:r>
        <w:rPr>
          <w:sz w:val="20"/>
        </w:rPr>
        <w:t>2023, DEO will</w:t>
      </w:r>
      <w:r>
        <w:rPr>
          <w:spacing w:val="-2"/>
          <w:sz w:val="20"/>
        </w:rPr>
        <w:t> </w:t>
      </w:r>
      <w:r>
        <w:rPr>
          <w:sz w:val="20"/>
        </w:rPr>
        <w:t>no</w:t>
      </w:r>
      <w:r>
        <w:rPr>
          <w:spacing w:val="-4"/>
          <w:sz w:val="20"/>
        </w:rPr>
        <w:t> </w:t>
      </w:r>
      <w:r>
        <w:rPr>
          <w:sz w:val="20"/>
        </w:rPr>
        <w:t>longer</w:t>
      </w:r>
      <w:r>
        <w:rPr>
          <w:spacing w:val="-4"/>
          <w:sz w:val="20"/>
        </w:rPr>
        <w:t> </w:t>
      </w:r>
      <w:r>
        <w:rPr>
          <w:sz w:val="20"/>
        </w:rPr>
        <w:t>retain</w:t>
      </w:r>
      <w:r>
        <w:rPr>
          <w:spacing w:val="-4"/>
          <w:sz w:val="20"/>
        </w:rPr>
        <w:t> </w:t>
      </w:r>
      <w:r>
        <w:rPr>
          <w:sz w:val="20"/>
        </w:rPr>
        <w:t>the Senior</w:t>
      </w:r>
      <w:r>
        <w:rPr>
          <w:spacing w:val="-4"/>
          <w:sz w:val="20"/>
        </w:rPr>
        <w:t> </w:t>
      </w:r>
      <w:r>
        <w:rPr>
          <w:sz w:val="20"/>
        </w:rPr>
        <w:t>Driver</w:t>
      </w:r>
      <w:r>
        <w:rPr>
          <w:spacing w:val="-4"/>
          <w:sz w:val="20"/>
        </w:rPr>
        <w:t> </w:t>
      </w:r>
      <w:r>
        <w:rPr>
          <w:sz w:val="20"/>
        </w:rPr>
        <w:t>post</w:t>
      </w:r>
      <w:r>
        <w:rPr>
          <w:spacing w:val="-7"/>
          <w:sz w:val="20"/>
        </w:rPr>
        <w:t> </w:t>
      </w:r>
      <w:r>
        <w:rPr>
          <w:sz w:val="20"/>
        </w:rPr>
        <w:t>in</w:t>
      </w:r>
      <w:r>
        <w:rPr>
          <w:spacing w:val="-4"/>
          <w:sz w:val="20"/>
        </w:rPr>
        <w:t> </w:t>
      </w:r>
      <w:r>
        <w:rPr>
          <w:sz w:val="20"/>
        </w:rPr>
        <w:t>the</w:t>
      </w:r>
      <w:r>
        <w:rPr>
          <w:spacing w:val="-5"/>
          <w:sz w:val="20"/>
        </w:rPr>
        <w:t> </w:t>
      </w:r>
      <w:r>
        <w:rPr>
          <w:sz w:val="20"/>
        </w:rPr>
        <w:t>country</w:t>
      </w:r>
      <w:r>
        <w:rPr>
          <w:spacing w:val="-4"/>
          <w:sz w:val="20"/>
        </w:rPr>
        <w:t> </w:t>
      </w:r>
      <w:r>
        <w:rPr>
          <w:sz w:val="20"/>
        </w:rPr>
        <w:t>offices</w:t>
      </w:r>
      <w:r>
        <w:rPr>
          <w:spacing w:val="-5"/>
          <w:sz w:val="20"/>
        </w:rPr>
        <w:t> </w:t>
      </w:r>
      <w:r>
        <w:rPr>
          <w:sz w:val="20"/>
        </w:rPr>
        <w:t>in</w:t>
      </w:r>
      <w:r>
        <w:rPr>
          <w:spacing w:val="-8"/>
          <w:sz w:val="20"/>
        </w:rPr>
        <w:t> </w:t>
      </w:r>
      <w:r>
        <w:rPr>
          <w:sz w:val="20"/>
        </w:rPr>
        <w:t>the</w:t>
      </w:r>
      <w:r>
        <w:rPr>
          <w:spacing w:val="-2"/>
          <w:sz w:val="20"/>
        </w:rPr>
        <w:t> </w:t>
      </w:r>
      <w:r>
        <w:rPr>
          <w:sz w:val="20"/>
        </w:rPr>
        <w:t>DRC</w:t>
      </w:r>
      <w:r>
        <w:rPr>
          <w:spacing w:val="-4"/>
          <w:sz w:val="20"/>
        </w:rPr>
        <w:t> </w:t>
      </w:r>
      <w:r>
        <w:rPr>
          <w:sz w:val="20"/>
        </w:rPr>
        <w:t>(Kinshasa)</w:t>
      </w:r>
      <w:r>
        <w:rPr>
          <w:spacing w:val="-4"/>
          <w:sz w:val="20"/>
        </w:rPr>
        <w:t> </w:t>
      </w:r>
      <w:r>
        <w:rPr>
          <w:sz w:val="20"/>
        </w:rPr>
        <w:t>and</w:t>
      </w:r>
      <w:r>
        <w:rPr>
          <w:spacing w:val="-4"/>
          <w:sz w:val="20"/>
        </w:rPr>
        <w:t> </w:t>
      </w:r>
      <w:r>
        <w:rPr>
          <w:sz w:val="20"/>
        </w:rPr>
        <w:t>the</w:t>
      </w:r>
      <w:r>
        <w:rPr>
          <w:spacing w:val="-2"/>
          <w:sz w:val="20"/>
        </w:rPr>
        <w:t> </w:t>
      </w:r>
      <w:r>
        <w:rPr>
          <w:sz w:val="20"/>
        </w:rPr>
        <w:t>Driver</w:t>
      </w:r>
      <w:r>
        <w:rPr>
          <w:spacing w:val="-4"/>
          <w:sz w:val="20"/>
        </w:rPr>
        <w:t> </w:t>
      </w:r>
      <w:r>
        <w:rPr>
          <w:sz w:val="20"/>
        </w:rPr>
        <w:t>posts</w:t>
      </w:r>
      <w:r>
        <w:rPr>
          <w:spacing w:val="-5"/>
          <w:sz w:val="20"/>
        </w:rPr>
        <w:t> </w:t>
      </w:r>
      <w:r>
        <w:rPr>
          <w:sz w:val="20"/>
        </w:rPr>
        <w:t>in</w:t>
      </w:r>
      <w:r>
        <w:rPr>
          <w:spacing w:val="-4"/>
          <w:sz w:val="20"/>
        </w:rPr>
        <w:t> </w:t>
      </w:r>
      <w:r>
        <w:rPr>
          <w:sz w:val="20"/>
        </w:rPr>
        <w:t>Côte d’Ivoire, and the Field IT Technician positions in the Country Office (Côte d’Ivoire). Activities pertaining to the simultaneous trials of the </w:t>
      </w:r>
      <w:r>
        <w:rPr>
          <w:i/>
          <w:sz w:val="20"/>
        </w:rPr>
        <w:t>Yekatom and Ngaïssona </w:t>
      </w:r>
      <w:r>
        <w:rPr>
          <w:sz w:val="20"/>
        </w:rPr>
        <w:t>case and the </w:t>
      </w:r>
      <w:r>
        <w:rPr>
          <w:i/>
          <w:sz w:val="20"/>
        </w:rPr>
        <w:t>Said</w:t>
      </w:r>
      <w:r>
        <w:rPr>
          <w:i/>
          <w:spacing w:val="-3"/>
          <w:sz w:val="20"/>
        </w:rPr>
        <w:t> </w:t>
      </w:r>
      <w:r>
        <w:rPr>
          <w:sz w:val="20"/>
        </w:rPr>
        <w:t>case</w:t>
      </w:r>
      <w:r>
        <w:rPr>
          <w:spacing w:val="-6"/>
          <w:sz w:val="20"/>
        </w:rPr>
        <w:t> </w:t>
      </w:r>
      <w:r>
        <w:rPr>
          <w:sz w:val="20"/>
        </w:rPr>
        <w:t>as</w:t>
      </w:r>
      <w:r>
        <w:rPr>
          <w:spacing w:val="-5"/>
          <w:sz w:val="20"/>
        </w:rPr>
        <w:t> </w:t>
      </w:r>
      <w:r>
        <w:rPr>
          <w:sz w:val="20"/>
        </w:rPr>
        <w:t>well</w:t>
      </w:r>
      <w:r>
        <w:rPr>
          <w:spacing w:val="-2"/>
          <w:sz w:val="20"/>
        </w:rPr>
        <w:t> </w:t>
      </w:r>
      <w:r>
        <w:rPr>
          <w:sz w:val="20"/>
        </w:rPr>
        <w:t>as</w:t>
      </w:r>
      <w:r>
        <w:rPr>
          <w:spacing w:val="-5"/>
          <w:sz w:val="20"/>
        </w:rPr>
        <w:t> </w:t>
      </w:r>
      <w:r>
        <w:rPr>
          <w:sz w:val="20"/>
        </w:rPr>
        <w:t>to</w:t>
      </w:r>
      <w:r>
        <w:rPr>
          <w:spacing w:val="-4"/>
          <w:sz w:val="20"/>
        </w:rPr>
        <w:t> </w:t>
      </w:r>
      <w:r>
        <w:rPr>
          <w:sz w:val="20"/>
        </w:rPr>
        <w:t>the </w:t>
      </w:r>
      <w:r>
        <w:rPr>
          <w:i/>
          <w:sz w:val="20"/>
        </w:rPr>
        <w:t>Mokom</w:t>
      </w:r>
      <w:r>
        <w:rPr>
          <w:i/>
          <w:spacing w:val="-5"/>
          <w:sz w:val="20"/>
        </w:rPr>
        <w:t> </w:t>
      </w:r>
      <w:r>
        <w:rPr>
          <w:sz w:val="20"/>
        </w:rPr>
        <w:t>case</w:t>
      </w:r>
      <w:r>
        <w:rPr>
          <w:spacing w:val="-2"/>
          <w:sz w:val="20"/>
        </w:rPr>
        <w:t> </w:t>
      </w:r>
      <w:r>
        <w:rPr>
          <w:sz w:val="20"/>
        </w:rPr>
        <w:t>during</w:t>
      </w:r>
      <w:r>
        <w:rPr>
          <w:spacing w:val="-8"/>
          <w:sz w:val="20"/>
        </w:rPr>
        <w:t> </w:t>
      </w:r>
      <w:r>
        <w:rPr>
          <w:sz w:val="20"/>
        </w:rPr>
        <w:t>its</w:t>
      </w:r>
      <w:r>
        <w:rPr>
          <w:spacing w:val="-5"/>
          <w:sz w:val="20"/>
        </w:rPr>
        <w:t> </w:t>
      </w:r>
      <w:r>
        <w:rPr>
          <w:sz w:val="20"/>
        </w:rPr>
        <w:t>pre-trial</w:t>
      </w:r>
      <w:r>
        <w:rPr>
          <w:spacing w:val="-2"/>
          <w:sz w:val="20"/>
        </w:rPr>
        <w:t> </w:t>
      </w:r>
      <w:r>
        <w:rPr>
          <w:sz w:val="20"/>
        </w:rPr>
        <w:t>phase</w:t>
      </w:r>
      <w:r>
        <w:rPr>
          <w:spacing w:val="-2"/>
          <w:sz w:val="20"/>
        </w:rPr>
        <w:t> </w:t>
      </w:r>
      <w:r>
        <w:rPr>
          <w:sz w:val="20"/>
        </w:rPr>
        <w:t>create</w:t>
      </w:r>
      <w:r>
        <w:rPr>
          <w:spacing w:val="-7"/>
          <w:sz w:val="20"/>
        </w:rPr>
        <w:t> </w:t>
      </w:r>
      <w:r>
        <w:rPr>
          <w:sz w:val="20"/>
        </w:rPr>
        <w:t>a</w:t>
      </w:r>
      <w:r>
        <w:rPr>
          <w:spacing w:val="-2"/>
          <w:sz w:val="20"/>
        </w:rPr>
        <w:t> </w:t>
      </w:r>
      <w:r>
        <w:rPr>
          <w:sz w:val="20"/>
        </w:rPr>
        <w:t>significant</w:t>
      </w:r>
      <w:r>
        <w:rPr>
          <w:spacing w:val="-2"/>
          <w:sz w:val="20"/>
        </w:rPr>
        <w:t> </w:t>
      </w:r>
      <w:r>
        <w:rPr>
          <w:sz w:val="20"/>
        </w:rPr>
        <w:t>need</w:t>
      </w:r>
      <w:r>
        <w:rPr>
          <w:spacing w:val="-4"/>
          <w:sz w:val="20"/>
        </w:rPr>
        <w:t> </w:t>
      </w:r>
      <w:r>
        <w:rPr>
          <w:sz w:val="20"/>
        </w:rPr>
        <w:t>for the Country Office (CAR) to reinforce its capacity in different aspects to support the increasing judicial activities. Instead of requesting a number of new positions to fulfil different functions, the Country Office (CAR) intends to create a pool of individual contractors to enhance its surge driver and IT-related capacity for peak activities and to address</w:t>
      </w:r>
      <w:r>
        <w:rPr>
          <w:spacing w:val="-5"/>
          <w:sz w:val="20"/>
        </w:rPr>
        <w:t> </w:t>
      </w:r>
      <w:r>
        <w:rPr>
          <w:sz w:val="20"/>
        </w:rPr>
        <w:t>special</w:t>
      </w:r>
      <w:r>
        <w:rPr>
          <w:spacing w:val="-2"/>
          <w:sz w:val="20"/>
        </w:rPr>
        <w:t> </w:t>
      </w:r>
      <w:r>
        <w:rPr>
          <w:sz w:val="20"/>
        </w:rPr>
        <w:t>needs</w:t>
      </w:r>
      <w:r>
        <w:rPr>
          <w:spacing w:val="-10"/>
          <w:sz w:val="20"/>
        </w:rPr>
        <w:t> </w:t>
      </w:r>
      <w:r>
        <w:rPr>
          <w:sz w:val="20"/>
        </w:rPr>
        <w:t>in</w:t>
      </w:r>
      <w:r>
        <w:rPr>
          <w:spacing w:val="-8"/>
          <w:sz w:val="20"/>
        </w:rPr>
        <w:t> </w:t>
      </w:r>
      <w:r>
        <w:rPr>
          <w:sz w:val="20"/>
        </w:rPr>
        <w:t>implementing</w:t>
      </w:r>
      <w:r>
        <w:rPr>
          <w:spacing w:val="-4"/>
          <w:sz w:val="20"/>
        </w:rPr>
        <w:t> </w:t>
      </w:r>
      <w:r>
        <w:rPr>
          <w:sz w:val="20"/>
        </w:rPr>
        <w:t>its</w:t>
      </w:r>
      <w:r>
        <w:rPr>
          <w:spacing w:val="-5"/>
          <w:sz w:val="20"/>
        </w:rPr>
        <w:t> </w:t>
      </w:r>
      <w:r>
        <w:rPr>
          <w:sz w:val="20"/>
        </w:rPr>
        <w:t>outreach</w:t>
      </w:r>
      <w:r>
        <w:rPr>
          <w:spacing w:val="-8"/>
          <w:sz w:val="20"/>
        </w:rPr>
        <w:t> </w:t>
      </w:r>
      <w:r>
        <w:rPr>
          <w:sz w:val="20"/>
        </w:rPr>
        <w:t>strategy.</w:t>
      </w:r>
      <w:r>
        <w:rPr>
          <w:spacing w:val="-6"/>
          <w:sz w:val="20"/>
        </w:rPr>
        <w:t> </w:t>
      </w:r>
      <w:r>
        <w:rPr>
          <w:sz w:val="20"/>
        </w:rPr>
        <w:t>In</w:t>
      </w:r>
      <w:r>
        <w:rPr>
          <w:spacing w:val="-4"/>
          <w:sz w:val="20"/>
        </w:rPr>
        <w:t> </w:t>
      </w:r>
      <w:r>
        <w:rPr>
          <w:sz w:val="20"/>
        </w:rPr>
        <w:t>the</w:t>
      </w:r>
      <w:r>
        <w:rPr>
          <w:spacing w:val="-2"/>
          <w:sz w:val="20"/>
        </w:rPr>
        <w:t> </w:t>
      </w:r>
      <w:r>
        <w:rPr>
          <w:sz w:val="20"/>
        </w:rPr>
        <w:t>light</w:t>
      </w:r>
      <w:r>
        <w:rPr>
          <w:spacing w:val="-7"/>
          <w:sz w:val="20"/>
        </w:rPr>
        <w:t> </w:t>
      </w:r>
      <w:r>
        <w:rPr>
          <w:sz w:val="20"/>
        </w:rPr>
        <w:t>of</w:t>
      </w:r>
      <w:r>
        <w:rPr>
          <w:spacing w:val="-8"/>
          <w:sz w:val="20"/>
        </w:rPr>
        <w:t> </w:t>
      </w:r>
      <w:r>
        <w:rPr>
          <w:sz w:val="20"/>
        </w:rPr>
        <w:t>the</w:t>
      </w:r>
      <w:r>
        <w:rPr>
          <w:spacing w:val="-7"/>
          <w:sz w:val="20"/>
        </w:rPr>
        <w:t> </w:t>
      </w:r>
      <w:r>
        <w:rPr>
          <w:sz w:val="20"/>
        </w:rPr>
        <w:t>residual</w:t>
      </w:r>
      <w:r>
        <w:rPr>
          <w:spacing w:val="-2"/>
          <w:sz w:val="20"/>
        </w:rPr>
        <w:t> </w:t>
      </w:r>
      <w:r>
        <w:rPr>
          <w:sz w:val="20"/>
        </w:rPr>
        <w:t>needs in the</w:t>
      </w:r>
      <w:r>
        <w:rPr>
          <w:spacing w:val="-1"/>
          <w:sz w:val="20"/>
        </w:rPr>
        <w:t> </w:t>
      </w:r>
      <w:r>
        <w:rPr>
          <w:sz w:val="20"/>
        </w:rPr>
        <w:t>country</w:t>
      </w:r>
      <w:r>
        <w:rPr>
          <w:spacing w:val="-3"/>
          <w:sz w:val="20"/>
        </w:rPr>
        <w:t> </w:t>
      </w:r>
      <w:r>
        <w:rPr>
          <w:sz w:val="20"/>
        </w:rPr>
        <w:t>offices</w:t>
      </w:r>
      <w:r>
        <w:rPr>
          <w:spacing w:val="-4"/>
          <w:sz w:val="20"/>
        </w:rPr>
        <w:t> </w:t>
      </w:r>
      <w:r>
        <w:rPr>
          <w:sz w:val="20"/>
        </w:rPr>
        <w:t>in</w:t>
      </w:r>
      <w:r>
        <w:rPr>
          <w:spacing w:val="-3"/>
          <w:sz w:val="20"/>
        </w:rPr>
        <w:t> </w:t>
      </w:r>
      <w:r>
        <w:rPr>
          <w:sz w:val="20"/>
        </w:rPr>
        <w:t>the</w:t>
      </w:r>
      <w:r>
        <w:rPr>
          <w:spacing w:val="-1"/>
          <w:sz w:val="20"/>
        </w:rPr>
        <w:t> </w:t>
      </w:r>
      <w:r>
        <w:rPr>
          <w:sz w:val="20"/>
        </w:rPr>
        <w:t>DRC (Kinshasa)</w:t>
      </w:r>
      <w:r>
        <w:rPr>
          <w:spacing w:val="-3"/>
          <w:sz w:val="20"/>
        </w:rPr>
        <w:t> </w:t>
      </w:r>
      <w:r>
        <w:rPr>
          <w:sz w:val="20"/>
        </w:rPr>
        <w:t>and</w:t>
      </w:r>
      <w:r>
        <w:rPr>
          <w:spacing w:val="-3"/>
          <w:sz w:val="20"/>
        </w:rPr>
        <w:t> </w:t>
      </w:r>
      <w:r>
        <w:rPr>
          <w:sz w:val="20"/>
        </w:rPr>
        <w:t>in Côte</w:t>
      </w:r>
      <w:r>
        <w:rPr>
          <w:spacing w:val="-1"/>
          <w:sz w:val="20"/>
        </w:rPr>
        <w:t> </w:t>
      </w:r>
      <w:r>
        <w:rPr>
          <w:sz w:val="20"/>
        </w:rPr>
        <w:t>d’Ivoire, which</w:t>
      </w:r>
      <w:r>
        <w:rPr>
          <w:spacing w:val="-3"/>
          <w:sz w:val="20"/>
        </w:rPr>
        <w:t> </w:t>
      </w:r>
      <w:r>
        <w:rPr>
          <w:sz w:val="20"/>
        </w:rPr>
        <w:t>do</w:t>
      </w:r>
      <w:r>
        <w:rPr>
          <w:spacing w:val="-3"/>
          <w:sz w:val="20"/>
        </w:rPr>
        <w:t> </w:t>
      </w:r>
      <w:r>
        <w:rPr>
          <w:sz w:val="20"/>
        </w:rPr>
        <w:t>not warrant</w:t>
      </w:r>
      <w:r>
        <w:rPr>
          <w:spacing w:val="-1"/>
          <w:sz w:val="20"/>
        </w:rPr>
        <w:t> </w:t>
      </w:r>
      <w:r>
        <w:rPr>
          <w:sz w:val="20"/>
        </w:rPr>
        <w:t>the retention of</w:t>
      </w:r>
      <w:r>
        <w:rPr>
          <w:spacing w:val="-3"/>
          <w:sz w:val="20"/>
        </w:rPr>
        <w:t> </w:t>
      </w:r>
      <w:r>
        <w:rPr>
          <w:sz w:val="20"/>
        </w:rPr>
        <w:t>(Senior) Driver or</w:t>
      </w:r>
      <w:r>
        <w:rPr>
          <w:spacing w:val="-3"/>
          <w:sz w:val="20"/>
        </w:rPr>
        <w:t> </w:t>
      </w:r>
      <w:r>
        <w:rPr>
          <w:sz w:val="20"/>
        </w:rPr>
        <w:t>of Field</w:t>
      </w:r>
      <w:r>
        <w:rPr>
          <w:spacing w:val="-3"/>
          <w:sz w:val="20"/>
        </w:rPr>
        <w:t> </w:t>
      </w:r>
      <w:r>
        <w:rPr>
          <w:sz w:val="20"/>
        </w:rPr>
        <w:t>IT</w:t>
      </w:r>
      <w:r>
        <w:rPr>
          <w:spacing w:val="-1"/>
          <w:sz w:val="20"/>
        </w:rPr>
        <w:t> </w:t>
      </w:r>
      <w:r>
        <w:rPr>
          <w:sz w:val="20"/>
        </w:rPr>
        <w:t>Technician in</w:t>
      </w:r>
      <w:r>
        <w:rPr>
          <w:spacing w:val="-3"/>
          <w:sz w:val="20"/>
        </w:rPr>
        <w:t> </w:t>
      </w:r>
      <w:r>
        <w:rPr>
          <w:sz w:val="20"/>
        </w:rPr>
        <w:t>the</w:t>
      </w:r>
      <w:r>
        <w:rPr>
          <w:spacing w:val="-1"/>
          <w:sz w:val="20"/>
        </w:rPr>
        <w:t> </w:t>
      </w:r>
      <w:r>
        <w:rPr>
          <w:sz w:val="20"/>
        </w:rPr>
        <w:t>Country</w:t>
      </w:r>
      <w:r>
        <w:rPr>
          <w:spacing w:val="-3"/>
          <w:sz w:val="20"/>
        </w:rPr>
        <w:t> </w:t>
      </w:r>
      <w:r>
        <w:rPr>
          <w:sz w:val="20"/>
        </w:rPr>
        <w:t>Office</w:t>
      </w:r>
      <w:r>
        <w:rPr>
          <w:spacing w:val="-1"/>
          <w:sz w:val="20"/>
        </w:rPr>
        <w:t> </w:t>
      </w:r>
      <w:r>
        <w:rPr>
          <w:sz w:val="20"/>
        </w:rPr>
        <w:t>(Côte d’Ivoire), DEO believes that further savings and efficiencies could be achieved by resorting to individual contractors for their services whenever a need arises, without having staff from Headquarters or from other country offices travel to provide the necessary support.</w:t>
      </w:r>
      <w:r>
        <w:rPr>
          <w:sz w:val="20"/>
          <w:vertAlign w:val="superscript"/>
        </w:rPr>
        <w:t>122</w:t>
      </w:r>
    </w:p>
    <w:p>
      <w:pPr>
        <w:pStyle w:val="ListParagraph"/>
        <w:numPr>
          <w:ilvl w:val="0"/>
          <w:numId w:val="4"/>
        </w:numPr>
        <w:tabs>
          <w:tab w:pos="2967" w:val="left" w:leader="none"/>
        </w:tabs>
        <w:spacing w:line="240" w:lineRule="auto" w:before="124" w:after="0"/>
        <w:ind w:left="2246" w:right="2247" w:firstLine="0"/>
        <w:jc w:val="both"/>
        <w:rPr>
          <w:sz w:val="20"/>
        </w:rPr>
      </w:pPr>
      <w:r>
        <w:rPr>
          <w:sz w:val="20"/>
        </w:rPr>
        <w:t>For 2023, DEO requests only one new position of Administration and Operations Officer in the country office in Ukraine under the newly created category of National Professional</w:t>
      </w:r>
      <w:r>
        <w:rPr>
          <w:spacing w:val="-3"/>
          <w:sz w:val="20"/>
        </w:rPr>
        <w:t> </w:t>
      </w:r>
      <w:r>
        <w:rPr>
          <w:sz w:val="20"/>
        </w:rPr>
        <w:t>Officer,</w:t>
      </w:r>
      <w:r>
        <w:rPr>
          <w:spacing w:val="-7"/>
          <w:sz w:val="20"/>
        </w:rPr>
        <w:t> </w:t>
      </w:r>
      <w:r>
        <w:rPr>
          <w:sz w:val="20"/>
        </w:rPr>
        <w:t>as</w:t>
      </w:r>
      <w:r>
        <w:rPr>
          <w:spacing w:val="-6"/>
          <w:sz w:val="20"/>
        </w:rPr>
        <w:t> </w:t>
      </w:r>
      <w:r>
        <w:rPr>
          <w:sz w:val="20"/>
        </w:rPr>
        <w:t>it</w:t>
      </w:r>
      <w:r>
        <w:rPr>
          <w:spacing w:val="-3"/>
          <w:sz w:val="20"/>
        </w:rPr>
        <w:t> </w:t>
      </w:r>
      <w:r>
        <w:rPr>
          <w:sz w:val="20"/>
        </w:rPr>
        <w:t>is</w:t>
      </w:r>
      <w:r>
        <w:rPr>
          <w:spacing w:val="-11"/>
          <w:sz w:val="20"/>
        </w:rPr>
        <w:t> </w:t>
      </w:r>
      <w:r>
        <w:rPr>
          <w:sz w:val="20"/>
        </w:rPr>
        <w:t>considered</w:t>
      </w:r>
      <w:r>
        <w:rPr>
          <w:spacing w:val="-9"/>
          <w:sz w:val="20"/>
        </w:rPr>
        <w:t> </w:t>
      </w:r>
      <w:r>
        <w:rPr>
          <w:sz w:val="20"/>
        </w:rPr>
        <w:t>that</w:t>
      </w:r>
      <w:r>
        <w:rPr>
          <w:spacing w:val="-8"/>
          <w:sz w:val="20"/>
        </w:rPr>
        <w:t> </w:t>
      </w:r>
      <w:r>
        <w:rPr>
          <w:sz w:val="20"/>
        </w:rPr>
        <w:t>other</w:t>
      </w:r>
      <w:r>
        <w:rPr>
          <w:spacing w:val="-5"/>
          <w:sz w:val="20"/>
        </w:rPr>
        <w:t> </w:t>
      </w:r>
      <w:r>
        <w:rPr>
          <w:sz w:val="20"/>
        </w:rPr>
        <w:t>newly</w:t>
      </w:r>
      <w:r>
        <w:rPr>
          <w:spacing w:val="-9"/>
          <w:sz w:val="20"/>
        </w:rPr>
        <w:t> </w:t>
      </w:r>
      <w:r>
        <w:rPr>
          <w:sz w:val="20"/>
        </w:rPr>
        <w:t>requested</w:t>
      </w:r>
      <w:r>
        <w:rPr>
          <w:spacing w:val="-9"/>
          <w:sz w:val="20"/>
        </w:rPr>
        <w:t> </w:t>
      </w:r>
      <w:r>
        <w:rPr>
          <w:sz w:val="20"/>
        </w:rPr>
        <w:t>Professional</w:t>
      </w:r>
      <w:r>
        <w:rPr>
          <w:spacing w:val="-3"/>
          <w:sz w:val="20"/>
        </w:rPr>
        <w:t> </w:t>
      </w:r>
      <w:r>
        <w:rPr>
          <w:sz w:val="20"/>
        </w:rPr>
        <w:t>positions</w:t>
      </w:r>
      <w:r>
        <w:rPr>
          <w:spacing w:val="-11"/>
          <w:sz w:val="20"/>
        </w:rPr>
        <w:t> </w:t>
      </w:r>
      <w:r>
        <w:rPr>
          <w:sz w:val="20"/>
        </w:rPr>
        <w:t>are not</w:t>
      </w:r>
      <w:r>
        <w:rPr>
          <w:spacing w:val="27"/>
          <w:sz w:val="20"/>
        </w:rPr>
        <w:t> </w:t>
      </w:r>
      <w:r>
        <w:rPr>
          <w:sz w:val="20"/>
        </w:rPr>
        <w:t>suitable</w:t>
      </w:r>
      <w:r>
        <w:rPr>
          <w:spacing w:val="22"/>
          <w:sz w:val="20"/>
        </w:rPr>
        <w:t> </w:t>
      </w:r>
      <w:r>
        <w:rPr>
          <w:sz w:val="20"/>
        </w:rPr>
        <w:t>to</w:t>
      </w:r>
      <w:r>
        <w:rPr>
          <w:spacing w:val="20"/>
          <w:sz w:val="20"/>
        </w:rPr>
        <w:t> </w:t>
      </w:r>
      <w:r>
        <w:rPr>
          <w:sz w:val="20"/>
        </w:rPr>
        <w:t>be</w:t>
      </w:r>
      <w:r>
        <w:rPr>
          <w:spacing w:val="22"/>
          <w:sz w:val="20"/>
        </w:rPr>
        <w:t> </w:t>
      </w:r>
      <w:r>
        <w:rPr>
          <w:sz w:val="20"/>
        </w:rPr>
        <w:t>undertaken</w:t>
      </w:r>
      <w:r>
        <w:rPr>
          <w:spacing w:val="20"/>
          <w:sz w:val="20"/>
        </w:rPr>
        <w:t> </w:t>
      </w:r>
      <w:r>
        <w:rPr>
          <w:sz w:val="20"/>
        </w:rPr>
        <w:t>by</w:t>
      </w:r>
      <w:r>
        <w:rPr>
          <w:spacing w:val="20"/>
          <w:sz w:val="20"/>
        </w:rPr>
        <w:t> </w:t>
      </w:r>
      <w:r>
        <w:rPr>
          <w:sz w:val="20"/>
        </w:rPr>
        <w:t>national</w:t>
      </w:r>
      <w:r>
        <w:rPr>
          <w:spacing w:val="27"/>
          <w:sz w:val="20"/>
        </w:rPr>
        <w:t> </w:t>
      </w:r>
      <w:r>
        <w:rPr>
          <w:sz w:val="20"/>
        </w:rPr>
        <w:t>staff.</w:t>
      </w:r>
      <w:r>
        <w:rPr>
          <w:spacing w:val="27"/>
          <w:sz w:val="20"/>
        </w:rPr>
        <w:t> </w:t>
      </w:r>
      <w:r>
        <w:rPr>
          <w:sz w:val="20"/>
        </w:rPr>
        <w:t>It</w:t>
      </w:r>
      <w:r>
        <w:rPr>
          <w:spacing w:val="22"/>
          <w:sz w:val="20"/>
        </w:rPr>
        <w:t> </w:t>
      </w:r>
      <w:r>
        <w:rPr>
          <w:sz w:val="20"/>
        </w:rPr>
        <w:t>is</w:t>
      </w:r>
      <w:r>
        <w:rPr>
          <w:spacing w:val="24"/>
          <w:sz w:val="20"/>
        </w:rPr>
        <w:t> </w:t>
      </w:r>
      <w:r>
        <w:rPr>
          <w:sz w:val="20"/>
        </w:rPr>
        <w:t>important</w:t>
      </w:r>
      <w:r>
        <w:rPr>
          <w:spacing w:val="22"/>
          <w:sz w:val="20"/>
        </w:rPr>
        <w:t> </w:t>
      </w:r>
      <w:r>
        <w:rPr>
          <w:sz w:val="20"/>
        </w:rPr>
        <w:t>that</w:t>
      </w:r>
      <w:r>
        <w:rPr>
          <w:spacing w:val="22"/>
          <w:sz w:val="20"/>
        </w:rPr>
        <w:t> </w:t>
      </w:r>
      <w:r>
        <w:rPr>
          <w:sz w:val="20"/>
        </w:rPr>
        <w:t>the</w:t>
      </w:r>
      <w:r>
        <w:rPr>
          <w:spacing w:val="22"/>
          <w:sz w:val="20"/>
        </w:rPr>
        <w:t> </w:t>
      </w:r>
      <w:r>
        <w:rPr>
          <w:sz w:val="20"/>
        </w:rPr>
        <w:t>positions</w:t>
      </w:r>
      <w:r>
        <w:rPr>
          <w:spacing w:val="19"/>
          <w:sz w:val="20"/>
        </w:rPr>
        <w:t> </w:t>
      </w:r>
      <w:r>
        <w:rPr>
          <w:sz w:val="20"/>
        </w:rPr>
        <w:t>of</w:t>
      </w:r>
      <w:r>
        <w:rPr>
          <w:spacing w:val="25"/>
          <w:sz w:val="20"/>
        </w:rPr>
        <w:t> </w:t>
      </w:r>
      <w:r>
        <w:rPr>
          <w:sz w:val="20"/>
        </w:rPr>
        <w:t>Field</w:t>
      </w:r>
    </w:p>
    <w:p>
      <w:pPr>
        <w:pStyle w:val="BodyText"/>
        <w:spacing w:before="6"/>
      </w:pPr>
      <w:r>
        <w:rPr/>
        <w:pict>
          <v:rect style="position:absolute;margin-left:113.330002pt;margin-top:13.030567pt;width:144.050pt;height:.47998pt;mso-position-horizontal-relative:page;mso-position-vertical-relative:paragraph;z-index:-15689728;mso-wrap-distance-left:0;mso-wrap-distance-right:0" id="docshape251" filled="true" fillcolor="#000000" stroked="false">
            <v:fill type="solid"/>
            <w10:wrap type="topAndBottom"/>
          </v:rect>
        </w:pict>
      </w:r>
    </w:p>
    <w:p>
      <w:pPr>
        <w:spacing w:line="240" w:lineRule="auto" w:before="86"/>
        <w:ind w:left="2246" w:right="2241" w:firstLine="0"/>
        <w:jc w:val="both"/>
        <w:rPr>
          <w:sz w:val="16"/>
        </w:rPr>
      </w:pPr>
      <w:r>
        <w:rPr>
          <w:position w:val="5"/>
          <w:sz w:val="10"/>
        </w:rPr>
        <w:t>122</w:t>
      </w:r>
      <w:r>
        <w:rPr>
          <w:spacing w:val="10"/>
          <w:position w:val="5"/>
          <w:sz w:val="10"/>
        </w:rPr>
        <w:t> </w:t>
      </w:r>
      <w:r>
        <w:rPr>
          <w:sz w:val="16"/>
        </w:rPr>
        <w:t>For</w:t>
      </w:r>
      <w:r>
        <w:rPr>
          <w:spacing w:val="-8"/>
          <w:sz w:val="16"/>
        </w:rPr>
        <w:t> </w:t>
      </w:r>
      <w:r>
        <w:rPr>
          <w:sz w:val="16"/>
        </w:rPr>
        <w:t>2023,</w:t>
      </w:r>
      <w:r>
        <w:rPr>
          <w:spacing w:val="-9"/>
          <w:sz w:val="16"/>
        </w:rPr>
        <w:t> </w:t>
      </w:r>
      <w:r>
        <w:rPr>
          <w:sz w:val="16"/>
        </w:rPr>
        <w:t>the</w:t>
      </w:r>
      <w:r>
        <w:rPr>
          <w:spacing w:val="-1"/>
          <w:sz w:val="16"/>
        </w:rPr>
        <w:t> </w:t>
      </w:r>
      <w:r>
        <w:rPr>
          <w:sz w:val="16"/>
        </w:rPr>
        <w:t>Field</w:t>
      </w:r>
      <w:r>
        <w:rPr>
          <w:spacing w:val="-1"/>
          <w:sz w:val="16"/>
        </w:rPr>
        <w:t> </w:t>
      </w:r>
      <w:r>
        <w:rPr>
          <w:sz w:val="16"/>
        </w:rPr>
        <w:t>IT</w:t>
      </w:r>
      <w:r>
        <w:rPr>
          <w:spacing w:val="-4"/>
          <w:sz w:val="16"/>
        </w:rPr>
        <w:t> </w:t>
      </w:r>
      <w:r>
        <w:rPr>
          <w:sz w:val="16"/>
        </w:rPr>
        <w:t>Technician</w:t>
      </w:r>
      <w:r>
        <w:rPr>
          <w:spacing w:val="-6"/>
          <w:sz w:val="16"/>
        </w:rPr>
        <w:t> </w:t>
      </w:r>
      <w:r>
        <w:rPr>
          <w:sz w:val="16"/>
        </w:rPr>
        <w:t>in</w:t>
      </w:r>
      <w:r>
        <w:rPr>
          <w:spacing w:val="-6"/>
          <w:sz w:val="16"/>
        </w:rPr>
        <w:t> </w:t>
      </w:r>
      <w:r>
        <w:rPr>
          <w:sz w:val="16"/>
        </w:rPr>
        <w:t>the</w:t>
      </w:r>
      <w:r>
        <w:rPr>
          <w:spacing w:val="-6"/>
          <w:sz w:val="16"/>
        </w:rPr>
        <w:t> </w:t>
      </w:r>
      <w:r>
        <w:rPr>
          <w:sz w:val="16"/>
        </w:rPr>
        <w:t>Country</w:t>
      </w:r>
      <w:r>
        <w:rPr>
          <w:spacing w:val="-6"/>
          <w:sz w:val="16"/>
        </w:rPr>
        <w:t> </w:t>
      </w:r>
      <w:r>
        <w:rPr>
          <w:sz w:val="16"/>
        </w:rPr>
        <w:t>Office (Uganda)</w:t>
      </w:r>
      <w:r>
        <w:rPr>
          <w:spacing w:val="-8"/>
          <w:sz w:val="16"/>
        </w:rPr>
        <w:t> </w:t>
      </w:r>
      <w:r>
        <w:rPr>
          <w:sz w:val="16"/>
        </w:rPr>
        <w:t>will</w:t>
      </w:r>
      <w:r>
        <w:rPr>
          <w:spacing w:val="-9"/>
          <w:sz w:val="16"/>
        </w:rPr>
        <w:t> </w:t>
      </w:r>
      <w:r>
        <w:rPr>
          <w:sz w:val="16"/>
        </w:rPr>
        <w:t>continue</w:t>
      </w:r>
      <w:r>
        <w:rPr>
          <w:spacing w:val="-6"/>
          <w:sz w:val="16"/>
        </w:rPr>
        <w:t> </w:t>
      </w:r>
      <w:r>
        <w:rPr>
          <w:sz w:val="16"/>
        </w:rPr>
        <w:t>to</w:t>
      </w:r>
      <w:r>
        <w:rPr>
          <w:spacing w:val="-6"/>
          <w:sz w:val="16"/>
        </w:rPr>
        <w:t> </w:t>
      </w:r>
      <w:r>
        <w:rPr>
          <w:sz w:val="16"/>
        </w:rPr>
        <w:t>cover</w:t>
      </w:r>
      <w:r>
        <w:rPr>
          <w:spacing w:val="-8"/>
          <w:sz w:val="16"/>
        </w:rPr>
        <w:t> </w:t>
      </w:r>
      <w:r>
        <w:rPr>
          <w:sz w:val="16"/>
        </w:rPr>
        <w:t>the</w:t>
      </w:r>
      <w:r>
        <w:rPr>
          <w:spacing w:val="-6"/>
          <w:sz w:val="16"/>
        </w:rPr>
        <w:t> </w:t>
      </w:r>
      <w:r>
        <w:rPr>
          <w:sz w:val="16"/>
        </w:rPr>
        <w:t>residual</w:t>
      </w:r>
      <w:r>
        <w:rPr>
          <w:spacing w:val="-9"/>
          <w:sz w:val="16"/>
        </w:rPr>
        <w:t> </w:t>
      </w:r>
      <w:r>
        <w:rPr>
          <w:sz w:val="16"/>
        </w:rPr>
        <w:t>needs</w:t>
      </w:r>
      <w:r>
        <w:rPr>
          <w:spacing w:val="-7"/>
          <w:sz w:val="16"/>
        </w:rPr>
        <w:t> </w:t>
      </w:r>
      <w:r>
        <w:rPr>
          <w:sz w:val="16"/>
        </w:rPr>
        <w:t>in</w:t>
      </w:r>
      <w:r>
        <w:rPr>
          <w:spacing w:val="-1"/>
          <w:sz w:val="16"/>
        </w:rPr>
        <w:t> </w:t>
      </w:r>
      <w:r>
        <w:rPr>
          <w:sz w:val="16"/>
        </w:rPr>
        <w:t>the</w:t>
      </w:r>
      <w:r>
        <w:rPr>
          <w:spacing w:val="40"/>
          <w:sz w:val="16"/>
        </w:rPr>
        <w:t> </w:t>
      </w:r>
      <w:r>
        <w:rPr>
          <w:sz w:val="16"/>
        </w:rPr>
        <w:t>Country</w:t>
      </w:r>
      <w:r>
        <w:rPr>
          <w:spacing w:val="-1"/>
          <w:sz w:val="16"/>
        </w:rPr>
        <w:t> </w:t>
      </w:r>
      <w:r>
        <w:rPr>
          <w:sz w:val="16"/>
        </w:rPr>
        <w:t>Office</w:t>
      </w:r>
      <w:r>
        <w:rPr>
          <w:spacing w:val="-2"/>
          <w:sz w:val="16"/>
        </w:rPr>
        <w:t> </w:t>
      </w:r>
      <w:r>
        <w:rPr>
          <w:sz w:val="16"/>
        </w:rPr>
        <w:t>(DRC) in Kinshasa</w:t>
      </w:r>
      <w:r>
        <w:rPr>
          <w:spacing w:val="-2"/>
          <w:sz w:val="16"/>
        </w:rPr>
        <w:t> </w:t>
      </w:r>
      <w:r>
        <w:rPr>
          <w:sz w:val="16"/>
        </w:rPr>
        <w:t>and in</w:t>
      </w:r>
      <w:r>
        <w:rPr>
          <w:spacing w:val="-1"/>
          <w:sz w:val="16"/>
        </w:rPr>
        <w:t> </w:t>
      </w:r>
      <w:r>
        <w:rPr>
          <w:sz w:val="16"/>
        </w:rPr>
        <w:t>Bunia.</w:t>
      </w:r>
      <w:r>
        <w:rPr>
          <w:spacing w:val="-4"/>
          <w:sz w:val="16"/>
        </w:rPr>
        <w:t> </w:t>
      </w:r>
      <w:r>
        <w:rPr>
          <w:sz w:val="16"/>
        </w:rPr>
        <w:t>A review</w:t>
      </w:r>
      <w:r>
        <w:rPr>
          <w:spacing w:val="-2"/>
          <w:sz w:val="16"/>
        </w:rPr>
        <w:t> </w:t>
      </w:r>
      <w:r>
        <w:rPr>
          <w:sz w:val="16"/>
        </w:rPr>
        <w:t>will be</w:t>
      </w:r>
      <w:r>
        <w:rPr>
          <w:spacing w:val="-2"/>
          <w:sz w:val="16"/>
        </w:rPr>
        <w:t> </w:t>
      </w:r>
      <w:r>
        <w:rPr>
          <w:sz w:val="16"/>
        </w:rPr>
        <w:t>conducted</w:t>
      </w:r>
      <w:r>
        <w:rPr>
          <w:spacing w:val="-1"/>
          <w:sz w:val="16"/>
        </w:rPr>
        <w:t> </w:t>
      </w:r>
      <w:r>
        <w:rPr>
          <w:sz w:val="16"/>
        </w:rPr>
        <w:t>of the</w:t>
      </w:r>
      <w:r>
        <w:rPr>
          <w:spacing w:val="-2"/>
          <w:sz w:val="16"/>
        </w:rPr>
        <w:t> </w:t>
      </w:r>
      <w:r>
        <w:rPr>
          <w:sz w:val="16"/>
        </w:rPr>
        <w:t>savings</w:t>
      </w:r>
      <w:r>
        <w:rPr>
          <w:spacing w:val="-3"/>
          <w:sz w:val="16"/>
        </w:rPr>
        <w:t> </w:t>
      </w:r>
      <w:r>
        <w:rPr>
          <w:sz w:val="16"/>
        </w:rPr>
        <w:t>and</w:t>
      </w:r>
      <w:r>
        <w:rPr>
          <w:spacing w:val="-1"/>
          <w:sz w:val="16"/>
        </w:rPr>
        <w:t> </w:t>
      </w:r>
      <w:r>
        <w:rPr>
          <w:sz w:val="16"/>
        </w:rPr>
        <w:t>efficiencies</w:t>
      </w:r>
      <w:r>
        <w:rPr>
          <w:spacing w:val="-3"/>
          <w:sz w:val="16"/>
        </w:rPr>
        <w:t> </w:t>
      </w:r>
      <w:r>
        <w:rPr>
          <w:sz w:val="16"/>
        </w:rPr>
        <w:t>which</w:t>
      </w:r>
      <w:r>
        <w:rPr>
          <w:spacing w:val="40"/>
          <w:sz w:val="16"/>
        </w:rPr>
        <w:t> </w:t>
      </w:r>
      <w:r>
        <w:rPr>
          <w:sz w:val="16"/>
        </w:rPr>
        <w:t>could be achieved by resorting to the IT support under a Special Service Agreement (SSA) in Côte d’Ivoire at the</w:t>
      </w:r>
      <w:r>
        <w:rPr>
          <w:spacing w:val="40"/>
          <w:sz w:val="16"/>
        </w:rPr>
        <w:t> </w:t>
      </w:r>
      <w:r>
        <w:rPr>
          <w:sz w:val="16"/>
        </w:rPr>
        <w:t>end of 2023 and determining whether the Country Office (DRC) in Kinshasa and in Bunia could also resort to the</w:t>
      </w:r>
      <w:r>
        <w:rPr>
          <w:spacing w:val="40"/>
          <w:sz w:val="16"/>
        </w:rPr>
        <w:t> </w:t>
      </w:r>
      <w:r>
        <w:rPr>
          <w:sz w:val="16"/>
        </w:rPr>
        <w:t>SSA IT</w:t>
      </w:r>
      <w:r>
        <w:rPr>
          <w:spacing w:val="-2"/>
          <w:sz w:val="16"/>
        </w:rPr>
        <w:t> </w:t>
      </w:r>
      <w:r>
        <w:rPr>
          <w:sz w:val="16"/>
        </w:rPr>
        <w:t>support</w:t>
      </w:r>
      <w:r>
        <w:rPr>
          <w:spacing w:val="-8"/>
          <w:sz w:val="16"/>
        </w:rPr>
        <w:t> </w:t>
      </w:r>
      <w:r>
        <w:rPr>
          <w:sz w:val="16"/>
        </w:rPr>
        <w:t>to achieve</w:t>
      </w:r>
      <w:r>
        <w:rPr>
          <w:spacing w:val="-5"/>
          <w:sz w:val="16"/>
        </w:rPr>
        <w:t> </w:t>
      </w:r>
      <w:r>
        <w:rPr>
          <w:sz w:val="16"/>
        </w:rPr>
        <w:t>further</w:t>
      </w:r>
      <w:r>
        <w:rPr>
          <w:spacing w:val="-7"/>
          <w:sz w:val="16"/>
        </w:rPr>
        <w:t> </w:t>
      </w:r>
      <w:r>
        <w:rPr>
          <w:sz w:val="16"/>
        </w:rPr>
        <w:t>savings</w:t>
      </w:r>
      <w:r>
        <w:rPr>
          <w:spacing w:val="-6"/>
          <w:sz w:val="16"/>
        </w:rPr>
        <w:t> </w:t>
      </w:r>
      <w:r>
        <w:rPr>
          <w:sz w:val="16"/>
        </w:rPr>
        <w:t>and</w:t>
      </w:r>
      <w:r>
        <w:rPr>
          <w:spacing w:val="-5"/>
          <w:sz w:val="16"/>
        </w:rPr>
        <w:t> </w:t>
      </w:r>
      <w:r>
        <w:rPr>
          <w:sz w:val="16"/>
        </w:rPr>
        <w:t>efficiencies,</w:t>
      </w:r>
      <w:r>
        <w:rPr>
          <w:spacing w:val="-8"/>
          <w:sz w:val="16"/>
        </w:rPr>
        <w:t> </w:t>
      </w:r>
      <w:r>
        <w:rPr>
          <w:sz w:val="16"/>
        </w:rPr>
        <w:t>should</w:t>
      </w:r>
      <w:r>
        <w:rPr>
          <w:spacing w:val="-5"/>
          <w:sz w:val="16"/>
        </w:rPr>
        <w:t> </w:t>
      </w:r>
      <w:r>
        <w:rPr>
          <w:sz w:val="16"/>
        </w:rPr>
        <w:t>there</w:t>
      </w:r>
      <w:r>
        <w:rPr>
          <w:spacing w:val="-5"/>
          <w:sz w:val="16"/>
        </w:rPr>
        <w:t> </w:t>
      </w:r>
      <w:r>
        <w:rPr>
          <w:sz w:val="16"/>
        </w:rPr>
        <w:t>be</w:t>
      </w:r>
      <w:r>
        <w:rPr>
          <w:spacing w:val="-5"/>
          <w:sz w:val="16"/>
        </w:rPr>
        <w:t> </w:t>
      </w:r>
      <w:r>
        <w:rPr>
          <w:sz w:val="16"/>
        </w:rPr>
        <w:t>any</w:t>
      </w:r>
      <w:r>
        <w:rPr>
          <w:spacing w:val="-5"/>
          <w:sz w:val="16"/>
        </w:rPr>
        <w:t> </w:t>
      </w:r>
      <w:r>
        <w:rPr>
          <w:sz w:val="16"/>
        </w:rPr>
        <w:t>residual</w:t>
      </w:r>
      <w:r>
        <w:rPr>
          <w:spacing w:val="-8"/>
          <w:sz w:val="16"/>
        </w:rPr>
        <w:t> </w:t>
      </w:r>
      <w:r>
        <w:rPr>
          <w:sz w:val="16"/>
        </w:rPr>
        <w:t>needs</w:t>
      </w:r>
      <w:r>
        <w:rPr>
          <w:spacing w:val="-6"/>
          <w:sz w:val="16"/>
        </w:rPr>
        <w:t> </w:t>
      </w:r>
      <w:r>
        <w:rPr>
          <w:sz w:val="16"/>
        </w:rPr>
        <w:t>for</w:t>
      </w:r>
      <w:r>
        <w:rPr>
          <w:spacing w:val="-7"/>
          <w:sz w:val="16"/>
        </w:rPr>
        <w:t> </w:t>
      </w:r>
      <w:r>
        <w:rPr>
          <w:sz w:val="16"/>
        </w:rPr>
        <w:t>the</w:t>
      </w:r>
      <w:r>
        <w:rPr>
          <w:spacing w:val="-5"/>
          <w:sz w:val="16"/>
        </w:rPr>
        <w:t> </w:t>
      </w:r>
      <w:r>
        <w:rPr>
          <w:sz w:val="16"/>
        </w:rPr>
        <w:t>coming</w:t>
      </w:r>
      <w:r>
        <w:rPr>
          <w:spacing w:val="-5"/>
          <w:sz w:val="16"/>
        </w:rPr>
        <w:t> </w:t>
      </w:r>
      <w:r>
        <w:rPr>
          <w:sz w:val="16"/>
        </w:rPr>
        <w:t>years.</w:t>
      </w:r>
    </w:p>
    <w:p>
      <w:pPr>
        <w:spacing w:after="0" w:line="240" w:lineRule="auto"/>
        <w:jc w:val="both"/>
        <w:rPr>
          <w:sz w:val="16"/>
        </w:rPr>
        <w:sectPr>
          <w:pgSz w:w="11910" w:h="16840"/>
          <w:pgMar w:header="953" w:footer="940" w:top="1140" w:bottom="1140" w:left="20" w:right="20"/>
        </w:sectPr>
      </w:pPr>
    </w:p>
    <w:p>
      <w:pPr>
        <w:pStyle w:val="BodyText"/>
        <w:spacing w:before="120"/>
        <w:ind w:left="2246" w:right="2240"/>
        <w:jc w:val="both"/>
      </w:pPr>
      <w:r>
        <w:rPr/>
        <w:t>Security Officer and Associate Field Security Officer are internationally recruited so as to allow</w:t>
      </w:r>
      <w:r>
        <w:rPr>
          <w:spacing w:val="-10"/>
        </w:rPr>
        <w:t> </w:t>
      </w:r>
      <w:r>
        <w:rPr/>
        <w:t>the</w:t>
      </w:r>
      <w:r>
        <w:rPr>
          <w:spacing w:val="-7"/>
        </w:rPr>
        <w:t> </w:t>
      </w:r>
      <w:r>
        <w:rPr/>
        <w:t>Court</w:t>
      </w:r>
      <w:r>
        <w:rPr>
          <w:spacing w:val="-12"/>
        </w:rPr>
        <w:t> </w:t>
      </w:r>
      <w:r>
        <w:rPr/>
        <w:t>to</w:t>
      </w:r>
      <w:r>
        <w:rPr>
          <w:spacing w:val="-8"/>
        </w:rPr>
        <w:t> </w:t>
      </w:r>
      <w:r>
        <w:rPr/>
        <w:t>comply</w:t>
      </w:r>
      <w:r>
        <w:rPr>
          <w:spacing w:val="-4"/>
        </w:rPr>
        <w:t> </w:t>
      </w:r>
      <w:r>
        <w:rPr/>
        <w:t>with</w:t>
      </w:r>
      <w:r>
        <w:rPr>
          <w:spacing w:val="-13"/>
        </w:rPr>
        <w:t> </w:t>
      </w:r>
      <w:r>
        <w:rPr/>
        <w:t>the</w:t>
      </w:r>
      <w:r>
        <w:rPr>
          <w:spacing w:val="-6"/>
        </w:rPr>
        <w:t> </w:t>
      </w:r>
      <w:r>
        <w:rPr/>
        <w:t>practices</w:t>
      </w:r>
      <w:r>
        <w:rPr>
          <w:spacing w:val="-10"/>
        </w:rPr>
        <w:t> </w:t>
      </w:r>
      <w:r>
        <w:rPr/>
        <w:t>and</w:t>
      </w:r>
      <w:r>
        <w:rPr>
          <w:spacing w:val="-8"/>
        </w:rPr>
        <w:t> </w:t>
      </w:r>
      <w:r>
        <w:rPr/>
        <w:t>the</w:t>
      </w:r>
      <w:r>
        <w:rPr>
          <w:spacing w:val="-7"/>
        </w:rPr>
        <w:t> </w:t>
      </w:r>
      <w:r>
        <w:rPr/>
        <w:t>framework</w:t>
      </w:r>
      <w:r>
        <w:rPr>
          <w:spacing w:val="-4"/>
        </w:rPr>
        <w:t> </w:t>
      </w:r>
      <w:r>
        <w:rPr/>
        <w:t>set</w:t>
      </w:r>
      <w:r>
        <w:rPr>
          <w:spacing w:val="-7"/>
        </w:rPr>
        <w:t> </w:t>
      </w:r>
      <w:r>
        <w:rPr/>
        <w:t>out</w:t>
      </w:r>
      <w:r>
        <w:rPr>
          <w:spacing w:val="-12"/>
        </w:rPr>
        <w:t> </w:t>
      </w:r>
      <w:r>
        <w:rPr/>
        <w:t>in</w:t>
      </w:r>
      <w:r>
        <w:rPr>
          <w:spacing w:val="-8"/>
        </w:rPr>
        <w:t> </w:t>
      </w:r>
      <w:r>
        <w:rPr/>
        <w:t>the</w:t>
      </w:r>
      <w:r>
        <w:rPr>
          <w:spacing w:val="-7"/>
        </w:rPr>
        <w:t> </w:t>
      </w:r>
      <w:r>
        <w:rPr/>
        <w:t>United</w:t>
      </w:r>
      <w:r>
        <w:rPr>
          <w:spacing w:val="-8"/>
        </w:rPr>
        <w:t> </w:t>
      </w:r>
      <w:r>
        <w:rPr/>
        <w:t>Nations Security</w:t>
      </w:r>
      <w:r>
        <w:rPr>
          <w:spacing w:val="-8"/>
        </w:rPr>
        <w:t> </w:t>
      </w:r>
      <w:r>
        <w:rPr/>
        <w:t>Management</w:t>
      </w:r>
      <w:r>
        <w:rPr>
          <w:spacing w:val="-2"/>
        </w:rPr>
        <w:t> </w:t>
      </w:r>
      <w:r>
        <w:rPr/>
        <w:t>System</w:t>
      </w:r>
      <w:r>
        <w:rPr>
          <w:spacing w:val="-2"/>
        </w:rPr>
        <w:t> </w:t>
      </w:r>
      <w:r>
        <w:rPr/>
        <w:t>(UNSMS),</w:t>
      </w:r>
      <w:r>
        <w:rPr>
          <w:spacing w:val="-6"/>
        </w:rPr>
        <w:t> </w:t>
      </w:r>
      <w:r>
        <w:rPr/>
        <w:t>of</w:t>
      </w:r>
      <w:r>
        <w:rPr>
          <w:spacing w:val="-4"/>
        </w:rPr>
        <w:t> </w:t>
      </w:r>
      <w:r>
        <w:rPr/>
        <w:t>which</w:t>
      </w:r>
      <w:r>
        <w:rPr>
          <w:spacing w:val="-8"/>
        </w:rPr>
        <w:t> </w:t>
      </w:r>
      <w:r>
        <w:rPr/>
        <w:t>the</w:t>
      </w:r>
      <w:r>
        <w:rPr>
          <w:spacing w:val="-2"/>
        </w:rPr>
        <w:t> </w:t>
      </w:r>
      <w:r>
        <w:rPr/>
        <w:t>Court</w:t>
      </w:r>
      <w:r>
        <w:rPr>
          <w:spacing w:val="-12"/>
        </w:rPr>
        <w:t> </w:t>
      </w:r>
      <w:r>
        <w:rPr/>
        <w:t>is</w:t>
      </w:r>
      <w:r>
        <w:rPr>
          <w:spacing w:val="-5"/>
        </w:rPr>
        <w:t> </w:t>
      </w:r>
      <w:r>
        <w:rPr/>
        <w:t>a</w:t>
      </w:r>
      <w:r>
        <w:rPr>
          <w:spacing w:val="-7"/>
        </w:rPr>
        <w:t> </w:t>
      </w:r>
      <w:r>
        <w:rPr/>
        <w:t>part.</w:t>
      </w:r>
      <w:r>
        <w:rPr>
          <w:spacing w:val="-6"/>
        </w:rPr>
        <w:t> </w:t>
      </w:r>
      <w:r>
        <w:rPr/>
        <w:t>In</w:t>
      </w:r>
      <w:r>
        <w:rPr>
          <w:spacing w:val="-8"/>
        </w:rPr>
        <w:t> </w:t>
      </w:r>
      <w:r>
        <w:rPr/>
        <w:t>accordance</w:t>
      </w:r>
      <w:r>
        <w:rPr>
          <w:spacing w:val="-2"/>
        </w:rPr>
        <w:t> </w:t>
      </w:r>
      <w:r>
        <w:rPr/>
        <w:t>with</w:t>
      </w:r>
      <w:r>
        <w:rPr>
          <w:spacing w:val="-8"/>
        </w:rPr>
        <w:t> </w:t>
      </w:r>
      <w:r>
        <w:rPr/>
        <w:t>its security</w:t>
      </w:r>
      <w:r>
        <w:rPr>
          <w:spacing w:val="-4"/>
        </w:rPr>
        <w:t> </w:t>
      </w:r>
      <w:r>
        <w:rPr/>
        <w:t>policies,</w:t>
      </w:r>
      <w:r>
        <w:rPr>
          <w:spacing w:val="-6"/>
        </w:rPr>
        <w:t> </w:t>
      </w:r>
      <w:r>
        <w:rPr/>
        <w:t>there</w:t>
      </w:r>
      <w:r>
        <w:rPr>
          <w:spacing w:val="-7"/>
        </w:rPr>
        <w:t> </w:t>
      </w:r>
      <w:r>
        <w:rPr/>
        <w:t>are</w:t>
      </w:r>
      <w:r>
        <w:rPr>
          <w:spacing w:val="-7"/>
        </w:rPr>
        <w:t> </w:t>
      </w:r>
      <w:r>
        <w:rPr/>
        <w:t>certain</w:t>
      </w:r>
      <w:r>
        <w:rPr>
          <w:spacing w:val="-4"/>
        </w:rPr>
        <w:t> </w:t>
      </w:r>
      <w:r>
        <w:rPr/>
        <w:t>UN</w:t>
      </w:r>
      <w:r>
        <w:rPr>
          <w:spacing w:val="-5"/>
        </w:rPr>
        <w:t> </w:t>
      </w:r>
      <w:r>
        <w:rPr/>
        <w:t>security</w:t>
      </w:r>
      <w:r>
        <w:rPr>
          <w:spacing w:val="-4"/>
        </w:rPr>
        <w:t> </w:t>
      </w:r>
      <w:r>
        <w:rPr/>
        <w:t>forums</w:t>
      </w:r>
      <w:r>
        <w:rPr>
          <w:spacing w:val="-5"/>
        </w:rPr>
        <w:t> </w:t>
      </w:r>
      <w:r>
        <w:rPr/>
        <w:t>that</w:t>
      </w:r>
      <w:r>
        <w:rPr>
          <w:spacing w:val="-7"/>
        </w:rPr>
        <w:t> </w:t>
      </w:r>
      <w:r>
        <w:rPr/>
        <w:t>national</w:t>
      </w:r>
      <w:r>
        <w:rPr>
          <w:spacing w:val="-2"/>
        </w:rPr>
        <w:t> </w:t>
      </w:r>
      <w:r>
        <w:rPr/>
        <w:t>staff</w:t>
      </w:r>
      <w:r>
        <w:rPr>
          <w:spacing w:val="-8"/>
        </w:rPr>
        <w:t> </w:t>
      </w:r>
      <w:r>
        <w:rPr/>
        <w:t>cannot</w:t>
      </w:r>
      <w:r>
        <w:rPr>
          <w:spacing w:val="-7"/>
        </w:rPr>
        <w:t> </w:t>
      </w:r>
      <w:r>
        <w:rPr/>
        <w:t>join,</w:t>
      </w:r>
      <w:r>
        <w:rPr>
          <w:spacing w:val="-1"/>
        </w:rPr>
        <w:t> </w:t>
      </w:r>
      <w:r>
        <w:rPr/>
        <w:t>such</w:t>
      </w:r>
      <w:r>
        <w:rPr>
          <w:spacing w:val="-8"/>
        </w:rPr>
        <w:t> </w:t>
      </w:r>
      <w:r>
        <w:rPr/>
        <w:t>as the UN Security Management Team. At these coordination meetings, the most important security strategies in a certain area of interest are debated and approved, and the absence of the</w:t>
      </w:r>
      <w:r>
        <w:rPr>
          <w:spacing w:val="-1"/>
        </w:rPr>
        <w:t> </w:t>
      </w:r>
      <w:r>
        <w:rPr/>
        <w:t>Court’s own security expert would</w:t>
      </w:r>
      <w:r>
        <w:rPr>
          <w:spacing w:val="-3"/>
        </w:rPr>
        <w:t> </w:t>
      </w:r>
      <w:r>
        <w:rPr/>
        <w:t>lead</w:t>
      </w:r>
      <w:r>
        <w:rPr>
          <w:spacing w:val="-3"/>
        </w:rPr>
        <w:t> </w:t>
      </w:r>
      <w:r>
        <w:rPr/>
        <w:t>to</w:t>
      </w:r>
      <w:r>
        <w:rPr>
          <w:spacing w:val="-3"/>
        </w:rPr>
        <w:t> </w:t>
      </w:r>
      <w:r>
        <w:rPr/>
        <w:t>a situation in</w:t>
      </w:r>
      <w:r>
        <w:rPr>
          <w:spacing w:val="-7"/>
        </w:rPr>
        <w:t> </w:t>
      </w:r>
      <w:r>
        <w:rPr/>
        <w:t>which</w:t>
      </w:r>
      <w:r>
        <w:rPr>
          <w:spacing w:val="-3"/>
        </w:rPr>
        <w:t> </w:t>
      </w:r>
      <w:r>
        <w:rPr/>
        <w:t>certain</w:t>
      </w:r>
      <w:r>
        <w:rPr>
          <w:spacing w:val="-3"/>
        </w:rPr>
        <w:t> </w:t>
      </w:r>
      <w:r>
        <w:rPr/>
        <w:t>security</w:t>
      </w:r>
      <w:r>
        <w:rPr>
          <w:spacing w:val="-3"/>
        </w:rPr>
        <w:t> </w:t>
      </w:r>
      <w:r>
        <w:rPr/>
        <w:t>measures could be imposed on the Court that would be in conflict with its mandate and/or for which the Court would not have given its consent or feedback. The newly requested VWS Professional positions in the field will also be occupied by internationally recruited staff, as the incumbents of these positions will have access to the most confidential information pertaining to the witnesses and victims referred to VWS for protection. Should new field Professional positions be required</w:t>
      </w:r>
      <w:r>
        <w:rPr>
          <w:spacing w:val="-4"/>
        </w:rPr>
        <w:t> </w:t>
      </w:r>
      <w:r>
        <w:rPr/>
        <w:t>to build</w:t>
      </w:r>
      <w:r>
        <w:rPr>
          <w:spacing w:val="-4"/>
        </w:rPr>
        <w:t> </w:t>
      </w:r>
      <w:r>
        <w:rPr/>
        <w:t>the</w:t>
      </w:r>
      <w:r>
        <w:rPr>
          <w:spacing w:val="-2"/>
        </w:rPr>
        <w:t> </w:t>
      </w:r>
      <w:r>
        <w:rPr/>
        <w:t>capacity of any country office at a later stage (for instance, capacity pertaining to outreach and victims participation and reparations), the Registry will consider requesting them under</w:t>
      </w:r>
      <w:r>
        <w:rPr>
          <w:spacing w:val="-1"/>
        </w:rPr>
        <w:t> </w:t>
      </w:r>
      <w:r>
        <w:rPr/>
        <w:t>the category of</w:t>
      </w:r>
      <w:r>
        <w:rPr>
          <w:spacing w:val="-1"/>
        </w:rPr>
        <w:t> </w:t>
      </w:r>
      <w:r>
        <w:rPr/>
        <w:t>National Professional Officer, where</w:t>
      </w:r>
      <w:r>
        <w:rPr>
          <w:spacing w:val="-2"/>
        </w:rPr>
        <w:t> </w:t>
      </w:r>
      <w:r>
        <w:rPr/>
        <w:t>sensible</w:t>
      </w:r>
      <w:r>
        <w:rPr>
          <w:spacing w:val="-2"/>
        </w:rPr>
        <w:t> </w:t>
      </w:r>
      <w:r>
        <w:rPr/>
        <w:t>and</w:t>
      </w:r>
      <w:r>
        <w:rPr>
          <w:spacing w:val="-4"/>
        </w:rPr>
        <w:t> </w:t>
      </w:r>
      <w:r>
        <w:rPr/>
        <w:t>applicable,</w:t>
      </w:r>
      <w:r>
        <w:rPr>
          <w:spacing w:val="-1"/>
        </w:rPr>
        <w:t> </w:t>
      </w:r>
      <w:r>
        <w:rPr/>
        <w:t>subject</w:t>
      </w:r>
      <w:r>
        <w:rPr>
          <w:spacing w:val="-2"/>
        </w:rPr>
        <w:t> </w:t>
      </w:r>
      <w:r>
        <w:rPr/>
        <w:t>to</w:t>
      </w:r>
      <w:r>
        <w:rPr>
          <w:spacing w:val="-4"/>
        </w:rPr>
        <w:t> </w:t>
      </w:r>
      <w:r>
        <w:rPr/>
        <w:t>the</w:t>
      </w:r>
      <w:r>
        <w:rPr>
          <w:spacing w:val="-2"/>
        </w:rPr>
        <w:t> </w:t>
      </w:r>
      <w:r>
        <w:rPr/>
        <w:t>operating</w:t>
      </w:r>
      <w:r>
        <w:rPr>
          <w:spacing w:val="-4"/>
        </w:rPr>
        <w:t> </w:t>
      </w:r>
      <w:r>
        <w:rPr/>
        <w:t>environment</w:t>
      </w:r>
      <w:r>
        <w:rPr>
          <w:spacing w:val="-2"/>
        </w:rPr>
        <w:t> </w:t>
      </w:r>
      <w:r>
        <w:rPr/>
        <w:t>in</w:t>
      </w:r>
      <w:r>
        <w:rPr>
          <w:spacing w:val="-4"/>
        </w:rPr>
        <w:t> </w:t>
      </w:r>
      <w:r>
        <w:rPr/>
        <w:t>the relevant situation </w:t>
      </w:r>
      <w:r>
        <w:rPr>
          <w:spacing w:val="-2"/>
        </w:rPr>
        <w:t>country.</w:t>
      </w:r>
    </w:p>
    <w:p>
      <w:pPr>
        <w:pStyle w:val="BodyText"/>
        <w:spacing w:before="2"/>
        <w:rPr>
          <w:sz w:val="21"/>
        </w:rPr>
      </w:pPr>
    </w:p>
    <w:p>
      <w:pPr>
        <w:tabs>
          <w:tab w:pos="8032" w:val="left" w:leader="none"/>
        </w:tabs>
        <w:spacing w:before="0"/>
        <w:ind w:left="2246" w:right="0" w:firstLine="0"/>
        <w:jc w:val="both"/>
        <w:rPr>
          <w:i/>
          <w:sz w:val="20"/>
        </w:rPr>
      </w:pPr>
      <w:r>
        <w:rPr>
          <w:i/>
          <w:sz w:val="20"/>
        </w:rPr>
        <w:t>Established</w:t>
      </w:r>
      <w:r>
        <w:rPr>
          <w:i/>
          <w:spacing w:val="-7"/>
          <w:sz w:val="20"/>
        </w:rPr>
        <w:t> </w:t>
      </w:r>
      <w:r>
        <w:rPr>
          <w:i/>
          <w:sz w:val="20"/>
        </w:rPr>
        <w:t>posts:</w:t>
      </w:r>
      <w:r>
        <w:rPr>
          <w:i/>
          <w:spacing w:val="-12"/>
          <w:sz w:val="20"/>
        </w:rPr>
        <w:t> </w:t>
      </w:r>
      <w:r>
        <w:rPr>
          <w:i/>
          <w:sz w:val="20"/>
        </w:rPr>
        <w:t>Professional</w:t>
      </w:r>
      <w:r>
        <w:rPr>
          <w:i/>
          <w:spacing w:val="-5"/>
          <w:sz w:val="20"/>
        </w:rPr>
        <w:t> </w:t>
      </w:r>
      <w:r>
        <w:rPr>
          <w:i/>
          <w:sz w:val="20"/>
        </w:rPr>
        <w:t>and</w:t>
      </w:r>
      <w:r>
        <w:rPr>
          <w:i/>
          <w:spacing w:val="-7"/>
          <w:sz w:val="20"/>
        </w:rPr>
        <w:t> </w:t>
      </w:r>
      <w:r>
        <w:rPr>
          <w:i/>
          <w:sz w:val="20"/>
        </w:rPr>
        <w:t>General</w:t>
      </w:r>
      <w:r>
        <w:rPr>
          <w:i/>
          <w:spacing w:val="-9"/>
          <w:sz w:val="20"/>
        </w:rPr>
        <w:t> </w:t>
      </w:r>
      <w:r>
        <w:rPr>
          <w:i/>
          <w:spacing w:val="-2"/>
          <w:sz w:val="20"/>
        </w:rPr>
        <w:t>Service</w:t>
      </w:r>
      <w:r>
        <w:rPr>
          <w:i/>
          <w:sz w:val="20"/>
        </w:rPr>
        <w:tab/>
        <w:t>€14,751.3</w:t>
      </w:r>
      <w:r>
        <w:rPr>
          <w:i/>
          <w:spacing w:val="-4"/>
          <w:sz w:val="20"/>
        </w:rPr>
        <w:t> </w:t>
      </w:r>
      <w:r>
        <w:rPr>
          <w:i/>
          <w:spacing w:val="-2"/>
          <w:sz w:val="20"/>
        </w:rPr>
        <w:t>thousand</w:t>
      </w:r>
    </w:p>
    <w:p>
      <w:pPr>
        <w:pStyle w:val="BodyText"/>
        <w:spacing w:before="10"/>
        <w:rPr>
          <w:i/>
        </w:rPr>
      </w:pPr>
    </w:p>
    <w:p>
      <w:pPr>
        <w:pStyle w:val="ListParagraph"/>
        <w:numPr>
          <w:ilvl w:val="0"/>
          <w:numId w:val="4"/>
        </w:numPr>
        <w:tabs>
          <w:tab w:pos="2967" w:val="left" w:leader="none"/>
        </w:tabs>
        <w:spacing w:line="240" w:lineRule="auto" w:before="0" w:after="0"/>
        <w:ind w:left="2246" w:right="2239" w:firstLine="0"/>
        <w:jc w:val="both"/>
        <w:rPr>
          <w:sz w:val="20"/>
        </w:rPr>
      </w:pPr>
      <w:bookmarkStart w:name="_bookmark44" w:id="45"/>
      <w:bookmarkEnd w:id="45"/>
      <w:r>
        <w:rPr>
          <w:sz w:val="20"/>
        </w:rPr>
        <w:t>T</w:t>
      </w:r>
      <w:r>
        <w:rPr>
          <w:sz w:val="20"/>
        </w:rPr>
        <w:t>he amount requested for established posts represents an increase of €289.9 thousand (2.0 per cent)</w:t>
      </w:r>
      <w:r>
        <w:rPr>
          <w:spacing w:val="-4"/>
          <w:sz w:val="20"/>
        </w:rPr>
        <w:t> </w:t>
      </w:r>
      <w:r>
        <w:rPr>
          <w:sz w:val="20"/>
        </w:rPr>
        <w:t>as compared with the 2022</w:t>
      </w:r>
      <w:r>
        <w:rPr>
          <w:spacing w:val="-4"/>
          <w:sz w:val="20"/>
        </w:rPr>
        <w:t> </w:t>
      </w:r>
      <w:r>
        <w:rPr>
          <w:sz w:val="20"/>
        </w:rPr>
        <w:t>approved budget.</w:t>
      </w:r>
      <w:r>
        <w:rPr>
          <w:spacing w:val="-1"/>
          <w:sz w:val="20"/>
        </w:rPr>
        <w:t> </w:t>
      </w:r>
      <w:r>
        <w:rPr>
          <w:sz w:val="20"/>
        </w:rPr>
        <w:t>The Registry</w:t>
      </w:r>
      <w:r>
        <w:rPr>
          <w:spacing w:val="-4"/>
          <w:sz w:val="20"/>
        </w:rPr>
        <w:t> </w:t>
      </w:r>
      <w:r>
        <w:rPr>
          <w:sz w:val="20"/>
        </w:rPr>
        <w:t>proposes the following changes to its established posts in DEO as compared with the resources approved for 2022:</w:t>
      </w:r>
    </w:p>
    <w:p>
      <w:pPr>
        <w:pStyle w:val="BodyText"/>
        <w:spacing w:before="1"/>
        <w:rPr>
          <w:sz w:val="21"/>
        </w:rPr>
      </w:pPr>
    </w:p>
    <w:p>
      <w:pPr>
        <w:spacing w:before="0"/>
        <w:ind w:left="2246" w:right="0" w:firstLine="0"/>
        <w:jc w:val="both"/>
        <w:rPr>
          <w:i/>
          <w:sz w:val="20"/>
        </w:rPr>
      </w:pPr>
      <w:r>
        <w:rPr>
          <w:i/>
          <w:sz w:val="20"/>
        </w:rPr>
        <w:t>Posts</w:t>
      </w:r>
      <w:r>
        <w:rPr>
          <w:i/>
          <w:spacing w:val="-3"/>
          <w:sz w:val="20"/>
        </w:rPr>
        <w:t> </w:t>
      </w:r>
      <w:r>
        <w:rPr>
          <w:i/>
          <w:sz w:val="20"/>
        </w:rPr>
        <w:t>already</w:t>
      </w:r>
      <w:r>
        <w:rPr>
          <w:i/>
          <w:spacing w:val="-4"/>
          <w:sz w:val="20"/>
        </w:rPr>
        <w:t> </w:t>
      </w:r>
      <w:r>
        <w:rPr>
          <w:i/>
          <w:sz w:val="20"/>
        </w:rPr>
        <w:t>defunded</w:t>
      </w:r>
      <w:r>
        <w:rPr>
          <w:i/>
          <w:spacing w:val="-6"/>
          <w:sz w:val="20"/>
        </w:rPr>
        <w:t> </w:t>
      </w:r>
      <w:r>
        <w:rPr>
          <w:i/>
          <w:sz w:val="20"/>
        </w:rPr>
        <w:t>for</w:t>
      </w:r>
      <w:r>
        <w:rPr>
          <w:i/>
          <w:spacing w:val="-7"/>
          <w:sz w:val="20"/>
        </w:rPr>
        <w:t> </w:t>
      </w:r>
      <w:r>
        <w:rPr>
          <w:i/>
          <w:sz w:val="20"/>
        </w:rPr>
        <w:t>2022</w:t>
      </w:r>
      <w:r>
        <w:rPr>
          <w:i/>
          <w:spacing w:val="-6"/>
          <w:sz w:val="20"/>
        </w:rPr>
        <w:t> </w:t>
      </w:r>
      <w:r>
        <w:rPr>
          <w:i/>
          <w:sz w:val="20"/>
        </w:rPr>
        <w:t>to</w:t>
      </w:r>
      <w:r>
        <w:rPr>
          <w:i/>
          <w:spacing w:val="-6"/>
          <w:sz w:val="20"/>
        </w:rPr>
        <w:t> </w:t>
      </w:r>
      <w:r>
        <w:rPr>
          <w:i/>
          <w:sz w:val="20"/>
        </w:rPr>
        <w:t>be</w:t>
      </w:r>
      <w:r>
        <w:rPr>
          <w:i/>
          <w:spacing w:val="1"/>
          <w:sz w:val="20"/>
        </w:rPr>
        <w:t> </w:t>
      </w:r>
      <w:r>
        <w:rPr>
          <w:i/>
          <w:sz w:val="20"/>
        </w:rPr>
        <w:t>abolished</w:t>
      </w:r>
      <w:r>
        <w:rPr>
          <w:i/>
          <w:spacing w:val="-7"/>
          <w:sz w:val="20"/>
        </w:rPr>
        <w:t> </w:t>
      </w:r>
      <w:r>
        <w:rPr>
          <w:i/>
          <w:sz w:val="20"/>
        </w:rPr>
        <w:t>for</w:t>
      </w:r>
      <w:r>
        <w:rPr>
          <w:i/>
          <w:spacing w:val="-6"/>
          <w:sz w:val="20"/>
        </w:rPr>
        <w:t> </w:t>
      </w:r>
      <w:r>
        <w:rPr>
          <w:i/>
          <w:spacing w:val="-4"/>
          <w:sz w:val="20"/>
        </w:rPr>
        <w:t>2023</w:t>
      </w:r>
    </w:p>
    <w:p>
      <w:pPr>
        <w:pStyle w:val="BodyText"/>
        <w:spacing w:before="6"/>
        <w:rPr>
          <w:i/>
        </w:rPr>
      </w:pPr>
    </w:p>
    <w:p>
      <w:pPr>
        <w:pStyle w:val="ListParagraph"/>
        <w:numPr>
          <w:ilvl w:val="0"/>
          <w:numId w:val="15"/>
        </w:numPr>
        <w:tabs>
          <w:tab w:pos="3686" w:val="left" w:leader="none"/>
          <w:tab w:pos="3687" w:val="left" w:leader="none"/>
        </w:tabs>
        <w:spacing w:line="240" w:lineRule="auto" w:before="0" w:after="0"/>
        <w:ind w:left="3687" w:right="0" w:hanging="720"/>
        <w:jc w:val="left"/>
        <w:rPr>
          <w:sz w:val="20"/>
        </w:rPr>
      </w:pPr>
      <w:r>
        <w:rPr>
          <w:sz w:val="20"/>
        </w:rPr>
        <w:t>One</w:t>
      </w:r>
      <w:r>
        <w:rPr>
          <w:spacing w:val="-6"/>
          <w:sz w:val="20"/>
        </w:rPr>
        <w:t> </w:t>
      </w:r>
      <w:r>
        <w:rPr>
          <w:sz w:val="20"/>
        </w:rPr>
        <w:t>Field</w:t>
      </w:r>
      <w:r>
        <w:rPr>
          <w:spacing w:val="-7"/>
          <w:sz w:val="20"/>
        </w:rPr>
        <w:t> </w:t>
      </w:r>
      <w:r>
        <w:rPr>
          <w:sz w:val="20"/>
        </w:rPr>
        <w:t>Assistant</w:t>
      </w:r>
      <w:r>
        <w:rPr>
          <w:spacing w:val="-9"/>
          <w:sz w:val="20"/>
        </w:rPr>
        <w:t> </w:t>
      </w:r>
      <w:r>
        <w:rPr>
          <w:sz w:val="20"/>
        </w:rPr>
        <w:t>(GS-OL)</w:t>
      </w:r>
      <w:r>
        <w:rPr>
          <w:spacing w:val="-7"/>
          <w:sz w:val="20"/>
        </w:rPr>
        <w:t> </w:t>
      </w:r>
      <w:r>
        <w:rPr>
          <w:sz w:val="20"/>
        </w:rPr>
        <w:t>(DRC-</w:t>
      </w:r>
      <w:r>
        <w:rPr>
          <w:spacing w:val="-2"/>
          <w:sz w:val="20"/>
        </w:rPr>
        <w:t>Kinshasa).</w:t>
      </w:r>
    </w:p>
    <w:p>
      <w:pPr>
        <w:pStyle w:val="ListParagraph"/>
        <w:numPr>
          <w:ilvl w:val="0"/>
          <w:numId w:val="15"/>
        </w:numPr>
        <w:tabs>
          <w:tab w:pos="3686" w:val="left" w:leader="none"/>
          <w:tab w:pos="3687" w:val="left" w:leader="none"/>
        </w:tabs>
        <w:spacing w:line="240" w:lineRule="auto" w:before="1" w:after="0"/>
        <w:ind w:left="3687" w:right="0" w:hanging="720"/>
        <w:jc w:val="left"/>
        <w:rPr>
          <w:sz w:val="20"/>
        </w:rPr>
      </w:pPr>
      <w:r>
        <w:rPr>
          <w:sz w:val="20"/>
        </w:rPr>
        <w:t>One</w:t>
      </w:r>
      <w:r>
        <w:rPr>
          <w:spacing w:val="-7"/>
          <w:sz w:val="20"/>
        </w:rPr>
        <w:t> </w:t>
      </w:r>
      <w:r>
        <w:rPr>
          <w:sz w:val="20"/>
        </w:rPr>
        <w:t>Local</w:t>
      </w:r>
      <w:r>
        <w:rPr>
          <w:spacing w:val="-6"/>
          <w:sz w:val="20"/>
        </w:rPr>
        <w:t> </w:t>
      </w:r>
      <w:r>
        <w:rPr>
          <w:sz w:val="20"/>
        </w:rPr>
        <w:t>Security</w:t>
      </w:r>
      <w:r>
        <w:rPr>
          <w:spacing w:val="-8"/>
          <w:sz w:val="20"/>
        </w:rPr>
        <w:t> </w:t>
      </w:r>
      <w:r>
        <w:rPr>
          <w:sz w:val="20"/>
        </w:rPr>
        <w:t>Assistant</w:t>
      </w:r>
      <w:r>
        <w:rPr>
          <w:spacing w:val="-6"/>
          <w:sz w:val="20"/>
        </w:rPr>
        <w:t> </w:t>
      </w:r>
      <w:r>
        <w:rPr>
          <w:sz w:val="20"/>
        </w:rPr>
        <w:t>(GS-OL)</w:t>
      </w:r>
      <w:r>
        <w:rPr>
          <w:spacing w:val="-7"/>
          <w:sz w:val="20"/>
        </w:rPr>
        <w:t> </w:t>
      </w:r>
      <w:r>
        <w:rPr>
          <w:sz w:val="20"/>
        </w:rPr>
        <w:t>(DRC-</w:t>
      </w:r>
      <w:r>
        <w:rPr>
          <w:spacing w:val="-2"/>
          <w:sz w:val="20"/>
        </w:rPr>
        <w:t>Kinshasa).</w:t>
      </w:r>
    </w:p>
    <w:p>
      <w:pPr>
        <w:pStyle w:val="ListParagraph"/>
        <w:numPr>
          <w:ilvl w:val="0"/>
          <w:numId w:val="15"/>
        </w:numPr>
        <w:tabs>
          <w:tab w:pos="3686" w:val="left" w:leader="none"/>
          <w:tab w:pos="3687" w:val="left" w:leader="none"/>
        </w:tabs>
        <w:spacing w:line="240" w:lineRule="auto" w:before="0" w:after="0"/>
        <w:ind w:left="3687" w:right="0" w:hanging="720"/>
        <w:jc w:val="left"/>
        <w:rPr>
          <w:sz w:val="20"/>
        </w:rPr>
      </w:pPr>
      <w:r>
        <w:rPr>
          <w:sz w:val="20"/>
        </w:rPr>
        <w:t>Three</w:t>
      </w:r>
      <w:r>
        <w:rPr>
          <w:spacing w:val="-6"/>
          <w:sz w:val="20"/>
        </w:rPr>
        <w:t> </w:t>
      </w:r>
      <w:r>
        <w:rPr>
          <w:sz w:val="20"/>
        </w:rPr>
        <w:t>Drivers</w:t>
      </w:r>
      <w:r>
        <w:rPr>
          <w:spacing w:val="-8"/>
          <w:sz w:val="20"/>
        </w:rPr>
        <w:t> </w:t>
      </w:r>
      <w:r>
        <w:rPr>
          <w:sz w:val="20"/>
        </w:rPr>
        <w:t>(GS-OL)</w:t>
      </w:r>
      <w:r>
        <w:rPr>
          <w:spacing w:val="-7"/>
          <w:sz w:val="20"/>
        </w:rPr>
        <w:t> </w:t>
      </w:r>
      <w:r>
        <w:rPr>
          <w:sz w:val="20"/>
        </w:rPr>
        <w:t>(DRC-</w:t>
      </w:r>
      <w:r>
        <w:rPr>
          <w:spacing w:val="-2"/>
          <w:sz w:val="20"/>
        </w:rPr>
        <w:t>Kinshasa).</w:t>
      </w:r>
    </w:p>
    <w:p>
      <w:pPr>
        <w:pStyle w:val="ListParagraph"/>
        <w:numPr>
          <w:ilvl w:val="0"/>
          <w:numId w:val="15"/>
        </w:numPr>
        <w:tabs>
          <w:tab w:pos="3686" w:val="left" w:leader="none"/>
          <w:tab w:pos="3687" w:val="left" w:leader="none"/>
        </w:tabs>
        <w:spacing w:line="240" w:lineRule="auto" w:before="1" w:after="0"/>
        <w:ind w:left="3687" w:right="0" w:hanging="720"/>
        <w:jc w:val="left"/>
        <w:rPr>
          <w:sz w:val="20"/>
        </w:rPr>
      </w:pPr>
      <w:r>
        <w:rPr>
          <w:sz w:val="20"/>
        </w:rPr>
        <w:t>One</w:t>
      </w:r>
      <w:r>
        <w:rPr>
          <w:spacing w:val="-4"/>
          <w:sz w:val="20"/>
        </w:rPr>
        <w:t> </w:t>
      </w:r>
      <w:r>
        <w:rPr>
          <w:sz w:val="20"/>
        </w:rPr>
        <w:t>Cleaner</w:t>
      </w:r>
      <w:r>
        <w:rPr>
          <w:spacing w:val="-6"/>
          <w:sz w:val="20"/>
        </w:rPr>
        <w:t> </w:t>
      </w:r>
      <w:r>
        <w:rPr>
          <w:sz w:val="20"/>
        </w:rPr>
        <w:t>(GS-OL)</w:t>
      </w:r>
      <w:r>
        <w:rPr>
          <w:spacing w:val="-9"/>
          <w:sz w:val="20"/>
        </w:rPr>
        <w:t> </w:t>
      </w:r>
      <w:r>
        <w:rPr>
          <w:sz w:val="20"/>
        </w:rPr>
        <w:t>(DRC-</w:t>
      </w:r>
      <w:r>
        <w:rPr>
          <w:spacing w:val="-2"/>
          <w:sz w:val="20"/>
        </w:rPr>
        <w:t>Kinshasa).</w:t>
      </w:r>
    </w:p>
    <w:p>
      <w:pPr>
        <w:pStyle w:val="ListParagraph"/>
        <w:numPr>
          <w:ilvl w:val="0"/>
          <w:numId w:val="15"/>
        </w:numPr>
        <w:tabs>
          <w:tab w:pos="3686" w:val="left" w:leader="none"/>
          <w:tab w:pos="3687" w:val="left" w:leader="none"/>
        </w:tabs>
        <w:spacing w:line="240" w:lineRule="auto" w:before="0" w:after="0"/>
        <w:ind w:left="3687" w:right="0" w:hanging="720"/>
        <w:jc w:val="left"/>
        <w:rPr>
          <w:sz w:val="20"/>
        </w:rPr>
      </w:pPr>
      <w:r>
        <w:rPr>
          <w:sz w:val="20"/>
        </w:rPr>
        <w:t>One</w:t>
      </w:r>
      <w:r>
        <w:rPr>
          <w:spacing w:val="-6"/>
          <w:sz w:val="20"/>
        </w:rPr>
        <w:t> </w:t>
      </w:r>
      <w:r>
        <w:rPr>
          <w:sz w:val="20"/>
        </w:rPr>
        <w:t>Field</w:t>
      </w:r>
      <w:r>
        <w:rPr>
          <w:spacing w:val="-7"/>
          <w:sz w:val="20"/>
        </w:rPr>
        <w:t> </w:t>
      </w:r>
      <w:r>
        <w:rPr>
          <w:sz w:val="20"/>
        </w:rPr>
        <w:t>Assistant</w:t>
      </w:r>
      <w:r>
        <w:rPr>
          <w:spacing w:val="-9"/>
          <w:sz w:val="20"/>
        </w:rPr>
        <w:t> </w:t>
      </w:r>
      <w:r>
        <w:rPr>
          <w:sz w:val="20"/>
        </w:rPr>
        <w:t>(GS-OL)</w:t>
      </w:r>
      <w:r>
        <w:rPr>
          <w:spacing w:val="-7"/>
          <w:sz w:val="20"/>
        </w:rPr>
        <w:t> </w:t>
      </w:r>
      <w:r>
        <w:rPr>
          <w:sz w:val="20"/>
        </w:rPr>
        <w:t>(DRC-</w:t>
      </w:r>
      <w:r>
        <w:rPr>
          <w:spacing w:val="-2"/>
          <w:sz w:val="20"/>
        </w:rPr>
        <w:t>Bunia).</w:t>
      </w:r>
    </w:p>
    <w:p>
      <w:pPr>
        <w:pStyle w:val="ListParagraph"/>
        <w:numPr>
          <w:ilvl w:val="0"/>
          <w:numId w:val="15"/>
        </w:numPr>
        <w:tabs>
          <w:tab w:pos="3686" w:val="left" w:leader="none"/>
          <w:tab w:pos="3687" w:val="left" w:leader="none"/>
        </w:tabs>
        <w:spacing w:line="240" w:lineRule="auto" w:before="0" w:after="0"/>
        <w:ind w:left="3687" w:right="0" w:hanging="720"/>
        <w:jc w:val="left"/>
        <w:rPr>
          <w:sz w:val="20"/>
        </w:rPr>
      </w:pPr>
      <w:r>
        <w:rPr>
          <w:sz w:val="20"/>
        </w:rPr>
        <w:t>One</w:t>
      </w:r>
      <w:r>
        <w:rPr>
          <w:spacing w:val="-2"/>
          <w:sz w:val="20"/>
        </w:rPr>
        <w:t> </w:t>
      </w:r>
      <w:r>
        <w:rPr>
          <w:sz w:val="20"/>
        </w:rPr>
        <w:t>Driver</w:t>
      </w:r>
      <w:r>
        <w:rPr>
          <w:spacing w:val="-7"/>
          <w:sz w:val="20"/>
        </w:rPr>
        <w:t> </w:t>
      </w:r>
      <w:r>
        <w:rPr>
          <w:sz w:val="20"/>
        </w:rPr>
        <w:t>(GS-OL)</w:t>
      </w:r>
      <w:r>
        <w:rPr>
          <w:spacing w:val="-3"/>
          <w:sz w:val="20"/>
        </w:rPr>
        <w:t> </w:t>
      </w:r>
      <w:r>
        <w:rPr>
          <w:spacing w:val="-2"/>
          <w:sz w:val="20"/>
        </w:rPr>
        <w:t>(CAR).</w:t>
      </w:r>
    </w:p>
    <w:p>
      <w:pPr>
        <w:pStyle w:val="BodyText"/>
        <w:spacing w:before="11"/>
      </w:pPr>
    </w:p>
    <w:p>
      <w:pPr>
        <w:spacing w:before="0"/>
        <w:ind w:left="2246" w:right="0" w:firstLine="0"/>
        <w:jc w:val="both"/>
        <w:rPr>
          <w:i/>
          <w:sz w:val="20"/>
        </w:rPr>
      </w:pPr>
      <w:r>
        <w:rPr>
          <w:i/>
          <w:sz w:val="20"/>
        </w:rPr>
        <w:t>Posts</w:t>
      </w:r>
      <w:r>
        <w:rPr>
          <w:i/>
          <w:spacing w:val="-8"/>
          <w:sz w:val="20"/>
        </w:rPr>
        <w:t> </w:t>
      </w:r>
      <w:r>
        <w:rPr>
          <w:i/>
          <w:sz w:val="20"/>
        </w:rPr>
        <w:t>to</w:t>
      </w:r>
      <w:r>
        <w:rPr>
          <w:i/>
          <w:spacing w:val="-4"/>
          <w:sz w:val="20"/>
        </w:rPr>
        <w:t> </w:t>
      </w:r>
      <w:r>
        <w:rPr>
          <w:i/>
          <w:sz w:val="20"/>
        </w:rPr>
        <w:t>be</w:t>
      </w:r>
      <w:r>
        <w:rPr>
          <w:i/>
          <w:spacing w:val="-3"/>
          <w:sz w:val="20"/>
        </w:rPr>
        <w:t> </w:t>
      </w:r>
      <w:r>
        <w:rPr>
          <w:i/>
          <w:sz w:val="20"/>
        </w:rPr>
        <w:t>abolished</w:t>
      </w:r>
      <w:r>
        <w:rPr>
          <w:i/>
          <w:spacing w:val="-4"/>
          <w:sz w:val="20"/>
        </w:rPr>
        <w:t> </w:t>
      </w:r>
      <w:r>
        <w:rPr>
          <w:i/>
          <w:sz w:val="20"/>
        </w:rPr>
        <w:t>for </w:t>
      </w:r>
      <w:r>
        <w:rPr>
          <w:i/>
          <w:spacing w:val="-4"/>
          <w:sz w:val="20"/>
        </w:rPr>
        <w:t>2023</w:t>
      </w:r>
    </w:p>
    <w:p>
      <w:pPr>
        <w:pStyle w:val="BodyText"/>
        <w:spacing w:before="10"/>
        <w:rPr>
          <w:i/>
        </w:rPr>
      </w:pPr>
    </w:p>
    <w:p>
      <w:pPr>
        <w:pStyle w:val="ListParagraph"/>
        <w:numPr>
          <w:ilvl w:val="0"/>
          <w:numId w:val="16"/>
        </w:numPr>
        <w:tabs>
          <w:tab w:pos="3686" w:val="left" w:leader="none"/>
          <w:tab w:pos="3687" w:val="left" w:leader="none"/>
        </w:tabs>
        <w:spacing w:line="240" w:lineRule="auto" w:before="1" w:after="0"/>
        <w:ind w:left="3687" w:right="0" w:hanging="720"/>
        <w:jc w:val="left"/>
        <w:rPr>
          <w:sz w:val="20"/>
        </w:rPr>
      </w:pPr>
      <w:r>
        <w:rPr>
          <w:sz w:val="20"/>
        </w:rPr>
        <w:t>One</w:t>
      </w:r>
      <w:r>
        <w:rPr>
          <w:spacing w:val="-3"/>
          <w:sz w:val="20"/>
        </w:rPr>
        <w:t> </w:t>
      </w:r>
      <w:r>
        <w:rPr>
          <w:sz w:val="20"/>
        </w:rPr>
        <w:t>Chief</w:t>
      </w:r>
      <w:r>
        <w:rPr>
          <w:spacing w:val="-4"/>
          <w:sz w:val="20"/>
        </w:rPr>
        <w:t> </w:t>
      </w:r>
      <w:r>
        <w:rPr>
          <w:sz w:val="20"/>
        </w:rPr>
        <w:t>of</w:t>
      </w:r>
      <w:r>
        <w:rPr>
          <w:spacing w:val="-3"/>
          <w:sz w:val="20"/>
        </w:rPr>
        <w:t> </w:t>
      </w:r>
      <w:r>
        <w:rPr>
          <w:sz w:val="20"/>
        </w:rPr>
        <w:t>Country</w:t>
      </w:r>
      <w:r>
        <w:rPr>
          <w:spacing w:val="-4"/>
          <w:sz w:val="20"/>
        </w:rPr>
        <w:t> </w:t>
      </w:r>
      <w:r>
        <w:rPr>
          <w:sz w:val="20"/>
        </w:rPr>
        <w:t>Office</w:t>
      </w:r>
      <w:r>
        <w:rPr>
          <w:spacing w:val="-3"/>
          <w:sz w:val="20"/>
        </w:rPr>
        <w:t> </w:t>
      </w:r>
      <w:r>
        <w:rPr>
          <w:sz w:val="20"/>
        </w:rPr>
        <w:t>(P-5)</w:t>
      </w:r>
      <w:r>
        <w:rPr>
          <w:spacing w:val="-3"/>
          <w:sz w:val="20"/>
        </w:rPr>
        <w:t> </w:t>
      </w:r>
      <w:r>
        <w:rPr>
          <w:spacing w:val="-2"/>
          <w:sz w:val="20"/>
        </w:rPr>
        <w:t>(Uganda).</w:t>
      </w:r>
    </w:p>
    <w:p>
      <w:pPr>
        <w:pStyle w:val="ListParagraph"/>
        <w:numPr>
          <w:ilvl w:val="0"/>
          <w:numId w:val="16"/>
        </w:numPr>
        <w:tabs>
          <w:tab w:pos="3686" w:val="left" w:leader="none"/>
          <w:tab w:pos="3687" w:val="left" w:leader="none"/>
        </w:tabs>
        <w:spacing w:line="240" w:lineRule="auto" w:before="0" w:after="0"/>
        <w:ind w:left="3687" w:right="0" w:hanging="720"/>
        <w:jc w:val="left"/>
        <w:rPr>
          <w:sz w:val="20"/>
        </w:rPr>
      </w:pPr>
      <w:r>
        <w:rPr>
          <w:sz w:val="20"/>
        </w:rPr>
        <w:t>One</w:t>
      </w:r>
      <w:r>
        <w:rPr>
          <w:spacing w:val="-3"/>
          <w:sz w:val="20"/>
        </w:rPr>
        <w:t> </w:t>
      </w:r>
      <w:r>
        <w:rPr>
          <w:sz w:val="20"/>
        </w:rPr>
        <w:t>Field</w:t>
      </w:r>
      <w:r>
        <w:rPr>
          <w:spacing w:val="-3"/>
          <w:sz w:val="20"/>
        </w:rPr>
        <w:t> </w:t>
      </w:r>
      <w:r>
        <w:rPr>
          <w:sz w:val="20"/>
        </w:rPr>
        <w:t>Assistant</w:t>
      </w:r>
      <w:r>
        <w:rPr>
          <w:spacing w:val="-7"/>
          <w:sz w:val="20"/>
        </w:rPr>
        <w:t> </w:t>
      </w:r>
      <w:r>
        <w:rPr>
          <w:sz w:val="20"/>
        </w:rPr>
        <w:t>(VPR)</w:t>
      </w:r>
      <w:r>
        <w:rPr>
          <w:spacing w:val="-8"/>
          <w:sz w:val="20"/>
        </w:rPr>
        <w:t> </w:t>
      </w:r>
      <w:r>
        <w:rPr>
          <w:sz w:val="20"/>
        </w:rPr>
        <w:t>(GS-OL)</w:t>
      </w:r>
      <w:r>
        <w:rPr>
          <w:spacing w:val="-8"/>
          <w:sz w:val="20"/>
        </w:rPr>
        <w:t> </w:t>
      </w:r>
      <w:r>
        <w:rPr>
          <w:spacing w:val="-2"/>
          <w:sz w:val="20"/>
        </w:rPr>
        <w:t>(Uganda).</w:t>
      </w:r>
    </w:p>
    <w:p>
      <w:pPr>
        <w:pStyle w:val="ListParagraph"/>
        <w:numPr>
          <w:ilvl w:val="0"/>
          <w:numId w:val="16"/>
        </w:numPr>
        <w:tabs>
          <w:tab w:pos="3686" w:val="left" w:leader="none"/>
          <w:tab w:pos="3687" w:val="left" w:leader="none"/>
        </w:tabs>
        <w:spacing w:line="228" w:lineRule="exact" w:before="1" w:after="0"/>
        <w:ind w:left="3687" w:right="0" w:hanging="720"/>
        <w:jc w:val="left"/>
        <w:rPr>
          <w:sz w:val="20"/>
        </w:rPr>
      </w:pPr>
      <w:r>
        <w:rPr>
          <w:sz w:val="20"/>
        </w:rPr>
        <w:t>Two</w:t>
      </w:r>
      <w:r>
        <w:rPr>
          <w:spacing w:val="-2"/>
          <w:sz w:val="20"/>
        </w:rPr>
        <w:t> </w:t>
      </w:r>
      <w:r>
        <w:rPr>
          <w:sz w:val="20"/>
        </w:rPr>
        <w:t>Drivers</w:t>
      </w:r>
      <w:r>
        <w:rPr>
          <w:spacing w:val="-7"/>
          <w:sz w:val="20"/>
        </w:rPr>
        <w:t> </w:t>
      </w:r>
      <w:r>
        <w:rPr>
          <w:sz w:val="20"/>
        </w:rPr>
        <w:t>(GS-OL)</w:t>
      </w:r>
      <w:r>
        <w:rPr>
          <w:spacing w:val="-5"/>
          <w:sz w:val="20"/>
        </w:rPr>
        <w:t> </w:t>
      </w:r>
      <w:r>
        <w:rPr>
          <w:spacing w:val="-2"/>
          <w:sz w:val="20"/>
        </w:rPr>
        <w:t>(Uganda).</w:t>
      </w:r>
    </w:p>
    <w:p>
      <w:pPr>
        <w:pStyle w:val="ListParagraph"/>
        <w:numPr>
          <w:ilvl w:val="0"/>
          <w:numId w:val="16"/>
        </w:numPr>
        <w:tabs>
          <w:tab w:pos="3686" w:val="left" w:leader="none"/>
          <w:tab w:pos="3687" w:val="left" w:leader="none"/>
        </w:tabs>
        <w:spacing w:line="240" w:lineRule="auto" w:before="0" w:after="0"/>
        <w:ind w:left="3687" w:right="2241" w:hanging="720"/>
        <w:jc w:val="left"/>
        <w:rPr>
          <w:sz w:val="20"/>
        </w:rPr>
      </w:pPr>
      <w:r>
        <w:rPr>
          <w:sz w:val="20"/>
        </w:rPr>
        <w:t>One</w:t>
      </w:r>
      <w:r>
        <w:rPr>
          <w:spacing w:val="-13"/>
          <w:sz w:val="20"/>
        </w:rPr>
        <w:t> </w:t>
      </w:r>
      <w:r>
        <w:rPr>
          <w:sz w:val="20"/>
        </w:rPr>
        <w:t>Administration</w:t>
      </w:r>
      <w:r>
        <w:rPr>
          <w:spacing w:val="-10"/>
          <w:sz w:val="20"/>
        </w:rPr>
        <w:t> </w:t>
      </w:r>
      <w:r>
        <w:rPr>
          <w:sz w:val="20"/>
        </w:rPr>
        <w:t>and</w:t>
      </w:r>
      <w:r>
        <w:rPr>
          <w:spacing w:val="-10"/>
          <w:sz w:val="20"/>
        </w:rPr>
        <w:t> </w:t>
      </w:r>
      <w:r>
        <w:rPr>
          <w:sz w:val="20"/>
        </w:rPr>
        <w:t>Operations</w:t>
      </w:r>
      <w:r>
        <w:rPr>
          <w:spacing w:val="-14"/>
          <w:sz w:val="20"/>
        </w:rPr>
        <w:t> </w:t>
      </w:r>
      <w:r>
        <w:rPr>
          <w:sz w:val="20"/>
        </w:rPr>
        <w:t>Officer</w:t>
      </w:r>
      <w:r>
        <w:rPr>
          <w:spacing w:val="-13"/>
          <w:sz w:val="20"/>
        </w:rPr>
        <w:t> </w:t>
      </w:r>
      <w:r>
        <w:rPr>
          <w:sz w:val="20"/>
        </w:rPr>
        <w:t>(P-3)</w:t>
      </w:r>
      <w:r>
        <w:rPr>
          <w:spacing w:val="-9"/>
          <w:sz w:val="20"/>
        </w:rPr>
        <w:t> </w:t>
      </w:r>
      <w:r>
        <w:rPr>
          <w:sz w:val="20"/>
        </w:rPr>
        <w:t>(Uganda</w:t>
      </w:r>
      <w:r>
        <w:rPr>
          <w:spacing w:val="-9"/>
          <w:sz w:val="20"/>
        </w:rPr>
        <w:t> </w:t>
      </w:r>
      <w:r>
        <w:rPr>
          <w:sz w:val="20"/>
        </w:rPr>
        <w:t>for</w:t>
      </w:r>
      <w:r>
        <w:rPr>
          <w:spacing w:val="-13"/>
          <w:sz w:val="20"/>
        </w:rPr>
        <w:t> </w:t>
      </w:r>
      <w:r>
        <w:rPr>
          <w:sz w:val="20"/>
        </w:rPr>
        <w:t>the</w:t>
      </w:r>
      <w:r>
        <w:rPr>
          <w:spacing w:val="-12"/>
          <w:sz w:val="20"/>
        </w:rPr>
        <w:t> </w:t>
      </w:r>
      <w:r>
        <w:rPr>
          <w:sz w:val="20"/>
        </w:rPr>
        <w:t>situation in Darfur, Sudan).</w:t>
      </w:r>
    </w:p>
    <w:p>
      <w:pPr>
        <w:pStyle w:val="ListParagraph"/>
        <w:numPr>
          <w:ilvl w:val="0"/>
          <w:numId w:val="16"/>
        </w:numPr>
        <w:tabs>
          <w:tab w:pos="3686" w:val="left" w:leader="none"/>
          <w:tab w:pos="3687" w:val="left" w:leader="none"/>
        </w:tabs>
        <w:spacing w:line="240" w:lineRule="auto" w:before="0" w:after="0"/>
        <w:ind w:left="3687" w:right="0" w:hanging="720"/>
        <w:jc w:val="left"/>
        <w:rPr>
          <w:sz w:val="20"/>
        </w:rPr>
      </w:pPr>
      <w:r>
        <w:rPr>
          <w:spacing w:val="-4"/>
          <w:sz w:val="20"/>
        </w:rPr>
        <w:t>One Field</w:t>
      </w:r>
      <w:r>
        <w:rPr>
          <w:spacing w:val="1"/>
          <w:sz w:val="20"/>
        </w:rPr>
        <w:t> </w:t>
      </w:r>
      <w:r>
        <w:rPr>
          <w:spacing w:val="-4"/>
          <w:sz w:val="20"/>
        </w:rPr>
        <w:t>Security</w:t>
      </w:r>
      <w:r>
        <w:rPr>
          <w:sz w:val="20"/>
        </w:rPr>
        <w:t> </w:t>
      </w:r>
      <w:r>
        <w:rPr>
          <w:spacing w:val="-4"/>
          <w:sz w:val="20"/>
        </w:rPr>
        <w:t>Officer</w:t>
      </w:r>
      <w:r>
        <w:rPr>
          <w:spacing w:val="-5"/>
          <w:sz w:val="20"/>
        </w:rPr>
        <w:t> </w:t>
      </w:r>
      <w:r>
        <w:rPr>
          <w:spacing w:val="-4"/>
          <w:sz w:val="20"/>
        </w:rPr>
        <w:t>(P-3)</w:t>
      </w:r>
      <w:r>
        <w:rPr>
          <w:spacing w:val="-5"/>
          <w:sz w:val="20"/>
        </w:rPr>
        <w:t> </w:t>
      </w:r>
      <w:r>
        <w:rPr>
          <w:spacing w:val="-4"/>
          <w:sz w:val="20"/>
        </w:rPr>
        <w:t>(Uganda</w:t>
      </w:r>
      <w:r>
        <w:rPr>
          <w:spacing w:val="-3"/>
          <w:sz w:val="20"/>
        </w:rPr>
        <w:t> </w:t>
      </w:r>
      <w:r>
        <w:rPr>
          <w:spacing w:val="-4"/>
          <w:sz w:val="20"/>
        </w:rPr>
        <w:t>for</w:t>
      </w:r>
      <w:r>
        <w:rPr>
          <w:spacing w:val="-6"/>
          <w:sz w:val="20"/>
        </w:rPr>
        <w:t> </w:t>
      </w:r>
      <w:r>
        <w:rPr>
          <w:spacing w:val="-4"/>
          <w:sz w:val="20"/>
        </w:rPr>
        <w:t>the</w:t>
      </w:r>
      <w:r>
        <w:rPr>
          <w:spacing w:val="-3"/>
          <w:sz w:val="20"/>
        </w:rPr>
        <w:t> </w:t>
      </w:r>
      <w:r>
        <w:rPr>
          <w:spacing w:val="-4"/>
          <w:sz w:val="20"/>
        </w:rPr>
        <w:t>situation</w:t>
      </w:r>
      <w:r>
        <w:rPr>
          <w:spacing w:val="-5"/>
          <w:sz w:val="20"/>
        </w:rPr>
        <w:t> </w:t>
      </w:r>
      <w:r>
        <w:rPr>
          <w:spacing w:val="-4"/>
          <w:sz w:val="20"/>
        </w:rPr>
        <w:t>in</w:t>
      </w:r>
      <w:r>
        <w:rPr>
          <w:spacing w:val="-5"/>
          <w:sz w:val="20"/>
        </w:rPr>
        <w:t> </w:t>
      </w:r>
      <w:r>
        <w:rPr>
          <w:spacing w:val="-4"/>
          <w:sz w:val="20"/>
        </w:rPr>
        <w:t>Darfur,</w:t>
      </w:r>
      <w:r>
        <w:rPr>
          <w:spacing w:val="-3"/>
          <w:sz w:val="20"/>
        </w:rPr>
        <w:t> </w:t>
      </w:r>
      <w:r>
        <w:rPr>
          <w:spacing w:val="-4"/>
          <w:sz w:val="20"/>
        </w:rPr>
        <w:t>Sudan).</w:t>
      </w:r>
    </w:p>
    <w:p>
      <w:pPr>
        <w:pStyle w:val="ListParagraph"/>
        <w:numPr>
          <w:ilvl w:val="0"/>
          <w:numId w:val="16"/>
        </w:numPr>
        <w:tabs>
          <w:tab w:pos="3686" w:val="left" w:leader="none"/>
          <w:tab w:pos="3687" w:val="left" w:leader="none"/>
        </w:tabs>
        <w:spacing w:line="240" w:lineRule="auto" w:before="0" w:after="0"/>
        <w:ind w:left="3687" w:right="2245" w:hanging="720"/>
        <w:jc w:val="left"/>
        <w:rPr>
          <w:sz w:val="20"/>
        </w:rPr>
      </w:pPr>
      <w:r>
        <w:rPr>
          <w:sz w:val="20"/>
        </w:rPr>
        <w:t>One</w:t>
      </w:r>
      <w:r>
        <w:rPr>
          <w:spacing w:val="-13"/>
          <w:sz w:val="20"/>
        </w:rPr>
        <w:t> </w:t>
      </w:r>
      <w:r>
        <w:rPr>
          <w:sz w:val="20"/>
        </w:rPr>
        <w:t>Administrative</w:t>
      </w:r>
      <w:r>
        <w:rPr>
          <w:spacing w:val="-12"/>
          <w:sz w:val="20"/>
        </w:rPr>
        <w:t> </w:t>
      </w:r>
      <w:r>
        <w:rPr>
          <w:sz w:val="20"/>
        </w:rPr>
        <w:t>Assistant</w:t>
      </w:r>
      <w:r>
        <w:rPr>
          <w:spacing w:val="-13"/>
          <w:sz w:val="20"/>
        </w:rPr>
        <w:t> </w:t>
      </w:r>
      <w:r>
        <w:rPr>
          <w:sz w:val="20"/>
        </w:rPr>
        <w:t>(GS-OL)</w:t>
      </w:r>
      <w:r>
        <w:rPr>
          <w:spacing w:val="-12"/>
          <w:sz w:val="20"/>
        </w:rPr>
        <w:t> </w:t>
      </w:r>
      <w:r>
        <w:rPr>
          <w:sz w:val="20"/>
        </w:rPr>
        <w:t>(Uganda</w:t>
      </w:r>
      <w:r>
        <w:rPr>
          <w:spacing w:val="-13"/>
          <w:sz w:val="20"/>
        </w:rPr>
        <w:t> </w:t>
      </w:r>
      <w:r>
        <w:rPr>
          <w:sz w:val="20"/>
        </w:rPr>
        <w:t>for</w:t>
      </w:r>
      <w:r>
        <w:rPr>
          <w:spacing w:val="-17"/>
          <w:sz w:val="20"/>
        </w:rPr>
        <w:t> </w:t>
      </w:r>
      <w:r>
        <w:rPr>
          <w:sz w:val="20"/>
        </w:rPr>
        <w:t>the</w:t>
      </w:r>
      <w:r>
        <w:rPr>
          <w:spacing w:val="-12"/>
          <w:sz w:val="20"/>
        </w:rPr>
        <w:t> </w:t>
      </w:r>
      <w:r>
        <w:rPr>
          <w:sz w:val="20"/>
        </w:rPr>
        <w:t>situation</w:t>
      </w:r>
      <w:r>
        <w:rPr>
          <w:spacing w:val="-13"/>
          <w:sz w:val="20"/>
        </w:rPr>
        <w:t> </w:t>
      </w:r>
      <w:r>
        <w:rPr>
          <w:sz w:val="20"/>
        </w:rPr>
        <w:t>in</w:t>
      </w:r>
      <w:r>
        <w:rPr>
          <w:spacing w:val="-12"/>
          <w:sz w:val="20"/>
        </w:rPr>
        <w:t> </w:t>
      </w:r>
      <w:r>
        <w:rPr>
          <w:sz w:val="20"/>
        </w:rPr>
        <w:t>Darfur, </w:t>
      </w:r>
      <w:r>
        <w:rPr>
          <w:spacing w:val="-2"/>
          <w:sz w:val="20"/>
        </w:rPr>
        <w:t>Sudan).</w:t>
      </w:r>
    </w:p>
    <w:p>
      <w:pPr>
        <w:pStyle w:val="ListParagraph"/>
        <w:numPr>
          <w:ilvl w:val="0"/>
          <w:numId w:val="16"/>
        </w:numPr>
        <w:tabs>
          <w:tab w:pos="3686" w:val="left" w:leader="none"/>
          <w:tab w:pos="3687" w:val="left" w:leader="none"/>
        </w:tabs>
        <w:spacing w:line="240" w:lineRule="auto" w:before="0" w:after="0"/>
        <w:ind w:left="3687" w:right="0" w:hanging="720"/>
        <w:jc w:val="left"/>
        <w:rPr>
          <w:sz w:val="20"/>
        </w:rPr>
      </w:pPr>
      <w:r>
        <w:rPr>
          <w:sz w:val="20"/>
        </w:rPr>
        <w:t>One</w:t>
      </w:r>
      <w:r>
        <w:rPr>
          <w:spacing w:val="-3"/>
          <w:sz w:val="20"/>
        </w:rPr>
        <w:t> </w:t>
      </w:r>
      <w:r>
        <w:rPr>
          <w:sz w:val="20"/>
        </w:rPr>
        <w:t>Senior</w:t>
      </w:r>
      <w:r>
        <w:rPr>
          <w:spacing w:val="-8"/>
          <w:sz w:val="20"/>
        </w:rPr>
        <w:t> </w:t>
      </w:r>
      <w:r>
        <w:rPr>
          <w:sz w:val="20"/>
        </w:rPr>
        <w:t>Driver</w:t>
      </w:r>
      <w:r>
        <w:rPr>
          <w:spacing w:val="-8"/>
          <w:sz w:val="20"/>
        </w:rPr>
        <w:t> </w:t>
      </w:r>
      <w:r>
        <w:rPr>
          <w:sz w:val="20"/>
        </w:rPr>
        <w:t>(GS-OL)</w:t>
      </w:r>
      <w:r>
        <w:rPr>
          <w:spacing w:val="-8"/>
          <w:sz w:val="20"/>
        </w:rPr>
        <w:t> </w:t>
      </w:r>
      <w:r>
        <w:rPr>
          <w:sz w:val="20"/>
        </w:rPr>
        <w:t>(DRC-</w:t>
      </w:r>
      <w:r>
        <w:rPr>
          <w:spacing w:val="-2"/>
          <w:sz w:val="20"/>
        </w:rPr>
        <w:t>Kinshasa).</w:t>
      </w:r>
    </w:p>
    <w:p>
      <w:pPr>
        <w:pStyle w:val="ListParagraph"/>
        <w:numPr>
          <w:ilvl w:val="0"/>
          <w:numId w:val="16"/>
        </w:numPr>
        <w:tabs>
          <w:tab w:pos="3686" w:val="left" w:leader="none"/>
          <w:tab w:pos="3687" w:val="left" w:leader="none"/>
        </w:tabs>
        <w:spacing w:line="240" w:lineRule="auto" w:before="0" w:after="0"/>
        <w:ind w:left="3687" w:right="0" w:hanging="720"/>
        <w:jc w:val="left"/>
        <w:rPr>
          <w:sz w:val="20"/>
        </w:rPr>
      </w:pPr>
      <w:r>
        <w:rPr>
          <w:sz w:val="20"/>
        </w:rPr>
        <w:t>Two</w:t>
      </w:r>
      <w:r>
        <w:rPr>
          <w:spacing w:val="-5"/>
          <w:sz w:val="20"/>
        </w:rPr>
        <w:t> </w:t>
      </w:r>
      <w:r>
        <w:rPr>
          <w:sz w:val="20"/>
        </w:rPr>
        <w:t>Drivers</w:t>
      </w:r>
      <w:r>
        <w:rPr>
          <w:spacing w:val="-9"/>
          <w:sz w:val="20"/>
        </w:rPr>
        <w:t> </w:t>
      </w:r>
      <w:r>
        <w:rPr>
          <w:sz w:val="20"/>
        </w:rPr>
        <w:t>(GS-OL)</w:t>
      </w:r>
      <w:r>
        <w:rPr>
          <w:spacing w:val="-8"/>
          <w:sz w:val="20"/>
        </w:rPr>
        <w:t> </w:t>
      </w:r>
      <w:r>
        <w:rPr>
          <w:sz w:val="20"/>
        </w:rPr>
        <w:t>(DRC-</w:t>
      </w:r>
      <w:r>
        <w:rPr>
          <w:spacing w:val="-2"/>
          <w:sz w:val="20"/>
        </w:rPr>
        <w:t>Bunia).</w:t>
      </w:r>
    </w:p>
    <w:p>
      <w:pPr>
        <w:pStyle w:val="ListParagraph"/>
        <w:numPr>
          <w:ilvl w:val="0"/>
          <w:numId w:val="16"/>
        </w:numPr>
        <w:tabs>
          <w:tab w:pos="3686" w:val="left" w:leader="none"/>
          <w:tab w:pos="3687" w:val="left" w:leader="none"/>
        </w:tabs>
        <w:spacing w:line="240" w:lineRule="auto" w:before="1" w:after="0"/>
        <w:ind w:left="3687" w:right="0" w:hanging="720"/>
        <w:jc w:val="left"/>
        <w:rPr>
          <w:sz w:val="20"/>
        </w:rPr>
      </w:pPr>
      <w:r>
        <w:rPr>
          <w:spacing w:val="-2"/>
          <w:sz w:val="20"/>
        </w:rPr>
        <w:t>Two</w:t>
      </w:r>
      <w:r>
        <w:rPr>
          <w:spacing w:val="-11"/>
          <w:sz w:val="20"/>
        </w:rPr>
        <w:t> </w:t>
      </w:r>
      <w:r>
        <w:rPr>
          <w:spacing w:val="-2"/>
          <w:sz w:val="20"/>
        </w:rPr>
        <w:t>Field</w:t>
      </w:r>
      <w:r>
        <w:rPr>
          <w:spacing w:val="-10"/>
          <w:sz w:val="20"/>
        </w:rPr>
        <w:t> </w:t>
      </w:r>
      <w:r>
        <w:rPr>
          <w:spacing w:val="-2"/>
          <w:sz w:val="20"/>
        </w:rPr>
        <w:t>Case</w:t>
      </w:r>
      <w:r>
        <w:rPr>
          <w:spacing w:val="-10"/>
          <w:sz w:val="20"/>
        </w:rPr>
        <w:t> </w:t>
      </w:r>
      <w:r>
        <w:rPr>
          <w:spacing w:val="-2"/>
          <w:sz w:val="20"/>
        </w:rPr>
        <w:t>Management</w:t>
      </w:r>
      <w:r>
        <w:rPr>
          <w:spacing w:val="-7"/>
          <w:sz w:val="20"/>
        </w:rPr>
        <w:t> </w:t>
      </w:r>
      <w:r>
        <w:rPr>
          <w:spacing w:val="-2"/>
          <w:sz w:val="20"/>
        </w:rPr>
        <w:t>Assistants</w:t>
      </w:r>
      <w:r>
        <w:rPr>
          <w:spacing w:val="-10"/>
          <w:sz w:val="20"/>
        </w:rPr>
        <w:t> </w:t>
      </w:r>
      <w:r>
        <w:rPr>
          <w:spacing w:val="-2"/>
          <w:sz w:val="20"/>
        </w:rPr>
        <w:t>(GS-OL)</w:t>
      </w:r>
      <w:r>
        <w:rPr>
          <w:spacing w:val="-10"/>
          <w:sz w:val="20"/>
        </w:rPr>
        <w:t> </w:t>
      </w:r>
      <w:r>
        <w:rPr>
          <w:spacing w:val="-2"/>
          <w:sz w:val="20"/>
        </w:rPr>
        <w:t>(DRC-Kinshasa</w:t>
      </w:r>
      <w:r>
        <w:rPr>
          <w:spacing w:val="-6"/>
          <w:sz w:val="20"/>
        </w:rPr>
        <w:t> </w:t>
      </w:r>
      <w:r>
        <w:rPr>
          <w:spacing w:val="-2"/>
          <w:sz w:val="20"/>
        </w:rPr>
        <w:t>-</w:t>
      </w:r>
      <w:r>
        <w:rPr>
          <w:spacing w:val="-10"/>
          <w:sz w:val="20"/>
        </w:rPr>
        <w:t> </w:t>
      </w:r>
      <w:r>
        <w:rPr>
          <w:spacing w:val="-2"/>
          <w:sz w:val="20"/>
        </w:rPr>
        <w:t>VWS).</w:t>
      </w:r>
    </w:p>
    <w:p>
      <w:pPr>
        <w:pStyle w:val="ListParagraph"/>
        <w:numPr>
          <w:ilvl w:val="0"/>
          <w:numId w:val="16"/>
        </w:numPr>
        <w:tabs>
          <w:tab w:pos="3686" w:val="left" w:leader="none"/>
          <w:tab w:pos="3687" w:val="left" w:leader="none"/>
        </w:tabs>
        <w:spacing w:line="240" w:lineRule="auto" w:before="0" w:after="0"/>
        <w:ind w:left="3687" w:right="0" w:hanging="720"/>
        <w:jc w:val="left"/>
        <w:rPr>
          <w:sz w:val="20"/>
        </w:rPr>
      </w:pPr>
      <w:r>
        <w:rPr>
          <w:sz w:val="20"/>
        </w:rPr>
        <w:t>One</w:t>
      </w:r>
      <w:r>
        <w:rPr>
          <w:spacing w:val="-2"/>
          <w:sz w:val="20"/>
        </w:rPr>
        <w:t> </w:t>
      </w:r>
      <w:r>
        <w:rPr>
          <w:sz w:val="20"/>
        </w:rPr>
        <w:t>Driver</w:t>
      </w:r>
      <w:r>
        <w:rPr>
          <w:spacing w:val="-8"/>
          <w:sz w:val="20"/>
        </w:rPr>
        <w:t> </w:t>
      </w:r>
      <w:r>
        <w:rPr>
          <w:sz w:val="20"/>
        </w:rPr>
        <w:t>(GS-OL)</w:t>
      </w:r>
      <w:r>
        <w:rPr>
          <w:spacing w:val="-3"/>
          <w:sz w:val="20"/>
        </w:rPr>
        <w:t> </w:t>
      </w:r>
      <w:r>
        <w:rPr>
          <w:spacing w:val="-2"/>
          <w:sz w:val="20"/>
        </w:rPr>
        <w:t>(Mali).</w:t>
      </w:r>
    </w:p>
    <w:p>
      <w:pPr>
        <w:pStyle w:val="BodyText"/>
        <w:spacing w:before="11"/>
      </w:pPr>
    </w:p>
    <w:p>
      <w:pPr>
        <w:spacing w:before="0"/>
        <w:ind w:left="2246" w:right="0" w:firstLine="0"/>
        <w:jc w:val="both"/>
        <w:rPr>
          <w:i/>
          <w:sz w:val="20"/>
        </w:rPr>
      </w:pPr>
      <w:r>
        <w:rPr>
          <w:i/>
          <w:sz w:val="20"/>
        </w:rPr>
        <w:t>Posts</w:t>
      </w:r>
      <w:r>
        <w:rPr>
          <w:i/>
          <w:spacing w:val="-3"/>
          <w:sz w:val="20"/>
        </w:rPr>
        <w:t> </w:t>
      </w:r>
      <w:r>
        <w:rPr>
          <w:i/>
          <w:sz w:val="20"/>
        </w:rPr>
        <w:t>already</w:t>
      </w:r>
      <w:r>
        <w:rPr>
          <w:i/>
          <w:spacing w:val="-4"/>
          <w:sz w:val="20"/>
        </w:rPr>
        <w:t> </w:t>
      </w:r>
      <w:r>
        <w:rPr>
          <w:i/>
          <w:sz w:val="20"/>
        </w:rPr>
        <w:t>defunded</w:t>
      </w:r>
      <w:r>
        <w:rPr>
          <w:i/>
          <w:spacing w:val="-6"/>
          <w:sz w:val="20"/>
        </w:rPr>
        <w:t> </w:t>
      </w:r>
      <w:r>
        <w:rPr>
          <w:i/>
          <w:sz w:val="20"/>
        </w:rPr>
        <w:t>for</w:t>
      </w:r>
      <w:r>
        <w:rPr>
          <w:i/>
          <w:spacing w:val="-7"/>
          <w:sz w:val="20"/>
        </w:rPr>
        <w:t> </w:t>
      </w:r>
      <w:r>
        <w:rPr>
          <w:i/>
          <w:sz w:val="20"/>
        </w:rPr>
        <w:t>2022</w:t>
      </w:r>
      <w:r>
        <w:rPr>
          <w:i/>
          <w:spacing w:val="-7"/>
          <w:sz w:val="20"/>
        </w:rPr>
        <w:t> </w:t>
      </w:r>
      <w:r>
        <w:rPr>
          <w:i/>
          <w:sz w:val="20"/>
        </w:rPr>
        <w:t>to</w:t>
      </w:r>
      <w:r>
        <w:rPr>
          <w:i/>
          <w:spacing w:val="-6"/>
          <w:sz w:val="20"/>
        </w:rPr>
        <w:t> </w:t>
      </w:r>
      <w:r>
        <w:rPr>
          <w:i/>
          <w:sz w:val="20"/>
        </w:rPr>
        <w:t>remain</w:t>
      </w:r>
      <w:r>
        <w:rPr>
          <w:i/>
          <w:spacing w:val="-6"/>
          <w:sz w:val="20"/>
        </w:rPr>
        <w:t> </w:t>
      </w:r>
      <w:r>
        <w:rPr>
          <w:i/>
          <w:sz w:val="20"/>
        </w:rPr>
        <w:t>unfunded</w:t>
      </w:r>
      <w:r>
        <w:rPr>
          <w:i/>
          <w:spacing w:val="-6"/>
          <w:sz w:val="20"/>
        </w:rPr>
        <w:t> </w:t>
      </w:r>
      <w:r>
        <w:rPr>
          <w:i/>
          <w:sz w:val="20"/>
        </w:rPr>
        <w:t>for</w:t>
      </w:r>
      <w:r>
        <w:rPr>
          <w:i/>
          <w:spacing w:val="-2"/>
          <w:sz w:val="20"/>
        </w:rPr>
        <w:t> </w:t>
      </w:r>
      <w:r>
        <w:rPr>
          <w:i/>
          <w:spacing w:val="-4"/>
          <w:sz w:val="20"/>
        </w:rPr>
        <w:t>2023</w:t>
      </w:r>
    </w:p>
    <w:p>
      <w:pPr>
        <w:pStyle w:val="BodyText"/>
        <w:spacing w:before="10"/>
        <w:rPr>
          <w:i/>
        </w:rPr>
      </w:pPr>
    </w:p>
    <w:p>
      <w:pPr>
        <w:pStyle w:val="ListParagraph"/>
        <w:numPr>
          <w:ilvl w:val="0"/>
          <w:numId w:val="17"/>
        </w:numPr>
        <w:tabs>
          <w:tab w:pos="3686" w:val="left" w:leader="none"/>
          <w:tab w:pos="3687" w:val="left" w:leader="none"/>
        </w:tabs>
        <w:spacing w:line="240" w:lineRule="auto" w:before="1" w:after="0"/>
        <w:ind w:left="3687" w:right="0" w:hanging="720"/>
        <w:jc w:val="left"/>
        <w:rPr>
          <w:sz w:val="20"/>
        </w:rPr>
      </w:pPr>
      <w:r>
        <w:rPr>
          <w:sz w:val="20"/>
        </w:rPr>
        <w:t>One</w:t>
      </w:r>
      <w:r>
        <w:rPr>
          <w:spacing w:val="-3"/>
          <w:sz w:val="20"/>
        </w:rPr>
        <w:t> </w:t>
      </w:r>
      <w:r>
        <w:rPr>
          <w:sz w:val="20"/>
        </w:rPr>
        <w:t>Case</w:t>
      </w:r>
      <w:r>
        <w:rPr>
          <w:spacing w:val="-7"/>
          <w:sz w:val="20"/>
        </w:rPr>
        <w:t> </w:t>
      </w:r>
      <w:r>
        <w:rPr>
          <w:sz w:val="20"/>
        </w:rPr>
        <w:t>Management</w:t>
      </w:r>
      <w:r>
        <w:rPr>
          <w:spacing w:val="-7"/>
          <w:sz w:val="20"/>
        </w:rPr>
        <w:t> </w:t>
      </w:r>
      <w:r>
        <w:rPr>
          <w:sz w:val="20"/>
        </w:rPr>
        <w:t>Assistant</w:t>
      </w:r>
      <w:r>
        <w:rPr>
          <w:spacing w:val="-7"/>
          <w:sz w:val="20"/>
        </w:rPr>
        <w:t> </w:t>
      </w:r>
      <w:r>
        <w:rPr>
          <w:sz w:val="20"/>
        </w:rPr>
        <w:t>(GS-OL)</w:t>
      </w:r>
      <w:r>
        <w:rPr>
          <w:spacing w:val="-9"/>
          <w:sz w:val="20"/>
        </w:rPr>
        <w:t> </w:t>
      </w:r>
      <w:r>
        <w:rPr>
          <w:sz w:val="20"/>
        </w:rPr>
        <w:t>(Headquarters</w:t>
      </w:r>
      <w:r>
        <w:rPr>
          <w:spacing w:val="-8"/>
          <w:sz w:val="20"/>
        </w:rPr>
        <w:t> </w:t>
      </w:r>
      <w:r>
        <w:rPr>
          <w:sz w:val="20"/>
        </w:rPr>
        <w:t>-</w:t>
      </w:r>
      <w:r>
        <w:rPr>
          <w:spacing w:val="-7"/>
          <w:sz w:val="20"/>
        </w:rPr>
        <w:t> </w:t>
      </w:r>
      <w:r>
        <w:rPr>
          <w:spacing w:val="-4"/>
          <w:sz w:val="20"/>
        </w:rPr>
        <w:t>VWS).</w:t>
      </w:r>
    </w:p>
    <w:p>
      <w:pPr>
        <w:pStyle w:val="ListParagraph"/>
        <w:numPr>
          <w:ilvl w:val="0"/>
          <w:numId w:val="17"/>
        </w:numPr>
        <w:tabs>
          <w:tab w:pos="3686" w:val="left" w:leader="none"/>
          <w:tab w:pos="3687" w:val="left" w:leader="none"/>
        </w:tabs>
        <w:spacing w:line="228" w:lineRule="exact" w:before="0" w:after="0"/>
        <w:ind w:left="3687" w:right="0" w:hanging="720"/>
        <w:jc w:val="left"/>
        <w:rPr>
          <w:sz w:val="20"/>
        </w:rPr>
      </w:pPr>
      <w:r>
        <w:rPr>
          <w:sz w:val="20"/>
        </w:rPr>
        <w:t>One</w:t>
      </w:r>
      <w:r>
        <w:rPr>
          <w:spacing w:val="-3"/>
          <w:sz w:val="20"/>
        </w:rPr>
        <w:t> </w:t>
      </w:r>
      <w:r>
        <w:rPr>
          <w:sz w:val="20"/>
        </w:rPr>
        <w:t>Analyst</w:t>
      </w:r>
      <w:r>
        <w:rPr>
          <w:spacing w:val="-3"/>
          <w:sz w:val="20"/>
        </w:rPr>
        <w:t> </w:t>
      </w:r>
      <w:r>
        <w:rPr>
          <w:sz w:val="20"/>
        </w:rPr>
        <w:t>Assistant</w:t>
      </w:r>
      <w:r>
        <w:rPr>
          <w:spacing w:val="-8"/>
          <w:sz w:val="20"/>
        </w:rPr>
        <w:t> </w:t>
      </w:r>
      <w:r>
        <w:rPr>
          <w:sz w:val="20"/>
        </w:rPr>
        <w:t>(GS-PL)</w:t>
      </w:r>
      <w:r>
        <w:rPr>
          <w:spacing w:val="-9"/>
          <w:sz w:val="20"/>
        </w:rPr>
        <w:t> </w:t>
      </w:r>
      <w:r>
        <w:rPr>
          <w:sz w:val="20"/>
        </w:rPr>
        <w:t>(Headquarters</w:t>
      </w:r>
      <w:r>
        <w:rPr>
          <w:spacing w:val="-8"/>
          <w:sz w:val="20"/>
        </w:rPr>
        <w:t> </w:t>
      </w:r>
      <w:r>
        <w:rPr>
          <w:sz w:val="20"/>
        </w:rPr>
        <w:t>-</w:t>
      </w:r>
      <w:r>
        <w:rPr>
          <w:spacing w:val="-4"/>
          <w:sz w:val="20"/>
        </w:rPr>
        <w:t> VWS).</w:t>
      </w:r>
    </w:p>
    <w:p>
      <w:pPr>
        <w:pStyle w:val="ListParagraph"/>
        <w:numPr>
          <w:ilvl w:val="0"/>
          <w:numId w:val="17"/>
        </w:numPr>
        <w:tabs>
          <w:tab w:pos="3686" w:val="left" w:leader="none"/>
          <w:tab w:pos="3687" w:val="left" w:leader="none"/>
        </w:tabs>
        <w:spacing w:line="228" w:lineRule="exact" w:before="0" w:after="0"/>
        <w:ind w:left="3687" w:right="0" w:hanging="720"/>
        <w:jc w:val="left"/>
        <w:rPr>
          <w:sz w:val="20"/>
        </w:rPr>
      </w:pPr>
      <w:r>
        <w:rPr>
          <w:sz w:val="20"/>
        </w:rPr>
        <w:t>One</w:t>
      </w:r>
      <w:r>
        <w:rPr>
          <w:spacing w:val="-3"/>
          <w:sz w:val="20"/>
        </w:rPr>
        <w:t> </w:t>
      </w:r>
      <w:r>
        <w:rPr>
          <w:sz w:val="20"/>
        </w:rPr>
        <w:t>Field</w:t>
      </w:r>
      <w:r>
        <w:rPr>
          <w:spacing w:val="-5"/>
          <w:sz w:val="20"/>
        </w:rPr>
        <w:t> </w:t>
      </w:r>
      <w:r>
        <w:rPr>
          <w:sz w:val="20"/>
        </w:rPr>
        <w:t>Security</w:t>
      </w:r>
      <w:r>
        <w:rPr>
          <w:spacing w:val="-9"/>
          <w:sz w:val="20"/>
        </w:rPr>
        <w:t> </w:t>
      </w:r>
      <w:r>
        <w:rPr>
          <w:sz w:val="20"/>
        </w:rPr>
        <w:t>Officer</w:t>
      </w:r>
      <w:r>
        <w:rPr>
          <w:spacing w:val="-4"/>
          <w:sz w:val="20"/>
        </w:rPr>
        <w:t> </w:t>
      </w:r>
      <w:r>
        <w:rPr>
          <w:sz w:val="20"/>
        </w:rPr>
        <w:t>(P-3)</w:t>
      </w:r>
      <w:r>
        <w:rPr>
          <w:spacing w:val="-5"/>
          <w:sz w:val="20"/>
        </w:rPr>
        <w:t> </w:t>
      </w:r>
      <w:r>
        <w:rPr>
          <w:sz w:val="20"/>
        </w:rPr>
        <w:t>(Côte</w:t>
      </w:r>
      <w:r>
        <w:rPr>
          <w:spacing w:val="-2"/>
          <w:sz w:val="20"/>
        </w:rPr>
        <w:t> d’Ivoire).</w:t>
      </w:r>
    </w:p>
    <w:p>
      <w:pPr>
        <w:pStyle w:val="ListParagraph"/>
        <w:numPr>
          <w:ilvl w:val="0"/>
          <w:numId w:val="17"/>
        </w:numPr>
        <w:tabs>
          <w:tab w:pos="3686" w:val="left" w:leader="none"/>
          <w:tab w:pos="3687" w:val="left" w:leader="none"/>
        </w:tabs>
        <w:spacing w:line="240" w:lineRule="auto" w:before="0" w:after="0"/>
        <w:ind w:left="3687" w:right="0" w:hanging="720"/>
        <w:jc w:val="left"/>
        <w:rPr>
          <w:sz w:val="20"/>
        </w:rPr>
      </w:pPr>
      <w:r>
        <w:rPr>
          <w:sz w:val="20"/>
        </w:rPr>
        <w:t>One</w:t>
      </w:r>
      <w:r>
        <w:rPr>
          <w:spacing w:val="-4"/>
          <w:sz w:val="20"/>
        </w:rPr>
        <w:t> </w:t>
      </w:r>
      <w:r>
        <w:rPr>
          <w:sz w:val="20"/>
        </w:rPr>
        <w:t>Field</w:t>
      </w:r>
      <w:r>
        <w:rPr>
          <w:spacing w:val="-6"/>
          <w:sz w:val="20"/>
        </w:rPr>
        <w:t> </w:t>
      </w:r>
      <w:r>
        <w:rPr>
          <w:sz w:val="20"/>
        </w:rPr>
        <w:t>Assistant</w:t>
      </w:r>
      <w:r>
        <w:rPr>
          <w:spacing w:val="-8"/>
          <w:sz w:val="20"/>
        </w:rPr>
        <w:t> </w:t>
      </w:r>
      <w:r>
        <w:rPr>
          <w:sz w:val="20"/>
        </w:rPr>
        <w:t>(GS-OL)</w:t>
      </w:r>
      <w:r>
        <w:rPr>
          <w:spacing w:val="-6"/>
          <w:sz w:val="20"/>
        </w:rPr>
        <w:t> </w:t>
      </w:r>
      <w:r>
        <w:rPr>
          <w:sz w:val="20"/>
        </w:rPr>
        <w:t>(Côte</w:t>
      </w:r>
      <w:r>
        <w:rPr>
          <w:spacing w:val="-3"/>
          <w:sz w:val="20"/>
        </w:rPr>
        <w:t> </w:t>
      </w:r>
      <w:r>
        <w:rPr>
          <w:spacing w:val="-2"/>
          <w:sz w:val="20"/>
        </w:rPr>
        <w:t>d’Ivoire).</w:t>
      </w:r>
    </w:p>
    <w:p>
      <w:pPr>
        <w:pStyle w:val="ListParagraph"/>
        <w:numPr>
          <w:ilvl w:val="0"/>
          <w:numId w:val="17"/>
        </w:numPr>
        <w:tabs>
          <w:tab w:pos="3686" w:val="left" w:leader="none"/>
          <w:tab w:pos="3687" w:val="left" w:leader="none"/>
        </w:tabs>
        <w:spacing w:line="240" w:lineRule="auto" w:before="1" w:after="0"/>
        <w:ind w:left="3687" w:right="0" w:hanging="720"/>
        <w:jc w:val="left"/>
        <w:rPr>
          <w:sz w:val="20"/>
        </w:rPr>
      </w:pPr>
      <w:r>
        <w:rPr>
          <w:sz w:val="20"/>
        </w:rPr>
        <w:t>One</w:t>
      </w:r>
      <w:r>
        <w:rPr>
          <w:spacing w:val="-3"/>
          <w:sz w:val="20"/>
        </w:rPr>
        <w:t> </w:t>
      </w:r>
      <w:r>
        <w:rPr>
          <w:sz w:val="20"/>
        </w:rPr>
        <w:t>Driver</w:t>
      </w:r>
      <w:r>
        <w:rPr>
          <w:spacing w:val="-9"/>
          <w:sz w:val="20"/>
        </w:rPr>
        <w:t> </w:t>
      </w:r>
      <w:r>
        <w:rPr>
          <w:sz w:val="20"/>
        </w:rPr>
        <w:t>(GS-OL)</w:t>
      </w:r>
      <w:r>
        <w:rPr>
          <w:spacing w:val="-4"/>
          <w:sz w:val="20"/>
        </w:rPr>
        <w:t> </w:t>
      </w:r>
      <w:r>
        <w:rPr>
          <w:sz w:val="20"/>
        </w:rPr>
        <w:t>(Côte</w:t>
      </w:r>
      <w:r>
        <w:rPr>
          <w:spacing w:val="-2"/>
          <w:sz w:val="20"/>
        </w:rPr>
        <w:t> d’Ivoire).</w:t>
      </w:r>
    </w:p>
    <w:p>
      <w:pPr>
        <w:spacing w:after="0" w:line="240" w:lineRule="auto"/>
        <w:jc w:val="left"/>
        <w:rPr>
          <w:sz w:val="20"/>
        </w:rPr>
        <w:sectPr>
          <w:pgSz w:w="11910" w:h="16840"/>
          <w:pgMar w:header="957" w:footer="940" w:top="1140" w:bottom="1140" w:left="20" w:right="20"/>
        </w:sectPr>
      </w:pPr>
    </w:p>
    <w:p>
      <w:pPr>
        <w:spacing w:before="124"/>
        <w:ind w:left="2246" w:right="0" w:firstLine="0"/>
        <w:jc w:val="left"/>
        <w:rPr>
          <w:i/>
          <w:sz w:val="20"/>
        </w:rPr>
      </w:pPr>
      <w:r>
        <w:rPr>
          <w:i/>
          <w:sz w:val="20"/>
        </w:rPr>
        <w:t>Posts</w:t>
      </w:r>
      <w:r>
        <w:rPr>
          <w:i/>
          <w:spacing w:val="-7"/>
          <w:sz w:val="20"/>
        </w:rPr>
        <w:t> </w:t>
      </w:r>
      <w:r>
        <w:rPr>
          <w:i/>
          <w:sz w:val="20"/>
        </w:rPr>
        <w:t>to</w:t>
      </w:r>
      <w:r>
        <w:rPr>
          <w:i/>
          <w:spacing w:val="-4"/>
          <w:sz w:val="20"/>
        </w:rPr>
        <w:t> </w:t>
      </w:r>
      <w:r>
        <w:rPr>
          <w:i/>
          <w:sz w:val="20"/>
        </w:rPr>
        <w:t>be</w:t>
      </w:r>
      <w:r>
        <w:rPr>
          <w:i/>
          <w:spacing w:val="-3"/>
          <w:sz w:val="20"/>
        </w:rPr>
        <w:t> </w:t>
      </w:r>
      <w:r>
        <w:rPr>
          <w:i/>
          <w:sz w:val="20"/>
        </w:rPr>
        <w:t>defunded</w:t>
      </w:r>
      <w:r>
        <w:rPr>
          <w:i/>
          <w:spacing w:val="-4"/>
          <w:sz w:val="20"/>
        </w:rPr>
        <w:t> </w:t>
      </w:r>
      <w:r>
        <w:rPr>
          <w:i/>
          <w:sz w:val="20"/>
        </w:rPr>
        <w:t>for</w:t>
      </w:r>
      <w:r>
        <w:rPr>
          <w:i/>
          <w:spacing w:val="-4"/>
          <w:sz w:val="20"/>
        </w:rPr>
        <w:t> 2023</w:t>
      </w:r>
    </w:p>
    <w:p>
      <w:pPr>
        <w:pStyle w:val="BodyText"/>
        <w:spacing w:before="11"/>
        <w:rPr>
          <w:i/>
        </w:rPr>
      </w:pPr>
    </w:p>
    <w:p>
      <w:pPr>
        <w:pStyle w:val="ListParagraph"/>
        <w:numPr>
          <w:ilvl w:val="0"/>
          <w:numId w:val="18"/>
        </w:numPr>
        <w:tabs>
          <w:tab w:pos="3686" w:val="left" w:leader="none"/>
          <w:tab w:pos="3687" w:val="left" w:leader="none"/>
        </w:tabs>
        <w:spacing w:line="240" w:lineRule="auto" w:before="0" w:after="0"/>
        <w:ind w:left="3687" w:right="0" w:hanging="720"/>
        <w:jc w:val="left"/>
        <w:rPr>
          <w:sz w:val="20"/>
        </w:rPr>
      </w:pPr>
      <w:r>
        <w:rPr>
          <w:sz w:val="20"/>
        </w:rPr>
        <w:t>One</w:t>
      </w:r>
      <w:r>
        <w:rPr>
          <w:spacing w:val="-4"/>
          <w:sz w:val="20"/>
        </w:rPr>
        <w:t> </w:t>
      </w:r>
      <w:r>
        <w:rPr>
          <w:sz w:val="20"/>
        </w:rPr>
        <w:t>Administrative</w:t>
      </w:r>
      <w:r>
        <w:rPr>
          <w:spacing w:val="-8"/>
          <w:sz w:val="20"/>
        </w:rPr>
        <w:t> </w:t>
      </w:r>
      <w:r>
        <w:rPr>
          <w:sz w:val="20"/>
        </w:rPr>
        <w:t>Assistant</w:t>
      </w:r>
      <w:r>
        <w:rPr>
          <w:spacing w:val="-8"/>
          <w:sz w:val="20"/>
        </w:rPr>
        <w:t> </w:t>
      </w:r>
      <w:r>
        <w:rPr>
          <w:sz w:val="20"/>
        </w:rPr>
        <w:t>(GS-OL)</w:t>
      </w:r>
      <w:r>
        <w:rPr>
          <w:spacing w:val="-10"/>
          <w:sz w:val="20"/>
        </w:rPr>
        <w:t> </w:t>
      </w:r>
      <w:r>
        <w:rPr>
          <w:sz w:val="20"/>
        </w:rPr>
        <w:t>(Côte</w:t>
      </w:r>
      <w:r>
        <w:rPr>
          <w:spacing w:val="-7"/>
          <w:sz w:val="20"/>
        </w:rPr>
        <w:t> </w:t>
      </w:r>
      <w:r>
        <w:rPr>
          <w:spacing w:val="-2"/>
          <w:sz w:val="20"/>
        </w:rPr>
        <w:t>d’Ivoire).</w:t>
      </w:r>
    </w:p>
    <w:p>
      <w:pPr>
        <w:pStyle w:val="ListParagraph"/>
        <w:numPr>
          <w:ilvl w:val="0"/>
          <w:numId w:val="18"/>
        </w:numPr>
        <w:tabs>
          <w:tab w:pos="3686" w:val="left" w:leader="none"/>
          <w:tab w:pos="3687" w:val="left" w:leader="none"/>
        </w:tabs>
        <w:spacing w:line="240" w:lineRule="auto" w:before="0" w:after="0"/>
        <w:ind w:left="3687" w:right="0" w:hanging="720"/>
        <w:jc w:val="left"/>
        <w:rPr>
          <w:sz w:val="20"/>
        </w:rPr>
      </w:pPr>
      <w:r>
        <w:rPr>
          <w:sz w:val="20"/>
        </w:rPr>
        <w:t>Three</w:t>
      </w:r>
      <w:r>
        <w:rPr>
          <w:spacing w:val="-4"/>
          <w:sz w:val="20"/>
        </w:rPr>
        <w:t> </w:t>
      </w:r>
      <w:r>
        <w:rPr>
          <w:sz w:val="20"/>
        </w:rPr>
        <w:t>Drivers</w:t>
      </w:r>
      <w:r>
        <w:rPr>
          <w:spacing w:val="-6"/>
          <w:sz w:val="20"/>
        </w:rPr>
        <w:t> </w:t>
      </w:r>
      <w:r>
        <w:rPr>
          <w:sz w:val="20"/>
        </w:rPr>
        <w:t>(GS-OL)</w:t>
      </w:r>
      <w:r>
        <w:rPr>
          <w:spacing w:val="-5"/>
          <w:sz w:val="20"/>
        </w:rPr>
        <w:t> </w:t>
      </w:r>
      <w:r>
        <w:rPr>
          <w:sz w:val="20"/>
        </w:rPr>
        <w:t>(Côte</w:t>
      </w:r>
      <w:r>
        <w:rPr>
          <w:spacing w:val="-3"/>
          <w:sz w:val="20"/>
        </w:rPr>
        <w:t> </w:t>
      </w:r>
      <w:r>
        <w:rPr>
          <w:spacing w:val="-2"/>
          <w:sz w:val="20"/>
        </w:rPr>
        <w:t>d’Ivoire).</w:t>
      </w:r>
    </w:p>
    <w:p>
      <w:pPr>
        <w:pStyle w:val="ListParagraph"/>
        <w:numPr>
          <w:ilvl w:val="0"/>
          <w:numId w:val="18"/>
        </w:numPr>
        <w:tabs>
          <w:tab w:pos="3686" w:val="left" w:leader="none"/>
          <w:tab w:pos="3687" w:val="left" w:leader="none"/>
        </w:tabs>
        <w:spacing w:line="240" w:lineRule="auto" w:before="1" w:after="0"/>
        <w:ind w:left="3687" w:right="0" w:hanging="720"/>
        <w:jc w:val="left"/>
        <w:rPr>
          <w:sz w:val="20"/>
        </w:rPr>
      </w:pPr>
      <w:r>
        <w:rPr>
          <w:sz w:val="20"/>
        </w:rPr>
        <w:t>One</w:t>
      </w:r>
      <w:r>
        <w:rPr>
          <w:spacing w:val="-3"/>
          <w:sz w:val="20"/>
        </w:rPr>
        <w:t> </w:t>
      </w:r>
      <w:r>
        <w:rPr>
          <w:sz w:val="20"/>
        </w:rPr>
        <w:t>Cleaner</w:t>
      </w:r>
      <w:r>
        <w:rPr>
          <w:spacing w:val="-5"/>
          <w:sz w:val="20"/>
        </w:rPr>
        <w:t> </w:t>
      </w:r>
      <w:r>
        <w:rPr>
          <w:sz w:val="20"/>
        </w:rPr>
        <w:t>(GS-OL)</w:t>
      </w:r>
      <w:r>
        <w:rPr>
          <w:spacing w:val="-8"/>
          <w:sz w:val="20"/>
        </w:rPr>
        <w:t> </w:t>
      </w:r>
      <w:r>
        <w:rPr>
          <w:sz w:val="20"/>
        </w:rPr>
        <w:t>(Côte</w:t>
      </w:r>
      <w:r>
        <w:rPr>
          <w:spacing w:val="-7"/>
          <w:sz w:val="20"/>
        </w:rPr>
        <w:t> </w:t>
      </w:r>
      <w:r>
        <w:rPr>
          <w:spacing w:val="-2"/>
          <w:sz w:val="20"/>
        </w:rPr>
        <w:t>d’Ivoire).</w:t>
      </w:r>
    </w:p>
    <w:p>
      <w:pPr>
        <w:pStyle w:val="BodyText"/>
        <w:spacing w:before="10"/>
      </w:pPr>
    </w:p>
    <w:p>
      <w:pPr>
        <w:spacing w:before="1"/>
        <w:ind w:left="2246" w:right="0" w:firstLine="0"/>
        <w:jc w:val="left"/>
        <w:rPr>
          <w:i/>
          <w:sz w:val="20"/>
        </w:rPr>
      </w:pPr>
      <w:r>
        <w:rPr>
          <w:i/>
          <w:sz w:val="20"/>
        </w:rPr>
        <w:t>Posts</w:t>
      </w:r>
      <w:r>
        <w:rPr>
          <w:i/>
          <w:spacing w:val="-7"/>
          <w:sz w:val="20"/>
        </w:rPr>
        <w:t> </w:t>
      </w:r>
      <w:r>
        <w:rPr>
          <w:i/>
          <w:sz w:val="20"/>
        </w:rPr>
        <w:t>to</w:t>
      </w:r>
      <w:r>
        <w:rPr>
          <w:i/>
          <w:spacing w:val="-6"/>
          <w:sz w:val="20"/>
        </w:rPr>
        <w:t> </w:t>
      </w:r>
      <w:r>
        <w:rPr>
          <w:i/>
          <w:sz w:val="20"/>
        </w:rPr>
        <w:t>be</w:t>
      </w:r>
      <w:r>
        <w:rPr>
          <w:i/>
          <w:spacing w:val="-3"/>
          <w:sz w:val="20"/>
        </w:rPr>
        <w:t> </w:t>
      </w:r>
      <w:r>
        <w:rPr>
          <w:i/>
          <w:sz w:val="20"/>
        </w:rPr>
        <w:t>redeployed</w:t>
      </w:r>
      <w:r>
        <w:rPr>
          <w:i/>
          <w:spacing w:val="-6"/>
          <w:sz w:val="20"/>
        </w:rPr>
        <w:t> </w:t>
      </w:r>
      <w:r>
        <w:rPr>
          <w:i/>
          <w:sz w:val="20"/>
        </w:rPr>
        <w:t>to</w:t>
      </w:r>
      <w:r>
        <w:rPr>
          <w:i/>
          <w:spacing w:val="-6"/>
          <w:sz w:val="20"/>
        </w:rPr>
        <w:t> </w:t>
      </w:r>
      <w:r>
        <w:rPr>
          <w:i/>
          <w:sz w:val="20"/>
        </w:rPr>
        <w:t>other</w:t>
      </w:r>
      <w:r>
        <w:rPr>
          <w:i/>
          <w:spacing w:val="-1"/>
          <w:sz w:val="20"/>
        </w:rPr>
        <w:t> </w:t>
      </w:r>
      <w:r>
        <w:rPr>
          <w:i/>
          <w:sz w:val="20"/>
        </w:rPr>
        <w:t>duty</w:t>
      </w:r>
      <w:r>
        <w:rPr>
          <w:i/>
          <w:spacing w:val="-4"/>
          <w:sz w:val="20"/>
        </w:rPr>
        <w:t> </w:t>
      </w:r>
      <w:r>
        <w:rPr>
          <w:i/>
          <w:sz w:val="20"/>
        </w:rPr>
        <w:t>stations</w:t>
      </w:r>
      <w:r>
        <w:rPr>
          <w:i/>
          <w:spacing w:val="-2"/>
          <w:sz w:val="20"/>
        </w:rPr>
        <w:t> </w:t>
      </w:r>
      <w:r>
        <w:rPr>
          <w:i/>
          <w:sz w:val="20"/>
        </w:rPr>
        <w:t>for</w:t>
      </w:r>
      <w:r>
        <w:rPr>
          <w:i/>
          <w:spacing w:val="-6"/>
          <w:sz w:val="20"/>
        </w:rPr>
        <w:t> </w:t>
      </w:r>
      <w:r>
        <w:rPr>
          <w:i/>
          <w:spacing w:val="-4"/>
          <w:sz w:val="20"/>
        </w:rPr>
        <w:t>2023</w:t>
      </w:r>
    </w:p>
    <w:p>
      <w:pPr>
        <w:pStyle w:val="BodyText"/>
        <w:spacing w:before="10"/>
        <w:rPr>
          <w:i/>
        </w:rPr>
      </w:pPr>
    </w:p>
    <w:p>
      <w:pPr>
        <w:pStyle w:val="ListParagraph"/>
        <w:numPr>
          <w:ilvl w:val="0"/>
          <w:numId w:val="19"/>
        </w:numPr>
        <w:tabs>
          <w:tab w:pos="3686" w:val="left" w:leader="none"/>
          <w:tab w:pos="3687" w:val="left" w:leader="none"/>
        </w:tabs>
        <w:spacing w:line="240" w:lineRule="auto" w:before="0" w:after="0"/>
        <w:ind w:left="3687" w:right="2235" w:hanging="720"/>
        <w:jc w:val="left"/>
        <w:rPr>
          <w:sz w:val="20"/>
        </w:rPr>
      </w:pPr>
      <w:r>
        <w:rPr>
          <w:sz w:val="20"/>
        </w:rPr>
        <w:t>One Associate Field Security Officer (P-2) (DRC-Bunia). Redeployed to </w:t>
      </w:r>
      <w:r>
        <w:rPr>
          <w:spacing w:val="-2"/>
          <w:sz w:val="20"/>
        </w:rPr>
        <w:t>Uganda.</w:t>
      </w:r>
    </w:p>
    <w:p>
      <w:pPr>
        <w:pStyle w:val="ListParagraph"/>
        <w:numPr>
          <w:ilvl w:val="0"/>
          <w:numId w:val="19"/>
        </w:numPr>
        <w:tabs>
          <w:tab w:pos="3686" w:val="left" w:leader="none"/>
          <w:tab w:pos="3687" w:val="left" w:leader="none"/>
        </w:tabs>
        <w:spacing w:line="240" w:lineRule="auto" w:before="1" w:after="0"/>
        <w:ind w:left="3687" w:right="2246" w:hanging="720"/>
        <w:jc w:val="left"/>
        <w:rPr>
          <w:sz w:val="20"/>
        </w:rPr>
      </w:pPr>
      <w:r>
        <w:rPr>
          <w:sz w:val="20"/>
        </w:rPr>
        <w:t>One</w:t>
      </w:r>
      <w:r>
        <w:rPr>
          <w:spacing w:val="29"/>
          <w:sz w:val="20"/>
        </w:rPr>
        <w:t> </w:t>
      </w:r>
      <w:r>
        <w:rPr>
          <w:sz w:val="20"/>
        </w:rPr>
        <w:t>Associate</w:t>
      </w:r>
      <w:r>
        <w:rPr>
          <w:spacing w:val="25"/>
          <w:sz w:val="20"/>
        </w:rPr>
        <w:t> </w:t>
      </w:r>
      <w:r>
        <w:rPr>
          <w:sz w:val="20"/>
        </w:rPr>
        <w:t>Team</w:t>
      </w:r>
      <w:r>
        <w:rPr>
          <w:spacing w:val="25"/>
          <w:sz w:val="20"/>
        </w:rPr>
        <w:t> </w:t>
      </w:r>
      <w:r>
        <w:rPr>
          <w:sz w:val="20"/>
        </w:rPr>
        <w:t>Leader</w:t>
      </w:r>
      <w:r>
        <w:rPr>
          <w:spacing w:val="28"/>
          <w:sz w:val="20"/>
        </w:rPr>
        <w:t> </w:t>
      </w:r>
      <w:r>
        <w:rPr>
          <w:sz w:val="20"/>
        </w:rPr>
        <w:t>(P-2)</w:t>
      </w:r>
      <w:r>
        <w:rPr>
          <w:spacing w:val="28"/>
          <w:sz w:val="20"/>
        </w:rPr>
        <w:t> </w:t>
      </w:r>
      <w:r>
        <w:rPr>
          <w:sz w:val="20"/>
        </w:rPr>
        <w:t>(Uganda</w:t>
      </w:r>
      <w:r>
        <w:rPr>
          <w:spacing w:val="25"/>
          <w:sz w:val="20"/>
        </w:rPr>
        <w:t> </w:t>
      </w:r>
      <w:r>
        <w:rPr>
          <w:sz w:val="20"/>
        </w:rPr>
        <w:t>for the</w:t>
      </w:r>
      <w:r>
        <w:rPr>
          <w:spacing w:val="25"/>
          <w:sz w:val="20"/>
        </w:rPr>
        <w:t> </w:t>
      </w:r>
      <w:r>
        <w:rPr>
          <w:sz w:val="20"/>
        </w:rPr>
        <w:t>situation</w:t>
      </w:r>
      <w:r>
        <w:rPr>
          <w:spacing w:val="28"/>
          <w:sz w:val="20"/>
        </w:rPr>
        <w:t> </w:t>
      </w:r>
      <w:r>
        <w:rPr>
          <w:sz w:val="20"/>
        </w:rPr>
        <w:t>in</w:t>
      </w:r>
      <w:r>
        <w:rPr>
          <w:spacing w:val="28"/>
          <w:sz w:val="20"/>
        </w:rPr>
        <w:t> </w:t>
      </w:r>
      <w:r>
        <w:rPr>
          <w:sz w:val="20"/>
        </w:rPr>
        <w:t>Darfur, Sudan - VWS). Redeployed to Sudan.</w:t>
      </w:r>
    </w:p>
    <w:p>
      <w:pPr>
        <w:pStyle w:val="ListParagraph"/>
        <w:numPr>
          <w:ilvl w:val="0"/>
          <w:numId w:val="19"/>
        </w:numPr>
        <w:tabs>
          <w:tab w:pos="3686" w:val="left" w:leader="none"/>
          <w:tab w:pos="3687" w:val="left" w:leader="none"/>
        </w:tabs>
        <w:spacing w:line="235" w:lineRule="auto" w:before="4" w:after="0"/>
        <w:ind w:left="3687" w:right="2244" w:hanging="720"/>
        <w:jc w:val="left"/>
        <w:rPr>
          <w:sz w:val="20"/>
        </w:rPr>
      </w:pPr>
      <w:r>
        <w:rPr>
          <w:sz w:val="20"/>
        </w:rPr>
        <w:t>One Associate Welfare Officer (P-2) (Uganda for</w:t>
      </w:r>
      <w:r>
        <w:rPr>
          <w:spacing w:val="-1"/>
          <w:sz w:val="20"/>
        </w:rPr>
        <w:t> </w:t>
      </w:r>
      <w:r>
        <w:rPr>
          <w:sz w:val="20"/>
        </w:rPr>
        <w:t>the situation in Darfur, Sudan - VWS). Redeployed to Sudan.</w:t>
      </w:r>
    </w:p>
    <w:p>
      <w:pPr>
        <w:pStyle w:val="ListParagraph"/>
        <w:numPr>
          <w:ilvl w:val="0"/>
          <w:numId w:val="19"/>
        </w:numPr>
        <w:tabs>
          <w:tab w:pos="3686" w:val="left" w:leader="none"/>
          <w:tab w:pos="3687" w:val="left" w:leader="none"/>
        </w:tabs>
        <w:spacing w:line="240" w:lineRule="auto" w:before="2" w:after="0"/>
        <w:ind w:left="3687" w:right="0" w:hanging="720"/>
        <w:jc w:val="left"/>
        <w:rPr>
          <w:sz w:val="20"/>
        </w:rPr>
      </w:pPr>
      <w:r>
        <w:rPr>
          <w:sz w:val="20"/>
        </w:rPr>
        <w:t>One</w:t>
      </w:r>
      <w:r>
        <w:rPr>
          <w:spacing w:val="-6"/>
          <w:sz w:val="20"/>
        </w:rPr>
        <w:t> </w:t>
      </w:r>
      <w:r>
        <w:rPr>
          <w:sz w:val="20"/>
        </w:rPr>
        <w:t>Chief</w:t>
      </w:r>
      <w:r>
        <w:rPr>
          <w:spacing w:val="-5"/>
          <w:sz w:val="20"/>
        </w:rPr>
        <w:t> </w:t>
      </w:r>
      <w:r>
        <w:rPr>
          <w:sz w:val="20"/>
        </w:rPr>
        <w:t>of</w:t>
      </w:r>
      <w:r>
        <w:rPr>
          <w:spacing w:val="-3"/>
          <w:sz w:val="20"/>
        </w:rPr>
        <w:t> </w:t>
      </w:r>
      <w:r>
        <w:rPr>
          <w:sz w:val="20"/>
        </w:rPr>
        <w:t>Country</w:t>
      </w:r>
      <w:r>
        <w:rPr>
          <w:spacing w:val="-5"/>
          <w:sz w:val="20"/>
        </w:rPr>
        <w:t> </w:t>
      </w:r>
      <w:r>
        <w:rPr>
          <w:sz w:val="20"/>
        </w:rPr>
        <w:t>Office</w:t>
      </w:r>
      <w:r>
        <w:rPr>
          <w:spacing w:val="-3"/>
          <w:sz w:val="20"/>
        </w:rPr>
        <w:t> </w:t>
      </w:r>
      <w:r>
        <w:rPr>
          <w:sz w:val="20"/>
        </w:rPr>
        <w:t>(P-5)</w:t>
      </w:r>
      <w:r>
        <w:rPr>
          <w:spacing w:val="-5"/>
          <w:sz w:val="20"/>
        </w:rPr>
        <w:t> </w:t>
      </w:r>
      <w:r>
        <w:rPr>
          <w:sz w:val="20"/>
        </w:rPr>
        <w:t>(Côte</w:t>
      </w:r>
      <w:r>
        <w:rPr>
          <w:spacing w:val="-3"/>
          <w:sz w:val="20"/>
        </w:rPr>
        <w:t> </w:t>
      </w:r>
      <w:r>
        <w:rPr>
          <w:sz w:val="20"/>
        </w:rPr>
        <w:t>d’Ivoire).</w:t>
      </w:r>
      <w:r>
        <w:rPr>
          <w:spacing w:val="-7"/>
          <w:sz w:val="20"/>
        </w:rPr>
        <w:t> </w:t>
      </w:r>
      <w:r>
        <w:rPr>
          <w:sz w:val="20"/>
        </w:rPr>
        <w:t>Redeployed</w:t>
      </w:r>
      <w:r>
        <w:rPr>
          <w:spacing w:val="-10"/>
          <w:sz w:val="20"/>
        </w:rPr>
        <w:t> </w:t>
      </w:r>
      <w:r>
        <w:rPr>
          <w:sz w:val="20"/>
        </w:rPr>
        <w:t>to</w:t>
      </w:r>
      <w:r>
        <w:rPr>
          <w:spacing w:val="-4"/>
          <w:sz w:val="20"/>
        </w:rPr>
        <w:t> </w:t>
      </w:r>
      <w:r>
        <w:rPr>
          <w:spacing w:val="-2"/>
          <w:sz w:val="20"/>
        </w:rPr>
        <w:t>Mali.</w:t>
      </w:r>
    </w:p>
    <w:p>
      <w:pPr>
        <w:pStyle w:val="ListParagraph"/>
        <w:numPr>
          <w:ilvl w:val="0"/>
          <w:numId w:val="19"/>
        </w:numPr>
        <w:tabs>
          <w:tab w:pos="3686" w:val="left" w:leader="none"/>
          <w:tab w:pos="3687" w:val="left" w:leader="none"/>
        </w:tabs>
        <w:spacing w:line="240" w:lineRule="auto" w:before="1" w:after="0"/>
        <w:ind w:left="3687" w:right="2240" w:hanging="720"/>
        <w:jc w:val="left"/>
        <w:rPr>
          <w:sz w:val="20"/>
        </w:rPr>
      </w:pPr>
      <w:r>
        <w:rPr>
          <w:spacing w:val="-2"/>
          <w:sz w:val="20"/>
        </w:rPr>
        <w:t>One</w:t>
      </w:r>
      <w:r>
        <w:rPr>
          <w:spacing w:val="-3"/>
          <w:sz w:val="20"/>
        </w:rPr>
        <w:t> </w:t>
      </w:r>
      <w:r>
        <w:rPr>
          <w:spacing w:val="-2"/>
          <w:sz w:val="20"/>
        </w:rPr>
        <w:t>Associate</w:t>
      </w:r>
      <w:r>
        <w:rPr>
          <w:spacing w:val="-3"/>
          <w:sz w:val="20"/>
        </w:rPr>
        <w:t> </w:t>
      </w:r>
      <w:r>
        <w:rPr>
          <w:spacing w:val="-2"/>
          <w:sz w:val="20"/>
        </w:rPr>
        <w:t>Field</w:t>
      </w:r>
      <w:r>
        <w:rPr>
          <w:spacing w:val="-5"/>
          <w:sz w:val="20"/>
        </w:rPr>
        <w:t> </w:t>
      </w:r>
      <w:r>
        <w:rPr>
          <w:spacing w:val="-2"/>
          <w:sz w:val="20"/>
        </w:rPr>
        <w:t>Case</w:t>
      </w:r>
      <w:r>
        <w:rPr>
          <w:spacing w:val="-3"/>
          <w:sz w:val="20"/>
        </w:rPr>
        <w:t> </w:t>
      </w:r>
      <w:r>
        <w:rPr>
          <w:spacing w:val="-2"/>
          <w:sz w:val="20"/>
        </w:rPr>
        <w:t>Officer</w:t>
      </w:r>
      <w:r>
        <w:rPr>
          <w:spacing w:val="-9"/>
          <w:sz w:val="20"/>
        </w:rPr>
        <w:t> </w:t>
      </w:r>
      <w:r>
        <w:rPr>
          <w:spacing w:val="-2"/>
          <w:sz w:val="20"/>
        </w:rPr>
        <w:t>(P-2)</w:t>
      </w:r>
      <w:r>
        <w:rPr>
          <w:spacing w:val="-5"/>
          <w:sz w:val="20"/>
        </w:rPr>
        <w:t> </w:t>
      </w:r>
      <w:r>
        <w:rPr>
          <w:spacing w:val="-2"/>
          <w:sz w:val="20"/>
        </w:rPr>
        <w:t>(Côte</w:t>
      </w:r>
      <w:r>
        <w:rPr>
          <w:spacing w:val="-3"/>
          <w:sz w:val="20"/>
        </w:rPr>
        <w:t> </w:t>
      </w:r>
      <w:r>
        <w:rPr>
          <w:spacing w:val="-2"/>
          <w:sz w:val="20"/>
        </w:rPr>
        <w:t>d’Ivoire</w:t>
      </w:r>
      <w:r>
        <w:rPr>
          <w:spacing w:val="-7"/>
          <w:sz w:val="20"/>
        </w:rPr>
        <w:t> </w:t>
      </w:r>
      <w:r>
        <w:rPr>
          <w:spacing w:val="-2"/>
          <w:sz w:val="20"/>
        </w:rPr>
        <w:t>-</w:t>
      </w:r>
      <w:r>
        <w:rPr>
          <w:spacing w:val="-4"/>
          <w:sz w:val="20"/>
        </w:rPr>
        <w:t> </w:t>
      </w:r>
      <w:r>
        <w:rPr>
          <w:spacing w:val="-2"/>
          <w:sz w:val="20"/>
        </w:rPr>
        <w:t>VWS).</w:t>
      </w:r>
      <w:r>
        <w:rPr>
          <w:spacing w:val="-7"/>
          <w:sz w:val="20"/>
        </w:rPr>
        <w:t> </w:t>
      </w:r>
      <w:r>
        <w:rPr>
          <w:spacing w:val="-2"/>
          <w:sz w:val="20"/>
        </w:rPr>
        <w:t>Redeployed </w:t>
      </w:r>
      <w:r>
        <w:rPr>
          <w:sz w:val="20"/>
        </w:rPr>
        <w:t>to</w:t>
      </w:r>
      <w:r>
        <w:rPr>
          <w:spacing w:val="-5"/>
          <w:sz w:val="20"/>
        </w:rPr>
        <w:t> </w:t>
      </w:r>
      <w:r>
        <w:rPr>
          <w:sz w:val="20"/>
        </w:rPr>
        <w:t>Ukraine.</w:t>
      </w:r>
    </w:p>
    <w:p>
      <w:pPr>
        <w:pStyle w:val="BodyText"/>
        <w:spacing w:before="10"/>
      </w:pPr>
    </w:p>
    <w:p>
      <w:pPr>
        <w:spacing w:before="1"/>
        <w:ind w:left="2246" w:right="0" w:firstLine="0"/>
        <w:jc w:val="left"/>
        <w:rPr>
          <w:i/>
          <w:sz w:val="20"/>
        </w:rPr>
      </w:pPr>
      <w:r>
        <w:rPr>
          <w:i/>
          <w:sz w:val="20"/>
        </w:rPr>
        <w:t>Post</w:t>
      </w:r>
      <w:r>
        <w:rPr>
          <w:i/>
          <w:spacing w:val="-3"/>
          <w:sz w:val="20"/>
        </w:rPr>
        <w:t> </w:t>
      </w:r>
      <w:r>
        <w:rPr>
          <w:i/>
          <w:sz w:val="20"/>
        </w:rPr>
        <w:t>defunded</w:t>
      </w:r>
      <w:r>
        <w:rPr>
          <w:i/>
          <w:spacing w:val="-4"/>
          <w:sz w:val="20"/>
        </w:rPr>
        <w:t> </w:t>
      </w:r>
      <w:r>
        <w:rPr>
          <w:i/>
          <w:sz w:val="20"/>
        </w:rPr>
        <w:t>for</w:t>
      </w:r>
      <w:r>
        <w:rPr>
          <w:i/>
          <w:spacing w:val="-4"/>
          <w:sz w:val="20"/>
        </w:rPr>
        <w:t> </w:t>
      </w:r>
      <w:r>
        <w:rPr>
          <w:i/>
          <w:sz w:val="20"/>
        </w:rPr>
        <w:t>2022</w:t>
      </w:r>
      <w:r>
        <w:rPr>
          <w:i/>
          <w:spacing w:val="-4"/>
          <w:sz w:val="20"/>
        </w:rPr>
        <w:t> </w:t>
      </w:r>
      <w:r>
        <w:rPr>
          <w:i/>
          <w:sz w:val="20"/>
        </w:rPr>
        <w:t>to</w:t>
      </w:r>
      <w:r>
        <w:rPr>
          <w:i/>
          <w:spacing w:val="-4"/>
          <w:sz w:val="20"/>
        </w:rPr>
        <w:t> </w:t>
      </w:r>
      <w:r>
        <w:rPr>
          <w:i/>
          <w:sz w:val="20"/>
        </w:rPr>
        <w:t>be</w:t>
      </w:r>
      <w:r>
        <w:rPr>
          <w:i/>
          <w:spacing w:val="-7"/>
          <w:sz w:val="20"/>
        </w:rPr>
        <w:t> </w:t>
      </w:r>
      <w:r>
        <w:rPr>
          <w:i/>
          <w:sz w:val="20"/>
        </w:rPr>
        <w:t>funded</w:t>
      </w:r>
      <w:r>
        <w:rPr>
          <w:i/>
          <w:spacing w:val="-4"/>
          <w:sz w:val="20"/>
        </w:rPr>
        <w:t> </w:t>
      </w:r>
      <w:r>
        <w:rPr>
          <w:i/>
          <w:sz w:val="20"/>
        </w:rPr>
        <w:t>for </w:t>
      </w:r>
      <w:r>
        <w:rPr>
          <w:i/>
          <w:spacing w:val="-4"/>
          <w:sz w:val="20"/>
        </w:rPr>
        <w:t>2023</w:t>
      </w:r>
    </w:p>
    <w:p>
      <w:pPr>
        <w:pStyle w:val="BodyText"/>
        <w:spacing w:before="10"/>
        <w:rPr>
          <w:i/>
        </w:rPr>
      </w:pPr>
    </w:p>
    <w:p>
      <w:pPr>
        <w:pStyle w:val="ListParagraph"/>
        <w:numPr>
          <w:ilvl w:val="0"/>
          <w:numId w:val="4"/>
        </w:numPr>
        <w:tabs>
          <w:tab w:pos="2967" w:val="left" w:leader="none"/>
        </w:tabs>
        <w:spacing w:line="240" w:lineRule="auto" w:before="0" w:after="0"/>
        <w:ind w:left="2246" w:right="2240" w:firstLine="0"/>
        <w:jc w:val="both"/>
        <w:rPr>
          <w:sz w:val="20"/>
        </w:rPr>
      </w:pPr>
      <w:r>
        <w:rPr>
          <w:sz w:val="20"/>
        </w:rPr>
        <w:t>One Senior Welfare Assistant (GS-PL) (Headquarters - VWS). It is requested that this</w:t>
      </w:r>
      <w:r>
        <w:rPr>
          <w:spacing w:val="-13"/>
          <w:sz w:val="20"/>
        </w:rPr>
        <w:t> </w:t>
      </w:r>
      <w:r>
        <w:rPr>
          <w:sz w:val="20"/>
        </w:rPr>
        <w:t>post</w:t>
      </w:r>
      <w:r>
        <w:rPr>
          <w:spacing w:val="-12"/>
          <w:sz w:val="20"/>
        </w:rPr>
        <w:t> </w:t>
      </w:r>
      <w:r>
        <w:rPr>
          <w:sz w:val="20"/>
        </w:rPr>
        <w:t>be</w:t>
      </w:r>
      <w:r>
        <w:rPr>
          <w:spacing w:val="-13"/>
          <w:sz w:val="20"/>
        </w:rPr>
        <w:t> </w:t>
      </w:r>
      <w:r>
        <w:rPr>
          <w:sz w:val="20"/>
        </w:rPr>
        <w:t>funded</w:t>
      </w:r>
      <w:r>
        <w:rPr>
          <w:spacing w:val="-12"/>
          <w:sz w:val="20"/>
        </w:rPr>
        <w:t> </w:t>
      </w:r>
      <w:r>
        <w:rPr>
          <w:sz w:val="20"/>
        </w:rPr>
        <w:t>again</w:t>
      </w:r>
      <w:r>
        <w:rPr>
          <w:spacing w:val="-13"/>
          <w:sz w:val="20"/>
        </w:rPr>
        <w:t> </w:t>
      </w:r>
      <w:r>
        <w:rPr>
          <w:sz w:val="20"/>
        </w:rPr>
        <w:t>owing</w:t>
      </w:r>
      <w:r>
        <w:rPr>
          <w:spacing w:val="-12"/>
          <w:sz w:val="20"/>
        </w:rPr>
        <w:t> </w:t>
      </w:r>
      <w:r>
        <w:rPr>
          <w:sz w:val="20"/>
        </w:rPr>
        <w:t>to</w:t>
      </w:r>
      <w:r>
        <w:rPr>
          <w:spacing w:val="-13"/>
          <w:sz w:val="20"/>
        </w:rPr>
        <w:t> </w:t>
      </w:r>
      <w:r>
        <w:rPr>
          <w:sz w:val="20"/>
        </w:rPr>
        <w:t>the</w:t>
      </w:r>
      <w:r>
        <w:rPr>
          <w:spacing w:val="-12"/>
          <w:sz w:val="20"/>
        </w:rPr>
        <w:t> </w:t>
      </w:r>
      <w:r>
        <w:rPr>
          <w:sz w:val="20"/>
        </w:rPr>
        <w:t>need</w:t>
      </w:r>
      <w:r>
        <w:rPr>
          <w:spacing w:val="-13"/>
          <w:sz w:val="20"/>
        </w:rPr>
        <w:t> </w:t>
      </w:r>
      <w:r>
        <w:rPr>
          <w:sz w:val="20"/>
        </w:rPr>
        <w:t>to</w:t>
      </w:r>
      <w:r>
        <w:rPr>
          <w:spacing w:val="-8"/>
          <w:sz w:val="20"/>
        </w:rPr>
        <w:t> </w:t>
      </w:r>
      <w:r>
        <w:rPr>
          <w:sz w:val="20"/>
        </w:rPr>
        <w:t>build</w:t>
      </w:r>
      <w:r>
        <w:rPr>
          <w:spacing w:val="-12"/>
          <w:sz w:val="20"/>
        </w:rPr>
        <w:t> </w:t>
      </w:r>
      <w:r>
        <w:rPr>
          <w:sz w:val="20"/>
        </w:rPr>
        <w:t>the</w:t>
      </w:r>
      <w:r>
        <w:rPr>
          <w:spacing w:val="-13"/>
          <w:sz w:val="20"/>
        </w:rPr>
        <w:t> </w:t>
      </w:r>
      <w:r>
        <w:rPr>
          <w:sz w:val="20"/>
        </w:rPr>
        <w:t>capacity</w:t>
      </w:r>
      <w:r>
        <w:rPr>
          <w:spacing w:val="-7"/>
          <w:sz w:val="20"/>
        </w:rPr>
        <w:t> </w:t>
      </w:r>
      <w:r>
        <w:rPr>
          <w:sz w:val="20"/>
        </w:rPr>
        <w:t>of</w:t>
      </w:r>
      <w:r>
        <w:rPr>
          <w:spacing w:val="-7"/>
          <w:sz w:val="20"/>
        </w:rPr>
        <w:t> </w:t>
      </w:r>
      <w:r>
        <w:rPr>
          <w:sz w:val="20"/>
        </w:rPr>
        <w:t>VWS</w:t>
      </w:r>
      <w:r>
        <w:rPr>
          <w:spacing w:val="-13"/>
          <w:sz w:val="20"/>
        </w:rPr>
        <w:t> </w:t>
      </w:r>
      <w:r>
        <w:rPr>
          <w:sz w:val="20"/>
        </w:rPr>
        <w:t>to</w:t>
      </w:r>
      <w:r>
        <w:rPr>
          <w:spacing w:val="-12"/>
          <w:sz w:val="20"/>
        </w:rPr>
        <w:t> </w:t>
      </w:r>
      <w:r>
        <w:rPr>
          <w:sz w:val="20"/>
        </w:rPr>
        <w:t>be</w:t>
      </w:r>
      <w:r>
        <w:rPr>
          <w:spacing w:val="-10"/>
          <w:sz w:val="20"/>
        </w:rPr>
        <w:t> </w:t>
      </w:r>
      <w:r>
        <w:rPr>
          <w:sz w:val="20"/>
        </w:rPr>
        <w:t>able</w:t>
      </w:r>
      <w:r>
        <w:rPr>
          <w:spacing w:val="-11"/>
          <w:sz w:val="20"/>
        </w:rPr>
        <w:t> </w:t>
      </w:r>
      <w:r>
        <w:rPr>
          <w:sz w:val="20"/>
        </w:rPr>
        <w:t>to</w:t>
      </w:r>
      <w:r>
        <w:rPr>
          <w:spacing w:val="-12"/>
          <w:sz w:val="20"/>
        </w:rPr>
        <w:t> </w:t>
      </w:r>
      <w:r>
        <w:rPr>
          <w:sz w:val="20"/>
        </w:rPr>
        <w:t>provide the required services at an adequate level to witnesses appearing before the Court in four proceedings</w:t>
      </w:r>
      <w:r>
        <w:rPr>
          <w:spacing w:val="-11"/>
          <w:sz w:val="20"/>
        </w:rPr>
        <w:t> </w:t>
      </w:r>
      <w:r>
        <w:rPr>
          <w:sz w:val="20"/>
        </w:rPr>
        <w:t>in</w:t>
      </w:r>
      <w:r>
        <w:rPr>
          <w:spacing w:val="-9"/>
          <w:sz w:val="20"/>
        </w:rPr>
        <w:t> </w:t>
      </w:r>
      <w:r>
        <w:rPr>
          <w:sz w:val="20"/>
        </w:rPr>
        <w:t>2023,</w:t>
      </w:r>
      <w:r>
        <w:rPr>
          <w:spacing w:val="-7"/>
          <w:sz w:val="20"/>
        </w:rPr>
        <w:t> </w:t>
      </w:r>
      <w:r>
        <w:rPr>
          <w:sz w:val="20"/>
        </w:rPr>
        <w:t>i.e.</w:t>
      </w:r>
      <w:r>
        <w:rPr>
          <w:spacing w:val="-7"/>
          <w:sz w:val="20"/>
        </w:rPr>
        <w:t> </w:t>
      </w:r>
      <w:r>
        <w:rPr>
          <w:sz w:val="20"/>
        </w:rPr>
        <w:t>the</w:t>
      </w:r>
      <w:r>
        <w:rPr>
          <w:spacing w:val="-5"/>
          <w:sz w:val="20"/>
        </w:rPr>
        <w:t> </w:t>
      </w:r>
      <w:r>
        <w:rPr>
          <w:i/>
          <w:sz w:val="20"/>
        </w:rPr>
        <w:t>Yekatom</w:t>
      </w:r>
      <w:r>
        <w:rPr>
          <w:i/>
          <w:spacing w:val="-11"/>
          <w:sz w:val="20"/>
        </w:rPr>
        <w:t> </w:t>
      </w:r>
      <w:r>
        <w:rPr>
          <w:i/>
          <w:sz w:val="20"/>
        </w:rPr>
        <w:t>and</w:t>
      </w:r>
      <w:r>
        <w:rPr>
          <w:i/>
          <w:spacing w:val="-8"/>
          <w:sz w:val="20"/>
        </w:rPr>
        <w:t> </w:t>
      </w:r>
      <w:r>
        <w:rPr>
          <w:i/>
          <w:sz w:val="20"/>
        </w:rPr>
        <w:t>Ngaïssona</w:t>
      </w:r>
      <w:r>
        <w:rPr>
          <w:i/>
          <w:spacing w:val="-9"/>
          <w:sz w:val="20"/>
        </w:rPr>
        <w:t> </w:t>
      </w:r>
      <w:r>
        <w:rPr>
          <w:sz w:val="20"/>
        </w:rPr>
        <w:t>trial,</w:t>
      </w:r>
      <w:r>
        <w:rPr>
          <w:spacing w:val="-7"/>
          <w:sz w:val="20"/>
        </w:rPr>
        <w:t> </w:t>
      </w:r>
      <w:r>
        <w:rPr>
          <w:sz w:val="20"/>
        </w:rPr>
        <w:t>the</w:t>
      </w:r>
      <w:r>
        <w:rPr>
          <w:spacing w:val="-2"/>
          <w:sz w:val="20"/>
        </w:rPr>
        <w:t> </w:t>
      </w:r>
      <w:r>
        <w:rPr>
          <w:i/>
          <w:sz w:val="20"/>
        </w:rPr>
        <w:t>Said</w:t>
      </w:r>
      <w:r>
        <w:rPr>
          <w:i/>
          <w:spacing w:val="-9"/>
          <w:sz w:val="20"/>
        </w:rPr>
        <w:t> </w:t>
      </w:r>
      <w:r>
        <w:rPr>
          <w:sz w:val="20"/>
        </w:rPr>
        <w:t>trial,</w:t>
      </w:r>
      <w:r>
        <w:rPr>
          <w:spacing w:val="-7"/>
          <w:sz w:val="20"/>
        </w:rPr>
        <w:t> </w:t>
      </w:r>
      <w:r>
        <w:rPr>
          <w:sz w:val="20"/>
        </w:rPr>
        <w:t>the</w:t>
      </w:r>
      <w:r>
        <w:rPr>
          <w:spacing w:val="-6"/>
          <w:sz w:val="20"/>
        </w:rPr>
        <w:t> </w:t>
      </w:r>
      <w:r>
        <w:rPr>
          <w:i/>
          <w:sz w:val="20"/>
        </w:rPr>
        <w:t>Abd-Al-Rahman</w:t>
      </w:r>
      <w:r>
        <w:rPr>
          <w:i/>
          <w:sz w:val="20"/>
        </w:rPr>
        <w:t> </w:t>
      </w:r>
      <w:r>
        <w:rPr>
          <w:sz w:val="20"/>
        </w:rPr>
        <w:t>trial and the confirmation hearing in the </w:t>
      </w:r>
      <w:r>
        <w:rPr>
          <w:i/>
          <w:sz w:val="20"/>
        </w:rPr>
        <w:t>Mokom </w:t>
      </w:r>
      <w:r>
        <w:rPr>
          <w:sz w:val="20"/>
        </w:rPr>
        <w:t>case.</w:t>
      </w:r>
    </w:p>
    <w:p>
      <w:pPr>
        <w:pStyle w:val="BodyText"/>
        <w:spacing w:before="1"/>
        <w:rPr>
          <w:sz w:val="21"/>
        </w:rPr>
      </w:pPr>
    </w:p>
    <w:p>
      <w:pPr>
        <w:spacing w:before="0"/>
        <w:ind w:left="2246" w:right="0" w:firstLine="0"/>
        <w:jc w:val="both"/>
        <w:rPr>
          <w:i/>
          <w:sz w:val="20"/>
        </w:rPr>
      </w:pPr>
      <w:r>
        <w:rPr>
          <w:i/>
          <w:sz w:val="20"/>
        </w:rPr>
        <w:t>Post</w:t>
      </w:r>
      <w:r>
        <w:rPr>
          <w:i/>
          <w:spacing w:val="-4"/>
          <w:sz w:val="20"/>
        </w:rPr>
        <w:t> </w:t>
      </w:r>
      <w:r>
        <w:rPr>
          <w:i/>
          <w:sz w:val="20"/>
        </w:rPr>
        <w:t>to</w:t>
      </w:r>
      <w:r>
        <w:rPr>
          <w:i/>
          <w:spacing w:val="-6"/>
          <w:sz w:val="20"/>
        </w:rPr>
        <w:t> </w:t>
      </w:r>
      <w:r>
        <w:rPr>
          <w:i/>
          <w:sz w:val="20"/>
        </w:rPr>
        <w:t>be</w:t>
      </w:r>
      <w:r>
        <w:rPr>
          <w:i/>
          <w:spacing w:val="-3"/>
          <w:sz w:val="20"/>
        </w:rPr>
        <w:t> </w:t>
      </w:r>
      <w:r>
        <w:rPr>
          <w:i/>
          <w:sz w:val="20"/>
        </w:rPr>
        <w:t>repurposed</w:t>
      </w:r>
      <w:r>
        <w:rPr>
          <w:i/>
          <w:spacing w:val="-6"/>
          <w:sz w:val="20"/>
        </w:rPr>
        <w:t> </w:t>
      </w:r>
      <w:r>
        <w:rPr>
          <w:i/>
          <w:sz w:val="20"/>
        </w:rPr>
        <w:t>for</w:t>
      </w:r>
      <w:r>
        <w:rPr>
          <w:i/>
          <w:spacing w:val="-6"/>
          <w:sz w:val="20"/>
        </w:rPr>
        <w:t> </w:t>
      </w:r>
      <w:r>
        <w:rPr>
          <w:i/>
          <w:sz w:val="20"/>
        </w:rPr>
        <w:t>2023</w:t>
      </w:r>
      <w:r>
        <w:rPr>
          <w:i/>
          <w:spacing w:val="-6"/>
          <w:sz w:val="20"/>
        </w:rPr>
        <w:t> </w:t>
      </w:r>
      <w:r>
        <w:rPr>
          <w:i/>
          <w:sz w:val="20"/>
        </w:rPr>
        <w:t>within</w:t>
      </w:r>
      <w:r>
        <w:rPr>
          <w:i/>
          <w:spacing w:val="-5"/>
          <w:sz w:val="20"/>
        </w:rPr>
        <w:t> </w:t>
      </w:r>
      <w:r>
        <w:rPr>
          <w:i/>
          <w:sz w:val="20"/>
        </w:rPr>
        <w:t>the</w:t>
      </w:r>
      <w:r>
        <w:rPr>
          <w:i/>
          <w:spacing w:val="1"/>
          <w:sz w:val="20"/>
        </w:rPr>
        <w:t> </w:t>
      </w:r>
      <w:r>
        <w:rPr>
          <w:i/>
          <w:sz w:val="20"/>
        </w:rPr>
        <w:t>same</w:t>
      </w:r>
      <w:r>
        <w:rPr>
          <w:i/>
          <w:spacing w:val="-3"/>
          <w:sz w:val="20"/>
        </w:rPr>
        <w:t> </w:t>
      </w:r>
      <w:r>
        <w:rPr>
          <w:i/>
          <w:spacing w:val="-2"/>
          <w:sz w:val="20"/>
        </w:rPr>
        <w:t>section</w:t>
      </w:r>
    </w:p>
    <w:p>
      <w:pPr>
        <w:pStyle w:val="BodyText"/>
        <w:spacing w:before="11"/>
        <w:rPr>
          <w:i/>
        </w:rPr>
      </w:pPr>
    </w:p>
    <w:p>
      <w:pPr>
        <w:pStyle w:val="ListParagraph"/>
        <w:numPr>
          <w:ilvl w:val="0"/>
          <w:numId w:val="4"/>
        </w:numPr>
        <w:tabs>
          <w:tab w:pos="2967" w:val="left" w:leader="none"/>
        </w:tabs>
        <w:spacing w:line="240" w:lineRule="auto" w:before="0" w:after="0"/>
        <w:ind w:left="2246" w:right="2240" w:firstLine="0"/>
        <w:jc w:val="both"/>
        <w:rPr>
          <w:sz w:val="20"/>
        </w:rPr>
      </w:pPr>
      <w:r>
        <w:rPr>
          <w:sz w:val="20"/>
        </w:rPr>
        <w:t>One Situation Desk Assistant (GS-OL)</w:t>
      </w:r>
      <w:r>
        <w:rPr>
          <w:spacing w:val="-2"/>
          <w:sz w:val="20"/>
        </w:rPr>
        <w:t> </w:t>
      </w:r>
      <w:r>
        <w:rPr>
          <w:sz w:val="20"/>
        </w:rPr>
        <w:t>(Headquarters -</w:t>
      </w:r>
      <w:r>
        <w:rPr>
          <w:spacing w:val="-2"/>
          <w:sz w:val="20"/>
        </w:rPr>
        <w:t> </w:t>
      </w:r>
      <w:r>
        <w:rPr>
          <w:sz w:val="20"/>
        </w:rPr>
        <w:t>EOSS). It is requested</w:t>
      </w:r>
      <w:r>
        <w:rPr>
          <w:spacing w:val="-2"/>
          <w:sz w:val="20"/>
        </w:rPr>
        <w:t> </w:t>
      </w:r>
      <w:r>
        <w:rPr>
          <w:sz w:val="20"/>
        </w:rPr>
        <w:t>that this</w:t>
      </w:r>
      <w:r>
        <w:rPr>
          <w:spacing w:val="-6"/>
          <w:sz w:val="20"/>
        </w:rPr>
        <w:t> </w:t>
      </w:r>
      <w:r>
        <w:rPr>
          <w:sz w:val="20"/>
        </w:rPr>
        <w:t>post</w:t>
      </w:r>
      <w:r>
        <w:rPr>
          <w:spacing w:val="-3"/>
          <w:sz w:val="20"/>
        </w:rPr>
        <w:t> </w:t>
      </w:r>
      <w:r>
        <w:rPr>
          <w:sz w:val="20"/>
        </w:rPr>
        <w:t>be</w:t>
      </w:r>
      <w:r>
        <w:rPr>
          <w:spacing w:val="-2"/>
          <w:sz w:val="20"/>
        </w:rPr>
        <w:t> </w:t>
      </w:r>
      <w:r>
        <w:rPr>
          <w:sz w:val="20"/>
        </w:rPr>
        <w:t>repurposed</w:t>
      </w:r>
      <w:r>
        <w:rPr>
          <w:spacing w:val="-5"/>
          <w:sz w:val="20"/>
        </w:rPr>
        <w:t> </w:t>
      </w:r>
      <w:r>
        <w:rPr>
          <w:sz w:val="20"/>
        </w:rPr>
        <w:t>as</w:t>
      </w:r>
      <w:r>
        <w:rPr>
          <w:spacing w:val="-6"/>
          <w:sz w:val="20"/>
        </w:rPr>
        <w:t> </w:t>
      </w:r>
      <w:r>
        <w:rPr>
          <w:sz w:val="20"/>
        </w:rPr>
        <w:t>one</w:t>
      </w:r>
      <w:r>
        <w:rPr>
          <w:spacing w:val="-3"/>
          <w:sz w:val="20"/>
        </w:rPr>
        <w:t> </w:t>
      </w:r>
      <w:r>
        <w:rPr>
          <w:sz w:val="20"/>
        </w:rPr>
        <w:t>Analyst</w:t>
      </w:r>
      <w:r>
        <w:rPr>
          <w:spacing w:val="-3"/>
          <w:sz w:val="20"/>
        </w:rPr>
        <w:t> </w:t>
      </w:r>
      <w:r>
        <w:rPr>
          <w:sz w:val="20"/>
        </w:rPr>
        <w:t>Assistant</w:t>
      </w:r>
      <w:r>
        <w:rPr>
          <w:spacing w:val="-3"/>
          <w:sz w:val="20"/>
        </w:rPr>
        <w:t> </w:t>
      </w:r>
      <w:r>
        <w:rPr>
          <w:sz w:val="20"/>
        </w:rPr>
        <w:t>(GS-OL)</w:t>
      </w:r>
      <w:r>
        <w:rPr>
          <w:spacing w:val="-5"/>
          <w:sz w:val="20"/>
        </w:rPr>
        <w:t> </w:t>
      </w:r>
      <w:r>
        <w:rPr>
          <w:sz w:val="20"/>
        </w:rPr>
        <w:t>(Headquarters</w:t>
      </w:r>
      <w:r>
        <w:rPr>
          <w:spacing w:val="-4"/>
          <w:sz w:val="20"/>
        </w:rPr>
        <w:t> </w:t>
      </w:r>
      <w:r>
        <w:rPr>
          <w:sz w:val="20"/>
        </w:rPr>
        <w:t>-</w:t>
      </w:r>
      <w:r>
        <w:rPr>
          <w:spacing w:val="-4"/>
          <w:sz w:val="20"/>
        </w:rPr>
        <w:t> </w:t>
      </w:r>
      <w:r>
        <w:rPr>
          <w:sz w:val="20"/>
        </w:rPr>
        <w:t>EOSS).</w:t>
      </w:r>
      <w:r>
        <w:rPr>
          <w:spacing w:val="-2"/>
          <w:sz w:val="20"/>
        </w:rPr>
        <w:t> </w:t>
      </w:r>
      <w:r>
        <w:rPr>
          <w:sz w:val="20"/>
        </w:rPr>
        <w:t>Owing</w:t>
      </w:r>
      <w:r>
        <w:rPr>
          <w:spacing w:val="-5"/>
          <w:sz w:val="20"/>
        </w:rPr>
        <w:t> </w:t>
      </w:r>
      <w:r>
        <w:rPr>
          <w:sz w:val="20"/>
        </w:rPr>
        <w:t>to internally adapted operational efficiencies and the prolonged absence of the need to fill this post, it is requested that it be repurposed as the post of Analyst Assistant in the Country Analysis Unit within the same section, i.e. EOSS, with no request for additional resources. The present request aims to build the Registry’s capacity in the activities pertaining to the execution of outstanding warrants of arrest and the surrender/transfer of suspects at large. The Analyst Assistant will provide crucial support in the monitoring, collection and evaluation of information as well as in the development and implementation of arrest </w:t>
      </w:r>
      <w:r>
        <w:rPr>
          <w:spacing w:val="-2"/>
          <w:sz w:val="20"/>
        </w:rPr>
        <w:t>strategies.</w:t>
      </w:r>
    </w:p>
    <w:p>
      <w:pPr>
        <w:pStyle w:val="BodyText"/>
        <w:spacing w:before="10"/>
      </w:pPr>
    </w:p>
    <w:p>
      <w:pPr>
        <w:spacing w:before="0"/>
        <w:ind w:left="2246" w:right="0" w:firstLine="0"/>
        <w:jc w:val="both"/>
        <w:rPr>
          <w:i/>
          <w:sz w:val="20"/>
        </w:rPr>
      </w:pPr>
      <w:r>
        <w:rPr>
          <w:i/>
          <w:sz w:val="20"/>
        </w:rPr>
        <w:t>New</w:t>
      </w:r>
      <w:r>
        <w:rPr>
          <w:i/>
          <w:spacing w:val="-8"/>
          <w:sz w:val="20"/>
        </w:rPr>
        <w:t> </w:t>
      </w:r>
      <w:r>
        <w:rPr>
          <w:i/>
          <w:sz w:val="20"/>
        </w:rPr>
        <w:t>Posts</w:t>
      </w:r>
      <w:r>
        <w:rPr>
          <w:i/>
          <w:spacing w:val="-5"/>
          <w:sz w:val="20"/>
        </w:rPr>
        <w:t> </w:t>
      </w:r>
      <w:r>
        <w:rPr>
          <w:i/>
          <w:sz w:val="20"/>
        </w:rPr>
        <w:t>requested</w:t>
      </w:r>
      <w:r>
        <w:rPr>
          <w:i/>
          <w:spacing w:val="-5"/>
          <w:sz w:val="20"/>
        </w:rPr>
        <w:t> </w:t>
      </w:r>
      <w:r>
        <w:rPr>
          <w:i/>
          <w:sz w:val="20"/>
        </w:rPr>
        <w:t>for</w:t>
      </w:r>
      <w:r>
        <w:rPr>
          <w:i/>
          <w:spacing w:val="-5"/>
          <w:sz w:val="20"/>
        </w:rPr>
        <w:t> </w:t>
      </w:r>
      <w:r>
        <w:rPr>
          <w:i/>
          <w:spacing w:val="-4"/>
          <w:sz w:val="20"/>
        </w:rPr>
        <w:t>2023</w:t>
      </w:r>
    </w:p>
    <w:p>
      <w:pPr>
        <w:pStyle w:val="BodyText"/>
        <w:spacing w:before="10"/>
        <w:rPr>
          <w:i/>
        </w:rPr>
      </w:pPr>
    </w:p>
    <w:p>
      <w:pPr>
        <w:pStyle w:val="ListParagraph"/>
        <w:numPr>
          <w:ilvl w:val="0"/>
          <w:numId w:val="4"/>
        </w:numPr>
        <w:tabs>
          <w:tab w:pos="2967" w:val="left" w:leader="none"/>
        </w:tabs>
        <w:spacing w:line="240" w:lineRule="auto" w:before="0" w:after="0"/>
        <w:ind w:left="2246" w:right="2240" w:firstLine="0"/>
        <w:jc w:val="both"/>
        <w:rPr>
          <w:sz w:val="20"/>
        </w:rPr>
      </w:pPr>
      <w:r>
        <w:rPr>
          <w:sz w:val="20"/>
        </w:rPr>
        <w:t>One </w:t>
      </w:r>
      <w:r>
        <w:rPr>
          <w:i/>
          <w:sz w:val="20"/>
        </w:rPr>
        <w:t>Associate Administrative Officer (P-2) </w:t>
      </w:r>
      <w:r>
        <w:rPr>
          <w:sz w:val="20"/>
        </w:rPr>
        <w:t>(Headquarters - OD-DEO). Since the creation of DEO, it has opened, scaled up</w:t>
      </w:r>
      <w:r>
        <w:rPr>
          <w:spacing w:val="-3"/>
          <w:sz w:val="20"/>
        </w:rPr>
        <w:t> </w:t>
      </w:r>
      <w:r>
        <w:rPr>
          <w:sz w:val="20"/>
        </w:rPr>
        <w:t>and</w:t>
      </w:r>
      <w:r>
        <w:rPr>
          <w:spacing w:val="-3"/>
          <w:sz w:val="20"/>
        </w:rPr>
        <w:t> </w:t>
      </w:r>
      <w:r>
        <w:rPr>
          <w:sz w:val="20"/>
        </w:rPr>
        <w:t>down</w:t>
      </w:r>
      <w:r>
        <w:rPr>
          <w:spacing w:val="-3"/>
          <w:sz w:val="20"/>
        </w:rPr>
        <w:t> </w:t>
      </w:r>
      <w:r>
        <w:rPr>
          <w:sz w:val="20"/>
        </w:rPr>
        <w:t>and closed a</w:t>
      </w:r>
      <w:r>
        <w:rPr>
          <w:spacing w:val="-1"/>
          <w:sz w:val="20"/>
        </w:rPr>
        <w:t> </w:t>
      </w:r>
      <w:r>
        <w:rPr>
          <w:sz w:val="20"/>
        </w:rPr>
        <w:t>number of</w:t>
      </w:r>
      <w:r>
        <w:rPr>
          <w:spacing w:val="-3"/>
          <w:sz w:val="20"/>
        </w:rPr>
        <w:t> </w:t>
      </w:r>
      <w:r>
        <w:rPr>
          <w:sz w:val="20"/>
        </w:rPr>
        <w:t>country</w:t>
      </w:r>
      <w:r>
        <w:rPr>
          <w:spacing w:val="-3"/>
          <w:sz w:val="20"/>
        </w:rPr>
        <w:t> </w:t>
      </w:r>
      <w:r>
        <w:rPr>
          <w:sz w:val="20"/>
        </w:rPr>
        <w:t>offices as well as provided support to Court activities in the situation countries where there is no Registry presence. These</w:t>
      </w:r>
      <w:r>
        <w:rPr>
          <w:spacing w:val="-3"/>
          <w:sz w:val="20"/>
        </w:rPr>
        <w:t> </w:t>
      </w:r>
      <w:r>
        <w:rPr>
          <w:sz w:val="20"/>
        </w:rPr>
        <w:t>efforts</w:t>
      </w:r>
      <w:r>
        <w:rPr>
          <w:spacing w:val="-1"/>
          <w:sz w:val="20"/>
        </w:rPr>
        <w:t> </w:t>
      </w:r>
      <w:r>
        <w:rPr>
          <w:sz w:val="20"/>
        </w:rPr>
        <w:t>are led by OD-DEO. This</w:t>
      </w:r>
      <w:r>
        <w:rPr>
          <w:spacing w:val="-1"/>
          <w:sz w:val="20"/>
        </w:rPr>
        <w:t> </w:t>
      </w:r>
      <w:r>
        <w:rPr>
          <w:sz w:val="20"/>
        </w:rPr>
        <w:t>post will act</w:t>
      </w:r>
      <w:r>
        <w:rPr>
          <w:spacing w:val="-3"/>
          <w:sz w:val="20"/>
        </w:rPr>
        <w:t> </w:t>
      </w:r>
      <w:r>
        <w:rPr>
          <w:sz w:val="20"/>
        </w:rPr>
        <w:t>as</w:t>
      </w:r>
      <w:r>
        <w:rPr>
          <w:spacing w:val="-1"/>
          <w:sz w:val="20"/>
        </w:rPr>
        <w:t> </w:t>
      </w:r>
      <w:r>
        <w:rPr>
          <w:sz w:val="20"/>
        </w:rPr>
        <w:t>the focal point</w:t>
      </w:r>
      <w:r>
        <w:rPr>
          <w:spacing w:val="-3"/>
          <w:sz w:val="20"/>
        </w:rPr>
        <w:t> </w:t>
      </w:r>
      <w:r>
        <w:rPr>
          <w:sz w:val="20"/>
        </w:rPr>
        <w:t>at Headquarters for the country offices to coordinate services required by the latter to be provided</w:t>
      </w:r>
      <w:r>
        <w:rPr>
          <w:spacing w:val="-7"/>
          <w:sz w:val="20"/>
        </w:rPr>
        <w:t> </w:t>
      </w:r>
      <w:r>
        <w:rPr>
          <w:sz w:val="20"/>
        </w:rPr>
        <w:t>by</w:t>
      </w:r>
      <w:r>
        <w:rPr>
          <w:spacing w:val="-7"/>
          <w:sz w:val="20"/>
        </w:rPr>
        <w:t> </w:t>
      </w:r>
      <w:r>
        <w:rPr>
          <w:sz w:val="20"/>
        </w:rPr>
        <w:t>the</w:t>
      </w:r>
      <w:r>
        <w:rPr>
          <w:spacing w:val="-6"/>
          <w:sz w:val="20"/>
        </w:rPr>
        <w:t> </w:t>
      </w:r>
      <w:r>
        <w:rPr>
          <w:sz w:val="20"/>
        </w:rPr>
        <w:t>Registry.</w:t>
      </w:r>
      <w:r>
        <w:rPr>
          <w:spacing w:val="-5"/>
          <w:sz w:val="20"/>
        </w:rPr>
        <w:t> </w:t>
      </w:r>
      <w:r>
        <w:rPr>
          <w:sz w:val="20"/>
        </w:rPr>
        <w:t>Such</w:t>
      </w:r>
      <w:r>
        <w:rPr>
          <w:spacing w:val="-7"/>
          <w:sz w:val="20"/>
        </w:rPr>
        <w:t> </w:t>
      </w:r>
      <w:r>
        <w:rPr>
          <w:sz w:val="20"/>
        </w:rPr>
        <w:t>a</w:t>
      </w:r>
      <w:r>
        <w:rPr>
          <w:spacing w:val="-6"/>
          <w:sz w:val="20"/>
        </w:rPr>
        <w:t> </w:t>
      </w:r>
      <w:r>
        <w:rPr>
          <w:sz w:val="20"/>
        </w:rPr>
        <w:t>post</w:t>
      </w:r>
      <w:r>
        <w:rPr>
          <w:spacing w:val="-6"/>
          <w:sz w:val="20"/>
        </w:rPr>
        <w:t> </w:t>
      </w:r>
      <w:r>
        <w:rPr>
          <w:sz w:val="20"/>
        </w:rPr>
        <w:t>will</w:t>
      </w:r>
      <w:r>
        <w:rPr>
          <w:spacing w:val="-6"/>
          <w:sz w:val="20"/>
        </w:rPr>
        <w:t> </w:t>
      </w:r>
      <w:r>
        <w:rPr>
          <w:sz w:val="20"/>
        </w:rPr>
        <w:t>also</w:t>
      </w:r>
      <w:r>
        <w:rPr>
          <w:spacing w:val="-7"/>
          <w:sz w:val="20"/>
        </w:rPr>
        <w:t> </w:t>
      </w:r>
      <w:r>
        <w:rPr>
          <w:sz w:val="20"/>
        </w:rPr>
        <w:t>play</w:t>
      </w:r>
      <w:r>
        <w:rPr>
          <w:spacing w:val="-7"/>
          <w:sz w:val="20"/>
        </w:rPr>
        <w:t> </w:t>
      </w:r>
      <w:r>
        <w:rPr>
          <w:sz w:val="20"/>
        </w:rPr>
        <w:t>an</w:t>
      </w:r>
      <w:r>
        <w:rPr>
          <w:spacing w:val="-7"/>
          <w:sz w:val="20"/>
        </w:rPr>
        <w:t> </w:t>
      </w:r>
      <w:r>
        <w:rPr>
          <w:sz w:val="20"/>
        </w:rPr>
        <w:t>important</w:t>
      </w:r>
      <w:r>
        <w:rPr>
          <w:spacing w:val="-6"/>
          <w:sz w:val="20"/>
        </w:rPr>
        <w:t> </w:t>
      </w:r>
      <w:r>
        <w:rPr>
          <w:sz w:val="20"/>
        </w:rPr>
        <w:t>role</w:t>
      </w:r>
      <w:r>
        <w:rPr>
          <w:spacing w:val="-6"/>
          <w:sz w:val="20"/>
        </w:rPr>
        <w:t> </w:t>
      </w:r>
      <w:r>
        <w:rPr>
          <w:sz w:val="20"/>
        </w:rPr>
        <w:t>in</w:t>
      </w:r>
      <w:r>
        <w:rPr>
          <w:spacing w:val="-7"/>
          <w:sz w:val="20"/>
        </w:rPr>
        <w:t> </w:t>
      </w:r>
      <w:r>
        <w:rPr>
          <w:sz w:val="20"/>
        </w:rPr>
        <w:t>ensuring</w:t>
      </w:r>
      <w:r>
        <w:rPr>
          <w:spacing w:val="-7"/>
          <w:sz w:val="20"/>
        </w:rPr>
        <w:t> </w:t>
      </w:r>
      <w:r>
        <w:rPr>
          <w:sz w:val="20"/>
        </w:rPr>
        <w:t>the</w:t>
      </w:r>
      <w:r>
        <w:rPr>
          <w:spacing w:val="-6"/>
          <w:sz w:val="20"/>
        </w:rPr>
        <w:t> </w:t>
      </w:r>
      <w:r>
        <w:rPr>
          <w:sz w:val="20"/>
        </w:rPr>
        <w:t>smooth opening and closing of country offices through seamless collaboration between the country offices and Registry service sections at Headquarters. In the light of the intensified investigative activities conducted by the OTP in the newly emerging situations where the Registry</w:t>
      </w:r>
      <w:r>
        <w:rPr>
          <w:spacing w:val="-4"/>
          <w:sz w:val="20"/>
        </w:rPr>
        <w:t> </w:t>
      </w:r>
      <w:r>
        <w:rPr>
          <w:sz w:val="20"/>
        </w:rPr>
        <w:t>has</w:t>
      </w:r>
      <w:r>
        <w:rPr>
          <w:spacing w:val="-5"/>
          <w:sz w:val="20"/>
        </w:rPr>
        <w:t> </w:t>
      </w:r>
      <w:r>
        <w:rPr>
          <w:sz w:val="20"/>
        </w:rPr>
        <w:t>no</w:t>
      </w:r>
      <w:r>
        <w:rPr>
          <w:spacing w:val="-4"/>
          <w:sz w:val="20"/>
        </w:rPr>
        <w:t> </w:t>
      </w:r>
      <w:r>
        <w:rPr>
          <w:sz w:val="20"/>
        </w:rPr>
        <w:t>field</w:t>
      </w:r>
      <w:r>
        <w:rPr>
          <w:spacing w:val="-4"/>
          <w:sz w:val="20"/>
        </w:rPr>
        <w:t> </w:t>
      </w:r>
      <w:r>
        <w:rPr>
          <w:sz w:val="20"/>
        </w:rPr>
        <w:t>presence,</w:t>
      </w:r>
      <w:r>
        <w:rPr>
          <w:spacing w:val="-1"/>
          <w:sz w:val="20"/>
        </w:rPr>
        <w:t> </w:t>
      </w:r>
      <w:r>
        <w:rPr>
          <w:sz w:val="20"/>
        </w:rPr>
        <w:t>this</w:t>
      </w:r>
      <w:r>
        <w:rPr>
          <w:spacing w:val="-5"/>
          <w:sz w:val="20"/>
        </w:rPr>
        <w:t> </w:t>
      </w:r>
      <w:r>
        <w:rPr>
          <w:sz w:val="20"/>
        </w:rPr>
        <w:t>post</w:t>
      </w:r>
      <w:r>
        <w:rPr>
          <w:spacing w:val="-7"/>
          <w:sz w:val="20"/>
        </w:rPr>
        <w:t> </w:t>
      </w:r>
      <w:r>
        <w:rPr>
          <w:sz w:val="20"/>
        </w:rPr>
        <w:t>is</w:t>
      </w:r>
      <w:r>
        <w:rPr>
          <w:spacing w:val="-5"/>
          <w:sz w:val="20"/>
        </w:rPr>
        <w:t> </w:t>
      </w:r>
      <w:r>
        <w:rPr>
          <w:sz w:val="20"/>
        </w:rPr>
        <w:t>considered</w:t>
      </w:r>
      <w:r>
        <w:rPr>
          <w:spacing w:val="-8"/>
          <w:sz w:val="20"/>
        </w:rPr>
        <w:t> </w:t>
      </w:r>
      <w:r>
        <w:rPr>
          <w:sz w:val="20"/>
        </w:rPr>
        <w:t>essential</w:t>
      </w:r>
      <w:r>
        <w:rPr>
          <w:spacing w:val="-7"/>
          <w:sz w:val="20"/>
        </w:rPr>
        <w:t> </w:t>
      </w:r>
      <w:r>
        <w:rPr>
          <w:sz w:val="20"/>
        </w:rPr>
        <w:t>and</w:t>
      </w:r>
      <w:r>
        <w:rPr>
          <w:spacing w:val="-4"/>
          <w:sz w:val="20"/>
        </w:rPr>
        <w:t> </w:t>
      </w:r>
      <w:r>
        <w:rPr>
          <w:sz w:val="20"/>
        </w:rPr>
        <w:t>required</w:t>
      </w:r>
      <w:r>
        <w:rPr>
          <w:spacing w:val="-8"/>
          <w:sz w:val="20"/>
        </w:rPr>
        <w:t> </w:t>
      </w:r>
      <w:r>
        <w:rPr>
          <w:sz w:val="20"/>
        </w:rPr>
        <w:t>to</w:t>
      </w:r>
      <w:r>
        <w:rPr>
          <w:spacing w:val="-8"/>
          <w:sz w:val="20"/>
        </w:rPr>
        <w:t> </w:t>
      </w:r>
      <w:r>
        <w:rPr>
          <w:sz w:val="20"/>
        </w:rPr>
        <w:t>assist</w:t>
      </w:r>
      <w:r>
        <w:rPr>
          <w:spacing w:val="-2"/>
          <w:sz w:val="20"/>
        </w:rPr>
        <w:t> </w:t>
      </w:r>
      <w:r>
        <w:rPr>
          <w:sz w:val="20"/>
        </w:rPr>
        <w:t>the</w:t>
      </w:r>
      <w:r>
        <w:rPr>
          <w:spacing w:val="-7"/>
          <w:sz w:val="20"/>
        </w:rPr>
        <w:t> </w:t>
      </w:r>
      <w:r>
        <w:rPr>
          <w:sz w:val="20"/>
        </w:rPr>
        <w:t>two External Affairs Coordinators in leading coordination for support to the activities in these situation countries. Over the years, OD-DEO has</w:t>
      </w:r>
      <w:r>
        <w:rPr>
          <w:spacing w:val="-1"/>
          <w:sz w:val="20"/>
        </w:rPr>
        <w:t> </w:t>
      </w:r>
      <w:r>
        <w:rPr>
          <w:sz w:val="20"/>
        </w:rPr>
        <w:t>developed</w:t>
      </w:r>
      <w:r>
        <w:rPr>
          <w:spacing w:val="-4"/>
          <w:sz w:val="20"/>
        </w:rPr>
        <w:t> </w:t>
      </w:r>
      <w:r>
        <w:rPr>
          <w:sz w:val="20"/>
        </w:rPr>
        <w:t>a framework for the Registry’s field engagement, which requires extensive analysis of the need to support the Court’s operations on the ground and how to provide the required support most efficiently and effectively.</w:t>
      </w:r>
      <w:r>
        <w:rPr>
          <w:spacing w:val="-13"/>
          <w:sz w:val="20"/>
        </w:rPr>
        <w:t> </w:t>
      </w:r>
      <w:r>
        <w:rPr>
          <w:sz w:val="20"/>
        </w:rPr>
        <w:t>This</w:t>
      </w:r>
      <w:r>
        <w:rPr>
          <w:spacing w:val="-11"/>
          <w:sz w:val="20"/>
        </w:rPr>
        <w:t> </w:t>
      </w:r>
      <w:r>
        <w:rPr>
          <w:sz w:val="20"/>
        </w:rPr>
        <w:t>position</w:t>
      </w:r>
      <w:r>
        <w:rPr>
          <w:spacing w:val="-9"/>
          <w:sz w:val="20"/>
        </w:rPr>
        <w:t> </w:t>
      </w:r>
      <w:r>
        <w:rPr>
          <w:sz w:val="20"/>
        </w:rPr>
        <w:t>will</w:t>
      </w:r>
      <w:r>
        <w:rPr>
          <w:spacing w:val="-13"/>
          <w:sz w:val="20"/>
        </w:rPr>
        <w:t> </w:t>
      </w:r>
      <w:r>
        <w:rPr>
          <w:sz w:val="20"/>
        </w:rPr>
        <w:t>also</w:t>
      </w:r>
      <w:r>
        <w:rPr>
          <w:spacing w:val="-12"/>
          <w:sz w:val="20"/>
        </w:rPr>
        <w:t> </w:t>
      </w:r>
      <w:r>
        <w:rPr>
          <w:sz w:val="20"/>
        </w:rPr>
        <w:t>enhance</w:t>
      </w:r>
      <w:r>
        <w:rPr>
          <w:spacing w:val="-8"/>
          <w:sz w:val="20"/>
        </w:rPr>
        <w:t> </w:t>
      </w:r>
      <w:r>
        <w:rPr>
          <w:sz w:val="20"/>
        </w:rPr>
        <w:t>OD-DEO’s</w:t>
      </w:r>
      <w:r>
        <w:rPr>
          <w:spacing w:val="-11"/>
          <w:sz w:val="20"/>
        </w:rPr>
        <w:t> </w:t>
      </w:r>
      <w:r>
        <w:rPr>
          <w:sz w:val="20"/>
        </w:rPr>
        <w:t>capacity</w:t>
      </w:r>
      <w:r>
        <w:rPr>
          <w:spacing w:val="-9"/>
          <w:sz w:val="20"/>
        </w:rPr>
        <w:t> </w:t>
      </w:r>
      <w:r>
        <w:rPr>
          <w:sz w:val="20"/>
        </w:rPr>
        <w:t>to</w:t>
      </w:r>
      <w:r>
        <w:rPr>
          <w:spacing w:val="-13"/>
          <w:sz w:val="20"/>
        </w:rPr>
        <w:t> </w:t>
      </w:r>
      <w:r>
        <w:rPr>
          <w:sz w:val="20"/>
        </w:rPr>
        <w:t>monitor</w:t>
      </w:r>
      <w:r>
        <w:rPr>
          <w:spacing w:val="-12"/>
          <w:sz w:val="20"/>
        </w:rPr>
        <w:t> </w:t>
      </w:r>
      <w:r>
        <w:rPr>
          <w:sz w:val="20"/>
        </w:rPr>
        <w:t>operational</w:t>
      </w:r>
      <w:r>
        <w:rPr>
          <w:spacing w:val="-13"/>
          <w:sz w:val="20"/>
        </w:rPr>
        <w:t> </w:t>
      </w:r>
      <w:r>
        <w:rPr>
          <w:sz w:val="20"/>
        </w:rPr>
        <w:t>needs on the ground, to conduct cost analysis on the use of existing resources as well as the redeployment</w:t>
      </w:r>
      <w:r>
        <w:rPr>
          <w:spacing w:val="-13"/>
          <w:sz w:val="20"/>
        </w:rPr>
        <w:t> </w:t>
      </w:r>
      <w:r>
        <w:rPr>
          <w:sz w:val="20"/>
        </w:rPr>
        <w:t>of</w:t>
      </w:r>
      <w:r>
        <w:rPr>
          <w:spacing w:val="-11"/>
          <w:sz w:val="20"/>
        </w:rPr>
        <w:t> </w:t>
      </w:r>
      <w:r>
        <w:rPr>
          <w:sz w:val="20"/>
        </w:rPr>
        <w:t>resources</w:t>
      </w:r>
      <w:r>
        <w:rPr>
          <w:spacing w:val="-13"/>
          <w:sz w:val="20"/>
        </w:rPr>
        <w:t> </w:t>
      </w:r>
      <w:r>
        <w:rPr>
          <w:sz w:val="20"/>
        </w:rPr>
        <w:t>among</w:t>
      </w:r>
      <w:r>
        <w:rPr>
          <w:spacing w:val="-11"/>
          <w:sz w:val="20"/>
        </w:rPr>
        <w:t> </w:t>
      </w:r>
      <w:r>
        <w:rPr>
          <w:sz w:val="20"/>
        </w:rPr>
        <w:t>country</w:t>
      </w:r>
      <w:r>
        <w:rPr>
          <w:spacing w:val="-7"/>
          <w:sz w:val="20"/>
        </w:rPr>
        <w:t> </w:t>
      </w:r>
      <w:r>
        <w:rPr>
          <w:sz w:val="20"/>
        </w:rPr>
        <w:t>offices</w:t>
      </w:r>
      <w:r>
        <w:rPr>
          <w:spacing w:val="-13"/>
          <w:sz w:val="20"/>
        </w:rPr>
        <w:t> </w:t>
      </w:r>
      <w:r>
        <w:rPr>
          <w:sz w:val="20"/>
        </w:rPr>
        <w:t>in</w:t>
      </w:r>
      <w:r>
        <w:rPr>
          <w:spacing w:val="-11"/>
          <w:sz w:val="20"/>
        </w:rPr>
        <w:t> </w:t>
      </w:r>
      <w:r>
        <w:rPr>
          <w:sz w:val="20"/>
        </w:rPr>
        <w:t>order</w:t>
      </w:r>
      <w:r>
        <w:rPr>
          <w:spacing w:val="-12"/>
          <w:sz w:val="20"/>
        </w:rPr>
        <w:t> </w:t>
      </w:r>
      <w:r>
        <w:rPr>
          <w:sz w:val="20"/>
        </w:rPr>
        <w:t>to</w:t>
      </w:r>
      <w:r>
        <w:rPr>
          <w:spacing w:val="-13"/>
          <w:sz w:val="20"/>
        </w:rPr>
        <w:t> </w:t>
      </w:r>
      <w:r>
        <w:rPr>
          <w:sz w:val="20"/>
        </w:rPr>
        <w:t>achieve</w:t>
      </w:r>
      <w:r>
        <w:rPr>
          <w:spacing w:val="-5"/>
          <w:sz w:val="20"/>
        </w:rPr>
        <w:t> </w:t>
      </w:r>
      <w:r>
        <w:rPr>
          <w:sz w:val="20"/>
        </w:rPr>
        <w:t>savings</w:t>
      </w:r>
      <w:r>
        <w:rPr>
          <w:spacing w:val="-13"/>
          <w:sz w:val="20"/>
        </w:rPr>
        <w:t> </w:t>
      </w:r>
      <w:r>
        <w:rPr>
          <w:sz w:val="20"/>
        </w:rPr>
        <w:t>and</w:t>
      </w:r>
      <w:r>
        <w:rPr>
          <w:spacing w:val="-11"/>
          <w:sz w:val="20"/>
        </w:rPr>
        <w:t> </w:t>
      </w:r>
      <w:r>
        <w:rPr>
          <w:sz w:val="20"/>
        </w:rPr>
        <w:t>efficiencies and</w:t>
      </w:r>
      <w:r>
        <w:rPr>
          <w:spacing w:val="-8"/>
          <w:sz w:val="20"/>
        </w:rPr>
        <w:t> </w:t>
      </w:r>
      <w:r>
        <w:rPr>
          <w:sz w:val="20"/>
        </w:rPr>
        <w:t>to</w:t>
      </w:r>
      <w:r>
        <w:rPr>
          <w:spacing w:val="-4"/>
          <w:sz w:val="20"/>
        </w:rPr>
        <w:t> </w:t>
      </w:r>
      <w:r>
        <w:rPr>
          <w:sz w:val="20"/>
        </w:rPr>
        <w:t>develop</w:t>
      </w:r>
      <w:r>
        <w:rPr>
          <w:spacing w:val="-4"/>
          <w:sz w:val="20"/>
        </w:rPr>
        <w:t> </w:t>
      </w:r>
      <w:r>
        <w:rPr>
          <w:sz w:val="20"/>
        </w:rPr>
        <w:t>plans</w:t>
      </w:r>
      <w:r>
        <w:rPr>
          <w:spacing w:val="-5"/>
          <w:sz w:val="20"/>
        </w:rPr>
        <w:t> </w:t>
      </w:r>
      <w:r>
        <w:rPr>
          <w:sz w:val="20"/>
        </w:rPr>
        <w:t>on</w:t>
      </w:r>
      <w:r>
        <w:rPr>
          <w:spacing w:val="-6"/>
          <w:sz w:val="20"/>
        </w:rPr>
        <w:t> </w:t>
      </w:r>
      <w:r>
        <w:rPr>
          <w:sz w:val="20"/>
        </w:rPr>
        <w:t>the</w:t>
      </w:r>
      <w:r>
        <w:rPr>
          <w:spacing w:val="-7"/>
          <w:sz w:val="20"/>
        </w:rPr>
        <w:t> </w:t>
      </w:r>
      <w:r>
        <w:rPr>
          <w:sz w:val="20"/>
        </w:rPr>
        <w:t>opening,</w:t>
      </w:r>
      <w:r>
        <w:rPr>
          <w:spacing w:val="-1"/>
          <w:sz w:val="20"/>
        </w:rPr>
        <w:t> </w:t>
      </w:r>
      <w:r>
        <w:rPr>
          <w:sz w:val="20"/>
        </w:rPr>
        <w:t>scaling</w:t>
      </w:r>
      <w:r>
        <w:rPr>
          <w:spacing w:val="-8"/>
          <w:sz w:val="20"/>
        </w:rPr>
        <w:t> </w:t>
      </w:r>
      <w:r>
        <w:rPr>
          <w:sz w:val="20"/>
        </w:rPr>
        <w:t>up</w:t>
      </w:r>
      <w:r>
        <w:rPr>
          <w:spacing w:val="-4"/>
          <w:sz w:val="20"/>
        </w:rPr>
        <w:t> </w:t>
      </w:r>
      <w:r>
        <w:rPr>
          <w:sz w:val="20"/>
        </w:rPr>
        <w:t>and</w:t>
      </w:r>
      <w:r>
        <w:rPr>
          <w:spacing w:val="-4"/>
          <w:sz w:val="20"/>
        </w:rPr>
        <w:t> </w:t>
      </w:r>
      <w:r>
        <w:rPr>
          <w:sz w:val="20"/>
        </w:rPr>
        <w:t>down</w:t>
      </w:r>
      <w:r>
        <w:rPr>
          <w:spacing w:val="-8"/>
          <w:sz w:val="20"/>
        </w:rPr>
        <w:t> </w:t>
      </w:r>
      <w:r>
        <w:rPr>
          <w:sz w:val="20"/>
        </w:rPr>
        <w:t>and</w:t>
      </w:r>
      <w:r>
        <w:rPr>
          <w:spacing w:val="-4"/>
          <w:sz w:val="20"/>
        </w:rPr>
        <w:t> </w:t>
      </w:r>
      <w:r>
        <w:rPr>
          <w:sz w:val="20"/>
        </w:rPr>
        <w:t>closing</w:t>
      </w:r>
      <w:r>
        <w:rPr>
          <w:spacing w:val="-4"/>
          <w:sz w:val="20"/>
        </w:rPr>
        <w:t> </w:t>
      </w:r>
      <w:r>
        <w:rPr>
          <w:sz w:val="20"/>
        </w:rPr>
        <w:t>of</w:t>
      </w:r>
      <w:r>
        <w:rPr>
          <w:spacing w:val="-4"/>
          <w:sz w:val="20"/>
        </w:rPr>
        <w:t> </w:t>
      </w:r>
      <w:r>
        <w:rPr>
          <w:sz w:val="20"/>
        </w:rPr>
        <w:t>the</w:t>
      </w:r>
      <w:r>
        <w:rPr>
          <w:spacing w:val="-7"/>
          <w:sz w:val="20"/>
        </w:rPr>
        <w:t> </w:t>
      </w:r>
      <w:r>
        <w:rPr>
          <w:sz w:val="20"/>
        </w:rPr>
        <w:t>country</w:t>
      </w:r>
      <w:r>
        <w:rPr>
          <w:spacing w:val="-4"/>
          <w:sz w:val="20"/>
        </w:rPr>
        <w:t> </w:t>
      </w:r>
      <w:r>
        <w:rPr>
          <w:sz w:val="20"/>
        </w:rPr>
        <w:t>offices.</w:t>
      </w:r>
    </w:p>
    <w:p>
      <w:pPr>
        <w:spacing w:after="0" w:line="240" w:lineRule="auto"/>
        <w:jc w:val="both"/>
        <w:rPr>
          <w:sz w:val="20"/>
        </w:rPr>
        <w:sectPr>
          <w:pgSz w:w="11910" w:h="16840"/>
          <w:pgMar w:header="953" w:footer="940" w:top="1140" w:bottom="1140" w:left="20" w:right="20"/>
        </w:sectPr>
      </w:pPr>
    </w:p>
    <w:p>
      <w:pPr>
        <w:tabs>
          <w:tab w:pos="8133" w:val="left" w:leader="none"/>
        </w:tabs>
        <w:spacing w:before="120"/>
        <w:ind w:left="2246" w:right="0" w:firstLine="0"/>
        <w:jc w:val="both"/>
        <w:rPr>
          <w:i/>
          <w:sz w:val="20"/>
        </w:rPr>
      </w:pPr>
      <w:r>
        <w:rPr>
          <w:i/>
          <w:sz w:val="20"/>
        </w:rPr>
        <w:t>General</w:t>
      </w:r>
      <w:r>
        <w:rPr>
          <w:i/>
          <w:spacing w:val="-9"/>
          <w:sz w:val="20"/>
        </w:rPr>
        <w:t> </w:t>
      </w:r>
      <w:r>
        <w:rPr>
          <w:i/>
          <w:sz w:val="20"/>
        </w:rPr>
        <w:t>temporary</w:t>
      </w:r>
      <w:r>
        <w:rPr>
          <w:i/>
          <w:spacing w:val="-4"/>
          <w:sz w:val="20"/>
        </w:rPr>
        <w:t> </w:t>
      </w:r>
      <w:r>
        <w:rPr>
          <w:i/>
          <w:spacing w:val="-2"/>
          <w:sz w:val="20"/>
        </w:rPr>
        <w:t>assistance</w:t>
      </w:r>
      <w:r>
        <w:rPr>
          <w:i/>
          <w:sz w:val="20"/>
        </w:rPr>
        <w:tab/>
        <w:t>€2,929.0</w:t>
      </w:r>
      <w:r>
        <w:rPr>
          <w:i/>
          <w:spacing w:val="-4"/>
          <w:sz w:val="20"/>
        </w:rPr>
        <w:t> </w:t>
      </w:r>
      <w:r>
        <w:rPr>
          <w:i/>
          <w:spacing w:val="-2"/>
          <w:sz w:val="20"/>
        </w:rPr>
        <w:t>thousand</w:t>
      </w:r>
    </w:p>
    <w:p>
      <w:pPr>
        <w:pStyle w:val="BodyText"/>
        <w:spacing w:before="10"/>
        <w:rPr>
          <w:i/>
        </w:rPr>
      </w:pPr>
    </w:p>
    <w:p>
      <w:pPr>
        <w:pStyle w:val="ListParagraph"/>
        <w:numPr>
          <w:ilvl w:val="0"/>
          <w:numId w:val="4"/>
        </w:numPr>
        <w:tabs>
          <w:tab w:pos="2967" w:val="left" w:leader="none"/>
        </w:tabs>
        <w:spacing w:line="240" w:lineRule="auto" w:before="1" w:after="0"/>
        <w:ind w:left="2246" w:right="2244" w:firstLine="0"/>
        <w:jc w:val="both"/>
        <w:rPr>
          <w:sz w:val="20"/>
        </w:rPr>
      </w:pPr>
      <w:r>
        <w:rPr>
          <w:sz w:val="20"/>
        </w:rPr>
        <w:t>The resources</w:t>
      </w:r>
      <w:r>
        <w:rPr>
          <w:spacing w:val="-1"/>
          <w:sz w:val="20"/>
        </w:rPr>
        <w:t> </w:t>
      </w:r>
      <w:r>
        <w:rPr>
          <w:sz w:val="20"/>
        </w:rPr>
        <w:t>requested for general temporary assistance (GTA) within DEO</w:t>
      </w:r>
      <w:r>
        <w:rPr>
          <w:spacing w:val="-6"/>
          <w:sz w:val="20"/>
        </w:rPr>
        <w:t> </w:t>
      </w:r>
      <w:r>
        <w:rPr>
          <w:sz w:val="20"/>
        </w:rPr>
        <w:t>have increased</w:t>
      </w:r>
      <w:r>
        <w:rPr>
          <w:spacing w:val="29"/>
          <w:sz w:val="20"/>
        </w:rPr>
        <w:t> </w:t>
      </w:r>
      <w:r>
        <w:rPr>
          <w:sz w:val="20"/>
        </w:rPr>
        <w:t>by</w:t>
      </w:r>
      <w:r>
        <w:rPr>
          <w:spacing w:val="29"/>
          <w:sz w:val="20"/>
        </w:rPr>
        <w:t> </w:t>
      </w:r>
      <w:r>
        <w:rPr>
          <w:sz w:val="20"/>
        </w:rPr>
        <w:t>€1,227.9</w:t>
      </w:r>
      <w:r>
        <w:rPr>
          <w:spacing w:val="25"/>
          <w:sz w:val="20"/>
        </w:rPr>
        <w:t> </w:t>
      </w:r>
      <w:r>
        <w:rPr>
          <w:sz w:val="20"/>
        </w:rPr>
        <w:t>thousand</w:t>
      </w:r>
      <w:r>
        <w:rPr>
          <w:spacing w:val="24"/>
          <w:sz w:val="20"/>
        </w:rPr>
        <w:t> </w:t>
      </w:r>
      <w:r>
        <w:rPr>
          <w:sz w:val="20"/>
        </w:rPr>
        <w:t>(72.2</w:t>
      </w:r>
      <w:r>
        <w:rPr>
          <w:spacing w:val="24"/>
          <w:sz w:val="20"/>
        </w:rPr>
        <w:t> </w:t>
      </w:r>
      <w:r>
        <w:rPr>
          <w:sz w:val="20"/>
        </w:rPr>
        <w:t>per</w:t>
      </w:r>
      <w:r>
        <w:rPr>
          <w:spacing w:val="24"/>
          <w:sz w:val="20"/>
        </w:rPr>
        <w:t> </w:t>
      </w:r>
      <w:r>
        <w:rPr>
          <w:sz w:val="20"/>
        </w:rPr>
        <w:t>cent)</w:t>
      </w:r>
      <w:r>
        <w:rPr>
          <w:spacing w:val="29"/>
          <w:sz w:val="20"/>
        </w:rPr>
        <w:t> </w:t>
      </w:r>
      <w:r>
        <w:rPr>
          <w:sz w:val="20"/>
        </w:rPr>
        <w:t>from</w:t>
      </w:r>
      <w:r>
        <w:rPr>
          <w:spacing w:val="26"/>
          <w:sz w:val="20"/>
        </w:rPr>
        <w:t> </w:t>
      </w:r>
      <w:r>
        <w:rPr>
          <w:sz w:val="20"/>
        </w:rPr>
        <w:t>the</w:t>
      </w:r>
      <w:r>
        <w:rPr>
          <w:spacing w:val="26"/>
          <w:sz w:val="20"/>
        </w:rPr>
        <w:t> </w:t>
      </w:r>
      <w:r>
        <w:rPr>
          <w:sz w:val="20"/>
        </w:rPr>
        <w:t>2022</w:t>
      </w:r>
      <w:r>
        <w:rPr>
          <w:spacing w:val="24"/>
          <w:sz w:val="20"/>
        </w:rPr>
        <w:t> </w:t>
      </w:r>
      <w:r>
        <w:rPr>
          <w:sz w:val="20"/>
        </w:rPr>
        <w:t>approved</w:t>
      </w:r>
      <w:r>
        <w:rPr>
          <w:spacing w:val="24"/>
          <w:sz w:val="20"/>
        </w:rPr>
        <w:t> </w:t>
      </w:r>
      <w:r>
        <w:rPr>
          <w:sz w:val="20"/>
        </w:rPr>
        <w:t>budget.</w:t>
      </w:r>
      <w:r>
        <w:rPr>
          <w:spacing w:val="31"/>
          <w:sz w:val="20"/>
        </w:rPr>
        <w:t> </w:t>
      </w:r>
      <w:r>
        <w:rPr>
          <w:sz w:val="20"/>
        </w:rPr>
        <w:t>In</w:t>
      </w:r>
      <w:r>
        <w:rPr>
          <w:spacing w:val="24"/>
          <w:sz w:val="20"/>
        </w:rPr>
        <w:t> </w:t>
      </w:r>
      <w:r>
        <w:rPr>
          <w:sz w:val="20"/>
        </w:rPr>
        <w:t>total for 2023 the Registry will request (1) the continuation of 24 GTA positions, (2) the redeployment of 4 GTA positions, (3) 15 new GTA positions, (4) the discontinuation of 6 GTA positions and (5) individual contractors.</w:t>
      </w:r>
    </w:p>
    <w:p>
      <w:pPr>
        <w:pStyle w:val="BodyText"/>
        <w:spacing w:before="1"/>
        <w:rPr>
          <w:sz w:val="21"/>
        </w:rPr>
      </w:pPr>
    </w:p>
    <w:p>
      <w:pPr>
        <w:spacing w:before="0"/>
        <w:ind w:left="2246" w:right="0" w:firstLine="0"/>
        <w:jc w:val="both"/>
        <w:rPr>
          <w:i/>
          <w:sz w:val="20"/>
        </w:rPr>
      </w:pPr>
      <w:r>
        <w:rPr>
          <w:i/>
          <w:sz w:val="20"/>
        </w:rPr>
        <w:t>Positions</w:t>
      </w:r>
      <w:r>
        <w:rPr>
          <w:i/>
          <w:spacing w:val="-5"/>
          <w:sz w:val="20"/>
        </w:rPr>
        <w:t> </w:t>
      </w:r>
      <w:r>
        <w:rPr>
          <w:i/>
          <w:sz w:val="20"/>
        </w:rPr>
        <w:t>to</w:t>
      </w:r>
      <w:r>
        <w:rPr>
          <w:i/>
          <w:spacing w:val="-4"/>
          <w:sz w:val="20"/>
        </w:rPr>
        <w:t> </w:t>
      </w:r>
      <w:r>
        <w:rPr>
          <w:i/>
          <w:sz w:val="20"/>
        </w:rPr>
        <w:t>be</w:t>
      </w:r>
      <w:r>
        <w:rPr>
          <w:i/>
          <w:spacing w:val="-1"/>
          <w:sz w:val="20"/>
        </w:rPr>
        <w:t> </w:t>
      </w:r>
      <w:r>
        <w:rPr>
          <w:i/>
          <w:spacing w:val="-2"/>
          <w:sz w:val="20"/>
        </w:rPr>
        <w:t>continued</w:t>
      </w:r>
    </w:p>
    <w:p>
      <w:pPr>
        <w:pStyle w:val="BodyText"/>
        <w:spacing w:before="10"/>
        <w:rPr>
          <w:i/>
        </w:rPr>
      </w:pPr>
    </w:p>
    <w:p>
      <w:pPr>
        <w:pStyle w:val="ListParagraph"/>
        <w:numPr>
          <w:ilvl w:val="0"/>
          <w:numId w:val="4"/>
        </w:numPr>
        <w:tabs>
          <w:tab w:pos="2967" w:val="left" w:leader="none"/>
        </w:tabs>
        <w:spacing w:line="240" w:lineRule="auto" w:before="0" w:after="0"/>
        <w:ind w:left="2246" w:right="2240" w:firstLine="0"/>
        <w:jc w:val="both"/>
        <w:rPr>
          <w:sz w:val="20"/>
        </w:rPr>
      </w:pPr>
      <w:r>
        <w:rPr>
          <w:sz w:val="20"/>
        </w:rPr>
        <w:t>One </w:t>
      </w:r>
      <w:r>
        <w:rPr>
          <w:i/>
          <w:sz w:val="20"/>
        </w:rPr>
        <w:t>Associate Confidential Accounts and Planning Officer (P-2), 12 months.</w:t>
      </w:r>
      <w:r>
        <w:rPr>
          <w:i/>
          <w:sz w:val="20"/>
        </w:rPr>
        <w:t> Continued. Multi-year. </w:t>
      </w:r>
      <w:r>
        <w:rPr>
          <w:sz w:val="20"/>
        </w:rPr>
        <w:t>This position is responsible for confidential financial operations related to the protection of victims and witnesses in situations before the Court, especially where the international movement of persons is concerned. The incumbent supports highly secret</w:t>
      </w:r>
      <w:r>
        <w:rPr>
          <w:spacing w:val="-9"/>
          <w:sz w:val="20"/>
        </w:rPr>
        <w:t> </w:t>
      </w:r>
      <w:r>
        <w:rPr>
          <w:sz w:val="20"/>
        </w:rPr>
        <w:t>relocations,</w:t>
      </w:r>
      <w:r>
        <w:rPr>
          <w:spacing w:val="-5"/>
          <w:sz w:val="20"/>
        </w:rPr>
        <w:t> </w:t>
      </w:r>
      <w:r>
        <w:rPr>
          <w:sz w:val="20"/>
        </w:rPr>
        <w:t>liaises</w:t>
      </w:r>
      <w:r>
        <w:rPr>
          <w:spacing w:val="-4"/>
          <w:sz w:val="20"/>
        </w:rPr>
        <w:t> </w:t>
      </w:r>
      <w:r>
        <w:rPr>
          <w:sz w:val="20"/>
        </w:rPr>
        <w:t>with</w:t>
      </w:r>
      <w:r>
        <w:rPr>
          <w:spacing w:val="-12"/>
          <w:sz w:val="20"/>
        </w:rPr>
        <w:t> </w:t>
      </w:r>
      <w:r>
        <w:rPr>
          <w:sz w:val="20"/>
        </w:rPr>
        <w:t>external</w:t>
      </w:r>
      <w:r>
        <w:rPr>
          <w:spacing w:val="-6"/>
          <w:sz w:val="20"/>
        </w:rPr>
        <w:t> </w:t>
      </w:r>
      <w:r>
        <w:rPr>
          <w:sz w:val="20"/>
        </w:rPr>
        <w:t>partners</w:t>
      </w:r>
      <w:r>
        <w:rPr>
          <w:spacing w:val="-9"/>
          <w:sz w:val="20"/>
        </w:rPr>
        <w:t> </w:t>
      </w:r>
      <w:r>
        <w:rPr>
          <w:sz w:val="20"/>
        </w:rPr>
        <w:t>and</w:t>
      </w:r>
      <w:r>
        <w:rPr>
          <w:spacing w:val="-7"/>
          <w:sz w:val="20"/>
        </w:rPr>
        <w:t> </w:t>
      </w:r>
      <w:r>
        <w:rPr>
          <w:sz w:val="20"/>
        </w:rPr>
        <w:t>provides</w:t>
      </w:r>
      <w:r>
        <w:rPr>
          <w:spacing w:val="-13"/>
          <w:sz w:val="20"/>
        </w:rPr>
        <w:t> </w:t>
      </w:r>
      <w:r>
        <w:rPr>
          <w:sz w:val="20"/>
        </w:rPr>
        <w:t>assistance</w:t>
      </w:r>
      <w:r>
        <w:rPr>
          <w:spacing w:val="-10"/>
          <w:sz w:val="20"/>
        </w:rPr>
        <w:t> </w:t>
      </w:r>
      <w:r>
        <w:rPr>
          <w:sz w:val="20"/>
        </w:rPr>
        <w:t>to</w:t>
      </w:r>
      <w:r>
        <w:rPr>
          <w:spacing w:val="-7"/>
          <w:sz w:val="20"/>
        </w:rPr>
        <w:t> </w:t>
      </w:r>
      <w:r>
        <w:rPr>
          <w:sz w:val="20"/>
        </w:rPr>
        <w:t>Team</w:t>
      </w:r>
      <w:r>
        <w:rPr>
          <w:spacing w:val="-11"/>
          <w:sz w:val="20"/>
        </w:rPr>
        <w:t> </w:t>
      </w:r>
      <w:r>
        <w:rPr>
          <w:sz w:val="20"/>
        </w:rPr>
        <w:t>Leaders</w:t>
      </w:r>
      <w:r>
        <w:rPr>
          <w:spacing w:val="-13"/>
          <w:sz w:val="20"/>
        </w:rPr>
        <w:t> </w:t>
      </w:r>
      <w:r>
        <w:rPr>
          <w:sz w:val="20"/>
        </w:rPr>
        <w:t>and handlers</w:t>
      </w:r>
      <w:r>
        <w:rPr>
          <w:spacing w:val="-5"/>
          <w:sz w:val="20"/>
        </w:rPr>
        <w:t> </w:t>
      </w:r>
      <w:r>
        <w:rPr>
          <w:sz w:val="20"/>
        </w:rPr>
        <w:t>during</w:t>
      </w:r>
      <w:r>
        <w:rPr>
          <w:spacing w:val="-4"/>
          <w:sz w:val="20"/>
        </w:rPr>
        <w:t> </w:t>
      </w:r>
      <w:r>
        <w:rPr>
          <w:sz w:val="20"/>
        </w:rPr>
        <w:t>sensitive</w:t>
      </w:r>
      <w:r>
        <w:rPr>
          <w:spacing w:val="-2"/>
          <w:sz w:val="20"/>
        </w:rPr>
        <w:t> </w:t>
      </w:r>
      <w:r>
        <w:rPr>
          <w:sz w:val="20"/>
        </w:rPr>
        <w:t>operations.</w:t>
      </w:r>
      <w:r>
        <w:rPr>
          <w:spacing w:val="-6"/>
          <w:sz w:val="20"/>
        </w:rPr>
        <w:t> </w:t>
      </w:r>
      <w:r>
        <w:rPr>
          <w:sz w:val="20"/>
        </w:rPr>
        <w:t>This</w:t>
      </w:r>
      <w:r>
        <w:rPr>
          <w:spacing w:val="-5"/>
          <w:sz w:val="20"/>
        </w:rPr>
        <w:t> </w:t>
      </w:r>
      <w:r>
        <w:rPr>
          <w:sz w:val="20"/>
        </w:rPr>
        <w:t>position is</w:t>
      </w:r>
      <w:r>
        <w:rPr>
          <w:spacing w:val="-5"/>
          <w:sz w:val="20"/>
        </w:rPr>
        <w:t> </w:t>
      </w:r>
      <w:r>
        <w:rPr>
          <w:sz w:val="20"/>
        </w:rPr>
        <w:t>a</w:t>
      </w:r>
      <w:r>
        <w:rPr>
          <w:spacing w:val="-2"/>
          <w:sz w:val="20"/>
        </w:rPr>
        <w:t> </w:t>
      </w:r>
      <w:r>
        <w:rPr>
          <w:sz w:val="20"/>
        </w:rPr>
        <w:t>proven</w:t>
      </w:r>
      <w:r>
        <w:rPr>
          <w:spacing w:val="-4"/>
          <w:sz w:val="20"/>
        </w:rPr>
        <w:t> </w:t>
      </w:r>
      <w:r>
        <w:rPr>
          <w:sz w:val="20"/>
        </w:rPr>
        <w:t>long-term</w:t>
      </w:r>
      <w:r>
        <w:rPr>
          <w:spacing w:val="-2"/>
          <w:sz w:val="20"/>
        </w:rPr>
        <w:t> </w:t>
      </w:r>
      <w:r>
        <w:rPr>
          <w:sz w:val="20"/>
        </w:rPr>
        <w:t>need</w:t>
      </w:r>
      <w:r>
        <w:rPr>
          <w:spacing w:val="-4"/>
          <w:sz w:val="20"/>
        </w:rPr>
        <w:t> </w:t>
      </w:r>
      <w:r>
        <w:rPr>
          <w:sz w:val="20"/>
        </w:rPr>
        <w:t>insofar</w:t>
      </w:r>
      <w:r>
        <w:rPr>
          <w:spacing w:val="-8"/>
          <w:sz w:val="20"/>
        </w:rPr>
        <w:t> </w:t>
      </w:r>
      <w:r>
        <w:rPr>
          <w:sz w:val="20"/>
        </w:rPr>
        <w:t>as</w:t>
      </w:r>
      <w:r>
        <w:rPr>
          <w:spacing w:val="-5"/>
          <w:sz w:val="20"/>
        </w:rPr>
        <w:t> </w:t>
      </w:r>
      <w:r>
        <w:rPr>
          <w:sz w:val="20"/>
        </w:rPr>
        <w:t>it</w:t>
      </w:r>
      <w:r>
        <w:rPr>
          <w:spacing w:val="-7"/>
          <w:sz w:val="20"/>
        </w:rPr>
        <w:t> </w:t>
      </w:r>
      <w:r>
        <w:rPr>
          <w:sz w:val="20"/>
        </w:rPr>
        <w:t>is critical to the efficient functioning of the Court’s protection programme (ICCPP), which requires</w:t>
      </w:r>
      <w:r>
        <w:rPr>
          <w:spacing w:val="-5"/>
          <w:sz w:val="20"/>
        </w:rPr>
        <w:t> </w:t>
      </w:r>
      <w:r>
        <w:rPr>
          <w:sz w:val="20"/>
        </w:rPr>
        <w:t>the</w:t>
      </w:r>
      <w:r>
        <w:rPr>
          <w:spacing w:val="-2"/>
          <w:sz w:val="20"/>
        </w:rPr>
        <w:t> </w:t>
      </w:r>
      <w:r>
        <w:rPr>
          <w:sz w:val="20"/>
        </w:rPr>
        <w:t>highest</w:t>
      </w:r>
      <w:r>
        <w:rPr>
          <w:spacing w:val="-7"/>
          <w:sz w:val="20"/>
        </w:rPr>
        <w:t> </w:t>
      </w:r>
      <w:r>
        <w:rPr>
          <w:sz w:val="20"/>
        </w:rPr>
        <w:t>level</w:t>
      </w:r>
      <w:r>
        <w:rPr>
          <w:spacing w:val="-2"/>
          <w:sz w:val="20"/>
        </w:rPr>
        <w:t> </w:t>
      </w:r>
      <w:r>
        <w:rPr>
          <w:sz w:val="20"/>
        </w:rPr>
        <w:t>of</w:t>
      </w:r>
      <w:r>
        <w:rPr>
          <w:spacing w:val="-4"/>
          <w:sz w:val="20"/>
        </w:rPr>
        <w:t> </w:t>
      </w:r>
      <w:r>
        <w:rPr>
          <w:sz w:val="20"/>
        </w:rPr>
        <w:t>secrecy.</w:t>
      </w:r>
      <w:r>
        <w:rPr>
          <w:spacing w:val="-6"/>
          <w:sz w:val="20"/>
        </w:rPr>
        <w:t> </w:t>
      </w:r>
      <w:r>
        <w:rPr>
          <w:sz w:val="20"/>
        </w:rPr>
        <w:t>The</w:t>
      </w:r>
      <w:r>
        <w:rPr>
          <w:spacing w:val="-7"/>
          <w:sz w:val="20"/>
        </w:rPr>
        <w:t> </w:t>
      </w:r>
      <w:r>
        <w:rPr>
          <w:sz w:val="20"/>
        </w:rPr>
        <w:t>confidential</w:t>
      </w:r>
      <w:r>
        <w:rPr>
          <w:spacing w:val="-7"/>
          <w:sz w:val="20"/>
        </w:rPr>
        <w:t> </w:t>
      </w:r>
      <w:r>
        <w:rPr>
          <w:sz w:val="20"/>
        </w:rPr>
        <w:t>accounts</w:t>
      </w:r>
      <w:r>
        <w:rPr>
          <w:spacing w:val="-5"/>
          <w:sz w:val="20"/>
        </w:rPr>
        <w:t> </w:t>
      </w:r>
      <w:r>
        <w:rPr>
          <w:sz w:val="20"/>
        </w:rPr>
        <w:t>systems</w:t>
      </w:r>
      <w:r>
        <w:rPr>
          <w:spacing w:val="-5"/>
          <w:sz w:val="20"/>
        </w:rPr>
        <w:t> </w:t>
      </w:r>
      <w:r>
        <w:rPr>
          <w:sz w:val="20"/>
        </w:rPr>
        <w:t>established</w:t>
      </w:r>
      <w:r>
        <w:rPr>
          <w:spacing w:val="-8"/>
          <w:sz w:val="20"/>
        </w:rPr>
        <w:t> </w:t>
      </w:r>
      <w:r>
        <w:rPr>
          <w:sz w:val="20"/>
        </w:rPr>
        <w:t>by</w:t>
      </w:r>
      <w:r>
        <w:rPr>
          <w:spacing w:val="-4"/>
          <w:sz w:val="20"/>
        </w:rPr>
        <w:t> </w:t>
      </w:r>
      <w:r>
        <w:rPr>
          <w:sz w:val="20"/>
        </w:rPr>
        <w:t>VWS incorporate regular interaction with external third parties and the handling of significant amounts of confidential funds, using sensitive working practices which require a specific level of professional commitment. In addition to these functions, the position also provides the proven long-term support needed in fund monitoring and budget and finance administration, from which VWS has benefited significantly in complex operations in past years to achieve savings and efficiencies. The complexity of VWS operations and the need for workable policies to achieve efficiencies and savings entail continuous monitoring, review and analysis which preserve the absolute confidentiality of VWS operations. The continuous</w:t>
      </w:r>
      <w:r>
        <w:rPr>
          <w:spacing w:val="-4"/>
          <w:sz w:val="20"/>
        </w:rPr>
        <w:t> </w:t>
      </w:r>
      <w:r>
        <w:rPr>
          <w:sz w:val="20"/>
        </w:rPr>
        <w:t>need for this position is</w:t>
      </w:r>
      <w:r>
        <w:rPr>
          <w:spacing w:val="-4"/>
          <w:sz w:val="20"/>
        </w:rPr>
        <w:t> </w:t>
      </w:r>
      <w:r>
        <w:rPr>
          <w:sz w:val="20"/>
        </w:rPr>
        <w:t>in</w:t>
      </w:r>
      <w:r>
        <w:rPr>
          <w:spacing w:val="-3"/>
          <w:sz w:val="20"/>
        </w:rPr>
        <w:t> </w:t>
      </w:r>
      <w:r>
        <w:rPr>
          <w:sz w:val="20"/>
        </w:rPr>
        <w:t>line with</w:t>
      </w:r>
      <w:r>
        <w:rPr>
          <w:spacing w:val="-3"/>
          <w:sz w:val="20"/>
        </w:rPr>
        <w:t> </w:t>
      </w:r>
      <w:r>
        <w:rPr>
          <w:sz w:val="20"/>
        </w:rPr>
        <w:t>the</w:t>
      </w:r>
      <w:r>
        <w:rPr>
          <w:spacing w:val="-1"/>
          <w:sz w:val="20"/>
        </w:rPr>
        <w:t> </w:t>
      </w:r>
      <w:r>
        <w:rPr>
          <w:sz w:val="20"/>
        </w:rPr>
        <w:t>centralization</w:t>
      </w:r>
      <w:r>
        <w:rPr>
          <w:spacing w:val="-3"/>
          <w:sz w:val="20"/>
        </w:rPr>
        <w:t> </w:t>
      </w:r>
      <w:r>
        <w:rPr>
          <w:sz w:val="20"/>
        </w:rPr>
        <w:t>of</w:t>
      </w:r>
      <w:r>
        <w:rPr>
          <w:spacing w:val="-3"/>
          <w:sz w:val="20"/>
        </w:rPr>
        <w:t> </w:t>
      </w:r>
      <w:r>
        <w:rPr>
          <w:sz w:val="20"/>
        </w:rPr>
        <w:t>all</w:t>
      </w:r>
      <w:r>
        <w:rPr>
          <w:spacing w:val="-1"/>
          <w:sz w:val="20"/>
        </w:rPr>
        <w:t> </w:t>
      </w:r>
      <w:r>
        <w:rPr>
          <w:sz w:val="20"/>
        </w:rPr>
        <w:t>financial</w:t>
      </w:r>
      <w:r>
        <w:rPr>
          <w:spacing w:val="-1"/>
          <w:sz w:val="20"/>
        </w:rPr>
        <w:t> </w:t>
      </w:r>
      <w:r>
        <w:rPr>
          <w:sz w:val="20"/>
        </w:rPr>
        <w:t>and</w:t>
      </w:r>
      <w:r>
        <w:rPr>
          <w:spacing w:val="-3"/>
          <w:sz w:val="20"/>
        </w:rPr>
        <w:t> </w:t>
      </w:r>
      <w:r>
        <w:rPr>
          <w:sz w:val="20"/>
        </w:rPr>
        <w:t>budget functions within the planning team, including the management of field finances and the development of a more controlled approach to budget analysis, monitoring and efficiency measures. The position has proven its benefits to VWS and the Registry through better resource management and the achievement of significant improvements.</w:t>
      </w:r>
    </w:p>
    <w:p>
      <w:pPr>
        <w:pStyle w:val="ListParagraph"/>
        <w:numPr>
          <w:ilvl w:val="0"/>
          <w:numId w:val="4"/>
        </w:numPr>
        <w:tabs>
          <w:tab w:pos="2967" w:val="left" w:leader="none"/>
        </w:tabs>
        <w:spacing w:line="240" w:lineRule="auto" w:before="121" w:after="0"/>
        <w:ind w:left="2246" w:right="2235" w:firstLine="0"/>
        <w:jc w:val="both"/>
        <w:rPr>
          <w:sz w:val="20"/>
        </w:rPr>
      </w:pPr>
      <w:r>
        <w:rPr>
          <w:sz w:val="20"/>
        </w:rPr>
        <w:t>One </w:t>
      </w:r>
      <w:r>
        <w:rPr>
          <w:i/>
          <w:sz w:val="20"/>
        </w:rPr>
        <w:t>Associate Witness Protection Training Officer (P-2), 12 months. Continued.</w:t>
      </w:r>
      <w:r>
        <w:rPr>
          <w:i/>
          <w:sz w:val="20"/>
        </w:rPr>
        <w:t> Multi-year. </w:t>
      </w:r>
      <w:r>
        <w:rPr>
          <w:sz w:val="20"/>
        </w:rPr>
        <w:t>This position supports the implementation of VWS’s specialized witness protection training and development plan. It is required to enable VWS to continue its training strategy and to ensure the development, coordination, maintenance and delivery of the VWS training programme, which equips staff with a consolidated understanding of protection, risk and case management concepts necessary to implement the Section’s mandate.</w:t>
      </w:r>
      <w:r>
        <w:rPr>
          <w:spacing w:val="-4"/>
          <w:sz w:val="20"/>
        </w:rPr>
        <w:t> </w:t>
      </w:r>
      <w:r>
        <w:rPr>
          <w:sz w:val="20"/>
        </w:rPr>
        <w:t>The</w:t>
      </w:r>
      <w:r>
        <w:rPr>
          <w:spacing w:val="-2"/>
          <w:sz w:val="20"/>
        </w:rPr>
        <w:t> </w:t>
      </w:r>
      <w:r>
        <w:rPr>
          <w:sz w:val="20"/>
        </w:rPr>
        <w:t>incumbent</w:t>
      </w:r>
      <w:r>
        <w:rPr>
          <w:spacing w:val="-2"/>
          <w:sz w:val="20"/>
        </w:rPr>
        <w:t> </w:t>
      </w:r>
      <w:r>
        <w:rPr>
          <w:sz w:val="20"/>
        </w:rPr>
        <w:t>also works</w:t>
      </w:r>
      <w:r>
        <w:rPr>
          <w:spacing w:val="-5"/>
          <w:sz w:val="20"/>
        </w:rPr>
        <w:t> </w:t>
      </w:r>
      <w:r>
        <w:rPr>
          <w:sz w:val="20"/>
        </w:rPr>
        <w:t>with staff</w:t>
      </w:r>
      <w:r>
        <w:rPr>
          <w:spacing w:val="-4"/>
          <w:sz w:val="20"/>
        </w:rPr>
        <w:t> </w:t>
      </w:r>
      <w:r>
        <w:rPr>
          <w:sz w:val="20"/>
        </w:rPr>
        <w:t>to</w:t>
      </w:r>
      <w:r>
        <w:rPr>
          <w:spacing w:val="-4"/>
          <w:sz w:val="20"/>
        </w:rPr>
        <w:t> </w:t>
      </w:r>
      <w:r>
        <w:rPr>
          <w:sz w:val="20"/>
        </w:rPr>
        <w:t>apply</w:t>
      </w:r>
      <w:r>
        <w:rPr>
          <w:spacing w:val="-4"/>
          <w:sz w:val="20"/>
        </w:rPr>
        <w:t> </w:t>
      </w:r>
      <w:r>
        <w:rPr>
          <w:sz w:val="20"/>
        </w:rPr>
        <w:t>the</w:t>
      </w:r>
      <w:r>
        <w:rPr>
          <w:spacing w:val="-2"/>
          <w:sz w:val="20"/>
        </w:rPr>
        <w:t> </w:t>
      </w:r>
      <w:r>
        <w:rPr>
          <w:sz w:val="20"/>
        </w:rPr>
        <w:t>required standards</w:t>
      </w:r>
      <w:r>
        <w:rPr>
          <w:spacing w:val="-5"/>
          <w:sz w:val="20"/>
        </w:rPr>
        <w:t> </w:t>
      </w:r>
      <w:r>
        <w:rPr>
          <w:sz w:val="20"/>
        </w:rPr>
        <w:t>of operations, a necessity since confidentiality challenges in witness protection and risk reduction techniques are constantly evolving. Furthermore, protection processes must be adapted to changing sociopolitical situations in any particular region of operations. The continuing professional</w:t>
      </w:r>
      <w:r>
        <w:rPr>
          <w:spacing w:val="-13"/>
          <w:sz w:val="20"/>
        </w:rPr>
        <w:t> </w:t>
      </w:r>
      <w:r>
        <w:rPr>
          <w:sz w:val="20"/>
        </w:rPr>
        <w:t>development</w:t>
      </w:r>
      <w:r>
        <w:rPr>
          <w:spacing w:val="-12"/>
          <w:sz w:val="20"/>
        </w:rPr>
        <w:t> </w:t>
      </w:r>
      <w:r>
        <w:rPr>
          <w:sz w:val="20"/>
        </w:rPr>
        <w:t>of</w:t>
      </w:r>
      <w:r>
        <w:rPr>
          <w:spacing w:val="-13"/>
          <w:sz w:val="20"/>
        </w:rPr>
        <w:t> </w:t>
      </w:r>
      <w:r>
        <w:rPr>
          <w:sz w:val="20"/>
        </w:rPr>
        <w:t>VWS</w:t>
      </w:r>
      <w:r>
        <w:rPr>
          <w:spacing w:val="-12"/>
          <w:sz w:val="20"/>
        </w:rPr>
        <w:t> </w:t>
      </w:r>
      <w:r>
        <w:rPr>
          <w:sz w:val="20"/>
        </w:rPr>
        <w:t>staff</w:t>
      </w:r>
      <w:r>
        <w:rPr>
          <w:spacing w:val="-13"/>
          <w:sz w:val="20"/>
        </w:rPr>
        <w:t> </w:t>
      </w:r>
      <w:r>
        <w:rPr>
          <w:sz w:val="20"/>
        </w:rPr>
        <w:t>members</w:t>
      </w:r>
      <w:r>
        <w:rPr>
          <w:spacing w:val="-12"/>
          <w:sz w:val="20"/>
        </w:rPr>
        <w:t> </w:t>
      </w:r>
      <w:r>
        <w:rPr>
          <w:sz w:val="20"/>
        </w:rPr>
        <w:t>in</w:t>
      </w:r>
      <w:r>
        <w:rPr>
          <w:spacing w:val="-13"/>
          <w:sz w:val="20"/>
        </w:rPr>
        <w:t> </w:t>
      </w:r>
      <w:r>
        <w:rPr>
          <w:sz w:val="20"/>
        </w:rPr>
        <w:t>the</w:t>
      </w:r>
      <w:r>
        <w:rPr>
          <w:spacing w:val="-12"/>
          <w:sz w:val="20"/>
        </w:rPr>
        <w:t> </w:t>
      </w:r>
      <w:r>
        <w:rPr>
          <w:sz w:val="20"/>
        </w:rPr>
        <w:t>area</w:t>
      </w:r>
      <w:r>
        <w:rPr>
          <w:spacing w:val="-13"/>
          <w:sz w:val="20"/>
        </w:rPr>
        <w:t> </w:t>
      </w:r>
      <w:r>
        <w:rPr>
          <w:sz w:val="20"/>
        </w:rPr>
        <w:t>of</w:t>
      </w:r>
      <w:r>
        <w:rPr>
          <w:spacing w:val="-12"/>
          <w:sz w:val="20"/>
        </w:rPr>
        <w:t> </w:t>
      </w:r>
      <w:r>
        <w:rPr>
          <w:sz w:val="20"/>
        </w:rPr>
        <w:t>witness</w:t>
      </w:r>
      <w:r>
        <w:rPr>
          <w:spacing w:val="-13"/>
          <w:sz w:val="20"/>
        </w:rPr>
        <w:t> </w:t>
      </w:r>
      <w:r>
        <w:rPr>
          <w:sz w:val="20"/>
        </w:rPr>
        <w:t>protection</w:t>
      </w:r>
      <w:r>
        <w:rPr>
          <w:spacing w:val="-12"/>
          <w:sz w:val="20"/>
        </w:rPr>
        <w:t> </w:t>
      </w:r>
      <w:r>
        <w:rPr>
          <w:sz w:val="20"/>
        </w:rPr>
        <w:t>is</w:t>
      </w:r>
      <w:r>
        <w:rPr>
          <w:spacing w:val="-13"/>
          <w:sz w:val="20"/>
        </w:rPr>
        <w:t> </w:t>
      </w:r>
      <w:r>
        <w:rPr>
          <w:sz w:val="20"/>
        </w:rPr>
        <w:t>therefore critical to the efficient functioning of the Section and to the protection of the Court’s witnesses and victims.</w:t>
      </w:r>
    </w:p>
    <w:p>
      <w:pPr>
        <w:pStyle w:val="ListParagraph"/>
        <w:numPr>
          <w:ilvl w:val="0"/>
          <w:numId w:val="4"/>
        </w:numPr>
        <w:tabs>
          <w:tab w:pos="2967" w:val="left" w:leader="none"/>
        </w:tabs>
        <w:spacing w:line="240" w:lineRule="auto" w:before="122" w:after="0"/>
        <w:ind w:left="2246" w:right="2241" w:firstLine="0"/>
        <w:jc w:val="both"/>
        <w:rPr>
          <w:sz w:val="20"/>
        </w:rPr>
      </w:pPr>
      <w:r>
        <w:rPr>
          <w:sz w:val="20"/>
        </w:rPr>
        <w:t>One</w:t>
      </w:r>
      <w:r>
        <w:rPr>
          <w:spacing w:val="-4"/>
          <w:sz w:val="20"/>
        </w:rPr>
        <w:t> </w:t>
      </w:r>
      <w:r>
        <w:rPr>
          <w:i/>
          <w:sz w:val="20"/>
        </w:rPr>
        <w:t>Associate</w:t>
      </w:r>
      <w:r>
        <w:rPr>
          <w:i/>
          <w:spacing w:val="-4"/>
          <w:sz w:val="20"/>
        </w:rPr>
        <w:t> </w:t>
      </w:r>
      <w:r>
        <w:rPr>
          <w:i/>
          <w:sz w:val="20"/>
        </w:rPr>
        <w:t>Case</w:t>
      </w:r>
      <w:r>
        <w:rPr>
          <w:i/>
          <w:spacing w:val="-4"/>
          <w:sz w:val="20"/>
        </w:rPr>
        <w:t> </w:t>
      </w:r>
      <w:r>
        <w:rPr>
          <w:i/>
          <w:sz w:val="20"/>
        </w:rPr>
        <w:t>Development</w:t>
      </w:r>
      <w:r>
        <w:rPr>
          <w:i/>
          <w:spacing w:val="-4"/>
          <w:sz w:val="20"/>
        </w:rPr>
        <w:t> </w:t>
      </w:r>
      <w:r>
        <w:rPr>
          <w:i/>
          <w:sz w:val="20"/>
        </w:rPr>
        <w:t>Officer</w:t>
      </w:r>
      <w:r>
        <w:rPr>
          <w:i/>
          <w:spacing w:val="-7"/>
          <w:sz w:val="20"/>
        </w:rPr>
        <w:t> </w:t>
      </w:r>
      <w:r>
        <w:rPr>
          <w:i/>
          <w:sz w:val="20"/>
        </w:rPr>
        <w:t>(P-2),</w:t>
      </w:r>
      <w:r>
        <w:rPr>
          <w:i/>
          <w:spacing w:val="-3"/>
          <w:sz w:val="20"/>
        </w:rPr>
        <w:t> </w:t>
      </w:r>
      <w:r>
        <w:rPr>
          <w:i/>
          <w:sz w:val="20"/>
        </w:rPr>
        <w:t>12</w:t>
      </w:r>
      <w:r>
        <w:rPr>
          <w:i/>
          <w:spacing w:val="-6"/>
          <w:sz w:val="20"/>
        </w:rPr>
        <w:t> </w:t>
      </w:r>
      <w:r>
        <w:rPr>
          <w:i/>
          <w:sz w:val="20"/>
        </w:rPr>
        <w:t>months.</w:t>
      </w:r>
      <w:r>
        <w:rPr>
          <w:i/>
          <w:spacing w:val="-8"/>
          <w:sz w:val="20"/>
        </w:rPr>
        <w:t> </w:t>
      </w:r>
      <w:r>
        <w:rPr>
          <w:i/>
          <w:sz w:val="20"/>
        </w:rPr>
        <w:t>Continued.</w:t>
      </w:r>
      <w:r>
        <w:rPr>
          <w:i/>
          <w:spacing w:val="-3"/>
          <w:sz w:val="20"/>
        </w:rPr>
        <w:t> </w:t>
      </w:r>
      <w:r>
        <w:rPr>
          <w:i/>
          <w:sz w:val="20"/>
        </w:rPr>
        <w:t>Multi-year.</w:t>
      </w:r>
      <w:r>
        <w:rPr>
          <w:i/>
          <w:sz w:val="20"/>
        </w:rPr>
        <w:t> </w:t>
      </w:r>
      <w:r>
        <w:rPr>
          <w:sz w:val="20"/>
        </w:rPr>
        <w:t>This</w:t>
      </w:r>
      <w:r>
        <w:rPr>
          <w:spacing w:val="80"/>
          <w:sz w:val="20"/>
        </w:rPr>
        <w:t> </w:t>
      </w:r>
      <w:r>
        <w:rPr>
          <w:sz w:val="20"/>
        </w:rPr>
        <w:t>position</w:t>
      </w:r>
      <w:r>
        <w:rPr>
          <w:spacing w:val="80"/>
          <w:sz w:val="20"/>
        </w:rPr>
        <w:t> </w:t>
      </w:r>
      <w:r>
        <w:rPr>
          <w:sz w:val="20"/>
        </w:rPr>
        <w:t>provides</w:t>
      </w:r>
      <w:r>
        <w:rPr>
          <w:spacing w:val="80"/>
          <w:sz w:val="20"/>
        </w:rPr>
        <w:t> </w:t>
      </w:r>
      <w:r>
        <w:rPr>
          <w:sz w:val="20"/>
        </w:rPr>
        <w:t>the</w:t>
      </w:r>
      <w:r>
        <w:rPr>
          <w:spacing w:val="80"/>
          <w:sz w:val="20"/>
        </w:rPr>
        <w:t> </w:t>
      </w:r>
      <w:r>
        <w:rPr>
          <w:sz w:val="20"/>
        </w:rPr>
        <w:t>continuity</w:t>
      </w:r>
      <w:r>
        <w:rPr>
          <w:spacing w:val="80"/>
          <w:sz w:val="20"/>
        </w:rPr>
        <w:t> </w:t>
      </w:r>
      <w:r>
        <w:rPr>
          <w:sz w:val="20"/>
        </w:rPr>
        <w:t>necessary</w:t>
      </w:r>
      <w:r>
        <w:rPr>
          <w:spacing w:val="80"/>
          <w:sz w:val="20"/>
        </w:rPr>
        <w:t> </w:t>
      </w:r>
      <w:r>
        <w:rPr>
          <w:sz w:val="20"/>
        </w:rPr>
        <w:t>for</w:t>
      </w:r>
      <w:r>
        <w:rPr>
          <w:spacing w:val="80"/>
          <w:sz w:val="20"/>
        </w:rPr>
        <w:t> </w:t>
      </w:r>
      <w:r>
        <w:rPr>
          <w:sz w:val="20"/>
        </w:rPr>
        <w:t>case</w:t>
      </w:r>
      <w:r>
        <w:rPr>
          <w:spacing w:val="80"/>
          <w:sz w:val="20"/>
        </w:rPr>
        <w:t> </w:t>
      </w:r>
      <w:r>
        <w:rPr>
          <w:sz w:val="20"/>
        </w:rPr>
        <w:t>development</w:t>
      </w:r>
      <w:r>
        <w:rPr>
          <w:spacing w:val="80"/>
          <w:sz w:val="20"/>
        </w:rPr>
        <w:t> </w:t>
      </w:r>
      <w:r>
        <w:rPr>
          <w:sz w:val="20"/>
        </w:rPr>
        <w:t>and information-gathering in situations before the Court. This unique position within the VWS case</w:t>
      </w:r>
      <w:r>
        <w:rPr>
          <w:spacing w:val="-7"/>
          <w:sz w:val="20"/>
        </w:rPr>
        <w:t> </w:t>
      </w:r>
      <w:r>
        <w:rPr>
          <w:sz w:val="20"/>
        </w:rPr>
        <w:t>development</w:t>
      </w:r>
      <w:r>
        <w:rPr>
          <w:spacing w:val="-7"/>
          <w:sz w:val="20"/>
        </w:rPr>
        <w:t> </w:t>
      </w:r>
      <w:r>
        <w:rPr>
          <w:sz w:val="20"/>
        </w:rPr>
        <w:t>team</w:t>
      </w:r>
      <w:r>
        <w:rPr>
          <w:spacing w:val="-7"/>
          <w:sz w:val="20"/>
        </w:rPr>
        <w:t> </w:t>
      </w:r>
      <w:r>
        <w:rPr>
          <w:sz w:val="20"/>
        </w:rPr>
        <w:t>is</w:t>
      </w:r>
      <w:r>
        <w:rPr>
          <w:spacing w:val="-5"/>
          <w:sz w:val="20"/>
        </w:rPr>
        <w:t> </w:t>
      </w:r>
      <w:r>
        <w:rPr>
          <w:sz w:val="20"/>
        </w:rPr>
        <w:t>required</w:t>
      </w:r>
      <w:r>
        <w:rPr>
          <w:spacing w:val="-4"/>
          <w:sz w:val="20"/>
        </w:rPr>
        <w:t> </w:t>
      </w:r>
      <w:r>
        <w:rPr>
          <w:sz w:val="20"/>
        </w:rPr>
        <w:t>to</w:t>
      </w:r>
      <w:r>
        <w:rPr>
          <w:spacing w:val="-4"/>
          <w:sz w:val="20"/>
        </w:rPr>
        <w:t> </w:t>
      </w:r>
      <w:r>
        <w:rPr>
          <w:sz w:val="20"/>
        </w:rPr>
        <w:t>support</w:t>
      </w:r>
      <w:r>
        <w:rPr>
          <w:spacing w:val="-7"/>
          <w:sz w:val="20"/>
        </w:rPr>
        <w:t> </w:t>
      </w:r>
      <w:r>
        <w:rPr>
          <w:sz w:val="20"/>
        </w:rPr>
        <w:t>VWS</w:t>
      </w:r>
      <w:r>
        <w:rPr>
          <w:spacing w:val="-10"/>
          <w:sz w:val="20"/>
        </w:rPr>
        <w:t> </w:t>
      </w:r>
      <w:r>
        <w:rPr>
          <w:sz w:val="20"/>
        </w:rPr>
        <w:t>in</w:t>
      </w:r>
      <w:r>
        <w:rPr>
          <w:spacing w:val="-8"/>
          <w:sz w:val="20"/>
        </w:rPr>
        <w:t> </w:t>
      </w:r>
      <w:r>
        <w:rPr>
          <w:sz w:val="20"/>
        </w:rPr>
        <w:t>monitoring</w:t>
      </w:r>
      <w:r>
        <w:rPr>
          <w:spacing w:val="-8"/>
          <w:sz w:val="20"/>
        </w:rPr>
        <w:t> </w:t>
      </w:r>
      <w:r>
        <w:rPr>
          <w:sz w:val="20"/>
        </w:rPr>
        <w:t>and</w:t>
      </w:r>
      <w:r>
        <w:rPr>
          <w:spacing w:val="-8"/>
          <w:sz w:val="20"/>
        </w:rPr>
        <w:t> </w:t>
      </w:r>
      <w:r>
        <w:rPr>
          <w:sz w:val="20"/>
        </w:rPr>
        <w:t>reviewing</w:t>
      </w:r>
      <w:r>
        <w:rPr>
          <w:spacing w:val="-8"/>
          <w:sz w:val="20"/>
        </w:rPr>
        <w:t> </w:t>
      </w:r>
      <w:r>
        <w:rPr>
          <w:sz w:val="20"/>
        </w:rPr>
        <w:t>the</w:t>
      </w:r>
      <w:r>
        <w:rPr>
          <w:spacing w:val="-2"/>
          <w:sz w:val="20"/>
        </w:rPr>
        <w:t> </w:t>
      </w:r>
      <w:r>
        <w:rPr>
          <w:sz w:val="20"/>
        </w:rPr>
        <w:t>security situation</w:t>
      </w:r>
      <w:r>
        <w:rPr>
          <w:spacing w:val="-3"/>
          <w:sz w:val="20"/>
        </w:rPr>
        <w:t> </w:t>
      </w:r>
      <w:r>
        <w:rPr>
          <w:sz w:val="20"/>
        </w:rPr>
        <w:t>not</w:t>
      </w:r>
      <w:r>
        <w:rPr>
          <w:spacing w:val="-6"/>
          <w:sz w:val="20"/>
        </w:rPr>
        <w:t> </w:t>
      </w:r>
      <w:r>
        <w:rPr>
          <w:sz w:val="20"/>
        </w:rPr>
        <w:t>only</w:t>
      </w:r>
      <w:r>
        <w:rPr>
          <w:spacing w:val="-7"/>
          <w:sz w:val="20"/>
        </w:rPr>
        <w:t> </w:t>
      </w:r>
      <w:r>
        <w:rPr>
          <w:sz w:val="20"/>
        </w:rPr>
        <w:t>in</w:t>
      </w:r>
      <w:r>
        <w:rPr>
          <w:spacing w:val="-7"/>
          <w:sz w:val="20"/>
        </w:rPr>
        <w:t> </w:t>
      </w:r>
      <w:r>
        <w:rPr>
          <w:sz w:val="20"/>
        </w:rPr>
        <w:t>the</w:t>
      </w:r>
      <w:r>
        <w:rPr>
          <w:spacing w:val="-6"/>
          <w:sz w:val="20"/>
        </w:rPr>
        <w:t> </w:t>
      </w:r>
      <w:r>
        <w:rPr>
          <w:sz w:val="20"/>
        </w:rPr>
        <w:t>CAR, Darfur, Mali</w:t>
      </w:r>
      <w:r>
        <w:rPr>
          <w:spacing w:val="-6"/>
          <w:sz w:val="20"/>
        </w:rPr>
        <w:t> </w:t>
      </w:r>
      <w:r>
        <w:rPr>
          <w:sz w:val="20"/>
        </w:rPr>
        <w:t>and</w:t>
      </w:r>
      <w:r>
        <w:rPr>
          <w:spacing w:val="-7"/>
          <w:sz w:val="20"/>
        </w:rPr>
        <w:t> </w:t>
      </w:r>
      <w:r>
        <w:rPr>
          <w:sz w:val="20"/>
        </w:rPr>
        <w:t>Libya</w:t>
      </w:r>
      <w:r>
        <w:rPr>
          <w:spacing w:val="-6"/>
          <w:sz w:val="20"/>
        </w:rPr>
        <w:t> </w:t>
      </w:r>
      <w:r>
        <w:rPr>
          <w:sz w:val="20"/>
        </w:rPr>
        <w:t>but</w:t>
      </w:r>
      <w:r>
        <w:rPr>
          <w:spacing w:val="-6"/>
          <w:sz w:val="20"/>
        </w:rPr>
        <w:t> </w:t>
      </w:r>
      <w:r>
        <w:rPr>
          <w:sz w:val="20"/>
        </w:rPr>
        <w:t>also</w:t>
      </w:r>
      <w:r>
        <w:rPr>
          <w:spacing w:val="-3"/>
          <w:sz w:val="20"/>
        </w:rPr>
        <w:t> </w:t>
      </w:r>
      <w:r>
        <w:rPr>
          <w:sz w:val="20"/>
        </w:rPr>
        <w:t>in</w:t>
      </w:r>
      <w:r>
        <w:rPr>
          <w:spacing w:val="-3"/>
          <w:sz w:val="20"/>
        </w:rPr>
        <w:t> </w:t>
      </w:r>
      <w:r>
        <w:rPr>
          <w:sz w:val="20"/>
        </w:rPr>
        <w:t>the</w:t>
      </w:r>
      <w:r>
        <w:rPr>
          <w:spacing w:val="-1"/>
          <w:sz w:val="20"/>
        </w:rPr>
        <w:t> </w:t>
      </w:r>
      <w:r>
        <w:rPr>
          <w:sz w:val="20"/>
        </w:rPr>
        <w:t>new</w:t>
      </w:r>
      <w:r>
        <w:rPr>
          <w:spacing w:val="-4"/>
          <w:sz w:val="20"/>
        </w:rPr>
        <w:t> </w:t>
      </w:r>
      <w:r>
        <w:rPr>
          <w:sz w:val="20"/>
        </w:rPr>
        <w:t>situation</w:t>
      </w:r>
      <w:r>
        <w:rPr>
          <w:spacing w:val="-7"/>
          <w:sz w:val="20"/>
        </w:rPr>
        <w:t> </w:t>
      </w:r>
      <w:r>
        <w:rPr>
          <w:sz w:val="20"/>
        </w:rPr>
        <w:t>countries of Afghanistan, Ukraine, Bangladesh/Myanmar and the Philippines and in other conflict/post-conflict areas where the Court operates. The position specifically brings the necessary</w:t>
      </w:r>
      <w:r>
        <w:rPr>
          <w:spacing w:val="-4"/>
          <w:sz w:val="20"/>
        </w:rPr>
        <w:t> </w:t>
      </w:r>
      <w:r>
        <w:rPr>
          <w:sz w:val="20"/>
        </w:rPr>
        <w:t>military</w:t>
      </w:r>
      <w:r>
        <w:rPr>
          <w:spacing w:val="-4"/>
          <w:sz w:val="20"/>
        </w:rPr>
        <w:t> </w:t>
      </w:r>
      <w:r>
        <w:rPr>
          <w:sz w:val="20"/>
        </w:rPr>
        <w:t>expertise to ensure that</w:t>
      </w:r>
      <w:r>
        <w:rPr>
          <w:spacing w:val="-2"/>
          <w:sz w:val="20"/>
        </w:rPr>
        <w:t> </w:t>
      </w:r>
      <w:r>
        <w:rPr>
          <w:sz w:val="20"/>
        </w:rPr>
        <w:t>threat actors operating</w:t>
      </w:r>
      <w:r>
        <w:rPr>
          <w:spacing w:val="-4"/>
          <w:sz w:val="20"/>
        </w:rPr>
        <w:t> </w:t>
      </w:r>
      <w:r>
        <w:rPr>
          <w:sz w:val="20"/>
        </w:rPr>
        <w:t>in those conflict zones are properly</w:t>
      </w:r>
      <w:r>
        <w:rPr>
          <w:spacing w:val="-5"/>
          <w:sz w:val="20"/>
        </w:rPr>
        <w:t> </w:t>
      </w:r>
      <w:r>
        <w:rPr>
          <w:sz w:val="20"/>
        </w:rPr>
        <w:t>identified,</w:t>
      </w:r>
      <w:r>
        <w:rPr>
          <w:spacing w:val="-2"/>
          <w:sz w:val="20"/>
        </w:rPr>
        <w:t> </w:t>
      </w:r>
      <w:r>
        <w:rPr>
          <w:sz w:val="20"/>
        </w:rPr>
        <w:t>that</w:t>
      </w:r>
      <w:r>
        <w:rPr>
          <w:spacing w:val="-3"/>
          <w:sz w:val="20"/>
        </w:rPr>
        <w:t> </w:t>
      </w:r>
      <w:r>
        <w:rPr>
          <w:sz w:val="20"/>
        </w:rPr>
        <w:t>their</w:t>
      </w:r>
      <w:r>
        <w:rPr>
          <w:spacing w:val="-5"/>
          <w:sz w:val="20"/>
        </w:rPr>
        <w:t> </w:t>
      </w:r>
      <w:r>
        <w:rPr>
          <w:sz w:val="20"/>
        </w:rPr>
        <w:t>military/rebels’</w:t>
      </w:r>
      <w:r>
        <w:rPr>
          <w:spacing w:val="-5"/>
          <w:sz w:val="20"/>
        </w:rPr>
        <w:t> </w:t>
      </w:r>
      <w:r>
        <w:rPr>
          <w:sz w:val="20"/>
        </w:rPr>
        <w:t>strategies,</w:t>
      </w:r>
      <w:r>
        <w:rPr>
          <w:spacing w:val="-2"/>
          <w:sz w:val="20"/>
        </w:rPr>
        <w:t> </w:t>
      </w:r>
      <w:r>
        <w:rPr>
          <w:sz w:val="20"/>
        </w:rPr>
        <w:t>capabilities</w:t>
      </w:r>
      <w:r>
        <w:rPr>
          <w:spacing w:val="-5"/>
          <w:sz w:val="20"/>
        </w:rPr>
        <w:t> </w:t>
      </w:r>
      <w:r>
        <w:rPr>
          <w:sz w:val="20"/>
        </w:rPr>
        <w:t>and</w:t>
      </w:r>
      <w:r>
        <w:rPr>
          <w:spacing w:val="-5"/>
          <w:sz w:val="20"/>
        </w:rPr>
        <w:t> </w:t>
      </w:r>
      <w:r>
        <w:rPr>
          <w:sz w:val="20"/>
        </w:rPr>
        <w:t>modus</w:t>
      </w:r>
      <w:r>
        <w:rPr>
          <w:spacing w:val="-5"/>
          <w:sz w:val="20"/>
        </w:rPr>
        <w:t> </w:t>
      </w:r>
      <w:r>
        <w:rPr>
          <w:sz w:val="20"/>
        </w:rPr>
        <w:t>operandi</w:t>
      </w:r>
      <w:r>
        <w:rPr>
          <w:spacing w:val="-3"/>
          <w:sz w:val="20"/>
        </w:rPr>
        <w:t> </w:t>
      </w:r>
      <w:r>
        <w:rPr>
          <w:sz w:val="20"/>
        </w:rPr>
        <w:t>are analysed and understood, and that the risk they pose to witnesses and victims in hostile environments is assessed accordingly.</w:t>
      </w:r>
    </w:p>
    <w:p>
      <w:pPr>
        <w:pStyle w:val="ListParagraph"/>
        <w:numPr>
          <w:ilvl w:val="0"/>
          <w:numId w:val="4"/>
        </w:numPr>
        <w:tabs>
          <w:tab w:pos="2967" w:val="left" w:leader="none"/>
        </w:tabs>
        <w:spacing w:line="240" w:lineRule="auto" w:before="120" w:after="0"/>
        <w:ind w:left="2246" w:right="2239" w:firstLine="0"/>
        <w:jc w:val="both"/>
        <w:rPr>
          <w:sz w:val="20"/>
        </w:rPr>
      </w:pPr>
      <w:r>
        <w:rPr>
          <w:sz w:val="20"/>
        </w:rPr>
        <w:t>One </w:t>
      </w:r>
      <w:r>
        <w:rPr>
          <w:i/>
          <w:sz w:val="20"/>
        </w:rPr>
        <w:t>Team</w:t>
      </w:r>
      <w:r>
        <w:rPr>
          <w:i/>
          <w:spacing w:val="-1"/>
          <w:sz w:val="20"/>
        </w:rPr>
        <w:t> </w:t>
      </w:r>
      <w:r>
        <w:rPr>
          <w:i/>
          <w:sz w:val="20"/>
        </w:rPr>
        <w:t>Leader (P-3), 12 months. Continued. Multi-year. </w:t>
      </w:r>
      <w:r>
        <w:rPr>
          <w:sz w:val="20"/>
        </w:rPr>
        <w:t>This position in VWS exercises</w:t>
      </w:r>
      <w:r>
        <w:rPr>
          <w:spacing w:val="-1"/>
          <w:sz w:val="20"/>
        </w:rPr>
        <w:t> </w:t>
      </w:r>
      <w:r>
        <w:rPr>
          <w:sz w:val="20"/>
        </w:rPr>
        <w:t>the</w:t>
      </w:r>
      <w:r>
        <w:rPr>
          <w:spacing w:val="-3"/>
          <w:sz w:val="20"/>
        </w:rPr>
        <w:t> </w:t>
      </w:r>
      <w:r>
        <w:rPr>
          <w:sz w:val="20"/>
        </w:rPr>
        <w:t>coordination</w:t>
      </w:r>
      <w:r>
        <w:rPr>
          <w:spacing w:val="-5"/>
          <w:sz w:val="20"/>
        </w:rPr>
        <w:t> </w:t>
      </w:r>
      <w:r>
        <w:rPr>
          <w:sz w:val="20"/>
        </w:rPr>
        <w:t>functions</w:t>
      </w:r>
      <w:r>
        <w:rPr>
          <w:spacing w:val="-6"/>
          <w:sz w:val="20"/>
        </w:rPr>
        <w:t> </w:t>
      </w:r>
      <w:r>
        <w:rPr>
          <w:sz w:val="20"/>
        </w:rPr>
        <w:t>and</w:t>
      </w:r>
      <w:r>
        <w:rPr>
          <w:spacing w:val="-5"/>
          <w:sz w:val="20"/>
        </w:rPr>
        <w:t> </w:t>
      </w:r>
      <w:r>
        <w:rPr>
          <w:sz w:val="20"/>
        </w:rPr>
        <w:t>manages</w:t>
      </w:r>
      <w:r>
        <w:rPr>
          <w:spacing w:val="-1"/>
          <w:sz w:val="20"/>
        </w:rPr>
        <w:t> </w:t>
      </w:r>
      <w:r>
        <w:rPr>
          <w:sz w:val="20"/>
        </w:rPr>
        <w:t>day-to-day</w:t>
      </w:r>
      <w:r>
        <w:rPr>
          <w:spacing w:val="-4"/>
          <w:sz w:val="20"/>
        </w:rPr>
        <w:t> </w:t>
      </w:r>
      <w:r>
        <w:rPr>
          <w:sz w:val="20"/>
        </w:rPr>
        <w:t>operations</w:t>
      </w:r>
      <w:r>
        <w:rPr>
          <w:spacing w:val="-6"/>
          <w:sz w:val="20"/>
        </w:rPr>
        <w:t> </w:t>
      </w:r>
      <w:r>
        <w:rPr>
          <w:sz w:val="20"/>
        </w:rPr>
        <w:t>from</w:t>
      </w:r>
      <w:r>
        <w:rPr>
          <w:spacing w:val="-3"/>
          <w:sz w:val="20"/>
        </w:rPr>
        <w:t> </w:t>
      </w:r>
      <w:r>
        <w:rPr>
          <w:sz w:val="20"/>
        </w:rPr>
        <w:t>Headquarters, including</w:t>
      </w:r>
      <w:r>
        <w:rPr>
          <w:spacing w:val="-2"/>
          <w:sz w:val="20"/>
        </w:rPr>
        <w:t> </w:t>
      </w:r>
      <w:r>
        <w:rPr>
          <w:sz w:val="20"/>
        </w:rPr>
        <w:t>overseeing</w:t>
      </w:r>
      <w:r>
        <w:rPr>
          <w:spacing w:val="-7"/>
          <w:sz w:val="20"/>
        </w:rPr>
        <w:t> </w:t>
      </w:r>
      <w:r>
        <w:rPr>
          <w:sz w:val="20"/>
        </w:rPr>
        <w:t>activities</w:t>
      </w:r>
      <w:r>
        <w:rPr>
          <w:spacing w:val="-9"/>
          <w:sz w:val="20"/>
        </w:rPr>
        <w:t> </w:t>
      </w:r>
      <w:r>
        <w:rPr>
          <w:sz w:val="20"/>
        </w:rPr>
        <w:t>in</w:t>
      </w:r>
      <w:r>
        <w:rPr>
          <w:spacing w:val="-2"/>
          <w:sz w:val="20"/>
        </w:rPr>
        <w:t> </w:t>
      </w:r>
      <w:r>
        <w:rPr>
          <w:sz w:val="20"/>
        </w:rPr>
        <w:t>relation</w:t>
      </w:r>
      <w:r>
        <w:rPr>
          <w:spacing w:val="-2"/>
          <w:sz w:val="20"/>
        </w:rPr>
        <w:t> </w:t>
      </w:r>
      <w:r>
        <w:rPr>
          <w:sz w:val="20"/>
        </w:rPr>
        <w:t>to</w:t>
      </w:r>
      <w:r>
        <w:rPr>
          <w:spacing w:val="-7"/>
          <w:sz w:val="20"/>
        </w:rPr>
        <w:t> </w:t>
      </w:r>
      <w:r>
        <w:rPr>
          <w:sz w:val="20"/>
        </w:rPr>
        <w:t>trial</w:t>
      </w:r>
      <w:r>
        <w:rPr>
          <w:spacing w:val="-5"/>
          <w:sz w:val="20"/>
        </w:rPr>
        <w:t> </w:t>
      </w:r>
      <w:r>
        <w:rPr>
          <w:sz w:val="20"/>
        </w:rPr>
        <w:t>operations</w:t>
      </w:r>
      <w:r>
        <w:rPr>
          <w:spacing w:val="-9"/>
          <w:sz w:val="20"/>
        </w:rPr>
        <w:t> </w:t>
      </w:r>
      <w:r>
        <w:rPr>
          <w:sz w:val="20"/>
        </w:rPr>
        <w:t>as</w:t>
      </w:r>
      <w:r>
        <w:rPr>
          <w:spacing w:val="-3"/>
          <w:sz w:val="20"/>
        </w:rPr>
        <w:t> </w:t>
      </w:r>
      <w:r>
        <w:rPr>
          <w:sz w:val="20"/>
        </w:rPr>
        <w:t>well</w:t>
      </w:r>
      <w:r>
        <w:rPr>
          <w:spacing w:val="-5"/>
          <w:sz w:val="20"/>
        </w:rPr>
        <w:t> </w:t>
      </w:r>
      <w:r>
        <w:rPr>
          <w:sz w:val="20"/>
        </w:rPr>
        <w:t>as</w:t>
      </w:r>
      <w:r>
        <w:rPr>
          <w:spacing w:val="-3"/>
          <w:sz w:val="20"/>
        </w:rPr>
        <w:t> </w:t>
      </w:r>
      <w:r>
        <w:rPr>
          <w:sz w:val="20"/>
        </w:rPr>
        <w:t>logistics</w:t>
      </w:r>
      <w:r>
        <w:rPr>
          <w:spacing w:val="-3"/>
          <w:sz w:val="20"/>
        </w:rPr>
        <w:t> </w:t>
      </w:r>
      <w:r>
        <w:rPr>
          <w:sz w:val="20"/>
        </w:rPr>
        <w:t>and</w:t>
      </w:r>
      <w:r>
        <w:rPr>
          <w:spacing w:val="-7"/>
          <w:sz w:val="20"/>
        </w:rPr>
        <w:t> </w:t>
      </w:r>
      <w:r>
        <w:rPr>
          <w:sz w:val="20"/>
        </w:rPr>
        <w:t>manages international</w:t>
      </w:r>
      <w:r>
        <w:rPr>
          <w:spacing w:val="-6"/>
          <w:sz w:val="20"/>
        </w:rPr>
        <w:t> </w:t>
      </w:r>
      <w:r>
        <w:rPr>
          <w:sz w:val="20"/>
        </w:rPr>
        <w:t>witnesses</w:t>
      </w:r>
      <w:r>
        <w:rPr>
          <w:spacing w:val="-9"/>
          <w:sz w:val="20"/>
        </w:rPr>
        <w:t> </w:t>
      </w:r>
      <w:r>
        <w:rPr>
          <w:sz w:val="20"/>
        </w:rPr>
        <w:t>and</w:t>
      </w:r>
      <w:r>
        <w:rPr>
          <w:spacing w:val="-3"/>
          <w:sz w:val="20"/>
        </w:rPr>
        <w:t> </w:t>
      </w:r>
      <w:r>
        <w:rPr>
          <w:sz w:val="20"/>
        </w:rPr>
        <w:t>victims</w:t>
      </w:r>
      <w:r>
        <w:rPr>
          <w:spacing w:val="-4"/>
          <w:sz w:val="20"/>
        </w:rPr>
        <w:t> </w:t>
      </w:r>
      <w:r>
        <w:rPr>
          <w:sz w:val="20"/>
        </w:rPr>
        <w:t>movements</w:t>
      </w:r>
      <w:r>
        <w:rPr>
          <w:spacing w:val="-4"/>
          <w:sz w:val="20"/>
        </w:rPr>
        <w:t> </w:t>
      </w:r>
      <w:r>
        <w:rPr>
          <w:sz w:val="20"/>
        </w:rPr>
        <w:t>for</w:t>
      </w:r>
      <w:r>
        <w:rPr>
          <w:spacing w:val="-7"/>
          <w:sz w:val="20"/>
        </w:rPr>
        <w:t> </w:t>
      </w:r>
      <w:r>
        <w:rPr>
          <w:sz w:val="20"/>
        </w:rPr>
        <w:t>the</w:t>
      </w:r>
      <w:r>
        <w:rPr>
          <w:spacing w:val="-1"/>
          <w:sz w:val="20"/>
        </w:rPr>
        <w:t> </w:t>
      </w:r>
      <w:r>
        <w:rPr>
          <w:sz w:val="20"/>
        </w:rPr>
        <w:t>other</w:t>
      </w:r>
      <w:r>
        <w:rPr>
          <w:spacing w:val="-7"/>
          <w:sz w:val="20"/>
        </w:rPr>
        <w:t> </w:t>
      </w:r>
      <w:r>
        <w:rPr>
          <w:sz w:val="20"/>
        </w:rPr>
        <w:t>situation</w:t>
      </w:r>
      <w:r>
        <w:rPr>
          <w:spacing w:val="-3"/>
          <w:sz w:val="20"/>
        </w:rPr>
        <w:t> </w:t>
      </w:r>
      <w:r>
        <w:rPr>
          <w:sz w:val="20"/>
        </w:rPr>
        <w:t>teams.</w:t>
      </w:r>
      <w:r>
        <w:rPr>
          <w:spacing w:val="-5"/>
          <w:sz w:val="20"/>
        </w:rPr>
        <w:t> </w:t>
      </w:r>
      <w:r>
        <w:rPr>
          <w:sz w:val="20"/>
        </w:rPr>
        <w:t>This</w:t>
      </w:r>
      <w:r>
        <w:rPr>
          <w:spacing w:val="-9"/>
          <w:sz w:val="20"/>
        </w:rPr>
        <w:t> </w:t>
      </w:r>
      <w:r>
        <w:rPr>
          <w:sz w:val="20"/>
        </w:rPr>
        <w:t>position</w:t>
      </w:r>
      <w:r>
        <w:rPr>
          <w:spacing w:val="-7"/>
          <w:sz w:val="20"/>
        </w:rPr>
        <w:t> </w:t>
      </w:r>
      <w:r>
        <w:rPr>
          <w:sz w:val="20"/>
        </w:rPr>
        <w:t>is also</w:t>
      </w:r>
      <w:r>
        <w:rPr>
          <w:spacing w:val="-7"/>
          <w:sz w:val="20"/>
        </w:rPr>
        <w:t> </w:t>
      </w:r>
      <w:r>
        <w:rPr>
          <w:sz w:val="20"/>
        </w:rPr>
        <w:t>in</w:t>
      </w:r>
      <w:r>
        <w:rPr>
          <w:spacing w:val="-12"/>
          <w:sz w:val="20"/>
        </w:rPr>
        <w:t> </w:t>
      </w:r>
      <w:r>
        <w:rPr>
          <w:sz w:val="20"/>
        </w:rPr>
        <w:t>charge</w:t>
      </w:r>
      <w:r>
        <w:rPr>
          <w:spacing w:val="-6"/>
          <w:sz w:val="20"/>
        </w:rPr>
        <w:t> </w:t>
      </w:r>
      <w:r>
        <w:rPr>
          <w:sz w:val="20"/>
        </w:rPr>
        <w:t>of</w:t>
      </w:r>
      <w:r>
        <w:rPr>
          <w:spacing w:val="-7"/>
          <w:sz w:val="20"/>
        </w:rPr>
        <w:t> </w:t>
      </w:r>
      <w:r>
        <w:rPr>
          <w:sz w:val="20"/>
        </w:rPr>
        <w:t>VWS</w:t>
      </w:r>
      <w:r>
        <w:rPr>
          <w:spacing w:val="-9"/>
          <w:sz w:val="20"/>
        </w:rPr>
        <w:t> </w:t>
      </w:r>
      <w:r>
        <w:rPr>
          <w:sz w:val="20"/>
        </w:rPr>
        <w:t>operations</w:t>
      </w:r>
      <w:r>
        <w:rPr>
          <w:spacing w:val="-9"/>
          <w:sz w:val="20"/>
        </w:rPr>
        <w:t> </w:t>
      </w:r>
      <w:r>
        <w:rPr>
          <w:sz w:val="20"/>
        </w:rPr>
        <w:t>in</w:t>
      </w:r>
      <w:r>
        <w:rPr>
          <w:spacing w:val="-7"/>
          <w:sz w:val="20"/>
        </w:rPr>
        <w:t> </w:t>
      </w:r>
      <w:r>
        <w:rPr>
          <w:sz w:val="20"/>
        </w:rPr>
        <w:t>terms</w:t>
      </w:r>
      <w:r>
        <w:rPr>
          <w:spacing w:val="-9"/>
          <w:sz w:val="20"/>
        </w:rPr>
        <w:t> </w:t>
      </w:r>
      <w:r>
        <w:rPr>
          <w:sz w:val="20"/>
        </w:rPr>
        <w:t>of</w:t>
      </w:r>
      <w:r>
        <w:rPr>
          <w:spacing w:val="-3"/>
          <w:sz w:val="20"/>
        </w:rPr>
        <w:t> </w:t>
      </w:r>
      <w:r>
        <w:rPr>
          <w:sz w:val="20"/>
        </w:rPr>
        <w:t>witness</w:t>
      </w:r>
      <w:r>
        <w:rPr>
          <w:spacing w:val="-9"/>
          <w:sz w:val="20"/>
        </w:rPr>
        <w:t> </w:t>
      </w:r>
      <w:r>
        <w:rPr>
          <w:sz w:val="20"/>
        </w:rPr>
        <w:t>and</w:t>
      </w:r>
      <w:r>
        <w:rPr>
          <w:spacing w:val="-7"/>
          <w:sz w:val="20"/>
        </w:rPr>
        <w:t> </w:t>
      </w:r>
      <w:r>
        <w:rPr>
          <w:sz w:val="20"/>
        </w:rPr>
        <w:t>victim</w:t>
      </w:r>
      <w:r>
        <w:rPr>
          <w:spacing w:val="-6"/>
          <w:sz w:val="20"/>
        </w:rPr>
        <w:t> </w:t>
      </w:r>
      <w:r>
        <w:rPr>
          <w:sz w:val="20"/>
        </w:rPr>
        <w:t>movements.</w:t>
      </w:r>
      <w:r>
        <w:rPr>
          <w:spacing w:val="-5"/>
          <w:sz w:val="20"/>
        </w:rPr>
        <w:t> </w:t>
      </w:r>
      <w:r>
        <w:rPr>
          <w:sz w:val="20"/>
        </w:rPr>
        <w:t>In</w:t>
      </w:r>
      <w:r>
        <w:rPr>
          <w:spacing w:val="-12"/>
          <w:sz w:val="20"/>
        </w:rPr>
        <w:t> </w:t>
      </w:r>
      <w:r>
        <w:rPr>
          <w:sz w:val="20"/>
        </w:rPr>
        <w:t>addition,</w:t>
      </w:r>
      <w:r>
        <w:rPr>
          <w:spacing w:val="-10"/>
          <w:sz w:val="20"/>
        </w:rPr>
        <w:t> </w:t>
      </w:r>
      <w:r>
        <w:rPr>
          <w:sz w:val="20"/>
        </w:rPr>
        <w:t>the</w:t>
      </w:r>
    </w:p>
    <w:p>
      <w:pPr>
        <w:spacing w:after="0" w:line="240" w:lineRule="auto"/>
        <w:jc w:val="both"/>
        <w:rPr>
          <w:sz w:val="20"/>
        </w:rPr>
        <w:sectPr>
          <w:pgSz w:w="11910" w:h="16840"/>
          <w:pgMar w:header="957" w:footer="940" w:top="1140" w:bottom="1140" w:left="20" w:right="20"/>
        </w:sectPr>
      </w:pPr>
    </w:p>
    <w:p>
      <w:pPr>
        <w:pStyle w:val="BodyText"/>
        <w:spacing w:before="124"/>
        <w:ind w:left="2246" w:right="2245"/>
        <w:jc w:val="both"/>
      </w:pPr>
      <w:r>
        <w:rPr/>
        <w:t>incumbent is responsible for the coordination work and arrangements necessary for the successful implementation of international relocations and appearances before the Court of witnesses</w:t>
      </w:r>
      <w:r>
        <w:rPr>
          <w:spacing w:val="-13"/>
        </w:rPr>
        <w:t> </w:t>
      </w:r>
      <w:r>
        <w:rPr/>
        <w:t>and</w:t>
      </w:r>
      <w:r>
        <w:rPr>
          <w:spacing w:val="-12"/>
        </w:rPr>
        <w:t> </w:t>
      </w:r>
      <w:r>
        <w:rPr/>
        <w:t>victims.</w:t>
      </w:r>
      <w:r>
        <w:rPr>
          <w:spacing w:val="-11"/>
        </w:rPr>
        <w:t> </w:t>
      </w:r>
      <w:r>
        <w:rPr/>
        <w:t>Efficiency</w:t>
      </w:r>
      <w:r>
        <w:rPr>
          <w:spacing w:val="-7"/>
        </w:rPr>
        <w:t> </w:t>
      </w:r>
      <w:r>
        <w:rPr/>
        <w:t>has</w:t>
      </w:r>
      <w:r>
        <w:rPr>
          <w:spacing w:val="-9"/>
        </w:rPr>
        <w:t> </w:t>
      </w:r>
      <w:r>
        <w:rPr/>
        <w:t>been</w:t>
      </w:r>
      <w:r>
        <w:rPr>
          <w:spacing w:val="-12"/>
        </w:rPr>
        <w:t> </w:t>
      </w:r>
      <w:r>
        <w:rPr/>
        <w:t>identified</w:t>
      </w:r>
      <w:r>
        <w:rPr>
          <w:spacing w:val="-7"/>
        </w:rPr>
        <w:t> </w:t>
      </w:r>
      <w:r>
        <w:rPr/>
        <w:t>over</w:t>
      </w:r>
      <w:r>
        <w:rPr>
          <w:spacing w:val="-12"/>
        </w:rPr>
        <w:t> </w:t>
      </w:r>
      <w:r>
        <w:rPr/>
        <w:t>the</w:t>
      </w:r>
      <w:r>
        <w:rPr>
          <w:spacing w:val="-13"/>
        </w:rPr>
        <w:t> </w:t>
      </w:r>
      <w:r>
        <w:rPr/>
        <w:t>years</w:t>
      </w:r>
      <w:r>
        <w:rPr>
          <w:spacing w:val="-12"/>
        </w:rPr>
        <w:t> </w:t>
      </w:r>
      <w:r>
        <w:rPr/>
        <w:t>through</w:t>
      </w:r>
      <w:r>
        <w:rPr>
          <w:spacing w:val="-12"/>
        </w:rPr>
        <w:t> </w:t>
      </w:r>
      <w:r>
        <w:rPr/>
        <w:t>this</w:t>
      </w:r>
      <w:r>
        <w:rPr>
          <w:spacing w:val="-13"/>
        </w:rPr>
        <w:t> </w:t>
      </w:r>
      <w:r>
        <w:rPr/>
        <w:t>arrangement without the need to request additional resources.</w:t>
      </w:r>
    </w:p>
    <w:p>
      <w:pPr>
        <w:pStyle w:val="ListParagraph"/>
        <w:numPr>
          <w:ilvl w:val="0"/>
          <w:numId w:val="4"/>
        </w:numPr>
        <w:tabs>
          <w:tab w:pos="2967" w:val="left" w:leader="none"/>
        </w:tabs>
        <w:spacing w:line="240" w:lineRule="auto" w:before="122" w:after="0"/>
        <w:ind w:left="2246" w:right="2235" w:firstLine="0"/>
        <w:jc w:val="both"/>
        <w:rPr>
          <w:sz w:val="20"/>
        </w:rPr>
      </w:pPr>
      <w:bookmarkStart w:name="_bookmark45" w:id="46"/>
      <w:bookmarkEnd w:id="46"/>
      <w:r>
        <w:rPr>
          <w:sz w:val="20"/>
        </w:rPr>
        <w:t>T</w:t>
      </w:r>
      <w:r>
        <w:rPr>
          <w:sz w:val="20"/>
        </w:rPr>
        <w:t>wo </w:t>
      </w:r>
      <w:r>
        <w:rPr>
          <w:i/>
          <w:sz w:val="20"/>
        </w:rPr>
        <w:t>Associate Analysts (P-2), 12 months. Continued. Multi-year. </w:t>
      </w:r>
      <w:r>
        <w:rPr>
          <w:sz w:val="20"/>
        </w:rPr>
        <w:t>Resources are required to provide analysis and research work in relation to (1) the witnesses appearing before</w:t>
      </w:r>
      <w:r>
        <w:rPr>
          <w:spacing w:val="-2"/>
          <w:sz w:val="20"/>
        </w:rPr>
        <w:t> </w:t>
      </w:r>
      <w:r>
        <w:rPr>
          <w:sz w:val="20"/>
        </w:rPr>
        <w:t>the</w:t>
      </w:r>
      <w:r>
        <w:rPr>
          <w:spacing w:val="-2"/>
          <w:sz w:val="20"/>
        </w:rPr>
        <w:t> </w:t>
      </w:r>
      <w:r>
        <w:rPr>
          <w:sz w:val="20"/>
        </w:rPr>
        <w:t>Court</w:t>
      </w:r>
      <w:r>
        <w:rPr>
          <w:spacing w:val="-2"/>
          <w:sz w:val="20"/>
        </w:rPr>
        <w:t> </w:t>
      </w:r>
      <w:r>
        <w:rPr>
          <w:sz w:val="20"/>
        </w:rPr>
        <w:t>in</w:t>
      </w:r>
      <w:r>
        <w:rPr>
          <w:spacing w:val="-4"/>
          <w:sz w:val="20"/>
        </w:rPr>
        <w:t> </w:t>
      </w:r>
      <w:r>
        <w:rPr>
          <w:sz w:val="20"/>
        </w:rPr>
        <w:t>the</w:t>
      </w:r>
      <w:r>
        <w:rPr>
          <w:spacing w:val="-2"/>
          <w:sz w:val="20"/>
        </w:rPr>
        <w:t> </w:t>
      </w:r>
      <w:r>
        <w:rPr>
          <w:sz w:val="20"/>
        </w:rPr>
        <w:t>three</w:t>
      </w:r>
      <w:r>
        <w:rPr>
          <w:spacing w:val="-2"/>
          <w:sz w:val="20"/>
        </w:rPr>
        <w:t> </w:t>
      </w:r>
      <w:r>
        <w:rPr>
          <w:sz w:val="20"/>
        </w:rPr>
        <w:t>trials</w:t>
      </w:r>
      <w:r>
        <w:rPr>
          <w:spacing w:val="-5"/>
          <w:sz w:val="20"/>
        </w:rPr>
        <w:t> </w:t>
      </w:r>
      <w:r>
        <w:rPr>
          <w:sz w:val="20"/>
        </w:rPr>
        <w:t>and</w:t>
      </w:r>
      <w:r>
        <w:rPr>
          <w:spacing w:val="-4"/>
          <w:sz w:val="20"/>
        </w:rPr>
        <w:t> </w:t>
      </w:r>
      <w:r>
        <w:rPr>
          <w:sz w:val="20"/>
        </w:rPr>
        <w:t>(2)</w:t>
      </w:r>
      <w:r>
        <w:rPr>
          <w:spacing w:val="-4"/>
          <w:sz w:val="20"/>
        </w:rPr>
        <w:t> </w:t>
      </w:r>
      <w:r>
        <w:rPr>
          <w:sz w:val="20"/>
        </w:rPr>
        <w:t>the situations under investigation</w:t>
      </w:r>
      <w:r>
        <w:rPr>
          <w:spacing w:val="-8"/>
          <w:sz w:val="20"/>
        </w:rPr>
        <w:t> </w:t>
      </w:r>
      <w:r>
        <w:rPr>
          <w:sz w:val="20"/>
        </w:rPr>
        <w:t>and</w:t>
      </w:r>
      <w:r>
        <w:rPr>
          <w:spacing w:val="-4"/>
          <w:sz w:val="20"/>
        </w:rPr>
        <w:t> </w:t>
      </w:r>
      <w:r>
        <w:rPr>
          <w:sz w:val="20"/>
        </w:rPr>
        <w:t>other newly emerging situations. Together with the one established Associate Analyst post, these two positions provide the necessary support to the lead Analyst in analysis and information- gathering, monitoring and review of security contexts. The Associate Analysts in the team share</w:t>
      </w:r>
      <w:r>
        <w:rPr>
          <w:spacing w:val="-6"/>
          <w:sz w:val="20"/>
        </w:rPr>
        <w:t> </w:t>
      </w:r>
      <w:r>
        <w:rPr>
          <w:sz w:val="20"/>
        </w:rPr>
        <w:t>the</w:t>
      </w:r>
      <w:r>
        <w:rPr>
          <w:spacing w:val="-6"/>
          <w:sz w:val="20"/>
        </w:rPr>
        <w:t> </w:t>
      </w:r>
      <w:r>
        <w:rPr>
          <w:sz w:val="20"/>
        </w:rPr>
        <w:t>analytical</w:t>
      </w:r>
      <w:r>
        <w:rPr>
          <w:spacing w:val="-1"/>
          <w:sz w:val="20"/>
        </w:rPr>
        <w:t> </w:t>
      </w:r>
      <w:r>
        <w:rPr>
          <w:sz w:val="20"/>
        </w:rPr>
        <w:t>workload</w:t>
      </w:r>
      <w:r>
        <w:rPr>
          <w:spacing w:val="-7"/>
          <w:sz w:val="20"/>
        </w:rPr>
        <w:t> </w:t>
      </w:r>
      <w:r>
        <w:rPr>
          <w:sz w:val="20"/>
        </w:rPr>
        <w:t>in</w:t>
      </w:r>
      <w:r>
        <w:rPr>
          <w:spacing w:val="-4"/>
          <w:sz w:val="20"/>
        </w:rPr>
        <w:t> </w:t>
      </w:r>
      <w:r>
        <w:rPr>
          <w:sz w:val="20"/>
        </w:rPr>
        <w:t>relation</w:t>
      </w:r>
      <w:r>
        <w:rPr>
          <w:spacing w:val="-7"/>
          <w:sz w:val="20"/>
        </w:rPr>
        <w:t> </w:t>
      </w:r>
      <w:r>
        <w:rPr>
          <w:sz w:val="20"/>
        </w:rPr>
        <w:t>to</w:t>
      </w:r>
      <w:r>
        <w:rPr>
          <w:spacing w:val="-7"/>
          <w:sz w:val="20"/>
        </w:rPr>
        <w:t> </w:t>
      </w:r>
      <w:r>
        <w:rPr>
          <w:sz w:val="20"/>
        </w:rPr>
        <w:t>the</w:t>
      </w:r>
      <w:r>
        <w:rPr>
          <w:spacing w:val="-1"/>
          <w:sz w:val="20"/>
        </w:rPr>
        <w:t> </w:t>
      </w:r>
      <w:r>
        <w:rPr>
          <w:sz w:val="20"/>
        </w:rPr>
        <w:t>situations</w:t>
      </w:r>
      <w:r>
        <w:rPr>
          <w:spacing w:val="-4"/>
          <w:sz w:val="20"/>
        </w:rPr>
        <w:t> </w:t>
      </w:r>
      <w:r>
        <w:rPr>
          <w:sz w:val="20"/>
        </w:rPr>
        <w:t>in</w:t>
      </w:r>
      <w:r>
        <w:rPr>
          <w:spacing w:val="-12"/>
          <w:sz w:val="20"/>
        </w:rPr>
        <w:t> </w:t>
      </w:r>
      <w:r>
        <w:rPr>
          <w:sz w:val="20"/>
        </w:rPr>
        <w:t>Mali, the</w:t>
      </w:r>
      <w:r>
        <w:rPr>
          <w:spacing w:val="-6"/>
          <w:sz w:val="20"/>
        </w:rPr>
        <w:t> </w:t>
      </w:r>
      <w:r>
        <w:rPr>
          <w:sz w:val="20"/>
        </w:rPr>
        <w:t>CAR,</w:t>
      </w:r>
      <w:r>
        <w:rPr>
          <w:spacing w:val="-5"/>
          <w:sz w:val="20"/>
        </w:rPr>
        <w:t> </w:t>
      </w:r>
      <w:r>
        <w:rPr>
          <w:sz w:val="20"/>
        </w:rPr>
        <w:t>Burundi,</w:t>
      </w:r>
      <w:r>
        <w:rPr>
          <w:spacing w:val="-5"/>
          <w:sz w:val="20"/>
        </w:rPr>
        <w:t> </w:t>
      </w:r>
      <w:r>
        <w:rPr>
          <w:sz w:val="20"/>
        </w:rPr>
        <w:t>Darfur, Libya, Palestine, Bangladesh/Myanmar, Ukraine and the Philippines. They also assist the situation teams in identifying possible risks and provide advice in relation to protection operations and support in other situations in Côte d’Ivoire, Uganda, the DRC, Venezuela, Afghanistan and other conflict/post-conflict areas where VWS conducts witness-related operations. The need for their continuation in 2023 is justified owing to the high level of activities pertaining to a number of extremely different and complex situations and cases currently</w:t>
      </w:r>
      <w:r>
        <w:rPr>
          <w:spacing w:val="-13"/>
          <w:sz w:val="20"/>
        </w:rPr>
        <w:t> </w:t>
      </w:r>
      <w:r>
        <w:rPr>
          <w:sz w:val="20"/>
        </w:rPr>
        <w:t>managed</w:t>
      </w:r>
      <w:r>
        <w:rPr>
          <w:spacing w:val="-10"/>
          <w:sz w:val="20"/>
        </w:rPr>
        <w:t> </w:t>
      </w:r>
      <w:r>
        <w:rPr>
          <w:sz w:val="20"/>
        </w:rPr>
        <w:t>by</w:t>
      </w:r>
      <w:r>
        <w:rPr>
          <w:spacing w:val="-7"/>
          <w:sz w:val="20"/>
        </w:rPr>
        <w:t> </w:t>
      </w:r>
      <w:r>
        <w:rPr>
          <w:sz w:val="20"/>
        </w:rPr>
        <w:t>VWS</w:t>
      </w:r>
      <w:r>
        <w:rPr>
          <w:spacing w:val="-9"/>
          <w:sz w:val="20"/>
        </w:rPr>
        <w:t> </w:t>
      </w:r>
      <w:r>
        <w:rPr>
          <w:sz w:val="20"/>
        </w:rPr>
        <w:t>and</w:t>
      </w:r>
      <w:r>
        <w:rPr>
          <w:spacing w:val="-12"/>
          <w:sz w:val="20"/>
        </w:rPr>
        <w:t> </w:t>
      </w:r>
      <w:r>
        <w:rPr>
          <w:sz w:val="20"/>
        </w:rPr>
        <w:t>in</w:t>
      </w:r>
      <w:r>
        <w:rPr>
          <w:spacing w:val="-12"/>
          <w:sz w:val="20"/>
        </w:rPr>
        <w:t> </w:t>
      </w:r>
      <w:r>
        <w:rPr>
          <w:sz w:val="20"/>
        </w:rPr>
        <w:t>the</w:t>
      </w:r>
      <w:r>
        <w:rPr>
          <w:spacing w:val="-10"/>
          <w:sz w:val="20"/>
        </w:rPr>
        <w:t> </w:t>
      </w:r>
      <w:r>
        <w:rPr>
          <w:sz w:val="20"/>
        </w:rPr>
        <w:t>light</w:t>
      </w:r>
      <w:r>
        <w:rPr>
          <w:spacing w:val="-6"/>
          <w:sz w:val="20"/>
        </w:rPr>
        <w:t> </w:t>
      </w:r>
      <w:r>
        <w:rPr>
          <w:sz w:val="20"/>
        </w:rPr>
        <w:t>of</w:t>
      </w:r>
      <w:r>
        <w:rPr>
          <w:spacing w:val="-12"/>
          <w:sz w:val="20"/>
        </w:rPr>
        <w:t> </w:t>
      </w:r>
      <w:r>
        <w:rPr>
          <w:sz w:val="20"/>
        </w:rPr>
        <w:t>the</w:t>
      </w:r>
      <w:r>
        <w:rPr>
          <w:spacing w:val="-6"/>
          <w:sz w:val="20"/>
        </w:rPr>
        <w:t> </w:t>
      </w:r>
      <w:r>
        <w:rPr>
          <w:sz w:val="20"/>
        </w:rPr>
        <w:t>OTP’s</w:t>
      </w:r>
      <w:r>
        <w:rPr>
          <w:spacing w:val="-9"/>
          <w:sz w:val="20"/>
        </w:rPr>
        <w:t> </w:t>
      </w:r>
      <w:r>
        <w:rPr>
          <w:sz w:val="20"/>
        </w:rPr>
        <w:t>projections</w:t>
      </w:r>
      <w:r>
        <w:rPr>
          <w:spacing w:val="-13"/>
          <w:sz w:val="20"/>
        </w:rPr>
        <w:t> </w:t>
      </w:r>
      <w:r>
        <w:rPr>
          <w:sz w:val="20"/>
        </w:rPr>
        <w:t>for</w:t>
      </w:r>
      <w:r>
        <w:rPr>
          <w:spacing w:val="-12"/>
          <w:sz w:val="20"/>
        </w:rPr>
        <w:t> </w:t>
      </w:r>
      <w:r>
        <w:rPr>
          <w:sz w:val="20"/>
        </w:rPr>
        <w:t>its</w:t>
      </w:r>
      <w:r>
        <w:rPr>
          <w:spacing w:val="-13"/>
          <w:sz w:val="20"/>
        </w:rPr>
        <w:t> </w:t>
      </w:r>
      <w:r>
        <w:rPr>
          <w:sz w:val="20"/>
        </w:rPr>
        <w:t>activities</w:t>
      </w:r>
      <w:r>
        <w:rPr>
          <w:spacing w:val="-12"/>
          <w:sz w:val="20"/>
        </w:rPr>
        <w:t> </w:t>
      </w:r>
      <w:r>
        <w:rPr>
          <w:sz w:val="20"/>
        </w:rPr>
        <w:t>in</w:t>
      </w:r>
      <w:r>
        <w:rPr>
          <w:spacing w:val="-12"/>
          <w:sz w:val="20"/>
        </w:rPr>
        <w:t> </w:t>
      </w:r>
      <w:r>
        <w:rPr>
          <w:sz w:val="20"/>
        </w:rPr>
        <w:t>2023. For each situation, analysts are required to develop expert knowledge in order to be able to deliver situational analysis, but also threat and risk assessments specific to individual witnesses and victims in the situations assigned to them. This requires a high level of investment for</w:t>
      </w:r>
      <w:r>
        <w:rPr>
          <w:spacing w:val="-7"/>
          <w:sz w:val="20"/>
        </w:rPr>
        <w:t> </w:t>
      </w:r>
      <w:r>
        <w:rPr>
          <w:sz w:val="20"/>
        </w:rPr>
        <w:t>each</w:t>
      </w:r>
      <w:r>
        <w:rPr>
          <w:spacing w:val="-2"/>
          <w:sz w:val="20"/>
        </w:rPr>
        <w:t> </w:t>
      </w:r>
      <w:r>
        <w:rPr>
          <w:sz w:val="20"/>
        </w:rPr>
        <w:t>situation</w:t>
      </w:r>
      <w:r>
        <w:rPr>
          <w:spacing w:val="-7"/>
          <w:sz w:val="20"/>
        </w:rPr>
        <w:t> </w:t>
      </w:r>
      <w:r>
        <w:rPr>
          <w:sz w:val="20"/>
        </w:rPr>
        <w:t>and</w:t>
      </w:r>
      <w:r>
        <w:rPr>
          <w:spacing w:val="-2"/>
          <w:sz w:val="20"/>
        </w:rPr>
        <w:t> </w:t>
      </w:r>
      <w:r>
        <w:rPr>
          <w:sz w:val="20"/>
        </w:rPr>
        <w:t>an</w:t>
      </w:r>
      <w:r>
        <w:rPr>
          <w:spacing w:val="-2"/>
          <w:sz w:val="20"/>
        </w:rPr>
        <w:t> </w:t>
      </w:r>
      <w:r>
        <w:rPr>
          <w:sz w:val="20"/>
        </w:rPr>
        <w:t>expert understanding</w:t>
      </w:r>
      <w:r>
        <w:rPr>
          <w:spacing w:val="-2"/>
          <w:sz w:val="20"/>
        </w:rPr>
        <w:t> </w:t>
      </w:r>
      <w:r>
        <w:rPr>
          <w:sz w:val="20"/>
        </w:rPr>
        <w:t>of</w:t>
      </w:r>
      <w:r>
        <w:rPr>
          <w:spacing w:val="-7"/>
          <w:sz w:val="20"/>
        </w:rPr>
        <w:t> </w:t>
      </w:r>
      <w:r>
        <w:rPr>
          <w:sz w:val="20"/>
        </w:rPr>
        <w:t>the specific</w:t>
      </w:r>
      <w:r>
        <w:rPr>
          <w:spacing w:val="-6"/>
          <w:sz w:val="20"/>
        </w:rPr>
        <w:t> </w:t>
      </w:r>
      <w:r>
        <w:rPr>
          <w:sz w:val="20"/>
        </w:rPr>
        <w:t>threat</w:t>
      </w:r>
      <w:r>
        <w:rPr>
          <w:spacing w:val="-6"/>
          <w:sz w:val="20"/>
        </w:rPr>
        <w:t> </w:t>
      </w:r>
      <w:r>
        <w:rPr>
          <w:sz w:val="20"/>
        </w:rPr>
        <w:t>to</w:t>
      </w:r>
      <w:r>
        <w:rPr>
          <w:spacing w:val="-2"/>
          <w:sz w:val="20"/>
        </w:rPr>
        <w:t> </w:t>
      </w:r>
      <w:r>
        <w:rPr>
          <w:sz w:val="20"/>
        </w:rPr>
        <w:t>witnesses, of the</w:t>
      </w:r>
      <w:r>
        <w:rPr>
          <w:spacing w:val="-2"/>
          <w:sz w:val="20"/>
        </w:rPr>
        <w:t> </w:t>
      </w:r>
      <w:r>
        <w:rPr>
          <w:sz w:val="20"/>
        </w:rPr>
        <w:t>threat</w:t>
      </w:r>
      <w:r>
        <w:rPr>
          <w:spacing w:val="-2"/>
          <w:sz w:val="20"/>
        </w:rPr>
        <w:t> </w:t>
      </w:r>
      <w:r>
        <w:rPr>
          <w:sz w:val="20"/>
        </w:rPr>
        <w:t>actors’</w:t>
      </w:r>
      <w:r>
        <w:rPr>
          <w:spacing w:val="-4"/>
          <w:sz w:val="20"/>
        </w:rPr>
        <w:t> </w:t>
      </w:r>
      <w:r>
        <w:rPr>
          <w:sz w:val="20"/>
        </w:rPr>
        <w:t>intent</w:t>
      </w:r>
      <w:r>
        <w:rPr>
          <w:spacing w:val="-7"/>
          <w:sz w:val="20"/>
        </w:rPr>
        <w:t> </w:t>
      </w:r>
      <w:r>
        <w:rPr>
          <w:sz w:val="20"/>
        </w:rPr>
        <w:t>and</w:t>
      </w:r>
      <w:r>
        <w:rPr>
          <w:spacing w:val="-4"/>
          <w:sz w:val="20"/>
        </w:rPr>
        <w:t> </w:t>
      </w:r>
      <w:r>
        <w:rPr>
          <w:sz w:val="20"/>
        </w:rPr>
        <w:t>capabilities</w:t>
      </w:r>
      <w:r>
        <w:rPr>
          <w:spacing w:val="-5"/>
          <w:sz w:val="20"/>
        </w:rPr>
        <w:t> </w:t>
      </w:r>
      <w:r>
        <w:rPr>
          <w:sz w:val="20"/>
        </w:rPr>
        <w:t>and</w:t>
      </w:r>
      <w:r>
        <w:rPr>
          <w:spacing w:val="-4"/>
          <w:sz w:val="20"/>
        </w:rPr>
        <w:t> </w:t>
      </w:r>
      <w:r>
        <w:rPr>
          <w:sz w:val="20"/>
        </w:rPr>
        <w:t>of</w:t>
      </w:r>
      <w:r>
        <w:rPr>
          <w:spacing w:val="-4"/>
          <w:sz w:val="20"/>
        </w:rPr>
        <w:t> </w:t>
      </w:r>
      <w:r>
        <w:rPr>
          <w:sz w:val="20"/>
        </w:rPr>
        <w:t>the</w:t>
      </w:r>
      <w:r>
        <w:rPr>
          <w:spacing w:val="-2"/>
          <w:sz w:val="20"/>
        </w:rPr>
        <w:t> </w:t>
      </w:r>
      <w:r>
        <w:rPr>
          <w:sz w:val="20"/>
        </w:rPr>
        <w:t>various</w:t>
      </w:r>
      <w:r>
        <w:rPr>
          <w:spacing w:val="-5"/>
          <w:sz w:val="20"/>
        </w:rPr>
        <w:t> </w:t>
      </w:r>
      <w:r>
        <w:rPr>
          <w:sz w:val="20"/>
        </w:rPr>
        <w:t>dynamics</w:t>
      </w:r>
      <w:r>
        <w:rPr>
          <w:spacing w:val="-1"/>
          <w:sz w:val="20"/>
        </w:rPr>
        <w:t> </w:t>
      </w:r>
      <w:r>
        <w:rPr>
          <w:sz w:val="20"/>
        </w:rPr>
        <w:t>in-country</w:t>
      </w:r>
      <w:r>
        <w:rPr>
          <w:spacing w:val="-4"/>
          <w:sz w:val="20"/>
        </w:rPr>
        <w:t> </w:t>
      </w:r>
      <w:r>
        <w:rPr>
          <w:sz w:val="20"/>
        </w:rPr>
        <w:t>as well</w:t>
      </w:r>
      <w:r>
        <w:rPr>
          <w:spacing w:val="-2"/>
          <w:sz w:val="20"/>
        </w:rPr>
        <w:t> </w:t>
      </w:r>
      <w:r>
        <w:rPr>
          <w:sz w:val="20"/>
        </w:rPr>
        <w:t>as relevant languages skills in order to be able to understand pertinent information and documents, including open source material. Therefore, to perform at the best level for the safety and security of the witnesses and victims, a minimum of two Associate Analysts is required to deliver high-quality analytical products for all the situations that need to be </w:t>
      </w:r>
      <w:r>
        <w:rPr>
          <w:spacing w:val="-2"/>
          <w:sz w:val="20"/>
        </w:rPr>
        <w:t>covered.</w:t>
      </w:r>
    </w:p>
    <w:p>
      <w:pPr>
        <w:pStyle w:val="ListParagraph"/>
        <w:numPr>
          <w:ilvl w:val="0"/>
          <w:numId w:val="4"/>
        </w:numPr>
        <w:tabs>
          <w:tab w:pos="2967" w:val="left" w:leader="none"/>
        </w:tabs>
        <w:spacing w:line="240" w:lineRule="auto" w:before="122" w:after="0"/>
        <w:ind w:left="2246" w:right="2236" w:firstLine="0"/>
        <w:jc w:val="both"/>
        <w:rPr>
          <w:sz w:val="20"/>
        </w:rPr>
      </w:pPr>
      <w:r>
        <w:rPr>
          <w:sz w:val="20"/>
        </w:rPr>
        <w:t>One</w:t>
      </w:r>
      <w:r>
        <w:rPr>
          <w:spacing w:val="-8"/>
          <w:sz w:val="20"/>
        </w:rPr>
        <w:t> </w:t>
      </w:r>
      <w:r>
        <w:rPr>
          <w:i/>
          <w:sz w:val="20"/>
        </w:rPr>
        <w:t>Associate</w:t>
      </w:r>
      <w:r>
        <w:rPr>
          <w:i/>
          <w:spacing w:val="-6"/>
          <w:sz w:val="20"/>
        </w:rPr>
        <w:t> </w:t>
      </w:r>
      <w:r>
        <w:rPr>
          <w:i/>
          <w:sz w:val="20"/>
        </w:rPr>
        <w:t>Outreach</w:t>
      </w:r>
      <w:r>
        <w:rPr>
          <w:i/>
          <w:spacing w:val="-5"/>
          <w:sz w:val="20"/>
        </w:rPr>
        <w:t> </w:t>
      </w:r>
      <w:r>
        <w:rPr>
          <w:i/>
          <w:sz w:val="20"/>
        </w:rPr>
        <w:t>Officer</w:t>
      </w:r>
      <w:r>
        <w:rPr>
          <w:i/>
          <w:spacing w:val="-11"/>
          <w:sz w:val="20"/>
        </w:rPr>
        <w:t> </w:t>
      </w:r>
      <w:r>
        <w:rPr>
          <w:i/>
          <w:sz w:val="20"/>
        </w:rPr>
        <w:t>(P-2).</w:t>
      </w:r>
      <w:r>
        <w:rPr>
          <w:i/>
          <w:spacing w:val="-7"/>
          <w:sz w:val="20"/>
        </w:rPr>
        <w:t> </w:t>
      </w:r>
      <w:r>
        <w:rPr>
          <w:i/>
          <w:sz w:val="20"/>
        </w:rPr>
        <w:t>12</w:t>
      </w:r>
      <w:r>
        <w:rPr>
          <w:i/>
          <w:spacing w:val="-9"/>
          <w:sz w:val="20"/>
        </w:rPr>
        <w:t> </w:t>
      </w:r>
      <w:r>
        <w:rPr>
          <w:i/>
          <w:sz w:val="20"/>
        </w:rPr>
        <w:t>months.</w:t>
      </w:r>
      <w:r>
        <w:rPr>
          <w:i/>
          <w:spacing w:val="-7"/>
          <w:sz w:val="20"/>
        </w:rPr>
        <w:t> </w:t>
      </w:r>
      <w:r>
        <w:rPr>
          <w:i/>
          <w:sz w:val="20"/>
        </w:rPr>
        <w:t>Continued.</w:t>
      </w:r>
      <w:r>
        <w:rPr>
          <w:i/>
          <w:spacing w:val="-5"/>
          <w:sz w:val="20"/>
        </w:rPr>
        <w:t> </w:t>
      </w:r>
      <w:r>
        <w:rPr>
          <w:sz w:val="20"/>
        </w:rPr>
        <w:t>The</w:t>
      </w:r>
      <w:r>
        <w:rPr>
          <w:spacing w:val="-8"/>
          <w:sz w:val="20"/>
        </w:rPr>
        <w:t> </w:t>
      </w:r>
      <w:r>
        <w:rPr>
          <w:sz w:val="20"/>
        </w:rPr>
        <w:t>country</w:t>
      </w:r>
      <w:r>
        <w:rPr>
          <w:spacing w:val="-5"/>
          <w:sz w:val="20"/>
        </w:rPr>
        <w:t> </w:t>
      </w:r>
      <w:r>
        <w:rPr>
          <w:sz w:val="20"/>
        </w:rPr>
        <w:t>office</w:t>
      </w:r>
      <w:r>
        <w:rPr>
          <w:spacing w:val="-8"/>
          <w:sz w:val="20"/>
        </w:rPr>
        <w:t> </w:t>
      </w:r>
      <w:r>
        <w:rPr>
          <w:sz w:val="20"/>
        </w:rPr>
        <w:t>in Sudan scheduled to be established in 2023 will not perform the Court’s functions related to outreach and public information, which will continue to be undertaken by PIOS from Headquarters</w:t>
      </w:r>
      <w:r>
        <w:rPr>
          <w:spacing w:val="-7"/>
          <w:sz w:val="20"/>
        </w:rPr>
        <w:t> </w:t>
      </w:r>
      <w:r>
        <w:rPr>
          <w:sz w:val="20"/>
        </w:rPr>
        <w:t>and</w:t>
      </w:r>
      <w:r>
        <w:rPr>
          <w:spacing w:val="-12"/>
          <w:sz w:val="20"/>
        </w:rPr>
        <w:t> </w:t>
      </w:r>
      <w:r>
        <w:rPr>
          <w:sz w:val="20"/>
        </w:rPr>
        <w:t>through</w:t>
      </w:r>
      <w:r>
        <w:rPr>
          <w:spacing w:val="-7"/>
          <w:sz w:val="20"/>
        </w:rPr>
        <w:t> </w:t>
      </w:r>
      <w:r>
        <w:rPr>
          <w:sz w:val="20"/>
        </w:rPr>
        <w:t>the</w:t>
      </w:r>
      <w:r>
        <w:rPr>
          <w:spacing w:val="-6"/>
          <w:sz w:val="20"/>
        </w:rPr>
        <w:t> </w:t>
      </w:r>
      <w:r>
        <w:rPr>
          <w:sz w:val="20"/>
        </w:rPr>
        <w:t>deployment</w:t>
      </w:r>
      <w:r>
        <w:rPr>
          <w:spacing w:val="-6"/>
          <w:sz w:val="20"/>
        </w:rPr>
        <w:t> </w:t>
      </w:r>
      <w:r>
        <w:rPr>
          <w:sz w:val="20"/>
        </w:rPr>
        <w:t>of</w:t>
      </w:r>
      <w:r>
        <w:rPr>
          <w:spacing w:val="-7"/>
          <w:sz w:val="20"/>
        </w:rPr>
        <w:t> </w:t>
      </w:r>
      <w:r>
        <w:rPr>
          <w:sz w:val="20"/>
        </w:rPr>
        <w:t>outreach</w:t>
      </w:r>
      <w:r>
        <w:rPr>
          <w:spacing w:val="-12"/>
          <w:sz w:val="20"/>
        </w:rPr>
        <w:t> </w:t>
      </w:r>
      <w:r>
        <w:rPr>
          <w:sz w:val="20"/>
        </w:rPr>
        <w:t>missions</w:t>
      </w:r>
      <w:r>
        <w:rPr>
          <w:spacing w:val="-4"/>
          <w:sz w:val="20"/>
        </w:rPr>
        <w:t> </w:t>
      </w:r>
      <w:r>
        <w:rPr>
          <w:sz w:val="20"/>
        </w:rPr>
        <w:t>to</w:t>
      </w:r>
      <w:r>
        <w:rPr>
          <w:spacing w:val="-7"/>
          <w:sz w:val="20"/>
        </w:rPr>
        <w:t> </w:t>
      </w:r>
      <w:r>
        <w:rPr>
          <w:sz w:val="20"/>
        </w:rPr>
        <w:t>Sudan.</w:t>
      </w:r>
      <w:r>
        <w:rPr>
          <w:spacing w:val="-10"/>
          <w:sz w:val="20"/>
        </w:rPr>
        <w:t> </w:t>
      </w:r>
      <w:r>
        <w:rPr>
          <w:sz w:val="20"/>
        </w:rPr>
        <w:t>This</w:t>
      </w:r>
      <w:r>
        <w:rPr>
          <w:spacing w:val="-9"/>
          <w:sz w:val="20"/>
        </w:rPr>
        <w:t> </w:t>
      </w:r>
      <w:r>
        <w:rPr>
          <w:sz w:val="20"/>
        </w:rPr>
        <w:t>position,</w:t>
      </w:r>
      <w:r>
        <w:rPr>
          <w:spacing w:val="-5"/>
          <w:sz w:val="20"/>
        </w:rPr>
        <w:t> </w:t>
      </w:r>
      <w:r>
        <w:rPr>
          <w:sz w:val="20"/>
        </w:rPr>
        <w:t>with Arabic-language capacity and knowledge of the culture of Darfur/Sudan, is essential to establish</w:t>
      </w:r>
      <w:r>
        <w:rPr>
          <w:spacing w:val="-3"/>
          <w:sz w:val="20"/>
        </w:rPr>
        <w:t> </w:t>
      </w:r>
      <w:r>
        <w:rPr>
          <w:sz w:val="20"/>
        </w:rPr>
        <w:t>and maintain networks as well</w:t>
      </w:r>
      <w:r>
        <w:rPr>
          <w:spacing w:val="-1"/>
          <w:sz w:val="20"/>
        </w:rPr>
        <w:t> </w:t>
      </w:r>
      <w:r>
        <w:rPr>
          <w:sz w:val="20"/>
        </w:rPr>
        <w:t>as to develop and implement</w:t>
      </w:r>
      <w:r>
        <w:rPr>
          <w:spacing w:val="-1"/>
          <w:sz w:val="20"/>
        </w:rPr>
        <w:t> </w:t>
      </w:r>
      <w:r>
        <w:rPr>
          <w:sz w:val="20"/>
        </w:rPr>
        <w:t>action plans to ensure publicity of the </w:t>
      </w:r>
      <w:r>
        <w:rPr>
          <w:i/>
          <w:sz w:val="20"/>
        </w:rPr>
        <w:t>Abd-Al-Rahman </w:t>
      </w:r>
      <w:r>
        <w:rPr>
          <w:sz w:val="20"/>
        </w:rPr>
        <w:t>trial.</w:t>
      </w:r>
    </w:p>
    <w:p>
      <w:pPr>
        <w:pStyle w:val="ListParagraph"/>
        <w:numPr>
          <w:ilvl w:val="0"/>
          <w:numId w:val="4"/>
        </w:numPr>
        <w:tabs>
          <w:tab w:pos="2967" w:val="left" w:leader="none"/>
        </w:tabs>
        <w:spacing w:line="240" w:lineRule="auto" w:before="119" w:after="0"/>
        <w:ind w:left="2246" w:right="2241" w:firstLine="0"/>
        <w:jc w:val="both"/>
        <w:rPr>
          <w:sz w:val="20"/>
        </w:rPr>
      </w:pPr>
      <w:r>
        <w:rPr>
          <w:sz w:val="20"/>
        </w:rPr>
        <w:t>Three</w:t>
      </w:r>
      <w:r>
        <w:rPr>
          <w:spacing w:val="-7"/>
          <w:sz w:val="20"/>
        </w:rPr>
        <w:t> </w:t>
      </w:r>
      <w:r>
        <w:rPr>
          <w:i/>
          <w:sz w:val="20"/>
        </w:rPr>
        <w:t>Field</w:t>
      </w:r>
      <w:r>
        <w:rPr>
          <w:i/>
          <w:spacing w:val="-9"/>
          <w:sz w:val="20"/>
        </w:rPr>
        <w:t> </w:t>
      </w:r>
      <w:r>
        <w:rPr>
          <w:i/>
          <w:sz w:val="20"/>
        </w:rPr>
        <w:t>IT</w:t>
      </w:r>
      <w:r>
        <w:rPr>
          <w:i/>
          <w:spacing w:val="-6"/>
          <w:sz w:val="20"/>
        </w:rPr>
        <w:t> </w:t>
      </w:r>
      <w:r>
        <w:rPr>
          <w:i/>
          <w:sz w:val="20"/>
        </w:rPr>
        <w:t>Technicians</w:t>
      </w:r>
      <w:r>
        <w:rPr>
          <w:i/>
          <w:spacing w:val="-10"/>
          <w:sz w:val="20"/>
        </w:rPr>
        <w:t> </w:t>
      </w:r>
      <w:r>
        <w:rPr>
          <w:i/>
          <w:sz w:val="20"/>
        </w:rPr>
        <w:t>(GS-OL)</w:t>
      </w:r>
      <w:r>
        <w:rPr>
          <w:i/>
          <w:spacing w:val="-9"/>
          <w:sz w:val="20"/>
        </w:rPr>
        <w:t> </w:t>
      </w:r>
      <w:r>
        <w:rPr>
          <w:i/>
          <w:sz w:val="20"/>
        </w:rPr>
        <w:t>(Uganda,</w:t>
      </w:r>
      <w:r>
        <w:rPr>
          <w:i/>
          <w:spacing w:val="-7"/>
          <w:sz w:val="20"/>
        </w:rPr>
        <w:t> </w:t>
      </w:r>
      <w:r>
        <w:rPr>
          <w:i/>
          <w:sz w:val="20"/>
        </w:rPr>
        <w:t>Mali</w:t>
      </w:r>
      <w:r>
        <w:rPr>
          <w:i/>
          <w:spacing w:val="-8"/>
          <w:sz w:val="20"/>
        </w:rPr>
        <w:t> </w:t>
      </w:r>
      <w:r>
        <w:rPr>
          <w:i/>
          <w:sz w:val="20"/>
        </w:rPr>
        <w:t>and</w:t>
      </w:r>
      <w:r>
        <w:rPr>
          <w:i/>
          <w:spacing w:val="-9"/>
          <w:sz w:val="20"/>
        </w:rPr>
        <w:t> </w:t>
      </w:r>
      <w:r>
        <w:rPr>
          <w:i/>
          <w:sz w:val="20"/>
        </w:rPr>
        <w:t>the</w:t>
      </w:r>
      <w:r>
        <w:rPr>
          <w:i/>
          <w:spacing w:val="-11"/>
          <w:sz w:val="20"/>
        </w:rPr>
        <w:t> </w:t>
      </w:r>
      <w:r>
        <w:rPr>
          <w:i/>
          <w:sz w:val="20"/>
        </w:rPr>
        <w:t>CAR),</w:t>
      </w:r>
      <w:r>
        <w:rPr>
          <w:i/>
          <w:spacing w:val="-7"/>
          <w:sz w:val="20"/>
        </w:rPr>
        <w:t> </w:t>
      </w:r>
      <w:r>
        <w:rPr>
          <w:i/>
          <w:sz w:val="20"/>
        </w:rPr>
        <w:t>12</w:t>
      </w:r>
      <w:r>
        <w:rPr>
          <w:i/>
          <w:spacing w:val="-9"/>
          <w:sz w:val="20"/>
        </w:rPr>
        <w:t> </w:t>
      </w:r>
      <w:r>
        <w:rPr>
          <w:i/>
          <w:sz w:val="20"/>
        </w:rPr>
        <w:t>months</w:t>
      </w:r>
      <w:r>
        <w:rPr>
          <w:i/>
          <w:spacing w:val="-10"/>
          <w:sz w:val="20"/>
        </w:rPr>
        <w:t> </w:t>
      </w:r>
      <w:r>
        <w:rPr>
          <w:i/>
          <w:sz w:val="20"/>
        </w:rPr>
        <w:t>each.</w:t>
      </w:r>
      <w:r>
        <w:rPr>
          <w:i/>
          <w:sz w:val="20"/>
        </w:rPr>
        <w:t> Continued. Multi-year. </w:t>
      </w:r>
      <w:r>
        <w:rPr>
          <w:sz w:val="20"/>
        </w:rPr>
        <w:t>The positions of Field IT Technician in Uganda, Mali and the CAR continue</w:t>
      </w:r>
      <w:r>
        <w:rPr>
          <w:spacing w:val="-13"/>
          <w:sz w:val="20"/>
        </w:rPr>
        <w:t> </w:t>
      </w:r>
      <w:r>
        <w:rPr>
          <w:sz w:val="20"/>
        </w:rPr>
        <w:t>to</w:t>
      </w:r>
      <w:r>
        <w:rPr>
          <w:spacing w:val="-12"/>
          <w:sz w:val="20"/>
        </w:rPr>
        <w:t> </w:t>
      </w:r>
      <w:r>
        <w:rPr>
          <w:sz w:val="20"/>
        </w:rPr>
        <w:t>be</w:t>
      </w:r>
      <w:r>
        <w:rPr>
          <w:spacing w:val="-9"/>
          <w:sz w:val="20"/>
        </w:rPr>
        <w:t> </w:t>
      </w:r>
      <w:r>
        <w:rPr>
          <w:sz w:val="20"/>
        </w:rPr>
        <w:t>required</w:t>
      </w:r>
      <w:r>
        <w:rPr>
          <w:spacing w:val="-13"/>
          <w:sz w:val="20"/>
        </w:rPr>
        <w:t> </w:t>
      </w:r>
      <w:r>
        <w:rPr>
          <w:sz w:val="20"/>
        </w:rPr>
        <w:t>to</w:t>
      </w:r>
      <w:r>
        <w:rPr>
          <w:spacing w:val="-9"/>
          <w:sz w:val="20"/>
        </w:rPr>
        <w:t> </w:t>
      </w:r>
      <w:r>
        <w:rPr>
          <w:sz w:val="20"/>
        </w:rPr>
        <w:t>support</w:t>
      </w:r>
      <w:r>
        <w:rPr>
          <w:spacing w:val="-9"/>
          <w:sz w:val="20"/>
        </w:rPr>
        <w:t> </w:t>
      </w:r>
      <w:r>
        <w:rPr>
          <w:sz w:val="20"/>
        </w:rPr>
        <w:t>(1)</w:t>
      </w:r>
      <w:r>
        <w:rPr>
          <w:spacing w:val="-13"/>
          <w:sz w:val="20"/>
        </w:rPr>
        <w:t> </w:t>
      </w:r>
      <w:r>
        <w:rPr>
          <w:sz w:val="20"/>
        </w:rPr>
        <w:t>the</w:t>
      </w:r>
      <w:r>
        <w:rPr>
          <w:spacing w:val="-8"/>
          <w:sz w:val="20"/>
        </w:rPr>
        <w:t> </w:t>
      </w:r>
      <w:r>
        <w:rPr>
          <w:sz w:val="20"/>
        </w:rPr>
        <w:t>reparations-related</w:t>
      </w:r>
      <w:r>
        <w:rPr>
          <w:spacing w:val="-13"/>
          <w:sz w:val="20"/>
        </w:rPr>
        <w:t> </w:t>
      </w:r>
      <w:r>
        <w:rPr>
          <w:sz w:val="20"/>
        </w:rPr>
        <w:t>activities</w:t>
      </w:r>
      <w:r>
        <w:rPr>
          <w:spacing w:val="-12"/>
          <w:sz w:val="20"/>
        </w:rPr>
        <w:t> </w:t>
      </w:r>
      <w:r>
        <w:rPr>
          <w:sz w:val="20"/>
        </w:rPr>
        <w:t>in</w:t>
      </w:r>
      <w:r>
        <w:rPr>
          <w:spacing w:val="-10"/>
          <w:sz w:val="20"/>
        </w:rPr>
        <w:t> </w:t>
      </w:r>
      <w:r>
        <w:rPr>
          <w:sz w:val="20"/>
        </w:rPr>
        <w:t>Uganda,</w:t>
      </w:r>
      <w:r>
        <w:rPr>
          <w:spacing w:val="-13"/>
          <w:sz w:val="20"/>
        </w:rPr>
        <w:t> </w:t>
      </w:r>
      <w:r>
        <w:rPr>
          <w:sz w:val="20"/>
        </w:rPr>
        <w:t>the</w:t>
      </w:r>
      <w:r>
        <w:rPr>
          <w:spacing w:val="-8"/>
          <w:sz w:val="20"/>
        </w:rPr>
        <w:t> </w:t>
      </w:r>
      <w:r>
        <w:rPr>
          <w:sz w:val="20"/>
        </w:rPr>
        <w:t>DRC</w:t>
      </w:r>
      <w:r>
        <w:rPr>
          <w:sz w:val="20"/>
          <w:vertAlign w:val="superscript"/>
        </w:rPr>
        <w:t>123</w:t>
      </w:r>
      <w:r>
        <w:rPr>
          <w:sz w:val="20"/>
          <w:vertAlign w:val="baseline"/>
        </w:rPr>
        <w:t> and Mali, (2) the assistance programmes conducted by the TFV in Uganda, the DRC, Mali and</w:t>
      </w:r>
      <w:r>
        <w:rPr>
          <w:spacing w:val="-4"/>
          <w:sz w:val="20"/>
          <w:vertAlign w:val="baseline"/>
        </w:rPr>
        <w:t> </w:t>
      </w:r>
      <w:r>
        <w:rPr>
          <w:sz w:val="20"/>
          <w:vertAlign w:val="baseline"/>
        </w:rPr>
        <w:t>the</w:t>
      </w:r>
      <w:r>
        <w:rPr>
          <w:spacing w:val="-2"/>
          <w:sz w:val="20"/>
          <w:vertAlign w:val="baseline"/>
        </w:rPr>
        <w:t> </w:t>
      </w:r>
      <w:r>
        <w:rPr>
          <w:sz w:val="20"/>
          <w:vertAlign w:val="baseline"/>
        </w:rPr>
        <w:t>CAR,</w:t>
      </w:r>
      <w:r>
        <w:rPr>
          <w:spacing w:val="-1"/>
          <w:sz w:val="20"/>
          <w:vertAlign w:val="baseline"/>
        </w:rPr>
        <w:t> </w:t>
      </w:r>
      <w:r>
        <w:rPr>
          <w:sz w:val="20"/>
          <w:vertAlign w:val="baseline"/>
        </w:rPr>
        <w:t>(3)</w:t>
      </w:r>
      <w:r>
        <w:rPr>
          <w:spacing w:val="-4"/>
          <w:sz w:val="20"/>
          <w:vertAlign w:val="baseline"/>
        </w:rPr>
        <w:t> </w:t>
      </w:r>
      <w:r>
        <w:rPr>
          <w:sz w:val="20"/>
          <w:vertAlign w:val="baseline"/>
        </w:rPr>
        <w:t>the</w:t>
      </w:r>
      <w:r>
        <w:rPr>
          <w:spacing w:val="-2"/>
          <w:sz w:val="20"/>
          <w:vertAlign w:val="baseline"/>
        </w:rPr>
        <w:t> </w:t>
      </w:r>
      <w:r>
        <w:rPr>
          <w:sz w:val="20"/>
          <w:vertAlign w:val="baseline"/>
        </w:rPr>
        <w:t>judicial</w:t>
      </w:r>
      <w:r>
        <w:rPr>
          <w:spacing w:val="-2"/>
          <w:sz w:val="20"/>
          <w:vertAlign w:val="baseline"/>
        </w:rPr>
        <w:t> </w:t>
      </w:r>
      <w:r>
        <w:rPr>
          <w:sz w:val="20"/>
          <w:vertAlign w:val="baseline"/>
        </w:rPr>
        <w:t>activities</w:t>
      </w:r>
      <w:r>
        <w:rPr>
          <w:spacing w:val="-5"/>
          <w:sz w:val="20"/>
          <w:vertAlign w:val="baseline"/>
        </w:rPr>
        <w:t> </w:t>
      </w:r>
      <w:r>
        <w:rPr>
          <w:sz w:val="20"/>
          <w:vertAlign w:val="baseline"/>
        </w:rPr>
        <w:t>in</w:t>
      </w:r>
      <w:r>
        <w:rPr>
          <w:spacing w:val="-4"/>
          <w:sz w:val="20"/>
          <w:vertAlign w:val="baseline"/>
        </w:rPr>
        <w:t> </w:t>
      </w:r>
      <w:r>
        <w:rPr>
          <w:sz w:val="20"/>
          <w:vertAlign w:val="baseline"/>
        </w:rPr>
        <w:t>the</w:t>
      </w:r>
      <w:r>
        <w:rPr>
          <w:spacing w:val="-2"/>
          <w:sz w:val="20"/>
          <w:vertAlign w:val="baseline"/>
        </w:rPr>
        <w:t> </w:t>
      </w:r>
      <w:r>
        <w:rPr>
          <w:sz w:val="20"/>
          <w:vertAlign w:val="baseline"/>
        </w:rPr>
        <w:t>CAR,</w:t>
      </w:r>
      <w:r>
        <w:rPr>
          <w:spacing w:val="-1"/>
          <w:sz w:val="20"/>
          <w:vertAlign w:val="baseline"/>
        </w:rPr>
        <w:t> </w:t>
      </w:r>
      <w:r>
        <w:rPr>
          <w:sz w:val="20"/>
          <w:vertAlign w:val="baseline"/>
        </w:rPr>
        <w:t>including</w:t>
      </w:r>
      <w:r>
        <w:rPr>
          <w:spacing w:val="-4"/>
          <w:sz w:val="20"/>
          <w:vertAlign w:val="baseline"/>
        </w:rPr>
        <w:t> </w:t>
      </w:r>
      <w:r>
        <w:rPr>
          <w:sz w:val="20"/>
          <w:vertAlign w:val="baseline"/>
        </w:rPr>
        <w:t>witness</w:t>
      </w:r>
      <w:r>
        <w:rPr>
          <w:spacing w:val="-5"/>
          <w:sz w:val="20"/>
          <w:vertAlign w:val="baseline"/>
        </w:rPr>
        <w:t> </w:t>
      </w:r>
      <w:r>
        <w:rPr>
          <w:sz w:val="20"/>
          <w:vertAlign w:val="baseline"/>
        </w:rPr>
        <w:t>appearances</w:t>
      </w:r>
      <w:r>
        <w:rPr>
          <w:spacing w:val="-5"/>
          <w:sz w:val="20"/>
          <w:vertAlign w:val="baseline"/>
        </w:rPr>
        <w:t> </w:t>
      </w:r>
      <w:r>
        <w:rPr>
          <w:sz w:val="20"/>
          <w:vertAlign w:val="baseline"/>
        </w:rPr>
        <w:t>via video teleconferencing in the three CAR cases and (4) witness appearances via video teleconferencing from Uganda for the cases in other situations. In general, the services this position provide are akin to those provided by the Service Desk of the Information Management Services Section (IMSS) and by Audio-Visual Assistants. This position supports daily information and communications technology (ICT) activities and facilitates general troubleshooting, problem solving and mitigation of ICT risks. In addition, the Field IT Technicians are critical to ensuring that services regarding internet connectivity, mobile data and printing (where rented) are in accordance with contracts and in line with the operational requirements of the country offices. Field IT Technicians also assist the Administration and Operations Officers in the country offices with ICT asset management and</w:t>
      </w:r>
      <w:r>
        <w:rPr>
          <w:spacing w:val="-8"/>
          <w:sz w:val="20"/>
          <w:vertAlign w:val="baseline"/>
        </w:rPr>
        <w:t> </w:t>
      </w:r>
      <w:r>
        <w:rPr>
          <w:sz w:val="20"/>
          <w:vertAlign w:val="baseline"/>
        </w:rPr>
        <w:t>advise</w:t>
      </w:r>
      <w:r>
        <w:rPr>
          <w:spacing w:val="-2"/>
          <w:sz w:val="20"/>
          <w:vertAlign w:val="baseline"/>
        </w:rPr>
        <w:t> </w:t>
      </w:r>
      <w:r>
        <w:rPr>
          <w:sz w:val="20"/>
          <w:vertAlign w:val="baseline"/>
        </w:rPr>
        <w:t>them</w:t>
      </w:r>
      <w:r>
        <w:rPr>
          <w:spacing w:val="-2"/>
          <w:sz w:val="20"/>
          <w:vertAlign w:val="baseline"/>
        </w:rPr>
        <w:t> </w:t>
      </w:r>
      <w:r>
        <w:rPr>
          <w:sz w:val="20"/>
          <w:vertAlign w:val="baseline"/>
        </w:rPr>
        <w:t>on</w:t>
      </w:r>
      <w:r>
        <w:rPr>
          <w:spacing w:val="-8"/>
          <w:sz w:val="20"/>
          <w:vertAlign w:val="baseline"/>
        </w:rPr>
        <w:t> </w:t>
      </w:r>
      <w:r>
        <w:rPr>
          <w:sz w:val="20"/>
          <w:vertAlign w:val="baseline"/>
        </w:rPr>
        <w:t>end-of-life</w:t>
      </w:r>
      <w:r>
        <w:rPr>
          <w:spacing w:val="-7"/>
          <w:sz w:val="20"/>
          <w:vertAlign w:val="baseline"/>
        </w:rPr>
        <w:t> </w:t>
      </w:r>
      <w:r>
        <w:rPr>
          <w:sz w:val="20"/>
          <w:vertAlign w:val="baseline"/>
        </w:rPr>
        <w:t>devices</w:t>
      </w:r>
      <w:r>
        <w:rPr>
          <w:spacing w:val="-5"/>
          <w:sz w:val="20"/>
          <w:vertAlign w:val="baseline"/>
        </w:rPr>
        <w:t> </w:t>
      </w:r>
      <w:r>
        <w:rPr>
          <w:sz w:val="20"/>
          <w:vertAlign w:val="baseline"/>
        </w:rPr>
        <w:t>and</w:t>
      </w:r>
      <w:r>
        <w:rPr>
          <w:spacing w:val="-8"/>
          <w:sz w:val="20"/>
          <w:vertAlign w:val="baseline"/>
        </w:rPr>
        <w:t> </w:t>
      </w:r>
      <w:r>
        <w:rPr>
          <w:sz w:val="20"/>
          <w:vertAlign w:val="baseline"/>
        </w:rPr>
        <w:t>the</w:t>
      </w:r>
      <w:r>
        <w:rPr>
          <w:spacing w:val="-2"/>
          <w:sz w:val="20"/>
          <w:vertAlign w:val="baseline"/>
        </w:rPr>
        <w:t> </w:t>
      </w:r>
      <w:r>
        <w:rPr>
          <w:sz w:val="20"/>
          <w:vertAlign w:val="baseline"/>
        </w:rPr>
        <w:t>disposal</w:t>
      </w:r>
      <w:r>
        <w:rPr>
          <w:spacing w:val="-7"/>
          <w:sz w:val="20"/>
          <w:vertAlign w:val="baseline"/>
        </w:rPr>
        <w:t> </w:t>
      </w:r>
      <w:r>
        <w:rPr>
          <w:sz w:val="20"/>
          <w:vertAlign w:val="baseline"/>
        </w:rPr>
        <w:t>thereof.</w:t>
      </w:r>
      <w:r>
        <w:rPr>
          <w:spacing w:val="-1"/>
          <w:sz w:val="20"/>
          <w:vertAlign w:val="baseline"/>
        </w:rPr>
        <w:t> </w:t>
      </w:r>
      <w:r>
        <w:rPr>
          <w:sz w:val="20"/>
          <w:vertAlign w:val="baseline"/>
        </w:rPr>
        <w:t>In</w:t>
      </w:r>
      <w:r>
        <w:rPr>
          <w:spacing w:val="-8"/>
          <w:sz w:val="20"/>
          <w:vertAlign w:val="baseline"/>
        </w:rPr>
        <w:t> </w:t>
      </w:r>
      <w:r>
        <w:rPr>
          <w:sz w:val="20"/>
          <w:vertAlign w:val="baseline"/>
        </w:rPr>
        <w:t>addition,</w:t>
      </w:r>
      <w:r>
        <w:rPr>
          <w:spacing w:val="-1"/>
          <w:sz w:val="20"/>
          <w:vertAlign w:val="baseline"/>
        </w:rPr>
        <w:t> </w:t>
      </w:r>
      <w:r>
        <w:rPr>
          <w:sz w:val="20"/>
          <w:vertAlign w:val="baseline"/>
        </w:rPr>
        <w:t>as</w:t>
      </w:r>
      <w:r>
        <w:rPr>
          <w:spacing w:val="-10"/>
          <w:sz w:val="20"/>
          <w:vertAlign w:val="baseline"/>
        </w:rPr>
        <w:t> </w:t>
      </w:r>
      <w:r>
        <w:rPr>
          <w:sz w:val="20"/>
          <w:vertAlign w:val="baseline"/>
        </w:rPr>
        <w:t>the</w:t>
      </w:r>
      <w:r>
        <w:rPr>
          <w:spacing w:val="-7"/>
          <w:sz w:val="20"/>
          <w:vertAlign w:val="baseline"/>
        </w:rPr>
        <w:t> </w:t>
      </w:r>
      <w:r>
        <w:rPr>
          <w:sz w:val="20"/>
          <w:vertAlign w:val="baseline"/>
        </w:rPr>
        <w:t>Court</w:t>
      </w:r>
      <w:r>
        <w:rPr>
          <w:spacing w:val="-2"/>
          <w:sz w:val="20"/>
          <w:vertAlign w:val="baseline"/>
        </w:rPr>
        <w:t> </w:t>
      </w:r>
      <w:r>
        <w:rPr>
          <w:sz w:val="20"/>
          <w:vertAlign w:val="baseline"/>
        </w:rPr>
        <w:t>has transitioned into an e-Court, there is an obvious need for country offices to have a Field IT Technician</w:t>
      </w:r>
      <w:r>
        <w:rPr>
          <w:spacing w:val="-13"/>
          <w:sz w:val="20"/>
          <w:vertAlign w:val="baseline"/>
        </w:rPr>
        <w:t> </w:t>
      </w:r>
      <w:r>
        <w:rPr>
          <w:sz w:val="20"/>
          <w:vertAlign w:val="baseline"/>
        </w:rPr>
        <w:t>to</w:t>
      </w:r>
      <w:r>
        <w:rPr>
          <w:spacing w:val="-12"/>
          <w:sz w:val="20"/>
          <w:vertAlign w:val="baseline"/>
        </w:rPr>
        <w:t> </w:t>
      </w:r>
      <w:r>
        <w:rPr>
          <w:sz w:val="20"/>
          <w:vertAlign w:val="baseline"/>
        </w:rPr>
        <w:t>support</w:t>
      </w:r>
      <w:r>
        <w:rPr>
          <w:spacing w:val="-13"/>
          <w:sz w:val="20"/>
          <w:vertAlign w:val="baseline"/>
        </w:rPr>
        <w:t> </w:t>
      </w:r>
      <w:r>
        <w:rPr>
          <w:sz w:val="20"/>
          <w:vertAlign w:val="baseline"/>
        </w:rPr>
        <w:t>Court</w:t>
      </w:r>
      <w:r>
        <w:rPr>
          <w:spacing w:val="-12"/>
          <w:sz w:val="20"/>
          <w:vertAlign w:val="baseline"/>
        </w:rPr>
        <w:t> </w:t>
      </w:r>
      <w:r>
        <w:rPr>
          <w:sz w:val="20"/>
          <w:vertAlign w:val="baseline"/>
        </w:rPr>
        <w:t>proceedings</w:t>
      </w:r>
      <w:r>
        <w:rPr>
          <w:spacing w:val="-13"/>
          <w:sz w:val="20"/>
          <w:vertAlign w:val="baseline"/>
        </w:rPr>
        <w:t> </w:t>
      </w:r>
      <w:r>
        <w:rPr>
          <w:sz w:val="20"/>
          <w:vertAlign w:val="baseline"/>
        </w:rPr>
        <w:t>by</w:t>
      </w:r>
      <w:r>
        <w:rPr>
          <w:spacing w:val="-12"/>
          <w:sz w:val="20"/>
          <w:vertAlign w:val="baseline"/>
        </w:rPr>
        <w:t> </w:t>
      </w:r>
      <w:r>
        <w:rPr>
          <w:sz w:val="20"/>
          <w:vertAlign w:val="baseline"/>
        </w:rPr>
        <w:t>setting</w:t>
      </w:r>
      <w:r>
        <w:rPr>
          <w:spacing w:val="-10"/>
          <w:sz w:val="20"/>
          <w:vertAlign w:val="baseline"/>
        </w:rPr>
        <w:t> </w:t>
      </w:r>
      <w:r>
        <w:rPr>
          <w:sz w:val="20"/>
          <w:vertAlign w:val="baseline"/>
        </w:rPr>
        <w:t>up</w:t>
      </w:r>
      <w:r>
        <w:rPr>
          <w:spacing w:val="-13"/>
          <w:sz w:val="20"/>
          <w:vertAlign w:val="baseline"/>
        </w:rPr>
        <w:t> </w:t>
      </w:r>
      <w:r>
        <w:rPr>
          <w:sz w:val="20"/>
          <w:vertAlign w:val="baseline"/>
        </w:rPr>
        <w:t>and</w:t>
      </w:r>
      <w:r>
        <w:rPr>
          <w:spacing w:val="-9"/>
          <w:sz w:val="20"/>
          <w:vertAlign w:val="baseline"/>
        </w:rPr>
        <w:t> </w:t>
      </w:r>
      <w:r>
        <w:rPr>
          <w:sz w:val="20"/>
          <w:vertAlign w:val="baseline"/>
        </w:rPr>
        <w:t>supporting</w:t>
      </w:r>
      <w:r>
        <w:rPr>
          <w:spacing w:val="-9"/>
          <w:sz w:val="20"/>
          <w:vertAlign w:val="baseline"/>
        </w:rPr>
        <w:t> </w:t>
      </w:r>
      <w:r>
        <w:rPr>
          <w:sz w:val="20"/>
          <w:vertAlign w:val="baseline"/>
        </w:rPr>
        <w:t>video</w:t>
      </w:r>
      <w:r>
        <w:rPr>
          <w:spacing w:val="-13"/>
          <w:sz w:val="20"/>
          <w:vertAlign w:val="baseline"/>
        </w:rPr>
        <w:t> </w:t>
      </w:r>
      <w:r>
        <w:rPr>
          <w:sz w:val="20"/>
          <w:vertAlign w:val="baseline"/>
        </w:rPr>
        <w:t>teleconferencing sessions for hearings and for meetings with Headquarters.</w:t>
      </w:r>
    </w:p>
    <w:p>
      <w:pPr>
        <w:pStyle w:val="BodyText"/>
      </w:pPr>
    </w:p>
    <w:p>
      <w:pPr>
        <w:pStyle w:val="BodyText"/>
      </w:pPr>
    </w:p>
    <w:p>
      <w:pPr>
        <w:pStyle w:val="BodyText"/>
        <w:spacing w:before="8"/>
        <w:rPr>
          <w:sz w:val="16"/>
        </w:rPr>
      </w:pPr>
      <w:r>
        <w:rPr/>
        <w:pict>
          <v:rect style="position:absolute;margin-left:113.330002pt;margin-top:10.801543pt;width:144.050pt;height:.47998pt;mso-position-horizontal-relative:page;mso-position-vertical-relative:paragraph;z-index:-15689216;mso-wrap-distance-left:0;mso-wrap-distance-right:0" id="docshape252" filled="true" fillcolor="#000000" stroked="false">
            <v:fill type="solid"/>
            <w10:wrap type="topAndBottom"/>
          </v:rect>
        </w:pict>
      </w:r>
    </w:p>
    <w:p>
      <w:pPr>
        <w:spacing w:line="240" w:lineRule="auto" w:before="86"/>
        <w:ind w:left="2246" w:right="2241" w:firstLine="0"/>
        <w:jc w:val="both"/>
        <w:rPr>
          <w:sz w:val="16"/>
        </w:rPr>
      </w:pPr>
      <w:r>
        <w:rPr>
          <w:position w:val="5"/>
          <w:sz w:val="10"/>
        </w:rPr>
        <w:t>123</w:t>
      </w:r>
      <w:r>
        <w:rPr>
          <w:spacing w:val="40"/>
          <w:position w:val="5"/>
          <w:sz w:val="10"/>
        </w:rPr>
        <w:t> </w:t>
      </w:r>
      <w:r>
        <w:rPr>
          <w:sz w:val="16"/>
        </w:rPr>
        <w:t>A pilot phase has been implemented for savings and efficiencies by extending the geographical area of</w:t>
      </w:r>
      <w:r>
        <w:rPr>
          <w:spacing w:val="40"/>
          <w:sz w:val="16"/>
        </w:rPr>
        <w:t> </w:t>
      </w:r>
      <w:r>
        <w:rPr>
          <w:sz w:val="16"/>
        </w:rPr>
        <w:t>responsibility of the IT Assistant based in Uganda. Since 2020, this IT Assistant position has been covering three</w:t>
      </w:r>
      <w:r>
        <w:rPr>
          <w:spacing w:val="40"/>
          <w:sz w:val="16"/>
        </w:rPr>
        <w:t> </w:t>
      </w:r>
      <w:r>
        <w:rPr>
          <w:sz w:val="16"/>
        </w:rPr>
        <w:t>offices</w:t>
      </w:r>
      <w:r>
        <w:rPr>
          <w:spacing w:val="-6"/>
          <w:sz w:val="16"/>
        </w:rPr>
        <w:t> </w:t>
      </w:r>
      <w:r>
        <w:rPr>
          <w:sz w:val="16"/>
        </w:rPr>
        <w:t>(Kinshasa,</w:t>
      </w:r>
      <w:r>
        <w:rPr>
          <w:spacing w:val="-8"/>
          <w:sz w:val="16"/>
        </w:rPr>
        <w:t> </w:t>
      </w:r>
      <w:r>
        <w:rPr>
          <w:sz w:val="16"/>
        </w:rPr>
        <w:t>Bunia,</w:t>
      </w:r>
      <w:r>
        <w:rPr>
          <w:spacing w:val="-8"/>
          <w:sz w:val="16"/>
        </w:rPr>
        <w:t> </w:t>
      </w:r>
      <w:r>
        <w:rPr>
          <w:sz w:val="16"/>
        </w:rPr>
        <w:t>Kampala).</w:t>
      </w:r>
      <w:r>
        <w:rPr>
          <w:spacing w:val="-3"/>
          <w:sz w:val="16"/>
        </w:rPr>
        <w:t> </w:t>
      </w:r>
      <w:r>
        <w:rPr>
          <w:sz w:val="16"/>
        </w:rPr>
        <w:t>This</w:t>
      </w:r>
      <w:r>
        <w:rPr>
          <w:spacing w:val="-1"/>
          <w:sz w:val="16"/>
        </w:rPr>
        <w:t> </w:t>
      </w:r>
      <w:r>
        <w:rPr>
          <w:sz w:val="16"/>
        </w:rPr>
        <w:t>pilot</w:t>
      </w:r>
      <w:r>
        <w:rPr>
          <w:spacing w:val="-7"/>
          <w:sz w:val="16"/>
        </w:rPr>
        <w:t> </w:t>
      </w:r>
      <w:r>
        <w:rPr>
          <w:sz w:val="16"/>
        </w:rPr>
        <w:t>arrangement</w:t>
      </w:r>
      <w:r>
        <w:rPr>
          <w:spacing w:val="-6"/>
          <w:sz w:val="16"/>
        </w:rPr>
        <w:t> </w:t>
      </w:r>
      <w:r>
        <w:rPr>
          <w:sz w:val="16"/>
        </w:rPr>
        <w:t>has</w:t>
      </w:r>
      <w:r>
        <w:rPr>
          <w:spacing w:val="-6"/>
          <w:sz w:val="16"/>
        </w:rPr>
        <w:t> </w:t>
      </w:r>
      <w:r>
        <w:rPr>
          <w:sz w:val="16"/>
        </w:rPr>
        <w:t>so</w:t>
      </w:r>
      <w:r>
        <w:rPr>
          <w:spacing w:val="-5"/>
          <w:sz w:val="16"/>
        </w:rPr>
        <w:t> </w:t>
      </w:r>
      <w:r>
        <w:rPr>
          <w:sz w:val="16"/>
        </w:rPr>
        <w:t>far</w:t>
      </w:r>
      <w:r>
        <w:rPr>
          <w:spacing w:val="-1"/>
          <w:sz w:val="16"/>
        </w:rPr>
        <w:t> </w:t>
      </w:r>
      <w:r>
        <w:rPr>
          <w:sz w:val="16"/>
        </w:rPr>
        <w:t>been</w:t>
      </w:r>
      <w:r>
        <w:rPr>
          <w:spacing w:val="-4"/>
          <w:sz w:val="16"/>
        </w:rPr>
        <w:t> </w:t>
      </w:r>
      <w:r>
        <w:rPr>
          <w:sz w:val="16"/>
        </w:rPr>
        <w:t>successful,</w:t>
      </w:r>
      <w:r>
        <w:rPr>
          <w:spacing w:val="-8"/>
          <w:sz w:val="16"/>
        </w:rPr>
        <w:t> </w:t>
      </w:r>
      <w:r>
        <w:rPr>
          <w:sz w:val="16"/>
        </w:rPr>
        <w:t>thanks</w:t>
      </w:r>
      <w:r>
        <w:rPr>
          <w:spacing w:val="-6"/>
          <w:sz w:val="16"/>
        </w:rPr>
        <w:t> </w:t>
      </w:r>
      <w:r>
        <w:rPr>
          <w:sz w:val="16"/>
        </w:rPr>
        <w:t>to</w:t>
      </w:r>
      <w:r>
        <w:rPr>
          <w:spacing w:val="-5"/>
          <w:sz w:val="16"/>
        </w:rPr>
        <w:t> </w:t>
      </w:r>
      <w:r>
        <w:rPr>
          <w:sz w:val="16"/>
        </w:rPr>
        <w:t>the</w:t>
      </w:r>
      <w:r>
        <w:rPr>
          <w:spacing w:val="-5"/>
          <w:sz w:val="16"/>
        </w:rPr>
        <w:t> </w:t>
      </w:r>
      <w:r>
        <w:rPr>
          <w:sz w:val="16"/>
        </w:rPr>
        <w:t>remote</w:t>
      </w:r>
      <w:r>
        <w:rPr>
          <w:spacing w:val="-5"/>
          <w:sz w:val="16"/>
        </w:rPr>
        <w:t> </w:t>
      </w:r>
      <w:r>
        <w:rPr>
          <w:sz w:val="16"/>
        </w:rPr>
        <w:t>support</w:t>
      </w:r>
      <w:r>
        <w:rPr>
          <w:spacing w:val="40"/>
          <w:sz w:val="16"/>
        </w:rPr>
        <w:t> </w:t>
      </w:r>
      <w:r>
        <w:rPr>
          <w:sz w:val="16"/>
        </w:rPr>
        <w:t>provided by the Information Management Services Section.</w:t>
      </w:r>
    </w:p>
    <w:p>
      <w:pPr>
        <w:spacing w:after="0" w:line="240" w:lineRule="auto"/>
        <w:jc w:val="both"/>
        <w:rPr>
          <w:sz w:val="16"/>
        </w:rPr>
        <w:sectPr>
          <w:pgSz w:w="11910" w:h="16840"/>
          <w:pgMar w:header="953" w:footer="940" w:top="1140" w:bottom="1140" w:left="20" w:right="20"/>
        </w:sectPr>
      </w:pPr>
    </w:p>
    <w:p>
      <w:pPr>
        <w:pStyle w:val="ListParagraph"/>
        <w:numPr>
          <w:ilvl w:val="0"/>
          <w:numId w:val="4"/>
        </w:numPr>
        <w:tabs>
          <w:tab w:pos="2967" w:val="left" w:leader="none"/>
        </w:tabs>
        <w:spacing w:line="240" w:lineRule="auto" w:before="120" w:after="0"/>
        <w:ind w:left="2246" w:right="2239" w:firstLine="0"/>
        <w:jc w:val="both"/>
        <w:rPr>
          <w:sz w:val="20"/>
        </w:rPr>
      </w:pPr>
      <w:r>
        <w:rPr>
          <w:sz w:val="20"/>
        </w:rPr>
        <w:t>One </w:t>
      </w:r>
      <w:r>
        <w:rPr>
          <w:i/>
          <w:sz w:val="20"/>
        </w:rPr>
        <w:t>Field Assistant (VPR) (Uganda) (GS-OL), 12 months. Continued. Multi-year.</w:t>
      </w:r>
      <w:r>
        <w:rPr>
          <w:i/>
          <w:sz w:val="20"/>
        </w:rPr>
        <w:t> </w:t>
      </w:r>
      <w:r>
        <w:rPr>
          <w:sz w:val="20"/>
        </w:rPr>
        <w:t>As the </w:t>
      </w:r>
      <w:r>
        <w:rPr>
          <w:i/>
          <w:sz w:val="20"/>
        </w:rPr>
        <w:t>Ongwen </w:t>
      </w:r>
      <w:r>
        <w:rPr>
          <w:sz w:val="20"/>
        </w:rPr>
        <w:t>case has entered into the reparations phase, the Victim Participation and Reparations</w:t>
      </w:r>
      <w:r>
        <w:rPr>
          <w:spacing w:val="-13"/>
          <w:sz w:val="20"/>
        </w:rPr>
        <w:t> </w:t>
      </w:r>
      <w:r>
        <w:rPr>
          <w:sz w:val="20"/>
        </w:rPr>
        <w:t>(VPR)</w:t>
      </w:r>
      <w:r>
        <w:rPr>
          <w:spacing w:val="-12"/>
          <w:sz w:val="20"/>
        </w:rPr>
        <w:t> </w:t>
      </w:r>
      <w:r>
        <w:rPr>
          <w:sz w:val="20"/>
        </w:rPr>
        <w:t>team</w:t>
      </w:r>
      <w:r>
        <w:rPr>
          <w:spacing w:val="-13"/>
          <w:sz w:val="20"/>
        </w:rPr>
        <w:t> </w:t>
      </w:r>
      <w:r>
        <w:rPr>
          <w:sz w:val="20"/>
        </w:rPr>
        <w:t>of</w:t>
      </w:r>
      <w:r>
        <w:rPr>
          <w:spacing w:val="-12"/>
          <w:sz w:val="20"/>
        </w:rPr>
        <w:t> </w:t>
      </w:r>
      <w:r>
        <w:rPr>
          <w:sz w:val="20"/>
        </w:rPr>
        <w:t>the</w:t>
      </w:r>
      <w:r>
        <w:rPr>
          <w:spacing w:val="-13"/>
          <w:sz w:val="20"/>
        </w:rPr>
        <w:t> </w:t>
      </w:r>
      <w:r>
        <w:rPr>
          <w:sz w:val="20"/>
        </w:rPr>
        <w:t>Country</w:t>
      </w:r>
      <w:r>
        <w:rPr>
          <w:spacing w:val="-9"/>
          <w:sz w:val="20"/>
        </w:rPr>
        <w:t> </w:t>
      </w:r>
      <w:r>
        <w:rPr>
          <w:sz w:val="20"/>
        </w:rPr>
        <w:t>Office</w:t>
      </w:r>
      <w:r>
        <w:rPr>
          <w:spacing w:val="-10"/>
          <w:sz w:val="20"/>
        </w:rPr>
        <w:t> </w:t>
      </w:r>
      <w:r>
        <w:rPr>
          <w:sz w:val="20"/>
        </w:rPr>
        <w:t>(Uganda)</w:t>
      </w:r>
      <w:r>
        <w:rPr>
          <w:spacing w:val="-13"/>
          <w:sz w:val="20"/>
        </w:rPr>
        <w:t> </w:t>
      </w:r>
      <w:r>
        <w:rPr>
          <w:sz w:val="20"/>
        </w:rPr>
        <w:t>will</w:t>
      </w:r>
      <w:r>
        <w:rPr>
          <w:spacing w:val="-12"/>
          <w:sz w:val="20"/>
        </w:rPr>
        <w:t> </w:t>
      </w:r>
      <w:r>
        <w:rPr>
          <w:sz w:val="20"/>
        </w:rPr>
        <w:t>continue</w:t>
      </w:r>
      <w:r>
        <w:rPr>
          <w:spacing w:val="-12"/>
          <w:sz w:val="20"/>
        </w:rPr>
        <w:t> </w:t>
      </w:r>
      <w:r>
        <w:rPr>
          <w:sz w:val="20"/>
        </w:rPr>
        <w:t>to</w:t>
      </w:r>
      <w:r>
        <w:rPr>
          <w:spacing w:val="-8"/>
          <w:sz w:val="20"/>
        </w:rPr>
        <w:t> </w:t>
      </w:r>
      <w:r>
        <w:rPr>
          <w:sz w:val="20"/>
        </w:rPr>
        <w:t>support</w:t>
      </w:r>
      <w:r>
        <w:rPr>
          <w:spacing w:val="-12"/>
          <w:sz w:val="20"/>
        </w:rPr>
        <w:t> </w:t>
      </w:r>
      <w:r>
        <w:rPr>
          <w:sz w:val="20"/>
        </w:rPr>
        <w:t>the</w:t>
      </w:r>
      <w:r>
        <w:rPr>
          <w:spacing w:val="-12"/>
          <w:sz w:val="20"/>
        </w:rPr>
        <w:t> </w:t>
      </w:r>
      <w:r>
        <w:rPr>
          <w:sz w:val="20"/>
        </w:rPr>
        <w:t>relevant reparations</w:t>
      </w:r>
      <w:r>
        <w:rPr>
          <w:spacing w:val="-5"/>
          <w:sz w:val="20"/>
        </w:rPr>
        <w:t> </w:t>
      </w:r>
      <w:r>
        <w:rPr>
          <w:sz w:val="20"/>
        </w:rPr>
        <w:t>activities</w:t>
      </w:r>
      <w:r>
        <w:rPr>
          <w:spacing w:val="-5"/>
          <w:sz w:val="20"/>
        </w:rPr>
        <w:t> </w:t>
      </w:r>
      <w:r>
        <w:rPr>
          <w:sz w:val="20"/>
        </w:rPr>
        <w:t>in</w:t>
      </w:r>
      <w:r>
        <w:rPr>
          <w:spacing w:val="-4"/>
          <w:sz w:val="20"/>
        </w:rPr>
        <w:t> </w:t>
      </w:r>
      <w:r>
        <w:rPr>
          <w:sz w:val="20"/>
        </w:rPr>
        <w:t>2023.</w:t>
      </w:r>
      <w:r>
        <w:rPr>
          <w:spacing w:val="-1"/>
          <w:sz w:val="20"/>
        </w:rPr>
        <w:t> </w:t>
      </w:r>
      <w:r>
        <w:rPr>
          <w:sz w:val="20"/>
        </w:rPr>
        <w:t>The</w:t>
      </w:r>
      <w:r>
        <w:rPr>
          <w:spacing w:val="-2"/>
          <w:sz w:val="20"/>
        </w:rPr>
        <w:t> </w:t>
      </w:r>
      <w:r>
        <w:rPr>
          <w:sz w:val="20"/>
        </w:rPr>
        <w:t>abolishment</w:t>
      </w:r>
      <w:r>
        <w:rPr>
          <w:spacing w:val="-2"/>
          <w:sz w:val="20"/>
        </w:rPr>
        <w:t> </w:t>
      </w:r>
      <w:r>
        <w:rPr>
          <w:sz w:val="20"/>
        </w:rPr>
        <w:t>of</w:t>
      </w:r>
      <w:r>
        <w:rPr>
          <w:spacing w:val="-8"/>
          <w:sz w:val="20"/>
        </w:rPr>
        <w:t> </w:t>
      </w:r>
      <w:r>
        <w:rPr>
          <w:sz w:val="20"/>
        </w:rPr>
        <w:t>the</w:t>
      </w:r>
      <w:r>
        <w:rPr>
          <w:spacing w:val="-2"/>
          <w:sz w:val="20"/>
        </w:rPr>
        <w:t> </w:t>
      </w:r>
      <w:r>
        <w:rPr>
          <w:sz w:val="20"/>
        </w:rPr>
        <w:t>one</w:t>
      </w:r>
      <w:r>
        <w:rPr>
          <w:spacing w:val="-7"/>
          <w:sz w:val="20"/>
        </w:rPr>
        <w:t> </w:t>
      </w:r>
      <w:r>
        <w:rPr>
          <w:sz w:val="20"/>
        </w:rPr>
        <w:t>established</w:t>
      </w:r>
      <w:r>
        <w:rPr>
          <w:spacing w:val="-4"/>
          <w:sz w:val="20"/>
        </w:rPr>
        <w:t> </w:t>
      </w:r>
      <w:r>
        <w:rPr>
          <w:sz w:val="20"/>
        </w:rPr>
        <w:t>post</w:t>
      </w:r>
      <w:r>
        <w:rPr>
          <w:spacing w:val="-2"/>
          <w:sz w:val="20"/>
        </w:rPr>
        <w:t> </w:t>
      </w:r>
      <w:r>
        <w:rPr>
          <w:sz w:val="20"/>
        </w:rPr>
        <w:t>of</w:t>
      </w:r>
      <w:r>
        <w:rPr>
          <w:spacing w:val="-4"/>
          <w:sz w:val="20"/>
        </w:rPr>
        <w:t> </w:t>
      </w:r>
      <w:r>
        <w:rPr>
          <w:sz w:val="20"/>
        </w:rPr>
        <w:t>Field</w:t>
      </w:r>
      <w:r>
        <w:rPr>
          <w:spacing w:val="-4"/>
          <w:sz w:val="20"/>
        </w:rPr>
        <w:t> </w:t>
      </w:r>
      <w:r>
        <w:rPr>
          <w:sz w:val="20"/>
        </w:rPr>
        <w:t>Assistant (VPR) requested by the Country Office (Uganda) as indicated in paragraph </w:t>
      </w:r>
      <w:hyperlink w:history="true" w:anchor="_bookmark44">
        <w:r>
          <w:rPr>
            <w:sz w:val="20"/>
          </w:rPr>
          <w:t>718</w:t>
        </w:r>
      </w:hyperlink>
      <w:r>
        <w:rPr>
          <w:sz w:val="20"/>
        </w:rPr>
        <w:t> leaves the present</w:t>
      </w:r>
      <w:r>
        <w:rPr>
          <w:spacing w:val="-3"/>
          <w:sz w:val="20"/>
        </w:rPr>
        <w:t> </w:t>
      </w:r>
      <w:r>
        <w:rPr>
          <w:sz w:val="20"/>
        </w:rPr>
        <w:t>Field</w:t>
      </w:r>
      <w:r>
        <w:rPr>
          <w:spacing w:val="-5"/>
          <w:sz w:val="20"/>
        </w:rPr>
        <w:t> </w:t>
      </w:r>
      <w:r>
        <w:rPr>
          <w:sz w:val="20"/>
        </w:rPr>
        <w:t>Assistant</w:t>
      </w:r>
      <w:r>
        <w:rPr>
          <w:spacing w:val="-8"/>
          <w:sz w:val="20"/>
        </w:rPr>
        <w:t> </w:t>
      </w:r>
      <w:r>
        <w:rPr>
          <w:sz w:val="20"/>
        </w:rPr>
        <w:t>(VPR)</w:t>
      </w:r>
      <w:r>
        <w:rPr>
          <w:spacing w:val="-9"/>
          <w:sz w:val="20"/>
        </w:rPr>
        <w:t> </w:t>
      </w:r>
      <w:r>
        <w:rPr>
          <w:sz w:val="20"/>
        </w:rPr>
        <w:t>position</w:t>
      </w:r>
      <w:r>
        <w:rPr>
          <w:spacing w:val="-9"/>
          <w:sz w:val="20"/>
        </w:rPr>
        <w:t> </w:t>
      </w:r>
      <w:r>
        <w:rPr>
          <w:sz w:val="20"/>
        </w:rPr>
        <w:t>the</w:t>
      </w:r>
      <w:r>
        <w:rPr>
          <w:spacing w:val="-8"/>
          <w:sz w:val="20"/>
        </w:rPr>
        <w:t> </w:t>
      </w:r>
      <w:r>
        <w:rPr>
          <w:sz w:val="20"/>
        </w:rPr>
        <w:t>only</w:t>
      </w:r>
      <w:r>
        <w:rPr>
          <w:spacing w:val="-9"/>
          <w:sz w:val="20"/>
        </w:rPr>
        <w:t> </w:t>
      </w:r>
      <w:r>
        <w:rPr>
          <w:sz w:val="20"/>
        </w:rPr>
        <w:t>one</w:t>
      </w:r>
      <w:r>
        <w:rPr>
          <w:spacing w:val="-8"/>
          <w:sz w:val="20"/>
        </w:rPr>
        <w:t> </w:t>
      </w:r>
      <w:r>
        <w:rPr>
          <w:sz w:val="20"/>
        </w:rPr>
        <w:t>to</w:t>
      </w:r>
      <w:r>
        <w:rPr>
          <w:spacing w:val="-9"/>
          <w:sz w:val="20"/>
        </w:rPr>
        <w:t> </w:t>
      </w:r>
      <w:r>
        <w:rPr>
          <w:sz w:val="20"/>
        </w:rPr>
        <w:t>assist</w:t>
      </w:r>
      <w:r>
        <w:rPr>
          <w:spacing w:val="-8"/>
          <w:sz w:val="20"/>
        </w:rPr>
        <w:t> </w:t>
      </w:r>
      <w:r>
        <w:rPr>
          <w:sz w:val="20"/>
        </w:rPr>
        <w:t>the</w:t>
      </w:r>
      <w:r>
        <w:rPr>
          <w:spacing w:val="-3"/>
          <w:sz w:val="20"/>
        </w:rPr>
        <w:t> </w:t>
      </w:r>
      <w:r>
        <w:rPr>
          <w:sz w:val="20"/>
        </w:rPr>
        <w:t>Field</w:t>
      </w:r>
      <w:r>
        <w:rPr>
          <w:spacing w:val="-5"/>
          <w:sz w:val="20"/>
        </w:rPr>
        <w:t> </w:t>
      </w:r>
      <w:r>
        <w:rPr>
          <w:sz w:val="20"/>
        </w:rPr>
        <w:t>Officer</w:t>
      </w:r>
      <w:r>
        <w:rPr>
          <w:spacing w:val="-9"/>
          <w:sz w:val="20"/>
        </w:rPr>
        <w:t> </w:t>
      </w:r>
      <w:r>
        <w:rPr>
          <w:sz w:val="20"/>
        </w:rPr>
        <w:t>(VPR)</w:t>
      </w:r>
      <w:r>
        <w:rPr>
          <w:spacing w:val="-5"/>
          <w:sz w:val="20"/>
        </w:rPr>
        <w:t> </w:t>
      </w:r>
      <w:r>
        <w:rPr>
          <w:sz w:val="20"/>
        </w:rPr>
        <w:t>(P-3)</w:t>
      </w:r>
      <w:r>
        <w:rPr>
          <w:spacing w:val="-9"/>
          <w:sz w:val="20"/>
        </w:rPr>
        <w:t> </w:t>
      </w:r>
      <w:r>
        <w:rPr>
          <w:sz w:val="20"/>
        </w:rPr>
        <w:t>to continue engaging with the victims in the </w:t>
      </w:r>
      <w:r>
        <w:rPr>
          <w:i/>
          <w:sz w:val="20"/>
        </w:rPr>
        <w:t>Ongwen </w:t>
      </w:r>
      <w:r>
        <w:rPr>
          <w:sz w:val="20"/>
        </w:rPr>
        <w:t>case and in the situation in Uganda to equip</w:t>
      </w:r>
      <w:r>
        <w:rPr>
          <w:spacing w:val="-13"/>
          <w:sz w:val="20"/>
        </w:rPr>
        <w:t> </w:t>
      </w:r>
      <w:r>
        <w:rPr>
          <w:sz w:val="20"/>
        </w:rPr>
        <w:t>them</w:t>
      </w:r>
      <w:r>
        <w:rPr>
          <w:spacing w:val="-12"/>
          <w:sz w:val="20"/>
        </w:rPr>
        <w:t> </w:t>
      </w:r>
      <w:r>
        <w:rPr>
          <w:sz w:val="20"/>
        </w:rPr>
        <w:t>with</w:t>
      </w:r>
      <w:r>
        <w:rPr>
          <w:spacing w:val="-13"/>
          <w:sz w:val="20"/>
        </w:rPr>
        <w:t> </w:t>
      </w:r>
      <w:r>
        <w:rPr>
          <w:sz w:val="20"/>
        </w:rPr>
        <w:t>the</w:t>
      </w:r>
      <w:r>
        <w:rPr>
          <w:spacing w:val="-12"/>
          <w:sz w:val="20"/>
        </w:rPr>
        <w:t> </w:t>
      </w:r>
      <w:r>
        <w:rPr>
          <w:sz w:val="20"/>
        </w:rPr>
        <w:t>relevant</w:t>
      </w:r>
      <w:r>
        <w:rPr>
          <w:spacing w:val="-13"/>
          <w:sz w:val="20"/>
        </w:rPr>
        <w:t> </w:t>
      </w:r>
      <w:r>
        <w:rPr>
          <w:sz w:val="20"/>
        </w:rPr>
        <w:t>information,</w:t>
      </w:r>
      <w:r>
        <w:rPr>
          <w:spacing w:val="-12"/>
          <w:sz w:val="20"/>
        </w:rPr>
        <w:t> </w:t>
      </w:r>
      <w:r>
        <w:rPr>
          <w:sz w:val="20"/>
        </w:rPr>
        <w:t>manage</w:t>
      </w:r>
      <w:r>
        <w:rPr>
          <w:spacing w:val="-13"/>
          <w:sz w:val="20"/>
        </w:rPr>
        <w:t> </w:t>
      </w:r>
      <w:r>
        <w:rPr>
          <w:sz w:val="20"/>
        </w:rPr>
        <w:t>their</w:t>
      </w:r>
      <w:r>
        <w:rPr>
          <w:spacing w:val="-12"/>
          <w:sz w:val="20"/>
        </w:rPr>
        <w:t> </w:t>
      </w:r>
      <w:r>
        <w:rPr>
          <w:sz w:val="20"/>
        </w:rPr>
        <w:t>overwhelming</w:t>
      </w:r>
      <w:r>
        <w:rPr>
          <w:spacing w:val="-13"/>
          <w:sz w:val="20"/>
        </w:rPr>
        <w:t> </w:t>
      </w:r>
      <w:r>
        <w:rPr>
          <w:sz w:val="20"/>
        </w:rPr>
        <w:t>expectations</w:t>
      </w:r>
      <w:r>
        <w:rPr>
          <w:spacing w:val="-12"/>
          <w:sz w:val="20"/>
        </w:rPr>
        <w:t> </w:t>
      </w:r>
      <w:r>
        <w:rPr>
          <w:sz w:val="20"/>
        </w:rPr>
        <w:t>and</w:t>
      </w:r>
      <w:r>
        <w:rPr>
          <w:spacing w:val="-13"/>
          <w:sz w:val="20"/>
        </w:rPr>
        <w:t> </w:t>
      </w:r>
      <w:r>
        <w:rPr>
          <w:sz w:val="20"/>
        </w:rPr>
        <w:t>assist in reparations activities as per any judicial orders.</w:t>
      </w:r>
    </w:p>
    <w:p>
      <w:pPr>
        <w:pStyle w:val="ListParagraph"/>
        <w:numPr>
          <w:ilvl w:val="0"/>
          <w:numId w:val="4"/>
        </w:numPr>
        <w:tabs>
          <w:tab w:pos="2967" w:val="left" w:leader="none"/>
        </w:tabs>
        <w:spacing w:line="240" w:lineRule="auto" w:before="125" w:after="0"/>
        <w:ind w:left="2246" w:right="2240" w:firstLine="0"/>
        <w:jc w:val="both"/>
        <w:rPr>
          <w:sz w:val="20"/>
        </w:rPr>
      </w:pPr>
      <w:r>
        <w:rPr>
          <w:spacing w:val="-2"/>
          <w:sz w:val="20"/>
        </w:rPr>
        <w:t>Two</w:t>
      </w:r>
      <w:r>
        <w:rPr>
          <w:spacing w:val="-11"/>
          <w:sz w:val="20"/>
        </w:rPr>
        <w:t> </w:t>
      </w:r>
      <w:r>
        <w:rPr>
          <w:i/>
          <w:spacing w:val="-2"/>
          <w:sz w:val="20"/>
        </w:rPr>
        <w:t>Field</w:t>
      </w:r>
      <w:r>
        <w:rPr>
          <w:i/>
          <w:spacing w:val="-10"/>
          <w:sz w:val="20"/>
        </w:rPr>
        <w:t> </w:t>
      </w:r>
      <w:r>
        <w:rPr>
          <w:i/>
          <w:spacing w:val="-2"/>
          <w:sz w:val="20"/>
        </w:rPr>
        <w:t>Assistants</w:t>
      </w:r>
      <w:r>
        <w:rPr>
          <w:i/>
          <w:spacing w:val="-8"/>
          <w:sz w:val="20"/>
        </w:rPr>
        <w:t> </w:t>
      </w:r>
      <w:r>
        <w:rPr>
          <w:i/>
          <w:spacing w:val="-2"/>
          <w:sz w:val="20"/>
        </w:rPr>
        <w:t>(VPR)</w:t>
      </w:r>
      <w:r>
        <w:rPr>
          <w:i/>
          <w:spacing w:val="-7"/>
          <w:sz w:val="20"/>
        </w:rPr>
        <w:t> </w:t>
      </w:r>
      <w:r>
        <w:rPr>
          <w:i/>
          <w:spacing w:val="-2"/>
          <w:sz w:val="20"/>
        </w:rPr>
        <w:t>(CAR)</w:t>
      </w:r>
      <w:r>
        <w:rPr>
          <w:i/>
          <w:spacing w:val="-7"/>
          <w:sz w:val="20"/>
        </w:rPr>
        <w:t> </w:t>
      </w:r>
      <w:r>
        <w:rPr>
          <w:i/>
          <w:spacing w:val="-2"/>
          <w:sz w:val="20"/>
        </w:rPr>
        <w:t>(GS-OL),</w:t>
      </w:r>
      <w:r>
        <w:rPr>
          <w:i/>
          <w:spacing w:val="-5"/>
          <w:sz w:val="20"/>
        </w:rPr>
        <w:t> </w:t>
      </w:r>
      <w:r>
        <w:rPr>
          <w:i/>
          <w:spacing w:val="-2"/>
          <w:sz w:val="20"/>
        </w:rPr>
        <w:t>12</w:t>
      </w:r>
      <w:r>
        <w:rPr>
          <w:i/>
          <w:spacing w:val="-7"/>
          <w:sz w:val="20"/>
        </w:rPr>
        <w:t> </w:t>
      </w:r>
      <w:r>
        <w:rPr>
          <w:i/>
          <w:spacing w:val="-2"/>
          <w:sz w:val="20"/>
        </w:rPr>
        <w:t>months</w:t>
      </w:r>
      <w:r>
        <w:rPr>
          <w:i/>
          <w:spacing w:val="-11"/>
          <w:sz w:val="20"/>
        </w:rPr>
        <w:t> </w:t>
      </w:r>
      <w:r>
        <w:rPr>
          <w:i/>
          <w:spacing w:val="-2"/>
          <w:sz w:val="20"/>
        </w:rPr>
        <w:t>each.</w:t>
      </w:r>
      <w:r>
        <w:rPr>
          <w:i/>
          <w:spacing w:val="-9"/>
          <w:sz w:val="20"/>
        </w:rPr>
        <w:t> </w:t>
      </w:r>
      <w:r>
        <w:rPr>
          <w:i/>
          <w:spacing w:val="-2"/>
          <w:sz w:val="20"/>
        </w:rPr>
        <w:t>Continued.</w:t>
      </w:r>
      <w:r>
        <w:rPr>
          <w:i/>
          <w:spacing w:val="-10"/>
          <w:sz w:val="20"/>
        </w:rPr>
        <w:t> </w:t>
      </w:r>
      <w:r>
        <w:rPr>
          <w:i/>
          <w:spacing w:val="-2"/>
          <w:sz w:val="20"/>
        </w:rPr>
        <w:t>Multi-year.</w:t>
      </w:r>
      <w:r>
        <w:rPr>
          <w:i/>
          <w:spacing w:val="-2"/>
          <w:sz w:val="20"/>
        </w:rPr>
        <w:t> </w:t>
      </w:r>
      <w:r>
        <w:rPr>
          <w:sz w:val="20"/>
        </w:rPr>
        <w:t>These positions augment the VPR and outreach teams based in the CAR. The incumbents work under the direct supervision of the Field Officer (Outreach and VPR) (P-3) and the Field</w:t>
      </w:r>
      <w:r>
        <w:rPr>
          <w:spacing w:val="-13"/>
          <w:sz w:val="20"/>
        </w:rPr>
        <w:t> </w:t>
      </w:r>
      <w:r>
        <w:rPr>
          <w:sz w:val="20"/>
        </w:rPr>
        <w:t>Officer</w:t>
      </w:r>
      <w:r>
        <w:rPr>
          <w:spacing w:val="-11"/>
          <w:sz w:val="20"/>
        </w:rPr>
        <w:t> </w:t>
      </w:r>
      <w:r>
        <w:rPr>
          <w:sz w:val="20"/>
        </w:rPr>
        <w:t>(VPR)</w:t>
      </w:r>
      <w:r>
        <w:rPr>
          <w:spacing w:val="-12"/>
          <w:sz w:val="20"/>
        </w:rPr>
        <w:t> </w:t>
      </w:r>
      <w:r>
        <w:rPr>
          <w:sz w:val="20"/>
        </w:rPr>
        <w:t>(P-3).</w:t>
      </w:r>
      <w:r>
        <w:rPr>
          <w:spacing w:val="-6"/>
          <w:sz w:val="20"/>
        </w:rPr>
        <w:t> </w:t>
      </w:r>
      <w:r>
        <w:rPr>
          <w:sz w:val="20"/>
        </w:rPr>
        <w:t>In</w:t>
      </w:r>
      <w:r>
        <w:rPr>
          <w:spacing w:val="-13"/>
          <w:sz w:val="20"/>
        </w:rPr>
        <w:t> </w:t>
      </w:r>
      <w:r>
        <w:rPr>
          <w:sz w:val="20"/>
        </w:rPr>
        <w:t>order</w:t>
      </w:r>
      <w:r>
        <w:rPr>
          <w:spacing w:val="-12"/>
          <w:sz w:val="20"/>
        </w:rPr>
        <w:t> </w:t>
      </w:r>
      <w:r>
        <w:rPr>
          <w:sz w:val="20"/>
        </w:rPr>
        <w:t>to</w:t>
      </w:r>
      <w:r>
        <w:rPr>
          <w:spacing w:val="-13"/>
          <w:sz w:val="20"/>
        </w:rPr>
        <w:t> </w:t>
      </w:r>
      <w:r>
        <w:rPr>
          <w:sz w:val="20"/>
        </w:rPr>
        <w:t>meet</w:t>
      </w:r>
      <w:r>
        <w:rPr>
          <w:spacing w:val="-12"/>
          <w:sz w:val="20"/>
        </w:rPr>
        <w:t> </w:t>
      </w:r>
      <w:r>
        <w:rPr>
          <w:sz w:val="20"/>
        </w:rPr>
        <w:t>the</w:t>
      </w:r>
      <w:r>
        <w:rPr>
          <w:spacing w:val="-11"/>
          <w:sz w:val="20"/>
        </w:rPr>
        <w:t> </w:t>
      </w:r>
      <w:r>
        <w:rPr>
          <w:sz w:val="20"/>
        </w:rPr>
        <w:t>increased</w:t>
      </w:r>
      <w:r>
        <w:rPr>
          <w:spacing w:val="-13"/>
          <w:sz w:val="20"/>
        </w:rPr>
        <w:t> </w:t>
      </w:r>
      <w:r>
        <w:rPr>
          <w:sz w:val="20"/>
        </w:rPr>
        <w:t>workload</w:t>
      </w:r>
      <w:r>
        <w:rPr>
          <w:spacing w:val="-12"/>
          <w:sz w:val="20"/>
        </w:rPr>
        <w:t> </w:t>
      </w:r>
      <w:r>
        <w:rPr>
          <w:sz w:val="20"/>
        </w:rPr>
        <w:t>and</w:t>
      </w:r>
      <w:r>
        <w:rPr>
          <w:spacing w:val="-8"/>
          <w:sz w:val="20"/>
        </w:rPr>
        <w:t> </w:t>
      </w:r>
      <w:r>
        <w:rPr>
          <w:sz w:val="20"/>
        </w:rPr>
        <w:t>productivity</w:t>
      </w:r>
      <w:r>
        <w:rPr>
          <w:spacing w:val="-8"/>
          <w:sz w:val="20"/>
        </w:rPr>
        <w:t> </w:t>
      </w:r>
      <w:r>
        <w:rPr>
          <w:sz w:val="20"/>
        </w:rPr>
        <w:t>demands generated by the proceedings in the simultaneous</w:t>
      </w:r>
      <w:r>
        <w:rPr>
          <w:spacing w:val="-1"/>
          <w:sz w:val="20"/>
        </w:rPr>
        <w:t> </w:t>
      </w:r>
      <w:r>
        <w:rPr>
          <w:sz w:val="20"/>
        </w:rPr>
        <w:t>trials of the </w:t>
      </w:r>
      <w:r>
        <w:rPr>
          <w:i/>
          <w:sz w:val="20"/>
        </w:rPr>
        <w:t>Yekatom</w:t>
      </w:r>
      <w:r>
        <w:rPr>
          <w:i/>
          <w:spacing w:val="-1"/>
          <w:sz w:val="20"/>
        </w:rPr>
        <w:t> </w:t>
      </w:r>
      <w:r>
        <w:rPr>
          <w:i/>
          <w:sz w:val="20"/>
        </w:rPr>
        <w:t>and Ngaïssona </w:t>
      </w:r>
      <w:r>
        <w:rPr>
          <w:sz w:val="20"/>
        </w:rPr>
        <w:t>case and</w:t>
      </w:r>
      <w:r>
        <w:rPr>
          <w:spacing w:val="-4"/>
          <w:sz w:val="20"/>
        </w:rPr>
        <w:t> </w:t>
      </w:r>
      <w:r>
        <w:rPr>
          <w:sz w:val="20"/>
        </w:rPr>
        <w:t>the </w:t>
      </w:r>
      <w:r>
        <w:rPr>
          <w:i/>
          <w:sz w:val="20"/>
        </w:rPr>
        <w:t>Said</w:t>
      </w:r>
      <w:r>
        <w:rPr>
          <w:i/>
          <w:spacing w:val="-3"/>
          <w:sz w:val="20"/>
        </w:rPr>
        <w:t> </w:t>
      </w:r>
      <w:r>
        <w:rPr>
          <w:sz w:val="20"/>
        </w:rPr>
        <w:t>case</w:t>
      </w:r>
      <w:r>
        <w:rPr>
          <w:spacing w:val="-2"/>
          <w:sz w:val="20"/>
        </w:rPr>
        <w:t> </w:t>
      </w:r>
      <w:r>
        <w:rPr>
          <w:sz w:val="20"/>
        </w:rPr>
        <w:t>as</w:t>
      </w:r>
      <w:r>
        <w:rPr>
          <w:spacing w:val="-5"/>
          <w:sz w:val="20"/>
        </w:rPr>
        <w:t> </w:t>
      </w:r>
      <w:r>
        <w:rPr>
          <w:sz w:val="20"/>
        </w:rPr>
        <w:t>well</w:t>
      </w:r>
      <w:r>
        <w:rPr>
          <w:spacing w:val="-2"/>
          <w:sz w:val="20"/>
        </w:rPr>
        <w:t> </w:t>
      </w:r>
      <w:r>
        <w:rPr>
          <w:sz w:val="20"/>
        </w:rPr>
        <w:t>as</w:t>
      </w:r>
      <w:r>
        <w:rPr>
          <w:spacing w:val="-5"/>
          <w:sz w:val="20"/>
        </w:rPr>
        <w:t> </w:t>
      </w:r>
      <w:r>
        <w:rPr>
          <w:sz w:val="20"/>
        </w:rPr>
        <w:t>in</w:t>
      </w:r>
      <w:r>
        <w:rPr>
          <w:spacing w:val="-4"/>
          <w:sz w:val="20"/>
        </w:rPr>
        <w:t> </w:t>
      </w:r>
      <w:r>
        <w:rPr>
          <w:sz w:val="20"/>
        </w:rPr>
        <w:t>the </w:t>
      </w:r>
      <w:r>
        <w:rPr>
          <w:i/>
          <w:sz w:val="20"/>
        </w:rPr>
        <w:t>Mokom</w:t>
      </w:r>
      <w:r>
        <w:rPr>
          <w:i/>
          <w:spacing w:val="-4"/>
          <w:sz w:val="20"/>
        </w:rPr>
        <w:t> </w:t>
      </w:r>
      <w:r>
        <w:rPr>
          <w:sz w:val="20"/>
        </w:rPr>
        <w:t>case during</w:t>
      </w:r>
      <w:r>
        <w:rPr>
          <w:spacing w:val="-4"/>
          <w:sz w:val="20"/>
        </w:rPr>
        <w:t> </w:t>
      </w:r>
      <w:r>
        <w:rPr>
          <w:sz w:val="20"/>
        </w:rPr>
        <w:t>its</w:t>
      </w:r>
      <w:r>
        <w:rPr>
          <w:spacing w:val="-5"/>
          <w:sz w:val="20"/>
        </w:rPr>
        <w:t> </w:t>
      </w:r>
      <w:r>
        <w:rPr>
          <w:sz w:val="20"/>
        </w:rPr>
        <w:t>pre-trial</w:t>
      </w:r>
      <w:r>
        <w:rPr>
          <w:spacing w:val="-2"/>
          <w:sz w:val="20"/>
        </w:rPr>
        <w:t> </w:t>
      </w:r>
      <w:r>
        <w:rPr>
          <w:sz w:val="20"/>
        </w:rPr>
        <w:t>phase,</w:t>
      </w:r>
      <w:r>
        <w:rPr>
          <w:spacing w:val="-1"/>
          <w:sz w:val="20"/>
        </w:rPr>
        <w:t> </w:t>
      </w:r>
      <w:r>
        <w:rPr>
          <w:sz w:val="20"/>
        </w:rPr>
        <w:t>the</w:t>
      </w:r>
      <w:r>
        <w:rPr>
          <w:spacing w:val="-2"/>
          <w:sz w:val="20"/>
        </w:rPr>
        <w:t> </w:t>
      </w:r>
      <w:r>
        <w:rPr>
          <w:sz w:val="20"/>
        </w:rPr>
        <w:t>Country</w:t>
      </w:r>
      <w:r>
        <w:rPr>
          <w:spacing w:val="-4"/>
          <w:sz w:val="20"/>
        </w:rPr>
        <w:t> </w:t>
      </w:r>
      <w:r>
        <w:rPr>
          <w:sz w:val="20"/>
        </w:rPr>
        <w:t>Office (CAR)</w:t>
      </w:r>
      <w:r>
        <w:rPr>
          <w:spacing w:val="-4"/>
          <w:sz w:val="20"/>
        </w:rPr>
        <w:t> </w:t>
      </w:r>
      <w:r>
        <w:rPr>
          <w:sz w:val="20"/>
        </w:rPr>
        <w:t>has</w:t>
      </w:r>
      <w:r>
        <w:rPr>
          <w:spacing w:val="-5"/>
          <w:sz w:val="20"/>
        </w:rPr>
        <w:t> </w:t>
      </w:r>
      <w:r>
        <w:rPr>
          <w:sz w:val="20"/>
        </w:rPr>
        <w:t>a</w:t>
      </w:r>
      <w:r>
        <w:rPr>
          <w:spacing w:val="-2"/>
          <w:sz w:val="20"/>
        </w:rPr>
        <w:t> </w:t>
      </w:r>
      <w:r>
        <w:rPr>
          <w:sz w:val="20"/>
        </w:rPr>
        <w:t>continuing</w:t>
      </w:r>
      <w:r>
        <w:rPr>
          <w:spacing w:val="-4"/>
          <w:sz w:val="20"/>
        </w:rPr>
        <w:t> </w:t>
      </w:r>
      <w:r>
        <w:rPr>
          <w:sz w:val="20"/>
        </w:rPr>
        <w:t>need</w:t>
      </w:r>
      <w:r>
        <w:rPr>
          <w:spacing w:val="-4"/>
          <w:sz w:val="20"/>
        </w:rPr>
        <w:t> </w:t>
      </w:r>
      <w:r>
        <w:rPr>
          <w:sz w:val="20"/>
        </w:rPr>
        <w:t>to</w:t>
      </w:r>
      <w:r>
        <w:rPr>
          <w:spacing w:val="-8"/>
          <w:sz w:val="20"/>
        </w:rPr>
        <w:t> </w:t>
      </w:r>
      <w:r>
        <w:rPr>
          <w:sz w:val="20"/>
        </w:rPr>
        <w:t>maintain</w:t>
      </w:r>
      <w:r>
        <w:rPr>
          <w:spacing w:val="-4"/>
          <w:sz w:val="20"/>
        </w:rPr>
        <w:t> </w:t>
      </w:r>
      <w:r>
        <w:rPr>
          <w:sz w:val="20"/>
        </w:rPr>
        <w:t>its</w:t>
      </w:r>
      <w:r>
        <w:rPr>
          <w:spacing w:val="-5"/>
          <w:sz w:val="20"/>
        </w:rPr>
        <w:t> </w:t>
      </w:r>
      <w:r>
        <w:rPr>
          <w:sz w:val="20"/>
        </w:rPr>
        <w:t>capacity</w:t>
      </w:r>
      <w:r>
        <w:rPr>
          <w:spacing w:val="-4"/>
          <w:sz w:val="20"/>
        </w:rPr>
        <w:t> </w:t>
      </w:r>
      <w:r>
        <w:rPr>
          <w:sz w:val="20"/>
        </w:rPr>
        <w:t>to</w:t>
      </w:r>
      <w:r>
        <w:rPr>
          <w:spacing w:val="-4"/>
          <w:sz w:val="20"/>
        </w:rPr>
        <w:t> </w:t>
      </w:r>
      <w:r>
        <w:rPr>
          <w:sz w:val="20"/>
        </w:rPr>
        <w:t>adequately</w:t>
      </w:r>
      <w:r>
        <w:rPr>
          <w:spacing w:val="-4"/>
          <w:sz w:val="20"/>
        </w:rPr>
        <w:t> </w:t>
      </w:r>
      <w:r>
        <w:rPr>
          <w:sz w:val="20"/>
        </w:rPr>
        <w:t>support</w:t>
      </w:r>
      <w:r>
        <w:rPr>
          <w:spacing w:val="-2"/>
          <w:sz w:val="20"/>
        </w:rPr>
        <w:t> </w:t>
      </w:r>
      <w:r>
        <w:rPr>
          <w:sz w:val="20"/>
        </w:rPr>
        <w:t>activities related to</w:t>
      </w:r>
      <w:r>
        <w:rPr>
          <w:spacing w:val="-13"/>
          <w:sz w:val="20"/>
        </w:rPr>
        <w:t> </w:t>
      </w:r>
      <w:r>
        <w:rPr>
          <w:sz w:val="20"/>
        </w:rPr>
        <w:t>victim</w:t>
      </w:r>
      <w:r>
        <w:rPr>
          <w:spacing w:val="-7"/>
          <w:sz w:val="20"/>
        </w:rPr>
        <w:t> </w:t>
      </w:r>
      <w:r>
        <w:rPr>
          <w:sz w:val="20"/>
        </w:rPr>
        <w:t>participation</w:t>
      </w:r>
      <w:r>
        <w:rPr>
          <w:spacing w:val="-13"/>
          <w:sz w:val="20"/>
        </w:rPr>
        <w:t> </w:t>
      </w:r>
      <w:r>
        <w:rPr>
          <w:sz w:val="20"/>
        </w:rPr>
        <w:t>and</w:t>
      </w:r>
      <w:r>
        <w:rPr>
          <w:spacing w:val="-8"/>
          <w:sz w:val="20"/>
        </w:rPr>
        <w:t> </w:t>
      </w:r>
      <w:r>
        <w:rPr>
          <w:sz w:val="20"/>
        </w:rPr>
        <w:t>outreach</w:t>
      </w:r>
      <w:r>
        <w:rPr>
          <w:spacing w:val="-13"/>
          <w:sz w:val="20"/>
        </w:rPr>
        <w:t> </w:t>
      </w:r>
      <w:r>
        <w:rPr>
          <w:sz w:val="20"/>
        </w:rPr>
        <w:t>in</w:t>
      </w:r>
      <w:r>
        <w:rPr>
          <w:spacing w:val="-12"/>
          <w:sz w:val="20"/>
        </w:rPr>
        <w:t> </w:t>
      </w:r>
      <w:r>
        <w:rPr>
          <w:sz w:val="20"/>
        </w:rPr>
        <w:t>2023.</w:t>
      </w:r>
      <w:r>
        <w:rPr>
          <w:spacing w:val="-11"/>
          <w:sz w:val="20"/>
        </w:rPr>
        <w:t> </w:t>
      </w:r>
      <w:r>
        <w:rPr>
          <w:sz w:val="20"/>
        </w:rPr>
        <w:t>These</w:t>
      </w:r>
      <w:r>
        <w:rPr>
          <w:spacing w:val="-8"/>
          <w:sz w:val="20"/>
        </w:rPr>
        <w:t> </w:t>
      </w:r>
      <w:r>
        <w:rPr>
          <w:sz w:val="20"/>
        </w:rPr>
        <w:t>positions</w:t>
      </w:r>
      <w:r>
        <w:rPr>
          <w:spacing w:val="-13"/>
          <w:sz w:val="20"/>
        </w:rPr>
        <w:t> </w:t>
      </w:r>
      <w:r>
        <w:rPr>
          <w:sz w:val="20"/>
        </w:rPr>
        <w:t>will</w:t>
      </w:r>
      <w:r>
        <w:rPr>
          <w:spacing w:val="-12"/>
          <w:sz w:val="20"/>
        </w:rPr>
        <w:t> </w:t>
      </w:r>
      <w:r>
        <w:rPr>
          <w:sz w:val="20"/>
        </w:rPr>
        <w:t>continue</w:t>
      </w:r>
      <w:r>
        <w:rPr>
          <w:spacing w:val="-11"/>
          <w:sz w:val="20"/>
        </w:rPr>
        <w:t> </w:t>
      </w:r>
      <w:r>
        <w:rPr>
          <w:sz w:val="20"/>
        </w:rPr>
        <w:t>to</w:t>
      </w:r>
      <w:r>
        <w:rPr>
          <w:spacing w:val="-13"/>
          <w:sz w:val="20"/>
        </w:rPr>
        <w:t> </w:t>
      </w:r>
      <w:r>
        <w:rPr>
          <w:sz w:val="20"/>
        </w:rPr>
        <w:t>deliver</w:t>
      </w:r>
      <w:r>
        <w:rPr>
          <w:spacing w:val="-12"/>
          <w:sz w:val="20"/>
        </w:rPr>
        <w:t> </w:t>
      </w:r>
      <w:r>
        <w:rPr>
          <w:sz w:val="20"/>
        </w:rPr>
        <w:t>multiple capabilities (language skills, access to certain communities and improved gender representation)</w:t>
      </w:r>
      <w:r>
        <w:rPr>
          <w:spacing w:val="-13"/>
          <w:sz w:val="20"/>
        </w:rPr>
        <w:t> </w:t>
      </w:r>
      <w:r>
        <w:rPr>
          <w:sz w:val="20"/>
        </w:rPr>
        <w:t>across</w:t>
      </w:r>
      <w:r>
        <w:rPr>
          <w:spacing w:val="-12"/>
          <w:sz w:val="20"/>
        </w:rPr>
        <w:t> </w:t>
      </w:r>
      <w:r>
        <w:rPr>
          <w:sz w:val="20"/>
        </w:rPr>
        <w:t>the</w:t>
      </w:r>
      <w:r>
        <w:rPr>
          <w:spacing w:val="-8"/>
          <w:sz w:val="20"/>
        </w:rPr>
        <w:t> </w:t>
      </w:r>
      <w:r>
        <w:rPr>
          <w:sz w:val="20"/>
        </w:rPr>
        <w:t>full</w:t>
      </w:r>
      <w:r>
        <w:rPr>
          <w:spacing w:val="-12"/>
          <w:sz w:val="20"/>
        </w:rPr>
        <w:t> </w:t>
      </w:r>
      <w:r>
        <w:rPr>
          <w:sz w:val="20"/>
        </w:rPr>
        <w:t>spectrum</w:t>
      </w:r>
      <w:r>
        <w:rPr>
          <w:spacing w:val="-12"/>
          <w:sz w:val="20"/>
        </w:rPr>
        <w:t> </w:t>
      </w:r>
      <w:r>
        <w:rPr>
          <w:sz w:val="20"/>
        </w:rPr>
        <w:t>of</w:t>
      </w:r>
      <w:r>
        <w:rPr>
          <w:spacing w:val="-8"/>
          <w:sz w:val="20"/>
        </w:rPr>
        <w:t> </w:t>
      </w:r>
      <w:r>
        <w:rPr>
          <w:sz w:val="20"/>
        </w:rPr>
        <w:t>VPR</w:t>
      </w:r>
      <w:r>
        <w:rPr>
          <w:spacing w:val="-13"/>
          <w:sz w:val="20"/>
        </w:rPr>
        <w:t> </w:t>
      </w:r>
      <w:r>
        <w:rPr>
          <w:sz w:val="20"/>
        </w:rPr>
        <w:t>and</w:t>
      </w:r>
      <w:r>
        <w:rPr>
          <w:spacing w:val="-12"/>
          <w:sz w:val="20"/>
        </w:rPr>
        <w:t> </w:t>
      </w:r>
      <w:r>
        <w:rPr>
          <w:sz w:val="20"/>
        </w:rPr>
        <w:t>outreach</w:t>
      </w:r>
      <w:r>
        <w:rPr>
          <w:spacing w:val="-13"/>
          <w:sz w:val="20"/>
        </w:rPr>
        <w:t> </w:t>
      </w:r>
      <w:r>
        <w:rPr>
          <w:sz w:val="20"/>
        </w:rPr>
        <w:t>activities</w:t>
      </w:r>
      <w:r>
        <w:rPr>
          <w:spacing w:val="-9"/>
          <w:sz w:val="20"/>
        </w:rPr>
        <w:t> </w:t>
      </w:r>
      <w:r>
        <w:rPr>
          <w:sz w:val="20"/>
        </w:rPr>
        <w:t>that</w:t>
      </w:r>
      <w:r>
        <w:rPr>
          <w:spacing w:val="-7"/>
          <w:sz w:val="20"/>
        </w:rPr>
        <w:t> </w:t>
      </w:r>
      <w:r>
        <w:rPr>
          <w:sz w:val="20"/>
        </w:rPr>
        <w:t>the</w:t>
      </w:r>
      <w:r>
        <w:rPr>
          <w:spacing w:val="-12"/>
          <w:sz w:val="20"/>
        </w:rPr>
        <w:t> </w:t>
      </w:r>
      <w:r>
        <w:rPr>
          <w:sz w:val="20"/>
        </w:rPr>
        <w:t>country</w:t>
      </w:r>
      <w:r>
        <w:rPr>
          <w:spacing w:val="-13"/>
          <w:sz w:val="20"/>
        </w:rPr>
        <w:t> </w:t>
      </w:r>
      <w:r>
        <w:rPr>
          <w:sz w:val="20"/>
        </w:rPr>
        <w:t>office requires</w:t>
      </w:r>
      <w:r>
        <w:rPr>
          <w:spacing w:val="-1"/>
          <w:sz w:val="20"/>
        </w:rPr>
        <w:t> </w:t>
      </w:r>
      <w:r>
        <w:rPr>
          <w:sz w:val="20"/>
        </w:rPr>
        <w:t>to deliver</w:t>
      </w:r>
      <w:r>
        <w:rPr>
          <w:spacing w:val="-5"/>
          <w:sz w:val="20"/>
        </w:rPr>
        <w:t> </w:t>
      </w:r>
      <w:r>
        <w:rPr>
          <w:sz w:val="20"/>
        </w:rPr>
        <w:t>effectively</w:t>
      </w:r>
      <w:r>
        <w:rPr>
          <w:spacing w:val="-5"/>
          <w:sz w:val="20"/>
        </w:rPr>
        <w:t> </w:t>
      </w:r>
      <w:r>
        <w:rPr>
          <w:sz w:val="20"/>
        </w:rPr>
        <w:t>on its</w:t>
      </w:r>
      <w:r>
        <w:rPr>
          <w:spacing w:val="-1"/>
          <w:sz w:val="20"/>
        </w:rPr>
        <w:t> </w:t>
      </w:r>
      <w:r>
        <w:rPr>
          <w:sz w:val="20"/>
        </w:rPr>
        <w:t>mandate.</w:t>
      </w:r>
      <w:r>
        <w:rPr>
          <w:spacing w:val="-2"/>
          <w:sz w:val="20"/>
        </w:rPr>
        <w:t> </w:t>
      </w:r>
      <w:r>
        <w:rPr>
          <w:sz w:val="20"/>
        </w:rPr>
        <w:t>These positions</w:t>
      </w:r>
      <w:r>
        <w:rPr>
          <w:spacing w:val="-1"/>
          <w:sz w:val="20"/>
        </w:rPr>
        <w:t> </w:t>
      </w:r>
      <w:r>
        <w:rPr>
          <w:sz w:val="20"/>
        </w:rPr>
        <w:t>mutually reinforce the related established posts by providing needed capacity and also enhance business continuity, in addition</w:t>
      </w:r>
      <w:r>
        <w:rPr>
          <w:spacing w:val="-13"/>
          <w:sz w:val="20"/>
        </w:rPr>
        <w:t> </w:t>
      </w:r>
      <w:r>
        <w:rPr>
          <w:sz w:val="20"/>
        </w:rPr>
        <w:t>to</w:t>
      </w:r>
      <w:r>
        <w:rPr>
          <w:spacing w:val="-12"/>
          <w:sz w:val="20"/>
        </w:rPr>
        <w:t> </w:t>
      </w:r>
      <w:r>
        <w:rPr>
          <w:sz w:val="20"/>
        </w:rPr>
        <w:t>resilience</w:t>
      </w:r>
      <w:r>
        <w:rPr>
          <w:spacing w:val="-12"/>
          <w:sz w:val="20"/>
        </w:rPr>
        <w:t> </w:t>
      </w:r>
      <w:r>
        <w:rPr>
          <w:sz w:val="20"/>
        </w:rPr>
        <w:t>so</w:t>
      </w:r>
      <w:r>
        <w:rPr>
          <w:spacing w:val="-13"/>
          <w:sz w:val="20"/>
        </w:rPr>
        <w:t> </w:t>
      </w:r>
      <w:r>
        <w:rPr>
          <w:sz w:val="20"/>
        </w:rPr>
        <w:t>that</w:t>
      </w:r>
      <w:r>
        <w:rPr>
          <w:spacing w:val="-12"/>
          <w:sz w:val="20"/>
        </w:rPr>
        <w:t> </w:t>
      </w:r>
      <w:r>
        <w:rPr>
          <w:sz w:val="20"/>
        </w:rPr>
        <w:t>operational</w:t>
      </w:r>
      <w:r>
        <w:rPr>
          <w:spacing w:val="-12"/>
          <w:sz w:val="20"/>
        </w:rPr>
        <w:t> </w:t>
      </w:r>
      <w:r>
        <w:rPr>
          <w:sz w:val="20"/>
        </w:rPr>
        <w:t>momentum</w:t>
      </w:r>
      <w:r>
        <w:rPr>
          <w:spacing w:val="-6"/>
          <w:sz w:val="20"/>
        </w:rPr>
        <w:t> </w:t>
      </w:r>
      <w:r>
        <w:rPr>
          <w:sz w:val="20"/>
        </w:rPr>
        <w:t>can</w:t>
      </w:r>
      <w:r>
        <w:rPr>
          <w:spacing w:val="-9"/>
          <w:sz w:val="20"/>
        </w:rPr>
        <w:t> </w:t>
      </w:r>
      <w:r>
        <w:rPr>
          <w:sz w:val="20"/>
        </w:rPr>
        <w:t>be</w:t>
      </w:r>
      <w:r>
        <w:rPr>
          <w:spacing w:val="-8"/>
          <w:sz w:val="20"/>
        </w:rPr>
        <w:t> </w:t>
      </w:r>
      <w:r>
        <w:rPr>
          <w:sz w:val="20"/>
        </w:rPr>
        <w:t>sustained</w:t>
      </w:r>
      <w:r>
        <w:rPr>
          <w:spacing w:val="-9"/>
          <w:sz w:val="20"/>
        </w:rPr>
        <w:t> </w:t>
      </w:r>
      <w:r>
        <w:rPr>
          <w:sz w:val="20"/>
        </w:rPr>
        <w:t>during</w:t>
      </w:r>
      <w:r>
        <w:rPr>
          <w:spacing w:val="-9"/>
          <w:sz w:val="20"/>
        </w:rPr>
        <w:t> </w:t>
      </w:r>
      <w:r>
        <w:rPr>
          <w:sz w:val="20"/>
        </w:rPr>
        <w:t>periods</w:t>
      </w:r>
      <w:r>
        <w:rPr>
          <w:spacing w:val="-13"/>
          <w:sz w:val="20"/>
        </w:rPr>
        <w:t> </w:t>
      </w:r>
      <w:r>
        <w:rPr>
          <w:sz w:val="20"/>
        </w:rPr>
        <w:t>of</w:t>
      </w:r>
      <w:r>
        <w:rPr>
          <w:spacing w:val="-8"/>
          <w:sz w:val="20"/>
        </w:rPr>
        <w:t> </w:t>
      </w:r>
      <w:r>
        <w:rPr>
          <w:sz w:val="20"/>
        </w:rPr>
        <w:t>leave, rest and recuperation and illness. Efficiencies and savings have been identified without requesting new positions despite the significant increase in judicial activities in the CAR except for the request for additional resources for individual contractors as indicated in paragraph </w:t>
      </w:r>
      <w:hyperlink w:history="true" w:anchor="_bookmark48">
        <w:r>
          <w:rPr>
            <w:sz w:val="20"/>
          </w:rPr>
          <w:t>760</w:t>
        </w:r>
      </w:hyperlink>
      <w:r>
        <w:rPr>
          <w:sz w:val="20"/>
        </w:rPr>
        <w:t> in order to reinforce surge capacities of the Country Office (CAR).</w:t>
      </w:r>
    </w:p>
    <w:p>
      <w:pPr>
        <w:pStyle w:val="ListParagraph"/>
        <w:numPr>
          <w:ilvl w:val="0"/>
          <w:numId w:val="4"/>
        </w:numPr>
        <w:tabs>
          <w:tab w:pos="2967" w:val="left" w:leader="none"/>
        </w:tabs>
        <w:spacing w:line="240" w:lineRule="auto" w:before="118" w:after="0"/>
        <w:ind w:left="2246" w:right="2236" w:firstLine="0"/>
        <w:jc w:val="both"/>
        <w:rPr>
          <w:sz w:val="20"/>
        </w:rPr>
      </w:pPr>
      <w:r>
        <w:rPr>
          <w:sz w:val="20"/>
        </w:rPr>
        <w:t>One </w:t>
      </w:r>
      <w:r>
        <w:rPr>
          <w:i/>
          <w:sz w:val="20"/>
        </w:rPr>
        <w:t>Senior Driver (GS-OL) (CAR), 12 months. Continued. Multi-year. </w:t>
      </w:r>
      <w:r>
        <w:rPr>
          <w:sz w:val="20"/>
        </w:rPr>
        <w:t>The requested position will continue to be based in the Country Office (CAR) to enable a more effective use of driver capacity (thereby reducing overtime and compensatory time off) for transport</w:t>
      </w:r>
      <w:r>
        <w:rPr>
          <w:spacing w:val="-13"/>
          <w:sz w:val="20"/>
        </w:rPr>
        <w:t> </w:t>
      </w:r>
      <w:r>
        <w:rPr>
          <w:sz w:val="20"/>
        </w:rPr>
        <w:t>as</w:t>
      </w:r>
      <w:r>
        <w:rPr>
          <w:spacing w:val="-12"/>
          <w:sz w:val="20"/>
        </w:rPr>
        <w:t> </w:t>
      </w:r>
      <w:r>
        <w:rPr>
          <w:sz w:val="20"/>
        </w:rPr>
        <w:t>well</w:t>
      </w:r>
      <w:r>
        <w:rPr>
          <w:spacing w:val="-13"/>
          <w:sz w:val="20"/>
        </w:rPr>
        <w:t> </w:t>
      </w:r>
      <w:r>
        <w:rPr>
          <w:sz w:val="20"/>
        </w:rPr>
        <w:t>as</w:t>
      </w:r>
      <w:r>
        <w:rPr>
          <w:spacing w:val="-12"/>
          <w:sz w:val="20"/>
        </w:rPr>
        <w:t> </w:t>
      </w:r>
      <w:r>
        <w:rPr>
          <w:sz w:val="20"/>
        </w:rPr>
        <w:t>light</w:t>
      </w:r>
      <w:r>
        <w:rPr>
          <w:spacing w:val="-13"/>
          <w:sz w:val="20"/>
        </w:rPr>
        <w:t> </w:t>
      </w:r>
      <w:r>
        <w:rPr>
          <w:sz w:val="20"/>
        </w:rPr>
        <w:t>maintenance</w:t>
      </w:r>
      <w:r>
        <w:rPr>
          <w:spacing w:val="-12"/>
          <w:sz w:val="20"/>
        </w:rPr>
        <w:t> </w:t>
      </w:r>
      <w:r>
        <w:rPr>
          <w:sz w:val="20"/>
        </w:rPr>
        <w:t>of</w:t>
      </w:r>
      <w:r>
        <w:rPr>
          <w:spacing w:val="-13"/>
          <w:sz w:val="20"/>
        </w:rPr>
        <w:t> </w:t>
      </w:r>
      <w:r>
        <w:rPr>
          <w:sz w:val="20"/>
        </w:rPr>
        <w:t>generator</w:t>
      </w:r>
      <w:r>
        <w:rPr>
          <w:spacing w:val="-12"/>
          <w:sz w:val="20"/>
        </w:rPr>
        <w:t> </w:t>
      </w:r>
      <w:r>
        <w:rPr>
          <w:sz w:val="20"/>
        </w:rPr>
        <w:t>assets</w:t>
      </w:r>
      <w:r>
        <w:rPr>
          <w:spacing w:val="-13"/>
          <w:sz w:val="20"/>
        </w:rPr>
        <w:t> </w:t>
      </w:r>
      <w:r>
        <w:rPr>
          <w:sz w:val="20"/>
        </w:rPr>
        <w:t>(with</w:t>
      </w:r>
      <w:r>
        <w:rPr>
          <w:spacing w:val="-12"/>
          <w:sz w:val="20"/>
        </w:rPr>
        <w:t> </w:t>
      </w:r>
      <w:r>
        <w:rPr>
          <w:sz w:val="20"/>
        </w:rPr>
        <w:t>the</w:t>
      </w:r>
      <w:r>
        <w:rPr>
          <w:spacing w:val="-13"/>
          <w:sz w:val="20"/>
        </w:rPr>
        <w:t> </w:t>
      </w:r>
      <w:r>
        <w:rPr>
          <w:sz w:val="20"/>
        </w:rPr>
        <w:t>incumbent</w:t>
      </w:r>
      <w:r>
        <w:rPr>
          <w:spacing w:val="-12"/>
          <w:sz w:val="20"/>
        </w:rPr>
        <w:t> </w:t>
      </w:r>
      <w:r>
        <w:rPr>
          <w:sz w:val="20"/>
        </w:rPr>
        <w:t>ensuring</w:t>
      </w:r>
      <w:r>
        <w:rPr>
          <w:spacing w:val="-13"/>
          <w:sz w:val="20"/>
        </w:rPr>
        <w:t> </w:t>
      </w:r>
      <w:r>
        <w:rPr>
          <w:sz w:val="20"/>
        </w:rPr>
        <w:t>timely servicing</w:t>
      </w:r>
      <w:r>
        <w:rPr>
          <w:spacing w:val="-7"/>
          <w:sz w:val="20"/>
        </w:rPr>
        <w:t> </w:t>
      </w:r>
      <w:r>
        <w:rPr>
          <w:sz w:val="20"/>
        </w:rPr>
        <w:t>and</w:t>
      </w:r>
      <w:r>
        <w:rPr>
          <w:spacing w:val="-3"/>
          <w:sz w:val="20"/>
        </w:rPr>
        <w:t> </w:t>
      </w:r>
      <w:r>
        <w:rPr>
          <w:sz w:val="20"/>
        </w:rPr>
        <w:t>repairs</w:t>
      </w:r>
      <w:r>
        <w:rPr>
          <w:spacing w:val="-4"/>
          <w:sz w:val="20"/>
        </w:rPr>
        <w:t> </w:t>
      </w:r>
      <w:r>
        <w:rPr>
          <w:sz w:val="20"/>
        </w:rPr>
        <w:t>and</w:t>
      </w:r>
      <w:r>
        <w:rPr>
          <w:spacing w:val="-3"/>
          <w:sz w:val="20"/>
        </w:rPr>
        <w:t> </w:t>
      </w:r>
      <w:r>
        <w:rPr>
          <w:sz w:val="20"/>
        </w:rPr>
        <w:t>identifying</w:t>
      </w:r>
      <w:r>
        <w:rPr>
          <w:spacing w:val="-3"/>
          <w:sz w:val="20"/>
        </w:rPr>
        <w:t> </w:t>
      </w:r>
      <w:r>
        <w:rPr>
          <w:sz w:val="20"/>
        </w:rPr>
        <w:t>related</w:t>
      </w:r>
      <w:r>
        <w:rPr>
          <w:spacing w:val="-3"/>
          <w:sz w:val="20"/>
        </w:rPr>
        <w:t> </w:t>
      </w:r>
      <w:r>
        <w:rPr>
          <w:sz w:val="20"/>
        </w:rPr>
        <w:t>cost</w:t>
      </w:r>
      <w:r>
        <w:rPr>
          <w:spacing w:val="-1"/>
          <w:sz w:val="20"/>
        </w:rPr>
        <w:t> </w:t>
      </w:r>
      <w:r>
        <w:rPr>
          <w:sz w:val="20"/>
        </w:rPr>
        <w:t>savings</w:t>
      </w:r>
      <w:r>
        <w:rPr>
          <w:spacing w:val="-4"/>
          <w:sz w:val="20"/>
        </w:rPr>
        <w:t> </w:t>
      </w:r>
      <w:r>
        <w:rPr>
          <w:sz w:val="20"/>
        </w:rPr>
        <w:t>and</w:t>
      </w:r>
      <w:r>
        <w:rPr>
          <w:spacing w:val="-3"/>
          <w:sz w:val="20"/>
        </w:rPr>
        <w:t> </w:t>
      </w:r>
      <w:r>
        <w:rPr>
          <w:sz w:val="20"/>
        </w:rPr>
        <w:t>efficiencies). It</w:t>
      </w:r>
      <w:r>
        <w:rPr>
          <w:spacing w:val="-1"/>
          <w:sz w:val="20"/>
        </w:rPr>
        <w:t> </w:t>
      </w:r>
      <w:r>
        <w:rPr>
          <w:sz w:val="20"/>
        </w:rPr>
        <w:t>also</w:t>
      </w:r>
      <w:r>
        <w:rPr>
          <w:spacing w:val="-3"/>
          <w:sz w:val="20"/>
        </w:rPr>
        <w:t> </w:t>
      </w:r>
      <w:r>
        <w:rPr>
          <w:sz w:val="20"/>
        </w:rPr>
        <w:t>allows</w:t>
      </w:r>
      <w:r>
        <w:rPr>
          <w:spacing w:val="-4"/>
          <w:sz w:val="20"/>
        </w:rPr>
        <w:t> </w:t>
      </w:r>
      <w:r>
        <w:rPr>
          <w:sz w:val="20"/>
        </w:rPr>
        <w:t>the Senior Driver functions to be delivered notwithstanding driver mission deployment. The economic management of the transport capacity and assets of the country office will be essential in a year when requests for mission support from outside the country office from parties and participants have increased significantly.</w:t>
      </w:r>
    </w:p>
    <w:p>
      <w:pPr>
        <w:pStyle w:val="ListParagraph"/>
        <w:numPr>
          <w:ilvl w:val="0"/>
          <w:numId w:val="4"/>
        </w:numPr>
        <w:tabs>
          <w:tab w:pos="2967" w:val="left" w:leader="none"/>
        </w:tabs>
        <w:spacing w:line="240" w:lineRule="auto" w:before="120" w:after="0"/>
        <w:ind w:left="2246" w:right="2239" w:firstLine="0"/>
        <w:jc w:val="both"/>
        <w:rPr>
          <w:sz w:val="20"/>
        </w:rPr>
      </w:pPr>
      <w:r>
        <w:rPr>
          <w:sz w:val="20"/>
        </w:rPr>
        <w:t>One </w:t>
      </w:r>
      <w:r>
        <w:rPr>
          <w:i/>
          <w:sz w:val="20"/>
        </w:rPr>
        <w:t>Field Case Management Assistant (CAR) (GS-OL), 12 months. Continued.</w:t>
      </w:r>
      <w:r>
        <w:rPr>
          <w:i/>
          <w:sz w:val="20"/>
        </w:rPr>
        <w:t> Multi-year.</w:t>
      </w:r>
      <w:r>
        <w:rPr>
          <w:i/>
          <w:spacing w:val="-5"/>
          <w:sz w:val="20"/>
        </w:rPr>
        <w:t> </w:t>
      </w:r>
      <w:r>
        <w:rPr>
          <w:sz w:val="20"/>
        </w:rPr>
        <w:t>This</w:t>
      </w:r>
      <w:r>
        <w:rPr>
          <w:spacing w:val="-4"/>
          <w:sz w:val="20"/>
        </w:rPr>
        <w:t> </w:t>
      </w:r>
      <w:r>
        <w:rPr>
          <w:sz w:val="20"/>
        </w:rPr>
        <w:t>position</w:t>
      </w:r>
      <w:r>
        <w:rPr>
          <w:spacing w:val="-3"/>
          <w:sz w:val="20"/>
        </w:rPr>
        <w:t> </w:t>
      </w:r>
      <w:r>
        <w:rPr>
          <w:sz w:val="20"/>
        </w:rPr>
        <w:t>is</w:t>
      </w:r>
      <w:r>
        <w:rPr>
          <w:spacing w:val="-4"/>
          <w:sz w:val="20"/>
        </w:rPr>
        <w:t> </w:t>
      </w:r>
      <w:r>
        <w:rPr>
          <w:sz w:val="20"/>
        </w:rPr>
        <w:t>required</w:t>
      </w:r>
      <w:r>
        <w:rPr>
          <w:spacing w:val="-3"/>
          <w:sz w:val="20"/>
        </w:rPr>
        <w:t> </w:t>
      </w:r>
      <w:r>
        <w:rPr>
          <w:sz w:val="20"/>
        </w:rPr>
        <w:t>to</w:t>
      </w:r>
      <w:r>
        <w:rPr>
          <w:spacing w:val="-3"/>
          <w:sz w:val="20"/>
        </w:rPr>
        <w:t> </w:t>
      </w:r>
      <w:r>
        <w:rPr>
          <w:sz w:val="20"/>
        </w:rPr>
        <w:t>support</w:t>
      </w:r>
      <w:r>
        <w:rPr>
          <w:spacing w:val="-1"/>
          <w:sz w:val="20"/>
        </w:rPr>
        <w:t> </w:t>
      </w:r>
      <w:r>
        <w:rPr>
          <w:sz w:val="20"/>
        </w:rPr>
        <w:t>the</w:t>
      </w:r>
      <w:r>
        <w:rPr>
          <w:spacing w:val="-1"/>
          <w:sz w:val="20"/>
        </w:rPr>
        <w:t> </w:t>
      </w:r>
      <w:r>
        <w:rPr>
          <w:sz w:val="20"/>
        </w:rPr>
        <w:t>Associate</w:t>
      </w:r>
      <w:r>
        <w:rPr>
          <w:spacing w:val="-1"/>
          <w:sz w:val="20"/>
        </w:rPr>
        <w:t> </w:t>
      </w:r>
      <w:r>
        <w:rPr>
          <w:sz w:val="20"/>
        </w:rPr>
        <w:t>Field</w:t>
      </w:r>
      <w:r>
        <w:rPr>
          <w:spacing w:val="-3"/>
          <w:sz w:val="20"/>
        </w:rPr>
        <w:t> </w:t>
      </w:r>
      <w:r>
        <w:rPr>
          <w:sz w:val="20"/>
        </w:rPr>
        <w:t>Case Officer</w:t>
      </w:r>
      <w:r>
        <w:rPr>
          <w:spacing w:val="-3"/>
          <w:sz w:val="20"/>
        </w:rPr>
        <w:t> </w:t>
      </w:r>
      <w:r>
        <w:rPr>
          <w:sz w:val="20"/>
        </w:rPr>
        <w:t>in</w:t>
      </w:r>
      <w:r>
        <w:rPr>
          <w:spacing w:val="-3"/>
          <w:sz w:val="20"/>
        </w:rPr>
        <w:t> </w:t>
      </w:r>
      <w:r>
        <w:rPr>
          <w:sz w:val="20"/>
        </w:rPr>
        <w:t>the</w:t>
      </w:r>
      <w:r>
        <w:rPr>
          <w:spacing w:val="-1"/>
          <w:sz w:val="20"/>
        </w:rPr>
        <w:t> </w:t>
      </w:r>
      <w:r>
        <w:rPr>
          <w:sz w:val="20"/>
        </w:rPr>
        <w:t>CAR in</w:t>
      </w:r>
      <w:r>
        <w:rPr>
          <w:spacing w:val="-3"/>
          <w:sz w:val="20"/>
        </w:rPr>
        <w:t> </w:t>
      </w:r>
      <w:r>
        <w:rPr>
          <w:sz w:val="20"/>
        </w:rPr>
        <w:t>managing</w:t>
      </w:r>
      <w:r>
        <w:rPr>
          <w:spacing w:val="-7"/>
          <w:sz w:val="20"/>
        </w:rPr>
        <w:t> </w:t>
      </w:r>
      <w:r>
        <w:rPr>
          <w:sz w:val="20"/>
        </w:rPr>
        <w:t>the</w:t>
      </w:r>
      <w:r>
        <w:rPr>
          <w:spacing w:val="-1"/>
          <w:sz w:val="20"/>
        </w:rPr>
        <w:t> </w:t>
      </w:r>
      <w:r>
        <w:rPr>
          <w:sz w:val="20"/>
        </w:rPr>
        <w:t>field</w:t>
      </w:r>
      <w:r>
        <w:rPr>
          <w:spacing w:val="-7"/>
          <w:sz w:val="20"/>
        </w:rPr>
        <w:t> </w:t>
      </w:r>
      <w:r>
        <w:rPr>
          <w:sz w:val="20"/>
        </w:rPr>
        <w:t>operations</w:t>
      </w:r>
      <w:r>
        <w:rPr>
          <w:spacing w:val="-4"/>
          <w:sz w:val="20"/>
        </w:rPr>
        <w:t> </w:t>
      </w:r>
      <w:r>
        <w:rPr>
          <w:sz w:val="20"/>
        </w:rPr>
        <w:t>pertaining</w:t>
      </w:r>
      <w:r>
        <w:rPr>
          <w:spacing w:val="-7"/>
          <w:sz w:val="20"/>
        </w:rPr>
        <w:t> </w:t>
      </w:r>
      <w:r>
        <w:rPr>
          <w:sz w:val="20"/>
        </w:rPr>
        <w:t>to</w:t>
      </w:r>
      <w:r>
        <w:rPr>
          <w:spacing w:val="-3"/>
          <w:sz w:val="20"/>
        </w:rPr>
        <w:t> </w:t>
      </w:r>
      <w:r>
        <w:rPr>
          <w:sz w:val="20"/>
        </w:rPr>
        <w:t>the</w:t>
      </w:r>
      <w:r>
        <w:rPr>
          <w:spacing w:val="-1"/>
          <w:sz w:val="20"/>
        </w:rPr>
        <w:t> </w:t>
      </w:r>
      <w:r>
        <w:rPr>
          <w:sz w:val="20"/>
        </w:rPr>
        <w:t>trial</w:t>
      </w:r>
      <w:r>
        <w:rPr>
          <w:spacing w:val="-6"/>
          <w:sz w:val="20"/>
        </w:rPr>
        <w:t> </w:t>
      </w:r>
      <w:r>
        <w:rPr>
          <w:sz w:val="20"/>
        </w:rPr>
        <w:t>as</w:t>
      </w:r>
      <w:r>
        <w:rPr>
          <w:spacing w:val="-4"/>
          <w:sz w:val="20"/>
        </w:rPr>
        <w:t> </w:t>
      </w:r>
      <w:r>
        <w:rPr>
          <w:sz w:val="20"/>
        </w:rPr>
        <w:t>well</w:t>
      </w:r>
      <w:r>
        <w:rPr>
          <w:spacing w:val="-6"/>
          <w:sz w:val="20"/>
        </w:rPr>
        <w:t> </w:t>
      </w:r>
      <w:r>
        <w:rPr>
          <w:sz w:val="20"/>
        </w:rPr>
        <w:t>as</w:t>
      </w:r>
      <w:r>
        <w:rPr>
          <w:spacing w:val="-4"/>
          <w:sz w:val="20"/>
        </w:rPr>
        <w:t> </w:t>
      </w:r>
      <w:r>
        <w:rPr>
          <w:sz w:val="20"/>
        </w:rPr>
        <w:t>the</w:t>
      </w:r>
      <w:r>
        <w:rPr>
          <w:spacing w:val="-1"/>
          <w:sz w:val="20"/>
        </w:rPr>
        <w:t> </w:t>
      </w:r>
      <w:r>
        <w:rPr>
          <w:sz w:val="20"/>
        </w:rPr>
        <w:t>pre-trial</w:t>
      </w:r>
      <w:r>
        <w:rPr>
          <w:spacing w:val="-1"/>
          <w:sz w:val="20"/>
        </w:rPr>
        <w:t> </w:t>
      </w:r>
      <w:r>
        <w:rPr>
          <w:sz w:val="20"/>
        </w:rPr>
        <w:t>activities</w:t>
      </w:r>
      <w:r>
        <w:rPr>
          <w:spacing w:val="-9"/>
          <w:sz w:val="20"/>
        </w:rPr>
        <w:t> </w:t>
      </w:r>
      <w:r>
        <w:rPr>
          <w:sz w:val="20"/>
        </w:rPr>
        <w:t>in</w:t>
      </w:r>
      <w:r>
        <w:rPr>
          <w:spacing w:val="-3"/>
          <w:sz w:val="20"/>
        </w:rPr>
        <w:t> </w:t>
      </w:r>
      <w:r>
        <w:rPr>
          <w:sz w:val="20"/>
        </w:rPr>
        <w:t>the CAR situation and protection-related activities conducted by VWS. Its main focus is the liaison</w:t>
      </w:r>
      <w:r>
        <w:rPr>
          <w:spacing w:val="-13"/>
          <w:sz w:val="20"/>
        </w:rPr>
        <w:t> </w:t>
      </w:r>
      <w:r>
        <w:rPr>
          <w:sz w:val="20"/>
        </w:rPr>
        <w:t>and</w:t>
      </w:r>
      <w:r>
        <w:rPr>
          <w:spacing w:val="-12"/>
          <w:sz w:val="20"/>
        </w:rPr>
        <w:t> </w:t>
      </w:r>
      <w:r>
        <w:rPr>
          <w:sz w:val="20"/>
        </w:rPr>
        <w:t>management</w:t>
      </w:r>
      <w:r>
        <w:rPr>
          <w:spacing w:val="-13"/>
          <w:sz w:val="20"/>
        </w:rPr>
        <w:t> </w:t>
      </w:r>
      <w:r>
        <w:rPr>
          <w:sz w:val="20"/>
        </w:rPr>
        <w:t>of</w:t>
      </w:r>
      <w:r>
        <w:rPr>
          <w:spacing w:val="-12"/>
          <w:sz w:val="20"/>
        </w:rPr>
        <w:t> </w:t>
      </w:r>
      <w:r>
        <w:rPr>
          <w:sz w:val="20"/>
        </w:rPr>
        <w:t>direct</w:t>
      </w:r>
      <w:r>
        <w:rPr>
          <w:spacing w:val="-11"/>
          <w:sz w:val="20"/>
        </w:rPr>
        <w:t> </w:t>
      </w:r>
      <w:r>
        <w:rPr>
          <w:sz w:val="20"/>
        </w:rPr>
        <w:t>contacts</w:t>
      </w:r>
      <w:r>
        <w:rPr>
          <w:spacing w:val="-13"/>
          <w:sz w:val="20"/>
        </w:rPr>
        <w:t> </w:t>
      </w:r>
      <w:r>
        <w:rPr>
          <w:sz w:val="20"/>
        </w:rPr>
        <w:t>between</w:t>
      </w:r>
      <w:r>
        <w:rPr>
          <w:spacing w:val="-11"/>
          <w:sz w:val="20"/>
        </w:rPr>
        <w:t> </w:t>
      </w:r>
      <w:r>
        <w:rPr>
          <w:sz w:val="20"/>
        </w:rPr>
        <w:t>VWS</w:t>
      </w:r>
      <w:r>
        <w:rPr>
          <w:spacing w:val="-13"/>
          <w:sz w:val="20"/>
        </w:rPr>
        <w:t> </w:t>
      </w:r>
      <w:r>
        <w:rPr>
          <w:sz w:val="20"/>
        </w:rPr>
        <w:t>and</w:t>
      </w:r>
      <w:r>
        <w:rPr>
          <w:spacing w:val="-11"/>
          <w:sz w:val="20"/>
        </w:rPr>
        <w:t> </w:t>
      </w:r>
      <w:r>
        <w:rPr>
          <w:sz w:val="20"/>
        </w:rPr>
        <w:t>the</w:t>
      </w:r>
      <w:r>
        <w:rPr>
          <w:spacing w:val="-9"/>
          <w:sz w:val="20"/>
        </w:rPr>
        <w:t> </w:t>
      </w:r>
      <w:r>
        <w:rPr>
          <w:sz w:val="20"/>
        </w:rPr>
        <w:t>witnesses</w:t>
      </w:r>
      <w:r>
        <w:rPr>
          <w:spacing w:val="-13"/>
          <w:sz w:val="20"/>
        </w:rPr>
        <w:t> </w:t>
      </w:r>
      <w:r>
        <w:rPr>
          <w:sz w:val="20"/>
        </w:rPr>
        <w:t>as</w:t>
      </w:r>
      <w:r>
        <w:rPr>
          <w:spacing w:val="-12"/>
          <w:sz w:val="20"/>
        </w:rPr>
        <w:t> </w:t>
      </w:r>
      <w:r>
        <w:rPr>
          <w:sz w:val="20"/>
        </w:rPr>
        <w:t>well</w:t>
      </w:r>
      <w:r>
        <w:rPr>
          <w:spacing w:val="-10"/>
          <w:sz w:val="20"/>
        </w:rPr>
        <w:t> </w:t>
      </w:r>
      <w:r>
        <w:rPr>
          <w:sz w:val="20"/>
        </w:rPr>
        <w:t>as</w:t>
      </w:r>
      <w:r>
        <w:rPr>
          <w:spacing w:val="-13"/>
          <w:sz w:val="20"/>
        </w:rPr>
        <w:t> </w:t>
      </w:r>
      <w:r>
        <w:rPr>
          <w:sz w:val="20"/>
        </w:rPr>
        <w:t>support for the</w:t>
      </w:r>
      <w:r>
        <w:rPr>
          <w:spacing w:val="-3"/>
          <w:sz w:val="20"/>
        </w:rPr>
        <w:t> </w:t>
      </w:r>
      <w:r>
        <w:rPr>
          <w:sz w:val="20"/>
        </w:rPr>
        <w:t>implementation of</w:t>
      </w:r>
      <w:r>
        <w:rPr>
          <w:spacing w:val="-5"/>
          <w:sz w:val="20"/>
        </w:rPr>
        <w:t> </w:t>
      </w:r>
      <w:r>
        <w:rPr>
          <w:sz w:val="20"/>
        </w:rPr>
        <w:t>trial/pre-trial</w:t>
      </w:r>
      <w:r>
        <w:rPr>
          <w:spacing w:val="-3"/>
          <w:sz w:val="20"/>
        </w:rPr>
        <w:t> </w:t>
      </w:r>
      <w:r>
        <w:rPr>
          <w:sz w:val="20"/>
        </w:rPr>
        <w:t>activities</w:t>
      </w:r>
      <w:r>
        <w:rPr>
          <w:spacing w:val="-1"/>
          <w:sz w:val="20"/>
        </w:rPr>
        <w:t> </w:t>
      </w:r>
      <w:r>
        <w:rPr>
          <w:sz w:val="20"/>
        </w:rPr>
        <w:t>and protection and</w:t>
      </w:r>
      <w:r>
        <w:rPr>
          <w:spacing w:val="-5"/>
          <w:sz w:val="20"/>
        </w:rPr>
        <w:t> </w:t>
      </w:r>
      <w:r>
        <w:rPr>
          <w:sz w:val="20"/>
        </w:rPr>
        <w:t>support</w:t>
      </w:r>
      <w:r>
        <w:rPr>
          <w:spacing w:val="-3"/>
          <w:sz w:val="20"/>
        </w:rPr>
        <w:t> </w:t>
      </w:r>
      <w:r>
        <w:rPr>
          <w:sz w:val="20"/>
        </w:rPr>
        <w:t>activities</w:t>
      </w:r>
      <w:r>
        <w:rPr>
          <w:spacing w:val="-1"/>
          <w:sz w:val="20"/>
        </w:rPr>
        <w:t> </w:t>
      </w:r>
      <w:r>
        <w:rPr>
          <w:sz w:val="20"/>
        </w:rPr>
        <w:t>in the situation in the CAR.</w:t>
      </w:r>
    </w:p>
    <w:p>
      <w:pPr>
        <w:pStyle w:val="ListParagraph"/>
        <w:numPr>
          <w:ilvl w:val="0"/>
          <w:numId w:val="4"/>
        </w:numPr>
        <w:tabs>
          <w:tab w:pos="2967" w:val="left" w:leader="none"/>
        </w:tabs>
        <w:spacing w:line="240" w:lineRule="auto" w:before="123" w:after="0"/>
        <w:ind w:left="2246" w:right="2236" w:firstLine="0"/>
        <w:jc w:val="both"/>
        <w:rPr>
          <w:sz w:val="20"/>
        </w:rPr>
      </w:pPr>
      <w:r>
        <w:rPr>
          <w:sz w:val="20"/>
        </w:rPr>
        <w:t>One </w:t>
      </w:r>
      <w:r>
        <w:rPr>
          <w:i/>
          <w:sz w:val="20"/>
        </w:rPr>
        <w:t>Field Security Officer (P-3) (Mali), 12 months. Continued. Multi-year. </w:t>
      </w:r>
      <w:r>
        <w:rPr>
          <w:sz w:val="20"/>
        </w:rPr>
        <w:t>The Field Security Officer is required to lead the country office’s full field security team and to enable</w:t>
      </w:r>
      <w:r>
        <w:rPr>
          <w:spacing w:val="-2"/>
          <w:sz w:val="20"/>
        </w:rPr>
        <w:t> </w:t>
      </w:r>
      <w:r>
        <w:rPr>
          <w:sz w:val="20"/>
        </w:rPr>
        <w:t>the</w:t>
      </w:r>
      <w:r>
        <w:rPr>
          <w:spacing w:val="-2"/>
          <w:sz w:val="20"/>
        </w:rPr>
        <w:t> </w:t>
      </w:r>
      <w:r>
        <w:rPr>
          <w:sz w:val="20"/>
        </w:rPr>
        <w:t>country office</w:t>
      </w:r>
      <w:r>
        <w:rPr>
          <w:spacing w:val="-2"/>
          <w:sz w:val="20"/>
        </w:rPr>
        <w:t> </w:t>
      </w:r>
      <w:r>
        <w:rPr>
          <w:sz w:val="20"/>
        </w:rPr>
        <w:t>in Mali, one</w:t>
      </w:r>
      <w:r>
        <w:rPr>
          <w:spacing w:val="-2"/>
          <w:sz w:val="20"/>
        </w:rPr>
        <w:t> </w:t>
      </w:r>
      <w:r>
        <w:rPr>
          <w:sz w:val="20"/>
        </w:rPr>
        <w:t>of the</w:t>
      </w:r>
      <w:r>
        <w:rPr>
          <w:spacing w:val="-2"/>
          <w:sz w:val="20"/>
        </w:rPr>
        <w:t> </w:t>
      </w:r>
      <w:r>
        <w:rPr>
          <w:sz w:val="20"/>
        </w:rPr>
        <w:t>most</w:t>
      </w:r>
      <w:r>
        <w:rPr>
          <w:spacing w:val="-2"/>
          <w:sz w:val="20"/>
        </w:rPr>
        <w:t> </w:t>
      </w:r>
      <w:r>
        <w:rPr>
          <w:sz w:val="20"/>
        </w:rPr>
        <w:t>dangerous</w:t>
      </w:r>
      <w:r>
        <w:rPr>
          <w:spacing w:val="-5"/>
          <w:sz w:val="20"/>
        </w:rPr>
        <w:t> </w:t>
      </w:r>
      <w:r>
        <w:rPr>
          <w:sz w:val="20"/>
        </w:rPr>
        <w:t>countries in which the</w:t>
      </w:r>
      <w:r>
        <w:rPr>
          <w:spacing w:val="-2"/>
          <w:sz w:val="20"/>
        </w:rPr>
        <w:t> </w:t>
      </w:r>
      <w:r>
        <w:rPr>
          <w:sz w:val="20"/>
        </w:rPr>
        <w:t>Court</w:t>
      </w:r>
      <w:r>
        <w:rPr>
          <w:spacing w:val="-2"/>
          <w:sz w:val="20"/>
        </w:rPr>
        <w:t> </w:t>
      </w:r>
      <w:r>
        <w:rPr>
          <w:sz w:val="20"/>
        </w:rPr>
        <w:t>is operating, to provide security support at an adequate level. The Field Security Officer will continue to undertake critical security monitoring and risk assessments and to provide briefings</w:t>
      </w:r>
      <w:r>
        <w:rPr>
          <w:spacing w:val="19"/>
          <w:sz w:val="20"/>
        </w:rPr>
        <w:t> </w:t>
      </w:r>
      <w:r>
        <w:rPr>
          <w:sz w:val="20"/>
        </w:rPr>
        <w:t>and</w:t>
      </w:r>
      <w:r>
        <w:rPr>
          <w:spacing w:val="25"/>
          <w:sz w:val="20"/>
        </w:rPr>
        <w:t> </w:t>
      </w:r>
      <w:r>
        <w:rPr>
          <w:sz w:val="20"/>
        </w:rPr>
        <w:t>support</w:t>
      </w:r>
      <w:r>
        <w:rPr>
          <w:spacing w:val="22"/>
          <w:sz w:val="20"/>
        </w:rPr>
        <w:t> </w:t>
      </w:r>
      <w:r>
        <w:rPr>
          <w:sz w:val="20"/>
        </w:rPr>
        <w:t>to</w:t>
      </w:r>
      <w:r>
        <w:rPr>
          <w:spacing w:val="20"/>
          <w:sz w:val="20"/>
        </w:rPr>
        <w:t> </w:t>
      </w:r>
      <w:r>
        <w:rPr>
          <w:sz w:val="20"/>
        </w:rPr>
        <w:t>field</w:t>
      </w:r>
      <w:r>
        <w:rPr>
          <w:spacing w:val="20"/>
          <w:sz w:val="20"/>
        </w:rPr>
        <w:t> </w:t>
      </w:r>
      <w:r>
        <w:rPr>
          <w:sz w:val="20"/>
        </w:rPr>
        <w:t>operations.</w:t>
      </w:r>
      <w:r>
        <w:rPr>
          <w:spacing w:val="22"/>
          <w:sz w:val="20"/>
        </w:rPr>
        <w:t> </w:t>
      </w:r>
      <w:r>
        <w:rPr>
          <w:sz w:val="20"/>
        </w:rPr>
        <w:t>With</w:t>
      </w:r>
      <w:r>
        <w:rPr>
          <w:spacing w:val="25"/>
          <w:sz w:val="20"/>
        </w:rPr>
        <w:t> </w:t>
      </w:r>
      <w:r>
        <w:rPr>
          <w:sz w:val="20"/>
        </w:rPr>
        <w:t>the</w:t>
      </w:r>
      <w:r>
        <w:rPr>
          <w:spacing w:val="27"/>
          <w:sz w:val="20"/>
        </w:rPr>
        <w:t> </w:t>
      </w:r>
      <w:r>
        <w:rPr>
          <w:sz w:val="20"/>
        </w:rPr>
        <w:t>remainder</w:t>
      </w:r>
      <w:r>
        <w:rPr>
          <w:spacing w:val="25"/>
          <w:sz w:val="20"/>
        </w:rPr>
        <w:t> </w:t>
      </w:r>
      <w:r>
        <w:rPr>
          <w:sz w:val="20"/>
        </w:rPr>
        <w:t>of</w:t>
      </w:r>
      <w:r>
        <w:rPr>
          <w:spacing w:val="20"/>
          <w:sz w:val="20"/>
        </w:rPr>
        <w:t> </w:t>
      </w:r>
      <w:r>
        <w:rPr>
          <w:sz w:val="20"/>
        </w:rPr>
        <w:t>the</w:t>
      </w:r>
      <w:r>
        <w:rPr>
          <w:spacing w:val="27"/>
          <w:sz w:val="20"/>
        </w:rPr>
        <w:t> </w:t>
      </w:r>
      <w:r>
        <w:rPr>
          <w:sz w:val="20"/>
        </w:rPr>
        <w:t>trial</w:t>
      </w:r>
      <w:r>
        <w:rPr>
          <w:spacing w:val="22"/>
          <w:sz w:val="20"/>
        </w:rPr>
        <w:t> </w:t>
      </w:r>
      <w:r>
        <w:rPr>
          <w:sz w:val="20"/>
        </w:rPr>
        <w:t>activities</w:t>
      </w:r>
      <w:r>
        <w:rPr>
          <w:spacing w:val="24"/>
          <w:sz w:val="20"/>
        </w:rPr>
        <w:t> </w:t>
      </w:r>
      <w:r>
        <w:rPr>
          <w:sz w:val="20"/>
        </w:rPr>
        <w:t>in</w:t>
      </w:r>
      <w:r>
        <w:rPr>
          <w:spacing w:val="25"/>
          <w:sz w:val="20"/>
        </w:rPr>
        <w:t> </w:t>
      </w:r>
      <w:r>
        <w:rPr>
          <w:sz w:val="20"/>
        </w:rPr>
        <w:t>the </w:t>
      </w:r>
      <w:r>
        <w:rPr>
          <w:i/>
          <w:sz w:val="20"/>
        </w:rPr>
        <w:t>Al</w:t>
      </w:r>
      <w:r>
        <w:rPr>
          <w:i/>
          <w:spacing w:val="-2"/>
          <w:sz w:val="20"/>
        </w:rPr>
        <w:t> </w:t>
      </w:r>
      <w:r>
        <w:rPr>
          <w:i/>
          <w:sz w:val="20"/>
        </w:rPr>
        <w:t>Hassan </w:t>
      </w:r>
      <w:r>
        <w:rPr>
          <w:sz w:val="20"/>
        </w:rPr>
        <w:t>case and the implementation of the reparations plan in the </w:t>
      </w:r>
      <w:r>
        <w:rPr>
          <w:i/>
          <w:sz w:val="20"/>
        </w:rPr>
        <w:t>Al Mahdi </w:t>
      </w:r>
      <w:r>
        <w:rPr>
          <w:sz w:val="20"/>
        </w:rPr>
        <w:t>case, while the context remains one of the most severe and unpredictable, the need for this position continues. Owing to the continued defunding of the post of Field Security Officer in Côte d’Ivoire, the incumbent of the position of Field Security Officer in Mali will, with the assistance of the Associate Field Security Officer in Mali, oversee the work of the Local Security Assistant</w:t>
      </w:r>
      <w:r>
        <w:rPr>
          <w:spacing w:val="-2"/>
          <w:sz w:val="20"/>
        </w:rPr>
        <w:t> </w:t>
      </w:r>
      <w:r>
        <w:rPr>
          <w:sz w:val="20"/>
        </w:rPr>
        <w:t>in Côte d’Ivoire, the only security staff member in</w:t>
      </w:r>
      <w:r>
        <w:rPr>
          <w:spacing w:val="-4"/>
          <w:sz w:val="20"/>
        </w:rPr>
        <w:t> </w:t>
      </w:r>
      <w:r>
        <w:rPr>
          <w:sz w:val="20"/>
        </w:rPr>
        <w:t>that country for 2023, and provide support to the security needs in Côte d’Ivoire.</w:t>
      </w:r>
    </w:p>
    <w:p>
      <w:pPr>
        <w:pStyle w:val="ListParagraph"/>
        <w:numPr>
          <w:ilvl w:val="0"/>
          <w:numId w:val="4"/>
        </w:numPr>
        <w:tabs>
          <w:tab w:pos="2967" w:val="left" w:leader="none"/>
        </w:tabs>
        <w:spacing w:line="240" w:lineRule="auto" w:before="121" w:after="0"/>
        <w:ind w:left="2246" w:right="2237" w:firstLine="0"/>
        <w:jc w:val="both"/>
        <w:rPr>
          <w:sz w:val="20"/>
        </w:rPr>
      </w:pPr>
      <w:r>
        <w:rPr>
          <w:sz w:val="20"/>
        </w:rPr>
        <w:t>One </w:t>
      </w:r>
      <w:r>
        <w:rPr>
          <w:i/>
          <w:sz w:val="20"/>
        </w:rPr>
        <w:t>Local Security Assistant (GS-OL) (Mali), 12 months. Continued. Multi-year.</w:t>
      </w:r>
      <w:r>
        <w:rPr>
          <w:i/>
          <w:sz w:val="20"/>
        </w:rPr>
        <w:t> </w:t>
      </w:r>
      <w:r>
        <w:rPr>
          <w:sz w:val="20"/>
        </w:rPr>
        <w:t>This position, based in the Country Office (Mali), continues to be required to support the field security team in Mali. As stated in the description of the position of Field Security Officer,</w:t>
      </w:r>
      <w:r>
        <w:rPr>
          <w:spacing w:val="32"/>
          <w:sz w:val="20"/>
        </w:rPr>
        <w:t> </w:t>
      </w:r>
      <w:r>
        <w:rPr>
          <w:sz w:val="20"/>
        </w:rPr>
        <w:t>the</w:t>
      </w:r>
      <w:r>
        <w:rPr>
          <w:spacing w:val="31"/>
          <w:sz w:val="20"/>
        </w:rPr>
        <w:t> </w:t>
      </w:r>
      <w:r>
        <w:rPr>
          <w:sz w:val="20"/>
        </w:rPr>
        <w:t>context</w:t>
      </w:r>
      <w:r>
        <w:rPr>
          <w:spacing w:val="36"/>
          <w:sz w:val="20"/>
        </w:rPr>
        <w:t> </w:t>
      </w:r>
      <w:r>
        <w:rPr>
          <w:sz w:val="20"/>
        </w:rPr>
        <w:t>in</w:t>
      </w:r>
      <w:r>
        <w:rPr>
          <w:spacing w:val="35"/>
          <w:sz w:val="20"/>
        </w:rPr>
        <w:t> </w:t>
      </w:r>
      <w:r>
        <w:rPr>
          <w:sz w:val="20"/>
        </w:rPr>
        <w:t>Mali</w:t>
      </w:r>
      <w:r>
        <w:rPr>
          <w:spacing w:val="32"/>
          <w:sz w:val="20"/>
        </w:rPr>
        <w:t> </w:t>
      </w:r>
      <w:r>
        <w:rPr>
          <w:sz w:val="20"/>
        </w:rPr>
        <w:t>remains</w:t>
      </w:r>
      <w:r>
        <w:rPr>
          <w:spacing w:val="33"/>
          <w:sz w:val="20"/>
        </w:rPr>
        <w:t> </w:t>
      </w:r>
      <w:r>
        <w:rPr>
          <w:sz w:val="20"/>
        </w:rPr>
        <w:t>one</w:t>
      </w:r>
      <w:r>
        <w:rPr>
          <w:spacing w:val="31"/>
          <w:sz w:val="20"/>
        </w:rPr>
        <w:t> </w:t>
      </w:r>
      <w:r>
        <w:rPr>
          <w:sz w:val="20"/>
        </w:rPr>
        <w:t>of</w:t>
      </w:r>
      <w:r>
        <w:rPr>
          <w:spacing w:val="30"/>
          <w:sz w:val="20"/>
        </w:rPr>
        <w:t> </w:t>
      </w:r>
      <w:r>
        <w:rPr>
          <w:sz w:val="20"/>
        </w:rPr>
        <w:t>the</w:t>
      </w:r>
      <w:r>
        <w:rPr>
          <w:spacing w:val="32"/>
          <w:sz w:val="20"/>
        </w:rPr>
        <w:t> </w:t>
      </w:r>
      <w:r>
        <w:rPr>
          <w:sz w:val="20"/>
        </w:rPr>
        <w:t>most</w:t>
      </w:r>
      <w:r>
        <w:rPr>
          <w:spacing w:val="36"/>
          <w:sz w:val="20"/>
        </w:rPr>
        <w:t> </w:t>
      </w:r>
      <w:r>
        <w:rPr>
          <w:sz w:val="20"/>
        </w:rPr>
        <w:t>severe</w:t>
      </w:r>
      <w:r>
        <w:rPr>
          <w:spacing w:val="32"/>
          <w:sz w:val="20"/>
        </w:rPr>
        <w:t> </w:t>
      </w:r>
      <w:r>
        <w:rPr>
          <w:sz w:val="20"/>
        </w:rPr>
        <w:t>and</w:t>
      </w:r>
      <w:r>
        <w:rPr>
          <w:spacing w:val="30"/>
          <w:sz w:val="20"/>
        </w:rPr>
        <w:t> </w:t>
      </w:r>
      <w:r>
        <w:rPr>
          <w:sz w:val="20"/>
        </w:rPr>
        <w:t>unpredictable,</w:t>
      </w:r>
      <w:r>
        <w:rPr>
          <w:spacing w:val="32"/>
          <w:sz w:val="20"/>
        </w:rPr>
        <w:t> </w:t>
      </w:r>
      <w:r>
        <w:rPr>
          <w:sz w:val="20"/>
        </w:rPr>
        <w:t>and</w:t>
      </w:r>
      <w:r>
        <w:rPr>
          <w:spacing w:val="30"/>
          <w:sz w:val="20"/>
        </w:rPr>
        <w:t> </w:t>
      </w:r>
      <w:r>
        <w:rPr>
          <w:sz w:val="20"/>
        </w:rPr>
        <w:t>the</w:t>
      </w:r>
    </w:p>
    <w:p>
      <w:pPr>
        <w:spacing w:after="0" w:line="240" w:lineRule="auto"/>
        <w:jc w:val="both"/>
        <w:rPr>
          <w:sz w:val="20"/>
        </w:rPr>
        <w:sectPr>
          <w:pgSz w:w="11910" w:h="16840"/>
          <w:pgMar w:header="957" w:footer="940" w:top="1140" w:bottom="1140" w:left="20" w:right="20"/>
        </w:sectPr>
      </w:pPr>
    </w:p>
    <w:p>
      <w:pPr>
        <w:pStyle w:val="BodyText"/>
        <w:spacing w:before="124"/>
        <w:ind w:left="2246" w:right="2246"/>
        <w:jc w:val="both"/>
      </w:pPr>
      <w:r>
        <w:rPr/>
        <w:t>resources to ensure that activities can be</w:t>
      </w:r>
      <w:r>
        <w:rPr>
          <w:spacing w:val="-2"/>
        </w:rPr>
        <w:t> </w:t>
      </w:r>
      <w:r>
        <w:rPr/>
        <w:t>conducted in as safe and secure an environment as possible remain</w:t>
      </w:r>
      <w:r>
        <w:rPr>
          <w:spacing w:val="-1"/>
        </w:rPr>
        <w:t> </w:t>
      </w:r>
      <w:r>
        <w:rPr/>
        <w:t>essential to</w:t>
      </w:r>
      <w:r>
        <w:rPr>
          <w:spacing w:val="-1"/>
        </w:rPr>
        <w:t> </w:t>
      </w:r>
      <w:r>
        <w:rPr/>
        <w:t>field</w:t>
      </w:r>
      <w:r>
        <w:rPr>
          <w:spacing w:val="-1"/>
        </w:rPr>
        <w:t> </w:t>
      </w:r>
      <w:r>
        <w:rPr/>
        <w:t>operations. The Local Security</w:t>
      </w:r>
      <w:r>
        <w:rPr>
          <w:spacing w:val="-1"/>
        </w:rPr>
        <w:t> </w:t>
      </w:r>
      <w:r>
        <w:rPr/>
        <w:t>Assistant provides support to the two other members of the field security team in Mali.</w:t>
      </w:r>
    </w:p>
    <w:p>
      <w:pPr>
        <w:pStyle w:val="ListParagraph"/>
        <w:numPr>
          <w:ilvl w:val="0"/>
          <w:numId w:val="4"/>
        </w:numPr>
        <w:tabs>
          <w:tab w:pos="2967" w:val="left" w:leader="none"/>
        </w:tabs>
        <w:spacing w:line="240" w:lineRule="auto" w:before="122" w:after="0"/>
        <w:ind w:left="2246" w:right="2238" w:firstLine="0"/>
        <w:jc w:val="both"/>
        <w:rPr>
          <w:sz w:val="20"/>
        </w:rPr>
      </w:pPr>
      <w:r>
        <w:rPr>
          <w:sz w:val="20"/>
        </w:rPr>
        <w:t>One </w:t>
      </w:r>
      <w:r>
        <w:rPr>
          <w:i/>
          <w:sz w:val="20"/>
        </w:rPr>
        <w:t>Field Assistant (VPR) </w:t>
      </w:r>
      <w:r>
        <w:rPr>
          <w:sz w:val="20"/>
        </w:rPr>
        <w:t>and one </w:t>
      </w:r>
      <w:r>
        <w:rPr>
          <w:i/>
          <w:sz w:val="20"/>
        </w:rPr>
        <w:t>Field Assistant (Outreach) (GS-OL) (Mali), 12</w:t>
      </w:r>
      <w:r>
        <w:rPr>
          <w:i/>
          <w:sz w:val="20"/>
        </w:rPr>
        <w:t> months each. Continued. Multi-year. </w:t>
      </w:r>
      <w:r>
        <w:rPr>
          <w:sz w:val="20"/>
        </w:rPr>
        <w:t>It is anticipated that the </w:t>
      </w:r>
      <w:r>
        <w:rPr>
          <w:i/>
          <w:sz w:val="20"/>
        </w:rPr>
        <w:t>Al Hassan </w:t>
      </w:r>
      <w:r>
        <w:rPr>
          <w:sz w:val="20"/>
        </w:rPr>
        <w:t>case will be at the deliberations stage for a large part of 2023. Therefore, one Field Assistant (VPR) and one Field Assistant (Outreach) are considered sufficient to provide the necessary support to the Field Officer (VPR) (P-3) and the Field Officer (Outreach) (P-3) in performing Registry outreach and victim participation and reparations responsibilities in both the </w:t>
      </w:r>
      <w:r>
        <w:rPr>
          <w:i/>
          <w:sz w:val="20"/>
        </w:rPr>
        <w:t>Al Mahdi </w:t>
      </w:r>
      <w:r>
        <w:rPr>
          <w:sz w:val="20"/>
        </w:rPr>
        <w:t>and </w:t>
      </w:r>
      <w:r>
        <w:rPr>
          <w:i/>
          <w:sz w:val="20"/>
        </w:rPr>
        <w:t>Al Hassan </w:t>
      </w:r>
      <w:r>
        <w:rPr>
          <w:sz w:val="20"/>
        </w:rPr>
        <w:t>cases. As indicated in paragraph </w:t>
      </w:r>
      <w:hyperlink w:history="true" w:anchor="_bookmark44">
        <w:r>
          <w:rPr>
            <w:sz w:val="20"/>
          </w:rPr>
          <w:t>718,</w:t>
        </w:r>
      </w:hyperlink>
      <w:r>
        <w:rPr>
          <w:sz w:val="20"/>
        </w:rPr>
        <w:t> the positions of another Field Assistant (VPR)</w:t>
      </w:r>
      <w:r>
        <w:rPr>
          <w:spacing w:val="-4"/>
          <w:sz w:val="20"/>
        </w:rPr>
        <w:t> </w:t>
      </w:r>
      <w:r>
        <w:rPr>
          <w:sz w:val="20"/>
        </w:rPr>
        <w:t>and</w:t>
      </w:r>
      <w:r>
        <w:rPr>
          <w:spacing w:val="-4"/>
          <w:sz w:val="20"/>
        </w:rPr>
        <w:t> </w:t>
      </w:r>
      <w:r>
        <w:rPr>
          <w:sz w:val="20"/>
        </w:rPr>
        <w:t>Field</w:t>
      </w:r>
      <w:r>
        <w:rPr>
          <w:spacing w:val="-4"/>
          <w:sz w:val="20"/>
        </w:rPr>
        <w:t> </w:t>
      </w:r>
      <w:r>
        <w:rPr>
          <w:sz w:val="20"/>
        </w:rPr>
        <w:t>Assistant</w:t>
      </w:r>
      <w:r>
        <w:rPr>
          <w:spacing w:val="-2"/>
          <w:sz w:val="20"/>
        </w:rPr>
        <w:t> </w:t>
      </w:r>
      <w:r>
        <w:rPr>
          <w:sz w:val="20"/>
        </w:rPr>
        <w:t>(Outreach)</w:t>
      </w:r>
      <w:r>
        <w:rPr>
          <w:spacing w:val="-4"/>
          <w:sz w:val="20"/>
        </w:rPr>
        <w:t> </w:t>
      </w:r>
      <w:r>
        <w:rPr>
          <w:sz w:val="20"/>
        </w:rPr>
        <w:t>requested</w:t>
      </w:r>
      <w:r>
        <w:rPr>
          <w:spacing w:val="-4"/>
          <w:sz w:val="20"/>
        </w:rPr>
        <w:t> </w:t>
      </w:r>
      <w:r>
        <w:rPr>
          <w:sz w:val="20"/>
        </w:rPr>
        <w:t>for</w:t>
      </w:r>
      <w:r>
        <w:rPr>
          <w:spacing w:val="-4"/>
          <w:sz w:val="20"/>
        </w:rPr>
        <w:t> </w:t>
      </w:r>
      <w:r>
        <w:rPr>
          <w:sz w:val="20"/>
        </w:rPr>
        <w:t>2022</w:t>
      </w:r>
      <w:r>
        <w:rPr>
          <w:spacing w:val="-4"/>
          <w:sz w:val="20"/>
        </w:rPr>
        <w:t> </w:t>
      </w:r>
      <w:r>
        <w:rPr>
          <w:sz w:val="20"/>
        </w:rPr>
        <w:t>will be</w:t>
      </w:r>
      <w:r>
        <w:rPr>
          <w:spacing w:val="-2"/>
          <w:sz w:val="20"/>
        </w:rPr>
        <w:t> </w:t>
      </w:r>
      <w:r>
        <w:rPr>
          <w:sz w:val="20"/>
        </w:rPr>
        <w:t>discontinued</w:t>
      </w:r>
      <w:r>
        <w:rPr>
          <w:spacing w:val="-4"/>
          <w:sz w:val="20"/>
        </w:rPr>
        <w:t> </w:t>
      </w:r>
      <w:r>
        <w:rPr>
          <w:sz w:val="20"/>
        </w:rPr>
        <w:t>for</w:t>
      </w:r>
      <w:r>
        <w:rPr>
          <w:spacing w:val="-4"/>
          <w:sz w:val="20"/>
        </w:rPr>
        <w:t> </w:t>
      </w:r>
      <w:r>
        <w:rPr>
          <w:sz w:val="20"/>
        </w:rPr>
        <w:t>2023.</w:t>
      </w:r>
      <w:r>
        <w:rPr>
          <w:spacing w:val="-6"/>
          <w:sz w:val="20"/>
        </w:rPr>
        <w:t> </w:t>
      </w:r>
      <w:r>
        <w:rPr>
          <w:sz w:val="20"/>
        </w:rPr>
        <w:t>The Registry will continue its outreach activities and its interaction with victims and affected communities in both cases to keep them abreast of the judicial proceedings in 2023.</w:t>
      </w:r>
    </w:p>
    <w:p>
      <w:pPr>
        <w:pStyle w:val="ListParagraph"/>
        <w:numPr>
          <w:ilvl w:val="0"/>
          <w:numId w:val="4"/>
        </w:numPr>
        <w:tabs>
          <w:tab w:pos="2967" w:val="left" w:leader="none"/>
        </w:tabs>
        <w:spacing w:line="240" w:lineRule="auto" w:before="120" w:after="0"/>
        <w:ind w:left="2246" w:right="2240" w:firstLine="0"/>
        <w:jc w:val="both"/>
        <w:rPr>
          <w:sz w:val="20"/>
        </w:rPr>
      </w:pPr>
      <w:r>
        <w:rPr>
          <w:sz w:val="20"/>
        </w:rPr>
        <w:t>One</w:t>
      </w:r>
      <w:r>
        <w:rPr>
          <w:spacing w:val="-8"/>
          <w:sz w:val="20"/>
        </w:rPr>
        <w:t> </w:t>
      </w:r>
      <w:r>
        <w:rPr>
          <w:i/>
          <w:sz w:val="20"/>
        </w:rPr>
        <w:t>Senior</w:t>
      </w:r>
      <w:r>
        <w:rPr>
          <w:i/>
          <w:spacing w:val="-11"/>
          <w:sz w:val="20"/>
        </w:rPr>
        <w:t> </w:t>
      </w:r>
      <w:r>
        <w:rPr>
          <w:i/>
          <w:sz w:val="20"/>
        </w:rPr>
        <w:t>Driver</w:t>
      </w:r>
      <w:r>
        <w:rPr>
          <w:i/>
          <w:spacing w:val="-11"/>
          <w:sz w:val="20"/>
        </w:rPr>
        <w:t> </w:t>
      </w:r>
      <w:r>
        <w:rPr>
          <w:i/>
          <w:sz w:val="20"/>
        </w:rPr>
        <w:t>(GS-OL)</w:t>
      </w:r>
      <w:r>
        <w:rPr>
          <w:i/>
          <w:spacing w:val="-9"/>
          <w:sz w:val="20"/>
        </w:rPr>
        <w:t> </w:t>
      </w:r>
      <w:r>
        <w:rPr>
          <w:i/>
          <w:sz w:val="20"/>
        </w:rPr>
        <w:t>(Mali),</w:t>
      </w:r>
      <w:r>
        <w:rPr>
          <w:i/>
          <w:spacing w:val="-12"/>
          <w:sz w:val="20"/>
        </w:rPr>
        <w:t> </w:t>
      </w:r>
      <w:r>
        <w:rPr>
          <w:i/>
          <w:sz w:val="20"/>
        </w:rPr>
        <w:t>12</w:t>
      </w:r>
      <w:r>
        <w:rPr>
          <w:i/>
          <w:spacing w:val="-9"/>
          <w:sz w:val="20"/>
        </w:rPr>
        <w:t> </w:t>
      </w:r>
      <w:r>
        <w:rPr>
          <w:i/>
          <w:sz w:val="20"/>
        </w:rPr>
        <w:t>months.</w:t>
      </w:r>
      <w:r>
        <w:rPr>
          <w:i/>
          <w:spacing w:val="-7"/>
          <w:sz w:val="20"/>
        </w:rPr>
        <w:t> </w:t>
      </w:r>
      <w:r>
        <w:rPr>
          <w:i/>
          <w:sz w:val="20"/>
        </w:rPr>
        <w:t>Continued.</w:t>
      </w:r>
      <w:r>
        <w:rPr>
          <w:i/>
          <w:spacing w:val="-12"/>
          <w:sz w:val="20"/>
        </w:rPr>
        <w:t> </w:t>
      </w:r>
      <w:r>
        <w:rPr>
          <w:i/>
          <w:sz w:val="20"/>
        </w:rPr>
        <w:t>Multi-year.</w:t>
      </w:r>
      <w:r>
        <w:rPr>
          <w:i/>
          <w:spacing w:val="-11"/>
          <w:sz w:val="20"/>
        </w:rPr>
        <w:t> </w:t>
      </w:r>
      <w:r>
        <w:rPr>
          <w:sz w:val="20"/>
        </w:rPr>
        <w:t>The</w:t>
      </w:r>
      <w:r>
        <w:rPr>
          <w:spacing w:val="-12"/>
          <w:sz w:val="20"/>
        </w:rPr>
        <w:t> </w:t>
      </w:r>
      <w:r>
        <w:rPr>
          <w:sz w:val="20"/>
        </w:rPr>
        <w:t>position of Senior Driver continues to be required in the Country Office (Mali) to manage and coordinate the other drivers and the vehicle fleet. The retention of a Senior Driver for the Country Office (Mali) will align the driver support capacity of that country office with that of</w:t>
      </w:r>
      <w:r>
        <w:rPr>
          <w:spacing w:val="-5"/>
          <w:sz w:val="20"/>
        </w:rPr>
        <w:t> </w:t>
      </w:r>
      <w:r>
        <w:rPr>
          <w:sz w:val="20"/>
        </w:rPr>
        <w:t>country</w:t>
      </w:r>
      <w:r>
        <w:rPr>
          <w:spacing w:val="-5"/>
          <w:sz w:val="20"/>
        </w:rPr>
        <w:t> </w:t>
      </w:r>
      <w:r>
        <w:rPr>
          <w:sz w:val="20"/>
        </w:rPr>
        <w:t>offices</w:t>
      </w:r>
      <w:r>
        <w:rPr>
          <w:spacing w:val="-10"/>
          <w:sz w:val="20"/>
        </w:rPr>
        <w:t> </w:t>
      </w:r>
      <w:r>
        <w:rPr>
          <w:sz w:val="20"/>
        </w:rPr>
        <w:t>in</w:t>
      </w:r>
      <w:r>
        <w:rPr>
          <w:spacing w:val="-8"/>
          <w:sz w:val="20"/>
        </w:rPr>
        <w:t> </w:t>
      </w:r>
      <w:r>
        <w:rPr>
          <w:sz w:val="20"/>
        </w:rPr>
        <w:t>other</w:t>
      </w:r>
      <w:r>
        <w:rPr>
          <w:spacing w:val="-8"/>
          <w:sz w:val="20"/>
        </w:rPr>
        <w:t> </w:t>
      </w:r>
      <w:r>
        <w:rPr>
          <w:sz w:val="20"/>
        </w:rPr>
        <w:t>situation</w:t>
      </w:r>
      <w:r>
        <w:rPr>
          <w:spacing w:val="-8"/>
          <w:sz w:val="20"/>
        </w:rPr>
        <w:t> </w:t>
      </w:r>
      <w:r>
        <w:rPr>
          <w:sz w:val="20"/>
        </w:rPr>
        <w:t>countries</w:t>
      </w:r>
      <w:r>
        <w:rPr>
          <w:spacing w:val="-10"/>
          <w:sz w:val="20"/>
        </w:rPr>
        <w:t> </w:t>
      </w:r>
      <w:r>
        <w:rPr>
          <w:sz w:val="20"/>
        </w:rPr>
        <w:t>which</w:t>
      </w:r>
      <w:r>
        <w:rPr>
          <w:spacing w:val="-5"/>
          <w:sz w:val="20"/>
        </w:rPr>
        <w:t> </w:t>
      </w:r>
      <w:r>
        <w:rPr>
          <w:sz w:val="20"/>
        </w:rPr>
        <w:t>support</w:t>
      </w:r>
      <w:r>
        <w:rPr>
          <w:spacing w:val="-7"/>
          <w:sz w:val="20"/>
        </w:rPr>
        <w:t> </w:t>
      </w:r>
      <w:r>
        <w:rPr>
          <w:sz w:val="20"/>
        </w:rPr>
        <w:t>the</w:t>
      </w:r>
      <w:r>
        <w:rPr>
          <w:spacing w:val="-3"/>
          <w:sz w:val="20"/>
        </w:rPr>
        <w:t> </w:t>
      </w:r>
      <w:r>
        <w:rPr>
          <w:sz w:val="20"/>
        </w:rPr>
        <w:t>same</w:t>
      </w:r>
      <w:r>
        <w:rPr>
          <w:spacing w:val="-7"/>
          <w:sz w:val="20"/>
        </w:rPr>
        <w:t> </w:t>
      </w:r>
      <w:r>
        <w:rPr>
          <w:sz w:val="20"/>
        </w:rPr>
        <w:t>level</w:t>
      </w:r>
      <w:r>
        <w:rPr>
          <w:spacing w:val="-8"/>
          <w:sz w:val="20"/>
        </w:rPr>
        <w:t> </w:t>
      </w:r>
      <w:r>
        <w:rPr>
          <w:sz w:val="20"/>
        </w:rPr>
        <w:t>of</w:t>
      </w:r>
      <w:r>
        <w:rPr>
          <w:spacing w:val="-8"/>
          <w:sz w:val="20"/>
        </w:rPr>
        <w:t> </w:t>
      </w:r>
      <w:r>
        <w:rPr>
          <w:sz w:val="20"/>
        </w:rPr>
        <w:t>activities.</w:t>
      </w:r>
      <w:r>
        <w:rPr>
          <w:spacing w:val="-7"/>
          <w:sz w:val="20"/>
        </w:rPr>
        <w:t> </w:t>
      </w:r>
      <w:r>
        <w:rPr>
          <w:sz w:val="20"/>
        </w:rPr>
        <w:t>This position</w:t>
      </w:r>
      <w:r>
        <w:rPr>
          <w:spacing w:val="26"/>
          <w:sz w:val="20"/>
        </w:rPr>
        <w:t> </w:t>
      </w:r>
      <w:r>
        <w:rPr>
          <w:sz w:val="20"/>
        </w:rPr>
        <w:t>continues</w:t>
      </w:r>
      <w:r>
        <w:rPr>
          <w:spacing w:val="25"/>
          <w:sz w:val="20"/>
        </w:rPr>
        <w:t> </w:t>
      </w:r>
      <w:r>
        <w:rPr>
          <w:sz w:val="20"/>
        </w:rPr>
        <w:t>to</w:t>
      </w:r>
      <w:r>
        <w:rPr>
          <w:spacing w:val="26"/>
          <w:sz w:val="20"/>
        </w:rPr>
        <w:t> </w:t>
      </w:r>
      <w:r>
        <w:rPr>
          <w:sz w:val="20"/>
        </w:rPr>
        <w:t>be</w:t>
      </w:r>
      <w:r>
        <w:rPr>
          <w:spacing w:val="28"/>
          <w:sz w:val="20"/>
        </w:rPr>
        <w:t> </w:t>
      </w:r>
      <w:r>
        <w:rPr>
          <w:sz w:val="20"/>
        </w:rPr>
        <w:t>required</w:t>
      </w:r>
      <w:r>
        <w:rPr>
          <w:spacing w:val="26"/>
          <w:sz w:val="20"/>
        </w:rPr>
        <w:t> </w:t>
      </w:r>
      <w:r>
        <w:rPr>
          <w:sz w:val="20"/>
        </w:rPr>
        <w:t>owing</w:t>
      </w:r>
      <w:r>
        <w:rPr>
          <w:spacing w:val="26"/>
          <w:sz w:val="20"/>
        </w:rPr>
        <w:t> </w:t>
      </w:r>
      <w:r>
        <w:rPr>
          <w:sz w:val="20"/>
        </w:rPr>
        <w:t>to</w:t>
      </w:r>
      <w:r>
        <w:rPr>
          <w:spacing w:val="26"/>
          <w:sz w:val="20"/>
        </w:rPr>
        <w:t> </w:t>
      </w:r>
      <w:r>
        <w:rPr>
          <w:sz w:val="20"/>
        </w:rPr>
        <w:t>the</w:t>
      </w:r>
      <w:r>
        <w:rPr>
          <w:spacing w:val="28"/>
          <w:sz w:val="20"/>
        </w:rPr>
        <w:t> </w:t>
      </w:r>
      <w:r>
        <w:rPr>
          <w:sz w:val="20"/>
        </w:rPr>
        <w:t>remainder</w:t>
      </w:r>
      <w:r>
        <w:rPr>
          <w:spacing w:val="26"/>
          <w:sz w:val="20"/>
        </w:rPr>
        <w:t> </w:t>
      </w:r>
      <w:r>
        <w:rPr>
          <w:sz w:val="20"/>
        </w:rPr>
        <w:t>of</w:t>
      </w:r>
      <w:r>
        <w:rPr>
          <w:spacing w:val="31"/>
          <w:sz w:val="20"/>
        </w:rPr>
        <w:t> </w:t>
      </w:r>
      <w:r>
        <w:rPr>
          <w:sz w:val="20"/>
        </w:rPr>
        <w:t>the</w:t>
      </w:r>
      <w:r>
        <w:rPr>
          <w:spacing w:val="28"/>
          <w:sz w:val="20"/>
        </w:rPr>
        <w:t> </w:t>
      </w:r>
      <w:r>
        <w:rPr>
          <w:sz w:val="20"/>
        </w:rPr>
        <w:t>judicial</w:t>
      </w:r>
      <w:r>
        <w:rPr>
          <w:spacing w:val="28"/>
          <w:sz w:val="20"/>
        </w:rPr>
        <w:t> </w:t>
      </w:r>
      <w:r>
        <w:rPr>
          <w:sz w:val="20"/>
        </w:rPr>
        <w:t>activities</w:t>
      </w:r>
      <w:r>
        <w:rPr>
          <w:spacing w:val="25"/>
          <w:sz w:val="20"/>
        </w:rPr>
        <w:t> </w:t>
      </w:r>
      <w:r>
        <w:rPr>
          <w:sz w:val="20"/>
        </w:rPr>
        <w:t>in</w:t>
      </w:r>
      <w:r>
        <w:rPr>
          <w:spacing w:val="26"/>
          <w:sz w:val="20"/>
        </w:rPr>
        <w:t> </w:t>
      </w:r>
      <w:r>
        <w:rPr>
          <w:sz w:val="20"/>
        </w:rPr>
        <w:t>the </w:t>
      </w:r>
      <w:r>
        <w:rPr>
          <w:i/>
          <w:sz w:val="20"/>
        </w:rPr>
        <w:t>Al Hassan </w:t>
      </w:r>
      <w:r>
        <w:rPr>
          <w:sz w:val="20"/>
        </w:rPr>
        <w:t>case as well as the reparations activities in the </w:t>
      </w:r>
      <w:r>
        <w:rPr>
          <w:i/>
          <w:sz w:val="20"/>
        </w:rPr>
        <w:t>Al Mahdi </w:t>
      </w:r>
      <w:r>
        <w:rPr>
          <w:sz w:val="20"/>
        </w:rPr>
        <w:t>case in 2023.</w:t>
      </w:r>
    </w:p>
    <w:p>
      <w:pPr>
        <w:pStyle w:val="ListParagraph"/>
        <w:numPr>
          <w:ilvl w:val="0"/>
          <w:numId w:val="4"/>
        </w:numPr>
        <w:tabs>
          <w:tab w:pos="2967" w:val="left" w:leader="none"/>
        </w:tabs>
        <w:spacing w:line="240" w:lineRule="auto" w:before="124" w:after="0"/>
        <w:ind w:left="2246" w:right="2240" w:firstLine="0"/>
        <w:jc w:val="both"/>
        <w:rPr>
          <w:sz w:val="20"/>
        </w:rPr>
      </w:pPr>
      <w:r>
        <w:rPr>
          <w:sz w:val="20"/>
        </w:rPr>
        <w:t>Three </w:t>
      </w:r>
      <w:r>
        <w:rPr>
          <w:i/>
          <w:sz w:val="20"/>
        </w:rPr>
        <w:t>Drivers (GS-OL) (Mali), 12 months each. Continued. Multi-year. </w:t>
      </w:r>
      <w:r>
        <w:rPr>
          <w:sz w:val="20"/>
        </w:rPr>
        <w:t>Owing to the</w:t>
      </w:r>
      <w:r>
        <w:rPr>
          <w:spacing w:val="-1"/>
          <w:sz w:val="20"/>
        </w:rPr>
        <w:t> </w:t>
      </w:r>
      <w:r>
        <w:rPr>
          <w:sz w:val="20"/>
        </w:rPr>
        <w:t>remainder of</w:t>
      </w:r>
      <w:r>
        <w:rPr>
          <w:spacing w:val="-3"/>
          <w:sz w:val="20"/>
        </w:rPr>
        <w:t> </w:t>
      </w:r>
      <w:r>
        <w:rPr>
          <w:sz w:val="20"/>
        </w:rPr>
        <w:t>the</w:t>
      </w:r>
      <w:r>
        <w:rPr>
          <w:spacing w:val="-1"/>
          <w:sz w:val="20"/>
        </w:rPr>
        <w:t> </w:t>
      </w:r>
      <w:r>
        <w:rPr>
          <w:sz w:val="20"/>
        </w:rPr>
        <w:t>judicial</w:t>
      </w:r>
      <w:r>
        <w:rPr>
          <w:spacing w:val="-1"/>
          <w:sz w:val="20"/>
        </w:rPr>
        <w:t> </w:t>
      </w:r>
      <w:r>
        <w:rPr>
          <w:sz w:val="20"/>
        </w:rPr>
        <w:t>activities in</w:t>
      </w:r>
      <w:r>
        <w:rPr>
          <w:spacing w:val="-3"/>
          <w:sz w:val="20"/>
        </w:rPr>
        <w:t> </w:t>
      </w:r>
      <w:r>
        <w:rPr>
          <w:sz w:val="20"/>
        </w:rPr>
        <w:t>the </w:t>
      </w:r>
      <w:r>
        <w:rPr>
          <w:i/>
          <w:sz w:val="20"/>
        </w:rPr>
        <w:t>Al</w:t>
      </w:r>
      <w:r>
        <w:rPr>
          <w:i/>
          <w:spacing w:val="-1"/>
          <w:sz w:val="20"/>
        </w:rPr>
        <w:t> </w:t>
      </w:r>
      <w:r>
        <w:rPr>
          <w:i/>
          <w:sz w:val="20"/>
        </w:rPr>
        <w:t>Hassan</w:t>
      </w:r>
      <w:r>
        <w:rPr>
          <w:i/>
          <w:spacing w:val="-2"/>
          <w:sz w:val="20"/>
        </w:rPr>
        <w:t> </w:t>
      </w:r>
      <w:r>
        <w:rPr>
          <w:sz w:val="20"/>
        </w:rPr>
        <w:t>case and</w:t>
      </w:r>
      <w:r>
        <w:rPr>
          <w:spacing w:val="-3"/>
          <w:sz w:val="20"/>
        </w:rPr>
        <w:t> </w:t>
      </w:r>
      <w:r>
        <w:rPr>
          <w:sz w:val="20"/>
        </w:rPr>
        <w:t>the</w:t>
      </w:r>
      <w:r>
        <w:rPr>
          <w:spacing w:val="-1"/>
          <w:sz w:val="20"/>
        </w:rPr>
        <w:t> </w:t>
      </w:r>
      <w:r>
        <w:rPr>
          <w:sz w:val="20"/>
        </w:rPr>
        <w:t>reparations</w:t>
      </w:r>
      <w:r>
        <w:rPr>
          <w:spacing w:val="-4"/>
          <w:sz w:val="20"/>
        </w:rPr>
        <w:t> </w:t>
      </w:r>
      <w:r>
        <w:rPr>
          <w:sz w:val="20"/>
        </w:rPr>
        <w:t>activities</w:t>
      </w:r>
      <w:r>
        <w:rPr>
          <w:spacing w:val="-4"/>
          <w:sz w:val="20"/>
        </w:rPr>
        <w:t> </w:t>
      </w:r>
      <w:r>
        <w:rPr>
          <w:sz w:val="20"/>
        </w:rPr>
        <w:t>in the</w:t>
      </w:r>
      <w:r>
        <w:rPr>
          <w:spacing w:val="-6"/>
          <w:sz w:val="20"/>
        </w:rPr>
        <w:t> </w:t>
      </w:r>
      <w:r>
        <w:rPr>
          <w:i/>
          <w:sz w:val="20"/>
        </w:rPr>
        <w:t>Al</w:t>
      </w:r>
      <w:r>
        <w:rPr>
          <w:i/>
          <w:spacing w:val="-7"/>
          <w:sz w:val="20"/>
        </w:rPr>
        <w:t> </w:t>
      </w:r>
      <w:r>
        <w:rPr>
          <w:i/>
          <w:sz w:val="20"/>
        </w:rPr>
        <w:t>Mahdi</w:t>
      </w:r>
      <w:r>
        <w:rPr>
          <w:i/>
          <w:spacing w:val="-6"/>
          <w:sz w:val="20"/>
        </w:rPr>
        <w:t> </w:t>
      </w:r>
      <w:r>
        <w:rPr>
          <w:sz w:val="20"/>
        </w:rPr>
        <w:t>case</w:t>
      </w:r>
      <w:r>
        <w:rPr>
          <w:spacing w:val="-2"/>
          <w:sz w:val="20"/>
        </w:rPr>
        <w:t> </w:t>
      </w:r>
      <w:r>
        <w:rPr>
          <w:sz w:val="20"/>
        </w:rPr>
        <w:t>in</w:t>
      </w:r>
      <w:r>
        <w:rPr>
          <w:spacing w:val="-4"/>
          <w:sz w:val="20"/>
        </w:rPr>
        <w:t> </w:t>
      </w:r>
      <w:r>
        <w:rPr>
          <w:sz w:val="20"/>
        </w:rPr>
        <w:t>Mali</w:t>
      </w:r>
      <w:r>
        <w:rPr>
          <w:spacing w:val="-7"/>
          <w:sz w:val="20"/>
        </w:rPr>
        <w:t> </w:t>
      </w:r>
      <w:r>
        <w:rPr>
          <w:sz w:val="20"/>
        </w:rPr>
        <w:t>in</w:t>
      </w:r>
      <w:r>
        <w:rPr>
          <w:spacing w:val="-8"/>
          <w:sz w:val="20"/>
        </w:rPr>
        <w:t> </w:t>
      </w:r>
      <w:r>
        <w:rPr>
          <w:sz w:val="20"/>
        </w:rPr>
        <w:t>2023,</w:t>
      </w:r>
      <w:r>
        <w:rPr>
          <w:spacing w:val="-1"/>
          <w:sz w:val="20"/>
        </w:rPr>
        <w:t> </w:t>
      </w:r>
      <w:r>
        <w:rPr>
          <w:sz w:val="20"/>
        </w:rPr>
        <w:t>these</w:t>
      </w:r>
      <w:r>
        <w:rPr>
          <w:spacing w:val="-7"/>
          <w:sz w:val="20"/>
        </w:rPr>
        <w:t> </w:t>
      </w:r>
      <w:r>
        <w:rPr>
          <w:sz w:val="20"/>
        </w:rPr>
        <w:t>positions</w:t>
      </w:r>
      <w:r>
        <w:rPr>
          <w:spacing w:val="-10"/>
          <w:sz w:val="20"/>
        </w:rPr>
        <w:t> </w:t>
      </w:r>
      <w:r>
        <w:rPr>
          <w:sz w:val="20"/>
        </w:rPr>
        <w:t>continue</w:t>
      </w:r>
      <w:r>
        <w:rPr>
          <w:spacing w:val="-7"/>
          <w:sz w:val="20"/>
        </w:rPr>
        <w:t> </w:t>
      </w:r>
      <w:r>
        <w:rPr>
          <w:sz w:val="20"/>
        </w:rPr>
        <w:t>to</w:t>
      </w:r>
      <w:r>
        <w:rPr>
          <w:spacing w:val="-4"/>
          <w:sz w:val="20"/>
        </w:rPr>
        <w:t> </w:t>
      </w:r>
      <w:r>
        <w:rPr>
          <w:sz w:val="20"/>
        </w:rPr>
        <w:t>be</w:t>
      </w:r>
      <w:r>
        <w:rPr>
          <w:spacing w:val="-7"/>
          <w:sz w:val="20"/>
        </w:rPr>
        <w:t> </w:t>
      </w:r>
      <w:r>
        <w:rPr>
          <w:sz w:val="20"/>
        </w:rPr>
        <w:t>required</w:t>
      </w:r>
      <w:r>
        <w:rPr>
          <w:spacing w:val="-4"/>
          <w:sz w:val="20"/>
        </w:rPr>
        <w:t> </w:t>
      </w:r>
      <w:r>
        <w:rPr>
          <w:sz w:val="20"/>
        </w:rPr>
        <w:t>to</w:t>
      </w:r>
      <w:r>
        <w:rPr>
          <w:spacing w:val="-4"/>
          <w:sz w:val="20"/>
        </w:rPr>
        <w:t> </w:t>
      </w:r>
      <w:r>
        <w:rPr>
          <w:sz w:val="20"/>
        </w:rPr>
        <w:t>provide</w:t>
      </w:r>
      <w:r>
        <w:rPr>
          <w:spacing w:val="-2"/>
          <w:sz w:val="20"/>
        </w:rPr>
        <w:t> </w:t>
      </w:r>
      <w:r>
        <w:rPr>
          <w:sz w:val="20"/>
        </w:rPr>
        <w:t>support to users to guarantee operational continuity. The three Drivers currently provide transportation services under the supervision of the Senior Driver.</w:t>
      </w:r>
    </w:p>
    <w:p>
      <w:pPr>
        <w:pStyle w:val="ListParagraph"/>
        <w:numPr>
          <w:ilvl w:val="0"/>
          <w:numId w:val="4"/>
        </w:numPr>
        <w:tabs>
          <w:tab w:pos="2967" w:val="left" w:leader="none"/>
        </w:tabs>
        <w:spacing w:line="240" w:lineRule="auto" w:before="117" w:after="0"/>
        <w:ind w:left="2246" w:right="2238" w:firstLine="0"/>
        <w:jc w:val="both"/>
        <w:rPr>
          <w:sz w:val="20"/>
        </w:rPr>
      </w:pPr>
      <w:r>
        <w:rPr>
          <w:sz w:val="20"/>
        </w:rPr>
        <w:t>One </w:t>
      </w:r>
      <w:r>
        <w:rPr>
          <w:i/>
          <w:sz w:val="20"/>
        </w:rPr>
        <w:t>Associate Team Leader (P-2) (Mali), 12 months. Continued. Multi-year. </w:t>
      </w:r>
      <w:r>
        <w:rPr>
          <w:sz w:val="20"/>
        </w:rPr>
        <w:t>This position</w:t>
      </w:r>
      <w:r>
        <w:rPr>
          <w:spacing w:val="-9"/>
          <w:sz w:val="20"/>
        </w:rPr>
        <w:t> </w:t>
      </w:r>
      <w:r>
        <w:rPr>
          <w:sz w:val="20"/>
        </w:rPr>
        <w:t>is</w:t>
      </w:r>
      <w:r>
        <w:rPr>
          <w:spacing w:val="-10"/>
          <w:sz w:val="20"/>
        </w:rPr>
        <w:t> </w:t>
      </w:r>
      <w:r>
        <w:rPr>
          <w:sz w:val="20"/>
        </w:rPr>
        <w:t>required</w:t>
      </w:r>
      <w:r>
        <w:rPr>
          <w:spacing w:val="-13"/>
          <w:sz w:val="20"/>
        </w:rPr>
        <w:t> </w:t>
      </w:r>
      <w:r>
        <w:rPr>
          <w:sz w:val="20"/>
        </w:rPr>
        <w:t>to</w:t>
      </w:r>
      <w:r>
        <w:rPr>
          <w:spacing w:val="-12"/>
          <w:sz w:val="20"/>
        </w:rPr>
        <w:t> </w:t>
      </w:r>
      <w:r>
        <w:rPr>
          <w:sz w:val="20"/>
        </w:rPr>
        <w:t>provide</w:t>
      </w:r>
      <w:r>
        <w:rPr>
          <w:spacing w:val="-12"/>
          <w:sz w:val="20"/>
        </w:rPr>
        <w:t> </w:t>
      </w:r>
      <w:r>
        <w:rPr>
          <w:sz w:val="20"/>
        </w:rPr>
        <w:t>the</w:t>
      </w:r>
      <w:r>
        <w:rPr>
          <w:spacing w:val="-11"/>
          <w:sz w:val="20"/>
        </w:rPr>
        <w:t> </w:t>
      </w:r>
      <w:r>
        <w:rPr>
          <w:sz w:val="20"/>
        </w:rPr>
        <w:t>necessary</w:t>
      </w:r>
      <w:r>
        <w:rPr>
          <w:spacing w:val="-8"/>
          <w:sz w:val="20"/>
        </w:rPr>
        <w:t> </w:t>
      </w:r>
      <w:r>
        <w:rPr>
          <w:sz w:val="20"/>
        </w:rPr>
        <w:t>support</w:t>
      </w:r>
      <w:r>
        <w:rPr>
          <w:spacing w:val="-7"/>
          <w:sz w:val="20"/>
        </w:rPr>
        <w:t> </w:t>
      </w:r>
      <w:r>
        <w:rPr>
          <w:sz w:val="20"/>
        </w:rPr>
        <w:t>in</w:t>
      </w:r>
      <w:r>
        <w:rPr>
          <w:spacing w:val="-8"/>
          <w:sz w:val="20"/>
        </w:rPr>
        <w:t> </w:t>
      </w:r>
      <w:r>
        <w:rPr>
          <w:sz w:val="20"/>
        </w:rPr>
        <w:t>relation</w:t>
      </w:r>
      <w:r>
        <w:rPr>
          <w:spacing w:val="-8"/>
          <w:sz w:val="20"/>
        </w:rPr>
        <w:t> </w:t>
      </w:r>
      <w:r>
        <w:rPr>
          <w:sz w:val="20"/>
        </w:rPr>
        <w:t>to</w:t>
      </w:r>
      <w:r>
        <w:rPr>
          <w:spacing w:val="-8"/>
          <w:sz w:val="20"/>
        </w:rPr>
        <w:t> </w:t>
      </w:r>
      <w:r>
        <w:rPr>
          <w:sz w:val="20"/>
        </w:rPr>
        <w:t>field</w:t>
      </w:r>
      <w:r>
        <w:rPr>
          <w:spacing w:val="-8"/>
          <w:sz w:val="20"/>
        </w:rPr>
        <w:t> </w:t>
      </w:r>
      <w:r>
        <w:rPr>
          <w:sz w:val="20"/>
        </w:rPr>
        <w:t>case</w:t>
      </w:r>
      <w:r>
        <w:rPr>
          <w:spacing w:val="-12"/>
          <w:sz w:val="20"/>
        </w:rPr>
        <w:t> </w:t>
      </w:r>
      <w:r>
        <w:rPr>
          <w:sz w:val="20"/>
        </w:rPr>
        <w:t>management</w:t>
      </w:r>
      <w:r>
        <w:rPr>
          <w:spacing w:val="-7"/>
          <w:sz w:val="20"/>
        </w:rPr>
        <w:t> </w:t>
      </w:r>
      <w:r>
        <w:rPr>
          <w:sz w:val="20"/>
        </w:rPr>
        <w:t>and protected witnesses and victims. The Mali team is required to provide support to the remaining trial activities and field operations</w:t>
      </w:r>
      <w:r>
        <w:rPr>
          <w:spacing w:val="-1"/>
          <w:sz w:val="20"/>
        </w:rPr>
        <w:t> </w:t>
      </w:r>
      <w:r>
        <w:rPr>
          <w:sz w:val="20"/>
        </w:rPr>
        <w:t>in 2023, including support for initial response systems</w:t>
      </w:r>
      <w:r>
        <w:rPr>
          <w:spacing w:val="-4"/>
          <w:sz w:val="20"/>
        </w:rPr>
        <w:t> </w:t>
      </w:r>
      <w:r>
        <w:rPr>
          <w:sz w:val="20"/>
        </w:rPr>
        <w:t>(IRS), other</w:t>
      </w:r>
      <w:r>
        <w:rPr>
          <w:spacing w:val="-3"/>
          <w:sz w:val="20"/>
        </w:rPr>
        <w:t> </w:t>
      </w:r>
      <w:r>
        <w:rPr>
          <w:sz w:val="20"/>
        </w:rPr>
        <w:t>operational</w:t>
      </w:r>
      <w:r>
        <w:rPr>
          <w:spacing w:val="-6"/>
          <w:sz w:val="20"/>
        </w:rPr>
        <w:t> </w:t>
      </w:r>
      <w:r>
        <w:rPr>
          <w:sz w:val="20"/>
        </w:rPr>
        <w:t>mechanisms</w:t>
      </w:r>
      <w:r>
        <w:rPr>
          <w:spacing w:val="-4"/>
          <w:sz w:val="20"/>
        </w:rPr>
        <w:t> </w:t>
      </w:r>
      <w:r>
        <w:rPr>
          <w:sz w:val="20"/>
        </w:rPr>
        <w:t>necessary</w:t>
      </w:r>
      <w:r>
        <w:rPr>
          <w:spacing w:val="-3"/>
          <w:sz w:val="20"/>
        </w:rPr>
        <w:t> </w:t>
      </w:r>
      <w:r>
        <w:rPr>
          <w:sz w:val="20"/>
        </w:rPr>
        <w:t>for</w:t>
      </w:r>
      <w:r>
        <w:rPr>
          <w:spacing w:val="-7"/>
          <w:sz w:val="20"/>
        </w:rPr>
        <w:t> </w:t>
      </w:r>
      <w:r>
        <w:rPr>
          <w:sz w:val="20"/>
        </w:rPr>
        <w:t>the OTP</w:t>
      </w:r>
      <w:r>
        <w:rPr>
          <w:spacing w:val="-4"/>
          <w:sz w:val="20"/>
        </w:rPr>
        <w:t> </w:t>
      </w:r>
      <w:r>
        <w:rPr>
          <w:sz w:val="20"/>
        </w:rPr>
        <w:t>and</w:t>
      </w:r>
      <w:r>
        <w:rPr>
          <w:spacing w:val="-7"/>
          <w:sz w:val="20"/>
        </w:rPr>
        <w:t> </w:t>
      </w:r>
      <w:r>
        <w:rPr>
          <w:sz w:val="20"/>
        </w:rPr>
        <w:t>management</w:t>
      </w:r>
      <w:r>
        <w:rPr>
          <w:spacing w:val="-1"/>
          <w:sz w:val="20"/>
        </w:rPr>
        <w:t> </w:t>
      </w:r>
      <w:r>
        <w:rPr>
          <w:sz w:val="20"/>
        </w:rPr>
        <w:t>of</w:t>
      </w:r>
      <w:r>
        <w:rPr>
          <w:spacing w:val="-7"/>
          <w:sz w:val="20"/>
        </w:rPr>
        <w:t> </w:t>
      </w:r>
      <w:r>
        <w:rPr>
          <w:sz w:val="20"/>
        </w:rPr>
        <w:t>the witnesses remaining under</w:t>
      </w:r>
      <w:r>
        <w:rPr>
          <w:spacing w:val="-4"/>
          <w:sz w:val="20"/>
        </w:rPr>
        <w:t> </w:t>
      </w:r>
      <w:r>
        <w:rPr>
          <w:sz w:val="20"/>
        </w:rPr>
        <w:t>the</w:t>
      </w:r>
      <w:r>
        <w:rPr>
          <w:spacing w:val="-2"/>
          <w:sz w:val="20"/>
        </w:rPr>
        <w:t> </w:t>
      </w:r>
      <w:r>
        <w:rPr>
          <w:sz w:val="20"/>
        </w:rPr>
        <w:t>care of</w:t>
      </w:r>
      <w:r>
        <w:rPr>
          <w:spacing w:val="-4"/>
          <w:sz w:val="20"/>
        </w:rPr>
        <w:t> </w:t>
      </w:r>
      <w:r>
        <w:rPr>
          <w:sz w:val="20"/>
        </w:rPr>
        <w:t>the VWS.</w:t>
      </w:r>
      <w:r>
        <w:rPr>
          <w:spacing w:val="-1"/>
          <w:sz w:val="20"/>
        </w:rPr>
        <w:t> </w:t>
      </w:r>
      <w:r>
        <w:rPr>
          <w:sz w:val="20"/>
        </w:rPr>
        <w:t>This position will</w:t>
      </w:r>
      <w:r>
        <w:rPr>
          <w:spacing w:val="-2"/>
          <w:sz w:val="20"/>
        </w:rPr>
        <w:t> </w:t>
      </w:r>
      <w:r>
        <w:rPr>
          <w:sz w:val="20"/>
        </w:rPr>
        <w:t>lead the</w:t>
      </w:r>
      <w:r>
        <w:rPr>
          <w:spacing w:val="-2"/>
          <w:sz w:val="20"/>
        </w:rPr>
        <w:t> </w:t>
      </w:r>
      <w:r>
        <w:rPr>
          <w:sz w:val="20"/>
        </w:rPr>
        <w:t>VWS field</w:t>
      </w:r>
      <w:r>
        <w:rPr>
          <w:spacing w:val="-4"/>
          <w:sz w:val="20"/>
        </w:rPr>
        <w:t> </w:t>
      </w:r>
      <w:r>
        <w:rPr>
          <w:sz w:val="20"/>
        </w:rPr>
        <w:t>team and assist the Team Leader responsible for the Mali situation at Headquarters in the daily management of protection-related issues, manage the IRS and follow-up on referrals for protection and support made by parties. The incumbent will conduct threat and risk assessments for</w:t>
      </w:r>
      <w:r>
        <w:rPr>
          <w:spacing w:val="-4"/>
          <w:sz w:val="20"/>
        </w:rPr>
        <w:t> </w:t>
      </w:r>
      <w:r>
        <w:rPr>
          <w:sz w:val="20"/>
        </w:rPr>
        <w:t>inclusion</w:t>
      </w:r>
      <w:r>
        <w:rPr>
          <w:spacing w:val="-4"/>
          <w:sz w:val="20"/>
        </w:rPr>
        <w:t> </w:t>
      </w:r>
      <w:r>
        <w:rPr>
          <w:sz w:val="20"/>
        </w:rPr>
        <w:t>in</w:t>
      </w:r>
      <w:r>
        <w:rPr>
          <w:spacing w:val="-4"/>
          <w:sz w:val="20"/>
        </w:rPr>
        <w:t> </w:t>
      </w:r>
      <w:r>
        <w:rPr>
          <w:sz w:val="20"/>
        </w:rPr>
        <w:t>the</w:t>
      </w:r>
      <w:r>
        <w:rPr>
          <w:spacing w:val="-2"/>
          <w:sz w:val="20"/>
        </w:rPr>
        <w:t> </w:t>
      </w:r>
      <w:r>
        <w:rPr>
          <w:sz w:val="20"/>
        </w:rPr>
        <w:t>ICCPP and</w:t>
      </w:r>
      <w:r>
        <w:rPr>
          <w:spacing w:val="-4"/>
          <w:sz w:val="20"/>
        </w:rPr>
        <w:t> </w:t>
      </w:r>
      <w:r>
        <w:rPr>
          <w:sz w:val="20"/>
        </w:rPr>
        <w:t>provide</w:t>
      </w:r>
      <w:r>
        <w:rPr>
          <w:spacing w:val="-2"/>
          <w:sz w:val="20"/>
        </w:rPr>
        <w:t> </w:t>
      </w:r>
      <w:r>
        <w:rPr>
          <w:sz w:val="20"/>
        </w:rPr>
        <w:t>recommendations on</w:t>
      </w:r>
      <w:r>
        <w:rPr>
          <w:spacing w:val="-4"/>
          <w:sz w:val="20"/>
        </w:rPr>
        <w:t> </w:t>
      </w:r>
      <w:r>
        <w:rPr>
          <w:sz w:val="20"/>
        </w:rPr>
        <w:t>witness</w:t>
      </w:r>
      <w:r>
        <w:rPr>
          <w:spacing w:val="-5"/>
          <w:sz w:val="20"/>
        </w:rPr>
        <w:t> </w:t>
      </w:r>
      <w:r>
        <w:rPr>
          <w:sz w:val="20"/>
        </w:rPr>
        <w:t>protection </w:t>
      </w:r>
      <w:r>
        <w:rPr>
          <w:spacing w:val="-2"/>
          <w:sz w:val="20"/>
        </w:rPr>
        <w:t>measures.</w:t>
      </w:r>
    </w:p>
    <w:p>
      <w:pPr>
        <w:pStyle w:val="BodyText"/>
        <w:spacing w:before="10"/>
      </w:pPr>
    </w:p>
    <w:p>
      <w:pPr>
        <w:spacing w:before="0"/>
        <w:ind w:left="2246" w:right="0" w:firstLine="0"/>
        <w:jc w:val="both"/>
        <w:rPr>
          <w:i/>
          <w:sz w:val="20"/>
        </w:rPr>
      </w:pPr>
      <w:r>
        <w:rPr>
          <w:i/>
          <w:sz w:val="20"/>
        </w:rPr>
        <w:t>Positions</w:t>
      </w:r>
      <w:r>
        <w:rPr>
          <w:i/>
          <w:spacing w:val="-5"/>
          <w:sz w:val="20"/>
        </w:rPr>
        <w:t> </w:t>
      </w:r>
      <w:r>
        <w:rPr>
          <w:i/>
          <w:sz w:val="20"/>
        </w:rPr>
        <w:t>to</w:t>
      </w:r>
      <w:r>
        <w:rPr>
          <w:i/>
          <w:spacing w:val="-4"/>
          <w:sz w:val="20"/>
        </w:rPr>
        <w:t> </w:t>
      </w:r>
      <w:r>
        <w:rPr>
          <w:i/>
          <w:sz w:val="20"/>
        </w:rPr>
        <w:t>be</w:t>
      </w:r>
      <w:r>
        <w:rPr>
          <w:i/>
          <w:spacing w:val="-1"/>
          <w:sz w:val="20"/>
        </w:rPr>
        <w:t> </w:t>
      </w:r>
      <w:r>
        <w:rPr>
          <w:i/>
          <w:spacing w:val="-2"/>
          <w:sz w:val="20"/>
        </w:rPr>
        <w:t>redeployed</w:t>
      </w:r>
    </w:p>
    <w:p>
      <w:pPr>
        <w:pStyle w:val="BodyText"/>
        <w:spacing w:before="11"/>
        <w:rPr>
          <w:i/>
        </w:rPr>
      </w:pPr>
    </w:p>
    <w:p>
      <w:pPr>
        <w:pStyle w:val="ListParagraph"/>
        <w:numPr>
          <w:ilvl w:val="0"/>
          <w:numId w:val="4"/>
        </w:numPr>
        <w:tabs>
          <w:tab w:pos="2967" w:val="left" w:leader="none"/>
        </w:tabs>
        <w:spacing w:line="240" w:lineRule="auto" w:before="0" w:after="0"/>
        <w:ind w:left="2246" w:right="2235" w:firstLine="0"/>
        <w:jc w:val="both"/>
        <w:rPr>
          <w:sz w:val="20"/>
        </w:rPr>
      </w:pPr>
      <w:r>
        <w:rPr>
          <w:sz w:val="20"/>
        </w:rPr>
        <w:t>One </w:t>
      </w:r>
      <w:r>
        <w:rPr>
          <w:i/>
          <w:sz w:val="20"/>
        </w:rPr>
        <w:t>Associate Field Case Officer (Uganda) (P-2), 12 months. Continued and</w:t>
      </w:r>
      <w:r>
        <w:rPr>
          <w:i/>
          <w:sz w:val="20"/>
        </w:rPr>
        <w:t> redeployed</w:t>
      </w:r>
      <w:r>
        <w:rPr>
          <w:i/>
          <w:spacing w:val="-8"/>
          <w:sz w:val="20"/>
        </w:rPr>
        <w:t> </w:t>
      </w:r>
      <w:r>
        <w:rPr>
          <w:i/>
          <w:sz w:val="20"/>
        </w:rPr>
        <w:t>to</w:t>
      </w:r>
      <w:r>
        <w:rPr>
          <w:i/>
          <w:spacing w:val="-8"/>
          <w:sz w:val="20"/>
        </w:rPr>
        <w:t> </w:t>
      </w:r>
      <w:r>
        <w:rPr>
          <w:i/>
          <w:sz w:val="20"/>
        </w:rPr>
        <w:t>Sudan.</w:t>
      </w:r>
      <w:r>
        <w:rPr>
          <w:i/>
          <w:spacing w:val="-6"/>
          <w:sz w:val="20"/>
        </w:rPr>
        <w:t> </w:t>
      </w:r>
      <w:r>
        <w:rPr>
          <w:i/>
          <w:sz w:val="20"/>
        </w:rPr>
        <w:t>Multi-year.</w:t>
      </w:r>
      <w:r>
        <w:rPr>
          <w:i/>
          <w:spacing w:val="-10"/>
          <w:sz w:val="20"/>
        </w:rPr>
        <w:t> </w:t>
      </w:r>
      <w:r>
        <w:rPr>
          <w:sz w:val="20"/>
        </w:rPr>
        <w:t>This</w:t>
      </w:r>
      <w:r>
        <w:rPr>
          <w:spacing w:val="-10"/>
          <w:sz w:val="20"/>
        </w:rPr>
        <w:t> </w:t>
      </w:r>
      <w:r>
        <w:rPr>
          <w:sz w:val="20"/>
        </w:rPr>
        <w:t>position</w:t>
      </w:r>
      <w:r>
        <w:rPr>
          <w:spacing w:val="-8"/>
          <w:sz w:val="20"/>
        </w:rPr>
        <w:t> </w:t>
      </w:r>
      <w:r>
        <w:rPr>
          <w:sz w:val="20"/>
        </w:rPr>
        <w:t>was</w:t>
      </w:r>
      <w:r>
        <w:rPr>
          <w:spacing w:val="-5"/>
          <w:sz w:val="20"/>
        </w:rPr>
        <w:t> </w:t>
      </w:r>
      <w:r>
        <w:rPr>
          <w:sz w:val="20"/>
        </w:rPr>
        <w:t>redeployed</w:t>
      </w:r>
      <w:r>
        <w:rPr>
          <w:spacing w:val="-4"/>
          <w:sz w:val="20"/>
        </w:rPr>
        <w:t> </w:t>
      </w:r>
      <w:r>
        <w:rPr>
          <w:sz w:val="20"/>
        </w:rPr>
        <w:t>to</w:t>
      </w:r>
      <w:r>
        <w:rPr>
          <w:spacing w:val="-8"/>
          <w:sz w:val="20"/>
        </w:rPr>
        <w:t> </w:t>
      </w:r>
      <w:r>
        <w:rPr>
          <w:sz w:val="20"/>
        </w:rPr>
        <w:t>Uganda</w:t>
      </w:r>
      <w:r>
        <w:rPr>
          <w:spacing w:val="-7"/>
          <w:sz w:val="20"/>
        </w:rPr>
        <w:t> </w:t>
      </w:r>
      <w:r>
        <w:rPr>
          <w:sz w:val="20"/>
        </w:rPr>
        <w:t>in</w:t>
      </w:r>
      <w:r>
        <w:rPr>
          <w:spacing w:val="-8"/>
          <w:sz w:val="20"/>
        </w:rPr>
        <w:t> </w:t>
      </w:r>
      <w:r>
        <w:rPr>
          <w:sz w:val="20"/>
        </w:rPr>
        <w:t>2022</w:t>
      </w:r>
      <w:r>
        <w:rPr>
          <w:spacing w:val="-8"/>
          <w:sz w:val="20"/>
        </w:rPr>
        <w:t> </w:t>
      </w:r>
      <w:r>
        <w:rPr>
          <w:sz w:val="20"/>
        </w:rPr>
        <w:t>to</w:t>
      </w:r>
      <w:r>
        <w:rPr>
          <w:spacing w:val="-8"/>
          <w:sz w:val="20"/>
        </w:rPr>
        <w:t> </w:t>
      </w:r>
      <w:r>
        <w:rPr>
          <w:sz w:val="20"/>
        </w:rPr>
        <w:t>support the basic set-up for</w:t>
      </w:r>
      <w:r>
        <w:rPr>
          <w:spacing w:val="-4"/>
          <w:sz w:val="20"/>
        </w:rPr>
        <w:t> </w:t>
      </w:r>
      <w:r>
        <w:rPr>
          <w:sz w:val="20"/>
        </w:rPr>
        <w:t>the situation in Darfur.</w:t>
      </w:r>
      <w:r>
        <w:rPr>
          <w:spacing w:val="-1"/>
          <w:sz w:val="20"/>
        </w:rPr>
        <w:t> </w:t>
      </w:r>
      <w:r>
        <w:rPr>
          <w:sz w:val="20"/>
        </w:rPr>
        <w:t>This position, among others, had already proven essential in 2021 to VWS’s capacity to</w:t>
      </w:r>
      <w:r>
        <w:rPr>
          <w:spacing w:val="-3"/>
          <w:sz w:val="20"/>
        </w:rPr>
        <w:t> </w:t>
      </w:r>
      <w:r>
        <w:rPr>
          <w:sz w:val="20"/>
        </w:rPr>
        <w:t>cope with the surge in the number of referrals made by</w:t>
      </w:r>
      <w:r>
        <w:rPr>
          <w:spacing w:val="-4"/>
          <w:sz w:val="20"/>
        </w:rPr>
        <w:t> </w:t>
      </w:r>
      <w:r>
        <w:rPr>
          <w:sz w:val="20"/>
        </w:rPr>
        <w:t>the</w:t>
      </w:r>
      <w:r>
        <w:rPr>
          <w:spacing w:val="-2"/>
          <w:sz w:val="20"/>
        </w:rPr>
        <w:t> </w:t>
      </w:r>
      <w:r>
        <w:rPr>
          <w:sz w:val="20"/>
        </w:rPr>
        <w:t>OTP</w:t>
      </w:r>
      <w:r>
        <w:rPr>
          <w:spacing w:val="-10"/>
          <w:sz w:val="20"/>
        </w:rPr>
        <w:t> </w:t>
      </w:r>
      <w:r>
        <w:rPr>
          <w:sz w:val="20"/>
        </w:rPr>
        <w:t>in</w:t>
      </w:r>
      <w:r>
        <w:rPr>
          <w:spacing w:val="-8"/>
          <w:sz w:val="20"/>
        </w:rPr>
        <w:t> </w:t>
      </w:r>
      <w:r>
        <w:rPr>
          <w:sz w:val="20"/>
        </w:rPr>
        <w:t>the</w:t>
      </w:r>
      <w:r>
        <w:rPr>
          <w:spacing w:val="-5"/>
          <w:sz w:val="20"/>
        </w:rPr>
        <w:t> </w:t>
      </w:r>
      <w:r>
        <w:rPr>
          <w:i/>
          <w:sz w:val="20"/>
        </w:rPr>
        <w:t>Abd-Al-Rahman</w:t>
      </w:r>
      <w:r>
        <w:rPr>
          <w:i/>
          <w:spacing w:val="-8"/>
          <w:sz w:val="20"/>
        </w:rPr>
        <w:t> </w:t>
      </w:r>
      <w:r>
        <w:rPr>
          <w:sz w:val="20"/>
        </w:rPr>
        <w:t>case.</w:t>
      </w:r>
      <w:r>
        <w:rPr>
          <w:spacing w:val="-6"/>
          <w:sz w:val="20"/>
        </w:rPr>
        <w:t> </w:t>
      </w:r>
      <w:r>
        <w:rPr>
          <w:sz w:val="20"/>
        </w:rPr>
        <w:t>This</w:t>
      </w:r>
      <w:r>
        <w:rPr>
          <w:spacing w:val="-5"/>
          <w:sz w:val="20"/>
        </w:rPr>
        <w:t> </w:t>
      </w:r>
      <w:r>
        <w:rPr>
          <w:sz w:val="20"/>
        </w:rPr>
        <w:t>position</w:t>
      </w:r>
      <w:r>
        <w:rPr>
          <w:spacing w:val="-4"/>
          <w:sz w:val="20"/>
        </w:rPr>
        <w:t> </w:t>
      </w:r>
      <w:r>
        <w:rPr>
          <w:sz w:val="20"/>
        </w:rPr>
        <w:t>will</w:t>
      </w:r>
      <w:r>
        <w:rPr>
          <w:spacing w:val="-7"/>
          <w:sz w:val="20"/>
        </w:rPr>
        <w:t> </w:t>
      </w:r>
      <w:r>
        <w:rPr>
          <w:sz w:val="20"/>
        </w:rPr>
        <w:t>continue</w:t>
      </w:r>
      <w:r>
        <w:rPr>
          <w:spacing w:val="-7"/>
          <w:sz w:val="20"/>
        </w:rPr>
        <w:t> </w:t>
      </w:r>
      <w:r>
        <w:rPr>
          <w:sz w:val="20"/>
        </w:rPr>
        <w:t>to</w:t>
      </w:r>
      <w:r>
        <w:rPr>
          <w:spacing w:val="-8"/>
          <w:sz w:val="20"/>
        </w:rPr>
        <w:t> </w:t>
      </w:r>
      <w:r>
        <w:rPr>
          <w:sz w:val="20"/>
        </w:rPr>
        <w:t>be</w:t>
      </w:r>
      <w:r>
        <w:rPr>
          <w:spacing w:val="-7"/>
          <w:sz w:val="20"/>
        </w:rPr>
        <w:t> </w:t>
      </w:r>
      <w:r>
        <w:rPr>
          <w:sz w:val="20"/>
        </w:rPr>
        <w:t>required</w:t>
      </w:r>
      <w:r>
        <w:rPr>
          <w:spacing w:val="-8"/>
          <w:sz w:val="20"/>
        </w:rPr>
        <w:t> </w:t>
      </w:r>
      <w:r>
        <w:rPr>
          <w:sz w:val="20"/>
        </w:rPr>
        <w:t>to</w:t>
      </w:r>
      <w:r>
        <w:rPr>
          <w:spacing w:val="-4"/>
          <w:sz w:val="20"/>
        </w:rPr>
        <w:t> </w:t>
      </w:r>
      <w:r>
        <w:rPr>
          <w:sz w:val="20"/>
        </w:rPr>
        <w:t>support the</w:t>
      </w:r>
      <w:r>
        <w:rPr>
          <w:spacing w:val="-1"/>
          <w:sz w:val="20"/>
        </w:rPr>
        <w:t> </w:t>
      </w:r>
      <w:r>
        <w:rPr>
          <w:sz w:val="20"/>
        </w:rPr>
        <w:t>witnesses</w:t>
      </w:r>
      <w:r>
        <w:rPr>
          <w:spacing w:val="-4"/>
          <w:sz w:val="20"/>
        </w:rPr>
        <w:t> </w:t>
      </w:r>
      <w:r>
        <w:rPr>
          <w:sz w:val="20"/>
        </w:rPr>
        <w:t>already</w:t>
      </w:r>
      <w:r>
        <w:rPr>
          <w:spacing w:val="-7"/>
          <w:sz w:val="20"/>
        </w:rPr>
        <w:t> </w:t>
      </w:r>
      <w:r>
        <w:rPr>
          <w:sz w:val="20"/>
        </w:rPr>
        <w:t>referred</w:t>
      </w:r>
      <w:r>
        <w:rPr>
          <w:spacing w:val="-3"/>
          <w:sz w:val="20"/>
        </w:rPr>
        <w:t> </w:t>
      </w:r>
      <w:r>
        <w:rPr>
          <w:sz w:val="20"/>
        </w:rPr>
        <w:t>who</w:t>
      </w:r>
      <w:r>
        <w:rPr>
          <w:spacing w:val="-7"/>
          <w:sz w:val="20"/>
        </w:rPr>
        <w:t> </w:t>
      </w:r>
      <w:r>
        <w:rPr>
          <w:sz w:val="20"/>
        </w:rPr>
        <w:t>are</w:t>
      </w:r>
      <w:r>
        <w:rPr>
          <w:spacing w:val="-1"/>
          <w:sz w:val="20"/>
        </w:rPr>
        <w:t> </w:t>
      </w:r>
      <w:r>
        <w:rPr>
          <w:sz w:val="20"/>
        </w:rPr>
        <w:t>now</w:t>
      </w:r>
      <w:r>
        <w:rPr>
          <w:spacing w:val="-4"/>
          <w:sz w:val="20"/>
        </w:rPr>
        <w:t> </w:t>
      </w:r>
      <w:r>
        <w:rPr>
          <w:sz w:val="20"/>
        </w:rPr>
        <w:t>under</w:t>
      </w:r>
      <w:r>
        <w:rPr>
          <w:spacing w:val="-7"/>
          <w:sz w:val="20"/>
        </w:rPr>
        <w:t> </w:t>
      </w:r>
      <w:r>
        <w:rPr>
          <w:sz w:val="20"/>
        </w:rPr>
        <w:t>the</w:t>
      </w:r>
      <w:r>
        <w:rPr>
          <w:spacing w:val="-1"/>
          <w:sz w:val="20"/>
        </w:rPr>
        <w:t> </w:t>
      </w:r>
      <w:r>
        <w:rPr>
          <w:sz w:val="20"/>
        </w:rPr>
        <w:t>care</w:t>
      </w:r>
      <w:r>
        <w:rPr>
          <w:spacing w:val="-1"/>
          <w:sz w:val="20"/>
        </w:rPr>
        <w:t> </w:t>
      </w:r>
      <w:r>
        <w:rPr>
          <w:sz w:val="20"/>
        </w:rPr>
        <w:t>of</w:t>
      </w:r>
      <w:r>
        <w:rPr>
          <w:spacing w:val="-7"/>
          <w:sz w:val="20"/>
        </w:rPr>
        <w:t> </w:t>
      </w:r>
      <w:r>
        <w:rPr>
          <w:sz w:val="20"/>
        </w:rPr>
        <w:t>VWS</w:t>
      </w:r>
      <w:r>
        <w:rPr>
          <w:spacing w:val="-4"/>
          <w:sz w:val="20"/>
        </w:rPr>
        <w:t> </w:t>
      </w:r>
      <w:r>
        <w:rPr>
          <w:sz w:val="20"/>
        </w:rPr>
        <w:t>as</w:t>
      </w:r>
      <w:r>
        <w:rPr>
          <w:spacing w:val="-4"/>
          <w:sz w:val="20"/>
        </w:rPr>
        <w:t> </w:t>
      </w:r>
      <w:r>
        <w:rPr>
          <w:sz w:val="20"/>
        </w:rPr>
        <w:t>well</w:t>
      </w:r>
      <w:r>
        <w:rPr>
          <w:spacing w:val="-6"/>
          <w:sz w:val="20"/>
        </w:rPr>
        <w:t> </w:t>
      </w:r>
      <w:r>
        <w:rPr>
          <w:sz w:val="20"/>
        </w:rPr>
        <w:t>as</w:t>
      </w:r>
      <w:r>
        <w:rPr>
          <w:spacing w:val="-9"/>
          <w:sz w:val="20"/>
        </w:rPr>
        <w:t> </w:t>
      </w:r>
      <w:r>
        <w:rPr>
          <w:sz w:val="20"/>
        </w:rPr>
        <w:t>those</w:t>
      </w:r>
      <w:r>
        <w:rPr>
          <w:spacing w:val="-6"/>
          <w:sz w:val="20"/>
        </w:rPr>
        <w:t> </w:t>
      </w:r>
      <w:r>
        <w:rPr>
          <w:sz w:val="20"/>
        </w:rPr>
        <w:t>expected to be referred in 2023 by the OTP as well as the Defence for </w:t>
      </w:r>
      <w:r>
        <w:rPr>
          <w:i/>
          <w:sz w:val="20"/>
        </w:rPr>
        <w:t>Abd-Al-Rahman </w:t>
      </w:r>
      <w:r>
        <w:rPr>
          <w:sz w:val="20"/>
        </w:rPr>
        <w:t>in 2023.</w:t>
      </w:r>
    </w:p>
    <w:p>
      <w:pPr>
        <w:pStyle w:val="ListParagraph"/>
        <w:numPr>
          <w:ilvl w:val="0"/>
          <w:numId w:val="4"/>
        </w:numPr>
        <w:tabs>
          <w:tab w:pos="2967" w:val="left" w:leader="none"/>
        </w:tabs>
        <w:spacing w:line="240" w:lineRule="auto" w:before="123" w:after="0"/>
        <w:ind w:left="2246" w:right="2241" w:firstLine="0"/>
        <w:jc w:val="both"/>
        <w:rPr>
          <w:sz w:val="20"/>
        </w:rPr>
      </w:pPr>
      <w:bookmarkStart w:name="_bookmark46" w:id="47"/>
      <w:bookmarkEnd w:id="47"/>
      <w:r>
        <w:rPr>
          <w:sz w:val="20"/>
        </w:rPr>
        <w:t>O</w:t>
      </w:r>
      <w:r>
        <w:rPr>
          <w:sz w:val="20"/>
        </w:rPr>
        <w:t>ne </w:t>
      </w:r>
      <w:r>
        <w:rPr>
          <w:i/>
          <w:sz w:val="20"/>
        </w:rPr>
        <w:t>Field Case Management Assistant (Uganda) (GS-OL), 12 months. Continued</w:t>
      </w:r>
      <w:r>
        <w:rPr>
          <w:i/>
          <w:sz w:val="20"/>
        </w:rPr>
        <w:t> and redeployed to Sudan. Multi-year. </w:t>
      </w:r>
      <w:r>
        <w:rPr>
          <w:sz w:val="20"/>
        </w:rPr>
        <w:t>This position was approved for 2022 to support the work of the Associate Field Case Officer in managing the field operations pertaining to the activities related to the trial and protection/support in the situation in Darfur conducted by VWS from Uganda. Following the scheduled establishment of a Court presence in Sudan, this position will be redeployed to Sudan to provide support in-country. Its main focus will be</w:t>
      </w:r>
      <w:r>
        <w:rPr>
          <w:spacing w:val="-13"/>
          <w:sz w:val="20"/>
        </w:rPr>
        <w:t> </w:t>
      </w:r>
      <w:r>
        <w:rPr>
          <w:sz w:val="20"/>
        </w:rPr>
        <w:t>liaison</w:t>
      </w:r>
      <w:r>
        <w:rPr>
          <w:spacing w:val="-12"/>
          <w:sz w:val="20"/>
        </w:rPr>
        <w:t> </w:t>
      </w:r>
      <w:r>
        <w:rPr>
          <w:sz w:val="20"/>
        </w:rPr>
        <w:t>and</w:t>
      </w:r>
      <w:r>
        <w:rPr>
          <w:spacing w:val="-13"/>
          <w:sz w:val="20"/>
        </w:rPr>
        <w:t> </w:t>
      </w:r>
      <w:r>
        <w:rPr>
          <w:sz w:val="20"/>
        </w:rPr>
        <w:t>management</w:t>
      </w:r>
      <w:r>
        <w:rPr>
          <w:spacing w:val="-12"/>
          <w:sz w:val="20"/>
        </w:rPr>
        <w:t> </w:t>
      </w:r>
      <w:r>
        <w:rPr>
          <w:sz w:val="20"/>
        </w:rPr>
        <w:t>of</w:t>
      </w:r>
      <w:r>
        <w:rPr>
          <w:spacing w:val="-13"/>
          <w:sz w:val="20"/>
        </w:rPr>
        <w:t> </w:t>
      </w:r>
      <w:r>
        <w:rPr>
          <w:sz w:val="20"/>
        </w:rPr>
        <w:t>direct</w:t>
      </w:r>
      <w:r>
        <w:rPr>
          <w:spacing w:val="-12"/>
          <w:sz w:val="20"/>
        </w:rPr>
        <w:t> </w:t>
      </w:r>
      <w:r>
        <w:rPr>
          <w:sz w:val="20"/>
        </w:rPr>
        <w:t>contacts</w:t>
      </w:r>
      <w:r>
        <w:rPr>
          <w:spacing w:val="-11"/>
          <w:sz w:val="20"/>
        </w:rPr>
        <w:t> </w:t>
      </w:r>
      <w:r>
        <w:rPr>
          <w:sz w:val="20"/>
        </w:rPr>
        <w:t>between</w:t>
      </w:r>
      <w:r>
        <w:rPr>
          <w:spacing w:val="-13"/>
          <w:sz w:val="20"/>
        </w:rPr>
        <w:t> </w:t>
      </w:r>
      <w:r>
        <w:rPr>
          <w:sz w:val="20"/>
        </w:rPr>
        <w:t>VWS</w:t>
      </w:r>
      <w:r>
        <w:rPr>
          <w:spacing w:val="-12"/>
          <w:sz w:val="20"/>
        </w:rPr>
        <w:t> </w:t>
      </w:r>
      <w:r>
        <w:rPr>
          <w:sz w:val="20"/>
        </w:rPr>
        <w:t>and</w:t>
      </w:r>
      <w:r>
        <w:rPr>
          <w:spacing w:val="-9"/>
          <w:sz w:val="20"/>
        </w:rPr>
        <w:t> </w:t>
      </w:r>
      <w:r>
        <w:rPr>
          <w:sz w:val="20"/>
        </w:rPr>
        <w:t>the</w:t>
      </w:r>
      <w:r>
        <w:rPr>
          <w:spacing w:val="-12"/>
          <w:sz w:val="20"/>
        </w:rPr>
        <w:t> </w:t>
      </w:r>
      <w:r>
        <w:rPr>
          <w:sz w:val="20"/>
        </w:rPr>
        <w:t>witnesses</w:t>
      </w:r>
      <w:r>
        <w:rPr>
          <w:spacing w:val="-13"/>
          <w:sz w:val="20"/>
        </w:rPr>
        <w:t> </w:t>
      </w:r>
      <w:r>
        <w:rPr>
          <w:sz w:val="20"/>
        </w:rPr>
        <w:t>in</w:t>
      </w:r>
      <w:r>
        <w:rPr>
          <w:spacing w:val="-12"/>
          <w:sz w:val="20"/>
        </w:rPr>
        <w:t> </w:t>
      </w:r>
      <w:r>
        <w:rPr>
          <w:sz w:val="20"/>
        </w:rPr>
        <w:t>the</w:t>
      </w:r>
      <w:r>
        <w:rPr>
          <w:spacing w:val="-12"/>
          <w:sz w:val="20"/>
        </w:rPr>
        <w:t> </w:t>
      </w:r>
      <w:r>
        <w:rPr>
          <w:sz w:val="20"/>
        </w:rPr>
        <w:t>situation in Darfur.</w:t>
      </w:r>
    </w:p>
    <w:p>
      <w:pPr>
        <w:pStyle w:val="ListParagraph"/>
        <w:numPr>
          <w:ilvl w:val="0"/>
          <w:numId w:val="4"/>
        </w:numPr>
        <w:tabs>
          <w:tab w:pos="2967" w:val="left" w:leader="none"/>
        </w:tabs>
        <w:spacing w:line="240" w:lineRule="auto" w:before="119" w:after="0"/>
        <w:ind w:left="2246" w:right="2242" w:firstLine="0"/>
        <w:jc w:val="both"/>
        <w:rPr>
          <w:sz w:val="20"/>
        </w:rPr>
      </w:pPr>
      <w:r>
        <w:rPr>
          <w:sz w:val="20"/>
        </w:rPr>
        <w:t>One</w:t>
      </w:r>
      <w:r>
        <w:rPr>
          <w:spacing w:val="-13"/>
          <w:sz w:val="20"/>
        </w:rPr>
        <w:t> </w:t>
      </w:r>
      <w:r>
        <w:rPr>
          <w:i/>
          <w:sz w:val="20"/>
        </w:rPr>
        <w:t>Associate</w:t>
      </w:r>
      <w:r>
        <w:rPr>
          <w:i/>
          <w:spacing w:val="-12"/>
          <w:sz w:val="20"/>
        </w:rPr>
        <w:t> </w:t>
      </w:r>
      <w:r>
        <w:rPr>
          <w:i/>
          <w:sz w:val="20"/>
        </w:rPr>
        <w:t>Team</w:t>
      </w:r>
      <w:r>
        <w:rPr>
          <w:i/>
          <w:spacing w:val="-13"/>
          <w:sz w:val="20"/>
        </w:rPr>
        <w:t> </w:t>
      </w:r>
      <w:r>
        <w:rPr>
          <w:i/>
          <w:sz w:val="20"/>
        </w:rPr>
        <w:t>Leader</w:t>
      </w:r>
      <w:r>
        <w:rPr>
          <w:i/>
          <w:spacing w:val="-12"/>
          <w:sz w:val="20"/>
        </w:rPr>
        <w:t> </w:t>
      </w:r>
      <w:r>
        <w:rPr>
          <w:i/>
          <w:sz w:val="20"/>
        </w:rPr>
        <w:t>(P-2)</w:t>
      </w:r>
      <w:r>
        <w:rPr>
          <w:i/>
          <w:spacing w:val="-11"/>
          <w:sz w:val="20"/>
        </w:rPr>
        <w:t> </w:t>
      </w:r>
      <w:r>
        <w:rPr>
          <w:i/>
          <w:sz w:val="20"/>
        </w:rPr>
        <w:t>(Georgia),</w:t>
      </w:r>
      <w:r>
        <w:rPr>
          <w:i/>
          <w:spacing w:val="-9"/>
          <w:sz w:val="20"/>
        </w:rPr>
        <w:t> </w:t>
      </w:r>
      <w:r>
        <w:rPr>
          <w:i/>
          <w:sz w:val="20"/>
        </w:rPr>
        <w:t>12</w:t>
      </w:r>
      <w:r>
        <w:rPr>
          <w:i/>
          <w:spacing w:val="-11"/>
          <w:sz w:val="20"/>
        </w:rPr>
        <w:t> </w:t>
      </w:r>
      <w:r>
        <w:rPr>
          <w:i/>
          <w:sz w:val="20"/>
        </w:rPr>
        <w:t>months.</w:t>
      </w:r>
      <w:r>
        <w:rPr>
          <w:i/>
          <w:spacing w:val="-13"/>
          <w:sz w:val="20"/>
        </w:rPr>
        <w:t> </w:t>
      </w:r>
      <w:r>
        <w:rPr>
          <w:i/>
          <w:sz w:val="20"/>
        </w:rPr>
        <w:t>Continued</w:t>
      </w:r>
      <w:r>
        <w:rPr>
          <w:i/>
          <w:spacing w:val="-10"/>
          <w:sz w:val="20"/>
        </w:rPr>
        <w:t> </w:t>
      </w:r>
      <w:r>
        <w:rPr>
          <w:i/>
          <w:sz w:val="20"/>
        </w:rPr>
        <w:t>and</w:t>
      </w:r>
      <w:r>
        <w:rPr>
          <w:i/>
          <w:spacing w:val="-11"/>
          <w:sz w:val="20"/>
        </w:rPr>
        <w:t> </w:t>
      </w:r>
      <w:r>
        <w:rPr>
          <w:i/>
          <w:sz w:val="20"/>
        </w:rPr>
        <w:t>redeployed</w:t>
      </w:r>
      <w:r>
        <w:rPr>
          <w:i/>
          <w:sz w:val="20"/>
        </w:rPr>
        <w:t> to Ukraine.</w:t>
      </w:r>
      <w:r>
        <w:rPr>
          <w:i/>
          <w:spacing w:val="-2"/>
          <w:sz w:val="20"/>
        </w:rPr>
        <w:t> </w:t>
      </w:r>
      <w:r>
        <w:rPr>
          <w:i/>
          <w:sz w:val="20"/>
        </w:rPr>
        <w:t>Multi-year.</w:t>
      </w:r>
      <w:r>
        <w:rPr>
          <w:i/>
          <w:spacing w:val="-1"/>
          <w:sz w:val="20"/>
        </w:rPr>
        <w:t> </w:t>
      </w:r>
      <w:r>
        <w:rPr>
          <w:sz w:val="20"/>
        </w:rPr>
        <w:t>This</w:t>
      </w:r>
      <w:r>
        <w:rPr>
          <w:spacing w:val="-1"/>
          <w:sz w:val="20"/>
        </w:rPr>
        <w:t> </w:t>
      </w:r>
      <w:r>
        <w:rPr>
          <w:sz w:val="20"/>
        </w:rPr>
        <w:t>position will</w:t>
      </w:r>
      <w:r>
        <w:rPr>
          <w:spacing w:val="-3"/>
          <w:sz w:val="20"/>
        </w:rPr>
        <w:t> </w:t>
      </w:r>
      <w:r>
        <w:rPr>
          <w:sz w:val="20"/>
        </w:rPr>
        <w:t>be</w:t>
      </w:r>
      <w:r>
        <w:rPr>
          <w:spacing w:val="-3"/>
          <w:sz w:val="20"/>
        </w:rPr>
        <w:t> </w:t>
      </w:r>
      <w:r>
        <w:rPr>
          <w:sz w:val="20"/>
        </w:rPr>
        <w:t>redeployed</w:t>
      </w:r>
      <w:r>
        <w:rPr>
          <w:spacing w:val="-5"/>
          <w:sz w:val="20"/>
        </w:rPr>
        <w:t> </w:t>
      </w:r>
      <w:r>
        <w:rPr>
          <w:sz w:val="20"/>
        </w:rPr>
        <w:t>to Ukraine for 2023</w:t>
      </w:r>
      <w:r>
        <w:rPr>
          <w:spacing w:val="-5"/>
          <w:sz w:val="20"/>
        </w:rPr>
        <w:t> </w:t>
      </w:r>
      <w:r>
        <w:rPr>
          <w:sz w:val="20"/>
        </w:rPr>
        <w:t>to form</w:t>
      </w:r>
      <w:r>
        <w:rPr>
          <w:spacing w:val="-3"/>
          <w:sz w:val="20"/>
        </w:rPr>
        <w:t> </w:t>
      </w:r>
      <w:r>
        <w:rPr>
          <w:sz w:val="20"/>
        </w:rPr>
        <w:t>part</w:t>
      </w:r>
      <w:r>
        <w:rPr>
          <w:spacing w:val="-3"/>
          <w:sz w:val="20"/>
        </w:rPr>
        <w:t> </w:t>
      </w:r>
      <w:r>
        <w:rPr>
          <w:sz w:val="20"/>
        </w:rPr>
        <w:t>of the basic set-up required for that situation. This position will lead the VWS field team in Ukraine</w:t>
      </w:r>
      <w:r>
        <w:rPr>
          <w:spacing w:val="22"/>
          <w:sz w:val="20"/>
        </w:rPr>
        <w:t> </w:t>
      </w:r>
      <w:r>
        <w:rPr>
          <w:sz w:val="20"/>
        </w:rPr>
        <w:t>and</w:t>
      </w:r>
      <w:r>
        <w:rPr>
          <w:spacing w:val="25"/>
          <w:sz w:val="20"/>
        </w:rPr>
        <w:t> </w:t>
      </w:r>
      <w:r>
        <w:rPr>
          <w:sz w:val="20"/>
        </w:rPr>
        <w:t>provide</w:t>
      </w:r>
      <w:r>
        <w:rPr>
          <w:spacing w:val="22"/>
          <w:sz w:val="20"/>
        </w:rPr>
        <w:t> </w:t>
      </w:r>
      <w:r>
        <w:rPr>
          <w:sz w:val="20"/>
        </w:rPr>
        <w:t>assistance</w:t>
      </w:r>
      <w:r>
        <w:rPr>
          <w:spacing w:val="27"/>
          <w:sz w:val="20"/>
        </w:rPr>
        <w:t> </w:t>
      </w:r>
      <w:r>
        <w:rPr>
          <w:sz w:val="20"/>
        </w:rPr>
        <w:t>to</w:t>
      </w:r>
      <w:r>
        <w:rPr>
          <w:spacing w:val="20"/>
          <w:sz w:val="20"/>
        </w:rPr>
        <w:t> </w:t>
      </w:r>
      <w:r>
        <w:rPr>
          <w:sz w:val="20"/>
        </w:rPr>
        <w:t>the</w:t>
      </w:r>
      <w:r>
        <w:rPr>
          <w:spacing w:val="27"/>
          <w:sz w:val="20"/>
        </w:rPr>
        <w:t> </w:t>
      </w:r>
      <w:r>
        <w:rPr>
          <w:sz w:val="20"/>
        </w:rPr>
        <w:t>relevant</w:t>
      </w:r>
      <w:r>
        <w:rPr>
          <w:spacing w:val="22"/>
          <w:sz w:val="20"/>
        </w:rPr>
        <w:t> </w:t>
      </w:r>
      <w:r>
        <w:rPr>
          <w:sz w:val="20"/>
        </w:rPr>
        <w:t>Team</w:t>
      </w:r>
      <w:r>
        <w:rPr>
          <w:spacing w:val="22"/>
          <w:sz w:val="20"/>
        </w:rPr>
        <w:t> </w:t>
      </w:r>
      <w:r>
        <w:rPr>
          <w:sz w:val="20"/>
        </w:rPr>
        <w:t>Leader</w:t>
      </w:r>
      <w:r>
        <w:rPr>
          <w:spacing w:val="25"/>
          <w:sz w:val="20"/>
        </w:rPr>
        <w:t> </w:t>
      </w:r>
      <w:r>
        <w:rPr>
          <w:sz w:val="20"/>
        </w:rPr>
        <w:t>or</w:t>
      </w:r>
      <w:r>
        <w:rPr>
          <w:spacing w:val="25"/>
          <w:sz w:val="20"/>
        </w:rPr>
        <w:t> </w:t>
      </w:r>
      <w:r>
        <w:rPr>
          <w:sz w:val="20"/>
        </w:rPr>
        <w:t>VWS</w:t>
      </w:r>
      <w:r>
        <w:rPr>
          <w:spacing w:val="24"/>
          <w:sz w:val="20"/>
        </w:rPr>
        <w:t> </w:t>
      </w:r>
      <w:r>
        <w:rPr>
          <w:sz w:val="20"/>
        </w:rPr>
        <w:t>Senior</w:t>
      </w:r>
      <w:r>
        <w:rPr>
          <w:spacing w:val="20"/>
          <w:sz w:val="20"/>
        </w:rPr>
        <w:t> </w:t>
      </w:r>
      <w:r>
        <w:rPr>
          <w:sz w:val="20"/>
        </w:rPr>
        <w:t>Manager</w:t>
      </w:r>
      <w:r>
        <w:rPr>
          <w:spacing w:val="20"/>
          <w:sz w:val="20"/>
        </w:rPr>
        <w:t> </w:t>
      </w:r>
      <w:r>
        <w:rPr>
          <w:sz w:val="20"/>
        </w:rPr>
        <w:t>at</w:t>
      </w:r>
    </w:p>
    <w:p>
      <w:pPr>
        <w:spacing w:after="0" w:line="240" w:lineRule="auto"/>
        <w:jc w:val="both"/>
        <w:rPr>
          <w:sz w:val="20"/>
        </w:rPr>
        <w:sectPr>
          <w:pgSz w:w="11910" w:h="16840"/>
          <w:pgMar w:header="953" w:footer="940" w:top="1140" w:bottom="1140" w:left="20" w:right="20"/>
        </w:sectPr>
      </w:pPr>
    </w:p>
    <w:p>
      <w:pPr>
        <w:pStyle w:val="BodyText"/>
        <w:spacing w:before="120"/>
        <w:ind w:left="2246" w:right="2240"/>
        <w:jc w:val="both"/>
      </w:pPr>
      <w:r>
        <w:rPr/>
        <w:t>Headquarters responsible for that situation. The incumbent will initiate the necessary activities to implement field operations, including liaison functions with recognized bodies necessary</w:t>
      </w:r>
      <w:r>
        <w:rPr>
          <w:spacing w:val="-8"/>
        </w:rPr>
        <w:t> </w:t>
      </w:r>
      <w:r>
        <w:rPr/>
        <w:t>to</w:t>
      </w:r>
      <w:r>
        <w:rPr>
          <w:spacing w:val="-4"/>
        </w:rPr>
        <w:t> </w:t>
      </w:r>
      <w:r>
        <w:rPr/>
        <w:t>facilitate</w:t>
      </w:r>
      <w:r>
        <w:rPr>
          <w:spacing w:val="-2"/>
        </w:rPr>
        <w:t> </w:t>
      </w:r>
      <w:r>
        <w:rPr/>
        <w:t>the</w:t>
      </w:r>
      <w:r>
        <w:rPr>
          <w:spacing w:val="-2"/>
        </w:rPr>
        <w:t> </w:t>
      </w:r>
      <w:r>
        <w:rPr/>
        <w:t>work</w:t>
      </w:r>
      <w:r>
        <w:rPr>
          <w:spacing w:val="-4"/>
        </w:rPr>
        <w:t> </w:t>
      </w:r>
      <w:r>
        <w:rPr/>
        <w:t>of</w:t>
      </w:r>
      <w:r>
        <w:rPr>
          <w:spacing w:val="-4"/>
        </w:rPr>
        <w:t> </w:t>
      </w:r>
      <w:r>
        <w:rPr/>
        <w:t>VWS,</w:t>
      </w:r>
      <w:r>
        <w:rPr>
          <w:spacing w:val="-1"/>
        </w:rPr>
        <w:t> </w:t>
      </w:r>
      <w:r>
        <w:rPr/>
        <w:t>set</w:t>
      </w:r>
      <w:r>
        <w:rPr>
          <w:spacing w:val="-2"/>
        </w:rPr>
        <w:t> </w:t>
      </w:r>
      <w:r>
        <w:rPr/>
        <w:t>up</w:t>
      </w:r>
      <w:r>
        <w:rPr>
          <w:spacing w:val="-4"/>
        </w:rPr>
        <w:t> </w:t>
      </w:r>
      <w:r>
        <w:rPr/>
        <w:t>IRS</w:t>
      </w:r>
      <w:r>
        <w:rPr>
          <w:spacing w:val="-10"/>
        </w:rPr>
        <w:t> </w:t>
      </w:r>
      <w:r>
        <w:rPr/>
        <w:t>and</w:t>
      </w:r>
      <w:r>
        <w:rPr>
          <w:spacing w:val="-4"/>
        </w:rPr>
        <w:t> </w:t>
      </w:r>
      <w:r>
        <w:rPr/>
        <w:t>follow up</w:t>
      </w:r>
      <w:r>
        <w:rPr>
          <w:spacing w:val="-4"/>
        </w:rPr>
        <w:t> </w:t>
      </w:r>
      <w:r>
        <w:rPr/>
        <w:t>on</w:t>
      </w:r>
      <w:r>
        <w:rPr>
          <w:spacing w:val="-4"/>
        </w:rPr>
        <w:t> </w:t>
      </w:r>
      <w:r>
        <w:rPr/>
        <w:t>referrals</w:t>
      </w:r>
      <w:r>
        <w:rPr>
          <w:spacing w:val="-5"/>
        </w:rPr>
        <w:t> </w:t>
      </w:r>
      <w:r>
        <w:rPr/>
        <w:t>for</w:t>
      </w:r>
      <w:r>
        <w:rPr>
          <w:spacing w:val="-8"/>
        </w:rPr>
        <w:t> </w:t>
      </w:r>
      <w:r>
        <w:rPr/>
        <w:t>protection and/or</w:t>
      </w:r>
      <w:r>
        <w:rPr>
          <w:spacing w:val="-4"/>
        </w:rPr>
        <w:t> </w:t>
      </w:r>
      <w:r>
        <w:rPr/>
        <w:t>support</w:t>
      </w:r>
      <w:r>
        <w:rPr>
          <w:spacing w:val="-7"/>
        </w:rPr>
        <w:t> </w:t>
      </w:r>
      <w:r>
        <w:rPr/>
        <w:t>made</w:t>
      </w:r>
      <w:r>
        <w:rPr>
          <w:spacing w:val="-7"/>
        </w:rPr>
        <w:t> </w:t>
      </w:r>
      <w:r>
        <w:rPr/>
        <w:t>by</w:t>
      </w:r>
      <w:r>
        <w:rPr>
          <w:spacing w:val="-13"/>
        </w:rPr>
        <w:t> </w:t>
      </w:r>
      <w:r>
        <w:rPr/>
        <w:t>the</w:t>
      </w:r>
      <w:r>
        <w:rPr>
          <w:spacing w:val="-6"/>
        </w:rPr>
        <w:t> </w:t>
      </w:r>
      <w:r>
        <w:rPr/>
        <w:t>OTP.</w:t>
      </w:r>
      <w:r>
        <w:rPr>
          <w:spacing w:val="-11"/>
        </w:rPr>
        <w:t> </w:t>
      </w:r>
      <w:r>
        <w:rPr/>
        <w:t>The</w:t>
      </w:r>
      <w:r>
        <w:rPr>
          <w:spacing w:val="-11"/>
        </w:rPr>
        <w:t> </w:t>
      </w:r>
      <w:r>
        <w:rPr/>
        <w:t>incumbent</w:t>
      </w:r>
      <w:r>
        <w:rPr>
          <w:spacing w:val="-7"/>
        </w:rPr>
        <w:t> </w:t>
      </w:r>
      <w:r>
        <w:rPr/>
        <w:t>will</w:t>
      </w:r>
      <w:r>
        <w:rPr>
          <w:spacing w:val="-7"/>
        </w:rPr>
        <w:t> </w:t>
      </w:r>
      <w:r>
        <w:rPr/>
        <w:t>conduct</w:t>
      </w:r>
      <w:r>
        <w:rPr>
          <w:spacing w:val="-7"/>
        </w:rPr>
        <w:t> </w:t>
      </w:r>
      <w:r>
        <w:rPr/>
        <w:t>threat</w:t>
      </w:r>
      <w:r>
        <w:rPr>
          <w:spacing w:val="-12"/>
        </w:rPr>
        <w:t> </w:t>
      </w:r>
      <w:r>
        <w:rPr/>
        <w:t>and</w:t>
      </w:r>
      <w:r>
        <w:rPr>
          <w:spacing w:val="-8"/>
        </w:rPr>
        <w:t> </w:t>
      </w:r>
      <w:r>
        <w:rPr/>
        <w:t>risk</w:t>
      </w:r>
      <w:r>
        <w:rPr>
          <w:spacing w:val="-13"/>
        </w:rPr>
        <w:t> </w:t>
      </w:r>
      <w:r>
        <w:rPr/>
        <w:t>assessments</w:t>
      </w:r>
      <w:r>
        <w:rPr>
          <w:spacing w:val="-9"/>
        </w:rPr>
        <w:t> </w:t>
      </w:r>
      <w:r>
        <w:rPr/>
        <w:t>for inclusion</w:t>
      </w:r>
      <w:r>
        <w:rPr>
          <w:spacing w:val="-4"/>
        </w:rPr>
        <w:t> </w:t>
      </w:r>
      <w:r>
        <w:rPr/>
        <w:t>in</w:t>
      </w:r>
      <w:r>
        <w:rPr>
          <w:spacing w:val="-4"/>
        </w:rPr>
        <w:t> </w:t>
      </w:r>
      <w:r>
        <w:rPr/>
        <w:t>the</w:t>
      </w:r>
      <w:r>
        <w:rPr>
          <w:spacing w:val="-2"/>
        </w:rPr>
        <w:t> </w:t>
      </w:r>
      <w:r>
        <w:rPr/>
        <w:t>ICCPP,</w:t>
      </w:r>
      <w:r>
        <w:rPr>
          <w:spacing w:val="-1"/>
        </w:rPr>
        <w:t> </w:t>
      </w:r>
      <w:r>
        <w:rPr/>
        <w:t>provide</w:t>
      </w:r>
      <w:r>
        <w:rPr>
          <w:spacing w:val="-2"/>
        </w:rPr>
        <w:t> </w:t>
      </w:r>
      <w:r>
        <w:rPr/>
        <w:t>recommendations</w:t>
      </w:r>
      <w:r>
        <w:rPr>
          <w:spacing w:val="-5"/>
        </w:rPr>
        <w:t> </w:t>
      </w:r>
      <w:r>
        <w:rPr/>
        <w:t>on</w:t>
      </w:r>
      <w:r>
        <w:rPr>
          <w:spacing w:val="-4"/>
        </w:rPr>
        <w:t> </w:t>
      </w:r>
      <w:r>
        <w:rPr/>
        <w:t>witness protection</w:t>
      </w:r>
      <w:r>
        <w:rPr>
          <w:spacing w:val="-4"/>
        </w:rPr>
        <w:t> </w:t>
      </w:r>
      <w:r>
        <w:rPr/>
        <w:t>measures</w:t>
      </w:r>
      <w:r>
        <w:rPr>
          <w:spacing w:val="-5"/>
        </w:rPr>
        <w:t> </w:t>
      </w:r>
      <w:r>
        <w:rPr/>
        <w:t>and</w:t>
      </w:r>
      <w:r>
        <w:rPr>
          <w:spacing w:val="-4"/>
        </w:rPr>
        <w:t> </w:t>
      </w:r>
      <w:r>
        <w:rPr/>
        <w:t>other operational</w:t>
      </w:r>
      <w:r>
        <w:rPr>
          <w:spacing w:val="-2"/>
        </w:rPr>
        <w:t> </w:t>
      </w:r>
      <w:r>
        <w:rPr/>
        <w:t>mechanisms</w:t>
      </w:r>
      <w:r>
        <w:rPr>
          <w:spacing w:val="-5"/>
        </w:rPr>
        <w:t> </w:t>
      </w:r>
      <w:r>
        <w:rPr/>
        <w:t>necessary</w:t>
      </w:r>
      <w:r>
        <w:rPr>
          <w:spacing w:val="-4"/>
        </w:rPr>
        <w:t> </w:t>
      </w:r>
      <w:r>
        <w:rPr/>
        <w:t>to support</w:t>
      </w:r>
      <w:r>
        <w:rPr>
          <w:spacing w:val="-2"/>
        </w:rPr>
        <w:t> </w:t>
      </w:r>
      <w:r>
        <w:rPr/>
        <w:t>the OTP’s</w:t>
      </w:r>
      <w:r>
        <w:rPr>
          <w:spacing w:val="-5"/>
        </w:rPr>
        <w:t> </w:t>
      </w:r>
      <w:r>
        <w:rPr/>
        <w:t>activities</w:t>
      </w:r>
      <w:r>
        <w:rPr>
          <w:spacing w:val="-5"/>
        </w:rPr>
        <w:t> </w:t>
      </w:r>
      <w:r>
        <w:rPr/>
        <w:t>and</w:t>
      </w:r>
      <w:r>
        <w:rPr>
          <w:spacing w:val="-4"/>
        </w:rPr>
        <w:t> </w:t>
      </w:r>
      <w:r>
        <w:rPr/>
        <w:t>subsequently</w:t>
      </w:r>
      <w:r>
        <w:rPr>
          <w:spacing w:val="-4"/>
        </w:rPr>
        <w:t> </w:t>
      </w:r>
      <w:r>
        <w:rPr/>
        <w:t>manage the witnesses referred to the care of VWS. The incumbent will oversee the general conduct of VWS operations in Ukraine and, together with the Associate Field Case Officer for Ukraine, implement systems and mechanisms required to conduct case management and operational measures relevant to the protected witnesses and victims.</w:t>
      </w:r>
    </w:p>
    <w:p>
      <w:pPr>
        <w:pStyle w:val="ListParagraph"/>
        <w:numPr>
          <w:ilvl w:val="0"/>
          <w:numId w:val="4"/>
        </w:numPr>
        <w:tabs>
          <w:tab w:pos="2967" w:val="left" w:leader="none"/>
        </w:tabs>
        <w:spacing w:line="240" w:lineRule="auto" w:before="120" w:after="0"/>
        <w:ind w:left="2246" w:right="2238" w:firstLine="0"/>
        <w:jc w:val="both"/>
        <w:rPr>
          <w:sz w:val="20"/>
        </w:rPr>
      </w:pPr>
      <w:bookmarkStart w:name="_bookmark47" w:id="48"/>
      <w:bookmarkEnd w:id="48"/>
      <w:r>
        <w:rPr>
          <w:sz w:val="20"/>
        </w:rPr>
        <w:t>O</w:t>
      </w:r>
      <w:r>
        <w:rPr>
          <w:sz w:val="20"/>
        </w:rPr>
        <w:t>ne </w:t>
      </w:r>
      <w:r>
        <w:rPr>
          <w:i/>
          <w:sz w:val="20"/>
        </w:rPr>
        <w:t>Administrative Assistant (GS-OL) (Georgia), 12 months. Continued and</w:t>
      </w:r>
      <w:r>
        <w:rPr>
          <w:i/>
          <w:sz w:val="20"/>
        </w:rPr>
        <w:t> redeployed to the CAR. Multi-year. </w:t>
      </w:r>
      <w:r>
        <w:rPr>
          <w:sz w:val="20"/>
        </w:rPr>
        <w:t>Owing to the downsizing of the Country Office (Georgia), the Registry requests the redeployment of this position to the Country Office (CAR) to support increasing needs in the CAR. This position will primarily deliver the required additional capacity to facilitate a resilient continuity of service for the appearance of witnesses</w:t>
      </w:r>
      <w:r>
        <w:rPr>
          <w:spacing w:val="-6"/>
          <w:sz w:val="20"/>
        </w:rPr>
        <w:t> </w:t>
      </w:r>
      <w:r>
        <w:rPr>
          <w:sz w:val="20"/>
        </w:rPr>
        <w:t>in</w:t>
      </w:r>
      <w:r>
        <w:rPr>
          <w:spacing w:val="-5"/>
          <w:sz w:val="20"/>
        </w:rPr>
        <w:t> </w:t>
      </w:r>
      <w:r>
        <w:rPr>
          <w:sz w:val="20"/>
        </w:rPr>
        <w:t>the</w:t>
      </w:r>
      <w:r>
        <w:rPr>
          <w:spacing w:val="-1"/>
          <w:sz w:val="20"/>
        </w:rPr>
        <w:t> </w:t>
      </w:r>
      <w:r>
        <w:rPr>
          <w:i/>
          <w:sz w:val="20"/>
        </w:rPr>
        <w:t>Yekatom</w:t>
      </w:r>
      <w:r>
        <w:rPr>
          <w:i/>
          <w:spacing w:val="-6"/>
          <w:sz w:val="20"/>
        </w:rPr>
        <w:t> </w:t>
      </w:r>
      <w:r>
        <w:rPr>
          <w:i/>
          <w:sz w:val="20"/>
        </w:rPr>
        <w:t>and</w:t>
      </w:r>
      <w:r>
        <w:rPr>
          <w:i/>
          <w:spacing w:val="-4"/>
          <w:sz w:val="20"/>
        </w:rPr>
        <w:t> </w:t>
      </w:r>
      <w:r>
        <w:rPr>
          <w:i/>
          <w:sz w:val="20"/>
        </w:rPr>
        <w:t>Ngaïssona</w:t>
      </w:r>
      <w:r>
        <w:rPr>
          <w:i/>
          <w:spacing w:val="-4"/>
          <w:sz w:val="20"/>
        </w:rPr>
        <w:t> </w:t>
      </w:r>
      <w:r>
        <w:rPr>
          <w:sz w:val="20"/>
        </w:rPr>
        <w:t>case</w:t>
      </w:r>
      <w:r>
        <w:rPr>
          <w:spacing w:val="-8"/>
          <w:sz w:val="20"/>
        </w:rPr>
        <w:t> </w:t>
      </w:r>
      <w:r>
        <w:rPr>
          <w:sz w:val="20"/>
        </w:rPr>
        <w:t>and</w:t>
      </w:r>
      <w:r>
        <w:rPr>
          <w:spacing w:val="-5"/>
          <w:sz w:val="20"/>
        </w:rPr>
        <w:t> </w:t>
      </w:r>
      <w:r>
        <w:rPr>
          <w:sz w:val="20"/>
        </w:rPr>
        <w:t>the</w:t>
      </w:r>
      <w:r>
        <w:rPr>
          <w:spacing w:val="-1"/>
          <w:sz w:val="20"/>
        </w:rPr>
        <w:t> </w:t>
      </w:r>
      <w:r>
        <w:rPr>
          <w:i/>
          <w:sz w:val="20"/>
        </w:rPr>
        <w:t>Said</w:t>
      </w:r>
      <w:r>
        <w:rPr>
          <w:i/>
          <w:spacing w:val="-4"/>
          <w:sz w:val="20"/>
        </w:rPr>
        <w:t> </w:t>
      </w:r>
      <w:r>
        <w:rPr>
          <w:sz w:val="20"/>
        </w:rPr>
        <w:t>case</w:t>
      </w:r>
      <w:r>
        <w:rPr>
          <w:spacing w:val="-3"/>
          <w:sz w:val="20"/>
        </w:rPr>
        <w:t> </w:t>
      </w:r>
      <w:r>
        <w:rPr>
          <w:sz w:val="20"/>
        </w:rPr>
        <w:t>via</w:t>
      </w:r>
      <w:r>
        <w:rPr>
          <w:spacing w:val="-3"/>
          <w:sz w:val="20"/>
        </w:rPr>
        <w:t> </w:t>
      </w:r>
      <w:r>
        <w:rPr>
          <w:sz w:val="20"/>
        </w:rPr>
        <w:t>videoconferencing.</w:t>
      </w:r>
      <w:r>
        <w:rPr>
          <w:spacing w:val="-2"/>
          <w:sz w:val="20"/>
        </w:rPr>
        <w:t> </w:t>
      </w:r>
      <w:r>
        <w:rPr>
          <w:sz w:val="20"/>
        </w:rPr>
        <w:t>In order</w:t>
      </w:r>
      <w:r>
        <w:rPr>
          <w:spacing w:val="-13"/>
          <w:sz w:val="20"/>
        </w:rPr>
        <w:t> </w:t>
      </w:r>
      <w:r>
        <w:rPr>
          <w:sz w:val="20"/>
        </w:rPr>
        <w:t>to</w:t>
      </w:r>
      <w:r>
        <w:rPr>
          <w:spacing w:val="-8"/>
          <w:sz w:val="20"/>
        </w:rPr>
        <w:t> </w:t>
      </w:r>
      <w:r>
        <w:rPr>
          <w:sz w:val="20"/>
        </w:rPr>
        <w:t>support</w:t>
      </w:r>
      <w:r>
        <w:rPr>
          <w:spacing w:val="-12"/>
          <w:sz w:val="20"/>
        </w:rPr>
        <w:t> </w:t>
      </w:r>
      <w:r>
        <w:rPr>
          <w:sz w:val="20"/>
        </w:rPr>
        <w:t>the</w:t>
      </w:r>
      <w:r>
        <w:rPr>
          <w:spacing w:val="-11"/>
          <w:sz w:val="20"/>
        </w:rPr>
        <w:t> </w:t>
      </w:r>
      <w:r>
        <w:rPr>
          <w:sz w:val="20"/>
        </w:rPr>
        <w:t>simultaneous</w:t>
      </w:r>
      <w:r>
        <w:rPr>
          <w:spacing w:val="-10"/>
          <w:sz w:val="20"/>
        </w:rPr>
        <w:t> </w:t>
      </w:r>
      <w:r>
        <w:rPr>
          <w:sz w:val="20"/>
        </w:rPr>
        <w:t>trials</w:t>
      </w:r>
      <w:r>
        <w:rPr>
          <w:spacing w:val="-10"/>
          <w:sz w:val="20"/>
        </w:rPr>
        <w:t> </w:t>
      </w:r>
      <w:r>
        <w:rPr>
          <w:sz w:val="20"/>
        </w:rPr>
        <w:t>in</w:t>
      </w:r>
      <w:r>
        <w:rPr>
          <w:spacing w:val="-8"/>
          <w:sz w:val="20"/>
        </w:rPr>
        <w:t> </w:t>
      </w:r>
      <w:r>
        <w:rPr>
          <w:sz w:val="20"/>
        </w:rPr>
        <w:t>the</w:t>
      </w:r>
      <w:r>
        <w:rPr>
          <w:spacing w:val="-2"/>
          <w:sz w:val="20"/>
        </w:rPr>
        <w:t> </w:t>
      </w:r>
      <w:r>
        <w:rPr>
          <w:i/>
          <w:sz w:val="20"/>
        </w:rPr>
        <w:t>Yekatom</w:t>
      </w:r>
      <w:r>
        <w:rPr>
          <w:i/>
          <w:spacing w:val="-10"/>
          <w:sz w:val="20"/>
        </w:rPr>
        <w:t> </w:t>
      </w:r>
      <w:r>
        <w:rPr>
          <w:i/>
          <w:sz w:val="20"/>
        </w:rPr>
        <w:t>and</w:t>
      </w:r>
      <w:r>
        <w:rPr>
          <w:i/>
          <w:spacing w:val="-13"/>
          <w:sz w:val="20"/>
        </w:rPr>
        <w:t> </w:t>
      </w:r>
      <w:r>
        <w:rPr>
          <w:i/>
          <w:sz w:val="20"/>
        </w:rPr>
        <w:t>Ngaïssona</w:t>
      </w:r>
      <w:r>
        <w:rPr>
          <w:i/>
          <w:spacing w:val="-10"/>
          <w:sz w:val="20"/>
        </w:rPr>
        <w:t> </w:t>
      </w:r>
      <w:r>
        <w:rPr>
          <w:sz w:val="20"/>
        </w:rPr>
        <w:t>case</w:t>
      </w:r>
      <w:r>
        <w:rPr>
          <w:spacing w:val="-11"/>
          <w:sz w:val="20"/>
        </w:rPr>
        <w:t> </w:t>
      </w:r>
      <w:r>
        <w:rPr>
          <w:sz w:val="20"/>
        </w:rPr>
        <w:t>and</w:t>
      </w:r>
      <w:r>
        <w:rPr>
          <w:spacing w:val="-13"/>
          <w:sz w:val="20"/>
        </w:rPr>
        <w:t> </w:t>
      </w:r>
      <w:r>
        <w:rPr>
          <w:sz w:val="20"/>
        </w:rPr>
        <w:t>the</w:t>
      </w:r>
      <w:r>
        <w:rPr>
          <w:spacing w:val="-5"/>
          <w:sz w:val="20"/>
        </w:rPr>
        <w:t> </w:t>
      </w:r>
      <w:r>
        <w:rPr>
          <w:i/>
          <w:sz w:val="20"/>
        </w:rPr>
        <w:t>Said</w:t>
      </w:r>
      <w:r>
        <w:rPr>
          <w:i/>
          <w:spacing w:val="-12"/>
          <w:sz w:val="20"/>
        </w:rPr>
        <w:t> </w:t>
      </w:r>
      <w:r>
        <w:rPr>
          <w:sz w:val="20"/>
        </w:rPr>
        <w:t>case, this</w:t>
      </w:r>
      <w:r>
        <w:rPr>
          <w:spacing w:val="-13"/>
          <w:sz w:val="20"/>
        </w:rPr>
        <w:t> </w:t>
      </w:r>
      <w:r>
        <w:rPr>
          <w:sz w:val="20"/>
        </w:rPr>
        <w:t>additional</w:t>
      </w:r>
      <w:r>
        <w:rPr>
          <w:spacing w:val="-12"/>
          <w:sz w:val="20"/>
        </w:rPr>
        <w:t> </w:t>
      </w:r>
      <w:r>
        <w:rPr>
          <w:sz w:val="20"/>
        </w:rPr>
        <w:t>position</w:t>
      </w:r>
      <w:r>
        <w:rPr>
          <w:spacing w:val="-13"/>
          <w:sz w:val="20"/>
        </w:rPr>
        <w:t> </w:t>
      </w:r>
      <w:r>
        <w:rPr>
          <w:sz w:val="20"/>
        </w:rPr>
        <w:t>of</w:t>
      </w:r>
      <w:r>
        <w:rPr>
          <w:spacing w:val="-12"/>
          <w:sz w:val="20"/>
        </w:rPr>
        <w:t> </w:t>
      </w:r>
      <w:r>
        <w:rPr>
          <w:sz w:val="20"/>
        </w:rPr>
        <w:t>redeployed</w:t>
      </w:r>
      <w:r>
        <w:rPr>
          <w:spacing w:val="-13"/>
          <w:sz w:val="20"/>
        </w:rPr>
        <w:t> </w:t>
      </w:r>
      <w:r>
        <w:rPr>
          <w:sz w:val="20"/>
        </w:rPr>
        <w:t>Administrative</w:t>
      </w:r>
      <w:r>
        <w:rPr>
          <w:spacing w:val="-12"/>
          <w:sz w:val="20"/>
        </w:rPr>
        <w:t> </w:t>
      </w:r>
      <w:r>
        <w:rPr>
          <w:sz w:val="20"/>
        </w:rPr>
        <w:t>Assistant</w:t>
      </w:r>
      <w:r>
        <w:rPr>
          <w:spacing w:val="-13"/>
          <w:sz w:val="20"/>
        </w:rPr>
        <w:t> </w:t>
      </w:r>
      <w:r>
        <w:rPr>
          <w:sz w:val="20"/>
        </w:rPr>
        <w:t>will</w:t>
      </w:r>
      <w:r>
        <w:rPr>
          <w:spacing w:val="-12"/>
          <w:sz w:val="20"/>
        </w:rPr>
        <w:t> </w:t>
      </w:r>
      <w:r>
        <w:rPr>
          <w:sz w:val="20"/>
        </w:rPr>
        <w:t>also</w:t>
      </w:r>
      <w:r>
        <w:rPr>
          <w:spacing w:val="-13"/>
          <w:sz w:val="20"/>
        </w:rPr>
        <w:t> </w:t>
      </w:r>
      <w:r>
        <w:rPr>
          <w:sz w:val="20"/>
        </w:rPr>
        <w:t>reinforce</w:t>
      </w:r>
      <w:r>
        <w:rPr>
          <w:spacing w:val="-12"/>
          <w:sz w:val="20"/>
        </w:rPr>
        <w:t> </w:t>
      </w:r>
      <w:r>
        <w:rPr>
          <w:sz w:val="20"/>
        </w:rPr>
        <w:t>the</w:t>
      </w:r>
      <w:r>
        <w:rPr>
          <w:spacing w:val="-12"/>
          <w:sz w:val="20"/>
        </w:rPr>
        <w:t> </w:t>
      </w:r>
      <w:r>
        <w:rPr>
          <w:sz w:val="20"/>
        </w:rPr>
        <w:t>country office’s</w:t>
      </w:r>
      <w:r>
        <w:rPr>
          <w:spacing w:val="-11"/>
          <w:sz w:val="20"/>
        </w:rPr>
        <w:t> </w:t>
      </w:r>
      <w:r>
        <w:rPr>
          <w:sz w:val="20"/>
        </w:rPr>
        <w:t>capacity</w:t>
      </w:r>
      <w:r>
        <w:rPr>
          <w:spacing w:val="-13"/>
          <w:sz w:val="20"/>
        </w:rPr>
        <w:t> </w:t>
      </w:r>
      <w:r>
        <w:rPr>
          <w:sz w:val="20"/>
        </w:rPr>
        <w:t>to</w:t>
      </w:r>
      <w:r>
        <w:rPr>
          <w:spacing w:val="-8"/>
          <w:sz w:val="20"/>
        </w:rPr>
        <w:t> </w:t>
      </w:r>
      <w:r>
        <w:rPr>
          <w:sz w:val="20"/>
        </w:rPr>
        <w:t>perform</w:t>
      </w:r>
      <w:r>
        <w:rPr>
          <w:spacing w:val="-7"/>
          <w:sz w:val="20"/>
        </w:rPr>
        <w:t> </w:t>
      </w:r>
      <w:r>
        <w:rPr>
          <w:sz w:val="20"/>
        </w:rPr>
        <w:t>the</w:t>
      </w:r>
      <w:r>
        <w:rPr>
          <w:spacing w:val="-7"/>
          <w:sz w:val="20"/>
        </w:rPr>
        <w:t> </w:t>
      </w:r>
      <w:r>
        <w:rPr>
          <w:sz w:val="20"/>
        </w:rPr>
        <w:t>Courtroom</w:t>
      </w:r>
      <w:r>
        <w:rPr>
          <w:spacing w:val="-7"/>
          <w:sz w:val="20"/>
        </w:rPr>
        <w:t> </w:t>
      </w:r>
      <w:r>
        <w:rPr>
          <w:sz w:val="20"/>
        </w:rPr>
        <w:t>Officer’s</w:t>
      </w:r>
      <w:r>
        <w:rPr>
          <w:spacing w:val="-10"/>
          <w:sz w:val="20"/>
        </w:rPr>
        <w:t> </w:t>
      </w:r>
      <w:r>
        <w:rPr>
          <w:sz w:val="20"/>
        </w:rPr>
        <w:t>duties</w:t>
      </w:r>
      <w:r>
        <w:rPr>
          <w:spacing w:val="-10"/>
          <w:sz w:val="20"/>
        </w:rPr>
        <w:t> </w:t>
      </w:r>
      <w:r>
        <w:rPr>
          <w:sz w:val="20"/>
        </w:rPr>
        <w:t>during</w:t>
      </w:r>
      <w:r>
        <w:rPr>
          <w:spacing w:val="-13"/>
          <w:sz w:val="20"/>
        </w:rPr>
        <w:t> </w:t>
      </w:r>
      <w:r>
        <w:rPr>
          <w:sz w:val="20"/>
        </w:rPr>
        <w:t>the</w:t>
      </w:r>
      <w:r>
        <w:rPr>
          <w:spacing w:val="-11"/>
          <w:sz w:val="20"/>
        </w:rPr>
        <w:t> </w:t>
      </w:r>
      <w:r>
        <w:rPr>
          <w:sz w:val="20"/>
        </w:rPr>
        <w:t>anticipated</w:t>
      </w:r>
      <w:r>
        <w:rPr>
          <w:spacing w:val="-8"/>
          <w:sz w:val="20"/>
        </w:rPr>
        <w:t> </w:t>
      </w:r>
      <w:r>
        <w:rPr>
          <w:sz w:val="20"/>
        </w:rPr>
        <w:t>concurrent witness appearances via videoconferencing from the Country Office (CAR). This position will</w:t>
      </w:r>
      <w:r>
        <w:rPr>
          <w:spacing w:val="-13"/>
          <w:sz w:val="20"/>
        </w:rPr>
        <w:t> </w:t>
      </w:r>
      <w:r>
        <w:rPr>
          <w:sz w:val="20"/>
        </w:rPr>
        <w:t>also</w:t>
      </w:r>
      <w:r>
        <w:rPr>
          <w:spacing w:val="-11"/>
          <w:sz w:val="20"/>
        </w:rPr>
        <w:t> </w:t>
      </w:r>
      <w:r>
        <w:rPr>
          <w:sz w:val="20"/>
        </w:rPr>
        <w:t>enhance</w:t>
      </w:r>
      <w:r>
        <w:rPr>
          <w:spacing w:val="-11"/>
          <w:sz w:val="20"/>
        </w:rPr>
        <w:t> </w:t>
      </w:r>
      <w:r>
        <w:rPr>
          <w:sz w:val="20"/>
        </w:rPr>
        <w:t>the</w:t>
      </w:r>
      <w:r>
        <w:rPr>
          <w:spacing w:val="-10"/>
          <w:sz w:val="20"/>
        </w:rPr>
        <w:t> </w:t>
      </w:r>
      <w:r>
        <w:rPr>
          <w:sz w:val="20"/>
        </w:rPr>
        <w:t>capacity</w:t>
      </w:r>
      <w:r>
        <w:rPr>
          <w:spacing w:val="-12"/>
          <w:sz w:val="20"/>
        </w:rPr>
        <w:t> </w:t>
      </w:r>
      <w:r>
        <w:rPr>
          <w:sz w:val="20"/>
        </w:rPr>
        <w:t>of</w:t>
      </w:r>
      <w:r>
        <w:rPr>
          <w:spacing w:val="-12"/>
          <w:sz w:val="20"/>
        </w:rPr>
        <w:t> </w:t>
      </w:r>
      <w:r>
        <w:rPr>
          <w:sz w:val="20"/>
        </w:rPr>
        <w:t>the</w:t>
      </w:r>
      <w:r>
        <w:rPr>
          <w:spacing w:val="-11"/>
          <w:sz w:val="20"/>
        </w:rPr>
        <w:t> </w:t>
      </w:r>
      <w:r>
        <w:rPr>
          <w:sz w:val="20"/>
        </w:rPr>
        <w:t>country</w:t>
      </w:r>
      <w:r>
        <w:rPr>
          <w:spacing w:val="-12"/>
          <w:sz w:val="20"/>
        </w:rPr>
        <w:t> </w:t>
      </w:r>
      <w:r>
        <w:rPr>
          <w:sz w:val="20"/>
        </w:rPr>
        <w:t>office’s</w:t>
      </w:r>
      <w:r>
        <w:rPr>
          <w:spacing w:val="-13"/>
          <w:sz w:val="20"/>
        </w:rPr>
        <w:t> </w:t>
      </w:r>
      <w:r>
        <w:rPr>
          <w:sz w:val="20"/>
        </w:rPr>
        <w:t>core</w:t>
      </w:r>
      <w:r>
        <w:rPr>
          <w:spacing w:val="-9"/>
          <w:sz w:val="20"/>
        </w:rPr>
        <w:t> </w:t>
      </w:r>
      <w:r>
        <w:rPr>
          <w:sz w:val="20"/>
        </w:rPr>
        <w:t>administration</w:t>
      </w:r>
      <w:r>
        <w:rPr>
          <w:spacing w:val="-12"/>
          <w:sz w:val="20"/>
        </w:rPr>
        <w:t> </w:t>
      </w:r>
      <w:r>
        <w:rPr>
          <w:sz w:val="20"/>
        </w:rPr>
        <w:t>and</w:t>
      </w:r>
      <w:r>
        <w:rPr>
          <w:spacing w:val="-12"/>
          <w:sz w:val="20"/>
        </w:rPr>
        <w:t> </w:t>
      </w:r>
      <w:r>
        <w:rPr>
          <w:sz w:val="20"/>
        </w:rPr>
        <w:t>operations</w:t>
      </w:r>
      <w:r>
        <w:rPr>
          <w:spacing w:val="-13"/>
          <w:sz w:val="20"/>
        </w:rPr>
        <w:t> </w:t>
      </w:r>
      <w:r>
        <w:rPr>
          <w:sz w:val="20"/>
        </w:rPr>
        <w:t>team (which has remained at the same level since the reopening of the country office in 2017) to provide the required operational support to the pre-trial activities pertaining to the </w:t>
      </w:r>
      <w:r>
        <w:rPr>
          <w:i/>
          <w:sz w:val="20"/>
        </w:rPr>
        <w:t>Mokom</w:t>
      </w:r>
      <w:r>
        <w:rPr>
          <w:i/>
          <w:sz w:val="20"/>
        </w:rPr>
        <w:t> </w:t>
      </w:r>
      <w:r>
        <w:rPr>
          <w:spacing w:val="-2"/>
          <w:sz w:val="20"/>
        </w:rPr>
        <w:t>case.</w:t>
      </w:r>
    </w:p>
    <w:p>
      <w:pPr>
        <w:pStyle w:val="BodyText"/>
        <w:spacing w:before="1"/>
        <w:rPr>
          <w:sz w:val="21"/>
        </w:rPr>
      </w:pPr>
    </w:p>
    <w:p>
      <w:pPr>
        <w:spacing w:before="0"/>
        <w:ind w:left="2246" w:right="0" w:firstLine="0"/>
        <w:jc w:val="both"/>
        <w:rPr>
          <w:i/>
          <w:sz w:val="20"/>
        </w:rPr>
      </w:pPr>
      <w:r>
        <w:rPr>
          <w:i/>
          <w:sz w:val="20"/>
        </w:rPr>
        <w:t>New</w:t>
      </w:r>
      <w:r>
        <w:rPr>
          <w:i/>
          <w:spacing w:val="-8"/>
          <w:sz w:val="20"/>
        </w:rPr>
        <w:t> </w:t>
      </w:r>
      <w:r>
        <w:rPr>
          <w:i/>
          <w:sz w:val="20"/>
        </w:rPr>
        <w:t>Posts</w:t>
      </w:r>
      <w:r>
        <w:rPr>
          <w:i/>
          <w:spacing w:val="-5"/>
          <w:sz w:val="20"/>
        </w:rPr>
        <w:t> </w:t>
      </w:r>
      <w:r>
        <w:rPr>
          <w:i/>
          <w:sz w:val="20"/>
        </w:rPr>
        <w:t>requested</w:t>
      </w:r>
      <w:r>
        <w:rPr>
          <w:i/>
          <w:spacing w:val="-5"/>
          <w:sz w:val="20"/>
        </w:rPr>
        <w:t> </w:t>
      </w:r>
      <w:r>
        <w:rPr>
          <w:i/>
          <w:sz w:val="20"/>
        </w:rPr>
        <w:t>for</w:t>
      </w:r>
      <w:r>
        <w:rPr>
          <w:i/>
          <w:spacing w:val="-5"/>
          <w:sz w:val="20"/>
        </w:rPr>
        <w:t> </w:t>
      </w:r>
      <w:r>
        <w:rPr>
          <w:i/>
          <w:spacing w:val="-4"/>
          <w:sz w:val="20"/>
        </w:rPr>
        <w:t>2023</w:t>
      </w:r>
    </w:p>
    <w:p>
      <w:pPr>
        <w:pStyle w:val="BodyText"/>
        <w:spacing w:before="10"/>
        <w:rPr>
          <w:i/>
        </w:rPr>
      </w:pPr>
    </w:p>
    <w:p>
      <w:pPr>
        <w:pStyle w:val="ListParagraph"/>
        <w:numPr>
          <w:ilvl w:val="0"/>
          <w:numId w:val="4"/>
        </w:numPr>
        <w:tabs>
          <w:tab w:pos="2967" w:val="left" w:leader="none"/>
        </w:tabs>
        <w:spacing w:line="240" w:lineRule="auto" w:before="0" w:after="0"/>
        <w:ind w:left="2246" w:right="2240" w:firstLine="0"/>
        <w:jc w:val="both"/>
        <w:rPr>
          <w:sz w:val="20"/>
        </w:rPr>
      </w:pPr>
      <w:r>
        <w:rPr>
          <w:sz w:val="20"/>
        </w:rPr>
        <w:t>One</w:t>
      </w:r>
      <w:r>
        <w:rPr>
          <w:spacing w:val="-13"/>
          <w:sz w:val="20"/>
        </w:rPr>
        <w:t> </w:t>
      </w:r>
      <w:r>
        <w:rPr>
          <w:i/>
          <w:sz w:val="20"/>
        </w:rPr>
        <w:t>Chief</w:t>
      </w:r>
      <w:r>
        <w:rPr>
          <w:i/>
          <w:spacing w:val="-12"/>
          <w:sz w:val="20"/>
        </w:rPr>
        <w:t> </w:t>
      </w:r>
      <w:r>
        <w:rPr>
          <w:i/>
          <w:sz w:val="20"/>
        </w:rPr>
        <w:t>of</w:t>
      </w:r>
      <w:r>
        <w:rPr>
          <w:i/>
          <w:spacing w:val="-13"/>
          <w:sz w:val="20"/>
        </w:rPr>
        <w:t> </w:t>
      </w:r>
      <w:r>
        <w:rPr>
          <w:i/>
          <w:sz w:val="20"/>
        </w:rPr>
        <w:t>Office</w:t>
      </w:r>
      <w:r>
        <w:rPr>
          <w:i/>
          <w:spacing w:val="-12"/>
          <w:sz w:val="20"/>
        </w:rPr>
        <w:t> </w:t>
      </w:r>
      <w:r>
        <w:rPr>
          <w:i/>
          <w:sz w:val="20"/>
        </w:rPr>
        <w:t>(P-5)</w:t>
      </w:r>
      <w:r>
        <w:rPr>
          <w:i/>
          <w:spacing w:val="-13"/>
          <w:sz w:val="20"/>
        </w:rPr>
        <w:t> </w:t>
      </w:r>
      <w:r>
        <w:rPr>
          <w:i/>
          <w:sz w:val="20"/>
        </w:rPr>
        <w:t>(Sudan),</w:t>
      </w:r>
      <w:r>
        <w:rPr>
          <w:i/>
          <w:spacing w:val="-12"/>
          <w:sz w:val="20"/>
        </w:rPr>
        <w:t> </w:t>
      </w:r>
      <w:r>
        <w:rPr>
          <w:i/>
          <w:sz w:val="20"/>
        </w:rPr>
        <w:t>9</w:t>
      </w:r>
      <w:r>
        <w:rPr>
          <w:i/>
          <w:spacing w:val="-13"/>
          <w:sz w:val="20"/>
        </w:rPr>
        <w:t> </w:t>
      </w:r>
      <w:r>
        <w:rPr>
          <w:i/>
          <w:sz w:val="20"/>
        </w:rPr>
        <w:t>months.</w:t>
      </w:r>
      <w:r>
        <w:rPr>
          <w:i/>
          <w:spacing w:val="-12"/>
          <w:sz w:val="20"/>
        </w:rPr>
        <w:t> </w:t>
      </w:r>
      <w:r>
        <w:rPr>
          <w:i/>
          <w:sz w:val="20"/>
        </w:rPr>
        <w:t>New.</w:t>
      </w:r>
      <w:r>
        <w:rPr>
          <w:i/>
          <w:spacing w:val="-13"/>
          <w:sz w:val="20"/>
        </w:rPr>
        <w:t> </w:t>
      </w:r>
      <w:r>
        <w:rPr>
          <w:i/>
          <w:sz w:val="20"/>
        </w:rPr>
        <w:t>Multi-year.</w:t>
      </w:r>
      <w:r>
        <w:rPr>
          <w:i/>
          <w:spacing w:val="-10"/>
          <w:sz w:val="20"/>
        </w:rPr>
        <w:t> </w:t>
      </w:r>
      <w:r>
        <w:rPr>
          <w:sz w:val="20"/>
        </w:rPr>
        <w:t>The</w:t>
      </w:r>
      <w:r>
        <w:rPr>
          <w:spacing w:val="-12"/>
          <w:sz w:val="20"/>
        </w:rPr>
        <w:t> </w:t>
      </w:r>
      <w:r>
        <w:rPr>
          <w:sz w:val="20"/>
        </w:rPr>
        <w:t>Chief</w:t>
      </w:r>
      <w:r>
        <w:rPr>
          <w:spacing w:val="-13"/>
          <w:sz w:val="20"/>
        </w:rPr>
        <w:t> </w:t>
      </w:r>
      <w:r>
        <w:rPr>
          <w:sz w:val="20"/>
        </w:rPr>
        <w:t>of</w:t>
      </w:r>
      <w:r>
        <w:rPr>
          <w:spacing w:val="-12"/>
          <w:sz w:val="20"/>
        </w:rPr>
        <w:t> </w:t>
      </w:r>
      <w:r>
        <w:rPr>
          <w:sz w:val="20"/>
        </w:rPr>
        <w:t>Country Office is responsible for the safety and security of all Court personnel and assets in the country</w:t>
      </w:r>
      <w:r>
        <w:rPr>
          <w:spacing w:val="-13"/>
          <w:sz w:val="20"/>
        </w:rPr>
        <w:t> </w:t>
      </w:r>
      <w:r>
        <w:rPr>
          <w:sz w:val="20"/>
        </w:rPr>
        <w:t>and</w:t>
      </w:r>
      <w:r>
        <w:rPr>
          <w:spacing w:val="-12"/>
          <w:sz w:val="20"/>
        </w:rPr>
        <w:t> </w:t>
      </w:r>
      <w:r>
        <w:rPr>
          <w:sz w:val="20"/>
        </w:rPr>
        <w:t>the</w:t>
      </w:r>
      <w:r>
        <w:rPr>
          <w:spacing w:val="-12"/>
          <w:sz w:val="20"/>
        </w:rPr>
        <w:t> </w:t>
      </w:r>
      <w:r>
        <w:rPr>
          <w:sz w:val="20"/>
        </w:rPr>
        <w:t>provision</w:t>
      </w:r>
      <w:r>
        <w:rPr>
          <w:spacing w:val="-8"/>
          <w:sz w:val="20"/>
        </w:rPr>
        <w:t> </w:t>
      </w:r>
      <w:r>
        <w:rPr>
          <w:sz w:val="20"/>
        </w:rPr>
        <w:t>of</w:t>
      </w:r>
      <w:r>
        <w:rPr>
          <w:spacing w:val="-8"/>
          <w:sz w:val="20"/>
        </w:rPr>
        <w:t> </w:t>
      </w:r>
      <w:r>
        <w:rPr>
          <w:sz w:val="20"/>
        </w:rPr>
        <w:t>support</w:t>
      </w:r>
      <w:r>
        <w:rPr>
          <w:spacing w:val="-12"/>
          <w:sz w:val="20"/>
        </w:rPr>
        <w:t> </w:t>
      </w:r>
      <w:r>
        <w:rPr>
          <w:sz w:val="20"/>
        </w:rPr>
        <w:t>to</w:t>
      </w:r>
      <w:r>
        <w:rPr>
          <w:spacing w:val="-8"/>
          <w:sz w:val="20"/>
        </w:rPr>
        <w:t> </w:t>
      </w:r>
      <w:r>
        <w:rPr>
          <w:sz w:val="20"/>
        </w:rPr>
        <w:t>all</w:t>
      </w:r>
      <w:r>
        <w:rPr>
          <w:spacing w:val="-12"/>
          <w:sz w:val="20"/>
        </w:rPr>
        <w:t> </w:t>
      </w:r>
      <w:r>
        <w:rPr>
          <w:sz w:val="20"/>
        </w:rPr>
        <w:t>activities</w:t>
      </w:r>
      <w:r>
        <w:rPr>
          <w:spacing w:val="-13"/>
          <w:sz w:val="20"/>
        </w:rPr>
        <w:t> </w:t>
      </w:r>
      <w:r>
        <w:rPr>
          <w:sz w:val="20"/>
        </w:rPr>
        <w:t>carried</w:t>
      </w:r>
      <w:r>
        <w:rPr>
          <w:spacing w:val="-7"/>
          <w:sz w:val="20"/>
        </w:rPr>
        <w:t> </w:t>
      </w:r>
      <w:r>
        <w:rPr>
          <w:sz w:val="20"/>
        </w:rPr>
        <w:t>out</w:t>
      </w:r>
      <w:r>
        <w:rPr>
          <w:spacing w:val="-7"/>
          <w:sz w:val="20"/>
        </w:rPr>
        <w:t> </w:t>
      </w:r>
      <w:r>
        <w:rPr>
          <w:sz w:val="20"/>
        </w:rPr>
        <w:t>in</w:t>
      </w:r>
      <w:r>
        <w:rPr>
          <w:spacing w:val="-13"/>
          <w:sz w:val="20"/>
        </w:rPr>
        <w:t> </w:t>
      </w:r>
      <w:r>
        <w:rPr>
          <w:sz w:val="20"/>
        </w:rPr>
        <w:t>the</w:t>
      </w:r>
      <w:r>
        <w:rPr>
          <w:spacing w:val="-11"/>
          <w:sz w:val="20"/>
        </w:rPr>
        <w:t> </w:t>
      </w:r>
      <w:r>
        <w:rPr>
          <w:sz w:val="20"/>
        </w:rPr>
        <w:t>country</w:t>
      </w:r>
      <w:r>
        <w:rPr>
          <w:spacing w:val="-8"/>
          <w:sz w:val="20"/>
        </w:rPr>
        <w:t> </w:t>
      </w:r>
      <w:r>
        <w:rPr>
          <w:sz w:val="20"/>
        </w:rPr>
        <w:t>by</w:t>
      </w:r>
      <w:r>
        <w:rPr>
          <w:spacing w:val="-13"/>
          <w:sz w:val="20"/>
        </w:rPr>
        <w:t> </w:t>
      </w:r>
      <w:r>
        <w:rPr>
          <w:sz w:val="20"/>
        </w:rPr>
        <w:t>the</w:t>
      </w:r>
      <w:r>
        <w:rPr>
          <w:spacing w:val="-6"/>
          <w:sz w:val="20"/>
        </w:rPr>
        <w:t> </w:t>
      </w:r>
      <w:r>
        <w:rPr>
          <w:sz w:val="20"/>
        </w:rPr>
        <w:t>different parties and participants to the Court’s proceedings. The precarious operating environment and unstable political situation in Sudan require a high-level official present in-country to facilitate close coordination with the Sudanese authorities as well as to garner cooperation from the diplomatic community, UN agencies and civil society, which is key to the smooth and uninterrupted trial proceedings in the </w:t>
      </w:r>
      <w:r>
        <w:rPr>
          <w:i/>
          <w:sz w:val="20"/>
        </w:rPr>
        <w:t>Abd-Al-Rahman </w:t>
      </w:r>
      <w:r>
        <w:rPr>
          <w:sz w:val="20"/>
        </w:rPr>
        <w:t>case. Therefore, following the establishment of the country office in Sudan foreseen for the end of 2022, the position of Chief of Country Office in Sudan is requested to lead the Court’s activities in-country and provide adequate support to the </w:t>
      </w:r>
      <w:r>
        <w:rPr>
          <w:i/>
          <w:sz w:val="20"/>
        </w:rPr>
        <w:t>Abd-Al-Rahman </w:t>
      </w:r>
      <w:r>
        <w:rPr>
          <w:sz w:val="20"/>
        </w:rPr>
        <w:t>trial in 2023. The Chief of Country Office will also collect first-hand information and conduct analyses of the political and security situation</w:t>
      </w:r>
      <w:r>
        <w:rPr>
          <w:spacing w:val="-8"/>
          <w:sz w:val="20"/>
        </w:rPr>
        <w:t> </w:t>
      </w:r>
      <w:r>
        <w:rPr>
          <w:sz w:val="20"/>
        </w:rPr>
        <w:t>as</w:t>
      </w:r>
      <w:r>
        <w:rPr>
          <w:spacing w:val="-10"/>
          <w:sz w:val="20"/>
        </w:rPr>
        <w:t> </w:t>
      </w:r>
      <w:r>
        <w:rPr>
          <w:sz w:val="20"/>
        </w:rPr>
        <w:t>well</w:t>
      </w:r>
      <w:r>
        <w:rPr>
          <w:spacing w:val="-12"/>
          <w:sz w:val="20"/>
        </w:rPr>
        <w:t> </w:t>
      </w:r>
      <w:r>
        <w:rPr>
          <w:sz w:val="20"/>
        </w:rPr>
        <w:t>as</w:t>
      </w:r>
      <w:r>
        <w:rPr>
          <w:spacing w:val="-10"/>
          <w:sz w:val="20"/>
        </w:rPr>
        <w:t> </w:t>
      </w:r>
      <w:r>
        <w:rPr>
          <w:sz w:val="20"/>
        </w:rPr>
        <w:t>of</w:t>
      </w:r>
      <w:r>
        <w:rPr>
          <w:spacing w:val="-13"/>
          <w:sz w:val="20"/>
        </w:rPr>
        <w:t> </w:t>
      </w:r>
      <w:r>
        <w:rPr>
          <w:sz w:val="20"/>
        </w:rPr>
        <w:t>the</w:t>
      </w:r>
      <w:r>
        <w:rPr>
          <w:spacing w:val="-10"/>
          <w:sz w:val="20"/>
        </w:rPr>
        <w:t> </w:t>
      </w:r>
      <w:r>
        <w:rPr>
          <w:sz w:val="20"/>
        </w:rPr>
        <w:t>operating</w:t>
      </w:r>
      <w:r>
        <w:rPr>
          <w:spacing w:val="-13"/>
          <w:sz w:val="20"/>
        </w:rPr>
        <w:t> </w:t>
      </w:r>
      <w:r>
        <w:rPr>
          <w:sz w:val="20"/>
        </w:rPr>
        <w:t>environment</w:t>
      </w:r>
      <w:r>
        <w:rPr>
          <w:spacing w:val="-11"/>
          <w:sz w:val="20"/>
        </w:rPr>
        <w:t> </w:t>
      </w:r>
      <w:r>
        <w:rPr>
          <w:sz w:val="20"/>
        </w:rPr>
        <w:t>on</w:t>
      </w:r>
      <w:r>
        <w:rPr>
          <w:spacing w:val="-13"/>
          <w:sz w:val="20"/>
        </w:rPr>
        <w:t> </w:t>
      </w:r>
      <w:r>
        <w:rPr>
          <w:sz w:val="20"/>
        </w:rPr>
        <w:t>the</w:t>
      </w:r>
      <w:r>
        <w:rPr>
          <w:spacing w:val="-10"/>
          <w:sz w:val="20"/>
        </w:rPr>
        <w:t> </w:t>
      </w:r>
      <w:r>
        <w:rPr>
          <w:sz w:val="20"/>
        </w:rPr>
        <w:t>ground</w:t>
      </w:r>
      <w:r>
        <w:rPr>
          <w:spacing w:val="-8"/>
          <w:sz w:val="20"/>
        </w:rPr>
        <w:t> </w:t>
      </w:r>
      <w:r>
        <w:rPr>
          <w:sz w:val="20"/>
        </w:rPr>
        <w:t>in</w:t>
      </w:r>
      <w:r>
        <w:rPr>
          <w:spacing w:val="-13"/>
          <w:sz w:val="20"/>
        </w:rPr>
        <w:t> </w:t>
      </w:r>
      <w:r>
        <w:rPr>
          <w:sz w:val="20"/>
        </w:rPr>
        <w:t>a</w:t>
      </w:r>
      <w:r>
        <w:rPr>
          <w:spacing w:val="-11"/>
          <w:sz w:val="20"/>
        </w:rPr>
        <w:t> </w:t>
      </w:r>
      <w:r>
        <w:rPr>
          <w:sz w:val="20"/>
        </w:rPr>
        <w:t>timely</w:t>
      </w:r>
      <w:r>
        <w:rPr>
          <w:spacing w:val="-8"/>
          <w:sz w:val="20"/>
        </w:rPr>
        <w:t> </w:t>
      </w:r>
      <w:r>
        <w:rPr>
          <w:sz w:val="20"/>
        </w:rPr>
        <w:t>fashion.</w:t>
      </w:r>
      <w:r>
        <w:rPr>
          <w:spacing w:val="-11"/>
          <w:sz w:val="20"/>
        </w:rPr>
        <w:t> </w:t>
      </w:r>
      <w:r>
        <w:rPr>
          <w:sz w:val="20"/>
        </w:rPr>
        <w:t>The</w:t>
      </w:r>
      <w:r>
        <w:rPr>
          <w:spacing w:val="-7"/>
          <w:sz w:val="20"/>
        </w:rPr>
        <w:t> </w:t>
      </w:r>
      <w:r>
        <w:rPr>
          <w:sz w:val="20"/>
        </w:rPr>
        <w:t>Chief of Country Office will also oversee activities in Uganda and the DRC.</w:t>
      </w:r>
    </w:p>
    <w:p>
      <w:pPr>
        <w:pStyle w:val="ListParagraph"/>
        <w:numPr>
          <w:ilvl w:val="0"/>
          <w:numId w:val="4"/>
        </w:numPr>
        <w:tabs>
          <w:tab w:pos="2967" w:val="left" w:leader="none"/>
        </w:tabs>
        <w:spacing w:line="240" w:lineRule="auto" w:before="122" w:after="0"/>
        <w:ind w:left="2246" w:right="2236" w:firstLine="0"/>
        <w:jc w:val="both"/>
        <w:rPr>
          <w:sz w:val="20"/>
        </w:rPr>
      </w:pPr>
      <w:r>
        <w:rPr>
          <w:sz w:val="20"/>
        </w:rPr>
        <w:t>One</w:t>
      </w:r>
      <w:r>
        <w:rPr>
          <w:spacing w:val="40"/>
          <w:sz w:val="20"/>
        </w:rPr>
        <w:t> </w:t>
      </w:r>
      <w:r>
        <w:rPr>
          <w:i/>
          <w:sz w:val="20"/>
        </w:rPr>
        <w:t>Administration</w:t>
      </w:r>
      <w:r>
        <w:rPr>
          <w:i/>
          <w:spacing w:val="40"/>
          <w:sz w:val="20"/>
        </w:rPr>
        <w:t> </w:t>
      </w:r>
      <w:r>
        <w:rPr>
          <w:i/>
          <w:sz w:val="20"/>
        </w:rPr>
        <w:t>and</w:t>
      </w:r>
      <w:r>
        <w:rPr>
          <w:i/>
          <w:spacing w:val="40"/>
          <w:sz w:val="20"/>
        </w:rPr>
        <w:t> </w:t>
      </w:r>
      <w:r>
        <w:rPr>
          <w:i/>
          <w:sz w:val="20"/>
        </w:rPr>
        <w:t>Operations</w:t>
      </w:r>
      <w:r>
        <w:rPr>
          <w:i/>
          <w:spacing w:val="40"/>
          <w:sz w:val="20"/>
        </w:rPr>
        <w:t> </w:t>
      </w:r>
      <w:r>
        <w:rPr>
          <w:i/>
          <w:sz w:val="20"/>
        </w:rPr>
        <w:t>Officer</w:t>
      </w:r>
      <w:r>
        <w:rPr>
          <w:i/>
          <w:spacing w:val="40"/>
          <w:sz w:val="20"/>
        </w:rPr>
        <w:t> </w:t>
      </w:r>
      <w:r>
        <w:rPr>
          <w:i/>
          <w:sz w:val="20"/>
        </w:rPr>
        <w:t>(P-3)</w:t>
      </w:r>
      <w:r>
        <w:rPr>
          <w:i/>
          <w:spacing w:val="40"/>
          <w:sz w:val="20"/>
        </w:rPr>
        <w:t> </w:t>
      </w:r>
      <w:r>
        <w:rPr>
          <w:i/>
          <w:sz w:val="20"/>
        </w:rPr>
        <w:t>(Sudan),</w:t>
      </w:r>
      <w:r>
        <w:rPr>
          <w:i/>
          <w:spacing w:val="40"/>
          <w:sz w:val="20"/>
        </w:rPr>
        <w:t> </w:t>
      </w:r>
      <w:r>
        <w:rPr>
          <w:i/>
          <w:sz w:val="20"/>
        </w:rPr>
        <w:t>9</w:t>
      </w:r>
      <w:r>
        <w:rPr>
          <w:i/>
          <w:spacing w:val="40"/>
          <w:sz w:val="20"/>
        </w:rPr>
        <w:t> </w:t>
      </w:r>
      <w:r>
        <w:rPr>
          <w:i/>
          <w:sz w:val="20"/>
        </w:rPr>
        <w:t>months.</w:t>
      </w:r>
      <w:r>
        <w:rPr>
          <w:i/>
          <w:spacing w:val="40"/>
          <w:sz w:val="20"/>
        </w:rPr>
        <w:t> </w:t>
      </w:r>
      <w:r>
        <w:rPr>
          <w:i/>
          <w:sz w:val="20"/>
        </w:rPr>
        <w:t>New.</w:t>
      </w:r>
      <w:r>
        <w:rPr>
          <w:i/>
          <w:sz w:val="20"/>
        </w:rPr>
        <w:t> Multi-year.</w:t>
      </w:r>
      <w:r>
        <w:rPr>
          <w:i/>
          <w:spacing w:val="-1"/>
          <w:sz w:val="20"/>
        </w:rPr>
        <w:t> </w:t>
      </w:r>
      <w:r>
        <w:rPr>
          <w:sz w:val="20"/>
        </w:rPr>
        <w:t>The position of Administration and Operations</w:t>
      </w:r>
      <w:r>
        <w:rPr>
          <w:spacing w:val="-1"/>
          <w:sz w:val="20"/>
        </w:rPr>
        <w:t> </w:t>
      </w:r>
      <w:r>
        <w:rPr>
          <w:sz w:val="20"/>
        </w:rPr>
        <w:t>Officer, which forms</w:t>
      </w:r>
      <w:r>
        <w:rPr>
          <w:spacing w:val="-1"/>
          <w:sz w:val="20"/>
        </w:rPr>
        <w:t> </w:t>
      </w:r>
      <w:r>
        <w:rPr>
          <w:sz w:val="20"/>
        </w:rPr>
        <w:t>part of the Registry basic field team, will be responsible for the coordination and effective delivery of logistic and administrative services</w:t>
      </w:r>
      <w:r>
        <w:rPr>
          <w:spacing w:val="-1"/>
          <w:sz w:val="20"/>
        </w:rPr>
        <w:t> </w:t>
      </w:r>
      <w:r>
        <w:rPr>
          <w:sz w:val="20"/>
        </w:rPr>
        <w:t>in support of the Court’s field operations in Sudan. The incumbent will be responsible for office management pertaining to human resources, supervision of personnel, finance, procurement and general services within their delegation of authority. In order to support the trial activities in the </w:t>
      </w:r>
      <w:r>
        <w:rPr>
          <w:i/>
          <w:sz w:val="20"/>
        </w:rPr>
        <w:t>Abd-Al-Rahman </w:t>
      </w:r>
      <w:r>
        <w:rPr>
          <w:sz w:val="20"/>
        </w:rPr>
        <w:t>case, this position will also provide support to the appearance of witnesses in that case via videoconferencing. In addition, since the Court’s operations in Sudan rely heavily on the cooperation of the Sudanese</w:t>
      </w:r>
      <w:r>
        <w:rPr>
          <w:spacing w:val="-6"/>
          <w:sz w:val="20"/>
        </w:rPr>
        <w:t> </w:t>
      </w:r>
      <w:r>
        <w:rPr>
          <w:sz w:val="20"/>
        </w:rPr>
        <w:t>authorities</w:t>
      </w:r>
      <w:r>
        <w:rPr>
          <w:spacing w:val="-9"/>
          <w:sz w:val="20"/>
        </w:rPr>
        <w:t> </w:t>
      </w:r>
      <w:r>
        <w:rPr>
          <w:sz w:val="20"/>
        </w:rPr>
        <w:t>and</w:t>
      </w:r>
      <w:r>
        <w:rPr>
          <w:spacing w:val="-7"/>
          <w:sz w:val="20"/>
        </w:rPr>
        <w:t> </w:t>
      </w:r>
      <w:r>
        <w:rPr>
          <w:sz w:val="20"/>
        </w:rPr>
        <w:t>support</w:t>
      </w:r>
      <w:r>
        <w:rPr>
          <w:spacing w:val="-1"/>
          <w:sz w:val="20"/>
        </w:rPr>
        <w:t> </w:t>
      </w:r>
      <w:r>
        <w:rPr>
          <w:sz w:val="20"/>
        </w:rPr>
        <w:t>of</w:t>
      </w:r>
      <w:r>
        <w:rPr>
          <w:spacing w:val="-3"/>
          <w:sz w:val="20"/>
        </w:rPr>
        <w:t> </w:t>
      </w:r>
      <w:r>
        <w:rPr>
          <w:sz w:val="20"/>
        </w:rPr>
        <w:t>the</w:t>
      </w:r>
      <w:r>
        <w:rPr>
          <w:spacing w:val="-1"/>
          <w:sz w:val="20"/>
        </w:rPr>
        <w:t> </w:t>
      </w:r>
      <w:r>
        <w:rPr>
          <w:sz w:val="20"/>
        </w:rPr>
        <w:t>UN</w:t>
      </w:r>
      <w:r>
        <w:rPr>
          <w:spacing w:val="-9"/>
          <w:sz w:val="20"/>
        </w:rPr>
        <w:t> </w:t>
      </w:r>
      <w:r>
        <w:rPr>
          <w:sz w:val="20"/>
        </w:rPr>
        <w:t>agencies,</w:t>
      </w:r>
      <w:r>
        <w:rPr>
          <w:spacing w:val="-5"/>
          <w:sz w:val="20"/>
        </w:rPr>
        <w:t> </w:t>
      </w:r>
      <w:r>
        <w:rPr>
          <w:sz w:val="20"/>
        </w:rPr>
        <w:t>the</w:t>
      </w:r>
      <w:r>
        <w:rPr>
          <w:spacing w:val="-6"/>
          <w:sz w:val="20"/>
        </w:rPr>
        <w:t> </w:t>
      </w:r>
      <w:r>
        <w:rPr>
          <w:sz w:val="20"/>
        </w:rPr>
        <w:t>key</w:t>
      </w:r>
      <w:r>
        <w:rPr>
          <w:spacing w:val="-7"/>
          <w:sz w:val="20"/>
        </w:rPr>
        <w:t> </w:t>
      </w:r>
      <w:r>
        <w:rPr>
          <w:sz w:val="20"/>
        </w:rPr>
        <w:t>responsibilities</w:t>
      </w:r>
      <w:r>
        <w:rPr>
          <w:spacing w:val="-9"/>
          <w:sz w:val="20"/>
        </w:rPr>
        <w:t> </w:t>
      </w:r>
      <w:r>
        <w:rPr>
          <w:sz w:val="20"/>
        </w:rPr>
        <w:t>of</w:t>
      </w:r>
      <w:r>
        <w:rPr>
          <w:spacing w:val="-7"/>
          <w:sz w:val="20"/>
        </w:rPr>
        <w:t> </w:t>
      </w:r>
      <w:r>
        <w:rPr>
          <w:sz w:val="20"/>
        </w:rPr>
        <w:t>this</w:t>
      </w:r>
      <w:r>
        <w:rPr>
          <w:spacing w:val="-9"/>
          <w:sz w:val="20"/>
        </w:rPr>
        <w:t> </w:t>
      </w:r>
      <w:r>
        <w:rPr>
          <w:sz w:val="20"/>
        </w:rPr>
        <w:t>position will be close coordination with the focal points of the Sudanese government to secure the cooperation of the host State as well as with the relevant UN agencies for their operational support. The Administration and Operations Officer also supervises the organization of</w:t>
      </w:r>
      <w:r>
        <w:rPr>
          <w:spacing w:val="80"/>
          <w:sz w:val="20"/>
        </w:rPr>
        <w:t> </w:t>
      </w:r>
      <w:r>
        <w:rPr>
          <w:sz w:val="20"/>
        </w:rPr>
        <w:t>day-to-day operations and provides support to special operations, such as the relocation of victims and witnesses and the transfer of detained witnesses or suspects to Headquarters.</w:t>
      </w:r>
    </w:p>
    <w:p>
      <w:pPr>
        <w:pStyle w:val="ListParagraph"/>
        <w:numPr>
          <w:ilvl w:val="0"/>
          <w:numId w:val="4"/>
        </w:numPr>
        <w:tabs>
          <w:tab w:pos="2967" w:val="left" w:leader="none"/>
        </w:tabs>
        <w:spacing w:line="240" w:lineRule="auto" w:before="123" w:after="0"/>
        <w:ind w:left="2246" w:right="2238" w:firstLine="0"/>
        <w:jc w:val="both"/>
        <w:rPr>
          <w:sz w:val="20"/>
        </w:rPr>
      </w:pPr>
      <w:r>
        <w:rPr>
          <w:sz w:val="20"/>
        </w:rPr>
        <w:t>One</w:t>
      </w:r>
      <w:r>
        <w:rPr>
          <w:spacing w:val="-4"/>
          <w:sz w:val="20"/>
        </w:rPr>
        <w:t> </w:t>
      </w:r>
      <w:r>
        <w:rPr>
          <w:i/>
          <w:sz w:val="20"/>
        </w:rPr>
        <w:t>Field</w:t>
      </w:r>
      <w:r>
        <w:rPr>
          <w:i/>
          <w:spacing w:val="-6"/>
          <w:sz w:val="20"/>
        </w:rPr>
        <w:t> </w:t>
      </w:r>
      <w:r>
        <w:rPr>
          <w:i/>
          <w:sz w:val="20"/>
        </w:rPr>
        <w:t>Security</w:t>
      </w:r>
      <w:r>
        <w:rPr>
          <w:i/>
          <w:spacing w:val="-4"/>
          <w:sz w:val="20"/>
        </w:rPr>
        <w:t> </w:t>
      </w:r>
      <w:r>
        <w:rPr>
          <w:i/>
          <w:sz w:val="20"/>
        </w:rPr>
        <w:t>Officer</w:t>
      </w:r>
      <w:r>
        <w:rPr>
          <w:i/>
          <w:spacing w:val="-7"/>
          <w:sz w:val="20"/>
        </w:rPr>
        <w:t> </w:t>
      </w:r>
      <w:r>
        <w:rPr>
          <w:i/>
          <w:sz w:val="20"/>
        </w:rPr>
        <w:t>(P-3)</w:t>
      </w:r>
      <w:r>
        <w:rPr>
          <w:i/>
          <w:spacing w:val="-5"/>
          <w:sz w:val="20"/>
        </w:rPr>
        <w:t> </w:t>
      </w:r>
      <w:r>
        <w:rPr>
          <w:i/>
          <w:sz w:val="20"/>
        </w:rPr>
        <w:t>(Sudan),</w:t>
      </w:r>
      <w:r>
        <w:rPr>
          <w:i/>
          <w:spacing w:val="-3"/>
          <w:sz w:val="20"/>
        </w:rPr>
        <w:t> </w:t>
      </w:r>
      <w:r>
        <w:rPr>
          <w:i/>
          <w:sz w:val="20"/>
        </w:rPr>
        <w:t>9</w:t>
      </w:r>
      <w:r>
        <w:rPr>
          <w:i/>
          <w:spacing w:val="-6"/>
          <w:sz w:val="20"/>
        </w:rPr>
        <w:t> </w:t>
      </w:r>
      <w:r>
        <w:rPr>
          <w:i/>
          <w:sz w:val="20"/>
        </w:rPr>
        <w:t>months.</w:t>
      </w:r>
      <w:r>
        <w:rPr>
          <w:i/>
          <w:spacing w:val="-3"/>
          <w:sz w:val="20"/>
        </w:rPr>
        <w:t> </w:t>
      </w:r>
      <w:r>
        <w:rPr>
          <w:i/>
          <w:sz w:val="20"/>
        </w:rPr>
        <w:t>New.</w:t>
      </w:r>
      <w:r>
        <w:rPr>
          <w:i/>
          <w:spacing w:val="-3"/>
          <w:sz w:val="20"/>
        </w:rPr>
        <w:t> </w:t>
      </w:r>
      <w:r>
        <w:rPr>
          <w:i/>
          <w:sz w:val="20"/>
        </w:rPr>
        <w:t>Multi-year.</w:t>
      </w:r>
      <w:r>
        <w:rPr>
          <w:i/>
          <w:spacing w:val="-7"/>
          <w:sz w:val="20"/>
        </w:rPr>
        <w:t> </w:t>
      </w:r>
      <w:r>
        <w:rPr>
          <w:sz w:val="20"/>
        </w:rPr>
        <w:t>This</w:t>
      </w:r>
      <w:r>
        <w:rPr>
          <w:spacing w:val="-7"/>
          <w:sz w:val="20"/>
        </w:rPr>
        <w:t> </w:t>
      </w:r>
      <w:r>
        <w:rPr>
          <w:sz w:val="20"/>
        </w:rPr>
        <w:t>position of Field Security Officer, which forms part of the Registry basic field team, is the only position in the</w:t>
      </w:r>
      <w:r>
        <w:rPr>
          <w:spacing w:val="-2"/>
          <w:sz w:val="20"/>
        </w:rPr>
        <w:t> </w:t>
      </w:r>
      <w:r>
        <w:rPr>
          <w:sz w:val="20"/>
        </w:rPr>
        <w:t>country office</w:t>
      </w:r>
      <w:r>
        <w:rPr>
          <w:spacing w:val="-2"/>
          <w:sz w:val="20"/>
        </w:rPr>
        <w:t> </w:t>
      </w:r>
      <w:r>
        <w:rPr>
          <w:sz w:val="20"/>
        </w:rPr>
        <w:t>to</w:t>
      </w:r>
      <w:r>
        <w:rPr>
          <w:spacing w:val="-4"/>
          <w:sz w:val="20"/>
        </w:rPr>
        <w:t> </w:t>
      </w:r>
      <w:r>
        <w:rPr>
          <w:sz w:val="20"/>
        </w:rPr>
        <w:t>ensure the security</w:t>
      </w:r>
      <w:r>
        <w:rPr>
          <w:spacing w:val="-4"/>
          <w:sz w:val="20"/>
        </w:rPr>
        <w:t> </w:t>
      </w:r>
      <w:r>
        <w:rPr>
          <w:sz w:val="20"/>
        </w:rPr>
        <w:t>and safety of Court</w:t>
      </w:r>
      <w:r>
        <w:rPr>
          <w:spacing w:val="-2"/>
          <w:sz w:val="20"/>
        </w:rPr>
        <w:t> </w:t>
      </w:r>
      <w:r>
        <w:rPr>
          <w:sz w:val="20"/>
        </w:rPr>
        <w:t>personnel</w:t>
      </w:r>
      <w:r>
        <w:rPr>
          <w:spacing w:val="-2"/>
          <w:sz w:val="20"/>
        </w:rPr>
        <w:t> </w:t>
      </w:r>
      <w:r>
        <w:rPr>
          <w:sz w:val="20"/>
        </w:rPr>
        <w:t>and assets in the country. Therefore, the security capacity of such a Registry field team would require</w:t>
      </w:r>
    </w:p>
    <w:p>
      <w:pPr>
        <w:spacing w:after="0" w:line="240" w:lineRule="auto"/>
        <w:jc w:val="both"/>
        <w:rPr>
          <w:sz w:val="20"/>
        </w:rPr>
        <w:sectPr>
          <w:pgSz w:w="11910" w:h="16840"/>
          <w:pgMar w:header="957" w:footer="940" w:top="1140" w:bottom="1140" w:left="20" w:right="20"/>
        </w:sectPr>
      </w:pPr>
    </w:p>
    <w:p>
      <w:pPr>
        <w:pStyle w:val="BodyText"/>
        <w:spacing w:before="124"/>
        <w:ind w:left="2246" w:right="2242"/>
        <w:jc w:val="both"/>
      </w:pPr>
      <w:r>
        <w:rPr/>
        <w:t>reinforcement</w:t>
      </w:r>
      <w:r>
        <w:rPr>
          <w:spacing w:val="-9"/>
        </w:rPr>
        <w:t> </w:t>
      </w:r>
      <w:r>
        <w:rPr/>
        <w:t>from</w:t>
      </w:r>
      <w:r>
        <w:rPr>
          <w:spacing w:val="-8"/>
        </w:rPr>
        <w:t> </w:t>
      </w:r>
      <w:r>
        <w:rPr/>
        <w:t>time</w:t>
      </w:r>
      <w:r>
        <w:rPr>
          <w:spacing w:val="-8"/>
        </w:rPr>
        <w:t> </w:t>
      </w:r>
      <w:r>
        <w:rPr/>
        <w:t>to</w:t>
      </w:r>
      <w:r>
        <w:rPr>
          <w:spacing w:val="-9"/>
        </w:rPr>
        <w:t> </w:t>
      </w:r>
      <w:r>
        <w:rPr/>
        <w:t>time</w:t>
      </w:r>
      <w:r>
        <w:rPr>
          <w:spacing w:val="-3"/>
        </w:rPr>
        <w:t> </w:t>
      </w:r>
      <w:r>
        <w:rPr/>
        <w:t>during</w:t>
      </w:r>
      <w:r>
        <w:rPr>
          <w:spacing w:val="-13"/>
        </w:rPr>
        <w:t> </w:t>
      </w:r>
      <w:r>
        <w:rPr/>
        <w:t>the</w:t>
      </w:r>
      <w:r>
        <w:rPr>
          <w:spacing w:val="-7"/>
        </w:rPr>
        <w:t> </w:t>
      </w:r>
      <w:r>
        <w:rPr/>
        <w:t>absence</w:t>
      </w:r>
      <w:r>
        <w:rPr>
          <w:spacing w:val="-8"/>
        </w:rPr>
        <w:t> </w:t>
      </w:r>
      <w:r>
        <w:rPr/>
        <w:t>of</w:t>
      </w:r>
      <w:r>
        <w:rPr>
          <w:spacing w:val="-9"/>
        </w:rPr>
        <w:t> </w:t>
      </w:r>
      <w:r>
        <w:rPr/>
        <w:t>the</w:t>
      </w:r>
      <w:r>
        <w:rPr>
          <w:spacing w:val="-3"/>
        </w:rPr>
        <w:t> </w:t>
      </w:r>
      <w:r>
        <w:rPr/>
        <w:t>Field</w:t>
      </w:r>
      <w:r>
        <w:rPr>
          <w:spacing w:val="-5"/>
        </w:rPr>
        <w:t> </w:t>
      </w:r>
      <w:r>
        <w:rPr/>
        <w:t>Security</w:t>
      </w:r>
      <w:r>
        <w:rPr>
          <w:spacing w:val="-9"/>
        </w:rPr>
        <w:t> </w:t>
      </w:r>
      <w:r>
        <w:rPr/>
        <w:t>Officer</w:t>
      </w:r>
      <w:r>
        <w:rPr>
          <w:spacing w:val="-9"/>
        </w:rPr>
        <w:t> </w:t>
      </w:r>
      <w:r>
        <w:rPr/>
        <w:t>in</w:t>
      </w:r>
      <w:r>
        <w:rPr>
          <w:spacing w:val="-9"/>
        </w:rPr>
        <w:t> </w:t>
      </w:r>
      <w:r>
        <w:rPr/>
        <w:t>Sudan</w:t>
      </w:r>
      <w:r>
        <w:rPr>
          <w:spacing w:val="-5"/>
        </w:rPr>
        <w:t> </w:t>
      </w:r>
      <w:r>
        <w:rPr/>
        <w:t>by sending</w:t>
      </w:r>
      <w:r>
        <w:rPr>
          <w:spacing w:val="-13"/>
        </w:rPr>
        <w:t> </w:t>
      </w:r>
      <w:r>
        <w:rPr/>
        <w:t>security</w:t>
      </w:r>
      <w:r>
        <w:rPr>
          <w:spacing w:val="-12"/>
        </w:rPr>
        <w:t> </w:t>
      </w:r>
      <w:r>
        <w:rPr/>
        <w:t>staff</w:t>
      </w:r>
      <w:r>
        <w:rPr>
          <w:spacing w:val="-13"/>
        </w:rPr>
        <w:t> </w:t>
      </w:r>
      <w:r>
        <w:rPr/>
        <w:t>from</w:t>
      </w:r>
      <w:r>
        <w:rPr>
          <w:spacing w:val="-12"/>
        </w:rPr>
        <w:t> </w:t>
      </w:r>
      <w:r>
        <w:rPr/>
        <w:t>other</w:t>
      </w:r>
      <w:r>
        <w:rPr>
          <w:spacing w:val="-13"/>
        </w:rPr>
        <w:t> </w:t>
      </w:r>
      <w:r>
        <w:rPr/>
        <w:t>country</w:t>
      </w:r>
      <w:r>
        <w:rPr>
          <w:spacing w:val="-12"/>
        </w:rPr>
        <w:t> </w:t>
      </w:r>
      <w:r>
        <w:rPr/>
        <w:t>offices</w:t>
      </w:r>
      <w:r>
        <w:rPr>
          <w:spacing w:val="-10"/>
        </w:rPr>
        <w:t> </w:t>
      </w:r>
      <w:r>
        <w:rPr/>
        <w:t>in</w:t>
      </w:r>
      <w:r>
        <w:rPr>
          <w:spacing w:val="-8"/>
        </w:rPr>
        <w:t> </w:t>
      </w:r>
      <w:r>
        <w:rPr/>
        <w:t>Africa</w:t>
      </w:r>
      <w:r>
        <w:rPr>
          <w:spacing w:val="-8"/>
        </w:rPr>
        <w:t> </w:t>
      </w:r>
      <w:r>
        <w:rPr/>
        <w:t>to</w:t>
      </w:r>
      <w:r>
        <w:rPr>
          <w:spacing w:val="-8"/>
        </w:rPr>
        <w:t> </w:t>
      </w:r>
      <w:r>
        <w:rPr/>
        <w:t>Sudan</w:t>
      </w:r>
      <w:r>
        <w:rPr>
          <w:spacing w:val="-13"/>
        </w:rPr>
        <w:t> </w:t>
      </w:r>
      <w:r>
        <w:rPr/>
        <w:t>on</w:t>
      </w:r>
      <w:r>
        <w:rPr>
          <w:spacing w:val="-12"/>
        </w:rPr>
        <w:t> </w:t>
      </w:r>
      <w:r>
        <w:rPr/>
        <w:t>mission.</w:t>
      </w:r>
      <w:r>
        <w:rPr>
          <w:spacing w:val="-11"/>
        </w:rPr>
        <w:t> </w:t>
      </w:r>
      <w:r>
        <w:rPr/>
        <w:t>It</w:t>
      </w:r>
      <w:r>
        <w:rPr>
          <w:spacing w:val="-12"/>
        </w:rPr>
        <w:t> </w:t>
      </w:r>
      <w:r>
        <w:rPr/>
        <w:t>is</w:t>
      </w:r>
      <w:r>
        <w:rPr>
          <w:spacing w:val="-13"/>
        </w:rPr>
        <w:t> </w:t>
      </w:r>
      <w:r>
        <w:rPr/>
        <w:t>unknown when the</w:t>
      </w:r>
      <w:r>
        <w:rPr>
          <w:spacing w:val="-2"/>
        </w:rPr>
        <w:t> </w:t>
      </w:r>
      <w:r>
        <w:rPr/>
        <w:t>current political turmoil</w:t>
      </w:r>
      <w:r>
        <w:rPr>
          <w:spacing w:val="-2"/>
        </w:rPr>
        <w:t> </w:t>
      </w:r>
      <w:r>
        <w:rPr/>
        <w:t>in Sudan will</w:t>
      </w:r>
      <w:r>
        <w:rPr>
          <w:spacing w:val="-2"/>
        </w:rPr>
        <w:t> </w:t>
      </w:r>
      <w:r>
        <w:rPr/>
        <w:t>end, which</w:t>
      </w:r>
      <w:r>
        <w:rPr>
          <w:spacing w:val="-4"/>
        </w:rPr>
        <w:t> </w:t>
      </w:r>
      <w:r>
        <w:rPr/>
        <w:t>makes the present position</w:t>
      </w:r>
      <w:r>
        <w:rPr>
          <w:spacing w:val="-4"/>
        </w:rPr>
        <w:t> </w:t>
      </w:r>
      <w:r>
        <w:rPr/>
        <w:t>even more</w:t>
      </w:r>
      <w:r>
        <w:rPr>
          <w:spacing w:val="-2"/>
        </w:rPr>
        <w:t> </w:t>
      </w:r>
      <w:r>
        <w:rPr/>
        <w:t>essential to</w:t>
      </w:r>
      <w:r>
        <w:rPr>
          <w:spacing w:val="-4"/>
        </w:rPr>
        <w:t> </w:t>
      </w:r>
      <w:r>
        <w:rPr/>
        <w:t>provide security support</w:t>
      </w:r>
      <w:r>
        <w:rPr>
          <w:spacing w:val="-2"/>
        </w:rPr>
        <w:t> </w:t>
      </w:r>
      <w:r>
        <w:rPr/>
        <w:t>at</w:t>
      </w:r>
      <w:r>
        <w:rPr>
          <w:spacing w:val="-2"/>
        </w:rPr>
        <w:t> </w:t>
      </w:r>
      <w:r>
        <w:rPr/>
        <w:t>an adequate level. This position will undertake critical security monitoring and</w:t>
      </w:r>
      <w:r>
        <w:rPr>
          <w:spacing w:val="-4"/>
        </w:rPr>
        <w:t> </w:t>
      </w:r>
      <w:r>
        <w:rPr/>
        <w:t>operational security</w:t>
      </w:r>
      <w:r>
        <w:rPr>
          <w:spacing w:val="-4"/>
        </w:rPr>
        <w:t> </w:t>
      </w:r>
      <w:r>
        <w:rPr/>
        <w:t>and</w:t>
      </w:r>
      <w:r>
        <w:rPr>
          <w:spacing w:val="-4"/>
        </w:rPr>
        <w:t> </w:t>
      </w:r>
      <w:r>
        <w:rPr/>
        <w:t>risk</w:t>
      </w:r>
      <w:r>
        <w:rPr>
          <w:spacing w:val="-4"/>
        </w:rPr>
        <w:t> </w:t>
      </w:r>
      <w:r>
        <w:rPr/>
        <w:t>assessments as well</w:t>
      </w:r>
      <w:r>
        <w:rPr>
          <w:spacing w:val="-2"/>
        </w:rPr>
        <w:t> </w:t>
      </w:r>
      <w:r>
        <w:rPr/>
        <w:t>as provide briefings</w:t>
      </w:r>
      <w:r>
        <w:rPr>
          <w:spacing w:val="-13"/>
        </w:rPr>
        <w:t> </w:t>
      </w:r>
      <w:r>
        <w:rPr/>
        <w:t>and</w:t>
      </w:r>
      <w:r>
        <w:rPr>
          <w:spacing w:val="-12"/>
        </w:rPr>
        <w:t> </w:t>
      </w:r>
      <w:r>
        <w:rPr/>
        <w:t>support</w:t>
      </w:r>
      <w:r>
        <w:rPr>
          <w:spacing w:val="-13"/>
        </w:rPr>
        <w:t> </w:t>
      </w:r>
      <w:r>
        <w:rPr/>
        <w:t>to</w:t>
      </w:r>
      <w:r>
        <w:rPr>
          <w:spacing w:val="-12"/>
        </w:rPr>
        <w:t> </w:t>
      </w:r>
      <w:r>
        <w:rPr/>
        <w:t>field</w:t>
      </w:r>
      <w:r>
        <w:rPr>
          <w:spacing w:val="-13"/>
        </w:rPr>
        <w:t> </w:t>
      </w:r>
      <w:r>
        <w:rPr/>
        <w:t>operations.</w:t>
      </w:r>
      <w:r>
        <w:rPr>
          <w:spacing w:val="-12"/>
        </w:rPr>
        <w:t> </w:t>
      </w:r>
      <w:r>
        <w:rPr/>
        <w:t>The</w:t>
      </w:r>
      <w:r>
        <w:rPr>
          <w:spacing w:val="-13"/>
        </w:rPr>
        <w:t> </w:t>
      </w:r>
      <w:r>
        <w:rPr/>
        <w:t>Field</w:t>
      </w:r>
      <w:r>
        <w:rPr>
          <w:spacing w:val="-12"/>
        </w:rPr>
        <w:t> </w:t>
      </w:r>
      <w:r>
        <w:rPr/>
        <w:t>Security</w:t>
      </w:r>
      <w:r>
        <w:rPr>
          <w:spacing w:val="-13"/>
        </w:rPr>
        <w:t> </w:t>
      </w:r>
      <w:r>
        <w:rPr/>
        <w:t>Officer</w:t>
      </w:r>
      <w:r>
        <w:rPr>
          <w:spacing w:val="-12"/>
        </w:rPr>
        <w:t> </w:t>
      </w:r>
      <w:r>
        <w:rPr/>
        <w:t>also</w:t>
      </w:r>
      <w:r>
        <w:rPr>
          <w:spacing w:val="-13"/>
        </w:rPr>
        <w:t> </w:t>
      </w:r>
      <w:r>
        <w:rPr/>
        <w:t>serves</w:t>
      </w:r>
      <w:r>
        <w:rPr>
          <w:spacing w:val="-12"/>
        </w:rPr>
        <w:t> </w:t>
      </w:r>
      <w:r>
        <w:rPr/>
        <w:t>as</w:t>
      </w:r>
      <w:r>
        <w:rPr>
          <w:spacing w:val="-13"/>
        </w:rPr>
        <w:t> </w:t>
      </w:r>
      <w:r>
        <w:rPr/>
        <w:t>the</w:t>
      </w:r>
      <w:r>
        <w:rPr>
          <w:spacing w:val="-12"/>
        </w:rPr>
        <w:t> </w:t>
      </w:r>
      <w:r>
        <w:rPr/>
        <w:t>security focal point for the host government, UNDSS and Court Headquarters. The incumbent will also undertake to develop the security contingency plan for the country office in the event that the Court needs to urgently exit from the situation country.</w:t>
      </w:r>
    </w:p>
    <w:p>
      <w:pPr>
        <w:pStyle w:val="ListParagraph"/>
        <w:numPr>
          <w:ilvl w:val="0"/>
          <w:numId w:val="4"/>
        </w:numPr>
        <w:tabs>
          <w:tab w:pos="2967" w:val="left" w:leader="none"/>
        </w:tabs>
        <w:spacing w:line="240" w:lineRule="auto" w:before="125" w:after="0"/>
        <w:ind w:left="2246" w:right="2239" w:firstLine="0"/>
        <w:jc w:val="both"/>
        <w:rPr>
          <w:sz w:val="20"/>
        </w:rPr>
      </w:pPr>
      <w:r>
        <w:rPr>
          <w:sz w:val="20"/>
        </w:rPr>
        <w:t>One </w:t>
      </w:r>
      <w:r>
        <w:rPr>
          <w:i/>
          <w:sz w:val="20"/>
        </w:rPr>
        <w:t>Administrative Assistant (GS-OL) (Sudan), 9 months. New. Multi-year</w:t>
      </w:r>
      <w:r>
        <w:rPr>
          <w:sz w:val="20"/>
        </w:rPr>
        <w:t>. Under the direct supervision of</w:t>
      </w:r>
      <w:r>
        <w:rPr>
          <w:spacing w:val="-3"/>
          <w:sz w:val="20"/>
        </w:rPr>
        <w:t> </w:t>
      </w:r>
      <w:r>
        <w:rPr>
          <w:sz w:val="20"/>
        </w:rPr>
        <w:t>the</w:t>
      </w:r>
      <w:r>
        <w:rPr>
          <w:spacing w:val="-1"/>
          <w:sz w:val="20"/>
        </w:rPr>
        <w:t> </w:t>
      </w:r>
      <w:r>
        <w:rPr>
          <w:sz w:val="20"/>
        </w:rPr>
        <w:t>Administration</w:t>
      </w:r>
      <w:r>
        <w:rPr>
          <w:spacing w:val="-3"/>
          <w:sz w:val="20"/>
        </w:rPr>
        <w:t> </w:t>
      </w:r>
      <w:r>
        <w:rPr>
          <w:sz w:val="20"/>
        </w:rPr>
        <w:t>and</w:t>
      </w:r>
      <w:r>
        <w:rPr>
          <w:spacing w:val="-3"/>
          <w:sz w:val="20"/>
        </w:rPr>
        <w:t> </w:t>
      </w:r>
      <w:r>
        <w:rPr>
          <w:sz w:val="20"/>
        </w:rPr>
        <w:t>Operations</w:t>
      </w:r>
      <w:r>
        <w:rPr>
          <w:spacing w:val="-4"/>
          <w:sz w:val="20"/>
        </w:rPr>
        <w:t> </w:t>
      </w:r>
      <w:r>
        <w:rPr>
          <w:sz w:val="20"/>
        </w:rPr>
        <w:t>Officer, this position</w:t>
      </w:r>
      <w:r>
        <w:rPr>
          <w:spacing w:val="-3"/>
          <w:sz w:val="20"/>
        </w:rPr>
        <w:t> </w:t>
      </w:r>
      <w:r>
        <w:rPr>
          <w:sz w:val="20"/>
        </w:rPr>
        <w:t>forms part of the Registry basic field team and will provide broad administrative support functions in support</w:t>
      </w:r>
      <w:r>
        <w:rPr>
          <w:spacing w:val="-2"/>
          <w:sz w:val="20"/>
        </w:rPr>
        <w:t> </w:t>
      </w:r>
      <w:r>
        <w:rPr>
          <w:sz w:val="20"/>
        </w:rPr>
        <w:t>of the</w:t>
      </w:r>
      <w:r>
        <w:rPr>
          <w:spacing w:val="-2"/>
          <w:sz w:val="20"/>
        </w:rPr>
        <w:t> </w:t>
      </w:r>
      <w:r>
        <w:rPr>
          <w:sz w:val="20"/>
        </w:rPr>
        <w:t>Court’s field</w:t>
      </w:r>
      <w:r>
        <w:rPr>
          <w:spacing w:val="-4"/>
          <w:sz w:val="20"/>
        </w:rPr>
        <w:t> </w:t>
      </w:r>
      <w:r>
        <w:rPr>
          <w:sz w:val="20"/>
        </w:rPr>
        <w:t>operations</w:t>
      </w:r>
      <w:r>
        <w:rPr>
          <w:spacing w:val="-5"/>
          <w:sz w:val="20"/>
        </w:rPr>
        <w:t> </w:t>
      </w:r>
      <w:r>
        <w:rPr>
          <w:sz w:val="20"/>
        </w:rPr>
        <w:t>in Sudan, which</w:t>
      </w:r>
      <w:r>
        <w:rPr>
          <w:spacing w:val="-4"/>
          <w:sz w:val="20"/>
        </w:rPr>
        <w:t> </w:t>
      </w:r>
      <w:r>
        <w:rPr>
          <w:sz w:val="20"/>
        </w:rPr>
        <w:t>may</w:t>
      </w:r>
      <w:r>
        <w:rPr>
          <w:spacing w:val="-4"/>
          <w:sz w:val="20"/>
        </w:rPr>
        <w:t> </w:t>
      </w:r>
      <w:r>
        <w:rPr>
          <w:sz w:val="20"/>
        </w:rPr>
        <w:t>include</w:t>
      </w:r>
      <w:r>
        <w:rPr>
          <w:spacing w:val="-2"/>
          <w:sz w:val="20"/>
        </w:rPr>
        <w:t> </w:t>
      </w:r>
      <w:r>
        <w:rPr>
          <w:sz w:val="20"/>
        </w:rPr>
        <w:t>coordination of various areas of work such as mission support, budget and finance, procurement, supply and transportation. This position will also undertake the Courtroom Officer’s duties during the appearance of witnesses in the </w:t>
      </w:r>
      <w:r>
        <w:rPr>
          <w:i/>
          <w:sz w:val="20"/>
        </w:rPr>
        <w:t>Abd-Al-Rahman </w:t>
      </w:r>
      <w:r>
        <w:rPr>
          <w:sz w:val="20"/>
        </w:rPr>
        <w:t>case via videoconferencing to achieve the efficiencies and savings indicated in paragraph </w:t>
      </w:r>
      <w:hyperlink w:history="true" w:anchor="_bookmark47">
        <w:r>
          <w:rPr>
            <w:sz w:val="20"/>
          </w:rPr>
          <w:t>743.</w:t>
        </w:r>
      </w:hyperlink>
    </w:p>
    <w:p>
      <w:pPr>
        <w:pStyle w:val="ListParagraph"/>
        <w:numPr>
          <w:ilvl w:val="0"/>
          <w:numId w:val="4"/>
        </w:numPr>
        <w:tabs>
          <w:tab w:pos="2967" w:val="left" w:leader="none"/>
        </w:tabs>
        <w:spacing w:line="240" w:lineRule="auto" w:before="119" w:after="0"/>
        <w:ind w:left="2246" w:right="2241" w:firstLine="0"/>
        <w:jc w:val="both"/>
        <w:rPr>
          <w:sz w:val="20"/>
        </w:rPr>
      </w:pPr>
      <w:r>
        <w:rPr>
          <w:sz w:val="20"/>
        </w:rPr>
        <w:t>One</w:t>
      </w:r>
      <w:r>
        <w:rPr>
          <w:spacing w:val="40"/>
          <w:sz w:val="20"/>
        </w:rPr>
        <w:t> </w:t>
      </w:r>
      <w:r>
        <w:rPr>
          <w:i/>
          <w:sz w:val="20"/>
        </w:rPr>
        <w:t>Field</w:t>
      </w:r>
      <w:r>
        <w:rPr>
          <w:i/>
          <w:spacing w:val="40"/>
          <w:sz w:val="20"/>
        </w:rPr>
        <w:t> </w:t>
      </w:r>
      <w:r>
        <w:rPr>
          <w:i/>
          <w:sz w:val="20"/>
        </w:rPr>
        <w:t>Case</w:t>
      </w:r>
      <w:r>
        <w:rPr>
          <w:i/>
          <w:spacing w:val="40"/>
          <w:sz w:val="20"/>
        </w:rPr>
        <w:t> </w:t>
      </w:r>
      <w:r>
        <w:rPr>
          <w:i/>
          <w:sz w:val="20"/>
        </w:rPr>
        <w:t>Management</w:t>
      </w:r>
      <w:r>
        <w:rPr>
          <w:i/>
          <w:spacing w:val="40"/>
          <w:sz w:val="20"/>
        </w:rPr>
        <w:t> </w:t>
      </w:r>
      <w:r>
        <w:rPr>
          <w:i/>
          <w:sz w:val="20"/>
        </w:rPr>
        <w:t>Assistant</w:t>
      </w:r>
      <w:r>
        <w:rPr>
          <w:i/>
          <w:spacing w:val="40"/>
          <w:sz w:val="20"/>
        </w:rPr>
        <w:t> </w:t>
      </w:r>
      <w:r>
        <w:rPr>
          <w:i/>
          <w:sz w:val="20"/>
        </w:rPr>
        <w:t>(GS-OL)</w:t>
      </w:r>
      <w:r>
        <w:rPr>
          <w:i/>
          <w:spacing w:val="40"/>
          <w:sz w:val="20"/>
        </w:rPr>
        <w:t> </w:t>
      </w:r>
      <w:r>
        <w:rPr>
          <w:i/>
          <w:sz w:val="20"/>
        </w:rPr>
        <w:t>(Sudan),</w:t>
      </w:r>
      <w:r>
        <w:rPr>
          <w:i/>
          <w:spacing w:val="40"/>
          <w:sz w:val="20"/>
        </w:rPr>
        <w:t> </w:t>
      </w:r>
      <w:r>
        <w:rPr>
          <w:i/>
          <w:sz w:val="20"/>
        </w:rPr>
        <w:t>9</w:t>
      </w:r>
      <w:r>
        <w:rPr>
          <w:i/>
          <w:spacing w:val="40"/>
          <w:sz w:val="20"/>
        </w:rPr>
        <w:t> </w:t>
      </w:r>
      <w:r>
        <w:rPr>
          <w:i/>
          <w:sz w:val="20"/>
        </w:rPr>
        <w:t>months.</w:t>
      </w:r>
      <w:r>
        <w:rPr>
          <w:i/>
          <w:spacing w:val="40"/>
          <w:sz w:val="20"/>
        </w:rPr>
        <w:t> </w:t>
      </w:r>
      <w:r>
        <w:rPr>
          <w:i/>
          <w:sz w:val="20"/>
        </w:rPr>
        <w:t>New.</w:t>
      </w:r>
      <w:r>
        <w:rPr>
          <w:i/>
          <w:sz w:val="20"/>
        </w:rPr>
        <w:t> Multi-year. </w:t>
      </w:r>
      <w:r>
        <w:rPr>
          <w:sz w:val="20"/>
        </w:rPr>
        <w:t>This position, together with the one existing Field Case Management Assistant as</w:t>
      </w:r>
      <w:r>
        <w:rPr>
          <w:spacing w:val="-13"/>
          <w:sz w:val="20"/>
        </w:rPr>
        <w:t> </w:t>
      </w:r>
      <w:r>
        <w:rPr>
          <w:sz w:val="20"/>
        </w:rPr>
        <w:t>indicated</w:t>
      </w:r>
      <w:r>
        <w:rPr>
          <w:spacing w:val="-8"/>
          <w:sz w:val="20"/>
        </w:rPr>
        <w:t> </w:t>
      </w:r>
      <w:r>
        <w:rPr>
          <w:sz w:val="20"/>
        </w:rPr>
        <w:t>in</w:t>
      </w:r>
      <w:r>
        <w:rPr>
          <w:spacing w:val="-8"/>
          <w:sz w:val="20"/>
        </w:rPr>
        <w:t> </w:t>
      </w:r>
      <w:r>
        <w:rPr>
          <w:sz w:val="20"/>
        </w:rPr>
        <w:t>paragraph</w:t>
      </w:r>
      <w:r>
        <w:rPr>
          <w:spacing w:val="-10"/>
          <w:sz w:val="20"/>
        </w:rPr>
        <w:t> </w:t>
      </w:r>
      <w:hyperlink w:history="true" w:anchor="_bookmark46">
        <w:r>
          <w:rPr>
            <w:sz w:val="20"/>
          </w:rPr>
          <w:t>741,</w:t>
        </w:r>
      </w:hyperlink>
      <w:r>
        <w:rPr>
          <w:spacing w:val="-11"/>
          <w:sz w:val="20"/>
        </w:rPr>
        <w:t> </w:t>
      </w:r>
      <w:r>
        <w:rPr>
          <w:sz w:val="20"/>
        </w:rPr>
        <w:t>form</w:t>
      </w:r>
      <w:r>
        <w:rPr>
          <w:spacing w:val="-7"/>
          <w:sz w:val="20"/>
        </w:rPr>
        <w:t> </w:t>
      </w:r>
      <w:r>
        <w:rPr>
          <w:sz w:val="20"/>
        </w:rPr>
        <w:t>the</w:t>
      </w:r>
      <w:r>
        <w:rPr>
          <w:spacing w:val="-6"/>
          <w:sz w:val="20"/>
        </w:rPr>
        <w:t> </w:t>
      </w:r>
      <w:r>
        <w:rPr>
          <w:sz w:val="20"/>
        </w:rPr>
        <w:t>basic</w:t>
      </w:r>
      <w:r>
        <w:rPr>
          <w:spacing w:val="-7"/>
          <w:sz w:val="20"/>
        </w:rPr>
        <w:t> </w:t>
      </w:r>
      <w:r>
        <w:rPr>
          <w:sz w:val="20"/>
        </w:rPr>
        <w:t>VWS</w:t>
      </w:r>
      <w:r>
        <w:rPr>
          <w:spacing w:val="-13"/>
          <w:sz w:val="20"/>
        </w:rPr>
        <w:t> </w:t>
      </w:r>
      <w:r>
        <w:rPr>
          <w:sz w:val="20"/>
        </w:rPr>
        <w:t>team</w:t>
      </w:r>
      <w:r>
        <w:rPr>
          <w:spacing w:val="-12"/>
          <w:sz w:val="20"/>
        </w:rPr>
        <w:t> </w:t>
      </w:r>
      <w:r>
        <w:rPr>
          <w:sz w:val="20"/>
        </w:rPr>
        <w:t>for</w:t>
      </w:r>
      <w:r>
        <w:rPr>
          <w:spacing w:val="-13"/>
          <w:sz w:val="20"/>
        </w:rPr>
        <w:t> </w:t>
      </w:r>
      <w:r>
        <w:rPr>
          <w:sz w:val="20"/>
        </w:rPr>
        <w:t>the</w:t>
      </w:r>
      <w:r>
        <w:rPr>
          <w:spacing w:val="-7"/>
          <w:sz w:val="20"/>
        </w:rPr>
        <w:t> </w:t>
      </w:r>
      <w:r>
        <w:rPr>
          <w:sz w:val="20"/>
        </w:rPr>
        <w:t>situation</w:t>
      </w:r>
      <w:r>
        <w:rPr>
          <w:spacing w:val="-13"/>
          <w:sz w:val="20"/>
        </w:rPr>
        <w:t> </w:t>
      </w:r>
      <w:r>
        <w:rPr>
          <w:sz w:val="20"/>
        </w:rPr>
        <w:t>in</w:t>
      </w:r>
      <w:r>
        <w:rPr>
          <w:spacing w:val="-8"/>
          <w:sz w:val="20"/>
        </w:rPr>
        <w:t> </w:t>
      </w:r>
      <w:r>
        <w:rPr>
          <w:sz w:val="20"/>
        </w:rPr>
        <w:t>Darfur</w:t>
      </w:r>
      <w:r>
        <w:rPr>
          <w:spacing w:val="-9"/>
          <w:sz w:val="20"/>
        </w:rPr>
        <w:t> </w:t>
      </w:r>
      <w:r>
        <w:rPr>
          <w:sz w:val="20"/>
        </w:rPr>
        <w:t>to</w:t>
      </w:r>
      <w:r>
        <w:rPr>
          <w:spacing w:val="-8"/>
          <w:sz w:val="20"/>
        </w:rPr>
        <w:t> </w:t>
      </w:r>
      <w:r>
        <w:rPr>
          <w:sz w:val="20"/>
        </w:rPr>
        <w:t>support the work of the Associate Field Case Officer in managing the field operations pertaining to the trial and activities related to protection/support in the situation in Darfur, Sudan conducted</w:t>
      </w:r>
      <w:r>
        <w:rPr>
          <w:spacing w:val="-13"/>
          <w:sz w:val="20"/>
        </w:rPr>
        <w:t> </w:t>
      </w:r>
      <w:r>
        <w:rPr>
          <w:sz w:val="20"/>
        </w:rPr>
        <w:t>by</w:t>
      </w:r>
      <w:r>
        <w:rPr>
          <w:spacing w:val="-12"/>
          <w:sz w:val="20"/>
        </w:rPr>
        <w:t> </w:t>
      </w:r>
      <w:r>
        <w:rPr>
          <w:sz w:val="20"/>
        </w:rPr>
        <w:t>VWS.</w:t>
      </w:r>
      <w:r>
        <w:rPr>
          <w:spacing w:val="-13"/>
          <w:sz w:val="20"/>
        </w:rPr>
        <w:t> </w:t>
      </w:r>
      <w:r>
        <w:rPr>
          <w:sz w:val="20"/>
        </w:rPr>
        <w:t>Its</w:t>
      </w:r>
      <w:r>
        <w:rPr>
          <w:spacing w:val="-12"/>
          <w:sz w:val="20"/>
        </w:rPr>
        <w:t> </w:t>
      </w:r>
      <w:r>
        <w:rPr>
          <w:sz w:val="20"/>
        </w:rPr>
        <w:t>main</w:t>
      </w:r>
      <w:r>
        <w:rPr>
          <w:spacing w:val="-13"/>
          <w:sz w:val="20"/>
        </w:rPr>
        <w:t> </w:t>
      </w:r>
      <w:r>
        <w:rPr>
          <w:sz w:val="20"/>
        </w:rPr>
        <w:t>focus</w:t>
      </w:r>
      <w:r>
        <w:rPr>
          <w:spacing w:val="-12"/>
          <w:sz w:val="20"/>
        </w:rPr>
        <w:t> </w:t>
      </w:r>
      <w:r>
        <w:rPr>
          <w:sz w:val="20"/>
        </w:rPr>
        <w:t>will</w:t>
      </w:r>
      <w:r>
        <w:rPr>
          <w:spacing w:val="-13"/>
          <w:sz w:val="20"/>
        </w:rPr>
        <w:t> </w:t>
      </w:r>
      <w:r>
        <w:rPr>
          <w:sz w:val="20"/>
        </w:rPr>
        <w:t>be</w:t>
      </w:r>
      <w:r>
        <w:rPr>
          <w:spacing w:val="-12"/>
          <w:sz w:val="20"/>
        </w:rPr>
        <w:t> </w:t>
      </w:r>
      <w:r>
        <w:rPr>
          <w:sz w:val="20"/>
        </w:rPr>
        <w:t>liaison</w:t>
      </w:r>
      <w:r>
        <w:rPr>
          <w:spacing w:val="-13"/>
          <w:sz w:val="20"/>
        </w:rPr>
        <w:t> </w:t>
      </w:r>
      <w:r>
        <w:rPr>
          <w:sz w:val="20"/>
        </w:rPr>
        <w:t>and</w:t>
      </w:r>
      <w:r>
        <w:rPr>
          <w:spacing w:val="-12"/>
          <w:sz w:val="20"/>
        </w:rPr>
        <w:t> </w:t>
      </w:r>
      <w:r>
        <w:rPr>
          <w:sz w:val="20"/>
        </w:rPr>
        <w:t>management</w:t>
      </w:r>
      <w:r>
        <w:rPr>
          <w:spacing w:val="-13"/>
          <w:sz w:val="20"/>
        </w:rPr>
        <w:t> </w:t>
      </w:r>
      <w:r>
        <w:rPr>
          <w:sz w:val="20"/>
        </w:rPr>
        <w:t>of</w:t>
      </w:r>
      <w:r>
        <w:rPr>
          <w:spacing w:val="-12"/>
          <w:sz w:val="20"/>
        </w:rPr>
        <w:t> </w:t>
      </w:r>
      <w:r>
        <w:rPr>
          <w:sz w:val="20"/>
        </w:rPr>
        <w:t>direct</w:t>
      </w:r>
      <w:r>
        <w:rPr>
          <w:spacing w:val="-13"/>
          <w:sz w:val="20"/>
        </w:rPr>
        <w:t> </w:t>
      </w:r>
      <w:r>
        <w:rPr>
          <w:sz w:val="20"/>
        </w:rPr>
        <w:t>contacts</w:t>
      </w:r>
      <w:r>
        <w:rPr>
          <w:spacing w:val="-12"/>
          <w:sz w:val="20"/>
        </w:rPr>
        <w:t> </w:t>
      </w:r>
      <w:r>
        <w:rPr>
          <w:sz w:val="20"/>
        </w:rPr>
        <w:t>between VWS and the witnesses in the situation in Darfur, Sudan.</w:t>
      </w:r>
    </w:p>
    <w:p>
      <w:pPr>
        <w:pStyle w:val="ListParagraph"/>
        <w:numPr>
          <w:ilvl w:val="0"/>
          <w:numId w:val="4"/>
        </w:numPr>
        <w:tabs>
          <w:tab w:pos="2967" w:val="left" w:leader="none"/>
        </w:tabs>
        <w:spacing w:line="240" w:lineRule="auto" w:before="118" w:after="0"/>
        <w:ind w:left="2246" w:right="2238" w:firstLine="0"/>
        <w:jc w:val="both"/>
        <w:rPr>
          <w:sz w:val="20"/>
        </w:rPr>
      </w:pPr>
      <w:r>
        <w:rPr>
          <w:sz w:val="20"/>
        </w:rPr>
        <w:t>One </w:t>
      </w:r>
      <w:r>
        <w:rPr>
          <w:i/>
          <w:sz w:val="20"/>
        </w:rPr>
        <w:t>Associate Welfare Officer (P-2) (Ukraine), 9 months. New. Multi-year. </w:t>
      </w:r>
      <w:r>
        <w:rPr>
          <w:sz w:val="20"/>
        </w:rPr>
        <w:t>This position forms</w:t>
      </w:r>
      <w:r>
        <w:rPr>
          <w:spacing w:val="-5"/>
          <w:sz w:val="20"/>
        </w:rPr>
        <w:t> </w:t>
      </w:r>
      <w:r>
        <w:rPr>
          <w:sz w:val="20"/>
        </w:rPr>
        <w:t>part</w:t>
      </w:r>
      <w:r>
        <w:rPr>
          <w:spacing w:val="-2"/>
          <w:sz w:val="20"/>
        </w:rPr>
        <w:t> </w:t>
      </w:r>
      <w:r>
        <w:rPr>
          <w:sz w:val="20"/>
        </w:rPr>
        <w:t>of</w:t>
      </w:r>
      <w:r>
        <w:rPr>
          <w:spacing w:val="-4"/>
          <w:sz w:val="20"/>
        </w:rPr>
        <w:t> </w:t>
      </w:r>
      <w:r>
        <w:rPr>
          <w:sz w:val="20"/>
        </w:rPr>
        <w:t>the</w:t>
      </w:r>
      <w:r>
        <w:rPr>
          <w:spacing w:val="-2"/>
          <w:sz w:val="20"/>
        </w:rPr>
        <w:t> </w:t>
      </w:r>
      <w:r>
        <w:rPr>
          <w:sz w:val="20"/>
        </w:rPr>
        <w:t>basic</w:t>
      </w:r>
      <w:r>
        <w:rPr>
          <w:spacing w:val="-2"/>
          <w:sz w:val="20"/>
        </w:rPr>
        <w:t> </w:t>
      </w:r>
      <w:r>
        <w:rPr>
          <w:sz w:val="20"/>
        </w:rPr>
        <w:t>VWS</w:t>
      </w:r>
      <w:r>
        <w:rPr>
          <w:spacing w:val="-5"/>
          <w:sz w:val="20"/>
        </w:rPr>
        <w:t> </w:t>
      </w:r>
      <w:r>
        <w:rPr>
          <w:sz w:val="20"/>
        </w:rPr>
        <w:t>team for</w:t>
      </w:r>
      <w:r>
        <w:rPr>
          <w:spacing w:val="-4"/>
          <w:sz w:val="20"/>
        </w:rPr>
        <w:t> </w:t>
      </w:r>
      <w:r>
        <w:rPr>
          <w:sz w:val="20"/>
        </w:rPr>
        <w:t>the</w:t>
      </w:r>
      <w:r>
        <w:rPr>
          <w:spacing w:val="-2"/>
          <w:sz w:val="20"/>
        </w:rPr>
        <w:t> </w:t>
      </w:r>
      <w:r>
        <w:rPr>
          <w:sz w:val="20"/>
        </w:rPr>
        <w:t>situation</w:t>
      </w:r>
      <w:r>
        <w:rPr>
          <w:spacing w:val="-4"/>
          <w:sz w:val="20"/>
        </w:rPr>
        <w:t> </w:t>
      </w:r>
      <w:r>
        <w:rPr>
          <w:sz w:val="20"/>
        </w:rPr>
        <w:t>in Ukraine to provide support</w:t>
      </w:r>
      <w:r>
        <w:rPr>
          <w:spacing w:val="-2"/>
          <w:sz w:val="20"/>
        </w:rPr>
        <w:t> </w:t>
      </w:r>
      <w:r>
        <w:rPr>
          <w:sz w:val="20"/>
        </w:rPr>
        <w:t>to victims and witnesses. It is responsible for assessing the witnesses’ psychosocial needs and vulnerability and will ensure the implementation of measures approved by VWS management.</w:t>
      </w:r>
      <w:r>
        <w:rPr>
          <w:spacing w:val="-1"/>
          <w:sz w:val="20"/>
        </w:rPr>
        <w:t> </w:t>
      </w:r>
      <w:r>
        <w:rPr>
          <w:sz w:val="20"/>
        </w:rPr>
        <w:t>The</w:t>
      </w:r>
      <w:r>
        <w:rPr>
          <w:spacing w:val="-2"/>
          <w:sz w:val="20"/>
        </w:rPr>
        <w:t> </w:t>
      </w:r>
      <w:r>
        <w:rPr>
          <w:sz w:val="20"/>
        </w:rPr>
        <w:t>incumbent</w:t>
      </w:r>
      <w:r>
        <w:rPr>
          <w:spacing w:val="-2"/>
          <w:sz w:val="20"/>
        </w:rPr>
        <w:t> </w:t>
      </w:r>
      <w:r>
        <w:rPr>
          <w:sz w:val="20"/>
        </w:rPr>
        <w:t>will</w:t>
      </w:r>
      <w:r>
        <w:rPr>
          <w:spacing w:val="-2"/>
          <w:sz w:val="20"/>
        </w:rPr>
        <w:t> </w:t>
      </w:r>
      <w:r>
        <w:rPr>
          <w:sz w:val="20"/>
        </w:rPr>
        <w:t>also</w:t>
      </w:r>
      <w:r>
        <w:rPr>
          <w:spacing w:val="-4"/>
          <w:sz w:val="20"/>
        </w:rPr>
        <w:t> </w:t>
      </w:r>
      <w:r>
        <w:rPr>
          <w:sz w:val="20"/>
        </w:rPr>
        <w:t>liaise</w:t>
      </w:r>
      <w:r>
        <w:rPr>
          <w:spacing w:val="-2"/>
          <w:sz w:val="20"/>
        </w:rPr>
        <w:t> </w:t>
      </w:r>
      <w:r>
        <w:rPr>
          <w:sz w:val="20"/>
        </w:rPr>
        <w:t>with service</w:t>
      </w:r>
      <w:r>
        <w:rPr>
          <w:spacing w:val="-2"/>
          <w:sz w:val="20"/>
        </w:rPr>
        <w:t> </w:t>
      </w:r>
      <w:r>
        <w:rPr>
          <w:sz w:val="20"/>
        </w:rPr>
        <w:t>providers</w:t>
      </w:r>
      <w:r>
        <w:rPr>
          <w:spacing w:val="-5"/>
          <w:sz w:val="20"/>
        </w:rPr>
        <w:t> </w:t>
      </w:r>
      <w:r>
        <w:rPr>
          <w:sz w:val="20"/>
        </w:rPr>
        <w:t>and</w:t>
      </w:r>
      <w:r>
        <w:rPr>
          <w:spacing w:val="-4"/>
          <w:sz w:val="20"/>
        </w:rPr>
        <w:t> </w:t>
      </w:r>
      <w:r>
        <w:rPr>
          <w:sz w:val="20"/>
        </w:rPr>
        <w:t>coordinate</w:t>
      </w:r>
      <w:r>
        <w:rPr>
          <w:spacing w:val="-2"/>
          <w:sz w:val="20"/>
        </w:rPr>
        <w:t> </w:t>
      </w:r>
      <w:r>
        <w:rPr>
          <w:sz w:val="20"/>
        </w:rPr>
        <w:t>efforts</w:t>
      </w:r>
      <w:r>
        <w:rPr>
          <w:spacing w:val="-5"/>
          <w:sz w:val="20"/>
        </w:rPr>
        <w:t> </w:t>
      </w:r>
      <w:r>
        <w:rPr>
          <w:sz w:val="20"/>
        </w:rPr>
        <w:t>in medical and mental health care for witnesses and victims and prioritize the safety, physical and psychological well-being, dignity and privacy of all referred witnesses and victims.</w:t>
      </w:r>
    </w:p>
    <w:p>
      <w:pPr>
        <w:pStyle w:val="ListParagraph"/>
        <w:numPr>
          <w:ilvl w:val="0"/>
          <w:numId w:val="4"/>
        </w:numPr>
        <w:tabs>
          <w:tab w:pos="2967" w:val="left" w:leader="none"/>
        </w:tabs>
        <w:spacing w:line="240" w:lineRule="auto" w:before="124" w:after="0"/>
        <w:ind w:left="2246" w:right="2242" w:firstLine="0"/>
        <w:jc w:val="both"/>
        <w:rPr>
          <w:sz w:val="20"/>
        </w:rPr>
      </w:pPr>
      <w:r>
        <w:rPr>
          <w:sz w:val="20"/>
        </w:rPr>
        <w:t>Two </w:t>
      </w:r>
      <w:r>
        <w:rPr>
          <w:i/>
          <w:sz w:val="20"/>
        </w:rPr>
        <w:t>Field Case Management Assistants (GS-OL) (Ukraine), 9 months. New.</w:t>
      </w:r>
      <w:r>
        <w:rPr>
          <w:i/>
          <w:sz w:val="20"/>
        </w:rPr>
        <w:t> Multi-year. </w:t>
      </w:r>
      <w:r>
        <w:rPr>
          <w:sz w:val="20"/>
        </w:rPr>
        <w:t>These positions are required to support the Associate Field Case Officer in the new situation in Ukraine in terms of the management of all activities related to field operations on the ground and to directly assist in the implementation of VWS’s mandate. Their main focus will be the liaison and management of direct contacts between VWS and the witnesses as well as supporting the implementation of any related activities.</w:t>
      </w:r>
    </w:p>
    <w:p>
      <w:pPr>
        <w:pStyle w:val="ListParagraph"/>
        <w:numPr>
          <w:ilvl w:val="0"/>
          <w:numId w:val="4"/>
        </w:numPr>
        <w:tabs>
          <w:tab w:pos="2967" w:val="left" w:leader="none"/>
        </w:tabs>
        <w:spacing w:line="240" w:lineRule="auto" w:before="118" w:after="0"/>
        <w:ind w:left="2246" w:right="2240" w:firstLine="0"/>
        <w:jc w:val="both"/>
        <w:rPr>
          <w:sz w:val="20"/>
        </w:rPr>
      </w:pPr>
      <w:r>
        <w:rPr>
          <w:sz w:val="20"/>
        </w:rPr>
        <w:t>One</w:t>
      </w:r>
      <w:r>
        <w:rPr>
          <w:spacing w:val="-13"/>
          <w:sz w:val="20"/>
        </w:rPr>
        <w:t> </w:t>
      </w:r>
      <w:r>
        <w:rPr>
          <w:i/>
          <w:sz w:val="20"/>
        </w:rPr>
        <w:t>Associate</w:t>
      </w:r>
      <w:r>
        <w:rPr>
          <w:i/>
          <w:spacing w:val="-12"/>
          <w:sz w:val="20"/>
        </w:rPr>
        <w:t> </w:t>
      </w:r>
      <w:r>
        <w:rPr>
          <w:i/>
          <w:sz w:val="20"/>
        </w:rPr>
        <w:t>Analyst</w:t>
      </w:r>
      <w:r>
        <w:rPr>
          <w:i/>
          <w:spacing w:val="-13"/>
          <w:sz w:val="20"/>
        </w:rPr>
        <w:t> </w:t>
      </w:r>
      <w:r>
        <w:rPr>
          <w:i/>
          <w:sz w:val="20"/>
        </w:rPr>
        <w:t>(P-2)</w:t>
      </w:r>
      <w:r>
        <w:rPr>
          <w:i/>
          <w:spacing w:val="-12"/>
          <w:sz w:val="20"/>
        </w:rPr>
        <w:t> </w:t>
      </w:r>
      <w:r>
        <w:rPr>
          <w:i/>
          <w:sz w:val="20"/>
        </w:rPr>
        <w:t>(Headquarters</w:t>
      </w:r>
      <w:r>
        <w:rPr>
          <w:i/>
          <w:spacing w:val="-13"/>
          <w:sz w:val="20"/>
        </w:rPr>
        <w:t> </w:t>
      </w:r>
      <w:r>
        <w:rPr>
          <w:i/>
          <w:sz w:val="20"/>
        </w:rPr>
        <w:t>-</w:t>
      </w:r>
      <w:r>
        <w:rPr>
          <w:i/>
          <w:spacing w:val="-12"/>
          <w:sz w:val="20"/>
        </w:rPr>
        <w:t> </w:t>
      </w:r>
      <w:r>
        <w:rPr>
          <w:i/>
          <w:sz w:val="20"/>
        </w:rPr>
        <w:t>VWS),</w:t>
      </w:r>
      <w:r>
        <w:rPr>
          <w:i/>
          <w:spacing w:val="-13"/>
          <w:sz w:val="20"/>
        </w:rPr>
        <w:t> </w:t>
      </w:r>
      <w:r>
        <w:rPr>
          <w:i/>
          <w:sz w:val="20"/>
        </w:rPr>
        <w:t>9</w:t>
      </w:r>
      <w:r>
        <w:rPr>
          <w:i/>
          <w:spacing w:val="-12"/>
          <w:sz w:val="20"/>
        </w:rPr>
        <w:t> </w:t>
      </w:r>
      <w:r>
        <w:rPr>
          <w:i/>
          <w:sz w:val="20"/>
        </w:rPr>
        <w:t>months.</w:t>
      </w:r>
      <w:r>
        <w:rPr>
          <w:i/>
          <w:spacing w:val="-13"/>
          <w:sz w:val="20"/>
        </w:rPr>
        <w:t> </w:t>
      </w:r>
      <w:r>
        <w:rPr>
          <w:i/>
          <w:sz w:val="20"/>
        </w:rPr>
        <w:t>New.</w:t>
      </w:r>
      <w:r>
        <w:rPr>
          <w:i/>
          <w:spacing w:val="-12"/>
          <w:sz w:val="20"/>
        </w:rPr>
        <w:t> </w:t>
      </w:r>
      <w:r>
        <w:rPr>
          <w:i/>
          <w:sz w:val="20"/>
        </w:rPr>
        <w:t>Multi-year.</w:t>
      </w:r>
      <w:r>
        <w:rPr>
          <w:i/>
          <w:spacing w:val="-13"/>
          <w:sz w:val="20"/>
        </w:rPr>
        <w:t> </w:t>
      </w:r>
      <w:r>
        <w:rPr>
          <w:sz w:val="20"/>
        </w:rPr>
        <w:t>The requested position also forms part of the basic VWS team for the situation in Ukraine to provide analysis</w:t>
      </w:r>
      <w:r>
        <w:rPr>
          <w:spacing w:val="-2"/>
          <w:sz w:val="20"/>
        </w:rPr>
        <w:t> </w:t>
      </w:r>
      <w:r>
        <w:rPr>
          <w:sz w:val="20"/>
        </w:rPr>
        <w:t>and</w:t>
      </w:r>
      <w:r>
        <w:rPr>
          <w:spacing w:val="-5"/>
          <w:sz w:val="20"/>
        </w:rPr>
        <w:t> </w:t>
      </w:r>
      <w:r>
        <w:rPr>
          <w:sz w:val="20"/>
        </w:rPr>
        <w:t>research</w:t>
      </w:r>
      <w:r>
        <w:rPr>
          <w:spacing w:val="-1"/>
          <w:sz w:val="20"/>
        </w:rPr>
        <w:t> </w:t>
      </w:r>
      <w:r>
        <w:rPr>
          <w:sz w:val="20"/>
        </w:rPr>
        <w:t>work</w:t>
      </w:r>
      <w:r>
        <w:rPr>
          <w:spacing w:val="-1"/>
          <w:sz w:val="20"/>
        </w:rPr>
        <w:t> </w:t>
      </w:r>
      <w:r>
        <w:rPr>
          <w:sz w:val="20"/>
        </w:rPr>
        <w:t>from Headquarters, which is</w:t>
      </w:r>
      <w:r>
        <w:rPr>
          <w:spacing w:val="-2"/>
          <w:sz w:val="20"/>
        </w:rPr>
        <w:t> </w:t>
      </w:r>
      <w:r>
        <w:rPr>
          <w:sz w:val="20"/>
        </w:rPr>
        <w:t>essential to</w:t>
      </w:r>
      <w:r>
        <w:rPr>
          <w:spacing w:val="-1"/>
          <w:sz w:val="20"/>
        </w:rPr>
        <w:t> </w:t>
      </w:r>
      <w:r>
        <w:rPr>
          <w:sz w:val="20"/>
        </w:rPr>
        <w:t>the operational team. This position will undertake information-gathering and analysis, and the monitoring and review of all information relevant to the security and safety of witnesses and victims associated not only with the situation in Ukraine but also with the situation in Georgia. Therefore,</w:t>
      </w:r>
      <w:r>
        <w:rPr>
          <w:spacing w:val="-1"/>
          <w:sz w:val="20"/>
        </w:rPr>
        <w:t> </w:t>
      </w:r>
      <w:r>
        <w:rPr>
          <w:sz w:val="20"/>
        </w:rPr>
        <w:t>this position</w:t>
      </w:r>
      <w:r>
        <w:rPr>
          <w:spacing w:val="-4"/>
          <w:sz w:val="20"/>
        </w:rPr>
        <w:t> </w:t>
      </w:r>
      <w:r>
        <w:rPr>
          <w:sz w:val="20"/>
        </w:rPr>
        <w:t>requires specific</w:t>
      </w:r>
      <w:r>
        <w:rPr>
          <w:spacing w:val="-2"/>
          <w:sz w:val="20"/>
        </w:rPr>
        <w:t> </w:t>
      </w:r>
      <w:r>
        <w:rPr>
          <w:sz w:val="20"/>
        </w:rPr>
        <w:t>and</w:t>
      </w:r>
      <w:r>
        <w:rPr>
          <w:spacing w:val="-4"/>
          <w:sz w:val="20"/>
        </w:rPr>
        <w:t> </w:t>
      </w:r>
      <w:r>
        <w:rPr>
          <w:sz w:val="20"/>
        </w:rPr>
        <w:t>expert knowledge as well as relevant</w:t>
      </w:r>
      <w:r>
        <w:rPr>
          <w:spacing w:val="-2"/>
          <w:sz w:val="20"/>
        </w:rPr>
        <w:t> </w:t>
      </w:r>
      <w:r>
        <w:rPr>
          <w:sz w:val="20"/>
        </w:rPr>
        <w:t>language skills</w:t>
      </w:r>
      <w:r>
        <w:rPr>
          <w:spacing w:val="-13"/>
          <w:sz w:val="20"/>
        </w:rPr>
        <w:t> </w:t>
      </w:r>
      <w:r>
        <w:rPr>
          <w:sz w:val="20"/>
        </w:rPr>
        <w:t>in</w:t>
      </w:r>
      <w:r>
        <w:rPr>
          <w:spacing w:val="-12"/>
          <w:sz w:val="20"/>
        </w:rPr>
        <w:t> </w:t>
      </w:r>
      <w:r>
        <w:rPr>
          <w:sz w:val="20"/>
        </w:rPr>
        <w:t>order</w:t>
      </w:r>
      <w:r>
        <w:rPr>
          <w:spacing w:val="-13"/>
          <w:sz w:val="20"/>
        </w:rPr>
        <w:t> </w:t>
      </w:r>
      <w:r>
        <w:rPr>
          <w:sz w:val="20"/>
        </w:rPr>
        <w:t>to</w:t>
      </w:r>
      <w:r>
        <w:rPr>
          <w:spacing w:val="-12"/>
          <w:sz w:val="20"/>
        </w:rPr>
        <w:t> </w:t>
      </w:r>
      <w:r>
        <w:rPr>
          <w:sz w:val="20"/>
        </w:rPr>
        <w:t>be</w:t>
      </w:r>
      <w:r>
        <w:rPr>
          <w:spacing w:val="-13"/>
          <w:sz w:val="20"/>
        </w:rPr>
        <w:t> </w:t>
      </w:r>
      <w:r>
        <w:rPr>
          <w:sz w:val="20"/>
        </w:rPr>
        <w:t>able</w:t>
      </w:r>
      <w:r>
        <w:rPr>
          <w:spacing w:val="-12"/>
          <w:sz w:val="20"/>
        </w:rPr>
        <w:t> </w:t>
      </w:r>
      <w:r>
        <w:rPr>
          <w:sz w:val="20"/>
        </w:rPr>
        <w:t>to</w:t>
      </w:r>
      <w:r>
        <w:rPr>
          <w:spacing w:val="-13"/>
          <w:sz w:val="20"/>
        </w:rPr>
        <w:t> </w:t>
      </w:r>
      <w:r>
        <w:rPr>
          <w:sz w:val="20"/>
        </w:rPr>
        <w:t>deliver</w:t>
      </w:r>
      <w:r>
        <w:rPr>
          <w:spacing w:val="-12"/>
          <w:sz w:val="20"/>
        </w:rPr>
        <w:t> </w:t>
      </w:r>
      <w:r>
        <w:rPr>
          <w:sz w:val="20"/>
        </w:rPr>
        <w:t>situational</w:t>
      </w:r>
      <w:r>
        <w:rPr>
          <w:spacing w:val="-13"/>
          <w:sz w:val="20"/>
        </w:rPr>
        <w:t> </w:t>
      </w:r>
      <w:r>
        <w:rPr>
          <w:sz w:val="20"/>
        </w:rPr>
        <w:t>analysis</w:t>
      </w:r>
      <w:r>
        <w:rPr>
          <w:spacing w:val="-12"/>
          <w:sz w:val="20"/>
        </w:rPr>
        <w:t> </w:t>
      </w:r>
      <w:r>
        <w:rPr>
          <w:sz w:val="20"/>
        </w:rPr>
        <w:t>and</w:t>
      </w:r>
      <w:r>
        <w:rPr>
          <w:spacing w:val="-13"/>
          <w:sz w:val="20"/>
        </w:rPr>
        <w:t> </w:t>
      </w:r>
      <w:r>
        <w:rPr>
          <w:sz w:val="20"/>
        </w:rPr>
        <w:t>threat</w:t>
      </w:r>
      <w:r>
        <w:rPr>
          <w:spacing w:val="-12"/>
          <w:sz w:val="20"/>
        </w:rPr>
        <w:t> </w:t>
      </w:r>
      <w:r>
        <w:rPr>
          <w:sz w:val="20"/>
        </w:rPr>
        <w:t>and</w:t>
      </w:r>
      <w:r>
        <w:rPr>
          <w:spacing w:val="-13"/>
          <w:sz w:val="20"/>
        </w:rPr>
        <w:t> </w:t>
      </w:r>
      <w:r>
        <w:rPr>
          <w:sz w:val="20"/>
        </w:rPr>
        <w:t>risk</w:t>
      </w:r>
      <w:r>
        <w:rPr>
          <w:spacing w:val="-12"/>
          <w:sz w:val="20"/>
        </w:rPr>
        <w:t> </w:t>
      </w:r>
      <w:r>
        <w:rPr>
          <w:sz w:val="20"/>
        </w:rPr>
        <w:t>assessments</w:t>
      </w:r>
      <w:r>
        <w:rPr>
          <w:spacing w:val="-13"/>
          <w:sz w:val="20"/>
        </w:rPr>
        <w:t> </w:t>
      </w:r>
      <w:r>
        <w:rPr>
          <w:sz w:val="20"/>
        </w:rPr>
        <w:t>specific to the individual witnesses and victims in the situations in Ukraine and in Georgia. This position will provide situation threat and risk analysis and individual threat assessments for each witness and victim referred to VWS for protection in these two situations. It will also assist</w:t>
      </w:r>
      <w:r>
        <w:rPr>
          <w:spacing w:val="-13"/>
          <w:sz w:val="20"/>
        </w:rPr>
        <w:t> </w:t>
      </w:r>
      <w:r>
        <w:rPr>
          <w:sz w:val="20"/>
        </w:rPr>
        <w:t>the</w:t>
      </w:r>
      <w:r>
        <w:rPr>
          <w:spacing w:val="-12"/>
          <w:sz w:val="20"/>
        </w:rPr>
        <w:t> </w:t>
      </w:r>
      <w:r>
        <w:rPr>
          <w:sz w:val="20"/>
        </w:rPr>
        <w:t>situation</w:t>
      </w:r>
      <w:r>
        <w:rPr>
          <w:spacing w:val="-13"/>
          <w:sz w:val="20"/>
        </w:rPr>
        <w:t> </w:t>
      </w:r>
      <w:r>
        <w:rPr>
          <w:sz w:val="20"/>
        </w:rPr>
        <w:t>team</w:t>
      </w:r>
      <w:r>
        <w:rPr>
          <w:spacing w:val="-12"/>
          <w:sz w:val="20"/>
        </w:rPr>
        <w:t> </w:t>
      </w:r>
      <w:r>
        <w:rPr>
          <w:sz w:val="20"/>
        </w:rPr>
        <w:t>in</w:t>
      </w:r>
      <w:r>
        <w:rPr>
          <w:spacing w:val="-13"/>
          <w:sz w:val="20"/>
        </w:rPr>
        <w:t> </w:t>
      </w:r>
      <w:r>
        <w:rPr>
          <w:sz w:val="20"/>
        </w:rPr>
        <w:t>identifying</w:t>
      </w:r>
      <w:r>
        <w:rPr>
          <w:spacing w:val="-12"/>
          <w:sz w:val="20"/>
        </w:rPr>
        <w:t> </w:t>
      </w:r>
      <w:r>
        <w:rPr>
          <w:sz w:val="20"/>
        </w:rPr>
        <w:t>possible</w:t>
      </w:r>
      <w:r>
        <w:rPr>
          <w:spacing w:val="-13"/>
          <w:sz w:val="20"/>
        </w:rPr>
        <w:t> </w:t>
      </w:r>
      <w:r>
        <w:rPr>
          <w:sz w:val="20"/>
        </w:rPr>
        <w:t>risks</w:t>
      </w:r>
      <w:r>
        <w:rPr>
          <w:spacing w:val="-12"/>
          <w:sz w:val="20"/>
        </w:rPr>
        <w:t> </w:t>
      </w:r>
      <w:r>
        <w:rPr>
          <w:sz w:val="20"/>
        </w:rPr>
        <w:t>in</w:t>
      </w:r>
      <w:r>
        <w:rPr>
          <w:spacing w:val="-13"/>
          <w:sz w:val="20"/>
        </w:rPr>
        <w:t> </w:t>
      </w:r>
      <w:r>
        <w:rPr>
          <w:sz w:val="20"/>
        </w:rPr>
        <w:t>advance</w:t>
      </w:r>
      <w:r>
        <w:rPr>
          <w:spacing w:val="-12"/>
          <w:sz w:val="20"/>
        </w:rPr>
        <w:t> </w:t>
      </w:r>
      <w:r>
        <w:rPr>
          <w:sz w:val="20"/>
        </w:rPr>
        <w:t>and</w:t>
      </w:r>
      <w:r>
        <w:rPr>
          <w:spacing w:val="-13"/>
          <w:sz w:val="20"/>
        </w:rPr>
        <w:t> </w:t>
      </w:r>
      <w:r>
        <w:rPr>
          <w:sz w:val="20"/>
        </w:rPr>
        <w:t>provide</w:t>
      </w:r>
      <w:r>
        <w:rPr>
          <w:spacing w:val="-12"/>
          <w:sz w:val="20"/>
        </w:rPr>
        <w:t> </w:t>
      </w:r>
      <w:r>
        <w:rPr>
          <w:sz w:val="20"/>
        </w:rPr>
        <w:t>advice</w:t>
      </w:r>
      <w:r>
        <w:rPr>
          <w:spacing w:val="-13"/>
          <w:sz w:val="20"/>
        </w:rPr>
        <w:t> </w:t>
      </w:r>
      <w:r>
        <w:rPr>
          <w:sz w:val="20"/>
        </w:rPr>
        <w:t>in</w:t>
      </w:r>
      <w:r>
        <w:rPr>
          <w:spacing w:val="-12"/>
          <w:sz w:val="20"/>
        </w:rPr>
        <w:t> </w:t>
      </w:r>
      <w:r>
        <w:rPr>
          <w:sz w:val="20"/>
        </w:rPr>
        <w:t>relation to</w:t>
      </w:r>
      <w:r>
        <w:rPr>
          <w:spacing w:val="-10"/>
          <w:sz w:val="20"/>
        </w:rPr>
        <w:t> </w:t>
      </w:r>
      <w:r>
        <w:rPr>
          <w:sz w:val="20"/>
        </w:rPr>
        <w:t>field</w:t>
      </w:r>
      <w:r>
        <w:rPr>
          <w:spacing w:val="-12"/>
          <w:sz w:val="20"/>
        </w:rPr>
        <w:t> </w:t>
      </w:r>
      <w:r>
        <w:rPr>
          <w:sz w:val="20"/>
        </w:rPr>
        <w:t>operations</w:t>
      </w:r>
      <w:r>
        <w:rPr>
          <w:spacing w:val="-13"/>
          <w:sz w:val="20"/>
        </w:rPr>
        <w:t> </w:t>
      </w:r>
      <w:r>
        <w:rPr>
          <w:sz w:val="20"/>
        </w:rPr>
        <w:t>and</w:t>
      </w:r>
      <w:r>
        <w:rPr>
          <w:spacing w:val="-12"/>
          <w:sz w:val="20"/>
        </w:rPr>
        <w:t> </w:t>
      </w:r>
      <w:r>
        <w:rPr>
          <w:sz w:val="20"/>
        </w:rPr>
        <w:t>the</w:t>
      </w:r>
      <w:r>
        <w:rPr>
          <w:spacing w:val="-10"/>
          <w:sz w:val="20"/>
        </w:rPr>
        <w:t> </w:t>
      </w:r>
      <w:r>
        <w:rPr>
          <w:sz w:val="20"/>
        </w:rPr>
        <w:t>protection</w:t>
      </w:r>
      <w:r>
        <w:rPr>
          <w:spacing w:val="-7"/>
          <w:sz w:val="20"/>
        </w:rPr>
        <w:t> </w:t>
      </w:r>
      <w:r>
        <w:rPr>
          <w:sz w:val="20"/>
        </w:rPr>
        <w:t>of</w:t>
      </w:r>
      <w:r>
        <w:rPr>
          <w:spacing w:val="-7"/>
          <w:sz w:val="20"/>
        </w:rPr>
        <w:t> </w:t>
      </w:r>
      <w:r>
        <w:rPr>
          <w:sz w:val="20"/>
        </w:rPr>
        <w:t>witnesses</w:t>
      </w:r>
      <w:r>
        <w:rPr>
          <w:spacing w:val="-13"/>
          <w:sz w:val="20"/>
        </w:rPr>
        <w:t> </w:t>
      </w:r>
      <w:r>
        <w:rPr>
          <w:sz w:val="20"/>
        </w:rPr>
        <w:t>and</w:t>
      </w:r>
      <w:r>
        <w:rPr>
          <w:spacing w:val="-6"/>
          <w:sz w:val="20"/>
        </w:rPr>
        <w:t> </w:t>
      </w:r>
      <w:r>
        <w:rPr>
          <w:sz w:val="20"/>
        </w:rPr>
        <w:t>victims.</w:t>
      </w:r>
      <w:r>
        <w:rPr>
          <w:spacing w:val="-5"/>
          <w:sz w:val="20"/>
        </w:rPr>
        <w:t> </w:t>
      </w:r>
      <w:r>
        <w:rPr>
          <w:sz w:val="20"/>
        </w:rPr>
        <w:t>The</w:t>
      </w:r>
      <w:r>
        <w:rPr>
          <w:spacing w:val="-11"/>
          <w:sz w:val="20"/>
        </w:rPr>
        <w:t> </w:t>
      </w:r>
      <w:r>
        <w:rPr>
          <w:sz w:val="20"/>
        </w:rPr>
        <w:t>capacity</w:t>
      </w:r>
      <w:r>
        <w:rPr>
          <w:spacing w:val="-12"/>
          <w:sz w:val="20"/>
        </w:rPr>
        <w:t> </w:t>
      </w:r>
      <w:r>
        <w:rPr>
          <w:sz w:val="20"/>
        </w:rPr>
        <w:t>of</w:t>
      </w:r>
      <w:r>
        <w:rPr>
          <w:spacing w:val="-12"/>
          <w:sz w:val="20"/>
        </w:rPr>
        <w:t> </w:t>
      </w:r>
      <w:r>
        <w:rPr>
          <w:sz w:val="20"/>
        </w:rPr>
        <w:t>the</w:t>
      </w:r>
      <w:r>
        <w:rPr>
          <w:spacing w:val="-6"/>
          <w:sz w:val="20"/>
        </w:rPr>
        <w:t> </w:t>
      </w:r>
      <w:r>
        <w:rPr>
          <w:sz w:val="20"/>
        </w:rPr>
        <w:t>VWS</w:t>
      </w:r>
      <w:r>
        <w:rPr>
          <w:spacing w:val="-13"/>
          <w:sz w:val="20"/>
        </w:rPr>
        <w:t> </w:t>
      </w:r>
      <w:r>
        <w:rPr>
          <w:sz w:val="20"/>
        </w:rPr>
        <w:t>case development</w:t>
      </w:r>
      <w:r>
        <w:rPr>
          <w:spacing w:val="-2"/>
          <w:sz w:val="20"/>
        </w:rPr>
        <w:t> </w:t>
      </w:r>
      <w:r>
        <w:rPr>
          <w:sz w:val="20"/>
        </w:rPr>
        <w:t>team</w:t>
      </w:r>
      <w:r>
        <w:rPr>
          <w:spacing w:val="-2"/>
          <w:sz w:val="20"/>
        </w:rPr>
        <w:t> </w:t>
      </w:r>
      <w:r>
        <w:rPr>
          <w:sz w:val="20"/>
        </w:rPr>
        <w:t>for</w:t>
      </w:r>
      <w:r>
        <w:rPr>
          <w:spacing w:val="-4"/>
          <w:sz w:val="20"/>
        </w:rPr>
        <w:t> </w:t>
      </w:r>
      <w:r>
        <w:rPr>
          <w:sz w:val="20"/>
        </w:rPr>
        <w:t>its</w:t>
      </w:r>
      <w:r>
        <w:rPr>
          <w:spacing w:val="-5"/>
          <w:sz w:val="20"/>
        </w:rPr>
        <w:t> </w:t>
      </w:r>
      <w:r>
        <w:rPr>
          <w:sz w:val="20"/>
        </w:rPr>
        <w:t>threat</w:t>
      </w:r>
      <w:r>
        <w:rPr>
          <w:spacing w:val="-2"/>
          <w:sz w:val="20"/>
        </w:rPr>
        <w:t> </w:t>
      </w:r>
      <w:r>
        <w:rPr>
          <w:sz w:val="20"/>
        </w:rPr>
        <w:t>and</w:t>
      </w:r>
      <w:r>
        <w:rPr>
          <w:spacing w:val="-4"/>
          <w:sz w:val="20"/>
        </w:rPr>
        <w:t> </w:t>
      </w:r>
      <w:r>
        <w:rPr>
          <w:sz w:val="20"/>
        </w:rPr>
        <w:t>risk</w:t>
      </w:r>
      <w:r>
        <w:rPr>
          <w:spacing w:val="-8"/>
          <w:sz w:val="20"/>
        </w:rPr>
        <w:t> </w:t>
      </w:r>
      <w:r>
        <w:rPr>
          <w:sz w:val="20"/>
        </w:rPr>
        <w:t>assessment</w:t>
      </w:r>
      <w:r>
        <w:rPr>
          <w:spacing w:val="-7"/>
          <w:sz w:val="20"/>
        </w:rPr>
        <w:t> </w:t>
      </w:r>
      <w:r>
        <w:rPr>
          <w:sz w:val="20"/>
        </w:rPr>
        <w:t>of</w:t>
      </w:r>
      <w:r>
        <w:rPr>
          <w:spacing w:val="-8"/>
          <w:sz w:val="20"/>
        </w:rPr>
        <w:t> </w:t>
      </w:r>
      <w:r>
        <w:rPr>
          <w:sz w:val="20"/>
        </w:rPr>
        <w:t>all</w:t>
      </w:r>
      <w:r>
        <w:rPr>
          <w:spacing w:val="-1"/>
          <w:sz w:val="20"/>
        </w:rPr>
        <w:t> </w:t>
      </w:r>
      <w:r>
        <w:rPr>
          <w:sz w:val="20"/>
        </w:rPr>
        <w:t>other</w:t>
      </w:r>
      <w:r>
        <w:rPr>
          <w:spacing w:val="-4"/>
          <w:sz w:val="20"/>
        </w:rPr>
        <w:t> </w:t>
      </w:r>
      <w:r>
        <w:rPr>
          <w:sz w:val="20"/>
        </w:rPr>
        <w:t>situation</w:t>
      </w:r>
      <w:r>
        <w:rPr>
          <w:spacing w:val="-8"/>
          <w:sz w:val="20"/>
        </w:rPr>
        <w:t> </w:t>
      </w:r>
      <w:r>
        <w:rPr>
          <w:sz w:val="20"/>
        </w:rPr>
        <w:t>countries</w:t>
      </w:r>
      <w:r>
        <w:rPr>
          <w:spacing w:val="-5"/>
          <w:sz w:val="20"/>
        </w:rPr>
        <w:t> </w:t>
      </w:r>
      <w:r>
        <w:rPr>
          <w:sz w:val="20"/>
        </w:rPr>
        <w:t>where</w:t>
      </w:r>
      <w:r>
        <w:rPr>
          <w:spacing w:val="-7"/>
          <w:sz w:val="20"/>
        </w:rPr>
        <w:t> </w:t>
      </w:r>
      <w:r>
        <w:rPr>
          <w:sz w:val="20"/>
        </w:rPr>
        <w:t>the Court operates, as indicated in paragraph </w:t>
      </w:r>
      <w:hyperlink w:history="true" w:anchor="_bookmark45">
        <w:r>
          <w:rPr>
            <w:sz w:val="20"/>
          </w:rPr>
          <w:t>727,</w:t>
        </w:r>
      </w:hyperlink>
      <w:r>
        <w:rPr>
          <w:sz w:val="20"/>
        </w:rPr>
        <w:t> will be reinforced by this position.</w:t>
      </w:r>
    </w:p>
    <w:p>
      <w:pPr>
        <w:pStyle w:val="ListParagraph"/>
        <w:numPr>
          <w:ilvl w:val="0"/>
          <w:numId w:val="4"/>
        </w:numPr>
        <w:tabs>
          <w:tab w:pos="2967" w:val="left" w:leader="none"/>
        </w:tabs>
        <w:spacing w:line="240" w:lineRule="auto" w:before="122" w:after="0"/>
        <w:ind w:left="2246" w:right="2235" w:firstLine="0"/>
        <w:jc w:val="both"/>
        <w:rPr>
          <w:sz w:val="20"/>
        </w:rPr>
      </w:pPr>
      <w:r>
        <w:rPr>
          <w:sz w:val="20"/>
        </w:rPr>
        <w:t>One </w:t>
      </w:r>
      <w:r>
        <w:rPr>
          <w:i/>
          <w:sz w:val="20"/>
        </w:rPr>
        <w:t>Field Security Officer (P-3) (Ukraine), 9 months. New. Multi-year. </w:t>
      </w:r>
      <w:r>
        <w:rPr>
          <w:sz w:val="20"/>
        </w:rPr>
        <w:t>The Field Security Officer forms part of the Registry basic field team and leads the country office’s field</w:t>
      </w:r>
      <w:r>
        <w:rPr>
          <w:spacing w:val="-9"/>
          <w:sz w:val="20"/>
        </w:rPr>
        <w:t> </w:t>
      </w:r>
      <w:r>
        <w:rPr>
          <w:sz w:val="20"/>
        </w:rPr>
        <w:t>security</w:t>
      </w:r>
      <w:r>
        <w:rPr>
          <w:spacing w:val="-9"/>
          <w:sz w:val="20"/>
        </w:rPr>
        <w:t> </w:t>
      </w:r>
      <w:r>
        <w:rPr>
          <w:sz w:val="20"/>
        </w:rPr>
        <w:t>team</w:t>
      </w:r>
      <w:r>
        <w:rPr>
          <w:spacing w:val="-8"/>
          <w:sz w:val="20"/>
        </w:rPr>
        <w:t> </w:t>
      </w:r>
      <w:r>
        <w:rPr>
          <w:sz w:val="20"/>
        </w:rPr>
        <w:t>(consisting</w:t>
      </w:r>
      <w:r>
        <w:rPr>
          <w:spacing w:val="-9"/>
          <w:sz w:val="20"/>
        </w:rPr>
        <w:t> </w:t>
      </w:r>
      <w:r>
        <w:rPr>
          <w:sz w:val="20"/>
        </w:rPr>
        <w:t>of</w:t>
      </w:r>
      <w:r>
        <w:rPr>
          <w:spacing w:val="-13"/>
          <w:sz w:val="20"/>
        </w:rPr>
        <w:t> </w:t>
      </w:r>
      <w:r>
        <w:rPr>
          <w:sz w:val="20"/>
        </w:rPr>
        <w:t>one</w:t>
      </w:r>
      <w:r>
        <w:rPr>
          <w:spacing w:val="-7"/>
          <w:sz w:val="20"/>
        </w:rPr>
        <w:t> </w:t>
      </w:r>
      <w:r>
        <w:rPr>
          <w:sz w:val="20"/>
        </w:rPr>
        <w:t>Field</w:t>
      </w:r>
      <w:r>
        <w:rPr>
          <w:spacing w:val="-9"/>
          <w:sz w:val="20"/>
        </w:rPr>
        <w:t> </w:t>
      </w:r>
      <w:r>
        <w:rPr>
          <w:sz w:val="20"/>
        </w:rPr>
        <w:t>Security</w:t>
      </w:r>
      <w:r>
        <w:rPr>
          <w:spacing w:val="-9"/>
          <w:sz w:val="20"/>
        </w:rPr>
        <w:t> </w:t>
      </w:r>
      <w:r>
        <w:rPr>
          <w:sz w:val="20"/>
        </w:rPr>
        <w:t>Officer</w:t>
      </w:r>
      <w:r>
        <w:rPr>
          <w:spacing w:val="-13"/>
          <w:sz w:val="20"/>
        </w:rPr>
        <w:t> </w:t>
      </w:r>
      <w:r>
        <w:rPr>
          <w:sz w:val="20"/>
        </w:rPr>
        <w:t>and</w:t>
      </w:r>
      <w:r>
        <w:rPr>
          <w:spacing w:val="-8"/>
          <w:sz w:val="20"/>
        </w:rPr>
        <w:t> </w:t>
      </w:r>
      <w:r>
        <w:rPr>
          <w:sz w:val="20"/>
        </w:rPr>
        <w:t>one</w:t>
      </w:r>
      <w:r>
        <w:rPr>
          <w:spacing w:val="-8"/>
          <w:sz w:val="20"/>
        </w:rPr>
        <w:t> </w:t>
      </w:r>
      <w:r>
        <w:rPr>
          <w:sz w:val="20"/>
        </w:rPr>
        <w:t>Associate</w:t>
      </w:r>
      <w:r>
        <w:rPr>
          <w:spacing w:val="-8"/>
          <w:sz w:val="20"/>
        </w:rPr>
        <w:t> </w:t>
      </w:r>
      <w:r>
        <w:rPr>
          <w:sz w:val="20"/>
        </w:rPr>
        <w:t>Field</w:t>
      </w:r>
      <w:r>
        <w:rPr>
          <w:spacing w:val="-9"/>
          <w:sz w:val="20"/>
        </w:rPr>
        <w:t> </w:t>
      </w:r>
      <w:r>
        <w:rPr>
          <w:sz w:val="20"/>
        </w:rPr>
        <w:t>Security Officer at this stage)</w:t>
      </w:r>
      <w:r>
        <w:rPr>
          <w:spacing w:val="-4"/>
          <w:sz w:val="20"/>
        </w:rPr>
        <w:t> </w:t>
      </w:r>
      <w:r>
        <w:rPr>
          <w:sz w:val="20"/>
        </w:rPr>
        <w:t>which is responsible</w:t>
      </w:r>
      <w:r>
        <w:rPr>
          <w:spacing w:val="-2"/>
          <w:sz w:val="20"/>
        </w:rPr>
        <w:t> </w:t>
      </w:r>
      <w:r>
        <w:rPr>
          <w:sz w:val="20"/>
        </w:rPr>
        <w:t>for the security</w:t>
      </w:r>
      <w:r>
        <w:rPr>
          <w:spacing w:val="-4"/>
          <w:sz w:val="20"/>
        </w:rPr>
        <w:t> </w:t>
      </w:r>
      <w:r>
        <w:rPr>
          <w:sz w:val="20"/>
        </w:rPr>
        <w:t>and safety of</w:t>
      </w:r>
      <w:r>
        <w:rPr>
          <w:spacing w:val="-4"/>
          <w:sz w:val="20"/>
        </w:rPr>
        <w:t> </w:t>
      </w:r>
      <w:r>
        <w:rPr>
          <w:sz w:val="20"/>
        </w:rPr>
        <w:t>Court</w:t>
      </w:r>
      <w:r>
        <w:rPr>
          <w:spacing w:val="-2"/>
          <w:sz w:val="20"/>
        </w:rPr>
        <w:t> </w:t>
      </w:r>
      <w:r>
        <w:rPr>
          <w:sz w:val="20"/>
        </w:rPr>
        <w:t>personnel and assets in the country. In the light of the ongoing armed conflicts in Ukraine, this position is critical</w:t>
      </w:r>
      <w:r>
        <w:rPr>
          <w:spacing w:val="40"/>
          <w:sz w:val="20"/>
        </w:rPr>
        <w:t> </w:t>
      </w:r>
      <w:r>
        <w:rPr>
          <w:sz w:val="20"/>
        </w:rPr>
        <w:t>for</w:t>
      </w:r>
      <w:r>
        <w:rPr>
          <w:spacing w:val="39"/>
          <w:sz w:val="20"/>
        </w:rPr>
        <w:t> </w:t>
      </w:r>
      <w:r>
        <w:rPr>
          <w:sz w:val="20"/>
        </w:rPr>
        <w:t>the</w:t>
      </w:r>
      <w:r>
        <w:rPr>
          <w:spacing w:val="40"/>
          <w:sz w:val="20"/>
        </w:rPr>
        <w:t> </w:t>
      </w:r>
      <w:r>
        <w:rPr>
          <w:sz w:val="20"/>
        </w:rPr>
        <w:t>provision</w:t>
      </w:r>
      <w:r>
        <w:rPr>
          <w:spacing w:val="38"/>
          <w:sz w:val="20"/>
        </w:rPr>
        <w:t> </w:t>
      </w:r>
      <w:r>
        <w:rPr>
          <w:sz w:val="20"/>
        </w:rPr>
        <w:t>of</w:t>
      </w:r>
      <w:r>
        <w:rPr>
          <w:spacing w:val="39"/>
          <w:sz w:val="20"/>
        </w:rPr>
        <w:t> </w:t>
      </w:r>
      <w:r>
        <w:rPr>
          <w:sz w:val="20"/>
        </w:rPr>
        <w:t>security</w:t>
      </w:r>
      <w:r>
        <w:rPr>
          <w:spacing w:val="38"/>
          <w:sz w:val="20"/>
        </w:rPr>
        <w:t> </w:t>
      </w:r>
      <w:r>
        <w:rPr>
          <w:sz w:val="20"/>
        </w:rPr>
        <w:t>support</w:t>
      </w:r>
      <w:r>
        <w:rPr>
          <w:spacing w:val="40"/>
          <w:sz w:val="20"/>
        </w:rPr>
        <w:t> </w:t>
      </w:r>
      <w:r>
        <w:rPr>
          <w:sz w:val="20"/>
        </w:rPr>
        <w:t>at</w:t>
      </w:r>
      <w:r>
        <w:rPr>
          <w:spacing w:val="40"/>
          <w:sz w:val="20"/>
        </w:rPr>
        <w:t> </w:t>
      </w:r>
      <w:r>
        <w:rPr>
          <w:sz w:val="20"/>
        </w:rPr>
        <w:t>an</w:t>
      </w:r>
      <w:r>
        <w:rPr>
          <w:spacing w:val="34"/>
          <w:sz w:val="20"/>
        </w:rPr>
        <w:t> </w:t>
      </w:r>
      <w:r>
        <w:rPr>
          <w:sz w:val="20"/>
        </w:rPr>
        <w:t>adequate</w:t>
      </w:r>
      <w:r>
        <w:rPr>
          <w:spacing w:val="40"/>
          <w:sz w:val="20"/>
        </w:rPr>
        <w:t> </w:t>
      </w:r>
      <w:r>
        <w:rPr>
          <w:sz w:val="20"/>
        </w:rPr>
        <w:t>level.</w:t>
      </w:r>
      <w:r>
        <w:rPr>
          <w:spacing w:val="40"/>
          <w:sz w:val="20"/>
        </w:rPr>
        <w:t> </w:t>
      </w:r>
      <w:r>
        <w:rPr>
          <w:sz w:val="20"/>
        </w:rPr>
        <w:t>This</w:t>
      </w:r>
      <w:r>
        <w:rPr>
          <w:spacing w:val="37"/>
          <w:sz w:val="20"/>
        </w:rPr>
        <w:t> </w:t>
      </w:r>
      <w:r>
        <w:rPr>
          <w:sz w:val="20"/>
        </w:rPr>
        <w:t>incumbent</w:t>
      </w:r>
      <w:r>
        <w:rPr>
          <w:spacing w:val="40"/>
          <w:sz w:val="20"/>
        </w:rPr>
        <w:t> </w:t>
      </w:r>
      <w:r>
        <w:rPr>
          <w:sz w:val="20"/>
        </w:rPr>
        <w:t>will</w:t>
      </w:r>
    </w:p>
    <w:p>
      <w:pPr>
        <w:spacing w:after="0" w:line="240" w:lineRule="auto"/>
        <w:jc w:val="both"/>
        <w:rPr>
          <w:sz w:val="20"/>
        </w:rPr>
        <w:sectPr>
          <w:pgSz w:w="11910" w:h="16840"/>
          <w:pgMar w:header="953" w:footer="940" w:top="1140" w:bottom="1140" w:left="20" w:right="20"/>
        </w:sectPr>
      </w:pPr>
    </w:p>
    <w:p>
      <w:pPr>
        <w:pStyle w:val="BodyText"/>
        <w:spacing w:before="120"/>
        <w:ind w:left="2246" w:right="2242"/>
        <w:jc w:val="both"/>
      </w:pPr>
      <w:r>
        <w:rPr/>
        <w:t>undertake critical security monitoring and operational security and risk assessments as well as</w:t>
      </w:r>
      <w:r>
        <w:rPr>
          <w:spacing w:val="-6"/>
        </w:rPr>
        <w:t> </w:t>
      </w:r>
      <w:r>
        <w:rPr/>
        <w:t>provide</w:t>
      </w:r>
      <w:r>
        <w:rPr>
          <w:spacing w:val="-3"/>
        </w:rPr>
        <w:t> </w:t>
      </w:r>
      <w:r>
        <w:rPr/>
        <w:t>briefings</w:t>
      </w:r>
      <w:r>
        <w:rPr>
          <w:spacing w:val="-11"/>
        </w:rPr>
        <w:t> </w:t>
      </w:r>
      <w:r>
        <w:rPr/>
        <w:t>and</w:t>
      </w:r>
      <w:r>
        <w:rPr>
          <w:spacing w:val="-5"/>
        </w:rPr>
        <w:t> </w:t>
      </w:r>
      <w:r>
        <w:rPr/>
        <w:t>support</w:t>
      </w:r>
      <w:r>
        <w:rPr>
          <w:spacing w:val="-8"/>
        </w:rPr>
        <w:t> </w:t>
      </w:r>
      <w:r>
        <w:rPr/>
        <w:t>to</w:t>
      </w:r>
      <w:r>
        <w:rPr>
          <w:spacing w:val="-9"/>
        </w:rPr>
        <w:t> </w:t>
      </w:r>
      <w:r>
        <w:rPr/>
        <w:t>field</w:t>
      </w:r>
      <w:r>
        <w:rPr>
          <w:spacing w:val="-5"/>
        </w:rPr>
        <w:t> </w:t>
      </w:r>
      <w:r>
        <w:rPr/>
        <w:t>operations.</w:t>
      </w:r>
      <w:r>
        <w:rPr>
          <w:spacing w:val="-7"/>
        </w:rPr>
        <w:t> </w:t>
      </w:r>
      <w:r>
        <w:rPr/>
        <w:t>The</w:t>
      </w:r>
      <w:r>
        <w:rPr>
          <w:spacing w:val="-8"/>
        </w:rPr>
        <w:t> </w:t>
      </w:r>
      <w:r>
        <w:rPr/>
        <w:t>Field</w:t>
      </w:r>
      <w:r>
        <w:rPr>
          <w:spacing w:val="-9"/>
        </w:rPr>
        <w:t> </w:t>
      </w:r>
      <w:r>
        <w:rPr/>
        <w:t>Security</w:t>
      </w:r>
      <w:r>
        <w:rPr>
          <w:spacing w:val="-5"/>
        </w:rPr>
        <w:t> </w:t>
      </w:r>
      <w:r>
        <w:rPr/>
        <w:t>Officer</w:t>
      </w:r>
      <w:r>
        <w:rPr>
          <w:spacing w:val="-9"/>
        </w:rPr>
        <w:t> </w:t>
      </w:r>
      <w:r>
        <w:rPr/>
        <w:t>also</w:t>
      </w:r>
      <w:r>
        <w:rPr>
          <w:spacing w:val="-5"/>
        </w:rPr>
        <w:t> </w:t>
      </w:r>
      <w:r>
        <w:rPr/>
        <w:t>serves</w:t>
      </w:r>
      <w:r>
        <w:rPr>
          <w:spacing w:val="-11"/>
        </w:rPr>
        <w:t> </w:t>
      </w:r>
      <w:r>
        <w:rPr/>
        <w:t>as the security focal point for the host government, UNDSS and Court Headquarters. The incumbent</w:t>
      </w:r>
      <w:r>
        <w:rPr>
          <w:spacing w:val="-2"/>
        </w:rPr>
        <w:t> </w:t>
      </w:r>
      <w:r>
        <w:rPr/>
        <w:t>will</w:t>
      </w:r>
      <w:r>
        <w:rPr>
          <w:spacing w:val="-7"/>
        </w:rPr>
        <w:t> </w:t>
      </w:r>
      <w:r>
        <w:rPr/>
        <w:t>also</w:t>
      </w:r>
      <w:r>
        <w:rPr>
          <w:spacing w:val="-4"/>
        </w:rPr>
        <w:t> </w:t>
      </w:r>
      <w:r>
        <w:rPr/>
        <w:t>develop</w:t>
      </w:r>
      <w:r>
        <w:rPr>
          <w:spacing w:val="-8"/>
        </w:rPr>
        <w:t> </w:t>
      </w:r>
      <w:r>
        <w:rPr/>
        <w:t>the</w:t>
      </w:r>
      <w:r>
        <w:rPr>
          <w:spacing w:val="-2"/>
        </w:rPr>
        <w:t> </w:t>
      </w:r>
      <w:r>
        <w:rPr/>
        <w:t>security</w:t>
      </w:r>
      <w:r>
        <w:rPr>
          <w:spacing w:val="-4"/>
        </w:rPr>
        <w:t> </w:t>
      </w:r>
      <w:r>
        <w:rPr/>
        <w:t>contingency</w:t>
      </w:r>
      <w:r>
        <w:rPr>
          <w:spacing w:val="-4"/>
        </w:rPr>
        <w:t> </w:t>
      </w:r>
      <w:r>
        <w:rPr/>
        <w:t>plan</w:t>
      </w:r>
      <w:r>
        <w:rPr>
          <w:spacing w:val="-4"/>
        </w:rPr>
        <w:t> </w:t>
      </w:r>
      <w:r>
        <w:rPr/>
        <w:t>for</w:t>
      </w:r>
      <w:r>
        <w:rPr>
          <w:spacing w:val="-4"/>
        </w:rPr>
        <w:t> </w:t>
      </w:r>
      <w:r>
        <w:rPr/>
        <w:t>the</w:t>
      </w:r>
      <w:r>
        <w:rPr>
          <w:spacing w:val="-7"/>
        </w:rPr>
        <w:t> </w:t>
      </w:r>
      <w:r>
        <w:rPr/>
        <w:t>country</w:t>
      </w:r>
      <w:r>
        <w:rPr>
          <w:spacing w:val="-4"/>
        </w:rPr>
        <w:t> </w:t>
      </w:r>
      <w:r>
        <w:rPr/>
        <w:t>office</w:t>
      </w:r>
      <w:r>
        <w:rPr>
          <w:spacing w:val="-2"/>
        </w:rPr>
        <w:t> </w:t>
      </w:r>
      <w:r>
        <w:rPr/>
        <w:t>in</w:t>
      </w:r>
      <w:r>
        <w:rPr>
          <w:spacing w:val="-8"/>
        </w:rPr>
        <w:t> </w:t>
      </w:r>
      <w:r>
        <w:rPr/>
        <w:t>the</w:t>
      </w:r>
      <w:r>
        <w:rPr>
          <w:spacing w:val="-2"/>
        </w:rPr>
        <w:t> </w:t>
      </w:r>
      <w:r>
        <w:rPr/>
        <w:t>event that the Court needs to urgently exit from the situation country.</w:t>
      </w:r>
    </w:p>
    <w:p>
      <w:pPr>
        <w:pStyle w:val="ListParagraph"/>
        <w:numPr>
          <w:ilvl w:val="0"/>
          <w:numId w:val="4"/>
        </w:numPr>
        <w:tabs>
          <w:tab w:pos="2967" w:val="left" w:leader="none"/>
        </w:tabs>
        <w:spacing w:line="240" w:lineRule="auto" w:before="123" w:after="0"/>
        <w:ind w:left="2246" w:right="2239" w:firstLine="0"/>
        <w:jc w:val="both"/>
        <w:rPr>
          <w:sz w:val="20"/>
        </w:rPr>
      </w:pPr>
      <w:r>
        <w:rPr>
          <w:sz w:val="20"/>
        </w:rPr>
        <w:t>One </w:t>
      </w:r>
      <w:r>
        <w:rPr>
          <w:i/>
          <w:sz w:val="20"/>
        </w:rPr>
        <w:t>Associate Field Security Officer (P-2) (Ukraine), 9 months. New. Multi-year.</w:t>
      </w:r>
      <w:r>
        <w:rPr>
          <w:i/>
          <w:sz w:val="20"/>
        </w:rPr>
        <w:t> </w:t>
      </w:r>
      <w:r>
        <w:rPr>
          <w:sz w:val="20"/>
        </w:rPr>
        <w:t>The Associate Field Security Officer works under the supervision of the Field Security Officer to provide security support to the Court’s activities in the country. Considering the ongoing armed conflicts in Ukraine, along with the OTP’s intensive investigative activities and</w:t>
      </w:r>
      <w:r>
        <w:rPr>
          <w:spacing w:val="-13"/>
          <w:sz w:val="20"/>
        </w:rPr>
        <w:t> </w:t>
      </w:r>
      <w:r>
        <w:rPr>
          <w:sz w:val="20"/>
        </w:rPr>
        <w:t>the</w:t>
      </w:r>
      <w:r>
        <w:rPr>
          <w:spacing w:val="-10"/>
          <w:sz w:val="20"/>
        </w:rPr>
        <w:t> </w:t>
      </w:r>
      <w:r>
        <w:rPr>
          <w:sz w:val="20"/>
        </w:rPr>
        <w:t>protection</w:t>
      </w:r>
      <w:r>
        <w:rPr>
          <w:spacing w:val="-12"/>
          <w:sz w:val="20"/>
        </w:rPr>
        <w:t> </w:t>
      </w:r>
      <w:r>
        <w:rPr>
          <w:sz w:val="20"/>
        </w:rPr>
        <w:t>of</w:t>
      </w:r>
      <w:r>
        <w:rPr>
          <w:spacing w:val="-13"/>
          <w:sz w:val="20"/>
        </w:rPr>
        <w:t> </w:t>
      </w:r>
      <w:r>
        <w:rPr>
          <w:sz w:val="20"/>
        </w:rPr>
        <w:t>witnesses</w:t>
      </w:r>
      <w:r>
        <w:rPr>
          <w:spacing w:val="-12"/>
          <w:sz w:val="20"/>
        </w:rPr>
        <w:t> </w:t>
      </w:r>
      <w:r>
        <w:rPr>
          <w:sz w:val="20"/>
        </w:rPr>
        <w:t>and</w:t>
      </w:r>
      <w:r>
        <w:rPr>
          <w:spacing w:val="-13"/>
          <w:sz w:val="20"/>
        </w:rPr>
        <w:t> </w:t>
      </w:r>
      <w:r>
        <w:rPr>
          <w:sz w:val="20"/>
        </w:rPr>
        <w:t>victims</w:t>
      </w:r>
      <w:r>
        <w:rPr>
          <w:spacing w:val="-9"/>
          <w:sz w:val="20"/>
        </w:rPr>
        <w:t> </w:t>
      </w:r>
      <w:r>
        <w:rPr>
          <w:sz w:val="20"/>
        </w:rPr>
        <w:t>by</w:t>
      </w:r>
      <w:r>
        <w:rPr>
          <w:spacing w:val="-13"/>
          <w:sz w:val="20"/>
        </w:rPr>
        <w:t> </w:t>
      </w:r>
      <w:r>
        <w:rPr>
          <w:sz w:val="20"/>
        </w:rPr>
        <w:t>VWS,</w:t>
      </w:r>
      <w:r>
        <w:rPr>
          <w:spacing w:val="-10"/>
          <w:sz w:val="20"/>
        </w:rPr>
        <w:t> </w:t>
      </w:r>
      <w:r>
        <w:rPr>
          <w:sz w:val="20"/>
        </w:rPr>
        <w:t>it</w:t>
      </w:r>
      <w:r>
        <w:rPr>
          <w:spacing w:val="-12"/>
          <w:sz w:val="20"/>
        </w:rPr>
        <w:t> </w:t>
      </w:r>
      <w:r>
        <w:rPr>
          <w:sz w:val="20"/>
        </w:rPr>
        <w:t>is</w:t>
      </w:r>
      <w:r>
        <w:rPr>
          <w:spacing w:val="-13"/>
          <w:sz w:val="20"/>
        </w:rPr>
        <w:t> </w:t>
      </w:r>
      <w:r>
        <w:rPr>
          <w:sz w:val="20"/>
        </w:rPr>
        <w:t>considered</w:t>
      </w:r>
      <w:r>
        <w:rPr>
          <w:spacing w:val="-12"/>
          <w:sz w:val="20"/>
        </w:rPr>
        <w:t> </w:t>
      </w:r>
      <w:r>
        <w:rPr>
          <w:sz w:val="20"/>
        </w:rPr>
        <w:t>paramount</w:t>
      </w:r>
      <w:r>
        <w:rPr>
          <w:spacing w:val="-12"/>
          <w:sz w:val="20"/>
        </w:rPr>
        <w:t> </w:t>
      </w:r>
      <w:r>
        <w:rPr>
          <w:sz w:val="20"/>
        </w:rPr>
        <w:t>to</w:t>
      </w:r>
      <w:r>
        <w:rPr>
          <w:spacing w:val="-8"/>
          <w:sz w:val="20"/>
        </w:rPr>
        <w:t> </w:t>
      </w:r>
      <w:r>
        <w:rPr>
          <w:sz w:val="20"/>
        </w:rPr>
        <w:t>strengthen the capacity of the Registry basic field</w:t>
      </w:r>
      <w:r>
        <w:rPr>
          <w:spacing w:val="-4"/>
          <w:sz w:val="20"/>
        </w:rPr>
        <w:t> </w:t>
      </w:r>
      <w:r>
        <w:rPr>
          <w:sz w:val="20"/>
        </w:rPr>
        <w:t>team with additional</w:t>
      </w:r>
      <w:r>
        <w:rPr>
          <w:spacing w:val="-2"/>
          <w:sz w:val="20"/>
        </w:rPr>
        <w:t> </w:t>
      </w:r>
      <w:r>
        <w:rPr>
          <w:sz w:val="20"/>
        </w:rPr>
        <w:t>field security staff</w:t>
      </w:r>
      <w:r>
        <w:rPr>
          <w:spacing w:val="-4"/>
          <w:sz w:val="20"/>
        </w:rPr>
        <w:t> </w:t>
      </w:r>
      <w:r>
        <w:rPr>
          <w:sz w:val="20"/>
        </w:rPr>
        <w:t>to be able to provide</w:t>
      </w:r>
      <w:r>
        <w:rPr>
          <w:spacing w:val="-7"/>
          <w:sz w:val="20"/>
        </w:rPr>
        <w:t> </w:t>
      </w:r>
      <w:r>
        <w:rPr>
          <w:sz w:val="20"/>
        </w:rPr>
        <w:t>the</w:t>
      </w:r>
      <w:r>
        <w:rPr>
          <w:spacing w:val="-7"/>
          <w:sz w:val="20"/>
        </w:rPr>
        <w:t> </w:t>
      </w:r>
      <w:r>
        <w:rPr>
          <w:sz w:val="20"/>
        </w:rPr>
        <w:t>necessary</w:t>
      </w:r>
      <w:r>
        <w:rPr>
          <w:spacing w:val="-5"/>
          <w:sz w:val="20"/>
        </w:rPr>
        <w:t> </w:t>
      </w:r>
      <w:r>
        <w:rPr>
          <w:sz w:val="20"/>
        </w:rPr>
        <w:t>security</w:t>
      </w:r>
      <w:r>
        <w:rPr>
          <w:spacing w:val="-5"/>
          <w:sz w:val="20"/>
        </w:rPr>
        <w:t> </w:t>
      </w:r>
      <w:r>
        <w:rPr>
          <w:sz w:val="20"/>
        </w:rPr>
        <w:t>support</w:t>
      </w:r>
      <w:r>
        <w:rPr>
          <w:spacing w:val="-3"/>
          <w:sz w:val="20"/>
        </w:rPr>
        <w:t> </w:t>
      </w:r>
      <w:r>
        <w:rPr>
          <w:sz w:val="20"/>
        </w:rPr>
        <w:t>to</w:t>
      </w:r>
      <w:r>
        <w:rPr>
          <w:spacing w:val="-8"/>
          <w:sz w:val="20"/>
        </w:rPr>
        <w:t> </w:t>
      </w:r>
      <w:r>
        <w:rPr>
          <w:sz w:val="20"/>
        </w:rPr>
        <w:t>the</w:t>
      </w:r>
      <w:r>
        <w:rPr>
          <w:spacing w:val="-3"/>
          <w:sz w:val="20"/>
        </w:rPr>
        <w:t> </w:t>
      </w:r>
      <w:r>
        <w:rPr>
          <w:sz w:val="20"/>
        </w:rPr>
        <w:t>Court’s</w:t>
      </w:r>
      <w:r>
        <w:rPr>
          <w:spacing w:val="-2"/>
          <w:sz w:val="20"/>
        </w:rPr>
        <w:t> </w:t>
      </w:r>
      <w:r>
        <w:rPr>
          <w:sz w:val="20"/>
        </w:rPr>
        <w:t>missions</w:t>
      </w:r>
      <w:r>
        <w:rPr>
          <w:spacing w:val="-5"/>
          <w:sz w:val="20"/>
        </w:rPr>
        <w:t> </w:t>
      </w:r>
      <w:r>
        <w:rPr>
          <w:sz w:val="20"/>
        </w:rPr>
        <w:t>at</w:t>
      </w:r>
      <w:r>
        <w:rPr>
          <w:spacing w:val="-7"/>
          <w:sz w:val="20"/>
        </w:rPr>
        <w:t> </w:t>
      </w:r>
      <w:r>
        <w:rPr>
          <w:sz w:val="20"/>
        </w:rPr>
        <w:t>an</w:t>
      </w:r>
      <w:r>
        <w:rPr>
          <w:spacing w:val="-8"/>
          <w:sz w:val="20"/>
        </w:rPr>
        <w:t> </w:t>
      </w:r>
      <w:r>
        <w:rPr>
          <w:sz w:val="20"/>
        </w:rPr>
        <w:t>adequate</w:t>
      </w:r>
      <w:r>
        <w:rPr>
          <w:spacing w:val="-7"/>
          <w:sz w:val="20"/>
        </w:rPr>
        <w:t> </w:t>
      </w:r>
      <w:r>
        <w:rPr>
          <w:sz w:val="20"/>
        </w:rPr>
        <w:t>level</w:t>
      </w:r>
      <w:r>
        <w:rPr>
          <w:spacing w:val="-7"/>
          <w:sz w:val="20"/>
        </w:rPr>
        <w:t> </w:t>
      </w:r>
      <w:r>
        <w:rPr>
          <w:sz w:val="20"/>
        </w:rPr>
        <w:t>as</w:t>
      </w:r>
      <w:r>
        <w:rPr>
          <w:spacing w:val="-5"/>
          <w:sz w:val="20"/>
        </w:rPr>
        <w:t> </w:t>
      </w:r>
      <w:r>
        <w:rPr>
          <w:sz w:val="20"/>
        </w:rPr>
        <w:t>well</w:t>
      </w:r>
      <w:r>
        <w:rPr>
          <w:spacing w:val="-7"/>
          <w:sz w:val="20"/>
        </w:rPr>
        <w:t> </w:t>
      </w:r>
      <w:r>
        <w:rPr>
          <w:sz w:val="20"/>
        </w:rPr>
        <w:t>as to</w:t>
      </w:r>
      <w:r>
        <w:rPr>
          <w:spacing w:val="-4"/>
          <w:sz w:val="20"/>
        </w:rPr>
        <w:t> </w:t>
      </w:r>
      <w:r>
        <w:rPr>
          <w:sz w:val="20"/>
        </w:rPr>
        <w:t>cover</w:t>
      </w:r>
      <w:r>
        <w:rPr>
          <w:spacing w:val="-4"/>
          <w:sz w:val="20"/>
        </w:rPr>
        <w:t> </w:t>
      </w:r>
      <w:r>
        <w:rPr>
          <w:sz w:val="20"/>
        </w:rPr>
        <w:t>for</w:t>
      </w:r>
      <w:r>
        <w:rPr>
          <w:spacing w:val="-3"/>
          <w:sz w:val="20"/>
        </w:rPr>
        <w:t> </w:t>
      </w:r>
      <w:r>
        <w:rPr>
          <w:sz w:val="20"/>
        </w:rPr>
        <w:t>the services</w:t>
      </w:r>
      <w:r>
        <w:rPr>
          <w:spacing w:val="-5"/>
          <w:sz w:val="20"/>
        </w:rPr>
        <w:t> </w:t>
      </w:r>
      <w:r>
        <w:rPr>
          <w:sz w:val="20"/>
        </w:rPr>
        <w:t>to</w:t>
      </w:r>
      <w:r>
        <w:rPr>
          <w:spacing w:val="-4"/>
          <w:sz w:val="20"/>
        </w:rPr>
        <w:t> </w:t>
      </w:r>
      <w:r>
        <w:rPr>
          <w:sz w:val="20"/>
        </w:rPr>
        <w:t>be provided</w:t>
      </w:r>
      <w:r>
        <w:rPr>
          <w:spacing w:val="-4"/>
          <w:sz w:val="20"/>
        </w:rPr>
        <w:t> </w:t>
      </w:r>
      <w:r>
        <w:rPr>
          <w:sz w:val="20"/>
        </w:rPr>
        <w:t>by</w:t>
      </w:r>
      <w:r>
        <w:rPr>
          <w:spacing w:val="-4"/>
          <w:sz w:val="20"/>
        </w:rPr>
        <w:t> </w:t>
      </w:r>
      <w:r>
        <w:rPr>
          <w:sz w:val="20"/>
        </w:rPr>
        <w:t>the</w:t>
      </w:r>
      <w:r>
        <w:rPr>
          <w:spacing w:val="-2"/>
          <w:sz w:val="20"/>
        </w:rPr>
        <w:t> </w:t>
      </w:r>
      <w:r>
        <w:rPr>
          <w:sz w:val="20"/>
        </w:rPr>
        <w:t>Field</w:t>
      </w:r>
      <w:r>
        <w:rPr>
          <w:spacing w:val="-4"/>
          <w:sz w:val="20"/>
        </w:rPr>
        <w:t> </w:t>
      </w:r>
      <w:r>
        <w:rPr>
          <w:sz w:val="20"/>
        </w:rPr>
        <w:t>Security</w:t>
      </w:r>
      <w:r>
        <w:rPr>
          <w:spacing w:val="-8"/>
          <w:sz w:val="20"/>
        </w:rPr>
        <w:t> </w:t>
      </w:r>
      <w:r>
        <w:rPr>
          <w:sz w:val="20"/>
        </w:rPr>
        <w:t>Officer</w:t>
      </w:r>
      <w:r>
        <w:rPr>
          <w:spacing w:val="-4"/>
          <w:sz w:val="20"/>
        </w:rPr>
        <w:t> </w:t>
      </w:r>
      <w:r>
        <w:rPr>
          <w:sz w:val="20"/>
        </w:rPr>
        <w:t>during his/her</w:t>
      </w:r>
      <w:r>
        <w:rPr>
          <w:spacing w:val="-4"/>
          <w:sz w:val="20"/>
        </w:rPr>
        <w:t> </w:t>
      </w:r>
      <w:r>
        <w:rPr>
          <w:sz w:val="20"/>
        </w:rPr>
        <w:t>absence.</w:t>
      </w:r>
    </w:p>
    <w:p>
      <w:pPr>
        <w:pStyle w:val="ListParagraph"/>
        <w:numPr>
          <w:ilvl w:val="0"/>
          <w:numId w:val="4"/>
        </w:numPr>
        <w:tabs>
          <w:tab w:pos="2967" w:val="left" w:leader="none"/>
        </w:tabs>
        <w:spacing w:line="240" w:lineRule="auto" w:before="119" w:after="0"/>
        <w:ind w:left="2246" w:right="2240" w:firstLine="0"/>
        <w:jc w:val="both"/>
        <w:rPr>
          <w:sz w:val="20"/>
        </w:rPr>
      </w:pPr>
      <w:r>
        <w:rPr>
          <w:sz w:val="20"/>
        </w:rPr>
        <w:t>One </w:t>
      </w:r>
      <w:r>
        <w:rPr>
          <w:i/>
          <w:sz w:val="20"/>
        </w:rPr>
        <w:t>Administration and Operations Officer (NO-C) (Ukraine), 9 months. New.</w:t>
      </w:r>
      <w:r>
        <w:rPr>
          <w:i/>
          <w:sz w:val="20"/>
        </w:rPr>
        <w:t> Multi-year.</w:t>
      </w:r>
      <w:r>
        <w:rPr>
          <w:i/>
          <w:spacing w:val="-12"/>
          <w:sz w:val="20"/>
        </w:rPr>
        <w:t> </w:t>
      </w:r>
      <w:r>
        <w:rPr>
          <w:sz w:val="20"/>
        </w:rPr>
        <w:t>The</w:t>
      </w:r>
      <w:r>
        <w:rPr>
          <w:spacing w:val="-8"/>
          <w:sz w:val="20"/>
        </w:rPr>
        <w:t> </w:t>
      </w:r>
      <w:r>
        <w:rPr>
          <w:sz w:val="20"/>
        </w:rPr>
        <w:t>position</w:t>
      </w:r>
      <w:r>
        <w:rPr>
          <w:spacing w:val="-9"/>
          <w:sz w:val="20"/>
        </w:rPr>
        <w:t> </w:t>
      </w:r>
      <w:r>
        <w:rPr>
          <w:sz w:val="20"/>
        </w:rPr>
        <w:t>of</w:t>
      </w:r>
      <w:r>
        <w:rPr>
          <w:spacing w:val="-5"/>
          <w:sz w:val="20"/>
        </w:rPr>
        <w:t> </w:t>
      </w:r>
      <w:r>
        <w:rPr>
          <w:sz w:val="20"/>
        </w:rPr>
        <w:t>Administration</w:t>
      </w:r>
      <w:r>
        <w:rPr>
          <w:spacing w:val="-13"/>
          <w:sz w:val="20"/>
        </w:rPr>
        <w:t> </w:t>
      </w:r>
      <w:r>
        <w:rPr>
          <w:sz w:val="20"/>
        </w:rPr>
        <w:t>and</w:t>
      </w:r>
      <w:r>
        <w:rPr>
          <w:spacing w:val="-9"/>
          <w:sz w:val="20"/>
        </w:rPr>
        <w:t> </w:t>
      </w:r>
      <w:r>
        <w:rPr>
          <w:sz w:val="20"/>
        </w:rPr>
        <w:t>Operations</w:t>
      </w:r>
      <w:r>
        <w:rPr>
          <w:spacing w:val="-11"/>
          <w:sz w:val="20"/>
        </w:rPr>
        <w:t> </w:t>
      </w:r>
      <w:r>
        <w:rPr>
          <w:sz w:val="20"/>
        </w:rPr>
        <w:t>Officer</w:t>
      </w:r>
      <w:r>
        <w:rPr>
          <w:spacing w:val="-4"/>
          <w:sz w:val="20"/>
        </w:rPr>
        <w:t> </w:t>
      </w:r>
      <w:r>
        <w:rPr>
          <w:sz w:val="20"/>
        </w:rPr>
        <w:t>forms</w:t>
      </w:r>
      <w:r>
        <w:rPr>
          <w:spacing w:val="-11"/>
          <w:sz w:val="20"/>
        </w:rPr>
        <w:t> </w:t>
      </w:r>
      <w:r>
        <w:rPr>
          <w:sz w:val="20"/>
        </w:rPr>
        <w:t>part</w:t>
      </w:r>
      <w:r>
        <w:rPr>
          <w:spacing w:val="-8"/>
          <w:sz w:val="20"/>
        </w:rPr>
        <w:t> </w:t>
      </w:r>
      <w:r>
        <w:rPr>
          <w:sz w:val="20"/>
        </w:rPr>
        <w:t>of</w:t>
      </w:r>
      <w:r>
        <w:rPr>
          <w:spacing w:val="-9"/>
          <w:sz w:val="20"/>
        </w:rPr>
        <w:t> </w:t>
      </w:r>
      <w:r>
        <w:rPr>
          <w:sz w:val="20"/>
        </w:rPr>
        <w:t>the</w:t>
      </w:r>
      <w:r>
        <w:rPr>
          <w:spacing w:val="-8"/>
          <w:sz w:val="20"/>
        </w:rPr>
        <w:t> </w:t>
      </w:r>
      <w:r>
        <w:rPr>
          <w:sz w:val="20"/>
        </w:rPr>
        <w:t>Registry basic</w:t>
      </w:r>
      <w:r>
        <w:rPr>
          <w:spacing w:val="-8"/>
          <w:sz w:val="20"/>
        </w:rPr>
        <w:t> </w:t>
      </w:r>
      <w:r>
        <w:rPr>
          <w:sz w:val="20"/>
        </w:rPr>
        <w:t>field</w:t>
      </w:r>
      <w:r>
        <w:rPr>
          <w:spacing w:val="-9"/>
          <w:sz w:val="20"/>
        </w:rPr>
        <w:t> </w:t>
      </w:r>
      <w:r>
        <w:rPr>
          <w:sz w:val="20"/>
        </w:rPr>
        <w:t>team</w:t>
      </w:r>
      <w:r>
        <w:rPr>
          <w:spacing w:val="-8"/>
          <w:sz w:val="20"/>
        </w:rPr>
        <w:t> </w:t>
      </w:r>
      <w:r>
        <w:rPr>
          <w:sz w:val="20"/>
        </w:rPr>
        <w:t>and</w:t>
      </w:r>
      <w:r>
        <w:rPr>
          <w:spacing w:val="-8"/>
          <w:sz w:val="20"/>
        </w:rPr>
        <w:t> </w:t>
      </w:r>
      <w:r>
        <w:rPr>
          <w:sz w:val="20"/>
        </w:rPr>
        <w:t>will</w:t>
      </w:r>
      <w:r>
        <w:rPr>
          <w:spacing w:val="-8"/>
          <w:sz w:val="20"/>
        </w:rPr>
        <w:t> </w:t>
      </w:r>
      <w:r>
        <w:rPr>
          <w:sz w:val="20"/>
        </w:rPr>
        <w:t>be</w:t>
      </w:r>
      <w:r>
        <w:rPr>
          <w:spacing w:val="-8"/>
          <w:sz w:val="20"/>
        </w:rPr>
        <w:t> </w:t>
      </w:r>
      <w:r>
        <w:rPr>
          <w:sz w:val="20"/>
        </w:rPr>
        <w:t>responsible</w:t>
      </w:r>
      <w:r>
        <w:rPr>
          <w:spacing w:val="-8"/>
          <w:sz w:val="20"/>
        </w:rPr>
        <w:t> </w:t>
      </w:r>
      <w:r>
        <w:rPr>
          <w:sz w:val="20"/>
        </w:rPr>
        <w:t>for</w:t>
      </w:r>
      <w:r>
        <w:rPr>
          <w:spacing w:val="-9"/>
          <w:sz w:val="20"/>
        </w:rPr>
        <w:t> </w:t>
      </w:r>
      <w:r>
        <w:rPr>
          <w:sz w:val="20"/>
        </w:rPr>
        <w:t>the</w:t>
      </w:r>
      <w:r>
        <w:rPr>
          <w:spacing w:val="-8"/>
          <w:sz w:val="20"/>
        </w:rPr>
        <w:t> </w:t>
      </w:r>
      <w:r>
        <w:rPr>
          <w:sz w:val="20"/>
        </w:rPr>
        <w:t>coordination</w:t>
      </w:r>
      <w:r>
        <w:rPr>
          <w:spacing w:val="-13"/>
          <w:sz w:val="20"/>
        </w:rPr>
        <w:t> </w:t>
      </w:r>
      <w:r>
        <w:rPr>
          <w:sz w:val="20"/>
        </w:rPr>
        <w:t>and</w:t>
      </w:r>
      <w:r>
        <w:rPr>
          <w:spacing w:val="-8"/>
          <w:sz w:val="20"/>
        </w:rPr>
        <w:t> </w:t>
      </w:r>
      <w:r>
        <w:rPr>
          <w:sz w:val="20"/>
        </w:rPr>
        <w:t>effective</w:t>
      </w:r>
      <w:r>
        <w:rPr>
          <w:spacing w:val="-8"/>
          <w:sz w:val="20"/>
        </w:rPr>
        <w:t> </w:t>
      </w:r>
      <w:r>
        <w:rPr>
          <w:sz w:val="20"/>
        </w:rPr>
        <w:t>delivery</w:t>
      </w:r>
      <w:r>
        <w:rPr>
          <w:spacing w:val="-9"/>
          <w:sz w:val="20"/>
        </w:rPr>
        <w:t> </w:t>
      </w:r>
      <w:r>
        <w:rPr>
          <w:sz w:val="20"/>
        </w:rPr>
        <w:t>of</w:t>
      </w:r>
      <w:r>
        <w:rPr>
          <w:spacing w:val="-9"/>
          <w:sz w:val="20"/>
        </w:rPr>
        <w:t> </w:t>
      </w:r>
      <w:r>
        <w:rPr>
          <w:sz w:val="20"/>
        </w:rPr>
        <w:t>logistic and administrative services in support of the Court’s field operations in Ukraine. The incumbent will be responsible for office management pertaining to human resources, supervision of personnel, finance, procurement and general services within their delegation of authority. In addition, since the Court’s operations in Ukraine rely heavily on the cooperation of the Ukrainian government, this position’s key responsibilities will be close coordination with the host government for its operational support. The Administration and Operations Officer also supervises the organization of day-to-day operations and provides support to special operations, such as the appearance of witnesses via videoconferencing as per article 56 of the Rome Statute and the transfer of suspects to Headquarters. Efficiencies and savings could be achieved by requesting this position under the category of National Professional Officer, whereby the incumbent will</w:t>
      </w:r>
      <w:r>
        <w:rPr>
          <w:spacing w:val="-3"/>
          <w:sz w:val="20"/>
        </w:rPr>
        <w:t> </w:t>
      </w:r>
      <w:r>
        <w:rPr>
          <w:sz w:val="20"/>
        </w:rPr>
        <w:t>have the relevant qualifications</w:t>
      </w:r>
      <w:r>
        <w:rPr>
          <w:spacing w:val="-1"/>
          <w:sz w:val="20"/>
        </w:rPr>
        <w:t> </w:t>
      </w:r>
      <w:r>
        <w:rPr>
          <w:sz w:val="20"/>
        </w:rPr>
        <w:t>as</w:t>
      </w:r>
      <w:r>
        <w:rPr>
          <w:spacing w:val="-1"/>
          <w:sz w:val="20"/>
        </w:rPr>
        <w:t> </w:t>
      </w:r>
      <w:r>
        <w:rPr>
          <w:sz w:val="20"/>
        </w:rPr>
        <w:t>well</w:t>
      </w:r>
      <w:r>
        <w:rPr>
          <w:spacing w:val="-3"/>
          <w:sz w:val="20"/>
        </w:rPr>
        <w:t> </w:t>
      </w:r>
      <w:r>
        <w:rPr>
          <w:sz w:val="20"/>
        </w:rPr>
        <w:t>as in-depth local knowledge to navigate through the foreseeable challenging operating environment in the country to provide the necessary mission support.</w:t>
      </w:r>
    </w:p>
    <w:p>
      <w:pPr>
        <w:pStyle w:val="ListParagraph"/>
        <w:numPr>
          <w:ilvl w:val="0"/>
          <w:numId w:val="4"/>
        </w:numPr>
        <w:tabs>
          <w:tab w:pos="2967" w:val="left" w:leader="none"/>
        </w:tabs>
        <w:spacing w:line="240" w:lineRule="auto" w:before="123" w:after="0"/>
        <w:ind w:left="2246" w:right="2240" w:firstLine="0"/>
        <w:jc w:val="both"/>
        <w:rPr>
          <w:sz w:val="20"/>
        </w:rPr>
      </w:pPr>
      <w:r>
        <w:rPr>
          <w:sz w:val="20"/>
        </w:rPr>
        <w:t>One</w:t>
      </w:r>
      <w:r>
        <w:rPr>
          <w:spacing w:val="-13"/>
          <w:sz w:val="20"/>
        </w:rPr>
        <w:t> </w:t>
      </w:r>
      <w:r>
        <w:rPr>
          <w:i/>
          <w:sz w:val="20"/>
        </w:rPr>
        <w:t>Administrative</w:t>
      </w:r>
      <w:r>
        <w:rPr>
          <w:i/>
          <w:spacing w:val="-12"/>
          <w:sz w:val="20"/>
        </w:rPr>
        <w:t> </w:t>
      </w:r>
      <w:r>
        <w:rPr>
          <w:i/>
          <w:sz w:val="20"/>
        </w:rPr>
        <w:t>Assistant</w:t>
      </w:r>
      <w:r>
        <w:rPr>
          <w:i/>
          <w:spacing w:val="-13"/>
          <w:sz w:val="20"/>
        </w:rPr>
        <w:t> </w:t>
      </w:r>
      <w:r>
        <w:rPr>
          <w:i/>
          <w:sz w:val="20"/>
        </w:rPr>
        <w:t>(GS-OL)</w:t>
      </w:r>
      <w:r>
        <w:rPr>
          <w:i/>
          <w:spacing w:val="-12"/>
          <w:sz w:val="20"/>
        </w:rPr>
        <w:t> </w:t>
      </w:r>
      <w:r>
        <w:rPr>
          <w:i/>
          <w:sz w:val="20"/>
        </w:rPr>
        <w:t>(Ukraine),</w:t>
      </w:r>
      <w:r>
        <w:rPr>
          <w:i/>
          <w:spacing w:val="-13"/>
          <w:sz w:val="20"/>
        </w:rPr>
        <w:t> </w:t>
      </w:r>
      <w:r>
        <w:rPr>
          <w:i/>
          <w:sz w:val="20"/>
        </w:rPr>
        <w:t>9</w:t>
      </w:r>
      <w:r>
        <w:rPr>
          <w:i/>
          <w:spacing w:val="-12"/>
          <w:sz w:val="20"/>
        </w:rPr>
        <w:t> </w:t>
      </w:r>
      <w:r>
        <w:rPr>
          <w:i/>
          <w:sz w:val="20"/>
        </w:rPr>
        <w:t>months.</w:t>
      </w:r>
      <w:r>
        <w:rPr>
          <w:i/>
          <w:spacing w:val="-13"/>
          <w:sz w:val="20"/>
        </w:rPr>
        <w:t> </w:t>
      </w:r>
      <w:r>
        <w:rPr>
          <w:i/>
          <w:sz w:val="20"/>
        </w:rPr>
        <w:t>New.</w:t>
      </w:r>
      <w:r>
        <w:rPr>
          <w:i/>
          <w:spacing w:val="-12"/>
          <w:sz w:val="20"/>
        </w:rPr>
        <w:t> </w:t>
      </w:r>
      <w:r>
        <w:rPr>
          <w:i/>
          <w:sz w:val="20"/>
        </w:rPr>
        <w:t>Multi-year.</w:t>
      </w:r>
      <w:r>
        <w:rPr>
          <w:i/>
          <w:spacing w:val="-13"/>
          <w:sz w:val="20"/>
        </w:rPr>
        <w:t> </w:t>
      </w:r>
      <w:r>
        <w:rPr>
          <w:sz w:val="20"/>
        </w:rPr>
        <w:t>Under the direct</w:t>
      </w:r>
      <w:r>
        <w:rPr>
          <w:spacing w:val="-1"/>
          <w:sz w:val="20"/>
        </w:rPr>
        <w:t> </w:t>
      </w:r>
      <w:r>
        <w:rPr>
          <w:sz w:val="20"/>
        </w:rPr>
        <w:t>supervision of</w:t>
      </w:r>
      <w:r>
        <w:rPr>
          <w:spacing w:val="-3"/>
          <w:sz w:val="20"/>
        </w:rPr>
        <w:t> </w:t>
      </w:r>
      <w:r>
        <w:rPr>
          <w:sz w:val="20"/>
        </w:rPr>
        <w:t>the</w:t>
      </w:r>
      <w:r>
        <w:rPr>
          <w:spacing w:val="-1"/>
          <w:sz w:val="20"/>
        </w:rPr>
        <w:t> </w:t>
      </w:r>
      <w:r>
        <w:rPr>
          <w:sz w:val="20"/>
        </w:rPr>
        <w:t>Administration</w:t>
      </w:r>
      <w:r>
        <w:rPr>
          <w:spacing w:val="-3"/>
          <w:sz w:val="20"/>
        </w:rPr>
        <w:t> </w:t>
      </w:r>
      <w:r>
        <w:rPr>
          <w:sz w:val="20"/>
        </w:rPr>
        <w:t>and</w:t>
      </w:r>
      <w:r>
        <w:rPr>
          <w:spacing w:val="-3"/>
          <w:sz w:val="20"/>
        </w:rPr>
        <w:t> </w:t>
      </w:r>
      <w:r>
        <w:rPr>
          <w:sz w:val="20"/>
        </w:rPr>
        <w:t>Operations</w:t>
      </w:r>
      <w:r>
        <w:rPr>
          <w:spacing w:val="-4"/>
          <w:sz w:val="20"/>
        </w:rPr>
        <w:t> </w:t>
      </w:r>
      <w:r>
        <w:rPr>
          <w:sz w:val="20"/>
        </w:rPr>
        <w:t>Officer, this position</w:t>
      </w:r>
      <w:r>
        <w:rPr>
          <w:spacing w:val="-3"/>
          <w:sz w:val="20"/>
        </w:rPr>
        <w:t> </w:t>
      </w:r>
      <w:r>
        <w:rPr>
          <w:sz w:val="20"/>
        </w:rPr>
        <w:t>forms part of the Registry basic field team and will provide broad administrative support functions in support</w:t>
      </w:r>
      <w:r>
        <w:rPr>
          <w:spacing w:val="-13"/>
          <w:sz w:val="20"/>
        </w:rPr>
        <w:t> </w:t>
      </w:r>
      <w:r>
        <w:rPr>
          <w:sz w:val="20"/>
        </w:rPr>
        <w:t>of</w:t>
      </w:r>
      <w:r>
        <w:rPr>
          <w:spacing w:val="-12"/>
          <w:sz w:val="20"/>
        </w:rPr>
        <w:t> </w:t>
      </w:r>
      <w:r>
        <w:rPr>
          <w:sz w:val="20"/>
        </w:rPr>
        <w:t>the</w:t>
      </w:r>
      <w:r>
        <w:rPr>
          <w:spacing w:val="-13"/>
          <w:sz w:val="20"/>
        </w:rPr>
        <w:t> </w:t>
      </w:r>
      <w:r>
        <w:rPr>
          <w:sz w:val="20"/>
        </w:rPr>
        <w:t>Court’s</w:t>
      </w:r>
      <w:r>
        <w:rPr>
          <w:spacing w:val="-12"/>
          <w:sz w:val="20"/>
        </w:rPr>
        <w:t> </w:t>
      </w:r>
      <w:r>
        <w:rPr>
          <w:sz w:val="20"/>
        </w:rPr>
        <w:t>field</w:t>
      </w:r>
      <w:r>
        <w:rPr>
          <w:spacing w:val="-7"/>
          <w:sz w:val="20"/>
        </w:rPr>
        <w:t> </w:t>
      </w:r>
      <w:r>
        <w:rPr>
          <w:sz w:val="20"/>
        </w:rPr>
        <w:t>operations</w:t>
      </w:r>
      <w:r>
        <w:rPr>
          <w:spacing w:val="-13"/>
          <w:sz w:val="20"/>
        </w:rPr>
        <w:t> </w:t>
      </w:r>
      <w:r>
        <w:rPr>
          <w:sz w:val="20"/>
        </w:rPr>
        <w:t>in</w:t>
      </w:r>
      <w:r>
        <w:rPr>
          <w:spacing w:val="-12"/>
          <w:sz w:val="20"/>
        </w:rPr>
        <w:t> </w:t>
      </w:r>
      <w:r>
        <w:rPr>
          <w:sz w:val="20"/>
        </w:rPr>
        <w:t>Ukraine,</w:t>
      </w:r>
      <w:r>
        <w:rPr>
          <w:spacing w:val="-11"/>
          <w:sz w:val="20"/>
        </w:rPr>
        <w:t> </w:t>
      </w:r>
      <w:r>
        <w:rPr>
          <w:sz w:val="20"/>
        </w:rPr>
        <w:t>which</w:t>
      </w:r>
      <w:r>
        <w:rPr>
          <w:spacing w:val="-13"/>
          <w:sz w:val="20"/>
        </w:rPr>
        <w:t> </w:t>
      </w:r>
      <w:r>
        <w:rPr>
          <w:sz w:val="20"/>
        </w:rPr>
        <w:t>may</w:t>
      </w:r>
      <w:r>
        <w:rPr>
          <w:spacing w:val="-12"/>
          <w:sz w:val="20"/>
        </w:rPr>
        <w:t> </w:t>
      </w:r>
      <w:r>
        <w:rPr>
          <w:sz w:val="20"/>
        </w:rPr>
        <w:t>include</w:t>
      </w:r>
      <w:r>
        <w:rPr>
          <w:spacing w:val="-13"/>
          <w:sz w:val="20"/>
        </w:rPr>
        <w:t> </w:t>
      </w:r>
      <w:r>
        <w:rPr>
          <w:sz w:val="20"/>
        </w:rPr>
        <w:t>coordination</w:t>
      </w:r>
      <w:r>
        <w:rPr>
          <w:spacing w:val="-12"/>
          <w:sz w:val="20"/>
        </w:rPr>
        <w:t> </w:t>
      </w:r>
      <w:r>
        <w:rPr>
          <w:sz w:val="20"/>
        </w:rPr>
        <w:t>of</w:t>
      </w:r>
      <w:r>
        <w:rPr>
          <w:spacing w:val="-13"/>
          <w:sz w:val="20"/>
        </w:rPr>
        <w:t> </w:t>
      </w:r>
      <w:r>
        <w:rPr>
          <w:sz w:val="20"/>
        </w:rPr>
        <w:t>various areas of work such as mission support, budget and finance, procurement, supply and transportation.</w:t>
      </w:r>
      <w:r>
        <w:rPr>
          <w:spacing w:val="-3"/>
          <w:sz w:val="20"/>
        </w:rPr>
        <w:t> </w:t>
      </w:r>
      <w:r>
        <w:rPr>
          <w:sz w:val="20"/>
        </w:rPr>
        <w:t>Due</w:t>
      </w:r>
      <w:r>
        <w:rPr>
          <w:spacing w:val="-9"/>
          <w:sz w:val="20"/>
        </w:rPr>
        <w:t> </w:t>
      </w:r>
      <w:r>
        <w:rPr>
          <w:sz w:val="20"/>
        </w:rPr>
        <w:t>to</w:t>
      </w:r>
      <w:r>
        <w:rPr>
          <w:spacing w:val="-6"/>
          <w:sz w:val="20"/>
        </w:rPr>
        <w:t> </w:t>
      </w:r>
      <w:r>
        <w:rPr>
          <w:sz w:val="20"/>
        </w:rPr>
        <w:t>the</w:t>
      </w:r>
      <w:r>
        <w:rPr>
          <w:spacing w:val="-1"/>
          <w:sz w:val="20"/>
        </w:rPr>
        <w:t> </w:t>
      </w:r>
      <w:r>
        <w:rPr>
          <w:sz w:val="20"/>
        </w:rPr>
        <w:t>foreseeable</w:t>
      </w:r>
      <w:r>
        <w:rPr>
          <w:spacing w:val="-4"/>
          <w:sz w:val="20"/>
        </w:rPr>
        <w:t> </w:t>
      </w:r>
      <w:r>
        <w:rPr>
          <w:sz w:val="20"/>
        </w:rPr>
        <w:t>challenging</w:t>
      </w:r>
      <w:r>
        <w:rPr>
          <w:spacing w:val="-6"/>
          <w:sz w:val="20"/>
        </w:rPr>
        <w:t> </w:t>
      </w:r>
      <w:r>
        <w:rPr>
          <w:sz w:val="20"/>
        </w:rPr>
        <w:t>operating</w:t>
      </w:r>
      <w:r>
        <w:rPr>
          <w:spacing w:val="-10"/>
          <w:sz w:val="20"/>
        </w:rPr>
        <w:t> </w:t>
      </w:r>
      <w:r>
        <w:rPr>
          <w:sz w:val="20"/>
        </w:rPr>
        <w:t>environment</w:t>
      </w:r>
      <w:r>
        <w:rPr>
          <w:spacing w:val="-9"/>
          <w:sz w:val="20"/>
        </w:rPr>
        <w:t> </w:t>
      </w:r>
      <w:r>
        <w:rPr>
          <w:sz w:val="20"/>
        </w:rPr>
        <w:t>in</w:t>
      </w:r>
      <w:r>
        <w:rPr>
          <w:spacing w:val="-6"/>
          <w:sz w:val="20"/>
        </w:rPr>
        <w:t> </w:t>
      </w:r>
      <w:r>
        <w:rPr>
          <w:sz w:val="20"/>
        </w:rPr>
        <w:t>the</w:t>
      </w:r>
      <w:r>
        <w:rPr>
          <w:spacing w:val="-9"/>
          <w:sz w:val="20"/>
        </w:rPr>
        <w:t> </w:t>
      </w:r>
      <w:r>
        <w:rPr>
          <w:sz w:val="20"/>
        </w:rPr>
        <w:t>country,</w:t>
      </w:r>
      <w:r>
        <w:rPr>
          <w:spacing w:val="-3"/>
          <w:sz w:val="20"/>
        </w:rPr>
        <w:t> </w:t>
      </w:r>
      <w:r>
        <w:rPr>
          <w:sz w:val="20"/>
        </w:rPr>
        <w:t>this position is essential to assist the Administration and Operations Officer and form part of a strong administrative and operations team of the country office.</w:t>
      </w:r>
    </w:p>
    <w:p>
      <w:pPr>
        <w:pStyle w:val="ListParagraph"/>
        <w:numPr>
          <w:ilvl w:val="0"/>
          <w:numId w:val="4"/>
        </w:numPr>
        <w:tabs>
          <w:tab w:pos="2967" w:val="left" w:leader="none"/>
        </w:tabs>
        <w:spacing w:line="240" w:lineRule="auto" w:before="119" w:after="0"/>
        <w:ind w:left="2246" w:right="2240" w:firstLine="0"/>
        <w:jc w:val="both"/>
        <w:rPr>
          <w:sz w:val="20"/>
        </w:rPr>
      </w:pPr>
      <w:r>
        <w:rPr>
          <w:sz w:val="20"/>
        </w:rPr>
        <w:t>One </w:t>
      </w:r>
      <w:r>
        <w:rPr>
          <w:i/>
          <w:sz w:val="20"/>
        </w:rPr>
        <w:t>Audio-Visual Technician (GS-OL), 12 months. New. </w:t>
      </w:r>
      <w:r>
        <w:rPr>
          <w:sz w:val="20"/>
        </w:rPr>
        <w:t>The position is required for the production of radio and TV programmes as well as social media videos on the expected third trial for outreach and public information purposes. The incumbent is responsible for the technical aspects of the production, editing and subtitling of the programmes. It is also the responsibility of the incumbent to design graphics for the programme and perform all post-production work, such as audio and video mix and colour correction,</w:t>
      </w:r>
      <w:r>
        <w:rPr>
          <w:spacing w:val="-2"/>
          <w:sz w:val="20"/>
        </w:rPr>
        <w:t> </w:t>
      </w:r>
      <w:r>
        <w:rPr>
          <w:sz w:val="20"/>
        </w:rPr>
        <w:t>as</w:t>
      </w:r>
      <w:r>
        <w:rPr>
          <w:spacing w:val="-6"/>
          <w:sz w:val="20"/>
        </w:rPr>
        <w:t> </w:t>
      </w:r>
      <w:r>
        <w:rPr>
          <w:sz w:val="20"/>
        </w:rPr>
        <w:t>well</w:t>
      </w:r>
      <w:r>
        <w:rPr>
          <w:spacing w:val="-3"/>
          <w:sz w:val="20"/>
        </w:rPr>
        <w:t> </w:t>
      </w:r>
      <w:r>
        <w:rPr>
          <w:sz w:val="20"/>
        </w:rPr>
        <w:t>as</w:t>
      </w:r>
      <w:r>
        <w:rPr>
          <w:spacing w:val="-10"/>
          <w:sz w:val="20"/>
        </w:rPr>
        <w:t> </w:t>
      </w:r>
      <w:r>
        <w:rPr>
          <w:sz w:val="20"/>
        </w:rPr>
        <w:t>the</w:t>
      </w:r>
      <w:r>
        <w:rPr>
          <w:spacing w:val="-8"/>
          <w:sz w:val="20"/>
        </w:rPr>
        <w:t> </w:t>
      </w:r>
      <w:r>
        <w:rPr>
          <w:sz w:val="20"/>
        </w:rPr>
        <w:t>editing</w:t>
      </w:r>
      <w:r>
        <w:rPr>
          <w:spacing w:val="-5"/>
          <w:sz w:val="20"/>
        </w:rPr>
        <w:t> </w:t>
      </w:r>
      <w:r>
        <w:rPr>
          <w:sz w:val="20"/>
        </w:rPr>
        <w:t>of stock</w:t>
      </w:r>
      <w:r>
        <w:rPr>
          <w:spacing w:val="-9"/>
          <w:sz w:val="20"/>
        </w:rPr>
        <w:t> </w:t>
      </w:r>
      <w:r>
        <w:rPr>
          <w:sz w:val="20"/>
        </w:rPr>
        <w:t>footage</w:t>
      </w:r>
      <w:r>
        <w:rPr>
          <w:spacing w:val="-3"/>
          <w:sz w:val="20"/>
        </w:rPr>
        <w:t> </w:t>
      </w:r>
      <w:r>
        <w:rPr>
          <w:sz w:val="20"/>
        </w:rPr>
        <w:t>for</w:t>
      </w:r>
      <w:r>
        <w:rPr>
          <w:spacing w:val="-9"/>
          <w:sz w:val="20"/>
        </w:rPr>
        <w:t> </w:t>
      </w:r>
      <w:r>
        <w:rPr>
          <w:sz w:val="20"/>
        </w:rPr>
        <w:t>the</w:t>
      </w:r>
      <w:r>
        <w:rPr>
          <w:spacing w:val="-3"/>
          <w:sz w:val="20"/>
        </w:rPr>
        <w:t> </w:t>
      </w:r>
      <w:r>
        <w:rPr>
          <w:sz w:val="20"/>
        </w:rPr>
        <w:t>international</w:t>
      </w:r>
      <w:r>
        <w:rPr>
          <w:spacing w:val="-8"/>
          <w:sz w:val="20"/>
        </w:rPr>
        <w:t> </w:t>
      </w:r>
      <w:r>
        <w:rPr>
          <w:sz w:val="20"/>
        </w:rPr>
        <w:t>media.</w:t>
      </w:r>
      <w:r>
        <w:rPr>
          <w:spacing w:val="-2"/>
          <w:sz w:val="20"/>
        </w:rPr>
        <w:t> </w:t>
      </w:r>
      <w:r>
        <w:rPr>
          <w:sz w:val="20"/>
        </w:rPr>
        <w:t>The</w:t>
      </w:r>
      <w:r>
        <w:rPr>
          <w:spacing w:val="-8"/>
          <w:sz w:val="20"/>
        </w:rPr>
        <w:t> </w:t>
      </w:r>
      <w:r>
        <w:rPr>
          <w:sz w:val="20"/>
        </w:rPr>
        <w:t>incumbent will support the distribution of programmes mainly for journalists by providing copies of tapes, DVDs and other formats requested by broadcast media. The position also supports distribution by digitizing and uploading files with audio and video content to the website, social networking sites, FTP server, etc.</w:t>
      </w:r>
    </w:p>
    <w:p>
      <w:pPr>
        <w:pStyle w:val="ListParagraph"/>
        <w:numPr>
          <w:ilvl w:val="0"/>
          <w:numId w:val="4"/>
        </w:numPr>
        <w:tabs>
          <w:tab w:pos="2967" w:val="left" w:leader="none"/>
        </w:tabs>
        <w:spacing w:line="240" w:lineRule="auto" w:before="120" w:after="0"/>
        <w:ind w:left="2246" w:right="2239" w:firstLine="0"/>
        <w:jc w:val="both"/>
        <w:rPr>
          <w:sz w:val="20"/>
        </w:rPr>
      </w:pPr>
      <w:r>
        <w:rPr>
          <w:sz w:val="20"/>
        </w:rPr>
        <w:t>One </w:t>
      </w:r>
      <w:r>
        <w:rPr>
          <w:i/>
          <w:sz w:val="20"/>
        </w:rPr>
        <w:t>Audio-Visual</w:t>
      </w:r>
      <w:r>
        <w:rPr>
          <w:i/>
          <w:spacing w:val="-4"/>
          <w:sz w:val="20"/>
        </w:rPr>
        <w:t> </w:t>
      </w:r>
      <w:r>
        <w:rPr>
          <w:i/>
          <w:sz w:val="20"/>
        </w:rPr>
        <w:t>Production</w:t>
      </w:r>
      <w:r>
        <w:rPr>
          <w:i/>
          <w:spacing w:val="-1"/>
          <w:sz w:val="20"/>
        </w:rPr>
        <w:t> </w:t>
      </w:r>
      <w:r>
        <w:rPr>
          <w:i/>
          <w:sz w:val="20"/>
        </w:rPr>
        <w:t>Assistant (GS-OL), 12</w:t>
      </w:r>
      <w:r>
        <w:rPr>
          <w:i/>
          <w:spacing w:val="-1"/>
          <w:sz w:val="20"/>
        </w:rPr>
        <w:t> </w:t>
      </w:r>
      <w:r>
        <w:rPr>
          <w:i/>
          <w:sz w:val="20"/>
        </w:rPr>
        <w:t>months.</w:t>
      </w:r>
      <w:r>
        <w:rPr>
          <w:i/>
          <w:spacing w:val="-3"/>
          <w:sz w:val="20"/>
        </w:rPr>
        <w:t> </w:t>
      </w:r>
      <w:r>
        <w:rPr>
          <w:i/>
          <w:sz w:val="20"/>
        </w:rPr>
        <w:t>New. </w:t>
      </w:r>
      <w:r>
        <w:rPr>
          <w:sz w:val="20"/>
        </w:rPr>
        <w:t>This</w:t>
      </w:r>
      <w:r>
        <w:rPr>
          <w:spacing w:val="-2"/>
          <w:sz w:val="20"/>
        </w:rPr>
        <w:t> </w:t>
      </w:r>
      <w:r>
        <w:rPr>
          <w:sz w:val="20"/>
        </w:rPr>
        <w:t>position</w:t>
      </w:r>
      <w:r>
        <w:rPr>
          <w:spacing w:val="-1"/>
          <w:sz w:val="20"/>
        </w:rPr>
        <w:t> </w:t>
      </w:r>
      <w:r>
        <w:rPr>
          <w:sz w:val="20"/>
        </w:rPr>
        <w:t>is required to follow the expected third trial on a daily basis, draft daily summaries of the hearings and produce the first draft of the script for radio and TV programmes for outreach purposes. The incumbent will also maintain content related to the trial on the Court’s YouTube channel and assist in the electronic dissemination</w:t>
      </w:r>
      <w:r>
        <w:rPr>
          <w:spacing w:val="-3"/>
          <w:sz w:val="20"/>
        </w:rPr>
        <w:t> </w:t>
      </w:r>
      <w:r>
        <w:rPr>
          <w:sz w:val="20"/>
        </w:rPr>
        <w:t>of the programmes produced to journalists and other stakeholders.</w:t>
      </w:r>
    </w:p>
    <w:p>
      <w:pPr>
        <w:pStyle w:val="BodyText"/>
        <w:spacing w:before="1"/>
        <w:rPr>
          <w:sz w:val="21"/>
        </w:rPr>
      </w:pPr>
    </w:p>
    <w:p>
      <w:pPr>
        <w:spacing w:before="1"/>
        <w:ind w:left="2246" w:right="0" w:firstLine="0"/>
        <w:jc w:val="both"/>
        <w:rPr>
          <w:i/>
          <w:sz w:val="20"/>
        </w:rPr>
      </w:pPr>
      <w:r>
        <w:rPr>
          <w:i/>
          <w:sz w:val="20"/>
        </w:rPr>
        <w:t>Individual</w:t>
      </w:r>
      <w:r>
        <w:rPr>
          <w:i/>
          <w:spacing w:val="-7"/>
          <w:sz w:val="20"/>
        </w:rPr>
        <w:t> </w:t>
      </w:r>
      <w:r>
        <w:rPr>
          <w:i/>
          <w:spacing w:val="-2"/>
          <w:sz w:val="20"/>
        </w:rPr>
        <w:t>contractors</w:t>
      </w:r>
    </w:p>
    <w:p>
      <w:pPr>
        <w:pStyle w:val="BodyText"/>
        <w:spacing w:before="3"/>
        <w:rPr>
          <w:i/>
          <w:sz w:val="21"/>
        </w:rPr>
      </w:pPr>
    </w:p>
    <w:p>
      <w:pPr>
        <w:pStyle w:val="ListParagraph"/>
        <w:numPr>
          <w:ilvl w:val="0"/>
          <w:numId w:val="4"/>
        </w:numPr>
        <w:tabs>
          <w:tab w:pos="2967" w:val="left" w:leader="none"/>
        </w:tabs>
        <w:spacing w:line="235" w:lineRule="auto" w:before="0" w:after="0"/>
        <w:ind w:left="2246" w:right="2239" w:firstLine="0"/>
        <w:jc w:val="both"/>
        <w:rPr>
          <w:sz w:val="20"/>
        </w:rPr>
      </w:pPr>
      <w:r>
        <w:rPr>
          <w:sz w:val="20"/>
        </w:rPr>
        <w:t>Driver requirements: Individual contractors operating under Special Service Agreements</w:t>
      </w:r>
      <w:r>
        <w:rPr>
          <w:spacing w:val="27"/>
          <w:sz w:val="20"/>
        </w:rPr>
        <w:t> </w:t>
      </w:r>
      <w:r>
        <w:rPr>
          <w:sz w:val="20"/>
        </w:rPr>
        <w:t>(SSAs)</w:t>
      </w:r>
      <w:r>
        <w:rPr>
          <w:spacing w:val="29"/>
          <w:sz w:val="20"/>
        </w:rPr>
        <w:t> </w:t>
      </w:r>
      <w:r>
        <w:rPr>
          <w:sz w:val="20"/>
        </w:rPr>
        <w:t>are</w:t>
      </w:r>
      <w:r>
        <w:rPr>
          <w:spacing w:val="30"/>
          <w:sz w:val="20"/>
        </w:rPr>
        <w:t> </w:t>
      </w:r>
      <w:r>
        <w:rPr>
          <w:sz w:val="20"/>
        </w:rPr>
        <w:t>needed</w:t>
      </w:r>
      <w:r>
        <w:rPr>
          <w:spacing w:val="29"/>
          <w:sz w:val="20"/>
        </w:rPr>
        <w:t> </w:t>
      </w:r>
      <w:r>
        <w:rPr>
          <w:sz w:val="20"/>
        </w:rPr>
        <w:t>for</w:t>
      </w:r>
      <w:r>
        <w:rPr>
          <w:spacing w:val="29"/>
          <w:sz w:val="20"/>
        </w:rPr>
        <w:t> </w:t>
      </w:r>
      <w:r>
        <w:rPr>
          <w:sz w:val="20"/>
        </w:rPr>
        <w:t>six</w:t>
      </w:r>
      <w:r>
        <w:rPr>
          <w:spacing w:val="29"/>
          <w:sz w:val="20"/>
        </w:rPr>
        <w:t> </w:t>
      </w:r>
      <w:r>
        <w:rPr>
          <w:sz w:val="20"/>
        </w:rPr>
        <w:t>months</w:t>
      </w:r>
      <w:r>
        <w:rPr>
          <w:spacing w:val="23"/>
          <w:sz w:val="20"/>
        </w:rPr>
        <w:t> </w:t>
      </w:r>
      <w:r>
        <w:rPr>
          <w:sz w:val="20"/>
        </w:rPr>
        <w:t>in</w:t>
      </w:r>
      <w:r>
        <w:rPr>
          <w:spacing w:val="29"/>
          <w:sz w:val="20"/>
        </w:rPr>
        <w:t> </w:t>
      </w:r>
      <w:r>
        <w:rPr>
          <w:sz w:val="20"/>
        </w:rPr>
        <w:t>the</w:t>
      </w:r>
      <w:r>
        <w:rPr>
          <w:spacing w:val="30"/>
          <w:sz w:val="20"/>
        </w:rPr>
        <w:t> </w:t>
      </w:r>
      <w:r>
        <w:rPr>
          <w:sz w:val="20"/>
        </w:rPr>
        <w:t>Country</w:t>
      </w:r>
      <w:r>
        <w:rPr>
          <w:spacing w:val="29"/>
          <w:sz w:val="20"/>
        </w:rPr>
        <w:t> </w:t>
      </w:r>
      <w:r>
        <w:rPr>
          <w:sz w:val="20"/>
        </w:rPr>
        <w:t>Office</w:t>
      </w:r>
      <w:r>
        <w:rPr>
          <w:spacing w:val="30"/>
          <w:sz w:val="20"/>
        </w:rPr>
        <w:t> </w:t>
      </w:r>
      <w:r>
        <w:rPr>
          <w:sz w:val="20"/>
        </w:rPr>
        <w:t>(Uganda),</w:t>
      </w:r>
      <w:r>
        <w:rPr>
          <w:spacing w:val="31"/>
          <w:sz w:val="20"/>
        </w:rPr>
        <w:t> </w:t>
      </w:r>
      <w:r>
        <w:rPr>
          <w:sz w:val="20"/>
        </w:rPr>
        <w:t>for</w:t>
      </w:r>
      <w:r>
        <w:rPr>
          <w:spacing w:val="24"/>
          <w:sz w:val="20"/>
        </w:rPr>
        <w:t> </w:t>
      </w:r>
      <w:r>
        <w:rPr>
          <w:sz w:val="20"/>
        </w:rPr>
        <w:t>two</w:t>
      </w:r>
    </w:p>
    <w:p>
      <w:pPr>
        <w:spacing w:after="0" w:line="235" w:lineRule="auto"/>
        <w:jc w:val="both"/>
        <w:rPr>
          <w:sz w:val="20"/>
        </w:rPr>
        <w:sectPr>
          <w:pgSz w:w="11910" w:h="16840"/>
          <w:pgMar w:header="957" w:footer="940" w:top="1140" w:bottom="1140" w:left="20" w:right="20"/>
        </w:sectPr>
      </w:pPr>
    </w:p>
    <w:p>
      <w:pPr>
        <w:pStyle w:val="BodyText"/>
        <w:spacing w:before="124"/>
        <w:ind w:left="2246" w:right="2246"/>
        <w:jc w:val="both"/>
      </w:pPr>
      <w:r>
        <w:rPr/>
        <w:t>months in the Country Office (DRC) in Kinshasa and for six months in the Country Office (Côte d’Ivoire) owing to the absence of any driver position in the latter two country offices and the abolishment of two Driver posts in the former.</w:t>
      </w:r>
    </w:p>
    <w:p>
      <w:pPr>
        <w:pStyle w:val="ListParagraph"/>
        <w:numPr>
          <w:ilvl w:val="0"/>
          <w:numId w:val="4"/>
        </w:numPr>
        <w:tabs>
          <w:tab w:pos="2967" w:val="left" w:leader="none"/>
        </w:tabs>
        <w:spacing w:line="240" w:lineRule="auto" w:before="122" w:after="0"/>
        <w:ind w:left="2246" w:right="2241" w:firstLine="0"/>
        <w:jc w:val="both"/>
        <w:rPr>
          <w:sz w:val="20"/>
        </w:rPr>
      </w:pPr>
      <w:r>
        <w:rPr>
          <w:sz w:val="20"/>
        </w:rPr>
        <w:t>IT</w:t>
      </w:r>
      <w:r>
        <w:rPr>
          <w:spacing w:val="80"/>
          <w:sz w:val="20"/>
        </w:rPr>
        <w:t> </w:t>
      </w:r>
      <w:r>
        <w:rPr>
          <w:sz w:val="20"/>
        </w:rPr>
        <w:t>requirements:</w:t>
      </w:r>
      <w:r>
        <w:rPr>
          <w:spacing w:val="80"/>
          <w:sz w:val="20"/>
        </w:rPr>
        <w:t> </w:t>
      </w:r>
      <w:r>
        <w:rPr>
          <w:sz w:val="20"/>
        </w:rPr>
        <w:t>Individual</w:t>
      </w:r>
      <w:r>
        <w:rPr>
          <w:spacing w:val="80"/>
          <w:sz w:val="20"/>
        </w:rPr>
        <w:t> </w:t>
      </w:r>
      <w:r>
        <w:rPr>
          <w:sz w:val="20"/>
        </w:rPr>
        <w:t>contractors</w:t>
      </w:r>
      <w:r>
        <w:rPr>
          <w:spacing w:val="80"/>
          <w:sz w:val="20"/>
        </w:rPr>
        <w:t> </w:t>
      </w:r>
      <w:r>
        <w:rPr>
          <w:sz w:val="20"/>
        </w:rPr>
        <w:t>operating</w:t>
      </w:r>
      <w:r>
        <w:rPr>
          <w:spacing w:val="80"/>
          <w:sz w:val="20"/>
        </w:rPr>
        <w:t> </w:t>
      </w:r>
      <w:r>
        <w:rPr>
          <w:sz w:val="20"/>
        </w:rPr>
        <w:t>under</w:t>
      </w:r>
      <w:r>
        <w:rPr>
          <w:spacing w:val="80"/>
          <w:sz w:val="20"/>
        </w:rPr>
        <w:t> </w:t>
      </w:r>
      <w:r>
        <w:rPr>
          <w:sz w:val="20"/>
        </w:rPr>
        <w:t>SSAs</w:t>
      </w:r>
      <w:r>
        <w:rPr>
          <w:spacing w:val="80"/>
          <w:sz w:val="20"/>
        </w:rPr>
        <w:t> </w:t>
      </w:r>
      <w:r>
        <w:rPr>
          <w:sz w:val="20"/>
        </w:rPr>
        <w:t>are</w:t>
      </w:r>
      <w:r>
        <w:rPr>
          <w:spacing w:val="80"/>
          <w:sz w:val="20"/>
        </w:rPr>
        <w:t> </w:t>
      </w:r>
      <w:r>
        <w:rPr>
          <w:sz w:val="20"/>
        </w:rPr>
        <w:t>needed for (1)</w:t>
      </w:r>
      <w:r>
        <w:rPr>
          <w:spacing w:val="-3"/>
          <w:sz w:val="20"/>
        </w:rPr>
        <w:t> </w:t>
      </w:r>
      <w:r>
        <w:rPr>
          <w:sz w:val="20"/>
        </w:rPr>
        <w:t>two months in the Country Office (Côte d’Ivoire) owing to the absence of a Field IT Technician position in that office to provide support to TFV activities as well as to the appearance of witnesses</w:t>
      </w:r>
      <w:r>
        <w:rPr>
          <w:spacing w:val="-5"/>
          <w:sz w:val="20"/>
        </w:rPr>
        <w:t> </w:t>
      </w:r>
      <w:r>
        <w:rPr>
          <w:sz w:val="20"/>
        </w:rPr>
        <w:t>in other situations via</w:t>
      </w:r>
      <w:r>
        <w:rPr>
          <w:spacing w:val="-2"/>
          <w:sz w:val="20"/>
        </w:rPr>
        <w:t> </w:t>
      </w:r>
      <w:r>
        <w:rPr>
          <w:sz w:val="20"/>
        </w:rPr>
        <w:t>videoconferencing,</w:t>
      </w:r>
      <w:r>
        <w:rPr>
          <w:spacing w:val="-1"/>
          <w:sz w:val="20"/>
        </w:rPr>
        <w:t> </w:t>
      </w:r>
      <w:r>
        <w:rPr>
          <w:sz w:val="20"/>
        </w:rPr>
        <w:t>and (2) for six</w:t>
      </w:r>
      <w:r>
        <w:rPr>
          <w:spacing w:val="-4"/>
          <w:sz w:val="20"/>
        </w:rPr>
        <w:t> </w:t>
      </w:r>
      <w:r>
        <w:rPr>
          <w:sz w:val="20"/>
        </w:rPr>
        <w:t>months</w:t>
      </w:r>
      <w:r>
        <w:rPr>
          <w:spacing w:val="-5"/>
          <w:sz w:val="20"/>
        </w:rPr>
        <w:t> </w:t>
      </w:r>
      <w:r>
        <w:rPr>
          <w:sz w:val="20"/>
        </w:rPr>
        <w:t>in the</w:t>
      </w:r>
      <w:r>
        <w:rPr>
          <w:spacing w:val="-10"/>
          <w:sz w:val="20"/>
        </w:rPr>
        <w:t> </w:t>
      </w:r>
      <w:r>
        <w:rPr>
          <w:sz w:val="20"/>
        </w:rPr>
        <w:t>Country</w:t>
      </w:r>
      <w:r>
        <w:rPr>
          <w:spacing w:val="-9"/>
          <w:sz w:val="20"/>
        </w:rPr>
        <w:t> </w:t>
      </w:r>
      <w:r>
        <w:rPr>
          <w:sz w:val="20"/>
        </w:rPr>
        <w:t>Office</w:t>
      </w:r>
      <w:r>
        <w:rPr>
          <w:spacing w:val="-8"/>
          <w:sz w:val="20"/>
        </w:rPr>
        <w:t> </w:t>
      </w:r>
      <w:r>
        <w:rPr>
          <w:sz w:val="20"/>
        </w:rPr>
        <w:t>(CAR)</w:t>
      </w:r>
      <w:r>
        <w:rPr>
          <w:spacing w:val="-9"/>
          <w:sz w:val="20"/>
        </w:rPr>
        <w:t> </w:t>
      </w:r>
      <w:r>
        <w:rPr>
          <w:sz w:val="20"/>
        </w:rPr>
        <w:t>to</w:t>
      </w:r>
      <w:r>
        <w:rPr>
          <w:spacing w:val="-9"/>
          <w:sz w:val="20"/>
        </w:rPr>
        <w:t> </w:t>
      </w:r>
      <w:r>
        <w:rPr>
          <w:sz w:val="20"/>
        </w:rPr>
        <w:t>be</w:t>
      </w:r>
      <w:r>
        <w:rPr>
          <w:spacing w:val="-8"/>
          <w:sz w:val="20"/>
        </w:rPr>
        <w:t> </w:t>
      </w:r>
      <w:r>
        <w:rPr>
          <w:sz w:val="20"/>
        </w:rPr>
        <w:t>able</w:t>
      </w:r>
      <w:r>
        <w:rPr>
          <w:spacing w:val="-8"/>
          <w:sz w:val="20"/>
        </w:rPr>
        <w:t> </w:t>
      </w:r>
      <w:r>
        <w:rPr>
          <w:sz w:val="20"/>
        </w:rPr>
        <w:t>to</w:t>
      </w:r>
      <w:r>
        <w:rPr>
          <w:spacing w:val="-9"/>
          <w:sz w:val="20"/>
        </w:rPr>
        <w:t> </w:t>
      </w:r>
      <w:r>
        <w:rPr>
          <w:sz w:val="20"/>
        </w:rPr>
        <w:t>provide</w:t>
      </w:r>
      <w:r>
        <w:rPr>
          <w:spacing w:val="-3"/>
          <w:sz w:val="20"/>
        </w:rPr>
        <w:t> </w:t>
      </w:r>
      <w:r>
        <w:rPr>
          <w:sz w:val="20"/>
        </w:rPr>
        <w:t>surge</w:t>
      </w:r>
      <w:r>
        <w:rPr>
          <w:spacing w:val="-8"/>
          <w:sz w:val="20"/>
        </w:rPr>
        <w:t> </w:t>
      </w:r>
      <w:r>
        <w:rPr>
          <w:sz w:val="20"/>
        </w:rPr>
        <w:t>capacity</w:t>
      </w:r>
      <w:r>
        <w:rPr>
          <w:spacing w:val="-5"/>
          <w:sz w:val="20"/>
        </w:rPr>
        <w:t> </w:t>
      </w:r>
      <w:r>
        <w:rPr>
          <w:sz w:val="20"/>
        </w:rPr>
        <w:t>as</w:t>
      </w:r>
      <w:r>
        <w:rPr>
          <w:spacing w:val="-13"/>
          <w:sz w:val="20"/>
        </w:rPr>
        <w:t> </w:t>
      </w:r>
      <w:r>
        <w:rPr>
          <w:sz w:val="20"/>
        </w:rPr>
        <w:t>a</w:t>
      </w:r>
      <w:r>
        <w:rPr>
          <w:spacing w:val="-7"/>
          <w:sz w:val="20"/>
        </w:rPr>
        <w:t> </w:t>
      </w:r>
      <w:r>
        <w:rPr>
          <w:sz w:val="20"/>
        </w:rPr>
        <w:t>result</w:t>
      </w:r>
      <w:r>
        <w:rPr>
          <w:spacing w:val="-8"/>
          <w:sz w:val="20"/>
        </w:rPr>
        <w:t> </w:t>
      </w:r>
      <w:r>
        <w:rPr>
          <w:sz w:val="20"/>
        </w:rPr>
        <w:t>of</w:t>
      </w:r>
      <w:r>
        <w:rPr>
          <w:spacing w:val="-9"/>
          <w:sz w:val="20"/>
        </w:rPr>
        <w:t> </w:t>
      </w:r>
      <w:r>
        <w:rPr>
          <w:sz w:val="20"/>
        </w:rPr>
        <w:t>the</w:t>
      </w:r>
      <w:r>
        <w:rPr>
          <w:spacing w:val="-8"/>
          <w:sz w:val="20"/>
        </w:rPr>
        <w:t> </w:t>
      </w:r>
      <w:r>
        <w:rPr>
          <w:sz w:val="20"/>
        </w:rPr>
        <w:t>simultaneous trials in 2023 and a concurrent confirmation hearing in the </w:t>
      </w:r>
      <w:r>
        <w:rPr>
          <w:i/>
          <w:sz w:val="20"/>
        </w:rPr>
        <w:t>Mokom </w:t>
      </w:r>
      <w:r>
        <w:rPr>
          <w:sz w:val="20"/>
        </w:rPr>
        <w:t>case which will require IT support.</w:t>
      </w:r>
    </w:p>
    <w:p>
      <w:pPr>
        <w:pStyle w:val="ListParagraph"/>
        <w:numPr>
          <w:ilvl w:val="0"/>
          <w:numId w:val="4"/>
        </w:numPr>
        <w:tabs>
          <w:tab w:pos="2967" w:val="left" w:leader="none"/>
        </w:tabs>
        <w:spacing w:line="240" w:lineRule="auto" w:before="118" w:after="0"/>
        <w:ind w:left="2246" w:right="2242" w:firstLine="0"/>
        <w:jc w:val="both"/>
        <w:rPr>
          <w:sz w:val="20"/>
        </w:rPr>
      </w:pPr>
      <w:bookmarkStart w:name="_bookmark48" w:id="49"/>
      <w:bookmarkEnd w:id="49"/>
      <w:r>
        <w:rPr>
          <w:sz w:val="20"/>
        </w:rPr>
        <w:t>O</w:t>
      </w:r>
      <w:r>
        <w:rPr>
          <w:sz w:val="20"/>
        </w:rPr>
        <w:t>utreach requirements: Individual contractors operating under SSAs are needed</w:t>
      </w:r>
      <w:r>
        <w:rPr>
          <w:spacing w:val="40"/>
          <w:sz w:val="20"/>
        </w:rPr>
        <w:t> </w:t>
      </w:r>
      <w:r>
        <w:rPr>
          <w:sz w:val="20"/>
        </w:rPr>
        <w:t>for</w:t>
      </w:r>
      <w:r>
        <w:rPr>
          <w:spacing w:val="-1"/>
          <w:sz w:val="20"/>
        </w:rPr>
        <w:t> </w:t>
      </w:r>
      <w:r>
        <w:rPr>
          <w:sz w:val="20"/>
        </w:rPr>
        <w:t>12</w:t>
      </w:r>
      <w:r>
        <w:rPr>
          <w:spacing w:val="-10"/>
          <w:sz w:val="20"/>
        </w:rPr>
        <w:t> </w:t>
      </w:r>
      <w:r>
        <w:rPr>
          <w:sz w:val="20"/>
        </w:rPr>
        <w:t>months</w:t>
      </w:r>
      <w:r>
        <w:rPr>
          <w:spacing w:val="-11"/>
          <w:sz w:val="20"/>
        </w:rPr>
        <w:t> </w:t>
      </w:r>
      <w:r>
        <w:rPr>
          <w:sz w:val="20"/>
        </w:rPr>
        <w:t>in</w:t>
      </w:r>
      <w:r>
        <w:rPr>
          <w:spacing w:val="-10"/>
          <w:sz w:val="20"/>
        </w:rPr>
        <w:t> </w:t>
      </w:r>
      <w:r>
        <w:rPr>
          <w:sz w:val="20"/>
        </w:rPr>
        <w:t>the</w:t>
      </w:r>
      <w:r>
        <w:rPr>
          <w:spacing w:val="-4"/>
          <w:sz w:val="20"/>
        </w:rPr>
        <w:t> </w:t>
      </w:r>
      <w:r>
        <w:rPr>
          <w:sz w:val="20"/>
        </w:rPr>
        <w:t>Country</w:t>
      </w:r>
      <w:r>
        <w:rPr>
          <w:spacing w:val="-10"/>
          <w:sz w:val="20"/>
        </w:rPr>
        <w:t> </w:t>
      </w:r>
      <w:r>
        <w:rPr>
          <w:sz w:val="20"/>
        </w:rPr>
        <w:t>Office</w:t>
      </w:r>
      <w:r>
        <w:rPr>
          <w:spacing w:val="-4"/>
          <w:sz w:val="20"/>
        </w:rPr>
        <w:t> </w:t>
      </w:r>
      <w:r>
        <w:rPr>
          <w:sz w:val="20"/>
        </w:rPr>
        <w:t>(CAR)</w:t>
      </w:r>
      <w:r>
        <w:rPr>
          <w:spacing w:val="-6"/>
          <w:sz w:val="20"/>
        </w:rPr>
        <w:t> </w:t>
      </w:r>
      <w:r>
        <w:rPr>
          <w:sz w:val="20"/>
        </w:rPr>
        <w:t>to</w:t>
      </w:r>
      <w:r>
        <w:rPr>
          <w:spacing w:val="-6"/>
          <w:sz w:val="20"/>
        </w:rPr>
        <w:t> </w:t>
      </w:r>
      <w:r>
        <w:rPr>
          <w:sz w:val="20"/>
        </w:rPr>
        <w:t>provide</w:t>
      </w:r>
      <w:r>
        <w:rPr>
          <w:spacing w:val="-4"/>
          <w:sz w:val="20"/>
        </w:rPr>
        <w:t> </w:t>
      </w:r>
      <w:r>
        <w:rPr>
          <w:sz w:val="20"/>
        </w:rPr>
        <w:t>support</w:t>
      </w:r>
      <w:r>
        <w:rPr>
          <w:spacing w:val="-4"/>
          <w:sz w:val="20"/>
        </w:rPr>
        <w:t> </w:t>
      </w:r>
      <w:r>
        <w:rPr>
          <w:sz w:val="20"/>
        </w:rPr>
        <w:t>related</w:t>
      </w:r>
      <w:r>
        <w:rPr>
          <w:spacing w:val="-6"/>
          <w:sz w:val="20"/>
        </w:rPr>
        <w:t> </w:t>
      </w:r>
      <w:r>
        <w:rPr>
          <w:sz w:val="20"/>
        </w:rPr>
        <w:t>to</w:t>
      </w:r>
      <w:r>
        <w:rPr>
          <w:spacing w:val="-6"/>
          <w:sz w:val="20"/>
        </w:rPr>
        <w:t> </w:t>
      </w:r>
      <w:r>
        <w:rPr>
          <w:sz w:val="20"/>
        </w:rPr>
        <w:t>outreach</w:t>
      </w:r>
      <w:r>
        <w:rPr>
          <w:spacing w:val="-6"/>
          <w:sz w:val="20"/>
        </w:rPr>
        <w:t> </w:t>
      </w:r>
      <w:r>
        <w:rPr>
          <w:sz w:val="20"/>
        </w:rPr>
        <w:t>and</w:t>
      </w:r>
      <w:r>
        <w:rPr>
          <w:spacing w:val="-6"/>
          <w:sz w:val="20"/>
        </w:rPr>
        <w:t> </w:t>
      </w:r>
      <w:r>
        <w:rPr>
          <w:sz w:val="20"/>
        </w:rPr>
        <w:t>public information to fulfil the planned and anticipated activities necessary for delivery of the mandated</w:t>
      </w:r>
      <w:r>
        <w:rPr>
          <w:spacing w:val="-9"/>
          <w:sz w:val="20"/>
        </w:rPr>
        <w:t> </w:t>
      </w:r>
      <w:r>
        <w:rPr>
          <w:sz w:val="20"/>
        </w:rPr>
        <w:t>activities</w:t>
      </w:r>
      <w:r>
        <w:rPr>
          <w:spacing w:val="-10"/>
          <w:sz w:val="20"/>
        </w:rPr>
        <w:t> </w:t>
      </w:r>
      <w:r>
        <w:rPr>
          <w:sz w:val="20"/>
        </w:rPr>
        <w:t>at</w:t>
      </w:r>
      <w:r>
        <w:rPr>
          <w:spacing w:val="-8"/>
          <w:sz w:val="20"/>
        </w:rPr>
        <w:t> </w:t>
      </w:r>
      <w:r>
        <w:rPr>
          <w:sz w:val="20"/>
        </w:rPr>
        <w:t>an</w:t>
      </w:r>
      <w:r>
        <w:rPr>
          <w:spacing w:val="-9"/>
          <w:sz w:val="20"/>
        </w:rPr>
        <w:t> </w:t>
      </w:r>
      <w:r>
        <w:rPr>
          <w:sz w:val="20"/>
        </w:rPr>
        <w:t>acceptable</w:t>
      </w:r>
      <w:r>
        <w:rPr>
          <w:spacing w:val="-8"/>
          <w:sz w:val="20"/>
        </w:rPr>
        <w:t> </w:t>
      </w:r>
      <w:r>
        <w:rPr>
          <w:sz w:val="20"/>
        </w:rPr>
        <w:t>level</w:t>
      </w:r>
      <w:r>
        <w:rPr>
          <w:spacing w:val="-3"/>
          <w:sz w:val="20"/>
        </w:rPr>
        <w:t> </w:t>
      </w:r>
      <w:r>
        <w:rPr>
          <w:sz w:val="20"/>
        </w:rPr>
        <w:t>for</w:t>
      </w:r>
      <w:r>
        <w:rPr>
          <w:spacing w:val="-9"/>
          <w:sz w:val="20"/>
        </w:rPr>
        <w:t> </w:t>
      </w:r>
      <w:r>
        <w:rPr>
          <w:sz w:val="20"/>
        </w:rPr>
        <w:t>the </w:t>
      </w:r>
      <w:r>
        <w:rPr>
          <w:i/>
          <w:sz w:val="20"/>
        </w:rPr>
        <w:t>Yekatom</w:t>
      </w:r>
      <w:r>
        <w:rPr>
          <w:i/>
          <w:spacing w:val="-6"/>
          <w:sz w:val="20"/>
        </w:rPr>
        <w:t> </w:t>
      </w:r>
      <w:r>
        <w:rPr>
          <w:i/>
          <w:sz w:val="20"/>
        </w:rPr>
        <w:t>and</w:t>
      </w:r>
      <w:r>
        <w:rPr>
          <w:i/>
          <w:spacing w:val="-5"/>
          <w:sz w:val="20"/>
        </w:rPr>
        <w:t> </w:t>
      </w:r>
      <w:r>
        <w:rPr>
          <w:i/>
          <w:sz w:val="20"/>
        </w:rPr>
        <w:t>Ngaïssona</w:t>
      </w:r>
      <w:r>
        <w:rPr>
          <w:i/>
          <w:spacing w:val="-8"/>
          <w:sz w:val="20"/>
        </w:rPr>
        <w:t> </w:t>
      </w:r>
      <w:r>
        <w:rPr>
          <w:sz w:val="20"/>
        </w:rPr>
        <w:t>case,</w:t>
      </w:r>
      <w:r>
        <w:rPr>
          <w:spacing w:val="-2"/>
          <w:sz w:val="20"/>
        </w:rPr>
        <w:t> </w:t>
      </w:r>
      <w:r>
        <w:rPr>
          <w:sz w:val="20"/>
        </w:rPr>
        <w:t>the</w:t>
      </w:r>
      <w:r>
        <w:rPr>
          <w:spacing w:val="-2"/>
          <w:sz w:val="20"/>
        </w:rPr>
        <w:t> </w:t>
      </w:r>
      <w:r>
        <w:rPr>
          <w:i/>
          <w:sz w:val="20"/>
        </w:rPr>
        <w:t>Said</w:t>
      </w:r>
      <w:r>
        <w:rPr>
          <w:i/>
          <w:spacing w:val="-9"/>
          <w:sz w:val="20"/>
        </w:rPr>
        <w:t> </w:t>
      </w:r>
      <w:r>
        <w:rPr>
          <w:sz w:val="20"/>
        </w:rPr>
        <w:t>case and</w:t>
      </w:r>
      <w:r>
        <w:rPr>
          <w:spacing w:val="-13"/>
          <w:sz w:val="20"/>
        </w:rPr>
        <w:t> </w:t>
      </w:r>
      <w:r>
        <w:rPr>
          <w:sz w:val="20"/>
        </w:rPr>
        <w:t>the</w:t>
      </w:r>
      <w:r>
        <w:rPr>
          <w:spacing w:val="-12"/>
          <w:sz w:val="20"/>
        </w:rPr>
        <w:t> </w:t>
      </w:r>
      <w:r>
        <w:rPr>
          <w:i/>
          <w:sz w:val="20"/>
        </w:rPr>
        <w:t>Mokom</w:t>
      </w:r>
      <w:r>
        <w:rPr>
          <w:i/>
          <w:spacing w:val="-13"/>
          <w:sz w:val="20"/>
        </w:rPr>
        <w:t> </w:t>
      </w:r>
      <w:r>
        <w:rPr>
          <w:sz w:val="20"/>
        </w:rPr>
        <w:t>case.</w:t>
      </w:r>
      <w:r>
        <w:rPr>
          <w:spacing w:val="-12"/>
          <w:sz w:val="20"/>
        </w:rPr>
        <w:t> </w:t>
      </w:r>
      <w:r>
        <w:rPr>
          <w:sz w:val="20"/>
        </w:rPr>
        <w:t>Among</w:t>
      </w:r>
      <w:r>
        <w:rPr>
          <w:spacing w:val="-13"/>
          <w:sz w:val="20"/>
        </w:rPr>
        <w:t> </w:t>
      </w:r>
      <w:r>
        <w:rPr>
          <w:sz w:val="20"/>
        </w:rPr>
        <w:t>other</w:t>
      </w:r>
      <w:r>
        <w:rPr>
          <w:spacing w:val="-12"/>
          <w:sz w:val="20"/>
        </w:rPr>
        <w:t> </w:t>
      </w:r>
      <w:r>
        <w:rPr>
          <w:sz w:val="20"/>
        </w:rPr>
        <w:t>activities,</w:t>
      </w:r>
      <w:r>
        <w:rPr>
          <w:spacing w:val="-13"/>
          <w:sz w:val="20"/>
        </w:rPr>
        <w:t> </w:t>
      </w:r>
      <w:r>
        <w:rPr>
          <w:sz w:val="20"/>
        </w:rPr>
        <w:t>this</w:t>
      </w:r>
      <w:r>
        <w:rPr>
          <w:spacing w:val="-12"/>
          <w:sz w:val="20"/>
        </w:rPr>
        <w:t> </w:t>
      </w:r>
      <w:r>
        <w:rPr>
          <w:sz w:val="20"/>
        </w:rPr>
        <w:t>support</w:t>
      </w:r>
      <w:r>
        <w:rPr>
          <w:spacing w:val="-9"/>
          <w:sz w:val="20"/>
        </w:rPr>
        <w:t> </w:t>
      </w:r>
      <w:r>
        <w:rPr>
          <w:sz w:val="20"/>
        </w:rPr>
        <w:t>provides</w:t>
      </w:r>
      <w:r>
        <w:rPr>
          <w:spacing w:val="-13"/>
          <w:sz w:val="20"/>
        </w:rPr>
        <w:t> </w:t>
      </w:r>
      <w:r>
        <w:rPr>
          <w:sz w:val="20"/>
        </w:rPr>
        <w:t>the</w:t>
      </w:r>
      <w:r>
        <w:rPr>
          <w:spacing w:val="-8"/>
          <w:sz w:val="20"/>
        </w:rPr>
        <w:t> </w:t>
      </w:r>
      <w:r>
        <w:rPr>
          <w:sz w:val="20"/>
        </w:rPr>
        <w:t>Country</w:t>
      </w:r>
      <w:r>
        <w:rPr>
          <w:spacing w:val="-9"/>
          <w:sz w:val="20"/>
        </w:rPr>
        <w:t> </w:t>
      </w:r>
      <w:r>
        <w:rPr>
          <w:sz w:val="20"/>
        </w:rPr>
        <w:t>Office</w:t>
      </w:r>
      <w:r>
        <w:rPr>
          <w:spacing w:val="-13"/>
          <w:sz w:val="20"/>
        </w:rPr>
        <w:t> </w:t>
      </w:r>
      <w:r>
        <w:rPr>
          <w:sz w:val="20"/>
        </w:rPr>
        <w:t>(CAR) with Sango/French translation capacity and access to the local specialized social and online media</w:t>
      </w:r>
      <w:r>
        <w:rPr>
          <w:spacing w:val="-10"/>
          <w:sz w:val="20"/>
        </w:rPr>
        <w:t> </w:t>
      </w:r>
      <w:r>
        <w:rPr>
          <w:sz w:val="20"/>
        </w:rPr>
        <w:t>network,</w:t>
      </w:r>
      <w:r>
        <w:rPr>
          <w:spacing w:val="-8"/>
          <w:sz w:val="20"/>
        </w:rPr>
        <w:t> </w:t>
      </w:r>
      <w:r>
        <w:rPr>
          <w:sz w:val="20"/>
        </w:rPr>
        <w:t>while</w:t>
      </w:r>
      <w:r>
        <w:rPr>
          <w:spacing w:val="-9"/>
          <w:sz w:val="20"/>
        </w:rPr>
        <w:t> </w:t>
      </w:r>
      <w:r>
        <w:rPr>
          <w:sz w:val="20"/>
        </w:rPr>
        <w:t>bringing</w:t>
      </w:r>
      <w:r>
        <w:rPr>
          <w:spacing w:val="-13"/>
          <w:sz w:val="20"/>
        </w:rPr>
        <w:t> </w:t>
      </w:r>
      <w:r>
        <w:rPr>
          <w:sz w:val="20"/>
        </w:rPr>
        <w:t>an</w:t>
      </w:r>
      <w:r>
        <w:rPr>
          <w:spacing w:val="-9"/>
          <w:sz w:val="20"/>
        </w:rPr>
        <w:t> </w:t>
      </w:r>
      <w:r>
        <w:rPr>
          <w:sz w:val="20"/>
        </w:rPr>
        <w:t>enhanced</w:t>
      </w:r>
      <w:r>
        <w:rPr>
          <w:spacing w:val="-10"/>
          <w:sz w:val="20"/>
        </w:rPr>
        <w:t> </w:t>
      </w:r>
      <w:r>
        <w:rPr>
          <w:sz w:val="20"/>
        </w:rPr>
        <w:t>gender</w:t>
      </w:r>
      <w:r>
        <w:rPr>
          <w:spacing w:val="-10"/>
          <w:sz w:val="20"/>
        </w:rPr>
        <w:t> </w:t>
      </w:r>
      <w:r>
        <w:rPr>
          <w:sz w:val="20"/>
        </w:rPr>
        <w:t>balance</w:t>
      </w:r>
      <w:r>
        <w:rPr>
          <w:spacing w:val="-9"/>
          <w:sz w:val="20"/>
        </w:rPr>
        <w:t> </w:t>
      </w:r>
      <w:r>
        <w:rPr>
          <w:sz w:val="20"/>
        </w:rPr>
        <w:t>and</w:t>
      </w:r>
      <w:r>
        <w:rPr>
          <w:spacing w:val="-6"/>
          <w:sz w:val="20"/>
        </w:rPr>
        <w:t> </w:t>
      </w:r>
      <w:r>
        <w:rPr>
          <w:sz w:val="20"/>
        </w:rPr>
        <w:t>perspective</w:t>
      </w:r>
      <w:r>
        <w:rPr>
          <w:spacing w:val="-9"/>
          <w:sz w:val="20"/>
        </w:rPr>
        <w:t> </w:t>
      </w:r>
      <w:r>
        <w:rPr>
          <w:sz w:val="20"/>
        </w:rPr>
        <w:t>across</w:t>
      </w:r>
      <w:r>
        <w:rPr>
          <w:spacing w:val="-11"/>
          <w:sz w:val="20"/>
        </w:rPr>
        <w:t> </w:t>
      </w:r>
      <w:r>
        <w:rPr>
          <w:sz w:val="20"/>
        </w:rPr>
        <w:t>the</w:t>
      </w:r>
      <w:r>
        <w:rPr>
          <w:spacing w:val="-9"/>
          <w:sz w:val="20"/>
        </w:rPr>
        <w:t> </w:t>
      </w:r>
      <w:r>
        <w:rPr>
          <w:sz w:val="20"/>
        </w:rPr>
        <w:t>whole of the country office.</w:t>
      </w:r>
    </w:p>
    <w:p>
      <w:pPr>
        <w:pStyle w:val="BodyText"/>
        <w:spacing w:before="2"/>
        <w:rPr>
          <w:sz w:val="21"/>
        </w:rPr>
      </w:pPr>
    </w:p>
    <w:p>
      <w:pPr>
        <w:tabs>
          <w:tab w:pos="8282" w:val="left" w:leader="none"/>
        </w:tabs>
        <w:spacing w:before="1"/>
        <w:ind w:left="2246" w:right="0" w:firstLine="0"/>
        <w:jc w:val="both"/>
        <w:rPr>
          <w:i/>
          <w:sz w:val="20"/>
        </w:rPr>
      </w:pPr>
      <w:r>
        <w:rPr>
          <w:i/>
          <w:sz w:val="20"/>
        </w:rPr>
        <w:t>Temporary</w:t>
      </w:r>
      <w:r>
        <w:rPr>
          <w:i/>
          <w:spacing w:val="-6"/>
          <w:sz w:val="20"/>
        </w:rPr>
        <w:t> </w:t>
      </w:r>
      <w:r>
        <w:rPr>
          <w:i/>
          <w:sz w:val="20"/>
        </w:rPr>
        <w:t>assistance</w:t>
      </w:r>
      <w:r>
        <w:rPr>
          <w:i/>
          <w:spacing w:val="-6"/>
          <w:sz w:val="20"/>
        </w:rPr>
        <w:t> </w:t>
      </w:r>
      <w:r>
        <w:rPr>
          <w:i/>
          <w:sz w:val="20"/>
        </w:rPr>
        <w:t>for</w:t>
      </w:r>
      <w:r>
        <w:rPr>
          <w:i/>
          <w:spacing w:val="-8"/>
          <w:sz w:val="20"/>
        </w:rPr>
        <w:t> </w:t>
      </w:r>
      <w:r>
        <w:rPr>
          <w:i/>
          <w:spacing w:val="-2"/>
          <w:sz w:val="20"/>
        </w:rPr>
        <w:t>meetings</w:t>
      </w:r>
      <w:r>
        <w:rPr>
          <w:i/>
          <w:sz w:val="20"/>
        </w:rPr>
        <w:tab/>
        <w:t>€166.0</w:t>
      </w:r>
      <w:r>
        <w:rPr>
          <w:i/>
          <w:spacing w:val="-3"/>
          <w:sz w:val="20"/>
        </w:rPr>
        <w:t> </w:t>
      </w:r>
      <w:r>
        <w:rPr>
          <w:i/>
          <w:spacing w:val="-2"/>
          <w:sz w:val="20"/>
        </w:rPr>
        <w:t>thousand</w:t>
      </w:r>
    </w:p>
    <w:p>
      <w:pPr>
        <w:pStyle w:val="BodyText"/>
        <w:spacing w:before="10"/>
        <w:rPr>
          <w:i/>
        </w:rPr>
      </w:pPr>
    </w:p>
    <w:p>
      <w:pPr>
        <w:pStyle w:val="ListParagraph"/>
        <w:numPr>
          <w:ilvl w:val="0"/>
          <w:numId w:val="4"/>
        </w:numPr>
        <w:tabs>
          <w:tab w:pos="2967" w:val="left" w:leader="none"/>
        </w:tabs>
        <w:spacing w:line="240" w:lineRule="auto" w:before="1" w:after="0"/>
        <w:ind w:left="2246" w:right="2238" w:firstLine="0"/>
        <w:jc w:val="both"/>
        <w:rPr>
          <w:sz w:val="20"/>
        </w:rPr>
      </w:pPr>
      <w:r>
        <w:rPr>
          <w:sz w:val="20"/>
        </w:rPr>
        <w:t>The amount requested for SSA Witness Assistants for trial support represents an increase of €49.5</w:t>
      </w:r>
      <w:r>
        <w:rPr>
          <w:spacing w:val="-4"/>
          <w:sz w:val="20"/>
        </w:rPr>
        <w:t> </w:t>
      </w:r>
      <w:r>
        <w:rPr>
          <w:sz w:val="20"/>
        </w:rPr>
        <w:t>thousand (42.5 per cent) from the previous year to support the anticipated number</w:t>
      </w:r>
      <w:r>
        <w:rPr>
          <w:spacing w:val="-4"/>
          <w:sz w:val="20"/>
        </w:rPr>
        <w:t> </w:t>
      </w:r>
      <w:r>
        <w:rPr>
          <w:sz w:val="20"/>
        </w:rPr>
        <w:t>of</w:t>
      </w:r>
      <w:r>
        <w:rPr>
          <w:spacing w:val="-8"/>
          <w:sz w:val="20"/>
        </w:rPr>
        <w:t> </w:t>
      </w:r>
      <w:r>
        <w:rPr>
          <w:sz w:val="20"/>
        </w:rPr>
        <w:t>trial</w:t>
      </w:r>
      <w:r>
        <w:rPr>
          <w:spacing w:val="-7"/>
          <w:sz w:val="20"/>
        </w:rPr>
        <w:t> </w:t>
      </w:r>
      <w:r>
        <w:rPr>
          <w:sz w:val="20"/>
        </w:rPr>
        <w:t>witnesses</w:t>
      </w:r>
      <w:r>
        <w:rPr>
          <w:spacing w:val="-10"/>
          <w:sz w:val="20"/>
        </w:rPr>
        <w:t> </w:t>
      </w:r>
      <w:r>
        <w:rPr>
          <w:sz w:val="20"/>
        </w:rPr>
        <w:t>during</w:t>
      </w:r>
      <w:r>
        <w:rPr>
          <w:spacing w:val="-8"/>
          <w:sz w:val="20"/>
        </w:rPr>
        <w:t> </w:t>
      </w:r>
      <w:r>
        <w:rPr>
          <w:sz w:val="20"/>
        </w:rPr>
        <w:t>their</w:t>
      </w:r>
      <w:r>
        <w:rPr>
          <w:spacing w:val="-8"/>
          <w:sz w:val="20"/>
        </w:rPr>
        <w:t> </w:t>
      </w:r>
      <w:r>
        <w:rPr>
          <w:sz w:val="20"/>
        </w:rPr>
        <w:t>testimony</w:t>
      </w:r>
      <w:r>
        <w:rPr>
          <w:spacing w:val="-8"/>
          <w:sz w:val="20"/>
        </w:rPr>
        <w:t> </w:t>
      </w:r>
      <w:r>
        <w:rPr>
          <w:sz w:val="20"/>
        </w:rPr>
        <w:t>in</w:t>
      </w:r>
      <w:r>
        <w:rPr>
          <w:spacing w:val="-13"/>
          <w:sz w:val="20"/>
        </w:rPr>
        <w:t> </w:t>
      </w:r>
      <w:r>
        <w:rPr>
          <w:sz w:val="20"/>
        </w:rPr>
        <w:t>The</w:t>
      </w:r>
      <w:r>
        <w:rPr>
          <w:spacing w:val="-6"/>
          <w:sz w:val="20"/>
        </w:rPr>
        <w:t> </w:t>
      </w:r>
      <w:r>
        <w:rPr>
          <w:sz w:val="20"/>
        </w:rPr>
        <w:t>Hague.</w:t>
      </w:r>
      <w:r>
        <w:rPr>
          <w:spacing w:val="-6"/>
          <w:sz w:val="20"/>
        </w:rPr>
        <w:t> </w:t>
      </w:r>
      <w:r>
        <w:rPr>
          <w:sz w:val="20"/>
        </w:rPr>
        <w:t>The</w:t>
      </w:r>
      <w:r>
        <w:rPr>
          <w:spacing w:val="-7"/>
          <w:sz w:val="20"/>
        </w:rPr>
        <w:t> </w:t>
      </w:r>
      <w:r>
        <w:rPr>
          <w:sz w:val="20"/>
        </w:rPr>
        <w:t>requested</w:t>
      </w:r>
      <w:r>
        <w:rPr>
          <w:spacing w:val="-8"/>
          <w:sz w:val="20"/>
        </w:rPr>
        <w:t> </w:t>
      </w:r>
      <w:r>
        <w:rPr>
          <w:sz w:val="20"/>
        </w:rPr>
        <w:t>amount</w:t>
      </w:r>
      <w:r>
        <w:rPr>
          <w:spacing w:val="-3"/>
          <w:sz w:val="20"/>
        </w:rPr>
        <w:t> </w:t>
      </w:r>
      <w:r>
        <w:rPr>
          <w:sz w:val="20"/>
        </w:rPr>
        <w:t>covers a total of 127 trial witnesses scheduled to testify in 2023, approximately half of whom will be directly supported by the SSA Witness Assistants. The requested amount is required to provide the necessary</w:t>
      </w:r>
      <w:r>
        <w:rPr>
          <w:spacing w:val="-1"/>
          <w:sz w:val="20"/>
        </w:rPr>
        <w:t> </w:t>
      </w:r>
      <w:r>
        <w:rPr>
          <w:sz w:val="20"/>
        </w:rPr>
        <w:t>routine support, taking</w:t>
      </w:r>
      <w:r>
        <w:rPr>
          <w:spacing w:val="-5"/>
          <w:sz w:val="20"/>
        </w:rPr>
        <w:t> </w:t>
      </w:r>
      <w:r>
        <w:rPr>
          <w:sz w:val="20"/>
        </w:rPr>
        <w:t>into</w:t>
      </w:r>
      <w:r>
        <w:rPr>
          <w:spacing w:val="-1"/>
          <w:sz w:val="20"/>
        </w:rPr>
        <w:t> </w:t>
      </w:r>
      <w:r>
        <w:rPr>
          <w:sz w:val="20"/>
        </w:rPr>
        <w:t>consideration, </w:t>
      </w:r>
      <w:r>
        <w:rPr>
          <w:i/>
          <w:sz w:val="20"/>
        </w:rPr>
        <w:t>inter</w:t>
      </w:r>
      <w:r>
        <w:rPr>
          <w:i/>
          <w:spacing w:val="-2"/>
          <w:sz w:val="20"/>
        </w:rPr>
        <w:t> </w:t>
      </w:r>
      <w:r>
        <w:rPr>
          <w:i/>
          <w:sz w:val="20"/>
        </w:rPr>
        <w:t>alia</w:t>
      </w:r>
      <w:r>
        <w:rPr>
          <w:sz w:val="20"/>
        </w:rPr>
        <w:t>, the</w:t>
      </w:r>
      <w:r>
        <w:rPr>
          <w:spacing w:val="-3"/>
          <w:sz w:val="20"/>
        </w:rPr>
        <w:t> </w:t>
      </w:r>
      <w:r>
        <w:rPr>
          <w:sz w:val="20"/>
        </w:rPr>
        <w:t>languages</w:t>
      </w:r>
      <w:r>
        <w:rPr>
          <w:spacing w:val="-2"/>
          <w:sz w:val="20"/>
        </w:rPr>
        <w:t> </w:t>
      </w:r>
      <w:r>
        <w:rPr>
          <w:sz w:val="20"/>
        </w:rPr>
        <w:t>of the witnesses during trial testimony at the seat of the Court.</w:t>
      </w:r>
    </w:p>
    <w:p>
      <w:pPr>
        <w:pStyle w:val="ListParagraph"/>
        <w:numPr>
          <w:ilvl w:val="0"/>
          <w:numId w:val="4"/>
        </w:numPr>
        <w:tabs>
          <w:tab w:pos="2967" w:val="left" w:leader="none"/>
        </w:tabs>
        <w:spacing w:line="240" w:lineRule="auto" w:before="118" w:after="0"/>
        <w:ind w:left="2246" w:right="2238" w:firstLine="0"/>
        <w:jc w:val="both"/>
        <w:rPr>
          <w:sz w:val="20"/>
        </w:rPr>
      </w:pPr>
      <w:r>
        <w:rPr>
          <w:sz w:val="20"/>
        </w:rPr>
        <w:t>The </w:t>
      </w:r>
      <w:r>
        <w:rPr>
          <w:i/>
          <w:sz w:val="20"/>
        </w:rPr>
        <w:t>Al Hassan</w:t>
      </w:r>
      <w:r>
        <w:rPr>
          <w:sz w:val="20"/>
        </w:rPr>
        <w:t>, the </w:t>
      </w:r>
      <w:r>
        <w:rPr>
          <w:i/>
          <w:sz w:val="20"/>
        </w:rPr>
        <w:t>Yekatom and Ngaïssona </w:t>
      </w:r>
      <w:r>
        <w:rPr>
          <w:sz w:val="20"/>
        </w:rPr>
        <w:t>and the </w:t>
      </w:r>
      <w:r>
        <w:rPr>
          <w:i/>
          <w:sz w:val="20"/>
        </w:rPr>
        <w:t>Said </w:t>
      </w:r>
      <w:r>
        <w:rPr>
          <w:sz w:val="20"/>
        </w:rPr>
        <w:t>trials will require active resource engagement, whereby</w:t>
      </w:r>
      <w:r>
        <w:rPr>
          <w:spacing w:val="-6"/>
          <w:sz w:val="20"/>
        </w:rPr>
        <w:t> </w:t>
      </w:r>
      <w:r>
        <w:rPr>
          <w:sz w:val="20"/>
        </w:rPr>
        <w:t>the use of SSA</w:t>
      </w:r>
      <w:r>
        <w:rPr>
          <w:spacing w:val="-2"/>
          <w:sz w:val="20"/>
        </w:rPr>
        <w:t> </w:t>
      </w:r>
      <w:r>
        <w:rPr>
          <w:sz w:val="20"/>
        </w:rPr>
        <w:t>resources</w:t>
      </w:r>
      <w:r>
        <w:rPr>
          <w:spacing w:val="-2"/>
          <w:sz w:val="20"/>
        </w:rPr>
        <w:t> </w:t>
      </w:r>
      <w:r>
        <w:rPr>
          <w:sz w:val="20"/>
        </w:rPr>
        <w:t>is key</w:t>
      </w:r>
      <w:r>
        <w:rPr>
          <w:spacing w:val="-1"/>
          <w:sz w:val="20"/>
        </w:rPr>
        <w:t> </w:t>
      </w:r>
      <w:r>
        <w:rPr>
          <w:sz w:val="20"/>
        </w:rPr>
        <w:t>to</w:t>
      </w:r>
      <w:r>
        <w:rPr>
          <w:spacing w:val="-1"/>
          <w:sz w:val="20"/>
        </w:rPr>
        <w:t> </w:t>
      </w:r>
      <w:r>
        <w:rPr>
          <w:sz w:val="20"/>
        </w:rPr>
        <w:t>supporting witness needs during these trials in The Hague.</w:t>
      </w:r>
    </w:p>
    <w:p>
      <w:pPr>
        <w:pStyle w:val="BodyText"/>
        <w:rPr>
          <w:sz w:val="21"/>
        </w:rPr>
      </w:pPr>
    </w:p>
    <w:p>
      <w:pPr>
        <w:pStyle w:val="Heading3"/>
        <w:tabs>
          <w:tab w:pos="8076" w:val="left" w:leader="none"/>
        </w:tabs>
        <w:jc w:val="both"/>
      </w:pPr>
      <w:r>
        <w:rPr/>
        <w:t>Non-staff</w:t>
      </w:r>
      <w:r>
        <w:rPr>
          <w:spacing w:val="-4"/>
        </w:rPr>
        <w:t> </w:t>
      </w:r>
      <w:r>
        <w:rPr>
          <w:spacing w:val="-2"/>
        </w:rPr>
        <w:t>resources</w:t>
      </w:r>
      <w:r>
        <w:rPr/>
        <w:tab/>
        <w:t>€6,448.4</w:t>
      </w:r>
      <w:r>
        <w:rPr>
          <w:spacing w:val="-6"/>
        </w:rPr>
        <w:t> </w:t>
      </w:r>
      <w:r>
        <w:rPr>
          <w:spacing w:val="-2"/>
        </w:rPr>
        <w:t>thousand</w:t>
      </w:r>
    </w:p>
    <w:p>
      <w:pPr>
        <w:pStyle w:val="BodyText"/>
        <w:spacing w:before="11"/>
        <w:rPr>
          <w:b/>
        </w:rPr>
      </w:pPr>
    </w:p>
    <w:p>
      <w:pPr>
        <w:pStyle w:val="ListParagraph"/>
        <w:numPr>
          <w:ilvl w:val="0"/>
          <w:numId w:val="4"/>
        </w:numPr>
        <w:tabs>
          <w:tab w:pos="2967" w:val="left" w:leader="none"/>
        </w:tabs>
        <w:spacing w:line="240" w:lineRule="auto" w:before="0" w:after="0"/>
        <w:ind w:left="2246" w:right="2237" w:firstLine="0"/>
        <w:jc w:val="both"/>
        <w:rPr>
          <w:sz w:val="20"/>
        </w:rPr>
      </w:pPr>
      <w:r>
        <w:rPr>
          <w:sz w:val="20"/>
        </w:rPr>
        <w:t>The</w:t>
      </w:r>
      <w:r>
        <w:rPr>
          <w:spacing w:val="79"/>
          <w:sz w:val="20"/>
        </w:rPr>
        <w:t> </w:t>
      </w:r>
      <w:r>
        <w:rPr>
          <w:sz w:val="20"/>
        </w:rPr>
        <w:t>non-staff</w:t>
      </w:r>
      <w:r>
        <w:rPr>
          <w:spacing w:val="80"/>
          <w:sz w:val="20"/>
        </w:rPr>
        <w:t> </w:t>
      </w:r>
      <w:r>
        <w:rPr>
          <w:sz w:val="20"/>
        </w:rPr>
        <w:t>resources</w:t>
      </w:r>
      <w:r>
        <w:rPr>
          <w:spacing w:val="75"/>
          <w:sz w:val="20"/>
        </w:rPr>
        <w:t> </w:t>
      </w:r>
      <w:r>
        <w:rPr>
          <w:sz w:val="20"/>
        </w:rPr>
        <w:t>proposed</w:t>
      </w:r>
      <w:r>
        <w:rPr>
          <w:spacing w:val="77"/>
          <w:sz w:val="20"/>
        </w:rPr>
        <w:t> </w:t>
      </w:r>
      <w:r>
        <w:rPr>
          <w:sz w:val="20"/>
        </w:rPr>
        <w:t>by</w:t>
      </w:r>
      <w:r>
        <w:rPr>
          <w:spacing w:val="77"/>
          <w:sz w:val="20"/>
        </w:rPr>
        <w:t> </w:t>
      </w:r>
      <w:r>
        <w:rPr>
          <w:sz w:val="20"/>
        </w:rPr>
        <w:t>DEO</w:t>
      </w:r>
      <w:r>
        <w:rPr>
          <w:spacing w:val="75"/>
          <w:sz w:val="20"/>
        </w:rPr>
        <w:t> </w:t>
      </w:r>
      <w:r>
        <w:rPr>
          <w:sz w:val="20"/>
        </w:rPr>
        <w:t>for</w:t>
      </w:r>
      <w:r>
        <w:rPr>
          <w:spacing w:val="80"/>
          <w:sz w:val="20"/>
        </w:rPr>
        <w:t> </w:t>
      </w:r>
      <w:r>
        <w:rPr>
          <w:sz w:val="20"/>
        </w:rPr>
        <w:t>2023</w:t>
      </w:r>
      <w:r>
        <w:rPr>
          <w:spacing w:val="77"/>
          <w:sz w:val="20"/>
        </w:rPr>
        <w:t> </w:t>
      </w:r>
      <w:r>
        <w:rPr>
          <w:sz w:val="20"/>
        </w:rPr>
        <w:t>represent</w:t>
      </w:r>
      <w:r>
        <w:rPr>
          <w:spacing w:val="79"/>
          <w:sz w:val="20"/>
        </w:rPr>
        <w:t> </w:t>
      </w:r>
      <w:r>
        <w:rPr>
          <w:sz w:val="20"/>
        </w:rPr>
        <w:t>an</w:t>
      </w:r>
      <w:r>
        <w:rPr>
          <w:spacing w:val="77"/>
          <w:sz w:val="20"/>
        </w:rPr>
        <w:t> </w:t>
      </w:r>
      <w:r>
        <w:rPr>
          <w:sz w:val="20"/>
        </w:rPr>
        <w:t>increase of €1,173.0</w:t>
      </w:r>
      <w:r>
        <w:rPr>
          <w:spacing w:val="-13"/>
          <w:sz w:val="20"/>
        </w:rPr>
        <w:t> </w:t>
      </w:r>
      <w:r>
        <w:rPr>
          <w:sz w:val="20"/>
        </w:rPr>
        <w:t>thousand</w:t>
      </w:r>
      <w:r>
        <w:rPr>
          <w:spacing w:val="-8"/>
          <w:sz w:val="20"/>
        </w:rPr>
        <w:t> </w:t>
      </w:r>
      <w:r>
        <w:rPr>
          <w:sz w:val="20"/>
        </w:rPr>
        <w:t>(22.2</w:t>
      </w:r>
      <w:r>
        <w:rPr>
          <w:spacing w:val="-8"/>
          <w:sz w:val="20"/>
        </w:rPr>
        <w:t> </w:t>
      </w:r>
      <w:r>
        <w:rPr>
          <w:sz w:val="20"/>
        </w:rPr>
        <w:t>per</w:t>
      </w:r>
      <w:r>
        <w:rPr>
          <w:spacing w:val="-13"/>
          <w:sz w:val="20"/>
        </w:rPr>
        <w:t> </w:t>
      </w:r>
      <w:r>
        <w:rPr>
          <w:sz w:val="20"/>
        </w:rPr>
        <w:t>cent)</w:t>
      </w:r>
      <w:r>
        <w:rPr>
          <w:spacing w:val="-8"/>
          <w:sz w:val="20"/>
        </w:rPr>
        <w:t> </w:t>
      </w:r>
      <w:r>
        <w:rPr>
          <w:sz w:val="20"/>
        </w:rPr>
        <w:t>over</w:t>
      </w:r>
      <w:r>
        <w:rPr>
          <w:spacing w:val="-8"/>
          <w:sz w:val="20"/>
        </w:rPr>
        <w:t> </w:t>
      </w:r>
      <w:r>
        <w:rPr>
          <w:sz w:val="20"/>
        </w:rPr>
        <w:t>2022.</w:t>
      </w:r>
      <w:r>
        <w:rPr>
          <w:spacing w:val="-11"/>
          <w:sz w:val="20"/>
        </w:rPr>
        <w:t> </w:t>
      </w:r>
      <w:r>
        <w:rPr>
          <w:sz w:val="20"/>
        </w:rPr>
        <w:t>The</w:t>
      </w:r>
      <w:r>
        <w:rPr>
          <w:spacing w:val="-7"/>
          <w:sz w:val="20"/>
        </w:rPr>
        <w:t> </w:t>
      </w:r>
      <w:r>
        <w:rPr>
          <w:sz w:val="20"/>
        </w:rPr>
        <w:t>requested</w:t>
      </w:r>
      <w:r>
        <w:rPr>
          <w:spacing w:val="-8"/>
          <w:sz w:val="20"/>
        </w:rPr>
        <w:t> </w:t>
      </w:r>
      <w:r>
        <w:rPr>
          <w:sz w:val="20"/>
        </w:rPr>
        <w:t>non-staff</w:t>
      </w:r>
      <w:r>
        <w:rPr>
          <w:spacing w:val="-8"/>
          <w:sz w:val="20"/>
        </w:rPr>
        <w:t> </w:t>
      </w:r>
      <w:r>
        <w:rPr>
          <w:sz w:val="20"/>
        </w:rPr>
        <w:t>resources</w:t>
      </w:r>
      <w:r>
        <w:rPr>
          <w:spacing w:val="-10"/>
          <w:sz w:val="20"/>
        </w:rPr>
        <w:t> </w:t>
      </w:r>
      <w:r>
        <w:rPr>
          <w:sz w:val="20"/>
        </w:rPr>
        <w:t>are</w:t>
      </w:r>
      <w:r>
        <w:rPr>
          <w:spacing w:val="-12"/>
          <w:sz w:val="20"/>
        </w:rPr>
        <w:t> </w:t>
      </w:r>
      <w:r>
        <w:rPr>
          <w:sz w:val="20"/>
        </w:rPr>
        <w:t>mostly recurrent and the requested increase is mainly driven by the need to conduct activities pertaining to the situations currently under investigation and results primarily from (1) the increased</w:t>
      </w:r>
      <w:r>
        <w:rPr>
          <w:spacing w:val="-8"/>
          <w:sz w:val="20"/>
        </w:rPr>
        <w:t> </w:t>
      </w:r>
      <w:r>
        <w:rPr>
          <w:sz w:val="20"/>
        </w:rPr>
        <w:t>requirements</w:t>
      </w:r>
      <w:r>
        <w:rPr>
          <w:spacing w:val="-10"/>
          <w:sz w:val="20"/>
        </w:rPr>
        <w:t> </w:t>
      </w:r>
      <w:r>
        <w:rPr>
          <w:sz w:val="20"/>
        </w:rPr>
        <w:t>for</w:t>
      </w:r>
      <w:r>
        <w:rPr>
          <w:spacing w:val="-8"/>
          <w:sz w:val="20"/>
        </w:rPr>
        <w:t> </w:t>
      </w:r>
      <w:r>
        <w:rPr>
          <w:sz w:val="20"/>
        </w:rPr>
        <w:t>VWS</w:t>
      </w:r>
      <w:r>
        <w:rPr>
          <w:spacing w:val="-10"/>
          <w:sz w:val="20"/>
        </w:rPr>
        <w:t> </w:t>
      </w:r>
      <w:r>
        <w:rPr>
          <w:sz w:val="20"/>
        </w:rPr>
        <w:t>to</w:t>
      </w:r>
      <w:r>
        <w:rPr>
          <w:spacing w:val="-8"/>
          <w:sz w:val="20"/>
        </w:rPr>
        <w:t> </w:t>
      </w:r>
      <w:r>
        <w:rPr>
          <w:sz w:val="20"/>
        </w:rPr>
        <w:t>cater</w:t>
      </w:r>
      <w:r>
        <w:rPr>
          <w:spacing w:val="-8"/>
          <w:sz w:val="20"/>
        </w:rPr>
        <w:t> </w:t>
      </w:r>
      <w:r>
        <w:rPr>
          <w:sz w:val="20"/>
        </w:rPr>
        <w:t>for</w:t>
      </w:r>
      <w:r>
        <w:rPr>
          <w:spacing w:val="-8"/>
          <w:sz w:val="20"/>
        </w:rPr>
        <w:t> </w:t>
      </w:r>
      <w:r>
        <w:rPr>
          <w:sz w:val="20"/>
        </w:rPr>
        <w:t>the</w:t>
      </w:r>
      <w:r>
        <w:rPr>
          <w:spacing w:val="-7"/>
          <w:sz w:val="20"/>
        </w:rPr>
        <w:t> </w:t>
      </w:r>
      <w:r>
        <w:rPr>
          <w:sz w:val="20"/>
        </w:rPr>
        <w:t>protection</w:t>
      </w:r>
      <w:r>
        <w:rPr>
          <w:spacing w:val="-8"/>
          <w:sz w:val="20"/>
        </w:rPr>
        <w:t> </w:t>
      </w:r>
      <w:r>
        <w:rPr>
          <w:sz w:val="20"/>
        </w:rPr>
        <w:t>and/or</w:t>
      </w:r>
      <w:r>
        <w:rPr>
          <w:spacing w:val="-8"/>
          <w:sz w:val="20"/>
        </w:rPr>
        <w:t> </w:t>
      </w:r>
      <w:r>
        <w:rPr>
          <w:sz w:val="20"/>
        </w:rPr>
        <w:t>support</w:t>
      </w:r>
      <w:r>
        <w:rPr>
          <w:spacing w:val="-7"/>
          <w:sz w:val="20"/>
        </w:rPr>
        <w:t> </w:t>
      </w:r>
      <w:r>
        <w:rPr>
          <w:sz w:val="20"/>
        </w:rPr>
        <w:t>of</w:t>
      </w:r>
      <w:r>
        <w:rPr>
          <w:spacing w:val="-8"/>
          <w:sz w:val="20"/>
        </w:rPr>
        <w:t> </w:t>
      </w:r>
      <w:r>
        <w:rPr>
          <w:sz w:val="20"/>
        </w:rPr>
        <w:t>witnesses</w:t>
      </w:r>
      <w:r>
        <w:rPr>
          <w:spacing w:val="-2"/>
          <w:sz w:val="20"/>
        </w:rPr>
        <w:t> </w:t>
      </w:r>
      <w:r>
        <w:rPr>
          <w:sz w:val="20"/>
        </w:rPr>
        <w:t>in</w:t>
      </w:r>
      <w:r>
        <w:rPr>
          <w:spacing w:val="-13"/>
          <w:sz w:val="20"/>
        </w:rPr>
        <w:t> </w:t>
      </w:r>
      <w:r>
        <w:rPr>
          <w:sz w:val="20"/>
        </w:rPr>
        <w:t>the situations in Darfur, Libya, Afghanistan, the Philippines, Bangladesh/Myanmar; and lastly Ukraine, which was referred to VWS after the submission of the 2022 budget proposal or will be referred to VWS in 2023 as per the OTP’s service requests, and (2) the increase required by PIOS to support the Court’s outreach activities in the situations in Bangladesh/Myanmar, Afghanistan, Ukraine and Venezuela. Part of the increase requested by</w:t>
      </w:r>
      <w:r>
        <w:rPr>
          <w:spacing w:val="34"/>
          <w:sz w:val="20"/>
        </w:rPr>
        <w:t> </w:t>
      </w:r>
      <w:r>
        <w:rPr>
          <w:sz w:val="20"/>
        </w:rPr>
        <w:t>DEO</w:t>
      </w:r>
      <w:r>
        <w:rPr>
          <w:spacing w:val="27"/>
          <w:sz w:val="20"/>
        </w:rPr>
        <w:t> </w:t>
      </w:r>
      <w:r>
        <w:rPr>
          <w:sz w:val="20"/>
        </w:rPr>
        <w:t>is</w:t>
      </w:r>
      <w:r>
        <w:rPr>
          <w:spacing w:val="27"/>
          <w:sz w:val="20"/>
        </w:rPr>
        <w:t> </w:t>
      </w:r>
      <w:r>
        <w:rPr>
          <w:sz w:val="20"/>
        </w:rPr>
        <w:t>necessary</w:t>
      </w:r>
      <w:r>
        <w:rPr>
          <w:spacing w:val="29"/>
          <w:sz w:val="20"/>
        </w:rPr>
        <w:t> </w:t>
      </w:r>
      <w:r>
        <w:rPr>
          <w:sz w:val="20"/>
        </w:rPr>
        <w:t>to</w:t>
      </w:r>
      <w:r>
        <w:rPr>
          <w:spacing w:val="29"/>
          <w:sz w:val="20"/>
        </w:rPr>
        <w:t> </w:t>
      </w:r>
      <w:r>
        <w:rPr>
          <w:sz w:val="20"/>
        </w:rPr>
        <w:t>facilitate</w:t>
      </w:r>
      <w:r>
        <w:rPr>
          <w:spacing w:val="31"/>
          <w:sz w:val="20"/>
        </w:rPr>
        <w:t> </w:t>
      </w:r>
      <w:r>
        <w:rPr>
          <w:sz w:val="20"/>
        </w:rPr>
        <w:t>the</w:t>
      </w:r>
      <w:r>
        <w:rPr>
          <w:spacing w:val="31"/>
          <w:sz w:val="20"/>
        </w:rPr>
        <w:t> </w:t>
      </w:r>
      <w:r>
        <w:rPr>
          <w:sz w:val="20"/>
        </w:rPr>
        <w:t>appearance</w:t>
      </w:r>
      <w:r>
        <w:rPr>
          <w:spacing w:val="31"/>
          <w:sz w:val="20"/>
        </w:rPr>
        <w:t> </w:t>
      </w:r>
      <w:r>
        <w:rPr>
          <w:sz w:val="20"/>
        </w:rPr>
        <w:t>of</w:t>
      </w:r>
      <w:r>
        <w:rPr>
          <w:spacing w:val="29"/>
          <w:sz w:val="20"/>
        </w:rPr>
        <w:t> </w:t>
      </w:r>
      <w:r>
        <w:rPr>
          <w:sz w:val="20"/>
        </w:rPr>
        <w:t>witnesses</w:t>
      </w:r>
      <w:r>
        <w:rPr>
          <w:spacing w:val="32"/>
          <w:sz w:val="20"/>
        </w:rPr>
        <w:t> </w:t>
      </w:r>
      <w:r>
        <w:rPr>
          <w:sz w:val="20"/>
        </w:rPr>
        <w:t>in</w:t>
      </w:r>
      <w:r>
        <w:rPr>
          <w:spacing w:val="24"/>
          <w:sz w:val="20"/>
        </w:rPr>
        <w:t> </w:t>
      </w:r>
      <w:r>
        <w:rPr>
          <w:sz w:val="20"/>
        </w:rPr>
        <w:t>the</w:t>
      </w:r>
      <w:r>
        <w:rPr>
          <w:spacing w:val="31"/>
          <w:sz w:val="20"/>
        </w:rPr>
        <w:t> </w:t>
      </w:r>
      <w:r>
        <w:rPr>
          <w:sz w:val="20"/>
        </w:rPr>
        <w:t>simultaneous</w:t>
      </w:r>
      <w:r>
        <w:rPr>
          <w:spacing w:val="27"/>
          <w:sz w:val="20"/>
        </w:rPr>
        <w:t> </w:t>
      </w:r>
      <w:r>
        <w:rPr>
          <w:sz w:val="20"/>
        </w:rPr>
        <w:t>trials in 2023</w:t>
      </w:r>
      <w:r>
        <w:rPr>
          <w:spacing w:val="-4"/>
          <w:sz w:val="20"/>
        </w:rPr>
        <w:t> </w:t>
      </w:r>
      <w:r>
        <w:rPr>
          <w:sz w:val="20"/>
        </w:rPr>
        <w:t>and</w:t>
      </w:r>
      <w:r>
        <w:rPr>
          <w:spacing w:val="-4"/>
          <w:sz w:val="20"/>
        </w:rPr>
        <w:t> </w:t>
      </w:r>
      <w:r>
        <w:rPr>
          <w:sz w:val="20"/>
        </w:rPr>
        <w:t>the</w:t>
      </w:r>
      <w:r>
        <w:rPr>
          <w:spacing w:val="-2"/>
          <w:sz w:val="20"/>
        </w:rPr>
        <w:t> </w:t>
      </w:r>
      <w:r>
        <w:rPr>
          <w:sz w:val="20"/>
        </w:rPr>
        <w:t>outreach</w:t>
      </w:r>
      <w:r>
        <w:rPr>
          <w:spacing w:val="-8"/>
          <w:sz w:val="20"/>
        </w:rPr>
        <w:t> </w:t>
      </w:r>
      <w:r>
        <w:rPr>
          <w:sz w:val="20"/>
        </w:rPr>
        <w:t>activities</w:t>
      </w:r>
      <w:r>
        <w:rPr>
          <w:spacing w:val="-10"/>
          <w:sz w:val="20"/>
        </w:rPr>
        <w:t> </w:t>
      </w:r>
      <w:r>
        <w:rPr>
          <w:sz w:val="20"/>
        </w:rPr>
        <w:t>to</w:t>
      </w:r>
      <w:r>
        <w:rPr>
          <w:spacing w:val="-4"/>
          <w:sz w:val="20"/>
        </w:rPr>
        <w:t> </w:t>
      </w:r>
      <w:r>
        <w:rPr>
          <w:sz w:val="20"/>
        </w:rPr>
        <w:t>be</w:t>
      </w:r>
      <w:r>
        <w:rPr>
          <w:spacing w:val="-7"/>
          <w:sz w:val="20"/>
        </w:rPr>
        <w:t> </w:t>
      </w:r>
      <w:r>
        <w:rPr>
          <w:sz w:val="20"/>
        </w:rPr>
        <w:t>conducted</w:t>
      </w:r>
      <w:r>
        <w:rPr>
          <w:spacing w:val="-4"/>
          <w:sz w:val="20"/>
        </w:rPr>
        <w:t> </w:t>
      </w:r>
      <w:r>
        <w:rPr>
          <w:sz w:val="20"/>
        </w:rPr>
        <w:t>by</w:t>
      </w:r>
      <w:r>
        <w:rPr>
          <w:spacing w:val="-4"/>
          <w:sz w:val="20"/>
        </w:rPr>
        <w:t> </w:t>
      </w:r>
      <w:r>
        <w:rPr>
          <w:sz w:val="20"/>
        </w:rPr>
        <w:t>PIOS</w:t>
      </w:r>
      <w:r>
        <w:rPr>
          <w:spacing w:val="-5"/>
          <w:sz w:val="20"/>
        </w:rPr>
        <w:t> </w:t>
      </w:r>
      <w:r>
        <w:rPr>
          <w:sz w:val="20"/>
        </w:rPr>
        <w:t>in Sudan</w:t>
      </w:r>
      <w:r>
        <w:rPr>
          <w:spacing w:val="-4"/>
          <w:sz w:val="20"/>
        </w:rPr>
        <w:t> </w:t>
      </w:r>
      <w:r>
        <w:rPr>
          <w:sz w:val="20"/>
        </w:rPr>
        <w:t>for</w:t>
      </w:r>
      <w:r>
        <w:rPr>
          <w:spacing w:val="-8"/>
          <w:sz w:val="20"/>
        </w:rPr>
        <w:t> </w:t>
      </w:r>
      <w:r>
        <w:rPr>
          <w:sz w:val="20"/>
        </w:rPr>
        <w:t>the</w:t>
      </w:r>
      <w:r>
        <w:rPr>
          <w:spacing w:val="-2"/>
          <w:sz w:val="20"/>
        </w:rPr>
        <w:t> </w:t>
      </w:r>
      <w:r>
        <w:rPr>
          <w:sz w:val="20"/>
        </w:rPr>
        <w:t>publicity</w:t>
      </w:r>
      <w:r>
        <w:rPr>
          <w:spacing w:val="-4"/>
          <w:sz w:val="20"/>
        </w:rPr>
        <w:t> </w:t>
      </w:r>
      <w:r>
        <w:rPr>
          <w:sz w:val="20"/>
        </w:rPr>
        <w:t>of</w:t>
      </w:r>
      <w:r>
        <w:rPr>
          <w:spacing w:val="-4"/>
          <w:sz w:val="20"/>
        </w:rPr>
        <w:t> </w:t>
      </w:r>
      <w:r>
        <w:rPr>
          <w:sz w:val="20"/>
        </w:rPr>
        <w:t>the </w:t>
      </w:r>
      <w:r>
        <w:rPr>
          <w:i/>
          <w:sz w:val="20"/>
        </w:rPr>
        <w:t>Abd-Al-Rahman </w:t>
      </w:r>
      <w:r>
        <w:rPr>
          <w:sz w:val="20"/>
        </w:rPr>
        <w:t>trial.</w:t>
      </w:r>
    </w:p>
    <w:p>
      <w:pPr>
        <w:pStyle w:val="ListParagraph"/>
        <w:numPr>
          <w:ilvl w:val="0"/>
          <w:numId w:val="4"/>
        </w:numPr>
        <w:tabs>
          <w:tab w:pos="2967" w:val="left" w:leader="none"/>
        </w:tabs>
        <w:spacing w:line="240" w:lineRule="auto" w:before="121" w:after="0"/>
        <w:ind w:left="2246" w:right="2238" w:firstLine="0"/>
        <w:jc w:val="both"/>
        <w:rPr>
          <w:sz w:val="20"/>
        </w:rPr>
      </w:pPr>
      <w:r>
        <w:rPr>
          <w:sz w:val="20"/>
        </w:rPr>
        <w:t>As indicated above, the resources requested for the country office in Ukraine will cover</w:t>
      </w:r>
      <w:r>
        <w:rPr>
          <w:spacing w:val="-7"/>
          <w:sz w:val="20"/>
        </w:rPr>
        <w:t> </w:t>
      </w:r>
      <w:r>
        <w:rPr>
          <w:sz w:val="20"/>
        </w:rPr>
        <w:t>the</w:t>
      </w:r>
      <w:r>
        <w:rPr>
          <w:spacing w:val="-1"/>
          <w:sz w:val="20"/>
        </w:rPr>
        <w:t> </w:t>
      </w:r>
      <w:r>
        <w:rPr>
          <w:sz w:val="20"/>
        </w:rPr>
        <w:t>travel</w:t>
      </w:r>
      <w:r>
        <w:rPr>
          <w:spacing w:val="-1"/>
          <w:sz w:val="20"/>
        </w:rPr>
        <w:t> </w:t>
      </w:r>
      <w:r>
        <w:rPr>
          <w:sz w:val="20"/>
        </w:rPr>
        <w:t>needs</w:t>
      </w:r>
      <w:r>
        <w:rPr>
          <w:spacing w:val="-4"/>
          <w:sz w:val="20"/>
        </w:rPr>
        <w:t> </w:t>
      </w:r>
      <w:r>
        <w:rPr>
          <w:sz w:val="20"/>
        </w:rPr>
        <w:t>of</w:t>
      </w:r>
      <w:r>
        <w:rPr>
          <w:spacing w:val="-7"/>
          <w:sz w:val="20"/>
        </w:rPr>
        <w:t> </w:t>
      </w:r>
      <w:r>
        <w:rPr>
          <w:sz w:val="20"/>
        </w:rPr>
        <w:t>that</w:t>
      </w:r>
      <w:r>
        <w:rPr>
          <w:spacing w:val="-1"/>
          <w:sz w:val="20"/>
        </w:rPr>
        <w:t> </w:t>
      </w:r>
      <w:r>
        <w:rPr>
          <w:sz w:val="20"/>
        </w:rPr>
        <w:t>office</w:t>
      </w:r>
      <w:r>
        <w:rPr>
          <w:spacing w:val="-1"/>
          <w:sz w:val="20"/>
        </w:rPr>
        <w:t> </w:t>
      </w:r>
      <w:r>
        <w:rPr>
          <w:sz w:val="20"/>
        </w:rPr>
        <w:t>as</w:t>
      </w:r>
      <w:r>
        <w:rPr>
          <w:spacing w:val="-5"/>
          <w:sz w:val="20"/>
        </w:rPr>
        <w:t> </w:t>
      </w:r>
      <w:r>
        <w:rPr>
          <w:sz w:val="20"/>
        </w:rPr>
        <w:t>envisioned</w:t>
      </w:r>
      <w:r>
        <w:rPr>
          <w:spacing w:val="-7"/>
          <w:sz w:val="20"/>
        </w:rPr>
        <w:t> </w:t>
      </w:r>
      <w:r>
        <w:rPr>
          <w:sz w:val="20"/>
        </w:rPr>
        <w:t>at</w:t>
      </w:r>
      <w:r>
        <w:rPr>
          <w:spacing w:val="-6"/>
          <w:sz w:val="20"/>
        </w:rPr>
        <w:t> </w:t>
      </w:r>
      <w:r>
        <w:rPr>
          <w:sz w:val="20"/>
        </w:rPr>
        <w:t>the</w:t>
      </w:r>
      <w:r>
        <w:rPr>
          <w:spacing w:val="-6"/>
          <w:sz w:val="20"/>
        </w:rPr>
        <w:t> </w:t>
      </w:r>
      <w:r>
        <w:rPr>
          <w:sz w:val="20"/>
        </w:rPr>
        <w:t>time</w:t>
      </w:r>
      <w:r>
        <w:rPr>
          <w:spacing w:val="-10"/>
          <w:sz w:val="20"/>
        </w:rPr>
        <w:t> </w:t>
      </w:r>
      <w:r>
        <w:rPr>
          <w:sz w:val="20"/>
        </w:rPr>
        <w:t>of</w:t>
      </w:r>
      <w:r>
        <w:rPr>
          <w:spacing w:val="-3"/>
          <w:sz w:val="20"/>
        </w:rPr>
        <w:t> </w:t>
      </w:r>
      <w:r>
        <w:rPr>
          <w:sz w:val="20"/>
        </w:rPr>
        <w:t>the</w:t>
      </w:r>
      <w:r>
        <w:rPr>
          <w:spacing w:val="-1"/>
          <w:sz w:val="20"/>
        </w:rPr>
        <w:t> </w:t>
      </w:r>
      <w:r>
        <w:rPr>
          <w:sz w:val="20"/>
        </w:rPr>
        <w:t>drafting</w:t>
      </w:r>
      <w:r>
        <w:rPr>
          <w:spacing w:val="-3"/>
          <w:sz w:val="20"/>
        </w:rPr>
        <w:t> </w:t>
      </w:r>
      <w:r>
        <w:rPr>
          <w:sz w:val="20"/>
        </w:rPr>
        <w:t>of</w:t>
      </w:r>
      <w:r>
        <w:rPr>
          <w:spacing w:val="-7"/>
          <w:sz w:val="20"/>
        </w:rPr>
        <w:t> </w:t>
      </w:r>
      <w:r>
        <w:rPr>
          <w:sz w:val="20"/>
        </w:rPr>
        <w:t>this</w:t>
      </w:r>
      <w:r>
        <w:rPr>
          <w:spacing w:val="-4"/>
          <w:sz w:val="20"/>
        </w:rPr>
        <w:t> </w:t>
      </w:r>
      <w:r>
        <w:rPr>
          <w:sz w:val="20"/>
        </w:rPr>
        <w:t>narrative. Despite</w:t>
      </w:r>
      <w:r>
        <w:rPr>
          <w:spacing w:val="40"/>
          <w:sz w:val="20"/>
        </w:rPr>
        <w:t> </w:t>
      </w:r>
      <w:r>
        <w:rPr>
          <w:sz w:val="20"/>
        </w:rPr>
        <w:t>the</w:t>
      </w:r>
      <w:r>
        <w:rPr>
          <w:spacing w:val="40"/>
          <w:sz w:val="20"/>
        </w:rPr>
        <w:t> </w:t>
      </w:r>
      <w:r>
        <w:rPr>
          <w:sz w:val="20"/>
        </w:rPr>
        <w:t>request</w:t>
      </w:r>
      <w:r>
        <w:rPr>
          <w:spacing w:val="40"/>
          <w:sz w:val="20"/>
        </w:rPr>
        <w:t> </w:t>
      </w:r>
      <w:r>
        <w:rPr>
          <w:sz w:val="20"/>
        </w:rPr>
        <w:t>for</w:t>
      </w:r>
      <w:r>
        <w:rPr>
          <w:spacing w:val="40"/>
          <w:sz w:val="20"/>
        </w:rPr>
        <w:t> </w:t>
      </w:r>
      <w:r>
        <w:rPr>
          <w:sz w:val="20"/>
        </w:rPr>
        <w:t>those</w:t>
      </w:r>
      <w:r>
        <w:rPr>
          <w:spacing w:val="40"/>
          <w:sz w:val="20"/>
        </w:rPr>
        <w:t> </w:t>
      </w:r>
      <w:r>
        <w:rPr>
          <w:sz w:val="20"/>
        </w:rPr>
        <w:t>limited</w:t>
      </w:r>
      <w:r>
        <w:rPr>
          <w:spacing w:val="39"/>
          <w:sz w:val="20"/>
        </w:rPr>
        <w:t> </w:t>
      </w:r>
      <w:r>
        <w:rPr>
          <w:sz w:val="20"/>
        </w:rPr>
        <w:t>travel</w:t>
      </w:r>
      <w:r>
        <w:rPr>
          <w:spacing w:val="40"/>
          <w:sz w:val="20"/>
        </w:rPr>
        <w:t> </w:t>
      </w:r>
      <w:r>
        <w:rPr>
          <w:sz w:val="20"/>
        </w:rPr>
        <w:t>resources,</w:t>
      </w:r>
      <w:r>
        <w:rPr>
          <w:spacing w:val="40"/>
          <w:sz w:val="20"/>
        </w:rPr>
        <w:t> </w:t>
      </w:r>
      <w:r>
        <w:rPr>
          <w:sz w:val="20"/>
        </w:rPr>
        <w:t>the</w:t>
      </w:r>
      <w:r>
        <w:rPr>
          <w:spacing w:val="40"/>
          <w:sz w:val="20"/>
        </w:rPr>
        <w:t> </w:t>
      </w:r>
      <w:r>
        <w:rPr>
          <w:sz w:val="20"/>
        </w:rPr>
        <w:t>anticipated</w:t>
      </w:r>
      <w:r>
        <w:rPr>
          <w:spacing w:val="39"/>
          <w:sz w:val="20"/>
        </w:rPr>
        <w:t> </w:t>
      </w:r>
      <w:r>
        <w:rPr>
          <w:sz w:val="20"/>
        </w:rPr>
        <w:t>establishment</w:t>
      </w:r>
      <w:r>
        <w:rPr>
          <w:spacing w:val="40"/>
          <w:sz w:val="20"/>
        </w:rPr>
        <w:t> </w:t>
      </w:r>
      <w:r>
        <w:rPr>
          <w:sz w:val="20"/>
        </w:rPr>
        <w:t>by late 2022 both of</w:t>
      </w:r>
      <w:r>
        <w:rPr>
          <w:spacing w:val="-3"/>
          <w:sz w:val="20"/>
        </w:rPr>
        <w:t> </w:t>
      </w:r>
      <w:r>
        <w:rPr>
          <w:sz w:val="20"/>
        </w:rPr>
        <w:t>the</w:t>
      </w:r>
      <w:r>
        <w:rPr>
          <w:spacing w:val="-1"/>
          <w:sz w:val="20"/>
        </w:rPr>
        <w:t> </w:t>
      </w:r>
      <w:r>
        <w:rPr>
          <w:sz w:val="20"/>
        </w:rPr>
        <w:t>country office in Sudan</w:t>
      </w:r>
      <w:r>
        <w:rPr>
          <w:spacing w:val="-3"/>
          <w:sz w:val="20"/>
        </w:rPr>
        <w:t> </w:t>
      </w:r>
      <w:r>
        <w:rPr>
          <w:sz w:val="20"/>
        </w:rPr>
        <w:t>to facilitate the </w:t>
      </w:r>
      <w:r>
        <w:rPr>
          <w:i/>
          <w:sz w:val="20"/>
        </w:rPr>
        <w:t>Abd-Al-Rahman</w:t>
      </w:r>
      <w:r>
        <w:rPr>
          <w:i/>
          <w:spacing w:val="-2"/>
          <w:sz w:val="20"/>
        </w:rPr>
        <w:t> </w:t>
      </w:r>
      <w:r>
        <w:rPr>
          <w:sz w:val="20"/>
        </w:rPr>
        <w:t>trial</w:t>
      </w:r>
      <w:r>
        <w:rPr>
          <w:spacing w:val="-1"/>
          <w:sz w:val="20"/>
        </w:rPr>
        <w:t> </w:t>
      </w:r>
      <w:r>
        <w:rPr>
          <w:sz w:val="20"/>
        </w:rPr>
        <w:t>activities and</w:t>
      </w:r>
      <w:r>
        <w:rPr>
          <w:spacing w:val="-13"/>
          <w:sz w:val="20"/>
        </w:rPr>
        <w:t> </w:t>
      </w:r>
      <w:r>
        <w:rPr>
          <w:sz w:val="20"/>
        </w:rPr>
        <w:t>the</w:t>
      </w:r>
      <w:r>
        <w:rPr>
          <w:spacing w:val="-12"/>
          <w:sz w:val="20"/>
        </w:rPr>
        <w:t> </w:t>
      </w:r>
      <w:r>
        <w:rPr>
          <w:sz w:val="20"/>
        </w:rPr>
        <w:t>country</w:t>
      </w:r>
      <w:r>
        <w:rPr>
          <w:spacing w:val="-13"/>
          <w:sz w:val="20"/>
        </w:rPr>
        <w:t> </w:t>
      </w:r>
      <w:r>
        <w:rPr>
          <w:sz w:val="20"/>
        </w:rPr>
        <w:t>office</w:t>
      </w:r>
      <w:r>
        <w:rPr>
          <w:spacing w:val="-12"/>
          <w:sz w:val="20"/>
        </w:rPr>
        <w:t> </w:t>
      </w:r>
      <w:r>
        <w:rPr>
          <w:sz w:val="20"/>
        </w:rPr>
        <w:t>in</w:t>
      </w:r>
      <w:r>
        <w:rPr>
          <w:spacing w:val="-13"/>
          <w:sz w:val="20"/>
        </w:rPr>
        <w:t> </w:t>
      </w:r>
      <w:r>
        <w:rPr>
          <w:sz w:val="20"/>
        </w:rPr>
        <w:t>Ukraine</w:t>
      </w:r>
      <w:r>
        <w:rPr>
          <w:spacing w:val="-12"/>
          <w:sz w:val="20"/>
        </w:rPr>
        <w:t> </w:t>
      </w:r>
      <w:r>
        <w:rPr>
          <w:sz w:val="20"/>
        </w:rPr>
        <w:t>to</w:t>
      </w:r>
      <w:r>
        <w:rPr>
          <w:spacing w:val="-9"/>
          <w:sz w:val="20"/>
        </w:rPr>
        <w:t> </w:t>
      </w:r>
      <w:r>
        <w:rPr>
          <w:sz w:val="20"/>
        </w:rPr>
        <w:t>support</w:t>
      </w:r>
      <w:r>
        <w:rPr>
          <w:spacing w:val="-13"/>
          <w:sz w:val="20"/>
        </w:rPr>
        <w:t> </w:t>
      </w:r>
      <w:r>
        <w:rPr>
          <w:sz w:val="20"/>
        </w:rPr>
        <w:t>the</w:t>
      </w:r>
      <w:r>
        <w:rPr>
          <w:spacing w:val="-11"/>
          <w:sz w:val="20"/>
        </w:rPr>
        <w:t> </w:t>
      </w:r>
      <w:r>
        <w:rPr>
          <w:sz w:val="20"/>
        </w:rPr>
        <w:t>intensive</w:t>
      </w:r>
      <w:r>
        <w:rPr>
          <w:spacing w:val="-12"/>
          <w:sz w:val="20"/>
        </w:rPr>
        <w:t> </w:t>
      </w:r>
      <w:r>
        <w:rPr>
          <w:sz w:val="20"/>
        </w:rPr>
        <w:t>investigation</w:t>
      </w:r>
      <w:r>
        <w:rPr>
          <w:spacing w:val="-13"/>
          <w:sz w:val="20"/>
        </w:rPr>
        <w:t> </w:t>
      </w:r>
      <w:r>
        <w:rPr>
          <w:sz w:val="20"/>
        </w:rPr>
        <w:t>conducted</w:t>
      </w:r>
      <w:r>
        <w:rPr>
          <w:spacing w:val="-12"/>
          <w:sz w:val="20"/>
        </w:rPr>
        <w:t> </w:t>
      </w:r>
      <w:r>
        <w:rPr>
          <w:sz w:val="20"/>
        </w:rPr>
        <w:t>by</w:t>
      </w:r>
      <w:r>
        <w:rPr>
          <w:spacing w:val="-13"/>
          <w:sz w:val="20"/>
        </w:rPr>
        <w:t> </w:t>
      </w:r>
      <w:r>
        <w:rPr>
          <w:sz w:val="20"/>
        </w:rPr>
        <w:t>the</w:t>
      </w:r>
      <w:r>
        <w:rPr>
          <w:spacing w:val="-8"/>
          <w:sz w:val="20"/>
        </w:rPr>
        <w:t> </w:t>
      </w:r>
      <w:r>
        <w:rPr>
          <w:sz w:val="20"/>
        </w:rPr>
        <w:t>OTP in</w:t>
      </w:r>
      <w:r>
        <w:rPr>
          <w:spacing w:val="-13"/>
          <w:sz w:val="20"/>
        </w:rPr>
        <w:t> </w:t>
      </w:r>
      <w:r>
        <w:rPr>
          <w:sz w:val="20"/>
        </w:rPr>
        <w:t>that</w:t>
      </w:r>
      <w:r>
        <w:rPr>
          <w:spacing w:val="-12"/>
          <w:sz w:val="20"/>
        </w:rPr>
        <w:t> </w:t>
      </w:r>
      <w:r>
        <w:rPr>
          <w:sz w:val="20"/>
        </w:rPr>
        <w:t>country</w:t>
      </w:r>
      <w:r>
        <w:rPr>
          <w:spacing w:val="-13"/>
          <w:sz w:val="20"/>
        </w:rPr>
        <w:t> </w:t>
      </w:r>
      <w:r>
        <w:rPr>
          <w:sz w:val="20"/>
        </w:rPr>
        <w:t>will</w:t>
      </w:r>
      <w:r>
        <w:rPr>
          <w:spacing w:val="-12"/>
          <w:sz w:val="20"/>
        </w:rPr>
        <w:t> </w:t>
      </w:r>
      <w:r>
        <w:rPr>
          <w:sz w:val="20"/>
        </w:rPr>
        <w:t>result</w:t>
      </w:r>
      <w:r>
        <w:rPr>
          <w:spacing w:val="-13"/>
          <w:sz w:val="20"/>
        </w:rPr>
        <w:t> </w:t>
      </w:r>
      <w:r>
        <w:rPr>
          <w:sz w:val="20"/>
        </w:rPr>
        <w:t>in</w:t>
      </w:r>
      <w:r>
        <w:rPr>
          <w:spacing w:val="-12"/>
          <w:sz w:val="20"/>
        </w:rPr>
        <w:t> </w:t>
      </w:r>
      <w:r>
        <w:rPr>
          <w:sz w:val="20"/>
        </w:rPr>
        <w:t>an</w:t>
      </w:r>
      <w:r>
        <w:rPr>
          <w:spacing w:val="-13"/>
          <w:sz w:val="20"/>
        </w:rPr>
        <w:t> </w:t>
      </w:r>
      <w:r>
        <w:rPr>
          <w:sz w:val="20"/>
        </w:rPr>
        <w:t>increase</w:t>
      </w:r>
      <w:r>
        <w:rPr>
          <w:spacing w:val="-12"/>
          <w:sz w:val="20"/>
        </w:rPr>
        <w:t> </w:t>
      </w:r>
      <w:r>
        <w:rPr>
          <w:sz w:val="20"/>
        </w:rPr>
        <w:t>in</w:t>
      </w:r>
      <w:r>
        <w:rPr>
          <w:spacing w:val="-13"/>
          <w:sz w:val="20"/>
        </w:rPr>
        <w:t> </w:t>
      </w:r>
      <w:r>
        <w:rPr>
          <w:sz w:val="20"/>
        </w:rPr>
        <w:t>the</w:t>
      </w:r>
      <w:r>
        <w:rPr>
          <w:spacing w:val="-9"/>
          <w:sz w:val="20"/>
        </w:rPr>
        <w:t> </w:t>
      </w:r>
      <w:r>
        <w:rPr>
          <w:sz w:val="20"/>
        </w:rPr>
        <w:t>non-staff</w:t>
      </w:r>
      <w:r>
        <w:rPr>
          <w:spacing w:val="-12"/>
          <w:sz w:val="20"/>
        </w:rPr>
        <w:t> </w:t>
      </w:r>
      <w:r>
        <w:rPr>
          <w:sz w:val="20"/>
        </w:rPr>
        <w:t>resources</w:t>
      </w:r>
      <w:r>
        <w:rPr>
          <w:spacing w:val="-13"/>
          <w:sz w:val="20"/>
        </w:rPr>
        <w:t> </w:t>
      </w:r>
      <w:r>
        <w:rPr>
          <w:sz w:val="20"/>
        </w:rPr>
        <w:t>proposed</w:t>
      </w:r>
      <w:r>
        <w:rPr>
          <w:spacing w:val="-8"/>
          <w:sz w:val="20"/>
        </w:rPr>
        <w:t> </w:t>
      </w:r>
      <w:r>
        <w:rPr>
          <w:sz w:val="20"/>
        </w:rPr>
        <w:t>by</w:t>
      </w:r>
      <w:r>
        <w:rPr>
          <w:spacing w:val="-8"/>
          <w:sz w:val="20"/>
        </w:rPr>
        <w:t> </w:t>
      </w:r>
      <w:r>
        <w:rPr>
          <w:sz w:val="20"/>
        </w:rPr>
        <w:t>DEO</w:t>
      </w:r>
      <w:r>
        <w:rPr>
          <w:spacing w:val="-10"/>
          <w:sz w:val="20"/>
        </w:rPr>
        <w:t> </w:t>
      </w:r>
      <w:r>
        <w:rPr>
          <w:sz w:val="20"/>
        </w:rPr>
        <w:t>for</w:t>
      </w:r>
      <w:r>
        <w:rPr>
          <w:spacing w:val="-8"/>
          <w:sz w:val="20"/>
        </w:rPr>
        <w:t> </w:t>
      </w:r>
      <w:r>
        <w:rPr>
          <w:sz w:val="20"/>
        </w:rPr>
        <w:t>2023. The resources requested for the Country Office (CAR) to support the simultaneous trials in the</w:t>
      </w:r>
      <w:r>
        <w:rPr>
          <w:spacing w:val="-13"/>
          <w:sz w:val="20"/>
        </w:rPr>
        <w:t> </w:t>
      </w:r>
      <w:r>
        <w:rPr>
          <w:i/>
          <w:sz w:val="20"/>
        </w:rPr>
        <w:t>Yekatom</w:t>
      </w:r>
      <w:r>
        <w:rPr>
          <w:i/>
          <w:spacing w:val="-12"/>
          <w:sz w:val="20"/>
        </w:rPr>
        <w:t> </w:t>
      </w:r>
      <w:r>
        <w:rPr>
          <w:i/>
          <w:sz w:val="20"/>
        </w:rPr>
        <w:t>and</w:t>
      </w:r>
      <w:r>
        <w:rPr>
          <w:i/>
          <w:spacing w:val="-13"/>
          <w:sz w:val="20"/>
        </w:rPr>
        <w:t> </w:t>
      </w:r>
      <w:r>
        <w:rPr>
          <w:i/>
          <w:sz w:val="20"/>
        </w:rPr>
        <w:t>Ngaïssona</w:t>
      </w:r>
      <w:r>
        <w:rPr>
          <w:i/>
          <w:spacing w:val="-8"/>
          <w:sz w:val="20"/>
        </w:rPr>
        <w:t> </w:t>
      </w:r>
      <w:r>
        <w:rPr>
          <w:sz w:val="20"/>
        </w:rPr>
        <w:t>case</w:t>
      </w:r>
      <w:r>
        <w:rPr>
          <w:spacing w:val="-11"/>
          <w:sz w:val="20"/>
        </w:rPr>
        <w:t> </w:t>
      </w:r>
      <w:r>
        <w:rPr>
          <w:sz w:val="20"/>
        </w:rPr>
        <w:t>and</w:t>
      </w:r>
      <w:r>
        <w:rPr>
          <w:spacing w:val="-8"/>
          <w:sz w:val="20"/>
        </w:rPr>
        <w:t> </w:t>
      </w:r>
      <w:r>
        <w:rPr>
          <w:sz w:val="20"/>
        </w:rPr>
        <w:t>the</w:t>
      </w:r>
      <w:r>
        <w:rPr>
          <w:spacing w:val="-10"/>
          <w:sz w:val="20"/>
        </w:rPr>
        <w:t> </w:t>
      </w:r>
      <w:r>
        <w:rPr>
          <w:i/>
          <w:sz w:val="20"/>
        </w:rPr>
        <w:t>Said</w:t>
      </w:r>
      <w:r>
        <w:rPr>
          <w:i/>
          <w:spacing w:val="-13"/>
          <w:sz w:val="20"/>
        </w:rPr>
        <w:t> </w:t>
      </w:r>
      <w:r>
        <w:rPr>
          <w:sz w:val="20"/>
        </w:rPr>
        <w:t>case</w:t>
      </w:r>
      <w:r>
        <w:rPr>
          <w:spacing w:val="-11"/>
          <w:sz w:val="20"/>
        </w:rPr>
        <w:t> </w:t>
      </w:r>
      <w:r>
        <w:rPr>
          <w:sz w:val="20"/>
        </w:rPr>
        <w:t>as</w:t>
      </w:r>
      <w:r>
        <w:rPr>
          <w:spacing w:val="-10"/>
          <w:sz w:val="20"/>
        </w:rPr>
        <w:t> </w:t>
      </w:r>
      <w:r>
        <w:rPr>
          <w:sz w:val="20"/>
        </w:rPr>
        <w:t>well</w:t>
      </w:r>
      <w:r>
        <w:rPr>
          <w:spacing w:val="-12"/>
          <w:sz w:val="20"/>
        </w:rPr>
        <w:t> </w:t>
      </w:r>
      <w:r>
        <w:rPr>
          <w:sz w:val="20"/>
        </w:rPr>
        <w:t>as</w:t>
      </w:r>
      <w:r>
        <w:rPr>
          <w:spacing w:val="-10"/>
          <w:sz w:val="20"/>
        </w:rPr>
        <w:t> </w:t>
      </w:r>
      <w:r>
        <w:rPr>
          <w:sz w:val="20"/>
        </w:rPr>
        <w:t>the</w:t>
      </w:r>
      <w:r>
        <w:rPr>
          <w:spacing w:val="-7"/>
          <w:sz w:val="20"/>
        </w:rPr>
        <w:t> </w:t>
      </w:r>
      <w:r>
        <w:rPr>
          <w:sz w:val="20"/>
        </w:rPr>
        <w:t>pre-trial</w:t>
      </w:r>
      <w:r>
        <w:rPr>
          <w:spacing w:val="-12"/>
          <w:sz w:val="20"/>
        </w:rPr>
        <w:t> </w:t>
      </w:r>
      <w:r>
        <w:rPr>
          <w:sz w:val="20"/>
        </w:rPr>
        <w:t>activities</w:t>
      </w:r>
      <w:r>
        <w:rPr>
          <w:spacing w:val="-13"/>
          <w:sz w:val="20"/>
        </w:rPr>
        <w:t> </w:t>
      </w:r>
      <w:r>
        <w:rPr>
          <w:sz w:val="20"/>
        </w:rPr>
        <w:t>pertaining to</w:t>
      </w:r>
      <w:r>
        <w:rPr>
          <w:spacing w:val="-4"/>
          <w:sz w:val="20"/>
        </w:rPr>
        <w:t> </w:t>
      </w:r>
      <w:r>
        <w:rPr>
          <w:sz w:val="20"/>
        </w:rPr>
        <w:t>the</w:t>
      </w:r>
      <w:r>
        <w:rPr>
          <w:spacing w:val="-1"/>
          <w:sz w:val="20"/>
        </w:rPr>
        <w:t> </w:t>
      </w:r>
      <w:r>
        <w:rPr>
          <w:i/>
          <w:sz w:val="20"/>
        </w:rPr>
        <w:t>Mokom</w:t>
      </w:r>
      <w:r>
        <w:rPr>
          <w:i/>
          <w:spacing w:val="-5"/>
          <w:sz w:val="20"/>
        </w:rPr>
        <w:t> </w:t>
      </w:r>
      <w:r>
        <w:rPr>
          <w:sz w:val="20"/>
        </w:rPr>
        <w:t>case</w:t>
      </w:r>
      <w:r>
        <w:rPr>
          <w:spacing w:val="-2"/>
          <w:sz w:val="20"/>
        </w:rPr>
        <w:t> </w:t>
      </w:r>
      <w:r>
        <w:rPr>
          <w:sz w:val="20"/>
        </w:rPr>
        <w:t>also</w:t>
      </w:r>
      <w:r>
        <w:rPr>
          <w:spacing w:val="-4"/>
          <w:sz w:val="20"/>
        </w:rPr>
        <w:t> </w:t>
      </w:r>
      <w:r>
        <w:rPr>
          <w:sz w:val="20"/>
        </w:rPr>
        <w:t>represent</w:t>
      </w:r>
      <w:r>
        <w:rPr>
          <w:spacing w:val="-7"/>
          <w:sz w:val="20"/>
        </w:rPr>
        <w:t> </w:t>
      </w:r>
      <w:r>
        <w:rPr>
          <w:sz w:val="20"/>
        </w:rPr>
        <w:t>an</w:t>
      </w:r>
      <w:r>
        <w:rPr>
          <w:spacing w:val="-4"/>
          <w:sz w:val="20"/>
        </w:rPr>
        <w:t> </w:t>
      </w:r>
      <w:r>
        <w:rPr>
          <w:sz w:val="20"/>
        </w:rPr>
        <w:t>increase.</w:t>
      </w:r>
      <w:r>
        <w:rPr>
          <w:spacing w:val="-1"/>
          <w:sz w:val="20"/>
        </w:rPr>
        <w:t> </w:t>
      </w:r>
      <w:r>
        <w:rPr>
          <w:sz w:val="20"/>
        </w:rPr>
        <w:t>The</w:t>
      </w:r>
      <w:r>
        <w:rPr>
          <w:spacing w:val="-2"/>
          <w:sz w:val="20"/>
        </w:rPr>
        <w:t> </w:t>
      </w:r>
      <w:r>
        <w:rPr>
          <w:sz w:val="20"/>
        </w:rPr>
        <w:t>increases</w:t>
      </w:r>
      <w:r>
        <w:rPr>
          <w:spacing w:val="-5"/>
          <w:sz w:val="20"/>
        </w:rPr>
        <w:t> </w:t>
      </w:r>
      <w:r>
        <w:rPr>
          <w:sz w:val="20"/>
        </w:rPr>
        <w:t>in non-staff</w:t>
      </w:r>
      <w:r>
        <w:rPr>
          <w:spacing w:val="-4"/>
          <w:sz w:val="20"/>
        </w:rPr>
        <w:t> </w:t>
      </w:r>
      <w:r>
        <w:rPr>
          <w:sz w:val="20"/>
        </w:rPr>
        <w:t>resources</w:t>
      </w:r>
      <w:r>
        <w:rPr>
          <w:spacing w:val="-5"/>
          <w:sz w:val="20"/>
        </w:rPr>
        <w:t> </w:t>
      </w:r>
      <w:r>
        <w:rPr>
          <w:sz w:val="20"/>
        </w:rPr>
        <w:t>requested for the country offices in Ukraine, Sudan and the CAR have been completely offset by the reductions proposed by the country offices in Uganda, the DRC, Mali, Côte d’Ivoire and Georgia. Therefore, the resources requested for the country offices are cost neutral.</w:t>
      </w:r>
    </w:p>
    <w:p>
      <w:pPr>
        <w:spacing w:after="0" w:line="240" w:lineRule="auto"/>
        <w:jc w:val="both"/>
        <w:rPr>
          <w:sz w:val="20"/>
        </w:rPr>
        <w:sectPr>
          <w:pgSz w:w="11910" w:h="16840"/>
          <w:pgMar w:header="953" w:footer="940" w:top="1140" w:bottom="1140" w:left="20" w:right="20"/>
        </w:sectPr>
      </w:pPr>
    </w:p>
    <w:p>
      <w:pPr>
        <w:pStyle w:val="ListParagraph"/>
        <w:numPr>
          <w:ilvl w:val="0"/>
          <w:numId w:val="4"/>
        </w:numPr>
        <w:tabs>
          <w:tab w:pos="2967" w:val="left" w:leader="none"/>
        </w:tabs>
        <w:spacing w:line="240" w:lineRule="auto" w:before="120" w:after="0"/>
        <w:ind w:left="2246" w:right="2235" w:firstLine="0"/>
        <w:jc w:val="both"/>
        <w:rPr>
          <w:sz w:val="20"/>
        </w:rPr>
      </w:pPr>
      <w:r>
        <w:rPr>
          <w:sz w:val="20"/>
        </w:rPr>
        <w:t>Following the downsizing of the Country Office (Côte d’Ivoire), its premises will be moved as of June 2023 to a fully furnished, flexible workspace whose rental cost will cover services such as utilities, insurance, cleaning services, A/C and office maintenance. Internet services, previously budgeted under the IMSS budget, will then be included in the rental cost as of that date. The move to a flexible workspace will also allow the Court to easily accommodate a further downsizing of the office in 2024 without the need to move again to other premises. Savings to be achieved by the move may not be salient for 2023 given</w:t>
      </w:r>
      <w:r>
        <w:rPr>
          <w:spacing w:val="-7"/>
          <w:sz w:val="20"/>
        </w:rPr>
        <w:t> </w:t>
      </w:r>
      <w:r>
        <w:rPr>
          <w:sz w:val="20"/>
        </w:rPr>
        <w:t>that</w:t>
      </w:r>
      <w:r>
        <w:rPr>
          <w:spacing w:val="-1"/>
          <w:sz w:val="20"/>
        </w:rPr>
        <w:t> </w:t>
      </w:r>
      <w:r>
        <w:rPr>
          <w:sz w:val="20"/>
        </w:rPr>
        <w:t>the</w:t>
      </w:r>
      <w:r>
        <w:rPr>
          <w:spacing w:val="-1"/>
          <w:sz w:val="20"/>
        </w:rPr>
        <w:t> </w:t>
      </w:r>
      <w:r>
        <w:rPr>
          <w:sz w:val="20"/>
        </w:rPr>
        <w:t>current</w:t>
      </w:r>
      <w:r>
        <w:rPr>
          <w:spacing w:val="-1"/>
          <w:sz w:val="20"/>
        </w:rPr>
        <w:t> </w:t>
      </w:r>
      <w:r>
        <w:rPr>
          <w:sz w:val="20"/>
        </w:rPr>
        <w:t>premises</w:t>
      </w:r>
      <w:r>
        <w:rPr>
          <w:spacing w:val="-4"/>
          <w:sz w:val="20"/>
        </w:rPr>
        <w:t> </w:t>
      </w:r>
      <w:r>
        <w:rPr>
          <w:sz w:val="20"/>
        </w:rPr>
        <w:t>will</w:t>
      </w:r>
      <w:r>
        <w:rPr>
          <w:spacing w:val="-1"/>
          <w:sz w:val="20"/>
        </w:rPr>
        <w:t> </w:t>
      </w:r>
      <w:r>
        <w:rPr>
          <w:sz w:val="20"/>
        </w:rPr>
        <w:t>be</w:t>
      </w:r>
      <w:r>
        <w:rPr>
          <w:spacing w:val="-6"/>
          <w:sz w:val="20"/>
        </w:rPr>
        <w:t> </w:t>
      </w:r>
      <w:r>
        <w:rPr>
          <w:sz w:val="20"/>
        </w:rPr>
        <w:t>maintained</w:t>
      </w:r>
      <w:r>
        <w:rPr>
          <w:spacing w:val="-3"/>
          <w:sz w:val="20"/>
        </w:rPr>
        <w:t> </w:t>
      </w:r>
      <w:r>
        <w:rPr>
          <w:sz w:val="20"/>
        </w:rPr>
        <w:t>until</w:t>
      </w:r>
      <w:r>
        <w:rPr>
          <w:spacing w:val="-1"/>
          <w:sz w:val="20"/>
        </w:rPr>
        <w:t> </w:t>
      </w:r>
      <w:r>
        <w:rPr>
          <w:sz w:val="20"/>
        </w:rPr>
        <w:t>the</w:t>
      </w:r>
      <w:r>
        <w:rPr>
          <w:spacing w:val="-1"/>
          <w:sz w:val="20"/>
        </w:rPr>
        <w:t> </w:t>
      </w:r>
      <w:r>
        <w:rPr>
          <w:sz w:val="20"/>
        </w:rPr>
        <w:t>relocation</w:t>
      </w:r>
      <w:r>
        <w:rPr>
          <w:spacing w:val="-3"/>
          <w:sz w:val="20"/>
        </w:rPr>
        <w:t> </w:t>
      </w:r>
      <w:r>
        <w:rPr>
          <w:sz w:val="20"/>
        </w:rPr>
        <w:t>to</w:t>
      </w:r>
      <w:r>
        <w:rPr>
          <w:spacing w:val="-7"/>
          <w:sz w:val="20"/>
        </w:rPr>
        <w:t> </w:t>
      </w:r>
      <w:r>
        <w:rPr>
          <w:sz w:val="20"/>
        </w:rPr>
        <w:t>the</w:t>
      </w:r>
      <w:r>
        <w:rPr>
          <w:spacing w:val="-1"/>
          <w:sz w:val="20"/>
        </w:rPr>
        <w:t> </w:t>
      </w:r>
      <w:r>
        <w:rPr>
          <w:sz w:val="20"/>
        </w:rPr>
        <w:t>new</w:t>
      </w:r>
      <w:r>
        <w:rPr>
          <w:spacing w:val="-4"/>
          <w:sz w:val="20"/>
        </w:rPr>
        <w:t> </w:t>
      </w:r>
      <w:r>
        <w:rPr>
          <w:sz w:val="20"/>
        </w:rPr>
        <w:t>premises</w:t>
      </w:r>
      <w:r>
        <w:rPr>
          <w:spacing w:val="-4"/>
          <w:sz w:val="20"/>
        </w:rPr>
        <w:t> </w:t>
      </w:r>
      <w:r>
        <w:rPr>
          <w:sz w:val="20"/>
        </w:rPr>
        <w:t>is finalized in June 2023 and that the move itself will incur certain expenditures (e.g. moving costs, refurbishment of the current premises, deposit for the new premises, one-month overlap</w:t>
      </w:r>
      <w:r>
        <w:rPr>
          <w:spacing w:val="-3"/>
          <w:sz w:val="20"/>
        </w:rPr>
        <w:t> </w:t>
      </w:r>
      <w:r>
        <w:rPr>
          <w:sz w:val="20"/>
        </w:rPr>
        <w:t>for</w:t>
      </w:r>
      <w:r>
        <w:rPr>
          <w:spacing w:val="-3"/>
          <w:sz w:val="20"/>
        </w:rPr>
        <w:t> </w:t>
      </w:r>
      <w:r>
        <w:rPr>
          <w:sz w:val="20"/>
        </w:rPr>
        <w:t>rental</w:t>
      </w:r>
      <w:r>
        <w:rPr>
          <w:spacing w:val="-6"/>
          <w:sz w:val="20"/>
        </w:rPr>
        <w:t> </w:t>
      </w:r>
      <w:r>
        <w:rPr>
          <w:sz w:val="20"/>
        </w:rPr>
        <w:t>costs</w:t>
      </w:r>
      <w:r>
        <w:rPr>
          <w:spacing w:val="-4"/>
          <w:sz w:val="20"/>
        </w:rPr>
        <w:t> </w:t>
      </w:r>
      <w:r>
        <w:rPr>
          <w:sz w:val="20"/>
        </w:rPr>
        <w:t>for</w:t>
      </w:r>
      <w:r>
        <w:rPr>
          <w:spacing w:val="-3"/>
          <w:sz w:val="20"/>
        </w:rPr>
        <w:t> </w:t>
      </w:r>
      <w:r>
        <w:rPr>
          <w:sz w:val="20"/>
        </w:rPr>
        <w:t>both</w:t>
      </w:r>
      <w:r>
        <w:rPr>
          <w:spacing w:val="-3"/>
          <w:sz w:val="20"/>
        </w:rPr>
        <w:t> </w:t>
      </w:r>
      <w:r>
        <w:rPr>
          <w:sz w:val="20"/>
        </w:rPr>
        <w:t>premises</w:t>
      </w:r>
      <w:r>
        <w:rPr>
          <w:spacing w:val="-9"/>
          <w:sz w:val="20"/>
        </w:rPr>
        <w:t> </w:t>
      </w:r>
      <w:r>
        <w:rPr>
          <w:sz w:val="20"/>
        </w:rPr>
        <w:t>and</w:t>
      </w:r>
      <w:r>
        <w:rPr>
          <w:spacing w:val="-7"/>
          <w:sz w:val="20"/>
        </w:rPr>
        <w:t> </w:t>
      </w:r>
      <w:r>
        <w:rPr>
          <w:sz w:val="20"/>
        </w:rPr>
        <w:t>disposal</w:t>
      </w:r>
      <w:r>
        <w:rPr>
          <w:spacing w:val="-6"/>
          <w:sz w:val="20"/>
        </w:rPr>
        <w:t> </w:t>
      </w:r>
      <w:r>
        <w:rPr>
          <w:sz w:val="20"/>
        </w:rPr>
        <w:t>and</w:t>
      </w:r>
      <w:r>
        <w:rPr>
          <w:spacing w:val="-3"/>
          <w:sz w:val="20"/>
        </w:rPr>
        <w:t> </w:t>
      </w:r>
      <w:r>
        <w:rPr>
          <w:sz w:val="20"/>
        </w:rPr>
        <w:t>relocation</w:t>
      </w:r>
      <w:r>
        <w:rPr>
          <w:spacing w:val="-7"/>
          <w:sz w:val="20"/>
        </w:rPr>
        <w:t> </w:t>
      </w:r>
      <w:r>
        <w:rPr>
          <w:sz w:val="20"/>
        </w:rPr>
        <w:t>of</w:t>
      </w:r>
      <w:r>
        <w:rPr>
          <w:spacing w:val="-7"/>
          <w:sz w:val="20"/>
        </w:rPr>
        <w:t> </w:t>
      </w:r>
      <w:r>
        <w:rPr>
          <w:sz w:val="20"/>
        </w:rPr>
        <w:t>assets</w:t>
      </w:r>
      <w:r>
        <w:rPr>
          <w:spacing w:val="-9"/>
          <w:sz w:val="20"/>
        </w:rPr>
        <w:t> </w:t>
      </w:r>
      <w:r>
        <w:rPr>
          <w:sz w:val="20"/>
        </w:rPr>
        <w:t>and</w:t>
      </w:r>
      <w:r>
        <w:rPr>
          <w:spacing w:val="-3"/>
          <w:sz w:val="20"/>
        </w:rPr>
        <w:t> </w:t>
      </w:r>
      <w:r>
        <w:rPr>
          <w:sz w:val="20"/>
        </w:rPr>
        <w:t>vehicles). It is anticipated that this move will generate significant savings as of 2024.</w:t>
      </w:r>
    </w:p>
    <w:p>
      <w:pPr>
        <w:pStyle w:val="ListParagraph"/>
        <w:numPr>
          <w:ilvl w:val="0"/>
          <w:numId w:val="4"/>
        </w:numPr>
        <w:tabs>
          <w:tab w:pos="2967" w:val="left" w:leader="none"/>
        </w:tabs>
        <w:spacing w:line="240" w:lineRule="auto" w:before="121" w:after="0"/>
        <w:ind w:left="2246" w:right="2240" w:firstLine="0"/>
        <w:jc w:val="both"/>
        <w:rPr>
          <w:sz w:val="20"/>
        </w:rPr>
      </w:pPr>
      <w:r>
        <w:rPr>
          <w:sz w:val="20"/>
        </w:rPr>
        <w:t>The premises of the Country Office (Georgia) are</w:t>
      </w:r>
      <w:r>
        <w:rPr>
          <w:spacing w:val="-2"/>
          <w:sz w:val="20"/>
        </w:rPr>
        <w:t> </w:t>
      </w:r>
      <w:r>
        <w:rPr>
          <w:sz w:val="20"/>
        </w:rPr>
        <w:t>already</w:t>
      </w:r>
      <w:r>
        <w:rPr>
          <w:spacing w:val="-4"/>
          <w:sz w:val="20"/>
        </w:rPr>
        <w:t> </w:t>
      </w:r>
      <w:r>
        <w:rPr>
          <w:sz w:val="20"/>
        </w:rPr>
        <w:t>located in the same type of flexible workspace to which the Côte d’Ivoire office will be relocated, thus allowing the office space to be easily reduced to just one room for 2023. Such a reduction has yielded important savings. In addition, further savings have been achieved by the complete closing of the office premises in Kinshasa, DRC in 2022 and the planned decrease in activities, in particular in Côte d’Ivoire, the DRC and Georgia for 2023.</w:t>
      </w:r>
    </w:p>
    <w:p>
      <w:pPr>
        <w:pStyle w:val="BodyText"/>
        <w:spacing w:before="1"/>
        <w:rPr>
          <w:sz w:val="21"/>
        </w:rPr>
      </w:pPr>
    </w:p>
    <w:p>
      <w:pPr>
        <w:tabs>
          <w:tab w:pos="8133" w:val="left" w:leader="none"/>
        </w:tabs>
        <w:spacing w:before="0"/>
        <w:ind w:left="2246" w:right="0" w:firstLine="0"/>
        <w:jc w:val="both"/>
        <w:rPr>
          <w:i/>
          <w:sz w:val="20"/>
        </w:rPr>
      </w:pPr>
      <w:r>
        <w:rPr>
          <w:i/>
          <w:spacing w:val="-2"/>
          <w:sz w:val="20"/>
        </w:rPr>
        <w:t>Travel</w:t>
      </w:r>
      <w:r>
        <w:rPr>
          <w:i/>
          <w:sz w:val="20"/>
        </w:rPr>
        <w:tab/>
        <w:t>€1,144.0</w:t>
      </w:r>
      <w:r>
        <w:rPr>
          <w:i/>
          <w:spacing w:val="-4"/>
          <w:sz w:val="20"/>
        </w:rPr>
        <w:t> </w:t>
      </w:r>
      <w:r>
        <w:rPr>
          <w:i/>
          <w:spacing w:val="-2"/>
          <w:sz w:val="20"/>
        </w:rPr>
        <w:t>thousand</w:t>
      </w:r>
    </w:p>
    <w:p>
      <w:pPr>
        <w:pStyle w:val="BodyText"/>
        <w:rPr>
          <w:i/>
          <w:sz w:val="21"/>
        </w:rPr>
      </w:pPr>
    </w:p>
    <w:p>
      <w:pPr>
        <w:pStyle w:val="ListParagraph"/>
        <w:numPr>
          <w:ilvl w:val="0"/>
          <w:numId w:val="4"/>
        </w:numPr>
        <w:tabs>
          <w:tab w:pos="2967" w:val="left" w:leader="none"/>
        </w:tabs>
        <w:spacing w:line="240" w:lineRule="auto" w:before="0" w:after="0"/>
        <w:ind w:left="2246" w:right="2240" w:firstLine="0"/>
        <w:jc w:val="both"/>
        <w:rPr>
          <w:sz w:val="20"/>
        </w:rPr>
      </w:pPr>
      <w:r>
        <w:rPr>
          <w:sz w:val="20"/>
        </w:rPr>
        <w:t>The requested resources represent an increase of €283.3 thousand (32.9 per cent) over</w:t>
      </w:r>
      <w:r>
        <w:rPr>
          <w:spacing w:val="-4"/>
          <w:sz w:val="20"/>
        </w:rPr>
        <w:t> </w:t>
      </w:r>
      <w:r>
        <w:rPr>
          <w:sz w:val="20"/>
        </w:rPr>
        <w:t>the</w:t>
      </w:r>
      <w:r>
        <w:rPr>
          <w:spacing w:val="-2"/>
          <w:sz w:val="20"/>
        </w:rPr>
        <w:t> </w:t>
      </w:r>
      <w:r>
        <w:rPr>
          <w:sz w:val="20"/>
        </w:rPr>
        <w:t>approved</w:t>
      </w:r>
      <w:r>
        <w:rPr>
          <w:spacing w:val="-4"/>
          <w:sz w:val="20"/>
        </w:rPr>
        <w:t> </w:t>
      </w:r>
      <w:r>
        <w:rPr>
          <w:sz w:val="20"/>
        </w:rPr>
        <w:t>budget</w:t>
      </w:r>
      <w:r>
        <w:rPr>
          <w:spacing w:val="-2"/>
          <w:sz w:val="20"/>
        </w:rPr>
        <w:t> </w:t>
      </w:r>
      <w:r>
        <w:rPr>
          <w:sz w:val="20"/>
        </w:rPr>
        <w:t>for</w:t>
      </w:r>
      <w:r>
        <w:rPr>
          <w:spacing w:val="-4"/>
          <w:sz w:val="20"/>
        </w:rPr>
        <w:t> </w:t>
      </w:r>
      <w:r>
        <w:rPr>
          <w:sz w:val="20"/>
        </w:rPr>
        <w:t>2022.</w:t>
      </w:r>
      <w:r>
        <w:rPr>
          <w:spacing w:val="-1"/>
          <w:sz w:val="20"/>
        </w:rPr>
        <w:t> </w:t>
      </w:r>
      <w:r>
        <w:rPr>
          <w:sz w:val="20"/>
        </w:rPr>
        <w:t>The</w:t>
      </w:r>
      <w:r>
        <w:rPr>
          <w:spacing w:val="-2"/>
          <w:sz w:val="20"/>
        </w:rPr>
        <w:t> </w:t>
      </w:r>
      <w:r>
        <w:rPr>
          <w:sz w:val="20"/>
        </w:rPr>
        <w:t>overall</w:t>
      </w:r>
      <w:r>
        <w:rPr>
          <w:spacing w:val="-2"/>
          <w:sz w:val="20"/>
        </w:rPr>
        <w:t> </w:t>
      </w:r>
      <w:r>
        <w:rPr>
          <w:sz w:val="20"/>
        </w:rPr>
        <w:t>increase</w:t>
      </w:r>
      <w:r>
        <w:rPr>
          <w:spacing w:val="-2"/>
          <w:sz w:val="20"/>
        </w:rPr>
        <w:t> </w:t>
      </w:r>
      <w:r>
        <w:rPr>
          <w:sz w:val="20"/>
        </w:rPr>
        <w:t>in</w:t>
      </w:r>
      <w:r>
        <w:rPr>
          <w:spacing w:val="-4"/>
          <w:sz w:val="20"/>
        </w:rPr>
        <w:t> </w:t>
      </w:r>
      <w:r>
        <w:rPr>
          <w:sz w:val="20"/>
        </w:rPr>
        <w:t>the</w:t>
      </w:r>
      <w:r>
        <w:rPr>
          <w:spacing w:val="-2"/>
          <w:sz w:val="20"/>
        </w:rPr>
        <w:t> </w:t>
      </w:r>
      <w:r>
        <w:rPr>
          <w:sz w:val="20"/>
        </w:rPr>
        <w:t>travel</w:t>
      </w:r>
      <w:r>
        <w:rPr>
          <w:spacing w:val="-2"/>
          <w:sz w:val="20"/>
        </w:rPr>
        <w:t> </w:t>
      </w:r>
      <w:r>
        <w:rPr>
          <w:sz w:val="20"/>
        </w:rPr>
        <w:t>resources requested</w:t>
      </w:r>
      <w:r>
        <w:rPr>
          <w:spacing w:val="-4"/>
          <w:sz w:val="20"/>
        </w:rPr>
        <w:t> </w:t>
      </w:r>
      <w:r>
        <w:rPr>
          <w:sz w:val="20"/>
        </w:rPr>
        <w:t>by DEO</w:t>
      </w:r>
      <w:r>
        <w:rPr>
          <w:spacing w:val="-13"/>
          <w:sz w:val="20"/>
        </w:rPr>
        <w:t> </w:t>
      </w:r>
      <w:r>
        <w:rPr>
          <w:sz w:val="20"/>
        </w:rPr>
        <w:t>has</w:t>
      </w:r>
      <w:r>
        <w:rPr>
          <w:spacing w:val="-10"/>
          <w:sz w:val="20"/>
        </w:rPr>
        <w:t> </w:t>
      </w:r>
      <w:r>
        <w:rPr>
          <w:sz w:val="20"/>
        </w:rPr>
        <w:t>been</w:t>
      </w:r>
      <w:r>
        <w:rPr>
          <w:spacing w:val="-13"/>
          <w:sz w:val="20"/>
        </w:rPr>
        <w:t> </w:t>
      </w:r>
      <w:r>
        <w:rPr>
          <w:sz w:val="20"/>
        </w:rPr>
        <w:t>largely</w:t>
      </w:r>
      <w:r>
        <w:rPr>
          <w:spacing w:val="-8"/>
          <w:sz w:val="20"/>
        </w:rPr>
        <w:t> </w:t>
      </w:r>
      <w:r>
        <w:rPr>
          <w:sz w:val="20"/>
        </w:rPr>
        <w:t>offset</w:t>
      </w:r>
      <w:r>
        <w:rPr>
          <w:spacing w:val="-7"/>
          <w:sz w:val="20"/>
        </w:rPr>
        <w:t> </w:t>
      </w:r>
      <w:r>
        <w:rPr>
          <w:sz w:val="20"/>
        </w:rPr>
        <w:t>by</w:t>
      </w:r>
      <w:r>
        <w:rPr>
          <w:spacing w:val="-8"/>
          <w:sz w:val="20"/>
        </w:rPr>
        <w:t> </w:t>
      </w:r>
      <w:r>
        <w:rPr>
          <w:sz w:val="20"/>
        </w:rPr>
        <w:t>the</w:t>
      </w:r>
      <w:r>
        <w:rPr>
          <w:spacing w:val="-11"/>
          <w:sz w:val="20"/>
        </w:rPr>
        <w:t> </w:t>
      </w:r>
      <w:r>
        <w:rPr>
          <w:sz w:val="20"/>
        </w:rPr>
        <w:t>continuous</w:t>
      </w:r>
      <w:r>
        <w:rPr>
          <w:spacing w:val="-13"/>
          <w:sz w:val="20"/>
        </w:rPr>
        <w:t> </w:t>
      </w:r>
      <w:r>
        <w:rPr>
          <w:sz w:val="20"/>
        </w:rPr>
        <w:t>implementation</w:t>
      </w:r>
      <w:r>
        <w:rPr>
          <w:spacing w:val="-4"/>
          <w:sz w:val="20"/>
        </w:rPr>
        <w:t> </w:t>
      </w:r>
      <w:r>
        <w:rPr>
          <w:sz w:val="20"/>
        </w:rPr>
        <w:t>of</w:t>
      </w:r>
      <w:r>
        <w:rPr>
          <w:spacing w:val="-7"/>
          <w:sz w:val="20"/>
        </w:rPr>
        <w:t> </w:t>
      </w:r>
      <w:r>
        <w:rPr>
          <w:sz w:val="20"/>
        </w:rPr>
        <w:t>a</w:t>
      </w:r>
      <w:r>
        <w:rPr>
          <w:spacing w:val="-7"/>
          <w:sz w:val="20"/>
        </w:rPr>
        <w:t> </w:t>
      </w:r>
      <w:r>
        <w:rPr>
          <w:sz w:val="20"/>
        </w:rPr>
        <w:t>principle</w:t>
      </w:r>
      <w:r>
        <w:rPr>
          <w:spacing w:val="-7"/>
          <w:sz w:val="20"/>
        </w:rPr>
        <w:t> </w:t>
      </w:r>
      <w:r>
        <w:rPr>
          <w:sz w:val="20"/>
        </w:rPr>
        <w:t>across</w:t>
      </w:r>
      <w:r>
        <w:rPr>
          <w:spacing w:val="-10"/>
          <w:sz w:val="20"/>
        </w:rPr>
        <w:t> </w:t>
      </w:r>
      <w:r>
        <w:rPr>
          <w:sz w:val="20"/>
        </w:rPr>
        <w:t>the</w:t>
      </w:r>
      <w:r>
        <w:rPr>
          <w:spacing w:val="-7"/>
          <w:sz w:val="20"/>
        </w:rPr>
        <w:t> </w:t>
      </w:r>
      <w:r>
        <w:rPr>
          <w:sz w:val="20"/>
        </w:rPr>
        <w:t>DEO sections and country offices to budget only for essential travel for operational purposes as well</w:t>
      </w:r>
      <w:r>
        <w:rPr>
          <w:spacing w:val="-6"/>
          <w:sz w:val="20"/>
        </w:rPr>
        <w:t> </w:t>
      </w:r>
      <w:r>
        <w:rPr>
          <w:sz w:val="20"/>
        </w:rPr>
        <w:t>as</w:t>
      </w:r>
      <w:r>
        <w:rPr>
          <w:spacing w:val="-4"/>
          <w:sz w:val="20"/>
        </w:rPr>
        <w:t> </w:t>
      </w:r>
      <w:r>
        <w:rPr>
          <w:sz w:val="20"/>
        </w:rPr>
        <w:t>to</w:t>
      </w:r>
      <w:r>
        <w:rPr>
          <w:spacing w:val="-3"/>
          <w:sz w:val="20"/>
        </w:rPr>
        <w:t> </w:t>
      </w:r>
      <w:r>
        <w:rPr>
          <w:sz w:val="20"/>
        </w:rPr>
        <w:t>establish</w:t>
      </w:r>
      <w:r>
        <w:rPr>
          <w:spacing w:val="-3"/>
          <w:sz w:val="20"/>
        </w:rPr>
        <w:t> </w:t>
      </w:r>
      <w:r>
        <w:rPr>
          <w:sz w:val="20"/>
        </w:rPr>
        <w:t>and</w:t>
      </w:r>
      <w:r>
        <w:rPr>
          <w:spacing w:val="-3"/>
          <w:sz w:val="20"/>
        </w:rPr>
        <w:t> </w:t>
      </w:r>
      <w:r>
        <w:rPr>
          <w:sz w:val="20"/>
        </w:rPr>
        <w:t>maintain</w:t>
      </w:r>
      <w:r>
        <w:rPr>
          <w:spacing w:val="-3"/>
          <w:sz w:val="20"/>
        </w:rPr>
        <w:t> </w:t>
      </w:r>
      <w:r>
        <w:rPr>
          <w:sz w:val="20"/>
        </w:rPr>
        <w:t>vital</w:t>
      </w:r>
      <w:r>
        <w:rPr>
          <w:spacing w:val="-1"/>
          <w:sz w:val="20"/>
        </w:rPr>
        <w:t> </w:t>
      </w:r>
      <w:r>
        <w:rPr>
          <w:sz w:val="20"/>
        </w:rPr>
        <w:t>contacts</w:t>
      </w:r>
      <w:r>
        <w:rPr>
          <w:spacing w:val="-4"/>
          <w:sz w:val="20"/>
        </w:rPr>
        <w:t> </w:t>
      </w:r>
      <w:r>
        <w:rPr>
          <w:sz w:val="20"/>
        </w:rPr>
        <w:t>and</w:t>
      </w:r>
      <w:r>
        <w:rPr>
          <w:spacing w:val="-3"/>
          <w:sz w:val="20"/>
        </w:rPr>
        <w:t> </w:t>
      </w:r>
      <w:r>
        <w:rPr>
          <w:sz w:val="20"/>
        </w:rPr>
        <w:t>networks. It</w:t>
      </w:r>
      <w:r>
        <w:rPr>
          <w:spacing w:val="-1"/>
          <w:sz w:val="20"/>
        </w:rPr>
        <w:t> </w:t>
      </w:r>
      <w:r>
        <w:rPr>
          <w:sz w:val="20"/>
        </w:rPr>
        <w:t>should</w:t>
      </w:r>
      <w:r>
        <w:rPr>
          <w:spacing w:val="-7"/>
          <w:sz w:val="20"/>
        </w:rPr>
        <w:t> </w:t>
      </w:r>
      <w:r>
        <w:rPr>
          <w:sz w:val="20"/>
        </w:rPr>
        <w:t>also</w:t>
      </w:r>
      <w:r>
        <w:rPr>
          <w:spacing w:val="-3"/>
          <w:sz w:val="20"/>
        </w:rPr>
        <w:t> </w:t>
      </w:r>
      <w:r>
        <w:rPr>
          <w:sz w:val="20"/>
        </w:rPr>
        <w:t>be</w:t>
      </w:r>
      <w:r>
        <w:rPr>
          <w:spacing w:val="-1"/>
          <w:sz w:val="20"/>
        </w:rPr>
        <w:t> </w:t>
      </w:r>
      <w:r>
        <w:rPr>
          <w:sz w:val="20"/>
        </w:rPr>
        <w:t>noted</w:t>
      </w:r>
      <w:r>
        <w:rPr>
          <w:spacing w:val="-3"/>
          <w:sz w:val="20"/>
        </w:rPr>
        <w:t> </w:t>
      </w:r>
      <w:r>
        <w:rPr>
          <w:sz w:val="20"/>
        </w:rPr>
        <w:t>that</w:t>
      </w:r>
      <w:r>
        <w:rPr>
          <w:spacing w:val="-6"/>
          <w:sz w:val="20"/>
        </w:rPr>
        <w:t> </w:t>
      </w:r>
      <w:r>
        <w:rPr>
          <w:sz w:val="20"/>
        </w:rPr>
        <w:t>the COVID-19</w:t>
      </w:r>
      <w:r>
        <w:rPr>
          <w:spacing w:val="-5"/>
          <w:sz w:val="20"/>
        </w:rPr>
        <w:t> </w:t>
      </w:r>
      <w:r>
        <w:rPr>
          <w:sz w:val="20"/>
        </w:rPr>
        <w:t>pandemic</w:t>
      </w:r>
      <w:r>
        <w:rPr>
          <w:spacing w:val="-7"/>
          <w:sz w:val="20"/>
        </w:rPr>
        <w:t> </w:t>
      </w:r>
      <w:r>
        <w:rPr>
          <w:sz w:val="20"/>
        </w:rPr>
        <w:t>had</w:t>
      </w:r>
      <w:r>
        <w:rPr>
          <w:spacing w:val="-8"/>
          <w:sz w:val="20"/>
        </w:rPr>
        <w:t> </w:t>
      </w:r>
      <w:r>
        <w:rPr>
          <w:sz w:val="20"/>
        </w:rPr>
        <w:t>an</w:t>
      </w:r>
      <w:r>
        <w:rPr>
          <w:spacing w:val="-8"/>
          <w:sz w:val="20"/>
        </w:rPr>
        <w:t> </w:t>
      </w:r>
      <w:r>
        <w:rPr>
          <w:sz w:val="20"/>
        </w:rPr>
        <w:t>adverse</w:t>
      </w:r>
      <w:r>
        <w:rPr>
          <w:spacing w:val="-7"/>
          <w:sz w:val="20"/>
        </w:rPr>
        <w:t> </w:t>
      </w:r>
      <w:r>
        <w:rPr>
          <w:sz w:val="20"/>
        </w:rPr>
        <w:t>effect on</w:t>
      </w:r>
      <w:r>
        <w:rPr>
          <w:spacing w:val="-4"/>
          <w:sz w:val="20"/>
        </w:rPr>
        <w:t> </w:t>
      </w:r>
      <w:r>
        <w:rPr>
          <w:sz w:val="20"/>
        </w:rPr>
        <w:t>the</w:t>
      </w:r>
      <w:r>
        <w:rPr>
          <w:spacing w:val="-7"/>
          <w:sz w:val="20"/>
        </w:rPr>
        <w:t> </w:t>
      </w:r>
      <w:r>
        <w:rPr>
          <w:sz w:val="20"/>
        </w:rPr>
        <w:t>ability</w:t>
      </w:r>
      <w:r>
        <w:rPr>
          <w:spacing w:val="-8"/>
          <w:sz w:val="20"/>
        </w:rPr>
        <w:t> </w:t>
      </w:r>
      <w:r>
        <w:rPr>
          <w:sz w:val="20"/>
        </w:rPr>
        <w:t>of</w:t>
      </w:r>
      <w:r>
        <w:rPr>
          <w:spacing w:val="-13"/>
          <w:sz w:val="20"/>
        </w:rPr>
        <w:t> </w:t>
      </w:r>
      <w:r>
        <w:rPr>
          <w:sz w:val="20"/>
        </w:rPr>
        <w:t>DEO</w:t>
      </w:r>
      <w:r>
        <w:rPr>
          <w:spacing w:val="-5"/>
          <w:sz w:val="20"/>
        </w:rPr>
        <w:t> </w:t>
      </w:r>
      <w:r>
        <w:rPr>
          <w:sz w:val="20"/>
        </w:rPr>
        <w:t>to</w:t>
      </w:r>
      <w:r>
        <w:rPr>
          <w:spacing w:val="-8"/>
          <w:sz w:val="20"/>
        </w:rPr>
        <w:t> </w:t>
      </w:r>
      <w:r>
        <w:rPr>
          <w:sz w:val="20"/>
        </w:rPr>
        <w:t>undertake</w:t>
      </w:r>
      <w:r>
        <w:rPr>
          <w:spacing w:val="-7"/>
          <w:sz w:val="20"/>
        </w:rPr>
        <w:t> </w:t>
      </w:r>
      <w:r>
        <w:rPr>
          <w:sz w:val="20"/>
        </w:rPr>
        <w:t>most</w:t>
      </w:r>
      <w:r>
        <w:rPr>
          <w:spacing w:val="-7"/>
          <w:sz w:val="20"/>
        </w:rPr>
        <w:t> </w:t>
      </w:r>
      <w:r>
        <w:rPr>
          <w:sz w:val="20"/>
        </w:rPr>
        <w:t>kinds</w:t>
      </w:r>
      <w:r>
        <w:rPr>
          <w:spacing w:val="-5"/>
          <w:sz w:val="20"/>
        </w:rPr>
        <w:t> </w:t>
      </w:r>
      <w:r>
        <w:rPr>
          <w:sz w:val="20"/>
        </w:rPr>
        <w:t>of travel. The resumption of travel to many destinations will make it possible to undertake necessary travel engagements which were put on hold over the past two years.</w:t>
      </w:r>
    </w:p>
    <w:p>
      <w:pPr>
        <w:pStyle w:val="ListParagraph"/>
        <w:numPr>
          <w:ilvl w:val="0"/>
          <w:numId w:val="4"/>
        </w:numPr>
        <w:tabs>
          <w:tab w:pos="2967" w:val="left" w:leader="none"/>
        </w:tabs>
        <w:spacing w:line="240" w:lineRule="auto" w:before="119" w:after="0"/>
        <w:ind w:left="2246" w:right="2239" w:firstLine="0"/>
        <w:jc w:val="both"/>
        <w:rPr>
          <w:sz w:val="20"/>
        </w:rPr>
      </w:pPr>
      <w:r>
        <w:rPr>
          <w:sz w:val="20"/>
        </w:rPr>
        <w:t>The travel resources requested by VWS have increased by €164.7 thousand (36.4 per cent) over the approved budget for 2022. Notably, €109.8 thousand is the result of inflationary increases in travel costs. The requested amount</w:t>
      </w:r>
      <w:r>
        <w:rPr>
          <w:spacing w:val="-1"/>
          <w:sz w:val="20"/>
        </w:rPr>
        <w:t> </w:t>
      </w:r>
      <w:r>
        <w:rPr>
          <w:sz w:val="20"/>
        </w:rPr>
        <w:t>will allow VWS to conduct the necessary missions for (1) implementing new requests for referral of witnesses as well as managing the existing and ongoing witnesses referred to VWS under its protection and support, (2)</w:t>
      </w:r>
      <w:r>
        <w:rPr>
          <w:spacing w:val="-5"/>
          <w:sz w:val="20"/>
        </w:rPr>
        <w:t> </w:t>
      </w:r>
      <w:r>
        <w:rPr>
          <w:sz w:val="20"/>
        </w:rPr>
        <w:t>facilitating</w:t>
      </w:r>
      <w:r>
        <w:rPr>
          <w:spacing w:val="-5"/>
          <w:sz w:val="20"/>
        </w:rPr>
        <w:t> </w:t>
      </w:r>
      <w:r>
        <w:rPr>
          <w:sz w:val="20"/>
        </w:rPr>
        <w:t>assisted</w:t>
      </w:r>
      <w:r>
        <w:rPr>
          <w:spacing w:val="-5"/>
          <w:sz w:val="20"/>
        </w:rPr>
        <w:t> </w:t>
      </w:r>
      <w:r>
        <w:rPr>
          <w:sz w:val="20"/>
        </w:rPr>
        <w:t>moves, (3)</w:t>
      </w:r>
      <w:r>
        <w:rPr>
          <w:spacing w:val="-5"/>
          <w:sz w:val="20"/>
        </w:rPr>
        <w:t> </w:t>
      </w:r>
      <w:r>
        <w:rPr>
          <w:sz w:val="20"/>
        </w:rPr>
        <w:t>ensuring</w:t>
      </w:r>
      <w:r>
        <w:rPr>
          <w:spacing w:val="-5"/>
          <w:sz w:val="20"/>
        </w:rPr>
        <w:t> </w:t>
      </w:r>
      <w:r>
        <w:rPr>
          <w:sz w:val="20"/>
        </w:rPr>
        <w:t>the</w:t>
      </w:r>
      <w:r>
        <w:rPr>
          <w:spacing w:val="-3"/>
          <w:sz w:val="20"/>
        </w:rPr>
        <w:t> </w:t>
      </w:r>
      <w:r>
        <w:rPr>
          <w:sz w:val="20"/>
        </w:rPr>
        <w:t>appearance</w:t>
      </w:r>
      <w:r>
        <w:rPr>
          <w:spacing w:val="-3"/>
          <w:sz w:val="20"/>
        </w:rPr>
        <w:t> </w:t>
      </w:r>
      <w:r>
        <w:rPr>
          <w:sz w:val="20"/>
        </w:rPr>
        <w:t>of</w:t>
      </w:r>
      <w:r>
        <w:rPr>
          <w:spacing w:val="-5"/>
          <w:sz w:val="20"/>
        </w:rPr>
        <w:t> </w:t>
      </w:r>
      <w:r>
        <w:rPr>
          <w:sz w:val="20"/>
        </w:rPr>
        <w:t>trial</w:t>
      </w:r>
      <w:r>
        <w:rPr>
          <w:spacing w:val="-3"/>
          <w:sz w:val="20"/>
        </w:rPr>
        <w:t> </w:t>
      </w:r>
      <w:r>
        <w:rPr>
          <w:sz w:val="20"/>
        </w:rPr>
        <w:t>witnesses</w:t>
      </w:r>
      <w:r>
        <w:rPr>
          <w:spacing w:val="-6"/>
          <w:sz w:val="20"/>
        </w:rPr>
        <w:t> </w:t>
      </w:r>
      <w:r>
        <w:rPr>
          <w:sz w:val="20"/>
        </w:rPr>
        <w:t>before the Court and (4) conducting assessments and implementing the IRS and/or risk reduction measures</w:t>
      </w:r>
      <w:r>
        <w:rPr>
          <w:spacing w:val="-10"/>
          <w:sz w:val="20"/>
        </w:rPr>
        <w:t> </w:t>
      </w:r>
      <w:r>
        <w:rPr>
          <w:sz w:val="20"/>
        </w:rPr>
        <w:t>in</w:t>
      </w:r>
      <w:r>
        <w:rPr>
          <w:spacing w:val="-8"/>
          <w:sz w:val="20"/>
        </w:rPr>
        <w:t> </w:t>
      </w:r>
      <w:r>
        <w:rPr>
          <w:sz w:val="20"/>
        </w:rPr>
        <w:t>the</w:t>
      </w:r>
      <w:r>
        <w:rPr>
          <w:spacing w:val="-7"/>
          <w:sz w:val="20"/>
        </w:rPr>
        <w:t> </w:t>
      </w:r>
      <w:r>
        <w:rPr>
          <w:sz w:val="20"/>
        </w:rPr>
        <w:t>existing</w:t>
      </w:r>
      <w:r>
        <w:rPr>
          <w:spacing w:val="-8"/>
          <w:sz w:val="20"/>
        </w:rPr>
        <w:t> </w:t>
      </w:r>
      <w:r>
        <w:rPr>
          <w:sz w:val="20"/>
        </w:rPr>
        <w:t>cases.</w:t>
      </w:r>
      <w:r>
        <w:rPr>
          <w:spacing w:val="-6"/>
          <w:sz w:val="20"/>
        </w:rPr>
        <w:t> </w:t>
      </w:r>
      <w:r>
        <w:rPr>
          <w:sz w:val="20"/>
        </w:rPr>
        <w:t>The</w:t>
      </w:r>
      <w:r>
        <w:rPr>
          <w:spacing w:val="-2"/>
          <w:sz w:val="20"/>
        </w:rPr>
        <w:t> </w:t>
      </w:r>
      <w:r>
        <w:rPr>
          <w:sz w:val="20"/>
        </w:rPr>
        <w:t>requested</w:t>
      </w:r>
      <w:r>
        <w:rPr>
          <w:spacing w:val="-8"/>
          <w:sz w:val="20"/>
        </w:rPr>
        <w:t> </w:t>
      </w:r>
      <w:r>
        <w:rPr>
          <w:sz w:val="20"/>
        </w:rPr>
        <w:t>increase</w:t>
      </w:r>
      <w:r>
        <w:rPr>
          <w:spacing w:val="-7"/>
          <w:sz w:val="20"/>
        </w:rPr>
        <w:t> </w:t>
      </w:r>
      <w:r>
        <w:rPr>
          <w:sz w:val="20"/>
        </w:rPr>
        <w:t>is</w:t>
      </w:r>
      <w:r>
        <w:rPr>
          <w:spacing w:val="-5"/>
          <w:sz w:val="20"/>
        </w:rPr>
        <w:t> </w:t>
      </w:r>
      <w:r>
        <w:rPr>
          <w:sz w:val="20"/>
        </w:rPr>
        <w:t>driven</w:t>
      </w:r>
      <w:r>
        <w:rPr>
          <w:spacing w:val="-4"/>
          <w:sz w:val="20"/>
        </w:rPr>
        <w:t> </w:t>
      </w:r>
      <w:r>
        <w:rPr>
          <w:sz w:val="20"/>
        </w:rPr>
        <w:t>by</w:t>
      </w:r>
      <w:r>
        <w:rPr>
          <w:spacing w:val="-8"/>
          <w:sz w:val="20"/>
        </w:rPr>
        <w:t> </w:t>
      </w:r>
      <w:r>
        <w:rPr>
          <w:sz w:val="20"/>
        </w:rPr>
        <w:t>the</w:t>
      </w:r>
      <w:r>
        <w:rPr>
          <w:spacing w:val="-7"/>
          <w:sz w:val="20"/>
        </w:rPr>
        <w:t> </w:t>
      </w:r>
      <w:r>
        <w:rPr>
          <w:sz w:val="20"/>
        </w:rPr>
        <w:t>need</w:t>
      </w:r>
      <w:r>
        <w:rPr>
          <w:spacing w:val="-8"/>
          <w:sz w:val="20"/>
        </w:rPr>
        <w:t> </w:t>
      </w:r>
      <w:r>
        <w:rPr>
          <w:sz w:val="20"/>
        </w:rPr>
        <w:t>to</w:t>
      </w:r>
      <w:r>
        <w:rPr>
          <w:spacing w:val="-8"/>
          <w:sz w:val="20"/>
        </w:rPr>
        <w:t> </w:t>
      </w:r>
      <w:r>
        <w:rPr>
          <w:sz w:val="20"/>
        </w:rPr>
        <w:t>(1)</w:t>
      </w:r>
      <w:r>
        <w:rPr>
          <w:spacing w:val="-8"/>
          <w:sz w:val="20"/>
        </w:rPr>
        <w:t> </w:t>
      </w:r>
      <w:r>
        <w:rPr>
          <w:sz w:val="20"/>
        </w:rPr>
        <w:t>implement new witness referrals for protection in the situations in Libya and in Darfur and the new witness referrals for support in the situations in Burundi and in the CAR and (2) support activities in the new situations in Ukraine, Philippines, Bangladesh/Myanmar and Afghanistan</w:t>
      </w:r>
      <w:r>
        <w:rPr>
          <w:spacing w:val="-4"/>
          <w:sz w:val="20"/>
        </w:rPr>
        <w:t> </w:t>
      </w:r>
      <w:r>
        <w:rPr>
          <w:sz w:val="20"/>
        </w:rPr>
        <w:t>that</w:t>
      </w:r>
      <w:r>
        <w:rPr>
          <w:spacing w:val="-2"/>
          <w:sz w:val="20"/>
        </w:rPr>
        <w:t> </w:t>
      </w:r>
      <w:r>
        <w:rPr>
          <w:sz w:val="20"/>
        </w:rPr>
        <w:t>would</w:t>
      </w:r>
      <w:r>
        <w:rPr>
          <w:spacing w:val="-4"/>
          <w:sz w:val="20"/>
        </w:rPr>
        <w:t> </w:t>
      </w:r>
      <w:r>
        <w:rPr>
          <w:sz w:val="20"/>
        </w:rPr>
        <w:t>involve</w:t>
      </w:r>
      <w:r>
        <w:rPr>
          <w:spacing w:val="-2"/>
          <w:sz w:val="20"/>
        </w:rPr>
        <w:t> </w:t>
      </w:r>
      <w:r>
        <w:rPr>
          <w:sz w:val="20"/>
        </w:rPr>
        <w:t>assessments,</w:t>
      </w:r>
      <w:r>
        <w:rPr>
          <w:spacing w:val="-1"/>
          <w:sz w:val="20"/>
        </w:rPr>
        <w:t> </w:t>
      </w:r>
      <w:r>
        <w:rPr>
          <w:sz w:val="20"/>
        </w:rPr>
        <w:t>relocation,</w:t>
      </w:r>
      <w:r>
        <w:rPr>
          <w:spacing w:val="-1"/>
          <w:sz w:val="20"/>
        </w:rPr>
        <w:t> </w:t>
      </w:r>
      <w:r>
        <w:rPr>
          <w:sz w:val="20"/>
        </w:rPr>
        <w:t>support,</w:t>
      </w:r>
      <w:r>
        <w:rPr>
          <w:spacing w:val="-1"/>
          <w:sz w:val="20"/>
        </w:rPr>
        <w:t> </w:t>
      </w:r>
      <w:r>
        <w:rPr>
          <w:sz w:val="20"/>
        </w:rPr>
        <w:t>assisted</w:t>
      </w:r>
      <w:r>
        <w:rPr>
          <w:spacing w:val="-4"/>
          <w:sz w:val="20"/>
        </w:rPr>
        <w:t> </w:t>
      </w:r>
      <w:r>
        <w:rPr>
          <w:sz w:val="20"/>
        </w:rPr>
        <w:t>moves</w:t>
      </w:r>
      <w:r>
        <w:rPr>
          <w:spacing w:val="-5"/>
          <w:sz w:val="20"/>
        </w:rPr>
        <w:t> </w:t>
      </w:r>
      <w:r>
        <w:rPr>
          <w:sz w:val="20"/>
        </w:rPr>
        <w:t>and, where necessary, IRS missions.</w:t>
      </w:r>
    </w:p>
    <w:p>
      <w:pPr>
        <w:pStyle w:val="ListParagraph"/>
        <w:numPr>
          <w:ilvl w:val="0"/>
          <w:numId w:val="4"/>
        </w:numPr>
        <w:tabs>
          <w:tab w:pos="2967" w:val="left" w:leader="none"/>
        </w:tabs>
        <w:spacing w:line="240" w:lineRule="auto" w:before="122" w:after="0"/>
        <w:ind w:left="2246" w:right="2236" w:firstLine="0"/>
        <w:jc w:val="both"/>
        <w:rPr>
          <w:sz w:val="20"/>
        </w:rPr>
      </w:pPr>
      <w:r>
        <w:rPr>
          <w:sz w:val="20"/>
        </w:rPr>
        <w:t>The</w:t>
      </w:r>
      <w:r>
        <w:rPr>
          <w:spacing w:val="37"/>
          <w:sz w:val="20"/>
        </w:rPr>
        <w:t> </w:t>
      </w:r>
      <w:r>
        <w:rPr>
          <w:sz w:val="20"/>
        </w:rPr>
        <w:t>travel</w:t>
      </w:r>
      <w:r>
        <w:rPr>
          <w:spacing w:val="40"/>
          <w:sz w:val="20"/>
        </w:rPr>
        <w:t> </w:t>
      </w:r>
      <w:r>
        <w:rPr>
          <w:sz w:val="20"/>
        </w:rPr>
        <w:t>resources</w:t>
      </w:r>
      <w:r>
        <w:rPr>
          <w:spacing w:val="34"/>
          <w:sz w:val="20"/>
        </w:rPr>
        <w:t> </w:t>
      </w:r>
      <w:r>
        <w:rPr>
          <w:sz w:val="20"/>
        </w:rPr>
        <w:t>required</w:t>
      </w:r>
      <w:r>
        <w:rPr>
          <w:spacing w:val="39"/>
          <w:sz w:val="20"/>
        </w:rPr>
        <w:t> </w:t>
      </w:r>
      <w:r>
        <w:rPr>
          <w:sz w:val="20"/>
        </w:rPr>
        <w:t>by</w:t>
      </w:r>
      <w:r>
        <w:rPr>
          <w:spacing w:val="36"/>
          <w:sz w:val="20"/>
        </w:rPr>
        <w:t> </w:t>
      </w:r>
      <w:r>
        <w:rPr>
          <w:sz w:val="20"/>
        </w:rPr>
        <w:t>EOSS</w:t>
      </w:r>
      <w:r>
        <w:rPr>
          <w:spacing w:val="33"/>
          <w:sz w:val="20"/>
        </w:rPr>
        <w:t> </w:t>
      </w:r>
      <w:r>
        <w:rPr>
          <w:sz w:val="20"/>
        </w:rPr>
        <w:t>(€61.5</w:t>
      </w:r>
      <w:r>
        <w:rPr>
          <w:spacing w:val="36"/>
          <w:sz w:val="20"/>
        </w:rPr>
        <w:t> </w:t>
      </w:r>
      <w:r>
        <w:rPr>
          <w:sz w:val="20"/>
        </w:rPr>
        <w:t>thousand)</w:t>
      </w:r>
      <w:r>
        <w:rPr>
          <w:spacing w:val="35"/>
          <w:sz w:val="20"/>
        </w:rPr>
        <w:t> </w:t>
      </w:r>
      <w:r>
        <w:rPr>
          <w:sz w:val="20"/>
        </w:rPr>
        <w:t>represent</w:t>
      </w:r>
      <w:r>
        <w:rPr>
          <w:spacing w:val="37"/>
          <w:sz w:val="20"/>
        </w:rPr>
        <w:t> </w:t>
      </w:r>
      <w:r>
        <w:rPr>
          <w:sz w:val="20"/>
        </w:rPr>
        <w:t>an</w:t>
      </w:r>
      <w:r>
        <w:rPr>
          <w:spacing w:val="35"/>
          <w:sz w:val="20"/>
        </w:rPr>
        <w:t> </w:t>
      </w:r>
      <w:r>
        <w:rPr>
          <w:sz w:val="20"/>
        </w:rPr>
        <w:t>increase of €30.1</w:t>
      </w:r>
      <w:r>
        <w:rPr>
          <w:spacing w:val="-3"/>
          <w:sz w:val="20"/>
        </w:rPr>
        <w:t> </w:t>
      </w:r>
      <w:r>
        <w:rPr>
          <w:sz w:val="20"/>
        </w:rPr>
        <w:t>thousand (95.9</w:t>
      </w:r>
      <w:r>
        <w:rPr>
          <w:spacing w:val="-3"/>
          <w:sz w:val="20"/>
        </w:rPr>
        <w:t> </w:t>
      </w:r>
      <w:r>
        <w:rPr>
          <w:sz w:val="20"/>
        </w:rPr>
        <w:t>per</w:t>
      </w:r>
      <w:r>
        <w:rPr>
          <w:spacing w:val="-3"/>
          <w:sz w:val="20"/>
        </w:rPr>
        <w:t> </w:t>
      </w:r>
      <w:r>
        <w:rPr>
          <w:sz w:val="20"/>
        </w:rPr>
        <w:t>cent)</w:t>
      </w:r>
      <w:r>
        <w:rPr>
          <w:spacing w:val="-3"/>
          <w:sz w:val="20"/>
        </w:rPr>
        <w:t> </w:t>
      </w:r>
      <w:r>
        <w:rPr>
          <w:sz w:val="20"/>
        </w:rPr>
        <w:t>as compared with the</w:t>
      </w:r>
      <w:r>
        <w:rPr>
          <w:spacing w:val="-1"/>
          <w:sz w:val="20"/>
        </w:rPr>
        <w:t> </w:t>
      </w:r>
      <w:r>
        <w:rPr>
          <w:sz w:val="20"/>
        </w:rPr>
        <w:t>approved budget for</w:t>
      </w:r>
      <w:r>
        <w:rPr>
          <w:spacing w:val="-3"/>
          <w:sz w:val="20"/>
        </w:rPr>
        <w:t> </w:t>
      </w:r>
      <w:r>
        <w:rPr>
          <w:sz w:val="20"/>
        </w:rPr>
        <w:t>2022. They</w:t>
      </w:r>
      <w:r>
        <w:rPr>
          <w:spacing w:val="-3"/>
          <w:sz w:val="20"/>
        </w:rPr>
        <w:t> </w:t>
      </w:r>
      <w:r>
        <w:rPr>
          <w:sz w:val="20"/>
        </w:rPr>
        <w:t>are requested to facilitate recurrent EOSS mandated mission travel for purposes of network building</w:t>
      </w:r>
      <w:r>
        <w:rPr>
          <w:spacing w:val="40"/>
          <w:sz w:val="20"/>
        </w:rPr>
        <w:t> </w:t>
      </w:r>
      <w:r>
        <w:rPr>
          <w:sz w:val="20"/>
        </w:rPr>
        <w:t>and</w:t>
      </w:r>
      <w:r>
        <w:rPr>
          <w:spacing w:val="40"/>
          <w:sz w:val="20"/>
        </w:rPr>
        <w:t> </w:t>
      </w:r>
      <w:r>
        <w:rPr>
          <w:sz w:val="20"/>
        </w:rPr>
        <w:t>maintenance</w:t>
      </w:r>
      <w:r>
        <w:rPr>
          <w:spacing w:val="40"/>
          <w:sz w:val="20"/>
        </w:rPr>
        <w:t> </w:t>
      </w:r>
      <w:r>
        <w:rPr>
          <w:sz w:val="20"/>
        </w:rPr>
        <w:t>needing</w:t>
      </w:r>
      <w:r>
        <w:rPr>
          <w:spacing w:val="40"/>
          <w:sz w:val="20"/>
        </w:rPr>
        <w:t> </w:t>
      </w:r>
      <w:r>
        <w:rPr>
          <w:sz w:val="20"/>
        </w:rPr>
        <w:t>in-country</w:t>
      </w:r>
      <w:r>
        <w:rPr>
          <w:spacing w:val="40"/>
          <w:sz w:val="20"/>
        </w:rPr>
        <w:t> </w:t>
      </w:r>
      <w:r>
        <w:rPr>
          <w:sz w:val="20"/>
        </w:rPr>
        <w:t>and</w:t>
      </w:r>
      <w:r>
        <w:rPr>
          <w:spacing w:val="40"/>
          <w:sz w:val="20"/>
        </w:rPr>
        <w:t> </w:t>
      </w:r>
      <w:r>
        <w:rPr>
          <w:sz w:val="20"/>
        </w:rPr>
        <w:t>person-to-person</w:t>
      </w:r>
      <w:r>
        <w:rPr>
          <w:spacing w:val="40"/>
          <w:sz w:val="20"/>
        </w:rPr>
        <w:t> </w:t>
      </w:r>
      <w:r>
        <w:rPr>
          <w:sz w:val="20"/>
        </w:rPr>
        <w:t>presence</w:t>
      </w:r>
      <w:r>
        <w:rPr>
          <w:spacing w:val="40"/>
          <w:sz w:val="20"/>
        </w:rPr>
        <w:t> </w:t>
      </w:r>
      <w:r>
        <w:rPr>
          <w:sz w:val="20"/>
        </w:rPr>
        <w:t>(Africa, non-Europe and South America) to secure States’ cooperation with a view to judicial cooperation,</w:t>
      </w:r>
      <w:r>
        <w:rPr>
          <w:spacing w:val="-13"/>
          <w:sz w:val="20"/>
        </w:rPr>
        <w:t> </w:t>
      </w:r>
      <w:r>
        <w:rPr>
          <w:sz w:val="20"/>
        </w:rPr>
        <w:t>support</w:t>
      </w:r>
      <w:r>
        <w:rPr>
          <w:spacing w:val="-12"/>
          <w:sz w:val="20"/>
        </w:rPr>
        <w:t> </w:t>
      </w:r>
      <w:r>
        <w:rPr>
          <w:sz w:val="20"/>
        </w:rPr>
        <w:t>for</w:t>
      </w:r>
      <w:r>
        <w:rPr>
          <w:spacing w:val="-13"/>
          <w:sz w:val="20"/>
        </w:rPr>
        <w:t> </w:t>
      </w:r>
      <w:r>
        <w:rPr>
          <w:sz w:val="20"/>
        </w:rPr>
        <w:t>the</w:t>
      </w:r>
      <w:r>
        <w:rPr>
          <w:spacing w:val="-12"/>
          <w:sz w:val="20"/>
        </w:rPr>
        <w:t> </w:t>
      </w:r>
      <w:r>
        <w:rPr>
          <w:sz w:val="20"/>
        </w:rPr>
        <w:t>Court’s</w:t>
      </w:r>
      <w:r>
        <w:rPr>
          <w:spacing w:val="-13"/>
          <w:sz w:val="20"/>
        </w:rPr>
        <w:t> </w:t>
      </w:r>
      <w:r>
        <w:rPr>
          <w:sz w:val="20"/>
        </w:rPr>
        <w:t>operations</w:t>
      </w:r>
      <w:r>
        <w:rPr>
          <w:spacing w:val="-12"/>
          <w:sz w:val="20"/>
        </w:rPr>
        <w:t> </w:t>
      </w:r>
      <w:r>
        <w:rPr>
          <w:sz w:val="20"/>
        </w:rPr>
        <w:t>and</w:t>
      </w:r>
      <w:r>
        <w:rPr>
          <w:spacing w:val="-13"/>
          <w:sz w:val="20"/>
        </w:rPr>
        <w:t> </w:t>
      </w:r>
      <w:r>
        <w:rPr>
          <w:sz w:val="20"/>
        </w:rPr>
        <w:t>more</w:t>
      </w:r>
      <w:r>
        <w:rPr>
          <w:spacing w:val="-12"/>
          <w:sz w:val="20"/>
        </w:rPr>
        <w:t> </w:t>
      </w:r>
      <w:r>
        <w:rPr>
          <w:sz w:val="20"/>
        </w:rPr>
        <w:t>signatories</w:t>
      </w:r>
      <w:r>
        <w:rPr>
          <w:spacing w:val="-13"/>
          <w:sz w:val="20"/>
        </w:rPr>
        <w:t> </w:t>
      </w:r>
      <w:r>
        <w:rPr>
          <w:sz w:val="20"/>
        </w:rPr>
        <w:t>of</w:t>
      </w:r>
      <w:r>
        <w:rPr>
          <w:spacing w:val="-12"/>
          <w:sz w:val="20"/>
        </w:rPr>
        <w:t> </w:t>
      </w:r>
      <w:r>
        <w:rPr>
          <w:sz w:val="20"/>
        </w:rPr>
        <w:t>voluntary</w:t>
      </w:r>
      <w:r>
        <w:rPr>
          <w:spacing w:val="-13"/>
          <w:sz w:val="20"/>
        </w:rPr>
        <w:t> </w:t>
      </w:r>
      <w:r>
        <w:rPr>
          <w:sz w:val="20"/>
        </w:rPr>
        <w:t>cooperation agreements, such as relocation agreements and agreements for (interim) release. For 2023, as per the above-mentioned priority of DEO, an additional amount of €29.1 thousand is requested</w:t>
      </w:r>
      <w:r>
        <w:rPr>
          <w:spacing w:val="-6"/>
          <w:sz w:val="20"/>
        </w:rPr>
        <w:t> </w:t>
      </w:r>
      <w:r>
        <w:rPr>
          <w:sz w:val="20"/>
        </w:rPr>
        <w:t>to</w:t>
      </w:r>
      <w:r>
        <w:rPr>
          <w:spacing w:val="-2"/>
          <w:sz w:val="20"/>
        </w:rPr>
        <w:t> </w:t>
      </w:r>
      <w:r>
        <w:rPr>
          <w:sz w:val="20"/>
        </w:rPr>
        <w:t>allow</w:t>
      </w:r>
      <w:r>
        <w:rPr>
          <w:spacing w:val="-8"/>
          <w:sz w:val="20"/>
        </w:rPr>
        <w:t> </w:t>
      </w:r>
      <w:r>
        <w:rPr>
          <w:sz w:val="20"/>
        </w:rPr>
        <w:t>EOSS</w:t>
      </w:r>
      <w:r>
        <w:rPr>
          <w:spacing w:val="-3"/>
          <w:sz w:val="20"/>
        </w:rPr>
        <w:t> </w:t>
      </w:r>
      <w:r>
        <w:rPr>
          <w:sz w:val="20"/>
        </w:rPr>
        <w:t>to</w:t>
      </w:r>
      <w:r>
        <w:rPr>
          <w:spacing w:val="-2"/>
          <w:sz w:val="20"/>
        </w:rPr>
        <w:t> </w:t>
      </w:r>
      <w:r>
        <w:rPr>
          <w:sz w:val="20"/>
        </w:rPr>
        <w:t>reinforce</w:t>
      </w:r>
      <w:r>
        <w:rPr>
          <w:spacing w:val="-5"/>
          <w:sz w:val="20"/>
        </w:rPr>
        <w:t> </w:t>
      </w:r>
      <w:r>
        <w:rPr>
          <w:sz w:val="20"/>
        </w:rPr>
        <w:t>its</w:t>
      </w:r>
      <w:r>
        <w:rPr>
          <w:spacing w:val="-3"/>
          <w:sz w:val="20"/>
        </w:rPr>
        <w:t> </w:t>
      </w:r>
      <w:r>
        <w:rPr>
          <w:sz w:val="20"/>
        </w:rPr>
        <w:t>capacity</w:t>
      </w:r>
      <w:r>
        <w:rPr>
          <w:spacing w:val="-2"/>
          <w:sz w:val="20"/>
        </w:rPr>
        <w:t> </w:t>
      </w:r>
      <w:r>
        <w:rPr>
          <w:sz w:val="20"/>
        </w:rPr>
        <w:t>with regard</w:t>
      </w:r>
      <w:r>
        <w:rPr>
          <w:spacing w:val="-2"/>
          <w:sz w:val="20"/>
        </w:rPr>
        <w:t> </w:t>
      </w:r>
      <w:r>
        <w:rPr>
          <w:sz w:val="20"/>
        </w:rPr>
        <w:t>to</w:t>
      </w:r>
      <w:r>
        <w:rPr>
          <w:spacing w:val="-6"/>
          <w:sz w:val="20"/>
        </w:rPr>
        <w:t> </w:t>
      </w:r>
      <w:r>
        <w:rPr>
          <w:sz w:val="20"/>
        </w:rPr>
        <w:t>the</w:t>
      </w:r>
      <w:r>
        <w:rPr>
          <w:spacing w:val="-5"/>
          <w:sz w:val="20"/>
        </w:rPr>
        <w:t> </w:t>
      </w:r>
      <w:r>
        <w:rPr>
          <w:sz w:val="20"/>
        </w:rPr>
        <w:t>execution</w:t>
      </w:r>
      <w:r>
        <w:rPr>
          <w:spacing w:val="-6"/>
          <w:sz w:val="20"/>
        </w:rPr>
        <w:t> </w:t>
      </w:r>
      <w:r>
        <w:rPr>
          <w:sz w:val="20"/>
        </w:rPr>
        <w:t>of</w:t>
      </w:r>
      <w:r>
        <w:rPr>
          <w:spacing w:val="-2"/>
          <w:sz w:val="20"/>
        </w:rPr>
        <w:t> </w:t>
      </w:r>
      <w:r>
        <w:rPr>
          <w:sz w:val="20"/>
        </w:rPr>
        <w:t>the Court’s warrants of arrest. Missions are required to interact with certain States’ authorities and to build local/regional/international networks, strengthen relationships with these networks to collect</w:t>
      </w:r>
      <w:r>
        <w:rPr>
          <w:spacing w:val="-8"/>
          <w:sz w:val="20"/>
        </w:rPr>
        <w:t> </w:t>
      </w:r>
      <w:r>
        <w:rPr>
          <w:sz w:val="20"/>
        </w:rPr>
        <w:t>information</w:t>
      </w:r>
      <w:r>
        <w:rPr>
          <w:spacing w:val="-6"/>
          <w:sz w:val="20"/>
        </w:rPr>
        <w:t> </w:t>
      </w:r>
      <w:r>
        <w:rPr>
          <w:sz w:val="20"/>
        </w:rPr>
        <w:t>regarding</w:t>
      </w:r>
      <w:r>
        <w:rPr>
          <w:spacing w:val="-3"/>
          <w:sz w:val="20"/>
        </w:rPr>
        <w:t> </w:t>
      </w:r>
      <w:r>
        <w:rPr>
          <w:sz w:val="20"/>
        </w:rPr>
        <w:t>the</w:t>
      </w:r>
      <w:r>
        <w:rPr>
          <w:spacing w:val="-4"/>
          <w:sz w:val="20"/>
        </w:rPr>
        <w:t> </w:t>
      </w:r>
      <w:r>
        <w:rPr>
          <w:sz w:val="20"/>
        </w:rPr>
        <w:t>whereabouts</w:t>
      </w:r>
      <w:r>
        <w:rPr>
          <w:spacing w:val="-11"/>
          <w:sz w:val="20"/>
        </w:rPr>
        <w:t> </w:t>
      </w:r>
      <w:r>
        <w:rPr>
          <w:sz w:val="20"/>
        </w:rPr>
        <w:t>of</w:t>
      </w:r>
      <w:r>
        <w:rPr>
          <w:spacing w:val="-6"/>
          <w:sz w:val="20"/>
        </w:rPr>
        <w:t> </w:t>
      </w:r>
      <w:r>
        <w:rPr>
          <w:sz w:val="20"/>
        </w:rPr>
        <w:t>suspects</w:t>
      </w:r>
      <w:r>
        <w:rPr>
          <w:spacing w:val="-11"/>
          <w:sz w:val="20"/>
        </w:rPr>
        <w:t> </w:t>
      </w:r>
      <w:r>
        <w:rPr>
          <w:sz w:val="20"/>
        </w:rPr>
        <w:t>at</w:t>
      </w:r>
      <w:r>
        <w:rPr>
          <w:spacing w:val="-4"/>
          <w:sz w:val="20"/>
        </w:rPr>
        <w:t> </w:t>
      </w:r>
      <w:r>
        <w:rPr>
          <w:sz w:val="20"/>
        </w:rPr>
        <w:t>large</w:t>
      </w:r>
      <w:r>
        <w:rPr>
          <w:spacing w:val="-8"/>
          <w:sz w:val="20"/>
        </w:rPr>
        <w:t> </w:t>
      </w:r>
      <w:r>
        <w:rPr>
          <w:sz w:val="20"/>
        </w:rPr>
        <w:t>and</w:t>
      </w:r>
      <w:r>
        <w:rPr>
          <w:spacing w:val="-6"/>
          <w:sz w:val="20"/>
        </w:rPr>
        <w:t> </w:t>
      </w:r>
      <w:r>
        <w:rPr>
          <w:sz w:val="20"/>
        </w:rPr>
        <w:t>to</w:t>
      </w:r>
      <w:r>
        <w:rPr>
          <w:spacing w:val="-6"/>
          <w:sz w:val="20"/>
        </w:rPr>
        <w:t> </w:t>
      </w:r>
      <w:r>
        <w:rPr>
          <w:sz w:val="20"/>
        </w:rPr>
        <w:t>develop/implement arrest strategies in order to create an environment where their arrest and surrender could be possible. The</w:t>
      </w:r>
      <w:r>
        <w:rPr>
          <w:spacing w:val="-1"/>
          <w:sz w:val="20"/>
        </w:rPr>
        <w:t> </w:t>
      </w:r>
      <w:r>
        <w:rPr>
          <w:sz w:val="20"/>
        </w:rPr>
        <w:t>remaining</w:t>
      </w:r>
      <w:r>
        <w:rPr>
          <w:spacing w:val="-3"/>
          <w:sz w:val="20"/>
        </w:rPr>
        <w:t> </w:t>
      </w:r>
      <w:r>
        <w:rPr>
          <w:sz w:val="20"/>
        </w:rPr>
        <w:t>increase</w:t>
      </w:r>
      <w:r>
        <w:rPr>
          <w:spacing w:val="-1"/>
          <w:sz w:val="20"/>
        </w:rPr>
        <w:t> </w:t>
      </w:r>
      <w:r>
        <w:rPr>
          <w:sz w:val="20"/>
        </w:rPr>
        <w:t>of</w:t>
      </w:r>
      <w:r>
        <w:rPr>
          <w:spacing w:val="-3"/>
          <w:sz w:val="20"/>
        </w:rPr>
        <w:t> </w:t>
      </w:r>
      <w:r>
        <w:rPr>
          <w:sz w:val="20"/>
        </w:rPr>
        <w:t>€1.0</w:t>
      </w:r>
      <w:r>
        <w:rPr>
          <w:spacing w:val="-3"/>
          <w:sz w:val="20"/>
        </w:rPr>
        <w:t> </w:t>
      </w:r>
      <w:r>
        <w:rPr>
          <w:sz w:val="20"/>
        </w:rPr>
        <w:t>thousand</w:t>
      </w:r>
      <w:r>
        <w:rPr>
          <w:spacing w:val="-3"/>
          <w:sz w:val="20"/>
        </w:rPr>
        <w:t> </w:t>
      </w:r>
      <w:r>
        <w:rPr>
          <w:sz w:val="20"/>
        </w:rPr>
        <w:t>requested</w:t>
      </w:r>
      <w:r>
        <w:rPr>
          <w:spacing w:val="-7"/>
          <w:sz w:val="20"/>
        </w:rPr>
        <w:t> </w:t>
      </w:r>
      <w:r>
        <w:rPr>
          <w:sz w:val="20"/>
        </w:rPr>
        <w:t>by</w:t>
      </w:r>
      <w:r>
        <w:rPr>
          <w:spacing w:val="-3"/>
          <w:sz w:val="20"/>
        </w:rPr>
        <w:t> </w:t>
      </w:r>
      <w:r>
        <w:rPr>
          <w:sz w:val="20"/>
        </w:rPr>
        <w:t>EOSS is</w:t>
      </w:r>
      <w:r>
        <w:rPr>
          <w:spacing w:val="-4"/>
          <w:sz w:val="20"/>
        </w:rPr>
        <w:t> </w:t>
      </w:r>
      <w:r>
        <w:rPr>
          <w:sz w:val="20"/>
        </w:rPr>
        <w:t>required</w:t>
      </w:r>
      <w:r>
        <w:rPr>
          <w:spacing w:val="-3"/>
          <w:sz w:val="20"/>
        </w:rPr>
        <w:t> </w:t>
      </w:r>
      <w:r>
        <w:rPr>
          <w:sz w:val="20"/>
        </w:rPr>
        <w:t>as</w:t>
      </w:r>
      <w:r>
        <w:rPr>
          <w:spacing w:val="-4"/>
          <w:sz w:val="20"/>
        </w:rPr>
        <w:t> </w:t>
      </w:r>
      <w:r>
        <w:rPr>
          <w:sz w:val="20"/>
        </w:rPr>
        <w:t>a</w:t>
      </w:r>
      <w:r>
        <w:rPr>
          <w:spacing w:val="-1"/>
          <w:sz w:val="20"/>
        </w:rPr>
        <w:t> </w:t>
      </w:r>
      <w:r>
        <w:rPr>
          <w:sz w:val="20"/>
        </w:rPr>
        <w:t>result of the increase in airfares.</w:t>
      </w:r>
    </w:p>
    <w:p>
      <w:pPr>
        <w:pStyle w:val="ListParagraph"/>
        <w:numPr>
          <w:ilvl w:val="0"/>
          <w:numId w:val="4"/>
        </w:numPr>
        <w:tabs>
          <w:tab w:pos="2967" w:val="left" w:leader="none"/>
        </w:tabs>
        <w:spacing w:line="235" w:lineRule="auto" w:before="126" w:after="0"/>
        <w:ind w:left="2246" w:right="2247" w:firstLine="0"/>
        <w:jc w:val="both"/>
        <w:rPr>
          <w:sz w:val="20"/>
        </w:rPr>
      </w:pPr>
      <w:r>
        <w:rPr>
          <w:sz w:val="20"/>
        </w:rPr>
        <w:t>For 2023 PIOS requests an increase of €5.6 thousand (17.7 per cent) over the approved budget for 2022 in its proposed resources for travel (€37.2 thousand) for 2023 to</w:t>
      </w:r>
    </w:p>
    <w:p>
      <w:pPr>
        <w:spacing w:after="0" w:line="235" w:lineRule="auto"/>
        <w:jc w:val="both"/>
        <w:rPr>
          <w:sz w:val="20"/>
        </w:rPr>
        <w:sectPr>
          <w:pgSz w:w="11910" w:h="16840"/>
          <w:pgMar w:header="957" w:footer="940" w:top="1140" w:bottom="1140" w:left="20" w:right="20"/>
        </w:sectPr>
      </w:pPr>
    </w:p>
    <w:p>
      <w:pPr>
        <w:pStyle w:val="BodyText"/>
        <w:spacing w:before="124"/>
        <w:ind w:left="2246" w:right="2237"/>
        <w:jc w:val="both"/>
      </w:pPr>
      <w:r>
        <w:rPr/>
        <w:t>facilitate missions to conduct outreach activities for the situations currently under investigation,</w:t>
      </w:r>
      <w:r>
        <w:rPr>
          <w:spacing w:val="-1"/>
        </w:rPr>
        <w:t> </w:t>
      </w:r>
      <w:r>
        <w:rPr/>
        <w:t>i.e.</w:t>
      </w:r>
      <w:r>
        <w:rPr>
          <w:spacing w:val="-1"/>
        </w:rPr>
        <w:t> </w:t>
      </w:r>
      <w:r>
        <w:rPr/>
        <w:t>missions</w:t>
      </w:r>
      <w:r>
        <w:rPr>
          <w:spacing w:val="-5"/>
        </w:rPr>
        <w:t> </w:t>
      </w:r>
      <w:r>
        <w:rPr/>
        <w:t>to</w:t>
      </w:r>
      <w:r>
        <w:rPr>
          <w:spacing w:val="-4"/>
        </w:rPr>
        <w:t> </w:t>
      </w:r>
      <w:r>
        <w:rPr/>
        <w:t>Bangladesh,</w:t>
      </w:r>
      <w:r>
        <w:rPr>
          <w:spacing w:val="-1"/>
        </w:rPr>
        <w:t> </w:t>
      </w:r>
      <w:r>
        <w:rPr/>
        <w:t>Latin</w:t>
      </w:r>
      <w:r>
        <w:rPr>
          <w:spacing w:val="-4"/>
        </w:rPr>
        <w:t> </w:t>
      </w:r>
      <w:r>
        <w:rPr/>
        <w:t>America,</w:t>
      </w:r>
      <w:r>
        <w:rPr>
          <w:spacing w:val="-1"/>
        </w:rPr>
        <w:t> </w:t>
      </w:r>
      <w:r>
        <w:rPr/>
        <w:t>Tunisia</w:t>
      </w:r>
      <w:r>
        <w:rPr>
          <w:spacing w:val="-7"/>
        </w:rPr>
        <w:t> </w:t>
      </w:r>
      <w:r>
        <w:rPr/>
        <w:t>and</w:t>
      </w:r>
      <w:r>
        <w:rPr>
          <w:spacing w:val="-4"/>
        </w:rPr>
        <w:t> </w:t>
      </w:r>
      <w:r>
        <w:rPr/>
        <w:t>another Arab</w:t>
      </w:r>
      <w:r>
        <w:rPr>
          <w:spacing w:val="-4"/>
        </w:rPr>
        <w:t> </w:t>
      </w:r>
      <w:r>
        <w:rPr/>
        <w:t>country with regard</w:t>
      </w:r>
      <w:r>
        <w:rPr>
          <w:spacing w:val="-3"/>
        </w:rPr>
        <w:t> </w:t>
      </w:r>
      <w:r>
        <w:rPr/>
        <w:t>to the situation</w:t>
      </w:r>
      <w:r>
        <w:rPr>
          <w:spacing w:val="-3"/>
        </w:rPr>
        <w:t> </w:t>
      </w:r>
      <w:r>
        <w:rPr/>
        <w:t>in</w:t>
      </w:r>
      <w:r>
        <w:rPr>
          <w:spacing w:val="-3"/>
        </w:rPr>
        <w:t> </w:t>
      </w:r>
      <w:r>
        <w:rPr/>
        <w:t>Libya, in</w:t>
      </w:r>
      <w:r>
        <w:rPr>
          <w:spacing w:val="-3"/>
        </w:rPr>
        <w:t> </w:t>
      </w:r>
      <w:r>
        <w:rPr/>
        <w:t>addition</w:t>
      </w:r>
      <w:r>
        <w:rPr>
          <w:spacing w:val="-3"/>
        </w:rPr>
        <w:t> </w:t>
      </w:r>
      <w:r>
        <w:rPr/>
        <w:t>to</w:t>
      </w:r>
      <w:r>
        <w:rPr>
          <w:spacing w:val="-3"/>
        </w:rPr>
        <w:t> </w:t>
      </w:r>
      <w:r>
        <w:rPr/>
        <w:t>a number</w:t>
      </w:r>
      <w:r>
        <w:rPr>
          <w:spacing w:val="-3"/>
        </w:rPr>
        <w:t> </w:t>
      </w:r>
      <w:r>
        <w:rPr/>
        <w:t>of European</w:t>
      </w:r>
      <w:r>
        <w:rPr>
          <w:spacing w:val="-3"/>
        </w:rPr>
        <w:t> </w:t>
      </w:r>
      <w:r>
        <w:rPr/>
        <w:t>countries to</w:t>
      </w:r>
      <w:r>
        <w:rPr>
          <w:spacing w:val="-3"/>
        </w:rPr>
        <w:t> </w:t>
      </w:r>
      <w:r>
        <w:rPr/>
        <w:t>reach out</w:t>
      </w:r>
      <w:r>
        <w:rPr>
          <w:spacing w:val="-1"/>
        </w:rPr>
        <w:t> </w:t>
      </w:r>
      <w:r>
        <w:rPr/>
        <w:t>to</w:t>
      </w:r>
      <w:r>
        <w:rPr>
          <w:spacing w:val="-3"/>
        </w:rPr>
        <w:t> </w:t>
      </w:r>
      <w:r>
        <w:rPr/>
        <w:t>the Arabic-speaking</w:t>
      </w:r>
      <w:r>
        <w:rPr>
          <w:spacing w:val="-3"/>
        </w:rPr>
        <w:t> </w:t>
      </w:r>
      <w:r>
        <w:rPr/>
        <w:t>diaspora</w:t>
      </w:r>
      <w:r>
        <w:rPr>
          <w:spacing w:val="-1"/>
        </w:rPr>
        <w:t> </w:t>
      </w:r>
      <w:r>
        <w:rPr/>
        <w:t>and</w:t>
      </w:r>
      <w:r>
        <w:rPr>
          <w:spacing w:val="-3"/>
        </w:rPr>
        <w:t> </w:t>
      </w:r>
      <w:r>
        <w:rPr/>
        <w:t>the</w:t>
      </w:r>
      <w:r>
        <w:rPr>
          <w:spacing w:val="-6"/>
        </w:rPr>
        <w:t> </w:t>
      </w:r>
      <w:r>
        <w:rPr/>
        <w:t>affected</w:t>
      </w:r>
      <w:r>
        <w:rPr>
          <w:spacing w:val="-3"/>
        </w:rPr>
        <w:t> </w:t>
      </w:r>
      <w:r>
        <w:rPr/>
        <w:t>communities</w:t>
      </w:r>
      <w:r>
        <w:rPr>
          <w:spacing w:val="-4"/>
        </w:rPr>
        <w:t> </w:t>
      </w:r>
      <w:r>
        <w:rPr/>
        <w:t>in</w:t>
      </w:r>
      <w:r>
        <w:rPr>
          <w:spacing w:val="-3"/>
        </w:rPr>
        <w:t> </w:t>
      </w:r>
      <w:r>
        <w:rPr/>
        <w:t>relation</w:t>
      </w:r>
      <w:r>
        <w:rPr>
          <w:spacing w:val="-3"/>
        </w:rPr>
        <w:t> </w:t>
      </w:r>
      <w:r>
        <w:rPr/>
        <w:t>to</w:t>
      </w:r>
      <w:r>
        <w:rPr>
          <w:spacing w:val="-3"/>
        </w:rPr>
        <w:t> </w:t>
      </w:r>
      <w:r>
        <w:rPr/>
        <w:t>the</w:t>
      </w:r>
      <w:r>
        <w:rPr>
          <w:spacing w:val="-1"/>
        </w:rPr>
        <w:t> </w:t>
      </w:r>
      <w:r>
        <w:rPr/>
        <w:t>situation in Ukraine and to cultivate cooperation with other international organizations and media. Since the country office in Sudan in its basic set-up form will not possess the functions to conduct</w:t>
      </w:r>
      <w:r>
        <w:rPr>
          <w:spacing w:val="-13"/>
        </w:rPr>
        <w:t> </w:t>
      </w:r>
      <w:r>
        <w:rPr/>
        <w:t>extensive</w:t>
      </w:r>
      <w:r>
        <w:rPr>
          <w:spacing w:val="-12"/>
        </w:rPr>
        <w:t> </w:t>
      </w:r>
      <w:r>
        <w:rPr/>
        <w:t>outreach</w:t>
      </w:r>
      <w:r>
        <w:rPr>
          <w:spacing w:val="-13"/>
        </w:rPr>
        <w:t> </w:t>
      </w:r>
      <w:r>
        <w:rPr/>
        <w:t>and</w:t>
      </w:r>
      <w:r>
        <w:rPr>
          <w:spacing w:val="-12"/>
        </w:rPr>
        <w:t> </w:t>
      </w:r>
      <w:r>
        <w:rPr/>
        <w:t>public</w:t>
      </w:r>
      <w:r>
        <w:rPr>
          <w:spacing w:val="-13"/>
        </w:rPr>
        <w:t> </w:t>
      </w:r>
      <w:r>
        <w:rPr/>
        <w:t>information</w:t>
      </w:r>
      <w:r>
        <w:rPr>
          <w:spacing w:val="-12"/>
        </w:rPr>
        <w:t> </w:t>
      </w:r>
      <w:r>
        <w:rPr/>
        <w:t>activities,</w:t>
      </w:r>
      <w:r>
        <w:rPr>
          <w:spacing w:val="-13"/>
        </w:rPr>
        <w:t> </w:t>
      </w:r>
      <w:r>
        <w:rPr/>
        <w:t>PIOS</w:t>
      </w:r>
      <w:r>
        <w:rPr>
          <w:spacing w:val="-12"/>
        </w:rPr>
        <w:t> </w:t>
      </w:r>
      <w:r>
        <w:rPr/>
        <w:t>will</w:t>
      </w:r>
      <w:r>
        <w:rPr>
          <w:spacing w:val="-13"/>
        </w:rPr>
        <w:t> </w:t>
      </w:r>
      <w:r>
        <w:rPr/>
        <w:t>conduct</w:t>
      </w:r>
      <w:r>
        <w:rPr>
          <w:spacing w:val="-12"/>
        </w:rPr>
        <w:t> </w:t>
      </w:r>
      <w:r>
        <w:rPr/>
        <w:t>two</w:t>
      </w:r>
      <w:r>
        <w:rPr>
          <w:spacing w:val="-13"/>
        </w:rPr>
        <w:t> </w:t>
      </w:r>
      <w:r>
        <w:rPr/>
        <w:t>outreach missions to Sudan. The increase requested by PIOS for 2023 is required to facilitate the outreach missions concerning the situations in Ukraine, Venezuela and Libya.</w:t>
      </w:r>
    </w:p>
    <w:p>
      <w:pPr>
        <w:pStyle w:val="ListParagraph"/>
        <w:numPr>
          <w:ilvl w:val="0"/>
          <w:numId w:val="4"/>
        </w:numPr>
        <w:tabs>
          <w:tab w:pos="2967" w:val="left" w:leader="none"/>
        </w:tabs>
        <w:spacing w:line="240" w:lineRule="auto" w:before="125" w:after="0"/>
        <w:ind w:left="2246" w:right="2237" w:firstLine="0"/>
        <w:jc w:val="both"/>
        <w:rPr>
          <w:sz w:val="20"/>
        </w:rPr>
      </w:pPr>
      <w:r>
        <w:rPr>
          <w:sz w:val="20"/>
        </w:rPr>
        <w:t>Travel resources requested by external offices (€373.1 thousand), representing an increase of €81.3 thousand (27.9 per cent), are primarily due to the anticipated opening of the</w:t>
      </w:r>
      <w:r>
        <w:rPr>
          <w:spacing w:val="-1"/>
          <w:sz w:val="20"/>
        </w:rPr>
        <w:t> </w:t>
      </w:r>
      <w:r>
        <w:rPr>
          <w:sz w:val="20"/>
        </w:rPr>
        <w:t>country offices</w:t>
      </w:r>
      <w:r>
        <w:rPr>
          <w:spacing w:val="-4"/>
          <w:sz w:val="20"/>
        </w:rPr>
        <w:t> </w:t>
      </w:r>
      <w:r>
        <w:rPr>
          <w:sz w:val="20"/>
        </w:rPr>
        <w:t>in Sudan</w:t>
      </w:r>
      <w:r>
        <w:rPr>
          <w:spacing w:val="-3"/>
          <w:sz w:val="20"/>
        </w:rPr>
        <w:t> </w:t>
      </w:r>
      <w:r>
        <w:rPr>
          <w:sz w:val="20"/>
        </w:rPr>
        <w:t>and</w:t>
      </w:r>
      <w:r>
        <w:rPr>
          <w:spacing w:val="-3"/>
          <w:sz w:val="20"/>
        </w:rPr>
        <w:t> </w:t>
      </w:r>
      <w:r>
        <w:rPr>
          <w:sz w:val="20"/>
        </w:rPr>
        <w:t>in Ukraine by late 2022. The travel resources requested by the</w:t>
      </w:r>
      <w:r>
        <w:rPr>
          <w:spacing w:val="-1"/>
          <w:sz w:val="20"/>
        </w:rPr>
        <w:t> </w:t>
      </w:r>
      <w:r>
        <w:rPr>
          <w:sz w:val="20"/>
        </w:rPr>
        <w:t>external</w:t>
      </w:r>
      <w:r>
        <w:rPr>
          <w:spacing w:val="-1"/>
          <w:sz w:val="20"/>
        </w:rPr>
        <w:t> </w:t>
      </w:r>
      <w:r>
        <w:rPr>
          <w:sz w:val="20"/>
        </w:rPr>
        <w:t>offices</w:t>
      </w:r>
      <w:r>
        <w:rPr>
          <w:spacing w:val="-4"/>
          <w:sz w:val="20"/>
        </w:rPr>
        <w:t> </w:t>
      </w:r>
      <w:r>
        <w:rPr>
          <w:sz w:val="20"/>
        </w:rPr>
        <w:t>are</w:t>
      </w:r>
      <w:r>
        <w:rPr>
          <w:spacing w:val="-1"/>
          <w:sz w:val="20"/>
        </w:rPr>
        <w:t> </w:t>
      </w:r>
      <w:r>
        <w:rPr>
          <w:sz w:val="20"/>
        </w:rPr>
        <w:t>recurrent</w:t>
      </w:r>
      <w:r>
        <w:rPr>
          <w:spacing w:val="-1"/>
          <w:sz w:val="20"/>
        </w:rPr>
        <w:t> </w:t>
      </w:r>
      <w:r>
        <w:rPr>
          <w:sz w:val="20"/>
        </w:rPr>
        <w:t>and</w:t>
      </w:r>
      <w:r>
        <w:rPr>
          <w:spacing w:val="-3"/>
          <w:sz w:val="20"/>
        </w:rPr>
        <w:t> </w:t>
      </w:r>
      <w:r>
        <w:rPr>
          <w:sz w:val="20"/>
        </w:rPr>
        <w:t>needed to</w:t>
      </w:r>
      <w:r>
        <w:rPr>
          <w:spacing w:val="-3"/>
          <w:sz w:val="20"/>
        </w:rPr>
        <w:t> </w:t>
      </w:r>
      <w:r>
        <w:rPr>
          <w:sz w:val="20"/>
        </w:rPr>
        <w:t>support the</w:t>
      </w:r>
      <w:r>
        <w:rPr>
          <w:spacing w:val="-1"/>
          <w:sz w:val="20"/>
        </w:rPr>
        <w:t> </w:t>
      </w:r>
      <w:r>
        <w:rPr>
          <w:sz w:val="20"/>
        </w:rPr>
        <w:t>Occupational Health Unit’s</w:t>
      </w:r>
      <w:r>
        <w:rPr>
          <w:spacing w:val="-4"/>
          <w:sz w:val="20"/>
        </w:rPr>
        <w:t> </w:t>
      </w:r>
      <w:r>
        <w:rPr>
          <w:sz w:val="20"/>
        </w:rPr>
        <w:t>visit to the country offices to monitor the physical and psychological health of the field staff as well as to assess the post COVID-19 impact on staff welfare and</w:t>
      </w:r>
      <w:r>
        <w:rPr>
          <w:spacing w:val="-4"/>
          <w:sz w:val="20"/>
        </w:rPr>
        <w:t> </w:t>
      </w:r>
      <w:r>
        <w:rPr>
          <w:sz w:val="20"/>
        </w:rPr>
        <w:t>medical facilities, provide operational support to parties and participants and the TFV for in-country and external missions,</w:t>
      </w:r>
      <w:r>
        <w:rPr>
          <w:spacing w:val="-7"/>
          <w:sz w:val="20"/>
        </w:rPr>
        <w:t> </w:t>
      </w:r>
      <w:r>
        <w:rPr>
          <w:sz w:val="20"/>
        </w:rPr>
        <w:t>conduct</w:t>
      </w:r>
      <w:r>
        <w:rPr>
          <w:spacing w:val="-8"/>
          <w:sz w:val="20"/>
        </w:rPr>
        <w:t> </w:t>
      </w:r>
      <w:r>
        <w:rPr>
          <w:sz w:val="20"/>
        </w:rPr>
        <w:t>security</w:t>
      </w:r>
      <w:r>
        <w:rPr>
          <w:spacing w:val="-9"/>
          <w:sz w:val="20"/>
        </w:rPr>
        <w:t> </w:t>
      </w:r>
      <w:r>
        <w:rPr>
          <w:sz w:val="20"/>
        </w:rPr>
        <w:t>assessments</w:t>
      </w:r>
      <w:r>
        <w:rPr>
          <w:spacing w:val="-10"/>
          <w:sz w:val="20"/>
        </w:rPr>
        <w:t> </w:t>
      </w:r>
      <w:r>
        <w:rPr>
          <w:sz w:val="20"/>
        </w:rPr>
        <w:t>and</w:t>
      </w:r>
      <w:r>
        <w:rPr>
          <w:spacing w:val="-9"/>
          <w:sz w:val="20"/>
        </w:rPr>
        <w:t> </w:t>
      </w:r>
      <w:r>
        <w:rPr>
          <w:sz w:val="20"/>
        </w:rPr>
        <w:t>facilitate</w:t>
      </w:r>
      <w:r>
        <w:rPr>
          <w:spacing w:val="-11"/>
          <w:sz w:val="20"/>
        </w:rPr>
        <w:t> </w:t>
      </w:r>
      <w:r>
        <w:rPr>
          <w:sz w:val="20"/>
        </w:rPr>
        <w:t>travel</w:t>
      </w:r>
      <w:r>
        <w:rPr>
          <w:spacing w:val="-8"/>
          <w:sz w:val="20"/>
        </w:rPr>
        <w:t> </w:t>
      </w:r>
      <w:r>
        <w:rPr>
          <w:sz w:val="20"/>
        </w:rPr>
        <w:t>by</w:t>
      </w:r>
      <w:r>
        <w:rPr>
          <w:spacing w:val="-9"/>
          <w:sz w:val="20"/>
        </w:rPr>
        <w:t> </w:t>
      </w:r>
      <w:r>
        <w:rPr>
          <w:sz w:val="20"/>
        </w:rPr>
        <w:t>country</w:t>
      </w:r>
      <w:r>
        <w:rPr>
          <w:spacing w:val="-9"/>
          <w:sz w:val="20"/>
        </w:rPr>
        <w:t> </w:t>
      </w:r>
      <w:r>
        <w:rPr>
          <w:sz w:val="20"/>
        </w:rPr>
        <w:t>office</w:t>
      </w:r>
      <w:r>
        <w:rPr>
          <w:spacing w:val="-8"/>
          <w:sz w:val="20"/>
        </w:rPr>
        <w:t> </w:t>
      </w:r>
      <w:r>
        <w:rPr>
          <w:sz w:val="20"/>
        </w:rPr>
        <w:t>staff</w:t>
      </w:r>
      <w:r>
        <w:rPr>
          <w:spacing w:val="-9"/>
          <w:sz w:val="20"/>
        </w:rPr>
        <w:t> </w:t>
      </w:r>
      <w:r>
        <w:rPr>
          <w:sz w:val="20"/>
        </w:rPr>
        <w:t>to</w:t>
      </w:r>
      <w:r>
        <w:rPr>
          <w:spacing w:val="-13"/>
          <w:sz w:val="20"/>
        </w:rPr>
        <w:t> </w:t>
      </w:r>
      <w:r>
        <w:rPr>
          <w:sz w:val="20"/>
        </w:rPr>
        <w:t>conduct outreach and victim participation and reparations activities. The amount requested is particularly crucial for the necessary arrangements to be put in place to ensure the security of</w:t>
      </w:r>
      <w:r>
        <w:rPr>
          <w:spacing w:val="-13"/>
          <w:sz w:val="20"/>
        </w:rPr>
        <w:t> </w:t>
      </w:r>
      <w:r>
        <w:rPr>
          <w:sz w:val="20"/>
        </w:rPr>
        <w:t>missions</w:t>
      </w:r>
      <w:r>
        <w:rPr>
          <w:spacing w:val="-12"/>
          <w:sz w:val="20"/>
        </w:rPr>
        <w:t> </w:t>
      </w:r>
      <w:r>
        <w:rPr>
          <w:sz w:val="20"/>
        </w:rPr>
        <w:t>to</w:t>
      </w:r>
      <w:r>
        <w:rPr>
          <w:spacing w:val="-13"/>
          <w:sz w:val="20"/>
        </w:rPr>
        <w:t> </w:t>
      </w:r>
      <w:r>
        <w:rPr>
          <w:sz w:val="20"/>
        </w:rPr>
        <w:t>the</w:t>
      </w:r>
      <w:r>
        <w:rPr>
          <w:spacing w:val="-12"/>
          <w:sz w:val="20"/>
        </w:rPr>
        <w:t> </w:t>
      </w:r>
      <w:r>
        <w:rPr>
          <w:sz w:val="20"/>
        </w:rPr>
        <w:t>areas</w:t>
      </w:r>
      <w:r>
        <w:rPr>
          <w:spacing w:val="-13"/>
          <w:sz w:val="20"/>
        </w:rPr>
        <w:t> </w:t>
      </w:r>
      <w:r>
        <w:rPr>
          <w:sz w:val="20"/>
        </w:rPr>
        <w:t>where</w:t>
      </w:r>
      <w:r>
        <w:rPr>
          <w:spacing w:val="-12"/>
          <w:sz w:val="20"/>
        </w:rPr>
        <w:t> </w:t>
      </w:r>
      <w:r>
        <w:rPr>
          <w:sz w:val="20"/>
        </w:rPr>
        <w:t>the</w:t>
      </w:r>
      <w:r>
        <w:rPr>
          <w:spacing w:val="-13"/>
          <w:sz w:val="20"/>
        </w:rPr>
        <w:t> </w:t>
      </w:r>
      <w:r>
        <w:rPr>
          <w:sz w:val="20"/>
        </w:rPr>
        <w:t>security</w:t>
      </w:r>
      <w:r>
        <w:rPr>
          <w:spacing w:val="-12"/>
          <w:sz w:val="20"/>
        </w:rPr>
        <w:t> </w:t>
      </w:r>
      <w:r>
        <w:rPr>
          <w:sz w:val="20"/>
        </w:rPr>
        <w:t>situation</w:t>
      </w:r>
      <w:r>
        <w:rPr>
          <w:spacing w:val="-13"/>
          <w:sz w:val="20"/>
        </w:rPr>
        <w:t> </w:t>
      </w:r>
      <w:r>
        <w:rPr>
          <w:sz w:val="20"/>
        </w:rPr>
        <w:t>is</w:t>
      </w:r>
      <w:r>
        <w:rPr>
          <w:spacing w:val="-12"/>
          <w:sz w:val="20"/>
        </w:rPr>
        <w:t> </w:t>
      </w:r>
      <w:r>
        <w:rPr>
          <w:sz w:val="20"/>
        </w:rPr>
        <w:t>volatile,</w:t>
      </w:r>
      <w:r>
        <w:rPr>
          <w:spacing w:val="-13"/>
          <w:sz w:val="20"/>
        </w:rPr>
        <w:t> </w:t>
      </w:r>
      <w:r>
        <w:rPr>
          <w:sz w:val="20"/>
        </w:rPr>
        <w:t>such</w:t>
      </w:r>
      <w:r>
        <w:rPr>
          <w:spacing w:val="-12"/>
          <w:sz w:val="20"/>
        </w:rPr>
        <w:t> </w:t>
      </w:r>
      <w:r>
        <w:rPr>
          <w:sz w:val="20"/>
        </w:rPr>
        <w:t>as</w:t>
      </w:r>
      <w:r>
        <w:rPr>
          <w:spacing w:val="-13"/>
          <w:sz w:val="20"/>
        </w:rPr>
        <w:t> </w:t>
      </w:r>
      <w:r>
        <w:rPr>
          <w:sz w:val="20"/>
        </w:rPr>
        <w:t>Mali,</w:t>
      </w:r>
      <w:r>
        <w:rPr>
          <w:spacing w:val="-12"/>
          <w:sz w:val="20"/>
        </w:rPr>
        <w:t> </w:t>
      </w:r>
      <w:r>
        <w:rPr>
          <w:sz w:val="20"/>
        </w:rPr>
        <w:t>the</w:t>
      </w:r>
      <w:r>
        <w:rPr>
          <w:spacing w:val="-13"/>
          <w:sz w:val="20"/>
        </w:rPr>
        <w:t> </w:t>
      </w:r>
      <w:r>
        <w:rPr>
          <w:sz w:val="20"/>
        </w:rPr>
        <w:t>CAR,</w:t>
      </w:r>
      <w:r>
        <w:rPr>
          <w:spacing w:val="-12"/>
          <w:sz w:val="20"/>
        </w:rPr>
        <w:t> </w:t>
      </w:r>
      <w:r>
        <w:rPr>
          <w:sz w:val="20"/>
        </w:rPr>
        <w:t>Darfur, Sudan, Chad, Ukraine and areas outside the Bunia security perimeter.</w:t>
      </w:r>
    </w:p>
    <w:p>
      <w:pPr>
        <w:pStyle w:val="ListParagraph"/>
        <w:numPr>
          <w:ilvl w:val="0"/>
          <w:numId w:val="4"/>
        </w:numPr>
        <w:tabs>
          <w:tab w:pos="2967" w:val="left" w:leader="none"/>
        </w:tabs>
        <w:spacing w:line="240" w:lineRule="auto" w:before="121" w:after="0"/>
        <w:ind w:left="2246" w:right="2244" w:firstLine="0"/>
        <w:jc w:val="both"/>
        <w:rPr>
          <w:sz w:val="20"/>
        </w:rPr>
      </w:pPr>
      <w:r>
        <w:rPr>
          <w:sz w:val="20"/>
        </w:rPr>
        <w:t>Additional</w:t>
      </w:r>
      <w:r>
        <w:rPr>
          <w:spacing w:val="-9"/>
          <w:sz w:val="20"/>
        </w:rPr>
        <w:t> </w:t>
      </w:r>
      <w:r>
        <w:rPr>
          <w:sz w:val="20"/>
        </w:rPr>
        <w:t>resources</w:t>
      </w:r>
      <w:r>
        <w:rPr>
          <w:spacing w:val="-7"/>
          <w:sz w:val="20"/>
        </w:rPr>
        <w:t> </w:t>
      </w:r>
      <w:r>
        <w:rPr>
          <w:sz w:val="20"/>
        </w:rPr>
        <w:t>have</w:t>
      </w:r>
      <w:r>
        <w:rPr>
          <w:spacing w:val="-9"/>
          <w:sz w:val="20"/>
        </w:rPr>
        <w:t> </w:t>
      </w:r>
      <w:r>
        <w:rPr>
          <w:sz w:val="20"/>
        </w:rPr>
        <w:t>been</w:t>
      </w:r>
      <w:r>
        <w:rPr>
          <w:spacing w:val="-10"/>
          <w:sz w:val="20"/>
        </w:rPr>
        <w:t> </w:t>
      </w:r>
      <w:r>
        <w:rPr>
          <w:sz w:val="20"/>
        </w:rPr>
        <w:t>requested</w:t>
      </w:r>
      <w:r>
        <w:rPr>
          <w:spacing w:val="-10"/>
          <w:sz w:val="20"/>
        </w:rPr>
        <w:t> </w:t>
      </w:r>
      <w:r>
        <w:rPr>
          <w:sz w:val="20"/>
        </w:rPr>
        <w:t>for</w:t>
      </w:r>
      <w:r>
        <w:rPr>
          <w:spacing w:val="-10"/>
          <w:sz w:val="20"/>
        </w:rPr>
        <w:t> </w:t>
      </w:r>
      <w:r>
        <w:rPr>
          <w:sz w:val="20"/>
        </w:rPr>
        <w:t>the</w:t>
      </w:r>
      <w:r>
        <w:rPr>
          <w:spacing w:val="-9"/>
          <w:sz w:val="20"/>
        </w:rPr>
        <w:t> </w:t>
      </w:r>
      <w:r>
        <w:rPr>
          <w:sz w:val="20"/>
        </w:rPr>
        <w:t>country</w:t>
      </w:r>
      <w:r>
        <w:rPr>
          <w:spacing w:val="-10"/>
          <w:sz w:val="20"/>
        </w:rPr>
        <w:t> </w:t>
      </w:r>
      <w:r>
        <w:rPr>
          <w:sz w:val="20"/>
        </w:rPr>
        <w:t>offices</w:t>
      </w:r>
      <w:r>
        <w:rPr>
          <w:spacing w:val="-12"/>
          <w:sz w:val="20"/>
        </w:rPr>
        <w:t> </w:t>
      </w:r>
      <w:r>
        <w:rPr>
          <w:sz w:val="20"/>
        </w:rPr>
        <w:t>in</w:t>
      </w:r>
      <w:r>
        <w:rPr>
          <w:spacing w:val="-10"/>
          <w:sz w:val="20"/>
        </w:rPr>
        <w:t> </w:t>
      </w:r>
      <w:r>
        <w:rPr>
          <w:sz w:val="20"/>
        </w:rPr>
        <w:t>Ukraine,</w:t>
      </w:r>
      <w:r>
        <w:rPr>
          <w:spacing w:val="-8"/>
          <w:sz w:val="20"/>
        </w:rPr>
        <w:t> </w:t>
      </w:r>
      <w:r>
        <w:rPr>
          <w:sz w:val="20"/>
        </w:rPr>
        <w:t>Sudan, Mali, Uganda and Georgia. In addition to the increase caused by higher airfares compared</w:t>
      </w:r>
      <w:r>
        <w:rPr>
          <w:spacing w:val="40"/>
          <w:sz w:val="20"/>
        </w:rPr>
        <w:t> </w:t>
      </w:r>
      <w:r>
        <w:rPr>
          <w:sz w:val="20"/>
        </w:rPr>
        <w:t>to 2021, resources for travel have been requested for the country offices in Sudan and in Ukraine, which were not requested for 2022, to conduct security assessments, provide mission support and cover for the travel of the chiefs of these two country offices to other duty stations overseen by them, since they are both responsible for the management of multiple</w:t>
      </w:r>
      <w:r>
        <w:rPr>
          <w:spacing w:val="-13"/>
          <w:sz w:val="20"/>
        </w:rPr>
        <w:t> </w:t>
      </w:r>
      <w:r>
        <w:rPr>
          <w:sz w:val="20"/>
        </w:rPr>
        <w:t>country</w:t>
      </w:r>
      <w:r>
        <w:rPr>
          <w:spacing w:val="-12"/>
          <w:sz w:val="20"/>
        </w:rPr>
        <w:t> </w:t>
      </w:r>
      <w:r>
        <w:rPr>
          <w:sz w:val="20"/>
        </w:rPr>
        <w:t>offices.</w:t>
      </w:r>
      <w:r>
        <w:rPr>
          <w:spacing w:val="-13"/>
          <w:sz w:val="20"/>
        </w:rPr>
        <w:t> </w:t>
      </w:r>
      <w:r>
        <w:rPr>
          <w:sz w:val="20"/>
        </w:rPr>
        <w:t>Additional</w:t>
      </w:r>
      <w:r>
        <w:rPr>
          <w:spacing w:val="-12"/>
          <w:sz w:val="20"/>
        </w:rPr>
        <w:t> </w:t>
      </w:r>
      <w:r>
        <w:rPr>
          <w:sz w:val="20"/>
        </w:rPr>
        <w:t>travel</w:t>
      </w:r>
      <w:r>
        <w:rPr>
          <w:spacing w:val="-13"/>
          <w:sz w:val="20"/>
        </w:rPr>
        <w:t> </w:t>
      </w:r>
      <w:r>
        <w:rPr>
          <w:sz w:val="20"/>
        </w:rPr>
        <w:t>resources</w:t>
      </w:r>
      <w:r>
        <w:rPr>
          <w:spacing w:val="-12"/>
          <w:sz w:val="20"/>
        </w:rPr>
        <w:t> </w:t>
      </w:r>
      <w:r>
        <w:rPr>
          <w:sz w:val="20"/>
        </w:rPr>
        <w:t>are</w:t>
      </w:r>
      <w:r>
        <w:rPr>
          <w:spacing w:val="-13"/>
          <w:sz w:val="20"/>
        </w:rPr>
        <w:t> </w:t>
      </w:r>
      <w:r>
        <w:rPr>
          <w:sz w:val="20"/>
        </w:rPr>
        <w:t>also</w:t>
      </w:r>
      <w:r>
        <w:rPr>
          <w:spacing w:val="-12"/>
          <w:sz w:val="20"/>
        </w:rPr>
        <w:t> </w:t>
      </w:r>
      <w:r>
        <w:rPr>
          <w:sz w:val="20"/>
        </w:rPr>
        <w:t>requested</w:t>
      </w:r>
      <w:r>
        <w:rPr>
          <w:spacing w:val="-13"/>
          <w:sz w:val="20"/>
        </w:rPr>
        <w:t> </w:t>
      </w:r>
      <w:r>
        <w:rPr>
          <w:sz w:val="20"/>
        </w:rPr>
        <w:t>for</w:t>
      </w:r>
      <w:r>
        <w:rPr>
          <w:spacing w:val="-12"/>
          <w:sz w:val="20"/>
        </w:rPr>
        <w:t> </w:t>
      </w:r>
      <w:r>
        <w:rPr>
          <w:sz w:val="20"/>
        </w:rPr>
        <w:t>the</w:t>
      </w:r>
      <w:r>
        <w:rPr>
          <w:spacing w:val="-13"/>
          <w:sz w:val="20"/>
        </w:rPr>
        <w:t> </w:t>
      </w:r>
      <w:r>
        <w:rPr>
          <w:sz w:val="20"/>
        </w:rPr>
        <w:t>country</w:t>
      </w:r>
      <w:r>
        <w:rPr>
          <w:spacing w:val="-12"/>
          <w:sz w:val="20"/>
        </w:rPr>
        <w:t> </w:t>
      </w:r>
      <w:r>
        <w:rPr>
          <w:sz w:val="20"/>
        </w:rPr>
        <w:t>offices in Mali and in Uganda owing to the increase in activities related to outreach/public information and victim reparations in implementing judicial orders in both situation </w:t>
      </w:r>
      <w:r>
        <w:rPr>
          <w:spacing w:val="-2"/>
          <w:sz w:val="20"/>
        </w:rPr>
        <w:t>countries.</w:t>
      </w:r>
    </w:p>
    <w:p>
      <w:pPr>
        <w:pStyle w:val="ListParagraph"/>
        <w:numPr>
          <w:ilvl w:val="0"/>
          <w:numId w:val="4"/>
        </w:numPr>
        <w:tabs>
          <w:tab w:pos="2967" w:val="left" w:leader="none"/>
        </w:tabs>
        <w:spacing w:line="240" w:lineRule="auto" w:before="120" w:after="0"/>
        <w:ind w:left="2246" w:right="2238" w:firstLine="0"/>
        <w:jc w:val="both"/>
        <w:rPr>
          <w:sz w:val="20"/>
        </w:rPr>
      </w:pPr>
      <w:r>
        <w:rPr>
          <w:sz w:val="20"/>
        </w:rPr>
        <w:t>The aforementioned increase requested for the country offices in Ukraine, Sudan, Mali,</w:t>
      </w:r>
      <w:r>
        <w:rPr>
          <w:spacing w:val="-7"/>
          <w:sz w:val="20"/>
        </w:rPr>
        <w:t> </w:t>
      </w:r>
      <w:r>
        <w:rPr>
          <w:sz w:val="20"/>
        </w:rPr>
        <w:t>Uganda</w:t>
      </w:r>
      <w:r>
        <w:rPr>
          <w:spacing w:val="-11"/>
          <w:sz w:val="20"/>
        </w:rPr>
        <w:t> </w:t>
      </w:r>
      <w:r>
        <w:rPr>
          <w:sz w:val="20"/>
        </w:rPr>
        <w:t>and</w:t>
      </w:r>
      <w:r>
        <w:rPr>
          <w:spacing w:val="-8"/>
          <w:sz w:val="20"/>
        </w:rPr>
        <w:t> </w:t>
      </w:r>
      <w:r>
        <w:rPr>
          <w:sz w:val="20"/>
        </w:rPr>
        <w:t>Georgia</w:t>
      </w:r>
      <w:r>
        <w:rPr>
          <w:spacing w:val="-7"/>
          <w:sz w:val="20"/>
        </w:rPr>
        <w:t> </w:t>
      </w:r>
      <w:r>
        <w:rPr>
          <w:sz w:val="20"/>
        </w:rPr>
        <w:t>has</w:t>
      </w:r>
      <w:r>
        <w:rPr>
          <w:spacing w:val="-10"/>
          <w:sz w:val="20"/>
        </w:rPr>
        <w:t> </w:t>
      </w:r>
      <w:r>
        <w:rPr>
          <w:sz w:val="20"/>
        </w:rPr>
        <w:t>been</w:t>
      </w:r>
      <w:r>
        <w:rPr>
          <w:spacing w:val="-8"/>
          <w:sz w:val="20"/>
        </w:rPr>
        <w:t> </w:t>
      </w:r>
      <w:r>
        <w:rPr>
          <w:sz w:val="20"/>
        </w:rPr>
        <w:t>partially</w:t>
      </w:r>
      <w:r>
        <w:rPr>
          <w:spacing w:val="-13"/>
          <w:sz w:val="20"/>
        </w:rPr>
        <w:t> </w:t>
      </w:r>
      <w:r>
        <w:rPr>
          <w:sz w:val="20"/>
        </w:rPr>
        <w:t>offset</w:t>
      </w:r>
      <w:r>
        <w:rPr>
          <w:spacing w:val="-7"/>
          <w:sz w:val="20"/>
        </w:rPr>
        <w:t> </w:t>
      </w:r>
      <w:r>
        <w:rPr>
          <w:sz w:val="20"/>
        </w:rPr>
        <w:t>by</w:t>
      </w:r>
      <w:r>
        <w:rPr>
          <w:spacing w:val="-13"/>
          <w:sz w:val="20"/>
        </w:rPr>
        <w:t> </w:t>
      </w:r>
      <w:r>
        <w:rPr>
          <w:sz w:val="20"/>
        </w:rPr>
        <w:t>the</w:t>
      </w:r>
      <w:r>
        <w:rPr>
          <w:spacing w:val="-7"/>
          <w:sz w:val="20"/>
        </w:rPr>
        <w:t> </w:t>
      </w:r>
      <w:r>
        <w:rPr>
          <w:sz w:val="20"/>
        </w:rPr>
        <w:t>reduction</w:t>
      </w:r>
      <w:r>
        <w:rPr>
          <w:spacing w:val="-8"/>
          <w:sz w:val="20"/>
        </w:rPr>
        <w:t> </w:t>
      </w:r>
      <w:r>
        <w:rPr>
          <w:sz w:val="20"/>
        </w:rPr>
        <w:t>identified</w:t>
      </w:r>
      <w:r>
        <w:rPr>
          <w:spacing w:val="-13"/>
          <w:sz w:val="20"/>
        </w:rPr>
        <w:t> </w:t>
      </w:r>
      <w:r>
        <w:rPr>
          <w:sz w:val="20"/>
        </w:rPr>
        <w:t>by</w:t>
      </w:r>
      <w:r>
        <w:rPr>
          <w:spacing w:val="-8"/>
          <w:sz w:val="20"/>
        </w:rPr>
        <w:t> </w:t>
      </w:r>
      <w:r>
        <w:rPr>
          <w:sz w:val="20"/>
        </w:rPr>
        <w:t>the</w:t>
      </w:r>
      <w:r>
        <w:rPr>
          <w:spacing w:val="-7"/>
          <w:sz w:val="20"/>
        </w:rPr>
        <w:t> </w:t>
      </w:r>
      <w:r>
        <w:rPr>
          <w:sz w:val="20"/>
        </w:rPr>
        <w:t>country offices</w:t>
      </w:r>
      <w:r>
        <w:rPr>
          <w:spacing w:val="-1"/>
          <w:sz w:val="20"/>
        </w:rPr>
        <w:t> </w:t>
      </w:r>
      <w:r>
        <w:rPr>
          <w:sz w:val="20"/>
        </w:rPr>
        <w:t>in the DRC, Côte d’Ivoire and</w:t>
      </w:r>
      <w:r>
        <w:rPr>
          <w:spacing w:val="-4"/>
          <w:sz w:val="20"/>
        </w:rPr>
        <w:t> </w:t>
      </w:r>
      <w:r>
        <w:rPr>
          <w:sz w:val="20"/>
        </w:rPr>
        <w:t>the CAR</w:t>
      </w:r>
      <w:r>
        <w:rPr>
          <w:spacing w:val="-4"/>
          <w:sz w:val="20"/>
        </w:rPr>
        <w:t> </w:t>
      </w:r>
      <w:r>
        <w:rPr>
          <w:sz w:val="20"/>
        </w:rPr>
        <w:t>as a result of the decreasing activities in the DRC and Côte d’Ivoire. The Country Office (CAR) will continue to develop its use of</w:t>
      </w:r>
      <w:r>
        <w:rPr>
          <w:spacing w:val="40"/>
          <w:sz w:val="20"/>
        </w:rPr>
        <w:t> </w:t>
      </w:r>
      <w:r>
        <w:rPr>
          <w:sz w:val="20"/>
        </w:rPr>
        <w:t>third-party delivered informational products via radio, social media, TV and its billboard campaign. This campaign has been instrumental in building the Court’s justice brand and providing an enduring “presence”, notwithstanding a reduced use of historic face-to-face outreach missions. Therefore, it has helped to offset the impact of those reduced outreach missions and their associated costs. Travel costs have also been reduced by more effective leverage</w:t>
      </w:r>
      <w:r>
        <w:rPr>
          <w:spacing w:val="-7"/>
          <w:sz w:val="20"/>
        </w:rPr>
        <w:t> </w:t>
      </w:r>
      <w:r>
        <w:rPr>
          <w:sz w:val="20"/>
        </w:rPr>
        <w:t>of</w:t>
      </w:r>
      <w:r>
        <w:rPr>
          <w:spacing w:val="-8"/>
          <w:sz w:val="20"/>
        </w:rPr>
        <w:t> </w:t>
      </w:r>
      <w:r>
        <w:rPr>
          <w:sz w:val="20"/>
        </w:rPr>
        <w:t>local</w:t>
      </w:r>
      <w:r>
        <w:rPr>
          <w:spacing w:val="-2"/>
          <w:sz w:val="20"/>
        </w:rPr>
        <w:t> </w:t>
      </w:r>
      <w:r>
        <w:rPr>
          <w:sz w:val="20"/>
        </w:rPr>
        <w:t>security</w:t>
      </w:r>
      <w:r>
        <w:rPr>
          <w:spacing w:val="-8"/>
          <w:sz w:val="20"/>
        </w:rPr>
        <w:t> </w:t>
      </w:r>
      <w:r>
        <w:rPr>
          <w:sz w:val="20"/>
        </w:rPr>
        <w:t>knowledge</w:t>
      </w:r>
      <w:r>
        <w:rPr>
          <w:spacing w:val="-7"/>
          <w:sz w:val="20"/>
        </w:rPr>
        <w:t> </w:t>
      </w:r>
      <w:r>
        <w:rPr>
          <w:sz w:val="20"/>
        </w:rPr>
        <w:t>via</w:t>
      </w:r>
      <w:r>
        <w:rPr>
          <w:spacing w:val="-7"/>
          <w:sz w:val="20"/>
        </w:rPr>
        <w:t> </w:t>
      </w:r>
      <w:r>
        <w:rPr>
          <w:sz w:val="20"/>
        </w:rPr>
        <w:t>a</w:t>
      </w:r>
      <w:r>
        <w:rPr>
          <w:spacing w:val="-7"/>
          <w:sz w:val="20"/>
        </w:rPr>
        <w:t> </w:t>
      </w:r>
      <w:r>
        <w:rPr>
          <w:sz w:val="20"/>
        </w:rPr>
        <w:t>network</w:t>
      </w:r>
      <w:r>
        <w:rPr>
          <w:spacing w:val="-8"/>
          <w:sz w:val="20"/>
        </w:rPr>
        <w:t> </w:t>
      </w:r>
      <w:r>
        <w:rPr>
          <w:sz w:val="20"/>
        </w:rPr>
        <w:t>of</w:t>
      </w:r>
      <w:r>
        <w:rPr>
          <w:spacing w:val="-8"/>
          <w:sz w:val="20"/>
        </w:rPr>
        <w:t> </w:t>
      </w:r>
      <w:r>
        <w:rPr>
          <w:sz w:val="20"/>
        </w:rPr>
        <w:t>third-party</w:t>
      </w:r>
      <w:r>
        <w:rPr>
          <w:spacing w:val="-8"/>
          <w:sz w:val="20"/>
        </w:rPr>
        <w:t> </w:t>
      </w:r>
      <w:r>
        <w:rPr>
          <w:sz w:val="20"/>
        </w:rPr>
        <w:t>security</w:t>
      </w:r>
      <w:r>
        <w:rPr>
          <w:spacing w:val="-8"/>
          <w:sz w:val="20"/>
        </w:rPr>
        <w:t> </w:t>
      </w:r>
      <w:r>
        <w:rPr>
          <w:sz w:val="20"/>
        </w:rPr>
        <w:t>advisers</w:t>
      </w:r>
      <w:r>
        <w:rPr>
          <w:spacing w:val="-10"/>
          <w:sz w:val="20"/>
        </w:rPr>
        <w:t> </w:t>
      </w:r>
      <w:r>
        <w:rPr>
          <w:sz w:val="20"/>
        </w:rPr>
        <w:t>and</w:t>
      </w:r>
      <w:r>
        <w:rPr>
          <w:spacing w:val="-4"/>
          <w:sz w:val="20"/>
        </w:rPr>
        <w:t> </w:t>
      </w:r>
      <w:r>
        <w:rPr>
          <w:sz w:val="20"/>
        </w:rPr>
        <w:t>better security information management.</w:t>
      </w:r>
    </w:p>
    <w:p>
      <w:pPr>
        <w:pStyle w:val="ListParagraph"/>
        <w:numPr>
          <w:ilvl w:val="0"/>
          <w:numId w:val="4"/>
        </w:numPr>
        <w:tabs>
          <w:tab w:pos="2967" w:val="left" w:leader="none"/>
        </w:tabs>
        <w:spacing w:line="240" w:lineRule="auto" w:before="121" w:after="0"/>
        <w:ind w:left="2246" w:right="2245" w:firstLine="0"/>
        <w:jc w:val="both"/>
        <w:rPr>
          <w:sz w:val="20"/>
        </w:rPr>
      </w:pPr>
      <w:r>
        <w:rPr>
          <w:sz w:val="20"/>
        </w:rPr>
        <w:t>The</w:t>
      </w:r>
      <w:r>
        <w:rPr>
          <w:spacing w:val="32"/>
          <w:sz w:val="20"/>
        </w:rPr>
        <w:t> </w:t>
      </w:r>
      <w:r>
        <w:rPr>
          <w:sz w:val="20"/>
        </w:rPr>
        <w:t>resources</w:t>
      </w:r>
      <w:r>
        <w:rPr>
          <w:spacing w:val="28"/>
          <w:sz w:val="20"/>
        </w:rPr>
        <w:t> </w:t>
      </w:r>
      <w:r>
        <w:rPr>
          <w:sz w:val="20"/>
        </w:rPr>
        <w:t>required</w:t>
      </w:r>
      <w:r>
        <w:rPr>
          <w:spacing w:val="35"/>
          <w:sz w:val="20"/>
        </w:rPr>
        <w:t> </w:t>
      </w:r>
      <w:r>
        <w:rPr>
          <w:sz w:val="20"/>
        </w:rPr>
        <w:t>by</w:t>
      </w:r>
      <w:r>
        <w:rPr>
          <w:spacing w:val="30"/>
          <w:sz w:val="20"/>
        </w:rPr>
        <w:t> </w:t>
      </w:r>
      <w:r>
        <w:rPr>
          <w:sz w:val="20"/>
        </w:rPr>
        <w:t>OD-DEO</w:t>
      </w:r>
      <w:r>
        <w:rPr>
          <w:spacing w:val="28"/>
          <w:sz w:val="20"/>
        </w:rPr>
        <w:t> </w:t>
      </w:r>
      <w:r>
        <w:rPr>
          <w:sz w:val="20"/>
        </w:rPr>
        <w:t>(€55.5</w:t>
      </w:r>
      <w:r>
        <w:rPr>
          <w:spacing w:val="30"/>
          <w:sz w:val="20"/>
        </w:rPr>
        <w:t> </w:t>
      </w:r>
      <w:r>
        <w:rPr>
          <w:sz w:val="20"/>
        </w:rPr>
        <w:t>thousand),</w:t>
      </w:r>
      <w:r>
        <w:rPr>
          <w:spacing w:val="32"/>
          <w:sz w:val="20"/>
        </w:rPr>
        <w:t> </w:t>
      </w:r>
      <w:r>
        <w:rPr>
          <w:sz w:val="20"/>
        </w:rPr>
        <w:t>representing</w:t>
      </w:r>
      <w:r>
        <w:rPr>
          <w:spacing w:val="30"/>
          <w:sz w:val="20"/>
        </w:rPr>
        <w:t> </w:t>
      </w:r>
      <w:r>
        <w:rPr>
          <w:sz w:val="20"/>
        </w:rPr>
        <w:t>an</w:t>
      </w:r>
      <w:r>
        <w:rPr>
          <w:spacing w:val="30"/>
          <w:sz w:val="20"/>
        </w:rPr>
        <w:t> </w:t>
      </w:r>
      <w:r>
        <w:rPr>
          <w:sz w:val="20"/>
        </w:rPr>
        <w:t>increase of €1.6</w:t>
      </w:r>
      <w:r>
        <w:rPr>
          <w:spacing w:val="-3"/>
          <w:sz w:val="20"/>
        </w:rPr>
        <w:t> </w:t>
      </w:r>
      <w:r>
        <w:rPr>
          <w:sz w:val="20"/>
        </w:rPr>
        <w:t>thousand</w:t>
      </w:r>
      <w:r>
        <w:rPr>
          <w:spacing w:val="-3"/>
          <w:sz w:val="20"/>
        </w:rPr>
        <w:t> </w:t>
      </w:r>
      <w:r>
        <w:rPr>
          <w:sz w:val="20"/>
        </w:rPr>
        <w:t>(3.0</w:t>
      </w:r>
      <w:r>
        <w:rPr>
          <w:spacing w:val="-3"/>
          <w:sz w:val="20"/>
        </w:rPr>
        <w:t> </w:t>
      </w:r>
      <w:r>
        <w:rPr>
          <w:sz w:val="20"/>
        </w:rPr>
        <w:t>per</w:t>
      </w:r>
      <w:r>
        <w:rPr>
          <w:spacing w:val="-3"/>
          <w:sz w:val="20"/>
        </w:rPr>
        <w:t> </w:t>
      </w:r>
      <w:r>
        <w:rPr>
          <w:sz w:val="20"/>
        </w:rPr>
        <w:t>cent), are</w:t>
      </w:r>
      <w:r>
        <w:rPr>
          <w:spacing w:val="-1"/>
          <w:sz w:val="20"/>
        </w:rPr>
        <w:t> </w:t>
      </w:r>
      <w:r>
        <w:rPr>
          <w:sz w:val="20"/>
        </w:rPr>
        <w:t>needed</w:t>
      </w:r>
      <w:r>
        <w:rPr>
          <w:spacing w:val="-3"/>
          <w:sz w:val="20"/>
        </w:rPr>
        <w:t> </w:t>
      </w:r>
      <w:r>
        <w:rPr>
          <w:sz w:val="20"/>
        </w:rPr>
        <w:t>to</w:t>
      </w:r>
      <w:r>
        <w:rPr>
          <w:spacing w:val="-3"/>
          <w:sz w:val="20"/>
        </w:rPr>
        <w:t> </w:t>
      </w:r>
      <w:r>
        <w:rPr>
          <w:sz w:val="20"/>
        </w:rPr>
        <w:t>facilitate</w:t>
      </w:r>
      <w:r>
        <w:rPr>
          <w:spacing w:val="-1"/>
          <w:sz w:val="20"/>
        </w:rPr>
        <w:t> </w:t>
      </w:r>
      <w:r>
        <w:rPr>
          <w:sz w:val="20"/>
        </w:rPr>
        <w:t>the same</w:t>
      </w:r>
      <w:r>
        <w:rPr>
          <w:spacing w:val="-1"/>
          <w:sz w:val="20"/>
        </w:rPr>
        <w:t> </w:t>
      </w:r>
      <w:r>
        <w:rPr>
          <w:sz w:val="20"/>
        </w:rPr>
        <w:t>activities</w:t>
      </w:r>
      <w:r>
        <w:rPr>
          <w:spacing w:val="-4"/>
          <w:sz w:val="20"/>
        </w:rPr>
        <w:t> </w:t>
      </w:r>
      <w:r>
        <w:rPr>
          <w:sz w:val="20"/>
        </w:rPr>
        <w:t>as</w:t>
      </w:r>
      <w:r>
        <w:rPr>
          <w:spacing w:val="-4"/>
          <w:sz w:val="20"/>
        </w:rPr>
        <w:t> </w:t>
      </w:r>
      <w:r>
        <w:rPr>
          <w:sz w:val="20"/>
        </w:rPr>
        <w:t>in</w:t>
      </w:r>
      <w:r>
        <w:rPr>
          <w:spacing w:val="-3"/>
          <w:sz w:val="20"/>
        </w:rPr>
        <w:t> </w:t>
      </w:r>
      <w:r>
        <w:rPr>
          <w:sz w:val="20"/>
        </w:rPr>
        <w:t>the</w:t>
      </w:r>
      <w:r>
        <w:rPr>
          <w:spacing w:val="-1"/>
          <w:sz w:val="20"/>
        </w:rPr>
        <w:t> </w:t>
      </w:r>
      <w:r>
        <w:rPr>
          <w:sz w:val="20"/>
        </w:rPr>
        <w:t>previous budget</w:t>
      </w:r>
      <w:r>
        <w:rPr>
          <w:spacing w:val="-11"/>
          <w:sz w:val="20"/>
        </w:rPr>
        <w:t> </w:t>
      </w:r>
      <w:r>
        <w:rPr>
          <w:sz w:val="20"/>
        </w:rPr>
        <w:t>year,</w:t>
      </w:r>
      <w:r>
        <w:rPr>
          <w:spacing w:val="-5"/>
          <w:sz w:val="20"/>
        </w:rPr>
        <w:t> </w:t>
      </w:r>
      <w:r>
        <w:rPr>
          <w:sz w:val="20"/>
        </w:rPr>
        <w:t>including</w:t>
      </w:r>
      <w:r>
        <w:rPr>
          <w:spacing w:val="-6"/>
          <w:sz w:val="20"/>
        </w:rPr>
        <w:t> </w:t>
      </w:r>
      <w:r>
        <w:rPr>
          <w:sz w:val="20"/>
        </w:rPr>
        <w:t>regular</w:t>
      </w:r>
      <w:r>
        <w:rPr>
          <w:spacing w:val="-8"/>
          <w:sz w:val="20"/>
        </w:rPr>
        <w:t> </w:t>
      </w:r>
      <w:r>
        <w:rPr>
          <w:sz w:val="20"/>
        </w:rPr>
        <w:t>visits</w:t>
      </w:r>
      <w:r>
        <w:rPr>
          <w:spacing w:val="-13"/>
          <w:sz w:val="20"/>
        </w:rPr>
        <w:t> </w:t>
      </w:r>
      <w:r>
        <w:rPr>
          <w:sz w:val="20"/>
        </w:rPr>
        <w:t>to</w:t>
      </w:r>
      <w:r>
        <w:rPr>
          <w:spacing w:val="-7"/>
          <w:sz w:val="20"/>
        </w:rPr>
        <w:t> </w:t>
      </w:r>
      <w:r>
        <w:rPr>
          <w:sz w:val="20"/>
        </w:rPr>
        <w:t>the</w:t>
      </w:r>
      <w:r>
        <w:rPr>
          <w:spacing w:val="-12"/>
          <w:sz w:val="20"/>
        </w:rPr>
        <w:t> </w:t>
      </w:r>
      <w:r>
        <w:rPr>
          <w:sz w:val="20"/>
        </w:rPr>
        <w:t>existing</w:t>
      </w:r>
      <w:r>
        <w:rPr>
          <w:spacing w:val="-13"/>
          <w:sz w:val="20"/>
        </w:rPr>
        <w:t> </w:t>
      </w:r>
      <w:r>
        <w:rPr>
          <w:sz w:val="20"/>
        </w:rPr>
        <w:t>country</w:t>
      </w:r>
      <w:r>
        <w:rPr>
          <w:spacing w:val="-12"/>
          <w:sz w:val="20"/>
        </w:rPr>
        <w:t> </w:t>
      </w:r>
      <w:r>
        <w:rPr>
          <w:sz w:val="20"/>
        </w:rPr>
        <w:t>offices</w:t>
      </w:r>
      <w:r>
        <w:rPr>
          <w:spacing w:val="-10"/>
          <w:sz w:val="20"/>
        </w:rPr>
        <w:t> </w:t>
      </w:r>
      <w:r>
        <w:rPr>
          <w:sz w:val="20"/>
        </w:rPr>
        <w:t>as</w:t>
      </w:r>
      <w:r>
        <w:rPr>
          <w:spacing w:val="-10"/>
          <w:sz w:val="20"/>
        </w:rPr>
        <w:t> </w:t>
      </w:r>
      <w:r>
        <w:rPr>
          <w:sz w:val="20"/>
        </w:rPr>
        <w:t>well</w:t>
      </w:r>
      <w:r>
        <w:rPr>
          <w:spacing w:val="-12"/>
          <w:sz w:val="20"/>
        </w:rPr>
        <w:t> </w:t>
      </w:r>
      <w:r>
        <w:rPr>
          <w:sz w:val="20"/>
        </w:rPr>
        <w:t>as</w:t>
      </w:r>
      <w:r>
        <w:rPr>
          <w:spacing w:val="-10"/>
          <w:sz w:val="20"/>
        </w:rPr>
        <w:t> </w:t>
      </w:r>
      <w:r>
        <w:rPr>
          <w:sz w:val="20"/>
        </w:rPr>
        <w:t>the</w:t>
      </w:r>
      <w:r>
        <w:rPr>
          <w:spacing w:val="-12"/>
          <w:sz w:val="20"/>
        </w:rPr>
        <w:t> </w:t>
      </w:r>
      <w:r>
        <w:rPr>
          <w:sz w:val="20"/>
        </w:rPr>
        <w:t>new</w:t>
      </w:r>
      <w:r>
        <w:rPr>
          <w:spacing w:val="-13"/>
          <w:sz w:val="20"/>
        </w:rPr>
        <w:t> </w:t>
      </w:r>
      <w:r>
        <w:rPr>
          <w:sz w:val="20"/>
        </w:rPr>
        <w:t>country offices</w:t>
      </w:r>
      <w:r>
        <w:rPr>
          <w:spacing w:val="-5"/>
          <w:sz w:val="20"/>
        </w:rPr>
        <w:t> </w:t>
      </w:r>
      <w:r>
        <w:rPr>
          <w:sz w:val="20"/>
        </w:rPr>
        <w:t>in Sudan</w:t>
      </w:r>
      <w:r>
        <w:rPr>
          <w:spacing w:val="-4"/>
          <w:sz w:val="20"/>
        </w:rPr>
        <w:t> </w:t>
      </w:r>
      <w:r>
        <w:rPr>
          <w:sz w:val="20"/>
        </w:rPr>
        <w:t>and</w:t>
      </w:r>
      <w:r>
        <w:rPr>
          <w:spacing w:val="-4"/>
          <w:sz w:val="20"/>
        </w:rPr>
        <w:t> </w:t>
      </w:r>
      <w:r>
        <w:rPr>
          <w:sz w:val="20"/>
        </w:rPr>
        <w:t>in</w:t>
      </w:r>
      <w:r>
        <w:rPr>
          <w:spacing w:val="-4"/>
          <w:sz w:val="20"/>
        </w:rPr>
        <w:t> </w:t>
      </w:r>
      <w:r>
        <w:rPr>
          <w:sz w:val="20"/>
        </w:rPr>
        <w:t>Ukraine,</w:t>
      </w:r>
      <w:r>
        <w:rPr>
          <w:spacing w:val="-1"/>
          <w:sz w:val="20"/>
        </w:rPr>
        <w:t> </w:t>
      </w:r>
      <w:r>
        <w:rPr>
          <w:sz w:val="20"/>
        </w:rPr>
        <w:t>visits</w:t>
      </w:r>
      <w:r>
        <w:rPr>
          <w:spacing w:val="-1"/>
          <w:sz w:val="20"/>
        </w:rPr>
        <w:t> </w:t>
      </w:r>
      <w:r>
        <w:rPr>
          <w:sz w:val="20"/>
        </w:rPr>
        <w:t>to (new) situation</w:t>
      </w:r>
      <w:r>
        <w:rPr>
          <w:spacing w:val="-4"/>
          <w:sz w:val="20"/>
        </w:rPr>
        <w:t> </w:t>
      </w:r>
      <w:r>
        <w:rPr>
          <w:sz w:val="20"/>
        </w:rPr>
        <w:t>countries, such</w:t>
      </w:r>
      <w:r>
        <w:rPr>
          <w:spacing w:val="-4"/>
          <w:sz w:val="20"/>
        </w:rPr>
        <w:t> </w:t>
      </w:r>
      <w:r>
        <w:rPr>
          <w:sz w:val="20"/>
        </w:rPr>
        <w:t>as</w:t>
      </w:r>
      <w:r>
        <w:rPr>
          <w:spacing w:val="-1"/>
          <w:sz w:val="20"/>
        </w:rPr>
        <w:t> </w:t>
      </w:r>
      <w:r>
        <w:rPr>
          <w:sz w:val="20"/>
        </w:rPr>
        <w:t>Bangladesh,</w:t>
      </w:r>
      <w:r>
        <w:rPr>
          <w:spacing w:val="-1"/>
          <w:sz w:val="20"/>
        </w:rPr>
        <w:t> </w:t>
      </w:r>
      <w:r>
        <w:rPr>
          <w:sz w:val="20"/>
        </w:rPr>
        <w:t>and other States to develop/maintain networks and create partnerships between the Court and States (both States Parties and non-States Parties), and travel for liaison with the United Nations, European Union agencies and NGOs to maintain the Court’s dialogue with those </w:t>
      </w:r>
      <w:r>
        <w:rPr>
          <w:spacing w:val="-2"/>
          <w:sz w:val="20"/>
        </w:rPr>
        <w:t>actors.</w:t>
      </w:r>
    </w:p>
    <w:p>
      <w:pPr>
        <w:pStyle w:val="BodyText"/>
        <w:spacing w:before="8"/>
      </w:pPr>
    </w:p>
    <w:p>
      <w:pPr>
        <w:tabs>
          <w:tab w:pos="8383" w:val="left" w:leader="none"/>
        </w:tabs>
        <w:spacing w:before="1"/>
        <w:ind w:left="2246" w:right="0" w:firstLine="0"/>
        <w:jc w:val="both"/>
        <w:rPr>
          <w:i/>
          <w:sz w:val="20"/>
        </w:rPr>
      </w:pPr>
      <w:r>
        <w:rPr>
          <w:i/>
          <w:spacing w:val="-2"/>
          <w:sz w:val="20"/>
        </w:rPr>
        <w:t>Training</w:t>
      </w:r>
      <w:r>
        <w:rPr>
          <w:i/>
          <w:sz w:val="20"/>
        </w:rPr>
        <w:tab/>
        <w:t>€80.4</w:t>
      </w:r>
      <w:r>
        <w:rPr>
          <w:i/>
          <w:spacing w:val="-3"/>
          <w:sz w:val="20"/>
        </w:rPr>
        <w:t> </w:t>
      </w:r>
      <w:r>
        <w:rPr>
          <w:i/>
          <w:spacing w:val="-2"/>
          <w:sz w:val="20"/>
        </w:rPr>
        <w:t>thousand</w:t>
      </w:r>
    </w:p>
    <w:p>
      <w:pPr>
        <w:pStyle w:val="BodyText"/>
        <w:spacing w:before="10"/>
        <w:rPr>
          <w:i/>
        </w:rPr>
      </w:pPr>
    </w:p>
    <w:p>
      <w:pPr>
        <w:pStyle w:val="ListParagraph"/>
        <w:numPr>
          <w:ilvl w:val="0"/>
          <w:numId w:val="4"/>
        </w:numPr>
        <w:tabs>
          <w:tab w:pos="2967" w:val="left" w:leader="none"/>
        </w:tabs>
        <w:spacing w:line="240" w:lineRule="auto" w:before="0" w:after="0"/>
        <w:ind w:left="2246" w:right="2243" w:firstLine="0"/>
        <w:jc w:val="both"/>
        <w:rPr>
          <w:sz w:val="20"/>
        </w:rPr>
      </w:pPr>
      <w:r>
        <w:rPr>
          <w:sz w:val="20"/>
        </w:rPr>
        <w:t>The resources requested for training have increased by €24.2 thousand (43.1 per cent) as compared with the 2022 approved training budget. For 2023, DEO continues to prioritize the mandatory (licensing-related) training required to maintain the Division’s capacity to discharge its mandates as well as low-cost language and other online learning opportunities aimed at building the capacities of the field staff to better fulfil the needs of their day-to-day work.</w:t>
      </w:r>
    </w:p>
    <w:p>
      <w:pPr>
        <w:spacing w:after="0" w:line="240" w:lineRule="auto"/>
        <w:jc w:val="both"/>
        <w:rPr>
          <w:sz w:val="20"/>
        </w:rPr>
        <w:sectPr>
          <w:pgSz w:w="11910" w:h="16840"/>
          <w:pgMar w:header="953" w:footer="940" w:top="1140" w:bottom="1140" w:left="20" w:right="20"/>
        </w:sectPr>
      </w:pPr>
    </w:p>
    <w:p>
      <w:pPr>
        <w:pStyle w:val="ListParagraph"/>
        <w:numPr>
          <w:ilvl w:val="0"/>
          <w:numId w:val="4"/>
        </w:numPr>
        <w:tabs>
          <w:tab w:pos="2967" w:val="left" w:leader="none"/>
        </w:tabs>
        <w:spacing w:line="240" w:lineRule="auto" w:before="120" w:after="0"/>
        <w:ind w:left="2246" w:right="2241" w:firstLine="0"/>
        <w:jc w:val="both"/>
        <w:rPr>
          <w:sz w:val="20"/>
        </w:rPr>
      </w:pPr>
      <w:r>
        <w:rPr>
          <w:sz w:val="20"/>
        </w:rPr>
        <w:t>The resources requested for the country offices (€54.7 thousand) have increased</w:t>
      </w:r>
      <w:r>
        <w:rPr>
          <w:spacing w:val="80"/>
          <w:sz w:val="20"/>
        </w:rPr>
        <w:t> </w:t>
      </w:r>
      <w:r>
        <w:rPr>
          <w:sz w:val="20"/>
        </w:rPr>
        <w:t>by €21.4 thousand (64.3 per cent) as compared with the 2022 approved training budget to facilitate the mandatory (licensing-related) training necessary to maintain their security capacity (such as firearms certification and defensive armoured vehicle driving) and some non-mandatory</w:t>
      </w:r>
      <w:r>
        <w:rPr>
          <w:spacing w:val="-13"/>
          <w:sz w:val="20"/>
        </w:rPr>
        <w:t> </w:t>
      </w:r>
      <w:r>
        <w:rPr>
          <w:sz w:val="20"/>
        </w:rPr>
        <w:t>training</w:t>
      </w:r>
      <w:r>
        <w:rPr>
          <w:spacing w:val="-7"/>
          <w:sz w:val="20"/>
        </w:rPr>
        <w:t> </w:t>
      </w:r>
      <w:r>
        <w:rPr>
          <w:sz w:val="20"/>
        </w:rPr>
        <w:t>in</w:t>
      </w:r>
      <w:r>
        <w:rPr>
          <w:spacing w:val="-8"/>
          <w:sz w:val="20"/>
        </w:rPr>
        <w:t> </w:t>
      </w:r>
      <w:r>
        <w:rPr>
          <w:sz w:val="20"/>
        </w:rPr>
        <w:t>the</w:t>
      </w:r>
      <w:r>
        <w:rPr>
          <w:spacing w:val="-7"/>
          <w:sz w:val="20"/>
        </w:rPr>
        <w:t> </w:t>
      </w:r>
      <w:r>
        <w:rPr>
          <w:sz w:val="20"/>
        </w:rPr>
        <w:t>form</w:t>
      </w:r>
      <w:r>
        <w:rPr>
          <w:spacing w:val="-7"/>
          <w:sz w:val="20"/>
        </w:rPr>
        <w:t> </w:t>
      </w:r>
      <w:r>
        <w:rPr>
          <w:sz w:val="20"/>
        </w:rPr>
        <w:t>of</w:t>
      </w:r>
      <w:r>
        <w:rPr>
          <w:spacing w:val="-8"/>
          <w:sz w:val="20"/>
        </w:rPr>
        <w:t> </w:t>
      </w:r>
      <w:r>
        <w:rPr>
          <w:sz w:val="20"/>
        </w:rPr>
        <w:t>online</w:t>
      </w:r>
      <w:r>
        <w:rPr>
          <w:spacing w:val="-7"/>
          <w:sz w:val="20"/>
        </w:rPr>
        <w:t> </w:t>
      </w:r>
      <w:r>
        <w:rPr>
          <w:sz w:val="20"/>
        </w:rPr>
        <w:t>French</w:t>
      </w:r>
      <w:r>
        <w:rPr>
          <w:spacing w:val="-13"/>
          <w:sz w:val="20"/>
        </w:rPr>
        <w:t> </w:t>
      </w:r>
      <w:r>
        <w:rPr>
          <w:sz w:val="20"/>
        </w:rPr>
        <w:t>and</w:t>
      </w:r>
      <w:r>
        <w:rPr>
          <w:spacing w:val="-12"/>
          <w:sz w:val="20"/>
        </w:rPr>
        <w:t> </w:t>
      </w:r>
      <w:r>
        <w:rPr>
          <w:sz w:val="20"/>
        </w:rPr>
        <w:t>English</w:t>
      </w:r>
      <w:r>
        <w:rPr>
          <w:spacing w:val="-8"/>
          <w:sz w:val="20"/>
        </w:rPr>
        <w:t> </w:t>
      </w:r>
      <w:r>
        <w:rPr>
          <w:sz w:val="20"/>
        </w:rPr>
        <w:t>language</w:t>
      </w:r>
      <w:r>
        <w:rPr>
          <w:spacing w:val="-11"/>
          <w:sz w:val="20"/>
        </w:rPr>
        <w:t> </w:t>
      </w:r>
      <w:r>
        <w:rPr>
          <w:sz w:val="20"/>
        </w:rPr>
        <w:t>courses</w:t>
      </w:r>
      <w:r>
        <w:rPr>
          <w:spacing w:val="-10"/>
          <w:sz w:val="20"/>
        </w:rPr>
        <w:t> </w:t>
      </w:r>
      <w:r>
        <w:rPr>
          <w:sz w:val="20"/>
        </w:rPr>
        <w:t>which</w:t>
      </w:r>
      <w:r>
        <w:rPr>
          <w:spacing w:val="-13"/>
          <w:sz w:val="20"/>
        </w:rPr>
        <w:t> </w:t>
      </w:r>
      <w:r>
        <w:rPr>
          <w:sz w:val="20"/>
        </w:rPr>
        <w:t>are essential to facilitate the effective performance of the Court’s personnel in the field. The requested increase is required for the mandatory (licensing-related) security training for the field security staff (to be) newly recruited in Sudan and in Ukraine and the mandatory refresher</w:t>
      </w:r>
      <w:r>
        <w:rPr>
          <w:spacing w:val="-4"/>
          <w:sz w:val="20"/>
        </w:rPr>
        <w:t> </w:t>
      </w:r>
      <w:r>
        <w:rPr>
          <w:sz w:val="20"/>
        </w:rPr>
        <w:t>armoured</w:t>
      </w:r>
      <w:r>
        <w:rPr>
          <w:spacing w:val="-8"/>
          <w:sz w:val="20"/>
        </w:rPr>
        <w:t> </w:t>
      </w:r>
      <w:r>
        <w:rPr>
          <w:sz w:val="20"/>
        </w:rPr>
        <w:t>vehicle</w:t>
      </w:r>
      <w:r>
        <w:rPr>
          <w:spacing w:val="-2"/>
          <w:sz w:val="20"/>
        </w:rPr>
        <w:t> </w:t>
      </w:r>
      <w:r>
        <w:rPr>
          <w:sz w:val="20"/>
        </w:rPr>
        <w:t>driving</w:t>
      </w:r>
      <w:r>
        <w:rPr>
          <w:spacing w:val="-4"/>
          <w:sz w:val="20"/>
        </w:rPr>
        <w:t> </w:t>
      </w:r>
      <w:r>
        <w:rPr>
          <w:sz w:val="20"/>
        </w:rPr>
        <w:t>training</w:t>
      </w:r>
      <w:r>
        <w:rPr>
          <w:spacing w:val="-4"/>
          <w:sz w:val="20"/>
        </w:rPr>
        <w:t> </w:t>
      </w:r>
      <w:r>
        <w:rPr>
          <w:sz w:val="20"/>
        </w:rPr>
        <w:t>for</w:t>
      </w:r>
      <w:r>
        <w:rPr>
          <w:spacing w:val="-4"/>
          <w:sz w:val="20"/>
        </w:rPr>
        <w:t> </w:t>
      </w:r>
      <w:r>
        <w:rPr>
          <w:sz w:val="20"/>
        </w:rPr>
        <w:t>the</w:t>
      </w:r>
      <w:r>
        <w:rPr>
          <w:spacing w:val="-2"/>
          <w:sz w:val="20"/>
        </w:rPr>
        <w:t> </w:t>
      </w:r>
      <w:r>
        <w:rPr>
          <w:sz w:val="20"/>
        </w:rPr>
        <w:t>Drivers</w:t>
      </w:r>
      <w:r>
        <w:rPr>
          <w:spacing w:val="-5"/>
          <w:sz w:val="20"/>
        </w:rPr>
        <w:t> </w:t>
      </w:r>
      <w:r>
        <w:rPr>
          <w:sz w:val="20"/>
        </w:rPr>
        <w:t>in</w:t>
      </w:r>
      <w:r>
        <w:rPr>
          <w:spacing w:val="-4"/>
          <w:sz w:val="20"/>
        </w:rPr>
        <w:t> </w:t>
      </w:r>
      <w:r>
        <w:rPr>
          <w:sz w:val="20"/>
        </w:rPr>
        <w:t>the</w:t>
      </w:r>
      <w:r>
        <w:rPr>
          <w:spacing w:val="-7"/>
          <w:sz w:val="20"/>
        </w:rPr>
        <w:t> </w:t>
      </w:r>
      <w:r>
        <w:rPr>
          <w:sz w:val="20"/>
        </w:rPr>
        <w:t>country</w:t>
      </w:r>
      <w:r>
        <w:rPr>
          <w:spacing w:val="-4"/>
          <w:sz w:val="20"/>
        </w:rPr>
        <w:t> </w:t>
      </w:r>
      <w:r>
        <w:rPr>
          <w:sz w:val="20"/>
        </w:rPr>
        <w:t>offices</w:t>
      </w:r>
      <w:r>
        <w:rPr>
          <w:spacing w:val="-5"/>
          <w:sz w:val="20"/>
        </w:rPr>
        <w:t> </w:t>
      </w:r>
      <w:r>
        <w:rPr>
          <w:sz w:val="20"/>
        </w:rPr>
        <w:t>in</w:t>
      </w:r>
      <w:r>
        <w:rPr>
          <w:spacing w:val="-4"/>
          <w:sz w:val="20"/>
        </w:rPr>
        <w:t> </w:t>
      </w:r>
      <w:r>
        <w:rPr>
          <w:sz w:val="20"/>
        </w:rPr>
        <w:t>the</w:t>
      </w:r>
      <w:r>
        <w:rPr>
          <w:spacing w:val="-2"/>
          <w:sz w:val="20"/>
        </w:rPr>
        <w:t> </w:t>
      </w:r>
      <w:r>
        <w:rPr>
          <w:sz w:val="20"/>
        </w:rPr>
        <w:t>CAR and Mali which takes place every two years, thus in 2023.</w:t>
      </w:r>
    </w:p>
    <w:p>
      <w:pPr>
        <w:pStyle w:val="ListParagraph"/>
        <w:numPr>
          <w:ilvl w:val="0"/>
          <w:numId w:val="4"/>
        </w:numPr>
        <w:tabs>
          <w:tab w:pos="2967" w:val="left" w:leader="none"/>
        </w:tabs>
        <w:spacing w:line="240" w:lineRule="auto" w:before="120" w:after="0"/>
        <w:ind w:left="2246" w:right="2245" w:firstLine="0"/>
        <w:jc w:val="both"/>
        <w:rPr>
          <w:sz w:val="20"/>
        </w:rPr>
      </w:pPr>
      <w:r>
        <w:rPr>
          <w:sz w:val="20"/>
        </w:rPr>
        <w:t>The</w:t>
      </w:r>
      <w:r>
        <w:rPr>
          <w:spacing w:val="-7"/>
          <w:sz w:val="20"/>
        </w:rPr>
        <w:t> </w:t>
      </w:r>
      <w:r>
        <w:rPr>
          <w:sz w:val="20"/>
        </w:rPr>
        <w:t>amount</w:t>
      </w:r>
      <w:r>
        <w:rPr>
          <w:spacing w:val="-3"/>
          <w:sz w:val="20"/>
        </w:rPr>
        <w:t> </w:t>
      </w:r>
      <w:r>
        <w:rPr>
          <w:sz w:val="20"/>
        </w:rPr>
        <w:t>requested</w:t>
      </w:r>
      <w:r>
        <w:rPr>
          <w:spacing w:val="-4"/>
          <w:sz w:val="20"/>
        </w:rPr>
        <w:t> </w:t>
      </w:r>
      <w:r>
        <w:rPr>
          <w:sz w:val="20"/>
        </w:rPr>
        <w:t>for</w:t>
      </w:r>
      <w:r>
        <w:rPr>
          <w:spacing w:val="-8"/>
          <w:sz w:val="20"/>
        </w:rPr>
        <w:t> </w:t>
      </w:r>
      <w:r>
        <w:rPr>
          <w:sz w:val="20"/>
        </w:rPr>
        <w:t>EOSS</w:t>
      </w:r>
      <w:r>
        <w:rPr>
          <w:spacing w:val="-5"/>
          <w:sz w:val="20"/>
        </w:rPr>
        <w:t> </w:t>
      </w:r>
      <w:r>
        <w:rPr>
          <w:sz w:val="20"/>
        </w:rPr>
        <w:t>(€5.0</w:t>
      </w:r>
      <w:r>
        <w:rPr>
          <w:spacing w:val="-8"/>
          <w:sz w:val="20"/>
        </w:rPr>
        <w:t> </w:t>
      </w:r>
      <w:r>
        <w:rPr>
          <w:sz w:val="20"/>
        </w:rPr>
        <w:t>thousand)</w:t>
      </w:r>
      <w:r>
        <w:rPr>
          <w:spacing w:val="-8"/>
          <w:sz w:val="20"/>
        </w:rPr>
        <w:t> </w:t>
      </w:r>
      <w:r>
        <w:rPr>
          <w:sz w:val="20"/>
        </w:rPr>
        <w:t>remains</w:t>
      </w:r>
      <w:r>
        <w:rPr>
          <w:spacing w:val="-10"/>
          <w:sz w:val="20"/>
        </w:rPr>
        <w:t> </w:t>
      </w:r>
      <w:r>
        <w:rPr>
          <w:sz w:val="20"/>
        </w:rPr>
        <w:t>the</w:t>
      </w:r>
      <w:r>
        <w:rPr>
          <w:spacing w:val="-11"/>
          <w:sz w:val="20"/>
        </w:rPr>
        <w:t> </w:t>
      </w:r>
      <w:r>
        <w:rPr>
          <w:sz w:val="20"/>
        </w:rPr>
        <w:t>same</w:t>
      </w:r>
      <w:r>
        <w:rPr>
          <w:spacing w:val="-7"/>
          <w:sz w:val="20"/>
        </w:rPr>
        <w:t> </w:t>
      </w:r>
      <w:r>
        <w:rPr>
          <w:sz w:val="20"/>
        </w:rPr>
        <w:t>as</w:t>
      </w:r>
      <w:r>
        <w:rPr>
          <w:spacing w:val="-10"/>
          <w:sz w:val="20"/>
        </w:rPr>
        <w:t> </w:t>
      </w:r>
      <w:r>
        <w:rPr>
          <w:sz w:val="20"/>
        </w:rPr>
        <w:t>that</w:t>
      </w:r>
      <w:r>
        <w:rPr>
          <w:spacing w:val="-7"/>
          <w:sz w:val="20"/>
        </w:rPr>
        <w:t> </w:t>
      </w:r>
      <w:r>
        <w:rPr>
          <w:sz w:val="20"/>
        </w:rPr>
        <w:t>approved for 2022. Resources</w:t>
      </w:r>
      <w:r>
        <w:rPr>
          <w:spacing w:val="-1"/>
          <w:sz w:val="20"/>
        </w:rPr>
        <w:t> </w:t>
      </w:r>
      <w:r>
        <w:rPr>
          <w:sz w:val="20"/>
        </w:rPr>
        <w:t>are recurrent and required for online specialist training in line with the operational mandate of the Section in support of the activities of the Court.</w:t>
      </w:r>
    </w:p>
    <w:p>
      <w:pPr>
        <w:pStyle w:val="ListParagraph"/>
        <w:numPr>
          <w:ilvl w:val="0"/>
          <w:numId w:val="4"/>
        </w:numPr>
        <w:tabs>
          <w:tab w:pos="2967" w:val="left" w:leader="none"/>
        </w:tabs>
        <w:spacing w:line="240" w:lineRule="auto" w:before="122" w:after="0"/>
        <w:ind w:left="2246" w:right="2236" w:firstLine="0"/>
        <w:jc w:val="both"/>
        <w:rPr>
          <w:sz w:val="20"/>
        </w:rPr>
      </w:pPr>
      <w:r>
        <w:rPr>
          <w:sz w:val="20"/>
        </w:rPr>
        <w:t>The training resources requested by VWS (€7.7 thousand) will cover the cost of training requested by the TFV for VWS to provide training in 2023 in mitigating measures with</w:t>
      </w:r>
      <w:r>
        <w:rPr>
          <w:spacing w:val="-3"/>
          <w:sz w:val="20"/>
        </w:rPr>
        <w:t> </w:t>
      </w:r>
      <w:r>
        <w:rPr>
          <w:sz w:val="20"/>
        </w:rPr>
        <w:t>regard</w:t>
      </w:r>
      <w:r>
        <w:rPr>
          <w:spacing w:val="-3"/>
          <w:sz w:val="20"/>
        </w:rPr>
        <w:t> </w:t>
      </w:r>
      <w:r>
        <w:rPr>
          <w:sz w:val="20"/>
        </w:rPr>
        <w:t>to</w:t>
      </w:r>
      <w:r>
        <w:rPr>
          <w:spacing w:val="-7"/>
          <w:sz w:val="20"/>
        </w:rPr>
        <w:t> </w:t>
      </w:r>
      <w:r>
        <w:rPr>
          <w:sz w:val="20"/>
        </w:rPr>
        <w:t>the</w:t>
      </w:r>
      <w:r>
        <w:rPr>
          <w:spacing w:val="-6"/>
          <w:sz w:val="20"/>
        </w:rPr>
        <w:t> </w:t>
      </w:r>
      <w:r>
        <w:rPr>
          <w:sz w:val="20"/>
        </w:rPr>
        <w:t>implementation</w:t>
      </w:r>
      <w:r>
        <w:rPr>
          <w:spacing w:val="-3"/>
          <w:sz w:val="20"/>
        </w:rPr>
        <w:t> </w:t>
      </w:r>
      <w:r>
        <w:rPr>
          <w:sz w:val="20"/>
        </w:rPr>
        <w:t>of</w:t>
      </w:r>
      <w:r>
        <w:rPr>
          <w:spacing w:val="-3"/>
          <w:sz w:val="20"/>
        </w:rPr>
        <w:t> </w:t>
      </w:r>
      <w:r>
        <w:rPr>
          <w:sz w:val="20"/>
        </w:rPr>
        <w:t>reparations</w:t>
      </w:r>
      <w:r>
        <w:rPr>
          <w:spacing w:val="-4"/>
          <w:sz w:val="20"/>
        </w:rPr>
        <w:t> </w:t>
      </w:r>
      <w:r>
        <w:rPr>
          <w:sz w:val="20"/>
        </w:rPr>
        <w:t>awards</w:t>
      </w:r>
      <w:r>
        <w:rPr>
          <w:spacing w:val="-4"/>
          <w:sz w:val="20"/>
        </w:rPr>
        <w:t> </w:t>
      </w:r>
      <w:r>
        <w:rPr>
          <w:sz w:val="20"/>
        </w:rPr>
        <w:t>where</w:t>
      </w:r>
      <w:r>
        <w:rPr>
          <w:spacing w:val="-1"/>
          <w:sz w:val="20"/>
        </w:rPr>
        <w:t> </w:t>
      </w:r>
      <w:r>
        <w:rPr>
          <w:sz w:val="20"/>
        </w:rPr>
        <w:t>there</w:t>
      </w:r>
      <w:r>
        <w:rPr>
          <w:spacing w:val="-6"/>
          <w:sz w:val="20"/>
        </w:rPr>
        <w:t> </w:t>
      </w:r>
      <w:r>
        <w:rPr>
          <w:sz w:val="20"/>
        </w:rPr>
        <w:t>are</w:t>
      </w:r>
      <w:r>
        <w:rPr>
          <w:spacing w:val="-1"/>
          <w:sz w:val="20"/>
        </w:rPr>
        <w:t> </w:t>
      </w:r>
      <w:r>
        <w:rPr>
          <w:sz w:val="20"/>
        </w:rPr>
        <w:t>no</w:t>
      </w:r>
      <w:r>
        <w:rPr>
          <w:spacing w:val="-3"/>
          <w:sz w:val="20"/>
        </w:rPr>
        <w:t> </w:t>
      </w:r>
      <w:r>
        <w:rPr>
          <w:sz w:val="20"/>
        </w:rPr>
        <w:t>ongoing</w:t>
      </w:r>
      <w:r>
        <w:rPr>
          <w:spacing w:val="-7"/>
          <w:sz w:val="20"/>
        </w:rPr>
        <w:t> </w:t>
      </w:r>
      <w:r>
        <w:rPr>
          <w:sz w:val="20"/>
        </w:rPr>
        <w:t>trials</w:t>
      </w:r>
      <w:r>
        <w:rPr>
          <w:spacing w:val="-4"/>
          <w:sz w:val="20"/>
        </w:rPr>
        <w:t> </w:t>
      </w:r>
      <w:r>
        <w:rPr>
          <w:sz w:val="20"/>
        </w:rPr>
        <w:t>as well as training on measures to be put in place to implement reparations awards for victims in</w:t>
      </w:r>
      <w:r>
        <w:rPr>
          <w:spacing w:val="-3"/>
          <w:sz w:val="20"/>
        </w:rPr>
        <w:t> </w:t>
      </w:r>
      <w:r>
        <w:rPr>
          <w:sz w:val="20"/>
        </w:rPr>
        <w:t>two</w:t>
      </w:r>
      <w:r>
        <w:rPr>
          <w:spacing w:val="-7"/>
          <w:sz w:val="20"/>
        </w:rPr>
        <w:t> </w:t>
      </w:r>
      <w:r>
        <w:rPr>
          <w:sz w:val="20"/>
        </w:rPr>
        <w:t>different</w:t>
      </w:r>
      <w:r>
        <w:rPr>
          <w:spacing w:val="-6"/>
          <w:sz w:val="20"/>
        </w:rPr>
        <w:t> </w:t>
      </w:r>
      <w:r>
        <w:rPr>
          <w:sz w:val="20"/>
        </w:rPr>
        <w:t>cases</w:t>
      </w:r>
      <w:r>
        <w:rPr>
          <w:spacing w:val="-9"/>
          <w:sz w:val="20"/>
        </w:rPr>
        <w:t> </w:t>
      </w:r>
      <w:r>
        <w:rPr>
          <w:sz w:val="20"/>
        </w:rPr>
        <w:t>that</w:t>
      </w:r>
      <w:r>
        <w:rPr>
          <w:spacing w:val="-6"/>
          <w:sz w:val="20"/>
        </w:rPr>
        <w:t> </w:t>
      </w:r>
      <w:r>
        <w:rPr>
          <w:sz w:val="20"/>
        </w:rPr>
        <w:t>are</w:t>
      </w:r>
      <w:r>
        <w:rPr>
          <w:spacing w:val="-6"/>
          <w:sz w:val="20"/>
        </w:rPr>
        <w:t> </w:t>
      </w:r>
      <w:r>
        <w:rPr>
          <w:sz w:val="20"/>
        </w:rPr>
        <w:t>linked. A</w:t>
      </w:r>
      <w:r>
        <w:rPr>
          <w:spacing w:val="-9"/>
          <w:sz w:val="20"/>
        </w:rPr>
        <w:t> </w:t>
      </w:r>
      <w:r>
        <w:rPr>
          <w:sz w:val="20"/>
        </w:rPr>
        <w:t>slight</w:t>
      </w:r>
      <w:r>
        <w:rPr>
          <w:spacing w:val="-6"/>
          <w:sz w:val="20"/>
        </w:rPr>
        <w:t> </w:t>
      </w:r>
      <w:r>
        <w:rPr>
          <w:sz w:val="20"/>
        </w:rPr>
        <w:t>increase</w:t>
      </w:r>
      <w:r>
        <w:rPr>
          <w:spacing w:val="-1"/>
          <w:sz w:val="20"/>
        </w:rPr>
        <w:t> </w:t>
      </w:r>
      <w:r>
        <w:rPr>
          <w:sz w:val="20"/>
        </w:rPr>
        <w:t>(€2.7</w:t>
      </w:r>
      <w:r>
        <w:rPr>
          <w:spacing w:val="-3"/>
          <w:sz w:val="20"/>
        </w:rPr>
        <w:t> </w:t>
      </w:r>
      <w:r>
        <w:rPr>
          <w:sz w:val="20"/>
        </w:rPr>
        <w:t>thousand)</w:t>
      </w:r>
      <w:r>
        <w:rPr>
          <w:spacing w:val="-7"/>
          <w:sz w:val="20"/>
        </w:rPr>
        <w:t> </w:t>
      </w:r>
      <w:r>
        <w:rPr>
          <w:sz w:val="20"/>
        </w:rPr>
        <w:t>has</w:t>
      </w:r>
      <w:r>
        <w:rPr>
          <w:spacing w:val="-9"/>
          <w:sz w:val="20"/>
        </w:rPr>
        <w:t> </w:t>
      </w:r>
      <w:r>
        <w:rPr>
          <w:sz w:val="20"/>
        </w:rPr>
        <w:t>been</w:t>
      </w:r>
      <w:r>
        <w:rPr>
          <w:spacing w:val="-3"/>
          <w:sz w:val="20"/>
        </w:rPr>
        <w:t> </w:t>
      </w:r>
      <w:r>
        <w:rPr>
          <w:sz w:val="20"/>
        </w:rPr>
        <w:t>requested</w:t>
      </w:r>
      <w:r>
        <w:rPr>
          <w:spacing w:val="-3"/>
          <w:sz w:val="20"/>
        </w:rPr>
        <w:t> </w:t>
      </w:r>
      <w:r>
        <w:rPr>
          <w:sz w:val="20"/>
        </w:rPr>
        <w:t>to cater for additional training requested by the TFV for the same purpose but for the victims located in Uganda.</w:t>
      </w:r>
    </w:p>
    <w:p>
      <w:pPr>
        <w:pStyle w:val="ListParagraph"/>
        <w:numPr>
          <w:ilvl w:val="0"/>
          <w:numId w:val="4"/>
        </w:numPr>
        <w:tabs>
          <w:tab w:pos="2967" w:val="left" w:leader="none"/>
        </w:tabs>
        <w:spacing w:line="240" w:lineRule="auto" w:before="123" w:after="0"/>
        <w:ind w:left="2246" w:right="2241" w:firstLine="0"/>
        <w:jc w:val="both"/>
        <w:rPr>
          <w:sz w:val="20"/>
        </w:rPr>
      </w:pPr>
      <w:r>
        <w:rPr>
          <w:sz w:val="20"/>
        </w:rPr>
        <w:t>The resources</w:t>
      </w:r>
      <w:r>
        <w:rPr>
          <w:spacing w:val="-1"/>
          <w:sz w:val="20"/>
        </w:rPr>
        <w:t> </w:t>
      </w:r>
      <w:r>
        <w:rPr>
          <w:sz w:val="20"/>
        </w:rPr>
        <w:t>requested by PIOS for training (€13.0 thousand) remain</w:t>
      </w:r>
      <w:r>
        <w:rPr>
          <w:spacing w:val="-4"/>
          <w:sz w:val="20"/>
        </w:rPr>
        <w:t> </w:t>
      </w:r>
      <w:r>
        <w:rPr>
          <w:sz w:val="20"/>
        </w:rPr>
        <w:t>the same</w:t>
      </w:r>
      <w:r>
        <w:rPr>
          <w:spacing w:val="-2"/>
          <w:sz w:val="20"/>
        </w:rPr>
        <w:t> </w:t>
      </w:r>
      <w:r>
        <w:rPr>
          <w:sz w:val="20"/>
        </w:rPr>
        <w:t>as those approved for 2022 to continue supporting the need to improve the presentation skills of Court staff members in view of the increased number of online events (such as conferences, presentations and virtual visits to the Court), post COVID-19 pandemic, to achieve savings and efficiencies. PIOS will again organize training in three languages for staff members to enhance their presentation skills.</w:t>
      </w:r>
    </w:p>
    <w:p>
      <w:pPr>
        <w:pStyle w:val="BodyText"/>
        <w:spacing w:before="8"/>
      </w:pPr>
    </w:p>
    <w:p>
      <w:pPr>
        <w:tabs>
          <w:tab w:pos="8133" w:val="left" w:leader="none"/>
        </w:tabs>
        <w:spacing w:before="1"/>
        <w:ind w:left="2246" w:right="0" w:firstLine="0"/>
        <w:jc w:val="both"/>
        <w:rPr>
          <w:i/>
          <w:sz w:val="20"/>
        </w:rPr>
      </w:pPr>
      <w:r>
        <w:rPr>
          <w:i/>
          <w:sz w:val="20"/>
        </w:rPr>
        <w:t>Contractual</w:t>
      </w:r>
      <w:r>
        <w:rPr>
          <w:i/>
          <w:spacing w:val="-5"/>
          <w:sz w:val="20"/>
        </w:rPr>
        <w:t> </w:t>
      </w:r>
      <w:r>
        <w:rPr>
          <w:i/>
          <w:spacing w:val="-2"/>
          <w:sz w:val="20"/>
        </w:rPr>
        <w:t>services</w:t>
      </w:r>
      <w:r>
        <w:rPr>
          <w:i/>
          <w:sz w:val="20"/>
        </w:rPr>
        <w:tab/>
        <w:t>€1,322.0</w:t>
      </w:r>
      <w:r>
        <w:rPr>
          <w:i/>
          <w:spacing w:val="-4"/>
          <w:sz w:val="20"/>
        </w:rPr>
        <w:t> </w:t>
      </w:r>
      <w:r>
        <w:rPr>
          <w:i/>
          <w:spacing w:val="-2"/>
          <w:sz w:val="20"/>
        </w:rPr>
        <w:t>thousand</w:t>
      </w:r>
    </w:p>
    <w:p>
      <w:pPr>
        <w:pStyle w:val="BodyText"/>
        <w:spacing w:before="10"/>
        <w:rPr>
          <w:i/>
        </w:rPr>
      </w:pPr>
    </w:p>
    <w:p>
      <w:pPr>
        <w:pStyle w:val="ListParagraph"/>
        <w:numPr>
          <w:ilvl w:val="0"/>
          <w:numId w:val="4"/>
        </w:numPr>
        <w:tabs>
          <w:tab w:pos="2967" w:val="left" w:leader="none"/>
        </w:tabs>
        <w:spacing w:line="240" w:lineRule="auto" w:before="0" w:after="0"/>
        <w:ind w:left="2246" w:right="2240" w:firstLine="0"/>
        <w:jc w:val="both"/>
        <w:rPr>
          <w:sz w:val="20"/>
        </w:rPr>
      </w:pPr>
      <w:r>
        <w:rPr>
          <w:sz w:val="20"/>
        </w:rPr>
        <w:t>The</w:t>
      </w:r>
      <w:r>
        <w:rPr>
          <w:spacing w:val="-13"/>
          <w:sz w:val="20"/>
        </w:rPr>
        <w:t> </w:t>
      </w:r>
      <w:r>
        <w:rPr>
          <w:sz w:val="20"/>
        </w:rPr>
        <w:t>requested</w:t>
      </w:r>
      <w:r>
        <w:rPr>
          <w:spacing w:val="-12"/>
          <w:sz w:val="20"/>
        </w:rPr>
        <w:t> </w:t>
      </w:r>
      <w:r>
        <w:rPr>
          <w:sz w:val="20"/>
        </w:rPr>
        <w:t>resources</w:t>
      </w:r>
      <w:r>
        <w:rPr>
          <w:spacing w:val="-13"/>
          <w:sz w:val="20"/>
        </w:rPr>
        <w:t> </w:t>
      </w:r>
      <w:r>
        <w:rPr>
          <w:sz w:val="20"/>
        </w:rPr>
        <w:t>represent</w:t>
      </w:r>
      <w:r>
        <w:rPr>
          <w:spacing w:val="-12"/>
          <w:sz w:val="20"/>
        </w:rPr>
        <w:t> </w:t>
      </w:r>
      <w:r>
        <w:rPr>
          <w:sz w:val="20"/>
        </w:rPr>
        <w:t>an</w:t>
      </w:r>
      <w:r>
        <w:rPr>
          <w:spacing w:val="-13"/>
          <w:sz w:val="20"/>
        </w:rPr>
        <w:t> </w:t>
      </w:r>
      <w:r>
        <w:rPr>
          <w:sz w:val="20"/>
        </w:rPr>
        <w:t>increase</w:t>
      </w:r>
      <w:r>
        <w:rPr>
          <w:spacing w:val="-12"/>
          <w:sz w:val="20"/>
        </w:rPr>
        <w:t> </w:t>
      </w:r>
      <w:r>
        <w:rPr>
          <w:sz w:val="20"/>
        </w:rPr>
        <w:t>of</w:t>
      </w:r>
      <w:r>
        <w:rPr>
          <w:spacing w:val="-13"/>
          <w:sz w:val="20"/>
        </w:rPr>
        <w:t> </w:t>
      </w:r>
      <w:r>
        <w:rPr>
          <w:sz w:val="20"/>
        </w:rPr>
        <w:t>€109.3</w:t>
      </w:r>
      <w:r>
        <w:rPr>
          <w:spacing w:val="-12"/>
          <w:sz w:val="20"/>
        </w:rPr>
        <w:t> </w:t>
      </w:r>
      <w:r>
        <w:rPr>
          <w:sz w:val="20"/>
        </w:rPr>
        <w:t>thousand</w:t>
      </w:r>
      <w:r>
        <w:rPr>
          <w:spacing w:val="-13"/>
          <w:sz w:val="20"/>
        </w:rPr>
        <w:t> </w:t>
      </w:r>
      <w:r>
        <w:rPr>
          <w:sz w:val="20"/>
        </w:rPr>
        <w:t>(9.0</w:t>
      </w:r>
      <w:r>
        <w:rPr>
          <w:spacing w:val="-12"/>
          <w:sz w:val="20"/>
        </w:rPr>
        <w:t> </w:t>
      </w:r>
      <w:r>
        <w:rPr>
          <w:sz w:val="20"/>
        </w:rPr>
        <w:t>per</w:t>
      </w:r>
      <w:r>
        <w:rPr>
          <w:spacing w:val="-13"/>
          <w:sz w:val="20"/>
        </w:rPr>
        <w:t> </w:t>
      </w:r>
      <w:r>
        <w:rPr>
          <w:sz w:val="20"/>
        </w:rPr>
        <w:t>cent)</w:t>
      </w:r>
      <w:r>
        <w:rPr>
          <w:spacing w:val="-12"/>
          <w:sz w:val="20"/>
        </w:rPr>
        <w:t> </w:t>
      </w:r>
      <w:r>
        <w:rPr>
          <w:sz w:val="20"/>
        </w:rPr>
        <w:t>over the approved budget for 2022. Such an increase results mainly from an increase of €94.1 thousand</w:t>
      </w:r>
      <w:r>
        <w:rPr>
          <w:spacing w:val="-13"/>
          <w:sz w:val="20"/>
        </w:rPr>
        <w:t> </w:t>
      </w:r>
      <w:r>
        <w:rPr>
          <w:sz w:val="20"/>
        </w:rPr>
        <w:t>requested</w:t>
      </w:r>
      <w:r>
        <w:rPr>
          <w:spacing w:val="-12"/>
          <w:sz w:val="20"/>
        </w:rPr>
        <w:t> </w:t>
      </w:r>
      <w:r>
        <w:rPr>
          <w:sz w:val="20"/>
        </w:rPr>
        <w:t>by</w:t>
      </w:r>
      <w:r>
        <w:rPr>
          <w:spacing w:val="-13"/>
          <w:sz w:val="20"/>
        </w:rPr>
        <w:t> </w:t>
      </w:r>
      <w:r>
        <w:rPr>
          <w:sz w:val="20"/>
        </w:rPr>
        <w:t>PIOS</w:t>
      </w:r>
      <w:r>
        <w:rPr>
          <w:spacing w:val="-12"/>
          <w:sz w:val="20"/>
        </w:rPr>
        <w:t> </w:t>
      </w:r>
      <w:r>
        <w:rPr>
          <w:sz w:val="20"/>
        </w:rPr>
        <w:t>to</w:t>
      </w:r>
      <w:r>
        <w:rPr>
          <w:spacing w:val="-13"/>
          <w:sz w:val="20"/>
        </w:rPr>
        <w:t> </w:t>
      </w:r>
      <w:r>
        <w:rPr>
          <w:sz w:val="20"/>
        </w:rPr>
        <w:t>cater</w:t>
      </w:r>
      <w:r>
        <w:rPr>
          <w:spacing w:val="-12"/>
          <w:sz w:val="20"/>
        </w:rPr>
        <w:t> </w:t>
      </w:r>
      <w:r>
        <w:rPr>
          <w:sz w:val="20"/>
        </w:rPr>
        <w:t>for</w:t>
      </w:r>
      <w:r>
        <w:rPr>
          <w:spacing w:val="-13"/>
          <w:sz w:val="20"/>
        </w:rPr>
        <w:t> </w:t>
      </w:r>
      <w:r>
        <w:rPr>
          <w:sz w:val="20"/>
        </w:rPr>
        <w:t>the</w:t>
      </w:r>
      <w:r>
        <w:rPr>
          <w:spacing w:val="-12"/>
          <w:sz w:val="20"/>
        </w:rPr>
        <w:t> </w:t>
      </w:r>
      <w:r>
        <w:rPr>
          <w:sz w:val="20"/>
        </w:rPr>
        <w:t>outreach</w:t>
      </w:r>
      <w:r>
        <w:rPr>
          <w:spacing w:val="-13"/>
          <w:sz w:val="20"/>
        </w:rPr>
        <w:t> </w:t>
      </w:r>
      <w:r>
        <w:rPr>
          <w:sz w:val="20"/>
        </w:rPr>
        <w:t>activities</w:t>
      </w:r>
      <w:r>
        <w:rPr>
          <w:spacing w:val="-12"/>
          <w:sz w:val="20"/>
        </w:rPr>
        <w:t> </w:t>
      </w:r>
      <w:r>
        <w:rPr>
          <w:sz w:val="20"/>
        </w:rPr>
        <w:t>scheduled</w:t>
      </w:r>
      <w:r>
        <w:rPr>
          <w:spacing w:val="-13"/>
          <w:sz w:val="20"/>
        </w:rPr>
        <w:t> </w:t>
      </w:r>
      <w:r>
        <w:rPr>
          <w:sz w:val="20"/>
        </w:rPr>
        <w:t>for</w:t>
      </w:r>
      <w:r>
        <w:rPr>
          <w:spacing w:val="-12"/>
          <w:sz w:val="20"/>
        </w:rPr>
        <w:t> </w:t>
      </w:r>
      <w:r>
        <w:rPr>
          <w:sz w:val="20"/>
        </w:rPr>
        <w:t>(1)</w:t>
      </w:r>
      <w:r>
        <w:rPr>
          <w:spacing w:val="-13"/>
          <w:sz w:val="20"/>
        </w:rPr>
        <w:t> </w:t>
      </w:r>
      <w:r>
        <w:rPr>
          <w:sz w:val="20"/>
        </w:rPr>
        <w:t>the</w:t>
      </w:r>
      <w:r>
        <w:rPr>
          <w:spacing w:val="-12"/>
          <w:sz w:val="20"/>
        </w:rPr>
        <w:t> </w:t>
      </w:r>
      <w:r>
        <w:rPr>
          <w:sz w:val="20"/>
        </w:rPr>
        <w:t>situations in Bangladesh/Myanmar and in Palestine during the investigation stage pursuant to judicial orders, (2) the new situations in Afghanistan, Ukraine and Venezuela, and (3) the situation in Darfur, Sudan, which will focus on ensuring the publicity of the </w:t>
      </w:r>
      <w:r>
        <w:rPr>
          <w:i/>
          <w:sz w:val="20"/>
        </w:rPr>
        <w:t>Abd-Al-Rahman </w:t>
      </w:r>
      <w:r>
        <w:rPr>
          <w:sz w:val="20"/>
        </w:rPr>
        <w:t>trial within</w:t>
      </w:r>
      <w:r>
        <w:rPr>
          <w:spacing w:val="-3"/>
          <w:sz w:val="20"/>
        </w:rPr>
        <w:t> </w:t>
      </w:r>
      <w:r>
        <w:rPr>
          <w:sz w:val="20"/>
        </w:rPr>
        <w:t>the</w:t>
      </w:r>
      <w:r>
        <w:rPr>
          <w:spacing w:val="-6"/>
          <w:sz w:val="20"/>
        </w:rPr>
        <w:t> </w:t>
      </w:r>
      <w:r>
        <w:rPr>
          <w:sz w:val="20"/>
        </w:rPr>
        <w:t>affected</w:t>
      </w:r>
      <w:r>
        <w:rPr>
          <w:spacing w:val="-3"/>
          <w:sz w:val="20"/>
        </w:rPr>
        <w:t> </w:t>
      </w:r>
      <w:r>
        <w:rPr>
          <w:sz w:val="20"/>
        </w:rPr>
        <w:t>communities. Resources</w:t>
      </w:r>
      <w:r>
        <w:rPr>
          <w:spacing w:val="-4"/>
          <w:sz w:val="20"/>
        </w:rPr>
        <w:t> </w:t>
      </w:r>
      <w:r>
        <w:rPr>
          <w:sz w:val="20"/>
        </w:rPr>
        <w:t>are</w:t>
      </w:r>
      <w:r>
        <w:rPr>
          <w:spacing w:val="-1"/>
          <w:sz w:val="20"/>
        </w:rPr>
        <w:t> </w:t>
      </w:r>
      <w:r>
        <w:rPr>
          <w:sz w:val="20"/>
        </w:rPr>
        <w:t>required</w:t>
      </w:r>
      <w:r>
        <w:rPr>
          <w:spacing w:val="-3"/>
          <w:sz w:val="20"/>
        </w:rPr>
        <w:t> </w:t>
      </w:r>
      <w:r>
        <w:rPr>
          <w:sz w:val="20"/>
        </w:rPr>
        <w:t>in</w:t>
      </w:r>
      <w:r>
        <w:rPr>
          <w:spacing w:val="-3"/>
          <w:sz w:val="20"/>
        </w:rPr>
        <w:t> </w:t>
      </w:r>
      <w:r>
        <w:rPr>
          <w:sz w:val="20"/>
        </w:rPr>
        <w:t>particular</w:t>
      </w:r>
      <w:r>
        <w:rPr>
          <w:spacing w:val="-3"/>
          <w:sz w:val="20"/>
        </w:rPr>
        <w:t> </w:t>
      </w:r>
      <w:r>
        <w:rPr>
          <w:sz w:val="20"/>
        </w:rPr>
        <w:t>for</w:t>
      </w:r>
      <w:r>
        <w:rPr>
          <w:spacing w:val="-7"/>
          <w:sz w:val="20"/>
        </w:rPr>
        <w:t> </w:t>
      </w:r>
      <w:r>
        <w:rPr>
          <w:sz w:val="20"/>
        </w:rPr>
        <w:t>the</w:t>
      </w:r>
      <w:r>
        <w:rPr>
          <w:spacing w:val="-1"/>
          <w:sz w:val="20"/>
        </w:rPr>
        <w:t> </w:t>
      </w:r>
      <w:r>
        <w:rPr>
          <w:sz w:val="20"/>
        </w:rPr>
        <w:t>organization</w:t>
      </w:r>
      <w:r>
        <w:rPr>
          <w:spacing w:val="-3"/>
          <w:sz w:val="20"/>
        </w:rPr>
        <w:t> </w:t>
      </w:r>
      <w:r>
        <w:rPr>
          <w:sz w:val="20"/>
        </w:rPr>
        <w:t>of hybrid</w:t>
      </w:r>
      <w:r>
        <w:rPr>
          <w:spacing w:val="-8"/>
          <w:sz w:val="20"/>
        </w:rPr>
        <w:t> </w:t>
      </w:r>
      <w:r>
        <w:rPr>
          <w:sz w:val="20"/>
        </w:rPr>
        <w:t>information</w:t>
      </w:r>
      <w:r>
        <w:rPr>
          <w:spacing w:val="-4"/>
          <w:sz w:val="20"/>
        </w:rPr>
        <w:t> </w:t>
      </w:r>
      <w:r>
        <w:rPr>
          <w:sz w:val="20"/>
        </w:rPr>
        <w:t>sessions</w:t>
      </w:r>
      <w:r>
        <w:rPr>
          <w:spacing w:val="-5"/>
          <w:sz w:val="20"/>
        </w:rPr>
        <w:t> </w:t>
      </w:r>
      <w:r>
        <w:rPr>
          <w:sz w:val="20"/>
        </w:rPr>
        <w:t>(Court</w:t>
      </w:r>
      <w:r>
        <w:rPr>
          <w:spacing w:val="-2"/>
          <w:sz w:val="20"/>
        </w:rPr>
        <w:t> </w:t>
      </w:r>
      <w:r>
        <w:rPr>
          <w:sz w:val="20"/>
        </w:rPr>
        <w:t>staff</w:t>
      </w:r>
      <w:r>
        <w:rPr>
          <w:spacing w:val="-8"/>
          <w:sz w:val="20"/>
        </w:rPr>
        <w:t> </w:t>
      </w:r>
      <w:r>
        <w:rPr>
          <w:sz w:val="20"/>
        </w:rPr>
        <w:t>from</w:t>
      </w:r>
      <w:r>
        <w:rPr>
          <w:spacing w:val="-2"/>
          <w:sz w:val="20"/>
        </w:rPr>
        <w:t> </w:t>
      </w:r>
      <w:r>
        <w:rPr>
          <w:sz w:val="20"/>
        </w:rPr>
        <w:t>Headquarters</w:t>
      </w:r>
      <w:r>
        <w:rPr>
          <w:spacing w:val="-5"/>
          <w:sz w:val="20"/>
        </w:rPr>
        <w:t> </w:t>
      </w:r>
      <w:r>
        <w:rPr>
          <w:sz w:val="20"/>
        </w:rPr>
        <w:t>together</w:t>
      </w:r>
      <w:r>
        <w:rPr>
          <w:spacing w:val="-4"/>
          <w:sz w:val="20"/>
        </w:rPr>
        <w:t> </w:t>
      </w:r>
      <w:r>
        <w:rPr>
          <w:sz w:val="20"/>
        </w:rPr>
        <w:t>with</w:t>
      </w:r>
      <w:r>
        <w:rPr>
          <w:spacing w:val="-8"/>
          <w:sz w:val="20"/>
        </w:rPr>
        <w:t> </w:t>
      </w:r>
      <w:r>
        <w:rPr>
          <w:sz w:val="20"/>
        </w:rPr>
        <w:t>locals</w:t>
      </w:r>
      <w:r>
        <w:rPr>
          <w:spacing w:val="-5"/>
          <w:sz w:val="20"/>
        </w:rPr>
        <w:t> </w:t>
      </w:r>
      <w:r>
        <w:rPr>
          <w:sz w:val="20"/>
        </w:rPr>
        <w:t>in</w:t>
      </w:r>
      <w:r>
        <w:rPr>
          <w:spacing w:val="-4"/>
          <w:sz w:val="20"/>
        </w:rPr>
        <w:t> </w:t>
      </w:r>
      <w:r>
        <w:rPr>
          <w:sz w:val="20"/>
        </w:rPr>
        <w:t>one</w:t>
      </w:r>
      <w:r>
        <w:rPr>
          <w:spacing w:val="-2"/>
          <w:sz w:val="20"/>
        </w:rPr>
        <w:t> </w:t>
      </w:r>
      <w:r>
        <w:rPr>
          <w:sz w:val="20"/>
        </w:rPr>
        <w:t>room to overcome Internet connection constraints) with crucial stakeholders (law professors, NGOs, journalists)</w:t>
      </w:r>
      <w:r>
        <w:rPr>
          <w:spacing w:val="-5"/>
          <w:sz w:val="20"/>
        </w:rPr>
        <w:t> </w:t>
      </w:r>
      <w:r>
        <w:rPr>
          <w:sz w:val="20"/>
        </w:rPr>
        <w:t>in</w:t>
      </w:r>
      <w:r>
        <w:rPr>
          <w:spacing w:val="-5"/>
          <w:sz w:val="20"/>
        </w:rPr>
        <w:t> </w:t>
      </w:r>
      <w:r>
        <w:rPr>
          <w:sz w:val="20"/>
        </w:rPr>
        <w:t>Sudan,</w:t>
      </w:r>
      <w:r>
        <w:rPr>
          <w:spacing w:val="-7"/>
          <w:sz w:val="20"/>
        </w:rPr>
        <w:t> </w:t>
      </w:r>
      <w:r>
        <w:rPr>
          <w:sz w:val="20"/>
        </w:rPr>
        <w:t>Bangladesh</w:t>
      </w:r>
      <w:r>
        <w:rPr>
          <w:spacing w:val="-5"/>
          <w:sz w:val="20"/>
        </w:rPr>
        <w:t> </w:t>
      </w:r>
      <w:r>
        <w:rPr>
          <w:sz w:val="20"/>
        </w:rPr>
        <w:t>and</w:t>
      </w:r>
      <w:r>
        <w:rPr>
          <w:spacing w:val="-5"/>
          <w:sz w:val="20"/>
        </w:rPr>
        <w:t> </w:t>
      </w:r>
      <w:r>
        <w:rPr>
          <w:sz w:val="20"/>
        </w:rPr>
        <w:t>Palestine.</w:t>
      </w:r>
      <w:r>
        <w:rPr>
          <w:spacing w:val="-2"/>
          <w:sz w:val="20"/>
        </w:rPr>
        <w:t> </w:t>
      </w:r>
      <w:r>
        <w:rPr>
          <w:sz w:val="20"/>
        </w:rPr>
        <w:t>The</w:t>
      </w:r>
      <w:r>
        <w:rPr>
          <w:spacing w:val="-8"/>
          <w:sz w:val="20"/>
        </w:rPr>
        <w:t> </w:t>
      </w:r>
      <w:r>
        <w:rPr>
          <w:sz w:val="20"/>
        </w:rPr>
        <w:t>requested</w:t>
      </w:r>
      <w:r>
        <w:rPr>
          <w:spacing w:val="-5"/>
          <w:sz w:val="20"/>
        </w:rPr>
        <w:t> </w:t>
      </w:r>
      <w:r>
        <w:rPr>
          <w:sz w:val="20"/>
        </w:rPr>
        <w:t>resources</w:t>
      </w:r>
      <w:r>
        <w:rPr>
          <w:spacing w:val="-6"/>
          <w:sz w:val="20"/>
        </w:rPr>
        <w:t> </w:t>
      </w:r>
      <w:r>
        <w:rPr>
          <w:sz w:val="20"/>
        </w:rPr>
        <w:t>further</w:t>
      </w:r>
      <w:r>
        <w:rPr>
          <w:spacing w:val="-5"/>
          <w:sz w:val="20"/>
        </w:rPr>
        <w:t> </w:t>
      </w:r>
      <w:r>
        <w:rPr>
          <w:sz w:val="20"/>
        </w:rPr>
        <w:t>aim to cover</w:t>
      </w:r>
      <w:r>
        <w:rPr>
          <w:spacing w:val="-3"/>
          <w:sz w:val="20"/>
        </w:rPr>
        <w:t> </w:t>
      </w:r>
      <w:r>
        <w:rPr>
          <w:sz w:val="20"/>
        </w:rPr>
        <w:t>limited</w:t>
      </w:r>
      <w:r>
        <w:rPr>
          <w:spacing w:val="-3"/>
          <w:sz w:val="20"/>
        </w:rPr>
        <w:t> </w:t>
      </w:r>
      <w:r>
        <w:rPr>
          <w:sz w:val="20"/>
        </w:rPr>
        <w:t>in situ</w:t>
      </w:r>
      <w:r>
        <w:rPr>
          <w:spacing w:val="-3"/>
          <w:sz w:val="20"/>
        </w:rPr>
        <w:t> </w:t>
      </w:r>
      <w:r>
        <w:rPr>
          <w:sz w:val="20"/>
        </w:rPr>
        <w:t>outreach</w:t>
      </w:r>
      <w:r>
        <w:rPr>
          <w:spacing w:val="-3"/>
          <w:sz w:val="20"/>
        </w:rPr>
        <w:t> </w:t>
      </w:r>
      <w:r>
        <w:rPr>
          <w:sz w:val="20"/>
        </w:rPr>
        <w:t>activities to</w:t>
      </w:r>
      <w:r>
        <w:rPr>
          <w:spacing w:val="-3"/>
          <w:sz w:val="20"/>
        </w:rPr>
        <w:t> </w:t>
      </w:r>
      <w:r>
        <w:rPr>
          <w:sz w:val="20"/>
        </w:rPr>
        <w:t>be organized</w:t>
      </w:r>
      <w:r>
        <w:rPr>
          <w:spacing w:val="-3"/>
          <w:sz w:val="20"/>
        </w:rPr>
        <w:t> </w:t>
      </w:r>
      <w:r>
        <w:rPr>
          <w:sz w:val="20"/>
        </w:rPr>
        <w:t>during</w:t>
      </w:r>
      <w:r>
        <w:rPr>
          <w:spacing w:val="-3"/>
          <w:sz w:val="20"/>
        </w:rPr>
        <w:t> </w:t>
      </w:r>
      <w:r>
        <w:rPr>
          <w:sz w:val="20"/>
        </w:rPr>
        <w:t>missions</w:t>
      </w:r>
      <w:r>
        <w:rPr>
          <w:spacing w:val="-4"/>
          <w:sz w:val="20"/>
        </w:rPr>
        <w:t> </w:t>
      </w:r>
      <w:r>
        <w:rPr>
          <w:sz w:val="20"/>
        </w:rPr>
        <w:t>to refugee camps in Bangladesh, Darfur and Chad, as well as with regard to the situations in Venezuela and Ukraine, which will entail costs for room rental, interpretation and mobilization. Furthermore, funds will be required to bring a small group of stakeholders from Palestine, Israel</w:t>
      </w:r>
      <w:r>
        <w:rPr>
          <w:spacing w:val="-13"/>
          <w:sz w:val="20"/>
        </w:rPr>
        <w:t> </w:t>
      </w:r>
      <w:r>
        <w:rPr>
          <w:sz w:val="20"/>
        </w:rPr>
        <w:t>and</w:t>
      </w:r>
      <w:r>
        <w:rPr>
          <w:spacing w:val="-12"/>
          <w:sz w:val="20"/>
        </w:rPr>
        <w:t> </w:t>
      </w:r>
      <w:r>
        <w:rPr>
          <w:sz w:val="20"/>
        </w:rPr>
        <w:t>Sudan</w:t>
      </w:r>
      <w:r>
        <w:rPr>
          <w:spacing w:val="-13"/>
          <w:sz w:val="20"/>
        </w:rPr>
        <w:t> </w:t>
      </w:r>
      <w:r>
        <w:rPr>
          <w:sz w:val="20"/>
        </w:rPr>
        <w:t>to</w:t>
      </w:r>
      <w:r>
        <w:rPr>
          <w:spacing w:val="-12"/>
          <w:sz w:val="20"/>
        </w:rPr>
        <w:t> </w:t>
      </w:r>
      <w:r>
        <w:rPr>
          <w:sz w:val="20"/>
        </w:rPr>
        <w:t>The</w:t>
      </w:r>
      <w:r>
        <w:rPr>
          <w:spacing w:val="-13"/>
          <w:sz w:val="20"/>
        </w:rPr>
        <w:t> </w:t>
      </w:r>
      <w:r>
        <w:rPr>
          <w:sz w:val="20"/>
        </w:rPr>
        <w:t>Hague.</w:t>
      </w:r>
      <w:r>
        <w:rPr>
          <w:spacing w:val="-12"/>
          <w:sz w:val="20"/>
        </w:rPr>
        <w:t> </w:t>
      </w:r>
      <w:r>
        <w:rPr>
          <w:sz w:val="20"/>
        </w:rPr>
        <w:t>In</w:t>
      </w:r>
      <w:r>
        <w:rPr>
          <w:spacing w:val="-13"/>
          <w:sz w:val="20"/>
        </w:rPr>
        <w:t> </w:t>
      </w:r>
      <w:r>
        <w:rPr>
          <w:sz w:val="20"/>
        </w:rPr>
        <w:t>addition,</w:t>
      </w:r>
      <w:r>
        <w:rPr>
          <w:spacing w:val="-12"/>
          <w:sz w:val="20"/>
        </w:rPr>
        <w:t> </w:t>
      </w:r>
      <w:r>
        <w:rPr>
          <w:sz w:val="20"/>
        </w:rPr>
        <w:t>resources</w:t>
      </w:r>
      <w:r>
        <w:rPr>
          <w:spacing w:val="-13"/>
          <w:sz w:val="20"/>
        </w:rPr>
        <w:t> </w:t>
      </w:r>
      <w:r>
        <w:rPr>
          <w:sz w:val="20"/>
        </w:rPr>
        <w:t>are</w:t>
      </w:r>
      <w:r>
        <w:rPr>
          <w:spacing w:val="-12"/>
          <w:sz w:val="20"/>
        </w:rPr>
        <w:t> </w:t>
      </w:r>
      <w:r>
        <w:rPr>
          <w:sz w:val="20"/>
        </w:rPr>
        <w:t>required</w:t>
      </w:r>
      <w:r>
        <w:rPr>
          <w:spacing w:val="-13"/>
          <w:sz w:val="20"/>
        </w:rPr>
        <w:t> </w:t>
      </w:r>
      <w:r>
        <w:rPr>
          <w:sz w:val="20"/>
        </w:rPr>
        <w:t>to</w:t>
      </w:r>
      <w:r>
        <w:rPr>
          <w:spacing w:val="-12"/>
          <w:sz w:val="20"/>
        </w:rPr>
        <w:t> </w:t>
      </w:r>
      <w:r>
        <w:rPr>
          <w:sz w:val="20"/>
        </w:rPr>
        <w:t>ensure</w:t>
      </w:r>
      <w:r>
        <w:rPr>
          <w:spacing w:val="-13"/>
          <w:sz w:val="20"/>
        </w:rPr>
        <w:t> </w:t>
      </w:r>
      <w:r>
        <w:rPr>
          <w:sz w:val="20"/>
        </w:rPr>
        <w:t>regular</w:t>
      </w:r>
      <w:r>
        <w:rPr>
          <w:spacing w:val="-12"/>
          <w:sz w:val="20"/>
        </w:rPr>
        <w:t> </w:t>
      </w:r>
      <w:r>
        <w:rPr>
          <w:sz w:val="20"/>
        </w:rPr>
        <w:t>screening of the summaries of the proceedings in the </w:t>
      </w:r>
      <w:r>
        <w:rPr>
          <w:i/>
          <w:sz w:val="20"/>
        </w:rPr>
        <w:t>Abd-Al-Rahman </w:t>
      </w:r>
      <w:r>
        <w:rPr>
          <w:sz w:val="20"/>
        </w:rPr>
        <w:t>case and other video material produced by PIOS. Funds are also needed to maintain the Outreach Monitoring and Evaluation Database</w:t>
      </w:r>
      <w:r>
        <w:rPr>
          <w:spacing w:val="-1"/>
          <w:sz w:val="20"/>
        </w:rPr>
        <w:t> </w:t>
      </w:r>
      <w:r>
        <w:rPr>
          <w:sz w:val="20"/>
        </w:rPr>
        <w:t>of</w:t>
      </w:r>
      <w:r>
        <w:rPr>
          <w:spacing w:val="-3"/>
          <w:sz w:val="20"/>
        </w:rPr>
        <w:t> </w:t>
      </w:r>
      <w:r>
        <w:rPr>
          <w:sz w:val="20"/>
        </w:rPr>
        <w:t>outreach</w:t>
      </w:r>
      <w:r>
        <w:rPr>
          <w:spacing w:val="-3"/>
          <w:sz w:val="20"/>
        </w:rPr>
        <w:t> </w:t>
      </w:r>
      <w:r>
        <w:rPr>
          <w:sz w:val="20"/>
        </w:rPr>
        <w:t>activities, used</w:t>
      </w:r>
      <w:r>
        <w:rPr>
          <w:spacing w:val="-3"/>
          <w:sz w:val="20"/>
        </w:rPr>
        <w:t> </w:t>
      </w:r>
      <w:r>
        <w:rPr>
          <w:sz w:val="20"/>
        </w:rPr>
        <w:t>by</w:t>
      </w:r>
      <w:r>
        <w:rPr>
          <w:spacing w:val="-7"/>
          <w:sz w:val="20"/>
        </w:rPr>
        <w:t> </w:t>
      </w:r>
      <w:r>
        <w:rPr>
          <w:sz w:val="20"/>
        </w:rPr>
        <w:t>teams</w:t>
      </w:r>
      <w:r>
        <w:rPr>
          <w:spacing w:val="-4"/>
          <w:sz w:val="20"/>
        </w:rPr>
        <w:t> </w:t>
      </w:r>
      <w:r>
        <w:rPr>
          <w:sz w:val="20"/>
        </w:rPr>
        <w:t>in</w:t>
      </w:r>
      <w:r>
        <w:rPr>
          <w:spacing w:val="-7"/>
          <w:sz w:val="20"/>
        </w:rPr>
        <w:t> </w:t>
      </w:r>
      <w:r>
        <w:rPr>
          <w:sz w:val="20"/>
        </w:rPr>
        <w:t>the</w:t>
      </w:r>
      <w:r>
        <w:rPr>
          <w:spacing w:val="-1"/>
          <w:sz w:val="20"/>
        </w:rPr>
        <w:t> </w:t>
      </w:r>
      <w:r>
        <w:rPr>
          <w:sz w:val="20"/>
        </w:rPr>
        <w:t>field</w:t>
      </w:r>
      <w:r>
        <w:rPr>
          <w:spacing w:val="-3"/>
          <w:sz w:val="20"/>
        </w:rPr>
        <w:t> </w:t>
      </w:r>
      <w:r>
        <w:rPr>
          <w:sz w:val="20"/>
        </w:rPr>
        <w:t>and</w:t>
      </w:r>
      <w:r>
        <w:rPr>
          <w:spacing w:val="-3"/>
          <w:sz w:val="20"/>
        </w:rPr>
        <w:t> </w:t>
      </w:r>
      <w:r>
        <w:rPr>
          <w:sz w:val="20"/>
        </w:rPr>
        <w:t>at</w:t>
      </w:r>
      <w:r>
        <w:rPr>
          <w:spacing w:val="-1"/>
          <w:sz w:val="20"/>
        </w:rPr>
        <w:t> </w:t>
      </w:r>
      <w:r>
        <w:rPr>
          <w:sz w:val="20"/>
        </w:rPr>
        <w:t>Headquarters</w:t>
      </w:r>
      <w:r>
        <w:rPr>
          <w:spacing w:val="-4"/>
          <w:sz w:val="20"/>
        </w:rPr>
        <w:t> </w:t>
      </w:r>
      <w:r>
        <w:rPr>
          <w:sz w:val="20"/>
        </w:rPr>
        <w:t>to assess and monitor the quality and impact of operations.</w:t>
      </w:r>
    </w:p>
    <w:p>
      <w:pPr>
        <w:pStyle w:val="ListParagraph"/>
        <w:numPr>
          <w:ilvl w:val="0"/>
          <w:numId w:val="4"/>
        </w:numPr>
        <w:tabs>
          <w:tab w:pos="2967" w:val="left" w:leader="none"/>
        </w:tabs>
        <w:spacing w:line="240" w:lineRule="auto" w:before="119" w:after="0"/>
        <w:ind w:left="2246" w:right="2240" w:firstLine="0"/>
        <w:jc w:val="both"/>
        <w:rPr>
          <w:sz w:val="20"/>
        </w:rPr>
      </w:pPr>
      <w:r>
        <w:rPr>
          <w:sz w:val="20"/>
        </w:rPr>
        <w:t>The design of communication campaigns aimed at increasing awareness of the Court</w:t>
      </w:r>
      <w:r>
        <w:rPr>
          <w:spacing w:val="-7"/>
          <w:sz w:val="20"/>
        </w:rPr>
        <w:t> </w:t>
      </w:r>
      <w:r>
        <w:rPr>
          <w:sz w:val="20"/>
        </w:rPr>
        <w:t>using</w:t>
      </w:r>
      <w:r>
        <w:rPr>
          <w:spacing w:val="-8"/>
          <w:sz w:val="20"/>
        </w:rPr>
        <w:t> </w:t>
      </w:r>
      <w:r>
        <w:rPr>
          <w:sz w:val="20"/>
        </w:rPr>
        <w:t>new</w:t>
      </w:r>
      <w:r>
        <w:rPr>
          <w:spacing w:val="-10"/>
          <w:sz w:val="20"/>
        </w:rPr>
        <w:t> </w:t>
      </w:r>
      <w:r>
        <w:rPr>
          <w:sz w:val="20"/>
        </w:rPr>
        <w:t>and</w:t>
      </w:r>
      <w:r>
        <w:rPr>
          <w:spacing w:val="-4"/>
          <w:sz w:val="20"/>
        </w:rPr>
        <w:t> </w:t>
      </w:r>
      <w:r>
        <w:rPr>
          <w:sz w:val="20"/>
        </w:rPr>
        <w:t>innovative</w:t>
      </w:r>
      <w:r>
        <w:rPr>
          <w:spacing w:val="-7"/>
          <w:sz w:val="20"/>
        </w:rPr>
        <w:t> </w:t>
      </w:r>
      <w:r>
        <w:rPr>
          <w:sz w:val="20"/>
        </w:rPr>
        <w:t>communications</w:t>
      </w:r>
      <w:r>
        <w:rPr>
          <w:spacing w:val="-10"/>
          <w:sz w:val="20"/>
        </w:rPr>
        <w:t> </w:t>
      </w:r>
      <w:r>
        <w:rPr>
          <w:sz w:val="20"/>
        </w:rPr>
        <w:t>tools,</w:t>
      </w:r>
      <w:r>
        <w:rPr>
          <w:spacing w:val="-6"/>
          <w:sz w:val="20"/>
        </w:rPr>
        <w:t> </w:t>
      </w:r>
      <w:r>
        <w:rPr>
          <w:sz w:val="20"/>
        </w:rPr>
        <w:t>such</w:t>
      </w:r>
      <w:r>
        <w:rPr>
          <w:spacing w:val="-13"/>
          <w:sz w:val="20"/>
        </w:rPr>
        <w:t> </w:t>
      </w:r>
      <w:r>
        <w:rPr>
          <w:sz w:val="20"/>
        </w:rPr>
        <w:t>as</w:t>
      </w:r>
      <w:r>
        <w:rPr>
          <w:spacing w:val="-4"/>
          <w:sz w:val="20"/>
        </w:rPr>
        <w:t> </w:t>
      </w:r>
      <w:r>
        <w:rPr>
          <w:sz w:val="20"/>
        </w:rPr>
        <w:t>animations,</w:t>
      </w:r>
      <w:r>
        <w:rPr>
          <w:spacing w:val="-1"/>
          <w:sz w:val="20"/>
        </w:rPr>
        <w:t> </w:t>
      </w:r>
      <w:r>
        <w:rPr>
          <w:sz w:val="20"/>
        </w:rPr>
        <w:t>infographics</w:t>
      </w:r>
      <w:r>
        <w:rPr>
          <w:spacing w:val="-10"/>
          <w:sz w:val="20"/>
        </w:rPr>
        <w:t> </w:t>
      </w:r>
      <w:r>
        <w:rPr>
          <w:sz w:val="20"/>
        </w:rPr>
        <w:t>and other shareable resources, will continue to be developed to further ensure the effective dissemination</w:t>
      </w:r>
      <w:r>
        <w:rPr>
          <w:spacing w:val="-5"/>
          <w:sz w:val="20"/>
        </w:rPr>
        <w:t> </w:t>
      </w:r>
      <w:r>
        <w:rPr>
          <w:sz w:val="20"/>
        </w:rPr>
        <w:t>of</w:t>
      </w:r>
      <w:r>
        <w:rPr>
          <w:spacing w:val="-5"/>
          <w:sz w:val="20"/>
        </w:rPr>
        <w:t> </w:t>
      </w:r>
      <w:r>
        <w:rPr>
          <w:sz w:val="20"/>
        </w:rPr>
        <w:t>public</w:t>
      </w:r>
      <w:r>
        <w:rPr>
          <w:spacing w:val="-8"/>
          <w:sz w:val="20"/>
        </w:rPr>
        <w:t> </w:t>
      </w:r>
      <w:r>
        <w:rPr>
          <w:sz w:val="20"/>
        </w:rPr>
        <w:t>information</w:t>
      </w:r>
      <w:r>
        <w:rPr>
          <w:spacing w:val="-9"/>
          <w:sz w:val="20"/>
        </w:rPr>
        <w:t> </w:t>
      </w:r>
      <w:r>
        <w:rPr>
          <w:sz w:val="20"/>
        </w:rPr>
        <w:t>in</w:t>
      </w:r>
      <w:r>
        <w:rPr>
          <w:spacing w:val="-9"/>
          <w:sz w:val="20"/>
        </w:rPr>
        <w:t> </w:t>
      </w:r>
      <w:r>
        <w:rPr>
          <w:sz w:val="20"/>
        </w:rPr>
        <w:t>several</w:t>
      </w:r>
      <w:r>
        <w:rPr>
          <w:spacing w:val="-8"/>
          <w:sz w:val="20"/>
        </w:rPr>
        <w:t> </w:t>
      </w:r>
      <w:r>
        <w:rPr>
          <w:sz w:val="20"/>
        </w:rPr>
        <w:t>languages</w:t>
      </w:r>
      <w:r>
        <w:rPr>
          <w:spacing w:val="-11"/>
          <w:sz w:val="20"/>
        </w:rPr>
        <w:t> </w:t>
      </w:r>
      <w:r>
        <w:rPr>
          <w:sz w:val="20"/>
        </w:rPr>
        <w:t>to</w:t>
      </w:r>
      <w:r>
        <w:rPr>
          <w:spacing w:val="-9"/>
          <w:sz w:val="20"/>
        </w:rPr>
        <w:t> </w:t>
      </w:r>
      <w:r>
        <w:rPr>
          <w:sz w:val="20"/>
        </w:rPr>
        <w:t>the</w:t>
      </w:r>
      <w:r>
        <w:rPr>
          <w:spacing w:val="-8"/>
          <w:sz w:val="20"/>
        </w:rPr>
        <w:t> </w:t>
      </w:r>
      <w:r>
        <w:rPr>
          <w:sz w:val="20"/>
        </w:rPr>
        <w:t>affected</w:t>
      </w:r>
      <w:r>
        <w:rPr>
          <w:spacing w:val="-9"/>
          <w:sz w:val="20"/>
        </w:rPr>
        <w:t> </w:t>
      </w:r>
      <w:r>
        <w:rPr>
          <w:sz w:val="20"/>
        </w:rPr>
        <w:t>communities</w:t>
      </w:r>
      <w:r>
        <w:rPr>
          <w:spacing w:val="-11"/>
          <w:sz w:val="20"/>
        </w:rPr>
        <w:t> </w:t>
      </w:r>
      <w:r>
        <w:rPr>
          <w:sz w:val="20"/>
        </w:rPr>
        <w:t>as</w:t>
      </w:r>
      <w:r>
        <w:rPr>
          <w:spacing w:val="-6"/>
          <w:sz w:val="20"/>
        </w:rPr>
        <w:t> </w:t>
      </w:r>
      <w:r>
        <w:rPr>
          <w:sz w:val="20"/>
        </w:rPr>
        <w:t>well as to the general public and key stakeholders in legal, academic and youth-oriented fields. Lastly, funds are also required to publish and disseminate op-eds and press releases worldwide;</w:t>
      </w:r>
      <w:r>
        <w:rPr>
          <w:spacing w:val="-2"/>
          <w:sz w:val="20"/>
        </w:rPr>
        <w:t> </w:t>
      </w:r>
      <w:r>
        <w:rPr>
          <w:sz w:val="20"/>
        </w:rPr>
        <w:t>produce</w:t>
      </w:r>
      <w:r>
        <w:rPr>
          <w:spacing w:val="-2"/>
          <w:sz w:val="20"/>
        </w:rPr>
        <w:t> </w:t>
      </w:r>
      <w:r>
        <w:rPr>
          <w:sz w:val="20"/>
        </w:rPr>
        <w:t>USBs</w:t>
      </w:r>
      <w:r>
        <w:rPr>
          <w:spacing w:val="-5"/>
          <w:sz w:val="20"/>
        </w:rPr>
        <w:t> </w:t>
      </w:r>
      <w:r>
        <w:rPr>
          <w:sz w:val="20"/>
        </w:rPr>
        <w:t>and</w:t>
      </w:r>
      <w:r>
        <w:rPr>
          <w:spacing w:val="-4"/>
          <w:sz w:val="20"/>
        </w:rPr>
        <w:t> </w:t>
      </w:r>
      <w:r>
        <w:rPr>
          <w:sz w:val="20"/>
        </w:rPr>
        <w:t>printed versions</w:t>
      </w:r>
      <w:r>
        <w:rPr>
          <w:spacing w:val="-5"/>
          <w:sz w:val="20"/>
        </w:rPr>
        <w:t> </w:t>
      </w:r>
      <w:r>
        <w:rPr>
          <w:sz w:val="20"/>
        </w:rPr>
        <w:t>of</w:t>
      </w:r>
      <w:r>
        <w:rPr>
          <w:spacing w:val="-4"/>
          <w:sz w:val="20"/>
        </w:rPr>
        <w:t> </w:t>
      </w:r>
      <w:r>
        <w:rPr>
          <w:sz w:val="20"/>
        </w:rPr>
        <w:t>Court</w:t>
      </w:r>
      <w:r>
        <w:rPr>
          <w:spacing w:val="-2"/>
          <w:sz w:val="20"/>
        </w:rPr>
        <w:t> </w:t>
      </w:r>
      <w:r>
        <w:rPr>
          <w:sz w:val="20"/>
        </w:rPr>
        <w:t>publications;</w:t>
      </w:r>
      <w:r>
        <w:rPr>
          <w:spacing w:val="-2"/>
          <w:sz w:val="20"/>
        </w:rPr>
        <w:t> </w:t>
      </w:r>
      <w:r>
        <w:rPr>
          <w:sz w:val="20"/>
        </w:rPr>
        <w:t>upgrade</w:t>
      </w:r>
      <w:r>
        <w:rPr>
          <w:spacing w:val="-7"/>
          <w:sz w:val="20"/>
        </w:rPr>
        <w:t> </w:t>
      </w:r>
      <w:r>
        <w:rPr>
          <w:sz w:val="20"/>
        </w:rPr>
        <w:t>and</w:t>
      </w:r>
      <w:r>
        <w:rPr>
          <w:spacing w:val="-8"/>
          <w:sz w:val="20"/>
        </w:rPr>
        <w:t> </w:t>
      </w:r>
      <w:r>
        <w:rPr>
          <w:sz w:val="20"/>
        </w:rPr>
        <w:t>maintain the Visitor</w:t>
      </w:r>
      <w:r>
        <w:rPr>
          <w:spacing w:val="-4"/>
          <w:sz w:val="20"/>
        </w:rPr>
        <w:t> </w:t>
      </w:r>
      <w:r>
        <w:rPr>
          <w:sz w:val="20"/>
        </w:rPr>
        <w:t>Centre; strategically</w:t>
      </w:r>
      <w:r>
        <w:rPr>
          <w:spacing w:val="-4"/>
          <w:sz w:val="20"/>
        </w:rPr>
        <w:t> </w:t>
      </w:r>
      <w:r>
        <w:rPr>
          <w:sz w:val="20"/>
        </w:rPr>
        <w:t>build contacts with</w:t>
      </w:r>
      <w:r>
        <w:rPr>
          <w:spacing w:val="-4"/>
          <w:sz w:val="20"/>
        </w:rPr>
        <w:t> </w:t>
      </w:r>
      <w:r>
        <w:rPr>
          <w:sz w:val="20"/>
        </w:rPr>
        <w:t>influencers to increase</w:t>
      </w:r>
      <w:r>
        <w:rPr>
          <w:spacing w:val="-2"/>
          <w:sz w:val="20"/>
        </w:rPr>
        <w:t> </w:t>
      </w:r>
      <w:r>
        <w:rPr>
          <w:sz w:val="20"/>
        </w:rPr>
        <w:t>the</w:t>
      </w:r>
      <w:r>
        <w:rPr>
          <w:spacing w:val="-2"/>
          <w:sz w:val="20"/>
        </w:rPr>
        <w:t> </w:t>
      </w:r>
      <w:r>
        <w:rPr>
          <w:sz w:val="20"/>
        </w:rPr>
        <w:t>impact of</w:t>
      </w:r>
      <w:r>
        <w:rPr>
          <w:spacing w:val="-4"/>
          <w:sz w:val="20"/>
        </w:rPr>
        <w:t> </w:t>
      </w:r>
      <w:r>
        <w:rPr>
          <w:sz w:val="20"/>
        </w:rPr>
        <w:t>the activities, in line with the Court’s social media strategy; and upgrade the Court’s website services and develop new features.</w:t>
      </w:r>
    </w:p>
    <w:p>
      <w:pPr>
        <w:spacing w:after="0" w:line="240" w:lineRule="auto"/>
        <w:jc w:val="both"/>
        <w:rPr>
          <w:sz w:val="20"/>
        </w:rPr>
        <w:sectPr>
          <w:pgSz w:w="11910" w:h="16840"/>
          <w:pgMar w:header="957" w:footer="940" w:top="1140" w:bottom="1140" w:left="20" w:right="20"/>
        </w:sectPr>
      </w:pPr>
    </w:p>
    <w:p>
      <w:pPr>
        <w:pStyle w:val="ListParagraph"/>
        <w:numPr>
          <w:ilvl w:val="0"/>
          <w:numId w:val="4"/>
        </w:numPr>
        <w:tabs>
          <w:tab w:pos="2967" w:val="left" w:leader="none"/>
        </w:tabs>
        <w:spacing w:line="240" w:lineRule="auto" w:before="124" w:after="0"/>
        <w:ind w:left="2246" w:right="2243" w:firstLine="0"/>
        <w:jc w:val="both"/>
        <w:rPr>
          <w:sz w:val="20"/>
        </w:rPr>
      </w:pPr>
      <w:r>
        <w:rPr>
          <w:sz w:val="20"/>
        </w:rPr>
        <w:t>For 2023, the resources requested for the external offices (€891.5 thousand) have increased slightly by €7.1 thousand (0.8 per cent) as compared with the approved budget</w:t>
      </w:r>
      <w:r>
        <w:rPr>
          <w:spacing w:val="80"/>
          <w:sz w:val="20"/>
        </w:rPr>
        <w:t> </w:t>
      </w:r>
      <w:r>
        <w:rPr>
          <w:sz w:val="20"/>
        </w:rPr>
        <w:t>for 2022. The requested resources continue to be required for security measures to be implemented</w:t>
      </w:r>
      <w:r>
        <w:rPr>
          <w:spacing w:val="-9"/>
          <w:sz w:val="20"/>
        </w:rPr>
        <w:t> </w:t>
      </w:r>
      <w:r>
        <w:rPr>
          <w:sz w:val="20"/>
        </w:rPr>
        <w:t>in</w:t>
      </w:r>
      <w:r>
        <w:rPr>
          <w:spacing w:val="-9"/>
          <w:sz w:val="20"/>
        </w:rPr>
        <w:t> </w:t>
      </w:r>
      <w:r>
        <w:rPr>
          <w:sz w:val="20"/>
        </w:rPr>
        <w:t>the</w:t>
      </w:r>
      <w:r>
        <w:rPr>
          <w:spacing w:val="-11"/>
          <w:sz w:val="20"/>
        </w:rPr>
        <w:t> </w:t>
      </w:r>
      <w:r>
        <w:rPr>
          <w:sz w:val="20"/>
        </w:rPr>
        <w:t>country</w:t>
      </w:r>
      <w:r>
        <w:rPr>
          <w:spacing w:val="-9"/>
          <w:sz w:val="20"/>
        </w:rPr>
        <w:t> </w:t>
      </w:r>
      <w:r>
        <w:rPr>
          <w:sz w:val="20"/>
        </w:rPr>
        <w:t>offices,</w:t>
      </w:r>
      <w:r>
        <w:rPr>
          <w:spacing w:val="-7"/>
          <w:sz w:val="20"/>
        </w:rPr>
        <w:t> </w:t>
      </w:r>
      <w:r>
        <w:rPr>
          <w:sz w:val="20"/>
        </w:rPr>
        <w:t>transportation</w:t>
      </w:r>
      <w:r>
        <w:rPr>
          <w:spacing w:val="-9"/>
          <w:sz w:val="20"/>
        </w:rPr>
        <w:t> </w:t>
      </w:r>
      <w:r>
        <w:rPr>
          <w:sz w:val="20"/>
        </w:rPr>
        <w:t>and</w:t>
      </w:r>
      <w:r>
        <w:rPr>
          <w:spacing w:val="-9"/>
          <w:sz w:val="20"/>
        </w:rPr>
        <w:t> </w:t>
      </w:r>
      <w:r>
        <w:rPr>
          <w:sz w:val="20"/>
        </w:rPr>
        <w:t>protection</w:t>
      </w:r>
      <w:r>
        <w:rPr>
          <w:spacing w:val="-9"/>
          <w:sz w:val="20"/>
        </w:rPr>
        <w:t> </w:t>
      </w:r>
      <w:r>
        <w:rPr>
          <w:sz w:val="20"/>
        </w:rPr>
        <w:t>services</w:t>
      </w:r>
      <w:r>
        <w:rPr>
          <w:spacing w:val="-6"/>
          <w:sz w:val="20"/>
        </w:rPr>
        <w:t> </w:t>
      </w:r>
      <w:r>
        <w:rPr>
          <w:sz w:val="20"/>
        </w:rPr>
        <w:t>for</w:t>
      </w:r>
      <w:r>
        <w:rPr>
          <w:spacing w:val="-9"/>
          <w:sz w:val="20"/>
        </w:rPr>
        <w:t> </w:t>
      </w:r>
      <w:r>
        <w:rPr>
          <w:sz w:val="20"/>
        </w:rPr>
        <w:t>missions,</w:t>
      </w:r>
      <w:r>
        <w:rPr>
          <w:spacing w:val="-7"/>
          <w:sz w:val="20"/>
        </w:rPr>
        <w:t> </w:t>
      </w:r>
      <w:r>
        <w:rPr>
          <w:sz w:val="20"/>
        </w:rPr>
        <w:t>local police</w:t>
      </w:r>
      <w:r>
        <w:rPr>
          <w:spacing w:val="-2"/>
          <w:sz w:val="20"/>
        </w:rPr>
        <w:t> </w:t>
      </w:r>
      <w:r>
        <w:rPr>
          <w:sz w:val="20"/>
        </w:rPr>
        <w:t>support</w:t>
      </w:r>
      <w:r>
        <w:rPr>
          <w:spacing w:val="-7"/>
          <w:sz w:val="20"/>
        </w:rPr>
        <w:t> </w:t>
      </w:r>
      <w:r>
        <w:rPr>
          <w:sz w:val="20"/>
        </w:rPr>
        <w:t>in</w:t>
      </w:r>
      <w:r>
        <w:rPr>
          <w:spacing w:val="-4"/>
          <w:sz w:val="20"/>
        </w:rPr>
        <w:t> </w:t>
      </w:r>
      <w:r>
        <w:rPr>
          <w:sz w:val="20"/>
        </w:rPr>
        <w:t>situation</w:t>
      </w:r>
      <w:r>
        <w:rPr>
          <w:spacing w:val="-8"/>
          <w:sz w:val="20"/>
        </w:rPr>
        <w:t> </w:t>
      </w:r>
      <w:r>
        <w:rPr>
          <w:sz w:val="20"/>
        </w:rPr>
        <w:t>countries</w:t>
      </w:r>
      <w:r>
        <w:rPr>
          <w:spacing w:val="-5"/>
          <w:sz w:val="20"/>
        </w:rPr>
        <w:t> </w:t>
      </w:r>
      <w:r>
        <w:rPr>
          <w:sz w:val="20"/>
        </w:rPr>
        <w:t>on</w:t>
      </w:r>
      <w:r>
        <w:rPr>
          <w:spacing w:val="-8"/>
          <w:sz w:val="20"/>
        </w:rPr>
        <w:t> </w:t>
      </w:r>
      <w:r>
        <w:rPr>
          <w:sz w:val="20"/>
        </w:rPr>
        <w:t>a</w:t>
      </w:r>
      <w:r>
        <w:rPr>
          <w:spacing w:val="-2"/>
          <w:sz w:val="20"/>
        </w:rPr>
        <w:t> </w:t>
      </w:r>
      <w:r>
        <w:rPr>
          <w:sz w:val="20"/>
        </w:rPr>
        <w:t>cost</w:t>
      </w:r>
      <w:r>
        <w:rPr>
          <w:spacing w:val="-7"/>
          <w:sz w:val="20"/>
        </w:rPr>
        <w:t> </w:t>
      </w:r>
      <w:r>
        <w:rPr>
          <w:sz w:val="20"/>
        </w:rPr>
        <w:t>recovery</w:t>
      </w:r>
      <w:r>
        <w:rPr>
          <w:spacing w:val="-4"/>
          <w:sz w:val="20"/>
        </w:rPr>
        <w:t> </w:t>
      </w:r>
      <w:r>
        <w:rPr>
          <w:sz w:val="20"/>
        </w:rPr>
        <w:t>basis,</w:t>
      </w:r>
      <w:r>
        <w:rPr>
          <w:spacing w:val="-6"/>
          <w:sz w:val="20"/>
        </w:rPr>
        <w:t> </w:t>
      </w:r>
      <w:r>
        <w:rPr>
          <w:sz w:val="20"/>
        </w:rPr>
        <w:t>local</w:t>
      </w:r>
      <w:r>
        <w:rPr>
          <w:spacing w:val="-7"/>
          <w:sz w:val="20"/>
        </w:rPr>
        <w:t> </w:t>
      </w:r>
      <w:r>
        <w:rPr>
          <w:sz w:val="20"/>
        </w:rPr>
        <w:t>cost</w:t>
      </w:r>
      <w:r>
        <w:rPr>
          <w:spacing w:val="-2"/>
          <w:sz w:val="20"/>
        </w:rPr>
        <w:t> </w:t>
      </w:r>
      <w:r>
        <w:rPr>
          <w:sz w:val="20"/>
        </w:rPr>
        <w:t>sharing</w:t>
      </w:r>
      <w:r>
        <w:rPr>
          <w:spacing w:val="-4"/>
          <w:sz w:val="20"/>
        </w:rPr>
        <w:t> </w:t>
      </w:r>
      <w:r>
        <w:rPr>
          <w:sz w:val="20"/>
        </w:rPr>
        <w:t>for</w:t>
      </w:r>
      <w:r>
        <w:rPr>
          <w:spacing w:val="-4"/>
          <w:sz w:val="20"/>
        </w:rPr>
        <w:t> </w:t>
      </w:r>
      <w:r>
        <w:rPr>
          <w:sz w:val="20"/>
        </w:rPr>
        <w:t>UNSMS, outreach and victim participation and reparations</w:t>
      </w:r>
      <w:r>
        <w:rPr>
          <w:spacing w:val="-1"/>
          <w:sz w:val="20"/>
        </w:rPr>
        <w:t> </w:t>
      </w:r>
      <w:r>
        <w:rPr>
          <w:sz w:val="20"/>
        </w:rPr>
        <w:t>activities in the field. The increases in the resources requested by</w:t>
      </w:r>
      <w:r>
        <w:rPr>
          <w:spacing w:val="-4"/>
          <w:sz w:val="20"/>
        </w:rPr>
        <w:t> </w:t>
      </w:r>
      <w:r>
        <w:rPr>
          <w:sz w:val="20"/>
        </w:rPr>
        <w:t>the</w:t>
      </w:r>
      <w:r>
        <w:rPr>
          <w:spacing w:val="-2"/>
          <w:sz w:val="20"/>
        </w:rPr>
        <w:t> </w:t>
      </w:r>
      <w:r>
        <w:rPr>
          <w:sz w:val="20"/>
        </w:rPr>
        <w:t>country offices</w:t>
      </w:r>
      <w:r>
        <w:rPr>
          <w:spacing w:val="-5"/>
          <w:sz w:val="20"/>
        </w:rPr>
        <w:t> </w:t>
      </w:r>
      <w:r>
        <w:rPr>
          <w:sz w:val="20"/>
        </w:rPr>
        <w:t>in</w:t>
      </w:r>
      <w:r>
        <w:rPr>
          <w:spacing w:val="-4"/>
          <w:sz w:val="20"/>
        </w:rPr>
        <w:t> </w:t>
      </w:r>
      <w:r>
        <w:rPr>
          <w:sz w:val="20"/>
        </w:rPr>
        <w:t>Sudan</w:t>
      </w:r>
      <w:r>
        <w:rPr>
          <w:spacing w:val="-8"/>
          <w:sz w:val="20"/>
        </w:rPr>
        <w:t> </w:t>
      </w:r>
      <w:r>
        <w:rPr>
          <w:sz w:val="20"/>
        </w:rPr>
        <w:t>and</w:t>
      </w:r>
      <w:r>
        <w:rPr>
          <w:spacing w:val="-4"/>
          <w:sz w:val="20"/>
        </w:rPr>
        <w:t> </w:t>
      </w:r>
      <w:r>
        <w:rPr>
          <w:sz w:val="20"/>
        </w:rPr>
        <w:t>in</w:t>
      </w:r>
      <w:r>
        <w:rPr>
          <w:spacing w:val="-4"/>
          <w:sz w:val="20"/>
        </w:rPr>
        <w:t> </w:t>
      </w:r>
      <w:r>
        <w:rPr>
          <w:sz w:val="20"/>
        </w:rPr>
        <w:t>the CAR</w:t>
      </w:r>
      <w:r>
        <w:rPr>
          <w:spacing w:val="-4"/>
          <w:sz w:val="20"/>
        </w:rPr>
        <w:t> </w:t>
      </w:r>
      <w:r>
        <w:rPr>
          <w:sz w:val="20"/>
        </w:rPr>
        <w:t>have</w:t>
      </w:r>
      <w:r>
        <w:rPr>
          <w:spacing w:val="-2"/>
          <w:sz w:val="20"/>
        </w:rPr>
        <w:t> </w:t>
      </w:r>
      <w:r>
        <w:rPr>
          <w:sz w:val="20"/>
        </w:rPr>
        <w:t>been</w:t>
      </w:r>
      <w:r>
        <w:rPr>
          <w:spacing w:val="-4"/>
          <w:sz w:val="20"/>
        </w:rPr>
        <w:t> </w:t>
      </w:r>
      <w:r>
        <w:rPr>
          <w:sz w:val="20"/>
        </w:rPr>
        <w:t>offset</w:t>
      </w:r>
      <w:r>
        <w:rPr>
          <w:spacing w:val="-2"/>
          <w:sz w:val="20"/>
        </w:rPr>
        <w:t> </w:t>
      </w:r>
      <w:r>
        <w:rPr>
          <w:sz w:val="20"/>
        </w:rPr>
        <w:t>almost completely by the decreases proposed by the other country offices and thus the resources requested by the Court’s external offices are more or less cost neutral despite a significant scale-up of the activities in Sudan and the CAR.</w:t>
      </w:r>
    </w:p>
    <w:p>
      <w:pPr>
        <w:pStyle w:val="ListParagraph"/>
        <w:numPr>
          <w:ilvl w:val="0"/>
          <w:numId w:val="4"/>
        </w:numPr>
        <w:tabs>
          <w:tab w:pos="2967" w:val="left" w:leader="none"/>
        </w:tabs>
        <w:spacing w:line="240" w:lineRule="auto" w:before="120" w:after="0"/>
        <w:ind w:left="2246" w:right="2242" w:firstLine="0"/>
        <w:jc w:val="both"/>
        <w:rPr>
          <w:sz w:val="20"/>
        </w:rPr>
      </w:pPr>
      <w:r>
        <w:rPr>
          <w:sz w:val="20"/>
        </w:rPr>
        <w:t>In addition to an amount of €19.8 thousand requested for the Country Office (Uganda) for support to activities in Sudan from Uganda for 2022 following the commencement of the </w:t>
      </w:r>
      <w:r>
        <w:rPr>
          <w:i/>
          <w:sz w:val="20"/>
        </w:rPr>
        <w:t>Abd-Al-Rahman </w:t>
      </w:r>
      <w:r>
        <w:rPr>
          <w:sz w:val="20"/>
        </w:rPr>
        <w:t>trial and the anticipated opening of a country office in</w:t>
      </w:r>
      <w:r>
        <w:rPr>
          <w:spacing w:val="-8"/>
          <w:sz w:val="20"/>
        </w:rPr>
        <w:t> </w:t>
      </w:r>
      <w:r>
        <w:rPr>
          <w:sz w:val="20"/>
        </w:rPr>
        <w:t>Sudan,</w:t>
      </w:r>
      <w:r>
        <w:rPr>
          <w:spacing w:val="-11"/>
          <w:sz w:val="20"/>
        </w:rPr>
        <w:t> </w:t>
      </w:r>
      <w:r>
        <w:rPr>
          <w:sz w:val="20"/>
        </w:rPr>
        <w:t>an</w:t>
      </w:r>
      <w:r>
        <w:rPr>
          <w:spacing w:val="-13"/>
          <w:sz w:val="20"/>
        </w:rPr>
        <w:t> </w:t>
      </w:r>
      <w:r>
        <w:rPr>
          <w:sz w:val="20"/>
        </w:rPr>
        <w:t>additional</w:t>
      </w:r>
      <w:r>
        <w:rPr>
          <w:spacing w:val="-11"/>
          <w:sz w:val="20"/>
        </w:rPr>
        <w:t> </w:t>
      </w:r>
      <w:r>
        <w:rPr>
          <w:sz w:val="20"/>
        </w:rPr>
        <w:t>amount</w:t>
      </w:r>
      <w:r>
        <w:rPr>
          <w:spacing w:val="-12"/>
          <w:sz w:val="20"/>
        </w:rPr>
        <w:t> </w:t>
      </w:r>
      <w:r>
        <w:rPr>
          <w:sz w:val="20"/>
        </w:rPr>
        <w:t>of</w:t>
      </w:r>
      <w:r>
        <w:rPr>
          <w:spacing w:val="-8"/>
          <w:sz w:val="20"/>
        </w:rPr>
        <w:t> </w:t>
      </w:r>
      <w:r>
        <w:rPr>
          <w:sz w:val="20"/>
        </w:rPr>
        <w:t>€73.5</w:t>
      </w:r>
      <w:r>
        <w:rPr>
          <w:spacing w:val="-13"/>
          <w:sz w:val="20"/>
        </w:rPr>
        <w:t> </w:t>
      </w:r>
      <w:r>
        <w:rPr>
          <w:sz w:val="20"/>
        </w:rPr>
        <w:t>thousand</w:t>
      </w:r>
      <w:r>
        <w:rPr>
          <w:spacing w:val="-12"/>
          <w:sz w:val="20"/>
        </w:rPr>
        <w:t> </w:t>
      </w:r>
      <w:r>
        <w:rPr>
          <w:sz w:val="20"/>
        </w:rPr>
        <w:t>is</w:t>
      </w:r>
      <w:r>
        <w:rPr>
          <w:spacing w:val="-10"/>
          <w:sz w:val="20"/>
        </w:rPr>
        <w:t> </w:t>
      </w:r>
      <w:r>
        <w:rPr>
          <w:sz w:val="20"/>
        </w:rPr>
        <w:t>requested</w:t>
      </w:r>
      <w:r>
        <w:rPr>
          <w:spacing w:val="-13"/>
          <w:sz w:val="20"/>
        </w:rPr>
        <w:t> </w:t>
      </w:r>
      <w:r>
        <w:rPr>
          <w:sz w:val="20"/>
        </w:rPr>
        <w:t>for</w:t>
      </w:r>
      <w:r>
        <w:rPr>
          <w:spacing w:val="-7"/>
          <w:sz w:val="20"/>
        </w:rPr>
        <w:t> </w:t>
      </w:r>
      <w:r>
        <w:rPr>
          <w:sz w:val="20"/>
        </w:rPr>
        <w:t>the</w:t>
      </w:r>
      <w:r>
        <w:rPr>
          <w:spacing w:val="-12"/>
          <w:sz w:val="20"/>
        </w:rPr>
        <w:t> </w:t>
      </w:r>
      <w:r>
        <w:rPr>
          <w:sz w:val="20"/>
        </w:rPr>
        <w:t>country</w:t>
      </w:r>
      <w:r>
        <w:rPr>
          <w:spacing w:val="-13"/>
          <w:sz w:val="20"/>
        </w:rPr>
        <w:t> </w:t>
      </w:r>
      <w:r>
        <w:rPr>
          <w:sz w:val="20"/>
        </w:rPr>
        <w:t>office</w:t>
      </w:r>
      <w:r>
        <w:rPr>
          <w:spacing w:val="-10"/>
          <w:sz w:val="20"/>
        </w:rPr>
        <w:t> </w:t>
      </w:r>
      <w:r>
        <w:rPr>
          <w:sz w:val="20"/>
        </w:rPr>
        <w:t>in</w:t>
      </w:r>
      <w:r>
        <w:rPr>
          <w:spacing w:val="-8"/>
          <w:sz w:val="20"/>
        </w:rPr>
        <w:t> </w:t>
      </w:r>
      <w:r>
        <w:rPr>
          <w:sz w:val="20"/>
        </w:rPr>
        <w:t>Sudan for 2023. The requested amount will cover the rental costs of the office premises</w:t>
      </w:r>
      <w:r>
        <w:rPr>
          <w:spacing w:val="-1"/>
          <w:sz w:val="20"/>
        </w:rPr>
        <w:t> </w:t>
      </w:r>
      <w:r>
        <w:rPr>
          <w:sz w:val="20"/>
        </w:rPr>
        <w:t>in Sudan, vehicles, security measures to be implemented in the country office, and mission support provided</w:t>
      </w:r>
      <w:r>
        <w:rPr>
          <w:spacing w:val="-4"/>
          <w:sz w:val="20"/>
        </w:rPr>
        <w:t> </w:t>
      </w:r>
      <w:r>
        <w:rPr>
          <w:sz w:val="20"/>
        </w:rPr>
        <w:t>by</w:t>
      </w:r>
      <w:r>
        <w:rPr>
          <w:spacing w:val="-8"/>
          <w:sz w:val="20"/>
        </w:rPr>
        <w:t> </w:t>
      </w:r>
      <w:r>
        <w:rPr>
          <w:sz w:val="20"/>
        </w:rPr>
        <w:t>the</w:t>
      </w:r>
      <w:r>
        <w:rPr>
          <w:spacing w:val="-2"/>
          <w:sz w:val="20"/>
        </w:rPr>
        <w:t> </w:t>
      </w:r>
      <w:r>
        <w:rPr>
          <w:sz w:val="20"/>
        </w:rPr>
        <w:t>UN</w:t>
      </w:r>
      <w:r>
        <w:rPr>
          <w:spacing w:val="-5"/>
          <w:sz w:val="20"/>
        </w:rPr>
        <w:t> </w:t>
      </w:r>
      <w:r>
        <w:rPr>
          <w:sz w:val="20"/>
        </w:rPr>
        <w:t>and</w:t>
      </w:r>
      <w:r>
        <w:rPr>
          <w:spacing w:val="-1"/>
          <w:sz w:val="20"/>
        </w:rPr>
        <w:t> </w:t>
      </w:r>
      <w:r>
        <w:rPr>
          <w:sz w:val="20"/>
        </w:rPr>
        <w:t>UNSMS</w:t>
      </w:r>
      <w:r>
        <w:rPr>
          <w:spacing w:val="-5"/>
          <w:sz w:val="20"/>
        </w:rPr>
        <w:t> </w:t>
      </w:r>
      <w:r>
        <w:rPr>
          <w:sz w:val="20"/>
        </w:rPr>
        <w:t>cost-shared</w:t>
      </w:r>
      <w:r>
        <w:rPr>
          <w:spacing w:val="-4"/>
          <w:sz w:val="20"/>
        </w:rPr>
        <w:t> </w:t>
      </w:r>
      <w:r>
        <w:rPr>
          <w:sz w:val="20"/>
        </w:rPr>
        <w:t>budget.</w:t>
      </w:r>
      <w:r>
        <w:rPr>
          <w:spacing w:val="-6"/>
          <w:sz w:val="20"/>
        </w:rPr>
        <w:t> </w:t>
      </w:r>
      <w:r>
        <w:rPr>
          <w:sz w:val="20"/>
        </w:rPr>
        <w:t>The</w:t>
      </w:r>
      <w:r>
        <w:rPr>
          <w:spacing w:val="-2"/>
          <w:sz w:val="20"/>
        </w:rPr>
        <w:t> </w:t>
      </w:r>
      <w:r>
        <w:rPr>
          <w:sz w:val="20"/>
        </w:rPr>
        <w:t>Court</w:t>
      </w:r>
      <w:r>
        <w:rPr>
          <w:spacing w:val="-2"/>
          <w:sz w:val="20"/>
        </w:rPr>
        <w:t> </w:t>
      </w:r>
      <w:r>
        <w:rPr>
          <w:sz w:val="20"/>
        </w:rPr>
        <w:t>has</w:t>
      </w:r>
      <w:r>
        <w:rPr>
          <w:spacing w:val="-5"/>
          <w:sz w:val="20"/>
        </w:rPr>
        <w:t> </w:t>
      </w:r>
      <w:r>
        <w:rPr>
          <w:sz w:val="20"/>
        </w:rPr>
        <w:t>been</w:t>
      </w:r>
      <w:r>
        <w:rPr>
          <w:spacing w:val="-4"/>
          <w:sz w:val="20"/>
        </w:rPr>
        <w:t> </w:t>
      </w:r>
      <w:r>
        <w:rPr>
          <w:sz w:val="20"/>
        </w:rPr>
        <w:t>relying</w:t>
      </w:r>
      <w:r>
        <w:rPr>
          <w:spacing w:val="-4"/>
          <w:sz w:val="20"/>
        </w:rPr>
        <w:t> </w:t>
      </w:r>
      <w:r>
        <w:rPr>
          <w:sz w:val="20"/>
        </w:rPr>
        <w:t>heavily</w:t>
      </w:r>
      <w:r>
        <w:rPr>
          <w:spacing w:val="-4"/>
          <w:sz w:val="20"/>
        </w:rPr>
        <w:t> </w:t>
      </w:r>
      <w:r>
        <w:rPr>
          <w:sz w:val="20"/>
        </w:rPr>
        <w:t>on the</w:t>
      </w:r>
      <w:r>
        <w:rPr>
          <w:spacing w:val="-7"/>
          <w:sz w:val="20"/>
        </w:rPr>
        <w:t> </w:t>
      </w:r>
      <w:r>
        <w:rPr>
          <w:sz w:val="20"/>
        </w:rPr>
        <w:t>UN</w:t>
      </w:r>
      <w:r>
        <w:rPr>
          <w:spacing w:val="-10"/>
          <w:sz w:val="20"/>
        </w:rPr>
        <w:t> </w:t>
      </w:r>
      <w:r>
        <w:rPr>
          <w:sz w:val="20"/>
        </w:rPr>
        <w:t>to</w:t>
      </w:r>
      <w:r>
        <w:rPr>
          <w:spacing w:val="-13"/>
          <w:sz w:val="20"/>
        </w:rPr>
        <w:t> </w:t>
      </w:r>
      <w:r>
        <w:rPr>
          <w:sz w:val="20"/>
        </w:rPr>
        <w:t>provide</w:t>
      </w:r>
      <w:r>
        <w:rPr>
          <w:spacing w:val="-10"/>
          <w:sz w:val="20"/>
        </w:rPr>
        <w:t> </w:t>
      </w:r>
      <w:r>
        <w:rPr>
          <w:sz w:val="20"/>
        </w:rPr>
        <w:t>the</w:t>
      </w:r>
      <w:r>
        <w:rPr>
          <w:spacing w:val="-7"/>
          <w:sz w:val="20"/>
        </w:rPr>
        <w:t> </w:t>
      </w:r>
      <w:r>
        <w:rPr>
          <w:sz w:val="20"/>
        </w:rPr>
        <w:t>necessary</w:t>
      </w:r>
      <w:r>
        <w:rPr>
          <w:spacing w:val="-13"/>
          <w:sz w:val="20"/>
        </w:rPr>
        <w:t> </w:t>
      </w:r>
      <w:r>
        <w:rPr>
          <w:sz w:val="20"/>
        </w:rPr>
        <w:t>mission</w:t>
      </w:r>
      <w:r>
        <w:rPr>
          <w:spacing w:val="-7"/>
          <w:sz w:val="20"/>
        </w:rPr>
        <w:t> </w:t>
      </w:r>
      <w:r>
        <w:rPr>
          <w:sz w:val="20"/>
        </w:rPr>
        <w:t>support</w:t>
      </w:r>
      <w:r>
        <w:rPr>
          <w:spacing w:val="-7"/>
          <w:sz w:val="20"/>
        </w:rPr>
        <w:t> </w:t>
      </w:r>
      <w:r>
        <w:rPr>
          <w:sz w:val="20"/>
        </w:rPr>
        <w:t>on</w:t>
      </w:r>
      <w:r>
        <w:rPr>
          <w:spacing w:val="-8"/>
          <w:sz w:val="20"/>
        </w:rPr>
        <w:t> </w:t>
      </w:r>
      <w:r>
        <w:rPr>
          <w:sz w:val="20"/>
        </w:rPr>
        <w:t>a</w:t>
      </w:r>
      <w:r>
        <w:rPr>
          <w:spacing w:val="-11"/>
          <w:sz w:val="20"/>
        </w:rPr>
        <w:t> </w:t>
      </w:r>
      <w:r>
        <w:rPr>
          <w:sz w:val="20"/>
        </w:rPr>
        <w:t>contractual</w:t>
      </w:r>
      <w:r>
        <w:rPr>
          <w:spacing w:val="-12"/>
          <w:sz w:val="20"/>
        </w:rPr>
        <w:t> </w:t>
      </w:r>
      <w:r>
        <w:rPr>
          <w:sz w:val="20"/>
        </w:rPr>
        <w:t>and</w:t>
      </w:r>
      <w:r>
        <w:rPr>
          <w:spacing w:val="-8"/>
          <w:sz w:val="20"/>
        </w:rPr>
        <w:t> </w:t>
      </w:r>
      <w:r>
        <w:rPr>
          <w:sz w:val="20"/>
        </w:rPr>
        <w:t>cost</w:t>
      </w:r>
      <w:r>
        <w:rPr>
          <w:spacing w:val="-7"/>
          <w:sz w:val="20"/>
        </w:rPr>
        <w:t> </w:t>
      </w:r>
      <w:r>
        <w:rPr>
          <w:sz w:val="20"/>
        </w:rPr>
        <w:t>recovery</w:t>
      </w:r>
      <w:r>
        <w:rPr>
          <w:spacing w:val="-8"/>
          <w:sz w:val="20"/>
        </w:rPr>
        <w:t> </w:t>
      </w:r>
      <w:r>
        <w:rPr>
          <w:sz w:val="20"/>
        </w:rPr>
        <w:t>basis</w:t>
      </w:r>
      <w:r>
        <w:rPr>
          <w:spacing w:val="-10"/>
          <w:sz w:val="20"/>
        </w:rPr>
        <w:t> </w:t>
      </w:r>
      <w:r>
        <w:rPr>
          <w:sz w:val="20"/>
        </w:rPr>
        <w:t>and thus the required resources are requested for contractual services rather than for general operational expenses.</w:t>
      </w:r>
    </w:p>
    <w:p>
      <w:pPr>
        <w:pStyle w:val="ListParagraph"/>
        <w:numPr>
          <w:ilvl w:val="0"/>
          <w:numId w:val="4"/>
        </w:numPr>
        <w:tabs>
          <w:tab w:pos="2967" w:val="left" w:leader="none"/>
        </w:tabs>
        <w:spacing w:line="240" w:lineRule="auto" w:before="126" w:after="0"/>
        <w:ind w:left="2246" w:right="2239" w:firstLine="0"/>
        <w:jc w:val="both"/>
        <w:rPr>
          <w:sz w:val="20"/>
        </w:rPr>
      </w:pPr>
      <w:r>
        <w:rPr>
          <w:sz w:val="20"/>
        </w:rPr>
        <w:t>An increase of €6.3 thousand (1.8 per cent) as compared with the approved resources</w:t>
      </w:r>
      <w:r>
        <w:rPr>
          <w:spacing w:val="-5"/>
          <w:sz w:val="20"/>
        </w:rPr>
        <w:t> </w:t>
      </w:r>
      <w:r>
        <w:rPr>
          <w:sz w:val="20"/>
        </w:rPr>
        <w:t>for</w:t>
      </w:r>
      <w:r>
        <w:rPr>
          <w:spacing w:val="-8"/>
          <w:sz w:val="20"/>
        </w:rPr>
        <w:t> </w:t>
      </w:r>
      <w:r>
        <w:rPr>
          <w:sz w:val="20"/>
        </w:rPr>
        <w:t>2022</w:t>
      </w:r>
      <w:r>
        <w:rPr>
          <w:spacing w:val="-8"/>
          <w:sz w:val="20"/>
        </w:rPr>
        <w:t> </w:t>
      </w:r>
      <w:r>
        <w:rPr>
          <w:sz w:val="20"/>
        </w:rPr>
        <w:t>is</w:t>
      </w:r>
      <w:r>
        <w:rPr>
          <w:spacing w:val="-9"/>
          <w:sz w:val="20"/>
        </w:rPr>
        <w:t> </w:t>
      </w:r>
      <w:r>
        <w:rPr>
          <w:sz w:val="20"/>
        </w:rPr>
        <w:t>requested</w:t>
      </w:r>
      <w:r>
        <w:rPr>
          <w:spacing w:val="-8"/>
          <w:sz w:val="20"/>
        </w:rPr>
        <w:t> </w:t>
      </w:r>
      <w:r>
        <w:rPr>
          <w:sz w:val="20"/>
        </w:rPr>
        <w:t>by</w:t>
      </w:r>
      <w:r>
        <w:rPr>
          <w:spacing w:val="-8"/>
          <w:sz w:val="20"/>
        </w:rPr>
        <w:t> </w:t>
      </w:r>
      <w:r>
        <w:rPr>
          <w:sz w:val="20"/>
        </w:rPr>
        <w:t>the</w:t>
      </w:r>
      <w:r>
        <w:rPr>
          <w:spacing w:val="-7"/>
          <w:sz w:val="20"/>
        </w:rPr>
        <w:t> </w:t>
      </w:r>
      <w:r>
        <w:rPr>
          <w:sz w:val="20"/>
        </w:rPr>
        <w:t>Country</w:t>
      </w:r>
      <w:r>
        <w:rPr>
          <w:spacing w:val="-8"/>
          <w:sz w:val="20"/>
        </w:rPr>
        <w:t> </w:t>
      </w:r>
      <w:r>
        <w:rPr>
          <w:sz w:val="20"/>
        </w:rPr>
        <w:t>Office</w:t>
      </w:r>
      <w:r>
        <w:rPr>
          <w:spacing w:val="-7"/>
          <w:sz w:val="20"/>
        </w:rPr>
        <w:t> </w:t>
      </w:r>
      <w:r>
        <w:rPr>
          <w:sz w:val="20"/>
        </w:rPr>
        <w:t>(CAR)</w:t>
      </w:r>
      <w:r>
        <w:rPr>
          <w:spacing w:val="-13"/>
          <w:sz w:val="20"/>
        </w:rPr>
        <w:t> </w:t>
      </w:r>
      <w:r>
        <w:rPr>
          <w:sz w:val="20"/>
        </w:rPr>
        <w:t>to</w:t>
      </w:r>
      <w:r>
        <w:rPr>
          <w:spacing w:val="-8"/>
          <w:sz w:val="20"/>
        </w:rPr>
        <w:t> </w:t>
      </w:r>
      <w:r>
        <w:rPr>
          <w:sz w:val="20"/>
        </w:rPr>
        <w:t>cover,</w:t>
      </w:r>
      <w:r>
        <w:rPr>
          <w:spacing w:val="-6"/>
          <w:sz w:val="20"/>
        </w:rPr>
        <w:t> </w:t>
      </w:r>
      <w:r>
        <w:rPr>
          <w:sz w:val="20"/>
        </w:rPr>
        <w:t>primarily,</w:t>
      </w:r>
      <w:r>
        <w:rPr>
          <w:spacing w:val="-1"/>
          <w:sz w:val="20"/>
        </w:rPr>
        <w:t> </w:t>
      </w:r>
      <w:r>
        <w:rPr>
          <w:sz w:val="20"/>
        </w:rPr>
        <w:t>operational activities pertaining to outreach/public information as well as victim participation and reparations. Of the total requested amount, 16 per cent (€358.1 thousand) relates to the</w:t>
      </w:r>
      <w:r>
        <w:rPr>
          <w:spacing w:val="80"/>
          <w:sz w:val="20"/>
        </w:rPr>
        <w:t> </w:t>
      </w:r>
      <w:r>
        <w:rPr>
          <w:sz w:val="20"/>
        </w:rPr>
        <w:t>cost-share arrangements for security and medical care provided by the UN and the Government of the Central African Republic. Innovative approaches are being explored to reduce those costs; however, prudent planning demands that they be budgeted for in 2023, including circa €8.0 thousand of COVID-19-related testing capacity. This last element may be returned</w:t>
      </w:r>
      <w:r>
        <w:rPr>
          <w:spacing w:val="-4"/>
          <w:sz w:val="20"/>
        </w:rPr>
        <w:t> </w:t>
      </w:r>
      <w:r>
        <w:rPr>
          <w:sz w:val="20"/>
        </w:rPr>
        <w:t>in</w:t>
      </w:r>
      <w:r>
        <w:rPr>
          <w:spacing w:val="-4"/>
          <w:sz w:val="20"/>
        </w:rPr>
        <w:t> </w:t>
      </w:r>
      <w:r>
        <w:rPr>
          <w:sz w:val="20"/>
        </w:rPr>
        <w:t>savings</w:t>
      </w:r>
      <w:r>
        <w:rPr>
          <w:spacing w:val="-5"/>
          <w:sz w:val="20"/>
        </w:rPr>
        <w:t> </w:t>
      </w:r>
      <w:r>
        <w:rPr>
          <w:sz w:val="20"/>
        </w:rPr>
        <w:t>if the</w:t>
      </w:r>
      <w:r>
        <w:rPr>
          <w:spacing w:val="-2"/>
          <w:sz w:val="20"/>
        </w:rPr>
        <w:t> </w:t>
      </w:r>
      <w:r>
        <w:rPr>
          <w:sz w:val="20"/>
        </w:rPr>
        <w:t>COVID-19</w:t>
      </w:r>
      <w:r>
        <w:rPr>
          <w:spacing w:val="-4"/>
          <w:sz w:val="20"/>
        </w:rPr>
        <w:t> </w:t>
      </w:r>
      <w:r>
        <w:rPr>
          <w:sz w:val="20"/>
        </w:rPr>
        <w:t>environment</w:t>
      </w:r>
      <w:r>
        <w:rPr>
          <w:spacing w:val="-2"/>
          <w:sz w:val="20"/>
        </w:rPr>
        <w:t> </w:t>
      </w:r>
      <w:r>
        <w:rPr>
          <w:sz w:val="20"/>
        </w:rPr>
        <w:t>continues to</w:t>
      </w:r>
      <w:r>
        <w:rPr>
          <w:spacing w:val="-4"/>
          <w:sz w:val="20"/>
        </w:rPr>
        <w:t> </w:t>
      </w:r>
      <w:r>
        <w:rPr>
          <w:sz w:val="20"/>
        </w:rPr>
        <w:t>improve.</w:t>
      </w:r>
      <w:r>
        <w:rPr>
          <w:spacing w:val="-1"/>
          <w:sz w:val="20"/>
        </w:rPr>
        <w:t> </w:t>
      </w:r>
      <w:r>
        <w:rPr>
          <w:sz w:val="20"/>
        </w:rPr>
        <w:t>Pop-up</w:t>
      </w:r>
      <w:r>
        <w:rPr>
          <w:spacing w:val="-4"/>
          <w:sz w:val="20"/>
        </w:rPr>
        <w:t> </w:t>
      </w:r>
      <w:r>
        <w:rPr>
          <w:sz w:val="20"/>
        </w:rPr>
        <w:t>cinemas and</w:t>
      </w:r>
      <w:r>
        <w:rPr>
          <w:spacing w:val="-5"/>
          <w:sz w:val="20"/>
        </w:rPr>
        <w:t> </w:t>
      </w:r>
      <w:r>
        <w:rPr>
          <w:sz w:val="20"/>
        </w:rPr>
        <w:t>thematic</w:t>
      </w:r>
      <w:r>
        <w:rPr>
          <w:spacing w:val="-3"/>
          <w:sz w:val="20"/>
        </w:rPr>
        <w:t> </w:t>
      </w:r>
      <w:r>
        <w:rPr>
          <w:sz w:val="20"/>
        </w:rPr>
        <w:t>(generic</w:t>
      </w:r>
      <w:r>
        <w:rPr>
          <w:spacing w:val="-8"/>
          <w:sz w:val="20"/>
        </w:rPr>
        <w:t> </w:t>
      </w:r>
      <w:r>
        <w:rPr>
          <w:sz w:val="20"/>
        </w:rPr>
        <w:t>justice-</w:t>
      </w:r>
      <w:r>
        <w:rPr>
          <w:spacing w:val="-4"/>
          <w:sz w:val="20"/>
        </w:rPr>
        <w:t> </w:t>
      </w:r>
      <w:r>
        <w:rPr>
          <w:sz w:val="20"/>
        </w:rPr>
        <w:t>or</w:t>
      </w:r>
      <w:r>
        <w:rPr>
          <w:spacing w:val="-9"/>
          <w:sz w:val="20"/>
        </w:rPr>
        <w:t> </w:t>
      </w:r>
      <w:r>
        <w:rPr>
          <w:sz w:val="20"/>
        </w:rPr>
        <w:t>case-related)</w:t>
      </w:r>
      <w:r>
        <w:rPr>
          <w:spacing w:val="-5"/>
          <w:sz w:val="20"/>
        </w:rPr>
        <w:t> </w:t>
      </w:r>
      <w:r>
        <w:rPr>
          <w:sz w:val="20"/>
        </w:rPr>
        <w:t>billboard</w:t>
      </w:r>
      <w:r>
        <w:rPr>
          <w:spacing w:val="-9"/>
          <w:sz w:val="20"/>
        </w:rPr>
        <w:t> </w:t>
      </w:r>
      <w:r>
        <w:rPr>
          <w:sz w:val="20"/>
        </w:rPr>
        <w:t>campaigns</w:t>
      </w:r>
      <w:r>
        <w:rPr>
          <w:spacing w:val="-6"/>
          <w:sz w:val="20"/>
        </w:rPr>
        <w:t> </w:t>
      </w:r>
      <w:r>
        <w:rPr>
          <w:sz w:val="20"/>
        </w:rPr>
        <w:t>deliver</w:t>
      </w:r>
      <w:r>
        <w:rPr>
          <w:spacing w:val="-5"/>
          <w:sz w:val="20"/>
        </w:rPr>
        <w:t> </w:t>
      </w:r>
      <w:r>
        <w:rPr>
          <w:sz w:val="20"/>
        </w:rPr>
        <w:t>exceptional</w:t>
      </w:r>
      <w:r>
        <w:rPr>
          <w:spacing w:val="-3"/>
          <w:sz w:val="20"/>
        </w:rPr>
        <w:t> </w:t>
      </w:r>
      <w:r>
        <w:rPr>
          <w:sz w:val="20"/>
        </w:rPr>
        <w:t>value for money in terms of cost per person reached. The widely recognized billboard campaigns provide an enduring information delivery capacity. Each series of the overarching billboard campaign delivers a two-month multi-location information effect. The feedback from the population</w:t>
      </w:r>
      <w:r>
        <w:rPr>
          <w:spacing w:val="-8"/>
          <w:sz w:val="20"/>
        </w:rPr>
        <w:t> </w:t>
      </w:r>
      <w:r>
        <w:rPr>
          <w:sz w:val="20"/>
        </w:rPr>
        <w:t>in</w:t>
      </w:r>
      <w:r>
        <w:rPr>
          <w:spacing w:val="-8"/>
          <w:sz w:val="20"/>
        </w:rPr>
        <w:t> </w:t>
      </w:r>
      <w:r>
        <w:rPr>
          <w:sz w:val="20"/>
        </w:rPr>
        <w:t>the</w:t>
      </w:r>
      <w:r>
        <w:rPr>
          <w:spacing w:val="-7"/>
          <w:sz w:val="20"/>
        </w:rPr>
        <w:t> </w:t>
      </w:r>
      <w:r>
        <w:rPr>
          <w:sz w:val="20"/>
        </w:rPr>
        <w:t>CAR</w:t>
      </w:r>
      <w:r>
        <w:rPr>
          <w:spacing w:val="-8"/>
          <w:sz w:val="20"/>
        </w:rPr>
        <w:t> </w:t>
      </w:r>
      <w:r>
        <w:rPr>
          <w:sz w:val="20"/>
        </w:rPr>
        <w:t>at</w:t>
      </w:r>
      <w:r>
        <w:rPr>
          <w:spacing w:val="-12"/>
          <w:sz w:val="20"/>
        </w:rPr>
        <w:t> </w:t>
      </w:r>
      <w:r>
        <w:rPr>
          <w:sz w:val="20"/>
        </w:rPr>
        <w:t>events</w:t>
      </w:r>
      <w:r>
        <w:rPr>
          <w:spacing w:val="-5"/>
          <w:sz w:val="20"/>
        </w:rPr>
        <w:t> </w:t>
      </w:r>
      <w:r>
        <w:rPr>
          <w:sz w:val="20"/>
        </w:rPr>
        <w:t>such</w:t>
      </w:r>
      <w:r>
        <w:rPr>
          <w:spacing w:val="-8"/>
          <w:sz w:val="20"/>
        </w:rPr>
        <w:t> </w:t>
      </w:r>
      <w:r>
        <w:rPr>
          <w:sz w:val="20"/>
        </w:rPr>
        <w:t>as</w:t>
      </w:r>
      <w:r>
        <w:rPr>
          <w:spacing w:val="-10"/>
          <w:sz w:val="20"/>
        </w:rPr>
        <w:t> </w:t>
      </w:r>
      <w:r>
        <w:rPr>
          <w:sz w:val="20"/>
        </w:rPr>
        <w:t>street</w:t>
      </w:r>
      <w:r>
        <w:rPr>
          <w:spacing w:val="-7"/>
          <w:sz w:val="20"/>
        </w:rPr>
        <w:t> </w:t>
      </w:r>
      <w:r>
        <w:rPr>
          <w:sz w:val="20"/>
        </w:rPr>
        <w:t>corner</w:t>
      </w:r>
      <w:r>
        <w:rPr>
          <w:spacing w:val="-8"/>
          <w:sz w:val="20"/>
        </w:rPr>
        <w:t> </w:t>
      </w:r>
      <w:r>
        <w:rPr>
          <w:sz w:val="20"/>
        </w:rPr>
        <w:t>“pop-up</w:t>
      </w:r>
      <w:r>
        <w:rPr>
          <w:spacing w:val="-8"/>
          <w:sz w:val="20"/>
        </w:rPr>
        <w:t> </w:t>
      </w:r>
      <w:r>
        <w:rPr>
          <w:sz w:val="20"/>
        </w:rPr>
        <w:t>cinemas”</w:t>
      </w:r>
      <w:r>
        <w:rPr>
          <w:spacing w:val="-2"/>
          <w:sz w:val="20"/>
        </w:rPr>
        <w:t> </w:t>
      </w:r>
      <w:r>
        <w:rPr>
          <w:sz w:val="20"/>
        </w:rPr>
        <w:t>provides</w:t>
      </w:r>
      <w:r>
        <w:rPr>
          <w:spacing w:val="-10"/>
          <w:sz w:val="20"/>
        </w:rPr>
        <w:t> </w:t>
      </w:r>
      <w:r>
        <w:rPr>
          <w:sz w:val="20"/>
        </w:rPr>
        <w:t>compelling testimony about the effectiveness of the billboard campaigns and radio station broadcasts. Billboard locations are targeted to maximize intended audience reach and effect. Detailed billboard content design ensures that the messaging does not become outdated. Notwithstanding the effectiveness of these innovative approaches, “face-to-face” outreach will continue to play an important role in reaching certain audiences, particularly outside Bangui. Following the resumption of routine operations outside Bangui pertaining to outreach/public</w:t>
      </w:r>
      <w:r>
        <w:rPr>
          <w:spacing w:val="-12"/>
          <w:sz w:val="20"/>
        </w:rPr>
        <w:t> </w:t>
      </w:r>
      <w:r>
        <w:rPr>
          <w:sz w:val="20"/>
        </w:rPr>
        <w:t>information</w:t>
      </w:r>
      <w:r>
        <w:rPr>
          <w:spacing w:val="-13"/>
          <w:sz w:val="20"/>
        </w:rPr>
        <w:t> </w:t>
      </w:r>
      <w:r>
        <w:rPr>
          <w:sz w:val="20"/>
        </w:rPr>
        <w:t>and</w:t>
      </w:r>
      <w:r>
        <w:rPr>
          <w:spacing w:val="-7"/>
          <w:sz w:val="20"/>
        </w:rPr>
        <w:t> </w:t>
      </w:r>
      <w:r>
        <w:rPr>
          <w:sz w:val="20"/>
        </w:rPr>
        <w:t>victim</w:t>
      </w:r>
      <w:r>
        <w:rPr>
          <w:spacing w:val="-12"/>
          <w:sz w:val="20"/>
        </w:rPr>
        <w:t> </w:t>
      </w:r>
      <w:r>
        <w:rPr>
          <w:sz w:val="20"/>
        </w:rPr>
        <w:t>participation</w:t>
      </w:r>
      <w:r>
        <w:rPr>
          <w:spacing w:val="-13"/>
          <w:sz w:val="20"/>
        </w:rPr>
        <w:t> </w:t>
      </w:r>
      <w:r>
        <w:rPr>
          <w:sz w:val="20"/>
        </w:rPr>
        <w:t>and</w:t>
      </w:r>
      <w:r>
        <w:rPr>
          <w:spacing w:val="-12"/>
          <w:sz w:val="20"/>
        </w:rPr>
        <w:t> </w:t>
      </w:r>
      <w:r>
        <w:rPr>
          <w:sz w:val="20"/>
        </w:rPr>
        <w:t>reparations,</w:t>
      </w:r>
      <w:r>
        <w:rPr>
          <w:spacing w:val="-11"/>
          <w:sz w:val="20"/>
        </w:rPr>
        <w:t> </w:t>
      </w:r>
      <w:r>
        <w:rPr>
          <w:sz w:val="20"/>
        </w:rPr>
        <w:t>the</w:t>
      </w:r>
      <w:r>
        <w:rPr>
          <w:spacing w:val="-7"/>
          <w:sz w:val="20"/>
        </w:rPr>
        <w:t> </w:t>
      </w:r>
      <w:r>
        <w:rPr>
          <w:sz w:val="20"/>
        </w:rPr>
        <w:t>requested</w:t>
      </w:r>
      <w:r>
        <w:rPr>
          <w:spacing w:val="-13"/>
          <w:sz w:val="20"/>
        </w:rPr>
        <w:t> </w:t>
      </w:r>
      <w:r>
        <w:rPr>
          <w:sz w:val="20"/>
        </w:rPr>
        <w:t>resources will allow for this level of activity to be continued throughout 2023 and to include events related to the confirmation hearing in the </w:t>
      </w:r>
      <w:r>
        <w:rPr>
          <w:i/>
          <w:sz w:val="20"/>
        </w:rPr>
        <w:t>Mokom </w:t>
      </w:r>
      <w:r>
        <w:rPr>
          <w:sz w:val="20"/>
        </w:rPr>
        <w:t>case regardless of the outcome of that </w:t>
      </w:r>
      <w:r>
        <w:rPr>
          <w:spacing w:val="-2"/>
          <w:sz w:val="20"/>
        </w:rPr>
        <w:t>hearing.</w:t>
      </w:r>
    </w:p>
    <w:p>
      <w:pPr>
        <w:pStyle w:val="ListParagraph"/>
        <w:numPr>
          <w:ilvl w:val="0"/>
          <w:numId w:val="4"/>
        </w:numPr>
        <w:tabs>
          <w:tab w:pos="2967" w:val="left" w:leader="none"/>
        </w:tabs>
        <w:spacing w:line="240" w:lineRule="auto" w:before="121" w:after="0"/>
        <w:ind w:left="2246" w:right="2238" w:firstLine="0"/>
        <w:jc w:val="both"/>
        <w:rPr>
          <w:sz w:val="20"/>
        </w:rPr>
      </w:pPr>
      <w:r>
        <w:rPr>
          <w:sz w:val="20"/>
        </w:rPr>
        <w:t>The</w:t>
      </w:r>
      <w:r>
        <w:rPr>
          <w:spacing w:val="-13"/>
          <w:sz w:val="20"/>
        </w:rPr>
        <w:t> </w:t>
      </w:r>
      <w:r>
        <w:rPr>
          <w:sz w:val="20"/>
        </w:rPr>
        <w:t>resources</w:t>
      </w:r>
      <w:r>
        <w:rPr>
          <w:spacing w:val="-12"/>
          <w:sz w:val="20"/>
        </w:rPr>
        <w:t> </w:t>
      </w:r>
      <w:r>
        <w:rPr>
          <w:sz w:val="20"/>
        </w:rPr>
        <w:t>requested</w:t>
      </w:r>
      <w:r>
        <w:rPr>
          <w:spacing w:val="-10"/>
          <w:sz w:val="20"/>
        </w:rPr>
        <w:t> </w:t>
      </w:r>
      <w:r>
        <w:rPr>
          <w:sz w:val="20"/>
        </w:rPr>
        <w:t>by</w:t>
      </w:r>
      <w:r>
        <w:rPr>
          <w:spacing w:val="-13"/>
          <w:sz w:val="20"/>
        </w:rPr>
        <w:t> </w:t>
      </w:r>
      <w:r>
        <w:rPr>
          <w:sz w:val="20"/>
        </w:rPr>
        <w:t>VWS</w:t>
      </w:r>
      <w:r>
        <w:rPr>
          <w:spacing w:val="-10"/>
          <w:sz w:val="20"/>
        </w:rPr>
        <w:t> </w:t>
      </w:r>
      <w:r>
        <w:rPr>
          <w:sz w:val="20"/>
        </w:rPr>
        <w:t>(€17.9</w:t>
      </w:r>
      <w:r>
        <w:rPr>
          <w:spacing w:val="-8"/>
          <w:sz w:val="20"/>
        </w:rPr>
        <w:t> </w:t>
      </w:r>
      <w:r>
        <w:rPr>
          <w:sz w:val="20"/>
        </w:rPr>
        <w:t>thousand)</w:t>
      </w:r>
      <w:r>
        <w:rPr>
          <w:spacing w:val="-8"/>
          <w:sz w:val="20"/>
        </w:rPr>
        <w:t> </w:t>
      </w:r>
      <w:r>
        <w:rPr>
          <w:sz w:val="20"/>
        </w:rPr>
        <w:t>have</w:t>
      </w:r>
      <w:r>
        <w:rPr>
          <w:spacing w:val="-12"/>
          <w:sz w:val="20"/>
        </w:rPr>
        <w:t> </w:t>
      </w:r>
      <w:r>
        <w:rPr>
          <w:sz w:val="20"/>
        </w:rPr>
        <w:t>increased</w:t>
      </w:r>
      <w:r>
        <w:rPr>
          <w:spacing w:val="-8"/>
          <w:sz w:val="20"/>
        </w:rPr>
        <w:t> </w:t>
      </w:r>
      <w:r>
        <w:rPr>
          <w:sz w:val="20"/>
        </w:rPr>
        <w:t>by</w:t>
      </w:r>
      <w:r>
        <w:rPr>
          <w:spacing w:val="-8"/>
          <w:sz w:val="20"/>
        </w:rPr>
        <w:t> </w:t>
      </w:r>
      <w:r>
        <w:rPr>
          <w:sz w:val="20"/>
        </w:rPr>
        <w:t>€8.1</w:t>
      </w:r>
      <w:r>
        <w:rPr>
          <w:spacing w:val="-13"/>
          <w:sz w:val="20"/>
        </w:rPr>
        <w:t> </w:t>
      </w:r>
      <w:r>
        <w:rPr>
          <w:sz w:val="20"/>
        </w:rPr>
        <w:t>thousand (82.7 per</w:t>
      </w:r>
      <w:r>
        <w:rPr>
          <w:spacing w:val="-3"/>
          <w:sz w:val="20"/>
        </w:rPr>
        <w:t> </w:t>
      </w:r>
      <w:r>
        <w:rPr>
          <w:sz w:val="20"/>
        </w:rPr>
        <w:t>cent). The requested amount will</w:t>
      </w:r>
      <w:r>
        <w:rPr>
          <w:spacing w:val="-1"/>
          <w:sz w:val="20"/>
        </w:rPr>
        <w:t> </w:t>
      </w:r>
      <w:r>
        <w:rPr>
          <w:sz w:val="20"/>
        </w:rPr>
        <w:t>cover (1)</w:t>
      </w:r>
      <w:r>
        <w:rPr>
          <w:spacing w:val="-3"/>
          <w:sz w:val="20"/>
        </w:rPr>
        <w:t> </w:t>
      </w:r>
      <w:r>
        <w:rPr>
          <w:sz w:val="20"/>
        </w:rPr>
        <w:t>annual</w:t>
      </w:r>
      <w:r>
        <w:rPr>
          <w:spacing w:val="-1"/>
          <w:sz w:val="20"/>
        </w:rPr>
        <w:t> </w:t>
      </w:r>
      <w:r>
        <w:rPr>
          <w:sz w:val="20"/>
        </w:rPr>
        <w:t>support</w:t>
      </w:r>
      <w:r>
        <w:rPr>
          <w:spacing w:val="-1"/>
          <w:sz w:val="20"/>
        </w:rPr>
        <w:t> </w:t>
      </w:r>
      <w:r>
        <w:rPr>
          <w:sz w:val="20"/>
        </w:rPr>
        <w:t>and maintenance</w:t>
      </w:r>
      <w:r>
        <w:rPr>
          <w:spacing w:val="-1"/>
          <w:sz w:val="20"/>
        </w:rPr>
        <w:t> </w:t>
      </w:r>
      <w:r>
        <w:rPr>
          <w:sz w:val="20"/>
        </w:rPr>
        <w:t>of the witness</w:t>
      </w:r>
      <w:r>
        <w:rPr>
          <w:spacing w:val="-5"/>
          <w:sz w:val="20"/>
        </w:rPr>
        <w:t> </w:t>
      </w:r>
      <w:r>
        <w:rPr>
          <w:sz w:val="20"/>
        </w:rPr>
        <w:t>case</w:t>
      </w:r>
      <w:r>
        <w:rPr>
          <w:spacing w:val="-2"/>
          <w:sz w:val="20"/>
        </w:rPr>
        <w:t> </w:t>
      </w:r>
      <w:r>
        <w:rPr>
          <w:sz w:val="20"/>
        </w:rPr>
        <w:t>management system (W-CMS), (2)</w:t>
      </w:r>
      <w:r>
        <w:rPr>
          <w:spacing w:val="-4"/>
          <w:sz w:val="20"/>
        </w:rPr>
        <w:t> </w:t>
      </w:r>
      <w:r>
        <w:rPr>
          <w:sz w:val="20"/>
        </w:rPr>
        <w:t>compulsory specialized first</w:t>
      </w:r>
      <w:r>
        <w:rPr>
          <w:spacing w:val="-2"/>
          <w:sz w:val="20"/>
        </w:rPr>
        <w:t> </w:t>
      </w:r>
      <w:r>
        <w:rPr>
          <w:sz w:val="20"/>
        </w:rPr>
        <w:t>aid</w:t>
      </w:r>
      <w:r>
        <w:rPr>
          <w:spacing w:val="-4"/>
          <w:sz w:val="20"/>
        </w:rPr>
        <w:t> </w:t>
      </w:r>
      <w:r>
        <w:rPr>
          <w:sz w:val="20"/>
        </w:rPr>
        <w:t>training in view of the support which may be required by witnesses during emergencies, (3) defensive driving training in difficult operating environments</w:t>
      </w:r>
      <w:r>
        <w:rPr>
          <w:sz w:val="20"/>
          <w:vertAlign w:val="superscript"/>
        </w:rPr>
        <w:t>124</w:t>
      </w:r>
      <w:r>
        <w:rPr>
          <w:sz w:val="20"/>
          <w:vertAlign w:val="baseline"/>
        </w:rPr>
        <w:t> and (4) the training requested by the TFV on how to</w:t>
      </w:r>
      <w:r>
        <w:rPr>
          <w:spacing w:val="-3"/>
          <w:sz w:val="20"/>
          <w:vertAlign w:val="baseline"/>
        </w:rPr>
        <w:t> </w:t>
      </w:r>
      <w:r>
        <w:rPr>
          <w:sz w:val="20"/>
          <w:vertAlign w:val="baseline"/>
        </w:rPr>
        <w:t>mitigate risks to beneficiaries when</w:t>
      </w:r>
      <w:r>
        <w:rPr>
          <w:spacing w:val="-3"/>
          <w:sz w:val="20"/>
          <w:vertAlign w:val="baseline"/>
        </w:rPr>
        <w:t> </w:t>
      </w:r>
      <w:r>
        <w:rPr>
          <w:sz w:val="20"/>
          <w:vertAlign w:val="baseline"/>
        </w:rPr>
        <w:t>implementing reparations</w:t>
      </w:r>
      <w:r>
        <w:rPr>
          <w:spacing w:val="-4"/>
          <w:sz w:val="20"/>
          <w:vertAlign w:val="baseline"/>
        </w:rPr>
        <w:t> </w:t>
      </w:r>
      <w:r>
        <w:rPr>
          <w:sz w:val="20"/>
          <w:vertAlign w:val="baseline"/>
        </w:rPr>
        <w:t>awards while there</w:t>
      </w:r>
      <w:r>
        <w:rPr>
          <w:spacing w:val="-2"/>
          <w:sz w:val="20"/>
          <w:vertAlign w:val="baseline"/>
        </w:rPr>
        <w:t> </w:t>
      </w:r>
      <w:r>
        <w:rPr>
          <w:sz w:val="20"/>
          <w:vertAlign w:val="baseline"/>
        </w:rPr>
        <w:t>is an</w:t>
      </w:r>
      <w:r>
        <w:rPr>
          <w:spacing w:val="-4"/>
          <w:sz w:val="20"/>
          <w:vertAlign w:val="baseline"/>
        </w:rPr>
        <w:t> </w:t>
      </w:r>
      <w:r>
        <w:rPr>
          <w:sz w:val="20"/>
          <w:vertAlign w:val="baseline"/>
        </w:rPr>
        <w:t>ongoing</w:t>
      </w:r>
      <w:r>
        <w:rPr>
          <w:spacing w:val="-4"/>
          <w:sz w:val="20"/>
          <w:vertAlign w:val="baseline"/>
        </w:rPr>
        <w:t> </w:t>
      </w:r>
      <w:r>
        <w:rPr>
          <w:sz w:val="20"/>
          <w:vertAlign w:val="baseline"/>
        </w:rPr>
        <w:t>trial</w:t>
      </w:r>
      <w:r>
        <w:rPr>
          <w:spacing w:val="-2"/>
          <w:sz w:val="20"/>
          <w:vertAlign w:val="baseline"/>
        </w:rPr>
        <w:t> </w:t>
      </w:r>
      <w:r>
        <w:rPr>
          <w:sz w:val="20"/>
          <w:vertAlign w:val="baseline"/>
        </w:rPr>
        <w:t>and on</w:t>
      </w:r>
      <w:r>
        <w:rPr>
          <w:spacing w:val="-4"/>
          <w:sz w:val="20"/>
          <w:vertAlign w:val="baseline"/>
        </w:rPr>
        <w:t> </w:t>
      </w:r>
      <w:r>
        <w:rPr>
          <w:sz w:val="20"/>
          <w:vertAlign w:val="baseline"/>
        </w:rPr>
        <w:t>the risk-mitigating</w:t>
      </w:r>
      <w:r>
        <w:rPr>
          <w:spacing w:val="-4"/>
          <w:sz w:val="20"/>
          <w:vertAlign w:val="baseline"/>
        </w:rPr>
        <w:t> </w:t>
      </w:r>
      <w:r>
        <w:rPr>
          <w:sz w:val="20"/>
          <w:vertAlign w:val="baseline"/>
        </w:rPr>
        <w:t>measures</w:t>
      </w:r>
      <w:r>
        <w:rPr>
          <w:spacing w:val="-5"/>
          <w:sz w:val="20"/>
          <w:vertAlign w:val="baseline"/>
        </w:rPr>
        <w:t> </w:t>
      </w:r>
      <w:r>
        <w:rPr>
          <w:sz w:val="20"/>
          <w:vertAlign w:val="baseline"/>
        </w:rPr>
        <w:t>to be put</w:t>
      </w:r>
      <w:r>
        <w:rPr>
          <w:spacing w:val="-2"/>
          <w:sz w:val="20"/>
          <w:vertAlign w:val="baseline"/>
        </w:rPr>
        <w:t> </w:t>
      </w:r>
      <w:r>
        <w:rPr>
          <w:sz w:val="20"/>
          <w:vertAlign w:val="baseline"/>
        </w:rPr>
        <w:t>in place to</w:t>
      </w:r>
      <w:r>
        <w:rPr>
          <w:spacing w:val="-4"/>
          <w:sz w:val="20"/>
          <w:vertAlign w:val="baseline"/>
        </w:rPr>
        <w:t> </w:t>
      </w:r>
      <w:r>
        <w:rPr>
          <w:sz w:val="20"/>
          <w:vertAlign w:val="baseline"/>
        </w:rPr>
        <w:t>implement reparations awards for victims in Mali and possibly in Uganda.</w:t>
      </w:r>
    </w:p>
    <w:p>
      <w:pPr>
        <w:pStyle w:val="ListParagraph"/>
        <w:numPr>
          <w:ilvl w:val="0"/>
          <w:numId w:val="4"/>
        </w:numPr>
        <w:tabs>
          <w:tab w:pos="2967" w:val="left" w:leader="none"/>
        </w:tabs>
        <w:spacing w:line="240" w:lineRule="auto" w:before="119" w:after="0"/>
        <w:ind w:left="2246" w:right="2243" w:firstLine="0"/>
        <w:jc w:val="both"/>
        <w:rPr>
          <w:sz w:val="20"/>
        </w:rPr>
      </w:pPr>
      <w:r>
        <w:rPr>
          <w:sz w:val="20"/>
        </w:rPr>
        <w:t>The amount requested for EOSS remains unchanged at €15.0 thousand (0.0 per cent).</w:t>
      </w:r>
      <w:r>
        <w:rPr>
          <w:spacing w:val="40"/>
          <w:sz w:val="20"/>
        </w:rPr>
        <w:t> </w:t>
      </w:r>
      <w:r>
        <w:rPr>
          <w:sz w:val="20"/>
        </w:rPr>
        <w:t>The</w:t>
      </w:r>
      <w:r>
        <w:rPr>
          <w:spacing w:val="40"/>
          <w:sz w:val="20"/>
        </w:rPr>
        <w:t> </w:t>
      </w:r>
      <w:r>
        <w:rPr>
          <w:sz w:val="20"/>
        </w:rPr>
        <w:t>required</w:t>
      </w:r>
      <w:r>
        <w:rPr>
          <w:spacing w:val="40"/>
          <w:sz w:val="20"/>
        </w:rPr>
        <w:t> </w:t>
      </w:r>
      <w:r>
        <w:rPr>
          <w:sz w:val="20"/>
        </w:rPr>
        <w:t>resources</w:t>
      </w:r>
      <w:r>
        <w:rPr>
          <w:spacing w:val="40"/>
          <w:sz w:val="20"/>
        </w:rPr>
        <w:t> </w:t>
      </w:r>
      <w:r>
        <w:rPr>
          <w:sz w:val="20"/>
        </w:rPr>
        <w:t>are</w:t>
      </w:r>
      <w:r>
        <w:rPr>
          <w:spacing w:val="40"/>
          <w:sz w:val="20"/>
        </w:rPr>
        <w:t> </w:t>
      </w:r>
      <w:r>
        <w:rPr>
          <w:sz w:val="20"/>
        </w:rPr>
        <w:t>recurrent</w:t>
      </w:r>
      <w:r>
        <w:rPr>
          <w:spacing w:val="40"/>
          <w:sz w:val="20"/>
        </w:rPr>
        <w:t> </w:t>
      </w:r>
      <w:r>
        <w:rPr>
          <w:sz w:val="20"/>
        </w:rPr>
        <w:t>and</w:t>
      </w:r>
      <w:r>
        <w:rPr>
          <w:spacing w:val="40"/>
          <w:sz w:val="20"/>
        </w:rPr>
        <w:t> </w:t>
      </w:r>
      <w:r>
        <w:rPr>
          <w:sz w:val="20"/>
        </w:rPr>
        <w:t>are</w:t>
      </w:r>
      <w:r>
        <w:rPr>
          <w:spacing w:val="40"/>
          <w:sz w:val="20"/>
        </w:rPr>
        <w:t> </w:t>
      </w:r>
      <w:r>
        <w:rPr>
          <w:sz w:val="20"/>
        </w:rPr>
        <w:t>needed</w:t>
      </w:r>
      <w:r>
        <w:rPr>
          <w:spacing w:val="40"/>
          <w:sz w:val="20"/>
        </w:rPr>
        <w:t> </w:t>
      </w:r>
      <w:r>
        <w:rPr>
          <w:sz w:val="20"/>
        </w:rPr>
        <w:t>to</w:t>
      </w:r>
      <w:r>
        <w:rPr>
          <w:spacing w:val="40"/>
          <w:sz w:val="20"/>
        </w:rPr>
        <w:t> </w:t>
      </w:r>
      <w:r>
        <w:rPr>
          <w:sz w:val="20"/>
        </w:rPr>
        <w:t>provide</w:t>
      </w:r>
      <w:r>
        <w:rPr>
          <w:spacing w:val="40"/>
          <w:sz w:val="20"/>
        </w:rPr>
        <w:t> </w:t>
      </w:r>
      <w:r>
        <w:rPr>
          <w:sz w:val="20"/>
        </w:rPr>
        <w:t>support</w:t>
      </w:r>
      <w:r>
        <w:rPr>
          <w:spacing w:val="40"/>
          <w:sz w:val="20"/>
        </w:rPr>
        <w:t> </w:t>
      </w:r>
      <w:r>
        <w:rPr>
          <w:sz w:val="20"/>
        </w:rPr>
        <w:t>to suspect-at-large</w:t>
      </w:r>
      <w:r>
        <w:rPr>
          <w:spacing w:val="-2"/>
          <w:sz w:val="20"/>
        </w:rPr>
        <w:t> </w:t>
      </w:r>
      <w:r>
        <w:rPr>
          <w:sz w:val="20"/>
        </w:rPr>
        <w:t>activities,</w:t>
      </w:r>
      <w:r>
        <w:rPr>
          <w:spacing w:val="-1"/>
          <w:sz w:val="20"/>
        </w:rPr>
        <w:t> </w:t>
      </w:r>
      <w:r>
        <w:rPr>
          <w:sz w:val="20"/>
        </w:rPr>
        <w:t>predominantly for third-party information services relating to</w:t>
      </w:r>
      <w:r>
        <w:rPr>
          <w:spacing w:val="-4"/>
          <w:sz w:val="20"/>
        </w:rPr>
        <w:t> </w:t>
      </w:r>
      <w:r>
        <w:rPr>
          <w:sz w:val="20"/>
        </w:rPr>
        <w:t>the monitoring of information on the whereabouts of the Court’s suspects at large.</w:t>
      </w:r>
    </w:p>
    <w:p>
      <w:pPr>
        <w:pStyle w:val="BodyText"/>
      </w:pPr>
    </w:p>
    <w:p>
      <w:pPr>
        <w:pStyle w:val="BodyText"/>
        <w:spacing w:before="2"/>
        <w:rPr>
          <w:sz w:val="18"/>
        </w:rPr>
      </w:pPr>
      <w:r>
        <w:rPr/>
        <w:pict>
          <v:rect style="position:absolute;margin-left:113.330002pt;margin-top:11.65846pt;width:144.050pt;height:.48004pt;mso-position-horizontal-relative:page;mso-position-vertical-relative:paragraph;z-index:-15688704;mso-wrap-distance-left:0;mso-wrap-distance-right:0" id="docshape253" filled="true" fillcolor="#000000" stroked="false">
            <v:fill type="solid"/>
            <w10:wrap type="topAndBottom"/>
          </v:rect>
        </w:pict>
      </w:r>
    </w:p>
    <w:p>
      <w:pPr>
        <w:spacing w:before="86"/>
        <w:ind w:left="2246" w:right="2195" w:firstLine="0"/>
        <w:jc w:val="left"/>
        <w:rPr>
          <w:sz w:val="16"/>
        </w:rPr>
      </w:pPr>
      <w:r>
        <w:rPr>
          <w:position w:val="5"/>
          <w:sz w:val="10"/>
        </w:rPr>
        <w:t>124</w:t>
      </w:r>
      <w:r>
        <w:rPr>
          <w:spacing w:val="40"/>
          <w:position w:val="5"/>
          <w:sz w:val="10"/>
        </w:rPr>
        <w:t> </w:t>
      </w:r>
      <w:r>
        <w:rPr>
          <w:sz w:val="16"/>
        </w:rPr>
        <w:t>Such</w:t>
      </w:r>
      <w:r>
        <w:rPr>
          <w:spacing w:val="39"/>
          <w:sz w:val="16"/>
        </w:rPr>
        <w:t> </w:t>
      </w:r>
      <w:r>
        <w:rPr>
          <w:sz w:val="16"/>
        </w:rPr>
        <w:t>training</w:t>
      </w:r>
      <w:r>
        <w:rPr>
          <w:spacing w:val="39"/>
          <w:sz w:val="16"/>
        </w:rPr>
        <w:t> </w:t>
      </w:r>
      <w:r>
        <w:rPr>
          <w:sz w:val="16"/>
        </w:rPr>
        <w:t>requires</w:t>
      </w:r>
      <w:r>
        <w:rPr>
          <w:spacing w:val="38"/>
          <w:sz w:val="16"/>
        </w:rPr>
        <w:t> </w:t>
      </w:r>
      <w:r>
        <w:rPr>
          <w:sz w:val="16"/>
        </w:rPr>
        <w:t>the</w:t>
      </w:r>
      <w:r>
        <w:rPr>
          <w:spacing w:val="34"/>
          <w:sz w:val="16"/>
        </w:rPr>
        <w:t> </w:t>
      </w:r>
      <w:r>
        <w:rPr>
          <w:sz w:val="16"/>
        </w:rPr>
        <w:t>contractual</w:t>
      </w:r>
      <w:r>
        <w:rPr>
          <w:spacing w:val="36"/>
          <w:sz w:val="16"/>
        </w:rPr>
        <w:t> </w:t>
      </w:r>
      <w:r>
        <w:rPr>
          <w:sz w:val="16"/>
        </w:rPr>
        <w:t>engagement</w:t>
      </w:r>
      <w:r>
        <w:rPr>
          <w:spacing w:val="36"/>
          <w:sz w:val="16"/>
        </w:rPr>
        <w:t> </w:t>
      </w:r>
      <w:r>
        <w:rPr>
          <w:sz w:val="16"/>
        </w:rPr>
        <w:t>of</w:t>
      </w:r>
      <w:r>
        <w:rPr>
          <w:spacing w:val="37"/>
          <w:sz w:val="16"/>
        </w:rPr>
        <w:t> </w:t>
      </w:r>
      <w:r>
        <w:rPr>
          <w:sz w:val="16"/>
        </w:rPr>
        <w:t>specialists</w:t>
      </w:r>
      <w:r>
        <w:rPr>
          <w:spacing w:val="38"/>
          <w:sz w:val="16"/>
        </w:rPr>
        <w:t> </w:t>
      </w:r>
      <w:r>
        <w:rPr>
          <w:sz w:val="16"/>
        </w:rPr>
        <w:t>from</w:t>
      </w:r>
      <w:r>
        <w:rPr>
          <w:spacing w:val="38"/>
          <w:sz w:val="16"/>
        </w:rPr>
        <w:t> </w:t>
      </w:r>
      <w:r>
        <w:rPr>
          <w:sz w:val="16"/>
        </w:rPr>
        <w:t>relevant</w:t>
      </w:r>
      <w:r>
        <w:rPr>
          <w:spacing w:val="40"/>
          <w:sz w:val="16"/>
        </w:rPr>
        <w:t> </w:t>
      </w:r>
      <w:r>
        <w:rPr>
          <w:sz w:val="16"/>
        </w:rPr>
        <w:t>areas</w:t>
      </w:r>
      <w:r>
        <w:rPr>
          <w:spacing w:val="38"/>
          <w:sz w:val="16"/>
        </w:rPr>
        <w:t> </w:t>
      </w:r>
      <w:r>
        <w:rPr>
          <w:sz w:val="16"/>
        </w:rPr>
        <w:t>to</w:t>
      </w:r>
      <w:r>
        <w:rPr>
          <w:spacing w:val="39"/>
          <w:sz w:val="16"/>
        </w:rPr>
        <w:t> </w:t>
      </w:r>
      <w:r>
        <w:rPr>
          <w:sz w:val="16"/>
        </w:rPr>
        <w:t>conduct</w:t>
      </w:r>
      <w:r>
        <w:rPr>
          <w:spacing w:val="36"/>
          <w:sz w:val="16"/>
        </w:rPr>
        <w:t> </w:t>
      </w:r>
      <w:r>
        <w:rPr>
          <w:sz w:val="16"/>
        </w:rPr>
        <w:t>training</w:t>
      </w:r>
      <w:r>
        <w:rPr>
          <w:spacing w:val="40"/>
          <w:sz w:val="16"/>
        </w:rPr>
        <w:t> </w:t>
      </w:r>
      <w:r>
        <w:rPr>
          <w:sz w:val="16"/>
        </w:rPr>
        <w:t>programmes whereas other witness protection training will be provided by in-house experts.</w:t>
      </w:r>
    </w:p>
    <w:p>
      <w:pPr>
        <w:spacing w:after="0"/>
        <w:jc w:val="left"/>
        <w:rPr>
          <w:sz w:val="16"/>
        </w:rPr>
        <w:sectPr>
          <w:pgSz w:w="11910" w:h="16840"/>
          <w:pgMar w:header="953" w:footer="940" w:top="1140" w:bottom="1140" w:left="20" w:right="20"/>
        </w:sectPr>
      </w:pPr>
    </w:p>
    <w:p>
      <w:pPr>
        <w:tabs>
          <w:tab w:pos="8133" w:val="left" w:leader="none"/>
        </w:tabs>
        <w:spacing w:before="120"/>
        <w:ind w:left="2246" w:right="0" w:firstLine="0"/>
        <w:jc w:val="both"/>
        <w:rPr>
          <w:i/>
          <w:sz w:val="20"/>
        </w:rPr>
      </w:pPr>
      <w:r>
        <w:rPr>
          <w:i/>
          <w:sz w:val="20"/>
        </w:rPr>
        <w:t>General</w:t>
      </w:r>
      <w:r>
        <w:rPr>
          <w:i/>
          <w:spacing w:val="-7"/>
          <w:sz w:val="20"/>
        </w:rPr>
        <w:t> </w:t>
      </w:r>
      <w:r>
        <w:rPr>
          <w:i/>
          <w:sz w:val="20"/>
        </w:rPr>
        <w:t>operating</w:t>
      </w:r>
      <w:r>
        <w:rPr>
          <w:i/>
          <w:spacing w:val="-8"/>
          <w:sz w:val="20"/>
        </w:rPr>
        <w:t> </w:t>
      </w:r>
      <w:r>
        <w:rPr>
          <w:i/>
          <w:spacing w:val="-2"/>
          <w:sz w:val="20"/>
        </w:rPr>
        <w:t>expenses</w:t>
      </w:r>
      <w:r>
        <w:rPr>
          <w:i/>
          <w:sz w:val="20"/>
        </w:rPr>
        <w:tab/>
        <w:t>€3,403.7</w:t>
      </w:r>
      <w:r>
        <w:rPr>
          <w:i/>
          <w:spacing w:val="-4"/>
          <w:sz w:val="20"/>
        </w:rPr>
        <w:t> </w:t>
      </w:r>
      <w:r>
        <w:rPr>
          <w:i/>
          <w:spacing w:val="-2"/>
          <w:sz w:val="20"/>
        </w:rPr>
        <w:t>thousand</w:t>
      </w:r>
    </w:p>
    <w:p>
      <w:pPr>
        <w:pStyle w:val="BodyText"/>
        <w:spacing w:before="10"/>
        <w:rPr>
          <w:i/>
        </w:rPr>
      </w:pPr>
    </w:p>
    <w:p>
      <w:pPr>
        <w:pStyle w:val="ListParagraph"/>
        <w:numPr>
          <w:ilvl w:val="0"/>
          <w:numId w:val="4"/>
        </w:numPr>
        <w:tabs>
          <w:tab w:pos="2967" w:val="left" w:leader="none"/>
        </w:tabs>
        <w:spacing w:line="240" w:lineRule="auto" w:before="1" w:after="0"/>
        <w:ind w:left="2246" w:right="2239" w:firstLine="0"/>
        <w:jc w:val="both"/>
        <w:rPr>
          <w:sz w:val="20"/>
        </w:rPr>
      </w:pPr>
      <w:r>
        <w:rPr>
          <w:sz w:val="20"/>
        </w:rPr>
        <w:t>The proposed budget for general operating expenses (GOE) represents an increase of €736.7</w:t>
      </w:r>
      <w:r>
        <w:rPr>
          <w:spacing w:val="-3"/>
          <w:sz w:val="20"/>
        </w:rPr>
        <w:t> </w:t>
      </w:r>
      <w:r>
        <w:rPr>
          <w:sz w:val="20"/>
        </w:rPr>
        <w:t>thousand (27.6</w:t>
      </w:r>
      <w:r>
        <w:rPr>
          <w:spacing w:val="-3"/>
          <w:sz w:val="20"/>
        </w:rPr>
        <w:t> </w:t>
      </w:r>
      <w:r>
        <w:rPr>
          <w:sz w:val="20"/>
        </w:rPr>
        <w:t>per</w:t>
      </w:r>
      <w:r>
        <w:rPr>
          <w:spacing w:val="-3"/>
          <w:sz w:val="20"/>
        </w:rPr>
        <w:t> </w:t>
      </w:r>
      <w:r>
        <w:rPr>
          <w:sz w:val="20"/>
        </w:rPr>
        <w:t>cent)</w:t>
      </w:r>
      <w:r>
        <w:rPr>
          <w:spacing w:val="-3"/>
          <w:sz w:val="20"/>
        </w:rPr>
        <w:t> </w:t>
      </w:r>
      <w:r>
        <w:rPr>
          <w:sz w:val="20"/>
        </w:rPr>
        <w:t>as</w:t>
      </w:r>
      <w:r>
        <w:rPr>
          <w:spacing w:val="-4"/>
          <w:sz w:val="20"/>
        </w:rPr>
        <w:t> </w:t>
      </w:r>
      <w:r>
        <w:rPr>
          <w:sz w:val="20"/>
        </w:rPr>
        <w:t>compared with</w:t>
      </w:r>
      <w:r>
        <w:rPr>
          <w:spacing w:val="-3"/>
          <w:sz w:val="20"/>
        </w:rPr>
        <w:t> </w:t>
      </w:r>
      <w:r>
        <w:rPr>
          <w:sz w:val="20"/>
        </w:rPr>
        <w:t>the</w:t>
      </w:r>
      <w:r>
        <w:rPr>
          <w:spacing w:val="-1"/>
          <w:sz w:val="20"/>
        </w:rPr>
        <w:t> </w:t>
      </w:r>
      <w:r>
        <w:rPr>
          <w:sz w:val="20"/>
        </w:rPr>
        <w:t>resources</w:t>
      </w:r>
      <w:r>
        <w:rPr>
          <w:spacing w:val="-4"/>
          <w:sz w:val="20"/>
        </w:rPr>
        <w:t> </w:t>
      </w:r>
      <w:r>
        <w:rPr>
          <w:sz w:val="20"/>
        </w:rPr>
        <w:t>approved for</w:t>
      </w:r>
      <w:r>
        <w:rPr>
          <w:spacing w:val="-2"/>
          <w:sz w:val="20"/>
        </w:rPr>
        <w:t> </w:t>
      </w:r>
      <w:r>
        <w:rPr>
          <w:sz w:val="20"/>
        </w:rPr>
        <w:t>2022. Such an</w:t>
      </w:r>
      <w:r>
        <w:rPr>
          <w:spacing w:val="40"/>
          <w:sz w:val="20"/>
        </w:rPr>
        <w:t> </w:t>
      </w:r>
      <w:r>
        <w:rPr>
          <w:sz w:val="20"/>
        </w:rPr>
        <w:t>increase</w:t>
      </w:r>
      <w:r>
        <w:rPr>
          <w:spacing w:val="40"/>
          <w:sz w:val="20"/>
        </w:rPr>
        <w:t> </w:t>
      </w:r>
      <w:r>
        <w:rPr>
          <w:sz w:val="20"/>
        </w:rPr>
        <w:t>mainly</w:t>
      </w:r>
      <w:r>
        <w:rPr>
          <w:spacing w:val="40"/>
          <w:sz w:val="20"/>
        </w:rPr>
        <w:t> </w:t>
      </w:r>
      <w:r>
        <w:rPr>
          <w:sz w:val="20"/>
        </w:rPr>
        <w:t>results</w:t>
      </w:r>
      <w:r>
        <w:rPr>
          <w:spacing w:val="40"/>
          <w:sz w:val="20"/>
        </w:rPr>
        <w:t> </w:t>
      </w:r>
      <w:r>
        <w:rPr>
          <w:sz w:val="20"/>
        </w:rPr>
        <w:t>from</w:t>
      </w:r>
      <w:r>
        <w:rPr>
          <w:spacing w:val="40"/>
          <w:sz w:val="20"/>
        </w:rPr>
        <w:t> </w:t>
      </w:r>
      <w:r>
        <w:rPr>
          <w:sz w:val="20"/>
        </w:rPr>
        <w:t>the</w:t>
      </w:r>
      <w:r>
        <w:rPr>
          <w:spacing w:val="40"/>
          <w:sz w:val="20"/>
        </w:rPr>
        <w:t> </w:t>
      </w:r>
      <w:r>
        <w:rPr>
          <w:sz w:val="20"/>
        </w:rPr>
        <w:t>resources</w:t>
      </w:r>
      <w:r>
        <w:rPr>
          <w:spacing w:val="40"/>
          <w:sz w:val="20"/>
        </w:rPr>
        <w:t> </w:t>
      </w:r>
      <w:r>
        <w:rPr>
          <w:sz w:val="20"/>
        </w:rPr>
        <w:t>requested</w:t>
      </w:r>
      <w:r>
        <w:rPr>
          <w:spacing w:val="40"/>
          <w:sz w:val="20"/>
        </w:rPr>
        <w:t> </w:t>
      </w:r>
      <w:r>
        <w:rPr>
          <w:sz w:val="20"/>
        </w:rPr>
        <w:t>by</w:t>
      </w:r>
      <w:r>
        <w:rPr>
          <w:spacing w:val="40"/>
          <w:sz w:val="20"/>
        </w:rPr>
        <w:t> </w:t>
      </w:r>
      <w:r>
        <w:rPr>
          <w:sz w:val="20"/>
        </w:rPr>
        <w:t>VWS</w:t>
      </w:r>
      <w:r>
        <w:rPr>
          <w:spacing w:val="40"/>
          <w:sz w:val="20"/>
        </w:rPr>
        <w:t> </w:t>
      </w:r>
      <w:r>
        <w:rPr>
          <w:sz w:val="20"/>
        </w:rPr>
        <w:t>(€2,405.9</w:t>
      </w:r>
      <w:r>
        <w:rPr>
          <w:spacing w:val="40"/>
          <w:sz w:val="20"/>
        </w:rPr>
        <w:t> </w:t>
      </w:r>
      <w:r>
        <w:rPr>
          <w:sz w:val="20"/>
        </w:rPr>
        <w:t>thousand) for 2023 which have increased by €785.6 thousand (48.5 per cent) as compared with the resources approved for 2022.</w:t>
      </w:r>
    </w:p>
    <w:p>
      <w:pPr>
        <w:pStyle w:val="ListParagraph"/>
        <w:numPr>
          <w:ilvl w:val="0"/>
          <w:numId w:val="4"/>
        </w:numPr>
        <w:tabs>
          <w:tab w:pos="2967" w:val="left" w:leader="none"/>
        </w:tabs>
        <w:spacing w:line="240" w:lineRule="auto" w:before="122" w:after="0"/>
        <w:ind w:left="2246" w:right="2239" w:firstLine="0"/>
        <w:jc w:val="both"/>
        <w:rPr>
          <w:sz w:val="20"/>
        </w:rPr>
      </w:pPr>
      <w:r>
        <w:rPr>
          <w:sz w:val="20"/>
        </w:rPr>
        <w:t>The amount requested by VWS is used to support, among other requirements, the implementation of international and regional relocations, assisted moves and other relevant protection</w:t>
      </w:r>
      <w:r>
        <w:rPr>
          <w:spacing w:val="-3"/>
          <w:sz w:val="20"/>
        </w:rPr>
        <w:t> </w:t>
      </w:r>
      <w:r>
        <w:rPr>
          <w:sz w:val="20"/>
        </w:rPr>
        <w:t>measures, IRS (to</w:t>
      </w:r>
      <w:r>
        <w:rPr>
          <w:spacing w:val="-3"/>
          <w:sz w:val="20"/>
        </w:rPr>
        <w:t> </w:t>
      </w:r>
      <w:r>
        <w:rPr>
          <w:sz w:val="20"/>
        </w:rPr>
        <w:t>ensure</w:t>
      </w:r>
      <w:r>
        <w:rPr>
          <w:spacing w:val="-1"/>
          <w:sz w:val="20"/>
        </w:rPr>
        <w:t> </w:t>
      </w:r>
      <w:r>
        <w:rPr>
          <w:sz w:val="20"/>
        </w:rPr>
        <w:t>24/7</w:t>
      </w:r>
      <w:r>
        <w:rPr>
          <w:spacing w:val="-3"/>
          <w:sz w:val="20"/>
        </w:rPr>
        <w:t> </w:t>
      </w:r>
      <w:r>
        <w:rPr>
          <w:sz w:val="20"/>
        </w:rPr>
        <w:t>extraction capability in</w:t>
      </w:r>
      <w:r>
        <w:rPr>
          <w:spacing w:val="-3"/>
          <w:sz w:val="20"/>
        </w:rPr>
        <w:t> </w:t>
      </w:r>
      <w:r>
        <w:rPr>
          <w:sz w:val="20"/>
        </w:rPr>
        <w:t>VWS’s</w:t>
      </w:r>
      <w:r>
        <w:rPr>
          <w:spacing w:val="-4"/>
          <w:sz w:val="20"/>
        </w:rPr>
        <w:t> </w:t>
      </w:r>
      <w:r>
        <w:rPr>
          <w:sz w:val="20"/>
        </w:rPr>
        <w:t>areas of</w:t>
      </w:r>
      <w:r>
        <w:rPr>
          <w:spacing w:val="-3"/>
          <w:sz w:val="20"/>
        </w:rPr>
        <w:t> </w:t>
      </w:r>
      <w:r>
        <w:rPr>
          <w:sz w:val="20"/>
        </w:rPr>
        <w:t>operations and provide safe havens in the event of life-threatening situations and other such emergencies), case management, psychosocial support to witnesses and victims and the appearance of witnesses and victims at trial, which is key to enabling VWS to fulfil its mandate of providing protection, security arrangements, counselling and other appropriate assistance to witnesses and victims under its care.</w:t>
      </w:r>
    </w:p>
    <w:p>
      <w:pPr>
        <w:pStyle w:val="ListParagraph"/>
        <w:numPr>
          <w:ilvl w:val="0"/>
          <w:numId w:val="4"/>
        </w:numPr>
        <w:tabs>
          <w:tab w:pos="2967" w:val="left" w:leader="none"/>
        </w:tabs>
        <w:spacing w:line="240" w:lineRule="auto" w:before="119" w:after="0"/>
        <w:ind w:left="2967" w:right="0" w:hanging="721"/>
        <w:jc w:val="both"/>
        <w:rPr>
          <w:sz w:val="20"/>
        </w:rPr>
      </w:pPr>
      <w:r>
        <w:rPr>
          <w:sz w:val="20"/>
        </w:rPr>
        <w:t>Of</w:t>
      </w:r>
      <w:r>
        <w:rPr>
          <w:spacing w:val="9"/>
          <w:sz w:val="20"/>
        </w:rPr>
        <w:t> </w:t>
      </w:r>
      <w:r>
        <w:rPr>
          <w:sz w:val="20"/>
        </w:rPr>
        <w:t>the</w:t>
      </w:r>
      <w:r>
        <w:rPr>
          <w:spacing w:val="13"/>
          <w:sz w:val="20"/>
        </w:rPr>
        <w:t> </w:t>
      </w:r>
      <w:r>
        <w:rPr>
          <w:sz w:val="20"/>
        </w:rPr>
        <w:t>above-mentioned</w:t>
      </w:r>
      <w:r>
        <w:rPr>
          <w:spacing w:val="7"/>
          <w:sz w:val="20"/>
        </w:rPr>
        <w:t> </w:t>
      </w:r>
      <w:r>
        <w:rPr>
          <w:sz w:val="20"/>
        </w:rPr>
        <w:t>increase</w:t>
      </w:r>
      <w:r>
        <w:rPr>
          <w:spacing w:val="13"/>
          <w:sz w:val="20"/>
        </w:rPr>
        <w:t> </w:t>
      </w:r>
      <w:r>
        <w:rPr>
          <w:sz w:val="20"/>
        </w:rPr>
        <w:t>requested</w:t>
      </w:r>
      <w:r>
        <w:rPr>
          <w:spacing w:val="11"/>
          <w:sz w:val="20"/>
        </w:rPr>
        <w:t> </w:t>
      </w:r>
      <w:r>
        <w:rPr>
          <w:sz w:val="20"/>
        </w:rPr>
        <w:t>by</w:t>
      </w:r>
      <w:r>
        <w:rPr>
          <w:spacing w:val="7"/>
          <w:sz w:val="20"/>
        </w:rPr>
        <w:t> </w:t>
      </w:r>
      <w:r>
        <w:rPr>
          <w:sz w:val="20"/>
        </w:rPr>
        <w:t>VWS</w:t>
      </w:r>
      <w:r>
        <w:rPr>
          <w:spacing w:val="11"/>
          <w:sz w:val="20"/>
        </w:rPr>
        <w:t> </w:t>
      </w:r>
      <w:r>
        <w:rPr>
          <w:sz w:val="20"/>
        </w:rPr>
        <w:t>for</w:t>
      </w:r>
      <w:r>
        <w:rPr>
          <w:spacing w:val="7"/>
          <w:sz w:val="20"/>
        </w:rPr>
        <w:t> </w:t>
      </w:r>
      <w:r>
        <w:rPr>
          <w:sz w:val="20"/>
        </w:rPr>
        <w:t>2023</w:t>
      </w:r>
      <w:r>
        <w:rPr>
          <w:spacing w:val="11"/>
          <w:sz w:val="20"/>
        </w:rPr>
        <w:t> </w:t>
      </w:r>
      <w:r>
        <w:rPr>
          <w:sz w:val="20"/>
        </w:rPr>
        <w:t>(€785.6</w:t>
      </w:r>
      <w:r>
        <w:rPr>
          <w:spacing w:val="8"/>
          <w:sz w:val="20"/>
        </w:rPr>
        <w:t> </w:t>
      </w:r>
      <w:r>
        <w:rPr>
          <w:spacing w:val="-2"/>
          <w:sz w:val="20"/>
        </w:rPr>
        <w:t>thousand),</w:t>
      </w:r>
    </w:p>
    <w:p>
      <w:pPr>
        <w:pStyle w:val="BodyText"/>
        <w:spacing w:before="1"/>
        <w:ind w:left="2246" w:right="2243"/>
        <w:jc w:val="both"/>
      </w:pPr>
      <w:r>
        <w:rPr/>
        <w:t>€570.6 thousand is directly attributed to those activities planned for the new situations in Ukraine,</w:t>
      </w:r>
      <w:r>
        <w:rPr>
          <w:spacing w:val="31"/>
        </w:rPr>
        <w:t> </w:t>
      </w:r>
      <w:r>
        <w:rPr/>
        <w:t>Afghanistan,</w:t>
      </w:r>
      <w:r>
        <w:rPr>
          <w:spacing w:val="31"/>
        </w:rPr>
        <w:t> </w:t>
      </w:r>
      <w:r>
        <w:rPr/>
        <w:t>the</w:t>
      </w:r>
      <w:r>
        <w:rPr>
          <w:spacing w:val="31"/>
        </w:rPr>
        <w:t> </w:t>
      </w:r>
      <w:r>
        <w:rPr/>
        <w:t>Philippines</w:t>
      </w:r>
      <w:r>
        <w:rPr>
          <w:spacing w:val="27"/>
        </w:rPr>
        <w:t> </w:t>
      </w:r>
      <w:r>
        <w:rPr/>
        <w:t>and</w:t>
      </w:r>
      <w:r>
        <w:rPr>
          <w:spacing w:val="29"/>
        </w:rPr>
        <w:t> </w:t>
      </w:r>
      <w:r>
        <w:rPr/>
        <w:t>Bangladesh/Myanmar.</w:t>
      </w:r>
      <w:r>
        <w:rPr>
          <w:spacing w:val="31"/>
        </w:rPr>
        <w:t> </w:t>
      </w:r>
      <w:r>
        <w:rPr/>
        <w:t>The</w:t>
      </w:r>
      <w:r>
        <w:rPr>
          <w:spacing w:val="30"/>
        </w:rPr>
        <w:t> </w:t>
      </w:r>
      <w:r>
        <w:rPr/>
        <w:t>remaining</w:t>
      </w:r>
      <w:r>
        <w:rPr>
          <w:spacing w:val="34"/>
        </w:rPr>
        <w:t> </w:t>
      </w:r>
      <w:r>
        <w:rPr/>
        <w:t>amount of €215.0 thousand is the net increase attributed to (1) new witness referrals for protection and support anticipated for the existing situations in Darfur, Sudan and Libya and (2) the implementation of IRS in all situations.</w:t>
      </w:r>
    </w:p>
    <w:p>
      <w:pPr>
        <w:pStyle w:val="ListParagraph"/>
        <w:numPr>
          <w:ilvl w:val="0"/>
          <w:numId w:val="4"/>
        </w:numPr>
        <w:tabs>
          <w:tab w:pos="2967" w:val="left" w:leader="none"/>
        </w:tabs>
        <w:spacing w:line="240" w:lineRule="auto" w:before="122" w:after="0"/>
        <w:ind w:left="2246" w:right="2241" w:firstLine="0"/>
        <w:jc w:val="both"/>
        <w:rPr>
          <w:sz w:val="20"/>
        </w:rPr>
      </w:pPr>
      <w:r>
        <w:rPr>
          <w:sz w:val="20"/>
        </w:rPr>
        <w:t>Despite</w:t>
      </w:r>
      <w:r>
        <w:rPr>
          <w:spacing w:val="-8"/>
          <w:sz w:val="20"/>
        </w:rPr>
        <w:t> </w:t>
      </w:r>
      <w:r>
        <w:rPr>
          <w:sz w:val="20"/>
        </w:rPr>
        <w:t>the</w:t>
      </w:r>
      <w:r>
        <w:rPr>
          <w:spacing w:val="-8"/>
          <w:sz w:val="20"/>
        </w:rPr>
        <w:t> </w:t>
      </w:r>
      <w:r>
        <w:rPr>
          <w:sz w:val="20"/>
        </w:rPr>
        <w:t>fact</w:t>
      </w:r>
      <w:r>
        <w:rPr>
          <w:spacing w:val="-8"/>
          <w:sz w:val="20"/>
        </w:rPr>
        <w:t> </w:t>
      </w:r>
      <w:r>
        <w:rPr>
          <w:sz w:val="20"/>
        </w:rPr>
        <w:t>that</w:t>
      </w:r>
      <w:r>
        <w:rPr>
          <w:spacing w:val="-3"/>
          <w:sz w:val="20"/>
        </w:rPr>
        <w:t> </w:t>
      </w:r>
      <w:r>
        <w:rPr>
          <w:sz w:val="20"/>
        </w:rPr>
        <w:t>fewer</w:t>
      </w:r>
      <w:r>
        <w:rPr>
          <w:spacing w:val="-5"/>
          <w:sz w:val="20"/>
        </w:rPr>
        <w:t> </w:t>
      </w:r>
      <w:r>
        <w:rPr>
          <w:sz w:val="20"/>
        </w:rPr>
        <w:t>resources</w:t>
      </w:r>
      <w:r>
        <w:rPr>
          <w:spacing w:val="-11"/>
          <w:sz w:val="20"/>
        </w:rPr>
        <w:t> </w:t>
      </w:r>
      <w:r>
        <w:rPr>
          <w:sz w:val="20"/>
        </w:rPr>
        <w:t>are</w:t>
      </w:r>
      <w:r>
        <w:rPr>
          <w:spacing w:val="-3"/>
          <w:sz w:val="20"/>
        </w:rPr>
        <w:t> </w:t>
      </w:r>
      <w:r>
        <w:rPr>
          <w:sz w:val="20"/>
        </w:rPr>
        <w:t>required</w:t>
      </w:r>
      <w:r>
        <w:rPr>
          <w:spacing w:val="-9"/>
          <w:sz w:val="20"/>
        </w:rPr>
        <w:t> </w:t>
      </w:r>
      <w:r>
        <w:rPr>
          <w:sz w:val="20"/>
        </w:rPr>
        <w:t>to</w:t>
      </w:r>
      <w:r>
        <w:rPr>
          <w:spacing w:val="-5"/>
          <w:sz w:val="20"/>
        </w:rPr>
        <w:t> </w:t>
      </w:r>
      <w:r>
        <w:rPr>
          <w:sz w:val="20"/>
        </w:rPr>
        <w:t>facilitate</w:t>
      </w:r>
      <w:r>
        <w:rPr>
          <w:spacing w:val="-12"/>
          <w:sz w:val="20"/>
        </w:rPr>
        <w:t> </w:t>
      </w:r>
      <w:r>
        <w:rPr>
          <w:sz w:val="20"/>
        </w:rPr>
        <w:t>the</w:t>
      </w:r>
      <w:r>
        <w:rPr>
          <w:spacing w:val="-8"/>
          <w:sz w:val="20"/>
        </w:rPr>
        <w:t> </w:t>
      </w:r>
      <w:r>
        <w:rPr>
          <w:sz w:val="20"/>
        </w:rPr>
        <w:t>appearance</w:t>
      </w:r>
      <w:r>
        <w:rPr>
          <w:spacing w:val="-8"/>
          <w:sz w:val="20"/>
        </w:rPr>
        <w:t> </w:t>
      </w:r>
      <w:r>
        <w:rPr>
          <w:sz w:val="20"/>
        </w:rPr>
        <w:t>of</w:t>
      </w:r>
      <w:r>
        <w:rPr>
          <w:spacing w:val="-9"/>
          <w:sz w:val="20"/>
        </w:rPr>
        <w:t> </w:t>
      </w:r>
      <w:r>
        <w:rPr>
          <w:sz w:val="20"/>
        </w:rPr>
        <w:t>trial witnesses owing to the reduced number of witnesses anticipated to appear for 2023 as compared</w:t>
      </w:r>
      <w:r>
        <w:rPr>
          <w:spacing w:val="-9"/>
          <w:sz w:val="20"/>
        </w:rPr>
        <w:t> </w:t>
      </w:r>
      <w:r>
        <w:rPr>
          <w:sz w:val="20"/>
        </w:rPr>
        <w:t>with</w:t>
      </w:r>
      <w:r>
        <w:rPr>
          <w:spacing w:val="-9"/>
          <w:sz w:val="20"/>
        </w:rPr>
        <w:t> </w:t>
      </w:r>
      <w:r>
        <w:rPr>
          <w:sz w:val="20"/>
        </w:rPr>
        <w:t>the</w:t>
      </w:r>
      <w:r>
        <w:rPr>
          <w:spacing w:val="-8"/>
          <w:sz w:val="20"/>
        </w:rPr>
        <w:t> </w:t>
      </w:r>
      <w:r>
        <w:rPr>
          <w:sz w:val="20"/>
        </w:rPr>
        <w:t>previous</w:t>
      </w:r>
      <w:r>
        <w:rPr>
          <w:spacing w:val="-11"/>
          <w:sz w:val="20"/>
        </w:rPr>
        <w:t> </w:t>
      </w:r>
      <w:r>
        <w:rPr>
          <w:sz w:val="20"/>
        </w:rPr>
        <w:t>year,</w:t>
      </w:r>
      <w:r>
        <w:rPr>
          <w:spacing w:val="-7"/>
          <w:sz w:val="20"/>
        </w:rPr>
        <w:t> </w:t>
      </w:r>
      <w:r>
        <w:rPr>
          <w:sz w:val="20"/>
        </w:rPr>
        <w:t>expenditure</w:t>
      </w:r>
      <w:r>
        <w:rPr>
          <w:spacing w:val="-12"/>
          <w:sz w:val="20"/>
        </w:rPr>
        <w:t> </w:t>
      </w:r>
      <w:r>
        <w:rPr>
          <w:sz w:val="20"/>
        </w:rPr>
        <w:t>associated</w:t>
      </w:r>
      <w:r>
        <w:rPr>
          <w:spacing w:val="-9"/>
          <w:sz w:val="20"/>
        </w:rPr>
        <w:t> </w:t>
      </w:r>
      <w:r>
        <w:rPr>
          <w:sz w:val="20"/>
        </w:rPr>
        <w:t>with</w:t>
      </w:r>
      <w:r>
        <w:rPr>
          <w:spacing w:val="-9"/>
          <w:sz w:val="20"/>
        </w:rPr>
        <w:t> </w:t>
      </w:r>
      <w:r>
        <w:rPr>
          <w:sz w:val="20"/>
        </w:rPr>
        <w:t>the</w:t>
      </w:r>
      <w:r>
        <w:rPr>
          <w:spacing w:val="-8"/>
          <w:sz w:val="20"/>
        </w:rPr>
        <w:t> </w:t>
      </w:r>
      <w:r>
        <w:rPr>
          <w:sz w:val="20"/>
        </w:rPr>
        <w:t>care</w:t>
      </w:r>
      <w:r>
        <w:rPr>
          <w:spacing w:val="-8"/>
          <w:sz w:val="20"/>
        </w:rPr>
        <w:t> </w:t>
      </w:r>
      <w:r>
        <w:rPr>
          <w:sz w:val="20"/>
        </w:rPr>
        <w:t>of</w:t>
      </w:r>
      <w:r>
        <w:rPr>
          <w:spacing w:val="-9"/>
          <w:sz w:val="20"/>
        </w:rPr>
        <w:t> </w:t>
      </w:r>
      <w:r>
        <w:rPr>
          <w:sz w:val="20"/>
        </w:rPr>
        <w:t>protected</w:t>
      </w:r>
      <w:r>
        <w:rPr>
          <w:spacing w:val="-9"/>
          <w:sz w:val="20"/>
        </w:rPr>
        <w:t> </w:t>
      </w:r>
      <w:r>
        <w:rPr>
          <w:sz w:val="20"/>
        </w:rPr>
        <w:t>witnesses remains</w:t>
      </w:r>
      <w:r>
        <w:rPr>
          <w:spacing w:val="-10"/>
          <w:sz w:val="20"/>
        </w:rPr>
        <w:t> </w:t>
      </w:r>
      <w:r>
        <w:rPr>
          <w:sz w:val="20"/>
        </w:rPr>
        <w:t>high.</w:t>
      </w:r>
      <w:r>
        <w:rPr>
          <w:spacing w:val="-6"/>
          <w:sz w:val="20"/>
        </w:rPr>
        <w:t> </w:t>
      </w:r>
      <w:r>
        <w:rPr>
          <w:sz w:val="20"/>
        </w:rPr>
        <w:t>Taking</w:t>
      </w:r>
      <w:r>
        <w:rPr>
          <w:spacing w:val="-8"/>
          <w:sz w:val="20"/>
        </w:rPr>
        <w:t> </w:t>
      </w:r>
      <w:r>
        <w:rPr>
          <w:sz w:val="20"/>
        </w:rPr>
        <w:t>into</w:t>
      </w:r>
      <w:r>
        <w:rPr>
          <w:spacing w:val="-8"/>
          <w:sz w:val="20"/>
        </w:rPr>
        <w:t> </w:t>
      </w:r>
      <w:r>
        <w:rPr>
          <w:sz w:val="20"/>
        </w:rPr>
        <w:t>account</w:t>
      </w:r>
      <w:r>
        <w:rPr>
          <w:spacing w:val="-2"/>
          <w:sz w:val="20"/>
        </w:rPr>
        <w:t> </w:t>
      </w:r>
      <w:r>
        <w:rPr>
          <w:sz w:val="20"/>
        </w:rPr>
        <w:t>the</w:t>
      </w:r>
      <w:r>
        <w:rPr>
          <w:spacing w:val="-7"/>
          <w:sz w:val="20"/>
        </w:rPr>
        <w:t> </w:t>
      </w:r>
      <w:r>
        <w:rPr>
          <w:sz w:val="20"/>
        </w:rPr>
        <w:t>costs</w:t>
      </w:r>
      <w:r>
        <w:rPr>
          <w:spacing w:val="-10"/>
          <w:sz w:val="20"/>
        </w:rPr>
        <w:t> </w:t>
      </w:r>
      <w:r>
        <w:rPr>
          <w:sz w:val="20"/>
        </w:rPr>
        <w:t>already</w:t>
      </w:r>
      <w:r>
        <w:rPr>
          <w:spacing w:val="-8"/>
          <w:sz w:val="20"/>
        </w:rPr>
        <w:t> </w:t>
      </w:r>
      <w:r>
        <w:rPr>
          <w:sz w:val="20"/>
        </w:rPr>
        <w:t>incurred</w:t>
      </w:r>
      <w:r>
        <w:rPr>
          <w:spacing w:val="-4"/>
          <w:sz w:val="20"/>
        </w:rPr>
        <w:t> </w:t>
      </w:r>
      <w:r>
        <w:rPr>
          <w:sz w:val="20"/>
        </w:rPr>
        <w:t>in</w:t>
      </w:r>
      <w:r>
        <w:rPr>
          <w:spacing w:val="-4"/>
          <w:sz w:val="20"/>
        </w:rPr>
        <w:t> </w:t>
      </w:r>
      <w:r>
        <w:rPr>
          <w:sz w:val="20"/>
        </w:rPr>
        <w:t>the</w:t>
      </w:r>
      <w:r>
        <w:rPr>
          <w:spacing w:val="-2"/>
          <w:sz w:val="20"/>
        </w:rPr>
        <w:t> </w:t>
      </w:r>
      <w:r>
        <w:rPr>
          <w:sz w:val="20"/>
        </w:rPr>
        <w:t>past</w:t>
      </w:r>
      <w:r>
        <w:rPr>
          <w:spacing w:val="-2"/>
          <w:sz w:val="20"/>
        </w:rPr>
        <w:t> </w:t>
      </w:r>
      <w:r>
        <w:rPr>
          <w:sz w:val="20"/>
        </w:rPr>
        <w:t>year,</w:t>
      </w:r>
      <w:r>
        <w:rPr>
          <w:spacing w:val="-6"/>
          <w:sz w:val="20"/>
        </w:rPr>
        <w:t> </w:t>
      </w:r>
      <w:r>
        <w:rPr>
          <w:sz w:val="20"/>
        </w:rPr>
        <w:t>it</w:t>
      </w:r>
      <w:r>
        <w:rPr>
          <w:spacing w:val="-7"/>
          <w:sz w:val="20"/>
        </w:rPr>
        <w:t> </w:t>
      </w:r>
      <w:r>
        <w:rPr>
          <w:sz w:val="20"/>
        </w:rPr>
        <w:t>is</w:t>
      </w:r>
      <w:r>
        <w:rPr>
          <w:spacing w:val="-10"/>
          <w:sz w:val="20"/>
        </w:rPr>
        <w:t> </w:t>
      </w:r>
      <w:r>
        <w:rPr>
          <w:sz w:val="20"/>
        </w:rPr>
        <w:t>anticipated that</w:t>
      </w:r>
      <w:r>
        <w:rPr>
          <w:spacing w:val="-3"/>
          <w:sz w:val="20"/>
        </w:rPr>
        <w:t> </w:t>
      </w:r>
      <w:r>
        <w:rPr>
          <w:sz w:val="20"/>
        </w:rPr>
        <w:t>an</w:t>
      </w:r>
      <w:r>
        <w:rPr>
          <w:spacing w:val="-5"/>
          <w:sz w:val="20"/>
        </w:rPr>
        <w:t> </w:t>
      </w:r>
      <w:r>
        <w:rPr>
          <w:sz w:val="20"/>
        </w:rPr>
        <w:t>amount</w:t>
      </w:r>
      <w:r>
        <w:rPr>
          <w:spacing w:val="-3"/>
          <w:sz w:val="20"/>
        </w:rPr>
        <w:t> </w:t>
      </w:r>
      <w:r>
        <w:rPr>
          <w:sz w:val="20"/>
        </w:rPr>
        <w:t>of</w:t>
      </w:r>
      <w:r>
        <w:rPr>
          <w:spacing w:val="-3"/>
          <w:sz w:val="20"/>
        </w:rPr>
        <w:t> </w:t>
      </w:r>
      <w:r>
        <w:rPr>
          <w:sz w:val="20"/>
        </w:rPr>
        <w:t>€2,405.0</w:t>
      </w:r>
      <w:r>
        <w:rPr>
          <w:spacing w:val="-9"/>
          <w:sz w:val="20"/>
        </w:rPr>
        <w:t> </w:t>
      </w:r>
      <w:r>
        <w:rPr>
          <w:sz w:val="20"/>
        </w:rPr>
        <w:t>thousand</w:t>
      </w:r>
      <w:r>
        <w:rPr>
          <w:spacing w:val="-5"/>
          <w:sz w:val="20"/>
        </w:rPr>
        <w:t> </w:t>
      </w:r>
      <w:r>
        <w:rPr>
          <w:sz w:val="20"/>
        </w:rPr>
        <w:t>will</w:t>
      </w:r>
      <w:r>
        <w:rPr>
          <w:spacing w:val="-3"/>
          <w:sz w:val="20"/>
        </w:rPr>
        <w:t> </w:t>
      </w:r>
      <w:r>
        <w:rPr>
          <w:sz w:val="20"/>
        </w:rPr>
        <w:t>be</w:t>
      </w:r>
      <w:r>
        <w:rPr>
          <w:spacing w:val="-3"/>
          <w:sz w:val="20"/>
        </w:rPr>
        <w:t> </w:t>
      </w:r>
      <w:r>
        <w:rPr>
          <w:sz w:val="20"/>
        </w:rPr>
        <w:t>required</w:t>
      </w:r>
      <w:r>
        <w:rPr>
          <w:spacing w:val="-5"/>
          <w:sz w:val="20"/>
        </w:rPr>
        <w:t> </w:t>
      </w:r>
      <w:r>
        <w:rPr>
          <w:sz w:val="20"/>
        </w:rPr>
        <w:t>for</w:t>
      </w:r>
      <w:r>
        <w:rPr>
          <w:spacing w:val="-5"/>
          <w:sz w:val="20"/>
        </w:rPr>
        <w:t> </w:t>
      </w:r>
      <w:r>
        <w:rPr>
          <w:sz w:val="20"/>
        </w:rPr>
        <w:t>2023 to</w:t>
      </w:r>
      <w:r>
        <w:rPr>
          <w:spacing w:val="-5"/>
          <w:sz w:val="20"/>
        </w:rPr>
        <w:t> </w:t>
      </w:r>
      <w:r>
        <w:rPr>
          <w:sz w:val="20"/>
        </w:rPr>
        <w:t>facilitate</w:t>
      </w:r>
      <w:r>
        <w:rPr>
          <w:spacing w:val="-3"/>
          <w:sz w:val="20"/>
        </w:rPr>
        <w:t> </w:t>
      </w:r>
      <w:r>
        <w:rPr>
          <w:sz w:val="20"/>
        </w:rPr>
        <w:t>the</w:t>
      </w:r>
      <w:r>
        <w:rPr>
          <w:spacing w:val="-3"/>
          <w:sz w:val="20"/>
        </w:rPr>
        <w:t> </w:t>
      </w:r>
      <w:r>
        <w:rPr>
          <w:sz w:val="20"/>
        </w:rPr>
        <w:t>appearance</w:t>
      </w:r>
      <w:r>
        <w:rPr>
          <w:spacing w:val="-3"/>
          <w:sz w:val="20"/>
        </w:rPr>
        <w:t> </w:t>
      </w:r>
      <w:r>
        <w:rPr>
          <w:sz w:val="20"/>
        </w:rPr>
        <w:t>of witnesses at trial and to cater for witnesses under protection and/or support.</w:t>
      </w:r>
    </w:p>
    <w:p>
      <w:pPr>
        <w:pStyle w:val="ListParagraph"/>
        <w:numPr>
          <w:ilvl w:val="0"/>
          <w:numId w:val="4"/>
        </w:numPr>
        <w:tabs>
          <w:tab w:pos="2967" w:val="left" w:leader="none"/>
        </w:tabs>
        <w:spacing w:line="240" w:lineRule="auto" w:before="119" w:after="0"/>
        <w:ind w:left="2967" w:right="0" w:hanging="721"/>
        <w:jc w:val="both"/>
        <w:rPr>
          <w:sz w:val="20"/>
        </w:rPr>
      </w:pPr>
      <w:r>
        <w:rPr>
          <w:sz w:val="20"/>
        </w:rPr>
        <w:t>The</w:t>
      </w:r>
      <w:r>
        <w:rPr>
          <w:spacing w:val="-7"/>
          <w:sz w:val="20"/>
        </w:rPr>
        <w:t> </w:t>
      </w:r>
      <w:r>
        <w:rPr>
          <w:sz w:val="20"/>
        </w:rPr>
        <w:t>breakdown</w:t>
      </w:r>
      <w:r>
        <w:rPr>
          <w:spacing w:val="-1"/>
          <w:sz w:val="20"/>
        </w:rPr>
        <w:t> </w:t>
      </w:r>
      <w:r>
        <w:rPr>
          <w:sz w:val="20"/>
        </w:rPr>
        <w:t>of</w:t>
      </w:r>
      <w:r>
        <w:rPr>
          <w:spacing w:val="-6"/>
          <w:sz w:val="20"/>
        </w:rPr>
        <w:t> </w:t>
      </w:r>
      <w:r>
        <w:rPr>
          <w:sz w:val="20"/>
        </w:rPr>
        <w:t>the</w:t>
      </w:r>
      <w:r>
        <w:rPr>
          <w:spacing w:val="-4"/>
          <w:sz w:val="20"/>
        </w:rPr>
        <w:t> </w:t>
      </w:r>
      <w:r>
        <w:rPr>
          <w:sz w:val="20"/>
        </w:rPr>
        <w:t>resources</w:t>
      </w:r>
      <w:r>
        <w:rPr>
          <w:spacing w:val="-2"/>
          <w:sz w:val="20"/>
        </w:rPr>
        <w:t> </w:t>
      </w:r>
      <w:r>
        <w:rPr>
          <w:sz w:val="20"/>
        </w:rPr>
        <w:t>required</w:t>
      </w:r>
      <w:r>
        <w:rPr>
          <w:spacing w:val="-6"/>
          <w:sz w:val="20"/>
        </w:rPr>
        <w:t> </w:t>
      </w:r>
      <w:r>
        <w:rPr>
          <w:sz w:val="20"/>
        </w:rPr>
        <w:t>by</w:t>
      </w:r>
      <w:r>
        <w:rPr>
          <w:spacing w:val="-7"/>
          <w:sz w:val="20"/>
        </w:rPr>
        <w:t> </w:t>
      </w:r>
      <w:r>
        <w:rPr>
          <w:sz w:val="20"/>
        </w:rPr>
        <w:t>VWS</w:t>
      </w:r>
      <w:r>
        <w:rPr>
          <w:spacing w:val="-6"/>
          <w:sz w:val="20"/>
        </w:rPr>
        <w:t> </w:t>
      </w:r>
      <w:r>
        <w:rPr>
          <w:sz w:val="20"/>
        </w:rPr>
        <w:t>for</w:t>
      </w:r>
      <w:r>
        <w:rPr>
          <w:spacing w:val="-7"/>
          <w:sz w:val="20"/>
        </w:rPr>
        <w:t> </w:t>
      </w:r>
      <w:r>
        <w:rPr>
          <w:sz w:val="20"/>
        </w:rPr>
        <w:t>2023 is</w:t>
      </w:r>
      <w:r>
        <w:rPr>
          <w:spacing w:val="-2"/>
          <w:sz w:val="20"/>
        </w:rPr>
        <w:t> </w:t>
      </w:r>
      <w:r>
        <w:rPr>
          <w:sz w:val="20"/>
        </w:rPr>
        <w:t>as</w:t>
      </w:r>
      <w:r>
        <w:rPr>
          <w:spacing w:val="-2"/>
          <w:sz w:val="20"/>
        </w:rPr>
        <w:t> follows:</w:t>
      </w:r>
    </w:p>
    <w:p>
      <w:pPr>
        <w:pStyle w:val="BodyText"/>
        <w:spacing w:before="10"/>
      </w:pPr>
    </w:p>
    <w:p>
      <w:pPr>
        <w:spacing w:before="0"/>
        <w:ind w:left="2246" w:right="0" w:firstLine="0"/>
        <w:jc w:val="both"/>
        <w:rPr>
          <w:i/>
          <w:sz w:val="20"/>
        </w:rPr>
      </w:pPr>
      <w:r>
        <w:rPr>
          <w:i/>
          <w:sz w:val="20"/>
        </w:rPr>
        <w:t>Existing</w:t>
      </w:r>
      <w:r>
        <w:rPr>
          <w:i/>
          <w:spacing w:val="-5"/>
          <w:sz w:val="20"/>
        </w:rPr>
        <w:t> </w:t>
      </w:r>
      <w:r>
        <w:rPr>
          <w:i/>
          <w:spacing w:val="-2"/>
          <w:sz w:val="20"/>
        </w:rPr>
        <w:t>situation</w:t>
      </w:r>
    </w:p>
    <w:p>
      <w:pPr>
        <w:pStyle w:val="BodyText"/>
        <w:spacing w:before="10"/>
        <w:rPr>
          <w:i/>
        </w:rPr>
      </w:pPr>
    </w:p>
    <w:p>
      <w:pPr>
        <w:pStyle w:val="ListParagraph"/>
        <w:numPr>
          <w:ilvl w:val="0"/>
          <w:numId w:val="4"/>
        </w:numPr>
        <w:tabs>
          <w:tab w:pos="2967" w:val="left" w:leader="none"/>
        </w:tabs>
        <w:spacing w:line="240" w:lineRule="auto" w:before="0" w:after="0"/>
        <w:ind w:left="2246" w:right="2237" w:firstLine="0"/>
        <w:jc w:val="both"/>
        <w:rPr>
          <w:sz w:val="20"/>
        </w:rPr>
      </w:pPr>
      <w:r>
        <w:rPr>
          <w:sz w:val="20"/>
        </w:rPr>
        <w:t>Of</w:t>
      </w:r>
      <w:r>
        <w:rPr>
          <w:spacing w:val="-12"/>
          <w:sz w:val="20"/>
        </w:rPr>
        <w:t> </w:t>
      </w:r>
      <w:r>
        <w:rPr>
          <w:sz w:val="20"/>
        </w:rPr>
        <w:t>the</w:t>
      </w:r>
      <w:r>
        <w:rPr>
          <w:spacing w:val="-12"/>
          <w:sz w:val="20"/>
        </w:rPr>
        <w:t> </w:t>
      </w:r>
      <w:r>
        <w:rPr>
          <w:sz w:val="20"/>
        </w:rPr>
        <w:t>total</w:t>
      </w:r>
      <w:r>
        <w:rPr>
          <w:spacing w:val="-9"/>
          <w:sz w:val="20"/>
        </w:rPr>
        <w:t> </w:t>
      </w:r>
      <w:r>
        <w:rPr>
          <w:sz w:val="20"/>
        </w:rPr>
        <w:t>resources</w:t>
      </w:r>
      <w:r>
        <w:rPr>
          <w:spacing w:val="-11"/>
          <w:sz w:val="20"/>
        </w:rPr>
        <w:t> </w:t>
      </w:r>
      <w:r>
        <w:rPr>
          <w:sz w:val="20"/>
        </w:rPr>
        <w:t>requested</w:t>
      </w:r>
      <w:r>
        <w:rPr>
          <w:spacing w:val="-13"/>
          <w:sz w:val="20"/>
        </w:rPr>
        <w:t> </w:t>
      </w:r>
      <w:r>
        <w:rPr>
          <w:sz w:val="20"/>
        </w:rPr>
        <w:t>by</w:t>
      </w:r>
      <w:r>
        <w:rPr>
          <w:spacing w:val="-9"/>
          <w:sz w:val="20"/>
        </w:rPr>
        <w:t> </w:t>
      </w:r>
      <w:r>
        <w:rPr>
          <w:sz w:val="20"/>
        </w:rPr>
        <w:t>VWS</w:t>
      </w:r>
      <w:r>
        <w:rPr>
          <w:spacing w:val="-11"/>
          <w:sz w:val="20"/>
        </w:rPr>
        <w:t> </w:t>
      </w:r>
      <w:r>
        <w:rPr>
          <w:sz w:val="20"/>
        </w:rPr>
        <w:t>for</w:t>
      </w:r>
      <w:r>
        <w:rPr>
          <w:spacing w:val="-10"/>
          <w:sz w:val="20"/>
        </w:rPr>
        <w:t> </w:t>
      </w:r>
      <w:r>
        <w:rPr>
          <w:sz w:val="20"/>
        </w:rPr>
        <w:t>GOE,</w:t>
      </w:r>
      <w:r>
        <w:rPr>
          <w:spacing w:val="-12"/>
          <w:sz w:val="20"/>
        </w:rPr>
        <w:t> </w:t>
      </w:r>
      <w:r>
        <w:rPr>
          <w:sz w:val="20"/>
        </w:rPr>
        <w:t>the</w:t>
      </w:r>
      <w:r>
        <w:rPr>
          <w:spacing w:val="-9"/>
          <w:sz w:val="20"/>
        </w:rPr>
        <w:t> </w:t>
      </w:r>
      <w:r>
        <w:rPr>
          <w:sz w:val="20"/>
        </w:rPr>
        <w:t>amount</w:t>
      </w:r>
      <w:r>
        <w:rPr>
          <w:spacing w:val="-9"/>
          <w:sz w:val="20"/>
        </w:rPr>
        <w:t> </w:t>
      </w:r>
      <w:r>
        <w:rPr>
          <w:sz w:val="20"/>
        </w:rPr>
        <w:t>of</w:t>
      </w:r>
      <w:r>
        <w:rPr>
          <w:spacing w:val="-4"/>
          <w:sz w:val="20"/>
        </w:rPr>
        <w:t> </w:t>
      </w:r>
      <w:r>
        <w:rPr>
          <w:sz w:val="20"/>
        </w:rPr>
        <w:t>€1,226.8</w:t>
      </w:r>
      <w:r>
        <w:rPr>
          <w:spacing w:val="-13"/>
          <w:sz w:val="20"/>
        </w:rPr>
        <w:t> </w:t>
      </w:r>
      <w:r>
        <w:rPr>
          <w:sz w:val="20"/>
        </w:rPr>
        <w:t>thousand (51.0 per cent of the total GOE budget proposed by VWS)</w:t>
      </w:r>
      <w:r>
        <w:rPr>
          <w:spacing w:val="-3"/>
          <w:sz w:val="20"/>
        </w:rPr>
        <w:t> </w:t>
      </w:r>
      <w:r>
        <w:rPr>
          <w:sz w:val="20"/>
        </w:rPr>
        <w:t>will be used to protect and cater for those witnesses currently under the care of VWS and the amount of €270.0 thousand (11.0</w:t>
      </w:r>
      <w:r>
        <w:rPr>
          <w:spacing w:val="-3"/>
          <w:sz w:val="20"/>
        </w:rPr>
        <w:t> </w:t>
      </w:r>
      <w:r>
        <w:rPr>
          <w:sz w:val="20"/>
        </w:rPr>
        <w:t>per cent of the total GOE budget proposed by VWS) will cover the cost of IRS. Currently VWS is managing around 77 witnesses under protection (and their dependants) who are regionally or internationally relocated, move-assisted or receiving protective measures</w:t>
      </w:r>
      <w:r>
        <w:rPr>
          <w:spacing w:val="-5"/>
          <w:sz w:val="20"/>
        </w:rPr>
        <w:t> </w:t>
      </w:r>
      <w:r>
        <w:rPr>
          <w:sz w:val="20"/>
        </w:rPr>
        <w:t>in</w:t>
      </w:r>
      <w:r>
        <w:rPr>
          <w:spacing w:val="-4"/>
          <w:sz w:val="20"/>
        </w:rPr>
        <w:t> </w:t>
      </w:r>
      <w:r>
        <w:rPr>
          <w:sz w:val="20"/>
        </w:rPr>
        <w:t>the respective</w:t>
      </w:r>
      <w:r>
        <w:rPr>
          <w:spacing w:val="-2"/>
          <w:sz w:val="20"/>
        </w:rPr>
        <w:t> </w:t>
      </w:r>
      <w:r>
        <w:rPr>
          <w:sz w:val="20"/>
        </w:rPr>
        <w:t>situation</w:t>
      </w:r>
      <w:r>
        <w:rPr>
          <w:spacing w:val="-4"/>
          <w:sz w:val="20"/>
        </w:rPr>
        <w:t> </w:t>
      </w:r>
      <w:r>
        <w:rPr>
          <w:sz w:val="20"/>
        </w:rPr>
        <w:t>countries</w:t>
      </w:r>
      <w:r>
        <w:rPr>
          <w:spacing w:val="-5"/>
          <w:sz w:val="20"/>
        </w:rPr>
        <w:t> </w:t>
      </w:r>
      <w:r>
        <w:rPr>
          <w:sz w:val="20"/>
        </w:rPr>
        <w:t>and will</w:t>
      </w:r>
      <w:r>
        <w:rPr>
          <w:spacing w:val="-2"/>
          <w:sz w:val="20"/>
        </w:rPr>
        <w:t> </w:t>
      </w:r>
      <w:r>
        <w:rPr>
          <w:sz w:val="20"/>
        </w:rPr>
        <w:t>continue</w:t>
      </w:r>
      <w:r>
        <w:rPr>
          <w:spacing w:val="-2"/>
          <w:sz w:val="20"/>
        </w:rPr>
        <w:t> </w:t>
      </w:r>
      <w:r>
        <w:rPr>
          <w:sz w:val="20"/>
        </w:rPr>
        <w:t>to be</w:t>
      </w:r>
      <w:r>
        <w:rPr>
          <w:spacing w:val="-2"/>
          <w:sz w:val="20"/>
        </w:rPr>
        <w:t> </w:t>
      </w:r>
      <w:r>
        <w:rPr>
          <w:sz w:val="20"/>
        </w:rPr>
        <w:t>protected in 2023.</w:t>
      </w:r>
      <w:r>
        <w:rPr>
          <w:spacing w:val="-1"/>
          <w:sz w:val="20"/>
        </w:rPr>
        <w:t> </w:t>
      </w:r>
      <w:r>
        <w:rPr>
          <w:sz w:val="20"/>
        </w:rPr>
        <w:t>It</w:t>
      </w:r>
      <w:r>
        <w:rPr>
          <w:spacing w:val="-2"/>
          <w:sz w:val="20"/>
        </w:rPr>
        <w:t> </w:t>
      </w:r>
      <w:r>
        <w:rPr>
          <w:sz w:val="20"/>
        </w:rPr>
        <w:t>is important to note that the cost of witness case management in the situations in the CAR, Libya,</w:t>
      </w:r>
      <w:r>
        <w:rPr>
          <w:spacing w:val="-2"/>
          <w:sz w:val="20"/>
        </w:rPr>
        <w:t> </w:t>
      </w:r>
      <w:r>
        <w:rPr>
          <w:sz w:val="20"/>
        </w:rPr>
        <w:t>Mali</w:t>
      </w:r>
      <w:r>
        <w:rPr>
          <w:spacing w:val="-3"/>
          <w:sz w:val="20"/>
        </w:rPr>
        <w:t> </w:t>
      </w:r>
      <w:r>
        <w:rPr>
          <w:sz w:val="20"/>
        </w:rPr>
        <w:t>and Darfur</w:t>
      </w:r>
      <w:r>
        <w:rPr>
          <w:spacing w:val="-4"/>
          <w:sz w:val="20"/>
        </w:rPr>
        <w:t> </w:t>
      </w:r>
      <w:r>
        <w:rPr>
          <w:sz w:val="20"/>
        </w:rPr>
        <w:t>are higher not</w:t>
      </w:r>
      <w:r>
        <w:rPr>
          <w:spacing w:val="-3"/>
          <w:sz w:val="20"/>
        </w:rPr>
        <w:t> </w:t>
      </w:r>
      <w:r>
        <w:rPr>
          <w:sz w:val="20"/>
        </w:rPr>
        <w:t>only</w:t>
      </w:r>
      <w:r>
        <w:rPr>
          <w:spacing w:val="-5"/>
          <w:sz w:val="20"/>
        </w:rPr>
        <w:t> </w:t>
      </w:r>
      <w:r>
        <w:rPr>
          <w:sz w:val="20"/>
        </w:rPr>
        <w:t>because</w:t>
      </w:r>
      <w:r>
        <w:rPr>
          <w:spacing w:val="-3"/>
          <w:sz w:val="20"/>
        </w:rPr>
        <w:t> </w:t>
      </w:r>
      <w:r>
        <w:rPr>
          <w:sz w:val="20"/>
        </w:rPr>
        <w:t>of</w:t>
      </w:r>
      <w:r>
        <w:rPr>
          <w:spacing w:val="-5"/>
          <w:sz w:val="20"/>
        </w:rPr>
        <w:t> </w:t>
      </w:r>
      <w:r>
        <w:rPr>
          <w:sz w:val="20"/>
        </w:rPr>
        <w:t>their</w:t>
      </w:r>
      <w:r>
        <w:rPr>
          <w:spacing w:val="-5"/>
          <w:sz w:val="20"/>
        </w:rPr>
        <w:t> </w:t>
      </w:r>
      <w:r>
        <w:rPr>
          <w:sz w:val="20"/>
        </w:rPr>
        <w:t>particularly difficult</w:t>
      </w:r>
      <w:r>
        <w:rPr>
          <w:spacing w:val="-3"/>
          <w:sz w:val="20"/>
        </w:rPr>
        <w:t> </w:t>
      </w:r>
      <w:r>
        <w:rPr>
          <w:sz w:val="20"/>
        </w:rPr>
        <w:t>operational context but also because of the higher number of protected beneficiaries involved.</w:t>
      </w:r>
      <w:r>
        <w:rPr>
          <w:sz w:val="20"/>
          <w:vertAlign w:val="superscript"/>
        </w:rPr>
        <w:t>125</w:t>
      </w:r>
      <w:r>
        <w:rPr>
          <w:sz w:val="20"/>
          <w:vertAlign w:val="baseline"/>
        </w:rPr>
        <w:t> The requested</w:t>
      </w:r>
      <w:r>
        <w:rPr>
          <w:spacing w:val="-3"/>
          <w:sz w:val="20"/>
          <w:vertAlign w:val="baseline"/>
        </w:rPr>
        <w:t> </w:t>
      </w:r>
      <w:r>
        <w:rPr>
          <w:sz w:val="20"/>
          <w:vertAlign w:val="baseline"/>
        </w:rPr>
        <w:t>amount</w:t>
      </w:r>
      <w:r>
        <w:rPr>
          <w:spacing w:val="-1"/>
          <w:sz w:val="20"/>
          <w:vertAlign w:val="baseline"/>
        </w:rPr>
        <w:t> </w:t>
      </w:r>
      <w:r>
        <w:rPr>
          <w:sz w:val="20"/>
          <w:vertAlign w:val="baseline"/>
        </w:rPr>
        <w:t>for witness protection</w:t>
      </w:r>
      <w:r>
        <w:rPr>
          <w:spacing w:val="-3"/>
          <w:sz w:val="20"/>
          <w:vertAlign w:val="baseline"/>
        </w:rPr>
        <w:t> </w:t>
      </w:r>
      <w:r>
        <w:rPr>
          <w:sz w:val="20"/>
          <w:vertAlign w:val="baseline"/>
        </w:rPr>
        <w:t>also</w:t>
      </w:r>
      <w:r>
        <w:rPr>
          <w:spacing w:val="-3"/>
          <w:sz w:val="20"/>
          <w:vertAlign w:val="baseline"/>
        </w:rPr>
        <w:t> </w:t>
      </w:r>
      <w:r>
        <w:rPr>
          <w:sz w:val="20"/>
          <w:vertAlign w:val="baseline"/>
        </w:rPr>
        <w:t>includes €294.0 thousand (12.0 per</w:t>
      </w:r>
      <w:r>
        <w:rPr>
          <w:spacing w:val="-3"/>
          <w:sz w:val="20"/>
          <w:vertAlign w:val="baseline"/>
        </w:rPr>
        <w:t> </w:t>
      </w:r>
      <w:r>
        <w:rPr>
          <w:sz w:val="20"/>
          <w:vertAlign w:val="baseline"/>
        </w:rPr>
        <w:t>cent of the total requested GOE budget) to support the new victims and witnesses who are yet to be referred</w:t>
      </w:r>
      <w:r>
        <w:rPr>
          <w:spacing w:val="-13"/>
          <w:sz w:val="20"/>
          <w:vertAlign w:val="baseline"/>
        </w:rPr>
        <w:t> </w:t>
      </w:r>
      <w:r>
        <w:rPr>
          <w:sz w:val="20"/>
          <w:vertAlign w:val="baseline"/>
        </w:rPr>
        <w:t>to</w:t>
      </w:r>
      <w:r>
        <w:rPr>
          <w:spacing w:val="-7"/>
          <w:sz w:val="20"/>
          <w:vertAlign w:val="baseline"/>
        </w:rPr>
        <w:t> </w:t>
      </w:r>
      <w:r>
        <w:rPr>
          <w:sz w:val="20"/>
          <w:vertAlign w:val="baseline"/>
        </w:rPr>
        <w:t>VWS</w:t>
      </w:r>
      <w:r>
        <w:rPr>
          <w:spacing w:val="-10"/>
          <w:sz w:val="20"/>
          <w:vertAlign w:val="baseline"/>
        </w:rPr>
        <w:t> </w:t>
      </w:r>
      <w:r>
        <w:rPr>
          <w:sz w:val="20"/>
          <w:vertAlign w:val="baseline"/>
        </w:rPr>
        <w:t>for</w:t>
      </w:r>
      <w:r>
        <w:rPr>
          <w:spacing w:val="-8"/>
          <w:sz w:val="20"/>
          <w:vertAlign w:val="baseline"/>
        </w:rPr>
        <w:t> </w:t>
      </w:r>
      <w:r>
        <w:rPr>
          <w:sz w:val="20"/>
          <w:vertAlign w:val="baseline"/>
        </w:rPr>
        <w:t>protection</w:t>
      </w:r>
      <w:r>
        <w:rPr>
          <w:spacing w:val="-8"/>
          <w:sz w:val="20"/>
          <w:vertAlign w:val="baseline"/>
        </w:rPr>
        <w:t> </w:t>
      </w:r>
      <w:r>
        <w:rPr>
          <w:sz w:val="20"/>
          <w:vertAlign w:val="baseline"/>
        </w:rPr>
        <w:t>or</w:t>
      </w:r>
      <w:r>
        <w:rPr>
          <w:spacing w:val="-8"/>
          <w:sz w:val="20"/>
          <w:vertAlign w:val="baseline"/>
        </w:rPr>
        <w:t> </w:t>
      </w:r>
      <w:r>
        <w:rPr>
          <w:sz w:val="20"/>
          <w:vertAlign w:val="baseline"/>
        </w:rPr>
        <w:t>support</w:t>
      </w:r>
      <w:r>
        <w:rPr>
          <w:spacing w:val="-7"/>
          <w:sz w:val="20"/>
          <w:vertAlign w:val="baseline"/>
        </w:rPr>
        <w:t> </w:t>
      </w:r>
      <w:r>
        <w:rPr>
          <w:sz w:val="20"/>
          <w:vertAlign w:val="baseline"/>
        </w:rPr>
        <w:t>as</w:t>
      </w:r>
      <w:r>
        <w:rPr>
          <w:spacing w:val="-10"/>
          <w:sz w:val="20"/>
          <w:vertAlign w:val="baseline"/>
        </w:rPr>
        <w:t> </w:t>
      </w:r>
      <w:r>
        <w:rPr>
          <w:sz w:val="20"/>
          <w:vertAlign w:val="baseline"/>
        </w:rPr>
        <w:t>requested</w:t>
      </w:r>
      <w:r>
        <w:rPr>
          <w:spacing w:val="-13"/>
          <w:sz w:val="20"/>
          <w:vertAlign w:val="baseline"/>
        </w:rPr>
        <w:t> </w:t>
      </w:r>
      <w:r>
        <w:rPr>
          <w:sz w:val="20"/>
          <w:vertAlign w:val="baseline"/>
        </w:rPr>
        <w:t>by</w:t>
      </w:r>
      <w:r>
        <w:rPr>
          <w:spacing w:val="-7"/>
          <w:sz w:val="20"/>
          <w:vertAlign w:val="baseline"/>
        </w:rPr>
        <w:t> </w:t>
      </w:r>
      <w:r>
        <w:rPr>
          <w:sz w:val="20"/>
          <w:vertAlign w:val="baseline"/>
        </w:rPr>
        <w:t>the</w:t>
      </w:r>
      <w:r>
        <w:rPr>
          <w:spacing w:val="-11"/>
          <w:sz w:val="20"/>
          <w:vertAlign w:val="baseline"/>
        </w:rPr>
        <w:t> </w:t>
      </w:r>
      <w:r>
        <w:rPr>
          <w:sz w:val="20"/>
          <w:vertAlign w:val="baseline"/>
        </w:rPr>
        <w:t>OTP</w:t>
      </w:r>
      <w:r>
        <w:rPr>
          <w:spacing w:val="-5"/>
          <w:sz w:val="20"/>
          <w:vertAlign w:val="baseline"/>
        </w:rPr>
        <w:t> </w:t>
      </w:r>
      <w:r>
        <w:rPr>
          <w:sz w:val="20"/>
          <w:vertAlign w:val="baseline"/>
        </w:rPr>
        <w:t>for</w:t>
      </w:r>
      <w:r>
        <w:rPr>
          <w:spacing w:val="-8"/>
          <w:sz w:val="20"/>
          <w:vertAlign w:val="baseline"/>
        </w:rPr>
        <w:t> </w:t>
      </w:r>
      <w:r>
        <w:rPr>
          <w:sz w:val="20"/>
          <w:vertAlign w:val="baseline"/>
        </w:rPr>
        <w:t>2023</w:t>
      </w:r>
      <w:r>
        <w:rPr>
          <w:spacing w:val="-8"/>
          <w:sz w:val="20"/>
          <w:vertAlign w:val="baseline"/>
        </w:rPr>
        <w:t> </w:t>
      </w:r>
      <w:r>
        <w:rPr>
          <w:sz w:val="20"/>
          <w:vertAlign w:val="baseline"/>
        </w:rPr>
        <w:t>for</w:t>
      </w:r>
      <w:r>
        <w:rPr>
          <w:spacing w:val="-8"/>
          <w:sz w:val="20"/>
          <w:vertAlign w:val="baseline"/>
        </w:rPr>
        <w:t> </w:t>
      </w:r>
      <w:r>
        <w:rPr>
          <w:sz w:val="20"/>
          <w:vertAlign w:val="baseline"/>
        </w:rPr>
        <w:t>the</w:t>
      </w:r>
      <w:r>
        <w:rPr>
          <w:spacing w:val="-7"/>
          <w:sz w:val="20"/>
          <w:vertAlign w:val="baseline"/>
        </w:rPr>
        <w:t> </w:t>
      </w:r>
      <w:r>
        <w:rPr>
          <w:sz w:val="20"/>
          <w:vertAlign w:val="baseline"/>
        </w:rPr>
        <w:t>situations in Darfur, Libya, the CAR and Burundi.</w:t>
      </w:r>
    </w:p>
    <w:p>
      <w:pPr>
        <w:pStyle w:val="BodyText"/>
        <w:spacing w:before="1"/>
        <w:rPr>
          <w:sz w:val="21"/>
        </w:rPr>
      </w:pPr>
    </w:p>
    <w:p>
      <w:pPr>
        <w:spacing w:before="0"/>
        <w:ind w:left="2246" w:right="0" w:firstLine="0"/>
        <w:jc w:val="both"/>
        <w:rPr>
          <w:i/>
          <w:sz w:val="20"/>
        </w:rPr>
      </w:pPr>
      <w:r>
        <w:rPr>
          <w:i/>
          <w:sz w:val="20"/>
        </w:rPr>
        <w:t>New</w:t>
      </w:r>
      <w:r>
        <w:rPr>
          <w:i/>
          <w:spacing w:val="-2"/>
          <w:sz w:val="20"/>
        </w:rPr>
        <w:t> situations</w:t>
      </w:r>
    </w:p>
    <w:p>
      <w:pPr>
        <w:pStyle w:val="BodyText"/>
        <w:spacing w:before="10"/>
        <w:rPr>
          <w:i/>
        </w:rPr>
      </w:pPr>
    </w:p>
    <w:p>
      <w:pPr>
        <w:pStyle w:val="ListParagraph"/>
        <w:numPr>
          <w:ilvl w:val="0"/>
          <w:numId w:val="4"/>
        </w:numPr>
        <w:tabs>
          <w:tab w:pos="2967" w:val="left" w:leader="none"/>
        </w:tabs>
        <w:spacing w:line="240" w:lineRule="auto" w:before="0" w:after="0"/>
        <w:ind w:left="2246" w:right="2240" w:firstLine="0"/>
        <w:jc w:val="both"/>
        <w:rPr>
          <w:sz w:val="20"/>
        </w:rPr>
      </w:pPr>
      <w:r>
        <w:rPr>
          <w:sz w:val="20"/>
        </w:rPr>
        <w:t>The Court’s assumptions and the anticipated referrals of witnesses and victims for VWS protection and support for 2023 present a high volume of activity in the situations in Ukraine,</w:t>
      </w:r>
      <w:r>
        <w:rPr>
          <w:spacing w:val="-3"/>
          <w:sz w:val="20"/>
        </w:rPr>
        <w:t> </w:t>
      </w:r>
      <w:r>
        <w:rPr>
          <w:sz w:val="20"/>
        </w:rPr>
        <w:t>Afghanistan, Bangladesh/Myanmar</w:t>
      </w:r>
      <w:r>
        <w:rPr>
          <w:spacing w:val="-1"/>
          <w:sz w:val="20"/>
        </w:rPr>
        <w:t> </w:t>
      </w:r>
      <w:r>
        <w:rPr>
          <w:sz w:val="20"/>
        </w:rPr>
        <w:t>and</w:t>
      </w:r>
      <w:r>
        <w:rPr>
          <w:spacing w:val="-5"/>
          <w:sz w:val="20"/>
        </w:rPr>
        <w:t> </w:t>
      </w:r>
      <w:r>
        <w:rPr>
          <w:sz w:val="20"/>
        </w:rPr>
        <w:t>the Philippines.</w:t>
      </w:r>
      <w:r>
        <w:rPr>
          <w:spacing w:val="-3"/>
          <w:sz w:val="20"/>
        </w:rPr>
        <w:t> </w:t>
      </w:r>
      <w:r>
        <w:rPr>
          <w:sz w:val="20"/>
        </w:rPr>
        <w:t>The resources</w:t>
      </w:r>
      <w:r>
        <w:rPr>
          <w:spacing w:val="-2"/>
          <w:sz w:val="20"/>
        </w:rPr>
        <w:t> </w:t>
      </w:r>
      <w:r>
        <w:rPr>
          <w:sz w:val="20"/>
        </w:rPr>
        <w:t>required</w:t>
      </w:r>
      <w:r>
        <w:rPr>
          <w:spacing w:val="-5"/>
          <w:sz w:val="20"/>
        </w:rPr>
        <w:t> </w:t>
      </w:r>
      <w:r>
        <w:rPr>
          <w:sz w:val="20"/>
        </w:rPr>
        <w:t>by VWS</w:t>
      </w:r>
      <w:r>
        <w:rPr>
          <w:spacing w:val="-13"/>
          <w:sz w:val="20"/>
        </w:rPr>
        <w:t> </w:t>
      </w:r>
      <w:r>
        <w:rPr>
          <w:sz w:val="20"/>
        </w:rPr>
        <w:t>to</w:t>
      </w:r>
      <w:r>
        <w:rPr>
          <w:spacing w:val="-12"/>
          <w:sz w:val="20"/>
        </w:rPr>
        <w:t> </w:t>
      </w:r>
      <w:r>
        <w:rPr>
          <w:sz w:val="20"/>
        </w:rPr>
        <w:t>meet</w:t>
      </w:r>
      <w:r>
        <w:rPr>
          <w:spacing w:val="-13"/>
          <w:sz w:val="20"/>
        </w:rPr>
        <w:t> </w:t>
      </w:r>
      <w:r>
        <w:rPr>
          <w:sz w:val="20"/>
        </w:rPr>
        <w:t>the</w:t>
      </w:r>
      <w:r>
        <w:rPr>
          <w:spacing w:val="-12"/>
          <w:sz w:val="20"/>
        </w:rPr>
        <w:t> </w:t>
      </w:r>
      <w:r>
        <w:rPr>
          <w:sz w:val="20"/>
        </w:rPr>
        <w:t>OTP’s</w:t>
      </w:r>
      <w:r>
        <w:rPr>
          <w:spacing w:val="-13"/>
          <w:sz w:val="20"/>
        </w:rPr>
        <w:t> </w:t>
      </w:r>
      <w:r>
        <w:rPr>
          <w:sz w:val="20"/>
        </w:rPr>
        <w:t>service</w:t>
      </w:r>
      <w:r>
        <w:rPr>
          <w:spacing w:val="-10"/>
          <w:sz w:val="20"/>
        </w:rPr>
        <w:t> </w:t>
      </w:r>
      <w:r>
        <w:rPr>
          <w:sz w:val="20"/>
        </w:rPr>
        <w:t>requirements</w:t>
      </w:r>
      <w:r>
        <w:rPr>
          <w:spacing w:val="-10"/>
          <w:sz w:val="20"/>
        </w:rPr>
        <w:t> </w:t>
      </w:r>
      <w:r>
        <w:rPr>
          <w:sz w:val="20"/>
        </w:rPr>
        <w:t>for</w:t>
      </w:r>
      <w:r>
        <w:rPr>
          <w:spacing w:val="-9"/>
          <w:sz w:val="20"/>
        </w:rPr>
        <w:t> </w:t>
      </w:r>
      <w:r>
        <w:rPr>
          <w:sz w:val="20"/>
        </w:rPr>
        <w:t>its</w:t>
      </w:r>
      <w:r>
        <w:rPr>
          <w:spacing w:val="-13"/>
          <w:sz w:val="20"/>
        </w:rPr>
        <w:t> </w:t>
      </w:r>
      <w:r>
        <w:rPr>
          <w:sz w:val="20"/>
        </w:rPr>
        <w:t>investigative</w:t>
      </w:r>
      <w:r>
        <w:rPr>
          <w:spacing w:val="-12"/>
          <w:sz w:val="20"/>
        </w:rPr>
        <w:t> </w:t>
      </w:r>
      <w:r>
        <w:rPr>
          <w:sz w:val="20"/>
        </w:rPr>
        <w:t>activities</w:t>
      </w:r>
      <w:r>
        <w:rPr>
          <w:spacing w:val="-13"/>
          <w:sz w:val="20"/>
        </w:rPr>
        <w:t> </w:t>
      </w:r>
      <w:r>
        <w:rPr>
          <w:sz w:val="20"/>
        </w:rPr>
        <w:t>amount</w:t>
      </w:r>
      <w:r>
        <w:rPr>
          <w:spacing w:val="-12"/>
          <w:sz w:val="20"/>
        </w:rPr>
        <w:t> </w:t>
      </w:r>
      <w:r>
        <w:rPr>
          <w:sz w:val="20"/>
        </w:rPr>
        <w:t>to</w:t>
      </w:r>
      <w:r>
        <w:rPr>
          <w:spacing w:val="-5"/>
          <w:sz w:val="20"/>
        </w:rPr>
        <w:t> </w:t>
      </w:r>
      <w:r>
        <w:rPr>
          <w:sz w:val="20"/>
        </w:rPr>
        <w:t>€570.3 thousand and constitute approximately 72.0 per cent of the total increase requested in the VWS’s GOE budget from the 2022 level and 24.0 per cent of the present proposed GOE budget. For 2023, VWS requests resources to cater for the support required for 26 of a total of</w:t>
      </w:r>
      <w:r>
        <w:rPr>
          <w:spacing w:val="29"/>
          <w:sz w:val="20"/>
        </w:rPr>
        <w:t> </w:t>
      </w:r>
      <w:r>
        <w:rPr>
          <w:sz w:val="20"/>
        </w:rPr>
        <w:t>38</w:t>
      </w:r>
      <w:r>
        <w:rPr>
          <w:spacing w:val="29"/>
          <w:sz w:val="20"/>
        </w:rPr>
        <w:t> </w:t>
      </w:r>
      <w:r>
        <w:rPr>
          <w:sz w:val="20"/>
        </w:rPr>
        <w:t>witnesses</w:t>
      </w:r>
      <w:r>
        <w:rPr>
          <w:spacing w:val="23"/>
          <w:sz w:val="20"/>
        </w:rPr>
        <w:t> </w:t>
      </w:r>
      <w:r>
        <w:rPr>
          <w:sz w:val="20"/>
        </w:rPr>
        <w:t>to</w:t>
      </w:r>
      <w:r>
        <w:rPr>
          <w:spacing w:val="29"/>
          <w:sz w:val="20"/>
        </w:rPr>
        <w:t> </w:t>
      </w:r>
      <w:r>
        <w:rPr>
          <w:sz w:val="20"/>
        </w:rPr>
        <w:t>be</w:t>
      </w:r>
      <w:r>
        <w:rPr>
          <w:spacing w:val="26"/>
          <w:sz w:val="20"/>
        </w:rPr>
        <w:t> </w:t>
      </w:r>
      <w:r>
        <w:rPr>
          <w:sz w:val="20"/>
        </w:rPr>
        <w:t>referred</w:t>
      </w:r>
      <w:r>
        <w:rPr>
          <w:spacing w:val="29"/>
          <w:sz w:val="20"/>
        </w:rPr>
        <w:t> </w:t>
      </w:r>
      <w:r>
        <w:rPr>
          <w:sz w:val="20"/>
        </w:rPr>
        <w:t>for</w:t>
      </w:r>
      <w:r>
        <w:rPr>
          <w:spacing w:val="29"/>
          <w:sz w:val="20"/>
        </w:rPr>
        <w:t> </w:t>
      </w:r>
      <w:r>
        <w:rPr>
          <w:sz w:val="20"/>
        </w:rPr>
        <w:t>protection</w:t>
      </w:r>
      <w:r>
        <w:rPr>
          <w:spacing w:val="29"/>
          <w:sz w:val="20"/>
        </w:rPr>
        <w:t> </w:t>
      </w:r>
      <w:r>
        <w:rPr>
          <w:sz w:val="20"/>
        </w:rPr>
        <w:t>(the</w:t>
      </w:r>
      <w:r>
        <w:rPr>
          <w:spacing w:val="31"/>
          <w:sz w:val="20"/>
        </w:rPr>
        <w:t> </w:t>
      </w:r>
      <w:r>
        <w:rPr>
          <w:sz w:val="20"/>
        </w:rPr>
        <w:t>remaining</w:t>
      </w:r>
      <w:r>
        <w:rPr>
          <w:spacing w:val="34"/>
          <w:sz w:val="20"/>
        </w:rPr>
        <w:t> </w:t>
      </w:r>
      <w:r>
        <w:rPr>
          <w:sz w:val="20"/>
        </w:rPr>
        <w:t>12</w:t>
      </w:r>
      <w:r>
        <w:rPr>
          <w:spacing w:val="29"/>
          <w:sz w:val="20"/>
        </w:rPr>
        <w:t> </w:t>
      </w:r>
      <w:r>
        <w:rPr>
          <w:sz w:val="20"/>
        </w:rPr>
        <w:t>are</w:t>
      </w:r>
      <w:r>
        <w:rPr>
          <w:spacing w:val="31"/>
          <w:sz w:val="20"/>
        </w:rPr>
        <w:t> </w:t>
      </w:r>
      <w:r>
        <w:rPr>
          <w:sz w:val="20"/>
        </w:rPr>
        <w:t>from</w:t>
      </w:r>
      <w:r>
        <w:rPr>
          <w:spacing w:val="31"/>
          <w:sz w:val="20"/>
        </w:rPr>
        <w:t> </w:t>
      </w:r>
      <w:r>
        <w:rPr>
          <w:sz w:val="20"/>
        </w:rPr>
        <w:t>existing</w:t>
      </w:r>
      <w:r>
        <w:rPr>
          <w:spacing w:val="24"/>
          <w:sz w:val="20"/>
        </w:rPr>
        <w:t> </w:t>
      </w:r>
      <w:r>
        <w:rPr>
          <w:sz w:val="20"/>
        </w:rPr>
        <w:t>cases)</w:t>
      </w:r>
    </w:p>
    <w:p>
      <w:pPr>
        <w:pStyle w:val="BodyText"/>
        <w:spacing w:before="10"/>
        <w:rPr>
          <w:sz w:val="17"/>
        </w:rPr>
      </w:pPr>
      <w:r>
        <w:rPr/>
        <w:pict>
          <v:rect style="position:absolute;margin-left:113.330002pt;margin-top:11.505696pt;width:144.050pt;height:.48004pt;mso-position-horizontal-relative:page;mso-position-vertical-relative:paragraph;z-index:-15688192;mso-wrap-distance-left:0;mso-wrap-distance-right:0" id="docshape254" filled="true" fillcolor="#000000" stroked="false">
            <v:fill type="solid"/>
            <w10:wrap type="topAndBottom"/>
          </v:rect>
        </w:pict>
      </w:r>
    </w:p>
    <w:p>
      <w:pPr>
        <w:spacing w:before="86"/>
        <w:ind w:left="2246" w:right="2245" w:firstLine="0"/>
        <w:jc w:val="both"/>
        <w:rPr>
          <w:sz w:val="16"/>
        </w:rPr>
      </w:pPr>
      <w:r>
        <w:rPr>
          <w:position w:val="5"/>
          <w:sz w:val="10"/>
        </w:rPr>
        <w:t>125</w:t>
      </w:r>
      <w:r>
        <w:rPr>
          <w:spacing w:val="17"/>
          <w:position w:val="5"/>
          <w:sz w:val="10"/>
        </w:rPr>
        <w:t> </w:t>
      </w:r>
      <w:r>
        <w:rPr>
          <w:sz w:val="16"/>
        </w:rPr>
        <w:t>Large family compositions are culturally common in these situation countries,</w:t>
      </w:r>
      <w:r>
        <w:rPr>
          <w:spacing w:val="-1"/>
          <w:sz w:val="16"/>
        </w:rPr>
        <w:t> </w:t>
      </w:r>
      <w:r>
        <w:rPr>
          <w:sz w:val="16"/>
        </w:rPr>
        <w:t>which usually results in a higher</w:t>
      </w:r>
      <w:r>
        <w:rPr>
          <w:spacing w:val="40"/>
          <w:sz w:val="16"/>
        </w:rPr>
        <w:t> </w:t>
      </w:r>
      <w:r>
        <w:rPr>
          <w:sz w:val="16"/>
        </w:rPr>
        <w:t>number</w:t>
      </w:r>
      <w:r>
        <w:rPr>
          <w:spacing w:val="-2"/>
          <w:sz w:val="16"/>
        </w:rPr>
        <w:t> </w:t>
      </w:r>
      <w:r>
        <w:rPr>
          <w:sz w:val="16"/>
        </w:rPr>
        <w:t>of</w:t>
      </w:r>
      <w:r>
        <w:rPr>
          <w:spacing w:val="-2"/>
          <w:sz w:val="16"/>
        </w:rPr>
        <w:t> </w:t>
      </w:r>
      <w:r>
        <w:rPr>
          <w:sz w:val="16"/>
        </w:rPr>
        <w:t>beneficiaries.</w:t>
      </w:r>
      <w:r>
        <w:rPr>
          <w:spacing w:val="-1"/>
          <w:sz w:val="16"/>
        </w:rPr>
        <w:t> </w:t>
      </w:r>
      <w:r>
        <w:rPr>
          <w:sz w:val="16"/>
        </w:rPr>
        <w:t>Of</w:t>
      </w:r>
      <w:r>
        <w:rPr>
          <w:spacing w:val="-2"/>
          <w:sz w:val="16"/>
        </w:rPr>
        <w:t> </w:t>
      </w:r>
      <w:r>
        <w:rPr>
          <w:sz w:val="16"/>
        </w:rPr>
        <w:t>this proposed GOE</w:t>
      </w:r>
      <w:r>
        <w:rPr>
          <w:spacing w:val="-3"/>
          <w:sz w:val="16"/>
        </w:rPr>
        <w:t> </w:t>
      </w:r>
      <w:r>
        <w:rPr>
          <w:sz w:val="16"/>
        </w:rPr>
        <w:t>budget,</w:t>
      </w:r>
      <w:r>
        <w:rPr>
          <w:spacing w:val="-2"/>
          <w:sz w:val="16"/>
        </w:rPr>
        <w:t> </w:t>
      </w:r>
      <w:r>
        <w:rPr>
          <w:sz w:val="16"/>
        </w:rPr>
        <w:t>39.0 per</w:t>
      </w:r>
      <w:r>
        <w:rPr>
          <w:spacing w:val="-2"/>
          <w:sz w:val="16"/>
        </w:rPr>
        <w:t> </w:t>
      </w:r>
      <w:r>
        <w:rPr>
          <w:sz w:val="16"/>
        </w:rPr>
        <w:t>cent is attributable</w:t>
      </w:r>
      <w:r>
        <w:rPr>
          <w:spacing w:val="-1"/>
          <w:sz w:val="16"/>
        </w:rPr>
        <w:t> </w:t>
      </w:r>
      <w:r>
        <w:rPr>
          <w:sz w:val="16"/>
        </w:rPr>
        <w:t>to the</w:t>
      </w:r>
      <w:r>
        <w:rPr>
          <w:spacing w:val="-1"/>
          <w:sz w:val="16"/>
        </w:rPr>
        <w:t> </w:t>
      </w:r>
      <w:r>
        <w:rPr>
          <w:sz w:val="16"/>
        </w:rPr>
        <w:t>cost</w:t>
      </w:r>
      <w:r>
        <w:rPr>
          <w:spacing w:val="-3"/>
          <w:sz w:val="16"/>
        </w:rPr>
        <w:t> </w:t>
      </w:r>
      <w:r>
        <w:rPr>
          <w:sz w:val="16"/>
        </w:rPr>
        <w:t>of managing clients</w:t>
      </w:r>
      <w:r>
        <w:rPr>
          <w:spacing w:val="40"/>
          <w:sz w:val="16"/>
        </w:rPr>
        <w:t> </w:t>
      </w:r>
      <w:r>
        <w:rPr>
          <w:sz w:val="16"/>
        </w:rPr>
        <w:t>already under the care of VWS care and their dependants.</w:t>
      </w:r>
    </w:p>
    <w:p>
      <w:pPr>
        <w:spacing w:after="0"/>
        <w:jc w:val="both"/>
        <w:rPr>
          <w:sz w:val="16"/>
        </w:rPr>
        <w:sectPr>
          <w:pgSz w:w="11910" w:h="16840"/>
          <w:pgMar w:header="957" w:footer="940" w:top="1140" w:bottom="1140" w:left="20" w:right="20"/>
        </w:sectPr>
      </w:pPr>
    </w:p>
    <w:p>
      <w:pPr>
        <w:pStyle w:val="BodyText"/>
        <w:spacing w:before="124"/>
        <w:ind w:left="2246" w:right="2239"/>
        <w:jc w:val="both"/>
      </w:pPr>
      <w:r>
        <w:rPr/>
        <w:t>and</w:t>
      </w:r>
      <w:r>
        <w:rPr>
          <w:spacing w:val="-3"/>
        </w:rPr>
        <w:t> </w:t>
      </w:r>
      <w:r>
        <w:rPr/>
        <w:t>18</w:t>
      </w:r>
      <w:r>
        <w:rPr>
          <w:spacing w:val="-3"/>
        </w:rPr>
        <w:t> </w:t>
      </w:r>
      <w:r>
        <w:rPr/>
        <w:t>of a total of 34 witnesses to be referred for support (of which only five referrals pertaining to the situation in Ukraine will be budgeted for). The resources required for the remaining</w:t>
      </w:r>
      <w:r>
        <w:rPr>
          <w:spacing w:val="-7"/>
        </w:rPr>
        <w:t> </w:t>
      </w:r>
      <w:r>
        <w:rPr/>
        <w:t>29</w:t>
      </w:r>
      <w:r>
        <w:rPr>
          <w:spacing w:val="-7"/>
        </w:rPr>
        <w:t> </w:t>
      </w:r>
      <w:r>
        <w:rPr/>
        <w:t>witnesses</w:t>
      </w:r>
      <w:r>
        <w:rPr>
          <w:spacing w:val="-9"/>
        </w:rPr>
        <w:t> </w:t>
      </w:r>
      <w:r>
        <w:rPr/>
        <w:t>and</w:t>
      </w:r>
      <w:r>
        <w:rPr>
          <w:spacing w:val="-7"/>
        </w:rPr>
        <w:t> </w:t>
      </w:r>
      <w:r>
        <w:rPr/>
        <w:t>victims</w:t>
      </w:r>
      <w:r>
        <w:rPr>
          <w:spacing w:val="-9"/>
        </w:rPr>
        <w:t> </w:t>
      </w:r>
      <w:r>
        <w:rPr/>
        <w:t>to</w:t>
      </w:r>
      <w:r>
        <w:rPr>
          <w:spacing w:val="-7"/>
        </w:rPr>
        <w:t> </w:t>
      </w:r>
      <w:r>
        <w:rPr/>
        <w:t>be</w:t>
      </w:r>
      <w:r>
        <w:rPr>
          <w:spacing w:val="-6"/>
        </w:rPr>
        <w:t> </w:t>
      </w:r>
      <w:r>
        <w:rPr/>
        <w:t>referred</w:t>
      </w:r>
      <w:r>
        <w:rPr>
          <w:spacing w:val="-7"/>
        </w:rPr>
        <w:t> </w:t>
      </w:r>
      <w:r>
        <w:rPr/>
        <w:t>for</w:t>
      </w:r>
      <w:r>
        <w:rPr>
          <w:spacing w:val="-7"/>
        </w:rPr>
        <w:t> </w:t>
      </w:r>
      <w:r>
        <w:rPr/>
        <w:t>support</w:t>
      </w:r>
      <w:r>
        <w:rPr>
          <w:spacing w:val="-11"/>
        </w:rPr>
        <w:t> </w:t>
      </w:r>
      <w:r>
        <w:rPr/>
        <w:t>may</w:t>
      </w:r>
      <w:r>
        <w:rPr>
          <w:spacing w:val="-7"/>
        </w:rPr>
        <w:t> </w:t>
      </w:r>
      <w:r>
        <w:rPr/>
        <w:t>have</w:t>
      </w:r>
      <w:r>
        <w:rPr>
          <w:spacing w:val="-10"/>
        </w:rPr>
        <w:t> </w:t>
      </w:r>
      <w:r>
        <w:rPr/>
        <w:t>to</w:t>
      </w:r>
      <w:r>
        <w:rPr>
          <w:spacing w:val="-7"/>
        </w:rPr>
        <w:t> </w:t>
      </w:r>
      <w:r>
        <w:rPr/>
        <w:t>be</w:t>
      </w:r>
      <w:r>
        <w:rPr>
          <w:spacing w:val="-10"/>
        </w:rPr>
        <w:t> </w:t>
      </w:r>
      <w:r>
        <w:rPr/>
        <w:t>either</w:t>
      </w:r>
      <w:r>
        <w:rPr>
          <w:spacing w:val="-12"/>
        </w:rPr>
        <w:t> </w:t>
      </w:r>
      <w:r>
        <w:rPr/>
        <w:t>absorbed by</w:t>
      </w:r>
      <w:r>
        <w:rPr>
          <w:spacing w:val="-4"/>
        </w:rPr>
        <w:t> </w:t>
      </w:r>
      <w:r>
        <w:rPr/>
        <w:t>VWS</w:t>
      </w:r>
      <w:r>
        <w:rPr>
          <w:spacing w:val="-10"/>
        </w:rPr>
        <w:t> </w:t>
      </w:r>
      <w:r>
        <w:rPr/>
        <w:t>with</w:t>
      </w:r>
      <w:r>
        <w:rPr>
          <w:spacing w:val="-8"/>
        </w:rPr>
        <w:t> </w:t>
      </w:r>
      <w:r>
        <w:rPr/>
        <w:t>available</w:t>
      </w:r>
      <w:r>
        <w:rPr>
          <w:spacing w:val="-7"/>
        </w:rPr>
        <w:t> </w:t>
      </w:r>
      <w:r>
        <w:rPr/>
        <w:t>funds</w:t>
      </w:r>
      <w:r>
        <w:rPr>
          <w:spacing w:val="-10"/>
        </w:rPr>
        <w:t> </w:t>
      </w:r>
      <w:r>
        <w:rPr/>
        <w:t>or</w:t>
      </w:r>
      <w:r>
        <w:rPr>
          <w:spacing w:val="-8"/>
        </w:rPr>
        <w:t> </w:t>
      </w:r>
      <w:r>
        <w:rPr/>
        <w:t>a</w:t>
      </w:r>
      <w:r>
        <w:rPr>
          <w:spacing w:val="-7"/>
        </w:rPr>
        <w:t> </w:t>
      </w:r>
      <w:r>
        <w:rPr/>
        <w:t>request</w:t>
      </w:r>
      <w:r>
        <w:rPr>
          <w:spacing w:val="-12"/>
        </w:rPr>
        <w:t> </w:t>
      </w:r>
      <w:r>
        <w:rPr/>
        <w:t>may</w:t>
      </w:r>
      <w:r>
        <w:rPr>
          <w:spacing w:val="-8"/>
        </w:rPr>
        <w:t> </w:t>
      </w:r>
      <w:r>
        <w:rPr/>
        <w:t>have</w:t>
      </w:r>
      <w:r>
        <w:rPr>
          <w:spacing w:val="-7"/>
        </w:rPr>
        <w:t> </w:t>
      </w:r>
      <w:r>
        <w:rPr/>
        <w:t>to</w:t>
      </w:r>
      <w:r>
        <w:rPr>
          <w:spacing w:val="-8"/>
        </w:rPr>
        <w:t> </w:t>
      </w:r>
      <w:r>
        <w:rPr/>
        <w:t>be</w:t>
      </w:r>
      <w:r>
        <w:rPr>
          <w:spacing w:val="-7"/>
        </w:rPr>
        <w:t> </w:t>
      </w:r>
      <w:r>
        <w:rPr/>
        <w:t>made</w:t>
      </w:r>
      <w:r>
        <w:rPr>
          <w:spacing w:val="-7"/>
        </w:rPr>
        <w:t> </w:t>
      </w:r>
      <w:r>
        <w:rPr/>
        <w:t>for</w:t>
      </w:r>
      <w:r>
        <w:rPr>
          <w:spacing w:val="-13"/>
        </w:rPr>
        <w:t> </w:t>
      </w:r>
      <w:r>
        <w:rPr/>
        <w:t>additional</w:t>
      </w:r>
      <w:r>
        <w:rPr>
          <w:spacing w:val="-11"/>
        </w:rPr>
        <w:t> </w:t>
      </w:r>
      <w:r>
        <w:rPr/>
        <w:t>resources</w:t>
      </w:r>
      <w:r>
        <w:rPr>
          <w:spacing w:val="-10"/>
        </w:rPr>
        <w:t> </w:t>
      </w:r>
      <w:r>
        <w:rPr/>
        <w:t>from elsewhere within the Registry.</w:t>
      </w:r>
    </w:p>
    <w:p>
      <w:pPr>
        <w:pStyle w:val="BodyText"/>
        <w:spacing w:before="1"/>
        <w:rPr>
          <w:sz w:val="21"/>
        </w:rPr>
      </w:pPr>
    </w:p>
    <w:p>
      <w:pPr>
        <w:spacing w:before="1"/>
        <w:ind w:left="2246" w:right="0" w:firstLine="0"/>
        <w:jc w:val="both"/>
        <w:rPr>
          <w:i/>
          <w:sz w:val="20"/>
        </w:rPr>
      </w:pPr>
      <w:r>
        <w:rPr>
          <w:i/>
          <w:sz w:val="20"/>
        </w:rPr>
        <w:t>Trial</w:t>
      </w:r>
      <w:r>
        <w:rPr>
          <w:i/>
          <w:spacing w:val="-4"/>
          <w:sz w:val="20"/>
        </w:rPr>
        <w:t> </w:t>
      </w:r>
      <w:r>
        <w:rPr>
          <w:i/>
          <w:spacing w:val="-2"/>
          <w:sz w:val="20"/>
        </w:rPr>
        <w:t>testimony</w:t>
      </w:r>
    </w:p>
    <w:p>
      <w:pPr>
        <w:pStyle w:val="BodyText"/>
        <w:spacing w:before="10"/>
        <w:rPr>
          <w:i/>
        </w:rPr>
      </w:pPr>
    </w:p>
    <w:p>
      <w:pPr>
        <w:pStyle w:val="ListParagraph"/>
        <w:numPr>
          <w:ilvl w:val="0"/>
          <w:numId w:val="4"/>
        </w:numPr>
        <w:tabs>
          <w:tab w:pos="2967" w:val="left" w:leader="none"/>
        </w:tabs>
        <w:spacing w:line="240" w:lineRule="auto" w:before="0" w:after="0"/>
        <w:ind w:left="2246" w:right="2245" w:firstLine="0"/>
        <w:jc w:val="both"/>
        <w:rPr>
          <w:sz w:val="20"/>
        </w:rPr>
      </w:pPr>
      <w:r>
        <w:rPr>
          <w:sz w:val="20"/>
        </w:rPr>
        <w:t>The</w:t>
      </w:r>
      <w:r>
        <w:rPr>
          <w:spacing w:val="35"/>
          <w:sz w:val="20"/>
        </w:rPr>
        <w:t> </w:t>
      </w:r>
      <w:r>
        <w:rPr>
          <w:sz w:val="20"/>
        </w:rPr>
        <w:t>resources</w:t>
      </w:r>
      <w:r>
        <w:rPr>
          <w:spacing w:val="37"/>
          <w:sz w:val="20"/>
        </w:rPr>
        <w:t> </w:t>
      </w:r>
      <w:r>
        <w:rPr>
          <w:sz w:val="20"/>
        </w:rPr>
        <w:t>requested</w:t>
      </w:r>
      <w:r>
        <w:rPr>
          <w:spacing w:val="34"/>
          <w:sz w:val="20"/>
        </w:rPr>
        <w:t> </w:t>
      </w:r>
      <w:r>
        <w:rPr>
          <w:sz w:val="20"/>
        </w:rPr>
        <w:t>by</w:t>
      </w:r>
      <w:r>
        <w:rPr>
          <w:spacing w:val="34"/>
          <w:sz w:val="20"/>
        </w:rPr>
        <w:t> </w:t>
      </w:r>
      <w:r>
        <w:rPr>
          <w:sz w:val="20"/>
        </w:rPr>
        <w:t>VWS</w:t>
      </w:r>
      <w:r>
        <w:rPr>
          <w:spacing w:val="32"/>
          <w:sz w:val="20"/>
        </w:rPr>
        <w:t> </w:t>
      </w:r>
      <w:r>
        <w:rPr>
          <w:sz w:val="20"/>
        </w:rPr>
        <w:t>to</w:t>
      </w:r>
      <w:r>
        <w:rPr>
          <w:spacing w:val="34"/>
          <w:sz w:val="20"/>
        </w:rPr>
        <w:t> </w:t>
      </w:r>
      <w:r>
        <w:rPr>
          <w:sz w:val="20"/>
        </w:rPr>
        <w:t>facilitate</w:t>
      </w:r>
      <w:r>
        <w:rPr>
          <w:spacing w:val="35"/>
          <w:sz w:val="20"/>
        </w:rPr>
        <w:t> </w:t>
      </w:r>
      <w:r>
        <w:rPr>
          <w:sz w:val="20"/>
        </w:rPr>
        <w:t>trial</w:t>
      </w:r>
      <w:r>
        <w:rPr>
          <w:spacing w:val="35"/>
          <w:sz w:val="20"/>
        </w:rPr>
        <w:t> </w:t>
      </w:r>
      <w:r>
        <w:rPr>
          <w:sz w:val="20"/>
        </w:rPr>
        <w:t>testimony</w:t>
      </w:r>
      <w:r>
        <w:rPr>
          <w:spacing w:val="38"/>
          <w:sz w:val="20"/>
        </w:rPr>
        <w:t> </w:t>
      </w:r>
      <w:r>
        <w:rPr>
          <w:sz w:val="20"/>
        </w:rPr>
        <w:t>for</w:t>
      </w:r>
      <w:r>
        <w:rPr>
          <w:spacing w:val="34"/>
          <w:sz w:val="20"/>
        </w:rPr>
        <w:t> </w:t>
      </w:r>
      <w:r>
        <w:rPr>
          <w:sz w:val="20"/>
        </w:rPr>
        <w:t>2023</w:t>
      </w:r>
      <w:r>
        <w:rPr>
          <w:spacing w:val="34"/>
          <w:sz w:val="20"/>
        </w:rPr>
        <w:t> </w:t>
      </w:r>
      <w:r>
        <w:rPr>
          <w:sz w:val="20"/>
        </w:rPr>
        <w:t>amount to €320.0 thousand, or 13 per cent of the total budget proposed for GOE. In 2023, 127 witnesses are</w:t>
      </w:r>
      <w:r>
        <w:rPr>
          <w:spacing w:val="-2"/>
          <w:sz w:val="20"/>
        </w:rPr>
        <w:t> </w:t>
      </w:r>
      <w:r>
        <w:rPr>
          <w:sz w:val="20"/>
        </w:rPr>
        <w:t>expected to appear for trial testimony, half of</w:t>
      </w:r>
      <w:r>
        <w:rPr>
          <w:spacing w:val="-4"/>
          <w:sz w:val="20"/>
        </w:rPr>
        <w:t> </w:t>
      </w:r>
      <w:r>
        <w:rPr>
          <w:sz w:val="20"/>
        </w:rPr>
        <w:t>whom are expected to</w:t>
      </w:r>
      <w:r>
        <w:rPr>
          <w:spacing w:val="-4"/>
          <w:sz w:val="20"/>
        </w:rPr>
        <w:t> </w:t>
      </w:r>
      <w:r>
        <w:rPr>
          <w:sz w:val="20"/>
        </w:rPr>
        <w:t>appear at Headquarters while the remainder of witnesses are scheduled to testify through videoconferencing. The aforementioned resources requested by VWS for 2023 will be sufficient to support the witnesses who will appear at Headquarters only.</w:t>
      </w:r>
    </w:p>
    <w:p>
      <w:pPr>
        <w:pStyle w:val="ListParagraph"/>
        <w:numPr>
          <w:ilvl w:val="0"/>
          <w:numId w:val="4"/>
        </w:numPr>
        <w:tabs>
          <w:tab w:pos="2967" w:val="left" w:leader="none"/>
        </w:tabs>
        <w:spacing w:line="240" w:lineRule="auto" w:before="118" w:after="0"/>
        <w:ind w:left="2246" w:right="2237" w:firstLine="0"/>
        <w:jc w:val="both"/>
        <w:rPr>
          <w:sz w:val="20"/>
        </w:rPr>
      </w:pPr>
      <w:r>
        <w:rPr>
          <w:sz w:val="20"/>
        </w:rPr>
        <w:t>The resources requested for the external offices (€969.3 thousand) have decreased by €50.9 thousand (5.0 per cent), which partially offsets the above-mentioned increase requested by VWS. The requested resources are needed primarily to cover office running costs, including rental of country office premises and related maintenance, utilities (water and electricity) and other miscellaneous operating costs (such as petty cash expenditures, premises and vehicle fleet insurance and maintenance). Efficiencies and savings have been identified</w:t>
      </w:r>
      <w:r>
        <w:rPr>
          <w:spacing w:val="40"/>
          <w:sz w:val="20"/>
        </w:rPr>
        <w:t> </w:t>
      </w:r>
      <w:r>
        <w:rPr>
          <w:sz w:val="20"/>
        </w:rPr>
        <w:t>so</w:t>
      </w:r>
      <w:r>
        <w:rPr>
          <w:spacing w:val="40"/>
          <w:sz w:val="20"/>
        </w:rPr>
        <w:t> </w:t>
      </w:r>
      <w:r>
        <w:rPr>
          <w:sz w:val="20"/>
        </w:rPr>
        <w:t>that</w:t>
      </w:r>
      <w:r>
        <w:rPr>
          <w:spacing w:val="40"/>
          <w:sz w:val="20"/>
        </w:rPr>
        <w:t> </w:t>
      </w:r>
      <w:r>
        <w:rPr>
          <w:sz w:val="20"/>
        </w:rPr>
        <w:t>the</w:t>
      </w:r>
      <w:r>
        <w:rPr>
          <w:spacing w:val="40"/>
          <w:sz w:val="20"/>
        </w:rPr>
        <w:t> </w:t>
      </w:r>
      <w:r>
        <w:rPr>
          <w:sz w:val="20"/>
        </w:rPr>
        <w:t>resources</w:t>
      </w:r>
      <w:r>
        <w:rPr>
          <w:spacing w:val="40"/>
          <w:sz w:val="20"/>
        </w:rPr>
        <w:t> </w:t>
      </w:r>
      <w:r>
        <w:rPr>
          <w:sz w:val="20"/>
        </w:rPr>
        <w:t>for</w:t>
      </w:r>
      <w:r>
        <w:rPr>
          <w:spacing w:val="40"/>
          <w:sz w:val="20"/>
        </w:rPr>
        <w:t> </w:t>
      </w:r>
      <w:r>
        <w:rPr>
          <w:sz w:val="20"/>
        </w:rPr>
        <w:t>GOE</w:t>
      </w:r>
      <w:r>
        <w:rPr>
          <w:spacing w:val="40"/>
          <w:sz w:val="20"/>
        </w:rPr>
        <w:t> </w:t>
      </w:r>
      <w:r>
        <w:rPr>
          <w:sz w:val="20"/>
        </w:rPr>
        <w:t>requested</w:t>
      </w:r>
      <w:r>
        <w:rPr>
          <w:spacing w:val="40"/>
          <w:sz w:val="20"/>
        </w:rPr>
        <w:t> </w:t>
      </w:r>
      <w:r>
        <w:rPr>
          <w:sz w:val="20"/>
        </w:rPr>
        <w:t>by</w:t>
      </w:r>
      <w:r>
        <w:rPr>
          <w:spacing w:val="40"/>
          <w:sz w:val="20"/>
        </w:rPr>
        <w:t> </w:t>
      </w:r>
      <w:r>
        <w:rPr>
          <w:sz w:val="20"/>
        </w:rPr>
        <w:t>the</w:t>
      </w:r>
      <w:r>
        <w:rPr>
          <w:spacing w:val="40"/>
          <w:sz w:val="20"/>
        </w:rPr>
        <w:t> </w:t>
      </w:r>
      <w:r>
        <w:rPr>
          <w:sz w:val="20"/>
        </w:rPr>
        <w:t>country</w:t>
      </w:r>
      <w:r>
        <w:rPr>
          <w:spacing w:val="40"/>
          <w:sz w:val="20"/>
        </w:rPr>
        <w:t> </w:t>
      </w:r>
      <w:r>
        <w:rPr>
          <w:sz w:val="20"/>
        </w:rPr>
        <w:t>offices</w:t>
      </w:r>
      <w:r>
        <w:rPr>
          <w:spacing w:val="40"/>
          <w:sz w:val="20"/>
        </w:rPr>
        <w:t> </w:t>
      </w:r>
      <w:r>
        <w:rPr>
          <w:sz w:val="20"/>
        </w:rPr>
        <w:t>in</w:t>
      </w:r>
      <w:r>
        <w:rPr>
          <w:spacing w:val="40"/>
          <w:sz w:val="20"/>
        </w:rPr>
        <w:t> </w:t>
      </w:r>
      <w:r>
        <w:rPr>
          <w:sz w:val="20"/>
        </w:rPr>
        <w:t>Uganda, Côte</w:t>
      </w:r>
      <w:r>
        <w:rPr>
          <w:spacing w:val="-1"/>
          <w:sz w:val="20"/>
        </w:rPr>
        <w:t> </w:t>
      </w:r>
      <w:r>
        <w:rPr>
          <w:sz w:val="20"/>
        </w:rPr>
        <w:t>d’Ivoire and Georgia represent a reduction of €97.9 thousand as compared with the GOE</w:t>
      </w:r>
      <w:r>
        <w:rPr>
          <w:spacing w:val="28"/>
          <w:sz w:val="20"/>
        </w:rPr>
        <w:t> </w:t>
      </w:r>
      <w:r>
        <w:rPr>
          <w:sz w:val="20"/>
        </w:rPr>
        <w:t>resources</w:t>
      </w:r>
      <w:r>
        <w:rPr>
          <w:spacing w:val="20"/>
          <w:sz w:val="20"/>
        </w:rPr>
        <w:t> </w:t>
      </w:r>
      <w:r>
        <w:rPr>
          <w:sz w:val="20"/>
        </w:rPr>
        <w:t>approved</w:t>
      </w:r>
      <w:r>
        <w:rPr>
          <w:spacing w:val="21"/>
          <w:sz w:val="20"/>
        </w:rPr>
        <w:t> </w:t>
      </w:r>
      <w:r>
        <w:rPr>
          <w:sz w:val="20"/>
        </w:rPr>
        <w:t>for</w:t>
      </w:r>
      <w:r>
        <w:rPr>
          <w:spacing w:val="21"/>
          <w:sz w:val="20"/>
        </w:rPr>
        <w:t> </w:t>
      </w:r>
      <w:r>
        <w:rPr>
          <w:sz w:val="20"/>
        </w:rPr>
        <w:t>them</w:t>
      </w:r>
      <w:r>
        <w:rPr>
          <w:spacing w:val="28"/>
          <w:sz w:val="20"/>
        </w:rPr>
        <w:t> </w:t>
      </w:r>
      <w:r>
        <w:rPr>
          <w:sz w:val="20"/>
        </w:rPr>
        <w:t>for</w:t>
      </w:r>
      <w:r>
        <w:rPr>
          <w:spacing w:val="21"/>
          <w:sz w:val="20"/>
        </w:rPr>
        <w:t> </w:t>
      </w:r>
      <w:r>
        <w:rPr>
          <w:sz w:val="20"/>
        </w:rPr>
        <w:t>2022.</w:t>
      </w:r>
      <w:r>
        <w:rPr>
          <w:spacing w:val="28"/>
          <w:sz w:val="20"/>
        </w:rPr>
        <w:t> </w:t>
      </w:r>
      <w:r>
        <w:rPr>
          <w:sz w:val="20"/>
        </w:rPr>
        <w:t>Such</w:t>
      </w:r>
      <w:r>
        <w:rPr>
          <w:spacing w:val="26"/>
          <w:sz w:val="20"/>
        </w:rPr>
        <w:t> </w:t>
      </w:r>
      <w:r>
        <w:rPr>
          <w:sz w:val="20"/>
        </w:rPr>
        <w:t>a</w:t>
      </w:r>
      <w:r>
        <w:rPr>
          <w:spacing w:val="23"/>
          <w:sz w:val="20"/>
        </w:rPr>
        <w:t> </w:t>
      </w:r>
      <w:r>
        <w:rPr>
          <w:sz w:val="20"/>
        </w:rPr>
        <w:t>reduction</w:t>
      </w:r>
      <w:r>
        <w:rPr>
          <w:spacing w:val="26"/>
          <w:sz w:val="20"/>
        </w:rPr>
        <w:t> </w:t>
      </w:r>
      <w:r>
        <w:rPr>
          <w:sz w:val="20"/>
        </w:rPr>
        <w:t>has</w:t>
      </w:r>
      <w:r>
        <w:rPr>
          <w:spacing w:val="25"/>
          <w:sz w:val="20"/>
        </w:rPr>
        <w:t> </w:t>
      </w:r>
      <w:r>
        <w:rPr>
          <w:sz w:val="20"/>
        </w:rPr>
        <w:t>been</w:t>
      </w:r>
      <w:r>
        <w:rPr>
          <w:spacing w:val="21"/>
          <w:sz w:val="20"/>
        </w:rPr>
        <w:t> </w:t>
      </w:r>
      <w:r>
        <w:rPr>
          <w:sz w:val="20"/>
        </w:rPr>
        <w:t>achieved</w:t>
      </w:r>
      <w:r>
        <w:rPr>
          <w:spacing w:val="21"/>
          <w:sz w:val="20"/>
        </w:rPr>
        <w:t> </w:t>
      </w:r>
      <w:r>
        <w:rPr>
          <w:sz w:val="20"/>
        </w:rPr>
        <w:t>mainly by (1) the removal of the rental costs for much smaller premises in Kinshasa which were closed in early 2022 and costs for office maintenance, the move of office premises in Côte d’Ivoire as of June 2023 to much smaller premises whose rental cost not only is lower but also</w:t>
      </w:r>
      <w:r>
        <w:rPr>
          <w:spacing w:val="-7"/>
          <w:sz w:val="20"/>
        </w:rPr>
        <w:t> </w:t>
      </w:r>
      <w:r>
        <w:rPr>
          <w:sz w:val="20"/>
        </w:rPr>
        <w:t>covers</w:t>
      </w:r>
      <w:r>
        <w:rPr>
          <w:spacing w:val="-9"/>
          <w:sz w:val="20"/>
        </w:rPr>
        <w:t> </w:t>
      </w:r>
      <w:r>
        <w:rPr>
          <w:sz w:val="20"/>
        </w:rPr>
        <w:t>the</w:t>
      </w:r>
      <w:r>
        <w:rPr>
          <w:spacing w:val="-6"/>
          <w:sz w:val="20"/>
        </w:rPr>
        <w:t> </w:t>
      </w:r>
      <w:r>
        <w:rPr>
          <w:sz w:val="20"/>
        </w:rPr>
        <w:t>utilities</w:t>
      </w:r>
      <w:r>
        <w:rPr>
          <w:spacing w:val="-9"/>
          <w:sz w:val="20"/>
        </w:rPr>
        <w:t> </w:t>
      </w:r>
      <w:r>
        <w:rPr>
          <w:sz w:val="20"/>
        </w:rPr>
        <w:t>and</w:t>
      </w:r>
      <w:r>
        <w:rPr>
          <w:spacing w:val="-7"/>
          <w:sz w:val="20"/>
        </w:rPr>
        <w:t> </w:t>
      </w:r>
      <w:r>
        <w:rPr>
          <w:sz w:val="20"/>
        </w:rPr>
        <w:t>office</w:t>
      </w:r>
      <w:r>
        <w:rPr>
          <w:spacing w:val="-6"/>
          <w:sz w:val="20"/>
        </w:rPr>
        <w:t> </w:t>
      </w:r>
      <w:r>
        <w:rPr>
          <w:sz w:val="20"/>
        </w:rPr>
        <w:t>maintenance,</w:t>
      </w:r>
      <w:r>
        <w:rPr>
          <w:spacing w:val="-5"/>
          <w:sz w:val="20"/>
        </w:rPr>
        <w:t> </w:t>
      </w:r>
      <w:r>
        <w:rPr>
          <w:sz w:val="20"/>
        </w:rPr>
        <w:t>and</w:t>
      </w:r>
      <w:r>
        <w:rPr>
          <w:spacing w:val="-7"/>
          <w:sz w:val="20"/>
        </w:rPr>
        <w:t> </w:t>
      </w:r>
      <w:r>
        <w:rPr>
          <w:sz w:val="20"/>
        </w:rPr>
        <w:t>the</w:t>
      </w:r>
      <w:r>
        <w:rPr>
          <w:spacing w:val="-1"/>
          <w:sz w:val="20"/>
        </w:rPr>
        <w:t> </w:t>
      </w:r>
      <w:r>
        <w:rPr>
          <w:sz w:val="20"/>
        </w:rPr>
        <w:t>significant</w:t>
      </w:r>
      <w:r>
        <w:rPr>
          <w:spacing w:val="-6"/>
          <w:sz w:val="20"/>
        </w:rPr>
        <w:t> </w:t>
      </w:r>
      <w:r>
        <w:rPr>
          <w:sz w:val="20"/>
        </w:rPr>
        <w:t>decrease</w:t>
      </w:r>
      <w:r>
        <w:rPr>
          <w:spacing w:val="-6"/>
          <w:sz w:val="20"/>
        </w:rPr>
        <w:t> </w:t>
      </w:r>
      <w:r>
        <w:rPr>
          <w:sz w:val="20"/>
        </w:rPr>
        <w:t>in</w:t>
      </w:r>
      <w:r>
        <w:rPr>
          <w:spacing w:val="-7"/>
          <w:sz w:val="20"/>
        </w:rPr>
        <w:t> </w:t>
      </w:r>
      <w:r>
        <w:rPr>
          <w:sz w:val="20"/>
        </w:rPr>
        <w:t>the</w:t>
      </w:r>
      <w:r>
        <w:rPr>
          <w:spacing w:val="-6"/>
          <w:sz w:val="20"/>
        </w:rPr>
        <w:t> </w:t>
      </w:r>
      <w:r>
        <w:rPr>
          <w:sz w:val="20"/>
        </w:rPr>
        <w:t>size</w:t>
      </w:r>
      <w:r>
        <w:rPr>
          <w:spacing w:val="-6"/>
          <w:sz w:val="20"/>
        </w:rPr>
        <w:t> </w:t>
      </w:r>
      <w:r>
        <w:rPr>
          <w:sz w:val="20"/>
        </w:rPr>
        <w:t>of</w:t>
      </w:r>
      <w:r>
        <w:rPr>
          <w:spacing w:val="-7"/>
          <w:sz w:val="20"/>
        </w:rPr>
        <w:t> </w:t>
      </w:r>
      <w:r>
        <w:rPr>
          <w:sz w:val="20"/>
        </w:rPr>
        <w:t>the office</w:t>
      </w:r>
      <w:r>
        <w:rPr>
          <w:spacing w:val="-8"/>
          <w:sz w:val="20"/>
        </w:rPr>
        <w:t> </w:t>
      </w:r>
      <w:r>
        <w:rPr>
          <w:sz w:val="20"/>
        </w:rPr>
        <w:t>premises</w:t>
      </w:r>
      <w:r>
        <w:rPr>
          <w:spacing w:val="-6"/>
          <w:sz w:val="20"/>
        </w:rPr>
        <w:t> </w:t>
      </w:r>
      <w:r>
        <w:rPr>
          <w:sz w:val="20"/>
        </w:rPr>
        <w:t>in</w:t>
      </w:r>
      <w:r>
        <w:rPr>
          <w:spacing w:val="-9"/>
          <w:sz w:val="20"/>
        </w:rPr>
        <w:t> </w:t>
      </w:r>
      <w:r>
        <w:rPr>
          <w:sz w:val="20"/>
        </w:rPr>
        <w:t>Georgia</w:t>
      </w:r>
      <w:r>
        <w:rPr>
          <w:spacing w:val="-8"/>
          <w:sz w:val="20"/>
        </w:rPr>
        <w:t> </w:t>
      </w:r>
      <w:r>
        <w:rPr>
          <w:sz w:val="20"/>
        </w:rPr>
        <w:t>in</w:t>
      </w:r>
      <w:r>
        <w:rPr>
          <w:spacing w:val="-9"/>
          <w:sz w:val="20"/>
        </w:rPr>
        <w:t> </w:t>
      </w:r>
      <w:r>
        <w:rPr>
          <w:sz w:val="20"/>
        </w:rPr>
        <w:t>the</w:t>
      </w:r>
      <w:r>
        <w:rPr>
          <w:spacing w:val="-3"/>
          <w:sz w:val="20"/>
        </w:rPr>
        <w:t> </w:t>
      </w:r>
      <w:r>
        <w:rPr>
          <w:sz w:val="20"/>
        </w:rPr>
        <w:t>light</w:t>
      </w:r>
      <w:r>
        <w:rPr>
          <w:spacing w:val="-3"/>
          <w:sz w:val="20"/>
        </w:rPr>
        <w:t> </w:t>
      </w:r>
      <w:r>
        <w:rPr>
          <w:sz w:val="20"/>
        </w:rPr>
        <w:t>of</w:t>
      </w:r>
      <w:r>
        <w:rPr>
          <w:spacing w:val="-9"/>
          <w:sz w:val="20"/>
        </w:rPr>
        <w:t> </w:t>
      </w:r>
      <w:r>
        <w:rPr>
          <w:sz w:val="20"/>
        </w:rPr>
        <w:t>the</w:t>
      </w:r>
      <w:r>
        <w:rPr>
          <w:spacing w:val="-8"/>
          <w:sz w:val="20"/>
        </w:rPr>
        <w:t> </w:t>
      </w:r>
      <w:r>
        <w:rPr>
          <w:sz w:val="20"/>
        </w:rPr>
        <w:t>downsizing</w:t>
      </w:r>
      <w:r>
        <w:rPr>
          <w:spacing w:val="-5"/>
          <w:sz w:val="20"/>
        </w:rPr>
        <w:t> </w:t>
      </w:r>
      <w:r>
        <w:rPr>
          <w:sz w:val="20"/>
        </w:rPr>
        <w:t>of</w:t>
      </w:r>
      <w:r>
        <w:rPr>
          <w:spacing w:val="-9"/>
          <w:sz w:val="20"/>
        </w:rPr>
        <w:t> </w:t>
      </w:r>
      <w:r>
        <w:rPr>
          <w:sz w:val="20"/>
        </w:rPr>
        <w:t>the</w:t>
      </w:r>
      <w:r>
        <w:rPr>
          <w:spacing w:val="-8"/>
          <w:sz w:val="20"/>
        </w:rPr>
        <w:t> </w:t>
      </w:r>
      <w:r>
        <w:rPr>
          <w:sz w:val="20"/>
        </w:rPr>
        <w:t>country</w:t>
      </w:r>
      <w:r>
        <w:rPr>
          <w:spacing w:val="-5"/>
          <w:sz w:val="20"/>
        </w:rPr>
        <w:t> </w:t>
      </w:r>
      <w:r>
        <w:rPr>
          <w:sz w:val="20"/>
        </w:rPr>
        <w:t>office;</w:t>
      </w:r>
      <w:r>
        <w:rPr>
          <w:spacing w:val="-3"/>
          <w:sz w:val="20"/>
        </w:rPr>
        <w:t> </w:t>
      </w:r>
      <w:r>
        <w:rPr>
          <w:sz w:val="20"/>
        </w:rPr>
        <w:t>(2)</w:t>
      </w:r>
      <w:r>
        <w:rPr>
          <w:spacing w:val="-5"/>
          <w:sz w:val="20"/>
        </w:rPr>
        <w:t> </w:t>
      </w:r>
      <w:r>
        <w:rPr>
          <w:sz w:val="20"/>
        </w:rPr>
        <w:t>the</w:t>
      </w:r>
      <w:r>
        <w:rPr>
          <w:spacing w:val="-8"/>
          <w:sz w:val="20"/>
        </w:rPr>
        <w:t> </w:t>
      </w:r>
      <w:r>
        <w:rPr>
          <w:sz w:val="20"/>
        </w:rPr>
        <w:t>further reduced number of Court vehicles in Uganda, the DRC, Côte d’Ivoire and Georgia, leading to the reduction in vehicle fuel and maintenance requirements; and (3) the reduced costs corresponding</w:t>
      </w:r>
      <w:r>
        <w:rPr>
          <w:spacing w:val="40"/>
          <w:sz w:val="20"/>
        </w:rPr>
        <w:t> </w:t>
      </w:r>
      <w:r>
        <w:rPr>
          <w:sz w:val="20"/>
        </w:rPr>
        <w:t>to</w:t>
      </w:r>
      <w:r>
        <w:rPr>
          <w:spacing w:val="40"/>
          <w:sz w:val="20"/>
        </w:rPr>
        <w:t> </w:t>
      </w:r>
      <w:r>
        <w:rPr>
          <w:sz w:val="20"/>
        </w:rPr>
        <w:t>the</w:t>
      </w:r>
      <w:r>
        <w:rPr>
          <w:spacing w:val="40"/>
          <w:sz w:val="20"/>
        </w:rPr>
        <w:t> </w:t>
      </w:r>
      <w:r>
        <w:rPr>
          <w:sz w:val="20"/>
        </w:rPr>
        <w:t>decreasing</w:t>
      </w:r>
      <w:r>
        <w:rPr>
          <w:spacing w:val="40"/>
          <w:sz w:val="20"/>
        </w:rPr>
        <w:t> </w:t>
      </w:r>
      <w:r>
        <w:rPr>
          <w:sz w:val="20"/>
        </w:rPr>
        <w:t>number</w:t>
      </w:r>
      <w:r>
        <w:rPr>
          <w:spacing w:val="40"/>
          <w:sz w:val="20"/>
        </w:rPr>
        <w:t> </w:t>
      </w:r>
      <w:r>
        <w:rPr>
          <w:sz w:val="20"/>
        </w:rPr>
        <w:t>of</w:t>
      </w:r>
      <w:r>
        <w:rPr>
          <w:spacing w:val="40"/>
          <w:sz w:val="20"/>
        </w:rPr>
        <w:t> </w:t>
      </w:r>
      <w:r>
        <w:rPr>
          <w:sz w:val="20"/>
        </w:rPr>
        <w:t>staff</w:t>
      </w:r>
      <w:r>
        <w:rPr>
          <w:spacing w:val="40"/>
          <w:sz w:val="20"/>
        </w:rPr>
        <w:t> </w:t>
      </w:r>
      <w:r>
        <w:rPr>
          <w:sz w:val="20"/>
        </w:rPr>
        <w:t>based</w:t>
      </w:r>
      <w:r>
        <w:rPr>
          <w:spacing w:val="40"/>
          <w:sz w:val="20"/>
        </w:rPr>
        <w:t> </w:t>
      </w:r>
      <w:r>
        <w:rPr>
          <w:sz w:val="20"/>
        </w:rPr>
        <w:t>in</w:t>
      </w:r>
      <w:r>
        <w:rPr>
          <w:spacing w:val="40"/>
          <w:sz w:val="20"/>
        </w:rPr>
        <w:t> </w:t>
      </w:r>
      <w:r>
        <w:rPr>
          <w:sz w:val="20"/>
        </w:rPr>
        <w:t>the</w:t>
      </w:r>
      <w:r>
        <w:rPr>
          <w:spacing w:val="40"/>
          <w:sz w:val="20"/>
        </w:rPr>
        <w:t> </w:t>
      </w:r>
      <w:r>
        <w:rPr>
          <w:sz w:val="20"/>
        </w:rPr>
        <w:t>DRC,</w:t>
      </w:r>
      <w:r>
        <w:rPr>
          <w:spacing w:val="40"/>
          <w:sz w:val="20"/>
        </w:rPr>
        <w:t> </w:t>
      </w:r>
      <w:r>
        <w:rPr>
          <w:sz w:val="20"/>
        </w:rPr>
        <w:t>Uganda,</w:t>
      </w:r>
      <w:r>
        <w:rPr>
          <w:spacing w:val="40"/>
          <w:sz w:val="20"/>
        </w:rPr>
        <w:t> </w:t>
      </w:r>
      <w:r>
        <w:rPr>
          <w:sz w:val="20"/>
        </w:rPr>
        <w:t>Mali, Côte d’Ivoire and Georgia.</w:t>
      </w:r>
    </w:p>
    <w:p>
      <w:pPr>
        <w:pStyle w:val="ListParagraph"/>
        <w:numPr>
          <w:ilvl w:val="0"/>
          <w:numId w:val="4"/>
        </w:numPr>
        <w:tabs>
          <w:tab w:pos="2967" w:val="left" w:leader="none"/>
        </w:tabs>
        <w:spacing w:line="240" w:lineRule="auto" w:before="124" w:after="0"/>
        <w:ind w:left="2246" w:right="2239" w:firstLine="0"/>
        <w:jc w:val="both"/>
        <w:rPr>
          <w:sz w:val="20"/>
        </w:rPr>
      </w:pPr>
      <w:r>
        <w:rPr>
          <w:sz w:val="20"/>
        </w:rPr>
        <w:t>The</w:t>
      </w:r>
      <w:r>
        <w:rPr>
          <w:spacing w:val="-11"/>
          <w:sz w:val="20"/>
        </w:rPr>
        <w:t> </w:t>
      </w:r>
      <w:r>
        <w:rPr>
          <w:sz w:val="20"/>
        </w:rPr>
        <w:t>increase</w:t>
      </w:r>
      <w:r>
        <w:rPr>
          <w:spacing w:val="-7"/>
          <w:sz w:val="20"/>
        </w:rPr>
        <w:t> </w:t>
      </w:r>
      <w:r>
        <w:rPr>
          <w:sz w:val="20"/>
        </w:rPr>
        <w:t>of</w:t>
      </w:r>
      <w:r>
        <w:rPr>
          <w:spacing w:val="-8"/>
          <w:sz w:val="20"/>
        </w:rPr>
        <w:t> </w:t>
      </w:r>
      <w:r>
        <w:rPr>
          <w:sz w:val="20"/>
        </w:rPr>
        <w:t>€110.2</w:t>
      </w:r>
      <w:r>
        <w:rPr>
          <w:spacing w:val="-8"/>
          <w:sz w:val="20"/>
        </w:rPr>
        <w:t> </w:t>
      </w:r>
      <w:r>
        <w:rPr>
          <w:sz w:val="20"/>
        </w:rPr>
        <w:t>thousand</w:t>
      </w:r>
      <w:r>
        <w:rPr>
          <w:spacing w:val="-13"/>
          <w:sz w:val="20"/>
        </w:rPr>
        <w:t> </w:t>
      </w:r>
      <w:r>
        <w:rPr>
          <w:sz w:val="20"/>
        </w:rPr>
        <w:t>requested</w:t>
      </w:r>
      <w:r>
        <w:rPr>
          <w:spacing w:val="-8"/>
          <w:sz w:val="20"/>
        </w:rPr>
        <w:t> </w:t>
      </w:r>
      <w:r>
        <w:rPr>
          <w:sz w:val="20"/>
        </w:rPr>
        <w:t>by</w:t>
      </w:r>
      <w:r>
        <w:rPr>
          <w:spacing w:val="-13"/>
          <w:sz w:val="20"/>
        </w:rPr>
        <w:t> </w:t>
      </w:r>
      <w:r>
        <w:rPr>
          <w:sz w:val="20"/>
        </w:rPr>
        <w:t>the</w:t>
      </w:r>
      <w:r>
        <w:rPr>
          <w:spacing w:val="-11"/>
          <w:sz w:val="20"/>
        </w:rPr>
        <w:t> </w:t>
      </w:r>
      <w:r>
        <w:rPr>
          <w:sz w:val="20"/>
        </w:rPr>
        <w:t>Country</w:t>
      </w:r>
      <w:r>
        <w:rPr>
          <w:spacing w:val="-8"/>
          <w:sz w:val="20"/>
        </w:rPr>
        <w:t> </w:t>
      </w:r>
      <w:r>
        <w:rPr>
          <w:sz w:val="20"/>
        </w:rPr>
        <w:t>Office</w:t>
      </w:r>
      <w:r>
        <w:rPr>
          <w:spacing w:val="-7"/>
          <w:sz w:val="20"/>
        </w:rPr>
        <w:t> </w:t>
      </w:r>
      <w:r>
        <w:rPr>
          <w:sz w:val="20"/>
        </w:rPr>
        <w:t>(CAR)</w:t>
      </w:r>
      <w:r>
        <w:rPr>
          <w:spacing w:val="-13"/>
          <w:sz w:val="20"/>
        </w:rPr>
        <w:t> </w:t>
      </w:r>
      <w:r>
        <w:rPr>
          <w:sz w:val="20"/>
        </w:rPr>
        <w:t>and</w:t>
      </w:r>
      <w:r>
        <w:rPr>
          <w:spacing w:val="-8"/>
          <w:sz w:val="20"/>
        </w:rPr>
        <w:t> </w:t>
      </w:r>
      <w:r>
        <w:rPr>
          <w:sz w:val="20"/>
        </w:rPr>
        <w:t>for</w:t>
      </w:r>
      <w:r>
        <w:rPr>
          <w:spacing w:val="-8"/>
          <w:sz w:val="20"/>
        </w:rPr>
        <w:t> </w:t>
      </w:r>
      <w:r>
        <w:rPr>
          <w:sz w:val="20"/>
        </w:rPr>
        <w:t>the country office to be established in Sudan will thus be completely offset by the above- mentioned</w:t>
      </w:r>
      <w:r>
        <w:rPr>
          <w:spacing w:val="-13"/>
          <w:sz w:val="20"/>
        </w:rPr>
        <w:t> </w:t>
      </w:r>
      <w:r>
        <w:rPr>
          <w:sz w:val="20"/>
        </w:rPr>
        <w:t>reduction</w:t>
      </w:r>
      <w:r>
        <w:rPr>
          <w:spacing w:val="-12"/>
          <w:sz w:val="20"/>
        </w:rPr>
        <w:t> </w:t>
      </w:r>
      <w:r>
        <w:rPr>
          <w:sz w:val="20"/>
        </w:rPr>
        <w:t>of</w:t>
      </w:r>
      <w:r>
        <w:rPr>
          <w:spacing w:val="-13"/>
          <w:sz w:val="20"/>
        </w:rPr>
        <w:t> </w:t>
      </w:r>
      <w:r>
        <w:rPr>
          <w:sz w:val="20"/>
        </w:rPr>
        <w:t>€97.9</w:t>
      </w:r>
      <w:r>
        <w:rPr>
          <w:spacing w:val="-9"/>
          <w:sz w:val="20"/>
        </w:rPr>
        <w:t> </w:t>
      </w:r>
      <w:r>
        <w:rPr>
          <w:sz w:val="20"/>
        </w:rPr>
        <w:t>thousand.</w:t>
      </w:r>
      <w:r>
        <w:rPr>
          <w:spacing w:val="-11"/>
          <w:sz w:val="20"/>
        </w:rPr>
        <w:t> </w:t>
      </w:r>
      <w:r>
        <w:rPr>
          <w:sz w:val="20"/>
        </w:rPr>
        <w:t>The</w:t>
      </w:r>
      <w:r>
        <w:rPr>
          <w:spacing w:val="-12"/>
          <w:sz w:val="20"/>
        </w:rPr>
        <w:t> </w:t>
      </w:r>
      <w:r>
        <w:rPr>
          <w:sz w:val="20"/>
        </w:rPr>
        <w:t>increase</w:t>
      </w:r>
      <w:r>
        <w:rPr>
          <w:spacing w:val="-7"/>
          <w:sz w:val="20"/>
        </w:rPr>
        <w:t> </w:t>
      </w:r>
      <w:r>
        <w:rPr>
          <w:sz w:val="20"/>
        </w:rPr>
        <w:t>requested</w:t>
      </w:r>
      <w:r>
        <w:rPr>
          <w:spacing w:val="-8"/>
          <w:sz w:val="20"/>
        </w:rPr>
        <w:t> </w:t>
      </w:r>
      <w:r>
        <w:rPr>
          <w:sz w:val="20"/>
        </w:rPr>
        <w:t>by</w:t>
      </w:r>
      <w:r>
        <w:rPr>
          <w:spacing w:val="-13"/>
          <w:sz w:val="20"/>
        </w:rPr>
        <w:t> </w:t>
      </w:r>
      <w:r>
        <w:rPr>
          <w:sz w:val="20"/>
        </w:rPr>
        <w:t>the</w:t>
      </w:r>
      <w:r>
        <w:rPr>
          <w:spacing w:val="-11"/>
          <w:sz w:val="20"/>
        </w:rPr>
        <w:t> </w:t>
      </w:r>
      <w:r>
        <w:rPr>
          <w:sz w:val="20"/>
        </w:rPr>
        <w:t>Country</w:t>
      </w:r>
      <w:r>
        <w:rPr>
          <w:spacing w:val="-13"/>
          <w:sz w:val="20"/>
        </w:rPr>
        <w:t> </w:t>
      </w:r>
      <w:r>
        <w:rPr>
          <w:sz w:val="20"/>
        </w:rPr>
        <w:t>Office</w:t>
      </w:r>
      <w:r>
        <w:rPr>
          <w:spacing w:val="-11"/>
          <w:sz w:val="20"/>
        </w:rPr>
        <w:t> </w:t>
      </w:r>
      <w:r>
        <w:rPr>
          <w:sz w:val="20"/>
        </w:rPr>
        <w:t>(CAR) is due to the cumulative</w:t>
      </w:r>
      <w:r>
        <w:rPr>
          <w:spacing w:val="-2"/>
          <w:sz w:val="20"/>
        </w:rPr>
        <w:t> </w:t>
      </w:r>
      <w:r>
        <w:rPr>
          <w:sz w:val="20"/>
        </w:rPr>
        <w:t>effect</w:t>
      </w:r>
      <w:r>
        <w:rPr>
          <w:spacing w:val="-2"/>
          <w:sz w:val="20"/>
        </w:rPr>
        <w:t> </w:t>
      </w:r>
      <w:r>
        <w:rPr>
          <w:sz w:val="20"/>
        </w:rPr>
        <w:t>of a number of factors including a contractually</w:t>
      </w:r>
      <w:r>
        <w:rPr>
          <w:spacing w:val="-4"/>
          <w:sz w:val="20"/>
        </w:rPr>
        <w:t> </w:t>
      </w:r>
      <w:r>
        <w:rPr>
          <w:sz w:val="20"/>
        </w:rPr>
        <w:t>agreed 8 per cent rise in office and associated area rental costs; the implementation, in accordance with recommended</w:t>
      </w:r>
      <w:r>
        <w:rPr>
          <w:spacing w:val="-13"/>
          <w:sz w:val="20"/>
        </w:rPr>
        <w:t> </w:t>
      </w:r>
      <w:r>
        <w:rPr>
          <w:sz w:val="20"/>
        </w:rPr>
        <w:t>procurement</w:t>
      </w:r>
      <w:r>
        <w:rPr>
          <w:spacing w:val="-12"/>
          <w:sz w:val="20"/>
        </w:rPr>
        <w:t> </w:t>
      </w:r>
      <w:r>
        <w:rPr>
          <w:sz w:val="20"/>
        </w:rPr>
        <w:t>principles</w:t>
      </w:r>
      <w:r>
        <w:rPr>
          <w:spacing w:val="-13"/>
          <w:sz w:val="20"/>
        </w:rPr>
        <w:t> </w:t>
      </w:r>
      <w:r>
        <w:rPr>
          <w:sz w:val="20"/>
        </w:rPr>
        <w:t>and</w:t>
      </w:r>
      <w:r>
        <w:rPr>
          <w:spacing w:val="-12"/>
          <w:sz w:val="20"/>
        </w:rPr>
        <w:t> </w:t>
      </w:r>
      <w:r>
        <w:rPr>
          <w:sz w:val="20"/>
        </w:rPr>
        <w:t>maintenance</w:t>
      </w:r>
      <w:r>
        <w:rPr>
          <w:spacing w:val="-13"/>
          <w:sz w:val="20"/>
        </w:rPr>
        <w:t> </w:t>
      </w:r>
      <w:r>
        <w:rPr>
          <w:sz w:val="20"/>
        </w:rPr>
        <w:t>best</w:t>
      </w:r>
      <w:r>
        <w:rPr>
          <w:spacing w:val="-12"/>
          <w:sz w:val="20"/>
        </w:rPr>
        <w:t> </w:t>
      </w:r>
      <w:r>
        <w:rPr>
          <w:sz w:val="20"/>
        </w:rPr>
        <w:t>practice,</w:t>
      </w:r>
      <w:r>
        <w:rPr>
          <w:spacing w:val="-12"/>
          <w:sz w:val="20"/>
        </w:rPr>
        <w:t> </w:t>
      </w:r>
      <w:r>
        <w:rPr>
          <w:sz w:val="20"/>
        </w:rPr>
        <w:t>of</w:t>
      </w:r>
      <w:r>
        <w:rPr>
          <w:spacing w:val="-13"/>
          <w:sz w:val="20"/>
        </w:rPr>
        <w:t> </w:t>
      </w:r>
      <w:r>
        <w:rPr>
          <w:sz w:val="20"/>
        </w:rPr>
        <w:t>a</w:t>
      </w:r>
      <w:r>
        <w:rPr>
          <w:spacing w:val="-12"/>
          <w:sz w:val="20"/>
        </w:rPr>
        <w:t> </w:t>
      </w:r>
      <w:r>
        <w:rPr>
          <w:sz w:val="20"/>
        </w:rPr>
        <w:t>multi-year</w:t>
      </w:r>
      <w:r>
        <w:rPr>
          <w:spacing w:val="-13"/>
          <w:sz w:val="20"/>
        </w:rPr>
        <w:t> </w:t>
      </w:r>
      <w:r>
        <w:rPr>
          <w:sz w:val="20"/>
        </w:rPr>
        <w:t>contract for office maintenance services; and increased use of the services of the United Nations Multidimensional Integrated Stabilization Mission in the Central African Republic (MINUSCA)</w:t>
      </w:r>
      <w:r>
        <w:rPr>
          <w:spacing w:val="-4"/>
          <w:sz w:val="20"/>
        </w:rPr>
        <w:t> </w:t>
      </w:r>
      <w:r>
        <w:rPr>
          <w:sz w:val="20"/>
        </w:rPr>
        <w:t>to</w:t>
      </w:r>
      <w:r>
        <w:rPr>
          <w:spacing w:val="-4"/>
          <w:sz w:val="20"/>
        </w:rPr>
        <w:t> </w:t>
      </w:r>
      <w:r>
        <w:rPr>
          <w:sz w:val="20"/>
        </w:rPr>
        <w:t>facilitate</w:t>
      </w:r>
      <w:r>
        <w:rPr>
          <w:spacing w:val="-7"/>
          <w:sz w:val="20"/>
        </w:rPr>
        <w:t> </w:t>
      </w:r>
      <w:r>
        <w:rPr>
          <w:sz w:val="20"/>
        </w:rPr>
        <w:t>travel</w:t>
      </w:r>
      <w:r>
        <w:rPr>
          <w:spacing w:val="-7"/>
          <w:sz w:val="20"/>
        </w:rPr>
        <w:t> </w:t>
      </w:r>
      <w:r>
        <w:rPr>
          <w:sz w:val="20"/>
        </w:rPr>
        <w:t>to</w:t>
      </w:r>
      <w:r>
        <w:rPr>
          <w:spacing w:val="-4"/>
          <w:sz w:val="20"/>
        </w:rPr>
        <w:t> </w:t>
      </w:r>
      <w:r>
        <w:rPr>
          <w:sz w:val="20"/>
        </w:rPr>
        <w:t>the</w:t>
      </w:r>
      <w:r>
        <w:rPr>
          <w:spacing w:val="-2"/>
          <w:sz w:val="20"/>
        </w:rPr>
        <w:t> </w:t>
      </w:r>
      <w:r>
        <w:rPr>
          <w:sz w:val="20"/>
        </w:rPr>
        <w:t>provinces.</w:t>
      </w:r>
      <w:r>
        <w:rPr>
          <w:spacing w:val="-1"/>
          <w:sz w:val="20"/>
        </w:rPr>
        <w:t> </w:t>
      </w:r>
      <w:r>
        <w:rPr>
          <w:sz w:val="20"/>
        </w:rPr>
        <w:t>A</w:t>
      </w:r>
      <w:r>
        <w:rPr>
          <w:spacing w:val="-5"/>
          <w:sz w:val="20"/>
        </w:rPr>
        <w:t> </w:t>
      </w:r>
      <w:r>
        <w:rPr>
          <w:sz w:val="20"/>
        </w:rPr>
        <w:t>small</w:t>
      </w:r>
      <w:r>
        <w:rPr>
          <w:spacing w:val="-7"/>
          <w:sz w:val="20"/>
        </w:rPr>
        <w:t> </w:t>
      </w:r>
      <w:r>
        <w:rPr>
          <w:sz w:val="20"/>
        </w:rPr>
        <w:t>portion</w:t>
      </w:r>
      <w:r>
        <w:rPr>
          <w:spacing w:val="-4"/>
          <w:sz w:val="20"/>
        </w:rPr>
        <w:t> </w:t>
      </w:r>
      <w:r>
        <w:rPr>
          <w:sz w:val="20"/>
        </w:rPr>
        <w:t>of</w:t>
      </w:r>
      <w:r>
        <w:rPr>
          <w:spacing w:val="-4"/>
          <w:sz w:val="20"/>
        </w:rPr>
        <w:t> </w:t>
      </w:r>
      <w:r>
        <w:rPr>
          <w:sz w:val="20"/>
        </w:rPr>
        <w:t>GOE</w:t>
      </w:r>
      <w:r>
        <w:rPr>
          <w:spacing w:val="-2"/>
          <w:sz w:val="20"/>
        </w:rPr>
        <w:t> </w:t>
      </w:r>
      <w:r>
        <w:rPr>
          <w:sz w:val="20"/>
        </w:rPr>
        <w:t>resources</w:t>
      </w:r>
      <w:r>
        <w:rPr>
          <w:spacing w:val="-5"/>
          <w:sz w:val="20"/>
        </w:rPr>
        <w:t> </w:t>
      </w:r>
      <w:r>
        <w:rPr>
          <w:sz w:val="20"/>
        </w:rPr>
        <w:t>required to support the Court’s activities in Sudan was budgeted by the Country Office (Uganda) to provide</w:t>
      </w:r>
      <w:r>
        <w:rPr>
          <w:spacing w:val="-3"/>
          <w:sz w:val="20"/>
        </w:rPr>
        <w:t> </w:t>
      </w:r>
      <w:r>
        <w:rPr>
          <w:sz w:val="20"/>
        </w:rPr>
        <w:t>the</w:t>
      </w:r>
      <w:r>
        <w:rPr>
          <w:spacing w:val="-3"/>
          <w:sz w:val="20"/>
        </w:rPr>
        <w:t> </w:t>
      </w:r>
      <w:r>
        <w:rPr>
          <w:sz w:val="20"/>
        </w:rPr>
        <w:t>required</w:t>
      </w:r>
      <w:r>
        <w:rPr>
          <w:spacing w:val="-5"/>
          <w:sz w:val="20"/>
        </w:rPr>
        <w:t> </w:t>
      </w:r>
      <w:r>
        <w:rPr>
          <w:sz w:val="20"/>
        </w:rPr>
        <w:t>services</w:t>
      </w:r>
      <w:r>
        <w:rPr>
          <w:spacing w:val="-6"/>
          <w:sz w:val="20"/>
        </w:rPr>
        <w:t> </w:t>
      </w:r>
      <w:r>
        <w:rPr>
          <w:sz w:val="20"/>
        </w:rPr>
        <w:t>from</w:t>
      </w:r>
      <w:r>
        <w:rPr>
          <w:spacing w:val="-3"/>
          <w:sz w:val="20"/>
        </w:rPr>
        <w:t> </w:t>
      </w:r>
      <w:r>
        <w:rPr>
          <w:sz w:val="20"/>
        </w:rPr>
        <w:t>Uganda.</w:t>
      </w:r>
      <w:r>
        <w:rPr>
          <w:spacing w:val="-3"/>
          <w:sz w:val="20"/>
        </w:rPr>
        <w:t> </w:t>
      </w:r>
      <w:r>
        <w:rPr>
          <w:sz w:val="20"/>
        </w:rPr>
        <w:t>Since</w:t>
      </w:r>
      <w:r>
        <w:rPr>
          <w:spacing w:val="-3"/>
          <w:sz w:val="20"/>
        </w:rPr>
        <w:t> </w:t>
      </w:r>
      <w:r>
        <w:rPr>
          <w:sz w:val="20"/>
        </w:rPr>
        <w:t>the</w:t>
      </w:r>
      <w:r>
        <w:rPr>
          <w:spacing w:val="-3"/>
          <w:sz w:val="20"/>
        </w:rPr>
        <w:t> </w:t>
      </w:r>
      <w:r>
        <w:rPr>
          <w:sz w:val="20"/>
        </w:rPr>
        <w:t>Registry</w:t>
      </w:r>
      <w:r>
        <w:rPr>
          <w:spacing w:val="-5"/>
          <w:sz w:val="20"/>
        </w:rPr>
        <w:t> </w:t>
      </w:r>
      <w:r>
        <w:rPr>
          <w:sz w:val="20"/>
        </w:rPr>
        <w:t>expects</w:t>
      </w:r>
      <w:r>
        <w:rPr>
          <w:spacing w:val="-6"/>
          <w:sz w:val="20"/>
        </w:rPr>
        <w:t> </w:t>
      </w:r>
      <w:r>
        <w:rPr>
          <w:sz w:val="20"/>
        </w:rPr>
        <w:t>a</w:t>
      </w:r>
      <w:r>
        <w:rPr>
          <w:spacing w:val="-3"/>
          <w:sz w:val="20"/>
        </w:rPr>
        <w:t> </w:t>
      </w:r>
      <w:r>
        <w:rPr>
          <w:sz w:val="20"/>
        </w:rPr>
        <w:t>country</w:t>
      </w:r>
      <w:r>
        <w:rPr>
          <w:spacing w:val="-5"/>
          <w:sz w:val="20"/>
        </w:rPr>
        <w:t> </w:t>
      </w:r>
      <w:r>
        <w:rPr>
          <w:sz w:val="20"/>
        </w:rPr>
        <w:t>office</w:t>
      </w:r>
      <w:r>
        <w:rPr>
          <w:spacing w:val="-3"/>
          <w:sz w:val="20"/>
        </w:rPr>
        <w:t> </w:t>
      </w:r>
      <w:r>
        <w:rPr>
          <w:sz w:val="20"/>
        </w:rPr>
        <w:t>to</w:t>
      </w:r>
      <w:r>
        <w:rPr>
          <w:spacing w:val="-9"/>
          <w:sz w:val="20"/>
        </w:rPr>
        <w:t> </w:t>
      </w:r>
      <w:r>
        <w:rPr>
          <w:sz w:val="20"/>
        </w:rPr>
        <w:t>be established in Sudan by late 2022, additional resources are required for the rental of office premises, office maintenance and utilities. Once a country office is established in Sudan, it is foreseen</w:t>
      </w:r>
      <w:r>
        <w:rPr>
          <w:spacing w:val="-4"/>
          <w:sz w:val="20"/>
        </w:rPr>
        <w:t> </w:t>
      </w:r>
      <w:r>
        <w:rPr>
          <w:sz w:val="20"/>
        </w:rPr>
        <w:t>that</w:t>
      </w:r>
      <w:r>
        <w:rPr>
          <w:spacing w:val="-2"/>
          <w:sz w:val="20"/>
        </w:rPr>
        <w:t> </w:t>
      </w:r>
      <w:r>
        <w:rPr>
          <w:sz w:val="20"/>
        </w:rPr>
        <w:t>additional</w:t>
      </w:r>
      <w:r>
        <w:rPr>
          <w:spacing w:val="-2"/>
          <w:sz w:val="20"/>
        </w:rPr>
        <w:t> </w:t>
      </w:r>
      <w:r>
        <w:rPr>
          <w:sz w:val="20"/>
        </w:rPr>
        <w:t>expenses</w:t>
      </w:r>
      <w:r>
        <w:rPr>
          <w:spacing w:val="-5"/>
          <w:sz w:val="20"/>
        </w:rPr>
        <w:t> </w:t>
      </w:r>
      <w:r>
        <w:rPr>
          <w:sz w:val="20"/>
        </w:rPr>
        <w:t>may be incurred.</w:t>
      </w:r>
      <w:r>
        <w:rPr>
          <w:spacing w:val="-1"/>
          <w:sz w:val="20"/>
        </w:rPr>
        <w:t> </w:t>
      </w:r>
      <w:r>
        <w:rPr>
          <w:sz w:val="20"/>
        </w:rPr>
        <w:t>The</w:t>
      </w:r>
      <w:r>
        <w:rPr>
          <w:spacing w:val="-2"/>
          <w:sz w:val="20"/>
        </w:rPr>
        <w:t> </w:t>
      </w:r>
      <w:r>
        <w:rPr>
          <w:sz w:val="20"/>
        </w:rPr>
        <w:t>Registry will endeavour</w:t>
      </w:r>
      <w:r>
        <w:rPr>
          <w:spacing w:val="-4"/>
          <w:sz w:val="20"/>
        </w:rPr>
        <w:t> </w:t>
      </w:r>
      <w:r>
        <w:rPr>
          <w:sz w:val="20"/>
        </w:rPr>
        <w:t>to</w:t>
      </w:r>
      <w:r>
        <w:rPr>
          <w:spacing w:val="-4"/>
          <w:sz w:val="20"/>
        </w:rPr>
        <w:t> </w:t>
      </w:r>
      <w:r>
        <w:rPr>
          <w:sz w:val="20"/>
        </w:rPr>
        <w:t>absorb such additional expenses within its approved budget for 2023.</w:t>
      </w:r>
    </w:p>
    <w:p>
      <w:pPr>
        <w:pStyle w:val="ListParagraph"/>
        <w:numPr>
          <w:ilvl w:val="0"/>
          <w:numId w:val="4"/>
        </w:numPr>
        <w:tabs>
          <w:tab w:pos="2967" w:val="left" w:leader="none"/>
        </w:tabs>
        <w:spacing w:line="240" w:lineRule="auto" w:before="118" w:after="0"/>
        <w:ind w:left="2246" w:right="2241" w:firstLine="0"/>
        <w:jc w:val="both"/>
        <w:rPr>
          <w:sz w:val="20"/>
        </w:rPr>
      </w:pPr>
      <w:r>
        <w:rPr>
          <w:sz w:val="20"/>
        </w:rPr>
        <w:t>The</w:t>
      </w:r>
      <w:r>
        <w:rPr>
          <w:spacing w:val="-9"/>
          <w:sz w:val="20"/>
        </w:rPr>
        <w:t> </w:t>
      </w:r>
      <w:r>
        <w:rPr>
          <w:sz w:val="20"/>
        </w:rPr>
        <w:t>proposed</w:t>
      </w:r>
      <w:r>
        <w:rPr>
          <w:spacing w:val="-9"/>
          <w:sz w:val="20"/>
        </w:rPr>
        <w:t> </w:t>
      </w:r>
      <w:r>
        <w:rPr>
          <w:sz w:val="20"/>
        </w:rPr>
        <w:t>resources</w:t>
      </w:r>
      <w:r>
        <w:rPr>
          <w:spacing w:val="-11"/>
          <w:sz w:val="20"/>
        </w:rPr>
        <w:t> </w:t>
      </w:r>
      <w:r>
        <w:rPr>
          <w:sz w:val="20"/>
        </w:rPr>
        <w:t>for</w:t>
      </w:r>
      <w:r>
        <w:rPr>
          <w:spacing w:val="-9"/>
          <w:sz w:val="20"/>
        </w:rPr>
        <w:t> </w:t>
      </w:r>
      <w:r>
        <w:rPr>
          <w:sz w:val="20"/>
        </w:rPr>
        <w:t>PIOS</w:t>
      </w:r>
      <w:r>
        <w:rPr>
          <w:spacing w:val="-11"/>
          <w:sz w:val="20"/>
        </w:rPr>
        <w:t> </w:t>
      </w:r>
      <w:r>
        <w:rPr>
          <w:sz w:val="20"/>
        </w:rPr>
        <w:t>(€28.5</w:t>
      </w:r>
      <w:r>
        <w:rPr>
          <w:spacing w:val="-9"/>
          <w:sz w:val="20"/>
        </w:rPr>
        <w:t> </w:t>
      </w:r>
      <w:r>
        <w:rPr>
          <w:sz w:val="20"/>
        </w:rPr>
        <w:t>thousand)</w:t>
      </w:r>
      <w:r>
        <w:rPr>
          <w:spacing w:val="-9"/>
          <w:sz w:val="20"/>
        </w:rPr>
        <w:t> </w:t>
      </w:r>
      <w:r>
        <w:rPr>
          <w:sz w:val="20"/>
        </w:rPr>
        <w:t>have</w:t>
      </w:r>
      <w:r>
        <w:rPr>
          <w:spacing w:val="-8"/>
          <w:sz w:val="20"/>
        </w:rPr>
        <w:t> </w:t>
      </w:r>
      <w:r>
        <w:rPr>
          <w:sz w:val="20"/>
        </w:rPr>
        <w:t>increased</w:t>
      </w:r>
      <w:r>
        <w:rPr>
          <w:spacing w:val="-9"/>
          <w:sz w:val="20"/>
        </w:rPr>
        <w:t> </w:t>
      </w:r>
      <w:r>
        <w:rPr>
          <w:sz w:val="20"/>
        </w:rPr>
        <w:t>by</w:t>
      </w:r>
      <w:r>
        <w:rPr>
          <w:spacing w:val="-13"/>
          <w:sz w:val="20"/>
        </w:rPr>
        <w:t> </w:t>
      </w:r>
      <w:r>
        <w:rPr>
          <w:sz w:val="20"/>
        </w:rPr>
        <w:t>€2.0</w:t>
      </w:r>
      <w:r>
        <w:rPr>
          <w:spacing w:val="-12"/>
          <w:sz w:val="20"/>
        </w:rPr>
        <w:t> </w:t>
      </w:r>
      <w:r>
        <w:rPr>
          <w:sz w:val="20"/>
        </w:rPr>
        <w:t>thousand (7.5 per cent) and are required to cover (1) the maintenance of film editing equipment and servers for daily production as well as small maintenance material, (2) the licences for Dropbox</w:t>
      </w:r>
      <w:r>
        <w:rPr>
          <w:spacing w:val="-7"/>
          <w:sz w:val="20"/>
        </w:rPr>
        <w:t> </w:t>
      </w:r>
      <w:r>
        <w:rPr>
          <w:sz w:val="20"/>
        </w:rPr>
        <w:t>and</w:t>
      </w:r>
      <w:r>
        <w:rPr>
          <w:spacing w:val="-7"/>
          <w:sz w:val="20"/>
        </w:rPr>
        <w:t> </w:t>
      </w:r>
      <w:r>
        <w:rPr>
          <w:sz w:val="20"/>
        </w:rPr>
        <w:t>other</w:t>
      </w:r>
      <w:r>
        <w:rPr>
          <w:spacing w:val="-3"/>
          <w:sz w:val="20"/>
        </w:rPr>
        <w:t> </w:t>
      </w:r>
      <w:r>
        <w:rPr>
          <w:sz w:val="20"/>
        </w:rPr>
        <w:t>Internet</w:t>
      </w:r>
      <w:r>
        <w:rPr>
          <w:spacing w:val="-1"/>
          <w:sz w:val="20"/>
        </w:rPr>
        <w:t> </w:t>
      </w:r>
      <w:r>
        <w:rPr>
          <w:sz w:val="20"/>
        </w:rPr>
        <w:t>providers</w:t>
      </w:r>
      <w:r>
        <w:rPr>
          <w:spacing w:val="-4"/>
          <w:sz w:val="20"/>
        </w:rPr>
        <w:t> </w:t>
      </w:r>
      <w:r>
        <w:rPr>
          <w:sz w:val="20"/>
        </w:rPr>
        <w:t>used</w:t>
      </w:r>
      <w:r>
        <w:rPr>
          <w:spacing w:val="-3"/>
          <w:sz w:val="20"/>
        </w:rPr>
        <w:t> </w:t>
      </w:r>
      <w:r>
        <w:rPr>
          <w:sz w:val="20"/>
        </w:rPr>
        <w:t>on</w:t>
      </w:r>
      <w:r>
        <w:rPr>
          <w:spacing w:val="-7"/>
          <w:sz w:val="20"/>
        </w:rPr>
        <w:t> </w:t>
      </w:r>
      <w:r>
        <w:rPr>
          <w:sz w:val="20"/>
        </w:rPr>
        <w:t>a</w:t>
      </w:r>
      <w:r>
        <w:rPr>
          <w:spacing w:val="-6"/>
          <w:sz w:val="20"/>
        </w:rPr>
        <w:t> </w:t>
      </w:r>
      <w:r>
        <w:rPr>
          <w:sz w:val="20"/>
        </w:rPr>
        <w:t>daily</w:t>
      </w:r>
      <w:r>
        <w:rPr>
          <w:spacing w:val="-7"/>
          <w:sz w:val="20"/>
        </w:rPr>
        <w:t> </w:t>
      </w:r>
      <w:r>
        <w:rPr>
          <w:sz w:val="20"/>
        </w:rPr>
        <w:t>basis</w:t>
      </w:r>
      <w:r>
        <w:rPr>
          <w:spacing w:val="-9"/>
          <w:sz w:val="20"/>
        </w:rPr>
        <w:t> </w:t>
      </w:r>
      <w:r>
        <w:rPr>
          <w:sz w:val="20"/>
        </w:rPr>
        <w:t>for</w:t>
      </w:r>
      <w:r>
        <w:rPr>
          <w:spacing w:val="-3"/>
          <w:sz w:val="20"/>
        </w:rPr>
        <w:t> </w:t>
      </w:r>
      <w:r>
        <w:rPr>
          <w:sz w:val="20"/>
        </w:rPr>
        <w:t>production</w:t>
      </w:r>
      <w:r>
        <w:rPr>
          <w:spacing w:val="-7"/>
          <w:sz w:val="20"/>
        </w:rPr>
        <w:t> </w:t>
      </w:r>
      <w:r>
        <w:rPr>
          <w:sz w:val="20"/>
        </w:rPr>
        <w:t>and</w:t>
      </w:r>
      <w:r>
        <w:rPr>
          <w:spacing w:val="-7"/>
          <w:sz w:val="20"/>
        </w:rPr>
        <w:t> </w:t>
      </w:r>
      <w:r>
        <w:rPr>
          <w:sz w:val="20"/>
        </w:rPr>
        <w:t>distribution</w:t>
      </w:r>
      <w:r>
        <w:rPr>
          <w:spacing w:val="-7"/>
          <w:sz w:val="20"/>
        </w:rPr>
        <w:t> </w:t>
      </w:r>
      <w:r>
        <w:rPr>
          <w:sz w:val="20"/>
        </w:rPr>
        <w:t>of audiovisual</w:t>
      </w:r>
      <w:r>
        <w:rPr>
          <w:spacing w:val="-3"/>
          <w:sz w:val="20"/>
        </w:rPr>
        <w:t> </w:t>
      </w:r>
      <w:r>
        <w:rPr>
          <w:sz w:val="20"/>
        </w:rPr>
        <w:t>products</w:t>
      </w:r>
      <w:r>
        <w:rPr>
          <w:spacing w:val="-6"/>
          <w:sz w:val="20"/>
        </w:rPr>
        <w:t> </w:t>
      </w:r>
      <w:r>
        <w:rPr>
          <w:sz w:val="20"/>
        </w:rPr>
        <w:t>and</w:t>
      </w:r>
      <w:r>
        <w:rPr>
          <w:spacing w:val="-5"/>
          <w:sz w:val="20"/>
        </w:rPr>
        <w:t> </w:t>
      </w:r>
      <w:r>
        <w:rPr>
          <w:sz w:val="20"/>
        </w:rPr>
        <w:t>Creative Cloud</w:t>
      </w:r>
      <w:r>
        <w:rPr>
          <w:spacing w:val="-5"/>
          <w:sz w:val="20"/>
        </w:rPr>
        <w:t> </w:t>
      </w:r>
      <w:r>
        <w:rPr>
          <w:sz w:val="20"/>
        </w:rPr>
        <w:t>(Adobe/Premiere</w:t>
      </w:r>
      <w:r>
        <w:rPr>
          <w:spacing w:val="-3"/>
          <w:sz w:val="20"/>
        </w:rPr>
        <w:t> </w:t>
      </w:r>
      <w:r>
        <w:rPr>
          <w:sz w:val="20"/>
        </w:rPr>
        <w:t>Pro),</w:t>
      </w:r>
      <w:r>
        <w:rPr>
          <w:spacing w:val="-7"/>
          <w:sz w:val="20"/>
        </w:rPr>
        <w:t> </w:t>
      </w:r>
      <w:r>
        <w:rPr>
          <w:sz w:val="20"/>
        </w:rPr>
        <w:t>and</w:t>
      </w:r>
      <w:r>
        <w:rPr>
          <w:spacing w:val="-5"/>
          <w:sz w:val="20"/>
        </w:rPr>
        <w:t> </w:t>
      </w:r>
      <w:r>
        <w:rPr>
          <w:sz w:val="20"/>
        </w:rPr>
        <w:t>(3)</w:t>
      </w:r>
      <w:r>
        <w:rPr>
          <w:spacing w:val="-9"/>
          <w:sz w:val="20"/>
        </w:rPr>
        <w:t> </w:t>
      </w:r>
      <w:r>
        <w:rPr>
          <w:sz w:val="20"/>
        </w:rPr>
        <w:t>recurrent</w:t>
      </w:r>
      <w:r>
        <w:rPr>
          <w:spacing w:val="-8"/>
          <w:sz w:val="20"/>
        </w:rPr>
        <w:t> </w:t>
      </w:r>
      <w:r>
        <w:rPr>
          <w:sz w:val="20"/>
        </w:rPr>
        <w:t>costs</w:t>
      </w:r>
      <w:r>
        <w:rPr>
          <w:spacing w:val="-6"/>
          <w:sz w:val="20"/>
        </w:rPr>
        <w:t> </w:t>
      </w:r>
      <w:r>
        <w:rPr>
          <w:sz w:val="20"/>
        </w:rPr>
        <w:t>such as rental of equipment for The Hague International Open Day.</w:t>
      </w:r>
    </w:p>
    <w:p>
      <w:pPr>
        <w:pStyle w:val="BodyText"/>
        <w:spacing w:before="1"/>
        <w:rPr>
          <w:sz w:val="21"/>
        </w:rPr>
      </w:pPr>
    </w:p>
    <w:p>
      <w:pPr>
        <w:tabs>
          <w:tab w:pos="8282" w:val="left" w:leader="none"/>
        </w:tabs>
        <w:spacing w:before="0"/>
        <w:ind w:left="2246" w:right="0" w:firstLine="0"/>
        <w:jc w:val="both"/>
        <w:rPr>
          <w:i/>
          <w:sz w:val="20"/>
        </w:rPr>
      </w:pPr>
      <w:r>
        <w:rPr>
          <w:i/>
          <w:sz w:val="20"/>
        </w:rPr>
        <w:t>Supplies</w:t>
      </w:r>
      <w:r>
        <w:rPr>
          <w:i/>
          <w:spacing w:val="-5"/>
          <w:sz w:val="20"/>
        </w:rPr>
        <w:t> </w:t>
      </w:r>
      <w:r>
        <w:rPr>
          <w:i/>
          <w:sz w:val="20"/>
        </w:rPr>
        <w:t>and</w:t>
      </w:r>
      <w:r>
        <w:rPr>
          <w:i/>
          <w:spacing w:val="-4"/>
          <w:sz w:val="20"/>
        </w:rPr>
        <w:t> </w:t>
      </w:r>
      <w:r>
        <w:rPr>
          <w:i/>
          <w:spacing w:val="-2"/>
          <w:sz w:val="20"/>
        </w:rPr>
        <w:t>materials</w:t>
      </w:r>
      <w:r>
        <w:rPr>
          <w:i/>
          <w:sz w:val="20"/>
        </w:rPr>
        <w:tab/>
        <w:t>€360.4</w:t>
      </w:r>
      <w:r>
        <w:rPr>
          <w:i/>
          <w:spacing w:val="-3"/>
          <w:sz w:val="20"/>
        </w:rPr>
        <w:t> </w:t>
      </w:r>
      <w:r>
        <w:rPr>
          <w:i/>
          <w:spacing w:val="-2"/>
          <w:sz w:val="20"/>
        </w:rPr>
        <w:t>thousand</w:t>
      </w:r>
    </w:p>
    <w:p>
      <w:pPr>
        <w:pStyle w:val="BodyText"/>
        <w:spacing w:before="10"/>
        <w:rPr>
          <w:i/>
        </w:rPr>
      </w:pPr>
    </w:p>
    <w:p>
      <w:pPr>
        <w:pStyle w:val="ListParagraph"/>
        <w:numPr>
          <w:ilvl w:val="0"/>
          <w:numId w:val="4"/>
        </w:numPr>
        <w:tabs>
          <w:tab w:pos="2967" w:val="left" w:leader="none"/>
        </w:tabs>
        <w:spacing w:line="240" w:lineRule="auto" w:before="0" w:after="0"/>
        <w:ind w:left="2246" w:right="2244" w:firstLine="0"/>
        <w:jc w:val="both"/>
        <w:rPr>
          <w:sz w:val="20"/>
        </w:rPr>
      </w:pPr>
      <w:r>
        <w:rPr>
          <w:sz w:val="20"/>
        </w:rPr>
        <w:t>The proposed budget for supplies and materials represents a decrease of €90.3 thousand (20.0 per cent) as compared with the resources approved for 2022. The large reduction</w:t>
      </w:r>
      <w:r>
        <w:rPr>
          <w:spacing w:val="-13"/>
          <w:sz w:val="20"/>
        </w:rPr>
        <w:t> </w:t>
      </w:r>
      <w:r>
        <w:rPr>
          <w:sz w:val="20"/>
        </w:rPr>
        <w:t>in</w:t>
      </w:r>
      <w:r>
        <w:rPr>
          <w:spacing w:val="-12"/>
          <w:sz w:val="20"/>
        </w:rPr>
        <w:t> </w:t>
      </w:r>
      <w:r>
        <w:rPr>
          <w:sz w:val="20"/>
        </w:rPr>
        <w:t>the</w:t>
      </w:r>
      <w:r>
        <w:rPr>
          <w:spacing w:val="-13"/>
          <w:sz w:val="20"/>
        </w:rPr>
        <w:t> </w:t>
      </w:r>
      <w:r>
        <w:rPr>
          <w:sz w:val="20"/>
        </w:rPr>
        <w:t>resources</w:t>
      </w:r>
      <w:r>
        <w:rPr>
          <w:spacing w:val="-12"/>
          <w:sz w:val="20"/>
        </w:rPr>
        <w:t> </w:t>
      </w:r>
      <w:r>
        <w:rPr>
          <w:sz w:val="20"/>
        </w:rPr>
        <w:t>requested</w:t>
      </w:r>
      <w:r>
        <w:rPr>
          <w:spacing w:val="-13"/>
          <w:sz w:val="20"/>
        </w:rPr>
        <w:t> </w:t>
      </w:r>
      <w:r>
        <w:rPr>
          <w:sz w:val="20"/>
        </w:rPr>
        <w:t>by</w:t>
      </w:r>
      <w:r>
        <w:rPr>
          <w:spacing w:val="-12"/>
          <w:sz w:val="20"/>
        </w:rPr>
        <w:t> </w:t>
      </w:r>
      <w:r>
        <w:rPr>
          <w:sz w:val="20"/>
        </w:rPr>
        <w:t>the</w:t>
      </w:r>
      <w:r>
        <w:rPr>
          <w:spacing w:val="-13"/>
          <w:sz w:val="20"/>
        </w:rPr>
        <w:t> </w:t>
      </w:r>
      <w:r>
        <w:rPr>
          <w:sz w:val="20"/>
        </w:rPr>
        <w:t>DEO</w:t>
      </w:r>
      <w:r>
        <w:rPr>
          <w:spacing w:val="-12"/>
          <w:sz w:val="20"/>
        </w:rPr>
        <w:t> </w:t>
      </w:r>
      <w:r>
        <w:rPr>
          <w:sz w:val="20"/>
        </w:rPr>
        <w:t>for</w:t>
      </w:r>
      <w:r>
        <w:rPr>
          <w:spacing w:val="-13"/>
          <w:sz w:val="20"/>
        </w:rPr>
        <w:t> </w:t>
      </w:r>
      <w:r>
        <w:rPr>
          <w:sz w:val="20"/>
        </w:rPr>
        <w:t>2023</w:t>
      </w:r>
      <w:r>
        <w:rPr>
          <w:spacing w:val="-12"/>
          <w:sz w:val="20"/>
        </w:rPr>
        <w:t> </w:t>
      </w:r>
      <w:r>
        <w:rPr>
          <w:sz w:val="20"/>
        </w:rPr>
        <w:t>is</w:t>
      </w:r>
      <w:r>
        <w:rPr>
          <w:spacing w:val="-13"/>
          <w:sz w:val="20"/>
        </w:rPr>
        <w:t> </w:t>
      </w:r>
      <w:r>
        <w:rPr>
          <w:sz w:val="20"/>
        </w:rPr>
        <w:t>achieved</w:t>
      </w:r>
      <w:r>
        <w:rPr>
          <w:spacing w:val="-12"/>
          <w:sz w:val="20"/>
        </w:rPr>
        <w:t> </w:t>
      </w:r>
      <w:r>
        <w:rPr>
          <w:sz w:val="20"/>
        </w:rPr>
        <w:t>by</w:t>
      </w:r>
      <w:r>
        <w:rPr>
          <w:spacing w:val="-13"/>
          <w:sz w:val="20"/>
        </w:rPr>
        <w:t> </w:t>
      </w:r>
      <w:r>
        <w:rPr>
          <w:sz w:val="20"/>
        </w:rPr>
        <w:t>a</w:t>
      </w:r>
      <w:r>
        <w:rPr>
          <w:spacing w:val="-12"/>
          <w:sz w:val="20"/>
        </w:rPr>
        <w:t> </w:t>
      </w:r>
      <w:r>
        <w:rPr>
          <w:sz w:val="20"/>
        </w:rPr>
        <w:t>reduction</w:t>
      </w:r>
      <w:r>
        <w:rPr>
          <w:spacing w:val="-13"/>
          <w:sz w:val="20"/>
        </w:rPr>
        <w:t> </w:t>
      </w:r>
      <w:r>
        <w:rPr>
          <w:sz w:val="20"/>
        </w:rPr>
        <w:t>of</w:t>
      </w:r>
      <w:r>
        <w:rPr>
          <w:spacing w:val="-12"/>
          <w:sz w:val="20"/>
        </w:rPr>
        <w:t> </w:t>
      </w:r>
      <w:r>
        <w:rPr>
          <w:sz w:val="20"/>
        </w:rPr>
        <w:t>€112.4 thousand</w:t>
      </w:r>
      <w:r>
        <w:rPr>
          <w:spacing w:val="38"/>
          <w:sz w:val="20"/>
        </w:rPr>
        <w:t> </w:t>
      </w:r>
      <w:r>
        <w:rPr>
          <w:sz w:val="20"/>
        </w:rPr>
        <w:t>proposed</w:t>
      </w:r>
      <w:r>
        <w:rPr>
          <w:spacing w:val="34"/>
          <w:sz w:val="20"/>
        </w:rPr>
        <w:t> </w:t>
      </w:r>
      <w:r>
        <w:rPr>
          <w:sz w:val="20"/>
        </w:rPr>
        <w:t>by</w:t>
      </w:r>
      <w:r>
        <w:rPr>
          <w:spacing w:val="34"/>
          <w:sz w:val="20"/>
        </w:rPr>
        <w:t> </w:t>
      </w:r>
      <w:r>
        <w:rPr>
          <w:sz w:val="20"/>
        </w:rPr>
        <w:t>all</w:t>
      </w:r>
      <w:r>
        <w:rPr>
          <w:spacing w:val="35"/>
          <w:sz w:val="20"/>
        </w:rPr>
        <w:t> </w:t>
      </w:r>
      <w:r>
        <w:rPr>
          <w:sz w:val="20"/>
        </w:rPr>
        <w:t>country</w:t>
      </w:r>
      <w:r>
        <w:rPr>
          <w:spacing w:val="34"/>
          <w:sz w:val="20"/>
        </w:rPr>
        <w:t> </w:t>
      </w:r>
      <w:r>
        <w:rPr>
          <w:sz w:val="20"/>
        </w:rPr>
        <w:t>offices</w:t>
      </w:r>
      <w:r>
        <w:rPr>
          <w:spacing w:val="32"/>
          <w:sz w:val="20"/>
        </w:rPr>
        <w:t> </w:t>
      </w:r>
      <w:r>
        <w:rPr>
          <w:sz w:val="20"/>
        </w:rPr>
        <w:t>except</w:t>
      </w:r>
      <w:r>
        <w:rPr>
          <w:spacing w:val="35"/>
          <w:sz w:val="20"/>
        </w:rPr>
        <w:t> </w:t>
      </w:r>
      <w:r>
        <w:rPr>
          <w:sz w:val="20"/>
        </w:rPr>
        <w:t>for</w:t>
      </w:r>
      <w:r>
        <w:rPr>
          <w:spacing w:val="34"/>
          <w:sz w:val="20"/>
        </w:rPr>
        <w:t> </w:t>
      </w:r>
      <w:r>
        <w:rPr>
          <w:sz w:val="20"/>
        </w:rPr>
        <w:t>the</w:t>
      </w:r>
      <w:r>
        <w:rPr>
          <w:spacing w:val="35"/>
          <w:sz w:val="20"/>
        </w:rPr>
        <w:t> </w:t>
      </w:r>
      <w:r>
        <w:rPr>
          <w:sz w:val="20"/>
        </w:rPr>
        <w:t>country</w:t>
      </w:r>
      <w:r>
        <w:rPr>
          <w:spacing w:val="34"/>
          <w:sz w:val="20"/>
        </w:rPr>
        <w:t> </w:t>
      </w:r>
      <w:r>
        <w:rPr>
          <w:sz w:val="20"/>
        </w:rPr>
        <w:t>office</w:t>
      </w:r>
      <w:r>
        <w:rPr>
          <w:spacing w:val="35"/>
          <w:sz w:val="20"/>
        </w:rPr>
        <w:t> </w:t>
      </w:r>
      <w:r>
        <w:rPr>
          <w:sz w:val="20"/>
        </w:rPr>
        <w:t>in</w:t>
      </w:r>
      <w:r>
        <w:rPr>
          <w:spacing w:val="34"/>
          <w:sz w:val="20"/>
        </w:rPr>
        <w:t> </w:t>
      </w:r>
      <w:r>
        <w:rPr>
          <w:sz w:val="20"/>
        </w:rPr>
        <w:t>Sudan</w:t>
      </w:r>
      <w:r>
        <w:rPr>
          <w:spacing w:val="34"/>
          <w:sz w:val="20"/>
        </w:rPr>
        <w:t> </w:t>
      </w:r>
      <w:r>
        <w:rPr>
          <w:sz w:val="20"/>
        </w:rPr>
        <w:t>which</w:t>
      </w:r>
    </w:p>
    <w:p>
      <w:pPr>
        <w:spacing w:after="0" w:line="240" w:lineRule="auto"/>
        <w:jc w:val="both"/>
        <w:rPr>
          <w:sz w:val="20"/>
        </w:rPr>
        <w:sectPr>
          <w:pgSz w:w="11910" w:h="16840"/>
          <w:pgMar w:header="953" w:footer="940" w:top="1140" w:bottom="1140" w:left="20" w:right="20"/>
        </w:sectPr>
      </w:pPr>
    </w:p>
    <w:p>
      <w:pPr>
        <w:pStyle w:val="BodyText"/>
        <w:spacing w:before="120"/>
        <w:ind w:left="2246" w:right="2240"/>
        <w:jc w:val="both"/>
      </w:pPr>
      <w:r>
        <w:rPr/>
        <w:t>requires</w:t>
      </w:r>
      <w:r>
        <w:rPr>
          <w:spacing w:val="-13"/>
        </w:rPr>
        <w:t> </w:t>
      </w:r>
      <w:r>
        <w:rPr/>
        <w:t>an</w:t>
      </w:r>
      <w:r>
        <w:rPr>
          <w:spacing w:val="-12"/>
        </w:rPr>
        <w:t> </w:t>
      </w:r>
      <w:r>
        <w:rPr/>
        <w:t>amount</w:t>
      </w:r>
      <w:r>
        <w:rPr>
          <w:spacing w:val="-11"/>
        </w:rPr>
        <w:t> </w:t>
      </w:r>
      <w:r>
        <w:rPr/>
        <w:t>of</w:t>
      </w:r>
      <w:r>
        <w:rPr>
          <w:spacing w:val="-12"/>
        </w:rPr>
        <w:t> </w:t>
      </w:r>
      <w:r>
        <w:rPr/>
        <w:t>€12.0</w:t>
      </w:r>
      <w:r>
        <w:rPr>
          <w:spacing w:val="-12"/>
        </w:rPr>
        <w:t> </w:t>
      </w:r>
      <w:r>
        <w:rPr/>
        <w:t>thousand</w:t>
      </w:r>
      <w:r>
        <w:rPr>
          <w:spacing w:val="-12"/>
        </w:rPr>
        <w:t> </w:t>
      </w:r>
      <w:r>
        <w:rPr/>
        <w:t>to</w:t>
      </w:r>
      <w:r>
        <w:rPr>
          <w:spacing w:val="-7"/>
        </w:rPr>
        <w:t> </w:t>
      </w:r>
      <w:r>
        <w:rPr/>
        <w:t>build</w:t>
      </w:r>
      <w:r>
        <w:rPr>
          <w:spacing w:val="-12"/>
        </w:rPr>
        <w:t> </w:t>
      </w:r>
      <w:r>
        <w:rPr/>
        <w:t>the</w:t>
      </w:r>
      <w:r>
        <w:rPr>
          <w:spacing w:val="-10"/>
        </w:rPr>
        <w:t> </w:t>
      </w:r>
      <w:r>
        <w:rPr/>
        <w:t>capacity</w:t>
      </w:r>
      <w:r>
        <w:rPr>
          <w:spacing w:val="-7"/>
        </w:rPr>
        <w:t> </w:t>
      </w:r>
      <w:r>
        <w:rPr/>
        <w:t>of</w:t>
      </w:r>
      <w:r>
        <w:rPr>
          <w:spacing w:val="-12"/>
        </w:rPr>
        <w:t> </w:t>
      </w:r>
      <w:r>
        <w:rPr/>
        <w:t>the</w:t>
      </w:r>
      <w:r>
        <w:rPr>
          <w:spacing w:val="-10"/>
        </w:rPr>
        <w:t> </w:t>
      </w:r>
      <w:r>
        <w:rPr/>
        <w:t>newly</w:t>
      </w:r>
      <w:r>
        <w:rPr>
          <w:spacing w:val="-7"/>
        </w:rPr>
        <w:t> </w:t>
      </w:r>
      <w:r>
        <w:rPr/>
        <w:t>set-up</w:t>
      </w:r>
      <w:r>
        <w:rPr>
          <w:spacing w:val="-12"/>
        </w:rPr>
        <w:t> </w:t>
      </w:r>
      <w:r>
        <w:rPr/>
        <w:t>field</w:t>
      </w:r>
      <w:r>
        <w:rPr>
          <w:spacing w:val="-12"/>
        </w:rPr>
        <w:t> </w:t>
      </w:r>
      <w:r>
        <w:rPr/>
        <w:t>presence. The requested resources are required to purchase consumable items to support day-to-day operations,</w:t>
      </w:r>
      <w:r>
        <w:rPr>
          <w:spacing w:val="-10"/>
        </w:rPr>
        <w:t> </w:t>
      </w:r>
      <w:r>
        <w:rPr/>
        <w:t>including</w:t>
      </w:r>
      <w:r>
        <w:rPr>
          <w:spacing w:val="-5"/>
        </w:rPr>
        <w:t> </w:t>
      </w:r>
      <w:r>
        <w:rPr/>
        <w:t>fuel</w:t>
      </w:r>
      <w:r>
        <w:rPr>
          <w:spacing w:val="-8"/>
        </w:rPr>
        <w:t> </w:t>
      </w:r>
      <w:r>
        <w:rPr/>
        <w:t>for</w:t>
      </w:r>
      <w:r>
        <w:rPr>
          <w:spacing w:val="-9"/>
        </w:rPr>
        <w:t> </w:t>
      </w:r>
      <w:r>
        <w:rPr/>
        <w:t>vehicles</w:t>
      </w:r>
      <w:r>
        <w:rPr>
          <w:spacing w:val="-13"/>
        </w:rPr>
        <w:t> </w:t>
      </w:r>
      <w:r>
        <w:rPr/>
        <w:t>and</w:t>
      </w:r>
      <w:r>
        <w:rPr>
          <w:spacing w:val="-9"/>
        </w:rPr>
        <w:t> </w:t>
      </w:r>
      <w:r>
        <w:rPr/>
        <w:t>generators,</w:t>
      </w:r>
      <w:r>
        <w:rPr>
          <w:spacing w:val="-7"/>
        </w:rPr>
        <w:t> </w:t>
      </w:r>
      <w:r>
        <w:rPr/>
        <w:t>office</w:t>
      </w:r>
      <w:r>
        <w:rPr>
          <w:spacing w:val="-3"/>
        </w:rPr>
        <w:t> </w:t>
      </w:r>
      <w:r>
        <w:rPr/>
        <w:t>supplies,</w:t>
      </w:r>
      <w:r>
        <w:rPr>
          <w:spacing w:val="-12"/>
        </w:rPr>
        <w:t> </w:t>
      </w:r>
      <w:r>
        <w:rPr/>
        <w:t>light</w:t>
      </w:r>
      <w:r>
        <w:rPr>
          <w:spacing w:val="-8"/>
        </w:rPr>
        <w:t> </w:t>
      </w:r>
      <w:r>
        <w:rPr/>
        <w:t>IT</w:t>
      </w:r>
      <w:r>
        <w:rPr>
          <w:spacing w:val="-12"/>
        </w:rPr>
        <w:t> </w:t>
      </w:r>
      <w:r>
        <w:rPr/>
        <w:t>equipment,</w:t>
      </w:r>
      <w:r>
        <w:rPr>
          <w:spacing w:val="-7"/>
        </w:rPr>
        <w:t> </w:t>
      </w:r>
      <w:r>
        <w:rPr/>
        <w:t>air conditioners,</w:t>
      </w:r>
      <w:r>
        <w:rPr>
          <w:spacing w:val="-2"/>
        </w:rPr>
        <w:t> </w:t>
      </w:r>
      <w:r>
        <w:rPr/>
        <w:t>drinking</w:t>
      </w:r>
      <w:r>
        <w:rPr>
          <w:spacing w:val="-5"/>
        </w:rPr>
        <w:t> </w:t>
      </w:r>
      <w:r>
        <w:rPr/>
        <w:t>water,</w:t>
      </w:r>
      <w:r>
        <w:rPr>
          <w:spacing w:val="-7"/>
        </w:rPr>
        <w:t> </w:t>
      </w:r>
      <w:r>
        <w:rPr/>
        <w:t>emergency</w:t>
      </w:r>
      <w:r>
        <w:rPr>
          <w:spacing w:val="-5"/>
        </w:rPr>
        <w:t> </w:t>
      </w:r>
      <w:r>
        <w:rPr/>
        <w:t>rations</w:t>
      </w:r>
      <w:r>
        <w:rPr>
          <w:spacing w:val="-11"/>
        </w:rPr>
        <w:t> </w:t>
      </w:r>
      <w:r>
        <w:rPr/>
        <w:t>and</w:t>
      </w:r>
      <w:r>
        <w:rPr>
          <w:spacing w:val="-5"/>
        </w:rPr>
        <w:t> </w:t>
      </w:r>
      <w:r>
        <w:rPr/>
        <w:t>personal</w:t>
      </w:r>
      <w:r>
        <w:rPr>
          <w:spacing w:val="-3"/>
        </w:rPr>
        <w:t> </w:t>
      </w:r>
      <w:r>
        <w:rPr/>
        <w:t>protection</w:t>
      </w:r>
      <w:r>
        <w:rPr>
          <w:spacing w:val="-5"/>
        </w:rPr>
        <w:t> </w:t>
      </w:r>
      <w:r>
        <w:rPr/>
        <w:t>equipment</w:t>
      </w:r>
      <w:r>
        <w:rPr>
          <w:spacing w:val="-3"/>
        </w:rPr>
        <w:t> </w:t>
      </w:r>
      <w:r>
        <w:rPr/>
        <w:t>(PPE)</w:t>
      </w:r>
      <w:r>
        <w:rPr>
          <w:spacing w:val="-5"/>
        </w:rPr>
        <w:t> </w:t>
      </w:r>
      <w:r>
        <w:rPr/>
        <w:t>to be</w:t>
      </w:r>
      <w:r>
        <w:rPr>
          <w:spacing w:val="-11"/>
        </w:rPr>
        <w:t> </w:t>
      </w:r>
      <w:r>
        <w:rPr/>
        <w:t>used</w:t>
      </w:r>
      <w:r>
        <w:rPr>
          <w:spacing w:val="-13"/>
        </w:rPr>
        <w:t> </w:t>
      </w:r>
      <w:r>
        <w:rPr/>
        <w:t>by</w:t>
      </w:r>
      <w:r>
        <w:rPr>
          <w:spacing w:val="-8"/>
        </w:rPr>
        <w:t> </w:t>
      </w:r>
      <w:r>
        <w:rPr/>
        <w:t>field</w:t>
      </w:r>
      <w:r>
        <w:rPr>
          <w:spacing w:val="-9"/>
        </w:rPr>
        <w:t> </w:t>
      </w:r>
      <w:r>
        <w:rPr/>
        <w:t>staff.</w:t>
      </w:r>
      <w:r>
        <w:rPr>
          <w:spacing w:val="-7"/>
        </w:rPr>
        <w:t> </w:t>
      </w:r>
      <w:r>
        <w:rPr/>
        <w:t>The</w:t>
      </w:r>
      <w:r>
        <w:rPr>
          <w:spacing w:val="-8"/>
        </w:rPr>
        <w:t> </w:t>
      </w:r>
      <w:r>
        <w:rPr/>
        <w:t>proposed</w:t>
      </w:r>
      <w:r>
        <w:rPr>
          <w:spacing w:val="-13"/>
        </w:rPr>
        <w:t> </w:t>
      </w:r>
      <w:r>
        <w:rPr/>
        <w:t>reduction</w:t>
      </w:r>
      <w:r>
        <w:rPr>
          <w:spacing w:val="-8"/>
        </w:rPr>
        <w:t> </w:t>
      </w:r>
      <w:r>
        <w:rPr/>
        <w:t>of</w:t>
      </w:r>
      <w:r>
        <w:rPr>
          <w:spacing w:val="-9"/>
        </w:rPr>
        <w:t> </w:t>
      </w:r>
      <w:r>
        <w:rPr/>
        <w:t>€112.4</w:t>
      </w:r>
      <w:r>
        <w:rPr>
          <w:spacing w:val="-13"/>
        </w:rPr>
        <w:t> </w:t>
      </w:r>
      <w:r>
        <w:rPr/>
        <w:t>thousand</w:t>
      </w:r>
      <w:r>
        <w:rPr>
          <w:spacing w:val="-8"/>
        </w:rPr>
        <w:t> </w:t>
      </w:r>
      <w:r>
        <w:rPr/>
        <w:t>results</w:t>
      </w:r>
      <w:r>
        <w:rPr>
          <w:spacing w:val="-13"/>
        </w:rPr>
        <w:t> </w:t>
      </w:r>
      <w:r>
        <w:rPr/>
        <w:t>from</w:t>
      </w:r>
      <w:r>
        <w:rPr>
          <w:spacing w:val="-11"/>
        </w:rPr>
        <w:t> </w:t>
      </w:r>
      <w:r>
        <w:rPr/>
        <w:t>the</w:t>
      </w:r>
      <w:r>
        <w:rPr>
          <w:spacing w:val="-8"/>
        </w:rPr>
        <w:t> </w:t>
      </w:r>
      <w:r>
        <w:rPr/>
        <w:t>decreasing number</w:t>
      </w:r>
      <w:r>
        <w:rPr>
          <w:spacing w:val="40"/>
        </w:rPr>
        <w:t> </w:t>
      </w:r>
      <w:r>
        <w:rPr/>
        <w:t>of</w:t>
      </w:r>
      <w:r>
        <w:rPr>
          <w:spacing w:val="40"/>
        </w:rPr>
        <w:t> </w:t>
      </w:r>
      <w:r>
        <w:rPr/>
        <w:t>staff</w:t>
      </w:r>
      <w:r>
        <w:rPr>
          <w:spacing w:val="40"/>
        </w:rPr>
        <w:t> </w:t>
      </w:r>
      <w:r>
        <w:rPr/>
        <w:t>in</w:t>
      </w:r>
      <w:r>
        <w:rPr>
          <w:spacing w:val="40"/>
        </w:rPr>
        <w:t> </w:t>
      </w:r>
      <w:r>
        <w:rPr/>
        <w:t>the</w:t>
      </w:r>
      <w:r>
        <w:rPr>
          <w:spacing w:val="40"/>
        </w:rPr>
        <w:t> </w:t>
      </w:r>
      <w:r>
        <w:rPr/>
        <w:t>country</w:t>
      </w:r>
      <w:r>
        <w:rPr>
          <w:spacing w:val="40"/>
        </w:rPr>
        <w:t> </w:t>
      </w:r>
      <w:r>
        <w:rPr/>
        <w:t>offices</w:t>
      </w:r>
      <w:r>
        <w:rPr>
          <w:spacing w:val="40"/>
        </w:rPr>
        <w:t> </w:t>
      </w:r>
      <w:r>
        <w:rPr/>
        <w:t>in</w:t>
      </w:r>
      <w:r>
        <w:rPr>
          <w:spacing w:val="40"/>
        </w:rPr>
        <w:t> </w:t>
      </w:r>
      <w:r>
        <w:rPr/>
        <w:t>Uganda,</w:t>
      </w:r>
      <w:r>
        <w:rPr>
          <w:spacing w:val="40"/>
        </w:rPr>
        <w:t> </w:t>
      </w:r>
      <w:r>
        <w:rPr/>
        <w:t>the</w:t>
      </w:r>
      <w:r>
        <w:rPr>
          <w:spacing w:val="40"/>
        </w:rPr>
        <w:t> </w:t>
      </w:r>
      <w:r>
        <w:rPr/>
        <w:t>DRC</w:t>
      </w:r>
      <w:r>
        <w:rPr>
          <w:spacing w:val="40"/>
        </w:rPr>
        <w:t> </w:t>
      </w:r>
      <w:r>
        <w:rPr/>
        <w:t>(Kinshasa</w:t>
      </w:r>
      <w:r>
        <w:rPr>
          <w:spacing w:val="40"/>
        </w:rPr>
        <w:t> </w:t>
      </w:r>
      <w:r>
        <w:rPr/>
        <w:t>and</w:t>
      </w:r>
      <w:r>
        <w:rPr>
          <w:spacing w:val="40"/>
        </w:rPr>
        <w:t> </w:t>
      </w:r>
      <w:r>
        <w:rPr/>
        <w:t>Bunia), Côte d’Ivoire, Mali and Georgia.</w:t>
      </w:r>
    </w:p>
    <w:p>
      <w:pPr>
        <w:pStyle w:val="ListParagraph"/>
        <w:numPr>
          <w:ilvl w:val="0"/>
          <w:numId w:val="4"/>
        </w:numPr>
        <w:tabs>
          <w:tab w:pos="2967" w:val="left" w:leader="none"/>
        </w:tabs>
        <w:spacing w:line="240" w:lineRule="auto" w:before="124" w:after="0"/>
        <w:ind w:left="2246" w:right="2238" w:firstLine="0"/>
        <w:jc w:val="both"/>
        <w:rPr>
          <w:sz w:val="20"/>
        </w:rPr>
      </w:pPr>
      <w:r>
        <w:rPr>
          <w:sz w:val="20"/>
        </w:rPr>
        <w:t>The</w:t>
      </w:r>
      <w:r>
        <w:rPr>
          <w:spacing w:val="-13"/>
          <w:sz w:val="20"/>
        </w:rPr>
        <w:t> </w:t>
      </w:r>
      <w:r>
        <w:rPr>
          <w:sz w:val="20"/>
        </w:rPr>
        <w:t>resources</w:t>
      </w:r>
      <w:r>
        <w:rPr>
          <w:spacing w:val="-10"/>
          <w:sz w:val="20"/>
        </w:rPr>
        <w:t> </w:t>
      </w:r>
      <w:r>
        <w:rPr>
          <w:sz w:val="20"/>
        </w:rPr>
        <w:t>requested</w:t>
      </w:r>
      <w:r>
        <w:rPr>
          <w:spacing w:val="-13"/>
          <w:sz w:val="20"/>
        </w:rPr>
        <w:t> </w:t>
      </w:r>
      <w:r>
        <w:rPr>
          <w:sz w:val="20"/>
        </w:rPr>
        <w:t>by</w:t>
      </w:r>
      <w:r>
        <w:rPr>
          <w:spacing w:val="-12"/>
          <w:sz w:val="20"/>
        </w:rPr>
        <w:t> </w:t>
      </w:r>
      <w:r>
        <w:rPr>
          <w:sz w:val="20"/>
        </w:rPr>
        <w:t>EOSS,</w:t>
      </w:r>
      <w:r>
        <w:rPr>
          <w:spacing w:val="-6"/>
          <w:sz w:val="20"/>
        </w:rPr>
        <w:t> </w:t>
      </w:r>
      <w:r>
        <w:rPr>
          <w:sz w:val="20"/>
        </w:rPr>
        <w:t>VWS</w:t>
      </w:r>
      <w:r>
        <w:rPr>
          <w:spacing w:val="-13"/>
          <w:sz w:val="20"/>
        </w:rPr>
        <w:t> </w:t>
      </w:r>
      <w:r>
        <w:rPr>
          <w:sz w:val="20"/>
        </w:rPr>
        <w:t>and</w:t>
      </w:r>
      <w:r>
        <w:rPr>
          <w:spacing w:val="-8"/>
          <w:sz w:val="20"/>
        </w:rPr>
        <w:t> </w:t>
      </w:r>
      <w:r>
        <w:rPr>
          <w:sz w:val="20"/>
        </w:rPr>
        <w:t>PIOS</w:t>
      </w:r>
      <w:r>
        <w:rPr>
          <w:spacing w:val="-10"/>
          <w:sz w:val="20"/>
        </w:rPr>
        <w:t> </w:t>
      </w:r>
      <w:r>
        <w:rPr>
          <w:sz w:val="20"/>
        </w:rPr>
        <w:t>remain</w:t>
      </w:r>
      <w:r>
        <w:rPr>
          <w:spacing w:val="-13"/>
          <w:sz w:val="20"/>
        </w:rPr>
        <w:t> </w:t>
      </w:r>
      <w:r>
        <w:rPr>
          <w:sz w:val="20"/>
        </w:rPr>
        <w:t>at</w:t>
      </w:r>
      <w:r>
        <w:rPr>
          <w:spacing w:val="-12"/>
          <w:sz w:val="20"/>
        </w:rPr>
        <w:t> </w:t>
      </w:r>
      <w:r>
        <w:rPr>
          <w:sz w:val="20"/>
        </w:rPr>
        <w:t>the</w:t>
      </w:r>
      <w:r>
        <w:rPr>
          <w:spacing w:val="-7"/>
          <w:sz w:val="20"/>
        </w:rPr>
        <w:t> </w:t>
      </w:r>
      <w:r>
        <w:rPr>
          <w:sz w:val="20"/>
        </w:rPr>
        <w:t>same</w:t>
      </w:r>
      <w:r>
        <w:rPr>
          <w:spacing w:val="-11"/>
          <w:sz w:val="20"/>
        </w:rPr>
        <w:t> </w:t>
      </w:r>
      <w:r>
        <w:rPr>
          <w:sz w:val="20"/>
        </w:rPr>
        <w:t>level</w:t>
      </w:r>
      <w:r>
        <w:rPr>
          <w:spacing w:val="-12"/>
          <w:sz w:val="20"/>
        </w:rPr>
        <w:t> </w:t>
      </w:r>
      <w:r>
        <w:rPr>
          <w:sz w:val="20"/>
        </w:rPr>
        <w:t>as</w:t>
      </w:r>
      <w:r>
        <w:rPr>
          <w:spacing w:val="-10"/>
          <w:sz w:val="20"/>
        </w:rPr>
        <w:t> </w:t>
      </w:r>
      <w:r>
        <w:rPr>
          <w:sz w:val="20"/>
        </w:rPr>
        <w:t>those approved</w:t>
      </w:r>
      <w:r>
        <w:rPr>
          <w:spacing w:val="-8"/>
          <w:sz w:val="20"/>
        </w:rPr>
        <w:t> </w:t>
      </w:r>
      <w:r>
        <w:rPr>
          <w:sz w:val="20"/>
        </w:rPr>
        <w:t>for</w:t>
      </w:r>
      <w:r>
        <w:rPr>
          <w:spacing w:val="-13"/>
          <w:sz w:val="20"/>
        </w:rPr>
        <w:t> </w:t>
      </w:r>
      <w:r>
        <w:rPr>
          <w:sz w:val="20"/>
        </w:rPr>
        <w:t>2022,</w:t>
      </w:r>
      <w:r>
        <w:rPr>
          <w:spacing w:val="-6"/>
          <w:sz w:val="20"/>
        </w:rPr>
        <w:t> </w:t>
      </w:r>
      <w:r>
        <w:rPr>
          <w:sz w:val="20"/>
        </w:rPr>
        <w:t>which</w:t>
      </w:r>
      <w:r>
        <w:rPr>
          <w:spacing w:val="-8"/>
          <w:sz w:val="20"/>
        </w:rPr>
        <w:t> </w:t>
      </w:r>
      <w:r>
        <w:rPr>
          <w:sz w:val="20"/>
        </w:rPr>
        <w:t>will</w:t>
      </w:r>
      <w:r>
        <w:rPr>
          <w:spacing w:val="-12"/>
          <w:sz w:val="20"/>
        </w:rPr>
        <w:t> </w:t>
      </w:r>
      <w:r>
        <w:rPr>
          <w:sz w:val="20"/>
        </w:rPr>
        <w:t>cover</w:t>
      </w:r>
      <w:r>
        <w:rPr>
          <w:spacing w:val="-8"/>
          <w:sz w:val="20"/>
        </w:rPr>
        <w:t> </w:t>
      </w:r>
      <w:r>
        <w:rPr>
          <w:sz w:val="20"/>
        </w:rPr>
        <w:t>(1)</w:t>
      </w:r>
      <w:r>
        <w:rPr>
          <w:spacing w:val="-13"/>
          <w:sz w:val="20"/>
        </w:rPr>
        <w:t> </w:t>
      </w:r>
      <w:r>
        <w:rPr>
          <w:sz w:val="20"/>
        </w:rPr>
        <w:t>the</w:t>
      </w:r>
      <w:r>
        <w:rPr>
          <w:spacing w:val="-6"/>
          <w:sz w:val="20"/>
        </w:rPr>
        <w:t> </w:t>
      </w:r>
      <w:r>
        <w:rPr>
          <w:sz w:val="20"/>
        </w:rPr>
        <w:t>subscription</w:t>
      </w:r>
      <w:r>
        <w:rPr>
          <w:spacing w:val="-13"/>
          <w:sz w:val="20"/>
        </w:rPr>
        <w:t> </w:t>
      </w:r>
      <w:r>
        <w:rPr>
          <w:sz w:val="20"/>
        </w:rPr>
        <w:t>cost</w:t>
      </w:r>
      <w:r>
        <w:rPr>
          <w:spacing w:val="-11"/>
          <w:sz w:val="20"/>
        </w:rPr>
        <w:t> </w:t>
      </w:r>
      <w:r>
        <w:rPr>
          <w:sz w:val="20"/>
        </w:rPr>
        <w:t>of</w:t>
      </w:r>
      <w:r>
        <w:rPr>
          <w:spacing w:val="-8"/>
          <w:sz w:val="20"/>
        </w:rPr>
        <w:t> </w:t>
      </w:r>
      <w:r>
        <w:rPr>
          <w:sz w:val="20"/>
        </w:rPr>
        <w:t>the</w:t>
      </w:r>
      <w:r>
        <w:rPr>
          <w:spacing w:val="-7"/>
          <w:sz w:val="20"/>
        </w:rPr>
        <w:t> </w:t>
      </w:r>
      <w:r>
        <w:rPr>
          <w:sz w:val="20"/>
        </w:rPr>
        <w:t>VWS</w:t>
      </w:r>
      <w:r>
        <w:rPr>
          <w:spacing w:val="-10"/>
          <w:sz w:val="20"/>
        </w:rPr>
        <w:t> </w:t>
      </w:r>
      <w:r>
        <w:rPr>
          <w:sz w:val="20"/>
        </w:rPr>
        <w:t>Case</w:t>
      </w:r>
      <w:r>
        <w:rPr>
          <w:spacing w:val="-7"/>
          <w:sz w:val="20"/>
        </w:rPr>
        <w:t> </w:t>
      </w:r>
      <w:r>
        <w:rPr>
          <w:sz w:val="20"/>
        </w:rPr>
        <w:t>Development Team for existing contracts and throughout 2023 as well as VWS’s portion of the licence cost of Statistical Product and Service Solutions software maintained by IMSS for analysis in social science and (2) the</w:t>
      </w:r>
      <w:r>
        <w:rPr>
          <w:spacing w:val="-3"/>
          <w:sz w:val="20"/>
        </w:rPr>
        <w:t> </w:t>
      </w:r>
      <w:r>
        <w:rPr>
          <w:sz w:val="20"/>
        </w:rPr>
        <w:t>continued Court-wide commercial analysis</w:t>
      </w:r>
      <w:r>
        <w:rPr>
          <w:spacing w:val="-1"/>
          <w:sz w:val="20"/>
        </w:rPr>
        <w:t> </w:t>
      </w:r>
      <w:r>
        <w:rPr>
          <w:sz w:val="20"/>
        </w:rPr>
        <w:t>subscriptions</w:t>
      </w:r>
      <w:r>
        <w:rPr>
          <w:spacing w:val="-1"/>
          <w:sz w:val="20"/>
        </w:rPr>
        <w:t> </w:t>
      </w:r>
      <w:r>
        <w:rPr>
          <w:sz w:val="20"/>
        </w:rPr>
        <w:t>(BBC Monitoring, The Economist and Africa Intelligence online), and a new additional requirement of Experian’s International Identity Verification Product Sheet/Credit Reports in</w:t>
      </w:r>
      <w:r>
        <w:rPr>
          <w:spacing w:val="80"/>
          <w:sz w:val="20"/>
        </w:rPr>
        <w:t> </w:t>
      </w:r>
      <w:r>
        <w:rPr>
          <w:sz w:val="20"/>
        </w:rPr>
        <w:t>support</w:t>
      </w:r>
      <w:r>
        <w:rPr>
          <w:spacing w:val="80"/>
          <w:sz w:val="20"/>
        </w:rPr>
        <w:t> </w:t>
      </w:r>
      <w:r>
        <w:rPr>
          <w:sz w:val="20"/>
        </w:rPr>
        <w:t>of</w:t>
      </w:r>
      <w:r>
        <w:rPr>
          <w:spacing w:val="80"/>
          <w:sz w:val="20"/>
        </w:rPr>
        <w:t> </w:t>
      </w:r>
      <w:r>
        <w:rPr>
          <w:sz w:val="20"/>
        </w:rPr>
        <w:t>freezing</w:t>
      </w:r>
      <w:r>
        <w:rPr>
          <w:spacing w:val="80"/>
          <w:sz w:val="20"/>
        </w:rPr>
        <w:t> </w:t>
      </w:r>
      <w:r>
        <w:rPr>
          <w:sz w:val="20"/>
        </w:rPr>
        <w:t>of</w:t>
      </w:r>
      <w:r>
        <w:rPr>
          <w:spacing w:val="80"/>
          <w:sz w:val="20"/>
        </w:rPr>
        <w:t> </w:t>
      </w:r>
      <w:r>
        <w:rPr>
          <w:sz w:val="20"/>
        </w:rPr>
        <w:t>assets</w:t>
      </w:r>
      <w:r>
        <w:rPr>
          <w:spacing w:val="80"/>
          <w:sz w:val="20"/>
        </w:rPr>
        <w:t> </w:t>
      </w:r>
      <w:r>
        <w:rPr>
          <w:sz w:val="20"/>
        </w:rPr>
        <w:t>management.</w:t>
      </w:r>
      <w:r>
        <w:rPr>
          <w:spacing w:val="80"/>
          <w:sz w:val="20"/>
        </w:rPr>
        <w:t> </w:t>
      </w:r>
      <w:r>
        <w:rPr>
          <w:sz w:val="20"/>
        </w:rPr>
        <w:t>The</w:t>
      </w:r>
      <w:r>
        <w:rPr>
          <w:spacing w:val="80"/>
          <w:sz w:val="20"/>
        </w:rPr>
        <w:t> </w:t>
      </w:r>
      <w:r>
        <w:rPr>
          <w:sz w:val="20"/>
        </w:rPr>
        <w:t>amount</w:t>
      </w:r>
      <w:r>
        <w:rPr>
          <w:spacing w:val="80"/>
          <w:sz w:val="20"/>
        </w:rPr>
        <w:t> </w:t>
      </w:r>
      <w:r>
        <w:rPr>
          <w:sz w:val="20"/>
        </w:rPr>
        <w:t>requested</w:t>
      </w:r>
      <w:r>
        <w:rPr>
          <w:spacing w:val="80"/>
          <w:sz w:val="20"/>
        </w:rPr>
        <w:t> </w:t>
      </w:r>
      <w:r>
        <w:rPr>
          <w:sz w:val="20"/>
        </w:rPr>
        <w:t>for</w:t>
      </w:r>
      <w:r>
        <w:rPr>
          <w:spacing w:val="80"/>
          <w:sz w:val="20"/>
        </w:rPr>
        <w:t> </w:t>
      </w:r>
      <w:r>
        <w:rPr>
          <w:sz w:val="20"/>
        </w:rPr>
        <w:t>PIOS (€12.0</w:t>
      </w:r>
      <w:r>
        <w:rPr>
          <w:spacing w:val="-2"/>
          <w:sz w:val="20"/>
        </w:rPr>
        <w:t> </w:t>
      </w:r>
      <w:r>
        <w:rPr>
          <w:sz w:val="20"/>
        </w:rPr>
        <w:t>thousand)</w:t>
      </w:r>
      <w:r>
        <w:rPr>
          <w:spacing w:val="-3"/>
          <w:sz w:val="20"/>
        </w:rPr>
        <w:t> </w:t>
      </w:r>
      <w:r>
        <w:rPr>
          <w:sz w:val="20"/>
        </w:rPr>
        <w:t>is</w:t>
      </w:r>
      <w:r>
        <w:rPr>
          <w:spacing w:val="-4"/>
          <w:sz w:val="20"/>
        </w:rPr>
        <w:t> </w:t>
      </w:r>
      <w:r>
        <w:rPr>
          <w:sz w:val="20"/>
        </w:rPr>
        <w:t>recurrent</w:t>
      </w:r>
      <w:r>
        <w:rPr>
          <w:spacing w:val="-6"/>
          <w:sz w:val="20"/>
        </w:rPr>
        <w:t> </w:t>
      </w:r>
      <w:r>
        <w:rPr>
          <w:sz w:val="20"/>
        </w:rPr>
        <w:t>and</w:t>
      </w:r>
      <w:r>
        <w:rPr>
          <w:spacing w:val="-3"/>
          <w:sz w:val="20"/>
        </w:rPr>
        <w:t> </w:t>
      </w:r>
      <w:r>
        <w:rPr>
          <w:sz w:val="20"/>
        </w:rPr>
        <w:t>has</w:t>
      </w:r>
      <w:r>
        <w:rPr>
          <w:spacing w:val="-4"/>
          <w:sz w:val="20"/>
        </w:rPr>
        <w:t> </w:t>
      </w:r>
      <w:r>
        <w:rPr>
          <w:sz w:val="20"/>
        </w:rPr>
        <w:t>increased</w:t>
      </w:r>
      <w:r>
        <w:rPr>
          <w:spacing w:val="-7"/>
          <w:sz w:val="20"/>
        </w:rPr>
        <w:t> </w:t>
      </w:r>
      <w:r>
        <w:rPr>
          <w:sz w:val="20"/>
        </w:rPr>
        <w:t>by</w:t>
      </w:r>
      <w:r>
        <w:rPr>
          <w:spacing w:val="-3"/>
          <w:sz w:val="20"/>
        </w:rPr>
        <w:t> </w:t>
      </w:r>
      <w:r>
        <w:rPr>
          <w:sz w:val="20"/>
        </w:rPr>
        <w:t>€2.0</w:t>
      </w:r>
      <w:r>
        <w:rPr>
          <w:spacing w:val="-7"/>
          <w:sz w:val="20"/>
        </w:rPr>
        <w:t> </w:t>
      </w:r>
      <w:r>
        <w:rPr>
          <w:sz w:val="20"/>
        </w:rPr>
        <w:t>thousand</w:t>
      </w:r>
      <w:r>
        <w:rPr>
          <w:spacing w:val="-3"/>
          <w:sz w:val="20"/>
        </w:rPr>
        <w:t> </w:t>
      </w:r>
      <w:r>
        <w:rPr>
          <w:sz w:val="20"/>
        </w:rPr>
        <w:t>(20.0</w:t>
      </w:r>
      <w:r>
        <w:rPr>
          <w:spacing w:val="-7"/>
          <w:sz w:val="20"/>
        </w:rPr>
        <w:t> </w:t>
      </w:r>
      <w:r>
        <w:rPr>
          <w:sz w:val="20"/>
        </w:rPr>
        <w:t>per</w:t>
      </w:r>
      <w:r>
        <w:rPr>
          <w:spacing w:val="-7"/>
          <w:sz w:val="20"/>
        </w:rPr>
        <w:t> </w:t>
      </w:r>
      <w:r>
        <w:rPr>
          <w:sz w:val="20"/>
        </w:rPr>
        <w:t>cent)</w:t>
      </w:r>
      <w:r>
        <w:rPr>
          <w:spacing w:val="-7"/>
          <w:sz w:val="20"/>
        </w:rPr>
        <w:t> </w:t>
      </w:r>
      <w:r>
        <w:rPr>
          <w:sz w:val="20"/>
        </w:rPr>
        <w:t>to</w:t>
      </w:r>
      <w:r>
        <w:rPr>
          <w:spacing w:val="-7"/>
          <w:sz w:val="20"/>
        </w:rPr>
        <w:t> </w:t>
      </w:r>
      <w:r>
        <w:rPr>
          <w:sz w:val="20"/>
        </w:rPr>
        <w:t>cover</w:t>
      </w:r>
      <w:r>
        <w:rPr>
          <w:spacing w:val="-3"/>
          <w:sz w:val="20"/>
        </w:rPr>
        <w:t> </w:t>
      </w:r>
      <w:r>
        <w:rPr>
          <w:sz w:val="20"/>
        </w:rPr>
        <w:t>the renewal of software and licences, memory cards required for publication design and social media visuals, and camera memory cards used to create the visuals.</w:t>
      </w:r>
    </w:p>
    <w:p>
      <w:pPr>
        <w:pStyle w:val="BodyText"/>
        <w:spacing w:before="10"/>
      </w:pPr>
    </w:p>
    <w:p>
      <w:pPr>
        <w:tabs>
          <w:tab w:pos="8383" w:val="left" w:leader="none"/>
        </w:tabs>
        <w:spacing w:before="0"/>
        <w:ind w:left="2246" w:right="0" w:firstLine="0"/>
        <w:jc w:val="both"/>
        <w:rPr>
          <w:i/>
          <w:sz w:val="20"/>
        </w:rPr>
      </w:pPr>
      <w:r>
        <w:rPr>
          <w:i/>
          <w:sz w:val="20"/>
        </w:rPr>
        <w:t>Furniture</w:t>
      </w:r>
      <w:r>
        <w:rPr>
          <w:i/>
          <w:spacing w:val="-5"/>
          <w:sz w:val="20"/>
        </w:rPr>
        <w:t> </w:t>
      </w:r>
      <w:r>
        <w:rPr>
          <w:i/>
          <w:sz w:val="20"/>
        </w:rPr>
        <w:t>and</w:t>
      </w:r>
      <w:r>
        <w:rPr>
          <w:i/>
          <w:spacing w:val="-5"/>
          <w:sz w:val="20"/>
        </w:rPr>
        <w:t> </w:t>
      </w:r>
      <w:r>
        <w:rPr>
          <w:i/>
          <w:spacing w:val="-2"/>
          <w:sz w:val="20"/>
        </w:rPr>
        <w:t>equipment</w:t>
      </w:r>
      <w:r>
        <w:rPr>
          <w:i/>
          <w:sz w:val="20"/>
        </w:rPr>
        <w:tab/>
        <w:t>€58.4</w:t>
      </w:r>
      <w:r>
        <w:rPr>
          <w:i/>
          <w:spacing w:val="-3"/>
          <w:sz w:val="20"/>
        </w:rPr>
        <w:t> </w:t>
      </w:r>
      <w:r>
        <w:rPr>
          <w:i/>
          <w:spacing w:val="-2"/>
          <w:sz w:val="20"/>
        </w:rPr>
        <w:t>thousand</w:t>
      </w:r>
    </w:p>
    <w:p>
      <w:pPr>
        <w:pStyle w:val="BodyText"/>
        <w:spacing w:before="11"/>
        <w:rPr>
          <w:i/>
        </w:rPr>
      </w:pPr>
    </w:p>
    <w:p>
      <w:pPr>
        <w:pStyle w:val="ListParagraph"/>
        <w:numPr>
          <w:ilvl w:val="0"/>
          <w:numId w:val="4"/>
        </w:numPr>
        <w:tabs>
          <w:tab w:pos="2967" w:val="left" w:leader="none"/>
        </w:tabs>
        <w:spacing w:line="240" w:lineRule="auto" w:before="0" w:after="0"/>
        <w:ind w:left="2246" w:right="2241" w:firstLine="0"/>
        <w:jc w:val="both"/>
        <w:rPr>
          <w:sz w:val="20"/>
        </w:rPr>
      </w:pPr>
      <w:r>
        <w:rPr>
          <w:sz w:val="20"/>
        </w:rPr>
        <w:t>The</w:t>
      </w:r>
      <w:r>
        <w:rPr>
          <w:spacing w:val="80"/>
          <w:sz w:val="20"/>
        </w:rPr>
        <w:t> </w:t>
      </w:r>
      <w:r>
        <w:rPr>
          <w:sz w:val="20"/>
        </w:rPr>
        <w:t>proposed</w:t>
      </w:r>
      <w:r>
        <w:rPr>
          <w:spacing w:val="80"/>
          <w:sz w:val="20"/>
        </w:rPr>
        <w:t> </w:t>
      </w:r>
      <w:r>
        <w:rPr>
          <w:sz w:val="20"/>
        </w:rPr>
        <w:t>budget</w:t>
      </w:r>
      <w:r>
        <w:rPr>
          <w:spacing w:val="80"/>
          <w:sz w:val="20"/>
        </w:rPr>
        <w:t> </w:t>
      </w:r>
      <w:r>
        <w:rPr>
          <w:sz w:val="20"/>
        </w:rPr>
        <w:t>for</w:t>
      </w:r>
      <w:r>
        <w:rPr>
          <w:spacing w:val="80"/>
          <w:sz w:val="20"/>
        </w:rPr>
        <w:t> </w:t>
      </w:r>
      <w:r>
        <w:rPr>
          <w:sz w:val="20"/>
        </w:rPr>
        <w:t>furniture</w:t>
      </w:r>
      <w:r>
        <w:rPr>
          <w:spacing w:val="80"/>
          <w:sz w:val="20"/>
        </w:rPr>
        <w:t> </w:t>
      </w:r>
      <w:r>
        <w:rPr>
          <w:sz w:val="20"/>
        </w:rPr>
        <w:t>and</w:t>
      </w:r>
      <w:r>
        <w:rPr>
          <w:spacing w:val="80"/>
          <w:sz w:val="20"/>
        </w:rPr>
        <w:t> </w:t>
      </w:r>
      <w:r>
        <w:rPr>
          <w:sz w:val="20"/>
        </w:rPr>
        <w:t>equipment</w:t>
      </w:r>
      <w:r>
        <w:rPr>
          <w:spacing w:val="80"/>
          <w:sz w:val="20"/>
        </w:rPr>
        <w:t> </w:t>
      </w:r>
      <w:r>
        <w:rPr>
          <w:sz w:val="20"/>
        </w:rPr>
        <w:t>represents</w:t>
      </w:r>
      <w:r>
        <w:rPr>
          <w:spacing w:val="80"/>
          <w:sz w:val="20"/>
        </w:rPr>
        <w:t> </w:t>
      </w:r>
      <w:r>
        <w:rPr>
          <w:sz w:val="20"/>
        </w:rPr>
        <w:t>an</w:t>
      </w:r>
      <w:r>
        <w:rPr>
          <w:spacing w:val="80"/>
          <w:sz w:val="20"/>
        </w:rPr>
        <w:t> </w:t>
      </w:r>
      <w:r>
        <w:rPr>
          <w:sz w:val="20"/>
        </w:rPr>
        <w:t>increase</w:t>
      </w:r>
      <w:r>
        <w:rPr>
          <w:spacing w:val="40"/>
          <w:sz w:val="20"/>
        </w:rPr>
        <w:t> </w:t>
      </w:r>
      <w:r>
        <w:rPr>
          <w:sz w:val="20"/>
        </w:rPr>
        <w:t>of €30.3</w:t>
      </w:r>
      <w:r>
        <w:rPr>
          <w:spacing w:val="-2"/>
          <w:sz w:val="20"/>
        </w:rPr>
        <w:t> </w:t>
      </w:r>
      <w:r>
        <w:rPr>
          <w:sz w:val="20"/>
        </w:rPr>
        <w:t>thousand</w:t>
      </w:r>
      <w:r>
        <w:rPr>
          <w:spacing w:val="-12"/>
          <w:sz w:val="20"/>
        </w:rPr>
        <w:t> </w:t>
      </w:r>
      <w:r>
        <w:rPr>
          <w:sz w:val="20"/>
        </w:rPr>
        <w:t>(107.8</w:t>
      </w:r>
      <w:r>
        <w:rPr>
          <w:spacing w:val="-12"/>
          <w:sz w:val="20"/>
        </w:rPr>
        <w:t> </w:t>
      </w:r>
      <w:r>
        <w:rPr>
          <w:sz w:val="20"/>
        </w:rPr>
        <w:t>per</w:t>
      </w:r>
      <w:r>
        <w:rPr>
          <w:spacing w:val="-12"/>
          <w:sz w:val="20"/>
        </w:rPr>
        <w:t> </w:t>
      </w:r>
      <w:r>
        <w:rPr>
          <w:sz w:val="20"/>
        </w:rPr>
        <w:t>cent)</w:t>
      </w:r>
      <w:r>
        <w:rPr>
          <w:spacing w:val="-12"/>
          <w:sz w:val="20"/>
        </w:rPr>
        <w:t> </w:t>
      </w:r>
      <w:r>
        <w:rPr>
          <w:sz w:val="20"/>
        </w:rPr>
        <w:t>as</w:t>
      </w:r>
      <w:r>
        <w:rPr>
          <w:spacing w:val="-13"/>
          <w:sz w:val="20"/>
        </w:rPr>
        <w:t> </w:t>
      </w:r>
      <w:r>
        <w:rPr>
          <w:sz w:val="20"/>
        </w:rPr>
        <w:t>compared</w:t>
      </w:r>
      <w:r>
        <w:rPr>
          <w:spacing w:val="-7"/>
          <w:sz w:val="20"/>
        </w:rPr>
        <w:t> </w:t>
      </w:r>
      <w:r>
        <w:rPr>
          <w:sz w:val="20"/>
        </w:rPr>
        <w:t>with</w:t>
      </w:r>
      <w:r>
        <w:rPr>
          <w:spacing w:val="-12"/>
          <w:sz w:val="20"/>
        </w:rPr>
        <w:t> </w:t>
      </w:r>
      <w:r>
        <w:rPr>
          <w:sz w:val="20"/>
        </w:rPr>
        <w:t>the</w:t>
      </w:r>
      <w:r>
        <w:rPr>
          <w:spacing w:val="-6"/>
          <w:sz w:val="20"/>
        </w:rPr>
        <w:t> </w:t>
      </w:r>
      <w:r>
        <w:rPr>
          <w:sz w:val="20"/>
        </w:rPr>
        <w:t>2022</w:t>
      </w:r>
      <w:r>
        <w:rPr>
          <w:spacing w:val="-12"/>
          <w:sz w:val="20"/>
        </w:rPr>
        <w:t> </w:t>
      </w:r>
      <w:r>
        <w:rPr>
          <w:sz w:val="20"/>
        </w:rPr>
        <w:t>approved</w:t>
      </w:r>
      <w:r>
        <w:rPr>
          <w:spacing w:val="-12"/>
          <w:sz w:val="20"/>
        </w:rPr>
        <w:t> </w:t>
      </w:r>
      <w:r>
        <w:rPr>
          <w:sz w:val="20"/>
        </w:rPr>
        <w:t>budget.</w:t>
      </w:r>
      <w:r>
        <w:rPr>
          <w:spacing w:val="-10"/>
          <w:sz w:val="20"/>
        </w:rPr>
        <w:t> </w:t>
      </w:r>
      <w:r>
        <w:rPr>
          <w:sz w:val="20"/>
        </w:rPr>
        <w:t>The</w:t>
      </w:r>
      <w:r>
        <w:rPr>
          <w:spacing w:val="-10"/>
          <w:sz w:val="20"/>
        </w:rPr>
        <w:t> </w:t>
      </w:r>
      <w:r>
        <w:rPr>
          <w:sz w:val="20"/>
        </w:rPr>
        <w:t>increase results</w:t>
      </w:r>
      <w:r>
        <w:rPr>
          <w:spacing w:val="-10"/>
          <w:sz w:val="20"/>
        </w:rPr>
        <w:t> </w:t>
      </w:r>
      <w:r>
        <w:rPr>
          <w:sz w:val="20"/>
        </w:rPr>
        <w:t>from</w:t>
      </w:r>
      <w:r>
        <w:rPr>
          <w:spacing w:val="-7"/>
          <w:sz w:val="20"/>
        </w:rPr>
        <w:t> </w:t>
      </w:r>
      <w:r>
        <w:rPr>
          <w:sz w:val="20"/>
        </w:rPr>
        <w:t>the</w:t>
      </w:r>
      <w:r>
        <w:rPr>
          <w:spacing w:val="-7"/>
          <w:sz w:val="20"/>
        </w:rPr>
        <w:t> </w:t>
      </w:r>
      <w:r>
        <w:rPr>
          <w:sz w:val="20"/>
        </w:rPr>
        <w:t>additional</w:t>
      </w:r>
      <w:r>
        <w:rPr>
          <w:spacing w:val="-7"/>
          <w:sz w:val="20"/>
        </w:rPr>
        <w:t> </w:t>
      </w:r>
      <w:r>
        <w:rPr>
          <w:sz w:val="20"/>
        </w:rPr>
        <w:t>resources</w:t>
      </w:r>
      <w:r>
        <w:rPr>
          <w:spacing w:val="-5"/>
          <w:sz w:val="20"/>
        </w:rPr>
        <w:t> </w:t>
      </w:r>
      <w:r>
        <w:rPr>
          <w:sz w:val="20"/>
        </w:rPr>
        <w:t>requested</w:t>
      </w:r>
      <w:r>
        <w:rPr>
          <w:spacing w:val="-4"/>
          <w:sz w:val="20"/>
        </w:rPr>
        <w:t> </w:t>
      </w:r>
      <w:r>
        <w:rPr>
          <w:sz w:val="20"/>
        </w:rPr>
        <w:t>by</w:t>
      </w:r>
      <w:r>
        <w:rPr>
          <w:spacing w:val="-8"/>
          <w:sz w:val="20"/>
        </w:rPr>
        <w:t> </w:t>
      </w:r>
      <w:r>
        <w:rPr>
          <w:sz w:val="20"/>
        </w:rPr>
        <w:t>PIOS</w:t>
      </w:r>
      <w:r>
        <w:rPr>
          <w:spacing w:val="-5"/>
          <w:sz w:val="20"/>
        </w:rPr>
        <w:t> </w:t>
      </w:r>
      <w:r>
        <w:rPr>
          <w:sz w:val="20"/>
        </w:rPr>
        <w:t>(€30.0</w:t>
      </w:r>
      <w:r>
        <w:rPr>
          <w:spacing w:val="-4"/>
          <w:sz w:val="20"/>
        </w:rPr>
        <w:t> </w:t>
      </w:r>
      <w:r>
        <w:rPr>
          <w:sz w:val="20"/>
        </w:rPr>
        <w:t>thousand)</w:t>
      </w:r>
      <w:r>
        <w:rPr>
          <w:spacing w:val="-8"/>
          <w:sz w:val="20"/>
        </w:rPr>
        <w:t> </w:t>
      </w:r>
      <w:r>
        <w:rPr>
          <w:sz w:val="20"/>
        </w:rPr>
        <w:t>to</w:t>
      </w:r>
      <w:r>
        <w:rPr>
          <w:spacing w:val="-4"/>
          <w:sz w:val="20"/>
        </w:rPr>
        <w:t> </w:t>
      </w:r>
      <w:r>
        <w:rPr>
          <w:sz w:val="20"/>
        </w:rPr>
        <w:t>provide</w:t>
      </w:r>
      <w:r>
        <w:rPr>
          <w:spacing w:val="-7"/>
          <w:sz w:val="20"/>
        </w:rPr>
        <w:t> </w:t>
      </w:r>
      <w:r>
        <w:rPr>
          <w:sz w:val="20"/>
        </w:rPr>
        <w:t>a media asset management solution for the audiovisual team to enable faster access to videos of the proceedings and other judicial events, which is used on a regular basis for production of summaries</w:t>
      </w:r>
      <w:r>
        <w:rPr>
          <w:spacing w:val="-13"/>
          <w:sz w:val="20"/>
        </w:rPr>
        <w:t> </w:t>
      </w:r>
      <w:r>
        <w:rPr>
          <w:sz w:val="20"/>
        </w:rPr>
        <w:t>of</w:t>
      </w:r>
      <w:r>
        <w:rPr>
          <w:spacing w:val="-12"/>
          <w:sz w:val="20"/>
        </w:rPr>
        <w:t> </w:t>
      </w:r>
      <w:r>
        <w:rPr>
          <w:sz w:val="20"/>
        </w:rPr>
        <w:t>the</w:t>
      </w:r>
      <w:r>
        <w:rPr>
          <w:spacing w:val="-13"/>
          <w:sz w:val="20"/>
        </w:rPr>
        <w:t> </w:t>
      </w:r>
      <w:r>
        <w:rPr>
          <w:sz w:val="20"/>
        </w:rPr>
        <w:t>proceedings</w:t>
      </w:r>
      <w:r>
        <w:rPr>
          <w:spacing w:val="-12"/>
          <w:sz w:val="20"/>
        </w:rPr>
        <w:t> </w:t>
      </w:r>
      <w:r>
        <w:rPr>
          <w:sz w:val="20"/>
        </w:rPr>
        <w:t>for</w:t>
      </w:r>
      <w:r>
        <w:rPr>
          <w:spacing w:val="-13"/>
          <w:sz w:val="20"/>
        </w:rPr>
        <w:t> </w:t>
      </w:r>
      <w:r>
        <w:rPr>
          <w:sz w:val="20"/>
        </w:rPr>
        <w:t>country</w:t>
      </w:r>
      <w:r>
        <w:rPr>
          <w:spacing w:val="-12"/>
          <w:sz w:val="20"/>
        </w:rPr>
        <w:t> </w:t>
      </w:r>
      <w:r>
        <w:rPr>
          <w:sz w:val="20"/>
        </w:rPr>
        <w:t>offices</w:t>
      </w:r>
      <w:r>
        <w:rPr>
          <w:spacing w:val="-13"/>
          <w:sz w:val="20"/>
        </w:rPr>
        <w:t> </w:t>
      </w:r>
      <w:r>
        <w:rPr>
          <w:sz w:val="20"/>
        </w:rPr>
        <w:t>as</w:t>
      </w:r>
      <w:r>
        <w:rPr>
          <w:spacing w:val="-12"/>
          <w:sz w:val="20"/>
        </w:rPr>
        <w:t> </w:t>
      </w:r>
      <w:r>
        <w:rPr>
          <w:sz w:val="20"/>
        </w:rPr>
        <w:t>well</w:t>
      </w:r>
      <w:r>
        <w:rPr>
          <w:spacing w:val="-13"/>
          <w:sz w:val="20"/>
        </w:rPr>
        <w:t> </w:t>
      </w:r>
      <w:r>
        <w:rPr>
          <w:sz w:val="20"/>
        </w:rPr>
        <w:t>as</w:t>
      </w:r>
      <w:r>
        <w:rPr>
          <w:spacing w:val="-12"/>
          <w:sz w:val="20"/>
        </w:rPr>
        <w:t> </w:t>
      </w:r>
      <w:r>
        <w:rPr>
          <w:sz w:val="20"/>
        </w:rPr>
        <w:t>for</w:t>
      </w:r>
      <w:r>
        <w:rPr>
          <w:spacing w:val="-13"/>
          <w:sz w:val="20"/>
        </w:rPr>
        <w:t> </w:t>
      </w:r>
      <w:r>
        <w:rPr>
          <w:sz w:val="20"/>
        </w:rPr>
        <w:t>production</w:t>
      </w:r>
      <w:r>
        <w:rPr>
          <w:spacing w:val="-12"/>
          <w:sz w:val="20"/>
        </w:rPr>
        <w:t> </w:t>
      </w:r>
      <w:r>
        <w:rPr>
          <w:sz w:val="20"/>
        </w:rPr>
        <w:t>of</w:t>
      </w:r>
      <w:r>
        <w:rPr>
          <w:spacing w:val="-13"/>
          <w:sz w:val="20"/>
        </w:rPr>
        <w:t> </w:t>
      </w:r>
      <w:r>
        <w:rPr>
          <w:sz w:val="20"/>
        </w:rPr>
        <w:t>videos</w:t>
      </w:r>
      <w:r>
        <w:rPr>
          <w:spacing w:val="-12"/>
          <w:sz w:val="20"/>
        </w:rPr>
        <w:t> </w:t>
      </w:r>
      <w:r>
        <w:rPr>
          <w:sz w:val="20"/>
        </w:rPr>
        <w:t>for</w:t>
      </w:r>
      <w:r>
        <w:rPr>
          <w:spacing w:val="-13"/>
          <w:sz w:val="20"/>
        </w:rPr>
        <w:t> </w:t>
      </w:r>
      <w:r>
        <w:rPr>
          <w:sz w:val="20"/>
        </w:rPr>
        <w:t>social media. The requested resources will also cover the need for accessories for cameras, PC monitors, mobile phones, equipment for filming, equipment for live streams to replace obsolete ones and new ones to meet new technological communications needs.</w:t>
      </w:r>
    </w:p>
    <w:p>
      <w:pPr>
        <w:pStyle w:val="ListParagraph"/>
        <w:numPr>
          <w:ilvl w:val="0"/>
          <w:numId w:val="4"/>
        </w:numPr>
        <w:tabs>
          <w:tab w:pos="2967" w:val="left" w:leader="none"/>
        </w:tabs>
        <w:spacing w:line="240" w:lineRule="auto" w:before="119" w:after="0"/>
        <w:ind w:left="2246" w:right="2240" w:firstLine="0"/>
        <w:jc w:val="both"/>
        <w:rPr>
          <w:sz w:val="20"/>
        </w:rPr>
      </w:pPr>
      <w:r>
        <w:rPr>
          <w:sz w:val="20"/>
        </w:rPr>
        <w:t>For</w:t>
      </w:r>
      <w:r>
        <w:rPr>
          <w:spacing w:val="-13"/>
          <w:sz w:val="20"/>
        </w:rPr>
        <w:t> </w:t>
      </w:r>
      <w:r>
        <w:rPr>
          <w:sz w:val="20"/>
        </w:rPr>
        <w:t>2023,</w:t>
      </w:r>
      <w:r>
        <w:rPr>
          <w:spacing w:val="-12"/>
          <w:sz w:val="20"/>
        </w:rPr>
        <w:t> </w:t>
      </w:r>
      <w:r>
        <w:rPr>
          <w:sz w:val="20"/>
        </w:rPr>
        <w:t>the</w:t>
      </w:r>
      <w:r>
        <w:rPr>
          <w:spacing w:val="-13"/>
          <w:sz w:val="20"/>
        </w:rPr>
        <w:t> </w:t>
      </w:r>
      <w:r>
        <w:rPr>
          <w:sz w:val="20"/>
        </w:rPr>
        <w:t>amount</w:t>
      </w:r>
      <w:r>
        <w:rPr>
          <w:spacing w:val="-12"/>
          <w:sz w:val="20"/>
        </w:rPr>
        <w:t> </w:t>
      </w:r>
      <w:r>
        <w:rPr>
          <w:sz w:val="20"/>
        </w:rPr>
        <w:t>of</w:t>
      </w:r>
      <w:r>
        <w:rPr>
          <w:spacing w:val="-13"/>
          <w:sz w:val="20"/>
        </w:rPr>
        <w:t> </w:t>
      </w:r>
      <w:r>
        <w:rPr>
          <w:sz w:val="20"/>
        </w:rPr>
        <w:t>€13.4</w:t>
      </w:r>
      <w:r>
        <w:rPr>
          <w:spacing w:val="-12"/>
          <w:sz w:val="20"/>
        </w:rPr>
        <w:t> </w:t>
      </w:r>
      <w:r>
        <w:rPr>
          <w:sz w:val="20"/>
        </w:rPr>
        <w:t>thousand</w:t>
      </w:r>
      <w:r>
        <w:rPr>
          <w:spacing w:val="-13"/>
          <w:sz w:val="20"/>
        </w:rPr>
        <w:t> </w:t>
      </w:r>
      <w:r>
        <w:rPr>
          <w:sz w:val="20"/>
        </w:rPr>
        <w:t>is</w:t>
      </w:r>
      <w:r>
        <w:rPr>
          <w:spacing w:val="-12"/>
          <w:sz w:val="20"/>
        </w:rPr>
        <w:t> </w:t>
      </w:r>
      <w:r>
        <w:rPr>
          <w:sz w:val="20"/>
        </w:rPr>
        <w:t>requested</w:t>
      </w:r>
      <w:r>
        <w:rPr>
          <w:spacing w:val="-13"/>
          <w:sz w:val="20"/>
        </w:rPr>
        <w:t> </w:t>
      </w:r>
      <w:r>
        <w:rPr>
          <w:sz w:val="20"/>
        </w:rPr>
        <w:t>by</w:t>
      </w:r>
      <w:r>
        <w:rPr>
          <w:spacing w:val="-12"/>
          <w:sz w:val="20"/>
        </w:rPr>
        <w:t> </w:t>
      </w:r>
      <w:r>
        <w:rPr>
          <w:sz w:val="20"/>
        </w:rPr>
        <w:t>the</w:t>
      </w:r>
      <w:r>
        <w:rPr>
          <w:spacing w:val="-13"/>
          <w:sz w:val="20"/>
        </w:rPr>
        <w:t> </w:t>
      </w:r>
      <w:r>
        <w:rPr>
          <w:sz w:val="20"/>
        </w:rPr>
        <w:t>country</w:t>
      </w:r>
      <w:r>
        <w:rPr>
          <w:spacing w:val="-12"/>
          <w:sz w:val="20"/>
        </w:rPr>
        <w:t> </w:t>
      </w:r>
      <w:r>
        <w:rPr>
          <w:sz w:val="20"/>
        </w:rPr>
        <w:t>offices</w:t>
      </w:r>
      <w:r>
        <w:rPr>
          <w:spacing w:val="-13"/>
          <w:sz w:val="20"/>
        </w:rPr>
        <w:t> </w:t>
      </w:r>
      <w:r>
        <w:rPr>
          <w:sz w:val="20"/>
        </w:rPr>
        <w:t>primarily to replace the worn-out workplace furniture and equipment. Compared to a zero budget proposed</w:t>
      </w:r>
      <w:r>
        <w:rPr>
          <w:spacing w:val="-9"/>
          <w:sz w:val="20"/>
        </w:rPr>
        <w:t> </w:t>
      </w:r>
      <w:r>
        <w:rPr>
          <w:sz w:val="20"/>
        </w:rPr>
        <w:t>by</w:t>
      </w:r>
      <w:r>
        <w:rPr>
          <w:spacing w:val="-9"/>
          <w:sz w:val="20"/>
        </w:rPr>
        <w:t> </w:t>
      </w:r>
      <w:r>
        <w:rPr>
          <w:sz w:val="20"/>
        </w:rPr>
        <w:t>the</w:t>
      </w:r>
      <w:r>
        <w:rPr>
          <w:spacing w:val="-8"/>
          <w:sz w:val="20"/>
        </w:rPr>
        <w:t> </w:t>
      </w:r>
      <w:r>
        <w:rPr>
          <w:sz w:val="20"/>
        </w:rPr>
        <w:t>Country</w:t>
      </w:r>
      <w:r>
        <w:rPr>
          <w:spacing w:val="-9"/>
          <w:sz w:val="20"/>
        </w:rPr>
        <w:t> </w:t>
      </w:r>
      <w:r>
        <w:rPr>
          <w:sz w:val="20"/>
        </w:rPr>
        <w:t>Office</w:t>
      </w:r>
      <w:r>
        <w:rPr>
          <w:spacing w:val="-8"/>
          <w:sz w:val="20"/>
        </w:rPr>
        <w:t> </w:t>
      </w:r>
      <w:r>
        <w:rPr>
          <w:sz w:val="20"/>
        </w:rPr>
        <w:t>(CAR)</w:t>
      </w:r>
      <w:r>
        <w:rPr>
          <w:spacing w:val="-9"/>
          <w:sz w:val="20"/>
        </w:rPr>
        <w:t> </w:t>
      </w:r>
      <w:r>
        <w:rPr>
          <w:sz w:val="20"/>
        </w:rPr>
        <w:t>for</w:t>
      </w:r>
      <w:r>
        <w:rPr>
          <w:spacing w:val="-9"/>
          <w:sz w:val="20"/>
        </w:rPr>
        <w:t> </w:t>
      </w:r>
      <w:r>
        <w:rPr>
          <w:sz w:val="20"/>
        </w:rPr>
        <w:t>2021</w:t>
      </w:r>
      <w:r>
        <w:rPr>
          <w:spacing w:val="-9"/>
          <w:sz w:val="20"/>
        </w:rPr>
        <w:t> </w:t>
      </w:r>
      <w:r>
        <w:rPr>
          <w:sz w:val="20"/>
        </w:rPr>
        <w:t>and</w:t>
      </w:r>
      <w:r>
        <w:rPr>
          <w:spacing w:val="-13"/>
          <w:sz w:val="20"/>
        </w:rPr>
        <w:t> </w:t>
      </w:r>
      <w:r>
        <w:rPr>
          <w:sz w:val="20"/>
        </w:rPr>
        <w:t>2022,</w:t>
      </w:r>
      <w:r>
        <w:rPr>
          <w:spacing w:val="-6"/>
          <w:sz w:val="20"/>
        </w:rPr>
        <w:t> </w:t>
      </w:r>
      <w:r>
        <w:rPr>
          <w:sz w:val="20"/>
        </w:rPr>
        <w:t>for</w:t>
      </w:r>
      <w:r>
        <w:rPr>
          <w:spacing w:val="-5"/>
          <w:sz w:val="20"/>
        </w:rPr>
        <w:t> </w:t>
      </w:r>
      <w:r>
        <w:rPr>
          <w:sz w:val="20"/>
        </w:rPr>
        <w:t>2023</w:t>
      </w:r>
      <w:r>
        <w:rPr>
          <w:spacing w:val="-5"/>
          <w:sz w:val="20"/>
        </w:rPr>
        <w:t> </w:t>
      </w:r>
      <w:r>
        <w:rPr>
          <w:sz w:val="20"/>
        </w:rPr>
        <w:t>it</w:t>
      </w:r>
      <w:r>
        <w:rPr>
          <w:spacing w:val="-8"/>
          <w:sz w:val="20"/>
        </w:rPr>
        <w:t> </w:t>
      </w:r>
      <w:r>
        <w:rPr>
          <w:sz w:val="20"/>
        </w:rPr>
        <w:t>will</w:t>
      </w:r>
      <w:r>
        <w:rPr>
          <w:spacing w:val="-8"/>
          <w:sz w:val="20"/>
        </w:rPr>
        <w:t> </w:t>
      </w:r>
      <w:r>
        <w:rPr>
          <w:sz w:val="20"/>
        </w:rPr>
        <w:t>require</w:t>
      </w:r>
      <w:r>
        <w:rPr>
          <w:spacing w:val="-12"/>
          <w:sz w:val="20"/>
        </w:rPr>
        <w:t> </w:t>
      </w:r>
      <w:r>
        <w:rPr>
          <w:sz w:val="20"/>
        </w:rPr>
        <w:t>an</w:t>
      </w:r>
      <w:r>
        <w:rPr>
          <w:spacing w:val="-9"/>
          <w:sz w:val="20"/>
        </w:rPr>
        <w:t> </w:t>
      </w:r>
      <w:r>
        <w:rPr>
          <w:sz w:val="20"/>
        </w:rPr>
        <w:t>amount of €5.8 thousand to augment the heavily degraded printing capacity and to purchase additional security equipment. Such an increase has been offset by the reductions proposed by the</w:t>
      </w:r>
      <w:r>
        <w:rPr>
          <w:spacing w:val="-1"/>
          <w:sz w:val="20"/>
        </w:rPr>
        <w:t> </w:t>
      </w:r>
      <w:r>
        <w:rPr>
          <w:sz w:val="20"/>
        </w:rPr>
        <w:t>country offices in</w:t>
      </w:r>
      <w:r>
        <w:rPr>
          <w:spacing w:val="-3"/>
          <w:sz w:val="20"/>
        </w:rPr>
        <w:t> </w:t>
      </w:r>
      <w:r>
        <w:rPr>
          <w:sz w:val="20"/>
        </w:rPr>
        <w:t>the Côte</w:t>
      </w:r>
      <w:r>
        <w:rPr>
          <w:spacing w:val="-1"/>
          <w:sz w:val="20"/>
        </w:rPr>
        <w:t> </w:t>
      </w:r>
      <w:r>
        <w:rPr>
          <w:sz w:val="20"/>
        </w:rPr>
        <w:t>d’Ivoire and Mali</w:t>
      </w:r>
      <w:r>
        <w:rPr>
          <w:spacing w:val="-1"/>
          <w:sz w:val="20"/>
        </w:rPr>
        <w:t> </w:t>
      </w:r>
      <w:r>
        <w:rPr>
          <w:sz w:val="20"/>
        </w:rPr>
        <w:t>and thus the resources requested by</w:t>
      </w:r>
      <w:r>
        <w:rPr>
          <w:spacing w:val="-3"/>
          <w:sz w:val="20"/>
        </w:rPr>
        <w:t> </w:t>
      </w:r>
      <w:r>
        <w:rPr>
          <w:sz w:val="20"/>
        </w:rPr>
        <w:t>the country offices for 2023 remain at the same level as those approved for 2022.</w:t>
      </w:r>
    </w:p>
    <w:p>
      <w:pPr>
        <w:spacing w:after="0" w:line="240" w:lineRule="auto"/>
        <w:jc w:val="both"/>
        <w:rPr>
          <w:sz w:val="20"/>
        </w:rPr>
        <w:sectPr>
          <w:pgSz w:w="11910" w:h="16840"/>
          <w:pgMar w:header="957" w:footer="940" w:top="1140" w:bottom="1140" w:left="20" w:right="20"/>
        </w:sectPr>
      </w:pPr>
    </w:p>
    <w:p>
      <w:pPr>
        <w:pStyle w:val="BodyText"/>
        <w:spacing w:line="20" w:lineRule="exact"/>
        <w:ind w:left="1084"/>
        <w:rPr>
          <w:sz w:val="2"/>
        </w:rPr>
      </w:pPr>
      <w:r>
        <w:rPr>
          <w:sz w:val="2"/>
        </w:rPr>
        <w:pict>
          <v:group style="width:485pt;height:.25pt;mso-position-horizontal-relative:char;mso-position-vertical-relative:line" id="docshapegroup262" coordorigin="0,0" coordsize="9700,5">
            <v:rect style="position:absolute;left:0;top:0;width:9700;height:5" id="docshape263" filled="true" fillcolor="#000000" stroked="false">
              <v:fill type="solid"/>
            </v:rect>
          </v:group>
        </w:pict>
      </w:r>
      <w:r>
        <w:rPr>
          <w:sz w:val="2"/>
        </w:rPr>
      </w:r>
    </w:p>
    <w:p>
      <w:pPr>
        <w:spacing w:before="104"/>
        <w:ind w:left="2246" w:right="0" w:firstLine="0"/>
        <w:jc w:val="left"/>
        <w:rPr>
          <w:b/>
          <w:sz w:val="20"/>
        </w:rPr>
      </w:pPr>
      <w:r>
        <w:rPr>
          <w:b/>
          <w:sz w:val="20"/>
        </w:rPr>
        <w:t>Table</w:t>
      </w:r>
      <w:r>
        <w:rPr>
          <w:b/>
          <w:spacing w:val="-6"/>
          <w:sz w:val="20"/>
        </w:rPr>
        <w:t> </w:t>
      </w:r>
      <w:r>
        <w:rPr>
          <w:b/>
          <w:sz w:val="20"/>
        </w:rPr>
        <w:t>30:</w:t>
      </w:r>
      <w:r>
        <w:rPr>
          <w:b/>
          <w:spacing w:val="-6"/>
          <w:sz w:val="20"/>
        </w:rPr>
        <w:t> </w:t>
      </w:r>
      <w:r>
        <w:rPr>
          <w:b/>
          <w:sz w:val="20"/>
        </w:rPr>
        <w:t>Programme</w:t>
      </w:r>
      <w:r>
        <w:rPr>
          <w:b/>
          <w:spacing w:val="-5"/>
          <w:sz w:val="20"/>
        </w:rPr>
        <w:t> </w:t>
      </w:r>
      <w:r>
        <w:rPr>
          <w:b/>
          <w:sz w:val="20"/>
        </w:rPr>
        <w:t>3800:</w:t>
      </w:r>
      <w:r>
        <w:rPr>
          <w:b/>
          <w:spacing w:val="-7"/>
          <w:sz w:val="20"/>
        </w:rPr>
        <w:t> </w:t>
      </w:r>
      <w:r>
        <w:rPr>
          <w:b/>
          <w:sz w:val="20"/>
        </w:rPr>
        <w:t>Proposed</w:t>
      </w:r>
      <w:r>
        <w:rPr>
          <w:b/>
          <w:spacing w:val="-8"/>
          <w:sz w:val="20"/>
        </w:rPr>
        <w:t> </w:t>
      </w:r>
      <w:r>
        <w:rPr>
          <w:b/>
          <w:sz w:val="20"/>
        </w:rPr>
        <w:t>budget</w:t>
      </w:r>
      <w:r>
        <w:rPr>
          <w:b/>
          <w:spacing w:val="-7"/>
          <w:sz w:val="20"/>
        </w:rPr>
        <w:t> </w:t>
      </w:r>
      <w:r>
        <w:rPr>
          <w:b/>
          <w:sz w:val="20"/>
        </w:rPr>
        <w:t>for </w:t>
      </w:r>
      <w:r>
        <w:rPr>
          <w:b/>
          <w:spacing w:val="-4"/>
          <w:sz w:val="20"/>
        </w:rPr>
        <w:t>2023</w:t>
      </w:r>
    </w:p>
    <w:tbl>
      <w:tblPr>
        <w:tblW w:w="0" w:type="auto"/>
        <w:jc w:val="left"/>
        <w:tblInd w:w="1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61"/>
        <w:gridCol w:w="1218"/>
        <w:gridCol w:w="828"/>
        <w:gridCol w:w="1132"/>
        <w:gridCol w:w="1078"/>
        <w:gridCol w:w="1122"/>
        <w:gridCol w:w="753"/>
        <w:gridCol w:w="1053"/>
      </w:tblGrid>
      <w:tr>
        <w:trPr>
          <w:trHeight w:val="324" w:hRule="atLeast"/>
        </w:trPr>
        <w:tc>
          <w:tcPr>
            <w:tcW w:w="2461" w:type="dxa"/>
            <w:vMerge w:val="restart"/>
            <w:tcBorders>
              <w:top w:val="single" w:sz="4" w:space="0" w:color="000000"/>
              <w:bottom w:val="single" w:sz="12" w:space="0" w:color="000000"/>
            </w:tcBorders>
          </w:tcPr>
          <w:p>
            <w:pPr>
              <w:pStyle w:val="TableParagraph"/>
              <w:spacing w:line="183" w:lineRule="exact" w:before="153"/>
              <w:ind w:left="117"/>
              <w:jc w:val="left"/>
              <w:rPr>
                <w:b/>
                <w:sz w:val="16"/>
              </w:rPr>
            </w:pPr>
            <w:r>
              <w:rPr>
                <w:b/>
                <w:spacing w:val="-4"/>
                <w:sz w:val="16"/>
              </w:rPr>
              <w:t>3800</w:t>
            </w:r>
          </w:p>
          <w:p>
            <w:pPr>
              <w:pStyle w:val="TableParagraph"/>
              <w:spacing w:line="183" w:lineRule="exact"/>
              <w:ind w:left="117"/>
              <w:jc w:val="left"/>
              <w:rPr>
                <w:b/>
                <w:sz w:val="16"/>
              </w:rPr>
            </w:pPr>
            <w:r>
              <w:rPr>
                <w:b/>
                <w:sz w:val="16"/>
              </w:rPr>
              <w:t>Division</w:t>
            </w:r>
            <w:r>
              <w:rPr>
                <w:b/>
                <w:spacing w:val="-8"/>
                <w:sz w:val="16"/>
              </w:rPr>
              <w:t> </w:t>
            </w:r>
            <w:r>
              <w:rPr>
                <w:b/>
                <w:sz w:val="16"/>
              </w:rPr>
              <w:t>of</w:t>
            </w:r>
            <w:r>
              <w:rPr>
                <w:b/>
                <w:spacing w:val="-5"/>
                <w:sz w:val="16"/>
              </w:rPr>
              <w:t> </w:t>
            </w:r>
            <w:r>
              <w:rPr>
                <w:b/>
                <w:sz w:val="16"/>
              </w:rPr>
              <w:t>External</w:t>
            </w:r>
            <w:r>
              <w:rPr>
                <w:b/>
                <w:spacing w:val="-6"/>
                <w:sz w:val="16"/>
              </w:rPr>
              <w:t> </w:t>
            </w:r>
            <w:r>
              <w:rPr>
                <w:b/>
                <w:spacing w:val="-2"/>
                <w:sz w:val="16"/>
              </w:rPr>
              <w:t>Operations</w:t>
            </w:r>
          </w:p>
          <w:p>
            <w:pPr>
              <w:pStyle w:val="TableParagraph"/>
              <w:spacing w:line="171" w:lineRule="exact" w:before="3"/>
              <w:ind w:left="117"/>
              <w:jc w:val="left"/>
              <w:rPr>
                <w:b/>
                <w:sz w:val="16"/>
              </w:rPr>
            </w:pPr>
            <w:r>
              <w:rPr>
                <w:b/>
                <w:spacing w:val="-2"/>
                <w:sz w:val="16"/>
              </w:rPr>
              <w:t>(DEO)</w:t>
            </w:r>
          </w:p>
        </w:tc>
        <w:tc>
          <w:tcPr>
            <w:tcW w:w="3178" w:type="dxa"/>
            <w:gridSpan w:val="3"/>
            <w:tcBorders>
              <w:top w:val="single" w:sz="4" w:space="0" w:color="000000"/>
            </w:tcBorders>
          </w:tcPr>
          <w:p>
            <w:pPr>
              <w:pStyle w:val="TableParagraph"/>
              <w:tabs>
                <w:tab w:pos="311" w:val="left" w:leader="none"/>
                <w:tab w:pos="3178" w:val="left" w:leader="none"/>
              </w:tabs>
              <w:spacing w:line="180" w:lineRule="exact" w:before="124"/>
              <w:ind w:left="-1" w:right="-15"/>
              <w:jc w:val="left"/>
              <w:rPr>
                <w:sz w:val="16"/>
              </w:rPr>
            </w:pPr>
            <w:r>
              <w:rPr>
                <w:sz w:val="16"/>
                <w:u w:val="single"/>
              </w:rPr>
              <w:tab/>
              <w:t>2021</w:t>
            </w:r>
            <w:r>
              <w:rPr>
                <w:spacing w:val="-2"/>
                <w:sz w:val="16"/>
                <w:u w:val="single"/>
              </w:rPr>
              <w:t> </w:t>
            </w:r>
            <w:r>
              <w:rPr>
                <w:sz w:val="16"/>
                <w:u w:val="single"/>
              </w:rPr>
              <w:t>Expenditures</w:t>
            </w:r>
            <w:r>
              <w:rPr>
                <w:spacing w:val="-4"/>
                <w:sz w:val="16"/>
                <w:u w:val="single"/>
              </w:rPr>
              <w:t> </w:t>
            </w:r>
            <w:r>
              <w:rPr>
                <w:sz w:val="16"/>
                <w:u w:val="single"/>
              </w:rPr>
              <w:t>(thousands</w:t>
            </w:r>
            <w:r>
              <w:rPr>
                <w:spacing w:val="-4"/>
                <w:sz w:val="16"/>
                <w:u w:val="single"/>
              </w:rPr>
              <w:t> </w:t>
            </w:r>
            <w:r>
              <w:rPr>
                <w:sz w:val="16"/>
                <w:u w:val="single"/>
              </w:rPr>
              <w:t>of</w:t>
            </w:r>
            <w:r>
              <w:rPr>
                <w:spacing w:val="-4"/>
                <w:sz w:val="16"/>
                <w:u w:val="single"/>
              </w:rPr>
              <w:t> </w:t>
            </w:r>
            <w:r>
              <w:rPr>
                <w:spacing w:val="-2"/>
                <w:sz w:val="16"/>
                <w:u w:val="single"/>
              </w:rPr>
              <w:t>euros)</w:t>
            </w:r>
            <w:r>
              <w:rPr>
                <w:sz w:val="16"/>
                <w:u w:val="single"/>
              </w:rPr>
              <w:tab/>
            </w:r>
          </w:p>
        </w:tc>
        <w:tc>
          <w:tcPr>
            <w:tcW w:w="1078" w:type="dxa"/>
            <w:vMerge w:val="restart"/>
            <w:tcBorders>
              <w:top w:val="single" w:sz="4" w:space="0" w:color="000000"/>
              <w:bottom w:val="single" w:sz="12" w:space="0" w:color="000000"/>
            </w:tcBorders>
          </w:tcPr>
          <w:p>
            <w:pPr>
              <w:pStyle w:val="TableParagraph"/>
              <w:spacing w:line="183" w:lineRule="exact" w:before="153"/>
              <w:ind w:left="228" w:right="181"/>
              <w:jc w:val="center"/>
              <w:rPr>
                <w:sz w:val="16"/>
              </w:rPr>
            </w:pPr>
            <w:r>
              <w:rPr>
                <w:spacing w:val="-4"/>
                <w:sz w:val="16"/>
              </w:rPr>
              <w:t>2022</w:t>
            </w:r>
          </w:p>
          <w:p>
            <w:pPr>
              <w:pStyle w:val="TableParagraph"/>
              <w:spacing w:line="183" w:lineRule="exact"/>
              <w:ind w:left="227" w:right="184"/>
              <w:jc w:val="center"/>
              <w:rPr>
                <w:sz w:val="16"/>
              </w:rPr>
            </w:pPr>
            <w:r>
              <w:rPr>
                <w:spacing w:val="-2"/>
                <w:sz w:val="16"/>
              </w:rPr>
              <w:t>Approved</w:t>
            </w:r>
          </w:p>
          <w:p>
            <w:pPr>
              <w:pStyle w:val="TableParagraph"/>
              <w:spacing w:line="171" w:lineRule="exact" w:before="3"/>
              <w:ind w:left="228" w:right="176"/>
              <w:jc w:val="center"/>
              <w:rPr>
                <w:sz w:val="16"/>
              </w:rPr>
            </w:pPr>
            <w:r>
              <w:rPr>
                <w:spacing w:val="-2"/>
                <w:sz w:val="16"/>
              </w:rPr>
              <w:t>Budget</w:t>
            </w:r>
          </w:p>
        </w:tc>
        <w:tc>
          <w:tcPr>
            <w:tcW w:w="1875" w:type="dxa"/>
            <w:gridSpan w:val="2"/>
            <w:tcBorders>
              <w:top w:val="single" w:sz="4" w:space="0" w:color="000000"/>
            </w:tcBorders>
          </w:tcPr>
          <w:p>
            <w:pPr>
              <w:pStyle w:val="TableParagraph"/>
              <w:tabs>
                <w:tab w:pos="339" w:val="left" w:leader="none"/>
                <w:tab w:pos="1803" w:val="left" w:leader="none"/>
              </w:tabs>
              <w:spacing w:line="180" w:lineRule="exact" w:before="124"/>
              <w:ind w:left="56"/>
              <w:jc w:val="left"/>
              <w:rPr>
                <w:sz w:val="16"/>
              </w:rPr>
            </w:pPr>
            <w:r>
              <w:rPr>
                <w:sz w:val="16"/>
                <w:u w:val="single"/>
              </w:rPr>
              <w:tab/>
              <w:t>Resource</w:t>
            </w:r>
            <w:r>
              <w:rPr>
                <w:spacing w:val="-2"/>
                <w:sz w:val="16"/>
                <w:u w:val="single"/>
              </w:rPr>
              <w:t> Changes</w:t>
            </w:r>
            <w:r>
              <w:rPr>
                <w:sz w:val="16"/>
                <w:u w:val="single"/>
              </w:rPr>
              <w:tab/>
            </w:r>
          </w:p>
        </w:tc>
        <w:tc>
          <w:tcPr>
            <w:tcW w:w="1053" w:type="dxa"/>
            <w:tcBorders>
              <w:top w:val="single" w:sz="4" w:space="0" w:color="000000"/>
            </w:tcBorders>
          </w:tcPr>
          <w:p>
            <w:pPr>
              <w:pStyle w:val="TableParagraph"/>
              <w:jc w:val="left"/>
              <w:rPr>
                <w:sz w:val="14"/>
              </w:rPr>
            </w:pPr>
          </w:p>
        </w:tc>
      </w:tr>
      <w:tr>
        <w:trPr>
          <w:trHeight w:val="359" w:hRule="atLeast"/>
        </w:trPr>
        <w:tc>
          <w:tcPr>
            <w:tcW w:w="2461" w:type="dxa"/>
            <w:vMerge/>
            <w:tcBorders>
              <w:top w:val="nil"/>
              <w:bottom w:val="single" w:sz="12" w:space="0" w:color="000000"/>
            </w:tcBorders>
          </w:tcPr>
          <w:p>
            <w:pPr>
              <w:rPr>
                <w:sz w:val="2"/>
                <w:szCs w:val="2"/>
              </w:rPr>
            </w:pPr>
          </w:p>
        </w:tc>
        <w:tc>
          <w:tcPr>
            <w:tcW w:w="1218" w:type="dxa"/>
            <w:tcBorders>
              <w:bottom w:val="single" w:sz="12" w:space="0" w:color="000000"/>
            </w:tcBorders>
          </w:tcPr>
          <w:p>
            <w:pPr>
              <w:pStyle w:val="TableParagraph"/>
              <w:spacing w:before="7"/>
              <w:jc w:val="left"/>
              <w:rPr>
                <w:b/>
                <w:sz w:val="14"/>
              </w:rPr>
            </w:pPr>
          </w:p>
          <w:p>
            <w:pPr>
              <w:pStyle w:val="TableParagraph"/>
              <w:spacing w:line="171" w:lineRule="exact"/>
              <w:ind w:left="393"/>
              <w:jc w:val="left"/>
              <w:rPr>
                <w:sz w:val="16"/>
              </w:rPr>
            </w:pPr>
            <w:r>
              <w:rPr>
                <w:spacing w:val="-2"/>
                <w:sz w:val="16"/>
              </w:rPr>
              <w:t>Total</w:t>
            </w:r>
          </w:p>
        </w:tc>
        <w:tc>
          <w:tcPr>
            <w:tcW w:w="828" w:type="dxa"/>
            <w:tcBorders>
              <w:bottom w:val="single" w:sz="12" w:space="0" w:color="000000"/>
            </w:tcBorders>
          </w:tcPr>
          <w:p>
            <w:pPr>
              <w:pStyle w:val="TableParagraph"/>
              <w:spacing w:line="165" w:lineRule="exact"/>
              <w:ind w:left="193"/>
              <w:jc w:val="left"/>
              <w:rPr>
                <w:sz w:val="16"/>
              </w:rPr>
            </w:pPr>
            <w:r>
              <w:rPr>
                <w:spacing w:val="-2"/>
                <w:sz w:val="16"/>
              </w:rPr>
              <w:t>Cont.</w:t>
            </w:r>
          </w:p>
          <w:p>
            <w:pPr>
              <w:pStyle w:val="TableParagraph"/>
              <w:spacing w:line="171" w:lineRule="exact" w:before="3"/>
              <w:ind w:left="203"/>
              <w:jc w:val="left"/>
              <w:rPr>
                <w:sz w:val="16"/>
              </w:rPr>
            </w:pPr>
            <w:r>
              <w:rPr>
                <w:spacing w:val="-4"/>
                <w:sz w:val="16"/>
              </w:rPr>
              <w:t>Fund</w:t>
            </w:r>
          </w:p>
        </w:tc>
        <w:tc>
          <w:tcPr>
            <w:tcW w:w="1132" w:type="dxa"/>
            <w:tcBorders>
              <w:bottom w:val="single" w:sz="12" w:space="0" w:color="000000"/>
            </w:tcBorders>
          </w:tcPr>
          <w:p>
            <w:pPr>
              <w:pStyle w:val="TableParagraph"/>
              <w:spacing w:before="7"/>
              <w:jc w:val="left"/>
              <w:rPr>
                <w:b/>
                <w:sz w:val="14"/>
              </w:rPr>
            </w:pPr>
          </w:p>
          <w:p>
            <w:pPr>
              <w:pStyle w:val="TableParagraph"/>
              <w:spacing w:line="171" w:lineRule="exact"/>
              <w:ind w:right="121"/>
              <w:rPr>
                <w:sz w:val="16"/>
              </w:rPr>
            </w:pPr>
            <w:r>
              <w:rPr>
                <w:sz w:val="16"/>
              </w:rPr>
              <w:t>Total</w:t>
            </w:r>
            <w:r>
              <w:rPr>
                <w:spacing w:val="-7"/>
                <w:sz w:val="16"/>
              </w:rPr>
              <w:t> </w:t>
            </w:r>
            <w:r>
              <w:rPr>
                <w:sz w:val="16"/>
              </w:rPr>
              <w:t>Incl.</w:t>
            </w:r>
            <w:r>
              <w:rPr>
                <w:spacing w:val="-6"/>
                <w:sz w:val="16"/>
              </w:rPr>
              <w:t> </w:t>
            </w:r>
            <w:r>
              <w:rPr>
                <w:spacing w:val="-5"/>
                <w:sz w:val="16"/>
              </w:rPr>
              <w:t>CF</w:t>
            </w:r>
          </w:p>
        </w:tc>
        <w:tc>
          <w:tcPr>
            <w:tcW w:w="1078" w:type="dxa"/>
            <w:vMerge/>
            <w:tcBorders>
              <w:top w:val="nil"/>
              <w:bottom w:val="single" w:sz="12" w:space="0" w:color="000000"/>
            </w:tcBorders>
          </w:tcPr>
          <w:p>
            <w:pPr>
              <w:rPr>
                <w:sz w:val="2"/>
                <w:szCs w:val="2"/>
              </w:rPr>
            </w:pPr>
          </w:p>
        </w:tc>
        <w:tc>
          <w:tcPr>
            <w:tcW w:w="1122" w:type="dxa"/>
            <w:tcBorders>
              <w:bottom w:val="single" w:sz="12" w:space="0" w:color="000000"/>
            </w:tcBorders>
          </w:tcPr>
          <w:p>
            <w:pPr>
              <w:pStyle w:val="TableParagraph"/>
              <w:spacing w:before="7"/>
              <w:jc w:val="left"/>
              <w:rPr>
                <w:b/>
                <w:sz w:val="14"/>
              </w:rPr>
            </w:pPr>
          </w:p>
          <w:p>
            <w:pPr>
              <w:pStyle w:val="TableParagraph"/>
              <w:spacing w:line="171" w:lineRule="exact"/>
              <w:ind w:right="180"/>
              <w:rPr>
                <w:sz w:val="16"/>
              </w:rPr>
            </w:pPr>
            <w:r>
              <w:rPr>
                <w:spacing w:val="-2"/>
                <w:sz w:val="16"/>
              </w:rPr>
              <w:t>Amount</w:t>
            </w:r>
          </w:p>
        </w:tc>
        <w:tc>
          <w:tcPr>
            <w:tcW w:w="753" w:type="dxa"/>
            <w:tcBorders>
              <w:bottom w:val="single" w:sz="12" w:space="0" w:color="000000"/>
            </w:tcBorders>
          </w:tcPr>
          <w:p>
            <w:pPr>
              <w:pStyle w:val="TableParagraph"/>
              <w:spacing w:before="7"/>
              <w:jc w:val="left"/>
              <w:rPr>
                <w:b/>
                <w:sz w:val="14"/>
              </w:rPr>
            </w:pPr>
          </w:p>
          <w:p>
            <w:pPr>
              <w:pStyle w:val="TableParagraph"/>
              <w:spacing w:line="171" w:lineRule="exact"/>
              <w:ind w:right="177"/>
              <w:rPr>
                <w:sz w:val="16"/>
              </w:rPr>
            </w:pPr>
            <w:r>
              <w:rPr>
                <w:w w:val="98"/>
                <w:sz w:val="16"/>
              </w:rPr>
              <w:t>%</w:t>
            </w:r>
          </w:p>
        </w:tc>
        <w:tc>
          <w:tcPr>
            <w:tcW w:w="1053" w:type="dxa"/>
            <w:tcBorders>
              <w:bottom w:val="single" w:sz="12" w:space="0" w:color="000000"/>
            </w:tcBorders>
          </w:tcPr>
          <w:p>
            <w:pPr>
              <w:pStyle w:val="TableParagraph"/>
              <w:spacing w:line="165" w:lineRule="exact"/>
              <w:ind w:left="56" w:right="134"/>
              <w:jc w:val="center"/>
              <w:rPr>
                <w:sz w:val="16"/>
              </w:rPr>
            </w:pPr>
            <w:r>
              <w:rPr>
                <w:spacing w:val="-2"/>
                <w:sz w:val="16"/>
              </w:rPr>
              <w:t>Proposed</w:t>
            </w:r>
          </w:p>
          <w:p>
            <w:pPr>
              <w:pStyle w:val="TableParagraph"/>
              <w:spacing w:line="171" w:lineRule="exact" w:before="3"/>
              <w:ind w:left="64" w:right="134"/>
              <w:jc w:val="center"/>
              <w:rPr>
                <w:sz w:val="16"/>
              </w:rPr>
            </w:pPr>
            <w:r>
              <w:rPr>
                <w:sz w:val="16"/>
              </w:rPr>
              <w:t>2023</w:t>
            </w:r>
            <w:r>
              <w:rPr>
                <w:spacing w:val="2"/>
                <w:sz w:val="16"/>
              </w:rPr>
              <w:t> </w:t>
            </w:r>
            <w:r>
              <w:rPr>
                <w:spacing w:val="-2"/>
                <w:sz w:val="16"/>
              </w:rPr>
              <w:t>Budget</w:t>
            </w:r>
          </w:p>
        </w:tc>
      </w:tr>
      <w:tr>
        <w:trPr>
          <w:trHeight w:val="231" w:hRule="atLeast"/>
        </w:trPr>
        <w:tc>
          <w:tcPr>
            <w:tcW w:w="2461" w:type="dxa"/>
            <w:tcBorders>
              <w:top w:val="single" w:sz="12" w:space="0" w:color="000000"/>
            </w:tcBorders>
          </w:tcPr>
          <w:p>
            <w:pPr>
              <w:pStyle w:val="TableParagraph"/>
              <w:spacing w:before="13"/>
              <w:ind w:left="117"/>
              <w:jc w:val="left"/>
              <w:rPr>
                <w:sz w:val="16"/>
              </w:rPr>
            </w:pPr>
            <w:r>
              <w:rPr>
                <w:w w:val="95"/>
                <w:sz w:val="16"/>
              </w:rPr>
              <w:t>Professional</w:t>
            </w:r>
            <w:r>
              <w:rPr>
                <w:spacing w:val="28"/>
                <w:sz w:val="16"/>
              </w:rPr>
              <w:t> </w:t>
            </w:r>
            <w:r>
              <w:rPr>
                <w:spacing w:val="-2"/>
                <w:sz w:val="16"/>
              </w:rPr>
              <w:t>staff</w:t>
            </w:r>
          </w:p>
        </w:tc>
        <w:tc>
          <w:tcPr>
            <w:tcW w:w="1218" w:type="dxa"/>
            <w:tcBorders>
              <w:top w:val="single" w:sz="12" w:space="0" w:color="000000"/>
            </w:tcBorders>
            <w:shd w:val="clear" w:color="auto" w:fill="D9D9D9"/>
          </w:tcPr>
          <w:p>
            <w:pPr>
              <w:pStyle w:val="TableParagraph"/>
              <w:jc w:val="left"/>
              <w:rPr>
                <w:sz w:val="14"/>
              </w:rPr>
            </w:pPr>
          </w:p>
        </w:tc>
        <w:tc>
          <w:tcPr>
            <w:tcW w:w="828" w:type="dxa"/>
            <w:tcBorders>
              <w:top w:val="single" w:sz="12" w:space="0" w:color="000000"/>
            </w:tcBorders>
            <w:shd w:val="clear" w:color="auto" w:fill="D9D9D9"/>
          </w:tcPr>
          <w:p>
            <w:pPr>
              <w:pStyle w:val="TableParagraph"/>
              <w:jc w:val="left"/>
              <w:rPr>
                <w:sz w:val="14"/>
              </w:rPr>
            </w:pPr>
          </w:p>
        </w:tc>
        <w:tc>
          <w:tcPr>
            <w:tcW w:w="1132" w:type="dxa"/>
            <w:tcBorders>
              <w:top w:val="single" w:sz="12" w:space="0" w:color="000000"/>
            </w:tcBorders>
            <w:shd w:val="clear" w:color="auto" w:fill="D9D9D9"/>
          </w:tcPr>
          <w:p>
            <w:pPr>
              <w:pStyle w:val="TableParagraph"/>
              <w:jc w:val="left"/>
              <w:rPr>
                <w:sz w:val="14"/>
              </w:rPr>
            </w:pPr>
          </w:p>
        </w:tc>
        <w:tc>
          <w:tcPr>
            <w:tcW w:w="1078" w:type="dxa"/>
            <w:tcBorders>
              <w:top w:val="single" w:sz="12" w:space="0" w:color="000000"/>
            </w:tcBorders>
          </w:tcPr>
          <w:p>
            <w:pPr>
              <w:pStyle w:val="TableParagraph"/>
              <w:spacing w:before="13"/>
              <w:ind w:right="51"/>
              <w:rPr>
                <w:sz w:val="16"/>
              </w:rPr>
            </w:pPr>
            <w:r>
              <w:rPr>
                <w:spacing w:val="-2"/>
                <w:sz w:val="16"/>
              </w:rPr>
              <w:t>10,594.8</w:t>
            </w:r>
          </w:p>
        </w:tc>
        <w:tc>
          <w:tcPr>
            <w:tcW w:w="1122" w:type="dxa"/>
            <w:tcBorders>
              <w:top w:val="single" w:sz="12" w:space="0" w:color="000000"/>
            </w:tcBorders>
          </w:tcPr>
          <w:p>
            <w:pPr>
              <w:pStyle w:val="TableParagraph"/>
              <w:spacing w:before="13"/>
              <w:ind w:right="183"/>
              <w:rPr>
                <w:sz w:val="16"/>
              </w:rPr>
            </w:pPr>
            <w:r>
              <w:rPr>
                <w:spacing w:val="-2"/>
                <w:sz w:val="16"/>
              </w:rPr>
              <w:t>458.8</w:t>
            </w:r>
          </w:p>
        </w:tc>
        <w:tc>
          <w:tcPr>
            <w:tcW w:w="753" w:type="dxa"/>
            <w:tcBorders>
              <w:top w:val="single" w:sz="12" w:space="0" w:color="000000"/>
            </w:tcBorders>
          </w:tcPr>
          <w:p>
            <w:pPr>
              <w:pStyle w:val="TableParagraph"/>
              <w:spacing w:before="13"/>
              <w:ind w:right="177"/>
              <w:rPr>
                <w:sz w:val="16"/>
              </w:rPr>
            </w:pPr>
            <w:r>
              <w:rPr>
                <w:spacing w:val="-5"/>
                <w:sz w:val="16"/>
              </w:rPr>
              <w:t>4.3</w:t>
            </w:r>
          </w:p>
        </w:tc>
        <w:tc>
          <w:tcPr>
            <w:tcW w:w="1053" w:type="dxa"/>
            <w:tcBorders>
              <w:top w:val="single" w:sz="12" w:space="0" w:color="000000"/>
            </w:tcBorders>
          </w:tcPr>
          <w:p>
            <w:pPr>
              <w:pStyle w:val="TableParagraph"/>
              <w:spacing w:before="13"/>
              <w:ind w:right="102"/>
              <w:rPr>
                <w:sz w:val="16"/>
              </w:rPr>
            </w:pPr>
            <w:r>
              <w:rPr>
                <w:spacing w:val="-2"/>
                <w:sz w:val="16"/>
              </w:rPr>
              <w:t>11,053.6</w:t>
            </w:r>
          </w:p>
        </w:tc>
      </w:tr>
      <w:tr>
        <w:trPr>
          <w:trHeight w:val="223" w:hRule="atLeast"/>
        </w:trPr>
        <w:tc>
          <w:tcPr>
            <w:tcW w:w="2461" w:type="dxa"/>
            <w:tcBorders>
              <w:bottom w:val="single" w:sz="4" w:space="0" w:color="000000"/>
            </w:tcBorders>
          </w:tcPr>
          <w:p>
            <w:pPr>
              <w:pStyle w:val="TableParagraph"/>
              <w:spacing w:before="8"/>
              <w:ind w:left="117"/>
              <w:jc w:val="left"/>
              <w:rPr>
                <w:sz w:val="16"/>
              </w:rPr>
            </w:pPr>
            <w:r>
              <w:rPr>
                <w:sz w:val="16"/>
              </w:rPr>
              <w:t>General</w:t>
            </w:r>
            <w:r>
              <w:rPr>
                <w:spacing w:val="-6"/>
                <w:sz w:val="16"/>
              </w:rPr>
              <w:t> </w:t>
            </w:r>
            <w:r>
              <w:rPr>
                <w:sz w:val="16"/>
              </w:rPr>
              <w:t>Service</w:t>
            </w:r>
            <w:r>
              <w:rPr>
                <w:spacing w:val="-4"/>
                <w:sz w:val="16"/>
              </w:rPr>
              <w:t> staff</w:t>
            </w:r>
          </w:p>
        </w:tc>
        <w:tc>
          <w:tcPr>
            <w:tcW w:w="1218" w:type="dxa"/>
            <w:tcBorders>
              <w:bottom w:val="single" w:sz="4" w:space="0" w:color="000000"/>
            </w:tcBorders>
            <w:shd w:val="clear" w:color="auto" w:fill="D9D9D9"/>
          </w:tcPr>
          <w:p>
            <w:pPr>
              <w:pStyle w:val="TableParagraph"/>
              <w:jc w:val="left"/>
              <w:rPr>
                <w:sz w:val="14"/>
              </w:rPr>
            </w:pPr>
          </w:p>
        </w:tc>
        <w:tc>
          <w:tcPr>
            <w:tcW w:w="828" w:type="dxa"/>
            <w:tcBorders>
              <w:bottom w:val="single" w:sz="4" w:space="0" w:color="000000"/>
            </w:tcBorders>
            <w:shd w:val="clear" w:color="auto" w:fill="D9D9D9"/>
          </w:tcPr>
          <w:p>
            <w:pPr>
              <w:pStyle w:val="TableParagraph"/>
              <w:jc w:val="left"/>
              <w:rPr>
                <w:sz w:val="14"/>
              </w:rPr>
            </w:pPr>
          </w:p>
        </w:tc>
        <w:tc>
          <w:tcPr>
            <w:tcW w:w="1132" w:type="dxa"/>
            <w:tcBorders>
              <w:bottom w:val="single" w:sz="4" w:space="0" w:color="000000"/>
            </w:tcBorders>
            <w:shd w:val="clear" w:color="auto" w:fill="D9D9D9"/>
          </w:tcPr>
          <w:p>
            <w:pPr>
              <w:pStyle w:val="TableParagraph"/>
              <w:jc w:val="left"/>
              <w:rPr>
                <w:sz w:val="14"/>
              </w:rPr>
            </w:pPr>
          </w:p>
        </w:tc>
        <w:tc>
          <w:tcPr>
            <w:tcW w:w="1078" w:type="dxa"/>
            <w:tcBorders>
              <w:bottom w:val="single" w:sz="4" w:space="0" w:color="000000"/>
            </w:tcBorders>
          </w:tcPr>
          <w:p>
            <w:pPr>
              <w:pStyle w:val="TableParagraph"/>
              <w:spacing w:before="8"/>
              <w:ind w:right="51"/>
              <w:rPr>
                <w:sz w:val="16"/>
              </w:rPr>
            </w:pPr>
            <w:r>
              <w:rPr>
                <w:spacing w:val="-2"/>
                <w:sz w:val="16"/>
              </w:rPr>
              <w:t>3,866.6</w:t>
            </w:r>
          </w:p>
        </w:tc>
        <w:tc>
          <w:tcPr>
            <w:tcW w:w="1122" w:type="dxa"/>
            <w:tcBorders>
              <w:bottom w:val="single" w:sz="4" w:space="0" w:color="000000"/>
            </w:tcBorders>
          </w:tcPr>
          <w:p>
            <w:pPr>
              <w:pStyle w:val="TableParagraph"/>
              <w:spacing w:before="8"/>
              <w:ind w:right="181"/>
              <w:rPr>
                <w:sz w:val="16"/>
              </w:rPr>
            </w:pPr>
            <w:r>
              <w:rPr>
                <w:spacing w:val="-2"/>
                <w:sz w:val="16"/>
              </w:rPr>
              <w:t>(168.9)</w:t>
            </w:r>
          </w:p>
        </w:tc>
        <w:tc>
          <w:tcPr>
            <w:tcW w:w="753" w:type="dxa"/>
            <w:tcBorders>
              <w:bottom w:val="single" w:sz="4" w:space="0" w:color="000000"/>
            </w:tcBorders>
          </w:tcPr>
          <w:p>
            <w:pPr>
              <w:pStyle w:val="TableParagraph"/>
              <w:spacing w:before="8"/>
              <w:ind w:right="175"/>
              <w:rPr>
                <w:sz w:val="16"/>
              </w:rPr>
            </w:pPr>
            <w:r>
              <w:rPr>
                <w:spacing w:val="-2"/>
                <w:sz w:val="16"/>
              </w:rPr>
              <w:t>(4.4)</w:t>
            </w:r>
          </w:p>
        </w:tc>
        <w:tc>
          <w:tcPr>
            <w:tcW w:w="1053" w:type="dxa"/>
            <w:tcBorders>
              <w:bottom w:val="single" w:sz="4" w:space="0" w:color="000000"/>
            </w:tcBorders>
          </w:tcPr>
          <w:p>
            <w:pPr>
              <w:pStyle w:val="TableParagraph"/>
              <w:spacing w:before="8"/>
              <w:ind w:right="102"/>
              <w:rPr>
                <w:sz w:val="16"/>
              </w:rPr>
            </w:pPr>
            <w:r>
              <w:rPr>
                <w:spacing w:val="-2"/>
                <w:sz w:val="16"/>
              </w:rPr>
              <w:t>3,697.7</w:t>
            </w:r>
          </w:p>
        </w:tc>
      </w:tr>
      <w:tr>
        <w:trPr>
          <w:trHeight w:val="225" w:hRule="atLeast"/>
        </w:trPr>
        <w:tc>
          <w:tcPr>
            <w:tcW w:w="2461" w:type="dxa"/>
            <w:tcBorders>
              <w:top w:val="single" w:sz="4" w:space="0" w:color="000000"/>
              <w:bottom w:val="single" w:sz="4" w:space="0" w:color="000000"/>
            </w:tcBorders>
          </w:tcPr>
          <w:p>
            <w:pPr>
              <w:pStyle w:val="TableParagraph"/>
              <w:spacing w:before="9"/>
              <w:ind w:right="104"/>
              <w:rPr>
                <w:i/>
                <w:sz w:val="16"/>
              </w:rPr>
            </w:pPr>
            <w:r>
              <w:rPr>
                <w:i/>
                <w:sz w:val="16"/>
              </w:rPr>
              <w:t>Subtotal</w:t>
            </w:r>
            <w:r>
              <w:rPr>
                <w:i/>
                <w:spacing w:val="-1"/>
                <w:sz w:val="16"/>
              </w:rPr>
              <w:t> </w:t>
            </w:r>
            <w:r>
              <w:rPr>
                <w:i/>
                <w:spacing w:val="-2"/>
                <w:sz w:val="16"/>
              </w:rPr>
              <w:t>staff</w:t>
            </w:r>
          </w:p>
        </w:tc>
        <w:tc>
          <w:tcPr>
            <w:tcW w:w="1218" w:type="dxa"/>
            <w:tcBorders>
              <w:top w:val="single" w:sz="4" w:space="0" w:color="000000"/>
              <w:bottom w:val="single" w:sz="4" w:space="0" w:color="000000"/>
            </w:tcBorders>
          </w:tcPr>
          <w:p>
            <w:pPr>
              <w:pStyle w:val="TableParagraph"/>
              <w:spacing w:before="9"/>
              <w:ind w:right="192"/>
              <w:rPr>
                <w:i/>
                <w:sz w:val="16"/>
              </w:rPr>
            </w:pPr>
            <w:r>
              <w:rPr>
                <w:i/>
                <w:spacing w:val="-2"/>
                <w:sz w:val="16"/>
              </w:rPr>
              <w:t>13,985.8</w:t>
            </w:r>
          </w:p>
        </w:tc>
        <w:tc>
          <w:tcPr>
            <w:tcW w:w="828" w:type="dxa"/>
            <w:tcBorders>
              <w:top w:val="single" w:sz="4" w:space="0" w:color="000000"/>
              <w:bottom w:val="single" w:sz="4" w:space="0" w:color="000000"/>
            </w:tcBorders>
          </w:tcPr>
          <w:p>
            <w:pPr>
              <w:pStyle w:val="TableParagraph"/>
              <w:spacing w:before="9"/>
              <w:ind w:right="108"/>
              <w:rPr>
                <w:i/>
                <w:sz w:val="16"/>
              </w:rPr>
            </w:pPr>
            <w:r>
              <w:rPr>
                <w:i/>
                <w:w w:val="98"/>
                <w:sz w:val="16"/>
              </w:rPr>
              <w:t>-</w:t>
            </w:r>
          </w:p>
        </w:tc>
        <w:tc>
          <w:tcPr>
            <w:tcW w:w="1132" w:type="dxa"/>
            <w:tcBorders>
              <w:top w:val="single" w:sz="4" w:space="0" w:color="000000"/>
              <w:bottom w:val="single" w:sz="4" w:space="0" w:color="000000"/>
            </w:tcBorders>
          </w:tcPr>
          <w:p>
            <w:pPr>
              <w:pStyle w:val="TableParagraph"/>
              <w:spacing w:before="9"/>
              <w:ind w:right="106"/>
              <w:rPr>
                <w:i/>
                <w:sz w:val="16"/>
              </w:rPr>
            </w:pPr>
            <w:r>
              <w:rPr>
                <w:i/>
                <w:spacing w:val="-2"/>
                <w:sz w:val="16"/>
              </w:rPr>
              <w:t>13,985.8</w:t>
            </w:r>
          </w:p>
        </w:tc>
        <w:tc>
          <w:tcPr>
            <w:tcW w:w="1078" w:type="dxa"/>
            <w:tcBorders>
              <w:top w:val="single" w:sz="4" w:space="0" w:color="000000"/>
              <w:bottom w:val="single" w:sz="4" w:space="0" w:color="000000"/>
            </w:tcBorders>
          </w:tcPr>
          <w:p>
            <w:pPr>
              <w:pStyle w:val="TableParagraph"/>
              <w:spacing w:before="9"/>
              <w:ind w:right="51"/>
              <w:rPr>
                <w:i/>
                <w:sz w:val="16"/>
              </w:rPr>
            </w:pPr>
            <w:r>
              <w:rPr>
                <w:i/>
                <w:spacing w:val="-2"/>
                <w:sz w:val="16"/>
              </w:rPr>
              <w:t>14,461.4</w:t>
            </w:r>
          </w:p>
        </w:tc>
        <w:tc>
          <w:tcPr>
            <w:tcW w:w="1122" w:type="dxa"/>
            <w:tcBorders>
              <w:top w:val="single" w:sz="4" w:space="0" w:color="000000"/>
              <w:bottom w:val="single" w:sz="4" w:space="0" w:color="000000"/>
            </w:tcBorders>
          </w:tcPr>
          <w:p>
            <w:pPr>
              <w:pStyle w:val="TableParagraph"/>
              <w:spacing w:before="9"/>
              <w:ind w:right="183"/>
              <w:rPr>
                <w:i/>
                <w:sz w:val="16"/>
              </w:rPr>
            </w:pPr>
            <w:r>
              <w:rPr>
                <w:i/>
                <w:spacing w:val="-2"/>
                <w:sz w:val="16"/>
              </w:rPr>
              <w:t>289.9</w:t>
            </w:r>
          </w:p>
        </w:tc>
        <w:tc>
          <w:tcPr>
            <w:tcW w:w="753" w:type="dxa"/>
            <w:tcBorders>
              <w:top w:val="single" w:sz="4" w:space="0" w:color="000000"/>
              <w:bottom w:val="single" w:sz="4" w:space="0" w:color="000000"/>
            </w:tcBorders>
          </w:tcPr>
          <w:p>
            <w:pPr>
              <w:pStyle w:val="TableParagraph"/>
              <w:spacing w:before="9"/>
              <w:ind w:right="177"/>
              <w:rPr>
                <w:i/>
                <w:sz w:val="16"/>
              </w:rPr>
            </w:pPr>
            <w:r>
              <w:rPr>
                <w:i/>
                <w:spacing w:val="-5"/>
                <w:sz w:val="16"/>
              </w:rPr>
              <w:t>2.0</w:t>
            </w:r>
          </w:p>
        </w:tc>
        <w:tc>
          <w:tcPr>
            <w:tcW w:w="1053" w:type="dxa"/>
            <w:tcBorders>
              <w:top w:val="single" w:sz="4" w:space="0" w:color="000000"/>
              <w:bottom w:val="single" w:sz="4" w:space="0" w:color="000000"/>
            </w:tcBorders>
          </w:tcPr>
          <w:p>
            <w:pPr>
              <w:pStyle w:val="TableParagraph"/>
              <w:spacing w:before="9"/>
              <w:ind w:right="102"/>
              <w:rPr>
                <w:i/>
                <w:sz w:val="16"/>
              </w:rPr>
            </w:pPr>
            <w:r>
              <w:rPr>
                <w:i/>
                <w:spacing w:val="-2"/>
                <w:sz w:val="16"/>
              </w:rPr>
              <w:t>14,751.3</w:t>
            </w:r>
          </w:p>
        </w:tc>
      </w:tr>
      <w:tr>
        <w:trPr>
          <w:trHeight w:val="231" w:hRule="atLeast"/>
        </w:trPr>
        <w:tc>
          <w:tcPr>
            <w:tcW w:w="2461" w:type="dxa"/>
            <w:tcBorders>
              <w:top w:val="single" w:sz="4" w:space="0" w:color="000000"/>
            </w:tcBorders>
          </w:tcPr>
          <w:p>
            <w:pPr>
              <w:pStyle w:val="TableParagraph"/>
              <w:spacing w:before="14"/>
              <w:ind w:left="117"/>
              <w:jc w:val="left"/>
              <w:rPr>
                <w:sz w:val="16"/>
              </w:rPr>
            </w:pPr>
            <w:r>
              <w:rPr>
                <w:sz w:val="16"/>
              </w:rPr>
              <w:t>General</w:t>
            </w:r>
            <w:r>
              <w:rPr>
                <w:spacing w:val="-4"/>
                <w:sz w:val="16"/>
              </w:rPr>
              <w:t> </w:t>
            </w:r>
            <w:r>
              <w:rPr>
                <w:sz w:val="16"/>
              </w:rPr>
              <w:t>temporary</w:t>
            </w:r>
            <w:r>
              <w:rPr>
                <w:spacing w:val="-1"/>
                <w:sz w:val="16"/>
              </w:rPr>
              <w:t> </w:t>
            </w:r>
            <w:r>
              <w:rPr>
                <w:spacing w:val="-2"/>
                <w:sz w:val="16"/>
              </w:rPr>
              <w:t>assistance</w:t>
            </w:r>
          </w:p>
        </w:tc>
        <w:tc>
          <w:tcPr>
            <w:tcW w:w="1218" w:type="dxa"/>
            <w:tcBorders>
              <w:top w:val="single" w:sz="4" w:space="0" w:color="000000"/>
            </w:tcBorders>
          </w:tcPr>
          <w:p>
            <w:pPr>
              <w:pStyle w:val="TableParagraph"/>
              <w:spacing w:before="14"/>
              <w:ind w:right="192"/>
              <w:rPr>
                <w:sz w:val="16"/>
              </w:rPr>
            </w:pPr>
            <w:r>
              <w:rPr>
                <w:spacing w:val="-2"/>
                <w:sz w:val="16"/>
              </w:rPr>
              <w:t>1,813.6</w:t>
            </w:r>
          </w:p>
        </w:tc>
        <w:tc>
          <w:tcPr>
            <w:tcW w:w="828" w:type="dxa"/>
            <w:tcBorders>
              <w:top w:val="single" w:sz="4" w:space="0" w:color="000000"/>
            </w:tcBorders>
          </w:tcPr>
          <w:p>
            <w:pPr>
              <w:pStyle w:val="TableParagraph"/>
              <w:spacing w:before="14"/>
              <w:ind w:right="108"/>
              <w:rPr>
                <w:sz w:val="16"/>
              </w:rPr>
            </w:pPr>
            <w:r>
              <w:rPr>
                <w:w w:val="98"/>
                <w:sz w:val="16"/>
              </w:rPr>
              <w:t>-</w:t>
            </w:r>
          </w:p>
        </w:tc>
        <w:tc>
          <w:tcPr>
            <w:tcW w:w="1132" w:type="dxa"/>
            <w:tcBorders>
              <w:top w:val="single" w:sz="4" w:space="0" w:color="000000"/>
            </w:tcBorders>
          </w:tcPr>
          <w:p>
            <w:pPr>
              <w:pStyle w:val="TableParagraph"/>
              <w:spacing w:before="14"/>
              <w:ind w:right="106"/>
              <w:rPr>
                <w:sz w:val="16"/>
              </w:rPr>
            </w:pPr>
            <w:r>
              <w:rPr>
                <w:spacing w:val="-2"/>
                <w:sz w:val="16"/>
              </w:rPr>
              <w:t>1,813.6</w:t>
            </w:r>
          </w:p>
        </w:tc>
        <w:tc>
          <w:tcPr>
            <w:tcW w:w="1078" w:type="dxa"/>
            <w:tcBorders>
              <w:top w:val="single" w:sz="4" w:space="0" w:color="000000"/>
            </w:tcBorders>
          </w:tcPr>
          <w:p>
            <w:pPr>
              <w:pStyle w:val="TableParagraph"/>
              <w:spacing w:before="14"/>
              <w:ind w:right="51"/>
              <w:rPr>
                <w:sz w:val="16"/>
              </w:rPr>
            </w:pPr>
            <w:r>
              <w:rPr>
                <w:spacing w:val="-2"/>
                <w:sz w:val="16"/>
              </w:rPr>
              <w:t>1,701.1</w:t>
            </w:r>
          </w:p>
        </w:tc>
        <w:tc>
          <w:tcPr>
            <w:tcW w:w="1122" w:type="dxa"/>
            <w:tcBorders>
              <w:top w:val="single" w:sz="4" w:space="0" w:color="000000"/>
            </w:tcBorders>
          </w:tcPr>
          <w:p>
            <w:pPr>
              <w:pStyle w:val="TableParagraph"/>
              <w:spacing w:before="14"/>
              <w:ind w:right="183"/>
              <w:rPr>
                <w:sz w:val="16"/>
              </w:rPr>
            </w:pPr>
            <w:r>
              <w:rPr>
                <w:spacing w:val="-2"/>
                <w:sz w:val="16"/>
              </w:rPr>
              <w:t>1,227.9</w:t>
            </w:r>
          </w:p>
        </w:tc>
        <w:tc>
          <w:tcPr>
            <w:tcW w:w="753" w:type="dxa"/>
            <w:tcBorders>
              <w:top w:val="single" w:sz="4" w:space="0" w:color="000000"/>
            </w:tcBorders>
          </w:tcPr>
          <w:p>
            <w:pPr>
              <w:pStyle w:val="TableParagraph"/>
              <w:spacing w:before="14"/>
              <w:ind w:right="172"/>
              <w:rPr>
                <w:sz w:val="16"/>
              </w:rPr>
            </w:pPr>
            <w:r>
              <w:rPr>
                <w:spacing w:val="-4"/>
                <w:sz w:val="16"/>
              </w:rPr>
              <w:t>72.2</w:t>
            </w:r>
          </w:p>
        </w:tc>
        <w:tc>
          <w:tcPr>
            <w:tcW w:w="1053" w:type="dxa"/>
            <w:tcBorders>
              <w:top w:val="single" w:sz="4" w:space="0" w:color="000000"/>
            </w:tcBorders>
          </w:tcPr>
          <w:p>
            <w:pPr>
              <w:pStyle w:val="TableParagraph"/>
              <w:spacing w:before="14"/>
              <w:ind w:right="102"/>
              <w:rPr>
                <w:sz w:val="16"/>
              </w:rPr>
            </w:pPr>
            <w:r>
              <w:rPr>
                <w:spacing w:val="-2"/>
                <w:sz w:val="16"/>
              </w:rPr>
              <w:t>2,929.0</w:t>
            </w:r>
          </w:p>
        </w:tc>
      </w:tr>
      <w:tr>
        <w:trPr>
          <w:trHeight w:val="225" w:hRule="atLeast"/>
        </w:trPr>
        <w:tc>
          <w:tcPr>
            <w:tcW w:w="2461" w:type="dxa"/>
          </w:tcPr>
          <w:p>
            <w:pPr>
              <w:pStyle w:val="TableParagraph"/>
              <w:spacing w:before="8"/>
              <w:ind w:left="117"/>
              <w:jc w:val="left"/>
              <w:rPr>
                <w:sz w:val="16"/>
              </w:rPr>
            </w:pPr>
            <w:r>
              <w:rPr>
                <w:sz w:val="16"/>
              </w:rPr>
              <w:t>Temporary</w:t>
            </w:r>
            <w:r>
              <w:rPr>
                <w:spacing w:val="-3"/>
                <w:sz w:val="16"/>
              </w:rPr>
              <w:t> </w:t>
            </w:r>
            <w:r>
              <w:rPr>
                <w:sz w:val="16"/>
              </w:rPr>
              <w:t>assistance</w:t>
            </w:r>
            <w:r>
              <w:rPr>
                <w:spacing w:val="-4"/>
                <w:sz w:val="16"/>
              </w:rPr>
              <w:t> </w:t>
            </w:r>
            <w:r>
              <w:rPr>
                <w:sz w:val="16"/>
              </w:rPr>
              <w:t>for</w:t>
            </w:r>
            <w:r>
              <w:rPr>
                <w:spacing w:val="-5"/>
                <w:sz w:val="16"/>
              </w:rPr>
              <w:t> </w:t>
            </w:r>
            <w:r>
              <w:rPr>
                <w:spacing w:val="-2"/>
                <w:sz w:val="16"/>
              </w:rPr>
              <w:t>meetings</w:t>
            </w:r>
          </w:p>
        </w:tc>
        <w:tc>
          <w:tcPr>
            <w:tcW w:w="1218" w:type="dxa"/>
          </w:tcPr>
          <w:p>
            <w:pPr>
              <w:pStyle w:val="TableParagraph"/>
              <w:spacing w:before="8"/>
              <w:ind w:right="193"/>
              <w:rPr>
                <w:sz w:val="16"/>
              </w:rPr>
            </w:pPr>
            <w:r>
              <w:rPr>
                <w:w w:val="98"/>
                <w:sz w:val="16"/>
              </w:rPr>
              <w:t>-</w:t>
            </w:r>
          </w:p>
        </w:tc>
        <w:tc>
          <w:tcPr>
            <w:tcW w:w="828" w:type="dxa"/>
          </w:tcPr>
          <w:p>
            <w:pPr>
              <w:pStyle w:val="TableParagraph"/>
              <w:spacing w:before="8"/>
              <w:ind w:right="108"/>
              <w:rPr>
                <w:sz w:val="16"/>
              </w:rPr>
            </w:pPr>
            <w:r>
              <w:rPr>
                <w:w w:val="98"/>
                <w:sz w:val="16"/>
              </w:rPr>
              <w:t>-</w:t>
            </w:r>
          </w:p>
        </w:tc>
        <w:tc>
          <w:tcPr>
            <w:tcW w:w="1132" w:type="dxa"/>
          </w:tcPr>
          <w:p>
            <w:pPr>
              <w:pStyle w:val="TableParagraph"/>
              <w:spacing w:before="8"/>
              <w:ind w:right="107"/>
              <w:rPr>
                <w:sz w:val="16"/>
              </w:rPr>
            </w:pPr>
            <w:r>
              <w:rPr>
                <w:w w:val="98"/>
                <w:sz w:val="16"/>
              </w:rPr>
              <w:t>-</w:t>
            </w:r>
          </w:p>
        </w:tc>
        <w:tc>
          <w:tcPr>
            <w:tcW w:w="1078" w:type="dxa"/>
          </w:tcPr>
          <w:p>
            <w:pPr>
              <w:pStyle w:val="TableParagraph"/>
              <w:spacing w:before="8"/>
              <w:ind w:right="50"/>
              <w:rPr>
                <w:sz w:val="16"/>
              </w:rPr>
            </w:pPr>
            <w:r>
              <w:rPr>
                <w:spacing w:val="-2"/>
                <w:sz w:val="16"/>
              </w:rPr>
              <w:t>116.5</w:t>
            </w:r>
          </w:p>
        </w:tc>
        <w:tc>
          <w:tcPr>
            <w:tcW w:w="1122" w:type="dxa"/>
          </w:tcPr>
          <w:p>
            <w:pPr>
              <w:pStyle w:val="TableParagraph"/>
              <w:spacing w:before="8"/>
              <w:ind w:right="183"/>
              <w:rPr>
                <w:sz w:val="16"/>
              </w:rPr>
            </w:pPr>
            <w:r>
              <w:rPr>
                <w:spacing w:val="-4"/>
                <w:sz w:val="16"/>
              </w:rPr>
              <w:t>49.5</w:t>
            </w:r>
          </w:p>
        </w:tc>
        <w:tc>
          <w:tcPr>
            <w:tcW w:w="753" w:type="dxa"/>
          </w:tcPr>
          <w:p>
            <w:pPr>
              <w:pStyle w:val="TableParagraph"/>
              <w:spacing w:before="8"/>
              <w:ind w:right="172"/>
              <w:rPr>
                <w:sz w:val="16"/>
              </w:rPr>
            </w:pPr>
            <w:r>
              <w:rPr>
                <w:spacing w:val="-4"/>
                <w:sz w:val="16"/>
              </w:rPr>
              <w:t>42.5</w:t>
            </w:r>
          </w:p>
        </w:tc>
        <w:tc>
          <w:tcPr>
            <w:tcW w:w="1053" w:type="dxa"/>
          </w:tcPr>
          <w:p>
            <w:pPr>
              <w:pStyle w:val="TableParagraph"/>
              <w:spacing w:before="8"/>
              <w:ind w:right="102"/>
              <w:rPr>
                <w:sz w:val="16"/>
              </w:rPr>
            </w:pPr>
            <w:r>
              <w:rPr>
                <w:spacing w:val="-2"/>
                <w:sz w:val="16"/>
              </w:rPr>
              <w:t>166.0</w:t>
            </w:r>
          </w:p>
        </w:tc>
      </w:tr>
      <w:tr>
        <w:trPr>
          <w:trHeight w:val="223" w:hRule="atLeast"/>
        </w:trPr>
        <w:tc>
          <w:tcPr>
            <w:tcW w:w="2461" w:type="dxa"/>
            <w:tcBorders>
              <w:bottom w:val="single" w:sz="4" w:space="0" w:color="000000"/>
            </w:tcBorders>
          </w:tcPr>
          <w:p>
            <w:pPr>
              <w:pStyle w:val="TableParagraph"/>
              <w:spacing w:before="8"/>
              <w:ind w:left="117"/>
              <w:jc w:val="left"/>
              <w:rPr>
                <w:sz w:val="16"/>
              </w:rPr>
            </w:pPr>
            <w:r>
              <w:rPr>
                <w:spacing w:val="-2"/>
                <w:sz w:val="16"/>
              </w:rPr>
              <w:t>Overtime</w:t>
            </w:r>
          </w:p>
        </w:tc>
        <w:tc>
          <w:tcPr>
            <w:tcW w:w="1218" w:type="dxa"/>
            <w:tcBorders>
              <w:bottom w:val="single" w:sz="4" w:space="0" w:color="000000"/>
            </w:tcBorders>
          </w:tcPr>
          <w:p>
            <w:pPr>
              <w:pStyle w:val="TableParagraph"/>
              <w:spacing w:before="8"/>
              <w:ind w:right="193"/>
              <w:rPr>
                <w:sz w:val="16"/>
              </w:rPr>
            </w:pPr>
            <w:r>
              <w:rPr>
                <w:w w:val="98"/>
                <w:sz w:val="16"/>
              </w:rPr>
              <w:t>-</w:t>
            </w:r>
          </w:p>
        </w:tc>
        <w:tc>
          <w:tcPr>
            <w:tcW w:w="828" w:type="dxa"/>
            <w:tcBorders>
              <w:bottom w:val="single" w:sz="4" w:space="0" w:color="000000"/>
            </w:tcBorders>
          </w:tcPr>
          <w:p>
            <w:pPr>
              <w:pStyle w:val="TableParagraph"/>
              <w:spacing w:before="8"/>
              <w:ind w:right="108"/>
              <w:rPr>
                <w:sz w:val="16"/>
              </w:rPr>
            </w:pPr>
            <w:r>
              <w:rPr>
                <w:w w:val="98"/>
                <w:sz w:val="16"/>
              </w:rPr>
              <w:t>-</w:t>
            </w:r>
          </w:p>
        </w:tc>
        <w:tc>
          <w:tcPr>
            <w:tcW w:w="1132" w:type="dxa"/>
            <w:tcBorders>
              <w:bottom w:val="single" w:sz="4" w:space="0" w:color="000000"/>
            </w:tcBorders>
          </w:tcPr>
          <w:p>
            <w:pPr>
              <w:pStyle w:val="TableParagraph"/>
              <w:spacing w:before="8"/>
              <w:ind w:right="107"/>
              <w:rPr>
                <w:sz w:val="16"/>
              </w:rPr>
            </w:pPr>
            <w:r>
              <w:rPr>
                <w:w w:val="98"/>
                <w:sz w:val="16"/>
              </w:rPr>
              <w:t>-</w:t>
            </w:r>
          </w:p>
        </w:tc>
        <w:tc>
          <w:tcPr>
            <w:tcW w:w="1078" w:type="dxa"/>
            <w:tcBorders>
              <w:bottom w:val="single" w:sz="4" w:space="0" w:color="000000"/>
            </w:tcBorders>
          </w:tcPr>
          <w:p>
            <w:pPr>
              <w:pStyle w:val="TableParagraph"/>
              <w:spacing w:before="8"/>
              <w:ind w:right="52"/>
              <w:rPr>
                <w:sz w:val="16"/>
              </w:rPr>
            </w:pPr>
            <w:r>
              <w:rPr>
                <w:w w:val="98"/>
                <w:sz w:val="16"/>
              </w:rPr>
              <w:t>-</w:t>
            </w:r>
          </w:p>
        </w:tc>
        <w:tc>
          <w:tcPr>
            <w:tcW w:w="1122" w:type="dxa"/>
            <w:tcBorders>
              <w:bottom w:val="single" w:sz="4" w:space="0" w:color="000000"/>
            </w:tcBorders>
          </w:tcPr>
          <w:p>
            <w:pPr>
              <w:pStyle w:val="TableParagraph"/>
              <w:spacing w:before="8"/>
              <w:ind w:right="185"/>
              <w:rPr>
                <w:sz w:val="16"/>
              </w:rPr>
            </w:pPr>
            <w:r>
              <w:rPr>
                <w:w w:val="98"/>
                <w:sz w:val="16"/>
              </w:rPr>
              <w:t>-</w:t>
            </w:r>
          </w:p>
        </w:tc>
        <w:tc>
          <w:tcPr>
            <w:tcW w:w="753" w:type="dxa"/>
            <w:tcBorders>
              <w:bottom w:val="single" w:sz="4" w:space="0" w:color="000000"/>
            </w:tcBorders>
          </w:tcPr>
          <w:p>
            <w:pPr>
              <w:pStyle w:val="TableParagraph"/>
              <w:spacing w:before="8"/>
              <w:ind w:right="174"/>
              <w:rPr>
                <w:sz w:val="16"/>
              </w:rPr>
            </w:pPr>
            <w:r>
              <w:rPr>
                <w:w w:val="98"/>
                <w:sz w:val="16"/>
              </w:rPr>
              <w:t>-</w:t>
            </w:r>
          </w:p>
        </w:tc>
        <w:tc>
          <w:tcPr>
            <w:tcW w:w="1053" w:type="dxa"/>
            <w:tcBorders>
              <w:bottom w:val="single" w:sz="4" w:space="0" w:color="000000"/>
            </w:tcBorders>
          </w:tcPr>
          <w:p>
            <w:pPr>
              <w:pStyle w:val="TableParagraph"/>
              <w:spacing w:before="8"/>
              <w:ind w:right="103"/>
              <w:rPr>
                <w:sz w:val="16"/>
              </w:rPr>
            </w:pPr>
            <w:r>
              <w:rPr>
                <w:w w:val="98"/>
                <w:sz w:val="16"/>
              </w:rPr>
              <w:t>-</w:t>
            </w:r>
          </w:p>
        </w:tc>
      </w:tr>
      <w:tr>
        <w:trPr>
          <w:trHeight w:val="230" w:hRule="atLeast"/>
        </w:trPr>
        <w:tc>
          <w:tcPr>
            <w:tcW w:w="2461" w:type="dxa"/>
            <w:tcBorders>
              <w:top w:val="single" w:sz="4" w:space="0" w:color="000000"/>
              <w:bottom w:val="single" w:sz="4" w:space="0" w:color="000000"/>
            </w:tcBorders>
          </w:tcPr>
          <w:p>
            <w:pPr>
              <w:pStyle w:val="TableParagraph"/>
              <w:spacing w:before="14"/>
              <w:ind w:right="105"/>
              <w:rPr>
                <w:i/>
                <w:sz w:val="16"/>
              </w:rPr>
            </w:pPr>
            <w:r>
              <w:rPr>
                <w:i/>
                <w:sz w:val="16"/>
              </w:rPr>
              <w:t>Subtotal</w:t>
            </w:r>
            <w:r>
              <w:rPr>
                <w:i/>
                <w:spacing w:val="-2"/>
                <w:sz w:val="16"/>
              </w:rPr>
              <w:t> </w:t>
            </w:r>
            <w:r>
              <w:rPr>
                <w:i/>
                <w:sz w:val="16"/>
              </w:rPr>
              <w:t>other</w:t>
            </w:r>
            <w:r>
              <w:rPr>
                <w:i/>
                <w:spacing w:val="-1"/>
                <w:sz w:val="16"/>
              </w:rPr>
              <w:t> </w:t>
            </w:r>
            <w:r>
              <w:rPr>
                <w:i/>
                <w:spacing w:val="-2"/>
                <w:sz w:val="16"/>
              </w:rPr>
              <w:t>staff</w:t>
            </w:r>
          </w:p>
        </w:tc>
        <w:tc>
          <w:tcPr>
            <w:tcW w:w="1218" w:type="dxa"/>
            <w:tcBorders>
              <w:top w:val="single" w:sz="4" w:space="0" w:color="000000"/>
              <w:bottom w:val="single" w:sz="4" w:space="0" w:color="000000"/>
            </w:tcBorders>
          </w:tcPr>
          <w:p>
            <w:pPr>
              <w:pStyle w:val="TableParagraph"/>
              <w:spacing w:before="14"/>
              <w:ind w:right="192"/>
              <w:rPr>
                <w:i/>
                <w:sz w:val="16"/>
              </w:rPr>
            </w:pPr>
            <w:r>
              <w:rPr>
                <w:i/>
                <w:spacing w:val="-2"/>
                <w:sz w:val="16"/>
              </w:rPr>
              <w:t>1,813.6</w:t>
            </w:r>
          </w:p>
        </w:tc>
        <w:tc>
          <w:tcPr>
            <w:tcW w:w="828" w:type="dxa"/>
            <w:tcBorders>
              <w:top w:val="single" w:sz="4" w:space="0" w:color="000000"/>
              <w:bottom w:val="single" w:sz="4" w:space="0" w:color="000000"/>
            </w:tcBorders>
          </w:tcPr>
          <w:p>
            <w:pPr>
              <w:pStyle w:val="TableParagraph"/>
              <w:spacing w:before="14"/>
              <w:ind w:right="108"/>
              <w:rPr>
                <w:i/>
                <w:sz w:val="16"/>
              </w:rPr>
            </w:pPr>
            <w:r>
              <w:rPr>
                <w:i/>
                <w:w w:val="98"/>
                <w:sz w:val="16"/>
              </w:rPr>
              <w:t>-</w:t>
            </w:r>
          </w:p>
        </w:tc>
        <w:tc>
          <w:tcPr>
            <w:tcW w:w="1132" w:type="dxa"/>
            <w:tcBorders>
              <w:top w:val="single" w:sz="4" w:space="0" w:color="000000"/>
              <w:bottom w:val="single" w:sz="4" w:space="0" w:color="000000"/>
            </w:tcBorders>
          </w:tcPr>
          <w:p>
            <w:pPr>
              <w:pStyle w:val="TableParagraph"/>
              <w:spacing w:before="14"/>
              <w:ind w:right="106"/>
              <w:rPr>
                <w:i/>
                <w:sz w:val="16"/>
              </w:rPr>
            </w:pPr>
            <w:r>
              <w:rPr>
                <w:i/>
                <w:spacing w:val="-2"/>
                <w:sz w:val="16"/>
              </w:rPr>
              <w:t>1,813.6</w:t>
            </w:r>
          </w:p>
        </w:tc>
        <w:tc>
          <w:tcPr>
            <w:tcW w:w="1078" w:type="dxa"/>
            <w:tcBorders>
              <w:top w:val="single" w:sz="4" w:space="0" w:color="000000"/>
              <w:bottom w:val="single" w:sz="4" w:space="0" w:color="000000"/>
            </w:tcBorders>
          </w:tcPr>
          <w:p>
            <w:pPr>
              <w:pStyle w:val="TableParagraph"/>
              <w:spacing w:before="14"/>
              <w:ind w:right="51"/>
              <w:rPr>
                <w:i/>
                <w:sz w:val="16"/>
              </w:rPr>
            </w:pPr>
            <w:r>
              <w:rPr>
                <w:i/>
                <w:spacing w:val="-2"/>
                <w:sz w:val="16"/>
              </w:rPr>
              <w:t>1,817.6</w:t>
            </w:r>
          </w:p>
        </w:tc>
        <w:tc>
          <w:tcPr>
            <w:tcW w:w="1122" w:type="dxa"/>
            <w:tcBorders>
              <w:top w:val="single" w:sz="4" w:space="0" w:color="000000"/>
              <w:bottom w:val="single" w:sz="4" w:space="0" w:color="000000"/>
            </w:tcBorders>
          </w:tcPr>
          <w:p>
            <w:pPr>
              <w:pStyle w:val="TableParagraph"/>
              <w:spacing w:before="14"/>
              <w:ind w:right="183"/>
              <w:rPr>
                <w:i/>
                <w:sz w:val="16"/>
              </w:rPr>
            </w:pPr>
            <w:r>
              <w:rPr>
                <w:i/>
                <w:spacing w:val="-2"/>
                <w:sz w:val="16"/>
              </w:rPr>
              <w:t>1,277.4</w:t>
            </w:r>
          </w:p>
        </w:tc>
        <w:tc>
          <w:tcPr>
            <w:tcW w:w="753" w:type="dxa"/>
            <w:tcBorders>
              <w:top w:val="single" w:sz="4" w:space="0" w:color="000000"/>
              <w:bottom w:val="single" w:sz="4" w:space="0" w:color="000000"/>
            </w:tcBorders>
          </w:tcPr>
          <w:p>
            <w:pPr>
              <w:pStyle w:val="TableParagraph"/>
              <w:spacing w:before="14"/>
              <w:ind w:right="172"/>
              <w:rPr>
                <w:i/>
                <w:sz w:val="16"/>
              </w:rPr>
            </w:pPr>
            <w:r>
              <w:rPr>
                <w:i/>
                <w:spacing w:val="-4"/>
                <w:sz w:val="16"/>
              </w:rPr>
              <w:t>70.3</w:t>
            </w:r>
          </w:p>
        </w:tc>
        <w:tc>
          <w:tcPr>
            <w:tcW w:w="1053" w:type="dxa"/>
            <w:tcBorders>
              <w:top w:val="single" w:sz="4" w:space="0" w:color="000000"/>
              <w:bottom w:val="single" w:sz="4" w:space="0" w:color="000000"/>
            </w:tcBorders>
          </w:tcPr>
          <w:p>
            <w:pPr>
              <w:pStyle w:val="TableParagraph"/>
              <w:spacing w:before="14"/>
              <w:ind w:right="102"/>
              <w:rPr>
                <w:i/>
                <w:sz w:val="16"/>
              </w:rPr>
            </w:pPr>
            <w:r>
              <w:rPr>
                <w:i/>
                <w:spacing w:val="-2"/>
                <w:sz w:val="16"/>
              </w:rPr>
              <w:t>3,095.0</w:t>
            </w:r>
          </w:p>
        </w:tc>
      </w:tr>
      <w:tr>
        <w:trPr>
          <w:trHeight w:val="227" w:hRule="atLeast"/>
        </w:trPr>
        <w:tc>
          <w:tcPr>
            <w:tcW w:w="2461" w:type="dxa"/>
            <w:tcBorders>
              <w:top w:val="single" w:sz="4" w:space="0" w:color="000000"/>
            </w:tcBorders>
          </w:tcPr>
          <w:p>
            <w:pPr>
              <w:pStyle w:val="TableParagraph"/>
              <w:spacing w:before="9"/>
              <w:ind w:left="117"/>
              <w:jc w:val="left"/>
              <w:rPr>
                <w:sz w:val="16"/>
              </w:rPr>
            </w:pPr>
            <w:r>
              <w:rPr>
                <w:spacing w:val="-2"/>
                <w:sz w:val="16"/>
              </w:rPr>
              <w:t>Travel</w:t>
            </w:r>
          </w:p>
        </w:tc>
        <w:tc>
          <w:tcPr>
            <w:tcW w:w="1218" w:type="dxa"/>
            <w:tcBorders>
              <w:top w:val="single" w:sz="4" w:space="0" w:color="000000"/>
            </w:tcBorders>
          </w:tcPr>
          <w:p>
            <w:pPr>
              <w:pStyle w:val="TableParagraph"/>
              <w:spacing w:before="9"/>
              <w:ind w:right="191"/>
              <w:rPr>
                <w:sz w:val="16"/>
              </w:rPr>
            </w:pPr>
            <w:r>
              <w:rPr>
                <w:spacing w:val="-2"/>
                <w:sz w:val="16"/>
              </w:rPr>
              <w:t>439.4</w:t>
            </w:r>
          </w:p>
        </w:tc>
        <w:tc>
          <w:tcPr>
            <w:tcW w:w="828" w:type="dxa"/>
            <w:tcBorders>
              <w:top w:val="single" w:sz="4" w:space="0" w:color="000000"/>
            </w:tcBorders>
          </w:tcPr>
          <w:p>
            <w:pPr>
              <w:pStyle w:val="TableParagraph"/>
              <w:spacing w:before="9"/>
              <w:ind w:right="107"/>
              <w:rPr>
                <w:sz w:val="16"/>
              </w:rPr>
            </w:pPr>
            <w:r>
              <w:rPr>
                <w:spacing w:val="-4"/>
                <w:sz w:val="16"/>
              </w:rPr>
              <w:t>90.6</w:t>
            </w:r>
          </w:p>
        </w:tc>
        <w:tc>
          <w:tcPr>
            <w:tcW w:w="1132" w:type="dxa"/>
            <w:tcBorders>
              <w:top w:val="single" w:sz="4" w:space="0" w:color="000000"/>
            </w:tcBorders>
          </w:tcPr>
          <w:p>
            <w:pPr>
              <w:pStyle w:val="TableParagraph"/>
              <w:spacing w:before="9"/>
              <w:ind w:right="106"/>
              <w:rPr>
                <w:sz w:val="16"/>
              </w:rPr>
            </w:pPr>
            <w:r>
              <w:rPr>
                <w:spacing w:val="-2"/>
                <w:sz w:val="16"/>
              </w:rPr>
              <w:t>529.9</w:t>
            </w:r>
          </w:p>
        </w:tc>
        <w:tc>
          <w:tcPr>
            <w:tcW w:w="1078" w:type="dxa"/>
            <w:tcBorders>
              <w:top w:val="single" w:sz="4" w:space="0" w:color="000000"/>
            </w:tcBorders>
          </w:tcPr>
          <w:p>
            <w:pPr>
              <w:pStyle w:val="TableParagraph"/>
              <w:spacing w:before="9"/>
              <w:ind w:right="50"/>
              <w:rPr>
                <w:sz w:val="16"/>
              </w:rPr>
            </w:pPr>
            <w:r>
              <w:rPr>
                <w:spacing w:val="-2"/>
                <w:sz w:val="16"/>
              </w:rPr>
              <w:t>860.7</w:t>
            </w:r>
          </w:p>
        </w:tc>
        <w:tc>
          <w:tcPr>
            <w:tcW w:w="1122" w:type="dxa"/>
            <w:tcBorders>
              <w:top w:val="single" w:sz="4" w:space="0" w:color="000000"/>
            </w:tcBorders>
          </w:tcPr>
          <w:p>
            <w:pPr>
              <w:pStyle w:val="TableParagraph"/>
              <w:spacing w:before="9"/>
              <w:ind w:right="183"/>
              <w:rPr>
                <w:sz w:val="16"/>
              </w:rPr>
            </w:pPr>
            <w:r>
              <w:rPr>
                <w:spacing w:val="-2"/>
                <w:sz w:val="16"/>
              </w:rPr>
              <w:t>283.3</w:t>
            </w:r>
          </w:p>
        </w:tc>
        <w:tc>
          <w:tcPr>
            <w:tcW w:w="753" w:type="dxa"/>
            <w:tcBorders>
              <w:top w:val="single" w:sz="4" w:space="0" w:color="000000"/>
            </w:tcBorders>
          </w:tcPr>
          <w:p>
            <w:pPr>
              <w:pStyle w:val="TableParagraph"/>
              <w:spacing w:before="9"/>
              <w:ind w:right="172"/>
              <w:rPr>
                <w:sz w:val="16"/>
              </w:rPr>
            </w:pPr>
            <w:r>
              <w:rPr>
                <w:spacing w:val="-4"/>
                <w:sz w:val="16"/>
              </w:rPr>
              <w:t>32.9</w:t>
            </w:r>
          </w:p>
        </w:tc>
        <w:tc>
          <w:tcPr>
            <w:tcW w:w="1053" w:type="dxa"/>
            <w:tcBorders>
              <w:top w:val="single" w:sz="4" w:space="0" w:color="000000"/>
            </w:tcBorders>
          </w:tcPr>
          <w:p>
            <w:pPr>
              <w:pStyle w:val="TableParagraph"/>
              <w:spacing w:before="9"/>
              <w:ind w:right="102"/>
              <w:rPr>
                <w:sz w:val="16"/>
              </w:rPr>
            </w:pPr>
            <w:r>
              <w:rPr>
                <w:spacing w:val="-2"/>
                <w:sz w:val="16"/>
              </w:rPr>
              <w:t>1,144.0</w:t>
            </w:r>
          </w:p>
        </w:tc>
      </w:tr>
      <w:tr>
        <w:trPr>
          <w:trHeight w:val="228" w:hRule="atLeast"/>
        </w:trPr>
        <w:tc>
          <w:tcPr>
            <w:tcW w:w="2461" w:type="dxa"/>
          </w:tcPr>
          <w:p>
            <w:pPr>
              <w:pStyle w:val="TableParagraph"/>
              <w:spacing w:before="8"/>
              <w:ind w:left="117"/>
              <w:jc w:val="left"/>
              <w:rPr>
                <w:sz w:val="16"/>
              </w:rPr>
            </w:pPr>
            <w:r>
              <w:rPr>
                <w:spacing w:val="-2"/>
                <w:sz w:val="16"/>
              </w:rPr>
              <w:t>Hospitality</w:t>
            </w:r>
          </w:p>
        </w:tc>
        <w:tc>
          <w:tcPr>
            <w:tcW w:w="1218" w:type="dxa"/>
          </w:tcPr>
          <w:p>
            <w:pPr>
              <w:pStyle w:val="TableParagraph"/>
              <w:spacing w:before="8"/>
              <w:ind w:right="193"/>
              <w:rPr>
                <w:sz w:val="16"/>
              </w:rPr>
            </w:pPr>
            <w:r>
              <w:rPr>
                <w:w w:val="98"/>
                <w:sz w:val="16"/>
              </w:rPr>
              <w:t>-</w:t>
            </w:r>
          </w:p>
        </w:tc>
        <w:tc>
          <w:tcPr>
            <w:tcW w:w="828" w:type="dxa"/>
          </w:tcPr>
          <w:p>
            <w:pPr>
              <w:pStyle w:val="TableParagraph"/>
              <w:spacing w:before="8"/>
              <w:ind w:right="108"/>
              <w:rPr>
                <w:sz w:val="16"/>
              </w:rPr>
            </w:pPr>
            <w:r>
              <w:rPr>
                <w:w w:val="98"/>
                <w:sz w:val="16"/>
              </w:rPr>
              <w:t>-</w:t>
            </w:r>
          </w:p>
        </w:tc>
        <w:tc>
          <w:tcPr>
            <w:tcW w:w="1132" w:type="dxa"/>
          </w:tcPr>
          <w:p>
            <w:pPr>
              <w:pStyle w:val="TableParagraph"/>
              <w:spacing w:before="8"/>
              <w:ind w:right="107"/>
              <w:rPr>
                <w:sz w:val="16"/>
              </w:rPr>
            </w:pPr>
            <w:r>
              <w:rPr>
                <w:w w:val="98"/>
                <w:sz w:val="16"/>
              </w:rPr>
              <w:t>-</w:t>
            </w:r>
          </w:p>
        </w:tc>
        <w:tc>
          <w:tcPr>
            <w:tcW w:w="1078" w:type="dxa"/>
          </w:tcPr>
          <w:p>
            <w:pPr>
              <w:pStyle w:val="TableParagraph"/>
              <w:spacing w:before="8"/>
              <w:ind w:right="52"/>
              <w:rPr>
                <w:sz w:val="16"/>
              </w:rPr>
            </w:pPr>
            <w:r>
              <w:rPr>
                <w:w w:val="98"/>
                <w:sz w:val="16"/>
              </w:rPr>
              <w:t>-</w:t>
            </w:r>
          </w:p>
        </w:tc>
        <w:tc>
          <w:tcPr>
            <w:tcW w:w="1122" w:type="dxa"/>
          </w:tcPr>
          <w:p>
            <w:pPr>
              <w:pStyle w:val="TableParagraph"/>
              <w:spacing w:before="8"/>
              <w:ind w:right="185"/>
              <w:rPr>
                <w:sz w:val="16"/>
              </w:rPr>
            </w:pPr>
            <w:r>
              <w:rPr>
                <w:w w:val="98"/>
                <w:sz w:val="16"/>
              </w:rPr>
              <w:t>-</w:t>
            </w:r>
          </w:p>
        </w:tc>
        <w:tc>
          <w:tcPr>
            <w:tcW w:w="753" w:type="dxa"/>
          </w:tcPr>
          <w:p>
            <w:pPr>
              <w:pStyle w:val="TableParagraph"/>
              <w:spacing w:before="8"/>
              <w:ind w:right="174"/>
              <w:rPr>
                <w:sz w:val="16"/>
              </w:rPr>
            </w:pPr>
            <w:r>
              <w:rPr>
                <w:w w:val="98"/>
                <w:sz w:val="16"/>
              </w:rPr>
              <w:t>-</w:t>
            </w:r>
          </w:p>
        </w:tc>
        <w:tc>
          <w:tcPr>
            <w:tcW w:w="1053" w:type="dxa"/>
          </w:tcPr>
          <w:p>
            <w:pPr>
              <w:pStyle w:val="TableParagraph"/>
              <w:spacing w:before="8"/>
              <w:ind w:right="103"/>
              <w:rPr>
                <w:sz w:val="16"/>
              </w:rPr>
            </w:pPr>
            <w:r>
              <w:rPr>
                <w:w w:val="98"/>
                <w:sz w:val="16"/>
              </w:rPr>
              <w:t>-</w:t>
            </w:r>
          </w:p>
        </w:tc>
      </w:tr>
      <w:tr>
        <w:trPr>
          <w:trHeight w:val="228" w:hRule="atLeast"/>
        </w:trPr>
        <w:tc>
          <w:tcPr>
            <w:tcW w:w="2461" w:type="dxa"/>
          </w:tcPr>
          <w:p>
            <w:pPr>
              <w:pStyle w:val="TableParagraph"/>
              <w:spacing w:before="10"/>
              <w:ind w:left="117"/>
              <w:jc w:val="left"/>
              <w:rPr>
                <w:sz w:val="16"/>
              </w:rPr>
            </w:pPr>
            <w:r>
              <w:rPr>
                <w:sz w:val="16"/>
              </w:rPr>
              <w:t>Contractual</w:t>
            </w:r>
            <w:r>
              <w:rPr>
                <w:spacing w:val="-3"/>
                <w:sz w:val="16"/>
              </w:rPr>
              <w:t> </w:t>
            </w:r>
            <w:r>
              <w:rPr>
                <w:spacing w:val="-2"/>
                <w:sz w:val="16"/>
              </w:rPr>
              <w:t>services</w:t>
            </w:r>
          </w:p>
        </w:tc>
        <w:tc>
          <w:tcPr>
            <w:tcW w:w="1218" w:type="dxa"/>
          </w:tcPr>
          <w:p>
            <w:pPr>
              <w:pStyle w:val="TableParagraph"/>
              <w:spacing w:before="10"/>
              <w:ind w:right="191"/>
              <w:rPr>
                <w:sz w:val="16"/>
              </w:rPr>
            </w:pPr>
            <w:r>
              <w:rPr>
                <w:spacing w:val="-2"/>
                <w:sz w:val="16"/>
              </w:rPr>
              <w:t>800.7</w:t>
            </w:r>
          </w:p>
        </w:tc>
        <w:tc>
          <w:tcPr>
            <w:tcW w:w="828" w:type="dxa"/>
          </w:tcPr>
          <w:p>
            <w:pPr>
              <w:pStyle w:val="TableParagraph"/>
              <w:spacing w:before="10"/>
              <w:ind w:right="107"/>
              <w:rPr>
                <w:sz w:val="16"/>
              </w:rPr>
            </w:pPr>
            <w:r>
              <w:rPr>
                <w:spacing w:val="-2"/>
                <w:sz w:val="16"/>
              </w:rPr>
              <w:t>159.9</w:t>
            </w:r>
          </w:p>
        </w:tc>
        <w:tc>
          <w:tcPr>
            <w:tcW w:w="1132" w:type="dxa"/>
          </w:tcPr>
          <w:p>
            <w:pPr>
              <w:pStyle w:val="TableParagraph"/>
              <w:spacing w:before="10"/>
              <w:ind w:right="106"/>
              <w:rPr>
                <w:sz w:val="16"/>
              </w:rPr>
            </w:pPr>
            <w:r>
              <w:rPr>
                <w:spacing w:val="-2"/>
                <w:sz w:val="16"/>
              </w:rPr>
              <w:t>960.6</w:t>
            </w:r>
          </w:p>
        </w:tc>
        <w:tc>
          <w:tcPr>
            <w:tcW w:w="1078" w:type="dxa"/>
          </w:tcPr>
          <w:p>
            <w:pPr>
              <w:pStyle w:val="TableParagraph"/>
              <w:spacing w:before="10"/>
              <w:ind w:right="51"/>
              <w:rPr>
                <w:sz w:val="16"/>
              </w:rPr>
            </w:pPr>
            <w:r>
              <w:rPr>
                <w:spacing w:val="-2"/>
                <w:sz w:val="16"/>
              </w:rPr>
              <w:t>1,212.7</w:t>
            </w:r>
          </w:p>
        </w:tc>
        <w:tc>
          <w:tcPr>
            <w:tcW w:w="1122" w:type="dxa"/>
          </w:tcPr>
          <w:p>
            <w:pPr>
              <w:pStyle w:val="TableParagraph"/>
              <w:spacing w:before="10"/>
              <w:ind w:right="183"/>
              <w:rPr>
                <w:sz w:val="16"/>
              </w:rPr>
            </w:pPr>
            <w:r>
              <w:rPr>
                <w:spacing w:val="-2"/>
                <w:sz w:val="16"/>
              </w:rPr>
              <w:t>109.3</w:t>
            </w:r>
          </w:p>
        </w:tc>
        <w:tc>
          <w:tcPr>
            <w:tcW w:w="753" w:type="dxa"/>
          </w:tcPr>
          <w:p>
            <w:pPr>
              <w:pStyle w:val="TableParagraph"/>
              <w:spacing w:before="10"/>
              <w:ind w:right="177"/>
              <w:rPr>
                <w:sz w:val="16"/>
              </w:rPr>
            </w:pPr>
            <w:r>
              <w:rPr>
                <w:spacing w:val="-5"/>
                <w:sz w:val="16"/>
              </w:rPr>
              <w:t>9.0</w:t>
            </w:r>
          </w:p>
        </w:tc>
        <w:tc>
          <w:tcPr>
            <w:tcW w:w="1053" w:type="dxa"/>
          </w:tcPr>
          <w:p>
            <w:pPr>
              <w:pStyle w:val="TableParagraph"/>
              <w:spacing w:before="10"/>
              <w:ind w:right="102"/>
              <w:rPr>
                <w:sz w:val="16"/>
              </w:rPr>
            </w:pPr>
            <w:r>
              <w:rPr>
                <w:spacing w:val="-2"/>
                <w:sz w:val="16"/>
              </w:rPr>
              <w:t>1,322.0</w:t>
            </w:r>
          </w:p>
        </w:tc>
      </w:tr>
      <w:tr>
        <w:trPr>
          <w:trHeight w:val="225" w:hRule="atLeast"/>
        </w:trPr>
        <w:tc>
          <w:tcPr>
            <w:tcW w:w="2461" w:type="dxa"/>
          </w:tcPr>
          <w:p>
            <w:pPr>
              <w:pStyle w:val="TableParagraph"/>
              <w:spacing w:before="8"/>
              <w:ind w:left="117"/>
              <w:jc w:val="left"/>
              <w:rPr>
                <w:sz w:val="16"/>
              </w:rPr>
            </w:pPr>
            <w:r>
              <w:rPr>
                <w:spacing w:val="-2"/>
                <w:sz w:val="16"/>
              </w:rPr>
              <w:t>Training</w:t>
            </w:r>
          </w:p>
        </w:tc>
        <w:tc>
          <w:tcPr>
            <w:tcW w:w="1218" w:type="dxa"/>
          </w:tcPr>
          <w:p>
            <w:pPr>
              <w:pStyle w:val="TableParagraph"/>
              <w:spacing w:before="8"/>
              <w:ind w:right="191"/>
              <w:rPr>
                <w:sz w:val="16"/>
              </w:rPr>
            </w:pPr>
            <w:r>
              <w:rPr>
                <w:spacing w:val="-4"/>
                <w:sz w:val="16"/>
              </w:rPr>
              <w:t>26.0</w:t>
            </w:r>
          </w:p>
        </w:tc>
        <w:tc>
          <w:tcPr>
            <w:tcW w:w="828" w:type="dxa"/>
          </w:tcPr>
          <w:p>
            <w:pPr>
              <w:pStyle w:val="TableParagraph"/>
              <w:spacing w:before="8"/>
              <w:ind w:right="108"/>
              <w:rPr>
                <w:sz w:val="16"/>
              </w:rPr>
            </w:pPr>
            <w:r>
              <w:rPr>
                <w:w w:val="98"/>
                <w:sz w:val="16"/>
              </w:rPr>
              <w:t>-</w:t>
            </w:r>
          </w:p>
        </w:tc>
        <w:tc>
          <w:tcPr>
            <w:tcW w:w="1132" w:type="dxa"/>
          </w:tcPr>
          <w:p>
            <w:pPr>
              <w:pStyle w:val="TableParagraph"/>
              <w:spacing w:before="8"/>
              <w:ind w:right="105"/>
              <w:rPr>
                <w:sz w:val="16"/>
              </w:rPr>
            </w:pPr>
            <w:r>
              <w:rPr>
                <w:spacing w:val="-4"/>
                <w:sz w:val="16"/>
              </w:rPr>
              <w:t>26.0</w:t>
            </w:r>
          </w:p>
        </w:tc>
        <w:tc>
          <w:tcPr>
            <w:tcW w:w="1078" w:type="dxa"/>
          </w:tcPr>
          <w:p>
            <w:pPr>
              <w:pStyle w:val="TableParagraph"/>
              <w:spacing w:before="8"/>
              <w:ind w:right="50"/>
              <w:rPr>
                <w:sz w:val="16"/>
              </w:rPr>
            </w:pPr>
            <w:r>
              <w:rPr>
                <w:spacing w:val="-4"/>
                <w:sz w:val="16"/>
              </w:rPr>
              <w:t>56.2</w:t>
            </w:r>
          </w:p>
        </w:tc>
        <w:tc>
          <w:tcPr>
            <w:tcW w:w="1122" w:type="dxa"/>
          </w:tcPr>
          <w:p>
            <w:pPr>
              <w:pStyle w:val="TableParagraph"/>
              <w:spacing w:before="8"/>
              <w:ind w:right="183"/>
              <w:rPr>
                <w:sz w:val="16"/>
              </w:rPr>
            </w:pPr>
            <w:r>
              <w:rPr>
                <w:spacing w:val="-4"/>
                <w:sz w:val="16"/>
              </w:rPr>
              <w:t>24.2</w:t>
            </w:r>
          </w:p>
        </w:tc>
        <w:tc>
          <w:tcPr>
            <w:tcW w:w="753" w:type="dxa"/>
          </w:tcPr>
          <w:p>
            <w:pPr>
              <w:pStyle w:val="TableParagraph"/>
              <w:spacing w:before="8"/>
              <w:ind w:right="172"/>
              <w:rPr>
                <w:sz w:val="16"/>
              </w:rPr>
            </w:pPr>
            <w:r>
              <w:rPr>
                <w:spacing w:val="-4"/>
                <w:sz w:val="16"/>
              </w:rPr>
              <w:t>43.1</w:t>
            </w:r>
          </w:p>
        </w:tc>
        <w:tc>
          <w:tcPr>
            <w:tcW w:w="1053" w:type="dxa"/>
          </w:tcPr>
          <w:p>
            <w:pPr>
              <w:pStyle w:val="TableParagraph"/>
              <w:spacing w:before="8"/>
              <w:ind w:right="101"/>
              <w:rPr>
                <w:sz w:val="16"/>
              </w:rPr>
            </w:pPr>
            <w:r>
              <w:rPr>
                <w:spacing w:val="-4"/>
                <w:sz w:val="16"/>
              </w:rPr>
              <w:t>80.4</w:t>
            </w:r>
          </w:p>
        </w:tc>
      </w:tr>
      <w:tr>
        <w:trPr>
          <w:trHeight w:val="228" w:hRule="atLeast"/>
        </w:trPr>
        <w:tc>
          <w:tcPr>
            <w:tcW w:w="2461" w:type="dxa"/>
          </w:tcPr>
          <w:p>
            <w:pPr>
              <w:pStyle w:val="TableParagraph"/>
              <w:spacing w:before="8"/>
              <w:ind w:left="117"/>
              <w:jc w:val="left"/>
              <w:rPr>
                <w:sz w:val="16"/>
              </w:rPr>
            </w:pPr>
            <w:r>
              <w:rPr>
                <w:spacing w:val="-2"/>
                <w:sz w:val="16"/>
              </w:rPr>
              <w:t>Consultants</w:t>
            </w:r>
          </w:p>
        </w:tc>
        <w:tc>
          <w:tcPr>
            <w:tcW w:w="1218" w:type="dxa"/>
          </w:tcPr>
          <w:p>
            <w:pPr>
              <w:pStyle w:val="TableParagraph"/>
              <w:spacing w:before="8"/>
              <w:ind w:right="191"/>
              <w:rPr>
                <w:sz w:val="16"/>
              </w:rPr>
            </w:pPr>
            <w:r>
              <w:rPr>
                <w:spacing w:val="-2"/>
                <w:sz w:val="16"/>
              </w:rPr>
              <w:t>201.6</w:t>
            </w:r>
          </w:p>
        </w:tc>
        <w:tc>
          <w:tcPr>
            <w:tcW w:w="828" w:type="dxa"/>
          </w:tcPr>
          <w:p>
            <w:pPr>
              <w:pStyle w:val="TableParagraph"/>
              <w:spacing w:before="8"/>
              <w:ind w:right="108"/>
              <w:rPr>
                <w:sz w:val="16"/>
              </w:rPr>
            </w:pPr>
            <w:r>
              <w:rPr>
                <w:w w:val="98"/>
                <w:sz w:val="16"/>
              </w:rPr>
              <w:t>-</w:t>
            </w:r>
          </w:p>
        </w:tc>
        <w:tc>
          <w:tcPr>
            <w:tcW w:w="1132" w:type="dxa"/>
          </w:tcPr>
          <w:p>
            <w:pPr>
              <w:pStyle w:val="TableParagraph"/>
              <w:spacing w:before="8"/>
              <w:ind w:right="106"/>
              <w:rPr>
                <w:sz w:val="16"/>
              </w:rPr>
            </w:pPr>
            <w:r>
              <w:rPr>
                <w:spacing w:val="-2"/>
                <w:sz w:val="16"/>
              </w:rPr>
              <w:t>201.6</w:t>
            </w:r>
          </w:p>
        </w:tc>
        <w:tc>
          <w:tcPr>
            <w:tcW w:w="1078" w:type="dxa"/>
          </w:tcPr>
          <w:p>
            <w:pPr>
              <w:pStyle w:val="TableParagraph"/>
              <w:spacing w:before="8"/>
              <w:ind w:right="52"/>
              <w:rPr>
                <w:sz w:val="16"/>
              </w:rPr>
            </w:pPr>
            <w:r>
              <w:rPr>
                <w:w w:val="98"/>
                <w:sz w:val="16"/>
              </w:rPr>
              <w:t>-</w:t>
            </w:r>
          </w:p>
        </w:tc>
        <w:tc>
          <w:tcPr>
            <w:tcW w:w="1122" w:type="dxa"/>
          </w:tcPr>
          <w:p>
            <w:pPr>
              <w:pStyle w:val="TableParagraph"/>
              <w:spacing w:before="8"/>
              <w:ind w:right="183"/>
              <w:rPr>
                <w:sz w:val="16"/>
              </w:rPr>
            </w:pPr>
            <w:r>
              <w:rPr>
                <w:spacing w:val="-4"/>
                <w:sz w:val="16"/>
              </w:rPr>
              <w:t>79.5</w:t>
            </w:r>
          </w:p>
        </w:tc>
        <w:tc>
          <w:tcPr>
            <w:tcW w:w="753" w:type="dxa"/>
          </w:tcPr>
          <w:p>
            <w:pPr>
              <w:pStyle w:val="TableParagraph"/>
              <w:spacing w:before="8"/>
              <w:ind w:right="174"/>
              <w:rPr>
                <w:sz w:val="16"/>
              </w:rPr>
            </w:pPr>
            <w:r>
              <w:rPr>
                <w:w w:val="98"/>
                <w:sz w:val="16"/>
              </w:rPr>
              <w:t>-</w:t>
            </w:r>
          </w:p>
        </w:tc>
        <w:tc>
          <w:tcPr>
            <w:tcW w:w="1053" w:type="dxa"/>
          </w:tcPr>
          <w:p>
            <w:pPr>
              <w:pStyle w:val="TableParagraph"/>
              <w:spacing w:before="8"/>
              <w:ind w:right="101"/>
              <w:rPr>
                <w:sz w:val="16"/>
              </w:rPr>
            </w:pPr>
            <w:r>
              <w:rPr>
                <w:spacing w:val="-4"/>
                <w:sz w:val="16"/>
              </w:rPr>
              <w:t>79.5</w:t>
            </w:r>
          </w:p>
        </w:tc>
      </w:tr>
      <w:tr>
        <w:trPr>
          <w:trHeight w:val="227" w:hRule="atLeast"/>
        </w:trPr>
        <w:tc>
          <w:tcPr>
            <w:tcW w:w="2461" w:type="dxa"/>
          </w:tcPr>
          <w:p>
            <w:pPr>
              <w:pStyle w:val="TableParagraph"/>
              <w:spacing w:before="10"/>
              <w:ind w:left="117"/>
              <w:jc w:val="left"/>
              <w:rPr>
                <w:sz w:val="16"/>
              </w:rPr>
            </w:pPr>
            <w:r>
              <w:rPr>
                <w:sz w:val="16"/>
              </w:rPr>
              <w:t>General</w:t>
            </w:r>
            <w:r>
              <w:rPr>
                <w:spacing w:val="-4"/>
                <w:sz w:val="16"/>
              </w:rPr>
              <w:t> </w:t>
            </w:r>
            <w:r>
              <w:rPr>
                <w:sz w:val="16"/>
              </w:rPr>
              <w:t>operating</w:t>
            </w:r>
            <w:r>
              <w:rPr>
                <w:spacing w:val="-1"/>
                <w:sz w:val="16"/>
              </w:rPr>
              <w:t> </w:t>
            </w:r>
            <w:r>
              <w:rPr>
                <w:spacing w:val="-2"/>
                <w:sz w:val="16"/>
              </w:rPr>
              <w:t>expenses</w:t>
            </w:r>
          </w:p>
        </w:tc>
        <w:tc>
          <w:tcPr>
            <w:tcW w:w="1218" w:type="dxa"/>
          </w:tcPr>
          <w:p>
            <w:pPr>
              <w:pStyle w:val="TableParagraph"/>
              <w:spacing w:before="10"/>
              <w:ind w:right="192"/>
              <w:rPr>
                <w:sz w:val="16"/>
              </w:rPr>
            </w:pPr>
            <w:r>
              <w:rPr>
                <w:spacing w:val="-2"/>
                <w:sz w:val="16"/>
              </w:rPr>
              <w:t>1,996.3</w:t>
            </w:r>
          </w:p>
        </w:tc>
        <w:tc>
          <w:tcPr>
            <w:tcW w:w="828" w:type="dxa"/>
          </w:tcPr>
          <w:p>
            <w:pPr>
              <w:pStyle w:val="TableParagraph"/>
              <w:spacing w:before="10"/>
              <w:ind w:right="107"/>
              <w:rPr>
                <w:sz w:val="16"/>
              </w:rPr>
            </w:pPr>
            <w:r>
              <w:rPr>
                <w:spacing w:val="-2"/>
                <w:sz w:val="16"/>
              </w:rPr>
              <w:t>286.9</w:t>
            </w:r>
          </w:p>
        </w:tc>
        <w:tc>
          <w:tcPr>
            <w:tcW w:w="1132" w:type="dxa"/>
          </w:tcPr>
          <w:p>
            <w:pPr>
              <w:pStyle w:val="TableParagraph"/>
              <w:spacing w:before="10"/>
              <w:ind w:right="106"/>
              <w:rPr>
                <w:sz w:val="16"/>
              </w:rPr>
            </w:pPr>
            <w:r>
              <w:rPr>
                <w:spacing w:val="-2"/>
                <w:sz w:val="16"/>
              </w:rPr>
              <w:t>2,283.2</w:t>
            </w:r>
          </w:p>
        </w:tc>
        <w:tc>
          <w:tcPr>
            <w:tcW w:w="1078" w:type="dxa"/>
          </w:tcPr>
          <w:p>
            <w:pPr>
              <w:pStyle w:val="TableParagraph"/>
              <w:spacing w:before="10"/>
              <w:ind w:right="51"/>
              <w:rPr>
                <w:sz w:val="16"/>
              </w:rPr>
            </w:pPr>
            <w:r>
              <w:rPr>
                <w:spacing w:val="-2"/>
                <w:sz w:val="16"/>
              </w:rPr>
              <w:t>2,667.0</w:t>
            </w:r>
          </w:p>
        </w:tc>
        <w:tc>
          <w:tcPr>
            <w:tcW w:w="1122" w:type="dxa"/>
          </w:tcPr>
          <w:p>
            <w:pPr>
              <w:pStyle w:val="TableParagraph"/>
              <w:spacing w:before="10"/>
              <w:ind w:right="183"/>
              <w:rPr>
                <w:sz w:val="16"/>
              </w:rPr>
            </w:pPr>
            <w:r>
              <w:rPr>
                <w:spacing w:val="-2"/>
                <w:sz w:val="16"/>
              </w:rPr>
              <w:t>736.7</w:t>
            </w:r>
          </w:p>
        </w:tc>
        <w:tc>
          <w:tcPr>
            <w:tcW w:w="753" w:type="dxa"/>
          </w:tcPr>
          <w:p>
            <w:pPr>
              <w:pStyle w:val="TableParagraph"/>
              <w:spacing w:before="10"/>
              <w:ind w:right="172"/>
              <w:rPr>
                <w:sz w:val="16"/>
              </w:rPr>
            </w:pPr>
            <w:r>
              <w:rPr>
                <w:spacing w:val="-4"/>
                <w:sz w:val="16"/>
              </w:rPr>
              <w:t>27.6</w:t>
            </w:r>
          </w:p>
        </w:tc>
        <w:tc>
          <w:tcPr>
            <w:tcW w:w="1053" w:type="dxa"/>
          </w:tcPr>
          <w:p>
            <w:pPr>
              <w:pStyle w:val="TableParagraph"/>
              <w:spacing w:before="10"/>
              <w:ind w:right="102"/>
              <w:rPr>
                <w:sz w:val="16"/>
              </w:rPr>
            </w:pPr>
            <w:r>
              <w:rPr>
                <w:spacing w:val="-2"/>
                <w:sz w:val="16"/>
              </w:rPr>
              <w:t>3,403.7</w:t>
            </w:r>
          </w:p>
        </w:tc>
      </w:tr>
      <w:tr>
        <w:trPr>
          <w:trHeight w:val="225" w:hRule="atLeast"/>
        </w:trPr>
        <w:tc>
          <w:tcPr>
            <w:tcW w:w="2461" w:type="dxa"/>
          </w:tcPr>
          <w:p>
            <w:pPr>
              <w:pStyle w:val="TableParagraph"/>
              <w:spacing w:before="8"/>
              <w:ind w:left="117"/>
              <w:jc w:val="left"/>
              <w:rPr>
                <w:sz w:val="16"/>
              </w:rPr>
            </w:pPr>
            <w:r>
              <w:rPr>
                <w:sz w:val="16"/>
              </w:rPr>
              <w:t>Supplies</w:t>
            </w:r>
            <w:r>
              <w:rPr>
                <w:spacing w:val="-4"/>
                <w:sz w:val="16"/>
              </w:rPr>
              <w:t> </w:t>
            </w:r>
            <w:r>
              <w:rPr>
                <w:sz w:val="16"/>
              </w:rPr>
              <w:t>and</w:t>
            </w:r>
            <w:r>
              <w:rPr>
                <w:spacing w:val="-2"/>
                <w:sz w:val="16"/>
              </w:rPr>
              <w:t> materials</w:t>
            </w:r>
          </w:p>
        </w:tc>
        <w:tc>
          <w:tcPr>
            <w:tcW w:w="1218" w:type="dxa"/>
          </w:tcPr>
          <w:p>
            <w:pPr>
              <w:pStyle w:val="TableParagraph"/>
              <w:spacing w:before="8"/>
              <w:ind w:right="191"/>
              <w:rPr>
                <w:sz w:val="16"/>
              </w:rPr>
            </w:pPr>
            <w:r>
              <w:rPr>
                <w:spacing w:val="-2"/>
                <w:sz w:val="16"/>
              </w:rPr>
              <w:t>314.0</w:t>
            </w:r>
          </w:p>
        </w:tc>
        <w:tc>
          <w:tcPr>
            <w:tcW w:w="828" w:type="dxa"/>
          </w:tcPr>
          <w:p>
            <w:pPr>
              <w:pStyle w:val="TableParagraph"/>
              <w:spacing w:before="8"/>
              <w:ind w:right="108"/>
              <w:rPr>
                <w:sz w:val="16"/>
              </w:rPr>
            </w:pPr>
            <w:r>
              <w:rPr>
                <w:w w:val="98"/>
                <w:sz w:val="16"/>
              </w:rPr>
              <w:t>-</w:t>
            </w:r>
          </w:p>
        </w:tc>
        <w:tc>
          <w:tcPr>
            <w:tcW w:w="1132" w:type="dxa"/>
          </w:tcPr>
          <w:p>
            <w:pPr>
              <w:pStyle w:val="TableParagraph"/>
              <w:spacing w:before="8"/>
              <w:ind w:right="106"/>
              <w:rPr>
                <w:sz w:val="16"/>
              </w:rPr>
            </w:pPr>
            <w:r>
              <w:rPr>
                <w:spacing w:val="-2"/>
                <w:sz w:val="16"/>
              </w:rPr>
              <w:t>314.0</w:t>
            </w:r>
          </w:p>
        </w:tc>
        <w:tc>
          <w:tcPr>
            <w:tcW w:w="1078" w:type="dxa"/>
          </w:tcPr>
          <w:p>
            <w:pPr>
              <w:pStyle w:val="TableParagraph"/>
              <w:spacing w:before="8"/>
              <w:ind w:right="50"/>
              <w:rPr>
                <w:sz w:val="16"/>
              </w:rPr>
            </w:pPr>
            <w:r>
              <w:rPr>
                <w:spacing w:val="-2"/>
                <w:sz w:val="16"/>
              </w:rPr>
              <w:t>450.7</w:t>
            </w:r>
          </w:p>
        </w:tc>
        <w:tc>
          <w:tcPr>
            <w:tcW w:w="1122" w:type="dxa"/>
          </w:tcPr>
          <w:p>
            <w:pPr>
              <w:pStyle w:val="TableParagraph"/>
              <w:spacing w:before="8"/>
              <w:ind w:right="187"/>
              <w:rPr>
                <w:sz w:val="16"/>
              </w:rPr>
            </w:pPr>
            <w:r>
              <w:rPr>
                <w:spacing w:val="-2"/>
                <w:sz w:val="16"/>
              </w:rPr>
              <w:t>(90.3)</w:t>
            </w:r>
          </w:p>
        </w:tc>
        <w:tc>
          <w:tcPr>
            <w:tcW w:w="753" w:type="dxa"/>
          </w:tcPr>
          <w:p>
            <w:pPr>
              <w:pStyle w:val="TableParagraph"/>
              <w:spacing w:before="8"/>
              <w:ind w:right="175"/>
              <w:rPr>
                <w:sz w:val="16"/>
              </w:rPr>
            </w:pPr>
            <w:r>
              <w:rPr>
                <w:spacing w:val="-2"/>
                <w:sz w:val="16"/>
              </w:rPr>
              <w:t>(20.0)</w:t>
            </w:r>
          </w:p>
        </w:tc>
        <w:tc>
          <w:tcPr>
            <w:tcW w:w="1053" w:type="dxa"/>
          </w:tcPr>
          <w:p>
            <w:pPr>
              <w:pStyle w:val="TableParagraph"/>
              <w:spacing w:before="8"/>
              <w:ind w:right="102"/>
              <w:rPr>
                <w:sz w:val="16"/>
              </w:rPr>
            </w:pPr>
            <w:r>
              <w:rPr>
                <w:spacing w:val="-2"/>
                <w:sz w:val="16"/>
              </w:rPr>
              <w:t>360.4</w:t>
            </w:r>
          </w:p>
        </w:tc>
      </w:tr>
      <w:tr>
        <w:trPr>
          <w:trHeight w:val="223" w:hRule="atLeast"/>
        </w:trPr>
        <w:tc>
          <w:tcPr>
            <w:tcW w:w="2461" w:type="dxa"/>
            <w:tcBorders>
              <w:bottom w:val="single" w:sz="4" w:space="0" w:color="000000"/>
            </w:tcBorders>
          </w:tcPr>
          <w:p>
            <w:pPr>
              <w:pStyle w:val="TableParagraph"/>
              <w:spacing w:before="8"/>
              <w:ind w:left="117"/>
              <w:jc w:val="left"/>
              <w:rPr>
                <w:sz w:val="16"/>
              </w:rPr>
            </w:pPr>
            <w:r>
              <w:rPr>
                <w:sz w:val="16"/>
              </w:rPr>
              <w:t>Furniture</w:t>
            </w:r>
            <w:r>
              <w:rPr>
                <w:spacing w:val="-4"/>
                <w:sz w:val="16"/>
              </w:rPr>
              <w:t> </w:t>
            </w:r>
            <w:r>
              <w:rPr>
                <w:sz w:val="16"/>
              </w:rPr>
              <w:t>and</w:t>
            </w:r>
            <w:r>
              <w:rPr>
                <w:spacing w:val="-2"/>
                <w:sz w:val="16"/>
              </w:rPr>
              <w:t> equipment</w:t>
            </w:r>
          </w:p>
        </w:tc>
        <w:tc>
          <w:tcPr>
            <w:tcW w:w="1218" w:type="dxa"/>
            <w:tcBorders>
              <w:bottom w:val="single" w:sz="4" w:space="0" w:color="000000"/>
            </w:tcBorders>
          </w:tcPr>
          <w:p>
            <w:pPr>
              <w:pStyle w:val="TableParagraph"/>
              <w:spacing w:before="8"/>
              <w:ind w:right="191"/>
              <w:rPr>
                <w:sz w:val="16"/>
              </w:rPr>
            </w:pPr>
            <w:r>
              <w:rPr>
                <w:spacing w:val="-4"/>
                <w:sz w:val="16"/>
              </w:rPr>
              <w:t>24.0</w:t>
            </w:r>
          </w:p>
        </w:tc>
        <w:tc>
          <w:tcPr>
            <w:tcW w:w="828" w:type="dxa"/>
            <w:tcBorders>
              <w:bottom w:val="single" w:sz="4" w:space="0" w:color="000000"/>
            </w:tcBorders>
          </w:tcPr>
          <w:p>
            <w:pPr>
              <w:pStyle w:val="TableParagraph"/>
              <w:spacing w:before="8"/>
              <w:ind w:right="108"/>
              <w:rPr>
                <w:sz w:val="16"/>
              </w:rPr>
            </w:pPr>
            <w:r>
              <w:rPr>
                <w:w w:val="98"/>
                <w:sz w:val="16"/>
              </w:rPr>
              <w:t>-</w:t>
            </w:r>
          </w:p>
        </w:tc>
        <w:tc>
          <w:tcPr>
            <w:tcW w:w="1132" w:type="dxa"/>
            <w:tcBorders>
              <w:bottom w:val="single" w:sz="4" w:space="0" w:color="000000"/>
            </w:tcBorders>
          </w:tcPr>
          <w:p>
            <w:pPr>
              <w:pStyle w:val="TableParagraph"/>
              <w:spacing w:before="8"/>
              <w:ind w:right="105"/>
              <w:rPr>
                <w:sz w:val="16"/>
              </w:rPr>
            </w:pPr>
            <w:r>
              <w:rPr>
                <w:spacing w:val="-4"/>
                <w:sz w:val="16"/>
              </w:rPr>
              <w:t>24.0</w:t>
            </w:r>
          </w:p>
        </w:tc>
        <w:tc>
          <w:tcPr>
            <w:tcW w:w="1078" w:type="dxa"/>
            <w:tcBorders>
              <w:bottom w:val="single" w:sz="4" w:space="0" w:color="000000"/>
            </w:tcBorders>
          </w:tcPr>
          <w:p>
            <w:pPr>
              <w:pStyle w:val="TableParagraph"/>
              <w:spacing w:before="8"/>
              <w:ind w:right="50"/>
              <w:rPr>
                <w:sz w:val="16"/>
              </w:rPr>
            </w:pPr>
            <w:r>
              <w:rPr>
                <w:spacing w:val="-4"/>
                <w:sz w:val="16"/>
              </w:rPr>
              <w:t>28.1</w:t>
            </w:r>
          </w:p>
        </w:tc>
        <w:tc>
          <w:tcPr>
            <w:tcW w:w="1122" w:type="dxa"/>
            <w:tcBorders>
              <w:bottom w:val="single" w:sz="4" w:space="0" w:color="000000"/>
            </w:tcBorders>
          </w:tcPr>
          <w:p>
            <w:pPr>
              <w:pStyle w:val="TableParagraph"/>
              <w:spacing w:before="8"/>
              <w:ind w:right="183"/>
              <w:rPr>
                <w:sz w:val="16"/>
              </w:rPr>
            </w:pPr>
            <w:r>
              <w:rPr>
                <w:spacing w:val="-4"/>
                <w:sz w:val="16"/>
              </w:rPr>
              <w:t>30.3</w:t>
            </w:r>
          </w:p>
        </w:tc>
        <w:tc>
          <w:tcPr>
            <w:tcW w:w="753" w:type="dxa"/>
            <w:tcBorders>
              <w:bottom w:val="single" w:sz="4" w:space="0" w:color="000000"/>
            </w:tcBorders>
          </w:tcPr>
          <w:p>
            <w:pPr>
              <w:pStyle w:val="TableParagraph"/>
              <w:spacing w:before="8"/>
              <w:ind w:right="172"/>
              <w:rPr>
                <w:sz w:val="16"/>
              </w:rPr>
            </w:pPr>
            <w:r>
              <w:rPr>
                <w:spacing w:val="-2"/>
                <w:sz w:val="16"/>
              </w:rPr>
              <w:t>107.8</w:t>
            </w:r>
          </w:p>
        </w:tc>
        <w:tc>
          <w:tcPr>
            <w:tcW w:w="1053" w:type="dxa"/>
            <w:tcBorders>
              <w:bottom w:val="single" w:sz="4" w:space="0" w:color="000000"/>
            </w:tcBorders>
          </w:tcPr>
          <w:p>
            <w:pPr>
              <w:pStyle w:val="TableParagraph"/>
              <w:spacing w:before="8"/>
              <w:ind w:right="101"/>
              <w:rPr>
                <w:sz w:val="16"/>
              </w:rPr>
            </w:pPr>
            <w:r>
              <w:rPr>
                <w:spacing w:val="-4"/>
                <w:sz w:val="16"/>
              </w:rPr>
              <w:t>58.4</w:t>
            </w:r>
          </w:p>
        </w:tc>
      </w:tr>
      <w:tr>
        <w:trPr>
          <w:trHeight w:val="225" w:hRule="atLeast"/>
        </w:trPr>
        <w:tc>
          <w:tcPr>
            <w:tcW w:w="2461" w:type="dxa"/>
            <w:tcBorders>
              <w:top w:val="single" w:sz="4" w:space="0" w:color="000000"/>
              <w:bottom w:val="single" w:sz="4" w:space="0" w:color="000000"/>
            </w:tcBorders>
          </w:tcPr>
          <w:p>
            <w:pPr>
              <w:pStyle w:val="TableParagraph"/>
              <w:spacing w:before="14"/>
              <w:ind w:right="103"/>
              <w:rPr>
                <w:i/>
                <w:sz w:val="16"/>
              </w:rPr>
            </w:pPr>
            <w:r>
              <w:rPr>
                <w:i/>
                <w:w w:val="95"/>
                <w:sz w:val="16"/>
              </w:rPr>
              <w:t>Subtotal</w:t>
            </w:r>
            <w:r>
              <w:rPr>
                <w:i/>
                <w:spacing w:val="40"/>
                <w:sz w:val="16"/>
              </w:rPr>
              <w:t> </w:t>
            </w:r>
            <w:r>
              <w:rPr>
                <w:i/>
                <w:w w:val="95"/>
                <w:sz w:val="16"/>
              </w:rPr>
              <w:t>non-</w:t>
            </w:r>
            <w:r>
              <w:rPr>
                <w:i/>
                <w:spacing w:val="-4"/>
                <w:w w:val="95"/>
                <w:sz w:val="16"/>
              </w:rPr>
              <w:t>staff</w:t>
            </w:r>
          </w:p>
        </w:tc>
        <w:tc>
          <w:tcPr>
            <w:tcW w:w="1218" w:type="dxa"/>
            <w:tcBorders>
              <w:top w:val="single" w:sz="4" w:space="0" w:color="000000"/>
              <w:bottom w:val="single" w:sz="4" w:space="0" w:color="000000"/>
            </w:tcBorders>
          </w:tcPr>
          <w:p>
            <w:pPr>
              <w:pStyle w:val="TableParagraph"/>
              <w:spacing w:before="14"/>
              <w:ind w:right="192"/>
              <w:rPr>
                <w:i/>
                <w:sz w:val="16"/>
              </w:rPr>
            </w:pPr>
            <w:r>
              <w:rPr>
                <w:i/>
                <w:spacing w:val="-2"/>
                <w:sz w:val="16"/>
              </w:rPr>
              <w:t>3,802.0</w:t>
            </w:r>
          </w:p>
        </w:tc>
        <w:tc>
          <w:tcPr>
            <w:tcW w:w="828" w:type="dxa"/>
            <w:tcBorders>
              <w:top w:val="single" w:sz="4" w:space="0" w:color="000000"/>
              <w:bottom w:val="single" w:sz="4" w:space="0" w:color="000000"/>
            </w:tcBorders>
          </w:tcPr>
          <w:p>
            <w:pPr>
              <w:pStyle w:val="TableParagraph"/>
              <w:spacing w:before="14"/>
              <w:ind w:right="107"/>
              <w:rPr>
                <w:i/>
                <w:sz w:val="16"/>
              </w:rPr>
            </w:pPr>
            <w:r>
              <w:rPr>
                <w:i/>
                <w:spacing w:val="-2"/>
                <w:sz w:val="16"/>
              </w:rPr>
              <w:t>537.4</w:t>
            </w:r>
          </w:p>
        </w:tc>
        <w:tc>
          <w:tcPr>
            <w:tcW w:w="1132" w:type="dxa"/>
            <w:tcBorders>
              <w:top w:val="single" w:sz="4" w:space="0" w:color="000000"/>
              <w:bottom w:val="single" w:sz="4" w:space="0" w:color="000000"/>
            </w:tcBorders>
          </w:tcPr>
          <w:p>
            <w:pPr>
              <w:pStyle w:val="TableParagraph"/>
              <w:spacing w:before="14"/>
              <w:ind w:right="106"/>
              <w:rPr>
                <w:i/>
                <w:sz w:val="16"/>
              </w:rPr>
            </w:pPr>
            <w:r>
              <w:rPr>
                <w:i/>
                <w:spacing w:val="-2"/>
                <w:sz w:val="16"/>
              </w:rPr>
              <w:t>4,339.4</w:t>
            </w:r>
          </w:p>
        </w:tc>
        <w:tc>
          <w:tcPr>
            <w:tcW w:w="1078" w:type="dxa"/>
            <w:tcBorders>
              <w:top w:val="single" w:sz="4" w:space="0" w:color="000000"/>
              <w:bottom w:val="single" w:sz="4" w:space="0" w:color="000000"/>
            </w:tcBorders>
          </w:tcPr>
          <w:p>
            <w:pPr>
              <w:pStyle w:val="TableParagraph"/>
              <w:spacing w:before="14"/>
              <w:ind w:right="51"/>
              <w:rPr>
                <w:i/>
                <w:sz w:val="16"/>
              </w:rPr>
            </w:pPr>
            <w:r>
              <w:rPr>
                <w:i/>
                <w:spacing w:val="-2"/>
                <w:sz w:val="16"/>
              </w:rPr>
              <w:t>5,275.4</w:t>
            </w:r>
          </w:p>
        </w:tc>
        <w:tc>
          <w:tcPr>
            <w:tcW w:w="1122" w:type="dxa"/>
            <w:tcBorders>
              <w:top w:val="single" w:sz="4" w:space="0" w:color="000000"/>
              <w:bottom w:val="single" w:sz="4" w:space="0" w:color="000000"/>
            </w:tcBorders>
          </w:tcPr>
          <w:p>
            <w:pPr>
              <w:pStyle w:val="TableParagraph"/>
              <w:spacing w:before="14"/>
              <w:ind w:right="183"/>
              <w:rPr>
                <w:i/>
                <w:sz w:val="16"/>
              </w:rPr>
            </w:pPr>
            <w:r>
              <w:rPr>
                <w:i/>
                <w:spacing w:val="-2"/>
                <w:sz w:val="16"/>
              </w:rPr>
              <w:t>1,173.0</w:t>
            </w:r>
          </w:p>
        </w:tc>
        <w:tc>
          <w:tcPr>
            <w:tcW w:w="753" w:type="dxa"/>
            <w:tcBorders>
              <w:top w:val="single" w:sz="4" w:space="0" w:color="000000"/>
              <w:bottom w:val="single" w:sz="4" w:space="0" w:color="000000"/>
            </w:tcBorders>
          </w:tcPr>
          <w:p>
            <w:pPr>
              <w:pStyle w:val="TableParagraph"/>
              <w:spacing w:before="14"/>
              <w:ind w:right="172"/>
              <w:rPr>
                <w:i/>
                <w:sz w:val="16"/>
              </w:rPr>
            </w:pPr>
            <w:r>
              <w:rPr>
                <w:i/>
                <w:spacing w:val="-4"/>
                <w:sz w:val="16"/>
              </w:rPr>
              <w:t>22.2</w:t>
            </w:r>
          </w:p>
        </w:tc>
        <w:tc>
          <w:tcPr>
            <w:tcW w:w="1053" w:type="dxa"/>
            <w:tcBorders>
              <w:top w:val="single" w:sz="4" w:space="0" w:color="000000"/>
              <w:bottom w:val="single" w:sz="4" w:space="0" w:color="000000"/>
            </w:tcBorders>
          </w:tcPr>
          <w:p>
            <w:pPr>
              <w:pStyle w:val="TableParagraph"/>
              <w:spacing w:before="14"/>
              <w:ind w:right="102"/>
              <w:rPr>
                <w:i/>
                <w:sz w:val="16"/>
              </w:rPr>
            </w:pPr>
            <w:r>
              <w:rPr>
                <w:i/>
                <w:spacing w:val="-2"/>
                <w:sz w:val="16"/>
              </w:rPr>
              <w:t>6,448.4</w:t>
            </w:r>
          </w:p>
        </w:tc>
      </w:tr>
      <w:tr>
        <w:trPr>
          <w:trHeight w:val="230" w:hRule="atLeast"/>
        </w:trPr>
        <w:tc>
          <w:tcPr>
            <w:tcW w:w="2461" w:type="dxa"/>
            <w:tcBorders>
              <w:top w:val="single" w:sz="4" w:space="0" w:color="000000"/>
              <w:bottom w:val="single" w:sz="12" w:space="0" w:color="000000"/>
            </w:tcBorders>
          </w:tcPr>
          <w:p>
            <w:pPr>
              <w:pStyle w:val="TableParagraph"/>
              <w:spacing w:before="14"/>
              <w:ind w:left="117"/>
              <w:jc w:val="left"/>
              <w:rPr>
                <w:b/>
                <w:sz w:val="16"/>
              </w:rPr>
            </w:pPr>
            <w:r>
              <w:rPr>
                <w:b/>
                <w:spacing w:val="-2"/>
                <w:sz w:val="16"/>
              </w:rPr>
              <w:t>Total</w:t>
            </w:r>
          </w:p>
        </w:tc>
        <w:tc>
          <w:tcPr>
            <w:tcW w:w="1218" w:type="dxa"/>
            <w:tcBorders>
              <w:top w:val="single" w:sz="4" w:space="0" w:color="000000"/>
              <w:bottom w:val="single" w:sz="12" w:space="0" w:color="000000"/>
            </w:tcBorders>
          </w:tcPr>
          <w:p>
            <w:pPr>
              <w:pStyle w:val="TableParagraph"/>
              <w:spacing w:before="14"/>
              <w:ind w:right="192"/>
              <w:rPr>
                <w:b/>
                <w:sz w:val="16"/>
              </w:rPr>
            </w:pPr>
            <w:r>
              <w:rPr>
                <w:b/>
                <w:spacing w:val="-2"/>
                <w:sz w:val="16"/>
              </w:rPr>
              <w:t>19,601.4</w:t>
            </w:r>
          </w:p>
        </w:tc>
        <w:tc>
          <w:tcPr>
            <w:tcW w:w="828" w:type="dxa"/>
            <w:tcBorders>
              <w:top w:val="single" w:sz="4" w:space="0" w:color="000000"/>
              <w:bottom w:val="single" w:sz="12" w:space="0" w:color="000000"/>
            </w:tcBorders>
          </w:tcPr>
          <w:p>
            <w:pPr>
              <w:pStyle w:val="TableParagraph"/>
              <w:spacing w:before="14"/>
              <w:ind w:right="107"/>
              <w:rPr>
                <w:b/>
                <w:sz w:val="16"/>
              </w:rPr>
            </w:pPr>
            <w:r>
              <w:rPr>
                <w:b/>
                <w:spacing w:val="-2"/>
                <w:sz w:val="16"/>
              </w:rPr>
              <w:t>537.4</w:t>
            </w:r>
          </w:p>
        </w:tc>
        <w:tc>
          <w:tcPr>
            <w:tcW w:w="1132" w:type="dxa"/>
            <w:tcBorders>
              <w:top w:val="single" w:sz="4" w:space="0" w:color="000000"/>
              <w:bottom w:val="single" w:sz="12" w:space="0" w:color="000000"/>
            </w:tcBorders>
          </w:tcPr>
          <w:p>
            <w:pPr>
              <w:pStyle w:val="TableParagraph"/>
              <w:spacing w:before="14"/>
              <w:ind w:right="106"/>
              <w:rPr>
                <w:b/>
                <w:sz w:val="16"/>
              </w:rPr>
            </w:pPr>
            <w:r>
              <w:rPr>
                <w:b/>
                <w:spacing w:val="-2"/>
                <w:sz w:val="16"/>
              </w:rPr>
              <w:t>20,138.8</w:t>
            </w:r>
          </w:p>
        </w:tc>
        <w:tc>
          <w:tcPr>
            <w:tcW w:w="1078" w:type="dxa"/>
            <w:tcBorders>
              <w:top w:val="single" w:sz="4" w:space="0" w:color="000000"/>
              <w:bottom w:val="single" w:sz="12" w:space="0" w:color="000000"/>
            </w:tcBorders>
          </w:tcPr>
          <w:p>
            <w:pPr>
              <w:pStyle w:val="TableParagraph"/>
              <w:spacing w:before="14"/>
              <w:ind w:right="51"/>
              <w:rPr>
                <w:b/>
                <w:sz w:val="16"/>
              </w:rPr>
            </w:pPr>
            <w:r>
              <w:rPr>
                <w:b/>
                <w:spacing w:val="-2"/>
                <w:sz w:val="16"/>
              </w:rPr>
              <w:t>21,554.4</w:t>
            </w:r>
          </w:p>
        </w:tc>
        <w:tc>
          <w:tcPr>
            <w:tcW w:w="1122" w:type="dxa"/>
            <w:tcBorders>
              <w:top w:val="single" w:sz="4" w:space="0" w:color="000000"/>
              <w:bottom w:val="single" w:sz="12" w:space="0" w:color="000000"/>
            </w:tcBorders>
          </w:tcPr>
          <w:p>
            <w:pPr>
              <w:pStyle w:val="TableParagraph"/>
              <w:spacing w:before="14"/>
              <w:ind w:right="183"/>
              <w:rPr>
                <w:b/>
                <w:sz w:val="16"/>
              </w:rPr>
            </w:pPr>
            <w:r>
              <w:rPr>
                <w:b/>
                <w:spacing w:val="-2"/>
                <w:sz w:val="16"/>
              </w:rPr>
              <w:t>2,740.3</w:t>
            </w:r>
          </w:p>
        </w:tc>
        <w:tc>
          <w:tcPr>
            <w:tcW w:w="753" w:type="dxa"/>
            <w:tcBorders>
              <w:top w:val="single" w:sz="4" w:space="0" w:color="000000"/>
              <w:bottom w:val="single" w:sz="12" w:space="0" w:color="000000"/>
            </w:tcBorders>
          </w:tcPr>
          <w:p>
            <w:pPr>
              <w:pStyle w:val="TableParagraph"/>
              <w:spacing w:before="14"/>
              <w:ind w:right="172"/>
              <w:rPr>
                <w:b/>
                <w:sz w:val="16"/>
              </w:rPr>
            </w:pPr>
            <w:r>
              <w:rPr>
                <w:b/>
                <w:spacing w:val="-4"/>
                <w:sz w:val="16"/>
              </w:rPr>
              <w:t>12.7</w:t>
            </w:r>
          </w:p>
        </w:tc>
        <w:tc>
          <w:tcPr>
            <w:tcW w:w="1053" w:type="dxa"/>
            <w:tcBorders>
              <w:top w:val="single" w:sz="4" w:space="0" w:color="000000"/>
              <w:bottom w:val="single" w:sz="12" w:space="0" w:color="000000"/>
            </w:tcBorders>
          </w:tcPr>
          <w:p>
            <w:pPr>
              <w:pStyle w:val="TableParagraph"/>
              <w:spacing w:before="14"/>
              <w:ind w:right="102"/>
              <w:rPr>
                <w:b/>
                <w:sz w:val="16"/>
              </w:rPr>
            </w:pPr>
            <w:r>
              <w:rPr>
                <w:b/>
                <w:spacing w:val="-2"/>
                <w:sz w:val="16"/>
              </w:rPr>
              <w:t>24,294.7</w:t>
            </w:r>
          </w:p>
        </w:tc>
      </w:tr>
    </w:tbl>
    <w:p>
      <w:pPr>
        <w:pStyle w:val="BodyText"/>
        <w:spacing w:before="8"/>
        <w:rPr>
          <w:b/>
          <w:sz w:val="21"/>
        </w:rPr>
      </w:pPr>
    </w:p>
    <w:p>
      <w:pPr>
        <w:spacing w:before="0"/>
        <w:ind w:left="2246" w:right="0" w:firstLine="0"/>
        <w:jc w:val="left"/>
        <w:rPr>
          <w:b/>
          <w:sz w:val="20"/>
        </w:rPr>
      </w:pPr>
      <w:r>
        <w:rPr>
          <w:b/>
          <w:sz w:val="20"/>
        </w:rPr>
        <w:t>Table</w:t>
      </w:r>
      <w:r>
        <w:rPr>
          <w:b/>
          <w:spacing w:val="-6"/>
          <w:sz w:val="20"/>
        </w:rPr>
        <w:t> </w:t>
      </w:r>
      <w:r>
        <w:rPr>
          <w:b/>
          <w:sz w:val="20"/>
        </w:rPr>
        <w:t>31:</w:t>
      </w:r>
      <w:r>
        <w:rPr>
          <w:b/>
          <w:spacing w:val="-7"/>
          <w:sz w:val="20"/>
        </w:rPr>
        <w:t> </w:t>
      </w:r>
      <w:r>
        <w:rPr>
          <w:b/>
          <w:sz w:val="20"/>
        </w:rPr>
        <w:t>Programme</w:t>
      </w:r>
      <w:r>
        <w:rPr>
          <w:b/>
          <w:spacing w:val="-6"/>
          <w:sz w:val="20"/>
        </w:rPr>
        <w:t> </w:t>
      </w:r>
      <w:r>
        <w:rPr>
          <w:b/>
          <w:sz w:val="20"/>
        </w:rPr>
        <w:t>3800:</w:t>
      </w:r>
      <w:r>
        <w:rPr>
          <w:b/>
          <w:spacing w:val="-7"/>
          <w:sz w:val="20"/>
        </w:rPr>
        <w:t> </w:t>
      </w:r>
      <w:r>
        <w:rPr>
          <w:b/>
          <w:sz w:val="20"/>
        </w:rPr>
        <w:t>Proposed</w:t>
      </w:r>
      <w:r>
        <w:rPr>
          <w:b/>
          <w:spacing w:val="-8"/>
          <w:sz w:val="20"/>
        </w:rPr>
        <w:t> </w:t>
      </w:r>
      <w:r>
        <w:rPr>
          <w:b/>
          <w:sz w:val="20"/>
        </w:rPr>
        <w:t>staffing</w:t>
      </w:r>
      <w:r>
        <w:rPr>
          <w:b/>
          <w:spacing w:val="-3"/>
          <w:sz w:val="20"/>
        </w:rPr>
        <w:t> </w:t>
      </w:r>
      <w:r>
        <w:rPr>
          <w:b/>
          <w:sz w:val="20"/>
        </w:rPr>
        <w:t>for</w:t>
      </w:r>
      <w:r>
        <w:rPr>
          <w:b/>
          <w:spacing w:val="-5"/>
          <w:sz w:val="20"/>
        </w:rPr>
        <w:t> </w:t>
      </w:r>
      <w:r>
        <w:rPr>
          <w:b/>
          <w:spacing w:val="-4"/>
          <w:sz w:val="20"/>
        </w:rPr>
        <w:t>2023</w:t>
      </w:r>
    </w:p>
    <w:tbl>
      <w:tblPr>
        <w:tblW w:w="0" w:type="auto"/>
        <w:jc w:val="left"/>
        <w:tblInd w:w="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6"/>
        <w:gridCol w:w="678"/>
        <w:gridCol w:w="607"/>
        <w:gridCol w:w="563"/>
        <w:gridCol w:w="557"/>
        <w:gridCol w:w="608"/>
        <w:gridCol w:w="565"/>
        <w:gridCol w:w="635"/>
        <w:gridCol w:w="728"/>
        <w:gridCol w:w="463"/>
        <w:gridCol w:w="796"/>
        <w:gridCol w:w="568"/>
        <w:gridCol w:w="578"/>
        <w:gridCol w:w="566"/>
        <w:gridCol w:w="820"/>
        <w:gridCol w:w="517"/>
      </w:tblGrid>
      <w:tr>
        <w:trPr>
          <w:trHeight w:val="484" w:hRule="atLeast"/>
        </w:trPr>
        <w:tc>
          <w:tcPr>
            <w:tcW w:w="1186"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left="67"/>
              <w:jc w:val="left"/>
              <w:rPr>
                <w:sz w:val="14"/>
              </w:rPr>
            </w:pPr>
            <w:r>
              <w:rPr>
                <w:spacing w:val="-4"/>
                <w:sz w:val="14"/>
              </w:rPr>
              <w:t>3800</w:t>
            </w:r>
          </w:p>
        </w:tc>
        <w:tc>
          <w:tcPr>
            <w:tcW w:w="678"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152"/>
              <w:rPr>
                <w:sz w:val="14"/>
              </w:rPr>
            </w:pPr>
            <w:r>
              <w:rPr>
                <w:spacing w:val="-5"/>
                <w:sz w:val="14"/>
              </w:rPr>
              <w:t>USG</w:t>
            </w:r>
          </w:p>
        </w:tc>
        <w:tc>
          <w:tcPr>
            <w:tcW w:w="607"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169"/>
              <w:rPr>
                <w:sz w:val="14"/>
              </w:rPr>
            </w:pPr>
            <w:r>
              <w:rPr>
                <w:spacing w:val="-5"/>
                <w:sz w:val="14"/>
              </w:rPr>
              <w:t>ASG</w:t>
            </w:r>
          </w:p>
        </w:tc>
        <w:tc>
          <w:tcPr>
            <w:tcW w:w="563"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167"/>
              <w:rPr>
                <w:sz w:val="14"/>
              </w:rPr>
            </w:pPr>
            <w:r>
              <w:rPr>
                <w:w w:val="95"/>
                <w:sz w:val="14"/>
              </w:rPr>
              <w:t>D-</w:t>
            </w:r>
            <w:r>
              <w:rPr>
                <w:spacing w:val="-10"/>
                <w:sz w:val="14"/>
              </w:rPr>
              <w:t>2</w:t>
            </w:r>
          </w:p>
        </w:tc>
        <w:tc>
          <w:tcPr>
            <w:tcW w:w="557"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163"/>
              <w:rPr>
                <w:sz w:val="14"/>
              </w:rPr>
            </w:pPr>
            <w:r>
              <w:rPr>
                <w:w w:val="95"/>
                <w:sz w:val="14"/>
              </w:rPr>
              <w:t>D-</w:t>
            </w:r>
            <w:r>
              <w:rPr>
                <w:spacing w:val="-10"/>
                <w:sz w:val="14"/>
              </w:rPr>
              <w:t>1</w:t>
            </w:r>
          </w:p>
        </w:tc>
        <w:tc>
          <w:tcPr>
            <w:tcW w:w="608"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194"/>
              <w:rPr>
                <w:sz w:val="14"/>
              </w:rPr>
            </w:pPr>
            <w:r>
              <w:rPr>
                <w:w w:val="95"/>
                <w:sz w:val="14"/>
              </w:rPr>
              <w:t>P-</w:t>
            </w:r>
            <w:r>
              <w:rPr>
                <w:spacing w:val="-10"/>
                <w:sz w:val="14"/>
              </w:rPr>
              <w:t>5</w:t>
            </w:r>
          </w:p>
        </w:tc>
        <w:tc>
          <w:tcPr>
            <w:tcW w:w="565"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174"/>
              <w:rPr>
                <w:sz w:val="14"/>
              </w:rPr>
            </w:pPr>
            <w:r>
              <w:rPr>
                <w:w w:val="95"/>
                <w:sz w:val="14"/>
              </w:rPr>
              <w:t>P-</w:t>
            </w:r>
            <w:r>
              <w:rPr>
                <w:spacing w:val="-10"/>
                <w:sz w:val="14"/>
              </w:rPr>
              <w:t>4</w:t>
            </w:r>
          </w:p>
        </w:tc>
        <w:tc>
          <w:tcPr>
            <w:tcW w:w="635"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213"/>
              <w:rPr>
                <w:sz w:val="14"/>
              </w:rPr>
            </w:pPr>
            <w:r>
              <w:rPr>
                <w:w w:val="95"/>
                <w:sz w:val="14"/>
              </w:rPr>
              <w:t>P-</w:t>
            </w:r>
            <w:r>
              <w:rPr>
                <w:spacing w:val="-10"/>
                <w:sz w:val="14"/>
              </w:rPr>
              <w:t>3</w:t>
            </w:r>
          </w:p>
        </w:tc>
        <w:tc>
          <w:tcPr>
            <w:tcW w:w="728"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201"/>
              <w:rPr>
                <w:sz w:val="14"/>
              </w:rPr>
            </w:pPr>
            <w:r>
              <w:rPr>
                <w:w w:val="95"/>
                <w:sz w:val="14"/>
              </w:rPr>
              <w:t>P-</w:t>
            </w:r>
            <w:r>
              <w:rPr>
                <w:spacing w:val="-10"/>
                <w:sz w:val="14"/>
              </w:rPr>
              <w:t>2</w:t>
            </w:r>
          </w:p>
        </w:tc>
        <w:tc>
          <w:tcPr>
            <w:tcW w:w="463"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69"/>
              <w:rPr>
                <w:sz w:val="14"/>
              </w:rPr>
            </w:pPr>
            <w:r>
              <w:rPr>
                <w:w w:val="95"/>
                <w:sz w:val="14"/>
              </w:rPr>
              <w:t>P-</w:t>
            </w:r>
            <w:r>
              <w:rPr>
                <w:spacing w:val="-10"/>
                <w:sz w:val="14"/>
              </w:rPr>
              <w:t>1</w:t>
            </w:r>
          </w:p>
        </w:tc>
        <w:tc>
          <w:tcPr>
            <w:tcW w:w="796" w:type="dxa"/>
            <w:tcBorders>
              <w:top w:val="single" w:sz="4" w:space="0" w:color="000000"/>
              <w:bottom w:val="single" w:sz="4" w:space="0" w:color="000000"/>
            </w:tcBorders>
          </w:tcPr>
          <w:p>
            <w:pPr>
              <w:pStyle w:val="TableParagraph"/>
              <w:spacing w:line="150" w:lineRule="exact"/>
              <w:ind w:left="368"/>
              <w:jc w:val="left"/>
              <w:rPr>
                <w:i/>
                <w:sz w:val="14"/>
              </w:rPr>
            </w:pPr>
            <w:r>
              <w:rPr>
                <w:i/>
                <w:spacing w:val="-2"/>
                <w:sz w:val="14"/>
              </w:rPr>
              <w:t>Total</w:t>
            </w:r>
          </w:p>
          <w:p>
            <w:pPr>
              <w:pStyle w:val="TableParagraph"/>
              <w:spacing w:line="160" w:lineRule="atLeast"/>
              <w:ind w:left="69" w:right="121" w:firstLine="201"/>
              <w:jc w:val="left"/>
              <w:rPr>
                <w:i/>
                <w:sz w:val="14"/>
              </w:rPr>
            </w:pPr>
            <w:r>
              <w:rPr>
                <w:i/>
                <w:spacing w:val="-2"/>
                <w:sz w:val="14"/>
              </w:rPr>
              <w:t>P-Staff</w:t>
            </w:r>
            <w:r>
              <w:rPr>
                <w:i/>
                <w:spacing w:val="40"/>
                <w:sz w:val="14"/>
              </w:rPr>
              <w:t> </w:t>
            </w:r>
            <w:r>
              <w:rPr>
                <w:i/>
                <w:sz w:val="14"/>
              </w:rPr>
              <w:t>and</w:t>
            </w:r>
            <w:r>
              <w:rPr>
                <w:i/>
                <w:spacing w:val="1"/>
                <w:sz w:val="14"/>
              </w:rPr>
              <w:t> </w:t>
            </w:r>
            <w:r>
              <w:rPr>
                <w:i/>
                <w:spacing w:val="-2"/>
                <w:sz w:val="14"/>
              </w:rPr>
              <w:t>Above</w:t>
            </w:r>
          </w:p>
        </w:tc>
        <w:tc>
          <w:tcPr>
            <w:tcW w:w="568"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99"/>
              <w:rPr>
                <w:sz w:val="14"/>
              </w:rPr>
            </w:pPr>
            <w:r>
              <w:rPr>
                <w:w w:val="95"/>
                <w:sz w:val="14"/>
              </w:rPr>
              <w:t>NO-</w:t>
            </w:r>
            <w:r>
              <w:rPr>
                <w:spacing w:val="-10"/>
                <w:sz w:val="14"/>
              </w:rPr>
              <w:t>C</w:t>
            </w:r>
          </w:p>
        </w:tc>
        <w:tc>
          <w:tcPr>
            <w:tcW w:w="578"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90"/>
              <w:rPr>
                <w:sz w:val="14"/>
              </w:rPr>
            </w:pPr>
            <w:r>
              <w:rPr>
                <w:w w:val="95"/>
                <w:sz w:val="14"/>
              </w:rPr>
              <w:t>GS-</w:t>
            </w:r>
            <w:r>
              <w:rPr>
                <w:spacing w:val="-5"/>
                <w:sz w:val="14"/>
              </w:rPr>
              <w:t>PL</w:t>
            </w:r>
          </w:p>
        </w:tc>
        <w:tc>
          <w:tcPr>
            <w:tcW w:w="566"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64"/>
              <w:rPr>
                <w:sz w:val="14"/>
              </w:rPr>
            </w:pPr>
            <w:r>
              <w:rPr>
                <w:w w:val="95"/>
                <w:sz w:val="14"/>
              </w:rPr>
              <w:t>GS-</w:t>
            </w:r>
            <w:r>
              <w:rPr>
                <w:spacing w:val="-5"/>
                <w:sz w:val="14"/>
              </w:rPr>
              <w:t>OL</w:t>
            </w:r>
          </w:p>
        </w:tc>
        <w:tc>
          <w:tcPr>
            <w:tcW w:w="820" w:type="dxa"/>
            <w:tcBorders>
              <w:top w:val="single" w:sz="4" w:space="0" w:color="000000"/>
              <w:bottom w:val="single" w:sz="4" w:space="0" w:color="000000"/>
            </w:tcBorders>
          </w:tcPr>
          <w:p>
            <w:pPr>
              <w:pStyle w:val="TableParagraph"/>
              <w:spacing w:line="150" w:lineRule="exact"/>
              <w:ind w:left="376"/>
              <w:jc w:val="left"/>
              <w:rPr>
                <w:i/>
                <w:sz w:val="14"/>
              </w:rPr>
            </w:pPr>
            <w:r>
              <w:rPr>
                <w:i/>
                <w:spacing w:val="-2"/>
                <w:sz w:val="14"/>
              </w:rPr>
              <w:t>Total</w:t>
            </w:r>
          </w:p>
          <w:p>
            <w:pPr>
              <w:pStyle w:val="TableParagraph"/>
              <w:spacing w:line="160" w:lineRule="atLeast"/>
              <w:ind w:left="54" w:right="141" w:firstLine="197"/>
              <w:jc w:val="left"/>
              <w:rPr>
                <w:i/>
                <w:sz w:val="14"/>
              </w:rPr>
            </w:pPr>
            <w:r>
              <w:rPr>
                <w:i/>
                <w:sz w:val="14"/>
              </w:rPr>
              <w:t>GS</w:t>
            </w:r>
            <w:r>
              <w:rPr>
                <w:i/>
                <w:spacing w:val="-9"/>
                <w:sz w:val="14"/>
              </w:rPr>
              <w:t> </w:t>
            </w:r>
            <w:r>
              <w:rPr>
                <w:i/>
                <w:sz w:val="14"/>
              </w:rPr>
              <w:t>and</w:t>
            </w:r>
            <w:r>
              <w:rPr>
                <w:i/>
                <w:spacing w:val="40"/>
                <w:sz w:val="14"/>
              </w:rPr>
              <w:t> </w:t>
            </w:r>
            <w:r>
              <w:rPr>
                <w:i/>
                <w:sz w:val="14"/>
              </w:rPr>
              <w:t>Other</w:t>
            </w:r>
            <w:r>
              <w:rPr>
                <w:i/>
                <w:spacing w:val="-5"/>
                <w:sz w:val="14"/>
              </w:rPr>
              <w:t> </w:t>
            </w:r>
            <w:r>
              <w:rPr>
                <w:i/>
                <w:spacing w:val="-2"/>
                <w:sz w:val="14"/>
              </w:rPr>
              <w:t>Staff</w:t>
            </w:r>
          </w:p>
        </w:tc>
        <w:tc>
          <w:tcPr>
            <w:tcW w:w="517" w:type="dxa"/>
            <w:tcBorders>
              <w:top w:val="single" w:sz="4" w:space="0" w:color="000000"/>
              <w:bottom w:val="single" w:sz="4" w:space="0" w:color="000000"/>
            </w:tcBorders>
          </w:tcPr>
          <w:p>
            <w:pPr>
              <w:pStyle w:val="TableParagraph"/>
              <w:spacing w:before="4"/>
              <w:jc w:val="left"/>
              <w:rPr>
                <w:b/>
                <w:sz w:val="12"/>
              </w:rPr>
            </w:pPr>
          </w:p>
          <w:p>
            <w:pPr>
              <w:pStyle w:val="TableParagraph"/>
              <w:spacing w:line="160" w:lineRule="atLeast"/>
              <w:ind w:left="165" w:hanging="34"/>
              <w:jc w:val="left"/>
              <w:rPr>
                <w:b/>
                <w:sz w:val="14"/>
              </w:rPr>
            </w:pPr>
            <w:r>
              <w:rPr>
                <w:b/>
                <w:spacing w:val="-4"/>
                <w:sz w:val="14"/>
              </w:rPr>
              <w:t>Total</w:t>
            </w:r>
            <w:r>
              <w:rPr>
                <w:b/>
                <w:spacing w:val="40"/>
                <w:sz w:val="14"/>
              </w:rPr>
              <w:t> </w:t>
            </w:r>
            <w:r>
              <w:rPr>
                <w:b/>
                <w:spacing w:val="-4"/>
                <w:sz w:val="14"/>
              </w:rPr>
              <w:t>Staff</w:t>
            </w:r>
          </w:p>
        </w:tc>
      </w:tr>
      <w:tr>
        <w:trPr>
          <w:trHeight w:val="228" w:hRule="atLeast"/>
        </w:trPr>
        <w:tc>
          <w:tcPr>
            <w:tcW w:w="1186" w:type="dxa"/>
            <w:tcBorders>
              <w:top w:val="single" w:sz="4" w:space="0" w:color="000000"/>
            </w:tcBorders>
          </w:tcPr>
          <w:p>
            <w:pPr>
              <w:pStyle w:val="TableParagraph"/>
              <w:spacing w:before="22"/>
              <w:ind w:left="67"/>
              <w:jc w:val="left"/>
              <w:rPr>
                <w:b/>
                <w:sz w:val="14"/>
              </w:rPr>
            </w:pPr>
            <w:r>
              <w:rPr>
                <w:b/>
                <w:spacing w:val="-2"/>
                <w:sz w:val="14"/>
              </w:rPr>
              <w:t>Established</w:t>
            </w:r>
            <w:r>
              <w:rPr>
                <w:b/>
                <w:spacing w:val="11"/>
                <w:sz w:val="14"/>
              </w:rPr>
              <w:t> </w:t>
            </w:r>
            <w:r>
              <w:rPr>
                <w:b/>
                <w:spacing w:val="-2"/>
                <w:sz w:val="14"/>
              </w:rPr>
              <w:t>Posts</w:t>
            </w:r>
          </w:p>
        </w:tc>
        <w:tc>
          <w:tcPr>
            <w:tcW w:w="678" w:type="dxa"/>
            <w:tcBorders>
              <w:top w:val="single" w:sz="4" w:space="0" w:color="000000"/>
            </w:tcBorders>
          </w:tcPr>
          <w:p>
            <w:pPr>
              <w:pStyle w:val="TableParagraph"/>
              <w:jc w:val="left"/>
              <w:rPr>
                <w:sz w:val="14"/>
              </w:rPr>
            </w:pPr>
          </w:p>
        </w:tc>
        <w:tc>
          <w:tcPr>
            <w:tcW w:w="607" w:type="dxa"/>
            <w:tcBorders>
              <w:top w:val="single" w:sz="4" w:space="0" w:color="000000"/>
            </w:tcBorders>
          </w:tcPr>
          <w:p>
            <w:pPr>
              <w:pStyle w:val="TableParagraph"/>
              <w:jc w:val="left"/>
              <w:rPr>
                <w:sz w:val="14"/>
              </w:rPr>
            </w:pPr>
          </w:p>
        </w:tc>
        <w:tc>
          <w:tcPr>
            <w:tcW w:w="563" w:type="dxa"/>
            <w:tcBorders>
              <w:top w:val="single" w:sz="4" w:space="0" w:color="000000"/>
            </w:tcBorders>
          </w:tcPr>
          <w:p>
            <w:pPr>
              <w:pStyle w:val="TableParagraph"/>
              <w:jc w:val="left"/>
              <w:rPr>
                <w:sz w:val="14"/>
              </w:rPr>
            </w:pPr>
          </w:p>
        </w:tc>
        <w:tc>
          <w:tcPr>
            <w:tcW w:w="557" w:type="dxa"/>
            <w:tcBorders>
              <w:top w:val="single" w:sz="4" w:space="0" w:color="000000"/>
            </w:tcBorders>
          </w:tcPr>
          <w:p>
            <w:pPr>
              <w:pStyle w:val="TableParagraph"/>
              <w:jc w:val="left"/>
              <w:rPr>
                <w:sz w:val="14"/>
              </w:rPr>
            </w:pPr>
          </w:p>
        </w:tc>
        <w:tc>
          <w:tcPr>
            <w:tcW w:w="608" w:type="dxa"/>
            <w:tcBorders>
              <w:top w:val="single" w:sz="4" w:space="0" w:color="000000"/>
            </w:tcBorders>
          </w:tcPr>
          <w:p>
            <w:pPr>
              <w:pStyle w:val="TableParagraph"/>
              <w:jc w:val="left"/>
              <w:rPr>
                <w:sz w:val="14"/>
              </w:rPr>
            </w:pPr>
          </w:p>
        </w:tc>
        <w:tc>
          <w:tcPr>
            <w:tcW w:w="565" w:type="dxa"/>
            <w:tcBorders>
              <w:top w:val="single" w:sz="4" w:space="0" w:color="000000"/>
            </w:tcBorders>
          </w:tcPr>
          <w:p>
            <w:pPr>
              <w:pStyle w:val="TableParagraph"/>
              <w:jc w:val="left"/>
              <w:rPr>
                <w:sz w:val="14"/>
              </w:rPr>
            </w:pPr>
          </w:p>
        </w:tc>
        <w:tc>
          <w:tcPr>
            <w:tcW w:w="635" w:type="dxa"/>
            <w:tcBorders>
              <w:top w:val="single" w:sz="4" w:space="0" w:color="000000"/>
            </w:tcBorders>
          </w:tcPr>
          <w:p>
            <w:pPr>
              <w:pStyle w:val="TableParagraph"/>
              <w:jc w:val="left"/>
              <w:rPr>
                <w:sz w:val="14"/>
              </w:rPr>
            </w:pPr>
          </w:p>
        </w:tc>
        <w:tc>
          <w:tcPr>
            <w:tcW w:w="728" w:type="dxa"/>
            <w:tcBorders>
              <w:top w:val="single" w:sz="4" w:space="0" w:color="000000"/>
            </w:tcBorders>
          </w:tcPr>
          <w:p>
            <w:pPr>
              <w:pStyle w:val="TableParagraph"/>
              <w:jc w:val="left"/>
              <w:rPr>
                <w:sz w:val="14"/>
              </w:rPr>
            </w:pPr>
          </w:p>
        </w:tc>
        <w:tc>
          <w:tcPr>
            <w:tcW w:w="463" w:type="dxa"/>
            <w:tcBorders>
              <w:top w:val="single" w:sz="4" w:space="0" w:color="000000"/>
            </w:tcBorders>
          </w:tcPr>
          <w:p>
            <w:pPr>
              <w:pStyle w:val="TableParagraph"/>
              <w:jc w:val="left"/>
              <w:rPr>
                <w:sz w:val="14"/>
              </w:rPr>
            </w:pPr>
          </w:p>
        </w:tc>
        <w:tc>
          <w:tcPr>
            <w:tcW w:w="796" w:type="dxa"/>
            <w:tcBorders>
              <w:top w:val="single" w:sz="4" w:space="0" w:color="000000"/>
            </w:tcBorders>
          </w:tcPr>
          <w:p>
            <w:pPr>
              <w:pStyle w:val="TableParagraph"/>
              <w:jc w:val="left"/>
              <w:rPr>
                <w:sz w:val="14"/>
              </w:rPr>
            </w:pPr>
          </w:p>
        </w:tc>
        <w:tc>
          <w:tcPr>
            <w:tcW w:w="568" w:type="dxa"/>
            <w:tcBorders>
              <w:top w:val="single" w:sz="4" w:space="0" w:color="000000"/>
            </w:tcBorders>
          </w:tcPr>
          <w:p>
            <w:pPr>
              <w:pStyle w:val="TableParagraph"/>
              <w:jc w:val="left"/>
              <w:rPr>
                <w:sz w:val="14"/>
              </w:rPr>
            </w:pPr>
          </w:p>
        </w:tc>
        <w:tc>
          <w:tcPr>
            <w:tcW w:w="578" w:type="dxa"/>
            <w:tcBorders>
              <w:top w:val="single" w:sz="4" w:space="0" w:color="000000"/>
            </w:tcBorders>
          </w:tcPr>
          <w:p>
            <w:pPr>
              <w:pStyle w:val="TableParagraph"/>
              <w:jc w:val="left"/>
              <w:rPr>
                <w:sz w:val="14"/>
              </w:rPr>
            </w:pPr>
          </w:p>
        </w:tc>
        <w:tc>
          <w:tcPr>
            <w:tcW w:w="566" w:type="dxa"/>
            <w:tcBorders>
              <w:top w:val="single" w:sz="4" w:space="0" w:color="000000"/>
            </w:tcBorders>
          </w:tcPr>
          <w:p>
            <w:pPr>
              <w:pStyle w:val="TableParagraph"/>
              <w:jc w:val="left"/>
              <w:rPr>
                <w:sz w:val="14"/>
              </w:rPr>
            </w:pPr>
          </w:p>
        </w:tc>
        <w:tc>
          <w:tcPr>
            <w:tcW w:w="820" w:type="dxa"/>
            <w:tcBorders>
              <w:top w:val="single" w:sz="4" w:space="0" w:color="000000"/>
            </w:tcBorders>
          </w:tcPr>
          <w:p>
            <w:pPr>
              <w:pStyle w:val="TableParagraph"/>
              <w:jc w:val="left"/>
              <w:rPr>
                <w:sz w:val="14"/>
              </w:rPr>
            </w:pPr>
          </w:p>
        </w:tc>
        <w:tc>
          <w:tcPr>
            <w:tcW w:w="517" w:type="dxa"/>
            <w:tcBorders>
              <w:top w:val="single" w:sz="4" w:space="0" w:color="000000"/>
            </w:tcBorders>
          </w:tcPr>
          <w:p>
            <w:pPr>
              <w:pStyle w:val="TableParagraph"/>
              <w:jc w:val="left"/>
              <w:rPr>
                <w:sz w:val="14"/>
              </w:rPr>
            </w:pPr>
          </w:p>
        </w:tc>
      </w:tr>
      <w:tr>
        <w:trPr>
          <w:trHeight w:val="221" w:hRule="atLeast"/>
        </w:trPr>
        <w:tc>
          <w:tcPr>
            <w:tcW w:w="1186" w:type="dxa"/>
            <w:tcBorders>
              <w:bottom w:val="single" w:sz="12" w:space="0" w:color="000000"/>
            </w:tcBorders>
          </w:tcPr>
          <w:p>
            <w:pPr>
              <w:pStyle w:val="TableParagraph"/>
              <w:spacing w:before="19"/>
              <w:ind w:left="67"/>
              <w:jc w:val="left"/>
              <w:rPr>
                <w:sz w:val="14"/>
              </w:rPr>
            </w:pPr>
            <w:r>
              <w:rPr>
                <w:w w:val="95"/>
                <w:sz w:val="14"/>
              </w:rPr>
              <w:t>Approved</w:t>
            </w:r>
            <w:r>
              <w:rPr>
                <w:spacing w:val="22"/>
                <w:sz w:val="14"/>
              </w:rPr>
              <w:t> </w:t>
            </w:r>
            <w:r>
              <w:rPr>
                <w:spacing w:val="-4"/>
                <w:sz w:val="14"/>
              </w:rPr>
              <w:t>2022</w:t>
            </w:r>
          </w:p>
        </w:tc>
        <w:tc>
          <w:tcPr>
            <w:tcW w:w="678" w:type="dxa"/>
            <w:tcBorders>
              <w:bottom w:val="single" w:sz="12" w:space="0" w:color="000000"/>
            </w:tcBorders>
          </w:tcPr>
          <w:p>
            <w:pPr>
              <w:pStyle w:val="TableParagraph"/>
              <w:spacing w:before="19"/>
              <w:ind w:right="154"/>
              <w:rPr>
                <w:sz w:val="14"/>
              </w:rPr>
            </w:pPr>
            <w:r>
              <w:rPr>
                <w:w w:val="99"/>
                <w:sz w:val="14"/>
              </w:rPr>
              <w:t>-</w:t>
            </w:r>
          </w:p>
        </w:tc>
        <w:tc>
          <w:tcPr>
            <w:tcW w:w="607" w:type="dxa"/>
            <w:tcBorders>
              <w:bottom w:val="single" w:sz="12" w:space="0" w:color="000000"/>
            </w:tcBorders>
          </w:tcPr>
          <w:p>
            <w:pPr>
              <w:pStyle w:val="TableParagraph"/>
              <w:spacing w:before="19"/>
              <w:ind w:right="170"/>
              <w:rPr>
                <w:sz w:val="14"/>
              </w:rPr>
            </w:pPr>
            <w:r>
              <w:rPr>
                <w:w w:val="99"/>
                <w:sz w:val="14"/>
              </w:rPr>
              <w:t>-</w:t>
            </w:r>
          </w:p>
        </w:tc>
        <w:tc>
          <w:tcPr>
            <w:tcW w:w="563" w:type="dxa"/>
            <w:tcBorders>
              <w:bottom w:val="single" w:sz="12" w:space="0" w:color="000000"/>
            </w:tcBorders>
          </w:tcPr>
          <w:p>
            <w:pPr>
              <w:pStyle w:val="TableParagraph"/>
              <w:spacing w:before="19"/>
              <w:ind w:right="171"/>
              <w:rPr>
                <w:sz w:val="14"/>
              </w:rPr>
            </w:pPr>
            <w:r>
              <w:rPr>
                <w:w w:val="99"/>
                <w:sz w:val="14"/>
              </w:rPr>
              <w:t>-</w:t>
            </w:r>
          </w:p>
        </w:tc>
        <w:tc>
          <w:tcPr>
            <w:tcW w:w="557" w:type="dxa"/>
            <w:tcBorders>
              <w:bottom w:val="single" w:sz="12" w:space="0" w:color="000000"/>
            </w:tcBorders>
          </w:tcPr>
          <w:p>
            <w:pPr>
              <w:pStyle w:val="TableParagraph"/>
              <w:spacing w:before="19"/>
              <w:ind w:right="168"/>
              <w:rPr>
                <w:sz w:val="14"/>
              </w:rPr>
            </w:pPr>
            <w:r>
              <w:rPr>
                <w:w w:val="99"/>
                <w:sz w:val="14"/>
              </w:rPr>
              <w:t>1</w:t>
            </w:r>
          </w:p>
        </w:tc>
        <w:tc>
          <w:tcPr>
            <w:tcW w:w="608" w:type="dxa"/>
            <w:tcBorders>
              <w:bottom w:val="single" w:sz="12" w:space="0" w:color="000000"/>
            </w:tcBorders>
          </w:tcPr>
          <w:p>
            <w:pPr>
              <w:pStyle w:val="TableParagraph"/>
              <w:spacing w:before="19"/>
              <w:ind w:right="194"/>
              <w:rPr>
                <w:sz w:val="14"/>
              </w:rPr>
            </w:pPr>
            <w:r>
              <w:rPr>
                <w:w w:val="99"/>
                <w:sz w:val="14"/>
              </w:rPr>
              <w:t>8</w:t>
            </w:r>
          </w:p>
        </w:tc>
        <w:tc>
          <w:tcPr>
            <w:tcW w:w="565" w:type="dxa"/>
            <w:tcBorders>
              <w:bottom w:val="single" w:sz="12" w:space="0" w:color="000000"/>
            </w:tcBorders>
          </w:tcPr>
          <w:p>
            <w:pPr>
              <w:pStyle w:val="TableParagraph"/>
              <w:spacing w:before="19"/>
              <w:ind w:right="174"/>
              <w:rPr>
                <w:sz w:val="14"/>
              </w:rPr>
            </w:pPr>
            <w:r>
              <w:rPr>
                <w:w w:val="99"/>
                <w:sz w:val="14"/>
              </w:rPr>
              <w:t>9</w:t>
            </w:r>
          </w:p>
        </w:tc>
        <w:tc>
          <w:tcPr>
            <w:tcW w:w="635" w:type="dxa"/>
            <w:tcBorders>
              <w:bottom w:val="single" w:sz="12" w:space="0" w:color="000000"/>
            </w:tcBorders>
          </w:tcPr>
          <w:p>
            <w:pPr>
              <w:pStyle w:val="TableParagraph"/>
              <w:spacing w:before="19"/>
              <w:ind w:right="206"/>
              <w:rPr>
                <w:sz w:val="14"/>
              </w:rPr>
            </w:pPr>
            <w:r>
              <w:rPr>
                <w:spacing w:val="-5"/>
                <w:sz w:val="14"/>
              </w:rPr>
              <w:t>33</w:t>
            </w:r>
          </w:p>
        </w:tc>
        <w:tc>
          <w:tcPr>
            <w:tcW w:w="728" w:type="dxa"/>
            <w:tcBorders>
              <w:bottom w:val="single" w:sz="12" w:space="0" w:color="000000"/>
            </w:tcBorders>
          </w:tcPr>
          <w:p>
            <w:pPr>
              <w:pStyle w:val="TableParagraph"/>
              <w:spacing w:before="19"/>
              <w:ind w:right="194"/>
              <w:rPr>
                <w:sz w:val="14"/>
              </w:rPr>
            </w:pPr>
            <w:r>
              <w:rPr>
                <w:spacing w:val="-5"/>
                <w:sz w:val="14"/>
              </w:rPr>
              <w:t>40</w:t>
            </w:r>
          </w:p>
        </w:tc>
        <w:tc>
          <w:tcPr>
            <w:tcW w:w="463" w:type="dxa"/>
            <w:tcBorders>
              <w:bottom w:val="single" w:sz="12" w:space="0" w:color="000000"/>
            </w:tcBorders>
          </w:tcPr>
          <w:p>
            <w:pPr>
              <w:pStyle w:val="TableParagraph"/>
              <w:spacing w:before="19"/>
              <w:ind w:right="68"/>
              <w:rPr>
                <w:sz w:val="14"/>
              </w:rPr>
            </w:pPr>
            <w:r>
              <w:rPr>
                <w:w w:val="99"/>
                <w:sz w:val="14"/>
              </w:rPr>
              <w:t>-</w:t>
            </w:r>
          </w:p>
        </w:tc>
        <w:tc>
          <w:tcPr>
            <w:tcW w:w="796" w:type="dxa"/>
            <w:tcBorders>
              <w:bottom w:val="single" w:sz="12" w:space="0" w:color="000000"/>
            </w:tcBorders>
          </w:tcPr>
          <w:p>
            <w:pPr>
              <w:pStyle w:val="TableParagraph"/>
              <w:spacing w:before="19"/>
              <w:ind w:right="123"/>
              <w:rPr>
                <w:i/>
                <w:sz w:val="14"/>
              </w:rPr>
            </w:pPr>
            <w:r>
              <w:rPr>
                <w:i/>
                <w:spacing w:val="-5"/>
                <w:sz w:val="14"/>
              </w:rPr>
              <w:t>91</w:t>
            </w:r>
          </w:p>
        </w:tc>
        <w:tc>
          <w:tcPr>
            <w:tcW w:w="568" w:type="dxa"/>
            <w:tcBorders>
              <w:bottom w:val="single" w:sz="12" w:space="0" w:color="000000"/>
            </w:tcBorders>
          </w:tcPr>
          <w:p>
            <w:pPr>
              <w:pStyle w:val="TableParagraph"/>
              <w:spacing w:before="19"/>
              <w:ind w:right="102"/>
              <w:rPr>
                <w:sz w:val="14"/>
              </w:rPr>
            </w:pPr>
            <w:r>
              <w:rPr>
                <w:w w:val="99"/>
                <w:sz w:val="14"/>
              </w:rPr>
              <w:t>-</w:t>
            </w:r>
          </w:p>
        </w:tc>
        <w:tc>
          <w:tcPr>
            <w:tcW w:w="578" w:type="dxa"/>
            <w:tcBorders>
              <w:bottom w:val="single" w:sz="12" w:space="0" w:color="000000"/>
            </w:tcBorders>
          </w:tcPr>
          <w:p>
            <w:pPr>
              <w:pStyle w:val="TableParagraph"/>
              <w:spacing w:before="19"/>
              <w:ind w:right="90"/>
              <w:rPr>
                <w:sz w:val="14"/>
              </w:rPr>
            </w:pPr>
            <w:r>
              <w:rPr>
                <w:w w:val="99"/>
                <w:sz w:val="14"/>
              </w:rPr>
              <w:t>4</w:t>
            </w:r>
          </w:p>
        </w:tc>
        <w:tc>
          <w:tcPr>
            <w:tcW w:w="566" w:type="dxa"/>
            <w:tcBorders>
              <w:bottom w:val="single" w:sz="12" w:space="0" w:color="000000"/>
            </w:tcBorders>
          </w:tcPr>
          <w:p>
            <w:pPr>
              <w:pStyle w:val="TableParagraph"/>
              <w:spacing w:before="19"/>
              <w:ind w:right="59"/>
              <w:rPr>
                <w:sz w:val="14"/>
              </w:rPr>
            </w:pPr>
            <w:r>
              <w:rPr>
                <w:spacing w:val="-5"/>
                <w:sz w:val="14"/>
              </w:rPr>
              <w:t>98</w:t>
            </w:r>
          </w:p>
        </w:tc>
        <w:tc>
          <w:tcPr>
            <w:tcW w:w="820" w:type="dxa"/>
            <w:tcBorders>
              <w:bottom w:val="single" w:sz="12" w:space="0" w:color="000000"/>
            </w:tcBorders>
          </w:tcPr>
          <w:p>
            <w:pPr>
              <w:pStyle w:val="TableParagraph"/>
              <w:spacing w:before="19"/>
              <w:ind w:right="139"/>
              <w:rPr>
                <w:i/>
                <w:sz w:val="14"/>
              </w:rPr>
            </w:pPr>
            <w:r>
              <w:rPr>
                <w:i/>
                <w:spacing w:val="-5"/>
                <w:sz w:val="14"/>
              </w:rPr>
              <w:t>102</w:t>
            </w:r>
          </w:p>
        </w:tc>
        <w:tc>
          <w:tcPr>
            <w:tcW w:w="517" w:type="dxa"/>
            <w:tcBorders>
              <w:bottom w:val="single" w:sz="12" w:space="0" w:color="000000"/>
            </w:tcBorders>
          </w:tcPr>
          <w:p>
            <w:pPr>
              <w:pStyle w:val="TableParagraph"/>
              <w:spacing w:before="19"/>
              <w:ind w:right="56"/>
              <w:rPr>
                <w:b/>
                <w:sz w:val="14"/>
              </w:rPr>
            </w:pPr>
            <w:r>
              <w:rPr>
                <w:b/>
                <w:spacing w:val="-5"/>
                <w:sz w:val="14"/>
              </w:rPr>
              <w:t>193</w:t>
            </w:r>
          </w:p>
        </w:tc>
      </w:tr>
      <w:tr>
        <w:trPr>
          <w:trHeight w:val="230" w:hRule="atLeast"/>
        </w:trPr>
        <w:tc>
          <w:tcPr>
            <w:tcW w:w="1186" w:type="dxa"/>
            <w:tcBorders>
              <w:top w:val="single" w:sz="12" w:space="0" w:color="000000"/>
              <w:bottom w:val="single" w:sz="4" w:space="0" w:color="000000"/>
            </w:tcBorders>
          </w:tcPr>
          <w:p>
            <w:pPr>
              <w:pStyle w:val="TableParagraph"/>
              <w:spacing w:before="27"/>
              <w:ind w:left="67"/>
              <w:jc w:val="left"/>
              <w:rPr>
                <w:sz w:val="14"/>
              </w:rPr>
            </w:pPr>
            <w:r>
              <w:rPr>
                <w:spacing w:val="-5"/>
                <w:sz w:val="14"/>
              </w:rPr>
              <w:t>New</w:t>
            </w:r>
          </w:p>
        </w:tc>
        <w:tc>
          <w:tcPr>
            <w:tcW w:w="678" w:type="dxa"/>
            <w:tcBorders>
              <w:top w:val="single" w:sz="12" w:space="0" w:color="000000"/>
              <w:bottom w:val="single" w:sz="4" w:space="0" w:color="000000"/>
            </w:tcBorders>
          </w:tcPr>
          <w:p>
            <w:pPr>
              <w:pStyle w:val="TableParagraph"/>
              <w:spacing w:before="27"/>
              <w:ind w:right="154"/>
              <w:rPr>
                <w:sz w:val="14"/>
              </w:rPr>
            </w:pPr>
            <w:r>
              <w:rPr>
                <w:w w:val="99"/>
                <w:sz w:val="14"/>
              </w:rPr>
              <w:t>-</w:t>
            </w:r>
          </w:p>
        </w:tc>
        <w:tc>
          <w:tcPr>
            <w:tcW w:w="607" w:type="dxa"/>
            <w:tcBorders>
              <w:top w:val="single" w:sz="12" w:space="0" w:color="000000"/>
              <w:bottom w:val="single" w:sz="4" w:space="0" w:color="000000"/>
            </w:tcBorders>
          </w:tcPr>
          <w:p>
            <w:pPr>
              <w:pStyle w:val="TableParagraph"/>
              <w:spacing w:before="27"/>
              <w:ind w:right="170"/>
              <w:rPr>
                <w:sz w:val="14"/>
              </w:rPr>
            </w:pPr>
            <w:r>
              <w:rPr>
                <w:w w:val="99"/>
                <w:sz w:val="14"/>
              </w:rPr>
              <w:t>-</w:t>
            </w:r>
          </w:p>
        </w:tc>
        <w:tc>
          <w:tcPr>
            <w:tcW w:w="563" w:type="dxa"/>
            <w:tcBorders>
              <w:top w:val="single" w:sz="12" w:space="0" w:color="000000"/>
              <w:bottom w:val="single" w:sz="4" w:space="0" w:color="000000"/>
            </w:tcBorders>
          </w:tcPr>
          <w:p>
            <w:pPr>
              <w:pStyle w:val="TableParagraph"/>
              <w:spacing w:before="27"/>
              <w:ind w:right="171"/>
              <w:rPr>
                <w:sz w:val="14"/>
              </w:rPr>
            </w:pPr>
            <w:r>
              <w:rPr>
                <w:w w:val="99"/>
                <w:sz w:val="14"/>
              </w:rPr>
              <w:t>-</w:t>
            </w:r>
          </w:p>
        </w:tc>
        <w:tc>
          <w:tcPr>
            <w:tcW w:w="557" w:type="dxa"/>
            <w:tcBorders>
              <w:top w:val="single" w:sz="12" w:space="0" w:color="000000"/>
              <w:bottom w:val="single" w:sz="4" w:space="0" w:color="000000"/>
            </w:tcBorders>
          </w:tcPr>
          <w:p>
            <w:pPr>
              <w:pStyle w:val="TableParagraph"/>
              <w:spacing w:before="27"/>
              <w:ind w:right="167"/>
              <w:rPr>
                <w:sz w:val="14"/>
              </w:rPr>
            </w:pPr>
            <w:r>
              <w:rPr>
                <w:w w:val="99"/>
                <w:sz w:val="14"/>
              </w:rPr>
              <w:t>-</w:t>
            </w:r>
          </w:p>
        </w:tc>
        <w:tc>
          <w:tcPr>
            <w:tcW w:w="608" w:type="dxa"/>
            <w:tcBorders>
              <w:top w:val="single" w:sz="12" w:space="0" w:color="000000"/>
              <w:bottom w:val="single" w:sz="4" w:space="0" w:color="000000"/>
            </w:tcBorders>
          </w:tcPr>
          <w:p>
            <w:pPr>
              <w:pStyle w:val="TableParagraph"/>
              <w:spacing w:before="27"/>
              <w:ind w:right="193"/>
              <w:rPr>
                <w:sz w:val="14"/>
              </w:rPr>
            </w:pPr>
            <w:r>
              <w:rPr>
                <w:w w:val="99"/>
                <w:sz w:val="14"/>
              </w:rPr>
              <w:t>-</w:t>
            </w:r>
          </w:p>
        </w:tc>
        <w:tc>
          <w:tcPr>
            <w:tcW w:w="565" w:type="dxa"/>
            <w:tcBorders>
              <w:top w:val="single" w:sz="12" w:space="0" w:color="000000"/>
              <w:bottom w:val="single" w:sz="4" w:space="0" w:color="000000"/>
            </w:tcBorders>
          </w:tcPr>
          <w:p>
            <w:pPr>
              <w:pStyle w:val="TableParagraph"/>
              <w:spacing w:before="27"/>
              <w:ind w:right="173"/>
              <w:rPr>
                <w:sz w:val="14"/>
              </w:rPr>
            </w:pPr>
            <w:r>
              <w:rPr>
                <w:w w:val="99"/>
                <w:sz w:val="14"/>
              </w:rPr>
              <w:t>-</w:t>
            </w:r>
          </w:p>
        </w:tc>
        <w:tc>
          <w:tcPr>
            <w:tcW w:w="635" w:type="dxa"/>
            <w:tcBorders>
              <w:top w:val="single" w:sz="12" w:space="0" w:color="000000"/>
              <w:bottom w:val="single" w:sz="4" w:space="0" w:color="000000"/>
            </w:tcBorders>
          </w:tcPr>
          <w:p>
            <w:pPr>
              <w:pStyle w:val="TableParagraph"/>
              <w:spacing w:before="27"/>
              <w:ind w:right="212"/>
              <w:rPr>
                <w:sz w:val="14"/>
              </w:rPr>
            </w:pPr>
            <w:r>
              <w:rPr>
                <w:w w:val="99"/>
                <w:sz w:val="14"/>
              </w:rPr>
              <w:t>-</w:t>
            </w:r>
          </w:p>
        </w:tc>
        <w:tc>
          <w:tcPr>
            <w:tcW w:w="728" w:type="dxa"/>
            <w:tcBorders>
              <w:top w:val="single" w:sz="12" w:space="0" w:color="000000"/>
              <w:bottom w:val="single" w:sz="4" w:space="0" w:color="000000"/>
            </w:tcBorders>
          </w:tcPr>
          <w:p>
            <w:pPr>
              <w:pStyle w:val="TableParagraph"/>
              <w:spacing w:before="27"/>
              <w:ind w:right="201"/>
              <w:rPr>
                <w:sz w:val="14"/>
              </w:rPr>
            </w:pPr>
            <w:r>
              <w:rPr>
                <w:w w:val="99"/>
                <w:sz w:val="14"/>
              </w:rPr>
              <w:t>1</w:t>
            </w:r>
          </w:p>
        </w:tc>
        <w:tc>
          <w:tcPr>
            <w:tcW w:w="463" w:type="dxa"/>
            <w:tcBorders>
              <w:top w:val="single" w:sz="12" w:space="0" w:color="000000"/>
              <w:bottom w:val="single" w:sz="4" w:space="0" w:color="000000"/>
            </w:tcBorders>
          </w:tcPr>
          <w:p>
            <w:pPr>
              <w:pStyle w:val="TableParagraph"/>
              <w:spacing w:before="27"/>
              <w:ind w:right="68"/>
              <w:rPr>
                <w:sz w:val="14"/>
              </w:rPr>
            </w:pPr>
            <w:r>
              <w:rPr>
                <w:w w:val="99"/>
                <w:sz w:val="14"/>
              </w:rPr>
              <w:t>-</w:t>
            </w:r>
          </w:p>
        </w:tc>
        <w:tc>
          <w:tcPr>
            <w:tcW w:w="796" w:type="dxa"/>
            <w:tcBorders>
              <w:top w:val="single" w:sz="12" w:space="0" w:color="000000"/>
              <w:bottom w:val="single" w:sz="4" w:space="0" w:color="000000"/>
            </w:tcBorders>
          </w:tcPr>
          <w:p>
            <w:pPr>
              <w:pStyle w:val="TableParagraph"/>
              <w:spacing w:before="27"/>
              <w:ind w:right="130"/>
              <w:rPr>
                <w:i/>
                <w:sz w:val="14"/>
              </w:rPr>
            </w:pPr>
            <w:r>
              <w:rPr>
                <w:i/>
                <w:w w:val="99"/>
                <w:sz w:val="14"/>
              </w:rPr>
              <w:t>1</w:t>
            </w:r>
          </w:p>
        </w:tc>
        <w:tc>
          <w:tcPr>
            <w:tcW w:w="568" w:type="dxa"/>
            <w:tcBorders>
              <w:top w:val="single" w:sz="12" w:space="0" w:color="000000"/>
              <w:bottom w:val="single" w:sz="4" w:space="0" w:color="000000"/>
            </w:tcBorders>
          </w:tcPr>
          <w:p>
            <w:pPr>
              <w:pStyle w:val="TableParagraph"/>
              <w:spacing w:before="27"/>
              <w:ind w:right="102"/>
              <w:rPr>
                <w:sz w:val="14"/>
              </w:rPr>
            </w:pPr>
            <w:r>
              <w:rPr>
                <w:w w:val="99"/>
                <w:sz w:val="14"/>
              </w:rPr>
              <w:t>-</w:t>
            </w:r>
          </w:p>
        </w:tc>
        <w:tc>
          <w:tcPr>
            <w:tcW w:w="578" w:type="dxa"/>
            <w:tcBorders>
              <w:top w:val="single" w:sz="12" w:space="0" w:color="000000"/>
              <w:bottom w:val="single" w:sz="4" w:space="0" w:color="000000"/>
            </w:tcBorders>
          </w:tcPr>
          <w:p>
            <w:pPr>
              <w:pStyle w:val="TableParagraph"/>
              <w:spacing w:before="27"/>
              <w:ind w:right="89"/>
              <w:rPr>
                <w:sz w:val="14"/>
              </w:rPr>
            </w:pPr>
            <w:r>
              <w:rPr>
                <w:w w:val="99"/>
                <w:sz w:val="14"/>
              </w:rPr>
              <w:t>-</w:t>
            </w:r>
          </w:p>
        </w:tc>
        <w:tc>
          <w:tcPr>
            <w:tcW w:w="566" w:type="dxa"/>
            <w:tcBorders>
              <w:top w:val="single" w:sz="12" w:space="0" w:color="000000"/>
              <w:bottom w:val="single" w:sz="4" w:space="0" w:color="000000"/>
            </w:tcBorders>
          </w:tcPr>
          <w:p>
            <w:pPr>
              <w:pStyle w:val="TableParagraph"/>
              <w:spacing w:before="27"/>
              <w:ind w:right="65"/>
              <w:rPr>
                <w:sz w:val="14"/>
              </w:rPr>
            </w:pPr>
            <w:r>
              <w:rPr>
                <w:w w:val="99"/>
                <w:sz w:val="14"/>
              </w:rPr>
              <w:t>-</w:t>
            </w:r>
          </w:p>
        </w:tc>
        <w:tc>
          <w:tcPr>
            <w:tcW w:w="820" w:type="dxa"/>
            <w:tcBorders>
              <w:top w:val="single" w:sz="12" w:space="0" w:color="000000"/>
              <w:bottom w:val="single" w:sz="4" w:space="0" w:color="000000"/>
            </w:tcBorders>
          </w:tcPr>
          <w:p>
            <w:pPr>
              <w:pStyle w:val="TableParagraph"/>
              <w:spacing w:before="27"/>
              <w:ind w:right="145"/>
              <w:rPr>
                <w:i/>
                <w:sz w:val="14"/>
              </w:rPr>
            </w:pPr>
            <w:r>
              <w:rPr>
                <w:i/>
                <w:w w:val="99"/>
                <w:sz w:val="14"/>
              </w:rPr>
              <w:t>-</w:t>
            </w:r>
          </w:p>
        </w:tc>
        <w:tc>
          <w:tcPr>
            <w:tcW w:w="517" w:type="dxa"/>
            <w:tcBorders>
              <w:top w:val="single" w:sz="12" w:space="0" w:color="000000"/>
              <w:bottom w:val="single" w:sz="4" w:space="0" w:color="000000"/>
            </w:tcBorders>
          </w:tcPr>
          <w:p>
            <w:pPr>
              <w:pStyle w:val="TableParagraph"/>
              <w:spacing w:before="27"/>
              <w:ind w:right="63"/>
              <w:rPr>
                <w:b/>
                <w:sz w:val="14"/>
              </w:rPr>
            </w:pPr>
            <w:r>
              <w:rPr>
                <w:b/>
                <w:w w:val="99"/>
                <w:sz w:val="14"/>
              </w:rPr>
              <w:t>1</w:t>
            </w:r>
          </w:p>
        </w:tc>
      </w:tr>
      <w:tr>
        <w:trPr>
          <w:trHeight w:val="225" w:hRule="atLeast"/>
        </w:trPr>
        <w:tc>
          <w:tcPr>
            <w:tcW w:w="1186" w:type="dxa"/>
            <w:tcBorders>
              <w:top w:val="single" w:sz="4" w:space="0" w:color="000000"/>
              <w:bottom w:val="single" w:sz="4" w:space="0" w:color="000000"/>
            </w:tcBorders>
          </w:tcPr>
          <w:p>
            <w:pPr>
              <w:pStyle w:val="TableParagraph"/>
              <w:spacing w:before="22"/>
              <w:ind w:left="67"/>
              <w:jc w:val="left"/>
              <w:rPr>
                <w:sz w:val="14"/>
              </w:rPr>
            </w:pPr>
            <w:r>
              <w:rPr>
                <w:spacing w:val="-2"/>
                <w:sz w:val="14"/>
              </w:rPr>
              <w:t>Redeployed</w:t>
            </w:r>
          </w:p>
        </w:tc>
        <w:tc>
          <w:tcPr>
            <w:tcW w:w="678" w:type="dxa"/>
            <w:tcBorders>
              <w:top w:val="single" w:sz="4" w:space="0" w:color="000000"/>
              <w:bottom w:val="single" w:sz="4" w:space="0" w:color="000000"/>
            </w:tcBorders>
          </w:tcPr>
          <w:p>
            <w:pPr>
              <w:pStyle w:val="TableParagraph"/>
              <w:spacing w:before="22"/>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2"/>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2"/>
              <w:ind w:right="171"/>
              <w:rPr>
                <w:sz w:val="14"/>
              </w:rPr>
            </w:pPr>
            <w:r>
              <w:rPr>
                <w:w w:val="99"/>
                <w:sz w:val="14"/>
              </w:rPr>
              <w:t>-</w:t>
            </w:r>
          </w:p>
        </w:tc>
        <w:tc>
          <w:tcPr>
            <w:tcW w:w="557" w:type="dxa"/>
            <w:tcBorders>
              <w:top w:val="single" w:sz="4" w:space="0" w:color="000000"/>
              <w:bottom w:val="single" w:sz="4" w:space="0" w:color="000000"/>
            </w:tcBorders>
          </w:tcPr>
          <w:p>
            <w:pPr>
              <w:pStyle w:val="TableParagraph"/>
              <w:spacing w:before="22"/>
              <w:ind w:right="167"/>
              <w:rPr>
                <w:sz w:val="14"/>
              </w:rPr>
            </w:pPr>
            <w:r>
              <w:rPr>
                <w:w w:val="99"/>
                <w:sz w:val="14"/>
              </w:rPr>
              <w:t>-</w:t>
            </w:r>
          </w:p>
        </w:tc>
        <w:tc>
          <w:tcPr>
            <w:tcW w:w="608" w:type="dxa"/>
            <w:tcBorders>
              <w:top w:val="single" w:sz="4" w:space="0" w:color="000000"/>
              <w:bottom w:val="single" w:sz="4" w:space="0" w:color="000000"/>
            </w:tcBorders>
          </w:tcPr>
          <w:p>
            <w:pPr>
              <w:pStyle w:val="TableParagraph"/>
              <w:spacing w:before="22"/>
              <w:ind w:right="193"/>
              <w:rPr>
                <w:sz w:val="14"/>
              </w:rPr>
            </w:pPr>
            <w:r>
              <w:rPr>
                <w:w w:val="99"/>
                <w:sz w:val="14"/>
              </w:rPr>
              <w:t>-</w:t>
            </w:r>
          </w:p>
        </w:tc>
        <w:tc>
          <w:tcPr>
            <w:tcW w:w="565" w:type="dxa"/>
            <w:tcBorders>
              <w:top w:val="single" w:sz="4" w:space="0" w:color="000000"/>
              <w:bottom w:val="single" w:sz="4" w:space="0" w:color="000000"/>
            </w:tcBorders>
          </w:tcPr>
          <w:p>
            <w:pPr>
              <w:pStyle w:val="TableParagraph"/>
              <w:spacing w:before="22"/>
              <w:ind w:right="173"/>
              <w:rPr>
                <w:sz w:val="14"/>
              </w:rPr>
            </w:pPr>
            <w:r>
              <w:rPr>
                <w:w w:val="99"/>
                <w:sz w:val="14"/>
              </w:rPr>
              <w:t>-</w:t>
            </w:r>
          </w:p>
        </w:tc>
        <w:tc>
          <w:tcPr>
            <w:tcW w:w="635" w:type="dxa"/>
            <w:tcBorders>
              <w:top w:val="single" w:sz="4" w:space="0" w:color="000000"/>
              <w:bottom w:val="single" w:sz="4" w:space="0" w:color="000000"/>
            </w:tcBorders>
          </w:tcPr>
          <w:p>
            <w:pPr>
              <w:pStyle w:val="TableParagraph"/>
              <w:spacing w:before="22"/>
              <w:ind w:right="212"/>
              <w:rPr>
                <w:sz w:val="14"/>
              </w:rPr>
            </w:pPr>
            <w:r>
              <w:rPr>
                <w:w w:val="99"/>
                <w:sz w:val="14"/>
              </w:rPr>
              <w:t>-</w:t>
            </w:r>
          </w:p>
        </w:tc>
        <w:tc>
          <w:tcPr>
            <w:tcW w:w="728" w:type="dxa"/>
            <w:tcBorders>
              <w:top w:val="single" w:sz="4" w:space="0" w:color="000000"/>
              <w:bottom w:val="single" w:sz="4" w:space="0" w:color="000000"/>
            </w:tcBorders>
          </w:tcPr>
          <w:p>
            <w:pPr>
              <w:pStyle w:val="TableParagraph"/>
              <w:spacing w:before="22"/>
              <w:ind w:right="201"/>
              <w:rPr>
                <w:sz w:val="14"/>
              </w:rPr>
            </w:pPr>
            <w:r>
              <w:rPr>
                <w:w w:val="99"/>
                <w:sz w:val="14"/>
              </w:rPr>
              <w:t>-</w:t>
            </w:r>
          </w:p>
        </w:tc>
        <w:tc>
          <w:tcPr>
            <w:tcW w:w="463" w:type="dxa"/>
            <w:tcBorders>
              <w:top w:val="single" w:sz="4" w:space="0" w:color="000000"/>
              <w:bottom w:val="single" w:sz="4" w:space="0" w:color="000000"/>
            </w:tcBorders>
          </w:tcPr>
          <w:p>
            <w:pPr>
              <w:pStyle w:val="TableParagraph"/>
              <w:spacing w:before="22"/>
              <w:ind w:right="68"/>
              <w:rPr>
                <w:sz w:val="14"/>
              </w:rPr>
            </w:pPr>
            <w:r>
              <w:rPr>
                <w:w w:val="99"/>
                <w:sz w:val="14"/>
              </w:rPr>
              <w:t>-</w:t>
            </w:r>
          </w:p>
        </w:tc>
        <w:tc>
          <w:tcPr>
            <w:tcW w:w="796" w:type="dxa"/>
            <w:tcBorders>
              <w:top w:val="single" w:sz="4" w:space="0" w:color="000000"/>
              <w:bottom w:val="single" w:sz="4" w:space="0" w:color="000000"/>
            </w:tcBorders>
          </w:tcPr>
          <w:p>
            <w:pPr>
              <w:pStyle w:val="TableParagraph"/>
              <w:spacing w:before="22"/>
              <w:ind w:right="129"/>
              <w:rPr>
                <w:i/>
                <w:sz w:val="14"/>
              </w:rPr>
            </w:pPr>
            <w:r>
              <w:rPr>
                <w:i/>
                <w:w w:val="99"/>
                <w:sz w:val="14"/>
              </w:rPr>
              <w:t>-</w:t>
            </w:r>
          </w:p>
        </w:tc>
        <w:tc>
          <w:tcPr>
            <w:tcW w:w="568" w:type="dxa"/>
            <w:tcBorders>
              <w:top w:val="single" w:sz="4" w:space="0" w:color="000000"/>
              <w:bottom w:val="single" w:sz="4" w:space="0" w:color="000000"/>
            </w:tcBorders>
          </w:tcPr>
          <w:p>
            <w:pPr>
              <w:pStyle w:val="TableParagraph"/>
              <w:spacing w:before="22"/>
              <w:ind w:right="102"/>
              <w:rPr>
                <w:sz w:val="14"/>
              </w:rPr>
            </w:pPr>
            <w:r>
              <w:rPr>
                <w:w w:val="99"/>
                <w:sz w:val="14"/>
              </w:rPr>
              <w:t>-</w:t>
            </w:r>
          </w:p>
        </w:tc>
        <w:tc>
          <w:tcPr>
            <w:tcW w:w="578" w:type="dxa"/>
            <w:tcBorders>
              <w:top w:val="single" w:sz="4" w:space="0" w:color="000000"/>
              <w:bottom w:val="single" w:sz="4" w:space="0" w:color="000000"/>
            </w:tcBorders>
          </w:tcPr>
          <w:p>
            <w:pPr>
              <w:pStyle w:val="TableParagraph"/>
              <w:spacing w:before="22"/>
              <w:ind w:right="89"/>
              <w:rPr>
                <w:sz w:val="14"/>
              </w:rPr>
            </w:pPr>
            <w:r>
              <w:rPr>
                <w:w w:val="99"/>
                <w:sz w:val="14"/>
              </w:rPr>
              <w:t>-</w:t>
            </w:r>
          </w:p>
        </w:tc>
        <w:tc>
          <w:tcPr>
            <w:tcW w:w="566" w:type="dxa"/>
            <w:tcBorders>
              <w:top w:val="single" w:sz="4" w:space="0" w:color="000000"/>
              <w:bottom w:val="single" w:sz="4" w:space="0" w:color="000000"/>
            </w:tcBorders>
          </w:tcPr>
          <w:p>
            <w:pPr>
              <w:pStyle w:val="TableParagraph"/>
              <w:spacing w:before="22"/>
              <w:ind w:right="65"/>
              <w:rPr>
                <w:sz w:val="14"/>
              </w:rPr>
            </w:pPr>
            <w:r>
              <w:rPr>
                <w:w w:val="99"/>
                <w:sz w:val="14"/>
              </w:rPr>
              <w:t>-</w:t>
            </w:r>
          </w:p>
        </w:tc>
        <w:tc>
          <w:tcPr>
            <w:tcW w:w="820" w:type="dxa"/>
            <w:tcBorders>
              <w:top w:val="single" w:sz="4" w:space="0" w:color="000000"/>
              <w:bottom w:val="single" w:sz="4" w:space="0" w:color="000000"/>
            </w:tcBorders>
          </w:tcPr>
          <w:p>
            <w:pPr>
              <w:pStyle w:val="TableParagraph"/>
              <w:spacing w:before="22"/>
              <w:ind w:right="145"/>
              <w:rPr>
                <w:i/>
                <w:sz w:val="14"/>
              </w:rPr>
            </w:pPr>
            <w:r>
              <w:rPr>
                <w:i/>
                <w:w w:val="99"/>
                <w:sz w:val="14"/>
              </w:rPr>
              <w:t>-</w:t>
            </w:r>
          </w:p>
        </w:tc>
        <w:tc>
          <w:tcPr>
            <w:tcW w:w="517" w:type="dxa"/>
            <w:tcBorders>
              <w:top w:val="single" w:sz="4" w:space="0" w:color="000000"/>
              <w:bottom w:val="single" w:sz="4" w:space="0" w:color="000000"/>
            </w:tcBorders>
          </w:tcPr>
          <w:p>
            <w:pPr>
              <w:pStyle w:val="TableParagraph"/>
              <w:spacing w:before="22"/>
              <w:ind w:right="62"/>
              <w:rPr>
                <w:b/>
                <w:sz w:val="14"/>
              </w:rPr>
            </w:pPr>
            <w:r>
              <w:rPr>
                <w:b/>
                <w:w w:val="99"/>
                <w:sz w:val="14"/>
              </w:rPr>
              <w:t>-</w:t>
            </w:r>
          </w:p>
        </w:tc>
      </w:tr>
      <w:tr>
        <w:trPr>
          <w:trHeight w:val="230" w:hRule="atLeast"/>
        </w:trPr>
        <w:tc>
          <w:tcPr>
            <w:tcW w:w="1186" w:type="dxa"/>
            <w:tcBorders>
              <w:top w:val="single" w:sz="4" w:space="0" w:color="000000"/>
              <w:bottom w:val="single" w:sz="4" w:space="0" w:color="000000"/>
            </w:tcBorders>
          </w:tcPr>
          <w:p>
            <w:pPr>
              <w:pStyle w:val="TableParagraph"/>
              <w:spacing w:before="27"/>
              <w:ind w:left="67"/>
              <w:jc w:val="left"/>
              <w:rPr>
                <w:sz w:val="14"/>
              </w:rPr>
            </w:pPr>
            <w:r>
              <w:rPr>
                <w:spacing w:val="-2"/>
                <w:sz w:val="14"/>
              </w:rPr>
              <w:t>Reclassified</w:t>
            </w:r>
          </w:p>
        </w:tc>
        <w:tc>
          <w:tcPr>
            <w:tcW w:w="678" w:type="dxa"/>
            <w:tcBorders>
              <w:top w:val="single" w:sz="4" w:space="0" w:color="000000"/>
              <w:bottom w:val="single" w:sz="4" w:space="0" w:color="000000"/>
            </w:tcBorders>
          </w:tcPr>
          <w:p>
            <w:pPr>
              <w:pStyle w:val="TableParagraph"/>
              <w:spacing w:before="27"/>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7"/>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7"/>
              <w:ind w:right="171"/>
              <w:rPr>
                <w:sz w:val="14"/>
              </w:rPr>
            </w:pPr>
            <w:r>
              <w:rPr>
                <w:w w:val="99"/>
                <w:sz w:val="14"/>
              </w:rPr>
              <w:t>-</w:t>
            </w:r>
          </w:p>
        </w:tc>
        <w:tc>
          <w:tcPr>
            <w:tcW w:w="557" w:type="dxa"/>
            <w:tcBorders>
              <w:top w:val="single" w:sz="4" w:space="0" w:color="000000"/>
              <w:bottom w:val="single" w:sz="4" w:space="0" w:color="000000"/>
            </w:tcBorders>
          </w:tcPr>
          <w:p>
            <w:pPr>
              <w:pStyle w:val="TableParagraph"/>
              <w:spacing w:before="27"/>
              <w:ind w:right="167"/>
              <w:rPr>
                <w:sz w:val="14"/>
              </w:rPr>
            </w:pPr>
            <w:r>
              <w:rPr>
                <w:w w:val="99"/>
                <w:sz w:val="14"/>
              </w:rPr>
              <w:t>-</w:t>
            </w:r>
          </w:p>
        </w:tc>
        <w:tc>
          <w:tcPr>
            <w:tcW w:w="608" w:type="dxa"/>
            <w:tcBorders>
              <w:top w:val="single" w:sz="4" w:space="0" w:color="000000"/>
              <w:bottom w:val="single" w:sz="4" w:space="0" w:color="000000"/>
            </w:tcBorders>
          </w:tcPr>
          <w:p>
            <w:pPr>
              <w:pStyle w:val="TableParagraph"/>
              <w:spacing w:before="27"/>
              <w:ind w:right="193"/>
              <w:rPr>
                <w:sz w:val="14"/>
              </w:rPr>
            </w:pPr>
            <w:r>
              <w:rPr>
                <w:w w:val="99"/>
                <w:sz w:val="14"/>
              </w:rPr>
              <w:t>-</w:t>
            </w:r>
          </w:p>
        </w:tc>
        <w:tc>
          <w:tcPr>
            <w:tcW w:w="565" w:type="dxa"/>
            <w:tcBorders>
              <w:top w:val="single" w:sz="4" w:space="0" w:color="000000"/>
              <w:bottom w:val="single" w:sz="4" w:space="0" w:color="000000"/>
            </w:tcBorders>
          </w:tcPr>
          <w:p>
            <w:pPr>
              <w:pStyle w:val="TableParagraph"/>
              <w:spacing w:before="27"/>
              <w:ind w:right="173"/>
              <w:rPr>
                <w:sz w:val="14"/>
              </w:rPr>
            </w:pPr>
            <w:r>
              <w:rPr>
                <w:w w:val="99"/>
                <w:sz w:val="14"/>
              </w:rPr>
              <w:t>-</w:t>
            </w:r>
          </w:p>
        </w:tc>
        <w:tc>
          <w:tcPr>
            <w:tcW w:w="635" w:type="dxa"/>
            <w:tcBorders>
              <w:top w:val="single" w:sz="4" w:space="0" w:color="000000"/>
              <w:bottom w:val="single" w:sz="4" w:space="0" w:color="000000"/>
            </w:tcBorders>
          </w:tcPr>
          <w:p>
            <w:pPr>
              <w:pStyle w:val="TableParagraph"/>
              <w:spacing w:before="27"/>
              <w:ind w:right="212"/>
              <w:rPr>
                <w:sz w:val="14"/>
              </w:rPr>
            </w:pPr>
            <w:r>
              <w:rPr>
                <w:w w:val="99"/>
                <w:sz w:val="14"/>
              </w:rPr>
              <w:t>-</w:t>
            </w:r>
          </w:p>
        </w:tc>
        <w:tc>
          <w:tcPr>
            <w:tcW w:w="728" w:type="dxa"/>
            <w:tcBorders>
              <w:top w:val="single" w:sz="4" w:space="0" w:color="000000"/>
              <w:bottom w:val="single" w:sz="4" w:space="0" w:color="000000"/>
            </w:tcBorders>
          </w:tcPr>
          <w:p>
            <w:pPr>
              <w:pStyle w:val="TableParagraph"/>
              <w:spacing w:before="27"/>
              <w:ind w:right="201"/>
              <w:rPr>
                <w:sz w:val="14"/>
              </w:rPr>
            </w:pPr>
            <w:r>
              <w:rPr>
                <w:w w:val="99"/>
                <w:sz w:val="14"/>
              </w:rPr>
              <w:t>-</w:t>
            </w:r>
          </w:p>
        </w:tc>
        <w:tc>
          <w:tcPr>
            <w:tcW w:w="463" w:type="dxa"/>
            <w:tcBorders>
              <w:top w:val="single" w:sz="4" w:space="0" w:color="000000"/>
              <w:bottom w:val="single" w:sz="4" w:space="0" w:color="000000"/>
            </w:tcBorders>
          </w:tcPr>
          <w:p>
            <w:pPr>
              <w:pStyle w:val="TableParagraph"/>
              <w:spacing w:before="27"/>
              <w:ind w:right="68"/>
              <w:rPr>
                <w:sz w:val="14"/>
              </w:rPr>
            </w:pPr>
            <w:r>
              <w:rPr>
                <w:w w:val="99"/>
                <w:sz w:val="14"/>
              </w:rPr>
              <w:t>-</w:t>
            </w:r>
          </w:p>
        </w:tc>
        <w:tc>
          <w:tcPr>
            <w:tcW w:w="796" w:type="dxa"/>
            <w:tcBorders>
              <w:top w:val="single" w:sz="4" w:space="0" w:color="000000"/>
              <w:bottom w:val="single" w:sz="4" w:space="0" w:color="000000"/>
            </w:tcBorders>
          </w:tcPr>
          <w:p>
            <w:pPr>
              <w:pStyle w:val="TableParagraph"/>
              <w:spacing w:before="27"/>
              <w:ind w:right="129"/>
              <w:rPr>
                <w:i/>
                <w:sz w:val="14"/>
              </w:rPr>
            </w:pPr>
            <w:r>
              <w:rPr>
                <w:i/>
                <w:w w:val="99"/>
                <w:sz w:val="14"/>
              </w:rPr>
              <w:t>-</w:t>
            </w:r>
          </w:p>
        </w:tc>
        <w:tc>
          <w:tcPr>
            <w:tcW w:w="568" w:type="dxa"/>
            <w:tcBorders>
              <w:top w:val="single" w:sz="4" w:space="0" w:color="000000"/>
              <w:bottom w:val="single" w:sz="4" w:space="0" w:color="000000"/>
            </w:tcBorders>
          </w:tcPr>
          <w:p>
            <w:pPr>
              <w:pStyle w:val="TableParagraph"/>
              <w:spacing w:before="27"/>
              <w:ind w:right="102"/>
              <w:rPr>
                <w:sz w:val="14"/>
              </w:rPr>
            </w:pPr>
            <w:r>
              <w:rPr>
                <w:w w:val="99"/>
                <w:sz w:val="14"/>
              </w:rPr>
              <w:t>-</w:t>
            </w:r>
          </w:p>
        </w:tc>
        <w:tc>
          <w:tcPr>
            <w:tcW w:w="578" w:type="dxa"/>
            <w:tcBorders>
              <w:top w:val="single" w:sz="4" w:space="0" w:color="000000"/>
              <w:bottom w:val="single" w:sz="4" w:space="0" w:color="000000"/>
            </w:tcBorders>
          </w:tcPr>
          <w:p>
            <w:pPr>
              <w:pStyle w:val="TableParagraph"/>
              <w:spacing w:before="27"/>
              <w:ind w:right="89"/>
              <w:rPr>
                <w:sz w:val="14"/>
              </w:rPr>
            </w:pPr>
            <w:r>
              <w:rPr>
                <w:w w:val="99"/>
                <w:sz w:val="14"/>
              </w:rPr>
              <w:t>-</w:t>
            </w:r>
          </w:p>
        </w:tc>
        <w:tc>
          <w:tcPr>
            <w:tcW w:w="566" w:type="dxa"/>
            <w:tcBorders>
              <w:top w:val="single" w:sz="4" w:space="0" w:color="000000"/>
              <w:bottom w:val="single" w:sz="4" w:space="0" w:color="000000"/>
            </w:tcBorders>
          </w:tcPr>
          <w:p>
            <w:pPr>
              <w:pStyle w:val="TableParagraph"/>
              <w:spacing w:before="27"/>
              <w:ind w:right="65"/>
              <w:rPr>
                <w:sz w:val="14"/>
              </w:rPr>
            </w:pPr>
            <w:r>
              <w:rPr>
                <w:w w:val="99"/>
                <w:sz w:val="14"/>
              </w:rPr>
              <w:t>-</w:t>
            </w:r>
          </w:p>
        </w:tc>
        <w:tc>
          <w:tcPr>
            <w:tcW w:w="820" w:type="dxa"/>
            <w:tcBorders>
              <w:top w:val="single" w:sz="4" w:space="0" w:color="000000"/>
              <w:bottom w:val="single" w:sz="4" w:space="0" w:color="000000"/>
            </w:tcBorders>
          </w:tcPr>
          <w:p>
            <w:pPr>
              <w:pStyle w:val="TableParagraph"/>
              <w:spacing w:before="27"/>
              <w:ind w:right="145"/>
              <w:rPr>
                <w:i/>
                <w:sz w:val="14"/>
              </w:rPr>
            </w:pPr>
            <w:r>
              <w:rPr>
                <w:i/>
                <w:w w:val="99"/>
                <w:sz w:val="14"/>
              </w:rPr>
              <w:t>-</w:t>
            </w:r>
          </w:p>
        </w:tc>
        <w:tc>
          <w:tcPr>
            <w:tcW w:w="517" w:type="dxa"/>
            <w:tcBorders>
              <w:top w:val="single" w:sz="4" w:space="0" w:color="000000"/>
              <w:bottom w:val="single" w:sz="4" w:space="0" w:color="000000"/>
            </w:tcBorders>
          </w:tcPr>
          <w:p>
            <w:pPr>
              <w:pStyle w:val="TableParagraph"/>
              <w:spacing w:before="27"/>
              <w:ind w:right="62"/>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2"/>
              <w:ind w:left="67"/>
              <w:jc w:val="left"/>
              <w:rPr>
                <w:sz w:val="14"/>
              </w:rPr>
            </w:pPr>
            <w:r>
              <w:rPr>
                <w:spacing w:val="-2"/>
                <w:sz w:val="14"/>
              </w:rPr>
              <w:t>Returned</w:t>
            </w:r>
          </w:p>
        </w:tc>
        <w:tc>
          <w:tcPr>
            <w:tcW w:w="678" w:type="dxa"/>
            <w:tcBorders>
              <w:top w:val="single" w:sz="4" w:space="0" w:color="000000"/>
              <w:bottom w:val="single" w:sz="4" w:space="0" w:color="000000"/>
            </w:tcBorders>
          </w:tcPr>
          <w:p>
            <w:pPr>
              <w:pStyle w:val="TableParagraph"/>
              <w:spacing w:before="22"/>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2"/>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2"/>
              <w:ind w:right="171"/>
              <w:rPr>
                <w:sz w:val="14"/>
              </w:rPr>
            </w:pPr>
            <w:r>
              <w:rPr>
                <w:w w:val="99"/>
                <w:sz w:val="14"/>
              </w:rPr>
              <w:t>-</w:t>
            </w:r>
          </w:p>
        </w:tc>
        <w:tc>
          <w:tcPr>
            <w:tcW w:w="557" w:type="dxa"/>
            <w:tcBorders>
              <w:top w:val="single" w:sz="4" w:space="0" w:color="000000"/>
              <w:bottom w:val="single" w:sz="4" w:space="0" w:color="000000"/>
            </w:tcBorders>
          </w:tcPr>
          <w:p>
            <w:pPr>
              <w:pStyle w:val="TableParagraph"/>
              <w:spacing w:before="22"/>
              <w:ind w:right="167"/>
              <w:rPr>
                <w:sz w:val="14"/>
              </w:rPr>
            </w:pPr>
            <w:r>
              <w:rPr>
                <w:w w:val="99"/>
                <w:sz w:val="14"/>
              </w:rPr>
              <w:t>-</w:t>
            </w:r>
          </w:p>
        </w:tc>
        <w:tc>
          <w:tcPr>
            <w:tcW w:w="608" w:type="dxa"/>
            <w:tcBorders>
              <w:top w:val="single" w:sz="4" w:space="0" w:color="000000"/>
              <w:bottom w:val="single" w:sz="4" w:space="0" w:color="000000"/>
            </w:tcBorders>
          </w:tcPr>
          <w:p>
            <w:pPr>
              <w:pStyle w:val="TableParagraph"/>
              <w:spacing w:before="22"/>
              <w:ind w:right="189"/>
              <w:rPr>
                <w:sz w:val="14"/>
              </w:rPr>
            </w:pPr>
            <w:r>
              <w:rPr>
                <w:spacing w:val="-5"/>
                <w:sz w:val="14"/>
              </w:rPr>
              <w:t>(1)</w:t>
            </w:r>
          </w:p>
        </w:tc>
        <w:tc>
          <w:tcPr>
            <w:tcW w:w="565" w:type="dxa"/>
            <w:tcBorders>
              <w:top w:val="single" w:sz="4" w:space="0" w:color="000000"/>
              <w:bottom w:val="single" w:sz="4" w:space="0" w:color="000000"/>
            </w:tcBorders>
          </w:tcPr>
          <w:p>
            <w:pPr>
              <w:pStyle w:val="TableParagraph"/>
              <w:spacing w:before="22"/>
              <w:ind w:right="173"/>
              <w:rPr>
                <w:sz w:val="14"/>
              </w:rPr>
            </w:pPr>
            <w:r>
              <w:rPr>
                <w:w w:val="99"/>
                <w:sz w:val="14"/>
              </w:rPr>
              <w:t>-</w:t>
            </w:r>
          </w:p>
        </w:tc>
        <w:tc>
          <w:tcPr>
            <w:tcW w:w="635" w:type="dxa"/>
            <w:tcBorders>
              <w:top w:val="single" w:sz="4" w:space="0" w:color="000000"/>
              <w:bottom w:val="single" w:sz="4" w:space="0" w:color="000000"/>
            </w:tcBorders>
          </w:tcPr>
          <w:p>
            <w:pPr>
              <w:pStyle w:val="TableParagraph"/>
              <w:spacing w:before="22"/>
              <w:ind w:right="208"/>
              <w:rPr>
                <w:sz w:val="14"/>
              </w:rPr>
            </w:pPr>
            <w:r>
              <w:rPr>
                <w:spacing w:val="-5"/>
                <w:sz w:val="14"/>
              </w:rPr>
              <w:t>(2)</w:t>
            </w:r>
          </w:p>
        </w:tc>
        <w:tc>
          <w:tcPr>
            <w:tcW w:w="728" w:type="dxa"/>
            <w:tcBorders>
              <w:top w:val="single" w:sz="4" w:space="0" w:color="000000"/>
              <w:bottom w:val="single" w:sz="4" w:space="0" w:color="000000"/>
            </w:tcBorders>
          </w:tcPr>
          <w:p>
            <w:pPr>
              <w:pStyle w:val="TableParagraph"/>
              <w:spacing w:before="22"/>
              <w:ind w:right="201"/>
              <w:rPr>
                <w:sz w:val="14"/>
              </w:rPr>
            </w:pPr>
            <w:r>
              <w:rPr>
                <w:w w:val="99"/>
                <w:sz w:val="14"/>
              </w:rPr>
              <w:t>-</w:t>
            </w:r>
          </w:p>
        </w:tc>
        <w:tc>
          <w:tcPr>
            <w:tcW w:w="463" w:type="dxa"/>
            <w:tcBorders>
              <w:top w:val="single" w:sz="4" w:space="0" w:color="000000"/>
              <w:bottom w:val="single" w:sz="4" w:space="0" w:color="000000"/>
            </w:tcBorders>
          </w:tcPr>
          <w:p>
            <w:pPr>
              <w:pStyle w:val="TableParagraph"/>
              <w:spacing w:before="22"/>
              <w:ind w:right="68"/>
              <w:rPr>
                <w:sz w:val="14"/>
              </w:rPr>
            </w:pPr>
            <w:r>
              <w:rPr>
                <w:w w:val="99"/>
                <w:sz w:val="14"/>
              </w:rPr>
              <w:t>-</w:t>
            </w:r>
          </w:p>
        </w:tc>
        <w:tc>
          <w:tcPr>
            <w:tcW w:w="796" w:type="dxa"/>
            <w:tcBorders>
              <w:top w:val="single" w:sz="4" w:space="0" w:color="000000"/>
              <w:bottom w:val="single" w:sz="4" w:space="0" w:color="000000"/>
            </w:tcBorders>
          </w:tcPr>
          <w:p>
            <w:pPr>
              <w:pStyle w:val="TableParagraph"/>
              <w:spacing w:before="22"/>
              <w:ind w:right="125"/>
              <w:rPr>
                <w:i/>
                <w:sz w:val="14"/>
              </w:rPr>
            </w:pPr>
            <w:r>
              <w:rPr>
                <w:i/>
                <w:spacing w:val="-5"/>
                <w:sz w:val="14"/>
              </w:rPr>
              <w:t>(3)</w:t>
            </w:r>
          </w:p>
        </w:tc>
        <w:tc>
          <w:tcPr>
            <w:tcW w:w="568" w:type="dxa"/>
            <w:tcBorders>
              <w:top w:val="single" w:sz="4" w:space="0" w:color="000000"/>
              <w:bottom w:val="single" w:sz="4" w:space="0" w:color="000000"/>
            </w:tcBorders>
          </w:tcPr>
          <w:p>
            <w:pPr>
              <w:pStyle w:val="TableParagraph"/>
              <w:spacing w:before="22"/>
              <w:ind w:right="102"/>
              <w:rPr>
                <w:sz w:val="14"/>
              </w:rPr>
            </w:pPr>
            <w:r>
              <w:rPr>
                <w:w w:val="99"/>
                <w:sz w:val="14"/>
              </w:rPr>
              <w:t>-</w:t>
            </w:r>
          </w:p>
        </w:tc>
        <w:tc>
          <w:tcPr>
            <w:tcW w:w="578" w:type="dxa"/>
            <w:tcBorders>
              <w:top w:val="single" w:sz="4" w:space="0" w:color="000000"/>
              <w:bottom w:val="single" w:sz="4" w:space="0" w:color="000000"/>
            </w:tcBorders>
          </w:tcPr>
          <w:p>
            <w:pPr>
              <w:pStyle w:val="TableParagraph"/>
              <w:spacing w:before="22"/>
              <w:ind w:right="89"/>
              <w:rPr>
                <w:sz w:val="14"/>
              </w:rPr>
            </w:pPr>
            <w:r>
              <w:rPr>
                <w:w w:val="99"/>
                <w:sz w:val="14"/>
              </w:rPr>
              <w:t>-</w:t>
            </w:r>
          </w:p>
        </w:tc>
        <w:tc>
          <w:tcPr>
            <w:tcW w:w="566" w:type="dxa"/>
            <w:tcBorders>
              <w:top w:val="single" w:sz="4" w:space="0" w:color="000000"/>
              <w:bottom w:val="single" w:sz="4" w:space="0" w:color="000000"/>
            </w:tcBorders>
          </w:tcPr>
          <w:p>
            <w:pPr>
              <w:pStyle w:val="TableParagraph"/>
              <w:spacing w:before="22"/>
              <w:ind w:right="61"/>
              <w:rPr>
                <w:sz w:val="14"/>
              </w:rPr>
            </w:pPr>
            <w:r>
              <w:rPr>
                <w:spacing w:val="-4"/>
                <w:sz w:val="14"/>
              </w:rPr>
              <w:t>(18)</w:t>
            </w:r>
          </w:p>
        </w:tc>
        <w:tc>
          <w:tcPr>
            <w:tcW w:w="820" w:type="dxa"/>
            <w:tcBorders>
              <w:top w:val="single" w:sz="4" w:space="0" w:color="000000"/>
              <w:bottom w:val="single" w:sz="4" w:space="0" w:color="000000"/>
            </w:tcBorders>
          </w:tcPr>
          <w:p>
            <w:pPr>
              <w:pStyle w:val="TableParagraph"/>
              <w:spacing w:before="22"/>
              <w:ind w:right="141"/>
              <w:rPr>
                <w:i/>
                <w:sz w:val="14"/>
              </w:rPr>
            </w:pPr>
            <w:r>
              <w:rPr>
                <w:i/>
                <w:spacing w:val="-4"/>
                <w:sz w:val="14"/>
              </w:rPr>
              <w:t>(18)</w:t>
            </w:r>
          </w:p>
        </w:tc>
        <w:tc>
          <w:tcPr>
            <w:tcW w:w="517" w:type="dxa"/>
            <w:tcBorders>
              <w:top w:val="single" w:sz="4" w:space="0" w:color="000000"/>
              <w:bottom w:val="single" w:sz="4" w:space="0" w:color="000000"/>
            </w:tcBorders>
          </w:tcPr>
          <w:p>
            <w:pPr>
              <w:pStyle w:val="TableParagraph"/>
              <w:spacing w:before="22"/>
              <w:ind w:right="58"/>
              <w:rPr>
                <w:b/>
                <w:sz w:val="14"/>
              </w:rPr>
            </w:pPr>
            <w:r>
              <w:rPr>
                <w:b/>
                <w:spacing w:val="-4"/>
                <w:sz w:val="14"/>
              </w:rPr>
              <w:t>(21)</w:t>
            </w:r>
          </w:p>
        </w:tc>
      </w:tr>
      <w:tr>
        <w:trPr>
          <w:trHeight w:val="224" w:hRule="atLeast"/>
        </w:trPr>
        <w:tc>
          <w:tcPr>
            <w:tcW w:w="1186" w:type="dxa"/>
            <w:tcBorders>
              <w:top w:val="single" w:sz="4" w:space="0" w:color="000000"/>
              <w:bottom w:val="single" w:sz="12" w:space="0" w:color="000000"/>
            </w:tcBorders>
          </w:tcPr>
          <w:p>
            <w:pPr>
              <w:pStyle w:val="TableParagraph"/>
              <w:spacing w:before="22"/>
              <w:ind w:left="67"/>
              <w:jc w:val="left"/>
              <w:rPr>
                <w:b/>
                <w:sz w:val="14"/>
              </w:rPr>
            </w:pPr>
            <w:r>
              <w:rPr>
                <w:b/>
                <w:sz w:val="14"/>
              </w:rPr>
              <w:t>Proposed</w:t>
            </w:r>
            <w:r>
              <w:rPr>
                <w:b/>
                <w:spacing w:val="-6"/>
                <w:sz w:val="14"/>
              </w:rPr>
              <w:t> </w:t>
            </w:r>
            <w:r>
              <w:rPr>
                <w:b/>
                <w:spacing w:val="-4"/>
                <w:sz w:val="14"/>
              </w:rPr>
              <w:t>2023</w:t>
            </w:r>
          </w:p>
        </w:tc>
        <w:tc>
          <w:tcPr>
            <w:tcW w:w="678" w:type="dxa"/>
            <w:tcBorders>
              <w:top w:val="single" w:sz="4" w:space="0" w:color="000000"/>
              <w:bottom w:val="single" w:sz="12" w:space="0" w:color="000000"/>
            </w:tcBorders>
          </w:tcPr>
          <w:p>
            <w:pPr>
              <w:pStyle w:val="TableParagraph"/>
              <w:spacing w:before="22"/>
              <w:ind w:right="154"/>
              <w:rPr>
                <w:b/>
                <w:sz w:val="14"/>
              </w:rPr>
            </w:pPr>
            <w:r>
              <w:rPr>
                <w:b/>
                <w:w w:val="99"/>
                <w:sz w:val="14"/>
              </w:rPr>
              <w:t>-</w:t>
            </w:r>
          </w:p>
        </w:tc>
        <w:tc>
          <w:tcPr>
            <w:tcW w:w="607" w:type="dxa"/>
            <w:tcBorders>
              <w:top w:val="single" w:sz="4" w:space="0" w:color="000000"/>
              <w:bottom w:val="single" w:sz="12" w:space="0" w:color="000000"/>
            </w:tcBorders>
          </w:tcPr>
          <w:p>
            <w:pPr>
              <w:pStyle w:val="TableParagraph"/>
              <w:spacing w:before="22"/>
              <w:ind w:right="170"/>
              <w:rPr>
                <w:b/>
                <w:sz w:val="14"/>
              </w:rPr>
            </w:pPr>
            <w:r>
              <w:rPr>
                <w:b/>
                <w:w w:val="99"/>
                <w:sz w:val="14"/>
              </w:rPr>
              <w:t>-</w:t>
            </w:r>
          </w:p>
        </w:tc>
        <w:tc>
          <w:tcPr>
            <w:tcW w:w="563" w:type="dxa"/>
            <w:tcBorders>
              <w:top w:val="single" w:sz="4" w:space="0" w:color="000000"/>
              <w:bottom w:val="single" w:sz="12" w:space="0" w:color="000000"/>
            </w:tcBorders>
          </w:tcPr>
          <w:p>
            <w:pPr>
              <w:pStyle w:val="TableParagraph"/>
              <w:spacing w:before="22"/>
              <w:ind w:right="171"/>
              <w:rPr>
                <w:b/>
                <w:sz w:val="14"/>
              </w:rPr>
            </w:pPr>
            <w:r>
              <w:rPr>
                <w:b/>
                <w:w w:val="99"/>
                <w:sz w:val="14"/>
              </w:rPr>
              <w:t>-</w:t>
            </w:r>
          </w:p>
        </w:tc>
        <w:tc>
          <w:tcPr>
            <w:tcW w:w="557" w:type="dxa"/>
            <w:tcBorders>
              <w:top w:val="single" w:sz="4" w:space="0" w:color="000000"/>
              <w:bottom w:val="single" w:sz="12" w:space="0" w:color="000000"/>
            </w:tcBorders>
          </w:tcPr>
          <w:p>
            <w:pPr>
              <w:pStyle w:val="TableParagraph"/>
              <w:spacing w:before="22"/>
              <w:ind w:right="168"/>
              <w:rPr>
                <w:b/>
                <w:sz w:val="14"/>
              </w:rPr>
            </w:pPr>
            <w:r>
              <w:rPr>
                <w:b/>
                <w:w w:val="99"/>
                <w:sz w:val="14"/>
              </w:rPr>
              <w:t>1</w:t>
            </w:r>
          </w:p>
        </w:tc>
        <w:tc>
          <w:tcPr>
            <w:tcW w:w="608" w:type="dxa"/>
            <w:tcBorders>
              <w:top w:val="single" w:sz="4" w:space="0" w:color="000000"/>
              <w:bottom w:val="single" w:sz="12" w:space="0" w:color="000000"/>
            </w:tcBorders>
          </w:tcPr>
          <w:p>
            <w:pPr>
              <w:pStyle w:val="TableParagraph"/>
              <w:spacing w:before="22"/>
              <w:ind w:right="194"/>
              <w:rPr>
                <w:b/>
                <w:sz w:val="14"/>
              </w:rPr>
            </w:pPr>
            <w:r>
              <w:rPr>
                <w:b/>
                <w:w w:val="99"/>
                <w:sz w:val="14"/>
              </w:rPr>
              <w:t>7</w:t>
            </w:r>
          </w:p>
        </w:tc>
        <w:tc>
          <w:tcPr>
            <w:tcW w:w="565" w:type="dxa"/>
            <w:tcBorders>
              <w:top w:val="single" w:sz="4" w:space="0" w:color="000000"/>
              <w:bottom w:val="single" w:sz="12" w:space="0" w:color="000000"/>
            </w:tcBorders>
          </w:tcPr>
          <w:p>
            <w:pPr>
              <w:pStyle w:val="TableParagraph"/>
              <w:spacing w:before="22"/>
              <w:ind w:right="174"/>
              <w:rPr>
                <w:b/>
                <w:sz w:val="14"/>
              </w:rPr>
            </w:pPr>
            <w:r>
              <w:rPr>
                <w:b/>
                <w:w w:val="99"/>
                <w:sz w:val="14"/>
              </w:rPr>
              <w:t>9</w:t>
            </w:r>
          </w:p>
        </w:tc>
        <w:tc>
          <w:tcPr>
            <w:tcW w:w="635" w:type="dxa"/>
            <w:tcBorders>
              <w:top w:val="single" w:sz="4" w:space="0" w:color="000000"/>
              <w:bottom w:val="single" w:sz="12" w:space="0" w:color="000000"/>
            </w:tcBorders>
          </w:tcPr>
          <w:p>
            <w:pPr>
              <w:pStyle w:val="TableParagraph"/>
              <w:spacing w:before="22"/>
              <w:ind w:right="206"/>
              <w:rPr>
                <w:b/>
                <w:sz w:val="14"/>
              </w:rPr>
            </w:pPr>
            <w:r>
              <w:rPr>
                <w:b/>
                <w:spacing w:val="-5"/>
                <w:sz w:val="14"/>
              </w:rPr>
              <w:t>31</w:t>
            </w:r>
          </w:p>
        </w:tc>
        <w:tc>
          <w:tcPr>
            <w:tcW w:w="728" w:type="dxa"/>
            <w:tcBorders>
              <w:top w:val="single" w:sz="4" w:space="0" w:color="000000"/>
              <w:bottom w:val="single" w:sz="12" w:space="0" w:color="000000"/>
            </w:tcBorders>
          </w:tcPr>
          <w:p>
            <w:pPr>
              <w:pStyle w:val="TableParagraph"/>
              <w:spacing w:before="22"/>
              <w:ind w:right="194"/>
              <w:rPr>
                <w:b/>
                <w:sz w:val="14"/>
              </w:rPr>
            </w:pPr>
            <w:r>
              <w:rPr>
                <w:b/>
                <w:spacing w:val="-5"/>
                <w:sz w:val="14"/>
              </w:rPr>
              <w:t>41</w:t>
            </w:r>
          </w:p>
        </w:tc>
        <w:tc>
          <w:tcPr>
            <w:tcW w:w="463" w:type="dxa"/>
            <w:tcBorders>
              <w:top w:val="single" w:sz="4" w:space="0" w:color="000000"/>
              <w:bottom w:val="single" w:sz="12" w:space="0" w:color="000000"/>
            </w:tcBorders>
          </w:tcPr>
          <w:p>
            <w:pPr>
              <w:pStyle w:val="TableParagraph"/>
              <w:spacing w:before="22"/>
              <w:ind w:right="68"/>
              <w:rPr>
                <w:b/>
                <w:sz w:val="14"/>
              </w:rPr>
            </w:pPr>
            <w:r>
              <w:rPr>
                <w:b/>
                <w:w w:val="99"/>
                <w:sz w:val="14"/>
              </w:rPr>
              <w:t>-</w:t>
            </w:r>
          </w:p>
        </w:tc>
        <w:tc>
          <w:tcPr>
            <w:tcW w:w="796" w:type="dxa"/>
            <w:tcBorders>
              <w:top w:val="single" w:sz="4" w:space="0" w:color="000000"/>
              <w:bottom w:val="single" w:sz="12" w:space="0" w:color="000000"/>
            </w:tcBorders>
          </w:tcPr>
          <w:p>
            <w:pPr>
              <w:pStyle w:val="TableParagraph"/>
              <w:spacing w:before="22"/>
              <w:ind w:right="123"/>
              <w:rPr>
                <w:b/>
                <w:i/>
                <w:sz w:val="14"/>
              </w:rPr>
            </w:pPr>
            <w:r>
              <w:rPr>
                <w:b/>
                <w:i/>
                <w:spacing w:val="-5"/>
                <w:sz w:val="14"/>
              </w:rPr>
              <w:t>89</w:t>
            </w:r>
          </w:p>
        </w:tc>
        <w:tc>
          <w:tcPr>
            <w:tcW w:w="568" w:type="dxa"/>
            <w:tcBorders>
              <w:top w:val="single" w:sz="4" w:space="0" w:color="000000"/>
              <w:bottom w:val="single" w:sz="12" w:space="0" w:color="000000"/>
            </w:tcBorders>
          </w:tcPr>
          <w:p>
            <w:pPr>
              <w:pStyle w:val="TableParagraph"/>
              <w:spacing w:before="22"/>
              <w:ind w:right="102"/>
              <w:rPr>
                <w:b/>
                <w:sz w:val="14"/>
              </w:rPr>
            </w:pPr>
            <w:r>
              <w:rPr>
                <w:b/>
                <w:w w:val="99"/>
                <w:sz w:val="14"/>
              </w:rPr>
              <w:t>-</w:t>
            </w:r>
          </w:p>
        </w:tc>
        <w:tc>
          <w:tcPr>
            <w:tcW w:w="578" w:type="dxa"/>
            <w:tcBorders>
              <w:top w:val="single" w:sz="4" w:space="0" w:color="000000"/>
              <w:bottom w:val="single" w:sz="12" w:space="0" w:color="000000"/>
            </w:tcBorders>
          </w:tcPr>
          <w:p>
            <w:pPr>
              <w:pStyle w:val="TableParagraph"/>
              <w:spacing w:before="22"/>
              <w:ind w:right="90"/>
              <w:rPr>
                <w:b/>
                <w:sz w:val="14"/>
              </w:rPr>
            </w:pPr>
            <w:r>
              <w:rPr>
                <w:b/>
                <w:w w:val="99"/>
                <w:sz w:val="14"/>
              </w:rPr>
              <w:t>4</w:t>
            </w:r>
          </w:p>
        </w:tc>
        <w:tc>
          <w:tcPr>
            <w:tcW w:w="566" w:type="dxa"/>
            <w:tcBorders>
              <w:top w:val="single" w:sz="4" w:space="0" w:color="000000"/>
              <w:bottom w:val="single" w:sz="12" w:space="0" w:color="000000"/>
            </w:tcBorders>
          </w:tcPr>
          <w:p>
            <w:pPr>
              <w:pStyle w:val="TableParagraph"/>
              <w:spacing w:before="22"/>
              <w:ind w:right="59"/>
              <w:rPr>
                <w:b/>
                <w:sz w:val="14"/>
              </w:rPr>
            </w:pPr>
            <w:r>
              <w:rPr>
                <w:b/>
                <w:spacing w:val="-5"/>
                <w:sz w:val="14"/>
              </w:rPr>
              <w:t>80</w:t>
            </w:r>
          </w:p>
        </w:tc>
        <w:tc>
          <w:tcPr>
            <w:tcW w:w="820" w:type="dxa"/>
            <w:tcBorders>
              <w:top w:val="single" w:sz="4" w:space="0" w:color="000000"/>
              <w:bottom w:val="single" w:sz="12" w:space="0" w:color="000000"/>
            </w:tcBorders>
          </w:tcPr>
          <w:p>
            <w:pPr>
              <w:pStyle w:val="TableParagraph"/>
              <w:spacing w:before="22"/>
              <w:ind w:right="139"/>
              <w:rPr>
                <w:b/>
                <w:i/>
                <w:sz w:val="14"/>
              </w:rPr>
            </w:pPr>
            <w:r>
              <w:rPr>
                <w:b/>
                <w:i/>
                <w:spacing w:val="-5"/>
                <w:sz w:val="14"/>
              </w:rPr>
              <w:t>84</w:t>
            </w:r>
          </w:p>
        </w:tc>
        <w:tc>
          <w:tcPr>
            <w:tcW w:w="517" w:type="dxa"/>
            <w:tcBorders>
              <w:top w:val="single" w:sz="4" w:space="0" w:color="000000"/>
              <w:bottom w:val="single" w:sz="12" w:space="0" w:color="000000"/>
            </w:tcBorders>
          </w:tcPr>
          <w:p>
            <w:pPr>
              <w:pStyle w:val="TableParagraph"/>
              <w:spacing w:before="22"/>
              <w:ind w:right="56"/>
              <w:rPr>
                <w:b/>
                <w:sz w:val="14"/>
              </w:rPr>
            </w:pPr>
            <w:r>
              <w:rPr>
                <w:b/>
                <w:spacing w:val="-5"/>
                <w:sz w:val="14"/>
              </w:rPr>
              <w:t>173</w:t>
            </w:r>
          </w:p>
        </w:tc>
      </w:tr>
      <w:tr>
        <w:trPr>
          <w:trHeight w:val="571" w:hRule="atLeast"/>
        </w:trPr>
        <w:tc>
          <w:tcPr>
            <w:tcW w:w="1186" w:type="dxa"/>
            <w:tcBorders>
              <w:top w:val="single" w:sz="12" w:space="0" w:color="000000"/>
            </w:tcBorders>
          </w:tcPr>
          <w:p>
            <w:pPr>
              <w:pStyle w:val="TableParagraph"/>
              <w:jc w:val="left"/>
              <w:rPr>
                <w:b/>
                <w:sz w:val="19"/>
              </w:rPr>
            </w:pPr>
          </w:p>
          <w:p>
            <w:pPr>
              <w:pStyle w:val="TableParagraph"/>
              <w:spacing w:line="242" w:lineRule="auto"/>
              <w:ind w:left="67" w:right="232"/>
              <w:jc w:val="left"/>
              <w:rPr>
                <w:b/>
                <w:sz w:val="14"/>
              </w:rPr>
            </w:pPr>
            <w:r>
              <w:rPr>
                <w:b/>
                <w:sz w:val="14"/>
              </w:rPr>
              <w:t>GTA</w:t>
            </w:r>
            <w:r>
              <w:rPr>
                <w:b/>
                <w:spacing w:val="-9"/>
                <w:sz w:val="14"/>
              </w:rPr>
              <w:t> </w:t>
            </w:r>
            <w:r>
              <w:rPr>
                <w:b/>
                <w:sz w:val="14"/>
              </w:rPr>
              <w:t>Positions</w:t>
            </w:r>
            <w:r>
              <w:rPr>
                <w:b/>
                <w:spacing w:val="40"/>
                <w:sz w:val="14"/>
              </w:rPr>
              <w:t> </w:t>
            </w:r>
            <w:r>
              <w:rPr>
                <w:b/>
                <w:spacing w:val="-2"/>
                <w:sz w:val="14"/>
              </w:rPr>
              <w:t>(FTE)</w:t>
            </w:r>
          </w:p>
        </w:tc>
        <w:tc>
          <w:tcPr>
            <w:tcW w:w="678" w:type="dxa"/>
            <w:tcBorders>
              <w:top w:val="single" w:sz="12" w:space="0" w:color="000000"/>
            </w:tcBorders>
          </w:tcPr>
          <w:p>
            <w:pPr>
              <w:pStyle w:val="TableParagraph"/>
              <w:jc w:val="left"/>
              <w:rPr>
                <w:sz w:val="14"/>
              </w:rPr>
            </w:pPr>
          </w:p>
        </w:tc>
        <w:tc>
          <w:tcPr>
            <w:tcW w:w="607" w:type="dxa"/>
            <w:tcBorders>
              <w:top w:val="single" w:sz="12" w:space="0" w:color="000000"/>
            </w:tcBorders>
          </w:tcPr>
          <w:p>
            <w:pPr>
              <w:pStyle w:val="TableParagraph"/>
              <w:jc w:val="left"/>
              <w:rPr>
                <w:sz w:val="14"/>
              </w:rPr>
            </w:pPr>
          </w:p>
        </w:tc>
        <w:tc>
          <w:tcPr>
            <w:tcW w:w="563" w:type="dxa"/>
            <w:tcBorders>
              <w:top w:val="single" w:sz="12" w:space="0" w:color="000000"/>
            </w:tcBorders>
          </w:tcPr>
          <w:p>
            <w:pPr>
              <w:pStyle w:val="TableParagraph"/>
              <w:jc w:val="left"/>
              <w:rPr>
                <w:sz w:val="14"/>
              </w:rPr>
            </w:pPr>
          </w:p>
        </w:tc>
        <w:tc>
          <w:tcPr>
            <w:tcW w:w="557" w:type="dxa"/>
            <w:tcBorders>
              <w:top w:val="single" w:sz="12" w:space="0" w:color="000000"/>
            </w:tcBorders>
          </w:tcPr>
          <w:p>
            <w:pPr>
              <w:pStyle w:val="TableParagraph"/>
              <w:jc w:val="left"/>
              <w:rPr>
                <w:sz w:val="14"/>
              </w:rPr>
            </w:pPr>
          </w:p>
        </w:tc>
        <w:tc>
          <w:tcPr>
            <w:tcW w:w="608" w:type="dxa"/>
            <w:tcBorders>
              <w:top w:val="single" w:sz="12" w:space="0" w:color="000000"/>
            </w:tcBorders>
          </w:tcPr>
          <w:p>
            <w:pPr>
              <w:pStyle w:val="TableParagraph"/>
              <w:jc w:val="left"/>
              <w:rPr>
                <w:sz w:val="14"/>
              </w:rPr>
            </w:pPr>
          </w:p>
        </w:tc>
        <w:tc>
          <w:tcPr>
            <w:tcW w:w="565" w:type="dxa"/>
            <w:tcBorders>
              <w:top w:val="single" w:sz="12" w:space="0" w:color="000000"/>
            </w:tcBorders>
          </w:tcPr>
          <w:p>
            <w:pPr>
              <w:pStyle w:val="TableParagraph"/>
              <w:jc w:val="left"/>
              <w:rPr>
                <w:sz w:val="14"/>
              </w:rPr>
            </w:pPr>
          </w:p>
        </w:tc>
        <w:tc>
          <w:tcPr>
            <w:tcW w:w="635" w:type="dxa"/>
            <w:tcBorders>
              <w:top w:val="single" w:sz="12" w:space="0" w:color="000000"/>
            </w:tcBorders>
          </w:tcPr>
          <w:p>
            <w:pPr>
              <w:pStyle w:val="TableParagraph"/>
              <w:jc w:val="left"/>
              <w:rPr>
                <w:sz w:val="14"/>
              </w:rPr>
            </w:pPr>
          </w:p>
        </w:tc>
        <w:tc>
          <w:tcPr>
            <w:tcW w:w="728" w:type="dxa"/>
            <w:tcBorders>
              <w:top w:val="single" w:sz="12" w:space="0" w:color="000000"/>
            </w:tcBorders>
          </w:tcPr>
          <w:p>
            <w:pPr>
              <w:pStyle w:val="TableParagraph"/>
              <w:jc w:val="left"/>
              <w:rPr>
                <w:sz w:val="14"/>
              </w:rPr>
            </w:pPr>
          </w:p>
        </w:tc>
        <w:tc>
          <w:tcPr>
            <w:tcW w:w="463" w:type="dxa"/>
            <w:tcBorders>
              <w:top w:val="single" w:sz="12" w:space="0" w:color="000000"/>
            </w:tcBorders>
          </w:tcPr>
          <w:p>
            <w:pPr>
              <w:pStyle w:val="TableParagraph"/>
              <w:jc w:val="left"/>
              <w:rPr>
                <w:sz w:val="14"/>
              </w:rPr>
            </w:pPr>
          </w:p>
        </w:tc>
        <w:tc>
          <w:tcPr>
            <w:tcW w:w="796" w:type="dxa"/>
            <w:tcBorders>
              <w:top w:val="single" w:sz="12" w:space="0" w:color="000000"/>
            </w:tcBorders>
          </w:tcPr>
          <w:p>
            <w:pPr>
              <w:pStyle w:val="TableParagraph"/>
              <w:jc w:val="left"/>
              <w:rPr>
                <w:sz w:val="14"/>
              </w:rPr>
            </w:pPr>
          </w:p>
        </w:tc>
        <w:tc>
          <w:tcPr>
            <w:tcW w:w="568" w:type="dxa"/>
            <w:tcBorders>
              <w:top w:val="single" w:sz="12" w:space="0" w:color="000000"/>
            </w:tcBorders>
          </w:tcPr>
          <w:p>
            <w:pPr>
              <w:pStyle w:val="TableParagraph"/>
              <w:jc w:val="left"/>
              <w:rPr>
                <w:sz w:val="14"/>
              </w:rPr>
            </w:pPr>
          </w:p>
        </w:tc>
        <w:tc>
          <w:tcPr>
            <w:tcW w:w="578" w:type="dxa"/>
            <w:tcBorders>
              <w:top w:val="single" w:sz="12" w:space="0" w:color="000000"/>
            </w:tcBorders>
          </w:tcPr>
          <w:p>
            <w:pPr>
              <w:pStyle w:val="TableParagraph"/>
              <w:jc w:val="left"/>
              <w:rPr>
                <w:sz w:val="14"/>
              </w:rPr>
            </w:pPr>
          </w:p>
        </w:tc>
        <w:tc>
          <w:tcPr>
            <w:tcW w:w="566" w:type="dxa"/>
            <w:tcBorders>
              <w:top w:val="single" w:sz="12" w:space="0" w:color="000000"/>
            </w:tcBorders>
          </w:tcPr>
          <w:p>
            <w:pPr>
              <w:pStyle w:val="TableParagraph"/>
              <w:jc w:val="left"/>
              <w:rPr>
                <w:sz w:val="14"/>
              </w:rPr>
            </w:pPr>
          </w:p>
        </w:tc>
        <w:tc>
          <w:tcPr>
            <w:tcW w:w="820" w:type="dxa"/>
            <w:tcBorders>
              <w:top w:val="single" w:sz="12" w:space="0" w:color="000000"/>
            </w:tcBorders>
          </w:tcPr>
          <w:p>
            <w:pPr>
              <w:pStyle w:val="TableParagraph"/>
              <w:jc w:val="left"/>
              <w:rPr>
                <w:sz w:val="14"/>
              </w:rPr>
            </w:pPr>
          </w:p>
        </w:tc>
        <w:tc>
          <w:tcPr>
            <w:tcW w:w="517" w:type="dxa"/>
            <w:tcBorders>
              <w:top w:val="single" w:sz="12" w:space="0" w:color="000000"/>
            </w:tcBorders>
          </w:tcPr>
          <w:p>
            <w:pPr>
              <w:pStyle w:val="TableParagraph"/>
              <w:jc w:val="left"/>
              <w:rPr>
                <w:sz w:val="14"/>
              </w:rPr>
            </w:pPr>
          </w:p>
        </w:tc>
      </w:tr>
      <w:tr>
        <w:trPr>
          <w:trHeight w:val="205" w:hRule="atLeast"/>
        </w:trPr>
        <w:tc>
          <w:tcPr>
            <w:tcW w:w="1186" w:type="dxa"/>
            <w:tcBorders>
              <w:bottom w:val="single" w:sz="12" w:space="0" w:color="000000"/>
            </w:tcBorders>
          </w:tcPr>
          <w:p>
            <w:pPr>
              <w:pStyle w:val="TableParagraph"/>
              <w:spacing w:before="2"/>
              <w:ind w:left="67"/>
              <w:jc w:val="left"/>
              <w:rPr>
                <w:sz w:val="14"/>
              </w:rPr>
            </w:pPr>
            <w:r>
              <w:rPr>
                <w:w w:val="95"/>
                <w:sz w:val="14"/>
              </w:rPr>
              <w:t>Approved</w:t>
            </w:r>
            <w:r>
              <w:rPr>
                <w:spacing w:val="22"/>
                <w:sz w:val="14"/>
              </w:rPr>
              <w:t> </w:t>
            </w:r>
            <w:r>
              <w:rPr>
                <w:spacing w:val="-4"/>
                <w:sz w:val="14"/>
              </w:rPr>
              <w:t>2022</w:t>
            </w:r>
          </w:p>
        </w:tc>
        <w:tc>
          <w:tcPr>
            <w:tcW w:w="678" w:type="dxa"/>
            <w:tcBorders>
              <w:bottom w:val="single" w:sz="12" w:space="0" w:color="000000"/>
            </w:tcBorders>
          </w:tcPr>
          <w:p>
            <w:pPr>
              <w:pStyle w:val="TableParagraph"/>
              <w:spacing w:before="2"/>
              <w:ind w:right="154"/>
              <w:rPr>
                <w:sz w:val="14"/>
              </w:rPr>
            </w:pPr>
            <w:r>
              <w:rPr>
                <w:w w:val="99"/>
                <w:sz w:val="14"/>
              </w:rPr>
              <w:t>-</w:t>
            </w:r>
          </w:p>
        </w:tc>
        <w:tc>
          <w:tcPr>
            <w:tcW w:w="607" w:type="dxa"/>
            <w:tcBorders>
              <w:bottom w:val="single" w:sz="12" w:space="0" w:color="000000"/>
            </w:tcBorders>
          </w:tcPr>
          <w:p>
            <w:pPr>
              <w:pStyle w:val="TableParagraph"/>
              <w:spacing w:before="2"/>
              <w:ind w:right="170"/>
              <w:rPr>
                <w:sz w:val="14"/>
              </w:rPr>
            </w:pPr>
            <w:r>
              <w:rPr>
                <w:w w:val="99"/>
                <w:sz w:val="14"/>
              </w:rPr>
              <w:t>-</w:t>
            </w:r>
          </w:p>
        </w:tc>
        <w:tc>
          <w:tcPr>
            <w:tcW w:w="563" w:type="dxa"/>
            <w:tcBorders>
              <w:bottom w:val="single" w:sz="12" w:space="0" w:color="000000"/>
            </w:tcBorders>
          </w:tcPr>
          <w:p>
            <w:pPr>
              <w:pStyle w:val="TableParagraph"/>
              <w:spacing w:before="2"/>
              <w:ind w:right="171"/>
              <w:rPr>
                <w:sz w:val="14"/>
              </w:rPr>
            </w:pPr>
            <w:r>
              <w:rPr>
                <w:w w:val="99"/>
                <w:sz w:val="14"/>
              </w:rPr>
              <w:t>-</w:t>
            </w:r>
          </w:p>
        </w:tc>
        <w:tc>
          <w:tcPr>
            <w:tcW w:w="557" w:type="dxa"/>
            <w:tcBorders>
              <w:bottom w:val="single" w:sz="12" w:space="0" w:color="000000"/>
            </w:tcBorders>
          </w:tcPr>
          <w:p>
            <w:pPr>
              <w:pStyle w:val="TableParagraph"/>
              <w:spacing w:before="2"/>
              <w:ind w:right="167"/>
              <w:rPr>
                <w:sz w:val="14"/>
              </w:rPr>
            </w:pPr>
            <w:r>
              <w:rPr>
                <w:w w:val="99"/>
                <w:sz w:val="14"/>
              </w:rPr>
              <w:t>-</w:t>
            </w:r>
          </w:p>
        </w:tc>
        <w:tc>
          <w:tcPr>
            <w:tcW w:w="608" w:type="dxa"/>
            <w:tcBorders>
              <w:bottom w:val="single" w:sz="12" w:space="0" w:color="000000"/>
            </w:tcBorders>
          </w:tcPr>
          <w:p>
            <w:pPr>
              <w:pStyle w:val="TableParagraph"/>
              <w:spacing w:before="2"/>
              <w:ind w:right="193"/>
              <w:rPr>
                <w:sz w:val="14"/>
              </w:rPr>
            </w:pPr>
            <w:r>
              <w:rPr>
                <w:w w:val="99"/>
                <w:sz w:val="14"/>
              </w:rPr>
              <w:t>-</w:t>
            </w:r>
          </w:p>
        </w:tc>
        <w:tc>
          <w:tcPr>
            <w:tcW w:w="565" w:type="dxa"/>
            <w:tcBorders>
              <w:bottom w:val="single" w:sz="12" w:space="0" w:color="000000"/>
            </w:tcBorders>
          </w:tcPr>
          <w:p>
            <w:pPr>
              <w:pStyle w:val="TableParagraph"/>
              <w:spacing w:before="2"/>
              <w:ind w:right="173"/>
              <w:rPr>
                <w:sz w:val="14"/>
              </w:rPr>
            </w:pPr>
            <w:r>
              <w:rPr>
                <w:w w:val="99"/>
                <w:sz w:val="14"/>
              </w:rPr>
              <w:t>-</w:t>
            </w:r>
          </w:p>
        </w:tc>
        <w:tc>
          <w:tcPr>
            <w:tcW w:w="635" w:type="dxa"/>
            <w:tcBorders>
              <w:bottom w:val="single" w:sz="12" w:space="0" w:color="000000"/>
            </w:tcBorders>
          </w:tcPr>
          <w:p>
            <w:pPr>
              <w:pStyle w:val="TableParagraph"/>
              <w:spacing w:before="2"/>
              <w:ind w:right="209"/>
              <w:rPr>
                <w:sz w:val="14"/>
              </w:rPr>
            </w:pPr>
            <w:r>
              <w:rPr>
                <w:spacing w:val="-4"/>
                <w:sz w:val="14"/>
              </w:rPr>
              <w:t>2.00</w:t>
            </w:r>
          </w:p>
        </w:tc>
        <w:tc>
          <w:tcPr>
            <w:tcW w:w="728" w:type="dxa"/>
            <w:tcBorders>
              <w:bottom w:val="single" w:sz="12" w:space="0" w:color="000000"/>
            </w:tcBorders>
          </w:tcPr>
          <w:p>
            <w:pPr>
              <w:pStyle w:val="TableParagraph"/>
              <w:spacing w:before="2"/>
              <w:ind w:right="197"/>
              <w:rPr>
                <w:sz w:val="14"/>
              </w:rPr>
            </w:pPr>
            <w:r>
              <w:rPr>
                <w:spacing w:val="-4"/>
                <w:sz w:val="14"/>
              </w:rPr>
              <w:t>8.24</w:t>
            </w:r>
          </w:p>
        </w:tc>
        <w:tc>
          <w:tcPr>
            <w:tcW w:w="463" w:type="dxa"/>
            <w:tcBorders>
              <w:bottom w:val="single" w:sz="12" w:space="0" w:color="000000"/>
            </w:tcBorders>
          </w:tcPr>
          <w:p>
            <w:pPr>
              <w:pStyle w:val="TableParagraph"/>
              <w:spacing w:before="2"/>
              <w:ind w:right="68"/>
              <w:rPr>
                <w:sz w:val="14"/>
              </w:rPr>
            </w:pPr>
            <w:r>
              <w:rPr>
                <w:w w:val="99"/>
                <w:sz w:val="14"/>
              </w:rPr>
              <w:t>-</w:t>
            </w:r>
          </w:p>
        </w:tc>
        <w:tc>
          <w:tcPr>
            <w:tcW w:w="796" w:type="dxa"/>
            <w:tcBorders>
              <w:bottom w:val="single" w:sz="12" w:space="0" w:color="000000"/>
            </w:tcBorders>
          </w:tcPr>
          <w:p>
            <w:pPr>
              <w:pStyle w:val="TableParagraph"/>
              <w:spacing w:before="2"/>
              <w:ind w:right="127"/>
              <w:rPr>
                <w:i/>
                <w:sz w:val="14"/>
              </w:rPr>
            </w:pPr>
            <w:r>
              <w:rPr>
                <w:i/>
                <w:spacing w:val="-2"/>
                <w:sz w:val="14"/>
              </w:rPr>
              <w:t>10.24</w:t>
            </w:r>
          </w:p>
        </w:tc>
        <w:tc>
          <w:tcPr>
            <w:tcW w:w="568" w:type="dxa"/>
            <w:tcBorders>
              <w:bottom w:val="single" w:sz="12" w:space="0" w:color="000000"/>
            </w:tcBorders>
          </w:tcPr>
          <w:p>
            <w:pPr>
              <w:pStyle w:val="TableParagraph"/>
              <w:spacing w:before="2"/>
              <w:ind w:right="102"/>
              <w:rPr>
                <w:sz w:val="14"/>
              </w:rPr>
            </w:pPr>
            <w:r>
              <w:rPr>
                <w:w w:val="99"/>
                <w:sz w:val="14"/>
              </w:rPr>
              <w:t>-</w:t>
            </w:r>
          </w:p>
        </w:tc>
        <w:tc>
          <w:tcPr>
            <w:tcW w:w="578" w:type="dxa"/>
            <w:tcBorders>
              <w:bottom w:val="single" w:sz="12" w:space="0" w:color="000000"/>
            </w:tcBorders>
          </w:tcPr>
          <w:p>
            <w:pPr>
              <w:pStyle w:val="TableParagraph"/>
              <w:spacing w:before="2"/>
              <w:ind w:right="89"/>
              <w:rPr>
                <w:sz w:val="14"/>
              </w:rPr>
            </w:pPr>
            <w:r>
              <w:rPr>
                <w:w w:val="99"/>
                <w:sz w:val="14"/>
              </w:rPr>
              <w:t>-</w:t>
            </w:r>
          </w:p>
        </w:tc>
        <w:tc>
          <w:tcPr>
            <w:tcW w:w="566" w:type="dxa"/>
            <w:tcBorders>
              <w:bottom w:val="single" w:sz="12" w:space="0" w:color="000000"/>
            </w:tcBorders>
          </w:tcPr>
          <w:p>
            <w:pPr>
              <w:pStyle w:val="TableParagraph"/>
              <w:spacing w:before="2"/>
              <w:ind w:right="62"/>
              <w:rPr>
                <w:sz w:val="14"/>
              </w:rPr>
            </w:pPr>
            <w:r>
              <w:rPr>
                <w:spacing w:val="-2"/>
                <w:sz w:val="14"/>
              </w:rPr>
              <w:t>23.05</w:t>
            </w:r>
          </w:p>
        </w:tc>
        <w:tc>
          <w:tcPr>
            <w:tcW w:w="820" w:type="dxa"/>
            <w:tcBorders>
              <w:bottom w:val="single" w:sz="12" w:space="0" w:color="000000"/>
            </w:tcBorders>
          </w:tcPr>
          <w:p>
            <w:pPr>
              <w:pStyle w:val="TableParagraph"/>
              <w:spacing w:before="2"/>
              <w:ind w:right="142"/>
              <w:rPr>
                <w:i/>
                <w:sz w:val="14"/>
              </w:rPr>
            </w:pPr>
            <w:r>
              <w:rPr>
                <w:i/>
                <w:spacing w:val="-2"/>
                <w:sz w:val="14"/>
              </w:rPr>
              <w:t>23.05</w:t>
            </w:r>
          </w:p>
        </w:tc>
        <w:tc>
          <w:tcPr>
            <w:tcW w:w="517" w:type="dxa"/>
            <w:tcBorders>
              <w:bottom w:val="single" w:sz="12" w:space="0" w:color="000000"/>
            </w:tcBorders>
          </w:tcPr>
          <w:p>
            <w:pPr>
              <w:pStyle w:val="TableParagraph"/>
              <w:spacing w:before="2"/>
              <w:ind w:right="59"/>
              <w:rPr>
                <w:b/>
                <w:sz w:val="14"/>
              </w:rPr>
            </w:pPr>
            <w:r>
              <w:rPr>
                <w:b/>
                <w:spacing w:val="-2"/>
                <w:sz w:val="14"/>
              </w:rPr>
              <w:t>33.29</w:t>
            </w:r>
          </w:p>
        </w:tc>
      </w:tr>
      <w:tr>
        <w:trPr>
          <w:trHeight w:val="229" w:hRule="atLeast"/>
        </w:trPr>
        <w:tc>
          <w:tcPr>
            <w:tcW w:w="1186" w:type="dxa"/>
            <w:tcBorders>
              <w:top w:val="single" w:sz="12" w:space="0" w:color="000000"/>
              <w:bottom w:val="single" w:sz="4" w:space="0" w:color="000000"/>
            </w:tcBorders>
          </w:tcPr>
          <w:p>
            <w:pPr>
              <w:pStyle w:val="TableParagraph"/>
              <w:spacing w:before="27"/>
              <w:ind w:left="67"/>
              <w:jc w:val="left"/>
              <w:rPr>
                <w:sz w:val="14"/>
              </w:rPr>
            </w:pPr>
            <w:r>
              <w:rPr>
                <w:spacing w:val="-2"/>
                <w:sz w:val="14"/>
              </w:rPr>
              <w:t>Continued</w:t>
            </w:r>
          </w:p>
        </w:tc>
        <w:tc>
          <w:tcPr>
            <w:tcW w:w="678" w:type="dxa"/>
            <w:tcBorders>
              <w:top w:val="single" w:sz="12" w:space="0" w:color="000000"/>
              <w:bottom w:val="single" w:sz="4" w:space="0" w:color="000000"/>
            </w:tcBorders>
          </w:tcPr>
          <w:p>
            <w:pPr>
              <w:pStyle w:val="TableParagraph"/>
              <w:spacing w:before="27"/>
              <w:ind w:right="154"/>
              <w:rPr>
                <w:sz w:val="14"/>
              </w:rPr>
            </w:pPr>
            <w:r>
              <w:rPr>
                <w:w w:val="99"/>
                <w:sz w:val="14"/>
              </w:rPr>
              <w:t>-</w:t>
            </w:r>
          </w:p>
        </w:tc>
        <w:tc>
          <w:tcPr>
            <w:tcW w:w="607" w:type="dxa"/>
            <w:tcBorders>
              <w:top w:val="single" w:sz="12" w:space="0" w:color="000000"/>
              <w:bottom w:val="single" w:sz="4" w:space="0" w:color="000000"/>
            </w:tcBorders>
          </w:tcPr>
          <w:p>
            <w:pPr>
              <w:pStyle w:val="TableParagraph"/>
              <w:spacing w:before="27"/>
              <w:ind w:right="170"/>
              <w:rPr>
                <w:sz w:val="14"/>
              </w:rPr>
            </w:pPr>
            <w:r>
              <w:rPr>
                <w:w w:val="99"/>
                <w:sz w:val="14"/>
              </w:rPr>
              <w:t>-</w:t>
            </w:r>
          </w:p>
        </w:tc>
        <w:tc>
          <w:tcPr>
            <w:tcW w:w="563" w:type="dxa"/>
            <w:tcBorders>
              <w:top w:val="single" w:sz="12" w:space="0" w:color="000000"/>
              <w:bottom w:val="single" w:sz="4" w:space="0" w:color="000000"/>
            </w:tcBorders>
          </w:tcPr>
          <w:p>
            <w:pPr>
              <w:pStyle w:val="TableParagraph"/>
              <w:spacing w:before="27"/>
              <w:ind w:right="171"/>
              <w:rPr>
                <w:sz w:val="14"/>
              </w:rPr>
            </w:pPr>
            <w:r>
              <w:rPr>
                <w:w w:val="99"/>
                <w:sz w:val="14"/>
              </w:rPr>
              <w:t>-</w:t>
            </w:r>
          </w:p>
        </w:tc>
        <w:tc>
          <w:tcPr>
            <w:tcW w:w="557" w:type="dxa"/>
            <w:tcBorders>
              <w:top w:val="single" w:sz="12" w:space="0" w:color="000000"/>
              <w:bottom w:val="single" w:sz="4" w:space="0" w:color="000000"/>
            </w:tcBorders>
          </w:tcPr>
          <w:p>
            <w:pPr>
              <w:pStyle w:val="TableParagraph"/>
              <w:spacing w:before="27"/>
              <w:ind w:right="167"/>
              <w:rPr>
                <w:sz w:val="14"/>
              </w:rPr>
            </w:pPr>
            <w:r>
              <w:rPr>
                <w:w w:val="99"/>
                <w:sz w:val="14"/>
              </w:rPr>
              <w:t>-</w:t>
            </w:r>
          </w:p>
        </w:tc>
        <w:tc>
          <w:tcPr>
            <w:tcW w:w="608" w:type="dxa"/>
            <w:tcBorders>
              <w:top w:val="single" w:sz="12" w:space="0" w:color="000000"/>
              <w:bottom w:val="single" w:sz="4" w:space="0" w:color="000000"/>
            </w:tcBorders>
          </w:tcPr>
          <w:p>
            <w:pPr>
              <w:pStyle w:val="TableParagraph"/>
              <w:spacing w:before="27"/>
              <w:ind w:right="193"/>
              <w:rPr>
                <w:sz w:val="14"/>
              </w:rPr>
            </w:pPr>
            <w:r>
              <w:rPr>
                <w:w w:val="99"/>
                <w:sz w:val="14"/>
              </w:rPr>
              <w:t>-</w:t>
            </w:r>
          </w:p>
        </w:tc>
        <w:tc>
          <w:tcPr>
            <w:tcW w:w="565" w:type="dxa"/>
            <w:tcBorders>
              <w:top w:val="single" w:sz="12" w:space="0" w:color="000000"/>
              <w:bottom w:val="single" w:sz="4" w:space="0" w:color="000000"/>
            </w:tcBorders>
          </w:tcPr>
          <w:p>
            <w:pPr>
              <w:pStyle w:val="TableParagraph"/>
              <w:spacing w:before="27"/>
              <w:ind w:right="173"/>
              <w:rPr>
                <w:sz w:val="14"/>
              </w:rPr>
            </w:pPr>
            <w:r>
              <w:rPr>
                <w:w w:val="99"/>
                <w:sz w:val="14"/>
              </w:rPr>
              <w:t>-</w:t>
            </w:r>
          </w:p>
        </w:tc>
        <w:tc>
          <w:tcPr>
            <w:tcW w:w="635" w:type="dxa"/>
            <w:tcBorders>
              <w:top w:val="single" w:sz="12" w:space="0" w:color="000000"/>
              <w:bottom w:val="single" w:sz="4" w:space="0" w:color="000000"/>
            </w:tcBorders>
          </w:tcPr>
          <w:p>
            <w:pPr>
              <w:pStyle w:val="TableParagraph"/>
              <w:spacing w:before="27"/>
              <w:ind w:right="209"/>
              <w:rPr>
                <w:sz w:val="14"/>
              </w:rPr>
            </w:pPr>
            <w:r>
              <w:rPr>
                <w:spacing w:val="-4"/>
                <w:sz w:val="14"/>
              </w:rPr>
              <w:t>2.00</w:t>
            </w:r>
          </w:p>
        </w:tc>
        <w:tc>
          <w:tcPr>
            <w:tcW w:w="728" w:type="dxa"/>
            <w:tcBorders>
              <w:top w:val="single" w:sz="12" w:space="0" w:color="000000"/>
              <w:bottom w:val="single" w:sz="4" w:space="0" w:color="000000"/>
            </w:tcBorders>
          </w:tcPr>
          <w:p>
            <w:pPr>
              <w:pStyle w:val="TableParagraph"/>
              <w:spacing w:before="27"/>
              <w:ind w:right="197"/>
              <w:rPr>
                <w:sz w:val="14"/>
              </w:rPr>
            </w:pPr>
            <w:r>
              <w:rPr>
                <w:spacing w:val="-4"/>
                <w:sz w:val="14"/>
              </w:rPr>
              <w:t>8.49</w:t>
            </w:r>
          </w:p>
        </w:tc>
        <w:tc>
          <w:tcPr>
            <w:tcW w:w="463" w:type="dxa"/>
            <w:tcBorders>
              <w:top w:val="single" w:sz="12" w:space="0" w:color="000000"/>
              <w:bottom w:val="single" w:sz="4" w:space="0" w:color="000000"/>
            </w:tcBorders>
          </w:tcPr>
          <w:p>
            <w:pPr>
              <w:pStyle w:val="TableParagraph"/>
              <w:spacing w:before="27"/>
              <w:ind w:right="68"/>
              <w:rPr>
                <w:sz w:val="14"/>
              </w:rPr>
            </w:pPr>
            <w:r>
              <w:rPr>
                <w:w w:val="99"/>
                <w:sz w:val="14"/>
              </w:rPr>
              <w:t>-</w:t>
            </w:r>
          </w:p>
        </w:tc>
        <w:tc>
          <w:tcPr>
            <w:tcW w:w="796" w:type="dxa"/>
            <w:tcBorders>
              <w:top w:val="single" w:sz="12" w:space="0" w:color="000000"/>
              <w:bottom w:val="single" w:sz="4" w:space="0" w:color="000000"/>
            </w:tcBorders>
          </w:tcPr>
          <w:p>
            <w:pPr>
              <w:pStyle w:val="TableParagraph"/>
              <w:spacing w:before="27"/>
              <w:ind w:right="127"/>
              <w:rPr>
                <w:i/>
                <w:sz w:val="14"/>
              </w:rPr>
            </w:pPr>
            <w:r>
              <w:rPr>
                <w:i/>
                <w:spacing w:val="-2"/>
                <w:sz w:val="14"/>
              </w:rPr>
              <w:t>10.49</w:t>
            </w:r>
          </w:p>
        </w:tc>
        <w:tc>
          <w:tcPr>
            <w:tcW w:w="568" w:type="dxa"/>
            <w:tcBorders>
              <w:top w:val="single" w:sz="12" w:space="0" w:color="000000"/>
              <w:bottom w:val="single" w:sz="4" w:space="0" w:color="000000"/>
            </w:tcBorders>
          </w:tcPr>
          <w:p>
            <w:pPr>
              <w:pStyle w:val="TableParagraph"/>
              <w:spacing w:before="27"/>
              <w:ind w:right="102"/>
              <w:rPr>
                <w:sz w:val="14"/>
              </w:rPr>
            </w:pPr>
            <w:r>
              <w:rPr>
                <w:w w:val="99"/>
                <w:sz w:val="14"/>
              </w:rPr>
              <w:t>-</w:t>
            </w:r>
          </w:p>
        </w:tc>
        <w:tc>
          <w:tcPr>
            <w:tcW w:w="578" w:type="dxa"/>
            <w:tcBorders>
              <w:top w:val="single" w:sz="12" w:space="0" w:color="000000"/>
              <w:bottom w:val="single" w:sz="4" w:space="0" w:color="000000"/>
            </w:tcBorders>
          </w:tcPr>
          <w:p>
            <w:pPr>
              <w:pStyle w:val="TableParagraph"/>
              <w:spacing w:before="27"/>
              <w:ind w:right="89"/>
              <w:rPr>
                <w:sz w:val="14"/>
              </w:rPr>
            </w:pPr>
            <w:r>
              <w:rPr>
                <w:w w:val="99"/>
                <w:sz w:val="14"/>
              </w:rPr>
              <w:t>-</w:t>
            </w:r>
          </w:p>
        </w:tc>
        <w:tc>
          <w:tcPr>
            <w:tcW w:w="566" w:type="dxa"/>
            <w:tcBorders>
              <w:top w:val="single" w:sz="12" w:space="0" w:color="000000"/>
              <w:bottom w:val="single" w:sz="4" w:space="0" w:color="000000"/>
            </w:tcBorders>
          </w:tcPr>
          <w:p>
            <w:pPr>
              <w:pStyle w:val="TableParagraph"/>
              <w:spacing w:before="27"/>
              <w:ind w:right="62"/>
              <w:rPr>
                <w:sz w:val="14"/>
              </w:rPr>
            </w:pPr>
            <w:r>
              <w:rPr>
                <w:spacing w:val="-2"/>
                <w:sz w:val="14"/>
              </w:rPr>
              <w:t>16.49</w:t>
            </w:r>
          </w:p>
        </w:tc>
        <w:tc>
          <w:tcPr>
            <w:tcW w:w="820" w:type="dxa"/>
            <w:tcBorders>
              <w:top w:val="single" w:sz="12" w:space="0" w:color="000000"/>
              <w:bottom w:val="single" w:sz="4" w:space="0" w:color="000000"/>
            </w:tcBorders>
          </w:tcPr>
          <w:p>
            <w:pPr>
              <w:pStyle w:val="TableParagraph"/>
              <w:spacing w:before="27"/>
              <w:ind w:right="142"/>
              <w:rPr>
                <w:i/>
                <w:sz w:val="14"/>
              </w:rPr>
            </w:pPr>
            <w:r>
              <w:rPr>
                <w:i/>
                <w:spacing w:val="-2"/>
                <w:sz w:val="14"/>
              </w:rPr>
              <w:t>16.49</w:t>
            </w:r>
          </w:p>
        </w:tc>
        <w:tc>
          <w:tcPr>
            <w:tcW w:w="517" w:type="dxa"/>
            <w:tcBorders>
              <w:top w:val="single" w:sz="12" w:space="0" w:color="000000"/>
              <w:bottom w:val="single" w:sz="4" w:space="0" w:color="000000"/>
            </w:tcBorders>
          </w:tcPr>
          <w:p>
            <w:pPr>
              <w:pStyle w:val="TableParagraph"/>
              <w:spacing w:before="27"/>
              <w:ind w:right="59"/>
              <w:rPr>
                <w:b/>
                <w:sz w:val="14"/>
              </w:rPr>
            </w:pPr>
            <w:r>
              <w:rPr>
                <w:b/>
                <w:spacing w:val="-2"/>
                <w:sz w:val="14"/>
              </w:rPr>
              <w:t>26.99</w:t>
            </w:r>
          </w:p>
        </w:tc>
      </w:tr>
      <w:tr>
        <w:trPr>
          <w:trHeight w:val="225" w:hRule="atLeast"/>
        </w:trPr>
        <w:tc>
          <w:tcPr>
            <w:tcW w:w="1186" w:type="dxa"/>
            <w:tcBorders>
              <w:top w:val="single" w:sz="4" w:space="0" w:color="000000"/>
              <w:bottom w:val="single" w:sz="4" w:space="0" w:color="000000"/>
            </w:tcBorders>
          </w:tcPr>
          <w:p>
            <w:pPr>
              <w:pStyle w:val="TableParagraph"/>
              <w:spacing w:before="22"/>
              <w:ind w:left="67"/>
              <w:jc w:val="left"/>
              <w:rPr>
                <w:sz w:val="14"/>
              </w:rPr>
            </w:pPr>
            <w:r>
              <w:rPr>
                <w:spacing w:val="-5"/>
                <w:sz w:val="14"/>
              </w:rPr>
              <w:t>New</w:t>
            </w:r>
          </w:p>
        </w:tc>
        <w:tc>
          <w:tcPr>
            <w:tcW w:w="678" w:type="dxa"/>
            <w:tcBorders>
              <w:top w:val="single" w:sz="4" w:space="0" w:color="000000"/>
              <w:bottom w:val="single" w:sz="4" w:space="0" w:color="000000"/>
            </w:tcBorders>
          </w:tcPr>
          <w:p>
            <w:pPr>
              <w:pStyle w:val="TableParagraph"/>
              <w:spacing w:before="22"/>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2"/>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2"/>
              <w:ind w:right="171"/>
              <w:rPr>
                <w:sz w:val="14"/>
              </w:rPr>
            </w:pPr>
            <w:r>
              <w:rPr>
                <w:w w:val="99"/>
                <w:sz w:val="14"/>
              </w:rPr>
              <w:t>-</w:t>
            </w:r>
          </w:p>
        </w:tc>
        <w:tc>
          <w:tcPr>
            <w:tcW w:w="557" w:type="dxa"/>
            <w:tcBorders>
              <w:top w:val="single" w:sz="4" w:space="0" w:color="000000"/>
              <w:bottom w:val="single" w:sz="4" w:space="0" w:color="000000"/>
            </w:tcBorders>
          </w:tcPr>
          <w:p>
            <w:pPr>
              <w:pStyle w:val="TableParagraph"/>
              <w:spacing w:before="22"/>
              <w:ind w:right="167"/>
              <w:rPr>
                <w:sz w:val="14"/>
              </w:rPr>
            </w:pPr>
            <w:r>
              <w:rPr>
                <w:w w:val="99"/>
                <w:sz w:val="14"/>
              </w:rPr>
              <w:t>-</w:t>
            </w:r>
          </w:p>
        </w:tc>
        <w:tc>
          <w:tcPr>
            <w:tcW w:w="608" w:type="dxa"/>
            <w:tcBorders>
              <w:top w:val="single" w:sz="4" w:space="0" w:color="000000"/>
              <w:bottom w:val="single" w:sz="4" w:space="0" w:color="000000"/>
            </w:tcBorders>
          </w:tcPr>
          <w:p>
            <w:pPr>
              <w:pStyle w:val="TableParagraph"/>
              <w:spacing w:before="22"/>
              <w:ind w:right="190"/>
              <w:rPr>
                <w:sz w:val="14"/>
              </w:rPr>
            </w:pPr>
            <w:r>
              <w:rPr>
                <w:spacing w:val="-4"/>
                <w:sz w:val="14"/>
              </w:rPr>
              <w:t>0.75</w:t>
            </w:r>
          </w:p>
        </w:tc>
        <w:tc>
          <w:tcPr>
            <w:tcW w:w="565" w:type="dxa"/>
            <w:tcBorders>
              <w:top w:val="single" w:sz="4" w:space="0" w:color="000000"/>
              <w:bottom w:val="single" w:sz="4" w:space="0" w:color="000000"/>
            </w:tcBorders>
          </w:tcPr>
          <w:p>
            <w:pPr>
              <w:pStyle w:val="TableParagraph"/>
              <w:spacing w:before="22"/>
              <w:ind w:right="173"/>
              <w:rPr>
                <w:sz w:val="14"/>
              </w:rPr>
            </w:pPr>
            <w:r>
              <w:rPr>
                <w:w w:val="99"/>
                <w:sz w:val="14"/>
              </w:rPr>
              <w:t>-</w:t>
            </w:r>
          </w:p>
        </w:tc>
        <w:tc>
          <w:tcPr>
            <w:tcW w:w="635" w:type="dxa"/>
            <w:tcBorders>
              <w:top w:val="single" w:sz="4" w:space="0" w:color="000000"/>
              <w:bottom w:val="single" w:sz="4" w:space="0" w:color="000000"/>
            </w:tcBorders>
          </w:tcPr>
          <w:p>
            <w:pPr>
              <w:pStyle w:val="TableParagraph"/>
              <w:spacing w:before="22"/>
              <w:ind w:right="209"/>
              <w:rPr>
                <w:sz w:val="14"/>
              </w:rPr>
            </w:pPr>
            <w:r>
              <w:rPr>
                <w:spacing w:val="-4"/>
                <w:sz w:val="14"/>
              </w:rPr>
              <w:t>2.25</w:t>
            </w:r>
          </w:p>
        </w:tc>
        <w:tc>
          <w:tcPr>
            <w:tcW w:w="728" w:type="dxa"/>
            <w:tcBorders>
              <w:top w:val="single" w:sz="4" w:space="0" w:color="000000"/>
              <w:bottom w:val="single" w:sz="4" w:space="0" w:color="000000"/>
            </w:tcBorders>
          </w:tcPr>
          <w:p>
            <w:pPr>
              <w:pStyle w:val="TableParagraph"/>
              <w:spacing w:before="22"/>
              <w:ind w:right="197"/>
              <w:rPr>
                <w:sz w:val="14"/>
              </w:rPr>
            </w:pPr>
            <w:r>
              <w:rPr>
                <w:spacing w:val="-4"/>
                <w:sz w:val="14"/>
              </w:rPr>
              <w:t>2.25</w:t>
            </w:r>
          </w:p>
        </w:tc>
        <w:tc>
          <w:tcPr>
            <w:tcW w:w="463" w:type="dxa"/>
            <w:tcBorders>
              <w:top w:val="single" w:sz="4" w:space="0" w:color="000000"/>
              <w:bottom w:val="single" w:sz="4" w:space="0" w:color="000000"/>
            </w:tcBorders>
          </w:tcPr>
          <w:p>
            <w:pPr>
              <w:pStyle w:val="TableParagraph"/>
              <w:spacing w:before="22"/>
              <w:ind w:right="68"/>
              <w:rPr>
                <w:sz w:val="14"/>
              </w:rPr>
            </w:pPr>
            <w:r>
              <w:rPr>
                <w:w w:val="99"/>
                <w:sz w:val="14"/>
              </w:rPr>
              <w:t>-</w:t>
            </w:r>
          </w:p>
        </w:tc>
        <w:tc>
          <w:tcPr>
            <w:tcW w:w="796" w:type="dxa"/>
            <w:tcBorders>
              <w:top w:val="single" w:sz="4" w:space="0" w:color="000000"/>
              <w:bottom w:val="single" w:sz="4" w:space="0" w:color="000000"/>
            </w:tcBorders>
          </w:tcPr>
          <w:p>
            <w:pPr>
              <w:pStyle w:val="TableParagraph"/>
              <w:spacing w:before="22"/>
              <w:ind w:right="126"/>
              <w:rPr>
                <w:i/>
                <w:sz w:val="14"/>
              </w:rPr>
            </w:pPr>
            <w:r>
              <w:rPr>
                <w:i/>
                <w:spacing w:val="-4"/>
                <w:sz w:val="14"/>
              </w:rPr>
              <w:t>5.25</w:t>
            </w:r>
          </w:p>
        </w:tc>
        <w:tc>
          <w:tcPr>
            <w:tcW w:w="568" w:type="dxa"/>
            <w:tcBorders>
              <w:top w:val="single" w:sz="4" w:space="0" w:color="000000"/>
              <w:bottom w:val="single" w:sz="4" w:space="0" w:color="000000"/>
            </w:tcBorders>
          </w:tcPr>
          <w:p>
            <w:pPr>
              <w:pStyle w:val="TableParagraph"/>
              <w:spacing w:before="22"/>
              <w:ind w:right="99"/>
              <w:rPr>
                <w:sz w:val="14"/>
              </w:rPr>
            </w:pPr>
            <w:r>
              <w:rPr>
                <w:spacing w:val="-4"/>
                <w:sz w:val="14"/>
              </w:rPr>
              <w:t>0.75</w:t>
            </w:r>
          </w:p>
        </w:tc>
        <w:tc>
          <w:tcPr>
            <w:tcW w:w="578" w:type="dxa"/>
            <w:tcBorders>
              <w:top w:val="single" w:sz="4" w:space="0" w:color="000000"/>
              <w:bottom w:val="single" w:sz="4" w:space="0" w:color="000000"/>
            </w:tcBorders>
          </w:tcPr>
          <w:p>
            <w:pPr>
              <w:pStyle w:val="TableParagraph"/>
              <w:spacing w:before="22"/>
              <w:ind w:right="89"/>
              <w:rPr>
                <w:sz w:val="14"/>
              </w:rPr>
            </w:pPr>
            <w:r>
              <w:rPr>
                <w:w w:val="99"/>
                <w:sz w:val="14"/>
              </w:rPr>
              <w:t>-</w:t>
            </w:r>
          </w:p>
        </w:tc>
        <w:tc>
          <w:tcPr>
            <w:tcW w:w="566" w:type="dxa"/>
            <w:tcBorders>
              <w:top w:val="single" w:sz="4" w:space="0" w:color="000000"/>
              <w:bottom w:val="single" w:sz="4" w:space="0" w:color="000000"/>
            </w:tcBorders>
          </w:tcPr>
          <w:p>
            <w:pPr>
              <w:pStyle w:val="TableParagraph"/>
              <w:spacing w:before="22"/>
              <w:ind w:right="61"/>
              <w:rPr>
                <w:sz w:val="14"/>
              </w:rPr>
            </w:pPr>
            <w:r>
              <w:rPr>
                <w:spacing w:val="-4"/>
                <w:sz w:val="14"/>
              </w:rPr>
              <w:t>8.00</w:t>
            </w:r>
          </w:p>
        </w:tc>
        <w:tc>
          <w:tcPr>
            <w:tcW w:w="820" w:type="dxa"/>
            <w:tcBorders>
              <w:top w:val="single" w:sz="4" w:space="0" w:color="000000"/>
              <w:bottom w:val="single" w:sz="4" w:space="0" w:color="000000"/>
            </w:tcBorders>
          </w:tcPr>
          <w:p>
            <w:pPr>
              <w:pStyle w:val="TableParagraph"/>
              <w:spacing w:before="22"/>
              <w:ind w:right="142"/>
              <w:rPr>
                <w:i/>
                <w:sz w:val="14"/>
              </w:rPr>
            </w:pPr>
            <w:r>
              <w:rPr>
                <w:i/>
                <w:spacing w:val="-4"/>
                <w:sz w:val="14"/>
              </w:rPr>
              <w:t>8.75</w:t>
            </w:r>
          </w:p>
        </w:tc>
        <w:tc>
          <w:tcPr>
            <w:tcW w:w="517" w:type="dxa"/>
            <w:tcBorders>
              <w:top w:val="single" w:sz="4" w:space="0" w:color="000000"/>
              <w:bottom w:val="single" w:sz="4" w:space="0" w:color="000000"/>
            </w:tcBorders>
          </w:tcPr>
          <w:p>
            <w:pPr>
              <w:pStyle w:val="TableParagraph"/>
              <w:spacing w:before="22"/>
              <w:ind w:right="59"/>
              <w:rPr>
                <w:b/>
                <w:sz w:val="14"/>
              </w:rPr>
            </w:pPr>
            <w:r>
              <w:rPr>
                <w:b/>
                <w:spacing w:val="-2"/>
                <w:sz w:val="14"/>
              </w:rPr>
              <w:t>14.00</w:t>
            </w:r>
          </w:p>
        </w:tc>
      </w:tr>
      <w:tr>
        <w:trPr>
          <w:trHeight w:val="225" w:hRule="atLeast"/>
        </w:trPr>
        <w:tc>
          <w:tcPr>
            <w:tcW w:w="1186" w:type="dxa"/>
            <w:tcBorders>
              <w:top w:val="single" w:sz="4" w:space="0" w:color="000000"/>
              <w:bottom w:val="single" w:sz="4" w:space="0" w:color="000000"/>
            </w:tcBorders>
          </w:tcPr>
          <w:p>
            <w:pPr>
              <w:pStyle w:val="TableParagraph"/>
              <w:spacing w:before="27"/>
              <w:ind w:left="67"/>
              <w:jc w:val="left"/>
              <w:rPr>
                <w:sz w:val="14"/>
              </w:rPr>
            </w:pPr>
            <w:r>
              <w:rPr>
                <w:spacing w:val="-2"/>
                <w:sz w:val="14"/>
              </w:rPr>
              <w:t>Redeployed</w:t>
            </w:r>
          </w:p>
        </w:tc>
        <w:tc>
          <w:tcPr>
            <w:tcW w:w="678" w:type="dxa"/>
            <w:tcBorders>
              <w:top w:val="single" w:sz="4" w:space="0" w:color="000000"/>
              <w:bottom w:val="single" w:sz="4" w:space="0" w:color="000000"/>
            </w:tcBorders>
          </w:tcPr>
          <w:p>
            <w:pPr>
              <w:pStyle w:val="TableParagraph"/>
              <w:spacing w:before="27"/>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7"/>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7"/>
              <w:ind w:right="171"/>
              <w:rPr>
                <w:sz w:val="14"/>
              </w:rPr>
            </w:pPr>
            <w:r>
              <w:rPr>
                <w:w w:val="99"/>
                <w:sz w:val="14"/>
              </w:rPr>
              <w:t>-</w:t>
            </w:r>
          </w:p>
        </w:tc>
        <w:tc>
          <w:tcPr>
            <w:tcW w:w="557" w:type="dxa"/>
            <w:tcBorders>
              <w:top w:val="single" w:sz="4" w:space="0" w:color="000000"/>
              <w:bottom w:val="single" w:sz="4" w:space="0" w:color="000000"/>
            </w:tcBorders>
          </w:tcPr>
          <w:p>
            <w:pPr>
              <w:pStyle w:val="TableParagraph"/>
              <w:spacing w:before="27"/>
              <w:ind w:right="167"/>
              <w:rPr>
                <w:sz w:val="14"/>
              </w:rPr>
            </w:pPr>
            <w:r>
              <w:rPr>
                <w:w w:val="99"/>
                <w:sz w:val="14"/>
              </w:rPr>
              <w:t>-</w:t>
            </w:r>
          </w:p>
        </w:tc>
        <w:tc>
          <w:tcPr>
            <w:tcW w:w="608" w:type="dxa"/>
            <w:tcBorders>
              <w:top w:val="single" w:sz="4" w:space="0" w:color="000000"/>
              <w:bottom w:val="single" w:sz="4" w:space="0" w:color="000000"/>
            </w:tcBorders>
          </w:tcPr>
          <w:p>
            <w:pPr>
              <w:pStyle w:val="TableParagraph"/>
              <w:spacing w:before="27"/>
              <w:ind w:right="193"/>
              <w:rPr>
                <w:sz w:val="14"/>
              </w:rPr>
            </w:pPr>
            <w:r>
              <w:rPr>
                <w:w w:val="99"/>
                <w:sz w:val="14"/>
              </w:rPr>
              <w:t>-</w:t>
            </w:r>
          </w:p>
        </w:tc>
        <w:tc>
          <w:tcPr>
            <w:tcW w:w="565" w:type="dxa"/>
            <w:tcBorders>
              <w:top w:val="single" w:sz="4" w:space="0" w:color="000000"/>
              <w:bottom w:val="single" w:sz="4" w:space="0" w:color="000000"/>
            </w:tcBorders>
          </w:tcPr>
          <w:p>
            <w:pPr>
              <w:pStyle w:val="TableParagraph"/>
              <w:spacing w:before="27"/>
              <w:ind w:right="173"/>
              <w:rPr>
                <w:sz w:val="14"/>
              </w:rPr>
            </w:pPr>
            <w:r>
              <w:rPr>
                <w:w w:val="99"/>
                <w:sz w:val="14"/>
              </w:rPr>
              <w:t>-</w:t>
            </w:r>
          </w:p>
        </w:tc>
        <w:tc>
          <w:tcPr>
            <w:tcW w:w="635" w:type="dxa"/>
            <w:tcBorders>
              <w:top w:val="single" w:sz="4" w:space="0" w:color="000000"/>
              <w:bottom w:val="single" w:sz="4" w:space="0" w:color="000000"/>
            </w:tcBorders>
          </w:tcPr>
          <w:p>
            <w:pPr>
              <w:pStyle w:val="TableParagraph"/>
              <w:spacing w:before="27"/>
              <w:ind w:right="212"/>
              <w:rPr>
                <w:sz w:val="14"/>
              </w:rPr>
            </w:pPr>
            <w:r>
              <w:rPr>
                <w:w w:val="99"/>
                <w:sz w:val="14"/>
              </w:rPr>
              <w:t>-</w:t>
            </w:r>
          </w:p>
        </w:tc>
        <w:tc>
          <w:tcPr>
            <w:tcW w:w="728" w:type="dxa"/>
            <w:tcBorders>
              <w:top w:val="single" w:sz="4" w:space="0" w:color="000000"/>
              <w:bottom w:val="single" w:sz="4" w:space="0" w:color="000000"/>
            </w:tcBorders>
          </w:tcPr>
          <w:p>
            <w:pPr>
              <w:pStyle w:val="TableParagraph"/>
              <w:spacing w:before="27"/>
              <w:ind w:right="201"/>
              <w:rPr>
                <w:sz w:val="14"/>
              </w:rPr>
            </w:pPr>
            <w:r>
              <w:rPr>
                <w:w w:val="99"/>
                <w:sz w:val="14"/>
              </w:rPr>
              <w:t>-</w:t>
            </w:r>
          </w:p>
        </w:tc>
        <w:tc>
          <w:tcPr>
            <w:tcW w:w="463" w:type="dxa"/>
            <w:tcBorders>
              <w:top w:val="single" w:sz="4" w:space="0" w:color="000000"/>
              <w:bottom w:val="single" w:sz="4" w:space="0" w:color="000000"/>
            </w:tcBorders>
          </w:tcPr>
          <w:p>
            <w:pPr>
              <w:pStyle w:val="TableParagraph"/>
              <w:spacing w:before="27"/>
              <w:ind w:right="68"/>
              <w:rPr>
                <w:sz w:val="14"/>
              </w:rPr>
            </w:pPr>
            <w:r>
              <w:rPr>
                <w:w w:val="99"/>
                <w:sz w:val="14"/>
              </w:rPr>
              <w:t>-</w:t>
            </w:r>
          </w:p>
        </w:tc>
        <w:tc>
          <w:tcPr>
            <w:tcW w:w="796" w:type="dxa"/>
            <w:tcBorders>
              <w:top w:val="single" w:sz="4" w:space="0" w:color="000000"/>
              <w:bottom w:val="single" w:sz="4" w:space="0" w:color="000000"/>
            </w:tcBorders>
          </w:tcPr>
          <w:p>
            <w:pPr>
              <w:pStyle w:val="TableParagraph"/>
              <w:spacing w:before="27"/>
              <w:ind w:right="129"/>
              <w:rPr>
                <w:i/>
                <w:sz w:val="14"/>
              </w:rPr>
            </w:pPr>
            <w:r>
              <w:rPr>
                <w:i/>
                <w:w w:val="99"/>
                <w:sz w:val="14"/>
              </w:rPr>
              <w:t>-</w:t>
            </w:r>
          </w:p>
        </w:tc>
        <w:tc>
          <w:tcPr>
            <w:tcW w:w="568" w:type="dxa"/>
            <w:tcBorders>
              <w:top w:val="single" w:sz="4" w:space="0" w:color="000000"/>
              <w:bottom w:val="single" w:sz="4" w:space="0" w:color="000000"/>
            </w:tcBorders>
          </w:tcPr>
          <w:p>
            <w:pPr>
              <w:pStyle w:val="TableParagraph"/>
              <w:spacing w:before="27"/>
              <w:ind w:right="102"/>
              <w:rPr>
                <w:sz w:val="14"/>
              </w:rPr>
            </w:pPr>
            <w:r>
              <w:rPr>
                <w:w w:val="99"/>
                <w:sz w:val="14"/>
              </w:rPr>
              <w:t>-</w:t>
            </w:r>
          </w:p>
        </w:tc>
        <w:tc>
          <w:tcPr>
            <w:tcW w:w="578" w:type="dxa"/>
            <w:tcBorders>
              <w:top w:val="single" w:sz="4" w:space="0" w:color="000000"/>
              <w:bottom w:val="single" w:sz="4" w:space="0" w:color="000000"/>
            </w:tcBorders>
          </w:tcPr>
          <w:p>
            <w:pPr>
              <w:pStyle w:val="TableParagraph"/>
              <w:spacing w:before="27"/>
              <w:ind w:right="89"/>
              <w:rPr>
                <w:sz w:val="14"/>
              </w:rPr>
            </w:pPr>
            <w:r>
              <w:rPr>
                <w:w w:val="99"/>
                <w:sz w:val="14"/>
              </w:rPr>
              <w:t>-</w:t>
            </w:r>
          </w:p>
        </w:tc>
        <w:tc>
          <w:tcPr>
            <w:tcW w:w="566" w:type="dxa"/>
            <w:tcBorders>
              <w:top w:val="single" w:sz="4" w:space="0" w:color="000000"/>
              <w:bottom w:val="single" w:sz="4" w:space="0" w:color="000000"/>
            </w:tcBorders>
          </w:tcPr>
          <w:p>
            <w:pPr>
              <w:pStyle w:val="TableParagraph"/>
              <w:spacing w:before="27"/>
              <w:ind w:right="61"/>
              <w:rPr>
                <w:sz w:val="14"/>
              </w:rPr>
            </w:pPr>
            <w:r>
              <w:rPr>
                <w:spacing w:val="-4"/>
                <w:sz w:val="14"/>
              </w:rPr>
              <w:t>0.25</w:t>
            </w:r>
          </w:p>
        </w:tc>
        <w:tc>
          <w:tcPr>
            <w:tcW w:w="820" w:type="dxa"/>
            <w:tcBorders>
              <w:top w:val="single" w:sz="4" w:space="0" w:color="000000"/>
              <w:bottom w:val="single" w:sz="4" w:space="0" w:color="000000"/>
            </w:tcBorders>
          </w:tcPr>
          <w:p>
            <w:pPr>
              <w:pStyle w:val="TableParagraph"/>
              <w:spacing w:before="27"/>
              <w:ind w:right="142"/>
              <w:rPr>
                <w:i/>
                <w:sz w:val="14"/>
              </w:rPr>
            </w:pPr>
            <w:r>
              <w:rPr>
                <w:i/>
                <w:spacing w:val="-4"/>
                <w:sz w:val="14"/>
              </w:rPr>
              <w:t>0.25</w:t>
            </w:r>
          </w:p>
        </w:tc>
        <w:tc>
          <w:tcPr>
            <w:tcW w:w="517" w:type="dxa"/>
            <w:tcBorders>
              <w:top w:val="single" w:sz="4" w:space="0" w:color="000000"/>
              <w:bottom w:val="single" w:sz="4" w:space="0" w:color="000000"/>
            </w:tcBorders>
          </w:tcPr>
          <w:p>
            <w:pPr>
              <w:pStyle w:val="TableParagraph"/>
              <w:spacing w:before="27"/>
              <w:ind w:right="59"/>
              <w:rPr>
                <w:b/>
                <w:sz w:val="14"/>
              </w:rPr>
            </w:pPr>
            <w:r>
              <w:rPr>
                <w:b/>
                <w:spacing w:val="-4"/>
                <w:sz w:val="14"/>
              </w:rPr>
              <w:t>0.25</w:t>
            </w:r>
          </w:p>
        </w:tc>
      </w:tr>
      <w:tr>
        <w:trPr>
          <w:trHeight w:val="230" w:hRule="atLeast"/>
        </w:trPr>
        <w:tc>
          <w:tcPr>
            <w:tcW w:w="1186" w:type="dxa"/>
            <w:tcBorders>
              <w:top w:val="single" w:sz="4" w:space="0" w:color="000000"/>
              <w:bottom w:val="single" w:sz="4" w:space="0" w:color="000000"/>
            </w:tcBorders>
          </w:tcPr>
          <w:p>
            <w:pPr>
              <w:pStyle w:val="TableParagraph"/>
              <w:spacing w:before="27"/>
              <w:ind w:left="67"/>
              <w:jc w:val="left"/>
              <w:rPr>
                <w:sz w:val="14"/>
              </w:rPr>
            </w:pPr>
            <w:r>
              <w:rPr>
                <w:spacing w:val="-2"/>
                <w:sz w:val="14"/>
              </w:rPr>
              <w:t>Reclassified</w:t>
            </w:r>
          </w:p>
        </w:tc>
        <w:tc>
          <w:tcPr>
            <w:tcW w:w="678" w:type="dxa"/>
            <w:tcBorders>
              <w:top w:val="single" w:sz="4" w:space="0" w:color="000000"/>
              <w:bottom w:val="single" w:sz="4" w:space="0" w:color="000000"/>
            </w:tcBorders>
          </w:tcPr>
          <w:p>
            <w:pPr>
              <w:pStyle w:val="TableParagraph"/>
              <w:spacing w:before="27"/>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7"/>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7"/>
              <w:ind w:right="171"/>
              <w:rPr>
                <w:sz w:val="14"/>
              </w:rPr>
            </w:pPr>
            <w:r>
              <w:rPr>
                <w:w w:val="99"/>
                <w:sz w:val="14"/>
              </w:rPr>
              <w:t>-</w:t>
            </w:r>
          </w:p>
        </w:tc>
        <w:tc>
          <w:tcPr>
            <w:tcW w:w="557" w:type="dxa"/>
            <w:tcBorders>
              <w:top w:val="single" w:sz="4" w:space="0" w:color="000000"/>
              <w:bottom w:val="single" w:sz="4" w:space="0" w:color="000000"/>
            </w:tcBorders>
          </w:tcPr>
          <w:p>
            <w:pPr>
              <w:pStyle w:val="TableParagraph"/>
              <w:spacing w:before="27"/>
              <w:ind w:right="167"/>
              <w:rPr>
                <w:sz w:val="14"/>
              </w:rPr>
            </w:pPr>
            <w:r>
              <w:rPr>
                <w:w w:val="99"/>
                <w:sz w:val="14"/>
              </w:rPr>
              <w:t>-</w:t>
            </w:r>
          </w:p>
        </w:tc>
        <w:tc>
          <w:tcPr>
            <w:tcW w:w="608" w:type="dxa"/>
            <w:tcBorders>
              <w:top w:val="single" w:sz="4" w:space="0" w:color="000000"/>
              <w:bottom w:val="single" w:sz="4" w:space="0" w:color="000000"/>
            </w:tcBorders>
          </w:tcPr>
          <w:p>
            <w:pPr>
              <w:pStyle w:val="TableParagraph"/>
              <w:spacing w:before="27"/>
              <w:ind w:right="193"/>
              <w:rPr>
                <w:sz w:val="14"/>
              </w:rPr>
            </w:pPr>
            <w:r>
              <w:rPr>
                <w:w w:val="99"/>
                <w:sz w:val="14"/>
              </w:rPr>
              <w:t>-</w:t>
            </w:r>
          </w:p>
        </w:tc>
        <w:tc>
          <w:tcPr>
            <w:tcW w:w="565" w:type="dxa"/>
            <w:tcBorders>
              <w:top w:val="single" w:sz="4" w:space="0" w:color="000000"/>
              <w:bottom w:val="single" w:sz="4" w:space="0" w:color="000000"/>
            </w:tcBorders>
          </w:tcPr>
          <w:p>
            <w:pPr>
              <w:pStyle w:val="TableParagraph"/>
              <w:spacing w:before="27"/>
              <w:ind w:right="173"/>
              <w:rPr>
                <w:sz w:val="14"/>
              </w:rPr>
            </w:pPr>
            <w:r>
              <w:rPr>
                <w:w w:val="99"/>
                <w:sz w:val="14"/>
              </w:rPr>
              <w:t>-</w:t>
            </w:r>
          </w:p>
        </w:tc>
        <w:tc>
          <w:tcPr>
            <w:tcW w:w="635" w:type="dxa"/>
            <w:tcBorders>
              <w:top w:val="single" w:sz="4" w:space="0" w:color="000000"/>
              <w:bottom w:val="single" w:sz="4" w:space="0" w:color="000000"/>
            </w:tcBorders>
          </w:tcPr>
          <w:p>
            <w:pPr>
              <w:pStyle w:val="TableParagraph"/>
              <w:spacing w:before="27"/>
              <w:ind w:right="212"/>
              <w:rPr>
                <w:sz w:val="14"/>
              </w:rPr>
            </w:pPr>
            <w:r>
              <w:rPr>
                <w:w w:val="99"/>
                <w:sz w:val="14"/>
              </w:rPr>
              <w:t>-</w:t>
            </w:r>
          </w:p>
        </w:tc>
        <w:tc>
          <w:tcPr>
            <w:tcW w:w="728" w:type="dxa"/>
            <w:tcBorders>
              <w:top w:val="single" w:sz="4" w:space="0" w:color="000000"/>
              <w:bottom w:val="single" w:sz="4" w:space="0" w:color="000000"/>
            </w:tcBorders>
          </w:tcPr>
          <w:p>
            <w:pPr>
              <w:pStyle w:val="TableParagraph"/>
              <w:spacing w:before="27"/>
              <w:ind w:right="201"/>
              <w:rPr>
                <w:sz w:val="14"/>
              </w:rPr>
            </w:pPr>
            <w:r>
              <w:rPr>
                <w:w w:val="99"/>
                <w:sz w:val="14"/>
              </w:rPr>
              <w:t>-</w:t>
            </w:r>
          </w:p>
        </w:tc>
        <w:tc>
          <w:tcPr>
            <w:tcW w:w="463" w:type="dxa"/>
            <w:tcBorders>
              <w:top w:val="single" w:sz="4" w:space="0" w:color="000000"/>
              <w:bottom w:val="single" w:sz="4" w:space="0" w:color="000000"/>
            </w:tcBorders>
          </w:tcPr>
          <w:p>
            <w:pPr>
              <w:pStyle w:val="TableParagraph"/>
              <w:spacing w:before="27"/>
              <w:ind w:right="68"/>
              <w:rPr>
                <w:sz w:val="14"/>
              </w:rPr>
            </w:pPr>
            <w:r>
              <w:rPr>
                <w:w w:val="99"/>
                <w:sz w:val="14"/>
              </w:rPr>
              <w:t>-</w:t>
            </w:r>
          </w:p>
        </w:tc>
        <w:tc>
          <w:tcPr>
            <w:tcW w:w="796" w:type="dxa"/>
            <w:tcBorders>
              <w:top w:val="single" w:sz="4" w:space="0" w:color="000000"/>
              <w:bottom w:val="single" w:sz="4" w:space="0" w:color="000000"/>
            </w:tcBorders>
          </w:tcPr>
          <w:p>
            <w:pPr>
              <w:pStyle w:val="TableParagraph"/>
              <w:spacing w:before="27"/>
              <w:ind w:right="129"/>
              <w:rPr>
                <w:i/>
                <w:sz w:val="14"/>
              </w:rPr>
            </w:pPr>
            <w:r>
              <w:rPr>
                <w:i/>
                <w:w w:val="99"/>
                <w:sz w:val="14"/>
              </w:rPr>
              <w:t>-</w:t>
            </w:r>
          </w:p>
        </w:tc>
        <w:tc>
          <w:tcPr>
            <w:tcW w:w="568" w:type="dxa"/>
            <w:tcBorders>
              <w:top w:val="single" w:sz="4" w:space="0" w:color="000000"/>
              <w:bottom w:val="single" w:sz="4" w:space="0" w:color="000000"/>
            </w:tcBorders>
          </w:tcPr>
          <w:p>
            <w:pPr>
              <w:pStyle w:val="TableParagraph"/>
              <w:spacing w:before="27"/>
              <w:ind w:right="102"/>
              <w:rPr>
                <w:sz w:val="14"/>
              </w:rPr>
            </w:pPr>
            <w:r>
              <w:rPr>
                <w:w w:val="99"/>
                <w:sz w:val="14"/>
              </w:rPr>
              <w:t>-</w:t>
            </w:r>
          </w:p>
        </w:tc>
        <w:tc>
          <w:tcPr>
            <w:tcW w:w="578" w:type="dxa"/>
            <w:tcBorders>
              <w:top w:val="single" w:sz="4" w:space="0" w:color="000000"/>
              <w:bottom w:val="single" w:sz="4" w:space="0" w:color="000000"/>
            </w:tcBorders>
          </w:tcPr>
          <w:p>
            <w:pPr>
              <w:pStyle w:val="TableParagraph"/>
              <w:spacing w:before="27"/>
              <w:ind w:right="89"/>
              <w:rPr>
                <w:sz w:val="14"/>
              </w:rPr>
            </w:pPr>
            <w:r>
              <w:rPr>
                <w:w w:val="99"/>
                <w:sz w:val="14"/>
              </w:rPr>
              <w:t>-</w:t>
            </w:r>
          </w:p>
        </w:tc>
        <w:tc>
          <w:tcPr>
            <w:tcW w:w="566" w:type="dxa"/>
            <w:tcBorders>
              <w:top w:val="single" w:sz="4" w:space="0" w:color="000000"/>
              <w:bottom w:val="single" w:sz="4" w:space="0" w:color="000000"/>
            </w:tcBorders>
          </w:tcPr>
          <w:p>
            <w:pPr>
              <w:pStyle w:val="TableParagraph"/>
              <w:spacing w:before="27"/>
              <w:ind w:right="65"/>
              <w:rPr>
                <w:sz w:val="14"/>
              </w:rPr>
            </w:pPr>
            <w:r>
              <w:rPr>
                <w:w w:val="99"/>
                <w:sz w:val="14"/>
              </w:rPr>
              <w:t>-</w:t>
            </w:r>
          </w:p>
        </w:tc>
        <w:tc>
          <w:tcPr>
            <w:tcW w:w="820" w:type="dxa"/>
            <w:tcBorders>
              <w:top w:val="single" w:sz="4" w:space="0" w:color="000000"/>
              <w:bottom w:val="single" w:sz="4" w:space="0" w:color="000000"/>
            </w:tcBorders>
          </w:tcPr>
          <w:p>
            <w:pPr>
              <w:pStyle w:val="TableParagraph"/>
              <w:spacing w:before="27"/>
              <w:ind w:right="145"/>
              <w:rPr>
                <w:i/>
                <w:sz w:val="14"/>
              </w:rPr>
            </w:pPr>
            <w:r>
              <w:rPr>
                <w:i/>
                <w:w w:val="99"/>
                <w:sz w:val="14"/>
              </w:rPr>
              <w:t>-</w:t>
            </w:r>
          </w:p>
        </w:tc>
        <w:tc>
          <w:tcPr>
            <w:tcW w:w="517" w:type="dxa"/>
            <w:tcBorders>
              <w:top w:val="single" w:sz="4" w:space="0" w:color="000000"/>
              <w:bottom w:val="single" w:sz="4" w:space="0" w:color="000000"/>
            </w:tcBorders>
          </w:tcPr>
          <w:p>
            <w:pPr>
              <w:pStyle w:val="TableParagraph"/>
              <w:spacing w:before="27"/>
              <w:ind w:right="62"/>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2"/>
              <w:ind w:left="67"/>
              <w:jc w:val="left"/>
              <w:rPr>
                <w:sz w:val="14"/>
              </w:rPr>
            </w:pPr>
            <w:r>
              <w:rPr>
                <w:spacing w:val="-2"/>
                <w:sz w:val="14"/>
              </w:rPr>
              <w:t>Converted</w:t>
            </w:r>
          </w:p>
        </w:tc>
        <w:tc>
          <w:tcPr>
            <w:tcW w:w="678" w:type="dxa"/>
            <w:tcBorders>
              <w:top w:val="single" w:sz="4" w:space="0" w:color="000000"/>
              <w:bottom w:val="single" w:sz="4" w:space="0" w:color="000000"/>
            </w:tcBorders>
          </w:tcPr>
          <w:p>
            <w:pPr>
              <w:pStyle w:val="TableParagraph"/>
              <w:spacing w:before="22"/>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2"/>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2"/>
              <w:ind w:right="171"/>
              <w:rPr>
                <w:sz w:val="14"/>
              </w:rPr>
            </w:pPr>
            <w:r>
              <w:rPr>
                <w:w w:val="99"/>
                <w:sz w:val="14"/>
              </w:rPr>
              <w:t>-</w:t>
            </w:r>
          </w:p>
        </w:tc>
        <w:tc>
          <w:tcPr>
            <w:tcW w:w="557" w:type="dxa"/>
            <w:tcBorders>
              <w:top w:val="single" w:sz="4" w:space="0" w:color="000000"/>
              <w:bottom w:val="single" w:sz="4" w:space="0" w:color="000000"/>
            </w:tcBorders>
          </w:tcPr>
          <w:p>
            <w:pPr>
              <w:pStyle w:val="TableParagraph"/>
              <w:spacing w:before="22"/>
              <w:ind w:right="167"/>
              <w:rPr>
                <w:sz w:val="14"/>
              </w:rPr>
            </w:pPr>
            <w:r>
              <w:rPr>
                <w:w w:val="99"/>
                <w:sz w:val="14"/>
              </w:rPr>
              <w:t>-</w:t>
            </w:r>
          </w:p>
        </w:tc>
        <w:tc>
          <w:tcPr>
            <w:tcW w:w="608" w:type="dxa"/>
            <w:tcBorders>
              <w:top w:val="single" w:sz="4" w:space="0" w:color="000000"/>
              <w:bottom w:val="single" w:sz="4" w:space="0" w:color="000000"/>
            </w:tcBorders>
          </w:tcPr>
          <w:p>
            <w:pPr>
              <w:pStyle w:val="TableParagraph"/>
              <w:spacing w:before="22"/>
              <w:ind w:right="193"/>
              <w:rPr>
                <w:sz w:val="14"/>
              </w:rPr>
            </w:pPr>
            <w:r>
              <w:rPr>
                <w:w w:val="99"/>
                <w:sz w:val="14"/>
              </w:rPr>
              <w:t>-</w:t>
            </w:r>
          </w:p>
        </w:tc>
        <w:tc>
          <w:tcPr>
            <w:tcW w:w="565" w:type="dxa"/>
            <w:tcBorders>
              <w:top w:val="single" w:sz="4" w:space="0" w:color="000000"/>
              <w:bottom w:val="single" w:sz="4" w:space="0" w:color="000000"/>
            </w:tcBorders>
          </w:tcPr>
          <w:p>
            <w:pPr>
              <w:pStyle w:val="TableParagraph"/>
              <w:spacing w:before="22"/>
              <w:ind w:right="173"/>
              <w:rPr>
                <w:sz w:val="14"/>
              </w:rPr>
            </w:pPr>
            <w:r>
              <w:rPr>
                <w:w w:val="99"/>
                <w:sz w:val="14"/>
              </w:rPr>
              <w:t>-</w:t>
            </w:r>
          </w:p>
        </w:tc>
        <w:tc>
          <w:tcPr>
            <w:tcW w:w="635" w:type="dxa"/>
            <w:tcBorders>
              <w:top w:val="single" w:sz="4" w:space="0" w:color="000000"/>
              <w:bottom w:val="single" w:sz="4" w:space="0" w:color="000000"/>
            </w:tcBorders>
          </w:tcPr>
          <w:p>
            <w:pPr>
              <w:pStyle w:val="TableParagraph"/>
              <w:spacing w:before="22"/>
              <w:ind w:right="212"/>
              <w:rPr>
                <w:sz w:val="14"/>
              </w:rPr>
            </w:pPr>
            <w:r>
              <w:rPr>
                <w:w w:val="99"/>
                <w:sz w:val="14"/>
              </w:rPr>
              <w:t>-</w:t>
            </w:r>
          </w:p>
        </w:tc>
        <w:tc>
          <w:tcPr>
            <w:tcW w:w="728" w:type="dxa"/>
            <w:tcBorders>
              <w:top w:val="single" w:sz="4" w:space="0" w:color="000000"/>
              <w:bottom w:val="single" w:sz="4" w:space="0" w:color="000000"/>
            </w:tcBorders>
          </w:tcPr>
          <w:p>
            <w:pPr>
              <w:pStyle w:val="TableParagraph"/>
              <w:spacing w:before="22"/>
              <w:ind w:right="201"/>
              <w:rPr>
                <w:sz w:val="14"/>
              </w:rPr>
            </w:pPr>
            <w:r>
              <w:rPr>
                <w:w w:val="99"/>
                <w:sz w:val="14"/>
              </w:rPr>
              <w:t>-</w:t>
            </w:r>
          </w:p>
        </w:tc>
        <w:tc>
          <w:tcPr>
            <w:tcW w:w="463" w:type="dxa"/>
            <w:tcBorders>
              <w:top w:val="single" w:sz="4" w:space="0" w:color="000000"/>
              <w:bottom w:val="single" w:sz="4" w:space="0" w:color="000000"/>
            </w:tcBorders>
          </w:tcPr>
          <w:p>
            <w:pPr>
              <w:pStyle w:val="TableParagraph"/>
              <w:spacing w:before="22"/>
              <w:ind w:right="68"/>
              <w:rPr>
                <w:sz w:val="14"/>
              </w:rPr>
            </w:pPr>
            <w:r>
              <w:rPr>
                <w:w w:val="99"/>
                <w:sz w:val="14"/>
              </w:rPr>
              <w:t>-</w:t>
            </w:r>
          </w:p>
        </w:tc>
        <w:tc>
          <w:tcPr>
            <w:tcW w:w="796" w:type="dxa"/>
            <w:tcBorders>
              <w:top w:val="single" w:sz="4" w:space="0" w:color="000000"/>
              <w:bottom w:val="single" w:sz="4" w:space="0" w:color="000000"/>
            </w:tcBorders>
          </w:tcPr>
          <w:p>
            <w:pPr>
              <w:pStyle w:val="TableParagraph"/>
              <w:spacing w:before="22"/>
              <w:ind w:right="129"/>
              <w:rPr>
                <w:i/>
                <w:sz w:val="14"/>
              </w:rPr>
            </w:pPr>
            <w:r>
              <w:rPr>
                <w:i/>
                <w:w w:val="99"/>
                <w:sz w:val="14"/>
              </w:rPr>
              <w:t>-</w:t>
            </w:r>
          </w:p>
        </w:tc>
        <w:tc>
          <w:tcPr>
            <w:tcW w:w="568" w:type="dxa"/>
            <w:tcBorders>
              <w:top w:val="single" w:sz="4" w:space="0" w:color="000000"/>
              <w:bottom w:val="single" w:sz="4" w:space="0" w:color="000000"/>
            </w:tcBorders>
          </w:tcPr>
          <w:p>
            <w:pPr>
              <w:pStyle w:val="TableParagraph"/>
              <w:spacing w:before="22"/>
              <w:ind w:right="102"/>
              <w:rPr>
                <w:sz w:val="14"/>
              </w:rPr>
            </w:pPr>
            <w:r>
              <w:rPr>
                <w:w w:val="99"/>
                <w:sz w:val="14"/>
              </w:rPr>
              <w:t>-</w:t>
            </w:r>
          </w:p>
        </w:tc>
        <w:tc>
          <w:tcPr>
            <w:tcW w:w="578" w:type="dxa"/>
            <w:tcBorders>
              <w:top w:val="single" w:sz="4" w:space="0" w:color="000000"/>
              <w:bottom w:val="single" w:sz="4" w:space="0" w:color="000000"/>
            </w:tcBorders>
          </w:tcPr>
          <w:p>
            <w:pPr>
              <w:pStyle w:val="TableParagraph"/>
              <w:spacing w:before="22"/>
              <w:ind w:right="89"/>
              <w:rPr>
                <w:sz w:val="14"/>
              </w:rPr>
            </w:pPr>
            <w:r>
              <w:rPr>
                <w:w w:val="99"/>
                <w:sz w:val="14"/>
              </w:rPr>
              <w:t>-</w:t>
            </w:r>
          </w:p>
        </w:tc>
        <w:tc>
          <w:tcPr>
            <w:tcW w:w="566" w:type="dxa"/>
            <w:tcBorders>
              <w:top w:val="single" w:sz="4" w:space="0" w:color="000000"/>
              <w:bottom w:val="single" w:sz="4" w:space="0" w:color="000000"/>
            </w:tcBorders>
          </w:tcPr>
          <w:p>
            <w:pPr>
              <w:pStyle w:val="TableParagraph"/>
              <w:spacing w:before="22"/>
              <w:ind w:right="65"/>
              <w:rPr>
                <w:sz w:val="14"/>
              </w:rPr>
            </w:pPr>
            <w:r>
              <w:rPr>
                <w:w w:val="99"/>
                <w:sz w:val="14"/>
              </w:rPr>
              <w:t>-</w:t>
            </w:r>
          </w:p>
        </w:tc>
        <w:tc>
          <w:tcPr>
            <w:tcW w:w="820" w:type="dxa"/>
            <w:tcBorders>
              <w:top w:val="single" w:sz="4" w:space="0" w:color="000000"/>
              <w:bottom w:val="single" w:sz="4" w:space="0" w:color="000000"/>
            </w:tcBorders>
          </w:tcPr>
          <w:p>
            <w:pPr>
              <w:pStyle w:val="TableParagraph"/>
              <w:spacing w:before="22"/>
              <w:ind w:right="145"/>
              <w:rPr>
                <w:i/>
                <w:sz w:val="14"/>
              </w:rPr>
            </w:pPr>
            <w:r>
              <w:rPr>
                <w:i/>
                <w:w w:val="99"/>
                <w:sz w:val="14"/>
              </w:rPr>
              <w:t>-</w:t>
            </w:r>
          </w:p>
        </w:tc>
        <w:tc>
          <w:tcPr>
            <w:tcW w:w="517" w:type="dxa"/>
            <w:tcBorders>
              <w:top w:val="single" w:sz="4" w:space="0" w:color="000000"/>
              <w:bottom w:val="single" w:sz="4" w:space="0" w:color="000000"/>
            </w:tcBorders>
          </w:tcPr>
          <w:p>
            <w:pPr>
              <w:pStyle w:val="TableParagraph"/>
              <w:spacing w:before="22"/>
              <w:ind w:right="62"/>
              <w:rPr>
                <w:b/>
                <w:sz w:val="14"/>
              </w:rPr>
            </w:pPr>
            <w:r>
              <w:rPr>
                <w:b/>
                <w:w w:val="99"/>
                <w:sz w:val="14"/>
              </w:rPr>
              <w:t>-</w:t>
            </w:r>
          </w:p>
        </w:tc>
      </w:tr>
      <w:tr>
        <w:trPr>
          <w:trHeight w:val="229" w:hRule="atLeast"/>
        </w:trPr>
        <w:tc>
          <w:tcPr>
            <w:tcW w:w="1186" w:type="dxa"/>
            <w:tcBorders>
              <w:top w:val="single" w:sz="4" w:space="0" w:color="000000"/>
              <w:bottom w:val="single" w:sz="12" w:space="0" w:color="000000"/>
            </w:tcBorders>
          </w:tcPr>
          <w:p>
            <w:pPr>
              <w:pStyle w:val="TableParagraph"/>
              <w:spacing w:before="27"/>
              <w:ind w:left="67"/>
              <w:jc w:val="left"/>
              <w:rPr>
                <w:b/>
                <w:sz w:val="14"/>
              </w:rPr>
            </w:pPr>
            <w:r>
              <w:rPr>
                <w:b/>
                <w:sz w:val="14"/>
              </w:rPr>
              <w:t>Proposed</w:t>
            </w:r>
            <w:r>
              <w:rPr>
                <w:b/>
                <w:spacing w:val="-6"/>
                <w:sz w:val="14"/>
              </w:rPr>
              <w:t> </w:t>
            </w:r>
            <w:r>
              <w:rPr>
                <w:b/>
                <w:spacing w:val="-4"/>
                <w:sz w:val="14"/>
              </w:rPr>
              <w:t>2023</w:t>
            </w:r>
          </w:p>
        </w:tc>
        <w:tc>
          <w:tcPr>
            <w:tcW w:w="678" w:type="dxa"/>
            <w:tcBorders>
              <w:top w:val="single" w:sz="4" w:space="0" w:color="000000"/>
              <w:bottom w:val="single" w:sz="12" w:space="0" w:color="000000"/>
            </w:tcBorders>
          </w:tcPr>
          <w:p>
            <w:pPr>
              <w:pStyle w:val="TableParagraph"/>
              <w:spacing w:before="27"/>
              <w:ind w:right="154"/>
              <w:rPr>
                <w:b/>
                <w:sz w:val="14"/>
              </w:rPr>
            </w:pPr>
            <w:r>
              <w:rPr>
                <w:b/>
                <w:w w:val="99"/>
                <w:sz w:val="14"/>
              </w:rPr>
              <w:t>-</w:t>
            </w:r>
          </w:p>
        </w:tc>
        <w:tc>
          <w:tcPr>
            <w:tcW w:w="607" w:type="dxa"/>
            <w:tcBorders>
              <w:top w:val="single" w:sz="4" w:space="0" w:color="000000"/>
              <w:bottom w:val="single" w:sz="12" w:space="0" w:color="000000"/>
            </w:tcBorders>
          </w:tcPr>
          <w:p>
            <w:pPr>
              <w:pStyle w:val="TableParagraph"/>
              <w:spacing w:before="27"/>
              <w:ind w:right="170"/>
              <w:rPr>
                <w:b/>
                <w:sz w:val="14"/>
              </w:rPr>
            </w:pPr>
            <w:r>
              <w:rPr>
                <w:b/>
                <w:w w:val="99"/>
                <w:sz w:val="14"/>
              </w:rPr>
              <w:t>-</w:t>
            </w:r>
          </w:p>
        </w:tc>
        <w:tc>
          <w:tcPr>
            <w:tcW w:w="563" w:type="dxa"/>
            <w:tcBorders>
              <w:top w:val="single" w:sz="4" w:space="0" w:color="000000"/>
              <w:bottom w:val="single" w:sz="12" w:space="0" w:color="000000"/>
            </w:tcBorders>
          </w:tcPr>
          <w:p>
            <w:pPr>
              <w:pStyle w:val="TableParagraph"/>
              <w:spacing w:before="27"/>
              <w:ind w:right="171"/>
              <w:rPr>
                <w:b/>
                <w:sz w:val="14"/>
              </w:rPr>
            </w:pPr>
            <w:r>
              <w:rPr>
                <w:b/>
                <w:w w:val="99"/>
                <w:sz w:val="14"/>
              </w:rPr>
              <w:t>-</w:t>
            </w:r>
          </w:p>
        </w:tc>
        <w:tc>
          <w:tcPr>
            <w:tcW w:w="557" w:type="dxa"/>
            <w:tcBorders>
              <w:top w:val="single" w:sz="4" w:space="0" w:color="000000"/>
              <w:bottom w:val="single" w:sz="12" w:space="0" w:color="000000"/>
            </w:tcBorders>
          </w:tcPr>
          <w:p>
            <w:pPr>
              <w:pStyle w:val="TableParagraph"/>
              <w:spacing w:before="27"/>
              <w:ind w:right="167"/>
              <w:rPr>
                <w:b/>
                <w:sz w:val="14"/>
              </w:rPr>
            </w:pPr>
            <w:r>
              <w:rPr>
                <w:b/>
                <w:w w:val="99"/>
                <w:sz w:val="14"/>
              </w:rPr>
              <w:t>-</w:t>
            </w:r>
          </w:p>
        </w:tc>
        <w:tc>
          <w:tcPr>
            <w:tcW w:w="608" w:type="dxa"/>
            <w:tcBorders>
              <w:top w:val="single" w:sz="4" w:space="0" w:color="000000"/>
              <w:bottom w:val="single" w:sz="12" w:space="0" w:color="000000"/>
            </w:tcBorders>
          </w:tcPr>
          <w:p>
            <w:pPr>
              <w:pStyle w:val="TableParagraph"/>
              <w:spacing w:before="27"/>
              <w:ind w:right="190"/>
              <w:rPr>
                <w:b/>
                <w:sz w:val="14"/>
              </w:rPr>
            </w:pPr>
            <w:r>
              <w:rPr>
                <w:b/>
                <w:spacing w:val="-4"/>
                <w:sz w:val="14"/>
              </w:rPr>
              <w:t>0.75</w:t>
            </w:r>
          </w:p>
        </w:tc>
        <w:tc>
          <w:tcPr>
            <w:tcW w:w="565" w:type="dxa"/>
            <w:tcBorders>
              <w:top w:val="single" w:sz="4" w:space="0" w:color="000000"/>
              <w:bottom w:val="single" w:sz="12" w:space="0" w:color="000000"/>
            </w:tcBorders>
          </w:tcPr>
          <w:p>
            <w:pPr>
              <w:pStyle w:val="TableParagraph"/>
              <w:spacing w:before="27"/>
              <w:ind w:right="173"/>
              <w:rPr>
                <w:b/>
                <w:sz w:val="14"/>
              </w:rPr>
            </w:pPr>
            <w:r>
              <w:rPr>
                <w:b/>
                <w:w w:val="99"/>
                <w:sz w:val="14"/>
              </w:rPr>
              <w:t>-</w:t>
            </w:r>
          </w:p>
        </w:tc>
        <w:tc>
          <w:tcPr>
            <w:tcW w:w="635" w:type="dxa"/>
            <w:tcBorders>
              <w:top w:val="single" w:sz="4" w:space="0" w:color="000000"/>
              <w:bottom w:val="single" w:sz="12" w:space="0" w:color="000000"/>
            </w:tcBorders>
          </w:tcPr>
          <w:p>
            <w:pPr>
              <w:pStyle w:val="TableParagraph"/>
              <w:spacing w:before="27"/>
              <w:ind w:right="209"/>
              <w:rPr>
                <w:b/>
                <w:sz w:val="14"/>
              </w:rPr>
            </w:pPr>
            <w:r>
              <w:rPr>
                <w:b/>
                <w:spacing w:val="-4"/>
                <w:sz w:val="14"/>
              </w:rPr>
              <w:t>4.25</w:t>
            </w:r>
          </w:p>
        </w:tc>
        <w:tc>
          <w:tcPr>
            <w:tcW w:w="728" w:type="dxa"/>
            <w:tcBorders>
              <w:top w:val="single" w:sz="4" w:space="0" w:color="000000"/>
              <w:bottom w:val="single" w:sz="12" w:space="0" w:color="000000"/>
            </w:tcBorders>
          </w:tcPr>
          <w:p>
            <w:pPr>
              <w:pStyle w:val="TableParagraph"/>
              <w:spacing w:before="27"/>
              <w:ind w:right="198"/>
              <w:rPr>
                <w:b/>
                <w:sz w:val="14"/>
              </w:rPr>
            </w:pPr>
            <w:r>
              <w:rPr>
                <w:b/>
                <w:spacing w:val="-2"/>
                <w:sz w:val="14"/>
              </w:rPr>
              <w:t>10.74</w:t>
            </w:r>
          </w:p>
        </w:tc>
        <w:tc>
          <w:tcPr>
            <w:tcW w:w="463" w:type="dxa"/>
            <w:tcBorders>
              <w:top w:val="single" w:sz="4" w:space="0" w:color="000000"/>
              <w:bottom w:val="single" w:sz="12" w:space="0" w:color="000000"/>
            </w:tcBorders>
          </w:tcPr>
          <w:p>
            <w:pPr>
              <w:pStyle w:val="TableParagraph"/>
              <w:spacing w:before="27"/>
              <w:ind w:right="68"/>
              <w:rPr>
                <w:b/>
                <w:sz w:val="14"/>
              </w:rPr>
            </w:pPr>
            <w:r>
              <w:rPr>
                <w:b/>
                <w:w w:val="99"/>
                <w:sz w:val="14"/>
              </w:rPr>
              <w:t>-</w:t>
            </w:r>
          </w:p>
        </w:tc>
        <w:tc>
          <w:tcPr>
            <w:tcW w:w="796" w:type="dxa"/>
            <w:tcBorders>
              <w:top w:val="single" w:sz="4" w:space="0" w:color="000000"/>
              <w:bottom w:val="single" w:sz="12" w:space="0" w:color="000000"/>
            </w:tcBorders>
          </w:tcPr>
          <w:p>
            <w:pPr>
              <w:pStyle w:val="TableParagraph"/>
              <w:spacing w:before="27"/>
              <w:ind w:right="127"/>
              <w:rPr>
                <w:b/>
                <w:i/>
                <w:sz w:val="14"/>
              </w:rPr>
            </w:pPr>
            <w:r>
              <w:rPr>
                <w:b/>
                <w:i/>
                <w:spacing w:val="-2"/>
                <w:sz w:val="14"/>
              </w:rPr>
              <w:t>15.74</w:t>
            </w:r>
          </w:p>
        </w:tc>
        <w:tc>
          <w:tcPr>
            <w:tcW w:w="568" w:type="dxa"/>
            <w:tcBorders>
              <w:top w:val="single" w:sz="4" w:space="0" w:color="000000"/>
              <w:bottom w:val="single" w:sz="12" w:space="0" w:color="000000"/>
            </w:tcBorders>
          </w:tcPr>
          <w:p>
            <w:pPr>
              <w:pStyle w:val="TableParagraph"/>
              <w:spacing w:before="27"/>
              <w:ind w:right="99"/>
              <w:rPr>
                <w:b/>
                <w:sz w:val="14"/>
              </w:rPr>
            </w:pPr>
            <w:r>
              <w:rPr>
                <w:b/>
                <w:spacing w:val="-4"/>
                <w:sz w:val="14"/>
              </w:rPr>
              <w:t>0.75</w:t>
            </w:r>
          </w:p>
        </w:tc>
        <w:tc>
          <w:tcPr>
            <w:tcW w:w="578" w:type="dxa"/>
            <w:tcBorders>
              <w:top w:val="single" w:sz="4" w:space="0" w:color="000000"/>
              <w:bottom w:val="single" w:sz="12" w:space="0" w:color="000000"/>
            </w:tcBorders>
          </w:tcPr>
          <w:p>
            <w:pPr>
              <w:pStyle w:val="TableParagraph"/>
              <w:spacing w:before="27"/>
              <w:ind w:right="89"/>
              <w:rPr>
                <w:b/>
                <w:sz w:val="14"/>
              </w:rPr>
            </w:pPr>
            <w:r>
              <w:rPr>
                <w:b/>
                <w:w w:val="99"/>
                <w:sz w:val="14"/>
              </w:rPr>
              <w:t>-</w:t>
            </w:r>
          </w:p>
        </w:tc>
        <w:tc>
          <w:tcPr>
            <w:tcW w:w="566" w:type="dxa"/>
            <w:tcBorders>
              <w:top w:val="single" w:sz="4" w:space="0" w:color="000000"/>
              <w:bottom w:val="single" w:sz="12" w:space="0" w:color="000000"/>
            </w:tcBorders>
          </w:tcPr>
          <w:p>
            <w:pPr>
              <w:pStyle w:val="TableParagraph"/>
              <w:spacing w:before="27"/>
              <w:ind w:right="62"/>
              <w:rPr>
                <w:b/>
                <w:sz w:val="14"/>
              </w:rPr>
            </w:pPr>
            <w:r>
              <w:rPr>
                <w:b/>
                <w:spacing w:val="-2"/>
                <w:sz w:val="14"/>
              </w:rPr>
              <w:t>24.75</w:t>
            </w:r>
          </w:p>
        </w:tc>
        <w:tc>
          <w:tcPr>
            <w:tcW w:w="820" w:type="dxa"/>
            <w:tcBorders>
              <w:top w:val="single" w:sz="4" w:space="0" w:color="000000"/>
              <w:bottom w:val="single" w:sz="12" w:space="0" w:color="000000"/>
            </w:tcBorders>
          </w:tcPr>
          <w:p>
            <w:pPr>
              <w:pStyle w:val="TableParagraph"/>
              <w:spacing w:before="27"/>
              <w:ind w:right="142"/>
              <w:rPr>
                <w:b/>
                <w:i/>
                <w:sz w:val="14"/>
              </w:rPr>
            </w:pPr>
            <w:r>
              <w:rPr>
                <w:b/>
                <w:i/>
                <w:spacing w:val="-2"/>
                <w:sz w:val="14"/>
              </w:rPr>
              <w:t>25.50</w:t>
            </w:r>
          </w:p>
        </w:tc>
        <w:tc>
          <w:tcPr>
            <w:tcW w:w="517" w:type="dxa"/>
            <w:tcBorders>
              <w:top w:val="single" w:sz="4" w:space="0" w:color="000000"/>
              <w:bottom w:val="single" w:sz="12" w:space="0" w:color="000000"/>
            </w:tcBorders>
          </w:tcPr>
          <w:p>
            <w:pPr>
              <w:pStyle w:val="TableParagraph"/>
              <w:spacing w:before="27"/>
              <w:ind w:right="59"/>
              <w:rPr>
                <w:b/>
                <w:sz w:val="14"/>
              </w:rPr>
            </w:pPr>
            <w:r>
              <w:rPr>
                <w:b/>
                <w:spacing w:val="-2"/>
                <w:sz w:val="14"/>
              </w:rPr>
              <w:t>41.24</w:t>
            </w:r>
          </w:p>
        </w:tc>
      </w:tr>
    </w:tbl>
    <w:p>
      <w:pPr>
        <w:spacing w:after="0"/>
        <w:rPr>
          <w:sz w:val="14"/>
        </w:rPr>
        <w:sectPr>
          <w:headerReference w:type="even" r:id="rId99"/>
          <w:headerReference w:type="default" r:id="rId100"/>
          <w:footerReference w:type="even" r:id="rId101"/>
          <w:footerReference w:type="default" r:id="rId102"/>
          <w:pgSz w:w="11910" w:h="16840"/>
          <w:pgMar w:header="953" w:footer="940" w:top="1140" w:bottom="1140" w:left="20" w:right="20"/>
          <w:pgNumType w:start="152"/>
        </w:sectPr>
      </w:pPr>
    </w:p>
    <w:p>
      <w:pPr>
        <w:pStyle w:val="Heading2"/>
        <w:numPr>
          <w:ilvl w:val="1"/>
          <w:numId w:val="3"/>
        </w:numPr>
        <w:tabs>
          <w:tab w:pos="2246" w:val="left" w:leader="none"/>
          <w:tab w:pos="2247" w:val="left" w:leader="none"/>
        </w:tabs>
        <w:spacing w:line="240" w:lineRule="auto" w:before="126" w:after="0"/>
        <w:ind w:left="2246" w:right="0" w:hanging="568"/>
        <w:jc w:val="left"/>
      </w:pPr>
      <w:bookmarkStart w:name="_bookmark49" w:id="50"/>
      <w:bookmarkEnd w:id="50"/>
      <w:r>
        <w:rPr/>
        <w:t>M</w:t>
      </w:r>
      <w:r>
        <w:rPr/>
        <w:t>ajor</w:t>
      </w:r>
      <w:r>
        <w:rPr>
          <w:spacing w:val="-4"/>
        </w:rPr>
        <w:t> </w:t>
      </w:r>
      <w:r>
        <w:rPr/>
        <w:t>Programme</w:t>
      </w:r>
      <w:r>
        <w:rPr>
          <w:spacing w:val="-7"/>
        </w:rPr>
        <w:t> </w:t>
      </w:r>
      <w:r>
        <w:rPr/>
        <w:t>IV:</w:t>
      </w:r>
      <w:r>
        <w:rPr>
          <w:spacing w:val="-2"/>
        </w:rPr>
        <w:t> </w:t>
      </w:r>
      <w:r>
        <w:rPr/>
        <w:t>Secretariat of</w:t>
      </w:r>
      <w:r>
        <w:rPr>
          <w:spacing w:val="-5"/>
        </w:rPr>
        <w:t> </w:t>
      </w:r>
      <w:r>
        <w:rPr/>
        <w:t>the</w:t>
      </w:r>
      <w:r>
        <w:rPr>
          <w:spacing w:val="-3"/>
        </w:rPr>
        <w:t> </w:t>
      </w:r>
      <w:r>
        <w:rPr/>
        <w:t>Assembly</w:t>
      </w:r>
      <w:r>
        <w:rPr>
          <w:spacing w:val="-3"/>
        </w:rPr>
        <w:t> </w:t>
      </w:r>
      <w:r>
        <w:rPr/>
        <w:t>of</w:t>
      </w:r>
      <w:r>
        <w:rPr>
          <w:spacing w:val="-5"/>
        </w:rPr>
        <w:t> </w:t>
      </w:r>
      <w:r>
        <w:rPr/>
        <w:t>States</w:t>
      </w:r>
      <w:r>
        <w:rPr>
          <w:spacing w:val="-4"/>
        </w:rPr>
        <w:t> </w:t>
      </w:r>
      <w:r>
        <w:rPr>
          <w:spacing w:val="-2"/>
        </w:rPr>
        <w:t>Parties</w:t>
      </w:r>
    </w:p>
    <w:p>
      <w:pPr>
        <w:pStyle w:val="BodyText"/>
        <w:spacing w:before="3"/>
        <w:rPr>
          <w:b/>
        </w:rPr>
      </w:pPr>
      <w:r>
        <w:rPr/>
        <w:pict>
          <v:group style="position:absolute;margin-left:114.553886pt;margin-top:12.893106pt;width:367.05pt;height:192.6pt;mso-position-horizontal-relative:page;mso-position-vertical-relative:paragraph;z-index:-15687168;mso-wrap-distance-left:0;mso-wrap-distance-right:0" id="docshapegroup264" coordorigin="2291,258" coordsize="7341,3852">
            <v:shape style="position:absolute;left:4690;top:1191;width:2467;height:792" id="docshape265" coordorigin="4691,1191" coordsize="2467,792" path="m4691,1983l4691,1191,7157,1191,7157,1983,4691,1983m4714,1959l4714,1215,7133,1215,7133,1959,4714,1959e" filled="false" stroked="true" strokeweight=".794627pt" strokecolor="#000000">
              <v:path arrowok="t"/>
              <v:stroke dashstyle="solid"/>
            </v:shape>
            <v:shape style="position:absolute;left:3298;top:1983;width:5148;height:1335" id="docshape266" coordorigin="3299,1983" coordsize="5148,1335" path="m5924,1983l5924,2978,3299,2978,3299,3317m8446,3317l8446,2978,5924,2978,5924,3317e" filled="false" stroked="true" strokeweight=".476776pt" strokecolor="#000000">
              <v:path arrowok="t"/>
              <v:stroke dashstyle="solid"/>
            </v:shape>
            <v:shape style="position:absolute;left:7157;top:1587;width:1514;height:340" id="docshape267" coordorigin="7157,1587" coordsize="1514,340" path="m7157,1587l8671,1587,8671,1927e" filled="false" stroked="true" strokeweight=".797906pt" strokecolor="#000000">
              <v:path arrowok="t"/>
              <v:stroke dashstyle="dashdot"/>
            </v:shape>
            <v:line style="position:absolute" from="5924,715" to="5924,1191" stroked="true" strokeweight=".4746pt" strokecolor="#000000">
              <v:stroke dashstyle="solid"/>
            </v:line>
            <v:shape style="position:absolute;left:7493;top:3317;width:1906;height:784" type="#_x0000_t202" id="docshape268" filled="false" stroked="true" strokeweight=".797202pt" strokecolor="#000000">
              <v:textbox inset="0,0,0,0">
                <w:txbxContent>
                  <w:p>
                    <w:pPr>
                      <w:spacing w:line="240" w:lineRule="auto" w:before="11"/>
                      <w:rPr>
                        <w:b/>
                        <w:sz w:val="23"/>
                      </w:rPr>
                    </w:pPr>
                  </w:p>
                  <w:p>
                    <w:pPr>
                      <w:spacing w:before="0"/>
                      <w:ind w:left="519" w:right="0" w:firstLine="0"/>
                      <w:jc w:val="left"/>
                      <w:rPr>
                        <w:sz w:val="18"/>
                      </w:rPr>
                    </w:pPr>
                    <w:r>
                      <w:rPr>
                        <w:spacing w:val="-2"/>
                        <w:sz w:val="18"/>
                      </w:rPr>
                      <w:t>Conference</w:t>
                    </w:r>
                  </w:p>
                </w:txbxContent>
              </v:textbox>
              <v:stroke dashstyle="solid"/>
              <w10:wrap type="none"/>
            </v:shape>
            <v:shape style="position:absolute;left:4889;top:3317;width:2069;height:784" type="#_x0000_t202" id="docshape269" filled="false" stroked="true" strokeweight=".797336pt" strokecolor="#000000">
              <v:textbox inset="0,0,0,0">
                <w:txbxContent>
                  <w:p>
                    <w:pPr>
                      <w:spacing w:line="240" w:lineRule="auto" w:before="6"/>
                      <w:rPr>
                        <w:b/>
                        <w:sz w:val="17"/>
                      </w:rPr>
                    </w:pPr>
                  </w:p>
                  <w:p>
                    <w:pPr>
                      <w:spacing w:line="259" w:lineRule="auto" w:before="0"/>
                      <w:ind w:left="657" w:right="0" w:hanging="262"/>
                      <w:jc w:val="left"/>
                      <w:rPr>
                        <w:sz w:val="18"/>
                      </w:rPr>
                    </w:pPr>
                    <w:r>
                      <w:rPr>
                        <w:sz w:val="18"/>
                      </w:rPr>
                      <w:t>Secretariat</w:t>
                    </w:r>
                    <w:r>
                      <w:rPr>
                        <w:spacing w:val="-3"/>
                        <w:sz w:val="18"/>
                      </w:rPr>
                      <w:t> </w:t>
                    </w:r>
                    <w:r>
                      <w:rPr>
                        <w:sz w:val="18"/>
                      </w:rPr>
                      <w:t>of</w:t>
                    </w:r>
                    <w:r>
                      <w:rPr>
                        <w:spacing w:val="-3"/>
                        <w:sz w:val="18"/>
                      </w:rPr>
                      <w:t> </w:t>
                    </w:r>
                    <w:r>
                      <w:rPr>
                        <w:sz w:val="18"/>
                      </w:rPr>
                      <w:t>the </w:t>
                    </w:r>
                    <w:r>
                      <w:rPr>
                        <w:spacing w:val="-2"/>
                        <w:sz w:val="18"/>
                      </w:rPr>
                      <w:t>Assembly</w:t>
                    </w:r>
                  </w:p>
                </w:txbxContent>
              </v:textbox>
              <v:stroke dashstyle="solid"/>
              <w10:wrap type="none"/>
            </v:shape>
            <v:shape style="position:absolute;left:2299;top:3317;width:2000;height:776" type="#_x0000_t202" id="docshape270" filled="false" stroked="true" strokeweight=".797354pt" strokecolor="#000000">
              <v:textbox inset="0,0,0,0">
                <w:txbxContent>
                  <w:p>
                    <w:pPr>
                      <w:spacing w:line="240" w:lineRule="auto" w:before="1"/>
                      <w:rPr>
                        <w:b/>
                        <w:sz w:val="16"/>
                      </w:rPr>
                    </w:pPr>
                  </w:p>
                  <w:p>
                    <w:pPr>
                      <w:spacing w:line="259" w:lineRule="auto" w:before="0"/>
                      <w:ind w:left="386" w:right="67" w:hanging="234"/>
                      <w:jc w:val="left"/>
                      <w:rPr>
                        <w:sz w:val="18"/>
                      </w:rPr>
                    </w:pPr>
                    <w:r>
                      <w:rPr>
                        <w:sz w:val="18"/>
                      </w:rPr>
                      <w:t>Office of the </w:t>
                    </w:r>
                    <w:r>
                      <w:rPr>
                        <w:sz w:val="18"/>
                      </w:rPr>
                      <w:t>President of the Assembly</w:t>
                    </w:r>
                  </w:p>
                </w:txbxContent>
              </v:textbox>
              <v:stroke dashstyle="solid"/>
              <w10:wrap type="none"/>
            </v:shape>
            <v:shape style="position:absolute;left:7717;top:1948;width:1906;height:770" type="#_x0000_t202" id="docshape271" filled="false" stroked="true" strokeweight=".797202pt" strokecolor="#000000">
              <v:textbox inset="0,0,0,0">
                <w:txbxContent>
                  <w:p>
                    <w:pPr>
                      <w:spacing w:line="259" w:lineRule="auto" w:before="179"/>
                      <w:ind w:left="496" w:right="0" w:hanging="367"/>
                      <w:jc w:val="left"/>
                      <w:rPr>
                        <w:sz w:val="18"/>
                      </w:rPr>
                    </w:pPr>
                    <w:r>
                      <w:rPr>
                        <w:sz w:val="18"/>
                      </w:rPr>
                      <w:t>Committee on </w:t>
                    </w:r>
                    <w:r>
                      <w:rPr>
                        <w:sz w:val="18"/>
                      </w:rPr>
                      <w:t>Budget and Finance</w:t>
                    </w:r>
                  </w:p>
                </w:txbxContent>
              </v:textbox>
              <v:stroke dashstyle="dash"/>
              <w10:wrap type="none"/>
            </v:shape>
            <v:shape style="position:absolute;left:4710;top:1211;width:2427;height:730" type="#_x0000_t202" id="docshape272" filled="false" stroked="false">
              <v:textbox inset="0,0,0,0">
                <w:txbxContent>
                  <w:p>
                    <w:pPr>
                      <w:spacing w:line="259" w:lineRule="auto" w:before="152"/>
                      <w:ind w:left="718" w:right="0" w:hanging="628"/>
                      <w:jc w:val="left"/>
                      <w:rPr>
                        <w:sz w:val="18"/>
                      </w:rPr>
                    </w:pPr>
                    <w:r>
                      <w:rPr>
                        <w:sz w:val="18"/>
                      </w:rPr>
                      <w:t>Secretariat of the Assembly </w:t>
                    </w:r>
                    <w:r>
                      <w:rPr>
                        <w:sz w:val="18"/>
                      </w:rPr>
                      <w:t>of States Parties</w:t>
                    </w:r>
                  </w:p>
                </w:txbxContent>
              </v:textbox>
              <w10:wrap type="none"/>
            </v:shape>
            <v:shape style="position:absolute;left:4889;top:262;width:2069;height:453" type="#_x0000_t202" id="docshape273" filled="false" stroked="true" strokeweight=".478758pt" strokecolor="#000000">
              <v:textbox inset="0,0,0,0">
                <w:txbxContent>
                  <w:p>
                    <w:pPr>
                      <w:spacing w:before="108"/>
                      <w:ind w:left="65" w:right="0" w:firstLine="0"/>
                      <w:jc w:val="left"/>
                      <w:rPr>
                        <w:sz w:val="18"/>
                      </w:rPr>
                    </w:pPr>
                    <w:r>
                      <w:rPr>
                        <w:sz w:val="18"/>
                      </w:rPr>
                      <w:t>Assembly</w:t>
                    </w:r>
                    <w:r>
                      <w:rPr>
                        <w:spacing w:val="7"/>
                        <w:sz w:val="18"/>
                      </w:rPr>
                      <w:t> </w:t>
                    </w:r>
                    <w:r>
                      <w:rPr>
                        <w:sz w:val="18"/>
                      </w:rPr>
                      <w:t>of</w:t>
                    </w:r>
                    <w:r>
                      <w:rPr>
                        <w:spacing w:val="10"/>
                        <w:sz w:val="18"/>
                      </w:rPr>
                      <w:t> </w:t>
                    </w:r>
                    <w:r>
                      <w:rPr>
                        <w:sz w:val="18"/>
                      </w:rPr>
                      <w:t>States</w:t>
                    </w:r>
                    <w:r>
                      <w:rPr>
                        <w:spacing w:val="10"/>
                        <w:sz w:val="18"/>
                      </w:rPr>
                      <w:t> </w:t>
                    </w:r>
                    <w:r>
                      <w:rPr>
                        <w:spacing w:val="-2"/>
                        <w:sz w:val="18"/>
                      </w:rPr>
                      <w:t>Parties</w:t>
                    </w:r>
                  </w:p>
                </w:txbxContent>
              </v:textbox>
              <v:stroke dashstyle="solid"/>
              <w10:wrap type="none"/>
            </v:shape>
            <w10:wrap type="topAndBottom"/>
          </v:group>
        </w:pict>
      </w:r>
    </w:p>
    <w:p>
      <w:pPr>
        <w:pStyle w:val="BodyText"/>
        <w:spacing w:before="4"/>
        <w:rPr>
          <w:b/>
          <w:sz w:val="16"/>
        </w:rPr>
      </w:pPr>
    </w:p>
    <w:p>
      <w:pPr>
        <w:pStyle w:val="Heading3"/>
        <w:spacing w:before="93"/>
      </w:pPr>
      <w:r>
        <w:rPr>
          <w:spacing w:val="-2"/>
        </w:rPr>
        <w:t>Introduction</w:t>
      </w:r>
    </w:p>
    <w:p>
      <w:pPr>
        <w:pStyle w:val="BodyText"/>
        <w:spacing w:before="10"/>
        <w:rPr>
          <w:b/>
        </w:rPr>
      </w:pPr>
    </w:p>
    <w:p>
      <w:pPr>
        <w:pStyle w:val="ListParagraph"/>
        <w:numPr>
          <w:ilvl w:val="0"/>
          <w:numId w:val="4"/>
        </w:numPr>
        <w:tabs>
          <w:tab w:pos="2967" w:val="left" w:leader="none"/>
        </w:tabs>
        <w:spacing w:line="240" w:lineRule="auto" w:before="1" w:after="0"/>
        <w:ind w:left="2246" w:right="2235" w:firstLine="0"/>
        <w:jc w:val="both"/>
        <w:rPr>
          <w:sz w:val="20"/>
        </w:rPr>
      </w:pPr>
      <w:bookmarkStart w:name="_bookmark50" w:id="51"/>
      <w:bookmarkEnd w:id="51"/>
      <w:r>
        <w:rPr>
          <w:sz w:val="20"/>
        </w:rPr>
        <w:t>T</w:t>
      </w:r>
      <w:r>
        <w:rPr>
          <w:sz w:val="20"/>
        </w:rPr>
        <w:t>he Secretariat of the Assembly of States Parties (SASP or “the Secretariat”) provides</w:t>
      </w:r>
      <w:r>
        <w:rPr>
          <w:spacing w:val="-13"/>
          <w:sz w:val="20"/>
        </w:rPr>
        <w:t> </w:t>
      </w:r>
      <w:r>
        <w:rPr>
          <w:sz w:val="20"/>
        </w:rPr>
        <w:t>the</w:t>
      </w:r>
      <w:r>
        <w:rPr>
          <w:spacing w:val="-10"/>
          <w:sz w:val="20"/>
        </w:rPr>
        <w:t> </w:t>
      </w:r>
      <w:r>
        <w:rPr>
          <w:sz w:val="20"/>
        </w:rPr>
        <w:t>Assembly,</w:t>
      </w:r>
      <w:r>
        <w:rPr>
          <w:spacing w:val="-11"/>
          <w:sz w:val="20"/>
        </w:rPr>
        <w:t> </w:t>
      </w:r>
      <w:r>
        <w:rPr>
          <w:sz w:val="20"/>
        </w:rPr>
        <w:t>its</w:t>
      </w:r>
      <w:r>
        <w:rPr>
          <w:spacing w:val="-13"/>
          <w:sz w:val="20"/>
        </w:rPr>
        <w:t> </w:t>
      </w:r>
      <w:r>
        <w:rPr>
          <w:sz w:val="20"/>
        </w:rPr>
        <w:t>Bureau</w:t>
      </w:r>
      <w:r>
        <w:rPr>
          <w:spacing w:val="-12"/>
          <w:sz w:val="20"/>
        </w:rPr>
        <w:t> </w:t>
      </w:r>
      <w:r>
        <w:rPr>
          <w:sz w:val="20"/>
        </w:rPr>
        <w:t>and</w:t>
      </w:r>
      <w:r>
        <w:rPr>
          <w:spacing w:val="-13"/>
          <w:sz w:val="20"/>
        </w:rPr>
        <w:t> </w:t>
      </w:r>
      <w:r>
        <w:rPr>
          <w:sz w:val="20"/>
        </w:rPr>
        <w:t>its</w:t>
      </w:r>
      <w:r>
        <w:rPr>
          <w:spacing w:val="-10"/>
          <w:sz w:val="20"/>
        </w:rPr>
        <w:t> </w:t>
      </w:r>
      <w:r>
        <w:rPr>
          <w:sz w:val="20"/>
        </w:rPr>
        <w:t>subsidiary</w:t>
      </w:r>
      <w:r>
        <w:rPr>
          <w:spacing w:val="-13"/>
          <w:sz w:val="20"/>
        </w:rPr>
        <w:t> </w:t>
      </w:r>
      <w:r>
        <w:rPr>
          <w:sz w:val="20"/>
        </w:rPr>
        <w:t>bodies</w:t>
      </w:r>
      <w:r>
        <w:rPr>
          <w:spacing w:val="-5"/>
          <w:sz w:val="20"/>
        </w:rPr>
        <w:t> </w:t>
      </w:r>
      <w:r>
        <w:rPr>
          <w:sz w:val="20"/>
        </w:rPr>
        <w:t>with</w:t>
      </w:r>
      <w:r>
        <w:rPr>
          <w:spacing w:val="-13"/>
          <w:sz w:val="20"/>
        </w:rPr>
        <w:t> </w:t>
      </w:r>
      <w:r>
        <w:rPr>
          <w:sz w:val="20"/>
        </w:rPr>
        <w:t>administrative</w:t>
      </w:r>
      <w:r>
        <w:rPr>
          <w:spacing w:val="-11"/>
          <w:sz w:val="20"/>
        </w:rPr>
        <w:t> </w:t>
      </w:r>
      <w:r>
        <w:rPr>
          <w:sz w:val="20"/>
        </w:rPr>
        <w:t>and</w:t>
      </w:r>
      <w:r>
        <w:rPr>
          <w:spacing w:val="-13"/>
          <w:sz w:val="20"/>
        </w:rPr>
        <w:t> </w:t>
      </w:r>
      <w:r>
        <w:rPr>
          <w:sz w:val="20"/>
        </w:rPr>
        <w:t>technical assistance in the discharge of their functions under the Rome Statute.</w:t>
      </w:r>
      <w:r>
        <w:rPr>
          <w:sz w:val="20"/>
          <w:vertAlign w:val="superscript"/>
        </w:rPr>
        <w:t>126</w:t>
      </w:r>
      <w:r>
        <w:rPr>
          <w:sz w:val="20"/>
          <w:vertAlign w:val="baseline"/>
        </w:rPr>
        <w:t> The</w:t>
      </w:r>
      <w:r>
        <w:rPr>
          <w:spacing w:val="-3"/>
          <w:sz w:val="20"/>
          <w:vertAlign w:val="baseline"/>
        </w:rPr>
        <w:t> </w:t>
      </w:r>
      <w:r>
        <w:rPr>
          <w:sz w:val="20"/>
          <w:vertAlign w:val="baseline"/>
        </w:rPr>
        <w:t>conference- servicing</w:t>
      </w:r>
      <w:r>
        <w:rPr>
          <w:spacing w:val="-3"/>
          <w:sz w:val="20"/>
          <w:vertAlign w:val="baseline"/>
        </w:rPr>
        <w:t> </w:t>
      </w:r>
      <w:r>
        <w:rPr>
          <w:sz w:val="20"/>
          <w:vertAlign w:val="baseline"/>
        </w:rPr>
        <w:t>functions</w:t>
      </w:r>
      <w:r>
        <w:rPr>
          <w:spacing w:val="-4"/>
          <w:sz w:val="20"/>
          <w:vertAlign w:val="baseline"/>
        </w:rPr>
        <w:t> </w:t>
      </w:r>
      <w:r>
        <w:rPr>
          <w:sz w:val="20"/>
          <w:vertAlign w:val="baseline"/>
        </w:rPr>
        <w:t>of</w:t>
      </w:r>
      <w:r>
        <w:rPr>
          <w:spacing w:val="-3"/>
          <w:sz w:val="20"/>
          <w:vertAlign w:val="baseline"/>
        </w:rPr>
        <w:t> </w:t>
      </w:r>
      <w:r>
        <w:rPr>
          <w:sz w:val="20"/>
          <w:vertAlign w:val="baseline"/>
        </w:rPr>
        <w:t>the</w:t>
      </w:r>
      <w:r>
        <w:rPr>
          <w:spacing w:val="-1"/>
          <w:sz w:val="20"/>
          <w:vertAlign w:val="baseline"/>
        </w:rPr>
        <w:t> </w:t>
      </w:r>
      <w:r>
        <w:rPr>
          <w:sz w:val="20"/>
          <w:vertAlign w:val="baseline"/>
        </w:rPr>
        <w:t>Secretariat</w:t>
      </w:r>
      <w:r>
        <w:rPr>
          <w:spacing w:val="-1"/>
          <w:sz w:val="20"/>
          <w:vertAlign w:val="baseline"/>
        </w:rPr>
        <w:t> </w:t>
      </w:r>
      <w:r>
        <w:rPr>
          <w:sz w:val="20"/>
          <w:vertAlign w:val="baseline"/>
        </w:rPr>
        <w:t>include</w:t>
      </w:r>
      <w:r>
        <w:rPr>
          <w:spacing w:val="-1"/>
          <w:sz w:val="20"/>
          <w:vertAlign w:val="baseline"/>
        </w:rPr>
        <w:t> </w:t>
      </w:r>
      <w:r>
        <w:rPr>
          <w:sz w:val="20"/>
          <w:vertAlign w:val="baseline"/>
        </w:rPr>
        <w:t>planning, preparing</w:t>
      </w:r>
      <w:r>
        <w:rPr>
          <w:spacing w:val="-3"/>
          <w:sz w:val="20"/>
          <w:vertAlign w:val="baseline"/>
        </w:rPr>
        <w:t> </w:t>
      </w:r>
      <w:r>
        <w:rPr>
          <w:sz w:val="20"/>
          <w:vertAlign w:val="baseline"/>
        </w:rPr>
        <w:t>and</w:t>
      </w:r>
      <w:r>
        <w:rPr>
          <w:spacing w:val="-3"/>
          <w:sz w:val="20"/>
          <w:vertAlign w:val="baseline"/>
        </w:rPr>
        <w:t> </w:t>
      </w:r>
      <w:r>
        <w:rPr>
          <w:sz w:val="20"/>
          <w:vertAlign w:val="baseline"/>
        </w:rPr>
        <w:t>coordinating</w:t>
      </w:r>
      <w:r>
        <w:rPr>
          <w:spacing w:val="-7"/>
          <w:sz w:val="20"/>
          <w:vertAlign w:val="baseline"/>
        </w:rPr>
        <w:t> </w:t>
      </w:r>
      <w:r>
        <w:rPr>
          <w:sz w:val="20"/>
          <w:vertAlign w:val="baseline"/>
        </w:rPr>
        <w:t>meetings of the Assembly and its subsidiary bodies and receiving, translating, reproducing and distributing</w:t>
      </w:r>
      <w:r>
        <w:rPr>
          <w:spacing w:val="-7"/>
          <w:sz w:val="20"/>
          <w:vertAlign w:val="baseline"/>
        </w:rPr>
        <w:t> </w:t>
      </w:r>
      <w:r>
        <w:rPr>
          <w:sz w:val="20"/>
          <w:vertAlign w:val="baseline"/>
        </w:rPr>
        <w:t>their</w:t>
      </w:r>
      <w:r>
        <w:rPr>
          <w:spacing w:val="-7"/>
          <w:sz w:val="20"/>
          <w:vertAlign w:val="baseline"/>
        </w:rPr>
        <w:t> </w:t>
      </w:r>
      <w:r>
        <w:rPr>
          <w:sz w:val="20"/>
          <w:vertAlign w:val="baseline"/>
        </w:rPr>
        <w:t>documents,</w:t>
      </w:r>
      <w:r>
        <w:rPr>
          <w:spacing w:val="-5"/>
          <w:sz w:val="20"/>
          <w:vertAlign w:val="baseline"/>
        </w:rPr>
        <w:t> </w:t>
      </w:r>
      <w:r>
        <w:rPr>
          <w:sz w:val="20"/>
          <w:vertAlign w:val="baseline"/>
        </w:rPr>
        <w:t>reports</w:t>
      </w:r>
      <w:r>
        <w:rPr>
          <w:spacing w:val="-9"/>
          <w:sz w:val="20"/>
          <w:vertAlign w:val="baseline"/>
        </w:rPr>
        <w:t> </w:t>
      </w:r>
      <w:r>
        <w:rPr>
          <w:sz w:val="20"/>
          <w:vertAlign w:val="baseline"/>
        </w:rPr>
        <w:t>and</w:t>
      </w:r>
      <w:r>
        <w:rPr>
          <w:spacing w:val="-7"/>
          <w:sz w:val="20"/>
          <w:vertAlign w:val="baseline"/>
        </w:rPr>
        <w:t> </w:t>
      </w:r>
      <w:r>
        <w:rPr>
          <w:sz w:val="20"/>
          <w:vertAlign w:val="baseline"/>
        </w:rPr>
        <w:t>decisions.</w:t>
      </w:r>
      <w:r>
        <w:rPr>
          <w:spacing w:val="-5"/>
          <w:sz w:val="20"/>
          <w:vertAlign w:val="baseline"/>
        </w:rPr>
        <w:t> </w:t>
      </w:r>
      <w:r>
        <w:rPr>
          <w:sz w:val="20"/>
          <w:vertAlign w:val="baseline"/>
        </w:rPr>
        <w:t>The</w:t>
      </w:r>
      <w:r>
        <w:rPr>
          <w:spacing w:val="-6"/>
          <w:sz w:val="20"/>
          <w:vertAlign w:val="baseline"/>
        </w:rPr>
        <w:t> </w:t>
      </w:r>
      <w:r>
        <w:rPr>
          <w:sz w:val="20"/>
          <w:vertAlign w:val="baseline"/>
        </w:rPr>
        <w:t>Secretariat</w:t>
      </w:r>
      <w:r>
        <w:rPr>
          <w:spacing w:val="-11"/>
          <w:sz w:val="20"/>
          <w:vertAlign w:val="baseline"/>
        </w:rPr>
        <w:t> </w:t>
      </w:r>
      <w:r>
        <w:rPr>
          <w:sz w:val="20"/>
          <w:vertAlign w:val="baseline"/>
        </w:rPr>
        <w:t>also</w:t>
      </w:r>
      <w:r>
        <w:rPr>
          <w:spacing w:val="-7"/>
          <w:sz w:val="20"/>
          <w:vertAlign w:val="baseline"/>
        </w:rPr>
        <w:t> </w:t>
      </w:r>
      <w:r>
        <w:rPr>
          <w:sz w:val="20"/>
          <w:vertAlign w:val="baseline"/>
        </w:rPr>
        <w:t>provides</w:t>
      </w:r>
      <w:r>
        <w:rPr>
          <w:spacing w:val="-9"/>
          <w:sz w:val="20"/>
          <w:vertAlign w:val="baseline"/>
        </w:rPr>
        <w:t> </w:t>
      </w:r>
      <w:r>
        <w:rPr>
          <w:sz w:val="20"/>
          <w:vertAlign w:val="baseline"/>
        </w:rPr>
        <w:t>substantive services</w:t>
      </w:r>
      <w:r>
        <w:rPr>
          <w:spacing w:val="-5"/>
          <w:sz w:val="20"/>
          <w:vertAlign w:val="baseline"/>
        </w:rPr>
        <w:t> </w:t>
      </w:r>
      <w:r>
        <w:rPr>
          <w:sz w:val="20"/>
          <w:vertAlign w:val="baseline"/>
        </w:rPr>
        <w:t>to</w:t>
      </w:r>
      <w:r>
        <w:rPr>
          <w:spacing w:val="-4"/>
          <w:sz w:val="20"/>
          <w:vertAlign w:val="baseline"/>
        </w:rPr>
        <w:t> </w:t>
      </w:r>
      <w:r>
        <w:rPr>
          <w:sz w:val="20"/>
          <w:vertAlign w:val="baseline"/>
        </w:rPr>
        <w:t>the Assembly</w:t>
      </w:r>
      <w:r>
        <w:rPr>
          <w:spacing w:val="-4"/>
          <w:sz w:val="20"/>
          <w:vertAlign w:val="baseline"/>
        </w:rPr>
        <w:t> </w:t>
      </w:r>
      <w:r>
        <w:rPr>
          <w:sz w:val="20"/>
          <w:vertAlign w:val="baseline"/>
        </w:rPr>
        <w:t>and</w:t>
      </w:r>
      <w:r>
        <w:rPr>
          <w:spacing w:val="-4"/>
          <w:sz w:val="20"/>
          <w:vertAlign w:val="baseline"/>
        </w:rPr>
        <w:t> </w:t>
      </w:r>
      <w:r>
        <w:rPr>
          <w:sz w:val="20"/>
          <w:vertAlign w:val="baseline"/>
        </w:rPr>
        <w:t>its subsidiary</w:t>
      </w:r>
      <w:r>
        <w:rPr>
          <w:spacing w:val="-4"/>
          <w:sz w:val="20"/>
          <w:vertAlign w:val="baseline"/>
        </w:rPr>
        <w:t> </w:t>
      </w:r>
      <w:r>
        <w:rPr>
          <w:sz w:val="20"/>
          <w:vertAlign w:val="baseline"/>
        </w:rPr>
        <w:t>bodies.</w:t>
      </w:r>
      <w:r>
        <w:rPr>
          <w:spacing w:val="-1"/>
          <w:sz w:val="20"/>
          <w:vertAlign w:val="baseline"/>
        </w:rPr>
        <w:t> </w:t>
      </w:r>
      <w:r>
        <w:rPr>
          <w:sz w:val="20"/>
          <w:vertAlign w:val="baseline"/>
        </w:rPr>
        <w:t>Its substantive service</w:t>
      </w:r>
      <w:r>
        <w:rPr>
          <w:spacing w:val="-2"/>
          <w:sz w:val="20"/>
          <w:vertAlign w:val="baseline"/>
        </w:rPr>
        <w:t> </w:t>
      </w:r>
      <w:r>
        <w:rPr>
          <w:sz w:val="20"/>
          <w:vertAlign w:val="baseline"/>
        </w:rPr>
        <w:t>functions</w:t>
      </w:r>
      <w:r>
        <w:rPr>
          <w:spacing w:val="-5"/>
          <w:sz w:val="20"/>
          <w:vertAlign w:val="baseline"/>
        </w:rPr>
        <w:t> </w:t>
      </w:r>
      <w:r>
        <w:rPr>
          <w:sz w:val="20"/>
          <w:vertAlign w:val="baseline"/>
        </w:rPr>
        <w:t>include, </w:t>
      </w:r>
      <w:r>
        <w:rPr>
          <w:i/>
          <w:sz w:val="20"/>
          <w:vertAlign w:val="baseline"/>
        </w:rPr>
        <w:t>inter alia</w:t>
      </w:r>
      <w:r>
        <w:rPr>
          <w:sz w:val="20"/>
          <w:vertAlign w:val="baseline"/>
        </w:rPr>
        <w:t>, legal</w:t>
      </w:r>
      <w:r>
        <w:rPr>
          <w:spacing w:val="-2"/>
          <w:sz w:val="20"/>
          <w:vertAlign w:val="baseline"/>
        </w:rPr>
        <w:t> </w:t>
      </w:r>
      <w:r>
        <w:rPr>
          <w:sz w:val="20"/>
          <w:vertAlign w:val="baseline"/>
        </w:rPr>
        <w:t>and substantive secretarial services such as the provision of documentation, reports and analytical summaries, and advisory services within the Secretariat on legal and substantive issues relating to the work of the Assembly.</w:t>
      </w:r>
    </w:p>
    <w:p>
      <w:pPr>
        <w:pStyle w:val="ListParagraph"/>
        <w:numPr>
          <w:ilvl w:val="0"/>
          <w:numId w:val="4"/>
        </w:numPr>
        <w:tabs>
          <w:tab w:pos="2967" w:val="left" w:leader="none"/>
        </w:tabs>
        <w:spacing w:line="240" w:lineRule="auto" w:before="119" w:after="0"/>
        <w:ind w:left="2246" w:right="2246" w:firstLine="0"/>
        <w:jc w:val="both"/>
        <w:rPr>
          <w:sz w:val="20"/>
        </w:rPr>
      </w:pPr>
      <w:r>
        <w:rPr>
          <w:sz w:val="20"/>
        </w:rPr>
        <w:t>The Secretariat has four standing programmes: Programme 4100 (Conference), Programme 4200 (Secretariat of the Assembly of States Parties), Programme 4400 (Office of</w:t>
      </w:r>
      <w:r>
        <w:rPr>
          <w:spacing w:val="-13"/>
          <w:sz w:val="20"/>
        </w:rPr>
        <w:t> </w:t>
      </w:r>
      <w:r>
        <w:rPr>
          <w:sz w:val="20"/>
        </w:rPr>
        <w:t>the</w:t>
      </w:r>
      <w:r>
        <w:rPr>
          <w:spacing w:val="-10"/>
          <w:sz w:val="20"/>
        </w:rPr>
        <w:t> </w:t>
      </w:r>
      <w:r>
        <w:rPr>
          <w:sz w:val="20"/>
        </w:rPr>
        <w:t>President</w:t>
      </w:r>
      <w:r>
        <w:rPr>
          <w:spacing w:val="-10"/>
          <w:sz w:val="20"/>
        </w:rPr>
        <w:t> </w:t>
      </w:r>
      <w:r>
        <w:rPr>
          <w:sz w:val="20"/>
        </w:rPr>
        <w:t>of</w:t>
      </w:r>
      <w:r>
        <w:rPr>
          <w:spacing w:val="-11"/>
          <w:sz w:val="20"/>
        </w:rPr>
        <w:t> </w:t>
      </w:r>
      <w:r>
        <w:rPr>
          <w:sz w:val="20"/>
        </w:rPr>
        <w:t>the</w:t>
      </w:r>
      <w:r>
        <w:rPr>
          <w:spacing w:val="-10"/>
          <w:sz w:val="20"/>
        </w:rPr>
        <w:t> </w:t>
      </w:r>
      <w:r>
        <w:rPr>
          <w:sz w:val="20"/>
        </w:rPr>
        <w:t>Assembly)</w:t>
      </w:r>
      <w:r>
        <w:rPr>
          <w:spacing w:val="-11"/>
          <w:sz w:val="20"/>
        </w:rPr>
        <w:t> </w:t>
      </w:r>
      <w:r>
        <w:rPr>
          <w:sz w:val="20"/>
        </w:rPr>
        <w:t>and</w:t>
      </w:r>
      <w:r>
        <w:rPr>
          <w:spacing w:val="-11"/>
          <w:sz w:val="20"/>
        </w:rPr>
        <w:t> </w:t>
      </w:r>
      <w:r>
        <w:rPr>
          <w:sz w:val="20"/>
        </w:rPr>
        <w:t>Programme</w:t>
      </w:r>
      <w:r>
        <w:rPr>
          <w:spacing w:val="-10"/>
          <w:sz w:val="20"/>
        </w:rPr>
        <w:t> </w:t>
      </w:r>
      <w:r>
        <w:rPr>
          <w:sz w:val="20"/>
        </w:rPr>
        <w:t>4500</w:t>
      </w:r>
      <w:r>
        <w:rPr>
          <w:spacing w:val="-11"/>
          <w:sz w:val="20"/>
        </w:rPr>
        <w:t> </w:t>
      </w:r>
      <w:r>
        <w:rPr>
          <w:sz w:val="20"/>
        </w:rPr>
        <w:t>(Committee</w:t>
      </w:r>
      <w:r>
        <w:rPr>
          <w:spacing w:val="-10"/>
          <w:sz w:val="20"/>
        </w:rPr>
        <w:t> </w:t>
      </w:r>
      <w:r>
        <w:rPr>
          <w:sz w:val="20"/>
        </w:rPr>
        <w:t>on</w:t>
      </w:r>
      <w:r>
        <w:rPr>
          <w:spacing w:val="-11"/>
          <w:sz w:val="20"/>
        </w:rPr>
        <w:t> </w:t>
      </w:r>
      <w:r>
        <w:rPr>
          <w:sz w:val="20"/>
        </w:rPr>
        <w:t>Budget</w:t>
      </w:r>
      <w:r>
        <w:rPr>
          <w:spacing w:val="-13"/>
          <w:sz w:val="20"/>
        </w:rPr>
        <w:t> </w:t>
      </w:r>
      <w:r>
        <w:rPr>
          <w:sz w:val="20"/>
        </w:rPr>
        <w:t>and</w:t>
      </w:r>
      <w:r>
        <w:rPr>
          <w:spacing w:val="-11"/>
          <w:sz w:val="20"/>
        </w:rPr>
        <w:t> </w:t>
      </w:r>
      <w:r>
        <w:rPr>
          <w:sz w:val="20"/>
        </w:rPr>
        <w:t>Finance).</w:t>
      </w:r>
    </w:p>
    <w:p>
      <w:pPr>
        <w:pStyle w:val="BodyText"/>
        <w:rPr>
          <w:sz w:val="21"/>
        </w:rPr>
      </w:pPr>
    </w:p>
    <w:p>
      <w:pPr>
        <w:pStyle w:val="Heading3"/>
        <w:tabs>
          <w:tab w:pos="8076" w:val="left" w:leader="none"/>
        </w:tabs>
        <w:spacing w:before="1"/>
        <w:jc w:val="both"/>
      </w:pPr>
      <w:r>
        <w:rPr/>
        <w:t>Budget</w:t>
      </w:r>
      <w:r>
        <w:rPr>
          <w:spacing w:val="-6"/>
        </w:rPr>
        <w:t> </w:t>
      </w:r>
      <w:r>
        <w:rPr>
          <w:spacing w:val="-2"/>
        </w:rPr>
        <w:t>resources</w:t>
      </w:r>
      <w:r>
        <w:rPr/>
        <w:tab/>
        <w:t>€3,011.8</w:t>
      </w:r>
      <w:r>
        <w:rPr>
          <w:spacing w:val="-6"/>
        </w:rPr>
        <w:t> </w:t>
      </w:r>
      <w:r>
        <w:rPr>
          <w:spacing w:val="-2"/>
        </w:rPr>
        <w:t>thousand</w:t>
      </w:r>
    </w:p>
    <w:p>
      <w:pPr>
        <w:pStyle w:val="BodyText"/>
        <w:spacing w:before="10"/>
        <w:rPr>
          <w:b/>
        </w:rPr>
      </w:pPr>
    </w:p>
    <w:p>
      <w:pPr>
        <w:pStyle w:val="ListParagraph"/>
        <w:numPr>
          <w:ilvl w:val="0"/>
          <w:numId w:val="4"/>
        </w:numPr>
        <w:tabs>
          <w:tab w:pos="2967" w:val="left" w:leader="none"/>
        </w:tabs>
        <w:spacing w:line="240" w:lineRule="auto" w:before="0" w:after="0"/>
        <w:ind w:left="2246" w:right="2239" w:firstLine="0"/>
        <w:jc w:val="both"/>
        <w:rPr>
          <w:sz w:val="20"/>
        </w:rPr>
      </w:pPr>
      <w:r>
        <w:rPr>
          <w:sz w:val="20"/>
        </w:rPr>
        <w:t>The</w:t>
      </w:r>
      <w:r>
        <w:rPr>
          <w:spacing w:val="40"/>
          <w:sz w:val="20"/>
        </w:rPr>
        <w:t> </w:t>
      </w:r>
      <w:r>
        <w:rPr>
          <w:sz w:val="20"/>
        </w:rPr>
        <w:t>proposed</w:t>
      </w:r>
      <w:r>
        <w:rPr>
          <w:spacing w:val="40"/>
          <w:sz w:val="20"/>
        </w:rPr>
        <w:t> </w:t>
      </w:r>
      <w:r>
        <w:rPr>
          <w:sz w:val="20"/>
        </w:rPr>
        <w:t>budget</w:t>
      </w:r>
      <w:r>
        <w:rPr>
          <w:spacing w:val="40"/>
          <w:sz w:val="20"/>
        </w:rPr>
        <w:t> </w:t>
      </w:r>
      <w:r>
        <w:rPr>
          <w:sz w:val="20"/>
        </w:rPr>
        <w:t>for</w:t>
      </w:r>
      <w:r>
        <w:rPr>
          <w:spacing w:val="40"/>
          <w:sz w:val="20"/>
        </w:rPr>
        <w:t> </w:t>
      </w:r>
      <w:r>
        <w:rPr>
          <w:sz w:val="20"/>
        </w:rPr>
        <w:t>2023</w:t>
      </w:r>
      <w:r>
        <w:rPr>
          <w:spacing w:val="40"/>
          <w:sz w:val="20"/>
        </w:rPr>
        <w:t> </w:t>
      </w:r>
      <w:r>
        <w:rPr>
          <w:sz w:val="20"/>
        </w:rPr>
        <w:t>represents</w:t>
      </w:r>
      <w:r>
        <w:rPr>
          <w:spacing w:val="40"/>
          <w:sz w:val="20"/>
        </w:rPr>
        <w:t> </w:t>
      </w:r>
      <w:r>
        <w:rPr>
          <w:sz w:val="20"/>
        </w:rPr>
        <w:t>a</w:t>
      </w:r>
      <w:r>
        <w:rPr>
          <w:spacing w:val="40"/>
          <w:sz w:val="20"/>
        </w:rPr>
        <w:t> </w:t>
      </w:r>
      <w:r>
        <w:rPr>
          <w:sz w:val="20"/>
        </w:rPr>
        <w:t>net</w:t>
      </w:r>
      <w:r>
        <w:rPr>
          <w:spacing w:val="40"/>
          <w:sz w:val="20"/>
        </w:rPr>
        <w:t> </w:t>
      </w:r>
      <w:r>
        <w:rPr>
          <w:sz w:val="20"/>
        </w:rPr>
        <w:t>decrease</w:t>
      </w:r>
      <w:r>
        <w:rPr>
          <w:spacing w:val="40"/>
          <w:sz w:val="20"/>
        </w:rPr>
        <w:t> </w:t>
      </w:r>
      <w:r>
        <w:rPr>
          <w:sz w:val="20"/>
        </w:rPr>
        <w:t>of</w:t>
      </w:r>
      <w:r>
        <w:rPr>
          <w:spacing w:val="40"/>
          <w:sz w:val="20"/>
        </w:rPr>
        <w:t> </w:t>
      </w:r>
      <w:r>
        <w:rPr>
          <w:sz w:val="20"/>
        </w:rPr>
        <w:t>€13.8</w:t>
      </w:r>
      <w:r>
        <w:rPr>
          <w:spacing w:val="40"/>
          <w:sz w:val="20"/>
        </w:rPr>
        <w:t> </w:t>
      </w:r>
      <w:r>
        <w:rPr>
          <w:sz w:val="20"/>
        </w:rPr>
        <w:t>thousand (0.5</w:t>
      </w:r>
      <w:r>
        <w:rPr>
          <w:spacing w:val="-2"/>
          <w:sz w:val="20"/>
        </w:rPr>
        <w:t> </w:t>
      </w:r>
      <w:r>
        <w:rPr>
          <w:sz w:val="20"/>
        </w:rPr>
        <w:t>per</w:t>
      </w:r>
      <w:r>
        <w:rPr>
          <w:spacing w:val="-7"/>
          <w:sz w:val="20"/>
        </w:rPr>
        <w:t> </w:t>
      </w:r>
      <w:r>
        <w:rPr>
          <w:sz w:val="20"/>
        </w:rPr>
        <w:t>cent) in comparison to the 2022 approved budget. The proposed budget contains some costs which occur every three years and are thus not part of the usual Major Programme IV budget: (a) cost of travel of nine members of the Advisory Committee on Nominations</w:t>
      </w:r>
      <w:r>
        <w:rPr>
          <w:spacing w:val="-10"/>
          <w:sz w:val="20"/>
        </w:rPr>
        <w:t> </w:t>
      </w:r>
      <w:r>
        <w:rPr>
          <w:sz w:val="20"/>
        </w:rPr>
        <w:t>of</w:t>
      </w:r>
      <w:r>
        <w:rPr>
          <w:spacing w:val="-7"/>
          <w:sz w:val="20"/>
        </w:rPr>
        <w:t> </w:t>
      </w:r>
      <w:r>
        <w:rPr>
          <w:sz w:val="20"/>
        </w:rPr>
        <w:t>Judges</w:t>
      </w:r>
      <w:r>
        <w:rPr>
          <w:spacing w:val="-10"/>
          <w:sz w:val="20"/>
        </w:rPr>
        <w:t> </w:t>
      </w:r>
      <w:r>
        <w:rPr>
          <w:sz w:val="20"/>
        </w:rPr>
        <w:t>(ACN),</w:t>
      </w:r>
      <w:r>
        <w:rPr>
          <w:spacing w:val="-6"/>
          <w:sz w:val="20"/>
        </w:rPr>
        <w:t> </w:t>
      </w:r>
      <w:r>
        <w:rPr>
          <w:sz w:val="20"/>
        </w:rPr>
        <w:t>a</w:t>
      </w:r>
      <w:r>
        <w:rPr>
          <w:spacing w:val="-7"/>
          <w:sz w:val="20"/>
        </w:rPr>
        <w:t> </w:t>
      </w:r>
      <w:r>
        <w:rPr>
          <w:sz w:val="20"/>
        </w:rPr>
        <w:t>subsidiary</w:t>
      </w:r>
      <w:r>
        <w:rPr>
          <w:spacing w:val="-8"/>
          <w:sz w:val="20"/>
        </w:rPr>
        <w:t> </w:t>
      </w:r>
      <w:r>
        <w:rPr>
          <w:sz w:val="20"/>
        </w:rPr>
        <w:t>body</w:t>
      </w:r>
      <w:r>
        <w:rPr>
          <w:spacing w:val="-8"/>
          <w:sz w:val="20"/>
        </w:rPr>
        <w:t> </w:t>
      </w:r>
      <w:r>
        <w:rPr>
          <w:sz w:val="20"/>
        </w:rPr>
        <w:t>of</w:t>
      </w:r>
      <w:r>
        <w:rPr>
          <w:spacing w:val="-8"/>
          <w:sz w:val="20"/>
        </w:rPr>
        <w:t> </w:t>
      </w:r>
      <w:r>
        <w:rPr>
          <w:sz w:val="20"/>
        </w:rPr>
        <w:t>the</w:t>
      </w:r>
      <w:r>
        <w:rPr>
          <w:spacing w:val="-7"/>
          <w:sz w:val="20"/>
        </w:rPr>
        <w:t> </w:t>
      </w:r>
      <w:r>
        <w:rPr>
          <w:sz w:val="20"/>
        </w:rPr>
        <w:t>Assembly</w:t>
      </w:r>
      <w:r>
        <w:rPr>
          <w:spacing w:val="-8"/>
          <w:sz w:val="20"/>
        </w:rPr>
        <w:t> </w:t>
      </w:r>
      <w:r>
        <w:rPr>
          <w:sz w:val="20"/>
        </w:rPr>
        <w:t>which,</w:t>
      </w:r>
      <w:r>
        <w:rPr>
          <w:spacing w:val="-6"/>
          <w:sz w:val="20"/>
        </w:rPr>
        <w:t> </w:t>
      </w:r>
      <w:r>
        <w:rPr>
          <w:sz w:val="20"/>
        </w:rPr>
        <w:t>in</w:t>
      </w:r>
      <w:r>
        <w:rPr>
          <w:spacing w:val="-8"/>
          <w:sz w:val="20"/>
        </w:rPr>
        <w:t> </w:t>
      </w:r>
      <w:r>
        <w:rPr>
          <w:sz w:val="20"/>
        </w:rPr>
        <w:t>principle,</w:t>
      </w:r>
      <w:r>
        <w:rPr>
          <w:spacing w:val="-6"/>
          <w:sz w:val="20"/>
        </w:rPr>
        <w:t> </w:t>
      </w:r>
      <w:r>
        <w:rPr>
          <w:sz w:val="20"/>
        </w:rPr>
        <w:t>meets on a triennial basis (during the year when the Assembly is to elect six judges), and (b) cost of travel of Secretariat staff to New York to service the twenty-second session of the Assembly for nine working days.</w:t>
      </w:r>
      <w:r>
        <w:rPr>
          <w:sz w:val="20"/>
          <w:vertAlign w:val="superscript"/>
        </w:rPr>
        <w:t>127</w:t>
      </w:r>
    </w:p>
    <w:p>
      <w:pPr>
        <w:pStyle w:val="ListParagraph"/>
        <w:numPr>
          <w:ilvl w:val="0"/>
          <w:numId w:val="4"/>
        </w:numPr>
        <w:tabs>
          <w:tab w:pos="2967" w:val="left" w:leader="none"/>
        </w:tabs>
        <w:spacing w:line="240" w:lineRule="auto" w:before="119" w:after="0"/>
        <w:ind w:left="2246" w:right="2240" w:firstLine="0"/>
        <w:jc w:val="both"/>
        <w:rPr>
          <w:sz w:val="20"/>
        </w:rPr>
      </w:pPr>
      <w:r>
        <w:rPr>
          <w:sz w:val="20"/>
        </w:rPr>
        <w:t>Despite</w:t>
      </w:r>
      <w:r>
        <w:rPr>
          <w:spacing w:val="-13"/>
          <w:sz w:val="20"/>
        </w:rPr>
        <w:t> </w:t>
      </w:r>
      <w:r>
        <w:rPr>
          <w:sz w:val="20"/>
        </w:rPr>
        <w:t>the</w:t>
      </w:r>
      <w:r>
        <w:rPr>
          <w:spacing w:val="-9"/>
          <w:sz w:val="20"/>
        </w:rPr>
        <w:t> </w:t>
      </w:r>
      <w:r>
        <w:rPr>
          <w:sz w:val="20"/>
        </w:rPr>
        <w:t>triennial</w:t>
      </w:r>
      <w:r>
        <w:rPr>
          <w:spacing w:val="-12"/>
          <w:sz w:val="20"/>
        </w:rPr>
        <w:t> </w:t>
      </w:r>
      <w:r>
        <w:rPr>
          <w:sz w:val="20"/>
        </w:rPr>
        <w:t>costs</w:t>
      </w:r>
      <w:r>
        <w:rPr>
          <w:spacing w:val="-13"/>
          <w:sz w:val="20"/>
        </w:rPr>
        <w:t> </w:t>
      </w:r>
      <w:r>
        <w:rPr>
          <w:sz w:val="20"/>
        </w:rPr>
        <w:t>referred</w:t>
      </w:r>
      <w:r>
        <w:rPr>
          <w:spacing w:val="-12"/>
          <w:sz w:val="20"/>
        </w:rPr>
        <w:t> </w:t>
      </w:r>
      <w:r>
        <w:rPr>
          <w:sz w:val="20"/>
        </w:rPr>
        <w:t>to</w:t>
      </w:r>
      <w:r>
        <w:rPr>
          <w:spacing w:val="-13"/>
          <w:sz w:val="20"/>
        </w:rPr>
        <w:t> </w:t>
      </w:r>
      <w:r>
        <w:rPr>
          <w:sz w:val="20"/>
        </w:rPr>
        <w:t>above,</w:t>
      </w:r>
      <w:r>
        <w:rPr>
          <w:spacing w:val="-10"/>
          <w:sz w:val="20"/>
        </w:rPr>
        <w:t> </w:t>
      </w:r>
      <w:r>
        <w:rPr>
          <w:sz w:val="20"/>
        </w:rPr>
        <w:t>a</w:t>
      </w:r>
      <w:r>
        <w:rPr>
          <w:spacing w:val="-11"/>
          <w:sz w:val="20"/>
        </w:rPr>
        <w:t> </w:t>
      </w:r>
      <w:r>
        <w:rPr>
          <w:sz w:val="20"/>
        </w:rPr>
        <w:t>0.5</w:t>
      </w:r>
      <w:r>
        <w:rPr>
          <w:spacing w:val="-8"/>
          <w:sz w:val="20"/>
        </w:rPr>
        <w:t> </w:t>
      </w:r>
      <w:r>
        <w:rPr>
          <w:sz w:val="20"/>
        </w:rPr>
        <w:t>per</w:t>
      </w:r>
      <w:r>
        <w:rPr>
          <w:spacing w:val="-13"/>
          <w:sz w:val="20"/>
        </w:rPr>
        <w:t> </w:t>
      </w:r>
      <w:r>
        <w:rPr>
          <w:sz w:val="20"/>
        </w:rPr>
        <w:t>cent</w:t>
      </w:r>
      <w:r>
        <w:rPr>
          <w:spacing w:val="-11"/>
          <w:sz w:val="20"/>
        </w:rPr>
        <w:t> </w:t>
      </w:r>
      <w:r>
        <w:rPr>
          <w:sz w:val="20"/>
        </w:rPr>
        <w:t>decrease</w:t>
      </w:r>
      <w:r>
        <w:rPr>
          <w:spacing w:val="-11"/>
          <w:sz w:val="20"/>
        </w:rPr>
        <w:t> </w:t>
      </w:r>
      <w:r>
        <w:rPr>
          <w:sz w:val="20"/>
        </w:rPr>
        <w:t>in</w:t>
      </w:r>
      <w:r>
        <w:rPr>
          <w:spacing w:val="-13"/>
          <w:sz w:val="20"/>
        </w:rPr>
        <w:t> </w:t>
      </w:r>
      <w:r>
        <w:rPr>
          <w:sz w:val="20"/>
        </w:rPr>
        <w:t>resources</w:t>
      </w:r>
      <w:r>
        <w:rPr>
          <w:spacing w:val="-9"/>
          <w:sz w:val="20"/>
        </w:rPr>
        <w:t> </w:t>
      </w:r>
      <w:r>
        <w:rPr>
          <w:sz w:val="20"/>
        </w:rPr>
        <w:t>was attained through a combination of measures, including synergies and readjustments of staff resources, with a view to meeting the actual needs of the Secretariat in a flexible manner while</w:t>
      </w:r>
      <w:r>
        <w:rPr>
          <w:spacing w:val="-2"/>
          <w:sz w:val="20"/>
        </w:rPr>
        <w:t> </w:t>
      </w:r>
      <w:r>
        <w:rPr>
          <w:sz w:val="20"/>
        </w:rPr>
        <w:t>bearing in mind</w:t>
      </w:r>
      <w:r>
        <w:rPr>
          <w:spacing w:val="-4"/>
          <w:sz w:val="20"/>
        </w:rPr>
        <w:t> </w:t>
      </w:r>
      <w:r>
        <w:rPr>
          <w:sz w:val="20"/>
        </w:rPr>
        <w:t>efficiency considerations</w:t>
      </w:r>
      <w:r>
        <w:rPr>
          <w:spacing w:val="-5"/>
          <w:sz w:val="20"/>
        </w:rPr>
        <w:t> </w:t>
      </w:r>
      <w:r>
        <w:rPr>
          <w:sz w:val="20"/>
        </w:rPr>
        <w:t>and</w:t>
      </w:r>
      <w:r>
        <w:rPr>
          <w:spacing w:val="-4"/>
          <w:sz w:val="20"/>
        </w:rPr>
        <w:t> </w:t>
      </w:r>
      <w:r>
        <w:rPr>
          <w:sz w:val="20"/>
        </w:rPr>
        <w:t>synergy</w:t>
      </w:r>
      <w:r>
        <w:rPr>
          <w:spacing w:val="-4"/>
          <w:sz w:val="20"/>
        </w:rPr>
        <w:t> </w:t>
      </w:r>
      <w:r>
        <w:rPr>
          <w:sz w:val="20"/>
        </w:rPr>
        <w:t>effects. This decrease was</w:t>
      </w:r>
      <w:r>
        <w:rPr>
          <w:spacing w:val="-5"/>
          <w:sz w:val="20"/>
        </w:rPr>
        <w:t> </w:t>
      </w:r>
      <w:r>
        <w:rPr>
          <w:sz w:val="20"/>
        </w:rPr>
        <w:t>also made possible by the triennial reduction in the contractual services budget, which occurs when</w:t>
      </w:r>
      <w:r>
        <w:rPr>
          <w:spacing w:val="-10"/>
          <w:sz w:val="20"/>
        </w:rPr>
        <w:t> </w:t>
      </w:r>
      <w:r>
        <w:rPr>
          <w:sz w:val="20"/>
        </w:rPr>
        <w:t>a</w:t>
      </w:r>
      <w:r>
        <w:rPr>
          <w:spacing w:val="-7"/>
          <w:sz w:val="20"/>
        </w:rPr>
        <w:t> </w:t>
      </w:r>
      <w:r>
        <w:rPr>
          <w:sz w:val="20"/>
        </w:rPr>
        <w:t>session</w:t>
      </w:r>
      <w:r>
        <w:rPr>
          <w:spacing w:val="-8"/>
          <w:sz w:val="20"/>
        </w:rPr>
        <w:t> </w:t>
      </w:r>
      <w:r>
        <w:rPr>
          <w:sz w:val="20"/>
        </w:rPr>
        <w:t>of</w:t>
      </w:r>
      <w:r>
        <w:rPr>
          <w:spacing w:val="-8"/>
          <w:sz w:val="20"/>
        </w:rPr>
        <w:t> </w:t>
      </w:r>
      <w:r>
        <w:rPr>
          <w:sz w:val="20"/>
        </w:rPr>
        <w:t>the</w:t>
      </w:r>
      <w:r>
        <w:rPr>
          <w:spacing w:val="-7"/>
          <w:sz w:val="20"/>
        </w:rPr>
        <w:t> </w:t>
      </w:r>
      <w:r>
        <w:rPr>
          <w:sz w:val="20"/>
        </w:rPr>
        <w:t>Assembly</w:t>
      </w:r>
      <w:r>
        <w:rPr>
          <w:spacing w:val="-13"/>
          <w:sz w:val="20"/>
        </w:rPr>
        <w:t> </w:t>
      </w:r>
      <w:r>
        <w:rPr>
          <w:sz w:val="20"/>
        </w:rPr>
        <w:t>is</w:t>
      </w:r>
      <w:r>
        <w:rPr>
          <w:spacing w:val="-10"/>
          <w:sz w:val="20"/>
        </w:rPr>
        <w:t> </w:t>
      </w:r>
      <w:r>
        <w:rPr>
          <w:sz w:val="20"/>
        </w:rPr>
        <w:t>held</w:t>
      </w:r>
      <w:r>
        <w:rPr>
          <w:spacing w:val="-8"/>
          <w:sz w:val="20"/>
        </w:rPr>
        <w:t> </w:t>
      </w:r>
      <w:r>
        <w:rPr>
          <w:sz w:val="20"/>
        </w:rPr>
        <w:t>in</w:t>
      </w:r>
      <w:r>
        <w:rPr>
          <w:spacing w:val="-8"/>
          <w:sz w:val="20"/>
        </w:rPr>
        <w:t> </w:t>
      </w:r>
      <w:r>
        <w:rPr>
          <w:sz w:val="20"/>
        </w:rPr>
        <w:t>New</w:t>
      </w:r>
      <w:r>
        <w:rPr>
          <w:spacing w:val="-10"/>
          <w:sz w:val="20"/>
        </w:rPr>
        <w:t> </w:t>
      </w:r>
      <w:r>
        <w:rPr>
          <w:sz w:val="20"/>
        </w:rPr>
        <w:t>York</w:t>
      </w:r>
      <w:r>
        <w:rPr>
          <w:spacing w:val="-8"/>
          <w:sz w:val="20"/>
        </w:rPr>
        <w:t> </w:t>
      </w:r>
      <w:r>
        <w:rPr>
          <w:sz w:val="20"/>
        </w:rPr>
        <w:t>and</w:t>
      </w:r>
      <w:r>
        <w:rPr>
          <w:spacing w:val="-8"/>
          <w:sz w:val="20"/>
        </w:rPr>
        <w:t> </w:t>
      </w:r>
      <w:r>
        <w:rPr>
          <w:sz w:val="20"/>
        </w:rPr>
        <w:t>facilities</w:t>
      </w:r>
      <w:r>
        <w:rPr>
          <w:spacing w:val="-10"/>
          <w:sz w:val="20"/>
        </w:rPr>
        <w:t> </w:t>
      </w:r>
      <w:r>
        <w:rPr>
          <w:sz w:val="20"/>
        </w:rPr>
        <w:t>and</w:t>
      </w:r>
      <w:r>
        <w:rPr>
          <w:spacing w:val="-8"/>
          <w:sz w:val="20"/>
        </w:rPr>
        <w:t> </w:t>
      </w:r>
      <w:r>
        <w:rPr>
          <w:sz w:val="20"/>
        </w:rPr>
        <w:t>services</w:t>
      </w:r>
      <w:r>
        <w:rPr>
          <w:spacing w:val="-13"/>
          <w:sz w:val="20"/>
        </w:rPr>
        <w:t> </w:t>
      </w:r>
      <w:r>
        <w:rPr>
          <w:sz w:val="20"/>
        </w:rPr>
        <w:t>costs</w:t>
      </w:r>
      <w:r>
        <w:rPr>
          <w:spacing w:val="-10"/>
          <w:sz w:val="20"/>
        </w:rPr>
        <w:t> </w:t>
      </w:r>
      <w:r>
        <w:rPr>
          <w:sz w:val="20"/>
        </w:rPr>
        <w:t>are paid to the United Nations.</w:t>
      </w:r>
    </w:p>
    <w:p>
      <w:pPr>
        <w:pStyle w:val="BodyText"/>
      </w:pPr>
    </w:p>
    <w:p>
      <w:pPr>
        <w:pStyle w:val="BodyText"/>
      </w:pPr>
    </w:p>
    <w:p>
      <w:pPr>
        <w:pStyle w:val="BodyText"/>
        <w:spacing w:before="5"/>
        <w:rPr>
          <w:sz w:val="22"/>
        </w:rPr>
      </w:pPr>
      <w:r>
        <w:rPr/>
        <w:pict>
          <v:rect style="position:absolute;margin-left:113.330002pt;margin-top:14.127304pt;width:144.050pt;height:.47998pt;mso-position-horizontal-relative:page;mso-position-vertical-relative:paragraph;z-index:-15686656;mso-wrap-distance-left:0;mso-wrap-distance-right:0" id="docshape274" filled="true" fillcolor="#000000" stroked="false">
            <v:fill type="solid"/>
            <w10:wrap type="topAndBottom"/>
          </v:rect>
        </w:pict>
      </w:r>
    </w:p>
    <w:p>
      <w:pPr>
        <w:spacing w:line="240" w:lineRule="auto" w:before="86"/>
        <w:ind w:left="2246" w:right="2243" w:firstLine="0"/>
        <w:jc w:val="both"/>
        <w:rPr>
          <w:sz w:val="16"/>
        </w:rPr>
      </w:pPr>
      <w:r>
        <w:rPr>
          <w:position w:val="5"/>
          <w:sz w:val="10"/>
        </w:rPr>
        <w:t>126</w:t>
      </w:r>
      <w:r>
        <w:rPr>
          <w:spacing w:val="24"/>
          <w:position w:val="5"/>
          <w:sz w:val="10"/>
        </w:rPr>
        <w:t> </w:t>
      </w:r>
      <w:r>
        <w:rPr>
          <w:sz w:val="16"/>
        </w:rPr>
        <w:t>Such bodies include the Bureau’s working groups (the New York and Hague Working Groups), the Advisory</w:t>
      </w:r>
      <w:r>
        <w:rPr>
          <w:spacing w:val="40"/>
          <w:sz w:val="16"/>
        </w:rPr>
        <w:t> </w:t>
      </w:r>
      <w:r>
        <w:rPr>
          <w:sz w:val="16"/>
        </w:rPr>
        <w:t>Committee on Nominations</w:t>
      </w:r>
      <w:r>
        <w:rPr>
          <w:spacing w:val="-4"/>
          <w:sz w:val="16"/>
        </w:rPr>
        <w:t> </w:t>
      </w:r>
      <w:r>
        <w:rPr>
          <w:sz w:val="16"/>
        </w:rPr>
        <w:t>of Judges,</w:t>
      </w:r>
      <w:r>
        <w:rPr>
          <w:spacing w:val="-1"/>
          <w:sz w:val="16"/>
        </w:rPr>
        <w:t> </w:t>
      </w:r>
      <w:r>
        <w:rPr>
          <w:sz w:val="16"/>
        </w:rPr>
        <w:t>the Committee on Budget and Finance and the Audit Committee.</w:t>
      </w:r>
      <w:r>
        <w:rPr>
          <w:spacing w:val="-1"/>
          <w:sz w:val="16"/>
        </w:rPr>
        <w:t> </w:t>
      </w:r>
      <w:r>
        <w:rPr>
          <w:sz w:val="16"/>
        </w:rPr>
        <w:t>Although</w:t>
      </w:r>
      <w:r>
        <w:rPr>
          <w:spacing w:val="40"/>
          <w:sz w:val="16"/>
        </w:rPr>
        <w:t> </w:t>
      </w:r>
      <w:r>
        <w:rPr>
          <w:sz w:val="16"/>
        </w:rPr>
        <w:t>it</w:t>
      </w:r>
      <w:r>
        <w:rPr>
          <w:spacing w:val="-9"/>
          <w:sz w:val="16"/>
        </w:rPr>
        <w:t> </w:t>
      </w:r>
      <w:r>
        <w:rPr>
          <w:sz w:val="16"/>
        </w:rPr>
        <w:t>is</w:t>
      </w:r>
      <w:r>
        <w:rPr>
          <w:spacing w:val="-7"/>
          <w:sz w:val="16"/>
        </w:rPr>
        <w:t> </w:t>
      </w:r>
      <w:r>
        <w:rPr>
          <w:sz w:val="16"/>
        </w:rPr>
        <w:t>based</w:t>
      </w:r>
      <w:r>
        <w:rPr>
          <w:spacing w:val="-6"/>
          <w:sz w:val="16"/>
        </w:rPr>
        <w:t> </w:t>
      </w:r>
      <w:r>
        <w:rPr>
          <w:sz w:val="16"/>
        </w:rPr>
        <w:t>in</w:t>
      </w:r>
      <w:r>
        <w:rPr>
          <w:spacing w:val="-6"/>
          <w:sz w:val="16"/>
        </w:rPr>
        <w:t> </w:t>
      </w:r>
      <w:r>
        <w:rPr>
          <w:sz w:val="16"/>
        </w:rPr>
        <w:t>The</w:t>
      </w:r>
      <w:r>
        <w:rPr>
          <w:spacing w:val="-6"/>
          <w:sz w:val="16"/>
        </w:rPr>
        <w:t> </w:t>
      </w:r>
      <w:r>
        <w:rPr>
          <w:sz w:val="16"/>
        </w:rPr>
        <w:t>Hague,</w:t>
      </w:r>
      <w:r>
        <w:rPr>
          <w:spacing w:val="-9"/>
          <w:sz w:val="16"/>
        </w:rPr>
        <w:t> </w:t>
      </w:r>
      <w:r>
        <w:rPr>
          <w:sz w:val="16"/>
        </w:rPr>
        <w:t>the</w:t>
      </w:r>
      <w:r>
        <w:rPr>
          <w:spacing w:val="-6"/>
          <w:sz w:val="16"/>
        </w:rPr>
        <w:t> </w:t>
      </w:r>
      <w:r>
        <w:rPr>
          <w:sz w:val="16"/>
        </w:rPr>
        <w:t>Secretariat</w:t>
      </w:r>
      <w:r>
        <w:rPr>
          <w:spacing w:val="-9"/>
          <w:sz w:val="16"/>
        </w:rPr>
        <w:t> </w:t>
      </w:r>
      <w:r>
        <w:rPr>
          <w:sz w:val="16"/>
        </w:rPr>
        <w:t>provides</w:t>
      </w:r>
      <w:r>
        <w:rPr>
          <w:spacing w:val="-7"/>
          <w:sz w:val="16"/>
        </w:rPr>
        <w:t> </w:t>
      </w:r>
      <w:r>
        <w:rPr>
          <w:sz w:val="16"/>
        </w:rPr>
        <w:t>substantive</w:t>
      </w:r>
      <w:r>
        <w:rPr>
          <w:spacing w:val="-6"/>
          <w:sz w:val="16"/>
        </w:rPr>
        <w:t> </w:t>
      </w:r>
      <w:r>
        <w:rPr>
          <w:sz w:val="16"/>
        </w:rPr>
        <w:t>services</w:t>
      </w:r>
      <w:r>
        <w:rPr>
          <w:spacing w:val="-7"/>
          <w:sz w:val="16"/>
        </w:rPr>
        <w:t> </w:t>
      </w:r>
      <w:r>
        <w:rPr>
          <w:sz w:val="16"/>
        </w:rPr>
        <w:t>to</w:t>
      </w:r>
      <w:r>
        <w:rPr>
          <w:spacing w:val="-6"/>
          <w:sz w:val="16"/>
        </w:rPr>
        <w:t> </w:t>
      </w:r>
      <w:r>
        <w:rPr>
          <w:sz w:val="16"/>
        </w:rPr>
        <w:t>the</w:t>
      </w:r>
      <w:r>
        <w:rPr>
          <w:spacing w:val="-6"/>
          <w:sz w:val="16"/>
        </w:rPr>
        <w:t> </w:t>
      </w:r>
      <w:r>
        <w:rPr>
          <w:sz w:val="16"/>
        </w:rPr>
        <w:t>Presidency</w:t>
      </w:r>
      <w:r>
        <w:rPr>
          <w:spacing w:val="-6"/>
          <w:sz w:val="16"/>
        </w:rPr>
        <w:t> </w:t>
      </w:r>
      <w:r>
        <w:rPr>
          <w:sz w:val="16"/>
        </w:rPr>
        <w:t>of</w:t>
      </w:r>
      <w:r>
        <w:rPr>
          <w:spacing w:val="-8"/>
          <w:sz w:val="16"/>
        </w:rPr>
        <w:t> </w:t>
      </w:r>
      <w:r>
        <w:rPr>
          <w:sz w:val="16"/>
        </w:rPr>
        <w:t>the</w:t>
      </w:r>
      <w:r>
        <w:rPr>
          <w:spacing w:val="-6"/>
          <w:sz w:val="16"/>
        </w:rPr>
        <w:t> </w:t>
      </w:r>
      <w:r>
        <w:rPr>
          <w:sz w:val="16"/>
        </w:rPr>
        <w:t>Assembly,</w:t>
      </w:r>
      <w:r>
        <w:rPr>
          <w:spacing w:val="-9"/>
          <w:sz w:val="16"/>
        </w:rPr>
        <w:t> </w:t>
      </w:r>
      <w:r>
        <w:rPr>
          <w:sz w:val="16"/>
        </w:rPr>
        <w:t>the</w:t>
      </w:r>
      <w:r>
        <w:rPr>
          <w:spacing w:val="-6"/>
          <w:sz w:val="16"/>
        </w:rPr>
        <w:t> </w:t>
      </w:r>
      <w:r>
        <w:rPr>
          <w:sz w:val="16"/>
        </w:rPr>
        <w:t>Bureau</w:t>
      </w:r>
      <w:r>
        <w:rPr>
          <w:spacing w:val="40"/>
          <w:sz w:val="16"/>
        </w:rPr>
        <w:t> </w:t>
      </w:r>
      <w:r>
        <w:rPr>
          <w:sz w:val="16"/>
        </w:rPr>
        <w:t>and its New York Working Group through the preparation of pre-session and post-session documentation.</w:t>
      </w:r>
    </w:p>
    <w:p>
      <w:pPr>
        <w:spacing w:line="183" w:lineRule="exact" w:before="0"/>
        <w:ind w:left="2246" w:right="0" w:firstLine="0"/>
        <w:jc w:val="both"/>
        <w:rPr>
          <w:sz w:val="16"/>
        </w:rPr>
      </w:pPr>
      <w:r>
        <w:rPr>
          <w:position w:val="5"/>
          <w:sz w:val="10"/>
        </w:rPr>
        <w:t>127</w:t>
      </w:r>
      <w:r>
        <w:rPr>
          <w:spacing w:val="13"/>
          <w:position w:val="5"/>
          <w:sz w:val="10"/>
        </w:rPr>
        <w:t> </w:t>
      </w:r>
      <w:r>
        <w:rPr>
          <w:sz w:val="16"/>
        </w:rPr>
        <w:t>The</w:t>
      </w:r>
      <w:r>
        <w:rPr>
          <w:spacing w:val="-3"/>
          <w:sz w:val="16"/>
        </w:rPr>
        <w:t> </w:t>
      </w:r>
      <w:r>
        <w:rPr>
          <w:sz w:val="16"/>
        </w:rPr>
        <w:t>Assembly will</w:t>
      </w:r>
      <w:r>
        <w:rPr>
          <w:spacing w:val="-4"/>
          <w:sz w:val="16"/>
        </w:rPr>
        <w:t> </w:t>
      </w:r>
      <w:r>
        <w:rPr>
          <w:sz w:val="16"/>
        </w:rPr>
        <w:t>meet in</w:t>
      </w:r>
      <w:r>
        <w:rPr>
          <w:spacing w:val="-2"/>
          <w:sz w:val="16"/>
        </w:rPr>
        <w:t> </w:t>
      </w:r>
      <w:r>
        <w:rPr>
          <w:sz w:val="16"/>
        </w:rPr>
        <w:t>New</w:t>
      </w:r>
      <w:r>
        <w:rPr>
          <w:spacing w:val="-3"/>
          <w:sz w:val="16"/>
        </w:rPr>
        <w:t> </w:t>
      </w:r>
      <w:r>
        <w:rPr>
          <w:sz w:val="16"/>
        </w:rPr>
        <w:t>York</w:t>
      </w:r>
      <w:r>
        <w:rPr>
          <w:spacing w:val="-2"/>
          <w:sz w:val="16"/>
        </w:rPr>
        <w:t> </w:t>
      </w:r>
      <w:r>
        <w:rPr>
          <w:sz w:val="16"/>
        </w:rPr>
        <w:t>in</w:t>
      </w:r>
      <w:r>
        <w:rPr>
          <w:spacing w:val="-2"/>
          <w:sz w:val="16"/>
        </w:rPr>
        <w:t> </w:t>
      </w:r>
      <w:r>
        <w:rPr>
          <w:sz w:val="16"/>
        </w:rPr>
        <w:t>the</w:t>
      </w:r>
      <w:r>
        <w:rPr>
          <w:spacing w:val="-3"/>
          <w:sz w:val="16"/>
        </w:rPr>
        <w:t> </w:t>
      </w:r>
      <w:r>
        <w:rPr>
          <w:sz w:val="16"/>
        </w:rPr>
        <w:t>first</w:t>
      </w:r>
      <w:r>
        <w:rPr>
          <w:spacing w:val="-4"/>
          <w:sz w:val="16"/>
        </w:rPr>
        <w:t> </w:t>
      </w:r>
      <w:r>
        <w:rPr>
          <w:sz w:val="16"/>
        </w:rPr>
        <w:t>half</w:t>
      </w:r>
      <w:r>
        <w:rPr>
          <w:spacing w:val="-4"/>
          <w:sz w:val="16"/>
        </w:rPr>
        <w:t> </w:t>
      </w:r>
      <w:r>
        <w:rPr>
          <w:sz w:val="16"/>
        </w:rPr>
        <w:t>of</w:t>
      </w:r>
      <w:r>
        <w:rPr>
          <w:spacing w:val="-3"/>
          <w:sz w:val="16"/>
        </w:rPr>
        <w:t> </w:t>
      </w:r>
      <w:r>
        <w:rPr>
          <w:sz w:val="16"/>
        </w:rPr>
        <w:t>December</w:t>
      </w:r>
      <w:r>
        <w:rPr>
          <w:spacing w:val="-4"/>
          <w:sz w:val="16"/>
        </w:rPr>
        <w:t> </w:t>
      </w:r>
      <w:r>
        <w:rPr>
          <w:spacing w:val="-2"/>
          <w:sz w:val="16"/>
        </w:rPr>
        <w:t>2023.</w:t>
      </w:r>
    </w:p>
    <w:p>
      <w:pPr>
        <w:spacing w:after="0" w:line="183" w:lineRule="exact"/>
        <w:jc w:val="both"/>
        <w:rPr>
          <w:sz w:val="16"/>
        </w:rPr>
        <w:sectPr>
          <w:pgSz w:w="11910" w:h="16840"/>
          <w:pgMar w:header="957" w:footer="940" w:top="1140" w:bottom="1140" w:left="20" w:right="20"/>
        </w:sectPr>
      </w:pPr>
    </w:p>
    <w:p>
      <w:pPr>
        <w:pStyle w:val="Heading3"/>
        <w:tabs>
          <w:tab w:pos="8076" w:val="left" w:leader="none"/>
        </w:tabs>
        <w:spacing w:before="124"/>
        <w:jc w:val="both"/>
      </w:pPr>
      <w:r>
        <w:rPr/>
        <w:t>Staff</w:t>
      </w:r>
      <w:r>
        <w:rPr>
          <w:spacing w:val="-2"/>
        </w:rPr>
        <w:t> resources</w:t>
      </w:r>
      <w:r>
        <w:rPr/>
        <w:tab/>
        <w:t>€1,961.0</w:t>
      </w:r>
      <w:r>
        <w:rPr>
          <w:spacing w:val="-6"/>
        </w:rPr>
        <w:t> </w:t>
      </w:r>
      <w:r>
        <w:rPr>
          <w:spacing w:val="-2"/>
        </w:rPr>
        <w:t>thousand</w:t>
      </w:r>
    </w:p>
    <w:p>
      <w:pPr>
        <w:pStyle w:val="BodyText"/>
        <w:spacing w:before="11"/>
        <w:rPr>
          <w:b/>
        </w:rPr>
      </w:pPr>
    </w:p>
    <w:p>
      <w:pPr>
        <w:pStyle w:val="ListParagraph"/>
        <w:numPr>
          <w:ilvl w:val="0"/>
          <w:numId w:val="4"/>
        </w:numPr>
        <w:tabs>
          <w:tab w:pos="2967" w:val="left" w:leader="none"/>
        </w:tabs>
        <w:spacing w:line="240" w:lineRule="auto" w:before="0" w:after="0"/>
        <w:ind w:left="2246" w:right="2241" w:firstLine="0"/>
        <w:jc w:val="both"/>
        <w:rPr>
          <w:sz w:val="20"/>
        </w:rPr>
      </w:pPr>
      <w:r>
        <w:rPr>
          <w:sz w:val="20"/>
        </w:rPr>
        <w:t>The</w:t>
      </w:r>
      <w:r>
        <w:rPr>
          <w:spacing w:val="40"/>
          <w:sz w:val="20"/>
        </w:rPr>
        <w:t> </w:t>
      </w:r>
      <w:r>
        <w:rPr>
          <w:sz w:val="20"/>
        </w:rPr>
        <w:t>Secretariat</w:t>
      </w:r>
      <w:r>
        <w:rPr>
          <w:spacing w:val="40"/>
          <w:sz w:val="20"/>
        </w:rPr>
        <w:t> </w:t>
      </w:r>
      <w:r>
        <w:rPr>
          <w:sz w:val="20"/>
        </w:rPr>
        <w:t>has</w:t>
      </w:r>
      <w:r>
        <w:rPr>
          <w:spacing w:val="40"/>
          <w:sz w:val="20"/>
        </w:rPr>
        <w:t> </w:t>
      </w:r>
      <w:r>
        <w:rPr>
          <w:sz w:val="20"/>
        </w:rPr>
        <w:t>10</w:t>
      </w:r>
      <w:r>
        <w:rPr>
          <w:spacing w:val="40"/>
          <w:sz w:val="20"/>
        </w:rPr>
        <w:t> </w:t>
      </w:r>
      <w:r>
        <w:rPr>
          <w:sz w:val="20"/>
        </w:rPr>
        <w:t>established</w:t>
      </w:r>
      <w:r>
        <w:rPr>
          <w:spacing w:val="40"/>
          <w:sz w:val="20"/>
        </w:rPr>
        <w:t> </w:t>
      </w:r>
      <w:r>
        <w:rPr>
          <w:sz w:val="20"/>
        </w:rPr>
        <w:t>posts</w:t>
      </w:r>
      <w:r>
        <w:rPr>
          <w:spacing w:val="40"/>
          <w:sz w:val="20"/>
        </w:rPr>
        <w:t> </w:t>
      </w:r>
      <w:r>
        <w:rPr>
          <w:sz w:val="20"/>
        </w:rPr>
        <w:t>(six</w:t>
      </w:r>
      <w:r>
        <w:rPr>
          <w:spacing w:val="40"/>
          <w:sz w:val="20"/>
        </w:rPr>
        <w:t> </w:t>
      </w:r>
      <w:r>
        <w:rPr>
          <w:sz w:val="20"/>
        </w:rPr>
        <w:t>Professional-level</w:t>
      </w:r>
      <w:r>
        <w:rPr>
          <w:spacing w:val="40"/>
          <w:sz w:val="20"/>
        </w:rPr>
        <w:t> </w:t>
      </w:r>
      <w:r>
        <w:rPr>
          <w:sz w:val="20"/>
        </w:rPr>
        <w:t>staff</w:t>
      </w:r>
      <w:r>
        <w:rPr>
          <w:spacing w:val="40"/>
          <w:sz w:val="20"/>
        </w:rPr>
        <w:t> </w:t>
      </w:r>
      <w:r>
        <w:rPr>
          <w:sz w:val="20"/>
        </w:rPr>
        <w:t>and</w:t>
      </w:r>
      <w:r>
        <w:rPr>
          <w:spacing w:val="40"/>
          <w:sz w:val="20"/>
        </w:rPr>
        <w:t> </w:t>
      </w:r>
      <w:r>
        <w:rPr>
          <w:sz w:val="20"/>
        </w:rPr>
        <w:t>four GS-level staff) and 11 general temporary assistance (GTA) (4.75 FTE) positions (seven at Professional level (4.16 FTE) and four at GS-level (0.59 FTE)). As noted below, four positions</w:t>
      </w:r>
      <w:r>
        <w:rPr>
          <w:spacing w:val="-10"/>
          <w:sz w:val="20"/>
        </w:rPr>
        <w:t> </w:t>
      </w:r>
      <w:r>
        <w:rPr>
          <w:sz w:val="20"/>
        </w:rPr>
        <w:t>are</w:t>
      </w:r>
      <w:r>
        <w:rPr>
          <w:spacing w:val="-7"/>
          <w:sz w:val="20"/>
        </w:rPr>
        <w:t> </w:t>
      </w:r>
      <w:r>
        <w:rPr>
          <w:sz w:val="20"/>
        </w:rPr>
        <w:t>proposed</w:t>
      </w:r>
      <w:r>
        <w:rPr>
          <w:spacing w:val="-13"/>
          <w:sz w:val="20"/>
        </w:rPr>
        <w:t> </w:t>
      </w:r>
      <w:r>
        <w:rPr>
          <w:sz w:val="20"/>
        </w:rPr>
        <w:t>as</w:t>
      </w:r>
      <w:r>
        <w:rPr>
          <w:spacing w:val="-5"/>
          <w:sz w:val="20"/>
        </w:rPr>
        <w:t> </w:t>
      </w:r>
      <w:r>
        <w:rPr>
          <w:sz w:val="20"/>
        </w:rPr>
        <w:t>unfunded</w:t>
      </w:r>
      <w:r>
        <w:rPr>
          <w:spacing w:val="-8"/>
          <w:sz w:val="20"/>
        </w:rPr>
        <w:t> </w:t>
      </w:r>
      <w:r>
        <w:rPr>
          <w:sz w:val="20"/>
        </w:rPr>
        <w:t>in</w:t>
      </w:r>
      <w:r>
        <w:rPr>
          <w:spacing w:val="-8"/>
          <w:sz w:val="20"/>
        </w:rPr>
        <w:t> </w:t>
      </w:r>
      <w:r>
        <w:rPr>
          <w:sz w:val="20"/>
        </w:rPr>
        <w:t>the</w:t>
      </w:r>
      <w:r>
        <w:rPr>
          <w:spacing w:val="-7"/>
          <w:sz w:val="20"/>
        </w:rPr>
        <w:t> </w:t>
      </w:r>
      <w:r>
        <w:rPr>
          <w:sz w:val="20"/>
        </w:rPr>
        <w:t>light</w:t>
      </w:r>
      <w:r>
        <w:rPr>
          <w:spacing w:val="-2"/>
          <w:sz w:val="20"/>
        </w:rPr>
        <w:t> </w:t>
      </w:r>
      <w:r>
        <w:rPr>
          <w:sz w:val="20"/>
        </w:rPr>
        <w:t>of</w:t>
      </w:r>
      <w:r>
        <w:rPr>
          <w:spacing w:val="-8"/>
          <w:sz w:val="20"/>
        </w:rPr>
        <w:t> </w:t>
      </w:r>
      <w:r>
        <w:rPr>
          <w:sz w:val="20"/>
        </w:rPr>
        <w:t>the</w:t>
      </w:r>
      <w:r>
        <w:rPr>
          <w:spacing w:val="-7"/>
          <w:sz w:val="20"/>
        </w:rPr>
        <w:t> </w:t>
      </w:r>
      <w:r>
        <w:rPr>
          <w:sz w:val="20"/>
        </w:rPr>
        <w:t>ASP</w:t>
      </w:r>
      <w:r>
        <w:rPr>
          <w:spacing w:val="-10"/>
          <w:sz w:val="20"/>
        </w:rPr>
        <w:t> </w:t>
      </w:r>
      <w:r>
        <w:rPr>
          <w:sz w:val="20"/>
        </w:rPr>
        <w:t>session</w:t>
      </w:r>
      <w:r>
        <w:rPr>
          <w:spacing w:val="-8"/>
          <w:sz w:val="20"/>
        </w:rPr>
        <w:t> </w:t>
      </w:r>
      <w:r>
        <w:rPr>
          <w:sz w:val="20"/>
        </w:rPr>
        <w:t>taking</w:t>
      </w:r>
      <w:r>
        <w:rPr>
          <w:spacing w:val="-8"/>
          <w:sz w:val="20"/>
        </w:rPr>
        <w:t> </w:t>
      </w:r>
      <w:r>
        <w:rPr>
          <w:sz w:val="20"/>
        </w:rPr>
        <w:t>place</w:t>
      </w:r>
      <w:r>
        <w:rPr>
          <w:spacing w:val="-7"/>
          <w:sz w:val="20"/>
        </w:rPr>
        <w:t> </w:t>
      </w:r>
      <w:r>
        <w:rPr>
          <w:sz w:val="20"/>
        </w:rPr>
        <w:t>in</w:t>
      </w:r>
      <w:r>
        <w:rPr>
          <w:spacing w:val="-8"/>
          <w:sz w:val="20"/>
        </w:rPr>
        <w:t> </w:t>
      </w:r>
      <w:r>
        <w:rPr>
          <w:sz w:val="20"/>
        </w:rPr>
        <w:t>New</w:t>
      </w:r>
      <w:r>
        <w:rPr>
          <w:spacing w:val="-5"/>
          <w:sz w:val="20"/>
        </w:rPr>
        <w:t> </w:t>
      </w:r>
      <w:r>
        <w:rPr>
          <w:sz w:val="20"/>
        </w:rPr>
        <w:t>York.</w:t>
      </w:r>
    </w:p>
    <w:p>
      <w:pPr>
        <w:pStyle w:val="ListParagraph"/>
        <w:numPr>
          <w:ilvl w:val="0"/>
          <w:numId w:val="4"/>
        </w:numPr>
        <w:tabs>
          <w:tab w:pos="2967" w:val="left" w:leader="none"/>
        </w:tabs>
        <w:spacing w:line="240" w:lineRule="auto" w:before="122" w:after="0"/>
        <w:ind w:left="2246" w:right="2243" w:firstLine="0"/>
        <w:jc w:val="both"/>
        <w:rPr>
          <w:sz w:val="20"/>
        </w:rPr>
      </w:pPr>
      <w:r>
        <w:rPr>
          <w:sz w:val="20"/>
        </w:rPr>
        <w:t>The request for a number of short-term GTA staff contained in the 2022 approved budget has been eliminated, as in some cases greater efficiencies and improved working methods allow the work to be undertaken with existing resources or with support from the Secretariat of the United Nations when the Assembly has its</w:t>
      </w:r>
      <w:r>
        <w:rPr>
          <w:spacing w:val="-1"/>
          <w:sz w:val="20"/>
        </w:rPr>
        <w:t> </w:t>
      </w:r>
      <w:r>
        <w:rPr>
          <w:sz w:val="20"/>
        </w:rPr>
        <w:t>sessions in New York.</w:t>
      </w:r>
    </w:p>
    <w:p>
      <w:pPr>
        <w:pStyle w:val="BodyText"/>
        <w:rPr>
          <w:sz w:val="21"/>
        </w:rPr>
      </w:pPr>
    </w:p>
    <w:p>
      <w:pPr>
        <w:tabs>
          <w:tab w:pos="8133" w:val="left" w:leader="none"/>
        </w:tabs>
        <w:spacing w:before="0"/>
        <w:ind w:left="2246" w:right="0" w:firstLine="0"/>
        <w:jc w:val="both"/>
        <w:rPr>
          <w:i/>
          <w:sz w:val="20"/>
        </w:rPr>
      </w:pPr>
      <w:r>
        <w:rPr>
          <w:i/>
          <w:sz w:val="20"/>
        </w:rPr>
        <w:t>Established</w:t>
      </w:r>
      <w:r>
        <w:rPr>
          <w:i/>
          <w:spacing w:val="-8"/>
          <w:sz w:val="20"/>
        </w:rPr>
        <w:t> </w:t>
      </w:r>
      <w:r>
        <w:rPr>
          <w:i/>
          <w:sz w:val="20"/>
        </w:rPr>
        <w:t>posts:</w:t>
      </w:r>
      <w:r>
        <w:rPr>
          <w:i/>
          <w:spacing w:val="-11"/>
          <w:sz w:val="20"/>
        </w:rPr>
        <w:t> </w:t>
      </w:r>
      <w:r>
        <w:rPr>
          <w:i/>
          <w:sz w:val="20"/>
        </w:rPr>
        <w:t>Professional</w:t>
      </w:r>
      <w:r>
        <w:rPr>
          <w:i/>
          <w:spacing w:val="-6"/>
          <w:sz w:val="20"/>
        </w:rPr>
        <w:t> </w:t>
      </w:r>
      <w:r>
        <w:rPr>
          <w:i/>
          <w:sz w:val="20"/>
        </w:rPr>
        <w:t>and</w:t>
      </w:r>
      <w:r>
        <w:rPr>
          <w:i/>
          <w:spacing w:val="-8"/>
          <w:sz w:val="20"/>
        </w:rPr>
        <w:t> </w:t>
      </w:r>
      <w:r>
        <w:rPr>
          <w:i/>
          <w:sz w:val="20"/>
        </w:rPr>
        <w:t>General</w:t>
      </w:r>
      <w:r>
        <w:rPr>
          <w:i/>
          <w:spacing w:val="-9"/>
          <w:sz w:val="20"/>
        </w:rPr>
        <w:t> </w:t>
      </w:r>
      <w:r>
        <w:rPr>
          <w:i/>
          <w:spacing w:val="-2"/>
          <w:sz w:val="20"/>
        </w:rPr>
        <w:t>Service</w:t>
      </w:r>
      <w:r>
        <w:rPr>
          <w:i/>
          <w:sz w:val="20"/>
        </w:rPr>
        <w:tab/>
        <w:t>€1,304.3</w:t>
      </w:r>
      <w:r>
        <w:rPr>
          <w:i/>
          <w:spacing w:val="-4"/>
          <w:sz w:val="20"/>
        </w:rPr>
        <w:t> </w:t>
      </w:r>
      <w:r>
        <w:rPr>
          <w:i/>
          <w:spacing w:val="-2"/>
          <w:sz w:val="20"/>
        </w:rPr>
        <w:t>thousand</w:t>
      </w:r>
    </w:p>
    <w:p>
      <w:pPr>
        <w:pStyle w:val="BodyText"/>
        <w:spacing w:before="6"/>
        <w:rPr>
          <w:i/>
        </w:rPr>
      </w:pPr>
    </w:p>
    <w:p>
      <w:pPr>
        <w:pStyle w:val="ListParagraph"/>
        <w:numPr>
          <w:ilvl w:val="0"/>
          <w:numId w:val="4"/>
        </w:numPr>
        <w:tabs>
          <w:tab w:pos="2967" w:val="left" w:leader="none"/>
        </w:tabs>
        <w:spacing w:line="240" w:lineRule="auto" w:before="0" w:after="0"/>
        <w:ind w:left="2246" w:right="2239" w:firstLine="0"/>
        <w:jc w:val="both"/>
        <w:rPr>
          <w:sz w:val="20"/>
        </w:rPr>
      </w:pPr>
      <w:r>
        <w:rPr>
          <w:sz w:val="20"/>
        </w:rPr>
        <w:t>The amount requested for established posts has increased by €173.7 thousand</w:t>
      </w:r>
      <w:r>
        <w:rPr>
          <w:spacing w:val="40"/>
          <w:sz w:val="20"/>
        </w:rPr>
        <w:t> </w:t>
      </w:r>
      <w:r>
        <w:rPr>
          <w:sz w:val="20"/>
        </w:rPr>
        <w:t>(15.4</w:t>
      </w:r>
      <w:r>
        <w:rPr>
          <w:spacing w:val="-4"/>
          <w:sz w:val="20"/>
        </w:rPr>
        <w:t> </w:t>
      </w:r>
      <w:r>
        <w:rPr>
          <w:sz w:val="20"/>
        </w:rPr>
        <w:t>per</w:t>
      </w:r>
      <w:r>
        <w:rPr>
          <w:spacing w:val="-4"/>
          <w:sz w:val="20"/>
        </w:rPr>
        <w:t> </w:t>
      </w:r>
      <w:r>
        <w:rPr>
          <w:sz w:val="20"/>
        </w:rPr>
        <w:t>cent)</w:t>
      </w:r>
      <w:r>
        <w:rPr>
          <w:spacing w:val="-5"/>
          <w:sz w:val="20"/>
        </w:rPr>
        <w:t> </w:t>
      </w:r>
      <w:r>
        <w:rPr>
          <w:sz w:val="20"/>
        </w:rPr>
        <w:t>as</w:t>
      </w:r>
      <w:r>
        <w:rPr>
          <w:spacing w:val="-1"/>
          <w:sz w:val="20"/>
        </w:rPr>
        <w:t> </w:t>
      </w:r>
      <w:r>
        <w:rPr>
          <w:sz w:val="20"/>
        </w:rPr>
        <w:t>a result of</w:t>
      </w:r>
      <w:r>
        <w:rPr>
          <w:spacing w:val="-5"/>
          <w:sz w:val="20"/>
        </w:rPr>
        <w:t> </w:t>
      </w:r>
      <w:r>
        <w:rPr>
          <w:sz w:val="20"/>
        </w:rPr>
        <w:t>the conversion of one </w:t>
      </w:r>
      <w:r>
        <w:rPr>
          <w:i/>
          <w:sz w:val="20"/>
        </w:rPr>
        <w:t>Legal Officer</w:t>
      </w:r>
      <w:r>
        <w:rPr>
          <w:i/>
          <w:spacing w:val="-1"/>
          <w:sz w:val="20"/>
        </w:rPr>
        <w:t> </w:t>
      </w:r>
      <w:r>
        <w:rPr>
          <w:i/>
          <w:sz w:val="20"/>
        </w:rPr>
        <w:t>(P-3) </w:t>
      </w:r>
      <w:r>
        <w:rPr>
          <w:sz w:val="20"/>
        </w:rPr>
        <w:t>from</w:t>
      </w:r>
      <w:r>
        <w:rPr>
          <w:spacing w:val="-3"/>
          <w:sz w:val="20"/>
        </w:rPr>
        <w:t> </w:t>
      </w:r>
      <w:r>
        <w:rPr>
          <w:sz w:val="20"/>
        </w:rPr>
        <w:t>a GTA</w:t>
      </w:r>
      <w:r>
        <w:rPr>
          <w:spacing w:val="-1"/>
          <w:sz w:val="20"/>
        </w:rPr>
        <w:t> </w:t>
      </w:r>
      <w:r>
        <w:rPr>
          <w:sz w:val="20"/>
        </w:rPr>
        <w:t>position to</w:t>
      </w:r>
      <w:r>
        <w:rPr>
          <w:spacing w:val="-10"/>
          <w:sz w:val="20"/>
        </w:rPr>
        <w:t> </w:t>
      </w:r>
      <w:r>
        <w:rPr>
          <w:sz w:val="20"/>
        </w:rPr>
        <w:t>an</w:t>
      </w:r>
      <w:r>
        <w:rPr>
          <w:spacing w:val="-13"/>
          <w:sz w:val="20"/>
        </w:rPr>
        <w:t> </w:t>
      </w:r>
      <w:r>
        <w:rPr>
          <w:sz w:val="20"/>
        </w:rPr>
        <w:t>established</w:t>
      </w:r>
      <w:r>
        <w:rPr>
          <w:spacing w:val="-8"/>
          <w:sz w:val="20"/>
        </w:rPr>
        <w:t> </w:t>
      </w:r>
      <w:r>
        <w:rPr>
          <w:sz w:val="20"/>
        </w:rPr>
        <w:t>post</w:t>
      </w:r>
      <w:r>
        <w:rPr>
          <w:spacing w:val="-8"/>
          <w:sz w:val="20"/>
        </w:rPr>
        <w:t> </w:t>
      </w:r>
      <w:r>
        <w:rPr>
          <w:sz w:val="20"/>
        </w:rPr>
        <w:t>and</w:t>
      </w:r>
      <w:r>
        <w:rPr>
          <w:spacing w:val="-13"/>
          <w:sz w:val="20"/>
        </w:rPr>
        <w:t> </w:t>
      </w:r>
      <w:r>
        <w:rPr>
          <w:sz w:val="20"/>
        </w:rPr>
        <w:t>the</w:t>
      </w:r>
      <w:r>
        <w:rPr>
          <w:spacing w:val="-11"/>
          <w:sz w:val="20"/>
        </w:rPr>
        <w:t> </w:t>
      </w:r>
      <w:r>
        <w:rPr>
          <w:sz w:val="20"/>
        </w:rPr>
        <w:t>abolishment</w:t>
      </w:r>
      <w:r>
        <w:rPr>
          <w:spacing w:val="-8"/>
          <w:sz w:val="20"/>
        </w:rPr>
        <w:t> </w:t>
      </w:r>
      <w:r>
        <w:rPr>
          <w:sz w:val="20"/>
        </w:rPr>
        <w:t>of</w:t>
      </w:r>
      <w:r>
        <w:rPr>
          <w:spacing w:val="-9"/>
          <w:sz w:val="20"/>
        </w:rPr>
        <w:t> </w:t>
      </w:r>
      <w:r>
        <w:rPr>
          <w:sz w:val="20"/>
        </w:rPr>
        <w:t>one</w:t>
      </w:r>
      <w:r>
        <w:rPr>
          <w:spacing w:val="-3"/>
          <w:sz w:val="20"/>
        </w:rPr>
        <w:t> </w:t>
      </w:r>
      <w:r>
        <w:rPr>
          <w:i/>
          <w:sz w:val="20"/>
        </w:rPr>
        <w:t>Documentalist/Archivist</w:t>
      </w:r>
      <w:r>
        <w:rPr>
          <w:i/>
          <w:spacing w:val="-8"/>
          <w:sz w:val="20"/>
        </w:rPr>
        <w:t> </w:t>
      </w:r>
      <w:r>
        <w:rPr>
          <w:i/>
          <w:sz w:val="20"/>
        </w:rPr>
        <w:t>(GS-PL)</w:t>
      </w:r>
      <w:r>
        <w:rPr>
          <w:i/>
          <w:spacing w:val="-13"/>
          <w:sz w:val="20"/>
        </w:rPr>
        <w:t> </w:t>
      </w:r>
      <w:r>
        <w:rPr>
          <w:sz w:val="20"/>
        </w:rPr>
        <w:t>post.</w:t>
      </w:r>
      <w:r>
        <w:rPr>
          <w:spacing w:val="-6"/>
          <w:sz w:val="20"/>
        </w:rPr>
        <w:t> </w:t>
      </w:r>
      <w:r>
        <w:rPr>
          <w:sz w:val="20"/>
        </w:rPr>
        <w:t>The Secretariat is endeavouring to have the functions of that GS-PL post carried out by other administrative staff in Major Programme IV. The Secretariat currently comprises one </w:t>
      </w:r>
      <w:r>
        <w:rPr>
          <w:i/>
          <w:sz w:val="20"/>
        </w:rPr>
        <w:t>Director,</w:t>
      </w:r>
      <w:r>
        <w:rPr>
          <w:i/>
          <w:spacing w:val="-1"/>
          <w:sz w:val="20"/>
        </w:rPr>
        <w:t> </w:t>
      </w:r>
      <w:r>
        <w:rPr>
          <w:i/>
          <w:sz w:val="20"/>
        </w:rPr>
        <w:t>Secretariat of</w:t>
      </w:r>
      <w:r>
        <w:rPr>
          <w:i/>
          <w:spacing w:val="-2"/>
          <w:sz w:val="20"/>
        </w:rPr>
        <w:t> </w:t>
      </w:r>
      <w:r>
        <w:rPr>
          <w:i/>
          <w:sz w:val="20"/>
        </w:rPr>
        <w:t>the</w:t>
      </w:r>
      <w:r>
        <w:rPr>
          <w:i/>
          <w:spacing w:val="-7"/>
          <w:sz w:val="20"/>
        </w:rPr>
        <w:t> </w:t>
      </w:r>
      <w:r>
        <w:rPr>
          <w:i/>
          <w:sz w:val="20"/>
        </w:rPr>
        <w:t>Assembly of</w:t>
      </w:r>
      <w:r>
        <w:rPr>
          <w:i/>
          <w:spacing w:val="-2"/>
          <w:sz w:val="20"/>
        </w:rPr>
        <w:t> </w:t>
      </w:r>
      <w:r>
        <w:rPr>
          <w:i/>
          <w:sz w:val="20"/>
        </w:rPr>
        <w:t>States</w:t>
      </w:r>
      <w:r>
        <w:rPr>
          <w:i/>
          <w:spacing w:val="-5"/>
          <w:sz w:val="20"/>
        </w:rPr>
        <w:t> </w:t>
      </w:r>
      <w:r>
        <w:rPr>
          <w:i/>
          <w:sz w:val="20"/>
        </w:rPr>
        <w:t>Parties</w:t>
      </w:r>
      <w:r>
        <w:rPr>
          <w:i/>
          <w:spacing w:val="-5"/>
          <w:sz w:val="20"/>
        </w:rPr>
        <w:t> </w:t>
      </w:r>
      <w:r>
        <w:rPr>
          <w:i/>
          <w:sz w:val="20"/>
        </w:rPr>
        <w:t>(D-1)</w:t>
      </w:r>
      <w:r>
        <w:rPr>
          <w:sz w:val="20"/>
        </w:rPr>
        <w:t>,</w:t>
      </w:r>
      <w:r>
        <w:rPr>
          <w:spacing w:val="-1"/>
          <w:sz w:val="20"/>
        </w:rPr>
        <w:t> </w:t>
      </w:r>
      <w:r>
        <w:rPr>
          <w:sz w:val="20"/>
        </w:rPr>
        <w:t>one</w:t>
      </w:r>
      <w:r>
        <w:rPr>
          <w:spacing w:val="-6"/>
          <w:sz w:val="20"/>
        </w:rPr>
        <w:t> </w:t>
      </w:r>
      <w:r>
        <w:rPr>
          <w:i/>
          <w:sz w:val="20"/>
        </w:rPr>
        <w:t>Executive</w:t>
      </w:r>
      <w:r>
        <w:rPr>
          <w:i/>
          <w:spacing w:val="-2"/>
          <w:sz w:val="20"/>
        </w:rPr>
        <w:t> </w:t>
      </w:r>
      <w:r>
        <w:rPr>
          <w:i/>
          <w:sz w:val="20"/>
        </w:rPr>
        <w:t>Secretary</w:t>
      </w:r>
      <w:r>
        <w:rPr>
          <w:i/>
          <w:spacing w:val="-2"/>
          <w:sz w:val="20"/>
        </w:rPr>
        <w:t> </w:t>
      </w:r>
      <w:r>
        <w:rPr>
          <w:i/>
          <w:sz w:val="20"/>
        </w:rPr>
        <w:t>to</w:t>
      </w:r>
      <w:r>
        <w:rPr>
          <w:i/>
          <w:spacing w:val="-4"/>
          <w:sz w:val="20"/>
        </w:rPr>
        <w:t> </w:t>
      </w:r>
      <w:r>
        <w:rPr>
          <w:i/>
          <w:sz w:val="20"/>
        </w:rPr>
        <w:t>the</w:t>
      </w:r>
      <w:r>
        <w:rPr>
          <w:i/>
          <w:sz w:val="20"/>
        </w:rPr>
        <w:t> Committee</w:t>
      </w:r>
      <w:r>
        <w:rPr>
          <w:i/>
          <w:spacing w:val="40"/>
          <w:sz w:val="20"/>
        </w:rPr>
        <w:t> </w:t>
      </w:r>
      <w:r>
        <w:rPr>
          <w:i/>
          <w:sz w:val="20"/>
        </w:rPr>
        <w:t>on</w:t>
      </w:r>
      <w:r>
        <w:rPr>
          <w:i/>
          <w:spacing w:val="37"/>
          <w:sz w:val="20"/>
        </w:rPr>
        <w:t> </w:t>
      </w:r>
      <w:r>
        <w:rPr>
          <w:i/>
          <w:sz w:val="20"/>
        </w:rPr>
        <w:t>Budget</w:t>
      </w:r>
      <w:r>
        <w:rPr>
          <w:i/>
          <w:spacing w:val="40"/>
          <w:sz w:val="20"/>
        </w:rPr>
        <w:t> </w:t>
      </w:r>
      <w:r>
        <w:rPr>
          <w:i/>
          <w:sz w:val="20"/>
        </w:rPr>
        <w:t>and</w:t>
      </w:r>
      <w:r>
        <w:rPr>
          <w:i/>
          <w:spacing w:val="37"/>
          <w:sz w:val="20"/>
        </w:rPr>
        <w:t> </w:t>
      </w:r>
      <w:r>
        <w:rPr>
          <w:i/>
          <w:sz w:val="20"/>
        </w:rPr>
        <w:t>Finance</w:t>
      </w:r>
      <w:r>
        <w:rPr>
          <w:i/>
          <w:spacing w:val="40"/>
          <w:sz w:val="20"/>
        </w:rPr>
        <w:t> </w:t>
      </w:r>
      <w:r>
        <w:rPr>
          <w:i/>
          <w:sz w:val="20"/>
        </w:rPr>
        <w:t>(P-5)</w:t>
      </w:r>
      <w:r>
        <w:rPr>
          <w:sz w:val="20"/>
        </w:rPr>
        <w:t>,</w:t>
      </w:r>
      <w:r>
        <w:rPr>
          <w:spacing w:val="40"/>
          <w:sz w:val="20"/>
        </w:rPr>
        <w:t> </w:t>
      </w:r>
      <w:r>
        <w:rPr>
          <w:sz w:val="20"/>
        </w:rPr>
        <w:t>one</w:t>
      </w:r>
      <w:r>
        <w:rPr>
          <w:spacing w:val="40"/>
          <w:sz w:val="20"/>
        </w:rPr>
        <w:t> </w:t>
      </w:r>
      <w:r>
        <w:rPr>
          <w:i/>
          <w:sz w:val="20"/>
        </w:rPr>
        <w:t>Legal</w:t>
      </w:r>
      <w:r>
        <w:rPr>
          <w:i/>
          <w:spacing w:val="40"/>
          <w:sz w:val="20"/>
        </w:rPr>
        <w:t> </w:t>
      </w:r>
      <w:r>
        <w:rPr>
          <w:i/>
          <w:sz w:val="20"/>
        </w:rPr>
        <w:t>Officer</w:t>
      </w:r>
      <w:r>
        <w:rPr>
          <w:i/>
          <w:spacing w:val="40"/>
          <w:sz w:val="20"/>
        </w:rPr>
        <w:t> </w:t>
      </w:r>
      <w:r>
        <w:rPr>
          <w:i/>
          <w:sz w:val="20"/>
        </w:rPr>
        <w:t>(P-4)</w:t>
      </w:r>
      <w:r>
        <w:rPr>
          <w:sz w:val="20"/>
        </w:rPr>
        <w:t>,</w:t>
      </w:r>
      <w:r>
        <w:rPr>
          <w:spacing w:val="40"/>
          <w:sz w:val="20"/>
        </w:rPr>
        <w:t> </w:t>
      </w:r>
      <w:r>
        <w:rPr>
          <w:sz w:val="20"/>
        </w:rPr>
        <w:t>two</w:t>
      </w:r>
      <w:r>
        <w:rPr>
          <w:spacing w:val="40"/>
          <w:sz w:val="20"/>
        </w:rPr>
        <w:t> </w:t>
      </w:r>
      <w:r>
        <w:rPr>
          <w:i/>
          <w:sz w:val="20"/>
        </w:rPr>
        <w:t>Legal</w:t>
      </w:r>
      <w:r>
        <w:rPr>
          <w:i/>
          <w:spacing w:val="39"/>
          <w:sz w:val="20"/>
        </w:rPr>
        <w:t> </w:t>
      </w:r>
      <w:r>
        <w:rPr>
          <w:i/>
          <w:sz w:val="20"/>
        </w:rPr>
        <w:t>Officers</w:t>
      </w:r>
      <w:r>
        <w:rPr>
          <w:i/>
          <w:sz w:val="20"/>
        </w:rPr>
        <w:t> (P-3)</w:t>
      </w:r>
      <w:r>
        <w:rPr>
          <w:sz w:val="20"/>
        </w:rPr>
        <w:t>,</w:t>
      </w:r>
      <w:r>
        <w:rPr>
          <w:sz w:val="20"/>
          <w:vertAlign w:val="superscript"/>
        </w:rPr>
        <w:t>128</w:t>
      </w:r>
      <w:r>
        <w:rPr>
          <w:sz w:val="20"/>
          <w:vertAlign w:val="baseline"/>
        </w:rPr>
        <w:t> one </w:t>
      </w:r>
      <w:r>
        <w:rPr>
          <w:i/>
          <w:sz w:val="20"/>
          <w:vertAlign w:val="baseline"/>
        </w:rPr>
        <w:t>Special Assistant to the Director (P-2)</w:t>
      </w:r>
      <w:r>
        <w:rPr>
          <w:sz w:val="20"/>
          <w:vertAlign w:val="baseline"/>
        </w:rPr>
        <w:t>, one </w:t>
      </w:r>
      <w:r>
        <w:rPr>
          <w:i/>
          <w:sz w:val="20"/>
          <w:vertAlign w:val="baseline"/>
        </w:rPr>
        <w:t>Senior Administrative Assistant</w:t>
      </w:r>
      <w:r>
        <w:rPr>
          <w:i/>
          <w:sz w:val="20"/>
          <w:vertAlign w:val="baseline"/>
        </w:rPr>
        <w:t> (GS-PL)</w:t>
      </w:r>
      <w:r>
        <w:rPr>
          <w:sz w:val="20"/>
          <w:vertAlign w:val="baseline"/>
        </w:rPr>
        <w:t>, one </w:t>
      </w:r>
      <w:r>
        <w:rPr>
          <w:i/>
          <w:sz w:val="20"/>
          <w:vertAlign w:val="baseline"/>
        </w:rPr>
        <w:t>Meetings and Administrative Assistant (GS-OL) </w:t>
      </w:r>
      <w:r>
        <w:rPr>
          <w:sz w:val="20"/>
          <w:vertAlign w:val="baseline"/>
        </w:rPr>
        <w:t>and two </w:t>
      </w:r>
      <w:r>
        <w:rPr>
          <w:i/>
          <w:sz w:val="20"/>
          <w:vertAlign w:val="baseline"/>
        </w:rPr>
        <w:t>Administrative</w:t>
      </w:r>
      <w:r>
        <w:rPr>
          <w:i/>
          <w:sz w:val="20"/>
          <w:vertAlign w:val="baseline"/>
        </w:rPr>
        <w:t> Assistants</w:t>
      </w:r>
      <w:r>
        <w:rPr>
          <w:i/>
          <w:spacing w:val="-2"/>
          <w:sz w:val="20"/>
          <w:vertAlign w:val="baseline"/>
        </w:rPr>
        <w:t> </w:t>
      </w:r>
      <w:r>
        <w:rPr>
          <w:i/>
          <w:sz w:val="20"/>
          <w:vertAlign w:val="baseline"/>
        </w:rPr>
        <w:t>(GS-OL)</w:t>
      </w:r>
      <w:r>
        <w:rPr>
          <w:sz w:val="20"/>
          <w:vertAlign w:val="baseline"/>
        </w:rPr>
        <w:t>.</w:t>
      </w:r>
      <w:r>
        <w:rPr>
          <w:spacing w:val="-3"/>
          <w:sz w:val="20"/>
          <w:vertAlign w:val="baseline"/>
        </w:rPr>
        <w:t> </w:t>
      </w:r>
      <w:r>
        <w:rPr>
          <w:sz w:val="20"/>
          <w:vertAlign w:val="baseline"/>
        </w:rPr>
        <w:t>With</w:t>
      </w:r>
      <w:r>
        <w:rPr>
          <w:spacing w:val="-5"/>
          <w:sz w:val="20"/>
          <w:vertAlign w:val="baseline"/>
        </w:rPr>
        <w:t> </w:t>
      </w:r>
      <w:r>
        <w:rPr>
          <w:sz w:val="20"/>
          <w:vertAlign w:val="baseline"/>
        </w:rPr>
        <w:t>the</w:t>
      </w:r>
      <w:r>
        <w:rPr>
          <w:spacing w:val="-2"/>
          <w:sz w:val="20"/>
          <w:vertAlign w:val="baseline"/>
        </w:rPr>
        <w:t> </w:t>
      </w:r>
      <w:r>
        <w:rPr>
          <w:sz w:val="20"/>
          <w:vertAlign w:val="baseline"/>
        </w:rPr>
        <w:t>exceptions</w:t>
      </w:r>
      <w:r>
        <w:rPr>
          <w:spacing w:val="-2"/>
          <w:sz w:val="20"/>
          <w:vertAlign w:val="baseline"/>
        </w:rPr>
        <w:t> </w:t>
      </w:r>
      <w:r>
        <w:rPr>
          <w:sz w:val="20"/>
          <w:vertAlign w:val="baseline"/>
        </w:rPr>
        <w:t>below,</w:t>
      </w:r>
      <w:r>
        <w:rPr>
          <w:spacing w:val="-3"/>
          <w:sz w:val="20"/>
          <w:vertAlign w:val="baseline"/>
        </w:rPr>
        <w:t> </w:t>
      </w:r>
      <w:r>
        <w:rPr>
          <w:sz w:val="20"/>
          <w:vertAlign w:val="baseline"/>
        </w:rPr>
        <w:t>all</w:t>
      </w:r>
      <w:r>
        <w:rPr>
          <w:spacing w:val="-3"/>
          <w:sz w:val="20"/>
          <w:vertAlign w:val="baseline"/>
        </w:rPr>
        <w:t> </w:t>
      </w:r>
      <w:r>
        <w:rPr>
          <w:sz w:val="20"/>
          <w:vertAlign w:val="baseline"/>
        </w:rPr>
        <w:t>Secretariat</w:t>
      </w:r>
      <w:r>
        <w:rPr>
          <w:spacing w:val="-3"/>
          <w:sz w:val="20"/>
          <w:vertAlign w:val="baseline"/>
        </w:rPr>
        <w:t> </w:t>
      </w:r>
      <w:r>
        <w:rPr>
          <w:sz w:val="20"/>
          <w:vertAlign w:val="baseline"/>
        </w:rPr>
        <w:t>staff</w:t>
      </w:r>
      <w:r>
        <w:rPr>
          <w:spacing w:val="-5"/>
          <w:sz w:val="20"/>
          <w:vertAlign w:val="baseline"/>
        </w:rPr>
        <w:t> </w:t>
      </w:r>
      <w:r>
        <w:rPr>
          <w:sz w:val="20"/>
          <w:vertAlign w:val="baseline"/>
        </w:rPr>
        <w:t>carry</w:t>
      </w:r>
      <w:r>
        <w:rPr>
          <w:spacing w:val="-5"/>
          <w:sz w:val="20"/>
          <w:vertAlign w:val="baseline"/>
        </w:rPr>
        <w:t> </w:t>
      </w:r>
      <w:r>
        <w:rPr>
          <w:sz w:val="20"/>
          <w:vertAlign w:val="baseline"/>
        </w:rPr>
        <w:t>out</w:t>
      </w:r>
      <w:r>
        <w:rPr>
          <w:spacing w:val="-3"/>
          <w:sz w:val="20"/>
          <w:vertAlign w:val="baseline"/>
        </w:rPr>
        <w:t> </w:t>
      </w:r>
      <w:r>
        <w:rPr>
          <w:sz w:val="20"/>
          <w:vertAlign w:val="baseline"/>
        </w:rPr>
        <w:t>their</w:t>
      </w:r>
      <w:r>
        <w:rPr>
          <w:spacing w:val="-1"/>
          <w:sz w:val="20"/>
          <w:vertAlign w:val="baseline"/>
        </w:rPr>
        <w:t> </w:t>
      </w:r>
      <w:r>
        <w:rPr>
          <w:sz w:val="20"/>
          <w:vertAlign w:val="baseline"/>
        </w:rPr>
        <w:t>functions under the supervision of the Director. Secretariat staff provide both substantive services (in the</w:t>
      </w:r>
      <w:r>
        <w:rPr>
          <w:spacing w:val="-11"/>
          <w:sz w:val="20"/>
          <w:vertAlign w:val="baseline"/>
        </w:rPr>
        <w:t> </w:t>
      </w:r>
      <w:r>
        <w:rPr>
          <w:sz w:val="20"/>
          <w:vertAlign w:val="baseline"/>
        </w:rPr>
        <w:t>case</w:t>
      </w:r>
      <w:r>
        <w:rPr>
          <w:spacing w:val="-6"/>
          <w:sz w:val="20"/>
          <w:vertAlign w:val="baseline"/>
        </w:rPr>
        <w:t> </w:t>
      </w:r>
      <w:r>
        <w:rPr>
          <w:sz w:val="20"/>
          <w:vertAlign w:val="baseline"/>
        </w:rPr>
        <w:t>of</w:t>
      </w:r>
      <w:r>
        <w:rPr>
          <w:spacing w:val="-12"/>
          <w:sz w:val="20"/>
          <w:vertAlign w:val="baseline"/>
        </w:rPr>
        <w:t> </w:t>
      </w:r>
      <w:r>
        <w:rPr>
          <w:sz w:val="20"/>
          <w:vertAlign w:val="baseline"/>
        </w:rPr>
        <w:t>the</w:t>
      </w:r>
      <w:r>
        <w:rPr>
          <w:spacing w:val="-11"/>
          <w:sz w:val="20"/>
          <w:vertAlign w:val="baseline"/>
        </w:rPr>
        <w:t> </w:t>
      </w:r>
      <w:r>
        <w:rPr>
          <w:sz w:val="20"/>
          <w:vertAlign w:val="baseline"/>
        </w:rPr>
        <w:t>Legal</w:t>
      </w:r>
      <w:r>
        <w:rPr>
          <w:spacing w:val="-6"/>
          <w:sz w:val="20"/>
          <w:vertAlign w:val="baseline"/>
        </w:rPr>
        <w:t> </w:t>
      </w:r>
      <w:r>
        <w:rPr>
          <w:sz w:val="20"/>
          <w:vertAlign w:val="baseline"/>
        </w:rPr>
        <w:t>Officers)</w:t>
      </w:r>
      <w:r>
        <w:rPr>
          <w:spacing w:val="-12"/>
          <w:sz w:val="20"/>
          <w:vertAlign w:val="baseline"/>
        </w:rPr>
        <w:t> </w:t>
      </w:r>
      <w:r>
        <w:rPr>
          <w:sz w:val="20"/>
          <w:vertAlign w:val="baseline"/>
        </w:rPr>
        <w:t>and</w:t>
      </w:r>
      <w:r>
        <w:rPr>
          <w:spacing w:val="-12"/>
          <w:sz w:val="20"/>
          <w:vertAlign w:val="baseline"/>
        </w:rPr>
        <w:t> </w:t>
      </w:r>
      <w:r>
        <w:rPr>
          <w:sz w:val="20"/>
          <w:vertAlign w:val="baseline"/>
        </w:rPr>
        <w:t>technical</w:t>
      </w:r>
      <w:r>
        <w:rPr>
          <w:spacing w:val="-6"/>
          <w:sz w:val="20"/>
          <w:vertAlign w:val="baseline"/>
        </w:rPr>
        <w:t> </w:t>
      </w:r>
      <w:r>
        <w:rPr>
          <w:sz w:val="20"/>
          <w:vertAlign w:val="baseline"/>
        </w:rPr>
        <w:t>services</w:t>
      </w:r>
      <w:r>
        <w:rPr>
          <w:spacing w:val="-9"/>
          <w:sz w:val="20"/>
          <w:vertAlign w:val="baseline"/>
        </w:rPr>
        <w:t> </w:t>
      </w:r>
      <w:r>
        <w:rPr>
          <w:sz w:val="20"/>
          <w:vertAlign w:val="baseline"/>
        </w:rPr>
        <w:t>(in</w:t>
      </w:r>
      <w:r>
        <w:rPr>
          <w:spacing w:val="-7"/>
          <w:sz w:val="20"/>
          <w:vertAlign w:val="baseline"/>
        </w:rPr>
        <w:t> </w:t>
      </w:r>
      <w:r>
        <w:rPr>
          <w:sz w:val="20"/>
          <w:vertAlign w:val="baseline"/>
        </w:rPr>
        <w:t>the</w:t>
      </w:r>
      <w:r>
        <w:rPr>
          <w:spacing w:val="-11"/>
          <w:sz w:val="20"/>
          <w:vertAlign w:val="baseline"/>
        </w:rPr>
        <w:t> </w:t>
      </w:r>
      <w:r>
        <w:rPr>
          <w:sz w:val="20"/>
          <w:vertAlign w:val="baseline"/>
        </w:rPr>
        <w:t>case</w:t>
      </w:r>
      <w:r>
        <w:rPr>
          <w:spacing w:val="-6"/>
          <w:sz w:val="20"/>
          <w:vertAlign w:val="baseline"/>
        </w:rPr>
        <w:t> </w:t>
      </w:r>
      <w:r>
        <w:rPr>
          <w:sz w:val="20"/>
          <w:vertAlign w:val="baseline"/>
        </w:rPr>
        <w:t>of</w:t>
      </w:r>
      <w:r>
        <w:rPr>
          <w:spacing w:val="-12"/>
          <w:sz w:val="20"/>
          <w:vertAlign w:val="baseline"/>
        </w:rPr>
        <w:t> </w:t>
      </w:r>
      <w:r>
        <w:rPr>
          <w:sz w:val="20"/>
          <w:vertAlign w:val="baseline"/>
        </w:rPr>
        <w:t>conference-servicing</w:t>
      </w:r>
      <w:r>
        <w:rPr>
          <w:spacing w:val="-12"/>
          <w:sz w:val="20"/>
          <w:vertAlign w:val="baseline"/>
        </w:rPr>
        <w:t> </w:t>
      </w:r>
      <w:r>
        <w:rPr>
          <w:sz w:val="20"/>
          <w:vertAlign w:val="baseline"/>
        </w:rPr>
        <w:t>and administrative staff) to the Assembly and its subsidiary bodies.</w:t>
      </w:r>
    </w:p>
    <w:p>
      <w:pPr>
        <w:pStyle w:val="ListParagraph"/>
        <w:numPr>
          <w:ilvl w:val="0"/>
          <w:numId w:val="4"/>
        </w:numPr>
        <w:tabs>
          <w:tab w:pos="2967" w:val="left" w:leader="none"/>
        </w:tabs>
        <w:spacing w:line="240" w:lineRule="auto" w:before="122" w:after="0"/>
        <w:ind w:left="2246" w:right="2243" w:firstLine="0"/>
        <w:jc w:val="both"/>
        <w:rPr>
          <w:sz w:val="20"/>
        </w:rPr>
      </w:pPr>
      <w:r>
        <w:rPr>
          <w:sz w:val="20"/>
        </w:rPr>
        <w:t>As regards reporting lines, the Special Assistant to the President of the Assembly (GTA) reports directly to the President of the Assembly of States Parties. The Executive Secretary to the Committee on Budget and Finance reports directly to the Chair of the Committee</w:t>
      </w:r>
      <w:r>
        <w:rPr>
          <w:spacing w:val="-13"/>
          <w:sz w:val="20"/>
        </w:rPr>
        <w:t> </w:t>
      </w:r>
      <w:r>
        <w:rPr>
          <w:sz w:val="20"/>
        </w:rPr>
        <w:t>on</w:t>
      </w:r>
      <w:r>
        <w:rPr>
          <w:spacing w:val="-12"/>
          <w:sz w:val="20"/>
        </w:rPr>
        <w:t> </w:t>
      </w:r>
      <w:r>
        <w:rPr>
          <w:sz w:val="20"/>
        </w:rPr>
        <w:t>Budget</w:t>
      </w:r>
      <w:r>
        <w:rPr>
          <w:spacing w:val="-13"/>
          <w:sz w:val="20"/>
        </w:rPr>
        <w:t> </w:t>
      </w:r>
      <w:r>
        <w:rPr>
          <w:sz w:val="20"/>
        </w:rPr>
        <w:t>and</w:t>
      </w:r>
      <w:r>
        <w:rPr>
          <w:spacing w:val="-12"/>
          <w:sz w:val="20"/>
        </w:rPr>
        <w:t> </w:t>
      </w:r>
      <w:r>
        <w:rPr>
          <w:sz w:val="20"/>
        </w:rPr>
        <w:t>Finance.</w:t>
      </w:r>
      <w:r>
        <w:rPr>
          <w:spacing w:val="-13"/>
          <w:sz w:val="20"/>
        </w:rPr>
        <w:t> </w:t>
      </w:r>
      <w:r>
        <w:rPr>
          <w:sz w:val="20"/>
        </w:rPr>
        <w:t>In</w:t>
      </w:r>
      <w:r>
        <w:rPr>
          <w:spacing w:val="-12"/>
          <w:sz w:val="20"/>
        </w:rPr>
        <w:t> </w:t>
      </w:r>
      <w:r>
        <w:rPr>
          <w:sz w:val="20"/>
        </w:rPr>
        <w:t>addition</w:t>
      </w:r>
      <w:r>
        <w:rPr>
          <w:spacing w:val="-13"/>
          <w:sz w:val="20"/>
        </w:rPr>
        <w:t> </w:t>
      </w:r>
      <w:r>
        <w:rPr>
          <w:sz w:val="20"/>
        </w:rPr>
        <w:t>to</w:t>
      </w:r>
      <w:r>
        <w:rPr>
          <w:spacing w:val="-12"/>
          <w:sz w:val="20"/>
        </w:rPr>
        <w:t> </w:t>
      </w:r>
      <w:r>
        <w:rPr>
          <w:sz w:val="20"/>
        </w:rPr>
        <w:t>the</w:t>
      </w:r>
      <w:r>
        <w:rPr>
          <w:spacing w:val="-13"/>
          <w:sz w:val="20"/>
        </w:rPr>
        <w:t> </w:t>
      </w:r>
      <w:r>
        <w:rPr>
          <w:sz w:val="20"/>
        </w:rPr>
        <w:t>specific</w:t>
      </w:r>
      <w:r>
        <w:rPr>
          <w:spacing w:val="-12"/>
          <w:sz w:val="20"/>
        </w:rPr>
        <w:t> </w:t>
      </w:r>
      <w:r>
        <w:rPr>
          <w:sz w:val="20"/>
        </w:rPr>
        <w:t>duties</w:t>
      </w:r>
      <w:r>
        <w:rPr>
          <w:spacing w:val="-13"/>
          <w:sz w:val="20"/>
        </w:rPr>
        <w:t> </w:t>
      </w:r>
      <w:r>
        <w:rPr>
          <w:sz w:val="20"/>
        </w:rPr>
        <w:t>of</w:t>
      </w:r>
      <w:r>
        <w:rPr>
          <w:spacing w:val="-12"/>
          <w:sz w:val="20"/>
        </w:rPr>
        <w:t> </w:t>
      </w:r>
      <w:r>
        <w:rPr>
          <w:sz w:val="20"/>
        </w:rPr>
        <w:t>the</w:t>
      </w:r>
      <w:r>
        <w:rPr>
          <w:spacing w:val="-13"/>
          <w:sz w:val="20"/>
        </w:rPr>
        <w:t> </w:t>
      </w:r>
      <w:r>
        <w:rPr>
          <w:sz w:val="20"/>
        </w:rPr>
        <w:t>post,</w:t>
      </w:r>
      <w:r>
        <w:rPr>
          <w:spacing w:val="-12"/>
          <w:sz w:val="20"/>
        </w:rPr>
        <w:t> </w:t>
      </w:r>
      <w:r>
        <w:rPr>
          <w:sz w:val="20"/>
        </w:rPr>
        <w:t>the</w:t>
      </w:r>
      <w:r>
        <w:rPr>
          <w:spacing w:val="-13"/>
          <w:sz w:val="20"/>
        </w:rPr>
        <w:t> </w:t>
      </w:r>
      <w:r>
        <w:rPr>
          <w:sz w:val="20"/>
        </w:rPr>
        <w:t>Executive Secretary continues to perform general functions within the Secretariat as a whole, in particular as regards the financing and administration of Major Programme IV. On the recommendation of</w:t>
      </w:r>
      <w:r>
        <w:rPr>
          <w:spacing w:val="-5"/>
          <w:sz w:val="20"/>
        </w:rPr>
        <w:t> </w:t>
      </w:r>
      <w:r>
        <w:rPr>
          <w:sz w:val="20"/>
        </w:rPr>
        <w:t>the Committee,</w:t>
      </w:r>
      <w:r>
        <w:rPr>
          <w:spacing w:val="-2"/>
          <w:sz w:val="20"/>
        </w:rPr>
        <w:t> </w:t>
      </w:r>
      <w:r>
        <w:rPr>
          <w:sz w:val="20"/>
        </w:rPr>
        <w:t>in 2015, the Assembly</w:t>
      </w:r>
      <w:r>
        <w:rPr>
          <w:spacing w:val="-5"/>
          <w:sz w:val="20"/>
        </w:rPr>
        <w:t> </w:t>
      </w:r>
      <w:r>
        <w:rPr>
          <w:sz w:val="20"/>
        </w:rPr>
        <w:t>approved</w:t>
      </w:r>
      <w:r>
        <w:rPr>
          <w:spacing w:val="-5"/>
          <w:sz w:val="20"/>
        </w:rPr>
        <w:t> </w:t>
      </w:r>
      <w:r>
        <w:rPr>
          <w:sz w:val="20"/>
        </w:rPr>
        <w:t>the appointment</w:t>
      </w:r>
      <w:r>
        <w:rPr>
          <w:spacing w:val="-3"/>
          <w:sz w:val="20"/>
        </w:rPr>
        <w:t> </w:t>
      </w:r>
      <w:r>
        <w:rPr>
          <w:sz w:val="20"/>
        </w:rPr>
        <w:t>of the Executive Secretary to the Committee on Budget and Finance as Secretary to the Audit Committee,</w:t>
      </w:r>
      <w:r>
        <w:rPr>
          <w:sz w:val="20"/>
          <w:vertAlign w:val="superscript"/>
        </w:rPr>
        <w:t>129</w:t>
      </w:r>
      <w:r>
        <w:rPr>
          <w:sz w:val="20"/>
          <w:vertAlign w:val="baseline"/>
        </w:rPr>
        <w:t> in addition to the above-mentioned duties. The two Administration Officers (see below) and the Senior Administrative Assistant assist the Executive Secretary in servicing the two Committees, as does the rest of the Secretariat, to the extent required.</w:t>
      </w:r>
    </w:p>
    <w:p>
      <w:pPr>
        <w:pStyle w:val="BodyText"/>
        <w:spacing w:before="10"/>
      </w:pPr>
    </w:p>
    <w:p>
      <w:pPr>
        <w:tabs>
          <w:tab w:pos="8282" w:val="left" w:leader="none"/>
        </w:tabs>
        <w:spacing w:before="0"/>
        <w:ind w:left="2246" w:right="0" w:firstLine="0"/>
        <w:jc w:val="both"/>
        <w:rPr>
          <w:i/>
          <w:sz w:val="20"/>
        </w:rPr>
      </w:pPr>
      <w:r>
        <w:rPr>
          <w:i/>
          <w:sz w:val="20"/>
        </w:rPr>
        <w:t>General</w:t>
      </w:r>
      <w:r>
        <w:rPr>
          <w:i/>
          <w:spacing w:val="-9"/>
          <w:sz w:val="20"/>
        </w:rPr>
        <w:t> </w:t>
      </w:r>
      <w:r>
        <w:rPr>
          <w:i/>
          <w:sz w:val="20"/>
        </w:rPr>
        <w:t>temporary</w:t>
      </w:r>
      <w:r>
        <w:rPr>
          <w:i/>
          <w:spacing w:val="-4"/>
          <w:sz w:val="20"/>
        </w:rPr>
        <w:t> </w:t>
      </w:r>
      <w:r>
        <w:rPr>
          <w:i/>
          <w:spacing w:val="-2"/>
          <w:sz w:val="20"/>
        </w:rPr>
        <w:t>assistance</w:t>
      </w:r>
      <w:r>
        <w:rPr>
          <w:i/>
          <w:sz w:val="20"/>
        </w:rPr>
        <w:tab/>
        <w:t>€576.7</w:t>
      </w:r>
      <w:r>
        <w:rPr>
          <w:i/>
          <w:spacing w:val="-3"/>
          <w:sz w:val="20"/>
        </w:rPr>
        <w:t> </w:t>
      </w:r>
      <w:r>
        <w:rPr>
          <w:i/>
          <w:spacing w:val="-2"/>
          <w:sz w:val="20"/>
        </w:rPr>
        <w:t>thousand</w:t>
      </w:r>
    </w:p>
    <w:p>
      <w:pPr>
        <w:pStyle w:val="BodyText"/>
        <w:spacing w:before="10"/>
        <w:rPr>
          <w:i/>
        </w:rPr>
      </w:pPr>
    </w:p>
    <w:p>
      <w:pPr>
        <w:pStyle w:val="ListParagraph"/>
        <w:numPr>
          <w:ilvl w:val="0"/>
          <w:numId w:val="4"/>
        </w:numPr>
        <w:tabs>
          <w:tab w:pos="2967" w:val="left" w:leader="none"/>
        </w:tabs>
        <w:spacing w:line="240" w:lineRule="auto" w:before="1" w:after="0"/>
        <w:ind w:left="2246" w:right="2239" w:firstLine="0"/>
        <w:jc w:val="both"/>
        <w:rPr>
          <w:sz w:val="20"/>
        </w:rPr>
      </w:pPr>
      <w:r>
        <w:rPr>
          <w:sz w:val="20"/>
        </w:rPr>
        <w:t>The amount requested has increased by €24.2 thousand (4.4 per</w:t>
      </w:r>
      <w:r>
        <w:rPr>
          <w:spacing w:val="-7"/>
          <w:sz w:val="20"/>
        </w:rPr>
        <w:t> </w:t>
      </w:r>
      <w:r>
        <w:rPr>
          <w:sz w:val="20"/>
        </w:rPr>
        <w:t>cent) owing to </w:t>
      </w:r>
      <w:r>
        <w:rPr>
          <w:spacing w:val="-4"/>
          <w:sz w:val="20"/>
        </w:rPr>
        <w:t>changes</w:t>
      </w:r>
      <w:r>
        <w:rPr>
          <w:spacing w:val="-9"/>
          <w:sz w:val="20"/>
        </w:rPr>
        <w:t> </w:t>
      </w:r>
      <w:r>
        <w:rPr>
          <w:spacing w:val="-4"/>
          <w:sz w:val="20"/>
        </w:rPr>
        <w:t>to</w:t>
      </w:r>
      <w:r>
        <w:rPr>
          <w:spacing w:val="-6"/>
          <w:sz w:val="20"/>
        </w:rPr>
        <w:t> </w:t>
      </w:r>
      <w:r>
        <w:rPr>
          <w:spacing w:val="-4"/>
          <w:sz w:val="20"/>
        </w:rPr>
        <w:t>the UN</w:t>
      </w:r>
      <w:r>
        <w:rPr>
          <w:spacing w:val="-8"/>
          <w:sz w:val="20"/>
        </w:rPr>
        <w:t> </w:t>
      </w:r>
      <w:r>
        <w:rPr>
          <w:spacing w:val="-4"/>
          <w:sz w:val="20"/>
        </w:rPr>
        <w:t>Common System. The</w:t>
      </w:r>
      <w:r>
        <w:rPr>
          <w:spacing w:val="19"/>
          <w:sz w:val="20"/>
        </w:rPr>
        <w:t> </w:t>
      </w:r>
      <w:r>
        <w:rPr>
          <w:spacing w:val="-4"/>
          <w:sz w:val="20"/>
        </w:rPr>
        <w:t>Secretariat currently</w:t>
      </w:r>
      <w:r>
        <w:rPr>
          <w:spacing w:val="-9"/>
          <w:sz w:val="20"/>
        </w:rPr>
        <w:t> </w:t>
      </w:r>
      <w:r>
        <w:rPr>
          <w:spacing w:val="-4"/>
          <w:sz w:val="20"/>
        </w:rPr>
        <w:t>has</w:t>
      </w:r>
      <w:r>
        <w:rPr>
          <w:spacing w:val="-7"/>
          <w:sz w:val="20"/>
        </w:rPr>
        <w:t> </w:t>
      </w:r>
      <w:r>
        <w:rPr>
          <w:spacing w:val="-4"/>
          <w:sz w:val="20"/>
        </w:rPr>
        <w:t>four</w:t>
      </w:r>
      <w:r>
        <w:rPr>
          <w:spacing w:val="-5"/>
          <w:sz w:val="20"/>
        </w:rPr>
        <w:t> </w:t>
      </w:r>
      <w:r>
        <w:rPr>
          <w:spacing w:val="-4"/>
          <w:sz w:val="20"/>
        </w:rPr>
        <w:t>full-time</w:t>
      </w:r>
      <w:r>
        <w:rPr>
          <w:sz w:val="20"/>
        </w:rPr>
        <w:t> </w:t>
      </w:r>
      <w:r>
        <w:rPr>
          <w:spacing w:val="-4"/>
          <w:sz w:val="20"/>
        </w:rPr>
        <w:t>GTA</w:t>
      </w:r>
      <w:r>
        <w:rPr>
          <w:spacing w:val="-8"/>
          <w:sz w:val="20"/>
        </w:rPr>
        <w:t> </w:t>
      </w:r>
      <w:r>
        <w:rPr>
          <w:spacing w:val="-4"/>
          <w:sz w:val="20"/>
        </w:rPr>
        <w:t>positions </w:t>
      </w:r>
      <w:r>
        <w:rPr>
          <w:spacing w:val="-2"/>
          <w:sz w:val="20"/>
        </w:rPr>
        <w:t>and</w:t>
      </w:r>
      <w:r>
        <w:rPr>
          <w:spacing w:val="-6"/>
          <w:sz w:val="20"/>
        </w:rPr>
        <w:t> </w:t>
      </w:r>
      <w:r>
        <w:rPr>
          <w:spacing w:val="-2"/>
          <w:sz w:val="20"/>
        </w:rPr>
        <w:t>various</w:t>
      </w:r>
      <w:r>
        <w:rPr>
          <w:spacing w:val="-3"/>
          <w:sz w:val="20"/>
        </w:rPr>
        <w:t> </w:t>
      </w:r>
      <w:r>
        <w:rPr>
          <w:spacing w:val="-2"/>
          <w:sz w:val="20"/>
        </w:rPr>
        <w:t>other,</w:t>
      </w:r>
      <w:r>
        <w:rPr>
          <w:spacing w:val="-4"/>
          <w:sz w:val="20"/>
        </w:rPr>
        <w:t> </w:t>
      </w:r>
      <w:r>
        <w:rPr>
          <w:spacing w:val="-2"/>
          <w:sz w:val="20"/>
        </w:rPr>
        <w:t>shorter-term</w:t>
      </w:r>
      <w:r>
        <w:rPr>
          <w:spacing w:val="-5"/>
          <w:sz w:val="20"/>
        </w:rPr>
        <w:t> </w:t>
      </w:r>
      <w:r>
        <w:rPr>
          <w:spacing w:val="-2"/>
          <w:sz w:val="20"/>
        </w:rPr>
        <w:t>GTA</w:t>
      </w:r>
      <w:r>
        <w:rPr>
          <w:spacing w:val="-8"/>
          <w:sz w:val="20"/>
        </w:rPr>
        <w:t> </w:t>
      </w:r>
      <w:r>
        <w:rPr>
          <w:spacing w:val="-2"/>
          <w:sz w:val="20"/>
        </w:rPr>
        <w:t>positions</w:t>
      </w:r>
      <w:r>
        <w:rPr>
          <w:spacing w:val="-3"/>
          <w:sz w:val="20"/>
        </w:rPr>
        <w:t> </w:t>
      </w:r>
      <w:r>
        <w:rPr>
          <w:spacing w:val="-2"/>
          <w:sz w:val="20"/>
        </w:rPr>
        <w:t>serving</w:t>
      </w:r>
      <w:r>
        <w:rPr>
          <w:spacing w:val="-6"/>
          <w:sz w:val="20"/>
        </w:rPr>
        <w:t> </w:t>
      </w:r>
      <w:r>
        <w:rPr>
          <w:spacing w:val="-2"/>
          <w:sz w:val="20"/>
        </w:rPr>
        <w:t>the Assembly</w:t>
      </w:r>
      <w:r>
        <w:rPr>
          <w:spacing w:val="-6"/>
          <w:sz w:val="20"/>
        </w:rPr>
        <w:t> </w:t>
      </w:r>
      <w:r>
        <w:rPr>
          <w:spacing w:val="-2"/>
          <w:sz w:val="20"/>
        </w:rPr>
        <w:t>and</w:t>
      </w:r>
      <w:r>
        <w:rPr>
          <w:spacing w:val="-6"/>
          <w:sz w:val="20"/>
        </w:rPr>
        <w:t> </w:t>
      </w:r>
      <w:r>
        <w:rPr>
          <w:spacing w:val="-2"/>
          <w:sz w:val="20"/>
        </w:rPr>
        <w:t>its</w:t>
      </w:r>
      <w:r>
        <w:rPr>
          <w:spacing w:val="-8"/>
          <w:sz w:val="20"/>
        </w:rPr>
        <w:t> </w:t>
      </w:r>
      <w:r>
        <w:rPr>
          <w:spacing w:val="-2"/>
          <w:sz w:val="20"/>
        </w:rPr>
        <w:t>subsidiary</w:t>
      </w:r>
      <w:r>
        <w:rPr>
          <w:spacing w:val="-6"/>
          <w:sz w:val="20"/>
        </w:rPr>
        <w:t> </w:t>
      </w:r>
      <w:r>
        <w:rPr>
          <w:spacing w:val="-2"/>
          <w:sz w:val="20"/>
        </w:rPr>
        <w:t>bodies.</w:t>
      </w:r>
    </w:p>
    <w:p>
      <w:pPr>
        <w:pStyle w:val="ListParagraph"/>
        <w:numPr>
          <w:ilvl w:val="0"/>
          <w:numId w:val="4"/>
        </w:numPr>
        <w:tabs>
          <w:tab w:pos="2967" w:val="left" w:leader="none"/>
        </w:tabs>
        <w:spacing w:line="240" w:lineRule="auto" w:before="121" w:after="0"/>
        <w:ind w:left="2246" w:right="2240" w:firstLine="0"/>
        <w:jc w:val="both"/>
        <w:rPr>
          <w:sz w:val="20"/>
        </w:rPr>
      </w:pPr>
      <w:r>
        <w:rPr>
          <w:sz w:val="20"/>
        </w:rPr>
        <w:t>One </w:t>
      </w:r>
      <w:r>
        <w:rPr>
          <w:i/>
          <w:sz w:val="20"/>
        </w:rPr>
        <w:t>Senior Legal Officer (P-5), 0.5 months. Continued. Multi-year. </w:t>
      </w:r>
      <w:r>
        <w:rPr>
          <w:sz w:val="20"/>
        </w:rPr>
        <w:t>Substantive servicing</w:t>
      </w:r>
      <w:r>
        <w:rPr>
          <w:spacing w:val="-4"/>
          <w:sz w:val="20"/>
        </w:rPr>
        <w:t> </w:t>
      </w:r>
      <w:r>
        <w:rPr>
          <w:sz w:val="20"/>
        </w:rPr>
        <w:t>of</w:t>
      </w:r>
      <w:r>
        <w:rPr>
          <w:spacing w:val="-4"/>
          <w:sz w:val="20"/>
        </w:rPr>
        <w:t> </w:t>
      </w:r>
      <w:r>
        <w:rPr>
          <w:sz w:val="20"/>
        </w:rPr>
        <w:t>the Assembly</w:t>
      </w:r>
      <w:r>
        <w:rPr>
          <w:spacing w:val="-4"/>
          <w:sz w:val="20"/>
        </w:rPr>
        <w:t> </w:t>
      </w:r>
      <w:r>
        <w:rPr>
          <w:sz w:val="20"/>
        </w:rPr>
        <w:t>and</w:t>
      </w:r>
      <w:r>
        <w:rPr>
          <w:spacing w:val="-4"/>
          <w:sz w:val="20"/>
        </w:rPr>
        <w:t> </w:t>
      </w:r>
      <w:r>
        <w:rPr>
          <w:sz w:val="20"/>
        </w:rPr>
        <w:t>its</w:t>
      </w:r>
      <w:r>
        <w:rPr>
          <w:spacing w:val="-5"/>
          <w:sz w:val="20"/>
        </w:rPr>
        <w:t> </w:t>
      </w:r>
      <w:r>
        <w:rPr>
          <w:sz w:val="20"/>
        </w:rPr>
        <w:t>working groups (preparation of</w:t>
      </w:r>
      <w:r>
        <w:rPr>
          <w:spacing w:val="-4"/>
          <w:sz w:val="20"/>
        </w:rPr>
        <w:t> </w:t>
      </w:r>
      <w:r>
        <w:rPr>
          <w:sz w:val="20"/>
        </w:rPr>
        <w:t>pre-session</w:t>
      </w:r>
      <w:r>
        <w:rPr>
          <w:spacing w:val="-4"/>
          <w:sz w:val="20"/>
        </w:rPr>
        <w:t> </w:t>
      </w:r>
      <w:r>
        <w:rPr>
          <w:sz w:val="20"/>
        </w:rPr>
        <w:t>and</w:t>
      </w:r>
      <w:r>
        <w:rPr>
          <w:spacing w:val="-4"/>
          <w:sz w:val="20"/>
        </w:rPr>
        <w:t> </w:t>
      </w:r>
      <w:r>
        <w:rPr>
          <w:sz w:val="20"/>
        </w:rPr>
        <w:t>in-session documentation/papers</w:t>
      </w:r>
      <w:r>
        <w:rPr>
          <w:spacing w:val="-10"/>
          <w:sz w:val="20"/>
        </w:rPr>
        <w:t> </w:t>
      </w:r>
      <w:r>
        <w:rPr>
          <w:sz w:val="20"/>
        </w:rPr>
        <w:t>and</w:t>
      </w:r>
      <w:r>
        <w:rPr>
          <w:spacing w:val="-4"/>
          <w:sz w:val="20"/>
        </w:rPr>
        <w:t> </w:t>
      </w:r>
      <w:r>
        <w:rPr>
          <w:sz w:val="20"/>
        </w:rPr>
        <w:t>draft</w:t>
      </w:r>
      <w:r>
        <w:rPr>
          <w:spacing w:val="-2"/>
          <w:sz w:val="20"/>
        </w:rPr>
        <w:t> </w:t>
      </w:r>
      <w:r>
        <w:rPr>
          <w:sz w:val="20"/>
        </w:rPr>
        <w:t>reports)</w:t>
      </w:r>
      <w:r>
        <w:rPr>
          <w:spacing w:val="-8"/>
          <w:sz w:val="20"/>
        </w:rPr>
        <w:t> </w:t>
      </w:r>
      <w:r>
        <w:rPr>
          <w:sz w:val="20"/>
        </w:rPr>
        <w:t>is</w:t>
      </w:r>
      <w:r>
        <w:rPr>
          <w:spacing w:val="-5"/>
          <w:sz w:val="20"/>
        </w:rPr>
        <w:t> </w:t>
      </w:r>
      <w:r>
        <w:rPr>
          <w:sz w:val="20"/>
        </w:rPr>
        <w:t>provided</w:t>
      </w:r>
      <w:r>
        <w:rPr>
          <w:spacing w:val="-8"/>
          <w:sz w:val="20"/>
        </w:rPr>
        <w:t> </w:t>
      </w:r>
      <w:r>
        <w:rPr>
          <w:sz w:val="20"/>
        </w:rPr>
        <w:t>for</w:t>
      </w:r>
      <w:r>
        <w:rPr>
          <w:spacing w:val="-8"/>
          <w:sz w:val="20"/>
        </w:rPr>
        <w:t> </w:t>
      </w:r>
      <w:r>
        <w:rPr>
          <w:sz w:val="20"/>
        </w:rPr>
        <w:t>a</w:t>
      </w:r>
      <w:r>
        <w:rPr>
          <w:spacing w:val="-11"/>
          <w:sz w:val="20"/>
        </w:rPr>
        <w:t> </w:t>
      </w:r>
      <w:r>
        <w:rPr>
          <w:sz w:val="20"/>
        </w:rPr>
        <w:t>limited</w:t>
      </w:r>
      <w:r>
        <w:rPr>
          <w:spacing w:val="-8"/>
          <w:sz w:val="20"/>
        </w:rPr>
        <w:t> </w:t>
      </w:r>
      <w:r>
        <w:rPr>
          <w:sz w:val="20"/>
        </w:rPr>
        <w:t>number</w:t>
      </w:r>
      <w:r>
        <w:rPr>
          <w:spacing w:val="-4"/>
          <w:sz w:val="20"/>
        </w:rPr>
        <w:t> </w:t>
      </w:r>
      <w:r>
        <w:rPr>
          <w:sz w:val="20"/>
        </w:rPr>
        <w:t>of</w:t>
      </w:r>
      <w:r>
        <w:rPr>
          <w:spacing w:val="-8"/>
          <w:sz w:val="20"/>
        </w:rPr>
        <w:t> </w:t>
      </w:r>
      <w:r>
        <w:rPr>
          <w:sz w:val="20"/>
        </w:rPr>
        <w:t>days</w:t>
      </w:r>
      <w:r>
        <w:rPr>
          <w:spacing w:val="-10"/>
          <w:sz w:val="20"/>
        </w:rPr>
        <w:t> </w:t>
      </w:r>
      <w:r>
        <w:rPr>
          <w:sz w:val="20"/>
        </w:rPr>
        <w:t>by</w:t>
      </w:r>
      <w:r>
        <w:rPr>
          <w:spacing w:val="-8"/>
          <w:sz w:val="20"/>
        </w:rPr>
        <w:t> </w:t>
      </w:r>
      <w:r>
        <w:rPr>
          <w:sz w:val="20"/>
        </w:rPr>
        <w:t>a</w:t>
      </w:r>
      <w:r>
        <w:rPr>
          <w:spacing w:val="-7"/>
          <w:sz w:val="20"/>
        </w:rPr>
        <w:t> </w:t>
      </w:r>
      <w:r>
        <w:rPr>
          <w:sz w:val="20"/>
        </w:rPr>
        <w:t>Senior Legal Officer (P-5). This additional officer supplements the Legal Officers in the Secretariat’s core staff given the increased workload during the weeks preceding the Assembly session and also during the session.</w:t>
      </w:r>
    </w:p>
    <w:p>
      <w:pPr>
        <w:pStyle w:val="ListParagraph"/>
        <w:numPr>
          <w:ilvl w:val="0"/>
          <w:numId w:val="4"/>
        </w:numPr>
        <w:tabs>
          <w:tab w:pos="2967" w:val="left" w:leader="none"/>
        </w:tabs>
        <w:spacing w:line="237" w:lineRule="auto" w:before="125" w:after="0"/>
        <w:ind w:left="2246" w:right="2234" w:firstLine="0"/>
        <w:jc w:val="both"/>
        <w:rPr>
          <w:sz w:val="20"/>
        </w:rPr>
      </w:pPr>
      <w:r>
        <w:rPr>
          <w:spacing w:val="-2"/>
          <w:sz w:val="20"/>
        </w:rPr>
        <w:t>One</w:t>
      </w:r>
      <w:r>
        <w:rPr>
          <w:spacing w:val="-5"/>
          <w:sz w:val="20"/>
        </w:rPr>
        <w:t> </w:t>
      </w:r>
      <w:r>
        <w:rPr>
          <w:i/>
          <w:spacing w:val="-2"/>
          <w:sz w:val="20"/>
        </w:rPr>
        <w:t>Legal</w:t>
      </w:r>
      <w:r>
        <w:rPr>
          <w:i/>
          <w:spacing w:val="-5"/>
          <w:sz w:val="20"/>
        </w:rPr>
        <w:t> </w:t>
      </w:r>
      <w:r>
        <w:rPr>
          <w:i/>
          <w:spacing w:val="-2"/>
          <w:sz w:val="20"/>
        </w:rPr>
        <w:t>Officer</w:t>
      </w:r>
      <w:r>
        <w:rPr>
          <w:i/>
          <w:spacing w:val="-8"/>
          <w:sz w:val="20"/>
        </w:rPr>
        <w:t> </w:t>
      </w:r>
      <w:r>
        <w:rPr>
          <w:i/>
          <w:spacing w:val="-2"/>
          <w:sz w:val="20"/>
        </w:rPr>
        <w:t>(P-4),</w:t>
      </w:r>
      <w:r>
        <w:rPr>
          <w:i/>
          <w:spacing w:val="-5"/>
          <w:sz w:val="20"/>
        </w:rPr>
        <w:t> </w:t>
      </w:r>
      <w:r>
        <w:rPr>
          <w:i/>
          <w:spacing w:val="-2"/>
          <w:sz w:val="20"/>
        </w:rPr>
        <w:t>0.5</w:t>
      </w:r>
      <w:r>
        <w:rPr>
          <w:i/>
          <w:spacing w:val="-6"/>
          <w:sz w:val="20"/>
        </w:rPr>
        <w:t> </w:t>
      </w:r>
      <w:r>
        <w:rPr>
          <w:i/>
          <w:spacing w:val="-2"/>
          <w:sz w:val="20"/>
        </w:rPr>
        <w:t>months.</w:t>
      </w:r>
      <w:r>
        <w:rPr>
          <w:i/>
          <w:spacing w:val="-5"/>
          <w:sz w:val="20"/>
        </w:rPr>
        <w:t> </w:t>
      </w:r>
      <w:r>
        <w:rPr>
          <w:i/>
          <w:spacing w:val="-2"/>
          <w:sz w:val="20"/>
        </w:rPr>
        <w:t>Continued.</w:t>
      </w:r>
      <w:r>
        <w:rPr>
          <w:i/>
          <w:spacing w:val="-8"/>
          <w:sz w:val="20"/>
        </w:rPr>
        <w:t> </w:t>
      </w:r>
      <w:r>
        <w:rPr>
          <w:i/>
          <w:spacing w:val="-2"/>
          <w:sz w:val="20"/>
        </w:rPr>
        <w:t>Multi-year.</w:t>
      </w:r>
      <w:r>
        <w:rPr>
          <w:i/>
          <w:spacing w:val="-4"/>
          <w:sz w:val="20"/>
        </w:rPr>
        <w:t> </w:t>
      </w:r>
      <w:r>
        <w:rPr>
          <w:spacing w:val="-2"/>
          <w:sz w:val="20"/>
        </w:rPr>
        <w:t>Substantive</w:t>
      </w:r>
      <w:r>
        <w:rPr>
          <w:spacing w:val="-5"/>
          <w:sz w:val="20"/>
        </w:rPr>
        <w:t> </w:t>
      </w:r>
      <w:r>
        <w:rPr>
          <w:spacing w:val="-2"/>
          <w:sz w:val="20"/>
        </w:rPr>
        <w:t>servicing</w:t>
      </w:r>
      <w:r>
        <w:rPr>
          <w:spacing w:val="-6"/>
          <w:sz w:val="20"/>
        </w:rPr>
        <w:t> </w:t>
      </w:r>
      <w:r>
        <w:rPr>
          <w:spacing w:val="-2"/>
          <w:sz w:val="20"/>
        </w:rPr>
        <w:t>of </w:t>
      </w:r>
      <w:r>
        <w:rPr>
          <w:sz w:val="20"/>
        </w:rPr>
        <w:t>the Assembly and its working groups (preparation of pre-session and in-session documentation/papers</w:t>
      </w:r>
      <w:r>
        <w:rPr>
          <w:spacing w:val="-3"/>
          <w:sz w:val="20"/>
        </w:rPr>
        <w:t> </w:t>
      </w:r>
      <w:r>
        <w:rPr>
          <w:sz w:val="20"/>
        </w:rPr>
        <w:t>and</w:t>
      </w:r>
      <w:r>
        <w:rPr>
          <w:spacing w:val="-2"/>
          <w:sz w:val="20"/>
        </w:rPr>
        <w:t> </w:t>
      </w:r>
      <w:r>
        <w:rPr>
          <w:sz w:val="20"/>
        </w:rPr>
        <w:t>draft</w:t>
      </w:r>
      <w:r>
        <w:rPr>
          <w:spacing w:val="-1"/>
          <w:sz w:val="20"/>
        </w:rPr>
        <w:t> </w:t>
      </w:r>
      <w:r>
        <w:rPr>
          <w:sz w:val="20"/>
        </w:rPr>
        <w:t>reports)</w:t>
      </w:r>
      <w:r>
        <w:rPr>
          <w:spacing w:val="-2"/>
          <w:sz w:val="20"/>
        </w:rPr>
        <w:t> </w:t>
      </w:r>
      <w:r>
        <w:rPr>
          <w:sz w:val="20"/>
        </w:rPr>
        <w:t>is</w:t>
      </w:r>
      <w:r>
        <w:rPr>
          <w:spacing w:val="-3"/>
          <w:sz w:val="20"/>
        </w:rPr>
        <w:t> </w:t>
      </w:r>
      <w:r>
        <w:rPr>
          <w:sz w:val="20"/>
        </w:rPr>
        <w:t>provided</w:t>
      </w:r>
      <w:r>
        <w:rPr>
          <w:spacing w:val="-2"/>
          <w:sz w:val="20"/>
        </w:rPr>
        <w:t> </w:t>
      </w:r>
      <w:r>
        <w:rPr>
          <w:sz w:val="20"/>
        </w:rPr>
        <w:t>for</w:t>
      </w:r>
      <w:r>
        <w:rPr>
          <w:spacing w:val="-2"/>
          <w:sz w:val="20"/>
        </w:rPr>
        <w:t> </w:t>
      </w:r>
      <w:r>
        <w:rPr>
          <w:sz w:val="20"/>
        </w:rPr>
        <w:t>a limited</w:t>
      </w:r>
      <w:r>
        <w:rPr>
          <w:spacing w:val="-2"/>
          <w:sz w:val="20"/>
        </w:rPr>
        <w:t> </w:t>
      </w:r>
      <w:r>
        <w:rPr>
          <w:sz w:val="20"/>
        </w:rPr>
        <w:t>number</w:t>
      </w:r>
      <w:r>
        <w:rPr>
          <w:spacing w:val="-5"/>
          <w:sz w:val="20"/>
        </w:rPr>
        <w:t> </w:t>
      </w:r>
      <w:r>
        <w:rPr>
          <w:sz w:val="20"/>
        </w:rPr>
        <w:t>of</w:t>
      </w:r>
      <w:r>
        <w:rPr>
          <w:spacing w:val="-2"/>
          <w:sz w:val="20"/>
        </w:rPr>
        <w:t> </w:t>
      </w:r>
      <w:r>
        <w:rPr>
          <w:sz w:val="20"/>
        </w:rPr>
        <w:t>days</w:t>
      </w:r>
      <w:r>
        <w:rPr>
          <w:spacing w:val="-3"/>
          <w:sz w:val="20"/>
        </w:rPr>
        <w:t> </w:t>
      </w:r>
      <w:r>
        <w:rPr>
          <w:sz w:val="20"/>
        </w:rPr>
        <w:t>by</w:t>
      </w:r>
      <w:r>
        <w:rPr>
          <w:spacing w:val="-2"/>
          <w:sz w:val="20"/>
        </w:rPr>
        <w:t> </w:t>
      </w:r>
      <w:r>
        <w:rPr>
          <w:sz w:val="20"/>
        </w:rPr>
        <w:t>a</w:t>
      </w:r>
      <w:r>
        <w:rPr>
          <w:spacing w:val="-5"/>
          <w:sz w:val="20"/>
        </w:rPr>
        <w:t> </w:t>
      </w:r>
      <w:r>
        <w:rPr>
          <w:sz w:val="20"/>
        </w:rPr>
        <w:t>Legal </w:t>
      </w:r>
      <w:r>
        <w:rPr>
          <w:spacing w:val="-4"/>
          <w:sz w:val="20"/>
        </w:rPr>
        <w:t>Officer</w:t>
      </w:r>
      <w:r>
        <w:rPr>
          <w:spacing w:val="-14"/>
          <w:sz w:val="20"/>
        </w:rPr>
        <w:t> </w:t>
      </w:r>
      <w:r>
        <w:rPr>
          <w:spacing w:val="-4"/>
          <w:sz w:val="20"/>
        </w:rPr>
        <w:t>(P-4).</w:t>
      </w:r>
      <w:r>
        <w:rPr>
          <w:spacing w:val="-12"/>
          <w:sz w:val="20"/>
        </w:rPr>
        <w:t> </w:t>
      </w:r>
      <w:r>
        <w:rPr>
          <w:spacing w:val="-4"/>
          <w:sz w:val="20"/>
        </w:rPr>
        <w:t>This</w:t>
      </w:r>
      <w:r>
        <w:rPr>
          <w:spacing w:val="-16"/>
          <w:sz w:val="20"/>
        </w:rPr>
        <w:t> </w:t>
      </w:r>
      <w:r>
        <w:rPr>
          <w:spacing w:val="-4"/>
          <w:sz w:val="20"/>
        </w:rPr>
        <w:t>additional</w:t>
      </w:r>
      <w:r>
        <w:rPr>
          <w:spacing w:val="-12"/>
          <w:sz w:val="20"/>
        </w:rPr>
        <w:t> </w:t>
      </w:r>
      <w:r>
        <w:rPr>
          <w:spacing w:val="-4"/>
          <w:sz w:val="20"/>
        </w:rPr>
        <w:t>officer</w:t>
      </w:r>
      <w:r>
        <w:rPr>
          <w:spacing w:val="-14"/>
          <w:sz w:val="20"/>
        </w:rPr>
        <w:t> </w:t>
      </w:r>
      <w:r>
        <w:rPr>
          <w:spacing w:val="-4"/>
          <w:sz w:val="20"/>
        </w:rPr>
        <w:t>supplements</w:t>
      </w:r>
      <w:r>
        <w:rPr>
          <w:spacing w:val="-16"/>
          <w:sz w:val="20"/>
        </w:rPr>
        <w:t> </w:t>
      </w:r>
      <w:r>
        <w:rPr>
          <w:spacing w:val="-4"/>
          <w:sz w:val="20"/>
        </w:rPr>
        <w:t>the</w:t>
      </w:r>
      <w:r>
        <w:rPr>
          <w:spacing w:val="-17"/>
          <w:sz w:val="20"/>
        </w:rPr>
        <w:t> </w:t>
      </w:r>
      <w:r>
        <w:rPr>
          <w:spacing w:val="-4"/>
          <w:sz w:val="20"/>
        </w:rPr>
        <w:t>Legal</w:t>
      </w:r>
      <w:r>
        <w:rPr>
          <w:spacing w:val="-12"/>
          <w:sz w:val="20"/>
        </w:rPr>
        <w:t> </w:t>
      </w:r>
      <w:r>
        <w:rPr>
          <w:spacing w:val="-4"/>
          <w:sz w:val="20"/>
        </w:rPr>
        <w:t>Officers</w:t>
      </w:r>
      <w:r>
        <w:rPr>
          <w:spacing w:val="-16"/>
          <w:sz w:val="20"/>
        </w:rPr>
        <w:t> </w:t>
      </w:r>
      <w:r>
        <w:rPr>
          <w:spacing w:val="-4"/>
          <w:sz w:val="20"/>
        </w:rPr>
        <w:t>in</w:t>
      </w:r>
      <w:r>
        <w:rPr>
          <w:spacing w:val="-14"/>
          <w:sz w:val="20"/>
        </w:rPr>
        <w:t> </w:t>
      </w:r>
      <w:r>
        <w:rPr>
          <w:spacing w:val="-4"/>
          <w:sz w:val="20"/>
        </w:rPr>
        <w:t>the</w:t>
      </w:r>
      <w:r>
        <w:rPr>
          <w:spacing w:val="-12"/>
          <w:sz w:val="20"/>
        </w:rPr>
        <w:t> </w:t>
      </w:r>
      <w:r>
        <w:rPr>
          <w:spacing w:val="-4"/>
          <w:sz w:val="20"/>
        </w:rPr>
        <w:t>Secretariat’s</w:t>
      </w:r>
      <w:r>
        <w:rPr>
          <w:spacing w:val="-16"/>
          <w:sz w:val="20"/>
        </w:rPr>
        <w:t> </w:t>
      </w:r>
      <w:r>
        <w:rPr>
          <w:spacing w:val="-4"/>
          <w:sz w:val="20"/>
        </w:rPr>
        <w:t>core</w:t>
      </w:r>
      <w:r>
        <w:rPr>
          <w:spacing w:val="-12"/>
          <w:sz w:val="20"/>
        </w:rPr>
        <w:t> </w:t>
      </w:r>
      <w:r>
        <w:rPr>
          <w:spacing w:val="-4"/>
          <w:sz w:val="20"/>
        </w:rPr>
        <w:t>staff.</w:t>
      </w:r>
    </w:p>
    <w:p>
      <w:pPr>
        <w:pStyle w:val="BodyText"/>
      </w:pPr>
    </w:p>
    <w:p>
      <w:pPr>
        <w:pStyle w:val="BodyText"/>
        <w:spacing w:before="3"/>
        <w:rPr>
          <w:sz w:val="26"/>
        </w:rPr>
      </w:pPr>
      <w:r>
        <w:rPr/>
        <w:pict>
          <v:rect style="position:absolute;margin-left:113.330002pt;margin-top:16.3146pt;width:144.050pt;height:.47998pt;mso-position-horizontal-relative:page;mso-position-vertical-relative:paragraph;z-index:-15686144;mso-wrap-distance-left:0;mso-wrap-distance-right:0" id="docshape282" filled="true" fillcolor="#000000" stroked="false">
            <v:fill type="solid"/>
            <w10:wrap type="topAndBottom"/>
          </v:rect>
        </w:pict>
      </w:r>
    </w:p>
    <w:p>
      <w:pPr>
        <w:spacing w:line="242" w:lineRule="auto" w:before="86"/>
        <w:ind w:left="2246" w:right="2244" w:firstLine="0"/>
        <w:jc w:val="both"/>
        <w:rPr>
          <w:sz w:val="16"/>
        </w:rPr>
      </w:pPr>
      <w:r>
        <w:rPr>
          <w:position w:val="5"/>
          <w:sz w:val="10"/>
        </w:rPr>
        <w:t>128</w:t>
      </w:r>
      <w:r>
        <w:rPr>
          <w:spacing w:val="19"/>
          <w:position w:val="5"/>
          <w:sz w:val="10"/>
        </w:rPr>
        <w:t> </w:t>
      </w:r>
      <w:r>
        <w:rPr>
          <w:sz w:val="16"/>
        </w:rPr>
        <w:t>One Legal Officer position which has been a GTA position since 2017 would be converted into an established</w:t>
      </w:r>
      <w:r>
        <w:rPr>
          <w:spacing w:val="40"/>
          <w:sz w:val="16"/>
        </w:rPr>
        <w:t> </w:t>
      </w:r>
      <w:r>
        <w:rPr>
          <w:sz w:val="16"/>
        </w:rPr>
        <w:t>post,</w:t>
      </w:r>
      <w:r>
        <w:rPr>
          <w:spacing w:val="-4"/>
          <w:sz w:val="16"/>
        </w:rPr>
        <w:t> </w:t>
      </w:r>
      <w:r>
        <w:rPr>
          <w:sz w:val="16"/>
        </w:rPr>
        <w:t>as</w:t>
      </w:r>
      <w:r>
        <w:rPr>
          <w:spacing w:val="-3"/>
          <w:sz w:val="16"/>
        </w:rPr>
        <w:t> </w:t>
      </w:r>
      <w:r>
        <w:rPr>
          <w:sz w:val="16"/>
        </w:rPr>
        <w:t>the</w:t>
      </w:r>
      <w:r>
        <w:rPr>
          <w:spacing w:val="-1"/>
          <w:sz w:val="16"/>
        </w:rPr>
        <w:t> </w:t>
      </w:r>
      <w:r>
        <w:rPr>
          <w:sz w:val="16"/>
        </w:rPr>
        <w:t>need</w:t>
      </w:r>
      <w:r>
        <w:rPr>
          <w:spacing w:val="-1"/>
          <w:sz w:val="16"/>
        </w:rPr>
        <w:t> </w:t>
      </w:r>
      <w:r>
        <w:rPr>
          <w:sz w:val="16"/>
        </w:rPr>
        <w:t>for</w:t>
      </w:r>
      <w:r>
        <w:rPr>
          <w:spacing w:val="-3"/>
          <w:sz w:val="16"/>
        </w:rPr>
        <w:t> </w:t>
      </w:r>
      <w:r>
        <w:rPr>
          <w:sz w:val="16"/>
        </w:rPr>
        <w:t>that</w:t>
      </w:r>
      <w:r>
        <w:rPr>
          <w:spacing w:val="-4"/>
          <w:sz w:val="16"/>
        </w:rPr>
        <w:t> </w:t>
      </w:r>
      <w:r>
        <w:rPr>
          <w:sz w:val="16"/>
        </w:rPr>
        <w:t>post</w:t>
      </w:r>
      <w:r>
        <w:rPr>
          <w:spacing w:val="-4"/>
          <w:sz w:val="16"/>
        </w:rPr>
        <w:t> </w:t>
      </w:r>
      <w:r>
        <w:rPr>
          <w:sz w:val="16"/>
        </w:rPr>
        <w:t>is</w:t>
      </w:r>
      <w:r>
        <w:rPr>
          <w:spacing w:val="-3"/>
          <w:sz w:val="16"/>
        </w:rPr>
        <w:t> </w:t>
      </w:r>
      <w:r>
        <w:rPr>
          <w:sz w:val="16"/>
        </w:rPr>
        <w:t>recurrent</w:t>
      </w:r>
      <w:r>
        <w:rPr>
          <w:spacing w:val="-4"/>
          <w:sz w:val="16"/>
        </w:rPr>
        <w:t> </w:t>
      </w:r>
      <w:r>
        <w:rPr>
          <w:sz w:val="16"/>
        </w:rPr>
        <w:t>and</w:t>
      </w:r>
      <w:r>
        <w:rPr>
          <w:spacing w:val="-1"/>
          <w:sz w:val="16"/>
        </w:rPr>
        <w:t> </w:t>
      </w:r>
      <w:r>
        <w:rPr>
          <w:sz w:val="16"/>
        </w:rPr>
        <w:t>well</w:t>
      </w:r>
      <w:r>
        <w:rPr>
          <w:spacing w:val="-4"/>
          <w:sz w:val="16"/>
        </w:rPr>
        <w:t> </w:t>
      </w:r>
      <w:r>
        <w:rPr>
          <w:sz w:val="16"/>
        </w:rPr>
        <w:t>established,</w:t>
      </w:r>
      <w:r>
        <w:rPr>
          <w:spacing w:val="-4"/>
          <w:sz w:val="16"/>
        </w:rPr>
        <w:t> </w:t>
      </w:r>
      <w:r>
        <w:rPr>
          <w:sz w:val="16"/>
        </w:rPr>
        <w:t>to</w:t>
      </w:r>
      <w:r>
        <w:rPr>
          <w:spacing w:val="-1"/>
          <w:sz w:val="16"/>
        </w:rPr>
        <w:t> </w:t>
      </w:r>
      <w:r>
        <w:rPr>
          <w:sz w:val="16"/>
        </w:rPr>
        <w:t>assist</w:t>
      </w:r>
      <w:r>
        <w:rPr>
          <w:spacing w:val="-4"/>
          <w:sz w:val="16"/>
        </w:rPr>
        <w:t> </w:t>
      </w:r>
      <w:r>
        <w:rPr>
          <w:sz w:val="16"/>
        </w:rPr>
        <w:t>with</w:t>
      </w:r>
      <w:r>
        <w:rPr>
          <w:spacing w:val="-1"/>
          <w:sz w:val="16"/>
        </w:rPr>
        <w:t> </w:t>
      </w:r>
      <w:r>
        <w:rPr>
          <w:sz w:val="16"/>
        </w:rPr>
        <w:t>the</w:t>
      </w:r>
      <w:r>
        <w:rPr>
          <w:spacing w:val="-2"/>
          <w:sz w:val="16"/>
        </w:rPr>
        <w:t> </w:t>
      </w:r>
      <w:r>
        <w:rPr>
          <w:sz w:val="16"/>
        </w:rPr>
        <w:t>substantive</w:t>
      </w:r>
      <w:r>
        <w:rPr>
          <w:spacing w:val="-2"/>
          <w:sz w:val="16"/>
        </w:rPr>
        <w:t> </w:t>
      </w:r>
      <w:r>
        <w:rPr>
          <w:sz w:val="16"/>
        </w:rPr>
        <w:t>servicing</w:t>
      </w:r>
      <w:r>
        <w:rPr>
          <w:spacing w:val="-1"/>
          <w:sz w:val="16"/>
        </w:rPr>
        <w:t> </w:t>
      </w:r>
      <w:r>
        <w:rPr>
          <w:sz w:val="16"/>
        </w:rPr>
        <w:t>of</w:t>
      </w:r>
      <w:r>
        <w:rPr>
          <w:spacing w:val="-3"/>
          <w:sz w:val="16"/>
        </w:rPr>
        <w:t> </w:t>
      </w:r>
      <w:r>
        <w:rPr>
          <w:sz w:val="16"/>
        </w:rPr>
        <w:t>the</w:t>
      </w:r>
      <w:r>
        <w:rPr>
          <w:spacing w:val="-6"/>
          <w:sz w:val="16"/>
        </w:rPr>
        <w:t> </w:t>
      </w:r>
      <w:r>
        <w:rPr>
          <w:sz w:val="16"/>
        </w:rPr>
        <w:t>budget</w:t>
      </w:r>
      <w:r>
        <w:rPr>
          <w:spacing w:val="40"/>
          <w:sz w:val="16"/>
        </w:rPr>
        <w:t> </w:t>
      </w:r>
      <w:r>
        <w:rPr>
          <w:sz w:val="16"/>
        </w:rPr>
        <w:t>in the budget facilitation.</w:t>
      </w:r>
    </w:p>
    <w:p>
      <w:pPr>
        <w:spacing w:line="237" w:lineRule="auto" w:before="0"/>
        <w:ind w:left="2246" w:right="2240" w:firstLine="0"/>
        <w:jc w:val="both"/>
        <w:rPr>
          <w:sz w:val="16"/>
        </w:rPr>
      </w:pPr>
      <w:r>
        <w:rPr>
          <w:position w:val="5"/>
          <w:sz w:val="10"/>
        </w:rPr>
        <w:t>129</w:t>
      </w:r>
      <w:r>
        <w:rPr>
          <w:spacing w:val="34"/>
          <w:position w:val="5"/>
          <w:sz w:val="10"/>
        </w:rPr>
        <w:t> </w:t>
      </w:r>
      <w:r>
        <w:rPr>
          <w:i/>
          <w:sz w:val="16"/>
        </w:rPr>
        <w:t>Official Records of the Assembly of States Parties to the Rome Statute of the International Criminal Court,</w:t>
      </w:r>
      <w:r>
        <w:rPr>
          <w:i/>
          <w:spacing w:val="40"/>
          <w:sz w:val="16"/>
        </w:rPr>
        <w:t> </w:t>
      </w:r>
      <w:r>
        <w:rPr>
          <w:i/>
          <w:sz w:val="16"/>
        </w:rPr>
        <w:t>Fourteenth session, The Hague, 18-26 November 2015 </w:t>
      </w:r>
      <w:r>
        <w:rPr>
          <w:sz w:val="16"/>
        </w:rPr>
        <w:t>(ICC-ASP/14/20), vol. II, part B.3, para. 145.</w:t>
      </w:r>
    </w:p>
    <w:p>
      <w:pPr>
        <w:spacing w:after="0" w:line="237" w:lineRule="auto"/>
        <w:jc w:val="both"/>
        <w:rPr>
          <w:sz w:val="16"/>
        </w:rPr>
        <w:sectPr>
          <w:headerReference w:type="even" r:id="rId103"/>
          <w:headerReference w:type="default" r:id="rId104"/>
          <w:footerReference w:type="even" r:id="rId105"/>
          <w:footerReference w:type="default" r:id="rId106"/>
          <w:pgSz w:w="11910" w:h="16840"/>
          <w:pgMar w:header="953" w:footer="940" w:top="1140" w:bottom="1140" w:left="20" w:right="20"/>
          <w:pgNumType w:start="154"/>
        </w:sectPr>
      </w:pPr>
    </w:p>
    <w:p>
      <w:pPr>
        <w:pStyle w:val="ListParagraph"/>
        <w:numPr>
          <w:ilvl w:val="0"/>
          <w:numId w:val="4"/>
        </w:numPr>
        <w:tabs>
          <w:tab w:pos="2967" w:val="left" w:leader="none"/>
        </w:tabs>
        <w:spacing w:line="240" w:lineRule="auto" w:before="120" w:after="0"/>
        <w:ind w:left="2246" w:right="2241" w:firstLine="0"/>
        <w:jc w:val="both"/>
        <w:rPr>
          <w:sz w:val="20"/>
        </w:rPr>
      </w:pPr>
      <w:r>
        <w:rPr>
          <w:sz w:val="20"/>
        </w:rPr>
        <w:t>One </w:t>
      </w:r>
      <w:r>
        <w:rPr>
          <w:i/>
          <w:sz w:val="20"/>
        </w:rPr>
        <w:t>Administration Officer (P-3), 12 months. Continued. Multi-year. </w:t>
      </w:r>
      <w:r>
        <w:rPr>
          <w:sz w:val="20"/>
        </w:rPr>
        <w:t>The incumbent assists the Executive Secretary to the Committee on Budget and Finance in preparing for the two sessions of</w:t>
      </w:r>
      <w:r>
        <w:rPr>
          <w:spacing w:val="-4"/>
          <w:sz w:val="20"/>
        </w:rPr>
        <w:t> </w:t>
      </w:r>
      <w:r>
        <w:rPr>
          <w:sz w:val="20"/>
        </w:rPr>
        <w:t>the Committee and in following up on the implementation of</w:t>
      </w:r>
      <w:r>
        <w:rPr>
          <w:spacing w:val="-13"/>
          <w:sz w:val="20"/>
        </w:rPr>
        <w:t> </w:t>
      </w:r>
      <w:r>
        <w:rPr>
          <w:sz w:val="20"/>
        </w:rPr>
        <w:t>Committee</w:t>
      </w:r>
      <w:r>
        <w:rPr>
          <w:spacing w:val="-11"/>
          <w:sz w:val="20"/>
        </w:rPr>
        <w:t> </w:t>
      </w:r>
      <w:r>
        <w:rPr>
          <w:sz w:val="20"/>
        </w:rPr>
        <w:t>recommendations</w:t>
      </w:r>
      <w:r>
        <w:rPr>
          <w:spacing w:val="-13"/>
          <w:sz w:val="20"/>
        </w:rPr>
        <w:t> </w:t>
      </w:r>
      <w:r>
        <w:rPr>
          <w:sz w:val="20"/>
        </w:rPr>
        <w:t>and</w:t>
      </w:r>
      <w:r>
        <w:rPr>
          <w:spacing w:val="-9"/>
          <w:sz w:val="20"/>
        </w:rPr>
        <w:t> </w:t>
      </w:r>
      <w:r>
        <w:rPr>
          <w:sz w:val="20"/>
        </w:rPr>
        <w:t>related</w:t>
      </w:r>
      <w:r>
        <w:rPr>
          <w:spacing w:val="-13"/>
          <w:sz w:val="20"/>
        </w:rPr>
        <w:t> </w:t>
      </w:r>
      <w:r>
        <w:rPr>
          <w:sz w:val="20"/>
        </w:rPr>
        <w:t>matters,</w:t>
      </w:r>
      <w:r>
        <w:rPr>
          <w:spacing w:val="-12"/>
          <w:sz w:val="20"/>
        </w:rPr>
        <w:t> </w:t>
      </w:r>
      <w:r>
        <w:rPr>
          <w:sz w:val="20"/>
        </w:rPr>
        <w:t>including</w:t>
      </w:r>
      <w:r>
        <w:rPr>
          <w:spacing w:val="-10"/>
          <w:sz w:val="20"/>
        </w:rPr>
        <w:t> </w:t>
      </w:r>
      <w:r>
        <w:rPr>
          <w:sz w:val="20"/>
        </w:rPr>
        <w:t>preparation</w:t>
      </w:r>
      <w:r>
        <w:rPr>
          <w:spacing w:val="-10"/>
          <w:sz w:val="20"/>
        </w:rPr>
        <w:t> </w:t>
      </w:r>
      <w:r>
        <w:rPr>
          <w:sz w:val="20"/>
        </w:rPr>
        <w:t>for</w:t>
      </w:r>
      <w:r>
        <w:rPr>
          <w:spacing w:val="-10"/>
          <w:sz w:val="20"/>
        </w:rPr>
        <w:t> </w:t>
      </w:r>
      <w:r>
        <w:rPr>
          <w:sz w:val="20"/>
        </w:rPr>
        <w:t>sessions</w:t>
      </w:r>
      <w:r>
        <w:rPr>
          <w:spacing w:val="-12"/>
          <w:sz w:val="20"/>
        </w:rPr>
        <w:t> </w:t>
      </w:r>
      <w:r>
        <w:rPr>
          <w:sz w:val="20"/>
        </w:rPr>
        <w:t>of</w:t>
      </w:r>
      <w:r>
        <w:rPr>
          <w:spacing w:val="-13"/>
          <w:sz w:val="20"/>
        </w:rPr>
        <w:t> </w:t>
      </w:r>
      <w:r>
        <w:rPr>
          <w:sz w:val="20"/>
        </w:rPr>
        <w:t>the Audit Committee. The presence of this position also provides an opportunity for the Executive Secretary to cover more meetings of The Hague Working Group and to report to the Committee on major budgetary, financial and administrative matters.</w:t>
      </w:r>
    </w:p>
    <w:p>
      <w:pPr>
        <w:pStyle w:val="ListParagraph"/>
        <w:numPr>
          <w:ilvl w:val="0"/>
          <w:numId w:val="4"/>
        </w:numPr>
        <w:tabs>
          <w:tab w:pos="2967" w:val="left" w:leader="none"/>
        </w:tabs>
        <w:spacing w:line="240" w:lineRule="auto" w:before="124" w:after="0"/>
        <w:ind w:left="2246" w:right="2242" w:firstLine="0"/>
        <w:jc w:val="both"/>
        <w:rPr>
          <w:sz w:val="20"/>
        </w:rPr>
      </w:pPr>
      <w:r>
        <w:rPr>
          <w:sz w:val="20"/>
        </w:rPr>
        <w:t>One </w:t>
      </w:r>
      <w:r>
        <w:rPr>
          <w:i/>
          <w:sz w:val="20"/>
        </w:rPr>
        <w:t>Administration</w:t>
      </w:r>
      <w:r>
        <w:rPr>
          <w:i/>
          <w:spacing w:val="-2"/>
          <w:sz w:val="20"/>
        </w:rPr>
        <w:t> </w:t>
      </w:r>
      <w:r>
        <w:rPr>
          <w:i/>
          <w:sz w:val="20"/>
        </w:rPr>
        <w:t>Officer</w:t>
      </w:r>
      <w:r>
        <w:rPr>
          <w:i/>
          <w:spacing w:val="-3"/>
          <w:sz w:val="20"/>
        </w:rPr>
        <w:t> </w:t>
      </w:r>
      <w:r>
        <w:rPr>
          <w:i/>
          <w:sz w:val="20"/>
        </w:rPr>
        <w:t>(P-3), 1 month. Continued. Multi-year. </w:t>
      </w:r>
      <w:r>
        <w:rPr>
          <w:sz w:val="20"/>
        </w:rPr>
        <w:t>The incumbent assists</w:t>
      </w:r>
      <w:r>
        <w:rPr>
          <w:spacing w:val="-10"/>
          <w:sz w:val="20"/>
        </w:rPr>
        <w:t> </w:t>
      </w:r>
      <w:r>
        <w:rPr>
          <w:sz w:val="20"/>
        </w:rPr>
        <w:t>the</w:t>
      </w:r>
      <w:r>
        <w:rPr>
          <w:spacing w:val="-7"/>
          <w:sz w:val="20"/>
        </w:rPr>
        <w:t> </w:t>
      </w:r>
      <w:r>
        <w:rPr>
          <w:sz w:val="20"/>
        </w:rPr>
        <w:t>Executive</w:t>
      </w:r>
      <w:r>
        <w:rPr>
          <w:spacing w:val="-7"/>
          <w:sz w:val="20"/>
        </w:rPr>
        <w:t> </w:t>
      </w:r>
      <w:r>
        <w:rPr>
          <w:sz w:val="20"/>
        </w:rPr>
        <w:t>Secretary</w:t>
      </w:r>
      <w:r>
        <w:rPr>
          <w:spacing w:val="-8"/>
          <w:sz w:val="20"/>
        </w:rPr>
        <w:t> </w:t>
      </w:r>
      <w:r>
        <w:rPr>
          <w:sz w:val="20"/>
        </w:rPr>
        <w:t>to</w:t>
      </w:r>
      <w:r>
        <w:rPr>
          <w:spacing w:val="-8"/>
          <w:sz w:val="20"/>
        </w:rPr>
        <w:t> </w:t>
      </w:r>
      <w:r>
        <w:rPr>
          <w:sz w:val="20"/>
        </w:rPr>
        <w:t>the</w:t>
      </w:r>
      <w:r>
        <w:rPr>
          <w:spacing w:val="-7"/>
          <w:sz w:val="20"/>
        </w:rPr>
        <w:t> </w:t>
      </w:r>
      <w:r>
        <w:rPr>
          <w:sz w:val="20"/>
        </w:rPr>
        <w:t>Committee</w:t>
      </w:r>
      <w:r>
        <w:rPr>
          <w:spacing w:val="-7"/>
          <w:sz w:val="20"/>
        </w:rPr>
        <w:t> </w:t>
      </w:r>
      <w:r>
        <w:rPr>
          <w:sz w:val="20"/>
        </w:rPr>
        <w:t>on</w:t>
      </w:r>
      <w:r>
        <w:rPr>
          <w:spacing w:val="-8"/>
          <w:sz w:val="20"/>
        </w:rPr>
        <w:t> </w:t>
      </w:r>
      <w:r>
        <w:rPr>
          <w:sz w:val="20"/>
        </w:rPr>
        <w:t>Budget</w:t>
      </w:r>
      <w:r>
        <w:rPr>
          <w:spacing w:val="-7"/>
          <w:sz w:val="20"/>
        </w:rPr>
        <w:t> </w:t>
      </w:r>
      <w:r>
        <w:rPr>
          <w:sz w:val="20"/>
        </w:rPr>
        <w:t>and</w:t>
      </w:r>
      <w:r>
        <w:rPr>
          <w:spacing w:val="-4"/>
          <w:sz w:val="20"/>
        </w:rPr>
        <w:t> </w:t>
      </w:r>
      <w:r>
        <w:rPr>
          <w:sz w:val="20"/>
        </w:rPr>
        <w:t>Finance</w:t>
      </w:r>
      <w:r>
        <w:rPr>
          <w:spacing w:val="-7"/>
          <w:sz w:val="20"/>
        </w:rPr>
        <w:t> </w:t>
      </w:r>
      <w:r>
        <w:rPr>
          <w:sz w:val="20"/>
        </w:rPr>
        <w:t>with</w:t>
      </w:r>
      <w:r>
        <w:rPr>
          <w:spacing w:val="-8"/>
          <w:sz w:val="20"/>
        </w:rPr>
        <w:t> </w:t>
      </w:r>
      <w:r>
        <w:rPr>
          <w:sz w:val="20"/>
        </w:rPr>
        <w:t>taking</w:t>
      </w:r>
      <w:r>
        <w:rPr>
          <w:spacing w:val="-13"/>
          <w:sz w:val="20"/>
        </w:rPr>
        <w:t> </w:t>
      </w:r>
      <w:r>
        <w:rPr>
          <w:sz w:val="20"/>
        </w:rPr>
        <w:t>minutes and</w:t>
      </w:r>
      <w:r>
        <w:rPr>
          <w:spacing w:val="-8"/>
          <w:sz w:val="20"/>
        </w:rPr>
        <w:t> </w:t>
      </w:r>
      <w:r>
        <w:rPr>
          <w:sz w:val="20"/>
        </w:rPr>
        <w:t>preparing</w:t>
      </w:r>
      <w:r>
        <w:rPr>
          <w:spacing w:val="-8"/>
          <w:sz w:val="20"/>
        </w:rPr>
        <w:t> </w:t>
      </w:r>
      <w:r>
        <w:rPr>
          <w:sz w:val="20"/>
        </w:rPr>
        <w:t>reports</w:t>
      </w:r>
      <w:r>
        <w:rPr>
          <w:spacing w:val="-10"/>
          <w:sz w:val="20"/>
        </w:rPr>
        <w:t> </w:t>
      </w:r>
      <w:r>
        <w:rPr>
          <w:sz w:val="20"/>
        </w:rPr>
        <w:t>on</w:t>
      </w:r>
      <w:r>
        <w:rPr>
          <w:spacing w:val="-13"/>
          <w:sz w:val="20"/>
        </w:rPr>
        <w:t> </w:t>
      </w:r>
      <w:r>
        <w:rPr>
          <w:sz w:val="20"/>
        </w:rPr>
        <w:t>the</w:t>
      </w:r>
      <w:r>
        <w:rPr>
          <w:spacing w:val="-10"/>
          <w:sz w:val="20"/>
        </w:rPr>
        <w:t> </w:t>
      </w:r>
      <w:r>
        <w:rPr>
          <w:sz w:val="20"/>
        </w:rPr>
        <w:t>two</w:t>
      </w:r>
      <w:r>
        <w:rPr>
          <w:spacing w:val="-4"/>
          <w:sz w:val="20"/>
        </w:rPr>
        <w:t> </w:t>
      </w:r>
      <w:r>
        <w:rPr>
          <w:sz w:val="20"/>
        </w:rPr>
        <w:t>sessions</w:t>
      </w:r>
      <w:r>
        <w:rPr>
          <w:spacing w:val="-10"/>
          <w:sz w:val="20"/>
        </w:rPr>
        <w:t> </w:t>
      </w:r>
      <w:r>
        <w:rPr>
          <w:sz w:val="20"/>
        </w:rPr>
        <w:t>of</w:t>
      </w:r>
      <w:r>
        <w:rPr>
          <w:spacing w:val="-8"/>
          <w:sz w:val="20"/>
        </w:rPr>
        <w:t> </w:t>
      </w:r>
      <w:r>
        <w:rPr>
          <w:sz w:val="20"/>
        </w:rPr>
        <w:t>the</w:t>
      </w:r>
      <w:r>
        <w:rPr>
          <w:spacing w:val="-7"/>
          <w:sz w:val="20"/>
        </w:rPr>
        <w:t> </w:t>
      </w:r>
      <w:r>
        <w:rPr>
          <w:sz w:val="20"/>
        </w:rPr>
        <w:t>Committee</w:t>
      </w:r>
      <w:r>
        <w:rPr>
          <w:spacing w:val="-7"/>
          <w:sz w:val="20"/>
        </w:rPr>
        <w:t> </w:t>
      </w:r>
      <w:r>
        <w:rPr>
          <w:sz w:val="20"/>
        </w:rPr>
        <w:t>and</w:t>
      </w:r>
      <w:r>
        <w:rPr>
          <w:spacing w:val="-8"/>
          <w:sz w:val="20"/>
        </w:rPr>
        <w:t> </w:t>
      </w:r>
      <w:r>
        <w:rPr>
          <w:sz w:val="20"/>
        </w:rPr>
        <w:t>the</w:t>
      </w:r>
      <w:r>
        <w:rPr>
          <w:spacing w:val="-11"/>
          <w:sz w:val="20"/>
        </w:rPr>
        <w:t> </w:t>
      </w:r>
      <w:r>
        <w:rPr>
          <w:sz w:val="20"/>
        </w:rPr>
        <w:t>two</w:t>
      </w:r>
      <w:r>
        <w:rPr>
          <w:spacing w:val="-4"/>
          <w:sz w:val="20"/>
        </w:rPr>
        <w:t> </w:t>
      </w:r>
      <w:r>
        <w:rPr>
          <w:sz w:val="20"/>
        </w:rPr>
        <w:t>sessions</w:t>
      </w:r>
      <w:r>
        <w:rPr>
          <w:spacing w:val="-10"/>
          <w:sz w:val="20"/>
        </w:rPr>
        <w:t> </w:t>
      </w:r>
      <w:r>
        <w:rPr>
          <w:sz w:val="20"/>
        </w:rPr>
        <w:t>of</w:t>
      </w:r>
      <w:r>
        <w:rPr>
          <w:spacing w:val="-8"/>
          <w:sz w:val="20"/>
        </w:rPr>
        <w:t> </w:t>
      </w:r>
      <w:r>
        <w:rPr>
          <w:sz w:val="20"/>
        </w:rPr>
        <w:t>the</w:t>
      </w:r>
      <w:r>
        <w:rPr>
          <w:spacing w:val="-7"/>
          <w:sz w:val="20"/>
        </w:rPr>
        <w:t> </w:t>
      </w:r>
      <w:r>
        <w:rPr>
          <w:sz w:val="20"/>
        </w:rPr>
        <w:t>Audit </w:t>
      </w:r>
      <w:r>
        <w:rPr>
          <w:spacing w:val="-2"/>
          <w:sz w:val="20"/>
        </w:rPr>
        <w:t>Committee.</w:t>
      </w:r>
    </w:p>
    <w:p>
      <w:pPr>
        <w:pStyle w:val="ListParagraph"/>
        <w:numPr>
          <w:ilvl w:val="0"/>
          <w:numId w:val="4"/>
        </w:numPr>
        <w:tabs>
          <w:tab w:pos="2967" w:val="left" w:leader="none"/>
        </w:tabs>
        <w:spacing w:line="240" w:lineRule="auto" w:before="117" w:after="0"/>
        <w:ind w:left="2246" w:right="2244" w:firstLine="0"/>
        <w:jc w:val="both"/>
        <w:rPr>
          <w:sz w:val="20"/>
        </w:rPr>
      </w:pPr>
      <w:r>
        <w:rPr>
          <w:sz w:val="20"/>
        </w:rPr>
        <w:t>One</w:t>
      </w:r>
      <w:r>
        <w:rPr>
          <w:spacing w:val="-13"/>
          <w:sz w:val="20"/>
        </w:rPr>
        <w:t> </w:t>
      </w:r>
      <w:r>
        <w:rPr>
          <w:i/>
          <w:sz w:val="20"/>
        </w:rPr>
        <w:t>Legal</w:t>
      </w:r>
      <w:r>
        <w:rPr>
          <w:i/>
          <w:spacing w:val="-12"/>
          <w:sz w:val="20"/>
        </w:rPr>
        <w:t> </w:t>
      </w:r>
      <w:r>
        <w:rPr>
          <w:i/>
          <w:sz w:val="20"/>
        </w:rPr>
        <w:t>Officer</w:t>
      </w:r>
      <w:r>
        <w:rPr>
          <w:i/>
          <w:spacing w:val="-13"/>
          <w:sz w:val="20"/>
        </w:rPr>
        <w:t> </w:t>
      </w:r>
      <w:r>
        <w:rPr>
          <w:i/>
          <w:sz w:val="20"/>
        </w:rPr>
        <w:t>(P-3),</w:t>
      </w:r>
      <w:r>
        <w:rPr>
          <w:i/>
          <w:spacing w:val="-12"/>
          <w:sz w:val="20"/>
        </w:rPr>
        <w:t> </w:t>
      </w:r>
      <w:r>
        <w:rPr>
          <w:i/>
          <w:sz w:val="20"/>
        </w:rPr>
        <w:t>12</w:t>
      </w:r>
      <w:r>
        <w:rPr>
          <w:i/>
          <w:spacing w:val="-13"/>
          <w:sz w:val="20"/>
        </w:rPr>
        <w:t> </w:t>
      </w:r>
      <w:r>
        <w:rPr>
          <w:i/>
          <w:sz w:val="20"/>
        </w:rPr>
        <w:t>months.</w:t>
      </w:r>
      <w:r>
        <w:rPr>
          <w:i/>
          <w:spacing w:val="-12"/>
          <w:sz w:val="20"/>
        </w:rPr>
        <w:t> </w:t>
      </w:r>
      <w:r>
        <w:rPr>
          <w:i/>
          <w:sz w:val="20"/>
        </w:rPr>
        <w:t>New.</w:t>
      </w:r>
      <w:r>
        <w:rPr>
          <w:i/>
          <w:spacing w:val="-13"/>
          <w:sz w:val="20"/>
        </w:rPr>
        <w:t> </w:t>
      </w:r>
      <w:r>
        <w:rPr>
          <w:i/>
          <w:sz w:val="20"/>
        </w:rPr>
        <w:t>Multi-year.</w:t>
      </w:r>
      <w:r>
        <w:rPr>
          <w:i/>
          <w:spacing w:val="-12"/>
          <w:sz w:val="20"/>
        </w:rPr>
        <w:t> </w:t>
      </w:r>
      <w:r>
        <w:rPr>
          <w:sz w:val="20"/>
        </w:rPr>
        <w:t>The</w:t>
      </w:r>
      <w:r>
        <w:rPr>
          <w:spacing w:val="-13"/>
          <w:sz w:val="20"/>
        </w:rPr>
        <w:t> </w:t>
      </w:r>
      <w:r>
        <w:rPr>
          <w:sz w:val="20"/>
        </w:rPr>
        <w:t>incumbent</w:t>
      </w:r>
      <w:r>
        <w:rPr>
          <w:spacing w:val="-12"/>
          <w:sz w:val="20"/>
        </w:rPr>
        <w:t> </w:t>
      </w:r>
      <w:r>
        <w:rPr>
          <w:sz w:val="20"/>
        </w:rPr>
        <w:t>would</w:t>
      </w:r>
      <w:r>
        <w:rPr>
          <w:spacing w:val="-13"/>
          <w:sz w:val="20"/>
        </w:rPr>
        <w:t> </w:t>
      </w:r>
      <w:r>
        <w:rPr>
          <w:sz w:val="20"/>
        </w:rPr>
        <w:t>provide substantive support to the Secretariat on several mandates entrusted by the Assembly, including on the budget and budget-related topics.</w:t>
      </w:r>
    </w:p>
    <w:p>
      <w:pPr>
        <w:pStyle w:val="ListParagraph"/>
        <w:numPr>
          <w:ilvl w:val="0"/>
          <w:numId w:val="4"/>
        </w:numPr>
        <w:tabs>
          <w:tab w:pos="2967" w:val="left" w:leader="none"/>
        </w:tabs>
        <w:spacing w:line="240" w:lineRule="auto" w:before="121" w:after="0"/>
        <w:ind w:left="2246" w:right="2237" w:firstLine="0"/>
        <w:jc w:val="both"/>
        <w:rPr>
          <w:sz w:val="20"/>
        </w:rPr>
      </w:pPr>
      <w:r>
        <w:rPr>
          <w:sz w:val="20"/>
        </w:rPr>
        <w:t>One </w:t>
      </w:r>
      <w:r>
        <w:rPr>
          <w:i/>
          <w:sz w:val="20"/>
        </w:rPr>
        <w:t>Special Assistant to the President (P-3), 12 months. Continued. Multi-year.</w:t>
      </w:r>
      <w:r>
        <w:rPr>
          <w:i/>
          <w:sz w:val="20"/>
        </w:rPr>
        <w:t> Until the end of the term of office of the current President of the Assembly.</w:t>
      </w:r>
      <w:r>
        <w:rPr>
          <w:i/>
          <w:sz w:val="20"/>
          <w:vertAlign w:val="superscript"/>
        </w:rPr>
        <w:t>130</w:t>
      </w:r>
      <w:r>
        <w:rPr>
          <w:i/>
          <w:sz w:val="20"/>
          <w:vertAlign w:val="baseline"/>
        </w:rPr>
        <w:t> </w:t>
      </w:r>
      <w:r>
        <w:rPr>
          <w:sz w:val="20"/>
          <w:vertAlign w:val="baseline"/>
        </w:rPr>
        <w:t>The Special Assistant is based in New York and supports the President during visits to New York on United Nations-related matters concerning the Court. The incumbent provides substantive and technical support to the President in the preparation of statements and correspondence, and in respect of coordination with key stakeholders, and contributes to the planning and implementation of the President’s external relations and communications strategy, in particular</w:t>
      </w:r>
      <w:r>
        <w:rPr>
          <w:spacing w:val="-3"/>
          <w:sz w:val="20"/>
          <w:vertAlign w:val="baseline"/>
        </w:rPr>
        <w:t> </w:t>
      </w:r>
      <w:r>
        <w:rPr>
          <w:sz w:val="20"/>
          <w:vertAlign w:val="baseline"/>
        </w:rPr>
        <w:t>by providing</w:t>
      </w:r>
      <w:r>
        <w:rPr>
          <w:spacing w:val="-7"/>
          <w:sz w:val="20"/>
          <w:vertAlign w:val="baseline"/>
        </w:rPr>
        <w:t> </w:t>
      </w:r>
      <w:r>
        <w:rPr>
          <w:sz w:val="20"/>
          <w:vertAlign w:val="baseline"/>
        </w:rPr>
        <w:t>advice</w:t>
      </w:r>
      <w:r>
        <w:rPr>
          <w:spacing w:val="-1"/>
          <w:sz w:val="20"/>
          <w:vertAlign w:val="baseline"/>
        </w:rPr>
        <w:t> </w:t>
      </w:r>
      <w:r>
        <w:rPr>
          <w:sz w:val="20"/>
          <w:vertAlign w:val="baseline"/>
        </w:rPr>
        <w:t>on</w:t>
      </w:r>
      <w:r>
        <w:rPr>
          <w:spacing w:val="-3"/>
          <w:sz w:val="20"/>
          <w:vertAlign w:val="baseline"/>
        </w:rPr>
        <w:t> </w:t>
      </w:r>
      <w:r>
        <w:rPr>
          <w:sz w:val="20"/>
          <w:vertAlign w:val="baseline"/>
        </w:rPr>
        <w:t>issues</w:t>
      </w:r>
      <w:r>
        <w:rPr>
          <w:spacing w:val="-4"/>
          <w:sz w:val="20"/>
          <w:vertAlign w:val="baseline"/>
        </w:rPr>
        <w:t> </w:t>
      </w:r>
      <w:r>
        <w:rPr>
          <w:sz w:val="20"/>
          <w:vertAlign w:val="baseline"/>
        </w:rPr>
        <w:t>and</w:t>
      </w:r>
      <w:r>
        <w:rPr>
          <w:spacing w:val="-3"/>
          <w:sz w:val="20"/>
          <w:vertAlign w:val="baseline"/>
        </w:rPr>
        <w:t> </w:t>
      </w:r>
      <w:r>
        <w:rPr>
          <w:sz w:val="20"/>
          <w:vertAlign w:val="baseline"/>
        </w:rPr>
        <w:t>developments</w:t>
      </w:r>
      <w:r>
        <w:rPr>
          <w:spacing w:val="-4"/>
          <w:sz w:val="20"/>
          <w:vertAlign w:val="baseline"/>
        </w:rPr>
        <w:t> </w:t>
      </w:r>
      <w:r>
        <w:rPr>
          <w:sz w:val="20"/>
          <w:vertAlign w:val="baseline"/>
        </w:rPr>
        <w:t>affecting</w:t>
      </w:r>
      <w:r>
        <w:rPr>
          <w:spacing w:val="-7"/>
          <w:sz w:val="20"/>
          <w:vertAlign w:val="baseline"/>
        </w:rPr>
        <w:t> </w:t>
      </w:r>
      <w:r>
        <w:rPr>
          <w:sz w:val="20"/>
          <w:vertAlign w:val="baseline"/>
        </w:rPr>
        <w:t>the</w:t>
      </w:r>
      <w:r>
        <w:rPr>
          <w:spacing w:val="-1"/>
          <w:sz w:val="20"/>
          <w:vertAlign w:val="baseline"/>
        </w:rPr>
        <w:t> </w:t>
      </w:r>
      <w:r>
        <w:rPr>
          <w:sz w:val="20"/>
          <w:vertAlign w:val="baseline"/>
        </w:rPr>
        <w:t>President’s</w:t>
      </w:r>
      <w:r>
        <w:rPr>
          <w:spacing w:val="-4"/>
          <w:sz w:val="20"/>
          <w:vertAlign w:val="baseline"/>
        </w:rPr>
        <w:t> </w:t>
      </w:r>
      <w:r>
        <w:rPr>
          <w:sz w:val="20"/>
          <w:vertAlign w:val="baseline"/>
        </w:rPr>
        <w:t>external relations activities. The</w:t>
      </w:r>
      <w:r>
        <w:rPr>
          <w:spacing w:val="-1"/>
          <w:sz w:val="20"/>
          <w:vertAlign w:val="baseline"/>
        </w:rPr>
        <w:t> </w:t>
      </w:r>
      <w:r>
        <w:rPr>
          <w:sz w:val="20"/>
          <w:vertAlign w:val="baseline"/>
        </w:rPr>
        <w:t>incumbent also provides, as required, policy, legal and strategic support</w:t>
      </w:r>
      <w:r>
        <w:rPr>
          <w:spacing w:val="-2"/>
          <w:sz w:val="20"/>
          <w:vertAlign w:val="baseline"/>
        </w:rPr>
        <w:t> </w:t>
      </w:r>
      <w:r>
        <w:rPr>
          <w:sz w:val="20"/>
          <w:vertAlign w:val="baseline"/>
        </w:rPr>
        <w:t>and</w:t>
      </w:r>
      <w:r>
        <w:rPr>
          <w:spacing w:val="-4"/>
          <w:sz w:val="20"/>
          <w:vertAlign w:val="baseline"/>
        </w:rPr>
        <w:t> </w:t>
      </w:r>
      <w:r>
        <w:rPr>
          <w:sz w:val="20"/>
          <w:vertAlign w:val="baseline"/>
        </w:rPr>
        <w:t>advice to</w:t>
      </w:r>
      <w:r>
        <w:rPr>
          <w:spacing w:val="-4"/>
          <w:sz w:val="20"/>
          <w:vertAlign w:val="baseline"/>
        </w:rPr>
        <w:t> </w:t>
      </w:r>
      <w:r>
        <w:rPr>
          <w:sz w:val="20"/>
          <w:vertAlign w:val="baseline"/>
        </w:rPr>
        <w:t>the President on complex</w:t>
      </w:r>
      <w:r>
        <w:rPr>
          <w:spacing w:val="-4"/>
          <w:sz w:val="20"/>
          <w:vertAlign w:val="baseline"/>
        </w:rPr>
        <w:t> </w:t>
      </w:r>
      <w:r>
        <w:rPr>
          <w:sz w:val="20"/>
          <w:vertAlign w:val="baseline"/>
        </w:rPr>
        <w:t>issues</w:t>
      </w:r>
      <w:r>
        <w:rPr>
          <w:spacing w:val="-1"/>
          <w:sz w:val="20"/>
          <w:vertAlign w:val="baseline"/>
        </w:rPr>
        <w:t> </w:t>
      </w:r>
      <w:r>
        <w:rPr>
          <w:sz w:val="20"/>
          <w:vertAlign w:val="baseline"/>
        </w:rPr>
        <w:t>pertaining</w:t>
      </w:r>
      <w:r>
        <w:rPr>
          <w:spacing w:val="-4"/>
          <w:sz w:val="20"/>
          <w:vertAlign w:val="baseline"/>
        </w:rPr>
        <w:t> </w:t>
      </w:r>
      <w:r>
        <w:rPr>
          <w:sz w:val="20"/>
          <w:vertAlign w:val="baseline"/>
        </w:rPr>
        <w:t>to the President’s</w:t>
      </w:r>
      <w:r>
        <w:rPr>
          <w:spacing w:val="-5"/>
          <w:sz w:val="20"/>
          <w:vertAlign w:val="baseline"/>
        </w:rPr>
        <w:t> </w:t>
      </w:r>
      <w:r>
        <w:rPr>
          <w:sz w:val="20"/>
          <w:vertAlign w:val="baseline"/>
        </w:rPr>
        <w:t>mandate and functions. The incumbent assists with the preparation of official communications, coverage of meetings (note-taking, etc.) concerning Assembly-related issues at United Nations Headquarters and continuous engagement with observer States to promote the universality of the Rome Statute. Furthermore, the incumbent provides substantive services to</w:t>
      </w:r>
      <w:r>
        <w:rPr>
          <w:spacing w:val="-4"/>
          <w:sz w:val="20"/>
          <w:vertAlign w:val="baseline"/>
        </w:rPr>
        <w:t> </w:t>
      </w:r>
      <w:r>
        <w:rPr>
          <w:sz w:val="20"/>
          <w:vertAlign w:val="baseline"/>
        </w:rPr>
        <w:t>the</w:t>
      </w:r>
      <w:r>
        <w:rPr>
          <w:spacing w:val="-7"/>
          <w:sz w:val="20"/>
          <w:vertAlign w:val="baseline"/>
        </w:rPr>
        <w:t> </w:t>
      </w:r>
      <w:r>
        <w:rPr>
          <w:sz w:val="20"/>
          <w:vertAlign w:val="baseline"/>
        </w:rPr>
        <w:t>Bureau</w:t>
      </w:r>
      <w:r>
        <w:rPr>
          <w:spacing w:val="-8"/>
          <w:sz w:val="20"/>
          <w:vertAlign w:val="baseline"/>
        </w:rPr>
        <w:t> </w:t>
      </w:r>
      <w:r>
        <w:rPr>
          <w:sz w:val="20"/>
          <w:vertAlign w:val="baseline"/>
        </w:rPr>
        <w:t>and</w:t>
      </w:r>
      <w:r>
        <w:rPr>
          <w:spacing w:val="-8"/>
          <w:sz w:val="20"/>
          <w:vertAlign w:val="baseline"/>
        </w:rPr>
        <w:t> </w:t>
      </w:r>
      <w:r>
        <w:rPr>
          <w:sz w:val="20"/>
          <w:vertAlign w:val="baseline"/>
        </w:rPr>
        <w:t>the</w:t>
      </w:r>
      <w:r>
        <w:rPr>
          <w:spacing w:val="-2"/>
          <w:sz w:val="20"/>
          <w:vertAlign w:val="baseline"/>
        </w:rPr>
        <w:t> </w:t>
      </w:r>
      <w:r>
        <w:rPr>
          <w:sz w:val="20"/>
          <w:vertAlign w:val="baseline"/>
        </w:rPr>
        <w:t>New</w:t>
      </w:r>
      <w:r>
        <w:rPr>
          <w:spacing w:val="-5"/>
          <w:sz w:val="20"/>
          <w:vertAlign w:val="baseline"/>
        </w:rPr>
        <w:t> </w:t>
      </w:r>
      <w:r>
        <w:rPr>
          <w:sz w:val="20"/>
          <w:vertAlign w:val="baseline"/>
        </w:rPr>
        <w:t>York</w:t>
      </w:r>
      <w:r>
        <w:rPr>
          <w:spacing w:val="-8"/>
          <w:sz w:val="20"/>
          <w:vertAlign w:val="baseline"/>
        </w:rPr>
        <w:t> </w:t>
      </w:r>
      <w:r>
        <w:rPr>
          <w:sz w:val="20"/>
          <w:vertAlign w:val="baseline"/>
        </w:rPr>
        <w:t>Working</w:t>
      </w:r>
      <w:r>
        <w:rPr>
          <w:spacing w:val="-4"/>
          <w:sz w:val="20"/>
          <w:vertAlign w:val="baseline"/>
        </w:rPr>
        <w:t> </w:t>
      </w:r>
      <w:r>
        <w:rPr>
          <w:sz w:val="20"/>
          <w:vertAlign w:val="baseline"/>
        </w:rPr>
        <w:t>Group,</w:t>
      </w:r>
      <w:r>
        <w:rPr>
          <w:spacing w:val="-6"/>
          <w:sz w:val="20"/>
          <w:vertAlign w:val="baseline"/>
        </w:rPr>
        <w:t> </w:t>
      </w:r>
      <w:r>
        <w:rPr>
          <w:sz w:val="20"/>
          <w:vertAlign w:val="baseline"/>
        </w:rPr>
        <w:t>and</w:t>
      </w:r>
      <w:r>
        <w:rPr>
          <w:spacing w:val="-8"/>
          <w:sz w:val="20"/>
          <w:vertAlign w:val="baseline"/>
        </w:rPr>
        <w:t> </w:t>
      </w:r>
      <w:r>
        <w:rPr>
          <w:sz w:val="20"/>
          <w:vertAlign w:val="baseline"/>
        </w:rPr>
        <w:t>to</w:t>
      </w:r>
      <w:r>
        <w:rPr>
          <w:spacing w:val="-8"/>
          <w:sz w:val="20"/>
          <w:vertAlign w:val="baseline"/>
        </w:rPr>
        <w:t> </w:t>
      </w:r>
      <w:r>
        <w:rPr>
          <w:sz w:val="20"/>
          <w:vertAlign w:val="baseline"/>
        </w:rPr>
        <w:t>sessions</w:t>
      </w:r>
      <w:r>
        <w:rPr>
          <w:spacing w:val="-5"/>
          <w:sz w:val="20"/>
          <w:vertAlign w:val="baseline"/>
        </w:rPr>
        <w:t> </w:t>
      </w:r>
      <w:r>
        <w:rPr>
          <w:sz w:val="20"/>
          <w:vertAlign w:val="baseline"/>
        </w:rPr>
        <w:t>of</w:t>
      </w:r>
      <w:r>
        <w:rPr>
          <w:spacing w:val="-8"/>
          <w:sz w:val="20"/>
          <w:vertAlign w:val="baseline"/>
        </w:rPr>
        <w:t> </w:t>
      </w:r>
      <w:r>
        <w:rPr>
          <w:sz w:val="20"/>
          <w:vertAlign w:val="baseline"/>
        </w:rPr>
        <w:t>the</w:t>
      </w:r>
      <w:r>
        <w:rPr>
          <w:spacing w:val="-7"/>
          <w:sz w:val="20"/>
          <w:vertAlign w:val="baseline"/>
        </w:rPr>
        <w:t> </w:t>
      </w:r>
      <w:r>
        <w:rPr>
          <w:sz w:val="20"/>
          <w:vertAlign w:val="baseline"/>
        </w:rPr>
        <w:t>Assembly,</w:t>
      </w:r>
      <w:r>
        <w:rPr>
          <w:spacing w:val="-1"/>
          <w:sz w:val="20"/>
          <w:vertAlign w:val="baseline"/>
        </w:rPr>
        <w:t> </w:t>
      </w:r>
      <w:r>
        <w:rPr>
          <w:sz w:val="20"/>
          <w:vertAlign w:val="baseline"/>
        </w:rPr>
        <w:t>under</w:t>
      </w:r>
      <w:r>
        <w:rPr>
          <w:spacing w:val="-8"/>
          <w:sz w:val="20"/>
          <w:vertAlign w:val="baseline"/>
        </w:rPr>
        <w:t> </w:t>
      </w:r>
      <w:r>
        <w:rPr>
          <w:sz w:val="20"/>
          <w:vertAlign w:val="baseline"/>
        </w:rPr>
        <w:t>the direction</w:t>
      </w:r>
      <w:r>
        <w:rPr>
          <w:spacing w:val="-13"/>
          <w:sz w:val="20"/>
          <w:vertAlign w:val="baseline"/>
        </w:rPr>
        <w:t> </w:t>
      </w:r>
      <w:r>
        <w:rPr>
          <w:sz w:val="20"/>
          <w:vertAlign w:val="baseline"/>
        </w:rPr>
        <w:t>of</w:t>
      </w:r>
      <w:r>
        <w:rPr>
          <w:spacing w:val="-12"/>
          <w:sz w:val="20"/>
          <w:vertAlign w:val="baseline"/>
        </w:rPr>
        <w:t> </w:t>
      </w:r>
      <w:r>
        <w:rPr>
          <w:sz w:val="20"/>
          <w:vertAlign w:val="baseline"/>
        </w:rPr>
        <w:t>the</w:t>
      </w:r>
      <w:r>
        <w:rPr>
          <w:spacing w:val="-9"/>
          <w:sz w:val="20"/>
          <w:vertAlign w:val="baseline"/>
        </w:rPr>
        <w:t> </w:t>
      </w:r>
      <w:r>
        <w:rPr>
          <w:sz w:val="20"/>
          <w:vertAlign w:val="baseline"/>
        </w:rPr>
        <w:t>Secretariat.</w:t>
      </w:r>
      <w:r>
        <w:rPr>
          <w:spacing w:val="-8"/>
          <w:sz w:val="20"/>
          <w:vertAlign w:val="baseline"/>
        </w:rPr>
        <w:t> </w:t>
      </w:r>
      <w:r>
        <w:rPr>
          <w:sz w:val="20"/>
          <w:vertAlign w:val="baseline"/>
        </w:rPr>
        <w:t>Technical</w:t>
      </w:r>
      <w:r>
        <w:rPr>
          <w:spacing w:val="-9"/>
          <w:sz w:val="20"/>
          <w:vertAlign w:val="baseline"/>
        </w:rPr>
        <w:t> </w:t>
      </w:r>
      <w:r>
        <w:rPr>
          <w:sz w:val="20"/>
          <w:vertAlign w:val="baseline"/>
        </w:rPr>
        <w:t>servicing</w:t>
      </w:r>
      <w:r>
        <w:rPr>
          <w:spacing w:val="-13"/>
          <w:sz w:val="20"/>
          <w:vertAlign w:val="baseline"/>
        </w:rPr>
        <w:t> </w:t>
      </w:r>
      <w:r>
        <w:rPr>
          <w:sz w:val="20"/>
          <w:vertAlign w:val="baseline"/>
        </w:rPr>
        <w:t>will</w:t>
      </w:r>
      <w:r>
        <w:rPr>
          <w:spacing w:val="-8"/>
          <w:sz w:val="20"/>
          <w:vertAlign w:val="baseline"/>
        </w:rPr>
        <w:t> </w:t>
      </w:r>
      <w:r>
        <w:rPr>
          <w:sz w:val="20"/>
          <w:vertAlign w:val="baseline"/>
        </w:rPr>
        <w:t>continue</w:t>
      </w:r>
      <w:r>
        <w:rPr>
          <w:spacing w:val="-13"/>
          <w:sz w:val="20"/>
          <w:vertAlign w:val="baseline"/>
        </w:rPr>
        <w:t> </w:t>
      </w:r>
      <w:r>
        <w:rPr>
          <w:sz w:val="20"/>
          <w:vertAlign w:val="baseline"/>
        </w:rPr>
        <w:t>to</w:t>
      </w:r>
      <w:r>
        <w:rPr>
          <w:spacing w:val="-9"/>
          <w:sz w:val="20"/>
          <w:vertAlign w:val="baseline"/>
        </w:rPr>
        <w:t> </w:t>
      </w:r>
      <w:r>
        <w:rPr>
          <w:sz w:val="20"/>
          <w:vertAlign w:val="baseline"/>
        </w:rPr>
        <w:t>be</w:t>
      </w:r>
      <w:r>
        <w:rPr>
          <w:spacing w:val="-9"/>
          <w:sz w:val="20"/>
          <w:vertAlign w:val="baseline"/>
        </w:rPr>
        <w:t> </w:t>
      </w:r>
      <w:r>
        <w:rPr>
          <w:sz w:val="20"/>
          <w:vertAlign w:val="baseline"/>
        </w:rPr>
        <w:t>undertaken</w:t>
      </w:r>
      <w:r>
        <w:rPr>
          <w:spacing w:val="-9"/>
          <w:sz w:val="20"/>
          <w:vertAlign w:val="baseline"/>
        </w:rPr>
        <w:t> </w:t>
      </w:r>
      <w:r>
        <w:rPr>
          <w:sz w:val="20"/>
          <w:vertAlign w:val="baseline"/>
        </w:rPr>
        <w:t>by</w:t>
      </w:r>
      <w:r>
        <w:rPr>
          <w:spacing w:val="-13"/>
          <w:sz w:val="20"/>
          <w:vertAlign w:val="baseline"/>
        </w:rPr>
        <w:t> </w:t>
      </w:r>
      <w:r>
        <w:rPr>
          <w:sz w:val="20"/>
          <w:vertAlign w:val="baseline"/>
        </w:rPr>
        <w:t>the</w:t>
      </w:r>
      <w:r>
        <w:rPr>
          <w:spacing w:val="-8"/>
          <w:sz w:val="20"/>
          <w:vertAlign w:val="baseline"/>
        </w:rPr>
        <w:t> </w:t>
      </w:r>
      <w:r>
        <w:rPr>
          <w:sz w:val="20"/>
          <w:vertAlign w:val="baseline"/>
        </w:rPr>
        <w:t>Court’s Liaison Office to the United Nations in New York.</w:t>
      </w:r>
    </w:p>
    <w:p>
      <w:pPr>
        <w:pStyle w:val="ListParagraph"/>
        <w:numPr>
          <w:ilvl w:val="0"/>
          <w:numId w:val="4"/>
        </w:numPr>
        <w:tabs>
          <w:tab w:pos="2967" w:val="left" w:leader="none"/>
        </w:tabs>
        <w:spacing w:line="240" w:lineRule="auto" w:before="124" w:after="0"/>
        <w:ind w:left="2246" w:right="2240" w:firstLine="0"/>
        <w:jc w:val="both"/>
        <w:rPr>
          <w:sz w:val="20"/>
        </w:rPr>
      </w:pPr>
      <w:r>
        <w:rPr>
          <w:sz w:val="20"/>
        </w:rPr>
        <w:t>One </w:t>
      </w:r>
      <w:r>
        <w:rPr>
          <w:i/>
          <w:sz w:val="20"/>
        </w:rPr>
        <w:t>Special Assistant to the Director (P-1), 12 months. Continued</w:t>
      </w:r>
      <w:r>
        <w:rPr>
          <w:sz w:val="20"/>
        </w:rPr>
        <w:t>. </w:t>
      </w:r>
      <w:r>
        <w:rPr>
          <w:i/>
          <w:sz w:val="20"/>
        </w:rPr>
        <w:t>Multi-year.</w:t>
      </w:r>
      <w:r>
        <w:rPr>
          <w:i/>
          <w:spacing w:val="40"/>
          <w:sz w:val="20"/>
        </w:rPr>
        <w:t> </w:t>
      </w:r>
      <w:r>
        <w:rPr>
          <w:sz w:val="20"/>
        </w:rPr>
        <w:t>The</w:t>
      </w:r>
      <w:r>
        <w:rPr>
          <w:spacing w:val="-3"/>
          <w:sz w:val="20"/>
        </w:rPr>
        <w:t> </w:t>
      </w:r>
      <w:r>
        <w:rPr>
          <w:sz w:val="20"/>
        </w:rPr>
        <w:t>incumbent assists</w:t>
      </w:r>
      <w:r>
        <w:rPr>
          <w:spacing w:val="-1"/>
          <w:sz w:val="20"/>
        </w:rPr>
        <w:t> </w:t>
      </w:r>
      <w:r>
        <w:rPr>
          <w:sz w:val="20"/>
        </w:rPr>
        <w:t>the Director of the Secretariat with, </w:t>
      </w:r>
      <w:r>
        <w:rPr>
          <w:i/>
          <w:sz w:val="20"/>
        </w:rPr>
        <w:t>inter alia</w:t>
      </w:r>
      <w:r>
        <w:rPr>
          <w:sz w:val="20"/>
        </w:rPr>
        <w:t>, logistical preparations for sessions of the Assembly, management of the participation of NGO representatives, media affairs and the organization of side events. The incumbent also provides assistance with other logistical activities throughout the year and organizes meetings of the Director with Court officials and representatives of States Parties.</w:t>
      </w:r>
    </w:p>
    <w:p>
      <w:pPr>
        <w:pStyle w:val="ListParagraph"/>
        <w:numPr>
          <w:ilvl w:val="0"/>
          <w:numId w:val="4"/>
        </w:numPr>
        <w:tabs>
          <w:tab w:pos="2967" w:val="left" w:leader="none"/>
        </w:tabs>
        <w:spacing w:line="240" w:lineRule="auto" w:before="118" w:after="0"/>
        <w:ind w:left="2246" w:right="2237" w:firstLine="0"/>
        <w:jc w:val="both"/>
        <w:rPr>
          <w:sz w:val="20"/>
        </w:rPr>
      </w:pPr>
      <w:r>
        <w:rPr>
          <w:sz w:val="20"/>
        </w:rPr>
        <w:t>One</w:t>
      </w:r>
      <w:r>
        <w:rPr>
          <w:spacing w:val="-9"/>
          <w:sz w:val="20"/>
        </w:rPr>
        <w:t> </w:t>
      </w:r>
      <w:r>
        <w:rPr>
          <w:i/>
          <w:sz w:val="20"/>
        </w:rPr>
        <w:t>Administrative</w:t>
      </w:r>
      <w:r>
        <w:rPr>
          <w:i/>
          <w:spacing w:val="-9"/>
          <w:sz w:val="20"/>
        </w:rPr>
        <w:t> </w:t>
      </w:r>
      <w:r>
        <w:rPr>
          <w:i/>
          <w:sz w:val="20"/>
        </w:rPr>
        <w:t>Assistant</w:t>
      </w:r>
      <w:r>
        <w:rPr>
          <w:i/>
          <w:spacing w:val="-5"/>
          <w:sz w:val="20"/>
        </w:rPr>
        <w:t> </w:t>
      </w:r>
      <w:r>
        <w:rPr>
          <w:i/>
          <w:sz w:val="20"/>
        </w:rPr>
        <w:t>(GS-OL),</w:t>
      </w:r>
      <w:r>
        <w:rPr>
          <w:i/>
          <w:spacing w:val="-8"/>
          <w:sz w:val="20"/>
        </w:rPr>
        <w:t> </w:t>
      </w:r>
      <w:r>
        <w:rPr>
          <w:i/>
          <w:sz w:val="20"/>
        </w:rPr>
        <w:t>1</w:t>
      </w:r>
      <w:r>
        <w:rPr>
          <w:i/>
          <w:spacing w:val="-6"/>
          <w:sz w:val="20"/>
        </w:rPr>
        <w:t> </w:t>
      </w:r>
      <w:r>
        <w:rPr>
          <w:i/>
          <w:sz w:val="20"/>
        </w:rPr>
        <w:t>month.</w:t>
      </w:r>
      <w:r>
        <w:rPr>
          <w:i/>
          <w:spacing w:val="-8"/>
          <w:sz w:val="20"/>
        </w:rPr>
        <w:t> </w:t>
      </w:r>
      <w:r>
        <w:rPr>
          <w:i/>
          <w:sz w:val="20"/>
        </w:rPr>
        <w:t>unfunded.</w:t>
      </w:r>
      <w:r>
        <w:rPr>
          <w:i/>
          <w:spacing w:val="-6"/>
          <w:sz w:val="20"/>
        </w:rPr>
        <w:t> </w:t>
      </w:r>
      <w:r>
        <w:rPr>
          <w:sz w:val="20"/>
        </w:rPr>
        <w:t>The</w:t>
      </w:r>
      <w:r>
        <w:rPr>
          <w:spacing w:val="-5"/>
          <w:sz w:val="20"/>
        </w:rPr>
        <w:t> </w:t>
      </w:r>
      <w:r>
        <w:rPr>
          <w:sz w:val="20"/>
        </w:rPr>
        <w:t>Secretariat</w:t>
      </w:r>
      <w:r>
        <w:rPr>
          <w:spacing w:val="-9"/>
          <w:sz w:val="20"/>
        </w:rPr>
        <w:t> </w:t>
      </w:r>
      <w:r>
        <w:rPr>
          <w:sz w:val="20"/>
        </w:rPr>
        <w:t>requires an</w:t>
      </w:r>
      <w:r>
        <w:rPr>
          <w:spacing w:val="-8"/>
          <w:sz w:val="20"/>
        </w:rPr>
        <w:t> </w:t>
      </w:r>
      <w:r>
        <w:rPr>
          <w:i/>
          <w:sz w:val="20"/>
        </w:rPr>
        <w:t>Administrative</w:t>
      </w:r>
      <w:r>
        <w:rPr>
          <w:i/>
          <w:spacing w:val="-7"/>
          <w:sz w:val="20"/>
        </w:rPr>
        <w:t> </w:t>
      </w:r>
      <w:r>
        <w:rPr>
          <w:i/>
          <w:sz w:val="20"/>
        </w:rPr>
        <w:t>Assistant</w:t>
      </w:r>
      <w:r>
        <w:rPr>
          <w:i/>
          <w:spacing w:val="-4"/>
          <w:sz w:val="20"/>
        </w:rPr>
        <w:t> </w:t>
      </w:r>
      <w:r>
        <w:rPr>
          <w:sz w:val="20"/>
        </w:rPr>
        <w:t>during</w:t>
      </w:r>
      <w:r>
        <w:rPr>
          <w:spacing w:val="-8"/>
          <w:sz w:val="20"/>
        </w:rPr>
        <w:t> </w:t>
      </w:r>
      <w:r>
        <w:rPr>
          <w:sz w:val="20"/>
        </w:rPr>
        <w:t>the</w:t>
      </w:r>
      <w:r>
        <w:rPr>
          <w:spacing w:val="-7"/>
          <w:sz w:val="20"/>
        </w:rPr>
        <w:t> </w:t>
      </w:r>
      <w:r>
        <w:rPr>
          <w:sz w:val="20"/>
        </w:rPr>
        <w:t>months</w:t>
      </w:r>
      <w:r>
        <w:rPr>
          <w:spacing w:val="-10"/>
          <w:sz w:val="20"/>
        </w:rPr>
        <w:t> </w:t>
      </w:r>
      <w:r>
        <w:rPr>
          <w:sz w:val="20"/>
        </w:rPr>
        <w:t>leading</w:t>
      </w:r>
      <w:r>
        <w:rPr>
          <w:spacing w:val="-8"/>
          <w:sz w:val="20"/>
        </w:rPr>
        <w:t> </w:t>
      </w:r>
      <w:r>
        <w:rPr>
          <w:sz w:val="20"/>
        </w:rPr>
        <w:t>up</w:t>
      </w:r>
      <w:r>
        <w:rPr>
          <w:spacing w:val="-8"/>
          <w:sz w:val="20"/>
        </w:rPr>
        <w:t> </w:t>
      </w:r>
      <w:r>
        <w:rPr>
          <w:sz w:val="20"/>
        </w:rPr>
        <w:t>to</w:t>
      </w:r>
      <w:r>
        <w:rPr>
          <w:spacing w:val="-6"/>
          <w:sz w:val="20"/>
        </w:rPr>
        <w:t> </w:t>
      </w:r>
      <w:r>
        <w:rPr>
          <w:sz w:val="20"/>
        </w:rPr>
        <w:t>and</w:t>
      </w:r>
      <w:r>
        <w:rPr>
          <w:spacing w:val="-4"/>
          <w:sz w:val="20"/>
        </w:rPr>
        <w:t> </w:t>
      </w:r>
      <w:r>
        <w:rPr>
          <w:sz w:val="20"/>
        </w:rPr>
        <w:t>including</w:t>
      </w:r>
      <w:r>
        <w:rPr>
          <w:spacing w:val="-8"/>
          <w:sz w:val="20"/>
        </w:rPr>
        <w:t> </w:t>
      </w:r>
      <w:r>
        <w:rPr>
          <w:sz w:val="20"/>
        </w:rPr>
        <w:t>the</w:t>
      </w:r>
      <w:r>
        <w:rPr>
          <w:spacing w:val="-11"/>
          <w:sz w:val="20"/>
        </w:rPr>
        <w:t> </w:t>
      </w:r>
      <w:r>
        <w:rPr>
          <w:sz w:val="20"/>
        </w:rPr>
        <w:t>annual</w:t>
      </w:r>
      <w:r>
        <w:rPr>
          <w:spacing w:val="-7"/>
          <w:sz w:val="20"/>
        </w:rPr>
        <w:t> </w:t>
      </w:r>
      <w:r>
        <w:rPr>
          <w:sz w:val="20"/>
        </w:rPr>
        <w:t>session of the Assembly. The Administrative Assistant assists the Director with logistical preparations for the session of the Assembly. In the light of the Assembly session that will take place in New York this position together with other three GTA positions, namely, one </w:t>
      </w:r>
      <w:r>
        <w:rPr>
          <w:i/>
          <w:sz w:val="20"/>
        </w:rPr>
        <w:t>Service</w:t>
      </w:r>
      <w:r>
        <w:rPr>
          <w:i/>
          <w:spacing w:val="-12"/>
          <w:sz w:val="20"/>
        </w:rPr>
        <w:t> </w:t>
      </w:r>
      <w:r>
        <w:rPr>
          <w:i/>
          <w:sz w:val="20"/>
        </w:rPr>
        <w:t>Assistant</w:t>
      </w:r>
      <w:r>
        <w:rPr>
          <w:i/>
          <w:spacing w:val="-8"/>
          <w:sz w:val="20"/>
        </w:rPr>
        <w:t> </w:t>
      </w:r>
      <w:r>
        <w:rPr>
          <w:i/>
          <w:sz w:val="20"/>
        </w:rPr>
        <w:t>(GS-OL)</w:t>
      </w:r>
      <w:r>
        <w:rPr>
          <w:sz w:val="20"/>
        </w:rPr>
        <w:t>,</w:t>
      </w:r>
      <w:r>
        <w:rPr>
          <w:spacing w:val="-7"/>
          <w:sz w:val="20"/>
        </w:rPr>
        <w:t> </w:t>
      </w:r>
      <w:r>
        <w:rPr>
          <w:sz w:val="20"/>
        </w:rPr>
        <w:t>one</w:t>
      </w:r>
      <w:r>
        <w:rPr>
          <w:spacing w:val="-7"/>
          <w:sz w:val="20"/>
        </w:rPr>
        <w:t> </w:t>
      </w:r>
      <w:r>
        <w:rPr>
          <w:i/>
          <w:sz w:val="20"/>
        </w:rPr>
        <w:t>Document</w:t>
      </w:r>
      <w:r>
        <w:rPr>
          <w:i/>
          <w:spacing w:val="-8"/>
          <w:sz w:val="20"/>
        </w:rPr>
        <w:t> </w:t>
      </w:r>
      <w:r>
        <w:rPr>
          <w:i/>
          <w:sz w:val="20"/>
        </w:rPr>
        <w:t>Assistant</w:t>
      </w:r>
      <w:r>
        <w:rPr>
          <w:i/>
          <w:spacing w:val="-8"/>
          <w:sz w:val="20"/>
        </w:rPr>
        <w:t> </w:t>
      </w:r>
      <w:r>
        <w:rPr>
          <w:i/>
          <w:sz w:val="20"/>
        </w:rPr>
        <w:t>(GS-OL)</w:t>
      </w:r>
      <w:r>
        <w:rPr>
          <w:sz w:val="20"/>
        </w:rPr>
        <w:t>,</w:t>
      </w:r>
      <w:r>
        <w:rPr>
          <w:spacing w:val="-7"/>
          <w:sz w:val="20"/>
        </w:rPr>
        <w:t> </w:t>
      </w:r>
      <w:r>
        <w:rPr>
          <w:sz w:val="20"/>
        </w:rPr>
        <w:t>and</w:t>
      </w:r>
      <w:r>
        <w:rPr>
          <w:spacing w:val="-9"/>
          <w:sz w:val="20"/>
        </w:rPr>
        <w:t> </w:t>
      </w:r>
      <w:r>
        <w:rPr>
          <w:sz w:val="20"/>
        </w:rPr>
        <w:t>one</w:t>
      </w:r>
      <w:r>
        <w:rPr>
          <w:spacing w:val="-12"/>
          <w:sz w:val="20"/>
        </w:rPr>
        <w:t> </w:t>
      </w:r>
      <w:r>
        <w:rPr>
          <w:i/>
          <w:sz w:val="20"/>
        </w:rPr>
        <w:t>Registration</w:t>
      </w:r>
      <w:r>
        <w:rPr>
          <w:i/>
          <w:spacing w:val="-13"/>
          <w:sz w:val="20"/>
        </w:rPr>
        <w:t> </w:t>
      </w:r>
      <w:r>
        <w:rPr>
          <w:i/>
          <w:sz w:val="20"/>
        </w:rPr>
        <w:t>Assistant</w:t>
      </w:r>
      <w:r>
        <w:rPr>
          <w:i/>
          <w:sz w:val="20"/>
        </w:rPr>
        <w:t> (GS-OL)</w:t>
      </w:r>
      <w:r>
        <w:rPr>
          <w:sz w:val="20"/>
        </w:rPr>
        <w:t>, are proposed as unfunded in</w:t>
      </w:r>
      <w:r>
        <w:rPr>
          <w:spacing w:val="-3"/>
          <w:sz w:val="20"/>
        </w:rPr>
        <w:t> </w:t>
      </w:r>
      <w:r>
        <w:rPr>
          <w:sz w:val="20"/>
        </w:rPr>
        <w:t>the 2023 proposed budget</w:t>
      </w:r>
      <w:r>
        <w:rPr>
          <w:spacing w:val="-1"/>
          <w:sz w:val="20"/>
        </w:rPr>
        <w:t> </w:t>
      </w:r>
      <w:r>
        <w:rPr>
          <w:sz w:val="20"/>
        </w:rPr>
        <w:t>and will return to</w:t>
      </w:r>
      <w:r>
        <w:rPr>
          <w:spacing w:val="-3"/>
          <w:sz w:val="20"/>
        </w:rPr>
        <w:t> </w:t>
      </w:r>
      <w:r>
        <w:rPr>
          <w:sz w:val="20"/>
        </w:rPr>
        <w:t>the pool of staffing the following year in 2024.</w:t>
      </w:r>
    </w:p>
    <w:p>
      <w:pPr>
        <w:pStyle w:val="BodyText"/>
        <w:spacing w:before="2"/>
        <w:rPr>
          <w:sz w:val="21"/>
        </w:rPr>
      </w:pPr>
    </w:p>
    <w:p>
      <w:pPr>
        <w:tabs>
          <w:tab w:pos="8383" w:val="left" w:leader="none"/>
        </w:tabs>
        <w:spacing w:before="0"/>
        <w:ind w:left="2246" w:right="0" w:firstLine="0"/>
        <w:jc w:val="both"/>
        <w:rPr>
          <w:i/>
          <w:sz w:val="20"/>
        </w:rPr>
      </w:pPr>
      <w:r>
        <w:rPr>
          <w:i/>
          <w:sz w:val="20"/>
        </w:rPr>
        <w:t>Temporary</w:t>
      </w:r>
      <w:r>
        <w:rPr>
          <w:i/>
          <w:spacing w:val="-6"/>
          <w:sz w:val="20"/>
        </w:rPr>
        <w:t> </w:t>
      </w:r>
      <w:r>
        <w:rPr>
          <w:i/>
          <w:sz w:val="20"/>
        </w:rPr>
        <w:t>assistance</w:t>
      </w:r>
      <w:r>
        <w:rPr>
          <w:i/>
          <w:spacing w:val="-6"/>
          <w:sz w:val="20"/>
        </w:rPr>
        <w:t> </w:t>
      </w:r>
      <w:r>
        <w:rPr>
          <w:i/>
          <w:sz w:val="20"/>
        </w:rPr>
        <w:t>for</w:t>
      </w:r>
      <w:r>
        <w:rPr>
          <w:i/>
          <w:spacing w:val="-8"/>
          <w:sz w:val="20"/>
        </w:rPr>
        <w:t> </w:t>
      </w:r>
      <w:r>
        <w:rPr>
          <w:i/>
          <w:spacing w:val="-2"/>
          <w:sz w:val="20"/>
        </w:rPr>
        <w:t>meetings</w:t>
      </w:r>
      <w:r>
        <w:rPr>
          <w:i/>
          <w:sz w:val="20"/>
        </w:rPr>
        <w:tab/>
        <w:t>€70.0</w:t>
      </w:r>
      <w:r>
        <w:rPr>
          <w:i/>
          <w:spacing w:val="-3"/>
          <w:sz w:val="20"/>
        </w:rPr>
        <w:t> </w:t>
      </w:r>
      <w:r>
        <w:rPr>
          <w:i/>
          <w:spacing w:val="-2"/>
          <w:sz w:val="20"/>
        </w:rPr>
        <w:t>thousand</w:t>
      </w:r>
    </w:p>
    <w:p>
      <w:pPr>
        <w:pStyle w:val="BodyText"/>
        <w:spacing w:before="6"/>
        <w:rPr>
          <w:i/>
        </w:rPr>
      </w:pPr>
    </w:p>
    <w:p>
      <w:pPr>
        <w:pStyle w:val="ListParagraph"/>
        <w:numPr>
          <w:ilvl w:val="0"/>
          <w:numId w:val="4"/>
        </w:numPr>
        <w:tabs>
          <w:tab w:pos="2967" w:val="left" w:leader="none"/>
        </w:tabs>
        <w:spacing w:line="240" w:lineRule="auto" w:before="0" w:after="0"/>
        <w:ind w:left="2246" w:right="2239" w:firstLine="0"/>
        <w:jc w:val="both"/>
        <w:rPr>
          <w:sz w:val="20"/>
        </w:rPr>
      </w:pPr>
      <w:r>
        <w:rPr>
          <w:sz w:val="20"/>
        </w:rPr>
        <w:t>The proposed amount includes the cost of interpretation for meetings of the Assembly,</w:t>
      </w:r>
      <w:r>
        <w:rPr>
          <w:spacing w:val="-13"/>
          <w:sz w:val="20"/>
        </w:rPr>
        <w:t> </w:t>
      </w:r>
      <w:r>
        <w:rPr>
          <w:sz w:val="20"/>
        </w:rPr>
        <w:t>the</w:t>
      </w:r>
      <w:r>
        <w:rPr>
          <w:spacing w:val="-12"/>
          <w:sz w:val="20"/>
        </w:rPr>
        <w:t> </w:t>
      </w:r>
      <w:r>
        <w:rPr>
          <w:sz w:val="20"/>
        </w:rPr>
        <w:t>Bureau</w:t>
      </w:r>
      <w:r>
        <w:rPr>
          <w:spacing w:val="-13"/>
          <w:sz w:val="20"/>
        </w:rPr>
        <w:t> </w:t>
      </w:r>
      <w:r>
        <w:rPr>
          <w:sz w:val="20"/>
        </w:rPr>
        <w:t>and</w:t>
      </w:r>
      <w:r>
        <w:rPr>
          <w:spacing w:val="-10"/>
          <w:sz w:val="20"/>
        </w:rPr>
        <w:t> </w:t>
      </w:r>
      <w:r>
        <w:rPr>
          <w:sz w:val="20"/>
        </w:rPr>
        <w:t>subsidiary</w:t>
      </w:r>
      <w:r>
        <w:rPr>
          <w:spacing w:val="-10"/>
          <w:sz w:val="20"/>
        </w:rPr>
        <w:t> </w:t>
      </w:r>
      <w:r>
        <w:rPr>
          <w:sz w:val="20"/>
        </w:rPr>
        <w:t>bodies</w:t>
      </w:r>
      <w:r>
        <w:rPr>
          <w:spacing w:val="-12"/>
          <w:sz w:val="20"/>
        </w:rPr>
        <w:t> </w:t>
      </w:r>
      <w:r>
        <w:rPr>
          <w:sz w:val="20"/>
        </w:rPr>
        <w:t>including</w:t>
      </w:r>
      <w:r>
        <w:rPr>
          <w:spacing w:val="-13"/>
          <w:sz w:val="20"/>
        </w:rPr>
        <w:t> </w:t>
      </w:r>
      <w:r>
        <w:rPr>
          <w:sz w:val="20"/>
        </w:rPr>
        <w:t>the</w:t>
      </w:r>
      <w:r>
        <w:rPr>
          <w:spacing w:val="-8"/>
          <w:sz w:val="20"/>
        </w:rPr>
        <w:t> </w:t>
      </w:r>
      <w:r>
        <w:rPr>
          <w:sz w:val="20"/>
        </w:rPr>
        <w:t>ACN,</w:t>
      </w:r>
      <w:r>
        <w:rPr>
          <w:spacing w:val="-8"/>
          <w:sz w:val="20"/>
        </w:rPr>
        <w:t> </w:t>
      </w:r>
      <w:r>
        <w:rPr>
          <w:sz w:val="20"/>
        </w:rPr>
        <w:t>which</w:t>
      </w:r>
      <w:r>
        <w:rPr>
          <w:spacing w:val="-13"/>
          <w:sz w:val="20"/>
        </w:rPr>
        <w:t> </w:t>
      </w:r>
      <w:r>
        <w:rPr>
          <w:sz w:val="20"/>
        </w:rPr>
        <w:t>will</w:t>
      </w:r>
      <w:r>
        <w:rPr>
          <w:spacing w:val="-8"/>
          <w:sz w:val="20"/>
        </w:rPr>
        <w:t> </w:t>
      </w:r>
      <w:r>
        <w:rPr>
          <w:sz w:val="20"/>
        </w:rPr>
        <w:t>hold</w:t>
      </w:r>
      <w:r>
        <w:rPr>
          <w:spacing w:val="-13"/>
          <w:sz w:val="20"/>
        </w:rPr>
        <w:t> </w:t>
      </w:r>
      <w:r>
        <w:rPr>
          <w:sz w:val="20"/>
        </w:rPr>
        <w:t>a</w:t>
      </w:r>
      <w:r>
        <w:rPr>
          <w:spacing w:val="-8"/>
          <w:sz w:val="20"/>
        </w:rPr>
        <w:t> </w:t>
      </w:r>
      <w:r>
        <w:rPr>
          <w:sz w:val="20"/>
        </w:rPr>
        <w:t>seven-day session. The amount requested remains the same as the previous year. The Secretariat will seek to limit the financial burden of interpretation by coordinating with the Registry to use in-house interpreters in The Hague whenever possible.</w:t>
      </w:r>
      <w:r>
        <w:rPr>
          <w:sz w:val="20"/>
          <w:vertAlign w:val="superscript"/>
        </w:rPr>
        <w:t>131</w:t>
      </w:r>
    </w:p>
    <w:p>
      <w:pPr>
        <w:pStyle w:val="BodyText"/>
      </w:pPr>
    </w:p>
    <w:p>
      <w:pPr>
        <w:pStyle w:val="BodyText"/>
      </w:pPr>
    </w:p>
    <w:p>
      <w:pPr>
        <w:pStyle w:val="BodyText"/>
        <w:rPr>
          <w:sz w:val="14"/>
        </w:rPr>
      </w:pPr>
      <w:r>
        <w:rPr/>
        <w:pict>
          <v:rect style="position:absolute;margin-left:113.330002pt;margin-top:9.26878pt;width:144.050pt;height:.47998pt;mso-position-horizontal-relative:page;mso-position-vertical-relative:paragraph;z-index:-15685632;mso-wrap-distance-left:0;mso-wrap-distance-right:0" id="docshape283" filled="true" fillcolor="#000000" stroked="false">
            <v:fill type="solid"/>
            <w10:wrap type="topAndBottom"/>
          </v:rect>
        </w:pict>
      </w:r>
    </w:p>
    <w:p>
      <w:pPr>
        <w:spacing w:before="86"/>
        <w:ind w:left="2246" w:right="0" w:firstLine="0"/>
        <w:jc w:val="both"/>
        <w:rPr>
          <w:sz w:val="16"/>
        </w:rPr>
      </w:pPr>
      <w:r>
        <w:rPr>
          <w:position w:val="5"/>
          <w:sz w:val="10"/>
        </w:rPr>
        <w:t>130</w:t>
      </w:r>
      <w:r>
        <w:rPr>
          <w:spacing w:val="14"/>
          <w:position w:val="5"/>
          <w:sz w:val="10"/>
        </w:rPr>
        <w:t> </w:t>
      </w:r>
      <w:r>
        <w:rPr>
          <w:sz w:val="16"/>
        </w:rPr>
        <w:t>Until</w:t>
      </w:r>
      <w:r>
        <w:rPr>
          <w:spacing w:val="-3"/>
          <w:sz w:val="16"/>
        </w:rPr>
        <w:t> </w:t>
      </w:r>
      <w:r>
        <w:rPr>
          <w:sz w:val="16"/>
        </w:rPr>
        <w:t>December</w:t>
      </w:r>
      <w:r>
        <w:rPr>
          <w:spacing w:val="-3"/>
          <w:sz w:val="16"/>
        </w:rPr>
        <w:t> </w:t>
      </w:r>
      <w:r>
        <w:rPr>
          <w:spacing w:val="-2"/>
          <w:sz w:val="16"/>
        </w:rPr>
        <w:t>2023.</w:t>
      </w:r>
    </w:p>
    <w:p>
      <w:pPr>
        <w:spacing w:before="3"/>
        <w:ind w:left="2246" w:right="2250" w:firstLine="0"/>
        <w:jc w:val="both"/>
        <w:rPr>
          <w:sz w:val="16"/>
        </w:rPr>
      </w:pPr>
      <w:r>
        <w:rPr>
          <w:w w:val="95"/>
          <w:position w:val="5"/>
          <w:sz w:val="10"/>
        </w:rPr>
        <w:t>131</w:t>
      </w:r>
      <w:r>
        <w:rPr>
          <w:spacing w:val="7"/>
          <w:position w:val="5"/>
          <w:sz w:val="10"/>
        </w:rPr>
        <w:t> </w:t>
      </w:r>
      <w:r>
        <w:rPr>
          <w:w w:val="95"/>
          <w:sz w:val="16"/>
        </w:rPr>
        <w:t>This support from the</w:t>
      </w:r>
      <w:r>
        <w:rPr>
          <w:spacing w:val="14"/>
          <w:sz w:val="16"/>
        </w:rPr>
        <w:t> </w:t>
      </w:r>
      <w:r>
        <w:rPr>
          <w:w w:val="95"/>
          <w:sz w:val="16"/>
        </w:rPr>
        <w:t>Registry for</w:t>
      </w:r>
      <w:r>
        <w:rPr>
          <w:sz w:val="16"/>
        </w:rPr>
        <w:t> </w:t>
      </w:r>
      <w:r>
        <w:rPr>
          <w:w w:val="95"/>
          <w:sz w:val="16"/>
        </w:rPr>
        <w:t>interpretation in at</w:t>
      </w:r>
      <w:r>
        <w:rPr>
          <w:sz w:val="16"/>
        </w:rPr>
        <w:t> </w:t>
      </w:r>
      <w:r>
        <w:rPr>
          <w:w w:val="95"/>
          <w:sz w:val="16"/>
        </w:rPr>
        <w:t>least one of</w:t>
      </w:r>
      <w:r>
        <w:rPr>
          <w:sz w:val="16"/>
        </w:rPr>
        <w:t> </w:t>
      </w:r>
      <w:r>
        <w:rPr>
          <w:w w:val="95"/>
          <w:sz w:val="16"/>
        </w:rPr>
        <w:t>the Court’s</w:t>
      </w:r>
      <w:r>
        <w:rPr>
          <w:spacing w:val="12"/>
          <w:sz w:val="16"/>
        </w:rPr>
        <w:t> </w:t>
      </w:r>
      <w:r>
        <w:rPr>
          <w:w w:val="95"/>
          <w:sz w:val="16"/>
        </w:rPr>
        <w:t>two working languages is contingent</w:t>
      </w:r>
      <w:r>
        <w:rPr>
          <w:spacing w:val="40"/>
          <w:sz w:val="16"/>
        </w:rPr>
        <w:t> </w:t>
      </w:r>
      <w:r>
        <w:rPr>
          <w:sz w:val="16"/>
        </w:rPr>
        <w:t>on the Registry’s interpreters not being occupied with judicial proceedings. Interpretation into other official</w:t>
      </w:r>
      <w:r>
        <w:rPr>
          <w:spacing w:val="40"/>
          <w:sz w:val="16"/>
        </w:rPr>
        <w:t> </w:t>
      </w:r>
      <w:r>
        <w:rPr>
          <w:sz w:val="16"/>
        </w:rPr>
        <w:t>languages must be outsourced.</w:t>
      </w:r>
    </w:p>
    <w:p>
      <w:pPr>
        <w:spacing w:after="0"/>
        <w:jc w:val="both"/>
        <w:rPr>
          <w:sz w:val="16"/>
        </w:rPr>
        <w:sectPr>
          <w:pgSz w:w="11910" w:h="16840"/>
          <w:pgMar w:header="957" w:footer="940" w:top="1140" w:bottom="1140" w:left="20" w:right="20"/>
        </w:sectPr>
      </w:pPr>
    </w:p>
    <w:p>
      <w:pPr>
        <w:tabs>
          <w:tab w:pos="8388" w:val="left" w:leader="none"/>
        </w:tabs>
        <w:spacing w:before="124"/>
        <w:ind w:left="2246" w:right="0" w:firstLine="0"/>
        <w:jc w:val="both"/>
        <w:rPr>
          <w:i/>
          <w:sz w:val="20"/>
        </w:rPr>
      </w:pPr>
      <w:r>
        <w:rPr>
          <w:i/>
          <w:spacing w:val="-2"/>
          <w:sz w:val="20"/>
        </w:rPr>
        <w:t>Overtime</w:t>
      </w:r>
      <w:r>
        <w:rPr>
          <w:i/>
          <w:sz w:val="20"/>
        </w:rPr>
        <w:tab/>
        <w:t>€10.0</w:t>
      </w:r>
      <w:r>
        <w:rPr>
          <w:i/>
          <w:spacing w:val="-8"/>
          <w:sz w:val="20"/>
        </w:rPr>
        <w:t> </w:t>
      </w:r>
      <w:r>
        <w:rPr>
          <w:i/>
          <w:spacing w:val="-2"/>
          <w:sz w:val="20"/>
        </w:rPr>
        <w:t>thousand</w:t>
      </w:r>
    </w:p>
    <w:p>
      <w:pPr>
        <w:pStyle w:val="BodyText"/>
        <w:spacing w:before="11"/>
        <w:rPr>
          <w:i/>
        </w:rPr>
      </w:pPr>
    </w:p>
    <w:p>
      <w:pPr>
        <w:pStyle w:val="ListParagraph"/>
        <w:numPr>
          <w:ilvl w:val="0"/>
          <w:numId w:val="4"/>
        </w:numPr>
        <w:tabs>
          <w:tab w:pos="2967" w:val="left" w:leader="none"/>
        </w:tabs>
        <w:spacing w:line="240" w:lineRule="auto" w:before="0" w:after="0"/>
        <w:ind w:left="2246" w:right="2241" w:firstLine="0"/>
        <w:jc w:val="both"/>
        <w:rPr>
          <w:sz w:val="20"/>
        </w:rPr>
      </w:pPr>
      <w:r>
        <w:rPr>
          <w:sz w:val="20"/>
        </w:rPr>
        <w:t>The proposed amount has increased by €1.0 thousand (11.1 per cent). Overtime is paid</w:t>
      </w:r>
      <w:r>
        <w:rPr>
          <w:spacing w:val="-7"/>
          <w:sz w:val="20"/>
        </w:rPr>
        <w:t> </w:t>
      </w:r>
      <w:r>
        <w:rPr>
          <w:sz w:val="20"/>
        </w:rPr>
        <w:t>to</w:t>
      </w:r>
      <w:r>
        <w:rPr>
          <w:spacing w:val="-3"/>
          <w:sz w:val="20"/>
        </w:rPr>
        <w:t> </w:t>
      </w:r>
      <w:r>
        <w:rPr>
          <w:sz w:val="20"/>
        </w:rPr>
        <w:t>General</w:t>
      </w:r>
      <w:r>
        <w:rPr>
          <w:spacing w:val="-1"/>
          <w:sz w:val="20"/>
        </w:rPr>
        <w:t> </w:t>
      </w:r>
      <w:r>
        <w:rPr>
          <w:sz w:val="20"/>
        </w:rPr>
        <w:t>Service staff</w:t>
      </w:r>
      <w:r>
        <w:rPr>
          <w:spacing w:val="-3"/>
          <w:sz w:val="20"/>
        </w:rPr>
        <w:t> </w:t>
      </w:r>
      <w:r>
        <w:rPr>
          <w:sz w:val="20"/>
        </w:rPr>
        <w:t>who</w:t>
      </w:r>
      <w:r>
        <w:rPr>
          <w:spacing w:val="-7"/>
          <w:sz w:val="20"/>
        </w:rPr>
        <w:t> </w:t>
      </w:r>
      <w:r>
        <w:rPr>
          <w:sz w:val="20"/>
        </w:rPr>
        <w:t>are</w:t>
      </w:r>
      <w:r>
        <w:rPr>
          <w:spacing w:val="-1"/>
          <w:sz w:val="20"/>
        </w:rPr>
        <w:t> </w:t>
      </w:r>
      <w:r>
        <w:rPr>
          <w:sz w:val="20"/>
        </w:rPr>
        <w:t>required</w:t>
      </w:r>
      <w:r>
        <w:rPr>
          <w:spacing w:val="-7"/>
          <w:sz w:val="20"/>
        </w:rPr>
        <w:t> </w:t>
      </w:r>
      <w:r>
        <w:rPr>
          <w:sz w:val="20"/>
        </w:rPr>
        <w:t>to</w:t>
      </w:r>
      <w:r>
        <w:rPr>
          <w:spacing w:val="-3"/>
          <w:sz w:val="20"/>
        </w:rPr>
        <w:t> </w:t>
      </w:r>
      <w:r>
        <w:rPr>
          <w:sz w:val="20"/>
        </w:rPr>
        <w:t>provide</w:t>
      </w:r>
      <w:r>
        <w:rPr>
          <w:spacing w:val="-6"/>
          <w:sz w:val="20"/>
        </w:rPr>
        <w:t> </w:t>
      </w:r>
      <w:r>
        <w:rPr>
          <w:sz w:val="20"/>
        </w:rPr>
        <w:t>the</w:t>
      </w:r>
      <w:r>
        <w:rPr>
          <w:spacing w:val="-6"/>
          <w:sz w:val="20"/>
        </w:rPr>
        <w:t> </w:t>
      </w:r>
      <w:r>
        <w:rPr>
          <w:sz w:val="20"/>
        </w:rPr>
        <w:t>assistance</w:t>
      </w:r>
      <w:r>
        <w:rPr>
          <w:spacing w:val="-1"/>
          <w:sz w:val="20"/>
        </w:rPr>
        <w:t> </w:t>
      </w:r>
      <w:r>
        <w:rPr>
          <w:sz w:val="20"/>
        </w:rPr>
        <w:t>described</w:t>
      </w:r>
      <w:r>
        <w:rPr>
          <w:spacing w:val="-3"/>
          <w:sz w:val="20"/>
        </w:rPr>
        <w:t> </w:t>
      </w:r>
      <w:r>
        <w:rPr>
          <w:sz w:val="20"/>
        </w:rPr>
        <w:t>above</w:t>
      </w:r>
      <w:r>
        <w:rPr>
          <w:spacing w:val="-1"/>
          <w:sz w:val="20"/>
        </w:rPr>
        <w:t> </w:t>
      </w:r>
      <w:r>
        <w:rPr>
          <w:sz w:val="20"/>
        </w:rPr>
        <w:t>and who</w:t>
      </w:r>
      <w:r>
        <w:rPr>
          <w:spacing w:val="-4"/>
          <w:sz w:val="20"/>
        </w:rPr>
        <w:t> </w:t>
      </w:r>
      <w:r>
        <w:rPr>
          <w:sz w:val="20"/>
        </w:rPr>
        <w:t>have</w:t>
      </w:r>
      <w:r>
        <w:rPr>
          <w:spacing w:val="-7"/>
          <w:sz w:val="20"/>
        </w:rPr>
        <w:t> </w:t>
      </w:r>
      <w:r>
        <w:rPr>
          <w:sz w:val="20"/>
        </w:rPr>
        <w:t>to</w:t>
      </w:r>
      <w:r>
        <w:rPr>
          <w:spacing w:val="-8"/>
          <w:sz w:val="20"/>
        </w:rPr>
        <w:t> </w:t>
      </w:r>
      <w:r>
        <w:rPr>
          <w:sz w:val="20"/>
        </w:rPr>
        <w:t>work</w:t>
      </w:r>
      <w:r>
        <w:rPr>
          <w:spacing w:val="-8"/>
          <w:sz w:val="20"/>
        </w:rPr>
        <w:t> </w:t>
      </w:r>
      <w:r>
        <w:rPr>
          <w:sz w:val="20"/>
        </w:rPr>
        <w:t>beyond</w:t>
      </w:r>
      <w:r>
        <w:rPr>
          <w:spacing w:val="-8"/>
          <w:sz w:val="20"/>
        </w:rPr>
        <w:t> </w:t>
      </w:r>
      <w:r>
        <w:rPr>
          <w:sz w:val="20"/>
        </w:rPr>
        <w:t>normal</w:t>
      </w:r>
      <w:r>
        <w:rPr>
          <w:spacing w:val="-7"/>
          <w:sz w:val="20"/>
        </w:rPr>
        <w:t> </w:t>
      </w:r>
      <w:r>
        <w:rPr>
          <w:sz w:val="20"/>
        </w:rPr>
        <w:t>working</w:t>
      </w:r>
      <w:r>
        <w:rPr>
          <w:spacing w:val="-8"/>
          <w:sz w:val="20"/>
        </w:rPr>
        <w:t> </w:t>
      </w:r>
      <w:r>
        <w:rPr>
          <w:sz w:val="20"/>
        </w:rPr>
        <w:t>hours,</w:t>
      </w:r>
      <w:r>
        <w:rPr>
          <w:spacing w:val="-1"/>
          <w:sz w:val="20"/>
        </w:rPr>
        <w:t> </w:t>
      </w:r>
      <w:r>
        <w:rPr>
          <w:sz w:val="20"/>
        </w:rPr>
        <w:t>including</w:t>
      </w:r>
      <w:r>
        <w:rPr>
          <w:spacing w:val="-8"/>
          <w:sz w:val="20"/>
        </w:rPr>
        <w:t> </w:t>
      </w:r>
      <w:r>
        <w:rPr>
          <w:sz w:val="20"/>
        </w:rPr>
        <w:t>weekends,</w:t>
      </w:r>
      <w:r>
        <w:rPr>
          <w:spacing w:val="-6"/>
          <w:sz w:val="20"/>
        </w:rPr>
        <w:t> </w:t>
      </w:r>
      <w:r>
        <w:rPr>
          <w:sz w:val="20"/>
        </w:rPr>
        <w:t>during</w:t>
      </w:r>
      <w:r>
        <w:rPr>
          <w:spacing w:val="-8"/>
          <w:sz w:val="20"/>
        </w:rPr>
        <w:t> </w:t>
      </w:r>
      <w:r>
        <w:rPr>
          <w:sz w:val="20"/>
        </w:rPr>
        <w:t>and</w:t>
      </w:r>
      <w:r>
        <w:rPr>
          <w:spacing w:val="-8"/>
          <w:sz w:val="20"/>
        </w:rPr>
        <w:t> </w:t>
      </w:r>
      <w:r>
        <w:rPr>
          <w:sz w:val="20"/>
        </w:rPr>
        <w:t>in</w:t>
      </w:r>
      <w:r>
        <w:rPr>
          <w:spacing w:val="-8"/>
          <w:sz w:val="20"/>
        </w:rPr>
        <w:t> </w:t>
      </w:r>
      <w:r>
        <w:rPr>
          <w:sz w:val="20"/>
        </w:rPr>
        <w:t>relation to the session of the Assembly and the sessions of the Committees.</w:t>
      </w:r>
    </w:p>
    <w:p>
      <w:pPr>
        <w:pStyle w:val="BodyText"/>
        <w:rPr>
          <w:sz w:val="21"/>
        </w:rPr>
      </w:pPr>
    </w:p>
    <w:p>
      <w:pPr>
        <w:pStyle w:val="Heading3"/>
        <w:tabs>
          <w:tab w:pos="8076" w:val="left" w:leader="none"/>
        </w:tabs>
        <w:spacing w:before="1"/>
        <w:jc w:val="both"/>
      </w:pPr>
      <w:r>
        <w:rPr/>
        <w:t>Non-staff</w:t>
      </w:r>
      <w:r>
        <w:rPr>
          <w:spacing w:val="-4"/>
        </w:rPr>
        <w:t> </w:t>
      </w:r>
      <w:r>
        <w:rPr>
          <w:spacing w:val="-2"/>
        </w:rPr>
        <w:t>resources</w:t>
      </w:r>
      <w:r>
        <w:rPr/>
        <w:tab/>
        <w:t>€1,050.8</w:t>
      </w:r>
      <w:r>
        <w:rPr>
          <w:spacing w:val="-6"/>
        </w:rPr>
        <w:t> </w:t>
      </w:r>
      <w:r>
        <w:rPr>
          <w:spacing w:val="-2"/>
        </w:rPr>
        <w:t>thousand</w:t>
      </w:r>
    </w:p>
    <w:p>
      <w:pPr>
        <w:pStyle w:val="BodyText"/>
        <w:spacing w:before="10"/>
        <w:rPr>
          <w:b/>
        </w:rPr>
      </w:pPr>
    </w:p>
    <w:p>
      <w:pPr>
        <w:pStyle w:val="ListParagraph"/>
        <w:numPr>
          <w:ilvl w:val="0"/>
          <w:numId w:val="4"/>
        </w:numPr>
        <w:tabs>
          <w:tab w:pos="2967" w:val="left" w:leader="none"/>
        </w:tabs>
        <w:spacing w:line="240" w:lineRule="auto" w:before="0" w:after="0"/>
        <w:ind w:left="2246" w:right="2236" w:firstLine="0"/>
        <w:jc w:val="both"/>
        <w:rPr>
          <w:sz w:val="20"/>
        </w:rPr>
      </w:pPr>
      <w:r>
        <w:rPr>
          <w:sz w:val="20"/>
        </w:rPr>
        <w:t>The amount proposed has decreased by €212.7 thousand (16.8 per cent), owing mainly to the holding of the twenty-second session of the Assembly in New York, where certain expenditures</w:t>
      </w:r>
      <w:r>
        <w:rPr>
          <w:spacing w:val="32"/>
          <w:sz w:val="20"/>
        </w:rPr>
        <w:t> </w:t>
      </w:r>
      <w:r>
        <w:rPr>
          <w:sz w:val="20"/>
        </w:rPr>
        <w:t>are</w:t>
      </w:r>
      <w:r>
        <w:rPr>
          <w:spacing w:val="31"/>
          <w:sz w:val="20"/>
        </w:rPr>
        <w:t> </w:t>
      </w:r>
      <w:r>
        <w:rPr>
          <w:sz w:val="20"/>
        </w:rPr>
        <w:t>not</w:t>
      </w:r>
      <w:r>
        <w:rPr>
          <w:spacing w:val="31"/>
          <w:sz w:val="20"/>
        </w:rPr>
        <w:t> </w:t>
      </w:r>
      <w:r>
        <w:rPr>
          <w:sz w:val="20"/>
        </w:rPr>
        <w:t>incurred,</w:t>
      </w:r>
      <w:r>
        <w:rPr>
          <w:spacing w:val="36"/>
          <w:sz w:val="20"/>
        </w:rPr>
        <w:t> </w:t>
      </w:r>
      <w:r>
        <w:rPr>
          <w:sz w:val="20"/>
        </w:rPr>
        <w:t>such as</w:t>
      </w:r>
      <w:r>
        <w:rPr>
          <w:spacing w:val="32"/>
          <w:sz w:val="20"/>
        </w:rPr>
        <w:t> </w:t>
      </w:r>
      <w:r>
        <w:rPr>
          <w:sz w:val="20"/>
        </w:rPr>
        <w:t>for</w:t>
      </w:r>
      <w:r>
        <w:rPr>
          <w:spacing w:val="34"/>
          <w:sz w:val="20"/>
        </w:rPr>
        <w:t> </w:t>
      </w:r>
      <w:r>
        <w:rPr>
          <w:sz w:val="20"/>
        </w:rPr>
        <w:t>rental</w:t>
      </w:r>
      <w:r>
        <w:rPr>
          <w:spacing w:val="31"/>
          <w:sz w:val="20"/>
        </w:rPr>
        <w:t> </w:t>
      </w:r>
      <w:r>
        <w:rPr>
          <w:sz w:val="20"/>
        </w:rPr>
        <w:t>of</w:t>
      </w:r>
      <w:r>
        <w:rPr>
          <w:spacing w:val="34"/>
          <w:sz w:val="20"/>
        </w:rPr>
        <w:t> </w:t>
      </w:r>
      <w:r>
        <w:rPr>
          <w:sz w:val="20"/>
        </w:rPr>
        <w:t>the</w:t>
      </w:r>
      <w:r>
        <w:rPr>
          <w:spacing w:val="35"/>
          <w:sz w:val="20"/>
        </w:rPr>
        <w:t> </w:t>
      </w:r>
      <w:r>
        <w:rPr>
          <w:sz w:val="20"/>
        </w:rPr>
        <w:t>rooms and</w:t>
      </w:r>
      <w:r>
        <w:rPr>
          <w:spacing w:val="34"/>
          <w:sz w:val="20"/>
        </w:rPr>
        <w:t> </w:t>
      </w:r>
      <w:r>
        <w:rPr>
          <w:sz w:val="20"/>
        </w:rPr>
        <w:t>security.</w:t>
      </w:r>
      <w:r>
        <w:rPr>
          <w:spacing w:val="31"/>
          <w:sz w:val="20"/>
        </w:rPr>
        <w:t> </w:t>
      </w:r>
      <w:r>
        <w:rPr>
          <w:sz w:val="20"/>
        </w:rPr>
        <w:t>The non-staff</w:t>
      </w:r>
      <w:r>
        <w:rPr>
          <w:spacing w:val="-13"/>
          <w:sz w:val="20"/>
        </w:rPr>
        <w:t> </w:t>
      </w:r>
      <w:r>
        <w:rPr>
          <w:sz w:val="20"/>
        </w:rPr>
        <w:t>resources</w:t>
      </w:r>
      <w:r>
        <w:rPr>
          <w:spacing w:val="-12"/>
          <w:sz w:val="20"/>
        </w:rPr>
        <w:t> </w:t>
      </w:r>
      <w:r>
        <w:rPr>
          <w:sz w:val="20"/>
        </w:rPr>
        <w:t>include</w:t>
      </w:r>
      <w:r>
        <w:rPr>
          <w:spacing w:val="-13"/>
          <w:sz w:val="20"/>
        </w:rPr>
        <w:t> </w:t>
      </w:r>
      <w:r>
        <w:rPr>
          <w:sz w:val="20"/>
        </w:rPr>
        <w:t>the</w:t>
      </w:r>
      <w:r>
        <w:rPr>
          <w:spacing w:val="-12"/>
          <w:sz w:val="20"/>
        </w:rPr>
        <w:t> </w:t>
      </w:r>
      <w:r>
        <w:rPr>
          <w:sz w:val="20"/>
        </w:rPr>
        <w:t>travel</w:t>
      </w:r>
      <w:r>
        <w:rPr>
          <w:spacing w:val="-13"/>
          <w:sz w:val="20"/>
        </w:rPr>
        <w:t> </w:t>
      </w:r>
      <w:r>
        <w:rPr>
          <w:sz w:val="20"/>
        </w:rPr>
        <w:t>of</w:t>
      </w:r>
      <w:r>
        <w:rPr>
          <w:spacing w:val="-12"/>
          <w:sz w:val="20"/>
        </w:rPr>
        <w:t> </w:t>
      </w:r>
      <w:r>
        <w:rPr>
          <w:sz w:val="20"/>
        </w:rPr>
        <w:t>nine</w:t>
      </w:r>
      <w:r>
        <w:rPr>
          <w:spacing w:val="-13"/>
          <w:sz w:val="20"/>
        </w:rPr>
        <w:t> </w:t>
      </w:r>
      <w:r>
        <w:rPr>
          <w:sz w:val="20"/>
        </w:rPr>
        <w:t>members</w:t>
      </w:r>
      <w:r>
        <w:rPr>
          <w:spacing w:val="-12"/>
          <w:sz w:val="20"/>
        </w:rPr>
        <w:t> </w:t>
      </w:r>
      <w:r>
        <w:rPr>
          <w:sz w:val="20"/>
        </w:rPr>
        <w:t>of</w:t>
      </w:r>
      <w:r>
        <w:rPr>
          <w:spacing w:val="-13"/>
          <w:sz w:val="20"/>
        </w:rPr>
        <w:t> </w:t>
      </w:r>
      <w:r>
        <w:rPr>
          <w:sz w:val="20"/>
        </w:rPr>
        <w:t>the</w:t>
      </w:r>
      <w:r>
        <w:rPr>
          <w:spacing w:val="-12"/>
          <w:sz w:val="20"/>
        </w:rPr>
        <w:t> </w:t>
      </w:r>
      <w:r>
        <w:rPr>
          <w:sz w:val="20"/>
        </w:rPr>
        <w:t>ACN</w:t>
      </w:r>
      <w:r>
        <w:rPr>
          <w:spacing w:val="-13"/>
          <w:sz w:val="20"/>
        </w:rPr>
        <w:t> </w:t>
      </w:r>
      <w:r>
        <w:rPr>
          <w:sz w:val="20"/>
        </w:rPr>
        <w:t>to</w:t>
      </w:r>
      <w:r>
        <w:rPr>
          <w:spacing w:val="-12"/>
          <w:sz w:val="20"/>
        </w:rPr>
        <w:t> </w:t>
      </w:r>
      <w:r>
        <w:rPr>
          <w:sz w:val="20"/>
        </w:rPr>
        <w:t>The Hague</w:t>
      </w:r>
      <w:r>
        <w:rPr>
          <w:spacing w:val="-10"/>
          <w:sz w:val="20"/>
        </w:rPr>
        <w:t> </w:t>
      </w:r>
      <w:r>
        <w:rPr>
          <w:sz w:val="20"/>
        </w:rPr>
        <w:t>for</w:t>
      </w:r>
      <w:r>
        <w:rPr>
          <w:spacing w:val="-13"/>
          <w:sz w:val="20"/>
        </w:rPr>
        <w:t> </w:t>
      </w:r>
      <w:r>
        <w:rPr>
          <w:sz w:val="20"/>
        </w:rPr>
        <w:t>a</w:t>
      </w:r>
      <w:r>
        <w:rPr>
          <w:spacing w:val="-11"/>
          <w:sz w:val="20"/>
        </w:rPr>
        <w:t> </w:t>
      </w:r>
      <w:r>
        <w:rPr>
          <w:sz w:val="20"/>
        </w:rPr>
        <w:t>session of seven working days and the travel of the Secretariat staff to New York to service the twenty-second session of the Assembly. Non-staff resources are needed for travel, hospitality,</w:t>
      </w:r>
      <w:r>
        <w:rPr>
          <w:spacing w:val="-2"/>
          <w:sz w:val="20"/>
        </w:rPr>
        <w:t> </w:t>
      </w:r>
      <w:r>
        <w:rPr>
          <w:sz w:val="20"/>
        </w:rPr>
        <w:t>contractual</w:t>
      </w:r>
      <w:r>
        <w:rPr>
          <w:spacing w:val="-3"/>
          <w:sz w:val="20"/>
        </w:rPr>
        <w:t> </w:t>
      </w:r>
      <w:r>
        <w:rPr>
          <w:sz w:val="20"/>
        </w:rPr>
        <w:t>services,</w:t>
      </w:r>
      <w:r>
        <w:rPr>
          <w:spacing w:val="-7"/>
          <w:sz w:val="20"/>
        </w:rPr>
        <w:t> </w:t>
      </w:r>
      <w:r>
        <w:rPr>
          <w:sz w:val="20"/>
        </w:rPr>
        <w:t>training,</w:t>
      </w:r>
      <w:r>
        <w:rPr>
          <w:spacing w:val="-7"/>
          <w:sz w:val="20"/>
        </w:rPr>
        <w:t> </w:t>
      </w:r>
      <w:r>
        <w:rPr>
          <w:sz w:val="20"/>
        </w:rPr>
        <w:t>general</w:t>
      </w:r>
      <w:r>
        <w:rPr>
          <w:spacing w:val="-3"/>
          <w:sz w:val="20"/>
        </w:rPr>
        <w:t> </w:t>
      </w:r>
      <w:r>
        <w:rPr>
          <w:sz w:val="20"/>
        </w:rPr>
        <w:t>operating</w:t>
      </w:r>
      <w:r>
        <w:rPr>
          <w:spacing w:val="-5"/>
          <w:sz w:val="20"/>
        </w:rPr>
        <w:t> </w:t>
      </w:r>
      <w:r>
        <w:rPr>
          <w:sz w:val="20"/>
        </w:rPr>
        <w:t>expenses,</w:t>
      </w:r>
      <w:r>
        <w:rPr>
          <w:spacing w:val="-2"/>
          <w:sz w:val="20"/>
        </w:rPr>
        <w:t> </w:t>
      </w:r>
      <w:r>
        <w:rPr>
          <w:sz w:val="20"/>
        </w:rPr>
        <w:t>supplies</w:t>
      </w:r>
      <w:r>
        <w:rPr>
          <w:spacing w:val="-11"/>
          <w:sz w:val="20"/>
        </w:rPr>
        <w:t> </w:t>
      </w:r>
      <w:r>
        <w:rPr>
          <w:sz w:val="20"/>
        </w:rPr>
        <w:t>and</w:t>
      </w:r>
      <w:r>
        <w:rPr>
          <w:spacing w:val="-9"/>
          <w:sz w:val="20"/>
        </w:rPr>
        <w:t> </w:t>
      </w:r>
      <w:r>
        <w:rPr>
          <w:sz w:val="20"/>
        </w:rPr>
        <w:t>materials and furniture and equipment. All non-staff resources are recurrent.</w:t>
      </w:r>
      <w:r>
        <w:rPr>
          <w:sz w:val="20"/>
          <w:vertAlign w:val="superscript"/>
        </w:rPr>
        <w:t>132</w:t>
      </w:r>
    </w:p>
    <w:p>
      <w:pPr>
        <w:pStyle w:val="BodyText"/>
        <w:spacing w:before="9"/>
      </w:pPr>
    </w:p>
    <w:p>
      <w:pPr>
        <w:tabs>
          <w:tab w:pos="8282" w:val="left" w:leader="none"/>
        </w:tabs>
        <w:spacing w:before="0"/>
        <w:ind w:left="2246" w:right="0" w:firstLine="0"/>
        <w:jc w:val="both"/>
        <w:rPr>
          <w:i/>
          <w:sz w:val="20"/>
        </w:rPr>
      </w:pPr>
      <w:r>
        <w:rPr>
          <w:i/>
          <w:spacing w:val="-2"/>
          <w:sz w:val="20"/>
        </w:rPr>
        <w:t>Travel</w:t>
      </w:r>
      <w:r>
        <w:rPr>
          <w:i/>
          <w:sz w:val="20"/>
        </w:rPr>
        <w:tab/>
        <w:t>€591.9</w:t>
      </w:r>
      <w:r>
        <w:rPr>
          <w:i/>
          <w:spacing w:val="-3"/>
          <w:sz w:val="20"/>
        </w:rPr>
        <w:t> </w:t>
      </w:r>
      <w:r>
        <w:rPr>
          <w:i/>
          <w:spacing w:val="-2"/>
          <w:sz w:val="20"/>
        </w:rPr>
        <w:t>thousand</w:t>
      </w:r>
    </w:p>
    <w:p>
      <w:pPr>
        <w:pStyle w:val="BodyText"/>
        <w:spacing w:before="10"/>
        <w:rPr>
          <w:i/>
        </w:rPr>
      </w:pPr>
    </w:p>
    <w:p>
      <w:pPr>
        <w:pStyle w:val="ListParagraph"/>
        <w:numPr>
          <w:ilvl w:val="0"/>
          <w:numId w:val="4"/>
        </w:numPr>
        <w:tabs>
          <w:tab w:pos="2967" w:val="left" w:leader="none"/>
        </w:tabs>
        <w:spacing w:line="240" w:lineRule="auto" w:before="0" w:after="0"/>
        <w:ind w:left="2246" w:right="2237" w:firstLine="0"/>
        <w:jc w:val="both"/>
        <w:rPr>
          <w:sz w:val="20"/>
        </w:rPr>
      </w:pPr>
      <w:r>
        <w:rPr>
          <w:sz w:val="20"/>
        </w:rPr>
        <w:t>The amount proposed for travel has increased by €164.1 thousand (38.4 per cent) owing to the travel of nine members of the ACN to The Hague and the travel of Secretariat staff</w:t>
      </w:r>
      <w:r>
        <w:rPr>
          <w:spacing w:val="-13"/>
          <w:sz w:val="20"/>
        </w:rPr>
        <w:t> </w:t>
      </w:r>
      <w:r>
        <w:rPr>
          <w:sz w:val="20"/>
        </w:rPr>
        <w:t>to</w:t>
      </w:r>
      <w:r>
        <w:rPr>
          <w:spacing w:val="-9"/>
          <w:sz w:val="20"/>
        </w:rPr>
        <w:t> </w:t>
      </w:r>
      <w:r>
        <w:rPr>
          <w:sz w:val="20"/>
        </w:rPr>
        <w:t>New</w:t>
      </w:r>
      <w:r>
        <w:rPr>
          <w:spacing w:val="-11"/>
          <w:sz w:val="20"/>
        </w:rPr>
        <w:t> </w:t>
      </w:r>
      <w:r>
        <w:rPr>
          <w:sz w:val="20"/>
        </w:rPr>
        <w:t>York</w:t>
      </w:r>
      <w:r>
        <w:rPr>
          <w:spacing w:val="-9"/>
          <w:sz w:val="20"/>
        </w:rPr>
        <w:t> </w:t>
      </w:r>
      <w:r>
        <w:rPr>
          <w:sz w:val="20"/>
        </w:rPr>
        <w:t>to</w:t>
      </w:r>
      <w:r>
        <w:rPr>
          <w:spacing w:val="-9"/>
          <w:sz w:val="20"/>
        </w:rPr>
        <w:t> </w:t>
      </w:r>
      <w:r>
        <w:rPr>
          <w:sz w:val="20"/>
        </w:rPr>
        <w:t>service</w:t>
      </w:r>
      <w:r>
        <w:rPr>
          <w:spacing w:val="-8"/>
          <w:sz w:val="20"/>
        </w:rPr>
        <w:t> </w:t>
      </w:r>
      <w:r>
        <w:rPr>
          <w:sz w:val="20"/>
        </w:rPr>
        <w:t>the</w:t>
      </w:r>
      <w:r>
        <w:rPr>
          <w:spacing w:val="-13"/>
          <w:sz w:val="20"/>
        </w:rPr>
        <w:t> </w:t>
      </w:r>
      <w:r>
        <w:rPr>
          <w:sz w:val="20"/>
        </w:rPr>
        <w:t>twenty-second</w:t>
      </w:r>
      <w:r>
        <w:rPr>
          <w:spacing w:val="-8"/>
          <w:sz w:val="20"/>
        </w:rPr>
        <w:t> </w:t>
      </w:r>
      <w:r>
        <w:rPr>
          <w:sz w:val="20"/>
        </w:rPr>
        <w:t>session</w:t>
      </w:r>
      <w:r>
        <w:rPr>
          <w:spacing w:val="-9"/>
          <w:sz w:val="20"/>
        </w:rPr>
        <w:t> </w:t>
      </w:r>
      <w:r>
        <w:rPr>
          <w:sz w:val="20"/>
        </w:rPr>
        <w:t>of</w:t>
      </w:r>
      <w:r>
        <w:rPr>
          <w:spacing w:val="-9"/>
          <w:sz w:val="20"/>
        </w:rPr>
        <w:t> </w:t>
      </w:r>
      <w:r>
        <w:rPr>
          <w:sz w:val="20"/>
        </w:rPr>
        <w:t>the</w:t>
      </w:r>
      <w:r>
        <w:rPr>
          <w:spacing w:val="-13"/>
          <w:sz w:val="20"/>
        </w:rPr>
        <w:t> </w:t>
      </w:r>
      <w:r>
        <w:rPr>
          <w:sz w:val="20"/>
        </w:rPr>
        <w:t>Assembly.</w:t>
      </w:r>
      <w:r>
        <w:rPr>
          <w:sz w:val="20"/>
          <w:vertAlign w:val="superscript"/>
        </w:rPr>
        <w:t>133</w:t>
      </w:r>
      <w:r>
        <w:rPr>
          <w:spacing w:val="-6"/>
          <w:sz w:val="20"/>
          <w:vertAlign w:val="baseline"/>
        </w:rPr>
        <w:t> </w:t>
      </w:r>
      <w:r>
        <w:rPr>
          <w:sz w:val="20"/>
          <w:vertAlign w:val="baseline"/>
        </w:rPr>
        <w:t>The</w:t>
      </w:r>
      <w:r>
        <w:rPr>
          <w:spacing w:val="-12"/>
          <w:sz w:val="20"/>
          <w:vertAlign w:val="baseline"/>
        </w:rPr>
        <w:t> </w:t>
      </w:r>
      <w:r>
        <w:rPr>
          <w:sz w:val="20"/>
          <w:vertAlign w:val="baseline"/>
        </w:rPr>
        <w:t>travel</w:t>
      </w:r>
      <w:r>
        <w:rPr>
          <w:spacing w:val="-8"/>
          <w:sz w:val="20"/>
          <w:vertAlign w:val="baseline"/>
        </w:rPr>
        <w:t> </w:t>
      </w:r>
      <w:r>
        <w:rPr>
          <w:sz w:val="20"/>
          <w:vertAlign w:val="baseline"/>
        </w:rPr>
        <w:t>budget reflects the cost of travel of members of the Committee to attend its sessions; for the Chair of the Committee to attend meetings with the New York and Hague Working Groups and Court officials;</w:t>
      </w:r>
      <w:r>
        <w:rPr>
          <w:spacing w:val="-1"/>
          <w:sz w:val="20"/>
          <w:vertAlign w:val="baseline"/>
        </w:rPr>
        <w:t> </w:t>
      </w:r>
      <w:r>
        <w:rPr>
          <w:sz w:val="20"/>
          <w:vertAlign w:val="baseline"/>
        </w:rPr>
        <w:t>and for</w:t>
      </w:r>
      <w:r>
        <w:rPr>
          <w:spacing w:val="-3"/>
          <w:sz w:val="20"/>
          <w:vertAlign w:val="baseline"/>
        </w:rPr>
        <w:t> </w:t>
      </w:r>
      <w:r>
        <w:rPr>
          <w:sz w:val="20"/>
          <w:vertAlign w:val="baseline"/>
        </w:rPr>
        <w:t>a few members of</w:t>
      </w:r>
      <w:r>
        <w:rPr>
          <w:spacing w:val="-3"/>
          <w:sz w:val="20"/>
          <w:vertAlign w:val="baseline"/>
        </w:rPr>
        <w:t> </w:t>
      </w:r>
      <w:r>
        <w:rPr>
          <w:sz w:val="20"/>
          <w:vertAlign w:val="baseline"/>
        </w:rPr>
        <w:t>the</w:t>
      </w:r>
      <w:r>
        <w:rPr>
          <w:spacing w:val="-1"/>
          <w:sz w:val="20"/>
          <w:vertAlign w:val="baseline"/>
        </w:rPr>
        <w:t> </w:t>
      </w:r>
      <w:r>
        <w:rPr>
          <w:sz w:val="20"/>
          <w:vertAlign w:val="baseline"/>
        </w:rPr>
        <w:t>Committee</w:t>
      </w:r>
      <w:r>
        <w:rPr>
          <w:spacing w:val="-1"/>
          <w:sz w:val="20"/>
          <w:vertAlign w:val="baseline"/>
        </w:rPr>
        <w:t> </w:t>
      </w:r>
      <w:r>
        <w:rPr>
          <w:sz w:val="20"/>
          <w:vertAlign w:val="baseline"/>
        </w:rPr>
        <w:t>to</w:t>
      </w:r>
      <w:r>
        <w:rPr>
          <w:spacing w:val="-3"/>
          <w:sz w:val="20"/>
          <w:vertAlign w:val="baseline"/>
        </w:rPr>
        <w:t> </w:t>
      </w:r>
      <w:r>
        <w:rPr>
          <w:sz w:val="20"/>
          <w:vertAlign w:val="baseline"/>
        </w:rPr>
        <w:t>visit</w:t>
      </w:r>
      <w:r>
        <w:rPr>
          <w:spacing w:val="-1"/>
          <w:sz w:val="20"/>
          <w:vertAlign w:val="baseline"/>
        </w:rPr>
        <w:t> </w:t>
      </w:r>
      <w:r>
        <w:rPr>
          <w:sz w:val="20"/>
          <w:vertAlign w:val="baseline"/>
        </w:rPr>
        <w:t>country offices. The travel budget</w:t>
      </w:r>
      <w:r>
        <w:rPr>
          <w:spacing w:val="-13"/>
          <w:sz w:val="20"/>
          <w:vertAlign w:val="baseline"/>
        </w:rPr>
        <w:t> </w:t>
      </w:r>
      <w:r>
        <w:rPr>
          <w:sz w:val="20"/>
          <w:vertAlign w:val="baseline"/>
        </w:rPr>
        <w:t>also</w:t>
      </w:r>
      <w:r>
        <w:rPr>
          <w:spacing w:val="-12"/>
          <w:sz w:val="20"/>
          <w:vertAlign w:val="baseline"/>
        </w:rPr>
        <w:t> </w:t>
      </w:r>
      <w:r>
        <w:rPr>
          <w:sz w:val="20"/>
          <w:vertAlign w:val="baseline"/>
        </w:rPr>
        <w:t>covers</w:t>
      </w:r>
      <w:r>
        <w:rPr>
          <w:spacing w:val="-13"/>
          <w:sz w:val="20"/>
          <w:vertAlign w:val="baseline"/>
        </w:rPr>
        <w:t> </w:t>
      </w:r>
      <w:r>
        <w:rPr>
          <w:sz w:val="20"/>
          <w:vertAlign w:val="baseline"/>
        </w:rPr>
        <w:t>the</w:t>
      </w:r>
      <w:r>
        <w:rPr>
          <w:spacing w:val="-12"/>
          <w:sz w:val="20"/>
          <w:vertAlign w:val="baseline"/>
        </w:rPr>
        <w:t> </w:t>
      </w:r>
      <w:r>
        <w:rPr>
          <w:sz w:val="20"/>
          <w:vertAlign w:val="baseline"/>
        </w:rPr>
        <w:t>cost</w:t>
      </w:r>
      <w:r>
        <w:rPr>
          <w:spacing w:val="-13"/>
          <w:sz w:val="20"/>
          <w:vertAlign w:val="baseline"/>
        </w:rPr>
        <w:t> </w:t>
      </w:r>
      <w:r>
        <w:rPr>
          <w:sz w:val="20"/>
          <w:vertAlign w:val="baseline"/>
        </w:rPr>
        <w:t>of</w:t>
      </w:r>
      <w:r>
        <w:rPr>
          <w:spacing w:val="-12"/>
          <w:sz w:val="20"/>
          <w:vertAlign w:val="baseline"/>
        </w:rPr>
        <w:t> </w:t>
      </w:r>
      <w:r>
        <w:rPr>
          <w:sz w:val="20"/>
          <w:vertAlign w:val="baseline"/>
        </w:rPr>
        <w:t>travel</w:t>
      </w:r>
      <w:r>
        <w:rPr>
          <w:spacing w:val="-13"/>
          <w:sz w:val="20"/>
          <w:vertAlign w:val="baseline"/>
        </w:rPr>
        <w:t> </w:t>
      </w:r>
      <w:r>
        <w:rPr>
          <w:sz w:val="20"/>
          <w:vertAlign w:val="baseline"/>
        </w:rPr>
        <w:t>for</w:t>
      </w:r>
      <w:r>
        <w:rPr>
          <w:spacing w:val="-12"/>
          <w:sz w:val="20"/>
          <w:vertAlign w:val="baseline"/>
        </w:rPr>
        <w:t> </w:t>
      </w:r>
      <w:r>
        <w:rPr>
          <w:sz w:val="20"/>
          <w:vertAlign w:val="baseline"/>
        </w:rPr>
        <w:t>the</w:t>
      </w:r>
      <w:r>
        <w:rPr>
          <w:spacing w:val="-12"/>
          <w:sz w:val="20"/>
          <w:vertAlign w:val="baseline"/>
        </w:rPr>
        <w:t> </w:t>
      </w:r>
      <w:r>
        <w:rPr>
          <w:sz w:val="20"/>
          <w:vertAlign w:val="baseline"/>
        </w:rPr>
        <w:t>Office</w:t>
      </w:r>
      <w:r>
        <w:rPr>
          <w:spacing w:val="-11"/>
          <w:sz w:val="20"/>
          <w:vertAlign w:val="baseline"/>
        </w:rPr>
        <w:t> </w:t>
      </w:r>
      <w:r>
        <w:rPr>
          <w:sz w:val="20"/>
          <w:vertAlign w:val="baseline"/>
        </w:rPr>
        <w:t>of</w:t>
      </w:r>
      <w:r>
        <w:rPr>
          <w:spacing w:val="-13"/>
          <w:sz w:val="20"/>
          <w:vertAlign w:val="baseline"/>
        </w:rPr>
        <w:t> </w:t>
      </w:r>
      <w:r>
        <w:rPr>
          <w:sz w:val="20"/>
          <w:vertAlign w:val="baseline"/>
        </w:rPr>
        <w:t>the</w:t>
      </w:r>
      <w:r>
        <w:rPr>
          <w:spacing w:val="-10"/>
          <w:sz w:val="20"/>
          <w:vertAlign w:val="baseline"/>
        </w:rPr>
        <w:t> </w:t>
      </w:r>
      <w:r>
        <w:rPr>
          <w:sz w:val="20"/>
          <w:vertAlign w:val="baseline"/>
        </w:rPr>
        <w:t>President</w:t>
      </w:r>
      <w:r>
        <w:rPr>
          <w:spacing w:val="-12"/>
          <w:sz w:val="20"/>
          <w:vertAlign w:val="baseline"/>
        </w:rPr>
        <w:t> </w:t>
      </w:r>
      <w:r>
        <w:rPr>
          <w:sz w:val="20"/>
          <w:vertAlign w:val="baseline"/>
        </w:rPr>
        <w:t>of</w:t>
      </w:r>
      <w:r>
        <w:rPr>
          <w:spacing w:val="-13"/>
          <w:sz w:val="20"/>
          <w:vertAlign w:val="baseline"/>
        </w:rPr>
        <w:t> </w:t>
      </w:r>
      <w:r>
        <w:rPr>
          <w:sz w:val="20"/>
          <w:vertAlign w:val="baseline"/>
        </w:rPr>
        <w:t>the</w:t>
      </w:r>
      <w:r>
        <w:rPr>
          <w:spacing w:val="-10"/>
          <w:sz w:val="20"/>
          <w:vertAlign w:val="baseline"/>
        </w:rPr>
        <w:t> </w:t>
      </w:r>
      <w:r>
        <w:rPr>
          <w:sz w:val="20"/>
          <w:vertAlign w:val="baseline"/>
        </w:rPr>
        <w:t>Assembly,</w:t>
      </w:r>
      <w:r>
        <w:rPr>
          <w:spacing w:val="-11"/>
          <w:sz w:val="20"/>
          <w:vertAlign w:val="baseline"/>
        </w:rPr>
        <w:t> </w:t>
      </w:r>
      <w:r>
        <w:rPr>
          <w:sz w:val="20"/>
          <w:vertAlign w:val="baseline"/>
        </w:rPr>
        <w:t>including visits to the seat of the Court in The Hague and to New York.</w:t>
      </w:r>
      <w:r>
        <w:rPr>
          <w:sz w:val="20"/>
          <w:vertAlign w:val="superscript"/>
        </w:rPr>
        <w:t>134</w:t>
      </w:r>
      <w:r>
        <w:rPr>
          <w:sz w:val="20"/>
          <w:vertAlign w:val="baseline"/>
        </w:rPr>
        <w:t> In addition, it covers the travel of five members of the Audit Committee to The Hague.</w:t>
      </w:r>
    </w:p>
    <w:p>
      <w:pPr>
        <w:pStyle w:val="BodyText"/>
        <w:spacing w:before="10"/>
      </w:pPr>
    </w:p>
    <w:p>
      <w:pPr>
        <w:tabs>
          <w:tab w:pos="8484" w:val="left" w:leader="none"/>
        </w:tabs>
        <w:spacing w:before="0"/>
        <w:ind w:left="2246" w:right="0" w:firstLine="0"/>
        <w:jc w:val="both"/>
        <w:rPr>
          <w:i/>
          <w:sz w:val="20"/>
        </w:rPr>
      </w:pPr>
      <w:r>
        <w:rPr>
          <w:i/>
          <w:spacing w:val="-2"/>
          <w:sz w:val="20"/>
        </w:rPr>
        <w:t>Hospitality</w:t>
      </w:r>
      <w:r>
        <w:rPr>
          <w:i/>
          <w:sz w:val="20"/>
        </w:rPr>
        <w:tab/>
        <w:t>€7.0</w:t>
      </w:r>
      <w:r>
        <w:rPr>
          <w:i/>
          <w:spacing w:val="-3"/>
          <w:sz w:val="20"/>
        </w:rPr>
        <w:t> </w:t>
      </w:r>
      <w:r>
        <w:rPr>
          <w:i/>
          <w:spacing w:val="-2"/>
          <w:sz w:val="20"/>
        </w:rPr>
        <w:t>thousand</w:t>
      </w:r>
    </w:p>
    <w:p>
      <w:pPr>
        <w:pStyle w:val="BodyText"/>
        <w:spacing w:before="11"/>
        <w:rPr>
          <w:i/>
        </w:rPr>
      </w:pPr>
    </w:p>
    <w:p>
      <w:pPr>
        <w:pStyle w:val="ListParagraph"/>
        <w:numPr>
          <w:ilvl w:val="0"/>
          <w:numId w:val="4"/>
        </w:numPr>
        <w:tabs>
          <w:tab w:pos="2967" w:val="left" w:leader="none"/>
        </w:tabs>
        <w:spacing w:line="240" w:lineRule="auto" w:before="0" w:after="0"/>
        <w:ind w:left="2246" w:right="2242" w:firstLine="0"/>
        <w:jc w:val="both"/>
        <w:rPr>
          <w:sz w:val="20"/>
        </w:rPr>
      </w:pPr>
      <w:r>
        <w:rPr>
          <w:sz w:val="20"/>
        </w:rPr>
        <w:t>The amount proposed for hospitality remains</w:t>
      </w:r>
      <w:r>
        <w:rPr>
          <w:spacing w:val="-1"/>
          <w:sz w:val="20"/>
        </w:rPr>
        <w:t> </w:t>
      </w:r>
      <w:r>
        <w:rPr>
          <w:sz w:val="20"/>
        </w:rPr>
        <w:t>unchanged. Hospitality resources</w:t>
      </w:r>
      <w:r>
        <w:rPr>
          <w:spacing w:val="-1"/>
          <w:sz w:val="20"/>
        </w:rPr>
        <w:t> </w:t>
      </w:r>
      <w:r>
        <w:rPr>
          <w:sz w:val="20"/>
        </w:rPr>
        <w:t>are </w:t>
      </w:r>
      <w:r>
        <w:rPr>
          <w:spacing w:val="-2"/>
          <w:sz w:val="20"/>
        </w:rPr>
        <w:t>mainly</w:t>
      </w:r>
      <w:r>
        <w:rPr>
          <w:spacing w:val="-17"/>
          <w:sz w:val="20"/>
        </w:rPr>
        <w:t> </w:t>
      </w:r>
      <w:r>
        <w:rPr>
          <w:spacing w:val="-2"/>
          <w:sz w:val="20"/>
        </w:rPr>
        <w:t>used</w:t>
      </w:r>
      <w:r>
        <w:rPr>
          <w:spacing w:val="-17"/>
          <w:sz w:val="20"/>
        </w:rPr>
        <w:t> </w:t>
      </w:r>
      <w:r>
        <w:rPr>
          <w:spacing w:val="-2"/>
          <w:sz w:val="20"/>
        </w:rPr>
        <w:t>for</w:t>
      </w:r>
      <w:r>
        <w:rPr>
          <w:spacing w:val="-17"/>
          <w:sz w:val="20"/>
        </w:rPr>
        <w:t> </w:t>
      </w:r>
      <w:r>
        <w:rPr>
          <w:spacing w:val="-2"/>
          <w:sz w:val="20"/>
        </w:rPr>
        <w:t>the</w:t>
      </w:r>
      <w:r>
        <w:rPr>
          <w:spacing w:val="-15"/>
          <w:sz w:val="20"/>
        </w:rPr>
        <w:t> </w:t>
      </w:r>
      <w:r>
        <w:rPr>
          <w:spacing w:val="-2"/>
          <w:sz w:val="20"/>
        </w:rPr>
        <w:t>two</w:t>
      </w:r>
      <w:r>
        <w:rPr>
          <w:spacing w:val="-17"/>
          <w:sz w:val="20"/>
        </w:rPr>
        <w:t> </w:t>
      </w:r>
      <w:r>
        <w:rPr>
          <w:spacing w:val="-2"/>
          <w:sz w:val="20"/>
        </w:rPr>
        <w:t>sessions</w:t>
      </w:r>
      <w:r>
        <w:rPr>
          <w:spacing w:val="-19"/>
          <w:sz w:val="20"/>
        </w:rPr>
        <w:t> </w:t>
      </w:r>
      <w:r>
        <w:rPr>
          <w:spacing w:val="-2"/>
          <w:sz w:val="20"/>
        </w:rPr>
        <w:t>of</w:t>
      </w:r>
      <w:r>
        <w:rPr>
          <w:spacing w:val="-17"/>
          <w:sz w:val="20"/>
        </w:rPr>
        <w:t> </w:t>
      </w:r>
      <w:r>
        <w:rPr>
          <w:spacing w:val="-2"/>
          <w:sz w:val="20"/>
        </w:rPr>
        <w:t>the</w:t>
      </w:r>
      <w:r>
        <w:rPr>
          <w:spacing w:val="-15"/>
          <w:sz w:val="20"/>
        </w:rPr>
        <w:t> </w:t>
      </w:r>
      <w:r>
        <w:rPr>
          <w:spacing w:val="-2"/>
          <w:sz w:val="20"/>
        </w:rPr>
        <w:t>Committee</w:t>
      </w:r>
      <w:r>
        <w:rPr>
          <w:spacing w:val="-15"/>
          <w:sz w:val="20"/>
        </w:rPr>
        <w:t> </w:t>
      </w:r>
      <w:r>
        <w:rPr>
          <w:spacing w:val="-2"/>
          <w:sz w:val="20"/>
        </w:rPr>
        <w:t>and</w:t>
      </w:r>
      <w:r>
        <w:rPr>
          <w:spacing w:val="-17"/>
          <w:sz w:val="20"/>
        </w:rPr>
        <w:t> </w:t>
      </w:r>
      <w:r>
        <w:rPr>
          <w:spacing w:val="-2"/>
          <w:sz w:val="20"/>
        </w:rPr>
        <w:t>the</w:t>
      </w:r>
      <w:r>
        <w:rPr>
          <w:spacing w:val="-15"/>
          <w:sz w:val="20"/>
        </w:rPr>
        <w:t> </w:t>
      </w:r>
      <w:r>
        <w:rPr>
          <w:spacing w:val="-2"/>
          <w:sz w:val="20"/>
        </w:rPr>
        <w:t>two</w:t>
      </w:r>
      <w:r>
        <w:rPr>
          <w:spacing w:val="-17"/>
          <w:sz w:val="20"/>
        </w:rPr>
        <w:t> </w:t>
      </w:r>
      <w:r>
        <w:rPr>
          <w:spacing w:val="-2"/>
          <w:sz w:val="20"/>
        </w:rPr>
        <w:t>sessions</w:t>
      </w:r>
      <w:r>
        <w:rPr>
          <w:spacing w:val="-19"/>
          <w:sz w:val="20"/>
        </w:rPr>
        <w:t> </w:t>
      </w:r>
      <w:r>
        <w:rPr>
          <w:spacing w:val="-2"/>
          <w:sz w:val="20"/>
        </w:rPr>
        <w:t>of</w:t>
      </w:r>
      <w:r>
        <w:rPr>
          <w:spacing w:val="-13"/>
          <w:sz w:val="20"/>
        </w:rPr>
        <w:t> </w:t>
      </w:r>
      <w:r>
        <w:rPr>
          <w:spacing w:val="-2"/>
          <w:sz w:val="20"/>
        </w:rPr>
        <w:t>the</w:t>
      </w:r>
      <w:r>
        <w:rPr>
          <w:spacing w:val="-15"/>
          <w:sz w:val="20"/>
        </w:rPr>
        <w:t> </w:t>
      </w:r>
      <w:r>
        <w:rPr>
          <w:spacing w:val="-2"/>
          <w:sz w:val="20"/>
        </w:rPr>
        <w:t>Audit</w:t>
      </w:r>
      <w:r>
        <w:rPr>
          <w:spacing w:val="-15"/>
          <w:sz w:val="20"/>
        </w:rPr>
        <w:t> </w:t>
      </w:r>
      <w:r>
        <w:rPr>
          <w:spacing w:val="-2"/>
          <w:sz w:val="20"/>
        </w:rPr>
        <w:t>Committee.</w:t>
      </w:r>
    </w:p>
    <w:p>
      <w:pPr>
        <w:pStyle w:val="BodyText"/>
        <w:spacing w:before="11"/>
      </w:pPr>
    </w:p>
    <w:p>
      <w:pPr>
        <w:tabs>
          <w:tab w:pos="8282" w:val="left" w:leader="none"/>
        </w:tabs>
        <w:spacing w:before="0"/>
        <w:ind w:left="2246" w:right="0" w:firstLine="0"/>
        <w:jc w:val="both"/>
        <w:rPr>
          <w:i/>
          <w:sz w:val="20"/>
        </w:rPr>
      </w:pPr>
      <w:r>
        <w:rPr>
          <w:i/>
          <w:sz w:val="20"/>
        </w:rPr>
        <w:t>Contractual</w:t>
      </w:r>
      <w:r>
        <w:rPr>
          <w:i/>
          <w:spacing w:val="-5"/>
          <w:sz w:val="20"/>
        </w:rPr>
        <w:t> </w:t>
      </w:r>
      <w:r>
        <w:rPr>
          <w:i/>
          <w:spacing w:val="-2"/>
          <w:sz w:val="20"/>
        </w:rPr>
        <w:t>services</w:t>
      </w:r>
      <w:r>
        <w:rPr>
          <w:i/>
          <w:sz w:val="20"/>
        </w:rPr>
        <w:tab/>
        <w:t>€427.9</w:t>
      </w:r>
      <w:r>
        <w:rPr>
          <w:i/>
          <w:spacing w:val="-3"/>
          <w:sz w:val="20"/>
        </w:rPr>
        <w:t> </w:t>
      </w:r>
      <w:r>
        <w:rPr>
          <w:i/>
          <w:spacing w:val="-2"/>
          <w:sz w:val="20"/>
        </w:rPr>
        <w:t>thousand</w:t>
      </w:r>
    </w:p>
    <w:p>
      <w:pPr>
        <w:pStyle w:val="BodyText"/>
        <w:spacing w:before="10"/>
        <w:rPr>
          <w:i/>
        </w:rPr>
      </w:pPr>
    </w:p>
    <w:p>
      <w:pPr>
        <w:pStyle w:val="ListParagraph"/>
        <w:numPr>
          <w:ilvl w:val="0"/>
          <w:numId w:val="4"/>
        </w:numPr>
        <w:tabs>
          <w:tab w:pos="2967" w:val="left" w:leader="none"/>
        </w:tabs>
        <w:spacing w:line="240" w:lineRule="auto" w:before="1" w:after="0"/>
        <w:ind w:left="2246" w:right="2241" w:firstLine="0"/>
        <w:jc w:val="both"/>
        <w:rPr>
          <w:sz w:val="20"/>
        </w:rPr>
      </w:pPr>
      <w:r>
        <w:rPr>
          <w:sz w:val="20"/>
        </w:rPr>
        <w:t>The amount proposed has decreased by €373.8 thousand (46.6 per</w:t>
      </w:r>
      <w:r>
        <w:rPr>
          <w:spacing w:val="-9"/>
          <w:sz w:val="20"/>
        </w:rPr>
        <w:t> </w:t>
      </w:r>
      <w:r>
        <w:rPr>
          <w:sz w:val="20"/>
        </w:rPr>
        <w:t>cent), owing mainly to the cost of holding the twenty-second session of the Assembly at United Nations Headquarters in New York, which includes ancillary services and facilities at the venue, hiring of some security personnel, printing, equipment, outsourced translation</w:t>
      </w:r>
      <w:r>
        <w:rPr>
          <w:sz w:val="20"/>
          <w:vertAlign w:val="superscript"/>
        </w:rPr>
        <w:t>135</w:t>
      </w:r>
      <w:r>
        <w:rPr>
          <w:sz w:val="20"/>
          <w:vertAlign w:val="baseline"/>
        </w:rPr>
        <w:t> and some external</w:t>
      </w:r>
      <w:r>
        <w:rPr>
          <w:spacing w:val="-13"/>
          <w:sz w:val="20"/>
          <w:vertAlign w:val="baseline"/>
        </w:rPr>
        <w:t> </w:t>
      </w:r>
      <w:r>
        <w:rPr>
          <w:sz w:val="20"/>
          <w:vertAlign w:val="baseline"/>
        </w:rPr>
        <w:t>printing.</w:t>
      </w:r>
      <w:r>
        <w:rPr>
          <w:spacing w:val="-12"/>
          <w:sz w:val="20"/>
          <w:vertAlign w:val="baseline"/>
        </w:rPr>
        <w:t> </w:t>
      </w:r>
      <w:r>
        <w:rPr>
          <w:sz w:val="20"/>
          <w:vertAlign w:val="baseline"/>
        </w:rPr>
        <w:t>This</w:t>
      </w:r>
      <w:r>
        <w:rPr>
          <w:spacing w:val="-11"/>
          <w:sz w:val="20"/>
          <w:vertAlign w:val="baseline"/>
        </w:rPr>
        <w:t> </w:t>
      </w:r>
      <w:r>
        <w:rPr>
          <w:sz w:val="20"/>
          <w:vertAlign w:val="baseline"/>
        </w:rPr>
        <w:t>budget</w:t>
      </w:r>
      <w:r>
        <w:rPr>
          <w:spacing w:val="-8"/>
          <w:sz w:val="20"/>
          <w:vertAlign w:val="baseline"/>
        </w:rPr>
        <w:t> </w:t>
      </w:r>
      <w:r>
        <w:rPr>
          <w:sz w:val="20"/>
          <w:vertAlign w:val="baseline"/>
        </w:rPr>
        <w:t>line</w:t>
      </w:r>
      <w:r>
        <w:rPr>
          <w:spacing w:val="-8"/>
          <w:sz w:val="20"/>
          <w:vertAlign w:val="baseline"/>
        </w:rPr>
        <w:t> </w:t>
      </w:r>
      <w:r>
        <w:rPr>
          <w:sz w:val="20"/>
          <w:vertAlign w:val="baseline"/>
        </w:rPr>
        <w:t>item</w:t>
      </w:r>
      <w:r>
        <w:rPr>
          <w:spacing w:val="-13"/>
          <w:sz w:val="20"/>
          <w:vertAlign w:val="baseline"/>
        </w:rPr>
        <w:t> </w:t>
      </w:r>
      <w:r>
        <w:rPr>
          <w:sz w:val="20"/>
          <w:vertAlign w:val="baseline"/>
        </w:rPr>
        <w:t>also</w:t>
      </w:r>
      <w:r>
        <w:rPr>
          <w:spacing w:val="-12"/>
          <w:sz w:val="20"/>
          <w:vertAlign w:val="baseline"/>
        </w:rPr>
        <w:t> </w:t>
      </w:r>
      <w:r>
        <w:rPr>
          <w:sz w:val="20"/>
          <w:vertAlign w:val="baseline"/>
        </w:rPr>
        <w:t>includes</w:t>
      </w:r>
      <w:r>
        <w:rPr>
          <w:spacing w:val="-10"/>
          <w:sz w:val="20"/>
          <w:vertAlign w:val="baseline"/>
        </w:rPr>
        <w:t> </w:t>
      </w:r>
      <w:r>
        <w:rPr>
          <w:sz w:val="20"/>
          <w:vertAlign w:val="baseline"/>
        </w:rPr>
        <w:t>the</w:t>
      </w:r>
      <w:r>
        <w:rPr>
          <w:spacing w:val="-13"/>
          <w:sz w:val="20"/>
          <w:vertAlign w:val="baseline"/>
        </w:rPr>
        <w:t> </w:t>
      </w:r>
      <w:r>
        <w:rPr>
          <w:sz w:val="20"/>
          <w:vertAlign w:val="baseline"/>
        </w:rPr>
        <w:t>annual</w:t>
      </w:r>
      <w:r>
        <w:rPr>
          <w:spacing w:val="-12"/>
          <w:sz w:val="20"/>
          <w:vertAlign w:val="baseline"/>
        </w:rPr>
        <w:t> </w:t>
      </w:r>
      <w:r>
        <w:rPr>
          <w:sz w:val="20"/>
          <w:vertAlign w:val="baseline"/>
        </w:rPr>
        <w:t>fees</w:t>
      </w:r>
      <w:r>
        <w:rPr>
          <w:spacing w:val="-11"/>
          <w:sz w:val="20"/>
          <w:vertAlign w:val="baseline"/>
        </w:rPr>
        <w:t> </w:t>
      </w:r>
      <w:r>
        <w:rPr>
          <w:sz w:val="20"/>
          <w:vertAlign w:val="baseline"/>
        </w:rPr>
        <w:t>for</w:t>
      </w:r>
      <w:r>
        <w:rPr>
          <w:spacing w:val="-13"/>
          <w:sz w:val="20"/>
          <w:vertAlign w:val="baseline"/>
        </w:rPr>
        <w:t> </w:t>
      </w:r>
      <w:r>
        <w:rPr>
          <w:sz w:val="20"/>
          <w:vertAlign w:val="baseline"/>
        </w:rPr>
        <w:t>the</w:t>
      </w:r>
      <w:r>
        <w:rPr>
          <w:spacing w:val="-12"/>
          <w:sz w:val="20"/>
          <w:vertAlign w:val="baseline"/>
        </w:rPr>
        <w:t> </w:t>
      </w:r>
      <w:r>
        <w:rPr>
          <w:sz w:val="20"/>
          <w:vertAlign w:val="baseline"/>
        </w:rPr>
        <w:t>External</w:t>
      </w:r>
      <w:r>
        <w:rPr>
          <w:spacing w:val="-13"/>
          <w:sz w:val="20"/>
          <w:vertAlign w:val="baseline"/>
        </w:rPr>
        <w:t> </w:t>
      </w:r>
      <w:r>
        <w:rPr>
          <w:sz w:val="20"/>
          <w:vertAlign w:val="baseline"/>
        </w:rPr>
        <w:t>Auditor.</w:t>
      </w:r>
    </w:p>
    <w:p>
      <w:pPr>
        <w:pStyle w:val="BodyText"/>
        <w:spacing w:before="1"/>
        <w:rPr>
          <w:sz w:val="21"/>
        </w:rPr>
      </w:pPr>
    </w:p>
    <w:p>
      <w:pPr>
        <w:tabs>
          <w:tab w:pos="8484" w:val="left" w:leader="none"/>
        </w:tabs>
        <w:spacing w:before="0"/>
        <w:ind w:left="2246" w:right="0" w:firstLine="0"/>
        <w:jc w:val="both"/>
        <w:rPr>
          <w:i/>
          <w:sz w:val="20"/>
        </w:rPr>
      </w:pPr>
      <w:r>
        <w:rPr>
          <w:i/>
          <w:spacing w:val="-2"/>
          <w:sz w:val="20"/>
        </w:rPr>
        <w:t>Training</w:t>
      </w:r>
      <w:r>
        <w:rPr>
          <w:i/>
          <w:sz w:val="20"/>
        </w:rPr>
        <w:tab/>
        <w:t>€6.0</w:t>
      </w:r>
      <w:r>
        <w:rPr>
          <w:i/>
          <w:spacing w:val="-8"/>
          <w:sz w:val="20"/>
        </w:rPr>
        <w:t> </w:t>
      </w:r>
      <w:r>
        <w:rPr>
          <w:i/>
          <w:spacing w:val="-2"/>
          <w:sz w:val="20"/>
        </w:rPr>
        <w:t>thousand</w:t>
      </w:r>
    </w:p>
    <w:p>
      <w:pPr>
        <w:pStyle w:val="BodyText"/>
        <w:spacing w:before="5"/>
        <w:rPr>
          <w:i/>
        </w:rPr>
      </w:pPr>
    </w:p>
    <w:p>
      <w:pPr>
        <w:pStyle w:val="ListParagraph"/>
        <w:numPr>
          <w:ilvl w:val="0"/>
          <w:numId w:val="4"/>
        </w:numPr>
        <w:tabs>
          <w:tab w:pos="2967" w:val="left" w:leader="none"/>
        </w:tabs>
        <w:spacing w:line="240" w:lineRule="auto" w:before="0" w:after="0"/>
        <w:ind w:left="2246" w:right="2241" w:firstLine="0"/>
        <w:jc w:val="both"/>
        <w:rPr>
          <w:sz w:val="20"/>
        </w:rPr>
      </w:pPr>
      <w:r>
        <w:rPr>
          <w:sz w:val="20"/>
        </w:rPr>
        <w:t>The amount proposed for training has decreased by €1.5 thousand (20.0 per cent) owing</w:t>
      </w:r>
      <w:r>
        <w:rPr>
          <w:spacing w:val="-7"/>
          <w:sz w:val="20"/>
        </w:rPr>
        <w:t> </w:t>
      </w:r>
      <w:r>
        <w:rPr>
          <w:sz w:val="20"/>
        </w:rPr>
        <w:t>mainly</w:t>
      </w:r>
      <w:r>
        <w:rPr>
          <w:spacing w:val="-7"/>
          <w:sz w:val="20"/>
        </w:rPr>
        <w:t> </w:t>
      </w:r>
      <w:r>
        <w:rPr>
          <w:sz w:val="20"/>
        </w:rPr>
        <w:t>to</w:t>
      </w:r>
      <w:r>
        <w:rPr>
          <w:spacing w:val="-7"/>
          <w:sz w:val="20"/>
        </w:rPr>
        <w:t> </w:t>
      </w:r>
      <w:r>
        <w:rPr>
          <w:sz w:val="20"/>
        </w:rPr>
        <w:t>the</w:t>
      </w:r>
      <w:r>
        <w:rPr>
          <w:spacing w:val="-1"/>
          <w:sz w:val="20"/>
        </w:rPr>
        <w:t> </w:t>
      </w:r>
      <w:r>
        <w:rPr>
          <w:sz w:val="20"/>
        </w:rPr>
        <w:t>use</w:t>
      </w:r>
      <w:r>
        <w:rPr>
          <w:spacing w:val="-6"/>
          <w:sz w:val="20"/>
        </w:rPr>
        <w:t> </w:t>
      </w:r>
      <w:r>
        <w:rPr>
          <w:sz w:val="20"/>
        </w:rPr>
        <w:t>of</w:t>
      </w:r>
      <w:r>
        <w:rPr>
          <w:spacing w:val="-3"/>
          <w:sz w:val="20"/>
        </w:rPr>
        <w:t> </w:t>
      </w:r>
      <w:r>
        <w:rPr>
          <w:sz w:val="20"/>
        </w:rPr>
        <w:t>online</w:t>
      </w:r>
      <w:r>
        <w:rPr>
          <w:spacing w:val="-6"/>
          <w:sz w:val="20"/>
        </w:rPr>
        <w:t> </w:t>
      </w:r>
      <w:r>
        <w:rPr>
          <w:sz w:val="20"/>
        </w:rPr>
        <w:t>courses.</w:t>
      </w:r>
      <w:r>
        <w:rPr>
          <w:spacing w:val="-5"/>
          <w:sz w:val="20"/>
        </w:rPr>
        <w:t> </w:t>
      </w:r>
      <w:r>
        <w:rPr>
          <w:sz w:val="20"/>
        </w:rPr>
        <w:t>Training</w:t>
      </w:r>
      <w:r>
        <w:rPr>
          <w:spacing w:val="-7"/>
          <w:sz w:val="20"/>
        </w:rPr>
        <w:t> </w:t>
      </w:r>
      <w:r>
        <w:rPr>
          <w:sz w:val="20"/>
        </w:rPr>
        <w:t>is</w:t>
      </w:r>
      <w:r>
        <w:rPr>
          <w:spacing w:val="-4"/>
          <w:sz w:val="20"/>
        </w:rPr>
        <w:t> </w:t>
      </w:r>
      <w:r>
        <w:rPr>
          <w:sz w:val="20"/>
        </w:rPr>
        <w:t>used</w:t>
      </w:r>
      <w:r>
        <w:rPr>
          <w:spacing w:val="-7"/>
          <w:sz w:val="20"/>
        </w:rPr>
        <w:t> </w:t>
      </w:r>
      <w:r>
        <w:rPr>
          <w:sz w:val="20"/>
        </w:rPr>
        <w:t>to</w:t>
      </w:r>
      <w:r>
        <w:rPr>
          <w:spacing w:val="-7"/>
          <w:sz w:val="20"/>
        </w:rPr>
        <w:t> </w:t>
      </w:r>
      <w:r>
        <w:rPr>
          <w:sz w:val="20"/>
        </w:rPr>
        <w:t>keep</w:t>
      </w:r>
      <w:r>
        <w:rPr>
          <w:spacing w:val="-3"/>
          <w:sz w:val="20"/>
        </w:rPr>
        <w:t> </w:t>
      </w:r>
      <w:r>
        <w:rPr>
          <w:sz w:val="20"/>
        </w:rPr>
        <w:t>staff</w:t>
      </w:r>
      <w:r>
        <w:rPr>
          <w:spacing w:val="-7"/>
          <w:sz w:val="20"/>
        </w:rPr>
        <w:t> </w:t>
      </w:r>
      <w:r>
        <w:rPr>
          <w:sz w:val="20"/>
        </w:rPr>
        <w:t>members</w:t>
      </w:r>
      <w:r>
        <w:rPr>
          <w:spacing w:val="-4"/>
          <w:sz w:val="20"/>
        </w:rPr>
        <w:t> </w:t>
      </w:r>
      <w:r>
        <w:rPr>
          <w:sz w:val="20"/>
        </w:rPr>
        <w:t>up-to-date in their specific fields of work.</w:t>
      </w:r>
    </w:p>
    <w:p>
      <w:pPr>
        <w:pStyle w:val="BodyText"/>
      </w:pPr>
    </w:p>
    <w:p>
      <w:pPr>
        <w:pStyle w:val="BodyText"/>
      </w:pPr>
    </w:p>
    <w:p>
      <w:pPr>
        <w:pStyle w:val="BodyText"/>
        <w:spacing w:before="4"/>
        <w:rPr>
          <w:sz w:val="14"/>
        </w:rPr>
      </w:pPr>
      <w:r>
        <w:rPr/>
        <w:pict>
          <v:rect style="position:absolute;margin-left:113.330002pt;margin-top:9.475721pt;width:144.050pt;height:.48004pt;mso-position-horizontal-relative:page;mso-position-vertical-relative:paragraph;z-index:-15685120;mso-wrap-distance-left:0;mso-wrap-distance-right:0" id="docshape284" filled="true" fillcolor="#000000" stroked="false">
            <v:fill type="solid"/>
            <w10:wrap type="topAndBottom"/>
          </v:rect>
        </w:pict>
      </w:r>
    </w:p>
    <w:p>
      <w:pPr>
        <w:spacing w:line="240" w:lineRule="auto" w:before="86"/>
        <w:ind w:left="2246" w:right="2240" w:firstLine="0"/>
        <w:jc w:val="both"/>
        <w:rPr>
          <w:sz w:val="16"/>
        </w:rPr>
      </w:pPr>
      <w:r>
        <w:rPr>
          <w:position w:val="5"/>
          <w:sz w:val="10"/>
        </w:rPr>
        <w:t>132</w:t>
      </w:r>
      <w:r>
        <w:rPr>
          <w:spacing w:val="12"/>
          <w:position w:val="5"/>
          <w:sz w:val="10"/>
        </w:rPr>
        <w:t> </w:t>
      </w:r>
      <w:r>
        <w:rPr>
          <w:sz w:val="16"/>
        </w:rPr>
        <w:t>The</w:t>
      </w:r>
      <w:r>
        <w:rPr>
          <w:spacing w:val="-4"/>
          <w:sz w:val="16"/>
        </w:rPr>
        <w:t> </w:t>
      </w:r>
      <w:r>
        <w:rPr>
          <w:sz w:val="16"/>
        </w:rPr>
        <w:t>travel</w:t>
      </w:r>
      <w:r>
        <w:rPr>
          <w:spacing w:val="-5"/>
          <w:sz w:val="16"/>
        </w:rPr>
        <w:t> </w:t>
      </w:r>
      <w:r>
        <w:rPr>
          <w:sz w:val="16"/>
        </w:rPr>
        <w:t>costs</w:t>
      </w:r>
      <w:r>
        <w:rPr>
          <w:spacing w:val="-5"/>
          <w:sz w:val="16"/>
        </w:rPr>
        <w:t> </w:t>
      </w:r>
      <w:r>
        <w:rPr>
          <w:sz w:val="16"/>
        </w:rPr>
        <w:t>for</w:t>
      </w:r>
      <w:r>
        <w:rPr>
          <w:spacing w:val="-5"/>
          <w:sz w:val="16"/>
        </w:rPr>
        <w:t> </w:t>
      </w:r>
      <w:r>
        <w:rPr>
          <w:sz w:val="16"/>
        </w:rPr>
        <w:t>Secretariat</w:t>
      </w:r>
      <w:r>
        <w:rPr>
          <w:spacing w:val="-5"/>
          <w:sz w:val="16"/>
        </w:rPr>
        <w:t> </w:t>
      </w:r>
      <w:r>
        <w:rPr>
          <w:sz w:val="16"/>
        </w:rPr>
        <w:t>staff</w:t>
      </w:r>
      <w:r>
        <w:rPr>
          <w:spacing w:val="-5"/>
          <w:sz w:val="16"/>
        </w:rPr>
        <w:t> </w:t>
      </w:r>
      <w:r>
        <w:rPr>
          <w:sz w:val="16"/>
        </w:rPr>
        <w:t>to</w:t>
      </w:r>
      <w:r>
        <w:rPr>
          <w:spacing w:val="-3"/>
          <w:sz w:val="16"/>
        </w:rPr>
        <w:t> </w:t>
      </w:r>
      <w:r>
        <w:rPr>
          <w:sz w:val="16"/>
        </w:rPr>
        <w:t>service</w:t>
      </w:r>
      <w:r>
        <w:rPr>
          <w:spacing w:val="-4"/>
          <w:sz w:val="16"/>
        </w:rPr>
        <w:t> </w:t>
      </w:r>
      <w:r>
        <w:rPr>
          <w:sz w:val="16"/>
        </w:rPr>
        <w:t>Assembly</w:t>
      </w:r>
      <w:r>
        <w:rPr>
          <w:spacing w:val="-7"/>
          <w:sz w:val="16"/>
        </w:rPr>
        <w:t> </w:t>
      </w:r>
      <w:r>
        <w:rPr>
          <w:sz w:val="16"/>
        </w:rPr>
        <w:t>sessions</w:t>
      </w:r>
      <w:r>
        <w:rPr>
          <w:spacing w:val="-5"/>
          <w:sz w:val="16"/>
        </w:rPr>
        <w:t> </w:t>
      </w:r>
      <w:r>
        <w:rPr>
          <w:sz w:val="16"/>
        </w:rPr>
        <w:t>in</w:t>
      </w:r>
      <w:r>
        <w:rPr>
          <w:spacing w:val="-7"/>
          <w:sz w:val="16"/>
        </w:rPr>
        <w:t> </w:t>
      </w:r>
      <w:r>
        <w:rPr>
          <w:sz w:val="16"/>
        </w:rPr>
        <w:t>New</w:t>
      </w:r>
      <w:r>
        <w:rPr>
          <w:spacing w:val="-5"/>
          <w:sz w:val="16"/>
        </w:rPr>
        <w:t> </w:t>
      </w:r>
      <w:r>
        <w:rPr>
          <w:sz w:val="16"/>
        </w:rPr>
        <w:t>York</w:t>
      </w:r>
      <w:r>
        <w:rPr>
          <w:spacing w:val="-3"/>
          <w:sz w:val="16"/>
        </w:rPr>
        <w:t> </w:t>
      </w:r>
      <w:r>
        <w:rPr>
          <w:sz w:val="16"/>
        </w:rPr>
        <w:t>are</w:t>
      </w:r>
      <w:r>
        <w:rPr>
          <w:spacing w:val="-4"/>
          <w:sz w:val="16"/>
        </w:rPr>
        <w:t> </w:t>
      </w:r>
      <w:r>
        <w:rPr>
          <w:sz w:val="16"/>
        </w:rPr>
        <w:t>incurred</w:t>
      </w:r>
      <w:r>
        <w:rPr>
          <w:spacing w:val="-3"/>
          <w:sz w:val="16"/>
        </w:rPr>
        <w:t> </w:t>
      </w:r>
      <w:r>
        <w:rPr>
          <w:sz w:val="16"/>
        </w:rPr>
        <w:t>every</w:t>
      </w:r>
      <w:r>
        <w:rPr>
          <w:spacing w:val="-3"/>
          <w:sz w:val="16"/>
        </w:rPr>
        <w:t> </w:t>
      </w:r>
      <w:r>
        <w:rPr>
          <w:sz w:val="16"/>
        </w:rPr>
        <w:t>three</w:t>
      </w:r>
      <w:r>
        <w:rPr>
          <w:spacing w:val="-4"/>
          <w:sz w:val="16"/>
        </w:rPr>
        <w:t> </w:t>
      </w:r>
      <w:r>
        <w:rPr>
          <w:sz w:val="16"/>
        </w:rPr>
        <w:t>years, as</w:t>
      </w:r>
      <w:r>
        <w:rPr>
          <w:spacing w:val="40"/>
          <w:sz w:val="16"/>
        </w:rPr>
        <w:t> </w:t>
      </w:r>
      <w:r>
        <w:rPr>
          <w:sz w:val="16"/>
        </w:rPr>
        <w:t>are</w:t>
      </w:r>
      <w:r>
        <w:rPr>
          <w:spacing w:val="-7"/>
          <w:sz w:val="16"/>
        </w:rPr>
        <w:t> </w:t>
      </w:r>
      <w:r>
        <w:rPr>
          <w:sz w:val="16"/>
        </w:rPr>
        <w:t>the</w:t>
      </w:r>
      <w:r>
        <w:rPr>
          <w:spacing w:val="-7"/>
          <w:sz w:val="16"/>
        </w:rPr>
        <w:t> </w:t>
      </w:r>
      <w:r>
        <w:rPr>
          <w:sz w:val="16"/>
        </w:rPr>
        <w:t>travel</w:t>
      </w:r>
      <w:r>
        <w:rPr>
          <w:spacing w:val="-9"/>
          <w:sz w:val="16"/>
        </w:rPr>
        <w:t> </w:t>
      </w:r>
      <w:r>
        <w:rPr>
          <w:sz w:val="16"/>
        </w:rPr>
        <w:t>costs</w:t>
      </w:r>
      <w:r>
        <w:rPr>
          <w:spacing w:val="-8"/>
          <w:sz w:val="16"/>
        </w:rPr>
        <w:t> </w:t>
      </w:r>
      <w:r>
        <w:rPr>
          <w:sz w:val="16"/>
        </w:rPr>
        <w:t>for</w:t>
      </w:r>
      <w:r>
        <w:rPr>
          <w:spacing w:val="-8"/>
          <w:sz w:val="16"/>
        </w:rPr>
        <w:t> </w:t>
      </w:r>
      <w:r>
        <w:rPr>
          <w:sz w:val="16"/>
        </w:rPr>
        <w:t>the</w:t>
      </w:r>
      <w:r>
        <w:rPr>
          <w:spacing w:val="-5"/>
          <w:sz w:val="16"/>
        </w:rPr>
        <w:t> </w:t>
      </w:r>
      <w:r>
        <w:rPr>
          <w:sz w:val="16"/>
        </w:rPr>
        <w:t>ACN</w:t>
      </w:r>
      <w:r>
        <w:rPr>
          <w:spacing w:val="-7"/>
          <w:sz w:val="16"/>
        </w:rPr>
        <w:t> </w:t>
      </w:r>
      <w:r>
        <w:rPr>
          <w:sz w:val="16"/>
        </w:rPr>
        <w:t>who</w:t>
      </w:r>
      <w:r>
        <w:rPr>
          <w:spacing w:val="-7"/>
          <w:sz w:val="16"/>
        </w:rPr>
        <w:t> </w:t>
      </w:r>
      <w:r>
        <w:rPr>
          <w:sz w:val="16"/>
        </w:rPr>
        <w:t>travel</w:t>
      </w:r>
      <w:r>
        <w:rPr>
          <w:spacing w:val="-9"/>
          <w:sz w:val="16"/>
        </w:rPr>
        <w:t> </w:t>
      </w:r>
      <w:r>
        <w:rPr>
          <w:sz w:val="16"/>
        </w:rPr>
        <w:t>to</w:t>
      </w:r>
      <w:r>
        <w:rPr>
          <w:spacing w:val="-7"/>
          <w:sz w:val="16"/>
        </w:rPr>
        <w:t> </w:t>
      </w:r>
      <w:r>
        <w:rPr>
          <w:sz w:val="16"/>
        </w:rPr>
        <w:t>The</w:t>
      </w:r>
      <w:r>
        <w:rPr>
          <w:spacing w:val="-7"/>
          <w:sz w:val="16"/>
        </w:rPr>
        <w:t> </w:t>
      </w:r>
      <w:r>
        <w:rPr>
          <w:sz w:val="16"/>
        </w:rPr>
        <w:t>Hague</w:t>
      </w:r>
      <w:r>
        <w:rPr>
          <w:spacing w:val="-7"/>
          <w:sz w:val="16"/>
        </w:rPr>
        <w:t> </w:t>
      </w:r>
      <w:r>
        <w:rPr>
          <w:sz w:val="16"/>
        </w:rPr>
        <w:t>once</w:t>
      </w:r>
      <w:r>
        <w:rPr>
          <w:spacing w:val="-7"/>
          <w:sz w:val="16"/>
        </w:rPr>
        <w:t> </w:t>
      </w:r>
      <w:r>
        <w:rPr>
          <w:sz w:val="16"/>
        </w:rPr>
        <w:t>every</w:t>
      </w:r>
      <w:r>
        <w:rPr>
          <w:spacing w:val="-2"/>
          <w:sz w:val="16"/>
        </w:rPr>
        <w:t> </w:t>
      </w:r>
      <w:r>
        <w:rPr>
          <w:sz w:val="16"/>
        </w:rPr>
        <w:t>three</w:t>
      </w:r>
      <w:r>
        <w:rPr>
          <w:spacing w:val="-7"/>
          <w:sz w:val="16"/>
        </w:rPr>
        <w:t> </w:t>
      </w:r>
      <w:r>
        <w:rPr>
          <w:sz w:val="16"/>
        </w:rPr>
        <w:t>years,</w:t>
      </w:r>
      <w:r>
        <w:rPr>
          <w:spacing w:val="-9"/>
          <w:sz w:val="16"/>
        </w:rPr>
        <w:t> </w:t>
      </w:r>
      <w:r>
        <w:rPr>
          <w:sz w:val="16"/>
        </w:rPr>
        <w:t>unless</w:t>
      </w:r>
      <w:r>
        <w:rPr>
          <w:spacing w:val="-8"/>
          <w:sz w:val="16"/>
        </w:rPr>
        <w:t> </w:t>
      </w:r>
      <w:r>
        <w:rPr>
          <w:sz w:val="16"/>
        </w:rPr>
        <w:t>there</w:t>
      </w:r>
      <w:r>
        <w:rPr>
          <w:spacing w:val="-7"/>
          <w:sz w:val="16"/>
        </w:rPr>
        <w:t> </w:t>
      </w:r>
      <w:r>
        <w:rPr>
          <w:sz w:val="16"/>
        </w:rPr>
        <w:t>is</w:t>
      </w:r>
      <w:r>
        <w:rPr>
          <w:spacing w:val="-8"/>
          <w:sz w:val="16"/>
        </w:rPr>
        <w:t> </w:t>
      </w:r>
      <w:r>
        <w:rPr>
          <w:sz w:val="16"/>
        </w:rPr>
        <w:t>a</w:t>
      </w:r>
      <w:r>
        <w:rPr>
          <w:spacing w:val="-7"/>
          <w:sz w:val="16"/>
        </w:rPr>
        <w:t> </w:t>
      </w:r>
      <w:r>
        <w:rPr>
          <w:sz w:val="16"/>
        </w:rPr>
        <w:t>need</w:t>
      </w:r>
      <w:r>
        <w:rPr>
          <w:spacing w:val="-7"/>
          <w:sz w:val="16"/>
        </w:rPr>
        <w:t> </w:t>
      </w:r>
      <w:r>
        <w:rPr>
          <w:sz w:val="16"/>
        </w:rPr>
        <w:t>for</w:t>
      </w:r>
      <w:r>
        <w:rPr>
          <w:spacing w:val="-8"/>
          <w:sz w:val="16"/>
        </w:rPr>
        <w:t> </w:t>
      </w:r>
      <w:r>
        <w:rPr>
          <w:sz w:val="16"/>
        </w:rPr>
        <w:t>additional</w:t>
      </w:r>
      <w:r>
        <w:rPr>
          <w:spacing w:val="40"/>
          <w:sz w:val="16"/>
        </w:rPr>
        <w:t> </w:t>
      </w:r>
      <w:r>
        <w:rPr>
          <w:spacing w:val="-2"/>
          <w:sz w:val="16"/>
        </w:rPr>
        <w:t>meetings.</w:t>
      </w:r>
    </w:p>
    <w:p>
      <w:pPr>
        <w:spacing w:line="240" w:lineRule="auto" w:before="0"/>
        <w:ind w:left="2246" w:right="2249" w:firstLine="0"/>
        <w:jc w:val="both"/>
        <w:rPr>
          <w:sz w:val="16"/>
        </w:rPr>
      </w:pPr>
      <w:r>
        <w:rPr>
          <w:position w:val="5"/>
          <w:sz w:val="10"/>
        </w:rPr>
        <w:t>133</w:t>
      </w:r>
      <w:r>
        <w:rPr>
          <w:spacing w:val="8"/>
          <w:position w:val="5"/>
          <w:sz w:val="10"/>
        </w:rPr>
        <w:t> </w:t>
      </w:r>
      <w:r>
        <w:rPr>
          <w:sz w:val="16"/>
        </w:rPr>
        <w:t>In</w:t>
      </w:r>
      <w:r>
        <w:rPr>
          <w:spacing w:val="-5"/>
          <w:sz w:val="16"/>
        </w:rPr>
        <w:t> </w:t>
      </w:r>
      <w:r>
        <w:rPr>
          <w:sz w:val="16"/>
        </w:rPr>
        <w:t>recent</w:t>
      </w:r>
      <w:r>
        <w:rPr>
          <w:spacing w:val="-10"/>
          <w:sz w:val="16"/>
        </w:rPr>
        <w:t> </w:t>
      </w:r>
      <w:r>
        <w:rPr>
          <w:sz w:val="16"/>
        </w:rPr>
        <w:t>years,</w:t>
      </w:r>
      <w:r>
        <w:rPr>
          <w:spacing w:val="-9"/>
          <w:sz w:val="16"/>
        </w:rPr>
        <w:t> </w:t>
      </w:r>
      <w:r>
        <w:rPr>
          <w:sz w:val="16"/>
        </w:rPr>
        <w:t>the</w:t>
      </w:r>
      <w:r>
        <w:rPr>
          <w:spacing w:val="-10"/>
          <w:sz w:val="16"/>
        </w:rPr>
        <w:t> </w:t>
      </w:r>
      <w:r>
        <w:rPr>
          <w:sz w:val="16"/>
        </w:rPr>
        <w:t>Assembly</w:t>
      </w:r>
      <w:r>
        <w:rPr>
          <w:spacing w:val="-9"/>
          <w:sz w:val="16"/>
        </w:rPr>
        <w:t> </w:t>
      </w:r>
      <w:r>
        <w:rPr>
          <w:sz w:val="16"/>
        </w:rPr>
        <w:t>has</w:t>
      </w:r>
      <w:r>
        <w:rPr>
          <w:spacing w:val="-10"/>
          <w:sz w:val="16"/>
        </w:rPr>
        <w:t> </w:t>
      </w:r>
      <w:r>
        <w:rPr>
          <w:sz w:val="16"/>
        </w:rPr>
        <w:t>held</w:t>
      </w:r>
      <w:r>
        <w:rPr>
          <w:spacing w:val="-9"/>
          <w:sz w:val="16"/>
        </w:rPr>
        <w:t> </w:t>
      </w:r>
      <w:r>
        <w:rPr>
          <w:sz w:val="16"/>
        </w:rPr>
        <w:t>its</w:t>
      </w:r>
      <w:r>
        <w:rPr>
          <w:spacing w:val="-10"/>
          <w:sz w:val="16"/>
        </w:rPr>
        <w:t> </w:t>
      </w:r>
      <w:r>
        <w:rPr>
          <w:sz w:val="16"/>
        </w:rPr>
        <w:t>annual</w:t>
      </w:r>
      <w:r>
        <w:rPr>
          <w:spacing w:val="-8"/>
          <w:sz w:val="16"/>
        </w:rPr>
        <w:t> </w:t>
      </w:r>
      <w:r>
        <w:rPr>
          <w:sz w:val="16"/>
        </w:rPr>
        <w:t>sessions</w:t>
      </w:r>
      <w:r>
        <w:rPr>
          <w:spacing w:val="-7"/>
          <w:sz w:val="16"/>
        </w:rPr>
        <w:t> </w:t>
      </w:r>
      <w:r>
        <w:rPr>
          <w:sz w:val="16"/>
        </w:rPr>
        <w:t>as</w:t>
      </w:r>
      <w:r>
        <w:rPr>
          <w:spacing w:val="-7"/>
          <w:sz w:val="16"/>
        </w:rPr>
        <w:t> </w:t>
      </w:r>
      <w:r>
        <w:rPr>
          <w:sz w:val="16"/>
        </w:rPr>
        <w:t>follows:</w:t>
      </w:r>
      <w:r>
        <w:rPr>
          <w:spacing w:val="-8"/>
          <w:sz w:val="16"/>
        </w:rPr>
        <w:t> </w:t>
      </w:r>
      <w:r>
        <w:rPr>
          <w:sz w:val="16"/>
        </w:rPr>
        <w:t>two</w:t>
      </w:r>
      <w:r>
        <w:rPr>
          <w:spacing w:val="-9"/>
          <w:sz w:val="16"/>
        </w:rPr>
        <w:t> </w:t>
      </w:r>
      <w:r>
        <w:rPr>
          <w:sz w:val="16"/>
        </w:rPr>
        <w:t>sessions</w:t>
      </w:r>
      <w:r>
        <w:rPr>
          <w:spacing w:val="-7"/>
          <w:sz w:val="16"/>
        </w:rPr>
        <w:t> </w:t>
      </w:r>
      <w:r>
        <w:rPr>
          <w:sz w:val="16"/>
        </w:rPr>
        <w:t>in</w:t>
      </w:r>
      <w:r>
        <w:rPr>
          <w:spacing w:val="-5"/>
          <w:sz w:val="16"/>
        </w:rPr>
        <w:t> </w:t>
      </w:r>
      <w:r>
        <w:rPr>
          <w:sz w:val="16"/>
        </w:rPr>
        <w:t>The</w:t>
      </w:r>
      <w:r>
        <w:rPr>
          <w:spacing w:val="-6"/>
          <w:sz w:val="16"/>
        </w:rPr>
        <w:t> </w:t>
      </w:r>
      <w:r>
        <w:rPr>
          <w:sz w:val="16"/>
        </w:rPr>
        <w:t>Hague,</w:t>
      </w:r>
      <w:r>
        <w:rPr>
          <w:spacing w:val="-9"/>
          <w:sz w:val="16"/>
        </w:rPr>
        <w:t> </w:t>
      </w:r>
      <w:r>
        <w:rPr>
          <w:sz w:val="16"/>
        </w:rPr>
        <w:t>followed</w:t>
      </w:r>
      <w:r>
        <w:rPr>
          <w:spacing w:val="-9"/>
          <w:sz w:val="16"/>
        </w:rPr>
        <w:t> </w:t>
      </w:r>
      <w:r>
        <w:rPr>
          <w:sz w:val="16"/>
        </w:rPr>
        <w:t>by</w:t>
      </w:r>
      <w:r>
        <w:rPr>
          <w:spacing w:val="-9"/>
          <w:sz w:val="16"/>
        </w:rPr>
        <w:t> </w:t>
      </w:r>
      <w:r>
        <w:rPr>
          <w:sz w:val="16"/>
        </w:rPr>
        <w:t>one</w:t>
      </w:r>
      <w:r>
        <w:rPr>
          <w:spacing w:val="40"/>
          <w:sz w:val="16"/>
        </w:rPr>
        <w:t> </w:t>
      </w:r>
      <w:r>
        <w:rPr>
          <w:spacing w:val="-2"/>
          <w:sz w:val="16"/>
        </w:rPr>
        <w:t>session</w:t>
      </w:r>
      <w:r>
        <w:rPr>
          <w:spacing w:val="-8"/>
          <w:sz w:val="16"/>
        </w:rPr>
        <w:t> </w:t>
      </w:r>
      <w:r>
        <w:rPr>
          <w:spacing w:val="-2"/>
          <w:sz w:val="16"/>
        </w:rPr>
        <w:t>at</w:t>
      </w:r>
      <w:r>
        <w:rPr>
          <w:spacing w:val="-8"/>
          <w:sz w:val="16"/>
        </w:rPr>
        <w:t> </w:t>
      </w:r>
      <w:r>
        <w:rPr>
          <w:spacing w:val="-2"/>
          <w:sz w:val="16"/>
        </w:rPr>
        <w:t>United</w:t>
      </w:r>
      <w:r>
        <w:rPr>
          <w:spacing w:val="-8"/>
          <w:sz w:val="16"/>
        </w:rPr>
        <w:t> </w:t>
      </w:r>
      <w:r>
        <w:rPr>
          <w:spacing w:val="-2"/>
          <w:sz w:val="16"/>
        </w:rPr>
        <w:t>Nations</w:t>
      </w:r>
      <w:r>
        <w:rPr>
          <w:spacing w:val="-8"/>
          <w:sz w:val="16"/>
        </w:rPr>
        <w:t> </w:t>
      </w:r>
      <w:r>
        <w:rPr>
          <w:spacing w:val="-2"/>
          <w:sz w:val="16"/>
        </w:rPr>
        <w:t>Headquarters</w:t>
      </w:r>
      <w:r>
        <w:rPr>
          <w:spacing w:val="-5"/>
          <w:sz w:val="16"/>
        </w:rPr>
        <w:t> </w:t>
      </w:r>
      <w:r>
        <w:rPr>
          <w:spacing w:val="-2"/>
          <w:sz w:val="16"/>
        </w:rPr>
        <w:t>in</w:t>
      </w:r>
      <w:r>
        <w:rPr>
          <w:spacing w:val="-6"/>
          <w:sz w:val="16"/>
        </w:rPr>
        <w:t> </w:t>
      </w:r>
      <w:r>
        <w:rPr>
          <w:spacing w:val="-2"/>
          <w:sz w:val="16"/>
        </w:rPr>
        <w:t>New</w:t>
      </w:r>
      <w:r>
        <w:rPr>
          <w:spacing w:val="-7"/>
          <w:sz w:val="16"/>
        </w:rPr>
        <w:t> </w:t>
      </w:r>
      <w:r>
        <w:rPr>
          <w:spacing w:val="-2"/>
          <w:sz w:val="16"/>
        </w:rPr>
        <w:t>York.</w:t>
      </w:r>
      <w:r>
        <w:rPr>
          <w:spacing w:val="-4"/>
          <w:sz w:val="16"/>
        </w:rPr>
        <w:t> </w:t>
      </w:r>
      <w:r>
        <w:rPr>
          <w:spacing w:val="-2"/>
          <w:sz w:val="16"/>
        </w:rPr>
        <w:t>The latter</w:t>
      </w:r>
      <w:r>
        <w:rPr>
          <w:spacing w:val="-8"/>
          <w:sz w:val="16"/>
        </w:rPr>
        <w:t> </w:t>
      </w:r>
      <w:r>
        <w:rPr>
          <w:spacing w:val="-2"/>
          <w:sz w:val="16"/>
        </w:rPr>
        <w:t>venue</w:t>
      </w:r>
      <w:r>
        <w:rPr>
          <w:spacing w:val="-6"/>
          <w:sz w:val="16"/>
        </w:rPr>
        <w:t> </w:t>
      </w:r>
      <w:r>
        <w:rPr>
          <w:spacing w:val="-2"/>
          <w:sz w:val="16"/>
        </w:rPr>
        <w:t>entails</w:t>
      </w:r>
      <w:r>
        <w:rPr>
          <w:spacing w:val="-7"/>
          <w:sz w:val="16"/>
        </w:rPr>
        <w:t> </w:t>
      </w:r>
      <w:r>
        <w:rPr>
          <w:spacing w:val="-2"/>
          <w:sz w:val="16"/>
        </w:rPr>
        <w:t>a</w:t>
      </w:r>
      <w:r>
        <w:rPr>
          <w:spacing w:val="-6"/>
          <w:sz w:val="16"/>
        </w:rPr>
        <w:t> </w:t>
      </w:r>
      <w:r>
        <w:rPr>
          <w:spacing w:val="-2"/>
          <w:sz w:val="16"/>
        </w:rPr>
        <w:t>decrease</w:t>
      </w:r>
      <w:r>
        <w:rPr>
          <w:spacing w:val="-6"/>
          <w:sz w:val="16"/>
        </w:rPr>
        <w:t> </w:t>
      </w:r>
      <w:r>
        <w:rPr>
          <w:spacing w:val="-2"/>
          <w:sz w:val="16"/>
        </w:rPr>
        <w:t>in some</w:t>
      </w:r>
      <w:r>
        <w:rPr>
          <w:spacing w:val="-8"/>
          <w:sz w:val="16"/>
        </w:rPr>
        <w:t> </w:t>
      </w:r>
      <w:r>
        <w:rPr>
          <w:spacing w:val="-2"/>
          <w:sz w:val="16"/>
        </w:rPr>
        <w:t>budget</w:t>
      </w:r>
      <w:r>
        <w:rPr>
          <w:spacing w:val="-4"/>
          <w:sz w:val="16"/>
        </w:rPr>
        <w:t> </w:t>
      </w:r>
      <w:r>
        <w:rPr>
          <w:spacing w:val="-2"/>
          <w:sz w:val="16"/>
        </w:rPr>
        <w:t>items</w:t>
      </w:r>
      <w:r>
        <w:rPr>
          <w:spacing w:val="-7"/>
          <w:sz w:val="16"/>
        </w:rPr>
        <w:t> </w:t>
      </w:r>
      <w:r>
        <w:rPr>
          <w:spacing w:val="-2"/>
          <w:sz w:val="16"/>
        </w:rPr>
        <w:t>(such</w:t>
      </w:r>
      <w:r>
        <w:rPr>
          <w:spacing w:val="-8"/>
          <w:sz w:val="16"/>
        </w:rPr>
        <w:t> </w:t>
      </w:r>
      <w:r>
        <w:rPr>
          <w:spacing w:val="-2"/>
          <w:sz w:val="16"/>
        </w:rPr>
        <w:t>as</w:t>
      </w:r>
      <w:r>
        <w:rPr>
          <w:spacing w:val="40"/>
          <w:sz w:val="16"/>
        </w:rPr>
        <w:t> </w:t>
      </w:r>
      <w:r>
        <w:rPr>
          <w:sz w:val="16"/>
        </w:rPr>
        <w:t>contractual services)</w:t>
      </w:r>
      <w:r>
        <w:rPr>
          <w:spacing w:val="-1"/>
          <w:sz w:val="16"/>
        </w:rPr>
        <w:t> </w:t>
      </w:r>
      <w:r>
        <w:rPr>
          <w:sz w:val="16"/>
        </w:rPr>
        <w:t>but an increase in travel</w:t>
      </w:r>
      <w:r>
        <w:rPr>
          <w:spacing w:val="-2"/>
          <w:sz w:val="16"/>
        </w:rPr>
        <w:t> </w:t>
      </w:r>
      <w:r>
        <w:rPr>
          <w:sz w:val="16"/>
        </w:rPr>
        <w:t>costs.</w:t>
      </w:r>
    </w:p>
    <w:p>
      <w:pPr>
        <w:spacing w:line="240" w:lineRule="auto" w:before="0"/>
        <w:ind w:left="2246" w:right="2247" w:firstLine="0"/>
        <w:jc w:val="both"/>
        <w:rPr>
          <w:sz w:val="16"/>
        </w:rPr>
      </w:pPr>
      <w:r>
        <w:rPr>
          <w:position w:val="5"/>
          <w:sz w:val="10"/>
        </w:rPr>
        <w:t>134</w:t>
      </w:r>
      <w:r>
        <w:rPr>
          <w:spacing w:val="8"/>
          <w:position w:val="5"/>
          <w:sz w:val="10"/>
        </w:rPr>
        <w:t> </w:t>
      </w:r>
      <w:r>
        <w:rPr>
          <w:sz w:val="16"/>
        </w:rPr>
        <w:t>The</w:t>
      </w:r>
      <w:r>
        <w:rPr>
          <w:spacing w:val="-8"/>
          <w:sz w:val="16"/>
        </w:rPr>
        <w:t> </w:t>
      </w:r>
      <w:r>
        <w:rPr>
          <w:sz w:val="16"/>
        </w:rPr>
        <w:t>President</w:t>
      </w:r>
      <w:r>
        <w:rPr>
          <w:spacing w:val="-10"/>
          <w:sz w:val="16"/>
        </w:rPr>
        <w:t> </w:t>
      </w:r>
      <w:r>
        <w:rPr>
          <w:sz w:val="16"/>
        </w:rPr>
        <w:t>of</w:t>
      </w:r>
      <w:r>
        <w:rPr>
          <w:spacing w:val="-9"/>
          <w:sz w:val="16"/>
        </w:rPr>
        <w:t> </w:t>
      </w:r>
      <w:r>
        <w:rPr>
          <w:sz w:val="16"/>
        </w:rPr>
        <w:t>the</w:t>
      </w:r>
      <w:r>
        <w:rPr>
          <w:spacing w:val="-8"/>
          <w:sz w:val="16"/>
        </w:rPr>
        <w:t> </w:t>
      </w:r>
      <w:r>
        <w:rPr>
          <w:sz w:val="16"/>
        </w:rPr>
        <w:t>Assembly</w:t>
      </w:r>
      <w:r>
        <w:rPr>
          <w:spacing w:val="-8"/>
          <w:sz w:val="16"/>
        </w:rPr>
        <w:t> </w:t>
      </w:r>
      <w:r>
        <w:rPr>
          <w:sz w:val="16"/>
        </w:rPr>
        <w:t>for</w:t>
      </w:r>
      <w:r>
        <w:rPr>
          <w:spacing w:val="-9"/>
          <w:sz w:val="16"/>
        </w:rPr>
        <w:t> </w:t>
      </w:r>
      <w:r>
        <w:rPr>
          <w:sz w:val="16"/>
        </w:rPr>
        <w:t>the</w:t>
      </w:r>
      <w:r>
        <w:rPr>
          <w:spacing w:val="-8"/>
          <w:sz w:val="16"/>
        </w:rPr>
        <w:t> </w:t>
      </w:r>
      <w:r>
        <w:rPr>
          <w:sz w:val="16"/>
        </w:rPr>
        <w:t>period</w:t>
      </w:r>
      <w:r>
        <w:rPr>
          <w:spacing w:val="-8"/>
          <w:sz w:val="16"/>
        </w:rPr>
        <w:t> </w:t>
      </w:r>
      <w:r>
        <w:rPr>
          <w:sz w:val="16"/>
        </w:rPr>
        <w:t>2021-2023,</w:t>
      </w:r>
      <w:r>
        <w:rPr>
          <w:spacing w:val="-10"/>
          <w:sz w:val="16"/>
        </w:rPr>
        <w:t> </w:t>
      </w:r>
      <w:r>
        <w:rPr>
          <w:sz w:val="16"/>
        </w:rPr>
        <w:t>Ms</w:t>
      </w:r>
      <w:r>
        <w:rPr>
          <w:spacing w:val="-8"/>
          <w:sz w:val="16"/>
        </w:rPr>
        <w:t> </w:t>
      </w:r>
      <w:r>
        <w:rPr>
          <w:sz w:val="16"/>
        </w:rPr>
        <w:t>Silvia</w:t>
      </w:r>
      <w:r>
        <w:rPr>
          <w:spacing w:val="-4"/>
          <w:sz w:val="16"/>
        </w:rPr>
        <w:t> </w:t>
      </w:r>
      <w:r>
        <w:rPr>
          <w:sz w:val="16"/>
        </w:rPr>
        <w:t>Fernández</w:t>
      </w:r>
      <w:r>
        <w:rPr>
          <w:spacing w:val="-8"/>
          <w:sz w:val="16"/>
        </w:rPr>
        <w:t> </w:t>
      </w:r>
      <w:r>
        <w:rPr>
          <w:sz w:val="16"/>
        </w:rPr>
        <w:t>de</w:t>
      </w:r>
      <w:r>
        <w:rPr>
          <w:spacing w:val="-8"/>
          <w:sz w:val="16"/>
        </w:rPr>
        <w:t> </w:t>
      </w:r>
      <w:r>
        <w:rPr>
          <w:sz w:val="16"/>
        </w:rPr>
        <w:t>Gurmendi</w:t>
      </w:r>
      <w:r>
        <w:rPr>
          <w:spacing w:val="-10"/>
          <w:sz w:val="16"/>
        </w:rPr>
        <w:t> </w:t>
      </w:r>
      <w:r>
        <w:rPr>
          <w:sz w:val="16"/>
        </w:rPr>
        <w:t>(Argentina),</w:t>
      </w:r>
      <w:r>
        <w:rPr>
          <w:spacing w:val="-10"/>
          <w:sz w:val="16"/>
        </w:rPr>
        <w:t> </w:t>
      </w:r>
      <w:r>
        <w:rPr>
          <w:sz w:val="16"/>
        </w:rPr>
        <w:t>is</w:t>
      </w:r>
      <w:r>
        <w:rPr>
          <w:spacing w:val="-8"/>
          <w:sz w:val="16"/>
        </w:rPr>
        <w:t> </w:t>
      </w:r>
      <w:r>
        <w:rPr>
          <w:sz w:val="16"/>
        </w:rPr>
        <w:t>based</w:t>
      </w:r>
      <w:r>
        <w:rPr>
          <w:spacing w:val="40"/>
          <w:sz w:val="16"/>
        </w:rPr>
        <w:t> </w:t>
      </w:r>
      <w:r>
        <w:rPr>
          <w:sz w:val="16"/>
        </w:rPr>
        <w:t>in</w:t>
      </w:r>
      <w:r>
        <w:rPr>
          <w:spacing w:val="34"/>
          <w:sz w:val="16"/>
        </w:rPr>
        <w:t> </w:t>
      </w:r>
      <w:r>
        <w:rPr>
          <w:sz w:val="16"/>
        </w:rPr>
        <w:t>Buenos</w:t>
      </w:r>
      <w:r>
        <w:rPr>
          <w:spacing w:val="32"/>
          <w:sz w:val="16"/>
        </w:rPr>
        <w:t> </w:t>
      </w:r>
      <w:r>
        <w:rPr>
          <w:sz w:val="16"/>
        </w:rPr>
        <w:t>Aires,</w:t>
      </w:r>
      <w:r>
        <w:rPr>
          <w:spacing w:val="35"/>
          <w:sz w:val="16"/>
        </w:rPr>
        <w:t> </w:t>
      </w:r>
      <w:r>
        <w:rPr>
          <w:sz w:val="16"/>
        </w:rPr>
        <w:t>Argentina.</w:t>
      </w:r>
      <w:r>
        <w:rPr>
          <w:spacing w:val="30"/>
          <w:sz w:val="16"/>
        </w:rPr>
        <w:t> </w:t>
      </w:r>
      <w:r>
        <w:rPr>
          <w:sz w:val="16"/>
        </w:rPr>
        <w:t>Her</w:t>
      </w:r>
      <w:r>
        <w:rPr>
          <w:spacing w:val="36"/>
          <w:sz w:val="16"/>
        </w:rPr>
        <w:t> </w:t>
      </w:r>
      <w:r>
        <w:rPr>
          <w:sz w:val="16"/>
        </w:rPr>
        <w:t>three-year</w:t>
      </w:r>
      <w:r>
        <w:rPr>
          <w:spacing w:val="31"/>
          <w:sz w:val="16"/>
        </w:rPr>
        <w:t> </w:t>
      </w:r>
      <w:r>
        <w:rPr>
          <w:sz w:val="16"/>
        </w:rPr>
        <w:t>term</w:t>
      </w:r>
      <w:r>
        <w:rPr>
          <w:spacing w:val="33"/>
          <w:sz w:val="16"/>
        </w:rPr>
        <w:t> </w:t>
      </w:r>
      <w:r>
        <w:rPr>
          <w:sz w:val="16"/>
        </w:rPr>
        <w:t>of</w:t>
      </w:r>
      <w:r>
        <w:rPr>
          <w:spacing w:val="36"/>
          <w:sz w:val="16"/>
        </w:rPr>
        <w:t> </w:t>
      </w:r>
      <w:r>
        <w:rPr>
          <w:sz w:val="16"/>
        </w:rPr>
        <w:t>office</w:t>
      </w:r>
      <w:r>
        <w:rPr>
          <w:spacing w:val="33"/>
          <w:sz w:val="16"/>
        </w:rPr>
        <w:t> </w:t>
      </w:r>
      <w:r>
        <w:rPr>
          <w:sz w:val="16"/>
        </w:rPr>
        <w:t>ends</w:t>
      </w:r>
      <w:r>
        <w:rPr>
          <w:spacing w:val="32"/>
          <w:sz w:val="16"/>
        </w:rPr>
        <w:t> </w:t>
      </w:r>
      <w:r>
        <w:rPr>
          <w:sz w:val="16"/>
        </w:rPr>
        <w:t>in</w:t>
      </w:r>
      <w:r>
        <w:rPr>
          <w:spacing w:val="38"/>
          <w:sz w:val="16"/>
        </w:rPr>
        <w:t> </w:t>
      </w:r>
      <w:r>
        <w:rPr>
          <w:sz w:val="16"/>
        </w:rPr>
        <w:t>December</w:t>
      </w:r>
      <w:r>
        <w:rPr>
          <w:spacing w:val="31"/>
          <w:sz w:val="16"/>
        </w:rPr>
        <w:t> </w:t>
      </w:r>
      <w:r>
        <w:rPr>
          <w:sz w:val="16"/>
        </w:rPr>
        <w:t>2023</w:t>
      </w:r>
      <w:r>
        <w:rPr>
          <w:spacing w:val="34"/>
          <w:sz w:val="16"/>
        </w:rPr>
        <w:t> </w:t>
      </w:r>
      <w:r>
        <w:rPr>
          <w:sz w:val="16"/>
        </w:rPr>
        <w:t>at</w:t>
      </w:r>
      <w:r>
        <w:rPr>
          <w:spacing w:val="31"/>
          <w:sz w:val="16"/>
        </w:rPr>
        <w:t> </w:t>
      </w:r>
      <w:r>
        <w:rPr>
          <w:sz w:val="16"/>
        </w:rPr>
        <w:t>the</w:t>
      </w:r>
      <w:r>
        <w:rPr>
          <w:spacing w:val="33"/>
          <w:sz w:val="16"/>
        </w:rPr>
        <w:t> </w:t>
      </w:r>
      <w:r>
        <w:rPr>
          <w:sz w:val="16"/>
        </w:rPr>
        <w:t>conclusion</w:t>
      </w:r>
      <w:r>
        <w:rPr>
          <w:spacing w:val="34"/>
          <w:sz w:val="16"/>
        </w:rPr>
        <w:t> </w:t>
      </w:r>
      <w:r>
        <w:rPr>
          <w:sz w:val="16"/>
        </w:rPr>
        <w:t>of</w:t>
      </w:r>
      <w:r>
        <w:rPr>
          <w:spacing w:val="31"/>
          <w:sz w:val="16"/>
        </w:rPr>
        <w:t> </w:t>
      </w:r>
      <w:r>
        <w:rPr>
          <w:sz w:val="16"/>
        </w:rPr>
        <w:t>the</w:t>
      </w:r>
      <w:r>
        <w:rPr>
          <w:spacing w:val="40"/>
          <w:sz w:val="16"/>
        </w:rPr>
        <w:t> </w:t>
      </w:r>
      <w:r>
        <w:rPr>
          <w:sz w:val="16"/>
        </w:rPr>
        <w:t>twenty-second session of the Assembly.</w:t>
      </w:r>
    </w:p>
    <w:p>
      <w:pPr>
        <w:spacing w:line="244" w:lineRule="auto" w:before="1"/>
        <w:ind w:left="2246" w:right="2244" w:firstLine="0"/>
        <w:jc w:val="both"/>
        <w:rPr>
          <w:sz w:val="16"/>
        </w:rPr>
      </w:pPr>
      <w:r>
        <w:rPr>
          <w:position w:val="5"/>
          <w:sz w:val="10"/>
        </w:rPr>
        <w:t>135</w:t>
      </w:r>
      <w:r>
        <w:rPr>
          <w:spacing w:val="40"/>
          <w:position w:val="5"/>
          <w:sz w:val="10"/>
        </w:rPr>
        <w:t> </w:t>
      </w:r>
      <w:r>
        <w:rPr>
          <w:sz w:val="16"/>
        </w:rPr>
        <w:t>The funds allocated for translation reflect the level of expenditure on translations of recurring/standard</w:t>
      </w:r>
      <w:r>
        <w:rPr>
          <w:spacing w:val="40"/>
          <w:sz w:val="16"/>
        </w:rPr>
        <w:t> </w:t>
      </w:r>
      <w:r>
        <w:rPr>
          <w:sz w:val="16"/>
        </w:rPr>
        <w:t>documentation</w:t>
      </w:r>
      <w:r>
        <w:rPr>
          <w:spacing w:val="-6"/>
          <w:sz w:val="16"/>
        </w:rPr>
        <w:t> </w:t>
      </w:r>
      <w:r>
        <w:rPr>
          <w:sz w:val="16"/>
        </w:rPr>
        <w:t>in</w:t>
      </w:r>
      <w:r>
        <w:rPr>
          <w:spacing w:val="-4"/>
          <w:sz w:val="16"/>
        </w:rPr>
        <w:t> </w:t>
      </w:r>
      <w:r>
        <w:rPr>
          <w:sz w:val="16"/>
        </w:rPr>
        <w:t>the</w:t>
      </w:r>
      <w:r>
        <w:rPr>
          <w:spacing w:val="-9"/>
          <w:sz w:val="16"/>
        </w:rPr>
        <w:t> </w:t>
      </w:r>
      <w:r>
        <w:rPr>
          <w:sz w:val="16"/>
        </w:rPr>
        <w:t>previous</w:t>
      </w:r>
      <w:r>
        <w:rPr>
          <w:spacing w:val="-5"/>
          <w:sz w:val="16"/>
        </w:rPr>
        <w:t> </w:t>
      </w:r>
      <w:r>
        <w:rPr>
          <w:sz w:val="16"/>
        </w:rPr>
        <w:t>year.</w:t>
      </w:r>
      <w:r>
        <w:rPr>
          <w:spacing w:val="-7"/>
          <w:sz w:val="16"/>
        </w:rPr>
        <w:t> </w:t>
      </w:r>
      <w:r>
        <w:rPr>
          <w:sz w:val="16"/>
        </w:rPr>
        <w:t>In</w:t>
      </w:r>
      <w:r>
        <w:rPr>
          <w:spacing w:val="-4"/>
          <w:sz w:val="16"/>
        </w:rPr>
        <w:t> </w:t>
      </w:r>
      <w:r>
        <w:rPr>
          <w:sz w:val="16"/>
        </w:rPr>
        <w:t>2021,</w:t>
      </w:r>
      <w:r>
        <w:rPr>
          <w:spacing w:val="-6"/>
          <w:sz w:val="16"/>
        </w:rPr>
        <w:t> </w:t>
      </w:r>
      <w:r>
        <w:rPr>
          <w:sz w:val="16"/>
        </w:rPr>
        <w:t>translation</w:t>
      </w:r>
      <w:r>
        <w:rPr>
          <w:spacing w:val="-4"/>
          <w:sz w:val="16"/>
        </w:rPr>
        <w:t> </w:t>
      </w:r>
      <w:r>
        <w:rPr>
          <w:sz w:val="16"/>
        </w:rPr>
        <w:t>costs</w:t>
      </w:r>
      <w:r>
        <w:rPr>
          <w:spacing w:val="2"/>
          <w:sz w:val="16"/>
        </w:rPr>
        <w:t> </w:t>
      </w:r>
      <w:r>
        <w:rPr>
          <w:sz w:val="16"/>
        </w:rPr>
        <w:t>for</w:t>
      </w:r>
      <w:r>
        <w:rPr>
          <w:spacing w:val="-6"/>
          <w:sz w:val="16"/>
        </w:rPr>
        <w:t> </w:t>
      </w:r>
      <w:r>
        <w:rPr>
          <w:sz w:val="16"/>
        </w:rPr>
        <w:t>Major</w:t>
      </w:r>
      <w:r>
        <w:rPr>
          <w:spacing w:val="-6"/>
          <w:sz w:val="16"/>
        </w:rPr>
        <w:t> </w:t>
      </w:r>
      <w:r>
        <w:rPr>
          <w:sz w:val="16"/>
        </w:rPr>
        <w:t>Programme</w:t>
      </w:r>
      <w:r>
        <w:rPr>
          <w:spacing w:val="-4"/>
          <w:sz w:val="16"/>
        </w:rPr>
        <w:t> </w:t>
      </w:r>
      <w:r>
        <w:rPr>
          <w:sz w:val="16"/>
        </w:rPr>
        <w:t>IV</w:t>
      </w:r>
      <w:r>
        <w:rPr>
          <w:spacing w:val="-3"/>
          <w:sz w:val="16"/>
        </w:rPr>
        <w:t> </w:t>
      </w:r>
      <w:r>
        <w:rPr>
          <w:sz w:val="16"/>
        </w:rPr>
        <w:t>amounted</w:t>
      </w:r>
      <w:r>
        <w:rPr>
          <w:spacing w:val="-4"/>
          <w:sz w:val="16"/>
        </w:rPr>
        <w:t> </w:t>
      </w:r>
      <w:r>
        <w:rPr>
          <w:sz w:val="16"/>
        </w:rPr>
        <w:t>to</w:t>
      </w:r>
      <w:r>
        <w:rPr>
          <w:spacing w:val="-8"/>
          <w:sz w:val="16"/>
        </w:rPr>
        <w:t> </w:t>
      </w:r>
      <w:r>
        <w:rPr>
          <w:spacing w:val="-2"/>
          <w:sz w:val="16"/>
        </w:rPr>
        <w:t>approximately</w:t>
      </w:r>
    </w:p>
    <w:p>
      <w:pPr>
        <w:spacing w:line="237" w:lineRule="auto" w:before="0"/>
        <w:ind w:left="2246" w:right="2257" w:firstLine="0"/>
        <w:jc w:val="both"/>
        <w:rPr>
          <w:sz w:val="16"/>
        </w:rPr>
      </w:pPr>
      <w:r>
        <w:rPr>
          <w:sz w:val="16"/>
        </w:rPr>
        <w:t>€280.0 thousand (€40.0 thousand of this amount was for the translation of documents for the Committee and the</w:t>
      </w:r>
      <w:r>
        <w:rPr>
          <w:spacing w:val="40"/>
          <w:sz w:val="16"/>
        </w:rPr>
        <w:t> </w:t>
      </w:r>
      <w:r>
        <w:rPr>
          <w:sz w:val="16"/>
        </w:rPr>
        <w:t>Audit</w:t>
      </w:r>
      <w:r>
        <w:rPr>
          <w:spacing w:val="-7"/>
          <w:sz w:val="16"/>
        </w:rPr>
        <w:t> </w:t>
      </w:r>
      <w:r>
        <w:rPr>
          <w:sz w:val="16"/>
        </w:rPr>
        <w:t>Committee).</w:t>
      </w:r>
    </w:p>
    <w:p>
      <w:pPr>
        <w:spacing w:after="0" w:line="237" w:lineRule="auto"/>
        <w:jc w:val="both"/>
        <w:rPr>
          <w:sz w:val="16"/>
        </w:rPr>
        <w:sectPr>
          <w:pgSz w:w="11910" w:h="16840"/>
          <w:pgMar w:header="953" w:footer="940" w:top="1140" w:bottom="1140" w:left="20" w:right="20"/>
        </w:sectPr>
      </w:pPr>
    </w:p>
    <w:p>
      <w:pPr>
        <w:tabs>
          <w:tab w:pos="8484" w:val="left" w:leader="none"/>
        </w:tabs>
        <w:spacing w:before="120"/>
        <w:ind w:left="2246" w:right="0" w:firstLine="0"/>
        <w:jc w:val="both"/>
        <w:rPr>
          <w:i/>
          <w:sz w:val="20"/>
        </w:rPr>
      </w:pPr>
      <w:r>
        <w:rPr>
          <w:i/>
          <w:sz w:val="20"/>
        </w:rPr>
        <w:t>General</w:t>
      </w:r>
      <w:r>
        <w:rPr>
          <w:i/>
          <w:spacing w:val="-7"/>
          <w:sz w:val="20"/>
        </w:rPr>
        <w:t> </w:t>
      </w:r>
      <w:r>
        <w:rPr>
          <w:i/>
          <w:sz w:val="20"/>
        </w:rPr>
        <w:t>operating</w:t>
      </w:r>
      <w:r>
        <w:rPr>
          <w:i/>
          <w:spacing w:val="-8"/>
          <w:sz w:val="20"/>
        </w:rPr>
        <w:t> </w:t>
      </w:r>
      <w:r>
        <w:rPr>
          <w:i/>
          <w:spacing w:val="-2"/>
          <w:sz w:val="20"/>
        </w:rPr>
        <w:t>expenses</w:t>
      </w:r>
      <w:r>
        <w:rPr>
          <w:i/>
          <w:sz w:val="20"/>
        </w:rPr>
        <w:tab/>
        <w:t>€4.5</w:t>
      </w:r>
      <w:r>
        <w:rPr>
          <w:i/>
          <w:spacing w:val="-3"/>
          <w:sz w:val="20"/>
        </w:rPr>
        <w:t> </w:t>
      </w:r>
      <w:r>
        <w:rPr>
          <w:i/>
          <w:spacing w:val="-2"/>
          <w:sz w:val="20"/>
        </w:rPr>
        <w:t>thousand</w:t>
      </w:r>
    </w:p>
    <w:p>
      <w:pPr>
        <w:pStyle w:val="BodyText"/>
        <w:spacing w:before="10"/>
        <w:rPr>
          <w:i/>
        </w:rPr>
      </w:pPr>
    </w:p>
    <w:p>
      <w:pPr>
        <w:pStyle w:val="ListParagraph"/>
        <w:numPr>
          <w:ilvl w:val="0"/>
          <w:numId w:val="4"/>
        </w:numPr>
        <w:tabs>
          <w:tab w:pos="2967" w:val="left" w:leader="none"/>
        </w:tabs>
        <w:spacing w:line="240" w:lineRule="auto" w:before="1" w:after="0"/>
        <w:ind w:left="2246" w:right="2241" w:firstLine="0"/>
        <w:jc w:val="both"/>
        <w:rPr>
          <w:sz w:val="20"/>
        </w:rPr>
      </w:pPr>
      <w:r>
        <w:rPr>
          <w:sz w:val="20"/>
        </w:rPr>
        <w:t>The</w:t>
      </w:r>
      <w:r>
        <w:rPr>
          <w:spacing w:val="40"/>
          <w:sz w:val="20"/>
        </w:rPr>
        <w:t>  </w:t>
      </w:r>
      <w:r>
        <w:rPr>
          <w:sz w:val="20"/>
        </w:rPr>
        <w:t>amount</w:t>
      </w:r>
      <w:r>
        <w:rPr>
          <w:spacing w:val="40"/>
          <w:sz w:val="20"/>
        </w:rPr>
        <w:t>  </w:t>
      </w:r>
      <w:r>
        <w:rPr>
          <w:sz w:val="20"/>
        </w:rPr>
        <w:t>proposed</w:t>
      </w:r>
      <w:r>
        <w:rPr>
          <w:spacing w:val="40"/>
          <w:sz w:val="20"/>
        </w:rPr>
        <w:t>  </w:t>
      </w:r>
      <w:r>
        <w:rPr>
          <w:sz w:val="20"/>
        </w:rPr>
        <w:t>for</w:t>
      </w:r>
      <w:r>
        <w:rPr>
          <w:spacing w:val="40"/>
          <w:sz w:val="20"/>
        </w:rPr>
        <w:t>  </w:t>
      </w:r>
      <w:r>
        <w:rPr>
          <w:sz w:val="20"/>
        </w:rPr>
        <w:t>general</w:t>
      </w:r>
      <w:r>
        <w:rPr>
          <w:spacing w:val="40"/>
          <w:sz w:val="20"/>
        </w:rPr>
        <w:t>  </w:t>
      </w:r>
      <w:r>
        <w:rPr>
          <w:sz w:val="20"/>
        </w:rPr>
        <w:t>operating</w:t>
      </w:r>
      <w:r>
        <w:rPr>
          <w:spacing w:val="40"/>
          <w:sz w:val="20"/>
        </w:rPr>
        <w:t>  </w:t>
      </w:r>
      <w:r>
        <w:rPr>
          <w:sz w:val="20"/>
        </w:rPr>
        <w:t>expenses</w:t>
      </w:r>
      <w:r>
        <w:rPr>
          <w:spacing w:val="40"/>
          <w:sz w:val="20"/>
        </w:rPr>
        <w:t>  </w:t>
      </w:r>
      <w:r>
        <w:rPr>
          <w:sz w:val="20"/>
        </w:rPr>
        <w:t>has</w:t>
      </w:r>
      <w:r>
        <w:rPr>
          <w:spacing w:val="40"/>
          <w:sz w:val="20"/>
        </w:rPr>
        <w:t>  </w:t>
      </w:r>
      <w:r>
        <w:rPr>
          <w:sz w:val="20"/>
        </w:rPr>
        <w:t>decreased</w:t>
      </w:r>
      <w:r>
        <w:rPr>
          <w:spacing w:val="40"/>
          <w:sz w:val="20"/>
        </w:rPr>
        <w:t> </w:t>
      </w:r>
      <w:r>
        <w:rPr>
          <w:sz w:val="20"/>
        </w:rPr>
        <w:t>by €1.5</w:t>
      </w:r>
      <w:r>
        <w:rPr>
          <w:spacing w:val="-3"/>
          <w:sz w:val="20"/>
        </w:rPr>
        <w:t> </w:t>
      </w:r>
      <w:r>
        <w:rPr>
          <w:sz w:val="20"/>
        </w:rPr>
        <w:t>thousand (25.0 per cent) owing to a reduction in the printing of documents in line with a “paper-light” approach. General operating expenses cover the cost of mailing some documents and publications to States Parties. These materials are sent via regular post, registered mail or courier. If, in accordance with the trend in international organizations, a “greener”/paperless policy were to be adopted, this particular budget item could be considerably reduced.</w:t>
      </w:r>
    </w:p>
    <w:p>
      <w:pPr>
        <w:pStyle w:val="BodyText"/>
        <w:spacing w:before="1"/>
        <w:rPr>
          <w:sz w:val="21"/>
        </w:rPr>
      </w:pPr>
    </w:p>
    <w:p>
      <w:pPr>
        <w:tabs>
          <w:tab w:pos="8484" w:val="left" w:leader="none"/>
        </w:tabs>
        <w:spacing w:before="1"/>
        <w:ind w:left="2246" w:right="0" w:firstLine="0"/>
        <w:jc w:val="both"/>
        <w:rPr>
          <w:i/>
          <w:sz w:val="20"/>
        </w:rPr>
      </w:pPr>
      <w:r>
        <w:rPr>
          <w:i/>
          <w:sz w:val="20"/>
        </w:rPr>
        <w:t>Supplies</w:t>
      </w:r>
      <w:r>
        <w:rPr>
          <w:i/>
          <w:spacing w:val="-5"/>
          <w:sz w:val="20"/>
        </w:rPr>
        <w:t> </w:t>
      </w:r>
      <w:r>
        <w:rPr>
          <w:i/>
          <w:sz w:val="20"/>
        </w:rPr>
        <w:t>and</w:t>
      </w:r>
      <w:r>
        <w:rPr>
          <w:i/>
          <w:spacing w:val="-4"/>
          <w:sz w:val="20"/>
        </w:rPr>
        <w:t> </w:t>
      </w:r>
      <w:r>
        <w:rPr>
          <w:i/>
          <w:spacing w:val="-2"/>
          <w:sz w:val="20"/>
        </w:rPr>
        <w:t>materials</w:t>
      </w:r>
      <w:r>
        <w:rPr>
          <w:i/>
          <w:sz w:val="20"/>
        </w:rPr>
        <w:tab/>
        <w:t>€8.5</w:t>
      </w:r>
      <w:r>
        <w:rPr>
          <w:i/>
          <w:spacing w:val="-3"/>
          <w:sz w:val="20"/>
        </w:rPr>
        <w:t> </w:t>
      </w:r>
      <w:r>
        <w:rPr>
          <w:i/>
          <w:spacing w:val="-2"/>
          <w:sz w:val="20"/>
        </w:rPr>
        <w:t>thousand</w:t>
      </w:r>
    </w:p>
    <w:p>
      <w:pPr>
        <w:pStyle w:val="BodyText"/>
        <w:spacing w:before="10"/>
        <w:rPr>
          <w:i/>
        </w:rPr>
      </w:pPr>
    </w:p>
    <w:p>
      <w:pPr>
        <w:pStyle w:val="ListParagraph"/>
        <w:numPr>
          <w:ilvl w:val="0"/>
          <w:numId w:val="4"/>
        </w:numPr>
        <w:tabs>
          <w:tab w:pos="2967" w:val="left" w:leader="none"/>
        </w:tabs>
        <w:spacing w:line="240" w:lineRule="auto" w:before="0" w:after="0"/>
        <w:ind w:left="2246" w:right="2243" w:firstLine="0"/>
        <w:jc w:val="both"/>
        <w:rPr>
          <w:sz w:val="20"/>
        </w:rPr>
      </w:pPr>
      <w:r>
        <w:rPr>
          <w:sz w:val="20"/>
        </w:rPr>
        <w:t>The amount proposed for supplies and materials remains unchanged. It covers the cost of office supplies, including stationery used by Secretariat staff (paper, toner, pens, memo pads, folders, etc.) and stationery for the two sessions of the Committee, the two sessions of the Audit Committee, the annual session of the Assembly and the regular meetings of The Hague Working Group.</w:t>
      </w:r>
    </w:p>
    <w:p>
      <w:pPr>
        <w:pStyle w:val="BodyText"/>
        <w:spacing w:before="8"/>
      </w:pPr>
    </w:p>
    <w:p>
      <w:pPr>
        <w:tabs>
          <w:tab w:pos="8484" w:val="left" w:leader="none"/>
        </w:tabs>
        <w:spacing w:before="0"/>
        <w:ind w:left="2246" w:right="0" w:firstLine="0"/>
        <w:jc w:val="both"/>
        <w:rPr>
          <w:i/>
          <w:sz w:val="20"/>
        </w:rPr>
      </w:pPr>
      <w:r>
        <w:rPr>
          <w:i/>
          <w:sz w:val="20"/>
        </w:rPr>
        <w:t>Furniture</w:t>
      </w:r>
      <w:r>
        <w:rPr>
          <w:i/>
          <w:spacing w:val="-5"/>
          <w:sz w:val="20"/>
        </w:rPr>
        <w:t> </w:t>
      </w:r>
      <w:r>
        <w:rPr>
          <w:i/>
          <w:sz w:val="20"/>
        </w:rPr>
        <w:t>and</w:t>
      </w:r>
      <w:r>
        <w:rPr>
          <w:i/>
          <w:spacing w:val="-5"/>
          <w:sz w:val="20"/>
        </w:rPr>
        <w:t> </w:t>
      </w:r>
      <w:r>
        <w:rPr>
          <w:i/>
          <w:spacing w:val="-2"/>
          <w:sz w:val="20"/>
        </w:rPr>
        <w:t>equipment</w:t>
      </w:r>
      <w:r>
        <w:rPr>
          <w:i/>
          <w:sz w:val="20"/>
        </w:rPr>
        <w:tab/>
        <w:t>€5.0</w:t>
      </w:r>
      <w:r>
        <w:rPr>
          <w:i/>
          <w:spacing w:val="-8"/>
          <w:sz w:val="20"/>
        </w:rPr>
        <w:t> </w:t>
      </w:r>
      <w:r>
        <w:rPr>
          <w:i/>
          <w:spacing w:val="-2"/>
          <w:sz w:val="20"/>
        </w:rPr>
        <w:t>thousand</w:t>
      </w:r>
    </w:p>
    <w:p>
      <w:pPr>
        <w:pStyle w:val="BodyText"/>
        <w:spacing w:before="10"/>
        <w:rPr>
          <w:i/>
        </w:rPr>
      </w:pPr>
    </w:p>
    <w:p>
      <w:pPr>
        <w:pStyle w:val="ListParagraph"/>
        <w:numPr>
          <w:ilvl w:val="0"/>
          <w:numId w:val="4"/>
        </w:numPr>
        <w:tabs>
          <w:tab w:pos="2967" w:val="left" w:leader="none"/>
        </w:tabs>
        <w:spacing w:line="240" w:lineRule="auto" w:before="0" w:after="0"/>
        <w:ind w:left="2246" w:right="2246" w:firstLine="0"/>
        <w:jc w:val="both"/>
        <w:rPr>
          <w:sz w:val="20"/>
        </w:rPr>
      </w:pPr>
      <w:r>
        <w:rPr>
          <w:sz w:val="20"/>
        </w:rPr>
        <w:t>The amount proposed for furniture and equipment remains unchanged. The Secretariat continues to promote efficiency through savings on the costs of printing, transporting, storing and distributing paper copies of documents. Increased use of this “paper-light” approach and of the Assembly website and extranets may further reduce the need for printed material in the medium term.</w:t>
      </w:r>
    </w:p>
    <w:p>
      <w:pPr>
        <w:spacing w:after="0" w:line="240" w:lineRule="auto"/>
        <w:jc w:val="both"/>
        <w:rPr>
          <w:sz w:val="20"/>
        </w:rPr>
        <w:sectPr>
          <w:pgSz w:w="11910" w:h="16840"/>
          <w:pgMar w:header="957" w:footer="940" w:top="1140" w:bottom="1140" w:left="20" w:right="20"/>
        </w:sectPr>
      </w:pPr>
    </w:p>
    <w:p>
      <w:pPr>
        <w:pStyle w:val="BodyText"/>
        <w:spacing w:before="7"/>
        <w:rPr>
          <w:sz w:val="29"/>
        </w:rPr>
      </w:pPr>
    </w:p>
    <w:tbl>
      <w:tblPr>
        <w:tblW w:w="0" w:type="auto"/>
        <w:jc w:val="left"/>
        <w:tblInd w:w="1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61"/>
        <w:gridCol w:w="1218"/>
        <w:gridCol w:w="827"/>
        <w:gridCol w:w="1133"/>
        <w:gridCol w:w="1078"/>
        <w:gridCol w:w="1122"/>
        <w:gridCol w:w="753"/>
        <w:gridCol w:w="1053"/>
      </w:tblGrid>
      <w:tr>
        <w:trPr>
          <w:trHeight w:val="324" w:hRule="atLeast"/>
        </w:trPr>
        <w:tc>
          <w:tcPr>
            <w:tcW w:w="2461" w:type="dxa"/>
            <w:vMerge w:val="restart"/>
            <w:tcBorders>
              <w:top w:val="single" w:sz="4" w:space="0" w:color="000000"/>
              <w:bottom w:val="single" w:sz="12" w:space="0" w:color="000000"/>
            </w:tcBorders>
          </w:tcPr>
          <w:p>
            <w:pPr>
              <w:pStyle w:val="TableParagraph"/>
              <w:spacing w:before="1"/>
              <w:jc w:val="left"/>
              <w:rPr>
                <w:sz w:val="14"/>
              </w:rPr>
            </w:pPr>
          </w:p>
          <w:p>
            <w:pPr>
              <w:pStyle w:val="TableParagraph"/>
              <w:ind w:left="117" w:right="98"/>
              <w:jc w:val="left"/>
              <w:rPr>
                <w:b/>
                <w:sz w:val="16"/>
              </w:rPr>
            </w:pPr>
            <w:r>
              <w:rPr>
                <w:b/>
                <w:sz w:val="16"/>
              </w:rPr>
              <w:t>Major Programme IV</w:t>
            </w:r>
            <w:r>
              <w:rPr>
                <w:b/>
                <w:spacing w:val="40"/>
                <w:sz w:val="16"/>
              </w:rPr>
              <w:t> </w:t>
            </w:r>
            <w:r>
              <w:rPr>
                <w:b/>
                <w:sz w:val="16"/>
              </w:rPr>
              <w:t>Secretariat</w:t>
            </w:r>
            <w:r>
              <w:rPr>
                <w:b/>
                <w:spacing w:val="-10"/>
                <w:sz w:val="16"/>
              </w:rPr>
              <w:t> </w:t>
            </w:r>
            <w:r>
              <w:rPr>
                <w:b/>
                <w:sz w:val="16"/>
              </w:rPr>
              <w:t>of</w:t>
            </w:r>
            <w:r>
              <w:rPr>
                <w:b/>
                <w:spacing w:val="-10"/>
                <w:sz w:val="16"/>
              </w:rPr>
              <w:t> </w:t>
            </w:r>
            <w:r>
              <w:rPr>
                <w:b/>
                <w:sz w:val="16"/>
              </w:rPr>
              <w:t>the</w:t>
            </w:r>
            <w:r>
              <w:rPr>
                <w:b/>
                <w:spacing w:val="-10"/>
                <w:sz w:val="16"/>
              </w:rPr>
              <w:t> </w:t>
            </w:r>
            <w:r>
              <w:rPr>
                <w:b/>
                <w:sz w:val="16"/>
              </w:rPr>
              <w:t>Assembly</w:t>
            </w:r>
          </w:p>
          <w:p>
            <w:pPr>
              <w:pStyle w:val="TableParagraph"/>
              <w:spacing w:line="162" w:lineRule="exact" w:before="2"/>
              <w:ind w:left="117"/>
              <w:jc w:val="left"/>
              <w:rPr>
                <w:b/>
                <w:sz w:val="16"/>
              </w:rPr>
            </w:pPr>
            <w:r>
              <w:rPr>
                <w:b/>
                <w:sz w:val="16"/>
              </w:rPr>
              <w:t>of</w:t>
            </w:r>
            <w:r>
              <w:rPr>
                <w:b/>
                <w:spacing w:val="-6"/>
                <w:sz w:val="16"/>
              </w:rPr>
              <w:t> </w:t>
            </w:r>
            <w:r>
              <w:rPr>
                <w:b/>
                <w:sz w:val="16"/>
              </w:rPr>
              <w:t>States</w:t>
            </w:r>
            <w:r>
              <w:rPr>
                <w:b/>
                <w:spacing w:val="-5"/>
                <w:sz w:val="16"/>
              </w:rPr>
              <w:t> </w:t>
            </w:r>
            <w:r>
              <w:rPr>
                <w:b/>
                <w:spacing w:val="-2"/>
                <w:sz w:val="16"/>
              </w:rPr>
              <w:t>Parties</w:t>
            </w:r>
          </w:p>
        </w:tc>
        <w:tc>
          <w:tcPr>
            <w:tcW w:w="3178" w:type="dxa"/>
            <w:gridSpan w:val="3"/>
            <w:tcBorders>
              <w:top w:val="single" w:sz="4" w:space="0" w:color="000000"/>
            </w:tcBorders>
          </w:tcPr>
          <w:p>
            <w:pPr>
              <w:pStyle w:val="TableParagraph"/>
              <w:tabs>
                <w:tab w:pos="311" w:val="left" w:leader="none"/>
                <w:tab w:pos="3178" w:val="left" w:leader="none"/>
              </w:tabs>
              <w:spacing w:line="171" w:lineRule="exact" w:before="133"/>
              <w:ind w:left="-1" w:right="-15"/>
              <w:jc w:val="left"/>
              <w:rPr>
                <w:sz w:val="16"/>
              </w:rPr>
            </w:pPr>
            <w:r>
              <w:rPr>
                <w:sz w:val="16"/>
                <w:u w:val="single"/>
              </w:rPr>
              <w:tab/>
              <w:t>2021</w:t>
            </w:r>
            <w:r>
              <w:rPr>
                <w:spacing w:val="-2"/>
                <w:sz w:val="16"/>
                <w:u w:val="single"/>
              </w:rPr>
              <w:t> </w:t>
            </w:r>
            <w:r>
              <w:rPr>
                <w:sz w:val="16"/>
                <w:u w:val="single"/>
              </w:rPr>
              <w:t>Expenditures</w:t>
            </w:r>
            <w:r>
              <w:rPr>
                <w:spacing w:val="-4"/>
                <w:sz w:val="16"/>
                <w:u w:val="single"/>
              </w:rPr>
              <w:t> </w:t>
            </w:r>
            <w:r>
              <w:rPr>
                <w:sz w:val="16"/>
                <w:u w:val="single"/>
              </w:rPr>
              <w:t>(thousands</w:t>
            </w:r>
            <w:r>
              <w:rPr>
                <w:spacing w:val="-4"/>
                <w:sz w:val="16"/>
                <w:u w:val="single"/>
              </w:rPr>
              <w:t> </w:t>
            </w:r>
            <w:r>
              <w:rPr>
                <w:sz w:val="16"/>
                <w:u w:val="single"/>
              </w:rPr>
              <w:t>of</w:t>
            </w:r>
            <w:r>
              <w:rPr>
                <w:spacing w:val="-4"/>
                <w:sz w:val="16"/>
                <w:u w:val="single"/>
              </w:rPr>
              <w:t> </w:t>
            </w:r>
            <w:r>
              <w:rPr>
                <w:spacing w:val="-2"/>
                <w:sz w:val="16"/>
                <w:u w:val="single"/>
              </w:rPr>
              <w:t>euros)</w:t>
            </w:r>
            <w:r>
              <w:rPr>
                <w:sz w:val="16"/>
                <w:u w:val="single"/>
              </w:rPr>
              <w:tab/>
            </w:r>
          </w:p>
        </w:tc>
        <w:tc>
          <w:tcPr>
            <w:tcW w:w="1078" w:type="dxa"/>
            <w:vMerge w:val="restart"/>
            <w:tcBorders>
              <w:top w:val="single" w:sz="4" w:space="0" w:color="000000"/>
              <w:bottom w:val="single" w:sz="12" w:space="0" w:color="000000"/>
            </w:tcBorders>
          </w:tcPr>
          <w:p>
            <w:pPr>
              <w:pStyle w:val="TableParagraph"/>
              <w:spacing w:before="1"/>
              <w:jc w:val="left"/>
              <w:rPr>
                <w:sz w:val="14"/>
              </w:rPr>
            </w:pPr>
          </w:p>
          <w:p>
            <w:pPr>
              <w:pStyle w:val="TableParagraph"/>
              <w:spacing w:line="183" w:lineRule="exact"/>
              <w:ind w:left="228" w:right="181"/>
              <w:jc w:val="center"/>
              <w:rPr>
                <w:sz w:val="16"/>
              </w:rPr>
            </w:pPr>
            <w:r>
              <w:rPr>
                <w:spacing w:val="-4"/>
                <w:sz w:val="16"/>
              </w:rPr>
              <w:t>2022</w:t>
            </w:r>
          </w:p>
          <w:p>
            <w:pPr>
              <w:pStyle w:val="TableParagraph"/>
              <w:spacing w:line="183" w:lineRule="exact"/>
              <w:ind w:left="227" w:right="184"/>
              <w:jc w:val="center"/>
              <w:rPr>
                <w:sz w:val="16"/>
              </w:rPr>
            </w:pPr>
            <w:r>
              <w:rPr>
                <w:spacing w:val="-2"/>
                <w:sz w:val="16"/>
              </w:rPr>
              <w:t>Approved</w:t>
            </w:r>
          </w:p>
          <w:p>
            <w:pPr>
              <w:pStyle w:val="TableParagraph"/>
              <w:spacing w:line="162" w:lineRule="exact" w:before="3"/>
              <w:ind w:left="228" w:right="176"/>
              <w:jc w:val="center"/>
              <w:rPr>
                <w:sz w:val="16"/>
              </w:rPr>
            </w:pPr>
            <w:r>
              <w:rPr>
                <w:spacing w:val="-2"/>
                <w:sz w:val="16"/>
              </w:rPr>
              <w:t>Budget</w:t>
            </w:r>
          </w:p>
        </w:tc>
        <w:tc>
          <w:tcPr>
            <w:tcW w:w="1875" w:type="dxa"/>
            <w:gridSpan w:val="2"/>
            <w:tcBorders>
              <w:top w:val="single" w:sz="4" w:space="0" w:color="000000"/>
            </w:tcBorders>
          </w:tcPr>
          <w:p>
            <w:pPr>
              <w:pStyle w:val="TableParagraph"/>
              <w:tabs>
                <w:tab w:pos="339" w:val="left" w:leader="none"/>
                <w:tab w:pos="1803" w:val="left" w:leader="none"/>
              </w:tabs>
              <w:spacing w:line="171" w:lineRule="exact" w:before="133"/>
              <w:ind w:left="56"/>
              <w:jc w:val="left"/>
              <w:rPr>
                <w:sz w:val="16"/>
              </w:rPr>
            </w:pPr>
            <w:r>
              <w:rPr>
                <w:sz w:val="16"/>
                <w:u w:val="single"/>
              </w:rPr>
              <w:tab/>
              <w:t>Resource</w:t>
            </w:r>
            <w:r>
              <w:rPr>
                <w:spacing w:val="-2"/>
                <w:sz w:val="16"/>
                <w:u w:val="single"/>
              </w:rPr>
              <w:t> Changes</w:t>
            </w:r>
            <w:r>
              <w:rPr>
                <w:sz w:val="16"/>
                <w:u w:val="single"/>
              </w:rPr>
              <w:tab/>
            </w:r>
          </w:p>
        </w:tc>
        <w:tc>
          <w:tcPr>
            <w:tcW w:w="1053" w:type="dxa"/>
            <w:tcBorders>
              <w:top w:val="single" w:sz="4" w:space="0" w:color="000000"/>
            </w:tcBorders>
          </w:tcPr>
          <w:p>
            <w:pPr>
              <w:pStyle w:val="TableParagraph"/>
              <w:jc w:val="left"/>
              <w:rPr>
                <w:sz w:val="14"/>
              </w:rPr>
            </w:pPr>
          </w:p>
        </w:tc>
      </w:tr>
      <w:tr>
        <w:trPr>
          <w:trHeight w:val="359" w:hRule="atLeast"/>
        </w:trPr>
        <w:tc>
          <w:tcPr>
            <w:tcW w:w="2461" w:type="dxa"/>
            <w:vMerge/>
            <w:tcBorders>
              <w:top w:val="nil"/>
              <w:bottom w:val="single" w:sz="12" w:space="0" w:color="000000"/>
            </w:tcBorders>
          </w:tcPr>
          <w:p>
            <w:pPr>
              <w:rPr>
                <w:sz w:val="2"/>
                <w:szCs w:val="2"/>
              </w:rPr>
            </w:pPr>
          </w:p>
        </w:tc>
        <w:tc>
          <w:tcPr>
            <w:tcW w:w="1218" w:type="dxa"/>
            <w:tcBorders>
              <w:bottom w:val="single" w:sz="12" w:space="0" w:color="000000"/>
            </w:tcBorders>
          </w:tcPr>
          <w:p>
            <w:pPr>
              <w:pStyle w:val="TableParagraph"/>
              <w:spacing w:before="4"/>
              <w:jc w:val="left"/>
              <w:rPr>
                <w:sz w:val="15"/>
              </w:rPr>
            </w:pPr>
          </w:p>
          <w:p>
            <w:pPr>
              <w:pStyle w:val="TableParagraph"/>
              <w:spacing w:line="162" w:lineRule="exact" w:before="1"/>
              <w:ind w:left="393"/>
              <w:jc w:val="left"/>
              <w:rPr>
                <w:sz w:val="16"/>
              </w:rPr>
            </w:pPr>
            <w:r>
              <w:rPr>
                <w:spacing w:val="-2"/>
                <w:sz w:val="16"/>
              </w:rPr>
              <w:t>Total</w:t>
            </w:r>
          </w:p>
        </w:tc>
        <w:tc>
          <w:tcPr>
            <w:tcW w:w="827" w:type="dxa"/>
            <w:tcBorders>
              <w:bottom w:val="single" w:sz="12" w:space="0" w:color="000000"/>
            </w:tcBorders>
          </w:tcPr>
          <w:p>
            <w:pPr>
              <w:pStyle w:val="TableParagraph"/>
              <w:spacing w:line="174" w:lineRule="exact"/>
              <w:ind w:left="193"/>
              <w:jc w:val="left"/>
              <w:rPr>
                <w:sz w:val="16"/>
              </w:rPr>
            </w:pPr>
            <w:r>
              <w:rPr>
                <w:spacing w:val="-2"/>
                <w:sz w:val="16"/>
              </w:rPr>
              <w:t>Cont.</w:t>
            </w:r>
          </w:p>
          <w:p>
            <w:pPr>
              <w:pStyle w:val="TableParagraph"/>
              <w:spacing w:line="162" w:lineRule="exact" w:before="3"/>
              <w:ind w:left="203"/>
              <w:jc w:val="left"/>
              <w:rPr>
                <w:sz w:val="16"/>
              </w:rPr>
            </w:pPr>
            <w:r>
              <w:rPr>
                <w:spacing w:val="-4"/>
                <w:sz w:val="16"/>
              </w:rPr>
              <w:t>Fund</w:t>
            </w:r>
          </w:p>
        </w:tc>
        <w:tc>
          <w:tcPr>
            <w:tcW w:w="1133" w:type="dxa"/>
            <w:tcBorders>
              <w:bottom w:val="single" w:sz="12" w:space="0" w:color="000000"/>
            </w:tcBorders>
          </w:tcPr>
          <w:p>
            <w:pPr>
              <w:pStyle w:val="TableParagraph"/>
              <w:spacing w:before="4"/>
              <w:jc w:val="left"/>
              <w:rPr>
                <w:sz w:val="15"/>
              </w:rPr>
            </w:pPr>
          </w:p>
          <w:p>
            <w:pPr>
              <w:pStyle w:val="TableParagraph"/>
              <w:spacing w:line="162" w:lineRule="exact" w:before="1"/>
              <w:ind w:right="121"/>
              <w:rPr>
                <w:sz w:val="16"/>
              </w:rPr>
            </w:pPr>
            <w:r>
              <w:rPr>
                <w:sz w:val="16"/>
              </w:rPr>
              <w:t>Total</w:t>
            </w:r>
            <w:r>
              <w:rPr>
                <w:spacing w:val="-7"/>
                <w:sz w:val="16"/>
              </w:rPr>
              <w:t> </w:t>
            </w:r>
            <w:r>
              <w:rPr>
                <w:sz w:val="16"/>
              </w:rPr>
              <w:t>Incl.</w:t>
            </w:r>
            <w:r>
              <w:rPr>
                <w:spacing w:val="-6"/>
                <w:sz w:val="16"/>
              </w:rPr>
              <w:t> </w:t>
            </w:r>
            <w:r>
              <w:rPr>
                <w:spacing w:val="-5"/>
                <w:sz w:val="16"/>
              </w:rPr>
              <w:t>CF</w:t>
            </w:r>
          </w:p>
        </w:tc>
        <w:tc>
          <w:tcPr>
            <w:tcW w:w="1078" w:type="dxa"/>
            <w:vMerge/>
            <w:tcBorders>
              <w:top w:val="nil"/>
              <w:bottom w:val="single" w:sz="12" w:space="0" w:color="000000"/>
            </w:tcBorders>
          </w:tcPr>
          <w:p>
            <w:pPr>
              <w:rPr>
                <w:sz w:val="2"/>
                <w:szCs w:val="2"/>
              </w:rPr>
            </w:pPr>
          </w:p>
        </w:tc>
        <w:tc>
          <w:tcPr>
            <w:tcW w:w="1122" w:type="dxa"/>
            <w:tcBorders>
              <w:bottom w:val="single" w:sz="12" w:space="0" w:color="000000"/>
            </w:tcBorders>
          </w:tcPr>
          <w:p>
            <w:pPr>
              <w:pStyle w:val="TableParagraph"/>
              <w:spacing w:before="4"/>
              <w:jc w:val="left"/>
              <w:rPr>
                <w:sz w:val="15"/>
              </w:rPr>
            </w:pPr>
          </w:p>
          <w:p>
            <w:pPr>
              <w:pStyle w:val="TableParagraph"/>
              <w:spacing w:line="162" w:lineRule="exact" w:before="1"/>
              <w:ind w:right="180"/>
              <w:rPr>
                <w:sz w:val="16"/>
              </w:rPr>
            </w:pPr>
            <w:r>
              <w:rPr>
                <w:spacing w:val="-2"/>
                <w:sz w:val="16"/>
              </w:rPr>
              <w:t>Amount</w:t>
            </w:r>
          </w:p>
        </w:tc>
        <w:tc>
          <w:tcPr>
            <w:tcW w:w="753" w:type="dxa"/>
            <w:tcBorders>
              <w:bottom w:val="single" w:sz="12" w:space="0" w:color="000000"/>
            </w:tcBorders>
          </w:tcPr>
          <w:p>
            <w:pPr>
              <w:pStyle w:val="TableParagraph"/>
              <w:spacing w:before="4"/>
              <w:jc w:val="left"/>
              <w:rPr>
                <w:sz w:val="15"/>
              </w:rPr>
            </w:pPr>
          </w:p>
          <w:p>
            <w:pPr>
              <w:pStyle w:val="TableParagraph"/>
              <w:spacing w:line="162" w:lineRule="exact" w:before="1"/>
              <w:ind w:right="177"/>
              <w:rPr>
                <w:sz w:val="16"/>
              </w:rPr>
            </w:pPr>
            <w:r>
              <w:rPr>
                <w:w w:val="98"/>
                <w:sz w:val="16"/>
              </w:rPr>
              <w:t>%</w:t>
            </w:r>
          </w:p>
        </w:tc>
        <w:tc>
          <w:tcPr>
            <w:tcW w:w="1053" w:type="dxa"/>
            <w:tcBorders>
              <w:bottom w:val="single" w:sz="12" w:space="0" w:color="000000"/>
            </w:tcBorders>
          </w:tcPr>
          <w:p>
            <w:pPr>
              <w:pStyle w:val="TableParagraph"/>
              <w:spacing w:line="174" w:lineRule="exact"/>
              <w:ind w:left="56" w:right="134"/>
              <w:jc w:val="center"/>
              <w:rPr>
                <w:sz w:val="16"/>
              </w:rPr>
            </w:pPr>
            <w:r>
              <w:rPr>
                <w:spacing w:val="-2"/>
                <w:sz w:val="16"/>
              </w:rPr>
              <w:t>Proposed</w:t>
            </w:r>
          </w:p>
          <w:p>
            <w:pPr>
              <w:pStyle w:val="TableParagraph"/>
              <w:spacing w:line="162" w:lineRule="exact" w:before="3"/>
              <w:ind w:left="64" w:right="134"/>
              <w:jc w:val="center"/>
              <w:rPr>
                <w:sz w:val="16"/>
              </w:rPr>
            </w:pPr>
            <w:r>
              <w:rPr>
                <w:sz w:val="16"/>
              </w:rPr>
              <w:t>2023</w:t>
            </w:r>
            <w:r>
              <w:rPr>
                <w:spacing w:val="2"/>
                <w:sz w:val="16"/>
              </w:rPr>
              <w:t> </w:t>
            </w:r>
            <w:r>
              <w:rPr>
                <w:spacing w:val="-2"/>
                <w:sz w:val="16"/>
              </w:rPr>
              <w:t>Budget</w:t>
            </w:r>
          </w:p>
        </w:tc>
      </w:tr>
      <w:tr>
        <w:trPr>
          <w:trHeight w:val="231" w:hRule="atLeast"/>
        </w:trPr>
        <w:tc>
          <w:tcPr>
            <w:tcW w:w="2461" w:type="dxa"/>
            <w:tcBorders>
              <w:top w:val="single" w:sz="12" w:space="0" w:color="000000"/>
            </w:tcBorders>
          </w:tcPr>
          <w:p>
            <w:pPr>
              <w:pStyle w:val="TableParagraph"/>
              <w:spacing w:before="23"/>
              <w:ind w:left="117"/>
              <w:jc w:val="left"/>
              <w:rPr>
                <w:sz w:val="16"/>
              </w:rPr>
            </w:pPr>
            <w:r>
              <w:rPr>
                <w:w w:val="95"/>
                <w:sz w:val="16"/>
              </w:rPr>
              <w:t>Professional</w:t>
            </w:r>
            <w:r>
              <w:rPr>
                <w:spacing w:val="28"/>
                <w:sz w:val="16"/>
              </w:rPr>
              <w:t> </w:t>
            </w:r>
            <w:r>
              <w:rPr>
                <w:spacing w:val="-2"/>
                <w:sz w:val="16"/>
              </w:rPr>
              <w:t>staff</w:t>
            </w:r>
          </w:p>
        </w:tc>
        <w:tc>
          <w:tcPr>
            <w:tcW w:w="1218" w:type="dxa"/>
            <w:tcBorders>
              <w:top w:val="single" w:sz="12" w:space="0" w:color="000000"/>
            </w:tcBorders>
            <w:shd w:val="clear" w:color="auto" w:fill="D9D9D9"/>
          </w:tcPr>
          <w:p>
            <w:pPr>
              <w:pStyle w:val="TableParagraph"/>
              <w:jc w:val="left"/>
              <w:rPr>
                <w:sz w:val="14"/>
              </w:rPr>
            </w:pPr>
          </w:p>
        </w:tc>
        <w:tc>
          <w:tcPr>
            <w:tcW w:w="827" w:type="dxa"/>
            <w:tcBorders>
              <w:top w:val="single" w:sz="12" w:space="0" w:color="000000"/>
            </w:tcBorders>
            <w:shd w:val="clear" w:color="auto" w:fill="D9D9D9"/>
          </w:tcPr>
          <w:p>
            <w:pPr>
              <w:pStyle w:val="TableParagraph"/>
              <w:jc w:val="left"/>
              <w:rPr>
                <w:sz w:val="14"/>
              </w:rPr>
            </w:pPr>
          </w:p>
        </w:tc>
        <w:tc>
          <w:tcPr>
            <w:tcW w:w="1133" w:type="dxa"/>
            <w:tcBorders>
              <w:top w:val="single" w:sz="12" w:space="0" w:color="000000"/>
            </w:tcBorders>
            <w:shd w:val="clear" w:color="auto" w:fill="D9D9D9"/>
          </w:tcPr>
          <w:p>
            <w:pPr>
              <w:pStyle w:val="TableParagraph"/>
              <w:jc w:val="left"/>
              <w:rPr>
                <w:sz w:val="14"/>
              </w:rPr>
            </w:pPr>
          </w:p>
        </w:tc>
        <w:tc>
          <w:tcPr>
            <w:tcW w:w="1078" w:type="dxa"/>
            <w:tcBorders>
              <w:top w:val="single" w:sz="12" w:space="0" w:color="000000"/>
            </w:tcBorders>
          </w:tcPr>
          <w:p>
            <w:pPr>
              <w:pStyle w:val="TableParagraph"/>
              <w:spacing w:before="23"/>
              <w:ind w:right="50"/>
              <w:rPr>
                <w:sz w:val="16"/>
              </w:rPr>
            </w:pPr>
            <w:r>
              <w:rPr>
                <w:spacing w:val="-2"/>
                <w:sz w:val="16"/>
              </w:rPr>
              <w:t>799.3</w:t>
            </w:r>
          </w:p>
        </w:tc>
        <w:tc>
          <w:tcPr>
            <w:tcW w:w="1122" w:type="dxa"/>
            <w:tcBorders>
              <w:top w:val="single" w:sz="12" w:space="0" w:color="000000"/>
            </w:tcBorders>
          </w:tcPr>
          <w:p>
            <w:pPr>
              <w:pStyle w:val="TableParagraph"/>
              <w:spacing w:before="23"/>
              <w:ind w:right="183"/>
              <w:rPr>
                <w:sz w:val="16"/>
              </w:rPr>
            </w:pPr>
            <w:r>
              <w:rPr>
                <w:spacing w:val="-2"/>
                <w:sz w:val="16"/>
              </w:rPr>
              <w:t>166.8</w:t>
            </w:r>
          </w:p>
        </w:tc>
        <w:tc>
          <w:tcPr>
            <w:tcW w:w="753" w:type="dxa"/>
            <w:tcBorders>
              <w:top w:val="single" w:sz="12" w:space="0" w:color="000000"/>
            </w:tcBorders>
          </w:tcPr>
          <w:p>
            <w:pPr>
              <w:pStyle w:val="TableParagraph"/>
              <w:spacing w:before="23"/>
              <w:ind w:right="172"/>
              <w:rPr>
                <w:sz w:val="16"/>
              </w:rPr>
            </w:pPr>
            <w:r>
              <w:rPr>
                <w:spacing w:val="-4"/>
                <w:sz w:val="16"/>
              </w:rPr>
              <w:t>20.9</w:t>
            </w:r>
          </w:p>
        </w:tc>
        <w:tc>
          <w:tcPr>
            <w:tcW w:w="1053" w:type="dxa"/>
            <w:tcBorders>
              <w:top w:val="single" w:sz="12" w:space="0" w:color="000000"/>
            </w:tcBorders>
          </w:tcPr>
          <w:p>
            <w:pPr>
              <w:pStyle w:val="TableParagraph"/>
              <w:spacing w:before="23"/>
              <w:ind w:right="102"/>
              <w:rPr>
                <w:sz w:val="16"/>
              </w:rPr>
            </w:pPr>
            <w:r>
              <w:rPr>
                <w:spacing w:val="-2"/>
                <w:sz w:val="16"/>
              </w:rPr>
              <w:t>966.1</w:t>
            </w:r>
          </w:p>
        </w:tc>
      </w:tr>
      <w:tr>
        <w:trPr>
          <w:trHeight w:val="223" w:hRule="atLeast"/>
        </w:trPr>
        <w:tc>
          <w:tcPr>
            <w:tcW w:w="2461" w:type="dxa"/>
            <w:tcBorders>
              <w:bottom w:val="single" w:sz="4" w:space="0" w:color="000000"/>
            </w:tcBorders>
          </w:tcPr>
          <w:p>
            <w:pPr>
              <w:pStyle w:val="TableParagraph"/>
              <w:spacing w:before="17"/>
              <w:ind w:left="117"/>
              <w:jc w:val="left"/>
              <w:rPr>
                <w:sz w:val="16"/>
              </w:rPr>
            </w:pPr>
            <w:r>
              <w:rPr>
                <w:sz w:val="16"/>
              </w:rPr>
              <w:t>General</w:t>
            </w:r>
            <w:r>
              <w:rPr>
                <w:spacing w:val="-6"/>
                <w:sz w:val="16"/>
              </w:rPr>
              <w:t> </w:t>
            </w:r>
            <w:r>
              <w:rPr>
                <w:sz w:val="16"/>
              </w:rPr>
              <w:t>Service</w:t>
            </w:r>
            <w:r>
              <w:rPr>
                <w:spacing w:val="-4"/>
                <w:sz w:val="16"/>
              </w:rPr>
              <w:t> staff</w:t>
            </w:r>
          </w:p>
        </w:tc>
        <w:tc>
          <w:tcPr>
            <w:tcW w:w="1218" w:type="dxa"/>
            <w:tcBorders>
              <w:bottom w:val="single" w:sz="4" w:space="0" w:color="000000"/>
            </w:tcBorders>
            <w:shd w:val="clear" w:color="auto" w:fill="D9D9D9"/>
          </w:tcPr>
          <w:p>
            <w:pPr>
              <w:pStyle w:val="TableParagraph"/>
              <w:jc w:val="left"/>
              <w:rPr>
                <w:sz w:val="14"/>
              </w:rPr>
            </w:pPr>
          </w:p>
        </w:tc>
        <w:tc>
          <w:tcPr>
            <w:tcW w:w="827" w:type="dxa"/>
            <w:tcBorders>
              <w:bottom w:val="single" w:sz="4" w:space="0" w:color="000000"/>
            </w:tcBorders>
            <w:shd w:val="clear" w:color="auto" w:fill="D9D9D9"/>
          </w:tcPr>
          <w:p>
            <w:pPr>
              <w:pStyle w:val="TableParagraph"/>
              <w:jc w:val="left"/>
              <w:rPr>
                <w:sz w:val="14"/>
              </w:rPr>
            </w:pPr>
          </w:p>
        </w:tc>
        <w:tc>
          <w:tcPr>
            <w:tcW w:w="1133" w:type="dxa"/>
            <w:tcBorders>
              <w:bottom w:val="single" w:sz="4" w:space="0" w:color="000000"/>
            </w:tcBorders>
            <w:shd w:val="clear" w:color="auto" w:fill="D9D9D9"/>
          </w:tcPr>
          <w:p>
            <w:pPr>
              <w:pStyle w:val="TableParagraph"/>
              <w:jc w:val="left"/>
              <w:rPr>
                <w:sz w:val="14"/>
              </w:rPr>
            </w:pPr>
          </w:p>
        </w:tc>
        <w:tc>
          <w:tcPr>
            <w:tcW w:w="1078" w:type="dxa"/>
            <w:tcBorders>
              <w:bottom w:val="single" w:sz="4" w:space="0" w:color="000000"/>
            </w:tcBorders>
          </w:tcPr>
          <w:p>
            <w:pPr>
              <w:pStyle w:val="TableParagraph"/>
              <w:spacing w:before="17"/>
              <w:ind w:right="50"/>
              <w:rPr>
                <w:sz w:val="16"/>
              </w:rPr>
            </w:pPr>
            <w:r>
              <w:rPr>
                <w:spacing w:val="-2"/>
                <w:sz w:val="16"/>
              </w:rPr>
              <w:t>331.3</w:t>
            </w:r>
          </w:p>
        </w:tc>
        <w:tc>
          <w:tcPr>
            <w:tcW w:w="1122" w:type="dxa"/>
            <w:tcBorders>
              <w:bottom w:val="single" w:sz="4" w:space="0" w:color="000000"/>
            </w:tcBorders>
          </w:tcPr>
          <w:p>
            <w:pPr>
              <w:pStyle w:val="TableParagraph"/>
              <w:spacing w:before="17"/>
              <w:ind w:right="187"/>
              <w:rPr>
                <w:sz w:val="16"/>
              </w:rPr>
            </w:pPr>
            <w:r>
              <w:rPr>
                <w:spacing w:val="-5"/>
                <w:sz w:val="16"/>
              </w:rPr>
              <w:t>6.9</w:t>
            </w:r>
          </w:p>
        </w:tc>
        <w:tc>
          <w:tcPr>
            <w:tcW w:w="753" w:type="dxa"/>
            <w:tcBorders>
              <w:bottom w:val="single" w:sz="4" w:space="0" w:color="000000"/>
            </w:tcBorders>
          </w:tcPr>
          <w:p>
            <w:pPr>
              <w:pStyle w:val="TableParagraph"/>
              <w:spacing w:before="17"/>
              <w:ind w:right="177"/>
              <w:rPr>
                <w:sz w:val="16"/>
              </w:rPr>
            </w:pPr>
            <w:r>
              <w:rPr>
                <w:spacing w:val="-5"/>
                <w:sz w:val="16"/>
              </w:rPr>
              <w:t>2.1</w:t>
            </w:r>
          </w:p>
        </w:tc>
        <w:tc>
          <w:tcPr>
            <w:tcW w:w="1053" w:type="dxa"/>
            <w:tcBorders>
              <w:bottom w:val="single" w:sz="4" w:space="0" w:color="000000"/>
            </w:tcBorders>
          </w:tcPr>
          <w:p>
            <w:pPr>
              <w:pStyle w:val="TableParagraph"/>
              <w:spacing w:before="17"/>
              <w:ind w:right="102"/>
              <w:rPr>
                <w:sz w:val="16"/>
              </w:rPr>
            </w:pPr>
            <w:r>
              <w:rPr>
                <w:spacing w:val="-2"/>
                <w:sz w:val="16"/>
              </w:rPr>
              <w:t>338.2</w:t>
            </w:r>
          </w:p>
        </w:tc>
      </w:tr>
      <w:tr>
        <w:trPr>
          <w:trHeight w:val="225" w:hRule="atLeast"/>
        </w:trPr>
        <w:tc>
          <w:tcPr>
            <w:tcW w:w="2461" w:type="dxa"/>
            <w:tcBorders>
              <w:top w:val="single" w:sz="4" w:space="0" w:color="000000"/>
              <w:bottom w:val="single" w:sz="4" w:space="0" w:color="000000"/>
            </w:tcBorders>
          </w:tcPr>
          <w:p>
            <w:pPr>
              <w:pStyle w:val="TableParagraph"/>
              <w:spacing w:before="18"/>
              <w:ind w:right="104"/>
              <w:rPr>
                <w:i/>
                <w:sz w:val="16"/>
              </w:rPr>
            </w:pPr>
            <w:r>
              <w:rPr>
                <w:i/>
                <w:sz w:val="16"/>
              </w:rPr>
              <w:t>Subtotal</w:t>
            </w:r>
            <w:r>
              <w:rPr>
                <w:i/>
                <w:spacing w:val="-1"/>
                <w:sz w:val="16"/>
              </w:rPr>
              <w:t> </w:t>
            </w:r>
            <w:r>
              <w:rPr>
                <w:i/>
                <w:spacing w:val="-2"/>
                <w:sz w:val="16"/>
              </w:rPr>
              <w:t>staff</w:t>
            </w:r>
          </w:p>
        </w:tc>
        <w:tc>
          <w:tcPr>
            <w:tcW w:w="1218" w:type="dxa"/>
            <w:tcBorders>
              <w:top w:val="single" w:sz="4" w:space="0" w:color="000000"/>
              <w:bottom w:val="single" w:sz="4" w:space="0" w:color="000000"/>
            </w:tcBorders>
          </w:tcPr>
          <w:p>
            <w:pPr>
              <w:pStyle w:val="TableParagraph"/>
              <w:spacing w:before="18"/>
              <w:ind w:right="192"/>
              <w:rPr>
                <w:i/>
                <w:sz w:val="16"/>
              </w:rPr>
            </w:pPr>
            <w:r>
              <w:rPr>
                <w:i/>
                <w:spacing w:val="-2"/>
                <w:sz w:val="16"/>
              </w:rPr>
              <w:t>1,108.6</w:t>
            </w:r>
          </w:p>
        </w:tc>
        <w:tc>
          <w:tcPr>
            <w:tcW w:w="827" w:type="dxa"/>
            <w:tcBorders>
              <w:top w:val="single" w:sz="4" w:space="0" w:color="000000"/>
              <w:bottom w:val="single" w:sz="4" w:space="0" w:color="000000"/>
            </w:tcBorders>
          </w:tcPr>
          <w:p>
            <w:pPr>
              <w:pStyle w:val="TableParagraph"/>
              <w:spacing w:before="18"/>
              <w:ind w:right="107"/>
              <w:rPr>
                <w:i/>
                <w:sz w:val="16"/>
              </w:rPr>
            </w:pPr>
            <w:r>
              <w:rPr>
                <w:i/>
                <w:w w:val="98"/>
                <w:sz w:val="16"/>
              </w:rPr>
              <w:t>-</w:t>
            </w:r>
          </w:p>
        </w:tc>
        <w:tc>
          <w:tcPr>
            <w:tcW w:w="1133" w:type="dxa"/>
            <w:tcBorders>
              <w:top w:val="single" w:sz="4" w:space="0" w:color="000000"/>
              <w:bottom w:val="single" w:sz="4" w:space="0" w:color="000000"/>
            </w:tcBorders>
          </w:tcPr>
          <w:p>
            <w:pPr>
              <w:pStyle w:val="TableParagraph"/>
              <w:spacing w:before="18"/>
              <w:ind w:right="106"/>
              <w:rPr>
                <w:i/>
                <w:sz w:val="16"/>
              </w:rPr>
            </w:pPr>
            <w:r>
              <w:rPr>
                <w:i/>
                <w:spacing w:val="-2"/>
                <w:sz w:val="16"/>
              </w:rPr>
              <w:t>1,108.6</w:t>
            </w:r>
          </w:p>
        </w:tc>
        <w:tc>
          <w:tcPr>
            <w:tcW w:w="1078" w:type="dxa"/>
            <w:tcBorders>
              <w:top w:val="single" w:sz="4" w:space="0" w:color="000000"/>
              <w:bottom w:val="single" w:sz="4" w:space="0" w:color="000000"/>
            </w:tcBorders>
          </w:tcPr>
          <w:p>
            <w:pPr>
              <w:pStyle w:val="TableParagraph"/>
              <w:spacing w:before="18"/>
              <w:ind w:right="51"/>
              <w:rPr>
                <w:i/>
                <w:sz w:val="16"/>
              </w:rPr>
            </w:pPr>
            <w:r>
              <w:rPr>
                <w:i/>
                <w:spacing w:val="-2"/>
                <w:sz w:val="16"/>
              </w:rPr>
              <w:t>1,130.6</w:t>
            </w:r>
          </w:p>
        </w:tc>
        <w:tc>
          <w:tcPr>
            <w:tcW w:w="1122" w:type="dxa"/>
            <w:tcBorders>
              <w:top w:val="single" w:sz="4" w:space="0" w:color="000000"/>
              <w:bottom w:val="single" w:sz="4" w:space="0" w:color="000000"/>
            </w:tcBorders>
          </w:tcPr>
          <w:p>
            <w:pPr>
              <w:pStyle w:val="TableParagraph"/>
              <w:spacing w:before="18"/>
              <w:ind w:right="183"/>
              <w:rPr>
                <w:i/>
                <w:sz w:val="16"/>
              </w:rPr>
            </w:pPr>
            <w:r>
              <w:rPr>
                <w:i/>
                <w:spacing w:val="-2"/>
                <w:sz w:val="16"/>
              </w:rPr>
              <w:t>173.7</w:t>
            </w:r>
          </w:p>
        </w:tc>
        <w:tc>
          <w:tcPr>
            <w:tcW w:w="753" w:type="dxa"/>
            <w:tcBorders>
              <w:top w:val="single" w:sz="4" w:space="0" w:color="000000"/>
              <w:bottom w:val="single" w:sz="4" w:space="0" w:color="000000"/>
            </w:tcBorders>
          </w:tcPr>
          <w:p>
            <w:pPr>
              <w:pStyle w:val="TableParagraph"/>
              <w:spacing w:before="18"/>
              <w:ind w:right="172"/>
              <w:rPr>
                <w:i/>
                <w:sz w:val="16"/>
              </w:rPr>
            </w:pPr>
            <w:r>
              <w:rPr>
                <w:i/>
                <w:spacing w:val="-4"/>
                <w:sz w:val="16"/>
              </w:rPr>
              <w:t>15.4</w:t>
            </w:r>
          </w:p>
        </w:tc>
        <w:tc>
          <w:tcPr>
            <w:tcW w:w="1053" w:type="dxa"/>
            <w:tcBorders>
              <w:top w:val="single" w:sz="4" w:space="0" w:color="000000"/>
              <w:bottom w:val="single" w:sz="4" w:space="0" w:color="000000"/>
            </w:tcBorders>
          </w:tcPr>
          <w:p>
            <w:pPr>
              <w:pStyle w:val="TableParagraph"/>
              <w:spacing w:before="18"/>
              <w:ind w:right="102"/>
              <w:rPr>
                <w:i/>
                <w:sz w:val="16"/>
              </w:rPr>
            </w:pPr>
            <w:r>
              <w:rPr>
                <w:i/>
                <w:spacing w:val="-2"/>
                <w:sz w:val="16"/>
              </w:rPr>
              <w:t>1,304.3</w:t>
            </w:r>
          </w:p>
        </w:tc>
      </w:tr>
      <w:tr>
        <w:trPr>
          <w:trHeight w:val="231" w:hRule="atLeast"/>
        </w:trPr>
        <w:tc>
          <w:tcPr>
            <w:tcW w:w="2461" w:type="dxa"/>
            <w:tcBorders>
              <w:top w:val="single" w:sz="4" w:space="0" w:color="000000"/>
            </w:tcBorders>
          </w:tcPr>
          <w:p>
            <w:pPr>
              <w:pStyle w:val="TableParagraph"/>
              <w:spacing w:before="23"/>
              <w:ind w:left="117"/>
              <w:jc w:val="left"/>
              <w:rPr>
                <w:sz w:val="16"/>
              </w:rPr>
            </w:pPr>
            <w:r>
              <w:rPr>
                <w:sz w:val="16"/>
              </w:rPr>
              <w:t>General</w:t>
            </w:r>
            <w:r>
              <w:rPr>
                <w:spacing w:val="-4"/>
                <w:sz w:val="16"/>
              </w:rPr>
              <w:t> </w:t>
            </w:r>
            <w:r>
              <w:rPr>
                <w:sz w:val="16"/>
              </w:rPr>
              <w:t>temporary</w:t>
            </w:r>
            <w:r>
              <w:rPr>
                <w:spacing w:val="-1"/>
                <w:sz w:val="16"/>
              </w:rPr>
              <w:t> </w:t>
            </w:r>
            <w:r>
              <w:rPr>
                <w:spacing w:val="-2"/>
                <w:sz w:val="16"/>
              </w:rPr>
              <w:t>assistance</w:t>
            </w:r>
          </w:p>
        </w:tc>
        <w:tc>
          <w:tcPr>
            <w:tcW w:w="1218" w:type="dxa"/>
            <w:tcBorders>
              <w:top w:val="single" w:sz="4" w:space="0" w:color="000000"/>
            </w:tcBorders>
          </w:tcPr>
          <w:p>
            <w:pPr>
              <w:pStyle w:val="TableParagraph"/>
              <w:spacing w:before="23"/>
              <w:ind w:right="191"/>
              <w:rPr>
                <w:sz w:val="16"/>
              </w:rPr>
            </w:pPr>
            <w:r>
              <w:rPr>
                <w:spacing w:val="-2"/>
                <w:sz w:val="16"/>
              </w:rPr>
              <w:t>411.3</w:t>
            </w:r>
          </w:p>
        </w:tc>
        <w:tc>
          <w:tcPr>
            <w:tcW w:w="827" w:type="dxa"/>
            <w:tcBorders>
              <w:top w:val="single" w:sz="4" w:space="0" w:color="000000"/>
            </w:tcBorders>
          </w:tcPr>
          <w:p>
            <w:pPr>
              <w:pStyle w:val="TableParagraph"/>
              <w:spacing w:before="23"/>
              <w:ind w:right="107"/>
              <w:rPr>
                <w:sz w:val="16"/>
              </w:rPr>
            </w:pPr>
            <w:r>
              <w:rPr>
                <w:w w:val="98"/>
                <w:sz w:val="16"/>
              </w:rPr>
              <w:t>-</w:t>
            </w:r>
          </w:p>
        </w:tc>
        <w:tc>
          <w:tcPr>
            <w:tcW w:w="1133" w:type="dxa"/>
            <w:tcBorders>
              <w:top w:val="single" w:sz="4" w:space="0" w:color="000000"/>
            </w:tcBorders>
          </w:tcPr>
          <w:p>
            <w:pPr>
              <w:pStyle w:val="TableParagraph"/>
              <w:spacing w:before="23"/>
              <w:ind w:right="106"/>
              <w:rPr>
                <w:sz w:val="16"/>
              </w:rPr>
            </w:pPr>
            <w:r>
              <w:rPr>
                <w:spacing w:val="-2"/>
                <w:sz w:val="16"/>
              </w:rPr>
              <w:t>411.3</w:t>
            </w:r>
          </w:p>
        </w:tc>
        <w:tc>
          <w:tcPr>
            <w:tcW w:w="1078" w:type="dxa"/>
            <w:tcBorders>
              <w:top w:val="single" w:sz="4" w:space="0" w:color="000000"/>
            </w:tcBorders>
          </w:tcPr>
          <w:p>
            <w:pPr>
              <w:pStyle w:val="TableParagraph"/>
              <w:spacing w:before="23"/>
              <w:ind w:right="50"/>
              <w:rPr>
                <w:sz w:val="16"/>
              </w:rPr>
            </w:pPr>
            <w:r>
              <w:rPr>
                <w:spacing w:val="-2"/>
                <w:sz w:val="16"/>
              </w:rPr>
              <w:t>552.5</w:t>
            </w:r>
          </w:p>
        </w:tc>
        <w:tc>
          <w:tcPr>
            <w:tcW w:w="1122" w:type="dxa"/>
            <w:tcBorders>
              <w:top w:val="single" w:sz="4" w:space="0" w:color="000000"/>
            </w:tcBorders>
          </w:tcPr>
          <w:p>
            <w:pPr>
              <w:pStyle w:val="TableParagraph"/>
              <w:spacing w:before="23"/>
              <w:ind w:right="183"/>
              <w:rPr>
                <w:sz w:val="16"/>
              </w:rPr>
            </w:pPr>
            <w:r>
              <w:rPr>
                <w:spacing w:val="-4"/>
                <w:sz w:val="16"/>
              </w:rPr>
              <w:t>24.2</w:t>
            </w:r>
          </w:p>
        </w:tc>
        <w:tc>
          <w:tcPr>
            <w:tcW w:w="753" w:type="dxa"/>
            <w:tcBorders>
              <w:top w:val="single" w:sz="4" w:space="0" w:color="000000"/>
            </w:tcBorders>
          </w:tcPr>
          <w:p>
            <w:pPr>
              <w:pStyle w:val="TableParagraph"/>
              <w:spacing w:before="23"/>
              <w:ind w:right="177"/>
              <w:rPr>
                <w:sz w:val="16"/>
              </w:rPr>
            </w:pPr>
            <w:r>
              <w:rPr>
                <w:spacing w:val="-5"/>
                <w:sz w:val="16"/>
              </w:rPr>
              <w:t>4.4</w:t>
            </w:r>
          </w:p>
        </w:tc>
        <w:tc>
          <w:tcPr>
            <w:tcW w:w="1053" w:type="dxa"/>
            <w:tcBorders>
              <w:top w:val="single" w:sz="4" w:space="0" w:color="000000"/>
            </w:tcBorders>
          </w:tcPr>
          <w:p>
            <w:pPr>
              <w:pStyle w:val="TableParagraph"/>
              <w:spacing w:before="23"/>
              <w:ind w:right="102"/>
              <w:rPr>
                <w:sz w:val="16"/>
              </w:rPr>
            </w:pPr>
            <w:r>
              <w:rPr>
                <w:spacing w:val="-2"/>
                <w:sz w:val="16"/>
              </w:rPr>
              <w:t>576.7</w:t>
            </w:r>
          </w:p>
        </w:tc>
      </w:tr>
      <w:tr>
        <w:trPr>
          <w:trHeight w:val="225" w:hRule="atLeast"/>
        </w:trPr>
        <w:tc>
          <w:tcPr>
            <w:tcW w:w="2461" w:type="dxa"/>
          </w:tcPr>
          <w:p>
            <w:pPr>
              <w:pStyle w:val="TableParagraph"/>
              <w:spacing w:before="17"/>
              <w:ind w:left="117"/>
              <w:jc w:val="left"/>
              <w:rPr>
                <w:sz w:val="16"/>
              </w:rPr>
            </w:pPr>
            <w:r>
              <w:rPr>
                <w:sz w:val="16"/>
              </w:rPr>
              <w:t>Temporary</w:t>
            </w:r>
            <w:r>
              <w:rPr>
                <w:spacing w:val="-3"/>
                <w:sz w:val="16"/>
              </w:rPr>
              <w:t> </w:t>
            </w:r>
            <w:r>
              <w:rPr>
                <w:sz w:val="16"/>
              </w:rPr>
              <w:t>assistance</w:t>
            </w:r>
            <w:r>
              <w:rPr>
                <w:spacing w:val="-4"/>
                <w:sz w:val="16"/>
              </w:rPr>
              <w:t> </w:t>
            </w:r>
            <w:r>
              <w:rPr>
                <w:sz w:val="16"/>
              </w:rPr>
              <w:t>for</w:t>
            </w:r>
            <w:r>
              <w:rPr>
                <w:spacing w:val="-2"/>
                <w:sz w:val="16"/>
              </w:rPr>
              <w:t> meetings</w:t>
            </w:r>
          </w:p>
        </w:tc>
        <w:tc>
          <w:tcPr>
            <w:tcW w:w="1218" w:type="dxa"/>
          </w:tcPr>
          <w:p>
            <w:pPr>
              <w:pStyle w:val="TableParagraph"/>
              <w:spacing w:before="17"/>
              <w:ind w:right="191"/>
              <w:rPr>
                <w:sz w:val="16"/>
              </w:rPr>
            </w:pPr>
            <w:r>
              <w:rPr>
                <w:spacing w:val="-2"/>
                <w:sz w:val="16"/>
              </w:rPr>
              <w:t>150.4</w:t>
            </w:r>
          </w:p>
        </w:tc>
        <w:tc>
          <w:tcPr>
            <w:tcW w:w="827" w:type="dxa"/>
          </w:tcPr>
          <w:p>
            <w:pPr>
              <w:pStyle w:val="TableParagraph"/>
              <w:spacing w:before="17"/>
              <w:ind w:right="107"/>
              <w:rPr>
                <w:sz w:val="16"/>
              </w:rPr>
            </w:pPr>
            <w:r>
              <w:rPr>
                <w:w w:val="98"/>
                <w:sz w:val="16"/>
              </w:rPr>
              <w:t>-</w:t>
            </w:r>
          </w:p>
        </w:tc>
        <w:tc>
          <w:tcPr>
            <w:tcW w:w="1133" w:type="dxa"/>
          </w:tcPr>
          <w:p>
            <w:pPr>
              <w:pStyle w:val="TableParagraph"/>
              <w:spacing w:before="17"/>
              <w:ind w:right="106"/>
              <w:rPr>
                <w:sz w:val="16"/>
              </w:rPr>
            </w:pPr>
            <w:r>
              <w:rPr>
                <w:spacing w:val="-2"/>
                <w:sz w:val="16"/>
              </w:rPr>
              <w:t>150.4</w:t>
            </w:r>
          </w:p>
        </w:tc>
        <w:tc>
          <w:tcPr>
            <w:tcW w:w="1078" w:type="dxa"/>
          </w:tcPr>
          <w:p>
            <w:pPr>
              <w:pStyle w:val="TableParagraph"/>
              <w:spacing w:before="17"/>
              <w:ind w:right="50"/>
              <w:rPr>
                <w:sz w:val="16"/>
              </w:rPr>
            </w:pPr>
            <w:r>
              <w:rPr>
                <w:spacing w:val="-4"/>
                <w:sz w:val="16"/>
              </w:rPr>
              <w:t>70.0</w:t>
            </w:r>
          </w:p>
        </w:tc>
        <w:tc>
          <w:tcPr>
            <w:tcW w:w="1122" w:type="dxa"/>
          </w:tcPr>
          <w:p>
            <w:pPr>
              <w:pStyle w:val="TableParagraph"/>
              <w:spacing w:before="17"/>
              <w:ind w:right="185"/>
              <w:rPr>
                <w:sz w:val="16"/>
              </w:rPr>
            </w:pPr>
            <w:r>
              <w:rPr>
                <w:w w:val="98"/>
                <w:sz w:val="16"/>
              </w:rPr>
              <w:t>-</w:t>
            </w:r>
          </w:p>
        </w:tc>
        <w:tc>
          <w:tcPr>
            <w:tcW w:w="753" w:type="dxa"/>
          </w:tcPr>
          <w:p>
            <w:pPr>
              <w:pStyle w:val="TableParagraph"/>
              <w:spacing w:before="17"/>
              <w:ind w:right="174"/>
              <w:rPr>
                <w:sz w:val="16"/>
              </w:rPr>
            </w:pPr>
            <w:r>
              <w:rPr>
                <w:w w:val="98"/>
                <w:sz w:val="16"/>
              </w:rPr>
              <w:t>-</w:t>
            </w:r>
          </w:p>
        </w:tc>
        <w:tc>
          <w:tcPr>
            <w:tcW w:w="1053" w:type="dxa"/>
          </w:tcPr>
          <w:p>
            <w:pPr>
              <w:pStyle w:val="TableParagraph"/>
              <w:spacing w:before="17"/>
              <w:ind w:right="101"/>
              <w:rPr>
                <w:sz w:val="16"/>
              </w:rPr>
            </w:pPr>
            <w:r>
              <w:rPr>
                <w:spacing w:val="-4"/>
                <w:sz w:val="16"/>
              </w:rPr>
              <w:t>70.0</w:t>
            </w:r>
          </w:p>
        </w:tc>
      </w:tr>
      <w:tr>
        <w:trPr>
          <w:trHeight w:val="223" w:hRule="atLeast"/>
        </w:trPr>
        <w:tc>
          <w:tcPr>
            <w:tcW w:w="2461" w:type="dxa"/>
            <w:tcBorders>
              <w:bottom w:val="single" w:sz="4" w:space="0" w:color="000000"/>
            </w:tcBorders>
          </w:tcPr>
          <w:p>
            <w:pPr>
              <w:pStyle w:val="TableParagraph"/>
              <w:spacing w:before="17"/>
              <w:ind w:left="117"/>
              <w:jc w:val="left"/>
              <w:rPr>
                <w:sz w:val="16"/>
              </w:rPr>
            </w:pPr>
            <w:r>
              <w:rPr>
                <w:spacing w:val="-2"/>
                <w:sz w:val="16"/>
              </w:rPr>
              <w:t>Overtime</w:t>
            </w:r>
          </w:p>
        </w:tc>
        <w:tc>
          <w:tcPr>
            <w:tcW w:w="1218" w:type="dxa"/>
            <w:tcBorders>
              <w:bottom w:val="single" w:sz="4" w:space="0" w:color="000000"/>
            </w:tcBorders>
          </w:tcPr>
          <w:p>
            <w:pPr>
              <w:pStyle w:val="TableParagraph"/>
              <w:spacing w:before="17"/>
              <w:ind w:right="191"/>
              <w:rPr>
                <w:sz w:val="16"/>
              </w:rPr>
            </w:pPr>
            <w:r>
              <w:rPr>
                <w:spacing w:val="-4"/>
                <w:sz w:val="16"/>
              </w:rPr>
              <w:t>22.0</w:t>
            </w:r>
          </w:p>
        </w:tc>
        <w:tc>
          <w:tcPr>
            <w:tcW w:w="827" w:type="dxa"/>
            <w:tcBorders>
              <w:bottom w:val="single" w:sz="4" w:space="0" w:color="000000"/>
            </w:tcBorders>
          </w:tcPr>
          <w:p>
            <w:pPr>
              <w:pStyle w:val="TableParagraph"/>
              <w:spacing w:before="17"/>
              <w:ind w:right="107"/>
              <w:rPr>
                <w:sz w:val="16"/>
              </w:rPr>
            </w:pPr>
            <w:r>
              <w:rPr>
                <w:w w:val="98"/>
                <w:sz w:val="16"/>
              </w:rPr>
              <w:t>-</w:t>
            </w:r>
          </w:p>
        </w:tc>
        <w:tc>
          <w:tcPr>
            <w:tcW w:w="1133" w:type="dxa"/>
            <w:tcBorders>
              <w:bottom w:val="single" w:sz="4" w:space="0" w:color="000000"/>
            </w:tcBorders>
          </w:tcPr>
          <w:p>
            <w:pPr>
              <w:pStyle w:val="TableParagraph"/>
              <w:spacing w:before="17"/>
              <w:ind w:right="105"/>
              <w:rPr>
                <w:sz w:val="16"/>
              </w:rPr>
            </w:pPr>
            <w:r>
              <w:rPr>
                <w:spacing w:val="-4"/>
                <w:sz w:val="16"/>
              </w:rPr>
              <w:t>22.0</w:t>
            </w:r>
          </w:p>
        </w:tc>
        <w:tc>
          <w:tcPr>
            <w:tcW w:w="1078" w:type="dxa"/>
            <w:tcBorders>
              <w:bottom w:val="single" w:sz="4" w:space="0" w:color="000000"/>
            </w:tcBorders>
          </w:tcPr>
          <w:p>
            <w:pPr>
              <w:pStyle w:val="TableParagraph"/>
              <w:spacing w:before="17"/>
              <w:ind w:right="55"/>
              <w:rPr>
                <w:sz w:val="16"/>
              </w:rPr>
            </w:pPr>
            <w:r>
              <w:rPr>
                <w:spacing w:val="-5"/>
                <w:sz w:val="16"/>
              </w:rPr>
              <w:t>9.0</w:t>
            </w:r>
          </w:p>
        </w:tc>
        <w:tc>
          <w:tcPr>
            <w:tcW w:w="1122" w:type="dxa"/>
            <w:tcBorders>
              <w:bottom w:val="single" w:sz="4" w:space="0" w:color="000000"/>
            </w:tcBorders>
          </w:tcPr>
          <w:p>
            <w:pPr>
              <w:pStyle w:val="TableParagraph"/>
              <w:spacing w:before="17"/>
              <w:ind w:right="187"/>
              <w:rPr>
                <w:sz w:val="16"/>
              </w:rPr>
            </w:pPr>
            <w:r>
              <w:rPr>
                <w:spacing w:val="-5"/>
                <w:sz w:val="16"/>
              </w:rPr>
              <w:t>1.0</w:t>
            </w:r>
          </w:p>
        </w:tc>
        <w:tc>
          <w:tcPr>
            <w:tcW w:w="753" w:type="dxa"/>
            <w:tcBorders>
              <w:bottom w:val="single" w:sz="4" w:space="0" w:color="000000"/>
            </w:tcBorders>
          </w:tcPr>
          <w:p>
            <w:pPr>
              <w:pStyle w:val="TableParagraph"/>
              <w:spacing w:before="17"/>
              <w:ind w:right="172"/>
              <w:rPr>
                <w:sz w:val="16"/>
              </w:rPr>
            </w:pPr>
            <w:r>
              <w:rPr>
                <w:spacing w:val="-4"/>
                <w:sz w:val="16"/>
              </w:rPr>
              <w:t>11.1</w:t>
            </w:r>
          </w:p>
        </w:tc>
        <w:tc>
          <w:tcPr>
            <w:tcW w:w="1053" w:type="dxa"/>
            <w:tcBorders>
              <w:bottom w:val="single" w:sz="4" w:space="0" w:color="000000"/>
            </w:tcBorders>
          </w:tcPr>
          <w:p>
            <w:pPr>
              <w:pStyle w:val="TableParagraph"/>
              <w:spacing w:before="17"/>
              <w:ind w:right="101"/>
              <w:rPr>
                <w:sz w:val="16"/>
              </w:rPr>
            </w:pPr>
            <w:r>
              <w:rPr>
                <w:spacing w:val="-4"/>
                <w:sz w:val="16"/>
              </w:rPr>
              <w:t>10.0</w:t>
            </w:r>
          </w:p>
        </w:tc>
      </w:tr>
      <w:tr>
        <w:trPr>
          <w:trHeight w:val="230" w:hRule="atLeast"/>
        </w:trPr>
        <w:tc>
          <w:tcPr>
            <w:tcW w:w="2461" w:type="dxa"/>
            <w:tcBorders>
              <w:top w:val="single" w:sz="4" w:space="0" w:color="000000"/>
              <w:bottom w:val="single" w:sz="4" w:space="0" w:color="000000"/>
            </w:tcBorders>
          </w:tcPr>
          <w:p>
            <w:pPr>
              <w:pStyle w:val="TableParagraph"/>
              <w:spacing w:before="23"/>
              <w:ind w:right="105"/>
              <w:rPr>
                <w:i/>
                <w:sz w:val="16"/>
              </w:rPr>
            </w:pPr>
            <w:r>
              <w:rPr>
                <w:i/>
                <w:sz w:val="16"/>
              </w:rPr>
              <w:t>Subtotal</w:t>
            </w:r>
            <w:r>
              <w:rPr>
                <w:i/>
                <w:spacing w:val="-2"/>
                <w:sz w:val="16"/>
              </w:rPr>
              <w:t> </w:t>
            </w:r>
            <w:r>
              <w:rPr>
                <w:i/>
                <w:sz w:val="16"/>
              </w:rPr>
              <w:t>other</w:t>
            </w:r>
            <w:r>
              <w:rPr>
                <w:i/>
                <w:spacing w:val="-1"/>
                <w:sz w:val="16"/>
              </w:rPr>
              <w:t> </w:t>
            </w:r>
            <w:r>
              <w:rPr>
                <w:i/>
                <w:spacing w:val="-2"/>
                <w:sz w:val="16"/>
              </w:rPr>
              <w:t>staff</w:t>
            </w:r>
          </w:p>
        </w:tc>
        <w:tc>
          <w:tcPr>
            <w:tcW w:w="1218" w:type="dxa"/>
            <w:tcBorders>
              <w:top w:val="single" w:sz="4" w:space="0" w:color="000000"/>
              <w:bottom w:val="single" w:sz="4" w:space="0" w:color="000000"/>
            </w:tcBorders>
          </w:tcPr>
          <w:p>
            <w:pPr>
              <w:pStyle w:val="TableParagraph"/>
              <w:spacing w:before="23"/>
              <w:ind w:right="191"/>
              <w:rPr>
                <w:i/>
                <w:sz w:val="16"/>
              </w:rPr>
            </w:pPr>
            <w:r>
              <w:rPr>
                <w:i/>
                <w:spacing w:val="-2"/>
                <w:sz w:val="16"/>
              </w:rPr>
              <w:t>583.6</w:t>
            </w:r>
          </w:p>
        </w:tc>
        <w:tc>
          <w:tcPr>
            <w:tcW w:w="827" w:type="dxa"/>
            <w:tcBorders>
              <w:top w:val="single" w:sz="4" w:space="0" w:color="000000"/>
              <w:bottom w:val="single" w:sz="4" w:space="0" w:color="000000"/>
            </w:tcBorders>
          </w:tcPr>
          <w:p>
            <w:pPr>
              <w:pStyle w:val="TableParagraph"/>
              <w:spacing w:before="23"/>
              <w:ind w:right="107"/>
              <w:rPr>
                <w:i/>
                <w:sz w:val="16"/>
              </w:rPr>
            </w:pPr>
            <w:r>
              <w:rPr>
                <w:i/>
                <w:w w:val="98"/>
                <w:sz w:val="16"/>
              </w:rPr>
              <w:t>-</w:t>
            </w:r>
          </w:p>
        </w:tc>
        <w:tc>
          <w:tcPr>
            <w:tcW w:w="1133" w:type="dxa"/>
            <w:tcBorders>
              <w:top w:val="single" w:sz="4" w:space="0" w:color="000000"/>
              <w:bottom w:val="single" w:sz="4" w:space="0" w:color="000000"/>
            </w:tcBorders>
          </w:tcPr>
          <w:p>
            <w:pPr>
              <w:pStyle w:val="TableParagraph"/>
              <w:spacing w:before="23"/>
              <w:ind w:right="106"/>
              <w:rPr>
                <w:i/>
                <w:sz w:val="16"/>
              </w:rPr>
            </w:pPr>
            <w:r>
              <w:rPr>
                <w:i/>
                <w:spacing w:val="-2"/>
                <w:sz w:val="16"/>
              </w:rPr>
              <w:t>583.6</w:t>
            </w:r>
          </w:p>
        </w:tc>
        <w:tc>
          <w:tcPr>
            <w:tcW w:w="1078" w:type="dxa"/>
            <w:tcBorders>
              <w:top w:val="single" w:sz="4" w:space="0" w:color="000000"/>
              <w:bottom w:val="single" w:sz="4" w:space="0" w:color="000000"/>
            </w:tcBorders>
          </w:tcPr>
          <w:p>
            <w:pPr>
              <w:pStyle w:val="TableParagraph"/>
              <w:spacing w:before="23"/>
              <w:ind w:right="50"/>
              <w:rPr>
                <w:i/>
                <w:sz w:val="16"/>
              </w:rPr>
            </w:pPr>
            <w:r>
              <w:rPr>
                <w:i/>
                <w:spacing w:val="-2"/>
                <w:sz w:val="16"/>
              </w:rPr>
              <w:t>631.5</w:t>
            </w:r>
          </w:p>
        </w:tc>
        <w:tc>
          <w:tcPr>
            <w:tcW w:w="1122" w:type="dxa"/>
            <w:tcBorders>
              <w:top w:val="single" w:sz="4" w:space="0" w:color="000000"/>
              <w:bottom w:val="single" w:sz="4" w:space="0" w:color="000000"/>
            </w:tcBorders>
          </w:tcPr>
          <w:p>
            <w:pPr>
              <w:pStyle w:val="TableParagraph"/>
              <w:spacing w:before="23"/>
              <w:ind w:right="183"/>
              <w:rPr>
                <w:i/>
                <w:sz w:val="16"/>
              </w:rPr>
            </w:pPr>
            <w:r>
              <w:rPr>
                <w:i/>
                <w:spacing w:val="-4"/>
                <w:sz w:val="16"/>
              </w:rPr>
              <w:t>25.2</w:t>
            </w:r>
          </w:p>
        </w:tc>
        <w:tc>
          <w:tcPr>
            <w:tcW w:w="753" w:type="dxa"/>
            <w:tcBorders>
              <w:top w:val="single" w:sz="4" w:space="0" w:color="000000"/>
              <w:bottom w:val="single" w:sz="4" w:space="0" w:color="000000"/>
            </w:tcBorders>
          </w:tcPr>
          <w:p>
            <w:pPr>
              <w:pStyle w:val="TableParagraph"/>
              <w:spacing w:before="23"/>
              <w:ind w:right="177"/>
              <w:rPr>
                <w:i/>
                <w:sz w:val="16"/>
              </w:rPr>
            </w:pPr>
            <w:r>
              <w:rPr>
                <w:i/>
                <w:spacing w:val="-5"/>
                <w:sz w:val="16"/>
              </w:rPr>
              <w:t>4.0</w:t>
            </w:r>
          </w:p>
        </w:tc>
        <w:tc>
          <w:tcPr>
            <w:tcW w:w="1053" w:type="dxa"/>
            <w:tcBorders>
              <w:top w:val="single" w:sz="4" w:space="0" w:color="000000"/>
              <w:bottom w:val="single" w:sz="4" w:space="0" w:color="000000"/>
            </w:tcBorders>
          </w:tcPr>
          <w:p>
            <w:pPr>
              <w:pStyle w:val="TableParagraph"/>
              <w:spacing w:before="23"/>
              <w:ind w:right="102"/>
              <w:rPr>
                <w:i/>
                <w:sz w:val="16"/>
              </w:rPr>
            </w:pPr>
            <w:r>
              <w:rPr>
                <w:i/>
                <w:spacing w:val="-2"/>
                <w:sz w:val="16"/>
              </w:rPr>
              <w:t>656.7</w:t>
            </w:r>
          </w:p>
        </w:tc>
      </w:tr>
      <w:tr>
        <w:trPr>
          <w:trHeight w:val="227" w:hRule="atLeast"/>
        </w:trPr>
        <w:tc>
          <w:tcPr>
            <w:tcW w:w="2461" w:type="dxa"/>
            <w:tcBorders>
              <w:top w:val="single" w:sz="4" w:space="0" w:color="000000"/>
            </w:tcBorders>
          </w:tcPr>
          <w:p>
            <w:pPr>
              <w:pStyle w:val="TableParagraph"/>
              <w:spacing w:before="18"/>
              <w:ind w:left="117"/>
              <w:jc w:val="left"/>
              <w:rPr>
                <w:sz w:val="16"/>
              </w:rPr>
            </w:pPr>
            <w:r>
              <w:rPr>
                <w:spacing w:val="-2"/>
                <w:sz w:val="16"/>
              </w:rPr>
              <w:t>Travel</w:t>
            </w:r>
          </w:p>
        </w:tc>
        <w:tc>
          <w:tcPr>
            <w:tcW w:w="1218" w:type="dxa"/>
            <w:tcBorders>
              <w:top w:val="single" w:sz="4" w:space="0" w:color="000000"/>
            </w:tcBorders>
          </w:tcPr>
          <w:p>
            <w:pPr>
              <w:pStyle w:val="TableParagraph"/>
              <w:spacing w:before="18"/>
              <w:ind w:right="191"/>
              <w:rPr>
                <w:sz w:val="16"/>
              </w:rPr>
            </w:pPr>
            <w:r>
              <w:rPr>
                <w:spacing w:val="-2"/>
                <w:sz w:val="16"/>
              </w:rPr>
              <w:t>143.8</w:t>
            </w:r>
          </w:p>
        </w:tc>
        <w:tc>
          <w:tcPr>
            <w:tcW w:w="827" w:type="dxa"/>
            <w:tcBorders>
              <w:top w:val="single" w:sz="4" w:space="0" w:color="000000"/>
            </w:tcBorders>
          </w:tcPr>
          <w:p>
            <w:pPr>
              <w:pStyle w:val="TableParagraph"/>
              <w:spacing w:before="18"/>
              <w:ind w:right="107"/>
              <w:rPr>
                <w:sz w:val="16"/>
              </w:rPr>
            </w:pPr>
            <w:r>
              <w:rPr>
                <w:w w:val="98"/>
                <w:sz w:val="16"/>
              </w:rPr>
              <w:t>-</w:t>
            </w:r>
          </w:p>
        </w:tc>
        <w:tc>
          <w:tcPr>
            <w:tcW w:w="1133" w:type="dxa"/>
            <w:tcBorders>
              <w:top w:val="single" w:sz="4" w:space="0" w:color="000000"/>
            </w:tcBorders>
          </w:tcPr>
          <w:p>
            <w:pPr>
              <w:pStyle w:val="TableParagraph"/>
              <w:spacing w:before="18"/>
              <w:ind w:right="106"/>
              <w:rPr>
                <w:sz w:val="16"/>
              </w:rPr>
            </w:pPr>
            <w:r>
              <w:rPr>
                <w:spacing w:val="-2"/>
                <w:sz w:val="16"/>
              </w:rPr>
              <w:t>143.8</w:t>
            </w:r>
          </w:p>
        </w:tc>
        <w:tc>
          <w:tcPr>
            <w:tcW w:w="1078" w:type="dxa"/>
            <w:tcBorders>
              <w:top w:val="single" w:sz="4" w:space="0" w:color="000000"/>
            </w:tcBorders>
          </w:tcPr>
          <w:p>
            <w:pPr>
              <w:pStyle w:val="TableParagraph"/>
              <w:spacing w:before="18"/>
              <w:ind w:right="50"/>
              <w:rPr>
                <w:sz w:val="16"/>
              </w:rPr>
            </w:pPr>
            <w:r>
              <w:rPr>
                <w:spacing w:val="-2"/>
                <w:sz w:val="16"/>
              </w:rPr>
              <w:t>427.8</w:t>
            </w:r>
          </w:p>
        </w:tc>
        <w:tc>
          <w:tcPr>
            <w:tcW w:w="1122" w:type="dxa"/>
            <w:tcBorders>
              <w:top w:val="single" w:sz="4" w:space="0" w:color="000000"/>
            </w:tcBorders>
          </w:tcPr>
          <w:p>
            <w:pPr>
              <w:pStyle w:val="TableParagraph"/>
              <w:spacing w:before="18"/>
              <w:ind w:right="183"/>
              <w:rPr>
                <w:sz w:val="16"/>
              </w:rPr>
            </w:pPr>
            <w:r>
              <w:rPr>
                <w:spacing w:val="-2"/>
                <w:sz w:val="16"/>
              </w:rPr>
              <w:t>164.1</w:t>
            </w:r>
          </w:p>
        </w:tc>
        <w:tc>
          <w:tcPr>
            <w:tcW w:w="753" w:type="dxa"/>
            <w:tcBorders>
              <w:top w:val="single" w:sz="4" w:space="0" w:color="000000"/>
            </w:tcBorders>
          </w:tcPr>
          <w:p>
            <w:pPr>
              <w:pStyle w:val="TableParagraph"/>
              <w:spacing w:before="18"/>
              <w:ind w:right="172"/>
              <w:rPr>
                <w:sz w:val="16"/>
              </w:rPr>
            </w:pPr>
            <w:r>
              <w:rPr>
                <w:spacing w:val="-4"/>
                <w:sz w:val="16"/>
              </w:rPr>
              <w:t>38.4</w:t>
            </w:r>
          </w:p>
        </w:tc>
        <w:tc>
          <w:tcPr>
            <w:tcW w:w="1053" w:type="dxa"/>
            <w:tcBorders>
              <w:top w:val="single" w:sz="4" w:space="0" w:color="000000"/>
            </w:tcBorders>
          </w:tcPr>
          <w:p>
            <w:pPr>
              <w:pStyle w:val="TableParagraph"/>
              <w:spacing w:before="18"/>
              <w:ind w:right="102"/>
              <w:rPr>
                <w:sz w:val="16"/>
              </w:rPr>
            </w:pPr>
            <w:r>
              <w:rPr>
                <w:spacing w:val="-2"/>
                <w:sz w:val="16"/>
              </w:rPr>
              <w:t>591.9</w:t>
            </w:r>
          </w:p>
        </w:tc>
      </w:tr>
      <w:tr>
        <w:trPr>
          <w:trHeight w:val="228" w:hRule="atLeast"/>
        </w:trPr>
        <w:tc>
          <w:tcPr>
            <w:tcW w:w="2461" w:type="dxa"/>
          </w:tcPr>
          <w:p>
            <w:pPr>
              <w:pStyle w:val="TableParagraph"/>
              <w:spacing w:before="17"/>
              <w:ind w:left="117"/>
              <w:jc w:val="left"/>
              <w:rPr>
                <w:sz w:val="16"/>
              </w:rPr>
            </w:pPr>
            <w:r>
              <w:rPr>
                <w:spacing w:val="-2"/>
                <w:sz w:val="16"/>
              </w:rPr>
              <w:t>Hospitality</w:t>
            </w:r>
          </w:p>
        </w:tc>
        <w:tc>
          <w:tcPr>
            <w:tcW w:w="1218" w:type="dxa"/>
          </w:tcPr>
          <w:p>
            <w:pPr>
              <w:pStyle w:val="TableParagraph"/>
              <w:spacing w:before="17"/>
              <w:ind w:right="195"/>
              <w:rPr>
                <w:sz w:val="16"/>
              </w:rPr>
            </w:pPr>
            <w:r>
              <w:rPr>
                <w:spacing w:val="-5"/>
                <w:sz w:val="16"/>
              </w:rPr>
              <w:t>1.6</w:t>
            </w:r>
          </w:p>
        </w:tc>
        <w:tc>
          <w:tcPr>
            <w:tcW w:w="827" w:type="dxa"/>
          </w:tcPr>
          <w:p>
            <w:pPr>
              <w:pStyle w:val="TableParagraph"/>
              <w:spacing w:before="17"/>
              <w:ind w:right="107"/>
              <w:rPr>
                <w:sz w:val="16"/>
              </w:rPr>
            </w:pPr>
            <w:r>
              <w:rPr>
                <w:w w:val="98"/>
                <w:sz w:val="16"/>
              </w:rPr>
              <w:t>-</w:t>
            </w:r>
          </w:p>
        </w:tc>
        <w:tc>
          <w:tcPr>
            <w:tcW w:w="1133" w:type="dxa"/>
          </w:tcPr>
          <w:p>
            <w:pPr>
              <w:pStyle w:val="TableParagraph"/>
              <w:spacing w:before="17"/>
              <w:ind w:right="110"/>
              <w:rPr>
                <w:sz w:val="16"/>
              </w:rPr>
            </w:pPr>
            <w:r>
              <w:rPr>
                <w:spacing w:val="-5"/>
                <w:sz w:val="16"/>
              </w:rPr>
              <w:t>1.6</w:t>
            </w:r>
          </w:p>
        </w:tc>
        <w:tc>
          <w:tcPr>
            <w:tcW w:w="1078" w:type="dxa"/>
          </w:tcPr>
          <w:p>
            <w:pPr>
              <w:pStyle w:val="TableParagraph"/>
              <w:spacing w:before="17"/>
              <w:ind w:right="55"/>
              <w:rPr>
                <w:sz w:val="16"/>
              </w:rPr>
            </w:pPr>
            <w:r>
              <w:rPr>
                <w:spacing w:val="-5"/>
                <w:sz w:val="16"/>
              </w:rPr>
              <w:t>7.0</w:t>
            </w:r>
          </w:p>
        </w:tc>
        <w:tc>
          <w:tcPr>
            <w:tcW w:w="1122" w:type="dxa"/>
          </w:tcPr>
          <w:p>
            <w:pPr>
              <w:pStyle w:val="TableParagraph"/>
              <w:spacing w:before="17"/>
              <w:ind w:right="185"/>
              <w:rPr>
                <w:sz w:val="16"/>
              </w:rPr>
            </w:pPr>
            <w:r>
              <w:rPr>
                <w:w w:val="98"/>
                <w:sz w:val="16"/>
              </w:rPr>
              <w:t>-</w:t>
            </w:r>
          </w:p>
        </w:tc>
        <w:tc>
          <w:tcPr>
            <w:tcW w:w="753" w:type="dxa"/>
          </w:tcPr>
          <w:p>
            <w:pPr>
              <w:pStyle w:val="TableParagraph"/>
              <w:spacing w:before="17"/>
              <w:ind w:right="174"/>
              <w:rPr>
                <w:sz w:val="16"/>
              </w:rPr>
            </w:pPr>
            <w:r>
              <w:rPr>
                <w:w w:val="98"/>
                <w:sz w:val="16"/>
              </w:rPr>
              <w:t>-</w:t>
            </w:r>
          </w:p>
        </w:tc>
        <w:tc>
          <w:tcPr>
            <w:tcW w:w="1053" w:type="dxa"/>
          </w:tcPr>
          <w:p>
            <w:pPr>
              <w:pStyle w:val="TableParagraph"/>
              <w:spacing w:before="17"/>
              <w:ind w:right="106"/>
              <w:rPr>
                <w:sz w:val="16"/>
              </w:rPr>
            </w:pPr>
            <w:r>
              <w:rPr>
                <w:spacing w:val="-5"/>
                <w:sz w:val="16"/>
              </w:rPr>
              <w:t>7.0</w:t>
            </w:r>
          </w:p>
        </w:tc>
      </w:tr>
      <w:tr>
        <w:trPr>
          <w:trHeight w:val="228" w:hRule="atLeast"/>
        </w:trPr>
        <w:tc>
          <w:tcPr>
            <w:tcW w:w="2461" w:type="dxa"/>
          </w:tcPr>
          <w:p>
            <w:pPr>
              <w:pStyle w:val="TableParagraph"/>
              <w:spacing w:before="19"/>
              <w:ind w:left="117"/>
              <w:jc w:val="left"/>
              <w:rPr>
                <w:sz w:val="16"/>
              </w:rPr>
            </w:pPr>
            <w:r>
              <w:rPr>
                <w:w w:val="95"/>
                <w:sz w:val="16"/>
              </w:rPr>
              <w:t>Contractual</w:t>
            </w:r>
            <w:r>
              <w:rPr>
                <w:spacing w:val="33"/>
                <w:sz w:val="16"/>
              </w:rPr>
              <w:t> </w:t>
            </w:r>
            <w:r>
              <w:rPr>
                <w:spacing w:val="-2"/>
                <w:sz w:val="16"/>
              </w:rPr>
              <w:t>services</w:t>
            </w:r>
          </w:p>
        </w:tc>
        <w:tc>
          <w:tcPr>
            <w:tcW w:w="1218" w:type="dxa"/>
          </w:tcPr>
          <w:p>
            <w:pPr>
              <w:pStyle w:val="TableParagraph"/>
              <w:spacing w:before="19"/>
              <w:ind w:right="191"/>
              <w:rPr>
                <w:sz w:val="16"/>
              </w:rPr>
            </w:pPr>
            <w:r>
              <w:rPr>
                <w:spacing w:val="-2"/>
                <w:sz w:val="16"/>
              </w:rPr>
              <w:t>888.9</w:t>
            </w:r>
          </w:p>
        </w:tc>
        <w:tc>
          <w:tcPr>
            <w:tcW w:w="827" w:type="dxa"/>
          </w:tcPr>
          <w:p>
            <w:pPr>
              <w:pStyle w:val="TableParagraph"/>
              <w:spacing w:before="19"/>
              <w:ind w:right="107"/>
              <w:rPr>
                <w:sz w:val="16"/>
              </w:rPr>
            </w:pPr>
            <w:r>
              <w:rPr>
                <w:w w:val="98"/>
                <w:sz w:val="16"/>
              </w:rPr>
              <w:t>-</w:t>
            </w:r>
          </w:p>
        </w:tc>
        <w:tc>
          <w:tcPr>
            <w:tcW w:w="1133" w:type="dxa"/>
          </w:tcPr>
          <w:p>
            <w:pPr>
              <w:pStyle w:val="TableParagraph"/>
              <w:spacing w:before="19"/>
              <w:ind w:right="106"/>
              <w:rPr>
                <w:sz w:val="16"/>
              </w:rPr>
            </w:pPr>
            <w:r>
              <w:rPr>
                <w:spacing w:val="-2"/>
                <w:sz w:val="16"/>
              </w:rPr>
              <w:t>888.9</w:t>
            </w:r>
          </w:p>
        </w:tc>
        <w:tc>
          <w:tcPr>
            <w:tcW w:w="1078" w:type="dxa"/>
          </w:tcPr>
          <w:p>
            <w:pPr>
              <w:pStyle w:val="TableParagraph"/>
              <w:spacing w:before="19"/>
              <w:ind w:right="50"/>
              <w:rPr>
                <w:sz w:val="16"/>
              </w:rPr>
            </w:pPr>
            <w:r>
              <w:rPr>
                <w:spacing w:val="-2"/>
                <w:sz w:val="16"/>
              </w:rPr>
              <w:t>801.7</w:t>
            </w:r>
          </w:p>
        </w:tc>
        <w:tc>
          <w:tcPr>
            <w:tcW w:w="1122" w:type="dxa"/>
          </w:tcPr>
          <w:p>
            <w:pPr>
              <w:pStyle w:val="TableParagraph"/>
              <w:spacing w:before="19"/>
              <w:ind w:right="181"/>
              <w:rPr>
                <w:sz w:val="16"/>
              </w:rPr>
            </w:pPr>
            <w:r>
              <w:rPr>
                <w:spacing w:val="-2"/>
                <w:sz w:val="16"/>
              </w:rPr>
              <w:t>(373.8)</w:t>
            </w:r>
          </w:p>
        </w:tc>
        <w:tc>
          <w:tcPr>
            <w:tcW w:w="753" w:type="dxa"/>
          </w:tcPr>
          <w:p>
            <w:pPr>
              <w:pStyle w:val="TableParagraph"/>
              <w:spacing w:before="19"/>
              <w:ind w:right="175"/>
              <w:rPr>
                <w:sz w:val="16"/>
              </w:rPr>
            </w:pPr>
            <w:r>
              <w:rPr>
                <w:spacing w:val="-2"/>
                <w:sz w:val="16"/>
              </w:rPr>
              <w:t>(46.6)</w:t>
            </w:r>
          </w:p>
        </w:tc>
        <w:tc>
          <w:tcPr>
            <w:tcW w:w="1053" w:type="dxa"/>
          </w:tcPr>
          <w:p>
            <w:pPr>
              <w:pStyle w:val="TableParagraph"/>
              <w:spacing w:before="19"/>
              <w:ind w:right="102"/>
              <w:rPr>
                <w:sz w:val="16"/>
              </w:rPr>
            </w:pPr>
            <w:r>
              <w:rPr>
                <w:spacing w:val="-2"/>
                <w:sz w:val="16"/>
              </w:rPr>
              <w:t>427.9</w:t>
            </w:r>
          </w:p>
        </w:tc>
      </w:tr>
      <w:tr>
        <w:trPr>
          <w:trHeight w:val="225" w:hRule="atLeast"/>
        </w:trPr>
        <w:tc>
          <w:tcPr>
            <w:tcW w:w="2461" w:type="dxa"/>
          </w:tcPr>
          <w:p>
            <w:pPr>
              <w:pStyle w:val="TableParagraph"/>
              <w:spacing w:before="17"/>
              <w:ind w:left="117"/>
              <w:jc w:val="left"/>
              <w:rPr>
                <w:sz w:val="16"/>
              </w:rPr>
            </w:pPr>
            <w:r>
              <w:rPr>
                <w:spacing w:val="-2"/>
                <w:sz w:val="16"/>
              </w:rPr>
              <w:t>Training</w:t>
            </w:r>
          </w:p>
        </w:tc>
        <w:tc>
          <w:tcPr>
            <w:tcW w:w="1218" w:type="dxa"/>
          </w:tcPr>
          <w:p>
            <w:pPr>
              <w:pStyle w:val="TableParagraph"/>
              <w:spacing w:before="17"/>
              <w:ind w:right="193"/>
              <w:rPr>
                <w:sz w:val="16"/>
              </w:rPr>
            </w:pPr>
            <w:r>
              <w:rPr>
                <w:w w:val="98"/>
                <w:sz w:val="16"/>
              </w:rPr>
              <w:t>-</w:t>
            </w:r>
          </w:p>
        </w:tc>
        <w:tc>
          <w:tcPr>
            <w:tcW w:w="827" w:type="dxa"/>
          </w:tcPr>
          <w:p>
            <w:pPr>
              <w:pStyle w:val="TableParagraph"/>
              <w:spacing w:before="17"/>
              <w:ind w:right="107"/>
              <w:rPr>
                <w:sz w:val="16"/>
              </w:rPr>
            </w:pPr>
            <w:r>
              <w:rPr>
                <w:w w:val="98"/>
                <w:sz w:val="16"/>
              </w:rPr>
              <w:t>-</w:t>
            </w:r>
          </w:p>
        </w:tc>
        <w:tc>
          <w:tcPr>
            <w:tcW w:w="1133" w:type="dxa"/>
          </w:tcPr>
          <w:p>
            <w:pPr>
              <w:pStyle w:val="TableParagraph"/>
              <w:spacing w:before="17"/>
              <w:ind w:right="107"/>
              <w:rPr>
                <w:sz w:val="16"/>
              </w:rPr>
            </w:pPr>
            <w:r>
              <w:rPr>
                <w:w w:val="98"/>
                <w:sz w:val="16"/>
              </w:rPr>
              <w:t>-</w:t>
            </w:r>
          </w:p>
        </w:tc>
        <w:tc>
          <w:tcPr>
            <w:tcW w:w="1078" w:type="dxa"/>
          </w:tcPr>
          <w:p>
            <w:pPr>
              <w:pStyle w:val="TableParagraph"/>
              <w:spacing w:before="17"/>
              <w:ind w:right="55"/>
              <w:rPr>
                <w:sz w:val="16"/>
              </w:rPr>
            </w:pPr>
            <w:r>
              <w:rPr>
                <w:spacing w:val="-5"/>
                <w:sz w:val="16"/>
              </w:rPr>
              <w:t>7.5</w:t>
            </w:r>
          </w:p>
        </w:tc>
        <w:tc>
          <w:tcPr>
            <w:tcW w:w="1122" w:type="dxa"/>
          </w:tcPr>
          <w:p>
            <w:pPr>
              <w:pStyle w:val="TableParagraph"/>
              <w:spacing w:before="17"/>
              <w:ind w:right="185"/>
              <w:rPr>
                <w:sz w:val="16"/>
              </w:rPr>
            </w:pPr>
            <w:r>
              <w:rPr>
                <w:spacing w:val="-2"/>
                <w:sz w:val="16"/>
              </w:rPr>
              <w:t>(1.5)</w:t>
            </w:r>
          </w:p>
        </w:tc>
        <w:tc>
          <w:tcPr>
            <w:tcW w:w="753" w:type="dxa"/>
          </w:tcPr>
          <w:p>
            <w:pPr>
              <w:pStyle w:val="TableParagraph"/>
              <w:spacing w:before="17"/>
              <w:ind w:right="175"/>
              <w:rPr>
                <w:sz w:val="16"/>
              </w:rPr>
            </w:pPr>
            <w:r>
              <w:rPr>
                <w:spacing w:val="-2"/>
                <w:sz w:val="16"/>
              </w:rPr>
              <w:t>(20.0)</w:t>
            </w:r>
          </w:p>
        </w:tc>
        <w:tc>
          <w:tcPr>
            <w:tcW w:w="1053" w:type="dxa"/>
          </w:tcPr>
          <w:p>
            <w:pPr>
              <w:pStyle w:val="TableParagraph"/>
              <w:spacing w:before="17"/>
              <w:ind w:right="106"/>
              <w:rPr>
                <w:sz w:val="16"/>
              </w:rPr>
            </w:pPr>
            <w:r>
              <w:rPr>
                <w:spacing w:val="-5"/>
                <w:sz w:val="16"/>
              </w:rPr>
              <w:t>6.0</w:t>
            </w:r>
          </w:p>
        </w:tc>
      </w:tr>
      <w:tr>
        <w:trPr>
          <w:trHeight w:val="228" w:hRule="atLeast"/>
        </w:trPr>
        <w:tc>
          <w:tcPr>
            <w:tcW w:w="2461" w:type="dxa"/>
          </w:tcPr>
          <w:p>
            <w:pPr>
              <w:pStyle w:val="TableParagraph"/>
              <w:spacing w:before="17"/>
              <w:ind w:left="117"/>
              <w:jc w:val="left"/>
              <w:rPr>
                <w:sz w:val="16"/>
              </w:rPr>
            </w:pPr>
            <w:r>
              <w:rPr>
                <w:spacing w:val="-2"/>
                <w:sz w:val="16"/>
              </w:rPr>
              <w:t>Consultants</w:t>
            </w:r>
          </w:p>
        </w:tc>
        <w:tc>
          <w:tcPr>
            <w:tcW w:w="1218" w:type="dxa"/>
          </w:tcPr>
          <w:p>
            <w:pPr>
              <w:pStyle w:val="TableParagraph"/>
              <w:spacing w:before="17"/>
              <w:ind w:right="195"/>
              <w:rPr>
                <w:sz w:val="16"/>
              </w:rPr>
            </w:pPr>
            <w:r>
              <w:rPr>
                <w:spacing w:val="-5"/>
                <w:sz w:val="16"/>
              </w:rPr>
              <w:t>0.2</w:t>
            </w:r>
          </w:p>
        </w:tc>
        <w:tc>
          <w:tcPr>
            <w:tcW w:w="827" w:type="dxa"/>
          </w:tcPr>
          <w:p>
            <w:pPr>
              <w:pStyle w:val="TableParagraph"/>
              <w:spacing w:before="17"/>
              <w:ind w:right="107"/>
              <w:rPr>
                <w:sz w:val="16"/>
              </w:rPr>
            </w:pPr>
            <w:r>
              <w:rPr>
                <w:w w:val="98"/>
                <w:sz w:val="16"/>
              </w:rPr>
              <w:t>-</w:t>
            </w:r>
          </w:p>
        </w:tc>
        <w:tc>
          <w:tcPr>
            <w:tcW w:w="1133" w:type="dxa"/>
          </w:tcPr>
          <w:p>
            <w:pPr>
              <w:pStyle w:val="TableParagraph"/>
              <w:spacing w:before="17"/>
              <w:ind w:right="110"/>
              <w:rPr>
                <w:sz w:val="16"/>
              </w:rPr>
            </w:pPr>
            <w:r>
              <w:rPr>
                <w:spacing w:val="-5"/>
                <w:sz w:val="16"/>
              </w:rPr>
              <w:t>0.2</w:t>
            </w:r>
          </w:p>
        </w:tc>
        <w:tc>
          <w:tcPr>
            <w:tcW w:w="1078" w:type="dxa"/>
          </w:tcPr>
          <w:p>
            <w:pPr>
              <w:pStyle w:val="TableParagraph"/>
              <w:spacing w:before="17"/>
              <w:ind w:right="52"/>
              <w:rPr>
                <w:sz w:val="16"/>
              </w:rPr>
            </w:pPr>
            <w:r>
              <w:rPr>
                <w:w w:val="98"/>
                <w:sz w:val="16"/>
              </w:rPr>
              <w:t>-</w:t>
            </w:r>
          </w:p>
        </w:tc>
        <w:tc>
          <w:tcPr>
            <w:tcW w:w="1122" w:type="dxa"/>
          </w:tcPr>
          <w:p>
            <w:pPr>
              <w:pStyle w:val="TableParagraph"/>
              <w:spacing w:before="17"/>
              <w:ind w:right="185"/>
              <w:rPr>
                <w:sz w:val="16"/>
              </w:rPr>
            </w:pPr>
            <w:r>
              <w:rPr>
                <w:w w:val="98"/>
                <w:sz w:val="16"/>
              </w:rPr>
              <w:t>-</w:t>
            </w:r>
          </w:p>
        </w:tc>
        <w:tc>
          <w:tcPr>
            <w:tcW w:w="753" w:type="dxa"/>
          </w:tcPr>
          <w:p>
            <w:pPr>
              <w:pStyle w:val="TableParagraph"/>
              <w:spacing w:before="17"/>
              <w:ind w:right="174"/>
              <w:rPr>
                <w:sz w:val="16"/>
              </w:rPr>
            </w:pPr>
            <w:r>
              <w:rPr>
                <w:w w:val="98"/>
                <w:sz w:val="16"/>
              </w:rPr>
              <w:t>-</w:t>
            </w:r>
          </w:p>
        </w:tc>
        <w:tc>
          <w:tcPr>
            <w:tcW w:w="1053" w:type="dxa"/>
          </w:tcPr>
          <w:p>
            <w:pPr>
              <w:pStyle w:val="TableParagraph"/>
              <w:spacing w:before="17"/>
              <w:ind w:right="103"/>
              <w:rPr>
                <w:sz w:val="16"/>
              </w:rPr>
            </w:pPr>
            <w:r>
              <w:rPr>
                <w:w w:val="98"/>
                <w:sz w:val="16"/>
              </w:rPr>
              <w:t>-</w:t>
            </w:r>
          </w:p>
        </w:tc>
      </w:tr>
      <w:tr>
        <w:trPr>
          <w:trHeight w:val="227" w:hRule="atLeast"/>
        </w:trPr>
        <w:tc>
          <w:tcPr>
            <w:tcW w:w="2461" w:type="dxa"/>
          </w:tcPr>
          <w:p>
            <w:pPr>
              <w:pStyle w:val="TableParagraph"/>
              <w:spacing w:before="19"/>
              <w:ind w:left="117"/>
              <w:jc w:val="left"/>
              <w:rPr>
                <w:sz w:val="16"/>
              </w:rPr>
            </w:pPr>
            <w:r>
              <w:rPr>
                <w:sz w:val="16"/>
              </w:rPr>
              <w:t>General</w:t>
            </w:r>
            <w:r>
              <w:rPr>
                <w:spacing w:val="-4"/>
                <w:sz w:val="16"/>
              </w:rPr>
              <w:t> </w:t>
            </w:r>
            <w:r>
              <w:rPr>
                <w:sz w:val="16"/>
              </w:rPr>
              <w:t>operating</w:t>
            </w:r>
            <w:r>
              <w:rPr>
                <w:spacing w:val="-1"/>
                <w:sz w:val="16"/>
              </w:rPr>
              <w:t> </w:t>
            </w:r>
            <w:r>
              <w:rPr>
                <w:spacing w:val="-2"/>
                <w:sz w:val="16"/>
              </w:rPr>
              <w:t>expenses</w:t>
            </w:r>
          </w:p>
        </w:tc>
        <w:tc>
          <w:tcPr>
            <w:tcW w:w="1218" w:type="dxa"/>
          </w:tcPr>
          <w:p>
            <w:pPr>
              <w:pStyle w:val="TableParagraph"/>
              <w:spacing w:before="19"/>
              <w:ind w:right="195"/>
              <w:rPr>
                <w:sz w:val="16"/>
              </w:rPr>
            </w:pPr>
            <w:r>
              <w:rPr>
                <w:spacing w:val="-5"/>
                <w:sz w:val="16"/>
              </w:rPr>
              <w:t>5.0</w:t>
            </w:r>
          </w:p>
        </w:tc>
        <w:tc>
          <w:tcPr>
            <w:tcW w:w="827" w:type="dxa"/>
          </w:tcPr>
          <w:p>
            <w:pPr>
              <w:pStyle w:val="TableParagraph"/>
              <w:spacing w:before="19"/>
              <w:ind w:right="107"/>
              <w:rPr>
                <w:sz w:val="16"/>
              </w:rPr>
            </w:pPr>
            <w:r>
              <w:rPr>
                <w:w w:val="98"/>
                <w:sz w:val="16"/>
              </w:rPr>
              <w:t>-</w:t>
            </w:r>
          </w:p>
        </w:tc>
        <w:tc>
          <w:tcPr>
            <w:tcW w:w="1133" w:type="dxa"/>
          </w:tcPr>
          <w:p>
            <w:pPr>
              <w:pStyle w:val="TableParagraph"/>
              <w:spacing w:before="19"/>
              <w:ind w:right="110"/>
              <w:rPr>
                <w:sz w:val="16"/>
              </w:rPr>
            </w:pPr>
            <w:r>
              <w:rPr>
                <w:spacing w:val="-5"/>
                <w:sz w:val="16"/>
              </w:rPr>
              <w:t>5.0</w:t>
            </w:r>
          </w:p>
        </w:tc>
        <w:tc>
          <w:tcPr>
            <w:tcW w:w="1078" w:type="dxa"/>
          </w:tcPr>
          <w:p>
            <w:pPr>
              <w:pStyle w:val="TableParagraph"/>
              <w:spacing w:before="19"/>
              <w:ind w:right="55"/>
              <w:rPr>
                <w:sz w:val="16"/>
              </w:rPr>
            </w:pPr>
            <w:r>
              <w:rPr>
                <w:spacing w:val="-5"/>
                <w:sz w:val="16"/>
              </w:rPr>
              <w:t>6.0</w:t>
            </w:r>
          </w:p>
        </w:tc>
        <w:tc>
          <w:tcPr>
            <w:tcW w:w="1122" w:type="dxa"/>
          </w:tcPr>
          <w:p>
            <w:pPr>
              <w:pStyle w:val="TableParagraph"/>
              <w:spacing w:before="19"/>
              <w:ind w:right="185"/>
              <w:rPr>
                <w:sz w:val="16"/>
              </w:rPr>
            </w:pPr>
            <w:r>
              <w:rPr>
                <w:spacing w:val="-2"/>
                <w:sz w:val="16"/>
              </w:rPr>
              <w:t>(1.5)</w:t>
            </w:r>
          </w:p>
        </w:tc>
        <w:tc>
          <w:tcPr>
            <w:tcW w:w="753" w:type="dxa"/>
          </w:tcPr>
          <w:p>
            <w:pPr>
              <w:pStyle w:val="TableParagraph"/>
              <w:spacing w:before="19"/>
              <w:ind w:right="175"/>
              <w:rPr>
                <w:sz w:val="16"/>
              </w:rPr>
            </w:pPr>
            <w:r>
              <w:rPr>
                <w:spacing w:val="-2"/>
                <w:sz w:val="16"/>
              </w:rPr>
              <w:t>(25.0)</w:t>
            </w:r>
          </w:p>
        </w:tc>
        <w:tc>
          <w:tcPr>
            <w:tcW w:w="1053" w:type="dxa"/>
          </w:tcPr>
          <w:p>
            <w:pPr>
              <w:pStyle w:val="TableParagraph"/>
              <w:spacing w:before="19"/>
              <w:ind w:right="106"/>
              <w:rPr>
                <w:sz w:val="16"/>
              </w:rPr>
            </w:pPr>
            <w:r>
              <w:rPr>
                <w:spacing w:val="-5"/>
                <w:sz w:val="16"/>
              </w:rPr>
              <w:t>4.5</w:t>
            </w:r>
          </w:p>
        </w:tc>
      </w:tr>
      <w:tr>
        <w:trPr>
          <w:trHeight w:val="225" w:hRule="atLeast"/>
        </w:trPr>
        <w:tc>
          <w:tcPr>
            <w:tcW w:w="2461" w:type="dxa"/>
          </w:tcPr>
          <w:p>
            <w:pPr>
              <w:pStyle w:val="TableParagraph"/>
              <w:spacing w:before="17"/>
              <w:ind w:left="117"/>
              <w:jc w:val="left"/>
              <w:rPr>
                <w:sz w:val="16"/>
              </w:rPr>
            </w:pPr>
            <w:r>
              <w:rPr>
                <w:sz w:val="16"/>
              </w:rPr>
              <w:t>Supplies</w:t>
            </w:r>
            <w:r>
              <w:rPr>
                <w:spacing w:val="-4"/>
                <w:sz w:val="16"/>
              </w:rPr>
              <w:t> </w:t>
            </w:r>
            <w:r>
              <w:rPr>
                <w:sz w:val="16"/>
              </w:rPr>
              <w:t>and</w:t>
            </w:r>
            <w:r>
              <w:rPr>
                <w:spacing w:val="-2"/>
                <w:sz w:val="16"/>
              </w:rPr>
              <w:t> materials</w:t>
            </w:r>
          </w:p>
        </w:tc>
        <w:tc>
          <w:tcPr>
            <w:tcW w:w="1218" w:type="dxa"/>
          </w:tcPr>
          <w:p>
            <w:pPr>
              <w:pStyle w:val="TableParagraph"/>
              <w:spacing w:before="17"/>
              <w:ind w:right="195"/>
              <w:rPr>
                <w:sz w:val="16"/>
              </w:rPr>
            </w:pPr>
            <w:r>
              <w:rPr>
                <w:spacing w:val="-5"/>
                <w:sz w:val="16"/>
              </w:rPr>
              <w:t>0.8</w:t>
            </w:r>
          </w:p>
        </w:tc>
        <w:tc>
          <w:tcPr>
            <w:tcW w:w="827" w:type="dxa"/>
          </w:tcPr>
          <w:p>
            <w:pPr>
              <w:pStyle w:val="TableParagraph"/>
              <w:spacing w:before="17"/>
              <w:ind w:right="107"/>
              <w:rPr>
                <w:sz w:val="16"/>
              </w:rPr>
            </w:pPr>
            <w:r>
              <w:rPr>
                <w:w w:val="98"/>
                <w:sz w:val="16"/>
              </w:rPr>
              <w:t>-</w:t>
            </w:r>
          </w:p>
        </w:tc>
        <w:tc>
          <w:tcPr>
            <w:tcW w:w="1133" w:type="dxa"/>
          </w:tcPr>
          <w:p>
            <w:pPr>
              <w:pStyle w:val="TableParagraph"/>
              <w:spacing w:before="17"/>
              <w:ind w:right="110"/>
              <w:rPr>
                <w:sz w:val="16"/>
              </w:rPr>
            </w:pPr>
            <w:r>
              <w:rPr>
                <w:spacing w:val="-5"/>
                <w:sz w:val="16"/>
              </w:rPr>
              <w:t>0.8</w:t>
            </w:r>
          </w:p>
        </w:tc>
        <w:tc>
          <w:tcPr>
            <w:tcW w:w="1078" w:type="dxa"/>
          </w:tcPr>
          <w:p>
            <w:pPr>
              <w:pStyle w:val="TableParagraph"/>
              <w:spacing w:before="17"/>
              <w:ind w:right="55"/>
              <w:rPr>
                <w:sz w:val="16"/>
              </w:rPr>
            </w:pPr>
            <w:r>
              <w:rPr>
                <w:spacing w:val="-5"/>
                <w:sz w:val="16"/>
              </w:rPr>
              <w:t>8.5</w:t>
            </w:r>
          </w:p>
        </w:tc>
        <w:tc>
          <w:tcPr>
            <w:tcW w:w="1122" w:type="dxa"/>
          </w:tcPr>
          <w:p>
            <w:pPr>
              <w:pStyle w:val="TableParagraph"/>
              <w:spacing w:before="17"/>
              <w:ind w:right="185"/>
              <w:rPr>
                <w:sz w:val="16"/>
              </w:rPr>
            </w:pPr>
            <w:r>
              <w:rPr>
                <w:w w:val="98"/>
                <w:sz w:val="16"/>
              </w:rPr>
              <w:t>-</w:t>
            </w:r>
          </w:p>
        </w:tc>
        <w:tc>
          <w:tcPr>
            <w:tcW w:w="753" w:type="dxa"/>
          </w:tcPr>
          <w:p>
            <w:pPr>
              <w:pStyle w:val="TableParagraph"/>
              <w:spacing w:before="17"/>
              <w:ind w:right="174"/>
              <w:rPr>
                <w:sz w:val="16"/>
              </w:rPr>
            </w:pPr>
            <w:r>
              <w:rPr>
                <w:w w:val="98"/>
                <w:sz w:val="16"/>
              </w:rPr>
              <w:t>-</w:t>
            </w:r>
          </w:p>
        </w:tc>
        <w:tc>
          <w:tcPr>
            <w:tcW w:w="1053" w:type="dxa"/>
          </w:tcPr>
          <w:p>
            <w:pPr>
              <w:pStyle w:val="TableParagraph"/>
              <w:spacing w:before="17"/>
              <w:ind w:right="106"/>
              <w:rPr>
                <w:sz w:val="16"/>
              </w:rPr>
            </w:pPr>
            <w:r>
              <w:rPr>
                <w:spacing w:val="-5"/>
                <w:sz w:val="16"/>
              </w:rPr>
              <w:t>8.5</w:t>
            </w:r>
          </w:p>
        </w:tc>
      </w:tr>
      <w:tr>
        <w:trPr>
          <w:trHeight w:val="223" w:hRule="atLeast"/>
        </w:trPr>
        <w:tc>
          <w:tcPr>
            <w:tcW w:w="2461" w:type="dxa"/>
            <w:tcBorders>
              <w:bottom w:val="single" w:sz="4" w:space="0" w:color="000000"/>
            </w:tcBorders>
          </w:tcPr>
          <w:p>
            <w:pPr>
              <w:pStyle w:val="TableParagraph"/>
              <w:spacing w:before="17"/>
              <w:ind w:left="117"/>
              <w:jc w:val="left"/>
              <w:rPr>
                <w:sz w:val="16"/>
              </w:rPr>
            </w:pPr>
            <w:r>
              <w:rPr>
                <w:sz w:val="16"/>
              </w:rPr>
              <w:t>Furniture</w:t>
            </w:r>
            <w:r>
              <w:rPr>
                <w:spacing w:val="-4"/>
                <w:sz w:val="16"/>
              </w:rPr>
              <w:t> </w:t>
            </w:r>
            <w:r>
              <w:rPr>
                <w:sz w:val="16"/>
              </w:rPr>
              <w:t>and</w:t>
            </w:r>
            <w:r>
              <w:rPr>
                <w:spacing w:val="-2"/>
                <w:sz w:val="16"/>
              </w:rPr>
              <w:t> equipment</w:t>
            </w:r>
          </w:p>
        </w:tc>
        <w:tc>
          <w:tcPr>
            <w:tcW w:w="1218" w:type="dxa"/>
            <w:tcBorders>
              <w:bottom w:val="single" w:sz="4" w:space="0" w:color="000000"/>
            </w:tcBorders>
          </w:tcPr>
          <w:p>
            <w:pPr>
              <w:pStyle w:val="TableParagraph"/>
              <w:spacing w:before="17"/>
              <w:ind w:right="191"/>
              <w:rPr>
                <w:sz w:val="16"/>
              </w:rPr>
            </w:pPr>
            <w:r>
              <w:rPr>
                <w:spacing w:val="-4"/>
                <w:sz w:val="16"/>
              </w:rPr>
              <w:t>12.5</w:t>
            </w:r>
          </w:p>
        </w:tc>
        <w:tc>
          <w:tcPr>
            <w:tcW w:w="827" w:type="dxa"/>
            <w:tcBorders>
              <w:bottom w:val="single" w:sz="4" w:space="0" w:color="000000"/>
            </w:tcBorders>
          </w:tcPr>
          <w:p>
            <w:pPr>
              <w:pStyle w:val="TableParagraph"/>
              <w:spacing w:before="17"/>
              <w:ind w:right="107"/>
              <w:rPr>
                <w:sz w:val="16"/>
              </w:rPr>
            </w:pPr>
            <w:r>
              <w:rPr>
                <w:w w:val="98"/>
                <w:sz w:val="16"/>
              </w:rPr>
              <w:t>-</w:t>
            </w:r>
          </w:p>
        </w:tc>
        <w:tc>
          <w:tcPr>
            <w:tcW w:w="1133" w:type="dxa"/>
            <w:tcBorders>
              <w:bottom w:val="single" w:sz="4" w:space="0" w:color="000000"/>
            </w:tcBorders>
          </w:tcPr>
          <w:p>
            <w:pPr>
              <w:pStyle w:val="TableParagraph"/>
              <w:spacing w:before="17"/>
              <w:ind w:right="105"/>
              <w:rPr>
                <w:sz w:val="16"/>
              </w:rPr>
            </w:pPr>
            <w:r>
              <w:rPr>
                <w:spacing w:val="-4"/>
                <w:sz w:val="16"/>
              </w:rPr>
              <w:t>12.5</w:t>
            </w:r>
          </w:p>
        </w:tc>
        <w:tc>
          <w:tcPr>
            <w:tcW w:w="1078" w:type="dxa"/>
            <w:tcBorders>
              <w:bottom w:val="single" w:sz="4" w:space="0" w:color="000000"/>
            </w:tcBorders>
          </w:tcPr>
          <w:p>
            <w:pPr>
              <w:pStyle w:val="TableParagraph"/>
              <w:spacing w:before="17"/>
              <w:ind w:right="55"/>
              <w:rPr>
                <w:sz w:val="16"/>
              </w:rPr>
            </w:pPr>
            <w:r>
              <w:rPr>
                <w:spacing w:val="-5"/>
                <w:sz w:val="16"/>
              </w:rPr>
              <w:t>5.0</w:t>
            </w:r>
          </w:p>
        </w:tc>
        <w:tc>
          <w:tcPr>
            <w:tcW w:w="1122" w:type="dxa"/>
            <w:tcBorders>
              <w:bottom w:val="single" w:sz="4" w:space="0" w:color="000000"/>
            </w:tcBorders>
          </w:tcPr>
          <w:p>
            <w:pPr>
              <w:pStyle w:val="TableParagraph"/>
              <w:spacing w:before="17"/>
              <w:ind w:right="185"/>
              <w:rPr>
                <w:sz w:val="16"/>
              </w:rPr>
            </w:pPr>
            <w:r>
              <w:rPr>
                <w:w w:val="98"/>
                <w:sz w:val="16"/>
              </w:rPr>
              <w:t>-</w:t>
            </w:r>
          </w:p>
        </w:tc>
        <w:tc>
          <w:tcPr>
            <w:tcW w:w="753" w:type="dxa"/>
            <w:tcBorders>
              <w:bottom w:val="single" w:sz="4" w:space="0" w:color="000000"/>
            </w:tcBorders>
          </w:tcPr>
          <w:p>
            <w:pPr>
              <w:pStyle w:val="TableParagraph"/>
              <w:spacing w:before="17"/>
              <w:ind w:right="174"/>
              <w:rPr>
                <w:sz w:val="16"/>
              </w:rPr>
            </w:pPr>
            <w:r>
              <w:rPr>
                <w:w w:val="98"/>
                <w:sz w:val="16"/>
              </w:rPr>
              <w:t>-</w:t>
            </w:r>
          </w:p>
        </w:tc>
        <w:tc>
          <w:tcPr>
            <w:tcW w:w="1053" w:type="dxa"/>
            <w:tcBorders>
              <w:bottom w:val="single" w:sz="4" w:space="0" w:color="000000"/>
            </w:tcBorders>
          </w:tcPr>
          <w:p>
            <w:pPr>
              <w:pStyle w:val="TableParagraph"/>
              <w:spacing w:before="17"/>
              <w:ind w:right="106"/>
              <w:rPr>
                <w:sz w:val="16"/>
              </w:rPr>
            </w:pPr>
            <w:r>
              <w:rPr>
                <w:spacing w:val="-5"/>
                <w:sz w:val="16"/>
              </w:rPr>
              <w:t>5.0</w:t>
            </w:r>
          </w:p>
        </w:tc>
      </w:tr>
      <w:tr>
        <w:trPr>
          <w:trHeight w:val="225" w:hRule="atLeast"/>
        </w:trPr>
        <w:tc>
          <w:tcPr>
            <w:tcW w:w="2461" w:type="dxa"/>
            <w:tcBorders>
              <w:top w:val="single" w:sz="4" w:space="0" w:color="000000"/>
              <w:bottom w:val="single" w:sz="4" w:space="0" w:color="000000"/>
            </w:tcBorders>
          </w:tcPr>
          <w:p>
            <w:pPr>
              <w:pStyle w:val="TableParagraph"/>
              <w:spacing w:line="182" w:lineRule="exact" w:before="23"/>
              <w:ind w:right="103"/>
              <w:rPr>
                <w:i/>
                <w:sz w:val="16"/>
              </w:rPr>
            </w:pPr>
            <w:r>
              <w:rPr>
                <w:i/>
                <w:w w:val="95"/>
                <w:sz w:val="16"/>
              </w:rPr>
              <w:t>Subtotal</w:t>
            </w:r>
            <w:r>
              <w:rPr>
                <w:i/>
                <w:spacing w:val="40"/>
                <w:sz w:val="16"/>
              </w:rPr>
              <w:t> </w:t>
            </w:r>
            <w:r>
              <w:rPr>
                <w:i/>
                <w:w w:val="95"/>
                <w:sz w:val="16"/>
              </w:rPr>
              <w:t>non-</w:t>
            </w:r>
            <w:r>
              <w:rPr>
                <w:i/>
                <w:spacing w:val="-4"/>
                <w:w w:val="95"/>
                <w:sz w:val="16"/>
              </w:rPr>
              <w:t>staff</w:t>
            </w:r>
          </w:p>
        </w:tc>
        <w:tc>
          <w:tcPr>
            <w:tcW w:w="1218" w:type="dxa"/>
            <w:tcBorders>
              <w:top w:val="single" w:sz="4" w:space="0" w:color="000000"/>
              <w:bottom w:val="single" w:sz="4" w:space="0" w:color="000000"/>
            </w:tcBorders>
          </w:tcPr>
          <w:p>
            <w:pPr>
              <w:pStyle w:val="TableParagraph"/>
              <w:spacing w:line="182" w:lineRule="exact" w:before="23"/>
              <w:ind w:right="192"/>
              <w:rPr>
                <w:i/>
                <w:sz w:val="16"/>
              </w:rPr>
            </w:pPr>
            <w:r>
              <w:rPr>
                <w:i/>
                <w:spacing w:val="-2"/>
                <w:sz w:val="16"/>
              </w:rPr>
              <w:t>1,052.8</w:t>
            </w:r>
          </w:p>
        </w:tc>
        <w:tc>
          <w:tcPr>
            <w:tcW w:w="827" w:type="dxa"/>
            <w:tcBorders>
              <w:top w:val="single" w:sz="4" w:space="0" w:color="000000"/>
              <w:bottom w:val="single" w:sz="4" w:space="0" w:color="000000"/>
            </w:tcBorders>
          </w:tcPr>
          <w:p>
            <w:pPr>
              <w:pStyle w:val="TableParagraph"/>
              <w:spacing w:line="182" w:lineRule="exact" w:before="23"/>
              <w:ind w:right="107"/>
              <w:rPr>
                <w:i/>
                <w:sz w:val="16"/>
              </w:rPr>
            </w:pPr>
            <w:r>
              <w:rPr>
                <w:i/>
                <w:w w:val="98"/>
                <w:sz w:val="16"/>
              </w:rPr>
              <w:t>-</w:t>
            </w:r>
          </w:p>
        </w:tc>
        <w:tc>
          <w:tcPr>
            <w:tcW w:w="1133" w:type="dxa"/>
            <w:tcBorders>
              <w:top w:val="single" w:sz="4" w:space="0" w:color="000000"/>
              <w:bottom w:val="single" w:sz="4" w:space="0" w:color="000000"/>
            </w:tcBorders>
          </w:tcPr>
          <w:p>
            <w:pPr>
              <w:pStyle w:val="TableParagraph"/>
              <w:spacing w:line="182" w:lineRule="exact" w:before="23"/>
              <w:ind w:right="106"/>
              <w:rPr>
                <w:i/>
                <w:sz w:val="16"/>
              </w:rPr>
            </w:pPr>
            <w:r>
              <w:rPr>
                <w:i/>
                <w:spacing w:val="-2"/>
                <w:sz w:val="16"/>
              </w:rPr>
              <w:t>1,052.8</w:t>
            </w:r>
          </w:p>
        </w:tc>
        <w:tc>
          <w:tcPr>
            <w:tcW w:w="1078" w:type="dxa"/>
            <w:tcBorders>
              <w:top w:val="single" w:sz="4" w:space="0" w:color="000000"/>
              <w:bottom w:val="single" w:sz="4" w:space="0" w:color="000000"/>
            </w:tcBorders>
          </w:tcPr>
          <w:p>
            <w:pPr>
              <w:pStyle w:val="TableParagraph"/>
              <w:spacing w:line="182" w:lineRule="exact" w:before="23"/>
              <w:ind w:right="51"/>
              <w:rPr>
                <w:i/>
                <w:sz w:val="16"/>
              </w:rPr>
            </w:pPr>
            <w:r>
              <w:rPr>
                <w:i/>
                <w:spacing w:val="-2"/>
                <w:sz w:val="16"/>
              </w:rPr>
              <w:t>1,263.5</w:t>
            </w:r>
          </w:p>
        </w:tc>
        <w:tc>
          <w:tcPr>
            <w:tcW w:w="1122" w:type="dxa"/>
            <w:tcBorders>
              <w:top w:val="single" w:sz="4" w:space="0" w:color="000000"/>
              <w:bottom w:val="single" w:sz="4" w:space="0" w:color="000000"/>
            </w:tcBorders>
          </w:tcPr>
          <w:p>
            <w:pPr>
              <w:pStyle w:val="TableParagraph"/>
              <w:spacing w:line="182" w:lineRule="exact" w:before="23"/>
              <w:ind w:right="181"/>
              <w:rPr>
                <w:i/>
                <w:sz w:val="16"/>
              </w:rPr>
            </w:pPr>
            <w:r>
              <w:rPr>
                <w:i/>
                <w:spacing w:val="-2"/>
                <w:sz w:val="16"/>
              </w:rPr>
              <w:t>(212.7)</w:t>
            </w:r>
          </w:p>
        </w:tc>
        <w:tc>
          <w:tcPr>
            <w:tcW w:w="753" w:type="dxa"/>
            <w:tcBorders>
              <w:top w:val="single" w:sz="4" w:space="0" w:color="000000"/>
              <w:bottom w:val="single" w:sz="4" w:space="0" w:color="000000"/>
            </w:tcBorders>
          </w:tcPr>
          <w:p>
            <w:pPr>
              <w:pStyle w:val="TableParagraph"/>
              <w:spacing w:line="182" w:lineRule="exact" w:before="23"/>
              <w:ind w:right="175"/>
              <w:rPr>
                <w:i/>
                <w:sz w:val="16"/>
              </w:rPr>
            </w:pPr>
            <w:r>
              <w:rPr>
                <w:i/>
                <w:spacing w:val="-2"/>
                <w:sz w:val="16"/>
              </w:rPr>
              <w:t>(16.8)</w:t>
            </w:r>
          </w:p>
        </w:tc>
        <w:tc>
          <w:tcPr>
            <w:tcW w:w="1053" w:type="dxa"/>
            <w:tcBorders>
              <w:top w:val="single" w:sz="4" w:space="0" w:color="000000"/>
              <w:bottom w:val="single" w:sz="4" w:space="0" w:color="000000"/>
            </w:tcBorders>
          </w:tcPr>
          <w:p>
            <w:pPr>
              <w:pStyle w:val="TableParagraph"/>
              <w:spacing w:line="182" w:lineRule="exact" w:before="23"/>
              <w:ind w:right="102"/>
              <w:rPr>
                <w:i/>
                <w:sz w:val="16"/>
              </w:rPr>
            </w:pPr>
            <w:r>
              <w:rPr>
                <w:i/>
                <w:spacing w:val="-2"/>
                <w:sz w:val="16"/>
              </w:rPr>
              <w:t>1,050.8</w:t>
            </w:r>
          </w:p>
        </w:tc>
      </w:tr>
      <w:tr>
        <w:trPr>
          <w:trHeight w:val="230" w:hRule="atLeast"/>
        </w:trPr>
        <w:tc>
          <w:tcPr>
            <w:tcW w:w="2461" w:type="dxa"/>
            <w:tcBorders>
              <w:top w:val="single" w:sz="4" w:space="0" w:color="000000"/>
              <w:bottom w:val="single" w:sz="12" w:space="0" w:color="000000"/>
            </w:tcBorders>
          </w:tcPr>
          <w:p>
            <w:pPr>
              <w:pStyle w:val="TableParagraph"/>
              <w:spacing w:before="23"/>
              <w:ind w:left="117"/>
              <w:jc w:val="left"/>
              <w:rPr>
                <w:b/>
                <w:sz w:val="16"/>
              </w:rPr>
            </w:pPr>
            <w:r>
              <w:rPr>
                <w:b/>
                <w:spacing w:val="-2"/>
                <w:sz w:val="16"/>
              </w:rPr>
              <w:t>Total</w:t>
            </w:r>
          </w:p>
        </w:tc>
        <w:tc>
          <w:tcPr>
            <w:tcW w:w="1218" w:type="dxa"/>
            <w:tcBorders>
              <w:top w:val="single" w:sz="4" w:space="0" w:color="000000"/>
              <w:bottom w:val="single" w:sz="12" w:space="0" w:color="000000"/>
            </w:tcBorders>
          </w:tcPr>
          <w:p>
            <w:pPr>
              <w:pStyle w:val="TableParagraph"/>
              <w:spacing w:before="23"/>
              <w:ind w:right="192"/>
              <w:rPr>
                <w:b/>
                <w:sz w:val="16"/>
              </w:rPr>
            </w:pPr>
            <w:r>
              <w:rPr>
                <w:b/>
                <w:spacing w:val="-2"/>
                <w:sz w:val="16"/>
              </w:rPr>
              <w:t>2,745.1</w:t>
            </w:r>
          </w:p>
        </w:tc>
        <w:tc>
          <w:tcPr>
            <w:tcW w:w="827" w:type="dxa"/>
            <w:tcBorders>
              <w:top w:val="single" w:sz="4" w:space="0" w:color="000000"/>
              <w:bottom w:val="single" w:sz="12" w:space="0" w:color="000000"/>
            </w:tcBorders>
          </w:tcPr>
          <w:p>
            <w:pPr>
              <w:pStyle w:val="TableParagraph"/>
              <w:spacing w:before="23"/>
              <w:ind w:right="107"/>
              <w:rPr>
                <w:b/>
                <w:sz w:val="16"/>
              </w:rPr>
            </w:pPr>
            <w:r>
              <w:rPr>
                <w:b/>
                <w:w w:val="98"/>
                <w:sz w:val="16"/>
              </w:rPr>
              <w:t>-</w:t>
            </w:r>
          </w:p>
        </w:tc>
        <w:tc>
          <w:tcPr>
            <w:tcW w:w="1133" w:type="dxa"/>
            <w:tcBorders>
              <w:top w:val="single" w:sz="4" w:space="0" w:color="000000"/>
              <w:bottom w:val="single" w:sz="12" w:space="0" w:color="000000"/>
            </w:tcBorders>
          </w:tcPr>
          <w:p>
            <w:pPr>
              <w:pStyle w:val="TableParagraph"/>
              <w:spacing w:before="23"/>
              <w:ind w:right="106"/>
              <w:rPr>
                <w:b/>
                <w:sz w:val="16"/>
              </w:rPr>
            </w:pPr>
            <w:r>
              <w:rPr>
                <w:b/>
                <w:spacing w:val="-2"/>
                <w:sz w:val="16"/>
              </w:rPr>
              <w:t>2,745.1</w:t>
            </w:r>
          </w:p>
        </w:tc>
        <w:tc>
          <w:tcPr>
            <w:tcW w:w="1078" w:type="dxa"/>
            <w:tcBorders>
              <w:top w:val="single" w:sz="4" w:space="0" w:color="000000"/>
              <w:bottom w:val="single" w:sz="12" w:space="0" w:color="000000"/>
            </w:tcBorders>
          </w:tcPr>
          <w:p>
            <w:pPr>
              <w:pStyle w:val="TableParagraph"/>
              <w:spacing w:before="23"/>
              <w:ind w:right="51"/>
              <w:rPr>
                <w:b/>
                <w:sz w:val="16"/>
              </w:rPr>
            </w:pPr>
            <w:r>
              <w:rPr>
                <w:b/>
                <w:spacing w:val="-2"/>
                <w:sz w:val="16"/>
              </w:rPr>
              <w:t>3,025.6</w:t>
            </w:r>
          </w:p>
        </w:tc>
        <w:tc>
          <w:tcPr>
            <w:tcW w:w="1122" w:type="dxa"/>
            <w:tcBorders>
              <w:top w:val="single" w:sz="4" w:space="0" w:color="000000"/>
              <w:bottom w:val="single" w:sz="12" w:space="0" w:color="000000"/>
            </w:tcBorders>
          </w:tcPr>
          <w:p>
            <w:pPr>
              <w:pStyle w:val="TableParagraph"/>
              <w:spacing w:before="23"/>
              <w:ind w:right="187"/>
              <w:rPr>
                <w:b/>
                <w:sz w:val="16"/>
              </w:rPr>
            </w:pPr>
            <w:r>
              <w:rPr>
                <w:b/>
                <w:spacing w:val="-2"/>
                <w:sz w:val="16"/>
              </w:rPr>
              <w:t>(13.8)</w:t>
            </w:r>
          </w:p>
        </w:tc>
        <w:tc>
          <w:tcPr>
            <w:tcW w:w="753" w:type="dxa"/>
            <w:tcBorders>
              <w:top w:val="single" w:sz="4" w:space="0" w:color="000000"/>
              <w:bottom w:val="single" w:sz="12" w:space="0" w:color="000000"/>
            </w:tcBorders>
          </w:tcPr>
          <w:p>
            <w:pPr>
              <w:pStyle w:val="TableParagraph"/>
              <w:spacing w:before="23"/>
              <w:ind w:right="175"/>
              <w:rPr>
                <w:b/>
                <w:sz w:val="16"/>
              </w:rPr>
            </w:pPr>
            <w:r>
              <w:rPr>
                <w:b/>
                <w:spacing w:val="-2"/>
                <w:sz w:val="16"/>
              </w:rPr>
              <w:t>(0.5)</w:t>
            </w:r>
          </w:p>
        </w:tc>
        <w:tc>
          <w:tcPr>
            <w:tcW w:w="1053" w:type="dxa"/>
            <w:tcBorders>
              <w:top w:val="single" w:sz="4" w:space="0" w:color="000000"/>
              <w:bottom w:val="single" w:sz="12" w:space="0" w:color="000000"/>
            </w:tcBorders>
          </w:tcPr>
          <w:p>
            <w:pPr>
              <w:pStyle w:val="TableParagraph"/>
              <w:spacing w:before="23"/>
              <w:ind w:right="102"/>
              <w:rPr>
                <w:b/>
                <w:sz w:val="16"/>
              </w:rPr>
            </w:pPr>
            <w:r>
              <w:rPr>
                <w:b/>
                <w:spacing w:val="-2"/>
                <w:sz w:val="16"/>
              </w:rPr>
              <w:t>3,011.8</w:t>
            </w:r>
          </w:p>
        </w:tc>
      </w:tr>
    </w:tbl>
    <w:p>
      <w:pPr>
        <w:pStyle w:val="BodyText"/>
        <w:spacing w:before="4"/>
        <w:rPr>
          <w:sz w:val="14"/>
        </w:rPr>
      </w:pPr>
    </w:p>
    <w:p>
      <w:pPr>
        <w:spacing w:before="93"/>
        <w:ind w:left="2246" w:right="0" w:firstLine="0"/>
        <w:jc w:val="left"/>
        <w:rPr>
          <w:b/>
          <w:sz w:val="20"/>
        </w:rPr>
      </w:pPr>
      <w:r>
        <w:rPr>
          <w:b/>
          <w:sz w:val="20"/>
        </w:rPr>
        <w:t>Table</w:t>
      </w:r>
      <w:r>
        <w:rPr>
          <w:b/>
          <w:spacing w:val="-5"/>
          <w:sz w:val="20"/>
        </w:rPr>
        <w:t> </w:t>
      </w:r>
      <w:r>
        <w:rPr>
          <w:b/>
          <w:sz w:val="20"/>
        </w:rPr>
        <w:t>33:</w:t>
      </w:r>
      <w:r>
        <w:rPr>
          <w:b/>
          <w:spacing w:val="-7"/>
          <w:sz w:val="20"/>
        </w:rPr>
        <w:t> </w:t>
      </w:r>
      <w:r>
        <w:rPr>
          <w:b/>
          <w:sz w:val="20"/>
        </w:rPr>
        <w:t>Major</w:t>
      </w:r>
      <w:r>
        <w:rPr>
          <w:b/>
          <w:spacing w:val="-9"/>
          <w:sz w:val="20"/>
        </w:rPr>
        <w:t> </w:t>
      </w:r>
      <w:r>
        <w:rPr>
          <w:b/>
          <w:sz w:val="20"/>
        </w:rPr>
        <w:t>Programme</w:t>
      </w:r>
      <w:r>
        <w:rPr>
          <w:b/>
          <w:spacing w:val="-4"/>
          <w:sz w:val="20"/>
        </w:rPr>
        <w:t> </w:t>
      </w:r>
      <w:r>
        <w:rPr>
          <w:b/>
          <w:sz w:val="20"/>
        </w:rPr>
        <w:t>IV:</w:t>
      </w:r>
      <w:r>
        <w:rPr>
          <w:b/>
          <w:spacing w:val="-7"/>
          <w:sz w:val="20"/>
        </w:rPr>
        <w:t> </w:t>
      </w:r>
      <w:r>
        <w:rPr>
          <w:b/>
          <w:sz w:val="20"/>
        </w:rPr>
        <w:t>Proposed</w:t>
      </w:r>
      <w:r>
        <w:rPr>
          <w:b/>
          <w:spacing w:val="-2"/>
          <w:sz w:val="20"/>
        </w:rPr>
        <w:t> </w:t>
      </w:r>
      <w:r>
        <w:rPr>
          <w:b/>
          <w:sz w:val="20"/>
        </w:rPr>
        <w:t>staffing</w:t>
      </w:r>
      <w:r>
        <w:rPr>
          <w:b/>
          <w:spacing w:val="-7"/>
          <w:sz w:val="20"/>
        </w:rPr>
        <w:t> </w:t>
      </w:r>
      <w:r>
        <w:rPr>
          <w:b/>
          <w:sz w:val="20"/>
        </w:rPr>
        <w:t>for</w:t>
      </w:r>
      <w:r>
        <w:rPr>
          <w:b/>
          <w:spacing w:val="-4"/>
          <w:sz w:val="20"/>
        </w:rPr>
        <w:t> 2023</w:t>
      </w:r>
    </w:p>
    <w:tbl>
      <w:tblPr>
        <w:tblW w:w="0" w:type="auto"/>
        <w:jc w:val="left"/>
        <w:tblInd w:w="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6"/>
        <w:gridCol w:w="678"/>
        <w:gridCol w:w="607"/>
        <w:gridCol w:w="563"/>
        <w:gridCol w:w="557"/>
        <w:gridCol w:w="583"/>
        <w:gridCol w:w="545"/>
        <w:gridCol w:w="737"/>
        <w:gridCol w:w="641"/>
        <w:gridCol w:w="491"/>
        <w:gridCol w:w="792"/>
        <w:gridCol w:w="568"/>
        <w:gridCol w:w="579"/>
        <w:gridCol w:w="561"/>
        <w:gridCol w:w="812"/>
        <w:gridCol w:w="524"/>
      </w:tblGrid>
      <w:tr>
        <w:trPr>
          <w:trHeight w:val="484" w:hRule="atLeast"/>
        </w:trPr>
        <w:tc>
          <w:tcPr>
            <w:tcW w:w="1186"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8" w:lineRule="exact"/>
              <w:ind w:left="67"/>
              <w:jc w:val="left"/>
              <w:rPr>
                <w:sz w:val="14"/>
              </w:rPr>
            </w:pPr>
            <w:r>
              <w:rPr>
                <w:spacing w:val="-5"/>
                <w:sz w:val="14"/>
              </w:rPr>
              <w:t>IV</w:t>
            </w:r>
          </w:p>
        </w:tc>
        <w:tc>
          <w:tcPr>
            <w:tcW w:w="678"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8" w:lineRule="exact"/>
              <w:ind w:right="152"/>
              <w:rPr>
                <w:sz w:val="14"/>
              </w:rPr>
            </w:pPr>
            <w:r>
              <w:rPr>
                <w:spacing w:val="-5"/>
                <w:sz w:val="14"/>
              </w:rPr>
              <w:t>USG</w:t>
            </w:r>
          </w:p>
        </w:tc>
        <w:tc>
          <w:tcPr>
            <w:tcW w:w="607"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8" w:lineRule="exact"/>
              <w:ind w:right="169"/>
              <w:rPr>
                <w:sz w:val="14"/>
              </w:rPr>
            </w:pPr>
            <w:r>
              <w:rPr>
                <w:spacing w:val="-5"/>
                <w:sz w:val="14"/>
              </w:rPr>
              <w:t>ASG</w:t>
            </w:r>
          </w:p>
        </w:tc>
        <w:tc>
          <w:tcPr>
            <w:tcW w:w="563"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8" w:lineRule="exact"/>
              <w:ind w:right="167"/>
              <w:rPr>
                <w:sz w:val="14"/>
              </w:rPr>
            </w:pPr>
            <w:r>
              <w:rPr>
                <w:w w:val="95"/>
                <w:sz w:val="14"/>
              </w:rPr>
              <w:t>D-</w:t>
            </w:r>
            <w:r>
              <w:rPr>
                <w:spacing w:val="-10"/>
                <w:sz w:val="14"/>
              </w:rPr>
              <w:t>2</w:t>
            </w:r>
          </w:p>
        </w:tc>
        <w:tc>
          <w:tcPr>
            <w:tcW w:w="557"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8" w:lineRule="exact"/>
              <w:ind w:right="163"/>
              <w:rPr>
                <w:sz w:val="14"/>
              </w:rPr>
            </w:pPr>
            <w:r>
              <w:rPr>
                <w:w w:val="95"/>
                <w:sz w:val="14"/>
              </w:rPr>
              <w:t>D-</w:t>
            </w:r>
            <w:r>
              <w:rPr>
                <w:spacing w:val="-10"/>
                <w:sz w:val="14"/>
              </w:rPr>
              <w:t>1</w:t>
            </w:r>
          </w:p>
        </w:tc>
        <w:tc>
          <w:tcPr>
            <w:tcW w:w="583"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8" w:lineRule="exact"/>
              <w:ind w:left="157" w:right="112"/>
              <w:jc w:val="center"/>
              <w:rPr>
                <w:sz w:val="14"/>
              </w:rPr>
            </w:pPr>
            <w:r>
              <w:rPr>
                <w:w w:val="95"/>
                <w:sz w:val="14"/>
              </w:rPr>
              <w:t>P-</w:t>
            </w:r>
            <w:r>
              <w:rPr>
                <w:spacing w:val="-10"/>
                <w:sz w:val="14"/>
              </w:rPr>
              <w:t>5</w:t>
            </w:r>
          </w:p>
        </w:tc>
        <w:tc>
          <w:tcPr>
            <w:tcW w:w="545"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8" w:lineRule="exact"/>
              <w:ind w:right="129"/>
              <w:rPr>
                <w:sz w:val="14"/>
              </w:rPr>
            </w:pPr>
            <w:r>
              <w:rPr>
                <w:w w:val="95"/>
                <w:sz w:val="14"/>
              </w:rPr>
              <w:t>P-</w:t>
            </w:r>
            <w:r>
              <w:rPr>
                <w:spacing w:val="-10"/>
                <w:sz w:val="14"/>
              </w:rPr>
              <w:t>4</w:t>
            </w:r>
          </w:p>
        </w:tc>
        <w:tc>
          <w:tcPr>
            <w:tcW w:w="737"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8" w:lineRule="exact"/>
              <w:ind w:right="270"/>
              <w:rPr>
                <w:sz w:val="14"/>
              </w:rPr>
            </w:pPr>
            <w:r>
              <w:rPr>
                <w:w w:val="95"/>
                <w:sz w:val="14"/>
              </w:rPr>
              <w:t>P-</w:t>
            </w:r>
            <w:r>
              <w:rPr>
                <w:spacing w:val="-10"/>
                <w:sz w:val="14"/>
              </w:rPr>
              <w:t>3</w:t>
            </w:r>
          </w:p>
        </w:tc>
        <w:tc>
          <w:tcPr>
            <w:tcW w:w="641"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8" w:lineRule="exact"/>
              <w:ind w:right="171"/>
              <w:rPr>
                <w:sz w:val="14"/>
              </w:rPr>
            </w:pPr>
            <w:r>
              <w:rPr>
                <w:w w:val="95"/>
                <w:sz w:val="14"/>
              </w:rPr>
              <w:t>P-</w:t>
            </w:r>
            <w:r>
              <w:rPr>
                <w:spacing w:val="-10"/>
                <w:sz w:val="14"/>
              </w:rPr>
              <w:t>2</w:t>
            </w:r>
          </w:p>
        </w:tc>
        <w:tc>
          <w:tcPr>
            <w:tcW w:w="491"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8" w:lineRule="exact"/>
              <w:ind w:right="67"/>
              <w:rPr>
                <w:sz w:val="14"/>
              </w:rPr>
            </w:pPr>
            <w:r>
              <w:rPr>
                <w:w w:val="95"/>
                <w:sz w:val="14"/>
              </w:rPr>
              <w:t>P-</w:t>
            </w:r>
            <w:r>
              <w:rPr>
                <w:spacing w:val="-10"/>
                <w:sz w:val="14"/>
              </w:rPr>
              <w:t>1</w:t>
            </w:r>
          </w:p>
        </w:tc>
        <w:tc>
          <w:tcPr>
            <w:tcW w:w="792" w:type="dxa"/>
            <w:tcBorders>
              <w:top w:val="single" w:sz="4" w:space="0" w:color="000000"/>
              <w:bottom w:val="single" w:sz="4" w:space="0" w:color="000000"/>
            </w:tcBorders>
          </w:tcPr>
          <w:p>
            <w:pPr>
              <w:pStyle w:val="TableParagraph"/>
              <w:spacing w:line="151" w:lineRule="exact"/>
              <w:ind w:left="370"/>
              <w:jc w:val="left"/>
              <w:rPr>
                <w:i/>
                <w:sz w:val="14"/>
              </w:rPr>
            </w:pPr>
            <w:r>
              <w:rPr>
                <w:i/>
                <w:spacing w:val="-2"/>
                <w:sz w:val="14"/>
              </w:rPr>
              <w:t>Total</w:t>
            </w:r>
          </w:p>
          <w:p>
            <w:pPr>
              <w:pStyle w:val="TableParagraph"/>
              <w:spacing w:line="160" w:lineRule="atLeast"/>
              <w:ind w:left="71" w:right="115" w:firstLine="201"/>
              <w:jc w:val="left"/>
              <w:rPr>
                <w:i/>
                <w:sz w:val="14"/>
              </w:rPr>
            </w:pPr>
            <w:r>
              <w:rPr>
                <w:i/>
                <w:spacing w:val="-2"/>
                <w:sz w:val="14"/>
              </w:rPr>
              <w:t>P-Staff</w:t>
            </w:r>
            <w:r>
              <w:rPr>
                <w:i/>
                <w:spacing w:val="40"/>
                <w:sz w:val="14"/>
              </w:rPr>
              <w:t> </w:t>
            </w:r>
            <w:r>
              <w:rPr>
                <w:i/>
                <w:sz w:val="14"/>
              </w:rPr>
              <w:t>and</w:t>
            </w:r>
            <w:r>
              <w:rPr>
                <w:i/>
                <w:spacing w:val="1"/>
                <w:sz w:val="14"/>
              </w:rPr>
              <w:t> </w:t>
            </w:r>
            <w:r>
              <w:rPr>
                <w:i/>
                <w:spacing w:val="-2"/>
                <w:sz w:val="14"/>
              </w:rPr>
              <w:t>Above</w:t>
            </w:r>
          </w:p>
        </w:tc>
        <w:tc>
          <w:tcPr>
            <w:tcW w:w="568"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8" w:lineRule="exact"/>
              <w:ind w:right="93"/>
              <w:rPr>
                <w:sz w:val="14"/>
              </w:rPr>
            </w:pPr>
            <w:r>
              <w:rPr>
                <w:w w:val="95"/>
                <w:sz w:val="14"/>
              </w:rPr>
              <w:t>NO-</w:t>
            </w:r>
            <w:r>
              <w:rPr>
                <w:spacing w:val="-10"/>
                <w:sz w:val="14"/>
              </w:rPr>
              <w:t>C</w:t>
            </w:r>
          </w:p>
        </w:tc>
        <w:tc>
          <w:tcPr>
            <w:tcW w:w="579"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8" w:lineRule="exact"/>
              <w:ind w:right="85"/>
              <w:rPr>
                <w:sz w:val="14"/>
              </w:rPr>
            </w:pPr>
            <w:r>
              <w:rPr>
                <w:w w:val="95"/>
                <w:sz w:val="14"/>
              </w:rPr>
              <w:t>GS-</w:t>
            </w:r>
            <w:r>
              <w:rPr>
                <w:spacing w:val="-5"/>
                <w:sz w:val="14"/>
              </w:rPr>
              <w:t>PL</w:t>
            </w:r>
          </w:p>
        </w:tc>
        <w:tc>
          <w:tcPr>
            <w:tcW w:w="561"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8" w:lineRule="exact"/>
              <w:ind w:right="54"/>
              <w:rPr>
                <w:sz w:val="14"/>
              </w:rPr>
            </w:pPr>
            <w:r>
              <w:rPr>
                <w:w w:val="95"/>
                <w:sz w:val="14"/>
              </w:rPr>
              <w:t>GS-</w:t>
            </w:r>
            <w:r>
              <w:rPr>
                <w:spacing w:val="-5"/>
                <w:sz w:val="14"/>
              </w:rPr>
              <w:t>OL</w:t>
            </w:r>
          </w:p>
        </w:tc>
        <w:tc>
          <w:tcPr>
            <w:tcW w:w="812" w:type="dxa"/>
            <w:tcBorders>
              <w:top w:val="single" w:sz="4" w:space="0" w:color="000000"/>
              <w:bottom w:val="single" w:sz="4" w:space="0" w:color="000000"/>
            </w:tcBorders>
          </w:tcPr>
          <w:p>
            <w:pPr>
              <w:pStyle w:val="TableParagraph"/>
              <w:spacing w:line="151" w:lineRule="exact"/>
              <w:ind w:left="386"/>
              <w:jc w:val="left"/>
              <w:rPr>
                <w:i/>
                <w:sz w:val="14"/>
              </w:rPr>
            </w:pPr>
            <w:r>
              <w:rPr>
                <w:i/>
                <w:spacing w:val="-2"/>
                <w:sz w:val="14"/>
              </w:rPr>
              <w:t>Total</w:t>
            </w:r>
          </w:p>
          <w:p>
            <w:pPr>
              <w:pStyle w:val="TableParagraph"/>
              <w:spacing w:line="160" w:lineRule="atLeast"/>
              <w:ind w:left="64" w:right="123" w:firstLine="197"/>
              <w:jc w:val="left"/>
              <w:rPr>
                <w:i/>
                <w:sz w:val="14"/>
              </w:rPr>
            </w:pPr>
            <w:r>
              <w:rPr>
                <w:i/>
                <w:sz w:val="14"/>
              </w:rPr>
              <w:t>GS</w:t>
            </w:r>
            <w:r>
              <w:rPr>
                <w:i/>
                <w:spacing w:val="-9"/>
                <w:sz w:val="14"/>
              </w:rPr>
              <w:t> </w:t>
            </w:r>
            <w:r>
              <w:rPr>
                <w:i/>
                <w:sz w:val="14"/>
              </w:rPr>
              <w:t>and</w:t>
            </w:r>
            <w:r>
              <w:rPr>
                <w:i/>
                <w:spacing w:val="40"/>
                <w:sz w:val="14"/>
              </w:rPr>
              <w:t> </w:t>
            </w:r>
            <w:r>
              <w:rPr>
                <w:i/>
                <w:sz w:val="14"/>
              </w:rPr>
              <w:t>Other</w:t>
            </w:r>
            <w:r>
              <w:rPr>
                <w:i/>
                <w:spacing w:val="-5"/>
                <w:sz w:val="14"/>
              </w:rPr>
              <w:t> </w:t>
            </w:r>
            <w:r>
              <w:rPr>
                <w:i/>
                <w:spacing w:val="-2"/>
                <w:sz w:val="14"/>
              </w:rPr>
              <w:t>Staff</w:t>
            </w:r>
          </w:p>
        </w:tc>
        <w:tc>
          <w:tcPr>
            <w:tcW w:w="524" w:type="dxa"/>
            <w:tcBorders>
              <w:top w:val="single" w:sz="4" w:space="0" w:color="000000"/>
              <w:bottom w:val="single" w:sz="4" w:space="0" w:color="000000"/>
            </w:tcBorders>
          </w:tcPr>
          <w:p>
            <w:pPr>
              <w:pStyle w:val="TableParagraph"/>
              <w:spacing w:before="4"/>
              <w:jc w:val="left"/>
              <w:rPr>
                <w:b/>
                <w:sz w:val="12"/>
              </w:rPr>
            </w:pPr>
          </w:p>
          <w:p>
            <w:pPr>
              <w:pStyle w:val="TableParagraph"/>
              <w:spacing w:line="160" w:lineRule="atLeast"/>
              <w:ind w:left="183" w:hanging="34"/>
              <w:jc w:val="left"/>
              <w:rPr>
                <w:b/>
                <w:sz w:val="14"/>
              </w:rPr>
            </w:pPr>
            <w:r>
              <w:rPr>
                <w:b/>
                <w:spacing w:val="-4"/>
                <w:sz w:val="14"/>
              </w:rPr>
              <w:t>Total</w:t>
            </w:r>
            <w:r>
              <w:rPr>
                <w:b/>
                <w:spacing w:val="40"/>
                <w:sz w:val="14"/>
              </w:rPr>
              <w:t> </w:t>
            </w:r>
            <w:r>
              <w:rPr>
                <w:b/>
                <w:spacing w:val="-4"/>
                <w:sz w:val="14"/>
              </w:rPr>
              <w:t>Staff</w:t>
            </w:r>
          </w:p>
        </w:tc>
      </w:tr>
      <w:tr>
        <w:trPr>
          <w:trHeight w:val="228" w:hRule="atLeast"/>
        </w:trPr>
        <w:tc>
          <w:tcPr>
            <w:tcW w:w="1186" w:type="dxa"/>
            <w:tcBorders>
              <w:top w:val="single" w:sz="4" w:space="0" w:color="000000"/>
            </w:tcBorders>
          </w:tcPr>
          <w:p>
            <w:pPr>
              <w:pStyle w:val="TableParagraph"/>
              <w:spacing w:before="23"/>
              <w:ind w:left="67"/>
              <w:jc w:val="left"/>
              <w:rPr>
                <w:b/>
                <w:sz w:val="14"/>
              </w:rPr>
            </w:pPr>
            <w:r>
              <w:rPr>
                <w:b/>
                <w:spacing w:val="-2"/>
                <w:sz w:val="14"/>
              </w:rPr>
              <w:t>Established</w:t>
            </w:r>
            <w:r>
              <w:rPr>
                <w:b/>
                <w:spacing w:val="11"/>
                <w:sz w:val="14"/>
              </w:rPr>
              <w:t> </w:t>
            </w:r>
            <w:r>
              <w:rPr>
                <w:b/>
                <w:spacing w:val="-2"/>
                <w:sz w:val="14"/>
              </w:rPr>
              <w:t>Posts</w:t>
            </w:r>
          </w:p>
        </w:tc>
        <w:tc>
          <w:tcPr>
            <w:tcW w:w="678" w:type="dxa"/>
            <w:tcBorders>
              <w:top w:val="single" w:sz="4" w:space="0" w:color="000000"/>
            </w:tcBorders>
          </w:tcPr>
          <w:p>
            <w:pPr>
              <w:pStyle w:val="TableParagraph"/>
              <w:jc w:val="left"/>
              <w:rPr>
                <w:sz w:val="14"/>
              </w:rPr>
            </w:pPr>
          </w:p>
        </w:tc>
        <w:tc>
          <w:tcPr>
            <w:tcW w:w="607" w:type="dxa"/>
            <w:tcBorders>
              <w:top w:val="single" w:sz="4" w:space="0" w:color="000000"/>
            </w:tcBorders>
          </w:tcPr>
          <w:p>
            <w:pPr>
              <w:pStyle w:val="TableParagraph"/>
              <w:jc w:val="left"/>
              <w:rPr>
                <w:sz w:val="14"/>
              </w:rPr>
            </w:pPr>
          </w:p>
        </w:tc>
        <w:tc>
          <w:tcPr>
            <w:tcW w:w="563" w:type="dxa"/>
            <w:tcBorders>
              <w:top w:val="single" w:sz="4" w:space="0" w:color="000000"/>
            </w:tcBorders>
          </w:tcPr>
          <w:p>
            <w:pPr>
              <w:pStyle w:val="TableParagraph"/>
              <w:jc w:val="left"/>
              <w:rPr>
                <w:sz w:val="14"/>
              </w:rPr>
            </w:pPr>
          </w:p>
        </w:tc>
        <w:tc>
          <w:tcPr>
            <w:tcW w:w="557" w:type="dxa"/>
            <w:tcBorders>
              <w:top w:val="single" w:sz="4" w:space="0" w:color="000000"/>
            </w:tcBorders>
          </w:tcPr>
          <w:p>
            <w:pPr>
              <w:pStyle w:val="TableParagraph"/>
              <w:jc w:val="left"/>
              <w:rPr>
                <w:sz w:val="14"/>
              </w:rPr>
            </w:pPr>
          </w:p>
        </w:tc>
        <w:tc>
          <w:tcPr>
            <w:tcW w:w="583" w:type="dxa"/>
            <w:tcBorders>
              <w:top w:val="single" w:sz="4" w:space="0" w:color="000000"/>
            </w:tcBorders>
          </w:tcPr>
          <w:p>
            <w:pPr>
              <w:pStyle w:val="TableParagraph"/>
              <w:jc w:val="left"/>
              <w:rPr>
                <w:sz w:val="14"/>
              </w:rPr>
            </w:pPr>
          </w:p>
        </w:tc>
        <w:tc>
          <w:tcPr>
            <w:tcW w:w="545" w:type="dxa"/>
            <w:tcBorders>
              <w:top w:val="single" w:sz="4" w:space="0" w:color="000000"/>
            </w:tcBorders>
          </w:tcPr>
          <w:p>
            <w:pPr>
              <w:pStyle w:val="TableParagraph"/>
              <w:jc w:val="left"/>
              <w:rPr>
                <w:sz w:val="14"/>
              </w:rPr>
            </w:pPr>
          </w:p>
        </w:tc>
        <w:tc>
          <w:tcPr>
            <w:tcW w:w="737" w:type="dxa"/>
            <w:tcBorders>
              <w:top w:val="single" w:sz="4" w:space="0" w:color="000000"/>
            </w:tcBorders>
          </w:tcPr>
          <w:p>
            <w:pPr>
              <w:pStyle w:val="TableParagraph"/>
              <w:jc w:val="left"/>
              <w:rPr>
                <w:sz w:val="14"/>
              </w:rPr>
            </w:pPr>
          </w:p>
        </w:tc>
        <w:tc>
          <w:tcPr>
            <w:tcW w:w="641" w:type="dxa"/>
            <w:tcBorders>
              <w:top w:val="single" w:sz="4" w:space="0" w:color="000000"/>
            </w:tcBorders>
          </w:tcPr>
          <w:p>
            <w:pPr>
              <w:pStyle w:val="TableParagraph"/>
              <w:jc w:val="left"/>
              <w:rPr>
                <w:sz w:val="14"/>
              </w:rPr>
            </w:pPr>
          </w:p>
        </w:tc>
        <w:tc>
          <w:tcPr>
            <w:tcW w:w="491" w:type="dxa"/>
            <w:tcBorders>
              <w:top w:val="single" w:sz="4" w:space="0" w:color="000000"/>
            </w:tcBorders>
          </w:tcPr>
          <w:p>
            <w:pPr>
              <w:pStyle w:val="TableParagraph"/>
              <w:jc w:val="left"/>
              <w:rPr>
                <w:sz w:val="14"/>
              </w:rPr>
            </w:pPr>
          </w:p>
        </w:tc>
        <w:tc>
          <w:tcPr>
            <w:tcW w:w="792" w:type="dxa"/>
            <w:tcBorders>
              <w:top w:val="single" w:sz="4" w:space="0" w:color="000000"/>
            </w:tcBorders>
          </w:tcPr>
          <w:p>
            <w:pPr>
              <w:pStyle w:val="TableParagraph"/>
              <w:jc w:val="left"/>
              <w:rPr>
                <w:sz w:val="14"/>
              </w:rPr>
            </w:pPr>
          </w:p>
        </w:tc>
        <w:tc>
          <w:tcPr>
            <w:tcW w:w="568" w:type="dxa"/>
            <w:tcBorders>
              <w:top w:val="single" w:sz="4" w:space="0" w:color="000000"/>
            </w:tcBorders>
          </w:tcPr>
          <w:p>
            <w:pPr>
              <w:pStyle w:val="TableParagraph"/>
              <w:jc w:val="left"/>
              <w:rPr>
                <w:sz w:val="14"/>
              </w:rPr>
            </w:pPr>
          </w:p>
        </w:tc>
        <w:tc>
          <w:tcPr>
            <w:tcW w:w="579" w:type="dxa"/>
            <w:tcBorders>
              <w:top w:val="single" w:sz="4" w:space="0" w:color="000000"/>
            </w:tcBorders>
          </w:tcPr>
          <w:p>
            <w:pPr>
              <w:pStyle w:val="TableParagraph"/>
              <w:jc w:val="left"/>
              <w:rPr>
                <w:sz w:val="14"/>
              </w:rPr>
            </w:pPr>
          </w:p>
        </w:tc>
        <w:tc>
          <w:tcPr>
            <w:tcW w:w="561" w:type="dxa"/>
            <w:tcBorders>
              <w:top w:val="single" w:sz="4" w:space="0" w:color="000000"/>
            </w:tcBorders>
          </w:tcPr>
          <w:p>
            <w:pPr>
              <w:pStyle w:val="TableParagraph"/>
              <w:jc w:val="left"/>
              <w:rPr>
                <w:sz w:val="14"/>
              </w:rPr>
            </w:pPr>
          </w:p>
        </w:tc>
        <w:tc>
          <w:tcPr>
            <w:tcW w:w="812" w:type="dxa"/>
            <w:tcBorders>
              <w:top w:val="single" w:sz="4" w:space="0" w:color="000000"/>
            </w:tcBorders>
          </w:tcPr>
          <w:p>
            <w:pPr>
              <w:pStyle w:val="TableParagraph"/>
              <w:jc w:val="left"/>
              <w:rPr>
                <w:sz w:val="14"/>
              </w:rPr>
            </w:pPr>
          </w:p>
        </w:tc>
        <w:tc>
          <w:tcPr>
            <w:tcW w:w="524" w:type="dxa"/>
            <w:tcBorders>
              <w:top w:val="single" w:sz="4" w:space="0" w:color="000000"/>
            </w:tcBorders>
          </w:tcPr>
          <w:p>
            <w:pPr>
              <w:pStyle w:val="TableParagraph"/>
              <w:jc w:val="left"/>
              <w:rPr>
                <w:sz w:val="14"/>
              </w:rPr>
            </w:pPr>
          </w:p>
        </w:tc>
      </w:tr>
      <w:tr>
        <w:trPr>
          <w:trHeight w:val="221" w:hRule="atLeast"/>
        </w:trPr>
        <w:tc>
          <w:tcPr>
            <w:tcW w:w="1186" w:type="dxa"/>
            <w:tcBorders>
              <w:bottom w:val="single" w:sz="12" w:space="0" w:color="000000"/>
            </w:tcBorders>
          </w:tcPr>
          <w:p>
            <w:pPr>
              <w:pStyle w:val="TableParagraph"/>
              <w:spacing w:before="20"/>
              <w:ind w:left="67"/>
              <w:jc w:val="left"/>
              <w:rPr>
                <w:sz w:val="14"/>
              </w:rPr>
            </w:pPr>
            <w:r>
              <w:rPr>
                <w:w w:val="95"/>
                <w:sz w:val="14"/>
              </w:rPr>
              <w:t>Approved</w:t>
            </w:r>
            <w:r>
              <w:rPr>
                <w:spacing w:val="22"/>
                <w:sz w:val="14"/>
              </w:rPr>
              <w:t> </w:t>
            </w:r>
            <w:r>
              <w:rPr>
                <w:spacing w:val="-4"/>
                <w:sz w:val="14"/>
              </w:rPr>
              <w:t>2022</w:t>
            </w:r>
          </w:p>
        </w:tc>
        <w:tc>
          <w:tcPr>
            <w:tcW w:w="678" w:type="dxa"/>
            <w:tcBorders>
              <w:bottom w:val="single" w:sz="12" w:space="0" w:color="000000"/>
            </w:tcBorders>
          </w:tcPr>
          <w:p>
            <w:pPr>
              <w:pStyle w:val="TableParagraph"/>
              <w:spacing w:before="20"/>
              <w:ind w:right="154"/>
              <w:rPr>
                <w:sz w:val="14"/>
              </w:rPr>
            </w:pPr>
            <w:r>
              <w:rPr>
                <w:w w:val="99"/>
                <w:sz w:val="14"/>
              </w:rPr>
              <w:t>-</w:t>
            </w:r>
          </w:p>
        </w:tc>
        <w:tc>
          <w:tcPr>
            <w:tcW w:w="607" w:type="dxa"/>
            <w:tcBorders>
              <w:bottom w:val="single" w:sz="12" w:space="0" w:color="000000"/>
            </w:tcBorders>
          </w:tcPr>
          <w:p>
            <w:pPr>
              <w:pStyle w:val="TableParagraph"/>
              <w:spacing w:before="20"/>
              <w:ind w:right="170"/>
              <w:rPr>
                <w:sz w:val="14"/>
              </w:rPr>
            </w:pPr>
            <w:r>
              <w:rPr>
                <w:w w:val="99"/>
                <w:sz w:val="14"/>
              </w:rPr>
              <w:t>-</w:t>
            </w:r>
          </w:p>
        </w:tc>
        <w:tc>
          <w:tcPr>
            <w:tcW w:w="563" w:type="dxa"/>
            <w:tcBorders>
              <w:bottom w:val="single" w:sz="12" w:space="0" w:color="000000"/>
            </w:tcBorders>
          </w:tcPr>
          <w:p>
            <w:pPr>
              <w:pStyle w:val="TableParagraph"/>
              <w:spacing w:before="20"/>
              <w:ind w:right="171"/>
              <w:rPr>
                <w:sz w:val="14"/>
              </w:rPr>
            </w:pPr>
            <w:r>
              <w:rPr>
                <w:w w:val="99"/>
                <w:sz w:val="14"/>
              </w:rPr>
              <w:t>-</w:t>
            </w:r>
          </w:p>
        </w:tc>
        <w:tc>
          <w:tcPr>
            <w:tcW w:w="557" w:type="dxa"/>
            <w:tcBorders>
              <w:bottom w:val="single" w:sz="12" w:space="0" w:color="000000"/>
            </w:tcBorders>
          </w:tcPr>
          <w:p>
            <w:pPr>
              <w:pStyle w:val="TableParagraph"/>
              <w:spacing w:before="20"/>
              <w:ind w:right="168"/>
              <w:rPr>
                <w:sz w:val="14"/>
              </w:rPr>
            </w:pPr>
            <w:r>
              <w:rPr>
                <w:w w:val="99"/>
                <w:sz w:val="14"/>
              </w:rPr>
              <w:t>1</w:t>
            </w:r>
          </w:p>
        </w:tc>
        <w:tc>
          <w:tcPr>
            <w:tcW w:w="583" w:type="dxa"/>
            <w:tcBorders>
              <w:bottom w:val="single" w:sz="12" w:space="0" w:color="000000"/>
            </w:tcBorders>
          </w:tcPr>
          <w:p>
            <w:pPr>
              <w:pStyle w:val="TableParagraph"/>
              <w:spacing w:before="20"/>
              <w:ind w:left="170"/>
              <w:jc w:val="center"/>
              <w:rPr>
                <w:sz w:val="14"/>
              </w:rPr>
            </w:pPr>
            <w:r>
              <w:rPr>
                <w:w w:val="99"/>
                <w:sz w:val="14"/>
              </w:rPr>
              <w:t>1</w:t>
            </w:r>
          </w:p>
        </w:tc>
        <w:tc>
          <w:tcPr>
            <w:tcW w:w="545" w:type="dxa"/>
            <w:tcBorders>
              <w:bottom w:val="single" w:sz="12" w:space="0" w:color="000000"/>
            </w:tcBorders>
          </w:tcPr>
          <w:p>
            <w:pPr>
              <w:pStyle w:val="TableParagraph"/>
              <w:spacing w:before="20"/>
              <w:ind w:right="129"/>
              <w:rPr>
                <w:sz w:val="14"/>
              </w:rPr>
            </w:pPr>
            <w:r>
              <w:rPr>
                <w:w w:val="99"/>
                <w:sz w:val="14"/>
              </w:rPr>
              <w:t>1</w:t>
            </w:r>
          </w:p>
        </w:tc>
        <w:tc>
          <w:tcPr>
            <w:tcW w:w="737" w:type="dxa"/>
            <w:tcBorders>
              <w:bottom w:val="single" w:sz="12" w:space="0" w:color="000000"/>
            </w:tcBorders>
          </w:tcPr>
          <w:p>
            <w:pPr>
              <w:pStyle w:val="TableParagraph"/>
              <w:spacing w:before="20"/>
              <w:ind w:right="270"/>
              <w:rPr>
                <w:sz w:val="14"/>
              </w:rPr>
            </w:pPr>
            <w:r>
              <w:rPr>
                <w:w w:val="99"/>
                <w:sz w:val="14"/>
              </w:rPr>
              <w:t>1</w:t>
            </w:r>
          </w:p>
        </w:tc>
        <w:tc>
          <w:tcPr>
            <w:tcW w:w="641" w:type="dxa"/>
            <w:tcBorders>
              <w:bottom w:val="single" w:sz="12" w:space="0" w:color="000000"/>
            </w:tcBorders>
          </w:tcPr>
          <w:p>
            <w:pPr>
              <w:pStyle w:val="TableParagraph"/>
              <w:spacing w:before="20"/>
              <w:ind w:right="171"/>
              <w:rPr>
                <w:sz w:val="14"/>
              </w:rPr>
            </w:pPr>
            <w:r>
              <w:rPr>
                <w:w w:val="99"/>
                <w:sz w:val="14"/>
              </w:rPr>
              <w:t>1</w:t>
            </w:r>
          </w:p>
        </w:tc>
        <w:tc>
          <w:tcPr>
            <w:tcW w:w="491" w:type="dxa"/>
            <w:tcBorders>
              <w:bottom w:val="single" w:sz="12" w:space="0" w:color="000000"/>
            </w:tcBorders>
          </w:tcPr>
          <w:p>
            <w:pPr>
              <w:pStyle w:val="TableParagraph"/>
              <w:spacing w:before="20"/>
              <w:ind w:right="66"/>
              <w:rPr>
                <w:sz w:val="14"/>
              </w:rPr>
            </w:pPr>
            <w:r>
              <w:rPr>
                <w:w w:val="99"/>
                <w:sz w:val="14"/>
              </w:rPr>
              <w:t>-</w:t>
            </w:r>
          </w:p>
        </w:tc>
        <w:tc>
          <w:tcPr>
            <w:tcW w:w="792" w:type="dxa"/>
            <w:tcBorders>
              <w:bottom w:val="single" w:sz="12" w:space="0" w:color="000000"/>
            </w:tcBorders>
          </w:tcPr>
          <w:p>
            <w:pPr>
              <w:pStyle w:val="TableParagraph"/>
              <w:spacing w:before="20"/>
              <w:ind w:right="124"/>
              <w:rPr>
                <w:i/>
                <w:sz w:val="14"/>
              </w:rPr>
            </w:pPr>
            <w:r>
              <w:rPr>
                <w:i/>
                <w:w w:val="99"/>
                <w:sz w:val="14"/>
              </w:rPr>
              <w:t>5</w:t>
            </w:r>
          </w:p>
        </w:tc>
        <w:tc>
          <w:tcPr>
            <w:tcW w:w="568" w:type="dxa"/>
            <w:tcBorders>
              <w:bottom w:val="single" w:sz="12" w:space="0" w:color="000000"/>
            </w:tcBorders>
          </w:tcPr>
          <w:p>
            <w:pPr>
              <w:pStyle w:val="TableParagraph"/>
              <w:spacing w:before="20"/>
              <w:ind w:right="96"/>
              <w:rPr>
                <w:sz w:val="14"/>
              </w:rPr>
            </w:pPr>
            <w:r>
              <w:rPr>
                <w:w w:val="99"/>
                <w:sz w:val="14"/>
              </w:rPr>
              <w:t>-</w:t>
            </w:r>
          </w:p>
        </w:tc>
        <w:tc>
          <w:tcPr>
            <w:tcW w:w="579" w:type="dxa"/>
            <w:tcBorders>
              <w:bottom w:val="single" w:sz="12" w:space="0" w:color="000000"/>
            </w:tcBorders>
          </w:tcPr>
          <w:p>
            <w:pPr>
              <w:pStyle w:val="TableParagraph"/>
              <w:spacing w:before="20"/>
              <w:ind w:right="85"/>
              <w:rPr>
                <w:sz w:val="14"/>
              </w:rPr>
            </w:pPr>
            <w:r>
              <w:rPr>
                <w:w w:val="99"/>
                <w:sz w:val="14"/>
              </w:rPr>
              <w:t>2</w:t>
            </w:r>
          </w:p>
        </w:tc>
        <w:tc>
          <w:tcPr>
            <w:tcW w:w="561" w:type="dxa"/>
            <w:tcBorders>
              <w:bottom w:val="single" w:sz="12" w:space="0" w:color="000000"/>
            </w:tcBorders>
          </w:tcPr>
          <w:p>
            <w:pPr>
              <w:pStyle w:val="TableParagraph"/>
              <w:spacing w:before="20"/>
              <w:ind w:right="56"/>
              <w:rPr>
                <w:sz w:val="14"/>
              </w:rPr>
            </w:pPr>
            <w:r>
              <w:rPr>
                <w:w w:val="99"/>
                <w:sz w:val="14"/>
              </w:rPr>
              <w:t>3</w:t>
            </w:r>
          </w:p>
        </w:tc>
        <w:tc>
          <w:tcPr>
            <w:tcW w:w="812" w:type="dxa"/>
            <w:tcBorders>
              <w:bottom w:val="single" w:sz="12" w:space="0" w:color="000000"/>
            </w:tcBorders>
          </w:tcPr>
          <w:p>
            <w:pPr>
              <w:pStyle w:val="TableParagraph"/>
              <w:spacing w:before="20"/>
              <w:ind w:right="128"/>
              <w:rPr>
                <w:i/>
                <w:sz w:val="14"/>
              </w:rPr>
            </w:pPr>
            <w:r>
              <w:rPr>
                <w:i/>
                <w:w w:val="99"/>
                <w:sz w:val="14"/>
              </w:rPr>
              <w:t>5</w:t>
            </w:r>
          </w:p>
        </w:tc>
        <w:tc>
          <w:tcPr>
            <w:tcW w:w="524" w:type="dxa"/>
            <w:tcBorders>
              <w:bottom w:val="single" w:sz="12" w:space="0" w:color="000000"/>
            </w:tcBorders>
          </w:tcPr>
          <w:p>
            <w:pPr>
              <w:pStyle w:val="TableParagraph"/>
              <w:spacing w:before="20"/>
              <w:ind w:right="45"/>
              <w:rPr>
                <w:b/>
                <w:sz w:val="14"/>
              </w:rPr>
            </w:pPr>
            <w:r>
              <w:rPr>
                <w:b/>
                <w:spacing w:val="-5"/>
                <w:sz w:val="14"/>
              </w:rPr>
              <w:t>10</w:t>
            </w:r>
          </w:p>
        </w:tc>
      </w:tr>
      <w:tr>
        <w:trPr>
          <w:trHeight w:val="230" w:hRule="atLeast"/>
        </w:trPr>
        <w:tc>
          <w:tcPr>
            <w:tcW w:w="1186" w:type="dxa"/>
            <w:tcBorders>
              <w:top w:val="single" w:sz="12" w:space="0" w:color="000000"/>
              <w:bottom w:val="single" w:sz="4" w:space="0" w:color="000000"/>
            </w:tcBorders>
          </w:tcPr>
          <w:p>
            <w:pPr>
              <w:pStyle w:val="TableParagraph"/>
              <w:spacing w:before="27"/>
              <w:ind w:left="67"/>
              <w:jc w:val="left"/>
              <w:rPr>
                <w:sz w:val="14"/>
              </w:rPr>
            </w:pPr>
            <w:r>
              <w:rPr>
                <w:spacing w:val="-5"/>
                <w:sz w:val="14"/>
              </w:rPr>
              <w:t>New</w:t>
            </w:r>
          </w:p>
        </w:tc>
        <w:tc>
          <w:tcPr>
            <w:tcW w:w="678" w:type="dxa"/>
            <w:tcBorders>
              <w:top w:val="single" w:sz="12" w:space="0" w:color="000000"/>
              <w:bottom w:val="single" w:sz="4" w:space="0" w:color="000000"/>
            </w:tcBorders>
          </w:tcPr>
          <w:p>
            <w:pPr>
              <w:pStyle w:val="TableParagraph"/>
              <w:spacing w:before="27"/>
              <w:ind w:right="154"/>
              <w:rPr>
                <w:sz w:val="14"/>
              </w:rPr>
            </w:pPr>
            <w:r>
              <w:rPr>
                <w:w w:val="99"/>
                <w:sz w:val="14"/>
              </w:rPr>
              <w:t>-</w:t>
            </w:r>
          </w:p>
        </w:tc>
        <w:tc>
          <w:tcPr>
            <w:tcW w:w="607" w:type="dxa"/>
            <w:tcBorders>
              <w:top w:val="single" w:sz="12" w:space="0" w:color="000000"/>
              <w:bottom w:val="single" w:sz="4" w:space="0" w:color="000000"/>
            </w:tcBorders>
          </w:tcPr>
          <w:p>
            <w:pPr>
              <w:pStyle w:val="TableParagraph"/>
              <w:spacing w:before="27"/>
              <w:ind w:right="170"/>
              <w:rPr>
                <w:sz w:val="14"/>
              </w:rPr>
            </w:pPr>
            <w:r>
              <w:rPr>
                <w:w w:val="99"/>
                <w:sz w:val="14"/>
              </w:rPr>
              <w:t>-</w:t>
            </w:r>
          </w:p>
        </w:tc>
        <w:tc>
          <w:tcPr>
            <w:tcW w:w="563" w:type="dxa"/>
            <w:tcBorders>
              <w:top w:val="single" w:sz="12" w:space="0" w:color="000000"/>
              <w:bottom w:val="single" w:sz="4" w:space="0" w:color="000000"/>
            </w:tcBorders>
          </w:tcPr>
          <w:p>
            <w:pPr>
              <w:pStyle w:val="TableParagraph"/>
              <w:spacing w:before="27"/>
              <w:ind w:right="171"/>
              <w:rPr>
                <w:sz w:val="14"/>
              </w:rPr>
            </w:pPr>
            <w:r>
              <w:rPr>
                <w:w w:val="99"/>
                <w:sz w:val="14"/>
              </w:rPr>
              <w:t>-</w:t>
            </w:r>
          </w:p>
        </w:tc>
        <w:tc>
          <w:tcPr>
            <w:tcW w:w="557" w:type="dxa"/>
            <w:tcBorders>
              <w:top w:val="single" w:sz="12" w:space="0" w:color="000000"/>
              <w:bottom w:val="single" w:sz="4" w:space="0" w:color="000000"/>
            </w:tcBorders>
          </w:tcPr>
          <w:p>
            <w:pPr>
              <w:pStyle w:val="TableParagraph"/>
              <w:spacing w:before="27"/>
              <w:ind w:right="167"/>
              <w:rPr>
                <w:sz w:val="14"/>
              </w:rPr>
            </w:pPr>
            <w:r>
              <w:rPr>
                <w:w w:val="99"/>
                <w:sz w:val="14"/>
              </w:rPr>
              <w:t>-</w:t>
            </w:r>
          </w:p>
        </w:tc>
        <w:tc>
          <w:tcPr>
            <w:tcW w:w="583" w:type="dxa"/>
            <w:tcBorders>
              <w:top w:val="single" w:sz="12" w:space="0" w:color="000000"/>
              <w:bottom w:val="single" w:sz="4" w:space="0" w:color="000000"/>
            </w:tcBorders>
          </w:tcPr>
          <w:p>
            <w:pPr>
              <w:pStyle w:val="TableParagraph"/>
              <w:spacing w:before="27"/>
              <w:ind w:left="194"/>
              <w:jc w:val="center"/>
              <w:rPr>
                <w:sz w:val="14"/>
              </w:rPr>
            </w:pPr>
            <w:r>
              <w:rPr>
                <w:w w:val="99"/>
                <w:sz w:val="14"/>
              </w:rPr>
              <w:t>-</w:t>
            </w:r>
          </w:p>
        </w:tc>
        <w:tc>
          <w:tcPr>
            <w:tcW w:w="545" w:type="dxa"/>
            <w:tcBorders>
              <w:top w:val="single" w:sz="12" w:space="0" w:color="000000"/>
              <w:bottom w:val="single" w:sz="4" w:space="0" w:color="000000"/>
            </w:tcBorders>
          </w:tcPr>
          <w:p>
            <w:pPr>
              <w:pStyle w:val="TableParagraph"/>
              <w:spacing w:before="27"/>
              <w:ind w:right="128"/>
              <w:rPr>
                <w:sz w:val="14"/>
              </w:rPr>
            </w:pPr>
            <w:r>
              <w:rPr>
                <w:w w:val="99"/>
                <w:sz w:val="14"/>
              </w:rPr>
              <w:t>-</w:t>
            </w:r>
          </w:p>
        </w:tc>
        <w:tc>
          <w:tcPr>
            <w:tcW w:w="737" w:type="dxa"/>
            <w:tcBorders>
              <w:top w:val="single" w:sz="12" w:space="0" w:color="000000"/>
              <w:bottom w:val="single" w:sz="4" w:space="0" w:color="000000"/>
            </w:tcBorders>
          </w:tcPr>
          <w:p>
            <w:pPr>
              <w:pStyle w:val="TableParagraph"/>
              <w:spacing w:before="27"/>
              <w:ind w:right="270"/>
              <w:rPr>
                <w:sz w:val="14"/>
              </w:rPr>
            </w:pPr>
            <w:r>
              <w:rPr>
                <w:w w:val="99"/>
                <w:sz w:val="14"/>
              </w:rPr>
              <w:t>1</w:t>
            </w:r>
          </w:p>
        </w:tc>
        <w:tc>
          <w:tcPr>
            <w:tcW w:w="641" w:type="dxa"/>
            <w:tcBorders>
              <w:top w:val="single" w:sz="12" w:space="0" w:color="000000"/>
              <w:bottom w:val="single" w:sz="4" w:space="0" w:color="000000"/>
            </w:tcBorders>
          </w:tcPr>
          <w:p>
            <w:pPr>
              <w:pStyle w:val="TableParagraph"/>
              <w:spacing w:before="27"/>
              <w:ind w:right="171"/>
              <w:rPr>
                <w:sz w:val="14"/>
              </w:rPr>
            </w:pPr>
            <w:r>
              <w:rPr>
                <w:w w:val="99"/>
                <w:sz w:val="14"/>
              </w:rPr>
              <w:t>-</w:t>
            </w:r>
          </w:p>
        </w:tc>
        <w:tc>
          <w:tcPr>
            <w:tcW w:w="491" w:type="dxa"/>
            <w:tcBorders>
              <w:top w:val="single" w:sz="12" w:space="0" w:color="000000"/>
              <w:bottom w:val="single" w:sz="4" w:space="0" w:color="000000"/>
            </w:tcBorders>
          </w:tcPr>
          <w:p>
            <w:pPr>
              <w:pStyle w:val="TableParagraph"/>
              <w:spacing w:before="27"/>
              <w:ind w:right="66"/>
              <w:rPr>
                <w:sz w:val="14"/>
              </w:rPr>
            </w:pPr>
            <w:r>
              <w:rPr>
                <w:w w:val="99"/>
                <w:sz w:val="14"/>
              </w:rPr>
              <w:t>-</w:t>
            </w:r>
          </w:p>
        </w:tc>
        <w:tc>
          <w:tcPr>
            <w:tcW w:w="792" w:type="dxa"/>
            <w:tcBorders>
              <w:top w:val="single" w:sz="12" w:space="0" w:color="000000"/>
              <w:bottom w:val="single" w:sz="4" w:space="0" w:color="000000"/>
            </w:tcBorders>
          </w:tcPr>
          <w:p>
            <w:pPr>
              <w:pStyle w:val="TableParagraph"/>
              <w:spacing w:before="27"/>
              <w:ind w:right="124"/>
              <w:rPr>
                <w:i/>
                <w:sz w:val="14"/>
              </w:rPr>
            </w:pPr>
            <w:r>
              <w:rPr>
                <w:i/>
                <w:w w:val="99"/>
                <w:sz w:val="14"/>
              </w:rPr>
              <w:t>1</w:t>
            </w:r>
          </w:p>
        </w:tc>
        <w:tc>
          <w:tcPr>
            <w:tcW w:w="568" w:type="dxa"/>
            <w:tcBorders>
              <w:top w:val="single" w:sz="12" w:space="0" w:color="000000"/>
              <w:bottom w:val="single" w:sz="4" w:space="0" w:color="000000"/>
            </w:tcBorders>
          </w:tcPr>
          <w:p>
            <w:pPr>
              <w:pStyle w:val="TableParagraph"/>
              <w:spacing w:before="27"/>
              <w:ind w:right="96"/>
              <w:rPr>
                <w:sz w:val="14"/>
              </w:rPr>
            </w:pPr>
            <w:r>
              <w:rPr>
                <w:w w:val="99"/>
                <w:sz w:val="14"/>
              </w:rPr>
              <w:t>-</w:t>
            </w:r>
          </w:p>
        </w:tc>
        <w:tc>
          <w:tcPr>
            <w:tcW w:w="579" w:type="dxa"/>
            <w:tcBorders>
              <w:top w:val="single" w:sz="12" w:space="0" w:color="000000"/>
              <w:bottom w:val="single" w:sz="4" w:space="0" w:color="000000"/>
            </w:tcBorders>
          </w:tcPr>
          <w:p>
            <w:pPr>
              <w:pStyle w:val="TableParagraph"/>
              <w:spacing w:before="27"/>
              <w:ind w:right="84"/>
              <w:rPr>
                <w:sz w:val="14"/>
              </w:rPr>
            </w:pPr>
            <w:r>
              <w:rPr>
                <w:w w:val="99"/>
                <w:sz w:val="14"/>
              </w:rPr>
              <w:t>-</w:t>
            </w:r>
          </w:p>
        </w:tc>
        <w:tc>
          <w:tcPr>
            <w:tcW w:w="561" w:type="dxa"/>
            <w:tcBorders>
              <w:top w:val="single" w:sz="12" w:space="0" w:color="000000"/>
              <w:bottom w:val="single" w:sz="4" w:space="0" w:color="000000"/>
            </w:tcBorders>
          </w:tcPr>
          <w:p>
            <w:pPr>
              <w:pStyle w:val="TableParagraph"/>
              <w:spacing w:before="27"/>
              <w:ind w:right="55"/>
              <w:rPr>
                <w:sz w:val="14"/>
              </w:rPr>
            </w:pPr>
            <w:r>
              <w:rPr>
                <w:w w:val="99"/>
                <w:sz w:val="14"/>
              </w:rPr>
              <w:t>-</w:t>
            </w:r>
          </w:p>
        </w:tc>
        <w:tc>
          <w:tcPr>
            <w:tcW w:w="812" w:type="dxa"/>
            <w:tcBorders>
              <w:top w:val="single" w:sz="12" w:space="0" w:color="000000"/>
              <w:bottom w:val="single" w:sz="4" w:space="0" w:color="000000"/>
            </w:tcBorders>
          </w:tcPr>
          <w:p>
            <w:pPr>
              <w:pStyle w:val="TableParagraph"/>
              <w:spacing w:before="27"/>
              <w:ind w:right="127"/>
              <w:rPr>
                <w:i/>
                <w:sz w:val="14"/>
              </w:rPr>
            </w:pPr>
            <w:r>
              <w:rPr>
                <w:i/>
                <w:w w:val="99"/>
                <w:sz w:val="14"/>
              </w:rPr>
              <w:t>-</w:t>
            </w:r>
          </w:p>
        </w:tc>
        <w:tc>
          <w:tcPr>
            <w:tcW w:w="524" w:type="dxa"/>
            <w:tcBorders>
              <w:top w:val="single" w:sz="12" w:space="0" w:color="000000"/>
              <w:bottom w:val="single" w:sz="4" w:space="0" w:color="000000"/>
            </w:tcBorders>
          </w:tcPr>
          <w:p>
            <w:pPr>
              <w:pStyle w:val="TableParagraph"/>
              <w:spacing w:before="27"/>
              <w:ind w:right="52"/>
              <w:rPr>
                <w:b/>
                <w:sz w:val="14"/>
              </w:rPr>
            </w:pPr>
            <w:r>
              <w:rPr>
                <w:b/>
                <w:w w:val="99"/>
                <w:sz w:val="14"/>
              </w:rPr>
              <w:t>1</w:t>
            </w:r>
          </w:p>
        </w:tc>
      </w:tr>
      <w:tr>
        <w:trPr>
          <w:trHeight w:val="225" w:hRule="atLeast"/>
        </w:trPr>
        <w:tc>
          <w:tcPr>
            <w:tcW w:w="1186" w:type="dxa"/>
            <w:tcBorders>
              <w:top w:val="single" w:sz="4" w:space="0" w:color="000000"/>
              <w:bottom w:val="single" w:sz="4" w:space="0" w:color="000000"/>
            </w:tcBorders>
          </w:tcPr>
          <w:p>
            <w:pPr>
              <w:pStyle w:val="TableParagraph"/>
              <w:spacing w:before="23"/>
              <w:ind w:left="67"/>
              <w:jc w:val="left"/>
              <w:rPr>
                <w:sz w:val="14"/>
              </w:rPr>
            </w:pPr>
            <w:r>
              <w:rPr>
                <w:spacing w:val="-2"/>
                <w:sz w:val="14"/>
              </w:rPr>
              <w:t>Redeployed</w:t>
            </w:r>
          </w:p>
        </w:tc>
        <w:tc>
          <w:tcPr>
            <w:tcW w:w="678" w:type="dxa"/>
            <w:tcBorders>
              <w:top w:val="single" w:sz="4" w:space="0" w:color="000000"/>
              <w:bottom w:val="single" w:sz="4" w:space="0" w:color="000000"/>
            </w:tcBorders>
          </w:tcPr>
          <w:p>
            <w:pPr>
              <w:pStyle w:val="TableParagraph"/>
              <w:spacing w:before="23"/>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3"/>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3"/>
              <w:ind w:right="171"/>
              <w:rPr>
                <w:sz w:val="14"/>
              </w:rPr>
            </w:pPr>
            <w:r>
              <w:rPr>
                <w:w w:val="99"/>
                <w:sz w:val="14"/>
              </w:rPr>
              <w:t>-</w:t>
            </w:r>
          </w:p>
        </w:tc>
        <w:tc>
          <w:tcPr>
            <w:tcW w:w="557" w:type="dxa"/>
            <w:tcBorders>
              <w:top w:val="single" w:sz="4" w:space="0" w:color="000000"/>
              <w:bottom w:val="single" w:sz="4" w:space="0" w:color="000000"/>
            </w:tcBorders>
          </w:tcPr>
          <w:p>
            <w:pPr>
              <w:pStyle w:val="TableParagraph"/>
              <w:spacing w:before="23"/>
              <w:ind w:right="167"/>
              <w:rPr>
                <w:sz w:val="14"/>
              </w:rPr>
            </w:pPr>
            <w:r>
              <w:rPr>
                <w:w w:val="99"/>
                <w:sz w:val="14"/>
              </w:rPr>
              <w:t>-</w:t>
            </w:r>
          </w:p>
        </w:tc>
        <w:tc>
          <w:tcPr>
            <w:tcW w:w="583" w:type="dxa"/>
            <w:tcBorders>
              <w:top w:val="single" w:sz="4" w:space="0" w:color="000000"/>
              <w:bottom w:val="single" w:sz="4" w:space="0" w:color="000000"/>
            </w:tcBorders>
          </w:tcPr>
          <w:p>
            <w:pPr>
              <w:pStyle w:val="TableParagraph"/>
              <w:spacing w:before="23"/>
              <w:ind w:left="194"/>
              <w:jc w:val="center"/>
              <w:rPr>
                <w:sz w:val="14"/>
              </w:rPr>
            </w:pPr>
            <w:r>
              <w:rPr>
                <w:w w:val="99"/>
                <w:sz w:val="14"/>
              </w:rPr>
              <w:t>-</w:t>
            </w:r>
          </w:p>
        </w:tc>
        <w:tc>
          <w:tcPr>
            <w:tcW w:w="545" w:type="dxa"/>
            <w:tcBorders>
              <w:top w:val="single" w:sz="4" w:space="0" w:color="000000"/>
              <w:bottom w:val="single" w:sz="4" w:space="0" w:color="000000"/>
            </w:tcBorders>
          </w:tcPr>
          <w:p>
            <w:pPr>
              <w:pStyle w:val="TableParagraph"/>
              <w:spacing w:before="23"/>
              <w:ind w:right="128"/>
              <w:rPr>
                <w:sz w:val="14"/>
              </w:rPr>
            </w:pPr>
            <w:r>
              <w:rPr>
                <w:w w:val="99"/>
                <w:sz w:val="14"/>
              </w:rPr>
              <w:t>-</w:t>
            </w:r>
          </w:p>
        </w:tc>
        <w:tc>
          <w:tcPr>
            <w:tcW w:w="737" w:type="dxa"/>
            <w:tcBorders>
              <w:top w:val="single" w:sz="4" w:space="0" w:color="000000"/>
              <w:bottom w:val="single" w:sz="4" w:space="0" w:color="000000"/>
            </w:tcBorders>
          </w:tcPr>
          <w:p>
            <w:pPr>
              <w:pStyle w:val="TableParagraph"/>
              <w:spacing w:before="23"/>
              <w:ind w:right="269"/>
              <w:rPr>
                <w:sz w:val="14"/>
              </w:rPr>
            </w:pPr>
            <w:r>
              <w:rPr>
                <w:w w:val="99"/>
                <w:sz w:val="14"/>
              </w:rPr>
              <w:t>-</w:t>
            </w:r>
          </w:p>
        </w:tc>
        <w:tc>
          <w:tcPr>
            <w:tcW w:w="641" w:type="dxa"/>
            <w:tcBorders>
              <w:top w:val="single" w:sz="4" w:space="0" w:color="000000"/>
              <w:bottom w:val="single" w:sz="4" w:space="0" w:color="000000"/>
            </w:tcBorders>
          </w:tcPr>
          <w:p>
            <w:pPr>
              <w:pStyle w:val="TableParagraph"/>
              <w:spacing w:before="23"/>
              <w:ind w:right="171"/>
              <w:rPr>
                <w:sz w:val="14"/>
              </w:rPr>
            </w:pPr>
            <w:r>
              <w:rPr>
                <w:w w:val="99"/>
                <w:sz w:val="14"/>
              </w:rPr>
              <w:t>-</w:t>
            </w:r>
          </w:p>
        </w:tc>
        <w:tc>
          <w:tcPr>
            <w:tcW w:w="491" w:type="dxa"/>
            <w:tcBorders>
              <w:top w:val="single" w:sz="4" w:space="0" w:color="000000"/>
              <w:bottom w:val="single" w:sz="4" w:space="0" w:color="000000"/>
            </w:tcBorders>
          </w:tcPr>
          <w:p>
            <w:pPr>
              <w:pStyle w:val="TableParagraph"/>
              <w:spacing w:before="23"/>
              <w:ind w:right="66"/>
              <w:rPr>
                <w:sz w:val="14"/>
              </w:rPr>
            </w:pPr>
            <w:r>
              <w:rPr>
                <w:w w:val="99"/>
                <w:sz w:val="14"/>
              </w:rPr>
              <w:t>-</w:t>
            </w:r>
          </w:p>
        </w:tc>
        <w:tc>
          <w:tcPr>
            <w:tcW w:w="792" w:type="dxa"/>
            <w:tcBorders>
              <w:top w:val="single" w:sz="4" w:space="0" w:color="000000"/>
              <w:bottom w:val="single" w:sz="4" w:space="0" w:color="000000"/>
            </w:tcBorders>
          </w:tcPr>
          <w:p>
            <w:pPr>
              <w:pStyle w:val="TableParagraph"/>
              <w:spacing w:before="23"/>
              <w:ind w:right="123"/>
              <w:rPr>
                <w:i/>
                <w:sz w:val="14"/>
              </w:rPr>
            </w:pPr>
            <w:r>
              <w:rPr>
                <w:i/>
                <w:w w:val="99"/>
                <w:sz w:val="14"/>
              </w:rPr>
              <w:t>-</w:t>
            </w:r>
          </w:p>
        </w:tc>
        <w:tc>
          <w:tcPr>
            <w:tcW w:w="568" w:type="dxa"/>
            <w:tcBorders>
              <w:top w:val="single" w:sz="4" w:space="0" w:color="000000"/>
              <w:bottom w:val="single" w:sz="4" w:space="0" w:color="000000"/>
            </w:tcBorders>
          </w:tcPr>
          <w:p>
            <w:pPr>
              <w:pStyle w:val="TableParagraph"/>
              <w:spacing w:before="23"/>
              <w:ind w:right="96"/>
              <w:rPr>
                <w:sz w:val="14"/>
              </w:rPr>
            </w:pPr>
            <w:r>
              <w:rPr>
                <w:w w:val="99"/>
                <w:sz w:val="14"/>
              </w:rPr>
              <w:t>-</w:t>
            </w:r>
          </w:p>
        </w:tc>
        <w:tc>
          <w:tcPr>
            <w:tcW w:w="579" w:type="dxa"/>
            <w:tcBorders>
              <w:top w:val="single" w:sz="4" w:space="0" w:color="000000"/>
              <w:bottom w:val="single" w:sz="4" w:space="0" w:color="000000"/>
            </w:tcBorders>
          </w:tcPr>
          <w:p>
            <w:pPr>
              <w:pStyle w:val="TableParagraph"/>
              <w:spacing w:before="23"/>
              <w:ind w:right="84"/>
              <w:rPr>
                <w:sz w:val="14"/>
              </w:rPr>
            </w:pPr>
            <w:r>
              <w:rPr>
                <w:w w:val="99"/>
                <w:sz w:val="14"/>
              </w:rPr>
              <w:t>-</w:t>
            </w:r>
          </w:p>
        </w:tc>
        <w:tc>
          <w:tcPr>
            <w:tcW w:w="561" w:type="dxa"/>
            <w:tcBorders>
              <w:top w:val="single" w:sz="4" w:space="0" w:color="000000"/>
              <w:bottom w:val="single" w:sz="4" w:space="0" w:color="000000"/>
            </w:tcBorders>
          </w:tcPr>
          <w:p>
            <w:pPr>
              <w:pStyle w:val="TableParagraph"/>
              <w:spacing w:before="23"/>
              <w:ind w:right="55"/>
              <w:rPr>
                <w:sz w:val="14"/>
              </w:rPr>
            </w:pPr>
            <w:r>
              <w:rPr>
                <w:w w:val="99"/>
                <w:sz w:val="14"/>
              </w:rPr>
              <w:t>-</w:t>
            </w:r>
          </w:p>
        </w:tc>
        <w:tc>
          <w:tcPr>
            <w:tcW w:w="812" w:type="dxa"/>
            <w:tcBorders>
              <w:top w:val="single" w:sz="4" w:space="0" w:color="000000"/>
              <w:bottom w:val="single" w:sz="4" w:space="0" w:color="000000"/>
            </w:tcBorders>
          </w:tcPr>
          <w:p>
            <w:pPr>
              <w:pStyle w:val="TableParagraph"/>
              <w:spacing w:before="23"/>
              <w:ind w:right="127"/>
              <w:rPr>
                <w:i/>
                <w:sz w:val="14"/>
              </w:rPr>
            </w:pPr>
            <w:r>
              <w:rPr>
                <w:i/>
                <w:w w:val="99"/>
                <w:sz w:val="14"/>
              </w:rPr>
              <w:t>-</w:t>
            </w:r>
          </w:p>
        </w:tc>
        <w:tc>
          <w:tcPr>
            <w:tcW w:w="524" w:type="dxa"/>
            <w:tcBorders>
              <w:top w:val="single" w:sz="4" w:space="0" w:color="000000"/>
              <w:bottom w:val="single" w:sz="4" w:space="0" w:color="000000"/>
            </w:tcBorders>
          </w:tcPr>
          <w:p>
            <w:pPr>
              <w:pStyle w:val="TableParagraph"/>
              <w:spacing w:before="23"/>
              <w:ind w:right="51"/>
              <w:rPr>
                <w:b/>
                <w:sz w:val="14"/>
              </w:rPr>
            </w:pPr>
            <w:r>
              <w:rPr>
                <w:b/>
                <w:w w:val="99"/>
                <w:sz w:val="14"/>
              </w:rPr>
              <w:t>-</w:t>
            </w:r>
          </w:p>
        </w:tc>
      </w:tr>
      <w:tr>
        <w:trPr>
          <w:trHeight w:val="230" w:hRule="atLeast"/>
        </w:trPr>
        <w:tc>
          <w:tcPr>
            <w:tcW w:w="1186" w:type="dxa"/>
            <w:tcBorders>
              <w:top w:val="single" w:sz="4" w:space="0" w:color="000000"/>
              <w:bottom w:val="single" w:sz="4" w:space="0" w:color="000000"/>
            </w:tcBorders>
          </w:tcPr>
          <w:p>
            <w:pPr>
              <w:pStyle w:val="TableParagraph"/>
              <w:spacing w:before="28"/>
              <w:ind w:left="67"/>
              <w:jc w:val="left"/>
              <w:rPr>
                <w:sz w:val="14"/>
              </w:rPr>
            </w:pPr>
            <w:r>
              <w:rPr>
                <w:spacing w:val="-2"/>
                <w:sz w:val="14"/>
              </w:rPr>
              <w:t>Reclassified</w:t>
            </w:r>
          </w:p>
        </w:tc>
        <w:tc>
          <w:tcPr>
            <w:tcW w:w="678" w:type="dxa"/>
            <w:tcBorders>
              <w:top w:val="single" w:sz="4" w:space="0" w:color="000000"/>
              <w:bottom w:val="single" w:sz="4" w:space="0" w:color="000000"/>
            </w:tcBorders>
          </w:tcPr>
          <w:p>
            <w:pPr>
              <w:pStyle w:val="TableParagraph"/>
              <w:spacing w:before="28"/>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8"/>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8"/>
              <w:ind w:right="171"/>
              <w:rPr>
                <w:sz w:val="14"/>
              </w:rPr>
            </w:pPr>
            <w:r>
              <w:rPr>
                <w:w w:val="99"/>
                <w:sz w:val="14"/>
              </w:rPr>
              <w:t>-</w:t>
            </w:r>
          </w:p>
        </w:tc>
        <w:tc>
          <w:tcPr>
            <w:tcW w:w="557" w:type="dxa"/>
            <w:tcBorders>
              <w:top w:val="single" w:sz="4" w:space="0" w:color="000000"/>
              <w:bottom w:val="single" w:sz="4" w:space="0" w:color="000000"/>
            </w:tcBorders>
          </w:tcPr>
          <w:p>
            <w:pPr>
              <w:pStyle w:val="TableParagraph"/>
              <w:spacing w:before="28"/>
              <w:ind w:right="167"/>
              <w:rPr>
                <w:sz w:val="14"/>
              </w:rPr>
            </w:pPr>
            <w:r>
              <w:rPr>
                <w:w w:val="99"/>
                <w:sz w:val="14"/>
              </w:rPr>
              <w:t>-</w:t>
            </w:r>
          </w:p>
        </w:tc>
        <w:tc>
          <w:tcPr>
            <w:tcW w:w="583" w:type="dxa"/>
            <w:tcBorders>
              <w:top w:val="single" w:sz="4" w:space="0" w:color="000000"/>
              <w:bottom w:val="single" w:sz="4" w:space="0" w:color="000000"/>
            </w:tcBorders>
          </w:tcPr>
          <w:p>
            <w:pPr>
              <w:pStyle w:val="TableParagraph"/>
              <w:spacing w:before="28"/>
              <w:ind w:left="194"/>
              <w:jc w:val="center"/>
              <w:rPr>
                <w:sz w:val="14"/>
              </w:rPr>
            </w:pPr>
            <w:r>
              <w:rPr>
                <w:w w:val="99"/>
                <w:sz w:val="14"/>
              </w:rPr>
              <w:t>-</w:t>
            </w:r>
          </w:p>
        </w:tc>
        <w:tc>
          <w:tcPr>
            <w:tcW w:w="545" w:type="dxa"/>
            <w:tcBorders>
              <w:top w:val="single" w:sz="4" w:space="0" w:color="000000"/>
              <w:bottom w:val="single" w:sz="4" w:space="0" w:color="000000"/>
            </w:tcBorders>
          </w:tcPr>
          <w:p>
            <w:pPr>
              <w:pStyle w:val="TableParagraph"/>
              <w:spacing w:before="28"/>
              <w:ind w:right="128"/>
              <w:rPr>
                <w:sz w:val="14"/>
              </w:rPr>
            </w:pPr>
            <w:r>
              <w:rPr>
                <w:w w:val="99"/>
                <w:sz w:val="14"/>
              </w:rPr>
              <w:t>-</w:t>
            </w:r>
          </w:p>
        </w:tc>
        <w:tc>
          <w:tcPr>
            <w:tcW w:w="737" w:type="dxa"/>
            <w:tcBorders>
              <w:top w:val="single" w:sz="4" w:space="0" w:color="000000"/>
              <w:bottom w:val="single" w:sz="4" w:space="0" w:color="000000"/>
            </w:tcBorders>
          </w:tcPr>
          <w:p>
            <w:pPr>
              <w:pStyle w:val="TableParagraph"/>
              <w:spacing w:before="28"/>
              <w:ind w:right="269"/>
              <w:rPr>
                <w:sz w:val="14"/>
              </w:rPr>
            </w:pPr>
            <w:r>
              <w:rPr>
                <w:w w:val="99"/>
                <w:sz w:val="14"/>
              </w:rPr>
              <w:t>-</w:t>
            </w:r>
          </w:p>
        </w:tc>
        <w:tc>
          <w:tcPr>
            <w:tcW w:w="641" w:type="dxa"/>
            <w:tcBorders>
              <w:top w:val="single" w:sz="4" w:space="0" w:color="000000"/>
              <w:bottom w:val="single" w:sz="4" w:space="0" w:color="000000"/>
            </w:tcBorders>
          </w:tcPr>
          <w:p>
            <w:pPr>
              <w:pStyle w:val="TableParagraph"/>
              <w:spacing w:before="28"/>
              <w:ind w:right="171"/>
              <w:rPr>
                <w:sz w:val="14"/>
              </w:rPr>
            </w:pPr>
            <w:r>
              <w:rPr>
                <w:w w:val="99"/>
                <w:sz w:val="14"/>
              </w:rPr>
              <w:t>-</w:t>
            </w:r>
          </w:p>
        </w:tc>
        <w:tc>
          <w:tcPr>
            <w:tcW w:w="491" w:type="dxa"/>
            <w:tcBorders>
              <w:top w:val="single" w:sz="4" w:space="0" w:color="000000"/>
              <w:bottom w:val="single" w:sz="4" w:space="0" w:color="000000"/>
            </w:tcBorders>
          </w:tcPr>
          <w:p>
            <w:pPr>
              <w:pStyle w:val="TableParagraph"/>
              <w:spacing w:before="28"/>
              <w:ind w:right="66"/>
              <w:rPr>
                <w:sz w:val="14"/>
              </w:rPr>
            </w:pPr>
            <w:r>
              <w:rPr>
                <w:w w:val="99"/>
                <w:sz w:val="14"/>
              </w:rPr>
              <w:t>-</w:t>
            </w:r>
          </w:p>
        </w:tc>
        <w:tc>
          <w:tcPr>
            <w:tcW w:w="792" w:type="dxa"/>
            <w:tcBorders>
              <w:top w:val="single" w:sz="4" w:space="0" w:color="000000"/>
              <w:bottom w:val="single" w:sz="4" w:space="0" w:color="000000"/>
            </w:tcBorders>
          </w:tcPr>
          <w:p>
            <w:pPr>
              <w:pStyle w:val="TableParagraph"/>
              <w:spacing w:before="28"/>
              <w:ind w:right="123"/>
              <w:rPr>
                <w:i/>
                <w:sz w:val="14"/>
              </w:rPr>
            </w:pPr>
            <w:r>
              <w:rPr>
                <w:i/>
                <w:w w:val="99"/>
                <w:sz w:val="14"/>
              </w:rPr>
              <w:t>-</w:t>
            </w:r>
          </w:p>
        </w:tc>
        <w:tc>
          <w:tcPr>
            <w:tcW w:w="568" w:type="dxa"/>
            <w:tcBorders>
              <w:top w:val="single" w:sz="4" w:space="0" w:color="000000"/>
              <w:bottom w:val="single" w:sz="4" w:space="0" w:color="000000"/>
            </w:tcBorders>
          </w:tcPr>
          <w:p>
            <w:pPr>
              <w:pStyle w:val="TableParagraph"/>
              <w:spacing w:before="28"/>
              <w:ind w:right="96"/>
              <w:rPr>
                <w:sz w:val="14"/>
              </w:rPr>
            </w:pPr>
            <w:r>
              <w:rPr>
                <w:w w:val="99"/>
                <w:sz w:val="14"/>
              </w:rPr>
              <w:t>-</w:t>
            </w:r>
          </w:p>
        </w:tc>
        <w:tc>
          <w:tcPr>
            <w:tcW w:w="579" w:type="dxa"/>
            <w:tcBorders>
              <w:top w:val="single" w:sz="4" w:space="0" w:color="000000"/>
              <w:bottom w:val="single" w:sz="4" w:space="0" w:color="000000"/>
            </w:tcBorders>
          </w:tcPr>
          <w:p>
            <w:pPr>
              <w:pStyle w:val="TableParagraph"/>
              <w:spacing w:before="28"/>
              <w:ind w:right="84"/>
              <w:rPr>
                <w:sz w:val="14"/>
              </w:rPr>
            </w:pPr>
            <w:r>
              <w:rPr>
                <w:w w:val="99"/>
                <w:sz w:val="14"/>
              </w:rPr>
              <w:t>-</w:t>
            </w:r>
          </w:p>
        </w:tc>
        <w:tc>
          <w:tcPr>
            <w:tcW w:w="561" w:type="dxa"/>
            <w:tcBorders>
              <w:top w:val="single" w:sz="4" w:space="0" w:color="000000"/>
              <w:bottom w:val="single" w:sz="4" w:space="0" w:color="000000"/>
            </w:tcBorders>
          </w:tcPr>
          <w:p>
            <w:pPr>
              <w:pStyle w:val="TableParagraph"/>
              <w:spacing w:before="28"/>
              <w:ind w:right="55"/>
              <w:rPr>
                <w:sz w:val="14"/>
              </w:rPr>
            </w:pPr>
            <w:r>
              <w:rPr>
                <w:w w:val="99"/>
                <w:sz w:val="14"/>
              </w:rPr>
              <w:t>-</w:t>
            </w:r>
          </w:p>
        </w:tc>
        <w:tc>
          <w:tcPr>
            <w:tcW w:w="812" w:type="dxa"/>
            <w:tcBorders>
              <w:top w:val="single" w:sz="4" w:space="0" w:color="000000"/>
              <w:bottom w:val="single" w:sz="4" w:space="0" w:color="000000"/>
            </w:tcBorders>
          </w:tcPr>
          <w:p>
            <w:pPr>
              <w:pStyle w:val="TableParagraph"/>
              <w:spacing w:before="28"/>
              <w:ind w:right="127"/>
              <w:rPr>
                <w:i/>
                <w:sz w:val="14"/>
              </w:rPr>
            </w:pPr>
            <w:r>
              <w:rPr>
                <w:i/>
                <w:w w:val="99"/>
                <w:sz w:val="14"/>
              </w:rPr>
              <w:t>-</w:t>
            </w:r>
          </w:p>
        </w:tc>
        <w:tc>
          <w:tcPr>
            <w:tcW w:w="524" w:type="dxa"/>
            <w:tcBorders>
              <w:top w:val="single" w:sz="4" w:space="0" w:color="000000"/>
              <w:bottom w:val="single" w:sz="4" w:space="0" w:color="000000"/>
            </w:tcBorders>
          </w:tcPr>
          <w:p>
            <w:pPr>
              <w:pStyle w:val="TableParagraph"/>
              <w:spacing w:before="28"/>
              <w:ind w:right="51"/>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3"/>
              <w:ind w:left="67"/>
              <w:jc w:val="left"/>
              <w:rPr>
                <w:sz w:val="14"/>
              </w:rPr>
            </w:pPr>
            <w:r>
              <w:rPr>
                <w:spacing w:val="-2"/>
                <w:sz w:val="14"/>
              </w:rPr>
              <w:t>Returned</w:t>
            </w:r>
          </w:p>
        </w:tc>
        <w:tc>
          <w:tcPr>
            <w:tcW w:w="678" w:type="dxa"/>
            <w:tcBorders>
              <w:top w:val="single" w:sz="4" w:space="0" w:color="000000"/>
              <w:bottom w:val="single" w:sz="4" w:space="0" w:color="000000"/>
            </w:tcBorders>
          </w:tcPr>
          <w:p>
            <w:pPr>
              <w:pStyle w:val="TableParagraph"/>
              <w:spacing w:before="23"/>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3"/>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3"/>
              <w:ind w:right="171"/>
              <w:rPr>
                <w:sz w:val="14"/>
              </w:rPr>
            </w:pPr>
            <w:r>
              <w:rPr>
                <w:w w:val="99"/>
                <w:sz w:val="14"/>
              </w:rPr>
              <w:t>-</w:t>
            </w:r>
          </w:p>
        </w:tc>
        <w:tc>
          <w:tcPr>
            <w:tcW w:w="557" w:type="dxa"/>
            <w:tcBorders>
              <w:top w:val="single" w:sz="4" w:space="0" w:color="000000"/>
              <w:bottom w:val="single" w:sz="4" w:space="0" w:color="000000"/>
            </w:tcBorders>
          </w:tcPr>
          <w:p>
            <w:pPr>
              <w:pStyle w:val="TableParagraph"/>
              <w:spacing w:before="23"/>
              <w:ind w:right="167"/>
              <w:rPr>
                <w:sz w:val="14"/>
              </w:rPr>
            </w:pPr>
            <w:r>
              <w:rPr>
                <w:w w:val="99"/>
                <w:sz w:val="14"/>
              </w:rPr>
              <w:t>-</w:t>
            </w:r>
          </w:p>
        </w:tc>
        <w:tc>
          <w:tcPr>
            <w:tcW w:w="583" w:type="dxa"/>
            <w:tcBorders>
              <w:top w:val="single" w:sz="4" w:space="0" w:color="000000"/>
              <w:bottom w:val="single" w:sz="4" w:space="0" w:color="000000"/>
            </w:tcBorders>
          </w:tcPr>
          <w:p>
            <w:pPr>
              <w:pStyle w:val="TableParagraph"/>
              <w:spacing w:before="23"/>
              <w:ind w:left="194"/>
              <w:jc w:val="center"/>
              <w:rPr>
                <w:sz w:val="14"/>
              </w:rPr>
            </w:pPr>
            <w:r>
              <w:rPr>
                <w:w w:val="99"/>
                <w:sz w:val="14"/>
              </w:rPr>
              <w:t>-</w:t>
            </w:r>
          </w:p>
        </w:tc>
        <w:tc>
          <w:tcPr>
            <w:tcW w:w="545" w:type="dxa"/>
            <w:tcBorders>
              <w:top w:val="single" w:sz="4" w:space="0" w:color="000000"/>
              <w:bottom w:val="single" w:sz="4" w:space="0" w:color="000000"/>
            </w:tcBorders>
          </w:tcPr>
          <w:p>
            <w:pPr>
              <w:pStyle w:val="TableParagraph"/>
              <w:spacing w:before="23"/>
              <w:ind w:right="128"/>
              <w:rPr>
                <w:sz w:val="14"/>
              </w:rPr>
            </w:pPr>
            <w:r>
              <w:rPr>
                <w:w w:val="99"/>
                <w:sz w:val="14"/>
              </w:rPr>
              <w:t>-</w:t>
            </w:r>
          </w:p>
        </w:tc>
        <w:tc>
          <w:tcPr>
            <w:tcW w:w="737" w:type="dxa"/>
            <w:tcBorders>
              <w:top w:val="single" w:sz="4" w:space="0" w:color="000000"/>
              <w:bottom w:val="single" w:sz="4" w:space="0" w:color="000000"/>
            </w:tcBorders>
          </w:tcPr>
          <w:p>
            <w:pPr>
              <w:pStyle w:val="TableParagraph"/>
              <w:spacing w:before="23"/>
              <w:ind w:right="269"/>
              <w:rPr>
                <w:sz w:val="14"/>
              </w:rPr>
            </w:pPr>
            <w:r>
              <w:rPr>
                <w:w w:val="99"/>
                <w:sz w:val="14"/>
              </w:rPr>
              <w:t>-</w:t>
            </w:r>
          </w:p>
        </w:tc>
        <w:tc>
          <w:tcPr>
            <w:tcW w:w="641" w:type="dxa"/>
            <w:tcBorders>
              <w:top w:val="single" w:sz="4" w:space="0" w:color="000000"/>
              <w:bottom w:val="single" w:sz="4" w:space="0" w:color="000000"/>
            </w:tcBorders>
          </w:tcPr>
          <w:p>
            <w:pPr>
              <w:pStyle w:val="TableParagraph"/>
              <w:spacing w:before="23"/>
              <w:ind w:right="171"/>
              <w:rPr>
                <w:sz w:val="14"/>
              </w:rPr>
            </w:pPr>
            <w:r>
              <w:rPr>
                <w:w w:val="99"/>
                <w:sz w:val="14"/>
              </w:rPr>
              <w:t>-</w:t>
            </w:r>
          </w:p>
        </w:tc>
        <w:tc>
          <w:tcPr>
            <w:tcW w:w="491" w:type="dxa"/>
            <w:tcBorders>
              <w:top w:val="single" w:sz="4" w:space="0" w:color="000000"/>
              <w:bottom w:val="single" w:sz="4" w:space="0" w:color="000000"/>
            </w:tcBorders>
          </w:tcPr>
          <w:p>
            <w:pPr>
              <w:pStyle w:val="TableParagraph"/>
              <w:spacing w:before="23"/>
              <w:ind w:right="66"/>
              <w:rPr>
                <w:sz w:val="14"/>
              </w:rPr>
            </w:pPr>
            <w:r>
              <w:rPr>
                <w:w w:val="99"/>
                <w:sz w:val="14"/>
              </w:rPr>
              <w:t>-</w:t>
            </w:r>
          </w:p>
        </w:tc>
        <w:tc>
          <w:tcPr>
            <w:tcW w:w="792" w:type="dxa"/>
            <w:tcBorders>
              <w:top w:val="single" w:sz="4" w:space="0" w:color="000000"/>
              <w:bottom w:val="single" w:sz="4" w:space="0" w:color="000000"/>
            </w:tcBorders>
          </w:tcPr>
          <w:p>
            <w:pPr>
              <w:pStyle w:val="TableParagraph"/>
              <w:spacing w:before="23"/>
              <w:ind w:right="123"/>
              <w:rPr>
                <w:i/>
                <w:sz w:val="14"/>
              </w:rPr>
            </w:pPr>
            <w:r>
              <w:rPr>
                <w:i/>
                <w:w w:val="99"/>
                <w:sz w:val="14"/>
              </w:rPr>
              <w:t>-</w:t>
            </w:r>
          </w:p>
        </w:tc>
        <w:tc>
          <w:tcPr>
            <w:tcW w:w="568" w:type="dxa"/>
            <w:tcBorders>
              <w:top w:val="single" w:sz="4" w:space="0" w:color="000000"/>
              <w:bottom w:val="single" w:sz="4" w:space="0" w:color="000000"/>
            </w:tcBorders>
          </w:tcPr>
          <w:p>
            <w:pPr>
              <w:pStyle w:val="TableParagraph"/>
              <w:spacing w:before="23"/>
              <w:ind w:right="96"/>
              <w:rPr>
                <w:sz w:val="14"/>
              </w:rPr>
            </w:pPr>
            <w:r>
              <w:rPr>
                <w:w w:val="99"/>
                <w:sz w:val="14"/>
              </w:rPr>
              <w:t>-</w:t>
            </w:r>
          </w:p>
        </w:tc>
        <w:tc>
          <w:tcPr>
            <w:tcW w:w="579" w:type="dxa"/>
            <w:tcBorders>
              <w:top w:val="single" w:sz="4" w:space="0" w:color="000000"/>
              <w:bottom w:val="single" w:sz="4" w:space="0" w:color="000000"/>
            </w:tcBorders>
          </w:tcPr>
          <w:p>
            <w:pPr>
              <w:pStyle w:val="TableParagraph"/>
              <w:spacing w:before="23"/>
              <w:ind w:right="80"/>
              <w:rPr>
                <w:sz w:val="14"/>
              </w:rPr>
            </w:pPr>
            <w:r>
              <w:rPr>
                <w:spacing w:val="-5"/>
                <w:sz w:val="14"/>
              </w:rPr>
              <w:t>(1)</w:t>
            </w:r>
          </w:p>
        </w:tc>
        <w:tc>
          <w:tcPr>
            <w:tcW w:w="561" w:type="dxa"/>
            <w:tcBorders>
              <w:top w:val="single" w:sz="4" w:space="0" w:color="000000"/>
              <w:bottom w:val="single" w:sz="4" w:space="0" w:color="000000"/>
            </w:tcBorders>
          </w:tcPr>
          <w:p>
            <w:pPr>
              <w:pStyle w:val="TableParagraph"/>
              <w:spacing w:before="23"/>
              <w:ind w:right="55"/>
              <w:rPr>
                <w:sz w:val="14"/>
              </w:rPr>
            </w:pPr>
            <w:r>
              <w:rPr>
                <w:w w:val="99"/>
                <w:sz w:val="14"/>
              </w:rPr>
              <w:t>-</w:t>
            </w:r>
          </w:p>
        </w:tc>
        <w:tc>
          <w:tcPr>
            <w:tcW w:w="812" w:type="dxa"/>
            <w:tcBorders>
              <w:top w:val="single" w:sz="4" w:space="0" w:color="000000"/>
              <w:bottom w:val="single" w:sz="4" w:space="0" w:color="000000"/>
            </w:tcBorders>
          </w:tcPr>
          <w:p>
            <w:pPr>
              <w:pStyle w:val="TableParagraph"/>
              <w:spacing w:before="23"/>
              <w:ind w:right="123"/>
              <w:rPr>
                <w:i/>
                <w:sz w:val="14"/>
              </w:rPr>
            </w:pPr>
            <w:r>
              <w:rPr>
                <w:i/>
                <w:spacing w:val="-5"/>
                <w:sz w:val="14"/>
              </w:rPr>
              <w:t>(1)</w:t>
            </w:r>
          </w:p>
        </w:tc>
        <w:tc>
          <w:tcPr>
            <w:tcW w:w="524" w:type="dxa"/>
            <w:tcBorders>
              <w:top w:val="single" w:sz="4" w:space="0" w:color="000000"/>
              <w:bottom w:val="single" w:sz="4" w:space="0" w:color="000000"/>
            </w:tcBorders>
          </w:tcPr>
          <w:p>
            <w:pPr>
              <w:pStyle w:val="TableParagraph"/>
              <w:spacing w:before="23"/>
              <w:ind w:right="47"/>
              <w:rPr>
                <w:b/>
                <w:sz w:val="14"/>
              </w:rPr>
            </w:pPr>
            <w:r>
              <w:rPr>
                <w:b/>
                <w:spacing w:val="-5"/>
                <w:sz w:val="14"/>
              </w:rPr>
              <w:t>(1)</w:t>
            </w:r>
          </w:p>
        </w:tc>
      </w:tr>
      <w:tr>
        <w:trPr>
          <w:trHeight w:val="224" w:hRule="atLeast"/>
        </w:trPr>
        <w:tc>
          <w:tcPr>
            <w:tcW w:w="1186" w:type="dxa"/>
            <w:tcBorders>
              <w:top w:val="single" w:sz="4" w:space="0" w:color="000000"/>
              <w:bottom w:val="single" w:sz="12" w:space="0" w:color="000000"/>
            </w:tcBorders>
          </w:tcPr>
          <w:p>
            <w:pPr>
              <w:pStyle w:val="TableParagraph"/>
              <w:spacing w:before="23"/>
              <w:ind w:left="67"/>
              <w:jc w:val="left"/>
              <w:rPr>
                <w:b/>
                <w:sz w:val="14"/>
              </w:rPr>
            </w:pPr>
            <w:r>
              <w:rPr>
                <w:b/>
                <w:sz w:val="14"/>
              </w:rPr>
              <w:t>Proposed</w:t>
            </w:r>
            <w:r>
              <w:rPr>
                <w:b/>
                <w:spacing w:val="-6"/>
                <w:sz w:val="14"/>
              </w:rPr>
              <w:t> </w:t>
            </w:r>
            <w:r>
              <w:rPr>
                <w:b/>
                <w:spacing w:val="-4"/>
                <w:sz w:val="14"/>
              </w:rPr>
              <w:t>2023</w:t>
            </w:r>
          </w:p>
        </w:tc>
        <w:tc>
          <w:tcPr>
            <w:tcW w:w="678" w:type="dxa"/>
            <w:tcBorders>
              <w:top w:val="single" w:sz="4" w:space="0" w:color="000000"/>
              <w:bottom w:val="single" w:sz="12" w:space="0" w:color="000000"/>
            </w:tcBorders>
          </w:tcPr>
          <w:p>
            <w:pPr>
              <w:pStyle w:val="TableParagraph"/>
              <w:spacing w:before="23"/>
              <w:ind w:right="154"/>
              <w:rPr>
                <w:b/>
                <w:sz w:val="14"/>
              </w:rPr>
            </w:pPr>
            <w:r>
              <w:rPr>
                <w:b/>
                <w:w w:val="99"/>
                <w:sz w:val="14"/>
              </w:rPr>
              <w:t>-</w:t>
            </w:r>
          </w:p>
        </w:tc>
        <w:tc>
          <w:tcPr>
            <w:tcW w:w="607" w:type="dxa"/>
            <w:tcBorders>
              <w:top w:val="single" w:sz="4" w:space="0" w:color="000000"/>
              <w:bottom w:val="single" w:sz="12" w:space="0" w:color="000000"/>
            </w:tcBorders>
          </w:tcPr>
          <w:p>
            <w:pPr>
              <w:pStyle w:val="TableParagraph"/>
              <w:spacing w:before="23"/>
              <w:ind w:right="170"/>
              <w:rPr>
                <w:b/>
                <w:sz w:val="14"/>
              </w:rPr>
            </w:pPr>
            <w:r>
              <w:rPr>
                <w:b/>
                <w:w w:val="99"/>
                <w:sz w:val="14"/>
              </w:rPr>
              <w:t>-</w:t>
            </w:r>
          </w:p>
        </w:tc>
        <w:tc>
          <w:tcPr>
            <w:tcW w:w="563" w:type="dxa"/>
            <w:tcBorders>
              <w:top w:val="single" w:sz="4" w:space="0" w:color="000000"/>
              <w:bottom w:val="single" w:sz="12" w:space="0" w:color="000000"/>
            </w:tcBorders>
          </w:tcPr>
          <w:p>
            <w:pPr>
              <w:pStyle w:val="TableParagraph"/>
              <w:spacing w:before="23"/>
              <w:ind w:right="171"/>
              <w:rPr>
                <w:b/>
                <w:sz w:val="14"/>
              </w:rPr>
            </w:pPr>
            <w:r>
              <w:rPr>
                <w:b/>
                <w:w w:val="99"/>
                <w:sz w:val="14"/>
              </w:rPr>
              <w:t>-</w:t>
            </w:r>
          </w:p>
        </w:tc>
        <w:tc>
          <w:tcPr>
            <w:tcW w:w="557" w:type="dxa"/>
            <w:tcBorders>
              <w:top w:val="single" w:sz="4" w:space="0" w:color="000000"/>
              <w:bottom w:val="single" w:sz="12" w:space="0" w:color="000000"/>
            </w:tcBorders>
          </w:tcPr>
          <w:p>
            <w:pPr>
              <w:pStyle w:val="TableParagraph"/>
              <w:spacing w:before="23"/>
              <w:ind w:right="168"/>
              <w:rPr>
                <w:b/>
                <w:sz w:val="14"/>
              </w:rPr>
            </w:pPr>
            <w:r>
              <w:rPr>
                <w:b/>
                <w:w w:val="99"/>
                <w:sz w:val="14"/>
              </w:rPr>
              <w:t>1</w:t>
            </w:r>
          </w:p>
        </w:tc>
        <w:tc>
          <w:tcPr>
            <w:tcW w:w="583" w:type="dxa"/>
            <w:tcBorders>
              <w:top w:val="single" w:sz="4" w:space="0" w:color="000000"/>
              <w:bottom w:val="single" w:sz="12" w:space="0" w:color="000000"/>
            </w:tcBorders>
          </w:tcPr>
          <w:p>
            <w:pPr>
              <w:pStyle w:val="TableParagraph"/>
              <w:spacing w:before="23"/>
              <w:ind w:left="170"/>
              <w:jc w:val="center"/>
              <w:rPr>
                <w:b/>
                <w:sz w:val="14"/>
              </w:rPr>
            </w:pPr>
            <w:r>
              <w:rPr>
                <w:b/>
                <w:w w:val="99"/>
                <w:sz w:val="14"/>
              </w:rPr>
              <w:t>1</w:t>
            </w:r>
          </w:p>
        </w:tc>
        <w:tc>
          <w:tcPr>
            <w:tcW w:w="545" w:type="dxa"/>
            <w:tcBorders>
              <w:top w:val="single" w:sz="4" w:space="0" w:color="000000"/>
              <w:bottom w:val="single" w:sz="12" w:space="0" w:color="000000"/>
            </w:tcBorders>
          </w:tcPr>
          <w:p>
            <w:pPr>
              <w:pStyle w:val="TableParagraph"/>
              <w:spacing w:before="23"/>
              <w:ind w:right="129"/>
              <w:rPr>
                <w:b/>
                <w:sz w:val="14"/>
              </w:rPr>
            </w:pPr>
            <w:r>
              <w:rPr>
                <w:b/>
                <w:w w:val="99"/>
                <w:sz w:val="14"/>
              </w:rPr>
              <w:t>1</w:t>
            </w:r>
          </w:p>
        </w:tc>
        <w:tc>
          <w:tcPr>
            <w:tcW w:w="737" w:type="dxa"/>
            <w:tcBorders>
              <w:top w:val="single" w:sz="4" w:space="0" w:color="000000"/>
              <w:bottom w:val="single" w:sz="12" w:space="0" w:color="000000"/>
            </w:tcBorders>
          </w:tcPr>
          <w:p>
            <w:pPr>
              <w:pStyle w:val="TableParagraph"/>
              <w:spacing w:before="23"/>
              <w:ind w:right="270"/>
              <w:rPr>
                <w:b/>
                <w:sz w:val="14"/>
              </w:rPr>
            </w:pPr>
            <w:r>
              <w:rPr>
                <w:b/>
                <w:w w:val="99"/>
                <w:sz w:val="14"/>
              </w:rPr>
              <w:t>2</w:t>
            </w:r>
          </w:p>
        </w:tc>
        <w:tc>
          <w:tcPr>
            <w:tcW w:w="641" w:type="dxa"/>
            <w:tcBorders>
              <w:top w:val="single" w:sz="4" w:space="0" w:color="000000"/>
              <w:bottom w:val="single" w:sz="12" w:space="0" w:color="000000"/>
            </w:tcBorders>
          </w:tcPr>
          <w:p>
            <w:pPr>
              <w:pStyle w:val="TableParagraph"/>
              <w:spacing w:before="23"/>
              <w:ind w:right="171"/>
              <w:rPr>
                <w:b/>
                <w:sz w:val="14"/>
              </w:rPr>
            </w:pPr>
            <w:r>
              <w:rPr>
                <w:b/>
                <w:w w:val="99"/>
                <w:sz w:val="14"/>
              </w:rPr>
              <w:t>1</w:t>
            </w:r>
          </w:p>
        </w:tc>
        <w:tc>
          <w:tcPr>
            <w:tcW w:w="491" w:type="dxa"/>
            <w:tcBorders>
              <w:top w:val="single" w:sz="4" w:space="0" w:color="000000"/>
              <w:bottom w:val="single" w:sz="12" w:space="0" w:color="000000"/>
            </w:tcBorders>
          </w:tcPr>
          <w:p>
            <w:pPr>
              <w:pStyle w:val="TableParagraph"/>
              <w:spacing w:before="23"/>
              <w:ind w:right="66"/>
              <w:rPr>
                <w:b/>
                <w:sz w:val="14"/>
              </w:rPr>
            </w:pPr>
            <w:r>
              <w:rPr>
                <w:b/>
                <w:w w:val="99"/>
                <w:sz w:val="14"/>
              </w:rPr>
              <w:t>-</w:t>
            </w:r>
          </w:p>
        </w:tc>
        <w:tc>
          <w:tcPr>
            <w:tcW w:w="792" w:type="dxa"/>
            <w:tcBorders>
              <w:top w:val="single" w:sz="4" w:space="0" w:color="000000"/>
              <w:bottom w:val="single" w:sz="12" w:space="0" w:color="000000"/>
            </w:tcBorders>
          </w:tcPr>
          <w:p>
            <w:pPr>
              <w:pStyle w:val="TableParagraph"/>
              <w:spacing w:before="23"/>
              <w:ind w:right="124"/>
              <w:rPr>
                <w:b/>
                <w:i/>
                <w:sz w:val="14"/>
              </w:rPr>
            </w:pPr>
            <w:r>
              <w:rPr>
                <w:b/>
                <w:i/>
                <w:w w:val="99"/>
                <w:sz w:val="14"/>
              </w:rPr>
              <w:t>6</w:t>
            </w:r>
          </w:p>
        </w:tc>
        <w:tc>
          <w:tcPr>
            <w:tcW w:w="568" w:type="dxa"/>
            <w:tcBorders>
              <w:top w:val="single" w:sz="4" w:space="0" w:color="000000"/>
              <w:bottom w:val="single" w:sz="12" w:space="0" w:color="000000"/>
            </w:tcBorders>
          </w:tcPr>
          <w:p>
            <w:pPr>
              <w:pStyle w:val="TableParagraph"/>
              <w:spacing w:before="23"/>
              <w:ind w:right="96"/>
              <w:rPr>
                <w:b/>
                <w:sz w:val="14"/>
              </w:rPr>
            </w:pPr>
            <w:r>
              <w:rPr>
                <w:b/>
                <w:w w:val="99"/>
                <w:sz w:val="14"/>
              </w:rPr>
              <w:t>-</w:t>
            </w:r>
          </w:p>
        </w:tc>
        <w:tc>
          <w:tcPr>
            <w:tcW w:w="579" w:type="dxa"/>
            <w:tcBorders>
              <w:top w:val="single" w:sz="4" w:space="0" w:color="000000"/>
              <w:bottom w:val="single" w:sz="12" w:space="0" w:color="000000"/>
            </w:tcBorders>
          </w:tcPr>
          <w:p>
            <w:pPr>
              <w:pStyle w:val="TableParagraph"/>
              <w:spacing w:before="23"/>
              <w:ind w:right="85"/>
              <w:rPr>
                <w:b/>
                <w:sz w:val="14"/>
              </w:rPr>
            </w:pPr>
            <w:r>
              <w:rPr>
                <w:b/>
                <w:w w:val="99"/>
                <w:sz w:val="14"/>
              </w:rPr>
              <w:t>1</w:t>
            </w:r>
          </w:p>
        </w:tc>
        <w:tc>
          <w:tcPr>
            <w:tcW w:w="561" w:type="dxa"/>
            <w:tcBorders>
              <w:top w:val="single" w:sz="4" w:space="0" w:color="000000"/>
              <w:bottom w:val="single" w:sz="12" w:space="0" w:color="000000"/>
            </w:tcBorders>
          </w:tcPr>
          <w:p>
            <w:pPr>
              <w:pStyle w:val="TableParagraph"/>
              <w:spacing w:before="23"/>
              <w:ind w:right="56"/>
              <w:rPr>
                <w:b/>
                <w:sz w:val="14"/>
              </w:rPr>
            </w:pPr>
            <w:r>
              <w:rPr>
                <w:b/>
                <w:w w:val="99"/>
                <w:sz w:val="14"/>
              </w:rPr>
              <w:t>3</w:t>
            </w:r>
          </w:p>
        </w:tc>
        <w:tc>
          <w:tcPr>
            <w:tcW w:w="812" w:type="dxa"/>
            <w:tcBorders>
              <w:top w:val="single" w:sz="4" w:space="0" w:color="000000"/>
              <w:bottom w:val="single" w:sz="12" w:space="0" w:color="000000"/>
            </w:tcBorders>
          </w:tcPr>
          <w:p>
            <w:pPr>
              <w:pStyle w:val="TableParagraph"/>
              <w:spacing w:before="23"/>
              <w:ind w:right="128"/>
              <w:rPr>
                <w:b/>
                <w:i/>
                <w:sz w:val="14"/>
              </w:rPr>
            </w:pPr>
            <w:r>
              <w:rPr>
                <w:b/>
                <w:i/>
                <w:w w:val="99"/>
                <w:sz w:val="14"/>
              </w:rPr>
              <w:t>4</w:t>
            </w:r>
          </w:p>
        </w:tc>
        <w:tc>
          <w:tcPr>
            <w:tcW w:w="524" w:type="dxa"/>
            <w:tcBorders>
              <w:top w:val="single" w:sz="4" w:space="0" w:color="000000"/>
              <w:bottom w:val="single" w:sz="12" w:space="0" w:color="000000"/>
            </w:tcBorders>
          </w:tcPr>
          <w:p>
            <w:pPr>
              <w:pStyle w:val="TableParagraph"/>
              <w:spacing w:before="23"/>
              <w:ind w:right="45"/>
              <w:rPr>
                <w:b/>
                <w:sz w:val="14"/>
              </w:rPr>
            </w:pPr>
            <w:r>
              <w:rPr>
                <w:b/>
                <w:spacing w:val="-5"/>
                <w:sz w:val="14"/>
              </w:rPr>
              <w:t>10</w:t>
            </w:r>
          </w:p>
        </w:tc>
      </w:tr>
      <w:tr>
        <w:trPr>
          <w:trHeight w:val="571" w:hRule="atLeast"/>
        </w:trPr>
        <w:tc>
          <w:tcPr>
            <w:tcW w:w="1186" w:type="dxa"/>
            <w:tcBorders>
              <w:top w:val="single" w:sz="12" w:space="0" w:color="000000"/>
            </w:tcBorders>
          </w:tcPr>
          <w:p>
            <w:pPr>
              <w:pStyle w:val="TableParagraph"/>
              <w:spacing w:before="1"/>
              <w:jc w:val="left"/>
              <w:rPr>
                <w:b/>
                <w:sz w:val="19"/>
              </w:rPr>
            </w:pPr>
          </w:p>
          <w:p>
            <w:pPr>
              <w:pStyle w:val="TableParagraph"/>
              <w:spacing w:line="242" w:lineRule="auto"/>
              <w:ind w:left="67" w:right="232"/>
              <w:jc w:val="left"/>
              <w:rPr>
                <w:b/>
                <w:sz w:val="14"/>
              </w:rPr>
            </w:pPr>
            <w:r>
              <w:rPr>
                <w:b/>
                <w:sz w:val="14"/>
              </w:rPr>
              <w:t>GTA</w:t>
            </w:r>
            <w:r>
              <w:rPr>
                <w:b/>
                <w:spacing w:val="-9"/>
                <w:sz w:val="14"/>
              </w:rPr>
              <w:t> </w:t>
            </w:r>
            <w:r>
              <w:rPr>
                <w:b/>
                <w:sz w:val="14"/>
              </w:rPr>
              <w:t>Positions</w:t>
            </w:r>
            <w:r>
              <w:rPr>
                <w:b/>
                <w:spacing w:val="40"/>
                <w:sz w:val="14"/>
              </w:rPr>
              <w:t> </w:t>
            </w:r>
            <w:r>
              <w:rPr>
                <w:b/>
                <w:spacing w:val="-2"/>
                <w:sz w:val="14"/>
              </w:rPr>
              <w:t>(FTE)</w:t>
            </w:r>
          </w:p>
        </w:tc>
        <w:tc>
          <w:tcPr>
            <w:tcW w:w="678" w:type="dxa"/>
            <w:tcBorders>
              <w:top w:val="single" w:sz="12" w:space="0" w:color="000000"/>
            </w:tcBorders>
          </w:tcPr>
          <w:p>
            <w:pPr>
              <w:pStyle w:val="TableParagraph"/>
              <w:jc w:val="left"/>
              <w:rPr>
                <w:sz w:val="14"/>
              </w:rPr>
            </w:pPr>
          </w:p>
        </w:tc>
        <w:tc>
          <w:tcPr>
            <w:tcW w:w="607" w:type="dxa"/>
            <w:tcBorders>
              <w:top w:val="single" w:sz="12" w:space="0" w:color="000000"/>
            </w:tcBorders>
          </w:tcPr>
          <w:p>
            <w:pPr>
              <w:pStyle w:val="TableParagraph"/>
              <w:jc w:val="left"/>
              <w:rPr>
                <w:sz w:val="14"/>
              </w:rPr>
            </w:pPr>
          </w:p>
        </w:tc>
        <w:tc>
          <w:tcPr>
            <w:tcW w:w="563" w:type="dxa"/>
            <w:tcBorders>
              <w:top w:val="single" w:sz="12" w:space="0" w:color="000000"/>
            </w:tcBorders>
          </w:tcPr>
          <w:p>
            <w:pPr>
              <w:pStyle w:val="TableParagraph"/>
              <w:jc w:val="left"/>
              <w:rPr>
                <w:sz w:val="14"/>
              </w:rPr>
            </w:pPr>
          </w:p>
        </w:tc>
        <w:tc>
          <w:tcPr>
            <w:tcW w:w="557" w:type="dxa"/>
            <w:tcBorders>
              <w:top w:val="single" w:sz="12" w:space="0" w:color="000000"/>
            </w:tcBorders>
          </w:tcPr>
          <w:p>
            <w:pPr>
              <w:pStyle w:val="TableParagraph"/>
              <w:jc w:val="left"/>
              <w:rPr>
                <w:sz w:val="14"/>
              </w:rPr>
            </w:pPr>
          </w:p>
        </w:tc>
        <w:tc>
          <w:tcPr>
            <w:tcW w:w="583" w:type="dxa"/>
            <w:tcBorders>
              <w:top w:val="single" w:sz="12" w:space="0" w:color="000000"/>
            </w:tcBorders>
          </w:tcPr>
          <w:p>
            <w:pPr>
              <w:pStyle w:val="TableParagraph"/>
              <w:jc w:val="left"/>
              <w:rPr>
                <w:sz w:val="14"/>
              </w:rPr>
            </w:pPr>
          </w:p>
        </w:tc>
        <w:tc>
          <w:tcPr>
            <w:tcW w:w="545" w:type="dxa"/>
            <w:tcBorders>
              <w:top w:val="single" w:sz="12" w:space="0" w:color="000000"/>
            </w:tcBorders>
          </w:tcPr>
          <w:p>
            <w:pPr>
              <w:pStyle w:val="TableParagraph"/>
              <w:jc w:val="left"/>
              <w:rPr>
                <w:sz w:val="14"/>
              </w:rPr>
            </w:pPr>
          </w:p>
        </w:tc>
        <w:tc>
          <w:tcPr>
            <w:tcW w:w="737" w:type="dxa"/>
            <w:tcBorders>
              <w:top w:val="single" w:sz="12" w:space="0" w:color="000000"/>
            </w:tcBorders>
          </w:tcPr>
          <w:p>
            <w:pPr>
              <w:pStyle w:val="TableParagraph"/>
              <w:jc w:val="left"/>
              <w:rPr>
                <w:sz w:val="14"/>
              </w:rPr>
            </w:pPr>
          </w:p>
        </w:tc>
        <w:tc>
          <w:tcPr>
            <w:tcW w:w="641" w:type="dxa"/>
            <w:tcBorders>
              <w:top w:val="single" w:sz="12" w:space="0" w:color="000000"/>
            </w:tcBorders>
          </w:tcPr>
          <w:p>
            <w:pPr>
              <w:pStyle w:val="TableParagraph"/>
              <w:jc w:val="left"/>
              <w:rPr>
                <w:sz w:val="14"/>
              </w:rPr>
            </w:pPr>
          </w:p>
        </w:tc>
        <w:tc>
          <w:tcPr>
            <w:tcW w:w="491" w:type="dxa"/>
            <w:tcBorders>
              <w:top w:val="single" w:sz="12" w:space="0" w:color="000000"/>
            </w:tcBorders>
          </w:tcPr>
          <w:p>
            <w:pPr>
              <w:pStyle w:val="TableParagraph"/>
              <w:jc w:val="left"/>
              <w:rPr>
                <w:sz w:val="14"/>
              </w:rPr>
            </w:pPr>
          </w:p>
        </w:tc>
        <w:tc>
          <w:tcPr>
            <w:tcW w:w="792" w:type="dxa"/>
            <w:tcBorders>
              <w:top w:val="single" w:sz="12" w:space="0" w:color="000000"/>
            </w:tcBorders>
          </w:tcPr>
          <w:p>
            <w:pPr>
              <w:pStyle w:val="TableParagraph"/>
              <w:jc w:val="left"/>
              <w:rPr>
                <w:sz w:val="14"/>
              </w:rPr>
            </w:pPr>
          </w:p>
        </w:tc>
        <w:tc>
          <w:tcPr>
            <w:tcW w:w="568" w:type="dxa"/>
            <w:tcBorders>
              <w:top w:val="single" w:sz="12" w:space="0" w:color="000000"/>
            </w:tcBorders>
          </w:tcPr>
          <w:p>
            <w:pPr>
              <w:pStyle w:val="TableParagraph"/>
              <w:jc w:val="left"/>
              <w:rPr>
                <w:sz w:val="14"/>
              </w:rPr>
            </w:pPr>
          </w:p>
        </w:tc>
        <w:tc>
          <w:tcPr>
            <w:tcW w:w="579" w:type="dxa"/>
            <w:tcBorders>
              <w:top w:val="single" w:sz="12" w:space="0" w:color="000000"/>
            </w:tcBorders>
          </w:tcPr>
          <w:p>
            <w:pPr>
              <w:pStyle w:val="TableParagraph"/>
              <w:jc w:val="left"/>
              <w:rPr>
                <w:sz w:val="14"/>
              </w:rPr>
            </w:pPr>
          </w:p>
        </w:tc>
        <w:tc>
          <w:tcPr>
            <w:tcW w:w="561" w:type="dxa"/>
            <w:tcBorders>
              <w:top w:val="single" w:sz="12" w:space="0" w:color="000000"/>
            </w:tcBorders>
          </w:tcPr>
          <w:p>
            <w:pPr>
              <w:pStyle w:val="TableParagraph"/>
              <w:jc w:val="left"/>
              <w:rPr>
                <w:sz w:val="14"/>
              </w:rPr>
            </w:pPr>
          </w:p>
        </w:tc>
        <w:tc>
          <w:tcPr>
            <w:tcW w:w="812" w:type="dxa"/>
            <w:tcBorders>
              <w:top w:val="single" w:sz="12" w:space="0" w:color="000000"/>
            </w:tcBorders>
          </w:tcPr>
          <w:p>
            <w:pPr>
              <w:pStyle w:val="TableParagraph"/>
              <w:jc w:val="left"/>
              <w:rPr>
                <w:sz w:val="14"/>
              </w:rPr>
            </w:pPr>
          </w:p>
        </w:tc>
        <w:tc>
          <w:tcPr>
            <w:tcW w:w="524" w:type="dxa"/>
            <w:tcBorders>
              <w:top w:val="single" w:sz="12" w:space="0" w:color="000000"/>
            </w:tcBorders>
          </w:tcPr>
          <w:p>
            <w:pPr>
              <w:pStyle w:val="TableParagraph"/>
              <w:jc w:val="left"/>
              <w:rPr>
                <w:sz w:val="14"/>
              </w:rPr>
            </w:pPr>
          </w:p>
        </w:tc>
      </w:tr>
      <w:tr>
        <w:trPr>
          <w:trHeight w:val="205" w:hRule="atLeast"/>
        </w:trPr>
        <w:tc>
          <w:tcPr>
            <w:tcW w:w="1186" w:type="dxa"/>
            <w:tcBorders>
              <w:bottom w:val="single" w:sz="12" w:space="0" w:color="000000"/>
            </w:tcBorders>
          </w:tcPr>
          <w:p>
            <w:pPr>
              <w:pStyle w:val="TableParagraph"/>
              <w:spacing w:before="3"/>
              <w:ind w:left="67"/>
              <w:jc w:val="left"/>
              <w:rPr>
                <w:sz w:val="14"/>
              </w:rPr>
            </w:pPr>
            <w:r>
              <w:rPr>
                <w:w w:val="95"/>
                <w:sz w:val="14"/>
              </w:rPr>
              <w:t>Approved</w:t>
            </w:r>
            <w:r>
              <w:rPr>
                <w:spacing w:val="22"/>
                <w:sz w:val="14"/>
              </w:rPr>
              <w:t> </w:t>
            </w:r>
            <w:r>
              <w:rPr>
                <w:spacing w:val="-4"/>
                <w:sz w:val="14"/>
              </w:rPr>
              <w:t>2022</w:t>
            </w:r>
          </w:p>
        </w:tc>
        <w:tc>
          <w:tcPr>
            <w:tcW w:w="678" w:type="dxa"/>
            <w:tcBorders>
              <w:bottom w:val="single" w:sz="12" w:space="0" w:color="000000"/>
            </w:tcBorders>
          </w:tcPr>
          <w:p>
            <w:pPr>
              <w:pStyle w:val="TableParagraph"/>
              <w:spacing w:before="3"/>
              <w:ind w:right="154"/>
              <w:rPr>
                <w:sz w:val="14"/>
              </w:rPr>
            </w:pPr>
            <w:r>
              <w:rPr>
                <w:w w:val="99"/>
                <w:sz w:val="14"/>
              </w:rPr>
              <w:t>-</w:t>
            </w:r>
          </w:p>
        </w:tc>
        <w:tc>
          <w:tcPr>
            <w:tcW w:w="607" w:type="dxa"/>
            <w:tcBorders>
              <w:bottom w:val="single" w:sz="12" w:space="0" w:color="000000"/>
            </w:tcBorders>
          </w:tcPr>
          <w:p>
            <w:pPr>
              <w:pStyle w:val="TableParagraph"/>
              <w:spacing w:before="3"/>
              <w:ind w:right="170"/>
              <w:rPr>
                <w:sz w:val="14"/>
              </w:rPr>
            </w:pPr>
            <w:r>
              <w:rPr>
                <w:w w:val="99"/>
                <w:sz w:val="14"/>
              </w:rPr>
              <w:t>-</w:t>
            </w:r>
          </w:p>
        </w:tc>
        <w:tc>
          <w:tcPr>
            <w:tcW w:w="563" w:type="dxa"/>
            <w:tcBorders>
              <w:bottom w:val="single" w:sz="12" w:space="0" w:color="000000"/>
            </w:tcBorders>
          </w:tcPr>
          <w:p>
            <w:pPr>
              <w:pStyle w:val="TableParagraph"/>
              <w:spacing w:before="3"/>
              <w:ind w:right="171"/>
              <w:rPr>
                <w:sz w:val="14"/>
              </w:rPr>
            </w:pPr>
            <w:r>
              <w:rPr>
                <w:w w:val="99"/>
                <w:sz w:val="14"/>
              </w:rPr>
              <w:t>-</w:t>
            </w:r>
          </w:p>
        </w:tc>
        <w:tc>
          <w:tcPr>
            <w:tcW w:w="557" w:type="dxa"/>
            <w:tcBorders>
              <w:bottom w:val="single" w:sz="12" w:space="0" w:color="000000"/>
            </w:tcBorders>
          </w:tcPr>
          <w:p>
            <w:pPr>
              <w:pStyle w:val="TableParagraph"/>
              <w:spacing w:before="3"/>
              <w:ind w:right="167"/>
              <w:rPr>
                <w:sz w:val="14"/>
              </w:rPr>
            </w:pPr>
            <w:r>
              <w:rPr>
                <w:w w:val="99"/>
                <w:sz w:val="14"/>
              </w:rPr>
              <w:t>-</w:t>
            </w:r>
          </w:p>
        </w:tc>
        <w:tc>
          <w:tcPr>
            <w:tcW w:w="583" w:type="dxa"/>
            <w:tcBorders>
              <w:bottom w:val="single" w:sz="12" w:space="0" w:color="000000"/>
            </w:tcBorders>
          </w:tcPr>
          <w:p>
            <w:pPr>
              <w:pStyle w:val="TableParagraph"/>
              <w:spacing w:before="3"/>
              <w:ind w:left="157" w:right="156"/>
              <w:jc w:val="center"/>
              <w:rPr>
                <w:sz w:val="14"/>
              </w:rPr>
            </w:pPr>
            <w:r>
              <w:rPr>
                <w:spacing w:val="-4"/>
                <w:sz w:val="14"/>
              </w:rPr>
              <w:t>0.04</w:t>
            </w:r>
          </w:p>
        </w:tc>
        <w:tc>
          <w:tcPr>
            <w:tcW w:w="545" w:type="dxa"/>
            <w:tcBorders>
              <w:bottom w:val="single" w:sz="12" w:space="0" w:color="000000"/>
            </w:tcBorders>
          </w:tcPr>
          <w:p>
            <w:pPr>
              <w:pStyle w:val="TableParagraph"/>
              <w:spacing w:before="3"/>
              <w:ind w:right="124"/>
              <w:rPr>
                <w:sz w:val="14"/>
              </w:rPr>
            </w:pPr>
            <w:r>
              <w:rPr>
                <w:spacing w:val="-4"/>
                <w:sz w:val="14"/>
              </w:rPr>
              <w:t>0.04</w:t>
            </w:r>
          </w:p>
        </w:tc>
        <w:tc>
          <w:tcPr>
            <w:tcW w:w="737" w:type="dxa"/>
            <w:tcBorders>
              <w:bottom w:val="single" w:sz="12" w:space="0" w:color="000000"/>
            </w:tcBorders>
          </w:tcPr>
          <w:p>
            <w:pPr>
              <w:pStyle w:val="TableParagraph"/>
              <w:spacing w:before="3"/>
              <w:ind w:right="266"/>
              <w:rPr>
                <w:sz w:val="14"/>
              </w:rPr>
            </w:pPr>
            <w:r>
              <w:rPr>
                <w:spacing w:val="-4"/>
                <w:sz w:val="14"/>
              </w:rPr>
              <w:t>3.08</w:t>
            </w:r>
          </w:p>
        </w:tc>
        <w:tc>
          <w:tcPr>
            <w:tcW w:w="641" w:type="dxa"/>
            <w:tcBorders>
              <w:bottom w:val="single" w:sz="12" w:space="0" w:color="000000"/>
            </w:tcBorders>
          </w:tcPr>
          <w:p>
            <w:pPr>
              <w:pStyle w:val="TableParagraph"/>
              <w:spacing w:before="3"/>
              <w:ind w:right="171"/>
              <w:rPr>
                <w:sz w:val="14"/>
              </w:rPr>
            </w:pPr>
            <w:r>
              <w:rPr>
                <w:w w:val="99"/>
                <w:sz w:val="14"/>
              </w:rPr>
              <w:t>-</w:t>
            </w:r>
          </w:p>
        </w:tc>
        <w:tc>
          <w:tcPr>
            <w:tcW w:w="491" w:type="dxa"/>
            <w:tcBorders>
              <w:bottom w:val="single" w:sz="12" w:space="0" w:color="000000"/>
            </w:tcBorders>
          </w:tcPr>
          <w:p>
            <w:pPr>
              <w:pStyle w:val="TableParagraph"/>
              <w:spacing w:before="3"/>
              <w:ind w:right="63"/>
              <w:rPr>
                <w:sz w:val="14"/>
              </w:rPr>
            </w:pPr>
            <w:r>
              <w:rPr>
                <w:spacing w:val="-4"/>
                <w:sz w:val="14"/>
              </w:rPr>
              <w:t>1.00</w:t>
            </w:r>
          </w:p>
        </w:tc>
        <w:tc>
          <w:tcPr>
            <w:tcW w:w="792" w:type="dxa"/>
            <w:tcBorders>
              <w:bottom w:val="single" w:sz="12" w:space="0" w:color="000000"/>
            </w:tcBorders>
          </w:tcPr>
          <w:p>
            <w:pPr>
              <w:pStyle w:val="TableParagraph"/>
              <w:spacing w:before="3"/>
              <w:ind w:right="120"/>
              <w:rPr>
                <w:i/>
                <w:sz w:val="14"/>
              </w:rPr>
            </w:pPr>
            <w:r>
              <w:rPr>
                <w:i/>
                <w:spacing w:val="-4"/>
                <w:sz w:val="14"/>
              </w:rPr>
              <w:t>4.17</w:t>
            </w:r>
          </w:p>
        </w:tc>
        <w:tc>
          <w:tcPr>
            <w:tcW w:w="568" w:type="dxa"/>
            <w:tcBorders>
              <w:bottom w:val="single" w:sz="12" w:space="0" w:color="000000"/>
            </w:tcBorders>
          </w:tcPr>
          <w:p>
            <w:pPr>
              <w:pStyle w:val="TableParagraph"/>
              <w:spacing w:before="3"/>
              <w:ind w:right="96"/>
              <w:rPr>
                <w:sz w:val="14"/>
              </w:rPr>
            </w:pPr>
            <w:r>
              <w:rPr>
                <w:w w:val="99"/>
                <w:sz w:val="14"/>
              </w:rPr>
              <w:t>-</w:t>
            </w:r>
          </w:p>
        </w:tc>
        <w:tc>
          <w:tcPr>
            <w:tcW w:w="579" w:type="dxa"/>
            <w:tcBorders>
              <w:bottom w:val="single" w:sz="12" w:space="0" w:color="000000"/>
            </w:tcBorders>
          </w:tcPr>
          <w:p>
            <w:pPr>
              <w:pStyle w:val="TableParagraph"/>
              <w:spacing w:before="3"/>
              <w:ind w:right="84"/>
              <w:rPr>
                <w:sz w:val="14"/>
              </w:rPr>
            </w:pPr>
            <w:r>
              <w:rPr>
                <w:w w:val="99"/>
                <w:sz w:val="14"/>
              </w:rPr>
              <w:t>-</w:t>
            </w:r>
          </w:p>
        </w:tc>
        <w:tc>
          <w:tcPr>
            <w:tcW w:w="561" w:type="dxa"/>
            <w:tcBorders>
              <w:bottom w:val="single" w:sz="12" w:space="0" w:color="000000"/>
            </w:tcBorders>
          </w:tcPr>
          <w:p>
            <w:pPr>
              <w:pStyle w:val="TableParagraph"/>
              <w:spacing w:before="3"/>
              <w:ind w:right="51"/>
              <w:rPr>
                <w:sz w:val="14"/>
              </w:rPr>
            </w:pPr>
            <w:r>
              <w:rPr>
                <w:spacing w:val="-4"/>
                <w:sz w:val="14"/>
              </w:rPr>
              <w:t>0.58</w:t>
            </w:r>
          </w:p>
        </w:tc>
        <w:tc>
          <w:tcPr>
            <w:tcW w:w="812" w:type="dxa"/>
            <w:tcBorders>
              <w:bottom w:val="single" w:sz="12" w:space="0" w:color="000000"/>
            </w:tcBorders>
          </w:tcPr>
          <w:p>
            <w:pPr>
              <w:pStyle w:val="TableParagraph"/>
              <w:spacing w:before="3"/>
              <w:ind w:right="124"/>
              <w:rPr>
                <w:i/>
                <w:sz w:val="14"/>
              </w:rPr>
            </w:pPr>
            <w:r>
              <w:rPr>
                <w:i/>
                <w:spacing w:val="-4"/>
                <w:sz w:val="14"/>
              </w:rPr>
              <w:t>0.58</w:t>
            </w:r>
          </w:p>
        </w:tc>
        <w:tc>
          <w:tcPr>
            <w:tcW w:w="524" w:type="dxa"/>
            <w:tcBorders>
              <w:bottom w:val="single" w:sz="12" w:space="0" w:color="000000"/>
            </w:tcBorders>
          </w:tcPr>
          <w:p>
            <w:pPr>
              <w:pStyle w:val="TableParagraph"/>
              <w:spacing w:before="3"/>
              <w:ind w:right="48"/>
              <w:rPr>
                <w:b/>
                <w:sz w:val="14"/>
              </w:rPr>
            </w:pPr>
            <w:r>
              <w:rPr>
                <w:b/>
                <w:spacing w:val="-4"/>
                <w:sz w:val="14"/>
              </w:rPr>
              <w:t>4.75</w:t>
            </w:r>
          </w:p>
        </w:tc>
      </w:tr>
      <w:tr>
        <w:trPr>
          <w:trHeight w:val="229" w:hRule="atLeast"/>
        </w:trPr>
        <w:tc>
          <w:tcPr>
            <w:tcW w:w="1186" w:type="dxa"/>
            <w:tcBorders>
              <w:top w:val="single" w:sz="12" w:space="0" w:color="000000"/>
              <w:bottom w:val="single" w:sz="4" w:space="0" w:color="000000"/>
            </w:tcBorders>
          </w:tcPr>
          <w:p>
            <w:pPr>
              <w:pStyle w:val="TableParagraph"/>
              <w:spacing w:before="27"/>
              <w:ind w:left="67"/>
              <w:jc w:val="left"/>
              <w:rPr>
                <w:sz w:val="14"/>
              </w:rPr>
            </w:pPr>
            <w:r>
              <w:rPr>
                <w:spacing w:val="-2"/>
                <w:sz w:val="14"/>
              </w:rPr>
              <w:t>Continued</w:t>
            </w:r>
          </w:p>
        </w:tc>
        <w:tc>
          <w:tcPr>
            <w:tcW w:w="678" w:type="dxa"/>
            <w:tcBorders>
              <w:top w:val="single" w:sz="12" w:space="0" w:color="000000"/>
              <w:bottom w:val="single" w:sz="4" w:space="0" w:color="000000"/>
            </w:tcBorders>
          </w:tcPr>
          <w:p>
            <w:pPr>
              <w:pStyle w:val="TableParagraph"/>
              <w:spacing w:before="27"/>
              <w:ind w:right="154"/>
              <w:rPr>
                <w:sz w:val="14"/>
              </w:rPr>
            </w:pPr>
            <w:r>
              <w:rPr>
                <w:w w:val="99"/>
                <w:sz w:val="14"/>
              </w:rPr>
              <w:t>-</w:t>
            </w:r>
          </w:p>
        </w:tc>
        <w:tc>
          <w:tcPr>
            <w:tcW w:w="607" w:type="dxa"/>
            <w:tcBorders>
              <w:top w:val="single" w:sz="12" w:space="0" w:color="000000"/>
              <w:bottom w:val="single" w:sz="4" w:space="0" w:color="000000"/>
            </w:tcBorders>
          </w:tcPr>
          <w:p>
            <w:pPr>
              <w:pStyle w:val="TableParagraph"/>
              <w:spacing w:before="27"/>
              <w:ind w:right="170"/>
              <w:rPr>
                <w:sz w:val="14"/>
              </w:rPr>
            </w:pPr>
            <w:r>
              <w:rPr>
                <w:w w:val="99"/>
                <w:sz w:val="14"/>
              </w:rPr>
              <w:t>-</w:t>
            </w:r>
          </w:p>
        </w:tc>
        <w:tc>
          <w:tcPr>
            <w:tcW w:w="563" w:type="dxa"/>
            <w:tcBorders>
              <w:top w:val="single" w:sz="12" w:space="0" w:color="000000"/>
              <w:bottom w:val="single" w:sz="4" w:space="0" w:color="000000"/>
            </w:tcBorders>
          </w:tcPr>
          <w:p>
            <w:pPr>
              <w:pStyle w:val="TableParagraph"/>
              <w:spacing w:before="27"/>
              <w:ind w:right="171"/>
              <w:rPr>
                <w:sz w:val="14"/>
              </w:rPr>
            </w:pPr>
            <w:r>
              <w:rPr>
                <w:w w:val="99"/>
                <w:sz w:val="14"/>
              </w:rPr>
              <w:t>-</w:t>
            </w:r>
          </w:p>
        </w:tc>
        <w:tc>
          <w:tcPr>
            <w:tcW w:w="557" w:type="dxa"/>
            <w:tcBorders>
              <w:top w:val="single" w:sz="12" w:space="0" w:color="000000"/>
              <w:bottom w:val="single" w:sz="4" w:space="0" w:color="000000"/>
            </w:tcBorders>
          </w:tcPr>
          <w:p>
            <w:pPr>
              <w:pStyle w:val="TableParagraph"/>
              <w:spacing w:before="27"/>
              <w:ind w:right="167"/>
              <w:rPr>
                <w:sz w:val="14"/>
              </w:rPr>
            </w:pPr>
            <w:r>
              <w:rPr>
                <w:w w:val="99"/>
                <w:sz w:val="14"/>
              </w:rPr>
              <w:t>-</w:t>
            </w:r>
          </w:p>
        </w:tc>
        <w:tc>
          <w:tcPr>
            <w:tcW w:w="583" w:type="dxa"/>
            <w:tcBorders>
              <w:top w:val="single" w:sz="12" w:space="0" w:color="000000"/>
              <w:bottom w:val="single" w:sz="4" w:space="0" w:color="000000"/>
            </w:tcBorders>
          </w:tcPr>
          <w:p>
            <w:pPr>
              <w:pStyle w:val="TableParagraph"/>
              <w:spacing w:before="27"/>
              <w:ind w:left="157" w:right="156"/>
              <w:jc w:val="center"/>
              <w:rPr>
                <w:sz w:val="14"/>
              </w:rPr>
            </w:pPr>
            <w:r>
              <w:rPr>
                <w:spacing w:val="-4"/>
                <w:sz w:val="14"/>
              </w:rPr>
              <w:t>0.04</w:t>
            </w:r>
          </w:p>
        </w:tc>
        <w:tc>
          <w:tcPr>
            <w:tcW w:w="545" w:type="dxa"/>
            <w:tcBorders>
              <w:top w:val="single" w:sz="12" w:space="0" w:color="000000"/>
              <w:bottom w:val="single" w:sz="4" w:space="0" w:color="000000"/>
            </w:tcBorders>
          </w:tcPr>
          <w:p>
            <w:pPr>
              <w:pStyle w:val="TableParagraph"/>
              <w:spacing w:before="27"/>
              <w:ind w:right="124"/>
              <w:rPr>
                <w:sz w:val="14"/>
              </w:rPr>
            </w:pPr>
            <w:r>
              <w:rPr>
                <w:spacing w:val="-4"/>
                <w:sz w:val="14"/>
              </w:rPr>
              <w:t>0.04</w:t>
            </w:r>
          </w:p>
        </w:tc>
        <w:tc>
          <w:tcPr>
            <w:tcW w:w="737" w:type="dxa"/>
            <w:tcBorders>
              <w:top w:val="single" w:sz="12" w:space="0" w:color="000000"/>
              <w:bottom w:val="single" w:sz="4" w:space="0" w:color="000000"/>
            </w:tcBorders>
          </w:tcPr>
          <w:p>
            <w:pPr>
              <w:pStyle w:val="TableParagraph"/>
              <w:spacing w:before="27"/>
              <w:ind w:right="266"/>
              <w:rPr>
                <w:sz w:val="14"/>
              </w:rPr>
            </w:pPr>
            <w:r>
              <w:rPr>
                <w:spacing w:val="-4"/>
                <w:sz w:val="14"/>
              </w:rPr>
              <w:t>3.08</w:t>
            </w:r>
          </w:p>
        </w:tc>
        <w:tc>
          <w:tcPr>
            <w:tcW w:w="641" w:type="dxa"/>
            <w:tcBorders>
              <w:top w:val="single" w:sz="12" w:space="0" w:color="000000"/>
              <w:bottom w:val="single" w:sz="4" w:space="0" w:color="000000"/>
            </w:tcBorders>
          </w:tcPr>
          <w:p>
            <w:pPr>
              <w:pStyle w:val="TableParagraph"/>
              <w:spacing w:before="27"/>
              <w:ind w:right="171"/>
              <w:rPr>
                <w:sz w:val="14"/>
              </w:rPr>
            </w:pPr>
            <w:r>
              <w:rPr>
                <w:w w:val="99"/>
                <w:sz w:val="14"/>
              </w:rPr>
              <w:t>-</w:t>
            </w:r>
          </w:p>
        </w:tc>
        <w:tc>
          <w:tcPr>
            <w:tcW w:w="491" w:type="dxa"/>
            <w:tcBorders>
              <w:top w:val="single" w:sz="12" w:space="0" w:color="000000"/>
              <w:bottom w:val="single" w:sz="4" w:space="0" w:color="000000"/>
            </w:tcBorders>
          </w:tcPr>
          <w:p>
            <w:pPr>
              <w:pStyle w:val="TableParagraph"/>
              <w:spacing w:before="27"/>
              <w:ind w:right="63"/>
              <w:rPr>
                <w:sz w:val="14"/>
              </w:rPr>
            </w:pPr>
            <w:r>
              <w:rPr>
                <w:spacing w:val="-4"/>
                <w:sz w:val="14"/>
              </w:rPr>
              <w:t>1.00</w:t>
            </w:r>
          </w:p>
        </w:tc>
        <w:tc>
          <w:tcPr>
            <w:tcW w:w="792" w:type="dxa"/>
            <w:tcBorders>
              <w:top w:val="single" w:sz="12" w:space="0" w:color="000000"/>
              <w:bottom w:val="single" w:sz="4" w:space="0" w:color="000000"/>
            </w:tcBorders>
          </w:tcPr>
          <w:p>
            <w:pPr>
              <w:pStyle w:val="TableParagraph"/>
              <w:spacing w:before="27"/>
              <w:ind w:right="120"/>
              <w:rPr>
                <w:i/>
                <w:sz w:val="14"/>
              </w:rPr>
            </w:pPr>
            <w:r>
              <w:rPr>
                <w:i/>
                <w:spacing w:val="-4"/>
                <w:sz w:val="14"/>
              </w:rPr>
              <w:t>4.17</w:t>
            </w:r>
          </w:p>
        </w:tc>
        <w:tc>
          <w:tcPr>
            <w:tcW w:w="568" w:type="dxa"/>
            <w:tcBorders>
              <w:top w:val="single" w:sz="12" w:space="0" w:color="000000"/>
              <w:bottom w:val="single" w:sz="4" w:space="0" w:color="000000"/>
            </w:tcBorders>
          </w:tcPr>
          <w:p>
            <w:pPr>
              <w:pStyle w:val="TableParagraph"/>
              <w:spacing w:before="27"/>
              <w:ind w:right="96"/>
              <w:rPr>
                <w:sz w:val="14"/>
              </w:rPr>
            </w:pPr>
            <w:r>
              <w:rPr>
                <w:w w:val="99"/>
                <w:sz w:val="14"/>
              </w:rPr>
              <w:t>-</w:t>
            </w:r>
          </w:p>
        </w:tc>
        <w:tc>
          <w:tcPr>
            <w:tcW w:w="579" w:type="dxa"/>
            <w:tcBorders>
              <w:top w:val="single" w:sz="12" w:space="0" w:color="000000"/>
              <w:bottom w:val="single" w:sz="4" w:space="0" w:color="000000"/>
            </w:tcBorders>
          </w:tcPr>
          <w:p>
            <w:pPr>
              <w:pStyle w:val="TableParagraph"/>
              <w:spacing w:before="27"/>
              <w:ind w:right="84"/>
              <w:rPr>
                <w:sz w:val="14"/>
              </w:rPr>
            </w:pPr>
            <w:r>
              <w:rPr>
                <w:w w:val="99"/>
                <w:sz w:val="14"/>
              </w:rPr>
              <w:t>-</w:t>
            </w:r>
          </w:p>
        </w:tc>
        <w:tc>
          <w:tcPr>
            <w:tcW w:w="561" w:type="dxa"/>
            <w:tcBorders>
              <w:top w:val="single" w:sz="12" w:space="0" w:color="000000"/>
              <w:bottom w:val="single" w:sz="4" w:space="0" w:color="000000"/>
            </w:tcBorders>
          </w:tcPr>
          <w:p>
            <w:pPr>
              <w:pStyle w:val="TableParagraph"/>
              <w:spacing w:before="27"/>
              <w:ind w:right="51"/>
              <w:rPr>
                <w:sz w:val="14"/>
              </w:rPr>
            </w:pPr>
            <w:r>
              <w:rPr>
                <w:spacing w:val="-4"/>
                <w:sz w:val="14"/>
              </w:rPr>
              <w:t>0.58</w:t>
            </w:r>
          </w:p>
        </w:tc>
        <w:tc>
          <w:tcPr>
            <w:tcW w:w="812" w:type="dxa"/>
            <w:tcBorders>
              <w:top w:val="single" w:sz="12" w:space="0" w:color="000000"/>
              <w:bottom w:val="single" w:sz="4" w:space="0" w:color="000000"/>
            </w:tcBorders>
          </w:tcPr>
          <w:p>
            <w:pPr>
              <w:pStyle w:val="TableParagraph"/>
              <w:spacing w:before="27"/>
              <w:ind w:right="124"/>
              <w:rPr>
                <w:i/>
                <w:sz w:val="14"/>
              </w:rPr>
            </w:pPr>
            <w:r>
              <w:rPr>
                <w:i/>
                <w:spacing w:val="-4"/>
                <w:sz w:val="14"/>
              </w:rPr>
              <w:t>0.58</w:t>
            </w:r>
          </w:p>
        </w:tc>
        <w:tc>
          <w:tcPr>
            <w:tcW w:w="524" w:type="dxa"/>
            <w:tcBorders>
              <w:top w:val="single" w:sz="12" w:space="0" w:color="000000"/>
              <w:bottom w:val="single" w:sz="4" w:space="0" w:color="000000"/>
            </w:tcBorders>
          </w:tcPr>
          <w:p>
            <w:pPr>
              <w:pStyle w:val="TableParagraph"/>
              <w:spacing w:before="27"/>
              <w:ind w:right="48"/>
              <w:rPr>
                <w:b/>
                <w:sz w:val="14"/>
              </w:rPr>
            </w:pPr>
            <w:r>
              <w:rPr>
                <w:b/>
                <w:spacing w:val="-4"/>
                <w:sz w:val="14"/>
              </w:rPr>
              <w:t>4.75</w:t>
            </w:r>
          </w:p>
        </w:tc>
      </w:tr>
      <w:tr>
        <w:trPr>
          <w:trHeight w:val="225" w:hRule="atLeast"/>
        </w:trPr>
        <w:tc>
          <w:tcPr>
            <w:tcW w:w="1186" w:type="dxa"/>
            <w:tcBorders>
              <w:top w:val="single" w:sz="4" w:space="0" w:color="000000"/>
              <w:bottom w:val="single" w:sz="4" w:space="0" w:color="000000"/>
            </w:tcBorders>
          </w:tcPr>
          <w:p>
            <w:pPr>
              <w:pStyle w:val="TableParagraph"/>
              <w:spacing w:before="23"/>
              <w:ind w:left="67"/>
              <w:jc w:val="left"/>
              <w:rPr>
                <w:sz w:val="14"/>
              </w:rPr>
            </w:pPr>
            <w:r>
              <w:rPr>
                <w:spacing w:val="-5"/>
                <w:sz w:val="14"/>
              </w:rPr>
              <w:t>New</w:t>
            </w:r>
          </w:p>
        </w:tc>
        <w:tc>
          <w:tcPr>
            <w:tcW w:w="678" w:type="dxa"/>
            <w:tcBorders>
              <w:top w:val="single" w:sz="4" w:space="0" w:color="000000"/>
              <w:bottom w:val="single" w:sz="4" w:space="0" w:color="000000"/>
            </w:tcBorders>
          </w:tcPr>
          <w:p>
            <w:pPr>
              <w:pStyle w:val="TableParagraph"/>
              <w:spacing w:before="23"/>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3"/>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3"/>
              <w:ind w:right="171"/>
              <w:rPr>
                <w:sz w:val="14"/>
              </w:rPr>
            </w:pPr>
            <w:r>
              <w:rPr>
                <w:w w:val="99"/>
                <w:sz w:val="14"/>
              </w:rPr>
              <w:t>-</w:t>
            </w:r>
          </w:p>
        </w:tc>
        <w:tc>
          <w:tcPr>
            <w:tcW w:w="557" w:type="dxa"/>
            <w:tcBorders>
              <w:top w:val="single" w:sz="4" w:space="0" w:color="000000"/>
              <w:bottom w:val="single" w:sz="4" w:space="0" w:color="000000"/>
            </w:tcBorders>
          </w:tcPr>
          <w:p>
            <w:pPr>
              <w:pStyle w:val="TableParagraph"/>
              <w:spacing w:before="23"/>
              <w:ind w:right="167"/>
              <w:rPr>
                <w:sz w:val="14"/>
              </w:rPr>
            </w:pPr>
            <w:r>
              <w:rPr>
                <w:w w:val="99"/>
                <w:sz w:val="14"/>
              </w:rPr>
              <w:t>-</w:t>
            </w:r>
          </w:p>
        </w:tc>
        <w:tc>
          <w:tcPr>
            <w:tcW w:w="583" w:type="dxa"/>
            <w:tcBorders>
              <w:top w:val="single" w:sz="4" w:space="0" w:color="000000"/>
              <w:bottom w:val="single" w:sz="4" w:space="0" w:color="000000"/>
            </w:tcBorders>
          </w:tcPr>
          <w:p>
            <w:pPr>
              <w:pStyle w:val="TableParagraph"/>
              <w:spacing w:before="23"/>
              <w:ind w:left="194"/>
              <w:jc w:val="center"/>
              <w:rPr>
                <w:sz w:val="14"/>
              </w:rPr>
            </w:pPr>
            <w:r>
              <w:rPr>
                <w:w w:val="99"/>
                <w:sz w:val="14"/>
              </w:rPr>
              <w:t>-</w:t>
            </w:r>
          </w:p>
        </w:tc>
        <w:tc>
          <w:tcPr>
            <w:tcW w:w="545" w:type="dxa"/>
            <w:tcBorders>
              <w:top w:val="single" w:sz="4" w:space="0" w:color="000000"/>
              <w:bottom w:val="single" w:sz="4" w:space="0" w:color="000000"/>
            </w:tcBorders>
          </w:tcPr>
          <w:p>
            <w:pPr>
              <w:pStyle w:val="TableParagraph"/>
              <w:spacing w:before="23"/>
              <w:ind w:right="128"/>
              <w:rPr>
                <w:sz w:val="14"/>
              </w:rPr>
            </w:pPr>
            <w:r>
              <w:rPr>
                <w:w w:val="99"/>
                <w:sz w:val="14"/>
              </w:rPr>
              <w:t>-</w:t>
            </w:r>
          </w:p>
        </w:tc>
        <w:tc>
          <w:tcPr>
            <w:tcW w:w="737" w:type="dxa"/>
            <w:tcBorders>
              <w:top w:val="single" w:sz="4" w:space="0" w:color="000000"/>
              <w:bottom w:val="single" w:sz="4" w:space="0" w:color="000000"/>
            </w:tcBorders>
          </w:tcPr>
          <w:p>
            <w:pPr>
              <w:pStyle w:val="TableParagraph"/>
              <w:spacing w:before="23"/>
              <w:ind w:right="266"/>
              <w:rPr>
                <w:sz w:val="14"/>
              </w:rPr>
            </w:pPr>
            <w:r>
              <w:rPr>
                <w:spacing w:val="-4"/>
                <w:sz w:val="14"/>
              </w:rPr>
              <w:t>1.00</w:t>
            </w:r>
          </w:p>
        </w:tc>
        <w:tc>
          <w:tcPr>
            <w:tcW w:w="641" w:type="dxa"/>
            <w:tcBorders>
              <w:top w:val="single" w:sz="4" w:space="0" w:color="000000"/>
              <w:bottom w:val="single" w:sz="4" w:space="0" w:color="000000"/>
            </w:tcBorders>
          </w:tcPr>
          <w:p>
            <w:pPr>
              <w:pStyle w:val="TableParagraph"/>
              <w:spacing w:before="23"/>
              <w:ind w:right="171"/>
              <w:rPr>
                <w:sz w:val="14"/>
              </w:rPr>
            </w:pPr>
            <w:r>
              <w:rPr>
                <w:w w:val="99"/>
                <w:sz w:val="14"/>
              </w:rPr>
              <w:t>-</w:t>
            </w:r>
          </w:p>
        </w:tc>
        <w:tc>
          <w:tcPr>
            <w:tcW w:w="491" w:type="dxa"/>
            <w:tcBorders>
              <w:top w:val="single" w:sz="4" w:space="0" w:color="000000"/>
              <w:bottom w:val="single" w:sz="4" w:space="0" w:color="000000"/>
            </w:tcBorders>
          </w:tcPr>
          <w:p>
            <w:pPr>
              <w:pStyle w:val="TableParagraph"/>
              <w:spacing w:before="23"/>
              <w:ind w:right="66"/>
              <w:rPr>
                <w:sz w:val="14"/>
              </w:rPr>
            </w:pPr>
            <w:r>
              <w:rPr>
                <w:w w:val="99"/>
                <w:sz w:val="14"/>
              </w:rPr>
              <w:t>-</w:t>
            </w:r>
          </w:p>
        </w:tc>
        <w:tc>
          <w:tcPr>
            <w:tcW w:w="792" w:type="dxa"/>
            <w:tcBorders>
              <w:top w:val="single" w:sz="4" w:space="0" w:color="000000"/>
              <w:bottom w:val="single" w:sz="4" w:space="0" w:color="000000"/>
            </w:tcBorders>
          </w:tcPr>
          <w:p>
            <w:pPr>
              <w:pStyle w:val="TableParagraph"/>
              <w:spacing w:before="23"/>
              <w:ind w:right="120"/>
              <w:rPr>
                <w:i/>
                <w:sz w:val="14"/>
              </w:rPr>
            </w:pPr>
            <w:r>
              <w:rPr>
                <w:i/>
                <w:spacing w:val="-4"/>
                <w:sz w:val="14"/>
              </w:rPr>
              <w:t>1.00</w:t>
            </w:r>
          </w:p>
        </w:tc>
        <w:tc>
          <w:tcPr>
            <w:tcW w:w="568" w:type="dxa"/>
            <w:tcBorders>
              <w:top w:val="single" w:sz="4" w:space="0" w:color="000000"/>
              <w:bottom w:val="single" w:sz="4" w:space="0" w:color="000000"/>
            </w:tcBorders>
          </w:tcPr>
          <w:p>
            <w:pPr>
              <w:pStyle w:val="TableParagraph"/>
              <w:spacing w:before="23"/>
              <w:ind w:right="96"/>
              <w:rPr>
                <w:sz w:val="14"/>
              </w:rPr>
            </w:pPr>
            <w:r>
              <w:rPr>
                <w:w w:val="99"/>
                <w:sz w:val="14"/>
              </w:rPr>
              <w:t>-</w:t>
            </w:r>
          </w:p>
        </w:tc>
        <w:tc>
          <w:tcPr>
            <w:tcW w:w="579" w:type="dxa"/>
            <w:tcBorders>
              <w:top w:val="single" w:sz="4" w:space="0" w:color="000000"/>
              <w:bottom w:val="single" w:sz="4" w:space="0" w:color="000000"/>
            </w:tcBorders>
          </w:tcPr>
          <w:p>
            <w:pPr>
              <w:pStyle w:val="TableParagraph"/>
              <w:spacing w:before="23"/>
              <w:ind w:right="84"/>
              <w:rPr>
                <w:sz w:val="14"/>
              </w:rPr>
            </w:pPr>
            <w:r>
              <w:rPr>
                <w:w w:val="99"/>
                <w:sz w:val="14"/>
              </w:rPr>
              <w:t>-</w:t>
            </w:r>
          </w:p>
        </w:tc>
        <w:tc>
          <w:tcPr>
            <w:tcW w:w="561" w:type="dxa"/>
            <w:tcBorders>
              <w:top w:val="single" w:sz="4" w:space="0" w:color="000000"/>
              <w:bottom w:val="single" w:sz="4" w:space="0" w:color="000000"/>
            </w:tcBorders>
          </w:tcPr>
          <w:p>
            <w:pPr>
              <w:pStyle w:val="TableParagraph"/>
              <w:spacing w:before="23"/>
              <w:ind w:right="55"/>
              <w:rPr>
                <w:sz w:val="14"/>
              </w:rPr>
            </w:pPr>
            <w:r>
              <w:rPr>
                <w:w w:val="99"/>
                <w:sz w:val="14"/>
              </w:rPr>
              <w:t>-</w:t>
            </w:r>
          </w:p>
        </w:tc>
        <w:tc>
          <w:tcPr>
            <w:tcW w:w="812" w:type="dxa"/>
            <w:tcBorders>
              <w:top w:val="single" w:sz="4" w:space="0" w:color="000000"/>
              <w:bottom w:val="single" w:sz="4" w:space="0" w:color="000000"/>
            </w:tcBorders>
          </w:tcPr>
          <w:p>
            <w:pPr>
              <w:pStyle w:val="TableParagraph"/>
              <w:spacing w:before="23"/>
              <w:ind w:right="127"/>
              <w:rPr>
                <w:i/>
                <w:sz w:val="14"/>
              </w:rPr>
            </w:pPr>
            <w:r>
              <w:rPr>
                <w:i/>
                <w:w w:val="99"/>
                <w:sz w:val="14"/>
              </w:rPr>
              <w:t>-</w:t>
            </w:r>
          </w:p>
        </w:tc>
        <w:tc>
          <w:tcPr>
            <w:tcW w:w="524" w:type="dxa"/>
            <w:tcBorders>
              <w:top w:val="single" w:sz="4" w:space="0" w:color="000000"/>
              <w:bottom w:val="single" w:sz="4" w:space="0" w:color="000000"/>
            </w:tcBorders>
          </w:tcPr>
          <w:p>
            <w:pPr>
              <w:pStyle w:val="TableParagraph"/>
              <w:spacing w:before="23"/>
              <w:ind w:right="48"/>
              <w:rPr>
                <w:b/>
                <w:sz w:val="14"/>
              </w:rPr>
            </w:pPr>
            <w:r>
              <w:rPr>
                <w:b/>
                <w:spacing w:val="-4"/>
                <w:sz w:val="14"/>
              </w:rPr>
              <w:t>1.00</w:t>
            </w:r>
          </w:p>
        </w:tc>
      </w:tr>
      <w:tr>
        <w:trPr>
          <w:trHeight w:val="225" w:hRule="atLeast"/>
        </w:trPr>
        <w:tc>
          <w:tcPr>
            <w:tcW w:w="1186" w:type="dxa"/>
            <w:tcBorders>
              <w:top w:val="single" w:sz="4" w:space="0" w:color="000000"/>
              <w:bottom w:val="single" w:sz="4" w:space="0" w:color="000000"/>
            </w:tcBorders>
          </w:tcPr>
          <w:p>
            <w:pPr>
              <w:pStyle w:val="TableParagraph"/>
              <w:spacing w:before="28"/>
              <w:ind w:left="67"/>
              <w:jc w:val="left"/>
              <w:rPr>
                <w:sz w:val="14"/>
              </w:rPr>
            </w:pPr>
            <w:r>
              <w:rPr>
                <w:spacing w:val="-2"/>
                <w:sz w:val="14"/>
              </w:rPr>
              <w:t>Redeployed</w:t>
            </w:r>
          </w:p>
        </w:tc>
        <w:tc>
          <w:tcPr>
            <w:tcW w:w="678" w:type="dxa"/>
            <w:tcBorders>
              <w:top w:val="single" w:sz="4" w:space="0" w:color="000000"/>
              <w:bottom w:val="single" w:sz="4" w:space="0" w:color="000000"/>
            </w:tcBorders>
          </w:tcPr>
          <w:p>
            <w:pPr>
              <w:pStyle w:val="TableParagraph"/>
              <w:spacing w:before="28"/>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8"/>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8"/>
              <w:ind w:right="171"/>
              <w:rPr>
                <w:sz w:val="14"/>
              </w:rPr>
            </w:pPr>
            <w:r>
              <w:rPr>
                <w:w w:val="99"/>
                <w:sz w:val="14"/>
              </w:rPr>
              <w:t>-</w:t>
            </w:r>
          </w:p>
        </w:tc>
        <w:tc>
          <w:tcPr>
            <w:tcW w:w="557" w:type="dxa"/>
            <w:tcBorders>
              <w:top w:val="single" w:sz="4" w:space="0" w:color="000000"/>
              <w:bottom w:val="single" w:sz="4" w:space="0" w:color="000000"/>
            </w:tcBorders>
          </w:tcPr>
          <w:p>
            <w:pPr>
              <w:pStyle w:val="TableParagraph"/>
              <w:spacing w:before="28"/>
              <w:ind w:right="167"/>
              <w:rPr>
                <w:sz w:val="14"/>
              </w:rPr>
            </w:pPr>
            <w:r>
              <w:rPr>
                <w:w w:val="99"/>
                <w:sz w:val="14"/>
              </w:rPr>
              <w:t>-</w:t>
            </w:r>
          </w:p>
        </w:tc>
        <w:tc>
          <w:tcPr>
            <w:tcW w:w="583" w:type="dxa"/>
            <w:tcBorders>
              <w:top w:val="single" w:sz="4" w:space="0" w:color="000000"/>
              <w:bottom w:val="single" w:sz="4" w:space="0" w:color="000000"/>
            </w:tcBorders>
          </w:tcPr>
          <w:p>
            <w:pPr>
              <w:pStyle w:val="TableParagraph"/>
              <w:spacing w:before="28"/>
              <w:ind w:left="194"/>
              <w:jc w:val="center"/>
              <w:rPr>
                <w:sz w:val="14"/>
              </w:rPr>
            </w:pPr>
            <w:r>
              <w:rPr>
                <w:w w:val="99"/>
                <w:sz w:val="14"/>
              </w:rPr>
              <w:t>-</w:t>
            </w:r>
          </w:p>
        </w:tc>
        <w:tc>
          <w:tcPr>
            <w:tcW w:w="545" w:type="dxa"/>
            <w:tcBorders>
              <w:top w:val="single" w:sz="4" w:space="0" w:color="000000"/>
              <w:bottom w:val="single" w:sz="4" w:space="0" w:color="000000"/>
            </w:tcBorders>
          </w:tcPr>
          <w:p>
            <w:pPr>
              <w:pStyle w:val="TableParagraph"/>
              <w:spacing w:before="28"/>
              <w:ind w:right="128"/>
              <w:rPr>
                <w:sz w:val="14"/>
              </w:rPr>
            </w:pPr>
            <w:r>
              <w:rPr>
                <w:w w:val="99"/>
                <w:sz w:val="14"/>
              </w:rPr>
              <w:t>-</w:t>
            </w:r>
          </w:p>
        </w:tc>
        <w:tc>
          <w:tcPr>
            <w:tcW w:w="737" w:type="dxa"/>
            <w:tcBorders>
              <w:top w:val="single" w:sz="4" w:space="0" w:color="000000"/>
              <w:bottom w:val="single" w:sz="4" w:space="0" w:color="000000"/>
            </w:tcBorders>
          </w:tcPr>
          <w:p>
            <w:pPr>
              <w:pStyle w:val="TableParagraph"/>
              <w:spacing w:before="28"/>
              <w:ind w:right="269"/>
              <w:rPr>
                <w:sz w:val="14"/>
              </w:rPr>
            </w:pPr>
            <w:r>
              <w:rPr>
                <w:w w:val="99"/>
                <w:sz w:val="14"/>
              </w:rPr>
              <w:t>-</w:t>
            </w:r>
          </w:p>
        </w:tc>
        <w:tc>
          <w:tcPr>
            <w:tcW w:w="641" w:type="dxa"/>
            <w:tcBorders>
              <w:top w:val="single" w:sz="4" w:space="0" w:color="000000"/>
              <w:bottom w:val="single" w:sz="4" w:space="0" w:color="000000"/>
            </w:tcBorders>
          </w:tcPr>
          <w:p>
            <w:pPr>
              <w:pStyle w:val="TableParagraph"/>
              <w:spacing w:before="28"/>
              <w:ind w:right="171"/>
              <w:rPr>
                <w:sz w:val="14"/>
              </w:rPr>
            </w:pPr>
            <w:r>
              <w:rPr>
                <w:w w:val="99"/>
                <w:sz w:val="14"/>
              </w:rPr>
              <w:t>-</w:t>
            </w:r>
          </w:p>
        </w:tc>
        <w:tc>
          <w:tcPr>
            <w:tcW w:w="491" w:type="dxa"/>
            <w:tcBorders>
              <w:top w:val="single" w:sz="4" w:space="0" w:color="000000"/>
              <w:bottom w:val="single" w:sz="4" w:space="0" w:color="000000"/>
            </w:tcBorders>
          </w:tcPr>
          <w:p>
            <w:pPr>
              <w:pStyle w:val="TableParagraph"/>
              <w:spacing w:before="28"/>
              <w:ind w:right="66"/>
              <w:rPr>
                <w:sz w:val="14"/>
              </w:rPr>
            </w:pPr>
            <w:r>
              <w:rPr>
                <w:w w:val="99"/>
                <w:sz w:val="14"/>
              </w:rPr>
              <w:t>-</w:t>
            </w:r>
          </w:p>
        </w:tc>
        <w:tc>
          <w:tcPr>
            <w:tcW w:w="792" w:type="dxa"/>
            <w:tcBorders>
              <w:top w:val="single" w:sz="4" w:space="0" w:color="000000"/>
              <w:bottom w:val="single" w:sz="4" w:space="0" w:color="000000"/>
            </w:tcBorders>
          </w:tcPr>
          <w:p>
            <w:pPr>
              <w:pStyle w:val="TableParagraph"/>
              <w:spacing w:before="28"/>
              <w:ind w:right="123"/>
              <w:rPr>
                <w:i/>
                <w:sz w:val="14"/>
              </w:rPr>
            </w:pPr>
            <w:r>
              <w:rPr>
                <w:i/>
                <w:w w:val="99"/>
                <w:sz w:val="14"/>
              </w:rPr>
              <w:t>-</w:t>
            </w:r>
          </w:p>
        </w:tc>
        <w:tc>
          <w:tcPr>
            <w:tcW w:w="568" w:type="dxa"/>
            <w:tcBorders>
              <w:top w:val="single" w:sz="4" w:space="0" w:color="000000"/>
              <w:bottom w:val="single" w:sz="4" w:space="0" w:color="000000"/>
            </w:tcBorders>
          </w:tcPr>
          <w:p>
            <w:pPr>
              <w:pStyle w:val="TableParagraph"/>
              <w:spacing w:before="28"/>
              <w:ind w:right="96"/>
              <w:rPr>
                <w:sz w:val="14"/>
              </w:rPr>
            </w:pPr>
            <w:r>
              <w:rPr>
                <w:w w:val="99"/>
                <w:sz w:val="14"/>
              </w:rPr>
              <w:t>-</w:t>
            </w:r>
          </w:p>
        </w:tc>
        <w:tc>
          <w:tcPr>
            <w:tcW w:w="579" w:type="dxa"/>
            <w:tcBorders>
              <w:top w:val="single" w:sz="4" w:space="0" w:color="000000"/>
              <w:bottom w:val="single" w:sz="4" w:space="0" w:color="000000"/>
            </w:tcBorders>
          </w:tcPr>
          <w:p>
            <w:pPr>
              <w:pStyle w:val="TableParagraph"/>
              <w:spacing w:before="28"/>
              <w:ind w:right="84"/>
              <w:rPr>
                <w:sz w:val="14"/>
              </w:rPr>
            </w:pPr>
            <w:r>
              <w:rPr>
                <w:w w:val="99"/>
                <w:sz w:val="14"/>
              </w:rPr>
              <w:t>-</w:t>
            </w:r>
          </w:p>
        </w:tc>
        <w:tc>
          <w:tcPr>
            <w:tcW w:w="561" w:type="dxa"/>
            <w:tcBorders>
              <w:top w:val="single" w:sz="4" w:space="0" w:color="000000"/>
              <w:bottom w:val="single" w:sz="4" w:space="0" w:color="000000"/>
            </w:tcBorders>
          </w:tcPr>
          <w:p>
            <w:pPr>
              <w:pStyle w:val="TableParagraph"/>
              <w:spacing w:before="28"/>
              <w:ind w:right="55"/>
              <w:rPr>
                <w:sz w:val="14"/>
              </w:rPr>
            </w:pPr>
            <w:r>
              <w:rPr>
                <w:w w:val="99"/>
                <w:sz w:val="14"/>
              </w:rPr>
              <w:t>-</w:t>
            </w:r>
          </w:p>
        </w:tc>
        <w:tc>
          <w:tcPr>
            <w:tcW w:w="812" w:type="dxa"/>
            <w:tcBorders>
              <w:top w:val="single" w:sz="4" w:space="0" w:color="000000"/>
              <w:bottom w:val="single" w:sz="4" w:space="0" w:color="000000"/>
            </w:tcBorders>
          </w:tcPr>
          <w:p>
            <w:pPr>
              <w:pStyle w:val="TableParagraph"/>
              <w:spacing w:before="28"/>
              <w:ind w:right="127"/>
              <w:rPr>
                <w:i/>
                <w:sz w:val="14"/>
              </w:rPr>
            </w:pPr>
            <w:r>
              <w:rPr>
                <w:i/>
                <w:w w:val="99"/>
                <w:sz w:val="14"/>
              </w:rPr>
              <w:t>-</w:t>
            </w:r>
          </w:p>
        </w:tc>
        <w:tc>
          <w:tcPr>
            <w:tcW w:w="524" w:type="dxa"/>
            <w:tcBorders>
              <w:top w:val="single" w:sz="4" w:space="0" w:color="000000"/>
              <w:bottom w:val="single" w:sz="4" w:space="0" w:color="000000"/>
            </w:tcBorders>
          </w:tcPr>
          <w:p>
            <w:pPr>
              <w:pStyle w:val="TableParagraph"/>
              <w:spacing w:before="28"/>
              <w:ind w:right="51"/>
              <w:rPr>
                <w:b/>
                <w:sz w:val="14"/>
              </w:rPr>
            </w:pPr>
            <w:r>
              <w:rPr>
                <w:b/>
                <w:w w:val="99"/>
                <w:sz w:val="14"/>
              </w:rPr>
              <w:t>-</w:t>
            </w:r>
          </w:p>
        </w:tc>
      </w:tr>
      <w:tr>
        <w:trPr>
          <w:trHeight w:val="230" w:hRule="atLeast"/>
        </w:trPr>
        <w:tc>
          <w:tcPr>
            <w:tcW w:w="1186" w:type="dxa"/>
            <w:tcBorders>
              <w:top w:val="single" w:sz="4" w:space="0" w:color="000000"/>
              <w:bottom w:val="single" w:sz="4" w:space="0" w:color="000000"/>
            </w:tcBorders>
          </w:tcPr>
          <w:p>
            <w:pPr>
              <w:pStyle w:val="TableParagraph"/>
              <w:spacing w:before="28"/>
              <w:ind w:left="67"/>
              <w:jc w:val="left"/>
              <w:rPr>
                <w:sz w:val="14"/>
              </w:rPr>
            </w:pPr>
            <w:r>
              <w:rPr>
                <w:spacing w:val="-2"/>
                <w:sz w:val="14"/>
              </w:rPr>
              <w:t>Reclassified</w:t>
            </w:r>
          </w:p>
        </w:tc>
        <w:tc>
          <w:tcPr>
            <w:tcW w:w="678" w:type="dxa"/>
            <w:tcBorders>
              <w:top w:val="single" w:sz="4" w:space="0" w:color="000000"/>
              <w:bottom w:val="single" w:sz="4" w:space="0" w:color="000000"/>
            </w:tcBorders>
          </w:tcPr>
          <w:p>
            <w:pPr>
              <w:pStyle w:val="TableParagraph"/>
              <w:spacing w:before="28"/>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8"/>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8"/>
              <w:ind w:right="171"/>
              <w:rPr>
                <w:sz w:val="14"/>
              </w:rPr>
            </w:pPr>
            <w:r>
              <w:rPr>
                <w:w w:val="99"/>
                <w:sz w:val="14"/>
              </w:rPr>
              <w:t>-</w:t>
            </w:r>
          </w:p>
        </w:tc>
        <w:tc>
          <w:tcPr>
            <w:tcW w:w="557" w:type="dxa"/>
            <w:tcBorders>
              <w:top w:val="single" w:sz="4" w:space="0" w:color="000000"/>
              <w:bottom w:val="single" w:sz="4" w:space="0" w:color="000000"/>
            </w:tcBorders>
          </w:tcPr>
          <w:p>
            <w:pPr>
              <w:pStyle w:val="TableParagraph"/>
              <w:spacing w:before="28"/>
              <w:ind w:right="167"/>
              <w:rPr>
                <w:sz w:val="14"/>
              </w:rPr>
            </w:pPr>
            <w:r>
              <w:rPr>
                <w:w w:val="99"/>
                <w:sz w:val="14"/>
              </w:rPr>
              <w:t>-</w:t>
            </w:r>
          </w:p>
        </w:tc>
        <w:tc>
          <w:tcPr>
            <w:tcW w:w="583" w:type="dxa"/>
            <w:tcBorders>
              <w:top w:val="single" w:sz="4" w:space="0" w:color="000000"/>
              <w:bottom w:val="single" w:sz="4" w:space="0" w:color="000000"/>
            </w:tcBorders>
          </w:tcPr>
          <w:p>
            <w:pPr>
              <w:pStyle w:val="TableParagraph"/>
              <w:spacing w:before="28"/>
              <w:ind w:left="194"/>
              <w:jc w:val="center"/>
              <w:rPr>
                <w:sz w:val="14"/>
              </w:rPr>
            </w:pPr>
            <w:r>
              <w:rPr>
                <w:w w:val="99"/>
                <w:sz w:val="14"/>
              </w:rPr>
              <w:t>-</w:t>
            </w:r>
          </w:p>
        </w:tc>
        <w:tc>
          <w:tcPr>
            <w:tcW w:w="545" w:type="dxa"/>
            <w:tcBorders>
              <w:top w:val="single" w:sz="4" w:space="0" w:color="000000"/>
              <w:bottom w:val="single" w:sz="4" w:space="0" w:color="000000"/>
            </w:tcBorders>
          </w:tcPr>
          <w:p>
            <w:pPr>
              <w:pStyle w:val="TableParagraph"/>
              <w:spacing w:before="28"/>
              <w:ind w:right="128"/>
              <w:rPr>
                <w:sz w:val="14"/>
              </w:rPr>
            </w:pPr>
            <w:r>
              <w:rPr>
                <w:w w:val="99"/>
                <w:sz w:val="14"/>
              </w:rPr>
              <w:t>-</w:t>
            </w:r>
          </w:p>
        </w:tc>
        <w:tc>
          <w:tcPr>
            <w:tcW w:w="737" w:type="dxa"/>
            <w:tcBorders>
              <w:top w:val="single" w:sz="4" w:space="0" w:color="000000"/>
              <w:bottom w:val="single" w:sz="4" w:space="0" w:color="000000"/>
            </w:tcBorders>
          </w:tcPr>
          <w:p>
            <w:pPr>
              <w:pStyle w:val="TableParagraph"/>
              <w:spacing w:before="28"/>
              <w:ind w:right="269"/>
              <w:rPr>
                <w:sz w:val="14"/>
              </w:rPr>
            </w:pPr>
            <w:r>
              <w:rPr>
                <w:w w:val="99"/>
                <w:sz w:val="14"/>
              </w:rPr>
              <w:t>-</w:t>
            </w:r>
          </w:p>
        </w:tc>
        <w:tc>
          <w:tcPr>
            <w:tcW w:w="641" w:type="dxa"/>
            <w:tcBorders>
              <w:top w:val="single" w:sz="4" w:space="0" w:color="000000"/>
              <w:bottom w:val="single" w:sz="4" w:space="0" w:color="000000"/>
            </w:tcBorders>
          </w:tcPr>
          <w:p>
            <w:pPr>
              <w:pStyle w:val="TableParagraph"/>
              <w:spacing w:before="28"/>
              <w:ind w:right="171"/>
              <w:rPr>
                <w:sz w:val="14"/>
              </w:rPr>
            </w:pPr>
            <w:r>
              <w:rPr>
                <w:w w:val="99"/>
                <w:sz w:val="14"/>
              </w:rPr>
              <w:t>-</w:t>
            </w:r>
          </w:p>
        </w:tc>
        <w:tc>
          <w:tcPr>
            <w:tcW w:w="491" w:type="dxa"/>
            <w:tcBorders>
              <w:top w:val="single" w:sz="4" w:space="0" w:color="000000"/>
              <w:bottom w:val="single" w:sz="4" w:space="0" w:color="000000"/>
            </w:tcBorders>
          </w:tcPr>
          <w:p>
            <w:pPr>
              <w:pStyle w:val="TableParagraph"/>
              <w:spacing w:before="28"/>
              <w:ind w:right="66"/>
              <w:rPr>
                <w:sz w:val="14"/>
              </w:rPr>
            </w:pPr>
            <w:r>
              <w:rPr>
                <w:w w:val="99"/>
                <w:sz w:val="14"/>
              </w:rPr>
              <w:t>-</w:t>
            </w:r>
          </w:p>
        </w:tc>
        <w:tc>
          <w:tcPr>
            <w:tcW w:w="792" w:type="dxa"/>
            <w:tcBorders>
              <w:top w:val="single" w:sz="4" w:space="0" w:color="000000"/>
              <w:bottom w:val="single" w:sz="4" w:space="0" w:color="000000"/>
            </w:tcBorders>
          </w:tcPr>
          <w:p>
            <w:pPr>
              <w:pStyle w:val="TableParagraph"/>
              <w:spacing w:before="28"/>
              <w:ind w:right="123"/>
              <w:rPr>
                <w:i/>
                <w:sz w:val="14"/>
              </w:rPr>
            </w:pPr>
            <w:r>
              <w:rPr>
                <w:i/>
                <w:w w:val="99"/>
                <w:sz w:val="14"/>
              </w:rPr>
              <w:t>-</w:t>
            </w:r>
          </w:p>
        </w:tc>
        <w:tc>
          <w:tcPr>
            <w:tcW w:w="568" w:type="dxa"/>
            <w:tcBorders>
              <w:top w:val="single" w:sz="4" w:space="0" w:color="000000"/>
              <w:bottom w:val="single" w:sz="4" w:space="0" w:color="000000"/>
            </w:tcBorders>
          </w:tcPr>
          <w:p>
            <w:pPr>
              <w:pStyle w:val="TableParagraph"/>
              <w:spacing w:before="28"/>
              <w:ind w:right="96"/>
              <w:rPr>
                <w:sz w:val="14"/>
              </w:rPr>
            </w:pPr>
            <w:r>
              <w:rPr>
                <w:w w:val="99"/>
                <w:sz w:val="14"/>
              </w:rPr>
              <w:t>-</w:t>
            </w:r>
          </w:p>
        </w:tc>
        <w:tc>
          <w:tcPr>
            <w:tcW w:w="579" w:type="dxa"/>
            <w:tcBorders>
              <w:top w:val="single" w:sz="4" w:space="0" w:color="000000"/>
              <w:bottom w:val="single" w:sz="4" w:space="0" w:color="000000"/>
            </w:tcBorders>
          </w:tcPr>
          <w:p>
            <w:pPr>
              <w:pStyle w:val="TableParagraph"/>
              <w:spacing w:before="28"/>
              <w:ind w:right="84"/>
              <w:rPr>
                <w:sz w:val="14"/>
              </w:rPr>
            </w:pPr>
            <w:r>
              <w:rPr>
                <w:w w:val="99"/>
                <w:sz w:val="14"/>
              </w:rPr>
              <w:t>-</w:t>
            </w:r>
          </w:p>
        </w:tc>
        <w:tc>
          <w:tcPr>
            <w:tcW w:w="561" w:type="dxa"/>
            <w:tcBorders>
              <w:top w:val="single" w:sz="4" w:space="0" w:color="000000"/>
              <w:bottom w:val="single" w:sz="4" w:space="0" w:color="000000"/>
            </w:tcBorders>
          </w:tcPr>
          <w:p>
            <w:pPr>
              <w:pStyle w:val="TableParagraph"/>
              <w:spacing w:before="28"/>
              <w:ind w:right="55"/>
              <w:rPr>
                <w:sz w:val="14"/>
              </w:rPr>
            </w:pPr>
            <w:r>
              <w:rPr>
                <w:w w:val="99"/>
                <w:sz w:val="14"/>
              </w:rPr>
              <w:t>-</w:t>
            </w:r>
          </w:p>
        </w:tc>
        <w:tc>
          <w:tcPr>
            <w:tcW w:w="812" w:type="dxa"/>
            <w:tcBorders>
              <w:top w:val="single" w:sz="4" w:space="0" w:color="000000"/>
              <w:bottom w:val="single" w:sz="4" w:space="0" w:color="000000"/>
            </w:tcBorders>
          </w:tcPr>
          <w:p>
            <w:pPr>
              <w:pStyle w:val="TableParagraph"/>
              <w:spacing w:before="28"/>
              <w:ind w:right="127"/>
              <w:rPr>
                <w:i/>
                <w:sz w:val="14"/>
              </w:rPr>
            </w:pPr>
            <w:r>
              <w:rPr>
                <w:i/>
                <w:w w:val="99"/>
                <w:sz w:val="14"/>
              </w:rPr>
              <w:t>-</w:t>
            </w:r>
          </w:p>
        </w:tc>
        <w:tc>
          <w:tcPr>
            <w:tcW w:w="524" w:type="dxa"/>
            <w:tcBorders>
              <w:top w:val="single" w:sz="4" w:space="0" w:color="000000"/>
              <w:bottom w:val="single" w:sz="4" w:space="0" w:color="000000"/>
            </w:tcBorders>
          </w:tcPr>
          <w:p>
            <w:pPr>
              <w:pStyle w:val="TableParagraph"/>
              <w:spacing w:before="28"/>
              <w:ind w:right="51"/>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3"/>
              <w:ind w:left="67"/>
              <w:jc w:val="left"/>
              <w:rPr>
                <w:sz w:val="14"/>
              </w:rPr>
            </w:pPr>
            <w:r>
              <w:rPr>
                <w:spacing w:val="-2"/>
                <w:sz w:val="14"/>
              </w:rPr>
              <w:t>Converted</w:t>
            </w:r>
          </w:p>
        </w:tc>
        <w:tc>
          <w:tcPr>
            <w:tcW w:w="678" w:type="dxa"/>
            <w:tcBorders>
              <w:top w:val="single" w:sz="4" w:space="0" w:color="000000"/>
              <w:bottom w:val="single" w:sz="4" w:space="0" w:color="000000"/>
            </w:tcBorders>
          </w:tcPr>
          <w:p>
            <w:pPr>
              <w:pStyle w:val="TableParagraph"/>
              <w:spacing w:before="23"/>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3"/>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3"/>
              <w:ind w:right="171"/>
              <w:rPr>
                <w:sz w:val="14"/>
              </w:rPr>
            </w:pPr>
            <w:r>
              <w:rPr>
                <w:w w:val="99"/>
                <w:sz w:val="14"/>
              </w:rPr>
              <w:t>-</w:t>
            </w:r>
          </w:p>
        </w:tc>
        <w:tc>
          <w:tcPr>
            <w:tcW w:w="557" w:type="dxa"/>
            <w:tcBorders>
              <w:top w:val="single" w:sz="4" w:space="0" w:color="000000"/>
              <w:bottom w:val="single" w:sz="4" w:space="0" w:color="000000"/>
            </w:tcBorders>
          </w:tcPr>
          <w:p>
            <w:pPr>
              <w:pStyle w:val="TableParagraph"/>
              <w:spacing w:before="23"/>
              <w:ind w:right="167"/>
              <w:rPr>
                <w:sz w:val="14"/>
              </w:rPr>
            </w:pPr>
            <w:r>
              <w:rPr>
                <w:w w:val="99"/>
                <w:sz w:val="14"/>
              </w:rPr>
              <w:t>-</w:t>
            </w:r>
          </w:p>
        </w:tc>
        <w:tc>
          <w:tcPr>
            <w:tcW w:w="583" w:type="dxa"/>
            <w:tcBorders>
              <w:top w:val="single" w:sz="4" w:space="0" w:color="000000"/>
              <w:bottom w:val="single" w:sz="4" w:space="0" w:color="000000"/>
            </w:tcBorders>
          </w:tcPr>
          <w:p>
            <w:pPr>
              <w:pStyle w:val="TableParagraph"/>
              <w:spacing w:before="23"/>
              <w:ind w:left="194"/>
              <w:jc w:val="center"/>
              <w:rPr>
                <w:sz w:val="14"/>
              </w:rPr>
            </w:pPr>
            <w:r>
              <w:rPr>
                <w:w w:val="99"/>
                <w:sz w:val="14"/>
              </w:rPr>
              <w:t>-</w:t>
            </w:r>
          </w:p>
        </w:tc>
        <w:tc>
          <w:tcPr>
            <w:tcW w:w="545" w:type="dxa"/>
            <w:tcBorders>
              <w:top w:val="single" w:sz="4" w:space="0" w:color="000000"/>
              <w:bottom w:val="single" w:sz="4" w:space="0" w:color="000000"/>
            </w:tcBorders>
          </w:tcPr>
          <w:p>
            <w:pPr>
              <w:pStyle w:val="TableParagraph"/>
              <w:spacing w:before="23"/>
              <w:ind w:right="128"/>
              <w:rPr>
                <w:sz w:val="14"/>
              </w:rPr>
            </w:pPr>
            <w:r>
              <w:rPr>
                <w:w w:val="99"/>
                <w:sz w:val="14"/>
              </w:rPr>
              <w:t>-</w:t>
            </w:r>
          </w:p>
        </w:tc>
        <w:tc>
          <w:tcPr>
            <w:tcW w:w="737" w:type="dxa"/>
            <w:tcBorders>
              <w:top w:val="single" w:sz="4" w:space="0" w:color="000000"/>
              <w:bottom w:val="single" w:sz="4" w:space="0" w:color="000000"/>
            </w:tcBorders>
          </w:tcPr>
          <w:p>
            <w:pPr>
              <w:pStyle w:val="TableParagraph"/>
              <w:spacing w:before="23"/>
              <w:ind w:right="265"/>
              <w:rPr>
                <w:sz w:val="14"/>
              </w:rPr>
            </w:pPr>
            <w:r>
              <w:rPr>
                <w:spacing w:val="-2"/>
                <w:sz w:val="14"/>
              </w:rPr>
              <w:t>(1.00)</w:t>
            </w:r>
          </w:p>
        </w:tc>
        <w:tc>
          <w:tcPr>
            <w:tcW w:w="641" w:type="dxa"/>
            <w:tcBorders>
              <w:top w:val="single" w:sz="4" w:space="0" w:color="000000"/>
              <w:bottom w:val="single" w:sz="4" w:space="0" w:color="000000"/>
            </w:tcBorders>
          </w:tcPr>
          <w:p>
            <w:pPr>
              <w:pStyle w:val="TableParagraph"/>
              <w:spacing w:before="23"/>
              <w:ind w:right="171"/>
              <w:rPr>
                <w:sz w:val="14"/>
              </w:rPr>
            </w:pPr>
            <w:r>
              <w:rPr>
                <w:w w:val="99"/>
                <w:sz w:val="14"/>
              </w:rPr>
              <w:t>-</w:t>
            </w:r>
          </w:p>
        </w:tc>
        <w:tc>
          <w:tcPr>
            <w:tcW w:w="491" w:type="dxa"/>
            <w:tcBorders>
              <w:top w:val="single" w:sz="4" w:space="0" w:color="000000"/>
              <w:bottom w:val="single" w:sz="4" w:space="0" w:color="000000"/>
            </w:tcBorders>
          </w:tcPr>
          <w:p>
            <w:pPr>
              <w:pStyle w:val="TableParagraph"/>
              <w:spacing w:before="23"/>
              <w:ind w:right="66"/>
              <w:rPr>
                <w:sz w:val="14"/>
              </w:rPr>
            </w:pPr>
            <w:r>
              <w:rPr>
                <w:w w:val="99"/>
                <w:sz w:val="14"/>
              </w:rPr>
              <w:t>-</w:t>
            </w:r>
          </w:p>
        </w:tc>
        <w:tc>
          <w:tcPr>
            <w:tcW w:w="792" w:type="dxa"/>
            <w:tcBorders>
              <w:top w:val="single" w:sz="4" w:space="0" w:color="000000"/>
              <w:bottom w:val="single" w:sz="4" w:space="0" w:color="000000"/>
            </w:tcBorders>
          </w:tcPr>
          <w:p>
            <w:pPr>
              <w:pStyle w:val="TableParagraph"/>
              <w:spacing w:before="23"/>
              <w:ind w:right="120"/>
              <w:rPr>
                <w:i/>
                <w:sz w:val="14"/>
              </w:rPr>
            </w:pPr>
            <w:r>
              <w:rPr>
                <w:i/>
                <w:spacing w:val="-2"/>
                <w:sz w:val="14"/>
              </w:rPr>
              <w:t>(1.00)</w:t>
            </w:r>
          </w:p>
        </w:tc>
        <w:tc>
          <w:tcPr>
            <w:tcW w:w="568" w:type="dxa"/>
            <w:tcBorders>
              <w:top w:val="single" w:sz="4" w:space="0" w:color="000000"/>
              <w:bottom w:val="single" w:sz="4" w:space="0" w:color="000000"/>
            </w:tcBorders>
          </w:tcPr>
          <w:p>
            <w:pPr>
              <w:pStyle w:val="TableParagraph"/>
              <w:spacing w:before="23"/>
              <w:ind w:right="96"/>
              <w:rPr>
                <w:sz w:val="14"/>
              </w:rPr>
            </w:pPr>
            <w:r>
              <w:rPr>
                <w:w w:val="99"/>
                <w:sz w:val="14"/>
              </w:rPr>
              <w:t>-</w:t>
            </w:r>
          </w:p>
        </w:tc>
        <w:tc>
          <w:tcPr>
            <w:tcW w:w="579" w:type="dxa"/>
            <w:tcBorders>
              <w:top w:val="single" w:sz="4" w:space="0" w:color="000000"/>
              <w:bottom w:val="single" w:sz="4" w:space="0" w:color="000000"/>
            </w:tcBorders>
          </w:tcPr>
          <w:p>
            <w:pPr>
              <w:pStyle w:val="TableParagraph"/>
              <w:spacing w:before="23"/>
              <w:ind w:right="84"/>
              <w:rPr>
                <w:sz w:val="14"/>
              </w:rPr>
            </w:pPr>
            <w:r>
              <w:rPr>
                <w:w w:val="99"/>
                <w:sz w:val="14"/>
              </w:rPr>
              <w:t>-</w:t>
            </w:r>
          </w:p>
        </w:tc>
        <w:tc>
          <w:tcPr>
            <w:tcW w:w="561" w:type="dxa"/>
            <w:tcBorders>
              <w:top w:val="single" w:sz="4" w:space="0" w:color="000000"/>
              <w:bottom w:val="single" w:sz="4" w:space="0" w:color="000000"/>
            </w:tcBorders>
          </w:tcPr>
          <w:p>
            <w:pPr>
              <w:pStyle w:val="TableParagraph"/>
              <w:spacing w:before="23"/>
              <w:ind w:right="55"/>
              <w:rPr>
                <w:sz w:val="14"/>
              </w:rPr>
            </w:pPr>
            <w:r>
              <w:rPr>
                <w:w w:val="99"/>
                <w:sz w:val="14"/>
              </w:rPr>
              <w:t>-</w:t>
            </w:r>
          </w:p>
        </w:tc>
        <w:tc>
          <w:tcPr>
            <w:tcW w:w="812" w:type="dxa"/>
            <w:tcBorders>
              <w:top w:val="single" w:sz="4" w:space="0" w:color="000000"/>
              <w:bottom w:val="single" w:sz="4" w:space="0" w:color="000000"/>
            </w:tcBorders>
          </w:tcPr>
          <w:p>
            <w:pPr>
              <w:pStyle w:val="TableParagraph"/>
              <w:spacing w:before="23"/>
              <w:ind w:right="127"/>
              <w:rPr>
                <w:i/>
                <w:sz w:val="14"/>
              </w:rPr>
            </w:pPr>
            <w:r>
              <w:rPr>
                <w:i/>
                <w:w w:val="99"/>
                <w:sz w:val="14"/>
              </w:rPr>
              <w:t>-</w:t>
            </w:r>
          </w:p>
        </w:tc>
        <w:tc>
          <w:tcPr>
            <w:tcW w:w="524" w:type="dxa"/>
            <w:tcBorders>
              <w:top w:val="single" w:sz="4" w:space="0" w:color="000000"/>
              <w:bottom w:val="single" w:sz="4" w:space="0" w:color="000000"/>
            </w:tcBorders>
          </w:tcPr>
          <w:p>
            <w:pPr>
              <w:pStyle w:val="TableParagraph"/>
              <w:spacing w:before="23"/>
              <w:ind w:right="47"/>
              <w:rPr>
                <w:b/>
                <w:sz w:val="14"/>
              </w:rPr>
            </w:pPr>
            <w:r>
              <w:rPr>
                <w:b/>
                <w:spacing w:val="-2"/>
                <w:sz w:val="14"/>
              </w:rPr>
              <w:t>(1.00)</w:t>
            </w:r>
          </w:p>
        </w:tc>
      </w:tr>
      <w:tr>
        <w:trPr>
          <w:trHeight w:val="229" w:hRule="atLeast"/>
        </w:trPr>
        <w:tc>
          <w:tcPr>
            <w:tcW w:w="1186" w:type="dxa"/>
            <w:tcBorders>
              <w:top w:val="single" w:sz="4" w:space="0" w:color="000000"/>
              <w:bottom w:val="single" w:sz="12" w:space="0" w:color="000000"/>
            </w:tcBorders>
          </w:tcPr>
          <w:p>
            <w:pPr>
              <w:pStyle w:val="TableParagraph"/>
              <w:spacing w:before="28"/>
              <w:ind w:left="67"/>
              <w:jc w:val="left"/>
              <w:rPr>
                <w:b/>
                <w:sz w:val="14"/>
              </w:rPr>
            </w:pPr>
            <w:r>
              <w:rPr>
                <w:b/>
                <w:sz w:val="14"/>
              </w:rPr>
              <w:t>Proposed</w:t>
            </w:r>
            <w:r>
              <w:rPr>
                <w:b/>
                <w:spacing w:val="-6"/>
                <w:sz w:val="14"/>
              </w:rPr>
              <w:t> </w:t>
            </w:r>
            <w:r>
              <w:rPr>
                <w:b/>
                <w:spacing w:val="-4"/>
                <w:sz w:val="14"/>
              </w:rPr>
              <w:t>2023</w:t>
            </w:r>
          </w:p>
        </w:tc>
        <w:tc>
          <w:tcPr>
            <w:tcW w:w="678" w:type="dxa"/>
            <w:tcBorders>
              <w:top w:val="single" w:sz="4" w:space="0" w:color="000000"/>
              <w:bottom w:val="single" w:sz="12" w:space="0" w:color="000000"/>
            </w:tcBorders>
          </w:tcPr>
          <w:p>
            <w:pPr>
              <w:pStyle w:val="TableParagraph"/>
              <w:spacing w:before="28"/>
              <w:ind w:right="154"/>
              <w:rPr>
                <w:b/>
                <w:sz w:val="14"/>
              </w:rPr>
            </w:pPr>
            <w:r>
              <w:rPr>
                <w:b/>
                <w:w w:val="99"/>
                <w:sz w:val="14"/>
              </w:rPr>
              <w:t>-</w:t>
            </w:r>
          </w:p>
        </w:tc>
        <w:tc>
          <w:tcPr>
            <w:tcW w:w="607" w:type="dxa"/>
            <w:tcBorders>
              <w:top w:val="single" w:sz="4" w:space="0" w:color="000000"/>
              <w:bottom w:val="single" w:sz="12" w:space="0" w:color="000000"/>
            </w:tcBorders>
          </w:tcPr>
          <w:p>
            <w:pPr>
              <w:pStyle w:val="TableParagraph"/>
              <w:spacing w:before="28"/>
              <w:ind w:right="170"/>
              <w:rPr>
                <w:b/>
                <w:sz w:val="14"/>
              </w:rPr>
            </w:pPr>
            <w:r>
              <w:rPr>
                <w:b/>
                <w:w w:val="99"/>
                <w:sz w:val="14"/>
              </w:rPr>
              <w:t>-</w:t>
            </w:r>
          </w:p>
        </w:tc>
        <w:tc>
          <w:tcPr>
            <w:tcW w:w="563" w:type="dxa"/>
            <w:tcBorders>
              <w:top w:val="single" w:sz="4" w:space="0" w:color="000000"/>
              <w:bottom w:val="single" w:sz="12" w:space="0" w:color="000000"/>
            </w:tcBorders>
          </w:tcPr>
          <w:p>
            <w:pPr>
              <w:pStyle w:val="TableParagraph"/>
              <w:spacing w:before="28"/>
              <w:ind w:right="171"/>
              <w:rPr>
                <w:b/>
                <w:sz w:val="14"/>
              </w:rPr>
            </w:pPr>
            <w:r>
              <w:rPr>
                <w:b/>
                <w:w w:val="99"/>
                <w:sz w:val="14"/>
              </w:rPr>
              <w:t>-</w:t>
            </w:r>
          </w:p>
        </w:tc>
        <w:tc>
          <w:tcPr>
            <w:tcW w:w="557" w:type="dxa"/>
            <w:tcBorders>
              <w:top w:val="single" w:sz="4" w:space="0" w:color="000000"/>
              <w:bottom w:val="single" w:sz="12" w:space="0" w:color="000000"/>
            </w:tcBorders>
          </w:tcPr>
          <w:p>
            <w:pPr>
              <w:pStyle w:val="TableParagraph"/>
              <w:spacing w:before="28"/>
              <w:ind w:right="167"/>
              <w:rPr>
                <w:b/>
                <w:sz w:val="14"/>
              </w:rPr>
            </w:pPr>
            <w:r>
              <w:rPr>
                <w:b/>
                <w:w w:val="99"/>
                <w:sz w:val="14"/>
              </w:rPr>
              <w:t>-</w:t>
            </w:r>
          </w:p>
        </w:tc>
        <w:tc>
          <w:tcPr>
            <w:tcW w:w="583" w:type="dxa"/>
            <w:tcBorders>
              <w:top w:val="single" w:sz="4" w:space="0" w:color="000000"/>
              <w:bottom w:val="single" w:sz="12" w:space="0" w:color="000000"/>
            </w:tcBorders>
          </w:tcPr>
          <w:p>
            <w:pPr>
              <w:pStyle w:val="TableParagraph"/>
              <w:spacing w:before="28"/>
              <w:ind w:left="157" w:right="156"/>
              <w:jc w:val="center"/>
              <w:rPr>
                <w:b/>
                <w:sz w:val="14"/>
              </w:rPr>
            </w:pPr>
            <w:r>
              <w:rPr>
                <w:b/>
                <w:spacing w:val="-4"/>
                <w:sz w:val="14"/>
              </w:rPr>
              <w:t>0.04</w:t>
            </w:r>
          </w:p>
        </w:tc>
        <w:tc>
          <w:tcPr>
            <w:tcW w:w="545" w:type="dxa"/>
            <w:tcBorders>
              <w:top w:val="single" w:sz="4" w:space="0" w:color="000000"/>
              <w:bottom w:val="single" w:sz="12" w:space="0" w:color="000000"/>
            </w:tcBorders>
          </w:tcPr>
          <w:p>
            <w:pPr>
              <w:pStyle w:val="TableParagraph"/>
              <w:spacing w:before="28"/>
              <w:ind w:right="124"/>
              <w:rPr>
                <w:b/>
                <w:sz w:val="14"/>
              </w:rPr>
            </w:pPr>
            <w:r>
              <w:rPr>
                <w:b/>
                <w:spacing w:val="-4"/>
                <w:sz w:val="14"/>
              </w:rPr>
              <w:t>0.04</w:t>
            </w:r>
          </w:p>
        </w:tc>
        <w:tc>
          <w:tcPr>
            <w:tcW w:w="737" w:type="dxa"/>
            <w:tcBorders>
              <w:top w:val="single" w:sz="4" w:space="0" w:color="000000"/>
              <w:bottom w:val="single" w:sz="12" w:space="0" w:color="000000"/>
            </w:tcBorders>
          </w:tcPr>
          <w:p>
            <w:pPr>
              <w:pStyle w:val="TableParagraph"/>
              <w:spacing w:before="28"/>
              <w:ind w:right="266"/>
              <w:rPr>
                <w:b/>
                <w:sz w:val="14"/>
              </w:rPr>
            </w:pPr>
            <w:r>
              <w:rPr>
                <w:b/>
                <w:spacing w:val="-4"/>
                <w:sz w:val="14"/>
              </w:rPr>
              <w:t>3.08</w:t>
            </w:r>
          </w:p>
        </w:tc>
        <w:tc>
          <w:tcPr>
            <w:tcW w:w="641" w:type="dxa"/>
            <w:tcBorders>
              <w:top w:val="single" w:sz="4" w:space="0" w:color="000000"/>
              <w:bottom w:val="single" w:sz="12" w:space="0" w:color="000000"/>
            </w:tcBorders>
          </w:tcPr>
          <w:p>
            <w:pPr>
              <w:pStyle w:val="TableParagraph"/>
              <w:spacing w:before="28"/>
              <w:ind w:right="171"/>
              <w:rPr>
                <w:b/>
                <w:sz w:val="14"/>
              </w:rPr>
            </w:pPr>
            <w:r>
              <w:rPr>
                <w:b/>
                <w:w w:val="99"/>
                <w:sz w:val="14"/>
              </w:rPr>
              <w:t>-</w:t>
            </w:r>
          </w:p>
        </w:tc>
        <w:tc>
          <w:tcPr>
            <w:tcW w:w="491" w:type="dxa"/>
            <w:tcBorders>
              <w:top w:val="single" w:sz="4" w:space="0" w:color="000000"/>
              <w:bottom w:val="single" w:sz="12" w:space="0" w:color="000000"/>
            </w:tcBorders>
          </w:tcPr>
          <w:p>
            <w:pPr>
              <w:pStyle w:val="TableParagraph"/>
              <w:spacing w:before="28"/>
              <w:ind w:right="63"/>
              <w:rPr>
                <w:b/>
                <w:sz w:val="14"/>
              </w:rPr>
            </w:pPr>
            <w:r>
              <w:rPr>
                <w:b/>
                <w:spacing w:val="-4"/>
                <w:sz w:val="14"/>
              </w:rPr>
              <w:t>1.00</w:t>
            </w:r>
          </w:p>
        </w:tc>
        <w:tc>
          <w:tcPr>
            <w:tcW w:w="792" w:type="dxa"/>
            <w:tcBorders>
              <w:top w:val="single" w:sz="4" w:space="0" w:color="000000"/>
              <w:bottom w:val="single" w:sz="12" w:space="0" w:color="000000"/>
            </w:tcBorders>
          </w:tcPr>
          <w:p>
            <w:pPr>
              <w:pStyle w:val="TableParagraph"/>
              <w:spacing w:before="28"/>
              <w:ind w:right="120"/>
              <w:rPr>
                <w:b/>
                <w:i/>
                <w:sz w:val="14"/>
              </w:rPr>
            </w:pPr>
            <w:r>
              <w:rPr>
                <w:b/>
                <w:i/>
                <w:spacing w:val="-4"/>
                <w:sz w:val="14"/>
              </w:rPr>
              <w:t>4.17</w:t>
            </w:r>
          </w:p>
        </w:tc>
        <w:tc>
          <w:tcPr>
            <w:tcW w:w="568" w:type="dxa"/>
            <w:tcBorders>
              <w:top w:val="single" w:sz="4" w:space="0" w:color="000000"/>
              <w:bottom w:val="single" w:sz="12" w:space="0" w:color="000000"/>
            </w:tcBorders>
          </w:tcPr>
          <w:p>
            <w:pPr>
              <w:pStyle w:val="TableParagraph"/>
              <w:spacing w:before="28"/>
              <w:ind w:right="96"/>
              <w:rPr>
                <w:b/>
                <w:sz w:val="14"/>
              </w:rPr>
            </w:pPr>
            <w:r>
              <w:rPr>
                <w:b/>
                <w:w w:val="99"/>
                <w:sz w:val="14"/>
              </w:rPr>
              <w:t>-</w:t>
            </w:r>
          </w:p>
        </w:tc>
        <w:tc>
          <w:tcPr>
            <w:tcW w:w="579" w:type="dxa"/>
            <w:tcBorders>
              <w:top w:val="single" w:sz="4" w:space="0" w:color="000000"/>
              <w:bottom w:val="single" w:sz="12" w:space="0" w:color="000000"/>
            </w:tcBorders>
          </w:tcPr>
          <w:p>
            <w:pPr>
              <w:pStyle w:val="TableParagraph"/>
              <w:spacing w:before="28"/>
              <w:ind w:right="84"/>
              <w:rPr>
                <w:b/>
                <w:sz w:val="14"/>
              </w:rPr>
            </w:pPr>
            <w:r>
              <w:rPr>
                <w:b/>
                <w:w w:val="99"/>
                <w:sz w:val="14"/>
              </w:rPr>
              <w:t>-</w:t>
            </w:r>
          </w:p>
        </w:tc>
        <w:tc>
          <w:tcPr>
            <w:tcW w:w="561" w:type="dxa"/>
            <w:tcBorders>
              <w:top w:val="single" w:sz="4" w:space="0" w:color="000000"/>
              <w:bottom w:val="single" w:sz="12" w:space="0" w:color="000000"/>
            </w:tcBorders>
          </w:tcPr>
          <w:p>
            <w:pPr>
              <w:pStyle w:val="TableParagraph"/>
              <w:spacing w:before="28"/>
              <w:ind w:right="51"/>
              <w:rPr>
                <w:b/>
                <w:sz w:val="14"/>
              </w:rPr>
            </w:pPr>
            <w:r>
              <w:rPr>
                <w:b/>
                <w:spacing w:val="-4"/>
                <w:sz w:val="14"/>
              </w:rPr>
              <w:t>0.58</w:t>
            </w:r>
          </w:p>
        </w:tc>
        <w:tc>
          <w:tcPr>
            <w:tcW w:w="812" w:type="dxa"/>
            <w:tcBorders>
              <w:top w:val="single" w:sz="4" w:space="0" w:color="000000"/>
              <w:bottom w:val="single" w:sz="12" w:space="0" w:color="000000"/>
            </w:tcBorders>
          </w:tcPr>
          <w:p>
            <w:pPr>
              <w:pStyle w:val="TableParagraph"/>
              <w:spacing w:before="28"/>
              <w:ind w:right="124"/>
              <w:rPr>
                <w:b/>
                <w:i/>
                <w:sz w:val="14"/>
              </w:rPr>
            </w:pPr>
            <w:r>
              <w:rPr>
                <w:b/>
                <w:i/>
                <w:spacing w:val="-4"/>
                <w:sz w:val="14"/>
              </w:rPr>
              <w:t>0.58</w:t>
            </w:r>
          </w:p>
        </w:tc>
        <w:tc>
          <w:tcPr>
            <w:tcW w:w="524" w:type="dxa"/>
            <w:tcBorders>
              <w:top w:val="single" w:sz="4" w:space="0" w:color="000000"/>
              <w:bottom w:val="single" w:sz="12" w:space="0" w:color="000000"/>
            </w:tcBorders>
          </w:tcPr>
          <w:p>
            <w:pPr>
              <w:pStyle w:val="TableParagraph"/>
              <w:spacing w:before="28"/>
              <w:ind w:right="48"/>
              <w:rPr>
                <w:b/>
                <w:sz w:val="14"/>
              </w:rPr>
            </w:pPr>
            <w:r>
              <w:rPr>
                <w:b/>
                <w:spacing w:val="-4"/>
                <w:sz w:val="14"/>
              </w:rPr>
              <w:t>4.75</w:t>
            </w:r>
          </w:p>
        </w:tc>
      </w:tr>
    </w:tbl>
    <w:p>
      <w:pPr>
        <w:spacing w:after="0"/>
        <w:rPr>
          <w:sz w:val="14"/>
        </w:rPr>
        <w:sectPr>
          <w:headerReference w:type="even" r:id="rId107"/>
          <w:headerReference w:type="default" r:id="rId108"/>
          <w:footerReference w:type="even" r:id="rId109"/>
          <w:footerReference w:type="default" r:id="rId110"/>
          <w:pgSz w:w="11910" w:h="16840"/>
          <w:pgMar w:header="957" w:footer="940" w:top="1140" w:bottom="1140" w:left="20" w:right="20"/>
          <w:pgNumType w:start="158"/>
        </w:sectPr>
      </w:pPr>
    </w:p>
    <w:p>
      <w:pPr>
        <w:spacing w:before="120"/>
        <w:ind w:left="2246" w:right="0" w:firstLine="0"/>
        <w:jc w:val="left"/>
        <w:rPr>
          <w:b/>
          <w:sz w:val="20"/>
        </w:rPr>
      </w:pPr>
      <w:r>
        <w:rPr>
          <w:b/>
          <w:sz w:val="20"/>
        </w:rPr>
        <w:t>Table</w:t>
      </w:r>
      <w:r>
        <w:rPr>
          <w:b/>
          <w:spacing w:val="-6"/>
          <w:sz w:val="20"/>
        </w:rPr>
        <w:t> </w:t>
      </w:r>
      <w:r>
        <w:rPr>
          <w:b/>
          <w:sz w:val="20"/>
        </w:rPr>
        <w:t>34:</w:t>
      </w:r>
      <w:r>
        <w:rPr>
          <w:b/>
          <w:spacing w:val="-7"/>
          <w:sz w:val="20"/>
        </w:rPr>
        <w:t> </w:t>
      </w:r>
      <w:r>
        <w:rPr>
          <w:b/>
          <w:sz w:val="20"/>
        </w:rPr>
        <w:t>Programme</w:t>
      </w:r>
      <w:r>
        <w:rPr>
          <w:b/>
          <w:spacing w:val="-3"/>
          <w:sz w:val="20"/>
        </w:rPr>
        <w:t> </w:t>
      </w:r>
      <w:r>
        <w:rPr>
          <w:b/>
          <w:sz w:val="20"/>
        </w:rPr>
        <w:t>4100:</w:t>
      </w:r>
      <w:r>
        <w:rPr>
          <w:b/>
          <w:spacing w:val="-7"/>
          <w:sz w:val="20"/>
        </w:rPr>
        <w:t> </w:t>
      </w:r>
      <w:r>
        <w:rPr>
          <w:b/>
          <w:sz w:val="20"/>
        </w:rPr>
        <w:t>Proposed</w:t>
      </w:r>
      <w:r>
        <w:rPr>
          <w:b/>
          <w:spacing w:val="-7"/>
          <w:sz w:val="20"/>
        </w:rPr>
        <w:t> </w:t>
      </w:r>
      <w:r>
        <w:rPr>
          <w:b/>
          <w:sz w:val="20"/>
        </w:rPr>
        <w:t>budget</w:t>
      </w:r>
      <w:r>
        <w:rPr>
          <w:b/>
          <w:spacing w:val="-6"/>
          <w:sz w:val="20"/>
        </w:rPr>
        <w:t> </w:t>
      </w:r>
      <w:r>
        <w:rPr>
          <w:b/>
          <w:sz w:val="20"/>
        </w:rPr>
        <w:t>for </w:t>
      </w:r>
      <w:r>
        <w:rPr>
          <w:b/>
          <w:spacing w:val="-4"/>
          <w:sz w:val="20"/>
        </w:rPr>
        <w:t>2023</w:t>
      </w:r>
    </w:p>
    <w:tbl>
      <w:tblPr>
        <w:tblW w:w="0" w:type="auto"/>
        <w:jc w:val="left"/>
        <w:tblInd w:w="1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61"/>
        <w:gridCol w:w="1218"/>
        <w:gridCol w:w="827"/>
        <w:gridCol w:w="1133"/>
        <w:gridCol w:w="1078"/>
        <w:gridCol w:w="1122"/>
        <w:gridCol w:w="753"/>
        <w:gridCol w:w="1053"/>
      </w:tblGrid>
      <w:tr>
        <w:trPr>
          <w:trHeight w:val="324" w:hRule="atLeast"/>
        </w:trPr>
        <w:tc>
          <w:tcPr>
            <w:tcW w:w="2461" w:type="dxa"/>
            <w:tcBorders>
              <w:top w:val="single" w:sz="4" w:space="0" w:color="000000"/>
            </w:tcBorders>
          </w:tcPr>
          <w:p>
            <w:pPr>
              <w:pStyle w:val="TableParagraph"/>
              <w:jc w:val="left"/>
              <w:rPr>
                <w:sz w:val="14"/>
              </w:rPr>
            </w:pPr>
          </w:p>
        </w:tc>
        <w:tc>
          <w:tcPr>
            <w:tcW w:w="3178" w:type="dxa"/>
            <w:gridSpan w:val="3"/>
            <w:tcBorders>
              <w:top w:val="single" w:sz="4" w:space="0" w:color="000000"/>
            </w:tcBorders>
          </w:tcPr>
          <w:p>
            <w:pPr>
              <w:pStyle w:val="TableParagraph"/>
              <w:tabs>
                <w:tab w:pos="311" w:val="left" w:leader="none"/>
                <w:tab w:pos="3178" w:val="left" w:leader="none"/>
              </w:tabs>
              <w:spacing w:line="180" w:lineRule="exact" w:before="124"/>
              <w:ind w:left="-1" w:right="-15"/>
              <w:jc w:val="left"/>
              <w:rPr>
                <w:sz w:val="16"/>
              </w:rPr>
            </w:pPr>
            <w:r>
              <w:rPr>
                <w:sz w:val="16"/>
                <w:u w:val="single"/>
              </w:rPr>
              <w:tab/>
              <w:t>2021</w:t>
            </w:r>
            <w:r>
              <w:rPr>
                <w:spacing w:val="-3"/>
                <w:sz w:val="16"/>
                <w:u w:val="single"/>
              </w:rPr>
              <w:t> </w:t>
            </w:r>
            <w:r>
              <w:rPr>
                <w:sz w:val="16"/>
                <w:u w:val="single"/>
              </w:rPr>
              <w:t>Expenditures</w:t>
            </w:r>
            <w:r>
              <w:rPr>
                <w:spacing w:val="-4"/>
                <w:sz w:val="16"/>
                <w:u w:val="single"/>
              </w:rPr>
              <w:t> </w:t>
            </w:r>
            <w:r>
              <w:rPr>
                <w:sz w:val="16"/>
                <w:u w:val="single"/>
              </w:rPr>
              <w:t>(thousands</w:t>
            </w:r>
            <w:r>
              <w:rPr>
                <w:spacing w:val="-4"/>
                <w:sz w:val="16"/>
                <w:u w:val="single"/>
              </w:rPr>
              <w:t> </w:t>
            </w:r>
            <w:r>
              <w:rPr>
                <w:sz w:val="16"/>
                <w:u w:val="single"/>
              </w:rPr>
              <w:t>of</w:t>
            </w:r>
            <w:r>
              <w:rPr>
                <w:spacing w:val="-4"/>
                <w:sz w:val="16"/>
                <w:u w:val="single"/>
              </w:rPr>
              <w:t> </w:t>
            </w:r>
            <w:r>
              <w:rPr>
                <w:spacing w:val="-2"/>
                <w:sz w:val="16"/>
                <w:u w:val="single"/>
              </w:rPr>
              <w:t>euros)</w:t>
            </w:r>
            <w:r>
              <w:rPr>
                <w:sz w:val="16"/>
                <w:u w:val="single"/>
              </w:rPr>
              <w:tab/>
            </w:r>
          </w:p>
        </w:tc>
        <w:tc>
          <w:tcPr>
            <w:tcW w:w="1078" w:type="dxa"/>
            <w:vMerge w:val="restart"/>
            <w:tcBorders>
              <w:top w:val="single" w:sz="4" w:space="0" w:color="000000"/>
              <w:bottom w:val="single" w:sz="12" w:space="0" w:color="000000"/>
            </w:tcBorders>
          </w:tcPr>
          <w:p>
            <w:pPr>
              <w:pStyle w:val="TableParagraph"/>
              <w:spacing w:line="183" w:lineRule="exact" w:before="153"/>
              <w:ind w:left="228" w:right="181"/>
              <w:jc w:val="center"/>
              <w:rPr>
                <w:sz w:val="16"/>
              </w:rPr>
            </w:pPr>
            <w:r>
              <w:rPr>
                <w:spacing w:val="-4"/>
                <w:sz w:val="16"/>
              </w:rPr>
              <w:t>2022</w:t>
            </w:r>
          </w:p>
          <w:p>
            <w:pPr>
              <w:pStyle w:val="TableParagraph"/>
              <w:spacing w:line="183" w:lineRule="exact"/>
              <w:ind w:left="227" w:right="184"/>
              <w:jc w:val="center"/>
              <w:rPr>
                <w:sz w:val="16"/>
              </w:rPr>
            </w:pPr>
            <w:r>
              <w:rPr>
                <w:spacing w:val="-2"/>
                <w:sz w:val="16"/>
              </w:rPr>
              <w:t>Approved</w:t>
            </w:r>
          </w:p>
          <w:p>
            <w:pPr>
              <w:pStyle w:val="TableParagraph"/>
              <w:spacing w:line="172" w:lineRule="exact" w:before="3"/>
              <w:ind w:left="228" w:right="176"/>
              <w:jc w:val="center"/>
              <w:rPr>
                <w:sz w:val="16"/>
              </w:rPr>
            </w:pPr>
            <w:r>
              <w:rPr>
                <w:spacing w:val="-2"/>
                <w:sz w:val="16"/>
              </w:rPr>
              <w:t>Budget</w:t>
            </w:r>
          </w:p>
        </w:tc>
        <w:tc>
          <w:tcPr>
            <w:tcW w:w="1875" w:type="dxa"/>
            <w:gridSpan w:val="2"/>
            <w:tcBorders>
              <w:top w:val="single" w:sz="4" w:space="0" w:color="000000"/>
            </w:tcBorders>
          </w:tcPr>
          <w:p>
            <w:pPr>
              <w:pStyle w:val="TableParagraph"/>
              <w:tabs>
                <w:tab w:pos="339" w:val="left" w:leader="none"/>
                <w:tab w:pos="1803" w:val="left" w:leader="none"/>
              </w:tabs>
              <w:spacing w:line="180" w:lineRule="exact" w:before="124"/>
              <w:ind w:left="56"/>
              <w:jc w:val="left"/>
              <w:rPr>
                <w:sz w:val="16"/>
              </w:rPr>
            </w:pPr>
            <w:r>
              <w:rPr>
                <w:sz w:val="16"/>
                <w:u w:val="single"/>
              </w:rPr>
              <w:tab/>
              <w:t>Resource</w:t>
            </w:r>
            <w:r>
              <w:rPr>
                <w:spacing w:val="-2"/>
                <w:sz w:val="16"/>
                <w:u w:val="single"/>
              </w:rPr>
              <w:t> Changes</w:t>
            </w:r>
            <w:r>
              <w:rPr>
                <w:sz w:val="16"/>
                <w:u w:val="single"/>
              </w:rPr>
              <w:tab/>
            </w:r>
          </w:p>
        </w:tc>
        <w:tc>
          <w:tcPr>
            <w:tcW w:w="1053" w:type="dxa"/>
            <w:tcBorders>
              <w:top w:val="single" w:sz="4" w:space="0" w:color="000000"/>
            </w:tcBorders>
          </w:tcPr>
          <w:p>
            <w:pPr>
              <w:pStyle w:val="TableParagraph"/>
              <w:jc w:val="left"/>
              <w:rPr>
                <w:sz w:val="14"/>
              </w:rPr>
            </w:pPr>
          </w:p>
        </w:tc>
      </w:tr>
      <w:tr>
        <w:trPr>
          <w:trHeight w:val="359" w:hRule="atLeast"/>
        </w:trPr>
        <w:tc>
          <w:tcPr>
            <w:tcW w:w="2461" w:type="dxa"/>
            <w:tcBorders>
              <w:bottom w:val="single" w:sz="12" w:space="0" w:color="000000"/>
            </w:tcBorders>
          </w:tcPr>
          <w:p>
            <w:pPr>
              <w:pStyle w:val="TableParagraph"/>
              <w:spacing w:line="165" w:lineRule="exact"/>
              <w:ind w:left="117"/>
              <w:jc w:val="left"/>
              <w:rPr>
                <w:b/>
                <w:sz w:val="16"/>
              </w:rPr>
            </w:pPr>
            <w:r>
              <w:rPr>
                <w:b/>
                <w:spacing w:val="-4"/>
                <w:sz w:val="16"/>
              </w:rPr>
              <w:t>4100</w:t>
            </w:r>
          </w:p>
          <w:p>
            <w:pPr>
              <w:pStyle w:val="TableParagraph"/>
              <w:spacing w:line="172" w:lineRule="exact" w:before="3"/>
              <w:ind w:left="117"/>
              <w:jc w:val="left"/>
              <w:rPr>
                <w:b/>
                <w:sz w:val="16"/>
              </w:rPr>
            </w:pPr>
            <w:r>
              <w:rPr>
                <w:b/>
                <w:spacing w:val="-2"/>
                <w:sz w:val="16"/>
              </w:rPr>
              <w:t>ASP</w:t>
            </w:r>
            <w:r>
              <w:rPr>
                <w:b/>
                <w:spacing w:val="-5"/>
                <w:sz w:val="16"/>
              </w:rPr>
              <w:t> </w:t>
            </w:r>
            <w:r>
              <w:rPr>
                <w:b/>
                <w:spacing w:val="-2"/>
                <w:sz w:val="16"/>
              </w:rPr>
              <w:t>Conference</w:t>
            </w:r>
          </w:p>
        </w:tc>
        <w:tc>
          <w:tcPr>
            <w:tcW w:w="1218" w:type="dxa"/>
            <w:tcBorders>
              <w:bottom w:val="single" w:sz="12" w:space="0" w:color="000000"/>
            </w:tcBorders>
          </w:tcPr>
          <w:p>
            <w:pPr>
              <w:pStyle w:val="TableParagraph"/>
              <w:spacing w:before="7"/>
              <w:jc w:val="left"/>
              <w:rPr>
                <w:b/>
                <w:sz w:val="14"/>
              </w:rPr>
            </w:pPr>
          </w:p>
          <w:p>
            <w:pPr>
              <w:pStyle w:val="TableParagraph"/>
              <w:spacing w:line="172" w:lineRule="exact"/>
              <w:ind w:left="393"/>
              <w:jc w:val="left"/>
              <w:rPr>
                <w:sz w:val="16"/>
              </w:rPr>
            </w:pPr>
            <w:r>
              <w:rPr>
                <w:spacing w:val="-2"/>
                <w:sz w:val="16"/>
              </w:rPr>
              <w:t>Total</w:t>
            </w:r>
          </w:p>
        </w:tc>
        <w:tc>
          <w:tcPr>
            <w:tcW w:w="827" w:type="dxa"/>
            <w:tcBorders>
              <w:bottom w:val="single" w:sz="12" w:space="0" w:color="000000"/>
            </w:tcBorders>
          </w:tcPr>
          <w:p>
            <w:pPr>
              <w:pStyle w:val="TableParagraph"/>
              <w:spacing w:line="165" w:lineRule="exact"/>
              <w:ind w:left="193"/>
              <w:jc w:val="left"/>
              <w:rPr>
                <w:sz w:val="16"/>
              </w:rPr>
            </w:pPr>
            <w:r>
              <w:rPr>
                <w:spacing w:val="-2"/>
                <w:sz w:val="16"/>
              </w:rPr>
              <w:t>Cont.</w:t>
            </w:r>
          </w:p>
          <w:p>
            <w:pPr>
              <w:pStyle w:val="TableParagraph"/>
              <w:spacing w:line="172" w:lineRule="exact" w:before="3"/>
              <w:ind w:left="203"/>
              <w:jc w:val="left"/>
              <w:rPr>
                <w:sz w:val="16"/>
              </w:rPr>
            </w:pPr>
            <w:r>
              <w:rPr>
                <w:spacing w:val="-4"/>
                <w:sz w:val="16"/>
              </w:rPr>
              <w:t>Fund</w:t>
            </w:r>
          </w:p>
        </w:tc>
        <w:tc>
          <w:tcPr>
            <w:tcW w:w="1133" w:type="dxa"/>
            <w:tcBorders>
              <w:bottom w:val="single" w:sz="12" w:space="0" w:color="000000"/>
            </w:tcBorders>
          </w:tcPr>
          <w:p>
            <w:pPr>
              <w:pStyle w:val="TableParagraph"/>
              <w:spacing w:before="7"/>
              <w:jc w:val="left"/>
              <w:rPr>
                <w:b/>
                <w:sz w:val="14"/>
              </w:rPr>
            </w:pPr>
          </w:p>
          <w:p>
            <w:pPr>
              <w:pStyle w:val="TableParagraph"/>
              <w:spacing w:line="172" w:lineRule="exact"/>
              <w:ind w:right="121"/>
              <w:rPr>
                <w:sz w:val="16"/>
              </w:rPr>
            </w:pPr>
            <w:r>
              <w:rPr>
                <w:sz w:val="16"/>
              </w:rPr>
              <w:t>Total</w:t>
            </w:r>
            <w:r>
              <w:rPr>
                <w:spacing w:val="-7"/>
                <w:sz w:val="16"/>
              </w:rPr>
              <w:t> </w:t>
            </w:r>
            <w:r>
              <w:rPr>
                <w:sz w:val="16"/>
              </w:rPr>
              <w:t>Incl.</w:t>
            </w:r>
            <w:r>
              <w:rPr>
                <w:spacing w:val="-6"/>
                <w:sz w:val="16"/>
              </w:rPr>
              <w:t> </w:t>
            </w:r>
            <w:r>
              <w:rPr>
                <w:spacing w:val="-5"/>
                <w:sz w:val="16"/>
              </w:rPr>
              <w:t>CF</w:t>
            </w:r>
          </w:p>
        </w:tc>
        <w:tc>
          <w:tcPr>
            <w:tcW w:w="1078" w:type="dxa"/>
            <w:vMerge/>
            <w:tcBorders>
              <w:top w:val="nil"/>
              <w:bottom w:val="single" w:sz="12" w:space="0" w:color="000000"/>
            </w:tcBorders>
          </w:tcPr>
          <w:p>
            <w:pPr>
              <w:rPr>
                <w:sz w:val="2"/>
                <w:szCs w:val="2"/>
              </w:rPr>
            </w:pPr>
          </w:p>
        </w:tc>
        <w:tc>
          <w:tcPr>
            <w:tcW w:w="1122" w:type="dxa"/>
            <w:tcBorders>
              <w:bottom w:val="single" w:sz="12" w:space="0" w:color="000000"/>
            </w:tcBorders>
          </w:tcPr>
          <w:p>
            <w:pPr>
              <w:pStyle w:val="TableParagraph"/>
              <w:spacing w:before="7"/>
              <w:jc w:val="left"/>
              <w:rPr>
                <w:b/>
                <w:sz w:val="14"/>
              </w:rPr>
            </w:pPr>
          </w:p>
          <w:p>
            <w:pPr>
              <w:pStyle w:val="TableParagraph"/>
              <w:spacing w:line="172" w:lineRule="exact"/>
              <w:ind w:right="180"/>
              <w:rPr>
                <w:sz w:val="16"/>
              </w:rPr>
            </w:pPr>
            <w:r>
              <w:rPr>
                <w:spacing w:val="-2"/>
                <w:sz w:val="16"/>
              </w:rPr>
              <w:t>Amount</w:t>
            </w:r>
          </w:p>
        </w:tc>
        <w:tc>
          <w:tcPr>
            <w:tcW w:w="753" w:type="dxa"/>
            <w:tcBorders>
              <w:bottom w:val="single" w:sz="12" w:space="0" w:color="000000"/>
            </w:tcBorders>
          </w:tcPr>
          <w:p>
            <w:pPr>
              <w:pStyle w:val="TableParagraph"/>
              <w:spacing w:before="7"/>
              <w:jc w:val="left"/>
              <w:rPr>
                <w:b/>
                <w:sz w:val="14"/>
              </w:rPr>
            </w:pPr>
          </w:p>
          <w:p>
            <w:pPr>
              <w:pStyle w:val="TableParagraph"/>
              <w:spacing w:line="172" w:lineRule="exact"/>
              <w:ind w:right="177"/>
              <w:rPr>
                <w:sz w:val="16"/>
              </w:rPr>
            </w:pPr>
            <w:r>
              <w:rPr>
                <w:w w:val="98"/>
                <w:sz w:val="16"/>
              </w:rPr>
              <w:t>%</w:t>
            </w:r>
          </w:p>
        </w:tc>
        <w:tc>
          <w:tcPr>
            <w:tcW w:w="1053" w:type="dxa"/>
            <w:tcBorders>
              <w:bottom w:val="single" w:sz="12" w:space="0" w:color="000000"/>
            </w:tcBorders>
          </w:tcPr>
          <w:p>
            <w:pPr>
              <w:pStyle w:val="TableParagraph"/>
              <w:spacing w:line="165" w:lineRule="exact"/>
              <w:ind w:left="56" w:right="134"/>
              <w:jc w:val="center"/>
              <w:rPr>
                <w:sz w:val="16"/>
              </w:rPr>
            </w:pPr>
            <w:r>
              <w:rPr>
                <w:spacing w:val="-2"/>
                <w:sz w:val="16"/>
              </w:rPr>
              <w:t>Proposed</w:t>
            </w:r>
          </w:p>
          <w:p>
            <w:pPr>
              <w:pStyle w:val="TableParagraph"/>
              <w:spacing w:line="172" w:lineRule="exact" w:before="3"/>
              <w:ind w:left="64" w:right="134"/>
              <w:jc w:val="center"/>
              <w:rPr>
                <w:sz w:val="16"/>
              </w:rPr>
            </w:pPr>
            <w:r>
              <w:rPr>
                <w:sz w:val="16"/>
              </w:rPr>
              <w:t>2023</w:t>
            </w:r>
            <w:r>
              <w:rPr>
                <w:spacing w:val="2"/>
                <w:sz w:val="16"/>
              </w:rPr>
              <w:t> </w:t>
            </w:r>
            <w:r>
              <w:rPr>
                <w:spacing w:val="-2"/>
                <w:sz w:val="16"/>
              </w:rPr>
              <w:t>Budget</w:t>
            </w:r>
          </w:p>
        </w:tc>
      </w:tr>
      <w:tr>
        <w:trPr>
          <w:trHeight w:val="231" w:hRule="atLeast"/>
        </w:trPr>
        <w:tc>
          <w:tcPr>
            <w:tcW w:w="2461" w:type="dxa"/>
            <w:tcBorders>
              <w:top w:val="single" w:sz="12" w:space="0" w:color="000000"/>
            </w:tcBorders>
          </w:tcPr>
          <w:p>
            <w:pPr>
              <w:pStyle w:val="TableParagraph"/>
              <w:spacing w:before="13"/>
              <w:ind w:left="117"/>
              <w:jc w:val="left"/>
              <w:rPr>
                <w:sz w:val="16"/>
              </w:rPr>
            </w:pPr>
            <w:r>
              <w:rPr>
                <w:w w:val="95"/>
                <w:sz w:val="16"/>
              </w:rPr>
              <w:t>Professional</w:t>
            </w:r>
            <w:r>
              <w:rPr>
                <w:spacing w:val="28"/>
                <w:sz w:val="16"/>
              </w:rPr>
              <w:t> </w:t>
            </w:r>
            <w:r>
              <w:rPr>
                <w:spacing w:val="-2"/>
                <w:sz w:val="16"/>
              </w:rPr>
              <w:t>staff</w:t>
            </w:r>
          </w:p>
        </w:tc>
        <w:tc>
          <w:tcPr>
            <w:tcW w:w="1218" w:type="dxa"/>
            <w:tcBorders>
              <w:top w:val="single" w:sz="12" w:space="0" w:color="000000"/>
            </w:tcBorders>
            <w:shd w:val="clear" w:color="auto" w:fill="D9D9D9"/>
          </w:tcPr>
          <w:p>
            <w:pPr>
              <w:pStyle w:val="TableParagraph"/>
              <w:jc w:val="left"/>
              <w:rPr>
                <w:sz w:val="14"/>
              </w:rPr>
            </w:pPr>
          </w:p>
        </w:tc>
        <w:tc>
          <w:tcPr>
            <w:tcW w:w="827" w:type="dxa"/>
            <w:tcBorders>
              <w:top w:val="single" w:sz="12" w:space="0" w:color="000000"/>
            </w:tcBorders>
            <w:shd w:val="clear" w:color="auto" w:fill="D9D9D9"/>
          </w:tcPr>
          <w:p>
            <w:pPr>
              <w:pStyle w:val="TableParagraph"/>
              <w:jc w:val="left"/>
              <w:rPr>
                <w:sz w:val="14"/>
              </w:rPr>
            </w:pPr>
          </w:p>
        </w:tc>
        <w:tc>
          <w:tcPr>
            <w:tcW w:w="1133" w:type="dxa"/>
            <w:tcBorders>
              <w:top w:val="single" w:sz="12" w:space="0" w:color="000000"/>
            </w:tcBorders>
            <w:shd w:val="clear" w:color="auto" w:fill="D9D9D9"/>
          </w:tcPr>
          <w:p>
            <w:pPr>
              <w:pStyle w:val="TableParagraph"/>
              <w:jc w:val="left"/>
              <w:rPr>
                <w:sz w:val="14"/>
              </w:rPr>
            </w:pPr>
          </w:p>
        </w:tc>
        <w:tc>
          <w:tcPr>
            <w:tcW w:w="1078" w:type="dxa"/>
            <w:tcBorders>
              <w:top w:val="single" w:sz="12" w:space="0" w:color="000000"/>
            </w:tcBorders>
          </w:tcPr>
          <w:p>
            <w:pPr>
              <w:pStyle w:val="TableParagraph"/>
              <w:spacing w:before="13"/>
              <w:ind w:right="52"/>
              <w:rPr>
                <w:sz w:val="16"/>
              </w:rPr>
            </w:pPr>
            <w:r>
              <w:rPr>
                <w:w w:val="98"/>
                <w:sz w:val="16"/>
              </w:rPr>
              <w:t>-</w:t>
            </w:r>
          </w:p>
        </w:tc>
        <w:tc>
          <w:tcPr>
            <w:tcW w:w="1122" w:type="dxa"/>
            <w:tcBorders>
              <w:top w:val="single" w:sz="12" w:space="0" w:color="000000"/>
            </w:tcBorders>
          </w:tcPr>
          <w:p>
            <w:pPr>
              <w:pStyle w:val="TableParagraph"/>
              <w:spacing w:before="13"/>
              <w:ind w:right="183"/>
              <w:rPr>
                <w:sz w:val="16"/>
              </w:rPr>
            </w:pPr>
            <w:r>
              <w:rPr>
                <w:spacing w:val="-2"/>
                <w:sz w:val="16"/>
              </w:rPr>
              <w:t>137.1</w:t>
            </w:r>
          </w:p>
        </w:tc>
        <w:tc>
          <w:tcPr>
            <w:tcW w:w="753" w:type="dxa"/>
            <w:tcBorders>
              <w:top w:val="single" w:sz="12" w:space="0" w:color="000000"/>
            </w:tcBorders>
          </w:tcPr>
          <w:p>
            <w:pPr>
              <w:pStyle w:val="TableParagraph"/>
              <w:spacing w:before="13"/>
              <w:ind w:right="174"/>
              <w:rPr>
                <w:sz w:val="16"/>
              </w:rPr>
            </w:pPr>
            <w:r>
              <w:rPr>
                <w:w w:val="98"/>
                <w:sz w:val="16"/>
              </w:rPr>
              <w:t>-</w:t>
            </w:r>
          </w:p>
        </w:tc>
        <w:tc>
          <w:tcPr>
            <w:tcW w:w="1053" w:type="dxa"/>
            <w:tcBorders>
              <w:top w:val="single" w:sz="12" w:space="0" w:color="000000"/>
            </w:tcBorders>
          </w:tcPr>
          <w:p>
            <w:pPr>
              <w:pStyle w:val="TableParagraph"/>
              <w:spacing w:before="13"/>
              <w:ind w:right="102"/>
              <w:rPr>
                <w:sz w:val="16"/>
              </w:rPr>
            </w:pPr>
            <w:r>
              <w:rPr>
                <w:spacing w:val="-2"/>
                <w:sz w:val="16"/>
              </w:rPr>
              <w:t>137.1</w:t>
            </w:r>
          </w:p>
        </w:tc>
      </w:tr>
      <w:tr>
        <w:trPr>
          <w:trHeight w:val="223" w:hRule="atLeast"/>
        </w:trPr>
        <w:tc>
          <w:tcPr>
            <w:tcW w:w="2461" w:type="dxa"/>
            <w:tcBorders>
              <w:bottom w:val="single" w:sz="4" w:space="0" w:color="000000"/>
            </w:tcBorders>
          </w:tcPr>
          <w:p>
            <w:pPr>
              <w:pStyle w:val="TableParagraph"/>
              <w:spacing w:before="8"/>
              <w:ind w:left="117"/>
              <w:jc w:val="left"/>
              <w:rPr>
                <w:sz w:val="16"/>
              </w:rPr>
            </w:pPr>
            <w:r>
              <w:rPr>
                <w:sz w:val="16"/>
              </w:rPr>
              <w:t>General</w:t>
            </w:r>
            <w:r>
              <w:rPr>
                <w:spacing w:val="-6"/>
                <w:sz w:val="16"/>
              </w:rPr>
              <w:t> </w:t>
            </w:r>
            <w:r>
              <w:rPr>
                <w:sz w:val="16"/>
              </w:rPr>
              <w:t>Service</w:t>
            </w:r>
            <w:r>
              <w:rPr>
                <w:spacing w:val="-4"/>
                <w:sz w:val="16"/>
              </w:rPr>
              <w:t> staff</w:t>
            </w:r>
          </w:p>
        </w:tc>
        <w:tc>
          <w:tcPr>
            <w:tcW w:w="1218" w:type="dxa"/>
            <w:tcBorders>
              <w:bottom w:val="single" w:sz="4" w:space="0" w:color="000000"/>
            </w:tcBorders>
            <w:shd w:val="clear" w:color="auto" w:fill="D9D9D9"/>
          </w:tcPr>
          <w:p>
            <w:pPr>
              <w:pStyle w:val="TableParagraph"/>
              <w:jc w:val="left"/>
              <w:rPr>
                <w:sz w:val="14"/>
              </w:rPr>
            </w:pPr>
          </w:p>
        </w:tc>
        <w:tc>
          <w:tcPr>
            <w:tcW w:w="827" w:type="dxa"/>
            <w:tcBorders>
              <w:bottom w:val="single" w:sz="4" w:space="0" w:color="000000"/>
            </w:tcBorders>
            <w:shd w:val="clear" w:color="auto" w:fill="D9D9D9"/>
          </w:tcPr>
          <w:p>
            <w:pPr>
              <w:pStyle w:val="TableParagraph"/>
              <w:jc w:val="left"/>
              <w:rPr>
                <w:sz w:val="14"/>
              </w:rPr>
            </w:pPr>
          </w:p>
        </w:tc>
        <w:tc>
          <w:tcPr>
            <w:tcW w:w="1133" w:type="dxa"/>
            <w:tcBorders>
              <w:bottom w:val="single" w:sz="4" w:space="0" w:color="000000"/>
            </w:tcBorders>
            <w:shd w:val="clear" w:color="auto" w:fill="D9D9D9"/>
          </w:tcPr>
          <w:p>
            <w:pPr>
              <w:pStyle w:val="TableParagraph"/>
              <w:jc w:val="left"/>
              <w:rPr>
                <w:sz w:val="14"/>
              </w:rPr>
            </w:pPr>
          </w:p>
        </w:tc>
        <w:tc>
          <w:tcPr>
            <w:tcW w:w="1078" w:type="dxa"/>
            <w:tcBorders>
              <w:bottom w:val="single" w:sz="4" w:space="0" w:color="000000"/>
            </w:tcBorders>
          </w:tcPr>
          <w:p>
            <w:pPr>
              <w:pStyle w:val="TableParagraph"/>
              <w:spacing w:before="8"/>
              <w:ind w:right="52"/>
              <w:rPr>
                <w:sz w:val="16"/>
              </w:rPr>
            </w:pPr>
            <w:r>
              <w:rPr>
                <w:w w:val="98"/>
                <w:sz w:val="16"/>
              </w:rPr>
              <w:t>-</w:t>
            </w:r>
          </w:p>
        </w:tc>
        <w:tc>
          <w:tcPr>
            <w:tcW w:w="1122" w:type="dxa"/>
            <w:tcBorders>
              <w:bottom w:val="single" w:sz="4" w:space="0" w:color="000000"/>
            </w:tcBorders>
          </w:tcPr>
          <w:p>
            <w:pPr>
              <w:pStyle w:val="TableParagraph"/>
              <w:spacing w:before="8"/>
              <w:ind w:right="185"/>
              <w:rPr>
                <w:sz w:val="16"/>
              </w:rPr>
            </w:pPr>
            <w:r>
              <w:rPr>
                <w:w w:val="98"/>
                <w:sz w:val="16"/>
              </w:rPr>
              <w:t>-</w:t>
            </w:r>
          </w:p>
        </w:tc>
        <w:tc>
          <w:tcPr>
            <w:tcW w:w="753" w:type="dxa"/>
            <w:tcBorders>
              <w:bottom w:val="single" w:sz="4" w:space="0" w:color="000000"/>
            </w:tcBorders>
          </w:tcPr>
          <w:p>
            <w:pPr>
              <w:pStyle w:val="TableParagraph"/>
              <w:spacing w:before="8"/>
              <w:ind w:right="174"/>
              <w:rPr>
                <w:sz w:val="16"/>
              </w:rPr>
            </w:pPr>
            <w:r>
              <w:rPr>
                <w:w w:val="98"/>
                <w:sz w:val="16"/>
              </w:rPr>
              <w:t>-</w:t>
            </w:r>
          </w:p>
        </w:tc>
        <w:tc>
          <w:tcPr>
            <w:tcW w:w="1053" w:type="dxa"/>
            <w:tcBorders>
              <w:bottom w:val="single" w:sz="4" w:space="0" w:color="000000"/>
            </w:tcBorders>
          </w:tcPr>
          <w:p>
            <w:pPr>
              <w:pStyle w:val="TableParagraph"/>
              <w:spacing w:before="8"/>
              <w:ind w:right="103"/>
              <w:rPr>
                <w:sz w:val="16"/>
              </w:rPr>
            </w:pPr>
            <w:r>
              <w:rPr>
                <w:w w:val="98"/>
                <w:sz w:val="16"/>
              </w:rPr>
              <w:t>-</w:t>
            </w:r>
          </w:p>
        </w:tc>
      </w:tr>
      <w:tr>
        <w:trPr>
          <w:trHeight w:val="225" w:hRule="atLeast"/>
        </w:trPr>
        <w:tc>
          <w:tcPr>
            <w:tcW w:w="2461" w:type="dxa"/>
            <w:tcBorders>
              <w:top w:val="single" w:sz="4" w:space="0" w:color="000000"/>
              <w:bottom w:val="single" w:sz="4" w:space="0" w:color="000000"/>
            </w:tcBorders>
          </w:tcPr>
          <w:p>
            <w:pPr>
              <w:pStyle w:val="TableParagraph"/>
              <w:spacing w:before="9"/>
              <w:ind w:right="104"/>
              <w:rPr>
                <w:i/>
                <w:sz w:val="16"/>
              </w:rPr>
            </w:pPr>
            <w:r>
              <w:rPr>
                <w:i/>
                <w:sz w:val="16"/>
              </w:rPr>
              <w:t>Subtotal</w:t>
            </w:r>
            <w:r>
              <w:rPr>
                <w:i/>
                <w:spacing w:val="-1"/>
                <w:sz w:val="16"/>
              </w:rPr>
              <w:t> </w:t>
            </w:r>
            <w:r>
              <w:rPr>
                <w:i/>
                <w:spacing w:val="-2"/>
                <w:sz w:val="16"/>
              </w:rPr>
              <w:t>staff</w:t>
            </w:r>
          </w:p>
        </w:tc>
        <w:tc>
          <w:tcPr>
            <w:tcW w:w="1218" w:type="dxa"/>
            <w:tcBorders>
              <w:top w:val="single" w:sz="4" w:space="0" w:color="000000"/>
              <w:bottom w:val="single" w:sz="4" w:space="0" w:color="000000"/>
            </w:tcBorders>
          </w:tcPr>
          <w:p>
            <w:pPr>
              <w:pStyle w:val="TableParagraph"/>
              <w:spacing w:before="9"/>
              <w:ind w:right="193"/>
              <w:rPr>
                <w:i/>
                <w:sz w:val="16"/>
              </w:rPr>
            </w:pPr>
            <w:r>
              <w:rPr>
                <w:i/>
                <w:w w:val="98"/>
                <w:sz w:val="16"/>
              </w:rPr>
              <w:t>-</w:t>
            </w:r>
          </w:p>
        </w:tc>
        <w:tc>
          <w:tcPr>
            <w:tcW w:w="827" w:type="dxa"/>
            <w:tcBorders>
              <w:top w:val="single" w:sz="4" w:space="0" w:color="000000"/>
              <w:bottom w:val="single" w:sz="4" w:space="0" w:color="000000"/>
            </w:tcBorders>
          </w:tcPr>
          <w:p>
            <w:pPr>
              <w:pStyle w:val="TableParagraph"/>
              <w:spacing w:before="9"/>
              <w:ind w:right="107"/>
              <w:rPr>
                <w:i/>
                <w:sz w:val="16"/>
              </w:rPr>
            </w:pPr>
            <w:r>
              <w:rPr>
                <w:i/>
                <w:w w:val="98"/>
                <w:sz w:val="16"/>
              </w:rPr>
              <w:t>-</w:t>
            </w:r>
          </w:p>
        </w:tc>
        <w:tc>
          <w:tcPr>
            <w:tcW w:w="1133" w:type="dxa"/>
            <w:tcBorders>
              <w:top w:val="single" w:sz="4" w:space="0" w:color="000000"/>
              <w:bottom w:val="single" w:sz="4" w:space="0" w:color="000000"/>
            </w:tcBorders>
          </w:tcPr>
          <w:p>
            <w:pPr>
              <w:pStyle w:val="TableParagraph"/>
              <w:spacing w:before="9"/>
              <w:ind w:right="107"/>
              <w:rPr>
                <w:i/>
                <w:sz w:val="16"/>
              </w:rPr>
            </w:pPr>
            <w:r>
              <w:rPr>
                <w:i/>
                <w:w w:val="98"/>
                <w:sz w:val="16"/>
              </w:rPr>
              <w:t>-</w:t>
            </w:r>
          </w:p>
        </w:tc>
        <w:tc>
          <w:tcPr>
            <w:tcW w:w="1078" w:type="dxa"/>
            <w:tcBorders>
              <w:top w:val="single" w:sz="4" w:space="0" w:color="000000"/>
              <w:bottom w:val="single" w:sz="4" w:space="0" w:color="000000"/>
            </w:tcBorders>
          </w:tcPr>
          <w:p>
            <w:pPr>
              <w:pStyle w:val="TableParagraph"/>
              <w:spacing w:before="9"/>
              <w:ind w:right="52"/>
              <w:rPr>
                <w:i/>
                <w:sz w:val="16"/>
              </w:rPr>
            </w:pPr>
            <w:r>
              <w:rPr>
                <w:i/>
                <w:w w:val="98"/>
                <w:sz w:val="16"/>
              </w:rPr>
              <w:t>-</w:t>
            </w:r>
          </w:p>
        </w:tc>
        <w:tc>
          <w:tcPr>
            <w:tcW w:w="1122" w:type="dxa"/>
            <w:tcBorders>
              <w:top w:val="single" w:sz="4" w:space="0" w:color="000000"/>
              <w:bottom w:val="single" w:sz="4" w:space="0" w:color="000000"/>
            </w:tcBorders>
          </w:tcPr>
          <w:p>
            <w:pPr>
              <w:pStyle w:val="TableParagraph"/>
              <w:spacing w:before="9"/>
              <w:ind w:right="183"/>
              <w:rPr>
                <w:i/>
                <w:sz w:val="16"/>
              </w:rPr>
            </w:pPr>
            <w:r>
              <w:rPr>
                <w:i/>
                <w:spacing w:val="-2"/>
                <w:sz w:val="16"/>
              </w:rPr>
              <w:t>137.1</w:t>
            </w:r>
          </w:p>
        </w:tc>
        <w:tc>
          <w:tcPr>
            <w:tcW w:w="753" w:type="dxa"/>
            <w:tcBorders>
              <w:top w:val="single" w:sz="4" w:space="0" w:color="000000"/>
              <w:bottom w:val="single" w:sz="4" w:space="0" w:color="000000"/>
            </w:tcBorders>
          </w:tcPr>
          <w:p>
            <w:pPr>
              <w:pStyle w:val="TableParagraph"/>
              <w:spacing w:before="9"/>
              <w:ind w:right="174"/>
              <w:rPr>
                <w:i/>
                <w:sz w:val="16"/>
              </w:rPr>
            </w:pPr>
            <w:r>
              <w:rPr>
                <w:i/>
                <w:w w:val="98"/>
                <w:sz w:val="16"/>
              </w:rPr>
              <w:t>-</w:t>
            </w:r>
          </w:p>
        </w:tc>
        <w:tc>
          <w:tcPr>
            <w:tcW w:w="1053" w:type="dxa"/>
            <w:tcBorders>
              <w:top w:val="single" w:sz="4" w:space="0" w:color="000000"/>
              <w:bottom w:val="single" w:sz="4" w:space="0" w:color="000000"/>
            </w:tcBorders>
          </w:tcPr>
          <w:p>
            <w:pPr>
              <w:pStyle w:val="TableParagraph"/>
              <w:spacing w:before="9"/>
              <w:ind w:right="102"/>
              <w:rPr>
                <w:i/>
                <w:sz w:val="16"/>
              </w:rPr>
            </w:pPr>
            <w:r>
              <w:rPr>
                <w:i/>
                <w:spacing w:val="-2"/>
                <w:sz w:val="16"/>
              </w:rPr>
              <w:t>137.1</w:t>
            </w:r>
          </w:p>
        </w:tc>
      </w:tr>
      <w:tr>
        <w:trPr>
          <w:trHeight w:val="231" w:hRule="atLeast"/>
        </w:trPr>
        <w:tc>
          <w:tcPr>
            <w:tcW w:w="2461" w:type="dxa"/>
            <w:tcBorders>
              <w:top w:val="single" w:sz="4" w:space="0" w:color="000000"/>
            </w:tcBorders>
          </w:tcPr>
          <w:p>
            <w:pPr>
              <w:pStyle w:val="TableParagraph"/>
              <w:spacing w:before="14"/>
              <w:ind w:left="117"/>
              <w:jc w:val="left"/>
              <w:rPr>
                <w:sz w:val="16"/>
              </w:rPr>
            </w:pPr>
            <w:r>
              <w:rPr>
                <w:sz w:val="16"/>
              </w:rPr>
              <w:t>General</w:t>
            </w:r>
            <w:r>
              <w:rPr>
                <w:spacing w:val="-4"/>
                <w:sz w:val="16"/>
              </w:rPr>
              <w:t> </w:t>
            </w:r>
            <w:r>
              <w:rPr>
                <w:sz w:val="16"/>
              </w:rPr>
              <w:t>temporary</w:t>
            </w:r>
            <w:r>
              <w:rPr>
                <w:spacing w:val="-1"/>
                <w:sz w:val="16"/>
              </w:rPr>
              <w:t> </w:t>
            </w:r>
            <w:r>
              <w:rPr>
                <w:spacing w:val="-2"/>
                <w:sz w:val="16"/>
              </w:rPr>
              <w:t>assistance</w:t>
            </w:r>
          </w:p>
        </w:tc>
        <w:tc>
          <w:tcPr>
            <w:tcW w:w="1218" w:type="dxa"/>
            <w:tcBorders>
              <w:top w:val="single" w:sz="4" w:space="0" w:color="000000"/>
            </w:tcBorders>
          </w:tcPr>
          <w:p>
            <w:pPr>
              <w:pStyle w:val="TableParagraph"/>
              <w:spacing w:before="14"/>
              <w:ind w:right="191"/>
              <w:rPr>
                <w:sz w:val="16"/>
              </w:rPr>
            </w:pPr>
            <w:r>
              <w:rPr>
                <w:spacing w:val="-2"/>
                <w:sz w:val="16"/>
              </w:rPr>
              <w:t>130.9</w:t>
            </w:r>
          </w:p>
        </w:tc>
        <w:tc>
          <w:tcPr>
            <w:tcW w:w="827" w:type="dxa"/>
            <w:tcBorders>
              <w:top w:val="single" w:sz="4" w:space="0" w:color="000000"/>
            </w:tcBorders>
          </w:tcPr>
          <w:p>
            <w:pPr>
              <w:pStyle w:val="TableParagraph"/>
              <w:spacing w:before="14"/>
              <w:ind w:right="107"/>
              <w:rPr>
                <w:sz w:val="16"/>
              </w:rPr>
            </w:pPr>
            <w:r>
              <w:rPr>
                <w:w w:val="98"/>
                <w:sz w:val="16"/>
              </w:rPr>
              <w:t>-</w:t>
            </w:r>
          </w:p>
        </w:tc>
        <w:tc>
          <w:tcPr>
            <w:tcW w:w="1133" w:type="dxa"/>
            <w:tcBorders>
              <w:top w:val="single" w:sz="4" w:space="0" w:color="000000"/>
            </w:tcBorders>
          </w:tcPr>
          <w:p>
            <w:pPr>
              <w:pStyle w:val="TableParagraph"/>
              <w:spacing w:before="14"/>
              <w:ind w:right="106"/>
              <w:rPr>
                <w:sz w:val="16"/>
              </w:rPr>
            </w:pPr>
            <w:r>
              <w:rPr>
                <w:spacing w:val="-2"/>
                <w:sz w:val="16"/>
              </w:rPr>
              <w:t>130.9</w:t>
            </w:r>
          </w:p>
        </w:tc>
        <w:tc>
          <w:tcPr>
            <w:tcW w:w="1078" w:type="dxa"/>
            <w:tcBorders>
              <w:top w:val="single" w:sz="4" w:space="0" w:color="000000"/>
            </w:tcBorders>
          </w:tcPr>
          <w:p>
            <w:pPr>
              <w:pStyle w:val="TableParagraph"/>
              <w:spacing w:before="14"/>
              <w:ind w:right="50"/>
              <w:rPr>
                <w:sz w:val="16"/>
              </w:rPr>
            </w:pPr>
            <w:r>
              <w:rPr>
                <w:spacing w:val="-2"/>
                <w:sz w:val="16"/>
              </w:rPr>
              <w:t>259.4</w:t>
            </w:r>
          </w:p>
        </w:tc>
        <w:tc>
          <w:tcPr>
            <w:tcW w:w="1122" w:type="dxa"/>
            <w:tcBorders>
              <w:top w:val="single" w:sz="4" w:space="0" w:color="000000"/>
            </w:tcBorders>
          </w:tcPr>
          <w:p>
            <w:pPr>
              <w:pStyle w:val="TableParagraph"/>
              <w:spacing w:before="14"/>
              <w:ind w:right="187"/>
              <w:rPr>
                <w:sz w:val="16"/>
              </w:rPr>
            </w:pPr>
            <w:r>
              <w:rPr>
                <w:spacing w:val="-5"/>
                <w:sz w:val="16"/>
              </w:rPr>
              <w:t>0.6</w:t>
            </w:r>
          </w:p>
        </w:tc>
        <w:tc>
          <w:tcPr>
            <w:tcW w:w="753" w:type="dxa"/>
            <w:tcBorders>
              <w:top w:val="single" w:sz="4" w:space="0" w:color="000000"/>
            </w:tcBorders>
          </w:tcPr>
          <w:p>
            <w:pPr>
              <w:pStyle w:val="TableParagraph"/>
              <w:spacing w:before="14"/>
              <w:ind w:right="177"/>
              <w:rPr>
                <w:sz w:val="16"/>
              </w:rPr>
            </w:pPr>
            <w:r>
              <w:rPr>
                <w:spacing w:val="-5"/>
                <w:sz w:val="16"/>
              </w:rPr>
              <w:t>0.2</w:t>
            </w:r>
          </w:p>
        </w:tc>
        <w:tc>
          <w:tcPr>
            <w:tcW w:w="1053" w:type="dxa"/>
            <w:tcBorders>
              <w:top w:val="single" w:sz="4" w:space="0" w:color="000000"/>
            </w:tcBorders>
          </w:tcPr>
          <w:p>
            <w:pPr>
              <w:pStyle w:val="TableParagraph"/>
              <w:spacing w:before="14"/>
              <w:ind w:right="102"/>
              <w:rPr>
                <w:sz w:val="16"/>
              </w:rPr>
            </w:pPr>
            <w:r>
              <w:rPr>
                <w:spacing w:val="-2"/>
                <w:sz w:val="16"/>
              </w:rPr>
              <w:t>260.0</w:t>
            </w:r>
          </w:p>
        </w:tc>
      </w:tr>
      <w:tr>
        <w:trPr>
          <w:trHeight w:val="225" w:hRule="atLeast"/>
        </w:trPr>
        <w:tc>
          <w:tcPr>
            <w:tcW w:w="2461" w:type="dxa"/>
          </w:tcPr>
          <w:p>
            <w:pPr>
              <w:pStyle w:val="TableParagraph"/>
              <w:spacing w:before="7"/>
              <w:ind w:left="117"/>
              <w:jc w:val="left"/>
              <w:rPr>
                <w:sz w:val="16"/>
              </w:rPr>
            </w:pPr>
            <w:r>
              <w:rPr>
                <w:sz w:val="16"/>
              </w:rPr>
              <w:t>Temporary</w:t>
            </w:r>
            <w:r>
              <w:rPr>
                <w:spacing w:val="-3"/>
                <w:sz w:val="16"/>
              </w:rPr>
              <w:t> </w:t>
            </w:r>
            <w:r>
              <w:rPr>
                <w:sz w:val="16"/>
              </w:rPr>
              <w:t>assistance</w:t>
            </w:r>
            <w:r>
              <w:rPr>
                <w:spacing w:val="-4"/>
                <w:sz w:val="16"/>
              </w:rPr>
              <w:t> </w:t>
            </w:r>
            <w:r>
              <w:rPr>
                <w:sz w:val="16"/>
              </w:rPr>
              <w:t>for</w:t>
            </w:r>
            <w:r>
              <w:rPr>
                <w:spacing w:val="-5"/>
                <w:sz w:val="16"/>
              </w:rPr>
              <w:t> </w:t>
            </w:r>
            <w:r>
              <w:rPr>
                <w:spacing w:val="-2"/>
                <w:sz w:val="16"/>
              </w:rPr>
              <w:t>meetings</w:t>
            </w:r>
          </w:p>
        </w:tc>
        <w:tc>
          <w:tcPr>
            <w:tcW w:w="1218" w:type="dxa"/>
          </w:tcPr>
          <w:p>
            <w:pPr>
              <w:pStyle w:val="TableParagraph"/>
              <w:spacing w:before="7"/>
              <w:ind w:right="191"/>
              <w:rPr>
                <w:sz w:val="16"/>
              </w:rPr>
            </w:pPr>
            <w:r>
              <w:rPr>
                <w:spacing w:val="-2"/>
                <w:sz w:val="16"/>
              </w:rPr>
              <w:t>110.7</w:t>
            </w:r>
          </w:p>
        </w:tc>
        <w:tc>
          <w:tcPr>
            <w:tcW w:w="827" w:type="dxa"/>
          </w:tcPr>
          <w:p>
            <w:pPr>
              <w:pStyle w:val="TableParagraph"/>
              <w:spacing w:before="7"/>
              <w:ind w:right="107"/>
              <w:rPr>
                <w:sz w:val="16"/>
              </w:rPr>
            </w:pPr>
            <w:r>
              <w:rPr>
                <w:w w:val="98"/>
                <w:sz w:val="16"/>
              </w:rPr>
              <w:t>-</w:t>
            </w:r>
          </w:p>
        </w:tc>
        <w:tc>
          <w:tcPr>
            <w:tcW w:w="1133" w:type="dxa"/>
          </w:tcPr>
          <w:p>
            <w:pPr>
              <w:pStyle w:val="TableParagraph"/>
              <w:spacing w:before="7"/>
              <w:ind w:right="106"/>
              <w:rPr>
                <w:sz w:val="16"/>
              </w:rPr>
            </w:pPr>
            <w:r>
              <w:rPr>
                <w:spacing w:val="-2"/>
                <w:sz w:val="16"/>
              </w:rPr>
              <w:t>110.7</w:t>
            </w:r>
          </w:p>
        </w:tc>
        <w:tc>
          <w:tcPr>
            <w:tcW w:w="1078" w:type="dxa"/>
          </w:tcPr>
          <w:p>
            <w:pPr>
              <w:pStyle w:val="TableParagraph"/>
              <w:spacing w:before="7"/>
              <w:ind w:right="50"/>
              <w:rPr>
                <w:sz w:val="16"/>
              </w:rPr>
            </w:pPr>
            <w:r>
              <w:rPr>
                <w:spacing w:val="-4"/>
                <w:sz w:val="16"/>
              </w:rPr>
              <w:t>40.0</w:t>
            </w:r>
          </w:p>
        </w:tc>
        <w:tc>
          <w:tcPr>
            <w:tcW w:w="1122" w:type="dxa"/>
          </w:tcPr>
          <w:p>
            <w:pPr>
              <w:pStyle w:val="TableParagraph"/>
              <w:spacing w:before="7"/>
              <w:ind w:right="185"/>
              <w:rPr>
                <w:sz w:val="16"/>
              </w:rPr>
            </w:pPr>
            <w:r>
              <w:rPr>
                <w:w w:val="98"/>
                <w:sz w:val="16"/>
              </w:rPr>
              <w:t>-</w:t>
            </w:r>
          </w:p>
        </w:tc>
        <w:tc>
          <w:tcPr>
            <w:tcW w:w="753" w:type="dxa"/>
          </w:tcPr>
          <w:p>
            <w:pPr>
              <w:pStyle w:val="TableParagraph"/>
              <w:spacing w:before="7"/>
              <w:ind w:right="174"/>
              <w:rPr>
                <w:sz w:val="16"/>
              </w:rPr>
            </w:pPr>
            <w:r>
              <w:rPr>
                <w:w w:val="98"/>
                <w:sz w:val="16"/>
              </w:rPr>
              <w:t>-</w:t>
            </w:r>
          </w:p>
        </w:tc>
        <w:tc>
          <w:tcPr>
            <w:tcW w:w="1053" w:type="dxa"/>
          </w:tcPr>
          <w:p>
            <w:pPr>
              <w:pStyle w:val="TableParagraph"/>
              <w:spacing w:before="7"/>
              <w:ind w:right="101"/>
              <w:rPr>
                <w:sz w:val="16"/>
              </w:rPr>
            </w:pPr>
            <w:r>
              <w:rPr>
                <w:spacing w:val="-4"/>
                <w:sz w:val="16"/>
              </w:rPr>
              <w:t>40.0</w:t>
            </w:r>
          </w:p>
        </w:tc>
      </w:tr>
      <w:tr>
        <w:trPr>
          <w:trHeight w:val="223" w:hRule="atLeast"/>
        </w:trPr>
        <w:tc>
          <w:tcPr>
            <w:tcW w:w="2461" w:type="dxa"/>
            <w:tcBorders>
              <w:bottom w:val="single" w:sz="4" w:space="0" w:color="000000"/>
            </w:tcBorders>
          </w:tcPr>
          <w:p>
            <w:pPr>
              <w:pStyle w:val="TableParagraph"/>
              <w:spacing w:before="7"/>
              <w:ind w:left="117"/>
              <w:jc w:val="left"/>
              <w:rPr>
                <w:sz w:val="16"/>
              </w:rPr>
            </w:pPr>
            <w:r>
              <w:rPr>
                <w:spacing w:val="-2"/>
                <w:sz w:val="16"/>
              </w:rPr>
              <w:t>Overtime</w:t>
            </w:r>
          </w:p>
        </w:tc>
        <w:tc>
          <w:tcPr>
            <w:tcW w:w="1218" w:type="dxa"/>
            <w:tcBorders>
              <w:bottom w:val="single" w:sz="4" w:space="0" w:color="000000"/>
            </w:tcBorders>
          </w:tcPr>
          <w:p>
            <w:pPr>
              <w:pStyle w:val="TableParagraph"/>
              <w:spacing w:before="7"/>
              <w:ind w:right="195"/>
              <w:rPr>
                <w:sz w:val="16"/>
              </w:rPr>
            </w:pPr>
            <w:r>
              <w:rPr>
                <w:spacing w:val="-5"/>
                <w:sz w:val="16"/>
              </w:rPr>
              <w:t>5.4</w:t>
            </w:r>
          </w:p>
        </w:tc>
        <w:tc>
          <w:tcPr>
            <w:tcW w:w="827" w:type="dxa"/>
            <w:tcBorders>
              <w:bottom w:val="single" w:sz="4" w:space="0" w:color="000000"/>
            </w:tcBorders>
          </w:tcPr>
          <w:p>
            <w:pPr>
              <w:pStyle w:val="TableParagraph"/>
              <w:spacing w:before="7"/>
              <w:ind w:right="107"/>
              <w:rPr>
                <w:sz w:val="16"/>
              </w:rPr>
            </w:pPr>
            <w:r>
              <w:rPr>
                <w:w w:val="98"/>
                <w:sz w:val="16"/>
              </w:rPr>
              <w:t>-</w:t>
            </w:r>
          </w:p>
        </w:tc>
        <w:tc>
          <w:tcPr>
            <w:tcW w:w="1133" w:type="dxa"/>
            <w:tcBorders>
              <w:bottom w:val="single" w:sz="4" w:space="0" w:color="000000"/>
            </w:tcBorders>
          </w:tcPr>
          <w:p>
            <w:pPr>
              <w:pStyle w:val="TableParagraph"/>
              <w:spacing w:before="7"/>
              <w:ind w:right="110"/>
              <w:rPr>
                <w:sz w:val="16"/>
              </w:rPr>
            </w:pPr>
            <w:r>
              <w:rPr>
                <w:spacing w:val="-5"/>
                <w:sz w:val="16"/>
              </w:rPr>
              <w:t>5.4</w:t>
            </w:r>
          </w:p>
        </w:tc>
        <w:tc>
          <w:tcPr>
            <w:tcW w:w="1078" w:type="dxa"/>
            <w:tcBorders>
              <w:bottom w:val="single" w:sz="4" w:space="0" w:color="000000"/>
            </w:tcBorders>
          </w:tcPr>
          <w:p>
            <w:pPr>
              <w:pStyle w:val="TableParagraph"/>
              <w:spacing w:before="7"/>
              <w:ind w:right="55"/>
              <w:rPr>
                <w:sz w:val="16"/>
              </w:rPr>
            </w:pPr>
            <w:r>
              <w:rPr>
                <w:spacing w:val="-5"/>
                <w:sz w:val="16"/>
              </w:rPr>
              <w:t>9.0</w:t>
            </w:r>
          </w:p>
        </w:tc>
        <w:tc>
          <w:tcPr>
            <w:tcW w:w="1122" w:type="dxa"/>
            <w:tcBorders>
              <w:bottom w:val="single" w:sz="4" w:space="0" w:color="000000"/>
            </w:tcBorders>
          </w:tcPr>
          <w:p>
            <w:pPr>
              <w:pStyle w:val="TableParagraph"/>
              <w:spacing w:before="7"/>
              <w:ind w:right="187"/>
              <w:rPr>
                <w:sz w:val="16"/>
              </w:rPr>
            </w:pPr>
            <w:r>
              <w:rPr>
                <w:spacing w:val="-5"/>
                <w:sz w:val="16"/>
              </w:rPr>
              <w:t>1.0</w:t>
            </w:r>
          </w:p>
        </w:tc>
        <w:tc>
          <w:tcPr>
            <w:tcW w:w="753" w:type="dxa"/>
            <w:tcBorders>
              <w:bottom w:val="single" w:sz="4" w:space="0" w:color="000000"/>
            </w:tcBorders>
          </w:tcPr>
          <w:p>
            <w:pPr>
              <w:pStyle w:val="TableParagraph"/>
              <w:spacing w:before="7"/>
              <w:ind w:right="172"/>
              <w:rPr>
                <w:sz w:val="16"/>
              </w:rPr>
            </w:pPr>
            <w:r>
              <w:rPr>
                <w:spacing w:val="-4"/>
                <w:sz w:val="16"/>
              </w:rPr>
              <w:t>11.1</w:t>
            </w:r>
          </w:p>
        </w:tc>
        <w:tc>
          <w:tcPr>
            <w:tcW w:w="1053" w:type="dxa"/>
            <w:tcBorders>
              <w:bottom w:val="single" w:sz="4" w:space="0" w:color="000000"/>
            </w:tcBorders>
          </w:tcPr>
          <w:p>
            <w:pPr>
              <w:pStyle w:val="TableParagraph"/>
              <w:spacing w:before="7"/>
              <w:ind w:right="101"/>
              <w:rPr>
                <w:sz w:val="16"/>
              </w:rPr>
            </w:pPr>
            <w:r>
              <w:rPr>
                <w:spacing w:val="-4"/>
                <w:sz w:val="16"/>
              </w:rPr>
              <w:t>10.0</w:t>
            </w:r>
          </w:p>
        </w:tc>
      </w:tr>
      <w:tr>
        <w:trPr>
          <w:trHeight w:val="230" w:hRule="atLeast"/>
        </w:trPr>
        <w:tc>
          <w:tcPr>
            <w:tcW w:w="2461" w:type="dxa"/>
            <w:tcBorders>
              <w:top w:val="single" w:sz="4" w:space="0" w:color="000000"/>
              <w:bottom w:val="single" w:sz="4" w:space="0" w:color="000000"/>
            </w:tcBorders>
          </w:tcPr>
          <w:p>
            <w:pPr>
              <w:pStyle w:val="TableParagraph"/>
              <w:spacing w:before="14"/>
              <w:ind w:right="105"/>
              <w:rPr>
                <w:i/>
                <w:sz w:val="16"/>
              </w:rPr>
            </w:pPr>
            <w:r>
              <w:rPr>
                <w:i/>
                <w:sz w:val="16"/>
              </w:rPr>
              <w:t>Subtotal</w:t>
            </w:r>
            <w:r>
              <w:rPr>
                <w:i/>
                <w:spacing w:val="-2"/>
                <w:sz w:val="16"/>
              </w:rPr>
              <w:t> </w:t>
            </w:r>
            <w:r>
              <w:rPr>
                <w:i/>
                <w:sz w:val="16"/>
              </w:rPr>
              <w:t>other</w:t>
            </w:r>
            <w:r>
              <w:rPr>
                <w:i/>
                <w:spacing w:val="-1"/>
                <w:sz w:val="16"/>
              </w:rPr>
              <w:t> </w:t>
            </w:r>
            <w:r>
              <w:rPr>
                <w:i/>
                <w:spacing w:val="-2"/>
                <w:sz w:val="16"/>
              </w:rPr>
              <w:t>staff</w:t>
            </w:r>
          </w:p>
        </w:tc>
        <w:tc>
          <w:tcPr>
            <w:tcW w:w="1218" w:type="dxa"/>
            <w:tcBorders>
              <w:top w:val="single" w:sz="4" w:space="0" w:color="000000"/>
              <w:bottom w:val="single" w:sz="4" w:space="0" w:color="000000"/>
            </w:tcBorders>
          </w:tcPr>
          <w:p>
            <w:pPr>
              <w:pStyle w:val="TableParagraph"/>
              <w:spacing w:before="14"/>
              <w:ind w:right="191"/>
              <w:rPr>
                <w:i/>
                <w:sz w:val="16"/>
              </w:rPr>
            </w:pPr>
            <w:r>
              <w:rPr>
                <w:i/>
                <w:spacing w:val="-2"/>
                <w:sz w:val="16"/>
              </w:rPr>
              <w:t>246.9</w:t>
            </w:r>
          </w:p>
        </w:tc>
        <w:tc>
          <w:tcPr>
            <w:tcW w:w="827" w:type="dxa"/>
            <w:tcBorders>
              <w:top w:val="single" w:sz="4" w:space="0" w:color="000000"/>
              <w:bottom w:val="single" w:sz="4" w:space="0" w:color="000000"/>
            </w:tcBorders>
          </w:tcPr>
          <w:p>
            <w:pPr>
              <w:pStyle w:val="TableParagraph"/>
              <w:spacing w:before="14"/>
              <w:ind w:right="107"/>
              <w:rPr>
                <w:i/>
                <w:sz w:val="16"/>
              </w:rPr>
            </w:pPr>
            <w:r>
              <w:rPr>
                <w:i/>
                <w:w w:val="98"/>
                <w:sz w:val="16"/>
              </w:rPr>
              <w:t>-</w:t>
            </w:r>
          </w:p>
        </w:tc>
        <w:tc>
          <w:tcPr>
            <w:tcW w:w="1133" w:type="dxa"/>
            <w:tcBorders>
              <w:top w:val="single" w:sz="4" w:space="0" w:color="000000"/>
              <w:bottom w:val="single" w:sz="4" w:space="0" w:color="000000"/>
            </w:tcBorders>
          </w:tcPr>
          <w:p>
            <w:pPr>
              <w:pStyle w:val="TableParagraph"/>
              <w:spacing w:before="14"/>
              <w:ind w:right="106"/>
              <w:rPr>
                <w:i/>
                <w:sz w:val="16"/>
              </w:rPr>
            </w:pPr>
            <w:r>
              <w:rPr>
                <w:i/>
                <w:spacing w:val="-2"/>
                <w:sz w:val="16"/>
              </w:rPr>
              <w:t>246.9</w:t>
            </w:r>
          </w:p>
        </w:tc>
        <w:tc>
          <w:tcPr>
            <w:tcW w:w="1078" w:type="dxa"/>
            <w:tcBorders>
              <w:top w:val="single" w:sz="4" w:space="0" w:color="000000"/>
              <w:bottom w:val="single" w:sz="4" w:space="0" w:color="000000"/>
            </w:tcBorders>
          </w:tcPr>
          <w:p>
            <w:pPr>
              <w:pStyle w:val="TableParagraph"/>
              <w:spacing w:before="14"/>
              <w:ind w:right="50"/>
              <w:rPr>
                <w:i/>
                <w:sz w:val="16"/>
              </w:rPr>
            </w:pPr>
            <w:r>
              <w:rPr>
                <w:i/>
                <w:spacing w:val="-2"/>
                <w:sz w:val="16"/>
              </w:rPr>
              <w:t>308.4</w:t>
            </w:r>
          </w:p>
        </w:tc>
        <w:tc>
          <w:tcPr>
            <w:tcW w:w="1122" w:type="dxa"/>
            <w:tcBorders>
              <w:top w:val="single" w:sz="4" w:space="0" w:color="000000"/>
              <w:bottom w:val="single" w:sz="4" w:space="0" w:color="000000"/>
            </w:tcBorders>
          </w:tcPr>
          <w:p>
            <w:pPr>
              <w:pStyle w:val="TableParagraph"/>
              <w:spacing w:before="14"/>
              <w:ind w:right="187"/>
              <w:rPr>
                <w:i/>
                <w:sz w:val="16"/>
              </w:rPr>
            </w:pPr>
            <w:r>
              <w:rPr>
                <w:i/>
                <w:spacing w:val="-5"/>
                <w:sz w:val="16"/>
              </w:rPr>
              <w:t>1.6</w:t>
            </w:r>
          </w:p>
        </w:tc>
        <w:tc>
          <w:tcPr>
            <w:tcW w:w="753" w:type="dxa"/>
            <w:tcBorders>
              <w:top w:val="single" w:sz="4" w:space="0" w:color="000000"/>
              <w:bottom w:val="single" w:sz="4" w:space="0" w:color="000000"/>
            </w:tcBorders>
          </w:tcPr>
          <w:p>
            <w:pPr>
              <w:pStyle w:val="TableParagraph"/>
              <w:spacing w:before="14"/>
              <w:ind w:right="177"/>
              <w:rPr>
                <w:i/>
                <w:sz w:val="16"/>
              </w:rPr>
            </w:pPr>
            <w:r>
              <w:rPr>
                <w:i/>
                <w:spacing w:val="-5"/>
                <w:sz w:val="16"/>
              </w:rPr>
              <w:t>0.5</w:t>
            </w:r>
          </w:p>
        </w:tc>
        <w:tc>
          <w:tcPr>
            <w:tcW w:w="1053" w:type="dxa"/>
            <w:tcBorders>
              <w:top w:val="single" w:sz="4" w:space="0" w:color="000000"/>
              <w:bottom w:val="single" w:sz="4" w:space="0" w:color="000000"/>
            </w:tcBorders>
          </w:tcPr>
          <w:p>
            <w:pPr>
              <w:pStyle w:val="TableParagraph"/>
              <w:spacing w:before="14"/>
              <w:ind w:right="102"/>
              <w:rPr>
                <w:i/>
                <w:sz w:val="16"/>
              </w:rPr>
            </w:pPr>
            <w:r>
              <w:rPr>
                <w:i/>
                <w:spacing w:val="-2"/>
                <w:sz w:val="16"/>
              </w:rPr>
              <w:t>310.0</w:t>
            </w:r>
          </w:p>
        </w:tc>
      </w:tr>
      <w:tr>
        <w:trPr>
          <w:trHeight w:val="227" w:hRule="atLeast"/>
        </w:trPr>
        <w:tc>
          <w:tcPr>
            <w:tcW w:w="2461" w:type="dxa"/>
            <w:tcBorders>
              <w:top w:val="single" w:sz="4" w:space="0" w:color="000000"/>
            </w:tcBorders>
          </w:tcPr>
          <w:p>
            <w:pPr>
              <w:pStyle w:val="TableParagraph"/>
              <w:spacing w:before="9"/>
              <w:ind w:left="117"/>
              <w:jc w:val="left"/>
              <w:rPr>
                <w:sz w:val="16"/>
              </w:rPr>
            </w:pPr>
            <w:r>
              <w:rPr>
                <w:spacing w:val="-2"/>
                <w:sz w:val="16"/>
              </w:rPr>
              <w:t>Travel</w:t>
            </w:r>
          </w:p>
        </w:tc>
        <w:tc>
          <w:tcPr>
            <w:tcW w:w="1218" w:type="dxa"/>
            <w:tcBorders>
              <w:top w:val="single" w:sz="4" w:space="0" w:color="000000"/>
            </w:tcBorders>
          </w:tcPr>
          <w:p>
            <w:pPr>
              <w:pStyle w:val="TableParagraph"/>
              <w:spacing w:before="9"/>
              <w:ind w:right="195"/>
              <w:rPr>
                <w:sz w:val="16"/>
              </w:rPr>
            </w:pPr>
            <w:r>
              <w:rPr>
                <w:spacing w:val="-5"/>
                <w:sz w:val="16"/>
              </w:rPr>
              <w:t>8.7</w:t>
            </w:r>
          </w:p>
        </w:tc>
        <w:tc>
          <w:tcPr>
            <w:tcW w:w="827" w:type="dxa"/>
            <w:tcBorders>
              <w:top w:val="single" w:sz="4" w:space="0" w:color="000000"/>
            </w:tcBorders>
          </w:tcPr>
          <w:p>
            <w:pPr>
              <w:pStyle w:val="TableParagraph"/>
              <w:spacing w:before="9"/>
              <w:ind w:right="107"/>
              <w:rPr>
                <w:sz w:val="16"/>
              </w:rPr>
            </w:pPr>
            <w:r>
              <w:rPr>
                <w:w w:val="98"/>
                <w:sz w:val="16"/>
              </w:rPr>
              <w:t>-</w:t>
            </w:r>
          </w:p>
        </w:tc>
        <w:tc>
          <w:tcPr>
            <w:tcW w:w="1133" w:type="dxa"/>
            <w:tcBorders>
              <w:top w:val="single" w:sz="4" w:space="0" w:color="000000"/>
            </w:tcBorders>
          </w:tcPr>
          <w:p>
            <w:pPr>
              <w:pStyle w:val="TableParagraph"/>
              <w:spacing w:before="9"/>
              <w:ind w:right="110"/>
              <w:rPr>
                <w:sz w:val="16"/>
              </w:rPr>
            </w:pPr>
            <w:r>
              <w:rPr>
                <w:spacing w:val="-5"/>
                <w:sz w:val="16"/>
              </w:rPr>
              <w:t>8.7</w:t>
            </w:r>
          </w:p>
        </w:tc>
        <w:tc>
          <w:tcPr>
            <w:tcW w:w="1078" w:type="dxa"/>
            <w:tcBorders>
              <w:top w:val="single" w:sz="4" w:space="0" w:color="000000"/>
            </w:tcBorders>
          </w:tcPr>
          <w:p>
            <w:pPr>
              <w:pStyle w:val="TableParagraph"/>
              <w:spacing w:before="9"/>
              <w:ind w:right="50"/>
              <w:rPr>
                <w:sz w:val="16"/>
              </w:rPr>
            </w:pPr>
            <w:r>
              <w:rPr>
                <w:spacing w:val="-4"/>
                <w:sz w:val="16"/>
              </w:rPr>
              <w:t>37.3</w:t>
            </w:r>
          </w:p>
        </w:tc>
        <w:tc>
          <w:tcPr>
            <w:tcW w:w="1122" w:type="dxa"/>
            <w:tcBorders>
              <w:top w:val="single" w:sz="4" w:space="0" w:color="000000"/>
            </w:tcBorders>
          </w:tcPr>
          <w:p>
            <w:pPr>
              <w:pStyle w:val="TableParagraph"/>
              <w:spacing w:before="9"/>
              <w:ind w:right="183"/>
              <w:rPr>
                <w:sz w:val="16"/>
              </w:rPr>
            </w:pPr>
            <w:r>
              <w:rPr>
                <w:spacing w:val="-4"/>
                <w:sz w:val="16"/>
              </w:rPr>
              <w:t>33.1</w:t>
            </w:r>
          </w:p>
        </w:tc>
        <w:tc>
          <w:tcPr>
            <w:tcW w:w="753" w:type="dxa"/>
            <w:tcBorders>
              <w:top w:val="single" w:sz="4" w:space="0" w:color="000000"/>
            </w:tcBorders>
          </w:tcPr>
          <w:p>
            <w:pPr>
              <w:pStyle w:val="TableParagraph"/>
              <w:spacing w:before="9"/>
              <w:ind w:right="172"/>
              <w:rPr>
                <w:sz w:val="16"/>
              </w:rPr>
            </w:pPr>
            <w:r>
              <w:rPr>
                <w:spacing w:val="-4"/>
                <w:sz w:val="16"/>
              </w:rPr>
              <w:t>88.7</w:t>
            </w:r>
          </w:p>
        </w:tc>
        <w:tc>
          <w:tcPr>
            <w:tcW w:w="1053" w:type="dxa"/>
            <w:tcBorders>
              <w:top w:val="single" w:sz="4" w:space="0" w:color="000000"/>
            </w:tcBorders>
          </w:tcPr>
          <w:p>
            <w:pPr>
              <w:pStyle w:val="TableParagraph"/>
              <w:spacing w:before="9"/>
              <w:ind w:right="101"/>
              <w:rPr>
                <w:sz w:val="16"/>
              </w:rPr>
            </w:pPr>
            <w:r>
              <w:rPr>
                <w:spacing w:val="-4"/>
                <w:sz w:val="16"/>
              </w:rPr>
              <w:t>70.4</w:t>
            </w:r>
          </w:p>
        </w:tc>
      </w:tr>
      <w:tr>
        <w:trPr>
          <w:trHeight w:val="228" w:hRule="atLeast"/>
        </w:trPr>
        <w:tc>
          <w:tcPr>
            <w:tcW w:w="2461" w:type="dxa"/>
          </w:tcPr>
          <w:p>
            <w:pPr>
              <w:pStyle w:val="TableParagraph"/>
              <w:spacing w:before="7"/>
              <w:ind w:left="117"/>
              <w:jc w:val="left"/>
              <w:rPr>
                <w:sz w:val="16"/>
              </w:rPr>
            </w:pPr>
            <w:r>
              <w:rPr>
                <w:spacing w:val="-2"/>
                <w:sz w:val="16"/>
              </w:rPr>
              <w:t>Hospitality</w:t>
            </w:r>
          </w:p>
        </w:tc>
        <w:tc>
          <w:tcPr>
            <w:tcW w:w="1218" w:type="dxa"/>
          </w:tcPr>
          <w:p>
            <w:pPr>
              <w:pStyle w:val="TableParagraph"/>
              <w:spacing w:before="7"/>
              <w:ind w:right="193"/>
              <w:rPr>
                <w:sz w:val="16"/>
              </w:rPr>
            </w:pPr>
            <w:r>
              <w:rPr>
                <w:w w:val="98"/>
                <w:sz w:val="16"/>
              </w:rPr>
              <w:t>-</w:t>
            </w:r>
          </w:p>
        </w:tc>
        <w:tc>
          <w:tcPr>
            <w:tcW w:w="827" w:type="dxa"/>
          </w:tcPr>
          <w:p>
            <w:pPr>
              <w:pStyle w:val="TableParagraph"/>
              <w:spacing w:before="7"/>
              <w:ind w:right="107"/>
              <w:rPr>
                <w:sz w:val="16"/>
              </w:rPr>
            </w:pPr>
            <w:r>
              <w:rPr>
                <w:w w:val="98"/>
                <w:sz w:val="16"/>
              </w:rPr>
              <w:t>-</w:t>
            </w:r>
          </w:p>
        </w:tc>
        <w:tc>
          <w:tcPr>
            <w:tcW w:w="1133" w:type="dxa"/>
          </w:tcPr>
          <w:p>
            <w:pPr>
              <w:pStyle w:val="TableParagraph"/>
              <w:spacing w:before="7"/>
              <w:ind w:right="107"/>
              <w:rPr>
                <w:sz w:val="16"/>
              </w:rPr>
            </w:pPr>
            <w:r>
              <w:rPr>
                <w:w w:val="98"/>
                <w:sz w:val="16"/>
              </w:rPr>
              <w:t>-</w:t>
            </w:r>
          </w:p>
        </w:tc>
        <w:tc>
          <w:tcPr>
            <w:tcW w:w="1078" w:type="dxa"/>
          </w:tcPr>
          <w:p>
            <w:pPr>
              <w:pStyle w:val="TableParagraph"/>
              <w:spacing w:before="7"/>
              <w:ind w:right="52"/>
              <w:rPr>
                <w:sz w:val="16"/>
              </w:rPr>
            </w:pPr>
            <w:r>
              <w:rPr>
                <w:w w:val="98"/>
                <w:sz w:val="16"/>
              </w:rPr>
              <w:t>-</w:t>
            </w:r>
          </w:p>
        </w:tc>
        <w:tc>
          <w:tcPr>
            <w:tcW w:w="1122" w:type="dxa"/>
          </w:tcPr>
          <w:p>
            <w:pPr>
              <w:pStyle w:val="TableParagraph"/>
              <w:spacing w:before="7"/>
              <w:ind w:right="185"/>
              <w:rPr>
                <w:sz w:val="16"/>
              </w:rPr>
            </w:pPr>
            <w:r>
              <w:rPr>
                <w:w w:val="98"/>
                <w:sz w:val="16"/>
              </w:rPr>
              <w:t>-</w:t>
            </w:r>
          </w:p>
        </w:tc>
        <w:tc>
          <w:tcPr>
            <w:tcW w:w="753" w:type="dxa"/>
          </w:tcPr>
          <w:p>
            <w:pPr>
              <w:pStyle w:val="TableParagraph"/>
              <w:spacing w:before="7"/>
              <w:ind w:right="174"/>
              <w:rPr>
                <w:sz w:val="16"/>
              </w:rPr>
            </w:pPr>
            <w:r>
              <w:rPr>
                <w:w w:val="98"/>
                <w:sz w:val="16"/>
              </w:rPr>
              <w:t>-</w:t>
            </w:r>
          </w:p>
        </w:tc>
        <w:tc>
          <w:tcPr>
            <w:tcW w:w="1053" w:type="dxa"/>
          </w:tcPr>
          <w:p>
            <w:pPr>
              <w:pStyle w:val="TableParagraph"/>
              <w:spacing w:before="7"/>
              <w:ind w:right="103"/>
              <w:rPr>
                <w:sz w:val="16"/>
              </w:rPr>
            </w:pPr>
            <w:r>
              <w:rPr>
                <w:w w:val="98"/>
                <w:sz w:val="16"/>
              </w:rPr>
              <w:t>-</w:t>
            </w:r>
          </w:p>
        </w:tc>
      </w:tr>
      <w:tr>
        <w:trPr>
          <w:trHeight w:val="228" w:hRule="atLeast"/>
        </w:trPr>
        <w:tc>
          <w:tcPr>
            <w:tcW w:w="2461" w:type="dxa"/>
          </w:tcPr>
          <w:p>
            <w:pPr>
              <w:pStyle w:val="TableParagraph"/>
              <w:spacing w:before="10"/>
              <w:ind w:left="117"/>
              <w:jc w:val="left"/>
              <w:rPr>
                <w:sz w:val="16"/>
              </w:rPr>
            </w:pPr>
            <w:r>
              <w:rPr>
                <w:w w:val="95"/>
                <w:sz w:val="16"/>
              </w:rPr>
              <w:t>Contractual</w:t>
            </w:r>
            <w:r>
              <w:rPr>
                <w:spacing w:val="33"/>
                <w:sz w:val="16"/>
              </w:rPr>
              <w:t> </w:t>
            </w:r>
            <w:r>
              <w:rPr>
                <w:spacing w:val="-2"/>
                <w:sz w:val="16"/>
              </w:rPr>
              <w:t>services</w:t>
            </w:r>
          </w:p>
        </w:tc>
        <w:tc>
          <w:tcPr>
            <w:tcW w:w="1218" w:type="dxa"/>
          </w:tcPr>
          <w:p>
            <w:pPr>
              <w:pStyle w:val="TableParagraph"/>
              <w:spacing w:before="10"/>
              <w:ind w:right="191"/>
              <w:rPr>
                <w:sz w:val="16"/>
              </w:rPr>
            </w:pPr>
            <w:r>
              <w:rPr>
                <w:spacing w:val="-2"/>
                <w:sz w:val="16"/>
              </w:rPr>
              <w:t>731.5</w:t>
            </w:r>
          </w:p>
        </w:tc>
        <w:tc>
          <w:tcPr>
            <w:tcW w:w="827" w:type="dxa"/>
          </w:tcPr>
          <w:p>
            <w:pPr>
              <w:pStyle w:val="TableParagraph"/>
              <w:spacing w:before="10"/>
              <w:ind w:right="107"/>
              <w:rPr>
                <w:sz w:val="16"/>
              </w:rPr>
            </w:pPr>
            <w:r>
              <w:rPr>
                <w:w w:val="98"/>
                <w:sz w:val="16"/>
              </w:rPr>
              <w:t>-</w:t>
            </w:r>
          </w:p>
        </w:tc>
        <w:tc>
          <w:tcPr>
            <w:tcW w:w="1133" w:type="dxa"/>
          </w:tcPr>
          <w:p>
            <w:pPr>
              <w:pStyle w:val="TableParagraph"/>
              <w:spacing w:before="10"/>
              <w:ind w:right="106"/>
              <w:rPr>
                <w:sz w:val="16"/>
              </w:rPr>
            </w:pPr>
            <w:r>
              <w:rPr>
                <w:spacing w:val="-2"/>
                <w:sz w:val="16"/>
              </w:rPr>
              <w:t>731.5</w:t>
            </w:r>
          </w:p>
        </w:tc>
        <w:tc>
          <w:tcPr>
            <w:tcW w:w="1078" w:type="dxa"/>
          </w:tcPr>
          <w:p>
            <w:pPr>
              <w:pStyle w:val="TableParagraph"/>
              <w:spacing w:before="10"/>
              <w:ind w:right="50"/>
              <w:rPr>
                <w:sz w:val="16"/>
              </w:rPr>
            </w:pPr>
            <w:r>
              <w:rPr>
                <w:spacing w:val="-2"/>
                <w:sz w:val="16"/>
              </w:rPr>
              <w:t>645.2</w:t>
            </w:r>
          </w:p>
        </w:tc>
        <w:tc>
          <w:tcPr>
            <w:tcW w:w="1122" w:type="dxa"/>
          </w:tcPr>
          <w:p>
            <w:pPr>
              <w:pStyle w:val="TableParagraph"/>
              <w:spacing w:before="10"/>
              <w:ind w:right="181"/>
              <w:rPr>
                <w:sz w:val="16"/>
              </w:rPr>
            </w:pPr>
            <w:r>
              <w:rPr>
                <w:spacing w:val="-2"/>
                <w:sz w:val="16"/>
              </w:rPr>
              <w:t>(370.2)</w:t>
            </w:r>
          </w:p>
        </w:tc>
        <w:tc>
          <w:tcPr>
            <w:tcW w:w="753" w:type="dxa"/>
          </w:tcPr>
          <w:p>
            <w:pPr>
              <w:pStyle w:val="TableParagraph"/>
              <w:spacing w:before="10"/>
              <w:ind w:right="175"/>
              <w:rPr>
                <w:sz w:val="16"/>
              </w:rPr>
            </w:pPr>
            <w:r>
              <w:rPr>
                <w:spacing w:val="-2"/>
                <w:sz w:val="16"/>
              </w:rPr>
              <w:t>(57.4)</w:t>
            </w:r>
          </w:p>
        </w:tc>
        <w:tc>
          <w:tcPr>
            <w:tcW w:w="1053" w:type="dxa"/>
          </w:tcPr>
          <w:p>
            <w:pPr>
              <w:pStyle w:val="TableParagraph"/>
              <w:spacing w:before="10"/>
              <w:ind w:right="102"/>
              <w:rPr>
                <w:sz w:val="16"/>
              </w:rPr>
            </w:pPr>
            <w:r>
              <w:rPr>
                <w:spacing w:val="-2"/>
                <w:sz w:val="16"/>
              </w:rPr>
              <w:t>275.0</w:t>
            </w:r>
          </w:p>
        </w:tc>
      </w:tr>
      <w:tr>
        <w:trPr>
          <w:trHeight w:val="225" w:hRule="atLeast"/>
        </w:trPr>
        <w:tc>
          <w:tcPr>
            <w:tcW w:w="2461" w:type="dxa"/>
          </w:tcPr>
          <w:p>
            <w:pPr>
              <w:pStyle w:val="TableParagraph"/>
              <w:spacing w:before="7"/>
              <w:ind w:left="117"/>
              <w:jc w:val="left"/>
              <w:rPr>
                <w:sz w:val="16"/>
              </w:rPr>
            </w:pPr>
            <w:r>
              <w:rPr>
                <w:spacing w:val="-2"/>
                <w:sz w:val="16"/>
              </w:rPr>
              <w:t>Training</w:t>
            </w:r>
          </w:p>
        </w:tc>
        <w:tc>
          <w:tcPr>
            <w:tcW w:w="1218" w:type="dxa"/>
          </w:tcPr>
          <w:p>
            <w:pPr>
              <w:pStyle w:val="TableParagraph"/>
              <w:spacing w:before="7"/>
              <w:ind w:right="193"/>
              <w:rPr>
                <w:sz w:val="16"/>
              </w:rPr>
            </w:pPr>
            <w:r>
              <w:rPr>
                <w:w w:val="98"/>
                <w:sz w:val="16"/>
              </w:rPr>
              <w:t>-</w:t>
            </w:r>
          </w:p>
        </w:tc>
        <w:tc>
          <w:tcPr>
            <w:tcW w:w="827" w:type="dxa"/>
          </w:tcPr>
          <w:p>
            <w:pPr>
              <w:pStyle w:val="TableParagraph"/>
              <w:spacing w:before="7"/>
              <w:ind w:right="107"/>
              <w:rPr>
                <w:sz w:val="16"/>
              </w:rPr>
            </w:pPr>
            <w:r>
              <w:rPr>
                <w:w w:val="98"/>
                <w:sz w:val="16"/>
              </w:rPr>
              <w:t>-</w:t>
            </w:r>
          </w:p>
        </w:tc>
        <w:tc>
          <w:tcPr>
            <w:tcW w:w="1133" w:type="dxa"/>
          </w:tcPr>
          <w:p>
            <w:pPr>
              <w:pStyle w:val="TableParagraph"/>
              <w:spacing w:before="7"/>
              <w:ind w:right="107"/>
              <w:rPr>
                <w:sz w:val="16"/>
              </w:rPr>
            </w:pPr>
            <w:r>
              <w:rPr>
                <w:w w:val="98"/>
                <w:sz w:val="16"/>
              </w:rPr>
              <w:t>-</w:t>
            </w:r>
          </w:p>
        </w:tc>
        <w:tc>
          <w:tcPr>
            <w:tcW w:w="1078" w:type="dxa"/>
          </w:tcPr>
          <w:p>
            <w:pPr>
              <w:pStyle w:val="TableParagraph"/>
              <w:spacing w:before="7"/>
              <w:ind w:right="52"/>
              <w:rPr>
                <w:sz w:val="16"/>
              </w:rPr>
            </w:pPr>
            <w:r>
              <w:rPr>
                <w:w w:val="98"/>
                <w:sz w:val="16"/>
              </w:rPr>
              <w:t>-</w:t>
            </w:r>
          </w:p>
        </w:tc>
        <w:tc>
          <w:tcPr>
            <w:tcW w:w="1122" w:type="dxa"/>
          </w:tcPr>
          <w:p>
            <w:pPr>
              <w:pStyle w:val="TableParagraph"/>
              <w:spacing w:before="7"/>
              <w:ind w:right="185"/>
              <w:rPr>
                <w:sz w:val="16"/>
              </w:rPr>
            </w:pPr>
            <w:r>
              <w:rPr>
                <w:w w:val="98"/>
                <w:sz w:val="16"/>
              </w:rPr>
              <w:t>-</w:t>
            </w:r>
          </w:p>
        </w:tc>
        <w:tc>
          <w:tcPr>
            <w:tcW w:w="753" w:type="dxa"/>
          </w:tcPr>
          <w:p>
            <w:pPr>
              <w:pStyle w:val="TableParagraph"/>
              <w:spacing w:before="7"/>
              <w:ind w:right="174"/>
              <w:rPr>
                <w:sz w:val="16"/>
              </w:rPr>
            </w:pPr>
            <w:r>
              <w:rPr>
                <w:w w:val="98"/>
                <w:sz w:val="16"/>
              </w:rPr>
              <w:t>-</w:t>
            </w:r>
          </w:p>
        </w:tc>
        <w:tc>
          <w:tcPr>
            <w:tcW w:w="1053" w:type="dxa"/>
          </w:tcPr>
          <w:p>
            <w:pPr>
              <w:pStyle w:val="TableParagraph"/>
              <w:spacing w:before="7"/>
              <w:ind w:right="103"/>
              <w:rPr>
                <w:sz w:val="16"/>
              </w:rPr>
            </w:pPr>
            <w:r>
              <w:rPr>
                <w:w w:val="98"/>
                <w:sz w:val="16"/>
              </w:rPr>
              <w:t>-</w:t>
            </w:r>
          </w:p>
        </w:tc>
      </w:tr>
      <w:tr>
        <w:trPr>
          <w:trHeight w:val="228" w:hRule="atLeast"/>
        </w:trPr>
        <w:tc>
          <w:tcPr>
            <w:tcW w:w="2461" w:type="dxa"/>
          </w:tcPr>
          <w:p>
            <w:pPr>
              <w:pStyle w:val="TableParagraph"/>
              <w:spacing w:before="7"/>
              <w:ind w:left="117"/>
              <w:jc w:val="left"/>
              <w:rPr>
                <w:sz w:val="16"/>
              </w:rPr>
            </w:pPr>
            <w:r>
              <w:rPr>
                <w:spacing w:val="-2"/>
                <w:sz w:val="16"/>
              </w:rPr>
              <w:t>Consultants</w:t>
            </w:r>
          </w:p>
        </w:tc>
        <w:tc>
          <w:tcPr>
            <w:tcW w:w="1218" w:type="dxa"/>
          </w:tcPr>
          <w:p>
            <w:pPr>
              <w:pStyle w:val="TableParagraph"/>
              <w:spacing w:before="7"/>
              <w:ind w:right="195"/>
              <w:rPr>
                <w:sz w:val="16"/>
              </w:rPr>
            </w:pPr>
            <w:r>
              <w:rPr>
                <w:spacing w:val="-5"/>
                <w:sz w:val="16"/>
              </w:rPr>
              <w:t>0.2</w:t>
            </w:r>
          </w:p>
        </w:tc>
        <w:tc>
          <w:tcPr>
            <w:tcW w:w="827" w:type="dxa"/>
          </w:tcPr>
          <w:p>
            <w:pPr>
              <w:pStyle w:val="TableParagraph"/>
              <w:spacing w:before="7"/>
              <w:ind w:right="107"/>
              <w:rPr>
                <w:sz w:val="16"/>
              </w:rPr>
            </w:pPr>
            <w:r>
              <w:rPr>
                <w:w w:val="98"/>
                <w:sz w:val="16"/>
              </w:rPr>
              <w:t>-</w:t>
            </w:r>
          </w:p>
        </w:tc>
        <w:tc>
          <w:tcPr>
            <w:tcW w:w="1133" w:type="dxa"/>
          </w:tcPr>
          <w:p>
            <w:pPr>
              <w:pStyle w:val="TableParagraph"/>
              <w:spacing w:before="7"/>
              <w:ind w:right="110"/>
              <w:rPr>
                <w:sz w:val="16"/>
              </w:rPr>
            </w:pPr>
            <w:r>
              <w:rPr>
                <w:spacing w:val="-5"/>
                <w:sz w:val="16"/>
              </w:rPr>
              <w:t>0.2</w:t>
            </w:r>
          </w:p>
        </w:tc>
        <w:tc>
          <w:tcPr>
            <w:tcW w:w="1078" w:type="dxa"/>
          </w:tcPr>
          <w:p>
            <w:pPr>
              <w:pStyle w:val="TableParagraph"/>
              <w:spacing w:before="7"/>
              <w:ind w:right="52"/>
              <w:rPr>
                <w:sz w:val="16"/>
              </w:rPr>
            </w:pPr>
            <w:r>
              <w:rPr>
                <w:w w:val="98"/>
                <w:sz w:val="16"/>
              </w:rPr>
              <w:t>-</w:t>
            </w:r>
          </w:p>
        </w:tc>
        <w:tc>
          <w:tcPr>
            <w:tcW w:w="1122" w:type="dxa"/>
          </w:tcPr>
          <w:p>
            <w:pPr>
              <w:pStyle w:val="TableParagraph"/>
              <w:spacing w:before="7"/>
              <w:ind w:right="185"/>
              <w:rPr>
                <w:sz w:val="16"/>
              </w:rPr>
            </w:pPr>
            <w:r>
              <w:rPr>
                <w:w w:val="98"/>
                <w:sz w:val="16"/>
              </w:rPr>
              <w:t>-</w:t>
            </w:r>
          </w:p>
        </w:tc>
        <w:tc>
          <w:tcPr>
            <w:tcW w:w="753" w:type="dxa"/>
          </w:tcPr>
          <w:p>
            <w:pPr>
              <w:pStyle w:val="TableParagraph"/>
              <w:spacing w:before="7"/>
              <w:ind w:right="174"/>
              <w:rPr>
                <w:sz w:val="16"/>
              </w:rPr>
            </w:pPr>
            <w:r>
              <w:rPr>
                <w:w w:val="98"/>
                <w:sz w:val="16"/>
              </w:rPr>
              <w:t>-</w:t>
            </w:r>
          </w:p>
        </w:tc>
        <w:tc>
          <w:tcPr>
            <w:tcW w:w="1053" w:type="dxa"/>
          </w:tcPr>
          <w:p>
            <w:pPr>
              <w:pStyle w:val="TableParagraph"/>
              <w:spacing w:before="7"/>
              <w:ind w:right="103"/>
              <w:rPr>
                <w:sz w:val="16"/>
              </w:rPr>
            </w:pPr>
            <w:r>
              <w:rPr>
                <w:w w:val="98"/>
                <w:sz w:val="16"/>
              </w:rPr>
              <w:t>-</w:t>
            </w:r>
          </w:p>
        </w:tc>
      </w:tr>
      <w:tr>
        <w:trPr>
          <w:trHeight w:val="227" w:hRule="atLeast"/>
        </w:trPr>
        <w:tc>
          <w:tcPr>
            <w:tcW w:w="2461" w:type="dxa"/>
          </w:tcPr>
          <w:p>
            <w:pPr>
              <w:pStyle w:val="TableParagraph"/>
              <w:spacing w:before="10"/>
              <w:ind w:left="117"/>
              <w:jc w:val="left"/>
              <w:rPr>
                <w:sz w:val="16"/>
              </w:rPr>
            </w:pPr>
            <w:r>
              <w:rPr>
                <w:sz w:val="16"/>
              </w:rPr>
              <w:t>General</w:t>
            </w:r>
            <w:r>
              <w:rPr>
                <w:spacing w:val="-4"/>
                <w:sz w:val="16"/>
              </w:rPr>
              <w:t> </w:t>
            </w:r>
            <w:r>
              <w:rPr>
                <w:sz w:val="16"/>
              </w:rPr>
              <w:t>operating</w:t>
            </w:r>
            <w:r>
              <w:rPr>
                <w:spacing w:val="-1"/>
                <w:sz w:val="16"/>
              </w:rPr>
              <w:t> </w:t>
            </w:r>
            <w:r>
              <w:rPr>
                <w:spacing w:val="-2"/>
                <w:sz w:val="16"/>
              </w:rPr>
              <w:t>expenses</w:t>
            </w:r>
          </w:p>
        </w:tc>
        <w:tc>
          <w:tcPr>
            <w:tcW w:w="1218" w:type="dxa"/>
          </w:tcPr>
          <w:p>
            <w:pPr>
              <w:pStyle w:val="TableParagraph"/>
              <w:spacing w:before="10"/>
              <w:ind w:right="195"/>
              <w:rPr>
                <w:sz w:val="16"/>
              </w:rPr>
            </w:pPr>
            <w:r>
              <w:rPr>
                <w:spacing w:val="-5"/>
                <w:sz w:val="16"/>
              </w:rPr>
              <w:t>5.0</w:t>
            </w:r>
          </w:p>
        </w:tc>
        <w:tc>
          <w:tcPr>
            <w:tcW w:w="827" w:type="dxa"/>
          </w:tcPr>
          <w:p>
            <w:pPr>
              <w:pStyle w:val="TableParagraph"/>
              <w:spacing w:before="10"/>
              <w:ind w:right="107"/>
              <w:rPr>
                <w:sz w:val="16"/>
              </w:rPr>
            </w:pPr>
            <w:r>
              <w:rPr>
                <w:w w:val="98"/>
                <w:sz w:val="16"/>
              </w:rPr>
              <w:t>-</w:t>
            </w:r>
          </w:p>
        </w:tc>
        <w:tc>
          <w:tcPr>
            <w:tcW w:w="1133" w:type="dxa"/>
          </w:tcPr>
          <w:p>
            <w:pPr>
              <w:pStyle w:val="TableParagraph"/>
              <w:spacing w:before="10"/>
              <w:ind w:right="110"/>
              <w:rPr>
                <w:sz w:val="16"/>
              </w:rPr>
            </w:pPr>
            <w:r>
              <w:rPr>
                <w:spacing w:val="-5"/>
                <w:sz w:val="16"/>
              </w:rPr>
              <w:t>5.0</w:t>
            </w:r>
          </w:p>
        </w:tc>
        <w:tc>
          <w:tcPr>
            <w:tcW w:w="1078" w:type="dxa"/>
          </w:tcPr>
          <w:p>
            <w:pPr>
              <w:pStyle w:val="TableParagraph"/>
              <w:spacing w:before="10"/>
              <w:ind w:right="55"/>
              <w:rPr>
                <w:sz w:val="16"/>
              </w:rPr>
            </w:pPr>
            <w:r>
              <w:rPr>
                <w:spacing w:val="-5"/>
                <w:sz w:val="16"/>
              </w:rPr>
              <w:t>3.0</w:t>
            </w:r>
          </w:p>
        </w:tc>
        <w:tc>
          <w:tcPr>
            <w:tcW w:w="1122" w:type="dxa"/>
          </w:tcPr>
          <w:p>
            <w:pPr>
              <w:pStyle w:val="TableParagraph"/>
              <w:spacing w:before="10"/>
              <w:ind w:right="185"/>
              <w:rPr>
                <w:sz w:val="16"/>
              </w:rPr>
            </w:pPr>
            <w:r>
              <w:rPr>
                <w:spacing w:val="-2"/>
                <w:sz w:val="16"/>
              </w:rPr>
              <w:t>(2.0)</w:t>
            </w:r>
          </w:p>
        </w:tc>
        <w:tc>
          <w:tcPr>
            <w:tcW w:w="753" w:type="dxa"/>
          </w:tcPr>
          <w:p>
            <w:pPr>
              <w:pStyle w:val="TableParagraph"/>
              <w:spacing w:before="10"/>
              <w:ind w:right="175"/>
              <w:rPr>
                <w:sz w:val="16"/>
              </w:rPr>
            </w:pPr>
            <w:r>
              <w:rPr>
                <w:spacing w:val="-2"/>
                <w:sz w:val="16"/>
              </w:rPr>
              <w:t>(66.7)</w:t>
            </w:r>
          </w:p>
        </w:tc>
        <w:tc>
          <w:tcPr>
            <w:tcW w:w="1053" w:type="dxa"/>
          </w:tcPr>
          <w:p>
            <w:pPr>
              <w:pStyle w:val="TableParagraph"/>
              <w:spacing w:before="10"/>
              <w:ind w:right="106"/>
              <w:rPr>
                <w:sz w:val="16"/>
              </w:rPr>
            </w:pPr>
            <w:r>
              <w:rPr>
                <w:spacing w:val="-5"/>
                <w:sz w:val="16"/>
              </w:rPr>
              <w:t>1.0</w:t>
            </w:r>
          </w:p>
        </w:tc>
      </w:tr>
      <w:tr>
        <w:trPr>
          <w:trHeight w:val="225" w:hRule="atLeast"/>
        </w:trPr>
        <w:tc>
          <w:tcPr>
            <w:tcW w:w="2461" w:type="dxa"/>
          </w:tcPr>
          <w:p>
            <w:pPr>
              <w:pStyle w:val="TableParagraph"/>
              <w:spacing w:before="7"/>
              <w:ind w:left="117"/>
              <w:jc w:val="left"/>
              <w:rPr>
                <w:sz w:val="16"/>
              </w:rPr>
            </w:pPr>
            <w:r>
              <w:rPr>
                <w:sz w:val="16"/>
              </w:rPr>
              <w:t>Supplies</w:t>
            </w:r>
            <w:r>
              <w:rPr>
                <w:spacing w:val="-4"/>
                <w:sz w:val="16"/>
              </w:rPr>
              <w:t> </w:t>
            </w:r>
            <w:r>
              <w:rPr>
                <w:sz w:val="16"/>
              </w:rPr>
              <w:t>and</w:t>
            </w:r>
            <w:r>
              <w:rPr>
                <w:spacing w:val="-2"/>
                <w:sz w:val="16"/>
              </w:rPr>
              <w:t> materials</w:t>
            </w:r>
          </w:p>
        </w:tc>
        <w:tc>
          <w:tcPr>
            <w:tcW w:w="1218" w:type="dxa"/>
          </w:tcPr>
          <w:p>
            <w:pPr>
              <w:pStyle w:val="TableParagraph"/>
              <w:spacing w:before="7"/>
              <w:ind w:right="195"/>
              <w:rPr>
                <w:sz w:val="16"/>
              </w:rPr>
            </w:pPr>
            <w:r>
              <w:rPr>
                <w:spacing w:val="-5"/>
                <w:sz w:val="16"/>
              </w:rPr>
              <w:t>0.8</w:t>
            </w:r>
          </w:p>
        </w:tc>
        <w:tc>
          <w:tcPr>
            <w:tcW w:w="827" w:type="dxa"/>
          </w:tcPr>
          <w:p>
            <w:pPr>
              <w:pStyle w:val="TableParagraph"/>
              <w:spacing w:before="7"/>
              <w:ind w:right="107"/>
              <w:rPr>
                <w:sz w:val="16"/>
              </w:rPr>
            </w:pPr>
            <w:r>
              <w:rPr>
                <w:w w:val="98"/>
                <w:sz w:val="16"/>
              </w:rPr>
              <w:t>-</w:t>
            </w:r>
          </w:p>
        </w:tc>
        <w:tc>
          <w:tcPr>
            <w:tcW w:w="1133" w:type="dxa"/>
          </w:tcPr>
          <w:p>
            <w:pPr>
              <w:pStyle w:val="TableParagraph"/>
              <w:spacing w:before="7"/>
              <w:ind w:right="110"/>
              <w:rPr>
                <w:sz w:val="16"/>
              </w:rPr>
            </w:pPr>
            <w:r>
              <w:rPr>
                <w:spacing w:val="-5"/>
                <w:sz w:val="16"/>
              </w:rPr>
              <w:t>0.8</w:t>
            </w:r>
          </w:p>
        </w:tc>
        <w:tc>
          <w:tcPr>
            <w:tcW w:w="1078" w:type="dxa"/>
          </w:tcPr>
          <w:p>
            <w:pPr>
              <w:pStyle w:val="TableParagraph"/>
              <w:spacing w:before="7"/>
              <w:ind w:right="55"/>
              <w:rPr>
                <w:sz w:val="16"/>
              </w:rPr>
            </w:pPr>
            <w:r>
              <w:rPr>
                <w:spacing w:val="-5"/>
                <w:sz w:val="16"/>
              </w:rPr>
              <w:t>5.0</w:t>
            </w:r>
          </w:p>
        </w:tc>
        <w:tc>
          <w:tcPr>
            <w:tcW w:w="1122" w:type="dxa"/>
          </w:tcPr>
          <w:p>
            <w:pPr>
              <w:pStyle w:val="TableParagraph"/>
              <w:spacing w:before="7"/>
              <w:ind w:right="185"/>
              <w:rPr>
                <w:sz w:val="16"/>
              </w:rPr>
            </w:pPr>
            <w:r>
              <w:rPr>
                <w:w w:val="98"/>
                <w:sz w:val="16"/>
              </w:rPr>
              <w:t>-</w:t>
            </w:r>
          </w:p>
        </w:tc>
        <w:tc>
          <w:tcPr>
            <w:tcW w:w="753" w:type="dxa"/>
          </w:tcPr>
          <w:p>
            <w:pPr>
              <w:pStyle w:val="TableParagraph"/>
              <w:spacing w:before="7"/>
              <w:ind w:right="174"/>
              <w:rPr>
                <w:sz w:val="16"/>
              </w:rPr>
            </w:pPr>
            <w:r>
              <w:rPr>
                <w:w w:val="98"/>
                <w:sz w:val="16"/>
              </w:rPr>
              <w:t>-</w:t>
            </w:r>
          </w:p>
        </w:tc>
        <w:tc>
          <w:tcPr>
            <w:tcW w:w="1053" w:type="dxa"/>
          </w:tcPr>
          <w:p>
            <w:pPr>
              <w:pStyle w:val="TableParagraph"/>
              <w:spacing w:before="7"/>
              <w:ind w:right="106"/>
              <w:rPr>
                <w:sz w:val="16"/>
              </w:rPr>
            </w:pPr>
            <w:r>
              <w:rPr>
                <w:spacing w:val="-5"/>
                <w:sz w:val="16"/>
              </w:rPr>
              <w:t>5.0</w:t>
            </w:r>
          </w:p>
        </w:tc>
      </w:tr>
      <w:tr>
        <w:trPr>
          <w:trHeight w:val="223" w:hRule="atLeast"/>
        </w:trPr>
        <w:tc>
          <w:tcPr>
            <w:tcW w:w="2461" w:type="dxa"/>
            <w:tcBorders>
              <w:bottom w:val="single" w:sz="4" w:space="0" w:color="000000"/>
            </w:tcBorders>
          </w:tcPr>
          <w:p>
            <w:pPr>
              <w:pStyle w:val="TableParagraph"/>
              <w:spacing w:before="7"/>
              <w:ind w:left="117"/>
              <w:jc w:val="left"/>
              <w:rPr>
                <w:sz w:val="16"/>
              </w:rPr>
            </w:pPr>
            <w:r>
              <w:rPr>
                <w:sz w:val="16"/>
              </w:rPr>
              <w:t>Furniture</w:t>
            </w:r>
            <w:r>
              <w:rPr>
                <w:spacing w:val="-4"/>
                <w:sz w:val="16"/>
              </w:rPr>
              <w:t> </w:t>
            </w:r>
            <w:r>
              <w:rPr>
                <w:sz w:val="16"/>
              </w:rPr>
              <w:t>and</w:t>
            </w:r>
            <w:r>
              <w:rPr>
                <w:spacing w:val="-2"/>
                <w:sz w:val="16"/>
              </w:rPr>
              <w:t> equipment</w:t>
            </w:r>
          </w:p>
        </w:tc>
        <w:tc>
          <w:tcPr>
            <w:tcW w:w="1218" w:type="dxa"/>
            <w:tcBorders>
              <w:bottom w:val="single" w:sz="4" w:space="0" w:color="000000"/>
            </w:tcBorders>
          </w:tcPr>
          <w:p>
            <w:pPr>
              <w:pStyle w:val="TableParagraph"/>
              <w:spacing w:before="7"/>
              <w:ind w:right="193"/>
              <w:rPr>
                <w:sz w:val="16"/>
              </w:rPr>
            </w:pPr>
            <w:r>
              <w:rPr>
                <w:w w:val="98"/>
                <w:sz w:val="16"/>
              </w:rPr>
              <w:t>-</w:t>
            </w:r>
          </w:p>
        </w:tc>
        <w:tc>
          <w:tcPr>
            <w:tcW w:w="827" w:type="dxa"/>
            <w:tcBorders>
              <w:bottom w:val="single" w:sz="4" w:space="0" w:color="000000"/>
            </w:tcBorders>
          </w:tcPr>
          <w:p>
            <w:pPr>
              <w:pStyle w:val="TableParagraph"/>
              <w:spacing w:before="7"/>
              <w:ind w:right="107"/>
              <w:rPr>
                <w:sz w:val="16"/>
              </w:rPr>
            </w:pPr>
            <w:r>
              <w:rPr>
                <w:w w:val="98"/>
                <w:sz w:val="16"/>
              </w:rPr>
              <w:t>-</w:t>
            </w:r>
          </w:p>
        </w:tc>
        <w:tc>
          <w:tcPr>
            <w:tcW w:w="1133" w:type="dxa"/>
            <w:tcBorders>
              <w:bottom w:val="single" w:sz="4" w:space="0" w:color="000000"/>
            </w:tcBorders>
          </w:tcPr>
          <w:p>
            <w:pPr>
              <w:pStyle w:val="TableParagraph"/>
              <w:spacing w:before="7"/>
              <w:ind w:right="107"/>
              <w:rPr>
                <w:sz w:val="16"/>
              </w:rPr>
            </w:pPr>
            <w:r>
              <w:rPr>
                <w:w w:val="98"/>
                <w:sz w:val="16"/>
              </w:rPr>
              <w:t>-</w:t>
            </w:r>
          </w:p>
        </w:tc>
        <w:tc>
          <w:tcPr>
            <w:tcW w:w="1078" w:type="dxa"/>
            <w:tcBorders>
              <w:bottom w:val="single" w:sz="4" w:space="0" w:color="000000"/>
            </w:tcBorders>
          </w:tcPr>
          <w:p>
            <w:pPr>
              <w:pStyle w:val="TableParagraph"/>
              <w:spacing w:before="7"/>
              <w:ind w:right="52"/>
              <w:rPr>
                <w:sz w:val="16"/>
              </w:rPr>
            </w:pPr>
            <w:r>
              <w:rPr>
                <w:w w:val="98"/>
                <w:sz w:val="16"/>
              </w:rPr>
              <w:t>-</w:t>
            </w:r>
          </w:p>
        </w:tc>
        <w:tc>
          <w:tcPr>
            <w:tcW w:w="1122" w:type="dxa"/>
            <w:tcBorders>
              <w:bottom w:val="single" w:sz="4" w:space="0" w:color="000000"/>
            </w:tcBorders>
          </w:tcPr>
          <w:p>
            <w:pPr>
              <w:pStyle w:val="TableParagraph"/>
              <w:spacing w:before="7"/>
              <w:ind w:right="185"/>
              <w:rPr>
                <w:sz w:val="16"/>
              </w:rPr>
            </w:pPr>
            <w:r>
              <w:rPr>
                <w:w w:val="98"/>
                <w:sz w:val="16"/>
              </w:rPr>
              <w:t>-</w:t>
            </w:r>
          </w:p>
        </w:tc>
        <w:tc>
          <w:tcPr>
            <w:tcW w:w="753" w:type="dxa"/>
            <w:tcBorders>
              <w:bottom w:val="single" w:sz="4" w:space="0" w:color="000000"/>
            </w:tcBorders>
          </w:tcPr>
          <w:p>
            <w:pPr>
              <w:pStyle w:val="TableParagraph"/>
              <w:spacing w:before="7"/>
              <w:ind w:right="174"/>
              <w:rPr>
                <w:sz w:val="16"/>
              </w:rPr>
            </w:pPr>
            <w:r>
              <w:rPr>
                <w:w w:val="98"/>
                <w:sz w:val="16"/>
              </w:rPr>
              <w:t>-</w:t>
            </w:r>
          </w:p>
        </w:tc>
        <w:tc>
          <w:tcPr>
            <w:tcW w:w="1053" w:type="dxa"/>
            <w:tcBorders>
              <w:bottom w:val="single" w:sz="4" w:space="0" w:color="000000"/>
            </w:tcBorders>
          </w:tcPr>
          <w:p>
            <w:pPr>
              <w:pStyle w:val="TableParagraph"/>
              <w:spacing w:before="7"/>
              <w:ind w:right="103"/>
              <w:rPr>
                <w:sz w:val="16"/>
              </w:rPr>
            </w:pPr>
            <w:r>
              <w:rPr>
                <w:w w:val="98"/>
                <w:sz w:val="16"/>
              </w:rPr>
              <w:t>-</w:t>
            </w:r>
          </w:p>
        </w:tc>
      </w:tr>
      <w:tr>
        <w:trPr>
          <w:trHeight w:val="225" w:hRule="atLeast"/>
        </w:trPr>
        <w:tc>
          <w:tcPr>
            <w:tcW w:w="2461" w:type="dxa"/>
            <w:tcBorders>
              <w:top w:val="single" w:sz="4" w:space="0" w:color="000000"/>
              <w:bottom w:val="single" w:sz="4" w:space="0" w:color="000000"/>
            </w:tcBorders>
          </w:tcPr>
          <w:p>
            <w:pPr>
              <w:pStyle w:val="TableParagraph"/>
              <w:spacing w:before="14"/>
              <w:ind w:right="103"/>
              <w:rPr>
                <w:i/>
                <w:sz w:val="16"/>
              </w:rPr>
            </w:pPr>
            <w:r>
              <w:rPr>
                <w:i/>
                <w:w w:val="95"/>
                <w:sz w:val="16"/>
              </w:rPr>
              <w:t>Subtotal</w:t>
            </w:r>
            <w:r>
              <w:rPr>
                <w:i/>
                <w:spacing w:val="40"/>
                <w:sz w:val="16"/>
              </w:rPr>
              <w:t> </w:t>
            </w:r>
            <w:r>
              <w:rPr>
                <w:i/>
                <w:w w:val="95"/>
                <w:sz w:val="16"/>
              </w:rPr>
              <w:t>non-</w:t>
            </w:r>
            <w:r>
              <w:rPr>
                <w:i/>
                <w:spacing w:val="-4"/>
                <w:w w:val="95"/>
                <w:sz w:val="16"/>
              </w:rPr>
              <w:t>staff</w:t>
            </w:r>
          </w:p>
        </w:tc>
        <w:tc>
          <w:tcPr>
            <w:tcW w:w="1218" w:type="dxa"/>
            <w:tcBorders>
              <w:top w:val="single" w:sz="4" w:space="0" w:color="000000"/>
              <w:bottom w:val="single" w:sz="4" w:space="0" w:color="000000"/>
            </w:tcBorders>
          </w:tcPr>
          <w:p>
            <w:pPr>
              <w:pStyle w:val="TableParagraph"/>
              <w:spacing w:before="14"/>
              <w:ind w:right="191"/>
              <w:rPr>
                <w:i/>
                <w:sz w:val="16"/>
              </w:rPr>
            </w:pPr>
            <w:r>
              <w:rPr>
                <w:i/>
                <w:spacing w:val="-2"/>
                <w:sz w:val="16"/>
              </w:rPr>
              <w:t>746.2</w:t>
            </w:r>
          </w:p>
        </w:tc>
        <w:tc>
          <w:tcPr>
            <w:tcW w:w="827" w:type="dxa"/>
            <w:tcBorders>
              <w:top w:val="single" w:sz="4" w:space="0" w:color="000000"/>
              <w:bottom w:val="single" w:sz="4" w:space="0" w:color="000000"/>
            </w:tcBorders>
          </w:tcPr>
          <w:p>
            <w:pPr>
              <w:pStyle w:val="TableParagraph"/>
              <w:spacing w:before="14"/>
              <w:ind w:right="107"/>
              <w:rPr>
                <w:i/>
                <w:sz w:val="16"/>
              </w:rPr>
            </w:pPr>
            <w:r>
              <w:rPr>
                <w:i/>
                <w:w w:val="98"/>
                <w:sz w:val="16"/>
              </w:rPr>
              <w:t>-</w:t>
            </w:r>
          </w:p>
        </w:tc>
        <w:tc>
          <w:tcPr>
            <w:tcW w:w="1133" w:type="dxa"/>
            <w:tcBorders>
              <w:top w:val="single" w:sz="4" w:space="0" w:color="000000"/>
              <w:bottom w:val="single" w:sz="4" w:space="0" w:color="000000"/>
            </w:tcBorders>
          </w:tcPr>
          <w:p>
            <w:pPr>
              <w:pStyle w:val="TableParagraph"/>
              <w:spacing w:before="14"/>
              <w:ind w:right="106"/>
              <w:rPr>
                <w:i/>
                <w:sz w:val="16"/>
              </w:rPr>
            </w:pPr>
            <w:r>
              <w:rPr>
                <w:i/>
                <w:spacing w:val="-2"/>
                <w:sz w:val="16"/>
              </w:rPr>
              <w:t>746.2</w:t>
            </w:r>
          </w:p>
        </w:tc>
        <w:tc>
          <w:tcPr>
            <w:tcW w:w="1078" w:type="dxa"/>
            <w:tcBorders>
              <w:top w:val="single" w:sz="4" w:space="0" w:color="000000"/>
              <w:bottom w:val="single" w:sz="4" w:space="0" w:color="000000"/>
            </w:tcBorders>
          </w:tcPr>
          <w:p>
            <w:pPr>
              <w:pStyle w:val="TableParagraph"/>
              <w:spacing w:before="14"/>
              <w:ind w:right="50"/>
              <w:rPr>
                <w:i/>
                <w:sz w:val="16"/>
              </w:rPr>
            </w:pPr>
            <w:r>
              <w:rPr>
                <w:i/>
                <w:spacing w:val="-2"/>
                <w:sz w:val="16"/>
              </w:rPr>
              <w:t>690.5</w:t>
            </w:r>
          </w:p>
        </w:tc>
        <w:tc>
          <w:tcPr>
            <w:tcW w:w="1122" w:type="dxa"/>
            <w:tcBorders>
              <w:top w:val="single" w:sz="4" w:space="0" w:color="000000"/>
              <w:bottom w:val="single" w:sz="4" w:space="0" w:color="000000"/>
            </w:tcBorders>
          </w:tcPr>
          <w:p>
            <w:pPr>
              <w:pStyle w:val="TableParagraph"/>
              <w:spacing w:before="14"/>
              <w:ind w:right="181"/>
              <w:rPr>
                <w:i/>
                <w:sz w:val="16"/>
              </w:rPr>
            </w:pPr>
            <w:r>
              <w:rPr>
                <w:i/>
                <w:spacing w:val="-2"/>
                <w:sz w:val="16"/>
              </w:rPr>
              <w:t>(339.1)</w:t>
            </w:r>
          </w:p>
        </w:tc>
        <w:tc>
          <w:tcPr>
            <w:tcW w:w="753" w:type="dxa"/>
            <w:tcBorders>
              <w:top w:val="single" w:sz="4" w:space="0" w:color="000000"/>
              <w:bottom w:val="single" w:sz="4" w:space="0" w:color="000000"/>
            </w:tcBorders>
          </w:tcPr>
          <w:p>
            <w:pPr>
              <w:pStyle w:val="TableParagraph"/>
              <w:spacing w:before="14"/>
              <w:ind w:right="175"/>
              <w:rPr>
                <w:i/>
                <w:sz w:val="16"/>
              </w:rPr>
            </w:pPr>
            <w:r>
              <w:rPr>
                <w:i/>
                <w:spacing w:val="-2"/>
                <w:sz w:val="16"/>
              </w:rPr>
              <w:t>(49.1)</w:t>
            </w:r>
          </w:p>
        </w:tc>
        <w:tc>
          <w:tcPr>
            <w:tcW w:w="1053" w:type="dxa"/>
            <w:tcBorders>
              <w:top w:val="single" w:sz="4" w:space="0" w:color="000000"/>
              <w:bottom w:val="single" w:sz="4" w:space="0" w:color="000000"/>
            </w:tcBorders>
          </w:tcPr>
          <w:p>
            <w:pPr>
              <w:pStyle w:val="TableParagraph"/>
              <w:spacing w:before="14"/>
              <w:ind w:right="102"/>
              <w:rPr>
                <w:i/>
                <w:sz w:val="16"/>
              </w:rPr>
            </w:pPr>
            <w:r>
              <w:rPr>
                <w:i/>
                <w:spacing w:val="-2"/>
                <w:sz w:val="16"/>
              </w:rPr>
              <w:t>351.4</w:t>
            </w:r>
          </w:p>
        </w:tc>
      </w:tr>
      <w:tr>
        <w:trPr>
          <w:trHeight w:val="230" w:hRule="atLeast"/>
        </w:trPr>
        <w:tc>
          <w:tcPr>
            <w:tcW w:w="2461" w:type="dxa"/>
            <w:tcBorders>
              <w:top w:val="single" w:sz="4" w:space="0" w:color="000000"/>
              <w:bottom w:val="single" w:sz="12" w:space="0" w:color="000000"/>
            </w:tcBorders>
          </w:tcPr>
          <w:p>
            <w:pPr>
              <w:pStyle w:val="TableParagraph"/>
              <w:spacing w:before="14"/>
              <w:ind w:left="117"/>
              <w:jc w:val="left"/>
              <w:rPr>
                <w:b/>
                <w:sz w:val="16"/>
              </w:rPr>
            </w:pPr>
            <w:r>
              <w:rPr>
                <w:b/>
                <w:spacing w:val="-2"/>
                <w:sz w:val="16"/>
              </w:rPr>
              <w:t>Total</w:t>
            </w:r>
          </w:p>
        </w:tc>
        <w:tc>
          <w:tcPr>
            <w:tcW w:w="1218" w:type="dxa"/>
            <w:tcBorders>
              <w:top w:val="single" w:sz="4" w:space="0" w:color="000000"/>
              <w:bottom w:val="single" w:sz="12" w:space="0" w:color="000000"/>
            </w:tcBorders>
          </w:tcPr>
          <w:p>
            <w:pPr>
              <w:pStyle w:val="TableParagraph"/>
              <w:spacing w:before="14"/>
              <w:ind w:right="191"/>
              <w:rPr>
                <w:b/>
                <w:sz w:val="16"/>
              </w:rPr>
            </w:pPr>
            <w:r>
              <w:rPr>
                <w:b/>
                <w:spacing w:val="-2"/>
                <w:sz w:val="16"/>
              </w:rPr>
              <w:t>993.2</w:t>
            </w:r>
          </w:p>
        </w:tc>
        <w:tc>
          <w:tcPr>
            <w:tcW w:w="827" w:type="dxa"/>
            <w:tcBorders>
              <w:top w:val="single" w:sz="4" w:space="0" w:color="000000"/>
              <w:bottom w:val="single" w:sz="12" w:space="0" w:color="000000"/>
            </w:tcBorders>
          </w:tcPr>
          <w:p>
            <w:pPr>
              <w:pStyle w:val="TableParagraph"/>
              <w:spacing w:before="14"/>
              <w:ind w:right="107"/>
              <w:rPr>
                <w:b/>
                <w:sz w:val="16"/>
              </w:rPr>
            </w:pPr>
            <w:r>
              <w:rPr>
                <w:b/>
                <w:w w:val="98"/>
                <w:sz w:val="16"/>
              </w:rPr>
              <w:t>-</w:t>
            </w:r>
          </w:p>
        </w:tc>
        <w:tc>
          <w:tcPr>
            <w:tcW w:w="1133" w:type="dxa"/>
            <w:tcBorders>
              <w:top w:val="single" w:sz="4" w:space="0" w:color="000000"/>
              <w:bottom w:val="single" w:sz="12" w:space="0" w:color="000000"/>
            </w:tcBorders>
          </w:tcPr>
          <w:p>
            <w:pPr>
              <w:pStyle w:val="TableParagraph"/>
              <w:spacing w:before="14"/>
              <w:ind w:right="106"/>
              <w:rPr>
                <w:b/>
                <w:sz w:val="16"/>
              </w:rPr>
            </w:pPr>
            <w:r>
              <w:rPr>
                <w:b/>
                <w:spacing w:val="-2"/>
                <w:sz w:val="16"/>
              </w:rPr>
              <w:t>993.2</w:t>
            </w:r>
          </w:p>
        </w:tc>
        <w:tc>
          <w:tcPr>
            <w:tcW w:w="1078" w:type="dxa"/>
            <w:tcBorders>
              <w:top w:val="single" w:sz="4" w:space="0" w:color="000000"/>
              <w:bottom w:val="single" w:sz="12" w:space="0" w:color="000000"/>
            </w:tcBorders>
          </w:tcPr>
          <w:p>
            <w:pPr>
              <w:pStyle w:val="TableParagraph"/>
              <w:spacing w:before="14"/>
              <w:ind w:right="50"/>
              <w:rPr>
                <w:b/>
                <w:sz w:val="16"/>
              </w:rPr>
            </w:pPr>
            <w:r>
              <w:rPr>
                <w:b/>
                <w:spacing w:val="-2"/>
                <w:sz w:val="16"/>
              </w:rPr>
              <w:t>998.9</w:t>
            </w:r>
          </w:p>
        </w:tc>
        <w:tc>
          <w:tcPr>
            <w:tcW w:w="1122" w:type="dxa"/>
            <w:tcBorders>
              <w:top w:val="single" w:sz="4" w:space="0" w:color="000000"/>
              <w:bottom w:val="single" w:sz="12" w:space="0" w:color="000000"/>
            </w:tcBorders>
          </w:tcPr>
          <w:p>
            <w:pPr>
              <w:pStyle w:val="TableParagraph"/>
              <w:spacing w:before="14"/>
              <w:ind w:right="181"/>
              <w:rPr>
                <w:b/>
                <w:sz w:val="16"/>
              </w:rPr>
            </w:pPr>
            <w:r>
              <w:rPr>
                <w:b/>
                <w:spacing w:val="-2"/>
                <w:sz w:val="16"/>
              </w:rPr>
              <w:t>(200.4)</w:t>
            </w:r>
          </w:p>
        </w:tc>
        <w:tc>
          <w:tcPr>
            <w:tcW w:w="753" w:type="dxa"/>
            <w:tcBorders>
              <w:top w:val="single" w:sz="4" w:space="0" w:color="000000"/>
              <w:bottom w:val="single" w:sz="12" w:space="0" w:color="000000"/>
            </w:tcBorders>
          </w:tcPr>
          <w:p>
            <w:pPr>
              <w:pStyle w:val="TableParagraph"/>
              <w:spacing w:before="14"/>
              <w:ind w:right="175"/>
              <w:rPr>
                <w:b/>
                <w:sz w:val="16"/>
              </w:rPr>
            </w:pPr>
            <w:r>
              <w:rPr>
                <w:b/>
                <w:spacing w:val="-2"/>
                <w:sz w:val="16"/>
              </w:rPr>
              <w:t>(20.1)</w:t>
            </w:r>
          </w:p>
        </w:tc>
        <w:tc>
          <w:tcPr>
            <w:tcW w:w="1053" w:type="dxa"/>
            <w:tcBorders>
              <w:top w:val="single" w:sz="4" w:space="0" w:color="000000"/>
              <w:bottom w:val="single" w:sz="12" w:space="0" w:color="000000"/>
            </w:tcBorders>
          </w:tcPr>
          <w:p>
            <w:pPr>
              <w:pStyle w:val="TableParagraph"/>
              <w:spacing w:before="14"/>
              <w:ind w:right="102"/>
              <w:rPr>
                <w:b/>
                <w:sz w:val="16"/>
              </w:rPr>
            </w:pPr>
            <w:r>
              <w:rPr>
                <w:b/>
                <w:spacing w:val="-2"/>
                <w:sz w:val="16"/>
              </w:rPr>
              <w:t>798.5</w:t>
            </w:r>
          </w:p>
        </w:tc>
      </w:tr>
    </w:tbl>
    <w:p>
      <w:pPr>
        <w:pStyle w:val="BodyText"/>
        <w:spacing w:before="8"/>
        <w:rPr>
          <w:b/>
          <w:sz w:val="21"/>
        </w:rPr>
      </w:pPr>
    </w:p>
    <w:p>
      <w:pPr>
        <w:spacing w:before="0"/>
        <w:ind w:left="2246" w:right="0" w:firstLine="0"/>
        <w:jc w:val="left"/>
        <w:rPr>
          <w:b/>
          <w:sz w:val="20"/>
        </w:rPr>
      </w:pPr>
      <w:r>
        <w:rPr>
          <w:b/>
          <w:sz w:val="20"/>
        </w:rPr>
        <w:t>Table</w:t>
      </w:r>
      <w:r>
        <w:rPr>
          <w:b/>
          <w:spacing w:val="-6"/>
          <w:sz w:val="20"/>
        </w:rPr>
        <w:t> </w:t>
      </w:r>
      <w:r>
        <w:rPr>
          <w:b/>
          <w:sz w:val="20"/>
        </w:rPr>
        <w:t>35:</w:t>
      </w:r>
      <w:r>
        <w:rPr>
          <w:b/>
          <w:spacing w:val="-7"/>
          <w:sz w:val="20"/>
        </w:rPr>
        <w:t> </w:t>
      </w:r>
      <w:r>
        <w:rPr>
          <w:b/>
          <w:sz w:val="20"/>
        </w:rPr>
        <w:t>Programme</w:t>
      </w:r>
      <w:r>
        <w:rPr>
          <w:b/>
          <w:spacing w:val="-6"/>
          <w:sz w:val="20"/>
        </w:rPr>
        <w:t> </w:t>
      </w:r>
      <w:r>
        <w:rPr>
          <w:b/>
          <w:sz w:val="20"/>
        </w:rPr>
        <w:t>4100:</w:t>
      </w:r>
      <w:r>
        <w:rPr>
          <w:b/>
          <w:spacing w:val="-7"/>
          <w:sz w:val="20"/>
        </w:rPr>
        <w:t> </w:t>
      </w:r>
      <w:r>
        <w:rPr>
          <w:b/>
          <w:sz w:val="20"/>
        </w:rPr>
        <w:t>Proposed</w:t>
      </w:r>
      <w:r>
        <w:rPr>
          <w:b/>
          <w:spacing w:val="-8"/>
          <w:sz w:val="20"/>
        </w:rPr>
        <w:t> </w:t>
      </w:r>
      <w:r>
        <w:rPr>
          <w:b/>
          <w:sz w:val="20"/>
        </w:rPr>
        <w:t>staffing</w:t>
      </w:r>
      <w:r>
        <w:rPr>
          <w:b/>
          <w:spacing w:val="-3"/>
          <w:sz w:val="20"/>
        </w:rPr>
        <w:t> </w:t>
      </w:r>
      <w:r>
        <w:rPr>
          <w:b/>
          <w:sz w:val="20"/>
        </w:rPr>
        <w:t>for</w:t>
      </w:r>
      <w:r>
        <w:rPr>
          <w:b/>
          <w:spacing w:val="-5"/>
          <w:sz w:val="20"/>
        </w:rPr>
        <w:t> </w:t>
      </w:r>
      <w:r>
        <w:rPr>
          <w:b/>
          <w:spacing w:val="-4"/>
          <w:sz w:val="20"/>
        </w:rPr>
        <w:t>2023</w:t>
      </w:r>
    </w:p>
    <w:tbl>
      <w:tblPr>
        <w:tblW w:w="0" w:type="auto"/>
        <w:jc w:val="left"/>
        <w:tblInd w:w="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6"/>
        <w:gridCol w:w="678"/>
        <w:gridCol w:w="607"/>
        <w:gridCol w:w="563"/>
        <w:gridCol w:w="557"/>
        <w:gridCol w:w="583"/>
        <w:gridCol w:w="545"/>
        <w:gridCol w:w="737"/>
        <w:gridCol w:w="641"/>
        <w:gridCol w:w="491"/>
        <w:gridCol w:w="792"/>
        <w:gridCol w:w="568"/>
        <w:gridCol w:w="577"/>
        <w:gridCol w:w="563"/>
        <w:gridCol w:w="811"/>
        <w:gridCol w:w="524"/>
      </w:tblGrid>
      <w:tr>
        <w:trPr>
          <w:trHeight w:val="484" w:hRule="atLeast"/>
        </w:trPr>
        <w:tc>
          <w:tcPr>
            <w:tcW w:w="1186"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left="67"/>
              <w:jc w:val="left"/>
              <w:rPr>
                <w:sz w:val="14"/>
              </w:rPr>
            </w:pPr>
            <w:r>
              <w:rPr>
                <w:spacing w:val="-4"/>
                <w:sz w:val="14"/>
              </w:rPr>
              <w:t>4100</w:t>
            </w:r>
          </w:p>
        </w:tc>
        <w:tc>
          <w:tcPr>
            <w:tcW w:w="678"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152"/>
              <w:rPr>
                <w:sz w:val="14"/>
              </w:rPr>
            </w:pPr>
            <w:r>
              <w:rPr>
                <w:spacing w:val="-5"/>
                <w:sz w:val="14"/>
              </w:rPr>
              <w:t>USG</w:t>
            </w:r>
          </w:p>
        </w:tc>
        <w:tc>
          <w:tcPr>
            <w:tcW w:w="607"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169"/>
              <w:rPr>
                <w:sz w:val="14"/>
              </w:rPr>
            </w:pPr>
            <w:r>
              <w:rPr>
                <w:spacing w:val="-5"/>
                <w:sz w:val="14"/>
              </w:rPr>
              <w:t>ASG</w:t>
            </w:r>
          </w:p>
        </w:tc>
        <w:tc>
          <w:tcPr>
            <w:tcW w:w="563"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167"/>
              <w:rPr>
                <w:sz w:val="14"/>
              </w:rPr>
            </w:pPr>
            <w:r>
              <w:rPr>
                <w:w w:val="95"/>
                <w:sz w:val="14"/>
              </w:rPr>
              <w:t>D-</w:t>
            </w:r>
            <w:r>
              <w:rPr>
                <w:spacing w:val="-10"/>
                <w:sz w:val="14"/>
              </w:rPr>
              <w:t>2</w:t>
            </w:r>
          </w:p>
        </w:tc>
        <w:tc>
          <w:tcPr>
            <w:tcW w:w="557"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163"/>
              <w:rPr>
                <w:sz w:val="14"/>
              </w:rPr>
            </w:pPr>
            <w:r>
              <w:rPr>
                <w:w w:val="95"/>
                <w:sz w:val="14"/>
              </w:rPr>
              <w:t>D-</w:t>
            </w:r>
            <w:r>
              <w:rPr>
                <w:spacing w:val="-10"/>
                <w:sz w:val="14"/>
              </w:rPr>
              <w:t>1</w:t>
            </w:r>
          </w:p>
        </w:tc>
        <w:tc>
          <w:tcPr>
            <w:tcW w:w="583"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left="157" w:right="112"/>
              <w:jc w:val="center"/>
              <w:rPr>
                <w:sz w:val="14"/>
              </w:rPr>
            </w:pPr>
            <w:r>
              <w:rPr>
                <w:w w:val="95"/>
                <w:sz w:val="14"/>
              </w:rPr>
              <w:t>P-</w:t>
            </w:r>
            <w:r>
              <w:rPr>
                <w:spacing w:val="-10"/>
                <w:sz w:val="14"/>
              </w:rPr>
              <w:t>5</w:t>
            </w:r>
          </w:p>
        </w:tc>
        <w:tc>
          <w:tcPr>
            <w:tcW w:w="545"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129"/>
              <w:rPr>
                <w:sz w:val="14"/>
              </w:rPr>
            </w:pPr>
            <w:r>
              <w:rPr>
                <w:w w:val="95"/>
                <w:sz w:val="14"/>
              </w:rPr>
              <w:t>P-</w:t>
            </w:r>
            <w:r>
              <w:rPr>
                <w:spacing w:val="-10"/>
                <w:sz w:val="14"/>
              </w:rPr>
              <w:t>4</w:t>
            </w:r>
          </w:p>
        </w:tc>
        <w:tc>
          <w:tcPr>
            <w:tcW w:w="737"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270"/>
              <w:rPr>
                <w:sz w:val="14"/>
              </w:rPr>
            </w:pPr>
            <w:r>
              <w:rPr>
                <w:w w:val="95"/>
                <w:sz w:val="14"/>
              </w:rPr>
              <w:t>P-</w:t>
            </w:r>
            <w:r>
              <w:rPr>
                <w:spacing w:val="-10"/>
                <w:sz w:val="14"/>
              </w:rPr>
              <w:t>3</w:t>
            </w:r>
          </w:p>
        </w:tc>
        <w:tc>
          <w:tcPr>
            <w:tcW w:w="641"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171"/>
              <w:rPr>
                <w:sz w:val="14"/>
              </w:rPr>
            </w:pPr>
            <w:r>
              <w:rPr>
                <w:w w:val="95"/>
                <w:sz w:val="14"/>
              </w:rPr>
              <w:t>P-</w:t>
            </w:r>
            <w:r>
              <w:rPr>
                <w:spacing w:val="-10"/>
                <w:sz w:val="14"/>
              </w:rPr>
              <w:t>2</w:t>
            </w:r>
          </w:p>
        </w:tc>
        <w:tc>
          <w:tcPr>
            <w:tcW w:w="491"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67"/>
              <w:rPr>
                <w:sz w:val="14"/>
              </w:rPr>
            </w:pPr>
            <w:r>
              <w:rPr>
                <w:w w:val="95"/>
                <w:sz w:val="14"/>
              </w:rPr>
              <w:t>P-</w:t>
            </w:r>
            <w:r>
              <w:rPr>
                <w:spacing w:val="-10"/>
                <w:sz w:val="14"/>
              </w:rPr>
              <w:t>1</w:t>
            </w:r>
          </w:p>
        </w:tc>
        <w:tc>
          <w:tcPr>
            <w:tcW w:w="792" w:type="dxa"/>
            <w:tcBorders>
              <w:top w:val="single" w:sz="4" w:space="0" w:color="000000"/>
              <w:bottom w:val="single" w:sz="4" w:space="0" w:color="000000"/>
            </w:tcBorders>
          </w:tcPr>
          <w:p>
            <w:pPr>
              <w:pStyle w:val="TableParagraph"/>
              <w:spacing w:line="150" w:lineRule="exact"/>
              <w:ind w:left="370"/>
              <w:jc w:val="left"/>
              <w:rPr>
                <w:i/>
                <w:sz w:val="14"/>
              </w:rPr>
            </w:pPr>
            <w:r>
              <w:rPr>
                <w:i/>
                <w:spacing w:val="-2"/>
                <w:sz w:val="14"/>
              </w:rPr>
              <w:t>Total</w:t>
            </w:r>
          </w:p>
          <w:p>
            <w:pPr>
              <w:pStyle w:val="TableParagraph"/>
              <w:spacing w:line="160" w:lineRule="atLeast"/>
              <w:ind w:left="71" w:right="115" w:firstLine="201"/>
              <w:jc w:val="left"/>
              <w:rPr>
                <w:i/>
                <w:sz w:val="14"/>
              </w:rPr>
            </w:pPr>
            <w:r>
              <w:rPr>
                <w:i/>
                <w:spacing w:val="-2"/>
                <w:sz w:val="14"/>
              </w:rPr>
              <w:t>P-Staff</w:t>
            </w:r>
            <w:r>
              <w:rPr>
                <w:i/>
                <w:spacing w:val="40"/>
                <w:sz w:val="14"/>
              </w:rPr>
              <w:t> </w:t>
            </w:r>
            <w:r>
              <w:rPr>
                <w:i/>
                <w:sz w:val="14"/>
              </w:rPr>
              <w:t>and</w:t>
            </w:r>
            <w:r>
              <w:rPr>
                <w:i/>
                <w:spacing w:val="1"/>
                <w:sz w:val="14"/>
              </w:rPr>
              <w:t> </w:t>
            </w:r>
            <w:r>
              <w:rPr>
                <w:i/>
                <w:spacing w:val="-2"/>
                <w:sz w:val="14"/>
              </w:rPr>
              <w:t>Above</w:t>
            </w:r>
          </w:p>
        </w:tc>
        <w:tc>
          <w:tcPr>
            <w:tcW w:w="568"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93"/>
              <w:rPr>
                <w:sz w:val="14"/>
              </w:rPr>
            </w:pPr>
            <w:r>
              <w:rPr>
                <w:w w:val="95"/>
                <w:sz w:val="14"/>
              </w:rPr>
              <w:t>NO-</w:t>
            </w:r>
            <w:r>
              <w:rPr>
                <w:spacing w:val="-10"/>
                <w:sz w:val="14"/>
              </w:rPr>
              <w:t>C</w:t>
            </w:r>
          </w:p>
        </w:tc>
        <w:tc>
          <w:tcPr>
            <w:tcW w:w="577"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83"/>
              <w:rPr>
                <w:sz w:val="14"/>
              </w:rPr>
            </w:pPr>
            <w:r>
              <w:rPr>
                <w:w w:val="95"/>
                <w:sz w:val="14"/>
              </w:rPr>
              <w:t>GS-</w:t>
            </w:r>
            <w:r>
              <w:rPr>
                <w:spacing w:val="-5"/>
                <w:sz w:val="14"/>
              </w:rPr>
              <w:t>PL</w:t>
            </w:r>
          </w:p>
        </w:tc>
        <w:tc>
          <w:tcPr>
            <w:tcW w:w="563"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54"/>
              <w:rPr>
                <w:sz w:val="14"/>
              </w:rPr>
            </w:pPr>
            <w:r>
              <w:rPr>
                <w:w w:val="95"/>
                <w:sz w:val="14"/>
              </w:rPr>
              <w:t>GS-</w:t>
            </w:r>
            <w:r>
              <w:rPr>
                <w:spacing w:val="-5"/>
                <w:sz w:val="14"/>
              </w:rPr>
              <w:t>OL</w:t>
            </w:r>
          </w:p>
        </w:tc>
        <w:tc>
          <w:tcPr>
            <w:tcW w:w="811" w:type="dxa"/>
            <w:tcBorders>
              <w:top w:val="single" w:sz="4" w:space="0" w:color="000000"/>
              <w:bottom w:val="single" w:sz="4" w:space="0" w:color="000000"/>
            </w:tcBorders>
          </w:tcPr>
          <w:p>
            <w:pPr>
              <w:pStyle w:val="TableParagraph"/>
              <w:spacing w:line="150" w:lineRule="exact"/>
              <w:ind w:left="386"/>
              <w:jc w:val="left"/>
              <w:rPr>
                <w:i/>
                <w:sz w:val="14"/>
              </w:rPr>
            </w:pPr>
            <w:r>
              <w:rPr>
                <w:i/>
                <w:spacing w:val="-2"/>
                <w:sz w:val="14"/>
              </w:rPr>
              <w:t>Total</w:t>
            </w:r>
          </w:p>
          <w:p>
            <w:pPr>
              <w:pStyle w:val="TableParagraph"/>
              <w:spacing w:line="160" w:lineRule="atLeast"/>
              <w:ind w:left="64" w:right="122" w:firstLine="197"/>
              <w:jc w:val="left"/>
              <w:rPr>
                <w:i/>
                <w:sz w:val="14"/>
              </w:rPr>
            </w:pPr>
            <w:r>
              <w:rPr>
                <w:i/>
                <w:sz w:val="14"/>
              </w:rPr>
              <w:t>GS</w:t>
            </w:r>
            <w:r>
              <w:rPr>
                <w:i/>
                <w:spacing w:val="-9"/>
                <w:sz w:val="14"/>
              </w:rPr>
              <w:t> </w:t>
            </w:r>
            <w:r>
              <w:rPr>
                <w:i/>
                <w:sz w:val="14"/>
              </w:rPr>
              <w:t>and</w:t>
            </w:r>
            <w:r>
              <w:rPr>
                <w:i/>
                <w:spacing w:val="40"/>
                <w:sz w:val="14"/>
              </w:rPr>
              <w:t> </w:t>
            </w:r>
            <w:r>
              <w:rPr>
                <w:i/>
                <w:sz w:val="14"/>
              </w:rPr>
              <w:t>Other</w:t>
            </w:r>
            <w:r>
              <w:rPr>
                <w:i/>
                <w:spacing w:val="-5"/>
                <w:sz w:val="14"/>
              </w:rPr>
              <w:t> </w:t>
            </w:r>
            <w:r>
              <w:rPr>
                <w:i/>
                <w:spacing w:val="-2"/>
                <w:sz w:val="14"/>
              </w:rPr>
              <w:t>Staff</w:t>
            </w:r>
          </w:p>
        </w:tc>
        <w:tc>
          <w:tcPr>
            <w:tcW w:w="524" w:type="dxa"/>
            <w:tcBorders>
              <w:top w:val="single" w:sz="4" w:space="0" w:color="000000"/>
              <w:bottom w:val="single" w:sz="4" w:space="0" w:color="000000"/>
            </w:tcBorders>
          </w:tcPr>
          <w:p>
            <w:pPr>
              <w:pStyle w:val="TableParagraph"/>
              <w:spacing w:before="4"/>
              <w:jc w:val="left"/>
              <w:rPr>
                <w:b/>
                <w:sz w:val="12"/>
              </w:rPr>
            </w:pPr>
          </w:p>
          <w:p>
            <w:pPr>
              <w:pStyle w:val="TableParagraph"/>
              <w:spacing w:line="160" w:lineRule="atLeast"/>
              <w:ind w:left="184" w:hanging="34"/>
              <w:jc w:val="left"/>
              <w:rPr>
                <w:b/>
                <w:sz w:val="14"/>
              </w:rPr>
            </w:pPr>
            <w:r>
              <w:rPr>
                <w:b/>
                <w:spacing w:val="-4"/>
                <w:sz w:val="14"/>
              </w:rPr>
              <w:t>Total</w:t>
            </w:r>
            <w:r>
              <w:rPr>
                <w:b/>
                <w:spacing w:val="40"/>
                <w:sz w:val="14"/>
              </w:rPr>
              <w:t> </w:t>
            </w:r>
            <w:r>
              <w:rPr>
                <w:b/>
                <w:spacing w:val="-4"/>
                <w:sz w:val="14"/>
              </w:rPr>
              <w:t>Staff</w:t>
            </w:r>
          </w:p>
        </w:tc>
      </w:tr>
      <w:tr>
        <w:trPr>
          <w:trHeight w:val="228" w:hRule="atLeast"/>
        </w:trPr>
        <w:tc>
          <w:tcPr>
            <w:tcW w:w="1186" w:type="dxa"/>
            <w:tcBorders>
              <w:top w:val="single" w:sz="4" w:space="0" w:color="000000"/>
            </w:tcBorders>
          </w:tcPr>
          <w:p>
            <w:pPr>
              <w:pStyle w:val="TableParagraph"/>
              <w:spacing w:before="22"/>
              <w:ind w:left="67"/>
              <w:jc w:val="left"/>
              <w:rPr>
                <w:b/>
                <w:sz w:val="14"/>
              </w:rPr>
            </w:pPr>
            <w:r>
              <w:rPr>
                <w:b/>
                <w:spacing w:val="-2"/>
                <w:sz w:val="14"/>
              </w:rPr>
              <w:t>Established</w:t>
            </w:r>
            <w:r>
              <w:rPr>
                <w:b/>
                <w:spacing w:val="11"/>
                <w:sz w:val="14"/>
              </w:rPr>
              <w:t> </w:t>
            </w:r>
            <w:r>
              <w:rPr>
                <w:b/>
                <w:spacing w:val="-2"/>
                <w:sz w:val="14"/>
              </w:rPr>
              <w:t>Posts</w:t>
            </w:r>
          </w:p>
        </w:tc>
        <w:tc>
          <w:tcPr>
            <w:tcW w:w="678" w:type="dxa"/>
            <w:tcBorders>
              <w:top w:val="single" w:sz="4" w:space="0" w:color="000000"/>
            </w:tcBorders>
          </w:tcPr>
          <w:p>
            <w:pPr>
              <w:pStyle w:val="TableParagraph"/>
              <w:jc w:val="left"/>
              <w:rPr>
                <w:sz w:val="14"/>
              </w:rPr>
            </w:pPr>
          </w:p>
        </w:tc>
        <w:tc>
          <w:tcPr>
            <w:tcW w:w="607" w:type="dxa"/>
            <w:tcBorders>
              <w:top w:val="single" w:sz="4" w:space="0" w:color="000000"/>
            </w:tcBorders>
          </w:tcPr>
          <w:p>
            <w:pPr>
              <w:pStyle w:val="TableParagraph"/>
              <w:jc w:val="left"/>
              <w:rPr>
                <w:sz w:val="14"/>
              </w:rPr>
            </w:pPr>
          </w:p>
        </w:tc>
        <w:tc>
          <w:tcPr>
            <w:tcW w:w="563" w:type="dxa"/>
            <w:tcBorders>
              <w:top w:val="single" w:sz="4" w:space="0" w:color="000000"/>
            </w:tcBorders>
          </w:tcPr>
          <w:p>
            <w:pPr>
              <w:pStyle w:val="TableParagraph"/>
              <w:jc w:val="left"/>
              <w:rPr>
                <w:sz w:val="14"/>
              </w:rPr>
            </w:pPr>
          </w:p>
        </w:tc>
        <w:tc>
          <w:tcPr>
            <w:tcW w:w="557" w:type="dxa"/>
            <w:tcBorders>
              <w:top w:val="single" w:sz="4" w:space="0" w:color="000000"/>
            </w:tcBorders>
          </w:tcPr>
          <w:p>
            <w:pPr>
              <w:pStyle w:val="TableParagraph"/>
              <w:jc w:val="left"/>
              <w:rPr>
                <w:sz w:val="14"/>
              </w:rPr>
            </w:pPr>
          </w:p>
        </w:tc>
        <w:tc>
          <w:tcPr>
            <w:tcW w:w="583" w:type="dxa"/>
            <w:tcBorders>
              <w:top w:val="single" w:sz="4" w:space="0" w:color="000000"/>
            </w:tcBorders>
          </w:tcPr>
          <w:p>
            <w:pPr>
              <w:pStyle w:val="TableParagraph"/>
              <w:jc w:val="left"/>
              <w:rPr>
                <w:sz w:val="14"/>
              </w:rPr>
            </w:pPr>
          </w:p>
        </w:tc>
        <w:tc>
          <w:tcPr>
            <w:tcW w:w="545" w:type="dxa"/>
            <w:tcBorders>
              <w:top w:val="single" w:sz="4" w:space="0" w:color="000000"/>
            </w:tcBorders>
          </w:tcPr>
          <w:p>
            <w:pPr>
              <w:pStyle w:val="TableParagraph"/>
              <w:jc w:val="left"/>
              <w:rPr>
                <w:sz w:val="14"/>
              </w:rPr>
            </w:pPr>
          </w:p>
        </w:tc>
        <w:tc>
          <w:tcPr>
            <w:tcW w:w="737" w:type="dxa"/>
            <w:tcBorders>
              <w:top w:val="single" w:sz="4" w:space="0" w:color="000000"/>
            </w:tcBorders>
          </w:tcPr>
          <w:p>
            <w:pPr>
              <w:pStyle w:val="TableParagraph"/>
              <w:jc w:val="left"/>
              <w:rPr>
                <w:sz w:val="14"/>
              </w:rPr>
            </w:pPr>
          </w:p>
        </w:tc>
        <w:tc>
          <w:tcPr>
            <w:tcW w:w="641" w:type="dxa"/>
            <w:tcBorders>
              <w:top w:val="single" w:sz="4" w:space="0" w:color="000000"/>
            </w:tcBorders>
          </w:tcPr>
          <w:p>
            <w:pPr>
              <w:pStyle w:val="TableParagraph"/>
              <w:jc w:val="left"/>
              <w:rPr>
                <w:sz w:val="14"/>
              </w:rPr>
            </w:pPr>
          </w:p>
        </w:tc>
        <w:tc>
          <w:tcPr>
            <w:tcW w:w="491" w:type="dxa"/>
            <w:tcBorders>
              <w:top w:val="single" w:sz="4" w:space="0" w:color="000000"/>
            </w:tcBorders>
          </w:tcPr>
          <w:p>
            <w:pPr>
              <w:pStyle w:val="TableParagraph"/>
              <w:jc w:val="left"/>
              <w:rPr>
                <w:sz w:val="14"/>
              </w:rPr>
            </w:pPr>
          </w:p>
        </w:tc>
        <w:tc>
          <w:tcPr>
            <w:tcW w:w="792" w:type="dxa"/>
            <w:tcBorders>
              <w:top w:val="single" w:sz="4" w:space="0" w:color="000000"/>
            </w:tcBorders>
          </w:tcPr>
          <w:p>
            <w:pPr>
              <w:pStyle w:val="TableParagraph"/>
              <w:jc w:val="left"/>
              <w:rPr>
                <w:sz w:val="14"/>
              </w:rPr>
            </w:pPr>
          </w:p>
        </w:tc>
        <w:tc>
          <w:tcPr>
            <w:tcW w:w="568" w:type="dxa"/>
            <w:tcBorders>
              <w:top w:val="single" w:sz="4" w:space="0" w:color="000000"/>
            </w:tcBorders>
          </w:tcPr>
          <w:p>
            <w:pPr>
              <w:pStyle w:val="TableParagraph"/>
              <w:jc w:val="left"/>
              <w:rPr>
                <w:sz w:val="14"/>
              </w:rPr>
            </w:pPr>
          </w:p>
        </w:tc>
        <w:tc>
          <w:tcPr>
            <w:tcW w:w="577" w:type="dxa"/>
            <w:tcBorders>
              <w:top w:val="single" w:sz="4" w:space="0" w:color="000000"/>
            </w:tcBorders>
          </w:tcPr>
          <w:p>
            <w:pPr>
              <w:pStyle w:val="TableParagraph"/>
              <w:jc w:val="left"/>
              <w:rPr>
                <w:sz w:val="14"/>
              </w:rPr>
            </w:pPr>
          </w:p>
        </w:tc>
        <w:tc>
          <w:tcPr>
            <w:tcW w:w="563" w:type="dxa"/>
            <w:tcBorders>
              <w:top w:val="single" w:sz="4" w:space="0" w:color="000000"/>
            </w:tcBorders>
          </w:tcPr>
          <w:p>
            <w:pPr>
              <w:pStyle w:val="TableParagraph"/>
              <w:jc w:val="left"/>
              <w:rPr>
                <w:sz w:val="14"/>
              </w:rPr>
            </w:pPr>
          </w:p>
        </w:tc>
        <w:tc>
          <w:tcPr>
            <w:tcW w:w="811" w:type="dxa"/>
            <w:tcBorders>
              <w:top w:val="single" w:sz="4" w:space="0" w:color="000000"/>
            </w:tcBorders>
          </w:tcPr>
          <w:p>
            <w:pPr>
              <w:pStyle w:val="TableParagraph"/>
              <w:jc w:val="left"/>
              <w:rPr>
                <w:sz w:val="14"/>
              </w:rPr>
            </w:pPr>
          </w:p>
        </w:tc>
        <w:tc>
          <w:tcPr>
            <w:tcW w:w="524" w:type="dxa"/>
            <w:tcBorders>
              <w:top w:val="single" w:sz="4" w:space="0" w:color="000000"/>
            </w:tcBorders>
          </w:tcPr>
          <w:p>
            <w:pPr>
              <w:pStyle w:val="TableParagraph"/>
              <w:jc w:val="left"/>
              <w:rPr>
                <w:sz w:val="14"/>
              </w:rPr>
            </w:pPr>
          </w:p>
        </w:tc>
      </w:tr>
      <w:tr>
        <w:trPr>
          <w:trHeight w:val="221" w:hRule="atLeast"/>
        </w:trPr>
        <w:tc>
          <w:tcPr>
            <w:tcW w:w="1186" w:type="dxa"/>
            <w:tcBorders>
              <w:bottom w:val="single" w:sz="12" w:space="0" w:color="000000"/>
            </w:tcBorders>
          </w:tcPr>
          <w:p>
            <w:pPr>
              <w:pStyle w:val="TableParagraph"/>
              <w:spacing w:before="19"/>
              <w:ind w:left="67"/>
              <w:jc w:val="left"/>
              <w:rPr>
                <w:sz w:val="14"/>
              </w:rPr>
            </w:pPr>
            <w:r>
              <w:rPr>
                <w:w w:val="95"/>
                <w:sz w:val="14"/>
              </w:rPr>
              <w:t>Approved</w:t>
            </w:r>
            <w:r>
              <w:rPr>
                <w:spacing w:val="22"/>
                <w:sz w:val="14"/>
              </w:rPr>
              <w:t> </w:t>
            </w:r>
            <w:r>
              <w:rPr>
                <w:spacing w:val="-4"/>
                <w:sz w:val="14"/>
              </w:rPr>
              <w:t>2022</w:t>
            </w:r>
          </w:p>
        </w:tc>
        <w:tc>
          <w:tcPr>
            <w:tcW w:w="678" w:type="dxa"/>
            <w:tcBorders>
              <w:bottom w:val="single" w:sz="12" w:space="0" w:color="000000"/>
            </w:tcBorders>
          </w:tcPr>
          <w:p>
            <w:pPr>
              <w:pStyle w:val="TableParagraph"/>
              <w:spacing w:before="19"/>
              <w:ind w:right="154"/>
              <w:rPr>
                <w:sz w:val="14"/>
              </w:rPr>
            </w:pPr>
            <w:r>
              <w:rPr>
                <w:w w:val="99"/>
                <w:sz w:val="14"/>
              </w:rPr>
              <w:t>-</w:t>
            </w:r>
          </w:p>
        </w:tc>
        <w:tc>
          <w:tcPr>
            <w:tcW w:w="607" w:type="dxa"/>
            <w:tcBorders>
              <w:bottom w:val="single" w:sz="12" w:space="0" w:color="000000"/>
            </w:tcBorders>
          </w:tcPr>
          <w:p>
            <w:pPr>
              <w:pStyle w:val="TableParagraph"/>
              <w:spacing w:before="19"/>
              <w:ind w:right="170"/>
              <w:rPr>
                <w:sz w:val="14"/>
              </w:rPr>
            </w:pPr>
            <w:r>
              <w:rPr>
                <w:w w:val="99"/>
                <w:sz w:val="14"/>
              </w:rPr>
              <w:t>-</w:t>
            </w:r>
          </w:p>
        </w:tc>
        <w:tc>
          <w:tcPr>
            <w:tcW w:w="563" w:type="dxa"/>
            <w:tcBorders>
              <w:bottom w:val="single" w:sz="12" w:space="0" w:color="000000"/>
            </w:tcBorders>
          </w:tcPr>
          <w:p>
            <w:pPr>
              <w:pStyle w:val="TableParagraph"/>
              <w:spacing w:before="19"/>
              <w:ind w:right="171"/>
              <w:rPr>
                <w:sz w:val="14"/>
              </w:rPr>
            </w:pPr>
            <w:r>
              <w:rPr>
                <w:w w:val="99"/>
                <w:sz w:val="14"/>
              </w:rPr>
              <w:t>-</w:t>
            </w:r>
          </w:p>
        </w:tc>
        <w:tc>
          <w:tcPr>
            <w:tcW w:w="557" w:type="dxa"/>
            <w:tcBorders>
              <w:bottom w:val="single" w:sz="12" w:space="0" w:color="000000"/>
            </w:tcBorders>
          </w:tcPr>
          <w:p>
            <w:pPr>
              <w:pStyle w:val="TableParagraph"/>
              <w:spacing w:before="19"/>
              <w:ind w:right="167"/>
              <w:rPr>
                <w:sz w:val="14"/>
              </w:rPr>
            </w:pPr>
            <w:r>
              <w:rPr>
                <w:w w:val="99"/>
                <w:sz w:val="14"/>
              </w:rPr>
              <w:t>-</w:t>
            </w:r>
          </w:p>
        </w:tc>
        <w:tc>
          <w:tcPr>
            <w:tcW w:w="583" w:type="dxa"/>
            <w:tcBorders>
              <w:bottom w:val="single" w:sz="12" w:space="0" w:color="000000"/>
            </w:tcBorders>
          </w:tcPr>
          <w:p>
            <w:pPr>
              <w:pStyle w:val="TableParagraph"/>
              <w:spacing w:before="19"/>
              <w:ind w:left="194"/>
              <w:jc w:val="center"/>
              <w:rPr>
                <w:sz w:val="14"/>
              </w:rPr>
            </w:pPr>
            <w:r>
              <w:rPr>
                <w:w w:val="99"/>
                <w:sz w:val="14"/>
              </w:rPr>
              <w:t>-</w:t>
            </w:r>
          </w:p>
        </w:tc>
        <w:tc>
          <w:tcPr>
            <w:tcW w:w="545" w:type="dxa"/>
            <w:tcBorders>
              <w:bottom w:val="single" w:sz="12" w:space="0" w:color="000000"/>
            </w:tcBorders>
          </w:tcPr>
          <w:p>
            <w:pPr>
              <w:pStyle w:val="TableParagraph"/>
              <w:spacing w:before="19"/>
              <w:ind w:right="128"/>
              <w:rPr>
                <w:sz w:val="14"/>
              </w:rPr>
            </w:pPr>
            <w:r>
              <w:rPr>
                <w:w w:val="99"/>
                <w:sz w:val="14"/>
              </w:rPr>
              <w:t>-</w:t>
            </w:r>
          </w:p>
        </w:tc>
        <w:tc>
          <w:tcPr>
            <w:tcW w:w="737" w:type="dxa"/>
            <w:tcBorders>
              <w:bottom w:val="single" w:sz="12" w:space="0" w:color="000000"/>
            </w:tcBorders>
          </w:tcPr>
          <w:p>
            <w:pPr>
              <w:pStyle w:val="TableParagraph"/>
              <w:spacing w:before="19"/>
              <w:ind w:right="269"/>
              <w:rPr>
                <w:sz w:val="14"/>
              </w:rPr>
            </w:pPr>
            <w:r>
              <w:rPr>
                <w:w w:val="99"/>
                <w:sz w:val="14"/>
              </w:rPr>
              <w:t>-</w:t>
            </w:r>
          </w:p>
        </w:tc>
        <w:tc>
          <w:tcPr>
            <w:tcW w:w="641" w:type="dxa"/>
            <w:tcBorders>
              <w:bottom w:val="single" w:sz="12" w:space="0" w:color="000000"/>
            </w:tcBorders>
          </w:tcPr>
          <w:p>
            <w:pPr>
              <w:pStyle w:val="TableParagraph"/>
              <w:spacing w:before="19"/>
              <w:ind w:right="171"/>
              <w:rPr>
                <w:sz w:val="14"/>
              </w:rPr>
            </w:pPr>
            <w:r>
              <w:rPr>
                <w:w w:val="99"/>
                <w:sz w:val="14"/>
              </w:rPr>
              <w:t>-</w:t>
            </w:r>
          </w:p>
        </w:tc>
        <w:tc>
          <w:tcPr>
            <w:tcW w:w="491" w:type="dxa"/>
            <w:tcBorders>
              <w:bottom w:val="single" w:sz="12" w:space="0" w:color="000000"/>
            </w:tcBorders>
          </w:tcPr>
          <w:p>
            <w:pPr>
              <w:pStyle w:val="TableParagraph"/>
              <w:spacing w:before="19"/>
              <w:ind w:right="66"/>
              <w:rPr>
                <w:sz w:val="14"/>
              </w:rPr>
            </w:pPr>
            <w:r>
              <w:rPr>
                <w:w w:val="99"/>
                <w:sz w:val="14"/>
              </w:rPr>
              <w:t>-</w:t>
            </w:r>
          </w:p>
        </w:tc>
        <w:tc>
          <w:tcPr>
            <w:tcW w:w="792" w:type="dxa"/>
            <w:tcBorders>
              <w:bottom w:val="single" w:sz="12" w:space="0" w:color="000000"/>
            </w:tcBorders>
          </w:tcPr>
          <w:p>
            <w:pPr>
              <w:pStyle w:val="TableParagraph"/>
              <w:spacing w:before="19"/>
              <w:ind w:right="123"/>
              <w:rPr>
                <w:i/>
                <w:sz w:val="14"/>
              </w:rPr>
            </w:pPr>
            <w:r>
              <w:rPr>
                <w:i/>
                <w:w w:val="99"/>
                <w:sz w:val="14"/>
              </w:rPr>
              <w:t>-</w:t>
            </w:r>
          </w:p>
        </w:tc>
        <w:tc>
          <w:tcPr>
            <w:tcW w:w="568" w:type="dxa"/>
            <w:tcBorders>
              <w:bottom w:val="single" w:sz="12" w:space="0" w:color="000000"/>
            </w:tcBorders>
          </w:tcPr>
          <w:p>
            <w:pPr>
              <w:pStyle w:val="TableParagraph"/>
              <w:spacing w:before="19"/>
              <w:ind w:right="96"/>
              <w:rPr>
                <w:sz w:val="14"/>
              </w:rPr>
            </w:pPr>
            <w:r>
              <w:rPr>
                <w:w w:val="99"/>
                <w:sz w:val="14"/>
              </w:rPr>
              <w:t>-</w:t>
            </w:r>
          </w:p>
        </w:tc>
        <w:tc>
          <w:tcPr>
            <w:tcW w:w="577" w:type="dxa"/>
            <w:tcBorders>
              <w:bottom w:val="single" w:sz="12" w:space="0" w:color="000000"/>
            </w:tcBorders>
          </w:tcPr>
          <w:p>
            <w:pPr>
              <w:pStyle w:val="TableParagraph"/>
              <w:spacing w:before="19"/>
              <w:ind w:right="82"/>
              <w:rPr>
                <w:sz w:val="14"/>
              </w:rPr>
            </w:pPr>
            <w:r>
              <w:rPr>
                <w:w w:val="99"/>
                <w:sz w:val="14"/>
              </w:rPr>
              <w:t>-</w:t>
            </w:r>
          </w:p>
        </w:tc>
        <w:tc>
          <w:tcPr>
            <w:tcW w:w="563" w:type="dxa"/>
            <w:tcBorders>
              <w:bottom w:val="single" w:sz="12" w:space="0" w:color="000000"/>
            </w:tcBorders>
          </w:tcPr>
          <w:p>
            <w:pPr>
              <w:pStyle w:val="TableParagraph"/>
              <w:spacing w:before="19"/>
              <w:ind w:right="55"/>
              <w:rPr>
                <w:sz w:val="14"/>
              </w:rPr>
            </w:pPr>
            <w:r>
              <w:rPr>
                <w:w w:val="99"/>
                <w:sz w:val="14"/>
              </w:rPr>
              <w:t>-</w:t>
            </w:r>
          </w:p>
        </w:tc>
        <w:tc>
          <w:tcPr>
            <w:tcW w:w="811" w:type="dxa"/>
            <w:tcBorders>
              <w:bottom w:val="single" w:sz="12" w:space="0" w:color="000000"/>
            </w:tcBorders>
          </w:tcPr>
          <w:p>
            <w:pPr>
              <w:pStyle w:val="TableParagraph"/>
              <w:spacing w:before="19"/>
              <w:ind w:right="126"/>
              <w:rPr>
                <w:i/>
                <w:sz w:val="14"/>
              </w:rPr>
            </w:pPr>
            <w:r>
              <w:rPr>
                <w:i/>
                <w:w w:val="99"/>
                <w:sz w:val="14"/>
              </w:rPr>
              <w:t>-</w:t>
            </w:r>
          </w:p>
        </w:tc>
        <w:tc>
          <w:tcPr>
            <w:tcW w:w="524" w:type="dxa"/>
            <w:tcBorders>
              <w:bottom w:val="single" w:sz="12" w:space="0" w:color="000000"/>
            </w:tcBorders>
          </w:tcPr>
          <w:p>
            <w:pPr>
              <w:pStyle w:val="TableParagraph"/>
              <w:spacing w:before="19"/>
              <w:ind w:right="50"/>
              <w:rPr>
                <w:b/>
                <w:sz w:val="14"/>
              </w:rPr>
            </w:pPr>
            <w:r>
              <w:rPr>
                <w:b/>
                <w:w w:val="99"/>
                <w:sz w:val="14"/>
              </w:rPr>
              <w:t>-</w:t>
            </w:r>
          </w:p>
        </w:tc>
      </w:tr>
      <w:tr>
        <w:trPr>
          <w:trHeight w:val="230" w:hRule="atLeast"/>
        </w:trPr>
        <w:tc>
          <w:tcPr>
            <w:tcW w:w="1186" w:type="dxa"/>
            <w:tcBorders>
              <w:top w:val="single" w:sz="12" w:space="0" w:color="000000"/>
              <w:bottom w:val="single" w:sz="4" w:space="0" w:color="000000"/>
            </w:tcBorders>
          </w:tcPr>
          <w:p>
            <w:pPr>
              <w:pStyle w:val="TableParagraph"/>
              <w:spacing w:before="27"/>
              <w:ind w:left="67"/>
              <w:jc w:val="left"/>
              <w:rPr>
                <w:sz w:val="14"/>
              </w:rPr>
            </w:pPr>
            <w:r>
              <w:rPr>
                <w:spacing w:val="-5"/>
                <w:sz w:val="14"/>
              </w:rPr>
              <w:t>New</w:t>
            </w:r>
          </w:p>
        </w:tc>
        <w:tc>
          <w:tcPr>
            <w:tcW w:w="678" w:type="dxa"/>
            <w:tcBorders>
              <w:top w:val="single" w:sz="12" w:space="0" w:color="000000"/>
              <w:bottom w:val="single" w:sz="4" w:space="0" w:color="000000"/>
            </w:tcBorders>
          </w:tcPr>
          <w:p>
            <w:pPr>
              <w:pStyle w:val="TableParagraph"/>
              <w:spacing w:before="27"/>
              <w:ind w:right="154"/>
              <w:rPr>
                <w:sz w:val="14"/>
              </w:rPr>
            </w:pPr>
            <w:r>
              <w:rPr>
                <w:w w:val="99"/>
                <w:sz w:val="14"/>
              </w:rPr>
              <w:t>-</w:t>
            </w:r>
          </w:p>
        </w:tc>
        <w:tc>
          <w:tcPr>
            <w:tcW w:w="607" w:type="dxa"/>
            <w:tcBorders>
              <w:top w:val="single" w:sz="12" w:space="0" w:color="000000"/>
              <w:bottom w:val="single" w:sz="4" w:space="0" w:color="000000"/>
            </w:tcBorders>
          </w:tcPr>
          <w:p>
            <w:pPr>
              <w:pStyle w:val="TableParagraph"/>
              <w:spacing w:before="27"/>
              <w:ind w:right="170"/>
              <w:rPr>
                <w:sz w:val="14"/>
              </w:rPr>
            </w:pPr>
            <w:r>
              <w:rPr>
                <w:w w:val="99"/>
                <w:sz w:val="14"/>
              </w:rPr>
              <w:t>-</w:t>
            </w:r>
          </w:p>
        </w:tc>
        <w:tc>
          <w:tcPr>
            <w:tcW w:w="563" w:type="dxa"/>
            <w:tcBorders>
              <w:top w:val="single" w:sz="12" w:space="0" w:color="000000"/>
              <w:bottom w:val="single" w:sz="4" w:space="0" w:color="000000"/>
            </w:tcBorders>
          </w:tcPr>
          <w:p>
            <w:pPr>
              <w:pStyle w:val="TableParagraph"/>
              <w:spacing w:before="27"/>
              <w:ind w:right="171"/>
              <w:rPr>
                <w:sz w:val="14"/>
              </w:rPr>
            </w:pPr>
            <w:r>
              <w:rPr>
                <w:w w:val="99"/>
                <w:sz w:val="14"/>
              </w:rPr>
              <w:t>-</w:t>
            </w:r>
          </w:p>
        </w:tc>
        <w:tc>
          <w:tcPr>
            <w:tcW w:w="557" w:type="dxa"/>
            <w:tcBorders>
              <w:top w:val="single" w:sz="12" w:space="0" w:color="000000"/>
              <w:bottom w:val="single" w:sz="4" w:space="0" w:color="000000"/>
            </w:tcBorders>
          </w:tcPr>
          <w:p>
            <w:pPr>
              <w:pStyle w:val="TableParagraph"/>
              <w:spacing w:before="27"/>
              <w:ind w:right="167"/>
              <w:rPr>
                <w:sz w:val="14"/>
              </w:rPr>
            </w:pPr>
            <w:r>
              <w:rPr>
                <w:w w:val="99"/>
                <w:sz w:val="14"/>
              </w:rPr>
              <w:t>-</w:t>
            </w:r>
          </w:p>
        </w:tc>
        <w:tc>
          <w:tcPr>
            <w:tcW w:w="583" w:type="dxa"/>
            <w:tcBorders>
              <w:top w:val="single" w:sz="12" w:space="0" w:color="000000"/>
              <w:bottom w:val="single" w:sz="4" w:space="0" w:color="000000"/>
            </w:tcBorders>
          </w:tcPr>
          <w:p>
            <w:pPr>
              <w:pStyle w:val="TableParagraph"/>
              <w:spacing w:before="27"/>
              <w:ind w:left="194"/>
              <w:jc w:val="center"/>
              <w:rPr>
                <w:sz w:val="14"/>
              </w:rPr>
            </w:pPr>
            <w:r>
              <w:rPr>
                <w:w w:val="99"/>
                <w:sz w:val="14"/>
              </w:rPr>
              <w:t>-</w:t>
            </w:r>
          </w:p>
        </w:tc>
        <w:tc>
          <w:tcPr>
            <w:tcW w:w="545" w:type="dxa"/>
            <w:tcBorders>
              <w:top w:val="single" w:sz="12" w:space="0" w:color="000000"/>
              <w:bottom w:val="single" w:sz="4" w:space="0" w:color="000000"/>
            </w:tcBorders>
          </w:tcPr>
          <w:p>
            <w:pPr>
              <w:pStyle w:val="TableParagraph"/>
              <w:spacing w:before="27"/>
              <w:ind w:right="128"/>
              <w:rPr>
                <w:sz w:val="14"/>
              </w:rPr>
            </w:pPr>
            <w:r>
              <w:rPr>
                <w:w w:val="99"/>
                <w:sz w:val="14"/>
              </w:rPr>
              <w:t>-</w:t>
            </w:r>
          </w:p>
        </w:tc>
        <w:tc>
          <w:tcPr>
            <w:tcW w:w="737" w:type="dxa"/>
            <w:tcBorders>
              <w:top w:val="single" w:sz="12" w:space="0" w:color="000000"/>
              <w:bottom w:val="single" w:sz="4" w:space="0" w:color="000000"/>
            </w:tcBorders>
          </w:tcPr>
          <w:p>
            <w:pPr>
              <w:pStyle w:val="TableParagraph"/>
              <w:spacing w:before="27"/>
              <w:ind w:right="270"/>
              <w:rPr>
                <w:sz w:val="14"/>
              </w:rPr>
            </w:pPr>
            <w:r>
              <w:rPr>
                <w:w w:val="99"/>
                <w:sz w:val="14"/>
              </w:rPr>
              <w:t>1</w:t>
            </w:r>
          </w:p>
        </w:tc>
        <w:tc>
          <w:tcPr>
            <w:tcW w:w="641" w:type="dxa"/>
            <w:tcBorders>
              <w:top w:val="single" w:sz="12" w:space="0" w:color="000000"/>
              <w:bottom w:val="single" w:sz="4" w:space="0" w:color="000000"/>
            </w:tcBorders>
          </w:tcPr>
          <w:p>
            <w:pPr>
              <w:pStyle w:val="TableParagraph"/>
              <w:spacing w:before="27"/>
              <w:ind w:right="171"/>
              <w:rPr>
                <w:sz w:val="14"/>
              </w:rPr>
            </w:pPr>
            <w:r>
              <w:rPr>
                <w:w w:val="99"/>
                <w:sz w:val="14"/>
              </w:rPr>
              <w:t>-</w:t>
            </w:r>
          </w:p>
        </w:tc>
        <w:tc>
          <w:tcPr>
            <w:tcW w:w="491" w:type="dxa"/>
            <w:tcBorders>
              <w:top w:val="single" w:sz="12" w:space="0" w:color="000000"/>
              <w:bottom w:val="single" w:sz="4" w:space="0" w:color="000000"/>
            </w:tcBorders>
          </w:tcPr>
          <w:p>
            <w:pPr>
              <w:pStyle w:val="TableParagraph"/>
              <w:spacing w:before="27"/>
              <w:ind w:right="66"/>
              <w:rPr>
                <w:sz w:val="14"/>
              </w:rPr>
            </w:pPr>
            <w:r>
              <w:rPr>
                <w:w w:val="99"/>
                <w:sz w:val="14"/>
              </w:rPr>
              <w:t>-</w:t>
            </w:r>
          </w:p>
        </w:tc>
        <w:tc>
          <w:tcPr>
            <w:tcW w:w="792" w:type="dxa"/>
            <w:tcBorders>
              <w:top w:val="single" w:sz="12" w:space="0" w:color="000000"/>
              <w:bottom w:val="single" w:sz="4" w:space="0" w:color="000000"/>
            </w:tcBorders>
          </w:tcPr>
          <w:p>
            <w:pPr>
              <w:pStyle w:val="TableParagraph"/>
              <w:spacing w:before="27"/>
              <w:ind w:right="124"/>
              <w:rPr>
                <w:i/>
                <w:sz w:val="14"/>
              </w:rPr>
            </w:pPr>
            <w:r>
              <w:rPr>
                <w:i/>
                <w:w w:val="99"/>
                <w:sz w:val="14"/>
              </w:rPr>
              <w:t>1</w:t>
            </w:r>
          </w:p>
        </w:tc>
        <w:tc>
          <w:tcPr>
            <w:tcW w:w="568" w:type="dxa"/>
            <w:tcBorders>
              <w:top w:val="single" w:sz="12" w:space="0" w:color="000000"/>
              <w:bottom w:val="single" w:sz="4" w:space="0" w:color="000000"/>
            </w:tcBorders>
          </w:tcPr>
          <w:p>
            <w:pPr>
              <w:pStyle w:val="TableParagraph"/>
              <w:spacing w:before="27"/>
              <w:ind w:right="96"/>
              <w:rPr>
                <w:sz w:val="14"/>
              </w:rPr>
            </w:pPr>
            <w:r>
              <w:rPr>
                <w:w w:val="99"/>
                <w:sz w:val="14"/>
              </w:rPr>
              <w:t>-</w:t>
            </w:r>
          </w:p>
        </w:tc>
        <w:tc>
          <w:tcPr>
            <w:tcW w:w="577" w:type="dxa"/>
            <w:tcBorders>
              <w:top w:val="single" w:sz="12" w:space="0" w:color="000000"/>
              <w:bottom w:val="single" w:sz="4" w:space="0" w:color="000000"/>
            </w:tcBorders>
          </w:tcPr>
          <w:p>
            <w:pPr>
              <w:pStyle w:val="TableParagraph"/>
              <w:spacing w:before="27"/>
              <w:ind w:right="82"/>
              <w:rPr>
                <w:sz w:val="14"/>
              </w:rPr>
            </w:pPr>
            <w:r>
              <w:rPr>
                <w:w w:val="99"/>
                <w:sz w:val="14"/>
              </w:rPr>
              <w:t>-</w:t>
            </w:r>
          </w:p>
        </w:tc>
        <w:tc>
          <w:tcPr>
            <w:tcW w:w="563" w:type="dxa"/>
            <w:tcBorders>
              <w:top w:val="single" w:sz="12" w:space="0" w:color="000000"/>
              <w:bottom w:val="single" w:sz="4" w:space="0" w:color="000000"/>
            </w:tcBorders>
          </w:tcPr>
          <w:p>
            <w:pPr>
              <w:pStyle w:val="TableParagraph"/>
              <w:spacing w:before="27"/>
              <w:ind w:right="55"/>
              <w:rPr>
                <w:sz w:val="14"/>
              </w:rPr>
            </w:pPr>
            <w:r>
              <w:rPr>
                <w:w w:val="99"/>
                <w:sz w:val="14"/>
              </w:rPr>
              <w:t>-</w:t>
            </w:r>
          </w:p>
        </w:tc>
        <w:tc>
          <w:tcPr>
            <w:tcW w:w="811" w:type="dxa"/>
            <w:tcBorders>
              <w:top w:val="single" w:sz="12" w:space="0" w:color="000000"/>
              <w:bottom w:val="single" w:sz="4" w:space="0" w:color="000000"/>
            </w:tcBorders>
          </w:tcPr>
          <w:p>
            <w:pPr>
              <w:pStyle w:val="TableParagraph"/>
              <w:spacing w:before="27"/>
              <w:ind w:right="126"/>
              <w:rPr>
                <w:i/>
                <w:sz w:val="14"/>
              </w:rPr>
            </w:pPr>
            <w:r>
              <w:rPr>
                <w:i/>
                <w:w w:val="99"/>
                <w:sz w:val="14"/>
              </w:rPr>
              <w:t>-</w:t>
            </w:r>
          </w:p>
        </w:tc>
        <w:tc>
          <w:tcPr>
            <w:tcW w:w="524" w:type="dxa"/>
            <w:tcBorders>
              <w:top w:val="single" w:sz="12" w:space="0" w:color="000000"/>
              <w:bottom w:val="single" w:sz="4" w:space="0" w:color="000000"/>
            </w:tcBorders>
          </w:tcPr>
          <w:p>
            <w:pPr>
              <w:pStyle w:val="TableParagraph"/>
              <w:spacing w:before="27"/>
              <w:ind w:right="51"/>
              <w:rPr>
                <w:b/>
                <w:sz w:val="14"/>
              </w:rPr>
            </w:pPr>
            <w:r>
              <w:rPr>
                <w:b/>
                <w:w w:val="99"/>
                <w:sz w:val="14"/>
              </w:rPr>
              <w:t>1</w:t>
            </w:r>
          </w:p>
        </w:tc>
      </w:tr>
      <w:tr>
        <w:trPr>
          <w:trHeight w:val="225" w:hRule="atLeast"/>
        </w:trPr>
        <w:tc>
          <w:tcPr>
            <w:tcW w:w="1186" w:type="dxa"/>
            <w:tcBorders>
              <w:top w:val="single" w:sz="4" w:space="0" w:color="000000"/>
              <w:bottom w:val="single" w:sz="4" w:space="0" w:color="000000"/>
            </w:tcBorders>
          </w:tcPr>
          <w:p>
            <w:pPr>
              <w:pStyle w:val="TableParagraph"/>
              <w:spacing w:before="22"/>
              <w:ind w:left="67"/>
              <w:jc w:val="left"/>
              <w:rPr>
                <w:sz w:val="14"/>
              </w:rPr>
            </w:pPr>
            <w:r>
              <w:rPr>
                <w:spacing w:val="-2"/>
                <w:sz w:val="14"/>
              </w:rPr>
              <w:t>Redeployed</w:t>
            </w:r>
          </w:p>
        </w:tc>
        <w:tc>
          <w:tcPr>
            <w:tcW w:w="678" w:type="dxa"/>
            <w:tcBorders>
              <w:top w:val="single" w:sz="4" w:space="0" w:color="000000"/>
              <w:bottom w:val="single" w:sz="4" w:space="0" w:color="000000"/>
            </w:tcBorders>
          </w:tcPr>
          <w:p>
            <w:pPr>
              <w:pStyle w:val="TableParagraph"/>
              <w:spacing w:before="22"/>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2"/>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2"/>
              <w:ind w:right="171"/>
              <w:rPr>
                <w:sz w:val="14"/>
              </w:rPr>
            </w:pPr>
            <w:r>
              <w:rPr>
                <w:w w:val="99"/>
                <w:sz w:val="14"/>
              </w:rPr>
              <w:t>-</w:t>
            </w:r>
          </w:p>
        </w:tc>
        <w:tc>
          <w:tcPr>
            <w:tcW w:w="557" w:type="dxa"/>
            <w:tcBorders>
              <w:top w:val="single" w:sz="4" w:space="0" w:color="000000"/>
              <w:bottom w:val="single" w:sz="4" w:space="0" w:color="000000"/>
            </w:tcBorders>
          </w:tcPr>
          <w:p>
            <w:pPr>
              <w:pStyle w:val="TableParagraph"/>
              <w:spacing w:before="22"/>
              <w:ind w:right="167"/>
              <w:rPr>
                <w:sz w:val="14"/>
              </w:rPr>
            </w:pPr>
            <w:r>
              <w:rPr>
                <w:w w:val="99"/>
                <w:sz w:val="14"/>
              </w:rPr>
              <w:t>-</w:t>
            </w:r>
          </w:p>
        </w:tc>
        <w:tc>
          <w:tcPr>
            <w:tcW w:w="583" w:type="dxa"/>
            <w:tcBorders>
              <w:top w:val="single" w:sz="4" w:space="0" w:color="000000"/>
              <w:bottom w:val="single" w:sz="4" w:space="0" w:color="000000"/>
            </w:tcBorders>
          </w:tcPr>
          <w:p>
            <w:pPr>
              <w:pStyle w:val="TableParagraph"/>
              <w:spacing w:before="22"/>
              <w:ind w:left="194"/>
              <w:jc w:val="center"/>
              <w:rPr>
                <w:sz w:val="14"/>
              </w:rPr>
            </w:pPr>
            <w:r>
              <w:rPr>
                <w:w w:val="99"/>
                <w:sz w:val="14"/>
              </w:rPr>
              <w:t>-</w:t>
            </w:r>
          </w:p>
        </w:tc>
        <w:tc>
          <w:tcPr>
            <w:tcW w:w="545" w:type="dxa"/>
            <w:tcBorders>
              <w:top w:val="single" w:sz="4" w:space="0" w:color="000000"/>
              <w:bottom w:val="single" w:sz="4" w:space="0" w:color="000000"/>
            </w:tcBorders>
          </w:tcPr>
          <w:p>
            <w:pPr>
              <w:pStyle w:val="TableParagraph"/>
              <w:spacing w:before="22"/>
              <w:ind w:right="128"/>
              <w:rPr>
                <w:sz w:val="14"/>
              </w:rPr>
            </w:pPr>
            <w:r>
              <w:rPr>
                <w:w w:val="99"/>
                <w:sz w:val="14"/>
              </w:rPr>
              <w:t>-</w:t>
            </w:r>
          </w:p>
        </w:tc>
        <w:tc>
          <w:tcPr>
            <w:tcW w:w="737" w:type="dxa"/>
            <w:tcBorders>
              <w:top w:val="single" w:sz="4" w:space="0" w:color="000000"/>
              <w:bottom w:val="single" w:sz="4" w:space="0" w:color="000000"/>
            </w:tcBorders>
          </w:tcPr>
          <w:p>
            <w:pPr>
              <w:pStyle w:val="TableParagraph"/>
              <w:spacing w:before="22"/>
              <w:ind w:right="269"/>
              <w:rPr>
                <w:sz w:val="14"/>
              </w:rPr>
            </w:pPr>
            <w:r>
              <w:rPr>
                <w:w w:val="99"/>
                <w:sz w:val="14"/>
              </w:rPr>
              <w:t>-</w:t>
            </w:r>
          </w:p>
        </w:tc>
        <w:tc>
          <w:tcPr>
            <w:tcW w:w="641" w:type="dxa"/>
            <w:tcBorders>
              <w:top w:val="single" w:sz="4" w:space="0" w:color="000000"/>
              <w:bottom w:val="single" w:sz="4" w:space="0" w:color="000000"/>
            </w:tcBorders>
          </w:tcPr>
          <w:p>
            <w:pPr>
              <w:pStyle w:val="TableParagraph"/>
              <w:spacing w:before="22"/>
              <w:ind w:right="171"/>
              <w:rPr>
                <w:sz w:val="14"/>
              </w:rPr>
            </w:pPr>
            <w:r>
              <w:rPr>
                <w:w w:val="99"/>
                <w:sz w:val="14"/>
              </w:rPr>
              <w:t>-</w:t>
            </w:r>
          </w:p>
        </w:tc>
        <w:tc>
          <w:tcPr>
            <w:tcW w:w="491" w:type="dxa"/>
            <w:tcBorders>
              <w:top w:val="single" w:sz="4" w:space="0" w:color="000000"/>
              <w:bottom w:val="single" w:sz="4" w:space="0" w:color="000000"/>
            </w:tcBorders>
          </w:tcPr>
          <w:p>
            <w:pPr>
              <w:pStyle w:val="TableParagraph"/>
              <w:spacing w:before="22"/>
              <w:ind w:right="66"/>
              <w:rPr>
                <w:sz w:val="14"/>
              </w:rPr>
            </w:pPr>
            <w:r>
              <w:rPr>
                <w:w w:val="99"/>
                <w:sz w:val="14"/>
              </w:rPr>
              <w:t>-</w:t>
            </w:r>
          </w:p>
        </w:tc>
        <w:tc>
          <w:tcPr>
            <w:tcW w:w="792" w:type="dxa"/>
            <w:tcBorders>
              <w:top w:val="single" w:sz="4" w:space="0" w:color="000000"/>
              <w:bottom w:val="single" w:sz="4" w:space="0" w:color="000000"/>
            </w:tcBorders>
          </w:tcPr>
          <w:p>
            <w:pPr>
              <w:pStyle w:val="TableParagraph"/>
              <w:spacing w:before="22"/>
              <w:ind w:right="123"/>
              <w:rPr>
                <w:i/>
                <w:sz w:val="14"/>
              </w:rPr>
            </w:pPr>
            <w:r>
              <w:rPr>
                <w:i/>
                <w:w w:val="99"/>
                <w:sz w:val="14"/>
              </w:rPr>
              <w:t>-</w:t>
            </w:r>
          </w:p>
        </w:tc>
        <w:tc>
          <w:tcPr>
            <w:tcW w:w="568" w:type="dxa"/>
            <w:tcBorders>
              <w:top w:val="single" w:sz="4" w:space="0" w:color="000000"/>
              <w:bottom w:val="single" w:sz="4" w:space="0" w:color="000000"/>
            </w:tcBorders>
          </w:tcPr>
          <w:p>
            <w:pPr>
              <w:pStyle w:val="TableParagraph"/>
              <w:spacing w:before="22"/>
              <w:ind w:right="96"/>
              <w:rPr>
                <w:sz w:val="14"/>
              </w:rPr>
            </w:pPr>
            <w:r>
              <w:rPr>
                <w:w w:val="99"/>
                <w:sz w:val="14"/>
              </w:rPr>
              <w:t>-</w:t>
            </w:r>
          </w:p>
        </w:tc>
        <w:tc>
          <w:tcPr>
            <w:tcW w:w="577" w:type="dxa"/>
            <w:tcBorders>
              <w:top w:val="single" w:sz="4" w:space="0" w:color="000000"/>
              <w:bottom w:val="single" w:sz="4" w:space="0" w:color="000000"/>
            </w:tcBorders>
          </w:tcPr>
          <w:p>
            <w:pPr>
              <w:pStyle w:val="TableParagraph"/>
              <w:spacing w:before="22"/>
              <w:ind w:right="82"/>
              <w:rPr>
                <w:sz w:val="14"/>
              </w:rPr>
            </w:pPr>
            <w:r>
              <w:rPr>
                <w:w w:val="99"/>
                <w:sz w:val="14"/>
              </w:rPr>
              <w:t>-</w:t>
            </w:r>
          </w:p>
        </w:tc>
        <w:tc>
          <w:tcPr>
            <w:tcW w:w="563" w:type="dxa"/>
            <w:tcBorders>
              <w:top w:val="single" w:sz="4" w:space="0" w:color="000000"/>
              <w:bottom w:val="single" w:sz="4" w:space="0" w:color="000000"/>
            </w:tcBorders>
          </w:tcPr>
          <w:p>
            <w:pPr>
              <w:pStyle w:val="TableParagraph"/>
              <w:spacing w:before="22"/>
              <w:ind w:right="55"/>
              <w:rPr>
                <w:sz w:val="14"/>
              </w:rPr>
            </w:pPr>
            <w:r>
              <w:rPr>
                <w:w w:val="99"/>
                <w:sz w:val="14"/>
              </w:rPr>
              <w:t>-</w:t>
            </w:r>
          </w:p>
        </w:tc>
        <w:tc>
          <w:tcPr>
            <w:tcW w:w="811" w:type="dxa"/>
            <w:tcBorders>
              <w:top w:val="single" w:sz="4" w:space="0" w:color="000000"/>
              <w:bottom w:val="single" w:sz="4" w:space="0" w:color="000000"/>
            </w:tcBorders>
          </w:tcPr>
          <w:p>
            <w:pPr>
              <w:pStyle w:val="TableParagraph"/>
              <w:spacing w:before="22"/>
              <w:ind w:right="126"/>
              <w:rPr>
                <w:i/>
                <w:sz w:val="14"/>
              </w:rPr>
            </w:pPr>
            <w:r>
              <w:rPr>
                <w:i/>
                <w:w w:val="99"/>
                <w:sz w:val="14"/>
              </w:rPr>
              <w:t>-</w:t>
            </w:r>
          </w:p>
        </w:tc>
        <w:tc>
          <w:tcPr>
            <w:tcW w:w="524" w:type="dxa"/>
            <w:tcBorders>
              <w:top w:val="single" w:sz="4" w:space="0" w:color="000000"/>
              <w:bottom w:val="single" w:sz="4" w:space="0" w:color="000000"/>
            </w:tcBorders>
          </w:tcPr>
          <w:p>
            <w:pPr>
              <w:pStyle w:val="TableParagraph"/>
              <w:spacing w:before="22"/>
              <w:ind w:right="50"/>
              <w:rPr>
                <w:b/>
                <w:sz w:val="14"/>
              </w:rPr>
            </w:pPr>
            <w:r>
              <w:rPr>
                <w:b/>
                <w:w w:val="99"/>
                <w:sz w:val="14"/>
              </w:rPr>
              <w:t>-</w:t>
            </w:r>
          </w:p>
        </w:tc>
      </w:tr>
      <w:tr>
        <w:trPr>
          <w:trHeight w:val="230" w:hRule="atLeast"/>
        </w:trPr>
        <w:tc>
          <w:tcPr>
            <w:tcW w:w="1186" w:type="dxa"/>
            <w:tcBorders>
              <w:top w:val="single" w:sz="4" w:space="0" w:color="000000"/>
              <w:bottom w:val="single" w:sz="4" w:space="0" w:color="000000"/>
            </w:tcBorders>
          </w:tcPr>
          <w:p>
            <w:pPr>
              <w:pStyle w:val="TableParagraph"/>
              <w:spacing w:before="27"/>
              <w:ind w:left="67"/>
              <w:jc w:val="left"/>
              <w:rPr>
                <w:sz w:val="14"/>
              </w:rPr>
            </w:pPr>
            <w:r>
              <w:rPr>
                <w:spacing w:val="-2"/>
                <w:sz w:val="14"/>
              </w:rPr>
              <w:t>Reclassified</w:t>
            </w:r>
          </w:p>
        </w:tc>
        <w:tc>
          <w:tcPr>
            <w:tcW w:w="678" w:type="dxa"/>
            <w:tcBorders>
              <w:top w:val="single" w:sz="4" w:space="0" w:color="000000"/>
              <w:bottom w:val="single" w:sz="4" w:space="0" w:color="000000"/>
            </w:tcBorders>
          </w:tcPr>
          <w:p>
            <w:pPr>
              <w:pStyle w:val="TableParagraph"/>
              <w:spacing w:before="27"/>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7"/>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7"/>
              <w:ind w:right="171"/>
              <w:rPr>
                <w:sz w:val="14"/>
              </w:rPr>
            </w:pPr>
            <w:r>
              <w:rPr>
                <w:w w:val="99"/>
                <w:sz w:val="14"/>
              </w:rPr>
              <w:t>-</w:t>
            </w:r>
          </w:p>
        </w:tc>
        <w:tc>
          <w:tcPr>
            <w:tcW w:w="557" w:type="dxa"/>
            <w:tcBorders>
              <w:top w:val="single" w:sz="4" w:space="0" w:color="000000"/>
              <w:bottom w:val="single" w:sz="4" w:space="0" w:color="000000"/>
            </w:tcBorders>
          </w:tcPr>
          <w:p>
            <w:pPr>
              <w:pStyle w:val="TableParagraph"/>
              <w:spacing w:before="27"/>
              <w:ind w:right="167"/>
              <w:rPr>
                <w:sz w:val="14"/>
              </w:rPr>
            </w:pPr>
            <w:r>
              <w:rPr>
                <w:w w:val="99"/>
                <w:sz w:val="14"/>
              </w:rPr>
              <w:t>-</w:t>
            </w:r>
          </w:p>
        </w:tc>
        <w:tc>
          <w:tcPr>
            <w:tcW w:w="583" w:type="dxa"/>
            <w:tcBorders>
              <w:top w:val="single" w:sz="4" w:space="0" w:color="000000"/>
              <w:bottom w:val="single" w:sz="4" w:space="0" w:color="000000"/>
            </w:tcBorders>
          </w:tcPr>
          <w:p>
            <w:pPr>
              <w:pStyle w:val="TableParagraph"/>
              <w:spacing w:before="27"/>
              <w:ind w:left="194"/>
              <w:jc w:val="center"/>
              <w:rPr>
                <w:sz w:val="14"/>
              </w:rPr>
            </w:pPr>
            <w:r>
              <w:rPr>
                <w:w w:val="99"/>
                <w:sz w:val="14"/>
              </w:rPr>
              <w:t>-</w:t>
            </w:r>
          </w:p>
        </w:tc>
        <w:tc>
          <w:tcPr>
            <w:tcW w:w="545" w:type="dxa"/>
            <w:tcBorders>
              <w:top w:val="single" w:sz="4" w:space="0" w:color="000000"/>
              <w:bottom w:val="single" w:sz="4" w:space="0" w:color="000000"/>
            </w:tcBorders>
          </w:tcPr>
          <w:p>
            <w:pPr>
              <w:pStyle w:val="TableParagraph"/>
              <w:spacing w:before="27"/>
              <w:ind w:right="128"/>
              <w:rPr>
                <w:sz w:val="14"/>
              </w:rPr>
            </w:pPr>
            <w:r>
              <w:rPr>
                <w:w w:val="99"/>
                <w:sz w:val="14"/>
              </w:rPr>
              <w:t>-</w:t>
            </w:r>
          </w:p>
        </w:tc>
        <w:tc>
          <w:tcPr>
            <w:tcW w:w="737" w:type="dxa"/>
            <w:tcBorders>
              <w:top w:val="single" w:sz="4" w:space="0" w:color="000000"/>
              <w:bottom w:val="single" w:sz="4" w:space="0" w:color="000000"/>
            </w:tcBorders>
          </w:tcPr>
          <w:p>
            <w:pPr>
              <w:pStyle w:val="TableParagraph"/>
              <w:spacing w:before="27"/>
              <w:ind w:right="269"/>
              <w:rPr>
                <w:sz w:val="14"/>
              </w:rPr>
            </w:pPr>
            <w:r>
              <w:rPr>
                <w:w w:val="99"/>
                <w:sz w:val="14"/>
              </w:rPr>
              <w:t>-</w:t>
            </w:r>
          </w:p>
        </w:tc>
        <w:tc>
          <w:tcPr>
            <w:tcW w:w="641" w:type="dxa"/>
            <w:tcBorders>
              <w:top w:val="single" w:sz="4" w:space="0" w:color="000000"/>
              <w:bottom w:val="single" w:sz="4" w:space="0" w:color="000000"/>
            </w:tcBorders>
          </w:tcPr>
          <w:p>
            <w:pPr>
              <w:pStyle w:val="TableParagraph"/>
              <w:spacing w:before="27"/>
              <w:ind w:right="171"/>
              <w:rPr>
                <w:sz w:val="14"/>
              </w:rPr>
            </w:pPr>
            <w:r>
              <w:rPr>
                <w:w w:val="99"/>
                <w:sz w:val="14"/>
              </w:rPr>
              <w:t>-</w:t>
            </w:r>
          </w:p>
        </w:tc>
        <w:tc>
          <w:tcPr>
            <w:tcW w:w="491" w:type="dxa"/>
            <w:tcBorders>
              <w:top w:val="single" w:sz="4" w:space="0" w:color="000000"/>
              <w:bottom w:val="single" w:sz="4" w:space="0" w:color="000000"/>
            </w:tcBorders>
          </w:tcPr>
          <w:p>
            <w:pPr>
              <w:pStyle w:val="TableParagraph"/>
              <w:spacing w:before="27"/>
              <w:ind w:right="66"/>
              <w:rPr>
                <w:sz w:val="14"/>
              </w:rPr>
            </w:pPr>
            <w:r>
              <w:rPr>
                <w:w w:val="99"/>
                <w:sz w:val="14"/>
              </w:rPr>
              <w:t>-</w:t>
            </w:r>
          </w:p>
        </w:tc>
        <w:tc>
          <w:tcPr>
            <w:tcW w:w="792" w:type="dxa"/>
            <w:tcBorders>
              <w:top w:val="single" w:sz="4" w:space="0" w:color="000000"/>
              <w:bottom w:val="single" w:sz="4" w:space="0" w:color="000000"/>
            </w:tcBorders>
          </w:tcPr>
          <w:p>
            <w:pPr>
              <w:pStyle w:val="TableParagraph"/>
              <w:spacing w:before="27"/>
              <w:ind w:right="123"/>
              <w:rPr>
                <w:i/>
                <w:sz w:val="14"/>
              </w:rPr>
            </w:pPr>
            <w:r>
              <w:rPr>
                <w:i/>
                <w:w w:val="99"/>
                <w:sz w:val="14"/>
              </w:rPr>
              <w:t>-</w:t>
            </w:r>
          </w:p>
        </w:tc>
        <w:tc>
          <w:tcPr>
            <w:tcW w:w="568" w:type="dxa"/>
            <w:tcBorders>
              <w:top w:val="single" w:sz="4" w:space="0" w:color="000000"/>
              <w:bottom w:val="single" w:sz="4" w:space="0" w:color="000000"/>
            </w:tcBorders>
          </w:tcPr>
          <w:p>
            <w:pPr>
              <w:pStyle w:val="TableParagraph"/>
              <w:spacing w:before="27"/>
              <w:ind w:right="96"/>
              <w:rPr>
                <w:sz w:val="14"/>
              </w:rPr>
            </w:pPr>
            <w:r>
              <w:rPr>
                <w:w w:val="99"/>
                <w:sz w:val="14"/>
              </w:rPr>
              <w:t>-</w:t>
            </w:r>
          </w:p>
        </w:tc>
        <w:tc>
          <w:tcPr>
            <w:tcW w:w="577" w:type="dxa"/>
            <w:tcBorders>
              <w:top w:val="single" w:sz="4" w:space="0" w:color="000000"/>
              <w:bottom w:val="single" w:sz="4" w:space="0" w:color="000000"/>
            </w:tcBorders>
          </w:tcPr>
          <w:p>
            <w:pPr>
              <w:pStyle w:val="TableParagraph"/>
              <w:spacing w:before="27"/>
              <w:ind w:right="82"/>
              <w:rPr>
                <w:sz w:val="14"/>
              </w:rPr>
            </w:pPr>
            <w:r>
              <w:rPr>
                <w:w w:val="99"/>
                <w:sz w:val="14"/>
              </w:rPr>
              <w:t>-</w:t>
            </w:r>
          </w:p>
        </w:tc>
        <w:tc>
          <w:tcPr>
            <w:tcW w:w="563" w:type="dxa"/>
            <w:tcBorders>
              <w:top w:val="single" w:sz="4" w:space="0" w:color="000000"/>
              <w:bottom w:val="single" w:sz="4" w:space="0" w:color="000000"/>
            </w:tcBorders>
          </w:tcPr>
          <w:p>
            <w:pPr>
              <w:pStyle w:val="TableParagraph"/>
              <w:spacing w:before="27"/>
              <w:ind w:right="55"/>
              <w:rPr>
                <w:sz w:val="14"/>
              </w:rPr>
            </w:pPr>
            <w:r>
              <w:rPr>
                <w:w w:val="99"/>
                <w:sz w:val="14"/>
              </w:rPr>
              <w:t>-</w:t>
            </w:r>
          </w:p>
        </w:tc>
        <w:tc>
          <w:tcPr>
            <w:tcW w:w="811" w:type="dxa"/>
            <w:tcBorders>
              <w:top w:val="single" w:sz="4" w:space="0" w:color="000000"/>
              <w:bottom w:val="single" w:sz="4" w:space="0" w:color="000000"/>
            </w:tcBorders>
          </w:tcPr>
          <w:p>
            <w:pPr>
              <w:pStyle w:val="TableParagraph"/>
              <w:spacing w:before="27"/>
              <w:ind w:right="126"/>
              <w:rPr>
                <w:i/>
                <w:sz w:val="14"/>
              </w:rPr>
            </w:pPr>
            <w:r>
              <w:rPr>
                <w:i/>
                <w:w w:val="99"/>
                <w:sz w:val="14"/>
              </w:rPr>
              <w:t>-</w:t>
            </w:r>
          </w:p>
        </w:tc>
        <w:tc>
          <w:tcPr>
            <w:tcW w:w="524" w:type="dxa"/>
            <w:tcBorders>
              <w:top w:val="single" w:sz="4" w:space="0" w:color="000000"/>
              <w:bottom w:val="single" w:sz="4" w:space="0" w:color="000000"/>
            </w:tcBorders>
          </w:tcPr>
          <w:p>
            <w:pPr>
              <w:pStyle w:val="TableParagraph"/>
              <w:spacing w:before="27"/>
              <w:ind w:right="50"/>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2"/>
              <w:ind w:left="67"/>
              <w:jc w:val="left"/>
              <w:rPr>
                <w:sz w:val="14"/>
              </w:rPr>
            </w:pPr>
            <w:r>
              <w:rPr>
                <w:spacing w:val="-2"/>
                <w:sz w:val="14"/>
              </w:rPr>
              <w:t>Returned</w:t>
            </w:r>
          </w:p>
        </w:tc>
        <w:tc>
          <w:tcPr>
            <w:tcW w:w="678" w:type="dxa"/>
            <w:tcBorders>
              <w:top w:val="single" w:sz="4" w:space="0" w:color="000000"/>
              <w:bottom w:val="single" w:sz="4" w:space="0" w:color="000000"/>
            </w:tcBorders>
          </w:tcPr>
          <w:p>
            <w:pPr>
              <w:pStyle w:val="TableParagraph"/>
              <w:spacing w:before="22"/>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2"/>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2"/>
              <w:ind w:right="171"/>
              <w:rPr>
                <w:sz w:val="14"/>
              </w:rPr>
            </w:pPr>
            <w:r>
              <w:rPr>
                <w:w w:val="99"/>
                <w:sz w:val="14"/>
              </w:rPr>
              <w:t>-</w:t>
            </w:r>
          </w:p>
        </w:tc>
        <w:tc>
          <w:tcPr>
            <w:tcW w:w="557" w:type="dxa"/>
            <w:tcBorders>
              <w:top w:val="single" w:sz="4" w:space="0" w:color="000000"/>
              <w:bottom w:val="single" w:sz="4" w:space="0" w:color="000000"/>
            </w:tcBorders>
          </w:tcPr>
          <w:p>
            <w:pPr>
              <w:pStyle w:val="TableParagraph"/>
              <w:spacing w:before="22"/>
              <w:ind w:right="167"/>
              <w:rPr>
                <w:sz w:val="14"/>
              </w:rPr>
            </w:pPr>
            <w:r>
              <w:rPr>
                <w:w w:val="99"/>
                <w:sz w:val="14"/>
              </w:rPr>
              <w:t>-</w:t>
            </w:r>
          </w:p>
        </w:tc>
        <w:tc>
          <w:tcPr>
            <w:tcW w:w="583" w:type="dxa"/>
            <w:tcBorders>
              <w:top w:val="single" w:sz="4" w:space="0" w:color="000000"/>
              <w:bottom w:val="single" w:sz="4" w:space="0" w:color="000000"/>
            </w:tcBorders>
          </w:tcPr>
          <w:p>
            <w:pPr>
              <w:pStyle w:val="TableParagraph"/>
              <w:spacing w:before="22"/>
              <w:ind w:left="194"/>
              <w:jc w:val="center"/>
              <w:rPr>
                <w:sz w:val="14"/>
              </w:rPr>
            </w:pPr>
            <w:r>
              <w:rPr>
                <w:w w:val="99"/>
                <w:sz w:val="14"/>
              </w:rPr>
              <w:t>-</w:t>
            </w:r>
          </w:p>
        </w:tc>
        <w:tc>
          <w:tcPr>
            <w:tcW w:w="545" w:type="dxa"/>
            <w:tcBorders>
              <w:top w:val="single" w:sz="4" w:space="0" w:color="000000"/>
              <w:bottom w:val="single" w:sz="4" w:space="0" w:color="000000"/>
            </w:tcBorders>
          </w:tcPr>
          <w:p>
            <w:pPr>
              <w:pStyle w:val="TableParagraph"/>
              <w:spacing w:before="22"/>
              <w:ind w:right="128"/>
              <w:rPr>
                <w:sz w:val="14"/>
              </w:rPr>
            </w:pPr>
            <w:r>
              <w:rPr>
                <w:w w:val="99"/>
                <w:sz w:val="14"/>
              </w:rPr>
              <w:t>-</w:t>
            </w:r>
          </w:p>
        </w:tc>
        <w:tc>
          <w:tcPr>
            <w:tcW w:w="737" w:type="dxa"/>
            <w:tcBorders>
              <w:top w:val="single" w:sz="4" w:space="0" w:color="000000"/>
              <w:bottom w:val="single" w:sz="4" w:space="0" w:color="000000"/>
            </w:tcBorders>
          </w:tcPr>
          <w:p>
            <w:pPr>
              <w:pStyle w:val="TableParagraph"/>
              <w:spacing w:before="22"/>
              <w:ind w:right="269"/>
              <w:rPr>
                <w:sz w:val="14"/>
              </w:rPr>
            </w:pPr>
            <w:r>
              <w:rPr>
                <w:w w:val="99"/>
                <w:sz w:val="14"/>
              </w:rPr>
              <w:t>-</w:t>
            </w:r>
          </w:p>
        </w:tc>
        <w:tc>
          <w:tcPr>
            <w:tcW w:w="641" w:type="dxa"/>
            <w:tcBorders>
              <w:top w:val="single" w:sz="4" w:space="0" w:color="000000"/>
              <w:bottom w:val="single" w:sz="4" w:space="0" w:color="000000"/>
            </w:tcBorders>
          </w:tcPr>
          <w:p>
            <w:pPr>
              <w:pStyle w:val="TableParagraph"/>
              <w:spacing w:before="22"/>
              <w:ind w:right="171"/>
              <w:rPr>
                <w:sz w:val="14"/>
              </w:rPr>
            </w:pPr>
            <w:r>
              <w:rPr>
                <w:w w:val="99"/>
                <w:sz w:val="14"/>
              </w:rPr>
              <w:t>-</w:t>
            </w:r>
          </w:p>
        </w:tc>
        <w:tc>
          <w:tcPr>
            <w:tcW w:w="491" w:type="dxa"/>
            <w:tcBorders>
              <w:top w:val="single" w:sz="4" w:space="0" w:color="000000"/>
              <w:bottom w:val="single" w:sz="4" w:space="0" w:color="000000"/>
            </w:tcBorders>
          </w:tcPr>
          <w:p>
            <w:pPr>
              <w:pStyle w:val="TableParagraph"/>
              <w:spacing w:before="22"/>
              <w:ind w:right="66"/>
              <w:rPr>
                <w:sz w:val="14"/>
              </w:rPr>
            </w:pPr>
            <w:r>
              <w:rPr>
                <w:w w:val="99"/>
                <w:sz w:val="14"/>
              </w:rPr>
              <w:t>-</w:t>
            </w:r>
          </w:p>
        </w:tc>
        <w:tc>
          <w:tcPr>
            <w:tcW w:w="792" w:type="dxa"/>
            <w:tcBorders>
              <w:top w:val="single" w:sz="4" w:space="0" w:color="000000"/>
              <w:bottom w:val="single" w:sz="4" w:space="0" w:color="000000"/>
            </w:tcBorders>
          </w:tcPr>
          <w:p>
            <w:pPr>
              <w:pStyle w:val="TableParagraph"/>
              <w:spacing w:before="22"/>
              <w:ind w:right="123"/>
              <w:rPr>
                <w:i/>
                <w:sz w:val="14"/>
              </w:rPr>
            </w:pPr>
            <w:r>
              <w:rPr>
                <w:i/>
                <w:w w:val="99"/>
                <w:sz w:val="14"/>
              </w:rPr>
              <w:t>-</w:t>
            </w:r>
          </w:p>
        </w:tc>
        <w:tc>
          <w:tcPr>
            <w:tcW w:w="568" w:type="dxa"/>
            <w:tcBorders>
              <w:top w:val="single" w:sz="4" w:space="0" w:color="000000"/>
              <w:bottom w:val="single" w:sz="4" w:space="0" w:color="000000"/>
            </w:tcBorders>
          </w:tcPr>
          <w:p>
            <w:pPr>
              <w:pStyle w:val="TableParagraph"/>
              <w:spacing w:before="22"/>
              <w:ind w:right="96"/>
              <w:rPr>
                <w:sz w:val="14"/>
              </w:rPr>
            </w:pPr>
            <w:r>
              <w:rPr>
                <w:w w:val="99"/>
                <w:sz w:val="14"/>
              </w:rPr>
              <w:t>-</w:t>
            </w:r>
          </w:p>
        </w:tc>
        <w:tc>
          <w:tcPr>
            <w:tcW w:w="577" w:type="dxa"/>
            <w:tcBorders>
              <w:top w:val="single" w:sz="4" w:space="0" w:color="000000"/>
              <w:bottom w:val="single" w:sz="4" w:space="0" w:color="000000"/>
            </w:tcBorders>
          </w:tcPr>
          <w:p>
            <w:pPr>
              <w:pStyle w:val="TableParagraph"/>
              <w:spacing w:before="22"/>
              <w:ind w:right="82"/>
              <w:rPr>
                <w:sz w:val="14"/>
              </w:rPr>
            </w:pPr>
            <w:r>
              <w:rPr>
                <w:w w:val="99"/>
                <w:sz w:val="14"/>
              </w:rPr>
              <w:t>-</w:t>
            </w:r>
          </w:p>
        </w:tc>
        <w:tc>
          <w:tcPr>
            <w:tcW w:w="563" w:type="dxa"/>
            <w:tcBorders>
              <w:top w:val="single" w:sz="4" w:space="0" w:color="000000"/>
              <w:bottom w:val="single" w:sz="4" w:space="0" w:color="000000"/>
            </w:tcBorders>
          </w:tcPr>
          <w:p>
            <w:pPr>
              <w:pStyle w:val="TableParagraph"/>
              <w:spacing w:before="22"/>
              <w:ind w:right="55"/>
              <w:rPr>
                <w:sz w:val="14"/>
              </w:rPr>
            </w:pPr>
            <w:r>
              <w:rPr>
                <w:w w:val="99"/>
                <w:sz w:val="14"/>
              </w:rPr>
              <w:t>-</w:t>
            </w:r>
          </w:p>
        </w:tc>
        <w:tc>
          <w:tcPr>
            <w:tcW w:w="811" w:type="dxa"/>
            <w:tcBorders>
              <w:top w:val="single" w:sz="4" w:space="0" w:color="000000"/>
              <w:bottom w:val="single" w:sz="4" w:space="0" w:color="000000"/>
            </w:tcBorders>
          </w:tcPr>
          <w:p>
            <w:pPr>
              <w:pStyle w:val="TableParagraph"/>
              <w:spacing w:before="22"/>
              <w:ind w:right="126"/>
              <w:rPr>
                <w:i/>
                <w:sz w:val="14"/>
              </w:rPr>
            </w:pPr>
            <w:r>
              <w:rPr>
                <w:i/>
                <w:w w:val="99"/>
                <w:sz w:val="14"/>
              </w:rPr>
              <w:t>-</w:t>
            </w:r>
          </w:p>
        </w:tc>
        <w:tc>
          <w:tcPr>
            <w:tcW w:w="524" w:type="dxa"/>
            <w:tcBorders>
              <w:top w:val="single" w:sz="4" w:space="0" w:color="000000"/>
              <w:bottom w:val="single" w:sz="4" w:space="0" w:color="000000"/>
            </w:tcBorders>
          </w:tcPr>
          <w:p>
            <w:pPr>
              <w:pStyle w:val="TableParagraph"/>
              <w:spacing w:before="22"/>
              <w:ind w:right="50"/>
              <w:rPr>
                <w:b/>
                <w:sz w:val="14"/>
              </w:rPr>
            </w:pPr>
            <w:r>
              <w:rPr>
                <w:b/>
                <w:w w:val="99"/>
                <w:sz w:val="14"/>
              </w:rPr>
              <w:t>-</w:t>
            </w:r>
          </w:p>
        </w:tc>
      </w:tr>
      <w:tr>
        <w:trPr>
          <w:trHeight w:val="224" w:hRule="atLeast"/>
        </w:trPr>
        <w:tc>
          <w:tcPr>
            <w:tcW w:w="1186" w:type="dxa"/>
            <w:tcBorders>
              <w:top w:val="single" w:sz="4" w:space="0" w:color="000000"/>
              <w:bottom w:val="single" w:sz="12" w:space="0" w:color="000000"/>
            </w:tcBorders>
          </w:tcPr>
          <w:p>
            <w:pPr>
              <w:pStyle w:val="TableParagraph"/>
              <w:spacing w:before="22"/>
              <w:ind w:left="67"/>
              <w:jc w:val="left"/>
              <w:rPr>
                <w:b/>
                <w:sz w:val="14"/>
              </w:rPr>
            </w:pPr>
            <w:r>
              <w:rPr>
                <w:b/>
                <w:sz w:val="14"/>
              </w:rPr>
              <w:t>Proposed</w:t>
            </w:r>
            <w:r>
              <w:rPr>
                <w:b/>
                <w:spacing w:val="-6"/>
                <w:sz w:val="14"/>
              </w:rPr>
              <w:t> </w:t>
            </w:r>
            <w:r>
              <w:rPr>
                <w:b/>
                <w:spacing w:val="-4"/>
                <w:sz w:val="14"/>
              </w:rPr>
              <w:t>2023</w:t>
            </w:r>
          </w:p>
        </w:tc>
        <w:tc>
          <w:tcPr>
            <w:tcW w:w="678" w:type="dxa"/>
            <w:tcBorders>
              <w:top w:val="single" w:sz="4" w:space="0" w:color="000000"/>
              <w:bottom w:val="single" w:sz="12" w:space="0" w:color="000000"/>
            </w:tcBorders>
          </w:tcPr>
          <w:p>
            <w:pPr>
              <w:pStyle w:val="TableParagraph"/>
              <w:spacing w:before="22"/>
              <w:ind w:right="154"/>
              <w:rPr>
                <w:b/>
                <w:sz w:val="14"/>
              </w:rPr>
            </w:pPr>
            <w:r>
              <w:rPr>
                <w:b/>
                <w:w w:val="99"/>
                <w:sz w:val="14"/>
              </w:rPr>
              <w:t>-</w:t>
            </w:r>
          </w:p>
        </w:tc>
        <w:tc>
          <w:tcPr>
            <w:tcW w:w="607" w:type="dxa"/>
            <w:tcBorders>
              <w:top w:val="single" w:sz="4" w:space="0" w:color="000000"/>
              <w:bottom w:val="single" w:sz="12" w:space="0" w:color="000000"/>
            </w:tcBorders>
          </w:tcPr>
          <w:p>
            <w:pPr>
              <w:pStyle w:val="TableParagraph"/>
              <w:spacing w:before="22"/>
              <w:ind w:right="170"/>
              <w:rPr>
                <w:b/>
                <w:sz w:val="14"/>
              </w:rPr>
            </w:pPr>
            <w:r>
              <w:rPr>
                <w:b/>
                <w:w w:val="99"/>
                <w:sz w:val="14"/>
              </w:rPr>
              <w:t>-</w:t>
            </w:r>
          </w:p>
        </w:tc>
        <w:tc>
          <w:tcPr>
            <w:tcW w:w="563" w:type="dxa"/>
            <w:tcBorders>
              <w:top w:val="single" w:sz="4" w:space="0" w:color="000000"/>
              <w:bottom w:val="single" w:sz="12" w:space="0" w:color="000000"/>
            </w:tcBorders>
          </w:tcPr>
          <w:p>
            <w:pPr>
              <w:pStyle w:val="TableParagraph"/>
              <w:spacing w:before="22"/>
              <w:ind w:right="171"/>
              <w:rPr>
                <w:b/>
                <w:sz w:val="14"/>
              </w:rPr>
            </w:pPr>
            <w:r>
              <w:rPr>
                <w:b/>
                <w:w w:val="99"/>
                <w:sz w:val="14"/>
              </w:rPr>
              <w:t>-</w:t>
            </w:r>
          </w:p>
        </w:tc>
        <w:tc>
          <w:tcPr>
            <w:tcW w:w="557" w:type="dxa"/>
            <w:tcBorders>
              <w:top w:val="single" w:sz="4" w:space="0" w:color="000000"/>
              <w:bottom w:val="single" w:sz="12" w:space="0" w:color="000000"/>
            </w:tcBorders>
          </w:tcPr>
          <w:p>
            <w:pPr>
              <w:pStyle w:val="TableParagraph"/>
              <w:spacing w:before="22"/>
              <w:ind w:right="167"/>
              <w:rPr>
                <w:b/>
                <w:sz w:val="14"/>
              </w:rPr>
            </w:pPr>
            <w:r>
              <w:rPr>
                <w:b/>
                <w:w w:val="99"/>
                <w:sz w:val="14"/>
              </w:rPr>
              <w:t>-</w:t>
            </w:r>
          </w:p>
        </w:tc>
        <w:tc>
          <w:tcPr>
            <w:tcW w:w="583" w:type="dxa"/>
            <w:tcBorders>
              <w:top w:val="single" w:sz="4" w:space="0" w:color="000000"/>
              <w:bottom w:val="single" w:sz="12" w:space="0" w:color="000000"/>
            </w:tcBorders>
          </w:tcPr>
          <w:p>
            <w:pPr>
              <w:pStyle w:val="TableParagraph"/>
              <w:spacing w:before="22"/>
              <w:ind w:left="194"/>
              <w:jc w:val="center"/>
              <w:rPr>
                <w:b/>
                <w:sz w:val="14"/>
              </w:rPr>
            </w:pPr>
            <w:r>
              <w:rPr>
                <w:b/>
                <w:w w:val="99"/>
                <w:sz w:val="14"/>
              </w:rPr>
              <w:t>-</w:t>
            </w:r>
          </w:p>
        </w:tc>
        <w:tc>
          <w:tcPr>
            <w:tcW w:w="545" w:type="dxa"/>
            <w:tcBorders>
              <w:top w:val="single" w:sz="4" w:space="0" w:color="000000"/>
              <w:bottom w:val="single" w:sz="12" w:space="0" w:color="000000"/>
            </w:tcBorders>
          </w:tcPr>
          <w:p>
            <w:pPr>
              <w:pStyle w:val="TableParagraph"/>
              <w:spacing w:before="22"/>
              <w:ind w:right="128"/>
              <w:rPr>
                <w:b/>
                <w:sz w:val="14"/>
              </w:rPr>
            </w:pPr>
            <w:r>
              <w:rPr>
                <w:b/>
                <w:w w:val="99"/>
                <w:sz w:val="14"/>
              </w:rPr>
              <w:t>-</w:t>
            </w:r>
          </w:p>
        </w:tc>
        <w:tc>
          <w:tcPr>
            <w:tcW w:w="737" w:type="dxa"/>
            <w:tcBorders>
              <w:top w:val="single" w:sz="4" w:space="0" w:color="000000"/>
              <w:bottom w:val="single" w:sz="12" w:space="0" w:color="000000"/>
            </w:tcBorders>
          </w:tcPr>
          <w:p>
            <w:pPr>
              <w:pStyle w:val="TableParagraph"/>
              <w:spacing w:before="22"/>
              <w:ind w:right="270"/>
              <w:rPr>
                <w:b/>
                <w:sz w:val="14"/>
              </w:rPr>
            </w:pPr>
            <w:r>
              <w:rPr>
                <w:b/>
                <w:w w:val="99"/>
                <w:sz w:val="14"/>
              </w:rPr>
              <w:t>1</w:t>
            </w:r>
          </w:p>
        </w:tc>
        <w:tc>
          <w:tcPr>
            <w:tcW w:w="641" w:type="dxa"/>
            <w:tcBorders>
              <w:top w:val="single" w:sz="4" w:space="0" w:color="000000"/>
              <w:bottom w:val="single" w:sz="12" w:space="0" w:color="000000"/>
            </w:tcBorders>
          </w:tcPr>
          <w:p>
            <w:pPr>
              <w:pStyle w:val="TableParagraph"/>
              <w:spacing w:before="22"/>
              <w:ind w:right="171"/>
              <w:rPr>
                <w:b/>
                <w:sz w:val="14"/>
              </w:rPr>
            </w:pPr>
            <w:r>
              <w:rPr>
                <w:b/>
                <w:w w:val="99"/>
                <w:sz w:val="14"/>
              </w:rPr>
              <w:t>-</w:t>
            </w:r>
          </w:p>
        </w:tc>
        <w:tc>
          <w:tcPr>
            <w:tcW w:w="491" w:type="dxa"/>
            <w:tcBorders>
              <w:top w:val="single" w:sz="4" w:space="0" w:color="000000"/>
              <w:bottom w:val="single" w:sz="12" w:space="0" w:color="000000"/>
            </w:tcBorders>
          </w:tcPr>
          <w:p>
            <w:pPr>
              <w:pStyle w:val="TableParagraph"/>
              <w:spacing w:before="22"/>
              <w:ind w:right="66"/>
              <w:rPr>
                <w:b/>
                <w:sz w:val="14"/>
              </w:rPr>
            </w:pPr>
            <w:r>
              <w:rPr>
                <w:b/>
                <w:w w:val="99"/>
                <w:sz w:val="14"/>
              </w:rPr>
              <w:t>-</w:t>
            </w:r>
          </w:p>
        </w:tc>
        <w:tc>
          <w:tcPr>
            <w:tcW w:w="792" w:type="dxa"/>
            <w:tcBorders>
              <w:top w:val="single" w:sz="4" w:space="0" w:color="000000"/>
              <w:bottom w:val="single" w:sz="12" w:space="0" w:color="000000"/>
            </w:tcBorders>
          </w:tcPr>
          <w:p>
            <w:pPr>
              <w:pStyle w:val="TableParagraph"/>
              <w:spacing w:before="22"/>
              <w:ind w:right="124"/>
              <w:rPr>
                <w:b/>
                <w:i/>
                <w:sz w:val="14"/>
              </w:rPr>
            </w:pPr>
            <w:r>
              <w:rPr>
                <w:b/>
                <w:i/>
                <w:w w:val="99"/>
                <w:sz w:val="14"/>
              </w:rPr>
              <w:t>1</w:t>
            </w:r>
          </w:p>
        </w:tc>
        <w:tc>
          <w:tcPr>
            <w:tcW w:w="568" w:type="dxa"/>
            <w:tcBorders>
              <w:top w:val="single" w:sz="4" w:space="0" w:color="000000"/>
              <w:bottom w:val="single" w:sz="12" w:space="0" w:color="000000"/>
            </w:tcBorders>
          </w:tcPr>
          <w:p>
            <w:pPr>
              <w:pStyle w:val="TableParagraph"/>
              <w:spacing w:before="22"/>
              <w:ind w:right="96"/>
              <w:rPr>
                <w:b/>
                <w:sz w:val="14"/>
              </w:rPr>
            </w:pPr>
            <w:r>
              <w:rPr>
                <w:b/>
                <w:w w:val="99"/>
                <w:sz w:val="14"/>
              </w:rPr>
              <w:t>-</w:t>
            </w:r>
          </w:p>
        </w:tc>
        <w:tc>
          <w:tcPr>
            <w:tcW w:w="577" w:type="dxa"/>
            <w:tcBorders>
              <w:top w:val="single" w:sz="4" w:space="0" w:color="000000"/>
              <w:bottom w:val="single" w:sz="12" w:space="0" w:color="000000"/>
            </w:tcBorders>
          </w:tcPr>
          <w:p>
            <w:pPr>
              <w:pStyle w:val="TableParagraph"/>
              <w:spacing w:before="22"/>
              <w:ind w:right="82"/>
              <w:rPr>
                <w:b/>
                <w:sz w:val="14"/>
              </w:rPr>
            </w:pPr>
            <w:r>
              <w:rPr>
                <w:b/>
                <w:w w:val="99"/>
                <w:sz w:val="14"/>
              </w:rPr>
              <w:t>-</w:t>
            </w:r>
          </w:p>
        </w:tc>
        <w:tc>
          <w:tcPr>
            <w:tcW w:w="563" w:type="dxa"/>
            <w:tcBorders>
              <w:top w:val="single" w:sz="4" w:space="0" w:color="000000"/>
              <w:bottom w:val="single" w:sz="12" w:space="0" w:color="000000"/>
            </w:tcBorders>
          </w:tcPr>
          <w:p>
            <w:pPr>
              <w:pStyle w:val="TableParagraph"/>
              <w:spacing w:before="22"/>
              <w:ind w:right="55"/>
              <w:rPr>
                <w:b/>
                <w:sz w:val="14"/>
              </w:rPr>
            </w:pPr>
            <w:r>
              <w:rPr>
                <w:b/>
                <w:w w:val="99"/>
                <w:sz w:val="14"/>
              </w:rPr>
              <w:t>-</w:t>
            </w:r>
          </w:p>
        </w:tc>
        <w:tc>
          <w:tcPr>
            <w:tcW w:w="811" w:type="dxa"/>
            <w:tcBorders>
              <w:top w:val="single" w:sz="4" w:space="0" w:color="000000"/>
              <w:bottom w:val="single" w:sz="12" w:space="0" w:color="000000"/>
            </w:tcBorders>
          </w:tcPr>
          <w:p>
            <w:pPr>
              <w:pStyle w:val="TableParagraph"/>
              <w:spacing w:before="22"/>
              <w:ind w:right="126"/>
              <w:rPr>
                <w:b/>
                <w:i/>
                <w:sz w:val="14"/>
              </w:rPr>
            </w:pPr>
            <w:r>
              <w:rPr>
                <w:b/>
                <w:i/>
                <w:w w:val="99"/>
                <w:sz w:val="14"/>
              </w:rPr>
              <w:t>-</w:t>
            </w:r>
          </w:p>
        </w:tc>
        <w:tc>
          <w:tcPr>
            <w:tcW w:w="524" w:type="dxa"/>
            <w:tcBorders>
              <w:top w:val="single" w:sz="4" w:space="0" w:color="000000"/>
              <w:bottom w:val="single" w:sz="12" w:space="0" w:color="000000"/>
            </w:tcBorders>
          </w:tcPr>
          <w:p>
            <w:pPr>
              <w:pStyle w:val="TableParagraph"/>
              <w:spacing w:before="22"/>
              <w:ind w:right="51"/>
              <w:rPr>
                <w:b/>
                <w:sz w:val="14"/>
              </w:rPr>
            </w:pPr>
            <w:r>
              <w:rPr>
                <w:b/>
                <w:w w:val="99"/>
                <w:sz w:val="14"/>
              </w:rPr>
              <w:t>1</w:t>
            </w:r>
          </w:p>
        </w:tc>
      </w:tr>
      <w:tr>
        <w:trPr>
          <w:trHeight w:val="571" w:hRule="atLeast"/>
        </w:trPr>
        <w:tc>
          <w:tcPr>
            <w:tcW w:w="1186" w:type="dxa"/>
            <w:tcBorders>
              <w:top w:val="single" w:sz="12" w:space="0" w:color="000000"/>
            </w:tcBorders>
          </w:tcPr>
          <w:p>
            <w:pPr>
              <w:pStyle w:val="TableParagraph"/>
              <w:jc w:val="left"/>
              <w:rPr>
                <w:b/>
                <w:sz w:val="19"/>
              </w:rPr>
            </w:pPr>
          </w:p>
          <w:p>
            <w:pPr>
              <w:pStyle w:val="TableParagraph"/>
              <w:spacing w:line="242" w:lineRule="auto"/>
              <w:ind w:left="67" w:right="232"/>
              <w:jc w:val="left"/>
              <w:rPr>
                <w:b/>
                <w:sz w:val="14"/>
              </w:rPr>
            </w:pPr>
            <w:r>
              <w:rPr>
                <w:b/>
                <w:sz w:val="14"/>
              </w:rPr>
              <w:t>GTA</w:t>
            </w:r>
            <w:r>
              <w:rPr>
                <w:b/>
                <w:spacing w:val="-9"/>
                <w:sz w:val="14"/>
              </w:rPr>
              <w:t> </w:t>
            </w:r>
            <w:r>
              <w:rPr>
                <w:b/>
                <w:sz w:val="14"/>
              </w:rPr>
              <w:t>Positions</w:t>
            </w:r>
            <w:r>
              <w:rPr>
                <w:b/>
                <w:spacing w:val="40"/>
                <w:sz w:val="14"/>
              </w:rPr>
              <w:t> </w:t>
            </w:r>
            <w:r>
              <w:rPr>
                <w:b/>
                <w:spacing w:val="-2"/>
                <w:sz w:val="14"/>
              </w:rPr>
              <w:t>(FTE)</w:t>
            </w:r>
          </w:p>
        </w:tc>
        <w:tc>
          <w:tcPr>
            <w:tcW w:w="678" w:type="dxa"/>
            <w:tcBorders>
              <w:top w:val="single" w:sz="12" w:space="0" w:color="000000"/>
            </w:tcBorders>
          </w:tcPr>
          <w:p>
            <w:pPr>
              <w:pStyle w:val="TableParagraph"/>
              <w:jc w:val="left"/>
              <w:rPr>
                <w:sz w:val="14"/>
              </w:rPr>
            </w:pPr>
          </w:p>
        </w:tc>
        <w:tc>
          <w:tcPr>
            <w:tcW w:w="607" w:type="dxa"/>
            <w:tcBorders>
              <w:top w:val="single" w:sz="12" w:space="0" w:color="000000"/>
            </w:tcBorders>
          </w:tcPr>
          <w:p>
            <w:pPr>
              <w:pStyle w:val="TableParagraph"/>
              <w:jc w:val="left"/>
              <w:rPr>
                <w:sz w:val="14"/>
              </w:rPr>
            </w:pPr>
          </w:p>
        </w:tc>
        <w:tc>
          <w:tcPr>
            <w:tcW w:w="563" w:type="dxa"/>
            <w:tcBorders>
              <w:top w:val="single" w:sz="12" w:space="0" w:color="000000"/>
            </w:tcBorders>
          </w:tcPr>
          <w:p>
            <w:pPr>
              <w:pStyle w:val="TableParagraph"/>
              <w:jc w:val="left"/>
              <w:rPr>
                <w:sz w:val="14"/>
              </w:rPr>
            </w:pPr>
          </w:p>
        </w:tc>
        <w:tc>
          <w:tcPr>
            <w:tcW w:w="557" w:type="dxa"/>
            <w:tcBorders>
              <w:top w:val="single" w:sz="12" w:space="0" w:color="000000"/>
            </w:tcBorders>
          </w:tcPr>
          <w:p>
            <w:pPr>
              <w:pStyle w:val="TableParagraph"/>
              <w:jc w:val="left"/>
              <w:rPr>
                <w:sz w:val="14"/>
              </w:rPr>
            </w:pPr>
          </w:p>
        </w:tc>
        <w:tc>
          <w:tcPr>
            <w:tcW w:w="583" w:type="dxa"/>
            <w:tcBorders>
              <w:top w:val="single" w:sz="12" w:space="0" w:color="000000"/>
            </w:tcBorders>
          </w:tcPr>
          <w:p>
            <w:pPr>
              <w:pStyle w:val="TableParagraph"/>
              <w:jc w:val="left"/>
              <w:rPr>
                <w:sz w:val="14"/>
              </w:rPr>
            </w:pPr>
          </w:p>
        </w:tc>
        <w:tc>
          <w:tcPr>
            <w:tcW w:w="545" w:type="dxa"/>
            <w:tcBorders>
              <w:top w:val="single" w:sz="12" w:space="0" w:color="000000"/>
            </w:tcBorders>
          </w:tcPr>
          <w:p>
            <w:pPr>
              <w:pStyle w:val="TableParagraph"/>
              <w:jc w:val="left"/>
              <w:rPr>
                <w:sz w:val="14"/>
              </w:rPr>
            </w:pPr>
          </w:p>
        </w:tc>
        <w:tc>
          <w:tcPr>
            <w:tcW w:w="737" w:type="dxa"/>
            <w:tcBorders>
              <w:top w:val="single" w:sz="12" w:space="0" w:color="000000"/>
            </w:tcBorders>
          </w:tcPr>
          <w:p>
            <w:pPr>
              <w:pStyle w:val="TableParagraph"/>
              <w:jc w:val="left"/>
              <w:rPr>
                <w:sz w:val="14"/>
              </w:rPr>
            </w:pPr>
          </w:p>
        </w:tc>
        <w:tc>
          <w:tcPr>
            <w:tcW w:w="641" w:type="dxa"/>
            <w:tcBorders>
              <w:top w:val="single" w:sz="12" w:space="0" w:color="000000"/>
            </w:tcBorders>
          </w:tcPr>
          <w:p>
            <w:pPr>
              <w:pStyle w:val="TableParagraph"/>
              <w:jc w:val="left"/>
              <w:rPr>
                <w:sz w:val="14"/>
              </w:rPr>
            </w:pPr>
          </w:p>
        </w:tc>
        <w:tc>
          <w:tcPr>
            <w:tcW w:w="491" w:type="dxa"/>
            <w:tcBorders>
              <w:top w:val="single" w:sz="12" w:space="0" w:color="000000"/>
            </w:tcBorders>
          </w:tcPr>
          <w:p>
            <w:pPr>
              <w:pStyle w:val="TableParagraph"/>
              <w:jc w:val="left"/>
              <w:rPr>
                <w:sz w:val="14"/>
              </w:rPr>
            </w:pPr>
          </w:p>
        </w:tc>
        <w:tc>
          <w:tcPr>
            <w:tcW w:w="792" w:type="dxa"/>
            <w:tcBorders>
              <w:top w:val="single" w:sz="12" w:space="0" w:color="000000"/>
            </w:tcBorders>
          </w:tcPr>
          <w:p>
            <w:pPr>
              <w:pStyle w:val="TableParagraph"/>
              <w:jc w:val="left"/>
              <w:rPr>
                <w:sz w:val="14"/>
              </w:rPr>
            </w:pPr>
          </w:p>
        </w:tc>
        <w:tc>
          <w:tcPr>
            <w:tcW w:w="568" w:type="dxa"/>
            <w:tcBorders>
              <w:top w:val="single" w:sz="12" w:space="0" w:color="000000"/>
            </w:tcBorders>
          </w:tcPr>
          <w:p>
            <w:pPr>
              <w:pStyle w:val="TableParagraph"/>
              <w:jc w:val="left"/>
              <w:rPr>
                <w:sz w:val="14"/>
              </w:rPr>
            </w:pPr>
          </w:p>
        </w:tc>
        <w:tc>
          <w:tcPr>
            <w:tcW w:w="577" w:type="dxa"/>
            <w:tcBorders>
              <w:top w:val="single" w:sz="12" w:space="0" w:color="000000"/>
            </w:tcBorders>
          </w:tcPr>
          <w:p>
            <w:pPr>
              <w:pStyle w:val="TableParagraph"/>
              <w:jc w:val="left"/>
              <w:rPr>
                <w:sz w:val="14"/>
              </w:rPr>
            </w:pPr>
          </w:p>
        </w:tc>
        <w:tc>
          <w:tcPr>
            <w:tcW w:w="563" w:type="dxa"/>
            <w:tcBorders>
              <w:top w:val="single" w:sz="12" w:space="0" w:color="000000"/>
            </w:tcBorders>
          </w:tcPr>
          <w:p>
            <w:pPr>
              <w:pStyle w:val="TableParagraph"/>
              <w:jc w:val="left"/>
              <w:rPr>
                <w:sz w:val="14"/>
              </w:rPr>
            </w:pPr>
          </w:p>
        </w:tc>
        <w:tc>
          <w:tcPr>
            <w:tcW w:w="811" w:type="dxa"/>
            <w:tcBorders>
              <w:top w:val="single" w:sz="12" w:space="0" w:color="000000"/>
            </w:tcBorders>
          </w:tcPr>
          <w:p>
            <w:pPr>
              <w:pStyle w:val="TableParagraph"/>
              <w:jc w:val="left"/>
              <w:rPr>
                <w:sz w:val="14"/>
              </w:rPr>
            </w:pPr>
          </w:p>
        </w:tc>
        <w:tc>
          <w:tcPr>
            <w:tcW w:w="524" w:type="dxa"/>
            <w:tcBorders>
              <w:top w:val="single" w:sz="12" w:space="0" w:color="000000"/>
            </w:tcBorders>
          </w:tcPr>
          <w:p>
            <w:pPr>
              <w:pStyle w:val="TableParagraph"/>
              <w:jc w:val="left"/>
              <w:rPr>
                <w:sz w:val="14"/>
              </w:rPr>
            </w:pPr>
          </w:p>
        </w:tc>
      </w:tr>
      <w:tr>
        <w:trPr>
          <w:trHeight w:val="205" w:hRule="atLeast"/>
        </w:trPr>
        <w:tc>
          <w:tcPr>
            <w:tcW w:w="1186" w:type="dxa"/>
            <w:tcBorders>
              <w:bottom w:val="single" w:sz="12" w:space="0" w:color="000000"/>
            </w:tcBorders>
          </w:tcPr>
          <w:p>
            <w:pPr>
              <w:pStyle w:val="TableParagraph"/>
              <w:spacing w:before="2"/>
              <w:ind w:left="67"/>
              <w:jc w:val="left"/>
              <w:rPr>
                <w:sz w:val="14"/>
              </w:rPr>
            </w:pPr>
            <w:r>
              <w:rPr>
                <w:w w:val="95"/>
                <w:sz w:val="14"/>
              </w:rPr>
              <w:t>Approved</w:t>
            </w:r>
            <w:r>
              <w:rPr>
                <w:spacing w:val="22"/>
                <w:sz w:val="14"/>
              </w:rPr>
              <w:t> </w:t>
            </w:r>
            <w:r>
              <w:rPr>
                <w:spacing w:val="-4"/>
                <w:sz w:val="14"/>
              </w:rPr>
              <w:t>2022</w:t>
            </w:r>
          </w:p>
        </w:tc>
        <w:tc>
          <w:tcPr>
            <w:tcW w:w="678" w:type="dxa"/>
            <w:tcBorders>
              <w:bottom w:val="single" w:sz="12" w:space="0" w:color="000000"/>
            </w:tcBorders>
          </w:tcPr>
          <w:p>
            <w:pPr>
              <w:pStyle w:val="TableParagraph"/>
              <w:spacing w:before="2"/>
              <w:ind w:right="154"/>
              <w:rPr>
                <w:sz w:val="14"/>
              </w:rPr>
            </w:pPr>
            <w:r>
              <w:rPr>
                <w:w w:val="99"/>
                <w:sz w:val="14"/>
              </w:rPr>
              <w:t>-</w:t>
            </w:r>
          </w:p>
        </w:tc>
        <w:tc>
          <w:tcPr>
            <w:tcW w:w="607" w:type="dxa"/>
            <w:tcBorders>
              <w:bottom w:val="single" w:sz="12" w:space="0" w:color="000000"/>
            </w:tcBorders>
          </w:tcPr>
          <w:p>
            <w:pPr>
              <w:pStyle w:val="TableParagraph"/>
              <w:spacing w:before="2"/>
              <w:ind w:right="170"/>
              <w:rPr>
                <w:sz w:val="14"/>
              </w:rPr>
            </w:pPr>
            <w:r>
              <w:rPr>
                <w:w w:val="99"/>
                <w:sz w:val="14"/>
              </w:rPr>
              <w:t>-</w:t>
            </w:r>
          </w:p>
        </w:tc>
        <w:tc>
          <w:tcPr>
            <w:tcW w:w="563" w:type="dxa"/>
            <w:tcBorders>
              <w:bottom w:val="single" w:sz="12" w:space="0" w:color="000000"/>
            </w:tcBorders>
          </w:tcPr>
          <w:p>
            <w:pPr>
              <w:pStyle w:val="TableParagraph"/>
              <w:spacing w:before="2"/>
              <w:ind w:right="171"/>
              <w:rPr>
                <w:sz w:val="14"/>
              </w:rPr>
            </w:pPr>
            <w:r>
              <w:rPr>
                <w:w w:val="99"/>
                <w:sz w:val="14"/>
              </w:rPr>
              <w:t>-</w:t>
            </w:r>
          </w:p>
        </w:tc>
        <w:tc>
          <w:tcPr>
            <w:tcW w:w="557" w:type="dxa"/>
            <w:tcBorders>
              <w:bottom w:val="single" w:sz="12" w:space="0" w:color="000000"/>
            </w:tcBorders>
          </w:tcPr>
          <w:p>
            <w:pPr>
              <w:pStyle w:val="TableParagraph"/>
              <w:spacing w:before="2"/>
              <w:ind w:right="167"/>
              <w:rPr>
                <w:sz w:val="14"/>
              </w:rPr>
            </w:pPr>
            <w:r>
              <w:rPr>
                <w:w w:val="99"/>
                <w:sz w:val="14"/>
              </w:rPr>
              <w:t>-</w:t>
            </w:r>
          </w:p>
        </w:tc>
        <w:tc>
          <w:tcPr>
            <w:tcW w:w="583" w:type="dxa"/>
            <w:tcBorders>
              <w:bottom w:val="single" w:sz="12" w:space="0" w:color="000000"/>
            </w:tcBorders>
          </w:tcPr>
          <w:p>
            <w:pPr>
              <w:pStyle w:val="TableParagraph"/>
              <w:spacing w:before="2"/>
              <w:ind w:left="157" w:right="156"/>
              <w:jc w:val="center"/>
              <w:rPr>
                <w:sz w:val="14"/>
              </w:rPr>
            </w:pPr>
            <w:r>
              <w:rPr>
                <w:spacing w:val="-4"/>
                <w:sz w:val="14"/>
              </w:rPr>
              <w:t>0.04</w:t>
            </w:r>
          </w:p>
        </w:tc>
        <w:tc>
          <w:tcPr>
            <w:tcW w:w="545" w:type="dxa"/>
            <w:tcBorders>
              <w:bottom w:val="single" w:sz="12" w:space="0" w:color="000000"/>
            </w:tcBorders>
          </w:tcPr>
          <w:p>
            <w:pPr>
              <w:pStyle w:val="TableParagraph"/>
              <w:spacing w:before="2"/>
              <w:ind w:right="124"/>
              <w:rPr>
                <w:sz w:val="14"/>
              </w:rPr>
            </w:pPr>
            <w:r>
              <w:rPr>
                <w:spacing w:val="-4"/>
                <w:sz w:val="14"/>
              </w:rPr>
              <w:t>0.04</w:t>
            </w:r>
          </w:p>
        </w:tc>
        <w:tc>
          <w:tcPr>
            <w:tcW w:w="737" w:type="dxa"/>
            <w:tcBorders>
              <w:bottom w:val="single" w:sz="12" w:space="0" w:color="000000"/>
            </w:tcBorders>
          </w:tcPr>
          <w:p>
            <w:pPr>
              <w:pStyle w:val="TableParagraph"/>
              <w:spacing w:before="2"/>
              <w:ind w:right="266"/>
              <w:rPr>
                <w:sz w:val="14"/>
              </w:rPr>
            </w:pPr>
            <w:r>
              <w:rPr>
                <w:spacing w:val="-4"/>
                <w:sz w:val="14"/>
              </w:rPr>
              <w:t>1.00</w:t>
            </w:r>
          </w:p>
        </w:tc>
        <w:tc>
          <w:tcPr>
            <w:tcW w:w="641" w:type="dxa"/>
            <w:tcBorders>
              <w:bottom w:val="single" w:sz="12" w:space="0" w:color="000000"/>
            </w:tcBorders>
          </w:tcPr>
          <w:p>
            <w:pPr>
              <w:pStyle w:val="TableParagraph"/>
              <w:spacing w:before="2"/>
              <w:ind w:right="171"/>
              <w:rPr>
                <w:sz w:val="14"/>
              </w:rPr>
            </w:pPr>
            <w:r>
              <w:rPr>
                <w:w w:val="99"/>
                <w:sz w:val="14"/>
              </w:rPr>
              <w:t>-</w:t>
            </w:r>
          </w:p>
        </w:tc>
        <w:tc>
          <w:tcPr>
            <w:tcW w:w="491" w:type="dxa"/>
            <w:tcBorders>
              <w:bottom w:val="single" w:sz="12" w:space="0" w:color="000000"/>
            </w:tcBorders>
          </w:tcPr>
          <w:p>
            <w:pPr>
              <w:pStyle w:val="TableParagraph"/>
              <w:spacing w:before="2"/>
              <w:ind w:right="63"/>
              <w:rPr>
                <w:sz w:val="14"/>
              </w:rPr>
            </w:pPr>
            <w:r>
              <w:rPr>
                <w:spacing w:val="-4"/>
                <w:sz w:val="14"/>
              </w:rPr>
              <w:t>1.00</w:t>
            </w:r>
          </w:p>
        </w:tc>
        <w:tc>
          <w:tcPr>
            <w:tcW w:w="792" w:type="dxa"/>
            <w:tcBorders>
              <w:bottom w:val="single" w:sz="12" w:space="0" w:color="000000"/>
            </w:tcBorders>
          </w:tcPr>
          <w:p>
            <w:pPr>
              <w:pStyle w:val="TableParagraph"/>
              <w:spacing w:before="2"/>
              <w:ind w:right="120"/>
              <w:rPr>
                <w:i/>
                <w:sz w:val="14"/>
              </w:rPr>
            </w:pPr>
            <w:r>
              <w:rPr>
                <w:i/>
                <w:spacing w:val="-4"/>
                <w:sz w:val="14"/>
              </w:rPr>
              <w:t>2.08</w:t>
            </w:r>
          </w:p>
        </w:tc>
        <w:tc>
          <w:tcPr>
            <w:tcW w:w="568" w:type="dxa"/>
            <w:tcBorders>
              <w:bottom w:val="single" w:sz="12" w:space="0" w:color="000000"/>
            </w:tcBorders>
          </w:tcPr>
          <w:p>
            <w:pPr>
              <w:pStyle w:val="TableParagraph"/>
              <w:spacing w:before="2"/>
              <w:ind w:right="96"/>
              <w:rPr>
                <w:sz w:val="14"/>
              </w:rPr>
            </w:pPr>
            <w:r>
              <w:rPr>
                <w:w w:val="99"/>
                <w:sz w:val="14"/>
              </w:rPr>
              <w:t>-</w:t>
            </w:r>
          </w:p>
        </w:tc>
        <w:tc>
          <w:tcPr>
            <w:tcW w:w="577" w:type="dxa"/>
            <w:tcBorders>
              <w:bottom w:val="single" w:sz="12" w:space="0" w:color="000000"/>
            </w:tcBorders>
          </w:tcPr>
          <w:p>
            <w:pPr>
              <w:pStyle w:val="TableParagraph"/>
              <w:spacing w:before="2"/>
              <w:ind w:right="82"/>
              <w:rPr>
                <w:sz w:val="14"/>
              </w:rPr>
            </w:pPr>
            <w:r>
              <w:rPr>
                <w:w w:val="99"/>
                <w:sz w:val="14"/>
              </w:rPr>
              <w:t>-</w:t>
            </w:r>
          </w:p>
        </w:tc>
        <w:tc>
          <w:tcPr>
            <w:tcW w:w="563" w:type="dxa"/>
            <w:tcBorders>
              <w:bottom w:val="single" w:sz="12" w:space="0" w:color="000000"/>
            </w:tcBorders>
          </w:tcPr>
          <w:p>
            <w:pPr>
              <w:pStyle w:val="TableParagraph"/>
              <w:spacing w:before="2"/>
              <w:ind w:right="51"/>
              <w:rPr>
                <w:sz w:val="14"/>
              </w:rPr>
            </w:pPr>
            <w:r>
              <w:rPr>
                <w:spacing w:val="-4"/>
                <w:sz w:val="14"/>
              </w:rPr>
              <w:t>0.58</w:t>
            </w:r>
          </w:p>
        </w:tc>
        <w:tc>
          <w:tcPr>
            <w:tcW w:w="811" w:type="dxa"/>
            <w:tcBorders>
              <w:bottom w:val="single" w:sz="12" w:space="0" w:color="000000"/>
            </w:tcBorders>
          </w:tcPr>
          <w:p>
            <w:pPr>
              <w:pStyle w:val="TableParagraph"/>
              <w:spacing w:before="2"/>
              <w:ind w:right="123"/>
              <w:rPr>
                <w:i/>
                <w:sz w:val="14"/>
              </w:rPr>
            </w:pPr>
            <w:r>
              <w:rPr>
                <w:i/>
                <w:spacing w:val="-4"/>
                <w:sz w:val="14"/>
              </w:rPr>
              <w:t>0.58</w:t>
            </w:r>
          </w:p>
        </w:tc>
        <w:tc>
          <w:tcPr>
            <w:tcW w:w="524" w:type="dxa"/>
            <w:tcBorders>
              <w:bottom w:val="single" w:sz="12" w:space="0" w:color="000000"/>
            </w:tcBorders>
          </w:tcPr>
          <w:p>
            <w:pPr>
              <w:pStyle w:val="TableParagraph"/>
              <w:spacing w:before="2"/>
              <w:ind w:right="47"/>
              <w:rPr>
                <w:b/>
                <w:sz w:val="14"/>
              </w:rPr>
            </w:pPr>
            <w:r>
              <w:rPr>
                <w:b/>
                <w:spacing w:val="-4"/>
                <w:sz w:val="14"/>
              </w:rPr>
              <w:t>2.67</w:t>
            </w:r>
          </w:p>
        </w:tc>
      </w:tr>
      <w:tr>
        <w:trPr>
          <w:trHeight w:val="229" w:hRule="atLeast"/>
        </w:trPr>
        <w:tc>
          <w:tcPr>
            <w:tcW w:w="1186" w:type="dxa"/>
            <w:tcBorders>
              <w:top w:val="single" w:sz="12" w:space="0" w:color="000000"/>
              <w:bottom w:val="single" w:sz="4" w:space="0" w:color="000000"/>
            </w:tcBorders>
          </w:tcPr>
          <w:p>
            <w:pPr>
              <w:pStyle w:val="TableParagraph"/>
              <w:spacing w:before="27"/>
              <w:ind w:left="67"/>
              <w:jc w:val="left"/>
              <w:rPr>
                <w:sz w:val="14"/>
              </w:rPr>
            </w:pPr>
            <w:r>
              <w:rPr>
                <w:spacing w:val="-2"/>
                <w:sz w:val="14"/>
              </w:rPr>
              <w:t>Continued</w:t>
            </w:r>
          </w:p>
        </w:tc>
        <w:tc>
          <w:tcPr>
            <w:tcW w:w="678" w:type="dxa"/>
            <w:tcBorders>
              <w:top w:val="single" w:sz="12" w:space="0" w:color="000000"/>
              <w:bottom w:val="single" w:sz="4" w:space="0" w:color="000000"/>
            </w:tcBorders>
          </w:tcPr>
          <w:p>
            <w:pPr>
              <w:pStyle w:val="TableParagraph"/>
              <w:spacing w:before="27"/>
              <w:ind w:right="154"/>
              <w:rPr>
                <w:sz w:val="14"/>
              </w:rPr>
            </w:pPr>
            <w:r>
              <w:rPr>
                <w:w w:val="99"/>
                <w:sz w:val="14"/>
              </w:rPr>
              <w:t>-</w:t>
            </w:r>
          </w:p>
        </w:tc>
        <w:tc>
          <w:tcPr>
            <w:tcW w:w="607" w:type="dxa"/>
            <w:tcBorders>
              <w:top w:val="single" w:sz="12" w:space="0" w:color="000000"/>
              <w:bottom w:val="single" w:sz="4" w:space="0" w:color="000000"/>
            </w:tcBorders>
          </w:tcPr>
          <w:p>
            <w:pPr>
              <w:pStyle w:val="TableParagraph"/>
              <w:spacing w:before="27"/>
              <w:ind w:right="170"/>
              <w:rPr>
                <w:sz w:val="14"/>
              </w:rPr>
            </w:pPr>
            <w:r>
              <w:rPr>
                <w:w w:val="99"/>
                <w:sz w:val="14"/>
              </w:rPr>
              <w:t>-</w:t>
            </w:r>
          </w:p>
        </w:tc>
        <w:tc>
          <w:tcPr>
            <w:tcW w:w="563" w:type="dxa"/>
            <w:tcBorders>
              <w:top w:val="single" w:sz="12" w:space="0" w:color="000000"/>
              <w:bottom w:val="single" w:sz="4" w:space="0" w:color="000000"/>
            </w:tcBorders>
          </w:tcPr>
          <w:p>
            <w:pPr>
              <w:pStyle w:val="TableParagraph"/>
              <w:spacing w:before="27"/>
              <w:ind w:right="171"/>
              <w:rPr>
                <w:sz w:val="14"/>
              </w:rPr>
            </w:pPr>
            <w:r>
              <w:rPr>
                <w:w w:val="99"/>
                <w:sz w:val="14"/>
              </w:rPr>
              <w:t>-</w:t>
            </w:r>
          </w:p>
        </w:tc>
        <w:tc>
          <w:tcPr>
            <w:tcW w:w="557" w:type="dxa"/>
            <w:tcBorders>
              <w:top w:val="single" w:sz="12" w:space="0" w:color="000000"/>
              <w:bottom w:val="single" w:sz="4" w:space="0" w:color="000000"/>
            </w:tcBorders>
          </w:tcPr>
          <w:p>
            <w:pPr>
              <w:pStyle w:val="TableParagraph"/>
              <w:spacing w:before="27"/>
              <w:ind w:right="167"/>
              <w:rPr>
                <w:sz w:val="14"/>
              </w:rPr>
            </w:pPr>
            <w:r>
              <w:rPr>
                <w:w w:val="99"/>
                <w:sz w:val="14"/>
              </w:rPr>
              <w:t>-</w:t>
            </w:r>
          </w:p>
        </w:tc>
        <w:tc>
          <w:tcPr>
            <w:tcW w:w="583" w:type="dxa"/>
            <w:tcBorders>
              <w:top w:val="single" w:sz="12" w:space="0" w:color="000000"/>
              <w:bottom w:val="single" w:sz="4" w:space="0" w:color="000000"/>
            </w:tcBorders>
          </w:tcPr>
          <w:p>
            <w:pPr>
              <w:pStyle w:val="TableParagraph"/>
              <w:spacing w:before="27"/>
              <w:ind w:left="157" w:right="156"/>
              <w:jc w:val="center"/>
              <w:rPr>
                <w:sz w:val="14"/>
              </w:rPr>
            </w:pPr>
            <w:r>
              <w:rPr>
                <w:spacing w:val="-4"/>
                <w:sz w:val="14"/>
              </w:rPr>
              <w:t>0.04</w:t>
            </w:r>
          </w:p>
        </w:tc>
        <w:tc>
          <w:tcPr>
            <w:tcW w:w="545" w:type="dxa"/>
            <w:tcBorders>
              <w:top w:val="single" w:sz="12" w:space="0" w:color="000000"/>
              <w:bottom w:val="single" w:sz="4" w:space="0" w:color="000000"/>
            </w:tcBorders>
          </w:tcPr>
          <w:p>
            <w:pPr>
              <w:pStyle w:val="TableParagraph"/>
              <w:spacing w:before="27"/>
              <w:ind w:right="124"/>
              <w:rPr>
                <w:sz w:val="14"/>
              </w:rPr>
            </w:pPr>
            <w:r>
              <w:rPr>
                <w:spacing w:val="-4"/>
                <w:sz w:val="14"/>
              </w:rPr>
              <w:t>0.04</w:t>
            </w:r>
          </w:p>
        </w:tc>
        <w:tc>
          <w:tcPr>
            <w:tcW w:w="737" w:type="dxa"/>
            <w:tcBorders>
              <w:top w:val="single" w:sz="12" w:space="0" w:color="000000"/>
              <w:bottom w:val="single" w:sz="4" w:space="0" w:color="000000"/>
            </w:tcBorders>
          </w:tcPr>
          <w:p>
            <w:pPr>
              <w:pStyle w:val="TableParagraph"/>
              <w:spacing w:before="27"/>
              <w:ind w:right="266"/>
              <w:rPr>
                <w:sz w:val="14"/>
              </w:rPr>
            </w:pPr>
            <w:r>
              <w:rPr>
                <w:spacing w:val="-4"/>
                <w:sz w:val="14"/>
              </w:rPr>
              <w:t>1.00</w:t>
            </w:r>
          </w:p>
        </w:tc>
        <w:tc>
          <w:tcPr>
            <w:tcW w:w="641" w:type="dxa"/>
            <w:tcBorders>
              <w:top w:val="single" w:sz="12" w:space="0" w:color="000000"/>
              <w:bottom w:val="single" w:sz="4" w:space="0" w:color="000000"/>
            </w:tcBorders>
          </w:tcPr>
          <w:p>
            <w:pPr>
              <w:pStyle w:val="TableParagraph"/>
              <w:spacing w:before="27"/>
              <w:ind w:right="171"/>
              <w:rPr>
                <w:sz w:val="14"/>
              </w:rPr>
            </w:pPr>
            <w:r>
              <w:rPr>
                <w:w w:val="99"/>
                <w:sz w:val="14"/>
              </w:rPr>
              <w:t>-</w:t>
            </w:r>
          </w:p>
        </w:tc>
        <w:tc>
          <w:tcPr>
            <w:tcW w:w="491" w:type="dxa"/>
            <w:tcBorders>
              <w:top w:val="single" w:sz="12" w:space="0" w:color="000000"/>
              <w:bottom w:val="single" w:sz="4" w:space="0" w:color="000000"/>
            </w:tcBorders>
          </w:tcPr>
          <w:p>
            <w:pPr>
              <w:pStyle w:val="TableParagraph"/>
              <w:spacing w:before="27"/>
              <w:ind w:right="63"/>
              <w:rPr>
                <w:sz w:val="14"/>
              </w:rPr>
            </w:pPr>
            <w:r>
              <w:rPr>
                <w:spacing w:val="-4"/>
                <w:sz w:val="14"/>
              </w:rPr>
              <w:t>1.00</w:t>
            </w:r>
          </w:p>
        </w:tc>
        <w:tc>
          <w:tcPr>
            <w:tcW w:w="792" w:type="dxa"/>
            <w:tcBorders>
              <w:top w:val="single" w:sz="12" w:space="0" w:color="000000"/>
              <w:bottom w:val="single" w:sz="4" w:space="0" w:color="000000"/>
            </w:tcBorders>
          </w:tcPr>
          <w:p>
            <w:pPr>
              <w:pStyle w:val="TableParagraph"/>
              <w:spacing w:before="27"/>
              <w:ind w:right="120"/>
              <w:rPr>
                <w:i/>
                <w:sz w:val="14"/>
              </w:rPr>
            </w:pPr>
            <w:r>
              <w:rPr>
                <w:i/>
                <w:spacing w:val="-4"/>
                <w:sz w:val="14"/>
              </w:rPr>
              <w:t>2.08</w:t>
            </w:r>
          </w:p>
        </w:tc>
        <w:tc>
          <w:tcPr>
            <w:tcW w:w="568" w:type="dxa"/>
            <w:tcBorders>
              <w:top w:val="single" w:sz="12" w:space="0" w:color="000000"/>
              <w:bottom w:val="single" w:sz="4" w:space="0" w:color="000000"/>
            </w:tcBorders>
          </w:tcPr>
          <w:p>
            <w:pPr>
              <w:pStyle w:val="TableParagraph"/>
              <w:spacing w:before="27"/>
              <w:ind w:right="96"/>
              <w:rPr>
                <w:sz w:val="14"/>
              </w:rPr>
            </w:pPr>
            <w:r>
              <w:rPr>
                <w:w w:val="99"/>
                <w:sz w:val="14"/>
              </w:rPr>
              <w:t>-</w:t>
            </w:r>
          </w:p>
        </w:tc>
        <w:tc>
          <w:tcPr>
            <w:tcW w:w="577" w:type="dxa"/>
            <w:tcBorders>
              <w:top w:val="single" w:sz="12" w:space="0" w:color="000000"/>
              <w:bottom w:val="single" w:sz="4" w:space="0" w:color="000000"/>
            </w:tcBorders>
          </w:tcPr>
          <w:p>
            <w:pPr>
              <w:pStyle w:val="TableParagraph"/>
              <w:spacing w:before="27"/>
              <w:ind w:right="82"/>
              <w:rPr>
                <w:sz w:val="14"/>
              </w:rPr>
            </w:pPr>
            <w:r>
              <w:rPr>
                <w:w w:val="99"/>
                <w:sz w:val="14"/>
              </w:rPr>
              <w:t>-</w:t>
            </w:r>
          </w:p>
        </w:tc>
        <w:tc>
          <w:tcPr>
            <w:tcW w:w="563" w:type="dxa"/>
            <w:tcBorders>
              <w:top w:val="single" w:sz="12" w:space="0" w:color="000000"/>
              <w:bottom w:val="single" w:sz="4" w:space="0" w:color="000000"/>
            </w:tcBorders>
          </w:tcPr>
          <w:p>
            <w:pPr>
              <w:pStyle w:val="TableParagraph"/>
              <w:spacing w:before="27"/>
              <w:ind w:right="51"/>
              <w:rPr>
                <w:sz w:val="14"/>
              </w:rPr>
            </w:pPr>
            <w:r>
              <w:rPr>
                <w:spacing w:val="-4"/>
                <w:sz w:val="14"/>
              </w:rPr>
              <w:t>0.58</w:t>
            </w:r>
          </w:p>
        </w:tc>
        <w:tc>
          <w:tcPr>
            <w:tcW w:w="811" w:type="dxa"/>
            <w:tcBorders>
              <w:top w:val="single" w:sz="12" w:space="0" w:color="000000"/>
              <w:bottom w:val="single" w:sz="4" w:space="0" w:color="000000"/>
            </w:tcBorders>
          </w:tcPr>
          <w:p>
            <w:pPr>
              <w:pStyle w:val="TableParagraph"/>
              <w:spacing w:before="27"/>
              <w:ind w:right="123"/>
              <w:rPr>
                <w:i/>
                <w:sz w:val="14"/>
              </w:rPr>
            </w:pPr>
            <w:r>
              <w:rPr>
                <w:i/>
                <w:spacing w:val="-4"/>
                <w:sz w:val="14"/>
              </w:rPr>
              <w:t>0.58</w:t>
            </w:r>
          </w:p>
        </w:tc>
        <w:tc>
          <w:tcPr>
            <w:tcW w:w="524" w:type="dxa"/>
            <w:tcBorders>
              <w:top w:val="single" w:sz="12" w:space="0" w:color="000000"/>
              <w:bottom w:val="single" w:sz="4" w:space="0" w:color="000000"/>
            </w:tcBorders>
          </w:tcPr>
          <w:p>
            <w:pPr>
              <w:pStyle w:val="TableParagraph"/>
              <w:spacing w:before="27"/>
              <w:ind w:right="47"/>
              <w:rPr>
                <w:b/>
                <w:sz w:val="14"/>
              </w:rPr>
            </w:pPr>
            <w:r>
              <w:rPr>
                <w:b/>
                <w:spacing w:val="-4"/>
                <w:sz w:val="14"/>
              </w:rPr>
              <w:t>2.67</w:t>
            </w:r>
          </w:p>
        </w:tc>
      </w:tr>
      <w:tr>
        <w:trPr>
          <w:trHeight w:val="225" w:hRule="atLeast"/>
        </w:trPr>
        <w:tc>
          <w:tcPr>
            <w:tcW w:w="1186" w:type="dxa"/>
            <w:tcBorders>
              <w:top w:val="single" w:sz="4" w:space="0" w:color="000000"/>
              <w:bottom w:val="single" w:sz="4" w:space="0" w:color="000000"/>
            </w:tcBorders>
          </w:tcPr>
          <w:p>
            <w:pPr>
              <w:pStyle w:val="TableParagraph"/>
              <w:spacing w:before="22"/>
              <w:ind w:left="67"/>
              <w:jc w:val="left"/>
              <w:rPr>
                <w:sz w:val="14"/>
              </w:rPr>
            </w:pPr>
            <w:r>
              <w:rPr>
                <w:spacing w:val="-5"/>
                <w:sz w:val="14"/>
              </w:rPr>
              <w:t>New</w:t>
            </w:r>
          </w:p>
        </w:tc>
        <w:tc>
          <w:tcPr>
            <w:tcW w:w="678" w:type="dxa"/>
            <w:tcBorders>
              <w:top w:val="single" w:sz="4" w:space="0" w:color="000000"/>
              <w:bottom w:val="single" w:sz="4" w:space="0" w:color="000000"/>
            </w:tcBorders>
          </w:tcPr>
          <w:p>
            <w:pPr>
              <w:pStyle w:val="TableParagraph"/>
              <w:spacing w:before="22"/>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2"/>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2"/>
              <w:ind w:right="171"/>
              <w:rPr>
                <w:sz w:val="14"/>
              </w:rPr>
            </w:pPr>
            <w:r>
              <w:rPr>
                <w:w w:val="99"/>
                <w:sz w:val="14"/>
              </w:rPr>
              <w:t>-</w:t>
            </w:r>
          </w:p>
        </w:tc>
        <w:tc>
          <w:tcPr>
            <w:tcW w:w="557" w:type="dxa"/>
            <w:tcBorders>
              <w:top w:val="single" w:sz="4" w:space="0" w:color="000000"/>
              <w:bottom w:val="single" w:sz="4" w:space="0" w:color="000000"/>
            </w:tcBorders>
          </w:tcPr>
          <w:p>
            <w:pPr>
              <w:pStyle w:val="TableParagraph"/>
              <w:spacing w:before="22"/>
              <w:ind w:right="167"/>
              <w:rPr>
                <w:sz w:val="14"/>
              </w:rPr>
            </w:pPr>
            <w:r>
              <w:rPr>
                <w:w w:val="99"/>
                <w:sz w:val="14"/>
              </w:rPr>
              <w:t>-</w:t>
            </w:r>
          </w:p>
        </w:tc>
        <w:tc>
          <w:tcPr>
            <w:tcW w:w="583" w:type="dxa"/>
            <w:tcBorders>
              <w:top w:val="single" w:sz="4" w:space="0" w:color="000000"/>
              <w:bottom w:val="single" w:sz="4" w:space="0" w:color="000000"/>
            </w:tcBorders>
          </w:tcPr>
          <w:p>
            <w:pPr>
              <w:pStyle w:val="TableParagraph"/>
              <w:spacing w:before="22"/>
              <w:ind w:left="194"/>
              <w:jc w:val="center"/>
              <w:rPr>
                <w:sz w:val="14"/>
              </w:rPr>
            </w:pPr>
            <w:r>
              <w:rPr>
                <w:w w:val="99"/>
                <w:sz w:val="14"/>
              </w:rPr>
              <w:t>-</w:t>
            </w:r>
          </w:p>
        </w:tc>
        <w:tc>
          <w:tcPr>
            <w:tcW w:w="545" w:type="dxa"/>
            <w:tcBorders>
              <w:top w:val="single" w:sz="4" w:space="0" w:color="000000"/>
              <w:bottom w:val="single" w:sz="4" w:space="0" w:color="000000"/>
            </w:tcBorders>
          </w:tcPr>
          <w:p>
            <w:pPr>
              <w:pStyle w:val="TableParagraph"/>
              <w:spacing w:before="22"/>
              <w:ind w:right="128"/>
              <w:rPr>
                <w:sz w:val="14"/>
              </w:rPr>
            </w:pPr>
            <w:r>
              <w:rPr>
                <w:w w:val="99"/>
                <w:sz w:val="14"/>
              </w:rPr>
              <w:t>-</w:t>
            </w:r>
          </w:p>
        </w:tc>
        <w:tc>
          <w:tcPr>
            <w:tcW w:w="737" w:type="dxa"/>
            <w:tcBorders>
              <w:top w:val="single" w:sz="4" w:space="0" w:color="000000"/>
              <w:bottom w:val="single" w:sz="4" w:space="0" w:color="000000"/>
            </w:tcBorders>
          </w:tcPr>
          <w:p>
            <w:pPr>
              <w:pStyle w:val="TableParagraph"/>
              <w:spacing w:before="22"/>
              <w:ind w:right="266"/>
              <w:rPr>
                <w:sz w:val="14"/>
              </w:rPr>
            </w:pPr>
            <w:r>
              <w:rPr>
                <w:spacing w:val="-4"/>
                <w:sz w:val="14"/>
              </w:rPr>
              <w:t>1.00</w:t>
            </w:r>
          </w:p>
        </w:tc>
        <w:tc>
          <w:tcPr>
            <w:tcW w:w="641" w:type="dxa"/>
            <w:tcBorders>
              <w:top w:val="single" w:sz="4" w:space="0" w:color="000000"/>
              <w:bottom w:val="single" w:sz="4" w:space="0" w:color="000000"/>
            </w:tcBorders>
          </w:tcPr>
          <w:p>
            <w:pPr>
              <w:pStyle w:val="TableParagraph"/>
              <w:spacing w:before="22"/>
              <w:ind w:right="171"/>
              <w:rPr>
                <w:sz w:val="14"/>
              </w:rPr>
            </w:pPr>
            <w:r>
              <w:rPr>
                <w:w w:val="99"/>
                <w:sz w:val="14"/>
              </w:rPr>
              <w:t>-</w:t>
            </w:r>
          </w:p>
        </w:tc>
        <w:tc>
          <w:tcPr>
            <w:tcW w:w="491" w:type="dxa"/>
            <w:tcBorders>
              <w:top w:val="single" w:sz="4" w:space="0" w:color="000000"/>
              <w:bottom w:val="single" w:sz="4" w:space="0" w:color="000000"/>
            </w:tcBorders>
          </w:tcPr>
          <w:p>
            <w:pPr>
              <w:pStyle w:val="TableParagraph"/>
              <w:spacing w:before="22"/>
              <w:ind w:right="66"/>
              <w:rPr>
                <w:sz w:val="14"/>
              </w:rPr>
            </w:pPr>
            <w:r>
              <w:rPr>
                <w:w w:val="99"/>
                <w:sz w:val="14"/>
              </w:rPr>
              <w:t>-</w:t>
            </w:r>
          </w:p>
        </w:tc>
        <w:tc>
          <w:tcPr>
            <w:tcW w:w="792" w:type="dxa"/>
            <w:tcBorders>
              <w:top w:val="single" w:sz="4" w:space="0" w:color="000000"/>
              <w:bottom w:val="single" w:sz="4" w:space="0" w:color="000000"/>
            </w:tcBorders>
          </w:tcPr>
          <w:p>
            <w:pPr>
              <w:pStyle w:val="TableParagraph"/>
              <w:spacing w:before="22"/>
              <w:ind w:right="120"/>
              <w:rPr>
                <w:i/>
                <w:sz w:val="14"/>
              </w:rPr>
            </w:pPr>
            <w:r>
              <w:rPr>
                <w:i/>
                <w:spacing w:val="-4"/>
                <w:sz w:val="14"/>
              </w:rPr>
              <w:t>1.00</w:t>
            </w:r>
          </w:p>
        </w:tc>
        <w:tc>
          <w:tcPr>
            <w:tcW w:w="568" w:type="dxa"/>
            <w:tcBorders>
              <w:top w:val="single" w:sz="4" w:space="0" w:color="000000"/>
              <w:bottom w:val="single" w:sz="4" w:space="0" w:color="000000"/>
            </w:tcBorders>
          </w:tcPr>
          <w:p>
            <w:pPr>
              <w:pStyle w:val="TableParagraph"/>
              <w:spacing w:before="22"/>
              <w:ind w:right="96"/>
              <w:rPr>
                <w:sz w:val="14"/>
              </w:rPr>
            </w:pPr>
            <w:r>
              <w:rPr>
                <w:w w:val="99"/>
                <w:sz w:val="14"/>
              </w:rPr>
              <w:t>-</w:t>
            </w:r>
          </w:p>
        </w:tc>
        <w:tc>
          <w:tcPr>
            <w:tcW w:w="577" w:type="dxa"/>
            <w:tcBorders>
              <w:top w:val="single" w:sz="4" w:space="0" w:color="000000"/>
              <w:bottom w:val="single" w:sz="4" w:space="0" w:color="000000"/>
            </w:tcBorders>
          </w:tcPr>
          <w:p>
            <w:pPr>
              <w:pStyle w:val="TableParagraph"/>
              <w:spacing w:before="22"/>
              <w:ind w:right="82"/>
              <w:rPr>
                <w:sz w:val="14"/>
              </w:rPr>
            </w:pPr>
            <w:r>
              <w:rPr>
                <w:w w:val="99"/>
                <w:sz w:val="14"/>
              </w:rPr>
              <w:t>-</w:t>
            </w:r>
          </w:p>
        </w:tc>
        <w:tc>
          <w:tcPr>
            <w:tcW w:w="563" w:type="dxa"/>
            <w:tcBorders>
              <w:top w:val="single" w:sz="4" w:space="0" w:color="000000"/>
              <w:bottom w:val="single" w:sz="4" w:space="0" w:color="000000"/>
            </w:tcBorders>
          </w:tcPr>
          <w:p>
            <w:pPr>
              <w:pStyle w:val="TableParagraph"/>
              <w:spacing w:before="22"/>
              <w:ind w:right="55"/>
              <w:rPr>
                <w:sz w:val="14"/>
              </w:rPr>
            </w:pPr>
            <w:r>
              <w:rPr>
                <w:w w:val="99"/>
                <w:sz w:val="14"/>
              </w:rPr>
              <w:t>-</w:t>
            </w:r>
          </w:p>
        </w:tc>
        <w:tc>
          <w:tcPr>
            <w:tcW w:w="811" w:type="dxa"/>
            <w:tcBorders>
              <w:top w:val="single" w:sz="4" w:space="0" w:color="000000"/>
              <w:bottom w:val="single" w:sz="4" w:space="0" w:color="000000"/>
            </w:tcBorders>
          </w:tcPr>
          <w:p>
            <w:pPr>
              <w:pStyle w:val="TableParagraph"/>
              <w:spacing w:before="22"/>
              <w:ind w:right="126"/>
              <w:rPr>
                <w:i/>
                <w:sz w:val="14"/>
              </w:rPr>
            </w:pPr>
            <w:r>
              <w:rPr>
                <w:i/>
                <w:w w:val="99"/>
                <w:sz w:val="14"/>
              </w:rPr>
              <w:t>-</w:t>
            </w:r>
          </w:p>
        </w:tc>
        <w:tc>
          <w:tcPr>
            <w:tcW w:w="524" w:type="dxa"/>
            <w:tcBorders>
              <w:top w:val="single" w:sz="4" w:space="0" w:color="000000"/>
              <w:bottom w:val="single" w:sz="4" w:space="0" w:color="000000"/>
            </w:tcBorders>
          </w:tcPr>
          <w:p>
            <w:pPr>
              <w:pStyle w:val="TableParagraph"/>
              <w:spacing w:before="22"/>
              <w:ind w:right="47"/>
              <w:rPr>
                <w:b/>
                <w:sz w:val="14"/>
              </w:rPr>
            </w:pPr>
            <w:r>
              <w:rPr>
                <w:b/>
                <w:spacing w:val="-4"/>
                <w:sz w:val="14"/>
              </w:rPr>
              <w:t>1.00</w:t>
            </w:r>
          </w:p>
        </w:tc>
      </w:tr>
      <w:tr>
        <w:trPr>
          <w:trHeight w:val="225" w:hRule="atLeast"/>
        </w:trPr>
        <w:tc>
          <w:tcPr>
            <w:tcW w:w="1186" w:type="dxa"/>
            <w:tcBorders>
              <w:top w:val="single" w:sz="4" w:space="0" w:color="000000"/>
              <w:bottom w:val="single" w:sz="4" w:space="0" w:color="000000"/>
            </w:tcBorders>
          </w:tcPr>
          <w:p>
            <w:pPr>
              <w:pStyle w:val="TableParagraph"/>
              <w:spacing w:before="27"/>
              <w:ind w:left="67"/>
              <w:jc w:val="left"/>
              <w:rPr>
                <w:sz w:val="14"/>
              </w:rPr>
            </w:pPr>
            <w:r>
              <w:rPr>
                <w:spacing w:val="-2"/>
                <w:sz w:val="14"/>
              </w:rPr>
              <w:t>Redeployed</w:t>
            </w:r>
          </w:p>
        </w:tc>
        <w:tc>
          <w:tcPr>
            <w:tcW w:w="678" w:type="dxa"/>
            <w:tcBorders>
              <w:top w:val="single" w:sz="4" w:space="0" w:color="000000"/>
              <w:bottom w:val="single" w:sz="4" w:space="0" w:color="000000"/>
            </w:tcBorders>
          </w:tcPr>
          <w:p>
            <w:pPr>
              <w:pStyle w:val="TableParagraph"/>
              <w:spacing w:before="27"/>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7"/>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7"/>
              <w:ind w:right="171"/>
              <w:rPr>
                <w:sz w:val="14"/>
              </w:rPr>
            </w:pPr>
            <w:r>
              <w:rPr>
                <w:w w:val="99"/>
                <w:sz w:val="14"/>
              </w:rPr>
              <w:t>-</w:t>
            </w:r>
          </w:p>
        </w:tc>
        <w:tc>
          <w:tcPr>
            <w:tcW w:w="557" w:type="dxa"/>
            <w:tcBorders>
              <w:top w:val="single" w:sz="4" w:space="0" w:color="000000"/>
              <w:bottom w:val="single" w:sz="4" w:space="0" w:color="000000"/>
            </w:tcBorders>
          </w:tcPr>
          <w:p>
            <w:pPr>
              <w:pStyle w:val="TableParagraph"/>
              <w:spacing w:before="27"/>
              <w:ind w:right="167"/>
              <w:rPr>
                <w:sz w:val="14"/>
              </w:rPr>
            </w:pPr>
            <w:r>
              <w:rPr>
                <w:w w:val="99"/>
                <w:sz w:val="14"/>
              </w:rPr>
              <w:t>-</w:t>
            </w:r>
          </w:p>
        </w:tc>
        <w:tc>
          <w:tcPr>
            <w:tcW w:w="583" w:type="dxa"/>
            <w:tcBorders>
              <w:top w:val="single" w:sz="4" w:space="0" w:color="000000"/>
              <w:bottom w:val="single" w:sz="4" w:space="0" w:color="000000"/>
            </w:tcBorders>
          </w:tcPr>
          <w:p>
            <w:pPr>
              <w:pStyle w:val="TableParagraph"/>
              <w:spacing w:before="27"/>
              <w:ind w:left="194"/>
              <w:jc w:val="center"/>
              <w:rPr>
                <w:sz w:val="14"/>
              </w:rPr>
            </w:pPr>
            <w:r>
              <w:rPr>
                <w:w w:val="99"/>
                <w:sz w:val="14"/>
              </w:rPr>
              <w:t>-</w:t>
            </w:r>
          </w:p>
        </w:tc>
        <w:tc>
          <w:tcPr>
            <w:tcW w:w="545" w:type="dxa"/>
            <w:tcBorders>
              <w:top w:val="single" w:sz="4" w:space="0" w:color="000000"/>
              <w:bottom w:val="single" w:sz="4" w:space="0" w:color="000000"/>
            </w:tcBorders>
          </w:tcPr>
          <w:p>
            <w:pPr>
              <w:pStyle w:val="TableParagraph"/>
              <w:spacing w:before="27"/>
              <w:ind w:right="128"/>
              <w:rPr>
                <w:sz w:val="14"/>
              </w:rPr>
            </w:pPr>
            <w:r>
              <w:rPr>
                <w:w w:val="99"/>
                <w:sz w:val="14"/>
              </w:rPr>
              <w:t>-</w:t>
            </w:r>
          </w:p>
        </w:tc>
        <w:tc>
          <w:tcPr>
            <w:tcW w:w="737" w:type="dxa"/>
            <w:tcBorders>
              <w:top w:val="single" w:sz="4" w:space="0" w:color="000000"/>
              <w:bottom w:val="single" w:sz="4" w:space="0" w:color="000000"/>
            </w:tcBorders>
          </w:tcPr>
          <w:p>
            <w:pPr>
              <w:pStyle w:val="TableParagraph"/>
              <w:spacing w:before="27"/>
              <w:ind w:right="269"/>
              <w:rPr>
                <w:sz w:val="14"/>
              </w:rPr>
            </w:pPr>
            <w:r>
              <w:rPr>
                <w:w w:val="99"/>
                <w:sz w:val="14"/>
              </w:rPr>
              <w:t>-</w:t>
            </w:r>
          </w:p>
        </w:tc>
        <w:tc>
          <w:tcPr>
            <w:tcW w:w="641" w:type="dxa"/>
            <w:tcBorders>
              <w:top w:val="single" w:sz="4" w:space="0" w:color="000000"/>
              <w:bottom w:val="single" w:sz="4" w:space="0" w:color="000000"/>
            </w:tcBorders>
          </w:tcPr>
          <w:p>
            <w:pPr>
              <w:pStyle w:val="TableParagraph"/>
              <w:spacing w:before="27"/>
              <w:ind w:right="171"/>
              <w:rPr>
                <w:sz w:val="14"/>
              </w:rPr>
            </w:pPr>
            <w:r>
              <w:rPr>
                <w:w w:val="99"/>
                <w:sz w:val="14"/>
              </w:rPr>
              <w:t>-</w:t>
            </w:r>
          </w:p>
        </w:tc>
        <w:tc>
          <w:tcPr>
            <w:tcW w:w="491" w:type="dxa"/>
            <w:tcBorders>
              <w:top w:val="single" w:sz="4" w:space="0" w:color="000000"/>
              <w:bottom w:val="single" w:sz="4" w:space="0" w:color="000000"/>
            </w:tcBorders>
          </w:tcPr>
          <w:p>
            <w:pPr>
              <w:pStyle w:val="TableParagraph"/>
              <w:spacing w:before="27"/>
              <w:ind w:right="66"/>
              <w:rPr>
                <w:sz w:val="14"/>
              </w:rPr>
            </w:pPr>
            <w:r>
              <w:rPr>
                <w:w w:val="99"/>
                <w:sz w:val="14"/>
              </w:rPr>
              <w:t>-</w:t>
            </w:r>
          </w:p>
        </w:tc>
        <w:tc>
          <w:tcPr>
            <w:tcW w:w="792" w:type="dxa"/>
            <w:tcBorders>
              <w:top w:val="single" w:sz="4" w:space="0" w:color="000000"/>
              <w:bottom w:val="single" w:sz="4" w:space="0" w:color="000000"/>
            </w:tcBorders>
          </w:tcPr>
          <w:p>
            <w:pPr>
              <w:pStyle w:val="TableParagraph"/>
              <w:spacing w:before="27"/>
              <w:ind w:right="123"/>
              <w:rPr>
                <w:i/>
                <w:sz w:val="14"/>
              </w:rPr>
            </w:pPr>
            <w:r>
              <w:rPr>
                <w:i/>
                <w:w w:val="99"/>
                <w:sz w:val="14"/>
              </w:rPr>
              <w:t>-</w:t>
            </w:r>
          </w:p>
        </w:tc>
        <w:tc>
          <w:tcPr>
            <w:tcW w:w="568" w:type="dxa"/>
            <w:tcBorders>
              <w:top w:val="single" w:sz="4" w:space="0" w:color="000000"/>
              <w:bottom w:val="single" w:sz="4" w:space="0" w:color="000000"/>
            </w:tcBorders>
          </w:tcPr>
          <w:p>
            <w:pPr>
              <w:pStyle w:val="TableParagraph"/>
              <w:spacing w:before="27"/>
              <w:ind w:right="96"/>
              <w:rPr>
                <w:sz w:val="14"/>
              </w:rPr>
            </w:pPr>
            <w:r>
              <w:rPr>
                <w:w w:val="99"/>
                <w:sz w:val="14"/>
              </w:rPr>
              <w:t>-</w:t>
            </w:r>
          </w:p>
        </w:tc>
        <w:tc>
          <w:tcPr>
            <w:tcW w:w="577" w:type="dxa"/>
            <w:tcBorders>
              <w:top w:val="single" w:sz="4" w:space="0" w:color="000000"/>
              <w:bottom w:val="single" w:sz="4" w:space="0" w:color="000000"/>
            </w:tcBorders>
          </w:tcPr>
          <w:p>
            <w:pPr>
              <w:pStyle w:val="TableParagraph"/>
              <w:spacing w:before="27"/>
              <w:ind w:right="82"/>
              <w:rPr>
                <w:sz w:val="14"/>
              </w:rPr>
            </w:pPr>
            <w:r>
              <w:rPr>
                <w:w w:val="99"/>
                <w:sz w:val="14"/>
              </w:rPr>
              <w:t>-</w:t>
            </w:r>
          </w:p>
        </w:tc>
        <w:tc>
          <w:tcPr>
            <w:tcW w:w="563" w:type="dxa"/>
            <w:tcBorders>
              <w:top w:val="single" w:sz="4" w:space="0" w:color="000000"/>
              <w:bottom w:val="single" w:sz="4" w:space="0" w:color="000000"/>
            </w:tcBorders>
          </w:tcPr>
          <w:p>
            <w:pPr>
              <w:pStyle w:val="TableParagraph"/>
              <w:spacing w:before="27"/>
              <w:ind w:right="55"/>
              <w:rPr>
                <w:sz w:val="14"/>
              </w:rPr>
            </w:pPr>
            <w:r>
              <w:rPr>
                <w:w w:val="99"/>
                <w:sz w:val="14"/>
              </w:rPr>
              <w:t>-</w:t>
            </w:r>
          </w:p>
        </w:tc>
        <w:tc>
          <w:tcPr>
            <w:tcW w:w="811" w:type="dxa"/>
            <w:tcBorders>
              <w:top w:val="single" w:sz="4" w:space="0" w:color="000000"/>
              <w:bottom w:val="single" w:sz="4" w:space="0" w:color="000000"/>
            </w:tcBorders>
          </w:tcPr>
          <w:p>
            <w:pPr>
              <w:pStyle w:val="TableParagraph"/>
              <w:spacing w:before="27"/>
              <w:ind w:right="126"/>
              <w:rPr>
                <w:i/>
                <w:sz w:val="14"/>
              </w:rPr>
            </w:pPr>
            <w:r>
              <w:rPr>
                <w:i/>
                <w:w w:val="99"/>
                <w:sz w:val="14"/>
              </w:rPr>
              <w:t>-</w:t>
            </w:r>
          </w:p>
        </w:tc>
        <w:tc>
          <w:tcPr>
            <w:tcW w:w="524" w:type="dxa"/>
            <w:tcBorders>
              <w:top w:val="single" w:sz="4" w:space="0" w:color="000000"/>
              <w:bottom w:val="single" w:sz="4" w:space="0" w:color="000000"/>
            </w:tcBorders>
          </w:tcPr>
          <w:p>
            <w:pPr>
              <w:pStyle w:val="TableParagraph"/>
              <w:spacing w:before="27"/>
              <w:ind w:right="50"/>
              <w:rPr>
                <w:b/>
                <w:sz w:val="14"/>
              </w:rPr>
            </w:pPr>
            <w:r>
              <w:rPr>
                <w:b/>
                <w:w w:val="99"/>
                <w:sz w:val="14"/>
              </w:rPr>
              <w:t>-</w:t>
            </w:r>
          </w:p>
        </w:tc>
      </w:tr>
      <w:tr>
        <w:trPr>
          <w:trHeight w:val="230" w:hRule="atLeast"/>
        </w:trPr>
        <w:tc>
          <w:tcPr>
            <w:tcW w:w="1186" w:type="dxa"/>
            <w:tcBorders>
              <w:top w:val="single" w:sz="4" w:space="0" w:color="000000"/>
              <w:bottom w:val="single" w:sz="4" w:space="0" w:color="000000"/>
            </w:tcBorders>
          </w:tcPr>
          <w:p>
            <w:pPr>
              <w:pStyle w:val="TableParagraph"/>
              <w:spacing w:before="27"/>
              <w:ind w:left="67"/>
              <w:jc w:val="left"/>
              <w:rPr>
                <w:sz w:val="14"/>
              </w:rPr>
            </w:pPr>
            <w:r>
              <w:rPr>
                <w:spacing w:val="-2"/>
                <w:sz w:val="14"/>
              </w:rPr>
              <w:t>Reclassified</w:t>
            </w:r>
          </w:p>
        </w:tc>
        <w:tc>
          <w:tcPr>
            <w:tcW w:w="678" w:type="dxa"/>
            <w:tcBorders>
              <w:top w:val="single" w:sz="4" w:space="0" w:color="000000"/>
              <w:bottom w:val="single" w:sz="4" w:space="0" w:color="000000"/>
            </w:tcBorders>
          </w:tcPr>
          <w:p>
            <w:pPr>
              <w:pStyle w:val="TableParagraph"/>
              <w:spacing w:before="27"/>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7"/>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7"/>
              <w:ind w:right="171"/>
              <w:rPr>
                <w:sz w:val="14"/>
              </w:rPr>
            </w:pPr>
            <w:r>
              <w:rPr>
                <w:w w:val="99"/>
                <w:sz w:val="14"/>
              </w:rPr>
              <w:t>-</w:t>
            </w:r>
          </w:p>
        </w:tc>
        <w:tc>
          <w:tcPr>
            <w:tcW w:w="557" w:type="dxa"/>
            <w:tcBorders>
              <w:top w:val="single" w:sz="4" w:space="0" w:color="000000"/>
              <w:bottom w:val="single" w:sz="4" w:space="0" w:color="000000"/>
            </w:tcBorders>
          </w:tcPr>
          <w:p>
            <w:pPr>
              <w:pStyle w:val="TableParagraph"/>
              <w:spacing w:before="27"/>
              <w:ind w:right="167"/>
              <w:rPr>
                <w:sz w:val="14"/>
              </w:rPr>
            </w:pPr>
            <w:r>
              <w:rPr>
                <w:w w:val="99"/>
                <w:sz w:val="14"/>
              </w:rPr>
              <w:t>-</w:t>
            </w:r>
          </w:p>
        </w:tc>
        <w:tc>
          <w:tcPr>
            <w:tcW w:w="583" w:type="dxa"/>
            <w:tcBorders>
              <w:top w:val="single" w:sz="4" w:space="0" w:color="000000"/>
              <w:bottom w:val="single" w:sz="4" w:space="0" w:color="000000"/>
            </w:tcBorders>
          </w:tcPr>
          <w:p>
            <w:pPr>
              <w:pStyle w:val="TableParagraph"/>
              <w:spacing w:before="27"/>
              <w:ind w:left="194"/>
              <w:jc w:val="center"/>
              <w:rPr>
                <w:sz w:val="14"/>
              </w:rPr>
            </w:pPr>
            <w:r>
              <w:rPr>
                <w:w w:val="99"/>
                <w:sz w:val="14"/>
              </w:rPr>
              <w:t>-</w:t>
            </w:r>
          </w:p>
        </w:tc>
        <w:tc>
          <w:tcPr>
            <w:tcW w:w="545" w:type="dxa"/>
            <w:tcBorders>
              <w:top w:val="single" w:sz="4" w:space="0" w:color="000000"/>
              <w:bottom w:val="single" w:sz="4" w:space="0" w:color="000000"/>
            </w:tcBorders>
          </w:tcPr>
          <w:p>
            <w:pPr>
              <w:pStyle w:val="TableParagraph"/>
              <w:spacing w:before="27"/>
              <w:ind w:right="128"/>
              <w:rPr>
                <w:sz w:val="14"/>
              </w:rPr>
            </w:pPr>
            <w:r>
              <w:rPr>
                <w:w w:val="99"/>
                <w:sz w:val="14"/>
              </w:rPr>
              <w:t>-</w:t>
            </w:r>
          </w:p>
        </w:tc>
        <w:tc>
          <w:tcPr>
            <w:tcW w:w="737" w:type="dxa"/>
            <w:tcBorders>
              <w:top w:val="single" w:sz="4" w:space="0" w:color="000000"/>
              <w:bottom w:val="single" w:sz="4" w:space="0" w:color="000000"/>
            </w:tcBorders>
          </w:tcPr>
          <w:p>
            <w:pPr>
              <w:pStyle w:val="TableParagraph"/>
              <w:spacing w:before="27"/>
              <w:ind w:right="269"/>
              <w:rPr>
                <w:sz w:val="14"/>
              </w:rPr>
            </w:pPr>
            <w:r>
              <w:rPr>
                <w:w w:val="99"/>
                <w:sz w:val="14"/>
              </w:rPr>
              <w:t>-</w:t>
            </w:r>
          </w:p>
        </w:tc>
        <w:tc>
          <w:tcPr>
            <w:tcW w:w="641" w:type="dxa"/>
            <w:tcBorders>
              <w:top w:val="single" w:sz="4" w:space="0" w:color="000000"/>
              <w:bottom w:val="single" w:sz="4" w:space="0" w:color="000000"/>
            </w:tcBorders>
          </w:tcPr>
          <w:p>
            <w:pPr>
              <w:pStyle w:val="TableParagraph"/>
              <w:spacing w:before="27"/>
              <w:ind w:right="171"/>
              <w:rPr>
                <w:sz w:val="14"/>
              </w:rPr>
            </w:pPr>
            <w:r>
              <w:rPr>
                <w:w w:val="99"/>
                <w:sz w:val="14"/>
              </w:rPr>
              <w:t>-</w:t>
            </w:r>
          </w:p>
        </w:tc>
        <w:tc>
          <w:tcPr>
            <w:tcW w:w="491" w:type="dxa"/>
            <w:tcBorders>
              <w:top w:val="single" w:sz="4" w:space="0" w:color="000000"/>
              <w:bottom w:val="single" w:sz="4" w:space="0" w:color="000000"/>
            </w:tcBorders>
          </w:tcPr>
          <w:p>
            <w:pPr>
              <w:pStyle w:val="TableParagraph"/>
              <w:spacing w:before="27"/>
              <w:ind w:right="66"/>
              <w:rPr>
                <w:sz w:val="14"/>
              </w:rPr>
            </w:pPr>
            <w:r>
              <w:rPr>
                <w:w w:val="99"/>
                <w:sz w:val="14"/>
              </w:rPr>
              <w:t>-</w:t>
            </w:r>
          </w:p>
        </w:tc>
        <w:tc>
          <w:tcPr>
            <w:tcW w:w="792" w:type="dxa"/>
            <w:tcBorders>
              <w:top w:val="single" w:sz="4" w:space="0" w:color="000000"/>
              <w:bottom w:val="single" w:sz="4" w:space="0" w:color="000000"/>
            </w:tcBorders>
          </w:tcPr>
          <w:p>
            <w:pPr>
              <w:pStyle w:val="TableParagraph"/>
              <w:spacing w:before="27"/>
              <w:ind w:right="123"/>
              <w:rPr>
                <w:i/>
                <w:sz w:val="14"/>
              </w:rPr>
            </w:pPr>
            <w:r>
              <w:rPr>
                <w:i/>
                <w:w w:val="99"/>
                <w:sz w:val="14"/>
              </w:rPr>
              <w:t>-</w:t>
            </w:r>
          </w:p>
        </w:tc>
        <w:tc>
          <w:tcPr>
            <w:tcW w:w="568" w:type="dxa"/>
            <w:tcBorders>
              <w:top w:val="single" w:sz="4" w:space="0" w:color="000000"/>
              <w:bottom w:val="single" w:sz="4" w:space="0" w:color="000000"/>
            </w:tcBorders>
          </w:tcPr>
          <w:p>
            <w:pPr>
              <w:pStyle w:val="TableParagraph"/>
              <w:spacing w:before="27"/>
              <w:ind w:right="96"/>
              <w:rPr>
                <w:sz w:val="14"/>
              </w:rPr>
            </w:pPr>
            <w:r>
              <w:rPr>
                <w:w w:val="99"/>
                <w:sz w:val="14"/>
              </w:rPr>
              <w:t>-</w:t>
            </w:r>
          </w:p>
        </w:tc>
        <w:tc>
          <w:tcPr>
            <w:tcW w:w="577" w:type="dxa"/>
            <w:tcBorders>
              <w:top w:val="single" w:sz="4" w:space="0" w:color="000000"/>
              <w:bottom w:val="single" w:sz="4" w:space="0" w:color="000000"/>
            </w:tcBorders>
          </w:tcPr>
          <w:p>
            <w:pPr>
              <w:pStyle w:val="TableParagraph"/>
              <w:spacing w:before="27"/>
              <w:ind w:right="82"/>
              <w:rPr>
                <w:sz w:val="14"/>
              </w:rPr>
            </w:pPr>
            <w:r>
              <w:rPr>
                <w:w w:val="99"/>
                <w:sz w:val="14"/>
              </w:rPr>
              <w:t>-</w:t>
            </w:r>
          </w:p>
        </w:tc>
        <w:tc>
          <w:tcPr>
            <w:tcW w:w="563" w:type="dxa"/>
            <w:tcBorders>
              <w:top w:val="single" w:sz="4" w:space="0" w:color="000000"/>
              <w:bottom w:val="single" w:sz="4" w:space="0" w:color="000000"/>
            </w:tcBorders>
          </w:tcPr>
          <w:p>
            <w:pPr>
              <w:pStyle w:val="TableParagraph"/>
              <w:spacing w:before="27"/>
              <w:ind w:right="55"/>
              <w:rPr>
                <w:sz w:val="14"/>
              </w:rPr>
            </w:pPr>
            <w:r>
              <w:rPr>
                <w:w w:val="99"/>
                <w:sz w:val="14"/>
              </w:rPr>
              <w:t>-</w:t>
            </w:r>
          </w:p>
        </w:tc>
        <w:tc>
          <w:tcPr>
            <w:tcW w:w="811" w:type="dxa"/>
            <w:tcBorders>
              <w:top w:val="single" w:sz="4" w:space="0" w:color="000000"/>
              <w:bottom w:val="single" w:sz="4" w:space="0" w:color="000000"/>
            </w:tcBorders>
          </w:tcPr>
          <w:p>
            <w:pPr>
              <w:pStyle w:val="TableParagraph"/>
              <w:spacing w:before="27"/>
              <w:ind w:right="126"/>
              <w:rPr>
                <w:i/>
                <w:sz w:val="14"/>
              </w:rPr>
            </w:pPr>
            <w:r>
              <w:rPr>
                <w:i/>
                <w:w w:val="99"/>
                <w:sz w:val="14"/>
              </w:rPr>
              <w:t>-</w:t>
            </w:r>
          </w:p>
        </w:tc>
        <w:tc>
          <w:tcPr>
            <w:tcW w:w="524" w:type="dxa"/>
            <w:tcBorders>
              <w:top w:val="single" w:sz="4" w:space="0" w:color="000000"/>
              <w:bottom w:val="single" w:sz="4" w:space="0" w:color="000000"/>
            </w:tcBorders>
          </w:tcPr>
          <w:p>
            <w:pPr>
              <w:pStyle w:val="TableParagraph"/>
              <w:spacing w:before="27"/>
              <w:ind w:right="50"/>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2"/>
              <w:ind w:left="67"/>
              <w:jc w:val="left"/>
              <w:rPr>
                <w:sz w:val="14"/>
              </w:rPr>
            </w:pPr>
            <w:r>
              <w:rPr>
                <w:spacing w:val="-2"/>
                <w:sz w:val="14"/>
              </w:rPr>
              <w:t>Converted</w:t>
            </w:r>
          </w:p>
        </w:tc>
        <w:tc>
          <w:tcPr>
            <w:tcW w:w="678" w:type="dxa"/>
            <w:tcBorders>
              <w:top w:val="single" w:sz="4" w:space="0" w:color="000000"/>
              <w:bottom w:val="single" w:sz="4" w:space="0" w:color="000000"/>
            </w:tcBorders>
          </w:tcPr>
          <w:p>
            <w:pPr>
              <w:pStyle w:val="TableParagraph"/>
              <w:spacing w:before="22"/>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2"/>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2"/>
              <w:ind w:right="171"/>
              <w:rPr>
                <w:sz w:val="14"/>
              </w:rPr>
            </w:pPr>
            <w:r>
              <w:rPr>
                <w:w w:val="99"/>
                <w:sz w:val="14"/>
              </w:rPr>
              <w:t>-</w:t>
            </w:r>
          </w:p>
        </w:tc>
        <w:tc>
          <w:tcPr>
            <w:tcW w:w="557" w:type="dxa"/>
            <w:tcBorders>
              <w:top w:val="single" w:sz="4" w:space="0" w:color="000000"/>
              <w:bottom w:val="single" w:sz="4" w:space="0" w:color="000000"/>
            </w:tcBorders>
          </w:tcPr>
          <w:p>
            <w:pPr>
              <w:pStyle w:val="TableParagraph"/>
              <w:spacing w:before="22"/>
              <w:ind w:right="167"/>
              <w:rPr>
                <w:sz w:val="14"/>
              </w:rPr>
            </w:pPr>
            <w:r>
              <w:rPr>
                <w:w w:val="99"/>
                <w:sz w:val="14"/>
              </w:rPr>
              <w:t>-</w:t>
            </w:r>
          </w:p>
        </w:tc>
        <w:tc>
          <w:tcPr>
            <w:tcW w:w="583" w:type="dxa"/>
            <w:tcBorders>
              <w:top w:val="single" w:sz="4" w:space="0" w:color="000000"/>
              <w:bottom w:val="single" w:sz="4" w:space="0" w:color="000000"/>
            </w:tcBorders>
          </w:tcPr>
          <w:p>
            <w:pPr>
              <w:pStyle w:val="TableParagraph"/>
              <w:spacing w:before="22"/>
              <w:ind w:left="194"/>
              <w:jc w:val="center"/>
              <w:rPr>
                <w:sz w:val="14"/>
              </w:rPr>
            </w:pPr>
            <w:r>
              <w:rPr>
                <w:w w:val="99"/>
                <w:sz w:val="14"/>
              </w:rPr>
              <w:t>-</w:t>
            </w:r>
          </w:p>
        </w:tc>
        <w:tc>
          <w:tcPr>
            <w:tcW w:w="545" w:type="dxa"/>
            <w:tcBorders>
              <w:top w:val="single" w:sz="4" w:space="0" w:color="000000"/>
              <w:bottom w:val="single" w:sz="4" w:space="0" w:color="000000"/>
            </w:tcBorders>
          </w:tcPr>
          <w:p>
            <w:pPr>
              <w:pStyle w:val="TableParagraph"/>
              <w:spacing w:before="22"/>
              <w:ind w:right="128"/>
              <w:rPr>
                <w:sz w:val="14"/>
              </w:rPr>
            </w:pPr>
            <w:r>
              <w:rPr>
                <w:w w:val="99"/>
                <w:sz w:val="14"/>
              </w:rPr>
              <w:t>-</w:t>
            </w:r>
          </w:p>
        </w:tc>
        <w:tc>
          <w:tcPr>
            <w:tcW w:w="737" w:type="dxa"/>
            <w:tcBorders>
              <w:top w:val="single" w:sz="4" w:space="0" w:color="000000"/>
              <w:bottom w:val="single" w:sz="4" w:space="0" w:color="000000"/>
            </w:tcBorders>
          </w:tcPr>
          <w:p>
            <w:pPr>
              <w:pStyle w:val="TableParagraph"/>
              <w:spacing w:before="22"/>
              <w:ind w:right="265"/>
              <w:rPr>
                <w:sz w:val="14"/>
              </w:rPr>
            </w:pPr>
            <w:r>
              <w:rPr>
                <w:spacing w:val="-2"/>
                <w:sz w:val="14"/>
              </w:rPr>
              <w:t>(1.00)</w:t>
            </w:r>
          </w:p>
        </w:tc>
        <w:tc>
          <w:tcPr>
            <w:tcW w:w="641" w:type="dxa"/>
            <w:tcBorders>
              <w:top w:val="single" w:sz="4" w:space="0" w:color="000000"/>
              <w:bottom w:val="single" w:sz="4" w:space="0" w:color="000000"/>
            </w:tcBorders>
          </w:tcPr>
          <w:p>
            <w:pPr>
              <w:pStyle w:val="TableParagraph"/>
              <w:spacing w:before="22"/>
              <w:ind w:right="171"/>
              <w:rPr>
                <w:sz w:val="14"/>
              </w:rPr>
            </w:pPr>
            <w:r>
              <w:rPr>
                <w:w w:val="99"/>
                <w:sz w:val="14"/>
              </w:rPr>
              <w:t>-</w:t>
            </w:r>
          </w:p>
        </w:tc>
        <w:tc>
          <w:tcPr>
            <w:tcW w:w="491" w:type="dxa"/>
            <w:tcBorders>
              <w:top w:val="single" w:sz="4" w:space="0" w:color="000000"/>
              <w:bottom w:val="single" w:sz="4" w:space="0" w:color="000000"/>
            </w:tcBorders>
          </w:tcPr>
          <w:p>
            <w:pPr>
              <w:pStyle w:val="TableParagraph"/>
              <w:spacing w:before="22"/>
              <w:ind w:right="66"/>
              <w:rPr>
                <w:sz w:val="14"/>
              </w:rPr>
            </w:pPr>
            <w:r>
              <w:rPr>
                <w:w w:val="99"/>
                <w:sz w:val="14"/>
              </w:rPr>
              <w:t>-</w:t>
            </w:r>
          </w:p>
        </w:tc>
        <w:tc>
          <w:tcPr>
            <w:tcW w:w="792" w:type="dxa"/>
            <w:tcBorders>
              <w:top w:val="single" w:sz="4" w:space="0" w:color="000000"/>
              <w:bottom w:val="single" w:sz="4" w:space="0" w:color="000000"/>
            </w:tcBorders>
          </w:tcPr>
          <w:p>
            <w:pPr>
              <w:pStyle w:val="TableParagraph"/>
              <w:spacing w:before="22"/>
              <w:ind w:right="120"/>
              <w:rPr>
                <w:i/>
                <w:sz w:val="14"/>
              </w:rPr>
            </w:pPr>
            <w:r>
              <w:rPr>
                <w:i/>
                <w:spacing w:val="-2"/>
                <w:sz w:val="14"/>
              </w:rPr>
              <w:t>(1.00)</w:t>
            </w:r>
          </w:p>
        </w:tc>
        <w:tc>
          <w:tcPr>
            <w:tcW w:w="568" w:type="dxa"/>
            <w:tcBorders>
              <w:top w:val="single" w:sz="4" w:space="0" w:color="000000"/>
              <w:bottom w:val="single" w:sz="4" w:space="0" w:color="000000"/>
            </w:tcBorders>
          </w:tcPr>
          <w:p>
            <w:pPr>
              <w:pStyle w:val="TableParagraph"/>
              <w:spacing w:before="22"/>
              <w:ind w:right="96"/>
              <w:rPr>
                <w:sz w:val="14"/>
              </w:rPr>
            </w:pPr>
            <w:r>
              <w:rPr>
                <w:w w:val="99"/>
                <w:sz w:val="14"/>
              </w:rPr>
              <w:t>-</w:t>
            </w:r>
          </w:p>
        </w:tc>
        <w:tc>
          <w:tcPr>
            <w:tcW w:w="577" w:type="dxa"/>
            <w:tcBorders>
              <w:top w:val="single" w:sz="4" w:space="0" w:color="000000"/>
              <w:bottom w:val="single" w:sz="4" w:space="0" w:color="000000"/>
            </w:tcBorders>
          </w:tcPr>
          <w:p>
            <w:pPr>
              <w:pStyle w:val="TableParagraph"/>
              <w:spacing w:before="22"/>
              <w:ind w:right="82"/>
              <w:rPr>
                <w:sz w:val="14"/>
              </w:rPr>
            </w:pPr>
            <w:r>
              <w:rPr>
                <w:w w:val="99"/>
                <w:sz w:val="14"/>
              </w:rPr>
              <w:t>-</w:t>
            </w:r>
          </w:p>
        </w:tc>
        <w:tc>
          <w:tcPr>
            <w:tcW w:w="563" w:type="dxa"/>
            <w:tcBorders>
              <w:top w:val="single" w:sz="4" w:space="0" w:color="000000"/>
              <w:bottom w:val="single" w:sz="4" w:space="0" w:color="000000"/>
            </w:tcBorders>
          </w:tcPr>
          <w:p>
            <w:pPr>
              <w:pStyle w:val="TableParagraph"/>
              <w:spacing w:before="22"/>
              <w:ind w:right="55"/>
              <w:rPr>
                <w:sz w:val="14"/>
              </w:rPr>
            </w:pPr>
            <w:r>
              <w:rPr>
                <w:w w:val="99"/>
                <w:sz w:val="14"/>
              </w:rPr>
              <w:t>-</w:t>
            </w:r>
          </w:p>
        </w:tc>
        <w:tc>
          <w:tcPr>
            <w:tcW w:w="811" w:type="dxa"/>
            <w:tcBorders>
              <w:top w:val="single" w:sz="4" w:space="0" w:color="000000"/>
              <w:bottom w:val="single" w:sz="4" w:space="0" w:color="000000"/>
            </w:tcBorders>
          </w:tcPr>
          <w:p>
            <w:pPr>
              <w:pStyle w:val="TableParagraph"/>
              <w:spacing w:before="22"/>
              <w:ind w:right="126"/>
              <w:rPr>
                <w:i/>
                <w:sz w:val="14"/>
              </w:rPr>
            </w:pPr>
            <w:r>
              <w:rPr>
                <w:i/>
                <w:w w:val="99"/>
                <w:sz w:val="14"/>
              </w:rPr>
              <w:t>-</w:t>
            </w:r>
          </w:p>
        </w:tc>
        <w:tc>
          <w:tcPr>
            <w:tcW w:w="524" w:type="dxa"/>
            <w:tcBorders>
              <w:top w:val="single" w:sz="4" w:space="0" w:color="000000"/>
              <w:bottom w:val="single" w:sz="4" w:space="0" w:color="000000"/>
            </w:tcBorders>
          </w:tcPr>
          <w:p>
            <w:pPr>
              <w:pStyle w:val="TableParagraph"/>
              <w:spacing w:before="22"/>
              <w:ind w:right="46"/>
              <w:rPr>
                <w:b/>
                <w:sz w:val="14"/>
              </w:rPr>
            </w:pPr>
            <w:r>
              <w:rPr>
                <w:b/>
                <w:spacing w:val="-2"/>
                <w:sz w:val="14"/>
              </w:rPr>
              <w:t>(1.00)</w:t>
            </w:r>
          </w:p>
        </w:tc>
      </w:tr>
      <w:tr>
        <w:trPr>
          <w:trHeight w:val="229" w:hRule="atLeast"/>
        </w:trPr>
        <w:tc>
          <w:tcPr>
            <w:tcW w:w="1186" w:type="dxa"/>
            <w:tcBorders>
              <w:top w:val="single" w:sz="4" w:space="0" w:color="000000"/>
              <w:bottom w:val="single" w:sz="12" w:space="0" w:color="000000"/>
            </w:tcBorders>
          </w:tcPr>
          <w:p>
            <w:pPr>
              <w:pStyle w:val="TableParagraph"/>
              <w:spacing w:before="27"/>
              <w:ind w:left="67"/>
              <w:jc w:val="left"/>
              <w:rPr>
                <w:b/>
                <w:sz w:val="14"/>
              </w:rPr>
            </w:pPr>
            <w:r>
              <w:rPr>
                <w:b/>
                <w:sz w:val="14"/>
              </w:rPr>
              <w:t>Proposed</w:t>
            </w:r>
            <w:r>
              <w:rPr>
                <w:b/>
                <w:spacing w:val="-6"/>
                <w:sz w:val="14"/>
              </w:rPr>
              <w:t> </w:t>
            </w:r>
            <w:r>
              <w:rPr>
                <w:b/>
                <w:spacing w:val="-4"/>
                <w:sz w:val="14"/>
              </w:rPr>
              <w:t>2023</w:t>
            </w:r>
          </w:p>
        </w:tc>
        <w:tc>
          <w:tcPr>
            <w:tcW w:w="678" w:type="dxa"/>
            <w:tcBorders>
              <w:top w:val="single" w:sz="4" w:space="0" w:color="000000"/>
              <w:bottom w:val="single" w:sz="12" w:space="0" w:color="000000"/>
            </w:tcBorders>
          </w:tcPr>
          <w:p>
            <w:pPr>
              <w:pStyle w:val="TableParagraph"/>
              <w:spacing w:before="27"/>
              <w:ind w:right="154"/>
              <w:rPr>
                <w:b/>
                <w:sz w:val="14"/>
              </w:rPr>
            </w:pPr>
            <w:r>
              <w:rPr>
                <w:b/>
                <w:w w:val="99"/>
                <w:sz w:val="14"/>
              </w:rPr>
              <w:t>-</w:t>
            </w:r>
          </w:p>
        </w:tc>
        <w:tc>
          <w:tcPr>
            <w:tcW w:w="607" w:type="dxa"/>
            <w:tcBorders>
              <w:top w:val="single" w:sz="4" w:space="0" w:color="000000"/>
              <w:bottom w:val="single" w:sz="12" w:space="0" w:color="000000"/>
            </w:tcBorders>
          </w:tcPr>
          <w:p>
            <w:pPr>
              <w:pStyle w:val="TableParagraph"/>
              <w:spacing w:before="27"/>
              <w:ind w:right="170"/>
              <w:rPr>
                <w:b/>
                <w:sz w:val="14"/>
              </w:rPr>
            </w:pPr>
            <w:r>
              <w:rPr>
                <w:b/>
                <w:w w:val="99"/>
                <w:sz w:val="14"/>
              </w:rPr>
              <w:t>-</w:t>
            </w:r>
          </w:p>
        </w:tc>
        <w:tc>
          <w:tcPr>
            <w:tcW w:w="563" w:type="dxa"/>
            <w:tcBorders>
              <w:top w:val="single" w:sz="4" w:space="0" w:color="000000"/>
              <w:bottom w:val="single" w:sz="12" w:space="0" w:color="000000"/>
            </w:tcBorders>
          </w:tcPr>
          <w:p>
            <w:pPr>
              <w:pStyle w:val="TableParagraph"/>
              <w:spacing w:before="27"/>
              <w:ind w:right="171"/>
              <w:rPr>
                <w:b/>
                <w:sz w:val="14"/>
              </w:rPr>
            </w:pPr>
            <w:r>
              <w:rPr>
                <w:b/>
                <w:w w:val="99"/>
                <w:sz w:val="14"/>
              </w:rPr>
              <w:t>-</w:t>
            </w:r>
          </w:p>
        </w:tc>
        <w:tc>
          <w:tcPr>
            <w:tcW w:w="557" w:type="dxa"/>
            <w:tcBorders>
              <w:top w:val="single" w:sz="4" w:space="0" w:color="000000"/>
              <w:bottom w:val="single" w:sz="12" w:space="0" w:color="000000"/>
            </w:tcBorders>
          </w:tcPr>
          <w:p>
            <w:pPr>
              <w:pStyle w:val="TableParagraph"/>
              <w:spacing w:before="27"/>
              <w:ind w:right="167"/>
              <w:rPr>
                <w:b/>
                <w:sz w:val="14"/>
              </w:rPr>
            </w:pPr>
            <w:r>
              <w:rPr>
                <w:b/>
                <w:w w:val="99"/>
                <w:sz w:val="14"/>
              </w:rPr>
              <w:t>-</w:t>
            </w:r>
          </w:p>
        </w:tc>
        <w:tc>
          <w:tcPr>
            <w:tcW w:w="583" w:type="dxa"/>
            <w:tcBorders>
              <w:top w:val="single" w:sz="4" w:space="0" w:color="000000"/>
              <w:bottom w:val="single" w:sz="12" w:space="0" w:color="000000"/>
            </w:tcBorders>
          </w:tcPr>
          <w:p>
            <w:pPr>
              <w:pStyle w:val="TableParagraph"/>
              <w:spacing w:before="27"/>
              <w:ind w:left="157" w:right="156"/>
              <w:jc w:val="center"/>
              <w:rPr>
                <w:b/>
                <w:sz w:val="14"/>
              </w:rPr>
            </w:pPr>
            <w:r>
              <w:rPr>
                <w:b/>
                <w:spacing w:val="-4"/>
                <w:sz w:val="14"/>
              </w:rPr>
              <w:t>0.04</w:t>
            </w:r>
          </w:p>
        </w:tc>
        <w:tc>
          <w:tcPr>
            <w:tcW w:w="545" w:type="dxa"/>
            <w:tcBorders>
              <w:top w:val="single" w:sz="4" w:space="0" w:color="000000"/>
              <w:bottom w:val="single" w:sz="12" w:space="0" w:color="000000"/>
            </w:tcBorders>
          </w:tcPr>
          <w:p>
            <w:pPr>
              <w:pStyle w:val="TableParagraph"/>
              <w:spacing w:before="27"/>
              <w:ind w:right="124"/>
              <w:rPr>
                <w:b/>
                <w:sz w:val="14"/>
              </w:rPr>
            </w:pPr>
            <w:r>
              <w:rPr>
                <w:b/>
                <w:spacing w:val="-4"/>
                <w:sz w:val="14"/>
              </w:rPr>
              <w:t>0.04</w:t>
            </w:r>
          </w:p>
        </w:tc>
        <w:tc>
          <w:tcPr>
            <w:tcW w:w="737" w:type="dxa"/>
            <w:tcBorders>
              <w:top w:val="single" w:sz="4" w:space="0" w:color="000000"/>
              <w:bottom w:val="single" w:sz="12" w:space="0" w:color="000000"/>
            </w:tcBorders>
          </w:tcPr>
          <w:p>
            <w:pPr>
              <w:pStyle w:val="TableParagraph"/>
              <w:spacing w:before="27"/>
              <w:ind w:right="266"/>
              <w:rPr>
                <w:b/>
                <w:sz w:val="14"/>
              </w:rPr>
            </w:pPr>
            <w:r>
              <w:rPr>
                <w:b/>
                <w:spacing w:val="-4"/>
                <w:sz w:val="14"/>
              </w:rPr>
              <w:t>1.00</w:t>
            </w:r>
          </w:p>
        </w:tc>
        <w:tc>
          <w:tcPr>
            <w:tcW w:w="641" w:type="dxa"/>
            <w:tcBorders>
              <w:top w:val="single" w:sz="4" w:space="0" w:color="000000"/>
              <w:bottom w:val="single" w:sz="12" w:space="0" w:color="000000"/>
            </w:tcBorders>
          </w:tcPr>
          <w:p>
            <w:pPr>
              <w:pStyle w:val="TableParagraph"/>
              <w:spacing w:before="27"/>
              <w:ind w:right="171"/>
              <w:rPr>
                <w:b/>
                <w:sz w:val="14"/>
              </w:rPr>
            </w:pPr>
            <w:r>
              <w:rPr>
                <w:b/>
                <w:w w:val="99"/>
                <w:sz w:val="14"/>
              </w:rPr>
              <w:t>-</w:t>
            </w:r>
          </w:p>
        </w:tc>
        <w:tc>
          <w:tcPr>
            <w:tcW w:w="491" w:type="dxa"/>
            <w:tcBorders>
              <w:top w:val="single" w:sz="4" w:space="0" w:color="000000"/>
              <w:bottom w:val="single" w:sz="12" w:space="0" w:color="000000"/>
            </w:tcBorders>
          </w:tcPr>
          <w:p>
            <w:pPr>
              <w:pStyle w:val="TableParagraph"/>
              <w:spacing w:before="27"/>
              <w:ind w:right="63"/>
              <w:rPr>
                <w:b/>
                <w:sz w:val="14"/>
              </w:rPr>
            </w:pPr>
            <w:r>
              <w:rPr>
                <w:b/>
                <w:spacing w:val="-4"/>
                <w:sz w:val="14"/>
              </w:rPr>
              <w:t>1.00</w:t>
            </w:r>
          </w:p>
        </w:tc>
        <w:tc>
          <w:tcPr>
            <w:tcW w:w="792" w:type="dxa"/>
            <w:tcBorders>
              <w:top w:val="single" w:sz="4" w:space="0" w:color="000000"/>
              <w:bottom w:val="single" w:sz="12" w:space="0" w:color="000000"/>
            </w:tcBorders>
          </w:tcPr>
          <w:p>
            <w:pPr>
              <w:pStyle w:val="TableParagraph"/>
              <w:spacing w:before="27"/>
              <w:ind w:right="120"/>
              <w:rPr>
                <w:b/>
                <w:i/>
                <w:sz w:val="14"/>
              </w:rPr>
            </w:pPr>
            <w:r>
              <w:rPr>
                <w:b/>
                <w:i/>
                <w:spacing w:val="-4"/>
                <w:sz w:val="14"/>
              </w:rPr>
              <w:t>2.08</w:t>
            </w:r>
          </w:p>
        </w:tc>
        <w:tc>
          <w:tcPr>
            <w:tcW w:w="568" w:type="dxa"/>
            <w:tcBorders>
              <w:top w:val="single" w:sz="4" w:space="0" w:color="000000"/>
              <w:bottom w:val="single" w:sz="12" w:space="0" w:color="000000"/>
            </w:tcBorders>
          </w:tcPr>
          <w:p>
            <w:pPr>
              <w:pStyle w:val="TableParagraph"/>
              <w:spacing w:before="27"/>
              <w:ind w:right="96"/>
              <w:rPr>
                <w:b/>
                <w:sz w:val="14"/>
              </w:rPr>
            </w:pPr>
            <w:r>
              <w:rPr>
                <w:b/>
                <w:w w:val="99"/>
                <w:sz w:val="14"/>
              </w:rPr>
              <w:t>-</w:t>
            </w:r>
          </w:p>
        </w:tc>
        <w:tc>
          <w:tcPr>
            <w:tcW w:w="577" w:type="dxa"/>
            <w:tcBorders>
              <w:top w:val="single" w:sz="4" w:space="0" w:color="000000"/>
              <w:bottom w:val="single" w:sz="12" w:space="0" w:color="000000"/>
            </w:tcBorders>
          </w:tcPr>
          <w:p>
            <w:pPr>
              <w:pStyle w:val="TableParagraph"/>
              <w:spacing w:before="27"/>
              <w:ind w:right="82"/>
              <w:rPr>
                <w:b/>
                <w:sz w:val="14"/>
              </w:rPr>
            </w:pPr>
            <w:r>
              <w:rPr>
                <w:b/>
                <w:w w:val="99"/>
                <w:sz w:val="14"/>
              </w:rPr>
              <w:t>-</w:t>
            </w:r>
          </w:p>
        </w:tc>
        <w:tc>
          <w:tcPr>
            <w:tcW w:w="563" w:type="dxa"/>
            <w:tcBorders>
              <w:top w:val="single" w:sz="4" w:space="0" w:color="000000"/>
              <w:bottom w:val="single" w:sz="12" w:space="0" w:color="000000"/>
            </w:tcBorders>
          </w:tcPr>
          <w:p>
            <w:pPr>
              <w:pStyle w:val="TableParagraph"/>
              <w:spacing w:before="27"/>
              <w:ind w:right="51"/>
              <w:rPr>
                <w:b/>
                <w:sz w:val="14"/>
              </w:rPr>
            </w:pPr>
            <w:r>
              <w:rPr>
                <w:b/>
                <w:spacing w:val="-4"/>
                <w:sz w:val="14"/>
              </w:rPr>
              <w:t>0.58</w:t>
            </w:r>
          </w:p>
        </w:tc>
        <w:tc>
          <w:tcPr>
            <w:tcW w:w="811" w:type="dxa"/>
            <w:tcBorders>
              <w:top w:val="single" w:sz="4" w:space="0" w:color="000000"/>
              <w:bottom w:val="single" w:sz="12" w:space="0" w:color="000000"/>
            </w:tcBorders>
          </w:tcPr>
          <w:p>
            <w:pPr>
              <w:pStyle w:val="TableParagraph"/>
              <w:spacing w:before="27"/>
              <w:ind w:right="123"/>
              <w:rPr>
                <w:b/>
                <w:i/>
                <w:sz w:val="14"/>
              </w:rPr>
            </w:pPr>
            <w:r>
              <w:rPr>
                <w:b/>
                <w:i/>
                <w:spacing w:val="-4"/>
                <w:sz w:val="14"/>
              </w:rPr>
              <w:t>0.58</w:t>
            </w:r>
          </w:p>
        </w:tc>
        <w:tc>
          <w:tcPr>
            <w:tcW w:w="524" w:type="dxa"/>
            <w:tcBorders>
              <w:top w:val="single" w:sz="4" w:space="0" w:color="000000"/>
              <w:bottom w:val="single" w:sz="12" w:space="0" w:color="000000"/>
            </w:tcBorders>
          </w:tcPr>
          <w:p>
            <w:pPr>
              <w:pStyle w:val="TableParagraph"/>
              <w:spacing w:before="27"/>
              <w:ind w:right="47"/>
              <w:rPr>
                <w:b/>
                <w:sz w:val="14"/>
              </w:rPr>
            </w:pPr>
            <w:r>
              <w:rPr>
                <w:b/>
                <w:spacing w:val="-4"/>
                <w:sz w:val="14"/>
              </w:rPr>
              <w:t>2.67</w:t>
            </w:r>
          </w:p>
        </w:tc>
      </w:tr>
    </w:tbl>
    <w:p>
      <w:pPr>
        <w:spacing w:after="0"/>
        <w:rPr>
          <w:sz w:val="14"/>
        </w:rPr>
        <w:sectPr>
          <w:pgSz w:w="11910" w:h="16840"/>
          <w:pgMar w:header="957" w:footer="940" w:top="1140" w:bottom="1140" w:left="20" w:right="20"/>
        </w:sectPr>
      </w:pPr>
    </w:p>
    <w:p>
      <w:pPr>
        <w:pStyle w:val="BodyText"/>
        <w:spacing w:before="7"/>
        <w:rPr>
          <w:b/>
          <w:sz w:val="29"/>
        </w:rPr>
      </w:pPr>
    </w:p>
    <w:tbl>
      <w:tblPr>
        <w:tblW w:w="0" w:type="auto"/>
        <w:jc w:val="left"/>
        <w:tblInd w:w="1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61"/>
        <w:gridCol w:w="1218"/>
        <w:gridCol w:w="827"/>
        <w:gridCol w:w="1133"/>
        <w:gridCol w:w="1078"/>
        <w:gridCol w:w="1136"/>
        <w:gridCol w:w="738"/>
        <w:gridCol w:w="1053"/>
      </w:tblGrid>
      <w:tr>
        <w:trPr>
          <w:trHeight w:val="324" w:hRule="atLeast"/>
        </w:trPr>
        <w:tc>
          <w:tcPr>
            <w:tcW w:w="2461" w:type="dxa"/>
            <w:tcBorders>
              <w:top w:val="single" w:sz="4" w:space="0" w:color="000000"/>
            </w:tcBorders>
          </w:tcPr>
          <w:p>
            <w:pPr>
              <w:pStyle w:val="TableParagraph"/>
              <w:jc w:val="left"/>
              <w:rPr>
                <w:sz w:val="14"/>
              </w:rPr>
            </w:pPr>
          </w:p>
        </w:tc>
        <w:tc>
          <w:tcPr>
            <w:tcW w:w="3178" w:type="dxa"/>
            <w:gridSpan w:val="3"/>
            <w:tcBorders>
              <w:top w:val="single" w:sz="4" w:space="0" w:color="000000"/>
            </w:tcBorders>
          </w:tcPr>
          <w:p>
            <w:pPr>
              <w:pStyle w:val="TableParagraph"/>
              <w:tabs>
                <w:tab w:pos="311" w:val="left" w:leader="none"/>
                <w:tab w:pos="3178" w:val="left" w:leader="none"/>
              </w:tabs>
              <w:spacing w:line="171" w:lineRule="exact" w:before="133"/>
              <w:ind w:left="-1" w:right="-15"/>
              <w:jc w:val="left"/>
              <w:rPr>
                <w:sz w:val="16"/>
              </w:rPr>
            </w:pPr>
            <w:r>
              <w:rPr>
                <w:sz w:val="16"/>
                <w:u w:val="single"/>
              </w:rPr>
              <w:tab/>
              <w:t>2021</w:t>
            </w:r>
            <w:r>
              <w:rPr>
                <w:spacing w:val="-3"/>
                <w:sz w:val="16"/>
                <w:u w:val="single"/>
              </w:rPr>
              <w:t> </w:t>
            </w:r>
            <w:r>
              <w:rPr>
                <w:sz w:val="16"/>
                <w:u w:val="single"/>
              </w:rPr>
              <w:t>Expenditures</w:t>
            </w:r>
            <w:r>
              <w:rPr>
                <w:spacing w:val="-4"/>
                <w:sz w:val="16"/>
                <w:u w:val="single"/>
              </w:rPr>
              <w:t> </w:t>
            </w:r>
            <w:r>
              <w:rPr>
                <w:sz w:val="16"/>
                <w:u w:val="single"/>
              </w:rPr>
              <w:t>(thousands</w:t>
            </w:r>
            <w:r>
              <w:rPr>
                <w:spacing w:val="-4"/>
                <w:sz w:val="16"/>
                <w:u w:val="single"/>
              </w:rPr>
              <w:t> </w:t>
            </w:r>
            <w:r>
              <w:rPr>
                <w:sz w:val="16"/>
                <w:u w:val="single"/>
              </w:rPr>
              <w:t>of</w:t>
            </w:r>
            <w:r>
              <w:rPr>
                <w:spacing w:val="-4"/>
                <w:sz w:val="16"/>
                <w:u w:val="single"/>
              </w:rPr>
              <w:t> </w:t>
            </w:r>
            <w:r>
              <w:rPr>
                <w:spacing w:val="-2"/>
                <w:sz w:val="16"/>
                <w:u w:val="single"/>
              </w:rPr>
              <w:t>euros)</w:t>
            </w:r>
            <w:r>
              <w:rPr>
                <w:sz w:val="16"/>
                <w:u w:val="single"/>
              </w:rPr>
              <w:tab/>
            </w:r>
          </w:p>
        </w:tc>
        <w:tc>
          <w:tcPr>
            <w:tcW w:w="1078" w:type="dxa"/>
            <w:vMerge w:val="restart"/>
            <w:tcBorders>
              <w:top w:val="single" w:sz="4" w:space="0" w:color="000000"/>
              <w:bottom w:val="single" w:sz="12" w:space="0" w:color="000000"/>
            </w:tcBorders>
          </w:tcPr>
          <w:p>
            <w:pPr>
              <w:pStyle w:val="TableParagraph"/>
              <w:spacing w:before="1"/>
              <w:jc w:val="left"/>
              <w:rPr>
                <w:b/>
                <w:sz w:val="14"/>
              </w:rPr>
            </w:pPr>
          </w:p>
          <w:p>
            <w:pPr>
              <w:pStyle w:val="TableParagraph"/>
              <w:spacing w:line="183" w:lineRule="exact"/>
              <w:ind w:left="228" w:right="181"/>
              <w:jc w:val="center"/>
              <w:rPr>
                <w:sz w:val="16"/>
              </w:rPr>
            </w:pPr>
            <w:r>
              <w:rPr>
                <w:spacing w:val="-4"/>
                <w:sz w:val="16"/>
              </w:rPr>
              <w:t>2022</w:t>
            </w:r>
          </w:p>
          <w:p>
            <w:pPr>
              <w:pStyle w:val="TableParagraph"/>
              <w:spacing w:line="183" w:lineRule="exact"/>
              <w:ind w:left="227" w:right="184"/>
              <w:jc w:val="center"/>
              <w:rPr>
                <w:sz w:val="16"/>
              </w:rPr>
            </w:pPr>
            <w:r>
              <w:rPr>
                <w:spacing w:val="-2"/>
                <w:sz w:val="16"/>
              </w:rPr>
              <w:t>Approved</w:t>
            </w:r>
          </w:p>
          <w:p>
            <w:pPr>
              <w:pStyle w:val="TableParagraph"/>
              <w:spacing w:line="162" w:lineRule="exact" w:before="3"/>
              <w:ind w:left="228" w:right="176"/>
              <w:jc w:val="center"/>
              <w:rPr>
                <w:sz w:val="16"/>
              </w:rPr>
            </w:pPr>
            <w:r>
              <w:rPr>
                <w:spacing w:val="-2"/>
                <w:sz w:val="16"/>
              </w:rPr>
              <w:t>Budget</w:t>
            </w:r>
          </w:p>
        </w:tc>
        <w:tc>
          <w:tcPr>
            <w:tcW w:w="1874" w:type="dxa"/>
            <w:gridSpan w:val="2"/>
            <w:tcBorders>
              <w:top w:val="single" w:sz="4" w:space="0" w:color="000000"/>
            </w:tcBorders>
          </w:tcPr>
          <w:p>
            <w:pPr>
              <w:pStyle w:val="TableParagraph"/>
              <w:tabs>
                <w:tab w:pos="339" w:val="left" w:leader="none"/>
                <w:tab w:pos="1803" w:val="left" w:leader="none"/>
              </w:tabs>
              <w:spacing w:line="171" w:lineRule="exact" w:before="133"/>
              <w:ind w:left="56"/>
              <w:jc w:val="left"/>
              <w:rPr>
                <w:sz w:val="16"/>
              </w:rPr>
            </w:pPr>
            <w:r>
              <w:rPr>
                <w:sz w:val="16"/>
                <w:u w:val="single"/>
              </w:rPr>
              <w:tab/>
              <w:t>Resource</w:t>
            </w:r>
            <w:r>
              <w:rPr>
                <w:spacing w:val="-2"/>
                <w:sz w:val="16"/>
                <w:u w:val="single"/>
              </w:rPr>
              <w:t> Changes</w:t>
            </w:r>
            <w:r>
              <w:rPr>
                <w:sz w:val="16"/>
                <w:u w:val="single"/>
              </w:rPr>
              <w:tab/>
            </w:r>
          </w:p>
        </w:tc>
        <w:tc>
          <w:tcPr>
            <w:tcW w:w="1053" w:type="dxa"/>
            <w:tcBorders>
              <w:top w:val="single" w:sz="4" w:space="0" w:color="000000"/>
            </w:tcBorders>
          </w:tcPr>
          <w:p>
            <w:pPr>
              <w:pStyle w:val="TableParagraph"/>
              <w:jc w:val="left"/>
              <w:rPr>
                <w:sz w:val="14"/>
              </w:rPr>
            </w:pPr>
          </w:p>
        </w:tc>
      </w:tr>
      <w:tr>
        <w:trPr>
          <w:trHeight w:val="359" w:hRule="atLeast"/>
        </w:trPr>
        <w:tc>
          <w:tcPr>
            <w:tcW w:w="2461" w:type="dxa"/>
            <w:tcBorders>
              <w:bottom w:val="single" w:sz="12" w:space="0" w:color="000000"/>
            </w:tcBorders>
          </w:tcPr>
          <w:p>
            <w:pPr>
              <w:pStyle w:val="TableParagraph"/>
              <w:spacing w:line="174" w:lineRule="exact"/>
              <w:ind w:left="117"/>
              <w:jc w:val="left"/>
              <w:rPr>
                <w:b/>
                <w:sz w:val="16"/>
              </w:rPr>
            </w:pPr>
            <w:r>
              <w:rPr>
                <w:b/>
                <w:spacing w:val="-4"/>
                <w:sz w:val="16"/>
              </w:rPr>
              <w:t>4200</w:t>
            </w:r>
          </w:p>
          <w:p>
            <w:pPr>
              <w:pStyle w:val="TableParagraph"/>
              <w:spacing w:line="162" w:lineRule="exact" w:before="3"/>
              <w:ind w:left="117"/>
              <w:jc w:val="left"/>
              <w:rPr>
                <w:b/>
                <w:sz w:val="16"/>
              </w:rPr>
            </w:pPr>
            <w:r>
              <w:rPr>
                <w:b/>
                <w:sz w:val="16"/>
              </w:rPr>
              <w:t>ASP</w:t>
            </w:r>
            <w:r>
              <w:rPr>
                <w:b/>
                <w:spacing w:val="-6"/>
                <w:sz w:val="16"/>
              </w:rPr>
              <w:t> </w:t>
            </w:r>
            <w:r>
              <w:rPr>
                <w:b/>
                <w:spacing w:val="-2"/>
                <w:sz w:val="16"/>
              </w:rPr>
              <w:t>Secretariat</w:t>
            </w:r>
          </w:p>
        </w:tc>
        <w:tc>
          <w:tcPr>
            <w:tcW w:w="1218" w:type="dxa"/>
            <w:tcBorders>
              <w:bottom w:val="single" w:sz="12" w:space="0" w:color="000000"/>
            </w:tcBorders>
          </w:tcPr>
          <w:p>
            <w:pPr>
              <w:pStyle w:val="TableParagraph"/>
              <w:spacing w:before="4"/>
              <w:jc w:val="left"/>
              <w:rPr>
                <w:b/>
                <w:sz w:val="15"/>
              </w:rPr>
            </w:pPr>
          </w:p>
          <w:p>
            <w:pPr>
              <w:pStyle w:val="TableParagraph"/>
              <w:spacing w:line="162" w:lineRule="exact" w:before="1"/>
              <w:ind w:left="393"/>
              <w:jc w:val="left"/>
              <w:rPr>
                <w:sz w:val="16"/>
              </w:rPr>
            </w:pPr>
            <w:r>
              <w:rPr>
                <w:spacing w:val="-2"/>
                <w:sz w:val="16"/>
              </w:rPr>
              <w:t>Total</w:t>
            </w:r>
          </w:p>
        </w:tc>
        <w:tc>
          <w:tcPr>
            <w:tcW w:w="827" w:type="dxa"/>
            <w:tcBorders>
              <w:bottom w:val="single" w:sz="12" w:space="0" w:color="000000"/>
            </w:tcBorders>
          </w:tcPr>
          <w:p>
            <w:pPr>
              <w:pStyle w:val="TableParagraph"/>
              <w:spacing w:line="174" w:lineRule="exact"/>
              <w:ind w:left="193"/>
              <w:jc w:val="left"/>
              <w:rPr>
                <w:sz w:val="16"/>
              </w:rPr>
            </w:pPr>
            <w:r>
              <w:rPr>
                <w:spacing w:val="-2"/>
                <w:sz w:val="16"/>
              </w:rPr>
              <w:t>Cont.</w:t>
            </w:r>
          </w:p>
          <w:p>
            <w:pPr>
              <w:pStyle w:val="TableParagraph"/>
              <w:spacing w:line="162" w:lineRule="exact" w:before="3"/>
              <w:ind w:left="203"/>
              <w:jc w:val="left"/>
              <w:rPr>
                <w:sz w:val="16"/>
              </w:rPr>
            </w:pPr>
            <w:r>
              <w:rPr>
                <w:spacing w:val="-4"/>
                <w:sz w:val="16"/>
              </w:rPr>
              <w:t>Fund</w:t>
            </w:r>
          </w:p>
        </w:tc>
        <w:tc>
          <w:tcPr>
            <w:tcW w:w="1133" w:type="dxa"/>
            <w:tcBorders>
              <w:bottom w:val="single" w:sz="12" w:space="0" w:color="000000"/>
            </w:tcBorders>
          </w:tcPr>
          <w:p>
            <w:pPr>
              <w:pStyle w:val="TableParagraph"/>
              <w:spacing w:before="4"/>
              <w:jc w:val="left"/>
              <w:rPr>
                <w:b/>
                <w:sz w:val="15"/>
              </w:rPr>
            </w:pPr>
          </w:p>
          <w:p>
            <w:pPr>
              <w:pStyle w:val="TableParagraph"/>
              <w:spacing w:line="162" w:lineRule="exact" w:before="1"/>
              <w:ind w:right="121"/>
              <w:rPr>
                <w:sz w:val="16"/>
              </w:rPr>
            </w:pPr>
            <w:r>
              <w:rPr>
                <w:sz w:val="16"/>
              </w:rPr>
              <w:t>Total</w:t>
            </w:r>
            <w:r>
              <w:rPr>
                <w:spacing w:val="-7"/>
                <w:sz w:val="16"/>
              </w:rPr>
              <w:t> </w:t>
            </w:r>
            <w:r>
              <w:rPr>
                <w:sz w:val="16"/>
              </w:rPr>
              <w:t>Incl.</w:t>
            </w:r>
            <w:r>
              <w:rPr>
                <w:spacing w:val="-6"/>
                <w:sz w:val="16"/>
              </w:rPr>
              <w:t> </w:t>
            </w:r>
            <w:r>
              <w:rPr>
                <w:spacing w:val="-5"/>
                <w:sz w:val="16"/>
              </w:rPr>
              <w:t>CF</w:t>
            </w:r>
          </w:p>
        </w:tc>
        <w:tc>
          <w:tcPr>
            <w:tcW w:w="1078" w:type="dxa"/>
            <w:vMerge/>
            <w:tcBorders>
              <w:top w:val="nil"/>
              <w:bottom w:val="single" w:sz="12" w:space="0" w:color="000000"/>
            </w:tcBorders>
          </w:tcPr>
          <w:p>
            <w:pPr>
              <w:rPr>
                <w:sz w:val="2"/>
                <w:szCs w:val="2"/>
              </w:rPr>
            </w:pPr>
          </w:p>
        </w:tc>
        <w:tc>
          <w:tcPr>
            <w:tcW w:w="1136" w:type="dxa"/>
            <w:tcBorders>
              <w:bottom w:val="single" w:sz="12" w:space="0" w:color="000000"/>
            </w:tcBorders>
          </w:tcPr>
          <w:p>
            <w:pPr>
              <w:pStyle w:val="TableParagraph"/>
              <w:spacing w:before="4"/>
              <w:jc w:val="left"/>
              <w:rPr>
                <w:b/>
                <w:sz w:val="15"/>
              </w:rPr>
            </w:pPr>
          </w:p>
          <w:p>
            <w:pPr>
              <w:pStyle w:val="TableParagraph"/>
              <w:spacing w:line="162" w:lineRule="exact" w:before="1"/>
              <w:ind w:right="194"/>
              <w:rPr>
                <w:sz w:val="16"/>
              </w:rPr>
            </w:pPr>
            <w:r>
              <w:rPr>
                <w:spacing w:val="-2"/>
                <w:sz w:val="16"/>
              </w:rPr>
              <w:t>Amount</w:t>
            </w:r>
          </w:p>
        </w:tc>
        <w:tc>
          <w:tcPr>
            <w:tcW w:w="738" w:type="dxa"/>
            <w:tcBorders>
              <w:bottom w:val="single" w:sz="12" w:space="0" w:color="000000"/>
            </w:tcBorders>
          </w:tcPr>
          <w:p>
            <w:pPr>
              <w:pStyle w:val="TableParagraph"/>
              <w:spacing w:before="4"/>
              <w:jc w:val="left"/>
              <w:rPr>
                <w:b/>
                <w:sz w:val="15"/>
              </w:rPr>
            </w:pPr>
          </w:p>
          <w:p>
            <w:pPr>
              <w:pStyle w:val="TableParagraph"/>
              <w:spacing w:line="162" w:lineRule="exact" w:before="1"/>
              <w:ind w:right="176"/>
              <w:rPr>
                <w:sz w:val="16"/>
              </w:rPr>
            </w:pPr>
            <w:r>
              <w:rPr>
                <w:w w:val="98"/>
                <w:sz w:val="16"/>
              </w:rPr>
              <w:t>%</w:t>
            </w:r>
          </w:p>
        </w:tc>
        <w:tc>
          <w:tcPr>
            <w:tcW w:w="1053" w:type="dxa"/>
            <w:tcBorders>
              <w:bottom w:val="single" w:sz="12" w:space="0" w:color="000000"/>
            </w:tcBorders>
          </w:tcPr>
          <w:p>
            <w:pPr>
              <w:pStyle w:val="TableParagraph"/>
              <w:spacing w:line="174" w:lineRule="exact"/>
              <w:ind w:left="58" w:right="134"/>
              <w:jc w:val="center"/>
              <w:rPr>
                <w:sz w:val="16"/>
              </w:rPr>
            </w:pPr>
            <w:r>
              <w:rPr>
                <w:spacing w:val="-2"/>
                <w:sz w:val="16"/>
              </w:rPr>
              <w:t>Proposed</w:t>
            </w:r>
          </w:p>
          <w:p>
            <w:pPr>
              <w:pStyle w:val="TableParagraph"/>
              <w:spacing w:line="162" w:lineRule="exact" w:before="3"/>
              <w:ind w:left="65" w:right="133"/>
              <w:jc w:val="center"/>
              <w:rPr>
                <w:sz w:val="16"/>
              </w:rPr>
            </w:pPr>
            <w:r>
              <w:rPr>
                <w:sz w:val="16"/>
              </w:rPr>
              <w:t>2023</w:t>
            </w:r>
            <w:r>
              <w:rPr>
                <w:spacing w:val="2"/>
                <w:sz w:val="16"/>
              </w:rPr>
              <w:t> </w:t>
            </w:r>
            <w:r>
              <w:rPr>
                <w:spacing w:val="-2"/>
                <w:sz w:val="16"/>
              </w:rPr>
              <w:t>Budget</w:t>
            </w:r>
          </w:p>
        </w:tc>
      </w:tr>
      <w:tr>
        <w:trPr>
          <w:trHeight w:val="231" w:hRule="atLeast"/>
        </w:trPr>
        <w:tc>
          <w:tcPr>
            <w:tcW w:w="2461" w:type="dxa"/>
            <w:tcBorders>
              <w:top w:val="single" w:sz="12" w:space="0" w:color="000000"/>
            </w:tcBorders>
          </w:tcPr>
          <w:p>
            <w:pPr>
              <w:pStyle w:val="TableParagraph"/>
              <w:spacing w:before="23"/>
              <w:ind w:left="117"/>
              <w:jc w:val="left"/>
              <w:rPr>
                <w:sz w:val="16"/>
              </w:rPr>
            </w:pPr>
            <w:r>
              <w:rPr>
                <w:w w:val="95"/>
                <w:sz w:val="16"/>
              </w:rPr>
              <w:t>Professional</w:t>
            </w:r>
            <w:r>
              <w:rPr>
                <w:spacing w:val="28"/>
                <w:sz w:val="16"/>
              </w:rPr>
              <w:t> </w:t>
            </w:r>
            <w:r>
              <w:rPr>
                <w:spacing w:val="-2"/>
                <w:sz w:val="16"/>
              </w:rPr>
              <w:t>staff</w:t>
            </w:r>
          </w:p>
        </w:tc>
        <w:tc>
          <w:tcPr>
            <w:tcW w:w="1218" w:type="dxa"/>
            <w:tcBorders>
              <w:top w:val="single" w:sz="12" w:space="0" w:color="000000"/>
            </w:tcBorders>
            <w:shd w:val="clear" w:color="auto" w:fill="D9D9D9"/>
          </w:tcPr>
          <w:p>
            <w:pPr>
              <w:pStyle w:val="TableParagraph"/>
              <w:jc w:val="left"/>
              <w:rPr>
                <w:sz w:val="14"/>
              </w:rPr>
            </w:pPr>
          </w:p>
        </w:tc>
        <w:tc>
          <w:tcPr>
            <w:tcW w:w="827" w:type="dxa"/>
            <w:tcBorders>
              <w:top w:val="single" w:sz="12" w:space="0" w:color="000000"/>
            </w:tcBorders>
            <w:shd w:val="clear" w:color="auto" w:fill="D9D9D9"/>
          </w:tcPr>
          <w:p>
            <w:pPr>
              <w:pStyle w:val="TableParagraph"/>
              <w:jc w:val="left"/>
              <w:rPr>
                <w:sz w:val="14"/>
              </w:rPr>
            </w:pPr>
          </w:p>
        </w:tc>
        <w:tc>
          <w:tcPr>
            <w:tcW w:w="1133" w:type="dxa"/>
            <w:tcBorders>
              <w:top w:val="single" w:sz="12" w:space="0" w:color="000000"/>
            </w:tcBorders>
            <w:shd w:val="clear" w:color="auto" w:fill="D9D9D9"/>
          </w:tcPr>
          <w:p>
            <w:pPr>
              <w:pStyle w:val="TableParagraph"/>
              <w:jc w:val="left"/>
              <w:rPr>
                <w:sz w:val="14"/>
              </w:rPr>
            </w:pPr>
          </w:p>
        </w:tc>
        <w:tc>
          <w:tcPr>
            <w:tcW w:w="1078" w:type="dxa"/>
            <w:tcBorders>
              <w:top w:val="single" w:sz="12" w:space="0" w:color="000000"/>
            </w:tcBorders>
          </w:tcPr>
          <w:p>
            <w:pPr>
              <w:pStyle w:val="TableParagraph"/>
              <w:spacing w:before="23"/>
              <w:ind w:right="50"/>
              <w:rPr>
                <w:sz w:val="16"/>
              </w:rPr>
            </w:pPr>
            <w:r>
              <w:rPr>
                <w:spacing w:val="-2"/>
                <w:sz w:val="16"/>
              </w:rPr>
              <w:t>615.8</w:t>
            </w:r>
          </w:p>
        </w:tc>
        <w:tc>
          <w:tcPr>
            <w:tcW w:w="1136" w:type="dxa"/>
            <w:tcBorders>
              <w:top w:val="single" w:sz="12" w:space="0" w:color="000000"/>
            </w:tcBorders>
          </w:tcPr>
          <w:p>
            <w:pPr>
              <w:pStyle w:val="TableParagraph"/>
              <w:spacing w:before="23"/>
              <w:ind w:right="197"/>
              <w:rPr>
                <w:sz w:val="16"/>
              </w:rPr>
            </w:pPr>
            <w:r>
              <w:rPr>
                <w:spacing w:val="-4"/>
                <w:sz w:val="16"/>
              </w:rPr>
              <w:t>19.9</w:t>
            </w:r>
          </w:p>
        </w:tc>
        <w:tc>
          <w:tcPr>
            <w:tcW w:w="738" w:type="dxa"/>
            <w:tcBorders>
              <w:top w:val="single" w:sz="12" w:space="0" w:color="000000"/>
            </w:tcBorders>
          </w:tcPr>
          <w:p>
            <w:pPr>
              <w:pStyle w:val="TableParagraph"/>
              <w:spacing w:before="23"/>
              <w:ind w:right="176"/>
              <w:rPr>
                <w:sz w:val="16"/>
              </w:rPr>
            </w:pPr>
            <w:r>
              <w:rPr>
                <w:spacing w:val="-5"/>
                <w:sz w:val="16"/>
              </w:rPr>
              <w:t>3.2</w:t>
            </w:r>
          </w:p>
        </w:tc>
        <w:tc>
          <w:tcPr>
            <w:tcW w:w="1053" w:type="dxa"/>
            <w:tcBorders>
              <w:top w:val="single" w:sz="12" w:space="0" w:color="000000"/>
            </w:tcBorders>
          </w:tcPr>
          <w:p>
            <w:pPr>
              <w:pStyle w:val="TableParagraph"/>
              <w:spacing w:before="23"/>
              <w:ind w:right="101"/>
              <w:rPr>
                <w:sz w:val="16"/>
              </w:rPr>
            </w:pPr>
            <w:r>
              <w:rPr>
                <w:spacing w:val="-2"/>
                <w:sz w:val="16"/>
              </w:rPr>
              <w:t>635.7</w:t>
            </w:r>
          </w:p>
        </w:tc>
      </w:tr>
      <w:tr>
        <w:trPr>
          <w:trHeight w:val="223" w:hRule="atLeast"/>
        </w:trPr>
        <w:tc>
          <w:tcPr>
            <w:tcW w:w="2461" w:type="dxa"/>
            <w:tcBorders>
              <w:bottom w:val="single" w:sz="4" w:space="0" w:color="000000"/>
            </w:tcBorders>
          </w:tcPr>
          <w:p>
            <w:pPr>
              <w:pStyle w:val="TableParagraph"/>
              <w:spacing w:before="17"/>
              <w:ind w:left="117"/>
              <w:jc w:val="left"/>
              <w:rPr>
                <w:sz w:val="16"/>
              </w:rPr>
            </w:pPr>
            <w:r>
              <w:rPr>
                <w:sz w:val="16"/>
              </w:rPr>
              <w:t>General</w:t>
            </w:r>
            <w:r>
              <w:rPr>
                <w:spacing w:val="-6"/>
                <w:sz w:val="16"/>
              </w:rPr>
              <w:t> </w:t>
            </w:r>
            <w:r>
              <w:rPr>
                <w:sz w:val="16"/>
              </w:rPr>
              <w:t>Service</w:t>
            </w:r>
            <w:r>
              <w:rPr>
                <w:spacing w:val="-4"/>
                <w:sz w:val="16"/>
              </w:rPr>
              <w:t> staff</w:t>
            </w:r>
          </w:p>
        </w:tc>
        <w:tc>
          <w:tcPr>
            <w:tcW w:w="1218" w:type="dxa"/>
            <w:tcBorders>
              <w:bottom w:val="single" w:sz="4" w:space="0" w:color="000000"/>
            </w:tcBorders>
            <w:shd w:val="clear" w:color="auto" w:fill="D9D9D9"/>
          </w:tcPr>
          <w:p>
            <w:pPr>
              <w:pStyle w:val="TableParagraph"/>
              <w:jc w:val="left"/>
              <w:rPr>
                <w:sz w:val="14"/>
              </w:rPr>
            </w:pPr>
          </w:p>
        </w:tc>
        <w:tc>
          <w:tcPr>
            <w:tcW w:w="827" w:type="dxa"/>
            <w:tcBorders>
              <w:bottom w:val="single" w:sz="4" w:space="0" w:color="000000"/>
            </w:tcBorders>
            <w:shd w:val="clear" w:color="auto" w:fill="D9D9D9"/>
          </w:tcPr>
          <w:p>
            <w:pPr>
              <w:pStyle w:val="TableParagraph"/>
              <w:jc w:val="left"/>
              <w:rPr>
                <w:sz w:val="14"/>
              </w:rPr>
            </w:pPr>
          </w:p>
        </w:tc>
        <w:tc>
          <w:tcPr>
            <w:tcW w:w="1133" w:type="dxa"/>
            <w:tcBorders>
              <w:bottom w:val="single" w:sz="4" w:space="0" w:color="000000"/>
            </w:tcBorders>
            <w:shd w:val="clear" w:color="auto" w:fill="D9D9D9"/>
          </w:tcPr>
          <w:p>
            <w:pPr>
              <w:pStyle w:val="TableParagraph"/>
              <w:jc w:val="left"/>
              <w:rPr>
                <w:sz w:val="14"/>
              </w:rPr>
            </w:pPr>
          </w:p>
        </w:tc>
        <w:tc>
          <w:tcPr>
            <w:tcW w:w="1078" w:type="dxa"/>
            <w:tcBorders>
              <w:bottom w:val="single" w:sz="4" w:space="0" w:color="000000"/>
            </w:tcBorders>
          </w:tcPr>
          <w:p>
            <w:pPr>
              <w:pStyle w:val="TableParagraph"/>
              <w:spacing w:before="17"/>
              <w:ind w:right="50"/>
              <w:rPr>
                <w:sz w:val="16"/>
              </w:rPr>
            </w:pPr>
            <w:r>
              <w:rPr>
                <w:spacing w:val="-2"/>
                <w:sz w:val="16"/>
              </w:rPr>
              <w:t>231.6</w:t>
            </w:r>
          </w:p>
        </w:tc>
        <w:tc>
          <w:tcPr>
            <w:tcW w:w="1136" w:type="dxa"/>
            <w:tcBorders>
              <w:bottom w:val="single" w:sz="4" w:space="0" w:color="000000"/>
            </w:tcBorders>
          </w:tcPr>
          <w:p>
            <w:pPr>
              <w:pStyle w:val="TableParagraph"/>
              <w:spacing w:before="17"/>
              <w:ind w:right="201"/>
              <w:rPr>
                <w:sz w:val="16"/>
              </w:rPr>
            </w:pPr>
            <w:r>
              <w:rPr>
                <w:spacing w:val="-5"/>
                <w:sz w:val="16"/>
              </w:rPr>
              <w:t>4.8</w:t>
            </w:r>
          </w:p>
        </w:tc>
        <w:tc>
          <w:tcPr>
            <w:tcW w:w="738" w:type="dxa"/>
            <w:tcBorders>
              <w:bottom w:val="single" w:sz="4" w:space="0" w:color="000000"/>
            </w:tcBorders>
          </w:tcPr>
          <w:p>
            <w:pPr>
              <w:pStyle w:val="TableParagraph"/>
              <w:spacing w:before="17"/>
              <w:ind w:right="176"/>
              <w:rPr>
                <w:sz w:val="16"/>
              </w:rPr>
            </w:pPr>
            <w:r>
              <w:rPr>
                <w:spacing w:val="-5"/>
                <w:sz w:val="16"/>
              </w:rPr>
              <w:t>2.1</w:t>
            </w:r>
          </w:p>
        </w:tc>
        <w:tc>
          <w:tcPr>
            <w:tcW w:w="1053" w:type="dxa"/>
            <w:tcBorders>
              <w:bottom w:val="single" w:sz="4" w:space="0" w:color="000000"/>
            </w:tcBorders>
          </w:tcPr>
          <w:p>
            <w:pPr>
              <w:pStyle w:val="TableParagraph"/>
              <w:spacing w:before="17"/>
              <w:ind w:right="101"/>
              <w:rPr>
                <w:sz w:val="16"/>
              </w:rPr>
            </w:pPr>
            <w:r>
              <w:rPr>
                <w:spacing w:val="-2"/>
                <w:sz w:val="16"/>
              </w:rPr>
              <w:t>236.4</w:t>
            </w:r>
          </w:p>
        </w:tc>
      </w:tr>
      <w:tr>
        <w:trPr>
          <w:trHeight w:val="225" w:hRule="atLeast"/>
        </w:trPr>
        <w:tc>
          <w:tcPr>
            <w:tcW w:w="2461" w:type="dxa"/>
            <w:tcBorders>
              <w:top w:val="single" w:sz="4" w:space="0" w:color="000000"/>
              <w:bottom w:val="single" w:sz="4" w:space="0" w:color="000000"/>
            </w:tcBorders>
          </w:tcPr>
          <w:p>
            <w:pPr>
              <w:pStyle w:val="TableParagraph"/>
              <w:spacing w:before="18"/>
              <w:ind w:right="104"/>
              <w:rPr>
                <w:i/>
                <w:sz w:val="16"/>
              </w:rPr>
            </w:pPr>
            <w:r>
              <w:rPr>
                <w:i/>
                <w:sz w:val="16"/>
              </w:rPr>
              <w:t>Subtotal</w:t>
            </w:r>
            <w:r>
              <w:rPr>
                <w:i/>
                <w:spacing w:val="-1"/>
                <w:sz w:val="16"/>
              </w:rPr>
              <w:t> </w:t>
            </w:r>
            <w:r>
              <w:rPr>
                <w:i/>
                <w:spacing w:val="-2"/>
                <w:sz w:val="16"/>
              </w:rPr>
              <w:t>staff</w:t>
            </w:r>
          </w:p>
        </w:tc>
        <w:tc>
          <w:tcPr>
            <w:tcW w:w="1218" w:type="dxa"/>
            <w:tcBorders>
              <w:top w:val="single" w:sz="4" w:space="0" w:color="000000"/>
              <w:bottom w:val="single" w:sz="4" w:space="0" w:color="000000"/>
            </w:tcBorders>
          </w:tcPr>
          <w:p>
            <w:pPr>
              <w:pStyle w:val="TableParagraph"/>
              <w:spacing w:before="18"/>
              <w:ind w:right="191"/>
              <w:rPr>
                <w:i/>
                <w:sz w:val="16"/>
              </w:rPr>
            </w:pPr>
            <w:r>
              <w:rPr>
                <w:i/>
                <w:spacing w:val="-2"/>
                <w:sz w:val="16"/>
              </w:rPr>
              <w:t>816.8</w:t>
            </w:r>
          </w:p>
        </w:tc>
        <w:tc>
          <w:tcPr>
            <w:tcW w:w="827" w:type="dxa"/>
            <w:tcBorders>
              <w:top w:val="single" w:sz="4" w:space="0" w:color="000000"/>
              <w:bottom w:val="single" w:sz="4" w:space="0" w:color="000000"/>
            </w:tcBorders>
          </w:tcPr>
          <w:p>
            <w:pPr>
              <w:pStyle w:val="TableParagraph"/>
              <w:spacing w:before="18"/>
              <w:ind w:right="107"/>
              <w:rPr>
                <w:i/>
                <w:sz w:val="16"/>
              </w:rPr>
            </w:pPr>
            <w:r>
              <w:rPr>
                <w:i/>
                <w:w w:val="98"/>
                <w:sz w:val="16"/>
              </w:rPr>
              <w:t>-</w:t>
            </w:r>
          </w:p>
        </w:tc>
        <w:tc>
          <w:tcPr>
            <w:tcW w:w="1133" w:type="dxa"/>
            <w:tcBorders>
              <w:top w:val="single" w:sz="4" w:space="0" w:color="000000"/>
              <w:bottom w:val="single" w:sz="4" w:space="0" w:color="000000"/>
            </w:tcBorders>
          </w:tcPr>
          <w:p>
            <w:pPr>
              <w:pStyle w:val="TableParagraph"/>
              <w:spacing w:before="18"/>
              <w:ind w:right="106"/>
              <w:rPr>
                <w:i/>
                <w:sz w:val="16"/>
              </w:rPr>
            </w:pPr>
            <w:r>
              <w:rPr>
                <w:i/>
                <w:spacing w:val="-2"/>
                <w:sz w:val="16"/>
              </w:rPr>
              <w:t>816.8</w:t>
            </w:r>
          </w:p>
        </w:tc>
        <w:tc>
          <w:tcPr>
            <w:tcW w:w="1078" w:type="dxa"/>
            <w:tcBorders>
              <w:top w:val="single" w:sz="4" w:space="0" w:color="000000"/>
              <w:bottom w:val="single" w:sz="4" w:space="0" w:color="000000"/>
            </w:tcBorders>
          </w:tcPr>
          <w:p>
            <w:pPr>
              <w:pStyle w:val="TableParagraph"/>
              <w:spacing w:before="18"/>
              <w:ind w:right="50"/>
              <w:rPr>
                <w:i/>
                <w:sz w:val="16"/>
              </w:rPr>
            </w:pPr>
            <w:r>
              <w:rPr>
                <w:i/>
                <w:spacing w:val="-2"/>
                <w:sz w:val="16"/>
              </w:rPr>
              <w:t>847.4</w:t>
            </w:r>
          </w:p>
        </w:tc>
        <w:tc>
          <w:tcPr>
            <w:tcW w:w="1136" w:type="dxa"/>
            <w:tcBorders>
              <w:top w:val="single" w:sz="4" w:space="0" w:color="000000"/>
              <w:bottom w:val="single" w:sz="4" w:space="0" w:color="000000"/>
            </w:tcBorders>
          </w:tcPr>
          <w:p>
            <w:pPr>
              <w:pStyle w:val="TableParagraph"/>
              <w:spacing w:before="18"/>
              <w:ind w:right="197"/>
              <w:rPr>
                <w:i/>
                <w:sz w:val="16"/>
              </w:rPr>
            </w:pPr>
            <w:r>
              <w:rPr>
                <w:i/>
                <w:spacing w:val="-4"/>
                <w:sz w:val="16"/>
              </w:rPr>
              <w:t>24.7</w:t>
            </w:r>
          </w:p>
        </w:tc>
        <w:tc>
          <w:tcPr>
            <w:tcW w:w="738" w:type="dxa"/>
            <w:tcBorders>
              <w:top w:val="single" w:sz="4" w:space="0" w:color="000000"/>
              <w:bottom w:val="single" w:sz="4" w:space="0" w:color="000000"/>
            </w:tcBorders>
          </w:tcPr>
          <w:p>
            <w:pPr>
              <w:pStyle w:val="TableParagraph"/>
              <w:spacing w:before="18"/>
              <w:ind w:right="176"/>
              <w:rPr>
                <w:i/>
                <w:sz w:val="16"/>
              </w:rPr>
            </w:pPr>
            <w:r>
              <w:rPr>
                <w:i/>
                <w:spacing w:val="-5"/>
                <w:sz w:val="16"/>
              </w:rPr>
              <w:t>2.9</w:t>
            </w:r>
          </w:p>
        </w:tc>
        <w:tc>
          <w:tcPr>
            <w:tcW w:w="1053" w:type="dxa"/>
            <w:tcBorders>
              <w:top w:val="single" w:sz="4" w:space="0" w:color="000000"/>
              <w:bottom w:val="single" w:sz="4" w:space="0" w:color="000000"/>
            </w:tcBorders>
          </w:tcPr>
          <w:p>
            <w:pPr>
              <w:pStyle w:val="TableParagraph"/>
              <w:spacing w:before="18"/>
              <w:ind w:right="101"/>
              <w:rPr>
                <w:i/>
                <w:sz w:val="16"/>
              </w:rPr>
            </w:pPr>
            <w:r>
              <w:rPr>
                <w:i/>
                <w:spacing w:val="-2"/>
                <w:sz w:val="16"/>
              </w:rPr>
              <w:t>872.1</w:t>
            </w:r>
          </w:p>
        </w:tc>
      </w:tr>
      <w:tr>
        <w:trPr>
          <w:trHeight w:val="231" w:hRule="atLeast"/>
        </w:trPr>
        <w:tc>
          <w:tcPr>
            <w:tcW w:w="2461" w:type="dxa"/>
            <w:tcBorders>
              <w:top w:val="single" w:sz="4" w:space="0" w:color="000000"/>
            </w:tcBorders>
          </w:tcPr>
          <w:p>
            <w:pPr>
              <w:pStyle w:val="TableParagraph"/>
              <w:spacing w:before="23"/>
              <w:ind w:left="117"/>
              <w:jc w:val="left"/>
              <w:rPr>
                <w:sz w:val="16"/>
              </w:rPr>
            </w:pPr>
            <w:r>
              <w:rPr>
                <w:sz w:val="16"/>
              </w:rPr>
              <w:t>General</w:t>
            </w:r>
            <w:r>
              <w:rPr>
                <w:spacing w:val="-4"/>
                <w:sz w:val="16"/>
              </w:rPr>
              <w:t> </w:t>
            </w:r>
            <w:r>
              <w:rPr>
                <w:sz w:val="16"/>
              </w:rPr>
              <w:t>temporary</w:t>
            </w:r>
            <w:r>
              <w:rPr>
                <w:spacing w:val="-1"/>
                <w:sz w:val="16"/>
              </w:rPr>
              <w:t> </w:t>
            </w:r>
            <w:r>
              <w:rPr>
                <w:spacing w:val="-2"/>
                <w:sz w:val="16"/>
              </w:rPr>
              <w:t>assistance</w:t>
            </w:r>
          </w:p>
        </w:tc>
        <w:tc>
          <w:tcPr>
            <w:tcW w:w="1218" w:type="dxa"/>
            <w:tcBorders>
              <w:top w:val="single" w:sz="4" w:space="0" w:color="000000"/>
            </w:tcBorders>
          </w:tcPr>
          <w:p>
            <w:pPr>
              <w:pStyle w:val="TableParagraph"/>
              <w:spacing w:before="23"/>
              <w:ind w:right="191"/>
              <w:rPr>
                <w:sz w:val="16"/>
              </w:rPr>
            </w:pPr>
            <w:r>
              <w:rPr>
                <w:spacing w:val="-4"/>
                <w:sz w:val="16"/>
              </w:rPr>
              <w:t>45.0</w:t>
            </w:r>
          </w:p>
        </w:tc>
        <w:tc>
          <w:tcPr>
            <w:tcW w:w="827" w:type="dxa"/>
            <w:tcBorders>
              <w:top w:val="single" w:sz="4" w:space="0" w:color="000000"/>
            </w:tcBorders>
          </w:tcPr>
          <w:p>
            <w:pPr>
              <w:pStyle w:val="TableParagraph"/>
              <w:spacing w:before="23"/>
              <w:ind w:right="107"/>
              <w:rPr>
                <w:sz w:val="16"/>
              </w:rPr>
            </w:pPr>
            <w:r>
              <w:rPr>
                <w:w w:val="98"/>
                <w:sz w:val="16"/>
              </w:rPr>
              <w:t>-</w:t>
            </w:r>
          </w:p>
        </w:tc>
        <w:tc>
          <w:tcPr>
            <w:tcW w:w="1133" w:type="dxa"/>
            <w:tcBorders>
              <w:top w:val="single" w:sz="4" w:space="0" w:color="000000"/>
            </w:tcBorders>
          </w:tcPr>
          <w:p>
            <w:pPr>
              <w:pStyle w:val="TableParagraph"/>
              <w:spacing w:before="23"/>
              <w:ind w:right="105"/>
              <w:rPr>
                <w:sz w:val="16"/>
              </w:rPr>
            </w:pPr>
            <w:r>
              <w:rPr>
                <w:spacing w:val="-4"/>
                <w:sz w:val="16"/>
              </w:rPr>
              <w:t>45.0</w:t>
            </w:r>
          </w:p>
        </w:tc>
        <w:tc>
          <w:tcPr>
            <w:tcW w:w="1078" w:type="dxa"/>
            <w:tcBorders>
              <w:top w:val="single" w:sz="4" w:space="0" w:color="000000"/>
            </w:tcBorders>
          </w:tcPr>
          <w:p>
            <w:pPr>
              <w:pStyle w:val="TableParagraph"/>
              <w:spacing w:before="23"/>
              <w:ind w:right="52"/>
              <w:rPr>
                <w:sz w:val="16"/>
              </w:rPr>
            </w:pPr>
            <w:r>
              <w:rPr>
                <w:w w:val="98"/>
                <w:sz w:val="16"/>
              </w:rPr>
              <w:t>-</w:t>
            </w:r>
          </w:p>
        </w:tc>
        <w:tc>
          <w:tcPr>
            <w:tcW w:w="1136" w:type="dxa"/>
            <w:tcBorders>
              <w:top w:val="single" w:sz="4" w:space="0" w:color="000000"/>
            </w:tcBorders>
          </w:tcPr>
          <w:p>
            <w:pPr>
              <w:pStyle w:val="TableParagraph"/>
              <w:spacing w:before="23"/>
              <w:ind w:right="199"/>
              <w:rPr>
                <w:sz w:val="16"/>
              </w:rPr>
            </w:pPr>
            <w:r>
              <w:rPr>
                <w:w w:val="98"/>
                <w:sz w:val="16"/>
              </w:rPr>
              <w:t>-</w:t>
            </w:r>
          </w:p>
        </w:tc>
        <w:tc>
          <w:tcPr>
            <w:tcW w:w="738" w:type="dxa"/>
            <w:tcBorders>
              <w:top w:val="single" w:sz="4" w:space="0" w:color="000000"/>
            </w:tcBorders>
          </w:tcPr>
          <w:p>
            <w:pPr>
              <w:pStyle w:val="TableParagraph"/>
              <w:spacing w:before="23"/>
              <w:ind w:right="173"/>
              <w:rPr>
                <w:sz w:val="16"/>
              </w:rPr>
            </w:pPr>
            <w:r>
              <w:rPr>
                <w:w w:val="98"/>
                <w:sz w:val="16"/>
              </w:rPr>
              <w:t>-</w:t>
            </w:r>
          </w:p>
        </w:tc>
        <w:tc>
          <w:tcPr>
            <w:tcW w:w="1053" w:type="dxa"/>
            <w:tcBorders>
              <w:top w:val="single" w:sz="4" w:space="0" w:color="000000"/>
            </w:tcBorders>
          </w:tcPr>
          <w:p>
            <w:pPr>
              <w:pStyle w:val="TableParagraph"/>
              <w:spacing w:before="23"/>
              <w:ind w:right="102"/>
              <w:rPr>
                <w:sz w:val="16"/>
              </w:rPr>
            </w:pPr>
            <w:r>
              <w:rPr>
                <w:w w:val="98"/>
                <w:sz w:val="16"/>
              </w:rPr>
              <w:t>-</w:t>
            </w:r>
          </w:p>
        </w:tc>
      </w:tr>
      <w:tr>
        <w:trPr>
          <w:trHeight w:val="225" w:hRule="atLeast"/>
        </w:trPr>
        <w:tc>
          <w:tcPr>
            <w:tcW w:w="2461" w:type="dxa"/>
          </w:tcPr>
          <w:p>
            <w:pPr>
              <w:pStyle w:val="TableParagraph"/>
              <w:spacing w:before="17"/>
              <w:ind w:left="117"/>
              <w:jc w:val="left"/>
              <w:rPr>
                <w:sz w:val="16"/>
              </w:rPr>
            </w:pPr>
            <w:r>
              <w:rPr>
                <w:sz w:val="16"/>
              </w:rPr>
              <w:t>Temporary</w:t>
            </w:r>
            <w:r>
              <w:rPr>
                <w:spacing w:val="-3"/>
                <w:sz w:val="16"/>
              </w:rPr>
              <w:t> </w:t>
            </w:r>
            <w:r>
              <w:rPr>
                <w:sz w:val="16"/>
              </w:rPr>
              <w:t>assistance</w:t>
            </w:r>
            <w:r>
              <w:rPr>
                <w:spacing w:val="-4"/>
                <w:sz w:val="16"/>
              </w:rPr>
              <w:t> </w:t>
            </w:r>
            <w:r>
              <w:rPr>
                <w:sz w:val="16"/>
              </w:rPr>
              <w:t>for</w:t>
            </w:r>
            <w:r>
              <w:rPr>
                <w:spacing w:val="-5"/>
                <w:sz w:val="16"/>
              </w:rPr>
              <w:t> </w:t>
            </w:r>
            <w:r>
              <w:rPr>
                <w:spacing w:val="-2"/>
                <w:sz w:val="16"/>
              </w:rPr>
              <w:t>meetings</w:t>
            </w:r>
          </w:p>
        </w:tc>
        <w:tc>
          <w:tcPr>
            <w:tcW w:w="1218" w:type="dxa"/>
          </w:tcPr>
          <w:p>
            <w:pPr>
              <w:pStyle w:val="TableParagraph"/>
              <w:spacing w:before="17"/>
              <w:ind w:right="193"/>
              <w:rPr>
                <w:sz w:val="16"/>
              </w:rPr>
            </w:pPr>
            <w:r>
              <w:rPr>
                <w:w w:val="98"/>
                <w:sz w:val="16"/>
              </w:rPr>
              <w:t>-</w:t>
            </w:r>
          </w:p>
        </w:tc>
        <w:tc>
          <w:tcPr>
            <w:tcW w:w="827" w:type="dxa"/>
          </w:tcPr>
          <w:p>
            <w:pPr>
              <w:pStyle w:val="TableParagraph"/>
              <w:spacing w:before="17"/>
              <w:ind w:right="107"/>
              <w:rPr>
                <w:sz w:val="16"/>
              </w:rPr>
            </w:pPr>
            <w:r>
              <w:rPr>
                <w:w w:val="98"/>
                <w:sz w:val="16"/>
              </w:rPr>
              <w:t>-</w:t>
            </w:r>
          </w:p>
        </w:tc>
        <w:tc>
          <w:tcPr>
            <w:tcW w:w="1133" w:type="dxa"/>
          </w:tcPr>
          <w:p>
            <w:pPr>
              <w:pStyle w:val="TableParagraph"/>
              <w:spacing w:before="17"/>
              <w:ind w:right="107"/>
              <w:rPr>
                <w:sz w:val="16"/>
              </w:rPr>
            </w:pPr>
            <w:r>
              <w:rPr>
                <w:w w:val="98"/>
                <w:sz w:val="16"/>
              </w:rPr>
              <w:t>-</w:t>
            </w:r>
          </w:p>
        </w:tc>
        <w:tc>
          <w:tcPr>
            <w:tcW w:w="1078" w:type="dxa"/>
          </w:tcPr>
          <w:p>
            <w:pPr>
              <w:pStyle w:val="TableParagraph"/>
              <w:spacing w:before="17"/>
              <w:ind w:right="52"/>
              <w:rPr>
                <w:sz w:val="16"/>
              </w:rPr>
            </w:pPr>
            <w:r>
              <w:rPr>
                <w:w w:val="98"/>
                <w:sz w:val="16"/>
              </w:rPr>
              <w:t>-</w:t>
            </w:r>
          </w:p>
        </w:tc>
        <w:tc>
          <w:tcPr>
            <w:tcW w:w="1136" w:type="dxa"/>
          </w:tcPr>
          <w:p>
            <w:pPr>
              <w:pStyle w:val="TableParagraph"/>
              <w:spacing w:before="17"/>
              <w:ind w:right="199"/>
              <w:rPr>
                <w:sz w:val="16"/>
              </w:rPr>
            </w:pPr>
            <w:r>
              <w:rPr>
                <w:w w:val="98"/>
                <w:sz w:val="16"/>
              </w:rPr>
              <w:t>-</w:t>
            </w:r>
          </w:p>
        </w:tc>
        <w:tc>
          <w:tcPr>
            <w:tcW w:w="738" w:type="dxa"/>
          </w:tcPr>
          <w:p>
            <w:pPr>
              <w:pStyle w:val="TableParagraph"/>
              <w:spacing w:before="17"/>
              <w:ind w:right="173"/>
              <w:rPr>
                <w:sz w:val="16"/>
              </w:rPr>
            </w:pPr>
            <w:r>
              <w:rPr>
                <w:w w:val="98"/>
                <w:sz w:val="16"/>
              </w:rPr>
              <w:t>-</w:t>
            </w:r>
          </w:p>
        </w:tc>
        <w:tc>
          <w:tcPr>
            <w:tcW w:w="1053" w:type="dxa"/>
          </w:tcPr>
          <w:p>
            <w:pPr>
              <w:pStyle w:val="TableParagraph"/>
              <w:spacing w:before="17"/>
              <w:ind w:right="102"/>
              <w:rPr>
                <w:sz w:val="16"/>
              </w:rPr>
            </w:pPr>
            <w:r>
              <w:rPr>
                <w:w w:val="98"/>
                <w:sz w:val="16"/>
              </w:rPr>
              <w:t>-</w:t>
            </w:r>
          </w:p>
        </w:tc>
      </w:tr>
      <w:tr>
        <w:trPr>
          <w:trHeight w:val="223" w:hRule="atLeast"/>
        </w:trPr>
        <w:tc>
          <w:tcPr>
            <w:tcW w:w="2461" w:type="dxa"/>
            <w:tcBorders>
              <w:bottom w:val="single" w:sz="4" w:space="0" w:color="000000"/>
            </w:tcBorders>
          </w:tcPr>
          <w:p>
            <w:pPr>
              <w:pStyle w:val="TableParagraph"/>
              <w:spacing w:before="17"/>
              <w:ind w:left="117"/>
              <w:jc w:val="left"/>
              <w:rPr>
                <w:sz w:val="16"/>
              </w:rPr>
            </w:pPr>
            <w:r>
              <w:rPr>
                <w:spacing w:val="-2"/>
                <w:sz w:val="16"/>
              </w:rPr>
              <w:t>Overtime</w:t>
            </w:r>
          </w:p>
        </w:tc>
        <w:tc>
          <w:tcPr>
            <w:tcW w:w="1218" w:type="dxa"/>
            <w:tcBorders>
              <w:bottom w:val="single" w:sz="4" w:space="0" w:color="000000"/>
            </w:tcBorders>
          </w:tcPr>
          <w:p>
            <w:pPr>
              <w:pStyle w:val="TableParagraph"/>
              <w:spacing w:before="17"/>
              <w:ind w:right="191"/>
              <w:rPr>
                <w:sz w:val="16"/>
              </w:rPr>
            </w:pPr>
            <w:r>
              <w:rPr>
                <w:spacing w:val="-4"/>
                <w:sz w:val="16"/>
              </w:rPr>
              <w:t>16.6</w:t>
            </w:r>
          </w:p>
        </w:tc>
        <w:tc>
          <w:tcPr>
            <w:tcW w:w="827" w:type="dxa"/>
            <w:tcBorders>
              <w:bottom w:val="single" w:sz="4" w:space="0" w:color="000000"/>
            </w:tcBorders>
          </w:tcPr>
          <w:p>
            <w:pPr>
              <w:pStyle w:val="TableParagraph"/>
              <w:spacing w:before="17"/>
              <w:ind w:right="107"/>
              <w:rPr>
                <w:sz w:val="16"/>
              </w:rPr>
            </w:pPr>
            <w:r>
              <w:rPr>
                <w:w w:val="98"/>
                <w:sz w:val="16"/>
              </w:rPr>
              <w:t>-</w:t>
            </w:r>
          </w:p>
        </w:tc>
        <w:tc>
          <w:tcPr>
            <w:tcW w:w="1133" w:type="dxa"/>
            <w:tcBorders>
              <w:bottom w:val="single" w:sz="4" w:space="0" w:color="000000"/>
            </w:tcBorders>
          </w:tcPr>
          <w:p>
            <w:pPr>
              <w:pStyle w:val="TableParagraph"/>
              <w:spacing w:before="17"/>
              <w:ind w:right="105"/>
              <w:rPr>
                <w:sz w:val="16"/>
              </w:rPr>
            </w:pPr>
            <w:r>
              <w:rPr>
                <w:spacing w:val="-4"/>
                <w:sz w:val="16"/>
              </w:rPr>
              <w:t>16.6</w:t>
            </w:r>
          </w:p>
        </w:tc>
        <w:tc>
          <w:tcPr>
            <w:tcW w:w="1078" w:type="dxa"/>
            <w:tcBorders>
              <w:bottom w:val="single" w:sz="4" w:space="0" w:color="000000"/>
            </w:tcBorders>
          </w:tcPr>
          <w:p>
            <w:pPr>
              <w:pStyle w:val="TableParagraph"/>
              <w:spacing w:before="17"/>
              <w:ind w:right="52"/>
              <w:rPr>
                <w:sz w:val="16"/>
              </w:rPr>
            </w:pPr>
            <w:r>
              <w:rPr>
                <w:w w:val="98"/>
                <w:sz w:val="16"/>
              </w:rPr>
              <w:t>-</w:t>
            </w:r>
          </w:p>
        </w:tc>
        <w:tc>
          <w:tcPr>
            <w:tcW w:w="1136" w:type="dxa"/>
            <w:tcBorders>
              <w:bottom w:val="single" w:sz="4" w:space="0" w:color="000000"/>
            </w:tcBorders>
          </w:tcPr>
          <w:p>
            <w:pPr>
              <w:pStyle w:val="TableParagraph"/>
              <w:spacing w:before="17"/>
              <w:ind w:right="199"/>
              <w:rPr>
                <w:sz w:val="16"/>
              </w:rPr>
            </w:pPr>
            <w:r>
              <w:rPr>
                <w:w w:val="98"/>
                <w:sz w:val="16"/>
              </w:rPr>
              <w:t>-</w:t>
            </w:r>
          </w:p>
        </w:tc>
        <w:tc>
          <w:tcPr>
            <w:tcW w:w="738" w:type="dxa"/>
            <w:tcBorders>
              <w:bottom w:val="single" w:sz="4" w:space="0" w:color="000000"/>
            </w:tcBorders>
          </w:tcPr>
          <w:p>
            <w:pPr>
              <w:pStyle w:val="TableParagraph"/>
              <w:spacing w:before="17"/>
              <w:ind w:right="173"/>
              <w:rPr>
                <w:sz w:val="16"/>
              </w:rPr>
            </w:pPr>
            <w:r>
              <w:rPr>
                <w:w w:val="98"/>
                <w:sz w:val="16"/>
              </w:rPr>
              <w:t>-</w:t>
            </w:r>
          </w:p>
        </w:tc>
        <w:tc>
          <w:tcPr>
            <w:tcW w:w="1053" w:type="dxa"/>
            <w:tcBorders>
              <w:bottom w:val="single" w:sz="4" w:space="0" w:color="000000"/>
            </w:tcBorders>
          </w:tcPr>
          <w:p>
            <w:pPr>
              <w:pStyle w:val="TableParagraph"/>
              <w:spacing w:before="17"/>
              <w:ind w:right="102"/>
              <w:rPr>
                <w:sz w:val="16"/>
              </w:rPr>
            </w:pPr>
            <w:r>
              <w:rPr>
                <w:w w:val="98"/>
                <w:sz w:val="16"/>
              </w:rPr>
              <w:t>-</w:t>
            </w:r>
          </w:p>
        </w:tc>
      </w:tr>
      <w:tr>
        <w:trPr>
          <w:trHeight w:val="230" w:hRule="atLeast"/>
        </w:trPr>
        <w:tc>
          <w:tcPr>
            <w:tcW w:w="2461" w:type="dxa"/>
            <w:tcBorders>
              <w:top w:val="single" w:sz="4" w:space="0" w:color="000000"/>
              <w:bottom w:val="single" w:sz="4" w:space="0" w:color="000000"/>
            </w:tcBorders>
          </w:tcPr>
          <w:p>
            <w:pPr>
              <w:pStyle w:val="TableParagraph"/>
              <w:spacing w:before="23"/>
              <w:ind w:right="105"/>
              <w:rPr>
                <w:i/>
                <w:sz w:val="16"/>
              </w:rPr>
            </w:pPr>
            <w:r>
              <w:rPr>
                <w:i/>
                <w:sz w:val="16"/>
              </w:rPr>
              <w:t>Subtotal</w:t>
            </w:r>
            <w:r>
              <w:rPr>
                <w:i/>
                <w:spacing w:val="-2"/>
                <w:sz w:val="16"/>
              </w:rPr>
              <w:t> </w:t>
            </w:r>
            <w:r>
              <w:rPr>
                <w:i/>
                <w:sz w:val="16"/>
              </w:rPr>
              <w:t>other</w:t>
            </w:r>
            <w:r>
              <w:rPr>
                <w:i/>
                <w:spacing w:val="-1"/>
                <w:sz w:val="16"/>
              </w:rPr>
              <w:t> </w:t>
            </w:r>
            <w:r>
              <w:rPr>
                <w:i/>
                <w:spacing w:val="-2"/>
                <w:sz w:val="16"/>
              </w:rPr>
              <w:t>staff</w:t>
            </w:r>
          </w:p>
        </w:tc>
        <w:tc>
          <w:tcPr>
            <w:tcW w:w="1218" w:type="dxa"/>
            <w:tcBorders>
              <w:top w:val="single" w:sz="4" w:space="0" w:color="000000"/>
              <w:bottom w:val="single" w:sz="4" w:space="0" w:color="000000"/>
            </w:tcBorders>
          </w:tcPr>
          <w:p>
            <w:pPr>
              <w:pStyle w:val="TableParagraph"/>
              <w:spacing w:before="23"/>
              <w:ind w:right="191"/>
              <w:rPr>
                <w:i/>
                <w:sz w:val="16"/>
              </w:rPr>
            </w:pPr>
            <w:r>
              <w:rPr>
                <w:i/>
                <w:spacing w:val="-4"/>
                <w:sz w:val="16"/>
              </w:rPr>
              <w:t>61.5</w:t>
            </w:r>
          </w:p>
        </w:tc>
        <w:tc>
          <w:tcPr>
            <w:tcW w:w="827" w:type="dxa"/>
            <w:tcBorders>
              <w:top w:val="single" w:sz="4" w:space="0" w:color="000000"/>
              <w:bottom w:val="single" w:sz="4" w:space="0" w:color="000000"/>
            </w:tcBorders>
          </w:tcPr>
          <w:p>
            <w:pPr>
              <w:pStyle w:val="TableParagraph"/>
              <w:spacing w:before="23"/>
              <w:ind w:right="107"/>
              <w:rPr>
                <w:i/>
                <w:sz w:val="16"/>
              </w:rPr>
            </w:pPr>
            <w:r>
              <w:rPr>
                <w:i/>
                <w:w w:val="98"/>
                <w:sz w:val="16"/>
              </w:rPr>
              <w:t>-</w:t>
            </w:r>
          </w:p>
        </w:tc>
        <w:tc>
          <w:tcPr>
            <w:tcW w:w="1133" w:type="dxa"/>
            <w:tcBorders>
              <w:top w:val="single" w:sz="4" w:space="0" w:color="000000"/>
              <w:bottom w:val="single" w:sz="4" w:space="0" w:color="000000"/>
            </w:tcBorders>
          </w:tcPr>
          <w:p>
            <w:pPr>
              <w:pStyle w:val="TableParagraph"/>
              <w:spacing w:before="23"/>
              <w:ind w:right="105"/>
              <w:rPr>
                <w:i/>
                <w:sz w:val="16"/>
              </w:rPr>
            </w:pPr>
            <w:r>
              <w:rPr>
                <w:i/>
                <w:spacing w:val="-4"/>
                <w:sz w:val="16"/>
              </w:rPr>
              <w:t>61.5</w:t>
            </w:r>
          </w:p>
        </w:tc>
        <w:tc>
          <w:tcPr>
            <w:tcW w:w="1078" w:type="dxa"/>
            <w:tcBorders>
              <w:top w:val="single" w:sz="4" w:space="0" w:color="000000"/>
              <w:bottom w:val="single" w:sz="4" w:space="0" w:color="000000"/>
            </w:tcBorders>
          </w:tcPr>
          <w:p>
            <w:pPr>
              <w:pStyle w:val="TableParagraph"/>
              <w:spacing w:before="23"/>
              <w:ind w:right="52"/>
              <w:rPr>
                <w:i/>
                <w:sz w:val="16"/>
              </w:rPr>
            </w:pPr>
            <w:r>
              <w:rPr>
                <w:i/>
                <w:w w:val="98"/>
                <w:sz w:val="16"/>
              </w:rPr>
              <w:t>-</w:t>
            </w:r>
          </w:p>
        </w:tc>
        <w:tc>
          <w:tcPr>
            <w:tcW w:w="1136" w:type="dxa"/>
            <w:tcBorders>
              <w:top w:val="single" w:sz="4" w:space="0" w:color="000000"/>
              <w:bottom w:val="single" w:sz="4" w:space="0" w:color="000000"/>
            </w:tcBorders>
          </w:tcPr>
          <w:p>
            <w:pPr>
              <w:pStyle w:val="TableParagraph"/>
              <w:spacing w:before="23"/>
              <w:ind w:right="199"/>
              <w:rPr>
                <w:i/>
                <w:sz w:val="16"/>
              </w:rPr>
            </w:pPr>
            <w:r>
              <w:rPr>
                <w:i/>
                <w:w w:val="98"/>
                <w:sz w:val="16"/>
              </w:rPr>
              <w:t>-</w:t>
            </w:r>
          </w:p>
        </w:tc>
        <w:tc>
          <w:tcPr>
            <w:tcW w:w="738" w:type="dxa"/>
            <w:tcBorders>
              <w:top w:val="single" w:sz="4" w:space="0" w:color="000000"/>
              <w:bottom w:val="single" w:sz="4" w:space="0" w:color="000000"/>
            </w:tcBorders>
          </w:tcPr>
          <w:p>
            <w:pPr>
              <w:pStyle w:val="TableParagraph"/>
              <w:spacing w:before="23"/>
              <w:ind w:right="173"/>
              <w:rPr>
                <w:i/>
                <w:sz w:val="16"/>
              </w:rPr>
            </w:pPr>
            <w:r>
              <w:rPr>
                <w:i/>
                <w:w w:val="98"/>
                <w:sz w:val="16"/>
              </w:rPr>
              <w:t>-</w:t>
            </w:r>
          </w:p>
        </w:tc>
        <w:tc>
          <w:tcPr>
            <w:tcW w:w="1053" w:type="dxa"/>
            <w:tcBorders>
              <w:top w:val="single" w:sz="4" w:space="0" w:color="000000"/>
              <w:bottom w:val="single" w:sz="4" w:space="0" w:color="000000"/>
            </w:tcBorders>
          </w:tcPr>
          <w:p>
            <w:pPr>
              <w:pStyle w:val="TableParagraph"/>
              <w:spacing w:before="23"/>
              <w:ind w:right="102"/>
              <w:rPr>
                <w:i/>
                <w:sz w:val="16"/>
              </w:rPr>
            </w:pPr>
            <w:r>
              <w:rPr>
                <w:i/>
                <w:w w:val="98"/>
                <w:sz w:val="16"/>
              </w:rPr>
              <w:t>-</w:t>
            </w:r>
          </w:p>
        </w:tc>
      </w:tr>
      <w:tr>
        <w:trPr>
          <w:trHeight w:val="227" w:hRule="atLeast"/>
        </w:trPr>
        <w:tc>
          <w:tcPr>
            <w:tcW w:w="2461" w:type="dxa"/>
            <w:tcBorders>
              <w:top w:val="single" w:sz="4" w:space="0" w:color="000000"/>
            </w:tcBorders>
          </w:tcPr>
          <w:p>
            <w:pPr>
              <w:pStyle w:val="TableParagraph"/>
              <w:spacing w:before="18"/>
              <w:ind w:left="117"/>
              <w:jc w:val="left"/>
              <w:rPr>
                <w:sz w:val="16"/>
              </w:rPr>
            </w:pPr>
            <w:r>
              <w:rPr>
                <w:spacing w:val="-2"/>
                <w:sz w:val="16"/>
              </w:rPr>
              <w:t>Travel</w:t>
            </w:r>
          </w:p>
        </w:tc>
        <w:tc>
          <w:tcPr>
            <w:tcW w:w="1218" w:type="dxa"/>
            <w:tcBorders>
              <w:top w:val="single" w:sz="4" w:space="0" w:color="000000"/>
            </w:tcBorders>
          </w:tcPr>
          <w:p>
            <w:pPr>
              <w:pStyle w:val="TableParagraph"/>
              <w:spacing w:before="18"/>
              <w:ind w:right="195"/>
              <w:rPr>
                <w:sz w:val="16"/>
              </w:rPr>
            </w:pPr>
            <w:r>
              <w:rPr>
                <w:spacing w:val="-5"/>
                <w:sz w:val="16"/>
              </w:rPr>
              <w:t>0.1</w:t>
            </w:r>
          </w:p>
        </w:tc>
        <w:tc>
          <w:tcPr>
            <w:tcW w:w="827" w:type="dxa"/>
            <w:tcBorders>
              <w:top w:val="single" w:sz="4" w:space="0" w:color="000000"/>
            </w:tcBorders>
          </w:tcPr>
          <w:p>
            <w:pPr>
              <w:pStyle w:val="TableParagraph"/>
              <w:spacing w:before="18"/>
              <w:ind w:right="107"/>
              <w:rPr>
                <w:sz w:val="16"/>
              </w:rPr>
            </w:pPr>
            <w:r>
              <w:rPr>
                <w:w w:val="98"/>
                <w:sz w:val="16"/>
              </w:rPr>
              <w:t>-</w:t>
            </w:r>
          </w:p>
        </w:tc>
        <w:tc>
          <w:tcPr>
            <w:tcW w:w="1133" w:type="dxa"/>
            <w:tcBorders>
              <w:top w:val="single" w:sz="4" w:space="0" w:color="000000"/>
            </w:tcBorders>
          </w:tcPr>
          <w:p>
            <w:pPr>
              <w:pStyle w:val="TableParagraph"/>
              <w:spacing w:before="18"/>
              <w:ind w:right="110"/>
              <w:rPr>
                <w:sz w:val="16"/>
              </w:rPr>
            </w:pPr>
            <w:r>
              <w:rPr>
                <w:spacing w:val="-5"/>
                <w:sz w:val="16"/>
              </w:rPr>
              <w:t>0.1</w:t>
            </w:r>
          </w:p>
        </w:tc>
        <w:tc>
          <w:tcPr>
            <w:tcW w:w="1078" w:type="dxa"/>
            <w:tcBorders>
              <w:top w:val="single" w:sz="4" w:space="0" w:color="000000"/>
            </w:tcBorders>
          </w:tcPr>
          <w:p>
            <w:pPr>
              <w:pStyle w:val="TableParagraph"/>
              <w:spacing w:before="18"/>
              <w:ind w:right="55"/>
              <w:rPr>
                <w:sz w:val="16"/>
              </w:rPr>
            </w:pPr>
            <w:r>
              <w:rPr>
                <w:spacing w:val="-5"/>
                <w:sz w:val="16"/>
              </w:rPr>
              <w:t>9.3</w:t>
            </w:r>
          </w:p>
        </w:tc>
        <w:tc>
          <w:tcPr>
            <w:tcW w:w="1136" w:type="dxa"/>
            <w:tcBorders>
              <w:top w:val="single" w:sz="4" w:space="0" w:color="000000"/>
            </w:tcBorders>
          </w:tcPr>
          <w:p>
            <w:pPr>
              <w:pStyle w:val="TableParagraph"/>
              <w:spacing w:before="18"/>
              <w:ind w:right="197"/>
              <w:rPr>
                <w:sz w:val="16"/>
              </w:rPr>
            </w:pPr>
            <w:r>
              <w:rPr>
                <w:spacing w:val="-4"/>
                <w:sz w:val="16"/>
              </w:rPr>
              <w:t>89.8</w:t>
            </w:r>
          </w:p>
        </w:tc>
        <w:tc>
          <w:tcPr>
            <w:tcW w:w="738" w:type="dxa"/>
            <w:tcBorders>
              <w:top w:val="single" w:sz="4" w:space="0" w:color="000000"/>
            </w:tcBorders>
          </w:tcPr>
          <w:p>
            <w:pPr>
              <w:pStyle w:val="TableParagraph"/>
              <w:spacing w:before="18"/>
              <w:ind w:right="171"/>
              <w:rPr>
                <w:sz w:val="16"/>
              </w:rPr>
            </w:pPr>
            <w:r>
              <w:rPr>
                <w:spacing w:val="-2"/>
                <w:sz w:val="16"/>
              </w:rPr>
              <w:t>965.6</w:t>
            </w:r>
          </w:p>
        </w:tc>
        <w:tc>
          <w:tcPr>
            <w:tcW w:w="1053" w:type="dxa"/>
            <w:tcBorders>
              <w:top w:val="single" w:sz="4" w:space="0" w:color="000000"/>
            </w:tcBorders>
          </w:tcPr>
          <w:p>
            <w:pPr>
              <w:pStyle w:val="TableParagraph"/>
              <w:spacing w:before="18"/>
              <w:ind w:right="100"/>
              <w:rPr>
                <w:sz w:val="16"/>
              </w:rPr>
            </w:pPr>
            <w:r>
              <w:rPr>
                <w:spacing w:val="-4"/>
                <w:sz w:val="16"/>
              </w:rPr>
              <w:t>99.1</w:t>
            </w:r>
          </w:p>
        </w:tc>
      </w:tr>
      <w:tr>
        <w:trPr>
          <w:trHeight w:val="228" w:hRule="atLeast"/>
        </w:trPr>
        <w:tc>
          <w:tcPr>
            <w:tcW w:w="2461" w:type="dxa"/>
          </w:tcPr>
          <w:p>
            <w:pPr>
              <w:pStyle w:val="TableParagraph"/>
              <w:spacing w:before="17"/>
              <w:ind w:left="117"/>
              <w:jc w:val="left"/>
              <w:rPr>
                <w:sz w:val="16"/>
              </w:rPr>
            </w:pPr>
            <w:r>
              <w:rPr>
                <w:spacing w:val="-2"/>
                <w:sz w:val="16"/>
              </w:rPr>
              <w:t>Hospitality</w:t>
            </w:r>
          </w:p>
        </w:tc>
        <w:tc>
          <w:tcPr>
            <w:tcW w:w="1218" w:type="dxa"/>
          </w:tcPr>
          <w:p>
            <w:pPr>
              <w:pStyle w:val="TableParagraph"/>
              <w:spacing w:before="17"/>
              <w:ind w:right="195"/>
              <w:rPr>
                <w:sz w:val="16"/>
              </w:rPr>
            </w:pPr>
            <w:r>
              <w:rPr>
                <w:spacing w:val="-5"/>
                <w:sz w:val="16"/>
              </w:rPr>
              <w:t>0.1</w:t>
            </w:r>
          </w:p>
        </w:tc>
        <w:tc>
          <w:tcPr>
            <w:tcW w:w="827" w:type="dxa"/>
          </w:tcPr>
          <w:p>
            <w:pPr>
              <w:pStyle w:val="TableParagraph"/>
              <w:spacing w:before="17"/>
              <w:ind w:right="107"/>
              <w:rPr>
                <w:sz w:val="16"/>
              </w:rPr>
            </w:pPr>
            <w:r>
              <w:rPr>
                <w:w w:val="98"/>
                <w:sz w:val="16"/>
              </w:rPr>
              <w:t>-</w:t>
            </w:r>
          </w:p>
        </w:tc>
        <w:tc>
          <w:tcPr>
            <w:tcW w:w="1133" w:type="dxa"/>
          </w:tcPr>
          <w:p>
            <w:pPr>
              <w:pStyle w:val="TableParagraph"/>
              <w:spacing w:before="17"/>
              <w:ind w:right="110"/>
              <w:rPr>
                <w:sz w:val="16"/>
              </w:rPr>
            </w:pPr>
            <w:r>
              <w:rPr>
                <w:spacing w:val="-5"/>
                <w:sz w:val="16"/>
              </w:rPr>
              <w:t>0.1</w:t>
            </w:r>
          </w:p>
        </w:tc>
        <w:tc>
          <w:tcPr>
            <w:tcW w:w="1078" w:type="dxa"/>
          </w:tcPr>
          <w:p>
            <w:pPr>
              <w:pStyle w:val="TableParagraph"/>
              <w:spacing w:before="17"/>
              <w:ind w:right="55"/>
              <w:rPr>
                <w:sz w:val="16"/>
              </w:rPr>
            </w:pPr>
            <w:r>
              <w:rPr>
                <w:spacing w:val="-5"/>
                <w:sz w:val="16"/>
              </w:rPr>
              <w:t>1.0</w:t>
            </w:r>
          </w:p>
        </w:tc>
        <w:tc>
          <w:tcPr>
            <w:tcW w:w="1136" w:type="dxa"/>
          </w:tcPr>
          <w:p>
            <w:pPr>
              <w:pStyle w:val="TableParagraph"/>
              <w:spacing w:before="17"/>
              <w:ind w:right="199"/>
              <w:rPr>
                <w:sz w:val="16"/>
              </w:rPr>
            </w:pPr>
            <w:r>
              <w:rPr>
                <w:w w:val="98"/>
                <w:sz w:val="16"/>
              </w:rPr>
              <w:t>-</w:t>
            </w:r>
          </w:p>
        </w:tc>
        <w:tc>
          <w:tcPr>
            <w:tcW w:w="738" w:type="dxa"/>
          </w:tcPr>
          <w:p>
            <w:pPr>
              <w:pStyle w:val="TableParagraph"/>
              <w:spacing w:before="17"/>
              <w:ind w:right="173"/>
              <w:rPr>
                <w:sz w:val="16"/>
              </w:rPr>
            </w:pPr>
            <w:r>
              <w:rPr>
                <w:w w:val="98"/>
                <w:sz w:val="16"/>
              </w:rPr>
              <w:t>-</w:t>
            </w:r>
          </w:p>
        </w:tc>
        <w:tc>
          <w:tcPr>
            <w:tcW w:w="1053" w:type="dxa"/>
          </w:tcPr>
          <w:p>
            <w:pPr>
              <w:pStyle w:val="TableParagraph"/>
              <w:spacing w:before="17"/>
              <w:ind w:right="105"/>
              <w:rPr>
                <w:sz w:val="16"/>
              </w:rPr>
            </w:pPr>
            <w:r>
              <w:rPr>
                <w:spacing w:val="-5"/>
                <w:sz w:val="16"/>
              </w:rPr>
              <w:t>1.0</w:t>
            </w:r>
          </w:p>
        </w:tc>
      </w:tr>
      <w:tr>
        <w:trPr>
          <w:trHeight w:val="228" w:hRule="atLeast"/>
        </w:trPr>
        <w:tc>
          <w:tcPr>
            <w:tcW w:w="2461" w:type="dxa"/>
          </w:tcPr>
          <w:p>
            <w:pPr>
              <w:pStyle w:val="TableParagraph"/>
              <w:spacing w:before="19"/>
              <w:ind w:left="117"/>
              <w:jc w:val="left"/>
              <w:rPr>
                <w:sz w:val="16"/>
              </w:rPr>
            </w:pPr>
            <w:r>
              <w:rPr>
                <w:w w:val="95"/>
                <w:sz w:val="16"/>
              </w:rPr>
              <w:t>Contractual</w:t>
            </w:r>
            <w:r>
              <w:rPr>
                <w:spacing w:val="33"/>
                <w:sz w:val="16"/>
              </w:rPr>
              <w:t> </w:t>
            </w:r>
            <w:r>
              <w:rPr>
                <w:spacing w:val="-2"/>
                <w:sz w:val="16"/>
              </w:rPr>
              <w:t>services</w:t>
            </w:r>
          </w:p>
        </w:tc>
        <w:tc>
          <w:tcPr>
            <w:tcW w:w="1218" w:type="dxa"/>
          </w:tcPr>
          <w:p>
            <w:pPr>
              <w:pStyle w:val="TableParagraph"/>
              <w:spacing w:before="19"/>
              <w:ind w:right="193"/>
              <w:rPr>
                <w:sz w:val="16"/>
              </w:rPr>
            </w:pPr>
            <w:r>
              <w:rPr>
                <w:w w:val="98"/>
                <w:sz w:val="16"/>
              </w:rPr>
              <w:t>-</w:t>
            </w:r>
          </w:p>
        </w:tc>
        <w:tc>
          <w:tcPr>
            <w:tcW w:w="827" w:type="dxa"/>
          </w:tcPr>
          <w:p>
            <w:pPr>
              <w:pStyle w:val="TableParagraph"/>
              <w:spacing w:before="19"/>
              <w:ind w:right="107"/>
              <w:rPr>
                <w:sz w:val="16"/>
              </w:rPr>
            </w:pPr>
            <w:r>
              <w:rPr>
                <w:w w:val="98"/>
                <w:sz w:val="16"/>
              </w:rPr>
              <w:t>-</w:t>
            </w:r>
          </w:p>
        </w:tc>
        <w:tc>
          <w:tcPr>
            <w:tcW w:w="1133" w:type="dxa"/>
          </w:tcPr>
          <w:p>
            <w:pPr>
              <w:pStyle w:val="TableParagraph"/>
              <w:spacing w:before="19"/>
              <w:ind w:right="107"/>
              <w:rPr>
                <w:sz w:val="16"/>
              </w:rPr>
            </w:pPr>
            <w:r>
              <w:rPr>
                <w:w w:val="98"/>
                <w:sz w:val="16"/>
              </w:rPr>
              <w:t>-</w:t>
            </w:r>
          </w:p>
        </w:tc>
        <w:tc>
          <w:tcPr>
            <w:tcW w:w="1078" w:type="dxa"/>
          </w:tcPr>
          <w:p>
            <w:pPr>
              <w:pStyle w:val="TableParagraph"/>
              <w:spacing w:before="19"/>
              <w:ind w:right="52"/>
              <w:rPr>
                <w:sz w:val="16"/>
              </w:rPr>
            </w:pPr>
            <w:r>
              <w:rPr>
                <w:w w:val="98"/>
                <w:sz w:val="16"/>
              </w:rPr>
              <w:t>-</w:t>
            </w:r>
          </w:p>
        </w:tc>
        <w:tc>
          <w:tcPr>
            <w:tcW w:w="1136" w:type="dxa"/>
          </w:tcPr>
          <w:p>
            <w:pPr>
              <w:pStyle w:val="TableParagraph"/>
              <w:spacing w:before="19"/>
              <w:ind w:right="199"/>
              <w:rPr>
                <w:sz w:val="16"/>
              </w:rPr>
            </w:pPr>
            <w:r>
              <w:rPr>
                <w:w w:val="98"/>
                <w:sz w:val="16"/>
              </w:rPr>
              <w:t>-</w:t>
            </w:r>
          </w:p>
        </w:tc>
        <w:tc>
          <w:tcPr>
            <w:tcW w:w="738" w:type="dxa"/>
          </w:tcPr>
          <w:p>
            <w:pPr>
              <w:pStyle w:val="TableParagraph"/>
              <w:spacing w:before="19"/>
              <w:ind w:right="173"/>
              <w:rPr>
                <w:sz w:val="16"/>
              </w:rPr>
            </w:pPr>
            <w:r>
              <w:rPr>
                <w:w w:val="98"/>
                <w:sz w:val="16"/>
              </w:rPr>
              <w:t>-</w:t>
            </w:r>
          </w:p>
        </w:tc>
        <w:tc>
          <w:tcPr>
            <w:tcW w:w="1053" w:type="dxa"/>
          </w:tcPr>
          <w:p>
            <w:pPr>
              <w:pStyle w:val="TableParagraph"/>
              <w:spacing w:before="19"/>
              <w:ind w:right="102"/>
              <w:rPr>
                <w:sz w:val="16"/>
              </w:rPr>
            </w:pPr>
            <w:r>
              <w:rPr>
                <w:w w:val="98"/>
                <w:sz w:val="16"/>
              </w:rPr>
              <w:t>-</w:t>
            </w:r>
          </w:p>
        </w:tc>
      </w:tr>
      <w:tr>
        <w:trPr>
          <w:trHeight w:val="225" w:hRule="atLeast"/>
        </w:trPr>
        <w:tc>
          <w:tcPr>
            <w:tcW w:w="2461" w:type="dxa"/>
          </w:tcPr>
          <w:p>
            <w:pPr>
              <w:pStyle w:val="TableParagraph"/>
              <w:spacing w:before="17"/>
              <w:ind w:left="117"/>
              <w:jc w:val="left"/>
              <w:rPr>
                <w:sz w:val="16"/>
              </w:rPr>
            </w:pPr>
            <w:r>
              <w:rPr>
                <w:spacing w:val="-2"/>
                <w:sz w:val="16"/>
              </w:rPr>
              <w:t>Training</w:t>
            </w:r>
          </w:p>
        </w:tc>
        <w:tc>
          <w:tcPr>
            <w:tcW w:w="1218" w:type="dxa"/>
          </w:tcPr>
          <w:p>
            <w:pPr>
              <w:pStyle w:val="TableParagraph"/>
              <w:spacing w:before="17"/>
              <w:ind w:right="193"/>
              <w:rPr>
                <w:sz w:val="16"/>
              </w:rPr>
            </w:pPr>
            <w:r>
              <w:rPr>
                <w:w w:val="98"/>
                <w:sz w:val="16"/>
              </w:rPr>
              <w:t>-</w:t>
            </w:r>
          </w:p>
        </w:tc>
        <w:tc>
          <w:tcPr>
            <w:tcW w:w="827" w:type="dxa"/>
          </w:tcPr>
          <w:p>
            <w:pPr>
              <w:pStyle w:val="TableParagraph"/>
              <w:spacing w:before="17"/>
              <w:ind w:right="107"/>
              <w:rPr>
                <w:sz w:val="16"/>
              </w:rPr>
            </w:pPr>
            <w:r>
              <w:rPr>
                <w:w w:val="98"/>
                <w:sz w:val="16"/>
              </w:rPr>
              <w:t>-</w:t>
            </w:r>
          </w:p>
        </w:tc>
        <w:tc>
          <w:tcPr>
            <w:tcW w:w="1133" w:type="dxa"/>
          </w:tcPr>
          <w:p>
            <w:pPr>
              <w:pStyle w:val="TableParagraph"/>
              <w:spacing w:before="17"/>
              <w:ind w:right="107"/>
              <w:rPr>
                <w:sz w:val="16"/>
              </w:rPr>
            </w:pPr>
            <w:r>
              <w:rPr>
                <w:w w:val="98"/>
                <w:sz w:val="16"/>
              </w:rPr>
              <w:t>-</w:t>
            </w:r>
          </w:p>
        </w:tc>
        <w:tc>
          <w:tcPr>
            <w:tcW w:w="1078" w:type="dxa"/>
          </w:tcPr>
          <w:p>
            <w:pPr>
              <w:pStyle w:val="TableParagraph"/>
              <w:spacing w:before="17"/>
              <w:ind w:right="55"/>
              <w:rPr>
                <w:sz w:val="16"/>
              </w:rPr>
            </w:pPr>
            <w:r>
              <w:rPr>
                <w:spacing w:val="-5"/>
                <w:sz w:val="16"/>
              </w:rPr>
              <w:t>3.3</w:t>
            </w:r>
          </w:p>
        </w:tc>
        <w:tc>
          <w:tcPr>
            <w:tcW w:w="1136" w:type="dxa"/>
          </w:tcPr>
          <w:p>
            <w:pPr>
              <w:pStyle w:val="TableParagraph"/>
              <w:spacing w:before="17"/>
              <w:ind w:right="201"/>
              <w:rPr>
                <w:sz w:val="16"/>
              </w:rPr>
            </w:pPr>
            <w:r>
              <w:rPr>
                <w:spacing w:val="-5"/>
                <w:sz w:val="16"/>
              </w:rPr>
              <w:t>0.1</w:t>
            </w:r>
          </w:p>
        </w:tc>
        <w:tc>
          <w:tcPr>
            <w:tcW w:w="738" w:type="dxa"/>
          </w:tcPr>
          <w:p>
            <w:pPr>
              <w:pStyle w:val="TableParagraph"/>
              <w:spacing w:before="17"/>
              <w:ind w:right="176"/>
              <w:rPr>
                <w:sz w:val="16"/>
              </w:rPr>
            </w:pPr>
            <w:r>
              <w:rPr>
                <w:spacing w:val="-5"/>
                <w:sz w:val="16"/>
              </w:rPr>
              <w:t>3.0</w:t>
            </w:r>
          </w:p>
        </w:tc>
        <w:tc>
          <w:tcPr>
            <w:tcW w:w="1053" w:type="dxa"/>
          </w:tcPr>
          <w:p>
            <w:pPr>
              <w:pStyle w:val="TableParagraph"/>
              <w:spacing w:before="17"/>
              <w:ind w:right="105"/>
              <w:rPr>
                <w:sz w:val="16"/>
              </w:rPr>
            </w:pPr>
            <w:r>
              <w:rPr>
                <w:spacing w:val="-5"/>
                <w:sz w:val="16"/>
              </w:rPr>
              <w:t>3.4</w:t>
            </w:r>
          </w:p>
        </w:tc>
      </w:tr>
      <w:tr>
        <w:trPr>
          <w:trHeight w:val="228" w:hRule="atLeast"/>
        </w:trPr>
        <w:tc>
          <w:tcPr>
            <w:tcW w:w="2461" w:type="dxa"/>
          </w:tcPr>
          <w:p>
            <w:pPr>
              <w:pStyle w:val="TableParagraph"/>
              <w:spacing w:before="17"/>
              <w:ind w:left="117"/>
              <w:jc w:val="left"/>
              <w:rPr>
                <w:sz w:val="16"/>
              </w:rPr>
            </w:pPr>
            <w:r>
              <w:rPr>
                <w:spacing w:val="-2"/>
                <w:sz w:val="16"/>
              </w:rPr>
              <w:t>Consultants</w:t>
            </w:r>
          </w:p>
        </w:tc>
        <w:tc>
          <w:tcPr>
            <w:tcW w:w="1218" w:type="dxa"/>
          </w:tcPr>
          <w:p>
            <w:pPr>
              <w:pStyle w:val="TableParagraph"/>
              <w:spacing w:before="17"/>
              <w:ind w:right="193"/>
              <w:rPr>
                <w:sz w:val="16"/>
              </w:rPr>
            </w:pPr>
            <w:r>
              <w:rPr>
                <w:w w:val="98"/>
                <w:sz w:val="16"/>
              </w:rPr>
              <w:t>-</w:t>
            </w:r>
          </w:p>
        </w:tc>
        <w:tc>
          <w:tcPr>
            <w:tcW w:w="827" w:type="dxa"/>
          </w:tcPr>
          <w:p>
            <w:pPr>
              <w:pStyle w:val="TableParagraph"/>
              <w:spacing w:before="17"/>
              <w:ind w:right="107"/>
              <w:rPr>
                <w:sz w:val="16"/>
              </w:rPr>
            </w:pPr>
            <w:r>
              <w:rPr>
                <w:w w:val="98"/>
                <w:sz w:val="16"/>
              </w:rPr>
              <w:t>-</w:t>
            </w:r>
          </w:p>
        </w:tc>
        <w:tc>
          <w:tcPr>
            <w:tcW w:w="1133" w:type="dxa"/>
          </w:tcPr>
          <w:p>
            <w:pPr>
              <w:pStyle w:val="TableParagraph"/>
              <w:spacing w:before="17"/>
              <w:ind w:right="107"/>
              <w:rPr>
                <w:sz w:val="16"/>
              </w:rPr>
            </w:pPr>
            <w:r>
              <w:rPr>
                <w:w w:val="98"/>
                <w:sz w:val="16"/>
              </w:rPr>
              <w:t>-</w:t>
            </w:r>
          </w:p>
        </w:tc>
        <w:tc>
          <w:tcPr>
            <w:tcW w:w="1078" w:type="dxa"/>
          </w:tcPr>
          <w:p>
            <w:pPr>
              <w:pStyle w:val="TableParagraph"/>
              <w:spacing w:before="17"/>
              <w:ind w:right="52"/>
              <w:rPr>
                <w:sz w:val="16"/>
              </w:rPr>
            </w:pPr>
            <w:r>
              <w:rPr>
                <w:w w:val="98"/>
                <w:sz w:val="16"/>
              </w:rPr>
              <w:t>-</w:t>
            </w:r>
          </w:p>
        </w:tc>
        <w:tc>
          <w:tcPr>
            <w:tcW w:w="1136" w:type="dxa"/>
          </w:tcPr>
          <w:p>
            <w:pPr>
              <w:pStyle w:val="TableParagraph"/>
              <w:spacing w:before="17"/>
              <w:ind w:right="199"/>
              <w:rPr>
                <w:sz w:val="16"/>
              </w:rPr>
            </w:pPr>
            <w:r>
              <w:rPr>
                <w:w w:val="98"/>
                <w:sz w:val="16"/>
              </w:rPr>
              <w:t>-</w:t>
            </w:r>
          </w:p>
        </w:tc>
        <w:tc>
          <w:tcPr>
            <w:tcW w:w="738" w:type="dxa"/>
          </w:tcPr>
          <w:p>
            <w:pPr>
              <w:pStyle w:val="TableParagraph"/>
              <w:spacing w:before="17"/>
              <w:ind w:right="173"/>
              <w:rPr>
                <w:sz w:val="16"/>
              </w:rPr>
            </w:pPr>
            <w:r>
              <w:rPr>
                <w:w w:val="98"/>
                <w:sz w:val="16"/>
              </w:rPr>
              <w:t>-</w:t>
            </w:r>
          </w:p>
        </w:tc>
        <w:tc>
          <w:tcPr>
            <w:tcW w:w="1053" w:type="dxa"/>
          </w:tcPr>
          <w:p>
            <w:pPr>
              <w:pStyle w:val="TableParagraph"/>
              <w:spacing w:before="17"/>
              <w:ind w:right="102"/>
              <w:rPr>
                <w:sz w:val="16"/>
              </w:rPr>
            </w:pPr>
            <w:r>
              <w:rPr>
                <w:w w:val="98"/>
                <w:sz w:val="16"/>
              </w:rPr>
              <w:t>-</w:t>
            </w:r>
          </w:p>
        </w:tc>
      </w:tr>
      <w:tr>
        <w:trPr>
          <w:trHeight w:val="227" w:hRule="atLeast"/>
        </w:trPr>
        <w:tc>
          <w:tcPr>
            <w:tcW w:w="2461" w:type="dxa"/>
          </w:tcPr>
          <w:p>
            <w:pPr>
              <w:pStyle w:val="TableParagraph"/>
              <w:spacing w:before="19"/>
              <w:ind w:left="117"/>
              <w:jc w:val="left"/>
              <w:rPr>
                <w:sz w:val="16"/>
              </w:rPr>
            </w:pPr>
            <w:r>
              <w:rPr>
                <w:sz w:val="16"/>
              </w:rPr>
              <w:t>General</w:t>
            </w:r>
            <w:r>
              <w:rPr>
                <w:spacing w:val="-3"/>
                <w:sz w:val="16"/>
              </w:rPr>
              <w:t> </w:t>
            </w:r>
            <w:r>
              <w:rPr>
                <w:sz w:val="16"/>
              </w:rPr>
              <w:t>operating</w:t>
            </w:r>
            <w:r>
              <w:rPr>
                <w:spacing w:val="-1"/>
                <w:sz w:val="16"/>
              </w:rPr>
              <w:t> </w:t>
            </w:r>
            <w:r>
              <w:rPr>
                <w:spacing w:val="-2"/>
                <w:sz w:val="16"/>
              </w:rPr>
              <w:t>expenses</w:t>
            </w:r>
          </w:p>
        </w:tc>
        <w:tc>
          <w:tcPr>
            <w:tcW w:w="1218" w:type="dxa"/>
          </w:tcPr>
          <w:p>
            <w:pPr>
              <w:pStyle w:val="TableParagraph"/>
              <w:spacing w:before="19"/>
              <w:ind w:right="193"/>
              <w:rPr>
                <w:sz w:val="16"/>
              </w:rPr>
            </w:pPr>
            <w:r>
              <w:rPr>
                <w:w w:val="98"/>
                <w:sz w:val="16"/>
              </w:rPr>
              <w:t>-</w:t>
            </w:r>
          </w:p>
        </w:tc>
        <w:tc>
          <w:tcPr>
            <w:tcW w:w="827" w:type="dxa"/>
          </w:tcPr>
          <w:p>
            <w:pPr>
              <w:pStyle w:val="TableParagraph"/>
              <w:spacing w:before="19"/>
              <w:ind w:right="107"/>
              <w:rPr>
                <w:sz w:val="16"/>
              </w:rPr>
            </w:pPr>
            <w:r>
              <w:rPr>
                <w:w w:val="98"/>
                <w:sz w:val="16"/>
              </w:rPr>
              <w:t>-</w:t>
            </w:r>
          </w:p>
        </w:tc>
        <w:tc>
          <w:tcPr>
            <w:tcW w:w="1133" w:type="dxa"/>
          </w:tcPr>
          <w:p>
            <w:pPr>
              <w:pStyle w:val="TableParagraph"/>
              <w:spacing w:before="19"/>
              <w:ind w:right="107"/>
              <w:rPr>
                <w:sz w:val="16"/>
              </w:rPr>
            </w:pPr>
            <w:r>
              <w:rPr>
                <w:w w:val="98"/>
                <w:sz w:val="16"/>
              </w:rPr>
              <w:t>-</w:t>
            </w:r>
          </w:p>
        </w:tc>
        <w:tc>
          <w:tcPr>
            <w:tcW w:w="1078" w:type="dxa"/>
          </w:tcPr>
          <w:p>
            <w:pPr>
              <w:pStyle w:val="TableParagraph"/>
              <w:spacing w:before="19"/>
              <w:ind w:right="52"/>
              <w:rPr>
                <w:sz w:val="16"/>
              </w:rPr>
            </w:pPr>
            <w:r>
              <w:rPr>
                <w:w w:val="98"/>
                <w:sz w:val="16"/>
              </w:rPr>
              <w:t>-</w:t>
            </w:r>
          </w:p>
        </w:tc>
        <w:tc>
          <w:tcPr>
            <w:tcW w:w="1136" w:type="dxa"/>
          </w:tcPr>
          <w:p>
            <w:pPr>
              <w:pStyle w:val="TableParagraph"/>
              <w:spacing w:before="19"/>
              <w:ind w:right="199"/>
              <w:rPr>
                <w:sz w:val="16"/>
              </w:rPr>
            </w:pPr>
            <w:r>
              <w:rPr>
                <w:w w:val="98"/>
                <w:sz w:val="16"/>
              </w:rPr>
              <w:t>-</w:t>
            </w:r>
          </w:p>
        </w:tc>
        <w:tc>
          <w:tcPr>
            <w:tcW w:w="738" w:type="dxa"/>
          </w:tcPr>
          <w:p>
            <w:pPr>
              <w:pStyle w:val="TableParagraph"/>
              <w:spacing w:before="19"/>
              <w:ind w:right="173"/>
              <w:rPr>
                <w:sz w:val="16"/>
              </w:rPr>
            </w:pPr>
            <w:r>
              <w:rPr>
                <w:w w:val="98"/>
                <w:sz w:val="16"/>
              </w:rPr>
              <w:t>-</w:t>
            </w:r>
          </w:p>
        </w:tc>
        <w:tc>
          <w:tcPr>
            <w:tcW w:w="1053" w:type="dxa"/>
          </w:tcPr>
          <w:p>
            <w:pPr>
              <w:pStyle w:val="TableParagraph"/>
              <w:spacing w:before="19"/>
              <w:ind w:right="102"/>
              <w:rPr>
                <w:sz w:val="16"/>
              </w:rPr>
            </w:pPr>
            <w:r>
              <w:rPr>
                <w:w w:val="98"/>
                <w:sz w:val="16"/>
              </w:rPr>
              <w:t>-</w:t>
            </w:r>
          </w:p>
        </w:tc>
      </w:tr>
      <w:tr>
        <w:trPr>
          <w:trHeight w:val="225" w:hRule="atLeast"/>
        </w:trPr>
        <w:tc>
          <w:tcPr>
            <w:tcW w:w="2461" w:type="dxa"/>
          </w:tcPr>
          <w:p>
            <w:pPr>
              <w:pStyle w:val="TableParagraph"/>
              <w:spacing w:before="17"/>
              <w:ind w:left="117"/>
              <w:jc w:val="left"/>
              <w:rPr>
                <w:sz w:val="16"/>
              </w:rPr>
            </w:pPr>
            <w:r>
              <w:rPr>
                <w:sz w:val="16"/>
              </w:rPr>
              <w:t>Supplies</w:t>
            </w:r>
            <w:r>
              <w:rPr>
                <w:spacing w:val="-4"/>
                <w:sz w:val="16"/>
              </w:rPr>
              <w:t> </w:t>
            </w:r>
            <w:r>
              <w:rPr>
                <w:sz w:val="16"/>
              </w:rPr>
              <w:t>and</w:t>
            </w:r>
            <w:r>
              <w:rPr>
                <w:spacing w:val="-2"/>
                <w:sz w:val="16"/>
              </w:rPr>
              <w:t> materials</w:t>
            </w:r>
          </w:p>
        </w:tc>
        <w:tc>
          <w:tcPr>
            <w:tcW w:w="1218" w:type="dxa"/>
          </w:tcPr>
          <w:p>
            <w:pPr>
              <w:pStyle w:val="TableParagraph"/>
              <w:spacing w:before="17"/>
              <w:ind w:right="193"/>
              <w:rPr>
                <w:sz w:val="16"/>
              </w:rPr>
            </w:pPr>
            <w:r>
              <w:rPr>
                <w:w w:val="98"/>
                <w:sz w:val="16"/>
              </w:rPr>
              <w:t>-</w:t>
            </w:r>
          </w:p>
        </w:tc>
        <w:tc>
          <w:tcPr>
            <w:tcW w:w="827" w:type="dxa"/>
          </w:tcPr>
          <w:p>
            <w:pPr>
              <w:pStyle w:val="TableParagraph"/>
              <w:spacing w:before="17"/>
              <w:ind w:right="107"/>
              <w:rPr>
                <w:sz w:val="16"/>
              </w:rPr>
            </w:pPr>
            <w:r>
              <w:rPr>
                <w:w w:val="98"/>
                <w:sz w:val="16"/>
              </w:rPr>
              <w:t>-</w:t>
            </w:r>
          </w:p>
        </w:tc>
        <w:tc>
          <w:tcPr>
            <w:tcW w:w="1133" w:type="dxa"/>
          </w:tcPr>
          <w:p>
            <w:pPr>
              <w:pStyle w:val="TableParagraph"/>
              <w:spacing w:before="17"/>
              <w:ind w:right="107"/>
              <w:rPr>
                <w:sz w:val="16"/>
              </w:rPr>
            </w:pPr>
            <w:r>
              <w:rPr>
                <w:w w:val="98"/>
                <w:sz w:val="16"/>
              </w:rPr>
              <w:t>-</w:t>
            </w:r>
          </w:p>
        </w:tc>
        <w:tc>
          <w:tcPr>
            <w:tcW w:w="1078" w:type="dxa"/>
          </w:tcPr>
          <w:p>
            <w:pPr>
              <w:pStyle w:val="TableParagraph"/>
              <w:spacing w:before="17"/>
              <w:ind w:right="55"/>
              <w:rPr>
                <w:sz w:val="16"/>
              </w:rPr>
            </w:pPr>
            <w:r>
              <w:rPr>
                <w:spacing w:val="-5"/>
                <w:sz w:val="16"/>
              </w:rPr>
              <w:t>3.5</w:t>
            </w:r>
          </w:p>
        </w:tc>
        <w:tc>
          <w:tcPr>
            <w:tcW w:w="1136" w:type="dxa"/>
          </w:tcPr>
          <w:p>
            <w:pPr>
              <w:pStyle w:val="TableParagraph"/>
              <w:spacing w:before="17"/>
              <w:ind w:right="199"/>
              <w:rPr>
                <w:sz w:val="16"/>
              </w:rPr>
            </w:pPr>
            <w:r>
              <w:rPr>
                <w:w w:val="98"/>
                <w:sz w:val="16"/>
              </w:rPr>
              <w:t>-</w:t>
            </w:r>
          </w:p>
        </w:tc>
        <w:tc>
          <w:tcPr>
            <w:tcW w:w="738" w:type="dxa"/>
          </w:tcPr>
          <w:p>
            <w:pPr>
              <w:pStyle w:val="TableParagraph"/>
              <w:spacing w:before="17"/>
              <w:ind w:right="173"/>
              <w:rPr>
                <w:sz w:val="16"/>
              </w:rPr>
            </w:pPr>
            <w:r>
              <w:rPr>
                <w:w w:val="98"/>
                <w:sz w:val="16"/>
              </w:rPr>
              <w:t>-</w:t>
            </w:r>
          </w:p>
        </w:tc>
        <w:tc>
          <w:tcPr>
            <w:tcW w:w="1053" w:type="dxa"/>
          </w:tcPr>
          <w:p>
            <w:pPr>
              <w:pStyle w:val="TableParagraph"/>
              <w:spacing w:before="17"/>
              <w:ind w:right="105"/>
              <w:rPr>
                <w:sz w:val="16"/>
              </w:rPr>
            </w:pPr>
            <w:r>
              <w:rPr>
                <w:spacing w:val="-5"/>
                <w:sz w:val="16"/>
              </w:rPr>
              <w:t>3.5</w:t>
            </w:r>
          </w:p>
        </w:tc>
      </w:tr>
      <w:tr>
        <w:trPr>
          <w:trHeight w:val="223" w:hRule="atLeast"/>
        </w:trPr>
        <w:tc>
          <w:tcPr>
            <w:tcW w:w="2461" w:type="dxa"/>
            <w:tcBorders>
              <w:bottom w:val="single" w:sz="4" w:space="0" w:color="000000"/>
            </w:tcBorders>
          </w:tcPr>
          <w:p>
            <w:pPr>
              <w:pStyle w:val="TableParagraph"/>
              <w:spacing w:before="17"/>
              <w:ind w:left="117"/>
              <w:jc w:val="left"/>
              <w:rPr>
                <w:sz w:val="16"/>
              </w:rPr>
            </w:pPr>
            <w:r>
              <w:rPr>
                <w:sz w:val="16"/>
              </w:rPr>
              <w:t>Furniture</w:t>
            </w:r>
            <w:r>
              <w:rPr>
                <w:spacing w:val="-4"/>
                <w:sz w:val="16"/>
              </w:rPr>
              <w:t> </w:t>
            </w:r>
            <w:r>
              <w:rPr>
                <w:sz w:val="16"/>
              </w:rPr>
              <w:t>and</w:t>
            </w:r>
            <w:r>
              <w:rPr>
                <w:spacing w:val="-2"/>
                <w:sz w:val="16"/>
              </w:rPr>
              <w:t> equipment</w:t>
            </w:r>
          </w:p>
        </w:tc>
        <w:tc>
          <w:tcPr>
            <w:tcW w:w="1218" w:type="dxa"/>
            <w:tcBorders>
              <w:bottom w:val="single" w:sz="4" w:space="0" w:color="000000"/>
            </w:tcBorders>
          </w:tcPr>
          <w:p>
            <w:pPr>
              <w:pStyle w:val="TableParagraph"/>
              <w:spacing w:before="17"/>
              <w:ind w:right="191"/>
              <w:rPr>
                <w:sz w:val="16"/>
              </w:rPr>
            </w:pPr>
            <w:r>
              <w:rPr>
                <w:spacing w:val="-4"/>
                <w:sz w:val="16"/>
              </w:rPr>
              <w:t>12.5</w:t>
            </w:r>
          </w:p>
        </w:tc>
        <w:tc>
          <w:tcPr>
            <w:tcW w:w="827" w:type="dxa"/>
            <w:tcBorders>
              <w:bottom w:val="single" w:sz="4" w:space="0" w:color="000000"/>
            </w:tcBorders>
          </w:tcPr>
          <w:p>
            <w:pPr>
              <w:pStyle w:val="TableParagraph"/>
              <w:spacing w:before="17"/>
              <w:ind w:right="107"/>
              <w:rPr>
                <w:sz w:val="16"/>
              </w:rPr>
            </w:pPr>
            <w:r>
              <w:rPr>
                <w:w w:val="98"/>
                <w:sz w:val="16"/>
              </w:rPr>
              <w:t>-</w:t>
            </w:r>
          </w:p>
        </w:tc>
        <w:tc>
          <w:tcPr>
            <w:tcW w:w="1133" w:type="dxa"/>
            <w:tcBorders>
              <w:bottom w:val="single" w:sz="4" w:space="0" w:color="000000"/>
            </w:tcBorders>
          </w:tcPr>
          <w:p>
            <w:pPr>
              <w:pStyle w:val="TableParagraph"/>
              <w:spacing w:before="17"/>
              <w:ind w:right="105"/>
              <w:rPr>
                <w:sz w:val="16"/>
              </w:rPr>
            </w:pPr>
            <w:r>
              <w:rPr>
                <w:spacing w:val="-4"/>
                <w:sz w:val="16"/>
              </w:rPr>
              <w:t>12.5</w:t>
            </w:r>
          </w:p>
        </w:tc>
        <w:tc>
          <w:tcPr>
            <w:tcW w:w="1078" w:type="dxa"/>
            <w:tcBorders>
              <w:bottom w:val="single" w:sz="4" w:space="0" w:color="000000"/>
            </w:tcBorders>
          </w:tcPr>
          <w:p>
            <w:pPr>
              <w:pStyle w:val="TableParagraph"/>
              <w:spacing w:before="17"/>
              <w:ind w:right="55"/>
              <w:rPr>
                <w:sz w:val="16"/>
              </w:rPr>
            </w:pPr>
            <w:r>
              <w:rPr>
                <w:spacing w:val="-5"/>
                <w:sz w:val="16"/>
              </w:rPr>
              <w:t>5.0</w:t>
            </w:r>
          </w:p>
        </w:tc>
        <w:tc>
          <w:tcPr>
            <w:tcW w:w="1136" w:type="dxa"/>
            <w:tcBorders>
              <w:bottom w:val="single" w:sz="4" w:space="0" w:color="000000"/>
            </w:tcBorders>
          </w:tcPr>
          <w:p>
            <w:pPr>
              <w:pStyle w:val="TableParagraph"/>
              <w:spacing w:before="17"/>
              <w:ind w:right="199"/>
              <w:rPr>
                <w:sz w:val="16"/>
              </w:rPr>
            </w:pPr>
            <w:r>
              <w:rPr>
                <w:w w:val="98"/>
                <w:sz w:val="16"/>
              </w:rPr>
              <w:t>-</w:t>
            </w:r>
          </w:p>
        </w:tc>
        <w:tc>
          <w:tcPr>
            <w:tcW w:w="738" w:type="dxa"/>
            <w:tcBorders>
              <w:bottom w:val="single" w:sz="4" w:space="0" w:color="000000"/>
            </w:tcBorders>
          </w:tcPr>
          <w:p>
            <w:pPr>
              <w:pStyle w:val="TableParagraph"/>
              <w:spacing w:before="17"/>
              <w:ind w:right="173"/>
              <w:rPr>
                <w:sz w:val="16"/>
              </w:rPr>
            </w:pPr>
            <w:r>
              <w:rPr>
                <w:w w:val="98"/>
                <w:sz w:val="16"/>
              </w:rPr>
              <w:t>-</w:t>
            </w:r>
          </w:p>
        </w:tc>
        <w:tc>
          <w:tcPr>
            <w:tcW w:w="1053" w:type="dxa"/>
            <w:tcBorders>
              <w:bottom w:val="single" w:sz="4" w:space="0" w:color="000000"/>
            </w:tcBorders>
          </w:tcPr>
          <w:p>
            <w:pPr>
              <w:pStyle w:val="TableParagraph"/>
              <w:spacing w:before="17"/>
              <w:ind w:right="105"/>
              <w:rPr>
                <w:sz w:val="16"/>
              </w:rPr>
            </w:pPr>
            <w:r>
              <w:rPr>
                <w:spacing w:val="-5"/>
                <w:sz w:val="16"/>
              </w:rPr>
              <w:t>5.0</w:t>
            </w:r>
          </w:p>
        </w:tc>
      </w:tr>
      <w:tr>
        <w:trPr>
          <w:trHeight w:val="225" w:hRule="atLeast"/>
        </w:trPr>
        <w:tc>
          <w:tcPr>
            <w:tcW w:w="2461" w:type="dxa"/>
            <w:tcBorders>
              <w:top w:val="single" w:sz="4" w:space="0" w:color="000000"/>
              <w:bottom w:val="single" w:sz="4" w:space="0" w:color="000000"/>
            </w:tcBorders>
          </w:tcPr>
          <w:p>
            <w:pPr>
              <w:pStyle w:val="TableParagraph"/>
              <w:spacing w:line="182" w:lineRule="exact" w:before="23"/>
              <w:ind w:right="103"/>
              <w:rPr>
                <w:i/>
                <w:sz w:val="16"/>
              </w:rPr>
            </w:pPr>
            <w:r>
              <w:rPr>
                <w:i/>
                <w:w w:val="95"/>
                <w:sz w:val="16"/>
              </w:rPr>
              <w:t>Subtotal</w:t>
            </w:r>
            <w:r>
              <w:rPr>
                <w:i/>
                <w:spacing w:val="40"/>
                <w:sz w:val="16"/>
              </w:rPr>
              <w:t> </w:t>
            </w:r>
            <w:r>
              <w:rPr>
                <w:i/>
                <w:w w:val="95"/>
                <w:sz w:val="16"/>
              </w:rPr>
              <w:t>non-</w:t>
            </w:r>
            <w:r>
              <w:rPr>
                <w:i/>
                <w:spacing w:val="-4"/>
                <w:w w:val="95"/>
                <w:sz w:val="16"/>
              </w:rPr>
              <w:t>staff</w:t>
            </w:r>
          </w:p>
        </w:tc>
        <w:tc>
          <w:tcPr>
            <w:tcW w:w="1218" w:type="dxa"/>
            <w:tcBorders>
              <w:top w:val="single" w:sz="4" w:space="0" w:color="000000"/>
              <w:bottom w:val="single" w:sz="4" w:space="0" w:color="000000"/>
            </w:tcBorders>
          </w:tcPr>
          <w:p>
            <w:pPr>
              <w:pStyle w:val="TableParagraph"/>
              <w:spacing w:line="182" w:lineRule="exact" w:before="23"/>
              <w:ind w:right="191"/>
              <w:rPr>
                <w:i/>
                <w:sz w:val="16"/>
              </w:rPr>
            </w:pPr>
            <w:r>
              <w:rPr>
                <w:i/>
                <w:spacing w:val="-4"/>
                <w:sz w:val="16"/>
              </w:rPr>
              <w:t>12.7</w:t>
            </w:r>
          </w:p>
        </w:tc>
        <w:tc>
          <w:tcPr>
            <w:tcW w:w="827" w:type="dxa"/>
            <w:tcBorders>
              <w:top w:val="single" w:sz="4" w:space="0" w:color="000000"/>
              <w:bottom w:val="single" w:sz="4" w:space="0" w:color="000000"/>
            </w:tcBorders>
          </w:tcPr>
          <w:p>
            <w:pPr>
              <w:pStyle w:val="TableParagraph"/>
              <w:spacing w:line="182" w:lineRule="exact" w:before="23"/>
              <w:ind w:right="107"/>
              <w:rPr>
                <w:i/>
                <w:sz w:val="16"/>
              </w:rPr>
            </w:pPr>
            <w:r>
              <w:rPr>
                <w:i/>
                <w:w w:val="98"/>
                <w:sz w:val="16"/>
              </w:rPr>
              <w:t>-</w:t>
            </w:r>
          </w:p>
        </w:tc>
        <w:tc>
          <w:tcPr>
            <w:tcW w:w="1133" w:type="dxa"/>
            <w:tcBorders>
              <w:top w:val="single" w:sz="4" w:space="0" w:color="000000"/>
              <w:bottom w:val="single" w:sz="4" w:space="0" w:color="000000"/>
            </w:tcBorders>
          </w:tcPr>
          <w:p>
            <w:pPr>
              <w:pStyle w:val="TableParagraph"/>
              <w:spacing w:line="182" w:lineRule="exact" w:before="23"/>
              <w:ind w:right="105"/>
              <w:rPr>
                <w:i/>
                <w:sz w:val="16"/>
              </w:rPr>
            </w:pPr>
            <w:r>
              <w:rPr>
                <w:i/>
                <w:spacing w:val="-4"/>
                <w:sz w:val="16"/>
              </w:rPr>
              <w:t>12.7</w:t>
            </w:r>
          </w:p>
        </w:tc>
        <w:tc>
          <w:tcPr>
            <w:tcW w:w="1078" w:type="dxa"/>
            <w:tcBorders>
              <w:top w:val="single" w:sz="4" w:space="0" w:color="000000"/>
              <w:bottom w:val="single" w:sz="4" w:space="0" w:color="000000"/>
            </w:tcBorders>
          </w:tcPr>
          <w:p>
            <w:pPr>
              <w:pStyle w:val="TableParagraph"/>
              <w:spacing w:line="182" w:lineRule="exact" w:before="23"/>
              <w:ind w:right="50"/>
              <w:rPr>
                <w:i/>
                <w:sz w:val="16"/>
              </w:rPr>
            </w:pPr>
            <w:r>
              <w:rPr>
                <w:i/>
                <w:spacing w:val="-4"/>
                <w:sz w:val="16"/>
              </w:rPr>
              <w:t>22.1</w:t>
            </w:r>
          </w:p>
        </w:tc>
        <w:tc>
          <w:tcPr>
            <w:tcW w:w="1136" w:type="dxa"/>
            <w:tcBorders>
              <w:top w:val="single" w:sz="4" w:space="0" w:color="000000"/>
              <w:bottom w:val="single" w:sz="4" w:space="0" w:color="000000"/>
            </w:tcBorders>
          </w:tcPr>
          <w:p>
            <w:pPr>
              <w:pStyle w:val="TableParagraph"/>
              <w:spacing w:line="182" w:lineRule="exact" w:before="23"/>
              <w:ind w:right="197"/>
              <w:rPr>
                <w:i/>
                <w:sz w:val="16"/>
              </w:rPr>
            </w:pPr>
            <w:r>
              <w:rPr>
                <w:i/>
                <w:spacing w:val="-4"/>
                <w:sz w:val="16"/>
              </w:rPr>
              <w:t>89.9</w:t>
            </w:r>
          </w:p>
        </w:tc>
        <w:tc>
          <w:tcPr>
            <w:tcW w:w="738" w:type="dxa"/>
            <w:tcBorders>
              <w:top w:val="single" w:sz="4" w:space="0" w:color="000000"/>
              <w:bottom w:val="single" w:sz="4" w:space="0" w:color="000000"/>
            </w:tcBorders>
          </w:tcPr>
          <w:p>
            <w:pPr>
              <w:pStyle w:val="TableParagraph"/>
              <w:spacing w:line="182" w:lineRule="exact" w:before="23"/>
              <w:ind w:right="171"/>
              <w:rPr>
                <w:i/>
                <w:sz w:val="16"/>
              </w:rPr>
            </w:pPr>
            <w:r>
              <w:rPr>
                <w:i/>
                <w:spacing w:val="-2"/>
                <w:sz w:val="16"/>
              </w:rPr>
              <w:t>406.8</w:t>
            </w:r>
          </w:p>
        </w:tc>
        <w:tc>
          <w:tcPr>
            <w:tcW w:w="1053" w:type="dxa"/>
            <w:tcBorders>
              <w:top w:val="single" w:sz="4" w:space="0" w:color="000000"/>
              <w:bottom w:val="single" w:sz="4" w:space="0" w:color="000000"/>
            </w:tcBorders>
          </w:tcPr>
          <w:p>
            <w:pPr>
              <w:pStyle w:val="TableParagraph"/>
              <w:spacing w:line="182" w:lineRule="exact" w:before="23"/>
              <w:ind w:right="101"/>
              <w:rPr>
                <w:i/>
                <w:sz w:val="16"/>
              </w:rPr>
            </w:pPr>
            <w:r>
              <w:rPr>
                <w:i/>
                <w:spacing w:val="-2"/>
                <w:sz w:val="16"/>
              </w:rPr>
              <w:t>112.0</w:t>
            </w:r>
          </w:p>
        </w:tc>
      </w:tr>
      <w:tr>
        <w:trPr>
          <w:trHeight w:val="230" w:hRule="atLeast"/>
        </w:trPr>
        <w:tc>
          <w:tcPr>
            <w:tcW w:w="2461" w:type="dxa"/>
            <w:tcBorders>
              <w:top w:val="single" w:sz="4" w:space="0" w:color="000000"/>
              <w:bottom w:val="single" w:sz="12" w:space="0" w:color="000000"/>
            </w:tcBorders>
          </w:tcPr>
          <w:p>
            <w:pPr>
              <w:pStyle w:val="TableParagraph"/>
              <w:spacing w:before="23"/>
              <w:ind w:left="117"/>
              <w:jc w:val="left"/>
              <w:rPr>
                <w:b/>
                <w:sz w:val="16"/>
              </w:rPr>
            </w:pPr>
            <w:r>
              <w:rPr>
                <w:b/>
                <w:spacing w:val="-2"/>
                <w:sz w:val="16"/>
              </w:rPr>
              <w:t>Total</w:t>
            </w:r>
          </w:p>
        </w:tc>
        <w:tc>
          <w:tcPr>
            <w:tcW w:w="1218" w:type="dxa"/>
            <w:tcBorders>
              <w:top w:val="single" w:sz="4" w:space="0" w:color="000000"/>
              <w:bottom w:val="single" w:sz="12" w:space="0" w:color="000000"/>
            </w:tcBorders>
          </w:tcPr>
          <w:p>
            <w:pPr>
              <w:pStyle w:val="TableParagraph"/>
              <w:spacing w:before="23"/>
              <w:ind w:right="191"/>
              <w:rPr>
                <w:b/>
                <w:sz w:val="16"/>
              </w:rPr>
            </w:pPr>
            <w:r>
              <w:rPr>
                <w:b/>
                <w:spacing w:val="-2"/>
                <w:sz w:val="16"/>
              </w:rPr>
              <w:t>891.0</w:t>
            </w:r>
          </w:p>
        </w:tc>
        <w:tc>
          <w:tcPr>
            <w:tcW w:w="827" w:type="dxa"/>
            <w:tcBorders>
              <w:top w:val="single" w:sz="4" w:space="0" w:color="000000"/>
              <w:bottom w:val="single" w:sz="12" w:space="0" w:color="000000"/>
            </w:tcBorders>
          </w:tcPr>
          <w:p>
            <w:pPr>
              <w:pStyle w:val="TableParagraph"/>
              <w:spacing w:before="23"/>
              <w:ind w:right="107"/>
              <w:rPr>
                <w:b/>
                <w:sz w:val="16"/>
              </w:rPr>
            </w:pPr>
            <w:r>
              <w:rPr>
                <w:b/>
                <w:w w:val="98"/>
                <w:sz w:val="16"/>
              </w:rPr>
              <w:t>-</w:t>
            </w:r>
          </w:p>
        </w:tc>
        <w:tc>
          <w:tcPr>
            <w:tcW w:w="1133" w:type="dxa"/>
            <w:tcBorders>
              <w:top w:val="single" w:sz="4" w:space="0" w:color="000000"/>
              <w:bottom w:val="single" w:sz="12" w:space="0" w:color="000000"/>
            </w:tcBorders>
          </w:tcPr>
          <w:p>
            <w:pPr>
              <w:pStyle w:val="TableParagraph"/>
              <w:spacing w:before="23"/>
              <w:ind w:right="106"/>
              <w:rPr>
                <w:b/>
                <w:sz w:val="16"/>
              </w:rPr>
            </w:pPr>
            <w:r>
              <w:rPr>
                <w:b/>
                <w:spacing w:val="-2"/>
                <w:sz w:val="16"/>
              </w:rPr>
              <w:t>891.0</w:t>
            </w:r>
          </w:p>
        </w:tc>
        <w:tc>
          <w:tcPr>
            <w:tcW w:w="1078" w:type="dxa"/>
            <w:tcBorders>
              <w:top w:val="single" w:sz="4" w:space="0" w:color="000000"/>
              <w:bottom w:val="single" w:sz="12" w:space="0" w:color="000000"/>
            </w:tcBorders>
          </w:tcPr>
          <w:p>
            <w:pPr>
              <w:pStyle w:val="TableParagraph"/>
              <w:spacing w:before="23"/>
              <w:ind w:right="50"/>
              <w:rPr>
                <w:b/>
                <w:sz w:val="16"/>
              </w:rPr>
            </w:pPr>
            <w:r>
              <w:rPr>
                <w:b/>
                <w:spacing w:val="-2"/>
                <w:sz w:val="16"/>
              </w:rPr>
              <w:t>869.5</w:t>
            </w:r>
          </w:p>
        </w:tc>
        <w:tc>
          <w:tcPr>
            <w:tcW w:w="1136" w:type="dxa"/>
            <w:tcBorders>
              <w:top w:val="single" w:sz="4" w:space="0" w:color="000000"/>
              <w:bottom w:val="single" w:sz="12" w:space="0" w:color="000000"/>
            </w:tcBorders>
          </w:tcPr>
          <w:p>
            <w:pPr>
              <w:pStyle w:val="TableParagraph"/>
              <w:spacing w:before="23"/>
              <w:ind w:right="197"/>
              <w:rPr>
                <w:b/>
                <w:sz w:val="16"/>
              </w:rPr>
            </w:pPr>
            <w:r>
              <w:rPr>
                <w:b/>
                <w:spacing w:val="-2"/>
                <w:sz w:val="16"/>
              </w:rPr>
              <w:t>114.6</w:t>
            </w:r>
          </w:p>
        </w:tc>
        <w:tc>
          <w:tcPr>
            <w:tcW w:w="738" w:type="dxa"/>
            <w:tcBorders>
              <w:top w:val="single" w:sz="4" w:space="0" w:color="000000"/>
              <w:bottom w:val="single" w:sz="12" w:space="0" w:color="000000"/>
            </w:tcBorders>
          </w:tcPr>
          <w:p>
            <w:pPr>
              <w:pStyle w:val="TableParagraph"/>
              <w:spacing w:before="23"/>
              <w:ind w:right="171"/>
              <w:rPr>
                <w:b/>
                <w:sz w:val="16"/>
              </w:rPr>
            </w:pPr>
            <w:r>
              <w:rPr>
                <w:b/>
                <w:spacing w:val="-4"/>
                <w:sz w:val="16"/>
              </w:rPr>
              <w:t>13.2</w:t>
            </w:r>
          </w:p>
        </w:tc>
        <w:tc>
          <w:tcPr>
            <w:tcW w:w="1053" w:type="dxa"/>
            <w:tcBorders>
              <w:top w:val="single" w:sz="4" w:space="0" w:color="000000"/>
              <w:bottom w:val="single" w:sz="12" w:space="0" w:color="000000"/>
            </w:tcBorders>
          </w:tcPr>
          <w:p>
            <w:pPr>
              <w:pStyle w:val="TableParagraph"/>
              <w:spacing w:before="23"/>
              <w:ind w:right="101"/>
              <w:rPr>
                <w:b/>
                <w:sz w:val="16"/>
              </w:rPr>
            </w:pPr>
            <w:r>
              <w:rPr>
                <w:b/>
                <w:spacing w:val="-2"/>
                <w:sz w:val="16"/>
              </w:rPr>
              <w:t>984.1</w:t>
            </w:r>
          </w:p>
        </w:tc>
      </w:tr>
    </w:tbl>
    <w:p>
      <w:pPr>
        <w:pStyle w:val="BodyText"/>
        <w:spacing w:before="4"/>
        <w:rPr>
          <w:b/>
          <w:sz w:val="14"/>
        </w:rPr>
      </w:pPr>
    </w:p>
    <w:p>
      <w:pPr>
        <w:spacing w:before="93"/>
        <w:ind w:left="2246" w:right="0" w:firstLine="0"/>
        <w:jc w:val="left"/>
        <w:rPr>
          <w:b/>
          <w:sz w:val="20"/>
        </w:rPr>
      </w:pPr>
      <w:r>
        <w:rPr>
          <w:b/>
          <w:sz w:val="20"/>
        </w:rPr>
        <w:t>Table</w:t>
      </w:r>
      <w:r>
        <w:rPr>
          <w:b/>
          <w:spacing w:val="-6"/>
          <w:sz w:val="20"/>
        </w:rPr>
        <w:t> </w:t>
      </w:r>
      <w:r>
        <w:rPr>
          <w:b/>
          <w:sz w:val="20"/>
        </w:rPr>
        <w:t>37:</w:t>
      </w:r>
      <w:r>
        <w:rPr>
          <w:b/>
          <w:spacing w:val="-7"/>
          <w:sz w:val="20"/>
        </w:rPr>
        <w:t> </w:t>
      </w:r>
      <w:r>
        <w:rPr>
          <w:b/>
          <w:sz w:val="20"/>
        </w:rPr>
        <w:t>Programme</w:t>
      </w:r>
      <w:r>
        <w:rPr>
          <w:b/>
          <w:spacing w:val="-4"/>
          <w:sz w:val="20"/>
        </w:rPr>
        <w:t> </w:t>
      </w:r>
      <w:r>
        <w:rPr>
          <w:b/>
          <w:sz w:val="20"/>
        </w:rPr>
        <w:t>4200:</w:t>
      </w:r>
      <w:r>
        <w:rPr>
          <w:b/>
          <w:spacing w:val="-8"/>
          <w:sz w:val="20"/>
        </w:rPr>
        <w:t> </w:t>
      </w:r>
      <w:r>
        <w:rPr>
          <w:b/>
          <w:sz w:val="20"/>
        </w:rPr>
        <w:t>Proposed</w:t>
      </w:r>
      <w:r>
        <w:rPr>
          <w:b/>
          <w:spacing w:val="-8"/>
          <w:sz w:val="20"/>
        </w:rPr>
        <w:t> </w:t>
      </w:r>
      <w:r>
        <w:rPr>
          <w:b/>
          <w:sz w:val="20"/>
        </w:rPr>
        <w:t>staffing</w:t>
      </w:r>
      <w:r>
        <w:rPr>
          <w:b/>
          <w:spacing w:val="-3"/>
          <w:sz w:val="20"/>
        </w:rPr>
        <w:t> </w:t>
      </w:r>
      <w:r>
        <w:rPr>
          <w:b/>
          <w:sz w:val="20"/>
        </w:rPr>
        <w:t>for</w:t>
      </w:r>
      <w:r>
        <w:rPr>
          <w:b/>
          <w:spacing w:val="-5"/>
          <w:sz w:val="20"/>
        </w:rPr>
        <w:t> </w:t>
      </w:r>
      <w:r>
        <w:rPr>
          <w:b/>
          <w:spacing w:val="-4"/>
          <w:sz w:val="20"/>
        </w:rPr>
        <w:t>2023</w:t>
      </w:r>
    </w:p>
    <w:tbl>
      <w:tblPr>
        <w:tblW w:w="0" w:type="auto"/>
        <w:jc w:val="left"/>
        <w:tblInd w:w="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6"/>
        <w:gridCol w:w="678"/>
        <w:gridCol w:w="607"/>
        <w:gridCol w:w="563"/>
        <w:gridCol w:w="581"/>
        <w:gridCol w:w="581"/>
        <w:gridCol w:w="590"/>
        <w:gridCol w:w="667"/>
        <w:gridCol w:w="667"/>
        <w:gridCol w:w="465"/>
        <w:gridCol w:w="794"/>
        <w:gridCol w:w="568"/>
        <w:gridCol w:w="579"/>
        <w:gridCol w:w="559"/>
        <w:gridCol w:w="820"/>
        <w:gridCol w:w="516"/>
      </w:tblGrid>
      <w:tr>
        <w:trPr>
          <w:trHeight w:val="484" w:hRule="atLeast"/>
        </w:trPr>
        <w:tc>
          <w:tcPr>
            <w:tcW w:w="1186"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8" w:lineRule="exact"/>
              <w:ind w:left="67"/>
              <w:jc w:val="left"/>
              <w:rPr>
                <w:sz w:val="14"/>
              </w:rPr>
            </w:pPr>
            <w:r>
              <w:rPr>
                <w:spacing w:val="-4"/>
                <w:sz w:val="14"/>
              </w:rPr>
              <w:t>4200</w:t>
            </w:r>
          </w:p>
        </w:tc>
        <w:tc>
          <w:tcPr>
            <w:tcW w:w="678"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8" w:lineRule="exact"/>
              <w:ind w:right="152"/>
              <w:rPr>
                <w:sz w:val="14"/>
              </w:rPr>
            </w:pPr>
            <w:r>
              <w:rPr>
                <w:spacing w:val="-5"/>
                <w:sz w:val="14"/>
              </w:rPr>
              <w:t>USG</w:t>
            </w:r>
          </w:p>
        </w:tc>
        <w:tc>
          <w:tcPr>
            <w:tcW w:w="607"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8" w:lineRule="exact"/>
              <w:ind w:right="169"/>
              <w:rPr>
                <w:sz w:val="14"/>
              </w:rPr>
            </w:pPr>
            <w:r>
              <w:rPr>
                <w:spacing w:val="-5"/>
                <w:sz w:val="14"/>
              </w:rPr>
              <w:t>ASG</w:t>
            </w:r>
          </w:p>
        </w:tc>
        <w:tc>
          <w:tcPr>
            <w:tcW w:w="563"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8" w:lineRule="exact"/>
              <w:ind w:right="167"/>
              <w:rPr>
                <w:sz w:val="14"/>
              </w:rPr>
            </w:pPr>
            <w:r>
              <w:rPr>
                <w:w w:val="95"/>
                <w:sz w:val="14"/>
              </w:rPr>
              <w:t>D-</w:t>
            </w:r>
            <w:r>
              <w:rPr>
                <w:spacing w:val="-10"/>
                <w:sz w:val="14"/>
              </w:rPr>
              <w:t>2</w:t>
            </w:r>
          </w:p>
        </w:tc>
        <w:tc>
          <w:tcPr>
            <w:tcW w:w="581"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8" w:lineRule="exact"/>
              <w:ind w:right="187"/>
              <w:rPr>
                <w:sz w:val="14"/>
              </w:rPr>
            </w:pPr>
            <w:r>
              <w:rPr>
                <w:w w:val="95"/>
                <w:sz w:val="14"/>
              </w:rPr>
              <w:t>D-</w:t>
            </w:r>
            <w:r>
              <w:rPr>
                <w:spacing w:val="-10"/>
                <w:sz w:val="14"/>
              </w:rPr>
              <w:t>1</w:t>
            </w:r>
          </w:p>
        </w:tc>
        <w:tc>
          <w:tcPr>
            <w:tcW w:w="581"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8" w:lineRule="exact"/>
              <w:ind w:left="17" w:right="17"/>
              <w:jc w:val="center"/>
              <w:rPr>
                <w:sz w:val="14"/>
              </w:rPr>
            </w:pPr>
            <w:r>
              <w:rPr>
                <w:w w:val="95"/>
                <w:sz w:val="14"/>
              </w:rPr>
              <w:t>P-</w:t>
            </w:r>
            <w:r>
              <w:rPr>
                <w:spacing w:val="-10"/>
                <w:sz w:val="14"/>
              </w:rPr>
              <w:t>5</w:t>
            </w:r>
          </w:p>
        </w:tc>
        <w:tc>
          <w:tcPr>
            <w:tcW w:w="590"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8" w:lineRule="exact"/>
              <w:ind w:right="196"/>
              <w:rPr>
                <w:sz w:val="14"/>
              </w:rPr>
            </w:pPr>
            <w:r>
              <w:rPr>
                <w:w w:val="95"/>
                <w:sz w:val="14"/>
              </w:rPr>
              <w:t>P-</w:t>
            </w:r>
            <w:r>
              <w:rPr>
                <w:spacing w:val="-10"/>
                <w:sz w:val="14"/>
              </w:rPr>
              <w:t>4</w:t>
            </w:r>
          </w:p>
        </w:tc>
        <w:tc>
          <w:tcPr>
            <w:tcW w:w="667"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8" w:lineRule="exact"/>
              <w:ind w:right="267"/>
              <w:rPr>
                <w:sz w:val="14"/>
              </w:rPr>
            </w:pPr>
            <w:r>
              <w:rPr>
                <w:w w:val="95"/>
                <w:sz w:val="14"/>
              </w:rPr>
              <w:t>P-</w:t>
            </w:r>
            <w:r>
              <w:rPr>
                <w:spacing w:val="-10"/>
                <w:sz w:val="14"/>
              </w:rPr>
              <w:t>3</w:t>
            </w:r>
          </w:p>
        </w:tc>
        <w:tc>
          <w:tcPr>
            <w:tcW w:w="667"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8" w:lineRule="exact"/>
              <w:ind w:right="194"/>
              <w:rPr>
                <w:sz w:val="14"/>
              </w:rPr>
            </w:pPr>
            <w:r>
              <w:rPr>
                <w:w w:val="95"/>
                <w:sz w:val="14"/>
              </w:rPr>
              <w:t>P-</w:t>
            </w:r>
            <w:r>
              <w:rPr>
                <w:spacing w:val="-10"/>
                <w:sz w:val="14"/>
              </w:rPr>
              <w:t>2</w:t>
            </w:r>
          </w:p>
        </w:tc>
        <w:tc>
          <w:tcPr>
            <w:tcW w:w="465"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8" w:lineRule="exact"/>
              <w:ind w:right="64"/>
              <w:rPr>
                <w:sz w:val="14"/>
              </w:rPr>
            </w:pPr>
            <w:r>
              <w:rPr>
                <w:w w:val="95"/>
                <w:sz w:val="14"/>
              </w:rPr>
              <w:t>P-</w:t>
            </w:r>
            <w:r>
              <w:rPr>
                <w:spacing w:val="-10"/>
                <w:sz w:val="14"/>
              </w:rPr>
              <w:t>1</w:t>
            </w:r>
          </w:p>
        </w:tc>
        <w:tc>
          <w:tcPr>
            <w:tcW w:w="794" w:type="dxa"/>
            <w:tcBorders>
              <w:top w:val="single" w:sz="4" w:space="0" w:color="000000"/>
              <w:bottom w:val="single" w:sz="4" w:space="0" w:color="000000"/>
            </w:tcBorders>
          </w:tcPr>
          <w:p>
            <w:pPr>
              <w:pStyle w:val="TableParagraph"/>
              <w:spacing w:line="151" w:lineRule="exact"/>
              <w:ind w:left="373"/>
              <w:jc w:val="left"/>
              <w:rPr>
                <w:i/>
                <w:sz w:val="14"/>
              </w:rPr>
            </w:pPr>
            <w:r>
              <w:rPr>
                <w:i/>
                <w:spacing w:val="-2"/>
                <w:sz w:val="14"/>
              </w:rPr>
              <w:t>Total</w:t>
            </w:r>
          </w:p>
          <w:p>
            <w:pPr>
              <w:pStyle w:val="TableParagraph"/>
              <w:spacing w:line="160" w:lineRule="atLeast"/>
              <w:ind w:left="74" w:right="114" w:firstLine="201"/>
              <w:jc w:val="left"/>
              <w:rPr>
                <w:i/>
                <w:sz w:val="14"/>
              </w:rPr>
            </w:pPr>
            <w:r>
              <w:rPr>
                <w:i/>
                <w:spacing w:val="-2"/>
                <w:sz w:val="14"/>
              </w:rPr>
              <w:t>P-Staff</w:t>
            </w:r>
            <w:r>
              <w:rPr>
                <w:i/>
                <w:spacing w:val="40"/>
                <w:sz w:val="14"/>
              </w:rPr>
              <w:t> </w:t>
            </w:r>
            <w:r>
              <w:rPr>
                <w:i/>
                <w:sz w:val="14"/>
              </w:rPr>
              <w:t>and</w:t>
            </w:r>
            <w:r>
              <w:rPr>
                <w:i/>
                <w:spacing w:val="1"/>
                <w:sz w:val="14"/>
              </w:rPr>
              <w:t> </w:t>
            </w:r>
            <w:r>
              <w:rPr>
                <w:i/>
                <w:spacing w:val="-2"/>
                <w:sz w:val="14"/>
              </w:rPr>
              <w:t>Above</w:t>
            </w:r>
          </w:p>
        </w:tc>
        <w:tc>
          <w:tcPr>
            <w:tcW w:w="568"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8" w:lineRule="exact"/>
              <w:ind w:right="92"/>
              <w:rPr>
                <w:sz w:val="14"/>
              </w:rPr>
            </w:pPr>
            <w:r>
              <w:rPr>
                <w:w w:val="95"/>
                <w:sz w:val="14"/>
              </w:rPr>
              <w:t>NO-</w:t>
            </w:r>
            <w:r>
              <w:rPr>
                <w:spacing w:val="-10"/>
                <w:sz w:val="14"/>
              </w:rPr>
              <w:t>C</w:t>
            </w:r>
          </w:p>
        </w:tc>
        <w:tc>
          <w:tcPr>
            <w:tcW w:w="579"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8" w:lineRule="exact"/>
              <w:ind w:right="84"/>
              <w:rPr>
                <w:sz w:val="14"/>
              </w:rPr>
            </w:pPr>
            <w:r>
              <w:rPr>
                <w:w w:val="95"/>
                <w:sz w:val="14"/>
              </w:rPr>
              <w:t>GS-</w:t>
            </w:r>
            <w:r>
              <w:rPr>
                <w:spacing w:val="-5"/>
                <w:sz w:val="14"/>
              </w:rPr>
              <w:t>PL</w:t>
            </w:r>
          </w:p>
        </w:tc>
        <w:tc>
          <w:tcPr>
            <w:tcW w:w="559"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8" w:lineRule="exact"/>
              <w:ind w:right="51"/>
              <w:rPr>
                <w:sz w:val="14"/>
              </w:rPr>
            </w:pPr>
            <w:r>
              <w:rPr>
                <w:w w:val="95"/>
                <w:sz w:val="14"/>
              </w:rPr>
              <w:t>GS-</w:t>
            </w:r>
            <w:r>
              <w:rPr>
                <w:spacing w:val="-5"/>
                <w:sz w:val="14"/>
              </w:rPr>
              <w:t>OL</w:t>
            </w:r>
          </w:p>
        </w:tc>
        <w:tc>
          <w:tcPr>
            <w:tcW w:w="820" w:type="dxa"/>
            <w:tcBorders>
              <w:top w:val="single" w:sz="4" w:space="0" w:color="000000"/>
              <w:bottom w:val="single" w:sz="4" w:space="0" w:color="000000"/>
            </w:tcBorders>
          </w:tcPr>
          <w:p>
            <w:pPr>
              <w:pStyle w:val="TableParagraph"/>
              <w:spacing w:line="151" w:lineRule="exact"/>
              <w:ind w:left="389"/>
              <w:jc w:val="left"/>
              <w:rPr>
                <w:i/>
                <w:sz w:val="14"/>
              </w:rPr>
            </w:pPr>
            <w:r>
              <w:rPr>
                <w:i/>
                <w:spacing w:val="-2"/>
                <w:sz w:val="14"/>
              </w:rPr>
              <w:t>Total</w:t>
            </w:r>
          </w:p>
          <w:p>
            <w:pPr>
              <w:pStyle w:val="TableParagraph"/>
              <w:spacing w:line="160" w:lineRule="atLeast"/>
              <w:ind w:left="67" w:right="128" w:firstLine="197"/>
              <w:jc w:val="left"/>
              <w:rPr>
                <w:i/>
                <w:sz w:val="14"/>
              </w:rPr>
            </w:pPr>
            <w:r>
              <w:rPr>
                <w:i/>
                <w:sz w:val="14"/>
              </w:rPr>
              <w:t>GS</w:t>
            </w:r>
            <w:r>
              <w:rPr>
                <w:i/>
                <w:spacing w:val="-9"/>
                <w:sz w:val="14"/>
              </w:rPr>
              <w:t> </w:t>
            </w:r>
            <w:r>
              <w:rPr>
                <w:i/>
                <w:sz w:val="14"/>
              </w:rPr>
              <w:t>and</w:t>
            </w:r>
            <w:r>
              <w:rPr>
                <w:i/>
                <w:spacing w:val="40"/>
                <w:sz w:val="14"/>
              </w:rPr>
              <w:t> </w:t>
            </w:r>
            <w:r>
              <w:rPr>
                <w:i/>
                <w:sz w:val="14"/>
              </w:rPr>
              <w:t>Other</w:t>
            </w:r>
            <w:r>
              <w:rPr>
                <w:i/>
                <w:spacing w:val="-5"/>
                <w:sz w:val="14"/>
              </w:rPr>
              <w:t> </w:t>
            </w:r>
            <w:r>
              <w:rPr>
                <w:i/>
                <w:spacing w:val="-2"/>
                <w:sz w:val="14"/>
              </w:rPr>
              <w:t>Staff</w:t>
            </w:r>
          </w:p>
        </w:tc>
        <w:tc>
          <w:tcPr>
            <w:tcW w:w="516" w:type="dxa"/>
            <w:tcBorders>
              <w:top w:val="single" w:sz="4" w:space="0" w:color="000000"/>
              <w:bottom w:val="single" w:sz="4" w:space="0" w:color="000000"/>
            </w:tcBorders>
          </w:tcPr>
          <w:p>
            <w:pPr>
              <w:pStyle w:val="TableParagraph"/>
              <w:spacing w:before="4"/>
              <w:jc w:val="left"/>
              <w:rPr>
                <w:b/>
                <w:sz w:val="12"/>
              </w:rPr>
            </w:pPr>
          </w:p>
          <w:p>
            <w:pPr>
              <w:pStyle w:val="TableParagraph"/>
              <w:spacing w:line="160" w:lineRule="atLeast"/>
              <w:ind w:left="178" w:hanging="34"/>
              <w:jc w:val="left"/>
              <w:rPr>
                <w:b/>
                <w:sz w:val="14"/>
              </w:rPr>
            </w:pPr>
            <w:r>
              <w:rPr>
                <w:b/>
                <w:spacing w:val="-4"/>
                <w:sz w:val="14"/>
              </w:rPr>
              <w:t>Total</w:t>
            </w:r>
            <w:r>
              <w:rPr>
                <w:b/>
                <w:spacing w:val="40"/>
                <w:sz w:val="14"/>
              </w:rPr>
              <w:t> </w:t>
            </w:r>
            <w:r>
              <w:rPr>
                <w:b/>
                <w:spacing w:val="-4"/>
                <w:sz w:val="14"/>
              </w:rPr>
              <w:t>Staff</w:t>
            </w:r>
          </w:p>
        </w:tc>
      </w:tr>
      <w:tr>
        <w:trPr>
          <w:trHeight w:val="228" w:hRule="atLeast"/>
        </w:trPr>
        <w:tc>
          <w:tcPr>
            <w:tcW w:w="1186" w:type="dxa"/>
            <w:tcBorders>
              <w:top w:val="single" w:sz="4" w:space="0" w:color="000000"/>
            </w:tcBorders>
          </w:tcPr>
          <w:p>
            <w:pPr>
              <w:pStyle w:val="TableParagraph"/>
              <w:spacing w:before="23"/>
              <w:ind w:left="67"/>
              <w:jc w:val="left"/>
              <w:rPr>
                <w:b/>
                <w:sz w:val="14"/>
              </w:rPr>
            </w:pPr>
            <w:r>
              <w:rPr>
                <w:b/>
                <w:spacing w:val="-2"/>
                <w:sz w:val="14"/>
              </w:rPr>
              <w:t>Established</w:t>
            </w:r>
            <w:r>
              <w:rPr>
                <w:b/>
                <w:spacing w:val="11"/>
                <w:sz w:val="14"/>
              </w:rPr>
              <w:t> </w:t>
            </w:r>
            <w:r>
              <w:rPr>
                <w:b/>
                <w:spacing w:val="-2"/>
                <w:sz w:val="14"/>
              </w:rPr>
              <w:t>Posts</w:t>
            </w:r>
          </w:p>
        </w:tc>
        <w:tc>
          <w:tcPr>
            <w:tcW w:w="678" w:type="dxa"/>
            <w:tcBorders>
              <w:top w:val="single" w:sz="4" w:space="0" w:color="000000"/>
            </w:tcBorders>
          </w:tcPr>
          <w:p>
            <w:pPr>
              <w:pStyle w:val="TableParagraph"/>
              <w:jc w:val="left"/>
              <w:rPr>
                <w:sz w:val="14"/>
              </w:rPr>
            </w:pPr>
          </w:p>
        </w:tc>
        <w:tc>
          <w:tcPr>
            <w:tcW w:w="607" w:type="dxa"/>
            <w:tcBorders>
              <w:top w:val="single" w:sz="4" w:space="0" w:color="000000"/>
            </w:tcBorders>
          </w:tcPr>
          <w:p>
            <w:pPr>
              <w:pStyle w:val="TableParagraph"/>
              <w:jc w:val="left"/>
              <w:rPr>
                <w:sz w:val="14"/>
              </w:rPr>
            </w:pPr>
          </w:p>
        </w:tc>
        <w:tc>
          <w:tcPr>
            <w:tcW w:w="563" w:type="dxa"/>
            <w:tcBorders>
              <w:top w:val="single" w:sz="4" w:space="0" w:color="000000"/>
            </w:tcBorders>
          </w:tcPr>
          <w:p>
            <w:pPr>
              <w:pStyle w:val="TableParagraph"/>
              <w:jc w:val="left"/>
              <w:rPr>
                <w:sz w:val="14"/>
              </w:rPr>
            </w:pPr>
          </w:p>
        </w:tc>
        <w:tc>
          <w:tcPr>
            <w:tcW w:w="581" w:type="dxa"/>
            <w:tcBorders>
              <w:top w:val="single" w:sz="4" w:space="0" w:color="000000"/>
            </w:tcBorders>
          </w:tcPr>
          <w:p>
            <w:pPr>
              <w:pStyle w:val="TableParagraph"/>
              <w:jc w:val="left"/>
              <w:rPr>
                <w:sz w:val="14"/>
              </w:rPr>
            </w:pPr>
          </w:p>
        </w:tc>
        <w:tc>
          <w:tcPr>
            <w:tcW w:w="581" w:type="dxa"/>
            <w:tcBorders>
              <w:top w:val="single" w:sz="4" w:space="0" w:color="000000"/>
            </w:tcBorders>
          </w:tcPr>
          <w:p>
            <w:pPr>
              <w:pStyle w:val="TableParagraph"/>
              <w:jc w:val="left"/>
              <w:rPr>
                <w:sz w:val="14"/>
              </w:rPr>
            </w:pPr>
          </w:p>
        </w:tc>
        <w:tc>
          <w:tcPr>
            <w:tcW w:w="590" w:type="dxa"/>
            <w:tcBorders>
              <w:top w:val="single" w:sz="4" w:space="0" w:color="000000"/>
            </w:tcBorders>
          </w:tcPr>
          <w:p>
            <w:pPr>
              <w:pStyle w:val="TableParagraph"/>
              <w:jc w:val="left"/>
              <w:rPr>
                <w:sz w:val="14"/>
              </w:rPr>
            </w:pPr>
          </w:p>
        </w:tc>
        <w:tc>
          <w:tcPr>
            <w:tcW w:w="667" w:type="dxa"/>
            <w:tcBorders>
              <w:top w:val="single" w:sz="4" w:space="0" w:color="000000"/>
            </w:tcBorders>
          </w:tcPr>
          <w:p>
            <w:pPr>
              <w:pStyle w:val="TableParagraph"/>
              <w:jc w:val="left"/>
              <w:rPr>
                <w:sz w:val="14"/>
              </w:rPr>
            </w:pPr>
          </w:p>
        </w:tc>
        <w:tc>
          <w:tcPr>
            <w:tcW w:w="667" w:type="dxa"/>
            <w:tcBorders>
              <w:top w:val="single" w:sz="4" w:space="0" w:color="000000"/>
            </w:tcBorders>
          </w:tcPr>
          <w:p>
            <w:pPr>
              <w:pStyle w:val="TableParagraph"/>
              <w:jc w:val="left"/>
              <w:rPr>
                <w:sz w:val="14"/>
              </w:rPr>
            </w:pPr>
          </w:p>
        </w:tc>
        <w:tc>
          <w:tcPr>
            <w:tcW w:w="465" w:type="dxa"/>
            <w:tcBorders>
              <w:top w:val="single" w:sz="4" w:space="0" w:color="000000"/>
            </w:tcBorders>
          </w:tcPr>
          <w:p>
            <w:pPr>
              <w:pStyle w:val="TableParagraph"/>
              <w:jc w:val="left"/>
              <w:rPr>
                <w:sz w:val="14"/>
              </w:rPr>
            </w:pPr>
          </w:p>
        </w:tc>
        <w:tc>
          <w:tcPr>
            <w:tcW w:w="794" w:type="dxa"/>
            <w:tcBorders>
              <w:top w:val="single" w:sz="4" w:space="0" w:color="000000"/>
            </w:tcBorders>
          </w:tcPr>
          <w:p>
            <w:pPr>
              <w:pStyle w:val="TableParagraph"/>
              <w:jc w:val="left"/>
              <w:rPr>
                <w:sz w:val="14"/>
              </w:rPr>
            </w:pPr>
          </w:p>
        </w:tc>
        <w:tc>
          <w:tcPr>
            <w:tcW w:w="568" w:type="dxa"/>
            <w:tcBorders>
              <w:top w:val="single" w:sz="4" w:space="0" w:color="000000"/>
            </w:tcBorders>
          </w:tcPr>
          <w:p>
            <w:pPr>
              <w:pStyle w:val="TableParagraph"/>
              <w:jc w:val="left"/>
              <w:rPr>
                <w:sz w:val="14"/>
              </w:rPr>
            </w:pPr>
          </w:p>
        </w:tc>
        <w:tc>
          <w:tcPr>
            <w:tcW w:w="579" w:type="dxa"/>
            <w:tcBorders>
              <w:top w:val="single" w:sz="4" w:space="0" w:color="000000"/>
            </w:tcBorders>
          </w:tcPr>
          <w:p>
            <w:pPr>
              <w:pStyle w:val="TableParagraph"/>
              <w:jc w:val="left"/>
              <w:rPr>
                <w:sz w:val="14"/>
              </w:rPr>
            </w:pPr>
          </w:p>
        </w:tc>
        <w:tc>
          <w:tcPr>
            <w:tcW w:w="559" w:type="dxa"/>
            <w:tcBorders>
              <w:top w:val="single" w:sz="4" w:space="0" w:color="000000"/>
            </w:tcBorders>
          </w:tcPr>
          <w:p>
            <w:pPr>
              <w:pStyle w:val="TableParagraph"/>
              <w:jc w:val="left"/>
              <w:rPr>
                <w:sz w:val="14"/>
              </w:rPr>
            </w:pPr>
          </w:p>
        </w:tc>
        <w:tc>
          <w:tcPr>
            <w:tcW w:w="820" w:type="dxa"/>
            <w:tcBorders>
              <w:top w:val="single" w:sz="4" w:space="0" w:color="000000"/>
            </w:tcBorders>
          </w:tcPr>
          <w:p>
            <w:pPr>
              <w:pStyle w:val="TableParagraph"/>
              <w:jc w:val="left"/>
              <w:rPr>
                <w:sz w:val="14"/>
              </w:rPr>
            </w:pPr>
          </w:p>
        </w:tc>
        <w:tc>
          <w:tcPr>
            <w:tcW w:w="516" w:type="dxa"/>
            <w:tcBorders>
              <w:top w:val="single" w:sz="4" w:space="0" w:color="000000"/>
            </w:tcBorders>
          </w:tcPr>
          <w:p>
            <w:pPr>
              <w:pStyle w:val="TableParagraph"/>
              <w:jc w:val="left"/>
              <w:rPr>
                <w:sz w:val="14"/>
              </w:rPr>
            </w:pPr>
          </w:p>
        </w:tc>
      </w:tr>
      <w:tr>
        <w:trPr>
          <w:trHeight w:val="221" w:hRule="atLeast"/>
        </w:trPr>
        <w:tc>
          <w:tcPr>
            <w:tcW w:w="1186" w:type="dxa"/>
            <w:tcBorders>
              <w:bottom w:val="single" w:sz="12" w:space="0" w:color="000000"/>
            </w:tcBorders>
          </w:tcPr>
          <w:p>
            <w:pPr>
              <w:pStyle w:val="TableParagraph"/>
              <w:spacing w:before="20"/>
              <w:ind w:left="67"/>
              <w:jc w:val="left"/>
              <w:rPr>
                <w:sz w:val="14"/>
              </w:rPr>
            </w:pPr>
            <w:r>
              <w:rPr>
                <w:w w:val="95"/>
                <w:sz w:val="14"/>
              </w:rPr>
              <w:t>Approved</w:t>
            </w:r>
            <w:r>
              <w:rPr>
                <w:spacing w:val="22"/>
                <w:sz w:val="14"/>
              </w:rPr>
              <w:t> </w:t>
            </w:r>
            <w:r>
              <w:rPr>
                <w:spacing w:val="-4"/>
                <w:sz w:val="14"/>
              </w:rPr>
              <w:t>2022</w:t>
            </w:r>
          </w:p>
        </w:tc>
        <w:tc>
          <w:tcPr>
            <w:tcW w:w="678" w:type="dxa"/>
            <w:tcBorders>
              <w:bottom w:val="single" w:sz="12" w:space="0" w:color="000000"/>
            </w:tcBorders>
          </w:tcPr>
          <w:p>
            <w:pPr>
              <w:pStyle w:val="TableParagraph"/>
              <w:spacing w:before="20"/>
              <w:ind w:right="154"/>
              <w:rPr>
                <w:sz w:val="14"/>
              </w:rPr>
            </w:pPr>
            <w:r>
              <w:rPr>
                <w:w w:val="99"/>
                <w:sz w:val="14"/>
              </w:rPr>
              <w:t>-</w:t>
            </w:r>
          </w:p>
        </w:tc>
        <w:tc>
          <w:tcPr>
            <w:tcW w:w="607" w:type="dxa"/>
            <w:tcBorders>
              <w:bottom w:val="single" w:sz="12" w:space="0" w:color="000000"/>
            </w:tcBorders>
          </w:tcPr>
          <w:p>
            <w:pPr>
              <w:pStyle w:val="TableParagraph"/>
              <w:spacing w:before="20"/>
              <w:ind w:right="170"/>
              <w:rPr>
                <w:sz w:val="14"/>
              </w:rPr>
            </w:pPr>
            <w:r>
              <w:rPr>
                <w:w w:val="99"/>
                <w:sz w:val="14"/>
              </w:rPr>
              <w:t>-</w:t>
            </w:r>
          </w:p>
        </w:tc>
        <w:tc>
          <w:tcPr>
            <w:tcW w:w="563" w:type="dxa"/>
            <w:tcBorders>
              <w:bottom w:val="single" w:sz="12" w:space="0" w:color="000000"/>
            </w:tcBorders>
          </w:tcPr>
          <w:p>
            <w:pPr>
              <w:pStyle w:val="TableParagraph"/>
              <w:spacing w:before="20"/>
              <w:ind w:right="171"/>
              <w:rPr>
                <w:sz w:val="14"/>
              </w:rPr>
            </w:pPr>
            <w:r>
              <w:rPr>
                <w:w w:val="99"/>
                <w:sz w:val="14"/>
              </w:rPr>
              <w:t>-</w:t>
            </w:r>
          </w:p>
        </w:tc>
        <w:tc>
          <w:tcPr>
            <w:tcW w:w="581" w:type="dxa"/>
            <w:tcBorders>
              <w:bottom w:val="single" w:sz="12" w:space="0" w:color="000000"/>
            </w:tcBorders>
          </w:tcPr>
          <w:p>
            <w:pPr>
              <w:pStyle w:val="TableParagraph"/>
              <w:spacing w:before="20"/>
              <w:ind w:right="192"/>
              <w:rPr>
                <w:sz w:val="14"/>
              </w:rPr>
            </w:pPr>
            <w:r>
              <w:rPr>
                <w:w w:val="99"/>
                <w:sz w:val="14"/>
              </w:rPr>
              <w:t>1</w:t>
            </w:r>
          </w:p>
        </w:tc>
        <w:tc>
          <w:tcPr>
            <w:tcW w:w="581" w:type="dxa"/>
            <w:tcBorders>
              <w:bottom w:val="single" w:sz="12" w:space="0" w:color="000000"/>
            </w:tcBorders>
          </w:tcPr>
          <w:p>
            <w:pPr>
              <w:pStyle w:val="TableParagraph"/>
              <w:spacing w:before="20"/>
              <w:ind w:left="148"/>
              <w:jc w:val="center"/>
              <w:rPr>
                <w:sz w:val="14"/>
              </w:rPr>
            </w:pPr>
            <w:r>
              <w:rPr>
                <w:w w:val="99"/>
                <w:sz w:val="14"/>
              </w:rPr>
              <w:t>-</w:t>
            </w:r>
          </w:p>
        </w:tc>
        <w:tc>
          <w:tcPr>
            <w:tcW w:w="590" w:type="dxa"/>
            <w:tcBorders>
              <w:bottom w:val="single" w:sz="12" w:space="0" w:color="000000"/>
            </w:tcBorders>
          </w:tcPr>
          <w:p>
            <w:pPr>
              <w:pStyle w:val="TableParagraph"/>
              <w:spacing w:before="20"/>
              <w:ind w:right="196"/>
              <w:rPr>
                <w:sz w:val="14"/>
              </w:rPr>
            </w:pPr>
            <w:r>
              <w:rPr>
                <w:w w:val="99"/>
                <w:sz w:val="14"/>
              </w:rPr>
              <w:t>1</w:t>
            </w:r>
          </w:p>
        </w:tc>
        <w:tc>
          <w:tcPr>
            <w:tcW w:w="667" w:type="dxa"/>
            <w:tcBorders>
              <w:bottom w:val="single" w:sz="12" w:space="0" w:color="000000"/>
            </w:tcBorders>
          </w:tcPr>
          <w:p>
            <w:pPr>
              <w:pStyle w:val="TableParagraph"/>
              <w:spacing w:before="20"/>
              <w:ind w:right="267"/>
              <w:rPr>
                <w:sz w:val="14"/>
              </w:rPr>
            </w:pPr>
            <w:r>
              <w:rPr>
                <w:w w:val="99"/>
                <w:sz w:val="14"/>
              </w:rPr>
              <w:t>1</w:t>
            </w:r>
          </w:p>
        </w:tc>
        <w:tc>
          <w:tcPr>
            <w:tcW w:w="667" w:type="dxa"/>
            <w:tcBorders>
              <w:bottom w:val="single" w:sz="12" w:space="0" w:color="000000"/>
            </w:tcBorders>
          </w:tcPr>
          <w:p>
            <w:pPr>
              <w:pStyle w:val="TableParagraph"/>
              <w:spacing w:before="20"/>
              <w:ind w:right="194"/>
              <w:rPr>
                <w:sz w:val="14"/>
              </w:rPr>
            </w:pPr>
            <w:r>
              <w:rPr>
                <w:w w:val="99"/>
                <w:sz w:val="14"/>
              </w:rPr>
              <w:t>1</w:t>
            </w:r>
          </w:p>
        </w:tc>
        <w:tc>
          <w:tcPr>
            <w:tcW w:w="465" w:type="dxa"/>
            <w:tcBorders>
              <w:bottom w:val="single" w:sz="12" w:space="0" w:color="000000"/>
            </w:tcBorders>
          </w:tcPr>
          <w:p>
            <w:pPr>
              <w:pStyle w:val="TableParagraph"/>
              <w:spacing w:before="20"/>
              <w:ind w:right="63"/>
              <w:rPr>
                <w:sz w:val="14"/>
              </w:rPr>
            </w:pPr>
            <w:r>
              <w:rPr>
                <w:w w:val="99"/>
                <w:sz w:val="14"/>
              </w:rPr>
              <w:t>-</w:t>
            </w:r>
          </w:p>
        </w:tc>
        <w:tc>
          <w:tcPr>
            <w:tcW w:w="794" w:type="dxa"/>
            <w:tcBorders>
              <w:bottom w:val="single" w:sz="12" w:space="0" w:color="000000"/>
            </w:tcBorders>
          </w:tcPr>
          <w:p>
            <w:pPr>
              <w:pStyle w:val="TableParagraph"/>
              <w:spacing w:before="20"/>
              <w:ind w:right="123"/>
              <w:rPr>
                <w:i/>
                <w:sz w:val="14"/>
              </w:rPr>
            </w:pPr>
            <w:r>
              <w:rPr>
                <w:i/>
                <w:w w:val="99"/>
                <w:sz w:val="14"/>
              </w:rPr>
              <w:t>4</w:t>
            </w:r>
          </w:p>
        </w:tc>
        <w:tc>
          <w:tcPr>
            <w:tcW w:w="568" w:type="dxa"/>
            <w:tcBorders>
              <w:bottom w:val="single" w:sz="12" w:space="0" w:color="000000"/>
            </w:tcBorders>
          </w:tcPr>
          <w:p>
            <w:pPr>
              <w:pStyle w:val="TableParagraph"/>
              <w:spacing w:before="20"/>
              <w:ind w:right="95"/>
              <w:rPr>
                <w:sz w:val="14"/>
              </w:rPr>
            </w:pPr>
            <w:r>
              <w:rPr>
                <w:w w:val="99"/>
                <w:sz w:val="14"/>
              </w:rPr>
              <w:t>-</w:t>
            </w:r>
          </w:p>
        </w:tc>
        <w:tc>
          <w:tcPr>
            <w:tcW w:w="579" w:type="dxa"/>
            <w:tcBorders>
              <w:bottom w:val="single" w:sz="12" w:space="0" w:color="000000"/>
            </w:tcBorders>
          </w:tcPr>
          <w:p>
            <w:pPr>
              <w:pStyle w:val="TableParagraph"/>
              <w:spacing w:before="20"/>
              <w:ind w:right="84"/>
              <w:rPr>
                <w:sz w:val="14"/>
              </w:rPr>
            </w:pPr>
            <w:r>
              <w:rPr>
                <w:w w:val="99"/>
                <w:sz w:val="14"/>
              </w:rPr>
              <w:t>1</w:t>
            </w:r>
          </w:p>
        </w:tc>
        <w:tc>
          <w:tcPr>
            <w:tcW w:w="559" w:type="dxa"/>
            <w:tcBorders>
              <w:bottom w:val="single" w:sz="12" w:space="0" w:color="000000"/>
            </w:tcBorders>
          </w:tcPr>
          <w:p>
            <w:pPr>
              <w:pStyle w:val="TableParagraph"/>
              <w:spacing w:before="20"/>
              <w:ind w:right="53"/>
              <w:rPr>
                <w:sz w:val="14"/>
              </w:rPr>
            </w:pPr>
            <w:r>
              <w:rPr>
                <w:w w:val="99"/>
                <w:sz w:val="14"/>
              </w:rPr>
              <w:t>3</w:t>
            </w:r>
          </w:p>
        </w:tc>
        <w:tc>
          <w:tcPr>
            <w:tcW w:w="820" w:type="dxa"/>
            <w:tcBorders>
              <w:bottom w:val="single" w:sz="12" w:space="0" w:color="000000"/>
            </w:tcBorders>
          </w:tcPr>
          <w:p>
            <w:pPr>
              <w:pStyle w:val="TableParagraph"/>
              <w:spacing w:before="20"/>
              <w:ind w:right="133"/>
              <w:rPr>
                <w:i/>
                <w:sz w:val="14"/>
              </w:rPr>
            </w:pPr>
            <w:r>
              <w:rPr>
                <w:i/>
                <w:w w:val="99"/>
                <w:sz w:val="14"/>
              </w:rPr>
              <w:t>4</w:t>
            </w:r>
          </w:p>
        </w:tc>
        <w:tc>
          <w:tcPr>
            <w:tcW w:w="516" w:type="dxa"/>
            <w:tcBorders>
              <w:bottom w:val="single" w:sz="12" w:space="0" w:color="000000"/>
            </w:tcBorders>
          </w:tcPr>
          <w:p>
            <w:pPr>
              <w:pStyle w:val="TableParagraph"/>
              <w:spacing w:before="20"/>
              <w:ind w:right="49"/>
              <w:rPr>
                <w:b/>
                <w:sz w:val="14"/>
              </w:rPr>
            </w:pPr>
            <w:r>
              <w:rPr>
                <w:b/>
                <w:w w:val="99"/>
                <w:sz w:val="14"/>
              </w:rPr>
              <w:t>8</w:t>
            </w:r>
          </w:p>
        </w:tc>
      </w:tr>
      <w:tr>
        <w:trPr>
          <w:trHeight w:val="230" w:hRule="atLeast"/>
        </w:trPr>
        <w:tc>
          <w:tcPr>
            <w:tcW w:w="1186" w:type="dxa"/>
            <w:tcBorders>
              <w:top w:val="single" w:sz="12" w:space="0" w:color="000000"/>
              <w:bottom w:val="single" w:sz="4" w:space="0" w:color="000000"/>
            </w:tcBorders>
          </w:tcPr>
          <w:p>
            <w:pPr>
              <w:pStyle w:val="TableParagraph"/>
              <w:spacing w:before="27"/>
              <w:ind w:left="67"/>
              <w:jc w:val="left"/>
              <w:rPr>
                <w:sz w:val="14"/>
              </w:rPr>
            </w:pPr>
            <w:r>
              <w:rPr>
                <w:spacing w:val="-5"/>
                <w:sz w:val="14"/>
              </w:rPr>
              <w:t>New</w:t>
            </w:r>
          </w:p>
        </w:tc>
        <w:tc>
          <w:tcPr>
            <w:tcW w:w="678" w:type="dxa"/>
            <w:tcBorders>
              <w:top w:val="single" w:sz="12" w:space="0" w:color="000000"/>
              <w:bottom w:val="single" w:sz="4" w:space="0" w:color="000000"/>
            </w:tcBorders>
          </w:tcPr>
          <w:p>
            <w:pPr>
              <w:pStyle w:val="TableParagraph"/>
              <w:spacing w:before="27"/>
              <w:ind w:right="154"/>
              <w:rPr>
                <w:sz w:val="14"/>
              </w:rPr>
            </w:pPr>
            <w:r>
              <w:rPr>
                <w:w w:val="99"/>
                <w:sz w:val="14"/>
              </w:rPr>
              <w:t>-</w:t>
            </w:r>
          </w:p>
        </w:tc>
        <w:tc>
          <w:tcPr>
            <w:tcW w:w="607" w:type="dxa"/>
            <w:tcBorders>
              <w:top w:val="single" w:sz="12" w:space="0" w:color="000000"/>
              <w:bottom w:val="single" w:sz="4" w:space="0" w:color="000000"/>
            </w:tcBorders>
          </w:tcPr>
          <w:p>
            <w:pPr>
              <w:pStyle w:val="TableParagraph"/>
              <w:spacing w:before="27"/>
              <w:ind w:right="170"/>
              <w:rPr>
                <w:sz w:val="14"/>
              </w:rPr>
            </w:pPr>
            <w:r>
              <w:rPr>
                <w:w w:val="99"/>
                <w:sz w:val="14"/>
              </w:rPr>
              <w:t>-</w:t>
            </w:r>
          </w:p>
        </w:tc>
        <w:tc>
          <w:tcPr>
            <w:tcW w:w="563" w:type="dxa"/>
            <w:tcBorders>
              <w:top w:val="single" w:sz="12" w:space="0" w:color="000000"/>
              <w:bottom w:val="single" w:sz="4" w:space="0" w:color="000000"/>
            </w:tcBorders>
          </w:tcPr>
          <w:p>
            <w:pPr>
              <w:pStyle w:val="TableParagraph"/>
              <w:spacing w:before="27"/>
              <w:ind w:right="171"/>
              <w:rPr>
                <w:sz w:val="14"/>
              </w:rPr>
            </w:pPr>
            <w:r>
              <w:rPr>
                <w:w w:val="99"/>
                <w:sz w:val="14"/>
              </w:rPr>
              <w:t>-</w:t>
            </w:r>
          </w:p>
        </w:tc>
        <w:tc>
          <w:tcPr>
            <w:tcW w:w="581" w:type="dxa"/>
            <w:tcBorders>
              <w:top w:val="single" w:sz="12" w:space="0" w:color="000000"/>
              <w:bottom w:val="single" w:sz="4" w:space="0" w:color="000000"/>
            </w:tcBorders>
          </w:tcPr>
          <w:p>
            <w:pPr>
              <w:pStyle w:val="TableParagraph"/>
              <w:spacing w:before="27"/>
              <w:ind w:right="191"/>
              <w:rPr>
                <w:sz w:val="14"/>
              </w:rPr>
            </w:pPr>
            <w:r>
              <w:rPr>
                <w:w w:val="99"/>
                <w:sz w:val="14"/>
              </w:rPr>
              <w:t>-</w:t>
            </w:r>
          </w:p>
        </w:tc>
        <w:tc>
          <w:tcPr>
            <w:tcW w:w="581" w:type="dxa"/>
            <w:tcBorders>
              <w:top w:val="single" w:sz="12" w:space="0" w:color="000000"/>
              <w:bottom w:val="single" w:sz="4" w:space="0" w:color="000000"/>
            </w:tcBorders>
          </w:tcPr>
          <w:p>
            <w:pPr>
              <w:pStyle w:val="TableParagraph"/>
              <w:spacing w:before="27"/>
              <w:ind w:left="148"/>
              <w:jc w:val="center"/>
              <w:rPr>
                <w:sz w:val="14"/>
              </w:rPr>
            </w:pPr>
            <w:r>
              <w:rPr>
                <w:w w:val="99"/>
                <w:sz w:val="14"/>
              </w:rPr>
              <w:t>-</w:t>
            </w:r>
          </w:p>
        </w:tc>
        <w:tc>
          <w:tcPr>
            <w:tcW w:w="590" w:type="dxa"/>
            <w:tcBorders>
              <w:top w:val="single" w:sz="12" w:space="0" w:color="000000"/>
              <w:bottom w:val="single" w:sz="4" w:space="0" w:color="000000"/>
            </w:tcBorders>
          </w:tcPr>
          <w:p>
            <w:pPr>
              <w:pStyle w:val="TableParagraph"/>
              <w:spacing w:before="27"/>
              <w:ind w:right="195"/>
              <w:rPr>
                <w:sz w:val="14"/>
              </w:rPr>
            </w:pPr>
            <w:r>
              <w:rPr>
                <w:w w:val="99"/>
                <w:sz w:val="14"/>
              </w:rPr>
              <w:t>-</w:t>
            </w:r>
          </w:p>
        </w:tc>
        <w:tc>
          <w:tcPr>
            <w:tcW w:w="667" w:type="dxa"/>
            <w:tcBorders>
              <w:top w:val="single" w:sz="12" w:space="0" w:color="000000"/>
              <w:bottom w:val="single" w:sz="4" w:space="0" w:color="000000"/>
            </w:tcBorders>
          </w:tcPr>
          <w:p>
            <w:pPr>
              <w:pStyle w:val="TableParagraph"/>
              <w:spacing w:before="27"/>
              <w:ind w:right="266"/>
              <w:rPr>
                <w:sz w:val="14"/>
              </w:rPr>
            </w:pPr>
            <w:r>
              <w:rPr>
                <w:w w:val="99"/>
                <w:sz w:val="14"/>
              </w:rPr>
              <w:t>-</w:t>
            </w:r>
          </w:p>
        </w:tc>
        <w:tc>
          <w:tcPr>
            <w:tcW w:w="667" w:type="dxa"/>
            <w:tcBorders>
              <w:top w:val="single" w:sz="12" w:space="0" w:color="000000"/>
              <w:bottom w:val="single" w:sz="4" w:space="0" w:color="000000"/>
            </w:tcBorders>
          </w:tcPr>
          <w:p>
            <w:pPr>
              <w:pStyle w:val="TableParagraph"/>
              <w:spacing w:before="27"/>
              <w:ind w:right="194"/>
              <w:rPr>
                <w:sz w:val="14"/>
              </w:rPr>
            </w:pPr>
            <w:r>
              <w:rPr>
                <w:w w:val="99"/>
                <w:sz w:val="14"/>
              </w:rPr>
              <w:t>-</w:t>
            </w:r>
          </w:p>
        </w:tc>
        <w:tc>
          <w:tcPr>
            <w:tcW w:w="465" w:type="dxa"/>
            <w:tcBorders>
              <w:top w:val="single" w:sz="12" w:space="0" w:color="000000"/>
              <w:bottom w:val="single" w:sz="4" w:space="0" w:color="000000"/>
            </w:tcBorders>
          </w:tcPr>
          <w:p>
            <w:pPr>
              <w:pStyle w:val="TableParagraph"/>
              <w:spacing w:before="27"/>
              <w:ind w:right="63"/>
              <w:rPr>
                <w:sz w:val="14"/>
              </w:rPr>
            </w:pPr>
            <w:r>
              <w:rPr>
                <w:w w:val="99"/>
                <w:sz w:val="14"/>
              </w:rPr>
              <w:t>-</w:t>
            </w:r>
          </w:p>
        </w:tc>
        <w:tc>
          <w:tcPr>
            <w:tcW w:w="794" w:type="dxa"/>
            <w:tcBorders>
              <w:top w:val="single" w:sz="12" w:space="0" w:color="000000"/>
              <w:bottom w:val="single" w:sz="4" w:space="0" w:color="000000"/>
            </w:tcBorders>
          </w:tcPr>
          <w:p>
            <w:pPr>
              <w:pStyle w:val="TableParagraph"/>
              <w:spacing w:before="27"/>
              <w:ind w:right="122"/>
              <w:rPr>
                <w:i/>
                <w:sz w:val="14"/>
              </w:rPr>
            </w:pPr>
            <w:r>
              <w:rPr>
                <w:i/>
                <w:w w:val="99"/>
                <w:sz w:val="14"/>
              </w:rPr>
              <w:t>-</w:t>
            </w:r>
          </w:p>
        </w:tc>
        <w:tc>
          <w:tcPr>
            <w:tcW w:w="568" w:type="dxa"/>
            <w:tcBorders>
              <w:top w:val="single" w:sz="12" w:space="0" w:color="000000"/>
              <w:bottom w:val="single" w:sz="4" w:space="0" w:color="000000"/>
            </w:tcBorders>
          </w:tcPr>
          <w:p>
            <w:pPr>
              <w:pStyle w:val="TableParagraph"/>
              <w:spacing w:before="27"/>
              <w:ind w:right="95"/>
              <w:rPr>
                <w:sz w:val="14"/>
              </w:rPr>
            </w:pPr>
            <w:r>
              <w:rPr>
                <w:w w:val="99"/>
                <w:sz w:val="14"/>
              </w:rPr>
              <w:t>-</w:t>
            </w:r>
          </w:p>
        </w:tc>
        <w:tc>
          <w:tcPr>
            <w:tcW w:w="579" w:type="dxa"/>
            <w:tcBorders>
              <w:top w:val="single" w:sz="12" w:space="0" w:color="000000"/>
              <w:bottom w:val="single" w:sz="4" w:space="0" w:color="000000"/>
            </w:tcBorders>
          </w:tcPr>
          <w:p>
            <w:pPr>
              <w:pStyle w:val="TableParagraph"/>
              <w:spacing w:before="27"/>
              <w:ind w:right="83"/>
              <w:rPr>
                <w:sz w:val="14"/>
              </w:rPr>
            </w:pPr>
            <w:r>
              <w:rPr>
                <w:w w:val="99"/>
                <w:sz w:val="14"/>
              </w:rPr>
              <w:t>-</w:t>
            </w:r>
          </w:p>
        </w:tc>
        <w:tc>
          <w:tcPr>
            <w:tcW w:w="559" w:type="dxa"/>
            <w:tcBorders>
              <w:top w:val="single" w:sz="12" w:space="0" w:color="000000"/>
              <w:bottom w:val="single" w:sz="4" w:space="0" w:color="000000"/>
            </w:tcBorders>
          </w:tcPr>
          <w:p>
            <w:pPr>
              <w:pStyle w:val="TableParagraph"/>
              <w:spacing w:before="27"/>
              <w:ind w:right="52"/>
              <w:rPr>
                <w:sz w:val="14"/>
              </w:rPr>
            </w:pPr>
            <w:r>
              <w:rPr>
                <w:w w:val="99"/>
                <w:sz w:val="14"/>
              </w:rPr>
              <w:t>-</w:t>
            </w:r>
          </w:p>
        </w:tc>
        <w:tc>
          <w:tcPr>
            <w:tcW w:w="820" w:type="dxa"/>
            <w:tcBorders>
              <w:top w:val="single" w:sz="12" w:space="0" w:color="000000"/>
              <w:bottom w:val="single" w:sz="4" w:space="0" w:color="000000"/>
            </w:tcBorders>
          </w:tcPr>
          <w:p>
            <w:pPr>
              <w:pStyle w:val="TableParagraph"/>
              <w:spacing w:before="27"/>
              <w:ind w:right="132"/>
              <w:rPr>
                <w:i/>
                <w:sz w:val="14"/>
              </w:rPr>
            </w:pPr>
            <w:r>
              <w:rPr>
                <w:i/>
                <w:w w:val="99"/>
                <w:sz w:val="14"/>
              </w:rPr>
              <w:t>-</w:t>
            </w:r>
          </w:p>
        </w:tc>
        <w:tc>
          <w:tcPr>
            <w:tcW w:w="516" w:type="dxa"/>
            <w:tcBorders>
              <w:top w:val="single" w:sz="12" w:space="0" w:color="000000"/>
              <w:bottom w:val="single" w:sz="4" w:space="0" w:color="000000"/>
            </w:tcBorders>
          </w:tcPr>
          <w:p>
            <w:pPr>
              <w:pStyle w:val="TableParagraph"/>
              <w:spacing w:before="27"/>
              <w:ind w:right="48"/>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3"/>
              <w:ind w:left="67"/>
              <w:jc w:val="left"/>
              <w:rPr>
                <w:sz w:val="14"/>
              </w:rPr>
            </w:pPr>
            <w:r>
              <w:rPr>
                <w:spacing w:val="-2"/>
                <w:sz w:val="14"/>
              </w:rPr>
              <w:t>Redeployed</w:t>
            </w:r>
          </w:p>
        </w:tc>
        <w:tc>
          <w:tcPr>
            <w:tcW w:w="678" w:type="dxa"/>
            <w:tcBorders>
              <w:top w:val="single" w:sz="4" w:space="0" w:color="000000"/>
              <w:bottom w:val="single" w:sz="4" w:space="0" w:color="000000"/>
            </w:tcBorders>
          </w:tcPr>
          <w:p>
            <w:pPr>
              <w:pStyle w:val="TableParagraph"/>
              <w:spacing w:before="23"/>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3"/>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3"/>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3"/>
              <w:ind w:right="191"/>
              <w:rPr>
                <w:sz w:val="14"/>
              </w:rPr>
            </w:pPr>
            <w:r>
              <w:rPr>
                <w:w w:val="99"/>
                <w:sz w:val="14"/>
              </w:rPr>
              <w:t>-</w:t>
            </w:r>
          </w:p>
        </w:tc>
        <w:tc>
          <w:tcPr>
            <w:tcW w:w="581" w:type="dxa"/>
            <w:tcBorders>
              <w:top w:val="single" w:sz="4" w:space="0" w:color="000000"/>
              <w:bottom w:val="single" w:sz="4" w:space="0" w:color="000000"/>
            </w:tcBorders>
          </w:tcPr>
          <w:p>
            <w:pPr>
              <w:pStyle w:val="TableParagraph"/>
              <w:spacing w:before="23"/>
              <w:ind w:left="148"/>
              <w:jc w:val="center"/>
              <w:rPr>
                <w:sz w:val="14"/>
              </w:rPr>
            </w:pPr>
            <w:r>
              <w:rPr>
                <w:w w:val="99"/>
                <w:sz w:val="14"/>
              </w:rPr>
              <w:t>-</w:t>
            </w:r>
          </w:p>
        </w:tc>
        <w:tc>
          <w:tcPr>
            <w:tcW w:w="590" w:type="dxa"/>
            <w:tcBorders>
              <w:top w:val="single" w:sz="4" w:space="0" w:color="000000"/>
              <w:bottom w:val="single" w:sz="4" w:space="0" w:color="000000"/>
            </w:tcBorders>
          </w:tcPr>
          <w:p>
            <w:pPr>
              <w:pStyle w:val="TableParagraph"/>
              <w:spacing w:before="23"/>
              <w:ind w:right="195"/>
              <w:rPr>
                <w:sz w:val="14"/>
              </w:rPr>
            </w:pPr>
            <w:r>
              <w:rPr>
                <w:w w:val="99"/>
                <w:sz w:val="14"/>
              </w:rPr>
              <w:t>-</w:t>
            </w:r>
          </w:p>
        </w:tc>
        <w:tc>
          <w:tcPr>
            <w:tcW w:w="667" w:type="dxa"/>
            <w:tcBorders>
              <w:top w:val="single" w:sz="4" w:space="0" w:color="000000"/>
              <w:bottom w:val="single" w:sz="4" w:space="0" w:color="000000"/>
            </w:tcBorders>
          </w:tcPr>
          <w:p>
            <w:pPr>
              <w:pStyle w:val="TableParagraph"/>
              <w:spacing w:before="23"/>
              <w:ind w:right="266"/>
              <w:rPr>
                <w:sz w:val="14"/>
              </w:rPr>
            </w:pPr>
            <w:r>
              <w:rPr>
                <w:w w:val="99"/>
                <w:sz w:val="14"/>
              </w:rPr>
              <w:t>-</w:t>
            </w:r>
          </w:p>
        </w:tc>
        <w:tc>
          <w:tcPr>
            <w:tcW w:w="667" w:type="dxa"/>
            <w:tcBorders>
              <w:top w:val="single" w:sz="4" w:space="0" w:color="000000"/>
              <w:bottom w:val="single" w:sz="4" w:space="0" w:color="000000"/>
            </w:tcBorders>
          </w:tcPr>
          <w:p>
            <w:pPr>
              <w:pStyle w:val="TableParagraph"/>
              <w:spacing w:before="23"/>
              <w:ind w:right="194"/>
              <w:rPr>
                <w:sz w:val="14"/>
              </w:rPr>
            </w:pPr>
            <w:r>
              <w:rPr>
                <w:w w:val="99"/>
                <w:sz w:val="14"/>
              </w:rPr>
              <w:t>-</w:t>
            </w:r>
          </w:p>
        </w:tc>
        <w:tc>
          <w:tcPr>
            <w:tcW w:w="465" w:type="dxa"/>
            <w:tcBorders>
              <w:top w:val="single" w:sz="4" w:space="0" w:color="000000"/>
              <w:bottom w:val="single" w:sz="4" w:space="0" w:color="000000"/>
            </w:tcBorders>
          </w:tcPr>
          <w:p>
            <w:pPr>
              <w:pStyle w:val="TableParagraph"/>
              <w:spacing w:before="23"/>
              <w:ind w:right="63"/>
              <w:rPr>
                <w:sz w:val="14"/>
              </w:rPr>
            </w:pPr>
            <w:r>
              <w:rPr>
                <w:w w:val="99"/>
                <w:sz w:val="14"/>
              </w:rPr>
              <w:t>-</w:t>
            </w:r>
          </w:p>
        </w:tc>
        <w:tc>
          <w:tcPr>
            <w:tcW w:w="794" w:type="dxa"/>
            <w:tcBorders>
              <w:top w:val="single" w:sz="4" w:space="0" w:color="000000"/>
              <w:bottom w:val="single" w:sz="4" w:space="0" w:color="000000"/>
            </w:tcBorders>
          </w:tcPr>
          <w:p>
            <w:pPr>
              <w:pStyle w:val="TableParagraph"/>
              <w:spacing w:before="23"/>
              <w:ind w:right="122"/>
              <w:rPr>
                <w:i/>
                <w:sz w:val="14"/>
              </w:rPr>
            </w:pPr>
            <w:r>
              <w:rPr>
                <w:i/>
                <w:w w:val="99"/>
                <w:sz w:val="14"/>
              </w:rPr>
              <w:t>-</w:t>
            </w:r>
          </w:p>
        </w:tc>
        <w:tc>
          <w:tcPr>
            <w:tcW w:w="568" w:type="dxa"/>
            <w:tcBorders>
              <w:top w:val="single" w:sz="4" w:space="0" w:color="000000"/>
              <w:bottom w:val="single" w:sz="4" w:space="0" w:color="000000"/>
            </w:tcBorders>
          </w:tcPr>
          <w:p>
            <w:pPr>
              <w:pStyle w:val="TableParagraph"/>
              <w:spacing w:before="23"/>
              <w:ind w:right="95"/>
              <w:rPr>
                <w:sz w:val="14"/>
              </w:rPr>
            </w:pPr>
            <w:r>
              <w:rPr>
                <w:w w:val="99"/>
                <w:sz w:val="14"/>
              </w:rPr>
              <w:t>-</w:t>
            </w:r>
          </w:p>
        </w:tc>
        <w:tc>
          <w:tcPr>
            <w:tcW w:w="579" w:type="dxa"/>
            <w:tcBorders>
              <w:top w:val="single" w:sz="4" w:space="0" w:color="000000"/>
              <w:bottom w:val="single" w:sz="4" w:space="0" w:color="000000"/>
            </w:tcBorders>
          </w:tcPr>
          <w:p>
            <w:pPr>
              <w:pStyle w:val="TableParagraph"/>
              <w:spacing w:before="23"/>
              <w:ind w:right="83"/>
              <w:rPr>
                <w:sz w:val="14"/>
              </w:rPr>
            </w:pPr>
            <w:r>
              <w:rPr>
                <w:w w:val="99"/>
                <w:sz w:val="14"/>
              </w:rPr>
              <w:t>-</w:t>
            </w:r>
          </w:p>
        </w:tc>
        <w:tc>
          <w:tcPr>
            <w:tcW w:w="559" w:type="dxa"/>
            <w:tcBorders>
              <w:top w:val="single" w:sz="4" w:space="0" w:color="000000"/>
              <w:bottom w:val="single" w:sz="4" w:space="0" w:color="000000"/>
            </w:tcBorders>
          </w:tcPr>
          <w:p>
            <w:pPr>
              <w:pStyle w:val="TableParagraph"/>
              <w:spacing w:before="23"/>
              <w:ind w:right="52"/>
              <w:rPr>
                <w:sz w:val="14"/>
              </w:rPr>
            </w:pPr>
            <w:r>
              <w:rPr>
                <w:w w:val="99"/>
                <w:sz w:val="14"/>
              </w:rPr>
              <w:t>-</w:t>
            </w:r>
          </w:p>
        </w:tc>
        <w:tc>
          <w:tcPr>
            <w:tcW w:w="820" w:type="dxa"/>
            <w:tcBorders>
              <w:top w:val="single" w:sz="4" w:space="0" w:color="000000"/>
              <w:bottom w:val="single" w:sz="4" w:space="0" w:color="000000"/>
            </w:tcBorders>
          </w:tcPr>
          <w:p>
            <w:pPr>
              <w:pStyle w:val="TableParagraph"/>
              <w:spacing w:before="23"/>
              <w:ind w:right="132"/>
              <w:rPr>
                <w:i/>
                <w:sz w:val="14"/>
              </w:rPr>
            </w:pPr>
            <w:r>
              <w:rPr>
                <w:i/>
                <w:w w:val="99"/>
                <w:sz w:val="14"/>
              </w:rPr>
              <w:t>-</w:t>
            </w:r>
          </w:p>
        </w:tc>
        <w:tc>
          <w:tcPr>
            <w:tcW w:w="516" w:type="dxa"/>
            <w:tcBorders>
              <w:top w:val="single" w:sz="4" w:space="0" w:color="000000"/>
              <w:bottom w:val="single" w:sz="4" w:space="0" w:color="000000"/>
            </w:tcBorders>
          </w:tcPr>
          <w:p>
            <w:pPr>
              <w:pStyle w:val="TableParagraph"/>
              <w:spacing w:before="23"/>
              <w:ind w:right="48"/>
              <w:rPr>
                <w:b/>
                <w:sz w:val="14"/>
              </w:rPr>
            </w:pPr>
            <w:r>
              <w:rPr>
                <w:b/>
                <w:w w:val="99"/>
                <w:sz w:val="14"/>
              </w:rPr>
              <w:t>-</w:t>
            </w:r>
          </w:p>
        </w:tc>
      </w:tr>
      <w:tr>
        <w:trPr>
          <w:trHeight w:val="230" w:hRule="atLeast"/>
        </w:trPr>
        <w:tc>
          <w:tcPr>
            <w:tcW w:w="1186" w:type="dxa"/>
            <w:tcBorders>
              <w:top w:val="single" w:sz="4" w:space="0" w:color="000000"/>
              <w:bottom w:val="single" w:sz="4" w:space="0" w:color="000000"/>
            </w:tcBorders>
          </w:tcPr>
          <w:p>
            <w:pPr>
              <w:pStyle w:val="TableParagraph"/>
              <w:spacing w:before="28"/>
              <w:ind w:left="67"/>
              <w:jc w:val="left"/>
              <w:rPr>
                <w:sz w:val="14"/>
              </w:rPr>
            </w:pPr>
            <w:r>
              <w:rPr>
                <w:spacing w:val="-2"/>
                <w:sz w:val="14"/>
              </w:rPr>
              <w:t>Reclassified</w:t>
            </w:r>
          </w:p>
        </w:tc>
        <w:tc>
          <w:tcPr>
            <w:tcW w:w="678" w:type="dxa"/>
            <w:tcBorders>
              <w:top w:val="single" w:sz="4" w:space="0" w:color="000000"/>
              <w:bottom w:val="single" w:sz="4" w:space="0" w:color="000000"/>
            </w:tcBorders>
          </w:tcPr>
          <w:p>
            <w:pPr>
              <w:pStyle w:val="TableParagraph"/>
              <w:spacing w:before="28"/>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8"/>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8"/>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8"/>
              <w:ind w:right="191"/>
              <w:rPr>
                <w:sz w:val="14"/>
              </w:rPr>
            </w:pPr>
            <w:r>
              <w:rPr>
                <w:w w:val="99"/>
                <w:sz w:val="14"/>
              </w:rPr>
              <w:t>-</w:t>
            </w:r>
          </w:p>
        </w:tc>
        <w:tc>
          <w:tcPr>
            <w:tcW w:w="581" w:type="dxa"/>
            <w:tcBorders>
              <w:top w:val="single" w:sz="4" w:space="0" w:color="000000"/>
              <w:bottom w:val="single" w:sz="4" w:space="0" w:color="000000"/>
            </w:tcBorders>
          </w:tcPr>
          <w:p>
            <w:pPr>
              <w:pStyle w:val="TableParagraph"/>
              <w:spacing w:before="28"/>
              <w:ind w:left="148"/>
              <w:jc w:val="center"/>
              <w:rPr>
                <w:sz w:val="14"/>
              </w:rPr>
            </w:pPr>
            <w:r>
              <w:rPr>
                <w:w w:val="99"/>
                <w:sz w:val="14"/>
              </w:rPr>
              <w:t>-</w:t>
            </w:r>
          </w:p>
        </w:tc>
        <w:tc>
          <w:tcPr>
            <w:tcW w:w="590" w:type="dxa"/>
            <w:tcBorders>
              <w:top w:val="single" w:sz="4" w:space="0" w:color="000000"/>
              <w:bottom w:val="single" w:sz="4" w:space="0" w:color="000000"/>
            </w:tcBorders>
          </w:tcPr>
          <w:p>
            <w:pPr>
              <w:pStyle w:val="TableParagraph"/>
              <w:spacing w:before="28"/>
              <w:ind w:right="195"/>
              <w:rPr>
                <w:sz w:val="14"/>
              </w:rPr>
            </w:pPr>
            <w:r>
              <w:rPr>
                <w:w w:val="99"/>
                <w:sz w:val="14"/>
              </w:rPr>
              <w:t>-</w:t>
            </w:r>
          </w:p>
        </w:tc>
        <w:tc>
          <w:tcPr>
            <w:tcW w:w="667" w:type="dxa"/>
            <w:tcBorders>
              <w:top w:val="single" w:sz="4" w:space="0" w:color="000000"/>
              <w:bottom w:val="single" w:sz="4" w:space="0" w:color="000000"/>
            </w:tcBorders>
          </w:tcPr>
          <w:p>
            <w:pPr>
              <w:pStyle w:val="TableParagraph"/>
              <w:spacing w:before="28"/>
              <w:ind w:right="266"/>
              <w:rPr>
                <w:sz w:val="14"/>
              </w:rPr>
            </w:pPr>
            <w:r>
              <w:rPr>
                <w:w w:val="99"/>
                <w:sz w:val="14"/>
              </w:rPr>
              <w:t>-</w:t>
            </w:r>
          </w:p>
        </w:tc>
        <w:tc>
          <w:tcPr>
            <w:tcW w:w="667" w:type="dxa"/>
            <w:tcBorders>
              <w:top w:val="single" w:sz="4" w:space="0" w:color="000000"/>
              <w:bottom w:val="single" w:sz="4" w:space="0" w:color="000000"/>
            </w:tcBorders>
          </w:tcPr>
          <w:p>
            <w:pPr>
              <w:pStyle w:val="TableParagraph"/>
              <w:spacing w:before="28"/>
              <w:ind w:right="194"/>
              <w:rPr>
                <w:sz w:val="14"/>
              </w:rPr>
            </w:pPr>
            <w:r>
              <w:rPr>
                <w:w w:val="99"/>
                <w:sz w:val="14"/>
              </w:rPr>
              <w:t>-</w:t>
            </w:r>
          </w:p>
        </w:tc>
        <w:tc>
          <w:tcPr>
            <w:tcW w:w="465" w:type="dxa"/>
            <w:tcBorders>
              <w:top w:val="single" w:sz="4" w:space="0" w:color="000000"/>
              <w:bottom w:val="single" w:sz="4" w:space="0" w:color="000000"/>
            </w:tcBorders>
          </w:tcPr>
          <w:p>
            <w:pPr>
              <w:pStyle w:val="TableParagraph"/>
              <w:spacing w:before="28"/>
              <w:ind w:right="63"/>
              <w:rPr>
                <w:sz w:val="14"/>
              </w:rPr>
            </w:pPr>
            <w:r>
              <w:rPr>
                <w:w w:val="99"/>
                <w:sz w:val="14"/>
              </w:rPr>
              <w:t>-</w:t>
            </w:r>
          </w:p>
        </w:tc>
        <w:tc>
          <w:tcPr>
            <w:tcW w:w="794" w:type="dxa"/>
            <w:tcBorders>
              <w:top w:val="single" w:sz="4" w:space="0" w:color="000000"/>
              <w:bottom w:val="single" w:sz="4" w:space="0" w:color="000000"/>
            </w:tcBorders>
          </w:tcPr>
          <w:p>
            <w:pPr>
              <w:pStyle w:val="TableParagraph"/>
              <w:spacing w:before="28"/>
              <w:ind w:right="122"/>
              <w:rPr>
                <w:i/>
                <w:sz w:val="14"/>
              </w:rPr>
            </w:pPr>
            <w:r>
              <w:rPr>
                <w:i/>
                <w:w w:val="99"/>
                <w:sz w:val="14"/>
              </w:rPr>
              <w:t>-</w:t>
            </w:r>
          </w:p>
        </w:tc>
        <w:tc>
          <w:tcPr>
            <w:tcW w:w="568" w:type="dxa"/>
            <w:tcBorders>
              <w:top w:val="single" w:sz="4" w:space="0" w:color="000000"/>
              <w:bottom w:val="single" w:sz="4" w:space="0" w:color="000000"/>
            </w:tcBorders>
          </w:tcPr>
          <w:p>
            <w:pPr>
              <w:pStyle w:val="TableParagraph"/>
              <w:spacing w:before="28"/>
              <w:ind w:right="95"/>
              <w:rPr>
                <w:sz w:val="14"/>
              </w:rPr>
            </w:pPr>
            <w:r>
              <w:rPr>
                <w:w w:val="99"/>
                <w:sz w:val="14"/>
              </w:rPr>
              <w:t>-</w:t>
            </w:r>
          </w:p>
        </w:tc>
        <w:tc>
          <w:tcPr>
            <w:tcW w:w="579" w:type="dxa"/>
            <w:tcBorders>
              <w:top w:val="single" w:sz="4" w:space="0" w:color="000000"/>
              <w:bottom w:val="single" w:sz="4" w:space="0" w:color="000000"/>
            </w:tcBorders>
          </w:tcPr>
          <w:p>
            <w:pPr>
              <w:pStyle w:val="TableParagraph"/>
              <w:spacing w:before="28"/>
              <w:ind w:right="83"/>
              <w:rPr>
                <w:sz w:val="14"/>
              </w:rPr>
            </w:pPr>
            <w:r>
              <w:rPr>
                <w:w w:val="99"/>
                <w:sz w:val="14"/>
              </w:rPr>
              <w:t>-</w:t>
            </w:r>
          </w:p>
        </w:tc>
        <w:tc>
          <w:tcPr>
            <w:tcW w:w="559" w:type="dxa"/>
            <w:tcBorders>
              <w:top w:val="single" w:sz="4" w:space="0" w:color="000000"/>
              <w:bottom w:val="single" w:sz="4" w:space="0" w:color="000000"/>
            </w:tcBorders>
          </w:tcPr>
          <w:p>
            <w:pPr>
              <w:pStyle w:val="TableParagraph"/>
              <w:spacing w:before="28"/>
              <w:ind w:right="52"/>
              <w:rPr>
                <w:sz w:val="14"/>
              </w:rPr>
            </w:pPr>
            <w:r>
              <w:rPr>
                <w:w w:val="99"/>
                <w:sz w:val="14"/>
              </w:rPr>
              <w:t>-</w:t>
            </w:r>
          </w:p>
        </w:tc>
        <w:tc>
          <w:tcPr>
            <w:tcW w:w="820" w:type="dxa"/>
            <w:tcBorders>
              <w:top w:val="single" w:sz="4" w:space="0" w:color="000000"/>
              <w:bottom w:val="single" w:sz="4" w:space="0" w:color="000000"/>
            </w:tcBorders>
          </w:tcPr>
          <w:p>
            <w:pPr>
              <w:pStyle w:val="TableParagraph"/>
              <w:spacing w:before="28"/>
              <w:ind w:right="132"/>
              <w:rPr>
                <w:i/>
                <w:sz w:val="14"/>
              </w:rPr>
            </w:pPr>
            <w:r>
              <w:rPr>
                <w:i/>
                <w:w w:val="99"/>
                <w:sz w:val="14"/>
              </w:rPr>
              <w:t>-</w:t>
            </w:r>
          </w:p>
        </w:tc>
        <w:tc>
          <w:tcPr>
            <w:tcW w:w="516" w:type="dxa"/>
            <w:tcBorders>
              <w:top w:val="single" w:sz="4" w:space="0" w:color="000000"/>
              <w:bottom w:val="single" w:sz="4" w:space="0" w:color="000000"/>
            </w:tcBorders>
          </w:tcPr>
          <w:p>
            <w:pPr>
              <w:pStyle w:val="TableParagraph"/>
              <w:spacing w:before="28"/>
              <w:ind w:right="48"/>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3"/>
              <w:ind w:left="67"/>
              <w:jc w:val="left"/>
              <w:rPr>
                <w:sz w:val="14"/>
              </w:rPr>
            </w:pPr>
            <w:r>
              <w:rPr>
                <w:spacing w:val="-2"/>
                <w:sz w:val="14"/>
              </w:rPr>
              <w:t>Returned</w:t>
            </w:r>
          </w:p>
        </w:tc>
        <w:tc>
          <w:tcPr>
            <w:tcW w:w="678" w:type="dxa"/>
            <w:tcBorders>
              <w:top w:val="single" w:sz="4" w:space="0" w:color="000000"/>
              <w:bottom w:val="single" w:sz="4" w:space="0" w:color="000000"/>
            </w:tcBorders>
          </w:tcPr>
          <w:p>
            <w:pPr>
              <w:pStyle w:val="TableParagraph"/>
              <w:spacing w:before="23"/>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3"/>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3"/>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3"/>
              <w:ind w:right="191"/>
              <w:rPr>
                <w:sz w:val="14"/>
              </w:rPr>
            </w:pPr>
            <w:r>
              <w:rPr>
                <w:w w:val="99"/>
                <w:sz w:val="14"/>
              </w:rPr>
              <w:t>-</w:t>
            </w:r>
          </w:p>
        </w:tc>
        <w:tc>
          <w:tcPr>
            <w:tcW w:w="581" w:type="dxa"/>
            <w:tcBorders>
              <w:top w:val="single" w:sz="4" w:space="0" w:color="000000"/>
              <w:bottom w:val="single" w:sz="4" w:space="0" w:color="000000"/>
            </w:tcBorders>
          </w:tcPr>
          <w:p>
            <w:pPr>
              <w:pStyle w:val="TableParagraph"/>
              <w:spacing w:before="23"/>
              <w:ind w:left="148"/>
              <w:jc w:val="center"/>
              <w:rPr>
                <w:sz w:val="14"/>
              </w:rPr>
            </w:pPr>
            <w:r>
              <w:rPr>
                <w:w w:val="99"/>
                <w:sz w:val="14"/>
              </w:rPr>
              <w:t>-</w:t>
            </w:r>
          </w:p>
        </w:tc>
        <w:tc>
          <w:tcPr>
            <w:tcW w:w="590" w:type="dxa"/>
            <w:tcBorders>
              <w:top w:val="single" w:sz="4" w:space="0" w:color="000000"/>
              <w:bottom w:val="single" w:sz="4" w:space="0" w:color="000000"/>
            </w:tcBorders>
          </w:tcPr>
          <w:p>
            <w:pPr>
              <w:pStyle w:val="TableParagraph"/>
              <w:spacing w:before="23"/>
              <w:ind w:right="195"/>
              <w:rPr>
                <w:sz w:val="14"/>
              </w:rPr>
            </w:pPr>
            <w:r>
              <w:rPr>
                <w:w w:val="99"/>
                <w:sz w:val="14"/>
              </w:rPr>
              <w:t>-</w:t>
            </w:r>
          </w:p>
        </w:tc>
        <w:tc>
          <w:tcPr>
            <w:tcW w:w="667" w:type="dxa"/>
            <w:tcBorders>
              <w:top w:val="single" w:sz="4" w:space="0" w:color="000000"/>
              <w:bottom w:val="single" w:sz="4" w:space="0" w:color="000000"/>
            </w:tcBorders>
          </w:tcPr>
          <w:p>
            <w:pPr>
              <w:pStyle w:val="TableParagraph"/>
              <w:spacing w:before="23"/>
              <w:ind w:right="266"/>
              <w:rPr>
                <w:sz w:val="14"/>
              </w:rPr>
            </w:pPr>
            <w:r>
              <w:rPr>
                <w:w w:val="99"/>
                <w:sz w:val="14"/>
              </w:rPr>
              <w:t>-</w:t>
            </w:r>
          </w:p>
        </w:tc>
        <w:tc>
          <w:tcPr>
            <w:tcW w:w="667" w:type="dxa"/>
            <w:tcBorders>
              <w:top w:val="single" w:sz="4" w:space="0" w:color="000000"/>
              <w:bottom w:val="single" w:sz="4" w:space="0" w:color="000000"/>
            </w:tcBorders>
          </w:tcPr>
          <w:p>
            <w:pPr>
              <w:pStyle w:val="TableParagraph"/>
              <w:spacing w:before="23"/>
              <w:ind w:right="194"/>
              <w:rPr>
                <w:sz w:val="14"/>
              </w:rPr>
            </w:pPr>
            <w:r>
              <w:rPr>
                <w:w w:val="99"/>
                <w:sz w:val="14"/>
              </w:rPr>
              <w:t>-</w:t>
            </w:r>
          </w:p>
        </w:tc>
        <w:tc>
          <w:tcPr>
            <w:tcW w:w="465" w:type="dxa"/>
            <w:tcBorders>
              <w:top w:val="single" w:sz="4" w:space="0" w:color="000000"/>
              <w:bottom w:val="single" w:sz="4" w:space="0" w:color="000000"/>
            </w:tcBorders>
          </w:tcPr>
          <w:p>
            <w:pPr>
              <w:pStyle w:val="TableParagraph"/>
              <w:spacing w:before="23"/>
              <w:ind w:right="63"/>
              <w:rPr>
                <w:sz w:val="14"/>
              </w:rPr>
            </w:pPr>
            <w:r>
              <w:rPr>
                <w:w w:val="99"/>
                <w:sz w:val="14"/>
              </w:rPr>
              <w:t>-</w:t>
            </w:r>
          </w:p>
        </w:tc>
        <w:tc>
          <w:tcPr>
            <w:tcW w:w="794" w:type="dxa"/>
            <w:tcBorders>
              <w:top w:val="single" w:sz="4" w:space="0" w:color="000000"/>
              <w:bottom w:val="single" w:sz="4" w:space="0" w:color="000000"/>
            </w:tcBorders>
          </w:tcPr>
          <w:p>
            <w:pPr>
              <w:pStyle w:val="TableParagraph"/>
              <w:spacing w:before="23"/>
              <w:ind w:right="122"/>
              <w:rPr>
                <w:i/>
                <w:sz w:val="14"/>
              </w:rPr>
            </w:pPr>
            <w:r>
              <w:rPr>
                <w:i/>
                <w:w w:val="99"/>
                <w:sz w:val="14"/>
              </w:rPr>
              <w:t>-</w:t>
            </w:r>
          </w:p>
        </w:tc>
        <w:tc>
          <w:tcPr>
            <w:tcW w:w="568" w:type="dxa"/>
            <w:tcBorders>
              <w:top w:val="single" w:sz="4" w:space="0" w:color="000000"/>
              <w:bottom w:val="single" w:sz="4" w:space="0" w:color="000000"/>
            </w:tcBorders>
          </w:tcPr>
          <w:p>
            <w:pPr>
              <w:pStyle w:val="TableParagraph"/>
              <w:spacing w:before="23"/>
              <w:ind w:right="95"/>
              <w:rPr>
                <w:sz w:val="14"/>
              </w:rPr>
            </w:pPr>
            <w:r>
              <w:rPr>
                <w:w w:val="99"/>
                <w:sz w:val="14"/>
              </w:rPr>
              <w:t>-</w:t>
            </w:r>
          </w:p>
        </w:tc>
        <w:tc>
          <w:tcPr>
            <w:tcW w:w="579" w:type="dxa"/>
            <w:tcBorders>
              <w:top w:val="single" w:sz="4" w:space="0" w:color="000000"/>
              <w:bottom w:val="single" w:sz="4" w:space="0" w:color="000000"/>
            </w:tcBorders>
          </w:tcPr>
          <w:p>
            <w:pPr>
              <w:pStyle w:val="TableParagraph"/>
              <w:spacing w:before="23"/>
              <w:ind w:right="79"/>
              <w:rPr>
                <w:sz w:val="14"/>
              </w:rPr>
            </w:pPr>
            <w:r>
              <w:rPr>
                <w:spacing w:val="-5"/>
                <w:sz w:val="14"/>
              </w:rPr>
              <w:t>(1)</w:t>
            </w:r>
          </w:p>
        </w:tc>
        <w:tc>
          <w:tcPr>
            <w:tcW w:w="559" w:type="dxa"/>
            <w:tcBorders>
              <w:top w:val="single" w:sz="4" w:space="0" w:color="000000"/>
              <w:bottom w:val="single" w:sz="4" w:space="0" w:color="000000"/>
            </w:tcBorders>
          </w:tcPr>
          <w:p>
            <w:pPr>
              <w:pStyle w:val="TableParagraph"/>
              <w:spacing w:before="23"/>
              <w:ind w:right="52"/>
              <w:rPr>
                <w:sz w:val="14"/>
              </w:rPr>
            </w:pPr>
            <w:r>
              <w:rPr>
                <w:w w:val="99"/>
                <w:sz w:val="14"/>
              </w:rPr>
              <w:t>-</w:t>
            </w:r>
          </w:p>
        </w:tc>
        <w:tc>
          <w:tcPr>
            <w:tcW w:w="820" w:type="dxa"/>
            <w:tcBorders>
              <w:top w:val="single" w:sz="4" w:space="0" w:color="000000"/>
              <w:bottom w:val="single" w:sz="4" w:space="0" w:color="000000"/>
            </w:tcBorders>
          </w:tcPr>
          <w:p>
            <w:pPr>
              <w:pStyle w:val="TableParagraph"/>
              <w:spacing w:before="23"/>
              <w:ind w:right="128"/>
              <w:rPr>
                <w:i/>
                <w:sz w:val="14"/>
              </w:rPr>
            </w:pPr>
            <w:r>
              <w:rPr>
                <w:i/>
                <w:spacing w:val="-5"/>
                <w:sz w:val="14"/>
              </w:rPr>
              <w:t>(1)</w:t>
            </w:r>
          </w:p>
        </w:tc>
        <w:tc>
          <w:tcPr>
            <w:tcW w:w="516" w:type="dxa"/>
            <w:tcBorders>
              <w:top w:val="single" w:sz="4" w:space="0" w:color="000000"/>
              <w:bottom w:val="single" w:sz="4" w:space="0" w:color="000000"/>
            </w:tcBorders>
          </w:tcPr>
          <w:p>
            <w:pPr>
              <w:pStyle w:val="TableParagraph"/>
              <w:spacing w:before="23"/>
              <w:ind w:right="44"/>
              <w:rPr>
                <w:b/>
                <w:sz w:val="14"/>
              </w:rPr>
            </w:pPr>
            <w:r>
              <w:rPr>
                <w:b/>
                <w:spacing w:val="-5"/>
                <w:sz w:val="14"/>
              </w:rPr>
              <w:t>(1)</w:t>
            </w:r>
          </w:p>
        </w:tc>
      </w:tr>
      <w:tr>
        <w:trPr>
          <w:trHeight w:val="224" w:hRule="atLeast"/>
        </w:trPr>
        <w:tc>
          <w:tcPr>
            <w:tcW w:w="1186" w:type="dxa"/>
            <w:tcBorders>
              <w:top w:val="single" w:sz="4" w:space="0" w:color="000000"/>
              <w:bottom w:val="single" w:sz="12" w:space="0" w:color="000000"/>
            </w:tcBorders>
          </w:tcPr>
          <w:p>
            <w:pPr>
              <w:pStyle w:val="TableParagraph"/>
              <w:spacing w:before="23"/>
              <w:ind w:left="67"/>
              <w:jc w:val="left"/>
              <w:rPr>
                <w:b/>
                <w:sz w:val="14"/>
              </w:rPr>
            </w:pPr>
            <w:r>
              <w:rPr>
                <w:b/>
                <w:sz w:val="14"/>
              </w:rPr>
              <w:t>Proposed</w:t>
            </w:r>
            <w:r>
              <w:rPr>
                <w:b/>
                <w:spacing w:val="-6"/>
                <w:sz w:val="14"/>
              </w:rPr>
              <w:t> </w:t>
            </w:r>
            <w:r>
              <w:rPr>
                <w:b/>
                <w:spacing w:val="-4"/>
                <w:sz w:val="14"/>
              </w:rPr>
              <w:t>2023</w:t>
            </w:r>
          </w:p>
        </w:tc>
        <w:tc>
          <w:tcPr>
            <w:tcW w:w="678" w:type="dxa"/>
            <w:tcBorders>
              <w:top w:val="single" w:sz="4" w:space="0" w:color="000000"/>
              <w:bottom w:val="single" w:sz="12" w:space="0" w:color="000000"/>
            </w:tcBorders>
          </w:tcPr>
          <w:p>
            <w:pPr>
              <w:pStyle w:val="TableParagraph"/>
              <w:spacing w:before="23"/>
              <w:ind w:right="154"/>
              <w:rPr>
                <w:b/>
                <w:sz w:val="14"/>
              </w:rPr>
            </w:pPr>
            <w:r>
              <w:rPr>
                <w:b/>
                <w:w w:val="99"/>
                <w:sz w:val="14"/>
              </w:rPr>
              <w:t>-</w:t>
            </w:r>
          </w:p>
        </w:tc>
        <w:tc>
          <w:tcPr>
            <w:tcW w:w="607" w:type="dxa"/>
            <w:tcBorders>
              <w:top w:val="single" w:sz="4" w:space="0" w:color="000000"/>
              <w:bottom w:val="single" w:sz="12" w:space="0" w:color="000000"/>
            </w:tcBorders>
          </w:tcPr>
          <w:p>
            <w:pPr>
              <w:pStyle w:val="TableParagraph"/>
              <w:spacing w:before="23"/>
              <w:ind w:right="170"/>
              <w:rPr>
                <w:b/>
                <w:sz w:val="14"/>
              </w:rPr>
            </w:pPr>
            <w:r>
              <w:rPr>
                <w:b/>
                <w:w w:val="99"/>
                <w:sz w:val="14"/>
              </w:rPr>
              <w:t>-</w:t>
            </w:r>
          </w:p>
        </w:tc>
        <w:tc>
          <w:tcPr>
            <w:tcW w:w="563" w:type="dxa"/>
            <w:tcBorders>
              <w:top w:val="single" w:sz="4" w:space="0" w:color="000000"/>
              <w:bottom w:val="single" w:sz="12" w:space="0" w:color="000000"/>
            </w:tcBorders>
          </w:tcPr>
          <w:p>
            <w:pPr>
              <w:pStyle w:val="TableParagraph"/>
              <w:spacing w:before="23"/>
              <w:ind w:right="171"/>
              <w:rPr>
                <w:b/>
                <w:sz w:val="14"/>
              </w:rPr>
            </w:pPr>
            <w:r>
              <w:rPr>
                <w:b/>
                <w:w w:val="99"/>
                <w:sz w:val="14"/>
              </w:rPr>
              <w:t>-</w:t>
            </w:r>
          </w:p>
        </w:tc>
        <w:tc>
          <w:tcPr>
            <w:tcW w:w="581" w:type="dxa"/>
            <w:tcBorders>
              <w:top w:val="single" w:sz="4" w:space="0" w:color="000000"/>
              <w:bottom w:val="single" w:sz="12" w:space="0" w:color="000000"/>
            </w:tcBorders>
          </w:tcPr>
          <w:p>
            <w:pPr>
              <w:pStyle w:val="TableParagraph"/>
              <w:spacing w:before="23"/>
              <w:ind w:right="192"/>
              <w:rPr>
                <w:b/>
                <w:sz w:val="14"/>
              </w:rPr>
            </w:pPr>
            <w:r>
              <w:rPr>
                <w:b/>
                <w:w w:val="99"/>
                <w:sz w:val="14"/>
              </w:rPr>
              <w:t>1</w:t>
            </w:r>
          </w:p>
        </w:tc>
        <w:tc>
          <w:tcPr>
            <w:tcW w:w="581" w:type="dxa"/>
            <w:tcBorders>
              <w:top w:val="single" w:sz="4" w:space="0" w:color="000000"/>
              <w:bottom w:val="single" w:sz="12" w:space="0" w:color="000000"/>
            </w:tcBorders>
          </w:tcPr>
          <w:p>
            <w:pPr>
              <w:pStyle w:val="TableParagraph"/>
              <w:spacing w:before="23"/>
              <w:ind w:left="148"/>
              <w:jc w:val="center"/>
              <w:rPr>
                <w:b/>
                <w:sz w:val="14"/>
              </w:rPr>
            </w:pPr>
            <w:r>
              <w:rPr>
                <w:b/>
                <w:w w:val="99"/>
                <w:sz w:val="14"/>
              </w:rPr>
              <w:t>-</w:t>
            </w:r>
          </w:p>
        </w:tc>
        <w:tc>
          <w:tcPr>
            <w:tcW w:w="590" w:type="dxa"/>
            <w:tcBorders>
              <w:top w:val="single" w:sz="4" w:space="0" w:color="000000"/>
              <w:bottom w:val="single" w:sz="12" w:space="0" w:color="000000"/>
            </w:tcBorders>
          </w:tcPr>
          <w:p>
            <w:pPr>
              <w:pStyle w:val="TableParagraph"/>
              <w:spacing w:before="23"/>
              <w:ind w:right="196"/>
              <w:rPr>
                <w:b/>
                <w:sz w:val="14"/>
              </w:rPr>
            </w:pPr>
            <w:r>
              <w:rPr>
                <w:b/>
                <w:w w:val="99"/>
                <w:sz w:val="14"/>
              </w:rPr>
              <w:t>1</w:t>
            </w:r>
          </w:p>
        </w:tc>
        <w:tc>
          <w:tcPr>
            <w:tcW w:w="667" w:type="dxa"/>
            <w:tcBorders>
              <w:top w:val="single" w:sz="4" w:space="0" w:color="000000"/>
              <w:bottom w:val="single" w:sz="12" w:space="0" w:color="000000"/>
            </w:tcBorders>
          </w:tcPr>
          <w:p>
            <w:pPr>
              <w:pStyle w:val="TableParagraph"/>
              <w:spacing w:before="23"/>
              <w:ind w:right="267"/>
              <w:rPr>
                <w:b/>
                <w:sz w:val="14"/>
              </w:rPr>
            </w:pPr>
            <w:r>
              <w:rPr>
                <w:b/>
                <w:w w:val="99"/>
                <w:sz w:val="14"/>
              </w:rPr>
              <w:t>1</w:t>
            </w:r>
          </w:p>
        </w:tc>
        <w:tc>
          <w:tcPr>
            <w:tcW w:w="667" w:type="dxa"/>
            <w:tcBorders>
              <w:top w:val="single" w:sz="4" w:space="0" w:color="000000"/>
              <w:bottom w:val="single" w:sz="12" w:space="0" w:color="000000"/>
            </w:tcBorders>
          </w:tcPr>
          <w:p>
            <w:pPr>
              <w:pStyle w:val="TableParagraph"/>
              <w:spacing w:before="23"/>
              <w:ind w:right="194"/>
              <w:rPr>
                <w:b/>
                <w:sz w:val="14"/>
              </w:rPr>
            </w:pPr>
            <w:r>
              <w:rPr>
                <w:b/>
                <w:w w:val="99"/>
                <w:sz w:val="14"/>
              </w:rPr>
              <w:t>1</w:t>
            </w:r>
          </w:p>
        </w:tc>
        <w:tc>
          <w:tcPr>
            <w:tcW w:w="465" w:type="dxa"/>
            <w:tcBorders>
              <w:top w:val="single" w:sz="4" w:space="0" w:color="000000"/>
              <w:bottom w:val="single" w:sz="12" w:space="0" w:color="000000"/>
            </w:tcBorders>
          </w:tcPr>
          <w:p>
            <w:pPr>
              <w:pStyle w:val="TableParagraph"/>
              <w:spacing w:before="23"/>
              <w:ind w:right="63"/>
              <w:rPr>
                <w:b/>
                <w:sz w:val="14"/>
              </w:rPr>
            </w:pPr>
            <w:r>
              <w:rPr>
                <w:b/>
                <w:w w:val="99"/>
                <w:sz w:val="14"/>
              </w:rPr>
              <w:t>-</w:t>
            </w:r>
          </w:p>
        </w:tc>
        <w:tc>
          <w:tcPr>
            <w:tcW w:w="794" w:type="dxa"/>
            <w:tcBorders>
              <w:top w:val="single" w:sz="4" w:space="0" w:color="000000"/>
              <w:bottom w:val="single" w:sz="12" w:space="0" w:color="000000"/>
            </w:tcBorders>
          </w:tcPr>
          <w:p>
            <w:pPr>
              <w:pStyle w:val="TableParagraph"/>
              <w:spacing w:before="23"/>
              <w:ind w:right="123"/>
              <w:rPr>
                <w:b/>
                <w:i/>
                <w:sz w:val="14"/>
              </w:rPr>
            </w:pPr>
            <w:r>
              <w:rPr>
                <w:b/>
                <w:i/>
                <w:w w:val="99"/>
                <w:sz w:val="14"/>
              </w:rPr>
              <w:t>4</w:t>
            </w:r>
          </w:p>
        </w:tc>
        <w:tc>
          <w:tcPr>
            <w:tcW w:w="568" w:type="dxa"/>
            <w:tcBorders>
              <w:top w:val="single" w:sz="4" w:space="0" w:color="000000"/>
              <w:bottom w:val="single" w:sz="12" w:space="0" w:color="000000"/>
            </w:tcBorders>
          </w:tcPr>
          <w:p>
            <w:pPr>
              <w:pStyle w:val="TableParagraph"/>
              <w:spacing w:before="23"/>
              <w:ind w:right="95"/>
              <w:rPr>
                <w:b/>
                <w:sz w:val="14"/>
              </w:rPr>
            </w:pPr>
            <w:r>
              <w:rPr>
                <w:b/>
                <w:w w:val="99"/>
                <w:sz w:val="14"/>
              </w:rPr>
              <w:t>-</w:t>
            </w:r>
          </w:p>
        </w:tc>
        <w:tc>
          <w:tcPr>
            <w:tcW w:w="579" w:type="dxa"/>
            <w:tcBorders>
              <w:top w:val="single" w:sz="4" w:space="0" w:color="000000"/>
              <w:bottom w:val="single" w:sz="12" w:space="0" w:color="000000"/>
            </w:tcBorders>
          </w:tcPr>
          <w:p>
            <w:pPr>
              <w:pStyle w:val="TableParagraph"/>
              <w:spacing w:before="23"/>
              <w:ind w:right="83"/>
              <w:rPr>
                <w:b/>
                <w:sz w:val="14"/>
              </w:rPr>
            </w:pPr>
            <w:r>
              <w:rPr>
                <w:b/>
                <w:w w:val="99"/>
                <w:sz w:val="14"/>
              </w:rPr>
              <w:t>-</w:t>
            </w:r>
          </w:p>
        </w:tc>
        <w:tc>
          <w:tcPr>
            <w:tcW w:w="559" w:type="dxa"/>
            <w:tcBorders>
              <w:top w:val="single" w:sz="4" w:space="0" w:color="000000"/>
              <w:bottom w:val="single" w:sz="12" w:space="0" w:color="000000"/>
            </w:tcBorders>
          </w:tcPr>
          <w:p>
            <w:pPr>
              <w:pStyle w:val="TableParagraph"/>
              <w:spacing w:before="23"/>
              <w:ind w:right="53"/>
              <w:rPr>
                <w:b/>
                <w:sz w:val="14"/>
              </w:rPr>
            </w:pPr>
            <w:r>
              <w:rPr>
                <w:b/>
                <w:w w:val="99"/>
                <w:sz w:val="14"/>
              </w:rPr>
              <w:t>3</w:t>
            </w:r>
          </w:p>
        </w:tc>
        <w:tc>
          <w:tcPr>
            <w:tcW w:w="820" w:type="dxa"/>
            <w:tcBorders>
              <w:top w:val="single" w:sz="4" w:space="0" w:color="000000"/>
              <w:bottom w:val="single" w:sz="12" w:space="0" w:color="000000"/>
            </w:tcBorders>
          </w:tcPr>
          <w:p>
            <w:pPr>
              <w:pStyle w:val="TableParagraph"/>
              <w:spacing w:before="23"/>
              <w:ind w:right="133"/>
              <w:rPr>
                <w:b/>
                <w:i/>
                <w:sz w:val="14"/>
              </w:rPr>
            </w:pPr>
            <w:r>
              <w:rPr>
                <w:b/>
                <w:i/>
                <w:w w:val="99"/>
                <w:sz w:val="14"/>
              </w:rPr>
              <w:t>3</w:t>
            </w:r>
          </w:p>
        </w:tc>
        <w:tc>
          <w:tcPr>
            <w:tcW w:w="516" w:type="dxa"/>
            <w:tcBorders>
              <w:top w:val="single" w:sz="4" w:space="0" w:color="000000"/>
              <w:bottom w:val="single" w:sz="12" w:space="0" w:color="000000"/>
            </w:tcBorders>
          </w:tcPr>
          <w:p>
            <w:pPr>
              <w:pStyle w:val="TableParagraph"/>
              <w:spacing w:before="23"/>
              <w:ind w:right="49"/>
              <w:rPr>
                <w:b/>
                <w:sz w:val="14"/>
              </w:rPr>
            </w:pPr>
            <w:r>
              <w:rPr>
                <w:b/>
                <w:w w:val="99"/>
                <w:sz w:val="14"/>
              </w:rPr>
              <w:t>7</w:t>
            </w:r>
          </w:p>
        </w:tc>
      </w:tr>
      <w:tr>
        <w:trPr>
          <w:trHeight w:val="571" w:hRule="atLeast"/>
        </w:trPr>
        <w:tc>
          <w:tcPr>
            <w:tcW w:w="1186" w:type="dxa"/>
            <w:tcBorders>
              <w:top w:val="single" w:sz="12" w:space="0" w:color="000000"/>
            </w:tcBorders>
          </w:tcPr>
          <w:p>
            <w:pPr>
              <w:pStyle w:val="TableParagraph"/>
              <w:spacing w:before="1"/>
              <w:jc w:val="left"/>
              <w:rPr>
                <w:b/>
                <w:sz w:val="19"/>
              </w:rPr>
            </w:pPr>
          </w:p>
          <w:p>
            <w:pPr>
              <w:pStyle w:val="TableParagraph"/>
              <w:spacing w:line="242" w:lineRule="auto"/>
              <w:ind w:left="67" w:right="232"/>
              <w:jc w:val="left"/>
              <w:rPr>
                <w:b/>
                <w:sz w:val="14"/>
              </w:rPr>
            </w:pPr>
            <w:r>
              <w:rPr>
                <w:b/>
                <w:sz w:val="14"/>
              </w:rPr>
              <w:t>GTA</w:t>
            </w:r>
            <w:r>
              <w:rPr>
                <w:b/>
                <w:spacing w:val="-9"/>
                <w:sz w:val="14"/>
              </w:rPr>
              <w:t> </w:t>
            </w:r>
            <w:r>
              <w:rPr>
                <w:b/>
                <w:sz w:val="14"/>
              </w:rPr>
              <w:t>Positions</w:t>
            </w:r>
            <w:r>
              <w:rPr>
                <w:b/>
                <w:spacing w:val="40"/>
                <w:sz w:val="14"/>
              </w:rPr>
              <w:t> </w:t>
            </w:r>
            <w:r>
              <w:rPr>
                <w:b/>
                <w:spacing w:val="-2"/>
                <w:sz w:val="14"/>
              </w:rPr>
              <w:t>(FTE)</w:t>
            </w:r>
          </w:p>
        </w:tc>
        <w:tc>
          <w:tcPr>
            <w:tcW w:w="678" w:type="dxa"/>
            <w:tcBorders>
              <w:top w:val="single" w:sz="12" w:space="0" w:color="000000"/>
            </w:tcBorders>
          </w:tcPr>
          <w:p>
            <w:pPr>
              <w:pStyle w:val="TableParagraph"/>
              <w:jc w:val="left"/>
              <w:rPr>
                <w:sz w:val="14"/>
              </w:rPr>
            </w:pPr>
          </w:p>
        </w:tc>
        <w:tc>
          <w:tcPr>
            <w:tcW w:w="607" w:type="dxa"/>
            <w:tcBorders>
              <w:top w:val="single" w:sz="12" w:space="0" w:color="000000"/>
            </w:tcBorders>
          </w:tcPr>
          <w:p>
            <w:pPr>
              <w:pStyle w:val="TableParagraph"/>
              <w:jc w:val="left"/>
              <w:rPr>
                <w:sz w:val="14"/>
              </w:rPr>
            </w:pPr>
          </w:p>
        </w:tc>
        <w:tc>
          <w:tcPr>
            <w:tcW w:w="563" w:type="dxa"/>
            <w:tcBorders>
              <w:top w:val="single" w:sz="12" w:space="0" w:color="000000"/>
            </w:tcBorders>
          </w:tcPr>
          <w:p>
            <w:pPr>
              <w:pStyle w:val="TableParagraph"/>
              <w:jc w:val="left"/>
              <w:rPr>
                <w:sz w:val="14"/>
              </w:rPr>
            </w:pPr>
          </w:p>
        </w:tc>
        <w:tc>
          <w:tcPr>
            <w:tcW w:w="581" w:type="dxa"/>
            <w:tcBorders>
              <w:top w:val="single" w:sz="12" w:space="0" w:color="000000"/>
            </w:tcBorders>
          </w:tcPr>
          <w:p>
            <w:pPr>
              <w:pStyle w:val="TableParagraph"/>
              <w:jc w:val="left"/>
              <w:rPr>
                <w:sz w:val="14"/>
              </w:rPr>
            </w:pPr>
          </w:p>
        </w:tc>
        <w:tc>
          <w:tcPr>
            <w:tcW w:w="581" w:type="dxa"/>
            <w:tcBorders>
              <w:top w:val="single" w:sz="12" w:space="0" w:color="000000"/>
            </w:tcBorders>
          </w:tcPr>
          <w:p>
            <w:pPr>
              <w:pStyle w:val="TableParagraph"/>
              <w:jc w:val="left"/>
              <w:rPr>
                <w:sz w:val="14"/>
              </w:rPr>
            </w:pPr>
          </w:p>
        </w:tc>
        <w:tc>
          <w:tcPr>
            <w:tcW w:w="590" w:type="dxa"/>
            <w:tcBorders>
              <w:top w:val="single" w:sz="12" w:space="0" w:color="000000"/>
            </w:tcBorders>
          </w:tcPr>
          <w:p>
            <w:pPr>
              <w:pStyle w:val="TableParagraph"/>
              <w:jc w:val="left"/>
              <w:rPr>
                <w:sz w:val="14"/>
              </w:rPr>
            </w:pPr>
          </w:p>
        </w:tc>
        <w:tc>
          <w:tcPr>
            <w:tcW w:w="667" w:type="dxa"/>
            <w:tcBorders>
              <w:top w:val="single" w:sz="12" w:space="0" w:color="000000"/>
            </w:tcBorders>
          </w:tcPr>
          <w:p>
            <w:pPr>
              <w:pStyle w:val="TableParagraph"/>
              <w:jc w:val="left"/>
              <w:rPr>
                <w:sz w:val="14"/>
              </w:rPr>
            </w:pPr>
          </w:p>
        </w:tc>
        <w:tc>
          <w:tcPr>
            <w:tcW w:w="667" w:type="dxa"/>
            <w:tcBorders>
              <w:top w:val="single" w:sz="12" w:space="0" w:color="000000"/>
            </w:tcBorders>
          </w:tcPr>
          <w:p>
            <w:pPr>
              <w:pStyle w:val="TableParagraph"/>
              <w:jc w:val="left"/>
              <w:rPr>
                <w:sz w:val="14"/>
              </w:rPr>
            </w:pPr>
          </w:p>
        </w:tc>
        <w:tc>
          <w:tcPr>
            <w:tcW w:w="465" w:type="dxa"/>
            <w:tcBorders>
              <w:top w:val="single" w:sz="12" w:space="0" w:color="000000"/>
            </w:tcBorders>
          </w:tcPr>
          <w:p>
            <w:pPr>
              <w:pStyle w:val="TableParagraph"/>
              <w:jc w:val="left"/>
              <w:rPr>
                <w:sz w:val="14"/>
              </w:rPr>
            </w:pPr>
          </w:p>
        </w:tc>
        <w:tc>
          <w:tcPr>
            <w:tcW w:w="794" w:type="dxa"/>
            <w:tcBorders>
              <w:top w:val="single" w:sz="12" w:space="0" w:color="000000"/>
            </w:tcBorders>
          </w:tcPr>
          <w:p>
            <w:pPr>
              <w:pStyle w:val="TableParagraph"/>
              <w:jc w:val="left"/>
              <w:rPr>
                <w:sz w:val="14"/>
              </w:rPr>
            </w:pPr>
          </w:p>
        </w:tc>
        <w:tc>
          <w:tcPr>
            <w:tcW w:w="568" w:type="dxa"/>
            <w:tcBorders>
              <w:top w:val="single" w:sz="12" w:space="0" w:color="000000"/>
            </w:tcBorders>
          </w:tcPr>
          <w:p>
            <w:pPr>
              <w:pStyle w:val="TableParagraph"/>
              <w:jc w:val="left"/>
              <w:rPr>
                <w:sz w:val="14"/>
              </w:rPr>
            </w:pPr>
          </w:p>
        </w:tc>
        <w:tc>
          <w:tcPr>
            <w:tcW w:w="579" w:type="dxa"/>
            <w:tcBorders>
              <w:top w:val="single" w:sz="12" w:space="0" w:color="000000"/>
            </w:tcBorders>
          </w:tcPr>
          <w:p>
            <w:pPr>
              <w:pStyle w:val="TableParagraph"/>
              <w:jc w:val="left"/>
              <w:rPr>
                <w:sz w:val="14"/>
              </w:rPr>
            </w:pPr>
          </w:p>
        </w:tc>
        <w:tc>
          <w:tcPr>
            <w:tcW w:w="559" w:type="dxa"/>
            <w:tcBorders>
              <w:top w:val="single" w:sz="12" w:space="0" w:color="000000"/>
            </w:tcBorders>
          </w:tcPr>
          <w:p>
            <w:pPr>
              <w:pStyle w:val="TableParagraph"/>
              <w:jc w:val="left"/>
              <w:rPr>
                <w:sz w:val="14"/>
              </w:rPr>
            </w:pPr>
          </w:p>
        </w:tc>
        <w:tc>
          <w:tcPr>
            <w:tcW w:w="820" w:type="dxa"/>
            <w:tcBorders>
              <w:top w:val="single" w:sz="12" w:space="0" w:color="000000"/>
            </w:tcBorders>
          </w:tcPr>
          <w:p>
            <w:pPr>
              <w:pStyle w:val="TableParagraph"/>
              <w:jc w:val="left"/>
              <w:rPr>
                <w:sz w:val="14"/>
              </w:rPr>
            </w:pPr>
          </w:p>
        </w:tc>
        <w:tc>
          <w:tcPr>
            <w:tcW w:w="516" w:type="dxa"/>
            <w:tcBorders>
              <w:top w:val="single" w:sz="12" w:space="0" w:color="000000"/>
            </w:tcBorders>
          </w:tcPr>
          <w:p>
            <w:pPr>
              <w:pStyle w:val="TableParagraph"/>
              <w:jc w:val="left"/>
              <w:rPr>
                <w:sz w:val="14"/>
              </w:rPr>
            </w:pPr>
          </w:p>
        </w:tc>
      </w:tr>
      <w:tr>
        <w:trPr>
          <w:trHeight w:val="205" w:hRule="atLeast"/>
        </w:trPr>
        <w:tc>
          <w:tcPr>
            <w:tcW w:w="1186" w:type="dxa"/>
            <w:tcBorders>
              <w:bottom w:val="single" w:sz="12" w:space="0" w:color="000000"/>
            </w:tcBorders>
          </w:tcPr>
          <w:p>
            <w:pPr>
              <w:pStyle w:val="TableParagraph"/>
              <w:spacing w:before="3"/>
              <w:ind w:left="67"/>
              <w:jc w:val="left"/>
              <w:rPr>
                <w:sz w:val="14"/>
              </w:rPr>
            </w:pPr>
            <w:r>
              <w:rPr>
                <w:w w:val="95"/>
                <w:sz w:val="14"/>
              </w:rPr>
              <w:t>Approved</w:t>
            </w:r>
            <w:r>
              <w:rPr>
                <w:spacing w:val="22"/>
                <w:sz w:val="14"/>
              </w:rPr>
              <w:t> </w:t>
            </w:r>
            <w:r>
              <w:rPr>
                <w:spacing w:val="-4"/>
                <w:sz w:val="14"/>
              </w:rPr>
              <w:t>2022</w:t>
            </w:r>
          </w:p>
        </w:tc>
        <w:tc>
          <w:tcPr>
            <w:tcW w:w="678" w:type="dxa"/>
            <w:tcBorders>
              <w:bottom w:val="single" w:sz="12" w:space="0" w:color="000000"/>
            </w:tcBorders>
          </w:tcPr>
          <w:p>
            <w:pPr>
              <w:pStyle w:val="TableParagraph"/>
              <w:spacing w:before="3"/>
              <w:ind w:right="154"/>
              <w:rPr>
                <w:sz w:val="14"/>
              </w:rPr>
            </w:pPr>
            <w:r>
              <w:rPr>
                <w:w w:val="99"/>
                <w:sz w:val="14"/>
              </w:rPr>
              <w:t>-</w:t>
            </w:r>
          </w:p>
        </w:tc>
        <w:tc>
          <w:tcPr>
            <w:tcW w:w="607" w:type="dxa"/>
            <w:tcBorders>
              <w:bottom w:val="single" w:sz="12" w:space="0" w:color="000000"/>
            </w:tcBorders>
          </w:tcPr>
          <w:p>
            <w:pPr>
              <w:pStyle w:val="TableParagraph"/>
              <w:spacing w:before="3"/>
              <w:ind w:right="170"/>
              <w:rPr>
                <w:sz w:val="14"/>
              </w:rPr>
            </w:pPr>
            <w:r>
              <w:rPr>
                <w:w w:val="99"/>
                <w:sz w:val="14"/>
              </w:rPr>
              <w:t>-</w:t>
            </w:r>
          </w:p>
        </w:tc>
        <w:tc>
          <w:tcPr>
            <w:tcW w:w="563" w:type="dxa"/>
            <w:tcBorders>
              <w:bottom w:val="single" w:sz="12" w:space="0" w:color="000000"/>
            </w:tcBorders>
          </w:tcPr>
          <w:p>
            <w:pPr>
              <w:pStyle w:val="TableParagraph"/>
              <w:spacing w:before="3"/>
              <w:ind w:right="171"/>
              <w:rPr>
                <w:sz w:val="14"/>
              </w:rPr>
            </w:pPr>
            <w:r>
              <w:rPr>
                <w:w w:val="99"/>
                <w:sz w:val="14"/>
              </w:rPr>
              <w:t>-</w:t>
            </w:r>
          </w:p>
        </w:tc>
        <w:tc>
          <w:tcPr>
            <w:tcW w:w="581" w:type="dxa"/>
            <w:tcBorders>
              <w:bottom w:val="single" w:sz="12" w:space="0" w:color="000000"/>
            </w:tcBorders>
          </w:tcPr>
          <w:p>
            <w:pPr>
              <w:pStyle w:val="TableParagraph"/>
              <w:spacing w:before="3"/>
              <w:ind w:right="191"/>
              <w:rPr>
                <w:sz w:val="14"/>
              </w:rPr>
            </w:pPr>
            <w:r>
              <w:rPr>
                <w:w w:val="99"/>
                <w:sz w:val="14"/>
              </w:rPr>
              <w:t>-</w:t>
            </w:r>
          </w:p>
        </w:tc>
        <w:tc>
          <w:tcPr>
            <w:tcW w:w="581" w:type="dxa"/>
            <w:tcBorders>
              <w:bottom w:val="single" w:sz="12" w:space="0" w:color="000000"/>
            </w:tcBorders>
          </w:tcPr>
          <w:p>
            <w:pPr>
              <w:pStyle w:val="TableParagraph"/>
              <w:spacing w:before="3"/>
              <w:ind w:left="148"/>
              <w:jc w:val="center"/>
              <w:rPr>
                <w:sz w:val="14"/>
              </w:rPr>
            </w:pPr>
            <w:r>
              <w:rPr>
                <w:w w:val="99"/>
                <w:sz w:val="14"/>
              </w:rPr>
              <w:t>-</w:t>
            </w:r>
          </w:p>
        </w:tc>
        <w:tc>
          <w:tcPr>
            <w:tcW w:w="590" w:type="dxa"/>
            <w:tcBorders>
              <w:bottom w:val="single" w:sz="12" w:space="0" w:color="000000"/>
            </w:tcBorders>
          </w:tcPr>
          <w:p>
            <w:pPr>
              <w:pStyle w:val="TableParagraph"/>
              <w:spacing w:before="3"/>
              <w:ind w:right="195"/>
              <w:rPr>
                <w:sz w:val="14"/>
              </w:rPr>
            </w:pPr>
            <w:r>
              <w:rPr>
                <w:w w:val="99"/>
                <w:sz w:val="14"/>
              </w:rPr>
              <w:t>-</w:t>
            </w:r>
          </w:p>
        </w:tc>
        <w:tc>
          <w:tcPr>
            <w:tcW w:w="667" w:type="dxa"/>
            <w:tcBorders>
              <w:bottom w:val="single" w:sz="12" w:space="0" w:color="000000"/>
            </w:tcBorders>
          </w:tcPr>
          <w:p>
            <w:pPr>
              <w:pStyle w:val="TableParagraph"/>
              <w:spacing w:before="3"/>
              <w:ind w:right="266"/>
              <w:rPr>
                <w:sz w:val="14"/>
              </w:rPr>
            </w:pPr>
            <w:r>
              <w:rPr>
                <w:w w:val="99"/>
                <w:sz w:val="14"/>
              </w:rPr>
              <w:t>-</w:t>
            </w:r>
          </w:p>
        </w:tc>
        <w:tc>
          <w:tcPr>
            <w:tcW w:w="667" w:type="dxa"/>
            <w:tcBorders>
              <w:bottom w:val="single" w:sz="12" w:space="0" w:color="000000"/>
            </w:tcBorders>
          </w:tcPr>
          <w:p>
            <w:pPr>
              <w:pStyle w:val="TableParagraph"/>
              <w:spacing w:before="3"/>
              <w:ind w:right="194"/>
              <w:rPr>
                <w:sz w:val="14"/>
              </w:rPr>
            </w:pPr>
            <w:r>
              <w:rPr>
                <w:w w:val="99"/>
                <w:sz w:val="14"/>
              </w:rPr>
              <w:t>-</w:t>
            </w:r>
          </w:p>
        </w:tc>
        <w:tc>
          <w:tcPr>
            <w:tcW w:w="465" w:type="dxa"/>
            <w:tcBorders>
              <w:bottom w:val="single" w:sz="12" w:space="0" w:color="000000"/>
            </w:tcBorders>
          </w:tcPr>
          <w:p>
            <w:pPr>
              <w:pStyle w:val="TableParagraph"/>
              <w:spacing w:before="3"/>
              <w:ind w:right="63"/>
              <w:rPr>
                <w:sz w:val="14"/>
              </w:rPr>
            </w:pPr>
            <w:r>
              <w:rPr>
                <w:w w:val="99"/>
                <w:sz w:val="14"/>
              </w:rPr>
              <w:t>-</w:t>
            </w:r>
          </w:p>
        </w:tc>
        <w:tc>
          <w:tcPr>
            <w:tcW w:w="794" w:type="dxa"/>
            <w:tcBorders>
              <w:bottom w:val="single" w:sz="12" w:space="0" w:color="000000"/>
            </w:tcBorders>
          </w:tcPr>
          <w:p>
            <w:pPr>
              <w:pStyle w:val="TableParagraph"/>
              <w:spacing w:before="3"/>
              <w:ind w:right="122"/>
              <w:rPr>
                <w:i/>
                <w:sz w:val="14"/>
              </w:rPr>
            </w:pPr>
            <w:r>
              <w:rPr>
                <w:i/>
                <w:w w:val="99"/>
                <w:sz w:val="14"/>
              </w:rPr>
              <w:t>-</w:t>
            </w:r>
          </w:p>
        </w:tc>
        <w:tc>
          <w:tcPr>
            <w:tcW w:w="568" w:type="dxa"/>
            <w:tcBorders>
              <w:bottom w:val="single" w:sz="12" w:space="0" w:color="000000"/>
            </w:tcBorders>
          </w:tcPr>
          <w:p>
            <w:pPr>
              <w:pStyle w:val="TableParagraph"/>
              <w:spacing w:before="3"/>
              <w:ind w:right="95"/>
              <w:rPr>
                <w:sz w:val="14"/>
              </w:rPr>
            </w:pPr>
            <w:r>
              <w:rPr>
                <w:w w:val="99"/>
                <w:sz w:val="14"/>
              </w:rPr>
              <w:t>-</w:t>
            </w:r>
          </w:p>
        </w:tc>
        <w:tc>
          <w:tcPr>
            <w:tcW w:w="579" w:type="dxa"/>
            <w:tcBorders>
              <w:bottom w:val="single" w:sz="12" w:space="0" w:color="000000"/>
            </w:tcBorders>
          </w:tcPr>
          <w:p>
            <w:pPr>
              <w:pStyle w:val="TableParagraph"/>
              <w:spacing w:before="3"/>
              <w:ind w:right="83"/>
              <w:rPr>
                <w:sz w:val="14"/>
              </w:rPr>
            </w:pPr>
            <w:r>
              <w:rPr>
                <w:w w:val="99"/>
                <w:sz w:val="14"/>
              </w:rPr>
              <w:t>-</w:t>
            </w:r>
          </w:p>
        </w:tc>
        <w:tc>
          <w:tcPr>
            <w:tcW w:w="559" w:type="dxa"/>
            <w:tcBorders>
              <w:bottom w:val="single" w:sz="12" w:space="0" w:color="000000"/>
            </w:tcBorders>
          </w:tcPr>
          <w:p>
            <w:pPr>
              <w:pStyle w:val="TableParagraph"/>
              <w:spacing w:before="3"/>
              <w:ind w:right="52"/>
              <w:rPr>
                <w:sz w:val="14"/>
              </w:rPr>
            </w:pPr>
            <w:r>
              <w:rPr>
                <w:w w:val="99"/>
                <w:sz w:val="14"/>
              </w:rPr>
              <w:t>-</w:t>
            </w:r>
          </w:p>
        </w:tc>
        <w:tc>
          <w:tcPr>
            <w:tcW w:w="820" w:type="dxa"/>
            <w:tcBorders>
              <w:bottom w:val="single" w:sz="12" w:space="0" w:color="000000"/>
            </w:tcBorders>
          </w:tcPr>
          <w:p>
            <w:pPr>
              <w:pStyle w:val="TableParagraph"/>
              <w:spacing w:before="3"/>
              <w:ind w:right="132"/>
              <w:rPr>
                <w:i/>
                <w:sz w:val="14"/>
              </w:rPr>
            </w:pPr>
            <w:r>
              <w:rPr>
                <w:i/>
                <w:w w:val="99"/>
                <w:sz w:val="14"/>
              </w:rPr>
              <w:t>-</w:t>
            </w:r>
          </w:p>
        </w:tc>
        <w:tc>
          <w:tcPr>
            <w:tcW w:w="516" w:type="dxa"/>
            <w:tcBorders>
              <w:bottom w:val="single" w:sz="12" w:space="0" w:color="000000"/>
            </w:tcBorders>
          </w:tcPr>
          <w:p>
            <w:pPr>
              <w:pStyle w:val="TableParagraph"/>
              <w:spacing w:before="3"/>
              <w:ind w:right="48"/>
              <w:rPr>
                <w:b/>
                <w:sz w:val="14"/>
              </w:rPr>
            </w:pPr>
            <w:r>
              <w:rPr>
                <w:b/>
                <w:w w:val="99"/>
                <w:sz w:val="14"/>
              </w:rPr>
              <w:t>-</w:t>
            </w:r>
          </w:p>
        </w:tc>
      </w:tr>
      <w:tr>
        <w:trPr>
          <w:trHeight w:val="229" w:hRule="atLeast"/>
        </w:trPr>
        <w:tc>
          <w:tcPr>
            <w:tcW w:w="1186" w:type="dxa"/>
            <w:tcBorders>
              <w:top w:val="single" w:sz="12" w:space="0" w:color="000000"/>
              <w:bottom w:val="single" w:sz="4" w:space="0" w:color="000000"/>
            </w:tcBorders>
          </w:tcPr>
          <w:p>
            <w:pPr>
              <w:pStyle w:val="TableParagraph"/>
              <w:spacing w:before="27"/>
              <w:ind w:left="67"/>
              <w:jc w:val="left"/>
              <w:rPr>
                <w:sz w:val="14"/>
              </w:rPr>
            </w:pPr>
            <w:r>
              <w:rPr>
                <w:spacing w:val="-2"/>
                <w:sz w:val="14"/>
              </w:rPr>
              <w:t>Continued</w:t>
            </w:r>
          </w:p>
        </w:tc>
        <w:tc>
          <w:tcPr>
            <w:tcW w:w="678" w:type="dxa"/>
            <w:tcBorders>
              <w:top w:val="single" w:sz="12" w:space="0" w:color="000000"/>
              <w:bottom w:val="single" w:sz="4" w:space="0" w:color="000000"/>
            </w:tcBorders>
          </w:tcPr>
          <w:p>
            <w:pPr>
              <w:pStyle w:val="TableParagraph"/>
              <w:spacing w:before="27"/>
              <w:ind w:right="154"/>
              <w:rPr>
                <w:sz w:val="14"/>
              </w:rPr>
            </w:pPr>
            <w:r>
              <w:rPr>
                <w:w w:val="99"/>
                <w:sz w:val="14"/>
              </w:rPr>
              <w:t>-</w:t>
            </w:r>
          </w:p>
        </w:tc>
        <w:tc>
          <w:tcPr>
            <w:tcW w:w="607" w:type="dxa"/>
            <w:tcBorders>
              <w:top w:val="single" w:sz="12" w:space="0" w:color="000000"/>
              <w:bottom w:val="single" w:sz="4" w:space="0" w:color="000000"/>
            </w:tcBorders>
          </w:tcPr>
          <w:p>
            <w:pPr>
              <w:pStyle w:val="TableParagraph"/>
              <w:spacing w:before="27"/>
              <w:ind w:right="170"/>
              <w:rPr>
                <w:sz w:val="14"/>
              </w:rPr>
            </w:pPr>
            <w:r>
              <w:rPr>
                <w:w w:val="99"/>
                <w:sz w:val="14"/>
              </w:rPr>
              <w:t>-</w:t>
            </w:r>
          </w:p>
        </w:tc>
        <w:tc>
          <w:tcPr>
            <w:tcW w:w="563" w:type="dxa"/>
            <w:tcBorders>
              <w:top w:val="single" w:sz="12" w:space="0" w:color="000000"/>
              <w:bottom w:val="single" w:sz="4" w:space="0" w:color="000000"/>
            </w:tcBorders>
          </w:tcPr>
          <w:p>
            <w:pPr>
              <w:pStyle w:val="TableParagraph"/>
              <w:spacing w:before="27"/>
              <w:ind w:right="171"/>
              <w:rPr>
                <w:sz w:val="14"/>
              </w:rPr>
            </w:pPr>
            <w:r>
              <w:rPr>
                <w:w w:val="99"/>
                <w:sz w:val="14"/>
              </w:rPr>
              <w:t>-</w:t>
            </w:r>
          </w:p>
        </w:tc>
        <w:tc>
          <w:tcPr>
            <w:tcW w:w="581" w:type="dxa"/>
            <w:tcBorders>
              <w:top w:val="single" w:sz="12" w:space="0" w:color="000000"/>
              <w:bottom w:val="single" w:sz="4" w:space="0" w:color="000000"/>
            </w:tcBorders>
          </w:tcPr>
          <w:p>
            <w:pPr>
              <w:pStyle w:val="TableParagraph"/>
              <w:spacing w:before="27"/>
              <w:ind w:right="191"/>
              <w:rPr>
                <w:sz w:val="14"/>
              </w:rPr>
            </w:pPr>
            <w:r>
              <w:rPr>
                <w:w w:val="99"/>
                <w:sz w:val="14"/>
              </w:rPr>
              <w:t>-</w:t>
            </w:r>
          </w:p>
        </w:tc>
        <w:tc>
          <w:tcPr>
            <w:tcW w:w="581" w:type="dxa"/>
            <w:tcBorders>
              <w:top w:val="single" w:sz="12" w:space="0" w:color="000000"/>
              <w:bottom w:val="single" w:sz="4" w:space="0" w:color="000000"/>
            </w:tcBorders>
          </w:tcPr>
          <w:p>
            <w:pPr>
              <w:pStyle w:val="TableParagraph"/>
              <w:spacing w:before="27"/>
              <w:ind w:left="148"/>
              <w:jc w:val="center"/>
              <w:rPr>
                <w:sz w:val="14"/>
              </w:rPr>
            </w:pPr>
            <w:r>
              <w:rPr>
                <w:w w:val="99"/>
                <w:sz w:val="14"/>
              </w:rPr>
              <w:t>-</w:t>
            </w:r>
          </w:p>
        </w:tc>
        <w:tc>
          <w:tcPr>
            <w:tcW w:w="590" w:type="dxa"/>
            <w:tcBorders>
              <w:top w:val="single" w:sz="12" w:space="0" w:color="000000"/>
              <w:bottom w:val="single" w:sz="4" w:space="0" w:color="000000"/>
            </w:tcBorders>
          </w:tcPr>
          <w:p>
            <w:pPr>
              <w:pStyle w:val="TableParagraph"/>
              <w:spacing w:before="27"/>
              <w:ind w:right="195"/>
              <w:rPr>
                <w:sz w:val="14"/>
              </w:rPr>
            </w:pPr>
            <w:r>
              <w:rPr>
                <w:w w:val="99"/>
                <w:sz w:val="14"/>
              </w:rPr>
              <w:t>-</w:t>
            </w:r>
          </w:p>
        </w:tc>
        <w:tc>
          <w:tcPr>
            <w:tcW w:w="667" w:type="dxa"/>
            <w:tcBorders>
              <w:top w:val="single" w:sz="12" w:space="0" w:color="000000"/>
              <w:bottom w:val="single" w:sz="4" w:space="0" w:color="000000"/>
            </w:tcBorders>
          </w:tcPr>
          <w:p>
            <w:pPr>
              <w:pStyle w:val="TableParagraph"/>
              <w:spacing w:before="27"/>
              <w:ind w:right="266"/>
              <w:rPr>
                <w:sz w:val="14"/>
              </w:rPr>
            </w:pPr>
            <w:r>
              <w:rPr>
                <w:w w:val="99"/>
                <w:sz w:val="14"/>
              </w:rPr>
              <w:t>-</w:t>
            </w:r>
          </w:p>
        </w:tc>
        <w:tc>
          <w:tcPr>
            <w:tcW w:w="667" w:type="dxa"/>
            <w:tcBorders>
              <w:top w:val="single" w:sz="12" w:space="0" w:color="000000"/>
              <w:bottom w:val="single" w:sz="4" w:space="0" w:color="000000"/>
            </w:tcBorders>
          </w:tcPr>
          <w:p>
            <w:pPr>
              <w:pStyle w:val="TableParagraph"/>
              <w:spacing w:before="27"/>
              <w:ind w:right="194"/>
              <w:rPr>
                <w:sz w:val="14"/>
              </w:rPr>
            </w:pPr>
            <w:r>
              <w:rPr>
                <w:w w:val="99"/>
                <w:sz w:val="14"/>
              </w:rPr>
              <w:t>-</w:t>
            </w:r>
          </w:p>
        </w:tc>
        <w:tc>
          <w:tcPr>
            <w:tcW w:w="465" w:type="dxa"/>
            <w:tcBorders>
              <w:top w:val="single" w:sz="12" w:space="0" w:color="000000"/>
              <w:bottom w:val="single" w:sz="4" w:space="0" w:color="000000"/>
            </w:tcBorders>
          </w:tcPr>
          <w:p>
            <w:pPr>
              <w:pStyle w:val="TableParagraph"/>
              <w:spacing w:before="27"/>
              <w:ind w:right="63"/>
              <w:rPr>
                <w:sz w:val="14"/>
              </w:rPr>
            </w:pPr>
            <w:r>
              <w:rPr>
                <w:w w:val="99"/>
                <w:sz w:val="14"/>
              </w:rPr>
              <w:t>-</w:t>
            </w:r>
          </w:p>
        </w:tc>
        <w:tc>
          <w:tcPr>
            <w:tcW w:w="794" w:type="dxa"/>
            <w:tcBorders>
              <w:top w:val="single" w:sz="12" w:space="0" w:color="000000"/>
              <w:bottom w:val="single" w:sz="4" w:space="0" w:color="000000"/>
            </w:tcBorders>
          </w:tcPr>
          <w:p>
            <w:pPr>
              <w:pStyle w:val="TableParagraph"/>
              <w:spacing w:before="27"/>
              <w:ind w:right="122"/>
              <w:rPr>
                <w:i/>
                <w:sz w:val="14"/>
              </w:rPr>
            </w:pPr>
            <w:r>
              <w:rPr>
                <w:i/>
                <w:w w:val="99"/>
                <w:sz w:val="14"/>
              </w:rPr>
              <w:t>-</w:t>
            </w:r>
          </w:p>
        </w:tc>
        <w:tc>
          <w:tcPr>
            <w:tcW w:w="568" w:type="dxa"/>
            <w:tcBorders>
              <w:top w:val="single" w:sz="12" w:space="0" w:color="000000"/>
              <w:bottom w:val="single" w:sz="4" w:space="0" w:color="000000"/>
            </w:tcBorders>
          </w:tcPr>
          <w:p>
            <w:pPr>
              <w:pStyle w:val="TableParagraph"/>
              <w:spacing w:before="27"/>
              <w:ind w:right="95"/>
              <w:rPr>
                <w:sz w:val="14"/>
              </w:rPr>
            </w:pPr>
            <w:r>
              <w:rPr>
                <w:w w:val="99"/>
                <w:sz w:val="14"/>
              </w:rPr>
              <w:t>-</w:t>
            </w:r>
          </w:p>
        </w:tc>
        <w:tc>
          <w:tcPr>
            <w:tcW w:w="579" w:type="dxa"/>
            <w:tcBorders>
              <w:top w:val="single" w:sz="12" w:space="0" w:color="000000"/>
              <w:bottom w:val="single" w:sz="4" w:space="0" w:color="000000"/>
            </w:tcBorders>
          </w:tcPr>
          <w:p>
            <w:pPr>
              <w:pStyle w:val="TableParagraph"/>
              <w:spacing w:before="27"/>
              <w:ind w:right="83"/>
              <w:rPr>
                <w:sz w:val="14"/>
              </w:rPr>
            </w:pPr>
            <w:r>
              <w:rPr>
                <w:w w:val="99"/>
                <w:sz w:val="14"/>
              </w:rPr>
              <w:t>-</w:t>
            </w:r>
          </w:p>
        </w:tc>
        <w:tc>
          <w:tcPr>
            <w:tcW w:w="559" w:type="dxa"/>
            <w:tcBorders>
              <w:top w:val="single" w:sz="12" w:space="0" w:color="000000"/>
              <w:bottom w:val="single" w:sz="4" w:space="0" w:color="000000"/>
            </w:tcBorders>
          </w:tcPr>
          <w:p>
            <w:pPr>
              <w:pStyle w:val="TableParagraph"/>
              <w:spacing w:before="27"/>
              <w:ind w:right="52"/>
              <w:rPr>
                <w:sz w:val="14"/>
              </w:rPr>
            </w:pPr>
            <w:r>
              <w:rPr>
                <w:w w:val="99"/>
                <w:sz w:val="14"/>
              </w:rPr>
              <w:t>-</w:t>
            </w:r>
          </w:p>
        </w:tc>
        <w:tc>
          <w:tcPr>
            <w:tcW w:w="820" w:type="dxa"/>
            <w:tcBorders>
              <w:top w:val="single" w:sz="12" w:space="0" w:color="000000"/>
              <w:bottom w:val="single" w:sz="4" w:space="0" w:color="000000"/>
            </w:tcBorders>
          </w:tcPr>
          <w:p>
            <w:pPr>
              <w:pStyle w:val="TableParagraph"/>
              <w:spacing w:before="27"/>
              <w:ind w:right="132"/>
              <w:rPr>
                <w:i/>
                <w:sz w:val="14"/>
              </w:rPr>
            </w:pPr>
            <w:r>
              <w:rPr>
                <w:i/>
                <w:w w:val="99"/>
                <w:sz w:val="14"/>
              </w:rPr>
              <w:t>-</w:t>
            </w:r>
          </w:p>
        </w:tc>
        <w:tc>
          <w:tcPr>
            <w:tcW w:w="516" w:type="dxa"/>
            <w:tcBorders>
              <w:top w:val="single" w:sz="12" w:space="0" w:color="000000"/>
              <w:bottom w:val="single" w:sz="4" w:space="0" w:color="000000"/>
            </w:tcBorders>
          </w:tcPr>
          <w:p>
            <w:pPr>
              <w:pStyle w:val="TableParagraph"/>
              <w:spacing w:before="27"/>
              <w:ind w:right="48"/>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3"/>
              <w:ind w:left="67"/>
              <w:jc w:val="left"/>
              <w:rPr>
                <w:sz w:val="14"/>
              </w:rPr>
            </w:pPr>
            <w:r>
              <w:rPr>
                <w:spacing w:val="-5"/>
                <w:sz w:val="14"/>
              </w:rPr>
              <w:t>New</w:t>
            </w:r>
          </w:p>
        </w:tc>
        <w:tc>
          <w:tcPr>
            <w:tcW w:w="678" w:type="dxa"/>
            <w:tcBorders>
              <w:top w:val="single" w:sz="4" w:space="0" w:color="000000"/>
              <w:bottom w:val="single" w:sz="4" w:space="0" w:color="000000"/>
            </w:tcBorders>
          </w:tcPr>
          <w:p>
            <w:pPr>
              <w:pStyle w:val="TableParagraph"/>
              <w:spacing w:before="23"/>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3"/>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3"/>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3"/>
              <w:ind w:right="191"/>
              <w:rPr>
                <w:sz w:val="14"/>
              </w:rPr>
            </w:pPr>
            <w:r>
              <w:rPr>
                <w:w w:val="99"/>
                <w:sz w:val="14"/>
              </w:rPr>
              <w:t>-</w:t>
            </w:r>
          </w:p>
        </w:tc>
        <w:tc>
          <w:tcPr>
            <w:tcW w:w="581" w:type="dxa"/>
            <w:tcBorders>
              <w:top w:val="single" w:sz="4" w:space="0" w:color="000000"/>
              <w:bottom w:val="single" w:sz="4" w:space="0" w:color="000000"/>
            </w:tcBorders>
          </w:tcPr>
          <w:p>
            <w:pPr>
              <w:pStyle w:val="TableParagraph"/>
              <w:spacing w:before="23"/>
              <w:ind w:left="148"/>
              <w:jc w:val="center"/>
              <w:rPr>
                <w:sz w:val="14"/>
              </w:rPr>
            </w:pPr>
            <w:r>
              <w:rPr>
                <w:w w:val="99"/>
                <w:sz w:val="14"/>
              </w:rPr>
              <w:t>-</w:t>
            </w:r>
          </w:p>
        </w:tc>
        <w:tc>
          <w:tcPr>
            <w:tcW w:w="590" w:type="dxa"/>
            <w:tcBorders>
              <w:top w:val="single" w:sz="4" w:space="0" w:color="000000"/>
              <w:bottom w:val="single" w:sz="4" w:space="0" w:color="000000"/>
            </w:tcBorders>
          </w:tcPr>
          <w:p>
            <w:pPr>
              <w:pStyle w:val="TableParagraph"/>
              <w:spacing w:before="23"/>
              <w:ind w:right="195"/>
              <w:rPr>
                <w:sz w:val="14"/>
              </w:rPr>
            </w:pPr>
            <w:r>
              <w:rPr>
                <w:w w:val="99"/>
                <w:sz w:val="14"/>
              </w:rPr>
              <w:t>-</w:t>
            </w:r>
          </w:p>
        </w:tc>
        <w:tc>
          <w:tcPr>
            <w:tcW w:w="667" w:type="dxa"/>
            <w:tcBorders>
              <w:top w:val="single" w:sz="4" w:space="0" w:color="000000"/>
              <w:bottom w:val="single" w:sz="4" w:space="0" w:color="000000"/>
            </w:tcBorders>
          </w:tcPr>
          <w:p>
            <w:pPr>
              <w:pStyle w:val="TableParagraph"/>
              <w:spacing w:before="23"/>
              <w:ind w:right="266"/>
              <w:rPr>
                <w:sz w:val="14"/>
              </w:rPr>
            </w:pPr>
            <w:r>
              <w:rPr>
                <w:w w:val="99"/>
                <w:sz w:val="14"/>
              </w:rPr>
              <w:t>-</w:t>
            </w:r>
          </w:p>
        </w:tc>
        <w:tc>
          <w:tcPr>
            <w:tcW w:w="667" w:type="dxa"/>
            <w:tcBorders>
              <w:top w:val="single" w:sz="4" w:space="0" w:color="000000"/>
              <w:bottom w:val="single" w:sz="4" w:space="0" w:color="000000"/>
            </w:tcBorders>
          </w:tcPr>
          <w:p>
            <w:pPr>
              <w:pStyle w:val="TableParagraph"/>
              <w:spacing w:before="23"/>
              <w:ind w:right="194"/>
              <w:rPr>
                <w:sz w:val="14"/>
              </w:rPr>
            </w:pPr>
            <w:r>
              <w:rPr>
                <w:w w:val="99"/>
                <w:sz w:val="14"/>
              </w:rPr>
              <w:t>-</w:t>
            </w:r>
          </w:p>
        </w:tc>
        <w:tc>
          <w:tcPr>
            <w:tcW w:w="465" w:type="dxa"/>
            <w:tcBorders>
              <w:top w:val="single" w:sz="4" w:space="0" w:color="000000"/>
              <w:bottom w:val="single" w:sz="4" w:space="0" w:color="000000"/>
            </w:tcBorders>
          </w:tcPr>
          <w:p>
            <w:pPr>
              <w:pStyle w:val="TableParagraph"/>
              <w:spacing w:before="23"/>
              <w:ind w:right="63"/>
              <w:rPr>
                <w:sz w:val="14"/>
              </w:rPr>
            </w:pPr>
            <w:r>
              <w:rPr>
                <w:w w:val="99"/>
                <w:sz w:val="14"/>
              </w:rPr>
              <w:t>-</w:t>
            </w:r>
          </w:p>
        </w:tc>
        <w:tc>
          <w:tcPr>
            <w:tcW w:w="794" w:type="dxa"/>
            <w:tcBorders>
              <w:top w:val="single" w:sz="4" w:space="0" w:color="000000"/>
              <w:bottom w:val="single" w:sz="4" w:space="0" w:color="000000"/>
            </w:tcBorders>
          </w:tcPr>
          <w:p>
            <w:pPr>
              <w:pStyle w:val="TableParagraph"/>
              <w:spacing w:before="23"/>
              <w:ind w:right="122"/>
              <w:rPr>
                <w:i/>
                <w:sz w:val="14"/>
              </w:rPr>
            </w:pPr>
            <w:r>
              <w:rPr>
                <w:i/>
                <w:w w:val="99"/>
                <w:sz w:val="14"/>
              </w:rPr>
              <w:t>-</w:t>
            </w:r>
          </w:p>
        </w:tc>
        <w:tc>
          <w:tcPr>
            <w:tcW w:w="568" w:type="dxa"/>
            <w:tcBorders>
              <w:top w:val="single" w:sz="4" w:space="0" w:color="000000"/>
              <w:bottom w:val="single" w:sz="4" w:space="0" w:color="000000"/>
            </w:tcBorders>
          </w:tcPr>
          <w:p>
            <w:pPr>
              <w:pStyle w:val="TableParagraph"/>
              <w:spacing w:before="23"/>
              <w:ind w:right="95"/>
              <w:rPr>
                <w:sz w:val="14"/>
              </w:rPr>
            </w:pPr>
            <w:r>
              <w:rPr>
                <w:w w:val="99"/>
                <w:sz w:val="14"/>
              </w:rPr>
              <w:t>-</w:t>
            </w:r>
          </w:p>
        </w:tc>
        <w:tc>
          <w:tcPr>
            <w:tcW w:w="579" w:type="dxa"/>
            <w:tcBorders>
              <w:top w:val="single" w:sz="4" w:space="0" w:color="000000"/>
              <w:bottom w:val="single" w:sz="4" w:space="0" w:color="000000"/>
            </w:tcBorders>
          </w:tcPr>
          <w:p>
            <w:pPr>
              <w:pStyle w:val="TableParagraph"/>
              <w:spacing w:before="23"/>
              <w:ind w:right="83"/>
              <w:rPr>
                <w:sz w:val="14"/>
              </w:rPr>
            </w:pPr>
            <w:r>
              <w:rPr>
                <w:w w:val="99"/>
                <w:sz w:val="14"/>
              </w:rPr>
              <w:t>-</w:t>
            </w:r>
          </w:p>
        </w:tc>
        <w:tc>
          <w:tcPr>
            <w:tcW w:w="559" w:type="dxa"/>
            <w:tcBorders>
              <w:top w:val="single" w:sz="4" w:space="0" w:color="000000"/>
              <w:bottom w:val="single" w:sz="4" w:space="0" w:color="000000"/>
            </w:tcBorders>
          </w:tcPr>
          <w:p>
            <w:pPr>
              <w:pStyle w:val="TableParagraph"/>
              <w:spacing w:before="23"/>
              <w:ind w:right="52"/>
              <w:rPr>
                <w:sz w:val="14"/>
              </w:rPr>
            </w:pPr>
            <w:r>
              <w:rPr>
                <w:w w:val="99"/>
                <w:sz w:val="14"/>
              </w:rPr>
              <w:t>-</w:t>
            </w:r>
          </w:p>
        </w:tc>
        <w:tc>
          <w:tcPr>
            <w:tcW w:w="820" w:type="dxa"/>
            <w:tcBorders>
              <w:top w:val="single" w:sz="4" w:space="0" w:color="000000"/>
              <w:bottom w:val="single" w:sz="4" w:space="0" w:color="000000"/>
            </w:tcBorders>
          </w:tcPr>
          <w:p>
            <w:pPr>
              <w:pStyle w:val="TableParagraph"/>
              <w:spacing w:before="23"/>
              <w:ind w:right="132"/>
              <w:rPr>
                <w:i/>
                <w:sz w:val="14"/>
              </w:rPr>
            </w:pPr>
            <w:r>
              <w:rPr>
                <w:i/>
                <w:w w:val="99"/>
                <w:sz w:val="14"/>
              </w:rPr>
              <w:t>-</w:t>
            </w:r>
          </w:p>
        </w:tc>
        <w:tc>
          <w:tcPr>
            <w:tcW w:w="516" w:type="dxa"/>
            <w:tcBorders>
              <w:top w:val="single" w:sz="4" w:space="0" w:color="000000"/>
              <w:bottom w:val="single" w:sz="4" w:space="0" w:color="000000"/>
            </w:tcBorders>
          </w:tcPr>
          <w:p>
            <w:pPr>
              <w:pStyle w:val="TableParagraph"/>
              <w:spacing w:before="23"/>
              <w:ind w:right="48"/>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8"/>
              <w:ind w:left="67"/>
              <w:jc w:val="left"/>
              <w:rPr>
                <w:sz w:val="14"/>
              </w:rPr>
            </w:pPr>
            <w:r>
              <w:rPr>
                <w:spacing w:val="-2"/>
                <w:sz w:val="14"/>
              </w:rPr>
              <w:t>Redeployed</w:t>
            </w:r>
          </w:p>
        </w:tc>
        <w:tc>
          <w:tcPr>
            <w:tcW w:w="678" w:type="dxa"/>
            <w:tcBorders>
              <w:top w:val="single" w:sz="4" w:space="0" w:color="000000"/>
              <w:bottom w:val="single" w:sz="4" w:space="0" w:color="000000"/>
            </w:tcBorders>
          </w:tcPr>
          <w:p>
            <w:pPr>
              <w:pStyle w:val="TableParagraph"/>
              <w:spacing w:before="28"/>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8"/>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8"/>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8"/>
              <w:ind w:right="191"/>
              <w:rPr>
                <w:sz w:val="14"/>
              </w:rPr>
            </w:pPr>
            <w:r>
              <w:rPr>
                <w:w w:val="99"/>
                <w:sz w:val="14"/>
              </w:rPr>
              <w:t>-</w:t>
            </w:r>
          </w:p>
        </w:tc>
        <w:tc>
          <w:tcPr>
            <w:tcW w:w="581" w:type="dxa"/>
            <w:tcBorders>
              <w:top w:val="single" w:sz="4" w:space="0" w:color="000000"/>
              <w:bottom w:val="single" w:sz="4" w:space="0" w:color="000000"/>
            </w:tcBorders>
          </w:tcPr>
          <w:p>
            <w:pPr>
              <w:pStyle w:val="TableParagraph"/>
              <w:spacing w:before="28"/>
              <w:ind w:left="148"/>
              <w:jc w:val="center"/>
              <w:rPr>
                <w:sz w:val="14"/>
              </w:rPr>
            </w:pPr>
            <w:r>
              <w:rPr>
                <w:w w:val="99"/>
                <w:sz w:val="14"/>
              </w:rPr>
              <w:t>-</w:t>
            </w:r>
          </w:p>
        </w:tc>
        <w:tc>
          <w:tcPr>
            <w:tcW w:w="590" w:type="dxa"/>
            <w:tcBorders>
              <w:top w:val="single" w:sz="4" w:space="0" w:color="000000"/>
              <w:bottom w:val="single" w:sz="4" w:space="0" w:color="000000"/>
            </w:tcBorders>
          </w:tcPr>
          <w:p>
            <w:pPr>
              <w:pStyle w:val="TableParagraph"/>
              <w:spacing w:before="28"/>
              <w:ind w:right="195"/>
              <w:rPr>
                <w:sz w:val="14"/>
              </w:rPr>
            </w:pPr>
            <w:r>
              <w:rPr>
                <w:w w:val="99"/>
                <w:sz w:val="14"/>
              </w:rPr>
              <w:t>-</w:t>
            </w:r>
          </w:p>
        </w:tc>
        <w:tc>
          <w:tcPr>
            <w:tcW w:w="667" w:type="dxa"/>
            <w:tcBorders>
              <w:top w:val="single" w:sz="4" w:space="0" w:color="000000"/>
              <w:bottom w:val="single" w:sz="4" w:space="0" w:color="000000"/>
            </w:tcBorders>
          </w:tcPr>
          <w:p>
            <w:pPr>
              <w:pStyle w:val="TableParagraph"/>
              <w:spacing w:before="28"/>
              <w:ind w:right="266"/>
              <w:rPr>
                <w:sz w:val="14"/>
              </w:rPr>
            </w:pPr>
            <w:r>
              <w:rPr>
                <w:w w:val="99"/>
                <w:sz w:val="14"/>
              </w:rPr>
              <w:t>-</w:t>
            </w:r>
          </w:p>
        </w:tc>
        <w:tc>
          <w:tcPr>
            <w:tcW w:w="667" w:type="dxa"/>
            <w:tcBorders>
              <w:top w:val="single" w:sz="4" w:space="0" w:color="000000"/>
              <w:bottom w:val="single" w:sz="4" w:space="0" w:color="000000"/>
            </w:tcBorders>
          </w:tcPr>
          <w:p>
            <w:pPr>
              <w:pStyle w:val="TableParagraph"/>
              <w:spacing w:before="28"/>
              <w:ind w:right="194"/>
              <w:rPr>
                <w:sz w:val="14"/>
              </w:rPr>
            </w:pPr>
            <w:r>
              <w:rPr>
                <w:w w:val="99"/>
                <w:sz w:val="14"/>
              </w:rPr>
              <w:t>-</w:t>
            </w:r>
          </w:p>
        </w:tc>
        <w:tc>
          <w:tcPr>
            <w:tcW w:w="465" w:type="dxa"/>
            <w:tcBorders>
              <w:top w:val="single" w:sz="4" w:space="0" w:color="000000"/>
              <w:bottom w:val="single" w:sz="4" w:space="0" w:color="000000"/>
            </w:tcBorders>
          </w:tcPr>
          <w:p>
            <w:pPr>
              <w:pStyle w:val="TableParagraph"/>
              <w:spacing w:before="28"/>
              <w:ind w:right="63"/>
              <w:rPr>
                <w:sz w:val="14"/>
              </w:rPr>
            </w:pPr>
            <w:r>
              <w:rPr>
                <w:w w:val="99"/>
                <w:sz w:val="14"/>
              </w:rPr>
              <w:t>-</w:t>
            </w:r>
          </w:p>
        </w:tc>
        <w:tc>
          <w:tcPr>
            <w:tcW w:w="794" w:type="dxa"/>
            <w:tcBorders>
              <w:top w:val="single" w:sz="4" w:space="0" w:color="000000"/>
              <w:bottom w:val="single" w:sz="4" w:space="0" w:color="000000"/>
            </w:tcBorders>
          </w:tcPr>
          <w:p>
            <w:pPr>
              <w:pStyle w:val="TableParagraph"/>
              <w:spacing w:before="28"/>
              <w:ind w:right="122"/>
              <w:rPr>
                <w:i/>
                <w:sz w:val="14"/>
              </w:rPr>
            </w:pPr>
            <w:r>
              <w:rPr>
                <w:i/>
                <w:w w:val="99"/>
                <w:sz w:val="14"/>
              </w:rPr>
              <w:t>-</w:t>
            </w:r>
          </w:p>
        </w:tc>
        <w:tc>
          <w:tcPr>
            <w:tcW w:w="568" w:type="dxa"/>
            <w:tcBorders>
              <w:top w:val="single" w:sz="4" w:space="0" w:color="000000"/>
              <w:bottom w:val="single" w:sz="4" w:space="0" w:color="000000"/>
            </w:tcBorders>
          </w:tcPr>
          <w:p>
            <w:pPr>
              <w:pStyle w:val="TableParagraph"/>
              <w:spacing w:before="28"/>
              <w:ind w:right="95"/>
              <w:rPr>
                <w:sz w:val="14"/>
              </w:rPr>
            </w:pPr>
            <w:r>
              <w:rPr>
                <w:w w:val="99"/>
                <w:sz w:val="14"/>
              </w:rPr>
              <w:t>-</w:t>
            </w:r>
          </w:p>
        </w:tc>
        <w:tc>
          <w:tcPr>
            <w:tcW w:w="579" w:type="dxa"/>
            <w:tcBorders>
              <w:top w:val="single" w:sz="4" w:space="0" w:color="000000"/>
              <w:bottom w:val="single" w:sz="4" w:space="0" w:color="000000"/>
            </w:tcBorders>
          </w:tcPr>
          <w:p>
            <w:pPr>
              <w:pStyle w:val="TableParagraph"/>
              <w:spacing w:before="28"/>
              <w:ind w:right="83"/>
              <w:rPr>
                <w:sz w:val="14"/>
              </w:rPr>
            </w:pPr>
            <w:r>
              <w:rPr>
                <w:w w:val="99"/>
                <w:sz w:val="14"/>
              </w:rPr>
              <w:t>-</w:t>
            </w:r>
          </w:p>
        </w:tc>
        <w:tc>
          <w:tcPr>
            <w:tcW w:w="559" w:type="dxa"/>
            <w:tcBorders>
              <w:top w:val="single" w:sz="4" w:space="0" w:color="000000"/>
              <w:bottom w:val="single" w:sz="4" w:space="0" w:color="000000"/>
            </w:tcBorders>
          </w:tcPr>
          <w:p>
            <w:pPr>
              <w:pStyle w:val="TableParagraph"/>
              <w:spacing w:before="28"/>
              <w:ind w:right="52"/>
              <w:rPr>
                <w:sz w:val="14"/>
              </w:rPr>
            </w:pPr>
            <w:r>
              <w:rPr>
                <w:w w:val="99"/>
                <w:sz w:val="14"/>
              </w:rPr>
              <w:t>-</w:t>
            </w:r>
          </w:p>
        </w:tc>
        <w:tc>
          <w:tcPr>
            <w:tcW w:w="820" w:type="dxa"/>
            <w:tcBorders>
              <w:top w:val="single" w:sz="4" w:space="0" w:color="000000"/>
              <w:bottom w:val="single" w:sz="4" w:space="0" w:color="000000"/>
            </w:tcBorders>
          </w:tcPr>
          <w:p>
            <w:pPr>
              <w:pStyle w:val="TableParagraph"/>
              <w:spacing w:before="28"/>
              <w:ind w:right="132"/>
              <w:rPr>
                <w:i/>
                <w:sz w:val="14"/>
              </w:rPr>
            </w:pPr>
            <w:r>
              <w:rPr>
                <w:i/>
                <w:w w:val="99"/>
                <w:sz w:val="14"/>
              </w:rPr>
              <w:t>-</w:t>
            </w:r>
          </w:p>
        </w:tc>
        <w:tc>
          <w:tcPr>
            <w:tcW w:w="516" w:type="dxa"/>
            <w:tcBorders>
              <w:top w:val="single" w:sz="4" w:space="0" w:color="000000"/>
              <w:bottom w:val="single" w:sz="4" w:space="0" w:color="000000"/>
            </w:tcBorders>
          </w:tcPr>
          <w:p>
            <w:pPr>
              <w:pStyle w:val="TableParagraph"/>
              <w:spacing w:before="28"/>
              <w:ind w:right="48"/>
              <w:rPr>
                <w:b/>
                <w:sz w:val="14"/>
              </w:rPr>
            </w:pPr>
            <w:r>
              <w:rPr>
                <w:b/>
                <w:w w:val="99"/>
                <w:sz w:val="14"/>
              </w:rPr>
              <w:t>-</w:t>
            </w:r>
          </w:p>
        </w:tc>
      </w:tr>
      <w:tr>
        <w:trPr>
          <w:trHeight w:val="230" w:hRule="atLeast"/>
        </w:trPr>
        <w:tc>
          <w:tcPr>
            <w:tcW w:w="1186" w:type="dxa"/>
            <w:tcBorders>
              <w:top w:val="single" w:sz="4" w:space="0" w:color="000000"/>
              <w:bottom w:val="single" w:sz="4" w:space="0" w:color="000000"/>
            </w:tcBorders>
          </w:tcPr>
          <w:p>
            <w:pPr>
              <w:pStyle w:val="TableParagraph"/>
              <w:spacing w:before="28"/>
              <w:ind w:left="67"/>
              <w:jc w:val="left"/>
              <w:rPr>
                <w:sz w:val="14"/>
              </w:rPr>
            </w:pPr>
            <w:r>
              <w:rPr>
                <w:spacing w:val="-2"/>
                <w:sz w:val="14"/>
              </w:rPr>
              <w:t>Reclassified</w:t>
            </w:r>
          </w:p>
        </w:tc>
        <w:tc>
          <w:tcPr>
            <w:tcW w:w="678" w:type="dxa"/>
            <w:tcBorders>
              <w:top w:val="single" w:sz="4" w:space="0" w:color="000000"/>
              <w:bottom w:val="single" w:sz="4" w:space="0" w:color="000000"/>
            </w:tcBorders>
          </w:tcPr>
          <w:p>
            <w:pPr>
              <w:pStyle w:val="TableParagraph"/>
              <w:spacing w:before="28"/>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8"/>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8"/>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8"/>
              <w:ind w:right="191"/>
              <w:rPr>
                <w:sz w:val="14"/>
              </w:rPr>
            </w:pPr>
            <w:r>
              <w:rPr>
                <w:w w:val="99"/>
                <w:sz w:val="14"/>
              </w:rPr>
              <w:t>-</w:t>
            </w:r>
          </w:p>
        </w:tc>
        <w:tc>
          <w:tcPr>
            <w:tcW w:w="581" w:type="dxa"/>
            <w:tcBorders>
              <w:top w:val="single" w:sz="4" w:space="0" w:color="000000"/>
              <w:bottom w:val="single" w:sz="4" w:space="0" w:color="000000"/>
            </w:tcBorders>
          </w:tcPr>
          <w:p>
            <w:pPr>
              <w:pStyle w:val="TableParagraph"/>
              <w:spacing w:before="28"/>
              <w:ind w:left="148"/>
              <w:jc w:val="center"/>
              <w:rPr>
                <w:sz w:val="14"/>
              </w:rPr>
            </w:pPr>
            <w:r>
              <w:rPr>
                <w:w w:val="99"/>
                <w:sz w:val="14"/>
              </w:rPr>
              <w:t>-</w:t>
            </w:r>
          </w:p>
        </w:tc>
        <w:tc>
          <w:tcPr>
            <w:tcW w:w="590" w:type="dxa"/>
            <w:tcBorders>
              <w:top w:val="single" w:sz="4" w:space="0" w:color="000000"/>
              <w:bottom w:val="single" w:sz="4" w:space="0" w:color="000000"/>
            </w:tcBorders>
          </w:tcPr>
          <w:p>
            <w:pPr>
              <w:pStyle w:val="TableParagraph"/>
              <w:spacing w:before="28"/>
              <w:ind w:right="195"/>
              <w:rPr>
                <w:sz w:val="14"/>
              </w:rPr>
            </w:pPr>
            <w:r>
              <w:rPr>
                <w:w w:val="99"/>
                <w:sz w:val="14"/>
              </w:rPr>
              <w:t>-</w:t>
            </w:r>
          </w:p>
        </w:tc>
        <w:tc>
          <w:tcPr>
            <w:tcW w:w="667" w:type="dxa"/>
            <w:tcBorders>
              <w:top w:val="single" w:sz="4" w:space="0" w:color="000000"/>
              <w:bottom w:val="single" w:sz="4" w:space="0" w:color="000000"/>
            </w:tcBorders>
          </w:tcPr>
          <w:p>
            <w:pPr>
              <w:pStyle w:val="TableParagraph"/>
              <w:spacing w:before="28"/>
              <w:ind w:right="266"/>
              <w:rPr>
                <w:sz w:val="14"/>
              </w:rPr>
            </w:pPr>
            <w:r>
              <w:rPr>
                <w:w w:val="99"/>
                <w:sz w:val="14"/>
              </w:rPr>
              <w:t>-</w:t>
            </w:r>
          </w:p>
        </w:tc>
        <w:tc>
          <w:tcPr>
            <w:tcW w:w="667" w:type="dxa"/>
            <w:tcBorders>
              <w:top w:val="single" w:sz="4" w:space="0" w:color="000000"/>
              <w:bottom w:val="single" w:sz="4" w:space="0" w:color="000000"/>
            </w:tcBorders>
          </w:tcPr>
          <w:p>
            <w:pPr>
              <w:pStyle w:val="TableParagraph"/>
              <w:spacing w:before="28"/>
              <w:ind w:right="194"/>
              <w:rPr>
                <w:sz w:val="14"/>
              </w:rPr>
            </w:pPr>
            <w:r>
              <w:rPr>
                <w:w w:val="99"/>
                <w:sz w:val="14"/>
              </w:rPr>
              <w:t>-</w:t>
            </w:r>
          </w:p>
        </w:tc>
        <w:tc>
          <w:tcPr>
            <w:tcW w:w="465" w:type="dxa"/>
            <w:tcBorders>
              <w:top w:val="single" w:sz="4" w:space="0" w:color="000000"/>
              <w:bottom w:val="single" w:sz="4" w:space="0" w:color="000000"/>
            </w:tcBorders>
          </w:tcPr>
          <w:p>
            <w:pPr>
              <w:pStyle w:val="TableParagraph"/>
              <w:spacing w:before="28"/>
              <w:ind w:right="63"/>
              <w:rPr>
                <w:sz w:val="14"/>
              </w:rPr>
            </w:pPr>
            <w:r>
              <w:rPr>
                <w:w w:val="99"/>
                <w:sz w:val="14"/>
              </w:rPr>
              <w:t>-</w:t>
            </w:r>
          </w:p>
        </w:tc>
        <w:tc>
          <w:tcPr>
            <w:tcW w:w="794" w:type="dxa"/>
            <w:tcBorders>
              <w:top w:val="single" w:sz="4" w:space="0" w:color="000000"/>
              <w:bottom w:val="single" w:sz="4" w:space="0" w:color="000000"/>
            </w:tcBorders>
          </w:tcPr>
          <w:p>
            <w:pPr>
              <w:pStyle w:val="TableParagraph"/>
              <w:spacing w:before="28"/>
              <w:ind w:right="122"/>
              <w:rPr>
                <w:i/>
                <w:sz w:val="14"/>
              </w:rPr>
            </w:pPr>
            <w:r>
              <w:rPr>
                <w:i/>
                <w:w w:val="99"/>
                <w:sz w:val="14"/>
              </w:rPr>
              <w:t>-</w:t>
            </w:r>
          </w:p>
        </w:tc>
        <w:tc>
          <w:tcPr>
            <w:tcW w:w="568" w:type="dxa"/>
            <w:tcBorders>
              <w:top w:val="single" w:sz="4" w:space="0" w:color="000000"/>
              <w:bottom w:val="single" w:sz="4" w:space="0" w:color="000000"/>
            </w:tcBorders>
          </w:tcPr>
          <w:p>
            <w:pPr>
              <w:pStyle w:val="TableParagraph"/>
              <w:spacing w:before="28"/>
              <w:ind w:right="95"/>
              <w:rPr>
                <w:sz w:val="14"/>
              </w:rPr>
            </w:pPr>
            <w:r>
              <w:rPr>
                <w:w w:val="99"/>
                <w:sz w:val="14"/>
              </w:rPr>
              <w:t>-</w:t>
            </w:r>
          </w:p>
        </w:tc>
        <w:tc>
          <w:tcPr>
            <w:tcW w:w="579" w:type="dxa"/>
            <w:tcBorders>
              <w:top w:val="single" w:sz="4" w:space="0" w:color="000000"/>
              <w:bottom w:val="single" w:sz="4" w:space="0" w:color="000000"/>
            </w:tcBorders>
          </w:tcPr>
          <w:p>
            <w:pPr>
              <w:pStyle w:val="TableParagraph"/>
              <w:spacing w:before="28"/>
              <w:ind w:right="83"/>
              <w:rPr>
                <w:sz w:val="14"/>
              </w:rPr>
            </w:pPr>
            <w:r>
              <w:rPr>
                <w:w w:val="99"/>
                <w:sz w:val="14"/>
              </w:rPr>
              <w:t>-</w:t>
            </w:r>
          </w:p>
        </w:tc>
        <w:tc>
          <w:tcPr>
            <w:tcW w:w="559" w:type="dxa"/>
            <w:tcBorders>
              <w:top w:val="single" w:sz="4" w:space="0" w:color="000000"/>
              <w:bottom w:val="single" w:sz="4" w:space="0" w:color="000000"/>
            </w:tcBorders>
          </w:tcPr>
          <w:p>
            <w:pPr>
              <w:pStyle w:val="TableParagraph"/>
              <w:spacing w:before="28"/>
              <w:ind w:right="52"/>
              <w:rPr>
                <w:sz w:val="14"/>
              </w:rPr>
            </w:pPr>
            <w:r>
              <w:rPr>
                <w:w w:val="99"/>
                <w:sz w:val="14"/>
              </w:rPr>
              <w:t>-</w:t>
            </w:r>
          </w:p>
        </w:tc>
        <w:tc>
          <w:tcPr>
            <w:tcW w:w="820" w:type="dxa"/>
            <w:tcBorders>
              <w:top w:val="single" w:sz="4" w:space="0" w:color="000000"/>
              <w:bottom w:val="single" w:sz="4" w:space="0" w:color="000000"/>
            </w:tcBorders>
          </w:tcPr>
          <w:p>
            <w:pPr>
              <w:pStyle w:val="TableParagraph"/>
              <w:spacing w:before="28"/>
              <w:ind w:right="132"/>
              <w:rPr>
                <w:i/>
                <w:sz w:val="14"/>
              </w:rPr>
            </w:pPr>
            <w:r>
              <w:rPr>
                <w:i/>
                <w:w w:val="99"/>
                <w:sz w:val="14"/>
              </w:rPr>
              <w:t>-</w:t>
            </w:r>
          </w:p>
        </w:tc>
        <w:tc>
          <w:tcPr>
            <w:tcW w:w="516" w:type="dxa"/>
            <w:tcBorders>
              <w:top w:val="single" w:sz="4" w:space="0" w:color="000000"/>
              <w:bottom w:val="single" w:sz="4" w:space="0" w:color="000000"/>
            </w:tcBorders>
          </w:tcPr>
          <w:p>
            <w:pPr>
              <w:pStyle w:val="TableParagraph"/>
              <w:spacing w:before="28"/>
              <w:ind w:right="48"/>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3"/>
              <w:ind w:left="67"/>
              <w:jc w:val="left"/>
              <w:rPr>
                <w:sz w:val="14"/>
              </w:rPr>
            </w:pPr>
            <w:r>
              <w:rPr>
                <w:spacing w:val="-2"/>
                <w:sz w:val="14"/>
              </w:rPr>
              <w:t>Converted</w:t>
            </w:r>
          </w:p>
        </w:tc>
        <w:tc>
          <w:tcPr>
            <w:tcW w:w="678" w:type="dxa"/>
            <w:tcBorders>
              <w:top w:val="single" w:sz="4" w:space="0" w:color="000000"/>
              <w:bottom w:val="single" w:sz="4" w:space="0" w:color="000000"/>
            </w:tcBorders>
          </w:tcPr>
          <w:p>
            <w:pPr>
              <w:pStyle w:val="TableParagraph"/>
              <w:spacing w:before="23"/>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3"/>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3"/>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3"/>
              <w:ind w:right="191"/>
              <w:rPr>
                <w:sz w:val="14"/>
              </w:rPr>
            </w:pPr>
            <w:r>
              <w:rPr>
                <w:w w:val="99"/>
                <w:sz w:val="14"/>
              </w:rPr>
              <w:t>-</w:t>
            </w:r>
          </w:p>
        </w:tc>
        <w:tc>
          <w:tcPr>
            <w:tcW w:w="581" w:type="dxa"/>
            <w:tcBorders>
              <w:top w:val="single" w:sz="4" w:space="0" w:color="000000"/>
              <w:bottom w:val="single" w:sz="4" w:space="0" w:color="000000"/>
            </w:tcBorders>
          </w:tcPr>
          <w:p>
            <w:pPr>
              <w:pStyle w:val="TableParagraph"/>
              <w:spacing w:before="23"/>
              <w:ind w:left="148"/>
              <w:jc w:val="center"/>
              <w:rPr>
                <w:sz w:val="14"/>
              </w:rPr>
            </w:pPr>
            <w:r>
              <w:rPr>
                <w:w w:val="99"/>
                <w:sz w:val="14"/>
              </w:rPr>
              <w:t>-</w:t>
            </w:r>
          </w:p>
        </w:tc>
        <w:tc>
          <w:tcPr>
            <w:tcW w:w="590" w:type="dxa"/>
            <w:tcBorders>
              <w:top w:val="single" w:sz="4" w:space="0" w:color="000000"/>
              <w:bottom w:val="single" w:sz="4" w:space="0" w:color="000000"/>
            </w:tcBorders>
          </w:tcPr>
          <w:p>
            <w:pPr>
              <w:pStyle w:val="TableParagraph"/>
              <w:spacing w:before="23"/>
              <w:ind w:right="195"/>
              <w:rPr>
                <w:sz w:val="14"/>
              </w:rPr>
            </w:pPr>
            <w:r>
              <w:rPr>
                <w:w w:val="99"/>
                <w:sz w:val="14"/>
              </w:rPr>
              <w:t>-</w:t>
            </w:r>
          </w:p>
        </w:tc>
        <w:tc>
          <w:tcPr>
            <w:tcW w:w="667" w:type="dxa"/>
            <w:tcBorders>
              <w:top w:val="single" w:sz="4" w:space="0" w:color="000000"/>
              <w:bottom w:val="single" w:sz="4" w:space="0" w:color="000000"/>
            </w:tcBorders>
          </w:tcPr>
          <w:p>
            <w:pPr>
              <w:pStyle w:val="TableParagraph"/>
              <w:spacing w:before="23"/>
              <w:ind w:right="266"/>
              <w:rPr>
                <w:sz w:val="14"/>
              </w:rPr>
            </w:pPr>
            <w:r>
              <w:rPr>
                <w:w w:val="99"/>
                <w:sz w:val="14"/>
              </w:rPr>
              <w:t>-</w:t>
            </w:r>
          </w:p>
        </w:tc>
        <w:tc>
          <w:tcPr>
            <w:tcW w:w="667" w:type="dxa"/>
            <w:tcBorders>
              <w:top w:val="single" w:sz="4" w:space="0" w:color="000000"/>
              <w:bottom w:val="single" w:sz="4" w:space="0" w:color="000000"/>
            </w:tcBorders>
          </w:tcPr>
          <w:p>
            <w:pPr>
              <w:pStyle w:val="TableParagraph"/>
              <w:spacing w:before="23"/>
              <w:ind w:right="194"/>
              <w:rPr>
                <w:sz w:val="14"/>
              </w:rPr>
            </w:pPr>
            <w:r>
              <w:rPr>
                <w:w w:val="99"/>
                <w:sz w:val="14"/>
              </w:rPr>
              <w:t>-</w:t>
            </w:r>
          </w:p>
        </w:tc>
        <w:tc>
          <w:tcPr>
            <w:tcW w:w="465" w:type="dxa"/>
            <w:tcBorders>
              <w:top w:val="single" w:sz="4" w:space="0" w:color="000000"/>
              <w:bottom w:val="single" w:sz="4" w:space="0" w:color="000000"/>
            </w:tcBorders>
          </w:tcPr>
          <w:p>
            <w:pPr>
              <w:pStyle w:val="TableParagraph"/>
              <w:spacing w:before="23"/>
              <w:ind w:right="63"/>
              <w:rPr>
                <w:sz w:val="14"/>
              </w:rPr>
            </w:pPr>
            <w:r>
              <w:rPr>
                <w:w w:val="99"/>
                <w:sz w:val="14"/>
              </w:rPr>
              <w:t>-</w:t>
            </w:r>
          </w:p>
        </w:tc>
        <w:tc>
          <w:tcPr>
            <w:tcW w:w="794" w:type="dxa"/>
            <w:tcBorders>
              <w:top w:val="single" w:sz="4" w:space="0" w:color="000000"/>
              <w:bottom w:val="single" w:sz="4" w:space="0" w:color="000000"/>
            </w:tcBorders>
          </w:tcPr>
          <w:p>
            <w:pPr>
              <w:pStyle w:val="TableParagraph"/>
              <w:spacing w:before="23"/>
              <w:ind w:right="122"/>
              <w:rPr>
                <w:i/>
                <w:sz w:val="14"/>
              </w:rPr>
            </w:pPr>
            <w:r>
              <w:rPr>
                <w:i/>
                <w:w w:val="99"/>
                <w:sz w:val="14"/>
              </w:rPr>
              <w:t>-</w:t>
            </w:r>
          </w:p>
        </w:tc>
        <w:tc>
          <w:tcPr>
            <w:tcW w:w="568" w:type="dxa"/>
            <w:tcBorders>
              <w:top w:val="single" w:sz="4" w:space="0" w:color="000000"/>
              <w:bottom w:val="single" w:sz="4" w:space="0" w:color="000000"/>
            </w:tcBorders>
          </w:tcPr>
          <w:p>
            <w:pPr>
              <w:pStyle w:val="TableParagraph"/>
              <w:spacing w:before="23"/>
              <w:ind w:right="95"/>
              <w:rPr>
                <w:sz w:val="14"/>
              </w:rPr>
            </w:pPr>
            <w:r>
              <w:rPr>
                <w:w w:val="99"/>
                <w:sz w:val="14"/>
              </w:rPr>
              <w:t>-</w:t>
            </w:r>
          </w:p>
        </w:tc>
        <w:tc>
          <w:tcPr>
            <w:tcW w:w="579" w:type="dxa"/>
            <w:tcBorders>
              <w:top w:val="single" w:sz="4" w:space="0" w:color="000000"/>
              <w:bottom w:val="single" w:sz="4" w:space="0" w:color="000000"/>
            </w:tcBorders>
          </w:tcPr>
          <w:p>
            <w:pPr>
              <w:pStyle w:val="TableParagraph"/>
              <w:spacing w:before="23"/>
              <w:ind w:right="83"/>
              <w:rPr>
                <w:sz w:val="14"/>
              </w:rPr>
            </w:pPr>
            <w:r>
              <w:rPr>
                <w:w w:val="99"/>
                <w:sz w:val="14"/>
              </w:rPr>
              <w:t>-</w:t>
            </w:r>
          </w:p>
        </w:tc>
        <w:tc>
          <w:tcPr>
            <w:tcW w:w="559" w:type="dxa"/>
            <w:tcBorders>
              <w:top w:val="single" w:sz="4" w:space="0" w:color="000000"/>
              <w:bottom w:val="single" w:sz="4" w:space="0" w:color="000000"/>
            </w:tcBorders>
          </w:tcPr>
          <w:p>
            <w:pPr>
              <w:pStyle w:val="TableParagraph"/>
              <w:spacing w:before="23"/>
              <w:ind w:right="52"/>
              <w:rPr>
                <w:sz w:val="14"/>
              </w:rPr>
            </w:pPr>
            <w:r>
              <w:rPr>
                <w:w w:val="99"/>
                <w:sz w:val="14"/>
              </w:rPr>
              <w:t>-</w:t>
            </w:r>
          </w:p>
        </w:tc>
        <w:tc>
          <w:tcPr>
            <w:tcW w:w="820" w:type="dxa"/>
            <w:tcBorders>
              <w:top w:val="single" w:sz="4" w:space="0" w:color="000000"/>
              <w:bottom w:val="single" w:sz="4" w:space="0" w:color="000000"/>
            </w:tcBorders>
          </w:tcPr>
          <w:p>
            <w:pPr>
              <w:pStyle w:val="TableParagraph"/>
              <w:spacing w:before="23"/>
              <w:ind w:right="132"/>
              <w:rPr>
                <w:i/>
                <w:sz w:val="14"/>
              </w:rPr>
            </w:pPr>
            <w:r>
              <w:rPr>
                <w:i/>
                <w:w w:val="99"/>
                <w:sz w:val="14"/>
              </w:rPr>
              <w:t>-</w:t>
            </w:r>
          </w:p>
        </w:tc>
        <w:tc>
          <w:tcPr>
            <w:tcW w:w="516" w:type="dxa"/>
            <w:tcBorders>
              <w:top w:val="single" w:sz="4" w:space="0" w:color="000000"/>
              <w:bottom w:val="single" w:sz="4" w:space="0" w:color="000000"/>
            </w:tcBorders>
          </w:tcPr>
          <w:p>
            <w:pPr>
              <w:pStyle w:val="TableParagraph"/>
              <w:spacing w:before="23"/>
              <w:ind w:right="48"/>
              <w:rPr>
                <w:b/>
                <w:sz w:val="14"/>
              </w:rPr>
            </w:pPr>
            <w:r>
              <w:rPr>
                <w:b/>
                <w:w w:val="99"/>
                <w:sz w:val="14"/>
              </w:rPr>
              <w:t>-</w:t>
            </w:r>
          </w:p>
        </w:tc>
      </w:tr>
      <w:tr>
        <w:trPr>
          <w:trHeight w:val="229" w:hRule="atLeast"/>
        </w:trPr>
        <w:tc>
          <w:tcPr>
            <w:tcW w:w="1186" w:type="dxa"/>
            <w:tcBorders>
              <w:top w:val="single" w:sz="4" w:space="0" w:color="000000"/>
              <w:bottom w:val="single" w:sz="12" w:space="0" w:color="000000"/>
            </w:tcBorders>
          </w:tcPr>
          <w:p>
            <w:pPr>
              <w:pStyle w:val="TableParagraph"/>
              <w:spacing w:before="28"/>
              <w:ind w:left="67"/>
              <w:jc w:val="left"/>
              <w:rPr>
                <w:b/>
                <w:sz w:val="14"/>
              </w:rPr>
            </w:pPr>
            <w:r>
              <w:rPr>
                <w:b/>
                <w:sz w:val="14"/>
              </w:rPr>
              <w:t>Proposed</w:t>
            </w:r>
            <w:r>
              <w:rPr>
                <w:b/>
                <w:spacing w:val="-6"/>
                <w:sz w:val="14"/>
              </w:rPr>
              <w:t> </w:t>
            </w:r>
            <w:r>
              <w:rPr>
                <w:b/>
                <w:spacing w:val="-4"/>
                <w:sz w:val="14"/>
              </w:rPr>
              <w:t>2023</w:t>
            </w:r>
          </w:p>
        </w:tc>
        <w:tc>
          <w:tcPr>
            <w:tcW w:w="678" w:type="dxa"/>
            <w:tcBorders>
              <w:top w:val="single" w:sz="4" w:space="0" w:color="000000"/>
              <w:bottom w:val="single" w:sz="12" w:space="0" w:color="000000"/>
            </w:tcBorders>
          </w:tcPr>
          <w:p>
            <w:pPr>
              <w:pStyle w:val="TableParagraph"/>
              <w:spacing w:before="28"/>
              <w:ind w:right="154"/>
              <w:rPr>
                <w:b/>
                <w:sz w:val="14"/>
              </w:rPr>
            </w:pPr>
            <w:r>
              <w:rPr>
                <w:b/>
                <w:w w:val="99"/>
                <w:sz w:val="14"/>
              </w:rPr>
              <w:t>-</w:t>
            </w:r>
          </w:p>
        </w:tc>
        <w:tc>
          <w:tcPr>
            <w:tcW w:w="607" w:type="dxa"/>
            <w:tcBorders>
              <w:top w:val="single" w:sz="4" w:space="0" w:color="000000"/>
              <w:bottom w:val="single" w:sz="12" w:space="0" w:color="000000"/>
            </w:tcBorders>
          </w:tcPr>
          <w:p>
            <w:pPr>
              <w:pStyle w:val="TableParagraph"/>
              <w:spacing w:before="28"/>
              <w:ind w:right="170"/>
              <w:rPr>
                <w:b/>
                <w:sz w:val="14"/>
              </w:rPr>
            </w:pPr>
            <w:r>
              <w:rPr>
                <w:b/>
                <w:w w:val="99"/>
                <w:sz w:val="14"/>
              </w:rPr>
              <w:t>-</w:t>
            </w:r>
          </w:p>
        </w:tc>
        <w:tc>
          <w:tcPr>
            <w:tcW w:w="563" w:type="dxa"/>
            <w:tcBorders>
              <w:top w:val="single" w:sz="4" w:space="0" w:color="000000"/>
              <w:bottom w:val="single" w:sz="12" w:space="0" w:color="000000"/>
            </w:tcBorders>
          </w:tcPr>
          <w:p>
            <w:pPr>
              <w:pStyle w:val="TableParagraph"/>
              <w:spacing w:before="28"/>
              <w:ind w:right="171"/>
              <w:rPr>
                <w:b/>
                <w:sz w:val="14"/>
              </w:rPr>
            </w:pPr>
            <w:r>
              <w:rPr>
                <w:b/>
                <w:w w:val="99"/>
                <w:sz w:val="14"/>
              </w:rPr>
              <w:t>-</w:t>
            </w:r>
          </w:p>
        </w:tc>
        <w:tc>
          <w:tcPr>
            <w:tcW w:w="581" w:type="dxa"/>
            <w:tcBorders>
              <w:top w:val="single" w:sz="4" w:space="0" w:color="000000"/>
              <w:bottom w:val="single" w:sz="12" w:space="0" w:color="000000"/>
            </w:tcBorders>
          </w:tcPr>
          <w:p>
            <w:pPr>
              <w:pStyle w:val="TableParagraph"/>
              <w:spacing w:before="28"/>
              <w:ind w:right="191"/>
              <w:rPr>
                <w:b/>
                <w:sz w:val="14"/>
              </w:rPr>
            </w:pPr>
            <w:r>
              <w:rPr>
                <w:b/>
                <w:w w:val="99"/>
                <w:sz w:val="14"/>
              </w:rPr>
              <w:t>-</w:t>
            </w:r>
          </w:p>
        </w:tc>
        <w:tc>
          <w:tcPr>
            <w:tcW w:w="581" w:type="dxa"/>
            <w:tcBorders>
              <w:top w:val="single" w:sz="4" w:space="0" w:color="000000"/>
              <w:bottom w:val="single" w:sz="12" w:space="0" w:color="000000"/>
            </w:tcBorders>
          </w:tcPr>
          <w:p>
            <w:pPr>
              <w:pStyle w:val="TableParagraph"/>
              <w:spacing w:before="28"/>
              <w:ind w:left="148"/>
              <w:jc w:val="center"/>
              <w:rPr>
                <w:b/>
                <w:sz w:val="14"/>
              </w:rPr>
            </w:pPr>
            <w:r>
              <w:rPr>
                <w:b/>
                <w:w w:val="99"/>
                <w:sz w:val="14"/>
              </w:rPr>
              <w:t>-</w:t>
            </w:r>
          </w:p>
        </w:tc>
        <w:tc>
          <w:tcPr>
            <w:tcW w:w="590" w:type="dxa"/>
            <w:tcBorders>
              <w:top w:val="single" w:sz="4" w:space="0" w:color="000000"/>
              <w:bottom w:val="single" w:sz="12" w:space="0" w:color="000000"/>
            </w:tcBorders>
          </w:tcPr>
          <w:p>
            <w:pPr>
              <w:pStyle w:val="TableParagraph"/>
              <w:spacing w:before="28"/>
              <w:ind w:right="195"/>
              <w:rPr>
                <w:b/>
                <w:sz w:val="14"/>
              </w:rPr>
            </w:pPr>
            <w:r>
              <w:rPr>
                <w:b/>
                <w:w w:val="99"/>
                <w:sz w:val="14"/>
              </w:rPr>
              <w:t>-</w:t>
            </w:r>
          </w:p>
        </w:tc>
        <w:tc>
          <w:tcPr>
            <w:tcW w:w="667" w:type="dxa"/>
            <w:tcBorders>
              <w:top w:val="single" w:sz="4" w:space="0" w:color="000000"/>
              <w:bottom w:val="single" w:sz="12" w:space="0" w:color="000000"/>
            </w:tcBorders>
          </w:tcPr>
          <w:p>
            <w:pPr>
              <w:pStyle w:val="TableParagraph"/>
              <w:spacing w:before="28"/>
              <w:ind w:right="266"/>
              <w:rPr>
                <w:b/>
                <w:sz w:val="14"/>
              </w:rPr>
            </w:pPr>
            <w:r>
              <w:rPr>
                <w:b/>
                <w:w w:val="99"/>
                <w:sz w:val="14"/>
              </w:rPr>
              <w:t>-</w:t>
            </w:r>
          </w:p>
        </w:tc>
        <w:tc>
          <w:tcPr>
            <w:tcW w:w="667" w:type="dxa"/>
            <w:tcBorders>
              <w:top w:val="single" w:sz="4" w:space="0" w:color="000000"/>
              <w:bottom w:val="single" w:sz="12" w:space="0" w:color="000000"/>
            </w:tcBorders>
          </w:tcPr>
          <w:p>
            <w:pPr>
              <w:pStyle w:val="TableParagraph"/>
              <w:spacing w:before="28"/>
              <w:ind w:right="194"/>
              <w:rPr>
                <w:b/>
                <w:sz w:val="14"/>
              </w:rPr>
            </w:pPr>
            <w:r>
              <w:rPr>
                <w:b/>
                <w:w w:val="99"/>
                <w:sz w:val="14"/>
              </w:rPr>
              <w:t>-</w:t>
            </w:r>
          </w:p>
        </w:tc>
        <w:tc>
          <w:tcPr>
            <w:tcW w:w="465" w:type="dxa"/>
            <w:tcBorders>
              <w:top w:val="single" w:sz="4" w:space="0" w:color="000000"/>
              <w:bottom w:val="single" w:sz="12" w:space="0" w:color="000000"/>
            </w:tcBorders>
          </w:tcPr>
          <w:p>
            <w:pPr>
              <w:pStyle w:val="TableParagraph"/>
              <w:spacing w:before="28"/>
              <w:ind w:right="63"/>
              <w:rPr>
                <w:b/>
                <w:sz w:val="14"/>
              </w:rPr>
            </w:pPr>
            <w:r>
              <w:rPr>
                <w:b/>
                <w:w w:val="99"/>
                <w:sz w:val="14"/>
              </w:rPr>
              <w:t>-</w:t>
            </w:r>
          </w:p>
        </w:tc>
        <w:tc>
          <w:tcPr>
            <w:tcW w:w="794" w:type="dxa"/>
            <w:tcBorders>
              <w:top w:val="single" w:sz="4" w:space="0" w:color="000000"/>
              <w:bottom w:val="single" w:sz="12" w:space="0" w:color="000000"/>
            </w:tcBorders>
          </w:tcPr>
          <w:p>
            <w:pPr>
              <w:pStyle w:val="TableParagraph"/>
              <w:spacing w:before="28"/>
              <w:ind w:right="122"/>
              <w:rPr>
                <w:b/>
                <w:i/>
                <w:sz w:val="14"/>
              </w:rPr>
            </w:pPr>
            <w:r>
              <w:rPr>
                <w:b/>
                <w:i/>
                <w:w w:val="99"/>
                <w:sz w:val="14"/>
              </w:rPr>
              <w:t>-</w:t>
            </w:r>
          </w:p>
        </w:tc>
        <w:tc>
          <w:tcPr>
            <w:tcW w:w="568" w:type="dxa"/>
            <w:tcBorders>
              <w:top w:val="single" w:sz="4" w:space="0" w:color="000000"/>
              <w:bottom w:val="single" w:sz="12" w:space="0" w:color="000000"/>
            </w:tcBorders>
          </w:tcPr>
          <w:p>
            <w:pPr>
              <w:pStyle w:val="TableParagraph"/>
              <w:spacing w:before="28"/>
              <w:ind w:right="95"/>
              <w:rPr>
                <w:b/>
                <w:sz w:val="14"/>
              </w:rPr>
            </w:pPr>
            <w:r>
              <w:rPr>
                <w:b/>
                <w:w w:val="99"/>
                <w:sz w:val="14"/>
              </w:rPr>
              <w:t>-</w:t>
            </w:r>
          </w:p>
        </w:tc>
        <w:tc>
          <w:tcPr>
            <w:tcW w:w="579" w:type="dxa"/>
            <w:tcBorders>
              <w:top w:val="single" w:sz="4" w:space="0" w:color="000000"/>
              <w:bottom w:val="single" w:sz="12" w:space="0" w:color="000000"/>
            </w:tcBorders>
          </w:tcPr>
          <w:p>
            <w:pPr>
              <w:pStyle w:val="TableParagraph"/>
              <w:spacing w:before="28"/>
              <w:ind w:right="83"/>
              <w:rPr>
                <w:b/>
                <w:sz w:val="14"/>
              </w:rPr>
            </w:pPr>
            <w:r>
              <w:rPr>
                <w:b/>
                <w:w w:val="99"/>
                <w:sz w:val="14"/>
              </w:rPr>
              <w:t>-</w:t>
            </w:r>
          </w:p>
        </w:tc>
        <w:tc>
          <w:tcPr>
            <w:tcW w:w="559" w:type="dxa"/>
            <w:tcBorders>
              <w:top w:val="single" w:sz="4" w:space="0" w:color="000000"/>
              <w:bottom w:val="single" w:sz="12" w:space="0" w:color="000000"/>
            </w:tcBorders>
          </w:tcPr>
          <w:p>
            <w:pPr>
              <w:pStyle w:val="TableParagraph"/>
              <w:spacing w:before="28"/>
              <w:ind w:right="52"/>
              <w:rPr>
                <w:b/>
                <w:sz w:val="14"/>
              </w:rPr>
            </w:pPr>
            <w:r>
              <w:rPr>
                <w:b/>
                <w:w w:val="99"/>
                <w:sz w:val="14"/>
              </w:rPr>
              <w:t>-</w:t>
            </w:r>
          </w:p>
        </w:tc>
        <w:tc>
          <w:tcPr>
            <w:tcW w:w="820" w:type="dxa"/>
            <w:tcBorders>
              <w:top w:val="single" w:sz="4" w:space="0" w:color="000000"/>
              <w:bottom w:val="single" w:sz="12" w:space="0" w:color="000000"/>
            </w:tcBorders>
          </w:tcPr>
          <w:p>
            <w:pPr>
              <w:pStyle w:val="TableParagraph"/>
              <w:spacing w:before="28"/>
              <w:ind w:right="132"/>
              <w:rPr>
                <w:b/>
                <w:i/>
                <w:sz w:val="14"/>
              </w:rPr>
            </w:pPr>
            <w:r>
              <w:rPr>
                <w:b/>
                <w:i/>
                <w:w w:val="99"/>
                <w:sz w:val="14"/>
              </w:rPr>
              <w:t>-</w:t>
            </w:r>
          </w:p>
        </w:tc>
        <w:tc>
          <w:tcPr>
            <w:tcW w:w="516" w:type="dxa"/>
            <w:tcBorders>
              <w:top w:val="single" w:sz="4" w:space="0" w:color="000000"/>
              <w:bottom w:val="single" w:sz="12" w:space="0" w:color="000000"/>
            </w:tcBorders>
          </w:tcPr>
          <w:p>
            <w:pPr>
              <w:pStyle w:val="TableParagraph"/>
              <w:spacing w:before="28"/>
              <w:ind w:right="48"/>
              <w:rPr>
                <w:b/>
                <w:sz w:val="14"/>
              </w:rPr>
            </w:pPr>
            <w:r>
              <w:rPr>
                <w:b/>
                <w:w w:val="99"/>
                <w:sz w:val="14"/>
              </w:rPr>
              <w:t>-</w:t>
            </w:r>
          </w:p>
        </w:tc>
      </w:tr>
    </w:tbl>
    <w:p>
      <w:pPr>
        <w:spacing w:after="0"/>
        <w:rPr>
          <w:sz w:val="14"/>
        </w:rPr>
        <w:sectPr>
          <w:headerReference w:type="even" r:id="rId111"/>
          <w:headerReference w:type="default" r:id="rId112"/>
          <w:footerReference w:type="even" r:id="rId113"/>
          <w:footerReference w:type="default" r:id="rId114"/>
          <w:pgSz w:w="11910" w:h="16840"/>
          <w:pgMar w:header="957" w:footer="940" w:top="1140" w:bottom="1140" w:left="20" w:right="20"/>
          <w:pgNumType w:start="160"/>
        </w:sectPr>
      </w:pPr>
    </w:p>
    <w:p>
      <w:pPr>
        <w:spacing w:before="120"/>
        <w:ind w:left="2246" w:right="0" w:firstLine="0"/>
        <w:jc w:val="left"/>
        <w:rPr>
          <w:b/>
          <w:sz w:val="20"/>
        </w:rPr>
      </w:pPr>
      <w:r>
        <w:rPr>
          <w:b/>
          <w:sz w:val="20"/>
        </w:rPr>
        <w:t>Table</w:t>
      </w:r>
      <w:r>
        <w:rPr>
          <w:b/>
          <w:spacing w:val="-6"/>
          <w:sz w:val="20"/>
        </w:rPr>
        <w:t> </w:t>
      </w:r>
      <w:r>
        <w:rPr>
          <w:b/>
          <w:sz w:val="20"/>
        </w:rPr>
        <w:t>38:</w:t>
      </w:r>
      <w:r>
        <w:rPr>
          <w:b/>
          <w:spacing w:val="-7"/>
          <w:sz w:val="20"/>
        </w:rPr>
        <w:t> </w:t>
      </w:r>
      <w:r>
        <w:rPr>
          <w:b/>
          <w:sz w:val="20"/>
        </w:rPr>
        <w:t>Programme</w:t>
      </w:r>
      <w:r>
        <w:rPr>
          <w:b/>
          <w:spacing w:val="-3"/>
          <w:sz w:val="20"/>
        </w:rPr>
        <w:t> </w:t>
      </w:r>
      <w:r>
        <w:rPr>
          <w:b/>
          <w:sz w:val="20"/>
        </w:rPr>
        <w:t>4400:</w:t>
      </w:r>
      <w:r>
        <w:rPr>
          <w:b/>
          <w:spacing w:val="-7"/>
          <w:sz w:val="20"/>
        </w:rPr>
        <w:t> </w:t>
      </w:r>
      <w:r>
        <w:rPr>
          <w:b/>
          <w:sz w:val="20"/>
        </w:rPr>
        <w:t>Proposed</w:t>
      </w:r>
      <w:r>
        <w:rPr>
          <w:b/>
          <w:spacing w:val="-7"/>
          <w:sz w:val="20"/>
        </w:rPr>
        <w:t> </w:t>
      </w:r>
      <w:r>
        <w:rPr>
          <w:b/>
          <w:sz w:val="20"/>
        </w:rPr>
        <w:t>budget</w:t>
      </w:r>
      <w:r>
        <w:rPr>
          <w:b/>
          <w:spacing w:val="-6"/>
          <w:sz w:val="20"/>
        </w:rPr>
        <w:t> </w:t>
      </w:r>
      <w:r>
        <w:rPr>
          <w:b/>
          <w:sz w:val="20"/>
        </w:rPr>
        <w:t>for </w:t>
      </w:r>
      <w:r>
        <w:rPr>
          <w:b/>
          <w:spacing w:val="-4"/>
          <w:sz w:val="20"/>
        </w:rPr>
        <w:t>2023</w:t>
      </w:r>
    </w:p>
    <w:tbl>
      <w:tblPr>
        <w:tblW w:w="0" w:type="auto"/>
        <w:jc w:val="left"/>
        <w:tblInd w:w="1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61"/>
        <w:gridCol w:w="1218"/>
        <w:gridCol w:w="827"/>
        <w:gridCol w:w="1133"/>
        <w:gridCol w:w="1078"/>
        <w:gridCol w:w="1177"/>
        <w:gridCol w:w="698"/>
        <w:gridCol w:w="1053"/>
      </w:tblGrid>
      <w:tr>
        <w:trPr>
          <w:trHeight w:val="324" w:hRule="atLeast"/>
        </w:trPr>
        <w:tc>
          <w:tcPr>
            <w:tcW w:w="2461" w:type="dxa"/>
            <w:vMerge w:val="restart"/>
            <w:tcBorders>
              <w:top w:val="single" w:sz="4" w:space="0" w:color="000000"/>
              <w:bottom w:val="single" w:sz="12" w:space="0" w:color="000000"/>
            </w:tcBorders>
          </w:tcPr>
          <w:p>
            <w:pPr>
              <w:pStyle w:val="TableParagraph"/>
              <w:spacing w:line="183" w:lineRule="exact" w:before="153"/>
              <w:ind w:left="117"/>
              <w:jc w:val="left"/>
              <w:rPr>
                <w:b/>
                <w:sz w:val="16"/>
              </w:rPr>
            </w:pPr>
            <w:r>
              <w:rPr>
                <w:b/>
                <w:spacing w:val="-4"/>
                <w:sz w:val="16"/>
              </w:rPr>
              <w:t>4400</w:t>
            </w:r>
          </w:p>
          <w:p>
            <w:pPr>
              <w:pStyle w:val="TableParagraph"/>
              <w:spacing w:line="183" w:lineRule="exact"/>
              <w:ind w:left="117"/>
              <w:jc w:val="left"/>
              <w:rPr>
                <w:b/>
                <w:sz w:val="16"/>
              </w:rPr>
            </w:pPr>
            <w:r>
              <w:rPr>
                <w:b/>
                <w:sz w:val="16"/>
              </w:rPr>
              <w:t>Office</w:t>
            </w:r>
            <w:r>
              <w:rPr>
                <w:b/>
                <w:spacing w:val="-4"/>
                <w:sz w:val="16"/>
              </w:rPr>
              <w:t> </w:t>
            </w:r>
            <w:r>
              <w:rPr>
                <w:b/>
                <w:sz w:val="16"/>
              </w:rPr>
              <w:t>of</w:t>
            </w:r>
            <w:r>
              <w:rPr>
                <w:b/>
                <w:spacing w:val="-5"/>
                <w:sz w:val="16"/>
              </w:rPr>
              <w:t> </w:t>
            </w:r>
            <w:r>
              <w:rPr>
                <w:b/>
                <w:sz w:val="16"/>
              </w:rPr>
              <w:t>the</w:t>
            </w:r>
            <w:r>
              <w:rPr>
                <w:b/>
                <w:spacing w:val="1"/>
                <w:sz w:val="16"/>
              </w:rPr>
              <w:t> </w:t>
            </w:r>
            <w:r>
              <w:rPr>
                <w:b/>
                <w:spacing w:val="-2"/>
                <w:sz w:val="16"/>
              </w:rPr>
              <w:t>President</w:t>
            </w:r>
          </w:p>
          <w:p>
            <w:pPr>
              <w:pStyle w:val="TableParagraph"/>
              <w:spacing w:line="172" w:lineRule="exact" w:before="3"/>
              <w:ind w:left="117"/>
              <w:jc w:val="left"/>
              <w:rPr>
                <w:b/>
                <w:sz w:val="16"/>
              </w:rPr>
            </w:pPr>
            <w:r>
              <w:rPr>
                <w:b/>
                <w:sz w:val="16"/>
              </w:rPr>
              <w:t>of</w:t>
            </w:r>
            <w:r>
              <w:rPr>
                <w:b/>
                <w:spacing w:val="-6"/>
                <w:sz w:val="16"/>
              </w:rPr>
              <w:t> </w:t>
            </w:r>
            <w:r>
              <w:rPr>
                <w:b/>
                <w:sz w:val="16"/>
              </w:rPr>
              <w:t>the</w:t>
            </w:r>
            <w:r>
              <w:rPr>
                <w:b/>
                <w:spacing w:val="-3"/>
                <w:sz w:val="16"/>
              </w:rPr>
              <w:t> </w:t>
            </w:r>
            <w:r>
              <w:rPr>
                <w:b/>
                <w:spacing w:val="-2"/>
                <w:sz w:val="16"/>
              </w:rPr>
              <w:t>Assembly</w:t>
            </w:r>
          </w:p>
        </w:tc>
        <w:tc>
          <w:tcPr>
            <w:tcW w:w="3178" w:type="dxa"/>
            <w:gridSpan w:val="3"/>
            <w:tcBorders>
              <w:top w:val="single" w:sz="4" w:space="0" w:color="000000"/>
            </w:tcBorders>
          </w:tcPr>
          <w:p>
            <w:pPr>
              <w:pStyle w:val="TableParagraph"/>
              <w:tabs>
                <w:tab w:pos="311" w:val="left" w:leader="none"/>
                <w:tab w:pos="3178" w:val="left" w:leader="none"/>
              </w:tabs>
              <w:spacing w:line="180" w:lineRule="exact" w:before="124"/>
              <w:ind w:left="-1" w:right="-15"/>
              <w:jc w:val="left"/>
              <w:rPr>
                <w:sz w:val="16"/>
              </w:rPr>
            </w:pPr>
            <w:r>
              <w:rPr>
                <w:sz w:val="16"/>
                <w:u w:val="single"/>
              </w:rPr>
              <w:tab/>
              <w:t>2021</w:t>
            </w:r>
            <w:r>
              <w:rPr>
                <w:spacing w:val="-3"/>
                <w:sz w:val="16"/>
                <w:u w:val="single"/>
              </w:rPr>
              <w:t> </w:t>
            </w:r>
            <w:r>
              <w:rPr>
                <w:sz w:val="16"/>
                <w:u w:val="single"/>
              </w:rPr>
              <w:t>Expenditures</w:t>
            </w:r>
            <w:r>
              <w:rPr>
                <w:spacing w:val="-4"/>
                <w:sz w:val="16"/>
                <w:u w:val="single"/>
              </w:rPr>
              <w:t> </w:t>
            </w:r>
            <w:r>
              <w:rPr>
                <w:sz w:val="16"/>
                <w:u w:val="single"/>
              </w:rPr>
              <w:t>(thousands</w:t>
            </w:r>
            <w:r>
              <w:rPr>
                <w:spacing w:val="-4"/>
                <w:sz w:val="16"/>
                <w:u w:val="single"/>
              </w:rPr>
              <w:t> </w:t>
            </w:r>
            <w:r>
              <w:rPr>
                <w:sz w:val="16"/>
                <w:u w:val="single"/>
              </w:rPr>
              <w:t>of</w:t>
            </w:r>
            <w:r>
              <w:rPr>
                <w:spacing w:val="-4"/>
                <w:sz w:val="16"/>
                <w:u w:val="single"/>
              </w:rPr>
              <w:t> </w:t>
            </w:r>
            <w:r>
              <w:rPr>
                <w:spacing w:val="-2"/>
                <w:sz w:val="16"/>
                <w:u w:val="single"/>
              </w:rPr>
              <w:t>euros)</w:t>
            </w:r>
            <w:r>
              <w:rPr>
                <w:sz w:val="16"/>
                <w:u w:val="single"/>
              </w:rPr>
              <w:tab/>
            </w:r>
          </w:p>
        </w:tc>
        <w:tc>
          <w:tcPr>
            <w:tcW w:w="1078" w:type="dxa"/>
            <w:vMerge w:val="restart"/>
            <w:tcBorders>
              <w:top w:val="single" w:sz="4" w:space="0" w:color="000000"/>
              <w:bottom w:val="single" w:sz="12" w:space="0" w:color="000000"/>
            </w:tcBorders>
          </w:tcPr>
          <w:p>
            <w:pPr>
              <w:pStyle w:val="TableParagraph"/>
              <w:spacing w:line="183" w:lineRule="exact" w:before="153"/>
              <w:ind w:left="228" w:right="181"/>
              <w:jc w:val="center"/>
              <w:rPr>
                <w:sz w:val="16"/>
              </w:rPr>
            </w:pPr>
            <w:r>
              <w:rPr>
                <w:spacing w:val="-4"/>
                <w:sz w:val="16"/>
              </w:rPr>
              <w:t>2022</w:t>
            </w:r>
          </w:p>
          <w:p>
            <w:pPr>
              <w:pStyle w:val="TableParagraph"/>
              <w:spacing w:line="183" w:lineRule="exact"/>
              <w:ind w:left="227" w:right="184"/>
              <w:jc w:val="center"/>
              <w:rPr>
                <w:sz w:val="16"/>
              </w:rPr>
            </w:pPr>
            <w:r>
              <w:rPr>
                <w:spacing w:val="-2"/>
                <w:sz w:val="16"/>
              </w:rPr>
              <w:t>Approved</w:t>
            </w:r>
          </w:p>
          <w:p>
            <w:pPr>
              <w:pStyle w:val="TableParagraph"/>
              <w:spacing w:line="172" w:lineRule="exact" w:before="3"/>
              <w:ind w:left="228" w:right="176"/>
              <w:jc w:val="center"/>
              <w:rPr>
                <w:sz w:val="16"/>
              </w:rPr>
            </w:pPr>
            <w:r>
              <w:rPr>
                <w:spacing w:val="-2"/>
                <w:sz w:val="16"/>
              </w:rPr>
              <w:t>Budget</w:t>
            </w:r>
          </w:p>
        </w:tc>
        <w:tc>
          <w:tcPr>
            <w:tcW w:w="1875" w:type="dxa"/>
            <w:gridSpan w:val="2"/>
            <w:tcBorders>
              <w:top w:val="single" w:sz="4" w:space="0" w:color="000000"/>
            </w:tcBorders>
          </w:tcPr>
          <w:p>
            <w:pPr>
              <w:pStyle w:val="TableParagraph"/>
              <w:tabs>
                <w:tab w:pos="339" w:val="left" w:leader="none"/>
                <w:tab w:pos="1803" w:val="left" w:leader="none"/>
              </w:tabs>
              <w:spacing w:line="180" w:lineRule="exact" w:before="124"/>
              <w:ind w:left="56"/>
              <w:jc w:val="left"/>
              <w:rPr>
                <w:sz w:val="16"/>
              </w:rPr>
            </w:pPr>
            <w:r>
              <w:rPr>
                <w:sz w:val="16"/>
                <w:u w:val="single"/>
              </w:rPr>
              <w:tab/>
              <w:t>Resource</w:t>
            </w:r>
            <w:r>
              <w:rPr>
                <w:spacing w:val="-2"/>
                <w:sz w:val="16"/>
                <w:u w:val="single"/>
              </w:rPr>
              <w:t> Changes</w:t>
            </w:r>
            <w:r>
              <w:rPr>
                <w:sz w:val="16"/>
                <w:u w:val="single"/>
              </w:rPr>
              <w:tab/>
            </w:r>
          </w:p>
        </w:tc>
        <w:tc>
          <w:tcPr>
            <w:tcW w:w="1053" w:type="dxa"/>
            <w:tcBorders>
              <w:top w:val="single" w:sz="4" w:space="0" w:color="000000"/>
            </w:tcBorders>
          </w:tcPr>
          <w:p>
            <w:pPr>
              <w:pStyle w:val="TableParagraph"/>
              <w:jc w:val="left"/>
              <w:rPr>
                <w:sz w:val="14"/>
              </w:rPr>
            </w:pPr>
          </w:p>
        </w:tc>
      </w:tr>
      <w:tr>
        <w:trPr>
          <w:trHeight w:val="359" w:hRule="atLeast"/>
        </w:trPr>
        <w:tc>
          <w:tcPr>
            <w:tcW w:w="2461" w:type="dxa"/>
            <w:vMerge/>
            <w:tcBorders>
              <w:top w:val="nil"/>
              <w:bottom w:val="single" w:sz="12" w:space="0" w:color="000000"/>
            </w:tcBorders>
          </w:tcPr>
          <w:p>
            <w:pPr>
              <w:rPr>
                <w:sz w:val="2"/>
                <w:szCs w:val="2"/>
              </w:rPr>
            </w:pPr>
          </w:p>
        </w:tc>
        <w:tc>
          <w:tcPr>
            <w:tcW w:w="1218" w:type="dxa"/>
            <w:tcBorders>
              <w:bottom w:val="single" w:sz="12" w:space="0" w:color="000000"/>
            </w:tcBorders>
          </w:tcPr>
          <w:p>
            <w:pPr>
              <w:pStyle w:val="TableParagraph"/>
              <w:spacing w:before="7"/>
              <w:jc w:val="left"/>
              <w:rPr>
                <w:b/>
                <w:sz w:val="14"/>
              </w:rPr>
            </w:pPr>
          </w:p>
          <w:p>
            <w:pPr>
              <w:pStyle w:val="TableParagraph"/>
              <w:spacing w:line="172" w:lineRule="exact"/>
              <w:ind w:left="393"/>
              <w:jc w:val="left"/>
              <w:rPr>
                <w:sz w:val="16"/>
              </w:rPr>
            </w:pPr>
            <w:r>
              <w:rPr>
                <w:spacing w:val="-2"/>
                <w:sz w:val="16"/>
              </w:rPr>
              <w:t>Total</w:t>
            </w:r>
          </w:p>
        </w:tc>
        <w:tc>
          <w:tcPr>
            <w:tcW w:w="827" w:type="dxa"/>
            <w:tcBorders>
              <w:bottom w:val="single" w:sz="12" w:space="0" w:color="000000"/>
            </w:tcBorders>
          </w:tcPr>
          <w:p>
            <w:pPr>
              <w:pStyle w:val="TableParagraph"/>
              <w:spacing w:line="165" w:lineRule="exact"/>
              <w:ind w:left="193"/>
              <w:jc w:val="left"/>
              <w:rPr>
                <w:sz w:val="16"/>
              </w:rPr>
            </w:pPr>
            <w:r>
              <w:rPr>
                <w:spacing w:val="-2"/>
                <w:sz w:val="16"/>
              </w:rPr>
              <w:t>Cont.</w:t>
            </w:r>
          </w:p>
          <w:p>
            <w:pPr>
              <w:pStyle w:val="TableParagraph"/>
              <w:spacing w:line="172" w:lineRule="exact" w:before="3"/>
              <w:ind w:left="203"/>
              <w:jc w:val="left"/>
              <w:rPr>
                <w:sz w:val="16"/>
              </w:rPr>
            </w:pPr>
            <w:r>
              <w:rPr>
                <w:spacing w:val="-4"/>
                <w:sz w:val="16"/>
              </w:rPr>
              <w:t>Fund</w:t>
            </w:r>
          </w:p>
        </w:tc>
        <w:tc>
          <w:tcPr>
            <w:tcW w:w="1133" w:type="dxa"/>
            <w:tcBorders>
              <w:bottom w:val="single" w:sz="12" w:space="0" w:color="000000"/>
            </w:tcBorders>
          </w:tcPr>
          <w:p>
            <w:pPr>
              <w:pStyle w:val="TableParagraph"/>
              <w:spacing w:before="7"/>
              <w:jc w:val="left"/>
              <w:rPr>
                <w:b/>
                <w:sz w:val="14"/>
              </w:rPr>
            </w:pPr>
          </w:p>
          <w:p>
            <w:pPr>
              <w:pStyle w:val="TableParagraph"/>
              <w:spacing w:line="172" w:lineRule="exact"/>
              <w:ind w:right="121"/>
              <w:rPr>
                <w:sz w:val="16"/>
              </w:rPr>
            </w:pPr>
            <w:r>
              <w:rPr>
                <w:sz w:val="16"/>
              </w:rPr>
              <w:t>Total</w:t>
            </w:r>
            <w:r>
              <w:rPr>
                <w:spacing w:val="-7"/>
                <w:sz w:val="16"/>
              </w:rPr>
              <w:t> </w:t>
            </w:r>
            <w:r>
              <w:rPr>
                <w:sz w:val="16"/>
              </w:rPr>
              <w:t>Incl.</w:t>
            </w:r>
            <w:r>
              <w:rPr>
                <w:spacing w:val="-6"/>
                <w:sz w:val="16"/>
              </w:rPr>
              <w:t> </w:t>
            </w:r>
            <w:r>
              <w:rPr>
                <w:spacing w:val="-5"/>
                <w:sz w:val="16"/>
              </w:rPr>
              <w:t>CF</w:t>
            </w:r>
          </w:p>
        </w:tc>
        <w:tc>
          <w:tcPr>
            <w:tcW w:w="1078" w:type="dxa"/>
            <w:vMerge/>
            <w:tcBorders>
              <w:top w:val="nil"/>
              <w:bottom w:val="single" w:sz="12" w:space="0" w:color="000000"/>
            </w:tcBorders>
          </w:tcPr>
          <w:p>
            <w:pPr>
              <w:rPr>
                <w:sz w:val="2"/>
                <w:szCs w:val="2"/>
              </w:rPr>
            </w:pPr>
          </w:p>
        </w:tc>
        <w:tc>
          <w:tcPr>
            <w:tcW w:w="1177" w:type="dxa"/>
            <w:tcBorders>
              <w:bottom w:val="single" w:sz="12" w:space="0" w:color="000000"/>
            </w:tcBorders>
          </w:tcPr>
          <w:p>
            <w:pPr>
              <w:pStyle w:val="TableParagraph"/>
              <w:spacing w:before="7"/>
              <w:jc w:val="left"/>
              <w:rPr>
                <w:b/>
                <w:sz w:val="14"/>
              </w:rPr>
            </w:pPr>
          </w:p>
          <w:p>
            <w:pPr>
              <w:pStyle w:val="TableParagraph"/>
              <w:spacing w:line="172" w:lineRule="exact"/>
              <w:ind w:right="235"/>
              <w:rPr>
                <w:sz w:val="16"/>
              </w:rPr>
            </w:pPr>
            <w:r>
              <w:rPr>
                <w:spacing w:val="-2"/>
                <w:sz w:val="16"/>
              </w:rPr>
              <w:t>Amount</w:t>
            </w:r>
          </w:p>
        </w:tc>
        <w:tc>
          <w:tcPr>
            <w:tcW w:w="698" w:type="dxa"/>
            <w:tcBorders>
              <w:bottom w:val="single" w:sz="12" w:space="0" w:color="000000"/>
            </w:tcBorders>
          </w:tcPr>
          <w:p>
            <w:pPr>
              <w:pStyle w:val="TableParagraph"/>
              <w:spacing w:before="7"/>
              <w:jc w:val="left"/>
              <w:rPr>
                <w:b/>
                <w:sz w:val="14"/>
              </w:rPr>
            </w:pPr>
          </w:p>
          <w:p>
            <w:pPr>
              <w:pStyle w:val="TableParagraph"/>
              <w:spacing w:line="172" w:lineRule="exact"/>
              <w:ind w:left="207"/>
              <w:jc w:val="center"/>
              <w:rPr>
                <w:sz w:val="16"/>
              </w:rPr>
            </w:pPr>
            <w:r>
              <w:rPr>
                <w:w w:val="98"/>
                <w:sz w:val="16"/>
              </w:rPr>
              <w:t>%</w:t>
            </w:r>
          </w:p>
        </w:tc>
        <w:tc>
          <w:tcPr>
            <w:tcW w:w="1053" w:type="dxa"/>
            <w:tcBorders>
              <w:bottom w:val="single" w:sz="12" w:space="0" w:color="000000"/>
            </w:tcBorders>
          </w:tcPr>
          <w:p>
            <w:pPr>
              <w:pStyle w:val="TableParagraph"/>
              <w:spacing w:line="165" w:lineRule="exact"/>
              <w:ind w:left="56" w:right="134"/>
              <w:jc w:val="center"/>
              <w:rPr>
                <w:sz w:val="16"/>
              </w:rPr>
            </w:pPr>
            <w:r>
              <w:rPr>
                <w:spacing w:val="-2"/>
                <w:sz w:val="16"/>
              </w:rPr>
              <w:t>Proposed</w:t>
            </w:r>
          </w:p>
          <w:p>
            <w:pPr>
              <w:pStyle w:val="TableParagraph"/>
              <w:spacing w:line="172" w:lineRule="exact" w:before="3"/>
              <w:ind w:left="64" w:right="134"/>
              <w:jc w:val="center"/>
              <w:rPr>
                <w:sz w:val="16"/>
              </w:rPr>
            </w:pPr>
            <w:r>
              <w:rPr>
                <w:sz w:val="16"/>
              </w:rPr>
              <w:t>2023</w:t>
            </w:r>
            <w:r>
              <w:rPr>
                <w:spacing w:val="2"/>
                <w:sz w:val="16"/>
              </w:rPr>
              <w:t> </w:t>
            </w:r>
            <w:r>
              <w:rPr>
                <w:spacing w:val="-2"/>
                <w:sz w:val="16"/>
              </w:rPr>
              <w:t>Budget</w:t>
            </w:r>
          </w:p>
        </w:tc>
      </w:tr>
      <w:tr>
        <w:trPr>
          <w:trHeight w:val="231" w:hRule="atLeast"/>
        </w:trPr>
        <w:tc>
          <w:tcPr>
            <w:tcW w:w="2461" w:type="dxa"/>
            <w:tcBorders>
              <w:top w:val="single" w:sz="12" w:space="0" w:color="000000"/>
            </w:tcBorders>
          </w:tcPr>
          <w:p>
            <w:pPr>
              <w:pStyle w:val="TableParagraph"/>
              <w:spacing w:before="13"/>
              <w:ind w:left="117"/>
              <w:jc w:val="left"/>
              <w:rPr>
                <w:sz w:val="16"/>
              </w:rPr>
            </w:pPr>
            <w:r>
              <w:rPr>
                <w:w w:val="95"/>
                <w:sz w:val="16"/>
              </w:rPr>
              <w:t>Professional</w:t>
            </w:r>
            <w:r>
              <w:rPr>
                <w:spacing w:val="28"/>
                <w:sz w:val="16"/>
              </w:rPr>
              <w:t> </w:t>
            </w:r>
            <w:r>
              <w:rPr>
                <w:spacing w:val="-2"/>
                <w:sz w:val="16"/>
              </w:rPr>
              <w:t>staff</w:t>
            </w:r>
          </w:p>
        </w:tc>
        <w:tc>
          <w:tcPr>
            <w:tcW w:w="1218" w:type="dxa"/>
            <w:tcBorders>
              <w:top w:val="single" w:sz="12" w:space="0" w:color="000000"/>
            </w:tcBorders>
            <w:shd w:val="clear" w:color="auto" w:fill="D9D9D9"/>
          </w:tcPr>
          <w:p>
            <w:pPr>
              <w:pStyle w:val="TableParagraph"/>
              <w:jc w:val="left"/>
              <w:rPr>
                <w:sz w:val="14"/>
              </w:rPr>
            </w:pPr>
          </w:p>
        </w:tc>
        <w:tc>
          <w:tcPr>
            <w:tcW w:w="827" w:type="dxa"/>
            <w:tcBorders>
              <w:top w:val="single" w:sz="12" w:space="0" w:color="000000"/>
            </w:tcBorders>
            <w:shd w:val="clear" w:color="auto" w:fill="D9D9D9"/>
          </w:tcPr>
          <w:p>
            <w:pPr>
              <w:pStyle w:val="TableParagraph"/>
              <w:jc w:val="left"/>
              <w:rPr>
                <w:sz w:val="14"/>
              </w:rPr>
            </w:pPr>
          </w:p>
        </w:tc>
        <w:tc>
          <w:tcPr>
            <w:tcW w:w="1133" w:type="dxa"/>
            <w:tcBorders>
              <w:top w:val="single" w:sz="12" w:space="0" w:color="000000"/>
            </w:tcBorders>
            <w:shd w:val="clear" w:color="auto" w:fill="D9D9D9"/>
          </w:tcPr>
          <w:p>
            <w:pPr>
              <w:pStyle w:val="TableParagraph"/>
              <w:jc w:val="left"/>
              <w:rPr>
                <w:sz w:val="14"/>
              </w:rPr>
            </w:pPr>
          </w:p>
        </w:tc>
        <w:tc>
          <w:tcPr>
            <w:tcW w:w="1078" w:type="dxa"/>
            <w:tcBorders>
              <w:top w:val="single" w:sz="12" w:space="0" w:color="000000"/>
            </w:tcBorders>
          </w:tcPr>
          <w:p>
            <w:pPr>
              <w:pStyle w:val="TableParagraph"/>
              <w:spacing w:before="13"/>
              <w:ind w:right="52"/>
              <w:rPr>
                <w:sz w:val="16"/>
              </w:rPr>
            </w:pPr>
            <w:r>
              <w:rPr>
                <w:w w:val="98"/>
                <w:sz w:val="16"/>
              </w:rPr>
              <w:t>-</w:t>
            </w:r>
          </w:p>
        </w:tc>
        <w:tc>
          <w:tcPr>
            <w:tcW w:w="1177" w:type="dxa"/>
            <w:tcBorders>
              <w:top w:val="single" w:sz="12" w:space="0" w:color="000000"/>
            </w:tcBorders>
          </w:tcPr>
          <w:p>
            <w:pPr>
              <w:pStyle w:val="TableParagraph"/>
              <w:spacing w:before="13"/>
              <w:ind w:right="240"/>
              <w:rPr>
                <w:sz w:val="16"/>
              </w:rPr>
            </w:pPr>
            <w:r>
              <w:rPr>
                <w:w w:val="98"/>
                <w:sz w:val="16"/>
              </w:rPr>
              <w:t>-</w:t>
            </w:r>
          </w:p>
        </w:tc>
        <w:tc>
          <w:tcPr>
            <w:tcW w:w="698" w:type="dxa"/>
            <w:tcBorders>
              <w:top w:val="single" w:sz="12" w:space="0" w:color="000000"/>
            </w:tcBorders>
          </w:tcPr>
          <w:p>
            <w:pPr>
              <w:pStyle w:val="TableParagraph"/>
              <w:spacing w:before="13"/>
              <w:ind w:left="291"/>
              <w:jc w:val="center"/>
              <w:rPr>
                <w:sz w:val="16"/>
              </w:rPr>
            </w:pPr>
            <w:r>
              <w:rPr>
                <w:w w:val="98"/>
                <w:sz w:val="16"/>
              </w:rPr>
              <w:t>-</w:t>
            </w:r>
          </w:p>
        </w:tc>
        <w:tc>
          <w:tcPr>
            <w:tcW w:w="1053" w:type="dxa"/>
            <w:tcBorders>
              <w:top w:val="single" w:sz="12" w:space="0" w:color="000000"/>
            </w:tcBorders>
          </w:tcPr>
          <w:p>
            <w:pPr>
              <w:pStyle w:val="TableParagraph"/>
              <w:spacing w:before="13"/>
              <w:ind w:right="103"/>
              <w:rPr>
                <w:sz w:val="16"/>
              </w:rPr>
            </w:pPr>
            <w:r>
              <w:rPr>
                <w:w w:val="98"/>
                <w:sz w:val="16"/>
              </w:rPr>
              <w:t>-</w:t>
            </w:r>
          </w:p>
        </w:tc>
      </w:tr>
      <w:tr>
        <w:trPr>
          <w:trHeight w:val="223" w:hRule="atLeast"/>
        </w:trPr>
        <w:tc>
          <w:tcPr>
            <w:tcW w:w="2461" w:type="dxa"/>
            <w:tcBorders>
              <w:bottom w:val="single" w:sz="4" w:space="0" w:color="000000"/>
            </w:tcBorders>
          </w:tcPr>
          <w:p>
            <w:pPr>
              <w:pStyle w:val="TableParagraph"/>
              <w:spacing w:before="8"/>
              <w:ind w:left="117"/>
              <w:jc w:val="left"/>
              <w:rPr>
                <w:sz w:val="16"/>
              </w:rPr>
            </w:pPr>
            <w:r>
              <w:rPr>
                <w:sz w:val="16"/>
              </w:rPr>
              <w:t>General</w:t>
            </w:r>
            <w:r>
              <w:rPr>
                <w:spacing w:val="-6"/>
                <w:sz w:val="16"/>
              </w:rPr>
              <w:t> </w:t>
            </w:r>
            <w:r>
              <w:rPr>
                <w:sz w:val="16"/>
              </w:rPr>
              <w:t>Service</w:t>
            </w:r>
            <w:r>
              <w:rPr>
                <w:spacing w:val="-4"/>
                <w:sz w:val="16"/>
              </w:rPr>
              <w:t> staff</w:t>
            </w:r>
          </w:p>
        </w:tc>
        <w:tc>
          <w:tcPr>
            <w:tcW w:w="1218" w:type="dxa"/>
            <w:tcBorders>
              <w:bottom w:val="single" w:sz="4" w:space="0" w:color="000000"/>
            </w:tcBorders>
            <w:shd w:val="clear" w:color="auto" w:fill="D9D9D9"/>
          </w:tcPr>
          <w:p>
            <w:pPr>
              <w:pStyle w:val="TableParagraph"/>
              <w:jc w:val="left"/>
              <w:rPr>
                <w:sz w:val="14"/>
              </w:rPr>
            </w:pPr>
          </w:p>
        </w:tc>
        <w:tc>
          <w:tcPr>
            <w:tcW w:w="827" w:type="dxa"/>
            <w:tcBorders>
              <w:bottom w:val="single" w:sz="4" w:space="0" w:color="000000"/>
            </w:tcBorders>
            <w:shd w:val="clear" w:color="auto" w:fill="D9D9D9"/>
          </w:tcPr>
          <w:p>
            <w:pPr>
              <w:pStyle w:val="TableParagraph"/>
              <w:jc w:val="left"/>
              <w:rPr>
                <w:sz w:val="14"/>
              </w:rPr>
            </w:pPr>
          </w:p>
        </w:tc>
        <w:tc>
          <w:tcPr>
            <w:tcW w:w="1133" w:type="dxa"/>
            <w:tcBorders>
              <w:bottom w:val="single" w:sz="4" w:space="0" w:color="000000"/>
            </w:tcBorders>
            <w:shd w:val="clear" w:color="auto" w:fill="D9D9D9"/>
          </w:tcPr>
          <w:p>
            <w:pPr>
              <w:pStyle w:val="TableParagraph"/>
              <w:jc w:val="left"/>
              <w:rPr>
                <w:sz w:val="14"/>
              </w:rPr>
            </w:pPr>
          </w:p>
        </w:tc>
        <w:tc>
          <w:tcPr>
            <w:tcW w:w="1078" w:type="dxa"/>
            <w:tcBorders>
              <w:bottom w:val="single" w:sz="4" w:space="0" w:color="000000"/>
            </w:tcBorders>
          </w:tcPr>
          <w:p>
            <w:pPr>
              <w:pStyle w:val="TableParagraph"/>
              <w:spacing w:before="8"/>
              <w:ind w:right="52"/>
              <w:rPr>
                <w:sz w:val="16"/>
              </w:rPr>
            </w:pPr>
            <w:r>
              <w:rPr>
                <w:w w:val="98"/>
                <w:sz w:val="16"/>
              </w:rPr>
              <w:t>-</w:t>
            </w:r>
          </w:p>
        </w:tc>
        <w:tc>
          <w:tcPr>
            <w:tcW w:w="1177" w:type="dxa"/>
            <w:tcBorders>
              <w:bottom w:val="single" w:sz="4" w:space="0" w:color="000000"/>
            </w:tcBorders>
          </w:tcPr>
          <w:p>
            <w:pPr>
              <w:pStyle w:val="TableParagraph"/>
              <w:spacing w:before="8"/>
              <w:ind w:right="240"/>
              <w:rPr>
                <w:sz w:val="16"/>
              </w:rPr>
            </w:pPr>
            <w:r>
              <w:rPr>
                <w:w w:val="98"/>
                <w:sz w:val="16"/>
              </w:rPr>
              <w:t>-</w:t>
            </w:r>
          </w:p>
        </w:tc>
        <w:tc>
          <w:tcPr>
            <w:tcW w:w="698" w:type="dxa"/>
            <w:tcBorders>
              <w:bottom w:val="single" w:sz="4" w:space="0" w:color="000000"/>
            </w:tcBorders>
          </w:tcPr>
          <w:p>
            <w:pPr>
              <w:pStyle w:val="TableParagraph"/>
              <w:spacing w:before="8"/>
              <w:ind w:left="291"/>
              <w:jc w:val="center"/>
              <w:rPr>
                <w:sz w:val="16"/>
              </w:rPr>
            </w:pPr>
            <w:r>
              <w:rPr>
                <w:w w:val="98"/>
                <w:sz w:val="16"/>
              </w:rPr>
              <w:t>-</w:t>
            </w:r>
          </w:p>
        </w:tc>
        <w:tc>
          <w:tcPr>
            <w:tcW w:w="1053" w:type="dxa"/>
            <w:tcBorders>
              <w:bottom w:val="single" w:sz="4" w:space="0" w:color="000000"/>
            </w:tcBorders>
          </w:tcPr>
          <w:p>
            <w:pPr>
              <w:pStyle w:val="TableParagraph"/>
              <w:spacing w:before="8"/>
              <w:ind w:right="103"/>
              <w:rPr>
                <w:sz w:val="16"/>
              </w:rPr>
            </w:pPr>
            <w:r>
              <w:rPr>
                <w:w w:val="98"/>
                <w:sz w:val="16"/>
              </w:rPr>
              <w:t>-</w:t>
            </w:r>
          </w:p>
        </w:tc>
      </w:tr>
      <w:tr>
        <w:trPr>
          <w:trHeight w:val="225" w:hRule="atLeast"/>
        </w:trPr>
        <w:tc>
          <w:tcPr>
            <w:tcW w:w="2461" w:type="dxa"/>
            <w:tcBorders>
              <w:top w:val="single" w:sz="4" w:space="0" w:color="000000"/>
              <w:bottom w:val="single" w:sz="4" w:space="0" w:color="000000"/>
            </w:tcBorders>
          </w:tcPr>
          <w:p>
            <w:pPr>
              <w:pStyle w:val="TableParagraph"/>
              <w:spacing w:before="9"/>
              <w:ind w:right="104"/>
              <w:rPr>
                <w:i/>
                <w:sz w:val="16"/>
              </w:rPr>
            </w:pPr>
            <w:r>
              <w:rPr>
                <w:i/>
                <w:sz w:val="16"/>
              </w:rPr>
              <w:t>Subtotal</w:t>
            </w:r>
            <w:r>
              <w:rPr>
                <w:i/>
                <w:spacing w:val="-1"/>
                <w:sz w:val="16"/>
              </w:rPr>
              <w:t> </w:t>
            </w:r>
            <w:r>
              <w:rPr>
                <w:i/>
                <w:spacing w:val="-2"/>
                <w:sz w:val="16"/>
              </w:rPr>
              <w:t>staff</w:t>
            </w:r>
          </w:p>
        </w:tc>
        <w:tc>
          <w:tcPr>
            <w:tcW w:w="1218" w:type="dxa"/>
            <w:tcBorders>
              <w:top w:val="single" w:sz="4" w:space="0" w:color="000000"/>
              <w:bottom w:val="single" w:sz="4" w:space="0" w:color="000000"/>
            </w:tcBorders>
          </w:tcPr>
          <w:p>
            <w:pPr>
              <w:pStyle w:val="TableParagraph"/>
              <w:spacing w:before="9"/>
              <w:ind w:right="193"/>
              <w:rPr>
                <w:i/>
                <w:sz w:val="16"/>
              </w:rPr>
            </w:pPr>
            <w:r>
              <w:rPr>
                <w:i/>
                <w:w w:val="98"/>
                <w:sz w:val="16"/>
              </w:rPr>
              <w:t>-</w:t>
            </w:r>
          </w:p>
        </w:tc>
        <w:tc>
          <w:tcPr>
            <w:tcW w:w="827" w:type="dxa"/>
            <w:tcBorders>
              <w:top w:val="single" w:sz="4" w:space="0" w:color="000000"/>
              <w:bottom w:val="single" w:sz="4" w:space="0" w:color="000000"/>
            </w:tcBorders>
          </w:tcPr>
          <w:p>
            <w:pPr>
              <w:pStyle w:val="TableParagraph"/>
              <w:spacing w:before="9"/>
              <w:ind w:right="107"/>
              <w:rPr>
                <w:i/>
                <w:sz w:val="16"/>
              </w:rPr>
            </w:pPr>
            <w:r>
              <w:rPr>
                <w:i/>
                <w:w w:val="98"/>
                <w:sz w:val="16"/>
              </w:rPr>
              <w:t>-</w:t>
            </w:r>
          </w:p>
        </w:tc>
        <w:tc>
          <w:tcPr>
            <w:tcW w:w="1133" w:type="dxa"/>
            <w:tcBorders>
              <w:top w:val="single" w:sz="4" w:space="0" w:color="000000"/>
              <w:bottom w:val="single" w:sz="4" w:space="0" w:color="000000"/>
            </w:tcBorders>
          </w:tcPr>
          <w:p>
            <w:pPr>
              <w:pStyle w:val="TableParagraph"/>
              <w:spacing w:before="9"/>
              <w:ind w:right="107"/>
              <w:rPr>
                <w:i/>
                <w:sz w:val="16"/>
              </w:rPr>
            </w:pPr>
            <w:r>
              <w:rPr>
                <w:i/>
                <w:w w:val="98"/>
                <w:sz w:val="16"/>
              </w:rPr>
              <w:t>-</w:t>
            </w:r>
          </w:p>
        </w:tc>
        <w:tc>
          <w:tcPr>
            <w:tcW w:w="1078" w:type="dxa"/>
            <w:tcBorders>
              <w:top w:val="single" w:sz="4" w:space="0" w:color="000000"/>
              <w:bottom w:val="single" w:sz="4" w:space="0" w:color="000000"/>
            </w:tcBorders>
          </w:tcPr>
          <w:p>
            <w:pPr>
              <w:pStyle w:val="TableParagraph"/>
              <w:spacing w:before="9"/>
              <w:ind w:right="52"/>
              <w:rPr>
                <w:i/>
                <w:sz w:val="16"/>
              </w:rPr>
            </w:pPr>
            <w:r>
              <w:rPr>
                <w:i/>
                <w:w w:val="98"/>
                <w:sz w:val="16"/>
              </w:rPr>
              <w:t>-</w:t>
            </w:r>
          </w:p>
        </w:tc>
        <w:tc>
          <w:tcPr>
            <w:tcW w:w="1177" w:type="dxa"/>
            <w:tcBorders>
              <w:top w:val="single" w:sz="4" w:space="0" w:color="000000"/>
              <w:bottom w:val="single" w:sz="4" w:space="0" w:color="000000"/>
            </w:tcBorders>
          </w:tcPr>
          <w:p>
            <w:pPr>
              <w:pStyle w:val="TableParagraph"/>
              <w:spacing w:before="9"/>
              <w:ind w:right="240"/>
              <w:rPr>
                <w:i/>
                <w:sz w:val="16"/>
              </w:rPr>
            </w:pPr>
            <w:r>
              <w:rPr>
                <w:i/>
                <w:w w:val="98"/>
                <w:sz w:val="16"/>
              </w:rPr>
              <w:t>-</w:t>
            </w:r>
          </w:p>
        </w:tc>
        <w:tc>
          <w:tcPr>
            <w:tcW w:w="698" w:type="dxa"/>
            <w:tcBorders>
              <w:top w:val="single" w:sz="4" w:space="0" w:color="000000"/>
              <w:bottom w:val="single" w:sz="4" w:space="0" w:color="000000"/>
            </w:tcBorders>
          </w:tcPr>
          <w:p>
            <w:pPr>
              <w:pStyle w:val="TableParagraph"/>
              <w:spacing w:before="9"/>
              <w:ind w:left="291"/>
              <w:jc w:val="center"/>
              <w:rPr>
                <w:i/>
                <w:sz w:val="16"/>
              </w:rPr>
            </w:pPr>
            <w:r>
              <w:rPr>
                <w:i/>
                <w:w w:val="98"/>
                <w:sz w:val="16"/>
              </w:rPr>
              <w:t>-</w:t>
            </w:r>
          </w:p>
        </w:tc>
        <w:tc>
          <w:tcPr>
            <w:tcW w:w="1053" w:type="dxa"/>
            <w:tcBorders>
              <w:top w:val="single" w:sz="4" w:space="0" w:color="000000"/>
              <w:bottom w:val="single" w:sz="4" w:space="0" w:color="000000"/>
            </w:tcBorders>
          </w:tcPr>
          <w:p>
            <w:pPr>
              <w:pStyle w:val="TableParagraph"/>
              <w:spacing w:before="9"/>
              <w:ind w:right="103"/>
              <w:rPr>
                <w:i/>
                <w:sz w:val="16"/>
              </w:rPr>
            </w:pPr>
            <w:r>
              <w:rPr>
                <w:i/>
                <w:w w:val="98"/>
                <w:sz w:val="16"/>
              </w:rPr>
              <w:t>-</w:t>
            </w:r>
          </w:p>
        </w:tc>
      </w:tr>
      <w:tr>
        <w:trPr>
          <w:trHeight w:val="231" w:hRule="atLeast"/>
        </w:trPr>
        <w:tc>
          <w:tcPr>
            <w:tcW w:w="2461" w:type="dxa"/>
            <w:tcBorders>
              <w:top w:val="single" w:sz="4" w:space="0" w:color="000000"/>
            </w:tcBorders>
          </w:tcPr>
          <w:p>
            <w:pPr>
              <w:pStyle w:val="TableParagraph"/>
              <w:spacing w:before="14"/>
              <w:ind w:left="117"/>
              <w:jc w:val="left"/>
              <w:rPr>
                <w:sz w:val="16"/>
              </w:rPr>
            </w:pPr>
            <w:r>
              <w:rPr>
                <w:sz w:val="16"/>
              </w:rPr>
              <w:t>General</w:t>
            </w:r>
            <w:r>
              <w:rPr>
                <w:spacing w:val="-4"/>
                <w:sz w:val="16"/>
              </w:rPr>
              <w:t> </w:t>
            </w:r>
            <w:r>
              <w:rPr>
                <w:sz w:val="16"/>
              </w:rPr>
              <w:t>temporary</w:t>
            </w:r>
            <w:r>
              <w:rPr>
                <w:spacing w:val="-1"/>
                <w:sz w:val="16"/>
              </w:rPr>
              <w:t> </w:t>
            </w:r>
            <w:r>
              <w:rPr>
                <w:spacing w:val="-2"/>
                <w:sz w:val="16"/>
              </w:rPr>
              <w:t>assistance</w:t>
            </w:r>
          </w:p>
        </w:tc>
        <w:tc>
          <w:tcPr>
            <w:tcW w:w="1218" w:type="dxa"/>
            <w:tcBorders>
              <w:top w:val="single" w:sz="4" w:space="0" w:color="000000"/>
            </w:tcBorders>
          </w:tcPr>
          <w:p>
            <w:pPr>
              <w:pStyle w:val="TableParagraph"/>
              <w:spacing w:before="14"/>
              <w:ind w:right="191"/>
              <w:rPr>
                <w:sz w:val="16"/>
              </w:rPr>
            </w:pPr>
            <w:r>
              <w:rPr>
                <w:spacing w:val="-2"/>
                <w:sz w:val="16"/>
              </w:rPr>
              <w:t>126.2</w:t>
            </w:r>
          </w:p>
        </w:tc>
        <w:tc>
          <w:tcPr>
            <w:tcW w:w="827" w:type="dxa"/>
            <w:tcBorders>
              <w:top w:val="single" w:sz="4" w:space="0" w:color="000000"/>
            </w:tcBorders>
          </w:tcPr>
          <w:p>
            <w:pPr>
              <w:pStyle w:val="TableParagraph"/>
              <w:spacing w:before="14"/>
              <w:ind w:right="107"/>
              <w:rPr>
                <w:sz w:val="16"/>
              </w:rPr>
            </w:pPr>
            <w:r>
              <w:rPr>
                <w:w w:val="98"/>
                <w:sz w:val="16"/>
              </w:rPr>
              <w:t>-</w:t>
            </w:r>
          </w:p>
        </w:tc>
        <w:tc>
          <w:tcPr>
            <w:tcW w:w="1133" w:type="dxa"/>
            <w:tcBorders>
              <w:top w:val="single" w:sz="4" w:space="0" w:color="000000"/>
            </w:tcBorders>
          </w:tcPr>
          <w:p>
            <w:pPr>
              <w:pStyle w:val="TableParagraph"/>
              <w:spacing w:before="14"/>
              <w:ind w:right="106"/>
              <w:rPr>
                <w:sz w:val="16"/>
              </w:rPr>
            </w:pPr>
            <w:r>
              <w:rPr>
                <w:spacing w:val="-2"/>
                <w:sz w:val="16"/>
              </w:rPr>
              <w:t>126.2</w:t>
            </w:r>
          </w:p>
        </w:tc>
        <w:tc>
          <w:tcPr>
            <w:tcW w:w="1078" w:type="dxa"/>
            <w:tcBorders>
              <w:top w:val="single" w:sz="4" w:space="0" w:color="000000"/>
            </w:tcBorders>
          </w:tcPr>
          <w:p>
            <w:pPr>
              <w:pStyle w:val="TableParagraph"/>
              <w:spacing w:before="14"/>
              <w:ind w:right="50"/>
              <w:rPr>
                <w:sz w:val="16"/>
              </w:rPr>
            </w:pPr>
            <w:r>
              <w:rPr>
                <w:spacing w:val="-2"/>
                <w:sz w:val="16"/>
              </w:rPr>
              <w:t>149.8</w:t>
            </w:r>
          </w:p>
        </w:tc>
        <w:tc>
          <w:tcPr>
            <w:tcW w:w="1177" w:type="dxa"/>
            <w:tcBorders>
              <w:top w:val="single" w:sz="4" w:space="0" w:color="000000"/>
            </w:tcBorders>
          </w:tcPr>
          <w:p>
            <w:pPr>
              <w:pStyle w:val="TableParagraph"/>
              <w:spacing w:before="14"/>
              <w:ind w:right="238"/>
              <w:rPr>
                <w:sz w:val="16"/>
              </w:rPr>
            </w:pPr>
            <w:r>
              <w:rPr>
                <w:spacing w:val="-4"/>
                <w:sz w:val="16"/>
              </w:rPr>
              <w:t>18.4</w:t>
            </w:r>
          </w:p>
        </w:tc>
        <w:tc>
          <w:tcPr>
            <w:tcW w:w="698" w:type="dxa"/>
            <w:tcBorders>
              <w:top w:val="single" w:sz="4" w:space="0" w:color="000000"/>
            </w:tcBorders>
          </w:tcPr>
          <w:p>
            <w:pPr>
              <w:pStyle w:val="TableParagraph"/>
              <w:spacing w:before="14"/>
              <w:ind w:left="229" w:right="161"/>
              <w:jc w:val="center"/>
              <w:rPr>
                <w:sz w:val="16"/>
              </w:rPr>
            </w:pPr>
            <w:r>
              <w:rPr>
                <w:spacing w:val="-4"/>
                <w:sz w:val="16"/>
              </w:rPr>
              <w:t>12.3</w:t>
            </w:r>
          </w:p>
        </w:tc>
        <w:tc>
          <w:tcPr>
            <w:tcW w:w="1053" w:type="dxa"/>
            <w:tcBorders>
              <w:top w:val="single" w:sz="4" w:space="0" w:color="000000"/>
            </w:tcBorders>
          </w:tcPr>
          <w:p>
            <w:pPr>
              <w:pStyle w:val="TableParagraph"/>
              <w:spacing w:before="14"/>
              <w:ind w:right="102"/>
              <w:rPr>
                <w:sz w:val="16"/>
              </w:rPr>
            </w:pPr>
            <w:r>
              <w:rPr>
                <w:spacing w:val="-2"/>
                <w:sz w:val="16"/>
              </w:rPr>
              <w:t>168.2</w:t>
            </w:r>
          </w:p>
        </w:tc>
      </w:tr>
      <w:tr>
        <w:trPr>
          <w:trHeight w:val="225" w:hRule="atLeast"/>
        </w:trPr>
        <w:tc>
          <w:tcPr>
            <w:tcW w:w="2461" w:type="dxa"/>
          </w:tcPr>
          <w:p>
            <w:pPr>
              <w:pStyle w:val="TableParagraph"/>
              <w:spacing w:before="7"/>
              <w:ind w:left="117"/>
              <w:jc w:val="left"/>
              <w:rPr>
                <w:sz w:val="16"/>
              </w:rPr>
            </w:pPr>
            <w:r>
              <w:rPr>
                <w:sz w:val="16"/>
              </w:rPr>
              <w:t>Temporary</w:t>
            </w:r>
            <w:r>
              <w:rPr>
                <w:spacing w:val="-3"/>
                <w:sz w:val="16"/>
              </w:rPr>
              <w:t> </w:t>
            </w:r>
            <w:r>
              <w:rPr>
                <w:sz w:val="16"/>
              </w:rPr>
              <w:t>assistance</w:t>
            </w:r>
            <w:r>
              <w:rPr>
                <w:spacing w:val="-4"/>
                <w:sz w:val="16"/>
              </w:rPr>
              <w:t> </w:t>
            </w:r>
            <w:r>
              <w:rPr>
                <w:sz w:val="16"/>
              </w:rPr>
              <w:t>for</w:t>
            </w:r>
            <w:r>
              <w:rPr>
                <w:spacing w:val="-5"/>
                <w:sz w:val="16"/>
              </w:rPr>
              <w:t> </w:t>
            </w:r>
            <w:r>
              <w:rPr>
                <w:spacing w:val="-2"/>
                <w:sz w:val="16"/>
              </w:rPr>
              <w:t>meetings</w:t>
            </w:r>
          </w:p>
        </w:tc>
        <w:tc>
          <w:tcPr>
            <w:tcW w:w="1218" w:type="dxa"/>
          </w:tcPr>
          <w:p>
            <w:pPr>
              <w:pStyle w:val="TableParagraph"/>
              <w:spacing w:before="7"/>
              <w:ind w:right="193"/>
              <w:rPr>
                <w:sz w:val="16"/>
              </w:rPr>
            </w:pPr>
            <w:r>
              <w:rPr>
                <w:w w:val="98"/>
                <w:sz w:val="16"/>
              </w:rPr>
              <w:t>-</w:t>
            </w:r>
          </w:p>
        </w:tc>
        <w:tc>
          <w:tcPr>
            <w:tcW w:w="827" w:type="dxa"/>
          </w:tcPr>
          <w:p>
            <w:pPr>
              <w:pStyle w:val="TableParagraph"/>
              <w:spacing w:before="7"/>
              <w:ind w:right="107"/>
              <w:rPr>
                <w:sz w:val="16"/>
              </w:rPr>
            </w:pPr>
            <w:r>
              <w:rPr>
                <w:w w:val="98"/>
                <w:sz w:val="16"/>
              </w:rPr>
              <w:t>-</w:t>
            </w:r>
          </w:p>
        </w:tc>
        <w:tc>
          <w:tcPr>
            <w:tcW w:w="1133" w:type="dxa"/>
          </w:tcPr>
          <w:p>
            <w:pPr>
              <w:pStyle w:val="TableParagraph"/>
              <w:spacing w:before="7"/>
              <w:ind w:right="107"/>
              <w:rPr>
                <w:sz w:val="16"/>
              </w:rPr>
            </w:pPr>
            <w:r>
              <w:rPr>
                <w:w w:val="98"/>
                <w:sz w:val="16"/>
              </w:rPr>
              <w:t>-</w:t>
            </w:r>
          </w:p>
        </w:tc>
        <w:tc>
          <w:tcPr>
            <w:tcW w:w="1078" w:type="dxa"/>
          </w:tcPr>
          <w:p>
            <w:pPr>
              <w:pStyle w:val="TableParagraph"/>
              <w:spacing w:before="7"/>
              <w:ind w:right="52"/>
              <w:rPr>
                <w:sz w:val="16"/>
              </w:rPr>
            </w:pPr>
            <w:r>
              <w:rPr>
                <w:w w:val="98"/>
                <w:sz w:val="16"/>
              </w:rPr>
              <w:t>-</w:t>
            </w:r>
          </w:p>
        </w:tc>
        <w:tc>
          <w:tcPr>
            <w:tcW w:w="1177" w:type="dxa"/>
          </w:tcPr>
          <w:p>
            <w:pPr>
              <w:pStyle w:val="TableParagraph"/>
              <w:spacing w:before="7"/>
              <w:ind w:right="240"/>
              <w:rPr>
                <w:sz w:val="16"/>
              </w:rPr>
            </w:pPr>
            <w:r>
              <w:rPr>
                <w:w w:val="98"/>
                <w:sz w:val="16"/>
              </w:rPr>
              <w:t>-</w:t>
            </w:r>
          </w:p>
        </w:tc>
        <w:tc>
          <w:tcPr>
            <w:tcW w:w="698" w:type="dxa"/>
          </w:tcPr>
          <w:p>
            <w:pPr>
              <w:pStyle w:val="TableParagraph"/>
              <w:spacing w:before="7"/>
              <w:ind w:left="291"/>
              <w:jc w:val="center"/>
              <w:rPr>
                <w:sz w:val="16"/>
              </w:rPr>
            </w:pPr>
            <w:r>
              <w:rPr>
                <w:w w:val="98"/>
                <w:sz w:val="16"/>
              </w:rPr>
              <w:t>-</w:t>
            </w:r>
          </w:p>
        </w:tc>
        <w:tc>
          <w:tcPr>
            <w:tcW w:w="1053" w:type="dxa"/>
          </w:tcPr>
          <w:p>
            <w:pPr>
              <w:pStyle w:val="TableParagraph"/>
              <w:spacing w:before="7"/>
              <w:ind w:right="103"/>
              <w:rPr>
                <w:sz w:val="16"/>
              </w:rPr>
            </w:pPr>
            <w:r>
              <w:rPr>
                <w:w w:val="98"/>
                <w:sz w:val="16"/>
              </w:rPr>
              <w:t>-</w:t>
            </w:r>
          </w:p>
        </w:tc>
      </w:tr>
      <w:tr>
        <w:trPr>
          <w:trHeight w:val="223" w:hRule="atLeast"/>
        </w:trPr>
        <w:tc>
          <w:tcPr>
            <w:tcW w:w="2461" w:type="dxa"/>
            <w:tcBorders>
              <w:bottom w:val="single" w:sz="4" w:space="0" w:color="000000"/>
            </w:tcBorders>
          </w:tcPr>
          <w:p>
            <w:pPr>
              <w:pStyle w:val="TableParagraph"/>
              <w:spacing w:before="7"/>
              <w:ind w:left="117"/>
              <w:jc w:val="left"/>
              <w:rPr>
                <w:sz w:val="16"/>
              </w:rPr>
            </w:pPr>
            <w:r>
              <w:rPr>
                <w:spacing w:val="-2"/>
                <w:sz w:val="16"/>
              </w:rPr>
              <w:t>Overtime</w:t>
            </w:r>
          </w:p>
        </w:tc>
        <w:tc>
          <w:tcPr>
            <w:tcW w:w="1218" w:type="dxa"/>
            <w:tcBorders>
              <w:bottom w:val="single" w:sz="4" w:space="0" w:color="000000"/>
            </w:tcBorders>
          </w:tcPr>
          <w:p>
            <w:pPr>
              <w:pStyle w:val="TableParagraph"/>
              <w:spacing w:before="7"/>
              <w:ind w:right="193"/>
              <w:rPr>
                <w:sz w:val="16"/>
              </w:rPr>
            </w:pPr>
            <w:r>
              <w:rPr>
                <w:w w:val="98"/>
                <w:sz w:val="16"/>
              </w:rPr>
              <w:t>-</w:t>
            </w:r>
          </w:p>
        </w:tc>
        <w:tc>
          <w:tcPr>
            <w:tcW w:w="827" w:type="dxa"/>
            <w:tcBorders>
              <w:bottom w:val="single" w:sz="4" w:space="0" w:color="000000"/>
            </w:tcBorders>
          </w:tcPr>
          <w:p>
            <w:pPr>
              <w:pStyle w:val="TableParagraph"/>
              <w:spacing w:before="7"/>
              <w:ind w:right="107"/>
              <w:rPr>
                <w:sz w:val="16"/>
              </w:rPr>
            </w:pPr>
            <w:r>
              <w:rPr>
                <w:w w:val="98"/>
                <w:sz w:val="16"/>
              </w:rPr>
              <w:t>-</w:t>
            </w:r>
          </w:p>
        </w:tc>
        <w:tc>
          <w:tcPr>
            <w:tcW w:w="1133" w:type="dxa"/>
            <w:tcBorders>
              <w:bottom w:val="single" w:sz="4" w:space="0" w:color="000000"/>
            </w:tcBorders>
          </w:tcPr>
          <w:p>
            <w:pPr>
              <w:pStyle w:val="TableParagraph"/>
              <w:spacing w:before="7"/>
              <w:ind w:right="107"/>
              <w:rPr>
                <w:sz w:val="16"/>
              </w:rPr>
            </w:pPr>
            <w:r>
              <w:rPr>
                <w:w w:val="98"/>
                <w:sz w:val="16"/>
              </w:rPr>
              <w:t>-</w:t>
            </w:r>
          </w:p>
        </w:tc>
        <w:tc>
          <w:tcPr>
            <w:tcW w:w="1078" w:type="dxa"/>
            <w:tcBorders>
              <w:bottom w:val="single" w:sz="4" w:space="0" w:color="000000"/>
            </w:tcBorders>
          </w:tcPr>
          <w:p>
            <w:pPr>
              <w:pStyle w:val="TableParagraph"/>
              <w:spacing w:before="7"/>
              <w:ind w:right="52"/>
              <w:rPr>
                <w:sz w:val="16"/>
              </w:rPr>
            </w:pPr>
            <w:r>
              <w:rPr>
                <w:w w:val="98"/>
                <w:sz w:val="16"/>
              </w:rPr>
              <w:t>-</w:t>
            </w:r>
          </w:p>
        </w:tc>
        <w:tc>
          <w:tcPr>
            <w:tcW w:w="1177" w:type="dxa"/>
            <w:tcBorders>
              <w:bottom w:val="single" w:sz="4" w:space="0" w:color="000000"/>
            </w:tcBorders>
          </w:tcPr>
          <w:p>
            <w:pPr>
              <w:pStyle w:val="TableParagraph"/>
              <w:spacing w:before="7"/>
              <w:ind w:right="240"/>
              <w:rPr>
                <w:sz w:val="16"/>
              </w:rPr>
            </w:pPr>
            <w:r>
              <w:rPr>
                <w:w w:val="98"/>
                <w:sz w:val="16"/>
              </w:rPr>
              <w:t>-</w:t>
            </w:r>
          </w:p>
        </w:tc>
        <w:tc>
          <w:tcPr>
            <w:tcW w:w="698" w:type="dxa"/>
            <w:tcBorders>
              <w:bottom w:val="single" w:sz="4" w:space="0" w:color="000000"/>
            </w:tcBorders>
          </w:tcPr>
          <w:p>
            <w:pPr>
              <w:pStyle w:val="TableParagraph"/>
              <w:spacing w:before="7"/>
              <w:ind w:left="291"/>
              <w:jc w:val="center"/>
              <w:rPr>
                <w:sz w:val="16"/>
              </w:rPr>
            </w:pPr>
            <w:r>
              <w:rPr>
                <w:w w:val="98"/>
                <w:sz w:val="16"/>
              </w:rPr>
              <w:t>-</w:t>
            </w:r>
          </w:p>
        </w:tc>
        <w:tc>
          <w:tcPr>
            <w:tcW w:w="1053" w:type="dxa"/>
            <w:tcBorders>
              <w:bottom w:val="single" w:sz="4" w:space="0" w:color="000000"/>
            </w:tcBorders>
          </w:tcPr>
          <w:p>
            <w:pPr>
              <w:pStyle w:val="TableParagraph"/>
              <w:spacing w:before="7"/>
              <w:ind w:right="103"/>
              <w:rPr>
                <w:sz w:val="16"/>
              </w:rPr>
            </w:pPr>
            <w:r>
              <w:rPr>
                <w:w w:val="98"/>
                <w:sz w:val="16"/>
              </w:rPr>
              <w:t>-</w:t>
            </w:r>
          </w:p>
        </w:tc>
      </w:tr>
      <w:tr>
        <w:trPr>
          <w:trHeight w:val="230" w:hRule="atLeast"/>
        </w:trPr>
        <w:tc>
          <w:tcPr>
            <w:tcW w:w="2461" w:type="dxa"/>
            <w:tcBorders>
              <w:top w:val="single" w:sz="4" w:space="0" w:color="000000"/>
              <w:bottom w:val="single" w:sz="4" w:space="0" w:color="000000"/>
            </w:tcBorders>
          </w:tcPr>
          <w:p>
            <w:pPr>
              <w:pStyle w:val="TableParagraph"/>
              <w:spacing w:before="14"/>
              <w:ind w:right="105"/>
              <w:rPr>
                <w:i/>
                <w:sz w:val="16"/>
              </w:rPr>
            </w:pPr>
            <w:r>
              <w:rPr>
                <w:i/>
                <w:sz w:val="16"/>
              </w:rPr>
              <w:t>Subtotal</w:t>
            </w:r>
            <w:r>
              <w:rPr>
                <w:i/>
                <w:spacing w:val="-2"/>
                <w:sz w:val="16"/>
              </w:rPr>
              <w:t> </w:t>
            </w:r>
            <w:r>
              <w:rPr>
                <w:i/>
                <w:sz w:val="16"/>
              </w:rPr>
              <w:t>other</w:t>
            </w:r>
            <w:r>
              <w:rPr>
                <w:i/>
                <w:spacing w:val="-1"/>
                <w:sz w:val="16"/>
              </w:rPr>
              <w:t> </w:t>
            </w:r>
            <w:r>
              <w:rPr>
                <w:i/>
                <w:spacing w:val="-2"/>
                <w:sz w:val="16"/>
              </w:rPr>
              <w:t>staff</w:t>
            </w:r>
          </w:p>
        </w:tc>
        <w:tc>
          <w:tcPr>
            <w:tcW w:w="1218" w:type="dxa"/>
            <w:tcBorders>
              <w:top w:val="single" w:sz="4" w:space="0" w:color="000000"/>
              <w:bottom w:val="single" w:sz="4" w:space="0" w:color="000000"/>
            </w:tcBorders>
          </w:tcPr>
          <w:p>
            <w:pPr>
              <w:pStyle w:val="TableParagraph"/>
              <w:spacing w:before="14"/>
              <w:ind w:right="191"/>
              <w:rPr>
                <w:i/>
                <w:sz w:val="16"/>
              </w:rPr>
            </w:pPr>
            <w:r>
              <w:rPr>
                <w:i/>
                <w:spacing w:val="-2"/>
                <w:sz w:val="16"/>
              </w:rPr>
              <w:t>126.2</w:t>
            </w:r>
          </w:p>
        </w:tc>
        <w:tc>
          <w:tcPr>
            <w:tcW w:w="827" w:type="dxa"/>
            <w:tcBorders>
              <w:top w:val="single" w:sz="4" w:space="0" w:color="000000"/>
              <w:bottom w:val="single" w:sz="4" w:space="0" w:color="000000"/>
            </w:tcBorders>
          </w:tcPr>
          <w:p>
            <w:pPr>
              <w:pStyle w:val="TableParagraph"/>
              <w:spacing w:before="14"/>
              <w:ind w:right="107"/>
              <w:rPr>
                <w:i/>
                <w:sz w:val="16"/>
              </w:rPr>
            </w:pPr>
            <w:r>
              <w:rPr>
                <w:i/>
                <w:w w:val="98"/>
                <w:sz w:val="16"/>
              </w:rPr>
              <w:t>-</w:t>
            </w:r>
          </w:p>
        </w:tc>
        <w:tc>
          <w:tcPr>
            <w:tcW w:w="1133" w:type="dxa"/>
            <w:tcBorders>
              <w:top w:val="single" w:sz="4" w:space="0" w:color="000000"/>
              <w:bottom w:val="single" w:sz="4" w:space="0" w:color="000000"/>
            </w:tcBorders>
          </w:tcPr>
          <w:p>
            <w:pPr>
              <w:pStyle w:val="TableParagraph"/>
              <w:spacing w:before="14"/>
              <w:ind w:right="106"/>
              <w:rPr>
                <w:i/>
                <w:sz w:val="16"/>
              </w:rPr>
            </w:pPr>
            <w:r>
              <w:rPr>
                <w:i/>
                <w:spacing w:val="-2"/>
                <w:sz w:val="16"/>
              </w:rPr>
              <w:t>126.2</w:t>
            </w:r>
          </w:p>
        </w:tc>
        <w:tc>
          <w:tcPr>
            <w:tcW w:w="1078" w:type="dxa"/>
            <w:tcBorders>
              <w:top w:val="single" w:sz="4" w:space="0" w:color="000000"/>
              <w:bottom w:val="single" w:sz="4" w:space="0" w:color="000000"/>
            </w:tcBorders>
          </w:tcPr>
          <w:p>
            <w:pPr>
              <w:pStyle w:val="TableParagraph"/>
              <w:spacing w:before="14"/>
              <w:ind w:right="50"/>
              <w:rPr>
                <w:i/>
                <w:sz w:val="16"/>
              </w:rPr>
            </w:pPr>
            <w:r>
              <w:rPr>
                <w:i/>
                <w:spacing w:val="-2"/>
                <w:sz w:val="16"/>
              </w:rPr>
              <w:t>149.8</w:t>
            </w:r>
          </w:p>
        </w:tc>
        <w:tc>
          <w:tcPr>
            <w:tcW w:w="1177" w:type="dxa"/>
            <w:tcBorders>
              <w:top w:val="single" w:sz="4" w:space="0" w:color="000000"/>
              <w:bottom w:val="single" w:sz="4" w:space="0" w:color="000000"/>
            </w:tcBorders>
          </w:tcPr>
          <w:p>
            <w:pPr>
              <w:pStyle w:val="TableParagraph"/>
              <w:spacing w:before="14"/>
              <w:ind w:right="238"/>
              <w:rPr>
                <w:i/>
                <w:sz w:val="16"/>
              </w:rPr>
            </w:pPr>
            <w:r>
              <w:rPr>
                <w:i/>
                <w:spacing w:val="-4"/>
                <w:sz w:val="16"/>
              </w:rPr>
              <w:t>18.4</w:t>
            </w:r>
          </w:p>
        </w:tc>
        <w:tc>
          <w:tcPr>
            <w:tcW w:w="698" w:type="dxa"/>
            <w:tcBorders>
              <w:top w:val="single" w:sz="4" w:space="0" w:color="000000"/>
              <w:bottom w:val="single" w:sz="4" w:space="0" w:color="000000"/>
            </w:tcBorders>
          </w:tcPr>
          <w:p>
            <w:pPr>
              <w:pStyle w:val="TableParagraph"/>
              <w:spacing w:before="14"/>
              <w:ind w:left="229" w:right="161"/>
              <w:jc w:val="center"/>
              <w:rPr>
                <w:i/>
                <w:sz w:val="16"/>
              </w:rPr>
            </w:pPr>
            <w:r>
              <w:rPr>
                <w:i/>
                <w:spacing w:val="-4"/>
                <w:sz w:val="16"/>
              </w:rPr>
              <w:t>12.3</w:t>
            </w:r>
          </w:p>
        </w:tc>
        <w:tc>
          <w:tcPr>
            <w:tcW w:w="1053" w:type="dxa"/>
            <w:tcBorders>
              <w:top w:val="single" w:sz="4" w:space="0" w:color="000000"/>
              <w:bottom w:val="single" w:sz="4" w:space="0" w:color="000000"/>
            </w:tcBorders>
          </w:tcPr>
          <w:p>
            <w:pPr>
              <w:pStyle w:val="TableParagraph"/>
              <w:spacing w:before="14"/>
              <w:ind w:right="102"/>
              <w:rPr>
                <w:i/>
                <w:sz w:val="16"/>
              </w:rPr>
            </w:pPr>
            <w:r>
              <w:rPr>
                <w:i/>
                <w:spacing w:val="-2"/>
                <w:sz w:val="16"/>
              </w:rPr>
              <w:t>168.2</w:t>
            </w:r>
          </w:p>
        </w:tc>
      </w:tr>
      <w:tr>
        <w:trPr>
          <w:trHeight w:val="227" w:hRule="atLeast"/>
        </w:trPr>
        <w:tc>
          <w:tcPr>
            <w:tcW w:w="2461" w:type="dxa"/>
            <w:tcBorders>
              <w:top w:val="single" w:sz="4" w:space="0" w:color="000000"/>
            </w:tcBorders>
          </w:tcPr>
          <w:p>
            <w:pPr>
              <w:pStyle w:val="TableParagraph"/>
              <w:spacing w:before="9"/>
              <w:ind w:left="117"/>
              <w:jc w:val="left"/>
              <w:rPr>
                <w:sz w:val="16"/>
              </w:rPr>
            </w:pPr>
            <w:r>
              <w:rPr>
                <w:spacing w:val="-2"/>
                <w:sz w:val="16"/>
              </w:rPr>
              <w:t>Travel</w:t>
            </w:r>
          </w:p>
        </w:tc>
        <w:tc>
          <w:tcPr>
            <w:tcW w:w="1218" w:type="dxa"/>
            <w:tcBorders>
              <w:top w:val="single" w:sz="4" w:space="0" w:color="000000"/>
            </w:tcBorders>
          </w:tcPr>
          <w:p>
            <w:pPr>
              <w:pStyle w:val="TableParagraph"/>
              <w:spacing w:before="9"/>
              <w:ind w:right="191"/>
              <w:rPr>
                <w:sz w:val="16"/>
              </w:rPr>
            </w:pPr>
            <w:r>
              <w:rPr>
                <w:spacing w:val="-4"/>
                <w:sz w:val="16"/>
              </w:rPr>
              <w:t>47.3</w:t>
            </w:r>
          </w:p>
        </w:tc>
        <w:tc>
          <w:tcPr>
            <w:tcW w:w="827" w:type="dxa"/>
            <w:tcBorders>
              <w:top w:val="single" w:sz="4" w:space="0" w:color="000000"/>
            </w:tcBorders>
          </w:tcPr>
          <w:p>
            <w:pPr>
              <w:pStyle w:val="TableParagraph"/>
              <w:spacing w:before="9"/>
              <w:ind w:right="107"/>
              <w:rPr>
                <w:sz w:val="16"/>
              </w:rPr>
            </w:pPr>
            <w:r>
              <w:rPr>
                <w:w w:val="98"/>
                <w:sz w:val="16"/>
              </w:rPr>
              <w:t>-</w:t>
            </w:r>
          </w:p>
        </w:tc>
        <w:tc>
          <w:tcPr>
            <w:tcW w:w="1133" w:type="dxa"/>
            <w:tcBorders>
              <w:top w:val="single" w:sz="4" w:space="0" w:color="000000"/>
            </w:tcBorders>
          </w:tcPr>
          <w:p>
            <w:pPr>
              <w:pStyle w:val="TableParagraph"/>
              <w:spacing w:before="9"/>
              <w:ind w:right="105"/>
              <w:rPr>
                <w:sz w:val="16"/>
              </w:rPr>
            </w:pPr>
            <w:r>
              <w:rPr>
                <w:spacing w:val="-4"/>
                <w:sz w:val="16"/>
              </w:rPr>
              <w:t>47.3</w:t>
            </w:r>
          </w:p>
        </w:tc>
        <w:tc>
          <w:tcPr>
            <w:tcW w:w="1078" w:type="dxa"/>
            <w:tcBorders>
              <w:top w:val="single" w:sz="4" w:space="0" w:color="000000"/>
            </w:tcBorders>
          </w:tcPr>
          <w:p>
            <w:pPr>
              <w:pStyle w:val="TableParagraph"/>
              <w:spacing w:before="9"/>
              <w:ind w:right="50"/>
              <w:rPr>
                <w:sz w:val="16"/>
              </w:rPr>
            </w:pPr>
            <w:r>
              <w:rPr>
                <w:spacing w:val="-4"/>
                <w:sz w:val="16"/>
              </w:rPr>
              <w:t>98.5</w:t>
            </w:r>
          </w:p>
        </w:tc>
        <w:tc>
          <w:tcPr>
            <w:tcW w:w="1177" w:type="dxa"/>
            <w:tcBorders>
              <w:top w:val="single" w:sz="4" w:space="0" w:color="000000"/>
            </w:tcBorders>
          </w:tcPr>
          <w:p>
            <w:pPr>
              <w:pStyle w:val="TableParagraph"/>
              <w:spacing w:before="9"/>
              <w:ind w:right="238"/>
              <w:rPr>
                <w:sz w:val="16"/>
              </w:rPr>
            </w:pPr>
            <w:r>
              <w:rPr>
                <w:spacing w:val="-4"/>
                <w:sz w:val="16"/>
              </w:rPr>
              <w:t>21.9</w:t>
            </w:r>
          </w:p>
        </w:tc>
        <w:tc>
          <w:tcPr>
            <w:tcW w:w="698" w:type="dxa"/>
            <w:tcBorders>
              <w:top w:val="single" w:sz="4" w:space="0" w:color="000000"/>
            </w:tcBorders>
          </w:tcPr>
          <w:p>
            <w:pPr>
              <w:pStyle w:val="TableParagraph"/>
              <w:spacing w:before="9"/>
              <w:ind w:left="229" w:right="161"/>
              <w:jc w:val="center"/>
              <w:rPr>
                <w:sz w:val="16"/>
              </w:rPr>
            </w:pPr>
            <w:r>
              <w:rPr>
                <w:spacing w:val="-4"/>
                <w:sz w:val="16"/>
              </w:rPr>
              <w:t>22.2</w:t>
            </w:r>
          </w:p>
        </w:tc>
        <w:tc>
          <w:tcPr>
            <w:tcW w:w="1053" w:type="dxa"/>
            <w:tcBorders>
              <w:top w:val="single" w:sz="4" w:space="0" w:color="000000"/>
            </w:tcBorders>
          </w:tcPr>
          <w:p>
            <w:pPr>
              <w:pStyle w:val="TableParagraph"/>
              <w:spacing w:before="9"/>
              <w:ind w:right="102"/>
              <w:rPr>
                <w:sz w:val="16"/>
              </w:rPr>
            </w:pPr>
            <w:r>
              <w:rPr>
                <w:spacing w:val="-2"/>
                <w:sz w:val="16"/>
              </w:rPr>
              <w:t>120.4</w:t>
            </w:r>
          </w:p>
        </w:tc>
      </w:tr>
      <w:tr>
        <w:trPr>
          <w:trHeight w:val="228" w:hRule="atLeast"/>
        </w:trPr>
        <w:tc>
          <w:tcPr>
            <w:tcW w:w="2461" w:type="dxa"/>
          </w:tcPr>
          <w:p>
            <w:pPr>
              <w:pStyle w:val="TableParagraph"/>
              <w:spacing w:before="7"/>
              <w:ind w:left="117"/>
              <w:jc w:val="left"/>
              <w:rPr>
                <w:sz w:val="16"/>
              </w:rPr>
            </w:pPr>
            <w:r>
              <w:rPr>
                <w:spacing w:val="-2"/>
                <w:sz w:val="16"/>
              </w:rPr>
              <w:t>Hospitality</w:t>
            </w:r>
          </w:p>
        </w:tc>
        <w:tc>
          <w:tcPr>
            <w:tcW w:w="1218" w:type="dxa"/>
          </w:tcPr>
          <w:p>
            <w:pPr>
              <w:pStyle w:val="TableParagraph"/>
              <w:spacing w:before="7"/>
              <w:ind w:right="193"/>
              <w:rPr>
                <w:sz w:val="16"/>
              </w:rPr>
            </w:pPr>
            <w:r>
              <w:rPr>
                <w:w w:val="98"/>
                <w:sz w:val="16"/>
              </w:rPr>
              <w:t>-</w:t>
            </w:r>
          </w:p>
        </w:tc>
        <w:tc>
          <w:tcPr>
            <w:tcW w:w="827" w:type="dxa"/>
          </w:tcPr>
          <w:p>
            <w:pPr>
              <w:pStyle w:val="TableParagraph"/>
              <w:spacing w:before="7"/>
              <w:ind w:right="107"/>
              <w:rPr>
                <w:sz w:val="16"/>
              </w:rPr>
            </w:pPr>
            <w:r>
              <w:rPr>
                <w:w w:val="98"/>
                <w:sz w:val="16"/>
              </w:rPr>
              <w:t>-</w:t>
            </w:r>
          </w:p>
        </w:tc>
        <w:tc>
          <w:tcPr>
            <w:tcW w:w="1133" w:type="dxa"/>
          </w:tcPr>
          <w:p>
            <w:pPr>
              <w:pStyle w:val="TableParagraph"/>
              <w:spacing w:before="7"/>
              <w:ind w:right="107"/>
              <w:rPr>
                <w:sz w:val="16"/>
              </w:rPr>
            </w:pPr>
            <w:r>
              <w:rPr>
                <w:w w:val="98"/>
                <w:sz w:val="16"/>
              </w:rPr>
              <w:t>-</w:t>
            </w:r>
          </w:p>
        </w:tc>
        <w:tc>
          <w:tcPr>
            <w:tcW w:w="1078" w:type="dxa"/>
          </w:tcPr>
          <w:p>
            <w:pPr>
              <w:pStyle w:val="TableParagraph"/>
              <w:spacing w:before="7"/>
              <w:ind w:right="52"/>
              <w:rPr>
                <w:sz w:val="16"/>
              </w:rPr>
            </w:pPr>
            <w:r>
              <w:rPr>
                <w:w w:val="98"/>
                <w:sz w:val="16"/>
              </w:rPr>
              <w:t>-</w:t>
            </w:r>
          </w:p>
        </w:tc>
        <w:tc>
          <w:tcPr>
            <w:tcW w:w="1177" w:type="dxa"/>
          </w:tcPr>
          <w:p>
            <w:pPr>
              <w:pStyle w:val="TableParagraph"/>
              <w:spacing w:before="7"/>
              <w:ind w:right="240"/>
              <w:rPr>
                <w:sz w:val="16"/>
              </w:rPr>
            </w:pPr>
            <w:r>
              <w:rPr>
                <w:w w:val="98"/>
                <w:sz w:val="16"/>
              </w:rPr>
              <w:t>-</w:t>
            </w:r>
          </w:p>
        </w:tc>
        <w:tc>
          <w:tcPr>
            <w:tcW w:w="698" w:type="dxa"/>
          </w:tcPr>
          <w:p>
            <w:pPr>
              <w:pStyle w:val="TableParagraph"/>
              <w:spacing w:before="7"/>
              <w:ind w:left="291"/>
              <w:jc w:val="center"/>
              <w:rPr>
                <w:sz w:val="16"/>
              </w:rPr>
            </w:pPr>
            <w:r>
              <w:rPr>
                <w:w w:val="98"/>
                <w:sz w:val="16"/>
              </w:rPr>
              <w:t>-</w:t>
            </w:r>
          </w:p>
        </w:tc>
        <w:tc>
          <w:tcPr>
            <w:tcW w:w="1053" w:type="dxa"/>
          </w:tcPr>
          <w:p>
            <w:pPr>
              <w:pStyle w:val="TableParagraph"/>
              <w:spacing w:before="7"/>
              <w:ind w:right="103"/>
              <w:rPr>
                <w:sz w:val="16"/>
              </w:rPr>
            </w:pPr>
            <w:r>
              <w:rPr>
                <w:w w:val="98"/>
                <w:sz w:val="16"/>
              </w:rPr>
              <w:t>-</w:t>
            </w:r>
          </w:p>
        </w:tc>
      </w:tr>
      <w:tr>
        <w:trPr>
          <w:trHeight w:val="228" w:hRule="atLeast"/>
        </w:trPr>
        <w:tc>
          <w:tcPr>
            <w:tcW w:w="2461" w:type="dxa"/>
          </w:tcPr>
          <w:p>
            <w:pPr>
              <w:pStyle w:val="TableParagraph"/>
              <w:spacing w:before="10"/>
              <w:ind w:left="117"/>
              <w:jc w:val="left"/>
              <w:rPr>
                <w:sz w:val="16"/>
              </w:rPr>
            </w:pPr>
            <w:r>
              <w:rPr>
                <w:w w:val="95"/>
                <w:sz w:val="16"/>
              </w:rPr>
              <w:t>Contractual</w:t>
            </w:r>
            <w:r>
              <w:rPr>
                <w:spacing w:val="33"/>
                <w:sz w:val="16"/>
              </w:rPr>
              <w:t> </w:t>
            </w:r>
            <w:r>
              <w:rPr>
                <w:spacing w:val="-2"/>
                <w:sz w:val="16"/>
              </w:rPr>
              <w:t>services</w:t>
            </w:r>
          </w:p>
        </w:tc>
        <w:tc>
          <w:tcPr>
            <w:tcW w:w="1218" w:type="dxa"/>
          </w:tcPr>
          <w:p>
            <w:pPr>
              <w:pStyle w:val="TableParagraph"/>
              <w:spacing w:before="10"/>
              <w:ind w:right="193"/>
              <w:rPr>
                <w:sz w:val="16"/>
              </w:rPr>
            </w:pPr>
            <w:r>
              <w:rPr>
                <w:w w:val="98"/>
                <w:sz w:val="16"/>
              </w:rPr>
              <w:t>-</w:t>
            </w:r>
          </w:p>
        </w:tc>
        <w:tc>
          <w:tcPr>
            <w:tcW w:w="827" w:type="dxa"/>
          </w:tcPr>
          <w:p>
            <w:pPr>
              <w:pStyle w:val="TableParagraph"/>
              <w:spacing w:before="10"/>
              <w:ind w:right="107"/>
              <w:rPr>
                <w:sz w:val="16"/>
              </w:rPr>
            </w:pPr>
            <w:r>
              <w:rPr>
                <w:w w:val="98"/>
                <w:sz w:val="16"/>
              </w:rPr>
              <w:t>-</w:t>
            </w:r>
          </w:p>
        </w:tc>
        <w:tc>
          <w:tcPr>
            <w:tcW w:w="1133" w:type="dxa"/>
          </w:tcPr>
          <w:p>
            <w:pPr>
              <w:pStyle w:val="TableParagraph"/>
              <w:spacing w:before="10"/>
              <w:ind w:right="107"/>
              <w:rPr>
                <w:sz w:val="16"/>
              </w:rPr>
            </w:pPr>
            <w:r>
              <w:rPr>
                <w:w w:val="98"/>
                <w:sz w:val="16"/>
              </w:rPr>
              <w:t>-</w:t>
            </w:r>
          </w:p>
        </w:tc>
        <w:tc>
          <w:tcPr>
            <w:tcW w:w="1078" w:type="dxa"/>
          </w:tcPr>
          <w:p>
            <w:pPr>
              <w:pStyle w:val="TableParagraph"/>
              <w:spacing w:before="10"/>
              <w:ind w:right="55"/>
              <w:rPr>
                <w:sz w:val="16"/>
              </w:rPr>
            </w:pPr>
            <w:r>
              <w:rPr>
                <w:spacing w:val="-5"/>
                <w:sz w:val="16"/>
              </w:rPr>
              <w:t>6.0</w:t>
            </w:r>
          </w:p>
        </w:tc>
        <w:tc>
          <w:tcPr>
            <w:tcW w:w="1177" w:type="dxa"/>
          </w:tcPr>
          <w:p>
            <w:pPr>
              <w:pStyle w:val="TableParagraph"/>
              <w:spacing w:before="10"/>
              <w:ind w:right="240"/>
              <w:rPr>
                <w:sz w:val="16"/>
              </w:rPr>
            </w:pPr>
            <w:r>
              <w:rPr>
                <w:w w:val="98"/>
                <w:sz w:val="16"/>
              </w:rPr>
              <w:t>-</w:t>
            </w:r>
          </w:p>
        </w:tc>
        <w:tc>
          <w:tcPr>
            <w:tcW w:w="698" w:type="dxa"/>
          </w:tcPr>
          <w:p>
            <w:pPr>
              <w:pStyle w:val="TableParagraph"/>
              <w:spacing w:before="10"/>
              <w:ind w:left="291"/>
              <w:jc w:val="center"/>
              <w:rPr>
                <w:sz w:val="16"/>
              </w:rPr>
            </w:pPr>
            <w:r>
              <w:rPr>
                <w:w w:val="98"/>
                <w:sz w:val="16"/>
              </w:rPr>
              <w:t>-</w:t>
            </w:r>
          </w:p>
        </w:tc>
        <w:tc>
          <w:tcPr>
            <w:tcW w:w="1053" w:type="dxa"/>
          </w:tcPr>
          <w:p>
            <w:pPr>
              <w:pStyle w:val="TableParagraph"/>
              <w:spacing w:before="10"/>
              <w:ind w:right="106"/>
              <w:rPr>
                <w:sz w:val="16"/>
              </w:rPr>
            </w:pPr>
            <w:r>
              <w:rPr>
                <w:spacing w:val="-5"/>
                <w:sz w:val="16"/>
              </w:rPr>
              <w:t>6.0</w:t>
            </w:r>
          </w:p>
        </w:tc>
      </w:tr>
      <w:tr>
        <w:trPr>
          <w:trHeight w:val="225" w:hRule="atLeast"/>
        </w:trPr>
        <w:tc>
          <w:tcPr>
            <w:tcW w:w="2461" w:type="dxa"/>
          </w:tcPr>
          <w:p>
            <w:pPr>
              <w:pStyle w:val="TableParagraph"/>
              <w:spacing w:before="7"/>
              <w:ind w:left="117"/>
              <w:jc w:val="left"/>
              <w:rPr>
                <w:sz w:val="16"/>
              </w:rPr>
            </w:pPr>
            <w:r>
              <w:rPr>
                <w:spacing w:val="-2"/>
                <w:sz w:val="16"/>
              </w:rPr>
              <w:t>Training</w:t>
            </w:r>
          </w:p>
        </w:tc>
        <w:tc>
          <w:tcPr>
            <w:tcW w:w="1218" w:type="dxa"/>
          </w:tcPr>
          <w:p>
            <w:pPr>
              <w:pStyle w:val="TableParagraph"/>
              <w:spacing w:before="7"/>
              <w:ind w:right="193"/>
              <w:rPr>
                <w:sz w:val="16"/>
              </w:rPr>
            </w:pPr>
            <w:r>
              <w:rPr>
                <w:w w:val="98"/>
                <w:sz w:val="16"/>
              </w:rPr>
              <w:t>-</w:t>
            </w:r>
          </w:p>
        </w:tc>
        <w:tc>
          <w:tcPr>
            <w:tcW w:w="827" w:type="dxa"/>
          </w:tcPr>
          <w:p>
            <w:pPr>
              <w:pStyle w:val="TableParagraph"/>
              <w:spacing w:before="7"/>
              <w:ind w:right="107"/>
              <w:rPr>
                <w:sz w:val="16"/>
              </w:rPr>
            </w:pPr>
            <w:r>
              <w:rPr>
                <w:w w:val="98"/>
                <w:sz w:val="16"/>
              </w:rPr>
              <w:t>-</w:t>
            </w:r>
          </w:p>
        </w:tc>
        <w:tc>
          <w:tcPr>
            <w:tcW w:w="1133" w:type="dxa"/>
          </w:tcPr>
          <w:p>
            <w:pPr>
              <w:pStyle w:val="TableParagraph"/>
              <w:spacing w:before="7"/>
              <w:ind w:right="107"/>
              <w:rPr>
                <w:sz w:val="16"/>
              </w:rPr>
            </w:pPr>
            <w:r>
              <w:rPr>
                <w:w w:val="98"/>
                <w:sz w:val="16"/>
              </w:rPr>
              <w:t>-</w:t>
            </w:r>
          </w:p>
        </w:tc>
        <w:tc>
          <w:tcPr>
            <w:tcW w:w="1078" w:type="dxa"/>
          </w:tcPr>
          <w:p>
            <w:pPr>
              <w:pStyle w:val="TableParagraph"/>
              <w:spacing w:before="7"/>
              <w:ind w:right="52"/>
              <w:rPr>
                <w:sz w:val="16"/>
              </w:rPr>
            </w:pPr>
            <w:r>
              <w:rPr>
                <w:w w:val="98"/>
                <w:sz w:val="16"/>
              </w:rPr>
              <w:t>-</w:t>
            </w:r>
          </w:p>
        </w:tc>
        <w:tc>
          <w:tcPr>
            <w:tcW w:w="1177" w:type="dxa"/>
          </w:tcPr>
          <w:p>
            <w:pPr>
              <w:pStyle w:val="TableParagraph"/>
              <w:spacing w:before="7"/>
              <w:ind w:right="240"/>
              <w:rPr>
                <w:sz w:val="16"/>
              </w:rPr>
            </w:pPr>
            <w:r>
              <w:rPr>
                <w:w w:val="98"/>
                <w:sz w:val="16"/>
              </w:rPr>
              <w:t>-</w:t>
            </w:r>
          </w:p>
        </w:tc>
        <w:tc>
          <w:tcPr>
            <w:tcW w:w="698" w:type="dxa"/>
          </w:tcPr>
          <w:p>
            <w:pPr>
              <w:pStyle w:val="TableParagraph"/>
              <w:spacing w:before="7"/>
              <w:ind w:left="291"/>
              <w:jc w:val="center"/>
              <w:rPr>
                <w:sz w:val="16"/>
              </w:rPr>
            </w:pPr>
            <w:r>
              <w:rPr>
                <w:w w:val="98"/>
                <w:sz w:val="16"/>
              </w:rPr>
              <w:t>-</w:t>
            </w:r>
          </w:p>
        </w:tc>
        <w:tc>
          <w:tcPr>
            <w:tcW w:w="1053" w:type="dxa"/>
          </w:tcPr>
          <w:p>
            <w:pPr>
              <w:pStyle w:val="TableParagraph"/>
              <w:spacing w:before="7"/>
              <w:ind w:right="103"/>
              <w:rPr>
                <w:sz w:val="16"/>
              </w:rPr>
            </w:pPr>
            <w:r>
              <w:rPr>
                <w:w w:val="98"/>
                <w:sz w:val="16"/>
              </w:rPr>
              <w:t>-</w:t>
            </w:r>
          </w:p>
        </w:tc>
      </w:tr>
      <w:tr>
        <w:trPr>
          <w:trHeight w:val="228" w:hRule="atLeast"/>
        </w:trPr>
        <w:tc>
          <w:tcPr>
            <w:tcW w:w="2461" w:type="dxa"/>
          </w:tcPr>
          <w:p>
            <w:pPr>
              <w:pStyle w:val="TableParagraph"/>
              <w:spacing w:before="7"/>
              <w:ind w:left="117"/>
              <w:jc w:val="left"/>
              <w:rPr>
                <w:sz w:val="16"/>
              </w:rPr>
            </w:pPr>
            <w:r>
              <w:rPr>
                <w:spacing w:val="-2"/>
                <w:sz w:val="16"/>
              </w:rPr>
              <w:t>Consultants</w:t>
            </w:r>
          </w:p>
        </w:tc>
        <w:tc>
          <w:tcPr>
            <w:tcW w:w="1218" w:type="dxa"/>
          </w:tcPr>
          <w:p>
            <w:pPr>
              <w:pStyle w:val="TableParagraph"/>
              <w:spacing w:before="7"/>
              <w:ind w:right="193"/>
              <w:rPr>
                <w:sz w:val="16"/>
              </w:rPr>
            </w:pPr>
            <w:r>
              <w:rPr>
                <w:w w:val="98"/>
                <w:sz w:val="16"/>
              </w:rPr>
              <w:t>-</w:t>
            </w:r>
          </w:p>
        </w:tc>
        <w:tc>
          <w:tcPr>
            <w:tcW w:w="827" w:type="dxa"/>
          </w:tcPr>
          <w:p>
            <w:pPr>
              <w:pStyle w:val="TableParagraph"/>
              <w:spacing w:before="7"/>
              <w:ind w:right="107"/>
              <w:rPr>
                <w:sz w:val="16"/>
              </w:rPr>
            </w:pPr>
            <w:r>
              <w:rPr>
                <w:w w:val="98"/>
                <w:sz w:val="16"/>
              </w:rPr>
              <w:t>-</w:t>
            </w:r>
          </w:p>
        </w:tc>
        <w:tc>
          <w:tcPr>
            <w:tcW w:w="1133" w:type="dxa"/>
          </w:tcPr>
          <w:p>
            <w:pPr>
              <w:pStyle w:val="TableParagraph"/>
              <w:spacing w:before="7"/>
              <w:ind w:right="107"/>
              <w:rPr>
                <w:sz w:val="16"/>
              </w:rPr>
            </w:pPr>
            <w:r>
              <w:rPr>
                <w:w w:val="98"/>
                <w:sz w:val="16"/>
              </w:rPr>
              <w:t>-</w:t>
            </w:r>
          </w:p>
        </w:tc>
        <w:tc>
          <w:tcPr>
            <w:tcW w:w="1078" w:type="dxa"/>
          </w:tcPr>
          <w:p>
            <w:pPr>
              <w:pStyle w:val="TableParagraph"/>
              <w:spacing w:before="7"/>
              <w:ind w:right="52"/>
              <w:rPr>
                <w:sz w:val="16"/>
              </w:rPr>
            </w:pPr>
            <w:r>
              <w:rPr>
                <w:w w:val="98"/>
                <w:sz w:val="16"/>
              </w:rPr>
              <w:t>-</w:t>
            </w:r>
          </w:p>
        </w:tc>
        <w:tc>
          <w:tcPr>
            <w:tcW w:w="1177" w:type="dxa"/>
          </w:tcPr>
          <w:p>
            <w:pPr>
              <w:pStyle w:val="TableParagraph"/>
              <w:spacing w:before="7"/>
              <w:ind w:right="240"/>
              <w:rPr>
                <w:sz w:val="16"/>
              </w:rPr>
            </w:pPr>
            <w:r>
              <w:rPr>
                <w:w w:val="98"/>
                <w:sz w:val="16"/>
              </w:rPr>
              <w:t>-</w:t>
            </w:r>
          </w:p>
        </w:tc>
        <w:tc>
          <w:tcPr>
            <w:tcW w:w="698" w:type="dxa"/>
          </w:tcPr>
          <w:p>
            <w:pPr>
              <w:pStyle w:val="TableParagraph"/>
              <w:spacing w:before="7"/>
              <w:ind w:left="291"/>
              <w:jc w:val="center"/>
              <w:rPr>
                <w:sz w:val="16"/>
              </w:rPr>
            </w:pPr>
            <w:r>
              <w:rPr>
                <w:w w:val="98"/>
                <w:sz w:val="16"/>
              </w:rPr>
              <w:t>-</w:t>
            </w:r>
          </w:p>
        </w:tc>
        <w:tc>
          <w:tcPr>
            <w:tcW w:w="1053" w:type="dxa"/>
          </w:tcPr>
          <w:p>
            <w:pPr>
              <w:pStyle w:val="TableParagraph"/>
              <w:spacing w:before="7"/>
              <w:ind w:right="103"/>
              <w:rPr>
                <w:sz w:val="16"/>
              </w:rPr>
            </w:pPr>
            <w:r>
              <w:rPr>
                <w:w w:val="98"/>
                <w:sz w:val="16"/>
              </w:rPr>
              <w:t>-</w:t>
            </w:r>
          </w:p>
        </w:tc>
      </w:tr>
      <w:tr>
        <w:trPr>
          <w:trHeight w:val="227" w:hRule="atLeast"/>
        </w:trPr>
        <w:tc>
          <w:tcPr>
            <w:tcW w:w="2461" w:type="dxa"/>
          </w:tcPr>
          <w:p>
            <w:pPr>
              <w:pStyle w:val="TableParagraph"/>
              <w:spacing w:before="10"/>
              <w:ind w:left="117"/>
              <w:jc w:val="left"/>
              <w:rPr>
                <w:sz w:val="16"/>
              </w:rPr>
            </w:pPr>
            <w:r>
              <w:rPr>
                <w:sz w:val="16"/>
              </w:rPr>
              <w:t>General</w:t>
            </w:r>
            <w:r>
              <w:rPr>
                <w:spacing w:val="-4"/>
                <w:sz w:val="16"/>
              </w:rPr>
              <w:t> </w:t>
            </w:r>
            <w:r>
              <w:rPr>
                <w:sz w:val="16"/>
              </w:rPr>
              <w:t>operating</w:t>
            </w:r>
            <w:r>
              <w:rPr>
                <w:spacing w:val="-1"/>
                <w:sz w:val="16"/>
              </w:rPr>
              <w:t> </w:t>
            </w:r>
            <w:r>
              <w:rPr>
                <w:spacing w:val="-2"/>
                <w:sz w:val="16"/>
              </w:rPr>
              <w:t>expenses</w:t>
            </w:r>
          </w:p>
        </w:tc>
        <w:tc>
          <w:tcPr>
            <w:tcW w:w="1218" w:type="dxa"/>
          </w:tcPr>
          <w:p>
            <w:pPr>
              <w:pStyle w:val="TableParagraph"/>
              <w:spacing w:before="10"/>
              <w:ind w:right="193"/>
              <w:rPr>
                <w:sz w:val="16"/>
              </w:rPr>
            </w:pPr>
            <w:r>
              <w:rPr>
                <w:w w:val="98"/>
                <w:sz w:val="16"/>
              </w:rPr>
              <w:t>-</w:t>
            </w:r>
          </w:p>
        </w:tc>
        <w:tc>
          <w:tcPr>
            <w:tcW w:w="827" w:type="dxa"/>
          </w:tcPr>
          <w:p>
            <w:pPr>
              <w:pStyle w:val="TableParagraph"/>
              <w:spacing w:before="10"/>
              <w:ind w:right="107"/>
              <w:rPr>
                <w:sz w:val="16"/>
              </w:rPr>
            </w:pPr>
            <w:r>
              <w:rPr>
                <w:w w:val="98"/>
                <w:sz w:val="16"/>
              </w:rPr>
              <w:t>-</w:t>
            </w:r>
          </w:p>
        </w:tc>
        <w:tc>
          <w:tcPr>
            <w:tcW w:w="1133" w:type="dxa"/>
          </w:tcPr>
          <w:p>
            <w:pPr>
              <w:pStyle w:val="TableParagraph"/>
              <w:spacing w:before="10"/>
              <w:ind w:right="107"/>
              <w:rPr>
                <w:sz w:val="16"/>
              </w:rPr>
            </w:pPr>
            <w:r>
              <w:rPr>
                <w:w w:val="98"/>
                <w:sz w:val="16"/>
              </w:rPr>
              <w:t>-</w:t>
            </w:r>
          </w:p>
        </w:tc>
        <w:tc>
          <w:tcPr>
            <w:tcW w:w="1078" w:type="dxa"/>
          </w:tcPr>
          <w:p>
            <w:pPr>
              <w:pStyle w:val="TableParagraph"/>
              <w:spacing w:before="10"/>
              <w:ind w:right="52"/>
              <w:rPr>
                <w:sz w:val="16"/>
              </w:rPr>
            </w:pPr>
            <w:r>
              <w:rPr>
                <w:w w:val="98"/>
                <w:sz w:val="16"/>
              </w:rPr>
              <w:t>-</w:t>
            </w:r>
          </w:p>
        </w:tc>
        <w:tc>
          <w:tcPr>
            <w:tcW w:w="1177" w:type="dxa"/>
          </w:tcPr>
          <w:p>
            <w:pPr>
              <w:pStyle w:val="TableParagraph"/>
              <w:spacing w:before="10"/>
              <w:ind w:right="240"/>
              <w:rPr>
                <w:sz w:val="16"/>
              </w:rPr>
            </w:pPr>
            <w:r>
              <w:rPr>
                <w:w w:val="98"/>
                <w:sz w:val="16"/>
              </w:rPr>
              <w:t>-</w:t>
            </w:r>
          </w:p>
        </w:tc>
        <w:tc>
          <w:tcPr>
            <w:tcW w:w="698" w:type="dxa"/>
          </w:tcPr>
          <w:p>
            <w:pPr>
              <w:pStyle w:val="TableParagraph"/>
              <w:spacing w:before="10"/>
              <w:ind w:left="291"/>
              <w:jc w:val="center"/>
              <w:rPr>
                <w:sz w:val="16"/>
              </w:rPr>
            </w:pPr>
            <w:r>
              <w:rPr>
                <w:w w:val="98"/>
                <w:sz w:val="16"/>
              </w:rPr>
              <w:t>-</w:t>
            </w:r>
          </w:p>
        </w:tc>
        <w:tc>
          <w:tcPr>
            <w:tcW w:w="1053" w:type="dxa"/>
          </w:tcPr>
          <w:p>
            <w:pPr>
              <w:pStyle w:val="TableParagraph"/>
              <w:spacing w:before="10"/>
              <w:ind w:right="103"/>
              <w:rPr>
                <w:sz w:val="16"/>
              </w:rPr>
            </w:pPr>
            <w:r>
              <w:rPr>
                <w:w w:val="98"/>
                <w:sz w:val="16"/>
              </w:rPr>
              <w:t>-</w:t>
            </w:r>
          </w:p>
        </w:tc>
      </w:tr>
      <w:tr>
        <w:trPr>
          <w:trHeight w:val="225" w:hRule="atLeast"/>
        </w:trPr>
        <w:tc>
          <w:tcPr>
            <w:tcW w:w="2461" w:type="dxa"/>
          </w:tcPr>
          <w:p>
            <w:pPr>
              <w:pStyle w:val="TableParagraph"/>
              <w:spacing w:before="7"/>
              <w:ind w:left="117"/>
              <w:jc w:val="left"/>
              <w:rPr>
                <w:sz w:val="16"/>
              </w:rPr>
            </w:pPr>
            <w:r>
              <w:rPr>
                <w:sz w:val="16"/>
              </w:rPr>
              <w:t>Supplies</w:t>
            </w:r>
            <w:r>
              <w:rPr>
                <w:spacing w:val="-4"/>
                <w:sz w:val="16"/>
              </w:rPr>
              <w:t> </w:t>
            </w:r>
            <w:r>
              <w:rPr>
                <w:sz w:val="16"/>
              </w:rPr>
              <w:t>and</w:t>
            </w:r>
            <w:r>
              <w:rPr>
                <w:spacing w:val="-2"/>
                <w:sz w:val="16"/>
              </w:rPr>
              <w:t> materials</w:t>
            </w:r>
          </w:p>
        </w:tc>
        <w:tc>
          <w:tcPr>
            <w:tcW w:w="1218" w:type="dxa"/>
          </w:tcPr>
          <w:p>
            <w:pPr>
              <w:pStyle w:val="TableParagraph"/>
              <w:spacing w:before="7"/>
              <w:ind w:right="193"/>
              <w:rPr>
                <w:sz w:val="16"/>
              </w:rPr>
            </w:pPr>
            <w:r>
              <w:rPr>
                <w:w w:val="98"/>
                <w:sz w:val="16"/>
              </w:rPr>
              <w:t>-</w:t>
            </w:r>
          </w:p>
        </w:tc>
        <w:tc>
          <w:tcPr>
            <w:tcW w:w="827" w:type="dxa"/>
          </w:tcPr>
          <w:p>
            <w:pPr>
              <w:pStyle w:val="TableParagraph"/>
              <w:spacing w:before="7"/>
              <w:ind w:right="107"/>
              <w:rPr>
                <w:sz w:val="16"/>
              </w:rPr>
            </w:pPr>
            <w:r>
              <w:rPr>
                <w:w w:val="98"/>
                <w:sz w:val="16"/>
              </w:rPr>
              <w:t>-</w:t>
            </w:r>
          </w:p>
        </w:tc>
        <w:tc>
          <w:tcPr>
            <w:tcW w:w="1133" w:type="dxa"/>
          </w:tcPr>
          <w:p>
            <w:pPr>
              <w:pStyle w:val="TableParagraph"/>
              <w:spacing w:before="7"/>
              <w:ind w:right="107"/>
              <w:rPr>
                <w:sz w:val="16"/>
              </w:rPr>
            </w:pPr>
            <w:r>
              <w:rPr>
                <w:w w:val="98"/>
                <w:sz w:val="16"/>
              </w:rPr>
              <w:t>-</w:t>
            </w:r>
          </w:p>
        </w:tc>
        <w:tc>
          <w:tcPr>
            <w:tcW w:w="1078" w:type="dxa"/>
          </w:tcPr>
          <w:p>
            <w:pPr>
              <w:pStyle w:val="TableParagraph"/>
              <w:spacing w:before="7"/>
              <w:ind w:right="52"/>
              <w:rPr>
                <w:sz w:val="16"/>
              </w:rPr>
            </w:pPr>
            <w:r>
              <w:rPr>
                <w:w w:val="98"/>
                <w:sz w:val="16"/>
              </w:rPr>
              <w:t>-</w:t>
            </w:r>
          </w:p>
        </w:tc>
        <w:tc>
          <w:tcPr>
            <w:tcW w:w="1177" w:type="dxa"/>
          </w:tcPr>
          <w:p>
            <w:pPr>
              <w:pStyle w:val="TableParagraph"/>
              <w:spacing w:before="7"/>
              <w:ind w:right="240"/>
              <w:rPr>
                <w:sz w:val="16"/>
              </w:rPr>
            </w:pPr>
            <w:r>
              <w:rPr>
                <w:w w:val="98"/>
                <w:sz w:val="16"/>
              </w:rPr>
              <w:t>-</w:t>
            </w:r>
          </w:p>
        </w:tc>
        <w:tc>
          <w:tcPr>
            <w:tcW w:w="698" w:type="dxa"/>
          </w:tcPr>
          <w:p>
            <w:pPr>
              <w:pStyle w:val="TableParagraph"/>
              <w:spacing w:before="7"/>
              <w:ind w:left="291"/>
              <w:jc w:val="center"/>
              <w:rPr>
                <w:sz w:val="16"/>
              </w:rPr>
            </w:pPr>
            <w:r>
              <w:rPr>
                <w:w w:val="98"/>
                <w:sz w:val="16"/>
              </w:rPr>
              <w:t>-</w:t>
            </w:r>
          </w:p>
        </w:tc>
        <w:tc>
          <w:tcPr>
            <w:tcW w:w="1053" w:type="dxa"/>
          </w:tcPr>
          <w:p>
            <w:pPr>
              <w:pStyle w:val="TableParagraph"/>
              <w:spacing w:before="7"/>
              <w:ind w:right="103"/>
              <w:rPr>
                <w:sz w:val="16"/>
              </w:rPr>
            </w:pPr>
            <w:r>
              <w:rPr>
                <w:w w:val="98"/>
                <w:sz w:val="16"/>
              </w:rPr>
              <w:t>-</w:t>
            </w:r>
          </w:p>
        </w:tc>
      </w:tr>
      <w:tr>
        <w:trPr>
          <w:trHeight w:val="223" w:hRule="atLeast"/>
        </w:trPr>
        <w:tc>
          <w:tcPr>
            <w:tcW w:w="2461" w:type="dxa"/>
            <w:tcBorders>
              <w:bottom w:val="single" w:sz="4" w:space="0" w:color="000000"/>
            </w:tcBorders>
          </w:tcPr>
          <w:p>
            <w:pPr>
              <w:pStyle w:val="TableParagraph"/>
              <w:spacing w:before="7"/>
              <w:ind w:left="117"/>
              <w:jc w:val="left"/>
              <w:rPr>
                <w:sz w:val="16"/>
              </w:rPr>
            </w:pPr>
            <w:r>
              <w:rPr>
                <w:sz w:val="16"/>
              </w:rPr>
              <w:t>Furniture</w:t>
            </w:r>
            <w:r>
              <w:rPr>
                <w:spacing w:val="-4"/>
                <w:sz w:val="16"/>
              </w:rPr>
              <w:t> </w:t>
            </w:r>
            <w:r>
              <w:rPr>
                <w:sz w:val="16"/>
              </w:rPr>
              <w:t>and</w:t>
            </w:r>
            <w:r>
              <w:rPr>
                <w:spacing w:val="-2"/>
                <w:sz w:val="16"/>
              </w:rPr>
              <w:t> equipment</w:t>
            </w:r>
          </w:p>
        </w:tc>
        <w:tc>
          <w:tcPr>
            <w:tcW w:w="1218" w:type="dxa"/>
            <w:tcBorders>
              <w:bottom w:val="single" w:sz="4" w:space="0" w:color="000000"/>
            </w:tcBorders>
          </w:tcPr>
          <w:p>
            <w:pPr>
              <w:pStyle w:val="TableParagraph"/>
              <w:spacing w:before="7"/>
              <w:ind w:right="193"/>
              <w:rPr>
                <w:sz w:val="16"/>
              </w:rPr>
            </w:pPr>
            <w:r>
              <w:rPr>
                <w:w w:val="98"/>
                <w:sz w:val="16"/>
              </w:rPr>
              <w:t>-</w:t>
            </w:r>
          </w:p>
        </w:tc>
        <w:tc>
          <w:tcPr>
            <w:tcW w:w="827" w:type="dxa"/>
            <w:tcBorders>
              <w:bottom w:val="single" w:sz="4" w:space="0" w:color="000000"/>
            </w:tcBorders>
          </w:tcPr>
          <w:p>
            <w:pPr>
              <w:pStyle w:val="TableParagraph"/>
              <w:spacing w:before="7"/>
              <w:ind w:right="107"/>
              <w:rPr>
                <w:sz w:val="16"/>
              </w:rPr>
            </w:pPr>
            <w:r>
              <w:rPr>
                <w:w w:val="98"/>
                <w:sz w:val="16"/>
              </w:rPr>
              <w:t>-</w:t>
            </w:r>
          </w:p>
        </w:tc>
        <w:tc>
          <w:tcPr>
            <w:tcW w:w="1133" w:type="dxa"/>
            <w:tcBorders>
              <w:bottom w:val="single" w:sz="4" w:space="0" w:color="000000"/>
            </w:tcBorders>
          </w:tcPr>
          <w:p>
            <w:pPr>
              <w:pStyle w:val="TableParagraph"/>
              <w:spacing w:before="7"/>
              <w:ind w:right="107"/>
              <w:rPr>
                <w:sz w:val="16"/>
              </w:rPr>
            </w:pPr>
            <w:r>
              <w:rPr>
                <w:w w:val="98"/>
                <w:sz w:val="16"/>
              </w:rPr>
              <w:t>-</w:t>
            </w:r>
          </w:p>
        </w:tc>
        <w:tc>
          <w:tcPr>
            <w:tcW w:w="1078" w:type="dxa"/>
            <w:tcBorders>
              <w:bottom w:val="single" w:sz="4" w:space="0" w:color="000000"/>
            </w:tcBorders>
          </w:tcPr>
          <w:p>
            <w:pPr>
              <w:pStyle w:val="TableParagraph"/>
              <w:spacing w:before="7"/>
              <w:ind w:right="52"/>
              <w:rPr>
                <w:sz w:val="16"/>
              </w:rPr>
            </w:pPr>
            <w:r>
              <w:rPr>
                <w:w w:val="98"/>
                <w:sz w:val="16"/>
              </w:rPr>
              <w:t>-</w:t>
            </w:r>
          </w:p>
        </w:tc>
        <w:tc>
          <w:tcPr>
            <w:tcW w:w="1177" w:type="dxa"/>
            <w:tcBorders>
              <w:bottom w:val="single" w:sz="4" w:space="0" w:color="000000"/>
            </w:tcBorders>
          </w:tcPr>
          <w:p>
            <w:pPr>
              <w:pStyle w:val="TableParagraph"/>
              <w:spacing w:before="7"/>
              <w:ind w:right="240"/>
              <w:rPr>
                <w:sz w:val="16"/>
              </w:rPr>
            </w:pPr>
            <w:r>
              <w:rPr>
                <w:w w:val="98"/>
                <w:sz w:val="16"/>
              </w:rPr>
              <w:t>-</w:t>
            </w:r>
          </w:p>
        </w:tc>
        <w:tc>
          <w:tcPr>
            <w:tcW w:w="698" w:type="dxa"/>
            <w:tcBorders>
              <w:bottom w:val="single" w:sz="4" w:space="0" w:color="000000"/>
            </w:tcBorders>
          </w:tcPr>
          <w:p>
            <w:pPr>
              <w:pStyle w:val="TableParagraph"/>
              <w:spacing w:before="7"/>
              <w:ind w:left="291"/>
              <w:jc w:val="center"/>
              <w:rPr>
                <w:sz w:val="16"/>
              </w:rPr>
            </w:pPr>
            <w:r>
              <w:rPr>
                <w:w w:val="98"/>
                <w:sz w:val="16"/>
              </w:rPr>
              <w:t>-</w:t>
            </w:r>
          </w:p>
        </w:tc>
        <w:tc>
          <w:tcPr>
            <w:tcW w:w="1053" w:type="dxa"/>
            <w:tcBorders>
              <w:bottom w:val="single" w:sz="4" w:space="0" w:color="000000"/>
            </w:tcBorders>
          </w:tcPr>
          <w:p>
            <w:pPr>
              <w:pStyle w:val="TableParagraph"/>
              <w:spacing w:before="7"/>
              <w:ind w:right="103"/>
              <w:rPr>
                <w:sz w:val="16"/>
              </w:rPr>
            </w:pPr>
            <w:r>
              <w:rPr>
                <w:w w:val="98"/>
                <w:sz w:val="16"/>
              </w:rPr>
              <w:t>-</w:t>
            </w:r>
          </w:p>
        </w:tc>
      </w:tr>
      <w:tr>
        <w:trPr>
          <w:trHeight w:val="225" w:hRule="atLeast"/>
        </w:trPr>
        <w:tc>
          <w:tcPr>
            <w:tcW w:w="2461" w:type="dxa"/>
            <w:tcBorders>
              <w:top w:val="single" w:sz="4" w:space="0" w:color="000000"/>
              <w:bottom w:val="single" w:sz="4" w:space="0" w:color="000000"/>
            </w:tcBorders>
          </w:tcPr>
          <w:p>
            <w:pPr>
              <w:pStyle w:val="TableParagraph"/>
              <w:spacing w:before="14"/>
              <w:ind w:right="103"/>
              <w:rPr>
                <w:i/>
                <w:sz w:val="16"/>
              </w:rPr>
            </w:pPr>
            <w:r>
              <w:rPr>
                <w:i/>
                <w:w w:val="95"/>
                <w:sz w:val="16"/>
              </w:rPr>
              <w:t>Subtotal</w:t>
            </w:r>
            <w:r>
              <w:rPr>
                <w:i/>
                <w:spacing w:val="40"/>
                <w:sz w:val="16"/>
              </w:rPr>
              <w:t> </w:t>
            </w:r>
            <w:r>
              <w:rPr>
                <w:i/>
                <w:w w:val="95"/>
                <w:sz w:val="16"/>
              </w:rPr>
              <w:t>non-</w:t>
            </w:r>
            <w:r>
              <w:rPr>
                <w:i/>
                <w:spacing w:val="-4"/>
                <w:w w:val="95"/>
                <w:sz w:val="16"/>
              </w:rPr>
              <w:t>staff</w:t>
            </w:r>
          </w:p>
        </w:tc>
        <w:tc>
          <w:tcPr>
            <w:tcW w:w="1218" w:type="dxa"/>
            <w:tcBorders>
              <w:top w:val="single" w:sz="4" w:space="0" w:color="000000"/>
              <w:bottom w:val="single" w:sz="4" w:space="0" w:color="000000"/>
            </w:tcBorders>
          </w:tcPr>
          <w:p>
            <w:pPr>
              <w:pStyle w:val="TableParagraph"/>
              <w:spacing w:before="14"/>
              <w:ind w:right="191"/>
              <w:rPr>
                <w:i/>
                <w:sz w:val="16"/>
              </w:rPr>
            </w:pPr>
            <w:r>
              <w:rPr>
                <w:i/>
                <w:spacing w:val="-4"/>
                <w:sz w:val="16"/>
              </w:rPr>
              <w:t>47.3</w:t>
            </w:r>
          </w:p>
        </w:tc>
        <w:tc>
          <w:tcPr>
            <w:tcW w:w="827" w:type="dxa"/>
            <w:tcBorders>
              <w:top w:val="single" w:sz="4" w:space="0" w:color="000000"/>
              <w:bottom w:val="single" w:sz="4" w:space="0" w:color="000000"/>
            </w:tcBorders>
          </w:tcPr>
          <w:p>
            <w:pPr>
              <w:pStyle w:val="TableParagraph"/>
              <w:spacing w:before="14"/>
              <w:ind w:right="107"/>
              <w:rPr>
                <w:i/>
                <w:sz w:val="16"/>
              </w:rPr>
            </w:pPr>
            <w:r>
              <w:rPr>
                <w:i/>
                <w:w w:val="98"/>
                <w:sz w:val="16"/>
              </w:rPr>
              <w:t>-</w:t>
            </w:r>
          </w:p>
        </w:tc>
        <w:tc>
          <w:tcPr>
            <w:tcW w:w="1133" w:type="dxa"/>
            <w:tcBorders>
              <w:top w:val="single" w:sz="4" w:space="0" w:color="000000"/>
              <w:bottom w:val="single" w:sz="4" w:space="0" w:color="000000"/>
            </w:tcBorders>
          </w:tcPr>
          <w:p>
            <w:pPr>
              <w:pStyle w:val="TableParagraph"/>
              <w:spacing w:before="14"/>
              <w:ind w:right="105"/>
              <w:rPr>
                <w:i/>
                <w:sz w:val="16"/>
              </w:rPr>
            </w:pPr>
            <w:r>
              <w:rPr>
                <w:i/>
                <w:spacing w:val="-4"/>
                <w:sz w:val="16"/>
              </w:rPr>
              <w:t>47.3</w:t>
            </w:r>
          </w:p>
        </w:tc>
        <w:tc>
          <w:tcPr>
            <w:tcW w:w="1078" w:type="dxa"/>
            <w:tcBorders>
              <w:top w:val="single" w:sz="4" w:space="0" w:color="000000"/>
              <w:bottom w:val="single" w:sz="4" w:space="0" w:color="000000"/>
            </w:tcBorders>
          </w:tcPr>
          <w:p>
            <w:pPr>
              <w:pStyle w:val="TableParagraph"/>
              <w:spacing w:before="14"/>
              <w:ind w:right="50"/>
              <w:rPr>
                <w:i/>
                <w:sz w:val="16"/>
              </w:rPr>
            </w:pPr>
            <w:r>
              <w:rPr>
                <w:i/>
                <w:spacing w:val="-2"/>
                <w:sz w:val="16"/>
              </w:rPr>
              <w:t>104.5</w:t>
            </w:r>
          </w:p>
        </w:tc>
        <w:tc>
          <w:tcPr>
            <w:tcW w:w="1177" w:type="dxa"/>
            <w:tcBorders>
              <w:top w:val="single" w:sz="4" w:space="0" w:color="000000"/>
              <w:bottom w:val="single" w:sz="4" w:space="0" w:color="000000"/>
            </w:tcBorders>
          </w:tcPr>
          <w:p>
            <w:pPr>
              <w:pStyle w:val="TableParagraph"/>
              <w:spacing w:before="14"/>
              <w:ind w:right="238"/>
              <w:rPr>
                <w:i/>
                <w:sz w:val="16"/>
              </w:rPr>
            </w:pPr>
            <w:r>
              <w:rPr>
                <w:i/>
                <w:spacing w:val="-4"/>
                <w:sz w:val="16"/>
              </w:rPr>
              <w:t>21.9</w:t>
            </w:r>
          </w:p>
        </w:tc>
        <w:tc>
          <w:tcPr>
            <w:tcW w:w="698" w:type="dxa"/>
            <w:tcBorders>
              <w:top w:val="single" w:sz="4" w:space="0" w:color="000000"/>
              <w:bottom w:val="single" w:sz="4" w:space="0" w:color="000000"/>
            </w:tcBorders>
          </w:tcPr>
          <w:p>
            <w:pPr>
              <w:pStyle w:val="TableParagraph"/>
              <w:spacing w:before="14"/>
              <w:ind w:left="229" w:right="161"/>
              <w:jc w:val="center"/>
              <w:rPr>
                <w:i/>
                <w:sz w:val="16"/>
              </w:rPr>
            </w:pPr>
            <w:r>
              <w:rPr>
                <w:i/>
                <w:spacing w:val="-4"/>
                <w:sz w:val="16"/>
              </w:rPr>
              <w:t>21.0</w:t>
            </w:r>
          </w:p>
        </w:tc>
        <w:tc>
          <w:tcPr>
            <w:tcW w:w="1053" w:type="dxa"/>
            <w:tcBorders>
              <w:top w:val="single" w:sz="4" w:space="0" w:color="000000"/>
              <w:bottom w:val="single" w:sz="4" w:space="0" w:color="000000"/>
            </w:tcBorders>
          </w:tcPr>
          <w:p>
            <w:pPr>
              <w:pStyle w:val="TableParagraph"/>
              <w:spacing w:before="14"/>
              <w:ind w:right="102"/>
              <w:rPr>
                <w:i/>
                <w:sz w:val="16"/>
              </w:rPr>
            </w:pPr>
            <w:r>
              <w:rPr>
                <w:i/>
                <w:spacing w:val="-2"/>
                <w:sz w:val="16"/>
              </w:rPr>
              <w:t>126.4</w:t>
            </w:r>
          </w:p>
        </w:tc>
      </w:tr>
      <w:tr>
        <w:trPr>
          <w:trHeight w:val="230" w:hRule="atLeast"/>
        </w:trPr>
        <w:tc>
          <w:tcPr>
            <w:tcW w:w="2461" w:type="dxa"/>
            <w:tcBorders>
              <w:top w:val="single" w:sz="4" w:space="0" w:color="000000"/>
              <w:bottom w:val="single" w:sz="12" w:space="0" w:color="000000"/>
            </w:tcBorders>
          </w:tcPr>
          <w:p>
            <w:pPr>
              <w:pStyle w:val="TableParagraph"/>
              <w:spacing w:before="14"/>
              <w:ind w:left="117"/>
              <w:jc w:val="left"/>
              <w:rPr>
                <w:b/>
                <w:sz w:val="16"/>
              </w:rPr>
            </w:pPr>
            <w:r>
              <w:rPr>
                <w:b/>
                <w:spacing w:val="-2"/>
                <w:sz w:val="16"/>
              </w:rPr>
              <w:t>Total</w:t>
            </w:r>
          </w:p>
        </w:tc>
        <w:tc>
          <w:tcPr>
            <w:tcW w:w="1218" w:type="dxa"/>
            <w:tcBorders>
              <w:top w:val="single" w:sz="4" w:space="0" w:color="000000"/>
              <w:bottom w:val="single" w:sz="12" w:space="0" w:color="000000"/>
            </w:tcBorders>
          </w:tcPr>
          <w:p>
            <w:pPr>
              <w:pStyle w:val="TableParagraph"/>
              <w:spacing w:before="14"/>
              <w:ind w:right="191"/>
              <w:rPr>
                <w:b/>
                <w:sz w:val="16"/>
              </w:rPr>
            </w:pPr>
            <w:r>
              <w:rPr>
                <w:b/>
                <w:spacing w:val="-2"/>
                <w:sz w:val="16"/>
              </w:rPr>
              <w:t>173.5</w:t>
            </w:r>
          </w:p>
        </w:tc>
        <w:tc>
          <w:tcPr>
            <w:tcW w:w="827" w:type="dxa"/>
            <w:tcBorders>
              <w:top w:val="single" w:sz="4" w:space="0" w:color="000000"/>
              <w:bottom w:val="single" w:sz="12" w:space="0" w:color="000000"/>
            </w:tcBorders>
          </w:tcPr>
          <w:p>
            <w:pPr>
              <w:pStyle w:val="TableParagraph"/>
              <w:spacing w:before="14"/>
              <w:ind w:right="107"/>
              <w:rPr>
                <w:b/>
                <w:sz w:val="16"/>
              </w:rPr>
            </w:pPr>
            <w:r>
              <w:rPr>
                <w:b/>
                <w:w w:val="98"/>
                <w:sz w:val="16"/>
              </w:rPr>
              <w:t>-</w:t>
            </w:r>
          </w:p>
        </w:tc>
        <w:tc>
          <w:tcPr>
            <w:tcW w:w="1133" w:type="dxa"/>
            <w:tcBorders>
              <w:top w:val="single" w:sz="4" w:space="0" w:color="000000"/>
              <w:bottom w:val="single" w:sz="12" w:space="0" w:color="000000"/>
            </w:tcBorders>
          </w:tcPr>
          <w:p>
            <w:pPr>
              <w:pStyle w:val="TableParagraph"/>
              <w:spacing w:before="14"/>
              <w:ind w:right="106"/>
              <w:rPr>
                <w:b/>
                <w:sz w:val="16"/>
              </w:rPr>
            </w:pPr>
            <w:r>
              <w:rPr>
                <w:b/>
                <w:spacing w:val="-2"/>
                <w:sz w:val="16"/>
              </w:rPr>
              <w:t>173.5</w:t>
            </w:r>
          </w:p>
        </w:tc>
        <w:tc>
          <w:tcPr>
            <w:tcW w:w="1078" w:type="dxa"/>
            <w:tcBorders>
              <w:top w:val="single" w:sz="4" w:space="0" w:color="000000"/>
              <w:bottom w:val="single" w:sz="12" w:space="0" w:color="000000"/>
            </w:tcBorders>
          </w:tcPr>
          <w:p>
            <w:pPr>
              <w:pStyle w:val="TableParagraph"/>
              <w:spacing w:before="14"/>
              <w:ind w:right="50"/>
              <w:rPr>
                <w:b/>
                <w:sz w:val="16"/>
              </w:rPr>
            </w:pPr>
            <w:r>
              <w:rPr>
                <w:b/>
                <w:spacing w:val="-2"/>
                <w:sz w:val="16"/>
              </w:rPr>
              <w:t>254.3</w:t>
            </w:r>
          </w:p>
        </w:tc>
        <w:tc>
          <w:tcPr>
            <w:tcW w:w="1177" w:type="dxa"/>
            <w:tcBorders>
              <w:top w:val="single" w:sz="4" w:space="0" w:color="000000"/>
              <w:bottom w:val="single" w:sz="12" w:space="0" w:color="000000"/>
            </w:tcBorders>
          </w:tcPr>
          <w:p>
            <w:pPr>
              <w:pStyle w:val="TableParagraph"/>
              <w:spacing w:before="14"/>
              <w:ind w:right="238"/>
              <w:rPr>
                <w:b/>
                <w:sz w:val="16"/>
              </w:rPr>
            </w:pPr>
            <w:r>
              <w:rPr>
                <w:b/>
                <w:spacing w:val="-4"/>
                <w:sz w:val="16"/>
              </w:rPr>
              <w:t>40.3</w:t>
            </w:r>
          </w:p>
        </w:tc>
        <w:tc>
          <w:tcPr>
            <w:tcW w:w="698" w:type="dxa"/>
            <w:tcBorders>
              <w:top w:val="single" w:sz="4" w:space="0" w:color="000000"/>
              <w:bottom w:val="single" w:sz="12" w:space="0" w:color="000000"/>
            </w:tcBorders>
          </w:tcPr>
          <w:p>
            <w:pPr>
              <w:pStyle w:val="TableParagraph"/>
              <w:spacing w:before="14"/>
              <w:ind w:left="229" w:right="161"/>
              <w:jc w:val="center"/>
              <w:rPr>
                <w:b/>
                <w:sz w:val="16"/>
              </w:rPr>
            </w:pPr>
            <w:r>
              <w:rPr>
                <w:b/>
                <w:spacing w:val="-4"/>
                <w:sz w:val="16"/>
              </w:rPr>
              <w:t>15.8</w:t>
            </w:r>
          </w:p>
        </w:tc>
        <w:tc>
          <w:tcPr>
            <w:tcW w:w="1053" w:type="dxa"/>
            <w:tcBorders>
              <w:top w:val="single" w:sz="4" w:space="0" w:color="000000"/>
              <w:bottom w:val="single" w:sz="12" w:space="0" w:color="000000"/>
            </w:tcBorders>
          </w:tcPr>
          <w:p>
            <w:pPr>
              <w:pStyle w:val="TableParagraph"/>
              <w:spacing w:before="14"/>
              <w:ind w:right="102"/>
              <w:rPr>
                <w:b/>
                <w:sz w:val="16"/>
              </w:rPr>
            </w:pPr>
            <w:r>
              <w:rPr>
                <w:b/>
                <w:spacing w:val="-2"/>
                <w:sz w:val="16"/>
              </w:rPr>
              <w:t>294.6</w:t>
            </w:r>
          </w:p>
        </w:tc>
      </w:tr>
    </w:tbl>
    <w:p>
      <w:pPr>
        <w:pStyle w:val="BodyText"/>
        <w:spacing w:before="8"/>
        <w:rPr>
          <w:b/>
          <w:sz w:val="21"/>
        </w:rPr>
      </w:pPr>
    </w:p>
    <w:p>
      <w:pPr>
        <w:spacing w:before="0"/>
        <w:ind w:left="2246" w:right="0" w:firstLine="0"/>
        <w:jc w:val="left"/>
        <w:rPr>
          <w:b/>
          <w:sz w:val="20"/>
        </w:rPr>
      </w:pPr>
      <w:r>
        <w:rPr>
          <w:b/>
          <w:sz w:val="20"/>
        </w:rPr>
        <w:t>Table</w:t>
      </w:r>
      <w:r>
        <w:rPr>
          <w:b/>
          <w:spacing w:val="-6"/>
          <w:sz w:val="20"/>
        </w:rPr>
        <w:t> </w:t>
      </w:r>
      <w:r>
        <w:rPr>
          <w:b/>
          <w:sz w:val="20"/>
        </w:rPr>
        <w:t>39:</w:t>
      </w:r>
      <w:r>
        <w:rPr>
          <w:b/>
          <w:spacing w:val="-7"/>
          <w:sz w:val="20"/>
        </w:rPr>
        <w:t> </w:t>
      </w:r>
      <w:r>
        <w:rPr>
          <w:b/>
          <w:sz w:val="20"/>
        </w:rPr>
        <w:t>Programme</w:t>
      </w:r>
      <w:r>
        <w:rPr>
          <w:b/>
          <w:spacing w:val="-4"/>
          <w:sz w:val="20"/>
        </w:rPr>
        <w:t> </w:t>
      </w:r>
      <w:r>
        <w:rPr>
          <w:b/>
          <w:sz w:val="20"/>
        </w:rPr>
        <w:t>4400:</w:t>
      </w:r>
      <w:r>
        <w:rPr>
          <w:b/>
          <w:spacing w:val="-8"/>
          <w:sz w:val="20"/>
        </w:rPr>
        <w:t> </w:t>
      </w:r>
      <w:r>
        <w:rPr>
          <w:b/>
          <w:sz w:val="20"/>
        </w:rPr>
        <w:t>Proposed</w:t>
      </w:r>
      <w:r>
        <w:rPr>
          <w:b/>
          <w:spacing w:val="-8"/>
          <w:sz w:val="20"/>
        </w:rPr>
        <w:t> </w:t>
      </w:r>
      <w:r>
        <w:rPr>
          <w:b/>
          <w:sz w:val="20"/>
        </w:rPr>
        <w:t>staffing</w:t>
      </w:r>
      <w:r>
        <w:rPr>
          <w:b/>
          <w:spacing w:val="-3"/>
          <w:sz w:val="20"/>
        </w:rPr>
        <w:t> </w:t>
      </w:r>
      <w:r>
        <w:rPr>
          <w:b/>
          <w:sz w:val="20"/>
        </w:rPr>
        <w:t>for</w:t>
      </w:r>
      <w:r>
        <w:rPr>
          <w:b/>
          <w:spacing w:val="-3"/>
          <w:sz w:val="20"/>
        </w:rPr>
        <w:t> </w:t>
      </w:r>
      <w:r>
        <w:rPr>
          <w:b/>
          <w:spacing w:val="-4"/>
          <w:sz w:val="20"/>
        </w:rPr>
        <w:t>2023</w:t>
      </w:r>
    </w:p>
    <w:tbl>
      <w:tblPr>
        <w:tblW w:w="0" w:type="auto"/>
        <w:jc w:val="left"/>
        <w:tblInd w:w="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6"/>
        <w:gridCol w:w="678"/>
        <w:gridCol w:w="607"/>
        <w:gridCol w:w="563"/>
        <w:gridCol w:w="581"/>
        <w:gridCol w:w="581"/>
        <w:gridCol w:w="564"/>
        <w:gridCol w:w="694"/>
        <w:gridCol w:w="668"/>
        <w:gridCol w:w="466"/>
        <w:gridCol w:w="795"/>
        <w:gridCol w:w="569"/>
        <w:gridCol w:w="578"/>
        <w:gridCol w:w="563"/>
        <w:gridCol w:w="821"/>
        <w:gridCol w:w="520"/>
      </w:tblGrid>
      <w:tr>
        <w:trPr>
          <w:trHeight w:val="484" w:hRule="atLeast"/>
        </w:trPr>
        <w:tc>
          <w:tcPr>
            <w:tcW w:w="1186"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left="67"/>
              <w:jc w:val="left"/>
              <w:rPr>
                <w:sz w:val="14"/>
              </w:rPr>
            </w:pPr>
            <w:r>
              <w:rPr>
                <w:spacing w:val="-4"/>
                <w:sz w:val="14"/>
              </w:rPr>
              <w:t>4400</w:t>
            </w:r>
          </w:p>
        </w:tc>
        <w:tc>
          <w:tcPr>
            <w:tcW w:w="678"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152"/>
              <w:rPr>
                <w:sz w:val="14"/>
              </w:rPr>
            </w:pPr>
            <w:r>
              <w:rPr>
                <w:spacing w:val="-5"/>
                <w:sz w:val="14"/>
              </w:rPr>
              <w:t>USG</w:t>
            </w:r>
          </w:p>
        </w:tc>
        <w:tc>
          <w:tcPr>
            <w:tcW w:w="607"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169"/>
              <w:rPr>
                <w:sz w:val="14"/>
              </w:rPr>
            </w:pPr>
            <w:r>
              <w:rPr>
                <w:spacing w:val="-5"/>
                <w:sz w:val="14"/>
              </w:rPr>
              <w:t>ASG</w:t>
            </w:r>
          </w:p>
        </w:tc>
        <w:tc>
          <w:tcPr>
            <w:tcW w:w="563"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167"/>
              <w:rPr>
                <w:sz w:val="14"/>
              </w:rPr>
            </w:pPr>
            <w:r>
              <w:rPr>
                <w:w w:val="95"/>
                <w:sz w:val="14"/>
              </w:rPr>
              <w:t>D-</w:t>
            </w:r>
            <w:r>
              <w:rPr>
                <w:spacing w:val="-10"/>
                <w:sz w:val="14"/>
              </w:rPr>
              <w:t>2</w:t>
            </w:r>
          </w:p>
        </w:tc>
        <w:tc>
          <w:tcPr>
            <w:tcW w:w="581"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187"/>
              <w:rPr>
                <w:sz w:val="14"/>
              </w:rPr>
            </w:pPr>
            <w:r>
              <w:rPr>
                <w:w w:val="95"/>
                <w:sz w:val="14"/>
              </w:rPr>
              <w:t>D-</w:t>
            </w:r>
            <w:r>
              <w:rPr>
                <w:spacing w:val="-10"/>
                <w:sz w:val="14"/>
              </w:rPr>
              <w:t>1</w:t>
            </w:r>
          </w:p>
        </w:tc>
        <w:tc>
          <w:tcPr>
            <w:tcW w:w="581"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left="17" w:right="17"/>
              <w:jc w:val="center"/>
              <w:rPr>
                <w:sz w:val="14"/>
              </w:rPr>
            </w:pPr>
            <w:r>
              <w:rPr>
                <w:w w:val="95"/>
                <w:sz w:val="14"/>
              </w:rPr>
              <w:t>P-</w:t>
            </w:r>
            <w:r>
              <w:rPr>
                <w:spacing w:val="-10"/>
                <w:sz w:val="14"/>
              </w:rPr>
              <w:t>5</w:t>
            </w:r>
          </w:p>
        </w:tc>
        <w:tc>
          <w:tcPr>
            <w:tcW w:w="564"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170"/>
              <w:rPr>
                <w:sz w:val="14"/>
              </w:rPr>
            </w:pPr>
            <w:r>
              <w:rPr>
                <w:w w:val="95"/>
                <w:sz w:val="14"/>
              </w:rPr>
              <w:t>P-</w:t>
            </w:r>
            <w:r>
              <w:rPr>
                <w:spacing w:val="-10"/>
                <w:sz w:val="14"/>
              </w:rPr>
              <w:t>4</w:t>
            </w:r>
          </w:p>
        </w:tc>
        <w:tc>
          <w:tcPr>
            <w:tcW w:w="694"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268"/>
              <w:rPr>
                <w:sz w:val="14"/>
              </w:rPr>
            </w:pPr>
            <w:r>
              <w:rPr>
                <w:w w:val="95"/>
                <w:sz w:val="14"/>
              </w:rPr>
              <w:t>P-</w:t>
            </w:r>
            <w:r>
              <w:rPr>
                <w:spacing w:val="-10"/>
                <w:sz w:val="14"/>
              </w:rPr>
              <w:t>3</w:t>
            </w:r>
          </w:p>
        </w:tc>
        <w:tc>
          <w:tcPr>
            <w:tcW w:w="668"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196"/>
              <w:rPr>
                <w:sz w:val="14"/>
              </w:rPr>
            </w:pPr>
            <w:r>
              <w:rPr>
                <w:w w:val="95"/>
                <w:sz w:val="14"/>
              </w:rPr>
              <w:t>P-</w:t>
            </w:r>
            <w:r>
              <w:rPr>
                <w:spacing w:val="-10"/>
                <w:sz w:val="14"/>
              </w:rPr>
              <w:t>2</w:t>
            </w:r>
          </w:p>
        </w:tc>
        <w:tc>
          <w:tcPr>
            <w:tcW w:w="466"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67"/>
              <w:rPr>
                <w:sz w:val="14"/>
              </w:rPr>
            </w:pPr>
            <w:r>
              <w:rPr>
                <w:w w:val="95"/>
                <w:sz w:val="14"/>
              </w:rPr>
              <w:t>P-</w:t>
            </w:r>
            <w:r>
              <w:rPr>
                <w:spacing w:val="-10"/>
                <w:sz w:val="14"/>
              </w:rPr>
              <w:t>1</w:t>
            </w:r>
          </w:p>
        </w:tc>
        <w:tc>
          <w:tcPr>
            <w:tcW w:w="795" w:type="dxa"/>
            <w:tcBorders>
              <w:top w:val="single" w:sz="4" w:space="0" w:color="000000"/>
              <w:bottom w:val="single" w:sz="4" w:space="0" w:color="000000"/>
            </w:tcBorders>
          </w:tcPr>
          <w:p>
            <w:pPr>
              <w:pStyle w:val="TableParagraph"/>
              <w:spacing w:line="150" w:lineRule="exact"/>
              <w:ind w:left="370"/>
              <w:jc w:val="left"/>
              <w:rPr>
                <w:i/>
                <w:sz w:val="14"/>
              </w:rPr>
            </w:pPr>
            <w:r>
              <w:rPr>
                <w:i/>
                <w:spacing w:val="-2"/>
                <w:sz w:val="14"/>
              </w:rPr>
              <w:t>Total</w:t>
            </w:r>
          </w:p>
          <w:p>
            <w:pPr>
              <w:pStyle w:val="TableParagraph"/>
              <w:spacing w:line="160" w:lineRule="atLeast"/>
              <w:ind w:left="71" w:right="118" w:firstLine="201"/>
              <w:jc w:val="left"/>
              <w:rPr>
                <w:i/>
                <w:sz w:val="14"/>
              </w:rPr>
            </w:pPr>
            <w:r>
              <w:rPr>
                <w:i/>
                <w:spacing w:val="-2"/>
                <w:sz w:val="14"/>
              </w:rPr>
              <w:t>P-Staff</w:t>
            </w:r>
            <w:r>
              <w:rPr>
                <w:i/>
                <w:spacing w:val="40"/>
                <w:sz w:val="14"/>
              </w:rPr>
              <w:t> </w:t>
            </w:r>
            <w:r>
              <w:rPr>
                <w:i/>
                <w:sz w:val="14"/>
              </w:rPr>
              <w:t>and</w:t>
            </w:r>
            <w:r>
              <w:rPr>
                <w:i/>
                <w:spacing w:val="1"/>
                <w:sz w:val="14"/>
              </w:rPr>
              <w:t> </w:t>
            </w:r>
            <w:r>
              <w:rPr>
                <w:i/>
                <w:spacing w:val="-2"/>
                <w:sz w:val="14"/>
              </w:rPr>
              <w:t>Above</w:t>
            </w:r>
          </w:p>
        </w:tc>
        <w:tc>
          <w:tcPr>
            <w:tcW w:w="569"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97"/>
              <w:rPr>
                <w:sz w:val="14"/>
              </w:rPr>
            </w:pPr>
            <w:r>
              <w:rPr>
                <w:w w:val="95"/>
                <w:sz w:val="14"/>
              </w:rPr>
              <w:t>NO-</w:t>
            </w:r>
            <w:r>
              <w:rPr>
                <w:spacing w:val="-10"/>
                <w:sz w:val="14"/>
              </w:rPr>
              <w:t>C</w:t>
            </w:r>
          </w:p>
        </w:tc>
        <w:tc>
          <w:tcPr>
            <w:tcW w:w="578"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88"/>
              <w:rPr>
                <w:sz w:val="14"/>
              </w:rPr>
            </w:pPr>
            <w:r>
              <w:rPr>
                <w:w w:val="95"/>
                <w:sz w:val="14"/>
              </w:rPr>
              <w:t>GS-</w:t>
            </w:r>
            <w:r>
              <w:rPr>
                <w:spacing w:val="-5"/>
                <w:sz w:val="14"/>
              </w:rPr>
              <w:t>PL</w:t>
            </w:r>
          </w:p>
        </w:tc>
        <w:tc>
          <w:tcPr>
            <w:tcW w:w="563"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59"/>
              <w:rPr>
                <w:sz w:val="14"/>
              </w:rPr>
            </w:pPr>
            <w:r>
              <w:rPr>
                <w:w w:val="95"/>
                <w:sz w:val="14"/>
              </w:rPr>
              <w:t>GS-</w:t>
            </w:r>
            <w:r>
              <w:rPr>
                <w:spacing w:val="-5"/>
                <w:sz w:val="14"/>
              </w:rPr>
              <w:t>OL</w:t>
            </w:r>
          </w:p>
        </w:tc>
        <w:tc>
          <w:tcPr>
            <w:tcW w:w="821" w:type="dxa"/>
            <w:tcBorders>
              <w:top w:val="single" w:sz="4" w:space="0" w:color="000000"/>
              <w:bottom w:val="single" w:sz="4" w:space="0" w:color="000000"/>
            </w:tcBorders>
          </w:tcPr>
          <w:p>
            <w:pPr>
              <w:pStyle w:val="TableParagraph"/>
              <w:spacing w:line="150" w:lineRule="exact"/>
              <w:ind w:left="381"/>
              <w:jc w:val="left"/>
              <w:rPr>
                <w:i/>
                <w:sz w:val="14"/>
              </w:rPr>
            </w:pPr>
            <w:r>
              <w:rPr>
                <w:i/>
                <w:spacing w:val="-2"/>
                <w:sz w:val="14"/>
              </w:rPr>
              <w:t>Total</w:t>
            </w:r>
          </w:p>
          <w:p>
            <w:pPr>
              <w:pStyle w:val="TableParagraph"/>
              <w:spacing w:line="160" w:lineRule="atLeast"/>
              <w:ind w:left="59" w:right="137" w:firstLine="197"/>
              <w:jc w:val="left"/>
              <w:rPr>
                <w:i/>
                <w:sz w:val="14"/>
              </w:rPr>
            </w:pPr>
            <w:r>
              <w:rPr>
                <w:i/>
                <w:sz w:val="14"/>
              </w:rPr>
              <w:t>GS</w:t>
            </w:r>
            <w:r>
              <w:rPr>
                <w:i/>
                <w:spacing w:val="-9"/>
                <w:sz w:val="14"/>
              </w:rPr>
              <w:t> </w:t>
            </w:r>
            <w:r>
              <w:rPr>
                <w:i/>
                <w:sz w:val="14"/>
              </w:rPr>
              <w:t>and</w:t>
            </w:r>
            <w:r>
              <w:rPr>
                <w:i/>
                <w:spacing w:val="40"/>
                <w:sz w:val="14"/>
              </w:rPr>
              <w:t> </w:t>
            </w:r>
            <w:r>
              <w:rPr>
                <w:i/>
                <w:sz w:val="14"/>
              </w:rPr>
              <w:t>Other</w:t>
            </w:r>
            <w:r>
              <w:rPr>
                <w:i/>
                <w:spacing w:val="-5"/>
                <w:sz w:val="14"/>
              </w:rPr>
              <w:t> </w:t>
            </w:r>
            <w:r>
              <w:rPr>
                <w:i/>
                <w:spacing w:val="-2"/>
                <w:sz w:val="14"/>
              </w:rPr>
              <w:t>Staff</w:t>
            </w:r>
          </w:p>
        </w:tc>
        <w:tc>
          <w:tcPr>
            <w:tcW w:w="520" w:type="dxa"/>
            <w:tcBorders>
              <w:top w:val="single" w:sz="4" w:space="0" w:color="000000"/>
              <w:bottom w:val="single" w:sz="4" w:space="0" w:color="000000"/>
            </w:tcBorders>
          </w:tcPr>
          <w:p>
            <w:pPr>
              <w:pStyle w:val="TableParagraph"/>
              <w:spacing w:before="4"/>
              <w:jc w:val="left"/>
              <w:rPr>
                <w:b/>
                <w:sz w:val="12"/>
              </w:rPr>
            </w:pPr>
          </w:p>
          <w:p>
            <w:pPr>
              <w:pStyle w:val="TableParagraph"/>
              <w:spacing w:line="160" w:lineRule="atLeast"/>
              <w:ind w:left="169" w:hanging="34"/>
              <w:jc w:val="left"/>
              <w:rPr>
                <w:b/>
                <w:sz w:val="14"/>
              </w:rPr>
            </w:pPr>
            <w:r>
              <w:rPr>
                <w:b/>
                <w:spacing w:val="-4"/>
                <w:sz w:val="14"/>
              </w:rPr>
              <w:t>Total</w:t>
            </w:r>
            <w:r>
              <w:rPr>
                <w:b/>
                <w:spacing w:val="40"/>
                <w:sz w:val="14"/>
              </w:rPr>
              <w:t> </w:t>
            </w:r>
            <w:r>
              <w:rPr>
                <w:b/>
                <w:spacing w:val="-4"/>
                <w:sz w:val="14"/>
              </w:rPr>
              <w:t>Staff</w:t>
            </w:r>
          </w:p>
        </w:tc>
      </w:tr>
      <w:tr>
        <w:trPr>
          <w:trHeight w:val="228" w:hRule="atLeast"/>
        </w:trPr>
        <w:tc>
          <w:tcPr>
            <w:tcW w:w="1186" w:type="dxa"/>
            <w:tcBorders>
              <w:top w:val="single" w:sz="4" w:space="0" w:color="000000"/>
            </w:tcBorders>
          </w:tcPr>
          <w:p>
            <w:pPr>
              <w:pStyle w:val="TableParagraph"/>
              <w:spacing w:before="22"/>
              <w:ind w:left="67"/>
              <w:jc w:val="left"/>
              <w:rPr>
                <w:b/>
                <w:sz w:val="14"/>
              </w:rPr>
            </w:pPr>
            <w:r>
              <w:rPr>
                <w:b/>
                <w:spacing w:val="-2"/>
                <w:sz w:val="14"/>
              </w:rPr>
              <w:t>Established</w:t>
            </w:r>
            <w:r>
              <w:rPr>
                <w:b/>
                <w:spacing w:val="11"/>
                <w:sz w:val="14"/>
              </w:rPr>
              <w:t> </w:t>
            </w:r>
            <w:r>
              <w:rPr>
                <w:b/>
                <w:spacing w:val="-2"/>
                <w:sz w:val="14"/>
              </w:rPr>
              <w:t>Posts</w:t>
            </w:r>
          </w:p>
        </w:tc>
        <w:tc>
          <w:tcPr>
            <w:tcW w:w="678" w:type="dxa"/>
            <w:tcBorders>
              <w:top w:val="single" w:sz="4" w:space="0" w:color="000000"/>
            </w:tcBorders>
          </w:tcPr>
          <w:p>
            <w:pPr>
              <w:pStyle w:val="TableParagraph"/>
              <w:jc w:val="left"/>
              <w:rPr>
                <w:sz w:val="14"/>
              </w:rPr>
            </w:pPr>
          </w:p>
        </w:tc>
        <w:tc>
          <w:tcPr>
            <w:tcW w:w="607" w:type="dxa"/>
            <w:tcBorders>
              <w:top w:val="single" w:sz="4" w:space="0" w:color="000000"/>
            </w:tcBorders>
          </w:tcPr>
          <w:p>
            <w:pPr>
              <w:pStyle w:val="TableParagraph"/>
              <w:jc w:val="left"/>
              <w:rPr>
                <w:sz w:val="14"/>
              </w:rPr>
            </w:pPr>
          </w:p>
        </w:tc>
        <w:tc>
          <w:tcPr>
            <w:tcW w:w="563" w:type="dxa"/>
            <w:tcBorders>
              <w:top w:val="single" w:sz="4" w:space="0" w:color="000000"/>
            </w:tcBorders>
          </w:tcPr>
          <w:p>
            <w:pPr>
              <w:pStyle w:val="TableParagraph"/>
              <w:jc w:val="left"/>
              <w:rPr>
                <w:sz w:val="14"/>
              </w:rPr>
            </w:pPr>
          </w:p>
        </w:tc>
        <w:tc>
          <w:tcPr>
            <w:tcW w:w="581" w:type="dxa"/>
            <w:tcBorders>
              <w:top w:val="single" w:sz="4" w:space="0" w:color="000000"/>
            </w:tcBorders>
          </w:tcPr>
          <w:p>
            <w:pPr>
              <w:pStyle w:val="TableParagraph"/>
              <w:jc w:val="left"/>
              <w:rPr>
                <w:sz w:val="14"/>
              </w:rPr>
            </w:pPr>
          </w:p>
        </w:tc>
        <w:tc>
          <w:tcPr>
            <w:tcW w:w="581" w:type="dxa"/>
            <w:tcBorders>
              <w:top w:val="single" w:sz="4" w:space="0" w:color="000000"/>
            </w:tcBorders>
          </w:tcPr>
          <w:p>
            <w:pPr>
              <w:pStyle w:val="TableParagraph"/>
              <w:jc w:val="left"/>
              <w:rPr>
                <w:sz w:val="14"/>
              </w:rPr>
            </w:pPr>
          </w:p>
        </w:tc>
        <w:tc>
          <w:tcPr>
            <w:tcW w:w="564" w:type="dxa"/>
            <w:tcBorders>
              <w:top w:val="single" w:sz="4" w:space="0" w:color="000000"/>
            </w:tcBorders>
          </w:tcPr>
          <w:p>
            <w:pPr>
              <w:pStyle w:val="TableParagraph"/>
              <w:jc w:val="left"/>
              <w:rPr>
                <w:sz w:val="14"/>
              </w:rPr>
            </w:pPr>
          </w:p>
        </w:tc>
        <w:tc>
          <w:tcPr>
            <w:tcW w:w="694" w:type="dxa"/>
            <w:tcBorders>
              <w:top w:val="single" w:sz="4" w:space="0" w:color="000000"/>
            </w:tcBorders>
          </w:tcPr>
          <w:p>
            <w:pPr>
              <w:pStyle w:val="TableParagraph"/>
              <w:jc w:val="left"/>
              <w:rPr>
                <w:sz w:val="14"/>
              </w:rPr>
            </w:pPr>
          </w:p>
        </w:tc>
        <w:tc>
          <w:tcPr>
            <w:tcW w:w="668" w:type="dxa"/>
            <w:tcBorders>
              <w:top w:val="single" w:sz="4" w:space="0" w:color="000000"/>
            </w:tcBorders>
          </w:tcPr>
          <w:p>
            <w:pPr>
              <w:pStyle w:val="TableParagraph"/>
              <w:jc w:val="left"/>
              <w:rPr>
                <w:sz w:val="14"/>
              </w:rPr>
            </w:pPr>
          </w:p>
        </w:tc>
        <w:tc>
          <w:tcPr>
            <w:tcW w:w="466" w:type="dxa"/>
            <w:tcBorders>
              <w:top w:val="single" w:sz="4" w:space="0" w:color="000000"/>
            </w:tcBorders>
          </w:tcPr>
          <w:p>
            <w:pPr>
              <w:pStyle w:val="TableParagraph"/>
              <w:jc w:val="left"/>
              <w:rPr>
                <w:sz w:val="14"/>
              </w:rPr>
            </w:pPr>
          </w:p>
        </w:tc>
        <w:tc>
          <w:tcPr>
            <w:tcW w:w="795" w:type="dxa"/>
            <w:tcBorders>
              <w:top w:val="single" w:sz="4" w:space="0" w:color="000000"/>
            </w:tcBorders>
          </w:tcPr>
          <w:p>
            <w:pPr>
              <w:pStyle w:val="TableParagraph"/>
              <w:jc w:val="left"/>
              <w:rPr>
                <w:sz w:val="14"/>
              </w:rPr>
            </w:pPr>
          </w:p>
        </w:tc>
        <w:tc>
          <w:tcPr>
            <w:tcW w:w="569" w:type="dxa"/>
            <w:tcBorders>
              <w:top w:val="single" w:sz="4" w:space="0" w:color="000000"/>
            </w:tcBorders>
          </w:tcPr>
          <w:p>
            <w:pPr>
              <w:pStyle w:val="TableParagraph"/>
              <w:jc w:val="left"/>
              <w:rPr>
                <w:sz w:val="14"/>
              </w:rPr>
            </w:pPr>
          </w:p>
        </w:tc>
        <w:tc>
          <w:tcPr>
            <w:tcW w:w="578" w:type="dxa"/>
            <w:tcBorders>
              <w:top w:val="single" w:sz="4" w:space="0" w:color="000000"/>
            </w:tcBorders>
          </w:tcPr>
          <w:p>
            <w:pPr>
              <w:pStyle w:val="TableParagraph"/>
              <w:jc w:val="left"/>
              <w:rPr>
                <w:sz w:val="14"/>
              </w:rPr>
            </w:pPr>
          </w:p>
        </w:tc>
        <w:tc>
          <w:tcPr>
            <w:tcW w:w="563" w:type="dxa"/>
            <w:tcBorders>
              <w:top w:val="single" w:sz="4" w:space="0" w:color="000000"/>
            </w:tcBorders>
          </w:tcPr>
          <w:p>
            <w:pPr>
              <w:pStyle w:val="TableParagraph"/>
              <w:jc w:val="left"/>
              <w:rPr>
                <w:sz w:val="14"/>
              </w:rPr>
            </w:pPr>
          </w:p>
        </w:tc>
        <w:tc>
          <w:tcPr>
            <w:tcW w:w="821" w:type="dxa"/>
            <w:tcBorders>
              <w:top w:val="single" w:sz="4" w:space="0" w:color="000000"/>
            </w:tcBorders>
          </w:tcPr>
          <w:p>
            <w:pPr>
              <w:pStyle w:val="TableParagraph"/>
              <w:jc w:val="left"/>
              <w:rPr>
                <w:sz w:val="14"/>
              </w:rPr>
            </w:pPr>
          </w:p>
        </w:tc>
        <w:tc>
          <w:tcPr>
            <w:tcW w:w="520" w:type="dxa"/>
            <w:tcBorders>
              <w:top w:val="single" w:sz="4" w:space="0" w:color="000000"/>
            </w:tcBorders>
          </w:tcPr>
          <w:p>
            <w:pPr>
              <w:pStyle w:val="TableParagraph"/>
              <w:jc w:val="left"/>
              <w:rPr>
                <w:sz w:val="14"/>
              </w:rPr>
            </w:pPr>
          </w:p>
        </w:tc>
      </w:tr>
      <w:tr>
        <w:trPr>
          <w:trHeight w:val="221" w:hRule="atLeast"/>
        </w:trPr>
        <w:tc>
          <w:tcPr>
            <w:tcW w:w="1186" w:type="dxa"/>
            <w:tcBorders>
              <w:bottom w:val="single" w:sz="12" w:space="0" w:color="000000"/>
            </w:tcBorders>
          </w:tcPr>
          <w:p>
            <w:pPr>
              <w:pStyle w:val="TableParagraph"/>
              <w:spacing w:before="19"/>
              <w:ind w:left="67"/>
              <w:jc w:val="left"/>
              <w:rPr>
                <w:sz w:val="14"/>
              </w:rPr>
            </w:pPr>
            <w:r>
              <w:rPr>
                <w:w w:val="95"/>
                <w:sz w:val="14"/>
              </w:rPr>
              <w:t>Approved</w:t>
            </w:r>
            <w:r>
              <w:rPr>
                <w:spacing w:val="22"/>
                <w:sz w:val="14"/>
              </w:rPr>
              <w:t> </w:t>
            </w:r>
            <w:r>
              <w:rPr>
                <w:spacing w:val="-4"/>
                <w:sz w:val="14"/>
              </w:rPr>
              <w:t>2022</w:t>
            </w:r>
          </w:p>
        </w:tc>
        <w:tc>
          <w:tcPr>
            <w:tcW w:w="678" w:type="dxa"/>
            <w:tcBorders>
              <w:bottom w:val="single" w:sz="12" w:space="0" w:color="000000"/>
            </w:tcBorders>
          </w:tcPr>
          <w:p>
            <w:pPr>
              <w:pStyle w:val="TableParagraph"/>
              <w:spacing w:before="19"/>
              <w:ind w:right="154"/>
              <w:rPr>
                <w:b/>
                <w:sz w:val="14"/>
              </w:rPr>
            </w:pPr>
            <w:r>
              <w:rPr>
                <w:b/>
                <w:w w:val="99"/>
                <w:sz w:val="14"/>
              </w:rPr>
              <w:t>-</w:t>
            </w:r>
          </w:p>
        </w:tc>
        <w:tc>
          <w:tcPr>
            <w:tcW w:w="607" w:type="dxa"/>
            <w:tcBorders>
              <w:bottom w:val="single" w:sz="12" w:space="0" w:color="000000"/>
            </w:tcBorders>
          </w:tcPr>
          <w:p>
            <w:pPr>
              <w:pStyle w:val="TableParagraph"/>
              <w:spacing w:before="19"/>
              <w:ind w:right="170"/>
              <w:rPr>
                <w:b/>
                <w:sz w:val="14"/>
              </w:rPr>
            </w:pPr>
            <w:r>
              <w:rPr>
                <w:b/>
                <w:w w:val="99"/>
                <w:sz w:val="14"/>
              </w:rPr>
              <w:t>-</w:t>
            </w:r>
          </w:p>
        </w:tc>
        <w:tc>
          <w:tcPr>
            <w:tcW w:w="563" w:type="dxa"/>
            <w:tcBorders>
              <w:bottom w:val="single" w:sz="12" w:space="0" w:color="000000"/>
            </w:tcBorders>
          </w:tcPr>
          <w:p>
            <w:pPr>
              <w:pStyle w:val="TableParagraph"/>
              <w:spacing w:before="19"/>
              <w:ind w:right="171"/>
              <w:rPr>
                <w:b/>
                <w:sz w:val="14"/>
              </w:rPr>
            </w:pPr>
            <w:r>
              <w:rPr>
                <w:b/>
                <w:w w:val="99"/>
                <w:sz w:val="14"/>
              </w:rPr>
              <w:t>-</w:t>
            </w:r>
          </w:p>
        </w:tc>
        <w:tc>
          <w:tcPr>
            <w:tcW w:w="581" w:type="dxa"/>
            <w:tcBorders>
              <w:bottom w:val="single" w:sz="12" w:space="0" w:color="000000"/>
            </w:tcBorders>
          </w:tcPr>
          <w:p>
            <w:pPr>
              <w:pStyle w:val="TableParagraph"/>
              <w:spacing w:before="19"/>
              <w:ind w:right="191"/>
              <w:rPr>
                <w:b/>
                <w:sz w:val="14"/>
              </w:rPr>
            </w:pPr>
            <w:r>
              <w:rPr>
                <w:b/>
                <w:w w:val="99"/>
                <w:sz w:val="14"/>
              </w:rPr>
              <w:t>-</w:t>
            </w:r>
          </w:p>
        </w:tc>
        <w:tc>
          <w:tcPr>
            <w:tcW w:w="581" w:type="dxa"/>
            <w:tcBorders>
              <w:bottom w:val="single" w:sz="12" w:space="0" w:color="000000"/>
            </w:tcBorders>
          </w:tcPr>
          <w:p>
            <w:pPr>
              <w:pStyle w:val="TableParagraph"/>
              <w:spacing w:before="19"/>
              <w:ind w:left="148"/>
              <w:jc w:val="center"/>
              <w:rPr>
                <w:b/>
                <w:sz w:val="14"/>
              </w:rPr>
            </w:pPr>
            <w:r>
              <w:rPr>
                <w:b/>
                <w:w w:val="99"/>
                <w:sz w:val="14"/>
              </w:rPr>
              <w:t>-</w:t>
            </w:r>
          </w:p>
        </w:tc>
        <w:tc>
          <w:tcPr>
            <w:tcW w:w="564" w:type="dxa"/>
            <w:tcBorders>
              <w:bottom w:val="single" w:sz="12" w:space="0" w:color="000000"/>
            </w:tcBorders>
          </w:tcPr>
          <w:p>
            <w:pPr>
              <w:pStyle w:val="TableParagraph"/>
              <w:spacing w:before="19"/>
              <w:ind w:right="169"/>
              <w:rPr>
                <w:b/>
                <w:sz w:val="14"/>
              </w:rPr>
            </w:pPr>
            <w:r>
              <w:rPr>
                <w:b/>
                <w:w w:val="99"/>
                <w:sz w:val="14"/>
              </w:rPr>
              <w:t>-</w:t>
            </w:r>
          </w:p>
        </w:tc>
        <w:tc>
          <w:tcPr>
            <w:tcW w:w="694" w:type="dxa"/>
            <w:tcBorders>
              <w:bottom w:val="single" w:sz="12" w:space="0" w:color="000000"/>
            </w:tcBorders>
          </w:tcPr>
          <w:p>
            <w:pPr>
              <w:pStyle w:val="TableParagraph"/>
              <w:spacing w:before="19"/>
              <w:ind w:right="267"/>
              <w:rPr>
                <w:b/>
                <w:sz w:val="14"/>
              </w:rPr>
            </w:pPr>
            <w:r>
              <w:rPr>
                <w:b/>
                <w:w w:val="99"/>
                <w:sz w:val="14"/>
              </w:rPr>
              <w:t>-</w:t>
            </w:r>
          </w:p>
        </w:tc>
        <w:tc>
          <w:tcPr>
            <w:tcW w:w="668" w:type="dxa"/>
            <w:tcBorders>
              <w:bottom w:val="single" w:sz="12" w:space="0" w:color="000000"/>
            </w:tcBorders>
          </w:tcPr>
          <w:p>
            <w:pPr>
              <w:pStyle w:val="TableParagraph"/>
              <w:spacing w:before="19"/>
              <w:ind w:right="196"/>
              <w:rPr>
                <w:b/>
                <w:sz w:val="14"/>
              </w:rPr>
            </w:pPr>
            <w:r>
              <w:rPr>
                <w:b/>
                <w:w w:val="99"/>
                <w:sz w:val="14"/>
              </w:rPr>
              <w:t>-</w:t>
            </w:r>
          </w:p>
        </w:tc>
        <w:tc>
          <w:tcPr>
            <w:tcW w:w="466" w:type="dxa"/>
            <w:tcBorders>
              <w:bottom w:val="single" w:sz="12" w:space="0" w:color="000000"/>
            </w:tcBorders>
          </w:tcPr>
          <w:p>
            <w:pPr>
              <w:pStyle w:val="TableParagraph"/>
              <w:spacing w:before="19"/>
              <w:ind w:right="66"/>
              <w:rPr>
                <w:b/>
                <w:sz w:val="14"/>
              </w:rPr>
            </w:pPr>
            <w:r>
              <w:rPr>
                <w:b/>
                <w:w w:val="99"/>
                <w:sz w:val="14"/>
              </w:rPr>
              <w:t>-</w:t>
            </w:r>
          </w:p>
        </w:tc>
        <w:tc>
          <w:tcPr>
            <w:tcW w:w="795" w:type="dxa"/>
            <w:tcBorders>
              <w:bottom w:val="single" w:sz="12" w:space="0" w:color="000000"/>
            </w:tcBorders>
          </w:tcPr>
          <w:p>
            <w:pPr>
              <w:pStyle w:val="TableParagraph"/>
              <w:spacing w:before="19"/>
              <w:ind w:right="126"/>
              <w:rPr>
                <w:b/>
                <w:sz w:val="14"/>
              </w:rPr>
            </w:pPr>
            <w:r>
              <w:rPr>
                <w:b/>
                <w:w w:val="99"/>
                <w:sz w:val="14"/>
              </w:rPr>
              <w:t>-</w:t>
            </w:r>
          </w:p>
        </w:tc>
        <w:tc>
          <w:tcPr>
            <w:tcW w:w="569" w:type="dxa"/>
            <w:tcBorders>
              <w:bottom w:val="single" w:sz="12" w:space="0" w:color="000000"/>
            </w:tcBorders>
          </w:tcPr>
          <w:p>
            <w:pPr>
              <w:pStyle w:val="TableParagraph"/>
              <w:spacing w:before="19"/>
              <w:ind w:right="100"/>
              <w:rPr>
                <w:b/>
                <w:sz w:val="14"/>
              </w:rPr>
            </w:pPr>
            <w:r>
              <w:rPr>
                <w:b/>
                <w:w w:val="99"/>
                <w:sz w:val="14"/>
              </w:rPr>
              <w:t>-</w:t>
            </w:r>
          </w:p>
        </w:tc>
        <w:tc>
          <w:tcPr>
            <w:tcW w:w="578" w:type="dxa"/>
            <w:tcBorders>
              <w:bottom w:val="single" w:sz="12" w:space="0" w:color="000000"/>
            </w:tcBorders>
          </w:tcPr>
          <w:p>
            <w:pPr>
              <w:pStyle w:val="TableParagraph"/>
              <w:spacing w:before="19"/>
              <w:ind w:right="87"/>
              <w:rPr>
                <w:b/>
                <w:sz w:val="14"/>
              </w:rPr>
            </w:pPr>
            <w:r>
              <w:rPr>
                <w:b/>
                <w:w w:val="99"/>
                <w:sz w:val="14"/>
              </w:rPr>
              <w:t>-</w:t>
            </w:r>
          </w:p>
        </w:tc>
        <w:tc>
          <w:tcPr>
            <w:tcW w:w="563" w:type="dxa"/>
            <w:tcBorders>
              <w:bottom w:val="single" w:sz="12" w:space="0" w:color="000000"/>
            </w:tcBorders>
          </w:tcPr>
          <w:p>
            <w:pPr>
              <w:pStyle w:val="TableParagraph"/>
              <w:spacing w:before="19"/>
              <w:ind w:right="60"/>
              <w:rPr>
                <w:b/>
                <w:sz w:val="14"/>
              </w:rPr>
            </w:pPr>
            <w:r>
              <w:rPr>
                <w:b/>
                <w:w w:val="99"/>
                <w:sz w:val="14"/>
              </w:rPr>
              <w:t>-</w:t>
            </w:r>
          </w:p>
        </w:tc>
        <w:tc>
          <w:tcPr>
            <w:tcW w:w="821" w:type="dxa"/>
            <w:tcBorders>
              <w:bottom w:val="single" w:sz="12" w:space="0" w:color="000000"/>
            </w:tcBorders>
          </w:tcPr>
          <w:p>
            <w:pPr>
              <w:pStyle w:val="TableParagraph"/>
              <w:spacing w:before="19"/>
              <w:ind w:right="141"/>
              <w:rPr>
                <w:b/>
                <w:sz w:val="14"/>
              </w:rPr>
            </w:pPr>
            <w:r>
              <w:rPr>
                <w:b/>
                <w:w w:val="99"/>
                <w:sz w:val="14"/>
              </w:rPr>
              <w:t>-</w:t>
            </w:r>
          </w:p>
        </w:tc>
        <w:tc>
          <w:tcPr>
            <w:tcW w:w="520" w:type="dxa"/>
            <w:tcBorders>
              <w:bottom w:val="single" w:sz="12" w:space="0" w:color="000000"/>
            </w:tcBorders>
          </w:tcPr>
          <w:p>
            <w:pPr>
              <w:pStyle w:val="TableParagraph"/>
              <w:spacing w:before="19"/>
              <w:ind w:right="61"/>
              <w:rPr>
                <w:b/>
                <w:sz w:val="14"/>
              </w:rPr>
            </w:pPr>
            <w:r>
              <w:rPr>
                <w:b/>
                <w:w w:val="99"/>
                <w:sz w:val="14"/>
              </w:rPr>
              <w:t>-</w:t>
            </w:r>
          </w:p>
        </w:tc>
      </w:tr>
      <w:tr>
        <w:trPr>
          <w:trHeight w:val="230" w:hRule="atLeast"/>
        </w:trPr>
        <w:tc>
          <w:tcPr>
            <w:tcW w:w="1186" w:type="dxa"/>
            <w:tcBorders>
              <w:top w:val="single" w:sz="12" w:space="0" w:color="000000"/>
              <w:bottom w:val="single" w:sz="4" w:space="0" w:color="000000"/>
            </w:tcBorders>
          </w:tcPr>
          <w:p>
            <w:pPr>
              <w:pStyle w:val="TableParagraph"/>
              <w:spacing w:before="27"/>
              <w:ind w:left="67"/>
              <w:jc w:val="left"/>
              <w:rPr>
                <w:sz w:val="14"/>
              </w:rPr>
            </w:pPr>
            <w:r>
              <w:rPr>
                <w:spacing w:val="-5"/>
                <w:sz w:val="14"/>
              </w:rPr>
              <w:t>New</w:t>
            </w:r>
          </w:p>
        </w:tc>
        <w:tc>
          <w:tcPr>
            <w:tcW w:w="678" w:type="dxa"/>
            <w:tcBorders>
              <w:top w:val="single" w:sz="12" w:space="0" w:color="000000"/>
              <w:bottom w:val="single" w:sz="4" w:space="0" w:color="000000"/>
            </w:tcBorders>
          </w:tcPr>
          <w:p>
            <w:pPr>
              <w:pStyle w:val="TableParagraph"/>
              <w:spacing w:before="27"/>
              <w:ind w:right="154"/>
              <w:rPr>
                <w:b/>
                <w:sz w:val="14"/>
              </w:rPr>
            </w:pPr>
            <w:r>
              <w:rPr>
                <w:b/>
                <w:w w:val="99"/>
                <w:sz w:val="14"/>
              </w:rPr>
              <w:t>-</w:t>
            </w:r>
          </w:p>
        </w:tc>
        <w:tc>
          <w:tcPr>
            <w:tcW w:w="607" w:type="dxa"/>
            <w:tcBorders>
              <w:top w:val="single" w:sz="12" w:space="0" w:color="000000"/>
              <w:bottom w:val="single" w:sz="4" w:space="0" w:color="000000"/>
            </w:tcBorders>
          </w:tcPr>
          <w:p>
            <w:pPr>
              <w:pStyle w:val="TableParagraph"/>
              <w:spacing w:before="27"/>
              <w:ind w:right="170"/>
              <w:rPr>
                <w:b/>
                <w:sz w:val="14"/>
              </w:rPr>
            </w:pPr>
            <w:r>
              <w:rPr>
                <w:b/>
                <w:w w:val="99"/>
                <w:sz w:val="14"/>
              </w:rPr>
              <w:t>-</w:t>
            </w:r>
          </w:p>
        </w:tc>
        <w:tc>
          <w:tcPr>
            <w:tcW w:w="563" w:type="dxa"/>
            <w:tcBorders>
              <w:top w:val="single" w:sz="12" w:space="0" w:color="000000"/>
              <w:bottom w:val="single" w:sz="4" w:space="0" w:color="000000"/>
            </w:tcBorders>
          </w:tcPr>
          <w:p>
            <w:pPr>
              <w:pStyle w:val="TableParagraph"/>
              <w:spacing w:before="27"/>
              <w:ind w:right="171"/>
              <w:rPr>
                <w:b/>
                <w:sz w:val="14"/>
              </w:rPr>
            </w:pPr>
            <w:r>
              <w:rPr>
                <w:b/>
                <w:w w:val="99"/>
                <w:sz w:val="14"/>
              </w:rPr>
              <w:t>-</w:t>
            </w:r>
          </w:p>
        </w:tc>
        <w:tc>
          <w:tcPr>
            <w:tcW w:w="581" w:type="dxa"/>
            <w:tcBorders>
              <w:top w:val="single" w:sz="12" w:space="0" w:color="000000"/>
              <w:bottom w:val="single" w:sz="4" w:space="0" w:color="000000"/>
            </w:tcBorders>
          </w:tcPr>
          <w:p>
            <w:pPr>
              <w:pStyle w:val="TableParagraph"/>
              <w:spacing w:before="27"/>
              <w:ind w:right="191"/>
              <w:rPr>
                <w:b/>
                <w:sz w:val="14"/>
              </w:rPr>
            </w:pPr>
            <w:r>
              <w:rPr>
                <w:b/>
                <w:w w:val="99"/>
                <w:sz w:val="14"/>
              </w:rPr>
              <w:t>-</w:t>
            </w:r>
          </w:p>
        </w:tc>
        <w:tc>
          <w:tcPr>
            <w:tcW w:w="581" w:type="dxa"/>
            <w:tcBorders>
              <w:top w:val="single" w:sz="12" w:space="0" w:color="000000"/>
              <w:bottom w:val="single" w:sz="4" w:space="0" w:color="000000"/>
            </w:tcBorders>
          </w:tcPr>
          <w:p>
            <w:pPr>
              <w:pStyle w:val="TableParagraph"/>
              <w:spacing w:before="27"/>
              <w:ind w:left="148"/>
              <w:jc w:val="center"/>
              <w:rPr>
                <w:b/>
                <w:sz w:val="14"/>
              </w:rPr>
            </w:pPr>
            <w:r>
              <w:rPr>
                <w:b/>
                <w:w w:val="99"/>
                <w:sz w:val="14"/>
              </w:rPr>
              <w:t>-</w:t>
            </w:r>
          </w:p>
        </w:tc>
        <w:tc>
          <w:tcPr>
            <w:tcW w:w="564" w:type="dxa"/>
            <w:tcBorders>
              <w:top w:val="single" w:sz="12" w:space="0" w:color="000000"/>
              <w:bottom w:val="single" w:sz="4" w:space="0" w:color="000000"/>
            </w:tcBorders>
          </w:tcPr>
          <w:p>
            <w:pPr>
              <w:pStyle w:val="TableParagraph"/>
              <w:spacing w:before="27"/>
              <w:ind w:right="169"/>
              <w:rPr>
                <w:b/>
                <w:sz w:val="14"/>
              </w:rPr>
            </w:pPr>
            <w:r>
              <w:rPr>
                <w:b/>
                <w:w w:val="99"/>
                <w:sz w:val="14"/>
              </w:rPr>
              <w:t>-</w:t>
            </w:r>
          </w:p>
        </w:tc>
        <w:tc>
          <w:tcPr>
            <w:tcW w:w="694" w:type="dxa"/>
            <w:tcBorders>
              <w:top w:val="single" w:sz="12" w:space="0" w:color="000000"/>
              <w:bottom w:val="single" w:sz="4" w:space="0" w:color="000000"/>
            </w:tcBorders>
          </w:tcPr>
          <w:p>
            <w:pPr>
              <w:pStyle w:val="TableParagraph"/>
              <w:spacing w:before="27"/>
              <w:ind w:right="267"/>
              <w:rPr>
                <w:b/>
                <w:sz w:val="14"/>
              </w:rPr>
            </w:pPr>
            <w:r>
              <w:rPr>
                <w:b/>
                <w:w w:val="99"/>
                <w:sz w:val="14"/>
              </w:rPr>
              <w:t>-</w:t>
            </w:r>
          </w:p>
        </w:tc>
        <w:tc>
          <w:tcPr>
            <w:tcW w:w="668" w:type="dxa"/>
            <w:tcBorders>
              <w:top w:val="single" w:sz="12" w:space="0" w:color="000000"/>
              <w:bottom w:val="single" w:sz="4" w:space="0" w:color="000000"/>
            </w:tcBorders>
          </w:tcPr>
          <w:p>
            <w:pPr>
              <w:pStyle w:val="TableParagraph"/>
              <w:spacing w:before="27"/>
              <w:ind w:right="196"/>
              <w:rPr>
                <w:b/>
                <w:sz w:val="14"/>
              </w:rPr>
            </w:pPr>
            <w:r>
              <w:rPr>
                <w:b/>
                <w:w w:val="99"/>
                <w:sz w:val="14"/>
              </w:rPr>
              <w:t>-</w:t>
            </w:r>
          </w:p>
        </w:tc>
        <w:tc>
          <w:tcPr>
            <w:tcW w:w="466" w:type="dxa"/>
            <w:tcBorders>
              <w:top w:val="single" w:sz="12" w:space="0" w:color="000000"/>
              <w:bottom w:val="single" w:sz="4" w:space="0" w:color="000000"/>
            </w:tcBorders>
          </w:tcPr>
          <w:p>
            <w:pPr>
              <w:pStyle w:val="TableParagraph"/>
              <w:spacing w:before="27"/>
              <w:ind w:right="66"/>
              <w:rPr>
                <w:b/>
                <w:sz w:val="14"/>
              </w:rPr>
            </w:pPr>
            <w:r>
              <w:rPr>
                <w:b/>
                <w:w w:val="99"/>
                <w:sz w:val="14"/>
              </w:rPr>
              <w:t>-</w:t>
            </w:r>
          </w:p>
        </w:tc>
        <w:tc>
          <w:tcPr>
            <w:tcW w:w="795" w:type="dxa"/>
            <w:tcBorders>
              <w:top w:val="single" w:sz="12" w:space="0" w:color="000000"/>
              <w:bottom w:val="single" w:sz="4" w:space="0" w:color="000000"/>
            </w:tcBorders>
          </w:tcPr>
          <w:p>
            <w:pPr>
              <w:pStyle w:val="TableParagraph"/>
              <w:spacing w:before="27"/>
              <w:ind w:right="126"/>
              <w:rPr>
                <w:b/>
                <w:sz w:val="14"/>
              </w:rPr>
            </w:pPr>
            <w:r>
              <w:rPr>
                <w:b/>
                <w:w w:val="99"/>
                <w:sz w:val="14"/>
              </w:rPr>
              <w:t>-</w:t>
            </w:r>
          </w:p>
        </w:tc>
        <w:tc>
          <w:tcPr>
            <w:tcW w:w="569" w:type="dxa"/>
            <w:tcBorders>
              <w:top w:val="single" w:sz="12" w:space="0" w:color="000000"/>
              <w:bottom w:val="single" w:sz="4" w:space="0" w:color="000000"/>
            </w:tcBorders>
          </w:tcPr>
          <w:p>
            <w:pPr>
              <w:pStyle w:val="TableParagraph"/>
              <w:spacing w:before="27"/>
              <w:ind w:right="100"/>
              <w:rPr>
                <w:b/>
                <w:sz w:val="14"/>
              </w:rPr>
            </w:pPr>
            <w:r>
              <w:rPr>
                <w:b/>
                <w:w w:val="99"/>
                <w:sz w:val="14"/>
              </w:rPr>
              <w:t>-</w:t>
            </w:r>
          </w:p>
        </w:tc>
        <w:tc>
          <w:tcPr>
            <w:tcW w:w="578" w:type="dxa"/>
            <w:tcBorders>
              <w:top w:val="single" w:sz="12" w:space="0" w:color="000000"/>
              <w:bottom w:val="single" w:sz="4" w:space="0" w:color="000000"/>
            </w:tcBorders>
          </w:tcPr>
          <w:p>
            <w:pPr>
              <w:pStyle w:val="TableParagraph"/>
              <w:spacing w:before="27"/>
              <w:ind w:right="87"/>
              <w:rPr>
                <w:b/>
                <w:sz w:val="14"/>
              </w:rPr>
            </w:pPr>
            <w:r>
              <w:rPr>
                <w:b/>
                <w:w w:val="99"/>
                <w:sz w:val="14"/>
              </w:rPr>
              <w:t>-</w:t>
            </w:r>
          </w:p>
        </w:tc>
        <w:tc>
          <w:tcPr>
            <w:tcW w:w="563" w:type="dxa"/>
            <w:tcBorders>
              <w:top w:val="single" w:sz="12" w:space="0" w:color="000000"/>
              <w:bottom w:val="single" w:sz="4" w:space="0" w:color="000000"/>
            </w:tcBorders>
          </w:tcPr>
          <w:p>
            <w:pPr>
              <w:pStyle w:val="TableParagraph"/>
              <w:spacing w:before="27"/>
              <w:ind w:right="60"/>
              <w:rPr>
                <w:b/>
                <w:sz w:val="14"/>
              </w:rPr>
            </w:pPr>
            <w:r>
              <w:rPr>
                <w:b/>
                <w:w w:val="99"/>
                <w:sz w:val="14"/>
              </w:rPr>
              <w:t>-</w:t>
            </w:r>
          </w:p>
        </w:tc>
        <w:tc>
          <w:tcPr>
            <w:tcW w:w="821" w:type="dxa"/>
            <w:tcBorders>
              <w:top w:val="single" w:sz="12" w:space="0" w:color="000000"/>
              <w:bottom w:val="single" w:sz="4" w:space="0" w:color="000000"/>
            </w:tcBorders>
          </w:tcPr>
          <w:p>
            <w:pPr>
              <w:pStyle w:val="TableParagraph"/>
              <w:spacing w:before="27"/>
              <w:ind w:right="141"/>
              <w:rPr>
                <w:b/>
                <w:sz w:val="14"/>
              </w:rPr>
            </w:pPr>
            <w:r>
              <w:rPr>
                <w:b/>
                <w:w w:val="99"/>
                <w:sz w:val="14"/>
              </w:rPr>
              <w:t>-</w:t>
            </w:r>
          </w:p>
        </w:tc>
        <w:tc>
          <w:tcPr>
            <w:tcW w:w="520" w:type="dxa"/>
            <w:tcBorders>
              <w:top w:val="single" w:sz="12" w:space="0" w:color="000000"/>
              <w:bottom w:val="single" w:sz="4" w:space="0" w:color="000000"/>
            </w:tcBorders>
          </w:tcPr>
          <w:p>
            <w:pPr>
              <w:pStyle w:val="TableParagraph"/>
              <w:spacing w:before="27"/>
              <w:ind w:right="61"/>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2"/>
              <w:ind w:left="67"/>
              <w:jc w:val="left"/>
              <w:rPr>
                <w:sz w:val="14"/>
              </w:rPr>
            </w:pPr>
            <w:r>
              <w:rPr>
                <w:spacing w:val="-2"/>
                <w:sz w:val="14"/>
              </w:rPr>
              <w:t>Redeployed</w:t>
            </w:r>
          </w:p>
        </w:tc>
        <w:tc>
          <w:tcPr>
            <w:tcW w:w="678" w:type="dxa"/>
            <w:tcBorders>
              <w:top w:val="single" w:sz="4" w:space="0" w:color="000000"/>
              <w:bottom w:val="single" w:sz="4" w:space="0" w:color="000000"/>
            </w:tcBorders>
          </w:tcPr>
          <w:p>
            <w:pPr>
              <w:pStyle w:val="TableParagraph"/>
              <w:spacing w:before="22"/>
              <w:ind w:right="154"/>
              <w:rPr>
                <w:b/>
                <w:sz w:val="14"/>
              </w:rPr>
            </w:pPr>
            <w:r>
              <w:rPr>
                <w:b/>
                <w:w w:val="99"/>
                <w:sz w:val="14"/>
              </w:rPr>
              <w:t>-</w:t>
            </w:r>
          </w:p>
        </w:tc>
        <w:tc>
          <w:tcPr>
            <w:tcW w:w="607" w:type="dxa"/>
            <w:tcBorders>
              <w:top w:val="single" w:sz="4" w:space="0" w:color="000000"/>
              <w:bottom w:val="single" w:sz="4" w:space="0" w:color="000000"/>
            </w:tcBorders>
          </w:tcPr>
          <w:p>
            <w:pPr>
              <w:pStyle w:val="TableParagraph"/>
              <w:spacing w:before="22"/>
              <w:ind w:right="170"/>
              <w:rPr>
                <w:b/>
                <w:sz w:val="14"/>
              </w:rPr>
            </w:pPr>
            <w:r>
              <w:rPr>
                <w:b/>
                <w:w w:val="99"/>
                <w:sz w:val="14"/>
              </w:rPr>
              <w:t>-</w:t>
            </w:r>
          </w:p>
        </w:tc>
        <w:tc>
          <w:tcPr>
            <w:tcW w:w="563" w:type="dxa"/>
            <w:tcBorders>
              <w:top w:val="single" w:sz="4" w:space="0" w:color="000000"/>
              <w:bottom w:val="single" w:sz="4" w:space="0" w:color="000000"/>
            </w:tcBorders>
          </w:tcPr>
          <w:p>
            <w:pPr>
              <w:pStyle w:val="TableParagraph"/>
              <w:spacing w:before="22"/>
              <w:ind w:right="171"/>
              <w:rPr>
                <w:b/>
                <w:sz w:val="14"/>
              </w:rPr>
            </w:pPr>
            <w:r>
              <w:rPr>
                <w:b/>
                <w:w w:val="99"/>
                <w:sz w:val="14"/>
              </w:rPr>
              <w:t>-</w:t>
            </w:r>
          </w:p>
        </w:tc>
        <w:tc>
          <w:tcPr>
            <w:tcW w:w="581" w:type="dxa"/>
            <w:tcBorders>
              <w:top w:val="single" w:sz="4" w:space="0" w:color="000000"/>
              <w:bottom w:val="single" w:sz="4" w:space="0" w:color="000000"/>
            </w:tcBorders>
          </w:tcPr>
          <w:p>
            <w:pPr>
              <w:pStyle w:val="TableParagraph"/>
              <w:spacing w:before="22"/>
              <w:ind w:right="191"/>
              <w:rPr>
                <w:b/>
                <w:sz w:val="14"/>
              </w:rPr>
            </w:pPr>
            <w:r>
              <w:rPr>
                <w:b/>
                <w:w w:val="99"/>
                <w:sz w:val="14"/>
              </w:rPr>
              <w:t>-</w:t>
            </w:r>
          </w:p>
        </w:tc>
        <w:tc>
          <w:tcPr>
            <w:tcW w:w="581" w:type="dxa"/>
            <w:tcBorders>
              <w:top w:val="single" w:sz="4" w:space="0" w:color="000000"/>
              <w:bottom w:val="single" w:sz="4" w:space="0" w:color="000000"/>
            </w:tcBorders>
          </w:tcPr>
          <w:p>
            <w:pPr>
              <w:pStyle w:val="TableParagraph"/>
              <w:spacing w:before="22"/>
              <w:ind w:left="148"/>
              <w:jc w:val="center"/>
              <w:rPr>
                <w:b/>
                <w:sz w:val="14"/>
              </w:rPr>
            </w:pPr>
            <w:r>
              <w:rPr>
                <w:b/>
                <w:w w:val="99"/>
                <w:sz w:val="14"/>
              </w:rPr>
              <w:t>-</w:t>
            </w:r>
          </w:p>
        </w:tc>
        <w:tc>
          <w:tcPr>
            <w:tcW w:w="564" w:type="dxa"/>
            <w:tcBorders>
              <w:top w:val="single" w:sz="4" w:space="0" w:color="000000"/>
              <w:bottom w:val="single" w:sz="4" w:space="0" w:color="000000"/>
            </w:tcBorders>
          </w:tcPr>
          <w:p>
            <w:pPr>
              <w:pStyle w:val="TableParagraph"/>
              <w:spacing w:before="22"/>
              <w:ind w:right="169"/>
              <w:rPr>
                <w:b/>
                <w:sz w:val="14"/>
              </w:rPr>
            </w:pPr>
            <w:r>
              <w:rPr>
                <w:b/>
                <w:w w:val="99"/>
                <w:sz w:val="14"/>
              </w:rPr>
              <w:t>-</w:t>
            </w:r>
          </w:p>
        </w:tc>
        <w:tc>
          <w:tcPr>
            <w:tcW w:w="694" w:type="dxa"/>
            <w:tcBorders>
              <w:top w:val="single" w:sz="4" w:space="0" w:color="000000"/>
              <w:bottom w:val="single" w:sz="4" w:space="0" w:color="000000"/>
            </w:tcBorders>
          </w:tcPr>
          <w:p>
            <w:pPr>
              <w:pStyle w:val="TableParagraph"/>
              <w:spacing w:before="22"/>
              <w:ind w:right="267"/>
              <w:rPr>
                <w:b/>
                <w:sz w:val="14"/>
              </w:rPr>
            </w:pPr>
            <w:r>
              <w:rPr>
                <w:b/>
                <w:w w:val="99"/>
                <w:sz w:val="14"/>
              </w:rPr>
              <w:t>-</w:t>
            </w:r>
          </w:p>
        </w:tc>
        <w:tc>
          <w:tcPr>
            <w:tcW w:w="668" w:type="dxa"/>
            <w:tcBorders>
              <w:top w:val="single" w:sz="4" w:space="0" w:color="000000"/>
              <w:bottom w:val="single" w:sz="4" w:space="0" w:color="000000"/>
            </w:tcBorders>
          </w:tcPr>
          <w:p>
            <w:pPr>
              <w:pStyle w:val="TableParagraph"/>
              <w:spacing w:before="22"/>
              <w:ind w:right="196"/>
              <w:rPr>
                <w:b/>
                <w:sz w:val="14"/>
              </w:rPr>
            </w:pPr>
            <w:r>
              <w:rPr>
                <w:b/>
                <w:w w:val="99"/>
                <w:sz w:val="14"/>
              </w:rPr>
              <w:t>-</w:t>
            </w:r>
          </w:p>
        </w:tc>
        <w:tc>
          <w:tcPr>
            <w:tcW w:w="466" w:type="dxa"/>
            <w:tcBorders>
              <w:top w:val="single" w:sz="4" w:space="0" w:color="000000"/>
              <w:bottom w:val="single" w:sz="4" w:space="0" w:color="000000"/>
            </w:tcBorders>
          </w:tcPr>
          <w:p>
            <w:pPr>
              <w:pStyle w:val="TableParagraph"/>
              <w:spacing w:before="22"/>
              <w:ind w:right="66"/>
              <w:rPr>
                <w:b/>
                <w:sz w:val="14"/>
              </w:rPr>
            </w:pPr>
            <w:r>
              <w:rPr>
                <w:b/>
                <w:w w:val="99"/>
                <w:sz w:val="14"/>
              </w:rPr>
              <w:t>-</w:t>
            </w:r>
          </w:p>
        </w:tc>
        <w:tc>
          <w:tcPr>
            <w:tcW w:w="795" w:type="dxa"/>
            <w:tcBorders>
              <w:top w:val="single" w:sz="4" w:space="0" w:color="000000"/>
              <w:bottom w:val="single" w:sz="4" w:space="0" w:color="000000"/>
            </w:tcBorders>
          </w:tcPr>
          <w:p>
            <w:pPr>
              <w:pStyle w:val="TableParagraph"/>
              <w:spacing w:before="22"/>
              <w:ind w:right="126"/>
              <w:rPr>
                <w:b/>
                <w:sz w:val="14"/>
              </w:rPr>
            </w:pPr>
            <w:r>
              <w:rPr>
                <w:b/>
                <w:w w:val="99"/>
                <w:sz w:val="14"/>
              </w:rPr>
              <w:t>-</w:t>
            </w:r>
          </w:p>
        </w:tc>
        <w:tc>
          <w:tcPr>
            <w:tcW w:w="569" w:type="dxa"/>
            <w:tcBorders>
              <w:top w:val="single" w:sz="4" w:space="0" w:color="000000"/>
              <w:bottom w:val="single" w:sz="4" w:space="0" w:color="000000"/>
            </w:tcBorders>
          </w:tcPr>
          <w:p>
            <w:pPr>
              <w:pStyle w:val="TableParagraph"/>
              <w:spacing w:before="22"/>
              <w:ind w:right="100"/>
              <w:rPr>
                <w:b/>
                <w:sz w:val="14"/>
              </w:rPr>
            </w:pPr>
            <w:r>
              <w:rPr>
                <w:b/>
                <w:w w:val="99"/>
                <w:sz w:val="14"/>
              </w:rPr>
              <w:t>-</w:t>
            </w:r>
          </w:p>
        </w:tc>
        <w:tc>
          <w:tcPr>
            <w:tcW w:w="578" w:type="dxa"/>
            <w:tcBorders>
              <w:top w:val="single" w:sz="4" w:space="0" w:color="000000"/>
              <w:bottom w:val="single" w:sz="4" w:space="0" w:color="000000"/>
            </w:tcBorders>
          </w:tcPr>
          <w:p>
            <w:pPr>
              <w:pStyle w:val="TableParagraph"/>
              <w:spacing w:before="22"/>
              <w:ind w:right="87"/>
              <w:rPr>
                <w:b/>
                <w:sz w:val="14"/>
              </w:rPr>
            </w:pPr>
            <w:r>
              <w:rPr>
                <w:b/>
                <w:w w:val="99"/>
                <w:sz w:val="14"/>
              </w:rPr>
              <w:t>-</w:t>
            </w:r>
          </w:p>
        </w:tc>
        <w:tc>
          <w:tcPr>
            <w:tcW w:w="563" w:type="dxa"/>
            <w:tcBorders>
              <w:top w:val="single" w:sz="4" w:space="0" w:color="000000"/>
              <w:bottom w:val="single" w:sz="4" w:space="0" w:color="000000"/>
            </w:tcBorders>
          </w:tcPr>
          <w:p>
            <w:pPr>
              <w:pStyle w:val="TableParagraph"/>
              <w:spacing w:before="22"/>
              <w:ind w:right="60"/>
              <w:rPr>
                <w:b/>
                <w:sz w:val="14"/>
              </w:rPr>
            </w:pPr>
            <w:r>
              <w:rPr>
                <w:b/>
                <w:w w:val="99"/>
                <w:sz w:val="14"/>
              </w:rPr>
              <w:t>-</w:t>
            </w:r>
          </w:p>
        </w:tc>
        <w:tc>
          <w:tcPr>
            <w:tcW w:w="821" w:type="dxa"/>
            <w:tcBorders>
              <w:top w:val="single" w:sz="4" w:space="0" w:color="000000"/>
              <w:bottom w:val="single" w:sz="4" w:space="0" w:color="000000"/>
            </w:tcBorders>
          </w:tcPr>
          <w:p>
            <w:pPr>
              <w:pStyle w:val="TableParagraph"/>
              <w:spacing w:before="22"/>
              <w:ind w:right="141"/>
              <w:rPr>
                <w:b/>
                <w:sz w:val="14"/>
              </w:rPr>
            </w:pPr>
            <w:r>
              <w:rPr>
                <w:b/>
                <w:w w:val="99"/>
                <w:sz w:val="14"/>
              </w:rPr>
              <w:t>-</w:t>
            </w:r>
          </w:p>
        </w:tc>
        <w:tc>
          <w:tcPr>
            <w:tcW w:w="520" w:type="dxa"/>
            <w:tcBorders>
              <w:top w:val="single" w:sz="4" w:space="0" w:color="000000"/>
              <w:bottom w:val="single" w:sz="4" w:space="0" w:color="000000"/>
            </w:tcBorders>
          </w:tcPr>
          <w:p>
            <w:pPr>
              <w:pStyle w:val="TableParagraph"/>
              <w:spacing w:before="22"/>
              <w:ind w:right="61"/>
              <w:rPr>
                <w:b/>
                <w:sz w:val="14"/>
              </w:rPr>
            </w:pPr>
            <w:r>
              <w:rPr>
                <w:b/>
                <w:w w:val="99"/>
                <w:sz w:val="14"/>
              </w:rPr>
              <w:t>-</w:t>
            </w:r>
          </w:p>
        </w:tc>
      </w:tr>
      <w:tr>
        <w:trPr>
          <w:trHeight w:val="230" w:hRule="atLeast"/>
        </w:trPr>
        <w:tc>
          <w:tcPr>
            <w:tcW w:w="1186" w:type="dxa"/>
            <w:tcBorders>
              <w:top w:val="single" w:sz="4" w:space="0" w:color="000000"/>
              <w:bottom w:val="single" w:sz="4" w:space="0" w:color="000000"/>
            </w:tcBorders>
          </w:tcPr>
          <w:p>
            <w:pPr>
              <w:pStyle w:val="TableParagraph"/>
              <w:spacing w:before="27"/>
              <w:ind w:left="67"/>
              <w:jc w:val="left"/>
              <w:rPr>
                <w:sz w:val="14"/>
              </w:rPr>
            </w:pPr>
            <w:r>
              <w:rPr>
                <w:spacing w:val="-2"/>
                <w:sz w:val="14"/>
              </w:rPr>
              <w:t>Reclassified</w:t>
            </w:r>
          </w:p>
        </w:tc>
        <w:tc>
          <w:tcPr>
            <w:tcW w:w="678" w:type="dxa"/>
            <w:tcBorders>
              <w:top w:val="single" w:sz="4" w:space="0" w:color="000000"/>
              <w:bottom w:val="single" w:sz="4" w:space="0" w:color="000000"/>
            </w:tcBorders>
          </w:tcPr>
          <w:p>
            <w:pPr>
              <w:pStyle w:val="TableParagraph"/>
              <w:spacing w:before="27"/>
              <w:ind w:right="154"/>
              <w:rPr>
                <w:b/>
                <w:sz w:val="14"/>
              </w:rPr>
            </w:pPr>
            <w:r>
              <w:rPr>
                <w:b/>
                <w:w w:val="99"/>
                <w:sz w:val="14"/>
              </w:rPr>
              <w:t>-</w:t>
            </w:r>
          </w:p>
        </w:tc>
        <w:tc>
          <w:tcPr>
            <w:tcW w:w="607" w:type="dxa"/>
            <w:tcBorders>
              <w:top w:val="single" w:sz="4" w:space="0" w:color="000000"/>
              <w:bottom w:val="single" w:sz="4" w:space="0" w:color="000000"/>
            </w:tcBorders>
          </w:tcPr>
          <w:p>
            <w:pPr>
              <w:pStyle w:val="TableParagraph"/>
              <w:spacing w:before="27"/>
              <w:ind w:right="170"/>
              <w:rPr>
                <w:b/>
                <w:sz w:val="14"/>
              </w:rPr>
            </w:pPr>
            <w:r>
              <w:rPr>
                <w:b/>
                <w:w w:val="99"/>
                <w:sz w:val="14"/>
              </w:rPr>
              <w:t>-</w:t>
            </w:r>
          </w:p>
        </w:tc>
        <w:tc>
          <w:tcPr>
            <w:tcW w:w="563" w:type="dxa"/>
            <w:tcBorders>
              <w:top w:val="single" w:sz="4" w:space="0" w:color="000000"/>
              <w:bottom w:val="single" w:sz="4" w:space="0" w:color="000000"/>
            </w:tcBorders>
          </w:tcPr>
          <w:p>
            <w:pPr>
              <w:pStyle w:val="TableParagraph"/>
              <w:spacing w:before="27"/>
              <w:ind w:right="171"/>
              <w:rPr>
                <w:b/>
                <w:sz w:val="14"/>
              </w:rPr>
            </w:pPr>
            <w:r>
              <w:rPr>
                <w:b/>
                <w:w w:val="99"/>
                <w:sz w:val="14"/>
              </w:rPr>
              <w:t>-</w:t>
            </w:r>
          </w:p>
        </w:tc>
        <w:tc>
          <w:tcPr>
            <w:tcW w:w="581" w:type="dxa"/>
            <w:tcBorders>
              <w:top w:val="single" w:sz="4" w:space="0" w:color="000000"/>
              <w:bottom w:val="single" w:sz="4" w:space="0" w:color="000000"/>
            </w:tcBorders>
          </w:tcPr>
          <w:p>
            <w:pPr>
              <w:pStyle w:val="TableParagraph"/>
              <w:spacing w:before="27"/>
              <w:ind w:right="191"/>
              <w:rPr>
                <w:b/>
                <w:sz w:val="14"/>
              </w:rPr>
            </w:pPr>
            <w:r>
              <w:rPr>
                <w:b/>
                <w:w w:val="99"/>
                <w:sz w:val="14"/>
              </w:rPr>
              <w:t>-</w:t>
            </w:r>
          </w:p>
        </w:tc>
        <w:tc>
          <w:tcPr>
            <w:tcW w:w="581" w:type="dxa"/>
            <w:tcBorders>
              <w:top w:val="single" w:sz="4" w:space="0" w:color="000000"/>
              <w:bottom w:val="single" w:sz="4" w:space="0" w:color="000000"/>
            </w:tcBorders>
          </w:tcPr>
          <w:p>
            <w:pPr>
              <w:pStyle w:val="TableParagraph"/>
              <w:spacing w:before="27"/>
              <w:ind w:left="148"/>
              <w:jc w:val="center"/>
              <w:rPr>
                <w:b/>
                <w:sz w:val="14"/>
              </w:rPr>
            </w:pPr>
            <w:r>
              <w:rPr>
                <w:b/>
                <w:w w:val="99"/>
                <w:sz w:val="14"/>
              </w:rPr>
              <w:t>-</w:t>
            </w:r>
          </w:p>
        </w:tc>
        <w:tc>
          <w:tcPr>
            <w:tcW w:w="564" w:type="dxa"/>
            <w:tcBorders>
              <w:top w:val="single" w:sz="4" w:space="0" w:color="000000"/>
              <w:bottom w:val="single" w:sz="4" w:space="0" w:color="000000"/>
            </w:tcBorders>
          </w:tcPr>
          <w:p>
            <w:pPr>
              <w:pStyle w:val="TableParagraph"/>
              <w:spacing w:before="27"/>
              <w:ind w:right="169"/>
              <w:rPr>
                <w:b/>
                <w:sz w:val="14"/>
              </w:rPr>
            </w:pPr>
            <w:r>
              <w:rPr>
                <w:b/>
                <w:w w:val="99"/>
                <w:sz w:val="14"/>
              </w:rPr>
              <w:t>-</w:t>
            </w:r>
          </w:p>
        </w:tc>
        <w:tc>
          <w:tcPr>
            <w:tcW w:w="694" w:type="dxa"/>
            <w:tcBorders>
              <w:top w:val="single" w:sz="4" w:space="0" w:color="000000"/>
              <w:bottom w:val="single" w:sz="4" w:space="0" w:color="000000"/>
            </w:tcBorders>
          </w:tcPr>
          <w:p>
            <w:pPr>
              <w:pStyle w:val="TableParagraph"/>
              <w:spacing w:before="27"/>
              <w:ind w:right="267"/>
              <w:rPr>
                <w:b/>
                <w:sz w:val="14"/>
              </w:rPr>
            </w:pPr>
            <w:r>
              <w:rPr>
                <w:b/>
                <w:w w:val="99"/>
                <w:sz w:val="14"/>
              </w:rPr>
              <w:t>-</w:t>
            </w:r>
          </w:p>
        </w:tc>
        <w:tc>
          <w:tcPr>
            <w:tcW w:w="668" w:type="dxa"/>
            <w:tcBorders>
              <w:top w:val="single" w:sz="4" w:space="0" w:color="000000"/>
              <w:bottom w:val="single" w:sz="4" w:space="0" w:color="000000"/>
            </w:tcBorders>
          </w:tcPr>
          <w:p>
            <w:pPr>
              <w:pStyle w:val="TableParagraph"/>
              <w:spacing w:before="27"/>
              <w:ind w:right="196"/>
              <w:rPr>
                <w:b/>
                <w:sz w:val="14"/>
              </w:rPr>
            </w:pPr>
            <w:r>
              <w:rPr>
                <w:b/>
                <w:w w:val="99"/>
                <w:sz w:val="14"/>
              </w:rPr>
              <w:t>-</w:t>
            </w:r>
          </w:p>
        </w:tc>
        <w:tc>
          <w:tcPr>
            <w:tcW w:w="466" w:type="dxa"/>
            <w:tcBorders>
              <w:top w:val="single" w:sz="4" w:space="0" w:color="000000"/>
              <w:bottom w:val="single" w:sz="4" w:space="0" w:color="000000"/>
            </w:tcBorders>
          </w:tcPr>
          <w:p>
            <w:pPr>
              <w:pStyle w:val="TableParagraph"/>
              <w:spacing w:before="27"/>
              <w:ind w:right="66"/>
              <w:rPr>
                <w:b/>
                <w:sz w:val="14"/>
              </w:rPr>
            </w:pPr>
            <w:r>
              <w:rPr>
                <w:b/>
                <w:w w:val="99"/>
                <w:sz w:val="14"/>
              </w:rPr>
              <w:t>-</w:t>
            </w:r>
          </w:p>
        </w:tc>
        <w:tc>
          <w:tcPr>
            <w:tcW w:w="795" w:type="dxa"/>
            <w:tcBorders>
              <w:top w:val="single" w:sz="4" w:space="0" w:color="000000"/>
              <w:bottom w:val="single" w:sz="4" w:space="0" w:color="000000"/>
            </w:tcBorders>
          </w:tcPr>
          <w:p>
            <w:pPr>
              <w:pStyle w:val="TableParagraph"/>
              <w:spacing w:before="27"/>
              <w:ind w:right="126"/>
              <w:rPr>
                <w:b/>
                <w:sz w:val="14"/>
              </w:rPr>
            </w:pPr>
            <w:r>
              <w:rPr>
                <w:b/>
                <w:w w:val="99"/>
                <w:sz w:val="14"/>
              </w:rPr>
              <w:t>-</w:t>
            </w:r>
          </w:p>
        </w:tc>
        <w:tc>
          <w:tcPr>
            <w:tcW w:w="569" w:type="dxa"/>
            <w:tcBorders>
              <w:top w:val="single" w:sz="4" w:space="0" w:color="000000"/>
              <w:bottom w:val="single" w:sz="4" w:space="0" w:color="000000"/>
            </w:tcBorders>
          </w:tcPr>
          <w:p>
            <w:pPr>
              <w:pStyle w:val="TableParagraph"/>
              <w:spacing w:before="27"/>
              <w:ind w:right="100"/>
              <w:rPr>
                <w:b/>
                <w:sz w:val="14"/>
              </w:rPr>
            </w:pPr>
            <w:r>
              <w:rPr>
                <w:b/>
                <w:w w:val="99"/>
                <w:sz w:val="14"/>
              </w:rPr>
              <w:t>-</w:t>
            </w:r>
          </w:p>
        </w:tc>
        <w:tc>
          <w:tcPr>
            <w:tcW w:w="578" w:type="dxa"/>
            <w:tcBorders>
              <w:top w:val="single" w:sz="4" w:space="0" w:color="000000"/>
              <w:bottom w:val="single" w:sz="4" w:space="0" w:color="000000"/>
            </w:tcBorders>
          </w:tcPr>
          <w:p>
            <w:pPr>
              <w:pStyle w:val="TableParagraph"/>
              <w:spacing w:before="27"/>
              <w:ind w:right="87"/>
              <w:rPr>
                <w:b/>
                <w:sz w:val="14"/>
              </w:rPr>
            </w:pPr>
            <w:r>
              <w:rPr>
                <w:b/>
                <w:w w:val="99"/>
                <w:sz w:val="14"/>
              </w:rPr>
              <w:t>-</w:t>
            </w:r>
          </w:p>
        </w:tc>
        <w:tc>
          <w:tcPr>
            <w:tcW w:w="563" w:type="dxa"/>
            <w:tcBorders>
              <w:top w:val="single" w:sz="4" w:space="0" w:color="000000"/>
              <w:bottom w:val="single" w:sz="4" w:space="0" w:color="000000"/>
            </w:tcBorders>
          </w:tcPr>
          <w:p>
            <w:pPr>
              <w:pStyle w:val="TableParagraph"/>
              <w:spacing w:before="27"/>
              <w:ind w:right="60"/>
              <w:rPr>
                <w:b/>
                <w:sz w:val="14"/>
              </w:rPr>
            </w:pPr>
            <w:r>
              <w:rPr>
                <w:b/>
                <w:w w:val="99"/>
                <w:sz w:val="14"/>
              </w:rPr>
              <w:t>-</w:t>
            </w:r>
          </w:p>
        </w:tc>
        <w:tc>
          <w:tcPr>
            <w:tcW w:w="821" w:type="dxa"/>
            <w:tcBorders>
              <w:top w:val="single" w:sz="4" w:space="0" w:color="000000"/>
              <w:bottom w:val="single" w:sz="4" w:space="0" w:color="000000"/>
            </w:tcBorders>
          </w:tcPr>
          <w:p>
            <w:pPr>
              <w:pStyle w:val="TableParagraph"/>
              <w:spacing w:before="27"/>
              <w:ind w:right="141"/>
              <w:rPr>
                <w:b/>
                <w:sz w:val="14"/>
              </w:rPr>
            </w:pPr>
            <w:r>
              <w:rPr>
                <w:b/>
                <w:w w:val="99"/>
                <w:sz w:val="14"/>
              </w:rPr>
              <w:t>-</w:t>
            </w:r>
          </w:p>
        </w:tc>
        <w:tc>
          <w:tcPr>
            <w:tcW w:w="520" w:type="dxa"/>
            <w:tcBorders>
              <w:top w:val="single" w:sz="4" w:space="0" w:color="000000"/>
              <w:bottom w:val="single" w:sz="4" w:space="0" w:color="000000"/>
            </w:tcBorders>
          </w:tcPr>
          <w:p>
            <w:pPr>
              <w:pStyle w:val="TableParagraph"/>
              <w:spacing w:before="27"/>
              <w:ind w:right="61"/>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2"/>
              <w:ind w:left="67"/>
              <w:jc w:val="left"/>
              <w:rPr>
                <w:sz w:val="14"/>
              </w:rPr>
            </w:pPr>
            <w:r>
              <w:rPr>
                <w:spacing w:val="-2"/>
                <w:sz w:val="14"/>
              </w:rPr>
              <w:t>Returned</w:t>
            </w:r>
          </w:p>
        </w:tc>
        <w:tc>
          <w:tcPr>
            <w:tcW w:w="678" w:type="dxa"/>
            <w:tcBorders>
              <w:top w:val="single" w:sz="4" w:space="0" w:color="000000"/>
              <w:bottom w:val="single" w:sz="4" w:space="0" w:color="000000"/>
            </w:tcBorders>
          </w:tcPr>
          <w:p>
            <w:pPr>
              <w:pStyle w:val="TableParagraph"/>
              <w:spacing w:before="22"/>
              <w:ind w:right="154"/>
              <w:rPr>
                <w:b/>
                <w:sz w:val="14"/>
              </w:rPr>
            </w:pPr>
            <w:r>
              <w:rPr>
                <w:b/>
                <w:w w:val="99"/>
                <w:sz w:val="14"/>
              </w:rPr>
              <w:t>-</w:t>
            </w:r>
          </w:p>
        </w:tc>
        <w:tc>
          <w:tcPr>
            <w:tcW w:w="607" w:type="dxa"/>
            <w:tcBorders>
              <w:top w:val="single" w:sz="4" w:space="0" w:color="000000"/>
              <w:bottom w:val="single" w:sz="4" w:space="0" w:color="000000"/>
            </w:tcBorders>
          </w:tcPr>
          <w:p>
            <w:pPr>
              <w:pStyle w:val="TableParagraph"/>
              <w:spacing w:before="22"/>
              <w:ind w:right="170"/>
              <w:rPr>
                <w:b/>
                <w:sz w:val="14"/>
              </w:rPr>
            </w:pPr>
            <w:r>
              <w:rPr>
                <w:b/>
                <w:w w:val="99"/>
                <w:sz w:val="14"/>
              </w:rPr>
              <w:t>-</w:t>
            </w:r>
          </w:p>
        </w:tc>
        <w:tc>
          <w:tcPr>
            <w:tcW w:w="563" w:type="dxa"/>
            <w:tcBorders>
              <w:top w:val="single" w:sz="4" w:space="0" w:color="000000"/>
              <w:bottom w:val="single" w:sz="4" w:space="0" w:color="000000"/>
            </w:tcBorders>
          </w:tcPr>
          <w:p>
            <w:pPr>
              <w:pStyle w:val="TableParagraph"/>
              <w:spacing w:before="22"/>
              <w:ind w:right="171"/>
              <w:rPr>
                <w:b/>
                <w:sz w:val="14"/>
              </w:rPr>
            </w:pPr>
            <w:r>
              <w:rPr>
                <w:b/>
                <w:w w:val="99"/>
                <w:sz w:val="14"/>
              </w:rPr>
              <w:t>-</w:t>
            </w:r>
          </w:p>
        </w:tc>
        <w:tc>
          <w:tcPr>
            <w:tcW w:w="581" w:type="dxa"/>
            <w:tcBorders>
              <w:top w:val="single" w:sz="4" w:space="0" w:color="000000"/>
              <w:bottom w:val="single" w:sz="4" w:space="0" w:color="000000"/>
            </w:tcBorders>
          </w:tcPr>
          <w:p>
            <w:pPr>
              <w:pStyle w:val="TableParagraph"/>
              <w:spacing w:before="22"/>
              <w:ind w:right="191"/>
              <w:rPr>
                <w:b/>
                <w:sz w:val="14"/>
              </w:rPr>
            </w:pPr>
            <w:r>
              <w:rPr>
                <w:b/>
                <w:w w:val="99"/>
                <w:sz w:val="14"/>
              </w:rPr>
              <w:t>-</w:t>
            </w:r>
          </w:p>
        </w:tc>
        <w:tc>
          <w:tcPr>
            <w:tcW w:w="581" w:type="dxa"/>
            <w:tcBorders>
              <w:top w:val="single" w:sz="4" w:space="0" w:color="000000"/>
              <w:bottom w:val="single" w:sz="4" w:space="0" w:color="000000"/>
            </w:tcBorders>
          </w:tcPr>
          <w:p>
            <w:pPr>
              <w:pStyle w:val="TableParagraph"/>
              <w:spacing w:before="22"/>
              <w:ind w:left="148"/>
              <w:jc w:val="center"/>
              <w:rPr>
                <w:b/>
                <w:sz w:val="14"/>
              </w:rPr>
            </w:pPr>
            <w:r>
              <w:rPr>
                <w:b/>
                <w:w w:val="99"/>
                <w:sz w:val="14"/>
              </w:rPr>
              <w:t>-</w:t>
            </w:r>
          </w:p>
        </w:tc>
        <w:tc>
          <w:tcPr>
            <w:tcW w:w="564" w:type="dxa"/>
            <w:tcBorders>
              <w:top w:val="single" w:sz="4" w:space="0" w:color="000000"/>
              <w:bottom w:val="single" w:sz="4" w:space="0" w:color="000000"/>
            </w:tcBorders>
          </w:tcPr>
          <w:p>
            <w:pPr>
              <w:pStyle w:val="TableParagraph"/>
              <w:spacing w:before="22"/>
              <w:ind w:right="169"/>
              <w:rPr>
                <w:b/>
                <w:sz w:val="14"/>
              </w:rPr>
            </w:pPr>
            <w:r>
              <w:rPr>
                <w:b/>
                <w:w w:val="99"/>
                <w:sz w:val="14"/>
              </w:rPr>
              <w:t>-</w:t>
            </w:r>
          </w:p>
        </w:tc>
        <w:tc>
          <w:tcPr>
            <w:tcW w:w="694" w:type="dxa"/>
            <w:tcBorders>
              <w:top w:val="single" w:sz="4" w:space="0" w:color="000000"/>
              <w:bottom w:val="single" w:sz="4" w:space="0" w:color="000000"/>
            </w:tcBorders>
          </w:tcPr>
          <w:p>
            <w:pPr>
              <w:pStyle w:val="TableParagraph"/>
              <w:spacing w:before="22"/>
              <w:ind w:right="267"/>
              <w:rPr>
                <w:b/>
                <w:sz w:val="14"/>
              </w:rPr>
            </w:pPr>
            <w:r>
              <w:rPr>
                <w:b/>
                <w:w w:val="99"/>
                <w:sz w:val="14"/>
              </w:rPr>
              <w:t>-</w:t>
            </w:r>
          </w:p>
        </w:tc>
        <w:tc>
          <w:tcPr>
            <w:tcW w:w="668" w:type="dxa"/>
            <w:tcBorders>
              <w:top w:val="single" w:sz="4" w:space="0" w:color="000000"/>
              <w:bottom w:val="single" w:sz="4" w:space="0" w:color="000000"/>
            </w:tcBorders>
          </w:tcPr>
          <w:p>
            <w:pPr>
              <w:pStyle w:val="TableParagraph"/>
              <w:spacing w:before="22"/>
              <w:ind w:right="196"/>
              <w:rPr>
                <w:b/>
                <w:sz w:val="14"/>
              </w:rPr>
            </w:pPr>
            <w:r>
              <w:rPr>
                <w:b/>
                <w:w w:val="99"/>
                <w:sz w:val="14"/>
              </w:rPr>
              <w:t>-</w:t>
            </w:r>
          </w:p>
        </w:tc>
        <w:tc>
          <w:tcPr>
            <w:tcW w:w="466" w:type="dxa"/>
            <w:tcBorders>
              <w:top w:val="single" w:sz="4" w:space="0" w:color="000000"/>
              <w:bottom w:val="single" w:sz="4" w:space="0" w:color="000000"/>
            </w:tcBorders>
          </w:tcPr>
          <w:p>
            <w:pPr>
              <w:pStyle w:val="TableParagraph"/>
              <w:spacing w:before="22"/>
              <w:ind w:right="66"/>
              <w:rPr>
                <w:b/>
                <w:sz w:val="14"/>
              </w:rPr>
            </w:pPr>
            <w:r>
              <w:rPr>
                <w:b/>
                <w:w w:val="99"/>
                <w:sz w:val="14"/>
              </w:rPr>
              <w:t>-</w:t>
            </w:r>
          </w:p>
        </w:tc>
        <w:tc>
          <w:tcPr>
            <w:tcW w:w="795" w:type="dxa"/>
            <w:tcBorders>
              <w:top w:val="single" w:sz="4" w:space="0" w:color="000000"/>
              <w:bottom w:val="single" w:sz="4" w:space="0" w:color="000000"/>
            </w:tcBorders>
          </w:tcPr>
          <w:p>
            <w:pPr>
              <w:pStyle w:val="TableParagraph"/>
              <w:spacing w:before="22"/>
              <w:ind w:right="126"/>
              <w:rPr>
                <w:b/>
                <w:sz w:val="14"/>
              </w:rPr>
            </w:pPr>
            <w:r>
              <w:rPr>
                <w:b/>
                <w:w w:val="99"/>
                <w:sz w:val="14"/>
              </w:rPr>
              <w:t>-</w:t>
            </w:r>
          </w:p>
        </w:tc>
        <w:tc>
          <w:tcPr>
            <w:tcW w:w="569" w:type="dxa"/>
            <w:tcBorders>
              <w:top w:val="single" w:sz="4" w:space="0" w:color="000000"/>
              <w:bottom w:val="single" w:sz="4" w:space="0" w:color="000000"/>
            </w:tcBorders>
          </w:tcPr>
          <w:p>
            <w:pPr>
              <w:pStyle w:val="TableParagraph"/>
              <w:spacing w:before="22"/>
              <w:ind w:right="100"/>
              <w:rPr>
                <w:b/>
                <w:sz w:val="14"/>
              </w:rPr>
            </w:pPr>
            <w:r>
              <w:rPr>
                <w:b/>
                <w:w w:val="99"/>
                <w:sz w:val="14"/>
              </w:rPr>
              <w:t>-</w:t>
            </w:r>
          </w:p>
        </w:tc>
        <w:tc>
          <w:tcPr>
            <w:tcW w:w="578" w:type="dxa"/>
            <w:tcBorders>
              <w:top w:val="single" w:sz="4" w:space="0" w:color="000000"/>
              <w:bottom w:val="single" w:sz="4" w:space="0" w:color="000000"/>
            </w:tcBorders>
          </w:tcPr>
          <w:p>
            <w:pPr>
              <w:pStyle w:val="TableParagraph"/>
              <w:spacing w:before="22"/>
              <w:ind w:right="87"/>
              <w:rPr>
                <w:b/>
                <w:sz w:val="14"/>
              </w:rPr>
            </w:pPr>
            <w:r>
              <w:rPr>
                <w:b/>
                <w:w w:val="99"/>
                <w:sz w:val="14"/>
              </w:rPr>
              <w:t>-</w:t>
            </w:r>
          </w:p>
        </w:tc>
        <w:tc>
          <w:tcPr>
            <w:tcW w:w="563" w:type="dxa"/>
            <w:tcBorders>
              <w:top w:val="single" w:sz="4" w:space="0" w:color="000000"/>
              <w:bottom w:val="single" w:sz="4" w:space="0" w:color="000000"/>
            </w:tcBorders>
          </w:tcPr>
          <w:p>
            <w:pPr>
              <w:pStyle w:val="TableParagraph"/>
              <w:spacing w:before="22"/>
              <w:ind w:right="60"/>
              <w:rPr>
                <w:b/>
                <w:sz w:val="14"/>
              </w:rPr>
            </w:pPr>
            <w:r>
              <w:rPr>
                <w:b/>
                <w:w w:val="99"/>
                <w:sz w:val="14"/>
              </w:rPr>
              <w:t>-</w:t>
            </w:r>
          </w:p>
        </w:tc>
        <w:tc>
          <w:tcPr>
            <w:tcW w:w="821" w:type="dxa"/>
            <w:tcBorders>
              <w:top w:val="single" w:sz="4" w:space="0" w:color="000000"/>
              <w:bottom w:val="single" w:sz="4" w:space="0" w:color="000000"/>
            </w:tcBorders>
          </w:tcPr>
          <w:p>
            <w:pPr>
              <w:pStyle w:val="TableParagraph"/>
              <w:spacing w:before="22"/>
              <w:ind w:right="141"/>
              <w:rPr>
                <w:b/>
                <w:sz w:val="14"/>
              </w:rPr>
            </w:pPr>
            <w:r>
              <w:rPr>
                <w:b/>
                <w:w w:val="99"/>
                <w:sz w:val="14"/>
              </w:rPr>
              <w:t>-</w:t>
            </w:r>
          </w:p>
        </w:tc>
        <w:tc>
          <w:tcPr>
            <w:tcW w:w="520" w:type="dxa"/>
            <w:tcBorders>
              <w:top w:val="single" w:sz="4" w:space="0" w:color="000000"/>
              <w:bottom w:val="single" w:sz="4" w:space="0" w:color="000000"/>
            </w:tcBorders>
          </w:tcPr>
          <w:p>
            <w:pPr>
              <w:pStyle w:val="TableParagraph"/>
              <w:spacing w:before="22"/>
              <w:ind w:right="61"/>
              <w:rPr>
                <w:b/>
                <w:sz w:val="14"/>
              </w:rPr>
            </w:pPr>
            <w:r>
              <w:rPr>
                <w:b/>
                <w:w w:val="99"/>
                <w:sz w:val="14"/>
              </w:rPr>
              <w:t>-</w:t>
            </w:r>
          </w:p>
        </w:tc>
      </w:tr>
      <w:tr>
        <w:trPr>
          <w:trHeight w:val="224" w:hRule="atLeast"/>
        </w:trPr>
        <w:tc>
          <w:tcPr>
            <w:tcW w:w="1186" w:type="dxa"/>
            <w:tcBorders>
              <w:top w:val="single" w:sz="4" w:space="0" w:color="000000"/>
              <w:bottom w:val="single" w:sz="12" w:space="0" w:color="000000"/>
            </w:tcBorders>
          </w:tcPr>
          <w:p>
            <w:pPr>
              <w:pStyle w:val="TableParagraph"/>
              <w:spacing w:before="22"/>
              <w:ind w:left="67"/>
              <w:jc w:val="left"/>
              <w:rPr>
                <w:b/>
                <w:sz w:val="14"/>
              </w:rPr>
            </w:pPr>
            <w:r>
              <w:rPr>
                <w:b/>
                <w:sz w:val="14"/>
              </w:rPr>
              <w:t>Proposed</w:t>
            </w:r>
            <w:r>
              <w:rPr>
                <w:b/>
                <w:spacing w:val="-6"/>
                <w:sz w:val="14"/>
              </w:rPr>
              <w:t> </w:t>
            </w:r>
            <w:r>
              <w:rPr>
                <w:b/>
                <w:spacing w:val="-4"/>
                <w:sz w:val="14"/>
              </w:rPr>
              <w:t>2023</w:t>
            </w:r>
          </w:p>
        </w:tc>
        <w:tc>
          <w:tcPr>
            <w:tcW w:w="678" w:type="dxa"/>
            <w:tcBorders>
              <w:top w:val="single" w:sz="4" w:space="0" w:color="000000"/>
              <w:bottom w:val="single" w:sz="12" w:space="0" w:color="000000"/>
            </w:tcBorders>
          </w:tcPr>
          <w:p>
            <w:pPr>
              <w:pStyle w:val="TableParagraph"/>
              <w:spacing w:before="22"/>
              <w:ind w:right="154"/>
              <w:rPr>
                <w:b/>
                <w:sz w:val="14"/>
              </w:rPr>
            </w:pPr>
            <w:r>
              <w:rPr>
                <w:b/>
                <w:w w:val="99"/>
                <w:sz w:val="14"/>
              </w:rPr>
              <w:t>-</w:t>
            </w:r>
          </w:p>
        </w:tc>
        <w:tc>
          <w:tcPr>
            <w:tcW w:w="607" w:type="dxa"/>
            <w:tcBorders>
              <w:top w:val="single" w:sz="4" w:space="0" w:color="000000"/>
              <w:bottom w:val="single" w:sz="12" w:space="0" w:color="000000"/>
            </w:tcBorders>
          </w:tcPr>
          <w:p>
            <w:pPr>
              <w:pStyle w:val="TableParagraph"/>
              <w:spacing w:before="22"/>
              <w:ind w:right="170"/>
              <w:rPr>
                <w:b/>
                <w:sz w:val="14"/>
              </w:rPr>
            </w:pPr>
            <w:r>
              <w:rPr>
                <w:b/>
                <w:w w:val="99"/>
                <w:sz w:val="14"/>
              </w:rPr>
              <w:t>-</w:t>
            </w:r>
          </w:p>
        </w:tc>
        <w:tc>
          <w:tcPr>
            <w:tcW w:w="563" w:type="dxa"/>
            <w:tcBorders>
              <w:top w:val="single" w:sz="4" w:space="0" w:color="000000"/>
              <w:bottom w:val="single" w:sz="12" w:space="0" w:color="000000"/>
            </w:tcBorders>
          </w:tcPr>
          <w:p>
            <w:pPr>
              <w:pStyle w:val="TableParagraph"/>
              <w:spacing w:before="22"/>
              <w:ind w:right="171"/>
              <w:rPr>
                <w:b/>
                <w:sz w:val="14"/>
              </w:rPr>
            </w:pPr>
            <w:r>
              <w:rPr>
                <w:b/>
                <w:w w:val="99"/>
                <w:sz w:val="14"/>
              </w:rPr>
              <w:t>-</w:t>
            </w:r>
          </w:p>
        </w:tc>
        <w:tc>
          <w:tcPr>
            <w:tcW w:w="581" w:type="dxa"/>
            <w:tcBorders>
              <w:top w:val="single" w:sz="4" w:space="0" w:color="000000"/>
              <w:bottom w:val="single" w:sz="12" w:space="0" w:color="000000"/>
            </w:tcBorders>
          </w:tcPr>
          <w:p>
            <w:pPr>
              <w:pStyle w:val="TableParagraph"/>
              <w:spacing w:before="22"/>
              <w:ind w:right="191"/>
              <w:rPr>
                <w:b/>
                <w:sz w:val="14"/>
              </w:rPr>
            </w:pPr>
            <w:r>
              <w:rPr>
                <w:b/>
                <w:w w:val="99"/>
                <w:sz w:val="14"/>
              </w:rPr>
              <w:t>-</w:t>
            </w:r>
          </w:p>
        </w:tc>
        <w:tc>
          <w:tcPr>
            <w:tcW w:w="581" w:type="dxa"/>
            <w:tcBorders>
              <w:top w:val="single" w:sz="4" w:space="0" w:color="000000"/>
              <w:bottom w:val="single" w:sz="12" w:space="0" w:color="000000"/>
            </w:tcBorders>
          </w:tcPr>
          <w:p>
            <w:pPr>
              <w:pStyle w:val="TableParagraph"/>
              <w:spacing w:before="22"/>
              <w:ind w:left="148"/>
              <w:jc w:val="center"/>
              <w:rPr>
                <w:b/>
                <w:sz w:val="14"/>
              </w:rPr>
            </w:pPr>
            <w:r>
              <w:rPr>
                <w:b/>
                <w:w w:val="99"/>
                <w:sz w:val="14"/>
              </w:rPr>
              <w:t>-</w:t>
            </w:r>
          </w:p>
        </w:tc>
        <w:tc>
          <w:tcPr>
            <w:tcW w:w="564" w:type="dxa"/>
            <w:tcBorders>
              <w:top w:val="single" w:sz="4" w:space="0" w:color="000000"/>
              <w:bottom w:val="single" w:sz="12" w:space="0" w:color="000000"/>
            </w:tcBorders>
          </w:tcPr>
          <w:p>
            <w:pPr>
              <w:pStyle w:val="TableParagraph"/>
              <w:spacing w:before="22"/>
              <w:ind w:right="169"/>
              <w:rPr>
                <w:b/>
                <w:sz w:val="14"/>
              </w:rPr>
            </w:pPr>
            <w:r>
              <w:rPr>
                <w:b/>
                <w:w w:val="99"/>
                <w:sz w:val="14"/>
              </w:rPr>
              <w:t>-</w:t>
            </w:r>
          </w:p>
        </w:tc>
        <w:tc>
          <w:tcPr>
            <w:tcW w:w="694" w:type="dxa"/>
            <w:tcBorders>
              <w:top w:val="single" w:sz="4" w:space="0" w:color="000000"/>
              <w:bottom w:val="single" w:sz="12" w:space="0" w:color="000000"/>
            </w:tcBorders>
          </w:tcPr>
          <w:p>
            <w:pPr>
              <w:pStyle w:val="TableParagraph"/>
              <w:spacing w:before="22"/>
              <w:ind w:right="267"/>
              <w:rPr>
                <w:b/>
                <w:sz w:val="14"/>
              </w:rPr>
            </w:pPr>
            <w:r>
              <w:rPr>
                <w:b/>
                <w:w w:val="99"/>
                <w:sz w:val="14"/>
              </w:rPr>
              <w:t>-</w:t>
            </w:r>
          </w:p>
        </w:tc>
        <w:tc>
          <w:tcPr>
            <w:tcW w:w="668" w:type="dxa"/>
            <w:tcBorders>
              <w:top w:val="single" w:sz="4" w:space="0" w:color="000000"/>
              <w:bottom w:val="single" w:sz="12" w:space="0" w:color="000000"/>
            </w:tcBorders>
          </w:tcPr>
          <w:p>
            <w:pPr>
              <w:pStyle w:val="TableParagraph"/>
              <w:spacing w:before="22"/>
              <w:ind w:right="196"/>
              <w:rPr>
                <w:b/>
                <w:sz w:val="14"/>
              </w:rPr>
            </w:pPr>
            <w:r>
              <w:rPr>
                <w:b/>
                <w:w w:val="99"/>
                <w:sz w:val="14"/>
              </w:rPr>
              <w:t>-</w:t>
            </w:r>
          </w:p>
        </w:tc>
        <w:tc>
          <w:tcPr>
            <w:tcW w:w="466" w:type="dxa"/>
            <w:tcBorders>
              <w:top w:val="single" w:sz="4" w:space="0" w:color="000000"/>
              <w:bottom w:val="single" w:sz="12" w:space="0" w:color="000000"/>
            </w:tcBorders>
          </w:tcPr>
          <w:p>
            <w:pPr>
              <w:pStyle w:val="TableParagraph"/>
              <w:spacing w:before="22"/>
              <w:ind w:right="66"/>
              <w:rPr>
                <w:b/>
                <w:sz w:val="14"/>
              </w:rPr>
            </w:pPr>
            <w:r>
              <w:rPr>
                <w:b/>
                <w:w w:val="99"/>
                <w:sz w:val="14"/>
              </w:rPr>
              <w:t>-</w:t>
            </w:r>
          </w:p>
        </w:tc>
        <w:tc>
          <w:tcPr>
            <w:tcW w:w="795" w:type="dxa"/>
            <w:tcBorders>
              <w:top w:val="single" w:sz="4" w:space="0" w:color="000000"/>
              <w:bottom w:val="single" w:sz="12" w:space="0" w:color="000000"/>
            </w:tcBorders>
          </w:tcPr>
          <w:p>
            <w:pPr>
              <w:pStyle w:val="TableParagraph"/>
              <w:spacing w:before="22"/>
              <w:ind w:right="126"/>
              <w:rPr>
                <w:b/>
                <w:sz w:val="14"/>
              </w:rPr>
            </w:pPr>
            <w:r>
              <w:rPr>
                <w:b/>
                <w:w w:val="99"/>
                <w:sz w:val="14"/>
              </w:rPr>
              <w:t>-</w:t>
            </w:r>
          </w:p>
        </w:tc>
        <w:tc>
          <w:tcPr>
            <w:tcW w:w="569" w:type="dxa"/>
            <w:tcBorders>
              <w:top w:val="single" w:sz="4" w:space="0" w:color="000000"/>
              <w:bottom w:val="single" w:sz="12" w:space="0" w:color="000000"/>
            </w:tcBorders>
          </w:tcPr>
          <w:p>
            <w:pPr>
              <w:pStyle w:val="TableParagraph"/>
              <w:spacing w:before="22"/>
              <w:ind w:right="100"/>
              <w:rPr>
                <w:b/>
                <w:sz w:val="14"/>
              </w:rPr>
            </w:pPr>
            <w:r>
              <w:rPr>
                <w:b/>
                <w:w w:val="99"/>
                <w:sz w:val="14"/>
              </w:rPr>
              <w:t>-</w:t>
            </w:r>
          </w:p>
        </w:tc>
        <w:tc>
          <w:tcPr>
            <w:tcW w:w="578" w:type="dxa"/>
            <w:tcBorders>
              <w:top w:val="single" w:sz="4" w:space="0" w:color="000000"/>
              <w:bottom w:val="single" w:sz="12" w:space="0" w:color="000000"/>
            </w:tcBorders>
          </w:tcPr>
          <w:p>
            <w:pPr>
              <w:pStyle w:val="TableParagraph"/>
              <w:spacing w:before="22"/>
              <w:ind w:right="87"/>
              <w:rPr>
                <w:b/>
                <w:sz w:val="14"/>
              </w:rPr>
            </w:pPr>
            <w:r>
              <w:rPr>
                <w:b/>
                <w:w w:val="99"/>
                <w:sz w:val="14"/>
              </w:rPr>
              <w:t>-</w:t>
            </w:r>
          </w:p>
        </w:tc>
        <w:tc>
          <w:tcPr>
            <w:tcW w:w="563" w:type="dxa"/>
            <w:tcBorders>
              <w:top w:val="single" w:sz="4" w:space="0" w:color="000000"/>
              <w:bottom w:val="single" w:sz="12" w:space="0" w:color="000000"/>
            </w:tcBorders>
          </w:tcPr>
          <w:p>
            <w:pPr>
              <w:pStyle w:val="TableParagraph"/>
              <w:spacing w:before="22"/>
              <w:ind w:right="60"/>
              <w:rPr>
                <w:b/>
                <w:sz w:val="14"/>
              </w:rPr>
            </w:pPr>
            <w:r>
              <w:rPr>
                <w:b/>
                <w:w w:val="99"/>
                <w:sz w:val="14"/>
              </w:rPr>
              <w:t>-</w:t>
            </w:r>
          </w:p>
        </w:tc>
        <w:tc>
          <w:tcPr>
            <w:tcW w:w="821" w:type="dxa"/>
            <w:tcBorders>
              <w:top w:val="single" w:sz="4" w:space="0" w:color="000000"/>
              <w:bottom w:val="single" w:sz="12" w:space="0" w:color="000000"/>
            </w:tcBorders>
          </w:tcPr>
          <w:p>
            <w:pPr>
              <w:pStyle w:val="TableParagraph"/>
              <w:spacing w:before="22"/>
              <w:ind w:right="141"/>
              <w:rPr>
                <w:b/>
                <w:sz w:val="14"/>
              </w:rPr>
            </w:pPr>
            <w:r>
              <w:rPr>
                <w:b/>
                <w:w w:val="99"/>
                <w:sz w:val="14"/>
              </w:rPr>
              <w:t>-</w:t>
            </w:r>
          </w:p>
        </w:tc>
        <w:tc>
          <w:tcPr>
            <w:tcW w:w="520" w:type="dxa"/>
            <w:tcBorders>
              <w:top w:val="single" w:sz="4" w:space="0" w:color="000000"/>
              <w:bottom w:val="single" w:sz="12" w:space="0" w:color="000000"/>
            </w:tcBorders>
          </w:tcPr>
          <w:p>
            <w:pPr>
              <w:pStyle w:val="TableParagraph"/>
              <w:spacing w:before="22"/>
              <w:ind w:right="61"/>
              <w:rPr>
                <w:b/>
                <w:sz w:val="14"/>
              </w:rPr>
            </w:pPr>
            <w:r>
              <w:rPr>
                <w:b/>
                <w:w w:val="99"/>
                <w:sz w:val="14"/>
              </w:rPr>
              <w:t>-</w:t>
            </w:r>
          </w:p>
        </w:tc>
      </w:tr>
      <w:tr>
        <w:trPr>
          <w:trHeight w:val="571" w:hRule="atLeast"/>
        </w:trPr>
        <w:tc>
          <w:tcPr>
            <w:tcW w:w="1186" w:type="dxa"/>
            <w:tcBorders>
              <w:top w:val="single" w:sz="12" w:space="0" w:color="000000"/>
            </w:tcBorders>
          </w:tcPr>
          <w:p>
            <w:pPr>
              <w:pStyle w:val="TableParagraph"/>
              <w:jc w:val="left"/>
              <w:rPr>
                <w:b/>
                <w:sz w:val="19"/>
              </w:rPr>
            </w:pPr>
          </w:p>
          <w:p>
            <w:pPr>
              <w:pStyle w:val="TableParagraph"/>
              <w:spacing w:line="242" w:lineRule="auto"/>
              <w:ind w:left="67" w:right="232"/>
              <w:jc w:val="left"/>
              <w:rPr>
                <w:b/>
                <w:sz w:val="14"/>
              </w:rPr>
            </w:pPr>
            <w:r>
              <w:rPr>
                <w:b/>
                <w:sz w:val="14"/>
              </w:rPr>
              <w:t>GTA</w:t>
            </w:r>
            <w:r>
              <w:rPr>
                <w:b/>
                <w:spacing w:val="-9"/>
                <w:sz w:val="14"/>
              </w:rPr>
              <w:t> </w:t>
            </w:r>
            <w:r>
              <w:rPr>
                <w:b/>
                <w:sz w:val="14"/>
              </w:rPr>
              <w:t>Positions</w:t>
            </w:r>
            <w:r>
              <w:rPr>
                <w:b/>
                <w:spacing w:val="40"/>
                <w:sz w:val="14"/>
              </w:rPr>
              <w:t> </w:t>
            </w:r>
            <w:r>
              <w:rPr>
                <w:b/>
                <w:spacing w:val="-2"/>
                <w:sz w:val="14"/>
              </w:rPr>
              <w:t>(FTE)</w:t>
            </w:r>
          </w:p>
        </w:tc>
        <w:tc>
          <w:tcPr>
            <w:tcW w:w="678" w:type="dxa"/>
            <w:tcBorders>
              <w:top w:val="single" w:sz="12" w:space="0" w:color="000000"/>
            </w:tcBorders>
          </w:tcPr>
          <w:p>
            <w:pPr>
              <w:pStyle w:val="TableParagraph"/>
              <w:jc w:val="left"/>
              <w:rPr>
                <w:sz w:val="14"/>
              </w:rPr>
            </w:pPr>
          </w:p>
        </w:tc>
        <w:tc>
          <w:tcPr>
            <w:tcW w:w="607" w:type="dxa"/>
            <w:tcBorders>
              <w:top w:val="single" w:sz="12" w:space="0" w:color="000000"/>
            </w:tcBorders>
          </w:tcPr>
          <w:p>
            <w:pPr>
              <w:pStyle w:val="TableParagraph"/>
              <w:jc w:val="left"/>
              <w:rPr>
                <w:sz w:val="14"/>
              </w:rPr>
            </w:pPr>
          </w:p>
        </w:tc>
        <w:tc>
          <w:tcPr>
            <w:tcW w:w="563" w:type="dxa"/>
            <w:tcBorders>
              <w:top w:val="single" w:sz="12" w:space="0" w:color="000000"/>
            </w:tcBorders>
          </w:tcPr>
          <w:p>
            <w:pPr>
              <w:pStyle w:val="TableParagraph"/>
              <w:jc w:val="left"/>
              <w:rPr>
                <w:sz w:val="14"/>
              </w:rPr>
            </w:pPr>
          </w:p>
        </w:tc>
        <w:tc>
          <w:tcPr>
            <w:tcW w:w="581" w:type="dxa"/>
            <w:tcBorders>
              <w:top w:val="single" w:sz="12" w:space="0" w:color="000000"/>
            </w:tcBorders>
          </w:tcPr>
          <w:p>
            <w:pPr>
              <w:pStyle w:val="TableParagraph"/>
              <w:jc w:val="left"/>
              <w:rPr>
                <w:sz w:val="14"/>
              </w:rPr>
            </w:pPr>
          </w:p>
        </w:tc>
        <w:tc>
          <w:tcPr>
            <w:tcW w:w="581" w:type="dxa"/>
            <w:tcBorders>
              <w:top w:val="single" w:sz="12" w:space="0" w:color="000000"/>
            </w:tcBorders>
          </w:tcPr>
          <w:p>
            <w:pPr>
              <w:pStyle w:val="TableParagraph"/>
              <w:jc w:val="left"/>
              <w:rPr>
                <w:sz w:val="14"/>
              </w:rPr>
            </w:pPr>
          </w:p>
        </w:tc>
        <w:tc>
          <w:tcPr>
            <w:tcW w:w="564" w:type="dxa"/>
            <w:tcBorders>
              <w:top w:val="single" w:sz="12" w:space="0" w:color="000000"/>
            </w:tcBorders>
          </w:tcPr>
          <w:p>
            <w:pPr>
              <w:pStyle w:val="TableParagraph"/>
              <w:jc w:val="left"/>
              <w:rPr>
                <w:sz w:val="14"/>
              </w:rPr>
            </w:pPr>
          </w:p>
        </w:tc>
        <w:tc>
          <w:tcPr>
            <w:tcW w:w="694" w:type="dxa"/>
            <w:tcBorders>
              <w:top w:val="single" w:sz="12" w:space="0" w:color="000000"/>
            </w:tcBorders>
          </w:tcPr>
          <w:p>
            <w:pPr>
              <w:pStyle w:val="TableParagraph"/>
              <w:jc w:val="left"/>
              <w:rPr>
                <w:sz w:val="14"/>
              </w:rPr>
            </w:pPr>
          </w:p>
        </w:tc>
        <w:tc>
          <w:tcPr>
            <w:tcW w:w="668" w:type="dxa"/>
            <w:tcBorders>
              <w:top w:val="single" w:sz="12" w:space="0" w:color="000000"/>
            </w:tcBorders>
          </w:tcPr>
          <w:p>
            <w:pPr>
              <w:pStyle w:val="TableParagraph"/>
              <w:jc w:val="left"/>
              <w:rPr>
                <w:sz w:val="14"/>
              </w:rPr>
            </w:pPr>
          </w:p>
        </w:tc>
        <w:tc>
          <w:tcPr>
            <w:tcW w:w="466" w:type="dxa"/>
            <w:tcBorders>
              <w:top w:val="single" w:sz="12" w:space="0" w:color="000000"/>
            </w:tcBorders>
          </w:tcPr>
          <w:p>
            <w:pPr>
              <w:pStyle w:val="TableParagraph"/>
              <w:jc w:val="left"/>
              <w:rPr>
                <w:sz w:val="14"/>
              </w:rPr>
            </w:pPr>
          </w:p>
        </w:tc>
        <w:tc>
          <w:tcPr>
            <w:tcW w:w="795" w:type="dxa"/>
            <w:tcBorders>
              <w:top w:val="single" w:sz="12" w:space="0" w:color="000000"/>
            </w:tcBorders>
          </w:tcPr>
          <w:p>
            <w:pPr>
              <w:pStyle w:val="TableParagraph"/>
              <w:jc w:val="left"/>
              <w:rPr>
                <w:sz w:val="14"/>
              </w:rPr>
            </w:pPr>
          </w:p>
        </w:tc>
        <w:tc>
          <w:tcPr>
            <w:tcW w:w="569" w:type="dxa"/>
            <w:tcBorders>
              <w:top w:val="single" w:sz="12" w:space="0" w:color="000000"/>
            </w:tcBorders>
          </w:tcPr>
          <w:p>
            <w:pPr>
              <w:pStyle w:val="TableParagraph"/>
              <w:jc w:val="left"/>
              <w:rPr>
                <w:sz w:val="14"/>
              </w:rPr>
            </w:pPr>
          </w:p>
        </w:tc>
        <w:tc>
          <w:tcPr>
            <w:tcW w:w="578" w:type="dxa"/>
            <w:tcBorders>
              <w:top w:val="single" w:sz="12" w:space="0" w:color="000000"/>
            </w:tcBorders>
          </w:tcPr>
          <w:p>
            <w:pPr>
              <w:pStyle w:val="TableParagraph"/>
              <w:jc w:val="left"/>
              <w:rPr>
                <w:sz w:val="14"/>
              </w:rPr>
            </w:pPr>
          </w:p>
        </w:tc>
        <w:tc>
          <w:tcPr>
            <w:tcW w:w="563" w:type="dxa"/>
            <w:tcBorders>
              <w:top w:val="single" w:sz="12" w:space="0" w:color="000000"/>
            </w:tcBorders>
          </w:tcPr>
          <w:p>
            <w:pPr>
              <w:pStyle w:val="TableParagraph"/>
              <w:jc w:val="left"/>
              <w:rPr>
                <w:sz w:val="14"/>
              </w:rPr>
            </w:pPr>
          </w:p>
        </w:tc>
        <w:tc>
          <w:tcPr>
            <w:tcW w:w="821" w:type="dxa"/>
            <w:tcBorders>
              <w:top w:val="single" w:sz="12" w:space="0" w:color="000000"/>
            </w:tcBorders>
          </w:tcPr>
          <w:p>
            <w:pPr>
              <w:pStyle w:val="TableParagraph"/>
              <w:jc w:val="left"/>
              <w:rPr>
                <w:sz w:val="14"/>
              </w:rPr>
            </w:pPr>
          </w:p>
        </w:tc>
        <w:tc>
          <w:tcPr>
            <w:tcW w:w="520" w:type="dxa"/>
            <w:tcBorders>
              <w:top w:val="single" w:sz="12" w:space="0" w:color="000000"/>
            </w:tcBorders>
          </w:tcPr>
          <w:p>
            <w:pPr>
              <w:pStyle w:val="TableParagraph"/>
              <w:jc w:val="left"/>
              <w:rPr>
                <w:sz w:val="14"/>
              </w:rPr>
            </w:pPr>
          </w:p>
        </w:tc>
      </w:tr>
      <w:tr>
        <w:trPr>
          <w:trHeight w:val="205" w:hRule="atLeast"/>
        </w:trPr>
        <w:tc>
          <w:tcPr>
            <w:tcW w:w="1186" w:type="dxa"/>
            <w:tcBorders>
              <w:bottom w:val="single" w:sz="12" w:space="0" w:color="000000"/>
            </w:tcBorders>
          </w:tcPr>
          <w:p>
            <w:pPr>
              <w:pStyle w:val="TableParagraph"/>
              <w:spacing w:before="2"/>
              <w:ind w:left="67"/>
              <w:jc w:val="left"/>
              <w:rPr>
                <w:sz w:val="14"/>
              </w:rPr>
            </w:pPr>
            <w:r>
              <w:rPr>
                <w:w w:val="95"/>
                <w:sz w:val="14"/>
              </w:rPr>
              <w:t>Approved</w:t>
            </w:r>
            <w:r>
              <w:rPr>
                <w:spacing w:val="22"/>
                <w:sz w:val="14"/>
              </w:rPr>
              <w:t> </w:t>
            </w:r>
            <w:r>
              <w:rPr>
                <w:spacing w:val="-4"/>
                <w:sz w:val="14"/>
              </w:rPr>
              <w:t>2022</w:t>
            </w:r>
          </w:p>
        </w:tc>
        <w:tc>
          <w:tcPr>
            <w:tcW w:w="678" w:type="dxa"/>
            <w:tcBorders>
              <w:bottom w:val="single" w:sz="12" w:space="0" w:color="000000"/>
            </w:tcBorders>
          </w:tcPr>
          <w:p>
            <w:pPr>
              <w:pStyle w:val="TableParagraph"/>
              <w:spacing w:before="2"/>
              <w:ind w:right="154"/>
              <w:rPr>
                <w:b/>
                <w:sz w:val="14"/>
              </w:rPr>
            </w:pPr>
            <w:r>
              <w:rPr>
                <w:b/>
                <w:w w:val="99"/>
                <w:sz w:val="14"/>
              </w:rPr>
              <w:t>-</w:t>
            </w:r>
          </w:p>
        </w:tc>
        <w:tc>
          <w:tcPr>
            <w:tcW w:w="607" w:type="dxa"/>
            <w:tcBorders>
              <w:bottom w:val="single" w:sz="12" w:space="0" w:color="000000"/>
            </w:tcBorders>
          </w:tcPr>
          <w:p>
            <w:pPr>
              <w:pStyle w:val="TableParagraph"/>
              <w:spacing w:before="2"/>
              <w:ind w:right="170"/>
              <w:rPr>
                <w:b/>
                <w:sz w:val="14"/>
              </w:rPr>
            </w:pPr>
            <w:r>
              <w:rPr>
                <w:b/>
                <w:w w:val="99"/>
                <w:sz w:val="14"/>
              </w:rPr>
              <w:t>-</w:t>
            </w:r>
          </w:p>
        </w:tc>
        <w:tc>
          <w:tcPr>
            <w:tcW w:w="563" w:type="dxa"/>
            <w:tcBorders>
              <w:bottom w:val="single" w:sz="12" w:space="0" w:color="000000"/>
            </w:tcBorders>
          </w:tcPr>
          <w:p>
            <w:pPr>
              <w:pStyle w:val="TableParagraph"/>
              <w:spacing w:before="2"/>
              <w:ind w:right="171"/>
              <w:rPr>
                <w:b/>
                <w:sz w:val="14"/>
              </w:rPr>
            </w:pPr>
            <w:r>
              <w:rPr>
                <w:b/>
                <w:w w:val="99"/>
                <w:sz w:val="14"/>
              </w:rPr>
              <w:t>-</w:t>
            </w:r>
          </w:p>
        </w:tc>
        <w:tc>
          <w:tcPr>
            <w:tcW w:w="581" w:type="dxa"/>
            <w:tcBorders>
              <w:bottom w:val="single" w:sz="12" w:space="0" w:color="000000"/>
            </w:tcBorders>
          </w:tcPr>
          <w:p>
            <w:pPr>
              <w:pStyle w:val="TableParagraph"/>
              <w:spacing w:before="2"/>
              <w:ind w:right="191"/>
              <w:rPr>
                <w:b/>
                <w:sz w:val="14"/>
              </w:rPr>
            </w:pPr>
            <w:r>
              <w:rPr>
                <w:b/>
                <w:w w:val="99"/>
                <w:sz w:val="14"/>
              </w:rPr>
              <w:t>-</w:t>
            </w:r>
          </w:p>
        </w:tc>
        <w:tc>
          <w:tcPr>
            <w:tcW w:w="581" w:type="dxa"/>
            <w:tcBorders>
              <w:bottom w:val="single" w:sz="12" w:space="0" w:color="000000"/>
            </w:tcBorders>
          </w:tcPr>
          <w:p>
            <w:pPr>
              <w:pStyle w:val="TableParagraph"/>
              <w:spacing w:before="2"/>
              <w:ind w:left="148"/>
              <w:jc w:val="center"/>
              <w:rPr>
                <w:b/>
                <w:sz w:val="14"/>
              </w:rPr>
            </w:pPr>
            <w:r>
              <w:rPr>
                <w:b/>
                <w:w w:val="99"/>
                <w:sz w:val="14"/>
              </w:rPr>
              <w:t>-</w:t>
            </w:r>
          </w:p>
        </w:tc>
        <w:tc>
          <w:tcPr>
            <w:tcW w:w="564" w:type="dxa"/>
            <w:tcBorders>
              <w:bottom w:val="single" w:sz="12" w:space="0" w:color="000000"/>
            </w:tcBorders>
          </w:tcPr>
          <w:p>
            <w:pPr>
              <w:pStyle w:val="TableParagraph"/>
              <w:spacing w:before="2"/>
              <w:ind w:right="169"/>
              <w:rPr>
                <w:b/>
                <w:sz w:val="14"/>
              </w:rPr>
            </w:pPr>
            <w:r>
              <w:rPr>
                <w:b/>
                <w:w w:val="99"/>
                <w:sz w:val="14"/>
              </w:rPr>
              <w:t>-</w:t>
            </w:r>
          </w:p>
        </w:tc>
        <w:tc>
          <w:tcPr>
            <w:tcW w:w="694" w:type="dxa"/>
            <w:tcBorders>
              <w:bottom w:val="single" w:sz="12" w:space="0" w:color="000000"/>
            </w:tcBorders>
          </w:tcPr>
          <w:p>
            <w:pPr>
              <w:pStyle w:val="TableParagraph"/>
              <w:spacing w:before="2"/>
              <w:ind w:right="268"/>
              <w:rPr>
                <w:sz w:val="14"/>
              </w:rPr>
            </w:pPr>
            <w:r>
              <w:rPr>
                <w:spacing w:val="-4"/>
                <w:sz w:val="14"/>
              </w:rPr>
              <w:t>1.00</w:t>
            </w:r>
          </w:p>
        </w:tc>
        <w:tc>
          <w:tcPr>
            <w:tcW w:w="668" w:type="dxa"/>
            <w:tcBorders>
              <w:bottom w:val="single" w:sz="12" w:space="0" w:color="000000"/>
            </w:tcBorders>
          </w:tcPr>
          <w:p>
            <w:pPr>
              <w:pStyle w:val="TableParagraph"/>
              <w:spacing w:before="2"/>
              <w:ind w:right="196"/>
              <w:rPr>
                <w:sz w:val="14"/>
              </w:rPr>
            </w:pPr>
            <w:r>
              <w:rPr>
                <w:w w:val="99"/>
                <w:sz w:val="14"/>
              </w:rPr>
              <w:t>-</w:t>
            </w:r>
          </w:p>
        </w:tc>
        <w:tc>
          <w:tcPr>
            <w:tcW w:w="466" w:type="dxa"/>
            <w:tcBorders>
              <w:bottom w:val="single" w:sz="12" w:space="0" w:color="000000"/>
            </w:tcBorders>
          </w:tcPr>
          <w:p>
            <w:pPr>
              <w:pStyle w:val="TableParagraph"/>
              <w:spacing w:before="2"/>
              <w:ind w:right="66"/>
              <w:rPr>
                <w:sz w:val="14"/>
              </w:rPr>
            </w:pPr>
            <w:r>
              <w:rPr>
                <w:w w:val="99"/>
                <w:sz w:val="14"/>
              </w:rPr>
              <w:t>-</w:t>
            </w:r>
          </w:p>
        </w:tc>
        <w:tc>
          <w:tcPr>
            <w:tcW w:w="795" w:type="dxa"/>
            <w:tcBorders>
              <w:bottom w:val="single" w:sz="12" w:space="0" w:color="000000"/>
            </w:tcBorders>
          </w:tcPr>
          <w:p>
            <w:pPr>
              <w:pStyle w:val="TableParagraph"/>
              <w:spacing w:before="2"/>
              <w:ind w:right="128"/>
              <w:rPr>
                <w:i/>
                <w:sz w:val="14"/>
              </w:rPr>
            </w:pPr>
            <w:r>
              <w:rPr>
                <w:i/>
                <w:spacing w:val="-4"/>
                <w:sz w:val="14"/>
              </w:rPr>
              <w:t>1.00</w:t>
            </w:r>
          </w:p>
        </w:tc>
        <w:tc>
          <w:tcPr>
            <w:tcW w:w="569" w:type="dxa"/>
            <w:tcBorders>
              <w:bottom w:val="single" w:sz="12" w:space="0" w:color="000000"/>
            </w:tcBorders>
          </w:tcPr>
          <w:p>
            <w:pPr>
              <w:pStyle w:val="TableParagraph"/>
              <w:spacing w:before="2"/>
              <w:ind w:right="100"/>
              <w:rPr>
                <w:sz w:val="14"/>
              </w:rPr>
            </w:pPr>
            <w:r>
              <w:rPr>
                <w:w w:val="99"/>
                <w:sz w:val="14"/>
              </w:rPr>
              <w:t>-</w:t>
            </w:r>
          </w:p>
        </w:tc>
        <w:tc>
          <w:tcPr>
            <w:tcW w:w="578" w:type="dxa"/>
            <w:tcBorders>
              <w:bottom w:val="single" w:sz="12" w:space="0" w:color="000000"/>
            </w:tcBorders>
          </w:tcPr>
          <w:p>
            <w:pPr>
              <w:pStyle w:val="TableParagraph"/>
              <w:spacing w:before="2"/>
              <w:ind w:right="87"/>
              <w:rPr>
                <w:sz w:val="14"/>
              </w:rPr>
            </w:pPr>
            <w:r>
              <w:rPr>
                <w:w w:val="99"/>
                <w:sz w:val="14"/>
              </w:rPr>
              <w:t>-</w:t>
            </w:r>
          </w:p>
        </w:tc>
        <w:tc>
          <w:tcPr>
            <w:tcW w:w="563" w:type="dxa"/>
            <w:tcBorders>
              <w:bottom w:val="single" w:sz="12" w:space="0" w:color="000000"/>
            </w:tcBorders>
          </w:tcPr>
          <w:p>
            <w:pPr>
              <w:pStyle w:val="TableParagraph"/>
              <w:spacing w:before="2"/>
              <w:ind w:right="60"/>
              <w:rPr>
                <w:sz w:val="14"/>
              </w:rPr>
            </w:pPr>
            <w:r>
              <w:rPr>
                <w:w w:val="99"/>
                <w:sz w:val="14"/>
              </w:rPr>
              <w:t>-</w:t>
            </w:r>
          </w:p>
        </w:tc>
        <w:tc>
          <w:tcPr>
            <w:tcW w:w="821" w:type="dxa"/>
            <w:tcBorders>
              <w:bottom w:val="single" w:sz="12" w:space="0" w:color="000000"/>
            </w:tcBorders>
          </w:tcPr>
          <w:p>
            <w:pPr>
              <w:pStyle w:val="TableParagraph"/>
              <w:spacing w:before="2"/>
              <w:ind w:right="141"/>
              <w:rPr>
                <w:i/>
                <w:sz w:val="14"/>
              </w:rPr>
            </w:pPr>
            <w:r>
              <w:rPr>
                <w:i/>
                <w:w w:val="99"/>
                <w:sz w:val="14"/>
              </w:rPr>
              <w:t>-</w:t>
            </w:r>
          </w:p>
        </w:tc>
        <w:tc>
          <w:tcPr>
            <w:tcW w:w="520" w:type="dxa"/>
            <w:tcBorders>
              <w:bottom w:val="single" w:sz="12" w:space="0" w:color="000000"/>
            </w:tcBorders>
          </w:tcPr>
          <w:p>
            <w:pPr>
              <w:pStyle w:val="TableParagraph"/>
              <w:spacing w:before="2"/>
              <w:ind w:right="62"/>
              <w:rPr>
                <w:b/>
                <w:sz w:val="14"/>
              </w:rPr>
            </w:pPr>
            <w:r>
              <w:rPr>
                <w:b/>
                <w:spacing w:val="-4"/>
                <w:sz w:val="14"/>
              </w:rPr>
              <w:t>1.00</w:t>
            </w:r>
          </w:p>
        </w:tc>
      </w:tr>
      <w:tr>
        <w:trPr>
          <w:trHeight w:val="229" w:hRule="atLeast"/>
        </w:trPr>
        <w:tc>
          <w:tcPr>
            <w:tcW w:w="1186" w:type="dxa"/>
            <w:tcBorders>
              <w:top w:val="single" w:sz="12" w:space="0" w:color="000000"/>
              <w:bottom w:val="single" w:sz="4" w:space="0" w:color="000000"/>
            </w:tcBorders>
          </w:tcPr>
          <w:p>
            <w:pPr>
              <w:pStyle w:val="TableParagraph"/>
              <w:spacing w:before="27"/>
              <w:ind w:left="67"/>
              <w:jc w:val="left"/>
              <w:rPr>
                <w:sz w:val="14"/>
              </w:rPr>
            </w:pPr>
            <w:r>
              <w:rPr>
                <w:spacing w:val="-2"/>
                <w:sz w:val="14"/>
              </w:rPr>
              <w:t>Continued</w:t>
            </w:r>
          </w:p>
        </w:tc>
        <w:tc>
          <w:tcPr>
            <w:tcW w:w="678" w:type="dxa"/>
            <w:tcBorders>
              <w:top w:val="single" w:sz="12" w:space="0" w:color="000000"/>
              <w:bottom w:val="single" w:sz="4" w:space="0" w:color="000000"/>
            </w:tcBorders>
          </w:tcPr>
          <w:p>
            <w:pPr>
              <w:pStyle w:val="TableParagraph"/>
              <w:spacing w:before="27"/>
              <w:ind w:right="154"/>
              <w:rPr>
                <w:b/>
                <w:sz w:val="14"/>
              </w:rPr>
            </w:pPr>
            <w:r>
              <w:rPr>
                <w:b/>
                <w:w w:val="99"/>
                <w:sz w:val="14"/>
              </w:rPr>
              <w:t>-</w:t>
            </w:r>
          </w:p>
        </w:tc>
        <w:tc>
          <w:tcPr>
            <w:tcW w:w="607" w:type="dxa"/>
            <w:tcBorders>
              <w:top w:val="single" w:sz="12" w:space="0" w:color="000000"/>
              <w:bottom w:val="single" w:sz="4" w:space="0" w:color="000000"/>
            </w:tcBorders>
          </w:tcPr>
          <w:p>
            <w:pPr>
              <w:pStyle w:val="TableParagraph"/>
              <w:spacing w:before="27"/>
              <w:ind w:right="170"/>
              <w:rPr>
                <w:b/>
                <w:sz w:val="14"/>
              </w:rPr>
            </w:pPr>
            <w:r>
              <w:rPr>
                <w:b/>
                <w:w w:val="99"/>
                <w:sz w:val="14"/>
              </w:rPr>
              <w:t>-</w:t>
            </w:r>
          </w:p>
        </w:tc>
        <w:tc>
          <w:tcPr>
            <w:tcW w:w="563" w:type="dxa"/>
            <w:tcBorders>
              <w:top w:val="single" w:sz="12" w:space="0" w:color="000000"/>
              <w:bottom w:val="single" w:sz="4" w:space="0" w:color="000000"/>
            </w:tcBorders>
          </w:tcPr>
          <w:p>
            <w:pPr>
              <w:pStyle w:val="TableParagraph"/>
              <w:spacing w:before="27"/>
              <w:ind w:right="171"/>
              <w:rPr>
                <w:b/>
                <w:sz w:val="14"/>
              </w:rPr>
            </w:pPr>
            <w:r>
              <w:rPr>
                <w:b/>
                <w:w w:val="99"/>
                <w:sz w:val="14"/>
              </w:rPr>
              <w:t>-</w:t>
            </w:r>
          </w:p>
        </w:tc>
        <w:tc>
          <w:tcPr>
            <w:tcW w:w="581" w:type="dxa"/>
            <w:tcBorders>
              <w:top w:val="single" w:sz="12" w:space="0" w:color="000000"/>
              <w:bottom w:val="single" w:sz="4" w:space="0" w:color="000000"/>
            </w:tcBorders>
          </w:tcPr>
          <w:p>
            <w:pPr>
              <w:pStyle w:val="TableParagraph"/>
              <w:spacing w:before="27"/>
              <w:ind w:right="191"/>
              <w:rPr>
                <w:b/>
                <w:sz w:val="14"/>
              </w:rPr>
            </w:pPr>
            <w:r>
              <w:rPr>
                <w:b/>
                <w:w w:val="99"/>
                <w:sz w:val="14"/>
              </w:rPr>
              <w:t>-</w:t>
            </w:r>
          </w:p>
        </w:tc>
        <w:tc>
          <w:tcPr>
            <w:tcW w:w="581" w:type="dxa"/>
            <w:tcBorders>
              <w:top w:val="single" w:sz="12" w:space="0" w:color="000000"/>
              <w:bottom w:val="single" w:sz="4" w:space="0" w:color="000000"/>
            </w:tcBorders>
          </w:tcPr>
          <w:p>
            <w:pPr>
              <w:pStyle w:val="TableParagraph"/>
              <w:spacing w:before="27"/>
              <w:ind w:left="148"/>
              <w:jc w:val="center"/>
              <w:rPr>
                <w:b/>
                <w:sz w:val="14"/>
              </w:rPr>
            </w:pPr>
            <w:r>
              <w:rPr>
                <w:b/>
                <w:w w:val="99"/>
                <w:sz w:val="14"/>
              </w:rPr>
              <w:t>-</w:t>
            </w:r>
          </w:p>
        </w:tc>
        <w:tc>
          <w:tcPr>
            <w:tcW w:w="564" w:type="dxa"/>
            <w:tcBorders>
              <w:top w:val="single" w:sz="12" w:space="0" w:color="000000"/>
              <w:bottom w:val="single" w:sz="4" w:space="0" w:color="000000"/>
            </w:tcBorders>
          </w:tcPr>
          <w:p>
            <w:pPr>
              <w:pStyle w:val="TableParagraph"/>
              <w:spacing w:before="27"/>
              <w:ind w:right="169"/>
              <w:rPr>
                <w:b/>
                <w:sz w:val="14"/>
              </w:rPr>
            </w:pPr>
            <w:r>
              <w:rPr>
                <w:b/>
                <w:w w:val="99"/>
                <w:sz w:val="14"/>
              </w:rPr>
              <w:t>-</w:t>
            </w:r>
          </w:p>
        </w:tc>
        <w:tc>
          <w:tcPr>
            <w:tcW w:w="694" w:type="dxa"/>
            <w:tcBorders>
              <w:top w:val="single" w:sz="12" w:space="0" w:color="000000"/>
              <w:bottom w:val="single" w:sz="4" w:space="0" w:color="000000"/>
            </w:tcBorders>
          </w:tcPr>
          <w:p>
            <w:pPr>
              <w:pStyle w:val="TableParagraph"/>
              <w:spacing w:before="27"/>
              <w:ind w:right="268"/>
              <w:rPr>
                <w:sz w:val="14"/>
              </w:rPr>
            </w:pPr>
            <w:r>
              <w:rPr>
                <w:spacing w:val="-4"/>
                <w:sz w:val="14"/>
              </w:rPr>
              <w:t>1.00</w:t>
            </w:r>
          </w:p>
        </w:tc>
        <w:tc>
          <w:tcPr>
            <w:tcW w:w="668" w:type="dxa"/>
            <w:tcBorders>
              <w:top w:val="single" w:sz="12" w:space="0" w:color="000000"/>
              <w:bottom w:val="single" w:sz="4" w:space="0" w:color="000000"/>
            </w:tcBorders>
          </w:tcPr>
          <w:p>
            <w:pPr>
              <w:pStyle w:val="TableParagraph"/>
              <w:spacing w:before="27"/>
              <w:ind w:right="196"/>
              <w:rPr>
                <w:sz w:val="14"/>
              </w:rPr>
            </w:pPr>
            <w:r>
              <w:rPr>
                <w:w w:val="99"/>
                <w:sz w:val="14"/>
              </w:rPr>
              <w:t>-</w:t>
            </w:r>
          </w:p>
        </w:tc>
        <w:tc>
          <w:tcPr>
            <w:tcW w:w="466" w:type="dxa"/>
            <w:tcBorders>
              <w:top w:val="single" w:sz="12" w:space="0" w:color="000000"/>
              <w:bottom w:val="single" w:sz="4" w:space="0" w:color="000000"/>
            </w:tcBorders>
          </w:tcPr>
          <w:p>
            <w:pPr>
              <w:pStyle w:val="TableParagraph"/>
              <w:spacing w:before="27"/>
              <w:ind w:right="66"/>
              <w:rPr>
                <w:sz w:val="14"/>
              </w:rPr>
            </w:pPr>
            <w:r>
              <w:rPr>
                <w:w w:val="99"/>
                <w:sz w:val="14"/>
              </w:rPr>
              <w:t>-</w:t>
            </w:r>
          </w:p>
        </w:tc>
        <w:tc>
          <w:tcPr>
            <w:tcW w:w="795" w:type="dxa"/>
            <w:tcBorders>
              <w:top w:val="single" w:sz="12" w:space="0" w:color="000000"/>
              <w:bottom w:val="single" w:sz="4" w:space="0" w:color="000000"/>
            </w:tcBorders>
          </w:tcPr>
          <w:p>
            <w:pPr>
              <w:pStyle w:val="TableParagraph"/>
              <w:spacing w:before="27"/>
              <w:ind w:right="128"/>
              <w:rPr>
                <w:i/>
                <w:sz w:val="14"/>
              </w:rPr>
            </w:pPr>
            <w:r>
              <w:rPr>
                <w:i/>
                <w:spacing w:val="-4"/>
                <w:sz w:val="14"/>
              </w:rPr>
              <w:t>1.00</w:t>
            </w:r>
          </w:p>
        </w:tc>
        <w:tc>
          <w:tcPr>
            <w:tcW w:w="569" w:type="dxa"/>
            <w:tcBorders>
              <w:top w:val="single" w:sz="12" w:space="0" w:color="000000"/>
              <w:bottom w:val="single" w:sz="4" w:space="0" w:color="000000"/>
            </w:tcBorders>
          </w:tcPr>
          <w:p>
            <w:pPr>
              <w:pStyle w:val="TableParagraph"/>
              <w:spacing w:before="27"/>
              <w:ind w:right="100"/>
              <w:rPr>
                <w:sz w:val="14"/>
              </w:rPr>
            </w:pPr>
            <w:r>
              <w:rPr>
                <w:w w:val="99"/>
                <w:sz w:val="14"/>
              </w:rPr>
              <w:t>-</w:t>
            </w:r>
          </w:p>
        </w:tc>
        <w:tc>
          <w:tcPr>
            <w:tcW w:w="578" w:type="dxa"/>
            <w:tcBorders>
              <w:top w:val="single" w:sz="12" w:space="0" w:color="000000"/>
              <w:bottom w:val="single" w:sz="4" w:space="0" w:color="000000"/>
            </w:tcBorders>
          </w:tcPr>
          <w:p>
            <w:pPr>
              <w:pStyle w:val="TableParagraph"/>
              <w:spacing w:before="27"/>
              <w:ind w:right="87"/>
              <w:rPr>
                <w:sz w:val="14"/>
              </w:rPr>
            </w:pPr>
            <w:r>
              <w:rPr>
                <w:w w:val="99"/>
                <w:sz w:val="14"/>
              </w:rPr>
              <w:t>-</w:t>
            </w:r>
          </w:p>
        </w:tc>
        <w:tc>
          <w:tcPr>
            <w:tcW w:w="563" w:type="dxa"/>
            <w:tcBorders>
              <w:top w:val="single" w:sz="12" w:space="0" w:color="000000"/>
              <w:bottom w:val="single" w:sz="4" w:space="0" w:color="000000"/>
            </w:tcBorders>
          </w:tcPr>
          <w:p>
            <w:pPr>
              <w:pStyle w:val="TableParagraph"/>
              <w:spacing w:before="27"/>
              <w:ind w:right="60"/>
              <w:rPr>
                <w:sz w:val="14"/>
              </w:rPr>
            </w:pPr>
            <w:r>
              <w:rPr>
                <w:w w:val="99"/>
                <w:sz w:val="14"/>
              </w:rPr>
              <w:t>-</w:t>
            </w:r>
          </w:p>
        </w:tc>
        <w:tc>
          <w:tcPr>
            <w:tcW w:w="821" w:type="dxa"/>
            <w:tcBorders>
              <w:top w:val="single" w:sz="12" w:space="0" w:color="000000"/>
              <w:bottom w:val="single" w:sz="4" w:space="0" w:color="000000"/>
            </w:tcBorders>
          </w:tcPr>
          <w:p>
            <w:pPr>
              <w:pStyle w:val="TableParagraph"/>
              <w:spacing w:before="27"/>
              <w:ind w:right="141"/>
              <w:rPr>
                <w:i/>
                <w:sz w:val="14"/>
              </w:rPr>
            </w:pPr>
            <w:r>
              <w:rPr>
                <w:i/>
                <w:w w:val="99"/>
                <w:sz w:val="14"/>
              </w:rPr>
              <w:t>-</w:t>
            </w:r>
          </w:p>
        </w:tc>
        <w:tc>
          <w:tcPr>
            <w:tcW w:w="520" w:type="dxa"/>
            <w:tcBorders>
              <w:top w:val="single" w:sz="12" w:space="0" w:color="000000"/>
              <w:bottom w:val="single" w:sz="4" w:space="0" w:color="000000"/>
            </w:tcBorders>
          </w:tcPr>
          <w:p>
            <w:pPr>
              <w:pStyle w:val="TableParagraph"/>
              <w:spacing w:before="27"/>
              <w:ind w:right="62"/>
              <w:rPr>
                <w:b/>
                <w:sz w:val="14"/>
              </w:rPr>
            </w:pPr>
            <w:r>
              <w:rPr>
                <w:b/>
                <w:spacing w:val="-4"/>
                <w:sz w:val="14"/>
              </w:rPr>
              <w:t>1.00</w:t>
            </w:r>
          </w:p>
        </w:tc>
      </w:tr>
      <w:tr>
        <w:trPr>
          <w:trHeight w:val="225" w:hRule="atLeast"/>
        </w:trPr>
        <w:tc>
          <w:tcPr>
            <w:tcW w:w="1186" w:type="dxa"/>
            <w:tcBorders>
              <w:top w:val="single" w:sz="4" w:space="0" w:color="000000"/>
              <w:bottom w:val="single" w:sz="4" w:space="0" w:color="000000"/>
            </w:tcBorders>
          </w:tcPr>
          <w:p>
            <w:pPr>
              <w:pStyle w:val="TableParagraph"/>
              <w:spacing w:before="22"/>
              <w:ind w:left="67"/>
              <w:jc w:val="left"/>
              <w:rPr>
                <w:sz w:val="14"/>
              </w:rPr>
            </w:pPr>
            <w:r>
              <w:rPr>
                <w:spacing w:val="-5"/>
                <w:sz w:val="14"/>
              </w:rPr>
              <w:t>New</w:t>
            </w:r>
          </w:p>
        </w:tc>
        <w:tc>
          <w:tcPr>
            <w:tcW w:w="678" w:type="dxa"/>
            <w:tcBorders>
              <w:top w:val="single" w:sz="4" w:space="0" w:color="000000"/>
              <w:bottom w:val="single" w:sz="4" w:space="0" w:color="000000"/>
            </w:tcBorders>
          </w:tcPr>
          <w:p>
            <w:pPr>
              <w:pStyle w:val="TableParagraph"/>
              <w:spacing w:before="22"/>
              <w:ind w:right="154"/>
              <w:rPr>
                <w:b/>
                <w:sz w:val="14"/>
              </w:rPr>
            </w:pPr>
            <w:r>
              <w:rPr>
                <w:b/>
                <w:w w:val="99"/>
                <w:sz w:val="14"/>
              </w:rPr>
              <w:t>-</w:t>
            </w:r>
          </w:p>
        </w:tc>
        <w:tc>
          <w:tcPr>
            <w:tcW w:w="607" w:type="dxa"/>
            <w:tcBorders>
              <w:top w:val="single" w:sz="4" w:space="0" w:color="000000"/>
              <w:bottom w:val="single" w:sz="4" w:space="0" w:color="000000"/>
            </w:tcBorders>
          </w:tcPr>
          <w:p>
            <w:pPr>
              <w:pStyle w:val="TableParagraph"/>
              <w:spacing w:before="22"/>
              <w:ind w:right="170"/>
              <w:rPr>
                <w:b/>
                <w:sz w:val="14"/>
              </w:rPr>
            </w:pPr>
            <w:r>
              <w:rPr>
                <w:b/>
                <w:w w:val="99"/>
                <w:sz w:val="14"/>
              </w:rPr>
              <w:t>-</w:t>
            </w:r>
          </w:p>
        </w:tc>
        <w:tc>
          <w:tcPr>
            <w:tcW w:w="563" w:type="dxa"/>
            <w:tcBorders>
              <w:top w:val="single" w:sz="4" w:space="0" w:color="000000"/>
              <w:bottom w:val="single" w:sz="4" w:space="0" w:color="000000"/>
            </w:tcBorders>
          </w:tcPr>
          <w:p>
            <w:pPr>
              <w:pStyle w:val="TableParagraph"/>
              <w:spacing w:before="22"/>
              <w:ind w:right="171"/>
              <w:rPr>
                <w:b/>
                <w:sz w:val="14"/>
              </w:rPr>
            </w:pPr>
            <w:r>
              <w:rPr>
                <w:b/>
                <w:w w:val="99"/>
                <w:sz w:val="14"/>
              </w:rPr>
              <w:t>-</w:t>
            </w:r>
          </w:p>
        </w:tc>
        <w:tc>
          <w:tcPr>
            <w:tcW w:w="581" w:type="dxa"/>
            <w:tcBorders>
              <w:top w:val="single" w:sz="4" w:space="0" w:color="000000"/>
              <w:bottom w:val="single" w:sz="4" w:space="0" w:color="000000"/>
            </w:tcBorders>
          </w:tcPr>
          <w:p>
            <w:pPr>
              <w:pStyle w:val="TableParagraph"/>
              <w:spacing w:before="22"/>
              <w:ind w:right="191"/>
              <w:rPr>
                <w:b/>
                <w:sz w:val="14"/>
              </w:rPr>
            </w:pPr>
            <w:r>
              <w:rPr>
                <w:b/>
                <w:w w:val="99"/>
                <w:sz w:val="14"/>
              </w:rPr>
              <w:t>-</w:t>
            </w:r>
          </w:p>
        </w:tc>
        <w:tc>
          <w:tcPr>
            <w:tcW w:w="581" w:type="dxa"/>
            <w:tcBorders>
              <w:top w:val="single" w:sz="4" w:space="0" w:color="000000"/>
              <w:bottom w:val="single" w:sz="4" w:space="0" w:color="000000"/>
            </w:tcBorders>
          </w:tcPr>
          <w:p>
            <w:pPr>
              <w:pStyle w:val="TableParagraph"/>
              <w:spacing w:before="22"/>
              <w:ind w:left="148"/>
              <w:jc w:val="center"/>
              <w:rPr>
                <w:b/>
                <w:sz w:val="14"/>
              </w:rPr>
            </w:pPr>
            <w:r>
              <w:rPr>
                <w:b/>
                <w:w w:val="99"/>
                <w:sz w:val="14"/>
              </w:rPr>
              <w:t>-</w:t>
            </w:r>
          </w:p>
        </w:tc>
        <w:tc>
          <w:tcPr>
            <w:tcW w:w="564" w:type="dxa"/>
            <w:tcBorders>
              <w:top w:val="single" w:sz="4" w:space="0" w:color="000000"/>
              <w:bottom w:val="single" w:sz="4" w:space="0" w:color="000000"/>
            </w:tcBorders>
          </w:tcPr>
          <w:p>
            <w:pPr>
              <w:pStyle w:val="TableParagraph"/>
              <w:spacing w:before="22"/>
              <w:ind w:right="169"/>
              <w:rPr>
                <w:b/>
                <w:sz w:val="14"/>
              </w:rPr>
            </w:pPr>
            <w:r>
              <w:rPr>
                <w:b/>
                <w:w w:val="99"/>
                <w:sz w:val="14"/>
              </w:rPr>
              <w:t>-</w:t>
            </w:r>
          </w:p>
        </w:tc>
        <w:tc>
          <w:tcPr>
            <w:tcW w:w="694" w:type="dxa"/>
            <w:tcBorders>
              <w:top w:val="single" w:sz="4" w:space="0" w:color="000000"/>
              <w:bottom w:val="single" w:sz="4" w:space="0" w:color="000000"/>
            </w:tcBorders>
          </w:tcPr>
          <w:p>
            <w:pPr>
              <w:pStyle w:val="TableParagraph"/>
              <w:spacing w:before="22"/>
              <w:ind w:right="267"/>
              <w:rPr>
                <w:sz w:val="14"/>
              </w:rPr>
            </w:pPr>
            <w:r>
              <w:rPr>
                <w:w w:val="99"/>
                <w:sz w:val="14"/>
              </w:rPr>
              <w:t>-</w:t>
            </w:r>
          </w:p>
        </w:tc>
        <w:tc>
          <w:tcPr>
            <w:tcW w:w="668" w:type="dxa"/>
            <w:tcBorders>
              <w:top w:val="single" w:sz="4" w:space="0" w:color="000000"/>
              <w:bottom w:val="single" w:sz="4" w:space="0" w:color="000000"/>
            </w:tcBorders>
          </w:tcPr>
          <w:p>
            <w:pPr>
              <w:pStyle w:val="TableParagraph"/>
              <w:spacing w:before="22"/>
              <w:ind w:right="196"/>
              <w:rPr>
                <w:sz w:val="14"/>
              </w:rPr>
            </w:pPr>
            <w:r>
              <w:rPr>
                <w:w w:val="99"/>
                <w:sz w:val="14"/>
              </w:rPr>
              <w:t>-</w:t>
            </w:r>
          </w:p>
        </w:tc>
        <w:tc>
          <w:tcPr>
            <w:tcW w:w="466" w:type="dxa"/>
            <w:tcBorders>
              <w:top w:val="single" w:sz="4" w:space="0" w:color="000000"/>
              <w:bottom w:val="single" w:sz="4" w:space="0" w:color="000000"/>
            </w:tcBorders>
          </w:tcPr>
          <w:p>
            <w:pPr>
              <w:pStyle w:val="TableParagraph"/>
              <w:spacing w:before="22"/>
              <w:ind w:right="66"/>
              <w:rPr>
                <w:sz w:val="14"/>
              </w:rPr>
            </w:pPr>
            <w:r>
              <w:rPr>
                <w:w w:val="99"/>
                <w:sz w:val="14"/>
              </w:rPr>
              <w:t>-</w:t>
            </w:r>
          </w:p>
        </w:tc>
        <w:tc>
          <w:tcPr>
            <w:tcW w:w="795" w:type="dxa"/>
            <w:tcBorders>
              <w:top w:val="single" w:sz="4" w:space="0" w:color="000000"/>
              <w:bottom w:val="single" w:sz="4" w:space="0" w:color="000000"/>
            </w:tcBorders>
          </w:tcPr>
          <w:p>
            <w:pPr>
              <w:pStyle w:val="TableParagraph"/>
              <w:spacing w:before="22"/>
              <w:ind w:right="126"/>
              <w:rPr>
                <w:sz w:val="14"/>
              </w:rPr>
            </w:pPr>
            <w:r>
              <w:rPr>
                <w:w w:val="99"/>
                <w:sz w:val="14"/>
              </w:rPr>
              <w:t>-</w:t>
            </w:r>
          </w:p>
        </w:tc>
        <w:tc>
          <w:tcPr>
            <w:tcW w:w="569" w:type="dxa"/>
            <w:tcBorders>
              <w:top w:val="single" w:sz="4" w:space="0" w:color="000000"/>
              <w:bottom w:val="single" w:sz="4" w:space="0" w:color="000000"/>
            </w:tcBorders>
          </w:tcPr>
          <w:p>
            <w:pPr>
              <w:pStyle w:val="TableParagraph"/>
              <w:spacing w:before="22"/>
              <w:ind w:right="100"/>
              <w:rPr>
                <w:sz w:val="14"/>
              </w:rPr>
            </w:pPr>
            <w:r>
              <w:rPr>
                <w:w w:val="99"/>
                <w:sz w:val="14"/>
              </w:rPr>
              <w:t>-</w:t>
            </w:r>
          </w:p>
        </w:tc>
        <w:tc>
          <w:tcPr>
            <w:tcW w:w="578" w:type="dxa"/>
            <w:tcBorders>
              <w:top w:val="single" w:sz="4" w:space="0" w:color="000000"/>
              <w:bottom w:val="single" w:sz="4" w:space="0" w:color="000000"/>
            </w:tcBorders>
          </w:tcPr>
          <w:p>
            <w:pPr>
              <w:pStyle w:val="TableParagraph"/>
              <w:spacing w:before="22"/>
              <w:ind w:right="87"/>
              <w:rPr>
                <w:sz w:val="14"/>
              </w:rPr>
            </w:pPr>
            <w:r>
              <w:rPr>
                <w:w w:val="99"/>
                <w:sz w:val="14"/>
              </w:rPr>
              <w:t>-</w:t>
            </w:r>
          </w:p>
        </w:tc>
        <w:tc>
          <w:tcPr>
            <w:tcW w:w="563" w:type="dxa"/>
            <w:tcBorders>
              <w:top w:val="single" w:sz="4" w:space="0" w:color="000000"/>
              <w:bottom w:val="single" w:sz="4" w:space="0" w:color="000000"/>
            </w:tcBorders>
          </w:tcPr>
          <w:p>
            <w:pPr>
              <w:pStyle w:val="TableParagraph"/>
              <w:spacing w:before="22"/>
              <w:ind w:right="60"/>
              <w:rPr>
                <w:sz w:val="14"/>
              </w:rPr>
            </w:pPr>
            <w:r>
              <w:rPr>
                <w:w w:val="99"/>
                <w:sz w:val="14"/>
              </w:rPr>
              <w:t>-</w:t>
            </w:r>
          </w:p>
        </w:tc>
        <w:tc>
          <w:tcPr>
            <w:tcW w:w="821" w:type="dxa"/>
            <w:tcBorders>
              <w:top w:val="single" w:sz="4" w:space="0" w:color="000000"/>
              <w:bottom w:val="single" w:sz="4" w:space="0" w:color="000000"/>
            </w:tcBorders>
          </w:tcPr>
          <w:p>
            <w:pPr>
              <w:pStyle w:val="TableParagraph"/>
              <w:spacing w:before="22"/>
              <w:ind w:right="141"/>
              <w:rPr>
                <w:sz w:val="14"/>
              </w:rPr>
            </w:pPr>
            <w:r>
              <w:rPr>
                <w:w w:val="99"/>
                <w:sz w:val="14"/>
              </w:rPr>
              <w:t>-</w:t>
            </w:r>
          </w:p>
        </w:tc>
        <w:tc>
          <w:tcPr>
            <w:tcW w:w="520" w:type="dxa"/>
            <w:tcBorders>
              <w:top w:val="single" w:sz="4" w:space="0" w:color="000000"/>
              <w:bottom w:val="single" w:sz="4" w:space="0" w:color="000000"/>
            </w:tcBorders>
          </w:tcPr>
          <w:p>
            <w:pPr>
              <w:pStyle w:val="TableParagraph"/>
              <w:spacing w:before="22"/>
              <w:ind w:right="61"/>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7"/>
              <w:ind w:left="67"/>
              <w:jc w:val="left"/>
              <w:rPr>
                <w:sz w:val="14"/>
              </w:rPr>
            </w:pPr>
            <w:r>
              <w:rPr>
                <w:spacing w:val="-2"/>
                <w:sz w:val="14"/>
              </w:rPr>
              <w:t>Redeployed</w:t>
            </w:r>
          </w:p>
        </w:tc>
        <w:tc>
          <w:tcPr>
            <w:tcW w:w="678" w:type="dxa"/>
            <w:tcBorders>
              <w:top w:val="single" w:sz="4" w:space="0" w:color="000000"/>
              <w:bottom w:val="single" w:sz="4" w:space="0" w:color="000000"/>
            </w:tcBorders>
          </w:tcPr>
          <w:p>
            <w:pPr>
              <w:pStyle w:val="TableParagraph"/>
              <w:spacing w:before="27"/>
              <w:ind w:right="154"/>
              <w:rPr>
                <w:b/>
                <w:sz w:val="14"/>
              </w:rPr>
            </w:pPr>
            <w:r>
              <w:rPr>
                <w:b/>
                <w:w w:val="99"/>
                <w:sz w:val="14"/>
              </w:rPr>
              <w:t>-</w:t>
            </w:r>
          </w:p>
        </w:tc>
        <w:tc>
          <w:tcPr>
            <w:tcW w:w="607" w:type="dxa"/>
            <w:tcBorders>
              <w:top w:val="single" w:sz="4" w:space="0" w:color="000000"/>
              <w:bottom w:val="single" w:sz="4" w:space="0" w:color="000000"/>
            </w:tcBorders>
          </w:tcPr>
          <w:p>
            <w:pPr>
              <w:pStyle w:val="TableParagraph"/>
              <w:spacing w:before="27"/>
              <w:ind w:right="170"/>
              <w:rPr>
                <w:b/>
                <w:sz w:val="14"/>
              </w:rPr>
            </w:pPr>
            <w:r>
              <w:rPr>
                <w:b/>
                <w:w w:val="99"/>
                <w:sz w:val="14"/>
              </w:rPr>
              <w:t>-</w:t>
            </w:r>
          </w:p>
        </w:tc>
        <w:tc>
          <w:tcPr>
            <w:tcW w:w="563" w:type="dxa"/>
            <w:tcBorders>
              <w:top w:val="single" w:sz="4" w:space="0" w:color="000000"/>
              <w:bottom w:val="single" w:sz="4" w:space="0" w:color="000000"/>
            </w:tcBorders>
          </w:tcPr>
          <w:p>
            <w:pPr>
              <w:pStyle w:val="TableParagraph"/>
              <w:spacing w:before="27"/>
              <w:ind w:right="171"/>
              <w:rPr>
                <w:b/>
                <w:sz w:val="14"/>
              </w:rPr>
            </w:pPr>
            <w:r>
              <w:rPr>
                <w:b/>
                <w:w w:val="99"/>
                <w:sz w:val="14"/>
              </w:rPr>
              <w:t>-</w:t>
            </w:r>
          </w:p>
        </w:tc>
        <w:tc>
          <w:tcPr>
            <w:tcW w:w="581" w:type="dxa"/>
            <w:tcBorders>
              <w:top w:val="single" w:sz="4" w:space="0" w:color="000000"/>
              <w:bottom w:val="single" w:sz="4" w:space="0" w:color="000000"/>
            </w:tcBorders>
          </w:tcPr>
          <w:p>
            <w:pPr>
              <w:pStyle w:val="TableParagraph"/>
              <w:spacing w:before="27"/>
              <w:ind w:right="191"/>
              <w:rPr>
                <w:b/>
                <w:sz w:val="14"/>
              </w:rPr>
            </w:pPr>
            <w:r>
              <w:rPr>
                <w:b/>
                <w:w w:val="99"/>
                <w:sz w:val="14"/>
              </w:rPr>
              <w:t>-</w:t>
            </w:r>
          </w:p>
        </w:tc>
        <w:tc>
          <w:tcPr>
            <w:tcW w:w="581" w:type="dxa"/>
            <w:tcBorders>
              <w:top w:val="single" w:sz="4" w:space="0" w:color="000000"/>
              <w:bottom w:val="single" w:sz="4" w:space="0" w:color="000000"/>
            </w:tcBorders>
          </w:tcPr>
          <w:p>
            <w:pPr>
              <w:pStyle w:val="TableParagraph"/>
              <w:spacing w:before="27"/>
              <w:ind w:left="148"/>
              <w:jc w:val="center"/>
              <w:rPr>
                <w:b/>
                <w:sz w:val="14"/>
              </w:rPr>
            </w:pPr>
            <w:r>
              <w:rPr>
                <w:b/>
                <w:w w:val="99"/>
                <w:sz w:val="14"/>
              </w:rPr>
              <w:t>-</w:t>
            </w:r>
          </w:p>
        </w:tc>
        <w:tc>
          <w:tcPr>
            <w:tcW w:w="564" w:type="dxa"/>
            <w:tcBorders>
              <w:top w:val="single" w:sz="4" w:space="0" w:color="000000"/>
              <w:bottom w:val="single" w:sz="4" w:space="0" w:color="000000"/>
            </w:tcBorders>
          </w:tcPr>
          <w:p>
            <w:pPr>
              <w:pStyle w:val="TableParagraph"/>
              <w:spacing w:before="27"/>
              <w:ind w:right="169"/>
              <w:rPr>
                <w:b/>
                <w:sz w:val="14"/>
              </w:rPr>
            </w:pPr>
            <w:r>
              <w:rPr>
                <w:b/>
                <w:w w:val="99"/>
                <w:sz w:val="14"/>
              </w:rPr>
              <w:t>-</w:t>
            </w:r>
          </w:p>
        </w:tc>
        <w:tc>
          <w:tcPr>
            <w:tcW w:w="694" w:type="dxa"/>
            <w:tcBorders>
              <w:top w:val="single" w:sz="4" w:space="0" w:color="000000"/>
              <w:bottom w:val="single" w:sz="4" w:space="0" w:color="000000"/>
            </w:tcBorders>
          </w:tcPr>
          <w:p>
            <w:pPr>
              <w:pStyle w:val="TableParagraph"/>
              <w:spacing w:before="27"/>
              <w:ind w:right="267"/>
              <w:rPr>
                <w:sz w:val="14"/>
              </w:rPr>
            </w:pPr>
            <w:r>
              <w:rPr>
                <w:w w:val="99"/>
                <w:sz w:val="14"/>
              </w:rPr>
              <w:t>-</w:t>
            </w:r>
          </w:p>
        </w:tc>
        <w:tc>
          <w:tcPr>
            <w:tcW w:w="668" w:type="dxa"/>
            <w:tcBorders>
              <w:top w:val="single" w:sz="4" w:space="0" w:color="000000"/>
              <w:bottom w:val="single" w:sz="4" w:space="0" w:color="000000"/>
            </w:tcBorders>
          </w:tcPr>
          <w:p>
            <w:pPr>
              <w:pStyle w:val="TableParagraph"/>
              <w:spacing w:before="27"/>
              <w:ind w:right="196"/>
              <w:rPr>
                <w:sz w:val="14"/>
              </w:rPr>
            </w:pPr>
            <w:r>
              <w:rPr>
                <w:w w:val="99"/>
                <w:sz w:val="14"/>
              </w:rPr>
              <w:t>-</w:t>
            </w:r>
          </w:p>
        </w:tc>
        <w:tc>
          <w:tcPr>
            <w:tcW w:w="466" w:type="dxa"/>
            <w:tcBorders>
              <w:top w:val="single" w:sz="4" w:space="0" w:color="000000"/>
              <w:bottom w:val="single" w:sz="4" w:space="0" w:color="000000"/>
            </w:tcBorders>
          </w:tcPr>
          <w:p>
            <w:pPr>
              <w:pStyle w:val="TableParagraph"/>
              <w:spacing w:before="27"/>
              <w:ind w:right="66"/>
              <w:rPr>
                <w:sz w:val="14"/>
              </w:rPr>
            </w:pPr>
            <w:r>
              <w:rPr>
                <w:w w:val="99"/>
                <w:sz w:val="14"/>
              </w:rPr>
              <w:t>-</w:t>
            </w:r>
          </w:p>
        </w:tc>
        <w:tc>
          <w:tcPr>
            <w:tcW w:w="795" w:type="dxa"/>
            <w:tcBorders>
              <w:top w:val="single" w:sz="4" w:space="0" w:color="000000"/>
              <w:bottom w:val="single" w:sz="4" w:space="0" w:color="000000"/>
            </w:tcBorders>
          </w:tcPr>
          <w:p>
            <w:pPr>
              <w:pStyle w:val="TableParagraph"/>
              <w:spacing w:before="27"/>
              <w:ind w:right="126"/>
              <w:rPr>
                <w:sz w:val="14"/>
              </w:rPr>
            </w:pPr>
            <w:r>
              <w:rPr>
                <w:w w:val="99"/>
                <w:sz w:val="14"/>
              </w:rPr>
              <w:t>-</w:t>
            </w:r>
          </w:p>
        </w:tc>
        <w:tc>
          <w:tcPr>
            <w:tcW w:w="569" w:type="dxa"/>
            <w:tcBorders>
              <w:top w:val="single" w:sz="4" w:space="0" w:color="000000"/>
              <w:bottom w:val="single" w:sz="4" w:space="0" w:color="000000"/>
            </w:tcBorders>
          </w:tcPr>
          <w:p>
            <w:pPr>
              <w:pStyle w:val="TableParagraph"/>
              <w:spacing w:before="27"/>
              <w:ind w:right="100"/>
              <w:rPr>
                <w:sz w:val="14"/>
              </w:rPr>
            </w:pPr>
            <w:r>
              <w:rPr>
                <w:w w:val="99"/>
                <w:sz w:val="14"/>
              </w:rPr>
              <w:t>-</w:t>
            </w:r>
          </w:p>
        </w:tc>
        <w:tc>
          <w:tcPr>
            <w:tcW w:w="578" w:type="dxa"/>
            <w:tcBorders>
              <w:top w:val="single" w:sz="4" w:space="0" w:color="000000"/>
              <w:bottom w:val="single" w:sz="4" w:space="0" w:color="000000"/>
            </w:tcBorders>
          </w:tcPr>
          <w:p>
            <w:pPr>
              <w:pStyle w:val="TableParagraph"/>
              <w:spacing w:before="27"/>
              <w:ind w:right="87"/>
              <w:rPr>
                <w:sz w:val="14"/>
              </w:rPr>
            </w:pPr>
            <w:r>
              <w:rPr>
                <w:w w:val="99"/>
                <w:sz w:val="14"/>
              </w:rPr>
              <w:t>-</w:t>
            </w:r>
          </w:p>
        </w:tc>
        <w:tc>
          <w:tcPr>
            <w:tcW w:w="563" w:type="dxa"/>
            <w:tcBorders>
              <w:top w:val="single" w:sz="4" w:space="0" w:color="000000"/>
              <w:bottom w:val="single" w:sz="4" w:space="0" w:color="000000"/>
            </w:tcBorders>
          </w:tcPr>
          <w:p>
            <w:pPr>
              <w:pStyle w:val="TableParagraph"/>
              <w:spacing w:before="27"/>
              <w:ind w:right="60"/>
              <w:rPr>
                <w:sz w:val="14"/>
              </w:rPr>
            </w:pPr>
            <w:r>
              <w:rPr>
                <w:w w:val="99"/>
                <w:sz w:val="14"/>
              </w:rPr>
              <w:t>-</w:t>
            </w:r>
          </w:p>
        </w:tc>
        <w:tc>
          <w:tcPr>
            <w:tcW w:w="821" w:type="dxa"/>
            <w:tcBorders>
              <w:top w:val="single" w:sz="4" w:space="0" w:color="000000"/>
              <w:bottom w:val="single" w:sz="4" w:space="0" w:color="000000"/>
            </w:tcBorders>
          </w:tcPr>
          <w:p>
            <w:pPr>
              <w:pStyle w:val="TableParagraph"/>
              <w:spacing w:before="27"/>
              <w:ind w:right="141"/>
              <w:rPr>
                <w:sz w:val="14"/>
              </w:rPr>
            </w:pPr>
            <w:r>
              <w:rPr>
                <w:w w:val="99"/>
                <w:sz w:val="14"/>
              </w:rPr>
              <w:t>-</w:t>
            </w:r>
          </w:p>
        </w:tc>
        <w:tc>
          <w:tcPr>
            <w:tcW w:w="520" w:type="dxa"/>
            <w:tcBorders>
              <w:top w:val="single" w:sz="4" w:space="0" w:color="000000"/>
              <w:bottom w:val="single" w:sz="4" w:space="0" w:color="000000"/>
            </w:tcBorders>
          </w:tcPr>
          <w:p>
            <w:pPr>
              <w:pStyle w:val="TableParagraph"/>
              <w:spacing w:before="27"/>
              <w:ind w:right="61"/>
              <w:rPr>
                <w:b/>
                <w:sz w:val="14"/>
              </w:rPr>
            </w:pPr>
            <w:r>
              <w:rPr>
                <w:b/>
                <w:w w:val="99"/>
                <w:sz w:val="14"/>
              </w:rPr>
              <w:t>-</w:t>
            </w:r>
          </w:p>
        </w:tc>
      </w:tr>
      <w:tr>
        <w:trPr>
          <w:trHeight w:val="230" w:hRule="atLeast"/>
        </w:trPr>
        <w:tc>
          <w:tcPr>
            <w:tcW w:w="1186" w:type="dxa"/>
            <w:tcBorders>
              <w:top w:val="single" w:sz="4" w:space="0" w:color="000000"/>
              <w:bottom w:val="single" w:sz="4" w:space="0" w:color="000000"/>
            </w:tcBorders>
          </w:tcPr>
          <w:p>
            <w:pPr>
              <w:pStyle w:val="TableParagraph"/>
              <w:spacing w:before="27"/>
              <w:ind w:left="67"/>
              <w:jc w:val="left"/>
              <w:rPr>
                <w:sz w:val="14"/>
              </w:rPr>
            </w:pPr>
            <w:r>
              <w:rPr>
                <w:spacing w:val="-2"/>
                <w:sz w:val="14"/>
              </w:rPr>
              <w:t>Reclassified</w:t>
            </w:r>
          </w:p>
        </w:tc>
        <w:tc>
          <w:tcPr>
            <w:tcW w:w="678" w:type="dxa"/>
            <w:tcBorders>
              <w:top w:val="single" w:sz="4" w:space="0" w:color="000000"/>
              <w:bottom w:val="single" w:sz="4" w:space="0" w:color="000000"/>
            </w:tcBorders>
          </w:tcPr>
          <w:p>
            <w:pPr>
              <w:pStyle w:val="TableParagraph"/>
              <w:spacing w:before="27"/>
              <w:ind w:right="154"/>
              <w:rPr>
                <w:b/>
                <w:sz w:val="14"/>
              </w:rPr>
            </w:pPr>
            <w:r>
              <w:rPr>
                <w:b/>
                <w:w w:val="99"/>
                <w:sz w:val="14"/>
              </w:rPr>
              <w:t>-</w:t>
            </w:r>
          </w:p>
        </w:tc>
        <w:tc>
          <w:tcPr>
            <w:tcW w:w="607" w:type="dxa"/>
            <w:tcBorders>
              <w:top w:val="single" w:sz="4" w:space="0" w:color="000000"/>
              <w:bottom w:val="single" w:sz="4" w:space="0" w:color="000000"/>
            </w:tcBorders>
          </w:tcPr>
          <w:p>
            <w:pPr>
              <w:pStyle w:val="TableParagraph"/>
              <w:spacing w:before="27"/>
              <w:ind w:right="170"/>
              <w:rPr>
                <w:b/>
                <w:sz w:val="14"/>
              </w:rPr>
            </w:pPr>
            <w:r>
              <w:rPr>
                <w:b/>
                <w:w w:val="99"/>
                <w:sz w:val="14"/>
              </w:rPr>
              <w:t>-</w:t>
            </w:r>
          </w:p>
        </w:tc>
        <w:tc>
          <w:tcPr>
            <w:tcW w:w="563" w:type="dxa"/>
            <w:tcBorders>
              <w:top w:val="single" w:sz="4" w:space="0" w:color="000000"/>
              <w:bottom w:val="single" w:sz="4" w:space="0" w:color="000000"/>
            </w:tcBorders>
          </w:tcPr>
          <w:p>
            <w:pPr>
              <w:pStyle w:val="TableParagraph"/>
              <w:spacing w:before="27"/>
              <w:ind w:right="171"/>
              <w:rPr>
                <w:b/>
                <w:sz w:val="14"/>
              </w:rPr>
            </w:pPr>
            <w:r>
              <w:rPr>
                <w:b/>
                <w:w w:val="99"/>
                <w:sz w:val="14"/>
              </w:rPr>
              <w:t>-</w:t>
            </w:r>
          </w:p>
        </w:tc>
        <w:tc>
          <w:tcPr>
            <w:tcW w:w="581" w:type="dxa"/>
            <w:tcBorders>
              <w:top w:val="single" w:sz="4" w:space="0" w:color="000000"/>
              <w:bottom w:val="single" w:sz="4" w:space="0" w:color="000000"/>
            </w:tcBorders>
          </w:tcPr>
          <w:p>
            <w:pPr>
              <w:pStyle w:val="TableParagraph"/>
              <w:spacing w:before="27"/>
              <w:ind w:right="191"/>
              <w:rPr>
                <w:b/>
                <w:sz w:val="14"/>
              </w:rPr>
            </w:pPr>
            <w:r>
              <w:rPr>
                <w:b/>
                <w:w w:val="99"/>
                <w:sz w:val="14"/>
              </w:rPr>
              <w:t>-</w:t>
            </w:r>
          </w:p>
        </w:tc>
        <w:tc>
          <w:tcPr>
            <w:tcW w:w="581" w:type="dxa"/>
            <w:tcBorders>
              <w:top w:val="single" w:sz="4" w:space="0" w:color="000000"/>
              <w:bottom w:val="single" w:sz="4" w:space="0" w:color="000000"/>
            </w:tcBorders>
          </w:tcPr>
          <w:p>
            <w:pPr>
              <w:pStyle w:val="TableParagraph"/>
              <w:spacing w:before="27"/>
              <w:ind w:left="148"/>
              <w:jc w:val="center"/>
              <w:rPr>
                <w:b/>
                <w:sz w:val="14"/>
              </w:rPr>
            </w:pPr>
            <w:r>
              <w:rPr>
                <w:b/>
                <w:w w:val="99"/>
                <w:sz w:val="14"/>
              </w:rPr>
              <w:t>-</w:t>
            </w:r>
          </w:p>
        </w:tc>
        <w:tc>
          <w:tcPr>
            <w:tcW w:w="564" w:type="dxa"/>
            <w:tcBorders>
              <w:top w:val="single" w:sz="4" w:space="0" w:color="000000"/>
              <w:bottom w:val="single" w:sz="4" w:space="0" w:color="000000"/>
            </w:tcBorders>
          </w:tcPr>
          <w:p>
            <w:pPr>
              <w:pStyle w:val="TableParagraph"/>
              <w:spacing w:before="27"/>
              <w:ind w:right="169"/>
              <w:rPr>
                <w:b/>
                <w:sz w:val="14"/>
              </w:rPr>
            </w:pPr>
            <w:r>
              <w:rPr>
                <w:b/>
                <w:w w:val="99"/>
                <w:sz w:val="14"/>
              </w:rPr>
              <w:t>-</w:t>
            </w:r>
          </w:p>
        </w:tc>
        <w:tc>
          <w:tcPr>
            <w:tcW w:w="694" w:type="dxa"/>
            <w:tcBorders>
              <w:top w:val="single" w:sz="4" w:space="0" w:color="000000"/>
              <w:bottom w:val="single" w:sz="4" w:space="0" w:color="000000"/>
            </w:tcBorders>
          </w:tcPr>
          <w:p>
            <w:pPr>
              <w:pStyle w:val="TableParagraph"/>
              <w:spacing w:before="27"/>
              <w:ind w:right="267"/>
              <w:rPr>
                <w:sz w:val="14"/>
              </w:rPr>
            </w:pPr>
            <w:r>
              <w:rPr>
                <w:w w:val="99"/>
                <w:sz w:val="14"/>
              </w:rPr>
              <w:t>-</w:t>
            </w:r>
          </w:p>
        </w:tc>
        <w:tc>
          <w:tcPr>
            <w:tcW w:w="668" w:type="dxa"/>
            <w:tcBorders>
              <w:top w:val="single" w:sz="4" w:space="0" w:color="000000"/>
              <w:bottom w:val="single" w:sz="4" w:space="0" w:color="000000"/>
            </w:tcBorders>
          </w:tcPr>
          <w:p>
            <w:pPr>
              <w:pStyle w:val="TableParagraph"/>
              <w:spacing w:before="27"/>
              <w:ind w:right="196"/>
              <w:rPr>
                <w:sz w:val="14"/>
              </w:rPr>
            </w:pPr>
            <w:r>
              <w:rPr>
                <w:w w:val="99"/>
                <w:sz w:val="14"/>
              </w:rPr>
              <w:t>-</w:t>
            </w:r>
          </w:p>
        </w:tc>
        <w:tc>
          <w:tcPr>
            <w:tcW w:w="466" w:type="dxa"/>
            <w:tcBorders>
              <w:top w:val="single" w:sz="4" w:space="0" w:color="000000"/>
              <w:bottom w:val="single" w:sz="4" w:space="0" w:color="000000"/>
            </w:tcBorders>
          </w:tcPr>
          <w:p>
            <w:pPr>
              <w:pStyle w:val="TableParagraph"/>
              <w:spacing w:before="27"/>
              <w:ind w:right="66"/>
              <w:rPr>
                <w:sz w:val="14"/>
              </w:rPr>
            </w:pPr>
            <w:r>
              <w:rPr>
                <w:w w:val="99"/>
                <w:sz w:val="14"/>
              </w:rPr>
              <w:t>-</w:t>
            </w:r>
          </w:p>
        </w:tc>
        <w:tc>
          <w:tcPr>
            <w:tcW w:w="795" w:type="dxa"/>
            <w:tcBorders>
              <w:top w:val="single" w:sz="4" w:space="0" w:color="000000"/>
              <w:bottom w:val="single" w:sz="4" w:space="0" w:color="000000"/>
            </w:tcBorders>
          </w:tcPr>
          <w:p>
            <w:pPr>
              <w:pStyle w:val="TableParagraph"/>
              <w:spacing w:before="27"/>
              <w:ind w:right="126"/>
              <w:rPr>
                <w:sz w:val="14"/>
              </w:rPr>
            </w:pPr>
            <w:r>
              <w:rPr>
                <w:w w:val="99"/>
                <w:sz w:val="14"/>
              </w:rPr>
              <w:t>-</w:t>
            </w:r>
          </w:p>
        </w:tc>
        <w:tc>
          <w:tcPr>
            <w:tcW w:w="569" w:type="dxa"/>
            <w:tcBorders>
              <w:top w:val="single" w:sz="4" w:space="0" w:color="000000"/>
              <w:bottom w:val="single" w:sz="4" w:space="0" w:color="000000"/>
            </w:tcBorders>
          </w:tcPr>
          <w:p>
            <w:pPr>
              <w:pStyle w:val="TableParagraph"/>
              <w:spacing w:before="27"/>
              <w:ind w:right="100"/>
              <w:rPr>
                <w:sz w:val="14"/>
              </w:rPr>
            </w:pPr>
            <w:r>
              <w:rPr>
                <w:w w:val="99"/>
                <w:sz w:val="14"/>
              </w:rPr>
              <w:t>-</w:t>
            </w:r>
          </w:p>
        </w:tc>
        <w:tc>
          <w:tcPr>
            <w:tcW w:w="578" w:type="dxa"/>
            <w:tcBorders>
              <w:top w:val="single" w:sz="4" w:space="0" w:color="000000"/>
              <w:bottom w:val="single" w:sz="4" w:space="0" w:color="000000"/>
            </w:tcBorders>
          </w:tcPr>
          <w:p>
            <w:pPr>
              <w:pStyle w:val="TableParagraph"/>
              <w:spacing w:before="27"/>
              <w:ind w:right="87"/>
              <w:rPr>
                <w:sz w:val="14"/>
              </w:rPr>
            </w:pPr>
            <w:r>
              <w:rPr>
                <w:w w:val="99"/>
                <w:sz w:val="14"/>
              </w:rPr>
              <w:t>-</w:t>
            </w:r>
          </w:p>
        </w:tc>
        <w:tc>
          <w:tcPr>
            <w:tcW w:w="563" w:type="dxa"/>
            <w:tcBorders>
              <w:top w:val="single" w:sz="4" w:space="0" w:color="000000"/>
              <w:bottom w:val="single" w:sz="4" w:space="0" w:color="000000"/>
            </w:tcBorders>
          </w:tcPr>
          <w:p>
            <w:pPr>
              <w:pStyle w:val="TableParagraph"/>
              <w:spacing w:before="27"/>
              <w:ind w:right="60"/>
              <w:rPr>
                <w:sz w:val="14"/>
              </w:rPr>
            </w:pPr>
            <w:r>
              <w:rPr>
                <w:w w:val="99"/>
                <w:sz w:val="14"/>
              </w:rPr>
              <w:t>-</w:t>
            </w:r>
          </w:p>
        </w:tc>
        <w:tc>
          <w:tcPr>
            <w:tcW w:w="821" w:type="dxa"/>
            <w:tcBorders>
              <w:top w:val="single" w:sz="4" w:space="0" w:color="000000"/>
              <w:bottom w:val="single" w:sz="4" w:space="0" w:color="000000"/>
            </w:tcBorders>
          </w:tcPr>
          <w:p>
            <w:pPr>
              <w:pStyle w:val="TableParagraph"/>
              <w:spacing w:before="27"/>
              <w:ind w:right="141"/>
              <w:rPr>
                <w:sz w:val="14"/>
              </w:rPr>
            </w:pPr>
            <w:r>
              <w:rPr>
                <w:w w:val="99"/>
                <w:sz w:val="14"/>
              </w:rPr>
              <w:t>-</w:t>
            </w:r>
          </w:p>
        </w:tc>
        <w:tc>
          <w:tcPr>
            <w:tcW w:w="520" w:type="dxa"/>
            <w:tcBorders>
              <w:top w:val="single" w:sz="4" w:space="0" w:color="000000"/>
              <w:bottom w:val="single" w:sz="4" w:space="0" w:color="000000"/>
            </w:tcBorders>
          </w:tcPr>
          <w:p>
            <w:pPr>
              <w:pStyle w:val="TableParagraph"/>
              <w:spacing w:before="27"/>
              <w:ind w:right="61"/>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2"/>
              <w:ind w:left="67"/>
              <w:jc w:val="left"/>
              <w:rPr>
                <w:sz w:val="14"/>
              </w:rPr>
            </w:pPr>
            <w:r>
              <w:rPr>
                <w:spacing w:val="-2"/>
                <w:sz w:val="14"/>
              </w:rPr>
              <w:t>Converted</w:t>
            </w:r>
          </w:p>
        </w:tc>
        <w:tc>
          <w:tcPr>
            <w:tcW w:w="678" w:type="dxa"/>
            <w:tcBorders>
              <w:top w:val="single" w:sz="4" w:space="0" w:color="000000"/>
              <w:bottom w:val="single" w:sz="4" w:space="0" w:color="000000"/>
            </w:tcBorders>
          </w:tcPr>
          <w:p>
            <w:pPr>
              <w:pStyle w:val="TableParagraph"/>
              <w:spacing w:before="22"/>
              <w:ind w:right="154"/>
              <w:rPr>
                <w:b/>
                <w:sz w:val="14"/>
              </w:rPr>
            </w:pPr>
            <w:r>
              <w:rPr>
                <w:b/>
                <w:w w:val="99"/>
                <w:sz w:val="14"/>
              </w:rPr>
              <w:t>-</w:t>
            </w:r>
          </w:p>
        </w:tc>
        <w:tc>
          <w:tcPr>
            <w:tcW w:w="607" w:type="dxa"/>
            <w:tcBorders>
              <w:top w:val="single" w:sz="4" w:space="0" w:color="000000"/>
              <w:bottom w:val="single" w:sz="4" w:space="0" w:color="000000"/>
            </w:tcBorders>
          </w:tcPr>
          <w:p>
            <w:pPr>
              <w:pStyle w:val="TableParagraph"/>
              <w:spacing w:before="22"/>
              <w:ind w:right="170"/>
              <w:rPr>
                <w:b/>
                <w:sz w:val="14"/>
              </w:rPr>
            </w:pPr>
            <w:r>
              <w:rPr>
                <w:b/>
                <w:w w:val="99"/>
                <w:sz w:val="14"/>
              </w:rPr>
              <w:t>-</w:t>
            </w:r>
          </w:p>
        </w:tc>
        <w:tc>
          <w:tcPr>
            <w:tcW w:w="563" w:type="dxa"/>
            <w:tcBorders>
              <w:top w:val="single" w:sz="4" w:space="0" w:color="000000"/>
              <w:bottom w:val="single" w:sz="4" w:space="0" w:color="000000"/>
            </w:tcBorders>
          </w:tcPr>
          <w:p>
            <w:pPr>
              <w:pStyle w:val="TableParagraph"/>
              <w:spacing w:before="22"/>
              <w:ind w:right="171"/>
              <w:rPr>
                <w:b/>
                <w:sz w:val="14"/>
              </w:rPr>
            </w:pPr>
            <w:r>
              <w:rPr>
                <w:b/>
                <w:w w:val="99"/>
                <w:sz w:val="14"/>
              </w:rPr>
              <w:t>-</w:t>
            </w:r>
          </w:p>
        </w:tc>
        <w:tc>
          <w:tcPr>
            <w:tcW w:w="581" w:type="dxa"/>
            <w:tcBorders>
              <w:top w:val="single" w:sz="4" w:space="0" w:color="000000"/>
              <w:bottom w:val="single" w:sz="4" w:space="0" w:color="000000"/>
            </w:tcBorders>
          </w:tcPr>
          <w:p>
            <w:pPr>
              <w:pStyle w:val="TableParagraph"/>
              <w:spacing w:before="22"/>
              <w:ind w:right="191"/>
              <w:rPr>
                <w:b/>
                <w:sz w:val="14"/>
              </w:rPr>
            </w:pPr>
            <w:r>
              <w:rPr>
                <w:b/>
                <w:w w:val="99"/>
                <w:sz w:val="14"/>
              </w:rPr>
              <w:t>-</w:t>
            </w:r>
          </w:p>
        </w:tc>
        <w:tc>
          <w:tcPr>
            <w:tcW w:w="581" w:type="dxa"/>
            <w:tcBorders>
              <w:top w:val="single" w:sz="4" w:space="0" w:color="000000"/>
              <w:bottom w:val="single" w:sz="4" w:space="0" w:color="000000"/>
            </w:tcBorders>
          </w:tcPr>
          <w:p>
            <w:pPr>
              <w:pStyle w:val="TableParagraph"/>
              <w:spacing w:before="22"/>
              <w:ind w:left="148"/>
              <w:jc w:val="center"/>
              <w:rPr>
                <w:b/>
                <w:sz w:val="14"/>
              </w:rPr>
            </w:pPr>
            <w:r>
              <w:rPr>
                <w:b/>
                <w:w w:val="99"/>
                <w:sz w:val="14"/>
              </w:rPr>
              <w:t>-</w:t>
            </w:r>
          </w:p>
        </w:tc>
        <w:tc>
          <w:tcPr>
            <w:tcW w:w="564" w:type="dxa"/>
            <w:tcBorders>
              <w:top w:val="single" w:sz="4" w:space="0" w:color="000000"/>
              <w:bottom w:val="single" w:sz="4" w:space="0" w:color="000000"/>
            </w:tcBorders>
          </w:tcPr>
          <w:p>
            <w:pPr>
              <w:pStyle w:val="TableParagraph"/>
              <w:spacing w:before="22"/>
              <w:ind w:right="169"/>
              <w:rPr>
                <w:b/>
                <w:sz w:val="14"/>
              </w:rPr>
            </w:pPr>
            <w:r>
              <w:rPr>
                <w:b/>
                <w:w w:val="99"/>
                <w:sz w:val="14"/>
              </w:rPr>
              <w:t>-</w:t>
            </w:r>
          </w:p>
        </w:tc>
        <w:tc>
          <w:tcPr>
            <w:tcW w:w="694" w:type="dxa"/>
            <w:tcBorders>
              <w:top w:val="single" w:sz="4" w:space="0" w:color="000000"/>
              <w:bottom w:val="single" w:sz="4" w:space="0" w:color="000000"/>
            </w:tcBorders>
          </w:tcPr>
          <w:p>
            <w:pPr>
              <w:pStyle w:val="TableParagraph"/>
              <w:spacing w:before="22"/>
              <w:ind w:right="267"/>
              <w:rPr>
                <w:sz w:val="14"/>
              </w:rPr>
            </w:pPr>
            <w:r>
              <w:rPr>
                <w:w w:val="99"/>
                <w:sz w:val="14"/>
              </w:rPr>
              <w:t>-</w:t>
            </w:r>
          </w:p>
        </w:tc>
        <w:tc>
          <w:tcPr>
            <w:tcW w:w="668" w:type="dxa"/>
            <w:tcBorders>
              <w:top w:val="single" w:sz="4" w:space="0" w:color="000000"/>
              <w:bottom w:val="single" w:sz="4" w:space="0" w:color="000000"/>
            </w:tcBorders>
          </w:tcPr>
          <w:p>
            <w:pPr>
              <w:pStyle w:val="TableParagraph"/>
              <w:spacing w:before="22"/>
              <w:ind w:right="196"/>
              <w:rPr>
                <w:sz w:val="14"/>
              </w:rPr>
            </w:pPr>
            <w:r>
              <w:rPr>
                <w:w w:val="99"/>
                <w:sz w:val="14"/>
              </w:rPr>
              <w:t>-</w:t>
            </w:r>
          </w:p>
        </w:tc>
        <w:tc>
          <w:tcPr>
            <w:tcW w:w="466" w:type="dxa"/>
            <w:tcBorders>
              <w:top w:val="single" w:sz="4" w:space="0" w:color="000000"/>
              <w:bottom w:val="single" w:sz="4" w:space="0" w:color="000000"/>
            </w:tcBorders>
          </w:tcPr>
          <w:p>
            <w:pPr>
              <w:pStyle w:val="TableParagraph"/>
              <w:spacing w:before="22"/>
              <w:ind w:right="66"/>
              <w:rPr>
                <w:sz w:val="14"/>
              </w:rPr>
            </w:pPr>
            <w:r>
              <w:rPr>
                <w:w w:val="99"/>
                <w:sz w:val="14"/>
              </w:rPr>
              <w:t>-</w:t>
            </w:r>
          </w:p>
        </w:tc>
        <w:tc>
          <w:tcPr>
            <w:tcW w:w="795" w:type="dxa"/>
            <w:tcBorders>
              <w:top w:val="single" w:sz="4" w:space="0" w:color="000000"/>
              <w:bottom w:val="single" w:sz="4" w:space="0" w:color="000000"/>
            </w:tcBorders>
          </w:tcPr>
          <w:p>
            <w:pPr>
              <w:pStyle w:val="TableParagraph"/>
              <w:spacing w:before="22"/>
              <w:ind w:right="126"/>
              <w:rPr>
                <w:sz w:val="14"/>
              </w:rPr>
            </w:pPr>
            <w:r>
              <w:rPr>
                <w:w w:val="99"/>
                <w:sz w:val="14"/>
              </w:rPr>
              <w:t>-</w:t>
            </w:r>
          </w:p>
        </w:tc>
        <w:tc>
          <w:tcPr>
            <w:tcW w:w="569" w:type="dxa"/>
            <w:tcBorders>
              <w:top w:val="single" w:sz="4" w:space="0" w:color="000000"/>
              <w:bottom w:val="single" w:sz="4" w:space="0" w:color="000000"/>
            </w:tcBorders>
          </w:tcPr>
          <w:p>
            <w:pPr>
              <w:pStyle w:val="TableParagraph"/>
              <w:spacing w:before="22"/>
              <w:ind w:right="100"/>
              <w:rPr>
                <w:sz w:val="14"/>
              </w:rPr>
            </w:pPr>
            <w:r>
              <w:rPr>
                <w:w w:val="99"/>
                <w:sz w:val="14"/>
              </w:rPr>
              <w:t>-</w:t>
            </w:r>
          </w:p>
        </w:tc>
        <w:tc>
          <w:tcPr>
            <w:tcW w:w="578" w:type="dxa"/>
            <w:tcBorders>
              <w:top w:val="single" w:sz="4" w:space="0" w:color="000000"/>
              <w:bottom w:val="single" w:sz="4" w:space="0" w:color="000000"/>
            </w:tcBorders>
          </w:tcPr>
          <w:p>
            <w:pPr>
              <w:pStyle w:val="TableParagraph"/>
              <w:spacing w:before="22"/>
              <w:ind w:right="87"/>
              <w:rPr>
                <w:sz w:val="14"/>
              </w:rPr>
            </w:pPr>
            <w:r>
              <w:rPr>
                <w:w w:val="99"/>
                <w:sz w:val="14"/>
              </w:rPr>
              <w:t>-</w:t>
            </w:r>
          </w:p>
        </w:tc>
        <w:tc>
          <w:tcPr>
            <w:tcW w:w="563" w:type="dxa"/>
            <w:tcBorders>
              <w:top w:val="single" w:sz="4" w:space="0" w:color="000000"/>
              <w:bottom w:val="single" w:sz="4" w:space="0" w:color="000000"/>
            </w:tcBorders>
          </w:tcPr>
          <w:p>
            <w:pPr>
              <w:pStyle w:val="TableParagraph"/>
              <w:spacing w:before="22"/>
              <w:ind w:right="60"/>
              <w:rPr>
                <w:sz w:val="14"/>
              </w:rPr>
            </w:pPr>
            <w:r>
              <w:rPr>
                <w:w w:val="99"/>
                <w:sz w:val="14"/>
              </w:rPr>
              <w:t>-</w:t>
            </w:r>
          </w:p>
        </w:tc>
        <w:tc>
          <w:tcPr>
            <w:tcW w:w="821" w:type="dxa"/>
            <w:tcBorders>
              <w:top w:val="single" w:sz="4" w:space="0" w:color="000000"/>
              <w:bottom w:val="single" w:sz="4" w:space="0" w:color="000000"/>
            </w:tcBorders>
          </w:tcPr>
          <w:p>
            <w:pPr>
              <w:pStyle w:val="TableParagraph"/>
              <w:spacing w:before="22"/>
              <w:ind w:right="141"/>
              <w:rPr>
                <w:sz w:val="14"/>
              </w:rPr>
            </w:pPr>
            <w:r>
              <w:rPr>
                <w:w w:val="99"/>
                <w:sz w:val="14"/>
              </w:rPr>
              <w:t>-</w:t>
            </w:r>
          </w:p>
        </w:tc>
        <w:tc>
          <w:tcPr>
            <w:tcW w:w="520" w:type="dxa"/>
            <w:tcBorders>
              <w:top w:val="single" w:sz="4" w:space="0" w:color="000000"/>
              <w:bottom w:val="single" w:sz="4" w:space="0" w:color="000000"/>
            </w:tcBorders>
          </w:tcPr>
          <w:p>
            <w:pPr>
              <w:pStyle w:val="TableParagraph"/>
              <w:spacing w:before="22"/>
              <w:ind w:right="61"/>
              <w:rPr>
                <w:b/>
                <w:sz w:val="14"/>
              </w:rPr>
            </w:pPr>
            <w:r>
              <w:rPr>
                <w:b/>
                <w:w w:val="99"/>
                <w:sz w:val="14"/>
              </w:rPr>
              <w:t>-</w:t>
            </w:r>
          </w:p>
        </w:tc>
      </w:tr>
      <w:tr>
        <w:trPr>
          <w:trHeight w:val="229" w:hRule="atLeast"/>
        </w:trPr>
        <w:tc>
          <w:tcPr>
            <w:tcW w:w="1186" w:type="dxa"/>
            <w:tcBorders>
              <w:top w:val="single" w:sz="4" w:space="0" w:color="000000"/>
              <w:bottom w:val="single" w:sz="12" w:space="0" w:color="000000"/>
            </w:tcBorders>
          </w:tcPr>
          <w:p>
            <w:pPr>
              <w:pStyle w:val="TableParagraph"/>
              <w:spacing w:before="27"/>
              <w:ind w:left="67"/>
              <w:jc w:val="left"/>
              <w:rPr>
                <w:b/>
                <w:sz w:val="14"/>
              </w:rPr>
            </w:pPr>
            <w:r>
              <w:rPr>
                <w:b/>
                <w:sz w:val="14"/>
              </w:rPr>
              <w:t>Proposed</w:t>
            </w:r>
            <w:r>
              <w:rPr>
                <w:b/>
                <w:spacing w:val="-6"/>
                <w:sz w:val="14"/>
              </w:rPr>
              <w:t> </w:t>
            </w:r>
            <w:r>
              <w:rPr>
                <w:b/>
                <w:spacing w:val="-4"/>
                <w:sz w:val="14"/>
              </w:rPr>
              <w:t>2023</w:t>
            </w:r>
          </w:p>
        </w:tc>
        <w:tc>
          <w:tcPr>
            <w:tcW w:w="678" w:type="dxa"/>
            <w:tcBorders>
              <w:top w:val="single" w:sz="4" w:space="0" w:color="000000"/>
              <w:bottom w:val="single" w:sz="12" w:space="0" w:color="000000"/>
            </w:tcBorders>
          </w:tcPr>
          <w:p>
            <w:pPr>
              <w:pStyle w:val="TableParagraph"/>
              <w:spacing w:before="27"/>
              <w:ind w:right="154"/>
              <w:rPr>
                <w:b/>
                <w:sz w:val="14"/>
              </w:rPr>
            </w:pPr>
            <w:r>
              <w:rPr>
                <w:b/>
                <w:w w:val="99"/>
                <w:sz w:val="14"/>
              </w:rPr>
              <w:t>-</w:t>
            </w:r>
          </w:p>
        </w:tc>
        <w:tc>
          <w:tcPr>
            <w:tcW w:w="607" w:type="dxa"/>
            <w:tcBorders>
              <w:top w:val="single" w:sz="4" w:space="0" w:color="000000"/>
              <w:bottom w:val="single" w:sz="12" w:space="0" w:color="000000"/>
            </w:tcBorders>
          </w:tcPr>
          <w:p>
            <w:pPr>
              <w:pStyle w:val="TableParagraph"/>
              <w:spacing w:before="27"/>
              <w:ind w:right="170"/>
              <w:rPr>
                <w:b/>
                <w:sz w:val="14"/>
              </w:rPr>
            </w:pPr>
            <w:r>
              <w:rPr>
                <w:b/>
                <w:w w:val="99"/>
                <w:sz w:val="14"/>
              </w:rPr>
              <w:t>-</w:t>
            </w:r>
          </w:p>
        </w:tc>
        <w:tc>
          <w:tcPr>
            <w:tcW w:w="563" w:type="dxa"/>
            <w:tcBorders>
              <w:top w:val="single" w:sz="4" w:space="0" w:color="000000"/>
              <w:bottom w:val="single" w:sz="12" w:space="0" w:color="000000"/>
            </w:tcBorders>
          </w:tcPr>
          <w:p>
            <w:pPr>
              <w:pStyle w:val="TableParagraph"/>
              <w:spacing w:before="27"/>
              <w:ind w:right="171"/>
              <w:rPr>
                <w:b/>
                <w:sz w:val="14"/>
              </w:rPr>
            </w:pPr>
            <w:r>
              <w:rPr>
                <w:b/>
                <w:w w:val="99"/>
                <w:sz w:val="14"/>
              </w:rPr>
              <w:t>-</w:t>
            </w:r>
          </w:p>
        </w:tc>
        <w:tc>
          <w:tcPr>
            <w:tcW w:w="581" w:type="dxa"/>
            <w:tcBorders>
              <w:top w:val="single" w:sz="4" w:space="0" w:color="000000"/>
              <w:bottom w:val="single" w:sz="12" w:space="0" w:color="000000"/>
            </w:tcBorders>
          </w:tcPr>
          <w:p>
            <w:pPr>
              <w:pStyle w:val="TableParagraph"/>
              <w:spacing w:before="27"/>
              <w:ind w:right="191"/>
              <w:rPr>
                <w:b/>
                <w:sz w:val="14"/>
              </w:rPr>
            </w:pPr>
            <w:r>
              <w:rPr>
                <w:b/>
                <w:w w:val="99"/>
                <w:sz w:val="14"/>
              </w:rPr>
              <w:t>-</w:t>
            </w:r>
          </w:p>
        </w:tc>
        <w:tc>
          <w:tcPr>
            <w:tcW w:w="581" w:type="dxa"/>
            <w:tcBorders>
              <w:top w:val="single" w:sz="4" w:space="0" w:color="000000"/>
              <w:bottom w:val="single" w:sz="12" w:space="0" w:color="000000"/>
            </w:tcBorders>
          </w:tcPr>
          <w:p>
            <w:pPr>
              <w:pStyle w:val="TableParagraph"/>
              <w:spacing w:before="27"/>
              <w:ind w:left="148"/>
              <w:jc w:val="center"/>
              <w:rPr>
                <w:b/>
                <w:sz w:val="14"/>
              </w:rPr>
            </w:pPr>
            <w:r>
              <w:rPr>
                <w:b/>
                <w:w w:val="99"/>
                <w:sz w:val="14"/>
              </w:rPr>
              <w:t>-</w:t>
            </w:r>
          </w:p>
        </w:tc>
        <w:tc>
          <w:tcPr>
            <w:tcW w:w="564" w:type="dxa"/>
            <w:tcBorders>
              <w:top w:val="single" w:sz="4" w:space="0" w:color="000000"/>
              <w:bottom w:val="single" w:sz="12" w:space="0" w:color="000000"/>
            </w:tcBorders>
          </w:tcPr>
          <w:p>
            <w:pPr>
              <w:pStyle w:val="TableParagraph"/>
              <w:spacing w:before="27"/>
              <w:ind w:right="169"/>
              <w:rPr>
                <w:b/>
                <w:sz w:val="14"/>
              </w:rPr>
            </w:pPr>
            <w:r>
              <w:rPr>
                <w:b/>
                <w:w w:val="99"/>
                <w:sz w:val="14"/>
              </w:rPr>
              <w:t>-</w:t>
            </w:r>
          </w:p>
        </w:tc>
        <w:tc>
          <w:tcPr>
            <w:tcW w:w="694" w:type="dxa"/>
            <w:tcBorders>
              <w:top w:val="single" w:sz="4" w:space="0" w:color="000000"/>
              <w:bottom w:val="single" w:sz="12" w:space="0" w:color="000000"/>
            </w:tcBorders>
          </w:tcPr>
          <w:p>
            <w:pPr>
              <w:pStyle w:val="TableParagraph"/>
              <w:spacing w:before="27"/>
              <w:ind w:right="268"/>
              <w:rPr>
                <w:b/>
                <w:sz w:val="14"/>
              </w:rPr>
            </w:pPr>
            <w:r>
              <w:rPr>
                <w:b/>
                <w:spacing w:val="-4"/>
                <w:sz w:val="14"/>
              </w:rPr>
              <w:t>1.00</w:t>
            </w:r>
          </w:p>
        </w:tc>
        <w:tc>
          <w:tcPr>
            <w:tcW w:w="668" w:type="dxa"/>
            <w:tcBorders>
              <w:top w:val="single" w:sz="4" w:space="0" w:color="000000"/>
              <w:bottom w:val="single" w:sz="12" w:space="0" w:color="000000"/>
            </w:tcBorders>
          </w:tcPr>
          <w:p>
            <w:pPr>
              <w:pStyle w:val="TableParagraph"/>
              <w:spacing w:before="27"/>
              <w:ind w:right="196"/>
              <w:rPr>
                <w:b/>
                <w:sz w:val="14"/>
              </w:rPr>
            </w:pPr>
            <w:r>
              <w:rPr>
                <w:b/>
                <w:w w:val="99"/>
                <w:sz w:val="14"/>
              </w:rPr>
              <w:t>-</w:t>
            </w:r>
          </w:p>
        </w:tc>
        <w:tc>
          <w:tcPr>
            <w:tcW w:w="466" w:type="dxa"/>
            <w:tcBorders>
              <w:top w:val="single" w:sz="4" w:space="0" w:color="000000"/>
              <w:bottom w:val="single" w:sz="12" w:space="0" w:color="000000"/>
            </w:tcBorders>
          </w:tcPr>
          <w:p>
            <w:pPr>
              <w:pStyle w:val="TableParagraph"/>
              <w:spacing w:before="27"/>
              <w:ind w:right="66"/>
              <w:rPr>
                <w:b/>
                <w:sz w:val="14"/>
              </w:rPr>
            </w:pPr>
            <w:r>
              <w:rPr>
                <w:b/>
                <w:w w:val="99"/>
                <w:sz w:val="14"/>
              </w:rPr>
              <w:t>-</w:t>
            </w:r>
          </w:p>
        </w:tc>
        <w:tc>
          <w:tcPr>
            <w:tcW w:w="795" w:type="dxa"/>
            <w:tcBorders>
              <w:top w:val="single" w:sz="4" w:space="0" w:color="000000"/>
              <w:bottom w:val="single" w:sz="12" w:space="0" w:color="000000"/>
            </w:tcBorders>
          </w:tcPr>
          <w:p>
            <w:pPr>
              <w:pStyle w:val="TableParagraph"/>
              <w:spacing w:before="27"/>
              <w:ind w:right="128"/>
              <w:rPr>
                <w:b/>
                <w:i/>
                <w:sz w:val="14"/>
              </w:rPr>
            </w:pPr>
            <w:r>
              <w:rPr>
                <w:b/>
                <w:i/>
                <w:spacing w:val="-4"/>
                <w:sz w:val="14"/>
              </w:rPr>
              <w:t>1.00</w:t>
            </w:r>
          </w:p>
        </w:tc>
        <w:tc>
          <w:tcPr>
            <w:tcW w:w="569" w:type="dxa"/>
            <w:tcBorders>
              <w:top w:val="single" w:sz="4" w:space="0" w:color="000000"/>
              <w:bottom w:val="single" w:sz="12" w:space="0" w:color="000000"/>
            </w:tcBorders>
          </w:tcPr>
          <w:p>
            <w:pPr>
              <w:pStyle w:val="TableParagraph"/>
              <w:spacing w:before="27"/>
              <w:ind w:right="100"/>
              <w:rPr>
                <w:b/>
                <w:sz w:val="14"/>
              </w:rPr>
            </w:pPr>
            <w:r>
              <w:rPr>
                <w:b/>
                <w:w w:val="99"/>
                <w:sz w:val="14"/>
              </w:rPr>
              <w:t>-</w:t>
            </w:r>
          </w:p>
        </w:tc>
        <w:tc>
          <w:tcPr>
            <w:tcW w:w="578" w:type="dxa"/>
            <w:tcBorders>
              <w:top w:val="single" w:sz="4" w:space="0" w:color="000000"/>
              <w:bottom w:val="single" w:sz="12" w:space="0" w:color="000000"/>
            </w:tcBorders>
          </w:tcPr>
          <w:p>
            <w:pPr>
              <w:pStyle w:val="TableParagraph"/>
              <w:spacing w:before="27"/>
              <w:ind w:right="87"/>
              <w:rPr>
                <w:b/>
                <w:sz w:val="14"/>
              </w:rPr>
            </w:pPr>
            <w:r>
              <w:rPr>
                <w:b/>
                <w:w w:val="99"/>
                <w:sz w:val="14"/>
              </w:rPr>
              <w:t>-</w:t>
            </w:r>
          </w:p>
        </w:tc>
        <w:tc>
          <w:tcPr>
            <w:tcW w:w="563" w:type="dxa"/>
            <w:tcBorders>
              <w:top w:val="single" w:sz="4" w:space="0" w:color="000000"/>
              <w:bottom w:val="single" w:sz="12" w:space="0" w:color="000000"/>
            </w:tcBorders>
          </w:tcPr>
          <w:p>
            <w:pPr>
              <w:pStyle w:val="TableParagraph"/>
              <w:spacing w:before="27"/>
              <w:ind w:right="60"/>
              <w:rPr>
                <w:b/>
                <w:sz w:val="14"/>
              </w:rPr>
            </w:pPr>
            <w:r>
              <w:rPr>
                <w:b/>
                <w:w w:val="99"/>
                <w:sz w:val="14"/>
              </w:rPr>
              <w:t>-</w:t>
            </w:r>
          </w:p>
        </w:tc>
        <w:tc>
          <w:tcPr>
            <w:tcW w:w="821" w:type="dxa"/>
            <w:tcBorders>
              <w:top w:val="single" w:sz="4" w:space="0" w:color="000000"/>
              <w:bottom w:val="single" w:sz="12" w:space="0" w:color="000000"/>
            </w:tcBorders>
          </w:tcPr>
          <w:p>
            <w:pPr>
              <w:pStyle w:val="TableParagraph"/>
              <w:spacing w:before="27"/>
              <w:ind w:right="141"/>
              <w:rPr>
                <w:b/>
                <w:i/>
                <w:sz w:val="14"/>
              </w:rPr>
            </w:pPr>
            <w:r>
              <w:rPr>
                <w:b/>
                <w:i/>
                <w:w w:val="99"/>
                <w:sz w:val="14"/>
              </w:rPr>
              <w:t>-</w:t>
            </w:r>
          </w:p>
        </w:tc>
        <w:tc>
          <w:tcPr>
            <w:tcW w:w="520" w:type="dxa"/>
            <w:tcBorders>
              <w:top w:val="single" w:sz="4" w:space="0" w:color="000000"/>
              <w:bottom w:val="single" w:sz="12" w:space="0" w:color="000000"/>
            </w:tcBorders>
          </w:tcPr>
          <w:p>
            <w:pPr>
              <w:pStyle w:val="TableParagraph"/>
              <w:spacing w:before="27"/>
              <w:ind w:right="62"/>
              <w:rPr>
                <w:b/>
                <w:sz w:val="14"/>
              </w:rPr>
            </w:pPr>
            <w:r>
              <w:rPr>
                <w:b/>
                <w:spacing w:val="-4"/>
                <w:sz w:val="14"/>
              </w:rPr>
              <w:t>1.00</w:t>
            </w:r>
          </w:p>
        </w:tc>
      </w:tr>
    </w:tbl>
    <w:p>
      <w:pPr>
        <w:spacing w:after="0"/>
        <w:rPr>
          <w:sz w:val="14"/>
        </w:rPr>
        <w:sectPr>
          <w:pgSz w:w="11910" w:h="16840"/>
          <w:pgMar w:header="957" w:footer="940" w:top="1140" w:bottom="1140" w:left="20" w:right="20"/>
        </w:sectPr>
      </w:pPr>
    </w:p>
    <w:p>
      <w:pPr>
        <w:spacing w:before="120"/>
        <w:ind w:left="2246" w:right="0" w:firstLine="0"/>
        <w:jc w:val="left"/>
        <w:rPr>
          <w:b/>
          <w:sz w:val="20"/>
        </w:rPr>
      </w:pPr>
      <w:r>
        <w:rPr>
          <w:b/>
          <w:sz w:val="20"/>
        </w:rPr>
        <w:t>Table</w:t>
      </w:r>
      <w:r>
        <w:rPr>
          <w:b/>
          <w:spacing w:val="-6"/>
          <w:sz w:val="20"/>
        </w:rPr>
        <w:t> </w:t>
      </w:r>
      <w:r>
        <w:rPr>
          <w:b/>
          <w:sz w:val="20"/>
        </w:rPr>
        <w:t>40:</w:t>
      </w:r>
      <w:r>
        <w:rPr>
          <w:b/>
          <w:spacing w:val="-7"/>
          <w:sz w:val="20"/>
        </w:rPr>
        <w:t> </w:t>
      </w:r>
      <w:r>
        <w:rPr>
          <w:b/>
          <w:sz w:val="20"/>
        </w:rPr>
        <w:t>Programme</w:t>
      </w:r>
      <w:r>
        <w:rPr>
          <w:b/>
          <w:spacing w:val="-3"/>
          <w:sz w:val="20"/>
        </w:rPr>
        <w:t> </w:t>
      </w:r>
      <w:r>
        <w:rPr>
          <w:b/>
          <w:sz w:val="20"/>
        </w:rPr>
        <w:t>4500:</w:t>
      </w:r>
      <w:r>
        <w:rPr>
          <w:b/>
          <w:spacing w:val="-7"/>
          <w:sz w:val="20"/>
        </w:rPr>
        <w:t> </w:t>
      </w:r>
      <w:r>
        <w:rPr>
          <w:b/>
          <w:sz w:val="20"/>
        </w:rPr>
        <w:t>Proposed</w:t>
      </w:r>
      <w:r>
        <w:rPr>
          <w:b/>
          <w:spacing w:val="-7"/>
          <w:sz w:val="20"/>
        </w:rPr>
        <w:t> </w:t>
      </w:r>
      <w:r>
        <w:rPr>
          <w:b/>
          <w:sz w:val="20"/>
        </w:rPr>
        <w:t>budget</w:t>
      </w:r>
      <w:r>
        <w:rPr>
          <w:b/>
          <w:spacing w:val="-6"/>
          <w:sz w:val="20"/>
        </w:rPr>
        <w:t> </w:t>
      </w:r>
      <w:r>
        <w:rPr>
          <w:b/>
          <w:sz w:val="20"/>
        </w:rPr>
        <w:t>for </w:t>
      </w:r>
      <w:r>
        <w:rPr>
          <w:b/>
          <w:spacing w:val="-4"/>
          <w:sz w:val="20"/>
        </w:rPr>
        <w:t>2023</w:t>
      </w:r>
    </w:p>
    <w:tbl>
      <w:tblPr>
        <w:tblW w:w="0" w:type="auto"/>
        <w:jc w:val="left"/>
        <w:tblInd w:w="1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61"/>
        <w:gridCol w:w="1218"/>
        <w:gridCol w:w="827"/>
        <w:gridCol w:w="1133"/>
        <w:gridCol w:w="1078"/>
        <w:gridCol w:w="1122"/>
        <w:gridCol w:w="753"/>
        <w:gridCol w:w="1053"/>
      </w:tblGrid>
      <w:tr>
        <w:trPr>
          <w:trHeight w:val="324" w:hRule="atLeast"/>
        </w:trPr>
        <w:tc>
          <w:tcPr>
            <w:tcW w:w="2461" w:type="dxa"/>
            <w:vMerge w:val="restart"/>
            <w:tcBorders>
              <w:top w:val="single" w:sz="4" w:space="0" w:color="000000"/>
              <w:bottom w:val="single" w:sz="12" w:space="0" w:color="000000"/>
            </w:tcBorders>
          </w:tcPr>
          <w:p>
            <w:pPr>
              <w:pStyle w:val="TableParagraph"/>
              <w:spacing w:line="183" w:lineRule="exact" w:before="153"/>
              <w:ind w:left="117"/>
              <w:jc w:val="left"/>
              <w:rPr>
                <w:b/>
                <w:sz w:val="16"/>
              </w:rPr>
            </w:pPr>
            <w:r>
              <w:rPr>
                <w:b/>
                <w:spacing w:val="-4"/>
                <w:sz w:val="16"/>
              </w:rPr>
              <w:t>4500</w:t>
            </w:r>
          </w:p>
          <w:p>
            <w:pPr>
              <w:pStyle w:val="TableParagraph"/>
              <w:spacing w:line="183" w:lineRule="exact"/>
              <w:ind w:left="117"/>
              <w:jc w:val="left"/>
              <w:rPr>
                <w:b/>
                <w:sz w:val="16"/>
              </w:rPr>
            </w:pPr>
            <w:r>
              <w:rPr>
                <w:b/>
                <w:sz w:val="16"/>
              </w:rPr>
              <w:t>Committee</w:t>
            </w:r>
            <w:r>
              <w:rPr>
                <w:b/>
                <w:spacing w:val="-3"/>
                <w:sz w:val="16"/>
              </w:rPr>
              <w:t> </w:t>
            </w:r>
            <w:r>
              <w:rPr>
                <w:b/>
                <w:sz w:val="16"/>
              </w:rPr>
              <w:t>on</w:t>
            </w:r>
            <w:r>
              <w:rPr>
                <w:b/>
                <w:spacing w:val="-6"/>
                <w:sz w:val="16"/>
              </w:rPr>
              <w:t> </w:t>
            </w:r>
            <w:r>
              <w:rPr>
                <w:b/>
                <w:spacing w:val="-2"/>
                <w:sz w:val="16"/>
              </w:rPr>
              <w:t>Budget</w:t>
            </w:r>
          </w:p>
          <w:p>
            <w:pPr>
              <w:pStyle w:val="TableParagraph"/>
              <w:spacing w:line="172" w:lineRule="exact" w:before="3"/>
              <w:ind w:left="117"/>
              <w:jc w:val="left"/>
              <w:rPr>
                <w:b/>
                <w:sz w:val="16"/>
              </w:rPr>
            </w:pPr>
            <w:r>
              <w:rPr>
                <w:b/>
                <w:sz w:val="16"/>
              </w:rPr>
              <w:t>and</w:t>
            </w:r>
            <w:r>
              <w:rPr>
                <w:b/>
                <w:spacing w:val="-9"/>
                <w:sz w:val="16"/>
              </w:rPr>
              <w:t> </w:t>
            </w:r>
            <w:r>
              <w:rPr>
                <w:b/>
                <w:spacing w:val="-2"/>
                <w:sz w:val="16"/>
              </w:rPr>
              <w:t>Finance</w:t>
            </w:r>
          </w:p>
        </w:tc>
        <w:tc>
          <w:tcPr>
            <w:tcW w:w="3178" w:type="dxa"/>
            <w:gridSpan w:val="3"/>
            <w:tcBorders>
              <w:top w:val="single" w:sz="4" w:space="0" w:color="000000"/>
            </w:tcBorders>
          </w:tcPr>
          <w:p>
            <w:pPr>
              <w:pStyle w:val="TableParagraph"/>
              <w:tabs>
                <w:tab w:pos="311" w:val="left" w:leader="none"/>
                <w:tab w:pos="3178" w:val="left" w:leader="none"/>
              </w:tabs>
              <w:spacing w:line="180" w:lineRule="exact" w:before="124"/>
              <w:ind w:left="-1" w:right="-15"/>
              <w:jc w:val="left"/>
              <w:rPr>
                <w:sz w:val="16"/>
              </w:rPr>
            </w:pPr>
            <w:r>
              <w:rPr>
                <w:sz w:val="16"/>
                <w:u w:val="single"/>
              </w:rPr>
              <w:tab/>
              <w:t>2021</w:t>
            </w:r>
            <w:r>
              <w:rPr>
                <w:spacing w:val="-3"/>
                <w:sz w:val="16"/>
                <w:u w:val="single"/>
              </w:rPr>
              <w:t> </w:t>
            </w:r>
            <w:r>
              <w:rPr>
                <w:sz w:val="16"/>
                <w:u w:val="single"/>
              </w:rPr>
              <w:t>Expenditures</w:t>
            </w:r>
            <w:r>
              <w:rPr>
                <w:spacing w:val="-4"/>
                <w:sz w:val="16"/>
                <w:u w:val="single"/>
              </w:rPr>
              <w:t> </w:t>
            </w:r>
            <w:r>
              <w:rPr>
                <w:sz w:val="16"/>
                <w:u w:val="single"/>
              </w:rPr>
              <w:t>(thousands</w:t>
            </w:r>
            <w:r>
              <w:rPr>
                <w:spacing w:val="-4"/>
                <w:sz w:val="16"/>
                <w:u w:val="single"/>
              </w:rPr>
              <w:t> </w:t>
            </w:r>
            <w:r>
              <w:rPr>
                <w:sz w:val="16"/>
                <w:u w:val="single"/>
              </w:rPr>
              <w:t>of</w:t>
            </w:r>
            <w:r>
              <w:rPr>
                <w:spacing w:val="-4"/>
                <w:sz w:val="16"/>
                <w:u w:val="single"/>
              </w:rPr>
              <w:t> </w:t>
            </w:r>
            <w:r>
              <w:rPr>
                <w:spacing w:val="-2"/>
                <w:sz w:val="16"/>
                <w:u w:val="single"/>
              </w:rPr>
              <w:t>euros)</w:t>
            </w:r>
            <w:r>
              <w:rPr>
                <w:sz w:val="16"/>
                <w:u w:val="single"/>
              </w:rPr>
              <w:tab/>
            </w:r>
          </w:p>
        </w:tc>
        <w:tc>
          <w:tcPr>
            <w:tcW w:w="1078" w:type="dxa"/>
            <w:vMerge w:val="restart"/>
            <w:tcBorders>
              <w:top w:val="single" w:sz="4" w:space="0" w:color="000000"/>
              <w:bottom w:val="single" w:sz="12" w:space="0" w:color="000000"/>
            </w:tcBorders>
          </w:tcPr>
          <w:p>
            <w:pPr>
              <w:pStyle w:val="TableParagraph"/>
              <w:spacing w:line="183" w:lineRule="exact" w:before="153"/>
              <w:ind w:left="228" w:right="181"/>
              <w:jc w:val="center"/>
              <w:rPr>
                <w:sz w:val="16"/>
              </w:rPr>
            </w:pPr>
            <w:r>
              <w:rPr>
                <w:spacing w:val="-4"/>
                <w:sz w:val="16"/>
              </w:rPr>
              <w:t>2022</w:t>
            </w:r>
          </w:p>
          <w:p>
            <w:pPr>
              <w:pStyle w:val="TableParagraph"/>
              <w:spacing w:line="183" w:lineRule="exact"/>
              <w:ind w:left="227" w:right="184"/>
              <w:jc w:val="center"/>
              <w:rPr>
                <w:sz w:val="16"/>
              </w:rPr>
            </w:pPr>
            <w:r>
              <w:rPr>
                <w:spacing w:val="-2"/>
                <w:sz w:val="16"/>
              </w:rPr>
              <w:t>Approved</w:t>
            </w:r>
          </w:p>
          <w:p>
            <w:pPr>
              <w:pStyle w:val="TableParagraph"/>
              <w:spacing w:line="172" w:lineRule="exact" w:before="3"/>
              <w:ind w:left="228" w:right="176"/>
              <w:jc w:val="center"/>
              <w:rPr>
                <w:sz w:val="16"/>
              </w:rPr>
            </w:pPr>
            <w:r>
              <w:rPr>
                <w:spacing w:val="-2"/>
                <w:sz w:val="16"/>
              </w:rPr>
              <w:t>Budget</w:t>
            </w:r>
          </w:p>
        </w:tc>
        <w:tc>
          <w:tcPr>
            <w:tcW w:w="1875" w:type="dxa"/>
            <w:gridSpan w:val="2"/>
            <w:tcBorders>
              <w:top w:val="single" w:sz="4" w:space="0" w:color="000000"/>
            </w:tcBorders>
          </w:tcPr>
          <w:p>
            <w:pPr>
              <w:pStyle w:val="TableParagraph"/>
              <w:tabs>
                <w:tab w:pos="339" w:val="left" w:leader="none"/>
                <w:tab w:pos="1803" w:val="left" w:leader="none"/>
              </w:tabs>
              <w:spacing w:line="180" w:lineRule="exact" w:before="124"/>
              <w:ind w:left="56"/>
              <w:jc w:val="left"/>
              <w:rPr>
                <w:sz w:val="16"/>
              </w:rPr>
            </w:pPr>
            <w:r>
              <w:rPr>
                <w:sz w:val="16"/>
                <w:u w:val="single"/>
              </w:rPr>
              <w:tab/>
              <w:t>Resource</w:t>
            </w:r>
            <w:r>
              <w:rPr>
                <w:spacing w:val="-2"/>
                <w:sz w:val="16"/>
                <w:u w:val="single"/>
              </w:rPr>
              <w:t> Changes</w:t>
            </w:r>
            <w:r>
              <w:rPr>
                <w:sz w:val="16"/>
                <w:u w:val="single"/>
              </w:rPr>
              <w:tab/>
            </w:r>
          </w:p>
        </w:tc>
        <w:tc>
          <w:tcPr>
            <w:tcW w:w="1053" w:type="dxa"/>
            <w:tcBorders>
              <w:top w:val="single" w:sz="4" w:space="0" w:color="000000"/>
            </w:tcBorders>
          </w:tcPr>
          <w:p>
            <w:pPr>
              <w:pStyle w:val="TableParagraph"/>
              <w:jc w:val="left"/>
              <w:rPr>
                <w:sz w:val="14"/>
              </w:rPr>
            </w:pPr>
          </w:p>
        </w:tc>
      </w:tr>
      <w:tr>
        <w:trPr>
          <w:trHeight w:val="359" w:hRule="atLeast"/>
        </w:trPr>
        <w:tc>
          <w:tcPr>
            <w:tcW w:w="2461" w:type="dxa"/>
            <w:vMerge/>
            <w:tcBorders>
              <w:top w:val="nil"/>
              <w:bottom w:val="single" w:sz="12" w:space="0" w:color="000000"/>
            </w:tcBorders>
          </w:tcPr>
          <w:p>
            <w:pPr>
              <w:rPr>
                <w:sz w:val="2"/>
                <w:szCs w:val="2"/>
              </w:rPr>
            </w:pPr>
          </w:p>
        </w:tc>
        <w:tc>
          <w:tcPr>
            <w:tcW w:w="1218" w:type="dxa"/>
            <w:tcBorders>
              <w:bottom w:val="single" w:sz="12" w:space="0" w:color="000000"/>
            </w:tcBorders>
          </w:tcPr>
          <w:p>
            <w:pPr>
              <w:pStyle w:val="TableParagraph"/>
              <w:spacing w:before="7"/>
              <w:jc w:val="left"/>
              <w:rPr>
                <w:b/>
                <w:sz w:val="14"/>
              </w:rPr>
            </w:pPr>
          </w:p>
          <w:p>
            <w:pPr>
              <w:pStyle w:val="TableParagraph"/>
              <w:spacing w:line="172" w:lineRule="exact"/>
              <w:ind w:left="393"/>
              <w:jc w:val="left"/>
              <w:rPr>
                <w:sz w:val="16"/>
              </w:rPr>
            </w:pPr>
            <w:r>
              <w:rPr>
                <w:spacing w:val="-2"/>
                <w:sz w:val="16"/>
              </w:rPr>
              <w:t>Total</w:t>
            </w:r>
          </w:p>
        </w:tc>
        <w:tc>
          <w:tcPr>
            <w:tcW w:w="827" w:type="dxa"/>
            <w:tcBorders>
              <w:bottom w:val="single" w:sz="12" w:space="0" w:color="000000"/>
            </w:tcBorders>
          </w:tcPr>
          <w:p>
            <w:pPr>
              <w:pStyle w:val="TableParagraph"/>
              <w:spacing w:line="165" w:lineRule="exact"/>
              <w:ind w:left="193"/>
              <w:jc w:val="left"/>
              <w:rPr>
                <w:sz w:val="16"/>
              </w:rPr>
            </w:pPr>
            <w:r>
              <w:rPr>
                <w:spacing w:val="-2"/>
                <w:sz w:val="16"/>
              </w:rPr>
              <w:t>Cont.</w:t>
            </w:r>
          </w:p>
          <w:p>
            <w:pPr>
              <w:pStyle w:val="TableParagraph"/>
              <w:spacing w:line="172" w:lineRule="exact" w:before="3"/>
              <w:ind w:left="203"/>
              <w:jc w:val="left"/>
              <w:rPr>
                <w:sz w:val="16"/>
              </w:rPr>
            </w:pPr>
            <w:r>
              <w:rPr>
                <w:spacing w:val="-4"/>
                <w:sz w:val="16"/>
              </w:rPr>
              <w:t>Fund</w:t>
            </w:r>
          </w:p>
        </w:tc>
        <w:tc>
          <w:tcPr>
            <w:tcW w:w="1133" w:type="dxa"/>
            <w:tcBorders>
              <w:bottom w:val="single" w:sz="12" w:space="0" w:color="000000"/>
            </w:tcBorders>
          </w:tcPr>
          <w:p>
            <w:pPr>
              <w:pStyle w:val="TableParagraph"/>
              <w:spacing w:before="7"/>
              <w:jc w:val="left"/>
              <w:rPr>
                <w:b/>
                <w:sz w:val="14"/>
              </w:rPr>
            </w:pPr>
          </w:p>
          <w:p>
            <w:pPr>
              <w:pStyle w:val="TableParagraph"/>
              <w:spacing w:line="172" w:lineRule="exact"/>
              <w:ind w:right="121"/>
              <w:rPr>
                <w:sz w:val="16"/>
              </w:rPr>
            </w:pPr>
            <w:r>
              <w:rPr>
                <w:sz w:val="16"/>
              </w:rPr>
              <w:t>Total</w:t>
            </w:r>
            <w:r>
              <w:rPr>
                <w:spacing w:val="-7"/>
                <w:sz w:val="16"/>
              </w:rPr>
              <w:t> </w:t>
            </w:r>
            <w:r>
              <w:rPr>
                <w:sz w:val="16"/>
              </w:rPr>
              <w:t>Incl.</w:t>
            </w:r>
            <w:r>
              <w:rPr>
                <w:spacing w:val="-6"/>
                <w:sz w:val="16"/>
              </w:rPr>
              <w:t> </w:t>
            </w:r>
            <w:r>
              <w:rPr>
                <w:spacing w:val="-5"/>
                <w:sz w:val="16"/>
              </w:rPr>
              <w:t>CF</w:t>
            </w:r>
          </w:p>
        </w:tc>
        <w:tc>
          <w:tcPr>
            <w:tcW w:w="1078" w:type="dxa"/>
            <w:vMerge/>
            <w:tcBorders>
              <w:top w:val="nil"/>
              <w:bottom w:val="single" w:sz="12" w:space="0" w:color="000000"/>
            </w:tcBorders>
          </w:tcPr>
          <w:p>
            <w:pPr>
              <w:rPr>
                <w:sz w:val="2"/>
                <w:szCs w:val="2"/>
              </w:rPr>
            </w:pPr>
          </w:p>
        </w:tc>
        <w:tc>
          <w:tcPr>
            <w:tcW w:w="1122" w:type="dxa"/>
            <w:tcBorders>
              <w:bottom w:val="single" w:sz="12" w:space="0" w:color="000000"/>
            </w:tcBorders>
          </w:tcPr>
          <w:p>
            <w:pPr>
              <w:pStyle w:val="TableParagraph"/>
              <w:spacing w:before="7"/>
              <w:jc w:val="left"/>
              <w:rPr>
                <w:b/>
                <w:sz w:val="14"/>
              </w:rPr>
            </w:pPr>
          </w:p>
          <w:p>
            <w:pPr>
              <w:pStyle w:val="TableParagraph"/>
              <w:spacing w:line="172" w:lineRule="exact"/>
              <w:ind w:right="180"/>
              <w:rPr>
                <w:sz w:val="16"/>
              </w:rPr>
            </w:pPr>
            <w:r>
              <w:rPr>
                <w:spacing w:val="-2"/>
                <w:sz w:val="16"/>
              </w:rPr>
              <w:t>Amount</w:t>
            </w:r>
          </w:p>
        </w:tc>
        <w:tc>
          <w:tcPr>
            <w:tcW w:w="753" w:type="dxa"/>
            <w:tcBorders>
              <w:bottom w:val="single" w:sz="12" w:space="0" w:color="000000"/>
            </w:tcBorders>
          </w:tcPr>
          <w:p>
            <w:pPr>
              <w:pStyle w:val="TableParagraph"/>
              <w:spacing w:before="7"/>
              <w:jc w:val="left"/>
              <w:rPr>
                <w:b/>
                <w:sz w:val="14"/>
              </w:rPr>
            </w:pPr>
          </w:p>
          <w:p>
            <w:pPr>
              <w:pStyle w:val="TableParagraph"/>
              <w:spacing w:line="172" w:lineRule="exact"/>
              <w:ind w:right="177"/>
              <w:rPr>
                <w:sz w:val="16"/>
              </w:rPr>
            </w:pPr>
            <w:r>
              <w:rPr>
                <w:w w:val="98"/>
                <w:sz w:val="16"/>
              </w:rPr>
              <w:t>%</w:t>
            </w:r>
          </w:p>
        </w:tc>
        <w:tc>
          <w:tcPr>
            <w:tcW w:w="1053" w:type="dxa"/>
            <w:tcBorders>
              <w:bottom w:val="single" w:sz="12" w:space="0" w:color="000000"/>
            </w:tcBorders>
          </w:tcPr>
          <w:p>
            <w:pPr>
              <w:pStyle w:val="TableParagraph"/>
              <w:spacing w:line="165" w:lineRule="exact"/>
              <w:ind w:left="56" w:right="134"/>
              <w:jc w:val="center"/>
              <w:rPr>
                <w:sz w:val="16"/>
              </w:rPr>
            </w:pPr>
            <w:r>
              <w:rPr>
                <w:spacing w:val="-2"/>
                <w:sz w:val="16"/>
              </w:rPr>
              <w:t>Proposed</w:t>
            </w:r>
          </w:p>
          <w:p>
            <w:pPr>
              <w:pStyle w:val="TableParagraph"/>
              <w:spacing w:line="172" w:lineRule="exact" w:before="3"/>
              <w:ind w:left="64" w:right="134"/>
              <w:jc w:val="center"/>
              <w:rPr>
                <w:sz w:val="16"/>
              </w:rPr>
            </w:pPr>
            <w:r>
              <w:rPr>
                <w:sz w:val="16"/>
              </w:rPr>
              <w:t>2023</w:t>
            </w:r>
            <w:r>
              <w:rPr>
                <w:spacing w:val="2"/>
                <w:sz w:val="16"/>
              </w:rPr>
              <w:t> </w:t>
            </w:r>
            <w:r>
              <w:rPr>
                <w:spacing w:val="-2"/>
                <w:sz w:val="16"/>
              </w:rPr>
              <w:t>Budget</w:t>
            </w:r>
          </w:p>
        </w:tc>
      </w:tr>
      <w:tr>
        <w:trPr>
          <w:trHeight w:val="231" w:hRule="atLeast"/>
        </w:trPr>
        <w:tc>
          <w:tcPr>
            <w:tcW w:w="2461" w:type="dxa"/>
            <w:tcBorders>
              <w:top w:val="single" w:sz="12" w:space="0" w:color="000000"/>
            </w:tcBorders>
          </w:tcPr>
          <w:p>
            <w:pPr>
              <w:pStyle w:val="TableParagraph"/>
              <w:spacing w:before="13"/>
              <w:ind w:left="117"/>
              <w:jc w:val="left"/>
              <w:rPr>
                <w:sz w:val="16"/>
              </w:rPr>
            </w:pPr>
            <w:r>
              <w:rPr>
                <w:w w:val="95"/>
                <w:sz w:val="16"/>
              </w:rPr>
              <w:t>Professional</w:t>
            </w:r>
            <w:r>
              <w:rPr>
                <w:spacing w:val="28"/>
                <w:sz w:val="16"/>
              </w:rPr>
              <w:t> </w:t>
            </w:r>
            <w:r>
              <w:rPr>
                <w:spacing w:val="-2"/>
                <w:sz w:val="16"/>
              </w:rPr>
              <w:t>staff</w:t>
            </w:r>
          </w:p>
        </w:tc>
        <w:tc>
          <w:tcPr>
            <w:tcW w:w="1218" w:type="dxa"/>
            <w:tcBorders>
              <w:top w:val="single" w:sz="12" w:space="0" w:color="000000"/>
            </w:tcBorders>
            <w:shd w:val="clear" w:color="auto" w:fill="D9D9D9"/>
          </w:tcPr>
          <w:p>
            <w:pPr>
              <w:pStyle w:val="TableParagraph"/>
              <w:jc w:val="left"/>
              <w:rPr>
                <w:sz w:val="14"/>
              </w:rPr>
            </w:pPr>
          </w:p>
        </w:tc>
        <w:tc>
          <w:tcPr>
            <w:tcW w:w="827" w:type="dxa"/>
            <w:tcBorders>
              <w:top w:val="single" w:sz="12" w:space="0" w:color="000000"/>
            </w:tcBorders>
            <w:shd w:val="clear" w:color="auto" w:fill="D9D9D9"/>
          </w:tcPr>
          <w:p>
            <w:pPr>
              <w:pStyle w:val="TableParagraph"/>
              <w:jc w:val="left"/>
              <w:rPr>
                <w:sz w:val="14"/>
              </w:rPr>
            </w:pPr>
          </w:p>
        </w:tc>
        <w:tc>
          <w:tcPr>
            <w:tcW w:w="1133" w:type="dxa"/>
            <w:tcBorders>
              <w:top w:val="single" w:sz="12" w:space="0" w:color="000000"/>
            </w:tcBorders>
            <w:shd w:val="clear" w:color="auto" w:fill="D9D9D9"/>
          </w:tcPr>
          <w:p>
            <w:pPr>
              <w:pStyle w:val="TableParagraph"/>
              <w:jc w:val="left"/>
              <w:rPr>
                <w:sz w:val="14"/>
              </w:rPr>
            </w:pPr>
          </w:p>
        </w:tc>
        <w:tc>
          <w:tcPr>
            <w:tcW w:w="1078" w:type="dxa"/>
            <w:tcBorders>
              <w:top w:val="single" w:sz="12" w:space="0" w:color="000000"/>
            </w:tcBorders>
          </w:tcPr>
          <w:p>
            <w:pPr>
              <w:pStyle w:val="TableParagraph"/>
              <w:spacing w:before="13"/>
              <w:ind w:right="50"/>
              <w:rPr>
                <w:sz w:val="16"/>
              </w:rPr>
            </w:pPr>
            <w:r>
              <w:rPr>
                <w:spacing w:val="-2"/>
                <w:sz w:val="16"/>
              </w:rPr>
              <w:t>183.5</w:t>
            </w:r>
          </w:p>
        </w:tc>
        <w:tc>
          <w:tcPr>
            <w:tcW w:w="1122" w:type="dxa"/>
            <w:tcBorders>
              <w:top w:val="single" w:sz="12" w:space="0" w:color="000000"/>
            </w:tcBorders>
          </w:tcPr>
          <w:p>
            <w:pPr>
              <w:pStyle w:val="TableParagraph"/>
              <w:spacing w:before="13"/>
              <w:ind w:right="187"/>
              <w:rPr>
                <w:sz w:val="16"/>
              </w:rPr>
            </w:pPr>
            <w:r>
              <w:rPr>
                <w:spacing w:val="-5"/>
                <w:sz w:val="16"/>
              </w:rPr>
              <w:t>9.8</w:t>
            </w:r>
          </w:p>
        </w:tc>
        <w:tc>
          <w:tcPr>
            <w:tcW w:w="753" w:type="dxa"/>
            <w:tcBorders>
              <w:top w:val="single" w:sz="12" w:space="0" w:color="000000"/>
            </w:tcBorders>
          </w:tcPr>
          <w:p>
            <w:pPr>
              <w:pStyle w:val="TableParagraph"/>
              <w:spacing w:before="13"/>
              <w:ind w:right="177"/>
              <w:rPr>
                <w:sz w:val="16"/>
              </w:rPr>
            </w:pPr>
            <w:r>
              <w:rPr>
                <w:spacing w:val="-5"/>
                <w:sz w:val="16"/>
              </w:rPr>
              <w:t>5.3</w:t>
            </w:r>
          </w:p>
        </w:tc>
        <w:tc>
          <w:tcPr>
            <w:tcW w:w="1053" w:type="dxa"/>
            <w:tcBorders>
              <w:top w:val="single" w:sz="12" w:space="0" w:color="000000"/>
            </w:tcBorders>
          </w:tcPr>
          <w:p>
            <w:pPr>
              <w:pStyle w:val="TableParagraph"/>
              <w:spacing w:before="13"/>
              <w:ind w:right="102"/>
              <w:rPr>
                <w:sz w:val="16"/>
              </w:rPr>
            </w:pPr>
            <w:r>
              <w:rPr>
                <w:spacing w:val="-2"/>
                <w:sz w:val="16"/>
              </w:rPr>
              <w:t>193.3</w:t>
            </w:r>
          </w:p>
        </w:tc>
      </w:tr>
      <w:tr>
        <w:trPr>
          <w:trHeight w:val="223" w:hRule="atLeast"/>
        </w:trPr>
        <w:tc>
          <w:tcPr>
            <w:tcW w:w="2461" w:type="dxa"/>
            <w:tcBorders>
              <w:bottom w:val="single" w:sz="4" w:space="0" w:color="000000"/>
            </w:tcBorders>
          </w:tcPr>
          <w:p>
            <w:pPr>
              <w:pStyle w:val="TableParagraph"/>
              <w:spacing w:before="8"/>
              <w:ind w:left="117"/>
              <w:jc w:val="left"/>
              <w:rPr>
                <w:sz w:val="16"/>
              </w:rPr>
            </w:pPr>
            <w:r>
              <w:rPr>
                <w:sz w:val="16"/>
              </w:rPr>
              <w:t>General</w:t>
            </w:r>
            <w:r>
              <w:rPr>
                <w:spacing w:val="-6"/>
                <w:sz w:val="16"/>
              </w:rPr>
              <w:t> </w:t>
            </w:r>
            <w:r>
              <w:rPr>
                <w:sz w:val="16"/>
              </w:rPr>
              <w:t>Service</w:t>
            </w:r>
            <w:r>
              <w:rPr>
                <w:spacing w:val="-4"/>
                <w:sz w:val="16"/>
              </w:rPr>
              <w:t> staff</w:t>
            </w:r>
          </w:p>
        </w:tc>
        <w:tc>
          <w:tcPr>
            <w:tcW w:w="1218" w:type="dxa"/>
            <w:tcBorders>
              <w:bottom w:val="single" w:sz="4" w:space="0" w:color="000000"/>
            </w:tcBorders>
            <w:shd w:val="clear" w:color="auto" w:fill="D9D9D9"/>
          </w:tcPr>
          <w:p>
            <w:pPr>
              <w:pStyle w:val="TableParagraph"/>
              <w:jc w:val="left"/>
              <w:rPr>
                <w:sz w:val="14"/>
              </w:rPr>
            </w:pPr>
          </w:p>
        </w:tc>
        <w:tc>
          <w:tcPr>
            <w:tcW w:w="827" w:type="dxa"/>
            <w:tcBorders>
              <w:bottom w:val="single" w:sz="4" w:space="0" w:color="000000"/>
            </w:tcBorders>
            <w:shd w:val="clear" w:color="auto" w:fill="D9D9D9"/>
          </w:tcPr>
          <w:p>
            <w:pPr>
              <w:pStyle w:val="TableParagraph"/>
              <w:jc w:val="left"/>
              <w:rPr>
                <w:sz w:val="14"/>
              </w:rPr>
            </w:pPr>
          </w:p>
        </w:tc>
        <w:tc>
          <w:tcPr>
            <w:tcW w:w="1133" w:type="dxa"/>
            <w:tcBorders>
              <w:bottom w:val="single" w:sz="4" w:space="0" w:color="000000"/>
            </w:tcBorders>
            <w:shd w:val="clear" w:color="auto" w:fill="D9D9D9"/>
          </w:tcPr>
          <w:p>
            <w:pPr>
              <w:pStyle w:val="TableParagraph"/>
              <w:jc w:val="left"/>
              <w:rPr>
                <w:sz w:val="14"/>
              </w:rPr>
            </w:pPr>
          </w:p>
        </w:tc>
        <w:tc>
          <w:tcPr>
            <w:tcW w:w="1078" w:type="dxa"/>
            <w:tcBorders>
              <w:bottom w:val="single" w:sz="4" w:space="0" w:color="000000"/>
            </w:tcBorders>
          </w:tcPr>
          <w:p>
            <w:pPr>
              <w:pStyle w:val="TableParagraph"/>
              <w:spacing w:before="8"/>
              <w:ind w:right="50"/>
              <w:rPr>
                <w:sz w:val="16"/>
              </w:rPr>
            </w:pPr>
            <w:r>
              <w:rPr>
                <w:spacing w:val="-4"/>
                <w:sz w:val="16"/>
              </w:rPr>
              <w:t>99.7</w:t>
            </w:r>
          </w:p>
        </w:tc>
        <w:tc>
          <w:tcPr>
            <w:tcW w:w="1122" w:type="dxa"/>
            <w:tcBorders>
              <w:bottom w:val="single" w:sz="4" w:space="0" w:color="000000"/>
            </w:tcBorders>
          </w:tcPr>
          <w:p>
            <w:pPr>
              <w:pStyle w:val="TableParagraph"/>
              <w:spacing w:before="8"/>
              <w:ind w:right="187"/>
              <w:rPr>
                <w:sz w:val="16"/>
              </w:rPr>
            </w:pPr>
            <w:r>
              <w:rPr>
                <w:spacing w:val="-5"/>
                <w:sz w:val="16"/>
              </w:rPr>
              <w:t>2.1</w:t>
            </w:r>
          </w:p>
        </w:tc>
        <w:tc>
          <w:tcPr>
            <w:tcW w:w="753" w:type="dxa"/>
            <w:tcBorders>
              <w:bottom w:val="single" w:sz="4" w:space="0" w:color="000000"/>
            </w:tcBorders>
          </w:tcPr>
          <w:p>
            <w:pPr>
              <w:pStyle w:val="TableParagraph"/>
              <w:spacing w:before="8"/>
              <w:ind w:right="177"/>
              <w:rPr>
                <w:sz w:val="16"/>
              </w:rPr>
            </w:pPr>
            <w:r>
              <w:rPr>
                <w:spacing w:val="-5"/>
                <w:sz w:val="16"/>
              </w:rPr>
              <w:t>2.1</w:t>
            </w:r>
          </w:p>
        </w:tc>
        <w:tc>
          <w:tcPr>
            <w:tcW w:w="1053" w:type="dxa"/>
            <w:tcBorders>
              <w:bottom w:val="single" w:sz="4" w:space="0" w:color="000000"/>
            </w:tcBorders>
          </w:tcPr>
          <w:p>
            <w:pPr>
              <w:pStyle w:val="TableParagraph"/>
              <w:spacing w:before="8"/>
              <w:ind w:right="102"/>
              <w:rPr>
                <w:sz w:val="16"/>
              </w:rPr>
            </w:pPr>
            <w:r>
              <w:rPr>
                <w:spacing w:val="-2"/>
                <w:sz w:val="16"/>
              </w:rPr>
              <w:t>101.8</w:t>
            </w:r>
          </w:p>
        </w:tc>
      </w:tr>
      <w:tr>
        <w:trPr>
          <w:trHeight w:val="225" w:hRule="atLeast"/>
        </w:trPr>
        <w:tc>
          <w:tcPr>
            <w:tcW w:w="2461" w:type="dxa"/>
            <w:tcBorders>
              <w:top w:val="single" w:sz="4" w:space="0" w:color="000000"/>
              <w:bottom w:val="single" w:sz="4" w:space="0" w:color="000000"/>
            </w:tcBorders>
          </w:tcPr>
          <w:p>
            <w:pPr>
              <w:pStyle w:val="TableParagraph"/>
              <w:spacing w:before="9"/>
              <w:ind w:right="104"/>
              <w:rPr>
                <w:i/>
                <w:sz w:val="16"/>
              </w:rPr>
            </w:pPr>
            <w:r>
              <w:rPr>
                <w:i/>
                <w:sz w:val="16"/>
              </w:rPr>
              <w:t>Subtotal</w:t>
            </w:r>
            <w:r>
              <w:rPr>
                <w:i/>
                <w:spacing w:val="-1"/>
                <w:sz w:val="16"/>
              </w:rPr>
              <w:t> </w:t>
            </w:r>
            <w:r>
              <w:rPr>
                <w:i/>
                <w:spacing w:val="-2"/>
                <w:sz w:val="16"/>
              </w:rPr>
              <w:t>staff</w:t>
            </w:r>
          </w:p>
        </w:tc>
        <w:tc>
          <w:tcPr>
            <w:tcW w:w="1218" w:type="dxa"/>
            <w:tcBorders>
              <w:top w:val="single" w:sz="4" w:space="0" w:color="000000"/>
              <w:bottom w:val="single" w:sz="4" w:space="0" w:color="000000"/>
            </w:tcBorders>
          </w:tcPr>
          <w:p>
            <w:pPr>
              <w:pStyle w:val="TableParagraph"/>
              <w:spacing w:before="9"/>
              <w:ind w:right="191"/>
              <w:rPr>
                <w:i/>
                <w:sz w:val="16"/>
              </w:rPr>
            </w:pPr>
            <w:r>
              <w:rPr>
                <w:i/>
                <w:spacing w:val="-2"/>
                <w:sz w:val="16"/>
              </w:rPr>
              <w:t>291.8</w:t>
            </w:r>
          </w:p>
        </w:tc>
        <w:tc>
          <w:tcPr>
            <w:tcW w:w="827" w:type="dxa"/>
            <w:tcBorders>
              <w:top w:val="single" w:sz="4" w:space="0" w:color="000000"/>
              <w:bottom w:val="single" w:sz="4" w:space="0" w:color="000000"/>
            </w:tcBorders>
          </w:tcPr>
          <w:p>
            <w:pPr>
              <w:pStyle w:val="TableParagraph"/>
              <w:spacing w:before="9"/>
              <w:ind w:right="107"/>
              <w:rPr>
                <w:i/>
                <w:sz w:val="16"/>
              </w:rPr>
            </w:pPr>
            <w:r>
              <w:rPr>
                <w:i/>
                <w:w w:val="98"/>
                <w:sz w:val="16"/>
              </w:rPr>
              <w:t>-</w:t>
            </w:r>
          </w:p>
        </w:tc>
        <w:tc>
          <w:tcPr>
            <w:tcW w:w="1133" w:type="dxa"/>
            <w:tcBorders>
              <w:top w:val="single" w:sz="4" w:space="0" w:color="000000"/>
              <w:bottom w:val="single" w:sz="4" w:space="0" w:color="000000"/>
            </w:tcBorders>
          </w:tcPr>
          <w:p>
            <w:pPr>
              <w:pStyle w:val="TableParagraph"/>
              <w:spacing w:before="9"/>
              <w:ind w:right="106"/>
              <w:rPr>
                <w:i/>
                <w:sz w:val="16"/>
              </w:rPr>
            </w:pPr>
            <w:r>
              <w:rPr>
                <w:i/>
                <w:spacing w:val="-2"/>
                <w:sz w:val="16"/>
              </w:rPr>
              <w:t>291.8</w:t>
            </w:r>
          </w:p>
        </w:tc>
        <w:tc>
          <w:tcPr>
            <w:tcW w:w="1078" w:type="dxa"/>
            <w:tcBorders>
              <w:top w:val="single" w:sz="4" w:space="0" w:color="000000"/>
              <w:bottom w:val="single" w:sz="4" w:space="0" w:color="000000"/>
            </w:tcBorders>
          </w:tcPr>
          <w:p>
            <w:pPr>
              <w:pStyle w:val="TableParagraph"/>
              <w:spacing w:before="9"/>
              <w:ind w:right="50"/>
              <w:rPr>
                <w:i/>
                <w:sz w:val="16"/>
              </w:rPr>
            </w:pPr>
            <w:r>
              <w:rPr>
                <w:i/>
                <w:spacing w:val="-2"/>
                <w:sz w:val="16"/>
              </w:rPr>
              <w:t>283.2</w:t>
            </w:r>
          </w:p>
        </w:tc>
        <w:tc>
          <w:tcPr>
            <w:tcW w:w="1122" w:type="dxa"/>
            <w:tcBorders>
              <w:top w:val="single" w:sz="4" w:space="0" w:color="000000"/>
              <w:bottom w:val="single" w:sz="4" w:space="0" w:color="000000"/>
            </w:tcBorders>
          </w:tcPr>
          <w:p>
            <w:pPr>
              <w:pStyle w:val="TableParagraph"/>
              <w:spacing w:before="9"/>
              <w:ind w:right="183"/>
              <w:rPr>
                <w:i/>
                <w:sz w:val="16"/>
              </w:rPr>
            </w:pPr>
            <w:r>
              <w:rPr>
                <w:i/>
                <w:spacing w:val="-4"/>
                <w:sz w:val="16"/>
              </w:rPr>
              <w:t>11.9</w:t>
            </w:r>
          </w:p>
        </w:tc>
        <w:tc>
          <w:tcPr>
            <w:tcW w:w="753" w:type="dxa"/>
            <w:tcBorders>
              <w:top w:val="single" w:sz="4" w:space="0" w:color="000000"/>
              <w:bottom w:val="single" w:sz="4" w:space="0" w:color="000000"/>
            </w:tcBorders>
          </w:tcPr>
          <w:p>
            <w:pPr>
              <w:pStyle w:val="TableParagraph"/>
              <w:spacing w:before="9"/>
              <w:ind w:right="177"/>
              <w:rPr>
                <w:i/>
                <w:sz w:val="16"/>
              </w:rPr>
            </w:pPr>
            <w:r>
              <w:rPr>
                <w:i/>
                <w:spacing w:val="-5"/>
                <w:sz w:val="16"/>
              </w:rPr>
              <w:t>4.2</w:t>
            </w:r>
          </w:p>
        </w:tc>
        <w:tc>
          <w:tcPr>
            <w:tcW w:w="1053" w:type="dxa"/>
            <w:tcBorders>
              <w:top w:val="single" w:sz="4" w:space="0" w:color="000000"/>
              <w:bottom w:val="single" w:sz="4" w:space="0" w:color="000000"/>
            </w:tcBorders>
          </w:tcPr>
          <w:p>
            <w:pPr>
              <w:pStyle w:val="TableParagraph"/>
              <w:spacing w:before="9"/>
              <w:ind w:right="102"/>
              <w:rPr>
                <w:i/>
                <w:sz w:val="16"/>
              </w:rPr>
            </w:pPr>
            <w:r>
              <w:rPr>
                <w:i/>
                <w:spacing w:val="-2"/>
                <w:sz w:val="16"/>
              </w:rPr>
              <w:t>295.1</w:t>
            </w:r>
          </w:p>
        </w:tc>
      </w:tr>
      <w:tr>
        <w:trPr>
          <w:trHeight w:val="231" w:hRule="atLeast"/>
        </w:trPr>
        <w:tc>
          <w:tcPr>
            <w:tcW w:w="2461" w:type="dxa"/>
            <w:tcBorders>
              <w:top w:val="single" w:sz="4" w:space="0" w:color="000000"/>
            </w:tcBorders>
          </w:tcPr>
          <w:p>
            <w:pPr>
              <w:pStyle w:val="TableParagraph"/>
              <w:spacing w:before="14"/>
              <w:ind w:left="117"/>
              <w:jc w:val="left"/>
              <w:rPr>
                <w:sz w:val="16"/>
              </w:rPr>
            </w:pPr>
            <w:r>
              <w:rPr>
                <w:sz w:val="16"/>
              </w:rPr>
              <w:t>General</w:t>
            </w:r>
            <w:r>
              <w:rPr>
                <w:spacing w:val="-4"/>
                <w:sz w:val="16"/>
              </w:rPr>
              <w:t> </w:t>
            </w:r>
            <w:r>
              <w:rPr>
                <w:sz w:val="16"/>
              </w:rPr>
              <w:t>temporary</w:t>
            </w:r>
            <w:r>
              <w:rPr>
                <w:spacing w:val="-1"/>
                <w:sz w:val="16"/>
              </w:rPr>
              <w:t> </w:t>
            </w:r>
            <w:r>
              <w:rPr>
                <w:spacing w:val="-2"/>
                <w:sz w:val="16"/>
              </w:rPr>
              <w:t>assistance</w:t>
            </w:r>
          </w:p>
        </w:tc>
        <w:tc>
          <w:tcPr>
            <w:tcW w:w="1218" w:type="dxa"/>
            <w:tcBorders>
              <w:top w:val="single" w:sz="4" w:space="0" w:color="000000"/>
            </w:tcBorders>
          </w:tcPr>
          <w:p>
            <w:pPr>
              <w:pStyle w:val="TableParagraph"/>
              <w:spacing w:before="14"/>
              <w:ind w:right="191"/>
              <w:rPr>
                <w:sz w:val="16"/>
              </w:rPr>
            </w:pPr>
            <w:r>
              <w:rPr>
                <w:spacing w:val="-2"/>
                <w:sz w:val="16"/>
              </w:rPr>
              <w:t>109.2</w:t>
            </w:r>
          </w:p>
        </w:tc>
        <w:tc>
          <w:tcPr>
            <w:tcW w:w="827" w:type="dxa"/>
            <w:tcBorders>
              <w:top w:val="single" w:sz="4" w:space="0" w:color="000000"/>
            </w:tcBorders>
          </w:tcPr>
          <w:p>
            <w:pPr>
              <w:pStyle w:val="TableParagraph"/>
              <w:spacing w:before="14"/>
              <w:ind w:right="107"/>
              <w:rPr>
                <w:sz w:val="16"/>
              </w:rPr>
            </w:pPr>
            <w:r>
              <w:rPr>
                <w:w w:val="98"/>
                <w:sz w:val="16"/>
              </w:rPr>
              <w:t>-</w:t>
            </w:r>
          </w:p>
        </w:tc>
        <w:tc>
          <w:tcPr>
            <w:tcW w:w="1133" w:type="dxa"/>
            <w:tcBorders>
              <w:top w:val="single" w:sz="4" w:space="0" w:color="000000"/>
            </w:tcBorders>
          </w:tcPr>
          <w:p>
            <w:pPr>
              <w:pStyle w:val="TableParagraph"/>
              <w:spacing w:before="14"/>
              <w:ind w:right="106"/>
              <w:rPr>
                <w:sz w:val="16"/>
              </w:rPr>
            </w:pPr>
            <w:r>
              <w:rPr>
                <w:spacing w:val="-2"/>
                <w:sz w:val="16"/>
              </w:rPr>
              <w:t>109.2</w:t>
            </w:r>
          </w:p>
        </w:tc>
        <w:tc>
          <w:tcPr>
            <w:tcW w:w="1078" w:type="dxa"/>
            <w:tcBorders>
              <w:top w:val="single" w:sz="4" w:space="0" w:color="000000"/>
            </w:tcBorders>
          </w:tcPr>
          <w:p>
            <w:pPr>
              <w:pStyle w:val="TableParagraph"/>
              <w:spacing w:before="14"/>
              <w:ind w:right="50"/>
              <w:rPr>
                <w:sz w:val="16"/>
              </w:rPr>
            </w:pPr>
            <w:r>
              <w:rPr>
                <w:spacing w:val="-2"/>
                <w:sz w:val="16"/>
              </w:rPr>
              <w:t>143.3</w:t>
            </w:r>
          </w:p>
        </w:tc>
        <w:tc>
          <w:tcPr>
            <w:tcW w:w="1122" w:type="dxa"/>
            <w:tcBorders>
              <w:top w:val="single" w:sz="4" w:space="0" w:color="000000"/>
            </w:tcBorders>
          </w:tcPr>
          <w:p>
            <w:pPr>
              <w:pStyle w:val="TableParagraph"/>
              <w:spacing w:before="14"/>
              <w:ind w:right="187"/>
              <w:rPr>
                <w:sz w:val="16"/>
              </w:rPr>
            </w:pPr>
            <w:r>
              <w:rPr>
                <w:spacing w:val="-5"/>
                <w:sz w:val="16"/>
              </w:rPr>
              <w:t>5.2</w:t>
            </w:r>
          </w:p>
        </w:tc>
        <w:tc>
          <w:tcPr>
            <w:tcW w:w="753" w:type="dxa"/>
            <w:tcBorders>
              <w:top w:val="single" w:sz="4" w:space="0" w:color="000000"/>
            </w:tcBorders>
          </w:tcPr>
          <w:p>
            <w:pPr>
              <w:pStyle w:val="TableParagraph"/>
              <w:spacing w:before="14"/>
              <w:ind w:right="177"/>
              <w:rPr>
                <w:sz w:val="16"/>
              </w:rPr>
            </w:pPr>
            <w:r>
              <w:rPr>
                <w:spacing w:val="-5"/>
                <w:sz w:val="16"/>
              </w:rPr>
              <w:t>3.6</w:t>
            </w:r>
          </w:p>
        </w:tc>
        <w:tc>
          <w:tcPr>
            <w:tcW w:w="1053" w:type="dxa"/>
            <w:tcBorders>
              <w:top w:val="single" w:sz="4" w:space="0" w:color="000000"/>
            </w:tcBorders>
          </w:tcPr>
          <w:p>
            <w:pPr>
              <w:pStyle w:val="TableParagraph"/>
              <w:spacing w:before="14"/>
              <w:ind w:right="102"/>
              <w:rPr>
                <w:sz w:val="16"/>
              </w:rPr>
            </w:pPr>
            <w:r>
              <w:rPr>
                <w:spacing w:val="-2"/>
                <w:sz w:val="16"/>
              </w:rPr>
              <w:t>148.5</w:t>
            </w:r>
          </w:p>
        </w:tc>
      </w:tr>
      <w:tr>
        <w:trPr>
          <w:trHeight w:val="225" w:hRule="atLeast"/>
        </w:trPr>
        <w:tc>
          <w:tcPr>
            <w:tcW w:w="2461" w:type="dxa"/>
          </w:tcPr>
          <w:p>
            <w:pPr>
              <w:pStyle w:val="TableParagraph"/>
              <w:spacing w:before="7"/>
              <w:ind w:left="117"/>
              <w:jc w:val="left"/>
              <w:rPr>
                <w:sz w:val="16"/>
              </w:rPr>
            </w:pPr>
            <w:r>
              <w:rPr>
                <w:sz w:val="16"/>
              </w:rPr>
              <w:t>Temporary</w:t>
            </w:r>
            <w:r>
              <w:rPr>
                <w:spacing w:val="-3"/>
                <w:sz w:val="16"/>
              </w:rPr>
              <w:t> </w:t>
            </w:r>
            <w:r>
              <w:rPr>
                <w:sz w:val="16"/>
              </w:rPr>
              <w:t>assistance</w:t>
            </w:r>
            <w:r>
              <w:rPr>
                <w:spacing w:val="-4"/>
                <w:sz w:val="16"/>
              </w:rPr>
              <w:t> </w:t>
            </w:r>
            <w:r>
              <w:rPr>
                <w:sz w:val="16"/>
              </w:rPr>
              <w:t>for</w:t>
            </w:r>
            <w:r>
              <w:rPr>
                <w:spacing w:val="-5"/>
                <w:sz w:val="16"/>
              </w:rPr>
              <w:t> </w:t>
            </w:r>
            <w:r>
              <w:rPr>
                <w:spacing w:val="-2"/>
                <w:sz w:val="16"/>
              </w:rPr>
              <w:t>meetings</w:t>
            </w:r>
          </w:p>
        </w:tc>
        <w:tc>
          <w:tcPr>
            <w:tcW w:w="1218" w:type="dxa"/>
          </w:tcPr>
          <w:p>
            <w:pPr>
              <w:pStyle w:val="TableParagraph"/>
              <w:spacing w:before="7"/>
              <w:ind w:right="191"/>
              <w:rPr>
                <w:sz w:val="16"/>
              </w:rPr>
            </w:pPr>
            <w:r>
              <w:rPr>
                <w:spacing w:val="-4"/>
                <w:sz w:val="16"/>
              </w:rPr>
              <w:t>39.7</w:t>
            </w:r>
          </w:p>
        </w:tc>
        <w:tc>
          <w:tcPr>
            <w:tcW w:w="827" w:type="dxa"/>
          </w:tcPr>
          <w:p>
            <w:pPr>
              <w:pStyle w:val="TableParagraph"/>
              <w:spacing w:before="7"/>
              <w:ind w:right="107"/>
              <w:rPr>
                <w:sz w:val="16"/>
              </w:rPr>
            </w:pPr>
            <w:r>
              <w:rPr>
                <w:w w:val="98"/>
                <w:sz w:val="16"/>
              </w:rPr>
              <w:t>-</w:t>
            </w:r>
          </w:p>
        </w:tc>
        <w:tc>
          <w:tcPr>
            <w:tcW w:w="1133" w:type="dxa"/>
          </w:tcPr>
          <w:p>
            <w:pPr>
              <w:pStyle w:val="TableParagraph"/>
              <w:spacing w:before="7"/>
              <w:ind w:right="105"/>
              <w:rPr>
                <w:sz w:val="16"/>
              </w:rPr>
            </w:pPr>
            <w:r>
              <w:rPr>
                <w:spacing w:val="-4"/>
                <w:sz w:val="16"/>
              </w:rPr>
              <w:t>39.7</w:t>
            </w:r>
          </w:p>
        </w:tc>
        <w:tc>
          <w:tcPr>
            <w:tcW w:w="1078" w:type="dxa"/>
          </w:tcPr>
          <w:p>
            <w:pPr>
              <w:pStyle w:val="TableParagraph"/>
              <w:spacing w:before="7"/>
              <w:ind w:right="50"/>
              <w:rPr>
                <w:sz w:val="16"/>
              </w:rPr>
            </w:pPr>
            <w:r>
              <w:rPr>
                <w:spacing w:val="-4"/>
                <w:sz w:val="16"/>
              </w:rPr>
              <w:t>30.0</w:t>
            </w:r>
          </w:p>
        </w:tc>
        <w:tc>
          <w:tcPr>
            <w:tcW w:w="1122" w:type="dxa"/>
          </w:tcPr>
          <w:p>
            <w:pPr>
              <w:pStyle w:val="TableParagraph"/>
              <w:spacing w:before="7"/>
              <w:ind w:right="185"/>
              <w:rPr>
                <w:sz w:val="16"/>
              </w:rPr>
            </w:pPr>
            <w:r>
              <w:rPr>
                <w:w w:val="98"/>
                <w:sz w:val="16"/>
              </w:rPr>
              <w:t>-</w:t>
            </w:r>
          </w:p>
        </w:tc>
        <w:tc>
          <w:tcPr>
            <w:tcW w:w="753" w:type="dxa"/>
          </w:tcPr>
          <w:p>
            <w:pPr>
              <w:pStyle w:val="TableParagraph"/>
              <w:spacing w:before="7"/>
              <w:ind w:right="174"/>
              <w:rPr>
                <w:sz w:val="16"/>
              </w:rPr>
            </w:pPr>
            <w:r>
              <w:rPr>
                <w:w w:val="98"/>
                <w:sz w:val="16"/>
              </w:rPr>
              <w:t>-</w:t>
            </w:r>
          </w:p>
        </w:tc>
        <w:tc>
          <w:tcPr>
            <w:tcW w:w="1053" w:type="dxa"/>
          </w:tcPr>
          <w:p>
            <w:pPr>
              <w:pStyle w:val="TableParagraph"/>
              <w:spacing w:before="7"/>
              <w:ind w:right="101"/>
              <w:rPr>
                <w:sz w:val="16"/>
              </w:rPr>
            </w:pPr>
            <w:r>
              <w:rPr>
                <w:spacing w:val="-4"/>
                <w:sz w:val="16"/>
              </w:rPr>
              <w:t>30.0</w:t>
            </w:r>
          </w:p>
        </w:tc>
      </w:tr>
      <w:tr>
        <w:trPr>
          <w:trHeight w:val="223" w:hRule="atLeast"/>
        </w:trPr>
        <w:tc>
          <w:tcPr>
            <w:tcW w:w="2461" w:type="dxa"/>
            <w:tcBorders>
              <w:bottom w:val="single" w:sz="4" w:space="0" w:color="000000"/>
            </w:tcBorders>
          </w:tcPr>
          <w:p>
            <w:pPr>
              <w:pStyle w:val="TableParagraph"/>
              <w:spacing w:before="7"/>
              <w:ind w:left="117"/>
              <w:jc w:val="left"/>
              <w:rPr>
                <w:sz w:val="16"/>
              </w:rPr>
            </w:pPr>
            <w:r>
              <w:rPr>
                <w:spacing w:val="-2"/>
                <w:sz w:val="16"/>
              </w:rPr>
              <w:t>Overtime</w:t>
            </w:r>
          </w:p>
        </w:tc>
        <w:tc>
          <w:tcPr>
            <w:tcW w:w="1218" w:type="dxa"/>
            <w:tcBorders>
              <w:bottom w:val="single" w:sz="4" w:space="0" w:color="000000"/>
            </w:tcBorders>
          </w:tcPr>
          <w:p>
            <w:pPr>
              <w:pStyle w:val="TableParagraph"/>
              <w:spacing w:before="7"/>
              <w:ind w:right="193"/>
              <w:rPr>
                <w:sz w:val="16"/>
              </w:rPr>
            </w:pPr>
            <w:r>
              <w:rPr>
                <w:w w:val="98"/>
                <w:sz w:val="16"/>
              </w:rPr>
              <w:t>-</w:t>
            </w:r>
          </w:p>
        </w:tc>
        <w:tc>
          <w:tcPr>
            <w:tcW w:w="827" w:type="dxa"/>
            <w:tcBorders>
              <w:bottom w:val="single" w:sz="4" w:space="0" w:color="000000"/>
            </w:tcBorders>
          </w:tcPr>
          <w:p>
            <w:pPr>
              <w:pStyle w:val="TableParagraph"/>
              <w:spacing w:before="7"/>
              <w:ind w:right="107"/>
              <w:rPr>
                <w:sz w:val="16"/>
              </w:rPr>
            </w:pPr>
            <w:r>
              <w:rPr>
                <w:w w:val="98"/>
                <w:sz w:val="16"/>
              </w:rPr>
              <w:t>-</w:t>
            </w:r>
          </w:p>
        </w:tc>
        <w:tc>
          <w:tcPr>
            <w:tcW w:w="1133" w:type="dxa"/>
            <w:tcBorders>
              <w:bottom w:val="single" w:sz="4" w:space="0" w:color="000000"/>
            </w:tcBorders>
          </w:tcPr>
          <w:p>
            <w:pPr>
              <w:pStyle w:val="TableParagraph"/>
              <w:spacing w:before="7"/>
              <w:ind w:right="107"/>
              <w:rPr>
                <w:sz w:val="16"/>
              </w:rPr>
            </w:pPr>
            <w:r>
              <w:rPr>
                <w:w w:val="98"/>
                <w:sz w:val="16"/>
              </w:rPr>
              <w:t>-</w:t>
            </w:r>
          </w:p>
        </w:tc>
        <w:tc>
          <w:tcPr>
            <w:tcW w:w="1078" w:type="dxa"/>
            <w:tcBorders>
              <w:bottom w:val="single" w:sz="4" w:space="0" w:color="000000"/>
            </w:tcBorders>
          </w:tcPr>
          <w:p>
            <w:pPr>
              <w:pStyle w:val="TableParagraph"/>
              <w:spacing w:before="7"/>
              <w:ind w:right="52"/>
              <w:rPr>
                <w:sz w:val="16"/>
              </w:rPr>
            </w:pPr>
            <w:r>
              <w:rPr>
                <w:w w:val="98"/>
                <w:sz w:val="16"/>
              </w:rPr>
              <w:t>-</w:t>
            </w:r>
          </w:p>
        </w:tc>
        <w:tc>
          <w:tcPr>
            <w:tcW w:w="1122" w:type="dxa"/>
            <w:tcBorders>
              <w:bottom w:val="single" w:sz="4" w:space="0" w:color="000000"/>
            </w:tcBorders>
          </w:tcPr>
          <w:p>
            <w:pPr>
              <w:pStyle w:val="TableParagraph"/>
              <w:spacing w:before="7"/>
              <w:ind w:right="185"/>
              <w:rPr>
                <w:sz w:val="16"/>
              </w:rPr>
            </w:pPr>
            <w:r>
              <w:rPr>
                <w:w w:val="98"/>
                <w:sz w:val="16"/>
              </w:rPr>
              <w:t>-</w:t>
            </w:r>
          </w:p>
        </w:tc>
        <w:tc>
          <w:tcPr>
            <w:tcW w:w="753" w:type="dxa"/>
            <w:tcBorders>
              <w:bottom w:val="single" w:sz="4" w:space="0" w:color="000000"/>
            </w:tcBorders>
          </w:tcPr>
          <w:p>
            <w:pPr>
              <w:pStyle w:val="TableParagraph"/>
              <w:spacing w:before="7"/>
              <w:ind w:right="174"/>
              <w:rPr>
                <w:sz w:val="16"/>
              </w:rPr>
            </w:pPr>
            <w:r>
              <w:rPr>
                <w:w w:val="98"/>
                <w:sz w:val="16"/>
              </w:rPr>
              <w:t>-</w:t>
            </w:r>
          </w:p>
        </w:tc>
        <w:tc>
          <w:tcPr>
            <w:tcW w:w="1053" w:type="dxa"/>
            <w:tcBorders>
              <w:bottom w:val="single" w:sz="4" w:space="0" w:color="000000"/>
            </w:tcBorders>
          </w:tcPr>
          <w:p>
            <w:pPr>
              <w:pStyle w:val="TableParagraph"/>
              <w:spacing w:before="7"/>
              <w:ind w:right="103"/>
              <w:rPr>
                <w:sz w:val="16"/>
              </w:rPr>
            </w:pPr>
            <w:r>
              <w:rPr>
                <w:w w:val="98"/>
                <w:sz w:val="16"/>
              </w:rPr>
              <w:t>-</w:t>
            </w:r>
          </w:p>
        </w:tc>
      </w:tr>
      <w:tr>
        <w:trPr>
          <w:trHeight w:val="230" w:hRule="atLeast"/>
        </w:trPr>
        <w:tc>
          <w:tcPr>
            <w:tcW w:w="2461" w:type="dxa"/>
            <w:tcBorders>
              <w:top w:val="single" w:sz="4" w:space="0" w:color="000000"/>
              <w:bottom w:val="single" w:sz="4" w:space="0" w:color="000000"/>
            </w:tcBorders>
          </w:tcPr>
          <w:p>
            <w:pPr>
              <w:pStyle w:val="TableParagraph"/>
              <w:spacing w:before="14"/>
              <w:ind w:right="105"/>
              <w:rPr>
                <w:i/>
                <w:sz w:val="16"/>
              </w:rPr>
            </w:pPr>
            <w:r>
              <w:rPr>
                <w:i/>
                <w:sz w:val="16"/>
              </w:rPr>
              <w:t>Subtotal</w:t>
            </w:r>
            <w:r>
              <w:rPr>
                <w:i/>
                <w:spacing w:val="-2"/>
                <w:sz w:val="16"/>
              </w:rPr>
              <w:t> </w:t>
            </w:r>
            <w:r>
              <w:rPr>
                <w:i/>
                <w:sz w:val="16"/>
              </w:rPr>
              <w:t>other</w:t>
            </w:r>
            <w:r>
              <w:rPr>
                <w:i/>
                <w:spacing w:val="-1"/>
                <w:sz w:val="16"/>
              </w:rPr>
              <w:t> </w:t>
            </w:r>
            <w:r>
              <w:rPr>
                <w:i/>
                <w:spacing w:val="-2"/>
                <w:sz w:val="16"/>
              </w:rPr>
              <w:t>staff</w:t>
            </w:r>
          </w:p>
        </w:tc>
        <w:tc>
          <w:tcPr>
            <w:tcW w:w="1218" w:type="dxa"/>
            <w:tcBorders>
              <w:top w:val="single" w:sz="4" w:space="0" w:color="000000"/>
              <w:bottom w:val="single" w:sz="4" w:space="0" w:color="000000"/>
            </w:tcBorders>
          </w:tcPr>
          <w:p>
            <w:pPr>
              <w:pStyle w:val="TableParagraph"/>
              <w:spacing w:before="14"/>
              <w:ind w:right="191"/>
              <w:rPr>
                <w:i/>
                <w:sz w:val="16"/>
              </w:rPr>
            </w:pPr>
            <w:r>
              <w:rPr>
                <w:i/>
                <w:spacing w:val="-2"/>
                <w:sz w:val="16"/>
              </w:rPr>
              <w:t>148.9</w:t>
            </w:r>
          </w:p>
        </w:tc>
        <w:tc>
          <w:tcPr>
            <w:tcW w:w="827" w:type="dxa"/>
            <w:tcBorders>
              <w:top w:val="single" w:sz="4" w:space="0" w:color="000000"/>
              <w:bottom w:val="single" w:sz="4" w:space="0" w:color="000000"/>
            </w:tcBorders>
          </w:tcPr>
          <w:p>
            <w:pPr>
              <w:pStyle w:val="TableParagraph"/>
              <w:spacing w:before="14"/>
              <w:ind w:right="107"/>
              <w:rPr>
                <w:i/>
                <w:sz w:val="16"/>
              </w:rPr>
            </w:pPr>
            <w:r>
              <w:rPr>
                <w:i/>
                <w:w w:val="98"/>
                <w:sz w:val="16"/>
              </w:rPr>
              <w:t>-</w:t>
            </w:r>
          </w:p>
        </w:tc>
        <w:tc>
          <w:tcPr>
            <w:tcW w:w="1133" w:type="dxa"/>
            <w:tcBorders>
              <w:top w:val="single" w:sz="4" w:space="0" w:color="000000"/>
              <w:bottom w:val="single" w:sz="4" w:space="0" w:color="000000"/>
            </w:tcBorders>
          </w:tcPr>
          <w:p>
            <w:pPr>
              <w:pStyle w:val="TableParagraph"/>
              <w:spacing w:before="14"/>
              <w:ind w:right="106"/>
              <w:rPr>
                <w:i/>
                <w:sz w:val="16"/>
              </w:rPr>
            </w:pPr>
            <w:r>
              <w:rPr>
                <w:i/>
                <w:spacing w:val="-2"/>
                <w:sz w:val="16"/>
              </w:rPr>
              <w:t>148.9</w:t>
            </w:r>
          </w:p>
        </w:tc>
        <w:tc>
          <w:tcPr>
            <w:tcW w:w="1078" w:type="dxa"/>
            <w:tcBorders>
              <w:top w:val="single" w:sz="4" w:space="0" w:color="000000"/>
              <w:bottom w:val="single" w:sz="4" w:space="0" w:color="000000"/>
            </w:tcBorders>
          </w:tcPr>
          <w:p>
            <w:pPr>
              <w:pStyle w:val="TableParagraph"/>
              <w:spacing w:before="14"/>
              <w:ind w:right="50"/>
              <w:rPr>
                <w:i/>
                <w:sz w:val="16"/>
              </w:rPr>
            </w:pPr>
            <w:r>
              <w:rPr>
                <w:i/>
                <w:spacing w:val="-2"/>
                <w:sz w:val="16"/>
              </w:rPr>
              <w:t>173.3</w:t>
            </w:r>
          </w:p>
        </w:tc>
        <w:tc>
          <w:tcPr>
            <w:tcW w:w="1122" w:type="dxa"/>
            <w:tcBorders>
              <w:top w:val="single" w:sz="4" w:space="0" w:color="000000"/>
              <w:bottom w:val="single" w:sz="4" w:space="0" w:color="000000"/>
            </w:tcBorders>
          </w:tcPr>
          <w:p>
            <w:pPr>
              <w:pStyle w:val="TableParagraph"/>
              <w:spacing w:before="14"/>
              <w:ind w:right="187"/>
              <w:rPr>
                <w:i/>
                <w:sz w:val="16"/>
              </w:rPr>
            </w:pPr>
            <w:r>
              <w:rPr>
                <w:i/>
                <w:spacing w:val="-5"/>
                <w:sz w:val="16"/>
              </w:rPr>
              <w:t>5.2</w:t>
            </w:r>
          </w:p>
        </w:tc>
        <w:tc>
          <w:tcPr>
            <w:tcW w:w="753" w:type="dxa"/>
            <w:tcBorders>
              <w:top w:val="single" w:sz="4" w:space="0" w:color="000000"/>
              <w:bottom w:val="single" w:sz="4" w:space="0" w:color="000000"/>
            </w:tcBorders>
          </w:tcPr>
          <w:p>
            <w:pPr>
              <w:pStyle w:val="TableParagraph"/>
              <w:spacing w:before="14"/>
              <w:ind w:right="177"/>
              <w:rPr>
                <w:i/>
                <w:sz w:val="16"/>
              </w:rPr>
            </w:pPr>
            <w:r>
              <w:rPr>
                <w:i/>
                <w:spacing w:val="-5"/>
                <w:sz w:val="16"/>
              </w:rPr>
              <w:t>3.0</w:t>
            </w:r>
          </w:p>
        </w:tc>
        <w:tc>
          <w:tcPr>
            <w:tcW w:w="1053" w:type="dxa"/>
            <w:tcBorders>
              <w:top w:val="single" w:sz="4" w:space="0" w:color="000000"/>
              <w:bottom w:val="single" w:sz="4" w:space="0" w:color="000000"/>
            </w:tcBorders>
          </w:tcPr>
          <w:p>
            <w:pPr>
              <w:pStyle w:val="TableParagraph"/>
              <w:spacing w:before="14"/>
              <w:ind w:right="102"/>
              <w:rPr>
                <w:i/>
                <w:sz w:val="16"/>
              </w:rPr>
            </w:pPr>
            <w:r>
              <w:rPr>
                <w:i/>
                <w:spacing w:val="-2"/>
                <w:sz w:val="16"/>
              </w:rPr>
              <w:t>178.5</w:t>
            </w:r>
          </w:p>
        </w:tc>
      </w:tr>
      <w:tr>
        <w:trPr>
          <w:trHeight w:val="227" w:hRule="atLeast"/>
        </w:trPr>
        <w:tc>
          <w:tcPr>
            <w:tcW w:w="2461" w:type="dxa"/>
            <w:tcBorders>
              <w:top w:val="single" w:sz="4" w:space="0" w:color="000000"/>
            </w:tcBorders>
          </w:tcPr>
          <w:p>
            <w:pPr>
              <w:pStyle w:val="TableParagraph"/>
              <w:spacing w:before="9"/>
              <w:ind w:left="117"/>
              <w:jc w:val="left"/>
              <w:rPr>
                <w:sz w:val="16"/>
              </w:rPr>
            </w:pPr>
            <w:r>
              <w:rPr>
                <w:spacing w:val="-2"/>
                <w:sz w:val="16"/>
              </w:rPr>
              <w:t>Travel</w:t>
            </w:r>
          </w:p>
        </w:tc>
        <w:tc>
          <w:tcPr>
            <w:tcW w:w="1218" w:type="dxa"/>
            <w:tcBorders>
              <w:top w:val="single" w:sz="4" w:space="0" w:color="000000"/>
            </w:tcBorders>
          </w:tcPr>
          <w:p>
            <w:pPr>
              <w:pStyle w:val="TableParagraph"/>
              <w:spacing w:before="9"/>
              <w:ind w:right="191"/>
              <w:rPr>
                <w:sz w:val="16"/>
              </w:rPr>
            </w:pPr>
            <w:r>
              <w:rPr>
                <w:spacing w:val="-4"/>
                <w:sz w:val="16"/>
              </w:rPr>
              <w:t>87.7</w:t>
            </w:r>
          </w:p>
        </w:tc>
        <w:tc>
          <w:tcPr>
            <w:tcW w:w="827" w:type="dxa"/>
            <w:tcBorders>
              <w:top w:val="single" w:sz="4" w:space="0" w:color="000000"/>
            </w:tcBorders>
          </w:tcPr>
          <w:p>
            <w:pPr>
              <w:pStyle w:val="TableParagraph"/>
              <w:spacing w:before="9"/>
              <w:ind w:right="107"/>
              <w:rPr>
                <w:sz w:val="16"/>
              </w:rPr>
            </w:pPr>
            <w:r>
              <w:rPr>
                <w:w w:val="98"/>
                <w:sz w:val="16"/>
              </w:rPr>
              <w:t>-</w:t>
            </w:r>
          </w:p>
        </w:tc>
        <w:tc>
          <w:tcPr>
            <w:tcW w:w="1133" w:type="dxa"/>
            <w:tcBorders>
              <w:top w:val="single" w:sz="4" w:space="0" w:color="000000"/>
            </w:tcBorders>
          </w:tcPr>
          <w:p>
            <w:pPr>
              <w:pStyle w:val="TableParagraph"/>
              <w:spacing w:before="9"/>
              <w:ind w:right="105"/>
              <w:rPr>
                <w:sz w:val="16"/>
              </w:rPr>
            </w:pPr>
            <w:r>
              <w:rPr>
                <w:spacing w:val="-4"/>
                <w:sz w:val="16"/>
              </w:rPr>
              <w:t>87.7</w:t>
            </w:r>
          </w:p>
        </w:tc>
        <w:tc>
          <w:tcPr>
            <w:tcW w:w="1078" w:type="dxa"/>
            <w:tcBorders>
              <w:top w:val="single" w:sz="4" w:space="0" w:color="000000"/>
            </w:tcBorders>
          </w:tcPr>
          <w:p>
            <w:pPr>
              <w:pStyle w:val="TableParagraph"/>
              <w:spacing w:before="9"/>
              <w:ind w:right="50"/>
              <w:rPr>
                <w:sz w:val="16"/>
              </w:rPr>
            </w:pPr>
            <w:r>
              <w:rPr>
                <w:spacing w:val="-2"/>
                <w:sz w:val="16"/>
              </w:rPr>
              <w:t>282.7</w:t>
            </w:r>
          </w:p>
        </w:tc>
        <w:tc>
          <w:tcPr>
            <w:tcW w:w="1122" w:type="dxa"/>
            <w:tcBorders>
              <w:top w:val="single" w:sz="4" w:space="0" w:color="000000"/>
            </w:tcBorders>
          </w:tcPr>
          <w:p>
            <w:pPr>
              <w:pStyle w:val="TableParagraph"/>
              <w:spacing w:before="9"/>
              <w:ind w:right="183"/>
              <w:rPr>
                <w:sz w:val="16"/>
              </w:rPr>
            </w:pPr>
            <w:r>
              <w:rPr>
                <w:spacing w:val="-4"/>
                <w:sz w:val="16"/>
              </w:rPr>
              <w:t>19.3</w:t>
            </w:r>
          </w:p>
        </w:tc>
        <w:tc>
          <w:tcPr>
            <w:tcW w:w="753" w:type="dxa"/>
            <w:tcBorders>
              <w:top w:val="single" w:sz="4" w:space="0" w:color="000000"/>
            </w:tcBorders>
          </w:tcPr>
          <w:p>
            <w:pPr>
              <w:pStyle w:val="TableParagraph"/>
              <w:spacing w:before="9"/>
              <w:ind w:right="177"/>
              <w:rPr>
                <w:sz w:val="16"/>
              </w:rPr>
            </w:pPr>
            <w:r>
              <w:rPr>
                <w:spacing w:val="-5"/>
                <w:sz w:val="16"/>
              </w:rPr>
              <w:t>6.8</w:t>
            </w:r>
          </w:p>
        </w:tc>
        <w:tc>
          <w:tcPr>
            <w:tcW w:w="1053" w:type="dxa"/>
            <w:tcBorders>
              <w:top w:val="single" w:sz="4" w:space="0" w:color="000000"/>
            </w:tcBorders>
          </w:tcPr>
          <w:p>
            <w:pPr>
              <w:pStyle w:val="TableParagraph"/>
              <w:spacing w:before="9"/>
              <w:ind w:right="102"/>
              <w:rPr>
                <w:sz w:val="16"/>
              </w:rPr>
            </w:pPr>
            <w:r>
              <w:rPr>
                <w:spacing w:val="-2"/>
                <w:sz w:val="16"/>
              </w:rPr>
              <w:t>302.0</w:t>
            </w:r>
          </w:p>
        </w:tc>
      </w:tr>
      <w:tr>
        <w:trPr>
          <w:trHeight w:val="228" w:hRule="atLeast"/>
        </w:trPr>
        <w:tc>
          <w:tcPr>
            <w:tcW w:w="2461" w:type="dxa"/>
          </w:tcPr>
          <w:p>
            <w:pPr>
              <w:pStyle w:val="TableParagraph"/>
              <w:spacing w:before="7"/>
              <w:ind w:left="117"/>
              <w:jc w:val="left"/>
              <w:rPr>
                <w:sz w:val="16"/>
              </w:rPr>
            </w:pPr>
            <w:r>
              <w:rPr>
                <w:spacing w:val="-2"/>
                <w:sz w:val="16"/>
              </w:rPr>
              <w:t>Hospitality</w:t>
            </w:r>
          </w:p>
        </w:tc>
        <w:tc>
          <w:tcPr>
            <w:tcW w:w="1218" w:type="dxa"/>
          </w:tcPr>
          <w:p>
            <w:pPr>
              <w:pStyle w:val="TableParagraph"/>
              <w:spacing w:before="7"/>
              <w:ind w:right="195"/>
              <w:rPr>
                <w:sz w:val="16"/>
              </w:rPr>
            </w:pPr>
            <w:r>
              <w:rPr>
                <w:spacing w:val="-5"/>
                <w:sz w:val="16"/>
              </w:rPr>
              <w:t>1.5</w:t>
            </w:r>
          </w:p>
        </w:tc>
        <w:tc>
          <w:tcPr>
            <w:tcW w:w="827" w:type="dxa"/>
          </w:tcPr>
          <w:p>
            <w:pPr>
              <w:pStyle w:val="TableParagraph"/>
              <w:spacing w:before="7"/>
              <w:ind w:right="107"/>
              <w:rPr>
                <w:sz w:val="16"/>
              </w:rPr>
            </w:pPr>
            <w:r>
              <w:rPr>
                <w:w w:val="98"/>
                <w:sz w:val="16"/>
              </w:rPr>
              <w:t>-</w:t>
            </w:r>
          </w:p>
        </w:tc>
        <w:tc>
          <w:tcPr>
            <w:tcW w:w="1133" w:type="dxa"/>
          </w:tcPr>
          <w:p>
            <w:pPr>
              <w:pStyle w:val="TableParagraph"/>
              <w:spacing w:before="7"/>
              <w:ind w:right="110"/>
              <w:rPr>
                <w:sz w:val="16"/>
              </w:rPr>
            </w:pPr>
            <w:r>
              <w:rPr>
                <w:spacing w:val="-5"/>
                <w:sz w:val="16"/>
              </w:rPr>
              <w:t>1.5</w:t>
            </w:r>
          </w:p>
        </w:tc>
        <w:tc>
          <w:tcPr>
            <w:tcW w:w="1078" w:type="dxa"/>
          </w:tcPr>
          <w:p>
            <w:pPr>
              <w:pStyle w:val="TableParagraph"/>
              <w:spacing w:before="7"/>
              <w:ind w:right="55"/>
              <w:rPr>
                <w:sz w:val="16"/>
              </w:rPr>
            </w:pPr>
            <w:r>
              <w:rPr>
                <w:spacing w:val="-5"/>
                <w:sz w:val="16"/>
              </w:rPr>
              <w:t>6.0</w:t>
            </w:r>
          </w:p>
        </w:tc>
        <w:tc>
          <w:tcPr>
            <w:tcW w:w="1122" w:type="dxa"/>
          </w:tcPr>
          <w:p>
            <w:pPr>
              <w:pStyle w:val="TableParagraph"/>
              <w:spacing w:before="7"/>
              <w:ind w:right="185"/>
              <w:rPr>
                <w:sz w:val="16"/>
              </w:rPr>
            </w:pPr>
            <w:r>
              <w:rPr>
                <w:w w:val="98"/>
                <w:sz w:val="16"/>
              </w:rPr>
              <w:t>-</w:t>
            </w:r>
          </w:p>
        </w:tc>
        <w:tc>
          <w:tcPr>
            <w:tcW w:w="753" w:type="dxa"/>
          </w:tcPr>
          <w:p>
            <w:pPr>
              <w:pStyle w:val="TableParagraph"/>
              <w:spacing w:before="7"/>
              <w:ind w:right="174"/>
              <w:rPr>
                <w:sz w:val="16"/>
              </w:rPr>
            </w:pPr>
            <w:r>
              <w:rPr>
                <w:w w:val="98"/>
                <w:sz w:val="16"/>
              </w:rPr>
              <w:t>-</w:t>
            </w:r>
          </w:p>
        </w:tc>
        <w:tc>
          <w:tcPr>
            <w:tcW w:w="1053" w:type="dxa"/>
          </w:tcPr>
          <w:p>
            <w:pPr>
              <w:pStyle w:val="TableParagraph"/>
              <w:spacing w:before="7"/>
              <w:ind w:right="106"/>
              <w:rPr>
                <w:sz w:val="16"/>
              </w:rPr>
            </w:pPr>
            <w:r>
              <w:rPr>
                <w:spacing w:val="-5"/>
                <w:sz w:val="16"/>
              </w:rPr>
              <w:t>6.0</w:t>
            </w:r>
          </w:p>
        </w:tc>
      </w:tr>
      <w:tr>
        <w:trPr>
          <w:trHeight w:val="228" w:hRule="atLeast"/>
        </w:trPr>
        <w:tc>
          <w:tcPr>
            <w:tcW w:w="2461" w:type="dxa"/>
          </w:tcPr>
          <w:p>
            <w:pPr>
              <w:pStyle w:val="TableParagraph"/>
              <w:spacing w:before="10"/>
              <w:ind w:left="117"/>
              <w:jc w:val="left"/>
              <w:rPr>
                <w:sz w:val="16"/>
              </w:rPr>
            </w:pPr>
            <w:r>
              <w:rPr>
                <w:w w:val="95"/>
                <w:sz w:val="16"/>
              </w:rPr>
              <w:t>Contractual</w:t>
            </w:r>
            <w:r>
              <w:rPr>
                <w:spacing w:val="33"/>
                <w:sz w:val="16"/>
              </w:rPr>
              <w:t> </w:t>
            </w:r>
            <w:r>
              <w:rPr>
                <w:spacing w:val="-2"/>
                <w:sz w:val="16"/>
              </w:rPr>
              <w:t>services</w:t>
            </w:r>
          </w:p>
        </w:tc>
        <w:tc>
          <w:tcPr>
            <w:tcW w:w="1218" w:type="dxa"/>
          </w:tcPr>
          <w:p>
            <w:pPr>
              <w:pStyle w:val="TableParagraph"/>
              <w:spacing w:before="10"/>
              <w:ind w:right="191"/>
              <w:rPr>
                <w:sz w:val="16"/>
              </w:rPr>
            </w:pPr>
            <w:r>
              <w:rPr>
                <w:spacing w:val="-2"/>
                <w:sz w:val="16"/>
              </w:rPr>
              <w:t>157.4</w:t>
            </w:r>
          </w:p>
        </w:tc>
        <w:tc>
          <w:tcPr>
            <w:tcW w:w="827" w:type="dxa"/>
          </w:tcPr>
          <w:p>
            <w:pPr>
              <w:pStyle w:val="TableParagraph"/>
              <w:spacing w:before="10"/>
              <w:ind w:right="107"/>
              <w:rPr>
                <w:sz w:val="16"/>
              </w:rPr>
            </w:pPr>
            <w:r>
              <w:rPr>
                <w:w w:val="98"/>
                <w:sz w:val="16"/>
              </w:rPr>
              <w:t>-</w:t>
            </w:r>
          </w:p>
        </w:tc>
        <w:tc>
          <w:tcPr>
            <w:tcW w:w="1133" w:type="dxa"/>
          </w:tcPr>
          <w:p>
            <w:pPr>
              <w:pStyle w:val="TableParagraph"/>
              <w:spacing w:before="10"/>
              <w:ind w:right="106"/>
              <w:rPr>
                <w:sz w:val="16"/>
              </w:rPr>
            </w:pPr>
            <w:r>
              <w:rPr>
                <w:spacing w:val="-2"/>
                <w:sz w:val="16"/>
              </w:rPr>
              <w:t>157.4</w:t>
            </w:r>
          </w:p>
        </w:tc>
        <w:tc>
          <w:tcPr>
            <w:tcW w:w="1078" w:type="dxa"/>
          </w:tcPr>
          <w:p>
            <w:pPr>
              <w:pStyle w:val="TableParagraph"/>
              <w:spacing w:before="10"/>
              <w:ind w:right="50"/>
              <w:rPr>
                <w:sz w:val="16"/>
              </w:rPr>
            </w:pPr>
            <w:r>
              <w:rPr>
                <w:spacing w:val="-2"/>
                <w:sz w:val="16"/>
              </w:rPr>
              <w:t>150.5</w:t>
            </w:r>
          </w:p>
        </w:tc>
        <w:tc>
          <w:tcPr>
            <w:tcW w:w="1122" w:type="dxa"/>
          </w:tcPr>
          <w:p>
            <w:pPr>
              <w:pStyle w:val="TableParagraph"/>
              <w:spacing w:before="10"/>
              <w:ind w:right="185"/>
              <w:rPr>
                <w:sz w:val="16"/>
              </w:rPr>
            </w:pPr>
            <w:r>
              <w:rPr>
                <w:spacing w:val="-2"/>
                <w:sz w:val="16"/>
              </w:rPr>
              <w:t>(3.6)</w:t>
            </w:r>
          </w:p>
        </w:tc>
        <w:tc>
          <w:tcPr>
            <w:tcW w:w="753" w:type="dxa"/>
          </w:tcPr>
          <w:p>
            <w:pPr>
              <w:pStyle w:val="TableParagraph"/>
              <w:spacing w:before="10"/>
              <w:ind w:right="175"/>
              <w:rPr>
                <w:sz w:val="16"/>
              </w:rPr>
            </w:pPr>
            <w:r>
              <w:rPr>
                <w:spacing w:val="-2"/>
                <w:sz w:val="16"/>
              </w:rPr>
              <w:t>(2.4)</w:t>
            </w:r>
          </w:p>
        </w:tc>
        <w:tc>
          <w:tcPr>
            <w:tcW w:w="1053" w:type="dxa"/>
          </w:tcPr>
          <w:p>
            <w:pPr>
              <w:pStyle w:val="TableParagraph"/>
              <w:spacing w:before="10"/>
              <w:ind w:right="102"/>
              <w:rPr>
                <w:sz w:val="16"/>
              </w:rPr>
            </w:pPr>
            <w:r>
              <w:rPr>
                <w:spacing w:val="-2"/>
                <w:sz w:val="16"/>
              </w:rPr>
              <w:t>146.9</w:t>
            </w:r>
          </w:p>
        </w:tc>
      </w:tr>
      <w:tr>
        <w:trPr>
          <w:trHeight w:val="225" w:hRule="atLeast"/>
        </w:trPr>
        <w:tc>
          <w:tcPr>
            <w:tcW w:w="2461" w:type="dxa"/>
          </w:tcPr>
          <w:p>
            <w:pPr>
              <w:pStyle w:val="TableParagraph"/>
              <w:spacing w:before="7"/>
              <w:ind w:left="117"/>
              <w:jc w:val="left"/>
              <w:rPr>
                <w:sz w:val="16"/>
              </w:rPr>
            </w:pPr>
            <w:r>
              <w:rPr>
                <w:spacing w:val="-2"/>
                <w:sz w:val="16"/>
              </w:rPr>
              <w:t>Training</w:t>
            </w:r>
          </w:p>
        </w:tc>
        <w:tc>
          <w:tcPr>
            <w:tcW w:w="1218" w:type="dxa"/>
          </w:tcPr>
          <w:p>
            <w:pPr>
              <w:pStyle w:val="TableParagraph"/>
              <w:spacing w:before="7"/>
              <w:ind w:right="193"/>
              <w:rPr>
                <w:sz w:val="16"/>
              </w:rPr>
            </w:pPr>
            <w:r>
              <w:rPr>
                <w:w w:val="98"/>
                <w:sz w:val="16"/>
              </w:rPr>
              <w:t>-</w:t>
            </w:r>
          </w:p>
        </w:tc>
        <w:tc>
          <w:tcPr>
            <w:tcW w:w="827" w:type="dxa"/>
          </w:tcPr>
          <w:p>
            <w:pPr>
              <w:pStyle w:val="TableParagraph"/>
              <w:spacing w:before="7"/>
              <w:ind w:right="107"/>
              <w:rPr>
                <w:sz w:val="16"/>
              </w:rPr>
            </w:pPr>
            <w:r>
              <w:rPr>
                <w:w w:val="98"/>
                <w:sz w:val="16"/>
              </w:rPr>
              <w:t>-</w:t>
            </w:r>
          </w:p>
        </w:tc>
        <w:tc>
          <w:tcPr>
            <w:tcW w:w="1133" w:type="dxa"/>
          </w:tcPr>
          <w:p>
            <w:pPr>
              <w:pStyle w:val="TableParagraph"/>
              <w:spacing w:before="7"/>
              <w:ind w:right="107"/>
              <w:rPr>
                <w:sz w:val="16"/>
              </w:rPr>
            </w:pPr>
            <w:r>
              <w:rPr>
                <w:w w:val="98"/>
                <w:sz w:val="16"/>
              </w:rPr>
              <w:t>-</w:t>
            </w:r>
          </w:p>
        </w:tc>
        <w:tc>
          <w:tcPr>
            <w:tcW w:w="1078" w:type="dxa"/>
          </w:tcPr>
          <w:p>
            <w:pPr>
              <w:pStyle w:val="TableParagraph"/>
              <w:spacing w:before="7"/>
              <w:ind w:right="55"/>
              <w:rPr>
                <w:sz w:val="16"/>
              </w:rPr>
            </w:pPr>
            <w:r>
              <w:rPr>
                <w:spacing w:val="-5"/>
                <w:sz w:val="16"/>
              </w:rPr>
              <w:t>4.2</w:t>
            </w:r>
          </w:p>
        </w:tc>
        <w:tc>
          <w:tcPr>
            <w:tcW w:w="1122" w:type="dxa"/>
          </w:tcPr>
          <w:p>
            <w:pPr>
              <w:pStyle w:val="TableParagraph"/>
              <w:spacing w:before="7"/>
              <w:ind w:right="185"/>
              <w:rPr>
                <w:sz w:val="16"/>
              </w:rPr>
            </w:pPr>
            <w:r>
              <w:rPr>
                <w:spacing w:val="-2"/>
                <w:sz w:val="16"/>
              </w:rPr>
              <w:t>(1.6)</w:t>
            </w:r>
          </w:p>
        </w:tc>
        <w:tc>
          <w:tcPr>
            <w:tcW w:w="753" w:type="dxa"/>
          </w:tcPr>
          <w:p>
            <w:pPr>
              <w:pStyle w:val="TableParagraph"/>
              <w:spacing w:before="7"/>
              <w:ind w:right="175"/>
              <w:rPr>
                <w:sz w:val="16"/>
              </w:rPr>
            </w:pPr>
            <w:r>
              <w:rPr>
                <w:spacing w:val="-2"/>
                <w:sz w:val="16"/>
              </w:rPr>
              <w:t>(38.1)</w:t>
            </w:r>
          </w:p>
        </w:tc>
        <w:tc>
          <w:tcPr>
            <w:tcW w:w="1053" w:type="dxa"/>
          </w:tcPr>
          <w:p>
            <w:pPr>
              <w:pStyle w:val="TableParagraph"/>
              <w:spacing w:before="7"/>
              <w:ind w:right="106"/>
              <w:rPr>
                <w:sz w:val="16"/>
              </w:rPr>
            </w:pPr>
            <w:r>
              <w:rPr>
                <w:spacing w:val="-5"/>
                <w:sz w:val="16"/>
              </w:rPr>
              <w:t>2.6</w:t>
            </w:r>
          </w:p>
        </w:tc>
      </w:tr>
      <w:tr>
        <w:trPr>
          <w:trHeight w:val="228" w:hRule="atLeast"/>
        </w:trPr>
        <w:tc>
          <w:tcPr>
            <w:tcW w:w="2461" w:type="dxa"/>
          </w:tcPr>
          <w:p>
            <w:pPr>
              <w:pStyle w:val="TableParagraph"/>
              <w:spacing w:before="7"/>
              <w:ind w:left="117"/>
              <w:jc w:val="left"/>
              <w:rPr>
                <w:sz w:val="16"/>
              </w:rPr>
            </w:pPr>
            <w:r>
              <w:rPr>
                <w:spacing w:val="-2"/>
                <w:sz w:val="16"/>
              </w:rPr>
              <w:t>Consultants</w:t>
            </w:r>
          </w:p>
        </w:tc>
        <w:tc>
          <w:tcPr>
            <w:tcW w:w="1218" w:type="dxa"/>
          </w:tcPr>
          <w:p>
            <w:pPr>
              <w:pStyle w:val="TableParagraph"/>
              <w:spacing w:before="7"/>
              <w:ind w:right="193"/>
              <w:rPr>
                <w:sz w:val="16"/>
              </w:rPr>
            </w:pPr>
            <w:r>
              <w:rPr>
                <w:w w:val="98"/>
                <w:sz w:val="16"/>
              </w:rPr>
              <w:t>-</w:t>
            </w:r>
          </w:p>
        </w:tc>
        <w:tc>
          <w:tcPr>
            <w:tcW w:w="827" w:type="dxa"/>
          </w:tcPr>
          <w:p>
            <w:pPr>
              <w:pStyle w:val="TableParagraph"/>
              <w:spacing w:before="7"/>
              <w:ind w:right="107"/>
              <w:rPr>
                <w:sz w:val="16"/>
              </w:rPr>
            </w:pPr>
            <w:r>
              <w:rPr>
                <w:w w:val="98"/>
                <w:sz w:val="16"/>
              </w:rPr>
              <w:t>-</w:t>
            </w:r>
          </w:p>
        </w:tc>
        <w:tc>
          <w:tcPr>
            <w:tcW w:w="1133" w:type="dxa"/>
          </w:tcPr>
          <w:p>
            <w:pPr>
              <w:pStyle w:val="TableParagraph"/>
              <w:spacing w:before="7"/>
              <w:ind w:right="107"/>
              <w:rPr>
                <w:sz w:val="16"/>
              </w:rPr>
            </w:pPr>
            <w:r>
              <w:rPr>
                <w:w w:val="98"/>
                <w:sz w:val="16"/>
              </w:rPr>
              <w:t>-</w:t>
            </w:r>
          </w:p>
        </w:tc>
        <w:tc>
          <w:tcPr>
            <w:tcW w:w="1078" w:type="dxa"/>
          </w:tcPr>
          <w:p>
            <w:pPr>
              <w:pStyle w:val="TableParagraph"/>
              <w:spacing w:before="7"/>
              <w:ind w:right="52"/>
              <w:rPr>
                <w:sz w:val="16"/>
              </w:rPr>
            </w:pPr>
            <w:r>
              <w:rPr>
                <w:w w:val="98"/>
                <w:sz w:val="16"/>
              </w:rPr>
              <w:t>-</w:t>
            </w:r>
          </w:p>
        </w:tc>
        <w:tc>
          <w:tcPr>
            <w:tcW w:w="1122" w:type="dxa"/>
          </w:tcPr>
          <w:p>
            <w:pPr>
              <w:pStyle w:val="TableParagraph"/>
              <w:spacing w:before="7"/>
              <w:ind w:right="185"/>
              <w:rPr>
                <w:sz w:val="16"/>
              </w:rPr>
            </w:pPr>
            <w:r>
              <w:rPr>
                <w:w w:val="98"/>
                <w:sz w:val="16"/>
              </w:rPr>
              <w:t>-</w:t>
            </w:r>
          </w:p>
        </w:tc>
        <w:tc>
          <w:tcPr>
            <w:tcW w:w="753" w:type="dxa"/>
          </w:tcPr>
          <w:p>
            <w:pPr>
              <w:pStyle w:val="TableParagraph"/>
              <w:spacing w:before="7"/>
              <w:ind w:right="174"/>
              <w:rPr>
                <w:sz w:val="16"/>
              </w:rPr>
            </w:pPr>
            <w:r>
              <w:rPr>
                <w:w w:val="98"/>
                <w:sz w:val="16"/>
              </w:rPr>
              <w:t>-</w:t>
            </w:r>
          </w:p>
        </w:tc>
        <w:tc>
          <w:tcPr>
            <w:tcW w:w="1053" w:type="dxa"/>
          </w:tcPr>
          <w:p>
            <w:pPr>
              <w:pStyle w:val="TableParagraph"/>
              <w:spacing w:before="7"/>
              <w:ind w:right="103"/>
              <w:rPr>
                <w:sz w:val="16"/>
              </w:rPr>
            </w:pPr>
            <w:r>
              <w:rPr>
                <w:w w:val="98"/>
                <w:sz w:val="16"/>
              </w:rPr>
              <w:t>-</w:t>
            </w:r>
          </w:p>
        </w:tc>
      </w:tr>
      <w:tr>
        <w:trPr>
          <w:trHeight w:val="227" w:hRule="atLeast"/>
        </w:trPr>
        <w:tc>
          <w:tcPr>
            <w:tcW w:w="2461" w:type="dxa"/>
          </w:tcPr>
          <w:p>
            <w:pPr>
              <w:pStyle w:val="TableParagraph"/>
              <w:spacing w:before="10"/>
              <w:ind w:left="117"/>
              <w:jc w:val="left"/>
              <w:rPr>
                <w:sz w:val="16"/>
              </w:rPr>
            </w:pPr>
            <w:r>
              <w:rPr>
                <w:sz w:val="16"/>
              </w:rPr>
              <w:t>General</w:t>
            </w:r>
            <w:r>
              <w:rPr>
                <w:spacing w:val="-4"/>
                <w:sz w:val="16"/>
              </w:rPr>
              <w:t> </w:t>
            </w:r>
            <w:r>
              <w:rPr>
                <w:sz w:val="16"/>
              </w:rPr>
              <w:t>operating</w:t>
            </w:r>
            <w:r>
              <w:rPr>
                <w:spacing w:val="-1"/>
                <w:sz w:val="16"/>
              </w:rPr>
              <w:t> </w:t>
            </w:r>
            <w:r>
              <w:rPr>
                <w:spacing w:val="-2"/>
                <w:sz w:val="16"/>
              </w:rPr>
              <w:t>expenses</w:t>
            </w:r>
          </w:p>
        </w:tc>
        <w:tc>
          <w:tcPr>
            <w:tcW w:w="1218" w:type="dxa"/>
          </w:tcPr>
          <w:p>
            <w:pPr>
              <w:pStyle w:val="TableParagraph"/>
              <w:spacing w:before="10"/>
              <w:ind w:right="193"/>
              <w:rPr>
                <w:sz w:val="16"/>
              </w:rPr>
            </w:pPr>
            <w:r>
              <w:rPr>
                <w:w w:val="98"/>
                <w:sz w:val="16"/>
              </w:rPr>
              <w:t>-</w:t>
            </w:r>
          </w:p>
        </w:tc>
        <w:tc>
          <w:tcPr>
            <w:tcW w:w="827" w:type="dxa"/>
          </w:tcPr>
          <w:p>
            <w:pPr>
              <w:pStyle w:val="TableParagraph"/>
              <w:spacing w:before="10"/>
              <w:ind w:right="107"/>
              <w:rPr>
                <w:sz w:val="16"/>
              </w:rPr>
            </w:pPr>
            <w:r>
              <w:rPr>
                <w:w w:val="98"/>
                <w:sz w:val="16"/>
              </w:rPr>
              <w:t>-</w:t>
            </w:r>
          </w:p>
        </w:tc>
        <w:tc>
          <w:tcPr>
            <w:tcW w:w="1133" w:type="dxa"/>
          </w:tcPr>
          <w:p>
            <w:pPr>
              <w:pStyle w:val="TableParagraph"/>
              <w:spacing w:before="10"/>
              <w:ind w:right="107"/>
              <w:rPr>
                <w:sz w:val="16"/>
              </w:rPr>
            </w:pPr>
            <w:r>
              <w:rPr>
                <w:w w:val="98"/>
                <w:sz w:val="16"/>
              </w:rPr>
              <w:t>-</w:t>
            </w:r>
          </w:p>
        </w:tc>
        <w:tc>
          <w:tcPr>
            <w:tcW w:w="1078" w:type="dxa"/>
          </w:tcPr>
          <w:p>
            <w:pPr>
              <w:pStyle w:val="TableParagraph"/>
              <w:spacing w:before="10"/>
              <w:ind w:right="55"/>
              <w:rPr>
                <w:sz w:val="16"/>
              </w:rPr>
            </w:pPr>
            <w:r>
              <w:rPr>
                <w:spacing w:val="-5"/>
                <w:sz w:val="16"/>
              </w:rPr>
              <w:t>3.0</w:t>
            </w:r>
          </w:p>
        </w:tc>
        <w:tc>
          <w:tcPr>
            <w:tcW w:w="1122" w:type="dxa"/>
          </w:tcPr>
          <w:p>
            <w:pPr>
              <w:pStyle w:val="TableParagraph"/>
              <w:spacing w:before="10"/>
              <w:ind w:right="187"/>
              <w:rPr>
                <w:sz w:val="16"/>
              </w:rPr>
            </w:pPr>
            <w:r>
              <w:rPr>
                <w:spacing w:val="-5"/>
                <w:sz w:val="16"/>
              </w:rPr>
              <w:t>0.5</w:t>
            </w:r>
          </w:p>
        </w:tc>
        <w:tc>
          <w:tcPr>
            <w:tcW w:w="753" w:type="dxa"/>
          </w:tcPr>
          <w:p>
            <w:pPr>
              <w:pStyle w:val="TableParagraph"/>
              <w:spacing w:before="10"/>
              <w:ind w:right="172"/>
              <w:rPr>
                <w:sz w:val="16"/>
              </w:rPr>
            </w:pPr>
            <w:r>
              <w:rPr>
                <w:spacing w:val="-4"/>
                <w:sz w:val="16"/>
              </w:rPr>
              <w:t>16.7</w:t>
            </w:r>
          </w:p>
        </w:tc>
        <w:tc>
          <w:tcPr>
            <w:tcW w:w="1053" w:type="dxa"/>
          </w:tcPr>
          <w:p>
            <w:pPr>
              <w:pStyle w:val="TableParagraph"/>
              <w:spacing w:before="10"/>
              <w:ind w:right="106"/>
              <w:rPr>
                <w:sz w:val="16"/>
              </w:rPr>
            </w:pPr>
            <w:r>
              <w:rPr>
                <w:spacing w:val="-5"/>
                <w:sz w:val="16"/>
              </w:rPr>
              <w:t>3.5</w:t>
            </w:r>
          </w:p>
        </w:tc>
      </w:tr>
      <w:tr>
        <w:trPr>
          <w:trHeight w:val="225" w:hRule="atLeast"/>
        </w:trPr>
        <w:tc>
          <w:tcPr>
            <w:tcW w:w="2461" w:type="dxa"/>
          </w:tcPr>
          <w:p>
            <w:pPr>
              <w:pStyle w:val="TableParagraph"/>
              <w:spacing w:before="7"/>
              <w:ind w:left="117"/>
              <w:jc w:val="left"/>
              <w:rPr>
                <w:sz w:val="16"/>
              </w:rPr>
            </w:pPr>
            <w:r>
              <w:rPr>
                <w:sz w:val="16"/>
              </w:rPr>
              <w:t>Supplies</w:t>
            </w:r>
            <w:r>
              <w:rPr>
                <w:spacing w:val="-4"/>
                <w:sz w:val="16"/>
              </w:rPr>
              <w:t> </w:t>
            </w:r>
            <w:r>
              <w:rPr>
                <w:sz w:val="16"/>
              </w:rPr>
              <w:t>and</w:t>
            </w:r>
            <w:r>
              <w:rPr>
                <w:spacing w:val="-2"/>
                <w:sz w:val="16"/>
              </w:rPr>
              <w:t> materials</w:t>
            </w:r>
          </w:p>
        </w:tc>
        <w:tc>
          <w:tcPr>
            <w:tcW w:w="1218" w:type="dxa"/>
          </w:tcPr>
          <w:p>
            <w:pPr>
              <w:pStyle w:val="TableParagraph"/>
              <w:spacing w:before="7"/>
              <w:ind w:right="193"/>
              <w:rPr>
                <w:sz w:val="16"/>
              </w:rPr>
            </w:pPr>
            <w:r>
              <w:rPr>
                <w:w w:val="98"/>
                <w:sz w:val="16"/>
              </w:rPr>
              <w:t>-</w:t>
            </w:r>
          </w:p>
        </w:tc>
        <w:tc>
          <w:tcPr>
            <w:tcW w:w="827" w:type="dxa"/>
          </w:tcPr>
          <w:p>
            <w:pPr>
              <w:pStyle w:val="TableParagraph"/>
              <w:spacing w:before="7"/>
              <w:ind w:right="107"/>
              <w:rPr>
                <w:sz w:val="16"/>
              </w:rPr>
            </w:pPr>
            <w:r>
              <w:rPr>
                <w:w w:val="98"/>
                <w:sz w:val="16"/>
              </w:rPr>
              <w:t>-</w:t>
            </w:r>
          </w:p>
        </w:tc>
        <w:tc>
          <w:tcPr>
            <w:tcW w:w="1133" w:type="dxa"/>
          </w:tcPr>
          <w:p>
            <w:pPr>
              <w:pStyle w:val="TableParagraph"/>
              <w:spacing w:before="7"/>
              <w:ind w:right="107"/>
              <w:rPr>
                <w:sz w:val="16"/>
              </w:rPr>
            </w:pPr>
            <w:r>
              <w:rPr>
                <w:w w:val="98"/>
                <w:sz w:val="16"/>
              </w:rPr>
              <w:t>-</w:t>
            </w:r>
          </w:p>
        </w:tc>
        <w:tc>
          <w:tcPr>
            <w:tcW w:w="1078" w:type="dxa"/>
          </w:tcPr>
          <w:p>
            <w:pPr>
              <w:pStyle w:val="TableParagraph"/>
              <w:spacing w:before="7"/>
              <w:ind w:right="52"/>
              <w:rPr>
                <w:sz w:val="16"/>
              </w:rPr>
            </w:pPr>
            <w:r>
              <w:rPr>
                <w:w w:val="98"/>
                <w:sz w:val="16"/>
              </w:rPr>
              <w:t>-</w:t>
            </w:r>
          </w:p>
        </w:tc>
        <w:tc>
          <w:tcPr>
            <w:tcW w:w="1122" w:type="dxa"/>
          </w:tcPr>
          <w:p>
            <w:pPr>
              <w:pStyle w:val="TableParagraph"/>
              <w:spacing w:before="7"/>
              <w:ind w:right="185"/>
              <w:rPr>
                <w:sz w:val="16"/>
              </w:rPr>
            </w:pPr>
            <w:r>
              <w:rPr>
                <w:w w:val="98"/>
                <w:sz w:val="16"/>
              </w:rPr>
              <w:t>-</w:t>
            </w:r>
          </w:p>
        </w:tc>
        <w:tc>
          <w:tcPr>
            <w:tcW w:w="753" w:type="dxa"/>
          </w:tcPr>
          <w:p>
            <w:pPr>
              <w:pStyle w:val="TableParagraph"/>
              <w:spacing w:before="7"/>
              <w:ind w:right="174"/>
              <w:rPr>
                <w:sz w:val="16"/>
              </w:rPr>
            </w:pPr>
            <w:r>
              <w:rPr>
                <w:w w:val="98"/>
                <w:sz w:val="16"/>
              </w:rPr>
              <w:t>-</w:t>
            </w:r>
          </w:p>
        </w:tc>
        <w:tc>
          <w:tcPr>
            <w:tcW w:w="1053" w:type="dxa"/>
          </w:tcPr>
          <w:p>
            <w:pPr>
              <w:pStyle w:val="TableParagraph"/>
              <w:spacing w:before="7"/>
              <w:ind w:right="103"/>
              <w:rPr>
                <w:sz w:val="16"/>
              </w:rPr>
            </w:pPr>
            <w:r>
              <w:rPr>
                <w:w w:val="98"/>
                <w:sz w:val="16"/>
              </w:rPr>
              <w:t>-</w:t>
            </w:r>
          </w:p>
        </w:tc>
      </w:tr>
      <w:tr>
        <w:trPr>
          <w:trHeight w:val="223" w:hRule="atLeast"/>
        </w:trPr>
        <w:tc>
          <w:tcPr>
            <w:tcW w:w="2461" w:type="dxa"/>
            <w:tcBorders>
              <w:bottom w:val="single" w:sz="4" w:space="0" w:color="000000"/>
            </w:tcBorders>
          </w:tcPr>
          <w:p>
            <w:pPr>
              <w:pStyle w:val="TableParagraph"/>
              <w:spacing w:before="7"/>
              <w:ind w:left="117"/>
              <w:jc w:val="left"/>
              <w:rPr>
                <w:sz w:val="16"/>
              </w:rPr>
            </w:pPr>
            <w:r>
              <w:rPr>
                <w:sz w:val="16"/>
              </w:rPr>
              <w:t>Furniture</w:t>
            </w:r>
            <w:r>
              <w:rPr>
                <w:spacing w:val="-4"/>
                <w:sz w:val="16"/>
              </w:rPr>
              <w:t> </w:t>
            </w:r>
            <w:r>
              <w:rPr>
                <w:sz w:val="16"/>
              </w:rPr>
              <w:t>and</w:t>
            </w:r>
            <w:r>
              <w:rPr>
                <w:spacing w:val="-2"/>
                <w:sz w:val="16"/>
              </w:rPr>
              <w:t> equipment</w:t>
            </w:r>
          </w:p>
        </w:tc>
        <w:tc>
          <w:tcPr>
            <w:tcW w:w="1218" w:type="dxa"/>
            <w:tcBorders>
              <w:bottom w:val="single" w:sz="4" w:space="0" w:color="000000"/>
            </w:tcBorders>
          </w:tcPr>
          <w:p>
            <w:pPr>
              <w:pStyle w:val="TableParagraph"/>
              <w:spacing w:before="7"/>
              <w:ind w:right="193"/>
              <w:rPr>
                <w:sz w:val="16"/>
              </w:rPr>
            </w:pPr>
            <w:r>
              <w:rPr>
                <w:w w:val="98"/>
                <w:sz w:val="16"/>
              </w:rPr>
              <w:t>-</w:t>
            </w:r>
          </w:p>
        </w:tc>
        <w:tc>
          <w:tcPr>
            <w:tcW w:w="827" w:type="dxa"/>
            <w:tcBorders>
              <w:bottom w:val="single" w:sz="4" w:space="0" w:color="000000"/>
            </w:tcBorders>
          </w:tcPr>
          <w:p>
            <w:pPr>
              <w:pStyle w:val="TableParagraph"/>
              <w:spacing w:before="7"/>
              <w:ind w:right="107"/>
              <w:rPr>
                <w:sz w:val="16"/>
              </w:rPr>
            </w:pPr>
            <w:r>
              <w:rPr>
                <w:w w:val="98"/>
                <w:sz w:val="16"/>
              </w:rPr>
              <w:t>-</w:t>
            </w:r>
          </w:p>
        </w:tc>
        <w:tc>
          <w:tcPr>
            <w:tcW w:w="1133" w:type="dxa"/>
            <w:tcBorders>
              <w:bottom w:val="single" w:sz="4" w:space="0" w:color="000000"/>
            </w:tcBorders>
          </w:tcPr>
          <w:p>
            <w:pPr>
              <w:pStyle w:val="TableParagraph"/>
              <w:spacing w:before="7"/>
              <w:ind w:right="107"/>
              <w:rPr>
                <w:sz w:val="16"/>
              </w:rPr>
            </w:pPr>
            <w:r>
              <w:rPr>
                <w:w w:val="98"/>
                <w:sz w:val="16"/>
              </w:rPr>
              <w:t>-</w:t>
            </w:r>
          </w:p>
        </w:tc>
        <w:tc>
          <w:tcPr>
            <w:tcW w:w="1078" w:type="dxa"/>
            <w:tcBorders>
              <w:bottom w:val="single" w:sz="4" w:space="0" w:color="000000"/>
            </w:tcBorders>
          </w:tcPr>
          <w:p>
            <w:pPr>
              <w:pStyle w:val="TableParagraph"/>
              <w:spacing w:before="7"/>
              <w:ind w:right="52"/>
              <w:rPr>
                <w:sz w:val="16"/>
              </w:rPr>
            </w:pPr>
            <w:r>
              <w:rPr>
                <w:w w:val="98"/>
                <w:sz w:val="16"/>
              </w:rPr>
              <w:t>-</w:t>
            </w:r>
          </w:p>
        </w:tc>
        <w:tc>
          <w:tcPr>
            <w:tcW w:w="1122" w:type="dxa"/>
            <w:tcBorders>
              <w:bottom w:val="single" w:sz="4" w:space="0" w:color="000000"/>
            </w:tcBorders>
          </w:tcPr>
          <w:p>
            <w:pPr>
              <w:pStyle w:val="TableParagraph"/>
              <w:spacing w:before="7"/>
              <w:ind w:right="185"/>
              <w:rPr>
                <w:sz w:val="16"/>
              </w:rPr>
            </w:pPr>
            <w:r>
              <w:rPr>
                <w:w w:val="98"/>
                <w:sz w:val="16"/>
              </w:rPr>
              <w:t>-</w:t>
            </w:r>
          </w:p>
        </w:tc>
        <w:tc>
          <w:tcPr>
            <w:tcW w:w="753" w:type="dxa"/>
            <w:tcBorders>
              <w:bottom w:val="single" w:sz="4" w:space="0" w:color="000000"/>
            </w:tcBorders>
          </w:tcPr>
          <w:p>
            <w:pPr>
              <w:pStyle w:val="TableParagraph"/>
              <w:spacing w:before="7"/>
              <w:ind w:right="174"/>
              <w:rPr>
                <w:sz w:val="16"/>
              </w:rPr>
            </w:pPr>
            <w:r>
              <w:rPr>
                <w:w w:val="98"/>
                <w:sz w:val="16"/>
              </w:rPr>
              <w:t>-</w:t>
            </w:r>
          </w:p>
        </w:tc>
        <w:tc>
          <w:tcPr>
            <w:tcW w:w="1053" w:type="dxa"/>
            <w:tcBorders>
              <w:bottom w:val="single" w:sz="4" w:space="0" w:color="000000"/>
            </w:tcBorders>
          </w:tcPr>
          <w:p>
            <w:pPr>
              <w:pStyle w:val="TableParagraph"/>
              <w:spacing w:before="7"/>
              <w:ind w:right="103"/>
              <w:rPr>
                <w:sz w:val="16"/>
              </w:rPr>
            </w:pPr>
            <w:r>
              <w:rPr>
                <w:w w:val="98"/>
                <w:sz w:val="16"/>
              </w:rPr>
              <w:t>-</w:t>
            </w:r>
          </w:p>
        </w:tc>
      </w:tr>
      <w:tr>
        <w:trPr>
          <w:trHeight w:val="225" w:hRule="atLeast"/>
        </w:trPr>
        <w:tc>
          <w:tcPr>
            <w:tcW w:w="2461" w:type="dxa"/>
            <w:tcBorders>
              <w:top w:val="single" w:sz="4" w:space="0" w:color="000000"/>
              <w:bottom w:val="single" w:sz="4" w:space="0" w:color="000000"/>
            </w:tcBorders>
          </w:tcPr>
          <w:p>
            <w:pPr>
              <w:pStyle w:val="TableParagraph"/>
              <w:spacing w:before="14"/>
              <w:ind w:right="103"/>
              <w:rPr>
                <w:i/>
                <w:sz w:val="16"/>
              </w:rPr>
            </w:pPr>
            <w:r>
              <w:rPr>
                <w:i/>
                <w:w w:val="95"/>
                <w:sz w:val="16"/>
              </w:rPr>
              <w:t>Subtotal</w:t>
            </w:r>
            <w:r>
              <w:rPr>
                <w:i/>
                <w:spacing w:val="40"/>
                <w:sz w:val="16"/>
              </w:rPr>
              <w:t> </w:t>
            </w:r>
            <w:r>
              <w:rPr>
                <w:i/>
                <w:w w:val="95"/>
                <w:sz w:val="16"/>
              </w:rPr>
              <w:t>non-</w:t>
            </w:r>
            <w:r>
              <w:rPr>
                <w:i/>
                <w:spacing w:val="-4"/>
                <w:w w:val="95"/>
                <w:sz w:val="16"/>
              </w:rPr>
              <w:t>staff</w:t>
            </w:r>
          </w:p>
        </w:tc>
        <w:tc>
          <w:tcPr>
            <w:tcW w:w="1218" w:type="dxa"/>
            <w:tcBorders>
              <w:top w:val="single" w:sz="4" w:space="0" w:color="000000"/>
              <w:bottom w:val="single" w:sz="4" w:space="0" w:color="000000"/>
            </w:tcBorders>
          </w:tcPr>
          <w:p>
            <w:pPr>
              <w:pStyle w:val="TableParagraph"/>
              <w:spacing w:before="14"/>
              <w:ind w:right="191"/>
              <w:rPr>
                <w:i/>
                <w:sz w:val="16"/>
              </w:rPr>
            </w:pPr>
            <w:r>
              <w:rPr>
                <w:i/>
                <w:spacing w:val="-2"/>
                <w:sz w:val="16"/>
              </w:rPr>
              <w:t>246.7</w:t>
            </w:r>
          </w:p>
        </w:tc>
        <w:tc>
          <w:tcPr>
            <w:tcW w:w="827" w:type="dxa"/>
            <w:tcBorders>
              <w:top w:val="single" w:sz="4" w:space="0" w:color="000000"/>
              <w:bottom w:val="single" w:sz="4" w:space="0" w:color="000000"/>
            </w:tcBorders>
          </w:tcPr>
          <w:p>
            <w:pPr>
              <w:pStyle w:val="TableParagraph"/>
              <w:spacing w:before="14"/>
              <w:ind w:right="107"/>
              <w:rPr>
                <w:i/>
                <w:sz w:val="16"/>
              </w:rPr>
            </w:pPr>
            <w:r>
              <w:rPr>
                <w:i/>
                <w:w w:val="98"/>
                <w:sz w:val="16"/>
              </w:rPr>
              <w:t>-</w:t>
            </w:r>
          </w:p>
        </w:tc>
        <w:tc>
          <w:tcPr>
            <w:tcW w:w="1133" w:type="dxa"/>
            <w:tcBorders>
              <w:top w:val="single" w:sz="4" w:space="0" w:color="000000"/>
              <w:bottom w:val="single" w:sz="4" w:space="0" w:color="000000"/>
            </w:tcBorders>
          </w:tcPr>
          <w:p>
            <w:pPr>
              <w:pStyle w:val="TableParagraph"/>
              <w:spacing w:before="14"/>
              <w:ind w:right="106"/>
              <w:rPr>
                <w:i/>
                <w:sz w:val="16"/>
              </w:rPr>
            </w:pPr>
            <w:r>
              <w:rPr>
                <w:i/>
                <w:spacing w:val="-2"/>
                <w:sz w:val="16"/>
              </w:rPr>
              <w:t>246.7</w:t>
            </w:r>
          </w:p>
        </w:tc>
        <w:tc>
          <w:tcPr>
            <w:tcW w:w="1078" w:type="dxa"/>
            <w:tcBorders>
              <w:top w:val="single" w:sz="4" w:space="0" w:color="000000"/>
              <w:bottom w:val="single" w:sz="4" w:space="0" w:color="000000"/>
            </w:tcBorders>
          </w:tcPr>
          <w:p>
            <w:pPr>
              <w:pStyle w:val="TableParagraph"/>
              <w:spacing w:before="14"/>
              <w:ind w:right="50"/>
              <w:rPr>
                <w:i/>
                <w:sz w:val="16"/>
              </w:rPr>
            </w:pPr>
            <w:r>
              <w:rPr>
                <w:i/>
                <w:spacing w:val="-2"/>
                <w:sz w:val="16"/>
              </w:rPr>
              <w:t>446.4</w:t>
            </w:r>
          </w:p>
        </w:tc>
        <w:tc>
          <w:tcPr>
            <w:tcW w:w="1122" w:type="dxa"/>
            <w:tcBorders>
              <w:top w:val="single" w:sz="4" w:space="0" w:color="000000"/>
              <w:bottom w:val="single" w:sz="4" w:space="0" w:color="000000"/>
            </w:tcBorders>
          </w:tcPr>
          <w:p>
            <w:pPr>
              <w:pStyle w:val="TableParagraph"/>
              <w:spacing w:before="14"/>
              <w:ind w:right="183"/>
              <w:rPr>
                <w:i/>
                <w:sz w:val="16"/>
              </w:rPr>
            </w:pPr>
            <w:r>
              <w:rPr>
                <w:i/>
                <w:spacing w:val="-4"/>
                <w:sz w:val="16"/>
              </w:rPr>
              <w:t>14.6</w:t>
            </w:r>
          </w:p>
        </w:tc>
        <w:tc>
          <w:tcPr>
            <w:tcW w:w="753" w:type="dxa"/>
            <w:tcBorders>
              <w:top w:val="single" w:sz="4" w:space="0" w:color="000000"/>
              <w:bottom w:val="single" w:sz="4" w:space="0" w:color="000000"/>
            </w:tcBorders>
          </w:tcPr>
          <w:p>
            <w:pPr>
              <w:pStyle w:val="TableParagraph"/>
              <w:spacing w:before="14"/>
              <w:ind w:right="177"/>
              <w:rPr>
                <w:i/>
                <w:sz w:val="16"/>
              </w:rPr>
            </w:pPr>
            <w:r>
              <w:rPr>
                <w:i/>
                <w:spacing w:val="-5"/>
                <w:sz w:val="16"/>
              </w:rPr>
              <w:t>3.3</w:t>
            </w:r>
          </w:p>
        </w:tc>
        <w:tc>
          <w:tcPr>
            <w:tcW w:w="1053" w:type="dxa"/>
            <w:tcBorders>
              <w:top w:val="single" w:sz="4" w:space="0" w:color="000000"/>
              <w:bottom w:val="single" w:sz="4" w:space="0" w:color="000000"/>
            </w:tcBorders>
          </w:tcPr>
          <w:p>
            <w:pPr>
              <w:pStyle w:val="TableParagraph"/>
              <w:spacing w:before="14"/>
              <w:ind w:right="102"/>
              <w:rPr>
                <w:i/>
                <w:sz w:val="16"/>
              </w:rPr>
            </w:pPr>
            <w:r>
              <w:rPr>
                <w:i/>
                <w:spacing w:val="-2"/>
                <w:sz w:val="16"/>
              </w:rPr>
              <w:t>461.0</w:t>
            </w:r>
          </w:p>
        </w:tc>
      </w:tr>
      <w:tr>
        <w:trPr>
          <w:trHeight w:val="230" w:hRule="atLeast"/>
        </w:trPr>
        <w:tc>
          <w:tcPr>
            <w:tcW w:w="2461" w:type="dxa"/>
            <w:tcBorders>
              <w:top w:val="single" w:sz="4" w:space="0" w:color="000000"/>
              <w:bottom w:val="single" w:sz="12" w:space="0" w:color="000000"/>
            </w:tcBorders>
          </w:tcPr>
          <w:p>
            <w:pPr>
              <w:pStyle w:val="TableParagraph"/>
              <w:spacing w:before="14"/>
              <w:ind w:left="117"/>
              <w:jc w:val="left"/>
              <w:rPr>
                <w:b/>
                <w:sz w:val="16"/>
              </w:rPr>
            </w:pPr>
            <w:r>
              <w:rPr>
                <w:b/>
                <w:spacing w:val="-2"/>
                <w:sz w:val="16"/>
              </w:rPr>
              <w:t>Total</w:t>
            </w:r>
          </w:p>
        </w:tc>
        <w:tc>
          <w:tcPr>
            <w:tcW w:w="1218" w:type="dxa"/>
            <w:tcBorders>
              <w:top w:val="single" w:sz="4" w:space="0" w:color="000000"/>
              <w:bottom w:val="single" w:sz="12" w:space="0" w:color="000000"/>
            </w:tcBorders>
          </w:tcPr>
          <w:p>
            <w:pPr>
              <w:pStyle w:val="TableParagraph"/>
              <w:spacing w:before="14"/>
              <w:ind w:right="191"/>
              <w:rPr>
                <w:b/>
                <w:sz w:val="16"/>
              </w:rPr>
            </w:pPr>
            <w:r>
              <w:rPr>
                <w:b/>
                <w:spacing w:val="-2"/>
                <w:sz w:val="16"/>
              </w:rPr>
              <w:t>687.4</w:t>
            </w:r>
          </w:p>
        </w:tc>
        <w:tc>
          <w:tcPr>
            <w:tcW w:w="827" w:type="dxa"/>
            <w:tcBorders>
              <w:top w:val="single" w:sz="4" w:space="0" w:color="000000"/>
              <w:bottom w:val="single" w:sz="12" w:space="0" w:color="000000"/>
            </w:tcBorders>
          </w:tcPr>
          <w:p>
            <w:pPr>
              <w:pStyle w:val="TableParagraph"/>
              <w:spacing w:before="14"/>
              <w:ind w:right="107"/>
              <w:rPr>
                <w:b/>
                <w:sz w:val="16"/>
              </w:rPr>
            </w:pPr>
            <w:r>
              <w:rPr>
                <w:b/>
                <w:w w:val="98"/>
                <w:sz w:val="16"/>
              </w:rPr>
              <w:t>-</w:t>
            </w:r>
          </w:p>
        </w:tc>
        <w:tc>
          <w:tcPr>
            <w:tcW w:w="1133" w:type="dxa"/>
            <w:tcBorders>
              <w:top w:val="single" w:sz="4" w:space="0" w:color="000000"/>
              <w:bottom w:val="single" w:sz="12" w:space="0" w:color="000000"/>
            </w:tcBorders>
          </w:tcPr>
          <w:p>
            <w:pPr>
              <w:pStyle w:val="TableParagraph"/>
              <w:spacing w:before="14"/>
              <w:ind w:right="106"/>
              <w:rPr>
                <w:b/>
                <w:sz w:val="16"/>
              </w:rPr>
            </w:pPr>
            <w:r>
              <w:rPr>
                <w:b/>
                <w:spacing w:val="-2"/>
                <w:sz w:val="16"/>
              </w:rPr>
              <w:t>687.4</w:t>
            </w:r>
          </w:p>
        </w:tc>
        <w:tc>
          <w:tcPr>
            <w:tcW w:w="1078" w:type="dxa"/>
            <w:tcBorders>
              <w:top w:val="single" w:sz="4" w:space="0" w:color="000000"/>
              <w:bottom w:val="single" w:sz="12" w:space="0" w:color="000000"/>
            </w:tcBorders>
          </w:tcPr>
          <w:p>
            <w:pPr>
              <w:pStyle w:val="TableParagraph"/>
              <w:spacing w:before="14"/>
              <w:ind w:right="50"/>
              <w:rPr>
                <w:b/>
                <w:sz w:val="16"/>
              </w:rPr>
            </w:pPr>
            <w:r>
              <w:rPr>
                <w:b/>
                <w:spacing w:val="-2"/>
                <w:sz w:val="16"/>
              </w:rPr>
              <w:t>902.9</w:t>
            </w:r>
          </w:p>
        </w:tc>
        <w:tc>
          <w:tcPr>
            <w:tcW w:w="1122" w:type="dxa"/>
            <w:tcBorders>
              <w:top w:val="single" w:sz="4" w:space="0" w:color="000000"/>
              <w:bottom w:val="single" w:sz="12" w:space="0" w:color="000000"/>
            </w:tcBorders>
          </w:tcPr>
          <w:p>
            <w:pPr>
              <w:pStyle w:val="TableParagraph"/>
              <w:spacing w:before="14"/>
              <w:ind w:right="183"/>
              <w:rPr>
                <w:b/>
                <w:sz w:val="16"/>
              </w:rPr>
            </w:pPr>
            <w:r>
              <w:rPr>
                <w:b/>
                <w:spacing w:val="-4"/>
                <w:sz w:val="16"/>
              </w:rPr>
              <w:t>31.7</w:t>
            </w:r>
          </w:p>
        </w:tc>
        <w:tc>
          <w:tcPr>
            <w:tcW w:w="753" w:type="dxa"/>
            <w:tcBorders>
              <w:top w:val="single" w:sz="4" w:space="0" w:color="000000"/>
              <w:bottom w:val="single" w:sz="12" w:space="0" w:color="000000"/>
            </w:tcBorders>
          </w:tcPr>
          <w:p>
            <w:pPr>
              <w:pStyle w:val="TableParagraph"/>
              <w:spacing w:before="14"/>
              <w:ind w:right="177"/>
              <w:rPr>
                <w:b/>
                <w:sz w:val="16"/>
              </w:rPr>
            </w:pPr>
            <w:r>
              <w:rPr>
                <w:b/>
                <w:spacing w:val="-5"/>
                <w:sz w:val="16"/>
              </w:rPr>
              <w:t>3.5</w:t>
            </w:r>
          </w:p>
        </w:tc>
        <w:tc>
          <w:tcPr>
            <w:tcW w:w="1053" w:type="dxa"/>
            <w:tcBorders>
              <w:top w:val="single" w:sz="4" w:space="0" w:color="000000"/>
              <w:bottom w:val="single" w:sz="12" w:space="0" w:color="000000"/>
            </w:tcBorders>
          </w:tcPr>
          <w:p>
            <w:pPr>
              <w:pStyle w:val="TableParagraph"/>
              <w:spacing w:before="14"/>
              <w:ind w:right="102"/>
              <w:rPr>
                <w:b/>
                <w:sz w:val="16"/>
              </w:rPr>
            </w:pPr>
            <w:r>
              <w:rPr>
                <w:b/>
                <w:spacing w:val="-2"/>
                <w:sz w:val="16"/>
              </w:rPr>
              <w:t>934.6</w:t>
            </w:r>
          </w:p>
        </w:tc>
      </w:tr>
    </w:tbl>
    <w:p>
      <w:pPr>
        <w:pStyle w:val="BodyText"/>
        <w:spacing w:before="8"/>
        <w:rPr>
          <w:b/>
          <w:sz w:val="21"/>
        </w:rPr>
      </w:pPr>
    </w:p>
    <w:p>
      <w:pPr>
        <w:spacing w:before="0"/>
        <w:ind w:left="2246" w:right="0" w:firstLine="0"/>
        <w:jc w:val="left"/>
        <w:rPr>
          <w:b/>
          <w:sz w:val="20"/>
        </w:rPr>
      </w:pPr>
      <w:r>
        <w:rPr>
          <w:b/>
          <w:sz w:val="20"/>
        </w:rPr>
        <w:t>Table</w:t>
      </w:r>
      <w:r>
        <w:rPr>
          <w:b/>
          <w:spacing w:val="-6"/>
          <w:sz w:val="20"/>
        </w:rPr>
        <w:t> </w:t>
      </w:r>
      <w:r>
        <w:rPr>
          <w:b/>
          <w:sz w:val="20"/>
        </w:rPr>
        <w:t>41:</w:t>
      </w:r>
      <w:r>
        <w:rPr>
          <w:b/>
          <w:spacing w:val="-7"/>
          <w:sz w:val="20"/>
        </w:rPr>
        <w:t> </w:t>
      </w:r>
      <w:r>
        <w:rPr>
          <w:b/>
          <w:sz w:val="20"/>
        </w:rPr>
        <w:t>Programme</w:t>
      </w:r>
      <w:r>
        <w:rPr>
          <w:b/>
          <w:spacing w:val="-4"/>
          <w:sz w:val="20"/>
        </w:rPr>
        <w:t> </w:t>
      </w:r>
      <w:r>
        <w:rPr>
          <w:b/>
          <w:sz w:val="20"/>
        </w:rPr>
        <w:t>4500:</w:t>
      </w:r>
      <w:r>
        <w:rPr>
          <w:b/>
          <w:spacing w:val="-8"/>
          <w:sz w:val="20"/>
        </w:rPr>
        <w:t> </w:t>
      </w:r>
      <w:r>
        <w:rPr>
          <w:b/>
          <w:sz w:val="20"/>
        </w:rPr>
        <w:t>Proposed</w:t>
      </w:r>
      <w:r>
        <w:rPr>
          <w:b/>
          <w:spacing w:val="-8"/>
          <w:sz w:val="20"/>
        </w:rPr>
        <w:t> </w:t>
      </w:r>
      <w:r>
        <w:rPr>
          <w:b/>
          <w:sz w:val="20"/>
        </w:rPr>
        <w:t>staffing</w:t>
      </w:r>
      <w:r>
        <w:rPr>
          <w:b/>
          <w:spacing w:val="-3"/>
          <w:sz w:val="20"/>
        </w:rPr>
        <w:t> </w:t>
      </w:r>
      <w:r>
        <w:rPr>
          <w:b/>
          <w:sz w:val="20"/>
        </w:rPr>
        <w:t>for</w:t>
      </w:r>
      <w:r>
        <w:rPr>
          <w:b/>
          <w:spacing w:val="-5"/>
          <w:sz w:val="20"/>
        </w:rPr>
        <w:t> </w:t>
      </w:r>
      <w:r>
        <w:rPr>
          <w:b/>
          <w:spacing w:val="-4"/>
          <w:sz w:val="20"/>
        </w:rPr>
        <w:t>2023</w:t>
      </w:r>
    </w:p>
    <w:tbl>
      <w:tblPr>
        <w:tblW w:w="0" w:type="auto"/>
        <w:jc w:val="left"/>
        <w:tblInd w:w="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6"/>
        <w:gridCol w:w="678"/>
        <w:gridCol w:w="607"/>
        <w:gridCol w:w="563"/>
        <w:gridCol w:w="581"/>
        <w:gridCol w:w="581"/>
        <w:gridCol w:w="566"/>
        <w:gridCol w:w="693"/>
        <w:gridCol w:w="666"/>
        <w:gridCol w:w="466"/>
        <w:gridCol w:w="795"/>
        <w:gridCol w:w="569"/>
        <w:gridCol w:w="578"/>
        <w:gridCol w:w="563"/>
        <w:gridCol w:w="821"/>
        <w:gridCol w:w="520"/>
      </w:tblGrid>
      <w:tr>
        <w:trPr>
          <w:trHeight w:val="484" w:hRule="atLeast"/>
        </w:trPr>
        <w:tc>
          <w:tcPr>
            <w:tcW w:w="1186"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left="67"/>
              <w:jc w:val="left"/>
              <w:rPr>
                <w:sz w:val="14"/>
              </w:rPr>
            </w:pPr>
            <w:r>
              <w:rPr>
                <w:spacing w:val="-4"/>
                <w:sz w:val="14"/>
              </w:rPr>
              <w:t>4500</w:t>
            </w:r>
          </w:p>
        </w:tc>
        <w:tc>
          <w:tcPr>
            <w:tcW w:w="678"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152"/>
              <w:rPr>
                <w:sz w:val="14"/>
              </w:rPr>
            </w:pPr>
            <w:r>
              <w:rPr>
                <w:spacing w:val="-5"/>
                <w:sz w:val="14"/>
              </w:rPr>
              <w:t>USG</w:t>
            </w:r>
          </w:p>
        </w:tc>
        <w:tc>
          <w:tcPr>
            <w:tcW w:w="607"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169"/>
              <w:rPr>
                <w:sz w:val="14"/>
              </w:rPr>
            </w:pPr>
            <w:r>
              <w:rPr>
                <w:spacing w:val="-5"/>
                <w:sz w:val="14"/>
              </w:rPr>
              <w:t>ASG</w:t>
            </w:r>
          </w:p>
        </w:tc>
        <w:tc>
          <w:tcPr>
            <w:tcW w:w="563"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167"/>
              <w:rPr>
                <w:sz w:val="14"/>
              </w:rPr>
            </w:pPr>
            <w:r>
              <w:rPr>
                <w:w w:val="95"/>
                <w:sz w:val="14"/>
              </w:rPr>
              <w:t>D-</w:t>
            </w:r>
            <w:r>
              <w:rPr>
                <w:spacing w:val="-10"/>
                <w:sz w:val="14"/>
              </w:rPr>
              <w:t>2</w:t>
            </w:r>
          </w:p>
        </w:tc>
        <w:tc>
          <w:tcPr>
            <w:tcW w:w="581"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187"/>
              <w:rPr>
                <w:sz w:val="14"/>
              </w:rPr>
            </w:pPr>
            <w:r>
              <w:rPr>
                <w:w w:val="95"/>
                <w:sz w:val="14"/>
              </w:rPr>
              <w:t>D-</w:t>
            </w:r>
            <w:r>
              <w:rPr>
                <w:spacing w:val="-10"/>
                <w:sz w:val="14"/>
              </w:rPr>
              <w:t>1</w:t>
            </w:r>
          </w:p>
        </w:tc>
        <w:tc>
          <w:tcPr>
            <w:tcW w:w="581"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left="17" w:right="17"/>
              <w:jc w:val="center"/>
              <w:rPr>
                <w:sz w:val="14"/>
              </w:rPr>
            </w:pPr>
            <w:r>
              <w:rPr>
                <w:w w:val="95"/>
                <w:sz w:val="14"/>
              </w:rPr>
              <w:t>P-</w:t>
            </w:r>
            <w:r>
              <w:rPr>
                <w:spacing w:val="-10"/>
                <w:sz w:val="14"/>
              </w:rPr>
              <w:t>5</w:t>
            </w:r>
          </w:p>
        </w:tc>
        <w:tc>
          <w:tcPr>
            <w:tcW w:w="566"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172"/>
              <w:rPr>
                <w:sz w:val="14"/>
              </w:rPr>
            </w:pPr>
            <w:r>
              <w:rPr>
                <w:w w:val="95"/>
                <w:sz w:val="14"/>
              </w:rPr>
              <w:t>P-</w:t>
            </w:r>
            <w:r>
              <w:rPr>
                <w:spacing w:val="-10"/>
                <w:sz w:val="14"/>
              </w:rPr>
              <w:t>4</w:t>
            </w:r>
          </w:p>
        </w:tc>
        <w:tc>
          <w:tcPr>
            <w:tcW w:w="693"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269"/>
              <w:rPr>
                <w:sz w:val="14"/>
              </w:rPr>
            </w:pPr>
            <w:r>
              <w:rPr>
                <w:w w:val="95"/>
                <w:sz w:val="14"/>
              </w:rPr>
              <w:t>P-</w:t>
            </w:r>
            <w:r>
              <w:rPr>
                <w:spacing w:val="-10"/>
                <w:sz w:val="14"/>
              </w:rPr>
              <w:t>3</w:t>
            </w:r>
          </w:p>
        </w:tc>
        <w:tc>
          <w:tcPr>
            <w:tcW w:w="666"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195"/>
              <w:rPr>
                <w:sz w:val="14"/>
              </w:rPr>
            </w:pPr>
            <w:r>
              <w:rPr>
                <w:w w:val="95"/>
                <w:sz w:val="14"/>
              </w:rPr>
              <w:t>P-</w:t>
            </w:r>
            <w:r>
              <w:rPr>
                <w:spacing w:val="-10"/>
                <w:sz w:val="14"/>
              </w:rPr>
              <w:t>2</w:t>
            </w:r>
          </w:p>
        </w:tc>
        <w:tc>
          <w:tcPr>
            <w:tcW w:w="466"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66"/>
              <w:rPr>
                <w:sz w:val="14"/>
              </w:rPr>
            </w:pPr>
            <w:r>
              <w:rPr>
                <w:w w:val="95"/>
                <w:sz w:val="14"/>
              </w:rPr>
              <w:t>P-</w:t>
            </w:r>
            <w:r>
              <w:rPr>
                <w:spacing w:val="-10"/>
                <w:sz w:val="14"/>
              </w:rPr>
              <w:t>1</w:t>
            </w:r>
          </w:p>
        </w:tc>
        <w:tc>
          <w:tcPr>
            <w:tcW w:w="795" w:type="dxa"/>
            <w:tcBorders>
              <w:top w:val="single" w:sz="4" w:space="0" w:color="000000"/>
              <w:bottom w:val="single" w:sz="4" w:space="0" w:color="000000"/>
            </w:tcBorders>
          </w:tcPr>
          <w:p>
            <w:pPr>
              <w:pStyle w:val="TableParagraph"/>
              <w:spacing w:line="150" w:lineRule="exact"/>
              <w:ind w:left="371"/>
              <w:jc w:val="left"/>
              <w:rPr>
                <w:i/>
                <w:sz w:val="14"/>
              </w:rPr>
            </w:pPr>
            <w:r>
              <w:rPr>
                <w:i/>
                <w:spacing w:val="-2"/>
                <w:sz w:val="14"/>
              </w:rPr>
              <w:t>Total</w:t>
            </w:r>
          </w:p>
          <w:p>
            <w:pPr>
              <w:pStyle w:val="TableParagraph"/>
              <w:spacing w:line="160" w:lineRule="atLeast"/>
              <w:ind w:left="72" w:right="117" w:firstLine="201"/>
              <w:jc w:val="left"/>
              <w:rPr>
                <w:i/>
                <w:sz w:val="14"/>
              </w:rPr>
            </w:pPr>
            <w:r>
              <w:rPr>
                <w:i/>
                <w:spacing w:val="-2"/>
                <w:sz w:val="14"/>
              </w:rPr>
              <w:t>P-Staff</w:t>
            </w:r>
            <w:r>
              <w:rPr>
                <w:i/>
                <w:spacing w:val="40"/>
                <w:sz w:val="14"/>
              </w:rPr>
              <w:t> </w:t>
            </w:r>
            <w:r>
              <w:rPr>
                <w:i/>
                <w:sz w:val="14"/>
              </w:rPr>
              <w:t>and</w:t>
            </w:r>
            <w:r>
              <w:rPr>
                <w:i/>
                <w:spacing w:val="1"/>
                <w:sz w:val="14"/>
              </w:rPr>
              <w:t> </w:t>
            </w:r>
            <w:r>
              <w:rPr>
                <w:i/>
                <w:spacing w:val="-2"/>
                <w:sz w:val="14"/>
              </w:rPr>
              <w:t>Above</w:t>
            </w:r>
          </w:p>
        </w:tc>
        <w:tc>
          <w:tcPr>
            <w:tcW w:w="569"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96"/>
              <w:rPr>
                <w:sz w:val="14"/>
              </w:rPr>
            </w:pPr>
            <w:r>
              <w:rPr>
                <w:w w:val="95"/>
                <w:sz w:val="14"/>
              </w:rPr>
              <w:t>NO-</w:t>
            </w:r>
            <w:r>
              <w:rPr>
                <w:spacing w:val="-10"/>
                <w:sz w:val="14"/>
              </w:rPr>
              <w:t>C</w:t>
            </w:r>
          </w:p>
        </w:tc>
        <w:tc>
          <w:tcPr>
            <w:tcW w:w="578"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87"/>
              <w:rPr>
                <w:sz w:val="14"/>
              </w:rPr>
            </w:pPr>
            <w:r>
              <w:rPr>
                <w:w w:val="95"/>
                <w:sz w:val="14"/>
              </w:rPr>
              <w:t>GS-</w:t>
            </w:r>
            <w:r>
              <w:rPr>
                <w:spacing w:val="-5"/>
                <w:sz w:val="14"/>
              </w:rPr>
              <w:t>PL</w:t>
            </w:r>
          </w:p>
        </w:tc>
        <w:tc>
          <w:tcPr>
            <w:tcW w:w="563"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58"/>
              <w:rPr>
                <w:sz w:val="14"/>
              </w:rPr>
            </w:pPr>
            <w:r>
              <w:rPr>
                <w:w w:val="95"/>
                <w:sz w:val="14"/>
              </w:rPr>
              <w:t>GS-</w:t>
            </w:r>
            <w:r>
              <w:rPr>
                <w:spacing w:val="-5"/>
                <w:sz w:val="14"/>
              </w:rPr>
              <w:t>OL</w:t>
            </w:r>
          </w:p>
        </w:tc>
        <w:tc>
          <w:tcPr>
            <w:tcW w:w="821" w:type="dxa"/>
            <w:tcBorders>
              <w:top w:val="single" w:sz="4" w:space="0" w:color="000000"/>
              <w:bottom w:val="single" w:sz="4" w:space="0" w:color="000000"/>
            </w:tcBorders>
          </w:tcPr>
          <w:p>
            <w:pPr>
              <w:pStyle w:val="TableParagraph"/>
              <w:spacing w:line="150" w:lineRule="exact"/>
              <w:ind w:left="382"/>
              <w:jc w:val="left"/>
              <w:rPr>
                <w:i/>
                <w:sz w:val="14"/>
              </w:rPr>
            </w:pPr>
            <w:r>
              <w:rPr>
                <w:i/>
                <w:spacing w:val="-2"/>
                <w:sz w:val="14"/>
              </w:rPr>
              <w:t>Total</w:t>
            </w:r>
          </w:p>
          <w:p>
            <w:pPr>
              <w:pStyle w:val="TableParagraph"/>
              <w:spacing w:line="160" w:lineRule="atLeast"/>
              <w:ind w:left="60" w:right="136" w:firstLine="197"/>
              <w:jc w:val="left"/>
              <w:rPr>
                <w:i/>
                <w:sz w:val="14"/>
              </w:rPr>
            </w:pPr>
            <w:r>
              <w:rPr>
                <w:i/>
                <w:sz w:val="14"/>
              </w:rPr>
              <w:t>GS</w:t>
            </w:r>
            <w:r>
              <w:rPr>
                <w:i/>
                <w:spacing w:val="-9"/>
                <w:sz w:val="14"/>
              </w:rPr>
              <w:t> </w:t>
            </w:r>
            <w:r>
              <w:rPr>
                <w:i/>
                <w:sz w:val="14"/>
              </w:rPr>
              <w:t>and</w:t>
            </w:r>
            <w:r>
              <w:rPr>
                <w:i/>
                <w:spacing w:val="40"/>
                <w:sz w:val="14"/>
              </w:rPr>
              <w:t> </w:t>
            </w:r>
            <w:r>
              <w:rPr>
                <w:i/>
                <w:sz w:val="14"/>
              </w:rPr>
              <w:t>Other</w:t>
            </w:r>
            <w:r>
              <w:rPr>
                <w:i/>
                <w:spacing w:val="-5"/>
                <w:sz w:val="14"/>
              </w:rPr>
              <w:t> </w:t>
            </w:r>
            <w:r>
              <w:rPr>
                <w:i/>
                <w:spacing w:val="-2"/>
                <w:sz w:val="14"/>
              </w:rPr>
              <w:t>Staff</w:t>
            </w:r>
          </w:p>
        </w:tc>
        <w:tc>
          <w:tcPr>
            <w:tcW w:w="520" w:type="dxa"/>
            <w:tcBorders>
              <w:top w:val="single" w:sz="4" w:space="0" w:color="000000"/>
              <w:bottom w:val="single" w:sz="4" w:space="0" w:color="000000"/>
            </w:tcBorders>
          </w:tcPr>
          <w:p>
            <w:pPr>
              <w:pStyle w:val="TableParagraph"/>
              <w:spacing w:before="4"/>
              <w:jc w:val="left"/>
              <w:rPr>
                <w:b/>
                <w:sz w:val="12"/>
              </w:rPr>
            </w:pPr>
          </w:p>
          <w:p>
            <w:pPr>
              <w:pStyle w:val="TableParagraph"/>
              <w:spacing w:line="160" w:lineRule="atLeast"/>
              <w:ind w:left="170" w:hanging="34"/>
              <w:jc w:val="left"/>
              <w:rPr>
                <w:b/>
                <w:sz w:val="14"/>
              </w:rPr>
            </w:pPr>
            <w:r>
              <w:rPr>
                <w:b/>
                <w:spacing w:val="-4"/>
                <w:sz w:val="14"/>
              </w:rPr>
              <w:t>Total</w:t>
            </w:r>
            <w:r>
              <w:rPr>
                <w:b/>
                <w:spacing w:val="40"/>
                <w:sz w:val="14"/>
              </w:rPr>
              <w:t> </w:t>
            </w:r>
            <w:r>
              <w:rPr>
                <w:b/>
                <w:spacing w:val="-4"/>
                <w:sz w:val="14"/>
              </w:rPr>
              <w:t>Staff</w:t>
            </w:r>
          </w:p>
        </w:tc>
      </w:tr>
      <w:tr>
        <w:trPr>
          <w:trHeight w:val="228" w:hRule="atLeast"/>
        </w:trPr>
        <w:tc>
          <w:tcPr>
            <w:tcW w:w="1186" w:type="dxa"/>
            <w:tcBorders>
              <w:top w:val="single" w:sz="4" w:space="0" w:color="000000"/>
            </w:tcBorders>
          </w:tcPr>
          <w:p>
            <w:pPr>
              <w:pStyle w:val="TableParagraph"/>
              <w:spacing w:before="22"/>
              <w:ind w:left="67"/>
              <w:jc w:val="left"/>
              <w:rPr>
                <w:b/>
                <w:sz w:val="14"/>
              </w:rPr>
            </w:pPr>
            <w:r>
              <w:rPr>
                <w:b/>
                <w:spacing w:val="-2"/>
                <w:sz w:val="14"/>
              </w:rPr>
              <w:t>Established</w:t>
            </w:r>
            <w:r>
              <w:rPr>
                <w:b/>
                <w:spacing w:val="11"/>
                <w:sz w:val="14"/>
              </w:rPr>
              <w:t> </w:t>
            </w:r>
            <w:r>
              <w:rPr>
                <w:b/>
                <w:spacing w:val="-2"/>
                <w:sz w:val="14"/>
              </w:rPr>
              <w:t>Posts</w:t>
            </w:r>
          </w:p>
        </w:tc>
        <w:tc>
          <w:tcPr>
            <w:tcW w:w="678" w:type="dxa"/>
            <w:tcBorders>
              <w:top w:val="single" w:sz="4" w:space="0" w:color="000000"/>
            </w:tcBorders>
          </w:tcPr>
          <w:p>
            <w:pPr>
              <w:pStyle w:val="TableParagraph"/>
              <w:jc w:val="left"/>
              <w:rPr>
                <w:sz w:val="14"/>
              </w:rPr>
            </w:pPr>
          </w:p>
        </w:tc>
        <w:tc>
          <w:tcPr>
            <w:tcW w:w="607" w:type="dxa"/>
            <w:tcBorders>
              <w:top w:val="single" w:sz="4" w:space="0" w:color="000000"/>
            </w:tcBorders>
          </w:tcPr>
          <w:p>
            <w:pPr>
              <w:pStyle w:val="TableParagraph"/>
              <w:jc w:val="left"/>
              <w:rPr>
                <w:sz w:val="14"/>
              </w:rPr>
            </w:pPr>
          </w:p>
        </w:tc>
        <w:tc>
          <w:tcPr>
            <w:tcW w:w="563" w:type="dxa"/>
            <w:tcBorders>
              <w:top w:val="single" w:sz="4" w:space="0" w:color="000000"/>
            </w:tcBorders>
          </w:tcPr>
          <w:p>
            <w:pPr>
              <w:pStyle w:val="TableParagraph"/>
              <w:jc w:val="left"/>
              <w:rPr>
                <w:sz w:val="14"/>
              </w:rPr>
            </w:pPr>
          </w:p>
        </w:tc>
        <w:tc>
          <w:tcPr>
            <w:tcW w:w="581" w:type="dxa"/>
            <w:tcBorders>
              <w:top w:val="single" w:sz="4" w:space="0" w:color="000000"/>
            </w:tcBorders>
          </w:tcPr>
          <w:p>
            <w:pPr>
              <w:pStyle w:val="TableParagraph"/>
              <w:jc w:val="left"/>
              <w:rPr>
                <w:sz w:val="14"/>
              </w:rPr>
            </w:pPr>
          </w:p>
        </w:tc>
        <w:tc>
          <w:tcPr>
            <w:tcW w:w="581" w:type="dxa"/>
            <w:tcBorders>
              <w:top w:val="single" w:sz="4" w:space="0" w:color="000000"/>
            </w:tcBorders>
          </w:tcPr>
          <w:p>
            <w:pPr>
              <w:pStyle w:val="TableParagraph"/>
              <w:jc w:val="left"/>
              <w:rPr>
                <w:sz w:val="14"/>
              </w:rPr>
            </w:pPr>
          </w:p>
        </w:tc>
        <w:tc>
          <w:tcPr>
            <w:tcW w:w="566" w:type="dxa"/>
            <w:tcBorders>
              <w:top w:val="single" w:sz="4" w:space="0" w:color="000000"/>
            </w:tcBorders>
          </w:tcPr>
          <w:p>
            <w:pPr>
              <w:pStyle w:val="TableParagraph"/>
              <w:jc w:val="left"/>
              <w:rPr>
                <w:sz w:val="14"/>
              </w:rPr>
            </w:pPr>
          </w:p>
        </w:tc>
        <w:tc>
          <w:tcPr>
            <w:tcW w:w="693" w:type="dxa"/>
            <w:tcBorders>
              <w:top w:val="single" w:sz="4" w:space="0" w:color="000000"/>
            </w:tcBorders>
          </w:tcPr>
          <w:p>
            <w:pPr>
              <w:pStyle w:val="TableParagraph"/>
              <w:jc w:val="left"/>
              <w:rPr>
                <w:sz w:val="14"/>
              </w:rPr>
            </w:pPr>
          </w:p>
        </w:tc>
        <w:tc>
          <w:tcPr>
            <w:tcW w:w="666" w:type="dxa"/>
            <w:tcBorders>
              <w:top w:val="single" w:sz="4" w:space="0" w:color="000000"/>
            </w:tcBorders>
          </w:tcPr>
          <w:p>
            <w:pPr>
              <w:pStyle w:val="TableParagraph"/>
              <w:jc w:val="left"/>
              <w:rPr>
                <w:sz w:val="14"/>
              </w:rPr>
            </w:pPr>
          </w:p>
        </w:tc>
        <w:tc>
          <w:tcPr>
            <w:tcW w:w="466" w:type="dxa"/>
            <w:tcBorders>
              <w:top w:val="single" w:sz="4" w:space="0" w:color="000000"/>
            </w:tcBorders>
          </w:tcPr>
          <w:p>
            <w:pPr>
              <w:pStyle w:val="TableParagraph"/>
              <w:jc w:val="left"/>
              <w:rPr>
                <w:sz w:val="14"/>
              </w:rPr>
            </w:pPr>
          </w:p>
        </w:tc>
        <w:tc>
          <w:tcPr>
            <w:tcW w:w="795" w:type="dxa"/>
            <w:tcBorders>
              <w:top w:val="single" w:sz="4" w:space="0" w:color="000000"/>
            </w:tcBorders>
          </w:tcPr>
          <w:p>
            <w:pPr>
              <w:pStyle w:val="TableParagraph"/>
              <w:jc w:val="left"/>
              <w:rPr>
                <w:sz w:val="14"/>
              </w:rPr>
            </w:pPr>
          </w:p>
        </w:tc>
        <w:tc>
          <w:tcPr>
            <w:tcW w:w="569" w:type="dxa"/>
            <w:tcBorders>
              <w:top w:val="single" w:sz="4" w:space="0" w:color="000000"/>
            </w:tcBorders>
          </w:tcPr>
          <w:p>
            <w:pPr>
              <w:pStyle w:val="TableParagraph"/>
              <w:jc w:val="left"/>
              <w:rPr>
                <w:sz w:val="14"/>
              </w:rPr>
            </w:pPr>
          </w:p>
        </w:tc>
        <w:tc>
          <w:tcPr>
            <w:tcW w:w="578" w:type="dxa"/>
            <w:tcBorders>
              <w:top w:val="single" w:sz="4" w:space="0" w:color="000000"/>
            </w:tcBorders>
          </w:tcPr>
          <w:p>
            <w:pPr>
              <w:pStyle w:val="TableParagraph"/>
              <w:jc w:val="left"/>
              <w:rPr>
                <w:sz w:val="14"/>
              </w:rPr>
            </w:pPr>
          </w:p>
        </w:tc>
        <w:tc>
          <w:tcPr>
            <w:tcW w:w="563" w:type="dxa"/>
            <w:tcBorders>
              <w:top w:val="single" w:sz="4" w:space="0" w:color="000000"/>
            </w:tcBorders>
          </w:tcPr>
          <w:p>
            <w:pPr>
              <w:pStyle w:val="TableParagraph"/>
              <w:jc w:val="left"/>
              <w:rPr>
                <w:sz w:val="14"/>
              </w:rPr>
            </w:pPr>
          </w:p>
        </w:tc>
        <w:tc>
          <w:tcPr>
            <w:tcW w:w="821" w:type="dxa"/>
            <w:tcBorders>
              <w:top w:val="single" w:sz="4" w:space="0" w:color="000000"/>
            </w:tcBorders>
          </w:tcPr>
          <w:p>
            <w:pPr>
              <w:pStyle w:val="TableParagraph"/>
              <w:jc w:val="left"/>
              <w:rPr>
                <w:sz w:val="14"/>
              </w:rPr>
            </w:pPr>
          </w:p>
        </w:tc>
        <w:tc>
          <w:tcPr>
            <w:tcW w:w="520" w:type="dxa"/>
            <w:tcBorders>
              <w:top w:val="single" w:sz="4" w:space="0" w:color="000000"/>
            </w:tcBorders>
          </w:tcPr>
          <w:p>
            <w:pPr>
              <w:pStyle w:val="TableParagraph"/>
              <w:jc w:val="left"/>
              <w:rPr>
                <w:sz w:val="14"/>
              </w:rPr>
            </w:pPr>
          </w:p>
        </w:tc>
      </w:tr>
      <w:tr>
        <w:trPr>
          <w:trHeight w:val="221" w:hRule="atLeast"/>
        </w:trPr>
        <w:tc>
          <w:tcPr>
            <w:tcW w:w="1186" w:type="dxa"/>
            <w:tcBorders>
              <w:bottom w:val="single" w:sz="12" w:space="0" w:color="000000"/>
            </w:tcBorders>
          </w:tcPr>
          <w:p>
            <w:pPr>
              <w:pStyle w:val="TableParagraph"/>
              <w:spacing w:before="19"/>
              <w:ind w:left="67"/>
              <w:jc w:val="left"/>
              <w:rPr>
                <w:sz w:val="14"/>
              </w:rPr>
            </w:pPr>
            <w:r>
              <w:rPr>
                <w:w w:val="95"/>
                <w:sz w:val="14"/>
              </w:rPr>
              <w:t>Approved</w:t>
            </w:r>
            <w:r>
              <w:rPr>
                <w:spacing w:val="22"/>
                <w:sz w:val="14"/>
              </w:rPr>
              <w:t> </w:t>
            </w:r>
            <w:r>
              <w:rPr>
                <w:spacing w:val="-4"/>
                <w:sz w:val="14"/>
              </w:rPr>
              <w:t>2022</w:t>
            </w:r>
          </w:p>
        </w:tc>
        <w:tc>
          <w:tcPr>
            <w:tcW w:w="678" w:type="dxa"/>
            <w:tcBorders>
              <w:bottom w:val="single" w:sz="12" w:space="0" w:color="000000"/>
            </w:tcBorders>
          </w:tcPr>
          <w:p>
            <w:pPr>
              <w:pStyle w:val="TableParagraph"/>
              <w:spacing w:before="19"/>
              <w:ind w:right="154"/>
              <w:rPr>
                <w:b/>
                <w:sz w:val="14"/>
              </w:rPr>
            </w:pPr>
            <w:r>
              <w:rPr>
                <w:b/>
                <w:w w:val="99"/>
                <w:sz w:val="14"/>
              </w:rPr>
              <w:t>-</w:t>
            </w:r>
          </w:p>
        </w:tc>
        <w:tc>
          <w:tcPr>
            <w:tcW w:w="607" w:type="dxa"/>
            <w:tcBorders>
              <w:bottom w:val="single" w:sz="12" w:space="0" w:color="000000"/>
            </w:tcBorders>
          </w:tcPr>
          <w:p>
            <w:pPr>
              <w:pStyle w:val="TableParagraph"/>
              <w:spacing w:before="19"/>
              <w:ind w:right="170"/>
              <w:rPr>
                <w:b/>
                <w:sz w:val="14"/>
              </w:rPr>
            </w:pPr>
            <w:r>
              <w:rPr>
                <w:b/>
                <w:w w:val="99"/>
                <w:sz w:val="14"/>
              </w:rPr>
              <w:t>-</w:t>
            </w:r>
          </w:p>
        </w:tc>
        <w:tc>
          <w:tcPr>
            <w:tcW w:w="563" w:type="dxa"/>
            <w:tcBorders>
              <w:bottom w:val="single" w:sz="12" w:space="0" w:color="000000"/>
            </w:tcBorders>
          </w:tcPr>
          <w:p>
            <w:pPr>
              <w:pStyle w:val="TableParagraph"/>
              <w:spacing w:before="19"/>
              <w:ind w:right="171"/>
              <w:rPr>
                <w:b/>
                <w:sz w:val="14"/>
              </w:rPr>
            </w:pPr>
            <w:r>
              <w:rPr>
                <w:b/>
                <w:w w:val="99"/>
                <w:sz w:val="14"/>
              </w:rPr>
              <w:t>-</w:t>
            </w:r>
          </w:p>
        </w:tc>
        <w:tc>
          <w:tcPr>
            <w:tcW w:w="581" w:type="dxa"/>
            <w:tcBorders>
              <w:bottom w:val="single" w:sz="12" w:space="0" w:color="000000"/>
            </w:tcBorders>
          </w:tcPr>
          <w:p>
            <w:pPr>
              <w:pStyle w:val="TableParagraph"/>
              <w:spacing w:before="19"/>
              <w:ind w:right="191"/>
              <w:rPr>
                <w:b/>
                <w:sz w:val="14"/>
              </w:rPr>
            </w:pPr>
            <w:r>
              <w:rPr>
                <w:b/>
                <w:w w:val="99"/>
                <w:sz w:val="14"/>
              </w:rPr>
              <w:t>-</w:t>
            </w:r>
          </w:p>
        </w:tc>
        <w:tc>
          <w:tcPr>
            <w:tcW w:w="581" w:type="dxa"/>
            <w:tcBorders>
              <w:bottom w:val="single" w:sz="12" w:space="0" w:color="000000"/>
            </w:tcBorders>
          </w:tcPr>
          <w:p>
            <w:pPr>
              <w:pStyle w:val="TableParagraph"/>
              <w:spacing w:before="19"/>
              <w:ind w:left="124"/>
              <w:jc w:val="center"/>
              <w:rPr>
                <w:sz w:val="14"/>
              </w:rPr>
            </w:pPr>
            <w:r>
              <w:rPr>
                <w:w w:val="99"/>
                <w:sz w:val="14"/>
              </w:rPr>
              <w:t>1</w:t>
            </w:r>
          </w:p>
        </w:tc>
        <w:tc>
          <w:tcPr>
            <w:tcW w:w="566" w:type="dxa"/>
            <w:tcBorders>
              <w:bottom w:val="single" w:sz="12" w:space="0" w:color="000000"/>
            </w:tcBorders>
          </w:tcPr>
          <w:p>
            <w:pPr>
              <w:pStyle w:val="TableParagraph"/>
              <w:spacing w:before="19"/>
              <w:ind w:right="171"/>
              <w:rPr>
                <w:sz w:val="14"/>
              </w:rPr>
            </w:pPr>
            <w:r>
              <w:rPr>
                <w:w w:val="99"/>
                <w:sz w:val="14"/>
              </w:rPr>
              <w:t>-</w:t>
            </w:r>
          </w:p>
        </w:tc>
        <w:tc>
          <w:tcPr>
            <w:tcW w:w="693" w:type="dxa"/>
            <w:tcBorders>
              <w:bottom w:val="single" w:sz="12" w:space="0" w:color="000000"/>
            </w:tcBorders>
          </w:tcPr>
          <w:p>
            <w:pPr>
              <w:pStyle w:val="TableParagraph"/>
              <w:spacing w:before="19"/>
              <w:ind w:right="268"/>
              <w:rPr>
                <w:sz w:val="14"/>
              </w:rPr>
            </w:pPr>
            <w:r>
              <w:rPr>
                <w:w w:val="99"/>
                <w:sz w:val="14"/>
              </w:rPr>
              <w:t>-</w:t>
            </w:r>
          </w:p>
        </w:tc>
        <w:tc>
          <w:tcPr>
            <w:tcW w:w="666" w:type="dxa"/>
            <w:tcBorders>
              <w:bottom w:val="single" w:sz="12" w:space="0" w:color="000000"/>
            </w:tcBorders>
          </w:tcPr>
          <w:p>
            <w:pPr>
              <w:pStyle w:val="TableParagraph"/>
              <w:spacing w:before="19"/>
              <w:ind w:right="195"/>
              <w:rPr>
                <w:sz w:val="14"/>
              </w:rPr>
            </w:pPr>
            <w:r>
              <w:rPr>
                <w:w w:val="99"/>
                <w:sz w:val="14"/>
              </w:rPr>
              <w:t>-</w:t>
            </w:r>
          </w:p>
        </w:tc>
        <w:tc>
          <w:tcPr>
            <w:tcW w:w="466" w:type="dxa"/>
            <w:tcBorders>
              <w:bottom w:val="single" w:sz="12" w:space="0" w:color="000000"/>
            </w:tcBorders>
          </w:tcPr>
          <w:p>
            <w:pPr>
              <w:pStyle w:val="TableParagraph"/>
              <w:spacing w:before="19"/>
              <w:ind w:right="65"/>
              <w:rPr>
                <w:sz w:val="14"/>
              </w:rPr>
            </w:pPr>
            <w:r>
              <w:rPr>
                <w:w w:val="99"/>
                <w:sz w:val="14"/>
              </w:rPr>
              <w:t>-</w:t>
            </w:r>
          </w:p>
        </w:tc>
        <w:tc>
          <w:tcPr>
            <w:tcW w:w="795" w:type="dxa"/>
            <w:tcBorders>
              <w:bottom w:val="single" w:sz="12" w:space="0" w:color="000000"/>
            </w:tcBorders>
          </w:tcPr>
          <w:p>
            <w:pPr>
              <w:pStyle w:val="TableParagraph"/>
              <w:spacing w:before="19"/>
              <w:ind w:right="126"/>
              <w:rPr>
                <w:i/>
                <w:sz w:val="14"/>
              </w:rPr>
            </w:pPr>
            <w:r>
              <w:rPr>
                <w:i/>
                <w:w w:val="99"/>
                <w:sz w:val="14"/>
              </w:rPr>
              <w:t>1</w:t>
            </w:r>
          </w:p>
        </w:tc>
        <w:tc>
          <w:tcPr>
            <w:tcW w:w="569" w:type="dxa"/>
            <w:tcBorders>
              <w:bottom w:val="single" w:sz="12" w:space="0" w:color="000000"/>
            </w:tcBorders>
          </w:tcPr>
          <w:p>
            <w:pPr>
              <w:pStyle w:val="TableParagraph"/>
              <w:spacing w:before="19"/>
              <w:ind w:right="99"/>
              <w:rPr>
                <w:sz w:val="14"/>
              </w:rPr>
            </w:pPr>
            <w:r>
              <w:rPr>
                <w:w w:val="99"/>
                <w:sz w:val="14"/>
              </w:rPr>
              <w:t>-</w:t>
            </w:r>
          </w:p>
        </w:tc>
        <w:tc>
          <w:tcPr>
            <w:tcW w:w="578" w:type="dxa"/>
            <w:tcBorders>
              <w:bottom w:val="single" w:sz="12" w:space="0" w:color="000000"/>
            </w:tcBorders>
          </w:tcPr>
          <w:p>
            <w:pPr>
              <w:pStyle w:val="TableParagraph"/>
              <w:spacing w:before="19"/>
              <w:ind w:right="87"/>
              <w:rPr>
                <w:sz w:val="14"/>
              </w:rPr>
            </w:pPr>
            <w:r>
              <w:rPr>
                <w:w w:val="99"/>
                <w:sz w:val="14"/>
              </w:rPr>
              <w:t>1</w:t>
            </w:r>
          </w:p>
        </w:tc>
        <w:tc>
          <w:tcPr>
            <w:tcW w:w="563" w:type="dxa"/>
            <w:tcBorders>
              <w:bottom w:val="single" w:sz="12" w:space="0" w:color="000000"/>
            </w:tcBorders>
          </w:tcPr>
          <w:p>
            <w:pPr>
              <w:pStyle w:val="TableParagraph"/>
              <w:spacing w:before="19"/>
              <w:ind w:right="59"/>
              <w:rPr>
                <w:sz w:val="14"/>
              </w:rPr>
            </w:pPr>
            <w:r>
              <w:rPr>
                <w:w w:val="99"/>
                <w:sz w:val="14"/>
              </w:rPr>
              <w:t>-</w:t>
            </w:r>
          </w:p>
        </w:tc>
        <w:tc>
          <w:tcPr>
            <w:tcW w:w="821" w:type="dxa"/>
            <w:tcBorders>
              <w:bottom w:val="single" w:sz="12" w:space="0" w:color="000000"/>
            </w:tcBorders>
          </w:tcPr>
          <w:p>
            <w:pPr>
              <w:pStyle w:val="TableParagraph"/>
              <w:spacing w:before="19"/>
              <w:ind w:right="141"/>
              <w:rPr>
                <w:i/>
                <w:sz w:val="14"/>
              </w:rPr>
            </w:pPr>
            <w:r>
              <w:rPr>
                <w:i/>
                <w:w w:val="99"/>
                <w:sz w:val="14"/>
              </w:rPr>
              <w:t>1</w:t>
            </w:r>
          </w:p>
        </w:tc>
        <w:tc>
          <w:tcPr>
            <w:tcW w:w="520" w:type="dxa"/>
            <w:tcBorders>
              <w:bottom w:val="single" w:sz="12" w:space="0" w:color="000000"/>
            </w:tcBorders>
          </w:tcPr>
          <w:p>
            <w:pPr>
              <w:pStyle w:val="TableParagraph"/>
              <w:spacing w:before="19"/>
              <w:ind w:right="61"/>
              <w:rPr>
                <w:b/>
                <w:sz w:val="14"/>
              </w:rPr>
            </w:pPr>
            <w:r>
              <w:rPr>
                <w:b/>
                <w:w w:val="99"/>
                <w:sz w:val="14"/>
              </w:rPr>
              <w:t>2</w:t>
            </w:r>
          </w:p>
        </w:tc>
      </w:tr>
      <w:tr>
        <w:trPr>
          <w:trHeight w:val="230" w:hRule="atLeast"/>
        </w:trPr>
        <w:tc>
          <w:tcPr>
            <w:tcW w:w="1186" w:type="dxa"/>
            <w:tcBorders>
              <w:top w:val="single" w:sz="12" w:space="0" w:color="000000"/>
              <w:bottom w:val="single" w:sz="4" w:space="0" w:color="000000"/>
            </w:tcBorders>
          </w:tcPr>
          <w:p>
            <w:pPr>
              <w:pStyle w:val="TableParagraph"/>
              <w:spacing w:before="27"/>
              <w:ind w:left="67"/>
              <w:jc w:val="left"/>
              <w:rPr>
                <w:sz w:val="14"/>
              </w:rPr>
            </w:pPr>
            <w:r>
              <w:rPr>
                <w:spacing w:val="-5"/>
                <w:sz w:val="14"/>
              </w:rPr>
              <w:t>New</w:t>
            </w:r>
          </w:p>
        </w:tc>
        <w:tc>
          <w:tcPr>
            <w:tcW w:w="678" w:type="dxa"/>
            <w:tcBorders>
              <w:top w:val="single" w:sz="12" w:space="0" w:color="000000"/>
              <w:bottom w:val="single" w:sz="4" w:space="0" w:color="000000"/>
            </w:tcBorders>
          </w:tcPr>
          <w:p>
            <w:pPr>
              <w:pStyle w:val="TableParagraph"/>
              <w:spacing w:before="27"/>
              <w:ind w:right="154"/>
              <w:rPr>
                <w:b/>
                <w:sz w:val="14"/>
              </w:rPr>
            </w:pPr>
            <w:r>
              <w:rPr>
                <w:b/>
                <w:w w:val="99"/>
                <w:sz w:val="14"/>
              </w:rPr>
              <w:t>-</w:t>
            </w:r>
          </w:p>
        </w:tc>
        <w:tc>
          <w:tcPr>
            <w:tcW w:w="607" w:type="dxa"/>
            <w:tcBorders>
              <w:top w:val="single" w:sz="12" w:space="0" w:color="000000"/>
              <w:bottom w:val="single" w:sz="4" w:space="0" w:color="000000"/>
            </w:tcBorders>
          </w:tcPr>
          <w:p>
            <w:pPr>
              <w:pStyle w:val="TableParagraph"/>
              <w:spacing w:before="27"/>
              <w:ind w:right="170"/>
              <w:rPr>
                <w:b/>
                <w:sz w:val="14"/>
              </w:rPr>
            </w:pPr>
            <w:r>
              <w:rPr>
                <w:b/>
                <w:w w:val="99"/>
                <w:sz w:val="14"/>
              </w:rPr>
              <w:t>-</w:t>
            </w:r>
          </w:p>
        </w:tc>
        <w:tc>
          <w:tcPr>
            <w:tcW w:w="563" w:type="dxa"/>
            <w:tcBorders>
              <w:top w:val="single" w:sz="12" w:space="0" w:color="000000"/>
              <w:bottom w:val="single" w:sz="4" w:space="0" w:color="000000"/>
            </w:tcBorders>
          </w:tcPr>
          <w:p>
            <w:pPr>
              <w:pStyle w:val="TableParagraph"/>
              <w:spacing w:before="27"/>
              <w:ind w:right="171"/>
              <w:rPr>
                <w:b/>
                <w:sz w:val="14"/>
              </w:rPr>
            </w:pPr>
            <w:r>
              <w:rPr>
                <w:b/>
                <w:w w:val="99"/>
                <w:sz w:val="14"/>
              </w:rPr>
              <w:t>-</w:t>
            </w:r>
          </w:p>
        </w:tc>
        <w:tc>
          <w:tcPr>
            <w:tcW w:w="581" w:type="dxa"/>
            <w:tcBorders>
              <w:top w:val="single" w:sz="12" w:space="0" w:color="000000"/>
              <w:bottom w:val="single" w:sz="4" w:space="0" w:color="000000"/>
            </w:tcBorders>
          </w:tcPr>
          <w:p>
            <w:pPr>
              <w:pStyle w:val="TableParagraph"/>
              <w:spacing w:before="27"/>
              <w:ind w:right="191"/>
              <w:rPr>
                <w:b/>
                <w:sz w:val="14"/>
              </w:rPr>
            </w:pPr>
            <w:r>
              <w:rPr>
                <w:b/>
                <w:w w:val="99"/>
                <w:sz w:val="14"/>
              </w:rPr>
              <w:t>-</w:t>
            </w:r>
          </w:p>
        </w:tc>
        <w:tc>
          <w:tcPr>
            <w:tcW w:w="581" w:type="dxa"/>
            <w:tcBorders>
              <w:top w:val="single" w:sz="12" w:space="0" w:color="000000"/>
              <w:bottom w:val="single" w:sz="4" w:space="0" w:color="000000"/>
            </w:tcBorders>
          </w:tcPr>
          <w:p>
            <w:pPr>
              <w:pStyle w:val="TableParagraph"/>
              <w:spacing w:before="27"/>
              <w:ind w:left="148"/>
              <w:jc w:val="center"/>
              <w:rPr>
                <w:b/>
                <w:sz w:val="14"/>
              </w:rPr>
            </w:pPr>
            <w:r>
              <w:rPr>
                <w:b/>
                <w:w w:val="99"/>
                <w:sz w:val="14"/>
              </w:rPr>
              <w:t>-</w:t>
            </w:r>
          </w:p>
        </w:tc>
        <w:tc>
          <w:tcPr>
            <w:tcW w:w="566" w:type="dxa"/>
            <w:tcBorders>
              <w:top w:val="single" w:sz="12" w:space="0" w:color="000000"/>
              <w:bottom w:val="single" w:sz="4" w:space="0" w:color="000000"/>
            </w:tcBorders>
          </w:tcPr>
          <w:p>
            <w:pPr>
              <w:pStyle w:val="TableParagraph"/>
              <w:spacing w:before="27"/>
              <w:ind w:right="171"/>
              <w:rPr>
                <w:b/>
                <w:sz w:val="14"/>
              </w:rPr>
            </w:pPr>
            <w:r>
              <w:rPr>
                <w:b/>
                <w:w w:val="99"/>
                <w:sz w:val="14"/>
              </w:rPr>
              <w:t>-</w:t>
            </w:r>
          </w:p>
        </w:tc>
        <w:tc>
          <w:tcPr>
            <w:tcW w:w="693" w:type="dxa"/>
            <w:tcBorders>
              <w:top w:val="single" w:sz="12" w:space="0" w:color="000000"/>
              <w:bottom w:val="single" w:sz="4" w:space="0" w:color="000000"/>
            </w:tcBorders>
          </w:tcPr>
          <w:p>
            <w:pPr>
              <w:pStyle w:val="TableParagraph"/>
              <w:spacing w:before="27"/>
              <w:ind w:right="268"/>
              <w:rPr>
                <w:sz w:val="14"/>
              </w:rPr>
            </w:pPr>
            <w:r>
              <w:rPr>
                <w:w w:val="99"/>
                <w:sz w:val="14"/>
              </w:rPr>
              <w:t>-</w:t>
            </w:r>
          </w:p>
        </w:tc>
        <w:tc>
          <w:tcPr>
            <w:tcW w:w="666" w:type="dxa"/>
            <w:tcBorders>
              <w:top w:val="single" w:sz="12" w:space="0" w:color="000000"/>
              <w:bottom w:val="single" w:sz="4" w:space="0" w:color="000000"/>
            </w:tcBorders>
          </w:tcPr>
          <w:p>
            <w:pPr>
              <w:pStyle w:val="TableParagraph"/>
              <w:spacing w:before="27"/>
              <w:ind w:right="195"/>
              <w:rPr>
                <w:sz w:val="14"/>
              </w:rPr>
            </w:pPr>
            <w:r>
              <w:rPr>
                <w:w w:val="99"/>
                <w:sz w:val="14"/>
              </w:rPr>
              <w:t>-</w:t>
            </w:r>
          </w:p>
        </w:tc>
        <w:tc>
          <w:tcPr>
            <w:tcW w:w="466" w:type="dxa"/>
            <w:tcBorders>
              <w:top w:val="single" w:sz="12" w:space="0" w:color="000000"/>
              <w:bottom w:val="single" w:sz="4" w:space="0" w:color="000000"/>
            </w:tcBorders>
          </w:tcPr>
          <w:p>
            <w:pPr>
              <w:pStyle w:val="TableParagraph"/>
              <w:spacing w:before="27"/>
              <w:ind w:right="65"/>
              <w:rPr>
                <w:sz w:val="14"/>
              </w:rPr>
            </w:pPr>
            <w:r>
              <w:rPr>
                <w:w w:val="99"/>
                <w:sz w:val="14"/>
              </w:rPr>
              <w:t>-</w:t>
            </w:r>
          </w:p>
        </w:tc>
        <w:tc>
          <w:tcPr>
            <w:tcW w:w="795" w:type="dxa"/>
            <w:tcBorders>
              <w:top w:val="single" w:sz="12" w:space="0" w:color="000000"/>
              <w:bottom w:val="single" w:sz="4" w:space="0" w:color="000000"/>
            </w:tcBorders>
          </w:tcPr>
          <w:p>
            <w:pPr>
              <w:pStyle w:val="TableParagraph"/>
              <w:spacing w:before="27"/>
              <w:ind w:right="125"/>
              <w:rPr>
                <w:sz w:val="14"/>
              </w:rPr>
            </w:pPr>
            <w:r>
              <w:rPr>
                <w:w w:val="99"/>
                <w:sz w:val="14"/>
              </w:rPr>
              <w:t>-</w:t>
            </w:r>
          </w:p>
        </w:tc>
        <w:tc>
          <w:tcPr>
            <w:tcW w:w="569" w:type="dxa"/>
            <w:tcBorders>
              <w:top w:val="single" w:sz="12" w:space="0" w:color="000000"/>
              <w:bottom w:val="single" w:sz="4" w:space="0" w:color="000000"/>
            </w:tcBorders>
          </w:tcPr>
          <w:p>
            <w:pPr>
              <w:pStyle w:val="TableParagraph"/>
              <w:spacing w:before="27"/>
              <w:ind w:right="99"/>
              <w:rPr>
                <w:sz w:val="14"/>
              </w:rPr>
            </w:pPr>
            <w:r>
              <w:rPr>
                <w:w w:val="99"/>
                <w:sz w:val="14"/>
              </w:rPr>
              <w:t>-</w:t>
            </w:r>
          </w:p>
        </w:tc>
        <w:tc>
          <w:tcPr>
            <w:tcW w:w="578" w:type="dxa"/>
            <w:tcBorders>
              <w:top w:val="single" w:sz="12" w:space="0" w:color="000000"/>
              <w:bottom w:val="single" w:sz="4" w:space="0" w:color="000000"/>
            </w:tcBorders>
          </w:tcPr>
          <w:p>
            <w:pPr>
              <w:pStyle w:val="TableParagraph"/>
              <w:spacing w:before="27"/>
              <w:ind w:right="86"/>
              <w:rPr>
                <w:sz w:val="14"/>
              </w:rPr>
            </w:pPr>
            <w:r>
              <w:rPr>
                <w:w w:val="99"/>
                <w:sz w:val="14"/>
              </w:rPr>
              <w:t>-</w:t>
            </w:r>
          </w:p>
        </w:tc>
        <w:tc>
          <w:tcPr>
            <w:tcW w:w="563" w:type="dxa"/>
            <w:tcBorders>
              <w:top w:val="single" w:sz="12" w:space="0" w:color="000000"/>
              <w:bottom w:val="single" w:sz="4" w:space="0" w:color="000000"/>
            </w:tcBorders>
          </w:tcPr>
          <w:p>
            <w:pPr>
              <w:pStyle w:val="TableParagraph"/>
              <w:spacing w:before="27"/>
              <w:ind w:right="59"/>
              <w:rPr>
                <w:sz w:val="14"/>
              </w:rPr>
            </w:pPr>
            <w:r>
              <w:rPr>
                <w:w w:val="99"/>
                <w:sz w:val="14"/>
              </w:rPr>
              <w:t>-</w:t>
            </w:r>
          </w:p>
        </w:tc>
        <w:tc>
          <w:tcPr>
            <w:tcW w:w="821" w:type="dxa"/>
            <w:tcBorders>
              <w:top w:val="single" w:sz="12" w:space="0" w:color="000000"/>
              <w:bottom w:val="single" w:sz="4" w:space="0" w:color="000000"/>
            </w:tcBorders>
          </w:tcPr>
          <w:p>
            <w:pPr>
              <w:pStyle w:val="TableParagraph"/>
              <w:spacing w:before="27"/>
              <w:ind w:right="140"/>
              <w:rPr>
                <w:sz w:val="14"/>
              </w:rPr>
            </w:pPr>
            <w:r>
              <w:rPr>
                <w:w w:val="99"/>
                <w:sz w:val="14"/>
              </w:rPr>
              <w:t>-</w:t>
            </w:r>
          </w:p>
        </w:tc>
        <w:tc>
          <w:tcPr>
            <w:tcW w:w="520" w:type="dxa"/>
            <w:tcBorders>
              <w:top w:val="single" w:sz="12" w:space="0" w:color="000000"/>
              <w:bottom w:val="single" w:sz="4" w:space="0" w:color="000000"/>
            </w:tcBorders>
          </w:tcPr>
          <w:p>
            <w:pPr>
              <w:pStyle w:val="TableParagraph"/>
              <w:spacing w:before="27"/>
              <w:ind w:right="60"/>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2"/>
              <w:ind w:left="67"/>
              <w:jc w:val="left"/>
              <w:rPr>
                <w:sz w:val="14"/>
              </w:rPr>
            </w:pPr>
            <w:r>
              <w:rPr>
                <w:spacing w:val="-2"/>
                <w:sz w:val="14"/>
              </w:rPr>
              <w:t>Redeployed</w:t>
            </w:r>
          </w:p>
        </w:tc>
        <w:tc>
          <w:tcPr>
            <w:tcW w:w="678" w:type="dxa"/>
            <w:tcBorders>
              <w:top w:val="single" w:sz="4" w:space="0" w:color="000000"/>
              <w:bottom w:val="single" w:sz="4" w:space="0" w:color="000000"/>
            </w:tcBorders>
          </w:tcPr>
          <w:p>
            <w:pPr>
              <w:pStyle w:val="TableParagraph"/>
              <w:spacing w:before="22"/>
              <w:ind w:right="154"/>
              <w:rPr>
                <w:b/>
                <w:sz w:val="14"/>
              </w:rPr>
            </w:pPr>
            <w:r>
              <w:rPr>
                <w:b/>
                <w:w w:val="99"/>
                <w:sz w:val="14"/>
              </w:rPr>
              <w:t>-</w:t>
            </w:r>
          </w:p>
        </w:tc>
        <w:tc>
          <w:tcPr>
            <w:tcW w:w="607" w:type="dxa"/>
            <w:tcBorders>
              <w:top w:val="single" w:sz="4" w:space="0" w:color="000000"/>
              <w:bottom w:val="single" w:sz="4" w:space="0" w:color="000000"/>
            </w:tcBorders>
          </w:tcPr>
          <w:p>
            <w:pPr>
              <w:pStyle w:val="TableParagraph"/>
              <w:spacing w:before="22"/>
              <w:ind w:right="170"/>
              <w:rPr>
                <w:b/>
                <w:sz w:val="14"/>
              </w:rPr>
            </w:pPr>
            <w:r>
              <w:rPr>
                <w:b/>
                <w:w w:val="99"/>
                <w:sz w:val="14"/>
              </w:rPr>
              <w:t>-</w:t>
            </w:r>
          </w:p>
        </w:tc>
        <w:tc>
          <w:tcPr>
            <w:tcW w:w="563" w:type="dxa"/>
            <w:tcBorders>
              <w:top w:val="single" w:sz="4" w:space="0" w:color="000000"/>
              <w:bottom w:val="single" w:sz="4" w:space="0" w:color="000000"/>
            </w:tcBorders>
          </w:tcPr>
          <w:p>
            <w:pPr>
              <w:pStyle w:val="TableParagraph"/>
              <w:spacing w:before="22"/>
              <w:ind w:right="171"/>
              <w:rPr>
                <w:b/>
                <w:sz w:val="14"/>
              </w:rPr>
            </w:pPr>
            <w:r>
              <w:rPr>
                <w:b/>
                <w:w w:val="99"/>
                <w:sz w:val="14"/>
              </w:rPr>
              <w:t>-</w:t>
            </w:r>
          </w:p>
        </w:tc>
        <w:tc>
          <w:tcPr>
            <w:tcW w:w="581" w:type="dxa"/>
            <w:tcBorders>
              <w:top w:val="single" w:sz="4" w:space="0" w:color="000000"/>
              <w:bottom w:val="single" w:sz="4" w:space="0" w:color="000000"/>
            </w:tcBorders>
          </w:tcPr>
          <w:p>
            <w:pPr>
              <w:pStyle w:val="TableParagraph"/>
              <w:spacing w:before="22"/>
              <w:ind w:right="191"/>
              <w:rPr>
                <w:b/>
                <w:sz w:val="14"/>
              </w:rPr>
            </w:pPr>
            <w:r>
              <w:rPr>
                <w:b/>
                <w:w w:val="99"/>
                <w:sz w:val="14"/>
              </w:rPr>
              <w:t>-</w:t>
            </w:r>
          </w:p>
        </w:tc>
        <w:tc>
          <w:tcPr>
            <w:tcW w:w="581" w:type="dxa"/>
            <w:tcBorders>
              <w:top w:val="single" w:sz="4" w:space="0" w:color="000000"/>
              <w:bottom w:val="single" w:sz="4" w:space="0" w:color="000000"/>
            </w:tcBorders>
          </w:tcPr>
          <w:p>
            <w:pPr>
              <w:pStyle w:val="TableParagraph"/>
              <w:spacing w:before="22"/>
              <w:ind w:left="148"/>
              <w:jc w:val="center"/>
              <w:rPr>
                <w:b/>
                <w:sz w:val="14"/>
              </w:rPr>
            </w:pPr>
            <w:r>
              <w:rPr>
                <w:b/>
                <w:w w:val="99"/>
                <w:sz w:val="14"/>
              </w:rPr>
              <w:t>-</w:t>
            </w:r>
          </w:p>
        </w:tc>
        <w:tc>
          <w:tcPr>
            <w:tcW w:w="566" w:type="dxa"/>
            <w:tcBorders>
              <w:top w:val="single" w:sz="4" w:space="0" w:color="000000"/>
              <w:bottom w:val="single" w:sz="4" w:space="0" w:color="000000"/>
            </w:tcBorders>
          </w:tcPr>
          <w:p>
            <w:pPr>
              <w:pStyle w:val="TableParagraph"/>
              <w:spacing w:before="22"/>
              <w:ind w:right="171"/>
              <w:rPr>
                <w:b/>
                <w:sz w:val="14"/>
              </w:rPr>
            </w:pPr>
            <w:r>
              <w:rPr>
                <w:b/>
                <w:w w:val="99"/>
                <w:sz w:val="14"/>
              </w:rPr>
              <w:t>-</w:t>
            </w:r>
          </w:p>
        </w:tc>
        <w:tc>
          <w:tcPr>
            <w:tcW w:w="693" w:type="dxa"/>
            <w:tcBorders>
              <w:top w:val="single" w:sz="4" w:space="0" w:color="000000"/>
              <w:bottom w:val="single" w:sz="4" w:space="0" w:color="000000"/>
            </w:tcBorders>
          </w:tcPr>
          <w:p>
            <w:pPr>
              <w:pStyle w:val="TableParagraph"/>
              <w:spacing w:before="22"/>
              <w:ind w:right="268"/>
              <w:rPr>
                <w:sz w:val="14"/>
              </w:rPr>
            </w:pPr>
            <w:r>
              <w:rPr>
                <w:w w:val="99"/>
                <w:sz w:val="14"/>
              </w:rPr>
              <w:t>-</w:t>
            </w:r>
          </w:p>
        </w:tc>
        <w:tc>
          <w:tcPr>
            <w:tcW w:w="666" w:type="dxa"/>
            <w:tcBorders>
              <w:top w:val="single" w:sz="4" w:space="0" w:color="000000"/>
              <w:bottom w:val="single" w:sz="4" w:space="0" w:color="000000"/>
            </w:tcBorders>
          </w:tcPr>
          <w:p>
            <w:pPr>
              <w:pStyle w:val="TableParagraph"/>
              <w:spacing w:before="22"/>
              <w:ind w:right="195"/>
              <w:rPr>
                <w:sz w:val="14"/>
              </w:rPr>
            </w:pPr>
            <w:r>
              <w:rPr>
                <w:w w:val="99"/>
                <w:sz w:val="14"/>
              </w:rPr>
              <w:t>-</w:t>
            </w:r>
          </w:p>
        </w:tc>
        <w:tc>
          <w:tcPr>
            <w:tcW w:w="466" w:type="dxa"/>
            <w:tcBorders>
              <w:top w:val="single" w:sz="4" w:space="0" w:color="000000"/>
              <w:bottom w:val="single" w:sz="4" w:space="0" w:color="000000"/>
            </w:tcBorders>
          </w:tcPr>
          <w:p>
            <w:pPr>
              <w:pStyle w:val="TableParagraph"/>
              <w:spacing w:before="22"/>
              <w:ind w:right="65"/>
              <w:rPr>
                <w:sz w:val="14"/>
              </w:rPr>
            </w:pPr>
            <w:r>
              <w:rPr>
                <w:w w:val="99"/>
                <w:sz w:val="14"/>
              </w:rPr>
              <w:t>-</w:t>
            </w:r>
          </w:p>
        </w:tc>
        <w:tc>
          <w:tcPr>
            <w:tcW w:w="795" w:type="dxa"/>
            <w:tcBorders>
              <w:top w:val="single" w:sz="4" w:space="0" w:color="000000"/>
              <w:bottom w:val="single" w:sz="4" w:space="0" w:color="000000"/>
            </w:tcBorders>
          </w:tcPr>
          <w:p>
            <w:pPr>
              <w:pStyle w:val="TableParagraph"/>
              <w:spacing w:before="22"/>
              <w:ind w:right="125"/>
              <w:rPr>
                <w:sz w:val="14"/>
              </w:rPr>
            </w:pPr>
            <w:r>
              <w:rPr>
                <w:w w:val="99"/>
                <w:sz w:val="14"/>
              </w:rPr>
              <w:t>-</w:t>
            </w:r>
          </w:p>
        </w:tc>
        <w:tc>
          <w:tcPr>
            <w:tcW w:w="569" w:type="dxa"/>
            <w:tcBorders>
              <w:top w:val="single" w:sz="4" w:space="0" w:color="000000"/>
              <w:bottom w:val="single" w:sz="4" w:space="0" w:color="000000"/>
            </w:tcBorders>
          </w:tcPr>
          <w:p>
            <w:pPr>
              <w:pStyle w:val="TableParagraph"/>
              <w:spacing w:before="22"/>
              <w:ind w:right="99"/>
              <w:rPr>
                <w:sz w:val="14"/>
              </w:rPr>
            </w:pPr>
            <w:r>
              <w:rPr>
                <w:w w:val="99"/>
                <w:sz w:val="14"/>
              </w:rPr>
              <w:t>-</w:t>
            </w:r>
          </w:p>
        </w:tc>
        <w:tc>
          <w:tcPr>
            <w:tcW w:w="578" w:type="dxa"/>
            <w:tcBorders>
              <w:top w:val="single" w:sz="4" w:space="0" w:color="000000"/>
              <w:bottom w:val="single" w:sz="4" w:space="0" w:color="000000"/>
            </w:tcBorders>
          </w:tcPr>
          <w:p>
            <w:pPr>
              <w:pStyle w:val="TableParagraph"/>
              <w:spacing w:before="22"/>
              <w:ind w:right="86"/>
              <w:rPr>
                <w:sz w:val="14"/>
              </w:rPr>
            </w:pPr>
            <w:r>
              <w:rPr>
                <w:w w:val="99"/>
                <w:sz w:val="14"/>
              </w:rPr>
              <w:t>-</w:t>
            </w:r>
          </w:p>
        </w:tc>
        <w:tc>
          <w:tcPr>
            <w:tcW w:w="563" w:type="dxa"/>
            <w:tcBorders>
              <w:top w:val="single" w:sz="4" w:space="0" w:color="000000"/>
              <w:bottom w:val="single" w:sz="4" w:space="0" w:color="000000"/>
            </w:tcBorders>
          </w:tcPr>
          <w:p>
            <w:pPr>
              <w:pStyle w:val="TableParagraph"/>
              <w:spacing w:before="22"/>
              <w:ind w:right="59"/>
              <w:rPr>
                <w:sz w:val="14"/>
              </w:rPr>
            </w:pPr>
            <w:r>
              <w:rPr>
                <w:w w:val="99"/>
                <w:sz w:val="14"/>
              </w:rPr>
              <w:t>-</w:t>
            </w:r>
          </w:p>
        </w:tc>
        <w:tc>
          <w:tcPr>
            <w:tcW w:w="821" w:type="dxa"/>
            <w:tcBorders>
              <w:top w:val="single" w:sz="4" w:space="0" w:color="000000"/>
              <w:bottom w:val="single" w:sz="4" w:space="0" w:color="000000"/>
            </w:tcBorders>
          </w:tcPr>
          <w:p>
            <w:pPr>
              <w:pStyle w:val="TableParagraph"/>
              <w:spacing w:before="22"/>
              <w:ind w:right="140"/>
              <w:rPr>
                <w:sz w:val="14"/>
              </w:rPr>
            </w:pPr>
            <w:r>
              <w:rPr>
                <w:w w:val="99"/>
                <w:sz w:val="14"/>
              </w:rPr>
              <w:t>-</w:t>
            </w:r>
          </w:p>
        </w:tc>
        <w:tc>
          <w:tcPr>
            <w:tcW w:w="520" w:type="dxa"/>
            <w:tcBorders>
              <w:top w:val="single" w:sz="4" w:space="0" w:color="000000"/>
              <w:bottom w:val="single" w:sz="4" w:space="0" w:color="000000"/>
            </w:tcBorders>
          </w:tcPr>
          <w:p>
            <w:pPr>
              <w:pStyle w:val="TableParagraph"/>
              <w:spacing w:before="22"/>
              <w:ind w:right="60"/>
              <w:rPr>
                <w:b/>
                <w:sz w:val="14"/>
              </w:rPr>
            </w:pPr>
            <w:r>
              <w:rPr>
                <w:b/>
                <w:w w:val="99"/>
                <w:sz w:val="14"/>
              </w:rPr>
              <w:t>-</w:t>
            </w:r>
          </w:p>
        </w:tc>
      </w:tr>
      <w:tr>
        <w:trPr>
          <w:trHeight w:val="230" w:hRule="atLeast"/>
        </w:trPr>
        <w:tc>
          <w:tcPr>
            <w:tcW w:w="1186" w:type="dxa"/>
            <w:tcBorders>
              <w:top w:val="single" w:sz="4" w:space="0" w:color="000000"/>
              <w:bottom w:val="single" w:sz="4" w:space="0" w:color="000000"/>
            </w:tcBorders>
          </w:tcPr>
          <w:p>
            <w:pPr>
              <w:pStyle w:val="TableParagraph"/>
              <w:spacing w:before="27"/>
              <w:ind w:left="67"/>
              <w:jc w:val="left"/>
              <w:rPr>
                <w:sz w:val="14"/>
              </w:rPr>
            </w:pPr>
            <w:r>
              <w:rPr>
                <w:spacing w:val="-2"/>
                <w:sz w:val="14"/>
              </w:rPr>
              <w:t>Reclassified</w:t>
            </w:r>
          </w:p>
        </w:tc>
        <w:tc>
          <w:tcPr>
            <w:tcW w:w="678" w:type="dxa"/>
            <w:tcBorders>
              <w:top w:val="single" w:sz="4" w:space="0" w:color="000000"/>
              <w:bottom w:val="single" w:sz="4" w:space="0" w:color="000000"/>
            </w:tcBorders>
          </w:tcPr>
          <w:p>
            <w:pPr>
              <w:pStyle w:val="TableParagraph"/>
              <w:spacing w:before="27"/>
              <w:ind w:right="154"/>
              <w:rPr>
                <w:b/>
                <w:sz w:val="14"/>
              </w:rPr>
            </w:pPr>
            <w:r>
              <w:rPr>
                <w:b/>
                <w:w w:val="99"/>
                <w:sz w:val="14"/>
              </w:rPr>
              <w:t>-</w:t>
            </w:r>
          </w:p>
        </w:tc>
        <w:tc>
          <w:tcPr>
            <w:tcW w:w="607" w:type="dxa"/>
            <w:tcBorders>
              <w:top w:val="single" w:sz="4" w:space="0" w:color="000000"/>
              <w:bottom w:val="single" w:sz="4" w:space="0" w:color="000000"/>
            </w:tcBorders>
          </w:tcPr>
          <w:p>
            <w:pPr>
              <w:pStyle w:val="TableParagraph"/>
              <w:spacing w:before="27"/>
              <w:ind w:right="170"/>
              <w:rPr>
                <w:b/>
                <w:sz w:val="14"/>
              </w:rPr>
            </w:pPr>
            <w:r>
              <w:rPr>
                <w:b/>
                <w:w w:val="99"/>
                <w:sz w:val="14"/>
              </w:rPr>
              <w:t>-</w:t>
            </w:r>
          </w:p>
        </w:tc>
        <w:tc>
          <w:tcPr>
            <w:tcW w:w="563" w:type="dxa"/>
            <w:tcBorders>
              <w:top w:val="single" w:sz="4" w:space="0" w:color="000000"/>
              <w:bottom w:val="single" w:sz="4" w:space="0" w:color="000000"/>
            </w:tcBorders>
          </w:tcPr>
          <w:p>
            <w:pPr>
              <w:pStyle w:val="TableParagraph"/>
              <w:spacing w:before="27"/>
              <w:ind w:right="171"/>
              <w:rPr>
                <w:b/>
                <w:sz w:val="14"/>
              </w:rPr>
            </w:pPr>
            <w:r>
              <w:rPr>
                <w:b/>
                <w:w w:val="99"/>
                <w:sz w:val="14"/>
              </w:rPr>
              <w:t>-</w:t>
            </w:r>
          </w:p>
        </w:tc>
        <w:tc>
          <w:tcPr>
            <w:tcW w:w="581" w:type="dxa"/>
            <w:tcBorders>
              <w:top w:val="single" w:sz="4" w:space="0" w:color="000000"/>
              <w:bottom w:val="single" w:sz="4" w:space="0" w:color="000000"/>
            </w:tcBorders>
          </w:tcPr>
          <w:p>
            <w:pPr>
              <w:pStyle w:val="TableParagraph"/>
              <w:spacing w:before="27"/>
              <w:ind w:right="191"/>
              <w:rPr>
                <w:b/>
                <w:sz w:val="14"/>
              </w:rPr>
            </w:pPr>
            <w:r>
              <w:rPr>
                <w:b/>
                <w:w w:val="99"/>
                <w:sz w:val="14"/>
              </w:rPr>
              <w:t>-</w:t>
            </w:r>
          </w:p>
        </w:tc>
        <w:tc>
          <w:tcPr>
            <w:tcW w:w="581" w:type="dxa"/>
            <w:tcBorders>
              <w:top w:val="single" w:sz="4" w:space="0" w:color="000000"/>
              <w:bottom w:val="single" w:sz="4" w:space="0" w:color="000000"/>
            </w:tcBorders>
          </w:tcPr>
          <w:p>
            <w:pPr>
              <w:pStyle w:val="TableParagraph"/>
              <w:spacing w:before="27"/>
              <w:ind w:left="148"/>
              <w:jc w:val="center"/>
              <w:rPr>
                <w:b/>
                <w:sz w:val="14"/>
              </w:rPr>
            </w:pPr>
            <w:r>
              <w:rPr>
                <w:b/>
                <w:w w:val="99"/>
                <w:sz w:val="14"/>
              </w:rPr>
              <w:t>-</w:t>
            </w:r>
          </w:p>
        </w:tc>
        <w:tc>
          <w:tcPr>
            <w:tcW w:w="566" w:type="dxa"/>
            <w:tcBorders>
              <w:top w:val="single" w:sz="4" w:space="0" w:color="000000"/>
              <w:bottom w:val="single" w:sz="4" w:space="0" w:color="000000"/>
            </w:tcBorders>
          </w:tcPr>
          <w:p>
            <w:pPr>
              <w:pStyle w:val="TableParagraph"/>
              <w:spacing w:before="27"/>
              <w:ind w:right="171"/>
              <w:rPr>
                <w:b/>
                <w:sz w:val="14"/>
              </w:rPr>
            </w:pPr>
            <w:r>
              <w:rPr>
                <w:b/>
                <w:w w:val="99"/>
                <w:sz w:val="14"/>
              </w:rPr>
              <w:t>-</w:t>
            </w:r>
          </w:p>
        </w:tc>
        <w:tc>
          <w:tcPr>
            <w:tcW w:w="693" w:type="dxa"/>
            <w:tcBorders>
              <w:top w:val="single" w:sz="4" w:space="0" w:color="000000"/>
              <w:bottom w:val="single" w:sz="4" w:space="0" w:color="000000"/>
            </w:tcBorders>
          </w:tcPr>
          <w:p>
            <w:pPr>
              <w:pStyle w:val="TableParagraph"/>
              <w:spacing w:before="27"/>
              <w:ind w:right="268"/>
              <w:rPr>
                <w:sz w:val="14"/>
              </w:rPr>
            </w:pPr>
            <w:r>
              <w:rPr>
                <w:w w:val="99"/>
                <w:sz w:val="14"/>
              </w:rPr>
              <w:t>-</w:t>
            </w:r>
          </w:p>
        </w:tc>
        <w:tc>
          <w:tcPr>
            <w:tcW w:w="666" w:type="dxa"/>
            <w:tcBorders>
              <w:top w:val="single" w:sz="4" w:space="0" w:color="000000"/>
              <w:bottom w:val="single" w:sz="4" w:space="0" w:color="000000"/>
            </w:tcBorders>
          </w:tcPr>
          <w:p>
            <w:pPr>
              <w:pStyle w:val="TableParagraph"/>
              <w:spacing w:before="27"/>
              <w:ind w:right="195"/>
              <w:rPr>
                <w:sz w:val="14"/>
              </w:rPr>
            </w:pPr>
            <w:r>
              <w:rPr>
                <w:w w:val="99"/>
                <w:sz w:val="14"/>
              </w:rPr>
              <w:t>-</w:t>
            </w:r>
          </w:p>
        </w:tc>
        <w:tc>
          <w:tcPr>
            <w:tcW w:w="466" w:type="dxa"/>
            <w:tcBorders>
              <w:top w:val="single" w:sz="4" w:space="0" w:color="000000"/>
              <w:bottom w:val="single" w:sz="4" w:space="0" w:color="000000"/>
            </w:tcBorders>
          </w:tcPr>
          <w:p>
            <w:pPr>
              <w:pStyle w:val="TableParagraph"/>
              <w:spacing w:before="27"/>
              <w:ind w:right="65"/>
              <w:rPr>
                <w:sz w:val="14"/>
              </w:rPr>
            </w:pPr>
            <w:r>
              <w:rPr>
                <w:w w:val="99"/>
                <w:sz w:val="14"/>
              </w:rPr>
              <w:t>-</w:t>
            </w:r>
          </w:p>
        </w:tc>
        <w:tc>
          <w:tcPr>
            <w:tcW w:w="795" w:type="dxa"/>
            <w:tcBorders>
              <w:top w:val="single" w:sz="4" w:space="0" w:color="000000"/>
              <w:bottom w:val="single" w:sz="4" w:space="0" w:color="000000"/>
            </w:tcBorders>
          </w:tcPr>
          <w:p>
            <w:pPr>
              <w:pStyle w:val="TableParagraph"/>
              <w:spacing w:before="27"/>
              <w:ind w:right="125"/>
              <w:rPr>
                <w:sz w:val="14"/>
              </w:rPr>
            </w:pPr>
            <w:r>
              <w:rPr>
                <w:w w:val="99"/>
                <w:sz w:val="14"/>
              </w:rPr>
              <w:t>-</w:t>
            </w:r>
          </w:p>
        </w:tc>
        <w:tc>
          <w:tcPr>
            <w:tcW w:w="569" w:type="dxa"/>
            <w:tcBorders>
              <w:top w:val="single" w:sz="4" w:space="0" w:color="000000"/>
              <w:bottom w:val="single" w:sz="4" w:space="0" w:color="000000"/>
            </w:tcBorders>
          </w:tcPr>
          <w:p>
            <w:pPr>
              <w:pStyle w:val="TableParagraph"/>
              <w:spacing w:before="27"/>
              <w:ind w:right="99"/>
              <w:rPr>
                <w:sz w:val="14"/>
              </w:rPr>
            </w:pPr>
            <w:r>
              <w:rPr>
                <w:w w:val="99"/>
                <w:sz w:val="14"/>
              </w:rPr>
              <w:t>-</w:t>
            </w:r>
          </w:p>
        </w:tc>
        <w:tc>
          <w:tcPr>
            <w:tcW w:w="578" w:type="dxa"/>
            <w:tcBorders>
              <w:top w:val="single" w:sz="4" w:space="0" w:color="000000"/>
              <w:bottom w:val="single" w:sz="4" w:space="0" w:color="000000"/>
            </w:tcBorders>
          </w:tcPr>
          <w:p>
            <w:pPr>
              <w:pStyle w:val="TableParagraph"/>
              <w:spacing w:before="27"/>
              <w:ind w:right="86"/>
              <w:rPr>
                <w:sz w:val="14"/>
              </w:rPr>
            </w:pPr>
            <w:r>
              <w:rPr>
                <w:w w:val="99"/>
                <w:sz w:val="14"/>
              </w:rPr>
              <w:t>-</w:t>
            </w:r>
          </w:p>
        </w:tc>
        <w:tc>
          <w:tcPr>
            <w:tcW w:w="563" w:type="dxa"/>
            <w:tcBorders>
              <w:top w:val="single" w:sz="4" w:space="0" w:color="000000"/>
              <w:bottom w:val="single" w:sz="4" w:space="0" w:color="000000"/>
            </w:tcBorders>
          </w:tcPr>
          <w:p>
            <w:pPr>
              <w:pStyle w:val="TableParagraph"/>
              <w:spacing w:before="27"/>
              <w:ind w:right="59"/>
              <w:rPr>
                <w:sz w:val="14"/>
              </w:rPr>
            </w:pPr>
            <w:r>
              <w:rPr>
                <w:w w:val="99"/>
                <w:sz w:val="14"/>
              </w:rPr>
              <w:t>-</w:t>
            </w:r>
          </w:p>
        </w:tc>
        <w:tc>
          <w:tcPr>
            <w:tcW w:w="821" w:type="dxa"/>
            <w:tcBorders>
              <w:top w:val="single" w:sz="4" w:space="0" w:color="000000"/>
              <w:bottom w:val="single" w:sz="4" w:space="0" w:color="000000"/>
            </w:tcBorders>
          </w:tcPr>
          <w:p>
            <w:pPr>
              <w:pStyle w:val="TableParagraph"/>
              <w:spacing w:before="27"/>
              <w:ind w:right="140"/>
              <w:rPr>
                <w:sz w:val="14"/>
              </w:rPr>
            </w:pPr>
            <w:r>
              <w:rPr>
                <w:w w:val="99"/>
                <w:sz w:val="14"/>
              </w:rPr>
              <w:t>-</w:t>
            </w:r>
          </w:p>
        </w:tc>
        <w:tc>
          <w:tcPr>
            <w:tcW w:w="520" w:type="dxa"/>
            <w:tcBorders>
              <w:top w:val="single" w:sz="4" w:space="0" w:color="000000"/>
              <w:bottom w:val="single" w:sz="4" w:space="0" w:color="000000"/>
            </w:tcBorders>
          </w:tcPr>
          <w:p>
            <w:pPr>
              <w:pStyle w:val="TableParagraph"/>
              <w:spacing w:before="27"/>
              <w:ind w:right="60"/>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2"/>
              <w:ind w:left="67"/>
              <w:jc w:val="left"/>
              <w:rPr>
                <w:sz w:val="14"/>
              </w:rPr>
            </w:pPr>
            <w:r>
              <w:rPr>
                <w:spacing w:val="-2"/>
                <w:sz w:val="14"/>
              </w:rPr>
              <w:t>Returned</w:t>
            </w:r>
          </w:p>
        </w:tc>
        <w:tc>
          <w:tcPr>
            <w:tcW w:w="678" w:type="dxa"/>
            <w:tcBorders>
              <w:top w:val="single" w:sz="4" w:space="0" w:color="000000"/>
              <w:bottom w:val="single" w:sz="4" w:space="0" w:color="000000"/>
            </w:tcBorders>
          </w:tcPr>
          <w:p>
            <w:pPr>
              <w:pStyle w:val="TableParagraph"/>
              <w:spacing w:before="22"/>
              <w:ind w:right="154"/>
              <w:rPr>
                <w:b/>
                <w:sz w:val="14"/>
              </w:rPr>
            </w:pPr>
            <w:r>
              <w:rPr>
                <w:b/>
                <w:w w:val="99"/>
                <w:sz w:val="14"/>
              </w:rPr>
              <w:t>-</w:t>
            </w:r>
          </w:p>
        </w:tc>
        <w:tc>
          <w:tcPr>
            <w:tcW w:w="607" w:type="dxa"/>
            <w:tcBorders>
              <w:top w:val="single" w:sz="4" w:space="0" w:color="000000"/>
              <w:bottom w:val="single" w:sz="4" w:space="0" w:color="000000"/>
            </w:tcBorders>
          </w:tcPr>
          <w:p>
            <w:pPr>
              <w:pStyle w:val="TableParagraph"/>
              <w:spacing w:before="22"/>
              <w:ind w:right="170"/>
              <w:rPr>
                <w:b/>
                <w:sz w:val="14"/>
              </w:rPr>
            </w:pPr>
            <w:r>
              <w:rPr>
                <w:b/>
                <w:w w:val="99"/>
                <w:sz w:val="14"/>
              </w:rPr>
              <w:t>-</w:t>
            </w:r>
          </w:p>
        </w:tc>
        <w:tc>
          <w:tcPr>
            <w:tcW w:w="563" w:type="dxa"/>
            <w:tcBorders>
              <w:top w:val="single" w:sz="4" w:space="0" w:color="000000"/>
              <w:bottom w:val="single" w:sz="4" w:space="0" w:color="000000"/>
            </w:tcBorders>
          </w:tcPr>
          <w:p>
            <w:pPr>
              <w:pStyle w:val="TableParagraph"/>
              <w:spacing w:before="22"/>
              <w:ind w:right="171"/>
              <w:rPr>
                <w:b/>
                <w:sz w:val="14"/>
              </w:rPr>
            </w:pPr>
            <w:r>
              <w:rPr>
                <w:b/>
                <w:w w:val="99"/>
                <w:sz w:val="14"/>
              </w:rPr>
              <w:t>-</w:t>
            </w:r>
          </w:p>
        </w:tc>
        <w:tc>
          <w:tcPr>
            <w:tcW w:w="581" w:type="dxa"/>
            <w:tcBorders>
              <w:top w:val="single" w:sz="4" w:space="0" w:color="000000"/>
              <w:bottom w:val="single" w:sz="4" w:space="0" w:color="000000"/>
            </w:tcBorders>
          </w:tcPr>
          <w:p>
            <w:pPr>
              <w:pStyle w:val="TableParagraph"/>
              <w:spacing w:before="22"/>
              <w:ind w:right="191"/>
              <w:rPr>
                <w:b/>
                <w:sz w:val="14"/>
              </w:rPr>
            </w:pPr>
            <w:r>
              <w:rPr>
                <w:b/>
                <w:w w:val="99"/>
                <w:sz w:val="14"/>
              </w:rPr>
              <w:t>-</w:t>
            </w:r>
          </w:p>
        </w:tc>
        <w:tc>
          <w:tcPr>
            <w:tcW w:w="581" w:type="dxa"/>
            <w:tcBorders>
              <w:top w:val="single" w:sz="4" w:space="0" w:color="000000"/>
              <w:bottom w:val="single" w:sz="4" w:space="0" w:color="000000"/>
            </w:tcBorders>
          </w:tcPr>
          <w:p>
            <w:pPr>
              <w:pStyle w:val="TableParagraph"/>
              <w:spacing w:before="22"/>
              <w:ind w:left="148"/>
              <w:jc w:val="center"/>
              <w:rPr>
                <w:b/>
                <w:sz w:val="14"/>
              </w:rPr>
            </w:pPr>
            <w:r>
              <w:rPr>
                <w:b/>
                <w:w w:val="99"/>
                <w:sz w:val="14"/>
              </w:rPr>
              <w:t>-</w:t>
            </w:r>
          </w:p>
        </w:tc>
        <w:tc>
          <w:tcPr>
            <w:tcW w:w="566" w:type="dxa"/>
            <w:tcBorders>
              <w:top w:val="single" w:sz="4" w:space="0" w:color="000000"/>
              <w:bottom w:val="single" w:sz="4" w:space="0" w:color="000000"/>
            </w:tcBorders>
          </w:tcPr>
          <w:p>
            <w:pPr>
              <w:pStyle w:val="TableParagraph"/>
              <w:spacing w:before="22"/>
              <w:ind w:right="171"/>
              <w:rPr>
                <w:b/>
                <w:sz w:val="14"/>
              </w:rPr>
            </w:pPr>
            <w:r>
              <w:rPr>
                <w:b/>
                <w:w w:val="99"/>
                <w:sz w:val="14"/>
              </w:rPr>
              <w:t>-</w:t>
            </w:r>
          </w:p>
        </w:tc>
        <w:tc>
          <w:tcPr>
            <w:tcW w:w="693" w:type="dxa"/>
            <w:tcBorders>
              <w:top w:val="single" w:sz="4" w:space="0" w:color="000000"/>
              <w:bottom w:val="single" w:sz="4" w:space="0" w:color="000000"/>
            </w:tcBorders>
          </w:tcPr>
          <w:p>
            <w:pPr>
              <w:pStyle w:val="TableParagraph"/>
              <w:spacing w:before="22"/>
              <w:ind w:right="268"/>
              <w:rPr>
                <w:sz w:val="14"/>
              </w:rPr>
            </w:pPr>
            <w:r>
              <w:rPr>
                <w:w w:val="99"/>
                <w:sz w:val="14"/>
              </w:rPr>
              <w:t>-</w:t>
            </w:r>
          </w:p>
        </w:tc>
        <w:tc>
          <w:tcPr>
            <w:tcW w:w="666" w:type="dxa"/>
            <w:tcBorders>
              <w:top w:val="single" w:sz="4" w:space="0" w:color="000000"/>
              <w:bottom w:val="single" w:sz="4" w:space="0" w:color="000000"/>
            </w:tcBorders>
          </w:tcPr>
          <w:p>
            <w:pPr>
              <w:pStyle w:val="TableParagraph"/>
              <w:spacing w:before="22"/>
              <w:ind w:right="195"/>
              <w:rPr>
                <w:sz w:val="14"/>
              </w:rPr>
            </w:pPr>
            <w:r>
              <w:rPr>
                <w:w w:val="99"/>
                <w:sz w:val="14"/>
              </w:rPr>
              <w:t>-</w:t>
            </w:r>
          </w:p>
        </w:tc>
        <w:tc>
          <w:tcPr>
            <w:tcW w:w="466" w:type="dxa"/>
            <w:tcBorders>
              <w:top w:val="single" w:sz="4" w:space="0" w:color="000000"/>
              <w:bottom w:val="single" w:sz="4" w:space="0" w:color="000000"/>
            </w:tcBorders>
          </w:tcPr>
          <w:p>
            <w:pPr>
              <w:pStyle w:val="TableParagraph"/>
              <w:spacing w:before="22"/>
              <w:ind w:right="65"/>
              <w:rPr>
                <w:sz w:val="14"/>
              </w:rPr>
            </w:pPr>
            <w:r>
              <w:rPr>
                <w:w w:val="99"/>
                <w:sz w:val="14"/>
              </w:rPr>
              <w:t>-</w:t>
            </w:r>
          </w:p>
        </w:tc>
        <w:tc>
          <w:tcPr>
            <w:tcW w:w="795" w:type="dxa"/>
            <w:tcBorders>
              <w:top w:val="single" w:sz="4" w:space="0" w:color="000000"/>
              <w:bottom w:val="single" w:sz="4" w:space="0" w:color="000000"/>
            </w:tcBorders>
          </w:tcPr>
          <w:p>
            <w:pPr>
              <w:pStyle w:val="TableParagraph"/>
              <w:spacing w:before="22"/>
              <w:ind w:right="125"/>
              <w:rPr>
                <w:sz w:val="14"/>
              </w:rPr>
            </w:pPr>
            <w:r>
              <w:rPr>
                <w:w w:val="99"/>
                <w:sz w:val="14"/>
              </w:rPr>
              <w:t>-</w:t>
            </w:r>
          </w:p>
        </w:tc>
        <w:tc>
          <w:tcPr>
            <w:tcW w:w="569" w:type="dxa"/>
            <w:tcBorders>
              <w:top w:val="single" w:sz="4" w:space="0" w:color="000000"/>
              <w:bottom w:val="single" w:sz="4" w:space="0" w:color="000000"/>
            </w:tcBorders>
          </w:tcPr>
          <w:p>
            <w:pPr>
              <w:pStyle w:val="TableParagraph"/>
              <w:spacing w:before="22"/>
              <w:ind w:right="99"/>
              <w:rPr>
                <w:sz w:val="14"/>
              </w:rPr>
            </w:pPr>
            <w:r>
              <w:rPr>
                <w:w w:val="99"/>
                <w:sz w:val="14"/>
              </w:rPr>
              <w:t>-</w:t>
            </w:r>
          </w:p>
        </w:tc>
        <w:tc>
          <w:tcPr>
            <w:tcW w:w="578" w:type="dxa"/>
            <w:tcBorders>
              <w:top w:val="single" w:sz="4" w:space="0" w:color="000000"/>
              <w:bottom w:val="single" w:sz="4" w:space="0" w:color="000000"/>
            </w:tcBorders>
          </w:tcPr>
          <w:p>
            <w:pPr>
              <w:pStyle w:val="TableParagraph"/>
              <w:spacing w:before="22"/>
              <w:ind w:right="86"/>
              <w:rPr>
                <w:sz w:val="14"/>
              </w:rPr>
            </w:pPr>
            <w:r>
              <w:rPr>
                <w:w w:val="99"/>
                <w:sz w:val="14"/>
              </w:rPr>
              <w:t>-</w:t>
            </w:r>
          </w:p>
        </w:tc>
        <w:tc>
          <w:tcPr>
            <w:tcW w:w="563" w:type="dxa"/>
            <w:tcBorders>
              <w:top w:val="single" w:sz="4" w:space="0" w:color="000000"/>
              <w:bottom w:val="single" w:sz="4" w:space="0" w:color="000000"/>
            </w:tcBorders>
          </w:tcPr>
          <w:p>
            <w:pPr>
              <w:pStyle w:val="TableParagraph"/>
              <w:spacing w:before="22"/>
              <w:ind w:right="59"/>
              <w:rPr>
                <w:sz w:val="14"/>
              </w:rPr>
            </w:pPr>
            <w:r>
              <w:rPr>
                <w:w w:val="99"/>
                <w:sz w:val="14"/>
              </w:rPr>
              <w:t>-</w:t>
            </w:r>
          </w:p>
        </w:tc>
        <w:tc>
          <w:tcPr>
            <w:tcW w:w="821" w:type="dxa"/>
            <w:tcBorders>
              <w:top w:val="single" w:sz="4" w:space="0" w:color="000000"/>
              <w:bottom w:val="single" w:sz="4" w:space="0" w:color="000000"/>
            </w:tcBorders>
          </w:tcPr>
          <w:p>
            <w:pPr>
              <w:pStyle w:val="TableParagraph"/>
              <w:spacing w:before="22"/>
              <w:ind w:right="140"/>
              <w:rPr>
                <w:sz w:val="14"/>
              </w:rPr>
            </w:pPr>
            <w:r>
              <w:rPr>
                <w:w w:val="99"/>
                <w:sz w:val="14"/>
              </w:rPr>
              <w:t>-</w:t>
            </w:r>
          </w:p>
        </w:tc>
        <w:tc>
          <w:tcPr>
            <w:tcW w:w="520" w:type="dxa"/>
            <w:tcBorders>
              <w:top w:val="single" w:sz="4" w:space="0" w:color="000000"/>
              <w:bottom w:val="single" w:sz="4" w:space="0" w:color="000000"/>
            </w:tcBorders>
          </w:tcPr>
          <w:p>
            <w:pPr>
              <w:pStyle w:val="TableParagraph"/>
              <w:spacing w:before="22"/>
              <w:ind w:right="60"/>
              <w:rPr>
                <w:b/>
                <w:sz w:val="14"/>
              </w:rPr>
            </w:pPr>
            <w:r>
              <w:rPr>
                <w:b/>
                <w:w w:val="99"/>
                <w:sz w:val="14"/>
              </w:rPr>
              <w:t>-</w:t>
            </w:r>
          </w:p>
        </w:tc>
      </w:tr>
      <w:tr>
        <w:trPr>
          <w:trHeight w:val="224" w:hRule="atLeast"/>
        </w:trPr>
        <w:tc>
          <w:tcPr>
            <w:tcW w:w="1186" w:type="dxa"/>
            <w:tcBorders>
              <w:top w:val="single" w:sz="4" w:space="0" w:color="000000"/>
              <w:bottom w:val="single" w:sz="12" w:space="0" w:color="000000"/>
            </w:tcBorders>
          </w:tcPr>
          <w:p>
            <w:pPr>
              <w:pStyle w:val="TableParagraph"/>
              <w:spacing w:before="22"/>
              <w:ind w:left="67"/>
              <w:jc w:val="left"/>
              <w:rPr>
                <w:b/>
                <w:sz w:val="14"/>
              </w:rPr>
            </w:pPr>
            <w:r>
              <w:rPr>
                <w:b/>
                <w:sz w:val="14"/>
              </w:rPr>
              <w:t>Proposed</w:t>
            </w:r>
            <w:r>
              <w:rPr>
                <w:b/>
                <w:spacing w:val="-6"/>
                <w:sz w:val="14"/>
              </w:rPr>
              <w:t> </w:t>
            </w:r>
            <w:r>
              <w:rPr>
                <w:b/>
                <w:spacing w:val="-4"/>
                <w:sz w:val="14"/>
              </w:rPr>
              <w:t>2023</w:t>
            </w:r>
          </w:p>
        </w:tc>
        <w:tc>
          <w:tcPr>
            <w:tcW w:w="678" w:type="dxa"/>
            <w:tcBorders>
              <w:top w:val="single" w:sz="4" w:space="0" w:color="000000"/>
              <w:bottom w:val="single" w:sz="12" w:space="0" w:color="000000"/>
            </w:tcBorders>
          </w:tcPr>
          <w:p>
            <w:pPr>
              <w:pStyle w:val="TableParagraph"/>
              <w:spacing w:before="22"/>
              <w:ind w:right="154"/>
              <w:rPr>
                <w:b/>
                <w:sz w:val="14"/>
              </w:rPr>
            </w:pPr>
            <w:r>
              <w:rPr>
                <w:b/>
                <w:w w:val="99"/>
                <w:sz w:val="14"/>
              </w:rPr>
              <w:t>-</w:t>
            </w:r>
          </w:p>
        </w:tc>
        <w:tc>
          <w:tcPr>
            <w:tcW w:w="607" w:type="dxa"/>
            <w:tcBorders>
              <w:top w:val="single" w:sz="4" w:space="0" w:color="000000"/>
              <w:bottom w:val="single" w:sz="12" w:space="0" w:color="000000"/>
            </w:tcBorders>
          </w:tcPr>
          <w:p>
            <w:pPr>
              <w:pStyle w:val="TableParagraph"/>
              <w:spacing w:before="22"/>
              <w:ind w:right="170"/>
              <w:rPr>
                <w:b/>
                <w:sz w:val="14"/>
              </w:rPr>
            </w:pPr>
            <w:r>
              <w:rPr>
                <w:b/>
                <w:w w:val="99"/>
                <w:sz w:val="14"/>
              </w:rPr>
              <w:t>-</w:t>
            </w:r>
          </w:p>
        </w:tc>
        <w:tc>
          <w:tcPr>
            <w:tcW w:w="563" w:type="dxa"/>
            <w:tcBorders>
              <w:top w:val="single" w:sz="4" w:space="0" w:color="000000"/>
              <w:bottom w:val="single" w:sz="12" w:space="0" w:color="000000"/>
            </w:tcBorders>
          </w:tcPr>
          <w:p>
            <w:pPr>
              <w:pStyle w:val="TableParagraph"/>
              <w:spacing w:before="22"/>
              <w:ind w:right="171"/>
              <w:rPr>
                <w:b/>
                <w:sz w:val="14"/>
              </w:rPr>
            </w:pPr>
            <w:r>
              <w:rPr>
                <w:b/>
                <w:w w:val="99"/>
                <w:sz w:val="14"/>
              </w:rPr>
              <w:t>-</w:t>
            </w:r>
          </w:p>
        </w:tc>
        <w:tc>
          <w:tcPr>
            <w:tcW w:w="581" w:type="dxa"/>
            <w:tcBorders>
              <w:top w:val="single" w:sz="4" w:space="0" w:color="000000"/>
              <w:bottom w:val="single" w:sz="12" w:space="0" w:color="000000"/>
            </w:tcBorders>
          </w:tcPr>
          <w:p>
            <w:pPr>
              <w:pStyle w:val="TableParagraph"/>
              <w:spacing w:before="22"/>
              <w:ind w:right="191"/>
              <w:rPr>
                <w:b/>
                <w:sz w:val="14"/>
              </w:rPr>
            </w:pPr>
            <w:r>
              <w:rPr>
                <w:b/>
                <w:w w:val="99"/>
                <w:sz w:val="14"/>
              </w:rPr>
              <w:t>-</w:t>
            </w:r>
          </w:p>
        </w:tc>
        <w:tc>
          <w:tcPr>
            <w:tcW w:w="581" w:type="dxa"/>
            <w:tcBorders>
              <w:top w:val="single" w:sz="4" w:space="0" w:color="000000"/>
              <w:bottom w:val="single" w:sz="12" w:space="0" w:color="000000"/>
            </w:tcBorders>
          </w:tcPr>
          <w:p>
            <w:pPr>
              <w:pStyle w:val="TableParagraph"/>
              <w:spacing w:before="22"/>
              <w:ind w:left="124"/>
              <w:jc w:val="center"/>
              <w:rPr>
                <w:b/>
                <w:sz w:val="14"/>
              </w:rPr>
            </w:pPr>
            <w:r>
              <w:rPr>
                <w:b/>
                <w:w w:val="99"/>
                <w:sz w:val="14"/>
              </w:rPr>
              <w:t>1</w:t>
            </w:r>
          </w:p>
        </w:tc>
        <w:tc>
          <w:tcPr>
            <w:tcW w:w="566" w:type="dxa"/>
            <w:tcBorders>
              <w:top w:val="single" w:sz="4" w:space="0" w:color="000000"/>
              <w:bottom w:val="single" w:sz="12" w:space="0" w:color="000000"/>
            </w:tcBorders>
          </w:tcPr>
          <w:p>
            <w:pPr>
              <w:pStyle w:val="TableParagraph"/>
              <w:spacing w:before="22"/>
              <w:ind w:right="171"/>
              <w:rPr>
                <w:b/>
                <w:sz w:val="14"/>
              </w:rPr>
            </w:pPr>
            <w:r>
              <w:rPr>
                <w:b/>
                <w:w w:val="99"/>
                <w:sz w:val="14"/>
              </w:rPr>
              <w:t>-</w:t>
            </w:r>
          </w:p>
        </w:tc>
        <w:tc>
          <w:tcPr>
            <w:tcW w:w="693" w:type="dxa"/>
            <w:tcBorders>
              <w:top w:val="single" w:sz="4" w:space="0" w:color="000000"/>
              <w:bottom w:val="single" w:sz="12" w:space="0" w:color="000000"/>
            </w:tcBorders>
          </w:tcPr>
          <w:p>
            <w:pPr>
              <w:pStyle w:val="TableParagraph"/>
              <w:spacing w:before="22"/>
              <w:ind w:right="268"/>
              <w:rPr>
                <w:b/>
                <w:sz w:val="14"/>
              </w:rPr>
            </w:pPr>
            <w:r>
              <w:rPr>
                <w:b/>
                <w:w w:val="99"/>
                <w:sz w:val="14"/>
              </w:rPr>
              <w:t>-</w:t>
            </w:r>
          </w:p>
        </w:tc>
        <w:tc>
          <w:tcPr>
            <w:tcW w:w="666" w:type="dxa"/>
            <w:tcBorders>
              <w:top w:val="single" w:sz="4" w:space="0" w:color="000000"/>
              <w:bottom w:val="single" w:sz="12" w:space="0" w:color="000000"/>
            </w:tcBorders>
          </w:tcPr>
          <w:p>
            <w:pPr>
              <w:pStyle w:val="TableParagraph"/>
              <w:spacing w:before="22"/>
              <w:ind w:right="195"/>
              <w:rPr>
                <w:b/>
                <w:sz w:val="14"/>
              </w:rPr>
            </w:pPr>
            <w:r>
              <w:rPr>
                <w:b/>
                <w:w w:val="99"/>
                <w:sz w:val="14"/>
              </w:rPr>
              <w:t>-</w:t>
            </w:r>
          </w:p>
        </w:tc>
        <w:tc>
          <w:tcPr>
            <w:tcW w:w="466" w:type="dxa"/>
            <w:tcBorders>
              <w:top w:val="single" w:sz="4" w:space="0" w:color="000000"/>
              <w:bottom w:val="single" w:sz="12" w:space="0" w:color="000000"/>
            </w:tcBorders>
          </w:tcPr>
          <w:p>
            <w:pPr>
              <w:pStyle w:val="TableParagraph"/>
              <w:spacing w:before="22"/>
              <w:ind w:right="65"/>
              <w:rPr>
                <w:b/>
                <w:sz w:val="14"/>
              </w:rPr>
            </w:pPr>
            <w:r>
              <w:rPr>
                <w:b/>
                <w:w w:val="99"/>
                <w:sz w:val="14"/>
              </w:rPr>
              <w:t>-</w:t>
            </w:r>
          </w:p>
        </w:tc>
        <w:tc>
          <w:tcPr>
            <w:tcW w:w="795" w:type="dxa"/>
            <w:tcBorders>
              <w:top w:val="single" w:sz="4" w:space="0" w:color="000000"/>
              <w:bottom w:val="single" w:sz="12" w:space="0" w:color="000000"/>
            </w:tcBorders>
          </w:tcPr>
          <w:p>
            <w:pPr>
              <w:pStyle w:val="TableParagraph"/>
              <w:spacing w:before="22"/>
              <w:ind w:right="126"/>
              <w:rPr>
                <w:b/>
                <w:i/>
                <w:sz w:val="14"/>
              </w:rPr>
            </w:pPr>
            <w:r>
              <w:rPr>
                <w:b/>
                <w:i/>
                <w:w w:val="99"/>
                <w:sz w:val="14"/>
              </w:rPr>
              <w:t>1</w:t>
            </w:r>
          </w:p>
        </w:tc>
        <w:tc>
          <w:tcPr>
            <w:tcW w:w="569" w:type="dxa"/>
            <w:tcBorders>
              <w:top w:val="single" w:sz="4" w:space="0" w:color="000000"/>
              <w:bottom w:val="single" w:sz="12" w:space="0" w:color="000000"/>
            </w:tcBorders>
          </w:tcPr>
          <w:p>
            <w:pPr>
              <w:pStyle w:val="TableParagraph"/>
              <w:spacing w:before="22"/>
              <w:ind w:right="99"/>
              <w:rPr>
                <w:b/>
                <w:sz w:val="14"/>
              </w:rPr>
            </w:pPr>
            <w:r>
              <w:rPr>
                <w:b/>
                <w:w w:val="99"/>
                <w:sz w:val="14"/>
              </w:rPr>
              <w:t>-</w:t>
            </w:r>
          </w:p>
        </w:tc>
        <w:tc>
          <w:tcPr>
            <w:tcW w:w="578" w:type="dxa"/>
            <w:tcBorders>
              <w:top w:val="single" w:sz="4" w:space="0" w:color="000000"/>
              <w:bottom w:val="single" w:sz="12" w:space="0" w:color="000000"/>
            </w:tcBorders>
          </w:tcPr>
          <w:p>
            <w:pPr>
              <w:pStyle w:val="TableParagraph"/>
              <w:spacing w:before="22"/>
              <w:ind w:right="87"/>
              <w:rPr>
                <w:b/>
                <w:sz w:val="14"/>
              </w:rPr>
            </w:pPr>
            <w:r>
              <w:rPr>
                <w:b/>
                <w:w w:val="99"/>
                <w:sz w:val="14"/>
              </w:rPr>
              <w:t>1</w:t>
            </w:r>
          </w:p>
        </w:tc>
        <w:tc>
          <w:tcPr>
            <w:tcW w:w="563" w:type="dxa"/>
            <w:tcBorders>
              <w:top w:val="single" w:sz="4" w:space="0" w:color="000000"/>
              <w:bottom w:val="single" w:sz="12" w:space="0" w:color="000000"/>
            </w:tcBorders>
          </w:tcPr>
          <w:p>
            <w:pPr>
              <w:pStyle w:val="TableParagraph"/>
              <w:spacing w:before="22"/>
              <w:ind w:right="59"/>
              <w:rPr>
                <w:b/>
                <w:sz w:val="14"/>
              </w:rPr>
            </w:pPr>
            <w:r>
              <w:rPr>
                <w:b/>
                <w:w w:val="99"/>
                <w:sz w:val="14"/>
              </w:rPr>
              <w:t>-</w:t>
            </w:r>
          </w:p>
        </w:tc>
        <w:tc>
          <w:tcPr>
            <w:tcW w:w="821" w:type="dxa"/>
            <w:tcBorders>
              <w:top w:val="single" w:sz="4" w:space="0" w:color="000000"/>
              <w:bottom w:val="single" w:sz="12" w:space="0" w:color="000000"/>
            </w:tcBorders>
          </w:tcPr>
          <w:p>
            <w:pPr>
              <w:pStyle w:val="TableParagraph"/>
              <w:spacing w:before="22"/>
              <w:ind w:right="141"/>
              <w:rPr>
                <w:b/>
                <w:i/>
                <w:sz w:val="14"/>
              </w:rPr>
            </w:pPr>
            <w:r>
              <w:rPr>
                <w:b/>
                <w:i/>
                <w:w w:val="99"/>
                <w:sz w:val="14"/>
              </w:rPr>
              <w:t>1</w:t>
            </w:r>
          </w:p>
        </w:tc>
        <w:tc>
          <w:tcPr>
            <w:tcW w:w="520" w:type="dxa"/>
            <w:tcBorders>
              <w:top w:val="single" w:sz="4" w:space="0" w:color="000000"/>
              <w:bottom w:val="single" w:sz="12" w:space="0" w:color="000000"/>
            </w:tcBorders>
          </w:tcPr>
          <w:p>
            <w:pPr>
              <w:pStyle w:val="TableParagraph"/>
              <w:spacing w:before="22"/>
              <w:ind w:right="61"/>
              <w:rPr>
                <w:b/>
                <w:sz w:val="14"/>
              </w:rPr>
            </w:pPr>
            <w:r>
              <w:rPr>
                <w:b/>
                <w:w w:val="99"/>
                <w:sz w:val="14"/>
              </w:rPr>
              <w:t>2</w:t>
            </w:r>
          </w:p>
        </w:tc>
      </w:tr>
      <w:tr>
        <w:trPr>
          <w:trHeight w:val="571" w:hRule="atLeast"/>
        </w:trPr>
        <w:tc>
          <w:tcPr>
            <w:tcW w:w="1186" w:type="dxa"/>
            <w:tcBorders>
              <w:top w:val="single" w:sz="12" w:space="0" w:color="000000"/>
            </w:tcBorders>
          </w:tcPr>
          <w:p>
            <w:pPr>
              <w:pStyle w:val="TableParagraph"/>
              <w:jc w:val="left"/>
              <w:rPr>
                <w:b/>
                <w:sz w:val="19"/>
              </w:rPr>
            </w:pPr>
          </w:p>
          <w:p>
            <w:pPr>
              <w:pStyle w:val="TableParagraph"/>
              <w:spacing w:line="242" w:lineRule="auto"/>
              <w:ind w:left="67" w:right="232"/>
              <w:jc w:val="left"/>
              <w:rPr>
                <w:b/>
                <w:sz w:val="14"/>
              </w:rPr>
            </w:pPr>
            <w:r>
              <w:rPr>
                <w:b/>
                <w:sz w:val="14"/>
              </w:rPr>
              <w:t>GTA</w:t>
            </w:r>
            <w:r>
              <w:rPr>
                <w:b/>
                <w:spacing w:val="-9"/>
                <w:sz w:val="14"/>
              </w:rPr>
              <w:t> </w:t>
            </w:r>
            <w:r>
              <w:rPr>
                <w:b/>
                <w:sz w:val="14"/>
              </w:rPr>
              <w:t>Positions</w:t>
            </w:r>
            <w:r>
              <w:rPr>
                <w:b/>
                <w:spacing w:val="40"/>
                <w:sz w:val="14"/>
              </w:rPr>
              <w:t> </w:t>
            </w:r>
            <w:r>
              <w:rPr>
                <w:b/>
                <w:spacing w:val="-2"/>
                <w:sz w:val="14"/>
              </w:rPr>
              <w:t>(FTE)</w:t>
            </w:r>
          </w:p>
        </w:tc>
        <w:tc>
          <w:tcPr>
            <w:tcW w:w="678" w:type="dxa"/>
            <w:tcBorders>
              <w:top w:val="single" w:sz="12" w:space="0" w:color="000000"/>
            </w:tcBorders>
          </w:tcPr>
          <w:p>
            <w:pPr>
              <w:pStyle w:val="TableParagraph"/>
              <w:jc w:val="left"/>
              <w:rPr>
                <w:sz w:val="14"/>
              </w:rPr>
            </w:pPr>
          </w:p>
        </w:tc>
        <w:tc>
          <w:tcPr>
            <w:tcW w:w="607" w:type="dxa"/>
            <w:tcBorders>
              <w:top w:val="single" w:sz="12" w:space="0" w:color="000000"/>
            </w:tcBorders>
          </w:tcPr>
          <w:p>
            <w:pPr>
              <w:pStyle w:val="TableParagraph"/>
              <w:jc w:val="left"/>
              <w:rPr>
                <w:sz w:val="14"/>
              </w:rPr>
            </w:pPr>
          </w:p>
        </w:tc>
        <w:tc>
          <w:tcPr>
            <w:tcW w:w="563" w:type="dxa"/>
            <w:tcBorders>
              <w:top w:val="single" w:sz="12" w:space="0" w:color="000000"/>
            </w:tcBorders>
          </w:tcPr>
          <w:p>
            <w:pPr>
              <w:pStyle w:val="TableParagraph"/>
              <w:jc w:val="left"/>
              <w:rPr>
                <w:sz w:val="14"/>
              </w:rPr>
            </w:pPr>
          </w:p>
        </w:tc>
        <w:tc>
          <w:tcPr>
            <w:tcW w:w="581" w:type="dxa"/>
            <w:tcBorders>
              <w:top w:val="single" w:sz="12" w:space="0" w:color="000000"/>
            </w:tcBorders>
          </w:tcPr>
          <w:p>
            <w:pPr>
              <w:pStyle w:val="TableParagraph"/>
              <w:jc w:val="left"/>
              <w:rPr>
                <w:sz w:val="14"/>
              </w:rPr>
            </w:pPr>
          </w:p>
        </w:tc>
        <w:tc>
          <w:tcPr>
            <w:tcW w:w="581" w:type="dxa"/>
            <w:tcBorders>
              <w:top w:val="single" w:sz="12" w:space="0" w:color="000000"/>
            </w:tcBorders>
          </w:tcPr>
          <w:p>
            <w:pPr>
              <w:pStyle w:val="TableParagraph"/>
              <w:jc w:val="left"/>
              <w:rPr>
                <w:sz w:val="14"/>
              </w:rPr>
            </w:pPr>
          </w:p>
        </w:tc>
        <w:tc>
          <w:tcPr>
            <w:tcW w:w="566" w:type="dxa"/>
            <w:tcBorders>
              <w:top w:val="single" w:sz="12" w:space="0" w:color="000000"/>
            </w:tcBorders>
          </w:tcPr>
          <w:p>
            <w:pPr>
              <w:pStyle w:val="TableParagraph"/>
              <w:jc w:val="left"/>
              <w:rPr>
                <w:sz w:val="14"/>
              </w:rPr>
            </w:pPr>
          </w:p>
        </w:tc>
        <w:tc>
          <w:tcPr>
            <w:tcW w:w="693" w:type="dxa"/>
            <w:tcBorders>
              <w:top w:val="single" w:sz="12" w:space="0" w:color="000000"/>
            </w:tcBorders>
          </w:tcPr>
          <w:p>
            <w:pPr>
              <w:pStyle w:val="TableParagraph"/>
              <w:jc w:val="left"/>
              <w:rPr>
                <w:sz w:val="14"/>
              </w:rPr>
            </w:pPr>
          </w:p>
        </w:tc>
        <w:tc>
          <w:tcPr>
            <w:tcW w:w="666" w:type="dxa"/>
            <w:tcBorders>
              <w:top w:val="single" w:sz="12" w:space="0" w:color="000000"/>
            </w:tcBorders>
          </w:tcPr>
          <w:p>
            <w:pPr>
              <w:pStyle w:val="TableParagraph"/>
              <w:jc w:val="left"/>
              <w:rPr>
                <w:sz w:val="14"/>
              </w:rPr>
            </w:pPr>
          </w:p>
        </w:tc>
        <w:tc>
          <w:tcPr>
            <w:tcW w:w="466" w:type="dxa"/>
            <w:tcBorders>
              <w:top w:val="single" w:sz="12" w:space="0" w:color="000000"/>
            </w:tcBorders>
          </w:tcPr>
          <w:p>
            <w:pPr>
              <w:pStyle w:val="TableParagraph"/>
              <w:jc w:val="left"/>
              <w:rPr>
                <w:sz w:val="14"/>
              </w:rPr>
            </w:pPr>
          </w:p>
        </w:tc>
        <w:tc>
          <w:tcPr>
            <w:tcW w:w="795" w:type="dxa"/>
            <w:tcBorders>
              <w:top w:val="single" w:sz="12" w:space="0" w:color="000000"/>
            </w:tcBorders>
          </w:tcPr>
          <w:p>
            <w:pPr>
              <w:pStyle w:val="TableParagraph"/>
              <w:jc w:val="left"/>
              <w:rPr>
                <w:sz w:val="14"/>
              </w:rPr>
            </w:pPr>
          </w:p>
        </w:tc>
        <w:tc>
          <w:tcPr>
            <w:tcW w:w="569" w:type="dxa"/>
            <w:tcBorders>
              <w:top w:val="single" w:sz="12" w:space="0" w:color="000000"/>
            </w:tcBorders>
          </w:tcPr>
          <w:p>
            <w:pPr>
              <w:pStyle w:val="TableParagraph"/>
              <w:jc w:val="left"/>
              <w:rPr>
                <w:sz w:val="14"/>
              </w:rPr>
            </w:pPr>
          </w:p>
        </w:tc>
        <w:tc>
          <w:tcPr>
            <w:tcW w:w="578" w:type="dxa"/>
            <w:tcBorders>
              <w:top w:val="single" w:sz="12" w:space="0" w:color="000000"/>
            </w:tcBorders>
          </w:tcPr>
          <w:p>
            <w:pPr>
              <w:pStyle w:val="TableParagraph"/>
              <w:jc w:val="left"/>
              <w:rPr>
                <w:sz w:val="14"/>
              </w:rPr>
            </w:pPr>
          </w:p>
        </w:tc>
        <w:tc>
          <w:tcPr>
            <w:tcW w:w="563" w:type="dxa"/>
            <w:tcBorders>
              <w:top w:val="single" w:sz="12" w:space="0" w:color="000000"/>
            </w:tcBorders>
          </w:tcPr>
          <w:p>
            <w:pPr>
              <w:pStyle w:val="TableParagraph"/>
              <w:jc w:val="left"/>
              <w:rPr>
                <w:sz w:val="14"/>
              </w:rPr>
            </w:pPr>
          </w:p>
        </w:tc>
        <w:tc>
          <w:tcPr>
            <w:tcW w:w="821" w:type="dxa"/>
            <w:tcBorders>
              <w:top w:val="single" w:sz="12" w:space="0" w:color="000000"/>
            </w:tcBorders>
          </w:tcPr>
          <w:p>
            <w:pPr>
              <w:pStyle w:val="TableParagraph"/>
              <w:jc w:val="left"/>
              <w:rPr>
                <w:sz w:val="14"/>
              </w:rPr>
            </w:pPr>
          </w:p>
        </w:tc>
        <w:tc>
          <w:tcPr>
            <w:tcW w:w="520" w:type="dxa"/>
            <w:tcBorders>
              <w:top w:val="single" w:sz="12" w:space="0" w:color="000000"/>
            </w:tcBorders>
          </w:tcPr>
          <w:p>
            <w:pPr>
              <w:pStyle w:val="TableParagraph"/>
              <w:jc w:val="left"/>
              <w:rPr>
                <w:sz w:val="14"/>
              </w:rPr>
            </w:pPr>
          </w:p>
        </w:tc>
      </w:tr>
      <w:tr>
        <w:trPr>
          <w:trHeight w:val="205" w:hRule="atLeast"/>
        </w:trPr>
        <w:tc>
          <w:tcPr>
            <w:tcW w:w="1186" w:type="dxa"/>
            <w:tcBorders>
              <w:bottom w:val="single" w:sz="12" w:space="0" w:color="000000"/>
            </w:tcBorders>
          </w:tcPr>
          <w:p>
            <w:pPr>
              <w:pStyle w:val="TableParagraph"/>
              <w:spacing w:before="2"/>
              <w:ind w:left="67"/>
              <w:jc w:val="left"/>
              <w:rPr>
                <w:sz w:val="14"/>
              </w:rPr>
            </w:pPr>
            <w:r>
              <w:rPr>
                <w:w w:val="95"/>
                <w:sz w:val="14"/>
              </w:rPr>
              <w:t>Approved</w:t>
            </w:r>
            <w:r>
              <w:rPr>
                <w:spacing w:val="22"/>
                <w:sz w:val="14"/>
              </w:rPr>
              <w:t> </w:t>
            </w:r>
            <w:r>
              <w:rPr>
                <w:spacing w:val="-4"/>
                <w:sz w:val="14"/>
              </w:rPr>
              <w:t>2022</w:t>
            </w:r>
          </w:p>
        </w:tc>
        <w:tc>
          <w:tcPr>
            <w:tcW w:w="678" w:type="dxa"/>
            <w:tcBorders>
              <w:bottom w:val="single" w:sz="12" w:space="0" w:color="000000"/>
            </w:tcBorders>
          </w:tcPr>
          <w:p>
            <w:pPr>
              <w:pStyle w:val="TableParagraph"/>
              <w:spacing w:before="2"/>
              <w:ind w:right="154"/>
              <w:rPr>
                <w:b/>
                <w:sz w:val="14"/>
              </w:rPr>
            </w:pPr>
            <w:r>
              <w:rPr>
                <w:b/>
                <w:w w:val="99"/>
                <w:sz w:val="14"/>
              </w:rPr>
              <w:t>-</w:t>
            </w:r>
          </w:p>
        </w:tc>
        <w:tc>
          <w:tcPr>
            <w:tcW w:w="607" w:type="dxa"/>
            <w:tcBorders>
              <w:bottom w:val="single" w:sz="12" w:space="0" w:color="000000"/>
            </w:tcBorders>
          </w:tcPr>
          <w:p>
            <w:pPr>
              <w:pStyle w:val="TableParagraph"/>
              <w:spacing w:before="2"/>
              <w:ind w:right="170"/>
              <w:rPr>
                <w:b/>
                <w:sz w:val="14"/>
              </w:rPr>
            </w:pPr>
            <w:r>
              <w:rPr>
                <w:b/>
                <w:w w:val="99"/>
                <w:sz w:val="14"/>
              </w:rPr>
              <w:t>-</w:t>
            </w:r>
          </w:p>
        </w:tc>
        <w:tc>
          <w:tcPr>
            <w:tcW w:w="563" w:type="dxa"/>
            <w:tcBorders>
              <w:bottom w:val="single" w:sz="12" w:space="0" w:color="000000"/>
            </w:tcBorders>
          </w:tcPr>
          <w:p>
            <w:pPr>
              <w:pStyle w:val="TableParagraph"/>
              <w:spacing w:before="2"/>
              <w:ind w:right="171"/>
              <w:rPr>
                <w:b/>
                <w:sz w:val="14"/>
              </w:rPr>
            </w:pPr>
            <w:r>
              <w:rPr>
                <w:b/>
                <w:w w:val="99"/>
                <w:sz w:val="14"/>
              </w:rPr>
              <w:t>-</w:t>
            </w:r>
          </w:p>
        </w:tc>
        <w:tc>
          <w:tcPr>
            <w:tcW w:w="581" w:type="dxa"/>
            <w:tcBorders>
              <w:bottom w:val="single" w:sz="12" w:space="0" w:color="000000"/>
            </w:tcBorders>
          </w:tcPr>
          <w:p>
            <w:pPr>
              <w:pStyle w:val="TableParagraph"/>
              <w:spacing w:before="2"/>
              <w:ind w:right="191"/>
              <w:rPr>
                <w:b/>
                <w:sz w:val="14"/>
              </w:rPr>
            </w:pPr>
            <w:r>
              <w:rPr>
                <w:b/>
                <w:w w:val="99"/>
                <w:sz w:val="14"/>
              </w:rPr>
              <w:t>-</w:t>
            </w:r>
          </w:p>
        </w:tc>
        <w:tc>
          <w:tcPr>
            <w:tcW w:w="581" w:type="dxa"/>
            <w:tcBorders>
              <w:bottom w:val="single" w:sz="12" w:space="0" w:color="000000"/>
            </w:tcBorders>
          </w:tcPr>
          <w:p>
            <w:pPr>
              <w:pStyle w:val="TableParagraph"/>
              <w:spacing w:before="2"/>
              <w:ind w:left="148"/>
              <w:jc w:val="center"/>
              <w:rPr>
                <w:b/>
                <w:sz w:val="14"/>
              </w:rPr>
            </w:pPr>
            <w:r>
              <w:rPr>
                <w:b/>
                <w:w w:val="99"/>
                <w:sz w:val="14"/>
              </w:rPr>
              <w:t>-</w:t>
            </w:r>
          </w:p>
        </w:tc>
        <w:tc>
          <w:tcPr>
            <w:tcW w:w="566" w:type="dxa"/>
            <w:tcBorders>
              <w:bottom w:val="single" w:sz="12" w:space="0" w:color="000000"/>
            </w:tcBorders>
          </w:tcPr>
          <w:p>
            <w:pPr>
              <w:pStyle w:val="TableParagraph"/>
              <w:spacing w:before="2"/>
              <w:ind w:right="171"/>
              <w:rPr>
                <w:b/>
                <w:sz w:val="14"/>
              </w:rPr>
            </w:pPr>
            <w:r>
              <w:rPr>
                <w:b/>
                <w:w w:val="99"/>
                <w:sz w:val="14"/>
              </w:rPr>
              <w:t>-</w:t>
            </w:r>
          </w:p>
        </w:tc>
        <w:tc>
          <w:tcPr>
            <w:tcW w:w="693" w:type="dxa"/>
            <w:tcBorders>
              <w:bottom w:val="single" w:sz="12" w:space="0" w:color="000000"/>
            </w:tcBorders>
          </w:tcPr>
          <w:p>
            <w:pPr>
              <w:pStyle w:val="TableParagraph"/>
              <w:spacing w:before="2"/>
              <w:ind w:right="265"/>
              <w:rPr>
                <w:sz w:val="14"/>
              </w:rPr>
            </w:pPr>
            <w:r>
              <w:rPr>
                <w:spacing w:val="-4"/>
                <w:sz w:val="14"/>
              </w:rPr>
              <w:t>1.08</w:t>
            </w:r>
          </w:p>
        </w:tc>
        <w:tc>
          <w:tcPr>
            <w:tcW w:w="666" w:type="dxa"/>
            <w:tcBorders>
              <w:bottom w:val="single" w:sz="12" w:space="0" w:color="000000"/>
            </w:tcBorders>
          </w:tcPr>
          <w:p>
            <w:pPr>
              <w:pStyle w:val="TableParagraph"/>
              <w:spacing w:before="2"/>
              <w:ind w:right="195"/>
              <w:rPr>
                <w:sz w:val="14"/>
              </w:rPr>
            </w:pPr>
            <w:r>
              <w:rPr>
                <w:w w:val="99"/>
                <w:sz w:val="14"/>
              </w:rPr>
              <w:t>-</w:t>
            </w:r>
          </w:p>
        </w:tc>
        <w:tc>
          <w:tcPr>
            <w:tcW w:w="466" w:type="dxa"/>
            <w:tcBorders>
              <w:bottom w:val="single" w:sz="12" w:space="0" w:color="000000"/>
            </w:tcBorders>
          </w:tcPr>
          <w:p>
            <w:pPr>
              <w:pStyle w:val="TableParagraph"/>
              <w:spacing w:before="2"/>
              <w:ind w:right="65"/>
              <w:rPr>
                <w:sz w:val="14"/>
              </w:rPr>
            </w:pPr>
            <w:r>
              <w:rPr>
                <w:w w:val="99"/>
                <w:sz w:val="14"/>
              </w:rPr>
              <w:t>-</w:t>
            </w:r>
          </w:p>
        </w:tc>
        <w:tc>
          <w:tcPr>
            <w:tcW w:w="795" w:type="dxa"/>
            <w:tcBorders>
              <w:bottom w:val="single" w:sz="12" w:space="0" w:color="000000"/>
            </w:tcBorders>
          </w:tcPr>
          <w:p>
            <w:pPr>
              <w:pStyle w:val="TableParagraph"/>
              <w:spacing w:before="2"/>
              <w:ind w:right="122"/>
              <w:rPr>
                <w:i/>
                <w:sz w:val="14"/>
              </w:rPr>
            </w:pPr>
            <w:r>
              <w:rPr>
                <w:i/>
                <w:spacing w:val="-4"/>
                <w:sz w:val="14"/>
              </w:rPr>
              <w:t>1.08</w:t>
            </w:r>
          </w:p>
        </w:tc>
        <w:tc>
          <w:tcPr>
            <w:tcW w:w="569" w:type="dxa"/>
            <w:tcBorders>
              <w:bottom w:val="single" w:sz="12" w:space="0" w:color="000000"/>
            </w:tcBorders>
          </w:tcPr>
          <w:p>
            <w:pPr>
              <w:pStyle w:val="TableParagraph"/>
              <w:spacing w:before="2"/>
              <w:ind w:right="99"/>
              <w:rPr>
                <w:b/>
                <w:sz w:val="14"/>
              </w:rPr>
            </w:pPr>
            <w:r>
              <w:rPr>
                <w:b/>
                <w:w w:val="99"/>
                <w:sz w:val="14"/>
              </w:rPr>
              <w:t>-</w:t>
            </w:r>
          </w:p>
        </w:tc>
        <w:tc>
          <w:tcPr>
            <w:tcW w:w="578" w:type="dxa"/>
            <w:tcBorders>
              <w:bottom w:val="single" w:sz="12" w:space="0" w:color="000000"/>
            </w:tcBorders>
          </w:tcPr>
          <w:p>
            <w:pPr>
              <w:pStyle w:val="TableParagraph"/>
              <w:spacing w:before="2"/>
              <w:ind w:right="86"/>
              <w:rPr>
                <w:b/>
                <w:sz w:val="14"/>
              </w:rPr>
            </w:pPr>
            <w:r>
              <w:rPr>
                <w:b/>
                <w:w w:val="99"/>
                <w:sz w:val="14"/>
              </w:rPr>
              <w:t>-</w:t>
            </w:r>
          </w:p>
        </w:tc>
        <w:tc>
          <w:tcPr>
            <w:tcW w:w="563" w:type="dxa"/>
            <w:tcBorders>
              <w:bottom w:val="single" w:sz="12" w:space="0" w:color="000000"/>
            </w:tcBorders>
          </w:tcPr>
          <w:p>
            <w:pPr>
              <w:pStyle w:val="TableParagraph"/>
              <w:spacing w:before="2"/>
              <w:ind w:right="59"/>
              <w:rPr>
                <w:b/>
                <w:sz w:val="14"/>
              </w:rPr>
            </w:pPr>
            <w:r>
              <w:rPr>
                <w:b/>
                <w:w w:val="99"/>
                <w:sz w:val="14"/>
              </w:rPr>
              <w:t>-</w:t>
            </w:r>
          </w:p>
        </w:tc>
        <w:tc>
          <w:tcPr>
            <w:tcW w:w="821" w:type="dxa"/>
            <w:tcBorders>
              <w:bottom w:val="single" w:sz="12" w:space="0" w:color="000000"/>
            </w:tcBorders>
          </w:tcPr>
          <w:p>
            <w:pPr>
              <w:pStyle w:val="TableParagraph"/>
              <w:spacing w:before="2"/>
              <w:ind w:right="140"/>
              <w:rPr>
                <w:b/>
                <w:i/>
                <w:sz w:val="14"/>
              </w:rPr>
            </w:pPr>
            <w:r>
              <w:rPr>
                <w:b/>
                <w:i/>
                <w:w w:val="99"/>
                <w:sz w:val="14"/>
              </w:rPr>
              <w:t>-</w:t>
            </w:r>
          </w:p>
        </w:tc>
        <w:tc>
          <w:tcPr>
            <w:tcW w:w="520" w:type="dxa"/>
            <w:tcBorders>
              <w:bottom w:val="single" w:sz="12" w:space="0" w:color="000000"/>
            </w:tcBorders>
          </w:tcPr>
          <w:p>
            <w:pPr>
              <w:pStyle w:val="TableParagraph"/>
              <w:spacing w:before="2"/>
              <w:ind w:right="57"/>
              <w:rPr>
                <w:b/>
                <w:sz w:val="14"/>
              </w:rPr>
            </w:pPr>
            <w:r>
              <w:rPr>
                <w:b/>
                <w:spacing w:val="-4"/>
                <w:sz w:val="14"/>
              </w:rPr>
              <w:t>1.08</w:t>
            </w:r>
          </w:p>
        </w:tc>
      </w:tr>
      <w:tr>
        <w:trPr>
          <w:trHeight w:val="229" w:hRule="atLeast"/>
        </w:trPr>
        <w:tc>
          <w:tcPr>
            <w:tcW w:w="1186" w:type="dxa"/>
            <w:tcBorders>
              <w:top w:val="single" w:sz="12" w:space="0" w:color="000000"/>
              <w:bottom w:val="single" w:sz="4" w:space="0" w:color="000000"/>
            </w:tcBorders>
          </w:tcPr>
          <w:p>
            <w:pPr>
              <w:pStyle w:val="TableParagraph"/>
              <w:spacing w:before="27"/>
              <w:ind w:left="67"/>
              <w:jc w:val="left"/>
              <w:rPr>
                <w:sz w:val="14"/>
              </w:rPr>
            </w:pPr>
            <w:r>
              <w:rPr>
                <w:spacing w:val="-2"/>
                <w:sz w:val="14"/>
              </w:rPr>
              <w:t>Continued</w:t>
            </w:r>
          </w:p>
        </w:tc>
        <w:tc>
          <w:tcPr>
            <w:tcW w:w="678" w:type="dxa"/>
            <w:tcBorders>
              <w:top w:val="single" w:sz="12" w:space="0" w:color="000000"/>
              <w:bottom w:val="single" w:sz="4" w:space="0" w:color="000000"/>
            </w:tcBorders>
          </w:tcPr>
          <w:p>
            <w:pPr>
              <w:pStyle w:val="TableParagraph"/>
              <w:spacing w:before="27"/>
              <w:ind w:right="154"/>
              <w:rPr>
                <w:b/>
                <w:sz w:val="14"/>
              </w:rPr>
            </w:pPr>
            <w:r>
              <w:rPr>
                <w:b/>
                <w:w w:val="99"/>
                <w:sz w:val="14"/>
              </w:rPr>
              <w:t>-</w:t>
            </w:r>
          </w:p>
        </w:tc>
        <w:tc>
          <w:tcPr>
            <w:tcW w:w="607" w:type="dxa"/>
            <w:tcBorders>
              <w:top w:val="single" w:sz="12" w:space="0" w:color="000000"/>
              <w:bottom w:val="single" w:sz="4" w:space="0" w:color="000000"/>
            </w:tcBorders>
          </w:tcPr>
          <w:p>
            <w:pPr>
              <w:pStyle w:val="TableParagraph"/>
              <w:spacing w:before="27"/>
              <w:ind w:right="170"/>
              <w:rPr>
                <w:b/>
                <w:sz w:val="14"/>
              </w:rPr>
            </w:pPr>
            <w:r>
              <w:rPr>
                <w:b/>
                <w:w w:val="99"/>
                <w:sz w:val="14"/>
              </w:rPr>
              <w:t>-</w:t>
            </w:r>
          </w:p>
        </w:tc>
        <w:tc>
          <w:tcPr>
            <w:tcW w:w="563" w:type="dxa"/>
            <w:tcBorders>
              <w:top w:val="single" w:sz="12" w:space="0" w:color="000000"/>
              <w:bottom w:val="single" w:sz="4" w:space="0" w:color="000000"/>
            </w:tcBorders>
          </w:tcPr>
          <w:p>
            <w:pPr>
              <w:pStyle w:val="TableParagraph"/>
              <w:spacing w:before="27"/>
              <w:ind w:right="171"/>
              <w:rPr>
                <w:b/>
                <w:sz w:val="14"/>
              </w:rPr>
            </w:pPr>
            <w:r>
              <w:rPr>
                <w:b/>
                <w:w w:val="99"/>
                <w:sz w:val="14"/>
              </w:rPr>
              <w:t>-</w:t>
            </w:r>
          </w:p>
        </w:tc>
        <w:tc>
          <w:tcPr>
            <w:tcW w:w="581" w:type="dxa"/>
            <w:tcBorders>
              <w:top w:val="single" w:sz="12" w:space="0" w:color="000000"/>
              <w:bottom w:val="single" w:sz="4" w:space="0" w:color="000000"/>
            </w:tcBorders>
          </w:tcPr>
          <w:p>
            <w:pPr>
              <w:pStyle w:val="TableParagraph"/>
              <w:spacing w:before="27"/>
              <w:ind w:right="191"/>
              <w:rPr>
                <w:b/>
                <w:sz w:val="14"/>
              </w:rPr>
            </w:pPr>
            <w:r>
              <w:rPr>
                <w:b/>
                <w:w w:val="99"/>
                <w:sz w:val="14"/>
              </w:rPr>
              <w:t>-</w:t>
            </w:r>
          </w:p>
        </w:tc>
        <w:tc>
          <w:tcPr>
            <w:tcW w:w="581" w:type="dxa"/>
            <w:tcBorders>
              <w:top w:val="single" w:sz="12" w:space="0" w:color="000000"/>
              <w:bottom w:val="single" w:sz="4" w:space="0" w:color="000000"/>
            </w:tcBorders>
          </w:tcPr>
          <w:p>
            <w:pPr>
              <w:pStyle w:val="TableParagraph"/>
              <w:spacing w:before="27"/>
              <w:ind w:left="148"/>
              <w:jc w:val="center"/>
              <w:rPr>
                <w:b/>
                <w:sz w:val="14"/>
              </w:rPr>
            </w:pPr>
            <w:r>
              <w:rPr>
                <w:b/>
                <w:w w:val="99"/>
                <w:sz w:val="14"/>
              </w:rPr>
              <w:t>-</w:t>
            </w:r>
          </w:p>
        </w:tc>
        <w:tc>
          <w:tcPr>
            <w:tcW w:w="566" w:type="dxa"/>
            <w:tcBorders>
              <w:top w:val="single" w:sz="12" w:space="0" w:color="000000"/>
              <w:bottom w:val="single" w:sz="4" w:space="0" w:color="000000"/>
            </w:tcBorders>
          </w:tcPr>
          <w:p>
            <w:pPr>
              <w:pStyle w:val="TableParagraph"/>
              <w:spacing w:before="27"/>
              <w:ind w:right="171"/>
              <w:rPr>
                <w:b/>
                <w:sz w:val="14"/>
              </w:rPr>
            </w:pPr>
            <w:r>
              <w:rPr>
                <w:b/>
                <w:w w:val="99"/>
                <w:sz w:val="14"/>
              </w:rPr>
              <w:t>-</w:t>
            </w:r>
          </w:p>
        </w:tc>
        <w:tc>
          <w:tcPr>
            <w:tcW w:w="693" w:type="dxa"/>
            <w:tcBorders>
              <w:top w:val="single" w:sz="12" w:space="0" w:color="000000"/>
              <w:bottom w:val="single" w:sz="4" w:space="0" w:color="000000"/>
            </w:tcBorders>
          </w:tcPr>
          <w:p>
            <w:pPr>
              <w:pStyle w:val="TableParagraph"/>
              <w:spacing w:before="27"/>
              <w:ind w:right="265"/>
              <w:rPr>
                <w:sz w:val="14"/>
              </w:rPr>
            </w:pPr>
            <w:r>
              <w:rPr>
                <w:spacing w:val="-4"/>
                <w:sz w:val="14"/>
              </w:rPr>
              <w:t>1.08</w:t>
            </w:r>
          </w:p>
        </w:tc>
        <w:tc>
          <w:tcPr>
            <w:tcW w:w="666" w:type="dxa"/>
            <w:tcBorders>
              <w:top w:val="single" w:sz="12" w:space="0" w:color="000000"/>
              <w:bottom w:val="single" w:sz="4" w:space="0" w:color="000000"/>
            </w:tcBorders>
          </w:tcPr>
          <w:p>
            <w:pPr>
              <w:pStyle w:val="TableParagraph"/>
              <w:spacing w:before="27"/>
              <w:ind w:right="195"/>
              <w:rPr>
                <w:sz w:val="14"/>
              </w:rPr>
            </w:pPr>
            <w:r>
              <w:rPr>
                <w:w w:val="99"/>
                <w:sz w:val="14"/>
              </w:rPr>
              <w:t>-</w:t>
            </w:r>
          </w:p>
        </w:tc>
        <w:tc>
          <w:tcPr>
            <w:tcW w:w="466" w:type="dxa"/>
            <w:tcBorders>
              <w:top w:val="single" w:sz="12" w:space="0" w:color="000000"/>
              <w:bottom w:val="single" w:sz="4" w:space="0" w:color="000000"/>
            </w:tcBorders>
          </w:tcPr>
          <w:p>
            <w:pPr>
              <w:pStyle w:val="TableParagraph"/>
              <w:spacing w:before="27"/>
              <w:ind w:right="65"/>
              <w:rPr>
                <w:sz w:val="14"/>
              </w:rPr>
            </w:pPr>
            <w:r>
              <w:rPr>
                <w:w w:val="99"/>
                <w:sz w:val="14"/>
              </w:rPr>
              <w:t>-</w:t>
            </w:r>
          </w:p>
        </w:tc>
        <w:tc>
          <w:tcPr>
            <w:tcW w:w="795" w:type="dxa"/>
            <w:tcBorders>
              <w:top w:val="single" w:sz="12" w:space="0" w:color="000000"/>
              <w:bottom w:val="single" w:sz="4" w:space="0" w:color="000000"/>
            </w:tcBorders>
          </w:tcPr>
          <w:p>
            <w:pPr>
              <w:pStyle w:val="TableParagraph"/>
              <w:spacing w:before="27"/>
              <w:ind w:right="122"/>
              <w:rPr>
                <w:i/>
                <w:sz w:val="14"/>
              </w:rPr>
            </w:pPr>
            <w:r>
              <w:rPr>
                <w:i/>
                <w:spacing w:val="-4"/>
                <w:sz w:val="14"/>
              </w:rPr>
              <w:t>1.08</w:t>
            </w:r>
          </w:p>
        </w:tc>
        <w:tc>
          <w:tcPr>
            <w:tcW w:w="569" w:type="dxa"/>
            <w:tcBorders>
              <w:top w:val="single" w:sz="12" w:space="0" w:color="000000"/>
              <w:bottom w:val="single" w:sz="4" w:space="0" w:color="000000"/>
            </w:tcBorders>
          </w:tcPr>
          <w:p>
            <w:pPr>
              <w:pStyle w:val="TableParagraph"/>
              <w:spacing w:before="27"/>
              <w:ind w:right="99"/>
              <w:rPr>
                <w:b/>
                <w:sz w:val="14"/>
              </w:rPr>
            </w:pPr>
            <w:r>
              <w:rPr>
                <w:b/>
                <w:w w:val="99"/>
                <w:sz w:val="14"/>
              </w:rPr>
              <w:t>-</w:t>
            </w:r>
          </w:p>
        </w:tc>
        <w:tc>
          <w:tcPr>
            <w:tcW w:w="578" w:type="dxa"/>
            <w:tcBorders>
              <w:top w:val="single" w:sz="12" w:space="0" w:color="000000"/>
              <w:bottom w:val="single" w:sz="4" w:space="0" w:color="000000"/>
            </w:tcBorders>
          </w:tcPr>
          <w:p>
            <w:pPr>
              <w:pStyle w:val="TableParagraph"/>
              <w:spacing w:before="27"/>
              <w:ind w:right="86"/>
              <w:rPr>
                <w:b/>
                <w:sz w:val="14"/>
              </w:rPr>
            </w:pPr>
            <w:r>
              <w:rPr>
                <w:b/>
                <w:w w:val="99"/>
                <w:sz w:val="14"/>
              </w:rPr>
              <w:t>-</w:t>
            </w:r>
          </w:p>
        </w:tc>
        <w:tc>
          <w:tcPr>
            <w:tcW w:w="563" w:type="dxa"/>
            <w:tcBorders>
              <w:top w:val="single" w:sz="12" w:space="0" w:color="000000"/>
              <w:bottom w:val="single" w:sz="4" w:space="0" w:color="000000"/>
            </w:tcBorders>
          </w:tcPr>
          <w:p>
            <w:pPr>
              <w:pStyle w:val="TableParagraph"/>
              <w:spacing w:before="27"/>
              <w:ind w:right="59"/>
              <w:rPr>
                <w:b/>
                <w:sz w:val="14"/>
              </w:rPr>
            </w:pPr>
            <w:r>
              <w:rPr>
                <w:b/>
                <w:w w:val="99"/>
                <w:sz w:val="14"/>
              </w:rPr>
              <w:t>-</w:t>
            </w:r>
          </w:p>
        </w:tc>
        <w:tc>
          <w:tcPr>
            <w:tcW w:w="821" w:type="dxa"/>
            <w:tcBorders>
              <w:top w:val="single" w:sz="12" w:space="0" w:color="000000"/>
              <w:bottom w:val="single" w:sz="4" w:space="0" w:color="000000"/>
            </w:tcBorders>
          </w:tcPr>
          <w:p>
            <w:pPr>
              <w:pStyle w:val="TableParagraph"/>
              <w:spacing w:before="27"/>
              <w:ind w:right="140"/>
              <w:rPr>
                <w:b/>
                <w:i/>
                <w:sz w:val="14"/>
              </w:rPr>
            </w:pPr>
            <w:r>
              <w:rPr>
                <w:b/>
                <w:i/>
                <w:w w:val="99"/>
                <w:sz w:val="14"/>
              </w:rPr>
              <w:t>-</w:t>
            </w:r>
          </w:p>
        </w:tc>
        <w:tc>
          <w:tcPr>
            <w:tcW w:w="520" w:type="dxa"/>
            <w:tcBorders>
              <w:top w:val="single" w:sz="12" w:space="0" w:color="000000"/>
              <w:bottom w:val="single" w:sz="4" w:space="0" w:color="000000"/>
            </w:tcBorders>
          </w:tcPr>
          <w:p>
            <w:pPr>
              <w:pStyle w:val="TableParagraph"/>
              <w:spacing w:before="27"/>
              <w:ind w:right="57"/>
              <w:rPr>
                <w:b/>
                <w:sz w:val="14"/>
              </w:rPr>
            </w:pPr>
            <w:r>
              <w:rPr>
                <w:b/>
                <w:spacing w:val="-4"/>
                <w:sz w:val="14"/>
              </w:rPr>
              <w:t>1.08</w:t>
            </w:r>
          </w:p>
        </w:tc>
      </w:tr>
      <w:tr>
        <w:trPr>
          <w:trHeight w:val="225" w:hRule="atLeast"/>
        </w:trPr>
        <w:tc>
          <w:tcPr>
            <w:tcW w:w="1186" w:type="dxa"/>
            <w:tcBorders>
              <w:top w:val="single" w:sz="4" w:space="0" w:color="000000"/>
              <w:bottom w:val="single" w:sz="4" w:space="0" w:color="000000"/>
            </w:tcBorders>
          </w:tcPr>
          <w:p>
            <w:pPr>
              <w:pStyle w:val="TableParagraph"/>
              <w:spacing w:before="22"/>
              <w:ind w:left="67"/>
              <w:jc w:val="left"/>
              <w:rPr>
                <w:sz w:val="14"/>
              </w:rPr>
            </w:pPr>
            <w:r>
              <w:rPr>
                <w:spacing w:val="-5"/>
                <w:sz w:val="14"/>
              </w:rPr>
              <w:t>New</w:t>
            </w:r>
          </w:p>
        </w:tc>
        <w:tc>
          <w:tcPr>
            <w:tcW w:w="678" w:type="dxa"/>
            <w:tcBorders>
              <w:top w:val="single" w:sz="4" w:space="0" w:color="000000"/>
              <w:bottom w:val="single" w:sz="4" w:space="0" w:color="000000"/>
            </w:tcBorders>
          </w:tcPr>
          <w:p>
            <w:pPr>
              <w:pStyle w:val="TableParagraph"/>
              <w:spacing w:before="22"/>
              <w:ind w:right="154"/>
              <w:rPr>
                <w:b/>
                <w:sz w:val="14"/>
              </w:rPr>
            </w:pPr>
            <w:r>
              <w:rPr>
                <w:b/>
                <w:w w:val="99"/>
                <w:sz w:val="14"/>
              </w:rPr>
              <w:t>-</w:t>
            </w:r>
          </w:p>
        </w:tc>
        <w:tc>
          <w:tcPr>
            <w:tcW w:w="607" w:type="dxa"/>
            <w:tcBorders>
              <w:top w:val="single" w:sz="4" w:space="0" w:color="000000"/>
              <w:bottom w:val="single" w:sz="4" w:space="0" w:color="000000"/>
            </w:tcBorders>
          </w:tcPr>
          <w:p>
            <w:pPr>
              <w:pStyle w:val="TableParagraph"/>
              <w:spacing w:before="22"/>
              <w:ind w:right="170"/>
              <w:rPr>
                <w:b/>
                <w:sz w:val="14"/>
              </w:rPr>
            </w:pPr>
            <w:r>
              <w:rPr>
                <w:b/>
                <w:w w:val="99"/>
                <w:sz w:val="14"/>
              </w:rPr>
              <w:t>-</w:t>
            </w:r>
          </w:p>
        </w:tc>
        <w:tc>
          <w:tcPr>
            <w:tcW w:w="563" w:type="dxa"/>
            <w:tcBorders>
              <w:top w:val="single" w:sz="4" w:space="0" w:color="000000"/>
              <w:bottom w:val="single" w:sz="4" w:space="0" w:color="000000"/>
            </w:tcBorders>
          </w:tcPr>
          <w:p>
            <w:pPr>
              <w:pStyle w:val="TableParagraph"/>
              <w:spacing w:before="22"/>
              <w:ind w:right="171"/>
              <w:rPr>
                <w:b/>
                <w:sz w:val="14"/>
              </w:rPr>
            </w:pPr>
            <w:r>
              <w:rPr>
                <w:b/>
                <w:w w:val="99"/>
                <w:sz w:val="14"/>
              </w:rPr>
              <w:t>-</w:t>
            </w:r>
          </w:p>
        </w:tc>
        <w:tc>
          <w:tcPr>
            <w:tcW w:w="581" w:type="dxa"/>
            <w:tcBorders>
              <w:top w:val="single" w:sz="4" w:space="0" w:color="000000"/>
              <w:bottom w:val="single" w:sz="4" w:space="0" w:color="000000"/>
            </w:tcBorders>
          </w:tcPr>
          <w:p>
            <w:pPr>
              <w:pStyle w:val="TableParagraph"/>
              <w:spacing w:before="22"/>
              <w:ind w:right="191"/>
              <w:rPr>
                <w:b/>
                <w:sz w:val="14"/>
              </w:rPr>
            </w:pPr>
            <w:r>
              <w:rPr>
                <w:b/>
                <w:w w:val="99"/>
                <w:sz w:val="14"/>
              </w:rPr>
              <w:t>-</w:t>
            </w:r>
          </w:p>
        </w:tc>
        <w:tc>
          <w:tcPr>
            <w:tcW w:w="581" w:type="dxa"/>
            <w:tcBorders>
              <w:top w:val="single" w:sz="4" w:space="0" w:color="000000"/>
              <w:bottom w:val="single" w:sz="4" w:space="0" w:color="000000"/>
            </w:tcBorders>
          </w:tcPr>
          <w:p>
            <w:pPr>
              <w:pStyle w:val="TableParagraph"/>
              <w:spacing w:before="22"/>
              <w:ind w:left="148"/>
              <w:jc w:val="center"/>
              <w:rPr>
                <w:b/>
                <w:sz w:val="14"/>
              </w:rPr>
            </w:pPr>
            <w:r>
              <w:rPr>
                <w:b/>
                <w:w w:val="99"/>
                <w:sz w:val="14"/>
              </w:rPr>
              <w:t>-</w:t>
            </w:r>
          </w:p>
        </w:tc>
        <w:tc>
          <w:tcPr>
            <w:tcW w:w="566" w:type="dxa"/>
            <w:tcBorders>
              <w:top w:val="single" w:sz="4" w:space="0" w:color="000000"/>
              <w:bottom w:val="single" w:sz="4" w:space="0" w:color="000000"/>
            </w:tcBorders>
          </w:tcPr>
          <w:p>
            <w:pPr>
              <w:pStyle w:val="TableParagraph"/>
              <w:spacing w:before="22"/>
              <w:ind w:right="171"/>
              <w:rPr>
                <w:b/>
                <w:sz w:val="14"/>
              </w:rPr>
            </w:pPr>
            <w:r>
              <w:rPr>
                <w:b/>
                <w:w w:val="99"/>
                <w:sz w:val="14"/>
              </w:rPr>
              <w:t>-</w:t>
            </w:r>
          </w:p>
        </w:tc>
        <w:tc>
          <w:tcPr>
            <w:tcW w:w="693" w:type="dxa"/>
            <w:tcBorders>
              <w:top w:val="single" w:sz="4" w:space="0" w:color="000000"/>
              <w:bottom w:val="single" w:sz="4" w:space="0" w:color="000000"/>
            </w:tcBorders>
          </w:tcPr>
          <w:p>
            <w:pPr>
              <w:pStyle w:val="TableParagraph"/>
              <w:spacing w:before="22"/>
              <w:ind w:right="268"/>
              <w:rPr>
                <w:sz w:val="14"/>
              </w:rPr>
            </w:pPr>
            <w:r>
              <w:rPr>
                <w:w w:val="99"/>
                <w:sz w:val="14"/>
              </w:rPr>
              <w:t>-</w:t>
            </w:r>
          </w:p>
        </w:tc>
        <w:tc>
          <w:tcPr>
            <w:tcW w:w="666" w:type="dxa"/>
            <w:tcBorders>
              <w:top w:val="single" w:sz="4" w:space="0" w:color="000000"/>
              <w:bottom w:val="single" w:sz="4" w:space="0" w:color="000000"/>
            </w:tcBorders>
          </w:tcPr>
          <w:p>
            <w:pPr>
              <w:pStyle w:val="TableParagraph"/>
              <w:spacing w:before="22"/>
              <w:ind w:right="195"/>
              <w:rPr>
                <w:sz w:val="14"/>
              </w:rPr>
            </w:pPr>
            <w:r>
              <w:rPr>
                <w:w w:val="99"/>
                <w:sz w:val="14"/>
              </w:rPr>
              <w:t>-</w:t>
            </w:r>
          </w:p>
        </w:tc>
        <w:tc>
          <w:tcPr>
            <w:tcW w:w="466" w:type="dxa"/>
            <w:tcBorders>
              <w:top w:val="single" w:sz="4" w:space="0" w:color="000000"/>
              <w:bottom w:val="single" w:sz="4" w:space="0" w:color="000000"/>
            </w:tcBorders>
          </w:tcPr>
          <w:p>
            <w:pPr>
              <w:pStyle w:val="TableParagraph"/>
              <w:spacing w:before="22"/>
              <w:ind w:right="65"/>
              <w:rPr>
                <w:sz w:val="14"/>
              </w:rPr>
            </w:pPr>
            <w:r>
              <w:rPr>
                <w:w w:val="99"/>
                <w:sz w:val="14"/>
              </w:rPr>
              <w:t>-</w:t>
            </w:r>
          </w:p>
        </w:tc>
        <w:tc>
          <w:tcPr>
            <w:tcW w:w="795" w:type="dxa"/>
            <w:tcBorders>
              <w:top w:val="single" w:sz="4" w:space="0" w:color="000000"/>
              <w:bottom w:val="single" w:sz="4" w:space="0" w:color="000000"/>
            </w:tcBorders>
          </w:tcPr>
          <w:p>
            <w:pPr>
              <w:pStyle w:val="TableParagraph"/>
              <w:spacing w:before="22"/>
              <w:ind w:right="125"/>
              <w:rPr>
                <w:sz w:val="14"/>
              </w:rPr>
            </w:pPr>
            <w:r>
              <w:rPr>
                <w:w w:val="99"/>
                <w:sz w:val="14"/>
              </w:rPr>
              <w:t>-</w:t>
            </w:r>
          </w:p>
        </w:tc>
        <w:tc>
          <w:tcPr>
            <w:tcW w:w="569" w:type="dxa"/>
            <w:tcBorders>
              <w:top w:val="single" w:sz="4" w:space="0" w:color="000000"/>
              <w:bottom w:val="single" w:sz="4" w:space="0" w:color="000000"/>
            </w:tcBorders>
          </w:tcPr>
          <w:p>
            <w:pPr>
              <w:pStyle w:val="TableParagraph"/>
              <w:spacing w:before="22"/>
              <w:ind w:right="99"/>
              <w:rPr>
                <w:sz w:val="14"/>
              </w:rPr>
            </w:pPr>
            <w:r>
              <w:rPr>
                <w:w w:val="99"/>
                <w:sz w:val="14"/>
              </w:rPr>
              <w:t>-</w:t>
            </w:r>
          </w:p>
        </w:tc>
        <w:tc>
          <w:tcPr>
            <w:tcW w:w="578" w:type="dxa"/>
            <w:tcBorders>
              <w:top w:val="single" w:sz="4" w:space="0" w:color="000000"/>
              <w:bottom w:val="single" w:sz="4" w:space="0" w:color="000000"/>
            </w:tcBorders>
          </w:tcPr>
          <w:p>
            <w:pPr>
              <w:pStyle w:val="TableParagraph"/>
              <w:spacing w:before="22"/>
              <w:ind w:right="86"/>
              <w:rPr>
                <w:sz w:val="14"/>
              </w:rPr>
            </w:pPr>
            <w:r>
              <w:rPr>
                <w:w w:val="99"/>
                <w:sz w:val="14"/>
              </w:rPr>
              <w:t>-</w:t>
            </w:r>
          </w:p>
        </w:tc>
        <w:tc>
          <w:tcPr>
            <w:tcW w:w="563" w:type="dxa"/>
            <w:tcBorders>
              <w:top w:val="single" w:sz="4" w:space="0" w:color="000000"/>
              <w:bottom w:val="single" w:sz="4" w:space="0" w:color="000000"/>
            </w:tcBorders>
          </w:tcPr>
          <w:p>
            <w:pPr>
              <w:pStyle w:val="TableParagraph"/>
              <w:spacing w:before="22"/>
              <w:ind w:right="59"/>
              <w:rPr>
                <w:sz w:val="14"/>
              </w:rPr>
            </w:pPr>
            <w:r>
              <w:rPr>
                <w:w w:val="99"/>
                <w:sz w:val="14"/>
              </w:rPr>
              <w:t>-</w:t>
            </w:r>
          </w:p>
        </w:tc>
        <w:tc>
          <w:tcPr>
            <w:tcW w:w="821" w:type="dxa"/>
            <w:tcBorders>
              <w:top w:val="single" w:sz="4" w:space="0" w:color="000000"/>
              <w:bottom w:val="single" w:sz="4" w:space="0" w:color="000000"/>
            </w:tcBorders>
          </w:tcPr>
          <w:p>
            <w:pPr>
              <w:pStyle w:val="TableParagraph"/>
              <w:spacing w:before="22"/>
              <w:ind w:right="140"/>
              <w:rPr>
                <w:sz w:val="14"/>
              </w:rPr>
            </w:pPr>
            <w:r>
              <w:rPr>
                <w:w w:val="99"/>
                <w:sz w:val="14"/>
              </w:rPr>
              <w:t>-</w:t>
            </w:r>
          </w:p>
        </w:tc>
        <w:tc>
          <w:tcPr>
            <w:tcW w:w="520" w:type="dxa"/>
            <w:tcBorders>
              <w:top w:val="single" w:sz="4" w:space="0" w:color="000000"/>
              <w:bottom w:val="single" w:sz="4" w:space="0" w:color="000000"/>
            </w:tcBorders>
          </w:tcPr>
          <w:p>
            <w:pPr>
              <w:pStyle w:val="TableParagraph"/>
              <w:spacing w:before="22"/>
              <w:ind w:right="60"/>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7"/>
              <w:ind w:left="67"/>
              <w:jc w:val="left"/>
              <w:rPr>
                <w:sz w:val="14"/>
              </w:rPr>
            </w:pPr>
            <w:r>
              <w:rPr>
                <w:spacing w:val="-2"/>
                <w:sz w:val="14"/>
              </w:rPr>
              <w:t>Redeployed</w:t>
            </w:r>
          </w:p>
        </w:tc>
        <w:tc>
          <w:tcPr>
            <w:tcW w:w="678" w:type="dxa"/>
            <w:tcBorders>
              <w:top w:val="single" w:sz="4" w:space="0" w:color="000000"/>
              <w:bottom w:val="single" w:sz="4" w:space="0" w:color="000000"/>
            </w:tcBorders>
          </w:tcPr>
          <w:p>
            <w:pPr>
              <w:pStyle w:val="TableParagraph"/>
              <w:spacing w:before="27"/>
              <w:ind w:right="154"/>
              <w:rPr>
                <w:b/>
                <w:sz w:val="14"/>
              </w:rPr>
            </w:pPr>
            <w:r>
              <w:rPr>
                <w:b/>
                <w:w w:val="99"/>
                <w:sz w:val="14"/>
              </w:rPr>
              <w:t>-</w:t>
            </w:r>
          </w:p>
        </w:tc>
        <w:tc>
          <w:tcPr>
            <w:tcW w:w="607" w:type="dxa"/>
            <w:tcBorders>
              <w:top w:val="single" w:sz="4" w:space="0" w:color="000000"/>
              <w:bottom w:val="single" w:sz="4" w:space="0" w:color="000000"/>
            </w:tcBorders>
          </w:tcPr>
          <w:p>
            <w:pPr>
              <w:pStyle w:val="TableParagraph"/>
              <w:spacing w:before="27"/>
              <w:ind w:right="170"/>
              <w:rPr>
                <w:b/>
                <w:sz w:val="14"/>
              </w:rPr>
            </w:pPr>
            <w:r>
              <w:rPr>
                <w:b/>
                <w:w w:val="99"/>
                <w:sz w:val="14"/>
              </w:rPr>
              <w:t>-</w:t>
            </w:r>
          </w:p>
        </w:tc>
        <w:tc>
          <w:tcPr>
            <w:tcW w:w="563" w:type="dxa"/>
            <w:tcBorders>
              <w:top w:val="single" w:sz="4" w:space="0" w:color="000000"/>
              <w:bottom w:val="single" w:sz="4" w:space="0" w:color="000000"/>
            </w:tcBorders>
          </w:tcPr>
          <w:p>
            <w:pPr>
              <w:pStyle w:val="TableParagraph"/>
              <w:spacing w:before="27"/>
              <w:ind w:right="171"/>
              <w:rPr>
                <w:b/>
                <w:sz w:val="14"/>
              </w:rPr>
            </w:pPr>
            <w:r>
              <w:rPr>
                <w:b/>
                <w:w w:val="99"/>
                <w:sz w:val="14"/>
              </w:rPr>
              <w:t>-</w:t>
            </w:r>
          </w:p>
        </w:tc>
        <w:tc>
          <w:tcPr>
            <w:tcW w:w="581" w:type="dxa"/>
            <w:tcBorders>
              <w:top w:val="single" w:sz="4" w:space="0" w:color="000000"/>
              <w:bottom w:val="single" w:sz="4" w:space="0" w:color="000000"/>
            </w:tcBorders>
          </w:tcPr>
          <w:p>
            <w:pPr>
              <w:pStyle w:val="TableParagraph"/>
              <w:spacing w:before="27"/>
              <w:ind w:right="191"/>
              <w:rPr>
                <w:b/>
                <w:sz w:val="14"/>
              </w:rPr>
            </w:pPr>
            <w:r>
              <w:rPr>
                <w:b/>
                <w:w w:val="99"/>
                <w:sz w:val="14"/>
              </w:rPr>
              <w:t>-</w:t>
            </w:r>
          </w:p>
        </w:tc>
        <w:tc>
          <w:tcPr>
            <w:tcW w:w="581" w:type="dxa"/>
            <w:tcBorders>
              <w:top w:val="single" w:sz="4" w:space="0" w:color="000000"/>
              <w:bottom w:val="single" w:sz="4" w:space="0" w:color="000000"/>
            </w:tcBorders>
          </w:tcPr>
          <w:p>
            <w:pPr>
              <w:pStyle w:val="TableParagraph"/>
              <w:spacing w:before="27"/>
              <w:ind w:left="148"/>
              <w:jc w:val="center"/>
              <w:rPr>
                <w:b/>
                <w:sz w:val="14"/>
              </w:rPr>
            </w:pPr>
            <w:r>
              <w:rPr>
                <w:b/>
                <w:w w:val="99"/>
                <w:sz w:val="14"/>
              </w:rPr>
              <w:t>-</w:t>
            </w:r>
          </w:p>
        </w:tc>
        <w:tc>
          <w:tcPr>
            <w:tcW w:w="566" w:type="dxa"/>
            <w:tcBorders>
              <w:top w:val="single" w:sz="4" w:space="0" w:color="000000"/>
              <w:bottom w:val="single" w:sz="4" w:space="0" w:color="000000"/>
            </w:tcBorders>
          </w:tcPr>
          <w:p>
            <w:pPr>
              <w:pStyle w:val="TableParagraph"/>
              <w:spacing w:before="27"/>
              <w:ind w:right="171"/>
              <w:rPr>
                <w:b/>
                <w:sz w:val="14"/>
              </w:rPr>
            </w:pPr>
            <w:r>
              <w:rPr>
                <w:b/>
                <w:w w:val="99"/>
                <w:sz w:val="14"/>
              </w:rPr>
              <w:t>-</w:t>
            </w:r>
          </w:p>
        </w:tc>
        <w:tc>
          <w:tcPr>
            <w:tcW w:w="693" w:type="dxa"/>
            <w:tcBorders>
              <w:top w:val="single" w:sz="4" w:space="0" w:color="000000"/>
              <w:bottom w:val="single" w:sz="4" w:space="0" w:color="000000"/>
            </w:tcBorders>
          </w:tcPr>
          <w:p>
            <w:pPr>
              <w:pStyle w:val="TableParagraph"/>
              <w:spacing w:before="27"/>
              <w:ind w:right="268"/>
              <w:rPr>
                <w:sz w:val="14"/>
              </w:rPr>
            </w:pPr>
            <w:r>
              <w:rPr>
                <w:w w:val="99"/>
                <w:sz w:val="14"/>
              </w:rPr>
              <w:t>-</w:t>
            </w:r>
          </w:p>
        </w:tc>
        <w:tc>
          <w:tcPr>
            <w:tcW w:w="666" w:type="dxa"/>
            <w:tcBorders>
              <w:top w:val="single" w:sz="4" w:space="0" w:color="000000"/>
              <w:bottom w:val="single" w:sz="4" w:space="0" w:color="000000"/>
            </w:tcBorders>
          </w:tcPr>
          <w:p>
            <w:pPr>
              <w:pStyle w:val="TableParagraph"/>
              <w:spacing w:before="27"/>
              <w:ind w:right="195"/>
              <w:rPr>
                <w:sz w:val="14"/>
              </w:rPr>
            </w:pPr>
            <w:r>
              <w:rPr>
                <w:w w:val="99"/>
                <w:sz w:val="14"/>
              </w:rPr>
              <w:t>-</w:t>
            </w:r>
          </w:p>
        </w:tc>
        <w:tc>
          <w:tcPr>
            <w:tcW w:w="466" w:type="dxa"/>
            <w:tcBorders>
              <w:top w:val="single" w:sz="4" w:space="0" w:color="000000"/>
              <w:bottom w:val="single" w:sz="4" w:space="0" w:color="000000"/>
            </w:tcBorders>
          </w:tcPr>
          <w:p>
            <w:pPr>
              <w:pStyle w:val="TableParagraph"/>
              <w:spacing w:before="27"/>
              <w:ind w:right="65"/>
              <w:rPr>
                <w:sz w:val="14"/>
              </w:rPr>
            </w:pPr>
            <w:r>
              <w:rPr>
                <w:w w:val="99"/>
                <w:sz w:val="14"/>
              </w:rPr>
              <w:t>-</w:t>
            </w:r>
          </w:p>
        </w:tc>
        <w:tc>
          <w:tcPr>
            <w:tcW w:w="795" w:type="dxa"/>
            <w:tcBorders>
              <w:top w:val="single" w:sz="4" w:space="0" w:color="000000"/>
              <w:bottom w:val="single" w:sz="4" w:space="0" w:color="000000"/>
            </w:tcBorders>
          </w:tcPr>
          <w:p>
            <w:pPr>
              <w:pStyle w:val="TableParagraph"/>
              <w:spacing w:before="27"/>
              <w:ind w:right="125"/>
              <w:rPr>
                <w:sz w:val="14"/>
              </w:rPr>
            </w:pPr>
            <w:r>
              <w:rPr>
                <w:w w:val="99"/>
                <w:sz w:val="14"/>
              </w:rPr>
              <w:t>-</w:t>
            </w:r>
          </w:p>
        </w:tc>
        <w:tc>
          <w:tcPr>
            <w:tcW w:w="569" w:type="dxa"/>
            <w:tcBorders>
              <w:top w:val="single" w:sz="4" w:space="0" w:color="000000"/>
              <w:bottom w:val="single" w:sz="4" w:space="0" w:color="000000"/>
            </w:tcBorders>
          </w:tcPr>
          <w:p>
            <w:pPr>
              <w:pStyle w:val="TableParagraph"/>
              <w:spacing w:before="27"/>
              <w:ind w:right="99"/>
              <w:rPr>
                <w:sz w:val="14"/>
              </w:rPr>
            </w:pPr>
            <w:r>
              <w:rPr>
                <w:w w:val="99"/>
                <w:sz w:val="14"/>
              </w:rPr>
              <w:t>-</w:t>
            </w:r>
          </w:p>
        </w:tc>
        <w:tc>
          <w:tcPr>
            <w:tcW w:w="578" w:type="dxa"/>
            <w:tcBorders>
              <w:top w:val="single" w:sz="4" w:space="0" w:color="000000"/>
              <w:bottom w:val="single" w:sz="4" w:space="0" w:color="000000"/>
            </w:tcBorders>
          </w:tcPr>
          <w:p>
            <w:pPr>
              <w:pStyle w:val="TableParagraph"/>
              <w:spacing w:before="27"/>
              <w:ind w:right="86"/>
              <w:rPr>
                <w:sz w:val="14"/>
              </w:rPr>
            </w:pPr>
            <w:r>
              <w:rPr>
                <w:w w:val="99"/>
                <w:sz w:val="14"/>
              </w:rPr>
              <w:t>-</w:t>
            </w:r>
          </w:p>
        </w:tc>
        <w:tc>
          <w:tcPr>
            <w:tcW w:w="563" w:type="dxa"/>
            <w:tcBorders>
              <w:top w:val="single" w:sz="4" w:space="0" w:color="000000"/>
              <w:bottom w:val="single" w:sz="4" w:space="0" w:color="000000"/>
            </w:tcBorders>
          </w:tcPr>
          <w:p>
            <w:pPr>
              <w:pStyle w:val="TableParagraph"/>
              <w:spacing w:before="27"/>
              <w:ind w:right="59"/>
              <w:rPr>
                <w:sz w:val="14"/>
              </w:rPr>
            </w:pPr>
            <w:r>
              <w:rPr>
                <w:w w:val="99"/>
                <w:sz w:val="14"/>
              </w:rPr>
              <w:t>-</w:t>
            </w:r>
          </w:p>
        </w:tc>
        <w:tc>
          <w:tcPr>
            <w:tcW w:w="821" w:type="dxa"/>
            <w:tcBorders>
              <w:top w:val="single" w:sz="4" w:space="0" w:color="000000"/>
              <w:bottom w:val="single" w:sz="4" w:space="0" w:color="000000"/>
            </w:tcBorders>
          </w:tcPr>
          <w:p>
            <w:pPr>
              <w:pStyle w:val="TableParagraph"/>
              <w:spacing w:before="27"/>
              <w:ind w:right="140"/>
              <w:rPr>
                <w:sz w:val="14"/>
              </w:rPr>
            </w:pPr>
            <w:r>
              <w:rPr>
                <w:w w:val="99"/>
                <w:sz w:val="14"/>
              </w:rPr>
              <w:t>-</w:t>
            </w:r>
          </w:p>
        </w:tc>
        <w:tc>
          <w:tcPr>
            <w:tcW w:w="520" w:type="dxa"/>
            <w:tcBorders>
              <w:top w:val="single" w:sz="4" w:space="0" w:color="000000"/>
              <w:bottom w:val="single" w:sz="4" w:space="0" w:color="000000"/>
            </w:tcBorders>
          </w:tcPr>
          <w:p>
            <w:pPr>
              <w:pStyle w:val="TableParagraph"/>
              <w:spacing w:before="27"/>
              <w:ind w:right="60"/>
              <w:rPr>
                <w:b/>
                <w:sz w:val="14"/>
              </w:rPr>
            </w:pPr>
            <w:r>
              <w:rPr>
                <w:b/>
                <w:w w:val="99"/>
                <w:sz w:val="14"/>
              </w:rPr>
              <w:t>-</w:t>
            </w:r>
          </w:p>
        </w:tc>
      </w:tr>
      <w:tr>
        <w:trPr>
          <w:trHeight w:val="230" w:hRule="atLeast"/>
        </w:trPr>
        <w:tc>
          <w:tcPr>
            <w:tcW w:w="1186" w:type="dxa"/>
            <w:tcBorders>
              <w:top w:val="single" w:sz="4" w:space="0" w:color="000000"/>
              <w:bottom w:val="single" w:sz="4" w:space="0" w:color="000000"/>
            </w:tcBorders>
          </w:tcPr>
          <w:p>
            <w:pPr>
              <w:pStyle w:val="TableParagraph"/>
              <w:spacing w:before="27"/>
              <w:ind w:left="67"/>
              <w:jc w:val="left"/>
              <w:rPr>
                <w:sz w:val="14"/>
              </w:rPr>
            </w:pPr>
            <w:r>
              <w:rPr>
                <w:spacing w:val="-2"/>
                <w:sz w:val="14"/>
              </w:rPr>
              <w:t>Reclassified</w:t>
            </w:r>
          </w:p>
        </w:tc>
        <w:tc>
          <w:tcPr>
            <w:tcW w:w="678" w:type="dxa"/>
            <w:tcBorders>
              <w:top w:val="single" w:sz="4" w:space="0" w:color="000000"/>
              <w:bottom w:val="single" w:sz="4" w:space="0" w:color="000000"/>
            </w:tcBorders>
          </w:tcPr>
          <w:p>
            <w:pPr>
              <w:pStyle w:val="TableParagraph"/>
              <w:spacing w:before="27"/>
              <w:ind w:right="154"/>
              <w:rPr>
                <w:b/>
                <w:sz w:val="14"/>
              </w:rPr>
            </w:pPr>
            <w:r>
              <w:rPr>
                <w:b/>
                <w:w w:val="99"/>
                <w:sz w:val="14"/>
              </w:rPr>
              <w:t>-</w:t>
            </w:r>
          </w:p>
        </w:tc>
        <w:tc>
          <w:tcPr>
            <w:tcW w:w="607" w:type="dxa"/>
            <w:tcBorders>
              <w:top w:val="single" w:sz="4" w:space="0" w:color="000000"/>
              <w:bottom w:val="single" w:sz="4" w:space="0" w:color="000000"/>
            </w:tcBorders>
          </w:tcPr>
          <w:p>
            <w:pPr>
              <w:pStyle w:val="TableParagraph"/>
              <w:spacing w:before="27"/>
              <w:ind w:right="170"/>
              <w:rPr>
                <w:b/>
                <w:sz w:val="14"/>
              </w:rPr>
            </w:pPr>
            <w:r>
              <w:rPr>
                <w:b/>
                <w:w w:val="99"/>
                <w:sz w:val="14"/>
              </w:rPr>
              <w:t>-</w:t>
            </w:r>
          </w:p>
        </w:tc>
        <w:tc>
          <w:tcPr>
            <w:tcW w:w="563" w:type="dxa"/>
            <w:tcBorders>
              <w:top w:val="single" w:sz="4" w:space="0" w:color="000000"/>
              <w:bottom w:val="single" w:sz="4" w:space="0" w:color="000000"/>
            </w:tcBorders>
          </w:tcPr>
          <w:p>
            <w:pPr>
              <w:pStyle w:val="TableParagraph"/>
              <w:spacing w:before="27"/>
              <w:ind w:right="171"/>
              <w:rPr>
                <w:b/>
                <w:sz w:val="14"/>
              </w:rPr>
            </w:pPr>
            <w:r>
              <w:rPr>
                <w:b/>
                <w:w w:val="99"/>
                <w:sz w:val="14"/>
              </w:rPr>
              <w:t>-</w:t>
            </w:r>
          </w:p>
        </w:tc>
        <w:tc>
          <w:tcPr>
            <w:tcW w:w="581" w:type="dxa"/>
            <w:tcBorders>
              <w:top w:val="single" w:sz="4" w:space="0" w:color="000000"/>
              <w:bottom w:val="single" w:sz="4" w:space="0" w:color="000000"/>
            </w:tcBorders>
          </w:tcPr>
          <w:p>
            <w:pPr>
              <w:pStyle w:val="TableParagraph"/>
              <w:spacing w:before="27"/>
              <w:ind w:right="191"/>
              <w:rPr>
                <w:b/>
                <w:sz w:val="14"/>
              </w:rPr>
            </w:pPr>
            <w:r>
              <w:rPr>
                <w:b/>
                <w:w w:val="99"/>
                <w:sz w:val="14"/>
              </w:rPr>
              <w:t>-</w:t>
            </w:r>
          </w:p>
        </w:tc>
        <w:tc>
          <w:tcPr>
            <w:tcW w:w="581" w:type="dxa"/>
            <w:tcBorders>
              <w:top w:val="single" w:sz="4" w:space="0" w:color="000000"/>
              <w:bottom w:val="single" w:sz="4" w:space="0" w:color="000000"/>
            </w:tcBorders>
          </w:tcPr>
          <w:p>
            <w:pPr>
              <w:pStyle w:val="TableParagraph"/>
              <w:spacing w:before="27"/>
              <w:ind w:left="148"/>
              <w:jc w:val="center"/>
              <w:rPr>
                <w:b/>
                <w:sz w:val="14"/>
              </w:rPr>
            </w:pPr>
            <w:r>
              <w:rPr>
                <w:b/>
                <w:w w:val="99"/>
                <w:sz w:val="14"/>
              </w:rPr>
              <w:t>-</w:t>
            </w:r>
          </w:p>
        </w:tc>
        <w:tc>
          <w:tcPr>
            <w:tcW w:w="566" w:type="dxa"/>
            <w:tcBorders>
              <w:top w:val="single" w:sz="4" w:space="0" w:color="000000"/>
              <w:bottom w:val="single" w:sz="4" w:space="0" w:color="000000"/>
            </w:tcBorders>
          </w:tcPr>
          <w:p>
            <w:pPr>
              <w:pStyle w:val="TableParagraph"/>
              <w:spacing w:before="27"/>
              <w:ind w:right="171"/>
              <w:rPr>
                <w:b/>
                <w:sz w:val="14"/>
              </w:rPr>
            </w:pPr>
            <w:r>
              <w:rPr>
                <w:b/>
                <w:w w:val="99"/>
                <w:sz w:val="14"/>
              </w:rPr>
              <w:t>-</w:t>
            </w:r>
          </w:p>
        </w:tc>
        <w:tc>
          <w:tcPr>
            <w:tcW w:w="693" w:type="dxa"/>
            <w:tcBorders>
              <w:top w:val="single" w:sz="4" w:space="0" w:color="000000"/>
              <w:bottom w:val="single" w:sz="4" w:space="0" w:color="000000"/>
            </w:tcBorders>
          </w:tcPr>
          <w:p>
            <w:pPr>
              <w:pStyle w:val="TableParagraph"/>
              <w:spacing w:before="27"/>
              <w:ind w:right="268"/>
              <w:rPr>
                <w:sz w:val="14"/>
              </w:rPr>
            </w:pPr>
            <w:r>
              <w:rPr>
                <w:w w:val="99"/>
                <w:sz w:val="14"/>
              </w:rPr>
              <w:t>-</w:t>
            </w:r>
          </w:p>
        </w:tc>
        <w:tc>
          <w:tcPr>
            <w:tcW w:w="666" w:type="dxa"/>
            <w:tcBorders>
              <w:top w:val="single" w:sz="4" w:space="0" w:color="000000"/>
              <w:bottom w:val="single" w:sz="4" w:space="0" w:color="000000"/>
            </w:tcBorders>
          </w:tcPr>
          <w:p>
            <w:pPr>
              <w:pStyle w:val="TableParagraph"/>
              <w:spacing w:before="27"/>
              <w:ind w:right="195"/>
              <w:rPr>
                <w:sz w:val="14"/>
              </w:rPr>
            </w:pPr>
            <w:r>
              <w:rPr>
                <w:w w:val="99"/>
                <w:sz w:val="14"/>
              </w:rPr>
              <w:t>-</w:t>
            </w:r>
          </w:p>
        </w:tc>
        <w:tc>
          <w:tcPr>
            <w:tcW w:w="466" w:type="dxa"/>
            <w:tcBorders>
              <w:top w:val="single" w:sz="4" w:space="0" w:color="000000"/>
              <w:bottom w:val="single" w:sz="4" w:space="0" w:color="000000"/>
            </w:tcBorders>
          </w:tcPr>
          <w:p>
            <w:pPr>
              <w:pStyle w:val="TableParagraph"/>
              <w:spacing w:before="27"/>
              <w:ind w:right="65"/>
              <w:rPr>
                <w:sz w:val="14"/>
              </w:rPr>
            </w:pPr>
            <w:r>
              <w:rPr>
                <w:w w:val="99"/>
                <w:sz w:val="14"/>
              </w:rPr>
              <w:t>-</w:t>
            </w:r>
          </w:p>
        </w:tc>
        <w:tc>
          <w:tcPr>
            <w:tcW w:w="795" w:type="dxa"/>
            <w:tcBorders>
              <w:top w:val="single" w:sz="4" w:space="0" w:color="000000"/>
              <w:bottom w:val="single" w:sz="4" w:space="0" w:color="000000"/>
            </w:tcBorders>
          </w:tcPr>
          <w:p>
            <w:pPr>
              <w:pStyle w:val="TableParagraph"/>
              <w:spacing w:before="27"/>
              <w:ind w:right="125"/>
              <w:rPr>
                <w:sz w:val="14"/>
              </w:rPr>
            </w:pPr>
            <w:r>
              <w:rPr>
                <w:w w:val="99"/>
                <w:sz w:val="14"/>
              </w:rPr>
              <w:t>-</w:t>
            </w:r>
          </w:p>
        </w:tc>
        <w:tc>
          <w:tcPr>
            <w:tcW w:w="569" w:type="dxa"/>
            <w:tcBorders>
              <w:top w:val="single" w:sz="4" w:space="0" w:color="000000"/>
              <w:bottom w:val="single" w:sz="4" w:space="0" w:color="000000"/>
            </w:tcBorders>
          </w:tcPr>
          <w:p>
            <w:pPr>
              <w:pStyle w:val="TableParagraph"/>
              <w:spacing w:before="27"/>
              <w:ind w:right="99"/>
              <w:rPr>
                <w:sz w:val="14"/>
              </w:rPr>
            </w:pPr>
            <w:r>
              <w:rPr>
                <w:w w:val="99"/>
                <w:sz w:val="14"/>
              </w:rPr>
              <w:t>-</w:t>
            </w:r>
          </w:p>
        </w:tc>
        <w:tc>
          <w:tcPr>
            <w:tcW w:w="578" w:type="dxa"/>
            <w:tcBorders>
              <w:top w:val="single" w:sz="4" w:space="0" w:color="000000"/>
              <w:bottom w:val="single" w:sz="4" w:space="0" w:color="000000"/>
            </w:tcBorders>
          </w:tcPr>
          <w:p>
            <w:pPr>
              <w:pStyle w:val="TableParagraph"/>
              <w:spacing w:before="27"/>
              <w:ind w:right="86"/>
              <w:rPr>
                <w:sz w:val="14"/>
              </w:rPr>
            </w:pPr>
            <w:r>
              <w:rPr>
                <w:w w:val="99"/>
                <w:sz w:val="14"/>
              </w:rPr>
              <w:t>-</w:t>
            </w:r>
          </w:p>
        </w:tc>
        <w:tc>
          <w:tcPr>
            <w:tcW w:w="563" w:type="dxa"/>
            <w:tcBorders>
              <w:top w:val="single" w:sz="4" w:space="0" w:color="000000"/>
              <w:bottom w:val="single" w:sz="4" w:space="0" w:color="000000"/>
            </w:tcBorders>
          </w:tcPr>
          <w:p>
            <w:pPr>
              <w:pStyle w:val="TableParagraph"/>
              <w:spacing w:before="27"/>
              <w:ind w:right="59"/>
              <w:rPr>
                <w:sz w:val="14"/>
              </w:rPr>
            </w:pPr>
            <w:r>
              <w:rPr>
                <w:w w:val="99"/>
                <w:sz w:val="14"/>
              </w:rPr>
              <w:t>-</w:t>
            </w:r>
          </w:p>
        </w:tc>
        <w:tc>
          <w:tcPr>
            <w:tcW w:w="821" w:type="dxa"/>
            <w:tcBorders>
              <w:top w:val="single" w:sz="4" w:space="0" w:color="000000"/>
              <w:bottom w:val="single" w:sz="4" w:space="0" w:color="000000"/>
            </w:tcBorders>
          </w:tcPr>
          <w:p>
            <w:pPr>
              <w:pStyle w:val="TableParagraph"/>
              <w:spacing w:before="27"/>
              <w:ind w:right="140"/>
              <w:rPr>
                <w:sz w:val="14"/>
              </w:rPr>
            </w:pPr>
            <w:r>
              <w:rPr>
                <w:w w:val="99"/>
                <w:sz w:val="14"/>
              </w:rPr>
              <w:t>-</w:t>
            </w:r>
          </w:p>
        </w:tc>
        <w:tc>
          <w:tcPr>
            <w:tcW w:w="520" w:type="dxa"/>
            <w:tcBorders>
              <w:top w:val="single" w:sz="4" w:space="0" w:color="000000"/>
              <w:bottom w:val="single" w:sz="4" w:space="0" w:color="000000"/>
            </w:tcBorders>
          </w:tcPr>
          <w:p>
            <w:pPr>
              <w:pStyle w:val="TableParagraph"/>
              <w:spacing w:before="27"/>
              <w:ind w:right="60"/>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2"/>
              <w:ind w:left="67"/>
              <w:jc w:val="left"/>
              <w:rPr>
                <w:sz w:val="14"/>
              </w:rPr>
            </w:pPr>
            <w:r>
              <w:rPr>
                <w:spacing w:val="-2"/>
                <w:sz w:val="14"/>
              </w:rPr>
              <w:t>Converted</w:t>
            </w:r>
          </w:p>
        </w:tc>
        <w:tc>
          <w:tcPr>
            <w:tcW w:w="678" w:type="dxa"/>
            <w:tcBorders>
              <w:top w:val="single" w:sz="4" w:space="0" w:color="000000"/>
              <w:bottom w:val="single" w:sz="4" w:space="0" w:color="000000"/>
            </w:tcBorders>
          </w:tcPr>
          <w:p>
            <w:pPr>
              <w:pStyle w:val="TableParagraph"/>
              <w:spacing w:before="22"/>
              <w:ind w:right="154"/>
              <w:rPr>
                <w:b/>
                <w:sz w:val="14"/>
              </w:rPr>
            </w:pPr>
            <w:r>
              <w:rPr>
                <w:b/>
                <w:w w:val="99"/>
                <w:sz w:val="14"/>
              </w:rPr>
              <w:t>-</w:t>
            </w:r>
          </w:p>
        </w:tc>
        <w:tc>
          <w:tcPr>
            <w:tcW w:w="607" w:type="dxa"/>
            <w:tcBorders>
              <w:top w:val="single" w:sz="4" w:space="0" w:color="000000"/>
              <w:bottom w:val="single" w:sz="4" w:space="0" w:color="000000"/>
            </w:tcBorders>
          </w:tcPr>
          <w:p>
            <w:pPr>
              <w:pStyle w:val="TableParagraph"/>
              <w:spacing w:before="22"/>
              <w:ind w:right="170"/>
              <w:rPr>
                <w:b/>
                <w:sz w:val="14"/>
              </w:rPr>
            </w:pPr>
            <w:r>
              <w:rPr>
                <w:b/>
                <w:w w:val="99"/>
                <w:sz w:val="14"/>
              </w:rPr>
              <w:t>-</w:t>
            </w:r>
          </w:p>
        </w:tc>
        <w:tc>
          <w:tcPr>
            <w:tcW w:w="563" w:type="dxa"/>
            <w:tcBorders>
              <w:top w:val="single" w:sz="4" w:space="0" w:color="000000"/>
              <w:bottom w:val="single" w:sz="4" w:space="0" w:color="000000"/>
            </w:tcBorders>
          </w:tcPr>
          <w:p>
            <w:pPr>
              <w:pStyle w:val="TableParagraph"/>
              <w:spacing w:before="22"/>
              <w:ind w:right="171"/>
              <w:rPr>
                <w:b/>
                <w:sz w:val="14"/>
              </w:rPr>
            </w:pPr>
            <w:r>
              <w:rPr>
                <w:b/>
                <w:w w:val="99"/>
                <w:sz w:val="14"/>
              </w:rPr>
              <w:t>-</w:t>
            </w:r>
          </w:p>
        </w:tc>
        <w:tc>
          <w:tcPr>
            <w:tcW w:w="581" w:type="dxa"/>
            <w:tcBorders>
              <w:top w:val="single" w:sz="4" w:space="0" w:color="000000"/>
              <w:bottom w:val="single" w:sz="4" w:space="0" w:color="000000"/>
            </w:tcBorders>
          </w:tcPr>
          <w:p>
            <w:pPr>
              <w:pStyle w:val="TableParagraph"/>
              <w:spacing w:before="22"/>
              <w:ind w:right="191"/>
              <w:rPr>
                <w:b/>
                <w:sz w:val="14"/>
              </w:rPr>
            </w:pPr>
            <w:r>
              <w:rPr>
                <w:b/>
                <w:w w:val="99"/>
                <w:sz w:val="14"/>
              </w:rPr>
              <w:t>-</w:t>
            </w:r>
          </w:p>
        </w:tc>
        <w:tc>
          <w:tcPr>
            <w:tcW w:w="581" w:type="dxa"/>
            <w:tcBorders>
              <w:top w:val="single" w:sz="4" w:space="0" w:color="000000"/>
              <w:bottom w:val="single" w:sz="4" w:space="0" w:color="000000"/>
            </w:tcBorders>
          </w:tcPr>
          <w:p>
            <w:pPr>
              <w:pStyle w:val="TableParagraph"/>
              <w:spacing w:before="22"/>
              <w:ind w:left="148"/>
              <w:jc w:val="center"/>
              <w:rPr>
                <w:b/>
                <w:sz w:val="14"/>
              </w:rPr>
            </w:pPr>
            <w:r>
              <w:rPr>
                <w:b/>
                <w:w w:val="99"/>
                <w:sz w:val="14"/>
              </w:rPr>
              <w:t>-</w:t>
            </w:r>
          </w:p>
        </w:tc>
        <w:tc>
          <w:tcPr>
            <w:tcW w:w="566" w:type="dxa"/>
            <w:tcBorders>
              <w:top w:val="single" w:sz="4" w:space="0" w:color="000000"/>
              <w:bottom w:val="single" w:sz="4" w:space="0" w:color="000000"/>
            </w:tcBorders>
          </w:tcPr>
          <w:p>
            <w:pPr>
              <w:pStyle w:val="TableParagraph"/>
              <w:spacing w:before="22"/>
              <w:ind w:right="171"/>
              <w:rPr>
                <w:b/>
                <w:sz w:val="14"/>
              </w:rPr>
            </w:pPr>
            <w:r>
              <w:rPr>
                <w:b/>
                <w:w w:val="99"/>
                <w:sz w:val="14"/>
              </w:rPr>
              <w:t>-</w:t>
            </w:r>
          </w:p>
        </w:tc>
        <w:tc>
          <w:tcPr>
            <w:tcW w:w="693" w:type="dxa"/>
            <w:tcBorders>
              <w:top w:val="single" w:sz="4" w:space="0" w:color="000000"/>
              <w:bottom w:val="single" w:sz="4" w:space="0" w:color="000000"/>
            </w:tcBorders>
          </w:tcPr>
          <w:p>
            <w:pPr>
              <w:pStyle w:val="TableParagraph"/>
              <w:spacing w:before="22"/>
              <w:ind w:right="268"/>
              <w:rPr>
                <w:sz w:val="14"/>
              </w:rPr>
            </w:pPr>
            <w:r>
              <w:rPr>
                <w:w w:val="99"/>
                <w:sz w:val="14"/>
              </w:rPr>
              <w:t>-</w:t>
            </w:r>
          </w:p>
        </w:tc>
        <w:tc>
          <w:tcPr>
            <w:tcW w:w="666" w:type="dxa"/>
            <w:tcBorders>
              <w:top w:val="single" w:sz="4" w:space="0" w:color="000000"/>
              <w:bottom w:val="single" w:sz="4" w:space="0" w:color="000000"/>
            </w:tcBorders>
          </w:tcPr>
          <w:p>
            <w:pPr>
              <w:pStyle w:val="TableParagraph"/>
              <w:spacing w:before="22"/>
              <w:ind w:right="195"/>
              <w:rPr>
                <w:sz w:val="14"/>
              </w:rPr>
            </w:pPr>
            <w:r>
              <w:rPr>
                <w:w w:val="99"/>
                <w:sz w:val="14"/>
              </w:rPr>
              <w:t>-</w:t>
            </w:r>
          </w:p>
        </w:tc>
        <w:tc>
          <w:tcPr>
            <w:tcW w:w="466" w:type="dxa"/>
            <w:tcBorders>
              <w:top w:val="single" w:sz="4" w:space="0" w:color="000000"/>
              <w:bottom w:val="single" w:sz="4" w:space="0" w:color="000000"/>
            </w:tcBorders>
          </w:tcPr>
          <w:p>
            <w:pPr>
              <w:pStyle w:val="TableParagraph"/>
              <w:spacing w:before="22"/>
              <w:ind w:right="65"/>
              <w:rPr>
                <w:sz w:val="14"/>
              </w:rPr>
            </w:pPr>
            <w:r>
              <w:rPr>
                <w:w w:val="99"/>
                <w:sz w:val="14"/>
              </w:rPr>
              <w:t>-</w:t>
            </w:r>
          </w:p>
        </w:tc>
        <w:tc>
          <w:tcPr>
            <w:tcW w:w="795" w:type="dxa"/>
            <w:tcBorders>
              <w:top w:val="single" w:sz="4" w:space="0" w:color="000000"/>
              <w:bottom w:val="single" w:sz="4" w:space="0" w:color="000000"/>
            </w:tcBorders>
          </w:tcPr>
          <w:p>
            <w:pPr>
              <w:pStyle w:val="TableParagraph"/>
              <w:spacing w:before="22"/>
              <w:ind w:right="125"/>
              <w:rPr>
                <w:sz w:val="14"/>
              </w:rPr>
            </w:pPr>
            <w:r>
              <w:rPr>
                <w:w w:val="99"/>
                <w:sz w:val="14"/>
              </w:rPr>
              <w:t>-</w:t>
            </w:r>
          </w:p>
        </w:tc>
        <w:tc>
          <w:tcPr>
            <w:tcW w:w="569" w:type="dxa"/>
            <w:tcBorders>
              <w:top w:val="single" w:sz="4" w:space="0" w:color="000000"/>
              <w:bottom w:val="single" w:sz="4" w:space="0" w:color="000000"/>
            </w:tcBorders>
          </w:tcPr>
          <w:p>
            <w:pPr>
              <w:pStyle w:val="TableParagraph"/>
              <w:spacing w:before="22"/>
              <w:ind w:right="99"/>
              <w:rPr>
                <w:sz w:val="14"/>
              </w:rPr>
            </w:pPr>
            <w:r>
              <w:rPr>
                <w:w w:val="99"/>
                <w:sz w:val="14"/>
              </w:rPr>
              <w:t>-</w:t>
            </w:r>
          </w:p>
        </w:tc>
        <w:tc>
          <w:tcPr>
            <w:tcW w:w="578" w:type="dxa"/>
            <w:tcBorders>
              <w:top w:val="single" w:sz="4" w:space="0" w:color="000000"/>
              <w:bottom w:val="single" w:sz="4" w:space="0" w:color="000000"/>
            </w:tcBorders>
          </w:tcPr>
          <w:p>
            <w:pPr>
              <w:pStyle w:val="TableParagraph"/>
              <w:spacing w:before="22"/>
              <w:ind w:right="86"/>
              <w:rPr>
                <w:sz w:val="14"/>
              </w:rPr>
            </w:pPr>
            <w:r>
              <w:rPr>
                <w:w w:val="99"/>
                <w:sz w:val="14"/>
              </w:rPr>
              <w:t>-</w:t>
            </w:r>
          </w:p>
        </w:tc>
        <w:tc>
          <w:tcPr>
            <w:tcW w:w="563" w:type="dxa"/>
            <w:tcBorders>
              <w:top w:val="single" w:sz="4" w:space="0" w:color="000000"/>
              <w:bottom w:val="single" w:sz="4" w:space="0" w:color="000000"/>
            </w:tcBorders>
          </w:tcPr>
          <w:p>
            <w:pPr>
              <w:pStyle w:val="TableParagraph"/>
              <w:spacing w:before="22"/>
              <w:ind w:right="59"/>
              <w:rPr>
                <w:sz w:val="14"/>
              </w:rPr>
            </w:pPr>
            <w:r>
              <w:rPr>
                <w:w w:val="99"/>
                <w:sz w:val="14"/>
              </w:rPr>
              <w:t>-</w:t>
            </w:r>
          </w:p>
        </w:tc>
        <w:tc>
          <w:tcPr>
            <w:tcW w:w="821" w:type="dxa"/>
            <w:tcBorders>
              <w:top w:val="single" w:sz="4" w:space="0" w:color="000000"/>
              <w:bottom w:val="single" w:sz="4" w:space="0" w:color="000000"/>
            </w:tcBorders>
          </w:tcPr>
          <w:p>
            <w:pPr>
              <w:pStyle w:val="TableParagraph"/>
              <w:spacing w:before="22"/>
              <w:ind w:right="140"/>
              <w:rPr>
                <w:sz w:val="14"/>
              </w:rPr>
            </w:pPr>
            <w:r>
              <w:rPr>
                <w:w w:val="99"/>
                <w:sz w:val="14"/>
              </w:rPr>
              <w:t>-</w:t>
            </w:r>
          </w:p>
        </w:tc>
        <w:tc>
          <w:tcPr>
            <w:tcW w:w="520" w:type="dxa"/>
            <w:tcBorders>
              <w:top w:val="single" w:sz="4" w:space="0" w:color="000000"/>
              <w:bottom w:val="single" w:sz="4" w:space="0" w:color="000000"/>
            </w:tcBorders>
          </w:tcPr>
          <w:p>
            <w:pPr>
              <w:pStyle w:val="TableParagraph"/>
              <w:spacing w:before="22"/>
              <w:ind w:right="60"/>
              <w:rPr>
                <w:b/>
                <w:sz w:val="14"/>
              </w:rPr>
            </w:pPr>
            <w:r>
              <w:rPr>
                <w:b/>
                <w:w w:val="99"/>
                <w:sz w:val="14"/>
              </w:rPr>
              <w:t>-</w:t>
            </w:r>
          </w:p>
        </w:tc>
      </w:tr>
      <w:tr>
        <w:trPr>
          <w:trHeight w:val="229" w:hRule="atLeast"/>
        </w:trPr>
        <w:tc>
          <w:tcPr>
            <w:tcW w:w="1186" w:type="dxa"/>
            <w:tcBorders>
              <w:top w:val="single" w:sz="4" w:space="0" w:color="000000"/>
              <w:bottom w:val="single" w:sz="12" w:space="0" w:color="000000"/>
            </w:tcBorders>
          </w:tcPr>
          <w:p>
            <w:pPr>
              <w:pStyle w:val="TableParagraph"/>
              <w:spacing w:before="27"/>
              <w:ind w:left="67"/>
              <w:jc w:val="left"/>
              <w:rPr>
                <w:b/>
                <w:sz w:val="14"/>
              </w:rPr>
            </w:pPr>
            <w:r>
              <w:rPr>
                <w:b/>
                <w:sz w:val="14"/>
              </w:rPr>
              <w:t>Proposed</w:t>
            </w:r>
            <w:r>
              <w:rPr>
                <w:b/>
                <w:spacing w:val="-6"/>
                <w:sz w:val="14"/>
              </w:rPr>
              <w:t> </w:t>
            </w:r>
            <w:r>
              <w:rPr>
                <w:b/>
                <w:spacing w:val="-4"/>
                <w:sz w:val="14"/>
              </w:rPr>
              <w:t>2023</w:t>
            </w:r>
          </w:p>
        </w:tc>
        <w:tc>
          <w:tcPr>
            <w:tcW w:w="678" w:type="dxa"/>
            <w:tcBorders>
              <w:top w:val="single" w:sz="4" w:space="0" w:color="000000"/>
              <w:bottom w:val="single" w:sz="12" w:space="0" w:color="000000"/>
            </w:tcBorders>
          </w:tcPr>
          <w:p>
            <w:pPr>
              <w:pStyle w:val="TableParagraph"/>
              <w:spacing w:before="27"/>
              <w:ind w:right="154"/>
              <w:rPr>
                <w:b/>
                <w:sz w:val="14"/>
              </w:rPr>
            </w:pPr>
            <w:r>
              <w:rPr>
                <w:b/>
                <w:w w:val="99"/>
                <w:sz w:val="14"/>
              </w:rPr>
              <w:t>-</w:t>
            </w:r>
          </w:p>
        </w:tc>
        <w:tc>
          <w:tcPr>
            <w:tcW w:w="607" w:type="dxa"/>
            <w:tcBorders>
              <w:top w:val="single" w:sz="4" w:space="0" w:color="000000"/>
              <w:bottom w:val="single" w:sz="12" w:space="0" w:color="000000"/>
            </w:tcBorders>
          </w:tcPr>
          <w:p>
            <w:pPr>
              <w:pStyle w:val="TableParagraph"/>
              <w:spacing w:before="27"/>
              <w:ind w:right="170"/>
              <w:rPr>
                <w:b/>
                <w:sz w:val="14"/>
              </w:rPr>
            </w:pPr>
            <w:r>
              <w:rPr>
                <w:b/>
                <w:w w:val="99"/>
                <w:sz w:val="14"/>
              </w:rPr>
              <w:t>-</w:t>
            </w:r>
          </w:p>
        </w:tc>
        <w:tc>
          <w:tcPr>
            <w:tcW w:w="563" w:type="dxa"/>
            <w:tcBorders>
              <w:top w:val="single" w:sz="4" w:space="0" w:color="000000"/>
              <w:bottom w:val="single" w:sz="12" w:space="0" w:color="000000"/>
            </w:tcBorders>
          </w:tcPr>
          <w:p>
            <w:pPr>
              <w:pStyle w:val="TableParagraph"/>
              <w:spacing w:before="27"/>
              <w:ind w:right="171"/>
              <w:rPr>
                <w:b/>
                <w:sz w:val="14"/>
              </w:rPr>
            </w:pPr>
            <w:r>
              <w:rPr>
                <w:b/>
                <w:w w:val="99"/>
                <w:sz w:val="14"/>
              </w:rPr>
              <w:t>-</w:t>
            </w:r>
          </w:p>
        </w:tc>
        <w:tc>
          <w:tcPr>
            <w:tcW w:w="581" w:type="dxa"/>
            <w:tcBorders>
              <w:top w:val="single" w:sz="4" w:space="0" w:color="000000"/>
              <w:bottom w:val="single" w:sz="12" w:space="0" w:color="000000"/>
            </w:tcBorders>
          </w:tcPr>
          <w:p>
            <w:pPr>
              <w:pStyle w:val="TableParagraph"/>
              <w:spacing w:before="27"/>
              <w:ind w:right="191"/>
              <w:rPr>
                <w:b/>
                <w:sz w:val="14"/>
              </w:rPr>
            </w:pPr>
            <w:r>
              <w:rPr>
                <w:b/>
                <w:w w:val="99"/>
                <w:sz w:val="14"/>
              </w:rPr>
              <w:t>-</w:t>
            </w:r>
          </w:p>
        </w:tc>
        <w:tc>
          <w:tcPr>
            <w:tcW w:w="581" w:type="dxa"/>
            <w:tcBorders>
              <w:top w:val="single" w:sz="4" w:space="0" w:color="000000"/>
              <w:bottom w:val="single" w:sz="12" w:space="0" w:color="000000"/>
            </w:tcBorders>
          </w:tcPr>
          <w:p>
            <w:pPr>
              <w:pStyle w:val="TableParagraph"/>
              <w:spacing w:before="27"/>
              <w:ind w:left="148"/>
              <w:jc w:val="center"/>
              <w:rPr>
                <w:b/>
                <w:sz w:val="14"/>
              </w:rPr>
            </w:pPr>
            <w:r>
              <w:rPr>
                <w:b/>
                <w:w w:val="99"/>
                <w:sz w:val="14"/>
              </w:rPr>
              <w:t>-</w:t>
            </w:r>
          </w:p>
        </w:tc>
        <w:tc>
          <w:tcPr>
            <w:tcW w:w="566" w:type="dxa"/>
            <w:tcBorders>
              <w:top w:val="single" w:sz="4" w:space="0" w:color="000000"/>
              <w:bottom w:val="single" w:sz="12" w:space="0" w:color="000000"/>
            </w:tcBorders>
          </w:tcPr>
          <w:p>
            <w:pPr>
              <w:pStyle w:val="TableParagraph"/>
              <w:spacing w:before="27"/>
              <w:ind w:right="171"/>
              <w:rPr>
                <w:b/>
                <w:sz w:val="14"/>
              </w:rPr>
            </w:pPr>
            <w:r>
              <w:rPr>
                <w:b/>
                <w:w w:val="99"/>
                <w:sz w:val="14"/>
              </w:rPr>
              <w:t>-</w:t>
            </w:r>
          </w:p>
        </w:tc>
        <w:tc>
          <w:tcPr>
            <w:tcW w:w="693" w:type="dxa"/>
            <w:tcBorders>
              <w:top w:val="single" w:sz="4" w:space="0" w:color="000000"/>
              <w:bottom w:val="single" w:sz="12" w:space="0" w:color="000000"/>
            </w:tcBorders>
          </w:tcPr>
          <w:p>
            <w:pPr>
              <w:pStyle w:val="TableParagraph"/>
              <w:spacing w:before="27"/>
              <w:ind w:right="265"/>
              <w:rPr>
                <w:b/>
                <w:sz w:val="14"/>
              </w:rPr>
            </w:pPr>
            <w:r>
              <w:rPr>
                <w:b/>
                <w:spacing w:val="-4"/>
                <w:sz w:val="14"/>
              </w:rPr>
              <w:t>1.08</w:t>
            </w:r>
          </w:p>
        </w:tc>
        <w:tc>
          <w:tcPr>
            <w:tcW w:w="666" w:type="dxa"/>
            <w:tcBorders>
              <w:top w:val="single" w:sz="4" w:space="0" w:color="000000"/>
              <w:bottom w:val="single" w:sz="12" w:space="0" w:color="000000"/>
            </w:tcBorders>
          </w:tcPr>
          <w:p>
            <w:pPr>
              <w:pStyle w:val="TableParagraph"/>
              <w:spacing w:before="27"/>
              <w:ind w:right="195"/>
              <w:rPr>
                <w:b/>
                <w:sz w:val="14"/>
              </w:rPr>
            </w:pPr>
            <w:r>
              <w:rPr>
                <w:b/>
                <w:w w:val="99"/>
                <w:sz w:val="14"/>
              </w:rPr>
              <w:t>-</w:t>
            </w:r>
          </w:p>
        </w:tc>
        <w:tc>
          <w:tcPr>
            <w:tcW w:w="466" w:type="dxa"/>
            <w:tcBorders>
              <w:top w:val="single" w:sz="4" w:space="0" w:color="000000"/>
              <w:bottom w:val="single" w:sz="12" w:space="0" w:color="000000"/>
            </w:tcBorders>
          </w:tcPr>
          <w:p>
            <w:pPr>
              <w:pStyle w:val="TableParagraph"/>
              <w:spacing w:before="27"/>
              <w:ind w:right="65"/>
              <w:rPr>
                <w:b/>
                <w:sz w:val="14"/>
              </w:rPr>
            </w:pPr>
            <w:r>
              <w:rPr>
                <w:b/>
                <w:w w:val="99"/>
                <w:sz w:val="14"/>
              </w:rPr>
              <w:t>-</w:t>
            </w:r>
          </w:p>
        </w:tc>
        <w:tc>
          <w:tcPr>
            <w:tcW w:w="795" w:type="dxa"/>
            <w:tcBorders>
              <w:top w:val="single" w:sz="4" w:space="0" w:color="000000"/>
              <w:bottom w:val="single" w:sz="12" w:space="0" w:color="000000"/>
            </w:tcBorders>
          </w:tcPr>
          <w:p>
            <w:pPr>
              <w:pStyle w:val="TableParagraph"/>
              <w:spacing w:before="27"/>
              <w:ind w:right="122"/>
              <w:rPr>
                <w:b/>
                <w:i/>
                <w:sz w:val="14"/>
              </w:rPr>
            </w:pPr>
            <w:r>
              <w:rPr>
                <w:b/>
                <w:i/>
                <w:spacing w:val="-4"/>
                <w:sz w:val="14"/>
              </w:rPr>
              <w:t>1.08</w:t>
            </w:r>
          </w:p>
        </w:tc>
        <w:tc>
          <w:tcPr>
            <w:tcW w:w="569" w:type="dxa"/>
            <w:tcBorders>
              <w:top w:val="single" w:sz="4" w:space="0" w:color="000000"/>
              <w:bottom w:val="single" w:sz="12" w:space="0" w:color="000000"/>
            </w:tcBorders>
          </w:tcPr>
          <w:p>
            <w:pPr>
              <w:pStyle w:val="TableParagraph"/>
              <w:spacing w:before="27"/>
              <w:ind w:right="99"/>
              <w:rPr>
                <w:b/>
                <w:sz w:val="14"/>
              </w:rPr>
            </w:pPr>
            <w:r>
              <w:rPr>
                <w:b/>
                <w:w w:val="99"/>
                <w:sz w:val="14"/>
              </w:rPr>
              <w:t>-</w:t>
            </w:r>
          </w:p>
        </w:tc>
        <w:tc>
          <w:tcPr>
            <w:tcW w:w="578" w:type="dxa"/>
            <w:tcBorders>
              <w:top w:val="single" w:sz="4" w:space="0" w:color="000000"/>
              <w:bottom w:val="single" w:sz="12" w:space="0" w:color="000000"/>
            </w:tcBorders>
          </w:tcPr>
          <w:p>
            <w:pPr>
              <w:pStyle w:val="TableParagraph"/>
              <w:spacing w:before="27"/>
              <w:ind w:right="86"/>
              <w:rPr>
                <w:b/>
                <w:sz w:val="14"/>
              </w:rPr>
            </w:pPr>
            <w:r>
              <w:rPr>
                <w:b/>
                <w:w w:val="99"/>
                <w:sz w:val="14"/>
              </w:rPr>
              <w:t>-</w:t>
            </w:r>
          </w:p>
        </w:tc>
        <w:tc>
          <w:tcPr>
            <w:tcW w:w="563" w:type="dxa"/>
            <w:tcBorders>
              <w:top w:val="single" w:sz="4" w:space="0" w:color="000000"/>
              <w:bottom w:val="single" w:sz="12" w:space="0" w:color="000000"/>
            </w:tcBorders>
          </w:tcPr>
          <w:p>
            <w:pPr>
              <w:pStyle w:val="TableParagraph"/>
              <w:spacing w:before="27"/>
              <w:ind w:right="59"/>
              <w:rPr>
                <w:b/>
                <w:sz w:val="14"/>
              </w:rPr>
            </w:pPr>
            <w:r>
              <w:rPr>
                <w:b/>
                <w:w w:val="99"/>
                <w:sz w:val="14"/>
              </w:rPr>
              <w:t>-</w:t>
            </w:r>
          </w:p>
        </w:tc>
        <w:tc>
          <w:tcPr>
            <w:tcW w:w="821" w:type="dxa"/>
            <w:tcBorders>
              <w:top w:val="single" w:sz="4" w:space="0" w:color="000000"/>
              <w:bottom w:val="single" w:sz="12" w:space="0" w:color="000000"/>
            </w:tcBorders>
          </w:tcPr>
          <w:p>
            <w:pPr>
              <w:pStyle w:val="TableParagraph"/>
              <w:spacing w:before="27"/>
              <w:ind w:right="140"/>
              <w:rPr>
                <w:b/>
                <w:i/>
                <w:sz w:val="14"/>
              </w:rPr>
            </w:pPr>
            <w:r>
              <w:rPr>
                <w:b/>
                <w:i/>
                <w:w w:val="99"/>
                <w:sz w:val="14"/>
              </w:rPr>
              <w:t>-</w:t>
            </w:r>
          </w:p>
        </w:tc>
        <w:tc>
          <w:tcPr>
            <w:tcW w:w="520" w:type="dxa"/>
            <w:tcBorders>
              <w:top w:val="single" w:sz="4" w:space="0" w:color="000000"/>
              <w:bottom w:val="single" w:sz="12" w:space="0" w:color="000000"/>
            </w:tcBorders>
          </w:tcPr>
          <w:p>
            <w:pPr>
              <w:pStyle w:val="TableParagraph"/>
              <w:spacing w:before="27"/>
              <w:ind w:right="57"/>
              <w:rPr>
                <w:b/>
                <w:sz w:val="14"/>
              </w:rPr>
            </w:pPr>
            <w:r>
              <w:rPr>
                <w:b/>
                <w:spacing w:val="-4"/>
                <w:sz w:val="14"/>
              </w:rPr>
              <w:t>1.08</w:t>
            </w:r>
          </w:p>
        </w:tc>
      </w:tr>
    </w:tbl>
    <w:p>
      <w:pPr>
        <w:spacing w:after="0"/>
        <w:rPr>
          <w:sz w:val="14"/>
        </w:rPr>
        <w:sectPr>
          <w:headerReference w:type="even" r:id="rId115"/>
          <w:headerReference w:type="default" r:id="rId116"/>
          <w:footerReference w:type="even" r:id="rId117"/>
          <w:footerReference w:type="default" r:id="rId118"/>
          <w:pgSz w:w="11910" w:h="16840"/>
          <w:pgMar w:header="957" w:footer="940" w:top="1140" w:bottom="1140" w:left="20" w:right="20"/>
          <w:pgNumType w:start="162"/>
        </w:sectPr>
      </w:pPr>
    </w:p>
    <w:p>
      <w:pPr>
        <w:pStyle w:val="Heading2"/>
        <w:numPr>
          <w:ilvl w:val="1"/>
          <w:numId w:val="3"/>
        </w:numPr>
        <w:tabs>
          <w:tab w:pos="2246" w:val="left" w:leader="none"/>
          <w:tab w:pos="2247" w:val="left" w:leader="none"/>
        </w:tabs>
        <w:spacing w:line="240" w:lineRule="auto" w:before="126" w:after="0"/>
        <w:ind w:left="2246" w:right="0" w:hanging="568"/>
        <w:jc w:val="left"/>
      </w:pPr>
      <w:bookmarkStart w:name="_bookmark51" w:id="52"/>
      <w:bookmarkEnd w:id="52"/>
      <w:r>
        <w:rPr/>
        <w:t>M</w:t>
      </w:r>
      <w:r>
        <w:rPr/>
        <w:t>ajor</w:t>
      </w:r>
      <w:r>
        <w:rPr>
          <w:spacing w:val="-1"/>
        </w:rPr>
        <w:t> </w:t>
      </w:r>
      <w:r>
        <w:rPr/>
        <w:t>Programme</w:t>
      </w:r>
      <w:r>
        <w:rPr>
          <w:spacing w:val="-5"/>
        </w:rPr>
        <w:t> </w:t>
      </w:r>
      <w:r>
        <w:rPr/>
        <w:t>V:</w:t>
      </w:r>
      <w:r>
        <w:rPr>
          <w:spacing w:val="-3"/>
        </w:rPr>
        <w:t> </w:t>
      </w:r>
      <w:r>
        <w:rPr/>
        <w:t>Premises</w:t>
      </w:r>
      <w:r>
        <w:rPr>
          <w:spacing w:val="-1"/>
        </w:rPr>
        <w:t> </w:t>
      </w:r>
      <w:r>
        <w:rPr/>
        <w:t>of</w:t>
      </w:r>
      <w:r>
        <w:rPr>
          <w:spacing w:val="-2"/>
        </w:rPr>
        <w:t> </w:t>
      </w:r>
      <w:r>
        <w:rPr/>
        <w:t>the </w:t>
      </w:r>
      <w:r>
        <w:rPr>
          <w:spacing w:val="-2"/>
        </w:rPr>
        <w:t>Court</w:t>
      </w:r>
    </w:p>
    <w:p>
      <w:pPr>
        <w:pStyle w:val="BodyText"/>
        <w:spacing w:before="6"/>
        <w:rPr>
          <w:b/>
        </w:rPr>
      </w:pPr>
    </w:p>
    <w:p>
      <w:pPr>
        <w:pStyle w:val="Heading3"/>
        <w:spacing w:before="1"/>
      </w:pPr>
      <w:r>
        <w:rPr>
          <w:spacing w:val="-2"/>
        </w:rPr>
        <w:t>Introduction</w:t>
      </w:r>
    </w:p>
    <w:p>
      <w:pPr>
        <w:pStyle w:val="BodyText"/>
        <w:spacing w:before="10"/>
        <w:rPr>
          <w:b/>
        </w:rPr>
      </w:pPr>
    </w:p>
    <w:p>
      <w:pPr>
        <w:pStyle w:val="ListParagraph"/>
        <w:numPr>
          <w:ilvl w:val="0"/>
          <w:numId w:val="4"/>
        </w:numPr>
        <w:tabs>
          <w:tab w:pos="2967" w:val="left" w:leader="none"/>
        </w:tabs>
        <w:spacing w:line="240" w:lineRule="auto" w:before="0" w:after="0"/>
        <w:ind w:left="2246" w:right="2245" w:firstLine="0"/>
        <w:jc w:val="both"/>
        <w:rPr>
          <w:sz w:val="20"/>
        </w:rPr>
      </w:pPr>
      <w:bookmarkStart w:name="_bookmark52" w:id="53"/>
      <w:bookmarkEnd w:id="53"/>
      <w:r>
        <w:rPr>
          <w:sz w:val="20"/>
        </w:rPr>
        <w:t>T</w:t>
      </w:r>
      <w:r>
        <w:rPr>
          <w:sz w:val="20"/>
        </w:rPr>
        <w:t>his</w:t>
      </w:r>
      <w:r>
        <w:rPr>
          <w:spacing w:val="-11"/>
          <w:sz w:val="20"/>
        </w:rPr>
        <w:t> </w:t>
      </w:r>
      <w:r>
        <w:rPr>
          <w:sz w:val="20"/>
        </w:rPr>
        <w:t>programme</w:t>
      </w:r>
      <w:r>
        <w:rPr>
          <w:spacing w:val="-8"/>
          <w:sz w:val="20"/>
        </w:rPr>
        <w:t> </w:t>
      </w:r>
      <w:r>
        <w:rPr>
          <w:sz w:val="20"/>
        </w:rPr>
        <w:t>was</w:t>
      </w:r>
      <w:r>
        <w:rPr>
          <w:spacing w:val="-11"/>
          <w:sz w:val="20"/>
        </w:rPr>
        <w:t> </w:t>
      </w:r>
      <w:r>
        <w:rPr>
          <w:sz w:val="20"/>
        </w:rPr>
        <w:t>established</w:t>
      </w:r>
      <w:r>
        <w:rPr>
          <w:spacing w:val="-13"/>
          <w:sz w:val="20"/>
        </w:rPr>
        <w:t> </w:t>
      </w:r>
      <w:r>
        <w:rPr>
          <w:sz w:val="20"/>
        </w:rPr>
        <w:t>to</w:t>
      </w:r>
      <w:r>
        <w:rPr>
          <w:spacing w:val="-8"/>
          <w:sz w:val="20"/>
        </w:rPr>
        <w:t> </w:t>
      </w:r>
      <w:r>
        <w:rPr>
          <w:sz w:val="20"/>
        </w:rPr>
        <w:t>provide</w:t>
      </w:r>
      <w:r>
        <w:rPr>
          <w:spacing w:val="-8"/>
          <w:sz w:val="20"/>
        </w:rPr>
        <w:t> </w:t>
      </w:r>
      <w:r>
        <w:rPr>
          <w:sz w:val="20"/>
        </w:rPr>
        <w:t>for</w:t>
      </w:r>
      <w:r>
        <w:rPr>
          <w:spacing w:val="-9"/>
          <w:sz w:val="20"/>
        </w:rPr>
        <w:t> </w:t>
      </w:r>
      <w:r>
        <w:rPr>
          <w:sz w:val="20"/>
        </w:rPr>
        <w:t>the</w:t>
      </w:r>
      <w:r>
        <w:rPr>
          <w:spacing w:val="-11"/>
          <w:sz w:val="20"/>
        </w:rPr>
        <w:t> </w:t>
      </w:r>
      <w:r>
        <w:rPr>
          <w:sz w:val="20"/>
        </w:rPr>
        <w:t>maintenance</w:t>
      </w:r>
      <w:r>
        <w:rPr>
          <w:spacing w:val="-8"/>
          <w:sz w:val="20"/>
        </w:rPr>
        <w:t> </w:t>
      </w:r>
      <w:r>
        <w:rPr>
          <w:sz w:val="20"/>
        </w:rPr>
        <w:t>of</w:t>
      </w:r>
      <w:r>
        <w:rPr>
          <w:spacing w:val="-9"/>
          <w:sz w:val="20"/>
        </w:rPr>
        <w:t> </w:t>
      </w:r>
      <w:r>
        <w:rPr>
          <w:sz w:val="20"/>
        </w:rPr>
        <w:t>the</w:t>
      </w:r>
      <w:r>
        <w:rPr>
          <w:spacing w:val="-8"/>
          <w:sz w:val="20"/>
        </w:rPr>
        <w:t> </w:t>
      </w:r>
      <w:r>
        <w:rPr>
          <w:sz w:val="20"/>
        </w:rPr>
        <w:t>headquarters of the Court in The Hague. Preventive and corrective maintenance and the capital replacement programme are outsourced to a main contractor.</w:t>
      </w:r>
    </w:p>
    <w:p>
      <w:pPr>
        <w:pStyle w:val="BodyText"/>
        <w:rPr>
          <w:sz w:val="21"/>
        </w:rPr>
      </w:pPr>
    </w:p>
    <w:p>
      <w:pPr>
        <w:pStyle w:val="Heading3"/>
        <w:tabs>
          <w:tab w:pos="8076" w:val="left" w:leader="none"/>
        </w:tabs>
        <w:jc w:val="both"/>
      </w:pPr>
      <w:r>
        <w:rPr/>
        <w:t>Budget</w:t>
      </w:r>
      <w:r>
        <w:rPr>
          <w:spacing w:val="-6"/>
        </w:rPr>
        <w:t> </w:t>
      </w:r>
      <w:r>
        <w:rPr>
          <w:spacing w:val="-2"/>
        </w:rPr>
        <w:t>resources</w:t>
      </w:r>
      <w:r>
        <w:rPr/>
        <w:tab/>
        <w:t>€2,537.0</w:t>
      </w:r>
      <w:r>
        <w:rPr>
          <w:spacing w:val="-6"/>
        </w:rPr>
        <w:t> </w:t>
      </w:r>
      <w:r>
        <w:rPr>
          <w:spacing w:val="-2"/>
        </w:rPr>
        <w:t>thousand</w:t>
      </w:r>
    </w:p>
    <w:p>
      <w:pPr>
        <w:pStyle w:val="BodyText"/>
        <w:spacing w:before="6"/>
        <w:rPr>
          <w:b/>
        </w:rPr>
      </w:pPr>
    </w:p>
    <w:p>
      <w:pPr>
        <w:pStyle w:val="ListParagraph"/>
        <w:numPr>
          <w:ilvl w:val="0"/>
          <w:numId w:val="4"/>
        </w:numPr>
        <w:tabs>
          <w:tab w:pos="2967" w:val="left" w:leader="none"/>
        </w:tabs>
        <w:spacing w:line="240" w:lineRule="auto" w:before="0" w:after="0"/>
        <w:ind w:left="2246" w:right="2244" w:firstLine="0"/>
        <w:jc w:val="both"/>
        <w:rPr>
          <w:sz w:val="20"/>
        </w:rPr>
      </w:pPr>
      <w:r>
        <w:rPr>
          <w:sz w:val="20"/>
        </w:rPr>
        <w:t>In</w:t>
      </w:r>
      <w:r>
        <w:rPr>
          <w:spacing w:val="-1"/>
          <w:sz w:val="20"/>
        </w:rPr>
        <w:t> </w:t>
      </w:r>
      <w:r>
        <w:rPr>
          <w:sz w:val="20"/>
        </w:rPr>
        <w:t>its</w:t>
      </w:r>
      <w:r>
        <w:rPr>
          <w:spacing w:val="-2"/>
          <w:sz w:val="20"/>
        </w:rPr>
        <w:t> </w:t>
      </w:r>
      <w:r>
        <w:rPr>
          <w:sz w:val="20"/>
        </w:rPr>
        <w:t>report</w:t>
      </w:r>
      <w:r>
        <w:rPr>
          <w:spacing w:val="-4"/>
          <w:sz w:val="20"/>
        </w:rPr>
        <w:t> </w:t>
      </w:r>
      <w:r>
        <w:rPr>
          <w:sz w:val="20"/>
        </w:rPr>
        <w:t>on</w:t>
      </w:r>
      <w:r>
        <w:rPr>
          <w:spacing w:val="-6"/>
          <w:sz w:val="20"/>
        </w:rPr>
        <w:t> </w:t>
      </w:r>
      <w:r>
        <w:rPr>
          <w:sz w:val="20"/>
        </w:rPr>
        <w:t>capital</w:t>
      </w:r>
      <w:r>
        <w:rPr>
          <w:spacing w:val="-4"/>
          <w:sz w:val="20"/>
        </w:rPr>
        <w:t> </w:t>
      </w:r>
      <w:r>
        <w:rPr>
          <w:sz w:val="20"/>
        </w:rPr>
        <w:t>replacements</w:t>
      </w:r>
      <w:r>
        <w:rPr>
          <w:spacing w:val="-2"/>
          <w:sz w:val="20"/>
        </w:rPr>
        <w:t> </w:t>
      </w:r>
      <w:r>
        <w:rPr>
          <w:sz w:val="20"/>
        </w:rPr>
        <w:t>to</w:t>
      </w:r>
      <w:r>
        <w:rPr>
          <w:spacing w:val="-6"/>
          <w:sz w:val="20"/>
        </w:rPr>
        <w:t> </w:t>
      </w:r>
      <w:r>
        <w:rPr>
          <w:sz w:val="20"/>
        </w:rPr>
        <w:t>the</w:t>
      </w:r>
      <w:r>
        <w:rPr>
          <w:spacing w:val="-4"/>
          <w:sz w:val="20"/>
        </w:rPr>
        <w:t> </w:t>
      </w:r>
      <w:r>
        <w:rPr>
          <w:sz w:val="20"/>
        </w:rPr>
        <w:t>Committee</w:t>
      </w:r>
      <w:r>
        <w:rPr>
          <w:spacing w:val="-4"/>
          <w:sz w:val="20"/>
        </w:rPr>
        <w:t> </w:t>
      </w:r>
      <w:r>
        <w:rPr>
          <w:sz w:val="20"/>
        </w:rPr>
        <w:t>at</w:t>
      </w:r>
      <w:r>
        <w:rPr>
          <w:spacing w:val="-4"/>
          <w:sz w:val="20"/>
        </w:rPr>
        <w:t> </w:t>
      </w:r>
      <w:r>
        <w:rPr>
          <w:sz w:val="20"/>
        </w:rPr>
        <w:t>its</w:t>
      </w:r>
      <w:r>
        <w:rPr>
          <w:spacing w:val="-7"/>
          <w:sz w:val="20"/>
        </w:rPr>
        <w:t> </w:t>
      </w:r>
      <w:r>
        <w:rPr>
          <w:sz w:val="20"/>
        </w:rPr>
        <w:t>thirty-fourth</w:t>
      </w:r>
      <w:r>
        <w:rPr>
          <w:spacing w:val="-1"/>
          <w:sz w:val="20"/>
        </w:rPr>
        <w:t> </w:t>
      </w:r>
      <w:r>
        <w:rPr>
          <w:sz w:val="20"/>
        </w:rPr>
        <w:t>session,</w:t>
      </w:r>
      <w:r>
        <w:rPr>
          <w:sz w:val="20"/>
          <w:vertAlign w:val="superscript"/>
        </w:rPr>
        <w:t>136</w:t>
      </w:r>
      <w:r>
        <w:rPr>
          <w:sz w:val="20"/>
          <w:vertAlign w:val="baseline"/>
        </w:rPr>
        <w:t> the</w:t>
      </w:r>
      <w:r>
        <w:rPr>
          <w:spacing w:val="-13"/>
          <w:sz w:val="20"/>
          <w:vertAlign w:val="baseline"/>
        </w:rPr>
        <w:t> </w:t>
      </w:r>
      <w:r>
        <w:rPr>
          <w:sz w:val="20"/>
          <w:vertAlign w:val="baseline"/>
        </w:rPr>
        <w:t>Court</w:t>
      </w:r>
      <w:r>
        <w:rPr>
          <w:spacing w:val="-12"/>
          <w:sz w:val="20"/>
          <w:vertAlign w:val="baseline"/>
        </w:rPr>
        <w:t> </w:t>
      </w:r>
      <w:r>
        <w:rPr>
          <w:sz w:val="20"/>
          <w:vertAlign w:val="baseline"/>
        </w:rPr>
        <w:t>detailed</w:t>
      </w:r>
      <w:r>
        <w:rPr>
          <w:spacing w:val="-13"/>
          <w:sz w:val="20"/>
          <w:vertAlign w:val="baseline"/>
        </w:rPr>
        <w:t> </w:t>
      </w:r>
      <w:r>
        <w:rPr>
          <w:sz w:val="20"/>
          <w:vertAlign w:val="baseline"/>
        </w:rPr>
        <w:t>a</w:t>
      </w:r>
      <w:r>
        <w:rPr>
          <w:spacing w:val="-12"/>
          <w:sz w:val="20"/>
          <w:vertAlign w:val="baseline"/>
        </w:rPr>
        <w:t> </w:t>
      </w:r>
      <w:r>
        <w:rPr>
          <w:sz w:val="20"/>
          <w:vertAlign w:val="baseline"/>
        </w:rPr>
        <w:t>five-year</w:t>
      </w:r>
      <w:r>
        <w:rPr>
          <w:spacing w:val="-13"/>
          <w:sz w:val="20"/>
          <w:vertAlign w:val="baseline"/>
        </w:rPr>
        <w:t> </w:t>
      </w:r>
      <w:r>
        <w:rPr>
          <w:sz w:val="20"/>
          <w:vertAlign w:val="baseline"/>
        </w:rPr>
        <w:t>plan</w:t>
      </w:r>
      <w:r>
        <w:rPr>
          <w:spacing w:val="-12"/>
          <w:sz w:val="20"/>
          <w:vertAlign w:val="baseline"/>
        </w:rPr>
        <w:t> </w:t>
      </w:r>
      <w:r>
        <w:rPr>
          <w:sz w:val="20"/>
          <w:vertAlign w:val="baseline"/>
        </w:rPr>
        <w:t>for</w:t>
      </w:r>
      <w:r>
        <w:rPr>
          <w:spacing w:val="-13"/>
          <w:sz w:val="20"/>
          <w:vertAlign w:val="baseline"/>
        </w:rPr>
        <w:t> </w:t>
      </w:r>
      <w:r>
        <w:rPr>
          <w:sz w:val="20"/>
          <w:vertAlign w:val="baseline"/>
        </w:rPr>
        <w:t>capital</w:t>
      </w:r>
      <w:r>
        <w:rPr>
          <w:spacing w:val="-12"/>
          <w:sz w:val="20"/>
          <w:vertAlign w:val="baseline"/>
        </w:rPr>
        <w:t> </w:t>
      </w:r>
      <w:r>
        <w:rPr>
          <w:sz w:val="20"/>
          <w:vertAlign w:val="baseline"/>
        </w:rPr>
        <w:t>replacements.</w:t>
      </w:r>
      <w:r>
        <w:rPr>
          <w:spacing w:val="-10"/>
          <w:sz w:val="20"/>
          <w:vertAlign w:val="baseline"/>
        </w:rPr>
        <w:t> </w:t>
      </w:r>
      <w:r>
        <w:rPr>
          <w:sz w:val="20"/>
          <w:vertAlign w:val="baseline"/>
        </w:rPr>
        <w:t>However,</w:t>
      </w:r>
      <w:r>
        <w:rPr>
          <w:spacing w:val="-12"/>
          <w:sz w:val="20"/>
          <w:vertAlign w:val="baseline"/>
        </w:rPr>
        <w:t> </w:t>
      </w:r>
      <w:r>
        <w:rPr>
          <w:sz w:val="20"/>
          <w:vertAlign w:val="baseline"/>
        </w:rPr>
        <w:t>the</w:t>
      </w:r>
      <w:r>
        <w:rPr>
          <w:spacing w:val="-12"/>
          <w:sz w:val="20"/>
          <w:vertAlign w:val="baseline"/>
        </w:rPr>
        <w:t> </w:t>
      </w:r>
      <w:r>
        <w:rPr>
          <w:sz w:val="20"/>
          <w:vertAlign w:val="baseline"/>
        </w:rPr>
        <w:t>amounts</w:t>
      </w:r>
      <w:r>
        <w:rPr>
          <w:spacing w:val="-13"/>
          <w:sz w:val="20"/>
          <w:vertAlign w:val="baseline"/>
        </w:rPr>
        <w:t> </w:t>
      </w:r>
      <w:r>
        <w:rPr>
          <w:sz w:val="20"/>
          <w:vertAlign w:val="baseline"/>
        </w:rPr>
        <w:t>associated with this plan for the 2021 and 2022 programme budgets have been reduced to avoid exceeding the approved level of resources of the 2020 budget for Major Programme V.</w:t>
      </w:r>
    </w:p>
    <w:p>
      <w:pPr>
        <w:pStyle w:val="ListParagraph"/>
        <w:numPr>
          <w:ilvl w:val="0"/>
          <w:numId w:val="4"/>
        </w:numPr>
        <w:tabs>
          <w:tab w:pos="2967" w:val="left" w:leader="none"/>
        </w:tabs>
        <w:spacing w:line="240" w:lineRule="auto" w:before="122" w:after="0"/>
        <w:ind w:left="2246" w:right="2238" w:firstLine="0"/>
        <w:jc w:val="both"/>
        <w:rPr>
          <w:sz w:val="20"/>
        </w:rPr>
      </w:pPr>
      <w:r>
        <w:rPr>
          <w:sz w:val="20"/>
        </w:rPr>
        <w:t>Because the budget envelope for Major Programme V has remained unchanged since 2020, the actual price index increase in the facility management industry in the Netherlands since that year has been absorbed and the resources available for capital replacements have further decreased. In its report to the Committee at its thirty-seventh session,</w:t>
      </w:r>
      <w:r>
        <w:rPr>
          <w:sz w:val="20"/>
          <w:vertAlign w:val="superscript"/>
        </w:rPr>
        <w:t>137</w:t>
      </w:r>
      <w:r>
        <w:rPr>
          <w:sz w:val="20"/>
          <w:vertAlign w:val="baseline"/>
        </w:rPr>
        <w:t> the Court informed it that, owing to budgetary constraints, the methodology originally</w:t>
      </w:r>
      <w:r>
        <w:rPr>
          <w:spacing w:val="-4"/>
          <w:sz w:val="20"/>
          <w:vertAlign w:val="baseline"/>
        </w:rPr>
        <w:t> </w:t>
      </w:r>
      <w:r>
        <w:rPr>
          <w:sz w:val="20"/>
          <w:vertAlign w:val="baseline"/>
        </w:rPr>
        <w:t>adopted</w:t>
      </w:r>
      <w:r>
        <w:rPr>
          <w:spacing w:val="-4"/>
          <w:sz w:val="20"/>
          <w:vertAlign w:val="baseline"/>
        </w:rPr>
        <w:t> </w:t>
      </w:r>
      <w:r>
        <w:rPr>
          <w:sz w:val="20"/>
          <w:vertAlign w:val="baseline"/>
        </w:rPr>
        <w:t>by</w:t>
      </w:r>
      <w:r>
        <w:rPr>
          <w:spacing w:val="-8"/>
          <w:sz w:val="20"/>
          <w:vertAlign w:val="baseline"/>
        </w:rPr>
        <w:t> </w:t>
      </w:r>
      <w:r>
        <w:rPr>
          <w:sz w:val="20"/>
          <w:vertAlign w:val="baseline"/>
        </w:rPr>
        <w:t>the</w:t>
      </w:r>
      <w:r>
        <w:rPr>
          <w:spacing w:val="-2"/>
          <w:sz w:val="20"/>
          <w:vertAlign w:val="baseline"/>
        </w:rPr>
        <w:t> </w:t>
      </w:r>
      <w:r>
        <w:rPr>
          <w:sz w:val="20"/>
          <w:vertAlign w:val="baseline"/>
        </w:rPr>
        <w:t>Court</w:t>
      </w:r>
      <w:r>
        <w:rPr>
          <w:spacing w:val="-2"/>
          <w:sz w:val="20"/>
          <w:vertAlign w:val="baseline"/>
        </w:rPr>
        <w:t> </w:t>
      </w:r>
      <w:r>
        <w:rPr>
          <w:sz w:val="20"/>
          <w:vertAlign w:val="baseline"/>
        </w:rPr>
        <w:t>to</w:t>
      </w:r>
      <w:r>
        <w:rPr>
          <w:spacing w:val="-4"/>
          <w:sz w:val="20"/>
          <w:vertAlign w:val="baseline"/>
        </w:rPr>
        <w:t> </w:t>
      </w:r>
      <w:r>
        <w:rPr>
          <w:sz w:val="20"/>
          <w:vertAlign w:val="baseline"/>
        </w:rPr>
        <w:t>estimate</w:t>
      </w:r>
      <w:r>
        <w:rPr>
          <w:spacing w:val="-2"/>
          <w:sz w:val="20"/>
          <w:vertAlign w:val="baseline"/>
        </w:rPr>
        <w:t> </w:t>
      </w:r>
      <w:r>
        <w:rPr>
          <w:sz w:val="20"/>
          <w:vertAlign w:val="baseline"/>
        </w:rPr>
        <w:t>medium-</w:t>
      </w:r>
      <w:r>
        <w:rPr>
          <w:spacing w:val="-8"/>
          <w:sz w:val="20"/>
          <w:vertAlign w:val="baseline"/>
        </w:rPr>
        <w:t> </w:t>
      </w:r>
      <w:r>
        <w:rPr>
          <w:sz w:val="20"/>
          <w:vertAlign w:val="baseline"/>
        </w:rPr>
        <w:t>and</w:t>
      </w:r>
      <w:r>
        <w:rPr>
          <w:spacing w:val="-4"/>
          <w:sz w:val="20"/>
          <w:vertAlign w:val="baseline"/>
        </w:rPr>
        <w:t> </w:t>
      </w:r>
      <w:r>
        <w:rPr>
          <w:sz w:val="20"/>
          <w:vertAlign w:val="baseline"/>
        </w:rPr>
        <w:t>long-term</w:t>
      </w:r>
      <w:r>
        <w:rPr>
          <w:spacing w:val="-2"/>
          <w:sz w:val="20"/>
          <w:vertAlign w:val="baseline"/>
        </w:rPr>
        <w:t> </w:t>
      </w:r>
      <w:r>
        <w:rPr>
          <w:sz w:val="20"/>
          <w:vertAlign w:val="baseline"/>
        </w:rPr>
        <w:t>capital</w:t>
      </w:r>
      <w:r>
        <w:rPr>
          <w:spacing w:val="-2"/>
          <w:sz w:val="20"/>
          <w:vertAlign w:val="baseline"/>
        </w:rPr>
        <w:t> </w:t>
      </w:r>
      <w:r>
        <w:rPr>
          <w:sz w:val="20"/>
          <w:vertAlign w:val="baseline"/>
        </w:rPr>
        <w:t>replacements</w:t>
      </w:r>
      <w:r>
        <w:rPr>
          <w:spacing w:val="-5"/>
          <w:sz w:val="20"/>
          <w:vertAlign w:val="baseline"/>
        </w:rPr>
        <w:t> </w:t>
      </w:r>
      <w:r>
        <w:rPr>
          <w:sz w:val="20"/>
          <w:vertAlign w:val="baseline"/>
        </w:rPr>
        <w:t>has shifted from following industry standards and manufacturers’ instructions to replacing only those vulnerable elements that have already broken down or show signs of imminent </w:t>
      </w:r>
      <w:r>
        <w:rPr>
          <w:spacing w:val="-2"/>
          <w:sz w:val="20"/>
          <w:vertAlign w:val="baseline"/>
        </w:rPr>
        <w:t>breakdown.</w:t>
      </w:r>
    </w:p>
    <w:p>
      <w:pPr>
        <w:pStyle w:val="BodyText"/>
        <w:spacing w:before="10"/>
      </w:pPr>
    </w:p>
    <w:p>
      <w:pPr>
        <w:tabs>
          <w:tab w:pos="8383" w:val="left" w:leader="none"/>
        </w:tabs>
        <w:spacing w:before="0"/>
        <w:ind w:left="2246" w:right="0" w:firstLine="0"/>
        <w:jc w:val="both"/>
        <w:rPr>
          <w:i/>
          <w:sz w:val="20"/>
        </w:rPr>
      </w:pPr>
      <w:r>
        <w:rPr>
          <w:i/>
          <w:spacing w:val="-2"/>
          <w:sz w:val="20"/>
        </w:rPr>
        <w:t>Consultants</w:t>
      </w:r>
      <w:r>
        <w:rPr>
          <w:i/>
          <w:sz w:val="20"/>
        </w:rPr>
        <w:tab/>
        <w:t>€40.0</w:t>
      </w:r>
      <w:r>
        <w:rPr>
          <w:i/>
          <w:spacing w:val="-3"/>
          <w:sz w:val="20"/>
        </w:rPr>
        <w:t> </w:t>
      </w:r>
      <w:r>
        <w:rPr>
          <w:i/>
          <w:spacing w:val="-2"/>
          <w:sz w:val="20"/>
        </w:rPr>
        <w:t>thousand</w:t>
      </w:r>
    </w:p>
    <w:p>
      <w:pPr>
        <w:pStyle w:val="BodyText"/>
        <w:spacing w:before="10"/>
        <w:rPr>
          <w:i/>
        </w:rPr>
      </w:pPr>
    </w:p>
    <w:p>
      <w:pPr>
        <w:pStyle w:val="ListParagraph"/>
        <w:numPr>
          <w:ilvl w:val="0"/>
          <w:numId w:val="4"/>
        </w:numPr>
        <w:tabs>
          <w:tab w:pos="2967" w:val="left" w:leader="none"/>
        </w:tabs>
        <w:spacing w:line="240" w:lineRule="auto" w:before="0" w:after="0"/>
        <w:ind w:left="2246" w:right="2243" w:firstLine="0"/>
        <w:jc w:val="both"/>
        <w:rPr>
          <w:sz w:val="20"/>
        </w:rPr>
      </w:pPr>
      <w:r>
        <w:rPr>
          <w:sz w:val="20"/>
        </w:rPr>
        <w:t>In</w:t>
      </w:r>
      <w:r>
        <w:rPr>
          <w:spacing w:val="-12"/>
          <w:sz w:val="20"/>
        </w:rPr>
        <w:t> </w:t>
      </w:r>
      <w:r>
        <w:rPr>
          <w:sz w:val="20"/>
        </w:rPr>
        <w:t>accordance</w:t>
      </w:r>
      <w:r>
        <w:rPr>
          <w:spacing w:val="-7"/>
          <w:sz w:val="20"/>
        </w:rPr>
        <w:t> </w:t>
      </w:r>
      <w:r>
        <w:rPr>
          <w:sz w:val="20"/>
        </w:rPr>
        <w:t>with</w:t>
      </w:r>
      <w:r>
        <w:rPr>
          <w:spacing w:val="-9"/>
          <w:sz w:val="20"/>
        </w:rPr>
        <w:t> </w:t>
      </w:r>
      <w:r>
        <w:rPr>
          <w:sz w:val="20"/>
        </w:rPr>
        <w:t>one</w:t>
      </w:r>
      <w:r>
        <w:rPr>
          <w:spacing w:val="-8"/>
          <w:sz w:val="20"/>
        </w:rPr>
        <w:t> </w:t>
      </w:r>
      <w:r>
        <w:rPr>
          <w:sz w:val="20"/>
        </w:rPr>
        <w:t>of</w:t>
      </w:r>
      <w:r>
        <w:rPr>
          <w:spacing w:val="-9"/>
          <w:sz w:val="20"/>
        </w:rPr>
        <w:t> </w:t>
      </w:r>
      <w:r>
        <w:rPr>
          <w:sz w:val="20"/>
        </w:rPr>
        <w:t>the</w:t>
      </w:r>
      <w:r>
        <w:rPr>
          <w:spacing w:val="-8"/>
          <w:sz w:val="20"/>
        </w:rPr>
        <w:t> </w:t>
      </w:r>
      <w:r>
        <w:rPr>
          <w:sz w:val="20"/>
        </w:rPr>
        <w:t>first</w:t>
      </w:r>
      <w:r>
        <w:rPr>
          <w:spacing w:val="-6"/>
          <w:sz w:val="20"/>
        </w:rPr>
        <w:t> </w:t>
      </w:r>
      <w:r>
        <w:rPr>
          <w:sz w:val="20"/>
        </w:rPr>
        <w:t>outcomes</w:t>
      </w:r>
      <w:r>
        <w:rPr>
          <w:spacing w:val="-11"/>
          <w:sz w:val="20"/>
        </w:rPr>
        <w:t> </w:t>
      </w:r>
      <w:r>
        <w:rPr>
          <w:sz w:val="20"/>
        </w:rPr>
        <w:t>of</w:t>
      </w:r>
      <w:r>
        <w:rPr>
          <w:spacing w:val="-9"/>
          <w:sz w:val="20"/>
        </w:rPr>
        <w:t> </w:t>
      </w:r>
      <w:r>
        <w:rPr>
          <w:sz w:val="20"/>
        </w:rPr>
        <w:t>consultations</w:t>
      </w:r>
      <w:r>
        <w:rPr>
          <w:spacing w:val="-13"/>
          <w:sz w:val="20"/>
        </w:rPr>
        <w:t> </w:t>
      </w:r>
      <w:r>
        <w:rPr>
          <w:sz w:val="20"/>
        </w:rPr>
        <w:t>between</w:t>
      </w:r>
      <w:r>
        <w:rPr>
          <w:spacing w:val="-12"/>
          <w:sz w:val="20"/>
        </w:rPr>
        <w:t> </w:t>
      </w:r>
      <w:r>
        <w:rPr>
          <w:sz w:val="20"/>
        </w:rPr>
        <w:t>the</w:t>
      </w:r>
      <w:r>
        <w:rPr>
          <w:spacing w:val="-8"/>
          <w:sz w:val="20"/>
        </w:rPr>
        <w:t> </w:t>
      </w:r>
      <w:r>
        <w:rPr>
          <w:sz w:val="20"/>
        </w:rPr>
        <w:t>Court</w:t>
      </w:r>
      <w:r>
        <w:rPr>
          <w:spacing w:val="-13"/>
          <w:sz w:val="20"/>
        </w:rPr>
        <w:t> </w:t>
      </w:r>
      <w:r>
        <w:rPr>
          <w:sz w:val="20"/>
        </w:rPr>
        <w:t>and the</w:t>
      </w:r>
      <w:r>
        <w:rPr>
          <w:spacing w:val="-2"/>
          <w:sz w:val="20"/>
        </w:rPr>
        <w:t> </w:t>
      </w:r>
      <w:r>
        <w:rPr>
          <w:sz w:val="20"/>
        </w:rPr>
        <w:t>pro bono</w:t>
      </w:r>
      <w:r>
        <w:rPr>
          <w:spacing w:val="-4"/>
          <w:sz w:val="20"/>
        </w:rPr>
        <w:t> </w:t>
      </w:r>
      <w:r>
        <w:rPr>
          <w:sz w:val="20"/>
        </w:rPr>
        <w:t>expert</w:t>
      </w:r>
      <w:r>
        <w:rPr>
          <w:spacing w:val="-2"/>
          <w:sz w:val="20"/>
        </w:rPr>
        <w:t> </w:t>
      </w:r>
      <w:r>
        <w:rPr>
          <w:sz w:val="20"/>
        </w:rPr>
        <w:t>appointed by the States</w:t>
      </w:r>
      <w:r>
        <w:rPr>
          <w:spacing w:val="-1"/>
          <w:sz w:val="20"/>
        </w:rPr>
        <w:t> </w:t>
      </w:r>
      <w:r>
        <w:rPr>
          <w:sz w:val="20"/>
        </w:rPr>
        <w:t>Parties</w:t>
      </w:r>
      <w:r>
        <w:rPr>
          <w:spacing w:val="-1"/>
          <w:sz w:val="20"/>
        </w:rPr>
        <w:t> </w:t>
      </w:r>
      <w:r>
        <w:rPr>
          <w:sz w:val="20"/>
        </w:rPr>
        <w:t>on</w:t>
      </w:r>
      <w:r>
        <w:rPr>
          <w:spacing w:val="-4"/>
          <w:sz w:val="20"/>
        </w:rPr>
        <w:t> </w:t>
      </w:r>
      <w:r>
        <w:rPr>
          <w:sz w:val="20"/>
        </w:rPr>
        <w:t>matters</w:t>
      </w:r>
      <w:r>
        <w:rPr>
          <w:spacing w:val="-1"/>
          <w:sz w:val="20"/>
        </w:rPr>
        <w:t> </w:t>
      </w:r>
      <w:r>
        <w:rPr>
          <w:sz w:val="20"/>
        </w:rPr>
        <w:t>relating</w:t>
      </w:r>
      <w:r>
        <w:rPr>
          <w:spacing w:val="-4"/>
          <w:sz w:val="20"/>
        </w:rPr>
        <w:t> </w:t>
      </w:r>
      <w:r>
        <w:rPr>
          <w:sz w:val="20"/>
        </w:rPr>
        <w:t>to the</w:t>
      </w:r>
      <w:r>
        <w:rPr>
          <w:spacing w:val="-2"/>
          <w:sz w:val="20"/>
        </w:rPr>
        <w:t> </w:t>
      </w:r>
      <w:r>
        <w:rPr>
          <w:sz w:val="20"/>
        </w:rPr>
        <w:t>Court’s capital replacements</w:t>
      </w:r>
      <w:r>
        <w:rPr>
          <w:spacing w:val="-12"/>
          <w:sz w:val="20"/>
        </w:rPr>
        <w:t> </w:t>
      </w:r>
      <w:r>
        <w:rPr>
          <w:sz w:val="20"/>
        </w:rPr>
        <w:t>programme,</w:t>
      </w:r>
      <w:r>
        <w:rPr>
          <w:spacing w:val="-7"/>
          <w:sz w:val="20"/>
        </w:rPr>
        <w:t> </w:t>
      </w:r>
      <w:r>
        <w:rPr>
          <w:sz w:val="20"/>
        </w:rPr>
        <w:t>the</w:t>
      </w:r>
      <w:r>
        <w:rPr>
          <w:spacing w:val="-8"/>
          <w:sz w:val="20"/>
        </w:rPr>
        <w:t> </w:t>
      </w:r>
      <w:r>
        <w:rPr>
          <w:sz w:val="20"/>
        </w:rPr>
        <w:t>budget</w:t>
      </w:r>
      <w:r>
        <w:rPr>
          <w:spacing w:val="-8"/>
          <w:sz w:val="20"/>
        </w:rPr>
        <w:t> </w:t>
      </w:r>
      <w:r>
        <w:rPr>
          <w:sz w:val="20"/>
        </w:rPr>
        <w:t>proposal</w:t>
      </w:r>
      <w:r>
        <w:rPr>
          <w:spacing w:val="-13"/>
          <w:sz w:val="20"/>
        </w:rPr>
        <w:t> </w:t>
      </w:r>
      <w:r>
        <w:rPr>
          <w:sz w:val="20"/>
        </w:rPr>
        <w:t>also</w:t>
      </w:r>
      <w:r>
        <w:rPr>
          <w:spacing w:val="-12"/>
          <w:sz w:val="20"/>
        </w:rPr>
        <w:t> </w:t>
      </w:r>
      <w:r>
        <w:rPr>
          <w:sz w:val="20"/>
        </w:rPr>
        <w:t>includes</w:t>
      </w:r>
      <w:r>
        <w:rPr>
          <w:spacing w:val="-11"/>
          <w:sz w:val="20"/>
        </w:rPr>
        <w:t> </w:t>
      </w:r>
      <w:r>
        <w:rPr>
          <w:sz w:val="20"/>
        </w:rPr>
        <w:t>an</w:t>
      </w:r>
      <w:r>
        <w:rPr>
          <w:spacing w:val="-9"/>
          <w:sz w:val="20"/>
        </w:rPr>
        <w:t> </w:t>
      </w:r>
      <w:r>
        <w:rPr>
          <w:sz w:val="20"/>
        </w:rPr>
        <w:t>amount</w:t>
      </w:r>
      <w:r>
        <w:rPr>
          <w:spacing w:val="-8"/>
          <w:sz w:val="20"/>
        </w:rPr>
        <w:t> </w:t>
      </w:r>
      <w:r>
        <w:rPr>
          <w:sz w:val="20"/>
        </w:rPr>
        <w:t>of</w:t>
      </w:r>
      <w:r>
        <w:rPr>
          <w:spacing w:val="-9"/>
          <w:sz w:val="20"/>
        </w:rPr>
        <w:t> </w:t>
      </w:r>
      <w:r>
        <w:rPr>
          <w:sz w:val="20"/>
        </w:rPr>
        <w:t>€40.0</w:t>
      </w:r>
      <w:r>
        <w:rPr>
          <w:spacing w:val="-9"/>
          <w:sz w:val="20"/>
        </w:rPr>
        <w:t> </w:t>
      </w:r>
      <w:r>
        <w:rPr>
          <w:sz w:val="20"/>
        </w:rPr>
        <w:t>thousand</w:t>
      </w:r>
      <w:r>
        <w:rPr>
          <w:spacing w:val="-13"/>
          <w:sz w:val="20"/>
        </w:rPr>
        <w:t> </w:t>
      </w:r>
      <w:r>
        <w:rPr>
          <w:sz w:val="20"/>
        </w:rPr>
        <w:t>for an assessment to be undertaken by an external consulting company to re-evaluate the replacement periods of building components in order to establish the final capital replacements budget.</w:t>
      </w:r>
    </w:p>
    <w:p>
      <w:pPr>
        <w:pStyle w:val="BodyText"/>
        <w:spacing w:before="1"/>
        <w:rPr>
          <w:sz w:val="21"/>
        </w:rPr>
      </w:pPr>
    </w:p>
    <w:p>
      <w:pPr>
        <w:tabs>
          <w:tab w:pos="8133" w:val="left" w:leader="none"/>
        </w:tabs>
        <w:spacing w:before="1"/>
        <w:ind w:left="2246" w:right="0" w:firstLine="0"/>
        <w:jc w:val="both"/>
        <w:rPr>
          <w:i/>
          <w:sz w:val="20"/>
        </w:rPr>
      </w:pPr>
      <w:r>
        <w:rPr>
          <w:i/>
          <w:sz w:val="20"/>
        </w:rPr>
        <w:t>General</w:t>
      </w:r>
      <w:r>
        <w:rPr>
          <w:i/>
          <w:spacing w:val="-7"/>
          <w:sz w:val="20"/>
        </w:rPr>
        <w:t> </w:t>
      </w:r>
      <w:r>
        <w:rPr>
          <w:i/>
          <w:sz w:val="20"/>
        </w:rPr>
        <w:t>operating</w:t>
      </w:r>
      <w:r>
        <w:rPr>
          <w:i/>
          <w:spacing w:val="-8"/>
          <w:sz w:val="20"/>
        </w:rPr>
        <w:t> </w:t>
      </w:r>
      <w:r>
        <w:rPr>
          <w:i/>
          <w:spacing w:val="-2"/>
          <w:sz w:val="20"/>
        </w:rPr>
        <w:t>expenses</w:t>
      </w:r>
      <w:r>
        <w:rPr>
          <w:i/>
          <w:sz w:val="20"/>
        </w:rPr>
        <w:tab/>
        <w:t>€2,497.0</w:t>
      </w:r>
      <w:r>
        <w:rPr>
          <w:i/>
          <w:spacing w:val="-5"/>
          <w:sz w:val="20"/>
        </w:rPr>
        <w:t> </w:t>
      </w:r>
      <w:r>
        <w:rPr>
          <w:i/>
          <w:spacing w:val="-2"/>
          <w:sz w:val="20"/>
        </w:rPr>
        <w:t>thousand</w:t>
      </w:r>
    </w:p>
    <w:p>
      <w:pPr>
        <w:pStyle w:val="BodyText"/>
        <w:spacing w:before="10"/>
        <w:rPr>
          <w:i/>
        </w:rPr>
      </w:pPr>
    </w:p>
    <w:p>
      <w:pPr>
        <w:pStyle w:val="ListParagraph"/>
        <w:numPr>
          <w:ilvl w:val="0"/>
          <w:numId w:val="4"/>
        </w:numPr>
        <w:tabs>
          <w:tab w:pos="2967" w:val="left" w:leader="none"/>
        </w:tabs>
        <w:spacing w:line="240" w:lineRule="auto" w:before="0" w:after="0"/>
        <w:ind w:left="2246" w:right="2240" w:firstLine="0"/>
        <w:jc w:val="both"/>
        <w:rPr>
          <w:sz w:val="20"/>
        </w:rPr>
      </w:pPr>
      <w:r>
        <w:rPr>
          <w:sz w:val="20"/>
        </w:rPr>
        <w:t>This proposal is composed of two main elements: (i) preventive and corrective maintenance (recurring) and (ii) planned capital replacements (variable). It includes an estimated increase of 10.0 per cent for inflation in the contract for maintenance and capital replacement as compared with the 2022 programme budget, since continued absorption of the significantly more drastic price increases expected this year is not realistic and would pose</w:t>
      </w:r>
      <w:r>
        <w:rPr>
          <w:spacing w:val="69"/>
          <w:sz w:val="20"/>
        </w:rPr>
        <w:t> </w:t>
      </w:r>
      <w:r>
        <w:rPr>
          <w:sz w:val="20"/>
        </w:rPr>
        <w:t>a</w:t>
      </w:r>
      <w:r>
        <w:rPr>
          <w:spacing w:val="74"/>
          <w:sz w:val="20"/>
        </w:rPr>
        <w:t> </w:t>
      </w:r>
      <w:r>
        <w:rPr>
          <w:sz w:val="20"/>
        </w:rPr>
        <w:t>considerable</w:t>
      </w:r>
      <w:r>
        <w:rPr>
          <w:spacing w:val="69"/>
          <w:sz w:val="20"/>
        </w:rPr>
        <w:t> </w:t>
      </w:r>
      <w:r>
        <w:rPr>
          <w:sz w:val="20"/>
        </w:rPr>
        <w:t>risk</w:t>
      </w:r>
      <w:r>
        <w:rPr>
          <w:spacing w:val="67"/>
          <w:sz w:val="20"/>
        </w:rPr>
        <w:t> </w:t>
      </w:r>
      <w:r>
        <w:rPr>
          <w:sz w:val="20"/>
        </w:rPr>
        <w:t>to</w:t>
      </w:r>
      <w:r>
        <w:rPr>
          <w:spacing w:val="67"/>
          <w:sz w:val="20"/>
        </w:rPr>
        <w:t> </w:t>
      </w:r>
      <w:r>
        <w:rPr>
          <w:sz w:val="20"/>
        </w:rPr>
        <w:t>the</w:t>
      </w:r>
      <w:r>
        <w:rPr>
          <w:spacing w:val="74"/>
          <w:sz w:val="20"/>
        </w:rPr>
        <w:t> </w:t>
      </w:r>
      <w:r>
        <w:rPr>
          <w:sz w:val="20"/>
        </w:rPr>
        <w:t>operability</w:t>
      </w:r>
      <w:r>
        <w:rPr>
          <w:spacing w:val="72"/>
          <w:sz w:val="20"/>
        </w:rPr>
        <w:t> </w:t>
      </w:r>
      <w:r>
        <w:rPr>
          <w:sz w:val="20"/>
        </w:rPr>
        <w:t>of</w:t>
      </w:r>
      <w:r>
        <w:rPr>
          <w:spacing w:val="67"/>
          <w:sz w:val="20"/>
        </w:rPr>
        <w:t> </w:t>
      </w:r>
      <w:r>
        <w:rPr>
          <w:sz w:val="20"/>
        </w:rPr>
        <w:t>the</w:t>
      </w:r>
      <w:r>
        <w:rPr>
          <w:spacing w:val="74"/>
          <w:sz w:val="20"/>
        </w:rPr>
        <w:t> </w:t>
      </w:r>
      <w:r>
        <w:rPr>
          <w:sz w:val="20"/>
        </w:rPr>
        <w:t>property.</w:t>
      </w:r>
      <w:r>
        <w:rPr>
          <w:spacing w:val="69"/>
          <w:sz w:val="20"/>
        </w:rPr>
        <w:t> </w:t>
      </w:r>
      <w:r>
        <w:rPr>
          <w:sz w:val="20"/>
        </w:rPr>
        <w:t>The</w:t>
      </w:r>
      <w:r>
        <w:rPr>
          <w:spacing w:val="74"/>
          <w:sz w:val="20"/>
        </w:rPr>
        <w:t> </w:t>
      </w:r>
      <w:r>
        <w:rPr>
          <w:sz w:val="20"/>
        </w:rPr>
        <w:t>proposed</w:t>
      </w:r>
      <w:r>
        <w:rPr>
          <w:spacing w:val="67"/>
          <w:sz w:val="20"/>
        </w:rPr>
        <w:t> </w:t>
      </w:r>
      <w:r>
        <w:rPr>
          <w:sz w:val="20"/>
        </w:rPr>
        <w:t>amounts are</w:t>
      </w:r>
      <w:r>
        <w:rPr>
          <w:spacing w:val="-1"/>
          <w:sz w:val="20"/>
        </w:rPr>
        <w:t> </w:t>
      </w:r>
      <w:r>
        <w:rPr>
          <w:sz w:val="20"/>
        </w:rPr>
        <w:t>€2,132.2</w:t>
      </w:r>
      <w:r>
        <w:rPr>
          <w:spacing w:val="-3"/>
          <w:sz w:val="20"/>
        </w:rPr>
        <w:t> </w:t>
      </w:r>
      <w:r>
        <w:rPr>
          <w:sz w:val="20"/>
        </w:rPr>
        <w:t>thousand for preventive and corrective maintenance and €364.8 thousand for capital replacements.</w:t>
      </w:r>
    </w:p>
    <w:p>
      <w:pPr>
        <w:pStyle w:val="ListParagraph"/>
        <w:numPr>
          <w:ilvl w:val="0"/>
          <w:numId w:val="4"/>
        </w:numPr>
        <w:tabs>
          <w:tab w:pos="2967" w:val="left" w:leader="none"/>
        </w:tabs>
        <w:spacing w:line="240" w:lineRule="auto" w:before="120" w:after="0"/>
        <w:ind w:left="2246" w:right="2235" w:firstLine="0"/>
        <w:jc w:val="both"/>
        <w:rPr>
          <w:sz w:val="20"/>
        </w:rPr>
      </w:pPr>
      <w:r>
        <w:rPr>
          <w:sz w:val="20"/>
        </w:rPr>
        <w:t>The actual price index increase will be established according to the provisions of the contract with the vendor Heijmans, competitively procured by the Court in 2018 and effective since 1 January 2019: “The fees and rates indicated in Articles 13.1 and 13.2 may be</w:t>
      </w:r>
      <w:r>
        <w:rPr>
          <w:spacing w:val="27"/>
          <w:sz w:val="20"/>
        </w:rPr>
        <w:t> </w:t>
      </w:r>
      <w:r>
        <w:rPr>
          <w:sz w:val="20"/>
        </w:rPr>
        <w:t>adjusted</w:t>
      </w:r>
      <w:r>
        <w:rPr>
          <w:spacing w:val="25"/>
          <w:sz w:val="20"/>
        </w:rPr>
        <w:t> </w:t>
      </w:r>
      <w:r>
        <w:rPr>
          <w:sz w:val="20"/>
        </w:rPr>
        <w:t>once</w:t>
      </w:r>
      <w:r>
        <w:rPr>
          <w:spacing w:val="27"/>
          <w:sz w:val="20"/>
        </w:rPr>
        <w:t> </w:t>
      </w:r>
      <w:r>
        <w:rPr>
          <w:sz w:val="20"/>
        </w:rPr>
        <w:t>per</w:t>
      </w:r>
      <w:r>
        <w:rPr>
          <w:spacing w:val="25"/>
          <w:sz w:val="20"/>
        </w:rPr>
        <w:t> </w:t>
      </w:r>
      <w:r>
        <w:rPr>
          <w:sz w:val="20"/>
        </w:rPr>
        <w:t>year,</w:t>
      </w:r>
      <w:r>
        <w:rPr>
          <w:spacing w:val="28"/>
          <w:sz w:val="20"/>
        </w:rPr>
        <w:t> </w:t>
      </w:r>
      <w:r>
        <w:rPr>
          <w:sz w:val="20"/>
        </w:rPr>
        <w:t>for</w:t>
      </w:r>
      <w:r>
        <w:rPr>
          <w:spacing w:val="25"/>
          <w:sz w:val="20"/>
        </w:rPr>
        <w:t> </w:t>
      </w:r>
      <w:r>
        <w:rPr>
          <w:sz w:val="20"/>
        </w:rPr>
        <w:t>the</w:t>
      </w:r>
      <w:r>
        <w:rPr>
          <w:spacing w:val="27"/>
          <w:sz w:val="20"/>
        </w:rPr>
        <w:t> </w:t>
      </w:r>
      <w:r>
        <w:rPr>
          <w:sz w:val="20"/>
        </w:rPr>
        <w:t>first</w:t>
      </w:r>
      <w:r>
        <w:rPr>
          <w:spacing w:val="27"/>
          <w:sz w:val="20"/>
        </w:rPr>
        <w:t> </w:t>
      </w:r>
      <w:r>
        <w:rPr>
          <w:sz w:val="20"/>
        </w:rPr>
        <w:t>time</w:t>
      </w:r>
      <w:r>
        <w:rPr>
          <w:spacing w:val="27"/>
          <w:sz w:val="20"/>
        </w:rPr>
        <w:t> </w:t>
      </w:r>
      <w:r>
        <w:rPr>
          <w:sz w:val="20"/>
        </w:rPr>
        <w:t>one</w:t>
      </w:r>
      <w:r>
        <w:rPr>
          <w:spacing w:val="27"/>
          <w:sz w:val="20"/>
        </w:rPr>
        <w:t> </w:t>
      </w:r>
      <w:r>
        <w:rPr>
          <w:sz w:val="20"/>
        </w:rPr>
        <w:t>(1)</w:t>
      </w:r>
      <w:r>
        <w:rPr>
          <w:spacing w:val="25"/>
          <w:sz w:val="20"/>
        </w:rPr>
        <w:t> </w:t>
      </w:r>
      <w:r>
        <w:rPr>
          <w:sz w:val="20"/>
        </w:rPr>
        <w:t>year</w:t>
      </w:r>
      <w:r>
        <w:rPr>
          <w:spacing w:val="25"/>
          <w:sz w:val="20"/>
        </w:rPr>
        <w:t> </w:t>
      </w:r>
      <w:r>
        <w:rPr>
          <w:sz w:val="20"/>
        </w:rPr>
        <w:t>after</w:t>
      </w:r>
      <w:r>
        <w:rPr>
          <w:spacing w:val="25"/>
          <w:sz w:val="20"/>
        </w:rPr>
        <w:t> </w:t>
      </w:r>
      <w:r>
        <w:rPr>
          <w:sz w:val="20"/>
        </w:rPr>
        <w:t>the</w:t>
      </w:r>
      <w:r>
        <w:rPr>
          <w:spacing w:val="27"/>
          <w:sz w:val="20"/>
        </w:rPr>
        <w:t> </w:t>
      </w:r>
      <w:r>
        <w:rPr>
          <w:sz w:val="20"/>
        </w:rPr>
        <w:t>Commencement</w:t>
      </w:r>
      <w:r>
        <w:rPr>
          <w:spacing w:val="27"/>
          <w:sz w:val="20"/>
        </w:rPr>
        <w:t> </w:t>
      </w:r>
      <w:r>
        <w:rPr>
          <w:sz w:val="20"/>
        </w:rPr>
        <w:t>Date (i.e.</w:t>
      </w:r>
      <w:r>
        <w:rPr>
          <w:spacing w:val="-1"/>
          <w:sz w:val="20"/>
        </w:rPr>
        <w:t> </w:t>
      </w:r>
      <w:r>
        <w:rPr>
          <w:sz w:val="20"/>
        </w:rPr>
        <w:t>on</w:t>
      </w:r>
      <w:r>
        <w:rPr>
          <w:spacing w:val="-3"/>
          <w:sz w:val="20"/>
        </w:rPr>
        <w:t> </w:t>
      </w:r>
      <w:r>
        <w:rPr>
          <w:sz w:val="20"/>
        </w:rPr>
        <w:t>1</w:t>
      </w:r>
      <w:r>
        <w:rPr>
          <w:spacing w:val="-8"/>
          <w:sz w:val="20"/>
        </w:rPr>
        <w:t> </w:t>
      </w:r>
      <w:r>
        <w:rPr>
          <w:sz w:val="20"/>
        </w:rPr>
        <w:t>January</w:t>
      </w:r>
      <w:r>
        <w:rPr>
          <w:spacing w:val="-8"/>
          <w:sz w:val="20"/>
        </w:rPr>
        <w:t> </w:t>
      </w:r>
      <w:r>
        <w:rPr>
          <w:sz w:val="20"/>
        </w:rPr>
        <w:t>2020).</w:t>
      </w:r>
      <w:r>
        <w:rPr>
          <w:spacing w:val="-6"/>
          <w:sz w:val="20"/>
        </w:rPr>
        <w:t> </w:t>
      </w:r>
      <w:r>
        <w:rPr>
          <w:sz w:val="20"/>
        </w:rPr>
        <w:t>The</w:t>
      </w:r>
      <w:r>
        <w:rPr>
          <w:spacing w:val="-7"/>
          <w:sz w:val="20"/>
        </w:rPr>
        <w:t> </w:t>
      </w:r>
      <w:r>
        <w:rPr>
          <w:sz w:val="20"/>
        </w:rPr>
        <w:t>adjustment</w:t>
      </w:r>
      <w:r>
        <w:rPr>
          <w:spacing w:val="-2"/>
          <w:sz w:val="20"/>
        </w:rPr>
        <w:t> </w:t>
      </w:r>
      <w:r>
        <w:rPr>
          <w:sz w:val="20"/>
        </w:rPr>
        <w:t>shall</w:t>
      </w:r>
      <w:r>
        <w:rPr>
          <w:spacing w:val="-2"/>
          <w:sz w:val="20"/>
        </w:rPr>
        <w:t> </w:t>
      </w:r>
      <w:r>
        <w:rPr>
          <w:sz w:val="20"/>
        </w:rPr>
        <w:t>be</w:t>
      </w:r>
      <w:r>
        <w:rPr>
          <w:spacing w:val="-2"/>
          <w:sz w:val="20"/>
        </w:rPr>
        <w:t> </w:t>
      </w:r>
      <w:r>
        <w:rPr>
          <w:sz w:val="20"/>
        </w:rPr>
        <w:t>equal</w:t>
      </w:r>
      <w:r>
        <w:rPr>
          <w:spacing w:val="-2"/>
          <w:sz w:val="20"/>
        </w:rPr>
        <w:t> </w:t>
      </w:r>
      <w:r>
        <w:rPr>
          <w:sz w:val="20"/>
        </w:rPr>
        <w:t>to</w:t>
      </w:r>
      <w:r>
        <w:rPr>
          <w:spacing w:val="-8"/>
          <w:sz w:val="20"/>
        </w:rPr>
        <w:t> </w:t>
      </w:r>
      <w:r>
        <w:rPr>
          <w:sz w:val="20"/>
        </w:rPr>
        <w:t>the</w:t>
      </w:r>
      <w:r>
        <w:rPr>
          <w:spacing w:val="-2"/>
          <w:sz w:val="20"/>
        </w:rPr>
        <w:t> </w:t>
      </w:r>
      <w:r>
        <w:rPr>
          <w:sz w:val="20"/>
        </w:rPr>
        <w:t>BDB</w:t>
      </w:r>
      <w:r>
        <w:rPr>
          <w:spacing w:val="-8"/>
          <w:sz w:val="20"/>
        </w:rPr>
        <w:t> </w:t>
      </w:r>
      <w:r>
        <w:rPr>
          <w:sz w:val="20"/>
        </w:rPr>
        <w:t>index</w:t>
      </w:r>
      <w:r>
        <w:rPr>
          <w:spacing w:val="-4"/>
          <w:sz w:val="20"/>
        </w:rPr>
        <w:t> </w:t>
      </w:r>
      <w:r>
        <w:rPr>
          <w:sz w:val="20"/>
        </w:rPr>
        <w:t>for</w:t>
      </w:r>
      <w:r>
        <w:rPr>
          <w:spacing w:val="-8"/>
          <w:sz w:val="20"/>
        </w:rPr>
        <w:t> </w:t>
      </w:r>
      <w:r>
        <w:rPr>
          <w:sz w:val="20"/>
        </w:rPr>
        <w:t>maintenance of the technical installations for office buildings, with base year April 2012, rounded to two decimal places. The indexation is based on the year-on-year method whereby the month of July is the reference month. If the Contractor wishes to make use of the possibility to index the fees and rates, the Contractor shall submit the indexation request</w:t>
      </w:r>
      <w:r>
        <w:rPr>
          <w:spacing w:val="-2"/>
          <w:sz w:val="20"/>
        </w:rPr>
        <w:t> </w:t>
      </w:r>
      <w:r>
        <w:rPr>
          <w:sz w:val="20"/>
        </w:rPr>
        <w:t>in writing to the Court no later than two months before the intended effective date of that indexation”.</w:t>
      </w:r>
    </w:p>
    <w:p>
      <w:pPr>
        <w:pStyle w:val="ListParagraph"/>
        <w:numPr>
          <w:ilvl w:val="0"/>
          <w:numId w:val="4"/>
        </w:numPr>
        <w:tabs>
          <w:tab w:pos="2967" w:val="left" w:leader="none"/>
        </w:tabs>
        <w:spacing w:line="240" w:lineRule="auto" w:before="119" w:after="0"/>
        <w:ind w:left="2246" w:right="2241" w:firstLine="0"/>
        <w:jc w:val="both"/>
        <w:rPr>
          <w:sz w:val="20"/>
        </w:rPr>
      </w:pPr>
      <w:r>
        <w:rPr>
          <w:sz w:val="20"/>
        </w:rPr>
        <w:t>The amount for capital replacements is based on those assets that urgently need to be</w:t>
      </w:r>
      <w:r>
        <w:rPr>
          <w:spacing w:val="-2"/>
          <w:sz w:val="20"/>
        </w:rPr>
        <w:t> </w:t>
      </w:r>
      <w:r>
        <w:rPr>
          <w:sz w:val="20"/>
        </w:rPr>
        <w:t>replaced</w:t>
      </w:r>
      <w:r>
        <w:rPr>
          <w:spacing w:val="-8"/>
          <w:sz w:val="20"/>
        </w:rPr>
        <w:t> </w:t>
      </w:r>
      <w:r>
        <w:rPr>
          <w:sz w:val="20"/>
        </w:rPr>
        <w:t>in</w:t>
      </w:r>
      <w:r>
        <w:rPr>
          <w:spacing w:val="-8"/>
          <w:sz w:val="20"/>
        </w:rPr>
        <w:t> </w:t>
      </w:r>
      <w:r>
        <w:rPr>
          <w:sz w:val="20"/>
        </w:rPr>
        <w:t>2023.</w:t>
      </w:r>
      <w:r>
        <w:rPr>
          <w:spacing w:val="-6"/>
          <w:sz w:val="20"/>
        </w:rPr>
        <w:t> </w:t>
      </w:r>
      <w:r>
        <w:rPr>
          <w:sz w:val="20"/>
        </w:rPr>
        <w:t>The</w:t>
      </w:r>
      <w:r>
        <w:rPr>
          <w:spacing w:val="-7"/>
          <w:sz w:val="20"/>
        </w:rPr>
        <w:t> </w:t>
      </w:r>
      <w:r>
        <w:rPr>
          <w:sz w:val="20"/>
        </w:rPr>
        <w:t>amount</w:t>
      </w:r>
      <w:r>
        <w:rPr>
          <w:spacing w:val="-2"/>
          <w:sz w:val="20"/>
        </w:rPr>
        <w:t> </w:t>
      </w:r>
      <w:r>
        <w:rPr>
          <w:sz w:val="20"/>
        </w:rPr>
        <w:t>originally</w:t>
      </w:r>
      <w:r>
        <w:rPr>
          <w:spacing w:val="-8"/>
          <w:sz w:val="20"/>
        </w:rPr>
        <w:t> </w:t>
      </w:r>
      <w:r>
        <w:rPr>
          <w:sz w:val="20"/>
        </w:rPr>
        <w:t>planned</w:t>
      </w:r>
      <w:r>
        <w:rPr>
          <w:spacing w:val="-4"/>
          <w:sz w:val="20"/>
        </w:rPr>
        <w:t> </w:t>
      </w:r>
      <w:r>
        <w:rPr>
          <w:sz w:val="20"/>
        </w:rPr>
        <w:t>for</w:t>
      </w:r>
      <w:r>
        <w:rPr>
          <w:spacing w:val="-4"/>
          <w:sz w:val="20"/>
        </w:rPr>
        <w:t> </w:t>
      </w:r>
      <w:r>
        <w:rPr>
          <w:sz w:val="20"/>
        </w:rPr>
        <w:t>2023</w:t>
      </w:r>
      <w:r>
        <w:rPr>
          <w:spacing w:val="-8"/>
          <w:sz w:val="20"/>
        </w:rPr>
        <w:t> </w:t>
      </w:r>
      <w:r>
        <w:rPr>
          <w:sz w:val="20"/>
        </w:rPr>
        <w:t>and</w:t>
      </w:r>
      <w:r>
        <w:rPr>
          <w:spacing w:val="-4"/>
          <w:sz w:val="20"/>
        </w:rPr>
        <w:t> </w:t>
      </w:r>
      <w:r>
        <w:rPr>
          <w:sz w:val="20"/>
        </w:rPr>
        <w:t>reported</w:t>
      </w:r>
      <w:r>
        <w:rPr>
          <w:spacing w:val="-8"/>
          <w:sz w:val="20"/>
        </w:rPr>
        <w:t> </w:t>
      </w:r>
      <w:r>
        <w:rPr>
          <w:sz w:val="20"/>
        </w:rPr>
        <w:t>accordingly</w:t>
      </w:r>
      <w:r>
        <w:rPr>
          <w:spacing w:val="-8"/>
          <w:sz w:val="20"/>
        </w:rPr>
        <w:t> </w:t>
      </w:r>
      <w:r>
        <w:rPr>
          <w:sz w:val="20"/>
        </w:rPr>
        <w:t>to</w:t>
      </w:r>
      <w:r>
        <w:rPr>
          <w:spacing w:val="-8"/>
          <w:sz w:val="20"/>
        </w:rPr>
        <w:t> </w:t>
      </w:r>
      <w:r>
        <w:rPr>
          <w:sz w:val="20"/>
        </w:rPr>
        <w:t>the Committee was €1,409.7 thousand. The cumulative funding gap since 2020 will have reached €1,920.4 thousand by the end of 2022. Because of the limited availability of funds</w:t>
      </w:r>
    </w:p>
    <w:p>
      <w:pPr>
        <w:pStyle w:val="BodyText"/>
        <w:spacing w:before="6"/>
        <w:rPr>
          <w:sz w:val="13"/>
        </w:rPr>
      </w:pPr>
      <w:r>
        <w:rPr/>
        <w:pict>
          <v:rect style="position:absolute;margin-left:113.330002pt;margin-top:9.001977pt;width:144.050pt;height:.47998pt;mso-position-horizontal-relative:page;mso-position-vertical-relative:paragraph;z-index:-15684608;mso-wrap-distance-left:0;mso-wrap-distance-right:0" id="docshape311" filled="true" fillcolor="#000000" stroked="false">
            <v:fill type="solid"/>
            <w10:wrap type="topAndBottom"/>
          </v:rect>
        </w:pict>
      </w:r>
    </w:p>
    <w:p>
      <w:pPr>
        <w:spacing w:line="209" w:lineRule="exact" w:before="82"/>
        <w:ind w:left="2246" w:right="0" w:firstLine="0"/>
        <w:jc w:val="left"/>
        <w:rPr>
          <w:sz w:val="18"/>
        </w:rPr>
      </w:pPr>
      <w:r>
        <w:rPr>
          <w:position w:val="6"/>
          <w:sz w:val="12"/>
        </w:rPr>
        <w:t>136</w:t>
      </w:r>
      <w:r>
        <w:rPr>
          <w:spacing w:val="20"/>
          <w:position w:val="6"/>
          <w:sz w:val="12"/>
        </w:rPr>
        <w:t> </w:t>
      </w:r>
      <w:r>
        <w:rPr>
          <w:sz w:val="18"/>
        </w:rPr>
        <w:t>ICC-</w:t>
      </w:r>
      <w:r>
        <w:rPr>
          <w:spacing w:val="-2"/>
          <w:sz w:val="18"/>
        </w:rPr>
        <w:t>ASP/19/8.</w:t>
      </w:r>
    </w:p>
    <w:p>
      <w:pPr>
        <w:spacing w:line="209" w:lineRule="exact" w:before="0"/>
        <w:ind w:left="2246" w:right="0" w:firstLine="0"/>
        <w:jc w:val="left"/>
        <w:rPr>
          <w:sz w:val="18"/>
        </w:rPr>
      </w:pPr>
      <w:r>
        <w:rPr>
          <w:position w:val="6"/>
          <w:sz w:val="12"/>
        </w:rPr>
        <w:t>137</w:t>
      </w:r>
      <w:r>
        <w:rPr>
          <w:spacing w:val="20"/>
          <w:position w:val="6"/>
          <w:sz w:val="12"/>
        </w:rPr>
        <w:t> </w:t>
      </w:r>
      <w:r>
        <w:rPr>
          <w:sz w:val="18"/>
        </w:rPr>
        <w:t>ICC-</w:t>
      </w:r>
      <w:r>
        <w:rPr>
          <w:spacing w:val="-2"/>
          <w:sz w:val="18"/>
        </w:rPr>
        <w:t>ASP/20/8.</w:t>
      </w:r>
    </w:p>
    <w:p>
      <w:pPr>
        <w:spacing w:after="0" w:line="209" w:lineRule="exact"/>
        <w:jc w:val="left"/>
        <w:rPr>
          <w:sz w:val="18"/>
        </w:rPr>
        <w:sectPr>
          <w:pgSz w:w="11910" w:h="16840"/>
          <w:pgMar w:header="957" w:footer="940" w:top="1140" w:bottom="1140" w:left="20" w:right="20"/>
        </w:sectPr>
      </w:pPr>
    </w:p>
    <w:p>
      <w:pPr>
        <w:pStyle w:val="BodyText"/>
        <w:spacing w:before="120"/>
        <w:ind w:left="2246" w:right="2247"/>
        <w:jc w:val="both"/>
      </w:pPr>
      <w:r>
        <w:rPr/>
        <w:t>for capital replacements, some activities will be postponed and only essential elements for the day-to-day functioning of the building will be replaced, and only when irrevocably obsolete or defective.</w:t>
      </w:r>
    </w:p>
    <w:p>
      <w:pPr>
        <w:pStyle w:val="BodyText"/>
        <w:rPr>
          <w:sz w:val="21"/>
        </w:rPr>
      </w:pPr>
    </w:p>
    <w:p>
      <w:pPr>
        <w:spacing w:before="0"/>
        <w:ind w:left="2246" w:right="0" w:firstLine="0"/>
        <w:jc w:val="both"/>
        <w:rPr>
          <w:b/>
          <w:sz w:val="20"/>
        </w:rPr>
      </w:pPr>
      <w:r>
        <w:rPr>
          <w:b/>
          <w:sz w:val="20"/>
        </w:rPr>
        <w:t>Table</w:t>
      </w:r>
      <w:r>
        <w:rPr>
          <w:b/>
          <w:spacing w:val="-6"/>
          <w:sz w:val="20"/>
        </w:rPr>
        <w:t> </w:t>
      </w:r>
      <w:r>
        <w:rPr>
          <w:b/>
          <w:sz w:val="20"/>
        </w:rPr>
        <w:t>42:</w:t>
      </w:r>
      <w:r>
        <w:rPr>
          <w:b/>
          <w:spacing w:val="-7"/>
          <w:sz w:val="20"/>
        </w:rPr>
        <w:t> </w:t>
      </w:r>
      <w:r>
        <w:rPr>
          <w:b/>
          <w:sz w:val="20"/>
        </w:rPr>
        <w:t>Major</w:t>
      </w:r>
      <w:r>
        <w:rPr>
          <w:b/>
          <w:spacing w:val="-9"/>
          <w:sz w:val="20"/>
        </w:rPr>
        <w:t> </w:t>
      </w:r>
      <w:r>
        <w:rPr>
          <w:b/>
          <w:sz w:val="20"/>
        </w:rPr>
        <w:t>Programme</w:t>
      </w:r>
      <w:r>
        <w:rPr>
          <w:b/>
          <w:spacing w:val="-4"/>
          <w:sz w:val="20"/>
        </w:rPr>
        <w:t> </w:t>
      </w:r>
      <w:r>
        <w:rPr>
          <w:b/>
          <w:sz w:val="20"/>
        </w:rPr>
        <w:t>V:</w:t>
      </w:r>
      <w:r>
        <w:rPr>
          <w:b/>
          <w:spacing w:val="-7"/>
          <w:sz w:val="20"/>
        </w:rPr>
        <w:t> </w:t>
      </w:r>
      <w:r>
        <w:rPr>
          <w:b/>
          <w:sz w:val="20"/>
        </w:rPr>
        <w:t>Proposed</w:t>
      </w:r>
      <w:r>
        <w:rPr>
          <w:b/>
          <w:spacing w:val="-3"/>
          <w:sz w:val="20"/>
        </w:rPr>
        <w:t> </w:t>
      </w:r>
      <w:r>
        <w:rPr>
          <w:b/>
          <w:sz w:val="20"/>
        </w:rPr>
        <w:t>budget</w:t>
      </w:r>
      <w:r>
        <w:rPr>
          <w:b/>
          <w:spacing w:val="-2"/>
          <w:sz w:val="20"/>
        </w:rPr>
        <w:t> </w:t>
      </w:r>
      <w:r>
        <w:rPr>
          <w:b/>
          <w:sz w:val="20"/>
        </w:rPr>
        <w:t>for</w:t>
      </w:r>
      <w:r>
        <w:rPr>
          <w:b/>
          <w:spacing w:val="-5"/>
          <w:sz w:val="20"/>
        </w:rPr>
        <w:t> </w:t>
      </w:r>
      <w:r>
        <w:rPr>
          <w:b/>
          <w:spacing w:val="-4"/>
          <w:sz w:val="20"/>
        </w:rPr>
        <w:t>2023</w:t>
      </w:r>
    </w:p>
    <w:tbl>
      <w:tblPr>
        <w:tblW w:w="0" w:type="auto"/>
        <w:jc w:val="left"/>
        <w:tblInd w:w="1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83"/>
        <w:gridCol w:w="1218"/>
        <w:gridCol w:w="828"/>
        <w:gridCol w:w="1133"/>
        <w:gridCol w:w="1078"/>
        <w:gridCol w:w="1177"/>
        <w:gridCol w:w="698"/>
        <w:gridCol w:w="1082"/>
      </w:tblGrid>
      <w:tr>
        <w:trPr>
          <w:trHeight w:val="325" w:hRule="atLeast"/>
        </w:trPr>
        <w:tc>
          <w:tcPr>
            <w:tcW w:w="2483" w:type="dxa"/>
            <w:tcBorders>
              <w:top w:val="single" w:sz="4" w:space="0" w:color="000000"/>
            </w:tcBorders>
          </w:tcPr>
          <w:p>
            <w:pPr>
              <w:pStyle w:val="TableParagraph"/>
              <w:jc w:val="left"/>
              <w:rPr>
                <w:sz w:val="16"/>
              </w:rPr>
            </w:pPr>
          </w:p>
        </w:tc>
        <w:tc>
          <w:tcPr>
            <w:tcW w:w="3179" w:type="dxa"/>
            <w:gridSpan w:val="3"/>
            <w:tcBorders>
              <w:top w:val="single" w:sz="4" w:space="0" w:color="000000"/>
            </w:tcBorders>
          </w:tcPr>
          <w:p>
            <w:pPr>
              <w:pStyle w:val="TableParagraph"/>
              <w:tabs>
                <w:tab w:pos="311" w:val="left" w:leader="none"/>
                <w:tab w:pos="3178" w:val="left" w:leader="none"/>
              </w:tabs>
              <w:spacing w:before="120"/>
              <w:ind w:left="-1"/>
              <w:jc w:val="left"/>
              <w:rPr>
                <w:sz w:val="16"/>
              </w:rPr>
            </w:pPr>
            <w:r>
              <w:rPr>
                <w:sz w:val="16"/>
                <w:u w:val="single"/>
              </w:rPr>
              <w:tab/>
              <w:t>2021</w:t>
            </w:r>
            <w:r>
              <w:rPr>
                <w:spacing w:val="-3"/>
                <w:sz w:val="16"/>
                <w:u w:val="single"/>
              </w:rPr>
              <w:t> </w:t>
            </w:r>
            <w:r>
              <w:rPr>
                <w:sz w:val="16"/>
                <w:u w:val="single"/>
              </w:rPr>
              <w:t>Expenditures</w:t>
            </w:r>
            <w:r>
              <w:rPr>
                <w:spacing w:val="-4"/>
                <w:sz w:val="16"/>
                <w:u w:val="single"/>
              </w:rPr>
              <w:t> </w:t>
            </w:r>
            <w:r>
              <w:rPr>
                <w:sz w:val="16"/>
                <w:u w:val="single"/>
              </w:rPr>
              <w:t>(thousands</w:t>
            </w:r>
            <w:r>
              <w:rPr>
                <w:spacing w:val="-4"/>
                <w:sz w:val="16"/>
                <w:u w:val="single"/>
              </w:rPr>
              <w:t> </w:t>
            </w:r>
            <w:r>
              <w:rPr>
                <w:sz w:val="16"/>
                <w:u w:val="single"/>
              </w:rPr>
              <w:t>of</w:t>
            </w:r>
            <w:r>
              <w:rPr>
                <w:spacing w:val="-4"/>
                <w:sz w:val="16"/>
                <w:u w:val="single"/>
              </w:rPr>
              <w:t> </w:t>
            </w:r>
            <w:r>
              <w:rPr>
                <w:spacing w:val="-2"/>
                <w:sz w:val="16"/>
                <w:u w:val="single"/>
              </w:rPr>
              <w:t>euros)</w:t>
            </w:r>
            <w:r>
              <w:rPr>
                <w:sz w:val="16"/>
                <w:u w:val="single"/>
              </w:rPr>
              <w:tab/>
            </w:r>
          </w:p>
        </w:tc>
        <w:tc>
          <w:tcPr>
            <w:tcW w:w="1078" w:type="dxa"/>
            <w:vMerge w:val="restart"/>
            <w:tcBorders>
              <w:top w:val="single" w:sz="4" w:space="0" w:color="000000"/>
              <w:bottom w:val="single" w:sz="12" w:space="0" w:color="000000"/>
            </w:tcBorders>
          </w:tcPr>
          <w:p>
            <w:pPr>
              <w:pStyle w:val="TableParagraph"/>
              <w:spacing w:line="183" w:lineRule="exact" w:before="153"/>
              <w:ind w:left="228" w:right="184"/>
              <w:jc w:val="center"/>
              <w:rPr>
                <w:sz w:val="16"/>
              </w:rPr>
            </w:pPr>
            <w:r>
              <w:rPr>
                <w:spacing w:val="-4"/>
                <w:sz w:val="16"/>
              </w:rPr>
              <w:t>2022</w:t>
            </w:r>
          </w:p>
          <w:p>
            <w:pPr>
              <w:pStyle w:val="TableParagraph"/>
              <w:spacing w:line="182" w:lineRule="exact"/>
              <w:ind w:left="227" w:right="184"/>
              <w:jc w:val="center"/>
              <w:rPr>
                <w:sz w:val="16"/>
              </w:rPr>
            </w:pPr>
            <w:r>
              <w:rPr>
                <w:spacing w:val="-2"/>
                <w:w w:val="95"/>
                <w:sz w:val="16"/>
              </w:rPr>
              <w:t>Approved</w:t>
            </w:r>
            <w:r>
              <w:rPr>
                <w:spacing w:val="40"/>
                <w:sz w:val="16"/>
              </w:rPr>
              <w:t> </w:t>
            </w:r>
            <w:r>
              <w:rPr>
                <w:spacing w:val="-2"/>
                <w:sz w:val="16"/>
              </w:rPr>
              <w:t>Budget</w:t>
            </w:r>
          </w:p>
        </w:tc>
        <w:tc>
          <w:tcPr>
            <w:tcW w:w="1875" w:type="dxa"/>
            <w:gridSpan w:val="2"/>
            <w:tcBorders>
              <w:top w:val="single" w:sz="4" w:space="0" w:color="000000"/>
            </w:tcBorders>
          </w:tcPr>
          <w:p>
            <w:pPr>
              <w:pStyle w:val="TableParagraph"/>
              <w:tabs>
                <w:tab w:pos="338" w:val="left" w:leader="none"/>
                <w:tab w:pos="1802" w:val="left" w:leader="none"/>
              </w:tabs>
              <w:spacing w:before="120"/>
              <w:ind w:left="54"/>
              <w:jc w:val="left"/>
              <w:rPr>
                <w:sz w:val="16"/>
              </w:rPr>
            </w:pPr>
            <w:r>
              <w:rPr>
                <w:sz w:val="16"/>
                <w:u w:val="single"/>
              </w:rPr>
              <w:tab/>
              <w:t>Resource</w:t>
            </w:r>
            <w:r>
              <w:rPr>
                <w:spacing w:val="-2"/>
                <w:sz w:val="16"/>
                <w:u w:val="single"/>
              </w:rPr>
              <w:t> Changes</w:t>
            </w:r>
            <w:r>
              <w:rPr>
                <w:sz w:val="16"/>
                <w:u w:val="single"/>
              </w:rPr>
              <w:tab/>
            </w:r>
          </w:p>
        </w:tc>
        <w:tc>
          <w:tcPr>
            <w:tcW w:w="1082" w:type="dxa"/>
            <w:tcBorders>
              <w:top w:val="single" w:sz="4" w:space="0" w:color="000000"/>
            </w:tcBorders>
          </w:tcPr>
          <w:p>
            <w:pPr>
              <w:pStyle w:val="TableParagraph"/>
              <w:jc w:val="left"/>
              <w:rPr>
                <w:sz w:val="16"/>
              </w:rPr>
            </w:pPr>
          </w:p>
        </w:tc>
      </w:tr>
      <w:tr>
        <w:trPr>
          <w:trHeight w:val="359" w:hRule="atLeast"/>
        </w:trPr>
        <w:tc>
          <w:tcPr>
            <w:tcW w:w="2483" w:type="dxa"/>
            <w:tcBorders>
              <w:bottom w:val="single" w:sz="12" w:space="0" w:color="000000"/>
            </w:tcBorders>
          </w:tcPr>
          <w:p>
            <w:pPr>
              <w:pStyle w:val="TableParagraph"/>
              <w:spacing w:line="164" w:lineRule="exact"/>
              <w:ind w:left="139"/>
              <w:jc w:val="left"/>
              <w:rPr>
                <w:b/>
                <w:sz w:val="16"/>
              </w:rPr>
            </w:pPr>
            <w:r>
              <w:rPr>
                <w:b/>
                <w:sz w:val="16"/>
              </w:rPr>
              <w:t>Major</w:t>
            </w:r>
            <w:r>
              <w:rPr>
                <w:b/>
                <w:spacing w:val="-3"/>
                <w:sz w:val="16"/>
              </w:rPr>
              <w:t> </w:t>
            </w:r>
            <w:r>
              <w:rPr>
                <w:b/>
                <w:sz w:val="16"/>
              </w:rPr>
              <w:t>Programme</w:t>
            </w:r>
            <w:r>
              <w:rPr>
                <w:b/>
                <w:spacing w:val="-3"/>
                <w:sz w:val="16"/>
              </w:rPr>
              <w:t> </w:t>
            </w:r>
            <w:r>
              <w:rPr>
                <w:b/>
                <w:spacing w:val="-10"/>
                <w:sz w:val="16"/>
              </w:rPr>
              <w:t>V</w:t>
            </w:r>
          </w:p>
          <w:p>
            <w:pPr>
              <w:pStyle w:val="TableParagraph"/>
              <w:spacing w:line="176" w:lineRule="exact"/>
              <w:ind w:left="139"/>
              <w:jc w:val="left"/>
              <w:rPr>
                <w:b/>
                <w:sz w:val="16"/>
              </w:rPr>
            </w:pPr>
            <w:r>
              <w:rPr>
                <w:b/>
                <w:spacing w:val="-2"/>
                <w:sz w:val="16"/>
              </w:rPr>
              <w:t>Premises</w:t>
            </w:r>
          </w:p>
        </w:tc>
        <w:tc>
          <w:tcPr>
            <w:tcW w:w="1218" w:type="dxa"/>
            <w:tcBorders>
              <w:bottom w:val="single" w:sz="12" w:space="0" w:color="000000"/>
            </w:tcBorders>
          </w:tcPr>
          <w:p>
            <w:pPr>
              <w:pStyle w:val="TableParagraph"/>
              <w:spacing w:before="2"/>
              <w:jc w:val="left"/>
              <w:rPr>
                <w:b/>
                <w:sz w:val="14"/>
              </w:rPr>
            </w:pPr>
          </w:p>
          <w:p>
            <w:pPr>
              <w:pStyle w:val="TableParagraph"/>
              <w:spacing w:line="177" w:lineRule="exact"/>
              <w:ind w:left="393"/>
              <w:jc w:val="left"/>
              <w:rPr>
                <w:sz w:val="16"/>
              </w:rPr>
            </w:pPr>
            <w:r>
              <w:rPr>
                <w:spacing w:val="-2"/>
                <w:sz w:val="16"/>
              </w:rPr>
              <w:t>Total</w:t>
            </w:r>
          </w:p>
        </w:tc>
        <w:tc>
          <w:tcPr>
            <w:tcW w:w="828" w:type="dxa"/>
            <w:tcBorders>
              <w:bottom w:val="single" w:sz="12" w:space="0" w:color="000000"/>
            </w:tcBorders>
          </w:tcPr>
          <w:p>
            <w:pPr>
              <w:pStyle w:val="TableParagraph"/>
              <w:spacing w:line="164" w:lineRule="exact"/>
              <w:ind w:left="193"/>
              <w:jc w:val="left"/>
              <w:rPr>
                <w:sz w:val="16"/>
              </w:rPr>
            </w:pPr>
            <w:r>
              <w:rPr>
                <w:spacing w:val="-2"/>
                <w:sz w:val="16"/>
              </w:rPr>
              <w:t>Cont.</w:t>
            </w:r>
          </w:p>
          <w:p>
            <w:pPr>
              <w:pStyle w:val="TableParagraph"/>
              <w:spacing w:line="176" w:lineRule="exact"/>
              <w:ind w:left="202"/>
              <w:jc w:val="left"/>
              <w:rPr>
                <w:sz w:val="16"/>
              </w:rPr>
            </w:pPr>
            <w:r>
              <w:rPr>
                <w:spacing w:val="-4"/>
                <w:sz w:val="16"/>
              </w:rPr>
              <w:t>Fund</w:t>
            </w:r>
          </w:p>
        </w:tc>
        <w:tc>
          <w:tcPr>
            <w:tcW w:w="1133" w:type="dxa"/>
            <w:tcBorders>
              <w:bottom w:val="single" w:sz="12" w:space="0" w:color="000000"/>
            </w:tcBorders>
          </w:tcPr>
          <w:p>
            <w:pPr>
              <w:pStyle w:val="TableParagraph"/>
              <w:spacing w:before="2"/>
              <w:jc w:val="left"/>
              <w:rPr>
                <w:b/>
                <w:sz w:val="14"/>
              </w:rPr>
            </w:pPr>
          </w:p>
          <w:p>
            <w:pPr>
              <w:pStyle w:val="TableParagraph"/>
              <w:spacing w:line="177" w:lineRule="exact"/>
              <w:ind w:right="122"/>
              <w:rPr>
                <w:sz w:val="16"/>
              </w:rPr>
            </w:pPr>
            <w:r>
              <w:rPr>
                <w:sz w:val="16"/>
              </w:rPr>
              <w:t>Total</w:t>
            </w:r>
            <w:r>
              <w:rPr>
                <w:spacing w:val="-7"/>
                <w:sz w:val="16"/>
              </w:rPr>
              <w:t> </w:t>
            </w:r>
            <w:r>
              <w:rPr>
                <w:sz w:val="16"/>
              </w:rPr>
              <w:t>Incl.</w:t>
            </w:r>
            <w:r>
              <w:rPr>
                <w:spacing w:val="-6"/>
                <w:sz w:val="16"/>
              </w:rPr>
              <w:t> </w:t>
            </w:r>
            <w:r>
              <w:rPr>
                <w:spacing w:val="-5"/>
                <w:sz w:val="16"/>
              </w:rPr>
              <w:t>CF</w:t>
            </w:r>
          </w:p>
        </w:tc>
        <w:tc>
          <w:tcPr>
            <w:tcW w:w="1078" w:type="dxa"/>
            <w:vMerge/>
            <w:tcBorders>
              <w:top w:val="nil"/>
              <w:bottom w:val="single" w:sz="12" w:space="0" w:color="000000"/>
            </w:tcBorders>
          </w:tcPr>
          <w:p>
            <w:pPr>
              <w:rPr>
                <w:sz w:val="2"/>
                <w:szCs w:val="2"/>
              </w:rPr>
            </w:pPr>
          </w:p>
        </w:tc>
        <w:tc>
          <w:tcPr>
            <w:tcW w:w="1177" w:type="dxa"/>
            <w:tcBorders>
              <w:bottom w:val="single" w:sz="12" w:space="0" w:color="000000"/>
            </w:tcBorders>
          </w:tcPr>
          <w:p>
            <w:pPr>
              <w:pStyle w:val="TableParagraph"/>
              <w:spacing w:before="2"/>
              <w:jc w:val="left"/>
              <w:rPr>
                <w:b/>
                <w:sz w:val="14"/>
              </w:rPr>
            </w:pPr>
          </w:p>
          <w:p>
            <w:pPr>
              <w:pStyle w:val="TableParagraph"/>
              <w:spacing w:line="177" w:lineRule="exact"/>
              <w:ind w:right="236"/>
              <w:rPr>
                <w:sz w:val="16"/>
              </w:rPr>
            </w:pPr>
            <w:r>
              <w:rPr>
                <w:spacing w:val="-2"/>
                <w:sz w:val="16"/>
              </w:rPr>
              <w:t>Amount</w:t>
            </w:r>
          </w:p>
        </w:tc>
        <w:tc>
          <w:tcPr>
            <w:tcW w:w="698" w:type="dxa"/>
            <w:tcBorders>
              <w:bottom w:val="single" w:sz="12" w:space="0" w:color="000000"/>
            </w:tcBorders>
          </w:tcPr>
          <w:p>
            <w:pPr>
              <w:pStyle w:val="TableParagraph"/>
              <w:spacing w:before="2"/>
              <w:jc w:val="left"/>
              <w:rPr>
                <w:b/>
                <w:sz w:val="14"/>
              </w:rPr>
            </w:pPr>
          </w:p>
          <w:p>
            <w:pPr>
              <w:pStyle w:val="TableParagraph"/>
              <w:spacing w:line="177" w:lineRule="exact"/>
              <w:ind w:left="204"/>
              <w:jc w:val="center"/>
              <w:rPr>
                <w:sz w:val="16"/>
              </w:rPr>
            </w:pPr>
            <w:r>
              <w:rPr>
                <w:w w:val="98"/>
                <w:sz w:val="16"/>
              </w:rPr>
              <w:t>%</w:t>
            </w:r>
          </w:p>
        </w:tc>
        <w:tc>
          <w:tcPr>
            <w:tcW w:w="1082" w:type="dxa"/>
            <w:tcBorders>
              <w:bottom w:val="single" w:sz="12" w:space="0" w:color="000000"/>
            </w:tcBorders>
          </w:tcPr>
          <w:p>
            <w:pPr>
              <w:pStyle w:val="TableParagraph"/>
              <w:spacing w:line="164" w:lineRule="exact"/>
              <w:ind w:left="56" w:right="165"/>
              <w:jc w:val="center"/>
              <w:rPr>
                <w:sz w:val="16"/>
              </w:rPr>
            </w:pPr>
            <w:r>
              <w:rPr>
                <w:spacing w:val="-2"/>
                <w:sz w:val="16"/>
              </w:rPr>
              <w:t>Proposed</w:t>
            </w:r>
          </w:p>
          <w:p>
            <w:pPr>
              <w:pStyle w:val="TableParagraph"/>
              <w:spacing w:line="176" w:lineRule="exact"/>
              <w:ind w:left="63" w:right="165"/>
              <w:jc w:val="center"/>
              <w:rPr>
                <w:sz w:val="16"/>
              </w:rPr>
            </w:pPr>
            <w:r>
              <w:rPr>
                <w:sz w:val="16"/>
              </w:rPr>
              <w:t>2023</w:t>
            </w:r>
            <w:r>
              <w:rPr>
                <w:spacing w:val="2"/>
                <w:sz w:val="16"/>
              </w:rPr>
              <w:t> </w:t>
            </w:r>
            <w:r>
              <w:rPr>
                <w:spacing w:val="-2"/>
                <w:sz w:val="16"/>
              </w:rPr>
              <w:t>Budget</w:t>
            </w:r>
          </w:p>
        </w:tc>
      </w:tr>
      <w:tr>
        <w:trPr>
          <w:trHeight w:val="229" w:hRule="atLeast"/>
        </w:trPr>
        <w:tc>
          <w:tcPr>
            <w:tcW w:w="2483" w:type="dxa"/>
            <w:tcBorders>
              <w:top w:val="single" w:sz="12" w:space="0" w:color="000000"/>
            </w:tcBorders>
          </w:tcPr>
          <w:p>
            <w:pPr>
              <w:pStyle w:val="TableParagraph"/>
              <w:spacing w:before="8"/>
              <w:ind w:left="139"/>
              <w:jc w:val="left"/>
              <w:rPr>
                <w:sz w:val="16"/>
              </w:rPr>
            </w:pPr>
            <w:r>
              <w:rPr>
                <w:w w:val="95"/>
                <w:sz w:val="16"/>
              </w:rPr>
              <w:t>Professional</w:t>
            </w:r>
            <w:r>
              <w:rPr>
                <w:spacing w:val="28"/>
                <w:sz w:val="16"/>
              </w:rPr>
              <w:t> </w:t>
            </w:r>
            <w:r>
              <w:rPr>
                <w:spacing w:val="-2"/>
                <w:sz w:val="16"/>
              </w:rPr>
              <w:t>staff</w:t>
            </w:r>
          </w:p>
        </w:tc>
        <w:tc>
          <w:tcPr>
            <w:tcW w:w="1218" w:type="dxa"/>
            <w:tcBorders>
              <w:top w:val="single" w:sz="12" w:space="0" w:color="000000"/>
            </w:tcBorders>
            <w:shd w:val="clear" w:color="auto" w:fill="D9D9D9"/>
          </w:tcPr>
          <w:p>
            <w:pPr>
              <w:pStyle w:val="TableParagraph"/>
              <w:jc w:val="left"/>
              <w:rPr>
                <w:sz w:val="16"/>
              </w:rPr>
            </w:pPr>
          </w:p>
        </w:tc>
        <w:tc>
          <w:tcPr>
            <w:tcW w:w="828" w:type="dxa"/>
            <w:tcBorders>
              <w:top w:val="single" w:sz="12" w:space="0" w:color="000000"/>
            </w:tcBorders>
            <w:shd w:val="clear" w:color="auto" w:fill="D9D9D9"/>
          </w:tcPr>
          <w:p>
            <w:pPr>
              <w:pStyle w:val="TableParagraph"/>
              <w:jc w:val="left"/>
              <w:rPr>
                <w:sz w:val="16"/>
              </w:rPr>
            </w:pPr>
          </w:p>
        </w:tc>
        <w:tc>
          <w:tcPr>
            <w:tcW w:w="1133" w:type="dxa"/>
            <w:tcBorders>
              <w:top w:val="single" w:sz="12" w:space="0" w:color="000000"/>
            </w:tcBorders>
            <w:shd w:val="clear" w:color="auto" w:fill="D9D9D9"/>
          </w:tcPr>
          <w:p>
            <w:pPr>
              <w:pStyle w:val="TableParagraph"/>
              <w:jc w:val="left"/>
              <w:rPr>
                <w:sz w:val="16"/>
              </w:rPr>
            </w:pPr>
          </w:p>
        </w:tc>
        <w:tc>
          <w:tcPr>
            <w:tcW w:w="1078" w:type="dxa"/>
            <w:tcBorders>
              <w:top w:val="single" w:sz="12" w:space="0" w:color="000000"/>
            </w:tcBorders>
          </w:tcPr>
          <w:p>
            <w:pPr>
              <w:pStyle w:val="TableParagraph"/>
              <w:spacing w:before="8"/>
              <w:ind w:right="53"/>
              <w:rPr>
                <w:sz w:val="16"/>
              </w:rPr>
            </w:pPr>
            <w:r>
              <w:rPr>
                <w:w w:val="98"/>
                <w:sz w:val="16"/>
              </w:rPr>
              <w:t>-</w:t>
            </w:r>
          </w:p>
        </w:tc>
        <w:tc>
          <w:tcPr>
            <w:tcW w:w="1177" w:type="dxa"/>
            <w:tcBorders>
              <w:top w:val="single" w:sz="12" w:space="0" w:color="000000"/>
            </w:tcBorders>
          </w:tcPr>
          <w:p>
            <w:pPr>
              <w:pStyle w:val="TableParagraph"/>
              <w:spacing w:before="8"/>
              <w:ind w:right="241"/>
              <w:rPr>
                <w:sz w:val="16"/>
              </w:rPr>
            </w:pPr>
            <w:r>
              <w:rPr>
                <w:w w:val="98"/>
                <w:sz w:val="16"/>
              </w:rPr>
              <w:t>-</w:t>
            </w:r>
          </w:p>
        </w:tc>
        <w:tc>
          <w:tcPr>
            <w:tcW w:w="698" w:type="dxa"/>
            <w:tcBorders>
              <w:top w:val="single" w:sz="12" w:space="0" w:color="000000"/>
            </w:tcBorders>
          </w:tcPr>
          <w:p>
            <w:pPr>
              <w:pStyle w:val="TableParagraph"/>
              <w:spacing w:before="8"/>
              <w:ind w:left="288"/>
              <w:jc w:val="center"/>
              <w:rPr>
                <w:sz w:val="16"/>
              </w:rPr>
            </w:pPr>
            <w:r>
              <w:rPr>
                <w:w w:val="98"/>
                <w:sz w:val="16"/>
              </w:rPr>
              <w:t>-</w:t>
            </w:r>
          </w:p>
        </w:tc>
        <w:tc>
          <w:tcPr>
            <w:tcW w:w="1082" w:type="dxa"/>
            <w:tcBorders>
              <w:top w:val="single" w:sz="12" w:space="0" w:color="000000"/>
            </w:tcBorders>
          </w:tcPr>
          <w:p>
            <w:pPr>
              <w:pStyle w:val="TableParagraph"/>
              <w:spacing w:before="8"/>
              <w:ind w:right="134"/>
              <w:rPr>
                <w:sz w:val="16"/>
              </w:rPr>
            </w:pPr>
            <w:r>
              <w:rPr>
                <w:w w:val="98"/>
                <w:sz w:val="16"/>
              </w:rPr>
              <w:t>-</w:t>
            </w:r>
          </w:p>
        </w:tc>
      </w:tr>
      <w:tr>
        <w:trPr>
          <w:trHeight w:val="226" w:hRule="atLeast"/>
        </w:trPr>
        <w:tc>
          <w:tcPr>
            <w:tcW w:w="2483" w:type="dxa"/>
            <w:tcBorders>
              <w:bottom w:val="single" w:sz="4" w:space="0" w:color="000000"/>
            </w:tcBorders>
          </w:tcPr>
          <w:p>
            <w:pPr>
              <w:pStyle w:val="TableParagraph"/>
              <w:spacing w:before="10"/>
              <w:ind w:left="139"/>
              <w:jc w:val="left"/>
              <w:rPr>
                <w:sz w:val="16"/>
              </w:rPr>
            </w:pPr>
            <w:r>
              <w:rPr>
                <w:sz w:val="16"/>
              </w:rPr>
              <w:t>General</w:t>
            </w:r>
            <w:r>
              <w:rPr>
                <w:spacing w:val="-6"/>
                <w:sz w:val="16"/>
              </w:rPr>
              <w:t> </w:t>
            </w:r>
            <w:r>
              <w:rPr>
                <w:sz w:val="16"/>
              </w:rPr>
              <w:t>Service</w:t>
            </w:r>
            <w:r>
              <w:rPr>
                <w:spacing w:val="-4"/>
                <w:sz w:val="16"/>
              </w:rPr>
              <w:t> staff</w:t>
            </w:r>
          </w:p>
        </w:tc>
        <w:tc>
          <w:tcPr>
            <w:tcW w:w="1218" w:type="dxa"/>
            <w:tcBorders>
              <w:bottom w:val="single" w:sz="4" w:space="0" w:color="000000"/>
            </w:tcBorders>
            <w:shd w:val="clear" w:color="auto" w:fill="D9D9D9"/>
          </w:tcPr>
          <w:p>
            <w:pPr>
              <w:pStyle w:val="TableParagraph"/>
              <w:jc w:val="left"/>
              <w:rPr>
                <w:sz w:val="16"/>
              </w:rPr>
            </w:pPr>
          </w:p>
        </w:tc>
        <w:tc>
          <w:tcPr>
            <w:tcW w:w="828" w:type="dxa"/>
            <w:tcBorders>
              <w:bottom w:val="single" w:sz="4" w:space="0" w:color="000000"/>
            </w:tcBorders>
            <w:shd w:val="clear" w:color="auto" w:fill="D9D9D9"/>
          </w:tcPr>
          <w:p>
            <w:pPr>
              <w:pStyle w:val="TableParagraph"/>
              <w:jc w:val="left"/>
              <w:rPr>
                <w:sz w:val="16"/>
              </w:rPr>
            </w:pPr>
          </w:p>
        </w:tc>
        <w:tc>
          <w:tcPr>
            <w:tcW w:w="1133" w:type="dxa"/>
            <w:tcBorders>
              <w:bottom w:val="single" w:sz="4" w:space="0" w:color="000000"/>
            </w:tcBorders>
            <w:shd w:val="clear" w:color="auto" w:fill="D9D9D9"/>
          </w:tcPr>
          <w:p>
            <w:pPr>
              <w:pStyle w:val="TableParagraph"/>
              <w:jc w:val="left"/>
              <w:rPr>
                <w:sz w:val="16"/>
              </w:rPr>
            </w:pPr>
          </w:p>
        </w:tc>
        <w:tc>
          <w:tcPr>
            <w:tcW w:w="1078" w:type="dxa"/>
            <w:tcBorders>
              <w:bottom w:val="single" w:sz="4" w:space="0" w:color="000000"/>
            </w:tcBorders>
          </w:tcPr>
          <w:p>
            <w:pPr>
              <w:pStyle w:val="TableParagraph"/>
              <w:spacing w:before="10"/>
              <w:ind w:right="53"/>
              <w:rPr>
                <w:sz w:val="16"/>
              </w:rPr>
            </w:pPr>
            <w:r>
              <w:rPr>
                <w:w w:val="98"/>
                <w:sz w:val="16"/>
              </w:rPr>
              <w:t>-</w:t>
            </w:r>
          </w:p>
        </w:tc>
        <w:tc>
          <w:tcPr>
            <w:tcW w:w="1177" w:type="dxa"/>
            <w:tcBorders>
              <w:bottom w:val="single" w:sz="4" w:space="0" w:color="000000"/>
            </w:tcBorders>
          </w:tcPr>
          <w:p>
            <w:pPr>
              <w:pStyle w:val="TableParagraph"/>
              <w:spacing w:before="10"/>
              <w:ind w:right="241"/>
              <w:rPr>
                <w:sz w:val="16"/>
              </w:rPr>
            </w:pPr>
            <w:r>
              <w:rPr>
                <w:w w:val="98"/>
                <w:sz w:val="16"/>
              </w:rPr>
              <w:t>-</w:t>
            </w:r>
          </w:p>
        </w:tc>
        <w:tc>
          <w:tcPr>
            <w:tcW w:w="698" w:type="dxa"/>
            <w:tcBorders>
              <w:bottom w:val="single" w:sz="4" w:space="0" w:color="000000"/>
            </w:tcBorders>
          </w:tcPr>
          <w:p>
            <w:pPr>
              <w:pStyle w:val="TableParagraph"/>
              <w:spacing w:before="10"/>
              <w:ind w:left="288"/>
              <w:jc w:val="center"/>
              <w:rPr>
                <w:sz w:val="16"/>
              </w:rPr>
            </w:pPr>
            <w:r>
              <w:rPr>
                <w:w w:val="98"/>
                <w:sz w:val="16"/>
              </w:rPr>
              <w:t>-</w:t>
            </w:r>
          </w:p>
        </w:tc>
        <w:tc>
          <w:tcPr>
            <w:tcW w:w="1082" w:type="dxa"/>
            <w:tcBorders>
              <w:bottom w:val="single" w:sz="4" w:space="0" w:color="000000"/>
            </w:tcBorders>
          </w:tcPr>
          <w:p>
            <w:pPr>
              <w:pStyle w:val="TableParagraph"/>
              <w:spacing w:before="10"/>
              <w:ind w:right="134"/>
              <w:rPr>
                <w:sz w:val="16"/>
              </w:rPr>
            </w:pPr>
            <w:r>
              <w:rPr>
                <w:w w:val="98"/>
                <w:sz w:val="16"/>
              </w:rPr>
              <w:t>-</w:t>
            </w:r>
          </w:p>
        </w:tc>
      </w:tr>
      <w:tr>
        <w:trPr>
          <w:trHeight w:val="225" w:hRule="atLeast"/>
        </w:trPr>
        <w:tc>
          <w:tcPr>
            <w:tcW w:w="2483" w:type="dxa"/>
            <w:tcBorders>
              <w:top w:val="single" w:sz="4" w:space="0" w:color="000000"/>
              <w:bottom w:val="single" w:sz="4" w:space="0" w:color="000000"/>
            </w:tcBorders>
          </w:tcPr>
          <w:p>
            <w:pPr>
              <w:pStyle w:val="TableParagraph"/>
              <w:spacing w:before="9"/>
              <w:ind w:right="104"/>
              <w:rPr>
                <w:i/>
                <w:sz w:val="16"/>
              </w:rPr>
            </w:pPr>
            <w:r>
              <w:rPr>
                <w:i/>
                <w:sz w:val="16"/>
              </w:rPr>
              <w:t>Subtotal</w:t>
            </w:r>
            <w:r>
              <w:rPr>
                <w:i/>
                <w:spacing w:val="-1"/>
                <w:sz w:val="16"/>
              </w:rPr>
              <w:t> </w:t>
            </w:r>
            <w:r>
              <w:rPr>
                <w:i/>
                <w:spacing w:val="-2"/>
                <w:sz w:val="16"/>
              </w:rPr>
              <w:t>staff</w:t>
            </w:r>
          </w:p>
        </w:tc>
        <w:tc>
          <w:tcPr>
            <w:tcW w:w="1218" w:type="dxa"/>
            <w:tcBorders>
              <w:top w:val="single" w:sz="4" w:space="0" w:color="000000"/>
              <w:bottom w:val="single" w:sz="4" w:space="0" w:color="000000"/>
            </w:tcBorders>
          </w:tcPr>
          <w:p>
            <w:pPr>
              <w:pStyle w:val="TableParagraph"/>
              <w:spacing w:before="9"/>
              <w:ind w:right="193"/>
              <w:rPr>
                <w:i/>
                <w:sz w:val="16"/>
              </w:rPr>
            </w:pPr>
            <w:r>
              <w:rPr>
                <w:i/>
                <w:w w:val="98"/>
                <w:sz w:val="16"/>
              </w:rPr>
              <w:t>-</w:t>
            </w:r>
          </w:p>
        </w:tc>
        <w:tc>
          <w:tcPr>
            <w:tcW w:w="828" w:type="dxa"/>
            <w:tcBorders>
              <w:top w:val="single" w:sz="4" w:space="0" w:color="000000"/>
              <w:bottom w:val="single" w:sz="4" w:space="0" w:color="000000"/>
            </w:tcBorders>
          </w:tcPr>
          <w:p>
            <w:pPr>
              <w:pStyle w:val="TableParagraph"/>
              <w:spacing w:before="9"/>
              <w:ind w:right="109"/>
              <w:rPr>
                <w:i/>
                <w:sz w:val="16"/>
              </w:rPr>
            </w:pPr>
            <w:r>
              <w:rPr>
                <w:i/>
                <w:w w:val="98"/>
                <w:sz w:val="16"/>
              </w:rPr>
              <w:t>-</w:t>
            </w:r>
          </w:p>
        </w:tc>
        <w:tc>
          <w:tcPr>
            <w:tcW w:w="1133" w:type="dxa"/>
            <w:tcBorders>
              <w:top w:val="single" w:sz="4" w:space="0" w:color="000000"/>
              <w:bottom w:val="single" w:sz="4" w:space="0" w:color="000000"/>
            </w:tcBorders>
          </w:tcPr>
          <w:p>
            <w:pPr>
              <w:pStyle w:val="TableParagraph"/>
              <w:spacing w:before="9"/>
              <w:ind w:right="108"/>
              <w:rPr>
                <w:i/>
                <w:sz w:val="16"/>
              </w:rPr>
            </w:pPr>
            <w:r>
              <w:rPr>
                <w:i/>
                <w:w w:val="98"/>
                <w:sz w:val="16"/>
              </w:rPr>
              <w:t>-</w:t>
            </w:r>
          </w:p>
        </w:tc>
        <w:tc>
          <w:tcPr>
            <w:tcW w:w="1078" w:type="dxa"/>
            <w:tcBorders>
              <w:top w:val="single" w:sz="4" w:space="0" w:color="000000"/>
              <w:bottom w:val="single" w:sz="4" w:space="0" w:color="000000"/>
            </w:tcBorders>
          </w:tcPr>
          <w:p>
            <w:pPr>
              <w:pStyle w:val="TableParagraph"/>
              <w:spacing w:before="9"/>
              <w:ind w:right="53"/>
              <w:rPr>
                <w:i/>
                <w:sz w:val="16"/>
              </w:rPr>
            </w:pPr>
            <w:r>
              <w:rPr>
                <w:i/>
                <w:w w:val="98"/>
                <w:sz w:val="16"/>
              </w:rPr>
              <w:t>-</w:t>
            </w:r>
          </w:p>
        </w:tc>
        <w:tc>
          <w:tcPr>
            <w:tcW w:w="1177" w:type="dxa"/>
            <w:tcBorders>
              <w:top w:val="single" w:sz="4" w:space="0" w:color="000000"/>
              <w:bottom w:val="single" w:sz="4" w:space="0" w:color="000000"/>
            </w:tcBorders>
          </w:tcPr>
          <w:p>
            <w:pPr>
              <w:pStyle w:val="TableParagraph"/>
              <w:spacing w:before="9"/>
              <w:ind w:right="241"/>
              <w:rPr>
                <w:i/>
                <w:sz w:val="16"/>
              </w:rPr>
            </w:pPr>
            <w:r>
              <w:rPr>
                <w:i/>
                <w:w w:val="98"/>
                <w:sz w:val="16"/>
              </w:rPr>
              <w:t>-</w:t>
            </w:r>
          </w:p>
        </w:tc>
        <w:tc>
          <w:tcPr>
            <w:tcW w:w="698" w:type="dxa"/>
            <w:tcBorders>
              <w:top w:val="single" w:sz="4" w:space="0" w:color="000000"/>
              <w:bottom w:val="single" w:sz="4" w:space="0" w:color="000000"/>
            </w:tcBorders>
          </w:tcPr>
          <w:p>
            <w:pPr>
              <w:pStyle w:val="TableParagraph"/>
              <w:spacing w:before="9"/>
              <w:ind w:left="288"/>
              <w:jc w:val="center"/>
              <w:rPr>
                <w:i/>
                <w:sz w:val="16"/>
              </w:rPr>
            </w:pPr>
            <w:r>
              <w:rPr>
                <w:i/>
                <w:w w:val="98"/>
                <w:sz w:val="16"/>
              </w:rPr>
              <w:t>-</w:t>
            </w:r>
          </w:p>
        </w:tc>
        <w:tc>
          <w:tcPr>
            <w:tcW w:w="1082" w:type="dxa"/>
            <w:tcBorders>
              <w:top w:val="single" w:sz="4" w:space="0" w:color="000000"/>
              <w:bottom w:val="single" w:sz="4" w:space="0" w:color="000000"/>
            </w:tcBorders>
          </w:tcPr>
          <w:p>
            <w:pPr>
              <w:pStyle w:val="TableParagraph"/>
              <w:spacing w:before="9"/>
              <w:ind w:right="134"/>
              <w:rPr>
                <w:i/>
                <w:sz w:val="16"/>
              </w:rPr>
            </w:pPr>
            <w:r>
              <w:rPr>
                <w:i/>
                <w:w w:val="98"/>
                <w:sz w:val="16"/>
              </w:rPr>
              <w:t>-</w:t>
            </w:r>
          </w:p>
        </w:tc>
      </w:tr>
      <w:tr>
        <w:trPr>
          <w:trHeight w:val="229" w:hRule="atLeast"/>
        </w:trPr>
        <w:tc>
          <w:tcPr>
            <w:tcW w:w="2483" w:type="dxa"/>
            <w:tcBorders>
              <w:top w:val="single" w:sz="4" w:space="0" w:color="000000"/>
            </w:tcBorders>
          </w:tcPr>
          <w:p>
            <w:pPr>
              <w:pStyle w:val="TableParagraph"/>
              <w:spacing w:before="9"/>
              <w:ind w:left="139"/>
              <w:jc w:val="left"/>
              <w:rPr>
                <w:sz w:val="16"/>
              </w:rPr>
            </w:pPr>
            <w:r>
              <w:rPr>
                <w:sz w:val="16"/>
              </w:rPr>
              <w:t>General</w:t>
            </w:r>
            <w:r>
              <w:rPr>
                <w:spacing w:val="-4"/>
                <w:sz w:val="16"/>
              </w:rPr>
              <w:t> </w:t>
            </w:r>
            <w:r>
              <w:rPr>
                <w:sz w:val="16"/>
              </w:rPr>
              <w:t>temporary</w:t>
            </w:r>
            <w:r>
              <w:rPr>
                <w:spacing w:val="-1"/>
                <w:sz w:val="16"/>
              </w:rPr>
              <w:t> </w:t>
            </w:r>
            <w:r>
              <w:rPr>
                <w:spacing w:val="-2"/>
                <w:sz w:val="16"/>
              </w:rPr>
              <w:t>assistance</w:t>
            </w:r>
          </w:p>
        </w:tc>
        <w:tc>
          <w:tcPr>
            <w:tcW w:w="1218" w:type="dxa"/>
            <w:tcBorders>
              <w:top w:val="single" w:sz="4" w:space="0" w:color="000000"/>
            </w:tcBorders>
          </w:tcPr>
          <w:p>
            <w:pPr>
              <w:pStyle w:val="TableParagraph"/>
              <w:spacing w:before="9"/>
              <w:ind w:right="193"/>
              <w:rPr>
                <w:sz w:val="16"/>
              </w:rPr>
            </w:pPr>
            <w:r>
              <w:rPr>
                <w:w w:val="98"/>
                <w:sz w:val="16"/>
              </w:rPr>
              <w:t>-</w:t>
            </w:r>
          </w:p>
        </w:tc>
        <w:tc>
          <w:tcPr>
            <w:tcW w:w="828" w:type="dxa"/>
            <w:tcBorders>
              <w:top w:val="single" w:sz="4" w:space="0" w:color="000000"/>
            </w:tcBorders>
          </w:tcPr>
          <w:p>
            <w:pPr>
              <w:pStyle w:val="TableParagraph"/>
              <w:spacing w:before="9"/>
              <w:ind w:right="109"/>
              <w:rPr>
                <w:sz w:val="16"/>
              </w:rPr>
            </w:pPr>
            <w:r>
              <w:rPr>
                <w:w w:val="98"/>
                <w:sz w:val="16"/>
              </w:rPr>
              <w:t>-</w:t>
            </w:r>
          </w:p>
        </w:tc>
        <w:tc>
          <w:tcPr>
            <w:tcW w:w="1133" w:type="dxa"/>
            <w:tcBorders>
              <w:top w:val="single" w:sz="4" w:space="0" w:color="000000"/>
            </w:tcBorders>
          </w:tcPr>
          <w:p>
            <w:pPr>
              <w:pStyle w:val="TableParagraph"/>
              <w:spacing w:before="9"/>
              <w:ind w:right="108"/>
              <w:rPr>
                <w:sz w:val="16"/>
              </w:rPr>
            </w:pPr>
            <w:r>
              <w:rPr>
                <w:w w:val="98"/>
                <w:sz w:val="16"/>
              </w:rPr>
              <w:t>-</w:t>
            </w:r>
          </w:p>
        </w:tc>
        <w:tc>
          <w:tcPr>
            <w:tcW w:w="1078" w:type="dxa"/>
            <w:tcBorders>
              <w:top w:val="single" w:sz="4" w:space="0" w:color="000000"/>
            </w:tcBorders>
          </w:tcPr>
          <w:p>
            <w:pPr>
              <w:pStyle w:val="TableParagraph"/>
              <w:spacing w:before="9"/>
              <w:ind w:right="53"/>
              <w:rPr>
                <w:sz w:val="16"/>
              </w:rPr>
            </w:pPr>
            <w:r>
              <w:rPr>
                <w:w w:val="98"/>
                <w:sz w:val="16"/>
              </w:rPr>
              <w:t>-</w:t>
            </w:r>
          </w:p>
        </w:tc>
        <w:tc>
          <w:tcPr>
            <w:tcW w:w="1177" w:type="dxa"/>
            <w:tcBorders>
              <w:top w:val="single" w:sz="4" w:space="0" w:color="000000"/>
            </w:tcBorders>
          </w:tcPr>
          <w:p>
            <w:pPr>
              <w:pStyle w:val="TableParagraph"/>
              <w:spacing w:before="9"/>
              <w:ind w:right="241"/>
              <w:rPr>
                <w:sz w:val="16"/>
              </w:rPr>
            </w:pPr>
            <w:r>
              <w:rPr>
                <w:w w:val="98"/>
                <w:sz w:val="16"/>
              </w:rPr>
              <w:t>-</w:t>
            </w:r>
          </w:p>
        </w:tc>
        <w:tc>
          <w:tcPr>
            <w:tcW w:w="698" w:type="dxa"/>
            <w:tcBorders>
              <w:top w:val="single" w:sz="4" w:space="0" w:color="000000"/>
            </w:tcBorders>
          </w:tcPr>
          <w:p>
            <w:pPr>
              <w:pStyle w:val="TableParagraph"/>
              <w:spacing w:before="9"/>
              <w:ind w:left="288"/>
              <w:jc w:val="center"/>
              <w:rPr>
                <w:sz w:val="16"/>
              </w:rPr>
            </w:pPr>
            <w:r>
              <w:rPr>
                <w:w w:val="98"/>
                <w:sz w:val="16"/>
              </w:rPr>
              <w:t>-</w:t>
            </w:r>
          </w:p>
        </w:tc>
        <w:tc>
          <w:tcPr>
            <w:tcW w:w="1082" w:type="dxa"/>
            <w:tcBorders>
              <w:top w:val="single" w:sz="4" w:space="0" w:color="000000"/>
            </w:tcBorders>
          </w:tcPr>
          <w:p>
            <w:pPr>
              <w:pStyle w:val="TableParagraph"/>
              <w:spacing w:before="9"/>
              <w:ind w:right="134"/>
              <w:rPr>
                <w:sz w:val="16"/>
              </w:rPr>
            </w:pPr>
            <w:r>
              <w:rPr>
                <w:w w:val="98"/>
                <w:sz w:val="16"/>
              </w:rPr>
              <w:t>-</w:t>
            </w:r>
          </w:p>
        </w:tc>
      </w:tr>
      <w:tr>
        <w:trPr>
          <w:trHeight w:val="228" w:hRule="atLeast"/>
        </w:trPr>
        <w:tc>
          <w:tcPr>
            <w:tcW w:w="2483" w:type="dxa"/>
          </w:tcPr>
          <w:p>
            <w:pPr>
              <w:pStyle w:val="TableParagraph"/>
              <w:spacing w:before="10"/>
              <w:ind w:left="139"/>
              <w:jc w:val="left"/>
              <w:rPr>
                <w:sz w:val="16"/>
              </w:rPr>
            </w:pPr>
            <w:r>
              <w:rPr>
                <w:sz w:val="16"/>
              </w:rPr>
              <w:t>Temporary</w:t>
            </w:r>
            <w:r>
              <w:rPr>
                <w:spacing w:val="-3"/>
                <w:sz w:val="16"/>
              </w:rPr>
              <w:t> </w:t>
            </w:r>
            <w:r>
              <w:rPr>
                <w:sz w:val="16"/>
              </w:rPr>
              <w:t>assistance</w:t>
            </w:r>
            <w:r>
              <w:rPr>
                <w:spacing w:val="-4"/>
                <w:sz w:val="16"/>
              </w:rPr>
              <w:t> </w:t>
            </w:r>
            <w:r>
              <w:rPr>
                <w:sz w:val="16"/>
              </w:rPr>
              <w:t>for</w:t>
            </w:r>
            <w:r>
              <w:rPr>
                <w:spacing w:val="-5"/>
                <w:sz w:val="16"/>
              </w:rPr>
              <w:t> </w:t>
            </w:r>
            <w:r>
              <w:rPr>
                <w:spacing w:val="-2"/>
                <w:sz w:val="16"/>
              </w:rPr>
              <w:t>meetings</w:t>
            </w:r>
          </w:p>
        </w:tc>
        <w:tc>
          <w:tcPr>
            <w:tcW w:w="1218" w:type="dxa"/>
          </w:tcPr>
          <w:p>
            <w:pPr>
              <w:pStyle w:val="TableParagraph"/>
              <w:spacing w:before="10"/>
              <w:ind w:right="193"/>
              <w:rPr>
                <w:sz w:val="16"/>
              </w:rPr>
            </w:pPr>
            <w:r>
              <w:rPr>
                <w:w w:val="98"/>
                <w:sz w:val="16"/>
              </w:rPr>
              <w:t>-</w:t>
            </w:r>
          </w:p>
        </w:tc>
        <w:tc>
          <w:tcPr>
            <w:tcW w:w="828" w:type="dxa"/>
          </w:tcPr>
          <w:p>
            <w:pPr>
              <w:pStyle w:val="TableParagraph"/>
              <w:spacing w:before="10"/>
              <w:ind w:right="109"/>
              <w:rPr>
                <w:sz w:val="16"/>
              </w:rPr>
            </w:pPr>
            <w:r>
              <w:rPr>
                <w:w w:val="98"/>
                <w:sz w:val="16"/>
              </w:rPr>
              <w:t>-</w:t>
            </w:r>
          </w:p>
        </w:tc>
        <w:tc>
          <w:tcPr>
            <w:tcW w:w="1133" w:type="dxa"/>
          </w:tcPr>
          <w:p>
            <w:pPr>
              <w:pStyle w:val="TableParagraph"/>
              <w:spacing w:before="10"/>
              <w:ind w:right="108"/>
              <w:rPr>
                <w:sz w:val="16"/>
              </w:rPr>
            </w:pPr>
            <w:r>
              <w:rPr>
                <w:w w:val="98"/>
                <w:sz w:val="16"/>
              </w:rPr>
              <w:t>-</w:t>
            </w:r>
          </w:p>
        </w:tc>
        <w:tc>
          <w:tcPr>
            <w:tcW w:w="1078" w:type="dxa"/>
          </w:tcPr>
          <w:p>
            <w:pPr>
              <w:pStyle w:val="TableParagraph"/>
              <w:spacing w:before="10"/>
              <w:ind w:right="53"/>
              <w:rPr>
                <w:sz w:val="16"/>
              </w:rPr>
            </w:pPr>
            <w:r>
              <w:rPr>
                <w:w w:val="98"/>
                <w:sz w:val="16"/>
              </w:rPr>
              <w:t>-</w:t>
            </w:r>
          </w:p>
        </w:tc>
        <w:tc>
          <w:tcPr>
            <w:tcW w:w="1177" w:type="dxa"/>
          </w:tcPr>
          <w:p>
            <w:pPr>
              <w:pStyle w:val="TableParagraph"/>
              <w:spacing w:before="10"/>
              <w:ind w:right="241"/>
              <w:rPr>
                <w:sz w:val="16"/>
              </w:rPr>
            </w:pPr>
            <w:r>
              <w:rPr>
                <w:w w:val="98"/>
                <w:sz w:val="16"/>
              </w:rPr>
              <w:t>-</w:t>
            </w:r>
          </w:p>
        </w:tc>
        <w:tc>
          <w:tcPr>
            <w:tcW w:w="698" w:type="dxa"/>
          </w:tcPr>
          <w:p>
            <w:pPr>
              <w:pStyle w:val="TableParagraph"/>
              <w:spacing w:before="10"/>
              <w:ind w:left="288"/>
              <w:jc w:val="center"/>
              <w:rPr>
                <w:sz w:val="16"/>
              </w:rPr>
            </w:pPr>
            <w:r>
              <w:rPr>
                <w:w w:val="98"/>
                <w:sz w:val="16"/>
              </w:rPr>
              <w:t>-</w:t>
            </w:r>
          </w:p>
        </w:tc>
        <w:tc>
          <w:tcPr>
            <w:tcW w:w="1082" w:type="dxa"/>
          </w:tcPr>
          <w:p>
            <w:pPr>
              <w:pStyle w:val="TableParagraph"/>
              <w:spacing w:before="10"/>
              <w:ind w:right="134"/>
              <w:rPr>
                <w:sz w:val="16"/>
              </w:rPr>
            </w:pPr>
            <w:r>
              <w:rPr>
                <w:w w:val="98"/>
                <w:sz w:val="16"/>
              </w:rPr>
              <w:t>-</w:t>
            </w:r>
          </w:p>
        </w:tc>
      </w:tr>
      <w:tr>
        <w:trPr>
          <w:trHeight w:val="223" w:hRule="atLeast"/>
        </w:trPr>
        <w:tc>
          <w:tcPr>
            <w:tcW w:w="2483" w:type="dxa"/>
            <w:tcBorders>
              <w:bottom w:val="single" w:sz="4" w:space="0" w:color="000000"/>
            </w:tcBorders>
          </w:tcPr>
          <w:p>
            <w:pPr>
              <w:pStyle w:val="TableParagraph"/>
              <w:spacing w:before="7"/>
              <w:ind w:left="139"/>
              <w:jc w:val="left"/>
              <w:rPr>
                <w:sz w:val="16"/>
              </w:rPr>
            </w:pPr>
            <w:r>
              <w:rPr>
                <w:spacing w:val="-2"/>
                <w:sz w:val="16"/>
              </w:rPr>
              <w:t>Overtime</w:t>
            </w:r>
          </w:p>
        </w:tc>
        <w:tc>
          <w:tcPr>
            <w:tcW w:w="1218" w:type="dxa"/>
            <w:tcBorders>
              <w:bottom w:val="single" w:sz="4" w:space="0" w:color="000000"/>
            </w:tcBorders>
          </w:tcPr>
          <w:p>
            <w:pPr>
              <w:pStyle w:val="TableParagraph"/>
              <w:spacing w:before="7"/>
              <w:ind w:right="193"/>
              <w:rPr>
                <w:sz w:val="16"/>
              </w:rPr>
            </w:pPr>
            <w:r>
              <w:rPr>
                <w:w w:val="98"/>
                <w:sz w:val="16"/>
              </w:rPr>
              <w:t>-</w:t>
            </w:r>
          </w:p>
        </w:tc>
        <w:tc>
          <w:tcPr>
            <w:tcW w:w="828" w:type="dxa"/>
            <w:tcBorders>
              <w:bottom w:val="single" w:sz="4" w:space="0" w:color="000000"/>
            </w:tcBorders>
          </w:tcPr>
          <w:p>
            <w:pPr>
              <w:pStyle w:val="TableParagraph"/>
              <w:spacing w:before="7"/>
              <w:ind w:right="109"/>
              <w:rPr>
                <w:sz w:val="16"/>
              </w:rPr>
            </w:pPr>
            <w:r>
              <w:rPr>
                <w:w w:val="98"/>
                <w:sz w:val="16"/>
              </w:rPr>
              <w:t>-</w:t>
            </w:r>
          </w:p>
        </w:tc>
        <w:tc>
          <w:tcPr>
            <w:tcW w:w="1133" w:type="dxa"/>
            <w:tcBorders>
              <w:bottom w:val="single" w:sz="4" w:space="0" w:color="000000"/>
            </w:tcBorders>
          </w:tcPr>
          <w:p>
            <w:pPr>
              <w:pStyle w:val="TableParagraph"/>
              <w:spacing w:before="7"/>
              <w:ind w:right="108"/>
              <w:rPr>
                <w:sz w:val="16"/>
              </w:rPr>
            </w:pPr>
            <w:r>
              <w:rPr>
                <w:w w:val="98"/>
                <w:sz w:val="16"/>
              </w:rPr>
              <w:t>-</w:t>
            </w:r>
          </w:p>
        </w:tc>
        <w:tc>
          <w:tcPr>
            <w:tcW w:w="1078" w:type="dxa"/>
            <w:tcBorders>
              <w:bottom w:val="single" w:sz="4" w:space="0" w:color="000000"/>
            </w:tcBorders>
          </w:tcPr>
          <w:p>
            <w:pPr>
              <w:pStyle w:val="TableParagraph"/>
              <w:spacing w:before="7"/>
              <w:ind w:right="53"/>
              <w:rPr>
                <w:sz w:val="16"/>
              </w:rPr>
            </w:pPr>
            <w:r>
              <w:rPr>
                <w:w w:val="98"/>
                <w:sz w:val="16"/>
              </w:rPr>
              <w:t>-</w:t>
            </w:r>
          </w:p>
        </w:tc>
        <w:tc>
          <w:tcPr>
            <w:tcW w:w="1177" w:type="dxa"/>
            <w:tcBorders>
              <w:bottom w:val="single" w:sz="4" w:space="0" w:color="000000"/>
            </w:tcBorders>
          </w:tcPr>
          <w:p>
            <w:pPr>
              <w:pStyle w:val="TableParagraph"/>
              <w:spacing w:before="7"/>
              <w:ind w:right="241"/>
              <w:rPr>
                <w:sz w:val="16"/>
              </w:rPr>
            </w:pPr>
            <w:r>
              <w:rPr>
                <w:w w:val="98"/>
                <w:sz w:val="16"/>
              </w:rPr>
              <w:t>-</w:t>
            </w:r>
          </w:p>
        </w:tc>
        <w:tc>
          <w:tcPr>
            <w:tcW w:w="698" w:type="dxa"/>
            <w:tcBorders>
              <w:bottom w:val="single" w:sz="4" w:space="0" w:color="000000"/>
            </w:tcBorders>
          </w:tcPr>
          <w:p>
            <w:pPr>
              <w:pStyle w:val="TableParagraph"/>
              <w:spacing w:before="7"/>
              <w:ind w:left="288"/>
              <w:jc w:val="center"/>
              <w:rPr>
                <w:sz w:val="16"/>
              </w:rPr>
            </w:pPr>
            <w:r>
              <w:rPr>
                <w:w w:val="98"/>
                <w:sz w:val="16"/>
              </w:rPr>
              <w:t>-</w:t>
            </w:r>
          </w:p>
        </w:tc>
        <w:tc>
          <w:tcPr>
            <w:tcW w:w="1082" w:type="dxa"/>
            <w:tcBorders>
              <w:bottom w:val="single" w:sz="4" w:space="0" w:color="000000"/>
            </w:tcBorders>
          </w:tcPr>
          <w:p>
            <w:pPr>
              <w:pStyle w:val="TableParagraph"/>
              <w:spacing w:before="7"/>
              <w:ind w:right="134"/>
              <w:rPr>
                <w:sz w:val="16"/>
              </w:rPr>
            </w:pPr>
            <w:r>
              <w:rPr>
                <w:w w:val="98"/>
                <w:sz w:val="16"/>
              </w:rPr>
              <w:t>-</w:t>
            </w:r>
          </w:p>
        </w:tc>
      </w:tr>
      <w:tr>
        <w:trPr>
          <w:trHeight w:val="225" w:hRule="atLeast"/>
        </w:trPr>
        <w:tc>
          <w:tcPr>
            <w:tcW w:w="2483" w:type="dxa"/>
            <w:tcBorders>
              <w:top w:val="single" w:sz="4" w:space="0" w:color="000000"/>
              <w:bottom w:val="single" w:sz="4" w:space="0" w:color="000000"/>
            </w:tcBorders>
          </w:tcPr>
          <w:p>
            <w:pPr>
              <w:pStyle w:val="TableParagraph"/>
              <w:spacing w:before="9"/>
              <w:ind w:right="105"/>
              <w:rPr>
                <w:i/>
                <w:sz w:val="16"/>
              </w:rPr>
            </w:pPr>
            <w:r>
              <w:rPr>
                <w:i/>
                <w:sz w:val="16"/>
              </w:rPr>
              <w:t>Subtotal</w:t>
            </w:r>
            <w:r>
              <w:rPr>
                <w:i/>
                <w:spacing w:val="-2"/>
                <w:sz w:val="16"/>
              </w:rPr>
              <w:t> </w:t>
            </w:r>
            <w:r>
              <w:rPr>
                <w:i/>
                <w:sz w:val="16"/>
              </w:rPr>
              <w:t>other</w:t>
            </w:r>
            <w:r>
              <w:rPr>
                <w:i/>
                <w:spacing w:val="-1"/>
                <w:sz w:val="16"/>
              </w:rPr>
              <w:t> </w:t>
            </w:r>
            <w:r>
              <w:rPr>
                <w:i/>
                <w:spacing w:val="-2"/>
                <w:sz w:val="16"/>
              </w:rPr>
              <w:t>staff</w:t>
            </w:r>
          </w:p>
        </w:tc>
        <w:tc>
          <w:tcPr>
            <w:tcW w:w="1218" w:type="dxa"/>
            <w:tcBorders>
              <w:top w:val="single" w:sz="4" w:space="0" w:color="000000"/>
              <w:bottom w:val="single" w:sz="4" w:space="0" w:color="000000"/>
            </w:tcBorders>
          </w:tcPr>
          <w:p>
            <w:pPr>
              <w:pStyle w:val="TableParagraph"/>
              <w:spacing w:before="9"/>
              <w:ind w:right="193"/>
              <w:rPr>
                <w:i/>
                <w:sz w:val="16"/>
              </w:rPr>
            </w:pPr>
            <w:r>
              <w:rPr>
                <w:i/>
                <w:w w:val="98"/>
                <w:sz w:val="16"/>
              </w:rPr>
              <w:t>-</w:t>
            </w:r>
          </w:p>
        </w:tc>
        <w:tc>
          <w:tcPr>
            <w:tcW w:w="828" w:type="dxa"/>
            <w:tcBorders>
              <w:top w:val="single" w:sz="4" w:space="0" w:color="000000"/>
              <w:bottom w:val="single" w:sz="4" w:space="0" w:color="000000"/>
            </w:tcBorders>
          </w:tcPr>
          <w:p>
            <w:pPr>
              <w:pStyle w:val="TableParagraph"/>
              <w:spacing w:before="9"/>
              <w:ind w:right="109"/>
              <w:rPr>
                <w:i/>
                <w:sz w:val="16"/>
              </w:rPr>
            </w:pPr>
            <w:r>
              <w:rPr>
                <w:i/>
                <w:w w:val="98"/>
                <w:sz w:val="16"/>
              </w:rPr>
              <w:t>-</w:t>
            </w:r>
          </w:p>
        </w:tc>
        <w:tc>
          <w:tcPr>
            <w:tcW w:w="1133" w:type="dxa"/>
            <w:tcBorders>
              <w:top w:val="single" w:sz="4" w:space="0" w:color="000000"/>
              <w:bottom w:val="single" w:sz="4" w:space="0" w:color="000000"/>
            </w:tcBorders>
          </w:tcPr>
          <w:p>
            <w:pPr>
              <w:pStyle w:val="TableParagraph"/>
              <w:spacing w:before="9"/>
              <w:ind w:right="108"/>
              <w:rPr>
                <w:i/>
                <w:sz w:val="16"/>
              </w:rPr>
            </w:pPr>
            <w:r>
              <w:rPr>
                <w:i/>
                <w:w w:val="98"/>
                <w:sz w:val="16"/>
              </w:rPr>
              <w:t>-</w:t>
            </w:r>
          </w:p>
        </w:tc>
        <w:tc>
          <w:tcPr>
            <w:tcW w:w="1078" w:type="dxa"/>
            <w:tcBorders>
              <w:top w:val="single" w:sz="4" w:space="0" w:color="000000"/>
              <w:bottom w:val="single" w:sz="4" w:space="0" w:color="000000"/>
            </w:tcBorders>
          </w:tcPr>
          <w:p>
            <w:pPr>
              <w:pStyle w:val="TableParagraph"/>
              <w:spacing w:before="9"/>
              <w:ind w:right="53"/>
              <w:rPr>
                <w:i/>
                <w:sz w:val="16"/>
              </w:rPr>
            </w:pPr>
            <w:r>
              <w:rPr>
                <w:i/>
                <w:w w:val="98"/>
                <w:sz w:val="16"/>
              </w:rPr>
              <w:t>-</w:t>
            </w:r>
          </w:p>
        </w:tc>
        <w:tc>
          <w:tcPr>
            <w:tcW w:w="1177" w:type="dxa"/>
            <w:tcBorders>
              <w:top w:val="single" w:sz="4" w:space="0" w:color="000000"/>
              <w:bottom w:val="single" w:sz="4" w:space="0" w:color="000000"/>
            </w:tcBorders>
          </w:tcPr>
          <w:p>
            <w:pPr>
              <w:pStyle w:val="TableParagraph"/>
              <w:spacing w:before="9"/>
              <w:ind w:right="241"/>
              <w:rPr>
                <w:i/>
                <w:sz w:val="16"/>
              </w:rPr>
            </w:pPr>
            <w:r>
              <w:rPr>
                <w:i/>
                <w:w w:val="98"/>
                <w:sz w:val="16"/>
              </w:rPr>
              <w:t>-</w:t>
            </w:r>
          </w:p>
        </w:tc>
        <w:tc>
          <w:tcPr>
            <w:tcW w:w="698" w:type="dxa"/>
            <w:tcBorders>
              <w:top w:val="single" w:sz="4" w:space="0" w:color="000000"/>
              <w:bottom w:val="single" w:sz="4" w:space="0" w:color="000000"/>
            </w:tcBorders>
          </w:tcPr>
          <w:p>
            <w:pPr>
              <w:pStyle w:val="TableParagraph"/>
              <w:spacing w:before="9"/>
              <w:ind w:left="288"/>
              <w:jc w:val="center"/>
              <w:rPr>
                <w:i/>
                <w:sz w:val="16"/>
              </w:rPr>
            </w:pPr>
            <w:r>
              <w:rPr>
                <w:i/>
                <w:w w:val="98"/>
                <w:sz w:val="16"/>
              </w:rPr>
              <w:t>-</w:t>
            </w:r>
          </w:p>
        </w:tc>
        <w:tc>
          <w:tcPr>
            <w:tcW w:w="1082" w:type="dxa"/>
            <w:tcBorders>
              <w:top w:val="single" w:sz="4" w:space="0" w:color="000000"/>
              <w:bottom w:val="single" w:sz="4" w:space="0" w:color="000000"/>
            </w:tcBorders>
          </w:tcPr>
          <w:p>
            <w:pPr>
              <w:pStyle w:val="TableParagraph"/>
              <w:spacing w:before="9"/>
              <w:ind w:right="134"/>
              <w:rPr>
                <w:i/>
                <w:sz w:val="16"/>
              </w:rPr>
            </w:pPr>
            <w:r>
              <w:rPr>
                <w:i/>
                <w:w w:val="98"/>
                <w:sz w:val="16"/>
              </w:rPr>
              <w:t>-</w:t>
            </w:r>
          </w:p>
        </w:tc>
      </w:tr>
      <w:tr>
        <w:trPr>
          <w:trHeight w:val="231" w:hRule="atLeast"/>
        </w:trPr>
        <w:tc>
          <w:tcPr>
            <w:tcW w:w="2483" w:type="dxa"/>
            <w:tcBorders>
              <w:top w:val="single" w:sz="4" w:space="0" w:color="000000"/>
            </w:tcBorders>
          </w:tcPr>
          <w:p>
            <w:pPr>
              <w:pStyle w:val="TableParagraph"/>
              <w:spacing w:before="14"/>
              <w:ind w:left="139"/>
              <w:jc w:val="left"/>
              <w:rPr>
                <w:sz w:val="16"/>
              </w:rPr>
            </w:pPr>
            <w:r>
              <w:rPr>
                <w:spacing w:val="-2"/>
                <w:sz w:val="16"/>
              </w:rPr>
              <w:t>Travel</w:t>
            </w:r>
          </w:p>
        </w:tc>
        <w:tc>
          <w:tcPr>
            <w:tcW w:w="1218" w:type="dxa"/>
            <w:tcBorders>
              <w:top w:val="single" w:sz="4" w:space="0" w:color="000000"/>
            </w:tcBorders>
          </w:tcPr>
          <w:p>
            <w:pPr>
              <w:pStyle w:val="TableParagraph"/>
              <w:spacing w:before="14"/>
              <w:ind w:right="193"/>
              <w:rPr>
                <w:sz w:val="16"/>
              </w:rPr>
            </w:pPr>
            <w:r>
              <w:rPr>
                <w:w w:val="98"/>
                <w:sz w:val="16"/>
              </w:rPr>
              <w:t>-</w:t>
            </w:r>
          </w:p>
        </w:tc>
        <w:tc>
          <w:tcPr>
            <w:tcW w:w="828" w:type="dxa"/>
            <w:tcBorders>
              <w:top w:val="single" w:sz="4" w:space="0" w:color="000000"/>
            </w:tcBorders>
          </w:tcPr>
          <w:p>
            <w:pPr>
              <w:pStyle w:val="TableParagraph"/>
              <w:spacing w:before="14"/>
              <w:ind w:right="109"/>
              <w:rPr>
                <w:sz w:val="16"/>
              </w:rPr>
            </w:pPr>
            <w:r>
              <w:rPr>
                <w:w w:val="98"/>
                <w:sz w:val="16"/>
              </w:rPr>
              <w:t>-</w:t>
            </w:r>
          </w:p>
        </w:tc>
        <w:tc>
          <w:tcPr>
            <w:tcW w:w="1133" w:type="dxa"/>
            <w:tcBorders>
              <w:top w:val="single" w:sz="4" w:space="0" w:color="000000"/>
            </w:tcBorders>
          </w:tcPr>
          <w:p>
            <w:pPr>
              <w:pStyle w:val="TableParagraph"/>
              <w:spacing w:before="14"/>
              <w:ind w:right="108"/>
              <w:rPr>
                <w:sz w:val="16"/>
              </w:rPr>
            </w:pPr>
            <w:r>
              <w:rPr>
                <w:w w:val="98"/>
                <w:sz w:val="16"/>
              </w:rPr>
              <w:t>-</w:t>
            </w:r>
          </w:p>
        </w:tc>
        <w:tc>
          <w:tcPr>
            <w:tcW w:w="1078" w:type="dxa"/>
            <w:tcBorders>
              <w:top w:val="single" w:sz="4" w:space="0" w:color="000000"/>
            </w:tcBorders>
          </w:tcPr>
          <w:p>
            <w:pPr>
              <w:pStyle w:val="TableParagraph"/>
              <w:spacing w:before="14"/>
              <w:ind w:right="53"/>
              <w:rPr>
                <w:sz w:val="16"/>
              </w:rPr>
            </w:pPr>
            <w:r>
              <w:rPr>
                <w:w w:val="98"/>
                <w:sz w:val="16"/>
              </w:rPr>
              <w:t>-</w:t>
            </w:r>
          </w:p>
        </w:tc>
        <w:tc>
          <w:tcPr>
            <w:tcW w:w="1177" w:type="dxa"/>
            <w:tcBorders>
              <w:top w:val="single" w:sz="4" w:space="0" w:color="000000"/>
            </w:tcBorders>
          </w:tcPr>
          <w:p>
            <w:pPr>
              <w:pStyle w:val="TableParagraph"/>
              <w:spacing w:before="14"/>
              <w:ind w:right="241"/>
              <w:rPr>
                <w:sz w:val="16"/>
              </w:rPr>
            </w:pPr>
            <w:r>
              <w:rPr>
                <w:w w:val="98"/>
                <w:sz w:val="16"/>
              </w:rPr>
              <w:t>-</w:t>
            </w:r>
          </w:p>
        </w:tc>
        <w:tc>
          <w:tcPr>
            <w:tcW w:w="698" w:type="dxa"/>
            <w:tcBorders>
              <w:top w:val="single" w:sz="4" w:space="0" w:color="000000"/>
            </w:tcBorders>
          </w:tcPr>
          <w:p>
            <w:pPr>
              <w:pStyle w:val="TableParagraph"/>
              <w:spacing w:before="14"/>
              <w:ind w:left="288"/>
              <w:jc w:val="center"/>
              <w:rPr>
                <w:sz w:val="16"/>
              </w:rPr>
            </w:pPr>
            <w:r>
              <w:rPr>
                <w:w w:val="98"/>
                <w:sz w:val="16"/>
              </w:rPr>
              <w:t>-</w:t>
            </w:r>
          </w:p>
        </w:tc>
        <w:tc>
          <w:tcPr>
            <w:tcW w:w="1082" w:type="dxa"/>
            <w:tcBorders>
              <w:top w:val="single" w:sz="4" w:space="0" w:color="000000"/>
            </w:tcBorders>
          </w:tcPr>
          <w:p>
            <w:pPr>
              <w:pStyle w:val="TableParagraph"/>
              <w:spacing w:before="14"/>
              <w:ind w:right="134"/>
              <w:rPr>
                <w:sz w:val="16"/>
              </w:rPr>
            </w:pPr>
            <w:r>
              <w:rPr>
                <w:w w:val="98"/>
                <w:sz w:val="16"/>
              </w:rPr>
              <w:t>-</w:t>
            </w:r>
          </w:p>
        </w:tc>
      </w:tr>
      <w:tr>
        <w:trPr>
          <w:trHeight w:val="225" w:hRule="atLeast"/>
        </w:trPr>
        <w:tc>
          <w:tcPr>
            <w:tcW w:w="2483" w:type="dxa"/>
          </w:tcPr>
          <w:p>
            <w:pPr>
              <w:pStyle w:val="TableParagraph"/>
              <w:spacing w:before="7"/>
              <w:ind w:left="139"/>
              <w:jc w:val="left"/>
              <w:rPr>
                <w:sz w:val="16"/>
              </w:rPr>
            </w:pPr>
            <w:r>
              <w:rPr>
                <w:spacing w:val="-2"/>
                <w:sz w:val="16"/>
              </w:rPr>
              <w:t>Hospitality</w:t>
            </w:r>
          </w:p>
        </w:tc>
        <w:tc>
          <w:tcPr>
            <w:tcW w:w="1218" w:type="dxa"/>
          </w:tcPr>
          <w:p>
            <w:pPr>
              <w:pStyle w:val="TableParagraph"/>
              <w:spacing w:before="7"/>
              <w:ind w:right="193"/>
              <w:rPr>
                <w:sz w:val="16"/>
              </w:rPr>
            </w:pPr>
            <w:r>
              <w:rPr>
                <w:w w:val="98"/>
                <w:sz w:val="16"/>
              </w:rPr>
              <w:t>-</w:t>
            </w:r>
          </w:p>
        </w:tc>
        <w:tc>
          <w:tcPr>
            <w:tcW w:w="828" w:type="dxa"/>
          </w:tcPr>
          <w:p>
            <w:pPr>
              <w:pStyle w:val="TableParagraph"/>
              <w:spacing w:before="7"/>
              <w:ind w:right="109"/>
              <w:rPr>
                <w:sz w:val="16"/>
              </w:rPr>
            </w:pPr>
            <w:r>
              <w:rPr>
                <w:w w:val="98"/>
                <w:sz w:val="16"/>
              </w:rPr>
              <w:t>-</w:t>
            </w:r>
          </w:p>
        </w:tc>
        <w:tc>
          <w:tcPr>
            <w:tcW w:w="1133" w:type="dxa"/>
          </w:tcPr>
          <w:p>
            <w:pPr>
              <w:pStyle w:val="TableParagraph"/>
              <w:spacing w:before="7"/>
              <w:ind w:right="108"/>
              <w:rPr>
                <w:sz w:val="16"/>
              </w:rPr>
            </w:pPr>
            <w:r>
              <w:rPr>
                <w:w w:val="98"/>
                <w:sz w:val="16"/>
              </w:rPr>
              <w:t>-</w:t>
            </w:r>
          </w:p>
        </w:tc>
        <w:tc>
          <w:tcPr>
            <w:tcW w:w="1078" w:type="dxa"/>
          </w:tcPr>
          <w:p>
            <w:pPr>
              <w:pStyle w:val="TableParagraph"/>
              <w:spacing w:before="7"/>
              <w:ind w:right="53"/>
              <w:rPr>
                <w:sz w:val="16"/>
              </w:rPr>
            </w:pPr>
            <w:r>
              <w:rPr>
                <w:w w:val="98"/>
                <w:sz w:val="16"/>
              </w:rPr>
              <w:t>-</w:t>
            </w:r>
          </w:p>
        </w:tc>
        <w:tc>
          <w:tcPr>
            <w:tcW w:w="1177" w:type="dxa"/>
          </w:tcPr>
          <w:p>
            <w:pPr>
              <w:pStyle w:val="TableParagraph"/>
              <w:spacing w:before="7"/>
              <w:ind w:right="241"/>
              <w:rPr>
                <w:sz w:val="16"/>
              </w:rPr>
            </w:pPr>
            <w:r>
              <w:rPr>
                <w:w w:val="98"/>
                <w:sz w:val="16"/>
              </w:rPr>
              <w:t>-</w:t>
            </w:r>
          </w:p>
        </w:tc>
        <w:tc>
          <w:tcPr>
            <w:tcW w:w="698" w:type="dxa"/>
          </w:tcPr>
          <w:p>
            <w:pPr>
              <w:pStyle w:val="TableParagraph"/>
              <w:spacing w:before="7"/>
              <w:ind w:left="288"/>
              <w:jc w:val="center"/>
              <w:rPr>
                <w:sz w:val="16"/>
              </w:rPr>
            </w:pPr>
            <w:r>
              <w:rPr>
                <w:w w:val="98"/>
                <w:sz w:val="16"/>
              </w:rPr>
              <w:t>-</w:t>
            </w:r>
          </w:p>
        </w:tc>
        <w:tc>
          <w:tcPr>
            <w:tcW w:w="1082" w:type="dxa"/>
          </w:tcPr>
          <w:p>
            <w:pPr>
              <w:pStyle w:val="TableParagraph"/>
              <w:spacing w:before="7"/>
              <w:ind w:right="134"/>
              <w:rPr>
                <w:sz w:val="16"/>
              </w:rPr>
            </w:pPr>
            <w:r>
              <w:rPr>
                <w:w w:val="98"/>
                <w:sz w:val="16"/>
              </w:rPr>
              <w:t>-</w:t>
            </w:r>
          </w:p>
        </w:tc>
      </w:tr>
      <w:tr>
        <w:trPr>
          <w:trHeight w:val="228" w:hRule="atLeast"/>
        </w:trPr>
        <w:tc>
          <w:tcPr>
            <w:tcW w:w="2483" w:type="dxa"/>
          </w:tcPr>
          <w:p>
            <w:pPr>
              <w:pStyle w:val="TableParagraph"/>
              <w:spacing w:before="7"/>
              <w:ind w:left="139"/>
              <w:jc w:val="left"/>
              <w:rPr>
                <w:sz w:val="16"/>
              </w:rPr>
            </w:pPr>
            <w:r>
              <w:rPr>
                <w:w w:val="95"/>
                <w:sz w:val="16"/>
              </w:rPr>
              <w:t>Contractual</w:t>
            </w:r>
            <w:r>
              <w:rPr>
                <w:spacing w:val="33"/>
                <w:sz w:val="16"/>
              </w:rPr>
              <w:t> </w:t>
            </w:r>
            <w:r>
              <w:rPr>
                <w:spacing w:val="-2"/>
                <w:sz w:val="16"/>
              </w:rPr>
              <w:t>services</w:t>
            </w:r>
          </w:p>
        </w:tc>
        <w:tc>
          <w:tcPr>
            <w:tcW w:w="1218" w:type="dxa"/>
          </w:tcPr>
          <w:p>
            <w:pPr>
              <w:pStyle w:val="TableParagraph"/>
              <w:spacing w:before="7"/>
              <w:ind w:right="193"/>
              <w:rPr>
                <w:sz w:val="16"/>
              </w:rPr>
            </w:pPr>
            <w:r>
              <w:rPr>
                <w:w w:val="98"/>
                <w:sz w:val="16"/>
              </w:rPr>
              <w:t>-</w:t>
            </w:r>
          </w:p>
        </w:tc>
        <w:tc>
          <w:tcPr>
            <w:tcW w:w="828" w:type="dxa"/>
          </w:tcPr>
          <w:p>
            <w:pPr>
              <w:pStyle w:val="TableParagraph"/>
              <w:spacing w:before="7"/>
              <w:ind w:right="109"/>
              <w:rPr>
                <w:sz w:val="16"/>
              </w:rPr>
            </w:pPr>
            <w:r>
              <w:rPr>
                <w:w w:val="98"/>
                <w:sz w:val="16"/>
              </w:rPr>
              <w:t>-</w:t>
            </w:r>
          </w:p>
        </w:tc>
        <w:tc>
          <w:tcPr>
            <w:tcW w:w="1133" w:type="dxa"/>
          </w:tcPr>
          <w:p>
            <w:pPr>
              <w:pStyle w:val="TableParagraph"/>
              <w:spacing w:before="7"/>
              <w:ind w:right="108"/>
              <w:rPr>
                <w:sz w:val="16"/>
              </w:rPr>
            </w:pPr>
            <w:r>
              <w:rPr>
                <w:w w:val="98"/>
                <w:sz w:val="16"/>
              </w:rPr>
              <w:t>-</w:t>
            </w:r>
          </w:p>
        </w:tc>
        <w:tc>
          <w:tcPr>
            <w:tcW w:w="1078" w:type="dxa"/>
          </w:tcPr>
          <w:p>
            <w:pPr>
              <w:pStyle w:val="TableParagraph"/>
              <w:spacing w:before="7"/>
              <w:ind w:right="53"/>
              <w:rPr>
                <w:sz w:val="16"/>
              </w:rPr>
            </w:pPr>
            <w:r>
              <w:rPr>
                <w:w w:val="98"/>
                <w:sz w:val="16"/>
              </w:rPr>
              <w:t>-</w:t>
            </w:r>
          </w:p>
        </w:tc>
        <w:tc>
          <w:tcPr>
            <w:tcW w:w="1177" w:type="dxa"/>
          </w:tcPr>
          <w:p>
            <w:pPr>
              <w:pStyle w:val="TableParagraph"/>
              <w:spacing w:before="7"/>
              <w:ind w:right="241"/>
              <w:rPr>
                <w:sz w:val="16"/>
              </w:rPr>
            </w:pPr>
            <w:r>
              <w:rPr>
                <w:w w:val="98"/>
                <w:sz w:val="16"/>
              </w:rPr>
              <w:t>-</w:t>
            </w:r>
          </w:p>
        </w:tc>
        <w:tc>
          <w:tcPr>
            <w:tcW w:w="698" w:type="dxa"/>
          </w:tcPr>
          <w:p>
            <w:pPr>
              <w:pStyle w:val="TableParagraph"/>
              <w:spacing w:before="7"/>
              <w:ind w:left="288"/>
              <w:jc w:val="center"/>
              <w:rPr>
                <w:sz w:val="16"/>
              </w:rPr>
            </w:pPr>
            <w:r>
              <w:rPr>
                <w:w w:val="98"/>
                <w:sz w:val="16"/>
              </w:rPr>
              <w:t>-</w:t>
            </w:r>
          </w:p>
        </w:tc>
        <w:tc>
          <w:tcPr>
            <w:tcW w:w="1082" w:type="dxa"/>
          </w:tcPr>
          <w:p>
            <w:pPr>
              <w:pStyle w:val="TableParagraph"/>
              <w:spacing w:before="7"/>
              <w:ind w:right="134"/>
              <w:rPr>
                <w:sz w:val="16"/>
              </w:rPr>
            </w:pPr>
            <w:r>
              <w:rPr>
                <w:w w:val="98"/>
                <w:sz w:val="16"/>
              </w:rPr>
              <w:t>-</w:t>
            </w:r>
          </w:p>
        </w:tc>
      </w:tr>
      <w:tr>
        <w:trPr>
          <w:trHeight w:val="227" w:hRule="atLeast"/>
        </w:trPr>
        <w:tc>
          <w:tcPr>
            <w:tcW w:w="2483" w:type="dxa"/>
          </w:tcPr>
          <w:p>
            <w:pPr>
              <w:pStyle w:val="TableParagraph"/>
              <w:spacing w:before="10"/>
              <w:ind w:left="139"/>
              <w:jc w:val="left"/>
              <w:rPr>
                <w:sz w:val="16"/>
              </w:rPr>
            </w:pPr>
            <w:r>
              <w:rPr>
                <w:spacing w:val="-2"/>
                <w:sz w:val="16"/>
              </w:rPr>
              <w:t>Training</w:t>
            </w:r>
          </w:p>
        </w:tc>
        <w:tc>
          <w:tcPr>
            <w:tcW w:w="1218" w:type="dxa"/>
          </w:tcPr>
          <w:p>
            <w:pPr>
              <w:pStyle w:val="TableParagraph"/>
              <w:spacing w:before="10"/>
              <w:ind w:right="193"/>
              <w:rPr>
                <w:sz w:val="16"/>
              </w:rPr>
            </w:pPr>
            <w:r>
              <w:rPr>
                <w:w w:val="98"/>
                <w:sz w:val="16"/>
              </w:rPr>
              <w:t>-</w:t>
            </w:r>
          </w:p>
        </w:tc>
        <w:tc>
          <w:tcPr>
            <w:tcW w:w="828" w:type="dxa"/>
          </w:tcPr>
          <w:p>
            <w:pPr>
              <w:pStyle w:val="TableParagraph"/>
              <w:spacing w:before="10"/>
              <w:ind w:right="109"/>
              <w:rPr>
                <w:sz w:val="16"/>
              </w:rPr>
            </w:pPr>
            <w:r>
              <w:rPr>
                <w:w w:val="98"/>
                <w:sz w:val="16"/>
              </w:rPr>
              <w:t>-</w:t>
            </w:r>
          </w:p>
        </w:tc>
        <w:tc>
          <w:tcPr>
            <w:tcW w:w="1133" w:type="dxa"/>
          </w:tcPr>
          <w:p>
            <w:pPr>
              <w:pStyle w:val="TableParagraph"/>
              <w:spacing w:before="10"/>
              <w:ind w:right="108"/>
              <w:rPr>
                <w:sz w:val="16"/>
              </w:rPr>
            </w:pPr>
            <w:r>
              <w:rPr>
                <w:w w:val="98"/>
                <w:sz w:val="16"/>
              </w:rPr>
              <w:t>-</w:t>
            </w:r>
          </w:p>
        </w:tc>
        <w:tc>
          <w:tcPr>
            <w:tcW w:w="1078" w:type="dxa"/>
          </w:tcPr>
          <w:p>
            <w:pPr>
              <w:pStyle w:val="TableParagraph"/>
              <w:spacing w:before="10"/>
              <w:ind w:right="53"/>
              <w:rPr>
                <w:sz w:val="16"/>
              </w:rPr>
            </w:pPr>
            <w:r>
              <w:rPr>
                <w:w w:val="98"/>
                <w:sz w:val="16"/>
              </w:rPr>
              <w:t>-</w:t>
            </w:r>
          </w:p>
        </w:tc>
        <w:tc>
          <w:tcPr>
            <w:tcW w:w="1177" w:type="dxa"/>
          </w:tcPr>
          <w:p>
            <w:pPr>
              <w:pStyle w:val="TableParagraph"/>
              <w:spacing w:before="10"/>
              <w:ind w:right="241"/>
              <w:rPr>
                <w:sz w:val="16"/>
              </w:rPr>
            </w:pPr>
            <w:r>
              <w:rPr>
                <w:w w:val="98"/>
                <w:sz w:val="16"/>
              </w:rPr>
              <w:t>-</w:t>
            </w:r>
          </w:p>
        </w:tc>
        <w:tc>
          <w:tcPr>
            <w:tcW w:w="698" w:type="dxa"/>
          </w:tcPr>
          <w:p>
            <w:pPr>
              <w:pStyle w:val="TableParagraph"/>
              <w:spacing w:before="10"/>
              <w:ind w:left="288"/>
              <w:jc w:val="center"/>
              <w:rPr>
                <w:sz w:val="16"/>
              </w:rPr>
            </w:pPr>
            <w:r>
              <w:rPr>
                <w:w w:val="98"/>
                <w:sz w:val="16"/>
              </w:rPr>
              <w:t>-</w:t>
            </w:r>
          </w:p>
        </w:tc>
        <w:tc>
          <w:tcPr>
            <w:tcW w:w="1082" w:type="dxa"/>
          </w:tcPr>
          <w:p>
            <w:pPr>
              <w:pStyle w:val="TableParagraph"/>
              <w:spacing w:before="10"/>
              <w:ind w:right="134"/>
              <w:rPr>
                <w:sz w:val="16"/>
              </w:rPr>
            </w:pPr>
            <w:r>
              <w:rPr>
                <w:w w:val="98"/>
                <w:sz w:val="16"/>
              </w:rPr>
              <w:t>-</w:t>
            </w:r>
          </w:p>
        </w:tc>
      </w:tr>
      <w:tr>
        <w:trPr>
          <w:trHeight w:val="225" w:hRule="atLeast"/>
        </w:trPr>
        <w:tc>
          <w:tcPr>
            <w:tcW w:w="2483" w:type="dxa"/>
          </w:tcPr>
          <w:p>
            <w:pPr>
              <w:pStyle w:val="TableParagraph"/>
              <w:spacing w:before="7"/>
              <w:ind w:left="139"/>
              <w:jc w:val="left"/>
              <w:rPr>
                <w:sz w:val="16"/>
              </w:rPr>
            </w:pPr>
            <w:r>
              <w:rPr>
                <w:spacing w:val="-2"/>
                <w:sz w:val="16"/>
              </w:rPr>
              <w:t>Consultants</w:t>
            </w:r>
          </w:p>
        </w:tc>
        <w:tc>
          <w:tcPr>
            <w:tcW w:w="1218" w:type="dxa"/>
          </w:tcPr>
          <w:p>
            <w:pPr>
              <w:pStyle w:val="TableParagraph"/>
              <w:spacing w:before="7"/>
              <w:ind w:right="193"/>
              <w:rPr>
                <w:sz w:val="16"/>
              </w:rPr>
            </w:pPr>
            <w:r>
              <w:rPr>
                <w:w w:val="98"/>
                <w:sz w:val="16"/>
              </w:rPr>
              <w:t>-</w:t>
            </w:r>
          </w:p>
        </w:tc>
        <w:tc>
          <w:tcPr>
            <w:tcW w:w="828" w:type="dxa"/>
          </w:tcPr>
          <w:p>
            <w:pPr>
              <w:pStyle w:val="TableParagraph"/>
              <w:spacing w:before="7"/>
              <w:ind w:right="109"/>
              <w:rPr>
                <w:sz w:val="16"/>
              </w:rPr>
            </w:pPr>
            <w:r>
              <w:rPr>
                <w:w w:val="98"/>
                <w:sz w:val="16"/>
              </w:rPr>
              <w:t>-</w:t>
            </w:r>
          </w:p>
        </w:tc>
        <w:tc>
          <w:tcPr>
            <w:tcW w:w="1133" w:type="dxa"/>
          </w:tcPr>
          <w:p>
            <w:pPr>
              <w:pStyle w:val="TableParagraph"/>
              <w:spacing w:before="7"/>
              <w:ind w:right="108"/>
              <w:rPr>
                <w:sz w:val="16"/>
              </w:rPr>
            </w:pPr>
            <w:r>
              <w:rPr>
                <w:w w:val="98"/>
                <w:sz w:val="16"/>
              </w:rPr>
              <w:t>-</w:t>
            </w:r>
          </w:p>
        </w:tc>
        <w:tc>
          <w:tcPr>
            <w:tcW w:w="1078" w:type="dxa"/>
          </w:tcPr>
          <w:p>
            <w:pPr>
              <w:pStyle w:val="TableParagraph"/>
              <w:spacing w:before="7"/>
              <w:ind w:right="53"/>
              <w:rPr>
                <w:sz w:val="16"/>
              </w:rPr>
            </w:pPr>
            <w:r>
              <w:rPr>
                <w:w w:val="98"/>
                <w:sz w:val="16"/>
              </w:rPr>
              <w:t>-</w:t>
            </w:r>
          </w:p>
        </w:tc>
        <w:tc>
          <w:tcPr>
            <w:tcW w:w="1177" w:type="dxa"/>
          </w:tcPr>
          <w:p>
            <w:pPr>
              <w:pStyle w:val="TableParagraph"/>
              <w:spacing w:before="7"/>
              <w:ind w:right="239"/>
              <w:rPr>
                <w:sz w:val="16"/>
              </w:rPr>
            </w:pPr>
            <w:r>
              <w:rPr>
                <w:spacing w:val="-4"/>
                <w:sz w:val="16"/>
              </w:rPr>
              <w:t>40.0</w:t>
            </w:r>
          </w:p>
        </w:tc>
        <w:tc>
          <w:tcPr>
            <w:tcW w:w="698" w:type="dxa"/>
          </w:tcPr>
          <w:p>
            <w:pPr>
              <w:pStyle w:val="TableParagraph"/>
              <w:spacing w:before="7"/>
              <w:ind w:left="288"/>
              <w:jc w:val="center"/>
              <w:rPr>
                <w:sz w:val="16"/>
              </w:rPr>
            </w:pPr>
            <w:r>
              <w:rPr>
                <w:w w:val="98"/>
                <w:sz w:val="16"/>
              </w:rPr>
              <w:t>-</w:t>
            </w:r>
          </w:p>
        </w:tc>
        <w:tc>
          <w:tcPr>
            <w:tcW w:w="1082" w:type="dxa"/>
          </w:tcPr>
          <w:p>
            <w:pPr>
              <w:pStyle w:val="TableParagraph"/>
              <w:spacing w:before="7"/>
              <w:ind w:right="132"/>
              <w:rPr>
                <w:sz w:val="16"/>
              </w:rPr>
            </w:pPr>
            <w:r>
              <w:rPr>
                <w:spacing w:val="-4"/>
                <w:sz w:val="16"/>
              </w:rPr>
              <w:t>40.0</w:t>
            </w:r>
          </w:p>
        </w:tc>
      </w:tr>
      <w:tr>
        <w:trPr>
          <w:trHeight w:val="228" w:hRule="atLeast"/>
        </w:trPr>
        <w:tc>
          <w:tcPr>
            <w:tcW w:w="2483" w:type="dxa"/>
          </w:tcPr>
          <w:p>
            <w:pPr>
              <w:pStyle w:val="TableParagraph"/>
              <w:spacing w:before="7"/>
              <w:ind w:left="139"/>
              <w:jc w:val="left"/>
              <w:rPr>
                <w:sz w:val="16"/>
              </w:rPr>
            </w:pPr>
            <w:r>
              <w:rPr>
                <w:sz w:val="16"/>
              </w:rPr>
              <w:t>General</w:t>
            </w:r>
            <w:r>
              <w:rPr>
                <w:spacing w:val="-4"/>
                <w:sz w:val="16"/>
              </w:rPr>
              <w:t> </w:t>
            </w:r>
            <w:r>
              <w:rPr>
                <w:sz w:val="16"/>
              </w:rPr>
              <w:t>operating</w:t>
            </w:r>
            <w:r>
              <w:rPr>
                <w:spacing w:val="-1"/>
                <w:sz w:val="16"/>
              </w:rPr>
              <w:t> </w:t>
            </w:r>
            <w:r>
              <w:rPr>
                <w:spacing w:val="-2"/>
                <w:sz w:val="16"/>
              </w:rPr>
              <w:t>expenses</w:t>
            </w:r>
          </w:p>
        </w:tc>
        <w:tc>
          <w:tcPr>
            <w:tcW w:w="1218" w:type="dxa"/>
          </w:tcPr>
          <w:p>
            <w:pPr>
              <w:pStyle w:val="TableParagraph"/>
              <w:spacing w:before="7"/>
              <w:ind w:right="192"/>
              <w:rPr>
                <w:sz w:val="16"/>
              </w:rPr>
            </w:pPr>
            <w:r>
              <w:rPr>
                <w:spacing w:val="-2"/>
                <w:sz w:val="16"/>
              </w:rPr>
              <w:t>2,270.0</w:t>
            </w:r>
          </w:p>
        </w:tc>
        <w:tc>
          <w:tcPr>
            <w:tcW w:w="828" w:type="dxa"/>
          </w:tcPr>
          <w:p>
            <w:pPr>
              <w:pStyle w:val="TableParagraph"/>
              <w:spacing w:before="7"/>
              <w:ind w:right="109"/>
              <w:rPr>
                <w:sz w:val="16"/>
              </w:rPr>
            </w:pPr>
            <w:r>
              <w:rPr>
                <w:w w:val="98"/>
                <w:sz w:val="16"/>
              </w:rPr>
              <w:t>-</w:t>
            </w:r>
          </w:p>
        </w:tc>
        <w:tc>
          <w:tcPr>
            <w:tcW w:w="1133" w:type="dxa"/>
          </w:tcPr>
          <w:p>
            <w:pPr>
              <w:pStyle w:val="TableParagraph"/>
              <w:spacing w:before="7"/>
              <w:ind w:right="107"/>
              <w:rPr>
                <w:sz w:val="16"/>
              </w:rPr>
            </w:pPr>
            <w:r>
              <w:rPr>
                <w:spacing w:val="-2"/>
                <w:sz w:val="16"/>
              </w:rPr>
              <w:t>2,270.0</w:t>
            </w:r>
          </w:p>
        </w:tc>
        <w:tc>
          <w:tcPr>
            <w:tcW w:w="1078" w:type="dxa"/>
          </w:tcPr>
          <w:p>
            <w:pPr>
              <w:pStyle w:val="TableParagraph"/>
              <w:spacing w:before="7"/>
              <w:ind w:right="52"/>
              <w:rPr>
                <w:sz w:val="16"/>
              </w:rPr>
            </w:pPr>
            <w:r>
              <w:rPr>
                <w:spacing w:val="-2"/>
                <w:sz w:val="16"/>
              </w:rPr>
              <w:t>2,270.0</w:t>
            </w:r>
          </w:p>
        </w:tc>
        <w:tc>
          <w:tcPr>
            <w:tcW w:w="1177" w:type="dxa"/>
          </w:tcPr>
          <w:p>
            <w:pPr>
              <w:pStyle w:val="TableParagraph"/>
              <w:spacing w:before="7"/>
              <w:ind w:right="239"/>
              <w:rPr>
                <w:sz w:val="16"/>
              </w:rPr>
            </w:pPr>
            <w:r>
              <w:rPr>
                <w:spacing w:val="-2"/>
                <w:sz w:val="16"/>
              </w:rPr>
              <w:t>227.0</w:t>
            </w:r>
          </w:p>
        </w:tc>
        <w:tc>
          <w:tcPr>
            <w:tcW w:w="698" w:type="dxa"/>
          </w:tcPr>
          <w:p>
            <w:pPr>
              <w:pStyle w:val="TableParagraph"/>
              <w:spacing w:before="7"/>
              <w:ind w:left="228" w:right="163"/>
              <w:jc w:val="center"/>
              <w:rPr>
                <w:sz w:val="16"/>
              </w:rPr>
            </w:pPr>
            <w:r>
              <w:rPr>
                <w:spacing w:val="-4"/>
                <w:sz w:val="16"/>
              </w:rPr>
              <w:t>10.0</w:t>
            </w:r>
          </w:p>
        </w:tc>
        <w:tc>
          <w:tcPr>
            <w:tcW w:w="1082" w:type="dxa"/>
          </w:tcPr>
          <w:p>
            <w:pPr>
              <w:pStyle w:val="TableParagraph"/>
              <w:spacing w:before="7"/>
              <w:ind w:right="132"/>
              <w:rPr>
                <w:sz w:val="16"/>
              </w:rPr>
            </w:pPr>
            <w:r>
              <w:rPr>
                <w:spacing w:val="-2"/>
                <w:sz w:val="16"/>
              </w:rPr>
              <w:t>2,497.0</w:t>
            </w:r>
          </w:p>
        </w:tc>
      </w:tr>
      <w:tr>
        <w:trPr>
          <w:trHeight w:val="228" w:hRule="atLeast"/>
        </w:trPr>
        <w:tc>
          <w:tcPr>
            <w:tcW w:w="2483" w:type="dxa"/>
          </w:tcPr>
          <w:p>
            <w:pPr>
              <w:pStyle w:val="TableParagraph"/>
              <w:spacing w:before="10"/>
              <w:ind w:left="139"/>
              <w:jc w:val="left"/>
              <w:rPr>
                <w:sz w:val="16"/>
              </w:rPr>
            </w:pPr>
            <w:r>
              <w:rPr>
                <w:sz w:val="16"/>
              </w:rPr>
              <w:t>Supplies</w:t>
            </w:r>
            <w:r>
              <w:rPr>
                <w:spacing w:val="-4"/>
                <w:sz w:val="16"/>
              </w:rPr>
              <w:t> </w:t>
            </w:r>
            <w:r>
              <w:rPr>
                <w:sz w:val="16"/>
              </w:rPr>
              <w:t>and</w:t>
            </w:r>
            <w:r>
              <w:rPr>
                <w:spacing w:val="-2"/>
                <w:sz w:val="16"/>
              </w:rPr>
              <w:t> materials</w:t>
            </w:r>
          </w:p>
        </w:tc>
        <w:tc>
          <w:tcPr>
            <w:tcW w:w="1218" w:type="dxa"/>
          </w:tcPr>
          <w:p>
            <w:pPr>
              <w:pStyle w:val="TableParagraph"/>
              <w:spacing w:before="10"/>
              <w:ind w:right="193"/>
              <w:rPr>
                <w:sz w:val="16"/>
              </w:rPr>
            </w:pPr>
            <w:r>
              <w:rPr>
                <w:w w:val="98"/>
                <w:sz w:val="16"/>
              </w:rPr>
              <w:t>-</w:t>
            </w:r>
          </w:p>
        </w:tc>
        <w:tc>
          <w:tcPr>
            <w:tcW w:w="828" w:type="dxa"/>
          </w:tcPr>
          <w:p>
            <w:pPr>
              <w:pStyle w:val="TableParagraph"/>
              <w:spacing w:before="10"/>
              <w:ind w:right="109"/>
              <w:rPr>
                <w:sz w:val="16"/>
              </w:rPr>
            </w:pPr>
            <w:r>
              <w:rPr>
                <w:w w:val="98"/>
                <w:sz w:val="16"/>
              </w:rPr>
              <w:t>-</w:t>
            </w:r>
          </w:p>
        </w:tc>
        <w:tc>
          <w:tcPr>
            <w:tcW w:w="1133" w:type="dxa"/>
          </w:tcPr>
          <w:p>
            <w:pPr>
              <w:pStyle w:val="TableParagraph"/>
              <w:spacing w:before="10"/>
              <w:ind w:right="108"/>
              <w:rPr>
                <w:sz w:val="16"/>
              </w:rPr>
            </w:pPr>
            <w:r>
              <w:rPr>
                <w:w w:val="98"/>
                <w:sz w:val="16"/>
              </w:rPr>
              <w:t>-</w:t>
            </w:r>
          </w:p>
        </w:tc>
        <w:tc>
          <w:tcPr>
            <w:tcW w:w="1078" w:type="dxa"/>
          </w:tcPr>
          <w:p>
            <w:pPr>
              <w:pStyle w:val="TableParagraph"/>
              <w:spacing w:before="10"/>
              <w:ind w:right="53"/>
              <w:rPr>
                <w:sz w:val="16"/>
              </w:rPr>
            </w:pPr>
            <w:r>
              <w:rPr>
                <w:w w:val="98"/>
                <w:sz w:val="16"/>
              </w:rPr>
              <w:t>-</w:t>
            </w:r>
          </w:p>
        </w:tc>
        <w:tc>
          <w:tcPr>
            <w:tcW w:w="1177" w:type="dxa"/>
          </w:tcPr>
          <w:p>
            <w:pPr>
              <w:pStyle w:val="TableParagraph"/>
              <w:spacing w:before="10"/>
              <w:ind w:right="241"/>
              <w:rPr>
                <w:sz w:val="16"/>
              </w:rPr>
            </w:pPr>
            <w:r>
              <w:rPr>
                <w:w w:val="98"/>
                <w:sz w:val="16"/>
              </w:rPr>
              <w:t>-</w:t>
            </w:r>
          </w:p>
        </w:tc>
        <w:tc>
          <w:tcPr>
            <w:tcW w:w="698" w:type="dxa"/>
          </w:tcPr>
          <w:p>
            <w:pPr>
              <w:pStyle w:val="TableParagraph"/>
              <w:spacing w:before="10"/>
              <w:ind w:left="288"/>
              <w:jc w:val="center"/>
              <w:rPr>
                <w:sz w:val="16"/>
              </w:rPr>
            </w:pPr>
            <w:r>
              <w:rPr>
                <w:w w:val="98"/>
                <w:sz w:val="16"/>
              </w:rPr>
              <w:t>-</w:t>
            </w:r>
          </w:p>
        </w:tc>
        <w:tc>
          <w:tcPr>
            <w:tcW w:w="1082" w:type="dxa"/>
          </w:tcPr>
          <w:p>
            <w:pPr>
              <w:pStyle w:val="TableParagraph"/>
              <w:spacing w:before="10"/>
              <w:ind w:right="134"/>
              <w:rPr>
                <w:sz w:val="16"/>
              </w:rPr>
            </w:pPr>
            <w:r>
              <w:rPr>
                <w:w w:val="98"/>
                <w:sz w:val="16"/>
              </w:rPr>
              <w:t>-</w:t>
            </w:r>
          </w:p>
        </w:tc>
      </w:tr>
      <w:tr>
        <w:trPr>
          <w:trHeight w:val="223" w:hRule="atLeast"/>
        </w:trPr>
        <w:tc>
          <w:tcPr>
            <w:tcW w:w="2483" w:type="dxa"/>
            <w:tcBorders>
              <w:bottom w:val="single" w:sz="4" w:space="0" w:color="000000"/>
            </w:tcBorders>
          </w:tcPr>
          <w:p>
            <w:pPr>
              <w:pStyle w:val="TableParagraph"/>
              <w:spacing w:before="7"/>
              <w:ind w:left="139"/>
              <w:jc w:val="left"/>
              <w:rPr>
                <w:sz w:val="16"/>
              </w:rPr>
            </w:pPr>
            <w:r>
              <w:rPr>
                <w:sz w:val="16"/>
              </w:rPr>
              <w:t>Furniture</w:t>
            </w:r>
            <w:r>
              <w:rPr>
                <w:spacing w:val="-4"/>
                <w:sz w:val="16"/>
              </w:rPr>
              <w:t> </w:t>
            </w:r>
            <w:r>
              <w:rPr>
                <w:sz w:val="16"/>
              </w:rPr>
              <w:t>and</w:t>
            </w:r>
            <w:r>
              <w:rPr>
                <w:spacing w:val="-2"/>
                <w:sz w:val="16"/>
              </w:rPr>
              <w:t> equipment</w:t>
            </w:r>
          </w:p>
        </w:tc>
        <w:tc>
          <w:tcPr>
            <w:tcW w:w="1218" w:type="dxa"/>
            <w:tcBorders>
              <w:bottom w:val="single" w:sz="4" w:space="0" w:color="000000"/>
            </w:tcBorders>
          </w:tcPr>
          <w:p>
            <w:pPr>
              <w:pStyle w:val="TableParagraph"/>
              <w:spacing w:before="7"/>
              <w:ind w:right="193"/>
              <w:rPr>
                <w:sz w:val="16"/>
              </w:rPr>
            </w:pPr>
            <w:r>
              <w:rPr>
                <w:w w:val="98"/>
                <w:sz w:val="16"/>
              </w:rPr>
              <w:t>-</w:t>
            </w:r>
          </w:p>
        </w:tc>
        <w:tc>
          <w:tcPr>
            <w:tcW w:w="828" w:type="dxa"/>
            <w:tcBorders>
              <w:bottom w:val="single" w:sz="4" w:space="0" w:color="000000"/>
            </w:tcBorders>
          </w:tcPr>
          <w:p>
            <w:pPr>
              <w:pStyle w:val="TableParagraph"/>
              <w:spacing w:before="7"/>
              <w:ind w:right="109"/>
              <w:rPr>
                <w:sz w:val="16"/>
              </w:rPr>
            </w:pPr>
            <w:r>
              <w:rPr>
                <w:w w:val="98"/>
                <w:sz w:val="16"/>
              </w:rPr>
              <w:t>-</w:t>
            </w:r>
          </w:p>
        </w:tc>
        <w:tc>
          <w:tcPr>
            <w:tcW w:w="1133" w:type="dxa"/>
            <w:tcBorders>
              <w:bottom w:val="single" w:sz="4" w:space="0" w:color="000000"/>
            </w:tcBorders>
          </w:tcPr>
          <w:p>
            <w:pPr>
              <w:pStyle w:val="TableParagraph"/>
              <w:spacing w:before="7"/>
              <w:ind w:right="108"/>
              <w:rPr>
                <w:sz w:val="16"/>
              </w:rPr>
            </w:pPr>
            <w:r>
              <w:rPr>
                <w:w w:val="98"/>
                <w:sz w:val="16"/>
              </w:rPr>
              <w:t>-</w:t>
            </w:r>
          </w:p>
        </w:tc>
        <w:tc>
          <w:tcPr>
            <w:tcW w:w="1078" w:type="dxa"/>
            <w:tcBorders>
              <w:bottom w:val="single" w:sz="4" w:space="0" w:color="000000"/>
            </w:tcBorders>
          </w:tcPr>
          <w:p>
            <w:pPr>
              <w:pStyle w:val="TableParagraph"/>
              <w:spacing w:before="7"/>
              <w:ind w:right="53"/>
              <w:rPr>
                <w:sz w:val="16"/>
              </w:rPr>
            </w:pPr>
            <w:r>
              <w:rPr>
                <w:w w:val="98"/>
                <w:sz w:val="16"/>
              </w:rPr>
              <w:t>-</w:t>
            </w:r>
          </w:p>
        </w:tc>
        <w:tc>
          <w:tcPr>
            <w:tcW w:w="1177" w:type="dxa"/>
            <w:tcBorders>
              <w:bottom w:val="single" w:sz="4" w:space="0" w:color="000000"/>
            </w:tcBorders>
          </w:tcPr>
          <w:p>
            <w:pPr>
              <w:pStyle w:val="TableParagraph"/>
              <w:spacing w:before="7"/>
              <w:ind w:right="241"/>
              <w:rPr>
                <w:sz w:val="16"/>
              </w:rPr>
            </w:pPr>
            <w:r>
              <w:rPr>
                <w:w w:val="98"/>
                <w:sz w:val="16"/>
              </w:rPr>
              <w:t>-</w:t>
            </w:r>
          </w:p>
        </w:tc>
        <w:tc>
          <w:tcPr>
            <w:tcW w:w="698" w:type="dxa"/>
            <w:tcBorders>
              <w:bottom w:val="single" w:sz="4" w:space="0" w:color="000000"/>
            </w:tcBorders>
          </w:tcPr>
          <w:p>
            <w:pPr>
              <w:pStyle w:val="TableParagraph"/>
              <w:spacing w:before="7"/>
              <w:ind w:left="288"/>
              <w:jc w:val="center"/>
              <w:rPr>
                <w:sz w:val="16"/>
              </w:rPr>
            </w:pPr>
            <w:r>
              <w:rPr>
                <w:w w:val="98"/>
                <w:sz w:val="16"/>
              </w:rPr>
              <w:t>-</w:t>
            </w:r>
          </w:p>
        </w:tc>
        <w:tc>
          <w:tcPr>
            <w:tcW w:w="1082" w:type="dxa"/>
            <w:tcBorders>
              <w:bottom w:val="single" w:sz="4" w:space="0" w:color="000000"/>
            </w:tcBorders>
          </w:tcPr>
          <w:p>
            <w:pPr>
              <w:pStyle w:val="TableParagraph"/>
              <w:spacing w:before="7"/>
              <w:ind w:right="134"/>
              <w:rPr>
                <w:sz w:val="16"/>
              </w:rPr>
            </w:pPr>
            <w:r>
              <w:rPr>
                <w:w w:val="98"/>
                <w:sz w:val="16"/>
              </w:rPr>
              <w:t>-</w:t>
            </w:r>
          </w:p>
        </w:tc>
      </w:tr>
      <w:tr>
        <w:trPr>
          <w:trHeight w:val="225" w:hRule="atLeast"/>
        </w:trPr>
        <w:tc>
          <w:tcPr>
            <w:tcW w:w="2483" w:type="dxa"/>
            <w:tcBorders>
              <w:top w:val="single" w:sz="4" w:space="0" w:color="000000"/>
              <w:bottom w:val="single" w:sz="4" w:space="0" w:color="000000"/>
            </w:tcBorders>
          </w:tcPr>
          <w:p>
            <w:pPr>
              <w:pStyle w:val="TableParagraph"/>
              <w:spacing w:before="9"/>
              <w:ind w:right="103"/>
              <w:rPr>
                <w:i/>
                <w:sz w:val="16"/>
              </w:rPr>
            </w:pPr>
            <w:r>
              <w:rPr>
                <w:i/>
                <w:w w:val="95"/>
                <w:sz w:val="16"/>
              </w:rPr>
              <w:t>Subtotal</w:t>
            </w:r>
            <w:r>
              <w:rPr>
                <w:i/>
                <w:spacing w:val="40"/>
                <w:sz w:val="16"/>
              </w:rPr>
              <w:t> </w:t>
            </w:r>
            <w:r>
              <w:rPr>
                <w:i/>
                <w:w w:val="95"/>
                <w:sz w:val="16"/>
              </w:rPr>
              <w:t>non-</w:t>
            </w:r>
            <w:r>
              <w:rPr>
                <w:i/>
                <w:spacing w:val="-4"/>
                <w:w w:val="95"/>
                <w:sz w:val="16"/>
              </w:rPr>
              <w:t>staff</w:t>
            </w:r>
          </w:p>
        </w:tc>
        <w:tc>
          <w:tcPr>
            <w:tcW w:w="1218" w:type="dxa"/>
            <w:tcBorders>
              <w:top w:val="single" w:sz="4" w:space="0" w:color="000000"/>
              <w:bottom w:val="single" w:sz="4" w:space="0" w:color="000000"/>
            </w:tcBorders>
          </w:tcPr>
          <w:p>
            <w:pPr>
              <w:pStyle w:val="TableParagraph"/>
              <w:spacing w:before="9"/>
              <w:ind w:right="192"/>
              <w:rPr>
                <w:i/>
                <w:sz w:val="16"/>
              </w:rPr>
            </w:pPr>
            <w:r>
              <w:rPr>
                <w:i/>
                <w:spacing w:val="-2"/>
                <w:sz w:val="16"/>
              </w:rPr>
              <w:t>2,270.0</w:t>
            </w:r>
          </w:p>
        </w:tc>
        <w:tc>
          <w:tcPr>
            <w:tcW w:w="828" w:type="dxa"/>
            <w:tcBorders>
              <w:top w:val="single" w:sz="4" w:space="0" w:color="000000"/>
              <w:bottom w:val="single" w:sz="4" w:space="0" w:color="000000"/>
            </w:tcBorders>
          </w:tcPr>
          <w:p>
            <w:pPr>
              <w:pStyle w:val="TableParagraph"/>
              <w:spacing w:before="9"/>
              <w:ind w:right="109"/>
              <w:rPr>
                <w:i/>
                <w:sz w:val="16"/>
              </w:rPr>
            </w:pPr>
            <w:r>
              <w:rPr>
                <w:i/>
                <w:w w:val="98"/>
                <w:sz w:val="16"/>
              </w:rPr>
              <w:t>-</w:t>
            </w:r>
          </w:p>
        </w:tc>
        <w:tc>
          <w:tcPr>
            <w:tcW w:w="1133" w:type="dxa"/>
            <w:tcBorders>
              <w:top w:val="single" w:sz="4" w:space="0" w:color="000000"/>
              <w:bottom w:val="single" w:sz="4" w:space="0" w:color="000000"/>
            </w:tcBorders>
          </w:tcPr>
          <w:p>
            <w:pPr>
              <w:pStyle w:val="TableParagraph"/>
              <w:spacing w:before="9"/>
              <w:ind w:right="107"/>
              <w:rPr>
                <w:i/>
                <w:sz w:val="16"/>
              </w:rPr>
            </w:pPr>
            <w:r>
              <w:rPr>
                <w:i/>
                <w:spacing w:val="-2"/>
                <w:sz w:val="16"/>
              </w:rPr>
              <w:t>2,270.0</w:t>
            </w:r>
          </w:p>
        </w:tc>
        <w:tc>
          <w:tcPr>
            <w:tcW w:w="1078" w:type="dxa"/>
            <w:tcBorders>
              <w:top w:val="single" w:sz="4" w:space="0" w:color="000000"/>
              <w:bottom w:val="single" w:sz="4" w:space="0" w:color="000000"/>
            </w:tcBorders>
          </w:tcPr>
          <w:p>
            <w:pPr>
              <w:pStyle w:val="TableParagraph"/>
              <w:spacing w:before="9"/>
              <w:ind w:right="52"/>
              <w:rPr>
                <w:i/>
                <w:sz w:val="16"/>
              </w:rPr>
            </w:pPr>
            <w:r>
              <w:rPr>
                <w:i/>
                <w:spacing w:val="-2"/>
                <w:sz w:val="16"/>
              </w:rPr>
              <w:t>2,270.0</w:t>
            </w:r>
          </w:p>
        </w:tc>
        <w:tc>
          <w:tcPr>
            <w:tcW w:w="1177" w:type="dxa"/>
            <w:tcBorders>
              <w:top w:val="single" w:sz="4" w:space="0" w:color="000000"/>
              <w:bottom w:val="single" w:sz="4" w:space="0" w:color="000000"/>
            </w:tcBorders>
          </w:tcPr>
          <w:p>
            <w:pPr>
              <w:pStyle w:val="TableParagraph"/>
              <w:spacing w:before="9"/>
              <w:ind w:right="239"/>
              <w:rPr>
                <w:i/>
                <w:sz w:val="16"/>
              </w:rPr>
            </w:pPr>
            <w:r>
              <w:rPr>
                <w:i/>
                <w:spacing w:val="-2"/>
                <w:sz w:val="16"/>
              </w:rPr>
              <w:t>267.0</w:t>
            </w:r>
          </w:p>
        </w:tc>
        <w:tc>
          <w:tcPr>
            <w:tcW w:w="698" w:type="dxa"/>
            <w:tcBorders>
              <w:top w:val="single" w:sz="4" w:space="0" w:color="000000"/>
              <w:bottom w:val="single" w:sz="4" w:space="0" w:color="000000"/>
            </w:tcBorders>
          </w:tcPr>
          <w:p>
            <w:pPr>
              <w:pStyle w:val="TableParagraph"/>
              <w:spacing w:before="9"/>
              <w:ind w:left="228" w:right="163"/>
              <w:jc w:val="center"/>
              <w:rPr>
                <w:i/>
                <w:sz w:val="16"/>
              </w:rPr>
            </w:pPr>
            <w:r>
              <w:rPr>
                <w:i/>
                <w:spacing w:val="-4"/>
                <w:sz w:val="16"/>
              </w:rPr>
              <w:t>11.8</w:t>
            </w:r>
          </w:p>
        </w:tc>
        <w:tc>
          <w:tcPr>
            <w:tcW w:w="1082" w:type="dxa"/>
            <w:tcBorders>
              <w:top w:val="single" w:sz="4" w:space="0" w:color="000000"/>
              <w:bottom w:val="single" w:sz="4" w:space="0" w:color="000000"/>
            </w:tcBorders>
          </w:tcPr>
          <w:p>
            <w:pPr>
              <w:pStyle w:val="TableParagraph"/>
              <w:spacing w:before="9"/>
              <w:ind w:right="132"/>
              <w:rPr>
                <w:i/>
                <w:sz w:val="16"/>
              </w:rPr>
            </w:pPr>
            <w:r>
              <w:rPr>
                <w:i/>
                <w:spacing w:val="-2"/>
                <w:sz w:val="16"/>
              </w:rPr>
              <w:t>2,537.0</w:t>
            </w:r>
          </w:p>
        </w:tc>
      </w:tr>
      <w:tr>
        <w:trPr>
          <w:trHeight w:val="229" w:hRule="atLeast"/>
        </w:trPr>
        <w:tc>
          <w:tcPr>
            <w:tcW w:w="2483" w:type="dxa"/>
            <w:tcBorders>
              <w:top w:val="single" w:sz="4" w:space="0" w:color="000000"/>
              <w:bottom w:val="single" w:sz="12" w:space="0" w:color="000000"/>
            </w:tcBorders>
          </w:tcPr>
          <w:p>
            <w:pPr>
              <w:pStyle w:val="TableParagraph"/>
              <w:spacing w:before="14"/>
              <w:ind w:left="139"/>
              <w:jc w:val="left"/>
              <w:rPr>
                <w:b/>
                <w:sz w:val="16"/>
              </w:rPr>
            </w:pPr>
            <w:r>
              <w:rPr>
                <w:b/>
                <w:spacing w:val="-2"/>
                <w:sz w:val="16"/>
              </w:rPr>
              <w:t>Total</w:t>
            </w:r>
          </w:p>
        </w:tc>
        <w:tc>
          <w:tcPr>
            <w:tcW w:w="1218" w:type="dxa"/>
            <w:tcBorders>
              <w:top w:val="single" w:sz="4" w:space="0" w:color="000000"/>
              <w:bottom w:val="single" w:sz="12" w:space="0" w:color="000000"/>
            </w:tcBorders>
          </w:tcPr>
          <w:p>
            <w:pPr>
              <w:pStyle w:val="TableParagraph"/>
              <w:spacing w:before="14"/>
              <w:ind w:right="192"/>
              <w:rPr>
                <w:b/>
                <w:sz w:val="16"/>
              </w:rPr>
            </w:pPr>
            <w:r>
              <w:rPr>
                <w:b/>
                <w:spacing w:val="-2"/>
                <w:sz w:val="16"/>
              </w:rPr>
              <w:t>2,270.0</w:t>
            </w:r>
          </w:p>
        </w:tc>
        <w:tc>
          <w:tcPr>
            <w:tcW w:w="828" w:type="dxa"/>
            <w:tcBorders>
              <w:top w:val="single" w:sz="4" w:space="0" w:color="000000"/>
              <w:bottom w:val="single" w:sz="12" w:space="0" w:color="000000"/>
            </w:tcBorders>
          </w:tcPr>
          <w:p>
            <w:pPr>
              <w:pStyle w:val="TableParagraph"/>
              <w:spacing w:before="14"/>
              <w:ind w:right="109"/>
              <w:rPr>
                <w:b/>
                <w:sz w:val="16"/>
              </w:rPr>
            </w:pPr>
            <w:r>
              <w:rPr>
                <w:b/>
                <w:w w:val="98"/>
                <w:sz w:val="16"/>
              </w:rPr>
              <w:t>-</w:t>
            </w:r>
          </w:p>
        </w:tc>
        <w:tc>
          <w:tcPr>
            <w:tcW w:w="1133" w:type="dxa"/>
            <w:tcBorders>
              <w:top w:val="single" w:sz="4" w:space="0" w:color="000000"/>
              <w:bottom w:val="single" w:sz="12" w:space="0" w:color="000000"/>
            </w:tcBorders>
          </w:tcPr>
          <w:p>
            <w:pPr>
              <w:pStyle w:val="TableParagraph"/>
              <w:spacing w:before="14"/>
              <w:ind w:right="107"/>
              <w:rPr>
                <w:b/>
                <w:sz w:val="16"/>
              </w:rPr>
            </w:pPr>
            <w:r>
              <w:rPr>
                <w:b/>
                <w:spacing w:val="-2"/>
                <w:sz w:val="16"/>
              </w:rPr>
              <w:t>2,270.0</w:t>
            </w:r>
          </w:p>
        </w:tc>
        <w:tc>
          <w:tcPr>
            <w:tcW w:w="1078" w:type="dxa"/>
            <w:tcBorders>
              <w:top w:val="single" w:sz="4" w:space="0" w:color="000000"/>
              <w:bottom w:val="single" w:sz="12" w:space="0" w:color="000000"/>
            </w:tcBorders>
          </w:tcPr>
          <w:p>
            <w:pPr>
              <w:pStyle w:val="TableParagraph"/>
              <w:spacing w:before="14"/>
              <w:ind w:right="52"/>
              <w:rPr>
                <w:b/>
                <w:sz w:val="16"/>
              </w:rPr>
            </w:pPr>
            <w:r>
              <w:rPr>
                <w:b/>
                <w:spacing w:val="-2"/>
                <w:sz w:val="16"/>
              </w:rPr>
              <w:t>2,270.0</w:t>
            </w:r>
          </w:p>
        </w:tc>
        <w:tc>
          <w:tcPr>
            <w:tcW w:w="1177" w:type="dxa"/>
            <w:tcBorders>
              <w:top w:val="single" w:sz="4" w:space="0" w:color="000000"/>
              <w:bottom w:val="single" w:sz="12" w:space="0" w:color="000000"/>
            </w:tcBorders>
          </w:tcPr>
          <w:p>
            <w:pPr>
              <w:pStyle w:val="TableParagraph"/>
              <w:spacing w:before="14"/>
              <w:ind w:right="239"/>
              <w:rPr>
                <w:b/>
                <w:sz w:val="16"/>
              </w:rPr>
            </w:pPr>
            <w:r>
              <w:rPr>
                <w:b/>
                <w:spacing w:val="-2"/>
                <w:sz w:val="16"/>
              </w:rPr>
              <w:t>267.0</w:t>
            </w:r>
          </w:p>
        </w:tc>
        <w:tc>
          <w:tcPr>
            <w:tcW w:w="698" w:type="dxa"/>
            <w:tcBorders>
              <w:top w:val="single" w:sz="4" w:space="0" w:color="000000"/>
              <w:bottom w:val="single" w:sz="12" w:space="0" w:color="000000"/>
            </w:tcBorders>
          </w:tcPr>
          <w:p>
            <w:pPr>
              <w:pStyle w:val="TableParagraph"/>
              <w:spacing w:before="14"/>
              <w:ind w:left="228" w:right="163"/>
              <w:jc w:val="center"/>
              <w:rPr>
                <w:b/>
                <w:sz w:val="16"/>
              </w:rPr>
            </w:pPr>
            <w:r>
              <w:rPr>
                <w:b/>
                <w:spacing w:val="-4"/>
                <w:sz w:val="16"/>
              </w:rPr>
              <w:t>11.8</w:t>
            </w:r>
          </w:p>
        </w:tc>
        <w:tc>
          <w:tcPr>
            <w:tcW w:w="1082" w:type="dxa"/>
            <w:tcBorders>
              <w:top w:val="single" w:sz="4" w:space="0" w:color="000000"/>
              <w:bottom w:val="single" w:sz="12" w:space="0" w:color="000000"/>
            </w:tcBorders>
          </w:tcPr>
          <w:p>
            <w:pPr>
              <w:pStyle w:val="TableParagraph"/>
              <w:spacing w:before="14"/>
              <w:ind w:right="132"/>
              <w:rPr>
                <w:b/>
                <w:sz w:val="16"/>
              </w:rPr>
            </w:pPr>
            <w:r>
              <w:rPr>
                <w:b/>
                <w:spacing w:val="-2"/>
                <w:sz w:val="16"/>
              </w:rPr>
              <w:t>2,537.0</w:t>
            </w:r>
          </w:p>
        </w:tc>
      </w:tr>
    </w:tbl>
    <w:p>
      <w:pPr>
        <w:spacing w:after="0"/>
        <w:rPr>
          <w:sz w:val="16"/>
        </w:rPr>
        <w:sectPr>
          <w:pgSz w:w="11910" w:h="16840"/>
          <w:pgMar w:header="957" w:footer="940" w:top="1140" w:bottom="1140" w:left="20" w:right="20"/>
        </w:sectPr>
      </w:pPr>
    </w:p>
    <w:p>
      <w:pPr>
        <w:pStyle w:val="Heading2"/>
        <w:numPr>
          <w:ilvl w:val="1"/>
          <w:numId w:val="3"/>
        </w:numPr>
        <w:tabs>
          <w:tab w:pos="2246" w:val="left" w:leader="none"/>
          <w:tab w:pos="2247" w:val="left" w:leader="none"/>
        </w:tabs>
        <w:spacing w:line="240" w:lineRule="auto" w:before="126" w:after="0"/>
        <w:ind w:left="2246" w:right="0" w:hanging="568"/>
        <w:jc w:val="left"/>
      </w:pPr>
      <w:r>
        <w:rPr/>
        <w:pict>
          <v:group style="position:absolute;margin-left:204.142075pt;margin-top:34.536648pt;width:189.4pt;height:128.4500pt;mso-position-horizontal-relative:page;mso-position-vertical-relative:paragraph;z-index:-43800064" id="docshapegroup312" coordorigin="4083,691" coordsize="3788,2569">
            <v:shape style="position:absolute;left:4236;top:845;width:3634;height:1036" type="#_x0000_t75" id="docshape313" stroked="false">
              <v:imagedata r:id="rId119" o:title=""/>
            </v:shape>
            <v:rect style="position:absolute;left:4082;top:690;width:3762;height:1015" id="docshape314" filled="true" fillcolor="#ffffff" stroked="false">
              <v:fill type="solid"/>
            </v:rect>
            <v:rect style="position:absolute;left:4253;top:1878;width:3420;height:1382" id="docshape315" filled="true" fillcolor="#ffffff" stroked="false">
              <v:fill type="solid"/>
            </v:rect>
            <w10:wrap type="none"/>
          </v:group>
        </w:pict>
      </w:r>
      <w:bookmarkStart w:name="_bookmark53" w:id="54"/>
      <w:bookmarkEnd w:id="54"/>
      <w:r>
        <w:rPr/>
        <w:t>M</w:t>
      </w:r>
      <w:r>
        <w:rPr/>
        <w:t>ajor</w:t>
      </w:r>
      <w:r>
        <w:rPr>
          <w:spacing w:val="-3"/>
        </w:rPr>
        <w:t> </w:t>
      </w:r>
      <w:r>
        <w:rPr/>
        <w:t>Programme</w:t>
      </w:r>
      <w:r>
        <w:rPr>
          <w:spacing w:val="-7"/>
        </w:rPr>
        <w:t> </w:t>
      </w:r>
      <w:r>
        <w:rPr/>
        <w:t>VI:</w:t>
      </w:r>
      <w:r>
        <w:rPr>
          <w:spacing w:val="-1"/>
        </w:rPr>
        <w:t> </w:t>
      </w:r>
      <w:r>
        <w:rPr/>
        <w:t>Secretariat</w:t>
      </w:r>
      <w:r>
        <w:rPr>
          <w:spacing w:val="1"/>
        </w:rPr>
        <w:t> </w:t>
      </w:r>
      <w:r>
        <w:rPr/>
        <w:t>of</w:t>
      </w:r>
      <w:r>
        <w:rPr>
          <w:spacing w:val="-4"/>
        </w:rPr>
        <w:t> </w:t>
      </w:r>
      <w:r>
        <w:rPr/>
        <w:t>the</w:t>
      </w:r>
      <w:r>
        <w:rPr>
          <w:spacing w:val="-2"/>
        </w:rPr>
        <w:t> </w:t>
      </w:r>
      <w:r>
        <w:rPr/>
        <w:t>Trust</w:t>
      </w:r>
      <w:r>
        <w:rPr>
          <w:spacing w:val="-5"/>
        </w:rPr>
        <w:t> </w:t>
      </w:r>
      <w:r>
        <w:rPr/>
        <w:t>Fund</w:t>
      </w:r>
      <w:r>
        <w:rPr>
          <w:spacing w:val="-5"/>
        </w:rPr>
        <w:t> </w:t>
      </w:r>
      <w:r>
        <w:rPr/>
        <w:t>for</w:t>
      </w:r>
      <w:r>
        <w:rPr>
          <w:spacing w:val="-2"/>
        </w:rPr>
        <w:t> Victims</w:t>
      </w:r>
    </w:p>
    <w:p>
      <w:pPr>
        <w:pStyle w:val="BodyText"/>
        <w:spacing w:before="9"/>
        <w:rPr>
          <w:b/>
          <w:sz w:val="25"/>
        </w:rPr>
      </w:pPr>
    </w:p>
    <w:tbl>
      <w:tblPr>
        <w:tblW w:w="0" w:type="auto"/>
        <w:jc w:val="left"/>
        <w:tblInd w:w="4130" w:type="dxa"/>
        <w:tblBorders>
          <w:top w:val="double" w:sz="12" w:space="0" w:color="252525"/>
          <w:left w:val="double" w:sz="12" w:space="0" w:color="252525"/>
          <w:bottom w:val="double" w:sz="12" w:space="0" w:color="252525"/>
          <w:right w:val="double" w:sz="12" w:space="0" w:color="252525"/>
          <w:insideH w:val="double" w:sz="12" w:space="0" w:color="252525"/>
          <w:insideV w:val="double" w:sz="12" w:space="0" w:color="252525"/>
        </w:tblBorders>
        <w:tblLayout w:type="fixed"/>
        <w:tblCellMar>
          <w:top w:w="0" w:type="dxa"/>
          <w:left w:w="0" w:type="dxa"/>
          <w:bottom w:w="0" w:type="dxa"/>
          <w:right w:w="0" w:type="dxa"/>
        </w:tblCellMar>
        <w:tblLook w:val="01E0"/>
      </w:tblPr>
      <w:tblGrid>
        <w:gridCol w:w="171"/>
        <w:gridCol w:w="1692"/>
        <w:gridCol w:w="1692"/>
        <w:gridCol w:w="172"/>
      </w:tblGrid>
      <w:tr>
        <w:trPr>
          <w:trHeight w:val="888" w:hRule="atLeast"/>
        </w:trPr>
        <w:tc>
          <w:tcPr>
            <w:tcW w:w="3727" w:type="dxa"/>
            <w:gridSpan w:val="4"/>
          </w:tcPr>
          <w:p>
            <w:pPr>
              <w:pStyle w:val="TableParagraph"/>
              <w:spacing w:before="1"/>
              <w:jc w:val="left"/>
              <w:rPr>
                <w:b/>
                <w:sz w:val="20"/>
              </w:rPr>
            </w:pPr>
          </w:p>
          <w:p>
            <w:pPr>
              <w:pStyle w:val="TableParagraph"/>
              <w:ind w:left="962" w:right="937"/>
              <w:jc w:val="center"/>
              <w:rPr>
                <w:rFonts w:ascii="Arial"/>
                <w:b/>
                <w:sz w:val="17"/>
              </w:rPr>
            </w:pPr>
            <w:r>
              <w:rPr>
                <w:rFonts w:ascii="Arial"/>
                <w:b/>
                <w:spacing w:val="-4"/>
                <w:sz w:val="17"/>
              </w:rPr>
              <w:t>Board</w:t>
            </w:r>
            <w:r>
              <w:rPr>
                <w:rFonts w:ascii="Arial"/>
                <w:b/>
                <w:spacing w:val="-6"/>
                <w:sz w:val="17"/>
              </w:rPr>
              <w:t> </w:t>
            </w:r>
            <w:r>
              <w:rPr>
                <w:rFonts w:ascii="Arial"/>
                <w:b/>
                <w:spacing w:val="-4"/>
                <w:sz w:val="17"/>
              </w:rPr>
              <w:t>of</w:t>
            </w:r>
            <w:r>
              <w:rPr>
                <w:rFonts w:ascii="Arial"/>
                <w:b/>
                <w:spacing w:val="-5"/>
                <w:sz w:val="17"/>
              </w:rPr>
              <w:t> </w:t>
            </w:r>
            <w:r>
              <w:rPr>
                <w:rFonts w:ascii="Arial"/>
                <w:b/>
                <w:spacing w:val="-4"/>
                <w:sz w:val="17"/>
              </w:rPr>
              <w:t>Directors</w:t>
            </w:r>
          </w:p>
          <w:p>
            <w:pPr>
              <w:pStyle w:val="TableParagraph"/>
              <w:spacing w:before="1"/>
              <w:ind w:left="962" w:right="940"/>
              <w:jc w:val="center"/>
              <w:rPr>
                <w:rFonts w:ascii="Arial"/>
                <w:b/>
                <w:sz w:val="17"/>
              </w:rPr>
            </w:pPr>
            <w:r>
              <w:rPr>
                <w:rFonts w:ascii="Arial"/>
                <w:b/>
                <w:w w:val="95"/>
                <w:sz w:val="17"/>
              </w:rPr>
              <w:t>Trust</w:t>
            </w:r>
            <w:r>
              <w:rPr>
                <w:rFonts w:ascii="Arial"/>
                <w:b/>
                <w:spacing w:val="-3"/>
                <w:w w:val="95"/>
                <w:sz w:val="17"/>
              </w:rPr>
              <w:t> </w:t>
            </w:r>
            <w:r>
              <w:rPr>
                <w:rFonts w:ascii="Arial"/>
                <w:b/>
                <w:w w:val="95"/>
                <w:sz w:val="17"/>
              </w:rPr>
              <w:t>Fund</w:t>
            </w:r>
            <w:r>
              <w:rPr>
                <w:rFonts w:ascii="Arial"/>
                <w:b/>
                <w:spacing w:val="-2"/>
                <w:w w:val="95"/>
                <w:sz w:val="17"/>
              </w:rPr>
              <w:t> </w:t>
            </w:r>
            <w:r>
              <w:rPr>
                <w:rFonts w:ascii="Arial"/>
                <w:b/>
                <w:w w:val="95"/>
                <w:sz w:val="17"/>
              </w:rPr>
              <w:t>for</w:t>
            </w:r>
            <w:r>
              <w:rPr>
                <w:rFonts w:ascii="Arial"/>
                <w:b/>
                <w:spacing w:val="-9"/>
                <w:w w:val="95"/>
                <w:sz w:val="17"/>
              </w:rPr>
              <w:t> </w:t>
            </w:r>
            <w:r>
              <w:rPr>
                <w:rFonts w:ascii="Arial"/>
                <w:b/>
                <w:spacing w:val="-2"/>
                <w:w w:val="95"/>
                <w:sz w:val="17"/>
              </w:rPr>
              <w:t>Victims</w:t>
            </w:r>
          </w:p>
        </w:tc>
      </w:tr>
      <w:tr>
        <w:trPr>
          <w:trHeight w:val="119" w:hRule="atLeast"/>
        </w:trPr>
        <w:tc>
          <w:tcPr>
            <w:tcW w:w="1863" w:type="dxa"/>
            <w:gridSpan w:val="2"/>
            <w:tcBorders>
              <w:left w:val="nil"/>
              <w:right w:val="single" w:sz="12" w:space="0" w:color="000000"/>
            </w:tcBorders>
          </w:tcPr>
          <w:p>
            <w:pPr>
              <w:pStyle w:val="TableParagraph"/>
              <w:jc w:val="left"/>
              <w:rPr>
                <w:sz w:val="6"/>
              </w:rPr>
            </w:pPr>
          </w:p>
        </w:tc>
        <w:tc>
          <w:tcPr>
            <w:tcW w:w="1864" w:type="dxa"/>
            <w:gridSpan w:val="2"/>
            <w:tcBorders>
              <w:left w:val="single" w:sz="12" w:space="0" w:color="000000"/>
              <w:right w:val="nil"/>
            </w:tcBorders>
          </w:tcPr>
          <w:p>
            <w:pPr>
              <w:pStyle w:val="TableParagraph"/>
              <w:jc w:val="left"/>
              <w:rPr>
                <w:sz w:val="6"/>
              </w:rPr>
            </w:pPr>
          </w:p>
        </w:tc>
      </w:tr>
      <w:tr>
        <w:trPr>
          <w:trHeight w:val="1254" w:hRule="atLeast"/>
        </w:trPr>
        <w:tc>
          <w:tcPr>
            <w:tcW w:w="171" w:type="dxa"/>
            <w:tcBorders>
              <w:top w:val="nil"/>
              <w:left w:val="nil"/>
              <w:bottom w:val="nil"/>
            </w:tcBorders>
          </w:tcPr>
          <w:p>
            <w:pPr>
              <w:pStyle w:val="TableParagraph"/>
              <w:jc w:val="left"/>
              <w:rPr>
                <w:sz w:val="18"/>
              </w:rPr>
            </w:pPr>
          </w:p>
        </w:tc>
        <w:tc>
          <w:tcPr>
            <w:tcW w:w="3384" w:type="dxa"/>
            <w:gridSpan w:val="2"/>
          </w:tcPr>
          <w:p>
            <w:pPr>
              <w:pStyle w:val="TableParagraph"/>
              <w:jc w:val="left"/>
              <w:rPr>
                <w:b/>
                <w:sz w:val="20"/>
              </w:rPr>
            </w:pPr>
          </w:p>
          <w:p>
            <w:pPr>
              <w:pStyle w:val="TableParagraph"/>
              <w:spacing w:before="7"/>
              <w:jc w:val="left"/>
              <w:rPr>
                <w:b/>
                <w:sz w:val="23"/>
              </w:rPr>
            </w:pPr>
          </w:p>
          <w:p>
            <w:pPr>
              <w:pStyle w:val="TableParagraph"/>
              <w:spacing w:line="254" w:lineRule="auto"/>
              <w:ind w:left="1391" w:hanging="1065"/>
              <w:jc w:val="left"/>
              <w:rPr>
                <w:rFonts w:ascii="Arial"/>
                <w:b/>
                <w:sz w:val="18"/>
              </w:rPr>
            </w:pPr>
            <w:r>
              <w:rPr>
                <w:rFonts w:ascii="Arial"/>
                <w:b/>
                <w:sz w:val="18"/>
              </w:rPr>
              <w:t>Secretariat</w:t>
            </w:r>
            <w:r>
              <w:rPr>
                <w:rFonts w:ascii="Arial"/>
                <w:b/>
                <w:spacing w:val="-6"/>
                <w:sz w:val="18"/>
              </w:rPr>
              <w:t> </w:t>
            </w:r>
            <w:r>
              <w:rPr>
                <w:rFonts w:ascii="Arial"/>
                <w:b/>
                <w:sz w:val="18"/>
              </w:rPr>
              <w:t>of</w:t>
            </w:r>
            <w:r>
              <w:rPr>
                <w:rFonts w:ascii="Arial"/>
                <w:b/>
                <w:spacing w:val="-6"/>
                <w:sz w:val="18"/>
              </w:rPr>
              <w:t> </w:t>
            </w:r>
            <w:r>
              <w:rPr>
                <w:rFonts w:ascii="Arial"/>
                <w:b/>
                <w:sz w:val="18"/>
              </w:rPr>
              <w:t>the Trust Fund</w:t>
            </w:r>
            <w:r>
              <w:rPr>
                <w:rFonts w:ascii="Arial"/>
                <w:b/>
                <w:spacing w:val="-10"/>
                <w:sz w:val="18"/>
              </w:rPr>
              <w:t> </w:t>
            </w:r>
            <w:r>
              <w:rPr>
                <w:rFonts w:ascii="Arial"/>
                <w:b/>
                <w:sz w:val="18"/>
              </w:rPr>
              <w:t>for </w:t>
            </w:r>
            <w:r>
              <w:rPr>
                <w:rFonts w:ascii="Arial"/>
                <w:b/>
                <w:spacing w:val="-2"/>
                <w:sz w:val="18"/>
              </w:rPr>
              <w:t>Victims</w:t>
            </w:r>
          </w:p>
        </w:tc>
        <w:tc>
          <w:tcPr>
            <w:tcW w:w="172" w:type="dxa"/>
            <w:tcBorders>
              <w:top w:val="nil"/>
              <w:bottom w:val="nil"/>
              <w:right w:val="nil"/>
            </w:tcBorders>
          </w:tcPr>
          <w:p>
            <w:pPr>
              <w:pStyle w:val="TableParagraph"/>
              <w:jc w:val="left"/>
              <w:rPr>
                <w:sz w:val="18"/>
              </w:rPr>
            </w:pPr>
          </w:p>
        </w:tc>
      </w:tr>
    </w:tbl>
    <w:p>
      <w:pPr>
        <w:pStyle w:val="BodyText"/>
        <w:spacing w:before="4"/>
        <w:rPr>
          <w:b/>
          <w:sz w:val="37"/>
        </w:rPr>
      </w:pPr>
    </w:p>
    <w:p>
      <w:pPr>
        <w:pStyle w:val="Heading3"/>
      </w:pPr>
      <w:r>
        <w:rPr>
          <w:spacing w:val="-2"/>
        </w:rPr>
        <w:t>Introduction</w:t>
      </w:r>
    </w:p>
    <w:p>
      <w:pPr>
        <w:pStyle w:val="BodyText"/>
        <w:spacing w:before="11"/>
        <w:rPr>
          <w:b/>
        </w:rPr>
      </w:pPr>
    </w:p>
    <w:p>
      <w:pPr>
        <w:pStyle w:val="ListParagraph"/>
        <w:numPr>
          <w:ilvl w:val="0"/>
          <w:numId w:val="4"/>
        </w:numPr>
        <w:tabs>
          <w:tab w:pos="2967" w:val="left" w:leader="none"/>
        </w:tabs>
        <w:spacing w:line="240" w:lineRule="auto" w:before="0" w:after="0"/>
        <w:ind w:left="2246" w:right="2243" w:firstLine="0"/>
        <w:jc w:val="both"/>
        <w:rPr>
          <w:sz w:val="20"/>
        </w:rPr>
      </w:pPr>
      <w:bookmarkStart w:name="_bookmark54" w:id="55"/>
      <w:bookmarkEnd w:id="55"/>
      <w:r>
        <w:rPr>
          <w:sz w:val="20"/>
        </w:rPr>
        <w:t>T</w:t>
      </w:r>
      <w:r>
        <w:rPr>
          <w:sz w:val="20"/>
        </w:rPr>
        <w:t>he</w:t>
      </w:r>
      <w:r>
        <w:rPr>
          <w:spacing w:val="-3"/>
          <w:sz w:val="20"/>
        </w:rPr>
        <w:t> </w:t>
      </w:r>
      <w:r>
        <w:rPr>
          <w:sz w:val="20"/>
        </w:rPr>
        <w:t>Trust Fund for Victims</w:t>
      </w:r>
      <w:r>
        <w:rPr>
          <w:spacing w:val="-2"/>
          <w:sz w:val="20"/>
        </w:rPr>
        <w:t> </w:t>
      </w:r>
      <w:r>
        <w:rPr>
          <w:sz w:val="20"/>
        </w:rPr>
        <w:t>(TFV</w:t>
      </w:r>
      <w:r>
        <w:rPr>
          <w:spacing w:val="-2"/>
          <w:sz w:val="20"/>
        </w:rPr>
        <w:t> </w:t>
      </w:r>
      <w:r>
        <w:rPr>
          <w:sz w:val="20"/>
        </w:rPr>
        <w:t>or</w:t>
      </w:r>
      <w:r>
        <w:rPr>
          <w:spacing w:val="-5"/>
          <w:sz w:val="20"/>
        </w:rPr>
        <w:t> </w:t>
      </w:r>
      <w:r>
        <w:rPr>
          <w:sz w:val="20"/>
        </w:rPr>
        <w:t>“the</w:t>
      </w:r>
      <w:r>
        <w:rPr>
          <w:spacing w:val="-8"/>
          <w:sz w:val="20"/>
        </w:rPr>
        <w:t> </w:t>
      </w:r>
      <w:r>
        <w:rPr>
          <w:sz w:val="20"/>
        </w:rPr>
        <w:t>Trust</w:t>
      </w:r>
      <w:r>
        <w:rPr>
          <w:spacing w:val="-3"/>
          <w:sz w:val="20"/>
        </w:rPr>
        <w:t> </w:t>
      </w:r>
      <w:r>
        <w:rPr>
          <w:sz w:val="20"/>
        </w:rPr>
        <w:t>Fund”)</w:t>
      </w:r>
      <w:r>
        <w:rPr>
          <w:spacing w:val="-5"/>
          <w:sz w:val="20"/>
        </w:rPr>
        <w:t> </w:t>
      </w:r>
      <w:r>
        <w:rPr>
          <w:sz w:val="20"/>
        </w:rPr>
        <w:t>at</w:t>
      </w:r>
      <w:r>
        <w:rPr>
          <w:spacing w:val="-3"/>
          <w:sz w:val="20"/>
        </w:rPr>
        <w:t> </w:t>
      </w:r>
      <w:r>
        <w:rPr>
          <w:sz w:val="20"/>
        </w:rPr>
        <w:t>the</w:t>
      </w:r>
      <w:r>
        <w:rPr>
          <w:spacing w:val="-3"/>
          <w:sz w:val="20"/>
        </w:rPr>
        <w:t> </w:t>
      </w:r>
      <w:r>
        <w:rPr>
          <w:sz w:val="20"/>
        </w:rPr>
        <w:t>Court responds</w:t>
      </w:r>
      <w:r>
        <w:rPr>
          <w:spacing w:val="-6"/>
          <w:sz w:val="20"/>
        </w:rPr>
        <w:t> </w:t>
      </w:r>
      <w:r>
        <w:rPr>
          <w:sz w:val="20"/>
        </w:rPr>
        <w:t>to</w:t>
      </w:r>
      <w:r>
        <w:rPr>
          <w:spacing w:val="-5"/>
          <w:sz w:val="20"/>
        </w:rPr>
        <w:t> </w:t>
      </w:r>
      <w:r>
        <w:rPr>
          <w:sz w:val="20"/>
        </w:rPr>
        <w:t>the harm suffered by victims as a result of the crimes under the jurisdiction of the Court. The TFV’s mandate</w:t>
      </w:r>
      <w:r>
        <w:rPr>
          <w:spacing w:val="-2"/>
          <w:sz w:val="20"/>
        </w:rPr>
        <w:t> </w:t>
      </w:r>
      <w:r>
        <w:rPr>
          <w:sz w:val="20"/>
        </w:rPr>
        <w:t>on reparations</w:t>
      </w:r>
      <w:r>
        <w:rPr>
          <w:spacing w:val="-5"/>
          <w:sz w:val="20"/>
        </w:rPr>
        <w:t> </w:t>
      </w:r>
      <w:r>
        <w:rPr>
          <w:sz w:val="20"/>
        </w:rPr>
        <w:t>is twofold: (1)</w:t>
      </w:r>
      <w:r>
        <w:rPr>
          <w:spacing w:val="-3"/>
          <w:sz w:val="20"/>
        </w:rPr>
        <w:t> </w:t>
      </w:r>
      <w:r>
        <w:rPr>
          <w:sz w:val="20"/>
        </w:rPr>
        <w:t>to fund</w:t>
      </w:r>
      <w:r>
        <w:rPr>
          <w:spacing w:val="-4"/>
          <w:sz w:val="20"/>
        </w:rPr>
        <w:t> </w:t>
      </w:r>
      <w:r>
        <w:rPr>
          <w:sz w:val="20"/>
        </w:rPr>
        <w:t>and</w:t>
      </w:r>
      <w:r>
        <w:rPr>
          <w:spacing w:val="-4"/>
          <w:sz w:val="20"/>
        </w:rPr>
        <w:t> </w:t>
      </w:r>
      <w:r>
        <w:rPr>
          <w:sz w:val="20"/>
        </w:rPr>
        <w:t>implement reparations ordered by the Court against a convicted person;</w:t>
      </w:r>
      <w:r>
        <w:rPr>
          <w:sz w:val="20"/>
          <w:vertAlign w:val="superscript"/>
        </w:rPr>
        <w:t>138</w:t>
      </w:r>
      <w:r>
        <w:rPr>
          <w:sz w:val="20"/>
          <w:vertAlign w:val="baseline"/>
        </w:rPr>
        <w:t> and (2) to use its “other resources” to fund and implement reparative measures, in particular of a rehabilitative nature, for the benefit of victims in the Court’s situation countries.</w:t>
      </w:r>
      <w:r>
        <w:rPr>
          <w:sz w:val="20"/>
          <w:vertAlign w:val="superscript"/>
        </w:rPr>
        <w:t>139</w:t>
      </w:r>
    </w:p>
    <w:p>
      <w:pPr>
        <w:pStyle w:val="ListParagraph"/>
        <w:numPr>
          <w:ilvl w:val="0"/>
          <w:numId w:val="4"/>
        </w:numPr>
        <w:tabs>
          <w:tab w:pos="2967" w:val="left" w:leader="none"/>
        </w:tabs>
        <w:spacing w:line="240" w:lineRule="auto" w:before="118" w:after="0"/>
        <w:ind w:left="2246" w:right="2242" w:firstLine="0"/>
        <w:jc w:val="both"/>
        <w:rPr>
          <w:sz w:val="20"/>
        </w:rPr>
      </w:pPr>
      <w:r>
        <w:rPr>
          <w:sz w:val="20"/>
        </w:rPr>
        <w:t>The significant growth since 2020 of the volume and complexity of the TFV’s activities</w:t>
      </w:r>
      <w:r>
        <w:rPr>
          <w:spacing w:val="-6"/>
          <w:sz w:val="20"/>
        </w:rPr>
        <w:t> </w:t>
      </w:r>
      <w:r>
        <w:rPr>
          <w:sz w:val="20"/>
        </w:rPr>
        <w:t>has</w:t>
      </w:r>
      <w:r>
        <w:rPr>
          <w:spacing w:val="-6"/>
          <w:sz w:val="20"/>
        </w:rPr>
        <w:t> </w:t>
      </w:r>
      <w:r>
        <w:rPr>
          <w:sz w:val="20"/>
        </w:rPr>
        <w:t>stabilized</w:t>
      </w:r>
      <w:r>
        <w:rPr>
          <w:spacing w:val="-5"/>
          <w:sz w:val="20"/>
        </w:rPr>
        <w:t> </w:t>
      </w:r>
      <w:r>
        <w:rPr>
          <w:sz w:val="20"/>
        </w:rPr>
        <w:t>in</w:t>
      </w:r>
      <w:r>
        <w:rPr>
          <w:spacing w:val="-9"/>
          <w:sz w:val="20"/>
        </w:rPr>
        <w:t> </w:t>
      </w:r>
      <w:r>
        <w:rPr>
          <w:sz w:val="20"/>
        </w:rPr>
        <w:t>2022.</w:t>
      </w:r>
      <w:r>
        <w:rPr>
          <w:spacing w:val="-2"/>
          <w:sz w:val="20"/>
        </w:rPr>
        <w:t> </w:t>
      </w:r>
      <w:r>
        <w:rPr>
          <w:sz w:val="20"/>
        </w:rPr>
        <w:t>Court-ordered</w:t>
      </w:r>
      <w:r>
        <w:rPr>
          <w:spacing w:val="-5"/>
          <w:sz w:val="20"/>
        </w:rPr>
        <w:t> </w:t>
      </w:r>
      <w:r>
        <w:rPr>
          <w:sz w:val="20"/>
        </w:rPr>
        <w:t>reparations,</w:t>
      </w:r>
      <w:r>
        <w:rPr>
          <w:spacing w:val="-7"/>
          <w:sz w:val="20"/>
        </w:rPr>
        <w:t> </w:t>
      </w:r>
      <w:r>
        <w:rPr>
          <w:sz w:val="20"/>
        </w:rPr>
        <w:t>for</w:t>
      </w:r>
      <w:r>
        <w:rPr>
          <w:spacing w:val="-5"/>
          <w:sz w:val="20"/>
        </w:rPr>
        <w:t> </w:t>
      </w:r>
      <w:r>
        <w:rPr>
          <w:sz w:val="20"/>
        </w:rPr>
        <w:t>which</w:t>
      </w:r>
      <w:r>
        <w:rPr>
          <w:spacing w:val="-5"/>
          <w:sz w:val="20"/>
        </w:rPr>
        <w:t> </w:t>
      </w:r>
      <w:r>
        <w:rPr>
          <w:sz w:val="20"/>
        </w:rPr>
        <w:t>funding</w:t>
      </w:r>
      <w:r>
        <w:rPr>
          <w:spacing w:val="-5"/>
          <w:sz w:val="20"/>
        </w:rPr>
        <w:t> </w:t>
      </w:r>
      <w:r>
        <w:rPr>
          <w:sz w:val="20"/>
        </w:rPr>
        <w:t>has</w:t>
      </w:r>
      <w:r>
        <w:rPr>
          <w:spacing w:val="-6"/>
          <w:sz w:val="20"/>
        </w:rPr>
        <w:t> </w:t>
      </w:r>
      <w:r>
        <w:rPr>
          <w:sz w:val="20"/>
        </w:rPr>
        <w:t>increased, have garnered much attention, in particular in the Lubanga, Ntaganda and Al Mahdi cases. This trend is projected to continue with the likely advent of a significant volume of reparations-related activities in the Ongwen case from 2023 onwards. The funding of situation-related reparative measures has been readjusted in 2022 to reflect reductions in existing country portfolios and the start of new programmes in Mali, Georgia and Kenya.</w:t>
      </w:r>
    </w:p>
    <w:p>
      <w:pPr>
        <w:pStyle w:val="BodyText"/>
        <w:spacing w:before="2"/>
        <w:rPr>
          <w:sz w:val="21"/>
        </w:rPr>
      </w:pPr>
    </w:p>
    <w:p>
      <w:pPr>
        <w:pStyle w:val="Heading3"/>
        <w:jc w:val="both"/>
      </w:pPr>
      <w:r>
        <w:rPr/>
        <w:t>Strategic</w:t>
      </w:r>
      <w:r>
        <w:rPr>
          <w:spacing w:val="-7"/>
        </w:rPr>
        <w:t> </w:t>
      </w:r>
      <w:r>
        <w:rPr>
          <w:spacing w:val="-2"/>
        </w:rPr>
        <w:t>goals</w:t>
      </w:r>
    </w:p>
    <w:p>
      <w:pPr>
        <w:pStyle w:val="BodyText"/>
        <w:spacing w:before="5"/>
        <w:rPr>
          <w:b/>
        </w:rPr>
      </w:pPr>
    </w:p>
    <w:p>
      <w:pPr>
        <w:pStyle w:val="ListParagraph"/>
        <w:numPr>
          <w:ilvl w:val="0"/>
          <w:numId w:val="4"/>
        </w:numPr>
        <w:tabs>
          <w:tab w:pos="2967" w:val="left" w:leader="none"/>
        </w:tabs>
        <w:spacing w:line="240" w:lineRule="auto" w:before="1" w:after="0"/>
        <w:ind w:left="2246" w:right="2238" w:firstLine="0"/>
        <w:jc w:val="both"/>
        <w:rPr>
          <w:sz w:val="20"/>
        </w:rPr>
      </w:pPr>
      <w:r>
        <w:rPr>
          <w:sz w:val="20"/>
        </w:rPr>
        <w:t>The TFV’s Board of Directors (“the Board”) has extended the duration of the strategic</w:t>
      </w:r>
      <w:r>
        <w:rPr>
          <w:spacing w:val="-2"/>
          <w:sz w:val="20"/>
        </w:rPr>
        <w:t> </w:t>
      </w:r>
      <w:r>
        <w:rPr>
          <w:sz w:val="20"/>
        </w:rPr>
        <w:t>plan</w:t>
      </w:r>
      <w:r>
        <w:rPr>
          <w:spacing w:val="-4"/>
          <w:sz w:val="20"/>
        </w:rPr>
        <w:t> </w:t>
      </w:r>
      <w:r>
        <w:rPr>
          <w:sz w:val="20"/>
        </w:rPr>
        <w:t>to</w:t>
      </w:r>
      <w:r>
        <w:rPr>
          <w:spacing w:val="-4"/>
          <w:sz w:val="20"/>
        </w:rPr>
        <w:t> </w:t>
      </w:r>
      <w:r>
        <w:rPr>
          <w:sz w:val="20"/>
        </w:rPr>
        <w:t>include</w:t>
      </w:r>
      <w:r>
        <w:rPr>
          <w:spacing w:val="-2"/>
          <w:sz w:val="20"/>
        </w:rPr>
        <w:t> </w:t>
      </w:r>
      <w:r>
        <w:rPr>
          <w:sz w:val="20"/>
        </w:rPr>
        <w:t>2022,</w:t>
      </w:r>
      <w:r>
        <w:rPr>
          <w:spacing w:val="-6"/>
          <w:sz w:val="20"/>
        </w:rPr>
        <w:t> </w:t>
      </w:r>
      <w:r>
        <w:rPr>
          <w:sz w:val="20"/>
        </w:rPr>
        <w:t>in</w:t>
      </w:r>
      <w:r>
        <w:rPr>
          <w:spacing w:val="-4"/>
          <w:sz w:val="20"/>
        </w:rPr>
        <w:t> </w:t>
      </w:r>
      <w:r>
        <w:rPr>
          <w:sz w:val="20"/>
        </w:rPr>
        <w:t>line</w:t>
      </w:r>
      <w:r>
        <w:rPr>
          <w:spacing w:val="-2"/>
          <w:sz w:val="20"/>
        </w:rPr>
        <w:t> </w:t>
      </w:r>
      <w:r>
        <w:rPr>
          <w:sz w:val="20"/>
        </w:rPr>
        <w:t>with</w:t>
      </w:r>
      <w:r>
        <w:rPr>
          <w:spacing w:val="-4"/>
          <w:sz w:val="20"/>
        </w:rPr>
        <w:t> </w:t>
      </w:r>
      <w:r>
        <w:rPr>
          <w:sz w:val="20"/>
        </w:rPr>
        <w:t>the Court’s</w:t>
      </w:r>
      <w:r>
        <w:rPr>
          <w:spacing w:val="-5"/>
          <w:sz w:val="20"/>
        </w:rPr>
        <w:t> </w:t>
      </w:r>
      <w:r>
        <w:rPr>
          <w:sz w:val="20"/>
        </w:rPr>
        <w:t>decision</w:t>
      </w:r>
      <w:r>
        <w:rPr>
          <w:spacing w:val="-4"/>
          <w:sz w:val="20"/>
        </w:rPr>
        <w:t> </w:t>
      </w:r>
      <w:r>
        <w:rPr>
          <w:sz w:val="20"/>
        </w:rPr>
        <w:t>to</w:t>
      </w:r>
      <w:r>
        <w:rPr>
          <w:spacing w:val="-4"/>
          <w:sz w:val="20"/>
        </w:rPr>
        <w:t> </w:t>
      </w:r>
      <w:r>
        <w:rPr>
          <w:sz w:val="20"/>
        </w:rPr>
        <w:t>do</w:t>
      </w:r>
      <w:r>
        <w:rPr>
          <w:spacing w:val="-4"/>
          <w:sz w:val="20"/>
        </w:rPr>
        <w:t> </w:t>
      </w:r>
      <w:r>
        <w:rPr>
          <w:sz w:val="20"/>
        </w:rPr>
        <w:t>so with</w:t>
      </w:r>
      <w:r>
        <w:rPr>
          <w:spacing w:val="-4"/>
          <w:sz w:val="20"/>
        </w:rPr>
        <w:t> </w:t>
      </w:r>
      <w:r>
        <w:rPr>
          <w:sz w:val="20"/>
        </w:rPr>
        <w:t>the</w:t>
      </w:r>
      <w:r>
        <w:rPr>
          <w:spacing w:val="-2"/>
          <w:sz w:val="20"/>
        </w:rPr>
        <w:t> </w:t>
      </w:r>
      <w:r>
        <w:rPr>
          <w:sz w:val="20"/>
        </w:rPr>
        <w:t>Court-wide strategic plan. The next TFV strategic plan, for 2023-2025, is expected to continue and expand upon the current strategic</w:t>
      </w:r>
      <w:r>
        <w:rPr>
          <w:spacing w:val="-2"/>
          <w:sz w:val="20"/>
        </w:rPr>
        <w:t> </w:t>
      </w:r>
      <w:r>
        <w:rPr>
          <w:sz w:val="20"/>
        </w:rPr>
        <w:t>course</w:t>
      </w:r>
      <w:r>
        <w:rPr>
          <w:spacing w:val="-2"/>
          <w:sz w:val="20"/>
        </w:rPr>
        <w:t> </w:t>
      </w:r>
      <w:r>
        <w:rPr>
          <w:sz w:val="20"/>
        </w:rPr>
        <w:t>of the</w:t>
      </w:r>
      <w:r>
        <w:rPr>
          <w:spacing w:val="-2"/>
          <w:sz w:val="20"/>
        </w:rPr>
        <w:t> </w:t>
      </w:r>
      <w:r>
        <w:rPr>
          <w:sz w:val="20"/>
        </w:rPr>
        <w:t>Trust Fund,</w:t>
      </w:r>
      <w:r>
        <w:rPr>
          <w:spacing w:val="-6"/>
          <w:sz w:val="20"/>
        </w:rPr>
        <w:t> </w:t>
      </w:r>
      <w:r>
        <w:rPr>
          <w:sz w:val="20"/>
        </w:rPr>
        <w:t>while</w:t>
      </w:r>
      <w:r>
        <w:rPr>
          <w:spacing w:val="-2"/>
          <w:sz w:val="20"/>
        </w:rPr>
        <w:t> </w:t>
      </w:r>
      <w:r>
        <w:rPr>
          <w:sz w:val="20"/>
        </w:rPr>
        <w:t>seeking</w:t>
      </w:r>
      <w:r>
        <w:rPr>
          <w:spacing w:val="-4"/>
          <w:sz w:val="20"/>
        </w:rPr>
        <w:t> </w:t>
      </w:r>
      <w:r>
        <w:rPr>
          <w:sz w:val="20"/>
        </w:rPr>
        <w:t>mutual alignment with</w:t>
      </w:r>
      <w:r>
        <w:rPr>
          <w:spacing w:val="-13"/>
          <w:sz w:val="20"/>
        </w:rPr>
        <w:t> </w:t>
      </w:r>
      <w:r>
        <w:rPr>
          <w:sz w:val="20"/>
        </w:rPr>
        <w:t>the</w:t>
      </w:r>
      <w:r>
        <w:rPr>
          <w:spacing w:val="-12"/>
          <w:sz w:val="20"/>
        </w:rPr>
        <w:t> </w:t>
      </w:r>
      <w:r>
        <w:rPr>
          <w:sz w:val="20"/>
        </w:rPr>
        <w:t>time</w:t>
      </w:r>
      <w:r>
        <w:rPr>
          <w:spacing w:val="-13"/>
          <w:sz w:val="20"/>
        </w:rPr>
        <w:t> </w:t>
      </w:r>
      <w:r>
        <w:rPr>
          <w:sz w:val="20"/>
        </w:rPr>
        <w:t>frames</w:t>
      </w:r>
      <w:r>
        <w:rPr>
          <w:spacing w:val="-12"/>
          <w:sz w:val="20"/>
        </w:rPr>
        <w:t> </w:t>
      </w:r>
      <w:r>
        <w:rPr>
          <w:sz w:val="20"/>
        </w:rPr>
        <w:t>and</w:t>
      </w:r>
      <w:r>
        <w:rPr>
          <w:spacing w:val="-13"/>
          <w:sz w:val="20"/>
        </w:rPr>
        <w:t> </w:t>
      </w:r>
      <w:r>
        <w:rPr>
          <w:sz w:val="20"/>
        </w:rPr>
        <w:t>content</w:t>
      </w:r>
      <w:r>
        <w:rPr>
          <w:spacing w:val="-12"/>
          <w:sz w:val="20"/>
        </w:rPr>
        <w:t> </w:t>
      </w:r>
      <w:r>
        <w:rPr>
          <w:sz w:val="20"/>
        </w:rPr>
        <w:t>of</w:t>
      </w:r>
      <w:r>
        <w:rPr>
          <w:spacing w:val="-13"/>
          <w:sz w:val="20"/>
        </w:rPr>
        <w:t> </w:t>
      </w:r>
      <w:r>
        <w:rPr>
          <w:sz w:val="20"/>
        </w:rPr>
        <w:t>the</w:t>
      </w:r>
      <w:r>
        <w:rPr>
          <w:spacing w:val="-12"/>
          <w:sz w:val="20"/>
        </w:rPr>
        <w:t> </w:t>
      </w:r>
      <w:r>
        <w:rPr>
          <w:sz w:val="20"/>
        </w:rPr>
        <w:t>Court-wide</w:t>
      </w:r>
      <w:r>
        <w:rPr>
          <w:spacing w:val="-10"/>
          <w:sz w:val="20"/>
        </w:rPr>
        <w:t> </w:t>
      </w:r>
      <w:r>
        <w:rPr>
          <w:sz w:val="20"/>
        </w:rPr>
        <w:t>strategic</w:t>
      </w:r>
      <w:r>
        <w:rPr>
          <w:spacing w:val="-12"/>
          <w:sz w:val="20"/>
        </w:rPr>
        <w:t> </w:t>
      </w:r>
      <w:r>
        <w:rPr>
          <w:sz w:val="20"/>
        </w:rPr>
        <w:t>plan.</w:t>
      </w:r>
      <w:r>
        <w:rPr>
          <w:spacing w:val="-6"/>
          <w:sz w:val="20"/>
        </w:rPr>
        <w:t> </w:t>
      </w:r>
      <w:r>
        <w:rPr>
          <w:sz w:val="20"/>
        </w:rPr>
        <w:t>In</w:t>
      </w:r>
      <w:r>
        <w:rPr>
          <w:spacing w:val="-13"/>
          <w:sz w:val="20"/>
        </w:rPr>
        <w:t> </w:t>
      </w:r>
      <w:r>
        <w:rPr>
          <w:sz w:val="20"/>
        </w:rPr>
        <w:t>addition,</w:t>
      </w:r>
      <w:r>
        <w:rPr>
          <w:spacing w:val="-11"/>
          <w:sz w:val="20"/>
        </w:rPr>
        <w:t> </w:t>
      </w:r>
      <w:r>
        <w:rPr>
          <w:sz w:val="20"/>
        </w:rPr>
        <w:t>it</w:t>
      </w:r>
      <w:r>
        <w:rPr>
          <w:spacing w:val="-7"/>
          <w:sz w:val="20"/>
        </w:rPr>
        <w:t> </w:t>
      </w:r>
      <w:r>
        <w:rPr>
          <w:sz w:val="20"/>
        </w:rPr>
        <w:t>will</w:t>
      </w:r>
      <w:r>
        <w:rPr>
          <w:spacing w:val="-13"/>
          <w:sz w:val="20"/>
        </w:rPr>
        <w:t> </w:t>
      </w:r>
      <w:r>
        <w:rPr>
          <w:sz w:val="20"/>
        </w:rPr>
        <w:t>maintain focus</w:t>
      </w:r>
      <w:r>
        <w:rPr>
          <w:spacing w:val="-10"/>
          <w:sz w:val="20"/>
        </w:rPr>
        <w:t> </w:t>
      </w:r>
      <w:r>
        <w:rPr>
          <w:sz w:val="20"/>
        </w:rPr>
        <w:t>on</w:t>
      </w:r>
      <w:r>
        <w:rPr>
          <w:spacing w:val="-13"/>
          <w:sz w:val="20"/>
        </w:rPr>
        <w:t> </w:t>
      </w:r>
      <w:r>
        <w:rPr>
          <w:sz w:val="20"/>
        </w:rPr>
        <w:t>the</w:t>
      </w:r>
      <w:r>
        <w:rPr>
          <w:spacing w:val="-11"/>
          <w:sz w:val="20"/>
        </w:rPr>
        <w:t> </w:t>
      </w:r>
      <w:r>
        <w:rPr>
          <w:sz w:val="20"/>
        </w:rPr>
        <w:t>TFV’s</w:t>
      </w:r>
      <w:r>
        <w:rPr>
          <w:spacing w:val="-8"/>
          <w:sz w:val="20"/>
        </w:rPr>
        <w:t> </w:t>
      </w:r>
      <w:r>
        <w:rPr>
          <w:sz w:val="20"/>
        </w:rPr>
        <w:t>distinctive</w:t>
      </w:r>
      <w:r>
        <w:rPr>
          <w:spacing w:val="-12"/>
          <w:sz w:val="20"/>
        </w:rPr>
        <w:t> </w:t>
      </w:r>
      <w:r>
        <w:rPr>
          <w:sz w:val="20"/>
        </w:rPr>
        <w:t>mandate</w:t>
      </w:r>
      <w:r>
        <w:rPr>
          <w:spacing w:val="-12"/>
          <w:sz w:val="20"/>
        </w:rPr>
        <w:t> </w:t>
      </w:r>
      <w:r>
        <w:rPr>
          <w:sz w:val="20"/>
        </w:rPr>
        <w:t>of</w:t>
      </w:r>
      <w:r>
        <w:rPr>
          <w:spacing w:val="-8"/>
          <w:sz w:val="20"/>
        </w:rPr>
        <w:t> </w:t>
      </w:r>
      <w:r>
        <w:rPr>
          <w:sz w:val="20"/>
        </w:rPr>
        <w:t>repairing</w:t>
      </w:r>
      <w:r>
        <w:rPr>
          <w:spacing w:val="-8"/>
          <w:sz w:val="20"/>
        </w:rPr>
        <w:t> </w:t>
      </w:r>
      <w:r>
        <w:rPr>
          <w:sz w:val="20"/>
        </w:rPr>
        <w:t>the</w:t>
      </w:r>
      <w:r>
        <w:rPr>
          <w:spacing w:val="-12"/>
          <w:sz w:val="20"/>
        </w:rPr>
        <w:t> </w:t>
      </w:r>
      <w:r>
        <w:rPr>
          <w:sz w:val="20"/>
        </w:rPr>
        <w:t>harm</w:t>
      </w:r>
      <w:r>
        <w:rPr>
          <w:spacing w:val="-12"/>
          <w:sz w:val="20"/>
        </w:rPr>
        <w:t> </w:t>
      </w:r>
      <w:r>
        <w:rPr>
          <w:sz w:val="20"/>
        </w:rPr>
        <w:t>done</w:t>
      </w:r>
      <w:r>
        <w:rPr>
          <w:spacing w:val="-12"/>
          <w:sz w:val="20"/>
        </w:rPr>
        <w:t> </w:t>
      </w:r>
      <w:r>
        <w:rPr>
          <w:sz w:val="20"/>
        </w:rPr>
        <w:t>to</w:t>
      </w:r>
      <w:r>
        <w:rPr>
          <w:spacing w:val="-8"/>
          <w:sz w:val="20"/>
        </w:rPr>
        <w:t> </w:t>
      </w:r>
      <w:r>
        <w:rPr>
          <w:sz w:val="20"/>
        </w:rPr>
        <w:t>victims</w:t>
      </w:r>
      <w:r>
        <w:rPr>
          <w:spacing w:val="-10"/>
          <w:sz w:val="20"/>
        </w:rPr>
        <w:t> </w:t>
      </w:r>
      <w:r>
        <w:rPr>
          <w:sz w:val="20"/>
        </w:rPr>
        <w:t>of</w:t>
      </w:r>
      <w:r>
        <w:rPr>
          <w:spacing w:val="-13"/>
          <w:sz w:val="20"/>
        </w:rPr>
        <w:t> </w:t>
      </w:r>
      <w:r>
        <w:rPr>
          <w:sz w:val="20"/>
        </w:rPr>
        <w:t>crimes</w:t>
      </w:r>
      <w:r>
        <w:rPr>
          <w:spacing w:val="-9"/>
          <w:sz w:val="20"/>
        </w:rPr>
        <w:t> </w:t>
      </w:r>
      <w:r>
        <w:rPr>
          <w:sz w:val="20"/>
        </w:rPr>
        <w:t>under the jurisdiction of the Court and create an organizational structure and ensure the financial wherewithal to adequately fulfil this mandate.</w:t>
      </w:r>
    </w:p>
    <w:p>
      <w:pPr>
        <w:pStyle w:val="ListParagraph"/>
        <w:numPr>
          <w:ilvl w:val="0"/>
          <w:numId w:val="4"/>
        </w:numPr>
        <w:tabs>
          <w:tab w:pos="2967" w:val="left" w:leader="none"/>
        </w:tabs>
        <w:spacing w:line="240" w:lineRule="auto" w:before="123" w:after="0"/>
        <w:ind w:left="2246" w:right="2242" w:firstLine="0"/>
        <w:jc w:val="both"/>
        <w:rPr>
          <w:sz w:val="20"/>
        </w:rPr>
      </w:pPr>
      <w:r>
        <w:rPr>
          <w:sz w:val="20"/>
        </w:rPr>
        <w:t>The TFV’s strategy for 2023-2025 will continue to pursue its overall goal of ensuring that TFV activities have a positive impact on victims, their families and communities. This strategy is now supported by a theory of change developed throughout 2021 and 2022. The goals for the three-year period entail establishing a clear strategic direction for the Trust Fund based on competence development and improving and consolidating internal organization and governance as well as increasing resources. The strategy is driven by the need to raise the Trust Fund’s profile and addresses the issues identified by the Independent Expert Review (IER), guided by the Review Mechanism.</w:t>
      </w:r>
    </w:p>
    <w:p>
      <w:pPr>
        <w:pStyle w:val="ListParagraph"/>
        <w:numPr>
          <w:ilvl w:val="0"/>
          <w:numId w:val="4"/>
        </w:numPr>
        <w:tabs>
          <w:tab w:pos="2967" w:val="left" w:leader="none"/>
        </w:tabs>
        <w:spacing w:line="240" w:lineRule="auto" w:before="120" w:after="0"/>
        <w:ind w:left="2967" w:right="0" w:hanging="721"/>
        <w:jc w:val="both"/>
        <w:rPr>
          <w:sz w:val="20"/>
        </w:rPr>
      </w:pPr>
      <w:r>
        <w:rPr>
          <w:spacing w:val="-2"/>
          <w:sz w:val="20"/>
        </w:rPr>
        <w:t>The</w:t>
      </w:r>
      <w:r>
        <w:rPr>
          <w:spacing w:val="-4"/>
          <w:sz w:val="20"/>
        </w:rPr>
        <w:t> </w:t>
      </w:r>
      <w:r>
        <w:rPr>
          <w:spacing w:val="-2"/>
          <w:sz w:val="20"/>
        </w:rPr>
        <w:t>focus</w:t>
      </w:r>
      <w:r>
        <w:rPr>
          <w:spacing w:val="-8"/>
          <w:sz w:val="20"/>
        </w:rPr>
        <w:t> </w:t>
      </w:r>
      <w:r>
        <w:rPr>
          <w:spacing w:val="-2"/>
          <w:sz w:val="20"/>
        </w:rPr>
        <w:t>of</w:t>
      </w:r>
      <w:r>
        <w:rPr>
          <w:spacing w:val="-12"/>
          <w:sz w:val="20"/>
        </w:rPr>
        <w:t> </w:t>
      </w:r>
      <w:r>
        <w:rPr>
          <w:spacing w:val="-2"/>
          <w:sz w:val="20"/>
        </w:rPr>
        <w:t>the</w:t>
      </w:r>
      <w:r>
        <w:rPr>
          <w:spacing w:val="-9"/>
          <w:sz w:val="20"/>
        </w:rPr>
        <w:t> </w:t>
      </w:r>
      <w:r>
        <w:rPr>
          <w:spacing w:val="-2"/>
          <w:sz w:val="20"/>
        </w:rPr>
        <w:t>Trust</w:t>
      </w:r>
      <w:r>
        <w:rPr>
          <w:spacing w:val="-5"/>
          <w:sz w:val="20"/>
        </w:rPr>
        <w:t> </w:t>
      </w:r>
      <w:r>
        <w:rPr>
          <w:spacing w:val="-2"/>
          <w:sz w:val="20"/>
        </w:rPr>
        <w:t>Fund’s</w:t>
      </w:r>
      <w:r>
        <w:rPr>
          <w:spacing w:val="-8"/>
          <w:sz w:val="20"/>
        </w:rPr>
        <w:t> </w:t>
      </w:r>
      <w:r>
        <w:rPr>
          <w:spacing w:val="-2"/>
          <w:sz w:val="20"/>
        </w:rPr>
        <w:t>highest</w:t>
      </w:r>
      <w:r>
        <w:rPr>
          <w:spacing w:val="-4"/>
          <w:sz w:val="20"/>
        </w:rPr>
        <w:t> </w:t>
      </w:r>
      <w:r>
        <w:rPr>
          <w:spacing w:val="-2"/>
          <w:sz w:val="20"/>
        </w:rPr>
        <w:t>priorities</w:t>
      </w:r>
      <w:r>
        <w:rPr>
          <w:spacing w:val="-14"/>
          <w:sz w:val="20"/>
        </w:rPr>
        <w:t> </w:t>
      </w:r>
      <w:r>
        <w:rPr>
          <w:spacing w:val="-2"/>
          <w:sz w:val="20"/>
        </w:rPr>
        <w:t>in</w:t>
      </w:r>
      <w:r>
        <w:rPr>
          <w:spacing w:val="-6"/>
          <w:sz w:val="20"/>
        </w:rPr>
        <w:t> </w:t>
      </w:r>
      <w:r>
        <w:rPr>
          <w:spacing w:val="-2"/>
          <w:sz w:val="20"/>
        </w:rPr>
        <w:t>2023</w:t>
      </w:r>
      <w:r>
        <w:rPr>
          <w:spacing w:val="-6"/>
          <w:sz w:val="20"/>
        </w:rPr>
        <w:t> </w:t>
      </w:r>
      <w:r>
        <w:rPr>
          <w:spacing w:val="-2"/>
          <w:sz w:val="20"/>
        </w:rPr>
        <w:t>will</w:t>
      </w:r>
      <w:r>
        <w:rPr>
          <w:spacing w:val="-4"/>
          <w:sz w:val="20"/>
        </w:rPr>
        <w:t> </w:t>
      </w:r>
      <w:r>
        <w:rPr>
          <w:spacing w:val="-2"/>
          <w:sz w:val="20"/>
        </w:rPr>
        <w:t>be</w:t>
      </w:r>
      <w:r>
        <w:rPr>
          <w:spacing w:val="-4"/>
          <w:sz w:val="20"/>
        </w:rPr>
        <w:t> </w:t>
      </w:r>
      <w:r>
        <w:rPr>
          <w:spacing w:val="-2"/>
          <w:sz w:val="20"/>
        </w:rPr>
        <w:t>placed</w:t>
      </w:r>
      <w:r>
        <w:rPr>
          <w:spacing w:val="-11"/>
          <w:sz w:val="20"/>
        </w:rPr>
        <w:t> </w:t>
      </w:r>
      <w:r>
        <w:rPr>
          <w:spacing w:val="-2"/>
          <w:sz w:val="20"/>
        </w:rPr>
        <w:t>on</w:t>
      </w:r>
      <w:r>
        <w:rPr>
          <w:spacing w:val="-6"/>
          <w:sz w:val="20"/>
        </w:rPr>
        <w:t> </w:t>
      </w:r>
      <w:r>
        <w:rPr>
          <w:spacing w:val="-2"/>
          <w:sz w:val="20"/>
        </w:rPr>
        <w:t>three</w:t>
      </w:r>
      <w:r>
        <w:rPr>
          <w:spacing w:val="-9"/>
          <w:sz w:val="20"/>
        </w:rPr>
        <w:t> </w:t>
      </w:r>
      <w:r>
        <w:rPr>
          <w:spacing w:val="-2"/>
          <w:sz w:val="20"/>
        </w:rPr>
        <w:t>areas:</w:t>
      </w:r>
    </w:p>
    <w:p>
      <w:pPr>
        <w:pStyle w:val="ListParagraph"/>
        <w:numPr>
          <w:ilvl w:val="1"/>
          <w:numId w:val="4"/>
        </w:numPr>
        <w:tabs>
          <w:tab w:pos="3686" w:val="left" w:leader="none"/>
          <w:tab w:pos="3687" w:val="left" w:leader="none"/>
        </w:tabs>
        <w:spacing w:line="240" w:lineRule="auto" w:before="120" w:after="0"/>
        <w:ind w:left="2957" w:right="2238" w:firstLine="0"/>
        <w:jc w:val="both"/>
        <w:rPr>
          <w:sz w:val="20"/>
        </w:rPr>
      </w:pPr>
      <w:r>
        <w:rPr>
          <w:sz w:val="20"/>
        </w:rPr>
        <w:t>Resource development: receive the funds necessary to continue ongoing activities and to start new reparations programmes in </w:t>
      </w:r>
      <w:r>
        <w:rPr>
          <w:i/>
          <w:sz w:val="20"/>
        </w:rPr>
        <w:t>Ntaganda </w:t>
      </w:r>
      <w:r>
        <w:rPr>
          <w:sz w:val="20"/>
        </w:rPr>
        <w:t>and, foreseeably, </w:t>
      </w:r>
      <w:r>
        <w:rPr>
          <w:i/>
          <w:sz w:val="20"/>
        </w:rPr>
        <w:t>Ongwen.</w:t>
      </w:r>
      <w:r>
        <w:rPr>
          <w:i/>
          <w:spacing w:val="23"/>
          <w:sz w:val="20"/>
        </w:rPr>
        <w:t> </w:t>
      </w:r>
      <w:r>
        <w:rPr>
          <w:sz w:val="20"/>
        </w:rPr>
        <w:t>Crucial</w:t>
      </w:r>
      <w:r>
        <w:rPr>
          <w:spacing w:val="17"/>
          <w:sz w:val="20"/>
        </w:rPr>
        <w:t> </w:t>
      </w:r>
      <w:r>
        <w:rPr>
          <w:sz w:val="20"/>
        </w:rPr>
        <w:t>to successful</w:t>
      </w:r>
      <w:r>
        <w:rPr>
          <w:spacing w:val="17"/>
          <w:sz w:val="20"/>
        </w:rPr>
        <w:t> </w:t>
      </w:r>
      <w:r>
        <w:rPr>
          <w:sz w:val="20"/>
        </w:rPr>
        <w:t>fundraising is</w:t>
      </w:r>
      <w:r>
        <w:rPr>
          <w:spacing w:val="19"/>
          <w:sz w:val="20"/>
        </w:rPr>
        <w:t> </w:t>
      </w:r>
      <w:r>
        <w:rPr>
          <w:sz w:val="20"/>
        </w:rPr>
        <w:t>the</w:t>
      </w:r>
      <w:r>
        <w:rPr>
          <w:spacing w:val="17"/>
          <w:sz w:val="20"/>
        </w:rPr>
        <w:t> </w:t>
      </w:r>
      <w:r>
        <w:rPr>
          <w:sz w:val="20"/>
        </w:rPr>
        <w:t>visibility of</w:t>
      </w:r>
      <w:r>
        <w:rPr>
          <w:spacing w:val="20"/>
          <w:sz w:val="20"/>
        </w:rPr>
        <w:t> </w:t>
      </w:r>
      <w:r>
        <w:rPr>
          <w:sz w:val="20"/>
        </w:rPr>
        <w:t>the</w:t>
      </w:r>
      <w:r>
        <w:rPr>
          <w:spacing w:val="17"/>
          <w:sz w:val="20"/>
        </w:rPr>
        <w:t> </w:t>
      </w:r>
      <w:r>
        <w:rPr>
          <w:sz w:val="20"/>
        </w:rPr>
        <w:t>Trust</w:t>
      </w:r>
      <w:r>
        <w:rPr>
          <w:spacing w:val="22"/>
          <w:sz w:val="20"/>
        </w:rPr>
        <w:t> </w:t>
      </w:r>
      <w:r>
        <w:rPr>
          <w:sz w:val="20"/>
        </w:rPr>
        <w:t>Fund and</w:t>
      </w:r>
    </w:p>
    <w:p>
      <w:pPr>
        <w:pStyle w:val="BodyText"/>
      </w:pPr>
    </w:p>
    <w:p>
      <w:pPr>
        <w:pStyle w:val="BodyText"/>
        <w:spacing w:before="1"/>
        <w:rPr>
          <w:sz w:val="28"/>
        </w:rPr>
      </w:pPr>
      <w:r>
        <w:rPr/>
        <w:pict>
          <v:rect style="position:absolute;margin-left:113.330002pt;margin-top:17.369963pt;width:144.050pt;height:.47998pt;mso-position-horizontal-relative:page;mso-position-vertical-relative:paragraph;z-index:-15684096;mso-wrap-distance-left:0;mso-wrap-distance-right:0" id="docshape316" filled="true" fillcolor="#000000" stroked="false">
            <v:fill type="solid"/>
            <w10:wrap type="topAndBottom"/>
          </v:rect>
        </w:pict>
      </w:r>
    </w:p>
    <w:p>
      <w:pPr>
        <w:spacing w:line="244" w:lineRule="auto" w:before="86"/>
        <w:ind w:left="2246" w:right="2195" w:firstLine="0"/>
        <w:jc w:val="left"/>
        <w:rPr>
          <w:sz w:val="16"/>
        </w:rPr>
      </w:pPr>
      <w:r>
        <w:rPr>
          <w:position w:val="5"/>
          <w:sz w:val="10"/>
        </w:rPr>
        <w:t>138</w:t>
      </w:r>
      <w:r>
        <w:rPr>
          <w:spacing w:val="31"/>
          <w:position w:val="5"/>
          <w:sz w:val="10"/>
        </w:rPr>
        <w:t> </w:t>
      </w:r>
      <w:r>
        <w:rPr>
          <w:sz w:val="16"/>
        </w:rPr>
        <w:t>Rule</w:t>
      </w:r>
      <w:r>
        <w:rPr>
          <w:spacing w:val="19"/>
          <w:sz w:val="16"/>
        </w:rPr>
        <w:t> </w:t>
      </w:r>
      <w:r>
        <w:rPr>
          <w:sz w:val="16"/>
        </w:rPr>
        <w:t>98(2),</w:t>
      </w:r>
      <w:r>
        <w:rPr>
          <w:spacing w:val="11"/>
          <w:sz w:val="16"/>
        </w:rPr>
        <w:t> </w:t>
      </w:r>
      <w:r>
        <w:rPr>
          <w:sz w:val="16"/>
        </w:rPr>
        <w:t>(3)</w:t>
      </w:r>
      <w:r>
        <w:rPr>
          <w:spacing w:val="18"/>
          <w:sz w:val="16"/>
        </w:rPr>
        <w:t> </w:t>
      </w:r>
      <w:r>
        <w:rPr>
          <w:sz w:val="16"/>
        </w:rPr>
        <w:t>and</w:t>
      </w:r>
      <w:r>
        <w:rPr>
          <w:spacing w:val="15"/>
          <w:sz w:val="16"/>
        </w:rPr>
        <w:t> </w:t>
      </w:r>
      <w:r>
        <w:rPr>
          <w:sz w:val="16"/>
        </w:rPr>
        <w:t>(4)</w:t>
      </w:r>
      <w:r>
        <w:rPr>
          <w:spacing w:val="13"/>
          <w:sz w:val="16"/>
        </w:rPr>
        <w:t> </w:t>
      </w:r>
      <w:r>
        <w:rPr>
          <w:sz w:val="16"/>
        </w:rPr>
        <w:t>of</w:t>
      </w:r>
      <w:r>
        <w:rPr>
          <w:spacing w:val="18"/>
          <w:sz w:val="16"/>
        </w:rPr>
        <w:t> </w:t>
      </w:r>
      <w:r>
        <w:rPr>
          <w:sz w:val="16"/>
        </w:rPr>
        <w:t>the</w:t>
      </w:r>
      <w:r>
        <w:rPr>
          <w:spacing w:val="15"/>
          <w:sz w:val="16"/>
        </w:rPr>
        <w:t> </w:t>
      </w:r>
      <w:r>
        <w:rPr>
          <w:sz w:val="16"/>
        </w:rPr>
        <w:t>Rules</w:t>
      </w:r>
      <w:r>
        <w:rPr>
          <w:spacing w:val="18"/>
          <w:sz w:val="16"/>
        </w:rPr>
        <w:t> </w:t>
      </w:r>
      <w:r>
        <w:rPr>
          <w:sz w:val="16"/>
        </w:rPr>
        <w:t>of</w:t>
      </w:r>
      <w:r>
        <w:rPr>
          <w:spacing w:val="18"/>
          <w:sz w:val="16"/>
        </w:rPr>
        <w:t> </w:t>
      </w:r>
      <w:r>
        <w:rPr>
          <w:sz w:val="16"/>
        </w:rPr>
        <w:t>Procedure</w:t>
      </w:r>
      <w:r>
        <w:rPr>
          <w:spacing w:val="15"/>
          <w:sz w:val="16"/>
        </w:rPr>
        <w:t> </w:t>
      </w:r>
      <w:r>
        <w:rPr>
          <w:sz w:val="16"/>
        </w:rPr>
        <w:t>and</w:t>
      </w:r>
      <w:r>
        <w:rPr>
          <w:spacing w:val="15"/>
          <w:sz w:val="16"/>
        </w:rPr>
        <w:t> </w:t>
      </w:r>
      <w:r>
        <w:rPr>
          <w:sz w:val="16"/>
        </w:rPr>
        <w:t>Evidence,</w:t>
      </w:r>
      <w:r>
        <w:rPr>
          <w:spacing w:val="11"/>
          <w:sz w:val="16"/>
        </w:rPr>
        <w:t> </w:t>
      </w:r>
      <w:r>
        <w:rPr>
          <w:sz w:val="16"/>
        </w:rPr>
        <w:t>and</w:t>
      </w:r>
      <w:r>
        <w:rPr>
          <w:spacing w:val="15"/>
          <w:sz w:val="16"/>
        </w:rPr>
        <w:t> </w:t>
      </w:r>
      <w:r>
        <w:rPr>
          <w:sz w:val="16"/>
        </w:rPr>
        <w:t>regulation</w:t>
      </w:r>
      <w:r>
        <w:rPr>
          <w:spacing w:val="15"/>
          <w:sz w:val="16"/>
        </w:rPr>
        <w:t> </w:t>
      </w:r>
      <w:r>
        <w:rPr>
          <w:sz w:val="16"/>
        </w:rPr>
        <w:t>50(b)</w:t>
      </w:r>
      <w:r>
        <w:rPr>
          <w:spacing w:val="13"/>
          <w:sz w:val="16"/>
        </w:rPr>
        <w:t> </w:t>
      </w:r>
      <w:r>
        <w:rPr>
          <w:sz w:val="16"/>
        </w:rPr>
        <w:t>of</w:t>
      </w:r>
      <w:r>
        <w:rPr>
          <w:spacing w:val="13"/>
          <w:sz w:val="16"/>
        </w:rPr>
        <w:t> </w:t>
      </w:r>
      <w:r>
        <w:rPr>
          <w:sz w:val="16"/>
        </w:rPr>
        <w:t>the</w:t>
      </w:r>
      <w:r>
        <w:rPr>
          <w:spacing w:val="20"/>
          <w:sz w:val="16"/>
        </w:rPr>
        <w:t> </w:t>
      </w:r>
      <w:r>
        <w:rPr>
          <w:sz w:val="16"/>
        </w:rPr>
        <w:t>Regulations</w:t>
      </w:r>
      <w:r>
        <w:rPr>
          <w:spacing w:val="14"/>
          <w:sz w:val="16"/>
        </w:rPr>
        <w:t> </w:t>
      </w:r>
      <w:r>
        <w:rPr>
          <w:sz w:val="16"/>
        </w:rPr>
        <w:t>of</w:t>
      </w:r>
      <w:r>
        <w:rPr>
          <w:spacing w:val="40"/>
          <w:sz w:val="16"/>
        </w:rPr>
        <w:t> </w:t>
      </w:r>
      <w:r>
        <w:rPr>
          <w:sz w:val="16"/>
        </w:rPr>
        <w:t>the</w:t>
      </w:r>
      <w:r>
        <w:rPr>
          <w:spacing w:val="-1"/>
          <w:sz w:val="16"/>
        </w:rPr>
        <w:t> </w:t>
      </w:r>
      <w:r>
        <w:rPr>
          <w:sz w:val="16"/>
        </w:rPr>
        <w:t>TFV.</w:t>
      </w:r>
    </w:p>
    <w:p>
      <w:pPr>
        <w:spacing w:line="237" w:lineRule="auto" w:before="0"/>
        <w:ind w:left="2246" w:right="2195" w:firstLine="0"/>
        <w:jc w:val="left"/>
        <w:rPr>
          <w:sz w:val="16"/>
        </w:rPr>
      </w:pPr>
      <w:r>
        <w:rPr>
          <w:position w:val="5"/>
          <w:sz w:val="10"/>
        </w:rPr>
        <w:t>139</w:t>
      </w:r>
      <w:r>
        <w:rPr>
          <w:spacing w:val="24"/>
          <w:position w:val="5"/>
          <w:sz w:val="10"/>
        </w:rPr>
        <w:t> </w:t>
      </w:r>
      <w:r>
        <w:rPr>
          <w:sz w:val="16"/>
        </w:rPr>
        <w:t>Rule 98(5) of the Rules of Procedure and Evidence, and regulation 50(a) of the Regulations</w:t>
      </w:r>
      <w:r>
        <w:rPr>
          <w:spacing w:val="20"/>
          <w:sz w:val="16"/>
        </w:rPr>
        <w:t> </w:t>
      </w:r>
      <w:r>
        <w:rPr>
          <w:sz w:val="16"/>
        </w:rPr>
        <w:t>of the TFV. For</w:t>
      </w:r>
      <w:r>
        <w:rPr>
          <w:spacing w:val="40"/>
          <w:sz w:val="16"/>
        </w:rPr>
        <w:t> </w:t>
      </w:r>
      <w:r>
        <w:rPr>
          <w:sz w:val="16"/>
        </w:rPr>
        <w:t>more information on the TFV’s legal basis, see </w:t>
      </w:r>
      <w:hyperlink r:id="rId120">
        <w:r>
          <w:rPr>
            <w:color w:val="0462C1"/>
            <w:sz w:val="16"/>
            <w:u w:val="single" w:color="0462C1"/>
          </w:rPr>
          <w:t>https://www.trustfundforvictims.org/en/about/legal-basis</w:t>
        </w:r>
      </w:hyperlink>
    </w:p>
    <w:p>
      <w:pPr>
        <w:spacing w:after="0" w:line="237" w:lineRule="auto"/>
        <w:jc w:val="left"/>
        <w:rPr>
          <w:sz w:val="16"/>
        </w:rPr>
        <w:sectPr>
          <w:pgSz w:w="11910" w:h="16840"/>
          <w:pgMar w:header="957" w:footer="940" w:top="1140" w:bottom="1140" w:left="20" w:right="20"/>
        </w:sectPr>
      </w:pPr>
    </w:p>
    <w:p>
      <w:pPr>
        <w:pStyle w:val="BodyText"/>
        <w:spacing w:before="124"/>
        <w:ind w:left="2957" w:right="2195"/>
      </w:pPr>
      <w:r>
        <w:rPr/>
        <w:t>communication</w:t>
      </w:r>
      <w:r>
        <w:rPr>
          <w:spacing w:val="36"/>
        </w:rPr>
        <w:t> </w:t>
      </w:r>
      <w:r>
        <w:rPr/>
        <w:t>about</w:t>
      </w:r>
      <w:r>
        <w:rPr>
          <w:spacing w:val="38"/>
        </w:rPr>
        <w:t> </w:t>
      </w:r>
      <w:r>
        <w:rPr/>
        <w:t>the</w:t>
      </w:r>
      <w:r>
        <w:rPr>
          <w:spacing w:val="38"/>
        </w:rPr>
        <w:t> </w:t>
      </w:r>
      <w:r>
        <w:rPr/>
        <w:t>impact</w:t>
      </w:r>
      <w:r>
        <w:rPr>
          <w:spacing w:val="38"/>
        </w:rPr>
        <w:t> </w:t>
      </w:r>
      <w:r>
        <w:rPr/>
        <w:t>of</w:t>
      </w:r>
      <w:r>
        <w:rPr>
          <w:spacing w:val="37"/>
        </w:rPr>
        <w:t> </w:t>
      </w:r>
      <w:r>
        <w:rPr/>
        <w:t>reparations</w:t>
      </w:r>
      <w:r>
        <w:rPr>
          <w:spacing w:val="40"/>
        </w:rPr>
        <w:t> </w:t>
      </w:r>
      <w:r>
        <w:rPr/>
        <w:t>programmes</w:t>
      </w:r>
      <w:r>
        <w:rPr>
          <w:spacing w:val="35"/>
        </w:rPr>
        <w:t> </w:t>
      </w:r>
      <w:r>
        <w:rPr/>
        <w:t>for</w:t>
      </w:r>
      <w:r>
        <w:rPr>
          <w:spacing w:val="37"/>
        </w:rPr>
        <w:t> </w:t>
      </w:r>
      <w:r>
        <w:rPr/>
        <w:t>the</w:t>
      </w:r>
      <w:r>
        <w:rPr>
          <w:spacing w:val="40"/>
        </w:rPr>
        <w:t> </w:t>
      </w:r>
      <w:r>
        <w:rPr/>
        <w:t>benefit</w:t>
      </w:r>
      <w:r>
        <w:rPr>
          <w:spacing w:val="40"/>
        </w:rPr>
        <w:t> </w:t>
      </w:r>
      <w:r>
        <w:rPr/>
        <w:t>of </w:t>
      </w:r>
      <w:r>
        <w:rPr>
          <w:spacing w:val="-2"/>
        </w:rPr>
        <w:t>victims;</w:t>
      </w:r>
    </w:p>
    <w:p>
      <w:pPr>
        <w:pStyle w:val="ListParagraph"/>
        <w:numPr>
          <w:ilvl w:val="1"/>
          <w:numId w:val="4"/>
        </w:numPr>
        <w:tabs>
          <w:tab w:pos="3686" w:val="left" w:leader="none"/>
          <w:tab w:pos="3687" w:val="left" w:leader="none"/>
        </w:tabs>
        <w:spacing w:line="240" w:lineRule="auto" w:before="121" w:after="0"/>
        <w:ind w:left="2957" w:right="2241" w:firstLine="0"/>
        <w:jc w:val="both"/>
        <w:rPr>
          <w:sz w:val="20"/>
        </w:rPr>
      </w:pPr>
      <w:r>
        <w:rPr>
          <w:sz w:val="20"/>
        </w:rPr>
        <w:t>Implementation of reparations: focus on effective communication and consultation with victims and communities with the aim of ensuring that victims feel satisfied with the reparations received and with the timely provision, by the Trust Fund’s implementing partners, of reparations measures of the best possible quality</w:t>
      </w:r>
      <w:r>
        <w:rPr>
          <w:spacing w:val="-13"/>
          <w:sz w:val="20"/>
        </w:rPr>
        <w:t> </w:t>
      </w:r>
      <w:r>
        <w:rPr>
          <w:sz w:val="20"/>
        </w:rPr>
        <w:t>in</w:t>
      </w:r>
      <w:r>
        <w:rPr>
          <w:spacing w:val="-12"/>
          <w:sz w:val="20"/>
        </w:rPr>
        <w:t> </w:t>
      </w:r>
      <w:r>
        <w:rPr>
          <w:sz w:val="20"/>
        </w:rPr>
        <w:t>the</w:t>
      </w:r>
      <w:r>
        <w:rPr>
          <w:spacing w:val="-13"/>
          <w:sz w:val="20"/>
        </w:rPr>
        <w:t> </w:t>
      </w:r>
      <w:r>
        <w:rPr>
          <w:sz w:val="20"/>
        </w:rPr>
        <w:t>relevant</w:t>
      </w:r>
      <w:r>
        <w:rPr>
          <w:spacing w:val="-12"/>
          <w:sz w:val="20"/>
        </w:rPr>
        <w:t> </w:t>
      </w:r>
      <w:r>
        <w:rPr>
          <w:sz w:val="20"/>
        </w:rPr>
        <w:t>circumstances;</w:t>
      </w:r>
      <w:r>
        <w:rPr>
          <w:spacing w:val="-13"/>
          <w:sz w:val="20"/>
        </w:rPr>
        <w:t> </w:t>
      </w:r>
      <w:r>
        <w:rPr>
          <w:sz w:val="20"/>
        </w:rPr>
        <w:t>focus</w:t>
      </w:r>
      <w:r>
        <w:rPr>
          <w:spacing w:val="-11"/>
          <w:sz w:val="20"/>
        </w:rPr>
        <w:t> </w:t>
      </w:r>
      <w:r>
        <w:rPr>
          <w:sz w:val="20"/>
        </w:rPr>
        <w:t>on</w:t>
      </w:r>
      <w:r>
        <w:rPr>
          <w:spacing w:val="-12"/>
          <w:sz w:val="20"/>
        </w:rPr>
        <w:t> </w:t>
      </w:r>
      <w:r>
        <w:rPr>
          <w:sz w:val="20"/>
        </w:rPr>
        <w:t>knowledge</w:t>
      </w:r>
      <w:r>
        <w:rPr>
          <w:spacing w:val="-11"/>
          <w:sz w:val="20"/>
        </w:rPr>
        <w:t> </w:t>
      </w:r>
      <w:r>
        <w:rPr>
          <w:sz w:val="20"/>
        </w:rPr>
        <w:t>management</w:t>
      </w:r>
      <w:r>
        <w:rPr>
          <w:spacing w:val="-13"/>
          <w:sz w:val="20"/>
        </w:rPr>
        <w:t> </w:t>
      </w:r>
      <w:r>
        <w:rPr>
          <w:sz w:val="20"/>
        </w:rPr>
        <w:t>and</w:t>
      </w:r>
      <w:r>
        <w:rPr>
          <w:spacing w:val="-12"/>
          <w:sz w:val="20"/>
        </w:rPr>
        <w:t> </w:t>
      </w:r>
      <w:r>
        <w:rPr>
          <w:sz w:val="20"/>
        </w:rPr>
        <w:t>external credibility</w:t>
      </w:r>
      <w:r>
        <w:rPr>
          <w:spacing w:val="-12"/>
          <w:sz w:val="20"/>
        </w:rPr>
        <w:t> </w:t>
      </w:r>
      <w:r>
        <w:rPr>
          <w:sz w:val="20"/>
        </w:rPr>
        <w:t>of</w:t>
      </w:r>
      <w:r>
        <w:rPr>
          <w:spacing w:val="-13"/>
          <w:sz w:val="20"/>
        </w:rPr>
        <w:t> </w:t>
      </w:r>
      <w:r>
        <w:rPr>
          <w:sz w:val="20"/>
        </w:rPr>
        <w:t>the</w:t>
      </w:r>
      <w:r>
        <w:rPr>
          <w:spacing w:val="-12"/>
          <w:sz w:val="20"/>
        </w:rPr>
        <w:t> </w:t>
      </w:r>
      <w:r>
        <w:rPr>
          <w:sz w:val="20"/>
        </w:rPr>
        <w:t>Trust</w:t>
      </w:r>
      <w:r>
        <w:rPr>
          <w:spacing w:val="-12"/>
          <w:sz w:val="20"/>
        </w:rPr>
        <w:t> </w:t>
      </w:r>
      <w:r>
        <w:rPr>
          <w:sz w:val="20"/>
        </w:rPr>
        <w:t>Fund’s</w:t>
      </w:r>
      <w:r>
        <w:rPr>
          <w:spacing w:val="-13"/>
          <w:sz w:val="20"/>
        </w:rPr>
        <w:t> </w:t>
      </w:r>
      <w:r>
        <w:rPr>
          <w:sz w:val="20"/>
        </w:rPr>
        <w:t>expertise</w:t>
      </w:r>
      <w:r>
        <w:rPr>
          <w:spacing w:val="-12"/>
          <w:sz w:val="20"/>
        </w:rPr>
        <w:t> </w:t>
      </w:r>
      <w:r>
        <w:rPr>
          <w:sz w:val="20"/>
        </w:rPr>
        <w:t>in</w:t>
      </w:r>
      <w:r>
        <w:rPr>
          <w:spacing w:val="-13"/>
          <w:sz w:val="20"/>
        </w:rPr>
        <w:t> </w:t>
      </w:r>
      <w:r>
        <w:rPr>
          <w:sz w:val="20"/>
        </w:rPr>
        <w:t>relation</w:t>
      </w:r>
      <w:r>
        <w:rPr>
          <w:spacing w:val="-12"/>
          <w:sz w:val="20"/>
        </w:rPr>
        <w:t> </w:t>
      </w:r>
      <w:r>
        <w:rPr>
          <w:sz w:val="20"/>
        </w:rPr>
        <w:t>to</w:t>
      </w:r>
      <w:r>
        <w:rPr>
          <w:spacing w:val="-13"/>
          <w:sz w:val="20"/>
        </w:rPr>
        <w:t> </w:t>
      </w:r>
      <w:r>
        <w:rPr>
          <w:sz w:val="20"/>
        </w:rPr>
        <w:t>the</w:t>
      </w:r>
      <w:r>
        <w:rPr>
          <w:spacing w:val="-7"/>
          <w:sz w:val="20"/>
        </w:rPr>
        <w:t> </w:t>
      </w:r>
      <w:r>
        <w:rPr>
          <w:sz w:val="20"/>
        </w:rPr>
        <w:t>design</w:t>
      </w:r>
      <w:r>
        <w:rPr>
          <w:spacing w:val="-9"/>
          <w:sz w:val="20"/>
        </w:rPr>
        <w:t> </w:t>
      </w:r>
      <w:r>
        <w:rPr>
          <w:sz w:val="20"/>
        </w:rPr>
        <w:t>and</w:t>
      </w:r>
      <w:r>
        <w:rPr>
          <w:spacing w:val="-9"/>
          <w:sz w:val="20"/>
        </w:rPr>
        <w:t> </w:t>
      </w:r>
      <w:r>
        <w:rPr>
          <w:sz w:val="20"/>
        </w:rPr>
        <w:t>implementation of reparations programmes and stakeholder engagement, while ensuring accountability and maximum transparency; and</w:t>
      </w:r>
    </w:p>
    <w:p>
      <w:pPr>
        <w:pStyle w:val="ListParagraph"/>
        <w:numPr>
          <w:ilvl w:val="1"/>
          <w:numId w:val="4"/>
        </w:numPr>
        <w:tabs>
          <w:tab w:pos="3686" w:val="left" w:leader="none"/>
          <w:tab w:pos="3687" w:val="left" w:leader="none"/>
        </w:tabs>
        <w:spacing w:line="240" w:lineRule="auto" w:before="119" w:after="0"/>
        <w:ind w:left="2957" w:right="2246" w:firstLine="0"/>
        <w:jc w:val="both"/>
        <w:rPr>
          <w:sz w:val="20"/>
        </w:rPr>
      </w:pPr>
      <w:r>
        <w:rPr>
          <w:sz w:val="20"/>
        </w:rPr>
        <w:t>Internal organization and governance: continue to strengthen the internal organization of the TFV, including by seeking synergies with the Registry and ensuring that the governance structure of the TFV is reinforced.</w:t>
      </w:r>
    </w:p>
    <w:p>
      <w:pPr>
        <w:pStyle w:val="ListParagraph"/>
        <w:numPr>
          <w:ilvl w:val="0"/>
          <w:numId w:val="4"/>
        </w:numPr>
        <w:tabs>
          <w:tab w:pos="2967" w:val="left" w:leader="none"/>
        </w:tabs>
        <w:spacing w:line="240" w:lineRule="auto" w:before="122" w:after="0"/>
        <w:ind w:left="2246" w:right="2249" w:firstLine="0"/>
        <w:jc w:val="both"/>
        <w:rPr>
          <w:sz w:val="20"/>
        </w:rPr>
      </w:pPr>
      <w:r>
        <w:rPr>
          <w:sz w:val="20"/>
        </w:rPr>
        <w:t>Continued</w:t>
      </w:r>
      <w:r>
        <w:rPr>
          <w:spacing w:val="-10"/>
          <w:sz w:val="20"/>
        </w:rPr>
        <w:t> </w:t>
      </w:r>
      <w:r>
        <w:rPr>
          <w:sz w:val="20"/>
        </w:rPr>
        <w:t>implementation</w:t>
      </w:r>
      <w:r>
        <w:rPr>
          <w:spacing w:val="-2"/>
          <w:sz w:val="20"/>
        </w:rPr>
        <w:t> </w:t>
      </w:r>
      <w:r>
        <w:rPr>
          <w:sz w:val="20"/>
        </w:rPr>
        <w:t>of</w:t>
      </w:r>
      <w:r>
        <w:rPr>
          <w:spacing w:val="-2"/>
          <w:sz w:val="20"/>
        </w:rPr>
        <w:t> </w:t>
      </w:r>
      <w:r>
        <w:rPr>
          <w:sz w:val="20"/>
        </w:rPr>
        <w:t>reparations</w:t>
      </w:r>
      <w:r>
        <w:rPr>
          <w:spacing w:val="-7"/>
          <w:sz w:val="20"/>
        </w:rPr>
        <w:t> </w:t>
      </w:r>
      <w:r>
        <w:rPr>
          <w:sz w:val="20"/>
        </w:rPr>
        <w:t>and</w:t>
      </w:r>
      <w:r>
        <w:rPr>
          <w:spacing w:val="-6"/>
          <w:sz w:val="20"/>
        </w:rPr>
        <w:t> </w:t>
      </w:r>
      <w:r>
        <w:rPr>
          <w:sz w:val="20"/>
        </w:rPr>
        <w:t>assistance</w:t>
      </w:r>
      <w:r>
        <w:rPr>
          <w:spacing w:val="-5"/>
          <w:sz w:val="20"/>
        </w:rPr>
        <w:t> </w:t>
      </w:r>
      <w:r>
        <w:rPr>
          <w:sz w:val="20"/>
        </w:rPr>
        <w:t>activities</w:t>
      </w:r>
      <w:r>
        <w:rPr>
          <w:spacing w:val="-7"/>
          <w:sz w:val="20"/>
        </w:rPr>
        <w:t> </w:t>
      </w:r>
      <w:r>
        <w:rPr>
          <w:sz w:val="20"/>
        </w:rPr>
        <w:t>for</w:t>
      </w:r>
      <w:r>
        <w:rPr>
          <w:spacing w:val="-5"/>
          <w:sz w:val="20"/>
        </w:rPr>
        <w:t> </w:t>
      </w:r>
      <w:r>
        <w:rPr>
          <w:sz w:val="20"/>
        </w:rPr>
        <w:t>the benefit of victims</w:t>
      </w:r>
      <w:r>
        <w:rPr>
          <w:spacing w:val="-12"/>
          <w:sz w:val="20"/>
        </w:rPr>
        <w:t> </w:t>
      </w:r>
      <w:r>
        <w:rPr>
          <w:sz w:val="20"/>
        </w:rPr>
        <w:t>is</w:t>
      </w:r>
      <w:r>
        <w:rPr>
          <w:spacing w:val="-11"/>
          <w:sz w:val="20"/>
        </w:rPr>
        <w:t> </w:t>
      </w:r>
      <w:r>
        <w:rPr>
          <w:sz w:val="20"/>
        </w:rPr>
        <w:t>contingent</w:t>
      </w:r>
      <w:r>
        <w:rPr>
          <w:spacing w:val="-8"/>
          <w:sz w:val="20"/>
        </w:rPr>
        <w:t> </w:t>
      </w:r>
      <w:r>
        <w:rPr>
          <w:sz w:val="20"/>
        </w:rPr>
        <w:t>on</w:t>
      </w:r>
      <w:r>
        <w:rPr>
          <w:spacing w:val="-13"/>
          <w:sz w:val="20"/>
        </w:rPr>
        <w:t> </w:t>
      </w:r>
      <w:r>
        <w:rPr>
          <w:sz w:val="20"/>
        </w:rPr>
        <w:t>the</w:t>
      </w:r>
      <w:r>
        <w:rPr>
          <w:spacing w:val="-7"/>
          <w:sz w:val="20"/>
        </w:rPr>
        <w:t> </w:t>
      </w:r>
      <w:r>
        <w:rPr>
          <w:sz w:val="20"/>
        </w:rPr>
        <w:t>reinforcement</w:t>
      </w:r>
      <w:r>
        <w:rPr>
          <w:spacing w:val="-8"/>
          <w:sz w:val="20"/>
        </w:rPr>
        <w:t> </w:t>
      </w:r>
      <w:r>
        <w:rPr>
          <w:sz w:val="20"/>
        </w:rPr>
        <w:t>of</w:t>
      </w:r>
      <w:r>
        <w:rPr>
          <w:spacing w:val="-9"/>
          <w:sz w:val="20"/>
        </w:rPr>
        <w:t> </w:t>
      </w:r>
      <w:r>
        <w:rPr>
          <w:sz w:val="20"/>
        </w:rPr>
        <w:t>fundraising</w:t>
      </w:r>
      <w:r>
        <w:rPr>
          <w:spacing w:val="-13"/>
          <w:sz w:val="20"/>
        </w:rPr>
        <w:t> </w:t>
      </w:r>
      <w:r>
        <w:rPr>
          <w:sz w:val="20"/>
        </w:rPr>
        <w:t>and</w:t>
      </w:r>
      <w:r>
        <w:rPr>
          <w:spacing w:val="-12"/>
          <w:sz w:val="20"/>
        </w:rPr>
        <w:t> </w:t>
      </w:r>
      <w:r>
        <w:rPr>
          <w:sz w:val="20"/>
        </w:rPr>
        <w:t>communication</w:t>
      </w:r>
      <w:r>
        <w:rPr>
          <w:spacing w:val="-9"/>
          <w:sz w:val="20"/>
        </w:rPr>
        <w:t> </w:t>
      </w:r>
      <w:r>
        <w:rPr>
          <w:sz w:val="20"/>
        </w:rPr>
        <w:t>activities</w:t>
      </w:r>
      <w:r>
        <w:rPr>
          <w:spacing w:val="-11"/>
          <w:sz w:val="20"/>
        </w:rPr>
        <w:t> </w:t>
      </w:r>
      <w:r>
        <w:rPr>
          <w:sz w:val="20"/>
        </w:rPr>
        <w:t>at</w:t>
      </w:r>
      <w:r>
        <w:rPr>
          <w:spacing w:val="-12"/>
          <w:sz w:val="20"/>
        </w:rPr>
        <w:t> </w:t>
      </w:r>
      <w:r>
        <w:rPr>
          <w:sz w:val="20"/>
        </w:rPr>
        <w:t>the Trust Fund.</w:t>
      </w:r>
    </w:p>
    <w:p>
      <w:pPr>
        <w:pStyle w:val="ListParagraph"/>
        <w:numPr>
          <w:ilvl w:val="0"/>
          <w:numId w:val="4"/>
        </w:numPr>
        <w:tabs>
          <w:tab w:pos="2967" w:val="left" w:leader="none"/>
        </w:tabs>
        <w:spacing w:line="240" w:lineRule="auto" w:before="121" w:after="0"/>
        <w:ind w:left="2246" w:right="2246" w:firstLine="0"/>
        <w:jc w:val="both"/>
        <w:rPr>
          <w:sz w:val="20"/>
        </w:rPr>
      </w:pPr>
      <w:r>
        <w:rPr>
          <w:sz w:val="20"/>
        </w:rPr>
        <w:t>This issue will be reflected in the TFV’s upcoming strategic plan, and it is accordingly addressed in the budget narrative for 2023.</w:t>
      </w:r>
    </w:p>
    <w:p>
      <w:pPr>
        <w:pStyle w:val="BodyText"/>
        <w:rPr>
          <w:sz w:val="21"/>
        </w:rPr>
      </w:pPr>
    </w:p>
    <w:p>
      <w:pPr>
        <w:pStyle w:val="Heading3"/>
        <w:jc w:val="both"/>
      </w:pPr>
      <w:r>
        <w:rPr/>
        <w:t>Context:</w:t>
      </w:r>
      <w:r>
        <w:rPr>
          <w:spacing w:val="-8"/>
        </w:rPr>
        <w:t> </w:t>
      </w:r>
      <w:r>
        <w:rPr/>
        <w:t>TFV</w:t>
      </w:r>
      <w:r>
        <w:rPr>
          <w:spacing w:val="-9"/>
        </w:rPr>
        <w:t> </w:t>
      </w:r>
      <w:r>
        <w:rPr/>
        <w:t>resource</w:t>
      </w:r>
      <w:r>
        <w:rPr>
          <w:spacing w:val="-6"/>
        </w:rPr>
        <w:t> </w:t>
      </w:r>
      <w:r>
        <w:rPr/>
        <w:t>development</w:t>
      </w:r>
      <w:r>
        <w:rPr>
          <w:spacing w:val="-7"/>
        </w:rPr>
        <w:t> </w:t>
      </w:r>
      <w:r>
        <w:rPr/>
        <w:t>and</w:t>
      </w:r>
      <w:r>
        <w:rPr>
          <w:spacing w:val="-4"/>
        </w:rPr>
        <w:t> </w:t>
      </w:r>
      <w:r>
        <w:rPr>
          <w:spacing w:val="-2"/>
        </w:rPr>
        <w:t>investment</w:t>
      </w:r>
    </w:p>
    <w:p>
      <w:pPr>
        <w:pStyle w:val="BodyText"/>
        <w:spacing w:before="10"/>
        <w:rPr>
          <w:b/>
        </w:rPr>
      </w:pPr>
    </w:p>
    <w:p>
      <w:pPr>
        <w:pStyle w:val="ListParagraph"/>
        <w:numPr>
          <w:ilvl w:val="0"/>
          <w:numId w:val="4"/>
        </w:numPr>
        <w:tabs>
          <w:tab w:pos="2967" w:val="left" w:leader="none"/>
        </w:tabs>
        <w:spacing w:line="240" w:lineRule="auto" w:before="1" w:after="0"/>
        <w:ind w:left="2246" w:right="2241" w:firstLine="0"/>
        <w:jc w:val="both"/>
        <w:rPr>
          <w:sz w:val="20"/>
        </w:rPr>
      </w:pPr>
      <w:r>
        <w:rPr>
          <w:sz w:val="20"/>
        </w:rPr>
        <w:t>The following information provides important context for the TFV’s operational resource requirements for 2023.</w:t>
      </w:r>
    </w:p>
    <w:p>
      <w:pPr>
        <w:pStyle w:val="BodyText"/>
        <w:spacing w:before="10"/>
      </w:pPr>
    </w:p>
    <w:p>
      <w:pPr>
        <w:spacing w:before="0"/>
        <w:ind w:left="2246" w:right="0" w:firstLine="0"/>
        <w:jc w:val="left"/>
        <w:rPr>
          <w:i/>
          <w:sz w:val="20"/>
        </w:rPr>
      </w:pPr>
      <w:r>
        <w:rPr>
          <w:i/>
          <w:spacing w:val="-2"/>
          <w:sz w:val="20"/>
        </w:rPr>
        <w:t>Outlook</w:t>
      </w:r>
    </w:p>
    <w:p>
      <w:pPr>
        <w:pStyle w:val="BodyText"/>
        <w:rPr>
          <w:i/>
          <w:sz w:val="21"/>
        </w:rPr>
      </w:pPr>
    </w:p>
    <w:p>
      <w:pPr>
        <w:pStyle w:val="ListParagraph"/>
        <w:numPr>
          <w:ilvl w:val="0"/>
          <w:numId w:val="4"/>
        </w:numPr>
        <w:tabs>
          <w:tab w:pos="2966" w:val="left" w:leader="none"/>
          <w:tab w:pos="2967" w:val="left" w:leader="none"/>
        </w:tabs>
        <w:spacing w:line="240" w:lineRule="auto" w:before="0" w:after="0"/>
        <w:ind w:left="2967" w:right="0" w:hanging="721"/>
        <w:jc w:val="left"/>
        <w:rPr>
          <w:sz w:val="20"/>
        </w:rPr>
      </w:pPr>
      <w:r>
        <w:rPr/>
        <w:pict>
          <v:shape style="position:absolute;margin-left:151.149994pt;margin-top:21.415775pt;width:.550pt;height:.550pt;mso-position-horizontal-relative:page;mso-position-vertical-relative:paragraph;z-index:15777280" id="docshape324" coordorigin="3023,428" coordsize="11,11" path="m3023,433l3025,430,3028,428,3032,430,3033,433,3032,437,3028,439,3025,437,3023,433xe" filled="true" fillcolor="#d3d3d3" stroked="false">
            <v:path arrowok="t"/>
            <v:fill type="solid"/>
            <w10:wrap type="none"/>
          </v:shape>
        </w:pict>
      </w:r>
      <w:r>
        <w:rPr>
          <w:sz w:val="20"/>
        </w:rPr>
        <w:t>TFV’s</w:t>
      </w:r>
      <w:r>
        <w:rPr>
          <w:spacing w:val="-6"/>
          <w:sz w:val="20"/>
        </w:rPr>
        <w:t> </w:t>
      </w:r>
      <w:r>
        <w:rPr>
          <w:sz w:val="20"/>
        </w:rPr>
        <w:t>expected</w:t>
      </w:r>
      <w:r>
        <w:rPr>
          <w:spacing w:val="-7"/>
          <w:sz w:val="20"/>
        </w:rPr>
        <w:t> </w:t>
      </w:r>
      <w:r>
        <w:rPr>
          <w:sz w:val="20"/>
        </w:rPr>
        <w:t>portfolio</w:t>
      </w:r>
      <w:r>
        <w:rPr>
          <w:spacing w:val="-8"/>
          <w:sz w:val="20"/>
        </w:rPr>
        <w:t> </w:t>
      </w:r>
      <w:r>
        <w:rPr>
          <w:sz w:val="20"/>
        </w:rPr>
        <w:t>investment</w:t>
      </w:r>
      <w:r>
        <w:rPr>
          <w:spacing w:val="-5"/>
          <w:sz w:val="20"/>
        </w:rPr>
        <w:t> </w:t>
      </w:r>
      <w:r>
        <w:rPr>
          <w:sz w:val="20"/>
        </w:rPr>
        <w:t>and</w:t>
      </w:r>
      <w:r>
        <w:rPr>
          <w:spacing w:val="-3"/>
          <w:sz w:val="20"/>
        </w:rPr>
        <w:t> </w:t>
      </w:r>
      <w:r>
        <w:rPr>
          <w:sz w:val="20"/>
        </w:rPr>
        <w:t>funding</w:t>
      </w:r>
      <w:r>
        <w:rPr>
          <w:spacing w:val="-7"/>
          <w:sz w:val="20"/>
        </w:rPr>
        <w:t> </w:t>
      </w:r>
      <w:r>
        <w:rPr>
          <w:sz w:val="20"/>
        </w:rPr>
        <w:t>outlook</w:t>
      </w:r>
      <w:r>
        <w:rPr>
          <w:spacing w:val="-8"/>
          <w:sz w:val="20"/>
        </w:rPr>
        <w:t> </w:t>
      </w:r>
      <w:r>
        <w:rPr>
          <w:sz w:val="20"/>
        </w:rPr>
        <w:t>is</w:t>
      </w:r>
      <w:r>
        <w:rPr>
          <w:spacing w:val="-8"/>
          <w:sz w:val="20"/>
        </w:rPr>
        <w:t> </w:t>
      </w:r>
      <w:r>
        <w:rPr>
          <w:sz w:val="20"/>
        </w:rPr>
        <w:t>as</w:t>
      </w:r>
      <w:r>
        <w:rPr>
          <w:spacing w:val="-4"/>
          <w:sz w:val="20"/>
        </w:rPr>
        <w:t> </w:t>
      </w:r>
      <w:r>
        <w:rPr>
          <w:spacing w:val="-2"/>
          <w:sz w:val="20"/>
        </w:rPr>
        <w:t>follows:</w:t>
      </w:r>
    </w:p>
    <w:p>
      <w:pPr>
        <w:pStyle w:val="BodyText"/>
        <w:spacing w:before="9"/>
        <w:rPr>
          <w:sz w:val="16"/>
        </w:rPr>
      </w:pPr>
    </w:p>
    <w:tbl>
      <w:tblPr>
        <w:tblW w:w="0" w:type="auto"/>
        <w:jc w:val="left"/>
        <w:tblInd w:w="30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7"/>
        <w:gridCol w:w="743"/>
        <w:gridCol w:w="805"/>
        <w:gridCol w:w="929"/>
        <w:gridCol w:w="2236"/>
      </w:tblGrid>
      <w:tr>
        <w:trPr>
          <w:trHeight w:val="584" w:hRule="atLeast"/>
        </w:trPr>
        <w:tc>
          <w:tcPr>
            <w:tcW w:w="5560" w:type="dxa"/>
            <w:gridSpan w:val="5"/>
            <w:tcBorders>
              <w:right w:val="single" w:sz="12" w:space="0" w:color="000000"/>
            </w:tcBorders>
          </w:tcPr>
          <w:p>
            <w:pPr>
              <w:pStyle w:val="TableParagraph"/>
              <w:spacing w:before="22"/>
              <w:ind w:left="21"/>
              <w:jc w:val="left"/>
              <w:rPr>
                <w:rFonts w:ascii="Arial"/>
                <w:b/>
                <w:sz w:val="12"/>
              </w:rPr>
            </w:pPr>
            <w:r>
              <w:rPr>
                <w:rFonts w:ascii="Arial"/>
                <w:b/>
                <w:sz w:val="15"/>
              </w:rPr>
              <w:t>Table</w:t>
            </w:r>
            <w:r>
              <w:rPr>
                <w:rFonts w:ascii="Arial"/>
                <w:b/>
                <w:spacing w:val="20"/>
                <w:sz w:val="15"/>
              </w:rPr>
              <w:t> </w:t>
            </w:r>
            <w:r>
              <w:rPr>
                <w:rFonts w:ascii="Arial"/>
                <w:b/>
                <w:sz w:val="15"/>
              </w:rPr>
              <w:t>TFV</w:t>
            </w:r>
            <w:r>
              <w:rPr>
                <w:rFonts w:ascii="Arial"/>
                <w:b/>
                <w:spacing w:val="-2"/>
                <w:sz w:val="15"/>
              </w:rPr>
              <w:t> </w:t>
            </w:r>
            <w:r>
              <w:rPr>
                <w:rFonts w:ascii="Arial"/>
                <w:b/>
                <w:sz w:val="15"/>
              </w:rPr>
              <w:t>portfolio</w:t>
            </w:r>
            <w:r>
              <w:rPr>
                <w:rFonts w:ascii="Arial"/>
                <w:b/>
                <w:spacing w:val="9"/>
                <w:sz w:val="15"/>
              </w:rPr>
              <w:t> </w:t>
            </w:r>
            <w:r>
              <w:rPr>
                <w:rFonts w:ascii="Arial"/>
                <w:b/>
                <w:sz w:val="15"/>
              </w:rPr>
              <w:t>investment</w:t>
            </w:r>
            <w:r>
              <w:rPr>
                <w:rFonts w:ascii="Arial"/>
                <w:b/>
                <w:spacing w:val="11"/>
                <w:sz w:val="15"/>
              </w:rPr>
              <w:t> </w:t>
            </w:r>
            <w:r>
              <w:rPr>
                <w:rFonts w:ascii="Arial"/>
                <w:b/>
                <w:sz w:val="15"/>
              </w:rPr>
              <w:t>and</w:t>
            </w:r>
            <w:r>
              <w:rPr>
                <w:rFonts w:ascii="Arial"/>
                <w:b/>
                <w:spacing w:val="10"/>
                <w:sz w:val="15"/>
              </w:rPr>
              <w:t> </w:t>
            </w:r>
            <w:r>
              <w:rPr>
                <w:rFonts w:ascii="Arial"/>
                <w:b/>
                <w:sz w:val="15"/>
              </w:rPr>
              <w:t>funding</w:t>
            </w:r>
            <w:r>
              <w:rPr>
                <w:rFonts w:ascii="Arial"/>
                <w:b/>
                <w:spacing w:val="10"/>
                <w:sz w:val="15"/>
              </w:rPr>
              <w:t> </w:t>
            </w:r>
            <w:r>
              <w:rPr>
                <w:rFonts w:ascii="Arial"/>
                <w:b/>
                <w:sz w:val="15"/>
              </w:rPr>
              <w:t>outlook</w:t>
            </w:r>
            <w:r>
              <w:rPr>
                <w:rFonts w:ascii="Arial"/>
                <w:b/>
                <w:spacing w:val="5"/>
                <w:sz w:val="15"/>
              </w:rPr>
              <w:t> </w:t>
            </w:r>
            <w:r>
              <w:rPr>
                <w:rFonts w:ascii="Arial"/>
                <w:b/>
                <w:sz w:val="12"/>
              </w:rPr>
              <w:t>(March </w:t>
            </w:r>
            <w:r>
              <w:rPr>
                <w:rFonts w:ascii="Arial"/>
                <w:b/>
                <w:spacing w:val="-2"/>
                <w:sz w:val="12"/>
              </w:rPr>
              <w:t>2022)</w:t>
            </w:r>
          </w:p>
          <w:p>
            <w:pPr>
              <w:pStyle w:val="TableParagraph"/>
              <w:spacing w:before="52"/>
              <w:ind w:left="21"/>
              <w:jc w:val="left"/>
              <w:rPr>
                <w:rFonts w:ascii="Arial"/>
                <w:sz w:val="12"/>
              </w:rPr>
            </w:pPr>
            <w:r>
              <w:rPr>
                <w:rFonts w:ascii="Arial"/>
                <w:w w:val="105"/>
                <w:sz w:val="12"/>
              </w:rPr>
              <w:t>Amounts</w:t>
            </w:r>
            <w:r>
              <w:rPr>
                <w:rFonts w:ascii="Arial"/>
                <w:spacing w:val="-1"/>
                <w:w w:val="105"/>
                <w:sz w:val="12"/>
              </w:rPr>
              <w:t> </w:t>
            </w:r>
            <w:r>
              <w:rPr>
                <w:rFonts w:ascii="Arial"/>
                <w:w w:val="105"/>
                <w:sz w:val="12"/>
              </w:rPr>
              <w:t>in</w:t>
            </w:r>
            <w:r>
              <w:rPr>
                <w:rFonts w:ascii="Arial"/>
                <w:spacing w:val="-4"/>
                <w:w w:val="105"/>
                <w:sz w:val="12"/>
              </w:rPr>
              <w:t> </w:t>
            </w:r>
            <w:r>
              <w:rPr>
                <w:rFonts w:ascii="Arial"/>
                <w:w w:val="105"/>
                <w:sz w:val="12"/>
              </w:rPr>
              <w:t>Euro</w:t>
            </w:r>
            <w:r>
              <w:rPr>
                <w:rFonts w:ascii="Arial"/>
                <w:spacing w:val="-5"/>
                <w:w w:val="105"/>
                <w:sz w:val="12"/>
              </w:rPr>
              <w:t> </w:t>
            </w:r>
            <w:r>
              <w:rPr>
                <w:rFonts w:ascii="Arial"/>
                <w:w w:val="105"/>
                <w:sz w:val="12"/>
              </w:rPr>
              <w:t>'000;</w:t>
            </w:r>
            <w:r>
              <w:rPr>
                <w:rFonts w:ascii="Arial"/>
                <w:spacing w:val="-9"/>
                <w:w w:val="105"/>
                <w:sz w:val="12"/>
              </w:rPr>
              <w:t> </w:t>
            </w:r>
            <w:r>
              <w:rPr>
                <w:rFonts w:ascii="Arial"/>
                <w:w w:val="105"/>
                <w:sz w:val="12"/>
              </w:rPr>
              <w:t>UN</w:t>
            </w:r>
            <w:r>
              <w:rPr>
                <w:rFonts w:ascii="Arial"/>
                <w:spacing w:val="-3"/>
                <w:w w:val="105"/>
                <w:sz w:val="12"/>
              </w:rPr>
              <w:t> </w:t>
            </w:r>
            <w:r>
              <w:rPr>
                <w:rFonts w:ascii="Arial"/>
                <w:w w:val="105"/>
                <w:sz w:val="12"/>
              </w:rPr>
              <w:t>Operational</w:t>
            </w:r>
            <w:r>
              <w:rPr>
                <w:rFonts w:ascii="Arial"/>
                <w:spacing w:val="-5"/>
                <w:w w:val="105"/>
                <w:sz w:val="12"/>
              </w:rPr>
              <w:t> </w:t>
            </w:r>
            <w:r>
              <w:rPr>
                <w:rFonts w:ascii="Arial"/>
                <w:w w:val="105"/>
                <w:sz w:val="12"/>
              </w:rPr>
              <w:t>Rate</w:t>
            </w:r>
            <w:r>
              <w:rPr>
                <w:rFonts w:ascii="Arial"/>
                <w:spacing w:val="-4"/>
                <w:w w:val="105"/>
                <w:sz w:val="12"/>
              </w:rPr>
              <w:t> </w:t>
            </w:r>
            <w:r>
              <w:rPr>
                <w:rFonts w:ascii="Arial"/>
                <w:w w:val="105"/>
                <w:sz w:val="12"/>
              </w:rPr>
              <w:t>15</w:t>
            </w:r>
            <w:r>
              <w:rPr>
                <w:rFonts w:ascii="Arial"/>
                <w:spacing w:val="-5"/>
                <w:w w:val="105"/>
                <w:sz w:val="12"/>
              </w:rPr>
              <w:t> </w:t>
            </w:r>
            <w:r>
              <w:rPr>
                <w:rFonts w:ascii="Arial"/>
                <w:w w:val="105"/>
                <w:sz w:val="12"/>
              </w:rPr>
              <w:t>March</w:t>
            </w:r>
            <w:r>
              <w:rPr>
                <w:rFonts w:ascii="Arial"/>
                <w:spacing w:val="-4"/>
                <w:w w:val="105"/>
                <w:sz w:val="12"/>
              </w:rPr>
              <w:t> 2022</w:t>
            </w:r>
          </w:p>
        </w:tc>
      </w:tr>
      <w:tr>
        <w:trPr>
          <w:trHeight w:val="274" w:hRule="atLeast"/>
        </w:trPr>
        <w:tc>
          <w:tcPr>
            <w:tcW w:w="5560" w:type="dxa"/>
            <w:gridSpan w:val="5"/>
            <w:tcBorders>
              <w:right w:val="single" w:sz="12" w:space="0" w:color="000000"/>
            </w:tcBorders>
          </w:tcPr>
          <w:p>
            <w:pPr>
              <w:pStyle w:val="TableParagraph"/>
              <w:spacing w:before="43"/>
              <w:ind w:left="1281"/>
              <w:jc w:val="left"/>
              <w:rPr>
                <w:rFonts w:ascii="Arial"/>
                <w:b/>
                <w:sz w:val="15"/>
              </w:rPr>
            </w:pPr>
            <w:r>
              <w:rPr>
                <w:rFonts w:ascii="Arial"/>
                <w:b/>
                <w:sz w:val="15"/>
              </w:rPr>
              <w:t>Investment</w:t>
            </w:r>
            <w:r>
              <w:rPr>
                <w:rFonts w:ascii="Arial"/>
                <w:b/>
                <w:spacing w:val="13"/>
                <w:sz w:val="15"/>
              </w:rPr>
              <w:t> </w:t>
            </w:r>
            <w:r>
              <w:rPr>
                <w:rFonts w:ascii="Arial"/>
                <w:b/>
                <w:sz w:val="15"/>
              </w:rPr>
              <w:t>in</w:t>
            </w:r>
            <w:r>
              <w:rPr>
                <w:rFonts w:ascii="Arial"/>
                <w:b/>
                <w:spacing w:val="12"/>
                <w:sz w:val="15"/>
              </w:rPr>
              <w:t> </w:t>
            </w:r>
            <w:r>
              <w:rPr>
                <w:rFonts w:ascii="Arial"/>
                <w:b/>
                <w:sz w:val="15"/>
              </w:rPr>
              <w:t>Court</w:t>
            </w:r>
            <w:r>
              <w:rPr>
                <w:rFonts w:ascii="Arial"/>
                <w:b/>
                <w:spacing w:val="13"/>
                <w:sz w:val="15"/>
              </w:rPr>
              <w:t> </w:t>
            </w:r>
            <w:r>
              <w:rPr>
                <w:rFonts w:ascii="Arial"/>
                <w:b/>
                <w:sz w:val="15"/>
              </w:rPr>
              <w:t>ordered</w:t>
            </w:r>
            <w:r>
              <w:rPr>
                <w:rFonts w:ascii="Arial"/>
                <w:b/>
                <w:spacing w:val="12"/>
                <w:sz w:val="15"/>
              </w:rPr>
              <w:t> </w:t>
            </w:r>
            <w:r>
              <w:rPr>
                <w:rFonts w:ascii="Arial"/>
                <w:b/>
                <w:spacing w:val="-2"/>
                <w:sz w:val="15"/>
              </w:rPr>
              <w:t>reparations</w:t>
            </w:r>
          </w:p>
        </w:tc>
      </w:tr>
      <w:tr>
        <w:trPr>
          <w:trHeight w:val="238" w:hRule="atLeast"/>
        </w:trPr>
        <w:tc>
          <w:tcPr>
            <w:tcW w:w="847" w:type="dxa"/>
            <w:tcBorders>
              <w:bottom w:val="nil"/>
            </w:tcBorders>
          </w:tcPr>
          <w:p>
            <w:pPr>
              <w:pStyle w:val="TableParagraph"/>
              <w:jc w:val="left"/>
              <w:rPr>
                <w:sz w:val="16"/>
              </w:rPr>
            </w:pPr>
          </w:p>
        </w:tc>
        <w:tc>
          <w:tcPr>
            <w:tcW w:w="743" w:type="dxa"/>
            <w:tcBorders>
              <w:bottom w:val="nil"/>
            </w:tcBorders>
          </w:tcPr>
          <w:p>
            <w:pPr>
              <w:pStyle w:val="TableParagraph"/>
              <w:spacing w:before="12"/>
              <w:ind w:left="28"/>
              <w:jc w:val="left"/>
              <w:rPr>
                <w:rFonts w:ascii="Arial"/>
                <w:sz w:val="15"/>
              </w:rPr>
            </w:pPr>
            <w:r>
              <w:rPr>
                <w:rFonts w:ascii="Arial"/>
                <w:spacing w:val="-2"/>
                <w:w w:val="105"/>
                <w:sz w:val="15"/>
              </w:rPr>
              <w:t>Current*</w:t>
            </w:r>
          </w:p>
        </w:tc>
        <w:tc>
          <w:tcPr>
            <w:tcW w:w="805" w:type="dxa"/>
            <w:tcBorders>
              <w:bottom w:val="nil"/>
            </w:tcBorders>
          </w:tcPr>
          <w:p>
            <w:pPr>
              <w:pStyle w:val="TableParagraph"/>
              <w:spacing w:before="12"/>
              <w:ind w:right="27"/>
              <w:rPr>
                <w:rFonts w:ascii="Arial"/>
                <w:sz w:val="15"/>
              </w:rPr>
            </w:pPr>
            <w:r>
              <w:rPr>
                <w:rFonts w:ascii="Arial"/>
                <w:spacing w:val="-2"/>
                <w:w w:val="105"/>
                <w:sz w:val="15"/>
              </w:rPr>
              <w:t>Allocated**</w:t>
            </w:r>
          </w:p>
        </w:tc>
        <w:tc>
          <w:tcPr>
            <w:tcW w:w="929" w:type="dxa"/>
            <w:tcBorders>
              <w:bottom w:val="nil"/>
            </w:tcBorders>
          </w:tcPr>
          <w:p>
            <w:pPr>
              <w:pStyle w:val="TableParagraph"/>
              <w:spacing w:before="12"/>
              <w:ind w:right="27"/>
              <w:rPr>
                <w:rFonts w:ascii="Arial"/>
                <w:sz w:val="15"/>
              </w:rPr>
            </w:pPr>
            <w:r>
              <w:rPr>
                <w:rFonts w:ascii="Arial"/>
                <w:spacing w:val="-2"/>
                <w:w w:val="105"/>
                <w:sz w:val="15"/>
              </w:rPr>
              <w:t>Projection***</w:t>
            </w:r>
          </w:p>
        </w:tc>
        <w:tc>
          <w:tcPr>
            <w:tcW w:w="2236" w:type="dxa"/>
            <w:tcBorders>
              <w:bottom w:val="nil"/>
              <w:right w:val="single" w:sz="12" w:space="0" w:color="000000"/>
            </w:tcBorders>
          </w:tcPr>
          <w:p>
            <w:pPr>
              <w:pStyle w:val="TableParagraph"/>
              <w:spacing w:before="12"/>
              <w:ind w:left="23"/>
              <w:jc w:val="left"/>
              <w:rPr>
                <w:rFonts w:ascii="Arial"/>
                <w:sz w:val="15"/>
              </w:rPr>
            </w:pPr>
            <w:r>
              <w:rPr>
                <w:rFonts w:ascii="Arial"/>
                <w:spacing w:val="-2"/>
                <w:w w:val="105"/>
                <w:sz w:val="15"/>
              </w:rPr>
              <w:t>Observation</w:t>
            </w:r>
          </w:p>
        </w:tc>
      </w:tr>
      <w:tr>
        <w:trPr>
          <w:trHeight w:val="237" w:hRule="atLeast"/>
        </w:trPr>
        <w:tc>
          <w:tcPr>
            <w:tcW w:w="847" w:type="dxa"/>
            <w:tcBorders>
              <w:top w:val="nil"/>
              <w:bottom w:val="nil"/>
            </w:tcBorders>
          </w:tcPr>
          <w:p>
            <w:pPr>
              <w:pStyle w:val="TableParagraph"/>
              <w:spacing w:line="165" w:lineRule="exact" w:before="52"/>
              <w:ind w:left="28"/>
              <w:jc w:val="left"/>
              <w:rPr>
                <w:rFonts w:ascii="Arial"/>
                <w:sz w:val="15"/>
              </w:rPr>
            </w:pPr>
            <w:r>
              <w:rPr>
                <w:rFonts w:ascii="Arial"/>
                <w:spacing w:val="-2"/>
                <w:w w:val="105"/>
                <w:sz w:val="15"/>
              </w:rPr>
              <w:t>Katanga</w:t>
            </w:r>
          </w:p>
        </w:tc>
        <w:tc>
          <w:tcPr>
            <w:tcW w:w="743" w:type="dxa"/>
            <w:tcBorders>
              <w:top w:val="nil"/>
              <w:bottom w:val="nil"/>
            </w:tcBorders>
          </w:tcPr>
          <w:p>
            <w:pPr>
              <w:pStyle w:val="TableParagraph"/>
              <w:spacing w:line="165" w:lineRule="exact" w:before="52"/>
              <w:ind w:right="1"/>
              <w:rPr>
                <w:rFonts w:ascii="Arial" w:hAnsi="Arial"/>
                <w:sz w:val="15"/>
              </w:rPr>
            </w:pPr>
            <w:r>
              <w:rPr>
                <w:rFonts w:ascii="Arial" w:hAnsi="Arial"/>
                <w:w w:val="105"/>
                <w:sz w:val="15"/>
              </w:rPr>
              <w:t>€</w:t>
            </w:r>
            <w:r>
              <w:rPr>
                <w:rFonts w:ascii="Arial" w:hAnsi="Arial"/>
                <w:spacing w:val="-9"/>
                <w:w w:val="105"/>
                <w:sz w:val="15"/>
              </w:rPr>
              <w:t> </w:t>
            </w:r>
            <w:r>
              <w:rPr>
                <w:rFonts w:ascii="Arial" w:hAnsi="Arial"/>
                <w:spacing w:val="-5"/>
                <w:w w:val="105"/>
                <w:sz w:val="15"/>
              </w:rPr>
              <w:t>811</w:t>
            </w:r>
          </w:p>
        </w:tc>
        <w:tc>
          <w:tcPr>
            <w:tcW w:w="805" w:type="dxa"/>
            <w:tcBorders>
              <w:top w:val="nil"/>
              <w:bottom w:val="nil"/>
            </w:tcBorders>
          </w:tcPr>
          <w:p>
            <w:pPr>
              <w:pStyle w:val="TableParagraph"/>
              <w:spacing w:line="165" w:lineRule="exact" w:before="52"/>
              <w:ind w:right="1"/>
              <w:rPr>
                <w:rFonts w:ascii="Arial" w:hAnsi="Arial"/>
                <w:sz w:val="15"/>
              </w:rPr>
            </w:pPr>
            <w:r>
              <w:rPr>
                <w:rFonts w:ascii="Arial" w:hAnsi="Arial"/>
                <w:w w:val="105"/>
                <w:sz w:val="15"/>
              </w:rPr>
              <w:t>€</w:t>
            </w:r>
            <w:r>
              <w:rPr>
                <w:rFonts w:ascii="Arial" w:hAnsi="Arial"/>
                <w:spacing w:val="-9"/>
                <w:w w:val="105"/>
                <w:sz w:val="15"/>
              </w:rPr>
              <w:t> </w:t>
            </w:r>
            <w:r>
              <w:rPr>
                <w:rFonts w:ascii="Arial" w:hAnsi="Arial"/>
                <w:spacing w:val="-5"/>
                <w:w w:val="105"/>
                <w:sz w:val="15"/>
              </w:rPr>
              <w:t>102</w:t>
            </w:r>
          </w:p>
        </w:tc>
        <w:tc>
          <w:tcPr>
            <w:tcW w:w="929" w:type="dxa"/>
            <w:tcBorders>
              <w:top w:val="nil"/>
              <w:bottom w:val="nil"/>
            </w:tcBorders>
          </w:tcPr>
          <w:p>
            <w:pPr>
              <w:pStyle w:val="TableParagraph"/>
              <w:spacing w:line="165" w:lineRule="exact" w:before="52"/>
              <w:ind w:right="1"/>
              <w:rPr>
                <w:rFonts w:ascii="Arial" w:hAnsi="Arial"/>
                <w:sz w:val="15"/>
              </w:rPr>
            </w:pPr>
            <w:r>
              <w:rPr>
                <w:rFonts w:ascii="Arial" w:hAnsi="Arial"/>
                <w:w w:val="105"/>
                <w:sz w:val="15"/>
              </w:rPr>
              <w:t>€</w:t>
            </w:r>
            <w:r>
              <w:rPr>
                <w:rFonts w:ascii="Arial" w:hAnsi="Arial"/>
                <w:spacing w:val="-9"/>
                <w:w w:val="105"/>
                <w:sz w:val="15"/>
              </w:rPr>
              <w:t> </w:t>
            </w:r>
            <w:r>
              <w:rPr>
                <w:rFonts w:ascii="Arial" w:hAnsi="Arial"/>
                <w:spacing w:val="-10"/>
                <w:w w:val="105"/>
                <w:sz w:val="15"/>
              </w:rPr>
              <w:t>0</w:t>
            </w:r>
          </w:p>
        </w:tc>
        <w:tc>
          <w:tcPr>
            <w:tcW w:w="2236" w:type="dxa"/>
            <w:tcBorders>
              <w:top w:val="nil"/>
              <w:bottom w:val="nil"/>
              <w:right w:val="single" w:sz="12" w:space="0" w:color="000000"/>
            </w:tcBorders>
          </w:tcPr>
          <w:p>
            <w:pPr>
              <w:pStyle w:val="TableParagraph"/>
              <w:spacing w:line="165" w:lineRule="exact" w:before="52"/>
              <w:ind w:left="23"/>
              <w:jc w:val="left"/>
              <w:rPr>
                <w:rFonts w:ascii="Arial"/>
                <w:sz w:val="15"/>
              </w:rPr>
            </w:pPr>
            <w:r>
              <w:rPr>
                <w:rFonts w:ascii="Arial"/>
                <w:sz w:val="15"/>
              </w:rPr>
              <w:t>To</w:t>
            </w:r>
            <w:r>
              <w:rPr>
                <w:rFonts w:ascii="Arial"/>
                <w:spacing w:val="-1"/>
                <w:sz w:val="15"/>
              </w:rPr>
              <w:t> </w:t>
            </w:r>
            <w:r>
              <w:rPr>
                <w:rFonts w:ascii="Arial"/>
                <w:sz w:val="15"/>
              </w:rPr>
              <w:t>be</w:t>
            </w:r>
            <w:r>
              <w:rPr>
                <w:rFonts w:ascii="Arial"/>
                <w:spacing w:val="-1"/>
                <w:sz w:val="15"/>
              </w:rPr>
              <w:t> </w:t>
            </w:r>
            <w:r>
              <w:rPr>
                <w:rFonts w:ascii="Arial"/>
                <w:sz w:val="15"/>
              </w:rPr>
              <w:t>completed</w:t>
            </w:r>
            <w:r>
              <w:rPr>
                <w:rFonts w:ascii="Arial"/>
                <w:spacing w:val="-1"/>
                <w:sz w:val="15"/>
              </w:rPr>
              <w:t> </w:t>
            </w:r>
            <w:r>
              <w:rPr>
                <w:rFonts w:ascii="Arial"/>
                <w:spacing w:val="-4"/>
                <w:sz w:val="15"/>
              </w:rPr>
              <w:t>2022</w:t>
            </w:r>
          </w:p>
        </w:tc>
      </w:tr>
      <w:tr>
        <w:trPr>
          <w:trHeight w:val="196" w:hRule="atLeast"/>
        </w:trPr>
        <w:tc>
          <w:tcPr>
            <w:tcW w:w="847" w:type="dxa"/>
            <w:tcBorders>
              <w:top w:val="nil"/>
              <w:bottom w:val="nil"/>
            </w:tcBorders>
          </w:tcPr>
          <w:p>
            <w:pPr>
              <w:pStyle w:val="TableParagraph"/>
              <w:spacing w:line="165" w:lineRule="exact" w:before="11"/>
              <w:ind w:left="28"/>
              <w:jc w:val="left"/>
              <w:rPr>
                <w:rFonts w:ascii="Arial"/>
                <w:sz w:val="15"/>
              </w:rPr>
            </w:pPr>
            <w:r>
              <w:rPr>
                <w:rFonts w:ascii="Arial"/>
                <w:spacing w:val="-2"/>
                <w:w w:val="105"/>
                <w:sz w:val="15"/>
              </w:rPr>
              <w:t>Lubanga</w:t>
            </w:r>
          </w:p>
        </w:tc>
        <w:tc>
          <w:tcPr>
            <w:tcW w:w="743" w:type="dxa"/>
            <w:tcBorders>
              <w:top w:val="nil"/>
              <w:bottom w:val="nil"/>
            </w:tcBorders>
          </w:tcPr>
          <w:p>
            <w:pPr>
              <w:pStyle w:val="TableParagraph"/>
              <w:spacing w:line="165" w:lineRule="exact" w:before="11"/>
              <w:ind w:right="2"/>
              <w:rPr>
                <w:rFonts w:ascii="Arial" w:hAnsi="Arial"/>
                <w:sz w:val="15"/>
              </w:rPr>
            </w:pPr>
            <w:r>
              <w:rPr>
                <w:rFonts w:ascii="Arial" w:hAnsi="Arial"/>
                <w:w w:val="105"/>
                <w:sz w:val="15"/>
              </w:rPr>
              <w:t>€</w:t>
            </w:r>
            <w:r>
              <w:rPr>
                <w:rFonts w:ascii="Arial" w:hAnsi="Arial"/>
                <w:spacing w:val="-9"/>
                <w:w w:val="105"/>
                <w:sz w:val="15"/>
              </w:rPr>
              <w:t> </w:t>
            </w:r>
            <w:r>
              <w:rPr>
                <w:rFonts w:ascii="Arial" w:hAnsi="Arial"/>
                <w:spacing w:val="-2"/>
                <w:w w:val="105"/>
                <w:sz w:val="15"/>
              </w:rPr>
              <w:t>2,561</w:t>
            </w:r>
          </w:p>
        </w:tc>
        <w:tc>
          <w:tcPr>
            <w:tcW w:w="805" w:type="dxa"/>
            <w:tcBorders>
              <w:top w:val="nil"/>
              <w:bottom w:val="nil"/>
            </w:tcBorders>
          </w:tcPr>
          <w:p>
            <w:pPr>
              <w:pStyle w:val="TableParagraph"/>
              <w:spacing w:line="165" w:lineRule="exact" w:before="11"/>
              <w:ind w:right="1"/>
              <w:rPr>
                <w:rFonts w:ascii="Arial" w:hAnsi="Arial"/>
                <w:sz w:val="15"/>
              </w:rPr>
            </w:pPr>
            <w:r>
              <w:rPr>
                <w:rFonts w:ascii="Arial" w:hAnsi="Arial"/>
                <w:w w:val="105"/>
                <w:sz w:val="15"/>
              </w:rPr>
              <w:t>€</w:t>
            </w:r>
            <w:r>
              <w:rPr>
                <w:rFonts w:ascii="Arial" w:hAnsi="Arial"/>
                <w:spacing w:val="-9"/>
                <w:w w:val="105"/>
                <w:sz w:val="15"/>
              </w:rPr>
              <w:t> </w:t>
            </w:r>
            <w:r>
              <w:rPr>
                <w:rFonts w:ascii="Arial" w:hAnsi="Arial"/>
                <w:spacing w:val="-2"/>
                <w:w w:val="105"/>
                <w:sz w:val="15"/>
              </w:rPr>
              <w:t>1,864</w:t>
            </w:r>
          </w:p>
        </w:tc>
        <w:tc>
          <w:tcPr>
            <w:tcW w:w="929" w:type="dxa"/>
            <w:tcBorders>
              <w:top w:val="nil"/>
              <w:bottom w:val="nil"/>
            </w:tcBorders>
          </w:tcPr>
          <w:p>
            <w:pPr>
              <w:pStyle w:val="TableParagraph"/>
              <w:spacing w:line="165" w:lineRule="exact" w:before="11"/>
              <w:rPr>
                <w:rFonts w:ascii="Arial" w:hAnsi="Arial"/>
                <w:sz w:val="15"/>
              </w:rPr>
            </w:pPr>
            <w:r>
              <w:rPr>
                <w:rFonts w:ascii="Arial" w:hAnsi="Arial"/>
                <w:w w:val="105"/>
                <w:sz w:val="15"/>
              </w:rPr>
              <w:t>€</w:t>
            </w:r>
            <w:r>
              <w:rPr>
                <w:rFonts w:ascii="Arial" w:hAnsi="Arial"/>
                <w:spacing w:val="-9"/>
                <w:w w:val="105"/>
                <w:sz w:val="15"/>
              </w:rPr>
              <w:t> </w:t>
            </w:r>
            <w:r>
              <w:rPr>
                <w:rFonts w:ascii="Arial" w:hAnsi="Arial"/>
                <w:spacing w:val="-2"/>
                <w:w w:val="105"/>
                <w:sz w:val="15"/>
              </w:rPr>
              <w:t>4,705</w:t>
            </w:r>
          </w:p>
        </w:tc>
        <w:tc>
          <w:tcPr>
            <w:tcW w:w="2236" w:type="dxa"/>
            <w:tcBorders>
              <w:top w:val="nil"/>
              <w:bottom w:val="nil"/>
              <w:right w:val="single" w:sz="12" w:space="0" w:color="000000"/>
            </w:tcBorders>
          </w:tcPr>
          <w:p>
            <w:pPr>
              <w:pStyle w:val="TableParagraph"/>
              <w:spacing w:line="165" w:lineRule="exact" w:before="11"/>
              <w:ind w:left="23"/>
              <w:jc w:val="left"/>
              <w:rPr>
                <w:rFonts w:ascii="Arial"/>
                <w:sz w:val="15"/>
              </w:rPr>
            </w:pPr>
            <w:r>
              <w:rPr>
                <w:rFonts w:ascii="Arial"/>
                <w:sz w:val="15"/>
              </w:rPr>
              <w:t>Since</w:t>
            </w:r>
            <w:r>
              <w:rPr>
                <w:rFonts w:ascii="Arial"/>
                <w:w w:val="105"/>
                <w:sz w:val="15"/>
              </w:rPr>
              <w:t> </w:t>
            </w:r>
            <w:r>
              <w:rPr>
                <w:rFonts w:ascii="Arial"/>
                <w:spacing w:val="-4"/>
                <w:w w:val="105"/>
                <w:sz w:val="15"/>
              </w:rPr>
              <w:t>2021</w:t>
            </w:r>
          </w:p>
        </w:tc>
      </w:tr>
      <w:tr>
        <w:trPr>
          <w:trHeight w:val="196" w:hRule="atLeast"/>
        </w:trPr>
        <w:tc>
          <w:tcPr>
            <w:tcW w:w="847" w:type="dxa"/>
            <w:tcBorders>
              <w:top w:val="nil"/>
              <w:bottom w:val="nil"/>
            </w:tcBorders>
          </w:tcPr>
          <w:p>
            <w:pPr>
              <w:pStyle w:val="TableParagraph"/>
              <w:spacing w:line="165" w:lineRule="exact" w:before="11"/>
              <w:ind w:left="28"/>
              <w:jc w:val="left"/>
              <w:rPr>
                <w:rFonts w:ascii="Arial"/>
                <w:sz w:val="15"/>
              </w:rPr>
            </w:pPr>
            <w:r>
              <w:rPr>
                <w:rFonts w:ascii="Arial"/>
                <w:spacing w:val="-2"/>
                <w:w w:val="105"/>
                <w:sz w:val="15"/>
              </w:rPr>
              <w:t>Ntaganda</w:t>
            </w:r>
          </w:p>
        </w:tc>
        <w:tc>
          <w:tcPr>
            <w:tcW w:w="743" w:type="dxa"/>
            <w:tcBorders>
              <w:top w:val="nil"/>
              <w:bottom w:val="nil"/>
            </w:tcBorders>
          </w:tcPr>
          <w:p>
            <w:pPr>
              <w:pStyle w:val="TableParagraph"/>
              <w:spacing w:line="165" w:lineRule="exact" w:before="11"/>
              <w:ind w:right="1"/>
              <w:rPr>
                <w:rFonts w:ascii="Arial" w:hAnsi="Arial"/>
                <w:sz w:val="15"/>
              </w:rPr>
            </w:pPr>
            <w:r>
              <w:rPr>
                <w:rFonts w:ascii="Arial" w:hAnsi="Arial"/>
                <w:w w:val="105"/>
                <w:sz w:val="15"/>
              </w:rPr>
              <w:t>€</w:t>
            </w:r>
            <w:r>
              <w:rPr>
                <w:rFonts w:ascii="Arial" w:hAnsi="Arial"/>
                <w:spacing w:val="-9"/>
                <w:w w:val="105"/>
                <w:sz w:val="15"/>
              </w:rPr>
              <w:t> </w:t>
            </w:r>
            <w:r>
              <w:rPr>
                <w:rFonts w:ascii="Arial" w:hAnsi="Arial"/>
                <w:spacing w:val="-5"/>
                <w:w w:val="105"/>
                <w:sz w:val="15"/>
              </w:rPr>
              <w:t>266</w:t>
            </w:r>
          </w:p>
        </w:tc>
        <w:tc>
          <w:tcPr>
            <w:tcW w:w="805" w:type="dxa"/>
            <w:tcBorders>
              <w:top w:val="nil"/>
              <w:bottom w:val="nil"/>
            </w:tcBorders>
          </w:tcPr>
          <w:p>
            <w:pPr>
              <w:pStyle w:val="TableParagraph"/>
              <w:spacing w:line="165" w:lineRule="exact" w:before="11"/>
              <w:ind w:right="1"/>
              <w:rPr>
                <w:rFonts w:ascii="Arial" w:hAnsi="Arial"/>
                <w:sz w:val="15"/>
              </w:rPr>
            </w:pPr>
            <w:r>
              <w:rPr>
                <w:rFonts w:ascii="Arial" w:hAnsi="Arial"/>
                <w:w w:val="105"/>
                <w:sz w:val="15"/>
              </w:rPr>
              <w:t>€</w:t>
            </w:r>
            <w:r>
              <w:rPr>
                <w:rFonts w:ascii="Arial" w:hAnsi="Arial"/>
                <w:spacing w:val="-9"/>
                <w:w w:val="105"/>
                <w:sz w:val="15"/>
              </w:rPr>
              <w:t> </w:t>
            </w:r>
            <w:r>
              <w:rPr>
                <w:rFonts w:ascii="Arial" w:hAnsi="Arial"/>
                <w:spacing w:val="-2"/>
                <w:w w:val="105"/>
                <w:sz w:val="15"/>
              </w:rPr>
              <w:t>1,423</w:t>
            </w:r>
          </w:p>
        </w:tc>
        <w:tc>
          <w:tcPr>
            <w:tcW w:w="929" w:type="dxa"/>
            <w:tcBorders>
              <w:top w:val="nil"/>
              <w:bottom w:val="nil"/>
            </w:tcBorders>
          </w:tcPr>
          <w:p>
            <w:pPr>
              <w:pStyle w:val="TableParagraph"/>
              <w:spacing w:line="165" w:lineRule="exact" w:before="11"/>
              <w:rPr>
                <w:rFonts w:ascii="Arial" w:hAnsi="Arial"/>
                <w:sz w:val="15"/>
              </w:rPr>
            </w:pPr>
            <w:r>
              <w:rPr>
                <w:rFonts w:ascii="Arial" w:hAnsi="Arial"/>
                <w:w w:val="105"/>
                <w:sz w:val="15"/>
              </w:rPr>
              <w:t>€</w:t>
            </w:r>
            <w:r>
              <w:rPr>
                <w:rFonts w:ascii="Arial" w:hAnsi="Arial"/>
                <w:spacing w:val="-9"/>
                <w:w w:val="105"/>
                <w:sz w:val="15"/>
              </w:rPr>
              <w:t> </w:t>
            </w:r>
            <w:r>
              <w:rPr>
                <w:rFonts w:ascii="Arial" w:hAnsi="Arial"/>
                <w:spacing w:val="-2"/>
                <w:w w:val="105"/>
                <w:sz w:val="15"/>
              </w:rPr>
              <w:t>25,701</w:t>
            </w:r>
          </w:p>
        </w:tc>
        <w:tc>
          <w:tcPr>
            <w:tcW w:w="2236" w:type="dxa"/>
            <w:tcBorders>
              <w:top w:val="nil"/>
              <w:bottom w:val="nil"/>
              <w:right w:val="single" w:sz="12" w:space="0" w:color="000000"/>
            </w:tcBorders>
          </w:tcPr>
          <w:p>
            <w:pPr>
              <w:pStyle w:val="TableParagraph"/>
              <w:spacing w:line="165" w:lineRule="exact" w:before="11"/>
              <w:ind w:left="23"/>
              <w:jc w:val="left"/>
              <w:rPr>
                <w:rFonts w:ascii="Arial"/>
                <w:sz w:val="15"/>
              </w:rPr>
            </w:pPr>
            <w:r>
              <w:rPr>
                <w:rFonts w:ascii="Arial"/>
                <w:sz w:val="15"/>
              </w:rPr>
              <w:t>Since</w:t>
            </w:r>
            <w:r>
              <w:rPr>
                <w:rFonts w:ascii="Arial"/>
                <w:w w:val="105"/>
                <w:sz w:val="15"/>
              </w:rPr>
              <w:t> </w:t>
            </w:r>
            <w:r>
              <w:rPr>
                <w:rFonts w:ascii="Arial"/>
                <w:spacing w:val="-4"/>
                <w:w w:val="105"/>
                <w:sz w:val="15"/>
              </w:rPr>
              <w:t>2022</w:t>
            </w:r>
          </w:p>
        </w:tc>
      </w:tr>
      <w:tr>
        <w:trPr>
          <w:trHeight w:val="196" w:hRule="atLeast"/>
        </w:trPr>
        <w:tc>
          <w:tcPr>
            <w:tcW w:w="847" w:type="dxa"/>
            <w:tcBorders>
              <w:top w:val="nil"/>
              <w:bottom w:val="nil"/>
            </w:tcBorders>
          </w:tcPr>
          <w:p>
            <w:pPr>
              <w:pStyle w:val="TableParagraph"/>
              <w:spacing w:line="165" w:lineRule="exact" w:before="11"/>
              <w:ind w:left="28"/>
              <w:jc w:val="left"/>
              <w:rPr>
                <w:rFonts w:ascii="Arial"/>
                <w:sz w:val="15"/>
              </w:rPr>
            </w:pPr>
            <w:r>
              <w:rPr>
                <w:rFonts w:ascii="Arial"/>
                <w:spacing w:val="-2"/>
                <w:sz w:val="15"/>
              </w:rPr>
              <w:t>Al</w:t>
            </w:r>
            <w:r>
              <w:rPr>
                <w:rFonts w:ascii="Arial"/>
                <w:spacing w:val="-7"/>
                <w:sz w:val="15"/>
              </w:rPr>
              <w:t> </w:t>
            </w:r>
            <w:r>
              <w:rPr>
                <w:rFonts w:ascii="Arial"/>
                <w:spacing w:val="-2"/>
                <w:sz w:val="15"/>
              </w:rPr>
              <w:t>Mahdi</w:t>
            </w:r>
          </w:p>
        </w:tc>
        <w:tc>
          <w:tcPr>
            <w:tcW w:w="743" w:type="dxa"/>
            <w:tcBorders>
              <w:top w:val="nil"/>
              <w:bottom w:val="nil"/>
            </w:tcBorders>
          </w:tcPr>
          <w:p>
            <w:pPr>
              <w:pStyle w:val="TableParagraph"/>
              <w:spacing w:line="165" w:lineRule="exact" w:before="11"/>
              <w:ind w:right="2"/>
              <w:rPr>
                <w:rFonts w:ascii="Arial" w:hAnsi="Arial"/>
                <w:sz w:val="15"/>
              </w:rPr>
            </w:pPr>
            <w:r>
              <w:rPr>
                <w:rFonts w:ascii="Arial" w:hAnsi="Arial"/>
                <w:w w:val="105"/>
                <w:sz w:val="15"/>
              </w:rPr>
              <w:t>€</w:t>
            </w:r>
            <w:r>
              <w:rPr>
                <w:rFonts w:ascii="Arial" w:hAnsi="Arial"/>
                <w:spacing w:val="-9"/>
                <w:w w:val="105"/>
                <w:sz w:val="15"/>
              </w:rPr>
              <w:t> </w:t>
            </w:r>
            <w:r>
              <w:rPr>
                <w:rFonts w:ascii="Arial" w:hAnsi="Arial"/>
                <w:spacing w:val="-2"/>
                <w:w w:val="105"/>
                <w:sz w:val="15"/>
              </w:rPr>
              <w:t>1,378</w:t>
            </w:r>
          </w:p>
        </w:tc>
        <w:tc>
          <w:tcPr>
            <w:tcW w:w="805" w:type="dxa"/>
            <w:tcBorders>
              <w:top w:val="nil"/>
              <w:bottom w:val="nil"/>
            </w:tcBorders>
          </w:tcPr>
          <w:p>
            <w:pPr>
              <w:pStyle w:val="TableParagraph"/>
              <w:spacing w:line="165" w:lineRule="exact" w:before="11"/>
              <w:ind w:right="1"/>
              <w:rPr>
                <w:rFonts w:ascii="Arial" w:hAnsi="Arial"/>
                <w:sz w:val="15"/>
              </w:rPr>
            </w:pPr>
            <w:r>
              <w:rPr>
                <w:rFonts w:ascii="Arial" w:hAnsi="Arial"/>
                <w:w w:val="105"/>
                <w:sz w:val="15"/>
              </w:rPr>
              <w:t>€</w:t>
            </w:r>
            <w:r>
              <w:rPr>
                <w:rFonts w:ascii="Arial" w:hAnsi="Arial"/>
                <w:spacing w:val="-9"/>
                <w:w w:val="105"/>
                <w:sz w:val="15"/>
              </w:rPr>
              <w:t> </w:t>
            </w:r>
            <w:r>
              <w:rPr>
                <w:rFonts w:ascii="Arial" w:hAnsi="Arial"/>
                <w:spacing w:val="-5"/>
                <w:w w:val="105"/>
                <w:sz w:val="15"/>
              </w:rPr>
              <w:t>356</w:t>
            </w:r>
          </w:p>
        </w:tc>
        <w:tc>
          <w:tcPr>
            <w:tcW w:w="929" w:type="dxa"/>
            <w:tcBorders>
              <w:top w:val="nil"/>
              <w:bottom w:val="nil"/>
            </w:tcBorders>
          </w:tcPr>
          <w:p>
            <w:pPr>
              <w:pStyle w:val="TableParagraph"/>
              <w:spacing w:line="165" w:lineRule="exact" w:before="11"/>
              <w:rPr>
                <w:rFonts w:ascii="Arial" w:hAnsi="Arial"/>
                <w:sz w:val="15"/>
              </w:rPr>
            </w:pPr>
            <w:r>
              <w:rPr>
                <w:rFonts w:ascii="Arial" w:hAnsi="Arial"/>
                <w:w w:val="105"/>
                <w:sz w:val="15"/>
              </w:rPr>
              <w:t>€</w:t>
            </w:r>
            <w:r>
              <w:rPr>
                <w:rFonts w:ascii="Arial" w:hAnsi="Arial"/>
                <w:spacing w:val="-9"/>
                <w:w w:val="105"/>
                <w:sz w:val="15"/>
              </w:rPr>
              <w:t> </w:t>
            </w:r>
            <w:r>
              <w:rPr>
                <w:rFonts w:ascii="Arial" w:hAnsi="Arial"/>
                <w:spacing w:val="-5"/>
                <w:w w:val="105"/>
                <w:sz w:val="15"/>
              </w:rPr>
              <w:t>966</w:t>
            </w:r>
          </w:p>
        </w:tc>
        <w:tc>
          <w:tcPr>
            <w:tcW w:w="2236" w:type="dxa"/>
            <w:tcBorders>
              <w:top w:val="nil"/>
              <w:bottom w:val="nil"/>
              <w:right w:val="single" w:sz="12" w:space="0" w:color="000000"/>
            </w:tcBorders>
          </w:tcPr>
          <w:p>
            <w:pPr>
              <w:pStyle w:val="TableParagraph"/>
              <w:spacing w:line="165" w:lineRule="exact" w:before="11"/>
              <w:ind w:left="23"/>
              <w:jc w:val="left"/>
              <w:rPr>
                <w:rFonts w:ascii="Arial"/>
                <w:sz w:val="15"/>
              </w:rPr>
            </w:pPr>
            <w:r>
              <w:rPr>
                <w:rFonts w:ascii="Arial"/>
                <w:sz w:val="15"/>
              </w:rPr>
              <w:t>Since</w:t>
            </w:r>
            <w:r>
              <w:rPr>
                <w:rFonts w:ascii="Arial"/>
                <w:w w:val="105"/>
                <w:sz w:val="15"/>
              </w:rPr>
              <w:t> </w:t>
            </w:r>
            <w:r>
              <w:rPr>
                <w:rFonts w:ascii="Arial"/>
                <w:spacing w:val="-4"/>
                <w:w w:val="105"/>
                <w:sz w:val="15"/>
              </w:rPr>
              <w:t>2021</w:t>
            </w:r>
          </w:p>
        </w:tc>
      </w:tr>
      <w:tr>
        <w:trPr>
          <w:trHeight w:val="376" w:hRule="atLeast"/>
        </w:trPr>
        <w:tc>
          <w:tcPr>
            <w:tcW w:w="847" w:type="dxa"/>
            <w:tcBorders>
              <w:top w:val="nil"/>
            </w:tcBorders>
          </w:tcPr>
          <w:p>
            <w:pPr>
              <w:pStyle w:val="TableParagraph"/>
              <w:spacing w:before="11"/>
              <w:ind w:left="28"/>
              <w:jc w:val="left"/>
              <w:rPr>
                <w:rFonts w:ascii="Arial"/>
                <w:sz w:val="15"/>
              </w:rPr>
            </w:pPr>
            <w:r>
              <w:rPr>
                <w:rFonts w:ascii="Arial"/>
                <w:spacing w:val="-2"/>
                <w:w w:val="105"/>
                <w:sz w:val="15"/>
              </w:rPr>
              <w:t>Ongwen</w:t>
            </w:r>
          </w:p>
        </w:tc>
        <w:tc>
          <w:tcPr>
            <w:tcW w:w="743" w:type="dxa"/>
            <w:tcBorders>
              <w:top w:val="nil"/>
            </w:tcBorders>
          </w:tcPr>
          <w:p>
            <w:pPr>
              <w:pStyle w:val="TableParagraph"/>
              <w:spacing w:before="11"/>
              <w:ind w:right="5"/>
              <w:rPr>
                <w:rFonts w:ascii="Arial"/>
                <w:sz w:val="15"/>
              </w:rPr>
            </w:pPr>
            <w:r>
              <w:rPr>
                <w:rFonts w:ascii="Arial"/>
                <w:w w:val="103"/>
                <w:sz w:val="15"/>
              </w:rPr>
              <w:t>-</w:t>
            </w:r>
          </w:p>
        </w:tc>
        <w:tc>
          <w:tcPr>
            <w:tcW w:w="805" w:type="dxa"/>
            <w:tcBorders>
              <w:top w:val="nil"/>
            </w:tcBorders>
          </w:tcPr>
          <w:p>
            <w:pPr>
              <w:pStyle w:val="TableParagraph"/>
              <w:spacing w:before="11"/>
              <w:ind w:right="3"/>
              <w:rPr>
                <w:rFonts w:ascii="Arial"/>
                <w:sz w:val="15"/>
              </w:rPr>
            </w:pPr>
            <w:r>
              <w:rPr>
                <w:rFonts w:ascii="Arial"/>
                <w:w w:val="103"/>
                <w:sz w:val="15"/>
              </w:rPr>
              <w:t>-</w:t>
            </w:r>
          </w:p>
        </w:tc>
        <w:tc>
          <w:tcPr>
            <w:tcW w:w="929" w:type="dxa"/>
            <w:tcBorders>
              <w:top w:val="nil"/>
            </w:tcBorders>
          </w:tcPr>
          <w:p>
            <w:pPr>
              <w:pStyle w:val="TableParagraph"/>
              <w:spacing w:before="11"/>
              <w:ind w:right="3"/>
              <w:rPr>
                <w:rFonts w:ascii="Arial"/>
                <w:sz w:val="15"/>
              </w:rPr>
            </w:pPr>
            <w:r>
              <w:rPr>
                <w:rFonts w:ascii="Arial"/>
                <w:w w:val="103"/>
                <w:sz w:val="15"/>
              </w:rPr>
              <w:t>-</w:t>
            </w:r>
          </w:p>
        </w:tc>
        <w:tc>
          <w:tcPr>
            <w:tcW w:w="2236" w:type="dxa"/>
            <w:tcBorders>
              <w:top w:val="nil"/>
              <w:right w:val="single" w:sz="12" w:space="0" w:color="000000"/>
            </w:tcBorders>
          </w:tcPr>
          <w:p>
            <w:pPr>
              <w:pStyle w:val="TableParagraph"/>
              <w:spacing w:before="11"/>
              <w:ind w:left="23"/>
              <w:jc w:val="left"/>
              <w:rPr>
                <w:rFonts w:ascii="Arial"/>
                <w:sz w:val="15"/>
              </w:rPr>
            </w:pPr>
            <w:r>
              <w:rPr>
                <w:rFonts w:ascii="Arial"/>
                <w:sz w:val="15"/>
              </w:rPr>
              <w:t>Expected</w:t>
            </w:r>
            <w:r>
              <w:rPr>
                <w:rFonts w:ascii="Arial"/>
                <w:spacing w:val="-7"/>
                <w:sz w:val="15"/>
              </w:rPr>
              <w:t> </w:t>
            </w:r>
            <w:r>
              <w:rPr>
                <w:rFonts w:ascii="Arial"/>
                <w:sz w:val="15"/>
              </w:rPr>
              <w:t>reparation</w:t>
            </w:r>
            <w:r>
              <w:rPr>
                <w:rFonts w:ascii="Arial"/>
                <w:spacing w:val="-6"/>
                <w:sz w:val="15"/>
              </w:rPr>
              <w:t> </w:t>
            </w:r>
            <w:r>
              <w:rPr>
                <w:rFonts w:ascii="Arial"/>
                <w:sz w:val="15"/>
              </w:rPr>
              <w:t>order</w:t>
            </w:r>
            <w:r>
              <w:rPr>
                <w:rFonts w:ascii="Arial"/>
                <w:spacing w:val="-3"/>
                <w:sz w:val="15"/>
              </w:rPr>
              <w:t> </w:t>
            </w:r>
            <w:r>
              <w:rPr>
                <w:rFonts w:ascii="Arial"/>
                <w:spacing w:val="-4"/>
                <w:sz w:val="15"/>
              </w:rPr>
              <w:t>2022</w:t>
            </w:r>
          </w:p>
        </w:tc>
      </w:tr>
      <w:tr>
        <w:trPr>
          <w:trHeight w:val="181" w:hRule="atLeast"/>
        </w:trPr>
        <w:tc>
          <w:tcPr>
            <w:tcW w:w="847" w:type="dxa"/>
          </w:tcPr>
          <w:p>
            <w:pPr>
              <w:pStyle w:val="TableParagraph"/>
              <w:spacing w:line="149" w:lineRule="exact" w:before="11"/>
              <w:ind w:right="3"/>
              <w:rPr>
                <w:rFonts w:ascii="Arial"/>
                <w:sz w:val="15"/>
              </w:rPr>
            </w:pPr>
            <w:r>
              <w:rPr>
                <w:rFonts w:ascii="Arial"/>
                <w:sz w:val="15"/>
              </w:rPr>
              <w:t>Sub-</w:t>
            </w:r>
            <w:r>
              <w:rPr>
                <w:rFonts w:ascii="Arial"/>
                <w:spacing w:val="-2"/>
                <w:sz w:val="15"/>
              </w:rPr>
              <w:t>total</w:t>
            </w:r>
          </w:p>
        </w:tc>
        <w:tc>
          <w:tcPr>
            <w:tcW w:w="743" w:type="dxa"/>
          </w:tcPr>
          <w:p>
            <w:pPr>
              <w:pStyle w:val="TableParagraph"/>
              <w:spacing w:line="149" w:lineRule="exact" w:before="11"/>
              <w:ind w:right="2"/>
              <w:rPr>
                <w:rFonts w:ascii="Arial" w:hAnsi="Arial"/>
                <w:sz w:val="15"/>
              </w:rPr>
            </w:pPr>
            <w:r>
              <w:rPr>
                <w:rFonts w:ascii="Arial" w:hAnsi="Arial"/>
                <w:w w:val="105"/>
                <w:sz w:val="15"/>
              </w:rPr>
              <w:t>€</w:t>
            </w:r>
            <w:r>
              <w:rPr>
                <w:rFonts w:ascii="Arial" w:hAnsi="Arial"/>
                <w:spacing w:val="-9"/>
                <w:w w:val="105"/>
                <w:sz w:val="15"/>
              </w:rPr>
              <w:t> </w:t>
            </w:r>
            <w:r>
              <w:rPr>
                <w:rFonts w:ascii="Arial" w:hAnsi="Arial"/>
                <w:spacing w:val="-2"/>
                <w:w w:val="105"/>
                <w:sz w:val="15"/>
              </w:rPr>
              <w:t>5,016</w:t>
            </w:r>
          </w:p>
        </w:tc>
        <w:tc>
          <w:tcPr>
            <w:tcW w:w="805" w:type="dxa"/>
          </w:tcPr>
          <w:p>
            <w:pPr>
              <w:pStyle w:val="TableParagraph"/>
              <w:spacing w:line="149" w:lineRule="exact" w:before="11"/>
              <w:ind w:right="1"/>
              <w:rPr>
                <w:rFonts w:ascii="Arial" w:hAnsi="Arial"/>
                <w:sz w:val="15"/>
              </w:rPr>
            </w:pPr>
            <w:r>
              <w:rPr>
                <w:rFonts w:ascii="Arial" w:hAnsi="Arial"/>
                <w:w w:val="105"/>
                <w:sz w:val="15"/>
              </w:rPr>
              <w:t>€</w:t>
            </w:r>
            <w:r>
              <w:rPr>
                <w:rFonts w:ascii="Arial" w:hAnsi="Arial"/>
                <w:spacing w:val="-9"/>
                <w:w w:val="105"/>
                <w:sz w:val="15"/>
              </w:rPr>
              <w:t> </w:t>
            </w:r>
            <w:r>
              <w:rPr>
                <w:rFonts w:ascii="Arial" w:hAnsi="Arial"/>
                <w:spacing w:val="-2"/>
                <w:w w:val="105"/>
                <w:sz w:val="15"/>
              </w:rPr>
              <w:t>3,745</w:t>
            </w:r>
          </w:p>
        </w:tc>
        <w:tc>
          <w:tcPr>
            <w:tcW w:w="929" w:type="dxa"/>
          </w:tcPr>
          <w:p>
            <w:pPr>
              <w:pStyle w:val="TableParagraph"/>
              <w:spacing w:line="149" w:lineRule="exact" w:before="11"/>
              <w:rPr>
                <w:rFonts w:ascii="Arial" w:hAnsi="Arial"/>
                <w:sz w:val="15"/>
              </w:rPr>
            </w:pPr>
            <w:r>
              <w:rPr>
                <w:rFonts w:ascii="Arial" w:hAnsi="Arial"/>
                <w:w w:val="105"/>
                <w:sz w:val="15"/>
              </w:rPr>
              <w:t>€</w:t>
            </w:r>
            <w:r>
              <w:rPr>
                <w:rFonts w:ascii="Arial" w:hAnsi="Arial"/>
                <w:spacing w:val="-9"/>
                <w:w w:val="105"/>
                <w:sz w:val="15"/>
              </w:rPr>
              <w:t> </w:t>
            </w:r>
            <w:r>
              <w:rPr>
                <w:rFonts w:ascii="Arial" w:hAnsi="Arial"/>
                <w:spacing w:val="-2"/>
                <w:w w:val="105"/>
                <w:sz w:val="15"/>
              </w:rPr>
              <w:t>31,372</w:t>
            </w:r>
          </w:p>
        </w:tc>
        <w:tc>
          <w:tcPr>
            <w:tcW w:w="2236" w:type="dxa"/>
            <w:tcBorders>
              <w:right w:val="single" w:sz="12" w:space="0" w:color="000000"/>
            </w:tcBorders>
          </w:tcPr>
          <w:p>
            <w:pPr>
              <w:pStyle w:val="TableParagraph"/>
              <w:jc w:val="left"/>
              <w:rPr>
                <w:sz w:val="12"/>
              </w:rPr>
            </w:pPr>
          </w:p>
        </w:tc>
      </w:tr>
      <w:tr>
        <w:trPr>
          <w:trHeight w:val="315" w:hRule="atLeast"/>
        </w:trPr>
        <w:tc>
          <w:tcPr>
            <w:tcW w:w="5560" w:type="dxa"/>
            <w:gridSpan w:val="5"/>
            <w:tcBorders>
              <w:right w:val="single" w:sz="12" w:space="0" w:color="000000"/>
            </w:tcBorders>
          </w:tcPr>
          <w:p>
            <w:pPr>
              <w:pStyle w:val="TableParagraph"/>
              <w:spacing w:before="63"/>
              <w:ind w:left="889"/>
              <w:jc w:val="left"/>
              <w:rPr>
                <w:rFonts w:ascii="Arial"/>
                <w:b/>
                <w:sz w:val="15"/>
              </w:rPr>
            </w:pPr>
            <w:r>
              <w:rPr>
                <w:rFonts w:ascii="Arial"/>
                <w:b/>
                <w:sz w:val="15"/>
              </w:rPr>
              <w:t>Investment</w:t>
            </w:r>
            <w:r>
              <w:rPr>
                <w:rFonts w:ascii="Arial"/>
                <w:b/>
                <w:spacing w:val="15"/>
                <w:sz w:val="15"/>
              </w:rPr>
              <w:t> </w:t>
            </w:r>
            <w:r>
              <w:rPr>
                <w:rFonts w:ascii="Arial"/>
                <w:b/>
                <w:sz w:val="15"/>
              </w:rPr>
              <w:t>in</w:t>
            </w:r>
            <w:r>
              <w:rPr>
                <w:rFonts w:ascii="Arial"/>
                <w:b/>
                <w:spacing w:val="14"/>
                <w:sz w:val="15"/>
              </w:rPr>
              <w:t> </w:t>
            </w:r>
            <w:r>
              <w:rPr>
                <w:rFonts w:ascii="Arial"/>
                <w:b/>
                <w:sz w:val="15"/>
              </w:rPr>
              <w:t>situation-related</w:t>
            </w:r>
            <w:r>
              <w:rPr>
                <w:rFonts w:ascii="Arial"/>
                <w:b/>
                <w:spacing w:val="14"/>
                <w:sz w:val="15"/>
              </w:rPr>
              <w:t> </w:t>
            </w:r>
            <w:r>
              <w:rPr>
                <w:rFonts w:ascii="Arial"/>
                <w:b/>
                <w:sz w:val="15"/>
              </w:rPr>
              <w:t>reparative</w:t>
            </w:r>
            <w:r>
              <w:rPr>
                <w:rFonts w:ascii="Arial"/>
                <w:b/>
                <w:spacing w:val="25"/>
                <w:sz w:val="15"/>
              </w:rPr>
              <w:t> </w:t>
            </w:r>
            <w:r>
              <w:rPr>
                <w:rFonts w:ascii="Arial"/>
                <w:b/>
                <w:spacing w:val="-2"/>
                <w:sz w:val="15"/>
              </w:rPr>
              <w:t>measures</w:t>
            </w:r>
          </w:p>
        </w:tc>
      </w:tr>
      <w:tr>
        <w:trPr>
          <w:trHeight w:val="245" w:hRule="atLeast"/>
        </w:trPr>
        <w:tc>
          <w:tcPr>
            <w:tcW w:w="847" w:type="dxa"/>
            <w:tcBorders>
              <w:bottom w:val="nil"/>
            </w:tcBorders>
          </w:tcPr>
          <w:p>
            <w:pPr>
              <w:pStyle w:val="TableParagraph"/>
              <w:jc w:val="left"/>
              <w:rPr>
                <w:sz w:val="16"/>
              </w:rPr>
            </w:pPr>
          </w:p>
        </w:tc>
        <w:tc>
          <w:tcPr>
            <w:tcW w:w="743" w:type="dxa"/>
            <w:tcBorders>
              <w:bottom w:val="nil"/>
              <w:right w:val="nil"/>
            </w:tcBorders>
          </w:tcPr>
          <w:p>
            <w:pPr>
              <w:pStyle w:val="TableParagraph"/>
              <w:spacing w:before="12"/>
              <w:ind w:left="28"/>
              <w:jc w:val="left"/>
              <w:rPr>
                <w:rFonts w:ascii="Arial"/>
                <w:sz w:val="15"/>
              </w:rPr>
            </w:pPr>
            <w:r>
              <w:rPr>
                <w:rFonts w:ascii="Arial"/>
                <w:spacing w:val="-2"/>
                <w:w w:val="105"/>
                <w:sz w:val="15"/>
              </w:rPr>
              <w:t>Current*</w:t>
            </w:r>
          </w:p>
        </w:tc>
        <w:tc>
          <w:tcPr>
            <w:tcW w:w="805" w:type="dxa"/>
            <w:tcBorders>
              <w:left w:val="nil"/>
              <w:bottom w:val="nil"/>
            </w:tcBorders>
          </w:tcPr>
          <w:p>
            <w:pPr>
              <w:pStyle w:val="TableParagraph"/>
              <w:spacing w:before="12"/>
              <w:ind w:right="27"/>
              <w:rPr>
                <w:rFonts w:ascii="Arial"/>
                <w:sz w:val="15"/>
              </w:rPr>
            </w:pPr>
            <w:r>
              <w:rPr>
                <w:rFonts w:ascii="Arial"/>
                <w:spacing w:val="-2"/>
                <w:w w:val="105"/>
                <w:sz w:val="15"/>
              </w:rPr>
              <w:t>Allocated**</w:t>
            </w:r>
          </w:p>
        </w:tc>
        <w:tc>
          <w:tcPr>
            <w:tcW w:w="929" w:type="dxa"/>
            <w:tcBorders>
              <w:bottom w:val="nil"/>
            </w:tcBorders>
          </w:tcPr>
          <w:p>
            <w:pPr>
              <w:pStyle w:val="TableParagraph"/>
              <w:spacing w:before="12"/>
              <w:ind w:right="27"/>
              <w:rPr>
                <w:rFonts w:ascii="Arial"/>
                <w:sz w:val="15"/>
              </w:rPr>
            </w:pPr>
            <w:r>
              <w:rPr>
                <w:rFonts w:ascii="Arial"/>
                <w:spacing w:val="-2"/>
                <w:w w:val="105"/>
                <w:sz w:val="15"/>
              </w:rPr>
              <w:t>Projection***</w:t>
            </w:r>
          </w:p>
        </w:tc>
        <w:tc>
          <w:tcPr>
            <w:tcW w:w="2236" w:type="dxa"/>
            <w:tcBorders>
              <w:bottom w:val="nil"/>
              <w:right w:val="single" w:sz="12" w:space="0" w:color="000000"/>
            </w:tcBorders>
          </w:tcPr>
          <w:p>
            <w:pPr>
              <w:pStyle w:val="TableParagraph"/>
              <w:spacing w:before="12"/>
              <w:ind w:left="23"/>
              <w:jc w:val="left"/>
              <w:rPr>
                <w:rFonts w:ascii="Arial"/>
                <w:sz w:val="15"/>
              </w:rPr>
            </w:pPr>
            <w:r>
              <w:rPr>
                <w:rFonts w:ascii="Arial"/>
                <w:spacing w:val="-2"/>
                <w:w w:val="105"/>
                <w:sz w:val="15"/>
              </w:rPr>
              <w:t>Observation</w:t>
            </w:r>
          </w:p>
        </w:tc>
      </w:tr>
      <w:tr>
        <w:trPr>
          <w:trHeight w:val="1763" w:hRule="atLeast"/>
        </w:trPr>
        <w:tc>
          <w:tcPr>
            <w:tcW w:w="847" w:type="dxa"/>
            <w:tcBorders>
              <w:top w:val="nil"/>
            </w:tcBorders>
          </w:tcPr>
          <w:p>
            <w:pPr>
              <w:pStyle w:val="TableParagraph"/>
              <w:spacing w:line="273" w:lineRule="auto" w:before="24"/>
              <w:ind w:left="28" w:right="264"/>
              <w:jc w:val="left"/>
              <w:rPr>
                <w:rFonts w:ascii="Arial"/>
                <w:sz w:val="15"/>
              </w:rPr>
            </w:pPr>
            <w:r>
              <w:rPr>
                <w:rFonts w:ascii="Arial"/>
                <w:spacing w:val="-4"/>
                <w:sz w:val="15"/>
              </w:rPr>
              <w:t>Uganda</w:t>
            </w:r>
            <w:r>
              <w:rPr>
                <w:rFonts w:ascii="Arial"/>
                <w:spacing w:val="-2"/>
                <w:w w:val="105"/>
                <w:sz w:val="15"/>
              </w:rPr>
              <w:t> Kenya </w:t>
            </w:r>
            <w:r>
              <w:rPr>
                <w:rFonts w:ascii="Arial"/>
                <w:spacing w:val="-4"/>
                <w:w w:val="105"/>
                <w:sz w:val="15"/>
              </w:rPr>
              <w:t>DRC</w:t>
            </w:r>
            <w:r>
              <w:rPr>
                <w:rFonts w:ascii="Arial"/>
                <w:sz w:val="15"/>
              </w:rPr>
              <w:t> </w:t>
            </w:r>
            <w:r>
              <w:rPr>
                <w:rFonts w:ascii="Arial"/>
                <w:spacing w:val="-4"/>
                <w:w w:val="105"/>
                <w:sz w:val="15"/>
              </w:rPr>
              <w:t>CAR</w:t>
            </w:r>
            <w:r>
              <w:rPr>
                <w:rFonts w:ascii="Arial"/>
                <w:sz w:val="15"/>
              </w:rPr>
              <w:t> </w:t>
            </w:r>
            <w:r>
              <w:rPr>
                <w:rFonts w:ascii="Arial"/>
                <w:spacing w:val="-4"/>
                <w:w w:val="105"/>
                <w:sz w:val="15"/>
              </w:rPr>
              <w:t>CIV</w:t>
            </w:r>
          </w:p>
          <w:p>
            <w:pPr>
              <w:pStyle w:val="TableParagraph"/>
              <w:spacing w:line="273" w:lineRule="auto"/>
              <w:ind w:left="28" w:right="264"/>
              <w:jc w:val="left"/>
              <w:rPr>
                <w:rFonts w:ascii="Arial"/>
                <w:sz w:val="15"/>
              </w:rPr>
            </w:pPr>
            <w:r>
              <w:rPr>
                <w:rFonts w:ascii="Arial"/>
                <w:spacing w:val="-4"/>
                <w:w w:val="105"/>
                <w:sz w:val="15"/>
              </w:rPr>
              <w:t>Mali</w:t>
            </w:r>
            <w:r>
              <w:rPr>
                <w:rFonts w:ascii="Arial"/>
                <w:spacing w:val="-2"/>
                <w:w w:val="105"/>
                <w:sz w:val="15"/>
              </w:rPr>
              <w:t> </w:t>
            </w:r>
            <w:r>
              <w:rPr>
                <w:rFonts w:ascii="Arial"/>
                <w:spacing w:val="-2"/>
                <w:sz w:val="15"/>
              </w:rPr>
              <w:t>Georgia</w:t>
            </w:r>
            <w:r>
              <w:rPr>
                <w:rFonts w:ascii="Arial"/>
                <w:sz w:val="15"/>
              </w:rPr>
              <w:t> </w:t>
            </w:r>
            <w:r>
              <w:rPr>
                <w:rFonts w:ascii="Arial"/>
                <w:spacing w:val="-2"/>
                <w:sz w:val="15"/>
              </w:rPr>
              <w:t>General</w:t>
            </w:r>
          </w:p>
        </w:tc>
        <w:tc>
          <w:tcPr>
            <w:tcW w:w="743" w:type="dxa"/>
            <w:tcBorders>
              <w:top w:val="nil"/>
            </w:tcBorders>
          </w:tcPr>
          <w:p>
            <w:pPr>
              <w:pStyle w:val="TableParagraph"/>
              <w:spacing w:before="24"/>
              <w:ind w:right="2"/>
              <w:rPr>
                <w:rFonts w:ascii="Arial" w:hAnsi="Arial"/>
                <w:sz w:val="15"/>
              </w:rPr>
            </w:pPr>
            <w:r>
              <w:rPr>
                <w:rFonts w:ascii="Arial" w:hAnsi="Arial"/>
                <w:w w:val="105"/>
                <w:sz w:val="15"/>
              </w:rPr>
              <w:t>€</w:t>
            </w:r>
            <w:r>
              <w:rPr>
                <w:rFonts w:ascii="Arial" w:hAnsi="Arial"/>
                <w:spacing w:val="-9"/>
                <w:w w:val="105"/>
                <w:sz w:val="15"/>
              </w:rPr>
              <w:t> </w:t>
            </w:r>
            <w:r>
              <w:rPr>
                <w:rFonts w:ascii="Arial" w:hAnsi="Arial"/>
                <w:spacing w:val="-2"/>
                <w:w w:val="105"/>
                <w:sz w:val="15"/>
              </w:rPr>
              <w:t>5,500</w:t>
            </w:r>
          </w:p>
          <w:p>
            <w:pPr>
              <w:pStyle w:val="TableParagraph"/>
              <w:spacing w:before="24"/>
              <w:ind w:right="1"/>
              <w:rPr>
                <w:rFonts w:ascii="Arial" w:hAnsi="Arial"/>
                <w:sz w:val="15"/>
              </w:rPr>
            </w:pPr>
            <w:r>
              <w:rPr>
                <w:rFonts w:ascii="Arial" w:hAnsi="Arial"/>
                <w:w w:val="105"/>
                <w:sz w:val="15"/>
              </w:rPr>
              <w:t>€</w:t>
            </w:r>
            <w:r>
              <w:rPr>
                <w:rFonts w:ascii="Arial" w:hAnsi="Arial"/>
                <w:spacing w:val="-9"/>
                <w:w w:val="105"/>
                <w:sz w:val="15"/>
              </w:rPr>
              <w:t> </w:t>
            </w:r>
            <w:r>
              <w:rPr>
                <w:rFonts w:ascii="Arial" w:hAnsi="Arial"/>
                <w:spacing w:val="-10"/>
                <w:w w:val="105"/>
                <w:sz w:val="15"/>
              </w:rPr>
              <w:t>0</w:t>
            </w:r>
          </w:p>
          <w:p>
            <w:pPr>
              <w:pStyle w:val="TableParagraph"/>
              <w:spacing w:before="24"/>
              <w:ind w:right="2"/>
              <w:rPr>
                <w:rFonts w:ascii="Arial" w:hAnsi="Arial"/>
                <w:sz w:val="15"/>
              </w:rPr>
            </w:pPr>
            <w:r>
              <w:rPr>
                <w:rFonts w:ascii="Arial" w:hAnsi="Arial"/>
                <w:w w:val="105"/>
                <w:sz w:val="15"/>
              </w:rPr>
              <w:t>€</w:t>
            </w:r>
            <w:r>
              <w:rPr>
                <w:rFonts w:ascii="Arial" w:hAnsi="Arial"/>
                <w:spacing w:val="-9"/>
                <w:w w:val="105"/>
                <w:sz w:val="15"/>
              </w:rPr>
              <w:t> </w:t>
            </w:r>
            <w:r>
              <w:rPr>
                <w:rFonts w:ascii="Arial" w:hAnsi="Arial"/>
                <w:spacing w:val="-2"/>
                <w:w w:val="105"/>
                <w:sz w:val="15"/>
              </w:rPr>
              <w:t>3,445</w:t>
            </w:r>
          </w:p>
          <w:p>
            <w:pPr>
              <w:pStyle w:val="TableParagraph"/>
              <w:spacing w:before="24"/>
              <w:ind w:right="2"/>
              <w:rPr>
                <w:rFonts w:ascii="Arial" w:hAnsi="Arial"/>
                <w:sz w:val="15"/>
              </w:rPr>
            </w:pPr>
            <w:r>
              <w:rPr>
                <w:rFonts w:ascii="Arial" w:hAnsi="Arial"/>
                <w:w w:val="105"/>
                <w:sz w:val="15"/>
              </w:rPr>
              <w:t>€</w:t>
            </w:r>
            <w:r>
              <w:rPr>
                <w:rFonts w:ascii="Arial" w:hAnsi="Arial"/>
                <w:spacing w:val="-9"/>
                <w:w w:val="105"/>
                <w:sz w:val="15"/>
              </w:rPr>
              <w:t> </w:t>
            </w:r>
            <w:r>
              <w:rPr>
                <w:rFonts w:ascii="Arial" w:hAnsi="Arial"/>
                <w:spacing w:val="-2"/>
                <w:w w:val="105"/>
                <w:sz w:val="15"/>
              </w:rPr>
              <w:t>2,150</w:t>
            </w:r>
          </w:p>
          <w:p>
            <w:pPr>
              <w:pStyle w:val="TableParagraph"/>
              <w:spacing w:before="23"/>
              <w:ind w:right="2"/>
              <w:rPr>
                <w:rFonts w:ascii="Arial" w:hAnsi="Arial"/>
                <w:sz w:val="15"/>
              </w:rPr>
            </w:pPr>
            <w:r>
              <w:rPr>
                <w:rFonts w:ascii="Arial" w:hAnsi="Arial"/>
                <w:w w:val="105"/>
                <w:sz w:val="15"/>
              </w:rPr>
              <w:t>€</w:t>
            </w:r>
            <w:r>
              <w:rPr>
                <w:rFonts w:ascii="Arial" w:hAnsi="Arial"/>
                <w:spacing w:val="-9"/>
                <w:w w:val="105"/>
                <w:sz w:val="15"/>
              </w:rPr>
              <w:t> </w:t>
            </w:r>
            <w:r>
              <w:rPr>
                <w:rFonts w:ascii="Arial" w:hAnsi="Arial"/>
                <w:spacing w:val="-2"/>
                <w:w w:val="105"/>
                <w:sz w:val="15"/>
              </w:rPr>
              <w:t>1,336</w:t>
            </w:r>
          </w:p>
          <w:p>
            <w:pPr>
              <w:pStyle w:val="TableParagraph"/>
              <w:spacing w:before="24"/>
              <w:ind w:right="1"/>
              <w:rPr>
                <w:rFonts w:ascii="Arial" w:hAnsi="Arial"/>
                <w:sz w:val="15"/>
              </w:rPr>
            </w:pPr>
            <w:r>
              <w:rPr>
                <w:rFonts w:ascii="Arial" w:hAnsi="Arial"/>
                <w:w w:val="105"/>
                <w:sz w:val="15"/>
              </w:rPr>
              <w:t>€</w:t>
            </w:r>
            <w:r>
              <w:rPr>
                <w:rFonts w:ascii="Arial" w:hAnsi="Arial"/>
                <w:spacing w:val="-9"/>
                <w:w w:val="105"/>
                <w:sz w:val="15"/>
              </w:rPr>
              <w:t> </w:t>
            </w:r>
            <w:r>
              <w:rPr>
                <w:rFonts w:ascii="Arial" w:hAnsi="Arial"/>
                <w:spacing w:val="-10"/>
                <w:w w:val="105"/>
                <w:sz w:val="15"/>
              </w:rPr>
              <w:t>0</w:t>
            </w:r>
          </w:p>
          <w:p>
            <w:pPr>
              <w:pStyle w:val="TableParagraph"/>
              <w:spacing w:before="24"/>
              <w:ind w:right="1"/>
              <w:rPr>
                <w:rFonts w:ascii="Arial" w:hAnsi="Arial"/>
                <w:sz w:val="15"/>
              </w:rPr>
            </w:pPr>
            <w:r>
              <w:rPr>
                <w:rFonts w:ascii="Arial" w:hAnsi="Arial"/>
                <w:w w:val="105"/>
                <w:sz w:val="15"/>
              </w:rPr>
              <w:t>€</w:t>
            </w:r>
            <w:r>
              <w:rPr>
                <w:rFonts w:ascii="Arial" w:hAnsi="Arial"/>
                <w:spacing w:val="-9"/>
                <w:w w:val="105"/>
                <w:sz w:val="15"/>
              </w:rPr>
              <w:t> </w:t>
            </w:r>
            <w:r>
              <w:rPr>
                <w:rFonts w:ascii="Arial" w:hAnsi="Arial"/>
                <w:spacing w:val="-10"/>
                <w:w w:val="105"/>
                <w:sz w:val="15"/>
              </w:rPr>
              <w:t>0</w:t>
            </w:r>
          </w:p>
          <w:p>
            <w:pPr>
              <w:pStyle w:val="TableParagraph"/>
              <w:spacing w:before="24"/>
              <w:ind w:right="1"/>
              <w:rPr>
                <w:rFonts w:ascii="Arial" w:hAnsi="Arial"/>
                <w:sz w:val="15"/>
              </w:rPr>
            </w:pPr>
            <w:r>
              <w:rPr>
                <w:rFonts w:ascii="Arial" w:hAnsi="Arial"/>
                <w:w w:val="105"/>
                <w:sz w:val="15"/>
              </w:rPr>
              <w:t>€</w:t>
            </w:r>
            <w:r>
              <w:rPr>
                <w:rFonts w:ascii="Arial" w:hAnsi="Arial"/>
                <w:spacing w:val="-9"/>
                <w:w w:val="105"/>
                <w:sz w:val="15"/>
              </w:rPr>
              <w:t> </w:t>
            </w:r>
            <w:r>
              <w:rPr>
                <w:rFonts w:ascii="Arial" w:hAnsi="Arial"/>
                <w:spacing w:val="-5"/>
                <w:w w:val="105"/>
                <w:sz w:val="15"/>
              </w:rPr>
              <w:t>388</w:t>
            </w:r>
          </w:p>
        </w:tc>
        <w:tc>
          <w:tcPr>
            <w:tcW w:w="805" w:type="dxa"/>
            <w:tcBorders>
              <w:top w:val="nil"/>
            </w:tcBorders>
          </w:tcPr>
          <w:p>
            <w:pPr>
              <w:pStyle w:val="TableParagraph"/>
              <w:spacing w:before="24"/>
              <w:rPr>
                <w:rFonts w:ascii="Arial" w:hAnsi="Arial"/>
                <w:sz w:val="15"/>
              </w:rPr>
            </w:pPr>
            <w:r>
              <w:rPr>
                <w:rFonts w:ascii="Arial" w:hAnsi="Arial"/>
                <w:w w:val="105"/>
                <w:sz w:val="15"/>
              </w:rPr>
              <w:t>€</w:t>
            </w:r>
            <w:r>
              <w:rPr>
                <w:rFonts w:ascii="Arial" w:hAnsi="Arial"/>
                <w:spacing w:val="-9"/>
                <w:w w:val="105"/>
                <w:sz w:val="15"/>
              </w:rPr>
              <w:t> </w:t>
            </w:r>
            <w:r>
              <w:rPr>
                <w:rFonts w:ascii="Arial" w:hAnsi="Arial"/>
                <w:spacing w:val="-10"/>
                <w:w w:val="105"/>
                <w:sz w:val="15"/>
              </w:rPr>
              <w:t>0</w:t>
            </w:r>
          </w:p>
          <w:p>
            <w:pPr>
              <w:pStyle w:val="TableParagraph"/>
              <w:spacing w:before="24"/>
              <w:ind w:right="1"/>
              <w:rPr>
                <w:rFonts w:ascii="Arial" w:hAnsi="Arial"/>
                <w:sz w:val="15"/>
              </w:rPr>
            </w:pPr>
            <w:r>
              <w:rPr>
                <w:rFonts w:ascii="Arial" w:hAnsi="Arial"/>
                <w:w w:val="105"/>
                <w:sz w:val="15"/>
              </w:rPr>
              <w:t>€</w:t>
            </w:r>
            <w:r>
              <w:rPr>
                <w:rFonts w:ascii="Arial" w:hAnsi="Arial"/>
                <w:spacing w:val="-9"/>
                <w:w w:val="105"/>
                <w:sz w:val="15"/>
              </w:rPr>
              <w:t> </w:t>
            </w:r>
            <w:r>
              <w:rPr>
                <w:rFonts w:ascii="Arial" w:hAnsi="Arial"/>
                <w:spacing w:val="-5"/>
                <w:w w:val="105"/>
                <w:sz w:val="15"/>
              </w:rPr>
              <w:t>300</w:t>
            </w:r>
          </w:p>
          <w:p>
            <w:pPr>
              <w:pStyle w:val="TableParagraph"/>
              <w:spacing w:before="24"/>
              <w:rPr>
                <w:rFonts w:ascii="Arial" w:hAnsi="Arial"/>
                <w:sz w:val="15"/>
              </w:rPr>
            </w:pPr>
            <w:r>
              <w:rPr>
                <w:rFonts w:ascii="Arial" w:hAnsi="Arial"/>
                <w:w w:val="105"/>
                <w:sz w:val="15"/>
              </w:rPr>
              <w:t>€</w:t>
            </w:r>
            <w:r>
              <w:rPr>
                <w:rFonts w:ascii="Arial" w:hAnsi="Arial"/>
                <w:spacing w:val="-9"/>
                <w:w w:val="105"/>
                <w:sz w:val="15"/>
              </w:rPr>
              <w:t> </w:t>
            </w:r>
            <w:r>
              <w:rPr>
                <w:rFonts w:ascii="Arial" w:hAnsi="Arial"/>
                <w:spacing w:val="-10"/>
                <w:w w:val="105"/>
                <w:sz w:val="15"/>
              </w:rPr>
              <w:t>0</w:t>
            </w:r>
          </w:p>
          <w:p>
            <w:pPr>
              <w:pStyle w:val="TableParagraph"/>
              <w:spacing w:before="24"/>
              <w:rPr>
                <w:rFonts w:ascii="Arial" w:hAnsi="Arial"/>
                <w:sz w:val="15"/>
              </w:rPr>
            </w:pPr>
            <w:r>
              <w:rPr>
                <w:rFonts w:ascii="Arial" w:hAnsi="Arial"/>
                <w:w w:val="105"/>
                <w:sz w:val="15"/>
              </w:rPr>
              <w:t>€</w:t>
            </w:r>
            <w:r>
              <w:rPr>
                <w:rFonts w:ascii="Arial" w:hAnsi="Arial"/>
                <w:spacing w:val="-9"/>
                <w:w w:val="105"/>
                <w:sz w:val="15"/>
              </w:rPr>
              <w:t> </w:t>
            </w:r>
            <w:r>
              <w:rPr>
                <w:rFonts w:ascii="Arial" w:hAnsi="Arial"/>
                <w:spacing w:val="-10"/>
                <w:w w:val="105"/>
                <w:sz w:val="15"/>
              </w:rPr>
              <w:t>0</w:t>
            </w:r>
          </w:p>
          <w:p>
            <w:pPr>
              <w:pStyle w:val="TableParagraph"/>
              <w:spacing w:before="23"/>
              <w:rPr>
                <w:rFonts w:ascii="Arial" w:hAnsi="Arial"/>
                <w:sz w:val="15"/>
              </w:rPr>
            </w:pPr>
            <w:r>
              <w:rPr>
                <w:rFonts w:ascii="Arial" w:hAnsi="Arial"/>
                <w:w w:val="105"/>
                <w:sz w:val="15"/>
              </w:rPr>
              <w:t>€</w:t>
            </w:r>
            <w:r>
              <w:rPr>
                <w:rFonts w:ascii="Arial" w:hAnsi="Arial"/>
                <w:spacing w:val="-9"/>
                <w:w w:val="105"/>
                <w:sz w:val="15"/>
              </w:rPr>
              <w:t> </w:t>
            </w:r>
            <w:r>
              <w:rPr>
                <w:rFonts w:ascii="Arial" w:hAnsi="Arial"/>
                <w:spacing w:val="-10"/>
                <w:w w:val="105"/>
                <w:sz w:val="15"/>
              </w:rPr>
              <w:t>0</w:t>
            </w:r>
          </w:p>
          <w:p>
            <w:pPr>
              <w:pStyle w:val="TableParagraph"/>
              <w:spacing w:before="24"/>
              <w:ind w:right="1"/>
              <w:rPr>
                <w:rFonts w:ascii="Arial" w:hAnsi="Arial"/>
                <w:sz w:val="15"/>
              </w:rPr>
            </w:pPr>
            <w:r>
              <w:rPr>
                <w:rFonts w:ascii="Arial" w:hAnsi="Arial"/>
                <w:w w:val="105"/>
                <w:sz w:val="15"/>
              </w:rPr>
              <w:t>€</w:t>
            </w:r>
            <w:r>
              <w:rPr>
                <w:rFonts w:ascii="Arial" w:hAnsi="Arial"/>
                <w:spacing w:val="-9"/>
                <w:w w:val="105"/>
                <w:sz w:val="15"/>
              </w:rPr>
              <w:t> </w:t>
            </w:r>
            <w:r>
              <w:rPr>
                <w:rFonts w:ascii="Arial" w:hAnsi="Arial"/>
                <w:spacing w:val="-5"/>
                <w:w w:val="105"/>
                <w:sz w:val="15"/>
              </w:rPr>
              <w:t>353</w:t>
            </w:r>
          </w:p>
          <w:p>
            <w:pPr>
              <w:pStyle w:val="TableParagraph"/>
              <w:spacing w:before="24"/>
              <w:ind w:right="1"/>
              <w:rPr>
                <w:rFonts w:ascii="Arial" w:hAnsi="Arial"/>
                <w:sz w:val="15"/>
              </w:rPr>
            </w:pPr>
            <w:r>
              <w:rPr>
                <w:rFonts w:ascii="Arial" w:hAnsi="Arial"/>
                <w:w w:val="105"/>
                <w:sz w:val="15"/>
              </w:rPr>
              <w:t>€</w:t>
            </w:r>
            <w:r>
              <w:rPr>
                <w:rFonts w:ascii="Arial" w:hAnsi="Arial"/>
                <w:spacing w:val="-9"/>
                <w:w w:val="105"/>
                <w:sz w:val="15"/>
              </w:rPr>
              <w:t> </w:t>
            </w:r>
            <w:r>
              <w:rPr>
                <w:rFonts w:ascii="Arial" w:hAnsi="Arial"/>
                <w:spacing w:val="-5"/>
                <w:w w:val="105"/>
                <w:sz w:val="15"/>
              </w:rPr>
              <w:t>620</w:t>
            </w:r>
          </w:p>
          <w:p>
            <w:pPr>
              <w:pStyle w:val="TableParagraph"/>
              <w:spacing w:before="24"/>
              <w:ind w:right="1"/>
              <w:rPr>
                <w:rFonts w:ascii="Arial" w:hAnsi="Arial"/>
                <w:sz w:val="15"/>
              </w:rPr>
            </w:pPr>
            <w:r>
              <w:rPr>
                <w:rFonts w:ascii="Arial" w:hAnsi="Arial"/>
                <w:w w:val="105"/>
                <w:sz w:val="15"/>
              </w:rPr>
              <w:t>€</w:t>
            </w:r>
            <w:r>
              <w:rPr>
                <w:rFonts w:ascii="Arial" w:hAnsi="Arial"/>
                <w:spacing w:val="-9"/>
                <w:w w:val="105"/>
                <w:sz w:val="15"/>
              </w:rPr>
              <w:t> </w:t>
            </w:r>
            <w:r>
              <w:rPr>
                <w:rFonts w:ascii="Arial" w:hAnsi="Arial"/>
                <w:spacing w:val="-2"/>
                <w:w w:val="105"/>
                <w:sz w:val="15"/>
              </w:rPr>
              <w:t>1,440</w:t>
            </w:r>
          </w:p>
        </w:tc>
        <w:tc>
          <w:tcPr>
            <w:tcW w:w="929" w:type="dxa"/>
            <w:tcBorders>
              <w:top w:val="nil"/>
            </w:tcBorders>
          </w:tcPr>
          <w:p>
            <w:pPr>
              <w:pStyle w:val="TableParagraph"/>
              <w:jc w:val="left"/>
              <w:rPr>
                <w:sz w:val="18"/>
              </w:rPr>
            </w:pPr>
          </w:p>
        </w:tc>
        <w:tc>
          <w:tcPr>
            <w:tcW w:w="2236" w:type="dxa"/>
            <w:tcBorders>
              <w:top w:val="nil"/>
              <w:right w:val="single" w:sz="12" w:space="0" w:color="000000"/>
            </w:tcBorders>
          </w:tcPr>
          <w:p>
            <w:pPr>
              <w:pStyle w:val="TableParagraph"/>
              <w:spacing w:line="273" w:lineRule="auto" w:before="24"/>
              <w:ind w:left="23" w:right="396"/>
              <w:jc w:val="left"/>
              <w:rPr>
                <w:rFonts w:ascii="Arial"/>
                <w:sz w:val="15"/>
              </w:rPr>
            </w:pPr>
            <w:r>
              <w:rPr>
                <w:rFonts w:ascii="Arial"/>
                <w:spacing w:val="-2"/>
                <w:w w:val="105"/>
                <w:sz w:val="15"/>
              </w:rPr>
              <w:t>4th</w:t>
            </w:r>
            <w:r>
              <w:rPr>
                <w:rFonts w:ascii="Arial"/>
                <w:spacing w:val="-9"/>
                <w:w w:val="105"/>
                <w:sz w:val="15"/>
              </w:rPr>
              <w:t> </w:t>
            </w:r>
            <w:r>
              <w:rPr>
                <w:rFonts w:ascii="Arial"/>
                <w:spacing w:val="-2"/>
                <w:w w:val="105"/>
                <w:sz w:val="15"/>
              </w:rPr>
              <w:t>year</w:t>
            </w:r>
            <w:r>
              <w:rPr>
                <w:rFonts w:ascii="Arial"/>
                <w:spacing w:val="-9"/>
                <w:w w:val="105"/>
                <w:sz w:val="15"/>
              </w:rPr>
              <w:t> </w:t>
            </w:r>
            <w:r>
              <w:rPr>
                <w:rFonts w:ascii="Arial"/>
                <w:spacing w:val="-2"/>
                <w:w w:val="105"/>
                <w:sz w:val="15"/>
              </w:rPr>
              <w:t>of</w:t>
            </w:r>
            <w:r>
              <w:rPr>
                <w:rFonts w:ascii="Arial"/>
                <w:spacing w:val="-9"/>
                <w:w w:val="105"/>
                <w:sz w:val="15"/>
              </w:rPr>
              <w:t> </w:t>
            </w:r>
            <w:r>
              <w:rPr>
                <w:rFonts w:ascii="Arial"/>
                <w:spacing w:val="-2"/>
                <w:w w:val="105"/>
                <w:sz w:val="15"/>
              </w:rPr>
              <w:t>five</w:t>
            </w:r>
            <w:r>
              <w:rPr>
                <w:rFonts w:ascii="Arial"/>
                <w:spacing w:val="-9"/>
                <w:w w:val="105"/>
                <w:sz w:val="15"/>
              </w:rPr>
              <w:t> </w:t>
            </w:r>
            <w:r>
              <w:rPr>
                <w:rFonts w:ascii="Arial"/>
                <w:spacing w:val="-2"/>
                <w:w w:val="105"/>
                <w:sz w:val="15"/>
              </w:rPr>
              <w:t>years</w:t>
            </w:r>
            <w:r>
              <w:rPr>
                <w:rFonts w:ascii="Arial"/>
                <w:spacing w:val="-9"/>
                <w:w w:val="105"/>
                <w:sz w:val="15"/>
              </w:rPr>
              <w:t> </w:t>
            </w:r>
            <w:r>
              <w:rPr>
                <w:rFonts w:ascii="Arial"/>
                <w:spacing w:val="-2"/>
                <w:w w:val="105"/>
                <w:sz w:val="15"/>
              </w:rPr>
              <w:t>cycle </w:t>
            </w:r>
            <w:r>
              <w:rPr>
                <w:rFonts w:ascii="Arial"/>
                <w:w w:val="105"/>
                <w:sz w:val="15"/>
              </w:rPr>
              <w:t>To be started in 2022</w:t>
            </w:r>
          </w:p>
          <w:p>
            <w:pPr>
              <w:pStyle w:val="TableParagraph"/>
              <w:spacing w:line="273" w:lineRule="auto"/>
              <w:ind w:left="23" w:right="276"/>
              <w:jc w:val="left"/>
              <w:rPr>
                <w:rFonts w:ascii="Arial"/>
                <w:sz w:val="15"/>
              </w:rPr>
            </w:pPr>
            <w:r>
              <w:rPr>
                <w:rFonts w:ascii="Arial"/>
                <w:w w:val="105"/>
                <w:sz w:val="15"/>
              </w:rPr>
              <w:t>3rd</w:t>
            </w:r>
            <w:r>
              <w:rPr>
                <w:rFonts w:ascii="Arial"/>
                <w:spacing w:val="-4"/>
                <w:w w:val="105"/>
                <w:sz w:val="15"/>
              </w:rPr>
              <w:t> </w:t>
            </w:r>
            <w:r>
              <w:rPr>
                <w:rFonts w:ascii="Arial"/>
                <w:w w:val="105"/>
                <w:sz w:val="15"/>
              </w:rPr>
              <w:t>year of</w:t>
            </w:r>
            <w:r>
              <w:rPr>
                <w:rFonts w:ascii="Arial"/>
                <w:spacing w:val="-2"/>
                <w:w w:val="105"/>
                <w:sz w:val="15"/>
              </w:rPr>
              <w:t> </w:t>
            </w:r>
            <w:r>
              <w:rPr>
                <w:rFonts w:ascii="Arial"/>
                <w:w w:val="105"/>
                <w:sz w:val="15"/>
              </w:rPr>
              <w:t>five</w:t>
            </w:r>
            <w:r>
              <w:rPr>
                <w:rFonts w:ascii="Arial"/>
                <w:spacing w:val="-4"/>
                <w:w w:val="105"/>
                <w:sz w:val="15"/>
              </w:rPr>
              <w:t> </w:t>
            </w:r>
            <w:r>
              <w:rPr>
                <w:rFonts w:ascii="Arial"/>
                <w:w w:val="105"/>
                <w:sz w:val="15"/>
              </w:rPr>
              <w:t>years cycle 2nd</w:t>
            </w:r>
            <w:r>
              <w:rPr>
                <w:rFonts w:ascii="Arial"/>
                <w:spacing w:val="-11"/>
                <w:w w:val="105"/>
                <w:sz w:val="15"/>
              </w:rPr>
              <w:t> </w:t>
            </w:r>
            <w:r>
              <w:rPr>
                <w:rFonts w:ascii="Arial"/>
                <w:w w:val="105"/>
                <w:sz w:val="15"/>
              </w:rPr>
              <w:t>year</w:t>
            </w:r>
            <w:r>
              <w:rPr>
                <w:rFonts w:ascii="Arial"/>
                <w:spacing w:val="-7"/>
                <w:w w:val="105"/>
                <w:sz w:val="15"/>
              </w:rPr>
              <w:t> </w:t>
            </w:r>
            <w:r>
              <w:rPr>
                <w:rFonts w:ascii="Arial"/>
                <w:w w:val="105"/>
                <w:sz w:val="15"/>
              </w:rPr>
              <w:t>of</w:t>
            </w:r>
            <w:r>
              <w:rPr>
                <w:rFonts w:ascii="Arial"/>
                <w:spacing w:val="-9"/>
                <w:w w:val="105"/>
                <w:sz w:val="15"/>
              </w:rPr>
              <w:t> </w:t>
            </w:r>
            <w:r>
              <w:rPr>
                <w:rFonts w:ascii="Arial"/>
                <w:w w:val="105"/>
                <w:sz w:val="15"/>
              </w:rPr>
              <w:t>five</w:t>
            </w:r>
            <w:r>
              <w:rPr>
                <w:rFonts w:ascii="Arial"/>
                <w:spacing w:val="-11"/>
                <w:w w:val="105"/>
                <w:sz w:val="15"/>
              </w:rPr>
              <w:t> </w:t>
            </w:r>
            <w:r>
              <w:rPr>
                <w:rFonts w:ascii="Arial"/>
                <w:w w:val="105"/>
                <w:sz w:val="15"/>
              </w:rPr>
              <w:t>years</w:t>
            </w:r>
            <w:r>
              <w:rPr>
                <w:rFonts w:ascii="Arial"/>
                <w:spacing w:val="-2"/>
                <w:w w:val="105"/>
                <w:sz w:val="15"/>
              </w:rPr>
              <w:t> </w:t>
            </w:r>
            <w:r>
              <w:rPr>
                <w:rFonts w:ascii="Arial"/>
                <w:w w:val="105"/>
                <w:sz w:val="15"/>
              </w:rPr>
              <w:t>cycle </w:t>
            </w:r>
            <w:r>
              <w:rPr>
                <w:rFonts w:ascii="Arial"/>
                <w:spacing w:val="-2"/>
                <w:w w:val="105"/>
                <w:sz w:val="15"/>
              </w:rPr>
              <w:t>3rd</w:t>
            </w:r>
            <w:r>
              <w:rPr>
                <w:rFonts w:ascii="Arial"/>
                <w:spacing w:val="-9"/>
                <w:w w:val="105"/>
                <w:sz w:val="15"/>
              </w:rPr>
              <w:t> </w:t>
            </w:r>
            <w:r>
              <w:rPr>
                <w:rFonts w:ascii="Arial"/>
                <w:spacing w:val="-2"/>
                <w:w w:val="105"/>
                <w:sz w:val="15"/>
              </w:rPr>
              <w:t>year</w:t>
            </w:r>
            <w:r>
              <w:rPr>
                <w:rFonts w:ascii="Arial"/>
                <w:spacing w:val="-9"/>
                <w:w w:val="105"/>
                <w:sz w:val="15"/>
              </w:rPr>
              <w:t> </w:t>
            </w:r>
            <w:r>
              <w:rPr>
                <w:rFonts w:ascii="Arial"/>
                <w:spacing w:val="-2"/>
                <w:w w:val="105"/>
                <w:sz w:val="15"/>
              </w:rPr>
              <w:t>of</w:t>
            </w:r>
            <w:r>
              <w:rPr>
                <w:rFonts w:ascii="Arial"/>
                <w:spacing w:val="-9"/>
                <w:w w:val="105"/>
                <w:sz w:val="15"/>
              </w:rPr>
              <w:t> </w:t>
            </w:r>
            <w:r>
              <w:rPr>
                <w:rFonts w:ascii="Arial"/>
                <w:spacing w:val="-2"/>
                <w:w w:val="105"/>
                <w:sz w:val="15"/>
              </w:rPr>
              <w:t>three</w:t>
            </w:r>
            <w:r>
              <w:rPr>
                <w:rFonts w:ascii="Arial"/>
                <w:spacing w:val="-9"/>
                <w:w w:val="105"/>
                <w:sz w:val="15"/>
              </w:rPr>
              <w:t> </w:t>
            </w:r>
            <w:r>
              <w:rPr>
                <w:rFonts w:ascii="Arial"/>
                <w:spacing w:val="-2"/>
                <w:w w:val="105"/>
                <w:sz w:val="15"/>
              </w:rPr>
              <w:t>years</w:t>
            </w:r>
            <w:r>
              <w:rPr>
                <w:rFonts w:ascii="Arial"/>
                <w:spacing w:val="-9"/>
                <w:w w:val="105"/>
                <w:sz w:val="15"/>
              </w:rPr>
              <w:t> </w:t>
            </w:r>
            <w:r>
              <w:rPr>
                <w:rFonts w:ascii="Arial"/>
                <w:spacing w:val="-2"/>
                <w:w w:val="105"/>
                <w:sz w:val="15"/>
              </w:rPr>
              <w:t>cycle </w:t>
            </w:r>
            <w:r>
              <w:rPr>
                <w:rFonts w:ascii="Arial"/>
                <w:w w:val="105"/>
                <w:sz w:val="15"/>
              </w:rPr>
              <w:t>To be started in 2022</w:t>
            </w:r>
          </w:p>
          <w:p>
            <w:pPr>
              <w:pStyle w:val="TableParagraph"/>
              <w:spacing w:line="273" w:lineRule="auto"/>
              <w:ind w:left="23" w:right="79"/>
              <w:jc w:val="left"/>
              <w:rPr>
                <w:rFonts w:ascii="Arial"/>
                <w:sz w:val="15"/>
              </w:rPr>
            </w:pPr>
            <w:r>
              <w:rPr>
                <w:rFonts w:ascii="Arial"/>
                <w:w w:val="105"/>
                <w:sz w:val="15"/>
              </w:rPr>
              <w:t>To be started in 2022 </w:t>
            </w:r>
            <w:r>
              <w:rPr>
                <w:rFonts w:ascii="Arial"/>
                <w:sz w:val="15"/>
              </w:rPr>
              <w:t>Incidental</w:t>
            </w:r>
            <w:r>
              <w:rPr>
                <w:rFonts w:ascii="Arial"/>
                <w:spacing w:val="-4"/>
                <w:sz w:val="15"/>
              </w:rPr>
              <w:t> </w:t>
            </w:r>
            <w:r>
              <w:rPr>
                <w:rFonts w:ascii="Arial"/>
                <w:sz w:val="15"/>
              </w:rPr>
              <w:t>Programme</w:t>
            </w:r>
            <w:r>
              <w:rPr>
                <w:rFonts w:ascii="Arial"/>
                <w:spacing w:val="-5"/>
                <w:sz w:val="15"/>
              </w:rPr>
              <w:t> </w:t>
            </w:r>
            <w:r>
              <w:rPr>
                <w:rFonts w:ascii="Arial"/>
                <w:sz w:val="15"/>
              </w:rPr>
              <w:t>Costs</w:t>
            </w:r>
          </w:p>
        </w:tc>
      </w:tr>
      <w:tr>
        <w:trPr>
          <w:trHeight w:val="181" w:hRule="atLeast"/>
        </w:trPr>
        <w:tc>
          <w:tcPr>
            <w:tcW w:w="847" w:type="dxa"/>
          </w:tcPr>
          <w:p>
            <w:pPr>
              <w:pStyle w:val="TableParagraph"/>
              <w:spacing w:line="149" w:lineRule="exact" w:before="12"/>
              <w:ind w:right="3"/>
              <w:rPr>
                <w:rFonts w:ascii="Arial"/>
                <w:sz w:val="15"/>
              </w:rPr>
            </w:pPr>
            <w:r>
              <w:rPr>
                <w:rFonts w:ascii="Arial"/>
                <w:sz w:val="15"/>
              </w:rPr>
              <w:t>Sub-</w:t>
            </w:r>
            <w:r>
              <w:rPr>
                <w:rFonts w:ascii="Arial"/>
                <w:spacing w:val="-2"/>
                <w:sz w:val="15"/>
              </w:rPr>
              <w:t>total</w:t>
            </w:r>
          </w:p>
        </w:tc>
        <w:tc>
          <w:tcPr>
            <w:tcW w:w="743" w:type="dxa"/>
          </w:tcPr>
          <w:p>
            <w:pPr>
              <w:pStyle w:val="TableParagraph"/>
              <w:spacing w:line="149" w:lineRule="exact" w:before="12"/>
              <w:ind w:right="2"/>
              <w:rPr>
                <w:rFonts w:ascii="Arial" w:hAnsi="Arial"/>
                <w:sz w:val="15"/>
              </w:rPr>
            </w:pPr>
            <w:r>
              <w:rPr>
                <w:rFonts w:ascii="Arial" w:hAnsi="Arial"/>
                <w:w w:val="105"/>
                <w:sz w:val="15"/>
              </w:rPr>
              <w:t>€</w:t>
            </w:r>
            <w:r>
              <w:rPr>
                <w:rFonts w:ascii="Arial" w:hAnsi="Arial"/>
                <w:spacing w:val="-9"/>
                <w:w w:val="105"/>
                <w:sz w:val="15"/>
              </w:rPr>
              <w:t> </w:t>
            </w:r>
            <w:r>
              <w:rPr>
                <w:rFonts w:ascii="Arial" w:hAnsi="Arial"/>
                <w:spacing w:val="-2"/>
                <w:w w:val="105"/>
                <w:sz w:val="15"/>
              </w:rPr>
              <w:t>12,819</w:t>
            </w:r>
          </w:p>
        </w:tc>
        <w:tc>
          <w:tcPr>
            <w:tcW w:w="805" w:type="dxa"/>
          </w:tcPr>
          <w:p>
            <w:pPr>
              <w:pStyle w:val="TableParagraph"/>
              <w:spacing w:line="149" w:lineRule="exact" w:before="12"/>
              <w:ind w:right="1"/>
              <w:rPr>
                <w:rFonts w:ascii="Arial" w:hAnsi="Arial"/>
                <w:sz w:val="15"/>
              </w:rPr>
            </w:pPr>
            <w:r>
              <w:rPr>
                <w:rFonts w:ascii="Arial" w:hAnsi="Arial"/>
                <w:w w:val="105"/>
                <w:sz w:val="15"/>
              </w:rPr>
              <w:t>€</w:t>
            </w:r>
            <w:r>
              <w:rPr>
                <w:rFonts w:ascii="Arial" w:hAnsi="Arial"/>
                <w:spacing w:val="-9"/>
                <w:w w:val="105"/>
                <w:sz w:val="15"/>
              </w:rPr>
              <w:t> </w:t>
            </w:r>
            <w:r>
              <w:rPr>
                <w:rFonts w:ascii="Arial" w:hAnsi="Arial"/>
                <w:spacing w:val="-2"/>
                <w:w w:val="105"/>
                <w:sz w:val="15"/>
              </w:rPr>
              <w:t>2,713</w:t>
            </w:r>
          </w:p>
        </w:tc>
        <w:tc>
          <w:tcPr>
            <w:tcW w:w="929" w:type="dxa"/>
          </w:tcPr>
          <w:p>
            <w:pPr>
              <w:pStyle w:val="TableParagraph"/>
              <w:jc w:val="left"/>
              <w:rPr>
                <w:sz w:val="12"/>
              </w:rPr>
            </w:pPr>
          </w:p>
        </w:tc>
        <w:tc>
          <w:tcPr>
            <w:tcW w:w="2236" w:type="dxa"/>
            <w:tcBorders>
              <w:right w:val="single" w:sz="12" w:space="0" w:color="000000"/>
            </w:tcBorders>
          </w:tcPr>
          <w:p>
            <w:pPr>
              <w:pStyle w:val="TableParagraph"/>
              <w:jc w:val="left"/>
              <w:rPr>
                <w:sz w:val="12"/>
              </w:rPr>
            </w:pPr>
          </w:p>
        </w:tc>
      </w:tr>
      <w:tr>
        <w:trPr>
          <w:trHeight w:val="385" w:hRule="atLeast"/>
        </w:trPr>
        <w:tc>
          <w:tcPr>
            <w:tcW w:w="847" w:type="dxa"/>
            <w:tcBorders>
              <w:bottom w:val="single" w:sz="12" w:space="0" w:color="000000"/>
            </w:tcBorders>
          </w:tcPr>
          <w:p>
            <w:pPr>
              <w:pStyle w:val="TableParagraph"/>
              <w:spacing w:before="1"/>
              <w:jc w:val="left"/>
              <w:rPr>
                <w:sz w:val="18"/>
              </w:rPr>
            </w:pPr>
          </w:p>
          <w:p>
            <w:pPr>
              <w:pStyle w:val="TableParagraph"/>
              <w:spacing w:line="157" w:lineRule="exact"/>
              <w:ind w:right="4"/>
              <w:rPr>
                <w:rFonts w:ascii="Arial"/>
                <w:b/>
                <w:sz w:val="15"/>
              </w:rPr>
            </w:pPr>
            <w:r>
              <w:rPr>
                <w:rFonts w:ascii="Arial"/>
                <w:b/>
                <w:spacing w:val="-2"/>
                <w:w w:val="105"/>
                <w:sz w:val="15"/>
              </w:rPr>
              <w:t>Total</w:t>
            </w:r>
          </w:p>
        </w:tc>
        <w:tc>
          <w:tcPr>
            <w:tcW w:w="743" w:type="dxa"/>
            <w:tcBorders>
              <w:bottom w:val="single" w:sz="12" w:space="0" w:color="000000"/>
            </w:tcBorders>
          </w:tcPr>
          <w:p>
            <w:pPr>
              <w:pStyle w:val="TableParagraph"/>
              <w:spacing w:before="1"/>
              <w:jc w:val="left"/>
              <w:rPr>
                <w:sz w:val="18"/>
              </w:rPr>
            </w:pPr>
          </w:p>
          <w:p>
            <w:pPr>
              <w:pStyle w:val="TableParagraph"/>
              <w:spacing w:line="157" w:lineRule="exact"/>
              <w:ind w:right="2"/>
              <w:rPr>
                <w:rFonts w:ascii="Arial" w:hAnsi="Arial"/>
                <w:sz w:val="15"/>
              </w:rPr>
            </w:pPr>
            <w:r>
              <w:rPr>
                <w:rFonts w:ascii="Arial" w:hAnsi="Arial"/>
                <w:w w:val="105"/>
                <w:sz w:val="15"/>
              </w:rPr>
              <w:t>€</w:t>
            </w:r>
            <w:r>
              <w:rPr>
                <w:rFonts w:ascii="Arial" w:hAnsi="Arial"/>
                <w:spacing w:val="-9"/>
                <w:w w:val="105"/>
                <w:sz w:val="15"/>
              </w:rPr>
              <w:t> </w:t>
            </w:r>
            <w:r>
              <w:rPr>
                <w:rFonts w:ascii="Arial" w:hAnsi="Arial"/>
                <w:spacing w:val="-2"/>
                <w:w w:val="105"/>
                <w:sz w:val="15"/>
              </w:rPr>
              <w:t>17,835</w:t>
            </w:r>
          </w:p>
        </w:tc>
        <w:tc>
          <w:tcPr>
            <w:tcW w:w="805" w:type="dxa"/>
            <w:tcBorders>
              <w:bottom w:val="single" w:sz="12" w:space="0" w:color="000000"/>
            </w:tcBorders>
          </w:tcPr>
          <w:p>
            <w:pPr>
              <w:pStyle w:val="TableParagraph"/>
              <w:spacing w:before="1"/>
              <w:jc w:val="left"/>
              <w:rPr>
                <w:sz w:val="18"/>
              </w:rPr>
            </w:pPr>
          </w:p>
          <w:p>
            <w:pPr>
              <w:pStyle w:val="TableParagraph"/>
              <w:spacing w:line="157" w:lineRule="exact"/>
              <w:ind w:right="1"/>
              <w:rPr>
                <w:rFonts w:ascii="Arial" w:hAnsi="Arial"/>
                <w:sz w:val="15"/>
              </w:rPr>
            </w:pPr>
            <w:r>
              <w:rPr>
                <w:rFonts w:ascii="Arial" w:hAnsi="Arial"/>
                <w:w w:val="105"/>
                <w:sz w:val="15"/>
              </w:rPr>
              <w:t>€</w:t>
            </w:r>
            <w:r>
              <w:rPr>
                <w:rFonts w:ascii="Arial" w:hAnsi="Arial"/>
                <w:spacing w:val="-9"/>
                <w:w w:val="105"/>
                <w:sz w:val="15"/>
              </w:rPr>
              <w:t> </w:t>
            </w:r>
            <w:r>
              <w:rPr>
                <w:rFonts w:ascii="Arial" w:hAnsi="Arial"/>
                <w:spacing w:val="-2"/>
                <w:w w:val="105"/>
                <w:sz w:val="15"/>
              </w:rPr>
              <w:t>6,458</w:t>
            </w:r>
          </w:p>
        </w:tc>
        <w:tc>
          <w:tcPr>
            <w:tcW w:w="929" w:type="dxa"/>
            <w:tcBorders>
              <w:bottom w:val="single" w:sz="12" w:space="0" w:color="000000"/>
            </w:tcBorders>
          </w:tcPr>
          <w:p>
            <w:pPr>
              <w:pStyle w:val="TableParagraph"/>
              <w:spacing w:before="1"/>
              <w:jc w:val="left"/>
              <w:rPr>
                <w:sz w:val="18"/>
              </w:rPr>
            </w:pPr>
          </w:p>
          <w:p>
            <w:pPr>
              <w:pStyle w:val="TableParagraph"/>
              <w:spacing w:line="157" w:lineRule="exact"/>
              <w:rPr>
                <w:rFonts w:ascii="Arial" w:hAnsi="Arial"/>
                <w:sz w:val="15"/>
              </w:rPr>
            </w:pPr>
            <w:r>
              <w:rPr>
                <w:rFonts w:ascii="Arial" w:hAnsi="Arial"/>
                <w:w w:val="105"/>
                <w:sz w:val="15"/>
              </w:rPr>
              <w:t>€</w:t>
            </w:r>
            <w:r>
              <w:rPr>
                <w:rFonts w:ascii="Arial" w:hAnsi="Arial"/>
                <w:spacing w:val="-9"/>
                <w:w w:val="105"/>
                <w:sz w:val="15"/>
              </w:rPr>
              <w:t> </w:t>
            </w:r>
            <w:r>
              <w:rPr>
                <w:rFonts w:ascii="Arial" w:hAnsi="Arial"/>
                <w:spacing w:val="-2"/>
                <w:w w:val="105"/>
                <w:sz w:val="15"/>
              </w:rPr>
              <w:t>31,372</w:t>
            </w:r>
          </w:p>
        </w:tc>
        <w:tc>
          <w:tcPr>
            <w:tcW w:w="2236" w:type="dxa"/>
            <w:tcBorders>
              <w:bottom w:val="single" w:sz="12" w:space="0" w:color="000000"/>
              <w:right w:val="single" w:sz="12" w:space="0" w:color="000000"/>
            </w:tcBorders>
          </w:tcPr>
          <w:p>
            <w:pPr>
              <w:pStyle w:val="TableParagraph"/>
              <w:jc w:val="left"/>
              <w:rPr>
                <w:sz w:val="18"/>
              </w:rPr>
            </w:pPr>
          </w:p>
        </w:tc>
      </w:tr>
    </w:tbl>
    <w:p>
      <w:pPr>
        <w:spacing w:before="36"/>
        <w:ind w:left="3033" w:right="0" w:firstLine="0"/>
        <w:jc w:val="left"/>
        <w:rPr>
          <w:rFonts w:ascii="Arial"/>
          <w:sz w:val="13"/>
        </w:rPr>
      </w:pPr>
      <w:r>
        <w:rPr>
          <w:rFonts w:ascii="Arial"/>
          <w:sz w:val="13"/>
        </w:rPr>
        <w:t>*Total</w:t>
      </w:r>
      <w:r>
        <w:rPr>
          <w:rFonts w:ascii="Arial"/>
          <w:spacing w:val="3"/>
          <w:sz w:val="13"/>
        </w:rPr>
        <w:t> </w:t>
      </w:r>
      <w:r>
        <w:rPr>
          <w:rFonts w:ascii="Arial"/>
          <w:sz w:val="13"/>
        </w:rPr>
        <w:t>investment</w:t>
      </w:r>
      <w:r>
        <w:rPr>
          <w:rFonts w:ascii="Arial"/>
          <w:spacing w:val="7"/>
          <w:sz w:val="13"/>
        </w:rPr>
        <w:t> </w:t>
      </w:r>
      <w:r>
        <w:rPr>
          <w:rFonts w:ascii="Arial"/>
          <w:sz w:val="13"/>
        </w:rPr>
        <w:t>including</w:t>
      </w:r>
      <w:r>
        <w:rPr>
          <w:rFonts w:ascii="Arial"/>
          <w:spacing w:val="1"/>
          <w:sz w:val="13"/>
        </w:rPr>
        <w:t> </w:t>
      </w:r>
      <w:r>
        <w:rPr>
          <w:rFonts w:ascii="Arial"/>
          <w:sz w:val="13"/>
        </w:rPr>
        <w:t>2022-</w:t>
      </w:r>
      <w:r>
        <w:rPr>
          <w:rFonts w:ascii="Arial"/>
          <w:spacing w:val="-4"/>
          <w:sz w:val="13"/>
        </w:rPr>
        <w:t>2023</w:t>
      </w:r>
    </w:p>
    <w:p>
      <w:pPr>
        <w:spacing w:before="47"/>
        <w:ind w:left="3033" w:right="0" w:firstLine="0"/>
        <w:jc w:val="left"/>
        <w:rPr>
          <w:rFonts w:ascii="Arial"/>
          <w:sz w:val="13"/>
        </w:rPr>
      </w:pPr>
      <w:r>
        <w:rPr>
          <w:rFonts w:ascii="Arial"/>
          <w:sz w:val="13"/>
        </w:rPr>
        <w:t>**Remaining</w:t>
      </w:r>
      <w:r>
        <w:rPr>
          <w:rFonts w:ascii="Arial"/>
          <w:spacing w:val="9"/>
          <w:sz w:val="13"/>
        </w:rPr>
        <w:t> </w:t>
      </w:r>
      <w:r>
        <w:rPr>
          <w:rFonts w:ascii="Arial"/>
          <w:sz w:val="13"/>
        </w:rPr>
        <w:t>allocated</w:t>
      </w:r>
      <w:r>
        <w:rPr>
          <w:rFonts w:ascii="Arial"/>
          <w:spacing w:val="10"/>
          <w:sz w:val="13"/>
        </w:rPr>
        <w:t> </w:t>
      </w:r>
      <w:r>
        <w:rPr>
          <w:rFonts w:ascii="Arial"/>
          <w:spacing w:val="-2"/>
          <w:sz w:val="13"/>
        </w:rPr>
        <w:t>resources</w:t>
      </w:r>
    </w:p>
    <w:p>
      <w:pPr>
        <w:spacing w:before="47"/>
        <w:ind w:left="3033" w:right="0" w:firstLine="0"/>
        <w:jc w:val="left"/>
        <w:rPr>
          <w:rFonts w:ascii="Arial"/>
          <w:sz w:val="13"/>
        </w:rPr>
      </w:pPr>
      <w:r>
        <w:rPr/>
        <w:pict>
          <v:shape style="position:absolute;margin-left:151.150009pt;margin-top:10.509065pt;width:.550pt;height:.1pt;mso-position-horizontal-relative:page;mso-position-vertical-relative:paragraph;z-index:-15683072;mso-wrap-distance-left:0;mso-wrap-distance-right:0" id="docshape325" coordorigin="3023,210" coordsize="11,0" path="m3033,210l3023,210,3033,210xe" filled="true" fillcolor="#d3d3d3" stroked="false">
            <v:path arrowok="t"/>
            <v:fill type="solid"/>
            <w10:wrap type="topAndBottom"/>
          </v:shape>
        </w:pict>
      </w:r>
      <w:r>
        <w:rPr/>
        <w:pict>
          <v:shape style="position:absolute;margin-left:193.516846pt;margin-top:10.509065pt;width:.550pt;height:.1pt;mso-position-horizontal-relative:page;mso-position-vertical-relative:paragraph;z-index:-15682560;mso-wrap-distance-left:0;mso-wrap-distance-right:0" id="docshape326" coordorigin="3870,210" coordsize="11,0" path="m3881,210l3870,210,3881,210xe" filled="true" fillcolor="#d3d3d3" stroked="false">
            <v:path arrowok="t"/>
            <v:fill type="solid"/>
            <w10:wrap type="topAndBottom"/>
          </v:shape>
        </w:pict>
      </w:r>
      <w:r>
        <w:rPr/>
        <w:pict>
          <v:shape style="position:absolute;margin-left:230.706863pt;margin-top:10.509065pt;width:.550pt;height:.1pt;mso-position-horizontal-relative:page;mso-position-vertical-relative:paragraph;z-index:-15682048;mso-wrap-distance-left:0;mso-wrap-distance-right:0" id="docshape327" coordorigin="4614,210" coordsize="11,0" path="m4624,210l4614,210,4624,210xe" filled="true" fillcolor="#d3d3d3" stroked="false">
            <v:path arrowok="t"/>
            <v:fill type="solid"/>
            <w10:wrap type="topAndBottom"/>
          </v:shape>
        </w:pict>
      </w:r>
      <w:r>
        <w:rPr/>
        <w:pict>
          <v:shape style="position:absolute;margin-left:271.000916pt;margin-top:10.509065pt;width:.550pt;height:.1pt;mso-position-horizontal-relative:page;mso-position-vertical-relative:paragraph;z-index:-15681536;mso-wrap-distance-left:0;mso-wrap-distance-right:0" id="docshape328" coordorigin="5420,210" coordsize="11,0" path="m5430,210l5420,210,5430,210xe" filled="true" fillcolor="#d3d3d3" stroked="false">
            <v:path arrowok="t"/>
            <v:fill type="solid"/>
            <w10:wrap type="topAndBottom"/>
          </v:shape>
        </w:pict>
      </w:r>
      <w:r>
        <w:rPr/>
        <w:pict>
          <v:shape style="position:absolute;margin-left:317.489288pt;margin-top:10.509065pt;width:.550pt;height:.1pt;mso-position-horizontal-relative:page;mso-position-vertical-relative:paragraph;z-index:-15681024;mso-wrap-distance-left:0;mso-wrap-distance-right:0" id="docshape329" coordorigin="6350,210" coordsize="11,0" path="m6360,210l6350,210,6360,210xe" filled="true" fillcolor="#d3d3d3" stroked="false">
            <v:path arrowok="t"/>
            <v:fill type="solid"/>
            <w10:wrap type="topAndBottom"/>
          </v:shape>
        </w:pict>
      </w:r>
      <w:r>
        <w:rPr/>
        <w:pict>
          <v:shape style="position:absolute;margin-left:429.585266pt;margin-top:10.509065pt;width:.550pt;height:.1pt;mso-position-horizontal-relative:page;mso-position-vertical-relative:paragraph;z-index:-15680512;mso-wrap-distance-left:0;mso-wrap-distance-right:0" id="docshape330" coordorigin="8592,210" coordsize="11,0" path="m8602,210l8592,210,8602,210xe" filled="true" fillcolor="#d3d3d3" stroked="false">
            <v:path arrowok="t"/>
            <v:fill type="solid"/>
            <w10:wrap type="topAndBottom"/>
          </v:shape>
        </w:pict>
      </w:r>
      <w:r>
        <w:rPr>
          <w:rFonts w:ascii="Arial"/>
          <w:sz w:val="13"/>
        </w:rPr>
        <w:t>***Projected</w:t>
      </w:r>
      <w:r>
        <w:rPr>
          <w:rFonts w:ascii="Arial"/>
          <w:spacing w:val="15"/>
          <w:w w:val="105"/>
          <w:sz w:val="13"/>
        </w:rPr>
        <w:t> </w:t>
      </w:r>
      <w:r>
        <w:rPr>
          <w:rFonts w:ascii="Arial"/>
          <w:spacing w:val="-2"/>
          <w:w w:val="105"/>
          <w:sz w:val="13"/>
        </w:rPr>
        <w:t>investment</w:t>
      </w:r>
    </w:p>
    <w:p>
      <w:pPr>
        <w:pStyle w:val="ListParagraph"/>
        <w:numPr>
          <w:ilvl w:val="0"/>
          <w:numId w:val="4"/>
        </w:numPr>
        <w:tabs>
          <w:tab w:pos="2967" w:val="left" w:leader="none"/>
        </w:tabs>
        <w:spacing w:line="240" w:lineRule="auto" w:before="122" w:after="0"/>
        <w:ind w:left="2246" w:right="2239" w:firstLine="0"/>
        <w:jc w:val="both"/>
        <w:rPr>
          <w:sz w:val="20"/>
        </w:rPr>
      </w:pPr>
      <w:r>
        <w:rPr>
          <w:sz w:val="20"/>
        </w:rPr>
        <w:t>The Board decides, usually every year, on whether to invest in situation-related reparative measures, depending on the availability of resources. Accordingly, even though these multi-annual programmes are running, projections of any investment are subject to decisions</w:t>
      </w:r>
      <w:r>
        <w:rPr>
          <w:spacing w:val="40"/>
          <w:sz w:val="20"/>
        </w:rPr>
        <w:t> </w:t>
      </w:r>
      <w:r>
        <w:rPr>
          <w:sz w:val="20"/>
        </w:rPr>
        <w:t>of</w:t>
      </w:r>
      <w:r>
        <w:rPr>
          <w:spacing w:val="37"/>
          <w:sz w:val="20"/>
        </w:rPr>
        <w:t> </w:t>
      </w:r>
      <w:r>
        <w:rPr>
          <w:sz w:val="20"/>
        </w:rPr>
        <w:t>the</w:t>
      </w:r>
      <w:r>
        <w:rPr>
          <w:spacing w:val="40"/>
          <w:sz w:val="20"/>
        </w:rPr>
        <w:t> </w:t>
      </w:r>
      <w:r>
        <w:rPr>
          <w:sz w:val="20"/>
        </w:rPr>
        <w:t>Board.</w:t>
      </w:r>
      <w:r>
        <w:rPr>
          <w:spacing w:val="39"/>
          <w:sz w:val="20"/>
        </w:rPr>
        <w:t> </w:t>
      </w:r>
      <w:r>
        <w:rPr>
          <w:sz w:val="20"/>
        </w:rPr>
        <w:t>The</w:t>
      </w:r>
      <w:r>
        <w:rPr>
          <w:spacing w:val="40"/>
          <w:sz w:val="20"/>
        </w:rPr>
        <w:t> </w:t>
      </w:r>
      <w:r>
        <w:rPr>
          <w:sz w:val="20"/>
        </w:rPr>
        <w:t>Board</w:t>
      </w:r>
      <w:r>
        <w:rPr>
          <w:spacing w:val="37"/>
          <w:sz w:val="20"/>
        </w:rPr>
        <w:t> </w:t>
      </w:r>
      <w:r>
        <w:rPr>
          <w:sz w:val="20"/>
        </w:rPr>
        <w:t>also</w:t>
      </w:r>
      <w:r>
        <w:rPr>
          <w:spacing w:val="40"/>
          <w:sz w:val="20"/>
        </w:rPr>
        <w:t> </w:t>
      </w:r>
      <w:r>
        <w:rPr>
          <w:sz w:val="20"/>
        </w:rPr>
        <w:t>decides</w:t>
      </w:r>
      <w:r>
        <w:rPr>
          <w:spacing w:val="35"/>
          <w:sz w:val="20"/>
        </w:rPr>
        <w:t> </w:t>
      </w:r>
      <w:r>
        <w:rPr>
          <w:sz w:val="20"/>
        </w:rPr>
        <w:t>the</w:t>
      </w:r>
      <w:r>
        <w:rPr>
          <w:spacing w:val="38"/>
          <w:sz w:val="20"/>
        </w:rPr>
        <w:t> </w:t>
      </w:r>
      <w:r>
        <w:rPr>
          <w:sz w:val="20"/>
        </w:rPr>
        <w:t>amounts</w:t>
      </w:r>
      <w:r>
        <w:rPr>
          <w:spacing w:val="40"/>
          <w:sz w:val="20"/>
        </w:rPr>
        <w:t> </w:t>
      </w:r>
      <w:r>
        <w:rPr>
          <w:sz w:val="20"/>
        </w:rPr>
        <w:t>that</w:t>
      </w:r>
      <w:r>
        <w:rPr>
          <w:spacing w:val="40"/>
          <w:sz w:val="20"/>
        </w:rPr>
        <w:t> </w:t>
      </w:r>
      <w:r>
        <w:rPr>
          <w:sz w:val="20"/>
        </w:rPr>
        <w:t>will</w:t>
      </w:r>
      <w:r>
        <w:rPr>
          <w:spacing w:val="38"/>
          <w:sz w:val="20"/>
        </w:rPr>
        <w:t> </w:t>
      </w:r>
      <w:r>
        <w:rPr>
          <w:sz w:val="20"/>
        </w:rPr>
        <w:t>complement</w:t>
      </w:r>
      <w:r>
        <w:rPr>
          <w:spacing w:val="38"/>
          <w:sz w:val="20"/>
        </w:rPr>
        <w:t> </w:t>
      </w:r>
      <w:r>
        <w:rPr>
          <w:sz w:val="20"/>
        </w:rPr>
        <w:t>the</w:t>
      </w:r>
    </w:p>
    <w:p>
      <w:pPr>
        <w:spacing w:after="0" w:line="240" w:lineRule="auto"/>
        <w:jc w:val="both"/>
        <w:rPr>
          <w:sz w:val="20"/>
        </w:rPr>
        <w:sectPr>
          <w:headerReference w:type="even" r:id="rId121"/>
          <w:headerReference w:type="default" r:id="rId122"/>
          <w:footerReference w:type="even" r:id="rId123"/>
          <w:footerReference w:type="default" r:id="rId124"/>
          <w:pgSz w:w="11910" w:h="16840"/>
          <w:pgMar w:header="953" w:footer="940" w:top="1140" w:bottom="1140" w:left="20" w:right="20"/>
          <w:pgNumType w:start="166"/>
        </w:sectPr>
      </w:pPr>
    </w:p>
    <w:p>
      <w:pPr>
        <w:pStyle w:val="BodyText"/>
        <w:spacing w:before="120"/>
        <w:ind w:left="2246" w:right="2239"/>
        <w:jc w:val="both"/>
      </w:pPr>
      <w:r>
        <w:rPr/>
        <w:t>payment of reparations awards. Nevertheless, for clarity purposes, the amount of the convicted person’s liability, as determined by the Trial Chamber, is included here for</w:t>
      </w:r>
      <w:r>
        <w:rPr>
          <w:spacing w:val="80"/>
        </w:rPr>
        <w:t> </w:t>
      </w:r>
      <w:r>
        <w:rPr/>
        <w:t>Court-ordered reparations. In that regard, it should be mentioned that the Trust Fund proposed that the sum</w:t>
      </w:r>
      <w:r>
        <w:rPr>
          <w:spacing w:val="26"/>
        </w:rPr>
        <w:t> </w:t>
      </w:r>
      <w:r>
        <w:rPr/>
        <w:t>for</w:t>
      </w:r>
      <w:r>
        <w:rPr>
          <w:spacing w:val="24"/>
        </w:rPr>
        <w:t> </w:t>
      </w:r>
      <w:r>
        <w:rPr/>
        <w:t>which</w:t>
      </w:r>
      <w:r>
        <w:rPr>
          <w:spacing w:val="24"/>
        </w:rPr>
        <w:t> </w:t>
      </w:r>
      <w:r>
        <w:rPr/>
        <w:t>Mr Lubanga is</w:t>
      </w:r>
      <w:r>
        <w:rPr>
          <w:spacing w:val="23"/>
        </w:rPr>
        <w:t> </w:t>
      </w:r>
      <w:r>
        <w:rPr/>
        <w:t>liable be deducted</w:t>
      </w:r>
      <w:r>
        <w:rPr>
          <w:spacing w:val="24"/>
        </w:rPr>
        <w:t> </w:t>
      </w:r>
      <w:r>
        <w:rPr/>
        <w:t>from that concerning Mr Ntaganda, given that the measures are partly</w:t>
      </w:r>
      <w:r>
        <w:rPr>
          <w:spacing w:val="-4"/>
        </w:rPr>
        <w:t> </w:t>
      </w:r>
      <w:r>
        <w:rPr/>
        <w:t>aimed</w:t>
      </w:r>
      <w:r>
        <w:rPr>
          <w:spacing w:val="-4"/>
        </w:rPr>
        <w:t> </w:t>
      </w:r>
      <w:r>
        <w:rPr/>
        <w:t>at the same victim community. This proposal is currently pending the approval of the Trial Chamber.</w:t>
      </w:r>
    </w:p>
    <w:p>
      <w:pPr>
        <w:pStyle w:val="ListParagraph"/>
        <w:numPr>
          <w:ilvl w:val="0"/>
          <w:numId w:val="4"/>
        </w:numPr>
        <w:tabs>
          <w:tab w:pos="2967" w:val="left" w:leader="none"/>
        </w:tabs>
        <w:spacing w:line="240" w:lineRule="auto" w:before="123" w:after="0"/>
        <w:ind w:left="2246" w:right="2240" w:firstLine="0"/>
        <w:jc w:val="both"/>
        <w:rPr>
          <w:sz w:val="20"/>
        </w:rPr>
      </w:pPr>
      <w:r>
        <w:rPr>
          <w:sz w:val="20"/>
        </w:rPr>
        <w:t>The steadily</w:t>
      </w:r>
      <w:r>
        <w:rPr>
          <w:spacing w:val="-1"/>
          <w:sz w:val="20"/>
        </w:rPr>
        <w:t> </w:t>
      </w:r>
      <w:r>
        <w:rPr>
          <w:sz w:val="20"/>
        </w:rPr>
        <w:t>growing workload, volume and operational complexity of reparations cases</w:t>
      </w:r>
      <w:r>
        <w:rPr>
          <w:spacing w:val="-11"/>
          <w:sz w:val="20"/>
        </w:rPr>
        <w:t> </w:t>
      </w:r>
      <w:r>
        <w:rPr>
          <w:sz w:val="20"/>
        </w:rPr>
        <w:t>demonstrates</w:t>
      </w:r>
      <w:r>
        <w:rPr>
          <w:spacing w:val="-11"/>
          <w:sz w:val="20"/>
        </w:rPr>
        <w:t> </w:t>
      </w:r>
      <w:r>
        <w:rPr>
          <w:sz w:val="20"/>
        </w:rPr>
        <w:t>the</w:t>
      </w:r>
      <w:r>
        <w:rPr>
          <w:spacing w:val="-8"/>
          <w:sz w:val="20"/>
        </w:rPr>
        <w:t> </w:t>
      </w:r>
      <w:r>
        <w:rPr>
          <w:sz w:val="20"/>
        </w:rPr>
        <w:t>increasing</w:t>
      </w:r>
      <w:r>
        <w:rPr>
          <w:spacing w:val="-9"/>
          <w:sz w:val="20"/>
        </w:rPr>
        <w:t> </w:t>
      </w:r>
      <w:r>
        <w:rPr>
          <w:sz w:val="20"/>
        </w:rPr>
        <w:t>preponderance</w:t>
      </w:r>
      <w:r>
        <w:rPr>
          <w:spacing w:val="-8"/>
          <w:sz w:val="20"/>
        </w:rPr>
        <w:t> </w:t>
      </w:r>
      <w:r>
        <w:rPr>
          <w:sz w:val="20"/>
        </w:rPr>
        <w:t>of</w:t>
      </w:r>
      <w:r>
        <w:rPr>
          <w:spacing w:val="-5"/>
          <w:sz w:val="20"/>
        </w:rPr>
        <w:t> </w:t>
      </w:r>
      <w:r>
        <w:rPr>
          <w:sz w:val="20"/>
        </w:rPr>
        <w:t>reparations-related</w:t>
      </w:r>
      <w:r>
        <w:rPr>
          <w:spacing w:val="-9"/>
          <w:sz w:val="20"/>
        </w:rPr>
        <w:t> </w:t>
      </w:r>
      <w:r>
        <w:rPr>
          <w:sz w:val="20"/>
        </w:rPr>
        <w:t>activities</w:t>
      </w:r>
      <w:r>
        <w:rPr>
          <w:spacing w:val="-11"/>
          <w:sz w:val="20"/>
        </w:rPr>
        <w:t> </w:t>
      </w:r>
      <w:r>
        <w:rPr>
          <w:sz w:val="20"/>
        </w:rPr>
        <w:t>in</w:t>
      </w:r>
      <w:r>
        <w:rPr>
          <w:spacing w:val="-9"/>
          <w:sz w:val="20"/>
        </w:rPr>
        <w:t> </w:t>
      </w:r>
      <w:r>
        <w:rPr>
          <w:sz w:val="20"/>
        </w:rPr>
        <w:t>the</w:t>
      </w:r>
      <w:r>
        <w:rPr>
          <w:spacing w:val="-8"/>
          <w:sz w:val="20"/>
        </w:rPr>
        <w:t> </w:t>
      </w:r>
      <w:r>
        <w:rPr>
          <w:sz w:val="20"/>
        </w:rPr>
        <w:t>Trust Fund’s portfolio, which is reflected in its current and future investment needs.</w:t>
      </w:r>
    </w:p>
    <w:p>
      <w:pPr>
        <w:pStyle w:val="ListParagraph"/>
        <w:numPr>
          <w:ilvl w:val="0"/>
          <w:numId w:val="4"/>
        </w:numPr>
        <w:tabs>
          <w:tab w:pos="2967" w:val="left" w:leader="none"/>
        </w:tabs>
        <w:spacing w:line="237" w:lineRule="auto" w:before="123" w:after="0"/>
        <w:ind w:left="2246" w:right="2249" w:firstLine="0"/>
        <w:jc w:val="both"/>
        <w:rPr>
          <w:sz w:val="20"/>
        </w:rPr>
      </w:pPr>
      <w:r>
        <w:rPr>
          <w:sz w:val="20"/>
        </w:rPr>
        <w:t>To date, the persons convicted by the Court have been considered indigent; consequently, all of the TFV’s reparations activities have been funded by voluntary contributions, primarily made by States Parties.</w:t>
      </w:r>
    </w:p>
    <w:p>
      <w:pPr>
        <w:pStyle w:val="ListParagraph"/>
        <w:numPr>
          <w:ilvl w:val="0"/>
          <w:numId w:val="4"/>
        </w:numPr>
        <w:tabs>
          <w:tab w:pos="2967" w:val="left" w:leader="none"/>
        </w:tabs>
        <w:spacing w:line="240" w:lineRule="auto" w:before="122" w:after="0"/>
        <w:ind w:left="2246" w:right="2246" w:firstLine="0"/>
        <w:jc w:val="both"/>
        <w:rPr>
          <w:sz w:val="20"/>
        </w:rPr>
      </w:pPr>
      <w:r>
        <w:rPr>
          <w:sz w:val="20"/>
        </w:rPr>
        <w:t>States providing voluntary contributions to the TFV have been more frequently earmarking and setting conditions for the use of their contributions. At the same time, reporting requirements have increased and are diverse in terms of deadlines and content. Consequently, the Secretariat of the Trust Fund for Victims (STFV or “the Secretariat”) is spending considerably more time and effort in fund management activities.</w:t>
      </w:r>
    </w:p>
    <w:p>
      <w:pPr>
        <w:pStyle w:val="ListParagraph"/>
        <w:numPr>
          <w:ilvl w:val="0"/>
          <w:numId w:val="4"/>
        </w:numPr>
        <w:tabs>
          <w:tab w:pos="2967" w:val="left" w:leader="none"/>
        </w:tabs>
        <w:spacing w:line="240" w:lineRule="auto" w:before="122" w:after="0"/>
        <w:ind w:left="2246" w:right="2241" w:firstLine="0"/>
        <w:jc w:val="both"/>
        <w:rPr>
          <w:sz w:val="20"/>
        </w:rPr>
      </w:pPr>
      <w:r>
        <w:rPr>
          <w:sz w:val="20"/>
        </w:rPr>
        <w:t>As regards activities funded by TFV’s extrabudgetary resources, implementing partners are subject to yearly contract extensions, depending on their performance and the availability</w:t>
      </w:r>
      <w:r>
        <w:rPr>
          <w:spacing w:val="-11"/>
          <w:sz w:val="20"/>
        </w:rPr>
        <w:t> </w:t>
      </w:r>
      <w:r>
        <w:rPr>
          <w:sz w:val="20"/>
        </w:rPr>
        <w:t>of</w:t>
      </w:r>
      <w:r>
        <w:rPr>
          <w:spacing w:val="-13"/>
          <w:sz w:val="20"/>
        </w:rPr>
        <w:t> </w:t>
      </w:r>
      <w:r>
        <w:rPr>
          <w:sz w:val="20"/>
        </w:rPr>
        <w:t>funds.</w:t>
      </w:r>
      <w:r>
        <w:rPr>
          <w:spacing w:val="-11"/>
          <w:sz w:val="20"/>
        </w:rPr>
        <w:t> </w:t>
      </w:r>
      <w:r>
        <w:rPr>
          <w:sz w:val="20"/>
        </w:rPr>
        <w:t>Accordingly,</w:t>
      </w:r>
      <w:r>
        <w:rPr>
          <w:spacing w:val="-12"/>
          <w:sz w:val="20"/>
        </w:rPr>
        <w:t> </w:t>
      </w:r>
      <w:r>
        <w:rPr>
          <w:sz w:val="20"/>
        </w:rPr>
        <w:t>the</w:t>
      </w:r>
      <w:r>
        <w:rPr>
          <w:spacing w:val="-13"/>
          <w:sz w:val="20"/>
        </w:rPr>
        <w:t> </w:t>
      </w:r>
      <w:r>
        <w:rPr>
          <w:sz w:val="20"/>
        </w:rPr>
        <w:t>TFV</w:t>
      </w:r>
      <w:r>
        <w:rPr>
          <w:spacing w:val="-10"/>
          <w:sz w:val="20"/>
        </w:rPr>
        <w:t> </w:t>
      </w:r>
      <w:r>
        <w:rPr>
          <w:sz w:val="20"/>
        </w:rPr>
        <w:t>creates</w:t>
      </w:r>
      <w:r>
        <w:rPr>
          <w:spacing w:val="-11"/>
          <w:sz w:val="20"/>
        </w:rPr>
        <w:t> </w:t>
      </w:r>
      <w:r>
        <w:rPr>
          <w:sz w:val="20"/>
        </w:rPr>
        <w:t>obligations</w:t>
      </w:r>
      <w:r>
        <w:rPr>
          <w:spacing w:val="-11"/>
          <w:sz w:val="20"/>
        </w:rPr>
        <w:t> </w:t>
      </w:r>
      <w:r>
        <w:rPr>
          <w:sz w:val="20"/>
        </w:rPr>
        <w:t>only</w:t>
      </w:r>
      <w:r>
        <w:rPr>
          <w:spacing w:val="-13"/>
          <w:sz w:val="20"/>
        </w:rPr>
        <w:t> </w:t>
      </w:r>
      <w:r>
        <w:rPr>
          <w:sz w:val="20"/>
        </w:rPr>
        <w:t>in</w:t>
      </w:r>
      <w:r>
        <w:rPr>
          <w:spacing w:val="-12"/>
          <w:sz w:val="20"/>
        </w:rPr>
        <w:t> </w:t>
      </w:r>
      <w:r>
        <w:rPr>
          <w:sz w:val="20"/>
        </w:rPr>
        <w:t>relation</w:t>
      </w:r>
      <w:r>
        <w:rPr>
          <w:spacing w:val="-13"/>
          <w:sz w:val="20"/>
        </w:rPr>
        <w:t> </w:t>
      </w:r>
      <w:r>
        <w:rPr>
          <w:sz w:val="20"/>
        </w:rPr>
        <w:t>to</w:t>
      </w:r>
      <w:r>
        <w:rPr>
          <w:spacing w:val="-12"/>
          <w:sz w:val="20"/>
        </w:rPr>
        <w:t> </w:t>
      </w:r>
      <w:r>
        <w:rPr>
          <w:sz w:val="20"/>
        </w:rPr>
        <w:t>the</w:t>
      </w:r>
      <w:r>
        <w:rPr>
          <w:spacing w:val="-13"/>
          <w:sz w:val="20"/>
        </w:rPr>
        <w:t> </w:t>
      </w:r>
      <w:r>
        <w:rPr>
          <w:sz w:val="20"/>
        </w:rPr>
        <w:t>contract year of each project, which allows for controlled management of the processes of complementing reparations awards and continuing situation-based reparative measures throughout the respective programme cycles.</w:t>
      </w:r>
    </w:p>
    <w:p>
      <w:pPr>
        <w:pStyle w:val="ListParagraph"/>
        <w:numPr>
          <w:ilvl w:val="0"/>
          <w:numId w:val="4"/>
        </w:numPr>
        <w:tabs>
          <w:tab w:pos="2967" w:val="left" w:leader="none"/>
        </w:tabs>
        <w:spacing w:line="240" w:lineRule="auto" w:before="119" w:after="0"/>
        <w:ind w:left="2246" w:right="2248" w:firstLine="0"/>
        <w:jc w:val="both"/>
        <w:rPr>
          <w:sz w:val="20"/>
        </w:rPr>
      </w:pPr>
      <w:r>
        <w:rPr>
          <w:sz w:val="20"/>
        </w:rPr>
        <w:t>An increase in extrabudgetary resources fully depends on the TFV’s visibility and attractiveness in the various relevant donor markets, both public and private.</w:t>
      </w:r>
    </w:p>
    <w:p>
      <w:pPr>
        <w:pStyle w:val="ListParagraph"/>
        <w:numPr>
          <w:ilvl w:val="0"/>
          <w:numId w:val="4"/>
        </w:numPr>
        <w:tabs>
          <w:tab w:pos="2967" w:val="left" w:leader="none"/>
        </w:tabs>
        <w:spacing w:line="240" w:lineRule="auto" w:before="121" w:after="0"/>
        <w:ind w:left="2246" w:right="2240" w:firstLine="0"/>
        <w:jc w:val="both"/>
        <w:rPr>
          <w:sz w:val="20"/>
        </w:rPr>
      </w:pPr>
      <w:r>
        <w:rPr>
          <w:sz w:val="20"/>
        </w:rPr>
        <w:t>The</w:t>
      </w:r>
      <w:r>
        <w:rPr>
          <w:spacing w:val="-13"/>
          <w:sz w:val="20"/>
        </w:rPr>
        <w:t> </w:t>
      </w:r>
      <w:r>
        <w:rPr>
          <w:sz w:val="20"/>
        </w:rPr>
        <w:t>ability</w:t>
      </w:r>
      <w:r>
        <w:rPr>
          <w:spacing w:val="-12"/>
          <w:sz w:val="20"/>
        </w:rPr>
        <w:t> </w:t>
      </w:r>
      <w:r>
        <w:rPr>
          <w:sz w:val="20"/>
        </w:rPr>
        <w:t>of</w:t>
      </w:r>
      <w:r>
        <w:rPr>
          <w:spacing w:val="-13"/>
          <w:sz w:val="20"/>
        </w:rPr>
        <w:t> </w:t>
      </w:r>
      <w:r>
        <w:rPr>
          <w:sz w:val="20"/>
        </w:rPr>
        <w:t>the</w:t>
      </w:r>
      <w:r>
        <w:rPr>
          <w:spacing w:val="-12"/>
          <w:sz w:val="20"/>
        </w:rPr>
        <w:t> </w:t>
      </w:r>
      <w:r>
        <w:rPr>
          <w:sz w:val="20"/>
        </w:rPr>
        <w:t>TFV</w:t>
      </w:r>
      <w:r>
        <w:rPr>
          <w:spacing w:val="-11"/>
          <w:sz w:val="20"/>
        </w:rPr>
        <w:t> </w:t>
      </w:r>
      <w:r>
        <w:rPr>
          <w:sz w:val="20"/>
        </w:rPr>
        <w:t>Board</w:t>
      </w:r>
      <w:r>
        <w:rPr>
          <w:spacing w:val="-13"/>
          <w:sz w:val="20"/>
        </w:rPr>
        <w:t> </w:t>
      </w:r>
      <w:r>
        <w:rPr>
          <w:sz w:val="20"/>
        </w:rPr>
        <w:t>and</w:t>
      </w:r>
      <w:r>
        <w:rPr>
          <w:spacing w:val="-8"/>
          <w:sz w:val="20"/>
        </w:rPr>
        <w:t> </w:t>
      </w:r>
      <w:r>
        <w:rPr>
          <w:sz w:val="20"/>
        </w:rPr>
        <w:t>Secretariat</w:t>
      </w:r>
      <w:r>
        <w:rPr>
          <w:spacing w:val="-12"/>
          <w:sz w:val="20"/>
        </w:rPr>
        <w:t> </w:t>
      </w:r>
      <w:r>
        <w:rPr>
          <w:sz w:val="20"/>
        </w:rPr>
        <w:t>to</w:t>
      </w:r>
      <w:r>
        <w:rPr>
          <w:spacing w:val="-13"/>
          <w:sz w:val="20"/>
        </w:rPr>
        <w:t> </w:t>
      </w:r>
      <w:r>
        <w:rPr>
          <w:sz w:val="20"/>
        </w:rPr>
        <w:t>increase</w:t>
      </w:r>
      <w:r>
        <w:rPr>
          <w:spacing w:val="-11"/>
          <w:sz w:val="20"/>
        </w:rPr>
        <w:t> </w:t>
      </w:r>
      <w:r>
        <w:rPr>
          <w:sz w:val="20"/>
        </w:rPr>
        <w:t>their</w:t>
      </w:r>
      <w:r>
        <w:rPr>
          <w:spacing w:val="-12"/>
          <w:sz w:val="20"/>
        </w:rPr>
        <w:t> </w:t>
      </w:r>
      <w:r>
        <w:rPr>
          <w:sz w:val="20"/>
        </w:rPr>
        <w:t>market</w:t>
      </w:r>
      <w:r>
        <w:rPr>
          <w:spacing w:val="-12"/>
          <w:sz w:val="20"/>
        </w:rPr>
        <w:t> </w:t>
      </w:r>
      <w:r>
        <w:rPr>
          <w:sz w:val="20"/>
        </w:rPr>
        <w:t>visibility</w:t>
      </w:r>
      <w:r>
        <w:rPr>
          <w:spacing w:val="-9"/>
          <w:sz w:val="20"/>
        </w:rPr>
        <w:t> </w:t>
      </w:r>
      <w:r>
        <w:rPr>
          <w:sz w:val="20"/>
        </w:rPr>
        <w:t>relies on</w:t>
      </w:r>
      <w:r>
        <w:rPr>
          <w:spacing w:val="-3"/>
          <w:sz w:val="20"/>
        </w:rPr>
        <w:t> </w:t>
      </w:r>
      <w:r>
        <w:rPr>
          <w:sz w:val="20"/>
        </w:rPr>
        <w:t>a</w:t>
      </w:r>
      <w:r>
        <w:rPr>
          <w:spacing w:val="-10"/>
          <w:sz w:val="20"/>
        </w:rPr>
        <w:t> </w:t>
      </w:r>
      <w:r>
        <w:rPr>
          <w:sz w:val="20"/>
        </w:rPr>
        <w:t>three-pronged</w:t>
      </w:r>
      <w:r>
        <w:rPr>
          <w:spacing w:val="-7"/>
          <w:sz w:val="20"/>
        </w:rPr>
        <w:t> </w:t>
      </w:r>
      <w:r>
        <w:rPr>
          <w:sz w:val="20"/>
        </w:rPr>
        <w:t>strategy</w:t>
      </w:r>
      <w:r>
        <w:rPr>
          <w:spacing w:val="-7"/>
          <w:sz w:val="20"/>
        </w:rPr>
        <w:t> </w:t>
      </w:r>
      <w:r>
        <w:rPr>
          <w:sz w:val="20"/>
        </w:rPr>
        <w:t>that</w:t>
      </w:r>
      <w:r>
        <w:rPr>
          <w:spacing w:val="-11"/>
          <w:sz w:val="20"/>
        </w:rPr>
        <w:t> </w:t>
      </w:r>
      <w:r>
        <w:rPr>
          <w:sz w:val="20"/>
        </w:rPr>
        <w:t>involves</w:t>
      </w:r>
      <w:r>
        <w:rPr>
          <w:spacing w:val="-9"/>
          <w:sz w:val="20"/>
        </w:rPr>
        <w:t> </w:t>
      </w:r>
      <w:r>
        <w:rPr>
          <w:sz w:val="20"/>
        </w:rPr>
        <w:t>enhancing</w:t>
      </w:r>
      <w:r>
        <w:rPr>
          <w:spacing w:val="-7"/>
          <w:sz w:val="20"/>
        </w:rPr>
        <w:t> </w:t>
      </w:r>
      <w:r>
        <w:rPr>
          <w:sz w:val="20"/>
        </w:rPr>
        <w:t>the</w:t>
      </w:r>
      <w:r>
        <w:rPr>
          <w:spacing w:val="-6"/>
          <w:sz w:val="20"/>
        </w:rPr>
        <w:t> </w:t>
      </w:r>
      <w:r>
        <w:rPr>
          <w:sz w:val="20"/>
        </w:rPr>
        <w:t>professional</w:t>
      </w:r>
      <w:r>
        <w:rPr>
          <w:spacing w:val="-6"/>
          <w:sz w:val="20"/>
        </w:rPr>
        <w:t> </w:t>
      </w:r>
      <w:r>
        <w:rPr>
          <w:sz w:val="20"/>
        </w:rPr>
        <w:t>qualities</w:t>
      </w:r>
      <w:r>
        <w:rPr>
          <w:spacing w:val="-9"/>
          <w:sz w:val="20"/>
        </w:rPr>
        <w:t> </w:t>
      </w:r>
      <w:r>
        <w:rPr>
          <w:sz w:val="20"/>
        </w:rPr>
        <w:t>of</w:t>
      </w:r>
      <w:r>
        <w:rPr>
          <w:spacing w:val="-7"/>
          <w:sz w:val="20"/>
        </w:rPr>
        <w:t> </w:t>
      </w:r>
      <w:r>
        <w:rPr>
          <w:sz w:val="20"/>
        </w:rPr>
        <w:t>existing</w:t>
      </w:r>
      <w:r>
        <w:rPr>
          <w:spacing w:val="-7"/>
          <w:sz w:val="20"/>
        </w:rPr>
        <w:t> </w:t>
      </w:r>
      <w:r>
        <w:rPr>
          <w:sz w:val="20"/>
        </w:rPr>
        <w:t>key staff at the Secretariat, embedding expertise in communication and visibility at the TFV Secretariat and maximizing the TFV Board’s engagement in fundraising and public </w:t>
      </w:r>
      <w:r>
        <w:rPr>
          <w:spacing w:val="-2"/>
          <w:sz w:val="20"/>
        </w:rPr>
        <w:t>advocacy.</w:t>
      </w:r>
    </w:p>
    <w:p>
      <w:pPr>
        <w:pStyle w:val="ListParagraph"/>
        <w:numPr>
          <w:ilvl w:val="0"/>
          <w:numId w:val="4"/>
        </w:numPr>
        <w:tabs>
          <w:tab w:pos="2967" w:val="left" w:leader="none"/>
        </w:tabs>
        <w:spacing w:line="240" w:lineRule="auto" w:before="122" w:after="0"/>
        <w:ind w:left="2246" w:right="2242" w:firstLine="0"/>
        <w:jc w:val="both"/>
        <w:rPr>
          <w:sz w:val="20"/>
        </w:rPr>
      </w:pPr>
      <w:r>
        <w:rPr>
          <w:sz w:val="20"/>
        </w:rPr>
        <w:t>In 2022, the TFV has been developing fundraising and communication strategies reflecting</w:t>
      </w:r>
      <w:r>
        <w:rPr>
          <w:spacing w:val="-13"/>
          <w:sz w:val="20"/>
        </w:rPr>
        <w:t> </w:t>
      </w:r>
      <w:r>
        <w:rPr>
          <w:sz w:val="20"/>
        </w:rPr>
        <w:t>the</w:t>
      </w:r>
      <w:r>
        <w:rPr>
          <w:spacing w:val="-7"/>
          <w:sz w:val="20"/>
        </w:rPr>
        <w:t> </w:t>
      </w:r>
      <w:r>
        <w:rPr>
          <w:sz w:val="20"/>
        </w:rPr>
        <w:t>above</w:t>
      </w:r>
      <w:r>
        <w:rPr>
          <w:spacing w:val="-8"/>
          <w:sz w:val="20"/>
        </w:rPr>
        <w:t> </w:t>
      </w:r>
      <w:r>
        <w:rPr>
          <w:sz w:val="20"/>
        </w:rPr>
        <w:t>parameters.</w:t>
      </w:r>
      <w:r>
        <w:rPr>
          <w:spacing w:val="-7"/>
          <w:sz w:val="20"/>
        </w:rPr>
        <w:t> </w:t>
      </w:r>
      <w:r>
        <w:rPr>
          <w:sz w:val="20"/>
        </w:rPr>
        <w:t>The</w:t>
      </w:r>
      <w:r>
        <w:rPr>
          <w:spacing w:val="-8"/>
          <w:sz w:val="20"/>
        </w:rPr>
        <w:t> </w:t>
      </w:r>
      <w:r>
        <w:rPr>
          <w:sz w:val="20"/>
        </w:rPr>
        <w:t>core</w:t>
      </w:r>
      <w:r>
        <w:rPr>
          <w:spacing w:val="-8"/>
          <w:sz w:val="20"/>
        </w:rPr>
        <w:t> </w:t>
      </w:r>
      <w:r>
        <w:rPr>
          <w:sz w:val="20"/>
        </w:rPr>
        <w:t>of</w:t>
      </w:r>
      <w:r>
        <w:rPr>
          <w:spacing w:val="-9"/>
          <w:sz w:val="20"/>
        </w:rPr>
        <w:t> </w:t>
      </w:r>
      <w:r>
        <w:rPr>
          <w:sz w:val="20"/>
        </w:rPr>
        <w:t>the</w:t>
      </w:r>
      <w:r>
        <w:rPr>
          <w:spacing w:val="-8"/>
          <w:sz w:val="20"/>
        </w:rPr>
        <w:t> </w:t>
      </w:r>
      <w:r>
        <w:rPr>
          <w:sz w:val="20"/>
        </w:rPr>
        <w:t>fundraising</w:t>
      </w:r>
      <w:r>
        <w:rPr>
          <w:spacing w:val="-9"/>
          <w:sz w:val="20"/>
        </w:rPr>
        <w:t> </w:t>
      </w:r>
      <w:r>
        <w:rPr>
          <w:sz w:val="20"/>
        </w:rPr>
        <w:t>strategy</w:t>
      </w:r>
      <w:r>
        <w:rPr>
          <w:spacing w:val="-13"/>
          <w:sz w:val="20"/>
        </w:rPr>
        <w:t> </w:t>
      </w:r>
      <w:r>
        <w:rPr>
          <w:sz w:val="20"/>
        </w:rPr>
        <w:t>and</w:t>
      </w:r>
      <w:r>
        <w:rPr>
          <w:spacing w:val="-8"/>
          <w:sz w:val="20"/>
        </w:rPr>
        <w:t> </w:t>
      </w:r>
      <w:r>
        <w:rPr>
          <w:sz w:val="20"/>
        </w:rPr>
        <w:t>the</w:t>
      </w:r>
      <w:r>
        <w:rPr>
          <w:spacing w:val="-3"/>
          <w:sz w:val="20"/>
        </w:rPr>
        <w:t> </w:t>
      </w:r>
      <w:r>
        <w:rPr>
          <w:sz w:val="20"/>
        </w:rPr>
        <w:t>subsequent</w:t>
      </w:r>
      <w:r>
        <w:rPr>
          <w:spacing w:val="-8"/>
          <w:sz w:val="20"/>
        </w:rPr>
        <w:t> </w:t>
      </w:r>
      <w:r>
        <w:rPr>
          <w:sz w:val="20"/>
        </w:rPr>
        <w:t>plan of</w:t>
      </w:r>
      <w:r>
        <w:rPr>
          <w:spacing w:val="40"/>
          <w:sz w:val="20"/>
        </w:rPr>
        <w:t> </w:t>
      </w:r>
      <w:r>
        <w:rPr>
          <w:sz w:val="20"/>
        </w:rPr>
        <w:t>action</w:t>
      </w:r>
      <w:r>
        <w:rPr>
          <w:spacing w:val="40"/>
          <w:sz w:val="20"/>
        </w:rPr>
        <w:t> </w:t>
      </w:r>
      <w:r>
        <w:rPr>
          <w:sz w:val="20"/>
        </w:rPr>
        <w:t>will</w:t>
      </w:r>
      <w:r>
        <w:rPr>
          <w:spacing w:val="40"/>
          <w:sz w:val="20"/>
        </w:rPr>
        <w:t> </w:t>
      </w:r>
      <w:r>
        <w:rPr>
          <w:sz w:val="20"/>
        </w:rPr>
        <w:t>inform,</w:t>
      </w:r>
      <w:r>
        <w:rPr>
          <w:spacing w:val="40"/>
          <w:sz w:val="20"/>
        </w:rPr>
        <w:t> </w:t>
      </w:r>
      <w:r>
        <w:rPr>
          <w:sz w:val="20"/>
        </w:rPr>
        <w:t>and</w:t>
      </w:r>
      <w:r>
        <w:rPr>
          <w:spacing w:val="40"/>
          <w:sz w:val="20"/>
        </w:rPr>
        <w:t> </w:t>
      </w:r>
      <w:r>
        <w:rPr>
          <w:sz w:val="20"/>
        </w:rPr>
        <w:t>be</w:t>
      </w:r>
      <w:r>
        <w:rPr>
          <w:spacing w:val="40"/>
          <w:sz w:val="20"/>
        </w:rPr>
        <w:t> </w:t>
      </w:r>
      <w:r>
        <w:rPr>
          <w:sz w:val="20"/>
        </w:rPr>
        <w:t>reflected</w:t>
      </w:r>
      <w:r>
        <w:rPr>
          <w:spacing w:val="40"/>
          <w:sz w:val="20"/>
        </w:rPr>
        <w:t> </w:t>
      </w:r>
      <w:r>
        <w:rPr>
          <w:sz w:val="20"/>
        </w:rPr>
        <w:t>in,</w:t>
      </w:r>
      <w:r>
        <w:rPr>
          <w:spacing w:val="40"/>
          <w:sz w:val="20"/>
        </w:rPr>
        <w:t> </w:t>
      </w:r>
      <w:r>
        <w:rPr>
          <w:sz w:val="20"/>
        </w:rPr>
        <w:t>the</w:t>
      </w:r>
      <w:r>
        <w:rPr>
          <w:spacing w:val="40"/>
          <w:sz w:val="20"/>
        </w:rPr>
        <w:t> </w:t>
      </w:r>
      <w:r>
        <w:rPr>
          <w:sz w:val="20"/>
        </w:rPr>
        <w:t>Trust</w:t>
      </w:r>
      <w:r>
        <w:rPr>
          <w:spacing w:val="40"/>
          <w:sz w:val="20"/>
        </w:rPr>
        <w:t> </w:t>
      </w:r>
      <w:r>
        <w:rPr>
          <w:sz w:val="20"/>
        </w:rPr>
        <w:t>Fund</w:t>
      </w:r>
      <w:r>
        <w:rPr>
          <w:spacing w:val="40"/>
          <w:sz w:val="20"/>
        </w:rPr>
        <w:t> </w:t>
      </w:r>
      <w:r>
        <w:rPr>
          <w:sz w:val="20"/>
        </w:rPr>
        <w:t>for</w:t>
      </w:r>
      <w:r>
        <w:rPr>
          <w:spacing w:val="40"/>
          <w:sz w:val="20"/>
        </w:rPr>
        <w:t> </w:t>
      </w:r>
      <w:r>
        <w:rPr>
          <w:sz w:val="20"/>
        </w:rPr>
        <w:t>Victims</w:t>
      </w:r>
      <w:r>
        <w:rPr>
          <w:spacing w:val="40"/>
          <w:sz w:val="20"/>
        </w:rPr>
        <w:t> </w:t>
      </w:r>
      <w:r>
        <w:rPr>
          <w:sz w:val="20"/>
        </w:rPr>
        <w:t>Strategic</w:t>
      </w:r>
      <w:r>
        <w:rPr>
          <w:spacing w:val="40"/>
          <w:sz w:val="20"/>
        </w:rPr>
        <w:t> </w:t>
      </w:r>
      <w:r>
        <w:rPr>
          <w:sz w:val="20"/>
        </w:rPr>
        <w:t>Plan </w:t>
      </w:r>
      <w:r>
        <w:rPr>
          <w:spacing w:val="-2"/>
          <w:sz w:val="20"/>
        </w:rPr>
        <w:t>(2023-2025).</w:t>
      </w:r>
    </w:p>
    <w:p>
      <w:pPr>
        <w:pStyle w:val="BodyText"/>
        <w:spacing w:before="7"/>
      </w:pPr>
    </w:p>
    <w:p>
      <w:pPr>
        <w:pStyle w:val="Heading3"/>
        <w:jc w:val="both"/>
      </w:pPr>
      <w:r>
        <w:rPr/>
        <w:t>Context:</w:t>
      </w:r>
      <w:r>
        <w:rPr>
          <w:spacing w:val="-9"/>
        </w:rPr>
        <w:t> </w:t>
      </w:r>
      <w:r>
        <w:rPr/>
        <w:t>Review</w:t>
      </w:r>
      <w:r>
        <w:rPr>
          <w:spacing w:val="-10"/>
        </w:rPr>
        <w:t> </w:t>
      </w:r>
      <w:r>
        <w:rPr/>
        <w:t>Mechanism</w:t>
      </w:r>
      <w:r>
        <w:rPr>
          <w:spacing w:val="-4"/>
        </w:rPr>
        <w:t> </w:t>
      </w:r>
      <w:r>
        <w:rPr>
          <w:spacing w:val="-2"/>
        </w:rPr>
        <w:t>assessment</w:t>
      </w:r>
    </w:p>
    <w:p>
      <w:pPr>
        <w:pStyle w:val="BodyText"/>
        <w:spacing w:before="11"/>
        <w:rPr>
          <w:b/>
        </w:rPr>
      </w:pPr>
    </w:p>
    <w:p>
      <w:pPr>
        <w:pStyle w:val="ListParagraph"/>
        <w:numPr>
          <w:ilvl w:val="0"/>
          <w:numId w:val="4"/>
        </w:numPr>
        <w:tabs>
          <w:tab w:pos="2967" w:val="left" w:leader="none"/>
        </w:tabs>
        <w:spacing w:line="240" w:lineRule="auto" w:before="0" w:after="0"/>
        <w:ind w:left="2246" w:right="2246" w:firstLine="0"/>
        <w:jc w:val="both"/>
        <w:rPr>
          <w:sz w:val="20"/>
        </w:rPr>
      </w:pPr>
      <w:r>
        <w:rPr>
          <w:sz w:val="20"/>
        </w:rPr>
        <w:t>IER recommendations 352 to 358 were fully assessed at meetings held by the Review</w:t>
      </w:r>
      <w:r>
        <w:rPr>
          <w:spacing w:val="-13"/>
          <w:sz w:val="20"/>
        </w:rPr>
        <w:t> </w:t>
      </w:r>
      <w:r>
        <w:rPr>
          <w:sz w:val="20"/>
        </w:rPr>
        <w:t>Mechanism</w:t>
      </w:r>
      <w:r>
        <w:rPr>
          <w:spacing w:val="-12"/>
          <w:sz w:val="20"/>
        </w:rPr>
        <w:t> </w:t>
      </w:r>
      <w:r>
        <w:rPr>
          <w:sz w:val="20"/>
        </w:rPr>
        <w:t>in</w:t>
      </w:r>
      <w:r>
        <w:rPr>
          <w:spacing w:val="-13"/>
          <w:sz w:val="20"/>
        </w:rPr>
        <w:t> </w:t>
      </w:r>
      <w:r>
        <w:rPr>
          <w:sz w:val="20"/>
        </w:rPr>
        <w:t>October</w:t>
      </w:r>
      <w:r>
        <w:rPr>
          <w:spacing w:val="-12"/>
          <w:sz w:val="20"/>
        </w:rPr>
        <w:t> </w:t>
      </w:r>
      <w:r>
        <w:rPr>
          <w:sz w:val="20"/>
        </w:rPr>
        <w:t>2021</w:t>
      </w:r>
      <w:r>
        <w:rPr>
          <w:spacing w:val="-13"/>
          <w:sz w:val="20"/>
        </w:rPr>
        <w:t> </w:t>
      </w:r>
      <w:r>
        <w:rPr>
          <w:sz w:val="20"/>
        </w:rPr>
        <w:t>and</w:t>
      </w:r>
      <w:r>
        <w:rPr>
          <w:spacing w:val="-12"/>
          <w:sz w:val="20"/>
        </w:rPr>
        <w:t> </w:t>
      </w:r>
      <w:r>
        <w:rPr>
          <w:sz w:val="20"/>
        </w:rPr>
        <w:t>June</w:t>
      </w:r>
      <w:r>
        <w:rPr>
          <w:spacing w:val="-13"/>
          <w:sz w:val="20"/>
        </w:rPr>
        <w:t> </w:t>
      </w:r>
      <w:r>
        <w:rPr>
          <w:sz w:val="20"/>
        </w:rPr>
        <w:t>2022.</w:t>
      </w:r>
      <w:r>
        <w:rPr>
          <w:spacing w:val="-12"/>
          <w:sz w:val="20"/>
        </w:rPr>
        <w:t> </w:t>
      </w:r>
      <w:r>
        <w:rPr>
          <w:sz w:val="20"/>
        </w:rPr>
        <w:t>The</w:t>
      </w:r>
      <w:r>
        <w:rPr>
          <w:spacing w:val="-13"/>
          <w:sz w:val="20"/>
        </w:rPr>
        <w:t> </w:t>
      </w:r>
      <w:r>
        <w:rPr>
          <w:sz w:val="20"/>
        </w:rPr>
        <w:t>Trust</w:t>
      </w:r>
      <w:r>
        <w:rPr>
          <w:spacing w:val="-12"/>
          <w:sz w:val="20"/>
        </w:rPr>
        <w:t> </w:t>
      </w:r>
      <w:r>
        <w:rPr>
          <w:sz w:val="20"/>
        </w:rPr>
        <w:t>Fund</w:t>
      </w:r>
      <w:r>
        <w:rPr>
          <w:spacing w:val="-13"/>
          <w:sz w:val="20"/>
        </w:rPr>
        <w:t> </w:t>
      </w:r>
      <w:r>
        <w:rPr>
          <w:sz w:val="20"/>
        </w:rPr>
        <w:t>has</w:t>
      </w:r>
      <w:r>
        <w:rPr>
          <w:spacing w:val="-12"/>
          <w:sz w:val="20"/>
        </w:rPr>
        <w:t> </w:t>
      </w:r>
      <w:r>
        <w:rPr>
          <w:sz w:val="20"/>
        </w:rPr>
        <w:t>committed</w:t>
      </w:r>
      <w:r>
        <w:rPr>
          <w:spacing w:val="-13"/>
          <w:sz w:val="20"/>
        </w:rPr>
        <w:t> </w:t>
      </w:r>
      <w:r>
        <w:rPr>
          <w:sz w:val="20"/>
        </w:rPr>
        <w:t>to</w:t>
      </w:r>
      <w:r>
        <w:rPr>
          <w:spacing w:val="-12"/>
          <w:sz w:val="20"/>
        </w:rPr>
        <w:t> </w:t>
      </w:r>
      <w:r>
        <w:rPr>
          <w:sz w:val="20"/>
        </w:rPr>
        <w:t>several follow-up actions:</w:t>
      </w:r>
    </w:p>
    <w:p>
      <w:pPr>
        <w:pStyle w:val="ListParagraph"/>
        <w:numPr>
          <w:ilvl w:val="1"/>
          <w:numId w:val="4"/>
        </w:numPr>
        <w:tabs>
          <w:tab w:pos="3686" w:val="left" w:leader="none"/>
          <w:tab w:pos="3687" w:val="left" w:leader="none"/>
        </w:tabs>
        <w:spacing w:line="240" w:lineRule="auto" w:before="122" w:after="0"/>
        <w:ind w:left="2957" w:right="2248" w:firstLine="0"/>
        <w:jc w:val="both"/>
        <w:rPr>
          <w:sz w:val="20"/>
        </w:rPr>
      </w:pPr>
      <w:r>
        <w:rPr>
          <w:sz w:val="20"/>
        </w:rPr>
        <w:t>Publicize the Policy on Working Methods for comments, if any, from States Parties;</w:t>
      </w:r>
    </w:p>
    <w:p>
      <w:pPr>
        <w:pStyle w:val="ListParagraph"/>
        <w:numPr>
          <w:ilvl w:val="1"/>
          <w:numId w:val="4"/>
        </w:numPr>
        <w:tabs>
          <w:tab w:pos="3686" w:val="left" w:leader="none"/>
          <w:tab w:pos="3687" w:val="left" w:leader="none"/>
        </w:tabs>
        <w:spacing w:line="240" w:lineRule="auto" w:before="121" w:after="0"/>
        <w:ind w:left="3687" w:right="0" w:hanging="730"/>
        <w:jc w:val="both"/>
        <w:rPr>
          <w:sz w:val="20"/>
        </w:rPr>
      </w:pPr>
      <w:r>
        <w:rPr>
          <w:sz w:val="20"/>
        </w:rPr>
        <w:t>Develop</w:t>
      </w:r>
      <w:r>
        <w:rPr>
          <w:spacing w:val="-8"/>
          <w:sz w:val="20"/>
        </w:rPr>
        <w:t> </w:t>
      </w:r>
      <w:r>
        <w:rPr>
          <w:sz w:val="20"/>
        </w:rPr>
        <w:t>a</w:t>
      </w:r>
      <w:r>
        <w:rPr>
          <w:spacing w:val="-6"/>
          <w:sz w:val="20"/>
        </w:rPr>
        <w:t> </w:t>
      </w:r>
      <w:r>
        <w:rPr>
          <w:sz w:val="20"/>
        </w:rPr>
        <w:t>fundraising</w:t>
      </w:r>
      <w:r>
        <w:rPr>
          <w:spacing w:val="-4"/>
          <w:sz w:val="20"/>
        </w:rPr>
        <w:t> </w:t>
      </w:r>
      <w:r>
        <w:rPr>
          <w:sz w:val="20"/>
        </w:rPr>
        <w:t>strategy</w:t>
      </w:r>
      <w:r>
        <w:rPr>
          <w:spacing w:val="-3"/>
          <w:sz w:val="20"/>
        </w:rPr>
        <w:t> </w:t>
      </w:r>
      <w:r>
        <w:rPr>
          <w:sz w:val="20"/>
        </w:rPr>
        <w:t>for</w:t>
      </w:r>
      <w:r>
        <w:rPr>
          <w:spacing w:val="-8"/>
          <w:sz w:val="20"/>
        </w:rPr>
        <w:t> </w:t>
      </w:r>
      <w:r>
        <w:rPr>
          <w:sz w:val="20"/>
        </w:rPr>
        <w:t>consultation</w:t>
      </w:r>
      <w:r>
        <w:rPr>
          <w:spacing w:val="-8"/>
          <w:sz w:val="20"/>
        </w:rPr>
        <w:t> </w:t>
      </w:r>
      <w:r>
        <w:rPr>
          <w:sz w:val="20"/>
        </w:rPr>
        <w:t>with</w:t>
      </w:r>
      <w:r>
        <w:rPr>
          <w:spacing w:val="-8"/>
          <w:sz w:val="20"/>
        </w:rPr>
        <w:t> </w:t>
      </w:r>
      <w:r>
        <w:rPr>
          <w:sz w:val="20"/>
        </w:rPr>
        <w:t>States</w:t>
      </w:r>
      <w:r>
        <w:rPr>
          <w:spacing w:val="-8"/>
          <w:sz w:val="20"/>
        </w:rPr>
        <w:t> </w:t>
      </w:r>
      <w:r>
        <w:rPr>
          <w:spacing w:val="-2"/>
          <w:sz w:val="20"/>
        </w:rPr>
        <w:t>Parties;</w:t>
      </w:r>
    </w:p>
    <w:p>
      <w:pPr>
        <w:pStyle w:val="ListParagraph"/>
        <w:numPr>
          <w:ilvl w:val="1"/>
          <w:numId w:val="4"/>
        </w:numPr>
        <w:tabs>
          <w:tab w:pos="3686" w:val="left" w:leader="none"/>
          <w:tab w:pos="3687" w:val="left" w:leader="none"/>
        </w:tabs>
        <w:spacing w:line="240" w:lineRule="auto" w:before="120" w:after="0"/>
        <w:ind w:left="2957" w:right="2240" w:firstLine="0"/>
        <w:jc w:val="both"/>
        <w:rPr>
          <w:sz w:val="20"/>
        </w:rPr>
      </w:pPr>
      <w:r>
        <w:rPr>
          <w:sz w:val="20"/>
        </w:rPr>
        <w:t>Focus</w:t>
      </w:r>
      <w:r>
        <w:rPr>
          <w:spacing w:val="40"/>
          <w:sz w:val="20"/>
        </w:rPr>
        <w:t> </w:t>
      </w:r>
      <w:r>
        <w:rPr>
          <w:sz w:val="20"/>
        </w:rPr>
        <w:t>on</w:t>
      </w:r>
      <w:r>
        <w:rPr>
          <w:spacing w:val="40"/>
          <w:sz w:val="20"/>
        </w:rPr>
        <w:t> </w:t>
      </w:r>
      <w:r>
        <w:rPr>
          <w:sz w:val="20"/>
        </w:rPr>
        <w:t>improving</w:t>
      </w:r>
      <w:r>
        <w:rPr>
          <w:spacing w:val="40"/>
          <w:sz w:val="20"/>
        </w:rPr>
        <w:t> </w:t>
      </w:r>
      <w:r>
        <w:rPr>
          <w:sz w:val="20"/>
        </w:rPr>
        <w:t>the</w:t>
      </w:r>
      <w:r>
        <w:rPr>
          <w:spacing w:val="40"/>
          <w:sz w:val="20"/>
        </w:rPr>
        <w:t> </w:t>
      </w:r>
      <w:r>
        <w:rPr>
          <w:sz w:val="20"/>
        </w:rPr>
        <w:t>issues</w:t>
      </w:r>
      <w:r>
        <w:rPr>
          <w:spacing w:val="40"/>
          <w:sz w:val="20"/>
        </w:rPr>
        <w:t> </w:t>
      </w:r>
      <w:r>
        <w:rPr>
          <w:sz w:val="20"/>
        </w:rPr>
        <w:t>underlying</w:t>
      </w:r>
      <w:r>
        <w:rPr>
          <w:spacing w:val="40"/>
          <w:sz w:val="20"/>
        </w:rPr>
        <w:t> </w:t>
      </w:r>
      <w:r>
        <w:rPr>
          <w:sz w:val="20"/>
        </w:rPr>
        <w:t>IER</w:t>
      </w:r>
      <w:r>
        <w:rPr>
          <w:spacing w:val="40"/>
          <w:sz w:val="20"/>
        </w:rPr>
        <w:t> </w:t>
      </w:r>
      <w:r>
        <w:rPr>
          <w:sz w:val="20"/>
        </w:rPr>
        <w:t>recommendations</w:t>
      </w:r>
      <w:r>
        <w:rPr>
          <w:spacing w:val="40"/>
          <w:sz w:val="20"/>
        </w:rPr>
        <w:t> </w:t>
      </w:r>
      <w:r>
        <w:rPr>
          <w:sz w:val="20"/>
        </w:rPr>
        <w:t>354 and</w:t>
      </w:r>
      <w:r>
        <w:rPr>
          <w:spacing w:val="-3"/>
          <w:sz w:val="20"/>
        </w:rPr>
        <w:t> </w:t>
      </w:r>
      <w:r>
        <w:rPr>
          <w:sz w:val="20"/>
        </w:rPr>
        <w:t>358 and report to the forthcoming Assembly (increasing efficiency and effectiveness of the TFV’s organization being one main consideration relating to those recommendations);</w:t>
      </w:r>
    </w:p>
    <w:p>
      <w:pPr>
        <w:pStyle w:val="ListParagraph"/>
        <w:numPr>
          <w:ilvl w:val="1"/>
          <w:numId w:val="4"/>
        </w:numPr>
        <w:tabs>
          <w:tab w:pos="3686" w:val="left" w:leader="none"/>
          <w:tab w:pos="3687" w:val="left" w:leader="none"/>
        </w:tabs>
        <w:spacing w:line="240" w:lineRule="auto" w:before="117" w:after="0"/>
        <w:ind w:left="2957" w:right="2250" w:firstLine="0"/>
        <w:jc w:val="both"/>
        <w:rPr>
          <w:sz w:val="20"/>
        </w:rPr>
      </w:pPr>
      <w:r>
        <w:rPr>
          <w:sz w:val="20"/>
        </w:rPr>
        <w:t>By 1 October 2022, report to the Review Mechanism on progress on the Policy on Working Methods and related governance matters;</w:t>
      </w:r>
    </w:p>
    <w:p>
      <w:pPr>
        <w:pStyle w:val="ListParagraph"/>
        <w:numPr>
          <w:ilvl w:val="1"/>
          <w:numId w:val="4"/>
        </w:numPr>
        <w:tabs>
          <w:tab w:pos="3686" w:val="left" w:leader="none"/>
          <w:tab w:pos="3687" w:val="left" w:leader="none"/>
        </w:tabs>
        <w:spacing w:line="240" w:lineRule="auto" w:before="121" w:after="0"/>
        <w:ind w:left="2957" w:right="2246" w:firstLine="0"/>
        <w:jc w:val="both"/>
        <w:rPr>
          <w:sz w:val="20"/>
        </w:rPr>
      </w:pPr>
      <w:r>
        <w:rPr>
          <w:sz w:val="20"/>
        </w:rPr>
        <w:t>Work</w:t>
      </w:r>
      <w:r>
        <w:rPr>
          <w:spacing w:val="-5"/>
          <w:sz w:val="20"/>
        </w:rPr>
        <w:t> </w:t>
      </w:r>
      <w:r>
        <w:rPr>
          <w:sz w:val="20"/>
        </w:rPr>
        <w:t>with</w:t>
      </w:r>
      <w:r>
        <w:rPr>
          <w:spacing w:val="-9"/>
          <w:sz w:val="20"/>
        </w:rPr>
        <w:t> </w:t>
      </w:r>
      <w:r>
        <w:rPr>
          <w:sz w:val="20"/>
        </w:rPr>
        <w:t>the</w:t>
      </w:r>
      <w:r>
        <w:rPr>
          <w:spacing w:val="-3"/>
          <w:sz w:val="20"/>
        </w:rPr>
        <w:t> </w:t>
      </w:r>
      <w:r>
        <w:rPr>
          <w:sz w:val="20"/>
        </w:rPr>
        <w:t>Registry</w:t>
      </w:r>
      <w:r>
        <w:rPr>
          <w:spacing w:val="-5"/>
          <w:sz w:val="20"/>
        </w:rPr>
        <w:t> </w:t>
      </w:r>
      <w:r>
        <w:rPr>
          <w:sz w:val="20"/>
        </w:rPr>
        <w:t>on</w:t>
      </w:r>
      <w:r>
        <w:rPr>
          <w:spacing w:val="-9"/>
          <w:sz w:val="20"/>
        </w:rPr>
        <w:t> </w:t>
      </w:r>
      <w:r>
        <w:rPr>
          <w:sz w:val="20"/>
        </w:rPr>
        <w:t>enhancing</w:t>
      </w:r>
      <w:r>
        <w:rPr>
          <w:spacing w:val="-9"/>
          <w:sz w:val="20"/>
        </w:rPr>
        <w:t> </w:t>
      </w:r>
      <w:r>
        <w:rPr>
          <w:sz w:val="20"/>
        </w:rPr>
        <w:t>coordination,</w:t>
      </w:r>
      <w:r>
        <w:rPr>
          <w:spacing w:val="-2"/>
          <w:sz w:val="20"/>
        </w:rPr>
        <w:t> </w:t>
      </w:r>
      <w:r>
        <w:rPr>
          <w:sz w:val="20"/>
        </w:rPr>
        <w:t>as</w:t>
      </w:r>
      <w:r>
        <w:rPr>
          <w:spacing w:val="-11"/>
          <w:sz w:val="20"/>
        </w:rPr>
        <w:t> </w:t>
      </w:r>
      <w:r>
        <w:rPr>
          <w:sz w:val="20"/>
        </w:rPr>
        <w:t>outlined</w:t>
      </w:r>
      <w:r>
        <w:rPr>
          <w:spacing w:val="-5"/>
          <w:sz w:val="20"/>
        </w:rPr>
        <w:t> </w:t>
      </w:r>
      <w:r>
        <w:rPr>
          <w:sz w:val="20"/>
        </w:rPr>
        <w:t>in</w:t>
      </w:r>
      <w:r>
        <w:rPr>
          <w:spacing w:val="-9"/>
          <w:sz w:val="20"/>
        </w:rPr>
        <w:t> </w:t>
      </w:r>
      <w:r>
        <w:rPr>
          <w:sz w:val="20"/>
        </w:rPr>
        <w:t>the</w:t>
      </w:r>
      <w:r>
        <w:rPr>
          <w:spacing w:val="-8"/>
          <w:sz w:val="20"/>
        </w:rPr>
        <w:t> </w:t>
      </w:r>
      <w:r>
        <w:rPr>
          <w:sz w:val="20"/>
        </w:rPr>
        <w:t>TFV assessment of June 2022 submitted to the Review Mechanism; and</w:t>
      </w:r>
    </w:p>
    <w:p>
      <w:pPr>
        <w:pStyle w:val="ListParagraph"/>
        <w:numPr>
          <w:ilvl w:val="1"/>
          <w:numId w:val="4"/>
        </w:numPr>
        <w:tabs>
          <w:tab w:pos="3686" w:val="left" w:leader="none"/>
          <w:tab w:pos="3687" w:val="left" w:leader="none"/>
        </w:tabs>
        <w:spacing w:line="240" w:lineRule="auto" w:before="121" w:after="0"/>
        <w:ind w:left="2957" w:right="2247" w:firstLine="0"/>
        <w:jc w:val="both"/>
        <w:rPr>
          <w:sz w:val="20"/>
        </w:rPr>
      </w:pPr>
      <w:r>
        <w:rPr>
          <w:sz w:val="20"/>
        </w:rPr>
        <w:t>Call</w:t>
      </w:r>
      <w:r>
        <w:rPr>
          <w:spacing w:val="-2"/>
          <w:sz w:val="20"/>
        </w:rPr>
        <w:t> </w:t>
      </w:r>
      <w:r>
        <w:rPr>
          <w:sz w:val="20"/>
        </w:rPr>
        <w:t>a</w:t>
      </w:r>
      <w:r>
        <w:rPr>
          <w:spacing w:val="-7"/>
          <w:sz w:val="20"/>
        </w:rPr>
        <w:t> </w:t>
      </w:r>
      <w:r>
        <w:rPr>
          <w:sz w:val="20"/>
        </w:rPr>
        <w:t>round</w:t>
      </w:r>
      <w:r>
        <w:rPr>
          <w:spacing w:val="-8"/>
          <w:sz w:val="20"/>
        </w:rPr>
        <w:t> </w:t>
      </w:r>
      <w:r>
        <w:rPr>
          <w:sz w:val="20"/>
        </w:rPr>
        <w:t>table</w:t>
      </w:r>
      <w:r>
        <w:rPr>
          <w:spacing w:val="-7"/>
          <w:sz w:val="20"/>
        </w:rPr>
        <w:t> </w:t>
      </w:r>
      <w:r>
        <w:rPr>
          <w:sz w:val="20"/>
        </w:rPr>
        <w:t>with</w:t>
      </w:r>
      <w:r>
        <w:rPr>
          <w:spacing w:val="-4"/>
          <w:sz w:val="20"/>
        </w:rPr>
        <w:t> </w:t>
      </w:r>
      <w:r>
        <w:rPr>
          <w:sz w:val="20"/>
        </w:rPr>
        <w:t>all</w:t>
      </w:r>
      <w:r>
        <w:rPr>
          <w:spacing w:val="-2"/>
          <w:sz w:val="20"/>
        </w:rPr>
        <w:t> </w:t>
      </w:r>
      <w:r>
        <w:rPr>
          <w:sz w:val="20"/>
        </w:rPr>
        <w:t>stakeholders</w:t>
      </w:r>
      <w:r>
        <w:rPr>
          <w:spacing w:val="-5"/>
          <w:sz w:val="20"/>
        </w:rPr>
        <w:t> </w:t>
      </w:r>
      <w:r>
        <w:rPr>
          <w:sz w:val="20"/>
        </w:rPr>
        <w:t>once</w:t>
      </w:r>
      <w:r>
        <w:rPr>
          <w:spacing w:val="-2"/>
          <w:sz w:val="20"/>
        </w:rPr>
        <w:t> </w:t>
      </w:r>
      <w:r>
        <w:rPr>
          <w:sz w:val="20"/>
        </w:rPr>
        <w:t>a</w:t>
      </w:r>
      <w:r>
        <w:rPr>
          <w:spacing w:val="-7"/>
          <w:sz w:val="20"/>
        </w:rPr>
        <w:t> </w:t>
      </w:r>
      <w:r>
        <w:rPr>
          <w:sz w:val="20"/>
        </w:rPr>
        <w:t>new</w:t>
      </w:r>
      <w:r>
        <w:rPr>
          <w:spacing w:val="-10"/>
          <w:sz w:val="20"/>
        </w:rPr>
        <w:t> </w:t>
      </w:r>
      <w:r>
        <w:rPr>
          <w:sz w:val="20"/>
        </w:rPr>
        <w:t>Executive</w:t>
      </w:r>
      <w:r>
        <w:rPr>
          <w:spacing w:val="-7"/>
          <w:sz w:val="20"/>
        </w:rPr>
        <w:t> </w:t>
      </w:r>
      <w:r>
        <w:rPr>
          <w:sz w:val="20"/>
        </w:rPr>
        <w:t>Director</w:t>
      </w:r>
      <w:r>
        <w:rPr>
          <w:spacing w:val="-8"/>
          <w:sz w:val="20"/>
        </w:rPr>
        <w:t> </w:t>
      </w:r>
      <w:r>
        <w:rPr>
          <w:sz w:val="20"/>
        </w:rPr>
        <w:t>has started his or her work.</w:t>
      </w:r>
    </w:p>
    <w:p>
      <w:pPr>
        <w:spacing w:after="0" w:line="240" w:lineRule="auto"/>
        <w:jc w:val="both"/>
        <w:rPr>
          <w:sz w:val="20"/>
        </w:rPr>
        <w:sectPr>
          <w:pgSz w:w="11910" w:h="16840"/>
          <w:pgMar w:header="957" w:footer="940" w:top="1140" w:bottom="1140" w:left="20" w:right="20"/>
        </w:sectPr>
      </w:pPr>
    </w:p>
    <w:p>
      <w:pPr>
        <w:pStyle w:val="ListParagraph"/>
        <w:numPr>
          <w:ilvl w:val="0"/>
          <w:numId w:val="4"/>
        </w:numPr>
        <w:tabs>
          <w:tab w:pos="2967" w:val="left" w:leader="none"/>
        </w:tabs>
        <w:spacing w:line="240" w:lineRule="auto" w:before="124" w:after="0"/>
        <w:ind w:left="2246" w:right="2246" w:firstLine="0"/>
        <w:jc w:val="both"/>
        <w:rPr>
          <w:sz w:val="20"/>
        </w:rPr>
      </w:pPr>
      <w:r>
        <w:rPr>
          <w:sz w:val="20"/>
        </w:rPr>
        <w:t>The</w:t>
      </w:r>
      <w:r>
        <w:rPr>
          <w:spacing w:val="-8"/>
          <w:sz w:val="20"/>
        </w:rPr>
        <w:t> </w:t>
      </w:r>
      <w:r>
        <w:rPr>
          <w:sz w:val="20"/>
        </w:rPr>
        <w:t>Trust</w:t>
      </w:r>
      <w:r>
        <w:rPr>
          <w:spacing w:val="-8"/>
          <w:sz w:val="20"/>
        </w:rPr>
        <w:t> </w:t>
      </w:r>
      <w:r>
        <w:rPr>
          <w:sz w:val="20"/>
        </w:rPr>
        <w:t>Fund’s</w:t>
      </w:r>
      <w:r>
        <w:rPr>
          <w:spacing w:val="-6"/>
          <w:sz w:val="20"/>
        </w:rPr>
        <w:t> </w:t>
      </w:r>
      <w:r>
        <w:rPr>
          <w:sz w:val="20"/>
        </w:rPr>
        <w:t>strategies</w:t>
      </w:r>
      <w:r>
        <w:rPr>
          <w:spacing w:val="-10"/>
          <w:sz w:val="20"/>
        </w:rPr>
        <w:t> </w:t>
      </w:r>
      <w:r>
        <w:rPr>
          <w:sz w:val="20"/>
        </w:rPr>
        <w:t>for</w:t>
      </w:r>
      <w:r>
        <w:rPr>
          <w:spacing w:val="-9"/>
          <w:sz w:val="20"/>
        </w:rPr>
        <w:t> </w:t>
      </w:r>
      <w:r>
        <w:rPr>
          <w:sz w:val="20"/>
        </w:rPr>
        <w:t>2023</w:t>
      </w:r>
      <w:r>
        <w:rPr>
          <w:spacing w:val="-9"/>
          <w:sz w:val="20"/>
        </w:rPr>
        <w:t> </w:t>
      </w:r>
      <w:r>
        <w:rPr>
          <w:sz w:val="20"/>
        </w:rPr>
        <w:t>fully</w:t>
      </w:r>
      <w:r>
        <w:rPr>
          <w:spacing w:val="-9"/>
          <w:sz w:val="20"/>
        </w:rPr>
        <w:t> </w:t>
      </w:r>
      <w:r>
        <w:rPr>
          <w:sz w:val="20"/>
        </w:rPr>
        <w:t>take</w:t>
      </w:r>
      <w:r>
        <w:rPr>
          <w:spacing w:val="-8"/>
          <w:sz w:val="20"/>
        </w:rPr>
        <w:t> </w:t>
      </w:r>
      <w:r>
        <w:rPr>
          <w:sz w:val="20"/>
        </w:rPr>
        <w:t>into</w:t>
      </w:r>
      <w:r>
        <w:rPr>
          <w:spacing w:val="-9"/>
          <w:sz w:val="20"/>
        </w:rPr>
        <w:t> </w:t>
      </w:r>
      <w:r>
        <w:rPr>
          <w:sz w:val="20"/>
        </w:rPr>
        <w:t>account</w:t>
      </w:r>
      <w:r>
        <w:rPr>
          <w:spacing w:val="-8"/>
          <w:sz w:val="20"/>
        </w:rPr>
        <w:t> </w:t>
      </w:r>
      <w:r>
        <w:rPr>
          <w:sz w:val="20"/>
        </w:rPr>
        <w:t>the</w:t>
      </w:r>
      <w:r>
        <w:rPr>
          <w:spacing w:val="-8"/>
          <w:sz w:val="20"/>
        </w:rPr>
        <w:t> </w:t>
      </w:r>
      <w:r>
        <w:rPr>
          <w:sz w:val="20"/>
        </w:rPr>
        <w:t>actions</w:t>
      </w:r>
      <w:r>
        <w:rPr>
          <w:spacing w:val="-6"/>
          <w:sz w:val="20"/>
        </w:rPr>
        <w:t> </w:t>
      </w:r>
      <w:r>
        <w:rPr>
          <w:sz w:val="20"/>
        </w:rPr>
        <w:t>agreed</w:t>
      </w:r>
      <w:r>
        <w:rPr>
          <w:spacing w:val="-9"/>
          <w:sz w:val="20"/>
        </w:rPr>
        <w:t> </w:t>
      </w:r>
      <w:r>
        <w:rPr>
          <w:sz w:val="20"/>
        </w:rPr>
        <w:t>on</w:t>
      </w:r>
      <w:r>
        <w:rPr>
          <w:spacing w:val="-9"/>
          <w:sz w:val="20"/>
        </w:rPr>
        <w:t> </w:t>
      </w:r>
      <w:r>
        <w:rPr>
          <w:sz w:val="20"/>
        </w:rPr>
        <w:t>in the Review Mechanism process.</w:t>
      </w:r>
    </w:p>
    <w:p>
      <w:pPr>
        <w:pStyle w:val="BodyText"/>
        <w:spacing w:before="11"/>
      </w:pPr>
    </w:p>
    <w:p>
      <w:pPr>
        <w:pStyle w:val="Heading3"/>
        <w:jc w:val="both"/>
      </w:pPr>
      <w:r>
        <w:rPr/>
        <w:t>Highest</w:t>
      </w:r>
      <w:r>
        <w:rPr>
          <w:spacing w:val="-8"/>
        </w:rPr>
        <w:t> </w:t>
      </w:r>
      <w:r>
        <w:rPr/>
        <w:t>priorities</w:t>
      </w:r>
      <w:r>
        <w:rPr>
          <w:spacing w:val="-6"/>
        </w:rPr>
        <w:t> </w:t>
      </w:r>
      <w:r>
        <w:rPr/>
        <w:t>for</w:t>
      </w:r>
      <w:r>
        <w:rPr>
          <w:spacing w:val="-7"/>
        </w:rPr>
        <w:t> </w:t>
      </w:r>
      <w:r>
        <w:rPr>
          <w:spacing w:val="-4"/>
        </w:rPr>
        <w:t>2023</w:t>
      </w:r>
    </w:p>
    <w:p>
      <w:pPr>
        <w:pStyle w:val="BodyText"/>
        <w:rPr>
          <w:b/>
          <w:sz w:val="21"/>
        </w:rPr>
      </w:pPr>
    </w:p>
    <w:p>
      <w:pPr>
        <w:pStyle w:val="ListParagraph"/>
        <w:numPr>
          <w:ilvl w:val="0"/>
          <w:numId w:val="4"/>
        </w:numPr>
        <w:tabs>
          <w:tab w:pos="2967" w:val="left" w:leader="none"/>
        </w:tabs>
        <w:spacing w:line="240" w:lineRule="auto" w:before="0" w:after="0"/>
        <w:ind w:left="2246" w:right="2243" w:firstLine="0"/>
        <w:jc w:val="both"/>
        <w:rPr>
          <w:sz w:val="20"/>
        </w:rPr>
      </w:pPr>
      <w:r>
        <w:rPr>
          <w:sz w:val="20"/>
        </w:rPr>
        <w:t>Activities</w:t>
      </w:r>
      <w:r>
        <w:rPr>
          <w:spacing w:val="-1"/>
          <w:sz w:val="20"/>
        </w:rPr>
        <w:t> </w:t>
      </w:r>
      <w:r>
        <w:rPr>
          <w:sz w:val="20"/>
        </w:rPr>
        <w:t>related to resource development and visibility as</w:t>
      </w:r>
      <w:r>
        <w:rPr>
          <w:spacing w:val="-6"/>
          <w:sz w:val="20"/>
        </w:rPr>
        <w:t> </w:t>
      </w:r>
      <w:r>
        <w:rPr>
          <w:sz w:val="20"/>
        </w:rPr>
        <w:t>well</w:t>
      </w:r>
      <w:r>
        <w:rPr>
          <w:spacing w:val="-3"/>
          <w:sz w:val="20"/>
        </w:rPr>
        <w:t> </w:t>
      </w:r>
      <w:r>
        <w:rPr>
          <w:sz w:val="20"/>
        </w:rPr>
        <w:t>as</w:t>
      </w:r>
      <w:r>
        <w:rPr>
          <w:spacing w:val="-1"/>
          <w:sz w:val="20"/>
        </w:rPr>
        <w:t> </w:t>
      </w:r>
      <w:r>
        <w:rPr>
          <w:sz w:val="20"/>
        </w:rPr>
        <w:t>implementation of reparations will be of the highest priority for the Secretariat in 2023. In addition, on the basis of the outcome of the Review Mechanism’s assessment of IER recommendations for the TFV, improving operational expertise, internal organization and governance also needs to be addressed as a matter of high priority. By focusing on these activities, it is expected that,</w:t>
      </w:r>
      <w:r>
        <w:rPr>
          <w:spacing w:val="-8"/>
          <w:sz w:val="20"/>
        </w:rPr>
        <w:t> </w:t>
      </w:r>
      <w:r>
        <w:rPr>
          <w:sz w:val="20"/>
        </w:rPr>
        <w:t>on</w:t>
      </w:r>
      <w:r>
        <w:rPr>
          <w:spacing w:val="-13"/>
          <w:sz w:val="20"/>
        </w:rPr>
        <w:t> </w:t>
      </w:r>
      <w:r>
        <w:rPr>
          <w:sz w:val="20"/>
        </w:rPr>
        <w:t>the</w:t>
      </w:r>
      <w:r>
        <w:rPr>
          <w:spacing w:val="-8"/>
          <w:sz w:val="20"/>
        </w:rPr>
        <w:t> </w:t>
      </w:r>
      <w:r>
        <w:rPr>
          <w:sz w:val="20"/>
        </w:rPr>
        <w:t>one</w:t>
      </w:r>
      <w:r>
        <w:rPr>
          <w:spacing w:val="-8"/>
          <w:sz w:val="20"/>
        </w:rPr>
        <w:t> </w:t>
      </w:r>
      <w:r>
        <w:rPr>
          <w:sz w:val="20"/>
        </w:rPr>
        <w:t>hand,</w:t>
      </w:r>
      <w:r>
        <w:rPr>
          <w:spacing w:val="-7"/>
          <w:sz w:val="20"/>
        </w:rPr>
        <w:t> </w:t>
      </w:r>
      <w:r>
        <w:rPr>
          <w:sz w:val="20"/>
        </w:rPr>
        <w:t>further</w:t>
      </w:r>
      <w:r>
        <w:rPr>
          <w:spacing w:val="-9"/>
          <w:sz w:val="20"/>
        </w:rPr>
        <w:t> </w:t>
      </w:r>
      <w:r>
        <w:rPr>
          <w:sz w:val="20"/>
        </w:rPr>
        <w:t>synergies</w:t>
      </w:r>
      <w:r>
        <w:rPr>
          <w:spacing w:val="-11"/>
          <w:sz w:val="20"/>
        </w:rPr>
        <w:t> </w:t>
      </w:r>
      <w:r>
        <w:rPr>
          <w:sz w:val="20"/>
        </w:rPr>
        <w:t>and</w:t>
      </w:r>
      <w:r>
        <w:rPr>
          <w:spacing w:val="-9"/>
          <w:sz w:val="20"/>
        </w:rPr>
        <w:t> </w:t>
      </w:r>
      <w:r>
        <w:rPr>
          <w:sz w:val="20"/>
        </w:rPr>
        <w:t>savings</w:t>
      </w:r>
      <w:r>
        <w:rPr>
          <w:spacing w:val="-6"/>
          <w:sz w:val="20"/>
        </w:rPr>
        <w:t> </w:t>
      </w:r>
      <w:r>
        <w:rPr>
          <w:sz w:val="20"/>
        </w:rPr>
        <w:t>will</w:t>
      </w:r>
      <w:r>
        <w:rPr>
          <w:spacing w:val="-8"/>
          <w:sz w:val="20"/>
        </w:rPr>
        <w:t> </w:t>
      </w:r>
      <w:r>
        <w:rPr>
          <w:sz w:val="20"/>
        </w:rPr>
        <w:t>be</w:t>
      </w:r>
      <w:r>
        <w:rPr>
          <w:spacing w:val="-8"/>
          <w:sz w:val="20"/>
        </w:rPr>
        <w:t> </w:t>
      </w:r>
      <w:r>
        <w:rPr>
          <w:sz w:val="20"/>
        </w:rPr>
        <w:t>generated,</w:t>
      </w:r>
      <w:r>
        <w:rPr>
          <w:spacing w:val="-7"/>
          <w:sz w:val="20"/>
        </w:rPr>
        <w:t> </w:t>
      </w:r>
      <w:r>
        <w:rPr>
          <w:sz w:val="20"/>
        </w:rPr>
        <w:t>and,</w:t>
      </w:r>
      <w:r>
        <w:rPr>
          <w:spacing w:val="-7"/>
          <w:sz w:val="20"/>
        </w:rPr>
        <w:t> </w:t>
      </w:r>
      <w:r>
        <w:rPr>
          <w:sz w:val="20"/>
        </w:rPr>
        <w:t>on</w:t>
      </w:r>
      <w:r>
        <w:rPr>
          <w:spacing w:val="-9"/>
          <w:sz w:val="20"/>
        </w:rPr>
        <w:t> </w:t>
      </w:r>
      <w:r>
        <w:rPr>
          <w:sz w:val="20"/>
        </w:rPr>
        <w:t>the</w:t>
      </w:r>
      <w:r>
        <w:rPr>
          <w:spacing w:val="-8"/>
          <w:sz w:val="20"/>
        </w:rPr>
        <w:t> </w:t>
      </w:r>
      <w:r>
        <w:rPr>
          <w:sz w:val="20"/>
        </w:rPr>
        <w:t>other</w:t>
      </w:r>
      <w:r>
        <w:rPr>
          <w:spacing w:val="-9"/>
          <w:sz w:val="20"/>
        </w:rPr>
        <w:t> </w:t>
      </w:r>
      <w:r>
        <w:rPr>
          <w:sz w:val="20"/>
        </w:rPr>
        <w:t>hand, the TFV will be able to handle further increases in workload as of 2023, which will require additional budgetary resources.</w:t>
      </w:r>
    </w:p>
    <w:p>
      <w:pPr>
        <w:pStyle w:val="ListParagraph"/>
        <w:numPr>
          <w:ilvl w:val="0"/>
          <w:numId w:val="4"/>
        </w:numPr>
        <w:tabs>
          <w:tab w:pos="2967" w:val="left" w:leader="none"/>
        </w:tabs>
        <w:spacing w:line="240" w:lineRule="auto" w:before="119" w:after="0"/>
        <w:ind w:left="2246" w:right="2240" w:firstLine="0"/>
        <w:jc w:val="both"/>
        <w:rPr>
          <w:sz w:val="20"/>
        </w:rPr>
      </w:pPr>
      <w:r>
        <w:rPr>
          <w:i/>
          <w:sz w:val="20"/>
        </w:rPr>
        <w:t>Resource development and visibility</w:t>
      </w:r>
      <w:r>
        <w:rPr>
          <w:sz w:val="20"/>
        </w:rPr>
        <w:t>. The current total funding needs of the Trust Fund’s programmes</w:t>
      </w:r>
      <w:r>
        <w:rPr>
          <w:spacing w:val="-1"/>
          <w:sz w:val="20"/>
        </w:rPr>
        <w:t> </w:t>
      </w:r>
      <w:r>
        <w:rPr>
          <w:sz w:val="20"/>
        </w:rPr>
        <w:t>are significant. Most pressing is</w:t>
      </w:r>
      <w:r>
        <w:rPr>
          <w:spacing w:val="-1"/>
          <w:sz w:val="20"/>
        </w:rPr>
        <w:t> </w:t>
      </w:r>
      <w:r>
        <w:rPr>
          <w:sz w:val="20"/>
        </w:rPr>
        <w:t>the need to find the means to continue the ongoing </w:t>
      </w:r>
      <w:r>
        <w:rPr>
          <w:i/>
          <w:sz w:val="20"/>
        </w:rPr>
        <w:t>Lubanga </w:t>
      </w:r>
      <w:r>
        <w:rPr>
          <w:sz w:val="20"/>
        </w:rPr>
        <w:t>programme into a third contract year in 2023 and the upcoming </w:t>
      </w:r>
      <w:r>
        <w:rPr>
          <w:i/>
          <w:sz w:val="20"/>
        </w:rPr>
        <w:t>Ntaganda </w:t>
      </w:r>
      <w:r>
        <w:rPr>
          <w:sz w:val="20"/>
        </w:rPr>
        <w:t>programme, which needs</w:t>
      </w:r>
      <w:r>
        <w:rPr>
          <w:spacing w:val="-1"/>
          <w:sz w:val="20"/>
        </w:rPr>
        <w:t> </w:t>
      </w:r>
      <w:r>
        <w:rPr>
          <w:sz w:val="20"/>
        </w:rPr>
        <w:t>to be developed</w:t>
      </w:r>
      <w:r>
        <w:rPr>
          <w:spacing w:val="-4"/>
          <w:sz w:val="20"/>
        </w:rPr>
        <w:t> </w:t>
      </w:r>
      <w:r>
        <w:rPr>
          <w:sz w:val="20"/>
        </w:rPr>
        <w:t>in 2023</w:t>
      </w:r>
      <w:r>
        <w:rPr>
          <w:spacing w:val="-4"/>
          <w:sz w:val="20"/>
        </w:rPr>
        <w:t> </w:t>
      </w:r>
      <w:r>
        <w:rPr>
          <w:sz w:val="20"/>
        </w:rPr>
        <w:t>and,</w:t>
      </w:r>
      <w:r>
        <w:rPr>
          <w:spacing w:val="-2"/>
          <w:sz w:val="20"/>
        </w:rPr>
        <w:t> </w:t>
      </w:r>
      <w:r>
        <w:rPr>
          <w:sz w:val="20"/>
        </w:rPr>
        <w:t>ideally, will require funds for the</w:t>
      </w:r>
      <w:r>
        <w:rPr>
          <w:spacing w:val="-3"/>
          <w:sz w:val="20"/>
        </w:rPr>
        <w:t> </w:t>
      </w:r>
      <w:r>
        <w:rPr>
          <w:sz w:val="20"/>
        </w:rPr>
        <w:t>first</w:t>
      </w:r>
      <w:r>
        <w:rPr>
          <w:spacing w:val="-3"/>
          <w:sz w:val="20"/>
        </w:rPr>
        <w:t> </w:t>
      </w:r>
      <w:r>
        <w:rPr>
          <w:sz w:val="20"/>
        </w:rPr>
        <w:t>two</w:t>
      </w:r>
      <w:r>
        <w:rPr>
          <w:spacing w:val="-5"/>
          <w:sz w:val="20"/>
        </w:rPr>
        <w:t> </w:t>
      </w:r>
      <w:r>
        <w:rPr>
          <w:sz w:val="20"/>
        </w:rPr>
        <w:t>contract</w:t>
      </w:r>
      <w:r>
        <w:rPr>
          <w:spacing w:val="-3"/>
          <w:sz w:val="20"/>
        </w:rPr>
        <w:t> </w:t>
      </w:r>
      <w:r>
        <w:rPr>
          <w:sz w:val="20"/>
        </w:rPr>
        <w:t>years.</w:t>
      </w:r>
      <w:r>
        <w:rPr>
          <w:spacing w:val="-2"/>
          <w:sz w:val="20"/>
        </w:rPr>
        <w:t> </w:t>
      </w:r>
      <w:r>
        <w:rPr>
          <w:sz w:val="20"/>
        </w:rPr>
        <w:t>The</w:t>
      </w:r>
      <w:r>
        <w:rPr>
          <w:spacing w:val="-3"/>
          <w:sz w:val="20"/>
        </w:rPr>
        <w:t> </w:t>
      </w:r>
      <w:r>
        <w:rPr>
          <w:sz w:val="20"/>
        </w:rPr>
        <w:t>value of</w:t>
      </w:r>
      <w:r>
        <w:rPr>
          <w:spacing w:val="-5"/>
          <w:sz w:val="20"/>
        </w:rPr>
        <w:t> </w:t>
      </w:r>
      <w:r>
        <w:rPr>
          <w:sz w:val="20"/>
        </w:rPr>
        <w:t>the</w:t>
      </w:r>
      <w:r>
        <w:rPr>
          <w:spacing w:val="-3"/>
          <w:sz w:val="20"/>
        </w:rPr>
        <w:t> </w:t>
      </w:r>
      <w:r>
        <w:rPr>
          <w:sz w:val="20"/>
        </w:rPr>
        <w:t>reparations</w:t>
      </w:r>
      <w:r>
        <w:rPr>
          <w:spacing w:val="-6"/>
          <w:sz w:val="20"/>
        </w:rPr>
        <w:t> </w:t>
      </w:r>
      <w:r>
        <w:rPr>
          <w:sz w:val="20"/>
        </w:rPr>
        <w:t>award</w:t>
      </w:r>
      <w:r>
        <w:rPr>
          <w:spacing w:val="-5"/>
          <w:sz w:val="20"/>
        </w:rPr>
        <w:t> </w:t>
      </w:r>
      <w:r>
        <w:rPr>
          <w:sz w:val="20"/>
        </w:rPr>
        <w:t>in </w:t>
      </w:r>
      <w:r>
        <w:rPr>
          <w:i/>
          <w:sz w:val="20"/>
        </w:rPr>
        <w:t>Ongwen</w:t>
      </w:r>
      <w:r>
        <w:rPr>
          <w:i/>
          <w:spacing w:val="-4"/>
          <w:sz w:val="20"/>
        </w:rPr>
        <w:t> </w:t>
      </w:r>
      <w:r>
        <w:rPr>
          <w:sz w:val="20"/>
        </w:rPr>
        <w:t>is</w:t>
      </w:r>
      <w:r>
        <w:rPr>
          <w:spacing w:val="-1"/>
          <w:sz w:val="20"/>
        </w:rPr>
        <w:t> </w:t>
      </w:r>
      <w:r>
        <w:rPr>
          <w:sz w:val="20"/>
        </w:rPr>
        <w:t>expected</w:t>
      </w:r>
      <w:r>
        <w:rPr>
          <w:spacing w:val="-5"/>
          <w:sz w:val="20"/>
        </w:rPr>
        <w:t> </w:t>
      </w:r>
      <w:r>
        <w:rPr>
          <w:sz w:val="20"/>
        </w:rPr>
        <w:t>to be higher</w:t>
      </w:r>
      <w:r>
        <w:rPr>
          <w:spacing w:val="-3"/>
          <w:sz w:val="20"/>
        </w:rPr>
        <w:t> </w:t>
      </w:r>
      <w:r>
        <w:rPr>
          <w:sz w:val="20"/>
        </w:rPr>
        <w:t>than in</w:t>
      </w:r>
      <w:r>
        <w:rPr>
          <w:spacing w:val="-3"/>
          <w:sz w:val="20"/>
        </w:rPr>
        <w:t> </w:t>
      </w:r>
      <w:r>
        <w:rPr>
          <w:sz w:val="20"/>
        </w:rPr>
        <w:t>any of</w:t>
      </w:r>
      <w:r>
        <w:rPr>
          <w:spacing w:val="-3"/>
          <w:sz w:val="20"/>
        </w:rPr>
        <w:t> </w:t>
      </w:r>
      <w:r>
        <w:rPr>
          <w:sz w:val="20"/>
        </w:rPr>
        <w:t>the</w:t>
      </w:r>
      <w:r>
        <w:rPr>
          <w:spacing w:val="-1"/>
          <w:sz w:val="20"/>
        </w:rPr>
        <w:t> </w:t>
      </w:r>
      <w:r>
        <w:rPr>
          <w:sz w:val="20"/>
        </w:rPr>
        <w:t>previous</w:t>
      </w:r>
      <w:r>
        <w:rPr>
          <w:spacing w:val="-4"/>
          <w:sz w:val="20"/>
        </w:rPr>
        <w:t> </w:t>
      </w:r>
      <w:r>
        <w:rPr>
          <w:sz w:val="20"/>
        </w:rPr>
        <w:t>cases. To</w:t>
      </w:r>
      <w:r>
        <w:rPr>
          <w:spacing w:val="-3"/>
          <w:sz w:val="20"/>
        </w:rPr>
        <w:t> </w:t>
      </w:r>
      <w:r>
        <w:rPr>
          <w:sz w:val="20"/>
        </w:rPr>
        <w:t>ensure and maintain the Trust Fund’s</w:t>
      </w:r>
      <w:r>
        <w:rPr>
          <w:spacing w:val="-4"/>
          <w:sz w:val="20"/>
        </w:rPr>
        <w:t> </w:t>
      </w:r>
      <w:r>
        <w:rPr>
          <w:sz w:val="20"/>
        </w:rPr>
        <w:t>ability to</w:t>
      </w:r>
      <w:r>
        <w:rPr>
          <w:spacing w:val="-5"/>
          <w:sz w:val="20"/>
        </w:rPr>
        <w:t> </w:t>
      </w:r>
      <w:r>
        <w:rPr>
          <w:sz w:val="20"/>
        </w:rPr>
        <w:t>remain</w:t>
      </w:r>
      <w:r>
        <w:rPr>
          <w:spacing w:val="-9"/>
          <w:sz w:val="20"/>
        </w:rPr>
        <w:t> </w:t>
      </w:r>
      <w:r>
        <w:rPr>
          <w:sz w:val="20"/>
        </w:rPr>
        <w:t>responsive</w:t>
      </w:r>
      <w:r>
        <w:rPr>
          <w:spacing w:val="-8"/>
          <w:sz w:val="20"/>
        </w:rPr>
        <w:t> </w:t>
      </w:r>
      <w:r>
        <w:rPr>
          <w:sz w:val="20"/>
        </w:rPr>
        <w:t>to</w:t>
      </w:r>
      <w:r>
        <w:rPr>
          <w:spacing w:val="-9"/>
          <w:sz w:val="20"/>
        </w:rPr>
        <w:t> </w:t>
      </w:r>
      <w:r>
        <w:rPr>
          <w:sz w:val="20"/>
        </w:rPr>
        <w:t>its</w:t>
      </w:r>
      <w:r>
        <w:rPr>
          <w:spacing w:val="-6"/>
          <w:sz w:val="20"/>
        </w:rPr>
        <w:t> </w:t>
      </w:r>
      <w:r>
        <w:rPr>
          <w:sz w:val="20"/>
        </w:rPr>
        <w:t>funding</w:t>
      </w:r>
      <w:r>
        <w:rPr>
          <w:spacing w:val="-9"/>
          <w:sz w:val="20"/>
        </w:rPr>
        <w:t> </w:t>
      </w:r>
      <w:r>
        <w:rPr>
          <w:sz w:val="20"/>
        </w:rPr>
        <w:t>needs</w:t>
      </w:r>
      <w:r>
        <w:rPr>
          <w:spacing w:val="-3"/>
          <w:sz w:val="20"/>
        </w:rPr>
        <w:t> </w:t>
      </w:r>
      <w:r>
        <w:rPr>
          <w:sz w:val="20"/>
        </w:rPr>
        <w:t>in</w:t>
      </w:r>
      <w:r>
        <w:rPr>
          <w:spacing w:val="-5"/>
          <w:sz w:val="20"/>
        </w:rPr>
        <w:t> </w:t>
      </w:r>
      <w:r>
        <w:rPr>
          <w:sz w:val="20"/>
        </w:rPr>
        <w:t>reparations</w:t>
      </w:r>
      <w:r>
        <w:rPr>
          <w:spacing w:val="-11"/>
          <w:sz w:val="20"/>
        </w:rPr>
        <w:t> </w:t>
      </w:r>
      <w:r>
        <w:rPr>
          <w:sz w:val="20"/>
        </w:rPr>
        <w:t>and</w:t>
      </w:r>
      <w:r>
        <w:rPr>
          <w:spacing w:val="-9"/>
          <w:sz w:val="20"/>
        </w:rPr>
        <w:t> </w:t>
      </w:r>
      <w:r>
        <w:rPr>
          <w:sz w:val="20"/>
        </w:rPr>
        <w:t>assistance</w:t>
      </w:r>
      <w:r>
        <w:rPr>
          <w:spacing w:val="-3"/>
          <w:sz w:val="20"/>
        </w:rPr>
        <w:t> </w:t>
      </w:r>
      <w:r>
        <w:rPr>
          <w:sz w:val="20"/>
        </w:rPr>
        <w:t>programmes,</w:t>
      </w:r>
      <w:r>
        <w:rPr>
          <w:spacing w:val="-2"/>
          <w:sz w:val="20"/>
        </w:rPr>
        <w:t> </w:t>
      </w:r>
      <w:r>
        <w:rPr>
          <w:sz w:val="20"/>
        </w:rPr>
        <w:t>relevant expertise in fundraising, visibility and communications will be essential in terms of predictability and sustainability of funding for reparations and assistance activities. To support resource development, the Trust Fund’s market profile needs to improve considerably, as does its communication about the content of the richly diverse reparations activities that the Trust Fund currently funds.</w:t>
      </w:r>
    </w:p>
    <w:p>
      <w:pPr>
        <w:pStyle w:val="ListParagraph"/>
        <w:numPr>
          <w:ilvl w:val="0"/>
          <w:numId w:val="4"/>
        </w:numPr>
        <w:tabs>
          <w:tab w:pos="2967" w:val="left" w:leader="none"/>
        </w:tabs>
        <w:spacing w:line="240" w:lineRule="auto" w:before="121" w:after="0"/>
        <w:ind w:left="2246" w:right="2240" w:firstLine="0"/>
        <w:jc w:val="both"/>
        <w:rPr>
          <w:sz w:val="20"/>
        </w:rPr>
      </w:pPr>
      <w:r>
        <w:rPr>
          <w:i/>
          <w:sz w:val="20"/>
        </w:rPr>
        <w:t>Implementation</w:t>
      </w:r>
      <w:r>
        <w:rPr>
          <w:i/>
          <w:spacing w:val="-10"/>
          <w:sz w:val="20"/>
        </w:rPr>
        <w:t> </w:t>
      </w:r>
      <w:r>
        <w:rPr>
          <w:i/>
          <w:sz w:val="20"/>
        </w:rPr>
        <w:t>of</w:t>
      </w:r>
      <w:r>
        <w:rPr>
          <w:i/>
          <w:spacing w:val="-8"/>
          <w:sz w:val="20"/>
        </w:rPr>
        <w:t> </w:t>
      </w:r>
      <w:r>
        <w:rPr>
          <w:i/>
          <w:sz w:val="20"/>
        </w:rPr>
        <w:t>reparations</w:t>
      </w:r>
      <w:r>
        <w:rPr>
          <w:sz w:val="20"/>
        </w:rPr>
        <w:t>.</w:t>
      </w:r>
      <w:r>
        <w:rPr>
          <w:spacing w:val="-12"/>
          <w:sz w:val="20"/>
        </w:rPr>
        <w:t> </w:t>
      </w:r>
      <w:r>
        <w:rPr>
          <w:sz w:val="20"/>
        </w:rPr>
        <w:t>In</w:t>
      </w:r>
      <w:r>
        <w:rPr>
          <w:spacing w:val="-9"/>
          <w:sz w:val="20"/>
        </w:rPr>
        <w:t> </w:t>
      </w:r>
      <w:r>
        <w:rPr>
          <w:sz w:val="20"/>
        </w:rPr>
        <w:t>2023,</w:t>
      </w:r>
      <w:r>
        <w:rPr>
          <w:spacing w:val="-12"/>
          <w:sz w:val="20"/>
        </w:rPr>
        <w:t> </w:t>
      </w:r>
      <w:r>
        <w:rPr>
          <w:sz w:val="20"/>
        </w:rPr>
        <w:t>the</w:t>
      </w:r>
      <w:r>
        <w:rPr>
          <w:spacing w:val="-8"/>
          <w:sz w:val="20"/>
        </w:rPr>
        <w:t> </w:t>
      </w:r>
      <w:r>
        <w:rPr>
          <w:sz w:val="20"/>
        </w:rPr>
        <w:t>process</w:t>
      </w:r>
      <w:r>
        <w:rPr>
          <w:spacing w:val="-11"/>
          <w:sz w:val="20"/>
        </w:rPr>
        <w:t> </w:t>
      </w:r>
      <w:r>
        <w:rPr>
          <w:sz w:val="20"/>
        </w:rPr>
        <w:t>of</w:t>
      </w:r>
      <w:r>
        <w:rPr>
          <w:spacing w:val="-9"/>
          <w:sz w:val="20"/>
        </w:rPr>
        <w:t> </w:t>
      </w:r>
      <w:r>
        <w:rPr>
          <w:sz w:val="20"/>
        </w:rPr>
        <w:t>implementing</w:t>
      </w:r>
      <w:r>
        <w:rPr>
          <w:spacing w:val="-13"/>
          <w:sz w:val="20"/>
        </w:rPr>
        <w:t> </w:t>
      </w:r>
      <w:r>
        <w:rPr>
          <w:sz w:val="20"/>
        </w:rPr>
        <w:t>reparations</w:t>
      </w:r>
      <w:r>
        <w:rPr>
          <w:spacing w:val="-10"/>
          <w:sz w:val="20"/>
        </w:rPr>
        <w:t> </w:t>
      </w:r>
      <w:r>
        <w:rPr>
          <w:sz w:val="20"/>
        </w:rPr>
        <w:t>by the Trust Fund needs to be consolidated, existing expertise assembled and additional expertise developed. The reparations portfolio will reach new levels of volume and complexity. Implementation activities in </w:t>
      </w:r>
      <w:r>
        <w:rPr>
          <w:i/>
          <w:sz w:val="20"/>
        </w:rPr>
        <w:t>Lubanga </w:t>
      </w:r>
      <w:r>
        <w:rPr>
          <w:sz w:val="20"/>
        </w:rPr>
        <w:t>and </w:t>
      </w:r>
      <w:r>
        <w:rPr>
          <w:i/>
          <w:sz w:val="20"/>
        </w:rPr>
        <w:t>Ntaganda </w:t>
      </w:r>
      <w:r>
        <w:rPr>
          <w:sz w:val="20"/>
        </w:rPr>
        <w:t>relating to former child soldiers</w:t>
      </w:r>
      <w:r>
        <w:rPr>
          <w:spacing w:val="40"/>
          <w:sz w:val="20"/>
        </w:rPr>
        <w:t> </w:t>
      </w:r>
      <w:r>
        <w:rPr>
          <w:sz w:val="20"/>
        </w:rPr>
        <w:t>in</w:t>
      </w:r>
      <w:r>
        <w:rPr>
          <w:spacing w:val="40"/>
          <w:sz w:val="20"/>
        </w:rPr>
        <w:t> </w:t>
      </w:r>
      <w:r>
        <w:rPr>
          <w:sz w:val="20"/>
        </w:rPr>
        <w:t>the</w:t>
      </w:r>
      <w:r>
        <w:rPr>
          <w:spacing w:val="64"/>
          <w:sz w:val="20"/>
        </w:rPr>
        <w:t> </w:t>
      </w:r>
      <w:r>
        <w:rPr>
          <w:sz w:val="20"/>
        </w:rPr>
        <w:t>Democratic</w:t>
      </w:r>
      <w:r>
        <w:rPr>
          <w:spacing w:val="40"/>
          <w:sz w:val="20"/>
        </w:rPr>
        <w:t> </w:t>
      </w:r>
      <w:r>
        <w:rPr>
          <w:sz w:val="20"/>
        </w:rPr>
        <w:t>Republic</w:t>
      </w:r>
      <w:r>
        <w:rPr>
          <w:spacing w:val="40"/>
          <w:sz w:val="20"/>
        </w:rPr>
        <w:t> </w:t>
      </w:r>
      <w:r>
        <w:rPr>
          <w:sz w:val="20"/>
        </w:rPr>
        <w:t>of</w:t>
      </w:r>
      <w:r>
        <w:rPr>
          <w:spacing w:val="40"/>
          <w:sz w:val="20"/>
        </w:rPr>
        <w:t> </w:t>
      </w:r>
      <w:r>
        <w:rPr>
          <w:sz w:val="20"/>
        </w:rPr>
        <w:t>the</w:t>
      </w:r>
      <w:r>
        <w:rPr>
          <w:spacing w:val="40"/>
          <w:sz w:val="20"/>
        </w:rPr>
        <w:t> </w:t>
      </w:r>
      <w:r>
        <w:rPr>
          <w:sz w:val="20"/>
        </w:rPr>
        <w:t>Congo</w:t>
      </w:r>
      <w:r>
        <w:rPr>
          <w:spacing w:val="40"/>
          <w:sz w:val="20"/>
        </w:rPr>
        <w:t> </w:t>
      </w:r>
      <w:r>
        <w:rPr>
          <w:sz w:val="20"/>
        </w:rPr>
        <w:t>(DRC)</w:t>
      </w:r>
      <w:r>
        <w:rPr>
          <w:spacing w:val="40"/>
          <w:sz w:val="20"/>
        </w:rPr>
        <w:t> </w:t>
      </w:r>
      <w:r>
        <w:rPr>
          <w:sz w:val="20"/>
        </w:rPr>
        <w:t>and</w:t>
      </w:r>
      <w:r>
        <w:rPr>
          <w:spacing w:val="40"/>
          <w:sz w:val="20"/>
        </w:rPr>
        <w:t> </w:t>
      </w:r>
      <w:r>
        <w:rPr>
          <w:i/>
          <w:sz w:val="20"/>
        </w:rPr>
        <w:t>Al</w:t>
      </w:r>
      <w:r>
        <w:rPr>
          <w:i/>
          <w:spacing w:val="40"/>
          <w:sz w:val="20"/>
        </w:rPr>
        <w:t> </w:t>
      </w:r>
      <w:r>
        <w:rPr>
          <w:i/>
          <w:sz w:val="20"/>
        </w:rPr>
        <w:t>Mahdi</w:t>
      </w:r>
      <w:r>
        <w:rPr>
          <w:i/>
          <w:spacing w:val="40"/>
          <w:sz w:val="20"/>
        </w:rPr>
        <w:t> </w:t>
      </w:r>
      <w:r>
        <w:rPr>
          <w:sz w:val="20"/>
        </w:rPr>
        <w:t>relating</w:t>
      </w:r>
      <w:r>
        <w:rPr>
          <w:spacing w:val="40"/>
          <w:sz w:val="20"/>
        </w:rPr>
        <w:t> </w:t>
      </w:r>
      <w:r>
        <w:rPr>
          <w:sz w:val="20"/>
        </w:rPr>
        <w:t>to</w:t>
      </w:r>
      <w:r>
        <w:rPr>
          <w:spacing w:val="40"/>
          <w:sz w:val="20"/>
        </w:rPr>
        <w:t> </w:t>
      </w:r>
      <w:r>
        <w:rPr>
          <w:sz w:val="20"/>
        </w:rPr>
        <w:t>the</w:t>
      </w:r>
      <w:r>
        <w:rPr>
          <w:spacing w:val="-2"/>
          <w:sz w:val="20"/>
        </w:rPr>
        <w:t> </w:t>
      </w:r>
      <w:r>
        <w:rPr>
          <w:sz w:val="20"/>
        </w:rPr>
        <w:t>destruction of mausoleums in Mali will continue to reach additional beneficiaries throughout 2023. The implementation of reparations in </w:t>
      </w:r>
      <w:r>
        <w:rPr>
          <w:i/>
          <w:sz w:val="20"/>
        </w:rPr>
        <w:t>Ntaganda </w:t>
      </w:r>
      <w:r>
        <w:rPr>
          <w:sz w:val="20"/>
        </w:rPr>
        <w:t>relating to victims of attacks</w:t>
      </w:r>
      <w:r>
        <w:rPr>
          <w:spacing w:val="-6"/>
          <w:sz w:val="20"/>
        </w:rPr>
        <w:t> </w:t>
      </w:r>
      <w:r>
        <w:rPr>
          <w:sz w:val="20"/>
        </w:rPr>
        <w:t>in</w:t>
      </w:r>
      <w:r>
        <w:rPr>
          <w:spacing w:val="-5"/>
          <w:sz w:val="20"/>
        </w:rPr>
        <w:t> </w:t>
      </w:r>
      <w:r>
        <w:rPr>
          <w:sz w:val="20"/>
        </w:rPr>
        <w:t>the</w:t>
      </w:r>
      <w:r>
        <w:rPr>
          <w:spacing w:val="-3"/>
          <w:sz w:val="20"/>
        </w:rPr>
        <w:t> </w:t>
      </w:r>
      <w:r>
        <w:rPr>
          <w:sz w:val="20"/>
        </w:rPr>
        <w:t>DRC</w:t>
      </w:r>
      <w:r>
        <w:rPr>
          <w:spacing w:val="-5"/>
          <w:sz w:val="20"/>
        </w:rPr>
        <w:t> </w:t>
      </w:r>
      <w:r>
        <w:rPr>
          <w:sz w:val="20"/>
        </w:rPr>
        <w:t>will</w:t>
      </w:r>
      <w:r>
        <w:rPr>
          <w:spacing w:val="-3"/>
          <w:sz w:val="20"/>
        </w:rPr>
        <w:t> </w:t>
      </w:r>
      <w:r>
        <w:rPr>
          <w:sz w:val="20"/>
        </w:rPr>
        <w:t>need</w:t>
      </w:r>
      <w:r>
        <w:rPr>
          <w:spacing w:val="-9"/>
          <w:sz w:val="20"/>
        </w:rPr>
        <w:t> </w:t>
      </w:r>
      <w:r>
        <w:rPr>
          <w:sz w:val="20"/>
        </w:rPr>
        <w:t>to</w:t>
      </w:r>
      <w:r>
        <w:rPr>
          <w:spacing w:val="-5"/>
          <w:sz w:val="20"/>
        </w:rPr>
        <w:t> </w:t>
      </w:r>
      <w:r>
        <w:rPr>
          <w:sz w:val="20"/>
        </w:rPr>
        <w:t>be</w:t>
      </w:r>
      <w:r>
        <w:rPr>
          <w:spacing w:val="-3"/>
          <w:sz w:val="20"/>
        </w:rPr>
        <w:t> </w:t>
      </w:r>
      <w:r>
        <w:rPr>
          <w:sz w:val="20"/>
        </w:rPr>
        <w:t>concretely</w:t>
      </w:r>
      <w:r>
        <w:rPr>
          <w:spacing w:val="-5"/>
          <w:sz w:val="20"/>
        </w:rPr>
        <w:t> </w:t>
      </w:r>
      <w:r>
        <w:rPr>
          <w:sz w:val="20"/>
        </w:rPr>
        <w:t>designed</w:t>
      </w:r>
      <w:r>
        <w:rPr>
          <w:spacing w:val="-9"/>
          <w:sz w:val="20"/>
        </w:rPr>
        <w:t> </w:t>
      </w:r>
      <w:r>
        <w:rPr>
          <w:sz w:val="20"/>
        </w:rPr>
        <w:t>and</w:t>
      </w:r>
      <w:r>
        <w:rPr>
          <w:spacing w:val="-5"/>
          <w:sz w:val="20"/>
        </w:rPr>
        <w:t> </w:t>
      </w:r>
      <w:r>
        <w:rPr>
          <w:sz w:val="20"/>
        </w:rPr>
        <w:t>procured.</w:t>
      </w:r>
      <w:r>
        <w:rPr>
          <w:spacing w:val="-7"/>
          <w:sz w:val="20"/>
        </w:rPr>
        <w:t> </w:t>
      </w:r>
      <w:r>
        <w:rPr>
          <w:sz w:val="20"/>
        </w:rPr>
        <w:t>In </w:t>
      </w:r>
      <w:r>
        <w:rPr>
          <w:i/>
          <w:sz w:val="20"/>
        </w:rPr>
        <w:t>Ongwen</w:t>
      </w:r>
      <w:r>
        <w:rPr>
          <w:sz w:val="20"/>
        </w:rPr>
        <w:t>,</w:t>
      </w:r>
      <w:r>
        <w:rPr>
          <w:spacing w:val="-7"/>
          <w:sz w:val="20"/>
        </w:rPr>
        <w:t> </w:t>
      </w:r>
      <w:r>
        <w:rPr>
          <w:sz w:val="20"/>
        </w:rPr>
        <w:t>the</w:t>
      </w:r>
      <w:r>
        <w:rPr>
          <w:spacing w:val="-3"/>
          <w:sz w:val="20"/>
        </w:rPr>
        <w:t> </w:t>
      </w:r>
      <w:r>
        <w:rPr>
          <w:sz w:val="20"/>
        </w:rPr>
        <w:t>largest reparations</w:t>
      </w:r>
      <w:r>
        <w:rPr>
          <w:spacing w:val="-13"/>
          <w:sz w:val="20"/>
        </w:rPr>
        <w:t> </w:t>
      </w:r>
      <w:r>
        <w:rPr>
          <w:sz w:val="20"/>
        </w:rPr>
        <w:t>case</w:t>
      </w:r>
      <w:r>
        <w:rPr>
          <w:spacing w:val="-12"/>
          <w:sz w:val="20"/>
        </w:rPr>
        <w:t> </w:t>
      </w:r>
      <w:r>
        <w:rPr>
          <w:sz w:val="20"/>
        </w:rPr>
        <w:t>to</w:t>
      </w:r>
      <w:r>
        <w:rPr>
          <w:spacing w:val="-10"/>
          <w:sz w:val="20"/>
        </w:rPr>
        <w:t> </w:t>
      </w:r>
      <w:r>
        <w:rPr>
          <w:sz w:val="20"/>
        </w:rPr>
        <w:t>date,</w:t>
      </w:r>
      <w:r>
        <w:rPr>
          <w:spacing w:val="-10"/>
          <w:sz w:val="20"/>
        </w:rPr>
        <w:t> </w:t>
      </w:r>
      <w:r>
        <w:rPr>
          <w:sz w:val="20"/>
        </w:rPr>
        <w:t>the</w:t>
      </w:r>
      <w:r>
        <w:rPr>
          <w:spacing w:val="-12"/>
          <w:sz w:val="20"/>
        </w:rPr>
        <w:t> </w:t>
      </w:r>
      <w:r>
        <w:rPr>
          <w:sz w:val="20"/>
        </w:rPr>
        <w:t>reparations</w:t>
      </w:r>
      <w:r>
        <w:rPr>
          <w:spacing w:val="-10"/>
          <w:sz w:val="20"/>
        </w:rPr>
        <w:t> </w:t>
      </w:r>
      <w:r>
        <w:rPr>
          <w:sz w:val="20"/>
        </w:rPr>
        <w:t>order</w:t>
      </w:r>
      <w:r>
        <w:rPr>
          <w:spacing w:val="-13"/>
          <w:sz w:val="20"/>
        </w:rPr>
        <w:t> </w:t>
      </w:r>
      <w:r>
        <w:rPr>
          <w:sz w:val="20"/>
        </w:rPr>
        <w:t>likely</w:t>
      </w:r>
      <w:r>
        <w:rPr>
          <w:spacing w:val="-7"/>
          <w:sz w:val="20"/>
        </w:rPr>
        <w:t> </w:t>
      </w:r>
      <w:r>
        <w:rPr>
          <w:sz w:val="20"/>
        </w:rPr>
        <w:t>to</w:t>
      </w:r>
      <w:r>
        <w:rPr>
          <w:spacing w:val="-8"/>
          <w:sz w:val="20"/>
        </w:rPr>
        <w:t> </w:t>
      </w:r>
      <w:r>
        <w:rPr>
          <w:sz w:val="20"/>
        </w:rPr>
        <w:t>be</w:t>
      </w:r>
      <w:r>
        <w:rPr>
          <w:spacing w:val="-12"/>
          <w:sz w:val="20"/>
        </w:rPr>
        <w:t> </w:t>
      </w:r>
      <w:r>
        <w:rPr>
          <w:sz w:val="20"/>
        </w:rPr>
        <w:t>issued</w:t>
      </w:r>
      <w:r>
        <w:rPr>
          <w:spacing w:val="-13"/>
          <w:sz w:val="20"/>
        </w:rPr>
        <w:t> </w:t>
      </w:r>
      <w:r>
        <w:rPr>
          <w:sz w:val="20"/>
        </w:rPr>
        <w:t>in</w:t>
      </w:r>
      <w:r>
        <w:rPr>
          <w:spacing w:val="-7"/>
          <w:sz w:val="20"/>
        </w:rPr>
        <w:t> </w:t>
      </w:r>
      <w:r>
        <w:rPr>
          <w:sz w:val="20"/>
        </w:rPr>
        <w:t>2022</w:t>
      </w:r>
      <w:r>
        <w:rPr>
          <w:spacing w:val="-13"/>
          <w:sz w:val="20"/>
        </w:rPr>
        <w:t> </w:t>
      </w:r>
      <w:r>
        <w:rPr>
          <w:sz w:val="20"/>
        </w:rPr>
        <w:t>is</w:t>
      </w:r>
      <w:r>
        <w:rPr>
          <w:spacing w:val="-12"/>
          <w:sz w:val="20"/>
        </w:rPr>
        <w:t> </w:t>
      </w:r>
      <w:r>
        <w:rPr>
          <w:sz w:val="20"/>
        </w:rPr>
        <w:t>expected</w:t>
      </w:r>
      <w:r>
        <w:rPr>
          <w:spacing w:val="-13"/>
          <w:sz w:val="20"/>
        </w:rPr>
        <w:t> </w:t>
      </w:r>
      <w:r>
        <w:rPr>
          <w:sz w:val="20"/>
        </w:rPr>
        <w:t>to</w:t>
      </w:r>
      <w:r>
        <w:rPr>
          <w:spacing w:val="-12"/>
          <w:sz w:val="20"/>
        </w:rPr>
        <w:t> </w:t>
      </w:r>
      <w:r>
        <w:rPr>
          <w:sz w:val="20"/>
        </w:rPr>
        <w:t>trigger the development of an implementation plan and, accordingly, an in-depth consultation process with victims, communities and civil society in Uganda.</w:t>
      </w:r>
    </w:p>
    <w:p>
      <w:pPr>
        <w:pStyle w:val="ListParagraph"/>
        <w:numPr>
          <w:ilvl w:val="0"/>
          <w:numId w:val="4"/>
        </w:numPr>
        <w:tabs>
          <w:tab w:pos="2967" w:val="left" w:leader="none"/>
        </w:tabs>
        <w:spacing w:line="240" w:lineRule="auto" w:before="120" w:after="0"/>
        <w:ind w:left="2246" w:right="2239" w:firstLine="0"/>
        <w:jc w:val="both"/>
        <w:rPr>
          <w:sz w:val="20"/>
        </w:rPr>
      </w:pPr>
      <w:r>
        <w:rPr>
          <w:sz w:val="20"/>
        </w:rPr>
        <w:t>The</w:t>
      </w:r>
      <w:r>
        <w:rPr>
          <w:spacing w:val="-13"/>
          <w:sz w:val="20"/>
        </w:rPr>
        <w:t> </w:t>
      </w:r>
      <w:r>
        <w:rPr>
          <w:sz w:val="20"/>
        </w:rPr>
        <w:t>Trust</w:t>
      </w:r>
      <w:r>
        <w:rPr>
          <w:spacing w:val="-12"/>
          <w:sz w:val="20"/>
        </w:rPr>
        <w:t> </w:t>
      </w:r>
      <w:r>
        <w:rPr>
          <w:sz w:val="20"/>
        </w:rPr>
        <w:t>Fund’s</w:t>
      </w:r>
      <w:r>
        <w:rPr>
          <w:spacing w:val="-11"/>
          <w:sz w:val="20"/>
        </w:rPr>
        <w:t> </w:t>
      </w:r>
      <w:r>
        <w:rPr>
          <w:sz w:val="20"/>
        </w:rPr>
        <w:t>unique</w:t>
      </w:r>
      <w:r>
        <w:rPr>
          <w:spacing w:val="-13"/>
          <w:sz w:val="20"/>
        </w:rPr>
        <w:t> </w:t>
      </w:r>
      <w:r>
        <w:rPr>
          <w:sz w:val="20"/>
        </w:rPr>
        <w:t>expertise</w:t>
      </w:r>
      <w:r>
        <w:rPr>
          <w:spacing w:val="-12"/>
          <w:sz w:val="20"/>
        </w:rPr>
        <w:t> </w:t>
      </w:r>
      <w:r>
        <w:rPr>
          <w:sz w:val="20"/>
        </w:rPr>
        <w:t>on</w:t>
      </w:r>
      <w:r>
        <w:rPr>
          <w:spacing w:val="-13"/>
          <w:sz w:val="20"/>
        </w:rPr>
        <w:t> </w:t>
      </w:r>
      <w:r>
        <w:rPr>
          <w:sz w:val="20"/>
        </w:rPr>
        <w:t>the</w:t>
      </w:r>
      <w:r>
        <w:rPr>
          <w:spacing w:val="-12"/>
          <w:sz w:val="20"/>
        </w:rPr>
        <w:t> </w:t>
      </w:r>
      <w:r>
        <w:rPr>
          <w:sz w:val="20"/>
        </w:rPr>
        <w:t>implementation</w:t>
      </w:r>
      <w:r>
        <w:rPr>
          <w:spacing w:val="-13"/>
          <w:sz w:val="20"/>
        </w:rPr>
        <w:t> </w:t>
      </w:r>
      <w:r>
        <w:rPr>
          <w:sz w:val="20"/>
        </w:rPr>
        <w:t>of</w:t>
      </w:r>
      <w:r>
        <w:rPr>
          <w:spacing w:val="-8"/>
          <w:sz w:val="20"/>
        </w:rPr>
        <w:t> </w:t>
      </w:r>
      <w:r>
        <w:rPr>
          <w:sz w:val="20"/>
        </w:rPr>
        <w:t>reparations</w:t>
      </w:r>
      <w:r>
        <w:rPr>
          <w:spacing w:val="-13"/>
          <w:sz w:val="20"/>
        </w:rPr>
        <w:t> </w:t>
      </w:r>
      <w:r>
        <w:rPr>
          <w:sz w:val="20"/>
        </w:rPr>
        <w:t>is</w:t>
      </w:r>
      <w:r>
        <w:rPr>
          <w:spacing w:val="-11"/>
          <w:sz w:val="20"/>
        </w:rPr>
        <w:t> </w:t>
      </w:r>
      <w:r>
        <w:rPr>
          <w:sz w:val="20"/>
        </w:rPr>
        <w:t>of</w:t>
      </w:r>
      <w:r>
        <w:rPr>
          <w:spacing w:val="-13"/>
          <w:sz w:val="20"/>
        </w:rPr>
        <w:t> </w:t>
      </w:r>
      <w:r>
        <w:rPr>
          <w:sz w:val="20"/>
        </w:rPr>
        <w:t>pivotal importance in</w:t>
      </w:r>
      <w:r>
        <w:rPr>
          <w:spacing w:val="-1"/>
          <w:sz w:val="20"/>
        </w:rPr>
        <w:t> </w:t>
      </w:r>
      <w:r>
        <w:rPr>
          <w:sz w:val="20"/>
        </w:rPr>
        <w:t>attracting</w:t>
      </w:r>
      <w:r>
        <w:rPr>
          <w:spacing w:val="-1"/>
          <w:sz w:val="20"/>
        </w:rPr>
        <w:t> </w:t>
      </w:r>
      <w:r>
        <w:rPr>
          <w:sz w:val="20"/>
        </w:rPr>
        <w:t>donor</w:t>
      </w:r>
      <w:r>
        <w:rPr>
          <w:spacing w:val="-1"/>
          <w:sz w:val="20"/>
        </w:rPr>
        <w:t> </w:t>
      </w:r>
      <w:r>
        <w:rPr>
          <w:sz w:val="20"/>
        </w:rPr>
        <w:t>funding</w:t>
      </w:r>
      <w:r>
        <w:rPr>
          <w:spacing w:val="-5"/>
          <w:sz w:val="20"/>
        </w:rPr>
        <w:t> </w:t>
      </w:r>
      <w:r>
        <w:rPr>
          <w:sz w:val="20"/>
        </w:rPr>
        <w:t>and</w:t>
      </w:r>
      <w:r>
        <w:rPr>
          <w:spacing w:val="-1"/>
          <w:sz w:val="20"/>
        </w:rPr>
        <w:t> </w:t>
      </w:r>
      <w:r>
        <w:rPr>
          <w:sz w:val="20"/>
        </w:rPr>
        <w:t>successfully</w:t>
      </w:r>
      <w:r>
        <w:rPr>
          <w:spacing w:val="-5"/>
          <w:sz w:val="20"/>
        </w:rPr>
        <w:t> </w:t>
      </w:r>
      <w:r>
        <w:rPr>
          <w:sz w:val="20"/>
        </w:rPr>
        <w:t>implementing</w:t>
      </w:r>
      <w:r>
        <w:rPr>
          <w:spacing w:val="-1"/>
          <w:sz w:val="20"/>
        </w:rPr>
        <w:t> </w:t>
      </w:r>
      <w:r>
        <w:rPr>
          <w:sz w:val="20"/>
        </w:rPr>
        <w:t>reparations</w:t>
      </w:r>
      <w:r>
        <w:rPr>
          <w:spacing w:val="-6"/>
          <w:sz w:val="20"/>
        </w:rPr>
        <w:t> </w:t>
      </w:r>
      <w:r>
        <w:rPr>
          <w:sz w:val="20"/>
        </w:rPr>
        <w:t>measures to the satisfaction of victims. Such expertise includes that of the Trust Fund’s carefully selected implementing partners and requires dedicated efforts to assemble and develop. Activity</w:t>
      </w:r>
      <w:r>
        <w:rPr>
          <w:spacing w:val="-4"/>
          <w:sz w:val="20"/>
        </w:rPr>
        <w:t> </w:t>
      </w:r>
      <w:r>
        <w:rPr>
          <w:sz w:val="20"/>
        </w:rPr>
        <w:t>reporting, digital</w:t>
      </w:r>
      <w:r>
        <w:rPr>
          <w:spacing w:val="-2"/>
          <w:sz w:val="20"/>
        </w:rPr>
        <w:t> </w:t>
      </w:r>
      <w:r>
        <w:rPr>
          <w:sz w:val="20"/>
        </w:rPr>
        <w:t>communications,</w:t>
      </w:r>
      <w:r>
        <w:rPr>
          <w:spacing w:val="-1"/>
          <w:sz w:val="20"/>
        </w:rPr>
        <w:t> </w:t>
      </w:r>
      <w:r>
        <w:rPr>
          <w:sz w:val="20"/>
        </w:rPr>
        <w:t>publications,</w:t>
      </w:r>
      <w:r>
        <w:rPr>
          <w:spacing w:val="-1"/>
          <w:sz w:val="20"/>
        </w:rPr>
        <w:t> </w:t>
      </w:r>
      <w:r>
        <w:rPr>
          <w:sz w:val="20"/>
        </w:rPr>
        <w:t>outreach</w:t>
      </w:r>
      <w:r>
        <w:rPr>
          <w:spacing w:val="-4"/>
          <w:sz w:val="20"/>
        </w:rPr>
        <w:t> </w:t>
      </w:r>
      <w:r>
        <w:rPr>
          <w:sz w:val="20"/>
        </w:rPr>
        <w:t>and</w:t>
      </w:r>
      <w:r>
        <w:rPr>
          <w:spacing w:val="-4"/>
          <w:sz w:val="20"/>
        </w:rPr>
        <w:t> </w:t>
      </w:r>
      <w:r>
        <w:rPr>
          <w:sz w:val="20"/>
        </w:rPr>
        <w:t>advocacy</w:t>
      </w:r>
      <w:r>
        <w:rPr>
          <w:spacing w:val="-4"/>
          <w:sz w:val="20"/>
        </w:rPr>
        <w:t> </w:t>
      </w:r>
      <w:r>
        <w:rPr>
          <w:sz w:val="20"/>
        </w:rPr>
        <w:t>efforts</w:t>
      </w:r>
      <w:r>
        <w:rPr>
          <w:spacing w:val="-5"/>
          <w:sz w:val="20"/>
        </w:rPr>
        <w:t> </w:t>
      </w:r>
      <w:r>
        <w:rPr>
          <w:sz w:val="20"/>
        </w:rPr>
        <w:t>will specifically need to be reinforced and further aligned with the Court’s public messaging </w:t>
      </w:r>
      <w:r>
        <w:rPr>
          <w:spacing w:val="-2"/>
          <w:sz w:val="20"/>
        </w:rPr>
        <w:t>activities.</w:t>
      </w:r>
    </w:p>
    <w:p>
      <w:pPr>
        <w:pStyle w:val="ListParagraph"/>
        <w:numPr>
          <w:ilvl w:val="0"/>
          <w:numId w:val="4"/>
        </w:numPr>
        <w:tabs>
          <w:tab w:pos="2967" w:val="left" w:leader="none"/>
        </w:tabs>
        <w:spacing w:line="240" w:lineRule="auto" w:before="124" w:after="0"/>
        <w:ind w:left="2246" w:right="2239" w:firstLine="0"/>
        <w:jc w:val="both"/>
        <w:rPr>
          <w:sz w:val="20"/>
        </w:rPr>
      </w:pPr>
      <w:r>
        <w:rPr>
          <w:i/>
          <w:sz w:val="20"/>
        </w:rPr>
        <w:t>Internal organization/governance. </w:t>
      </w:r>
      <w:r>
        <w:rPr>
          <w:sz w:val="20"/>
        </w:rPr>
        <w:t>Improving</w:t>
      </w:r>
      <w:r>
        <w:rPr>
          <w:spacing w:val="-6"/>
          <w:sz w:val="20"/>
        </w:rPr>
        <w:t> </w:t>
      </w:r>
      <w:r>
        <w:rPr>
          <w:sz w:val="20"/>
        </w:rPr>
        <w:t>the internal organization</w:t>
      </w:r>
      <w:r>
        <w:rPr>
          <w:spacing w:val="-6"/>
          <w:sz w:val="20"/>
        </w:rPr>
        <w:t> </w:t>
      </w:r>
      <w:r>
        <w:rPr>
          <w:sz w:val="20"/>
        </w:rPr>
        <w:t>of</w:t>
      </w:r>
      <w:r>
        <w:rPr>
          <w:spacing w:val="-6"/>
          <w:sz w:val="20"/>
        </w:rPr>
        <w:t> </w:t>
      </w:r>
      <w:r>
        <w:rPr>
          <w:sz w:val="20"/>
        </w:rPr>
        <w:t>the</w:t>
      </w:r>
      <w:r>
        <w:rPr>
          <w:spacing w:val="-4"/>
          <w:sz w:val="20"/>
        </w:rPr>
        <w:t> </w:t>
      </w:r>
      <w:r>
        <w:rPr>
          <w:sz w:val="20"/>
        </w:rPr>
        <w:t>Trust Fund and its governance are high priorities for the TFV following the Review Mechanism process. Policies, standard operating procedures and other measures are required to streamline</w:t>
      </w:r>
      <w:r>
        <w:rPr>
          <w:spacing w:val="-10"/>
          <w:sz w:val="20"/>
        </w:rPr>
        <w:t> </w:t>
      </w:r>
      <w:r>
        <w:rPr>
          <w:sz w:val="20"/>
        </w:rPr>
        <w:t>and</w:t>
      </w:r>
      <w:r>
        <w:rPr>
          <w:spacing w:val="-7"/>
          <w:sz w:val="20"/>
        </w:rPr>
        <w:t> </w:t>
      </w:r>
      <w:r>
        <w:rPr>
          <w:sz w:val="20"/>
        </w:rPr>
        <w:t>consolidate</w:t>
      </w:r>
      <w:r>
        <w:rPr>
          <w:spacing w:val="-6"/>
          <w:sz w:val="20"/>
        </w:rPr>
        <w:t> </w:t>
      </w:r>
      <w:r>
        <w:rPr>
          <w:sz w:val="20"/>
        </w:rPr>
        <w:t>processes</w:t>
      </w:r>
      <w:r>
        <w:rPr>
          <w:spacing w:val="-9"/>
          <w:sz w:val="20"/>
        </w:rPr>
        <w:t> </w:t>
      </w:r>
      <w:r>
        <w:rPr>
          <w:sz w:val="20"/>
        </w:rPr>
        <w:t>within</w:t>
      </w:r>
      <w:r>
        <w:rPr>
          <w:spacing w:val="-12"/>
          <w:sz w:val="20"/>
        </w:rPr>
        <w:t> </w:t>
      </w:r>
      <w:r>
        <w:rPr>
          <w:sz w:val="20"/>
        </w:rPr>
        <w:t>the</w:t>
      </w:r>
      <w:r>
        <w:rPr>
          <w:spacing w:val="-10"/>
          <w:sz w:val="20"/>
        </w:rPr>
        <w:t> </w:t>
      </w:r>
      <w:r>
        <w:rPr>
          <w:sz w:val="20"/>
        </w:rPr>
        <w:t>TFV.</w:t>
      </w:r>
      <w:r>
        <w:rPr>
          <w:spacing w:val="-5"/>
          <w:sz w:val="20"/>
        </w:rPr>
        <w:t> </w:t>
      </w:r>
      <w:r>
        <w:rPr>
          <w:sz w:val="20"/>
        </w:rPr>
        <w:t>Electronic</w:t>
      </w:r>
      <w:r>
        <w:rPr>
          <w:spacing w:val="-6"/>
          <w:sz w:val="20"/>
        </w:rPr>
        <w:t> </w:t>
      </w:r>
      <w:r>
        <w:rPr>
          <w:sz w:val="20"/>
        </w:rPr>
        <w:t>administration</w:t>
      </w:r>
      <w:r>
        <w:rPr>
          <w:spacing w:val="-7"/>
          <w:sz w:val="20"/>
        </w:rPr>
        <w:t> </w:t>
      </w:r>
      <w:r>
        <w:rPr>
          <w:sz w:val="20"/>
        </w:rPr>
        <w:t>tools</w:t>
      </w:r>
      <w:r>
        <w:rPr>
          <w:spacing w:val="-9"/>
          <w:sz w:val="20"/>
        </w:rPr>
        <w:t> </w:t>
      </w:r>
      <w:r>
        <w:rPr>
          <w:sz w:val="20"/>
        </w:rPr>
        <w:t>need</w:t>
      </w:r>
      <w:r>
        <w:rPr>
          <w:spacing w:val="-7"/>
          <w:sz w:val="20"/>
        </w:rPr>
        <w:t> </w:t>
      </w:r>
      <w:r>
        <w:rPr>
          <w:sz w:val="20"/>
        </w:rPr>
        <w:t>to be updated to</w:t>
      </w:r>
      <w:r>
        <w:rPr>
          <w:spacing w:val="-4"/>
          <w:sz w:val="20"/>
        </w:rPr>
        <w:t> </w:t>
      </w:r>
      <w:r>
        <w:rPr>
          <w:sz w:val="20"/>
        </w:rPr>
        <w:t>current standards</w:t>
      </w:r>
      <w:r>
        <w:rPr>
          <w:spacing w:val="-1"/>
          <w:sz w:val="20"/>
        </w:rPr>
        <w:t> </w:t>
      </w:r>
      <w:r>
        <w:rPr>
          <w:sz w:val="20"/>
        </w:rPr>
        <w:t>to ensure savings in staff resources</w:t>
      </w:r>
      <w:r>
        <w:rPr>
          <w:spacing w:val="-5"/>
          <w:sz w:val="20"/>
        </w:rPr>
        <w:t> </w:t>
      </w:r>
      <w:r>
        <w:rPr>
          <w:sz w:val="20"/>
        </w:rPr>
        <w:t>in the long run. In</w:t>
      </w:r>
      <w:r>
        <w:rPr>
          <w:spacing w:val="-4"/>
          <w:sz w:val="20"/>
        </w:rPr>
        <w:t> </w:t>
      </w:r>
      <w:r>
        <w:rPr>
          <w:sz w:val="20"/>
        </w:rPr>
        <w:t>terms of governance, the Board requires adequate support. The leadership transition at the Secretariat taking place in 2022 will continue into 2023. As presented at a Review Mechanism</w:t>
      </w:r>
      <w:r>
        <w:rPr>
          <w:spacing w:val="-13"/>
          <w:sz w:val="20"/>
        </w:rPr>
        <w:t> </w:t>
      </w:r>
      <w:r>
        <w:rPr>
          <w:sz w:val="20"/>
        </w:rPr>
        <w:t>meeting</w:t>
      </w:r>
      <w:r>
        <w:rPr>
          <w:spacing w:val="-12"/>
          <w:sz w:val="20"/>
        </w:rPr>
        <w:t> </w:t>
      </w:r>
      <w:r>
        <w:rPr>
          <w:sz w:val="20"/>
        </w:rPr>
        <w:t>in</w:t>
      </w:r>
      <w:r>
        <w:rPr>
          <w:spacing w:val="-13"/>
          <w:sz w:val="20"/>
        </w:rPr>
        <w:t> </w:t>
      </w:r>
      <w:r>
        <w:rPr>
          <w:sz w:val="20"/>
        </w:rPr>
        <w:t>June</w:t>
      </w:r>
      <w:r>
        <w:rPr>
          <w:spacing w:val="-12"/>
          <w:sz w:val="20"/>
        </w:rPr>
        <w:t> </w:t>
      </w:r>
      <w:r>
        <w:rPr>
          <w:sz w:val="20"/>
        </w:rPr>
        <w:t>2022,</w:t>
      </w:r>
      <w:r>
        <w:rPr>
          <w:spacing w:val="-13"/>
          <w:sz w:val="20"/>
        </w:rPr>
        <w:t> </w:t>
      </w:r>
      <w:r>
        <w:rPr>
          <w:sz w:val="20"/>
        </w:rPr>
        <w:t>the</w:t>
      </w:r>
      <w:r>
        <w:rPr>
          <w:spacing w:val="-12"/>
          <w:sz w:val="20"/>
        </w:rPr>
        <w:t> </w:t>
      </w:r>
      <w:r>
        <w:rPr>
          <w:sz w:val="20"/>
        </w:rPr>
        <w:t>ongoing</w:t>
      </w:r>
      <w:r>
        <w:rPr>
          <w:spacing w:val="-13"/>
          <w:sz w:val="20"/>
        </w:rPr>
        <w:t> </w:t>
      </w:r>
      <w:r>
        <w:rPr>
          <w:sz w:val="20"/>
        </w:rPr>
        <w:t>initiative</w:t>
      </w:r>
      <w:r>
        <w:rPr>
          <w:spacing w:val="-12"/>
          <w:sz w:val="20"/>
        </w:rPr>
        <w:t> </w:t>
      </w:r>
      <w:r>
        <w:rPr>
          <w:sz w:val="20"/>
        </w:rPr>
        <w:t>to</w:t>
      </w:r>
      <w:r>
        <w:rPr>
          <w:spacing w:val="-13"/>
          <w:sz w:val="20"/>
        </w:rPr>
        <w:t> </w:t>
      </w:r>
      <w:r>
        <w:rPr>
          <w:sz w:val="20"/>
        </w:rPr>
        <w:t>seek</w:t>
      </w:r>
      <w:r>
        <w:rPr>
          <w:spacing w:val="-12"/>
          <w:sz w:val="20"/>
        </w:rPr>
        <w:t> </w:t>
      </w:r>
      <w:r>
        <w:rPr>
          <w:sz w:val="20"/>
        </w:rPr>
        <w:t>greater</w:t>
      </w:r>
      <w:r>
        <w:rPr>
          <w:spacing w:val="-13"/>
          <w:sz w:val="20"/>
        </w:rPr>
        <w:t> </w:t>
      </w:r>
      <w:r>
        <w:rPr>
          <w:sz w:val="20"/>
        </w:rPr>
        <w:t>coordination</w:t>
      </w:r>
      <w:r>
        <w:rPr>
          <w:spacing w:val="-12"/>
          <w:sz w:val="20"/>
        </w:rPr>
        <w:t> </w:t>
      </w:r>
      <w:r>
        <w:rPr>
          <w:sz w:val="20"/>
        </w:rPr>
        <w:t>between the</w:t>
      </w:r>
      <w:r>
        <w:rPr>
          <w:spacing w:val="-13"/>
          <w:sz w:val="20"/>
        </w:rPr>
        <w:t> </w:t>
      </w:r>
      <w:r>
        <w:rPr>
          <w:sz w:val="20"/>
        </w:rPr>
        <w:t>TFV</w:t>
      </w:r>
      <w:r>
        <w:rPr>
          <w:spacing w:val="-12"/>
          <w:sz w:val="20"/>
        </w:rPr>
        <w:t> </w:t>
      </w:r>
      <w:r>
        <w:rPr>
          <w:sz w:val="20"/>
        </w:rPr>
        <w:t>and</w:t>
      </w:r>
      <w:r>
        <w:rPr>
          <w:spacing w:val="-13"/>
          <w:sz w:val="20"/>
        </w:rPr>
        <w:t> </w:t>
      </w:r>
      <w:r>
        <w:rPr>
          <w:sz w:val="20"/>
        </w:rPr>
        <w:t>the</w:t>
      </w:r>
      <w:r>
        <w:rPr>
          <w:spacing w:val="-12"/>
          <w:sz w:val="20"/>
        </w:rPr>
        <w:t> </w:t>
      </w:r>
      <w:r>
        <w:rPr>
          <w:sz w:val="20"/>
        </w:rPr>
        <w:t>Registry,</w:t>
      </w:r>
      <w:r>
        <w:rPr>
          <w:spacing w:val="-13"/>
          <w:sz w:val="20"/>
        </w:rPr>
        <w:t> </w:t>
      </w:r>
      <w:r>
        <w:rPr>
          <w:sz w:val="20"/>
        </w:rPr>
        <w:t>across</w:t>
      </w:r>
      <w:r>
        <w:rPr>
          <w:spacing w:val="-12"/>
          <w:sz w:val="20"/>
        </w:rPr>
        <w:t> </w:t>
      </w:r>
      <w:r>
        <w:rPr>
          <w:sz w:val="20"/>
        </w:rPr>
        <w:t>all</w:t>
      </w:r>
      <w:r>
        <w:rPr>
          <w:spacing w:val="-13"/>
          <w:sz w:val="20"/>
        </w:rPr>
        <w:t> </w:t>
      </w:r>
      <w:r>
        <w:rPr>
          <w:sz w:val="20"/>
        </w:rPr>
        <w:t>areas</w:t>
      </w:r>
      <w:r>
        <w:rPr>
          <w:spacing w:val="-12"/>
          <w:sz w:val="20"/>
        </w:rPr>
        <w:t> </w:t>
      </w:r>
      <w:r>
        <w:rPr>
          <w:sz w:val="20"/>
        </w:rPr>
        <w:t>of</w:t>
      </w:r>
      <w:r>
        <w:rPr>
          <w:spacing w:val="-13"/>
          <w:sz w:val="20"/>
        </w:rPr>
        <w:t> </w:t>
      </w:r>
      <w:r>
        <w:rPr>
          <w:sz w:val="20"/>
        </w:rPr>
        <w:t>their</w:t>
      </w:r>
      <w:r>
        <w:rPr>
          <w:spacing w:val="-12"/>
          <w:sz w:val="20"/>
        </w:rPr>
        <w:t> </w:t>
      </w:r>
      <w:r>
        <w:rPr>
          <w:sz w:val="20"/>
        </w:rPr>
        <w:t>cooperation</w:t>
      </w:r>
      <w:r>
        <w:rPr>
          <w:spacing w:val="-13"/>
          <w:sz w:val="20"/>
        </w:rPr>
        <w:t> </w:t>
      </w:r>
      <w:r>
        <w:rPr>
          <w:sz w:val="20"/>
        </w:rPr>
        <w:t>and</w:t>
      </w:r>
      <w:r>
        <w:rPr>
          <w:spacing w:val="-12"/>
          <w:sz w:val="20"/>
        </w:rPr>
        <w:t> </w:t>
      </w:r>
      <w:r>
        <w:rPr>
          <w:sz w:val="20"/>
        </w:rPr>
        <w:t>assistance,</w:t>
      </w:r>
      <w:r>
        <w:rPr>
          <w:spacing w:val="-13"/>
          <w:sz w:val="20"/>
        </w:rPr>
        <w:t> </w:t>
      </w:r>
      <w:r>
        <w:rPr>
          <w:sz w:val="20"/>
        </w:rPr>
        <w:t>will</w:t>
      </w:r>
      <w:r>
        <w:rPr>
          <w:spacing w:val="-12"/>
          <w:sz w:val="20"/>
        </w:rPr>
        <w:t> </w:t>
      </w:r>
      <w:r>
        <w:rPr>
          <w:sz w:val="20"/>
        </w:rPr>
        <w:t>be</w:t>
      </w:r>
      <w:r>
        <w:rPr>
          <w:spacing w:val="-13"/>
          <w:sz w:val="20"/>
        </w:rPr>
        <w:t> </w:t>
      </w:r>
      <w:r>
        <w:rPr>
          <w:sz w:val="20"/>
        </w:rPr>
        <w:t>essential to</w:t>
      </w:r>
      <w:r>
        <w:rPr>
          <w:spacing w:val="-5"/>
          <w:sz w:val="20"/>
        </w:rPr>
        <w:t> </w:t>
      </w:r>
      <w:r>
        <w:rPr>
          <w:sz w:val="20"/>
        </w:rPr>
        <w:t>streamline</w:t>
      </w:r>
      <w:r>
        <w:rPr>
          <w:spacing w:val="-3"/>
          <w:sz w:val="20"/>
        </w:rPr>
        <w:t> </w:t>
      </w:r>
      <w:r>
        <w:rPr>
          <w:sz w:val="20"/>
        </w:rPr>
        <w:t>administrative</w:t>
      </w:r>
      <w:r>
        <w:rPr>
          <w:spacing w:val="-3"/>
          <w:sz w:val="20"/>
        </w:rPr>
        <w:t> </w:t>
      </w:r>
      <w:r>
        <w:rPr>
          <w:sz w:val="20"/>
        </w:rPr>
        <w:t>and</w:t>
      </w:r>
      <w:r>
        <w:rPr>
          <w:spacing w:val="-9"/>
          <w:sz w:val="20"/>
        </w:rPr>
        <w:t> </w:t>
      </w:r>
      <w:r>
        <w:rPr>
          <w:sz w:val="20"/>
        </w:rPr>
        <w:t>operational</w:t>
      </w:r>
      <w:r>
        <w:rPr>
          <w:spacing w:val="-3"/>
          <w:sz w:val="20"/>
        </w:rPr>
        <w:t> </w:t>
      </w:r>
      <w:r>
        <w:rPr>
          <w:sz w:val="20"/>
        </w:rPr>
        <w:t>processes</w:t>
      </w:r>
      <w:r>
        <w:rPr>
          <w:spacing w:val="-11"/>
          <w:sz w:val="20"/>
        </w:rPr>
        <w:t> </w:t>
      </w:r>
      <w:r>
        <w:rPr>
          <w:sz w:val="20"/>
        </w:rPr>
        <w:t>as</w:t>
      </w:r>
      <w:r>
        <w:rPr>
          <w:spacing w:val="-1"/>
          <w:sz w:val="20"/>
        </w:rPr>
        <w:t> </w:t>
      </w:r>
      <w:r>
        <w:rPr>
          <w:sz w:val="20"/>
        </w:rPr>
        <w:t>well</w:t>
      </w:r>
      <w:r>
        <w:rPr>
          <w:spacing w:val="-3"/>
          <w:sz w:val="20"/>
        </w:rPr>
        <w:t> </w:t>
      </w:r>
      <w:r>
        <w:rPr>
          <w:sz w:val="20"/>
        </w:rPr>
        <w:t>as</w:t>
      </w:r>
      <w:r>
        <w:rPr>
          <w:spacing w:val="-6"/>
          <w:sz w:val="20"/>
        </w:rPr>
        <w:t> </w:t>
      </w:r>
      <w:r>
        <w:rPr>
          <w:sz w:val="20"/>
        </w:rPr>
        <w:t>to</w:t>
      </w:r>
      <w:r>
        <w:rPr>
          <w:spacing w:val="-9"/>
          <w:sz w:val="20"/>
        </w:rPr>
        <w:t> </w:t>
      </w:r>
      <w:r>
        <w:rPr>
          <w:sz w:val="20"/>
        </w:rPr>
        <w:t>confirm</w:t>
      </w:r>
      <w:r>
        <w:rPr>
          <w:spacing w:val="-3"/>
          <w:sz w:val="20"/>
        </w:rPr>
        <w:t> </w:t>
      </w:r>
      <w:r>
        <w:rPr>
          <w:sz w:val="20"/>
        </w:rPr>
        <w:t>specific</w:t>
      </w:r>
      <w:r>
        <w:rPr>
          <w:spacing w:val="-3"/>
          <w:sz w:val="20"/>
        </w:rPr>
        <w:t> </w:t>
      </w:r>
      <w:r>
        <w:rPr>
          <w:sz w:val="20"/>
        </w:rPr>
        <w:t>areas in which</w:t>
      </w:r>
      <w:r>
        <w:rPr>
          <w:spacing w:val="-3"/>
          <w:sz w:val="20"/>
        </w:rPr>
        <w:t> </w:t>
      </w:r>
      <w:r>
        <w:rPr>
          <w:sz w:val="20"/>
        </w:rPr>
        <w:t>the</w:t>
      </w:r>
      <w:r>
        <w:rPr>
          <w:spacing w:val="-1"/>
          <w:sz w:val="20"/>
        </w:rPr>
        <w:t> </w:t>
      </w:r>
      <w:r>
        <w:rPr>
          <w:sz w:val="20"/>
        </w:rPr>
        <w:t>TFV will</w:t>
      </w:r>
      <w:r>
        <w:rPr>
          <w:spacing w:val="-1"/>
          <w:sz w:val="20"/>
        </w:rPr>
        <w:t> </w:t>
      </w:r>
      <w:r>
        <w:rPr>
          <w:sz w:val="20"/>
        </w:rPr>
        <w:t>need</w:t>
      </w:r>
      <w:r>
        <w:rPr>
          <w:spacing w:val="-3"/>
          <w:sz w:val="20"/>
        </w:rPr>
        <w:t> </w:t>
      </w:r>
      <w:r>
        <w:rPr>
          <w:sz w:val="20"/>
        </w:rPr>
        <w:t>to</w:t>
      </w:r>
      <w:r>
        <w:rPr>
          <w:spacing w:val="-3"/>
          <w:sz w:val="20"/>
        </w:rPr>
        <w:t> </w:t>
      </w:r>
      <w:r>
        <w:rPr>
          <w:sz w:val="20"/>
        </w:rPr>
        <w:t>invest</w:t>
      </w:r>
      <w:r>
        <w:rPr>
          <w:spacing w:val="-1"/>
          <w:sz w:val="20"/>
        </w:rPr>
        <w:t> </w:t>
      </w:r>
      <w:r>
        <w:rPr>
          <w:sz w:val="20"/>
        </w:rPr>
        <w:t>capacity</w:t>
      </w:r>
      <w:r>
        <w:rPr>
          <w:spacing w:val="-3"/>
          <w:sz w:val="20"/>
        </w:rPr>
        <w:t> </w:t>
      </w:r>
      <w:r>
        <w:rPr>
          <w:sz w:val="20"/>
        </w:rPr>
        <w:t>to</w:t>
      </w:r>
      <w:r>
        <w:rPr>
          <w:spacing w:val="-3"/>
          <w:sz w:val="20"/>
        </w:rPr>
        <w:t> </w:t>
      </w:r>
      <w:r>
        <w:rPr>
          <w:sz w:val="20"/>
        </w:rPr>
        <w:t>ensure</w:t>
      </w:r>
      <w:r>
        <w:rPr>
          <w:spacing w:val="-1"/>
          <w:sz w:val="20"/>
        </w:rPr>
        <w:t> </w:t>
      </w:r>
      <w:r>
        <w:rPr>
          <w:sz w:val="20"/>
        </w:rPr>
        <w:t>adequate performance</w:t>
      </w:r>
      <w:r>
        <w:rPr>
          <w:spacing w:val="-1"/>
          <w:sz w:val="20"/>
        </w:rPr>
        <w:t> </w:t>
      </w:r>
      <w:r>
        <w:rPr>
          <w:sz w:val="20"/>
        </w:rPr>
        <w:t>in</w:t>
      </w:r>
      <w:r>
        <w:rPr>
          <w:spacing w:val="-3"/>
          <w:sz w:val="20"/>
        </w:rPr>
        <w:t> </w:t>
      </w:r>
      <w:r>
        <w:rPr>
          <w:sz w:val="20"/>
        </w:rPr>
        <w:t>relation</w:t>
      </w:r>
      <w:r>
        <w:rPr>
          <w:spacing w:val="-3"/>
          <w:sz w:val="20"/>
        </w:rPr>
        <w:t> </w:t>
      </w:r>
      <w:r>
        <w:rPr>
          <w:sz w:val="20"/>
        </w:rPr>
        <w:t>to</w:t>
      </w:r>
      <w:r>
        <w:rPr>
          <w:spacing w:val="-3"/>
          <w:sz w:val="20"/>
        </w:rPr>
        <w:t> </w:t>
      </w:r>
      <w:r>
        <w:rPr>
          <w:sz w:val="20"/>
        </w:rPr>
        <w:t>its strategic goals.</w:t>
      </w:r>
    </w:p>
    <w:p>
      <w:pPr>
        <w:pStyle w:val="ListParagraph"/>
        <w:numPr>
          <w:ilvl w:val="0"/>
          <w:numId w:val="4"/>
        </w:numPr>
        <w:tabs>
          <w:tab w:pos="2967" w:val="left" w:leader="none"/>
        </w:tabs>
        <w:spacing w:line="240" w:lineRule="auto" w:before="120" w:after="0"/>
        <w:ind w:left="2246" w:right="2244" w:firstLine="0"/>
        <w:jc w:val="both"/>
        <w:rPr>
          <w:sz w:val="20"/>
        </w:rPr>
      </w:pPr>
      <w:r>
        <w:rPr>
          <w:sz w:val="20"/>
        </w:rPr>
        <w:t>Mindful</w:t>
      </w:r>
      <w:r>
        <w:rPr>
          <w:spacing w:val="-13"/>
          <w:sz w:val="20"/>
        </w:rPr>
        <w:t> </w:t>
      </w:r>
      <w:r>
        <w:rPr>
          <w:sz w:val="20"/>
        </w:rPr>
        <w:t>of</w:t>
      </w:r>
      <w:r>
        <w:rPr>
          <w:spacing w:val="-12"/>
          <w:sz w:val="20"/>
        </w:rPr>
        <w:t> </w:t>
      </w:r>
      <w:r>
        <w:rPr>
          <w:sz w:val="20"/>
        </w:rPr>
        <w:t>the</w:t>
      </w:r>
      <w:r>
        <w:rPr>
          <w:spacing w:val="-13"/>
          <w:sz w:val="20"/>
        </w:rPr>
        <w:t> </w:t>
      </w:r>
      <w:r>
        <w:rPr>
          <w:sz w:val="20"/>
        </w:rPr>
        <w:t>scarcity</w:t>
      </w:r>
      <w:r>
        <w:rPr>
          <w:spacing w:val="-9"/>
          <w:sz w:val="20"/>
        </w:rPr>
        <w:t> </w:t>
      </w:r>
      <w:r>
        <w:rPr>
          <w:sz w:val="20"/>
        </w:rPr>
        <w:t>of</w:t>
      </w:r>
      <w:r>
        <w:rPr>
          <w:spacing w:val="-9"/>
          <w:sz w:val="20"/>
        </w:rPr>
        <w:t> </w:t>
      </w:r>
      <w:r>
        <w:rPr>
          <w:sz w:val="20"/>
        </w:rPr>
        <w:t>budgetary</w:t>
      </w:r>
      <w:r>
        <w:rPr>
          <w:spacing w:val="-13"/>
          <w:sz w:val="20"/>
        </w:rPr>
        <w:t> </w:t>
      </w:r>
      <w:r>
        <w:rPr>
          <w:sz w:val="20"/>
        </w:rPr>
        <w:t>resources,</w:t>
      </w:r>
      <w:r>
        <w:rPr>
          <w:spacing w:val="-12"/>
          <w:sz w:val="20"/>
        </w:rPr>
        <w:t> </w:t>
      </w:r>
      <w:r>
        <w:rPr>
          <w:sz w:val="20"/>
        </w:rPr>
        <w:t>the</w:t>
      </w:r>
      <w:r>
        <w:rPr>
          <w:spacing w:val="-13"/>
          <w:sz w:val="20"/>
        </w:rPr>
        <w:t> </w:t>
      </w:r>
      <w:r>
        <w:rPr>
          <w:sz w:val="20"/>
        </w:rPr>
        <w:t>Trust</w:t>
      </w:r>
      <w:r>
        <w:rPr>
          <w:spacing w:val="-12"/>
          <w:sz w:val="20"/>
        </w:rPr>
        <w:t> </w:t>
      </w:r>
      <w:r>
        <w:rPr>
          <w:sz w:val="20"/>
        </w:rPr>
        <w:t>Fund</w:t>
      </w:r>
      <w:r>
        <w:rPr>
          <w:spacing w:val="-13"/>
          <w:sz w:val="20"/>
        </w:rPr>
        <w:t> </w:t>
      </w:r>
      <w:r>
        <w:rPr>
          <w:sz w:val="20"/>
        </w:rPr>
        <w:t>continually</w:t>
      </w:r>
      <w:r>
        <w:rPr>
          <w:spacing w:val="-12"/>
          <w:sz w:val="20"/>
        </w:rPr>
        <w:t> </w:t>
      </w:r>
      <w:r>
        <w:rPr>
          <w:sz w:val="20"/>
        </w:rPr>
        <w:t>seeks</w:t>
      </w:r>
      <w:r>
        <w:rPr>
          <w:spacing w:val="-11"/>
          <w:sz w:val="20"/>
        </w:rPr>
        <w:t> </w:t>
      </w:r>
      <w:r>
        <w:rPr>
          <w:sz w:val="20"/>
        </w:rPr>
        <w:t>and advocates</w:t>
      </w:r>
      <w:r>
        <w:rPr>
          <w:spacing w:val="-5"/>
          <w:sz w:val="20"/>
        </w:rPr>
        <w:t> </w:t>
      </w:r>
      <w:r>
        <w:rPr>
          <w:sz w:val="20"/>
        </w:rPr>
        <w:t>for</w:t>
      </w:r>
      <w:r>
        <w:rPr>
          <w:spacing w:val="-3"/>
          <w:sz w:val="20"/>
        </w:rPr>
        <w:t> </w:t>
      </w:r>
      <w:r>
        <w:rPr>
          <w:sz w:val="20"/>
        </w:rPr>
        <w:t>a</w:t>
      </w:r>
      <w:r>
        <w:rPr>
          <w:spacing w:val="-2"/>
          <w:sz w:val="20"/>
        </w:rPr>
        <w:t> </w:t>
      </w:r>
      <w:r>
        <w:rPr>
          <w:sz w:val="20"/>
        </w:rPr>
        <w:t>proper</w:t>
      </w:r>
      <w:r>
        <w:rPr>
          <w:spacing w:val="-4"/>
          <w:sz w:val="20"/>
        </w:rPr>
        <w:t> </w:t>
      </w:r>
      <w:r>
        <w:rPr>
          <w:sz w:val="20"/>
        </w:rPr>
        <w:t>balance</w:t>
      </w:r>
      <w:r>
        <w:rPr>
          <w:spacing w:val="-2"/>
          <w:sz w:val="20"/>
        </w:rPr>
        <w:t> </w:t>
      </w:r>
      <w:r>
        <w:rPr>
          <w:sz w:val="20"/>
        </w:rPr>
        <w:t>between</w:t>
      </w:r>
      <w:r>
        <w:rPr>
          <w:spacing w:val="-4"/>
          <w:sz w:val="20"/>
        </w:rPr>
        <w:t> </w:t>
      </w:r>
      <w:r>
        <w:rPr>
          <w:sz w:val="20"/>
        </w:rPr>
        <w:t>the</w:t>
      </w:r>
      <w:r>
        <w:rPr>
          <w:spacing w:val="-2"/>
          <w:sz w:val="20"/>
        </w:rPr>
        <w:t> </w:t>
      </w:r>
      <w:r>
        <w:rPr>
          <w:sz w:val="20"/>
        </w:rPr>
        <w:t>use</w:t>
      </w:r>
      <w:r>
        <w:rPr>
          <w:spacing w:val="-2"/>
          <w:sz w:val="20"/>
        </w:rPr>
        <w:t> </w:t>
      </w:r>
      <w:r>
        <w:rPr>
          <w:sz w:val="20"/>
        </w:rPr>
        <w:t>of</w:t>
      </w:r>
      <w:r>
        <w:rPr>
          <w:spacing w:val="-4"/>
          <w:sz w:val="20"/>
        </w:rPr>
        <w:t> </w:t>
      </w:r>
      <w:r>
        <w:rPr>
          <w:sz w:val="20"/>
        </w:rPr>
        <w:t>resources,</w:t>
      </w:r>
      <w:r>
        <w:rPr>
          <w:spacing w:val="-6"/>
          <w:sz w:val="20"/>
        </w:rPr>
        <w:t> </w:t>
      </w:r>
      <w:r>
        <w:rPr>
          <w:sz w:val="20"/>
        </w:rPr>
        <w:t>in particular staff</w:t>
      </w:r>
      <w:r>
        <w:rPr>
          <w:spacing w:val="-4"/>
          <w:sz w:val="20"/>
        </w:rPr>
        <w:t> </w:t>
      </w:r>
      <w:r>
        <w:rPr>
          <w:sz w:val="20"/>
        </w:rPr>
        <w:t>capacity,</w:t>
      </w:r>
      <w:r>
        <w:rPr>
          <w:spacing w:val="-1"/>
          <w:sz w:val="20"/>
        </w:rPr>
        <w:t> </w:t>
      </w:r>
      <w:r>
        <w:rPr>
          <w:sz w:val="20"/>
        </w:rPr>
        <w:t>and expected</w:t>
      </w:r>
      <w:r>
        <w:rPr>
          <w:spacing w:val="-4"/>
          <w:sz w:val="20"/>
        </w:rPr>
        <w:t> </w:t>
      </w:r>
      <w:r>
        <w:rPr>
          <w:sz w:val="20"/>
        </w:rPr>
        <w:t>outcomes</w:t>
      </w:r>
      <w:r>
        <w:rPr>
          <w:spacing w:val="-5"/>
          <w:sz w:val="20"/>
        </w:rPr>
        <w:t> </w:t>
      </w:r>
      <w:r>
        <w:rPr>
          <w:sz w:val="20"/>
        </w:rPr>
        <w:t>in</w:t>
      </w:r>
      <w:r>
        <w:rPr>
          <w:spacing w:val="-4"/>
          <w:sz w:val="20"/>
        </w:rPr>
        <w:t> </w:t>
      </w:r>
      <w:r>
        <w:rPr>
          <w:sz w:val="20"/>
        </w:rPr>
        <w:t>terms</w:t>
      </w:r>
      <w:r>
        <w:rPr>
          <w:spacing w:val="-1"/>
          <w:sz w:val="20"/>
        </w:rPr>
        <w:t> </w:t>
      </w:r>
      <w:r>
        <w:rPr>
          <w:sz w:val="20"/>
        </w:rPr>
        <w:t>of</w:t>
      </w:r>
      <w:r>
        <w:rPr>
          <w:spacing w:val="-4"/>
          <w:sz w:val="20"/>
        </w:rPr>
        <w:t> </w:t>
      </w:r>
      <w:r>
        <w:rPr>
          <w:sz w:val="20"/>
        </w:rPr>
        <w:t>organizational</w:t>
      </w:r>
      <w:r>
        <w:rPr>
          <w:spacing w:val="-3"/>
          <w:sz w:val="20"/>
        </w:rPr>
        <w:t> </w:t>
      </w:r>
      <w:r>
        <w:rPr>
          <w:sz w:val="20"/>
        </w:rPr>
        <w:t>performance.</w:t>
      </w:r>
      <w:r>
        <w:rPr>
          <w:spacing w:val="-6"/>
          <w:sz w:val="20"/>
        </w:rPr>
        <w:t> </w:t>
      </w:r>
      <w:r>
        <w:rPr>
          <w:sz w:val="20"/>
        </w:rPr>
        <w:t>In</w:t>
      </w:r>
      <w:r>
        <w:rPr>
          <w:spacing w:val="-4"/>
          <w:sz w:val="20"/>
        </w:rPr>
        <w:t> </w:t>
      </w:r>
      <w:r>
        <w:rPr>
          <w:sz w:val="20"/>
        </w:rPr>
        <w:t>this</w:t>
      </w:r>
      <w:r>
        <w:rPr>
          <w:spacing w:val="-5"/>
          <w:sz w:val="20"/>
        </w:rPr>
        <w:t> </w:t>
      </w:r>
      <w:r>
        <w:rPr>
          <w:sz w:val="20"/>
        </w:rPr>
        <w:t>regard,</w:t>
      </w:r>
      <w:r>
        <w:rPr>
          <w:spacing w:val="-6"/>
          <w:sz w:val="20"/>
        </w:rPr>
        <w:t> </w:t>
      </w:r>
      <w:r>
        <w:rPr>
          <w:sz w:val="20"/>
        </w:rPr>
        <w:t>it</w:t>
      </w:r>
      <w:r>
        <w:rPr>
          <w:spacing w:val="-3"/>
          <w:sz w:val="20"/>
        </w:rPr>
        <w:t> </w:t>
      </w:r>
      <w:r>
        <w:rPr>
          <w:sz w:val="20"/>
        </w:rPr>
        <w:t>is</w:t>
      </w:r>
      <w:r>
        <w:rPr>
          <w:spacing w:val="-5"/>
          <w:sz w:val="20"/>
        </w:rPr>
        <w:t> </w:t>
      </w:r>
      <w:r>
        <w:rPr>
          <w:sz w:val="20"/>
        </w:rPr>
        <w:t>noted</w:t>
      </w:r>
      <w:r>
        <w:rPr>
          <w:spacing w:val="-4"/>
          <w:sz w:val="20"/>
        </w:rPr>
        <w:t> </w:t>
      </w:r>
      <w:r>
        <w:rPr>
          <w:sz w:val="20"/>
        </w:rPr>
        <w:t>that</w:t>
      </w:r>
      <w:r>
        <w:rPr>
          <w:spacing w:val="-7"/>
          <w:sz w:val="20"/>
        </w:rPr>
        <w:t> </w:t>
      </w:r>
      <w:r>
        <w:rPr>
          <w:sz w:val="20"/>
        </w:rPr>
        <w:t>the use</w:t>
      </w:r>
      <w:r>
        <w:rPr>
          <w:spacing w:val="40"/>
          <w:sz w:val="20"/>
        </w:rPr>
        <w:t> </w:t>
      </w:r>
      <w:r>
        <w:rPr>
          <w:sz w:val="20"/>
        </w:rPr>
        <w:t>of</w:t>
      </w:r>
      <w:r>
        <w:rPr>
          <w:spacing w:val="35"/>
          <w:sz w:val="20"/>
        </w:rPr>
        <w:t> </w:t>
      </w:r>
      <w:r>
        <w:rPr>
          <w:sz w:val="20"/>
        </w:rPr>
        <w:t>the</w:t>
      </w:r>
      <w:r>
        <w:rPr>
          <w:spacing w:val="36"/>
          <w:sz w:val="20"/>
        </w:rPr>
        <w:t> </w:t>
      </w:r>
      <w:r>
        <w:rPr>
          <w:sz w:val="20"/>
        </w:rPr>
        <w:t>TFV’s</w:t>
      </w:r>
      <w:r>
        <w:rPr>
          <w:spacing w:val="38"/>
          <w:sz w:val="20"/>
        </w:rPr>
        <w:t> </w:t>
      </w:r>
      <w:r>
        <w:rPr>
          <w:sz w:val="20"/>
        </w:rPr>
        <w:t>budgetary</w:t>
      </w:r>
      <w:r>
        <w:rPr>
          <w:spacing w:val="35"/>
          <w:sz w:val="20"/>
        </w:rPr>
        <w:t> </w:t>
      </w:r>
      <w:r>
        <w:rPr>
          <w:sz w:val="20"/>
        </w:rPr>
        <w:t>resources</w:t>
      </w:r>
      <w:r>
        <w:rPr>
          <w:spacing w:val="33"/>
          <w:sz w:val="20"/>
        </w:rPr>
        <w:t> </w:t>
      </w:r>
      <w:r>
        <w:rPr>
          <w:sz w:val="20"/>
        </w:rPr>
        <w:t>is</w:t>
      </w:r>
      <w:r>
        <w:rPr>
          <w:spacing w:val="38"/>
          <w:sz w:val="20"/>
        </w:rPr>
        <w:t> </w:t>
      </w:r>
      <w:r>
        <w:rPr>
          <w:sz w:val="20"/>
        </w:rPr>
        <w:t>reliant</w:t>
      </w:r>
      <w:r>
        <w:rPr>
          <w:spacing w:val="36"/>
          <w:sz w:val="20"/>
        </w:rPr>
        <w:t> </w:t>
      </w:r>
      <w:r>
        <w:rPr>
          <w:sz w:val="20"/>
        </w:rPr>
        <w:t>on</w:t>
      </w:r>
      <w:r>
        <w:rPr>
          <w:spacing w:val="35"/>
          <w:sz w:val="20"/>
        </w:rPr>
        <w:t> </w:t>
      </w:r>
      <w:r>
        <w:rPr>
          <w:sz w:val="20"/>
        </w:rPr>
        <w:t>judicial</w:t>
      </w:r>
      <w:r>
        <w:rPr>
          <w:spacing w:val="40"/>
          <w:sz w:val="20"/>
        </w:rPr>
        <w:t> </w:t>
      </w:r>
      <w:r>
        <w:rPr>
          <w:sz w:val="20"/>
        </w:rPr>
        <w:t>developments</w:t>
      </w:r>
      <w:r>
        <w:rPr>
          <w:spacing w:val="38"/>
          <w:sz w:val="20"/>
        </w:rPr>
        <w:t> </w:t>
      </w:r>
      <w:r>
        <w:rPr>
          <w:sz w:val="20"/>
        </w:rPr>
        <w:t>requiring</w:t>
      </w:r>
      <w:r>
        <w:rPr>
          <w:spacing w:val="35"/>
          <w:sz w:val="20"/>
        </w:rPr>
        <w:t> </w:t>
      </w:r>
      <w:r>
        <w:rPr>
          <w:sz w:val="20"/>
        </w:rPr>
        <w:t>the</w:t>
      </w:r>
    </w:p>
    <w:p>
      <w:pPr>
        <w:spacing w:after="0" w:line="240" w:lineRule="auto"/>
        <w:jc w:val="both"/>
        <w:rPr>
          <w:sz w:val="20"/>
        </w:rPr>
        <w:sectPr>
          <w:pgSz w:w="11910" w:h="16840"/>
          <w:pgMar w:header="953" w:footer="940" w:top="1140" w:bottom="1140" w:left="20" w:right="20"/>
        </w:sectPr>
      </w:pPr>
    </w:p>
    <w:p>
      <w:pPr>
        <w:pStyle w:val="BodyText"/>
        <w:spacing w:before="120"/>
        <w:ind w:left="2246" w:right="2241"/>
        <w:jc w:val="both"/>
      </w:pPr>
      <w:r>
        <w:rPr/>
        <w:t>involvement of the TFV. Similarly, seeking further synergies and enhancing coordination between</w:t>
      </w:r>
      <w:r>
        <w:rPr>
          <w:spacing w:val="-13"/>
        </w:rPr>
        <w:t> </w:t>
      </w:r>
      <w:r>
        <w:rPr/>
        <w:t>the</w:t>
      </w:r>
      <w:r>
        <w:rPr>
          <w:spacing w:val="-6"/>
        </w:rPr>
        <w:t> </w:t>
      </w:r>
      <w:r>
        <w:rPr/>
        <w:t>TFV</w:t>
      </w:r>
      <w:r>
        <w:rPr>
          <w:spacing w:val="-13"/>
        </w:rPr>
        <w:t> </w:t>
      </w:r>
      <w:r>
        <w:rPr/>
        <w:t>and</w:t>
      </w:r>
      <w:r>
        <w:rPr>
          <w:spacing w:val="-12"/>
        </w:rPr>
        <w:t> </w:t>
      </w:r>
      <w:r>
        <w:rPr/>
        <w:t>the</w:t>
      </w:r>
      <w:r>
        <w:rPr>
          <w:spacing w:val="-10"/>
        </w:rPr>
        <w:t> </w:t>
      </w:r>
      <w:r>
        <w:rPr/>
        <w:t>Registry</w:t>
      </w:r>
      <w:r>
        <w:rPr>
          <w:spacing w:val="-12"/>
        </w:rPr>
        <w:t> </w:t>
      </w:r>
      <w:r>
        <w:rPr/>
        <w:t>is</w:t>
      </w:r>
      <w:r>
        <w:rPr>
          <w:spacing w:val="-9"/>
        </w:rPr>
        <w:t> </w:t>
      </w:r>
      <w:r>
        <w:rPr/>
        <w:t>key</w:t>
      </w:r>
      <w:r>
        <w:rPr>
          <w:spacing w:val="-7"/>
        </w:rPr>
        <w:t> </w:t>
      </w:r>
      <w:r>
        <w:rPr/>
        <w:t>to</w:t>
      </w:r>
      <w:r>
        <w:rPr>
          <w:spacing w:val="-7"/>
        </w:rPr>
        <w:t> </w:t>
      </w:r>
      <w:r>
        <w:rPr/>
        <w:t>ensuring</w:t>
      </w:r>
      <w:r>
        <w:rPr>
          <w:spacing w:val="-12"/>
        </w:rPr>
        <w:t> </w:t>
      </w:r>
      <w:r>
        <w:rPr/>
        <w:t>adequate</w:t>
      </w:r>
      <w:r>
        <w:rPr>
          <w:spacing w:val="-10"/>
        </w:rPr>
        <w:t> </w:t>
      </w:r>
      <w:r>
        <w:rPr/>
        <w:t>administrative</w:t>
      </w:r>
      <w:r>
        <w:rPr>
          <w:spacing w:val="-11"/>
        </w:rPr>
        <w:t> </w:t>
      </w:r>
      <w:r>
        <w:rPr/>
        <w:t>capabilities</w:t>
      </w:r>
      <w:r>
        <w:rPr>
          <w:spacing w:val="-9"/>
        </w:rPr>
        <w:t> </w:t>
      </w:r>
      <w:r>
        <w:rPr/>
        <w:t>and processes supporting programme implementation. Furthermore, the use of TFV resources may be influenced by the use of partners to</w:t>
      </w:r>
      <w:r>
        <w:rPr>
          <w:spacing w:val="-4"/>
        </w:rPr>
        <w:t> </w:t>
      </w:r>
      <w:r>
        <w:rPr/>
        <w:t>carry out implementation</w:t>
      </w:r>
      <w:r>
        <w:rPr>
          <w:spacing w:val="-4"/>
        </w:rPr>
        <w:t> </w:t>
      </w:r>
      <w:r>
        <w:rPr/>
        <w:t>activities on behalf of the Trust Fund, requiring procurement of their services in often weak services markets as well</w:t>
      </w:r>
      <w:r>
        <w:rPr>
          <w:spacing w:val="-3"/>
        </w:rPr>
        <w:t> </w:t>
      </w:r>
      <w:r>
        <w:rPr/>
        <w:t>as</w:t>
      </w:r>
      <w:r>
        <w:rPr>
          <w:spacing w:val="-6"/>
        </w:rPr>
        <w:t> </w:t>
      </w:r>
      <w:r>
        <w:rPr/>
        <w:t>close</w:t>
      </w:r>
      <w:r>
        <w:rPr>
          <w:spacing w:val="-3"/>
        </w:rPr>
        <w:t> </w:t>
      </w:r>
      <w:r>
        <w:rPr/>
        <w:t>monitoring</w:t>
      </w:r>
      <w:r>
        <w:rPr>
          <w:spacing w:val="-5"/>
        </w:rPr>
        <w:t> </w:t>
      </w:r>
      <w:r>
        <w:rPr/>
        <w:t>and guidance during implementation;</w:t>
      </w:r>
      <w:r>
        <w:rPr>
          <w:spacing w:val="-3"/>
        </w:rPr>
        <w:t> </w:t>
      </w:r>
      <w:r>
        <w:rPr/>
        <w:t>and</w:t>
      </w:r>
      <w:r>
        <w:rPr>
          <w:spacing w:val="-5"/>
        </w:rPr>
        <w:t> </w:t>
      </w:r>
      <w:r>
        <w:rPr/>
        <w:t>by</w:t>
      </w:r>
      <w:r>
        <w:rPr>
          <w:spacing w:val="-5"/>
        </w:rPr>
        <w:t> </w:t>
      </w:r>
      <w:r>
        <w:rPr/>
        <w:t>market</w:t>
      </w:r>
      <w:r>
        <w:rPr>
          <w:spacing w:val="-3"/>
        </w:rPr>
        <w:t> </w:t>
      </w:r>
      <w:r>
        <w:rPr/>
        <w:t>conditions</w:t>
      </w:r>
      <w:r>
        <w:rPr>
          <w:spacing w:val="-1"/>
        </w:rPr>
        <w:t> </w:t>
      </w:r>
      <w:r>
        <w:rPr/>
        <w:t>for public</w:t>
      </w:r>
      <w:r>
        <w:rPr>
          <w:spacing w:val="-4"/>
        </w:rPr>
        <w:t> </w:t>
      </w:r>
      <w:r>
        <w:rPr/>
        <w:t>and</w:t>
      </w:r>
      <w:r>
        <w:rPr>
          <w:spacing w:val="-1"/>
        </w:rPr>
        <w:t> </w:t>
      </w:r>
      <w:r>
        <w:rPr/>
        <w:t>private</w:t>
      </w:r>
      <w:r>
        <w:rPr>
          <w:spacing w:val="-4"/>
        </w:rPr>
        <w:t> </w:t>
      </w:r>
      <w:r>
        <w:rPr/>
        <w:t>fundraising</w:t>
      </w:r>
      <w:r>
        <w:rPr>
          <w:spacing w:val="-6"/>
        </w:rPr>
        <w:t> </w:t>
      </w:r>
      <w:r>
        <w:rPr/>
        <w:t>(resource</w:t>
      </w:r>
      <w:r>
        <w:rPr>
          <w:spacing w:val="-4"/>
        </w:rPr>
        <w:t> </w:t>
      </w:r>
      <w:r>
        <w:rPr/>
        <w:t>mobilization),</w:t>
      </w:r>
      <w:r>
        <w:rPr>
          <w:spacing w:val="-3"/>
        </w:rPr>
        <w:t> </w:t>
      </w:r>
      <w:r>
        <w:rPr/>
        <w:t>which</w:t>
      </w:r>
      <w:r>
        <w:rPr>
          <w:spacing w:val="-6"/>
        </w:rPr>
        <w:t> </w:t>
      </w:r>
      <w:r>
        <w:rPr/>
        <w:t>are</w:t>
      </w:r>
      <w:r>
        <w:rPr>
          <w:spacing w:val="-4"/>
        </w:rPr>
        <w:t> </w:t>
      </w:r>
      <w:r>
        <w:rPr/>
        <w:t>characterized</w:t>
      </w:r>
      <w:r>
        <w:rPr>
          <w:spacing w:val="-6"/>
        </w:rPr>
        <w:t> </w:t>
      </w:r>
      <w:r>
        <w:rPr/>
        <w:t>by</w:t>
      </w:r>
      <w:r>
        <w:rPr>
          <w:spacing w:val="-6"/>
        </w:rPr>
        <w:t> </w:t>
      </w:r>
      <w:r>
        <w:rPr/>
        <w:t>increased competition for fewer available donor resources.</w:t>
      </w:r>
    </w:p>
    <w:p>
      <w:pPr>
        <w:pStyle w:val="BodyText"/>
        <w:spacing w:before="2"/>
        <w:rPr>
          <w:sz w:val="21"/>
        </w:rPr>
      </w:pPr>
    </w:p>
    <w:p>
      <w:pPr>
        <w:spacing w:before="1"/>
        <w:ind w:left="2246" w:right="0" w:firstLine="0"/>
        <w:jc w:val="both"/>
        <w:rPr>
          <w:i/>
          <w:sz w:val="20"/>
        </w:rPr>
      </w:pPr>
      <w:r>
        <w:rPr>
          <w:i/>
          <w:sz w:val="20"/>
        </w:rPr>
        <w:t>Budgetary</w:t>
      </w:r>
      <w:r>
        <w:rPr>
          <w:i/>
          <w:spacing w:val="-6"/>
          <w:sz w:val="20"/>
        </w:rPr>
        <w:t> </w:t>
      </w:r>
      <w:r>
        <w:rPr>
          <w:i/>
          <w:sz w:val="20"/>
        </w:rPr>
        <w:t>implications</w:t>
      </w:r>
      <w:r>
        <w:rPr>
          <w:i/>
          <w:spacing w:val="-9"/>
          <w:sz w:val="20"/>
        </w:rPr>
        <w:t> </w:t>
      </w:r>
      <w:r>
        <w:rPr>
          <w:i/>
          <w:sz w:val="20"/>
        </w:rPr>
        <w:t>of</w:t>
      </w:r>
      <w:r>
        <w:rPr>
          <w:i/>
          <w:spacing w:val="-5"/>
          <w:sz w:val="20"/>
        </w:rPr>
        <w:t> </w:t>
      </w:r>
      <w:r>
        <w:rPr>
          <w:i/>
          <w:sz w:val="20"/>
        </w:rPr>
        <w:t>the</w:t>
      </w:r>
      <w:r>
        <w:rPr>
          <w:i/>
          <w:spacing w:val="-6"/>
          <w:sz w:val="20"/>
        </w:rPr>
        <w:t> </w:t>
      </w:r>
      <w:r>
        <w:rPr>
          <w:i/>
          <w:sz w:val="20"/>
        </w:rPr>
        <w:t>Trust</w:t>
      </w:r>
      <w:r>
        <w:rPr>
          <w:i/>
          <w:spacing w:val="-6"/>
          <w:sz w:val="20"/>
        </w:rPr>
        <w:t> </w:t>
      </w:r>
      <w:r>
        <w:rPr>
          <w:i/>
          <w:sz w:val="20"/>
        </w:rPr>
        <w:t>Fund’s</w:t>
      </w:r>
      <w:r>
        <w:rPr>
          <w:i/>
          <w:spacing w:val="-8"/>
          <w:sz w:val="20"/>
        </w:rPr>
        <w:t> </w:t>
      </w:r>
      <w:r>
        <w:rPr>
          <w:i/>
          <w:sz w:val="20"/>
        </w:rPr>
        <w:t>strategic</w:t>
      </w:r>
      <w:r>
        <w:rPr>
          <w:i/>
          <w:spacing w:val="-6"/>
          <w:sz w:val="20"/>
        </w:rPr>
        <w:t> </w:t>
      </w:r>
      <w:r>
        <w:rPr>
          <w:i/>
          <w:sz w:val="20"/>
        </w:rPr>
        <w:t>priorities</w:t>
      </w:r>
      <w:r>
        <w:rPr>
          <w:i/>
          <w:spacing w:val="-5"/>
          <w:sz w:val="20"/>
        </w:rPr>
        <w:t> </w:t>
      </w:r>
      <w:r>
        <w:rPr>
          <w:i/>
          <w:sz w:val="20"/>
        </w:rPr>
        <w:t>in</w:t>
      </w:r>
      <w:r>
        <w:rPr>
          <w:i/>
          <w:spacing w:val="-7"/>
          <w:sz w:val="20"/>
        </w:rPr>
        <w:t> </w:t>
      </w:r>
      <w:r>
        <w:rPr>
          <w:i/>
          <w:spacing w:val="-4"/>
          <w:sz w:val="20"/>
        </w:rPr>
        <w:t>2023</w:t>
      </w:r>
    </w:p>
    <w:p>
      <w:pPr>
        <w:pStyle w:val="BodyText"/>
        <w:spacing w:before="10"/>
        <w:rPr>
          <w:i/>
        </w:rPr>
      </w:pPr>
    </w:p>
    <w:p>
      <w:pPr>
        <w:pStyle w:val="ListParagraph"/>
        <w:numPr>
          <w:ilvl w:val="0"/>
          <w:numId w:val="4"/>
        </w:numPr>
        <w:tabs>
          <w:tab w:pos="2967" w:val="left" w:leader="none"/>
        </w:tabs>
        <w:spacing w:line="240" w:lineRule="auto" w:before="0" w:after="0"/>
        <w:ind w:left="2246" w:right="2237" w:firstLine="0"/>
        <w:jc w:val="both"/>
        <w:rPr>
          <w:sz w:val="20"/>
        </w:rPr>
      </w:pPr>
      <w:r>
        <w:rPr>
          <w:sz w:val="20"/>
        </w:rPr>
        <w:t>The Trust Fund strives to use its budgetary resources efficiently. Staff</w:t>
      </w:r>
      <w:r>
        <w:rPr>
          <w:spacing w:val="-4"/>
          <w:sz w:val="20"/>
        </w:rPr>
        <w:t> </w:t>
      </w:r>
      <w:r>
        <w:rPr>
          <w:sz w:val="20"/>
        </w:rPr>
        <w:t>members of the TFV multitask and are committed to ensuring that the TFV’s output meets the required standards. Nevertheless, a second</w:t>
      </w:r>
      <w:r>
        <w:rPr>
          <w:spacing w:val="-1"/>
          <w:sz w:val="20"/>
        </w:rPr>
        <w:t> </w:t>
      </w:r>
      <w:r>
        <w:rPr>
          <w:sz w:val="20"/>
        </w:rPr>
        <w:t>Administrative Assistant and</w:t>
      </w:r>
      <w:r>
        <w:rPr>
          <w:spacing w:val="-1"/>
          <w:sz w:val="20"/>
        </w:rPr>
        <w:t> </w:t>
      </w:r>
      <w:r>
        <w:rPr>
          <w:sz w:val="20"/>
        </w:rPr>
        <w:t>one new</w:t>
      </w:r>
      <w:r>
        <w:rPr>
          <w:spacing w:val="-2"/>
          <w:sz w:val="20"/>
        </w:rPr>
        <w:t> </w:t>
      </w:r>
      <w:r>
        <w:rPr>
          <w:sz w:val="20"/>
        </w:rPr>
        <w:t>dedicated</w:t>
      </w:r>
      <w:r>
        <w:rPr>
          <w:spacing w:val="-1"/>
          <w:sz w:val="20"/>
        </w:rPr>
        <w:t> </w:t>
      </w:r>
      <w:r>
        <w:rPr>
          <w:sz w:val="20"/>
        </w:rPr>
        <w:t>full-time staff Associate Communications Officer as well as investment in the electronic grant management system are urgently required and crucial to strengthen organizational effectiveness</w:t>
      </w:r>
      <w:r>
        <w:rPr>
          <w:spacing w:val="-13"/>
          <w:sz w:val="20"/>
        </w:rPr>
        <w:t> </w:t>
      </w:r>
      <w:r>
        <w:rPr>
          <w:sz w:val="20"/>
        </w:rPr>
        <w:t>for</w:t>
      </w:r>
      <w:r>
        <w:rPr>
          <w:spacing w:val="-12"/>
          <w:sz w:val="20"/>
        </w:rPr>
        <w:t> </w:t>
      </w:r>
      <w:r>
        <w:rPr>
          <w:sz w:val="20"/>
        </w:rPr>
        <w:t>2023.</w:t>
      </w:r>
      <w:r>
        <w:rPr>
          <w:spacing w:val="-13"/>
          <w:sz w:val="20"/>
        </w:rPr>
        <w:t> </w:t>
      </w:r>
      <w:r>
        <w:rPr>
          <w:sz w:val="20"/>
        </w:rPr>
        <w:t>The</w:t>
      </w:r>
      <w:r>
        <w:rPr>
          <w:spacing w:val="-12"/>
          <w:sz w:val="20"/>
        </w:rPr>
        <w:t> </w:t>
      </w:r>
      <w:r>
        <w:rPr>
          <w:sz w:val="20"/>
        </w:rPr>
        <w:t>TFV</w:t>
      </w:r>
      <w:r>
        <w:rPr>
          <w:spacing w:val="-13"/>
          <w:sz w:val="20"/>
        </w:rPr>
        <w:t> </w:t>
      </w:r>
      <w:r>
        <w:rPr>
          <w:sz w:val="20"/>
        </w:rPr>
        <w:t>will</w:t>
      </w:r>
      <w:r>
        <w:rPr>
          <w:spacing w:val="-12"/>
          <w:sz w:val="20"/>
        </w:rPr>
        <w:t> </w:t>
      </w:r>
      <w:r>
        <w:rPr>
          <w:sz w:val="20"/>
        </w:rPr>
        <w:t>seek</w:t>
      </w:r>
      <w:r>
        <w:rPr>
          <w:spacing w:val="-13"/>
          <w:sz w:val="20"/>
        </w:rPr>
        <w:t> </w:t>
      </w:r>
      <w:r>
        <w:rPr>
          <w:sz w:val="20"/>
        </w:rPr>
        <w:t>to</w:t>
      </w:r>
      <w:r>
        <w:rPr>
          <w:spacing w:val="-12"/>
          <w:sz w:val="20"/>
        </w:rPr>
        <w:t> </w:t>
      </w:r>
      <w:r>
        <w:rPr>
          <w:sz w:val="20"/>
        </w:rPr>
        <w:t>enhance</w:t>
      </w:r>
      <w:r>
        <w:rPr>
          <w:spacing w:val="-13"/>
          <w:sz w:val="20"/>
        </w:rPr>
        <w:t> </w:t>
      </w:r>
      <w:r>
        <w:rPr>
          <w:sz w:val="20"/>
        </w:rPr>
        <w:t>coordination</w:t>
      </w:r>
      <w:r>
        <w:rPr>
          <w:spacing w:val="-12"/>
          <w:sz w:val="20"/>
        </w:rPr>
        <w:t> </w:t>
      </w:r>
      <w:r>
        <w:rPr>
          <w:sz w:val="20"/>
        </w:rPr>
        <w:t>in</w:t>
      </w:r>
      <w:r>
        <w:rPr>
          <w:spacing w:val="-13"/>
          <w:sz w:val="20"/>
        </w:rPr>
        <w:t> </w:t>
      </w:r>
      <w:r>
        <w:rPr>
          <w:sz w:val="20"/>
        </w:rPr>
        <w:t>its</w:t>
      </w:r>
      <w:r>
        <w:rPr>
          <w:spacing w:val="-12"/>
          <w:sz w:val="20"/>
        </w:rPr>
        <w:t> </w:t>
      </w:r>
      <w:r>
        <w:rPr>
          <w:sz w:val="20"/>
        </w:rPr>
        <w:t>working</w:t>
      </w:r>
      <w:r>
        <w:rPr>
          <w:spacing w:val="-13"/>
          <w:sz w:val="20"/>
        </w:rPr>
        <w:t> </w:t>
      </w:r>
      <w:r>
        <w:rPr>
          <w:sz w:val="20"/>
        </w:rPr>
        <w:t>relationship with the Registry in a structured and sustainable manner. It is expected that the common exercise of seeking additional synergies will bear fruit in 2023.</w:t>
      </w:r>
    </w:p>
    <w:p>
      <w:pPr>
        <w:pStyle w:val="ListParagraph"/>
        <w:numPr>
          <w:ilvl w:val="0"/>
          <w:numId w:val="4"/>
        </w:numPr>
        <w:tabs>
          <w:tab w:pos="2967" w:val="left" w:leader="none"/>
        </w:tabs>
        <w:spacing w:line="240" w:lineRule="auto" w:before="119" w:after="0"/>
        <w:ind w:left="2246" w:right="2236" w:firstLine="0"/>
        <w:jc w:val="both"/>
        <w:rPr>
          <w:sz w:val="20"/>
        </w:rPr>
      </w:pPr>
      <w:r>
        <w:rPr>
          <w:sz w:val="20"/>
        </w:rPr>
        <w:t>The Trust Fund is facing mounting and weighty challenges, in particular in reparations-</w:t>
      </w:r>
      <w:r>
        <w:rPr>
          <w:spacing w:val="-3"/>
          <w:sz w:val="20"/>
        </w:rPr>
        <w:t> </w:t>
      </w:r>
      <w:r>
        <w:rPr>
          <w:sz w:val="20"/>
        </w:rPr>
        <w:t>and</w:t>
      </w:r>
      <w:r>
        <w:rPr>
          <w:spacing w:val="-4"/>
          <w:sz w:val="20"/>
        </w:rPr>
        <w:t> </w:t>
      </w:r>
      <w:r>
        <w:rPr>
          <w:sz w:val="20"/>
        </w:rPr>
        <w:t>fundraising-related</w:t>
      </w:r>
      <w:r>
        <w:rPr>
          <w:spacing w:val="-4"/>
          <w:sz w:val="20"/>
        </w:rPr>
        <w:t> </w:t>
      </w:r>
      <w:r>
        <w:rPr>
          <w:sz w:val="20"/>
        </w:rPr>
        <w:t>activities. As</w:t>
      </w:r>
      <w:r>
        <w:rPr>
          <w:spacing w:val="-5"/>
          <w:sz w:val="20"/>
        </w:rPr>
        <w:t> </w:t>
      </w:r>
      <w:r>
        <w:rPr>
          <w:sz w:val="20"/>
        </w:rPr>
        <w:t>a</w:t>
      </w:r>
      <w:r>
        <w:rPr>
          <w:spacing w:val="-2"/>
          <w:sz w:val="20"/>
        </w:rPr>
        <w:t> </w:t>
      </w:r>
      <w:r>
        <w:rPr>
          <w:sz w:val="20"/>
        </w:rPr>
        <w:t>matter of</w:t>
      </w:r>
      <w:r>
        <w:rPr>
          <w:spacing w:val="-4"/>
          <w:sz w:val="20"/>
        </w:rPr>
        <w:t> </w:t>
      </w:r>
      <w:r>
        <w:rPr>
          <w:sz w:val="20"/>
        </w:rPr>
        <w:t>priority,</w:t>
      </w:r>
      <w:r>
        <w:rPr>
          <w:spacing w:val="-1"/>
          <w:sz w:val="20"/>
        </w:rPr>
        <w:t> </w:t>
      </w:r>
      <w:r>
        <w:rPr>
          <w:sz w:val="20"/>
        </w:rPr>
        <w:t>communication</w:t>
      </w:r>
      <w:r>
        <w:rPr>
          <w:spacing w:val="-4"/>
          <w:sz w:val="20"/>
        </w:rPr>
        <w:t> </w:t>
      </w:r>
      <w:r>
        <w:rPr>
          <w:sz w:val="20"/>
        </w:rPr>
        <w:t>about its activities and programmes will need to increase significantly in 2023; a new position for this purpose as well as resources required for fundraising activities have accordingly been </w:t>
      </w:r>
      <w:r>
        <w:rPr>
          <w:spacing w:val="-2"/>
          <w:sz w:val="20"/>
        </w:rPr>
        <w:t>requested.</w:t>
      </w:r>
    </w:p>
    <w:p>
      <w:pPr>
        <w:pStyle w:val="ListParagraph"/>
        <w:numPr>
          <w:ilvl w:val="0"/>
          <w:numId w:val="4"/>
        </w:numPr>
        <w:tabs>
          <w:tab w:pos="2967" w:val="left" w:leader="none"/>
        </w:tabs>
        <w:spacing w:line="240" w:lineRule="auto" w:before="118" w:after="0"/>
        <w:ind w:left="2246" w:right="2238" w:firstLine="0"/>
        <w:jc w:val="both"/>
        <w:rPr>
          <w:sz w:val="20"/>
        </w:rPr>
      </w:pPr>
      <w:r>
        <w:rPr>
          <w:sz w:val="20"/>
        </w:rPr>
        <w:t>The Trust Fund notes that the proposed increase in travel costs, which notably is below the pre-pandemic level, should be seen in the context of a much larger portfolio of activities and the related workload, especially in relation to reparations, fundraising and visibility. This increase is mitigated by the continued use of remote working and virtual meetings which would otherwise require travel.</w:t>
      </w:r>
    </w:p>
    <w:p>
      <w:pPr>
        <w:pStyle w:val="ListParagraph"/>
        <w:numPr>
          <w:ilvl w:val="0"/>
          <w:numId w:val="4"/>
        </w:numPr>
        <w:tabs>
          <w:tab w:pos="2967" w:val="left" w:leader="none"/>
        </w:tabs>
        <w:spacing w:line="240" w:lineRule="auto" w:before="122" w:after="0"/>
        <w:ind w:left="2246" w:right="2235" w:firstLine="0"/>
        <w:jc w:val="both"/>
        <w:rPr>
          <w:sz w:val="20"/>
        </w:rPr>
      </w:pPr>
      <w:r>
        <w:rPr>
          <w:sz w:val="20"/>
        </w:rPr>
        <w:t>The</w:t>
      </w:r>
      <w:r>
        <w:rPr>
          <w:spacing w:val="-1"/>
          <w:sz w:val="20"/>
        </w:rPr>
        <w:t> </w:t>
      </w:r>
      <w:r>
        <w:rPr>
          <w:sz w:val="20"/>
        </w:rPr>
        <w:t>proposed</w:t>
      </w:r>
      <w:r>
        <w:rPr>
          <w:spacing w:val="-3"/>
          <w:sz w:val="20"/>
        </w:rPr>
        <w:t> </w:t>
      </w:r>
      <w:r>
        <w:rPr>
          <w:sz w:val="20"/>
        </w:rPr>
        <w:t>budget</w:t>
      </w:r>
      <w:r>
        <w:rPr>
          <w:spacing w:val="-1"/>
          <w:sz w:val="20"/>
        </w:rPr>
        <w:t> </w:t>
      </w:r>
      <w:r>
        <w:rPr>
          <w:sz w:val="20"/>
        </w:rPr>
        <w:t>for</w:t>
      </w:r>
      <w:r>
        <w:rPr>
          <w:spacing w:val="-3"/>
          <w:sz w:val="20"/>
        </w:rPr>
        <w:t> </w:t>
      </w:r>
      <w:r>
        <w:rPr>
          <w:sz w:val="20"/>
        </w:rPr>
        <w:t>2023</w:t>
      </w:r>
      <w:r>
        <w:rPr>
          <w:spacing w:val="-3"/>
          <w:sz w:val="20"/>
        </w:rPr>
        <w:t> </w:t>
      </w:r>
      <w:r>
        <w:rPr>
          <w:sz w:val="20"/>
        </w:rPr>
        <w:t>partially</w:t>
      </w:r>
      <w:r>
        <w:rPr>
          <w:spacing w:val="-3"/>
          <w:sz w:val="20"/>
        </w:rPr>
        <w:t> </w:t>
      </w:r>
      <w:r>
        <w:rPr>
          <w:sz w:val="20"/>
        </w:rPr>
        <w:t>includes</w:t>
      </w:r>
      <w:r>
        <w:rPr>
          <w:spacing w:val="-4"/>
          <w:sz w:val="20"/>
        </w:rPr>
        <w:t> </w:t>
      </w:r>
      <w:r>
        <w:rPr>
          <w:sz w:val="20"/>
        </w:rPr>
        <w:t>an</w:t>
      </w:r>
      <w:r>
        <w:rPr>
          <w:spacing w:val="-3"/>
          <w:sz w:val="20"/>
        </w:rPr>
        <w:t> </w:t>
      </w:r>
      <w:r>
        <w:rPr>
          <w:sz w:val="20"/>
        </w:rPr>
        <w:t>increase</w:t>
      </w:r>
      <w:r>
        <w:rPr>
          <w:spacing w:val="-6"/>
          <w:sz w:val="20"/>
        </w:rPr>
        <w:t> </w:t>
      </w:r>
      <w:r>
        <w:rPr>
          <w:sz w:val="20"/>
        </w:rPr>
        <w:t>due</w:t>
      </w:r>
      <w:r>
        <w:rPr>
          <w:spacing w:val="-1"/>
          <w:sz w:val="20"/>
        </w:rPr>
        <w:t> </w:t>
      </w:r>
      <w:r>
        <w:rPr>
          <w:sz w:val="20"/>
        </w:rPr>
        <w:t>to</w:t>
      </w:r>
      <w:r>
        <w:rPr>
          <w:spacing w:val="-3"/>
          <w:sz w:val="20"/>
        </w:rPr>
        <w:t> </w:t>
      </w:r>
      <w:r>
        <w:rPr>
          <w:sz w:val="20"/>
        </w:rPr>
        <w:t>higher</w:t>
      </w:r>
      <w:r>
        <w:rPr>
          <w:spacing w:val="-3"/>
          <w:sz w:val="20"/>
        </w:rPr>
        <w:t> </w:t>
      </w:r>
      <w:r>
        <w:rPr>
          <w:sz w:val="20"/>
        </w:rPr>
        <w:t>common staff costs and application of the UNCS salary scale (resulting in an increase of €225.9 thousand, or 7.0 per cent, while maintaining zero real growth in relation to the approved budget for 2022). Furthermore, the reduction in the vacancy rate from 10 per cent to 5 per cent (amounting to €81.1 thousand) leads to a further overall increase of 9.5 percent as compared with the approved budget for 2022. The continuation of staff positions that were partially funded in the 2022 budget (fully funding these positions in 2023 gives rise to an increase of €183.2 thousand) leads to an overall increase of 15.2 percent as compared with the approved budget for 2022, considering that relevant positions are expected to be fully filled</w:t>
      </w:r>
      <w:r>
        <w:rPr>
          <w:spacing w:val="-13"/>
          <w:sz w:val="20"/>
        </w:rPr>
        <w:t> </w:t>
      </w:r>
      <w:r>
        <w:rPr>
          <w:sz w:val="20"/>
        </w:rPr>
        <w:t>in</w:t>
      </w:r>
      <w:r>
        <w:rPr>
          <w:spacing w:val="-7"/>
          <w:sz w:val="20"/>
        </w:rPr>
        <w:t> </w:t>
      </w:r>
      <w:r>
        <w:rPr>
          <w:sz w:val="20"/>
        </w:rPr>
        <w:t>2023.</w:t>
      </w:r>
      <w:r>
        <w:rPr>
          <w:spacing w:val="-11"/>
          <w:sz w:val="20"/>
        </w:rPr>
        <w:t> </w:t>
      </w:r>
      <w:r>
        <w:rPr>
          <w:sz w:val="20"/>
        </w:rPr>
        <w:t>Two</w:t>
      </w:r>
      <w:r>
        <w:rPr>
          <w:spacing w:val="-8"/>
          <w:sz w:val="20"/>
        </w:rPr>
        <w:t> </w:t>
      </w:r>
      <w:r>
        <w:rPr>
          <w:sz w:val="20"/>
        </w:rPr>
        <w:t>new</w:t>
      </w:r>
      <w:r>
        <w:rPr>
          <w:spacing w:val="-10"/>
          <w:sz w:val="20"/>
        </w:rPr>
        <w:t> </w:t>
      </w:r>
      <w:r>
        <w:rPr>
          <w:sz w:val="20"/>
        </w:rPr>
        <w:t>partially</w:t>
      </w:r>
      <w:r>
        <w:rPr>
          <w:spacing w:val="-8"/>
          <w:sz w:val="20"/>
        </w:rPr>
        <w:t> </w:t>
      </w:r>
      <w:r>
        <w:rPr>
          <w:sz w:val="20"/>
        </w:rPr>
        <w:t>funded</w:t>
      </w:r>
      <w:r>
        <w:rPr>
          <w:spacing w:val="-8"/>
          <w:sz w:val="20"/>
        </w:rPr>
        <w:t> </w:t>
      </w:r>
      <w:r>
        <w:rPr>
          <w:sz w:val="20"/>
        </w:rPr>
        <w:t>GTA</w:t>
      </w:r>
      <w:r>
        <w:rPr>
          <w:spacing w:val="-10"/>
          <w:sz w:val="20"/>
        </w:rPr>
        <w:t> </w:t>
      </w:r>
      <w:r>
        <w:rPr>
          <w:sz w:val="20"/>
        </w:rPr>
        <w:t>positions</w:t>
      </w:r>
      <w:r>
        <w:rPr>
          <w:spacing w:val="-10"/>
          <w:sz w:val="20"/>
        </w:rPr>
        <w:t> </w:t>
      </w:r>
      <w:r>
        <w:rPr>
          <w:sz w:val="20"/>
        </w:rPr>
        <w:t>(explained</w:t>
      </w:r>
      <w:r>
        <w:rPr>
          <w:spacing w:val="-8"/>
          <w:sz w:val="20"/>
        </w:rPr>
        <w:t> </w:t>
      </w:r>
      <w:r>
        <w:rPr>
          <w:sz w:val="20"/>
        </w:rPr>
        <w:t>in</w:t>
      </w:r>
      <w:r>
        <w:rPr>
          <w:spacing w:val="-13"/>
          <w:sz w:val="20"/>
        </w:rPr>
        <w:t> </w:t>
      </w:r>
      <w:r>
        <w:rPr>
          <w:sz w:val="20"/>
        </w:rPr>
        <w:t>detail</w:t>
      </w:r>
      <w:r>
        <w:rPr>
          <w:spacing w:val="-6"/>
          <w:sz w:val="20"/>
        </w:rPr>
        <w:t> </w:t>
      </w:r>
      <w:r>
        <w:rPr>
          <w:sz w:val="20"/>
        </w:rPr>
        <w:t>below)</w:t>
      </w:r>
      <w:r>
        <w:rPr>
          <w:spacing w:val="-13"/>
          <w:sz w:val="20"/>
        </w:rPr>
        <w:t> </w:t>
      </w:r>
      <w:r>
        <w:rPr>
          <w:sz w:val="20"/>
        </w:rPr>
        <w:t>represent an</w:t>
      </w:r>
      <w:r>
        <w:rPr>
          <w:spacing w:val="-4"/>
          <w:sz w:val="20"/>
        </w:rPr>
        <w:t> </w:t>
      </w:r>
      <w:r>
        <w:rPr>
          <w:sz w:val="20"/>
        </w:rPr>
        <w:t>increase</w:t>
      </w:r>
      <w:r>
        <w:rPr>
          <w:spacing w:val="-7"/>
          <w:sz w:val="20"/>
        </w:rPr>
        <w:t> </w:t>
      </w:r>
      <w:r>
        <w:rPr>
          <w:sz w:val="20"/>
        </w:rPr>
        <w:t>of</w:t>
      </w:r>
      <w:r>
        <w:rPr>
          <w:spacing w:val="-4"/>
          <w:sz w:val="20"/>
        </w:rPr>
        <w:t> </w:t>
      </w:r>
      <w:r>
        <w:rPr>
          <w:sz w:val="20"/>
        </w:rPr>
        <w:t>€140.0</w:t>
      </w:r>
      <w:r>
        <w:rPr>
          <w:spacing w:val="-8"/>
          <w:sz w:val="20"/>
        </w:rPr>
        <w:t> </w:t>
      </w:r>
      <w:r>
        <w:rPr>
          <w:sz w:val="20"/>
        </w:rPr>
        <w:t>thousand</w:t>
      </w:r>
      <w:r>
        <w:rPr>
          <w:spacing w:val="-4"/>
          <w:sz w:val="20"/>
        </w:rPr>
        <w:t> </w:t>
      </w:r>
      <w:r>
        <w:rPr>
          <w:sz w:val="20"/>
        </w:rPr>
        <w:t>or</w:t>
      </w:r>
      <w:r>
        <w:rPr>
          <w:spacing w:val="-8"/>
          <w:sz w:val="20"/>
        </w:rPr>
        <w:t> </w:t>
      </w:r>
      <w:r>
        <w:rPr>
          <w:sz w:val="20"/>
        </w:rPr>
        <w:t>19.5</w:t>
      </w:r>
      <w:r>
        <w:rPr>
          <w:spacing w:val="-4"/>
          <w:sz w:val="20"/>
        </w:rPr>
        <w:t> </w:t>
      </w:r>
      <w:r>
        <w:rPr>
          <w:sz w:val="20"/>
        </w:rPr>
        <w:t>per</w:t>
      </w:r>
      <w:r>
        <w:rPr>
          <w:spacing w:val="-4"/>
          <w:sz w:val="20"/>
        </w:rPr>
        <w:t> </w:t>
      </w:r>
      <w:r>
        <w:rPr>
          <w:sz w:val="20"/>
        </w:rPr>
        <w:t>cent.</w:t>
      </w:r>
      <w:r>
        <w:rPr>
          <w:spacing w:val="-1"/>
          <w:sz w:val="20"/>
        </w:rPr>
        <w:t> </w:t>
      </w:r>
      <w:r>
        <w:rPr>
          <w:sz w:val="20"/>
        </w:rPr>
        <w:t>Furthermore,</w:t>
      </w:r>
      <w:r>
        <w:rPr>
          <w:spacing w:val="-1"/>
          <w:sz w:val="20"/>
        </w:rPr>
        <w:t> </w:t>
      </w:r>
      <w:r>
        <w:rPr>
          <w:sz w:val="20"/>
        </w:rPr>
        <w:t>an</w:t>
      </w:r>
      <w:r>
        <w:rPr>
          <w:spacing w:val="-8"/>
          <w:sz w:val="20"/>
        </w:rPr>
        <w:t> </w:t>
      </w:r>
      <w:r>
        <w:rPr>
          <w:sz w:val="20"/>
        </w:rPr>
        <w:t>overall</w:t>
      </w:r>
      <w:r>
        <w:rPr>
          <w:spacing w:val="-2"/>
          <w:sz w:val="20"/>
        </w:rPr>
        <w:t> </w:t>
      </w:r>
      <w:r>
        <w:rPr>
          <w:sz w:val="20"/>
        </w:rPr>
        <w:t>increase</w:t>
      </w:r>
      <w:r>
        <w:rPr>
          <w:spacing w:val="-2"/>
          <w:sz w:val="20"/>
        </w:rPr>
        <w:t> </w:t>
      </w:r>
      <w:r>
        <w:rPr>
          <w:sz w:val="20"/>
        </w:rPr>
        <w:t>of</w:t>
      </w:r>
      <w:r>
        <w:rPr>
          <w:spacing w:val="-4"/>
          <w:sz w:val="20"/>
        </w:rPr>
        <w:t> </w:t>
      </w:r>
      <w:r>
        <w:rPr>
          <w:sz w:val="20"/>
        </w:rPr>
        <w:t>29.8</w:t>
      </w:r>
      <w:r>
        <w:rPr>
          <w:spacing w:val="-4"/>
          <w:sz w:val="20"/>
        </w:rPr>
        <w:t> </w:t>
      </w:r>
      <w:r>
        <w:rPr>
          <w:sz w:val="20"/>
        </w:rPr>
        <w:t>per cent (€334.0 thousand) as compared with the approved budget for 2022 can primarily be attributed to non-staff costs (explained in detail below). A temporary six-month “one-off” unavoidable provision for one D-1 GTA Adviser associated with the leadership transition (€112.8 thousand) leads to a total final overall increase of 33.3 per cent. These factors contribute to</w:t>
      </w:r>
      <w:r>
        <w:rPr>
          <w:spacing w:val="-2"/>
          <w:sz w:val="20"/>
        </w:rPr>
        <w:t> </w:t>
      </w:r>
      <w:r>
        <w:rPr>
          <w:sz w:val="20"/>
        </w:rPr>
        <w:t>a total proposed</w:t>
      </w:r>
      <w:r>
        <w:rPr>
          <w:spacing w:val="-2"/>
          <w:sz w:val="20"/>
        </w:rPr>
        <w:t> </w:t>
      </w:r>
      <w:r>
        <w:rPr>
          <w:sz w:val="20"/>
        </w:rPr>
        <w:t>budgetary</w:t>
      </w:r>
      <w:r>
        <w:rPr>
          <w:spacing w:val="-2"/>
          <w:sz w:val="20"/>
        </w:rPr>
        <w:t> </w:t>
      </w:r>
      <w:r>
        <w:rPr>
          <w:sz w:val="20"/>
        </w:rPr>
        <w:t>increase in</w:t>
      </w:r>
      <w:r>
        <w:rPr>
          <w:spacing w:val="-2"/>
          <w:sz w:val="20"/>
        </w:rPr>
        <w:t> </w:t>
      </w:r>
      <w:r>
        <w:rPr>
          <w:sz w:val="20"/>
        </w:rPr>
        <w:t>2023</w:t>
      </w:r>
      <w:r>
        <w:rPr>
          <w:spacing w:val="-2"/>
          <w:sz w:val="20"/>
        </w:rPr>
        <w:t> </w:t>
      </w:r>
      <w:r>
        <w:rPr>
          <w:sz w:val="20"/>
        </w:rPr>
        <w:t>of</w:t>
      </w:r>
      <w:r>
        <w:rPr>
          <w:spacing w:val="-6"/>
          <w:sz w:val="20"/>
        </w:rPr>
        <w:t> </w:t>
      </w:r>
      <w:r>
        <w:rPr>
          <w:sz w:val="20"/>
        </w:rPr>
        <w:t>33.3</w:t>
      </w:r>
      <w:r>
        <w:rPr>
          <w:spacing w:val="-2"/>
          <w:sz w:val="20"/>
        </w:rPr>
        <w:t> </w:t>
      </w:r>
      <w:r>
        <w:rPr>
          <w:sz w:val="20"/>
        </w:rPr>
        <w:t>per</w:t>
      </w:r>
      <w:r>
        <w:rPr>
          <w:spacing w:val="-6"/>
          <w:sz w:val="20"/>
        </w:rPr>
        <w:t> </w:t>
      </w:r>
      <w:r>
        <w:rPr>
          <w:sz w:val="20"/>
        </w:rPr>
        <w:t>cent, as</w:t>
      </w:r>
      <w:r>
        <w:rPr>
          <w:spacing w:val="-3"/>
          <w:sz w:val="20"/>
        </w:rPr>
        <w:t> </w:t>
      </w:r>
      <w:r>
        <w:rPr>
          <w:sz w:val="20"/>
        </w:rPr>
        <w:t>compared</w:t>
      </w:r>
      <w:r>
        <w:rPr>
          <w:spacing w:val="-2"/>
          <w:sz w:val="20"/>
        </w:rPr>
        <w:t> </w:t>
      </w:r>
      <w:r>
        <w:rPr>
          <w:sz w:val="20"/>
        </w:rPr>
        <w:t>with the approved budget for 2022 and to a total proposed budget of €4,300.3 thousand.</w:t>
      </w:r>
    </w:p>
    <w:p>
      <w:pPr>
        <w:pStyle w:val="BodyText"/>
        <w:spacing w:before="2"/>
        <w:rPr>
          <w:sz w:val="21"/>
        </w:rPr>
      </w:pPr>
    </w:p>
    <w:p>
      <w:pPr>
        <w:pStyle w:val="Heading3"/>
        <w:jc w:val="both"/>
      </w:pPr>
      <w:r>
        <w:rPr/>
        <w:t>TFV’s</w:t>
      </w:r>
      <w:r>
        <w:rPr>
          <w:spacing w:val="-7"/>
        </w:rPr>
        <w:t> </w:t>
      </w:r>
      <w:r>
        <w:rPr/>
        <w:t>mandate-related</w:t>
      </w:r>
      <w:r>
        <w:rPr>
          <w:spacing w:val="-11"/>
        </w:rPr>
        <w:t> </w:t>
      </w:r>
      <w:r>
        <w:rPr/>
        <w:t>activities:</w:t>
      </w:r>
      <w:r>
        <w:rPr>
          <w:spacing w:val="-6"/>
        </w:rPr>
        <w:t> </w:t>
      </w:r>
      <w:r>
        <w:rPr/>
        <w:t>detailed</w:t>
      </w:r>
      <w:r>
        <w:rPr>
          <w:spacing w:val="-11"/>
        </w:rPr>
        <w:t> </w:t>
      </w:r>
      <w:r>
        <w:rPr/>
        <w:t>outlook</w:t>
      </w:r>
      <w:r>
        <w:rPr>
          <w:spacing w:val="-6"/>
        </w:rPr>
        <w:t> </w:t>
      </w:r>
      <w:r>
        <w:rPr/>
        <w:t>for</w:t>
      </w:r>
      <w:r>
        <w:rPr>
          <w:spacing w:val="-8"/>
        </w:rPr>
        <w:t> </w:t>
      </w:r>
      <w:r>
        <w:rPr>
          <w:spacing w:val="-4"/>
        </w:rPr>
        <w:t>2023</w:t>
      </w:r>
    </w:p>
    <w:p>
      <w:pPr>
        <w:pStyle w:val="BodyText"/>
        <w:spacing w:before="11"/>
        <w:rPr>
          <w:b/>
        </w:rPr>
      </w:pPr>
    </w:p>
    <w:p>
      <w:pPr>
        <w:spacing w:before="0"/>
        <w:ind w:left="2246" w:right="0" w:firstLine="0"/>
        <w:jc w:val="both"/>
        <w:rPr>
          <w:i/>
          <w:sz w:val="20"/>
        </w:rPr>
      </w:pPr>
      <w:r>
        <w:rPr>
          <w:i/>
          <w:sz w:val="20"/>
        </w:rPr>
        <w:t>Court-ordered</w:t>
      </w:r>
      <w:r>
        <w:rPr>
          <w:i/>
          <w:spacing w:val="-11"/>
          <w:sz w:val="20"/>
        </w:rPr>
        <w:t> </w:t>
      </w:r>
      <w:r>
        <w:rPr>
          <w:i/>
          <w:spacing w:val="-2"/>
          <w:sz w:val="20"/>
        </w:rPr>
        <w:t>reparations</w:t>
      </w:r>
    </w:p>
    <w:p>
      <w:pPr>
        <w:pStyle w:val="BodyText"/>
        <w:spacing w:before="6"/>
        <w:rPr>
          <w:i/>
        </w:rPr>
      </w:pPr>
    </w:p>
    <w:p>
      <w:pPr>
        <w:pStyle w:val="ListParagraph"/>
        <w:numPr>
          <w:ilvl w:val="0"/>
          <w:numId w:val="4"/>
        </w:numPr>
        <w:tabs>
          <w:tab w:pos="2967" w:val="left" w:leader="none"/>
        </w:tabs>
        <w:spacing w:line="240" w:lineRule="auto" w:before="0" w:after="0"/>
        <w:ind w:left="2246" w:right="2239" w:firstLine="0"/>
        <w:jc w:val="both"/>
        <w:rPr>
          <w:sz w:val="20"/>
        </w:rPr>
      </w:pPr>
      <w:r>
        <w:rPr>
          <w:sz w:val="20"/>
        </w:rPr>
        <w:t>In</w:t>
      </w:r>
      <w:r>
        <w:rPr>
          <w:spacing w:val="-6"/>
          <w:sz w:val="20"/>
        </w:rPr>
        <w:t> </w:t>
      </w:r>
      <w:r>
        <w:rPr>
          <w:sz w:val="20"/>
        </w:rPr>
        <w:t>2023,</w:t>
      </w:r>
      <w:r>
        <w:rPr>
          <w:spacing w:val="-8"/>
          <w:sz w:val="20"/>
        </w:rPr>
        <w:t> </w:t>
      </w:r>
      <w:r>
        <w:rPr>
          <w:sz w:val="20"/>
        </w:rPr>
        <w:t>four</w:t>
      </w:r>
      <w:r>
        <w:rPr>
          <w:spacing w:val="-10"/>
          <w:sz w:val="20"/>
        </w:rPr>
        <w:t> </w:t>
      </w:r>
      <w:r>
        <w:rPr>
          <w:sz w:val="20"/>
        </w:rPr>
        <w:t>cases</w:t>
      </w:r>
      <w:r>
        <w:rPr>
          <w:spacing w:val="-7"/>
          <w:sz w:val="20"/>
        </w:rPr>
        <w:t> </w:t>
      </w:r>
      <w:r>
        <w:rPr>
          <w:sz w:val="20"/>
        </w:rPr>
        <w:t>will</w:t>
      </w:r>
      <w:r>
        <w:rPr>
          <w:spacing w:val="-9"/>
          <w:sz w:val="20"/>
        </w:rPr>
        <w:t> </w:t>
      </w:r>
      <w:r>
        <w:rPr>
          <w:sz w:val="20"/>
        </w:rPr>
        <w:t>be</w:t>
      </w:r>
      <w:r>
        <w:rPr>
          <w:spacing w:val="-9"/>
          <w:sz w:val="20"/>
        </w:rPr>
        <w:t> </w:t>
      </w:r>
      <w:r>
        <w:rPr>
          <w:sz w:val="20"/>
        </w:rPr>
        <w:t>at</w:t>
      </w:r>
      <w:r>
        <w:rPr>
          <w:spacing w:val="-9"/>
          <w:sz w:val="20"/>
        </w:rPr>
        <w:t> </w:t>
      </w:r>
      <w:r>
        <w:rPr>
          <w:sz w:val="20"/>
        </w:rPr>
        <w:t>the</w:t>
      </w:r>
      <w:r>
        <w:rPr>
          <w:spacing w:val="-9"/>
          <w:sz w:val="20"/>
        </w:rPr>
        <w:t> </w:t>
      </w:r>
      <w:r>
        <w:rPr>
          <w:sz w:val="20"/>
        </w:rPr>
        <w:t>implementation</w:t>
      </w:r>
      <w:r>
        <w:rPr>
          <w:spacing w:val="-10"/>
          <w:sz w:val="20"/>
        </w:rPr>
        <w:t> </w:t>
      </w:r>
      <w:r>
        <w:rPr>
          <w:sz w:val="20"/>
        </w:rPr>
        <w:t>stage</w:t>
      </w:r>
      <w:r>
        <w:rPr>
          <w:spacing w:val="-9"/>
          <w:sz w:val="20"/>
        </w:rPr>
        <w:t> </w:t>
      </w:r>
      <w:r>
        <w:rPr>
          <w:sz w:val="20"/>
        </w:rPr>
        <w:t>of</w:t>
      </w:r>
      <w:r>
        <w:rPr>
          <w:spacing w:val="-10"/>
          <w:sz w:val="20"/>
        </w:rPr>
        <w:t> </w:t>
      </w:r>
      <w:r>
        <w:rPr>
          <w:sz w:val="20"/>
        </w:rPr>
        <w:t>reparations,</w:t>
      </w:r>
      <w:r>
        <w:rPr>
          <w:spacing w:val="-8"/>
          <w:sz w:val="20"/>
        </w:rPr>
        <w:t> </w:t>
      </w:r>
      <w:r>
        <w:rPr>
          <w:sz w:val="20"/>
        </w:rPr>
        <w:t>i.e.</w:t>
      </w:r>
      <w:r>
        <w:rPr>
          <w:spacing w:val="-8"/>
          <w:sz w:val="20"/>
        </w:rPr>
        <w:t> </w:t>
      </w:r>
      <w:r>
        <w:rPr>
          <w:sz w:val="20"/>
        </w:rPr>
        <w:t>the</w:t>
      </w:r>
      <w:r>
        <w:rPr>
          <w:spacing w:val="-4"/>
          <w:sz w:val="20"/>
        </w:rPr>
        <w:t> </w:t>
      </w:r>
      <w:r>
        <w:rPr>
          <w:sz w:val="20"/>
        </w:rPr>
        <w:t>period between</w:t>
      </w:r>
      <w:r>
        <w:rPr>
          <w:spacing w:val="-8"/>
          <w:sz w:val="20"/>
        </w:rPr>
        <w:t> </w:t>
      </w:r>
      <w:r>
        <w:rPr>
          <w:sz w:val="20"/>
        </w:rPr>
        <w:t>the</w:t>
      </w:r>
      <w:r>
        <w:rPr>
          <w:spacing w:val="-7"/>
          <w:sz w:val="20"/>
        </w:rPr>
        <w:t> </w:t>
      </w:r>
      <w:r>
        <w:rPr>
          <w:sz w:val="20"/>
        </w:rPr>
        <w:t>issuance</w:t>
      </w:r>
      <w:r>
        <w:rPr>
          <w:spacing w:val="-7"/>
          <w:sz w:val="20"/>
        </w:rPr>
        <w:t> </w:t>
      </w:r>
      <w:r>
        <w:rPr>
          <w:sz w:val="20"/>
        </w:rPr>
        <w:t>of</w:t>
      </w:r>
      <w:r>
        <w:rPr>
          <w:spacing w:val="-8"/>
          <w:sz w:val="20"/>
        </w:rPr>
        <w:t> </w:t>
      </w:r>
      <w:r>
        <w:rPr>
          <w:sz w:val="20"/>
        </w:rPr>
        <w:t>a</w:t>
      </w:r>
      <w:r>
        <w:rPr>
          <w:spacing w:val="-7"/>
          <w:sz w:val="20"/>
        </w:rPr>
        <w:t> </w:t>
      </w:r>
      <w:r>
        <w:rPr>
          <w:sz w:val="20"/>
        </w:rPr>
        <w:t>reparations</w:t>
      </w:r>
      <w:r>
        <w:rPr>
          <w:spacing w:val="-5"/>
          <w:sz w:val="20"/>
        </w:rPr>
        <w:t> </w:t>
      </w:r>
      <w:r>
        <w:rPr>
          <w:sz w:val="20"/>
        </w:rPr>
        <w:t>order</w:t>
      </w:r>
      <w:r>
        <w:rPr>
          <w:spacing w:val="-13"/>
          <w:sz w:val="20"/>
        </w:rPr>
        <w:t> </w:t>
      </w:r>
      <w:r>
        <w:rPr>
          <w:sz w:val="20"/>
        </w:rPr>
        <w:t>and</w:t>
      </w:r>
      <w:r>
        <w:rPr>
          <w:spacing w:val="-7"/>
          <w:sz w:val="20"/>
        </w:rPr>
        <w:t> </w:t>
      </w:r>
      <w:r>
        <w:rPr>
          <w:sz w:val="20"/>
        </w:rPr>
        <w:t>the</w:t>
      </w:r>
      <w:r>
        <w:rPr>
          <w:spacing w:val="-2"/>
          <w:sz w:val="20"/>
        </w:rPr>
        <w:t> </w:t>
      </w:r>
      <w:r>
        <w:rPr>
          <w:sz w:val="20"/>
        </w:rPr>
        <w:t>full</w:t>
      </w:r>
      <w:r>
        <w:rPr>
          <w:spacing w:val="-7"/>
          <w:sz w:val="20"/>
        </w:rPr>
        <w:t> </w:t>
      </w:r>
      <w:r>
        <w:rPr>
          <w:sz w:val="20"/>
        </w:rPr>
        <w:t>implementation</w:t>
      </w:r>
      <w:r>
        <w:rPr>
          <w:spacing w:val="-8"/>
          <w:sz w:val="20"/>
        </w:rPr>
        <w:t> </w:t>
      </w:r>
      <w:r>
        <w:rPr>
          <w:sz w:val="20"/>
        </w:rPr>
        <w:t>of</w:t>
      </w:r>
      <w:r>
        <w:rPr>
          <w:spacing w:val="-8"/>
          <w:sz w:val="20"/>
        </w:rPr>
        <w:t> </w:t>
      </w:r>
      <w:r>
        <w:rPr>
          <w:sz w:val="20"/>
        </w:rPr>
        <w:t>the</w:t>
      </w:r>
      <w:r>
        <w:rPr>
          <w:spacing w:val="-7"/>
          <w:sz w:val="20"/>
        </w:rPr>
        <w:t> </w:t>
      </w:r>
      <w:r>
        <w:rPr>
          <w:sz w:val="20"/>
        </w:rPr>
        <w:t>reparations,</w:t>
      </w:r>
      <w:r>
        <w:rPr>
          <w:spacing w:val="-6"/>
          <w:sz w:val="20"/>
        </w:rPr>
        <w:t> </w:t>
      </w:r>
      <w:r>
        <w:rPr>
          <w:sz w:val="20"/>
        </w:rPr>
        <w:t>as it is expected that the </w:t>
      </w:r>
      <w:r>
        <w:rPr>
          <w:i/>
          <w:sz w:val="20"/>
        </w:rPr>
        <w:t>Katanga </w:t>
      </w:r>
      <w:r>
        <w:rPr>
          <w:sz w:val="20"/>
        </w:rPr>
        <w:t>case will come to an end, likely with a closing event,</w:t>
      </w:r>
      <w:r>
        <w:rPr>
          <w:spacing w:val="32"/>
          <w:sz w:val="20"/>
        </w:rPr>
        <w:t> </w:t>
      </w:r>
      <w:r>
        <w:rPr>
          <w:sz w:val="20"/>
        </w:rPr>
        <w:t>in</w:t>
      </w:r>
      <w:r>
        <w:rPr>
          <w:spacing w:val="40"/>
          <w:sz w:val="20"/>
        </w:rPr>
        <w:t> </w:t>
      </w:r>
      <w:r>
        <w:rPr>
          <w:sz w:val="20"/>
        </w:rPr>
        <w:t>early 2023.</w:t>
      </w:r>
    </w:p>
    <w:p>
      <w:pPr>
        <w:pStyle w:val="ListParagraph"/>
        <w:numPr>
          <w:ilvl w:val="1"/>
          <w:numId w:val="4"/>
        </w:numPr>
        <w:tabs>
          <w:tab w:pos="3686" w:val="left" w:leader="none"/>
          <w:tab w:pos="3687" w:val="left" w:leader="none"/>
        </w:tabs>
        <w:spacing w:line="240" w:lineRule="auto" w:before="121" w:after="0"/>
        <w:ind w:left="2957" w:right="2238" w:firstLine="0"/>
        <w:jc w:val="both"/>
        <w:rPr>
          <w:sz w:val="20"/>
        </w:rPr>
      </w:pPr>
      <w:r>
        <w:rPr>
          <w:i/>
          <w:sz w:val="20"/>
        </w:rPr>
        <w:t>Lubanga</w:t>
      </w:r>
      <w:r>
        <w:rPr>
          <w:sz w:val="20"/>
        </w:rPr>
        <w:t>: The five-year collective services-based reparations programme started on 15 March 2021, providing reparations</w:t>
      </w:r>
      <w:r>
        <w:rPr>
          <w:spacing w:val="-1"/>
          <w:sz w:val="20"/>
        </w:rPr>
        <w:t> </w:t>
      </w:r>
      <w:r>
        <w:rPr>
          <w:sz w:val="20"/>
        </w:rPr>
        <w:t>to more than 550 beneficiaries</w:t>
      </w:r>
      <w:r>
        <w:rPr>
          <w:spacing w:val="-1"/>
          <w:sz w:val="20"/>
        </w:rPr>
        <w:t> </w:t>
      </w:r>
      <w:r>
        <w:rPr>
          <w:sz w:val="20"/>
        </w:rPr>
        <w:t>(to date),</w:t>
      </w:r>
      <w:r>
        <w:rPr>
          <w:spacing w:val="-13"/>
          <w:sz w:val="20"/>
        </w:rPr>
        <w:t> </w:t>
      </w:r>
      <w:r>
        <w:rPr>
          <w:sz w:val="20"/>
        </w:rPr>
        <w:t>and</w:t>
      </w:r>
      <w:r>
        <w:rPr>
          <w:spacing w:val="-12"/>
          <w:sz w:val="20"/>
        </w:rPr>
        <w:t> </w:t>
      </w:r>
      <w:r>
        <w:rPr>
          <w:sz w:val="20"/>
        </w:rPr>
        <w:t>will</w:t>
      </w:r>
      <w:r>
        <w:rPr>
          <w:spacing w:val="-13"/>
          <w:sz w:val="20"/>
        </w:rPr>
        <w:t> </w:t>
      </w:r>
      <w:r>
        <w:rPr>
          <w:sz w:val="20"/>
        </w:rPr>
        <w:t>continue</w:t>
      </w:r>
      <w:r>
        <w:rPr>
          <w:spacing w:val="-12"/>
          <w:sz w:val="20"/>
        </w:rPr>
        <w:t> </w:t>
      </w:r>
      <w:r>
        <w:rPr>
          <w:sz w:val="20"/>
        </w:rPr>
        <w:t>in</w:t>
      </w:r>
      <w:r>
        <w:rPr>
          <w:spacing w:val="-13"/>
          <w:sz w:val="20"/>
        </w:rPr>
        <w:t> </w:t>
      </w:r>
      <w:r>
        <w:rPr>
          <w:sz w:val="20"/>
        </w:rPr>
        <w:t>2023.</w:t>
      </w:r>
      <w:r>
        <w:rPr>
          <w:spacing w:val="-12"/>
          <w:sz w:val="20"/>
        </w:rPr>
        <w:t> </w:t>
      </w:r>
      <w:r>
        <w:rPr>
          <w:sz w:val="20"/>
        </w:rPr>
        <w:t>It</w:t>
      </w:r>
      <w:r>
        <w:rPr>
          <w:spacing w:val="-13"/>
          <w:sz w:val="20"/>
        </w:rPr>
        <w:t> </w:t>
      </w:r>
      <w:r>
        <w:rPr>
          <w:sz w:val="20"/>
        </w:rPr>
        <w:t>will</w:t>
      </w:r>
      <w:r>
        <w:rPr>
          <w:spacing w:val="-12"/>
          <w:sz w:val="20"/>
        </w:rPr>
        <w:t> </w:t>
      </w:r>
      <w:r>
        <w:rPr>
          <w:sz w:val="20"/>
        </w:rPr>
        <w:t>be</w:t>
      </w:r>
      <w:r>
        <w:rPr>
          <w:spacing w:val="-13"/>
          <w:sz w:val="20"/>
        </w:rPr>
        <w:t> </w:t>
      </w:r>
      <w:r>
        <w:rPr>
          <w:sz w:val="20"/>
        </w:rPr>
        <w:t>essential</w:t>
      </w:r>
      <w:r>
        <w:rPr>
          <w:spacing w:val="-12"/>
          <w:sz w:val="20"/>
        </w:rPr>
        <w:t> </w:t>
      </w:r>
      <w:r>
        <w:rPr>
          <w:sz w:val="20"/>
        </w:rPr>
        <w:t>in</w:t>
      </w:r>
      <w:r>
        <w:rPr>
          <w:spacing w:val="-13"/>
          <w:sz w:val="20"/>
        </w:rPr>
        <w:t> </w:t>
      </w:r>
      <w:r>
        <w:rPr>
          <w:sz w:val="20"/>
        </w:rPr>
        <w:t>2023</w:t>
      </w:r>
      <w:r>
        <w:rPr>
          <w:spacing w:val="-12"/>
          <w:sz w:val="20"/>
        </w:rPr>
        <w:t> </w:t>
      </w:r>
      <w:r>
        <w:rPr>
          <w:sz w:val="20"/>
        </w:rPr>
        <w:t>to</w:t>
      </w:r>
      <w:r>
        <w:rPr>
          <w:spacing w:val="-13"/>
          <w:sz w:val="20"/>
        </w:rPr>
        <w:t> </w:t>
      </w:r>
      <w:r>
        <w:rPr>
          <w:sz w:val="20"/>
        </w:rPr>
        <w:t>ensure</w:t>
      </w:r>
      <w:r>
        <w:rPr>
          <w:spacing w:val="-12"/>
          <w:sz w:val="20"/>
        </w:rPr>
        <w:t> </w:t>
      </w:r>
      <w:r>
        <w:rPr>
          <w:sz w:val="20"/>
        </w:rPr>
        <w:t>that</w:t>
      </w:r>
      <w:r>
        <w:rPr>
          <w:spacing w:val="-13"/>
          <w:sz w:val="20"/>
        </w:rPr>
        <w:t> </w:t>
      </w:r>
      <w:r>
        <w:rPr>
          <w:sz w:val="20"/>
        </w:rPr>
        <w:t>reparations continue to reach beneficiaries in the challenging operational circumstances in the</w:t>
      </w:r>
    </w:p>
    <w:p>
      <w:pPr>
        <w:spacing w:after="0" w:line="240" w:lineRule="auto"/>
        <w:jc w:val="both"/>
        <w:rPr>
          <w:sz w:val="20"/>
        </w:rPr>
        <w:sectPr>
          <w:pgSz w:w="11910" w:h="16840"/>
          <w:pgMar w:header="957" w:footer="940" w:top="1140" w:bottom="1140" w:left="20" w:right="20"/>
        </w:sectPr>
      </w:pPr>
    </w:p>
    <w:p>
      <w:pPr>
        <w:pStyle w:val="BodyText"/>
        <w:spacing w:before="124"/>
        <w:ind w:left="2957" w:right="2242"/>
        <w:jc w:val="both"/>
      </w:pPr>
      <w:r>
        <w:rPr/>
        <w:t>DRC’s Ituri Province where</w:t>
      </w:r>
      <w:r>
        <w:rPr>
          <w:spacing w:val="-3"/>
        </w:rPr>
        <w:t> </w:t>
      </w:r>
      <w:r>
        <w:rPr/>
        <w:t>the</w:t>
      </w:r>
      <w:r>
        <w:rPr>
          <w:spacing w:val="-3"/>
        </w:rPr>
        <w:t> </w:t>
      </w:r>
      <w:r>
        <w:rPr/>
        <w:t>conflict is</w:t>
      </w:r>
      <w:r>
        <w:rPr>
          <w:spacing w:val="-2"/>
        </w:rPr>
        <w:t> </w:t>
      </w:r>
      <w:r>
        <w:rPr/>
        <w:t>ongoing. The</w:t>
      </w:r>
      <w:r>
        <w:rPr>
          <w:spacing w:val="-3"/>
        </w:rPr>
        <w:t> </w:t>
      </w:r>
      <w:r>
        <w:rPr/>
        <w:t>TFV Secretariat,</w:t>
      </w:r>
      <w:r>
        <w:rPr>
          <w:spacing w:val="-2"/>
        </w:rPr>
        <w:t> </w:t>
      </w:r>
      <w:r>
        <w:rPr/>
        <w:t>in Bunia and</w:t>
      </w:r>
      <w:r>
        <w:rPr>
          <w:spacing w:val="-4"/>
        </w:rPr>
        <w:t> </w:t>
      </w:r>
      <w:r>
        <w:rPr/>
        <w:t>in</w:t>
      </w:r>
      <w:r>
        <w:rPr>
          <w:spacing w:val="-4"/>
        </w:rPr>
        <w:t> </w:t>
      </w:r>
      <w:r>
        <w:rPr/>
        <w:t>The</w:t>
      </w:r>
      <w:r>
        <w:rPr>
          <w:spacing w:val="-2"/>
        </w:rPr>
        <w:t> </w:t>
      </w:r>
      <w:r>
        <w:rPr/>
        <w:t>Hague, will</w:t>
      </w:r>
      <w:r>
        <w:rPr>
          <w:spacing w:val="-2"/>
        </w:rPr>
        <w:t> </w:t>
      </w:r>
      <w:r>
        <w:rPr/>
        <w:t>need</w:t>
      </w:r>
      <w:r>
        <w:rPr>
          <w:spacing w:val="-4"/>
        </w:rPr>
        <w:t> </w:t>
      </w:r>
      <w:r>
        <w:rPr/>
        <w:t>to</w:t>
      </w:r>
      <w:r>
        <w:rPr>
          <w:spacing w:val="-4"/>
        </w:rPr>
        <w:t> </w:t>
      </w:r>
      <w:r>
        <w:rPr/>
        <w:t>ensure</w:t>
      </w:r>
      <w:r>
        <w:rPr>
          <w:spacing w:val="-2"/>
        </w:rPr>
        <w:t> </w:t>
      </w:r>
      <w:r>
        <w:rPr/>
        <w:t>that</w:t>
      </w:r>
      <w:r>
        <w:rPr>
          <w:spacing w:val="-2"/>
        </w:rPr>
        <w:t> </w:t>
      </w:r>
      <w:r>
        <w:rPr/>
        <w:t>the</w:t>
      </w:r>
      <w:r>
        <w:rPr>
          <w:spacing w:val="-2"/>
        </w:rPr>
        <w:t> </w:t>
      </w:r>
      <w:r>
        <w:rPr/>
        <w:t>implementing</w:t>
      </w:r>
      <w:r>
        <w:rPr>
          <w:spacing w:val="-8"/>
        </w:rPr>
        <w:t> </w:t>
      </w:r>
      <w:r>
        <w:rPr/>
        <w:t>partner</w:t>
      </w:r>
      <w:r>
        <w:rPr>
          <w:spacing w:val="-4"/>
        </w:rPr>
        <w:t> </w:t>
      </w:r>
      <w:r>
        <w:rPr/>
        <w:t>is</w:t>
      </w:r>
      <w:r>
        <w:rPr>
          <w:spacing w:val="-5"/>
        </w:rPr>
        <w:t> </w:t>
      </w:r>
      <w:r>
        <w:rPr/>
        <w:t>carrying</w:t>
      </w:r>
      <w:r>
        <w:rPr>
          <w:spacing w:val="-4"/>
        </w:rPr>
        <w:t> </w:t>
      </w:r>
      <w:r>
        <w:rPr/>
        <w:t>out the project fully in line with the approved implementation plan and that the reparations reach the beneficiaries. Monitoring and evaluation will also continue. Regular reporting to the Chamber and specific donors will also continue. Fundraising to</w:t>
      </w:r>
      <w:r>
        <w:rPr>
          <w:spacing w:val="-4"/>
        </w:rPr>
        <w:t> </w:t>
      </w:r>
      <w:r>
        <w:rPr/>
        <w:t>close the remaining funding gap will</w:t>
      </w:r>
      <w:r>
        <w:rPr>
          <w:spacing w:val="-2"/>
        </w:rPr>
        <w:t> </w:t>
      </w:r>
      <w:r>
        <w:rPr/>
        <w:t>also be required</w:t>
      </w:r>
      <w:r>
        <w:rPr>
          <w:spacing w:val="-4"/>
        </w:rPr>
        <w:t> </w:t>
      </w:r>
      <w:r>
        <w:rPr/>
        <w:t>as a matter of high priority.</w:t>
      </w:r>
    </w:p>
    <w:p>
      <w:pPr>
        <w:pStyle w:val="ListParagraph"/>
        <w:numPr>
          <w:ilvl w:val="1"/>
          <w:numId w:val="4"/>
        </w:numPr>
        <w:tabs>
          <w:tab w:pos="3686" w:val="left" w:leader="none"/>
          <w:tab w:pos="3687" w:val="left" w:leader="none"/>
        </w:tabs>
        <w:spacing w:line="240" w:lineRule="auto" w:before="124" w:after="0"/>
        <w:ind w:left="2957" w:right="2239" w:firstLine="0"/>
        <w:jc w:val="both"/>
        <w:rPr>
          <w:sz w:val="20"/>
        </w:rPr>
      </w:pPr>
      <w:r>
        <w:rPr>
          <w:i/>
          <w:sz w:val="20"/>
        </w:rPr>
        <w:t>Ntaganda</w:t>
      </w:r>
      <w:r>
        <w:rPr>
          <w:sz w:val="20"/>
        </w:rPr>
        <w:t>:</w:t>
      </w:r>
      <w:r>
        <w:rPr>
          <w:spacing w:val="40"/>
          <w:sz w:val="20"/>
        </w:rPr>
        <w:t> </w:t>
      </w:r>
      <w:r>
        <w:rPr>
          <w:sz w:val="20"/>
        </w:rPr>
        <w:t>The</w:t>
      </w:r>
      <w:r>
        <w:rPr>
          <w:spacing w:val="40"/>
          <w:sz w:val="20"/>
        </w:rPr>
        <w:t> </w:t>
      </w:r>
      <w:r>
        <w:rPr>
          <w:sz w:val="20"/>
        </w:rPr>
        <w:t>draft</w:t>
      </w:r>
      <w:r>
        <w:rPr>
          <w:spacing w:val="40"/>
          <w:sz w:val="20"/>
        </w:rPr>
        <w:t> </w:t>
      </w:r>
      <w:r>
        <w:rPr>
          <w:sz w:val="20"/>
        </w:rPr>
        <w:t>implementation</w:t>
      </w:r>
      <w:r>
        <w:rPr>
          <w:spacing w:val="40"/>
          <w:sz w:val="20"/>
        </w:rPr>
        <w:t> </w:t>
      </w:r>
      <w:r>
        <w:rPr>
          <w:sz w:val="20"/>
        </w:rPr>
        <w:t>plan</w:t>
      </w:r>
      <w:r>
        <w:rPr>
          <w:spacing w:val="39"/>
          <w:sz w:val="20"/>
        </w:rPr>
        <w:t> </w:t>
      </w:r>
      <w:r>
        <w:rPr>
          <w:sz w:val="20"/>
        </w:rPr>
        <w:t>is</w:t>
      </w:r>
      <w:r>
        <w:rPr>
          <w:spacing w:val="40"/>
          <w:sz w:val="20"/>
        </w:rPr>
        <w:t> </w:t>
      </w:r>
      <w:r>
        <w:rPr>
          <w:sz w:val="20"/>
        </w:rPr>
        <w:t>expected</w:t>
      </w:r>
      <w:r>
        <w:rPr>
          <w:spacing w:val="40"/>
          <w:sz w:val="20"/>
        </w:rPr>
        <w:t> </w:t>
      </w:r>
      <w:r>
        <w:rPr>
          <w:sz w:val="20"/>
        </w:rPr>
        <w:t>to</w:t>
      </w:r>
      <w:r>
        <w:rPr>
          <w:spacing w:val="39"/>
          <w:sz w:val="20"/>
        </w:rPr>
        <w:t> </w:t>
      </w:r>
      <w:r>
        <w:rPr>
          <w:sz w:val="20"/>
        </w:rPr>
        <w:t>be</w:t>
      </w:r>
      <w:r>
        <w:rPr>
          <w:spacing w:val="40"/>
          <w:sz w:val="20"/>
        </w:rPr>
        <w:t> </w:t>
      </w:r>
      <w:r>
        <w:rPr>
          <w:sz w:val="20"/>
        </w:rPr>
        <w:t>approved in 2022. Initial reparations measures have been ongoing since 2021 to address the needs of priority victims, as requested by the Trial Chambers. In 2023, TFV staff will need to focus on the procurement of and partnerships with implementing organizations to put in place the reparations as planned. The TFV’s programme, legal and financial staff as well as the services of a procurement specialist are the resources necessary to ensure the smooth conduct of those procedures, both in the field and at Headquarters. The TFV will continue to require the support of the Registry for that purpose, including of the Procurement Unit and the Registry’s Legal</w:t>
      </w:r>
      <w:r>
        <w:rPr>
          <w:spacing w:val="-8"/>
          <w:sz w:val="20"/>
        </w:rPr>
        <w:t> </w:t>
      </w:r>
      <w:r>
        <w:rPr>
          <w:sz w:val="20"/>
        </w:rPr>
        <w:t>Office.</w:t>
      </w:r>
      <w:r>
        <w:rPr>
          <w:spacing w:val="-11"/>
          <w:sz w:val="20"/>
        </w:rPr>
        <w:t> </w:t>
      </w:r>
      <w:r>
        <w:rPr>
          <w:sz w:val="20"/>
        </w:rPr>
        <w:t>Fundraising</w:t>
      </w:r>
      <w:r>
        <w:rPr>
          <w:spacing w:val="-8"/>
          <w:sz w:val="20"/>
        </w:rPr>
        <w:t> </w:t>
      </w:r>
      <w:r>
        <w:rPr>
          <w:sz w:val="20"/>
        </w:rPr>
        <w:t>will</w:t>
      </w:r>
      <w:r>
        <w:rPr>
          <w:spacing w:val="-7"/>
          <w:sz w:val="20"/>
        </w:rPr>
        <w:t> </w:t>
      </w:r>
      <w:r>
        <w:rPr>
          <w:sz w:val="20"/>
        </w:rPr>
        <w:t>be</w:t>
      </w:r>
      <w:r>
        <w:rPr>
          <w:spacing w:val="-7"/>
          <w:sz w:val="20"/>
        </w:rPr>
        <w:t> </w:t>
      </w:r>
      <w:r>
        <w:rPr>
          <w:sz w:val="20"/>
        </w:rPr>
        <w:t>essential</w:t>
      </w:r>
      <w:r>
        <w:rPr>
          <w:spacing w:val="-12"/>
          <w:sz w:val="20"/>
        </w:rPr>
        <w:t> </w:t>
      </w:r>
      <w:r>
        <w:rPr>
          <w:sz w:val="20"/>
        </w:rPr>
        <w:t>to</w:t>
      </w:r>
      <w:r>
        <w:rPr>
          <w:spacing w:val="-13"/>
          <w:sz w:val="20"/>
        </w:rPr>
        <w:t> </w:t>
      </w:r>
      <w:r>
        <w:rPr>
          <w:sz w:val="20"/>
        </w:rPr>
        <w:t>enable</w:t>
      </w:r>
      <w:r>
        <w:rPr>
          <w:spacing w:val="-11"/>
          <w:sz w:val="20"/>
        </w:rPr>
        <w:t> </w:t>
      </w:r>
      <w:r>
        <w:rPr>
          <w:sz w:val="20"/>
        </w:rPr>
        <w:t>the</w:t>
      </w:r>
      <w:r>
        <w:rPr>
          <w:spacing w:val="-11"/>
          <w:sz w:val="20"/>
        </w:rPr>
        <w:t> </w:t>
      </w:r>
      <w:r>
        <w:rPr>
          <w:sz w:val="20"/>
        </w:rPr>
        <w:t>TFV</w:t>
      </w:r>
      <w:r>
        <w:rPr>
          <w:spacing w:val="-13"/>
          <w:sz w:val="20"/>
        </w:rPr>
        <w:t> </w:t>
      </w:r>
      <w:r>
        <w:rPr>
          <w:sz w:val="20"/>
        </w:rPr>
        <w:t>to</w:t>
      </w:r>
      <w:r>
        <w:rPr>
          <w:spacing w:val="-7"/>
          <w:sz w:val="20"/>
        </w:rPr>
        <w:t> </w:t>
      </w:r>
      <w:r>
        <w:rPr>
          <w:sz w:val="20"/>
        </w:rPr>
        <w:t>further</w:t>
      </w:r>
      <w:r>
        <w:rPr>
          <w:spacing w:val="-13"/>
          <w:sz w:val="20"/>
        </w:rPr>
        <w:t> </w:t>
      </w:r>
      <w:r>
        <w:rPr>
          <w:sz w:val="20"/>
        </w:rPr>
        <w:t>complement the Trial Chamber’s reparations order in the sum of USD 30 million.</w:t>
      </w:r>
    </w:p>
    <w:p>
      <w:pPr>
        <w:pStyle w:val="ListParagraph"/>
        <w:numPr>
          <w:ilvl w:val="1"/>
          <w:numId w:val="4"/>
        </w:numPr>
        <w:tabs>
          <w:tab w:pos="3686" w:val="left" w:leader="none"/>
          <w:tab w:pos="3687" w:val="left" w:leader="none"/>
        </w:tabs>
        <w:spacing w:line="240" w:lineRule="auto" w:before="120" w:after="0"/>
        <w:ind w:left="2957" w:right="2240" w:firstLine="0"/>
        <w:jc w:val="both"/>
        <w:rPr>
          <w:sz w:val="20"/>
        </w:rPr>
      </w:pPr>
      <w:r>
        <w:rPr>
          <w:i/>
          <w:sz w:val="20"/>
        </w:rPr>
        <w:t>Al Mahdi</w:t>
      </w:r>
      <w:r>
        <w:rPr>
          <w:sz w:val="20"/>
        </w:rPr>
        <w:t>: The implementation of individual reparations is expected to conclude in 2022</w:t>
      </w:r>
      <w:r>
        <w:rPr>
          <w:spacing w:val="-1"/>
          <w:sz w:val="20"/>
        </w:rPr>
        <w:t> </w:t>
      </w:r>
      <w:r>
        <w:rPr>
          <w:sz w:val="20"/>
        </w:rPr>
        <w:t>by reaching</w:t>
      </w:r>
      <w:r>
        <w:rPr>
          <w:spacing w:val="-1"/>
          <w:sz w:val="20"/>
        </w:rPr>
        <w:t> </w:t>
      </w:r>
      <w:r>
        <w:rPr>
          <w:sz w:val="20"/>
        </w:rPr>
        <w:t>about 1,000 beneficiaries. The collective reparations programmes with three partners, including UNESCO, will be ongoing throughout 2023</w:t>
      </w:r>
      <w:r>
        <w:rPr>
          <w:spacing w:val="-8"/>
          <w:sz w:val="20"/>
        </w:rPr>
        <w:t> </w:t>
      </w:r>
      <w:r>
        <w:rPr>
          <w:sz w:val="20"/>
        </w:rPr>
        <w:t>and</w:t>
      </w:r>
      <w:r>
        <w:rPr>
          <w:spacing w:val="-4"/>
          <w:sz w:val="20"/>
        </w:rPr>
        <w:t> </w:t>
      </w:r>
      <w:r>
        <w:rPr>
          <w:sz w:val="20"/>
        </w:rPr>
        <w:t>will</w:t>
      </w:r>
      <w:r>
        <w:rPr>
          <w:spacing w:val="-2"/>
          <w:sz w:val="20"/>
        </w:rPr>
        <w:t> </w:t>
      </w:r>
      <w:r>
        <w:rPr>
          <w:sz w:val="20"/>
        </w:rPr>
        <w:t>require</w:t>
      </w:r>
      <w:r>
        <w:rPr>
          <w:spacing w:val="-7"/>
          <w:sz w:val="20"/>
        </w:rPr>
        <w:t> </w:t>
      </w:r>
      <w:r>
        <w:rPr>
          <w:sz w:val="20"/>
        </w:rPr>
        <w:t>close</w:t>
      </w:r>
      <w:r>
        <w:rPr>
          <w:spacing w:val="-7"/>
          <w:sz w:val="20"/>
        </w:rPr>
        <w:t> </w:t>
      </w:r>
      <w:r>
        <w:rPr>
          <w:sz w:val="20"/>
        </w:rPr>
        <w:t>supervision</w:t>
      </w:r>
      <w:r>
        <w:rPr>
          <w:spacing w:val="-8"/>
          <w:sz w:val="20"/>
        </w:rPr>
        <w:t> </w:t>
      </w:r>
      <w:r>
        <w:rPr>
          <w:sz w:val="20"/>
        </w:rPr>
        <w:t>by</w:t>
      </w:r>
      <w:r>
        <w:rPr>
          <w:spacing w:val="-8"/>
          <w:sz w:val="20"/>
        </w:rPr>
        <w:t> </w:t>
      </w:r>
      <w:r>
        <w:rPr>
          <w:sz w:val="20"/>
        </w:rPr>
        <w:t>programme</w:t>
      </w:r>
      <w:r>
        <w:rPr>
          <w:spacing w:val="-7"/>
          <w:sz w:val="20"/>
        </w:rPr>
        <w:t> </w:t>
      </w:r>
      <w:r>
        <w:rPr>
          <w:sz w:val="20"/>
        </w:rPr>
        <w:t>and</w:t>
      </w:r>
      <w:r>
        <w:rPr>
          <w:spacing w:val="-8"/>
          <w:sz w:val="20"/>
        </w:rPr>
        <w:t> </w:t>
      </w:r>
      <w:r>
        <w:rPr>
          <w:sz w:val="20"/>
        </w:rPr>
        <w:t>legal</w:t>
      </w:r>
      <w:r>
        <w:rPr>
          <w:spacing w:val="-7"/>
          <w:sz w:val="20"/>
        </w:rPr>
        <w:t> </w:t>
      </w:r>
      <w:r>
        <w:rPr>
          <w:sz w:val="20"/>
        </w:rPr>
        <w:t>staff</w:t>
      </w:r>
      <w:r>
        <w:rPr>
          <w:spacing w:val="-8"/>
          <w:sz w:val="20"/>
        </w:rPr>
        <w:t> </w:t>
      </w:r>
      <w:r>
        <w:rPr>
          <w:sz w:val="20"/>
        </w:rPr>
        <w:t>as</w:t>
      </w:r>
      <w:r>
        <w:rPr>
          <w:spacing w:val="-5"/>
          <w:sz w:val="20"/>
        </w:rPr>
        <w:t> </w:t>
      </w:r>
      <w:r>
        <w:rPr>
          <w:sz w:val="20"/>
        </w:rPr>
        <w:t>in</w:t>
      </w:r>
      <w:r>
        <w:rPr>
          <w:spacing w:val="-8"/>
          <w:sz w:val="20"/>
        </w:rPr>
        <w:t> </w:t>
      </w:r>
      <w:r>
        <w:rPr>
          <w:sz w:val="20"/>
        </w:rPr>
        <w:t>the</w:t>
      </w:r>
      <w:r>
        <w:rPr>
          <w:spacing w:val="-7"/>
          <w:sz w:val="20"/>
        </w:rPr>
        <w:t> </w:t>
      </w:r>
      <w:r>
        <w:rPr>
          <w:sz w:val="20"/>
        </w:rPr>
        <w:t>tasks described above in (a) </w:t>
      </w:r>
      <w:r>
        <w:rPr>
          <w:i/>
          <w:sz w:val="20"/>
        </w:rPr>
        <w:t>Lubanga</w:t>
      </w:r>
      <w:r>
        <w:rPr>
          <w:sz w:val="20"/>
        </w:rPr>
        <w:t>. Regular reporting to the Chamber and specific donors will be ongoing.</w:t>
      </w:r>
    </w:p>
    <w:p>
      <w:pPr>
        <w:pStyle w:val="ListParagraph"/>
        <w:numPr>
          <w:ilvl w:val="0"/>
          <w:numId w:val="4"/>
        </w:numPr>
        <w:tabs>
          <w:tab w:pos="2967" w:val="left" w:leader="none"/>
        </w:tabs>
        <w:spacing w:line="240" w:lineRule="auto" w:before="118" w:after="0"/>
        <w:ind w:left="2246" w:right="2244" w:firstLine="0"/>
        <w:jc w:val="both"/>
        <w:rPr>
          <w:sz w:val="20"/>
        </w:rPr>
      </w:pPr>
      <w:r>
        <w:rPr>
          <w:sz w:val="20"/>
        </w:rPr>
        <w:t>The process for identifying beneficiaries in the </w:t>
      </w:r>
      <w:r>
        <w:rPr>
          <w:i/>
          <w:sz w:val="20"/>
        </w:rPr>
        <w:t>Ntaganda </w:t>
      </w:r>
      <w:r>
        <w:rPr>
          <w:sz w:val="20"/>
        </w:rPr>
        <w:t>case will need to be operative in 2023 on a greater scale than in 2022 and will require the involvement of legal and programme staff. This will entail further coordination with the Registry and implementing partners.</w:t>
      </w:r>
    </w:p>
    <w:p>
      <w:pPr>
        <w:pStyle w:val="ListParagraph"/>
        <w:numPr>
          <w:ilvl w:val="0"/>
          <w:numId w:val="4"/>
        </w:numPr>
        <w:tabs>
          <w:tab w:pos="2967" w:val="left" w:leader="none"/>
        </w:tabs>
        <w:spacing w:line="240" w:lineRule="auto" w:before="122" w:after="0"/>
        <w:ind w:left="2246" w:right="2239" w:firstLine="0"/>
        <w:jc w:val="both"/>
        <w:rPr>
          <w:i/>
          <w:sz w:val="20"/>
        </w:rPr>
      </w:pPr>
      <w:r>
        <w:rPr>
          <w:sz w:val="20"/>
        </w:rPr>
        <w:t>In addition, the TFV will be implementing and monitoring the urgent measures taken for the benefit of the most vulnerable victims with the tasks described above in paragraph a. </w:t>
      </w:r>
      <w:r>
        <w:rPr>
          <w:i/>
          <w:sz w:val="20"/>
        </w:rPr>
        <w:t>Lubanga.</w:t>
      </w:r>
    </w:p>
    <w:p>
      <w:pPr>
        <w:pStyle w:val="ListParagraph"/>
        <w:numPr>
          <w:ilvl w:val="0"/>
          <w:numId w:val="4"/>
        </w:numPr>
        <w:tabs>
          <w:tab w:pos="2967" w:val="left" w:leader="none"/>
        </w:tabs>
        <w:spacing w:line="240" w:lineRule="auto" w:before="122" w:after="0"/>
        <w:ind w:left="2246" w:right="2240" w:firstLine="0"/>
        <w:jc w:val="both"/>
        <w:rPr>
          <w:sz w:val="20"/>
        </w:rPr>
      </w:pPr>
      <w:r>
        <w:rPr>
          <w:i/>
          <w:sz w:val="20"/>
        </w:rPr>
        <w:t>Ongwen</w:t>
      </w:r>
      <w:r>
        <w:rPr>
          <w:sz w:val="20"/>
        </w:rPr>
        <w:t>: Following the issuance of the reparations order in the </w:t>
      </w:r>
      <w:r>
        <w:rPr>
          <w:i/>
          <w:sz w:val="20"/>
        </w:rPr>
        <w:t>Ongwen </w:t>
      </w:r>
      <w:r>
        <w:rPr>
          <w:sz w:val="20"/>
        </w:rPr>
        <w:t>case by late</w:t>
      </w:r>
      <w:r>
        <w:rPr>
          <w:spacing w:val="-1"/>
          <w:sz w:val="20"/>
        </w:rPr>
        <w:t> </w:t>
      </w:r>
      <w:r>
        <w:rPr>
          <w:sz w:val="20"/>
        </w:rPr>
        <w:t>2022, the TFV will be given the task of developing a draft implementation plan, which will</w:t>
      </w:r>
      <w:r>
        <w:rPr>
          <w:spacing w:val="-13"/>
          <w:sz w:val="20"/>
        </w:rPr>
        <w:t> </w:t>
      </w:r>
      <w:r>
        <w:rPr>
          <w:sz w:val="20"/>
        </w:rPr>
        <w:t>primarily</w:t>
      </w:r>
      <w:r>
        <w:rPr>
          <w:spacing w:val="-12"/>
          <w:sz w:val="20"/>
        </w:rPr>
        <w:t> </w:t>
      </w:r>
      <w:r>
        <w:rPr>
          <w:sz w:val="20"/>
        </w:rPr>
        <w:t>entail</w:t>
      </w:r>
      <w:r>
        <w:rPr>
          <w:spacing w:val="-13"/>
          <w:sz w:val="20"/>
        </w:rPr>
        <w:t> </w:t>
      </w:r>
      <w:r>
        <w:rPr>
          <w:sz w:val="20"/>
        </w:rPr>
        <w:t>the</w:t>
      </w:r>
      <w:r>
        <w:rPr>
          <w:spacing w:val="-12"/>
          <w:sz w:val="20"/>
        </w:rPr>
        <w:t> </w:t>
      </w:r>
      <w:r>
        <w:rPr>
          <w:sz w:val="20"/>
        </w:rPr>
        <w:t>involvement</w:t>
      </w:r>
      <w:r>
        <w:rPr>
          <w:spacing w:val="-13"/>
          <w:sz w:val="20"/>
        </w:rPr>
        <w:t> </w:t>
      </w:r>
      <w:r>
        <w:rPr>
          <w:sz w:val="20"/>
        </w:rPr>
        <w:t>of</w:t>
      </w:r>
      <w:r>
        <w:rPr>
          <w:spacing w:val="-12"/>
          <w:sz w:val="20"/>
        </w:rPr>
        <w:t> </w:t>
      </w:r>
      <w:r>
        <w:rPr>
          <w:sz w:val="20"/>
        </w:rPr>
        <w:t>legal</w:t>
      </w:r>
      <w:r>
        <w:rPr>
          <w:spacing w:val="-13"/>
          <w:sz w:val="20"/>
        </w:rPr>
        <w:t> </w:t>
      </w:r>
      <w:r>
        <w:rPr>
          <w:sz w:val="20"/>
        </w:rPr>
        <w:t>and</w:t>
      </w:r>
      <w:r>
        <w:rPr>
          <w:spacing w:val="-12"/>
          <w:sz w:val="20"/>
        </w:rPr>
        <w:t> </w:t>
      </w:r>
      <w:r>
        <w:rPr>
          <w:sz w:val="20"/>
        </w:rPr>
        <w:t>programme</w:t>
      </w:r>
      <w:r>
        <w:rPr>
          <w:spacing w:val="-13"/>
          <w:sz w:val="20"/>
        </w:rPr>
        <w:t> </w:t>
      </w:r>
      <w:r>
        <w:rPr>
          <w:sz w:val="20"/>
        </w:rPr>
        <w:t>staff</w:t>
      </w:r>
      <w:r>
        <w:rPr>
          <w:spacing w:val="-12"/>
          <w:sz w:val="20"/>
        </w:rPr>
        <w:t> </w:t>
      </w:r>
      <w:r>
        <w:rPr>
          <w:sz w:val="20"/>
        </w:rPr>
        <w:t>and</w:t>
      </w:r>
      <w:r>
        <w:rPr>
          <w:spacing w:val="-13"/>
          <w:sz w:val="20"/>
        </w:rPr>
        <w:t> </w:t>
      </w:r>
      <w:r>
        <w:rPr>
          <w:sz w:val="20"/>
        </w:rPr>
        <w:t>their</w:t>
      </w:r>
      <w:r>
        <w:rPr>
          <w:spacing w:val="-12"/>
          <w:sz w:val="20"/>
        </w:rPr>
        <w:t> </w:t>
      </w:r>
      <w:r>
        <w:rPr>
          <w:sz w:val="20"/>
        </w:rPr>
        <w:t>close</w:t>
      </w:r>
      <w:r>
        <w:rPr>
          <w:spacing w:val="-13"/>
          <w:sz w:val="20"/>
        </w:rPr>
        <w:t> </w:t>
      </w:r>
      <w:r>
        <w:rPr>
          <w:sz w:val="20"/>
        </w:rPr>
        <w:t>cooperation with the Registry and legal representatives, as well as coordination with IGOs, NGOs, government</w:t>
      </w:r>
      <w:r>
        <w:rPr>
          <w:spacing w:val="-7"/>
          <w:sz w:val="20"/>
        </w:rPr>
        <w:t> </w:t>
      </w:r>
      <w:r>
        <w:rPr>
          <w:sz w:val="20"/>
        </w:rPr>
        <w:t>authorities</w:t>
      </w:r>
      <w:r>
        <w:rPr>
          <w:spacing w:val="-10"/>
          <w:sz w:val="20"/>
        </w:rPr>
        <w:t> </w:t>
      </w:r>
      <w:r>
        <w:rPr>
          <w:sz w:val="20"/>
        </w:rPr>
        <w:t>and</w:t>
      </w:r>
      <w:r>
        <w:rPr>
          <w:spacing w:val="-8"/>
          <w:sz w:val="20"/>
        </w:rPr>
        <w:t> </w:t>
      </w:r>
      <w:r>
        <w:rPr>
          <w:sz w:val="20"/>
        </w:rPr>
        <w:t>civil</w:t>
      </w:r>
      <w:r>
        <w:rPr>
          <w:spacing w:val="-7"/>
          <w:sz w:val="20"/>
        </w:rPr>
        <w:t> </w:t>
      </w:r>
      <w:r>
        <w:rPr>
          <w:sz w:val="20"/>
        </w:rPr>
        <w:t>society,</w:t>
      </w:r>
      <w:r>
        <w:rPr>
          <w:spacing w:val="-6"/>
          <w:sz w:val="20"/>
        </w:rPr>
        <w:t> </w:t>
      </w:r>
      <w:r>
        <w:rPr>
          <w:sz w:val="20"/>
        </w:rPr>
        <w:t>and</w:t>
      </w:r>
      <w:r>
        <w:rPr>
          <w:spacing w:val="-8"/>
          <w:sz w:val="20"/>
        </w:rPr>
        <w:t> </w:t>
      </w:r>
      <w:r>
        <w:rPr>
          <w:sz w:val="20"/>
        </w:rPr>
        <w:t>in</w:t>
      </w:r>
      <w:r>
        <w:rPr>
          <w:spacing w:val="-8"/>
          <w:sz w:val="20"/>
        </w:rPr>
        <w:t> </w:t>
      </w:r>
      <w:r>
        <w:rPr>
          <w:sz w:val="20"/>
        </w:rPr>
        <w:t>particular</w:t>
      </w:r>
      <w:r>
        <w:rPr>
          <w:spacing w:val="-13"/>
          <w:sz w:val="20"/>
        </w:rPr>
        <w:t> </w:t>
      </w:r>
      <w:r>
        <w:rPr>
          <w:sz w:val="20"/>
        </w:rPr>
        <w:t>the</w:t>
      </w:r>
      <w:r>
        <w:rPr>
          <w:spacing w:val="-11"/>
          <w:sz w:val="20"/>
        </w:rPr>
        <w:t> </w:t>
      </w:r>
      <w:r>
        <w:rPr>
          <w:sz w:val="20"/>
        </w:rPr>
        <w:t>victims</w:t>
      </w:r>
      <w:r>
        <w:rPr>
          <w:spacing w:val="-10"/>
          <w:sz w:val="20"/>
        </w:rPr>
        <w:t> </w:t>
      </w:r>
      <w:r>
        <w:rPr>
          <w:sz w:val="20"/>
        </w:rPr>
        <w:t>and</w:t>
      </w:r>
      <w:r>
        <w:rPr>
          <w:spacing w:val="-8"/>
          <w:sz w:val="20"/>
        </w:rPr>
        <w:t> </w:t>
      </w:r>
      <w:r>
        <w:rPr>
          <w:sz w:val="20"/>
        </w:rPr>
        <w:t>their</w:t>
      </w:r>
      <w:r>
        <w:rPr>
          <w:spacing w:val="-8"/>
          <w:sz w:val="20"/>
        </w:rPr>
        <w:t> </w:t>
      </w:r>
      <w:r>
        <w:rPr>
          <w:sz w:val="20"/>
        </w:rPr>
        <w:t>communities. Once the implementation plan is approved, by mid- or late 2022, the TFV will start the process</w:t>
      </w:r>
      <w:r>
        <w:rPr>
          <w:spacing w:val="-5"/>
          <w:sz w:val="20"/>
        </w:rPr>
        <w:t> </w:t>
      </w:r>
      <w:r>
        <w:rPr>
          <w:sz w:val="20"/>
        </w:rPr>
        <w:t>of procuring</w:t>
      </w:r>
      <w:r>
        <w:rPr>
          <w:spacing w:val="-4"/>
          <w:sz w:val="20"/>
        </w:rPr>
        <w:t> </w:t>
      </w:r>
      <w:r>
        <w:rPr>
          <w:sz w:val="20"/>
        </w:rPr>
        <w:t>and partnering with</w:t>
      </w:r>
      <w:r>
        <w:rPr>
          <w:spacing w:val="-4"/>
          <w:sz w:val="20"/>
        </w:rPr>
        <w:t> </w:t>
      </w:r>
      <w:r>
        <w:rPr>
          <w:sz w:val="20"/>
        </w:rPr>
        <w:t>implementing</w:t>
      </w:r>
      <w:r>
        <w:rPr>
          <w:spacing w:val="-4"/>
          <w:sz w:val="20"/>
        </w:rPr>
        <w:t> </w:t>
      </w:r>
      <w:r>
        <w:rPr>
          <w:sz w:val="20"/>
        </w:rPr>
        <w:t>organizations,</w:t>
      </w:r>
      <w:r>
        <w:rPr>
          <w:spacing w:val="-1"/>
          <w:sz w:val="20"/>
        </w:rPr>
        <w:t> </w:t>
      </w:r>
      <w:r>
        <w:rPr>
          <w:sz w:val="20"/>
        </w:rPr>
        <w:t>as</w:t>
      </w:r>
      <w:r>
        <w:rPr>
          <w:spacing w:val="-5"/>
          <w:sz w:val="20"/>
        </w:rPr>
        <w:t> </w:t>
      </w:r>
      <w:r>
        <w:rPr>
          <w:sz w:val="20"/>
        </w:rPr>
        <w:t>described</w:t>
      </w:r>
      <w:r>
        <w:rPr>
          <w:spacing w:val="-4"/>
          <w:sz w:val="20"/>
        </w:rPr>
        <w:t> </w:t>
      </w:r>
      <w:r>
        <w:rPr>
          <w:sz w:val="20"/>
        </w:rPr>
        <w:t>above</w:t>
      </w:r>
      <w:r>
        <w:rPr>
          <w:spacing w:val="-2"/>
          <w:sz w:val="20"/>
        </w:rPr>
        <w:t> </w:t>
      </w:r>
      <w:r>
        <w:rPr>
          <w:sz w:val="20"/>
        </w:rPr>
        <w:t>in paragraph</w:t>
      </w:r>
      <w:r>
        <w:rPr>
          <w:spacing w:val="-13"/>
          <w:sz w:val="20"/>
        </w:rPr>
        <w:t> </w:t>
      </w:r>
      <w:r>
        <w:rPr>
          <w:sz w:val="20"/>
        </w:rPr>
        <w:t>b.</w:t>
      </w:r>
      <w:r>
        <w:rPr>
          <w:spacing w:val="-12"/>
          <w:sz w:val="20"/>
        </w:rPr>
        <w:t> </w:t>
      </w:r>
      <w:r>
        <w:rPr>
          <w:i/>
          <w:sz w:val="20"/>
        </w:rPr>
        <w:t>Ntaganda.</w:t>
      </w:r>
      <w:r>
        <w:rPr>
          <w:i/>
          <w:spacing w:val="-10"/>
          <w:sz w:val="20"/>
        </w:rPr>
        <w:t> </w:t>
      </w:r>
      <w:r>
        <w:rPr>
          <w:sz w:val="20"/>
        </w:rPr>
        <w:t>Legal</w:t>
      </w:r>
      <w:r>
        <w:rPr>
          <w:spacing w:val="-7"/>
          <w:sz w:val="20"/>
        </w:rPr>
        <w:t> </w:t>
      </w:r>
      <w:r>
        <w:rPr>
          <w:sz w:val="20"/>
        </w:rPr>
        <w:t>staff</w:t>
      </w:r>
      <w:r>
        <w:rPr>
          <w:spacing w:val="-13"/>
          <w:sz w:val="20"/>
        </w:rPr>
        <w:t> </w:t>
      </w:r>
      <w:r>
        <w:rPr>
          <w:sz w:val="20"/>
        </w:rPr>
        <w:t>will</w:t>
      </w:r>
      <w:r>
        <w:rPr>
          <w:spacing w:val="-7"/>
          <w:sz w:val="20"/>
        </w:rPr>
        <w:t> </w:t>
      </w:r>
      <w:r>
        <w:rPr>
          <w:sz w:val="20"/>
        </w:rPr>
        <w:t>also</w:t>
      </w:r>
      <w:r>
        <w:rPr>
          <w:spacing w:val="-8"/>
          <w:sz w:val="20"/>
        </w:rPr>
        <w:t> </w:t>
      </w:r>
      <w:r>
        <w:rPr>
          <w:sz w:val="20"/>
        </w:rPr>
        <w:t>be</w:t>
      </w:r>
      <w:r>
        <w:rPr>
          <w:spacing w:val="-7"/>
          <w:sz w:val="20"/>
        </w:rPr>
        <w:t> </w:t>
      </w:r>
      <w:r>
        <w:rPr>
          <w:sz w:val="20"/>
        </w:rPr>
        <w:t>involved</w:t>
      </w:r>
      <w:r>
        <w:rPr>
          <w:spacing w:val="-13"/>
          <w:sz w:val="20"/>
        </w:rPr>
        <w:t> </w:t>
      </w:r>
      <w:r>
        <w:rPr>
          <w:sz w:val="20"/>
        </w:rPr>
        <w:t>in</w:t>
      </w:r>
      <w:r>
        <w:rPr>
          <w:spacing w:val="-8"/>
          <w:sz w:val="20"/>
        </w:rPr>
        <w:t> </w:t>
      </w:r>
      <w:r>
        <w:rPr>
          <w:sz w:val="20"/>
        </w:rPr>
        <w:t>preparing</w:t>
      </w:r>
      <w:r>
        <w:rPr>
          <w:spacing w:val="-8"/>
          <w:sz w:val="20"/>
        </w:rPr>
        <w:t> </w:t>
      </w:r>
      <w:r>
        <w:rPr>
          <w:sz w:val="20"/>
        </w:rPr>
        <w:t>observations</w:t>
      </w:r>
      <w:r>
        <w:rPr>
          <w:spacing w:val="-10"/>
          <w:sz w:val="20"/>
        </w:rPr>
        <w:t> </w:t>
      </w:r>
      <w:r>
        <w:rPr>
          <w:sz w:val="20"/>
        </w:rPr>
        <w:t>in</w:t>
      </w:r>
      <w:r>
        <w:rPr>
          <w:spacing w:val="-13"/>
          <w:sz w:val="20"/>
        </w:rPr>
        <w:t> </w:t>
      </w:r>
      <w:r>
        <w:rPr>
          <w:sz w:val="20"/>
        </w:rPr>
        <w:t>relation to any appeal proceedings against the reparations order.</w:t>
      </w:r>
    </w:p>
    <w:p>
      <w:pPr>
        <w:pStyle w:val="BodyText"/>
        <w:spacing w:before="10"/>
      </w:pPr>
    </w:p>
    <w:p>
      <w:pPr>
        <w:spacing w:before="0"/>
        <w:ind w:left="2246" w:right="0" w:firstLine="0"/>
        <w:jc w:val="both"/>
        <w:rPr>
          <w:i/>
          <w:sz w:val="20"/>
        </w:rPr>
      </w:pPr>
      <w:r>
        <w:rPr>
          <w:i/>
          <w:sz w:val="20"/>
        </w:rPr>
        <w:t>Assistance</w:t>
      </w:r>
      <w:r>
        <w:rPr>
          <w:i/>
          <w:spacing w:val="-6"/>
          <w:sz w:val="20"/>
        </w:rPr>
        <w:t> </w:t>
      </w:r>
      <w:r>
        <w:rPr>
          <w:i/>
          <w:sz w:val="20"/>
        </w:rPr>
        <w:t>(regulation</w:t>
      </w:r>
      <w:r>
        <w:rPr>
          <w:i/>
          <w:spacing w:val="-7"/>
          <w:sz w:val="20"/>
        </w:rPr>
        <w:t> </w:t>
      </w:r>
      <w:r>
        <w:rPr>
          <w:i/>
          <w:sz w:val="20"/>
        </w:rPr>
        <w:t>50(a)</w:t>
      </w:r>
      <w:r>
        <w:rPr>
          <w:i/>
          <w:spacing w:val="-3"/>
          <w:sz w:val="20"/>
        </w:rPr>
        <w:t> </w:t>
      </w:r>
      <w:r>
        <w:rPr>
          <w:i/>
          <w:sz w:val="20"/>
        </w:rPr>
        <w:t>of</w:t>
      </w:r>
      <w:r>
        <w:rPr>
          <w:i/>
          <w:spacing w:val="-5"/>
          <w:sz w:val="20"/>
        </w:rPr>
        <w:t> </w:t>
      </w:r>
      <w:r>
        <w:rPr>
          <w:i/>
          <w:sz w:val="20"/>
        </w:rPr>
        <w:t>the</w:t>
      </w:r>
      <w:r>
        <w:rPr>
          <w:i/>
          <w:spacing w:val="-10"/>
          <w:sz w:val="20"/>
        </w:rPr>
        <w:t> </w:t>
      </w:r>
      <w:r>
        <w:rPr>
          <w:i/>
          <w:sz w:val="20"/>
        </w:rPr>
        <w:t>Regulations</w:t>
      </w:r>
      <w:r>
        <w:rPr>
          <w:i/>
          <w:spacing w:val="-8"/>
          <w:sz w:val="20"/>
        </w:rPr>
        <w:t> </w:t>
      </w:r>
      <w:r>
        <w:rPr>
          <w:i/>
          <w:sz w:val="20"/>
        </w:rPr>
        <w:t>of</w:t>
      </w:r>
      <w:r>
        <w:rPr>
          <w:i/>
          <w:spacing w:val="-6"/>
          <w:sz w:val="20"/>
        </w:rPr>
        <w:t> </w:t>
      </w:r>
      <w:r>
        <w:rPr>
          <w:i/>
          <w:sz w:val="20"/>
        </w:rPr>
        <w:t>the</w:t>
      </w:r>
      <w:r>
        <w:rPr>
          <w:i/>
          <w:spacing w:val="-1"/>
          <w:sz w:val="20"/>
        </w:rPr>
        <w:t> </w:t>
      </w:r>
      <w:r>
        <w:rPr>
          <w:i/>
          <w:sz w:val="20"/>
        </w:rPr>
        <w:t>Trust</w:t>
      </w:r>
      <w:r>
        <w:rPr>
          <w:i/>
          <w:spacing w:val="-9"/>
          <w:sz w:val="20"/>
        </w:rPr>
        <w:t> </w:t>
      </w:r>
      <w:r>
        <w:rPr>
          <w:i/>
          <w:spacing w:val="-2"/>
          <w:sz w:val="20"/>
        </w:rPr>
        <w:t>Fund)</w:t>
      </w:r>
    </w:p>
    <w:p>
      <w:pPr>
        <w:pStyle w:val="BodyText"/>
        <w:spacing w:before="10"/>
        <w:rPr>
          <w:i/>
        </w:rPr>
      </w:pPr>
    </w:p>
    <w:p>
      <w:pPr>
        <w:pStyle w:val="ListParagraph"/>
        <w:numPr>
          <w:ilvl w:val="0"/>
          <w:numId w:val="4"/>
        </w:numPr>
        <w:tabs>
          <w:tab w:pos="2967" w:val="left" w:leader="none"/>
        </w:tabs>
        <w:spacing w:line="240" w:lineRule="auto" w:before="0" w:after="0"/>
        <w:ind w:left="2246" w:right="2243" w:firstLine="0"/>
        <w:jc w:val="both"/>
        <w:rPr>
          <w:sz w:val="20"/>
        </w:rPr>
      </w:pPr>
      <w:r>
        <w:rPr>
          <w:sz w:val="20"/>
        </w:rPr>
        <w:t>In addition</w:t>
      </w:r>
      <w:r>
        <w:rPr>
          <w:spacing w:val="-5"/>
          <w:sz w:val="20"/>
        </w:rPr>
        <w:t> </w:t>
      </w:r>
      <w:r>
        <w:rPr>
          <w:sz w:val="20"/>
        </w:rPr>
        <w:t>to providing reparation for harm, primarily</w:t>
      </w:r>
      <w:r>
        <w:rPr>
          <w:spacing w:val="-5"/>
          <w:sz w:val="20"/>
        </w:rPr>
        <w:t> </w:t>
      </w:r>
      <w:r>
        <w:rPr>
          <w:sz w:val="20"/>
        </w:rPr>
        <w:t>in the</w:t>
      </w:r>
      <w:r>
        <w:rPr>
          <w:spacing w:val="-3"/>
          <w:sz w:val="20"/>
        </w:rPr>
        <w:t> </w:t>
      </w:r>
      <w:r>
        <w:rPr>
          <w:sz w:val="20"/>
        </w:rPr>
        <w:t>form</w:t>
      </w:r>
      <w:r>
        <w:rPr>
          <w:spacing w:val="-3"/>
          <w:sz w:val="20"/>
        </w:rPr>
        <w:t> </w:t>
      </w:r>
      <w:r>
        <w:rPr>
          <w:sz w:val="20"/>
        </w:rPr>
        <w:t>of rehabilitation assistance programmes aim to align Trust Fund activities with national and international initiatives to provide reparation to the victims of crimes under the jurisdiction of the Court. Responsibility for repairing the harm suffered by victims of international crimes lies principally with the government of a situation country, acting pursuant to domestic law, ratified international treaties and customary international law. TFV assistance programmes are not intended to replace or displace a government’s responsibility to provide reparation. Under</w:t>
      </w:r>
      <w:r>
        <w:rPr>
          <w:spacing w:val="-8"/>
          <w:sz w:val="20"/>
        </w:rPr>
        <w:t> </w:t>
      </w:r>
      <w:r>
        <w:rPr>
          <w:sz w:val="20"/>
        </w:rPr>
        <w:t>this</w:t>
      </w:r>
      <w:r>
        <w:rPr>
          <w:spacing w:val="-10"/>
          <w:sz w:val="20"/>
        </w:rPr>
        <w:t> </w:t>
      </w:r>
      <w:r>
        <w:rPr>
          <w:sz w:val="20"/>
        </w:rPr>
        <w:t>notion</w:t>
      </w:r>
      <w:r>
        <w:rPr>
          <w:spacing w:val="-8"/>
          <w:sz w:val="20"/>
        </w:rPr>
        <w:t> </w:t>
      </w:r>
      <w:r>
        <w:rPr>
          <w:sz w:val="20"/>
        </w:rPr>
        <w:t>of</w:t>
      </w:r>
      <w:r>
        <w:rPr>
          <w:spacing w:val="-8"/>
          <w:sz w:val="20"/>
        </w:rPr>
        <w:t> </w:t>
      </w:r>
      <w:r>
        <w:rPr>
          <w:sz w:val="20"/>
        </w:rPr>
        <w:t>reparative</w:t>
      </w:r>
      <w:r>
        <w:rPr>
          <w:spacing w:val="-7"/>
          <w:sz w:val="20"/>
        </w:rPr>
        <w:t> </w:t>
      </w:r>
      <w:r>
        <w:rPr>
          <w:sz w:val="20"/>
        </w:rPr>
        <w:t>complementarity,</w:t>
      </w:r>
      <w:r>
        <w:rPr>
          <w:spacing w:val="-6"/>
          <w:sz w:val="20"/>
        </w:rPr>
        <w:t> </w:t>
      </w:r>
      <w:r>
        <w:rPr>
          <w:sz w:val="20"/>
        </w:rPr>
        <w:t>TFV</w:t>
      </w:r>
      <w:r>
        <w:rPr>
          <w:spacing w:val="-10"/>
          <w:sz w:val="20"/>
        </w:rPr>
        <w:t> </w:t>
      </w:r>
      <w:r>
        <w:rPr>
          <w:sz w:val="20"/>
        </w:rPr>
        <w:t>assistance</w:t>
      </w:r>
      <w:r>
        <w:rPr>
          <w:spacing w:val="-7"/>
          <w:sz w:val="20"/>
        </w:rPr>
        <w:t> </w:t>
      </w:r>
      <w:r>
        <w:rPr>
          <w:sz w:val="20"/>
        </w:rPr>
        <w:t>programmes</w:t>
      </w:r>
      <w:r>
        <w:rPr>
          <w:spacing w:val="-10"/>
          <w:sz w:val="20"/>
        </w:rPr>
        <w:t> </w:t>
      </w:r>
      <w:r>
        <w:rPr>
          <w:sz w:val="20"/>
        </w:rPr>
        <w:t>may</w:t>
      </w:r>
      <w:r>
        <w:rPr>
          <w:spacing w:val="-8"/>
          <w:sz w:val="20"/>
        </w:rPr>
        <w:t> </w:t>
      </w:r>
      <w:r>
        <w:rPr>
          <w:sz w:val="20"/>
        </w:rPr>
        <w:t>therefore take place where no national programme exists or may complement and/or strengthen a government’s own reparative programmes or activities. To that end, programme staff need to closely engage with government authorities and with all other ongoing reparation initiatives in the relevant situation countries.</w:t>
      </w:r>
    </w:p>
    <w:p>
      <w:pPr>
        <w:pStyle w:val="ListParagraph"/>
        <w:numPr>
          <w:ilvl w:val="0"/>
          <w:numId w:val="4"/>
        </w:numPr>
        <w:tabs>
          <w:tab w:pos="2967" w:val="left" w:leader="none"/>
        </w:tabs>
        <w:spacing w:line="240" w:lineRule="auto" w:before="121" w:after="0"/>
        <w:ind w:left="2246" w:right="2245" w:firstLine="0"/>
        <w:jc w:val="both"/>
        <w:rPr>
          <w:sz w:val="20"/>
        </w:rPr>
      </w:pPr>
      <w:r>
        <w:rPr>
          <w:sz w:val="20"/>
        </w:rPr>
        <w:t>The</w:t>
      </w:r>
      <w:r>
        <w:rPr>
          <w:spacing w:val="-13"/>
          <w:sz w:val="20"/>
        </w:rPr>
        <w:t> </w:t>
      </w:r>
      <w:r>
        <w:rPr>
          <w:sz w:val="20"/>
        </w:rPr>
        <w:t>TFV</w:t>
      </w:r>
      <w:r>
        <w:rPr>
          <w:spacing w:val="-12"/>
          <w:sz w:val="20"/>
        </w:rPr>
        <w:t> </w:t>
      </w:r>
      <w:r>
        <w:rPr>
          <w:sz w:val="20"/>
        </w:rPr>
        <w:t>will</w:t>
      </w:r>
      <w:r>
        <w:rPr>
          <w:spacing w:val="-13"/>
          <w:sz w:val="20"/>
        </w:rPr>
        <w:t> </w:t>
      </w:r>
      <w:r>
        <w:rPr>
          <w:sz w:val="20"/>
        </w:rPr>
        <w:t>be</w:t>
      </w:r>
      <w:r>
        <w:rPr>
          <w:spacing w:val="-12"/>
          <w:sz w:val="20"/>
        </w:rPr>
        <w:t> </w:t>
      </w:r>
      <w:r>
        <w:rPr>
          <w:sz w:val="20"/>
        </w:rPr>
        <w:t>funding</w:t>
      </w:r>
      <w:r>
        <w:rPr>
          <w:spacing w:val="-13"/>
          <w:sz w:val="20"/>
        </w:rPr>
        <w:t> </w:t>
      </w:r>
      <w:r>
        <w:rPr>
          <w:sz w:val="20"/>
        </w:rPr>
        <w:t>seven</w:t>
      </w:r>
      <w:r>
        <w:rPr>
          <w:spacing w:val="-12"/>
          <w:sz w:val="20"/>
        </w:rPr>
        <w:t> </w:t>
      </w:r>
      <w:r>
        <w:rPr>
          <w:sz w:val="20"/>
        </w:rPr>
        <w:t>programmes</w:t>
      </w:r>
      <w:r>
        <w:rPr>
          <w:spacing w:val="-13"/>
          <w:sz w:val="20"/>
        </w:rPr>
        <w:t> </w:t>
      </w:r>
      <w:r>
        <w:rPr>
          <w:sz w:val="20"/>
        </w:rPr>
        <w:t>in</w:t>
      </w:r>
      <w:r>
        <w:rPr>
          <w:spacing w:val="-12"/>
          <w:sz w:val="20"/>
        </w:rPr>
        <w:t> </w:t>
      </w:r>
      <w:r>
        <w:rPr>
          <w:sz w:val="20"/>
        </w:rPr>
        <w:t>2023</w:t>
      </w:r>
      <w:r>
        <w:rPr>
          <w:spacing w:val="-13"/>
          <w:sz w:val="20"/>
        </w:rPr>
        <w:t> </w:t>
      </w:r>
      <w:r>
        <w:rPr>
          <w:sz w:val="20"/>
        </w:rPr>
        <w:t>and,</w:t>
      </w:r>
      <w:r>
        <w:rPr>
          <w:spacing w:val="-12"/>
          <w:sz w:val="20"/>
        </w:rPr>
        <w:t> </w:t>
      </w:r>
      <w:r>
        <w:rPr>
          <w:sz w:val="20"/>
        </w:rPr>
        <w:t>in</w:t>
      </w:r>
      <w:r>
        <w:rPr>
          <w:spacing w:val="-13"/>
          <w:sz w:val="20"/>
        </w:rPr>
        <w:t> </w:t>
      </w:r>
      <w:r>
        <w:rPr>
          <w:sz w:val="20"/>
        </w:rPr>
        <w:t>the</w:t>
      </w:r>
      <w:r>
        <w:rPr>
          <w:spacing w:val="-12"/>
          <w:sz w:val="20"/>
        </w:rPr>
        <w:t> </w:t>
      </w:r>
      <w:r>
        <w:rPr>
          <w:sz w:val="20"/>
        </w:rPr>
        <w:t>first</w:t>
      </w:r>
      <w:r>
        <w:rPr>
          <w:spacing w:val="-13"/>
          <w:sz w:val="20"/>
        </w:rPr>
        <w:t> </w:t>
      </w:r>
      <w:r>
        <w:rPr>
          <w:sz w:val="20"/>
        </w:rPr>
        <w:t>quarter</w:t>
      </w:r>
      <w:r>
        <w:rPr>
          <w:spacing w:val="-12"/>
          <w:sz w:val="20"/>
        </w:rPr>
        <w:t> </w:t>
      </w:r>
      <w:r>
        <w:rPr>
          <w:sz w:val="20"/>
        </w:rPr>
        <w:t>of</w:t>
      </w:r>
      <w:r>
        <w:rPr>
          <w:spacing w:val="-13"/>
          <w:sz w:val="20"/>
        </w:rPr>
        <w:t> </w:t>
      </w:r>
      <w:r>
        <w:rPr>
          <w:sz w:val="20"/>
        </w:rPr>
        <w:t>2023, will</w:t>
      </w:r>
      <w:r>
        <w:rPr>
          <w:spacing w:val="56"/>
          <w:sz w:val="20"/>
        </w:rPr>
        <w:t> </w:t>
      </w:r>
      <w:r>
        <w:rPr>
          <w:sz w:val="20"/>
        </w:rPr>
        <w:t>perform</w:t>
      </w:r>
      <w:r>
        <w:rPr>
          <w:spacing w:val="40"/>
          <w:sz w:val="20"/>
        </w:rPr>
        <w:t> </w:t>
      </w:r>
      <w:r>
        <w:rPr>
          <w:sz w:val="20"/>
        </w:rPr>
        <w:t>its</w:t>
      </w:r>
      <w:r>
        <w:rPr>
          <w:spacing w:val="40"/>
          <w:sz w:val="20"/>
        </w:rPr>
        <w:t> </w:t>
      </w:r>
      <w:r>
        <w:rPr>
          <w:sz w:val="20"/>
        </w:rPr>
        <w:t>annual</w:t>
      </w:r>
      <w:r>
        <w:rPr>
          <w:spacing w:val="56"/>
          <w:sz w:val="20"/>
        </w:rPr>
        <w:t> </w:t>
      </w:r>
      <w:r>
        <w:rPr>
          <w:sz w:val="20"/>
        </w:rPr>
        <w:t>portfolio</w:t>
      </w:r>
      <w:r>
        <w:rPr>
          <w:spacing w:val="40"/>
          <w:sz w:val="20"/>
        </w:rPr>
        <w:t> </w:t>
      </w:r>
      <w:r>
        <w:rPr>
          <w:sz w:val="20"/>
        </w:rPr>
        <w:t>performance</w:t>
      </w:r>
      <w:r>
        <w:rPr>
          <w:spacing w:val="56"/>
          <w:sz w:val="20"/>
        </w:rPr>
        <w:t> </w:t>
      </w:r>
      <w:r>
        <w:rPr>
          <w:sz w:val="20"/>
        </w:rPr>
        <w:t>review</w:t>
      </w:r>
      <w:r>
        <w:rPr>
          <w:spacing w:val="40"/>
          <w:sz w:val="20"/>
        </w:rPr>
        <w:t> </w:t>
      </w:r>
      <w:r>
        <w:rPr>
          <w:sz w:val="20"/>
        </w:rPr>
        <w:t>in</w:t>
      </w:r>
      <w:r>
        <w:rPr>
          <w:spacing w:val="40"/>
          <w:sz w:val="20"/>
        </w:rPr>
        <w:t> </w:t>
      </w:r>
      <w:r>
        <w:rPr>
          <w:sz w:val="20"/>
        </w:rPr>
        <w:t>order</w:t>
      </w:r>
      <w:r>
        <w:rPr>
          <w:spacing w:val="40"/>
          <w:sz w:val="20"/>
        </w:rPr>
        <w:t> </w:t>
      </w:r>
      <w:r>
        <w:rPr>
          <w:sz w:val="20"/>
        </w:rPr>
        <w:t>to</w:t>
      </w:r>
      <w:r>
        <w:rPr>
          <w:spacing w:val="40"/>
          <w:sz w:val="20"/>
        </w:rPr>
        <w:t> </w:t>
      </w:r>
      <w:r>
        <w:rPr>
          <w:sz w:val="20"/>
        </w:rPr>
        <w:t>establish</w:t>
      </w:r>
      <w:r>
        <w:rPr>
          <w:spacing w:val="40"/>
          <w:sz w:val="20"/>
        </w:rPr>
        <w:t> </w:t>
      </w:r>
      <w:r>
        <w:rPr>
          <w:sz w:val="20"/>
        </w:rPr>
        <w:t>its</w:t>
      </w:r>
      <w:r>
        <w:rPr>
          <w:spacing w:val="40"/>
          <w:sz w:val="20"/>
        </w:rPr>
        <w:t> </w:t>
      </w:r>
      <w:r>
        <w:rPr>
          <w:sz w:val="20"/>
        </w:rPr>
        <w:t>annual</w:t>
      </w:r>
    </w:p>
    <w:p>
      <w:pPr>
        <w:spacing w:after="0" w:line="240" w:lineRule="auto"/>
        <w:jc w:val="both"/>
        <w:rPr>
          <w:sz w:val="20"/>
        </w:rPr>
        <w:sectPr>
          <w:pgSz w:w="11910" w:h="16840"/>
          <w:pgMar w:header="953" w:footer="940" w:top="1140" w:bottom="1140" w:left="20" w:right="20"/>
        </w:sectPr>
      </w:pPr>
    </w:p>
    <w:p>
      <w:pPr>
        <w:pStyle w:val="BodyText"/>
        <w:spacing w:before="120"/>
        <w:ind w:left="2246" w:right="2252"/>
        <w:jc w:val="both"/>
      </w:pPr>
      <w:r>
        <w:rPr/>
        <w:t>investment</w:t>
      </w:r>
      <w:r>
        <w:rPr>
          <w:spacing w:val="-13"/>
        </w:rPr>
        <w:t> </w:t>
      </w:r>
      <w:r>
        <w:rPr/>
        <w:t>plan,</w:t>
      </w:r>
      <w:r>
        <w:rPr>
          <w:spacing w:val="-12"/>
        </w:rPr>
        <w:t> </w:t>
      </w:r>
      <w:r>
        <w:rPr/>
        <w:t>including</w:t>
      </w:r>
      <w:r>
        <w:rPr>
          <w:spacing w:val="-13"/>
        </w:rPr>
        <w:t> </w:t>
      </w:r>
      <w:r>
        <w:rPr/>
        <w:t>in</w:t>
      </w:r>
      <w:r>
        <w:rPr>
          <w:spacing w:val="-10"/>
        </w:rPr>
        <w:t> </w:t>
      </w:r>
      <w:r>
        <w:rPr/>
        <w:t>relation</w:t>
      </w:r>
      <w:r>
        <w:rPr>
          <w:spacing w:val="-13"/>
        </w:rPr>
        <w:t> </w:t>
      </w:r>
      <w:r>
        <w:rPr/>
        <w:t>to</w:t>
      </w:r>
      <w:r>
        <w:rPr>
          <w:spacing w:val="-8"/>
        </w:rPr>
        <w:t> </w:t>
      </w:r>
      <w:r>
        <w:rPr/>
        <w:t>the</w:t>
      </w:r>
      <w:r>
        <w:rPr>
          <w:spacing w:val="-13"/>
        </w:rPr>
        <w:t> </w:t>
      </w:r>
      <w:r>
        <w:rPr/>
        <w:t>assistance</w:t>
      </w:r>
      <w:r>
        <w:rPr>
          <w:spacing w:val="-7"/>
        </w:rPr>
        <w:t> </w:t>
      </w:r>
      <w:r>
        <w:rPr/>
        <w:t>portfolio,</w:t>
      </w:r>
      <w:r>
        <w:rPr>
          <w:spacing w:val="-12"/>
        </w:rPr>
        <w:t> </w:t>
      </w:r>
      <w:r>
        <w:rPr/>
        <w:t>in</w:t>
      </w:r>
      <w:r>
        <w:rPr>
          <w:spacing w:val="-13"/>
        </w:rPr>
        <w:t> </w:t>
      </w:r>
      <w:r>
        <w:rPr/>
        <w:t>consideration</w:t>
      </w:r>
      <w:r>
        <w:rPr>
          <w:spacing w:val="-8"/>
        </w:rPr>
        <w:t> </w:t>
      </w:r>
      <w:r>
        <w:rPr/>
        <w:t>of</w:t>
      </w:r>
      <w:r>
        <w:rPr>
          <w:spacing w:val="-13"/>
        </w:rPr>
        <w:t> </w:t>
      </w:r>
      <w:r>
        <w:rPr/>
        <w:t>available extrabudgetary resources.</w:t>
      </w:r>
    </w:p>
    <w:p>
      <w:pPr>
        <w:pStyle w:val="ListParagraph"/>
        <w:numPr>
          <w:ilvl w:val="1"/>
          <w:numId w:val="4"/>
        </w:numPr>
        <w:tabs>
          <w:tab w:pos="3686" w:val="left" w:leader="none"/>
          <w:tab w:pos="3687" w:val="left" w:leader="none"/>
        </w:tabs>
        <w:spacing w:line="240" w:lineRule="auto" w:before="121" w:after="0"/>
        <w:ind w:left="2957" w:right="2243" w:firstLine="0"/>
        <w:jc w:val="both"/>
        <w:rPr>
          <w:sz w:val="20"/>
        </w:rPr>
      </w:pPr>
      <w:r>
        <w:rPr>
          <w:sz w:val="20"/>
        </w:rPr>
        <w:t>Uganda: The programme will continue into 2023, the fourth year of its five-year programme cycle in Northern Uganda, with five implementing partners for the benefit of about 40,000 direct beneficiaries. In 2022, the TFV reduced investment for the fourth year from €1.5 million (third year) to €1.0 million.</w:t>
      </w:r>
    </w:p>
    <w:p>
      <w:pPr>
        <w:pStyle w:val="ListParagraph"/>
        <w:numPr>
          <w:ilvl w:val="1"/>
          <w:numId w:val="4"/>
        </w:numPr>
        <w:tabs>
          <w:tab w:pos="3686" w:val="left" w:leader="none"/>
          <w:tab w:pos="3687" w:val="left" w:leader="none"/>
        </w:tabs>
        <w:spacing w:line="240" w:lineRule="auto" w:before="122" w:after="0"/>
        <w:ind w:left="2957" w:right="2241" w:firstLine="0"/>
        <w:jc w:val="both"/>
        <w:rPr>
          <w:sz w:val="20"/>
        </w:rPr>
      </w:pPr>
      <w:r>
        <w:rPr>
          <w:sz w:val="20"/>
        </w:rPr>
        <w:t>DRC:</w:t>
      </w:r>
      <w:r>
        <w:rPr>
          <w:spacing w:val="-3"/>
          <w:sz w:val="20"/>
        </w:rPr>
        <w:t> </w:t>
      </w:r>
      <w:r>
        <w:rPr>
          <w:sz w:val="20"/>
        </w:rPr>
        <w:t>In</w:t>
      </w:r>
      <w:r>
        <w:rPr>
          <w:spacing w:val="-9"/>
          <w:sz w:val="20"/>
        </w:rPr>
        <w:t> </w:t>
      </w:r>
      <w:r>
        <w:rPr>
          <w:sz w:val="20"/>
        </w:rPr>
        <w:t>2022,</w:t>
      </w:r>
      <w:r>
        <w:rPr>
          <w:spacing w:val="-8"/>
          <w:sz w:val="20"/>
        </w:rPr>
        <w:t> </w:t>
      </w:r>
      <w:r>
        <w:rPr>
          <w:sz w:val="20"/>
        </w:rPr>
        <w:t>the</w:t>
      </w:r>
      <w:r>
        <w:rPr>
          <w:spacing w:val="-4"/>
          <w:sz w:val="20"/>
        </w:rPr>
        <w:t> </w:t>
      </w:r>
      <w:r>
        <w:rPr>
          <w:sz w:val="20"/>
        </w:rPr>
        <w:t>programme</w:t>
      </w:r>
      <w:r>
        <w:rPr>
          <w:spacing w:val="-8"/>
          <w:sz w:val="20"/>
        </w:rPr>
        <w:t> </w:t>
      </w:r>
      <w:r>
        <w:rPr>
          <w:sz w:val="20"/>
        </w:rPr>
        <w:t>portfolio</w:t>
      </w:r>
      <w:r>
        <w:rPr>
          <w:spacing w:val="-6"/>
          <w:sz w:val="20"/>
        </w:rPr>
        <w:t> </w:t>
      </w:r>
      <w:r>
        <w:rPr>
          <w:sz w:val="20"/>
        </w:rPr>
        <w:t>in</w:t>
      </w:r>
      <w:r>
        <w:rPr>
          <w:spacing w:val="-6"/>
          <w:sz w:val="20"/>
        </w:rPr>
        <w:t> </w:t>
      </w:r>
      <w:r>
        <w:rPr>
          <w:sz w:val="20"/>
        </w:rPr>
        <w:t>the</w:t>
      </w:r>
      <w:r>
        <w:rPr>
          <w:spacing w:val="-8"/>
          <w:sz w:val="20"/>
        </w:rPr>
        <w:t> </w:t>
      </w:r>
      <w:r>
        <w:rPr>
          <w:sz w:val="20"/>
        </w:rPr>
        <w:t>DRC</w:t>
      </w:r>
      <w:r>
        <w:rPr>
          <w:spacing w:val="-6"/>
          <w:sz w:val="20"/>
        </w:rPr>
        <w:t> </w:t>
      </w:r>
      <w:r>
        <w:rPr>
          <w:sz w:val="20"/>
        </w:rPr>
        <w:t>(Ituri,</w:t>
      </w:r>
      <w:r>
        <w:rPr>
          <w:spacing w:val="-8"/>
          <w:sz w:val="20"/>
        </w:rPr>
        <w:t> </w:t>
      </w:r>
      <w:r>
        <w:rPr>
          <w:sz w:val="20"/>
        </w:rPr>
        <w:t>North</w:t>
      </w:r>
      <w:r>
        <w:rPr>
          <w:spacing w:val="-6"/>
          <w:sz w:val="20"/>
        </w:rPr>
        <w:t> </w:t>
      </w:r>
      <w:r>
        <w:rPr>
          <w:sz w:val="20"/>
        </w:rPr>
        <w:t>Kivu</w:t>
      </w:r>
      <w:r>
        <w:rPr>
          <w:spacing w:val="-9"/>
          <w:sz w:val="20"/>
        </w:rPr>
        <w:t> </w:t>
      </w:r>
      <w:r>
        <w:rPr>
          <w:sz w:val="20"/>
        </w:rPr>
        <w:t>and South Kivu</w:t>
      </w:r>
      <w:r>
        <w:rPr>
          <w:spacing w:val="-4"/>
          <w:sz w:val="20"/>
        </w:rPr>
        <w:t> </w:t>
      </w:r>
      <w:r>
        <w:rPr>
          <w:sz w:val="20"/>
        </w:rPr>
        <w:t>provinces)</w:t>
      </w:r>
      <w:r>
        <w:rPr>
          <w:spacing w:val="-4"/>
          <w:sz w:val="20"/>
        </w:rPr>
        <w:t> </w:t>
      </w:r>
      <w:r>
        <w:rPr>
          <w:sz w:val="20"/>
        </w:rPr>
        <w:t>was</w:t>
      </w:r>
      <w:r>
        <w:rPr>
          <w:spacing w:val="-5"/>
          <w:sz w:val="20"/>
        </w:rPr>
        <w:t> </w:t>
      </w:r>
      <w:r>
        <w:rPr>
          <w:sz w:val="20"/>
        </w:rPr>
        <w:t>reduced</w:t>
      </w:r>
      <w:r>
        <w:rPr>
          <w:spacing w:val="-4"/>
          <w:sz w:val="20"/>
        </w:rPr>
        <w:t> </w:t>
      </w:r>
      <w:r>
        <w:rPr>
          <w:sz w:val="20"/>
        </w:rPr>
        <w:t>from</w:t>
      </w:r>
      <w:r>
        <w:rPr>
          <w:spacing w:val="-2"/>
          <w:sz w:val="20"/>
        </w:rPr>
        <w:t> </w:t>
      </w:r>
      <w:r>
        <w:rPr>
          <w:sz w:val="20"/>
        </w:rPr>
        <w:t>10</w:t>
      </w:r>
      <w:r>
        <w:rPr>
          <w:spacing w:val="-4"/>
          <w:sz w:val="20"/>
        </w:rPr>
        <w:t> </w:t>
      </w:r>
      <w:r>
        <w:rPr>
          <w:sz w:val="20"/>
        </w:rPr>
        <w:t>to</w:t>
      </w:r>
      <w:r>
        <w:rPr>
          <w:spacing w:val="-4"/>
          <w:sz w:val="20"/>
        </w:rPr>
        <w:t> </w:t>
      </w:r>
      <w:r>
        <w:rPr>
          <w:sz w:val="20"/>
        </w:rPr>
        <w:t>7</w:t>
      </w:r>
      <w:r>
        <w:rPr>
          <w:spacing w:val="-4"/>
          <w:sz w:val="20"/>
        </w:rPr>
        <w:t> </w:t>
      </w:r>
      <w:r>
        <w:rPr>
          <w:sz w:val="20"/>
        </w:rPr>
        <w:t>projects,</w:t>
      </w:r>
      <w:r>
        <w:rPr>
          <w:spacing w:val="-1"/>
          <w:sz w:val="20"/>
        </w:rPr>
        <w:t> </w:t>
      </w:r>
      <w:r>
        <w:rPr>
          <w:sz w:val="20"/>
        </w:rPr>
        <w:t>resulting</w:t>
      </w:r>
      <w:r>
        <w:rPr>
          <w:spacing w:val="-4"/>
          <w:sz w:val="20"/>
        </w:rPr>
        <w:t> </w:t>
      </w:r>
      <w:r>
        <w:rPr>
          <w:sz w:val="20"/>
        </w:rPr>
        <w:t>in</w:t>
      </w:r>
      <w:r>
        <w:rPr>
          <w:spacing w:val="-4"/>
          <w:sz w:val="20"/>
        </w:rPr>
        <w:t> </w:t>
      </w:r>
      <w:r>
        <w:rPr>
          <w:sz w:val="20"/>
        </w:rPr>
        <w:t>a</w:t>
      </w:r>
      <w:r>
        <w:rPr>
          <w:spacing w:val="-2"/>
          <w:sz w:val="20"/>
        </w:rPr>
        <w:t> </w:t>
      </w:r>
      <w:r>
        <w:rPr>
          <w:sz w:val="20"/>
        </w:rPr>
        <w:t>decrease</w:t>
      </w:r>
      <w:r>
        <w:rPr>
          <w:spacing w:val="-2"/>
          <w:sz w:val="20"/>
        </w:rPr>
        <w:t> </w:t>
      </w:r>
      <w:r>
        <w:rPr>
          <w:sz w:val="20"/>
        </w:rPr>
        <w:t>in the total programme value of USD 450.0 thousand. The programme will, in 2023, enter its third year of a five-year programme cycle.</w:t>
      </w:r>
    </w:p>
    <w:p>
      <w:pPr>
        <w:pStyle w:val="ListParagraph"/>
        <w:numPr>
          <w:ilvl w:val="1"/>
          <w:numId w:val="4"/>
        </w:numPr>
        <w:tabs>
          <w:tab w:pos="3686" w:val="left" w:leader="none"/>
          <w:tab w:pos="3687" w:val="left" w:leader="none"/>
        </w:tabs>
        <w:spacing w:line="240" w:lineRule="auto" w:before="117" w:after="0"/>
        <w:ind w:left="2957" w:right="2243" w:firstLine="0"/>
        <w:jc w:val="both"/>
        <w:rPr>
          <w:sz w:val="20"/>
        </w:rPr>
      </w:pPr>
      <w:r>
        <w:rPr>
          <w:sz w:val="20"/>
        </w:rPr>
        <w:t>Central African Republic (CAR): The programme has five implementing partners. To continue the programme into the second year in 2022, approximately</w:t>
      </w:r>
    </w:p>
    <w:p>
      <w:pPr>
        <w:pStyle w:val="BodyText"/>
        <w:spacing w:before="1"/>
        <w:ind w:left="2957" w:right="2240"/>
        <w:jc w:val="both"/>
      </w:pPr>
      <w:r>
        <w:rPr/>
        <w:t>€1.0</w:t>
      </w:r>
      <w:r>
        <w:rPr>
          <w:spacing w:val="-10"/>
        </w:rPr>
        <w:t> </w:t>
      </w:r>
      <w:r>
        <w:rPr/>
        <w:t>million</w:t>
      </w:r>
      <w:r>
        <w:rPr>
          <w:spacing w:val="-5"/>
        </w:rPr>
        <w:t> </w:t>
      </w:r>
      <w:r>
        <w:rPr/>
        <w:t>was</w:t>
      </w:r>
      <w:r>
        <w:rPr>
          <w:spacing w:val="-6"/>
        </w:rPr>
        <w:t> </w:t>
      </w:r>
      <w:r>
        <w:rPr/>
        <w:t>invested.</w:t>
      </w:r>
      <w:r>
        <w:rPr>
          <w:spacing w:val="-2"/>
        </w:rPr>
        <w:t> </w:t>
      </w:r>
      <w:r>
        <w:rPr/>
        <w:t>On-site</w:t>
      </w:r>
      <w:r>
        <w:rPr>
          <w:spacing w:val="-3"/>
        </w:rPr>
        <w:t> </w:t>
      </w:r>
      <w:r>
        <w:rPr/>
        <w:t>oversight</w:t>
      </w:r>
      <w:r>
        <w:rPr>
          <w:spacing w:val="-8"/>
        </w:rPr>
        <w:t> </w:t>
      </w:r>
      <w:r>
        <w:rPr/>
        <w:t>is</w:t>
      </w:r>
      <w:r>
        <w:rPr>
          <w:spacing w:val="-6"/>
        </w:rPr>
        <w:t> </w:t>
      </w:r>
      <w:r>
        <w:rPr/>
        <w:t>ensured</w:t>
      </w:r>
      <w:r>
        <w:rPr>
          <w:spacing w:val="-5"/>
        </w:rPr>
        <w:t> </w:t>
      </w:r>
      <w:r>
        <w:rPr/>
        <w:t>by</w:t>
      </w:r>
      <w:r>
        <w:rPr>
          <w:spacing w:val="-5"/>
        </w:rPr>
        <w:t> </w:t>
      </w:r>
      <w:r>
        <w:rPr/>
        <w:t>an</w:t>
      </w:r>
      <w:r>
        <w:rPr>
          <w:spacing w:val="-13"/>
        </w:rPr>
        <w:t> </w:t>
      </w:r>
      <w:r>
        <w:rPr/>
        <w:t>Associate</w:t>
      </w:r>
      <w:r>
        <w:rPr>
          <w:spacing w:val="-3"/>
        </w:rPr>
        <w:t> </w:t>
      </w:r>
      <w:r>
        <w:rPr/>
        <w:t>Programme Officer. Prospective TFV initiatives for Court-ordered reparations in the CAR will require the TFV to closely engage with international partners and national authorities in 2023 in order to advance reparations programmes that will feed into reparations orders that may be issued in relation to the ongoing prosecution of the accused in the CAR II situation.</w:t>
      </w:r>
    </w:p>
    <w:p>
      <w:pPr>
        <w:pStyle w:val="ListParagraph"/>
        <w:numPr>
          <w:ilvl w:val="1"/>
          <w:numId w:val="4"/>
        </w:numPr>
        <w:tabs>
          <w:tab w:pos="3686" w:val="left" w:leader="none"/>
          <w:tab w:pos="3687" w:val="left" w:leader="none"/>
        </w:tabs>
        <w:spacing w:line="240" w:lineRule="auto" w:before="123" w:after="0"/>
        <w:ind w:left="2957" w:right="2244" w:firstLine="0"/>
        <w:jc w:val="both"/>
        <w:rPr>
          <w:sz w:val="20"/>
        </w:rPr>
      </w:pPr>
      <w:r>
        <w:rPr>
          <w:sz w:val="20"/>
        </w:rPr>
        <w:t>Côte</w:t>
      </w:r>
      <w:r>
        <w:rPr>
          <w:spacing w:val="-13"/>
          <w:sz w:val="20"/>
        </w:rPr>
        <w:t> </w:t>
      </w:r>
      <w:r>
        <w:rPr>
          <w:sz w:val="20"/>
        </w:rPr>
        <w:t>d’Ivoire:</w:t>
      </w:r>
      <w:r>
        <w:rPr>
          <w:spacing w:val="-11"/>
          <w:sz w:val="20"/>
        </w:rPr>
        <w:t> </w:t>
      </w:r>
      <w:r>
        <w:rPr>
          <w:sz w:val="20"/>
        </w:rPr>
        <w:t>The</w:t>
      </w:r>
      <w:r>
        <w:rPr>
          <w:spacing w:val="-11"/>
          <w:sz w:val="20"/>
        </w:rPr>
        <w:t> </w:t>
      </w:r>
      <w:r>
        <w:rPr>
          <w:sz w:val="20"/>
        </w:rPr>
        <w:t>programme</w:t>
      </w:r>
      <w:r>
        <w:rPr>
          <w:spacing w:val="-7"/>
          <w:sz w:val="20"/>
        </w:rPr>
        <w:t> </w:t>
      </w:r>
      <w:r>
        <w:rPr>
          <w:sz w:val="20"/>
        </w:rPr>
        <w:t>in</w:t>
      </w:r>
      <w:r>
        <w:rPr>
          <w:spacing w:val="-13"/>
          <w:sz w:val="20"/>
        </w:rPr>
        <w:t> </w:t>
      </w:r>
      <w:r>
        <w:rPr>
          <w:sz w:val="20"/>
        </w:rPr>
        <w:t>Côte</w:t>
      </w:r>
      <w:r>
        <w:rPr>
          <w:spacing w:val="-7"/>
          <w:sz w:val="20"/>
        </w:rPr>
        <w:t> </w:t>
      </w:r>
      <w:r>
        <w:rPr>
          <w:sz w:val="20"/>
        </w:rPr>
        <w:t>d’Ivoire</w:t>
      </w:r>
      <w:r>
        <w:rPr>
          <w:spacing w:val="-7"/>
          <w:sz w:val="20"/>
        </w:rPr>
        <w:t> </w:t>
      </w:r>
      <w:r>
        <w:rPr>
          <w:sz w:val="20"/>
        </w:rPr>
        <w:t>starts</w:t>
      </w:r>
      <w:r>
        <w:rPr>
          <w:spacing w:val="-10"/>
          <w:sz w:val="20"/>
        </w:rPr>
        <w:t> </w:t>
      </w:r>
      <w:r>
        <w:rPr>
          <w:sz w:val="20"/>
        </w:rPr>
        <w:t>its</w:t>
      </w:r>
      <w:r>
        <w:rPr>
          <w:spacing w:val="-13"/>
          <w:sz w:val="20"/>
        </w:rPr>
        <w:t> </w:t>
      </w:r>
      <w:r>
        <w:rPr>
          <w:sz w:val="20"/>
        </w:rPr>
        <w:t>third</w:t>
      </w:r>
      <w:r>
        <w:rPr>
          <w:spacing w:val="-12"/>
          <w:sz w:val="20"/>
        </w:rPr>
        <w:t> </w:t>
      </w:r>
      <w:r>
        <w:rPr>
          <w:sz w:val="20"/>
        </w:rPr>
        <w:t>year</w:t>
      </w:r>
      <w:r>
        <w:rPr>
          <w:spacing w:val="-13"/>
          <w:sz w:val="20"/>
        </w:rPr>
        <w:t> </w:t>
      </w:r>
      <w:r>
        <w:rPr>
          <w:sz w:val="20"/>
        </w:rPr>
        <w:t>in</w:t>
      </w:r>
      <w:r>
        <w:rPr>
          <w:spacing w:val="-12"/>
          <w:sz w:val="20"/>
        </w:rPr>
        <w:t> </w:t>
      </w:r>
      <w:r>
        <w:rPr>
          <w:sz w:val="20"/>
        </w:rPr>
        <w:t>2022, in accordance with the approved investment plan, for the benefit of the victims of </w:t>
      </w:r>
      <w:r>
        <w:rPr>
          <w:spacing w:val="-2"/>
          <w:sz w:val="20"/>
        </w:rPr>
        <w:t>selected incidents</w:t>
      </w:r>
      <w:r>
        <w:rPr>
          <w:spacing w:val="-3"/>
          <w:sz w:val="20"/>
        </w:rPr>
        <w:t> </w:t>
      </w:r>
      <w:r>
        <w:rPr>
          <w:spacing w:val="-2"/>
          <w:sz w:val="20"/>
        </w:rPr>
        <w:t>covered by</w:t>
      </w:r>
      <w:r>
        <w:rPr>
          <w:spacing w:val="-7"/>
          <w:sz w:val="20"/>
        </w:rPr>
        <w:t> </w:t>
      </w:r>
      <w:r>
        <w:rPr>
          <w:spacing w:val="-2"/>
          <w:sz w:val="20"/>
        </w:rPr>
        <w:t>the programme.</w:t>
      </w:r>
      <w:r>
        <w:rPr>
          <w:spacing w:val="-4"/>
          <w:sz w:val="20"/>
        </w:rPr>
        <w:t> </w:t>
      </w:r>
      <w:r>
        <w:rPr>
          <w:spacing w:val="-2"/>
          <w:sz w:val="20"/>
        </w:rPr>
        <w:t>The programme</w:t>
      </w:r>
      <w:r>
        <w:rPr>
          <w:spacing w:val="-4"/>
          <w:sz w:val="20"/>
        </w:rPr>
        <w:t> </w:t>
      </w:r>
      <w:r>
        <w:rPr>
          <w:spacing w:val="-2"/>
          <w:sz w:val="20"/>
        </w:rPr>
        <w:t>staff</w:t>
      </w:r>
      <w:r>
        <w:rPr>
          <w:spacing w:val="-7"/>
          <w:sz w:val="20"/>
        </w:rPr>
        <w:t> </w:t>
      </w:r>
      <w:r>
        <w:rPr>
          <w:spacing w:val="-2"/>
          <w:sz w:val="20"/>
        </w:rPr>
        <w:t>also</w:t>
      </w:r>
      <w:r>
        <w:rPr>
          <w:spacing w:val="-7"/>
          <w:sz w:val="20"/>
        </w:rPr>
        <w:t> </w:t>
      </w:r>
      <w:r>
        <w:rPr>
          <w:spacing w:val="-2"/>
          <w:sz w:val="20"/>
        </w:rPr>
        <w:t>engage</w:t>
      </w:r>
      <w:r>
        <w:rPr>
          <w:spacing w:val="-4"/>
          <w:sz w:val="20"/>
        </w:rPr>
        <w:t> </w:t>
      </w:r>
      <w:r>
        <w:rPr>
          <w:spacing w:val="-2"/>
          <w:sz w:val="20"/>
        </w:rPr>
        <w:t>with </w:t>
      </w:r>
      <w:r>
        <w:rPr>
          <w:sz w:val="20"/>
        </w:rPr>
        <w:t>an advisory council to manage the assistance programme and maintain close relations with the national authorities with respect to the national administrative reparation programme.</w:t>
      </w:r>
    </w:p>
    <w:p>
      <w:pPr>
        <w:pStyle w:val="ListParagraph"/>
        <w:numPr>
          <w:ilvl w:val="1"/>
          <w:numId w:val="4"/>
        </w:numPr>
        <w:tabs>
          <w:tab w:pos="3686" w:val="left" w:leader="none"/>
          <w:tab w:pos="3687" w:val="left" w:leader="none"/>
        </w:tabs>
        <w:spacing w:line="240" w:lineRule="auto" w:before="118" w:after="0"/>
        <w:ind w:left="2957" w:right="2236" w:firstLine="0"/>
        <w:jc w:val="both"/>
        <w:rPr>
          <w:sz w:val="20"/>
        </w:rPr>
      </w:pPr>
      <w:r>
        <w:rPr>
          <w:sz w:val="20"/>
        </w:rPr>
        <w:t>Mali: The programme in Mali is scheduled to start in mid-2022, with significant</w:t>
      </w:r>
      <w:r>
        <w:rPr>
          <w:spacing w:val="-13"/>
          <w:sz w:val="20"/>
        </w:rPr>
        <w:t> </w:t>
      </w:r>
      <w:r>
        <w:rPr>
          <w:sz w:val="20"/>
        </w:rPr>
        <w:t>donor</w:t>
      </w:r>
      <w:r>
        <w:rPr>
          <w:spacing w:val="-12"/>
          <w:sz w:val="20"/>
        </w:rPr>
        <w:t> </w:t>
      </w:r>
      <w:r>
        <w:rPr>
          <w:sz w:val="20"/>
        </w:rPr>
        <w:t>funding</w:t>
      </w:r>
      <w:r>
        <w:rPr>
          <w:spacing w:val="-13"/>
          <w:sz w:val="20"/>
        </w:rPr>
        <w:t> </w:t>
      </w:r>
      <w:r>
        <w:rPr>
          <w:sz w:val="20"/>
        </w:rPr>
        <w:t>already</w:t>
      </w:r>
      <w:r>
        <w:rPr>
          <w:spacing w:val="-12"/>
          <w:sz w:val="20"/>
        </w:rPr>
        <w:t> </w:t>
      </w:r>
      <w:r>
        <w:rPr>
          <w:sz w:val="20"/>
        </w:rPr>
        <w:t>secured.</w:t>
      </w:r>
      <w:r>
        <w:rPr>
          <w:spacing w:val="-13"/>
          <w:sz w:val="20"/>
        </w:rPr>
        <w:t> </w:t>
      </w:r>
      <w:r>
        <w:rPr>
          <w:sz w:val="20"/>
        </w:rPr>
        <w:t>It</w:t>
      </w:r>
      <w:r>
        <w:rPr>
          <w:spacing w:val="-12"/>
          <w:sz w:val="20"/>
        </w:rPr>
        <w:t> </w:t>
      </w:r>
      <w:r>
        <w:rPr>
          <w:sz w:val="20"/>
        </w:rPr>
        <w:t>focuses</w:t>
      </w:r>
      <w:r>
        <w:rPr>
          <w:spacing w:val="-13"/>
          <w:sz w:val="20"/>
        </w:rPr>
        <w:t> </w:t>
      </w:r>
      <w:r>
        <w:rPr>
          <w:sz w:val="20"/>
        </w:rPr>
        <w:t>on</w:t>
      </w:r>
      <w:r>
        <w:rPr>
          <w:spacing w:val="-12"/>
          <w:sz w:val="20"/>
        </w:rPr>
        <w:t> </w:t>
      </w:r>
      <w:r>
        <w:rPr>
          <w:sz w:val="20"/>
        </w:rPr>
        <w:t>victims</w:t>
      </w:r>
      <w:r>
        <w:rPr>
          <w:spacing w:val="-13"/>
          <w:sz w:val="20"/>
        </w:rPr>
        <w:t> </w:t>
      </w:r>
      <w:r>
        <w:rPr>
          <w:sz w:val="20"/>
        </w:rPr>
        <w:t>of</w:t>
      </w:r>
      <w:r>
        <w:rPr>
          <w:spacing w:val="-12"/>
          <w:sz w:val="20"/>
        </w:rPr>
        <w:t> </w:t>
      </w:r>
      <w:r>
        <w:rPr>
          <w:sz w:val="20"/>
        </w:rPr>
        <w:t>particularly</w:t>
      </w:r>
      <w:r>
        <w:rPr>
          <w:spacing w:val="-13"/>
          <w:sz w:val="20"/>
        </w:rPr>
        <w:t> </w:t>
      </w:r>
      <w:r>
        <w:rPr>
          <w:sz w:val="20"/>
        </w:rPr>
        <w:t>grave crimes</w:t>
      </w:r>
      <w:r>
        <w:rPr>
          <w:spacing w:val="-6"/>
          <w:sz w:val="20"/>
        </w:rPr>
        <w:t> </w:t>
      </w:r>
      <w:r>
        <w:rPr>
          <w:sz w:val="20"/>
        </w:rPr>
        <w:t>committed</w:t>
      </w:r>
      <w:r>
        <w:rPr>
          <w:spacing w:val="-5"/>
          <w:sz w:val="20"/>
        </w:rPr>
        <w:t> </w:t>
      </w:r>
      <w:r>
        <w:rPr>
          <w:sz w:val="20"/>
        </w:rPr>
        <w:t>outside</w:t>
      </w:r>
      <w:r>
        <w:rPr>
          <w:spacing w:val="-3"/>
          <w:sz w:val="20"/>
        </w:rPr>
        <w:t> </w:t>
      </w:r>
      <w:r>
        <w:rPr>
          <w:sz w:val="20"/>
        </w:rPr>
        <w:t>of</w:t>
      </w:r>
      <w:r>
        <w:rPr>
          <w:spacing w:val="-8"/>
          <w:sz w:val="20"/>
        </w:rPr>
        <w:t> </w:t>
      </w:r>
      <w:r>
        <w:rPr>
          <w:sz w:val="20"/>
        </w:rPr>
        <w:t>Timbuktu.</w:t>
      </w:r>
      <w:r>
        <w:rPr>
          <w:spacing w:val="-6"/>
          <w:sz w:val="20"/>
        </w:rPr>
        <w:t> </w:t>
      </w:r>
      <w:r>
        <w:rPr>
          <w:sz w:val="20"/>
        </w:rPr>
        <w:t>The </w:t>
      </w:r>
      <w:r>
        <w:rPr>
          <w:i/>
          <w:sz w:val="20"/>
        </w:rPr>
        <w:t>Al</w:t>
      </w:r>
      <w:r>
        <w:rPr>
          <w:i/>
          <w:spacing w:val="-7"/>
          <w:sz w:val="20"/>
        </w:rPr>
        <w:t> </w:t>
      </w:r>
      <w:r>
        <w:rPr>
          <w:i/>
          <w:sz w:val="20"/>
        </w:rPr>
        <w:t>Mahdi</w:t>
      </w:r>
      <w:r>
        <w:rPr>
          <w:i/>
          <w:spacing w:val="-3"/>
          <w:sz w:val="20"/>
        </w:rPr>
        <w:t> </w:t>
      </w:r>
      <w:r>
        <w:rPr>
          <w:sz w:val="20"/>
        </w:rPr>
        <w:t>(ongoing reparations)</w:t>
      </w:r>
      <w:r>
        <w:rPr>
          <w:spacing w:val="-8"/>
          <w:sz w:val="20"/>
        </w:rPr>
        <w:t> </w:t>
      </w:r>
      <w:r>
        <w:rPr>
          <w:sz w:val="20"/>
        </w:rPr>
        <w:t>and</w:t>
      </w:r>
      <w:r>
        <w:rPr>
          <w:spacing w:val="-2"/>
          <w:sz w:val="20"/>
        </w:rPr>
        <w:t> </w:t>
      </w:r>
      <w:r>
        <w:rPr>
          <w:i/>
          <w:sz w:val="20"/>
        </w:rPr>
        <w:t>Al</w:t>
      </w:r>
      <w:r>
        <w:rPr>
          <w:i/>
          <w:sz w:val="20"/>
        </w:rPr>
        <w:t> Hassan </w:t>
      </w:r>
      <w:r>
        <w:rPr>
          <w:sz w:val="20"/>
        </w:rPr>
        <w:t>(prospective reparations) cases have their origin in Timbuktu. The assistance programme is intended to complement the forthcoming national administrative reparation programme in Mali.</w:t>
      </w:r>
    </w:p>
    <w:p>
      <w:pPr>
        <w:pStyle w:val="ListParagraph"/>
        <w:numPr>
          <w:ilvl w:val="1"/>
          <w:numId w:val="4"/>
        </w:numPr>
        <w:tabs>
          <w:tab w:pos="3686" w:val="left" w:leader="none"/>
          <w:tab w:pos="3687" w:val="left" w:leader="none"/>
        </w:tabs>
        <w:spacing w:line="240" w:lineRule="auto" w:before="123" w:after="0"/>
        <w:ind w:left="2957" w:right="2244" w:firstLine="0"/>
        <w:jc w:val="both"/>
        <w:rPr>
          <w:sz w:val="20"/>
        </w:rPr>
      </w:pPr>
      <w:r>
        <w:rPr>
          <w:sz w:val="20"/>
        </w:rPr>
        <w:t>Georgia: The programme in Georgia is starting in 2022 and will be fully effective in early 2023. Funds currently allocated amount to</w:t>
      </w:r>
      <w:r>
        <w:rPr>
          <w:spacing w:val="-3"/>
          <w:sz w:val="20"/>
        </w:rPr>
        <w:t> </w:t>
      </w:r>
      <w:r>
        <w:rPr>
          <w:sz w:val="20"/>
        </w:rPr>
        <w:t>€600.0 thousand for a period of</w:t>
      </w:r>
      <w:r>
        <w:rPr>
          <w:spacing w:val="-1"/>
          <w:sz w:val="20"/>
        </w:rPr>
        <w:t> </w:t>
      </w:r>
      <w:r>
        <w:rPr>
          <w:sz w:val="20"/>
        </w:rPr>
        <w:t>three years. The TFV will remotely oversee programme implementation, with the support of a local consultant and the Registry’s country office.</w:t>
      </w:r>
    </w:p>
    <w:p>
      <w:pPr>
        <w:pStyle w:val="ListParagraph"/>
        <w:numPr>
          <w:ilvl w:val="1"/>
          <w:numId w:val="4"/>
        </w:numPr>
        <w:tabs>
          <w:tab w:pos="3686" w:val="left" w:leader="none"/>
          <w:tab w:pos="3687" w:val="left" w:leader="none"/>
        </w:tabs>
        <w:spacing w:line="240" w:lineRule="auto" w:before="117" w:after="0"/>
        <w:ind w:left="2957" w:right="2239" w:firstLine="0"/>
        <w:jc w:val="both"/>
        <w:rPr>
          <w:sz w:val="20"/>
        </w:rPr>
      </w:pPr>
      <w:r>
        <w:rPr>
          <w:sz w:val="20"/>
        </w:rPr>
        <w:t>Kenya:</w:t>
      </w:r>
      <w:r>
        <w:rPr>
          <w:spacing w:val="-2"/>
          <w:sz w:val="20"/>
        </w:rPr>
        <w:t> </w:t>
      </w:r>
      <w:r>
        <w:rPr>
          <w:sz w:val="20"/>
        </w:rPr>
        <w:t>The programme</w:t>
      </w:r>
      <w:r>
        <w:rPr>
          <w:spacing w:val="-3"/>
          <w:sz w:val="20"/>
        </w:rPr>
        <w:t> </w:t>
      </w:r>
      <w:r>
        <w:rPr>
          <w:sz w:val="20"/>
        </w:rPr>
        <w:t>in</w:t>
      </w:r>
      <w:r>
        <w:rPr>
          <w:spacing w:val="-5"/>
          <w:sz w:val="20"/>
        </w:rPr>
        <w:t> </w:t>
      </w:r>
      <w:r>
        <w:rPr>
          <w:sz w:val="20"/>
        </w:rPr>
        <w:t>Kenya</w:t>
      </w:r>
      <w:r>
        <w:rPr>
          <w:spacing w:val="-3"/>
          <w:sz w:val="20"/>
        </w:rPr>
        <w:t> </w:t>
      </w:r>
      <w:r>
        <w:rPr>
          <w:sz w:val="20"/>
        </w:rPr>
        <w:t>starts</w:t>
      </w:r>
      <w:r>
        <w:rPr>
          <w:spacing w:val="-6"/>
          <w:sz w:val="20"/>
        </w:rPr>
        <w:t> </w:t>
      </w:r>
      <w:r>
        <w:rPr>
          <w:sz w:val="20"/>
        </w:rPr>
        <w:t>in</w:t>
      </w:r>
      <w:r>
        <w:rPr>
          <w:spacing w:val="-5"/>
          <w:sz w:val="20"/>
        </w:rPr>
        <w:t> </w:t>
      </w:r>
      <w:r>
        <w:rPr>
          <w:sz w:val="20"/>
        </w:rPr>
        <w:t>2022</w:t>
      </w:r>
      <w:r>
        <w:rPr>
          <w:spacing w:val="-5"/>
          <w:sz w:val="20"/>
        </w:rPr>
        <w:t> </w:t>
      </w:r>
      <w:r>
        <w:rPr>
          <w:sz w:val="20"/>
        </w:rPr>
        <w:t>and will be</w:t>
      </w:r>
      <w:r>
        <w:rPr>
          <w:spacing w:val="-3"/>
          <w:sz w:val="20"/>
        </w:rPr>
        <w:t> </w:t>
      </w:r>
      <w:r>
        <w:rPr>
          <w:sz w:val="20"/>
        </w:rPr>
        <w:t>fully</w:t>
      </w:r>
      <w:r>
        <w:rPr>
          <w:spacing w:val="-5"/>
          <w:sz w:val="20"/>
        </w:rPr>
        <w:t> </w:t>
      </w:r>
      <w:r>
        <w:rPr>
          <w:sz w:val="20"/>
        </w:rPr>
        <w:t>effective in early 2023. Funds</w:t>
      </w:r>
      <w:r>
        <w:rPr>
          <w:spacing w:val="-4"/>
          <w:sz w:val="20"/>
        </w:rPr>
        <w:t> </w:t>
      </w:r>
      <w:r>
        <w:rPr>
          <w:sz w:val="20"/>
        </w:rPr>
        <w:t>currently allocated</w:t>
      </w:r>
      <w:r>
        <w:rPr>
          <w:spacing w:val="-3"/>
          <w:sz w:val="20"/>
        </w:rPr>
        <w:t> </w:t>
      </w:r>
      <w:r>
        <w:rPr>
          <w:sz w:val="20"/>
        </w:rPr>
        <w:t>amount to €300.0 thousand for</w:t>
      </w:r>
      <w:r>
        <w:rPr>
          <w:spacing w:val="-3"/>
          <w:sz w:val="20"/>
        </w:rPr>
        <w:t> </w:t>
      </w:r>
      <w:r>
        <w:rPr>
          <w:sz w:val="20"/>
        </w:rPr>
        <w:t>a period of two years with</w:t>
      </w:r>
      <w:r>
        <w:rPr>
          <w:spacing w:val="-5"/>
          <w:sz w:val="20"/>
        </w:rPr>
        <w:t> </w:t>
      </w:r>
      <w:r>
        <w:rPr>
          <w:sz w:val="20"/>
        </w:rPr>
        <w:t>a focus</w:t>
      </w:r>
      <w:r>
        <w:rPr>
          <w:spacing w:val="-1"/>
          <w:sz w:val="20"/>
        </w:rPr>
        <w:t> </w:t>
      </w:r>
      <w:r>
        <w:rPr>
          <w:sz w:val="20"/>
        </w:rPr>
        <w:t>on victims</w:t>
      </w:r>
      <w:r>
        <w:rPr>
          <w:spacing w:val="-1"/>
          <w:sz w:val="20"/>
        </w:rPr>
        <w:t> </w:t>
      </w:r>
      <w:r>
        <w:rPr>
          <w:sz w:val="20"/>
        </w:rPr>
        <w:t>of sexual and gender-based crimes</w:t>
      </w:r>
      <w:r>
        <w:rPr>
          <w:spacing w:val="-1"/>
          <w:sz w:val="20"/>
        </w:rPr>
        <w:t> </w:t>
      </w:r>
      <w:r>
        <w:rPr>
          <w:sz w:val="20"/>
        </w:rPr>
        <w:t>(SGBC). The TFV will remotely oversee programme implementation with the support of a local </w:t>
      </w:r>
      <w:r>
        <w:rPr>
          <w:spacing w:val="-2"/>
          <w:sz w:val="20"/>
        </w:rPr>
        <w:t>consultant.</w:t>
      </w:r>
    </w:p>
    <w:p>
      <w:pPr>
        <w:pStyle w:val="ListParagraph"/>
        <w:numPr>
          <w:ilvl w:val="0"/>
          <w:numId w:val="4"/>
        </w:numPr>
        <w:tabs>
          <w:tab w:pos="2967" w:val="left" w:leader="none"/>
        </w:tabs>
        <w:spacing w:line="240" w:lineRule="auto" w:before="123" w:after="0"/>
        <w:ind w:left="2246" w:right="2247" w:firstLine="0"/>
        <w:jc w:val="both"/>
        <w:rPr>
          <w:sz w:val="20"/>
        </w:rPr>
      </w:pPr>
      <w:r>
        <w:rPr>
          <w:sz w:val="20"/>
        </w:rPr>
        <w:t>The TFV programme and legal staff will continue work in 2023 on streamlining processes for managing and supervising implementing partners by establishing standard operating procedures to that end. In addition, they will work on improving the TFV’s implementation</w:t>
      </w:r>
      <w:r>
        <w:rPr>
          <w:spacing w:val="-10"/>
          <w:sz w:val="20"/>
        </w:rPr>
        <w:t> </w:t>
      </w:r>
      <w:r>
        <w:rPr>
          <w:sz w:val="20"/>
        </w:rPr>
        <w:t>strategies</w:t>
      </w:r>
      <w:r>
        <w:rPr>
          <w:spacing w:val="-13"/>
          <w:sz w:val="20"/>
        </w:rPr>
        <w:t> </w:t>
      </w:r>
      <w:r>
        <w:rPr>
          <w:sz w:val="20"/>
        </w:rPr>
        <w:t>and</w:t>
      </w:r>
      <w:r>
        <w:rPr>
          <w:spacing w:val="-12"/>
          <w:sz w:val="20"/>
        </w:rPr>
        <w:t> </w:t>
      </w:r>
      <w:r>
        <w:rPr>
          <w:sz w:val="20"/>
        </w:rPr>
        <w:t>methods</w:t>
      </w:r>
      <w:r>
        <w:rPr>
          <w:spacing w:val="-10"/>
          <w:sz w:val="20"/>
        </w:rPr>
        <w:t> </w:t>
      </w:r>
      <w:r>
        <w:rPr>
          <w:sz w:val="20"/>
        </w:rPr>
        <w:t>to</w:t>
      </w:r>
      <w:r>
        <w:rPr>
          <w:spacing w:val="-8"/>
          <w:sz w:val="20"/>
        </w:rPr>
        <w:t> </w:t>
      </w:r>
      <w:r>
        <w:rPr>
          <w:sz w:val="20"/>
        </w:rPr>
        <w:t>improve</w:t>
      </w:r>
      <w:r>
        <w:rPr>
          <w:spacing w:val="-7"/>
          <w:sz w:val="20"/>
        </w:rPr>
        <w:t> </w:t>
      </w:r>
      <w:r>
        <w:rPr>
          <w:sz w:val="20"/>
        </w:rPr>
        <w:t>expertise</w:t>
      </w:r>
      <w:r>
        <w:rPr>
          <w:spacing w:val="-11"/>
          <w:sz w:val="20"/>
        </w:rPr>
        <w:t> </w:t>
      </w:r>
      <w:r>
        <w:rPr>
          <w:sz w:val="20"/>
        </w:rPr>
        <w:t>and</w:t>
      </w:r>
      <w:r>
        <w:rPr>
          <w:spacing w:val="-8"/>
          <w:sz w:val="20"/>
        </w:rPr>
        <w:t> </w:t>
      </w:r>
      <w:r>
        <w:rPr>
          <w:sz w:val="20"/>
        </w:rPr>
        <w:t>the</w:t>
      </w:r>
      <w:r>
        <w:rPr>
          <w:spacing w:val="-11"/>
          <w:sz w:val="20"/>
        </w:rPr>
        <w:t> </w:t>
      </w:r>
      <w:r>
        <w:rPr>
          <w:sz w:val="20"/>
        </w:rPr>
        <w:t>ability</w:t>
      </w:r>
      <w:r>
        <w:rPr>
          <w:spacing w:val="-8"/>
          <w:sz w:val="20"/>
        </w:rPr>
        <w:t> </w:t>
      </w:r>
      <w:r>
        <w:rPr>
          <w:sz w:val="20"/>
        </w:rPr>
        <w:t>of</w:t>
      </w:r>
      <w:r>
        <w:rPr>
          <w:spacing w:val="-13"/>
          <w:sz w:val="20"/>
        </w:rPr>
        <w:t> </w:t>
      </w:r>
      <w:r>
        <w:rPr>
          <w:sz w:val="20"/>
        </w:rPr>
        <w:t>the</w:t>
      </w:r>
      <w:r>
        <w:rPr>
          <w:spacing w:val="-10"/>
          <w:sz w:val="20"/>
        </w:rPr>
        <w:t> </w:t>
      </w:r>
      <w:r>
        <w:rPr>
          <w:sz w:val="20"/>
        </w:rPr>
        <w:t>Trust</w:t>
      </w:r>
      <w:r>
        <w:rPr>
          <w:spacing w:val="-7"/>
          <w:sz w:val="20"/>
        </w:rPr>
        <w:t> </w:t>
      </w:r>
      <w:r>
        <w:rPr>
          <w:sz w:val="20"/>
        </w:rPr>
        <w:t>Fund and of its partners to bring reparations to victims, their families and communities.</w:t>
      </w:r>
    </w:p>
    <w:p>
      <w:pPr>
        <w:pStyle w:val="BodyText"/>
        <w:spacing w:before="1"/>
        <w:rPr>
          <w:sz w:val="21"/>
        </w:rPr>
      </w:pPr>
    </w:p>
    <w:p>
      <w:pPr>
        <w:pStyle w:val="Heading3"/>
        <w:jc w:val="both"/>
      </w:pPr>
      <w:r>
        <w:rPr/>
        <w:t>Review</w:t>
      </w:r>
      <w:r>
        <w:rPr>
          <w:spacing w:val="-8"/>
        </w:rPr>
        <w:t> </w:t>
      </w:r>
      <w:r>
        <w:rPr>
          <w:spacing w:val="-2"/>
        </w:rPr>
        <w:t>Mechanism</w:t>
      </w:r>
    </w:p>
    <w:p>
      <w:pPr>
        <w:pStyle w:val="BodyText"/>
        <w:spacing w:before="10"/>
        <w:rPr>
          <w:b/>
        </w:rPr>
      </w:pPr>
    </w:p>
    <w:p>
      <w:pPr>
        <w:spacing w:before="1"/>
        <w:ind w:left="2246" w:right="0" w:firstLine="0"/>
        <w:jc w:val="both"/>
        <w:rPr>
          <w:b/>
          <w:sz w:val="20"/>
        </w:rPr>
      </w:pPr>
      <w:r>
        <w:rPr>
          <w:b/>
          <w:sz w:val="20"/>
        </w:rPr>
        <w:t>Resource</w:t>
      </w:r>
      <w:r>
        <w:rPr>
          <w:b/>
          <w:spacing w:val="-6"/>
          <w:sz w:val="20"/>
        </w:rPr>
        <w:t> </w:t>
      </w:r>
      <w:r>
        <w:rPr>
          <w:b/>
          <w:sz w:val="20"/>
        </w:rPr>
        <w:t>development</w:t>
      </w:r>
      <w:r>
        <w:rPr>
          <w:b/>
          <w:spacing w:val="-7"/>
          <w:sz w:val="20"/>
        </w:rPr>
        <w:t> </w:t>
      </w:r>
      <w:r>
        <w:rPr>
          <w:b/>
          <w:sz w:val="20"/>
        </w:rPr>
        <w:t>and</w:t>
      </w:r>
      <w:r>
        <w:rPr>
          <w:b/>
          <w:spacing w:val="-11"/>
          <w:sz w:val="20"/>
        </w:rPr>
        <w:t> </w:t>
      </w:r>
      <w:r>
        <w:rPr>
          <w:b/>
          <w:spacing w:val="-2"/>
          <w:sz w:val="20"/>
        </w:rPr>
        <w:t>visibility</w:t>
      </w:r>
    </w:p>
    <w:p>
      <w:pPr>
        <w:pStyle w:val="BodyText"/>
        <w:spacing w:before="5"/>
        <w:rPr>
          <w:b/>
        </w:rPr>
      </w:pPr>
    </w:p>
    <w:p>
      <w:pPr>
        <w:pStyle w:val="ListParagraph"/>
        <w:numPr>
          <w:ilvl w:val="0"/>
          <w:numId w:val="4"/>
        </w:numPr>
        <w:tabs>
          <w:tab w:pos="2967" w:val="left" w:leader="none"/>
        </w:tabs>
        <w:spacing w:line="240" w:lineRule="auto" w:before="0" w:after="0"/>
        <w:ind w:left="2246" w:right="2243" w:firstLine="0"/>
        <w:jc w:val="both"/>
        <w:rPr>
          <w:sz w:val="20"/>
        </w:rPr>
      </w:pPr>
      <w:r>
        <w:rPr>
          <w:sz w:val="20"/>
        </w:rPr>
        <w:t>Resource development is primarily the responsibility of the Executive Director, supported by the Associate Executive Officer and by Programme Managers in their respective situation countries. The TFV has one staff member dedicated exclusively to private fundraising; the post is under recruitment in 2022. While this post was originally dedicated to private fundraising, it is intended to now also cover public donor fundraising.</w:t>
      </w:r>
    </w:p>
    <w:p>
      <w:pPr>
        <w:pStyle w:val="ListParagraph"/>
        <w:numPr>
          <w:ilvl w:val="0"/>
          <w:numId w:val="4"/>
        </w:numPr>
        <w:tabs>
          <w:tab w:pos="2967" w:val="left" w:leader="none"/>
        </w:tabs>
        <w:spacing w:line="240" w:lineRule="auto" w:before="123" w:after="0"/>
        <w:ind w:left="2246" w:right="2237" w:firstLine="0"/>
        <w:jc w:val="both"/>
        <w:rPr>
          <w:sz w:val="20"/>
        </w:rPr>
      </w:pPr>
      <w:r>
        <w:rPr>
          <w:sz w:val="20"/>
        </w:rPr>
        <w:t>The</w:t>
      </w:r>
      <w:r>
        <w:rPr>
          <w:spacing w:val="37"/>
          <w:sz w:val="20"/>
        </w:rPr>
        <w:t> </w:t>
      </w:r>
      <w:r>
        <w:rPr>
          <w:sz w:val="20"/>
        </w:rPr>
        <w:t>TFV</w:t>
      </w:r>
      <w:r>
        <w:rPr>
          <w:spacing w:val="39"/>
          <w:sz w:val="20"/>
        </w:rPr>
        <w:t> </w:t>
      </w:r>
      <w:r>
        <w:rPr>
          <w:sz w:val="20"/>
        </w:rPr>
        <w:t>had</w:t>
      </w:r>
      <w:r>
        <w:rPr>
          <w:spacing w:val="40"/>
          <w:sz w:val="20"/>
        </w:rPr>
        <w:t> </w:t>
      </w:r>
      <w:r>
        <w:rPr>
          <w:sz w:val="20"/>
        </w:rPr>
        <w:t>requested</w:t>
      </w:r>
      <w:r>
        <w:rPr>
          <w:spacing w:val="40"/>
          <w:sz w:val="20"/>
        </w:rPr>
        <w:t> </w:t>
      </w:r>
      <w:r>
        <w:rPr>
          <w:sz w:val="20"/>
        </w:rPr>
        <w:t>an</w:t>
      </w:r>
      <w:r>
        <w:rPr>
          <w:spacing w:val="36"/>
          <w:sz w:val="20"/>
        </w:rPr>
        <w:t> </w:t>
      </w:r>
      <w:r>
        <w:rPr>
          <w:sz w:val="20"/>
        </w:rPr>
        <w:t>additional</w:t>
      </w:r>
      <w:r>
        <w:rPr>
          <w:spacing w:val="37"/>
          <w:sz w:val="20"/>
        </w:rPr>
        <w:t> </w:t>
      </w:r>
      <w:r>
        <w:rPr>
          <w:sz w:val="20"/>
        </w:rPr>
        <w:t>fundraising</w:t>
      </w:r>
      <w:r>
        <w:rPr>
          <w:spacing w:val="40"/>
          <w:sz w:val="20"/>
        </w:rPr>
        <w:t> </w:t>
      </w:r>
      <w:r>
        <w:rPr>
          <w:sz w:val="20"/>
        </w:rPr>
        <w:t>officer</w:t>
      </w:r>
      <w:r>
        <w:rPr>
          <w:spacing w:val="40"/>
          <w:sz w:val="20"/>
        </w:rPr>
        <w:t> </w:t>
      </w:r>
      <w:r>
        <w:rPr>
          <w:sz w:val="20"/>
        </w:rPr>
        <w:t>in</w:t>
      </w:r>
      <w:r>
        <w:rPr>
          <w:spacing w:val="40"/>
          <w:sz w:val="20"/>
        </w:rPr>
        <w:t> </w:t>
      </w:r>
      <w:r>
        <w:rPr>
          <w:sz w:val="20"/>
        </w:rPr>
        <w:t>its</w:t>
      </w:r>
      <w:r>
        <w:rPr>
          <w:spacing w:val="40"/>
          <w:sz w:val="20"/>
        </w:rPr>
        <w:t> </w:t>
      </w:r>
      <w:r>
        <w:rPr>
          <w:sz w:val="20"/>
        </w:rPr>
        <w:t>budget</w:t>
      </w:r>
      <w:r>
        <w:rPr>
          <w:spacing w:val="40"/>
          <w:sz w:val="20"/>
        </w:rPr>
        <w:t> </w:t>
      </w:r>
      <w:r>
        <w:rPr>
          <w:sz w:val="20"/>
        </w:rPr>
        <w:t>request for 2022</w:t>
      </w:r>
      <w:r>
        <w:rPr>
          <w:spacing w:val="-5"/>
          <w:sz w:val="20"/>
        </w:rPr>
        <w:t> </w:t>
      </w:r>
      <w:r>
        <w:rPr>
          <w:sz w:val="20"/>
        </w:rPr>
        <w:t>and</w:t>
      </w:r>
      <w:r>
        <w:rPr>
          <w:spacing w:val="-5"/>
          <w:sz w:val="20"/>
        </w:rPr>
        <w:t> </w:t>
      </w:r>
      <w:r>
        <w:rPr>
          <w:sz w:val="20"/>
        </w:rPr>
        <w:t>the</w:t>
      </w:r>
      <w:r>
        <w:rPr>
          <w:spacing w:val="-3"/>
          <w:sz w:val="20"/>
        </w:rPr>
        <w:t> </w:t>
      </w:r>
      <w:r>
        <w:rPr>
          <w:sz w:val="20"/>
        </w:rPr>
        <w:t>Committee</w:t>
      </w:r>
      <w:r>
        <w:rPr>
          <w:spacing w:val="-3"/>
          <w:sz w:val="20"/>
        </w:rPr>
        <w:t> </w:t>
      </w:r>
      <w:r>
        <w:rPr>
          <w:sz w:val="20"/>
        </w:rPr>
        <w:t>had</w:t>
      </w:r>
      <w:r>
        <w:rPr>
          <w:spacing w:val="-5"/>
          <w:sz w:val="20"/>
        </w:rPr>
        <w:t> </w:t>
      </w:r>
      <w:r>
        <w:rPr>
          <w:sz w:val="20"/>
        </w:rPr>
        <w:t>stated</w:t>
      </w:r>
      <w:r>
        <w:rPr>
          <w:spacing w:val="-5"/>
          <w:sz w:val="20"/>
        </w:rPr>
        <w:t> </w:t>
      </w:r>
      <w:r>
        <w:rPr>
          <w:sz w:val="20"/>
        </w:rPr>
        <w:t>that</w:t>
      </w:r>
      <w:r>
        <w:rPr>
          <w:spacing w:val="-8"/>
          <w:sz w:val="20"/>
        </w:rPr>
        <w:t> </w:t>
      </w:r>
      <w:r>
        <w:rPr>
          <w:sz w:val="20"/>
        </w:rPr>
        <w:t>any</w:t>
      </w:r>
      <w:r>
        <w:rPr>
          <w:spacing w:val="-5"/>
          <w:sz w:val="20"/>
        </w:rPr>
        <w:t> </w:t>
      </w:r>
      <w:r>
        <w:rPr>
          <w:sz w:val="20"/>
        </w:rPr>
        <w:t>such</w:t>
      </w:r>
      <w:r>
        <w:rPr>
          <w:spacing w:val="-5"/>
          <w:sz w:val="20"/>
        </w:rPr>
        <w:t> </w:t>
      </w:r>
      <w:r>
        <w:rPr>
          <w:sz w:val="20"/>
        </w:rPr>
        <w:t>post</w:t>
      </w:r>
      <w:r>
        <w:rPr>
          <w:spacing w:val="-3"/>
          <w:sz w:val="20"/>
        </w:rPr>
        <w:t> </w:t>
      </w:r>
      <w:r>
        <w:rPr>
          <w:sz w:val="20"/>
        </w:rPr>
        <w:t>would</w:t>
      </w:r>
      <w:r>
        <w:rPr>
          <w:spacing w:val="-5"/>
          <w:sz w:val="20"/>
        </w:rPr>
        <w:t> </w:t>
      </w:r>
      <w:r>
        <w:rPr>
          <w:sz w:val="20"/>
        </w:rPr>
        <w:t>depend</w:t>
      </w:r>
      <w:r>
        <w:rPr>
          <w:spacing w:val="-5"/>
          <w:sz w:val="20"/>
        </w:rPr>
        <w:t> </w:t>
      </w:r>
      <w:r>
        <w:rPr>
          <w:sz w:val="20"/>
        </w:rPr>
        <w:t>on</w:t>
      </w:r>
      <w:r>
        <w:rPr>
          <w:spacing w:val="-5"/>
          <w:sz w:val="20"/>
        </w:rPr>
        <w:t> </w:t>
      </w:r>
      <w:r>
        <w:rPr>
          <w:sz w:val="20"/>
        </w:rPr>
        <w:t>the</w:t>
      </w:r>
      <w:r>
        <w:rPr>
          <w:spacing w:val="-3"/>
          <w:sz w:val="20"/>
        </w:rPr>
        <w:t> </w:t>
      </w:r>
      <w:r>
        <w:rPr>
          <w:sz w:val="20"/>
        </w:rPr>
        <w:t>development of</w:t>
      </w:r>
      <w:r>
        <w:rPr>
          <w:spacing w:val="-8"/>
          <w:sz w:val="20"/>
        </w:rPr>
        <w:t> </w:t>
      </w:r>
      <w:r>
        <w:rPr>
          <w:sz w:val="20"/>
        </w:rPr>
        <w:t>the</w:t>
      </w:r>
      <w:r>
        <w:rPr>
          <w:spacing w:val="-11"/>
          <w:sz w:val="20"/>
        </w:rPr>
        <w:t> </w:t>
      </w:r>
      <w:r>
        <w:rPr>
          <w:sz w:val="20"/>
        </w:rPr>
        <w:t>TFV’s</w:t>
      </w:r>
      <w:r>
        <w:rPr>
          <w:spacing w:val="-10"/>
          <w:sz w:val="20"/>
        </w:rPr>
        <w:t> </w:t>
      </w:r>
      <w:r>
        <w:rPr>
          <w:sz w:val="20"/>
        </w:rPr>
        <w:t>fundraising</w:t>
      </w:r>
      <w:r>
        <w:rPr>
          <w:spacing w:val="-8"/>
          <w:sz w:val="20"/>
        </w:rPr>
        <w:t> </w:t>
      </w:r>
      <w:r>
        <w:rPr>
          <w:sz w:val="20"/>
        </w:rPr>
        <w:t>policy.</w:t>
      </w:r>
      <w:r>
        <w:rPr>
          <w:spacing w:val="-6"/>
          <w:sz w:val="20"/>
        </w:rPr>
        <w:t> </w:t>
      </w:r>
      <w:r>
        <w:rPr>
          <w:sz w:val="20"/>
        </w:rPr>
        <w:t>Given</w:t>
      </w:r>
      <w:r>
        <w:rPr>
          <w:spacing w:val="-8"/>
          <w:sz w:val="20"/>
        </w:rPr>
        <w:t> </w:t>
      </w:r>
      <w:r>
        <w:rPr>
          <w:sz w:val="20"/>
        </w:rPr>
        <w:t>that</w:t>
      </w:r>
      <w:r>
        <w:rPr>
          <w:spacing w:val="-12"/>
          <w:sz w:val="20"/>
        </w:rPr>
        <w:t> </w:t>
      </w:r>
      <w:r>
        <w:rPr>
          <w:sz w:val="20"/>
        </w:rPr>
        <w:t>the</w:t>
      </w:r>
      <w:r>
        <w:rPr>
          <w:spacing w:val="-7"/>
          <w:sz w:val="20"/>
        </w:rPr>
        <w:t> </w:t>
      </w:r>
      <w:r>
        <w:rPr>
          <w:sz w:val="20"/>
        </w:rPr>
        <w:t>fundraising</w:t>
      </w:r>
      <w:r>
        <w:rPr>
          <w:spacing w:val="-8"/>
          <w:sz w:val="20"/>
        </w:rPr>
        <w:t> </w:t>
      </w:r>
      <w:r>
        <w:rPr>
          <w:sz w:val="20"/>
        </w:rPr>
        <w:t>policy</w:t>
      </w:r>
      <w:r>
        <w:rPr>
          <w:spacing w:val="-8"/>
          <w:sz w:val="20"/>
        </w:rPr>
        <w:t> </w:t>
      </w:r>
      <w:r>
        <w:rPr>
          <w:sz w:val="20"/>
        </w:rPr>
        <w:t>is</w:t>
      </w:r>
      <w:r>
        <w:rPr>
          <w:spacing w:val="-10"/>
          <w:sz w:val="20"/>
        </w:rPr>
        <w:t> </w:t>
      </w:r>
      <w:r>
        <w:rPr>
          <w:sz w:val="20"/>
        </w:rPr>
        <w:t>still</w:t>
      </w:r>
      <w:r>
        <w:rPr>
          <w:spacing w:val="-12"/>
          <w:sz w:val="20"/>
        </w:rPr>
        <w:t> </w:t>
      </w:r>
      <w:r>
        <w:rPr>
          <w:sz w:val="20"/>
        </w:rPr>
        <w:t>under</w:t>
      </w:r>
      <w:r>
        <w:rPr>
          <w:spacing w:val="-8"/>
          <w:sz w:val="20"/>
        </w:rPr>
        <w:t> </w:t>
      </w:r>
      <w:r>
        <w:rPr>
          <w:sz w:val="20"/>
        </w:rPr>
        <w:t>development,</w:t>
      </w:r>
    </w:p>
    <w:p>
      <w:pPr>
        <w:spacing w:after="0" w:line="240" w:lineRule="auto"/>
        <w:jc w:val="both"/>
        <w:rPr>
          <w:sz w:val="20"/>
        </w:rPr>
        <w:sectPr>
          <w:pgSz w:w="11910" w:h="16840"/>
          <w:pgMar w:header="957" w:footer="940" w:top="1140" w:bottom="1140" w:left="20" w:right="20"/>
        </w:sectPr>
      </w:pPr>
    </w:p>
    <w:p>
      <w:pPr>
        <w:pStyle w:val="BodyText"/>
        <w:spacing w:before="124"/>
        <w:ind w:left="2246" w:right="2242"/>
        <w:jc w:val="both"/>
      </w:pPr>
      <w:r>
        <w:rPr/>
        <w:t>in line with this guidance, no additional fundraising officer is requested for 2023. Because the</w:t>
      </w:r>
      <w:r>
        <w:rPr>
          <w:spacing w:val="-13"/>
        </w:rPr>
        <w:t> </w:t>
      </w:r>
      <w:r>
        <w:rPr/>
        <w:t>resource</w:t>
      </w:r>
      <w:r>
        <w:rPr>
          <w:spacing w:val="-12"/>
        </w:rPr>
        <w:t> </w:t>
      </w:r>
      <w:r>
        <w:rPr/>
        <w:t>development</w:t>
      </w:r>
      <w:r>
        <w:rPr>
          <w:spacing w:val="-13"/>
        </w:rPr>
        <w:t> </w:t>
      </w:r>
      <w:r>
        <w:rPr/>
        <w:t>needs</w:t>
      </w:r>
      <w:r>
        <w:rPr>
          <w:spacing w:val="-10"/>
        </w:rPr>
        <w:t> </w:t>
      </w:r>
      <w:r>
        <w:rPr/>
        <w:t>of</w:t>
      </w:r>
      <w:r>
        <w:rPr>
          <w:spacing w:val="-13"/>
        </w:rPr>
        <w:t> </w:t>
      </w:r>
      <w:r>
        <w:rPr/>
        <w:t>the</w:t>
      </w:r>
      <w:r>
        <w:rPr>
          <w:spacing w:val="-12"/>
        </w:rPr>
        <w:t> </w:t>
      </w:r>
      <w:r>
        <w:rPr/>
        <w:t>TFV</w:t>
      </w:r>
      <w:r>
        <w:rPr>
          <w:spacing w:val="-11"/>
        </w:rPr>
        <w:t> </w:t>
      </w:r>
      <w:r>
        <w:rPr/>
        <w:t>are</w:t>
      </w:r>
      <w:r>
        <w:rPr>
          <w:spacing w:val="-8"/>
        </w:rPr>
        <w:t> </w:t>
      </w:r>
      <w:r>
        <w:rPr/>
        <w:t>urgent</w:t>
      </w:r>
      <w:r>
        <w:rPr>
          <w:spacing w:val="-8"/>
        </w:rPr>
        <w:t> </w:t>
      </w:r>
      <w:r>
        <w:rPr/>
        <w:t>and</w:t>
      </w:r>
      <w:r>
        <w:rPr>
          <w:spacing w:val="-9"/>
        </w:rPr>
        <w:t> </w:t>
      </w:r>
      <w:r>
        <w:rPr/>
        <w:t>numerous,</w:t>
      </w:r>
      <w:r>
        <w:rPr>
          <w:spacing w:val="-7"/>
        </w:rPr>
        <w:t> </w:t>
      </w:r>
      <w:r>
        <w:rPr/>
        <w:t>support</w:t>
      </w:r>
      <w:r>
        <w:rPr>
          <w:spacing w:val="-13"/>
        </w:rPr>
        <w:t> </w:t>
      </w:r>
      <w:r>
        <w:rPr/>
        <w:t>for</w:t>
      </w:r>
      <w:r>
        <w:rPr>
          <w:spacing w:val="-8"/>
        </w:rPr>
        <w:t> </w:t>
      </w:r>
      <w:r>
        <w:rPr/>
        <w:t>fundraising and fundraising events will be required in 2023. Accordingly, a limited sum is reserved in the budget to ensure that fundraising activities can take place in 2023.</w:t>
      </w:r>
    </w:p>
    <w:p>
      <w:pPr>
        <w:pStyle w:val="ListParagraph"/>
        <w:numPr>
          <w:ilvl w:val="0"/>
          <w:numId w:val="4"/>
        </w:numPr>
        <w:tabs>
          <w:tab w:pos="2967" w:val="left" w:leader="none"/>
        </w:tabs>
        <w:spacing w:line="240" w:lineRule="auto" w:before="122" w:after="0"/>
        <w:ind w:left="2246" w:right="2249" w:firstLine="0"/>
        <w:jc w:val="both"/>
        <w:rPr>
          <w:sz w:val="20"/>
        </w:rPr>
      </w:pPr>
      <w:r>
        <w:rPr>
          <w:sz w:val="20"/>
        </w:rPr>
        <w:t>Of</w:t>
      </w:r>
      <w:r>
        <w:rPr>
          <w:spacing w:val="-13"/>
          <w:sz w:val="20"/>
        </w:rPr>
        <w:t> </w:t>
      </w:r>
      <w:r>
        <w:rPr>
          <w:sz w:val="20"/>
        </w:rPr>
        <w:t>particular</w:t>
      </w:r>
      <w:r>
        <w:rPr>
          <w:spacing w:val="-12"/>
          <w:sz w:val="20"/>
        </w:rPr>
        <w:t> </w:t>
      </w:r>
      <w:r>
        <w:rPr>
          <w:sz w:val="20"/>
        </w:rPr>
        <w:t>importance</w:t>
      </w:r>
      <w:r>
        <w:rPr>
          <w:spacing w:val="-13"/>
          <w:sz w:val="20"/>
        </w:rPr>
        <w:t> </w:t>
      </w:r>
      <w:r>
        <w:rPr>
          <w:sz w:val="20"/>
        </w:rPr>
        <w:t>to</w:t>
      </w:r>
      <w:r>
        <w:rPr>
          <w:spacing w:val="-12"/>
          <w:sz w:val="20"/>
        </w:rPr>
        <w:t> </w:t>
      </w:r>
      <w:r>
        <w:rPr>
          <w:sz w:val="20"/>
        </w:rPr>
        <w:t>successful</w:t>
      </w:r>
      <w:r>
        <w:rPr>
          <w:spacing w:val="-13"/>
          <w:sz w:val="20"/>
        </w:rPr>
        <w:t> </w:t>
      </w:r>
      <w:r>
        <w:rPr>
          <w:sz w:val="20"/>
        </w:rPr>
        <w:t>fundraising</w:t>
      </w:r>
      <w:r>
        <w:rPr>
          <w:spacing w:val="-12"/>
          <w:sz w:val="20"/>
        </w:rPr>
        <w:t> </w:t>
      </w:r>
      <w:r>
        <w:rPr>
          <w:sz w:val="20"/>
        </w:rPr>
        <w:t>is</w:t>
      </w:r>
      <w:r>
        <w:rPr>
          <w:spacing w:val="-13"/>
          <w:sz w:val="20"/>
        </w:rPr>
        <w:t> </w:t>
      </w:r>
      <w:r>
        <w:rPr>
          <w:sz w:val="20"/>
        </w:rPr>
        <w:t>enhanced</w:t>
      </w:r>
      <w:r>
        <w:rPr>
          <w:spacing w:val="-9"/>
          <w:sz w:val="20"/>
        </w:rPr>
        <w:t> </w:t>
      </w:r>
      <w:r>
        <w:rPr>
          <w:sz w:val="20"/>
        </w:rPr>
        <w:t>visibility</w:t>
      </w:r>
      <w:r>
        <w:rPr>
          <w:spacing w:val="-13"/>
          <w:sz w:val="20"/>
        </w:rPr>
        <w:t> </w:t>
      </w:r>
      <w:r>
        <w:rPr>
          <w:sz w:val="20"/>
        </w:rPr>
        <w:t>of</w:t>
      </w:r>
      <w:r>
        <w:rPr>
          <w:spacing w:val="-12"/>
          <w:sz w:val="20"/>
        </w:rPr>
        <w:t> </w:t>
      </w:r>
      <w:r>
        <w:rPr>
          <w:sz w:val="20"/>
        </w:rPr>
        <w:t>the</w:t>
      </w:r>
      <w:r>
        <w:rPr>
          <w:spacing w:val="-13"/>
          <w:sz w:val="20"/>
        </w:rPr>
        <w:t> </w:t>
      </w:r>
      <w:r>
        <w:rPr>
          <w:sz w:val="20"/>
        </w:rPr>
        <w:t>Trust Fund and in particular its work with victims.</w:t>
      </w:r>
    </w:p>
    <w:p>
      <w:pPr>
        <w:pStyle w:val="ListParagraph"/>
        <w:numPr>
          <w:ilvl w:val="0"/>
          <w:numId w:val="4"/>
        </w:numPr>
        <w:tabs>
          <w:tab w:pos="2967" w:val="left" w:leader="none"/>
        </w:tabs>
        <w:spacing w:line="240" w:lineRule="auto" w:before="121" w:after="0"/>
        <w:ind w:left="2246" w:right="2236" w:firstLine="0"/>
        <w:jc w:val="both"/>
        <w:rPr>
          <w:sz w:val="20"/>
        </w:rPr>
      </w:pPr>
      <w:r>
        <w:rPr>
          <w:sz w:val="20"/>
        </w:rPr>
        <w:t>The Board has made it a priority for the Secretariat to ensure that communication improves</w:t>
      </w:r>
      <w:r>
        <w:rPr>
          <w:spacing w:val="-5"/>
          <w:sz w:val="20"/>
        </w:rPr>
        <w:t> </w:t>
      </w:r>
      <w:r>
        <w:rPr>
          <w:sz w:val="20"/>
        </w:rPr>
        <w:t>without</w:t>
      </w:r>
      <w:r>
        <w:rPr>
          <w:spacing w:val="-2"/>
          <w:sz w:val="20"/>
        </w:rPr>
        <w:t> </w:t>
      </w:r>
      <w:r>
        <w:rPr>
          <w:sz w:val="20"/>
        </w:rPr>
        <w:t>delay.</w:t>
      </w:r>
      <w:r>
        <w:rPr>
          <w:spacing w:val="-6"/>
          <w:sz w:val="20"/>
        </w:rPr>
        <w:t> </w:t>
      </w:r>
      <w:r>
        <w:rPr>
          <w:sz w:val="20"/>
        </w:rPr>
        <w:t>In</w:t>
      </w:r>
      <w:r>
        <w:rPr>
          <w:spacing w:val="-4"/>
          <w:sz w:val="20"/>
        </w:rPr>
        <w:t> </w:t>
      </w:r>
      <w:r>
        <w:rPr>
          <w:sz w:val="20"/>
        </w:rPr>
        <w:t>the</w:t>
      </w:r>
      <w:r>
        <w:rPr>
          <w:spacing w:val="-2"/>
          <w:sz w:val="20"/>
        </w:rPr>
        <w:t> </w:t>
      </w:r>
      <w:r>
        <w:rPr>
          <w:sz w:val="20"/>
        </w:rPr>
        <w:t>past,</w:t>
      </w:r>
      <w:r>
        <w:rPr>
          <w:spacing w:val="-1"/>
          <w:sz w:val="20"/>
        </w:rPr>
        <w:t> </w:t>
      </w:r>
      <w:r>
        <w:rPr>
          <w:sz w:val="20"/>
        </w:rPr>
        <w:t>the</w:t>
      </w:r>
      <w:r>
        <w:rPr>
          <w:spacing w:val="-7"/>
          <w:sz w:val="20"/>
        </w:rPr>
        <w:t> </w:t>
      </w:r>
      <w:r>
        <w:rPr>
          <w:sz w:val="20"/>
        </w:rPr>
        <w:t>TFV</w:t>
      </w:r>
      <w:r>
        <w:rPr>
          <w:spacing w:val="-5"/>
          <w:sz w:val="20"/>
        </w:rPr>
        <w:t> </w:t>
      </w:r>
      <w:r>
        <w:rPr>
          <w:sz w:val="20"/>
        </w:rPr>
        <w:t>has</w:t>
      </w:r>
      <w:r>
        <w:rPr>
          <w:spacing w:val="-10"/>
          <w:sz w:val="20"/>
        </w:rPr>
        <w:t> </w:t>
      </w:r>
      <w:r>
        <w:rPr>
          <w:sz w:val="20"/>
        </w:rPr>
        <w:t>proposed</w:t>
      </w:r>
      <w:r>
        <w:rPr>
          <w:spacing w:val="-4"/>
          <w:sz w:val="20"/>
        </w:rPr>
        <w:t> </w:t>
      </w:r>
      <w:r>
        <w:rPr>
          <w:sz w:val="20"/>
        </w:rPr>
        <w:t>that</w:t>
      </w:r>
      <w:r>
        <w:rPr>
          <w:spacing w:val="-7"/>
          <w:sz w:val="20"/>
        </w:rPr>
        <w:t> </w:t>
      </w:r>
      <w:r>
        <w:rPr>
          <w:sz w:val="20"/>
        </w:rPr>
        <w:t>a</w:t>
      </w:r>
      <w:r>
        <w:rPr>
          <w:spacing w:val="-2"/>
          <w:sz w:val="20"/>
        </w:rPr>
        <w:t> </w:t>
      </w:r>
      <w:r>
        <w:rPr>
          <w:sz w:val="20"/>
        </w:rPr>
        <w:t>communication</w:t>
      </w:r>
      <w:r>
        <w:rPr>
          <w:spacing w:val="-4"/>
          <w:sz w:val="20"/>
        </w:rPr>
        <w:t> </w:t>
      </w:r>
      <w:r>
        <w:rPr>
          <w:sz w:val="20"/>
        </w:rPr>
        <w:t>position</w:t>
      </w:r>
      <w:r>
        <w:rPr>
          <w:spacing w:val="-4"/>
          <w:sz w:val="20"/>
        </w:rPr>
        <w:t> </w:t>
      </w:r>
      <w:r>
        <w:rPr>
          <w:sz w:val="20"/>
        </w:rPr>
        <w:t>be added in the regular budget. It was not recommended by the Committee, which suggested that the TFV find synergies with the Registry and work further with interns/visiting professional (IVPs) and pro bono consultants.</w:t>
      </w:r>
    </w:p>
    <w:p>
      <w:pPr>
        <w:pStyle w:val="ListParagraph"/>
        <w:numPr>
          <w:ilvl w:val="0"/>
          <w:numId w:val="4"/>
        </w:numPr>
        <w:tabs>
          <w:tab w:pos="2967" w:val="left" w:leader="none"/>
        </w:tabs>
        <w:spacing w:line="240" w:lineRule="auto" w:before="118" w:after="0"/>
        <w:ind w:left="2246" w:right="2241" w:firstLine="0"/>
        <w:jc w:val="both"/>
        <w:rPr>
          <w:sz w:val="20"/>
        </w:rPr>
      </w:pPr>
      <w:r>
        <w:rPr>
          <w:sz w:val="20"/>
        </w:rPr>
        <w:t>While the TFV has been able to effectively rely on support from the Registry and has</w:t>
      </w:r>
      <w:r>
        <w:rPr>
          <w:spacing w:val="-12"/>
          <w:sz w:val="20"/>
        </w:rPr>
        <w:t> </w:t>
      </w:r>
      <w:r>
        <w:rPr>
          <w:sz w:val="20"/>
        </w:rPr>
        <w:t>sought</w:t>
      </w:r>
      <w:r>
        <w:rPr>
          <w:spacing w:val="-12"/>
          <w:sz w:val="20"/>
        </w:rPr>
        <w:t> </w:t>
      </w:r>
      <w:r>
        <w:rPr>
          <w:sz w:val="20"/>
        </w:rPr>
        <w:t>the</w:t>
      </w:r>
      <w:r>
        <w:rPr>
          <w:spacing w:val="-11"/>
          <w:sz w:val="20"/>
        </w:rPr>
        <w:t> </w:t>
      </w:r>
      <w:r>
        <w:rPr>
          <w:sz w:val="20"/>
        </w:rPr>
        <w:t>assistance</w:t>
      </w:r>
      <w:r>
        <w:rPr>
          <w:spacing w:val="-11"/>
          <w:sz w:val="20"/>
        </w:rPr>
        <w:t> </w:t>
      </w:r>
      <w:r>
        <w:rPr>
          <w:sz w:val="20"/>
        </w:rPr>
        <w:t>of</w:t>
      </w:r>
      <w:r>
        <w:rPr>
          <w:spacing w:val="-8"/>
          <w:sz w:val="20"/>
        </w:rPr>
        <w:t> </w:t>
      </w:r>
      <w:r>
        <w:rPr>
          <w:sz w:val="20"/>
        </w:rPr>
        <w:t>IVPs</w:t>
      </w:r>
      <w:r>
        <w:rPr>
          <w:spacing w:val="-13"/>
          <w:sz w:val="20"/>
        </w:rPr>
        <w:t> </w:t>
      </w:r>
      <w:r>
        <w:rPr>
          <w:sz w:val="20"/>
        </w:rPr>
        <w:t>and</w:t>
      </w:r>
      <w:r>
        <w:rPr>
          <w:spacing w:val="-12"/>
          <w:sz w:val="20"/>
        </w:rPr>
        <w:t> </w:t>
      </w:r>
      <w:r>
        <w:rPr>
          <w:sz w:val="20"/>
        </w:rPr>
        <w:t>pro</w:t>
      </w:r>
      <w:r>
        <w:rPr>
          <w:spacing w:val="-13"/>
          <w:sz w:val="20"/>
        </w:rPr>
        <w:t> </w:t>
      </w:r>
      <w:r>
        <w:rPr>
          <w:sz w:val="20"/>
        </w:rPr>
        <w:t>bono</w:t>
      </w:r>
      <w:r>
        <w:rPr>
          <w:spacing w:val="-12"/>
          <w:sz w:val="20"/>
        </w:rPr>
        <w:t> </w:t>
      </w:r>
      <w:r>
        <w:rPr>
          <w:sz w:val="20"/>
        </w:rPr>
        <w:t>resources,</w:t>
      </w:r>
      <w:r>
        <w:rPr>
          <w:spacing w:val="-11"/>
          <w:sz w:val="20"/>
        </w:rPr>
        <w:t> </w:t>
      </w:r>
      <w:r>
        <w:rPr>
          <w:sz w:val="20"/>
        </w:rPr>
        <w:t>they</w:t>
      </w:r>
      <w:r>
        <w:rPr>
          <w:spacing w:val="-8"/>
          <w:sz w:val="20"/>
        </w:rPr>
        <w:t> </w:t>
      </w:r>
      <w:r>
        <w:rPr>
          <w:sz w:val="20"/>
        </w:rPr>
        <w:t>cannot</w:t>
      </w:r>
      <w:r>
        <w:rPr>
          <w:spacing w:val="-7"/>
          <w:sz w:val="20"/>
        </w:rPr>
        <w:t> </w:t>
      </w:r>
      <w:r>
        <w:rPr>
          <w:sz w:val="20"/>
        </w:rPr>
        <w:t>provide</w:t>
      </w:r>
      <w:r>
        <w:rPr>
          <w:spacing w:val="-12"/>
          <w:sz w:val="20"/>
        </w:rPr>
        <w:t> </w:t>
      </w:r>
      <w:r>
        <w:rPr>
          <w:sz w:val="20"/>
        </w:rPr>
        <w:t>the</w:t>
      </w:r>
      <w:r>
        <w:rPr>
          <w:spacing w:val="-11"/>
          <w:sz w:val="20"/>
        </w:rPr>
        <w:t> </w:t>
      </w:r>
      <w:r>
        <w:rPr>
          <w:sz w:val="20"/>
        </w:rPr>
        <w:t>specialized expertise and long-term efforts required</w:t>
      </w:r>
      <w:r>
        <w:rPr>
          <w:spacing w:val="-3"/>
          <w:sz w:val="20"/>
        </w:rPr>
        <w:t> </w:t>
      </w:r>
      <w:r>
        <w:rPr>
          <w:sz w:val="20"/>
        </w:rPr>
        <w:t>to attain the TFV’s goals of increasing its visibility and helping</w:t>
      </w:r>
      <w:r>
        <w:rPr>
          <w:spacing w:val="-4"/>
          <w:sz w:val="20"/>
        </w:rPr>
        <w:t> </w:t>
      </w:r>
      <w:r>
        <w:rPr>
          <w:sz w:val="20"/>
        </w:rPr>
        <w:t>mobilize resources, especially</w:t>
      </w:r>
      <w:r>
        <w:rPr>
          <w:spacing w:val="-4"/>
          <w:sz w:val="20"/>
        </w:rPr>
        <w:t> </w:t>
      </w:r>
      <w:r>
        <w:rPr>
          <w:sz w:val="20"/>
        </w:rPr>
        <w:t>for</w:t>
      </w:r>
      <w:r>
        <w:rPr>
          <w:spacing w:val="-4"/>
          <w:sz w:val="20"/>
        </w:rPr>
        <w:t> </w:t>
      </w:r>
      <w:r>
        <w:rPr>
          <w:sz w:val="20"/>
        </w:rPr>
        <w:t>Court-ordered</w:t>
      </w:r>
      <w:r>
        <w:rPr>
          <w:spacing w:val="-4"/>
          <w:sz w:val="20"/>
        </w:rPr>
        <w:t> </w:t>
      </w:r>
      <w:r>
        <w:rPr>
          <w:sz w:val="20"/>
        </w:rPr>
        <w:t>reparations.</w:t>
      </w:r>
      <w:r>
        <w:rPr>
          <w:spacing w:val="-1"/>
          <w:sz w:val="20"/>
        </w:rPr>
        <w:t> </w:t>
      </w:r>
      <w:r>
        <w:rPr>
          <w:sz w:val="20"/>
        </w:rPr>
        <w:t>The</w:t>
      </w:r>
      <w:r>
        <w:rPr>
          <w:spacing w:val="-2"/>
          <w:sz w:val="20"/>
        </w:rPr>
        <w:t> </w:t>
      </w:r>
      <w:r>
        <w:rPr>
          <w:sz w:val="20"/>
        </w:rPr>
        <w:t>TFV</w:t>
      </w:r>
      <w:r>
        <w:rPr>
          <w:spacing w:val="-5"/>
          <w:sz w:val="20"/>
        </w:rPr>
        <w:t> </w:t>
      </w:r>
      <w:r>
        <w:rPr>
          <w:sz w:val="20"/>
        </w:rPr>
        <w:t>does</w:t>
      </w:r>
      <w:r>
        <w:rPr>
          <w:spacing w:val="-5"/>
          <w:sz w:val="20"/>
        </w:rPr>
        <w:t> </w:t>
      </w:r>
      <w:r>
        <w:rPr>
          <w:sz w:val="20"/>
        </w:rPr>
        <w:t>not have a single staff resource fully dedicated to communication matters. In order to publicize the work of (currently) 25 partners and the TFV’s role in relation to their work, the TFV needs to create at least one full-time post dedicated to communication.</w:t>
      </w:r>
    </w:p>
    <w:p>
      <w:pPr>
        <w:pStyle w:val="ListParagraph"/>
        <w:numPr>
          <w:ilvl w:val="0"/>
          <w:numId w:val="4"/>
        </w:numPr>
        <w:tabs>
          <w:tab w:pos="2967" w:val="left" w:leader="none"/>
        </w:tabs>
        <w:spacing w:line="240" w:lineRule="auto" w:before="123" w:after="0"/>
        <w:ind w:left="2246" w:right="2243" w:firstLine="0"/>
        <w:jc w:val="both"/>
        <w:rPr>
          <w:sz w:val="20"/>
        </w:rPr>
      </w:pPr>
      <w:r>
        <w:rPr>
          <w:sz w:val="20"/>
        </w:rPr>
        <w:t>The TFV has considerably increased its programme portfolio since 2020. The experience and knowledge gained from conducting these programmes along with the resulting</w:t>
      </w:r>
      <w:r>
        <w:rPr>
          <w:spacing w:val="-4"/>
          <w:sz w:val="20"/>
        </w:rPr>
        <w:t> </w:t>
      </w:r>
      <w:r>
        <w:rPr>
          <w:sz w:val="20"/>
        </w:rPr>
        <w:t>impact on</w:t>
      </w:r>
      <w:r>
        <w:rPr>
          <w:spacing w:val="-4"/>
          <w:sz w:val="20"/>
        </w:rPr>
        <w:t> </w:t>
      </w:r>
      <w:r>
        <w:rPr>
          <w:sz w:val="20"/>
        </w:rPr>
        <w:t>the victims</w:t>
      </w:r>
      <w:r>
        <w:rPr>
          <w:spacing w:val="-1"/>
          <w:sz w:val="20"/>
        </w:rPr>
        <w:t> </w:t>
      </w:r>
      <w:r>
        <w:rPr>
          <w:sz w:val="20"/>
        </w:rPr>
        <w:t>urgently</w:t>
      </w:r>
      <w:r>
        <w:rPr>
          <w:spacing w:val="-4"/>
          <w:sz w:val="20"/>
        </w:rPr>
        <w:t> </w:t>
      </w:r>
      <w:r>
        <w:rPr>
          <w:sz w:val="20"/>
        </w:rPr>
        <w:t>need to be</w:t>
      </w:r>
      <w:r>
        <w:rPr>
          <w:spacing w:val="-3"/>
          <w:sz w:val="20"/>
        </w:rPr>
        <w:t> </w:t>
      </w:r>
      <w:r>
        <w:rPr>
          <w:sz w:val="20"/>
        </w:rPr>
        <w:t>publicized so that the relevant funds</w:t>
      </w:r>
      <w:r>
        <w:rPr>
          <w:spacing w:val="-1"/>
          <w:sz w:val="20"/>
        </w:rPr>
        <w:t> </w:t>
      </w:r>
      <w:r>
        <w:rPr>
          <w:sz w:val="20"/>
        </w:rPr>
        <w:t>can be raised to continue these programmes and start new ones, as required and to the extent </w:t>
      </w:r>
      <w:r>
        <w:rPr>
          <w:spacing w:val="-2"/>
          <w:sz w:val="20"/>
        </w:rPr>
        <w:t>possible.</w:t>
      </w:r>
    </w:p>
    <w:p>
      <w:pPr>
        <w:pStyle w:val="ListParagraph"/>
        <w:numPr>
          <w:ilvl w:val="0"/>
          <w:numId w:val="4"/>
        </w:numPr>
        <w:tabs>
          <w:tab w:pos="2967" w:val="left" w:leader="none"/>
        </w:tabs>
        <w:spacing w:line="240" w:lineRule="auto" w:before="118" w:after="0"/>
        <w:ind w:left="2246" w:right="2241" w:firstLine="0"/>
        <w:jc w:val="both"/>
        <w:rPr>
          <w:sz w:val="20"/>
        </w:rPr>
      </w:pPr>
      <w:r>
        <w:rPr>
          <w:sz w:val="20"/>
        </w:rPr>
        <w:t>For example, outreach, i.e. communication with victims and the public in the Court’s</w:t>
      </w:r>
      <w:r>
        <w:rPr>
          <w:spacing w:val="-13"/>
          <w:sz w:val="20"/>
        </w:rPr>
        <w:t> </w:t>
      </w:r>
      <w:r>
        <w:rPr>
          <w:sz w:val="20"/>
        </w:rPr>
        <w:t>situation</w:t>
      </w:r>
      <w:r>
        <w:rPr>
          <w:spacing w:val="-12"/>
          <w:sz w:val="20"/>
        </w:rPr>
        <w:t> </w:t>
      </w:r>
      <w:r>
        <w:rPr>
          <w:sz w:val="20"/>
        </w:rPr>
        <w:t>countries</w:t>
      </w:r>
      <w:r>
        <w:rPr>
          <w:spacing w:val="-13"/>
          <w:sz w:val="20"/>
        </w:rPr>
        <w:t> </w:t>
      </w:r>
      <w:r>
        <w:rPr>
          <w:sz w:val="20"/>
        </w:rPr>
        <w:t>is</w:t>
      </w:r>
      <w:r>
        <w:rPr>
          <w:spacing w:val="-12"/>
          <w:sz w:val="20"/>
        </w:rPr>
        <w:t> </w:t>
      </w:r>
      <w:r>
        <w:rPr>
          <w:sz w:val="20"/>
        </w:rPr>
        <w:t>ensured</w:t>
      </w:r>
      <w:r>
        <w:rPr>
          <w:spacing w:val="-10"/>
          <w:sz w:val="20"/>
        </w:rPr>
        <w:t> </w:t>
      </w:r>
      <w:r>
        <w:rPr>
          <w:sz w:val="20"/>
        </w:rPr>
        <w:t>by</w:t>
      </w:r>
      <w:r>
        <w:rPr>
          <w:spacing w:val="-13"/>
          <w:sz w:val="20"/>
        </w:rPr>
        <w:t> </w:t>
      </w:r>
      <w:r>
        <w:rPr>
          <w:sz w:val="20"/>
        </w:rPr>
        <w:t>TFV</w:t>
      </w:r>
      <w:r>
        <w:rPr>
          <w:spacing w:val="-10"/>
          <w:sz w:val="20"/>
        </w:rPr>
        <w:t> </w:t>
      </w:r>
      <w:r>
        <w:rPr>
          <w:sz w:val="20"/>
        </w:rPr>
        <w:t>programme</w:t>
      </w:r>
      <w:r>
        <w:rPr>
          <w:spacing w:val="-8"/>
          <w:sz w:val="20"/>
        </w:rPr>
        <w:t> </w:t>
      </w:r>
      <w:r>
        <w:rPr>
          <w:sz w:val="20"/>
        </w:rPr>
        <w:t>staff</w:t>
      </w:r>
      <w:r>
        <w:rPr>
          <w:spacing w:val="-9"/>
          <w:sz w:val="20"/>
        </w:rPr>
        <w:t> </w:t>
      </w:r>
      <w:r>
        <w:rPr>
          <w:sz w:val="20"/>
        </w:rPr>
        <w:t>in</w:t>
      </w:r>
      <w:r>
        <w:rPr>
          <w:spacing w:val="-13"/>
          <w:sz w:val="20"/>
        </w:rPr>
        <w:t> </w:t>
      </w:r>
      <w:r>
        <w:rPr>
          <w:sz w:val="20"/>
        </w:rPr>
        <w:t>the</w:t>
      </w:r>
      <w:r>
        <w:rPr>
          <w:spacing w:val="-7"/>
          <w:sz w:val="20"/>
        </w:rPr>
        <w:t> </w:t>
      </w:r>
      <w:r>
        <w:rPr>
          <w:sz w:val="20"/>
        </w:rPr>
        <w:t>relevant</w:t>
      </w:r>
      <w:r>
        <w:rPr>
          <w:spacing w:val="-13"/>
          <w:sz w:val="20"/>
        </w:rPr>
        <w:t> </w:t>
      </w:r>
      <w:r>
        <w:rPr>
          <w:sz w:val="20"/>
        </w:rPr>
        <w:t>country</w:t>
      </w:r>
      <w:r>
        <w:rPr>
          <w:spacing w:val="-8"/>
          <w:sz w:val="20"/>
        </w:rPr>
        <w:t> </w:t>
      </w:r>
      <w:r>
        <w:rPr>
          <w:sz w:val="20"/>
        </w:rPr>
        <w:t>offices and</w:t>
      </w:r>
      <w:r>
        <w:rPr>
          <w:spacing w:val="-13"/>
          <w:sz w:val="20"/>
        </w:rPr>
        <w:t> </w:t>
      </w:r>
      <w:r>
        <w:rPr>
          <w:sz w:val="20"/>
        </w:rPr>
        <w:t>in</w:t>
      </w:r>
      <w:r>
        <w:rPr>
          <w:spacing w:val="-12"/>
          <w:sz w:val="20"/>
        </w:rPr>
        <w:t> </w:t>
      </w:r>
      <w:r>
        <w:rPr>
          <w:sz w:val="20"/>
        </w:rPr>
        <w:t>very</w:t>
      </w:r>
      <w:r>
        <w:rPr>
          <w:spacing w:val="-13"/>
          <w:sz w:val="20"/>
        </w:rPr>
        <w:t> </w:t>
      </w:r>
      <w:r>
        <w:rPr>
          <w:sz w:val="20"/>
        </w:rPr>
        <w:t>close</w:t>
      </w:r>
      <w:r>
        <w:rPr>
          <w:spacing w:val="-12"/>
          <w:sz w:val="20"/>
        </w:rPr>
        <w:t> </w:t>
      </w:r>
      <w:r>
        <w:rPr>
          <w:sz w:val="20"/>
        </w:rPr>
        <w:t>collaboration</w:t>
      </w:r>
      <w:r>
        <w:rPr>
          <w:spacing w:val="-13"/>
          <w:sz w:val="20"/>
        </w:rPr>
        <w:t> </w:t>
      </w:r>
      <w:r>
        <w:rPr>
          <w:sz w:val="20"/>
        </w:rPr>
        <w:t>with</w:t>
      </w:r>
      <w:r>
        <w:rPr>
          <w:spacing w:val="-12"/>
          <w:sz w:val="20"/>
        </w:rPr>
        <w:t> </w:t>
      </w:r>
      <w:r>
        <w:rPr>
          <w:sz w:val="20"/>
        </w:rPr>
        <w:t>the</w:t>
      </w:r>
      <w:r>
        <w:rPr>
          <w:spacing w:val="-13"/>
          <w:sz w:val="20"/>
        </w:rPr>
        <w:t> </w:t>
      </w:r>
      <w:r>
        <w:rPr>
          <w:sz w:val="20"/>
        </w:rPr>
        <w:t>Registry’s</w:t>
      </w:r>
      <w:r>
        <w:rPr>
          <w:spacing w:val="-12"/>
          <w:sz w:val="20"/>
        </w:rPr>
        <w:t> </w:t>
      </w:r>
      <w:r>
        <w:rPr>
          <w:sz w:val="20"/>
        </w:rPr>
        <w:t>dedicated</w:t>
      </w:r>
      <w:r>
        <w:rPr>
          <w:spacing w:val="-13"/>
          <w:sz w:val="20"/>
        </w:rPr>
        <w:t> </w:t>
      </w:r>
      <w:r>
        <w:rPr>
          <w:sz w:val="20"/>
        </w:rPr>
        <w:t>staff</w:t>
      </w:r>
      <w:r>
        <w:rPr>
          <w:spacing w:val="-12"/>
          <w:sz w:val="20"/>
        </w:rPr>
        <w:t> </w:t>
      </w:r>
      <w:r>
        <w:rPr>
          <w:sz w:val="20"/>
        </w:rPr>
        <w:t>in</w:t>
      </w:r>
      <w:r>
        <w:rPr>
          <w:spacing w:val="-12"/>
          <w:sz w:val="20"/>
        </w:rPr>
        <w:t> </w:t>
      </w:r>
      <w:r>
        <w:rPr>
          <w:sz w:val="20"/>
        </w:rPr>
        <w:t>those</w:t>
      </w:r>
      <w:r>
        <w:rPr>
          <w:spacing w:val="-11"/>
          <w:sz w:val="20"/>
        </w:rPr>
        <w:t> </w:t>
      </w:r>
      <w:r>
        <w:rPr>
          <w:sz w:val="20"/>
        </w:rPr>
        <w:t>offices.</w:t>
      </w:r>
      <w:r>
        <w:rPr>
          <w:spacing w:val="-12"/>
          <w:sz w:val="20"/>
        </w:rPr>
        <w:t> </w:t>
      </w:r>
      <w:r>
        <w:rPr>
          <w:sz w:val="20"/>
        </w:rPr>
        <w:t>The</w:t>
      </w:r>
      <w:r>
        <w:rPr>
          <w:spacing w:val="-13"/>
          <w:sz w:val="20"/>
        </w:rPr>
        <w:t> </w:t>
      </w:r>
      <w:r>
        <w:rPr>
          <w:sz w:val="20"/>
        </w:rPr>
        <w:t>TFV’s partners report on their work, including that carried out with TFV financing, in the relevant areas and through their own media. At issue is therefore not</w:t>
      </w:r>
      <w:r>
        <w:rPr>
          <w:spacing w:val="-1"/>
          <w:sz w:val="20"/>
        </w:rPr>
        <w:t> </w:t>
      </w:r>
      <w:r>
        <w:rPr>
          <w:sz w:val="20"/>
        </w:rPr>
        <w:t>the outreach to victims but the TFV’s</w:t>
      </w:r>
      <w:r>
        <w:rPr>
          <w:spacing w:val="-5"/>
          <w:sz w:val="20"/>
        </w:rPr>
        <w:t> </w:t>
      </w:r>
      <w:r>
        <w:rPr>
          <w:sz w:val="20"/>
        </w:rPr>
        <w:t>communication</w:t>
      </w:r>
      <w:r>
        <w:rPr>
          <w:spacing w:val="-8"/>
          <w:sz w:val="20"/>
        </w:rPr>
        <w:t> </w:t>
      </w:r>
      <w:r>
        <w:rPr>
          <w:sz w:val="20"/>
        </w:rPr>
        <w:t>about</w:t>
      </w:r>
      <w:r>
        <w:rPr>
          <w:spacing w:val="-2"/>
          <w:sz w:val="20"/>
        </w:rPr>
        <w:t> </w:t>
      </w:r>
      <w:r>
        <w:rPr>
          <w:sz w:val="20"/>
        </w:rPr>
        <w:t>its</w:t>
      </w:r>
      <w:r>
        <w:rPr>
          <w:spacing w:val="-5"/>
          <w:sz w:val="20"/>
        </w:rPr>
        <w:t> </w:t>
      </w:r>
      <w:r>
        <w:rPr>
          <w:sz w:val="20"/>
        </w:rPr>
        <w:t>work</w:t>
      </w:r>
      <w:r>
        <w:rPr>
          <w:spacing w:val="-4"/>
          <w:sz w:val="20"/>
        </w:rPr>
        <w:t> </w:t>
      </w:r>
      <w:r>
        <w:rPr>
          <w:sz w:val="20"/>
        </w:rPr>
        <w:t>with</w:t>
      </w:r>
      <w:r>
        <w:rPr>
          <w:spacing w:val="-4"/>
          <w:sz w:val="20"/>
        </w:rPr>
        <w:t> </w:t>
      </w:r>
      <w:r>
        <w:rPr>
          <w:sz w:val="20"/>
        </w:rPr>
        <w:t>victims</w:t>
      </w:r>
      <w:r>
        <w:rPr>
          <w:spacing w:val="-5"/>
          <w:sz w:val="20"/>
        </w:rPr>
        <w:t> </w:t>
      </w:r>
      <w:r>
        <w:rPr>
          <w:sz w:val="20"/>
        </w:rPr>
        <w:t>and</w:t>
      </w:r>
      <w:r>
        <w:rPr>
          <w:spacing w:val="-4"/>
          <w:sz w:val="20"/>
        </w:rPr>
        <w:t> </w:t>
      </w:r>
      <w:r>
        <w:rPr>
          <w:sz w:val="20"/>
        </w:rPr>
        <w:t>related</w:t>
      </w:r>
      <w:r>
        <w:rPr>
          <w:spacing w:val="-4"/>
          <w:sz w:val="20"/>
        </w:rPr>
        <w:t> </w:t>
      </w:r>
      <w:r>
        <w:rPr>
          <w:sz w:val="20"/>
        </w:rPr>
        <w:t>TFV</w:t>
      </w:r>
      <w:r>
        <w:rPr>
          <w:spacing w:val="-5"/>
          <w:sz w:val="20"/>
        </w:rPr>
        <w:t> </w:t>
      </w:r>
      <w:r>
        <w:rPr>
          <w:sz w:val="20"/>
        </w:rPr>
        <w:t>activities.</w:t>
      </w:r>
      <w:r>
        <w:rPr>
          <w:spacing w:val="-1"/>
          <w:sz w:val="20"/>
        </w:rPr>
        <w:t> </w:t>
      </w:r>
      <w:r>
        <w:rPr>
          <w:sz w:val="20"/>
        </w:rPr>
        <w:t>Outreach</w:t>
      </w:r>
      <w:r>
        <w:rPr>
          <w:spacing w:val="-8"/>
          <w:sz w:val="20"/>
        </w:rPr>
        <w:t> </w:t>
      </w:r>
      <w:r>
        <w:rPr>
          <w:sz w:val="20"/>
        </w:rPr>
        <w:t>is</w:t>
      </w:r>
      <w:r>
        <w:rPr>
          <w:spacing w:val="-5"/>
          <w:sz w:val="20"/>
        </w:rPr>
        <w:t> </w:t>
      </w:r>
      <w:r>
        <w:rPr>
          <w:sz w:val="20"/>
        </w:rPr>
        <w:t>at the core of the TFV’s responsibilities and can be carried out only with a full and thorough understanding of TFV activities and their complexities, i.e. by a TFV staff member.</w:t>
      </w:r>
    </w:p>
    <w:p>
      <w:pPr>
        <w:pStyle w:val="ListParagraph"/>
        <w:numPr>
          <w:ilvl w:val="0"/>
          <w:numId w:val="4"/>
        </w:numPr>
        <w:tabs>
          <w:tab w:pos="2967" w:val="left" w:leader="none"/>
        </w:tabs>
        <w:spacing w:line="240" w:lineRule="auto" w:before="124" w:after="0"/>
        <w:ind w:left="2246" w:right="2243" w:firstLine="0"/>
        <w:jc w:val="both"/>
        <w:rPr>
          <w:sz w:val="20"/>
        </w:rPr>
      </w:pPr>
      <w:r>
        <w:rPr>
          <w:sz w:val="20"/>
        </w:rPr>
        <w:t>The TFV also works in close cooperation with the Registry’s Public Information and</w:t>
      </w:r>
      <w:r>
        <w:rPr>
          <w:spacing w:val="-11"/>
          <w:sz w:val="20"/>
        </w:rPr>
        <w:t> </w:t>
      </w:r>
      <w:r>
        <w:rPr>
          <w:sz w:val="20"/>
        </w:rPr>
        <w:t>Outreach</w:t>
      </w:r>
      <w:r>
        <w:rPr>
          <w:spacing w:val="-13"/>
          <w:sz w:val="20"/>
        </w:rPr>
        <w:t> </w:t>
      </w:r>
      <w:r>
        <w:rPr>
          <w:sz w:val="20"/>
        </w:rPr>
        <w:t>Section</w:t>
      </w:r>
      <w:r>
        <w:rPr>
          <w:spacing w:val="-8"/>
          <w:sz w:val="20"/>
        </w:rPr>
        <w:t> </w:t>
      </w:r>
      <w:r>
        <w:rPr>
          <w:sz w:val="20"/>
        </w:rPr>
        <w:t>(PIOS)</w:t>
      </w:r>
      <w:r>
        <w:rPr>
          <w:spacing w:val="-13"/>
          <w:sz w:val="20"/>
        </w:rPr>
        <w:t> </w:t>
      </w:r>
      <w:r>
        <w:rPr>
          <w:sz w:val="20"/>
        </w:rPr>
        <w:t>and</w:t>
      </w:r>
      <w:r>
        <w:rPr>
          <w:spacing w:val="-12"/>
          <w:sz w:val="20"/>
        </w:rPr>
        <w:t> </w:t>
      </w:r>
      <w:r>
        <w:rPr>
          <w:sz w:val="20"/>
        </w:rPr>
        <w:t>country</w:t>
      </w:r>
      <w:r>
        <w:rPr>
          <w:spacing w:val="-9"/>
          <w:sz w:val="20"/>
        </w:rPr>
        <w:t> </w:t>
      </w:r>
      <w:r>
        <w:rPr>
          <w:sz w:val="20"/>
        </w:rPr>
        <w:t>offices</w:t>
      </w:r>
      <w:r>
        <w:rPr>
          <w:spacing w:val="-11"/>
          <w:sz w:val="20"/>
        </w:rPr>
        <w:t> </w:t>
      </w:r>
      <w:r>
        <w:rPr>
          <w:sz w:val="20"/>
        </w:rPr>
        <w:t>to</w:t>
      </w:r>
      <w:r>
        <w:rPr>
          <w:spacing w:val="-9"/>
          <w:sz w:val="20"/>
        </w:rPr>
        <w:t> </w:t>
      </w:r>
      <w:r>
        <w:rPr>
          <w:sz w:val="20"/>
        </w:rPr>
        <w:t>arrange</w:t>
      </w:r>
      <w:r>
        <w:rPr>
          <w:spacing w:val="-8"/>
          <w:sz w:val="20"/>
        </w:rPr>
        <w:t> </w:t>
      </w:r>
      <w:r>
        <w:rPr>
          <w:sz w:val="20"/>
        </w:rPr>
        <w:t>visits</w:t>
      </w:r>
      <w:r>
        <w:rPr>
          <w:spacing w:val="-11"/>
          <w:sz w:val="20"/>
        </w:rPr>
        <w:t> </w:t>
      </w:r>
      <w:r>
        <w:rPr>
          <w:sz w:val="20"/>
        </w:rPr>
        <w:t>of</w:t>
      </w:r>
      <w:r>
        <w:rPr>
          <w:spacing w:val="-13"/>
          <w:sz w:val="20"/>
        </w:rPr>
        <w:t> </w:t>
      </w:r>
      <w:r>
        <w:rPr>
          <w:sz w:val="20"/>
        </w:rPr>
        <w:t>diplomatic</w:t>
      </w:r>
      <w:r>
        <w:rPr>
          <w:spacing w:val="-11"/>
          <w:sz w:val="20"/>
        </w:rPr>
        <w:t> </w:t>
      </w:r>
      <w:r>
        <w:rPr>
          <w:sz w:val="20"/>
        </w:rPr>
        <w:t>communities and civil society organizations. Specific</w:t>
      </w:r>
      <w:r>
        <w:rPr>
          <w:spacing w:val="-3"/>
          <w:sz w:val="20"/>
        </w:rPr>
        <w:t> </w:t>
      </w:r>
      <w:r>
        <w:rPr>
          <w:sz w:val="20"/>
        </w:rPr>
        <w:t>information</w:t>
      </w:r>
      <w:r>
        <w:rPr>
          <w:spacing w:val="-5"/>
          <w:sz w:val="20"/>
        </w:rPr>
        <w:t> </w:t>
      </w:r>
      <w:r>
        <w:rPr>
          <w:sz w:val="20"/>
        </w:rPr>
        <w:t>about the work of the</w:t>
      </w:r>
      <w:r>
        <w:rPr>
          <w:spacing w:val="-3"/>
          <w:sz w:val="20"/>
        </w:rPr>
        <w:t> </w:t>
      </w:r>
      <w:r>
        <w:rPr>
          <w:sz w:val="20"/>
        </w:rPr>
        <w:t>TFV needs</w:t>
      </w:r>
      <w:r>
        <w:rPr>
          <w:spacing w:val="-1"/>
          <w:sz w:val="20"/>
        </w:rPr>
        <w:t> </w:t>
      </w:r>
      <w:r>
        <w:rPr>
          <w:sz w:val="20"/>
        </w:rPr>
        <w:t>to be produced</w:t>
      </w:r>
      <w:r>
        <w:rPr>
          <w:spacing w:val="-13"/>
          <w:sz w:val="20"/>
        </w:rPr>
        <w:t> </w:t>
      </w:r>
      <w:r>
        <w:rPr>
          <w:sz w:val="20"/>
        </w:rPr>
        <w:t>and</w:t>
      </w:r>
      <w:r>
        <w:rPr>
          <w:spacing w:val="-11"/>
          <w:sz w:val="20"/>
        </w:rPr>
        <w:t> </w:t>
      </w:r>
      <w:r>
        <w:rPr>
          <w:sz w:val="20"/>
        </w:rPr>
        <w:t>disseminated</w:t>
      </w:r>
      <w:r>
        <w:rPr>
          <w:spacing w:val="-13"/>
          <w:sz w:val="20"/>
        </w:rPr>
        <w:t> </w:t>
      </w:r>
      <w:r>
        <w:rPr>
          <w:sz w:val="20"/>
        </w:rPr>
        <w:t>by</w:t>
      </w:r>
      <w:r>
        <w:rPr>
          <w:spacing w:val="-10"/>
          <w:sz w:val="20"/>
        </w:rPr>
        <w:t> </w:t>
      </w:r>
      <w:r>
        <w:rPr>
          <w:sz w:val="20"/>
        </w:rPr>
        <w:t>the</w:t>
      </w:r>
      <w:r>
        <w:rPr>
          <w:spacing w:val="-15"/>
          <w:sz w:val="20"/>
        </w:rPr>
        <w:t> </w:t>
      </w:r>
      <w:r>
        <w:rPr>
          <w:sz w:val="20"/>
        </w:rPr>
        <w:t>TFV.</w:t>
      </w:r>
      <w:r>
        <w:rPr>
          <w:spacing w:val="-11"/>
          <w:sz w:val="20"/>
        </w:rPr>
        <w:t> </w:t>
      </w:r>
      <w:r>
        <w:rPr>
          <w:sz w:val="20"/>
        </w:rPr>
        <w:t>Again,</w:t>
      </w:r>
      <w:r>
        <w:rPr>
          <w:spacing w:val="-11"/>
          <w:sz w:val="20"/>
        </w:rPr>
        <w:t> </w:t>
      </w:r>
      <w:r>
        <w:rPr>
          <w:sz w:val="20"/>
        </w:rPr>
        <w:t>this</w:t>
      </w:r>
      <w:r>
        <w:rPr>
          <w:spacing w:val="-14"/>
          <w:sz w:val="20"/>
        </w:rPr>
        <w:t> </w:t>
      </w:r>
      <w:r>
        <w:rPr>
          <w:sz w:val="20"/>
        </w:rPr>
        <w:t>is</w:t>
      </w:r>
      <w:r>
        <w:rPr>
          <w:spacing w:val="-14"/>
          <w:sz w:val="20"/>
        </w:rPr>
        <w:t> </w:t>
      </w:r>
      <w:r>
        <w:rPr>
          <w:sz w:val="20"/>
        </w:rPr>
        <w:t>at</w:t>
      </w:r>
      <w:r>
        <w:rPr>
          <w:spacing w:val="-12"/>
          <w:sz w:val="20"/>
        </w:rPr>
        <w:t> </w:t>
      </w:r>
      <w:r>
        <w:rPr>
          <w:sz w:val="20"/>
        </w:rPr>
        <w:t>the</w:t>
      </w:r>
      <w:r>
        <w:rPr>
          <w:spacing w:val="-11"/>
          <w:sz w:val="20"/>
        </w:rPr>
        <w:t> </w:t>
      </w:r>
      <w:r>
        <w:rPr>
          <w:sz w:val="20"/>
        </w:rPr>
        <w:t>core</w:t>
      </w:r>
      <w:r>
        <w:rPr>
          <w:spacing w:val="-12"/>
          <w:sz w:val="20"/>
        </w:rPr>
        <w:t> </w:t>
      </w:r>
      <w:r>
        <w:rPr>
          <w:sz w:val="20"/>
        </w:rPr>
        <w:t>of</w:t>
      </w:r>
      <w:r>
        <w:rPr>
          <w:spacing w:val="-13"/>
          <w:sz w:val="20"/>
        </w:rPr>
        <w:t> </w:t>
      </w:r>
      <w:r>
        <w:rPr>
          <w:sz w:val="20"/>
        </w:rPr>
        <w:t>the</w:t>
      </w:r>
      <w:r>
        <w:rPr>
          <w:spacing w:val="-12"/>
          <w:sz w:val="20"/>
        </w:rPr>
        <w:t> </w:t>
      </w:r>
      <w:r>
        <w:rPr>
          <w:sz w:val="20"/>
        </w:rPr>
        <w:t>TFVs</w:t>
      </w:r>
      <w:r>
        <w:rPr>
          <w:spacing w:val="-10"/>
          <w:sz w:val="20"/>
        </w:rPr>
        <w:t> </w:t>
      </w:r>
      <w:r>
        <w:rPr>
          <w:sz w:val="20"/>
        </w:rPr>
        <w:t>responsibilities.</w:t>
      </w:r>
    </w:p>
    <w:p>
      <w:pPr>
        <w:pStyle w:val="ListParagraph"/>
        <w:numPr>
          <w:ilvl w:val="0"/>
          <w:numId w:val="4"/>
        </w:numPr>
        <w:tabs>
          <w:tab w:pos="2967" w:val="left" w:leader="none"/>
        </w:tabs>
        <w:spacing w:line="240" w:lineRule="auto" w:before="117" w:after="0"/>
        <w:ind w:left="2246" w:right="2241" w:firstLine="0"/>
        <w:jc w:val="both"/>
        <w:rPr>
          <w:sz w:val="20"/>
        </w:rPr>
      </w:pPr>
      <w:r>
        <w:rPr>
          <w:sz w:val="20"/>
        </w:rPr>
        <w:t>The TFV has had a number of short-term staff and IVPs working under the supervision</w:t>
      </w:r>
      <w:r>
        <w:rPr>
          <w:spacing w:val="80"/>
          <w:sz w:val="20"/>
        </w:rPr>
        <w:t> </w:t>
      </w:r>
      <w:r>
        <w:rPr>
          <w:sz w:val="20"/>
        </w:rPr>
        <w:t>of</w:t>
      </w:r>
      <w:r>
        <w:rPr>
          <w:spacing w:val="80"/>
          <w:sz w:val="20"/>
        </w:rPr>
        <w:t> </w:t>
      </w:r>
      <w:r>
        <w:rPr>
          <w:sz w:val="20"/>
        </w:rPr>
        <w:t>the</w:t>
      </w:r>
      <w:r>
        <w:rPr>
          <w:spacing w:val="80"/>
          <w:sz w:val="20"/>
        </w:rPr>
        <w:t> </w:t>
      </w:r>
      <w:r>
        <w:rPr>
          <w:sz w:val="20"/>
        </w:rPr>
        <w:t>Fundraising</w:t>
      </w:r>
      <w:r>
        <w:rPr>
          <w:spacing w:val="80"/>
          <w:sz w:val="20"/>
        </w:rPr>
        <w:t> </w:t>
      </w:r>
      <w:r>
        <w:rPr>
          <w:sz w:val="20"/>
        </w:rPr>
        <w:t>and</w:t>
      </w:r>
      <w:r>
        <w:rPr>
          <w:spacing w:val="80"/>
          <w:sz w:val="20"/>
        </w:rPr>
        <w:t> </w:t>
      </w:r>
      <w:r>
        <w:rPr>
          <w:sz w:val="20"/>
        </w:rPr>
        <w:t>Visibility</w:t>
      </w:r>
      <w:r>
        <w:rPr>
          <w:spacing w:val="80"/>
          <w:sz w:val="20"/>
        </w:rPr>
        <w:t> </w:t>
      </w:r>
      <w:r>
        <w:rPr>
          <w:sz w:val="20"/>
        </w:rPr>
        <w:t>Officer</w:t>
      </w:r>
      <w:r>
        <w:rPr>
          <w:spacing w:val="80"/>
          <w:sz w:val="20"/>
        </w:rPr>
        <w:t> </w:t>
      </w:r>
      <w:r>
        <w:rPr>
          <w:sz w:val="20"/>
        </w:rPr>
        <w:t>(e.g.</w:t>
      </w:r>
      <w:r>
        <w:rPr>
          <w:spacing w:val="80"/>
          <w:sz w:val="20"/>
        </w:rPr>
        <w:t> </w:t>
      </w:r>
      <w:r>
        <w:rPr>
          <w:sz w:val="20"/>
        </w:rPr>
        <w:t>to</w:t>
      </w:r>
      <w:r>
        <w:rPr>
          <w:spacing w:val="80"/>
          <w:sz w:val="20"/>
        </w:rPr>
        <w:t> </w:t>
      </w:r>
      <w:r>
        <w:rPr>
          <w:sz w:val="20"/>
        </w:rPr>
        <w:t>update</w:t>
      </w:r>
      <w:r>
        <w:rPr>
          <w:spacing w:val="80"/>
          <w:sz w:val="20"/>
        </w:rPr>
        <w:t> </w:t>
      </w:r>
      <w:r>
        <w:rPr>
          <w:sz w:val="20"/>
        </w:rPr>
        <w:t>the</w:t>
      </w:r>
      <w:r>
        <w:rPr>
          <w:spacing w:val="80"/>
          <w:sz w:val="20"/>
        </w:rPr>
        <w:t> </w:t>
      </w:r>
      <w:r>
        <w:rPr>
          <w:sz w:val="20"/>
        </w:rPr>
        <w:t>website in 2020-2021) or the Associate Executive Officer (e.g. on social media). While this arrangement made it possible to address certain shortcomings, relying only on short-term support</w:t>
      </w:r>
      <w:r>
        <w:rPr>
          <w:spacing w:val="-2"/>
          <w:sz w:val="20"/>
        </w:rPr>
        <w:t> </w:t>
      </w:r>
      <w:r>
        <w:rPr>
          <w:sz w:val="20"/>
        </w:rPr>
        <w:t>rather</w:t>
      </w:r>
      <w:r>
        <w:rPr>
          <w:spacing w:val="-4"/>
          <w:sz w:val="20"/>
        </w:rPr>
        <w:t> </w:t>
      </w:r>
      <w:r>
        <w:rPr>
          <w:sz w:val="20"/>
        </w:rPr>
        <w:t>than</w:t>
      </w:r>
      <w:r>
        <w:rPr>
          <w:spacing w:val="-4"/>
          <w:sz w:val="20"/>
        </w:rPr>
        <w:t> </w:t>
      </w:r>
      <w:r>
        <w:rPr>
          <w:sz w:val="20"/>
        </w:rPr>
        <w:t>on</w:t>
      </w:r>
      <w:r>
        <w:rPr>
          <w:spacing w:val="-4"/>
          <w:sz w:val="20"/>
        </w:rPr>
        <w:t> </w:t>
      </w:r>
      <w:r>
        <w:rPr>
          <w:sz w:val="20"/>
        </w:rPr>
        <w:t>a</w:t>
      </w:r>
      <w:r>
        <w:rPr>
          <w:spacing w:val="-2"/>
          <w:sz w:val="20"/>
        </w:rPr>
        <w:t> </w:t>
      </w:r>
      <w:r>
        <w:rPr>
          <w:sz w:val="20"/>
        </w:rPr>
        <w:t>dedicated</w:t>
      </w:r>
      <w:r>
        <w:rPr>
          <w:spacing w:val="-4"/>
          <w:sz w:val="20"/>
        </w:rPr>
        <w:t> </w:t>
      </w:r>
      <w:r>
        <w:rPr>
          <w:sz w:val="20"/>
        </w:rPr>
        <w:t>staff</w:t>
      </w:r>
      <w:r>
        <w:rPr>
          <w:spacing w:val="-4"/>
          <w:sz w:val="20"/>
        </w:rPr>
        <w:t> </w:t>
      </w:r>
      <w:r>
        <w:rPr>
          <w:sz w:val="20"/>
        </w:rPr>
        <w:t>resource</w:t>
      </w:r>
      <w:r>
        <w:rPr>
          <w:spacing w:val="-7"/>
          <w:sz w:val="20"/>
        </w:rPr>
        <w:t> </w:t>
      </w:r>
      <w:r>
        <w:rPr>
          <w:sz w:val="20"/>
        </w:rPr>
        <w:t>cannot</w:t>
      </w:r>
      <w:r>
        <w:rPr>
          <w:spacing w:val="-7"/>
          <w:sz w:val="20"/>
        </w:rPr>
        <w:t> </w:t>
      </w:r>
      <w:r>
        <w:rPr>
          <w:sz w:val="20"/>
        </w:rPr>
        <w:t>create sustainable</w:t>
      </w:r>
      <w:r>
        <w:rPr>
          <w:spacing w:val="-7"/>
          <w:sz w:val="20"/>
        </w:rPr>
        <w:t> </w:t>
      </w:r>
      <w:r>
        <w:rPr>
          <w:sz w:val="20"/>
        </w:rPr>
        <w:t>information</w:t>
      </w:r>
      <w:r>
        <w:rPr>
          <w:spacing w:val="-4"/>
          <w:sz w:val="20"/>
        </w:rPr>
        <w:t> </w:t>
      </w:r>
      <w:r>
        <w:rPr>
          <w:sz w:val="20"/>
        </w:rPr>
        <w:t>flows or lead to a reliable stream of information, either within the TFV or to the outside.</w:t>
      </w:r>
    </w:p>
    <w:p>
      <w:pPr>
        <w:pStyle w:val="ListParagraph"/>
        <w:numPr>
          <w:ilvl w:val="0"/>
          <w:numId w:val="4"/>
        </w:numPr>
        <w:tabs>
          <w:tab w:pos="2967" w:val="left" w:leader="none"/>
        </w:tabs>
        <w:spacing w:line="240" w:lineRule="auto" w:before="123" w:after="0"/>
        <w:ind w:left="2246" w:right="2247" w:firstLine="0"/>
        <w:jc w:val="both"/>
        <w:rPr>
          <w:sz w:val="20"/>
        </w:rPr>
      </w:pPr>
      <w:r>
        <w:rPr>
          <w:sz w:val="20"/>
        </w:rPr>
        <w:t>Accordingly,</w:t>
      </w:r>
      <w:r>
        <w:rPr>
          <w:spacing w:val="-12"/>
          <w:sz w:val="20"/>
        </w:rPr>
        <w:t> </w:t>
      </w:r>
      <w:r>
        <w:rPr>
          <w:sz w:val="20"/>
        </w:rPr>
        <w:t>a</w:t>
      </w:r>
      <w:r>
        <w:rPr>
          <w:spacing w:val="-3"/>
          <w:sz w:val="20"/>
        </w:rPr>
        <w:t> </w:t>
      </w:r>
      <w:r>
        <w:rPr>
          <w:sz w:val="20"/>
        </w:rPr>
        <w:t>position</w:t>
      </w:r>
      <w:r>
        <w:rPr>
          <w:spacing w:val="-9"/>
          <w:sz w:val="20"/>
        </w:rPr>
        <w:t> </w:t>
      </w:r>
      <w:r>
        <w:rPr>
          <w:sz w:val="20"/>
        </w:rPr>
        <w:t>fully</w:t>
      </w:r>
      <w:r>
        <w:rPr>
          <w:spacing w:val="-9"/>
          <w:sz w:val="20"/>
        </w:rPr>
        <w:t> </w:t>
      </w:r>
      <w:r>
        <w:rPr>
          <w:sz w:val="20"/>
        </w:rPr>
        <w:t>dedicated</w:t>
      </w:r>
      <w:r>
        <w:rPr>
          <w:spacing w:val="-9"/>
          <w:sz w:val="20"/>
        </w:rPr>
        <w:t> </w:t>
      </w:r>
      <w:r>
        <w:rPr>
          <w:sz w:val="20"/>
        </w:rPr>
        <w:t>to</w:t>
      </w:r>
      <w:r>
        <w:rPr>
          <w:spacing w:val="-9"/>
          <w:sz w:val="20"/>
        </w:rPr>
        <w:t> </w:t>
      </w:r>
      <w:r>
        <w:rPr>
          <w:sz w:val="20"/>
        </w:rPr>
        <w:t>publicizing</w:t>
      </w:r>
      <w:r>
        <w:rPr>
          <w:spacing w:val="-9"/>
          <w:sz w:val="20"/>
        </w:rPr>
        <w:t> </w:t>
      </w:r>
      <w:r>
        <w:rPr>
          <w:sz w:val="20"/>
        </w:rPr>
        <w:t>the</w:t>
      </w:r>
      <w:r>
        <w:rPr>
          <w:spacing w:val="-8"/>
          <w:sz w:val="20"/>
        </w:rPr>
        <w:t> </w:t>
      </w:r>
      <w:r>
        <w:rPr>
          <w:sz w:val="20"/>
        </w:rPr>
        <w:t>TFV’s</w:t>
      </w:r>
      <w:r>
        <w:rPr>
          <w:spacing w:val="-6"/>
          <w:sz w:val="20"/>
        </w:rPr>
        <w:t> </w:t>
      </w:r>
      <w:r>
        <w:rPr>
          <w:sz w:val="20"/>
        </w:rPr>
        <w:t>work</w:t>
      </w:r>
      <w:r>
        <w:rPr>
          <w:spacing w:val="-9"/>
          <w:sz w:val="20"/>
        </w:rPr>
        <w:t> </w:t>
      </w:r>
      <w:r>
        <w:rPr>
          <w:sz w:val="20"/>
        </w:rPr>
        <w:t>is</w:t>
      </w:r>
      <w:r>
        <w:rPr>
          <w:spacing w:val="-11"/>
          <w:sz w:val="20"/>
        </w:rPr>
        <w:t> </w:t>
      </w:r>
      <w:r>
        <w:rPr>
          <w:sz w:val="20"/>
        </w:rPr>
        <w:t>required</w:t>
      </w:r>
      <w:r>
        <w:rPr>
          <w:spacing w:val="-9"/>
          <w:sz w:val="20"/>
        </w:rPr>
        <w:t> </w:t>
      </w:r>
      <w:r>
        <w:rPr>
          <w:sz w:val="20"/>
        </w:rPr>
        <w:t>to ensure</w:t>
      </w:r>
      <w:r>
        <w:rPr>
          <w:spacing w:val="-7"/>
          <w:sz w:val="20"/>
        </w:rPr>
        <w:t> </w:t>
      </w:r>
      <w:r>
        <w:rPr>
          <w:sz w:val="20"/>
        </w:rPr>
        <w:t>a</w:t>
      </w:r>
      <w:r>
        <w:rPr>
          <w:spacing w:val="-2"/>
          <w:sz w:val="20"/>
        </w:rPr>
        <w:t> </w:t>
      </w:r>
      <w:r>
        <w:rPr>
          <w:sz w:val="20"/>
        </w:rPr>
        <w:t>constant</w:t>
      </w:r>
      <w:r>
        <w:rPr>
          <w:spacing w:val="-2"/>
          <w:sz w:val="20"/>
        </w:rPr>
        <w:t> </w:t>
      </w:r>
      <w:r>
        <w:rPr>
          <w:sz w:val="20"/>
        </w:rPr>
        <w:t>stream</w:t>
      </w:r>
      <w:r>
        <w:rPr>
          <w:spacing w:val="-2"/>
          <w:sz w:val="20"/>
        </w:rPr>
        <w:t> </w:t>
      </w:r>
      <w:r>
        <w:rPr>
          <w:sz w:val="20"/>
        </w:rPr>
        <w:t>of</w:t>
      </w:r>
      <w:r>
        <w:rPr>
          <w:spacing w:val="-4"/>
          <w:sz w:val="20"/>
        </w:rPr>
        <w:t> </w:t>
      </w:r>
      <w:r>
        <w:rPr>
          <w:sz w:val="20"/>
        </w:rPr>
        <w:t>information</w:t>
      </w:r>
      <w:r>
        <w:rPr>
          <w:spacing w:val="-4"/>
          <w:sz w:val="20"/>
        </w:rPr>
        <w:t> </w:t>
      </w:r>
      <w:r>
        <w:rPr>
          <w:sz w:val="20"/>
        </w:rPr>
        <w:t>to</w:t>
      </w:r>
      <w:r>
        <w:rPr>
          <w:spacing w:val="-4"/>
          <w:sz w:val="20"/>
        </w:rPr>
        <w:t> </w:t>
      </w:r>
      <w:r>
        <w:rPr>
          <w:sz w:val="20"/>
        </w:rPr>
        <w:t>the public</w:t>
      </w:r>
      <w:r>
        <w:rPr>
          <w:spacing w:val="-2"/>
          <w:sz w:val="20"/>
        </w:rPr>
        <w:t> </w:t>
      </w:r>
      <w:r>
        <w:rPr>
          <w:sz w:val="20"/>
        </w:rPr>
        <w:t>sphere</w:t>
      </w:r>
      <w:r>
        <w:rPr>
          <w:spacing w:val="-7"/>
          <w:sz w:val="20"/>
        </w:rPr>
        <w:t> </w:t>
      </w:r>
      <w:r>
        <w:rPr>
          <w:sz w:val="20"/>
        </w:rPr>
        <w:t>and</w:t>
      </w:r>
      <w:r>
        <w:rPr>
          <w:spacing w:val="-4"/>
          <w:sz w:val="20"/>
        </w:rPr>
        <w:t> </w:t>
      </w:r>
      <w:r>
        <w:rPr>
          <w:sz w:val="20"/>
        </w:rPr>
        <w:t>make</w:t>
      </w:r>
      <w:r>
        <w:rPr>
          <w:spacing w:val="-7"/>
          <w:sz w:val="20"/>
        </w:rPr>
        <w:t> </w:t>
      </w:r>
      <w:r>
        <w:rPr>
          <w:sz w:val="20"/>
        </w:rPr>
        <w:t>information</w:t>
      </w:r>
      <w:r>
        <w:rPr>
          <w:spacing w:val="-8"/>
          <w:sz w:val="20"/>
        </w:rPr>
        <w:t> </w:t>
      </w:r>
      <w:r>
        <w:rPr>
          <w:sz w:val="20"/>
        </w:rPr>
        <w:t>available to current and potential donors.</w:t>
      </w:r>
    </w:p>
    <w:p>
      <w:pPr>
        <w:pStyle w:val="ListParagraph"/>
        <w:numPr>
          <w:ilvl w:val="0"/>
          <w:numId w:val="4"/>
        </w:numPr>
        <w:tabs>
          <w:tab w:pos="2967" w:val="left" w:leader="none"/>
        </w:tabs>
        <w:spacing w:line="240" w:lineRule="auto" w:before="121" w:after="0"/>
        <w:ind w:left="2246" w:right="2242" w:firstLine="0"/>
        <w:jc w:val="both"/>
        <w:rPr>
          <w:sz w:val="20"/>
        </w:rPr>
      </w:pPr>
      <w:r>
        <w:rPr>
          <w:sz w:val="20"/>
        </w:rPr>
        <w:t>The new Associate Communications Officer</w:t>
      </w:r>
      <w:r>
        <w:rPr>
          <w:spacing w:val="-1"/>
          <w:sz w:val="20"/>
        </w:rPr>
        <w:t> </w:t>
      </w:r>
      <w:r>
        <w:rPr>
          <w:sz w:val="20"/>
        </w:rPr>
        <w:t>(P-2)</w:t>
      </w:r>
      <w:r>
        <w:rPr>
          <w:spacing w:val="-1"/>
          <w:sz w:val="20"/>
        </w:rPr>
        <w:t> </w:t>
      </w:r>
      <w:r>
        <w:rPr>
          <w:sz w:val="20"/>
        </w:rPr>
        <w:t>will be responsible for</w:t>
      </w:r>
      <w:r>
        <w:rPr>
          <w:spacing w:val="-1"/>
          <w:sz w:val="20"/>
        </w:rPr>
        <w:t> </w:t>
      </w:r>
      <w:r>
        <w:rPr>
          <w:sz w:val="20"/>
        </w:rPr>
        <w:t>ensuring constant</w:t>
      </w:r>
      <w:r>
        <w:rPr>
          <w:spacing w:val="-12"/>
          <w:sz w:val="20"/>
        </w:rPr>
        <w:t> </w:t>
      </w:r>
      <w:r>
        <w:rPr>
          <w:sz w:val="20"/>
        </w:rPr>
        <w:t>communication</w:t>
      </w:r>
      <w:r>
        <w:rPr>
          <w:spacing w:val="-8"/>
          <w:sz w:val="20"/>
        </w:rPr>
        <w:t> </w:t>
      </w:r>
      <w:r>
        <w:rPr>
          <w:sz w:val="20"/>
        </w:rPr>
        <w:t>about</w:t>
      </w:r>
      <w:r>
        <w:rPr>
          <w:spacing w:val="-12"/>
          <w:sz w:val="20"/>
        </w:rPr>
        <w:t> </w:t>
      </w:r>
      <w:r>
        <w:rPr>
          <w:sz w:val="20"/>
        </w:rPr>
        <w:t>the</w:t>
      </w:r>
      <w:r>
        <w:rPr>
          <w:spacing w:val="-11"/>
          <w:sz w:val="20"/>
        </w:rPr>
        <w:t> </w:t>
      </w:r>
      <w:r>
        <w:rPr>
          <w:sz w:val="20"/>
        </w:rPr>
        <w:t>activities</w:t>
      </w:r>
      <w:r>
        <w:rPr>
          <w:spacing w:val="-10"/>
          <w:sz w:val="20"/>
        </w:rPr>
        <w:t> </w:t>
      </w:r>
      <w:r>
        <w:rPr>
          <w:sz w:val="20"/>
        </w:rPr>
        <w:t>of</w:t>
      </w:r>
      <w:r>
        <w:rPr>
          <w:spacing w:val="-13"/>
          <w:sz w:val="20"/>
        </w:rPr>
        <w:t> </w:t>
      </w:r>
      <w:r>
        <w:rPr>
          <w:sz w:val="20"/>
        </w:rPr>
        <w:t>the</w:t>
      </w:r>
      <w:r>
        <w:rPr>
          <w:spacing w:val="-10"/>
          <w:sz w:val="20"/>
        </w:rPr>
        <w:t> </w:t>
      </w:r>
      <w:r>
        <w:rPr>
          <w:sz w:val="20"/>
        </w:rPr>
        <w:t>Trust</w:t>
      </w:r>
      <w:r>
        <w:rPr>
          <w:spacing w:val="-7"/>
          <w:sz w:val="20"/>
        </w:rPr>
        <w:t> </w:t>
      </w:r>
      <w:r>
        <w:rPr>
          <w:sz w:val="20"/>
        </w:rPr>
        <w:t>Fund</w:t>
      </w:r>
      <w:r>
        <w:rPr>
          <w:spacing w:val="-8"/>
          <w:sz w:val="20"/>
        </w:rPr>
        <w:t> </w:t>
      </w:r>
      <w:r>
        <w:rPr>
          <w:sz w:val="20"/>
        </w:rPr>
        <w:t>and</w:t>
      </w:r>
      <w:r>
        <w:rPr>
          <w:spacing w:val="-8"/>
          <w:sz w:val="20"/>
        </w:rPr>
        <w:t> </w:t>
      </w:r>
      <w:r>
        <w:rPr>
          <w:sz w:val="20"/>
        </w:rPr>
        <w:t>its</w:t>
      </w:r>
      <w:r>
        <w:rPr>
          <w:spacing w:val="-10"/>
          <w:sz w:val="20"/>
        </w:rPr>
        <w:t> </w:t>
      </w:r>
      <w:r>
        <w:rPr>
          <w:sz w:val="20"/>
        </w:rPr>
        <w:t>implementing</w:t>
      </w:r>
      <w:r>
        <w:rPr>
          <w:spacing w:val="-8"/>
          <w:sz w:val="20"/>
        </w:rPr>
        <w:t> </w:t>
      </w:r>
      <w:r>
        <w:rPr>
          <w:sz w:val="20"/>
        </w:rPr>
        <w:t>partners, establishing</w:t>
      </w:r>
      <w:r>
        <w:rPr>
          <w:spacing w:val="-2"/>
          <w:sz w:val="20"/>
        </w:rPr>
        <w:t> </w:t>
      </w:r>
      <w:r>
        <w:rPr>
          <w:sz w:val="20"/>
        </w:rPr>
        <w:t>processes</w:t>
      </w:r>
      <w:r>
        <w:rPr>
          <w:spacing w:val="-5"/>
          <w:sz w:val="20"/>
        </w:rPr>
        <w:t> </w:t>
      </w:r>
      <w:r>
        <w:rPr>
          <w:sz w:val="20"/>
        </w:rPr>
        <w:t>internally</w:t>
      </w:r>
      <w:r>
        <w:rPr>
          <w:spacing w:val="-8"/>
          <w:sz w:val="20"/>
        </w:rPr>
        <w:t> </w:t>
      </w:r>
      <w:r>
        <w:rPr>
          <w:sz w:val="20"/>
        </w:rPr>
        <w:t>and</w:t>
      </w:r>
      <w:r>
        <w:rPr>
          <w:spacing w:val="-4"/>
          <w:sz w:val="20"/>
        </w:rPr>
        <w:t> </w:t>
      </w:r>
      <w:r>
        <w:rPr>
          <w:sz w:val="20"/>
        </w:rPr>
        <w:t>with</w:t>
      </w:r>
      <w:r>
        <w:rPr>
          <w:spacing w:val="-4"/>
          <w:sz w:val="20"/>
        </w:rPr>
        <w:t> </w:t>
      </w:r>
      <w:r>
        <w:rPr>
          <w:sz w:val="20"/>
        </w:rPr>
        <w:t>partners</w:t>
      </w:r>
      <w:r>
        <w:rPr>
          <w:spacing w:val="-5"/>
          <w:sz w:val="20"/>
        </w:rPr>
        <w:t> </w:t>
      </w:r>
      <w:r>
        <w:rPr>
          <w:sz w:val="20"/>
        </w:rPr>
        <w:t>to</w:t>
      </w:r>
      <w:r>
        <w:rPr>
          <w:spacing w:val="-4"/>
          <w:sz w:val="20"/>
        </w:rPr>
        <w:t> </w:t>
      </w:r>
      <w:r>
        <w:rPr>
          <w:sz w:val="20"/>
        </w:rPr>
        <w:t>make</w:t>
      </w:r>
      <w:r>
        <w:rPr>
          <w:spacing w:val="-2"/>
          <w:sz w:val="20"/>
        </w:rPr>
        <w:t> </w:t>
      </w:r>
      <w:r>
        <w:rPr>
          <w:sz w:val="20"/>
        </w:rPr>
        <w:t>relevant</w:t>
      </w:r>
      <w:r>
        <w:rPr>
          <w:spacing w:val="-2"/>
          <w:sz w:val="20"/>
        </w:rPr>
        <w:t> </w:t>
      </w:r>
      <w:r>
        <w:rPr>
          <w:sz w:val="20"/>
        </w:rPr>
        <w:t>information</w:t>
      </w:r>
      <w:r>
        <w:rPr>
          <w:spacing w:val="-8"/>
          <w:sz w:val="20"/>
        </w:rPr>
        <w:t> </w:t>
      </w:r>
      <w:r>
        <w:rPr>
          <w:sz w:val="20"/>
        </w:rPr>
        <w:t>available</w:t>
      </w:r>
      <w:r>
        <w:rPr>
          <w:spacing w:val="-2"/>
          <w:sz w:val="20"/>
        </w:rPr>
        <w:t> </w:t>
      </w:r>
      <w:r>
        <w:rPr>
          <w:sz w:val="20"/>
        </w:rPr>
        <w:t>in a timely manner, and enhancing the visibility of the Trust Fund’s activities in the public sphere.</w:t>
      </w:r>
      <w:r>
        <w:rPr>
          <w:spacing w:val="-2"/>
          <w:sz w:val="20"/>
        </w:rPr>
        <w:t> </w:t>
      </w:r>
      <w:r>
        <w:rPr>
          <w:sz w:val="20"/>
        </w:rPr>
        <w:t>The</w:t>
      </w:r>
      <w:r>
        <w:rPr>
          <w:spacing w:val="-3"/>
          <w:sz w:val="20"/>
        </w:rPr>
        <w:t> </w:t>
      </w:r>
      <w:r>
        <w:rPr>
          <w:sz w:val="20"/>
        </w:rPr>
        <w:t>incumbent will</w:t>
      </w:r>
      <w:r>
        <w:rPr>
          <w:spacing w:val="-3"/>
          <w:sz w:val="20"/>
        </w:rPr>
        <w:t> </w:t>
      </w:r>
      <w:r>
        <w:rPr>
          <w:sz w:val="20"/>
        </w:rPr>
        <w:t>produce</w:t>
      </w:r>
      <w:r>
        <w:rPr>
          <w:spacing w:val="-3"/>
          <w:sz w:val="20"/>
        </w:rPr>
        <w:t> </w:t>
      </w:r>
      <w:r>
        <w:rPr>
          <w:sz w:val="20"/>
        </w:rPr>
        <w:t>and disseminate a</w:t>
      </w:r>
      <w:r>
        <w:rPr>
          <w:spacing w:val="-3"/>
          <w:sz w:val="20"/>
        </w:rPr>
        <w:t> </w:t>
      </w:r>
      <w:r>
        <w:rPr>
          <w:sz w:val="20"/>
        </w:rPr>
        <w:t>range</w:t>
      </w:r>
      <w:r>
        <w:rPr>
          <w:spacing w:val="-8"/>
          <w:sz w:val="20"/>
        </w:rPr>
        <w:t> </w:t>
      </w:r>
      <w:r>
        <w:rPr>
          <w:sz w:val="20"/>
        </w:rPr>
        <w:t>of information/communication products</w:t>
      </w:r>
      <w:r>
        <w:rPr>
          <w:spacing w:val="-13"/>
          <w:sz w:val="20"/>
        </w:rPr>
        <w:t> </w:t>
      </w:r>
      <w:r>
        <w:rPr>
          <w:sz w:val="20"/>
        </w:rPr>
        <w:t>on</w:t>
      </w:r>
      <w:r>
        <w:rPr>
          <w:spacing w:val="-9"/>
          <w:sz w:val="20"/>
        </w:rPr>
        <w:t> </w:t>
      </w:r>
      <w:r>
        <w:rPr>
          <w:sz w:val="20"/>
        </w:rPr>
        <w:t>digital</w:t>
      </w:r>
      <w:r>
        <w:rPr>
          <w:spacing w:val="-8"/>
          <w:sz w:val="20"/>
        </w:rPr>
        <w:t> </w:t>
      </w:r>
      <w:r>
        <w:rPr>
          <w:sz w:val="20"/>
        </w:rPr>
        <w:t>communications</w:t>
      </w:r>
      <w:r>
        <w:rPr>
          <w:spacing w:val="-11"/>
          <w:sz w:val="20"/>
        </w:rPr>
        <w:t> </w:t>
      </w:r>
      <w:r>
        <w:rPr>
          <w:sz w:val="20"/>
        </w:rPr>
        <w:t>platforms;</w:t>
      </w:r>
      <w:r>
        <w:rPr>
          <w:spacing w:val="-13"/>
          <w:sz w:val="20"/>
        </w:rPr>
        <w:t> </w:t>
      </w:r>
      <w:r>
        <w:rPr>
          <w:sz w:val="20"/>
        </w:rPr>
        <w:t>contribute</w:t>
      </w:r>
      <w:r>
        <w:rPr>
          <w:spacing w:val="-12"/>
          <w:sz w:val="20"/>
        </w:rPr>
        <w:t> </w:t>
      </w:r>
      <w:r>
        <w:rPr>
          <w:sz w:val="20"/>
        </w:rPr>
        <w:t>to</w:t>
      </w:r>
      <w:r>
        <w:rPr>
          <w:spacing w:val="-13"/>
          <w:sz w:val="20"/>
        </w:rPr>
        <w:t> </w:t>
      </w:r>
      <w:r>
        <w:rPr>
          <w:sz w:val="20"/>
        </w:rPr>
        <w:t>the</w:t>
      </w:r>
      <w:r>
        <w:rPr>
          <w:spacing w:val="-8"/>
          <w:sz w:val="20"/>
        </w:rPr>
        <w:t> </w:t>
      </w:r>
      <w:r>
        <w:rPr>
          <w:sz w:val="20"/>
        </w:rPr>
        <w:t>development</w:t>
      </w:r>
      <w:r>
        <w:rPr>
          <w:spacing w:val="-8"/>
          <w:sz w:val="20"/>
        </w:rPr>
        <w:t> </w:t>
      </w:r>
      <w:r>
        <w:rPr>
          <w:sz w:val="20"/>
        </w:rPr>
        <w:t>and</w:t>
      </w:r>
      <w:r>
        <w:rPr>
          <w:spacing w:val="-9"/>
          <w:sz w:val="20"/>
        </w:rPr>
        <w:t> </w:t>
      </w:r>
      <w:r>
        <w:rPr>
          <w:sz w:val="20"/>
        </w:rPr>
        <w:t>production of</w:t>
      </w:r>
      <w:r>
        <w:rPr>
          <w:spacing w:val="-5"/>
          <w:sz w:val="20"/>
        </w:rPr>
        <w:t> </w:t>
      </w:r>
      <w:r>
        <w:rPr>
          <w:sz w:val="20"/>
        </w:rPr>
        <w:t>information</w:t>
      </w:r>
      <w:r>
        <w:rPr>
          <w:spacing w:val="-5"/>
          <w:sz w:val="20"/>
        </w:rPr>
        <w:t> </w:t>
      </w:r>
      <w:r>
        <w:rPr>
          <w:sz w:val="20"/>
        </w:rPr>
        <w:t>communication</w:t>
      </w:r>
      <w:r>
        <w:rPr>
          <w:spacing w:val="-8"/>
          <w:sz w:val="20"/>
        </w:rPr>
        <w:t> </w:t>
      </w:r>
      <w:r>
        <w:rPr>
          <w:sz w:val="20"/>
        </w:rPr>
        <w:t>media,</w:t>
      </w:r>
      <w:r>
        <w:rPr>
          <w:spacing w:val="-2"/>
          <w:sz w:val="20"/>
        </w:rPr>
        <w:t> </w:t>
      </w:r>
      <w:r>
        <w:rPr>
          <w:sz w:val="20"/>
        </w:rPr>
        <w:t>such</w:t>
      </w:r>
      <w:r>
        <w:rPr>
          <w:spacing w:val="-5"/>
          <w:sz w:val="20"/>
        </w:rPr>
        <w:t> </w:t>
      </w:r>
      <w:r>
        <w:rPr>
          <w:sz w:val="20"/>
        </w:rPr>
        <w:t>as</w:t>
      </w:r>
      <w:r>
        <w:rPr>
          <w:spacing w:val="-6"/>
          <w:sz w:val="20"/>
        </w:rPr>
        <w:t> </w:t>
      </w:r>
      <w:r>
        <w:rPr>
          <w:sz w:val="20"/>
        </w:rPr>
        <w:t>reports,</w:t>
      </w:r>
      <w:r>
        <w:rPr>
          <w:spacing w:val="-6"/>
          <w:sz w:val="20"/>
        </w:rPr>
        <w:t> </w:t>
      </w:r>
      <w:r>
        <w:rPr>
          <w:sz w:val="20"/>
        </w:rPr>
        <w:t>editorial</w:t>
      </w:r>
      <w:r>
        <w:rPr>
          <w:spacing w:val="-7"/>
          <w:sz w:val="20"/>
        </w:rPr>
        <w:t> </w:t>
      </w:r>
      <w:r>
        <w:rPr>
          <w:sz w:val="20"/>
        </w:rPr>
        <w:t>materials,</w:t>
      </w:r>
      <w:r>
        <w:rPr>
          <w:spacing w:val="-2"/>
          <w:sz w:val="20"/>
        </w:rPr>
        <w:t> </w:t>
      </w:r>
      <w:r>
        <w:rPr>
          <w:sz w:val="20"/>
        </w:rPr>
        <w:t>articles,</w:t>
      </w:r>
      <w:r>
        <w:rPr>
          <w:spacing w:val="-6"/>
          <w:sz w:val="20"/>
        </w:rPr>
        <w:t> </w:t>
      </w:r>
      <w:r>
        <w:rPr>
          <w:sz w:val="20"/>
        </w:rPr>
        <w:t>and</w:t>
      </w:r>
      <w:r>
        <w:rPr>
          <w:spacing w:val="-5"/>
          <w:sz w:val="20"/>
        </w:rPr>
        <w:t> </w:t>
      </w:r>
      <w:r>
        <w:rPr>
          <w:sz w:val="20"/>
        </w:rPr>
        <w:t>video and photo productions; liaise and build media contacts; support advocacy activities and manage events. The post holder will liaise with programme staff in the field, the country offices for outreach activities and PIOS.</w:t>
      </w:r>
    </w:p>
    <w:p>
      <w:pPr>
        <w:spacing w:after="0" w:line="240" w:lineRule="auto"/>
        <w:jc w:val="both"/>
        <w:rPr>
          <w:sz w:val="20"/>
        </w:rPr>
        <w:sectPr>
          <w:pgSz w:w="11910" w:h="16840"/>
          <w:pgMar w:header="953" w:footer="940" w:top="1140" w:bottom="1140" w:left="20" w:right="20"/>
        </w:sectPr>
      </w:pPr>
    </w:p>
    <w:p>
      <w:pPr>
        <w:pStyle w:val="Heading3"/>
        <w:spacing w:before="120"/>
        <w:jc w:val="both"/>
      </w:pPr>
      <w:r>
        <w:rPr/>
        <w:t>Implementation</w:t>
      </w:r>
      <w:r>
        <w:rPr>
          <w:spacing w:val="-6"/>
        </w:rPr>
        <w:t> </w:t>
      </w:r>
      <w:r>
        <w:rPr/>
        <w:t>of</w:t>
      </w:r>
      <w:r>
        <w:rPr>
          <w:spacing w:val="-8"/>
        </w:rPr>
        <w:t> </w:t>
      </w:r>
      <w:r>
        <w:rPr>
          <w:spacing w:val="-2"/>
        </w:rPr>
        <w:t>reparations</w:t>
      </w:r>
    </w:p>
    <w:p>
      <w:pPr>
        <w:pStyle w:val="BodyText"/>
        <w:spacing w:before="10"/>
        <w:rPr>
          <w:b/>
        </w:rPr>
      </w:pPr>
    </w:p>
    <w:p>
      <w:pPr>
        <w:pStyle w:val="ListParagraph"/>
        <w:numPr>
          <w:ilvl w:val="0"/>
          <w:numId w:val="4"/>
        </w:numPr>
        <w:tabs>
          <w:tab w:pos="2967" w:val="left" w:leader="none"/>
        </w:tabs>
        <w:spacing w:line="240" w:lineRule="auto" w:before="1" w:after="0"/>
        <w:ind w:left="2246" w:right="2241" w:firstLine="0"/>
        <w:jc w:val="both"/>
        <w:rPr>
          <w:sz w:val="20"/>
        </w:rPr>
      </w:pPr>
      <w:r>
        <w:rPr>
          <w:sz w:val="20"/>
        </w:rPr>
        <w:t>Under</w:t>
      </w:r>
      <w:r>
        <w:rPr>
          <w:spacing w:val="-10"/>
          <w:sz w:val="20"/>
        </w:rPr>
        <w:t> </w:t>
      </w:r>
      <w:r>
        <w:rPr>
          <w:sz w:val="20"/>
        </w:rPr>
        <w:t>the</w:t>
      </w:r>
      <w:r>
        <w:rPr>
          <w:spacing w:val="-9"/>
          <w:sz w:val="20"/>
        </w:rPr>
        <w:t> </w:t>
      </w:r>
      <w:r>
        <w:rPr>
          <w:sz w:val="20"/>
        </w:rPr>
        <w:t>supervision</w:t>
      </w:r>
      <w:r>
        <w:rPr>
          <w:spacing w:val="-6"/>
          <w:sz w:val="20"/>
        </w:rPr>
        <w:t> </w:t>
      </w:r>
      <w:r>
        <w:rPr>
          <w:sz w:val="20"/>
        </w:rPr>
        <w:t>of</w:t>
      </w:r>
      <w:r>
        <w:rPr>
          <w:spacing w:val="-6"/>
          <w:sz w:val="20"/>
        </w:rPr>
        <w:t> </w:t>
      </w:r>
      <w:r>
        <w:rPr>
          <w:sz w:val="20"/>
        </w:rPr>
        <w:t>the</w:t>
      </w:r>
      <w:r>
        <w:rPr>
          <w:spacing w:val="-9"/>
          <w:sz w:val="20"/>
        </w:rPr>
        <w:t> </w:t>
      </w:r>
      <w:r>
        <w:rPr>
          <w:sz w:val="20"/>
        </w:rPr>
        <w:t>Executive</w:t>
      </w:r>
      <w:r>
        <w:rPr>
          <w:spacing w:val="-4"/>
          <w:sz w:val="20"/>
        </w:rPr>
        <w:t> </w:t>
      </w:r>
      <w:r>
        <w:rPr>
          <w:sz w:val="20"/>
        </w:rPr>
        <w:t>Director,</w:t>
      </w:r>
      <w:r>
        <w:rPr>
          <w:spacing w:val="-8"/>
          <w:sz w:val="20"/>
        </w:rPr>
        <w:t> </w:t>
      </w:r>
      <w:r>
        <w:rPr>
          <w:sz w:val="20"/>
        </w:rPr>
        <w:t>reparations-related</w:t>
      </w:r>
      <w:r>
        <w:rPr>
          <w:spacing w:val="-6"/>
          <w:sz w:val="20"/>
        </w:rPr>
        <w:t> </w:t>
      </w:r>
      <w:r>
        <w:rPr>
          <w:sz w:val="20"/>
        </w:rPr>
        <w:t>work</w:t>
      </w:r>
      <w:r>
        <w:rPr>
          <w:spacing w:val="-6"/>
          <w:sz w:val="20"/>
        </w:rPr>
        <w:t> </w:t>
      </w:r>
      <w:r>
        <w:rPr>
          <w:sz w:val="20"/>
        </w:rPr>
        <w:t>is</w:t>
      </w:r>
      <w:r>
        <w:rPr>
          <w:spacing w:val="-12"/>
          <w:sz w:val="20"/>
        </w:rPr>
        <w:t> </w:t>
      </w:r>
      <w:r>
        <w:rPr>
          <w:sz w:val="20"/>
        </w:rPr>
        <w:t>carried out by the programme staff in the country offices, who are in charge of programme implementation, and the Legal Adviser and legal team at Headquarters, who need to ensure that</w:t>
      </w:r>
      <w:r>
        <w:rPr>
          <w:spacing w:val="-2"/>
          <w:sz w:val="20"/>
        </w:rPr>
        <w:t> </w:t>
      </w:r>
      <w:r>
        <w:rPr>
          <w:sz w:val="20"/>
        </w:rPr>
        <w:t>the</w:t>
      </w:r>
      <w:r>
        <w:rPr>
          <w:spacing w:val="-7"/>
          <w:sz w:val="20"/>
        </w:rPr>
        <w:t> </w:t>
      </w:r>
      <w:r>
        <w:rPr>
          <w:sz w:val="20"/>
        </w:rPr>
        <w:t>implementation</w:t>
      </w:r>
      <w:r>
        <w:rPr>
          <w:spacing w:val="-8"/>
          <w:sz w:val="20"/>
        </w:rPr>
        <w:t> </w:t>
      </w:r>
      <w:r>
        <w:rPr>
          <w:sz w:val="20"/>
        </w:rPr>
        <w:t>is</w:t>
      </w:r>
      <w:r>
        <w:rPr>
          <w:spacing w:val="-5"/>
          <w:sz w:val="20"/>
        </w:rPr>
        <w:t> </w:t>
      </w:r>
      <w:r>
        <w:rPr>
          <w:sz w:val="20"/>
        </w:rPr>
        <w:t>in</w:t>
      </w:r>
      <w:r>
        <w:rPr>
          <w:spacing w:val="-4"/>
          <w:sz w:val="20"/>
        </w:rPr>
        <w:t> </w:t>
      </w:r>
      <w:r>
        <w:rPr>
          <w:sz w:val="20"/>
        </w:rPr>
        <w:t>line</w:t>
      </w:r>
      <w:r>
        <w:rPr>
          <w:spacing w:val="-7"/>
          <w:sz w:val="20"/>
        </w:rPr>
        <w:t> </w:t>
      </w:r>
      <w:r>
        <w:rPr>
          <w:sz w:val="20"/>
        </w:rPr>
        <w:t>with</w:t>
      </w:r>
      <w:r>
        <w:rPr>
          <w:spacing w:val="-8"/>
          <w:sz w:val="20"/>
        </w:rPr>
        <w:t> </w:t>
      </w:r>
      <w:r>
        <w:rPr>
          <w:sz w:val="20"/>
        </w:rPr>
        <w:t>judicial</w:t>
      </w:r>
      <w:r>
        <w:rPr>
          <w:spacing w:val="-7"/>
          <w:sz w:val="20"/>
        </w:rPr>
        <w:t> </w:t>
      </w:r>
      <w:r>
        <w:rPr>
          <w:sz w:val="20"/>
        </w:rPr>
        <w:t>orders</w:t>
      </w:r>
      <w:r>
        <w:rPr>
          <w:spacing w:val="-5"/>
          <w:sz w:val="20"/>
        </w:rPr>
        <w:t> </w:t>
      </w:r>
      <w:r>
        <w:rPr>
          <w:sz w:val="20"/>
        </w:rPr>
        <w:t>and</w:t>
      </w:r>
      <w:r>
        <w:rPr>
          <w:spacing w:val="-8"/>
          <w:sz w:val="20"/>
        </w:rPr>
        <w:t> </w:t>
      </w:r>
      <w:r>
        <w:rPr>
          <w:sz w:val="20"/>
        </w:rPr>
        <w:t>the</w:t>
      </w:r>
      <w:r>
        <w:rPr>
          <w:spacing w:val="-11"/>
          <w:sz w:val="20"/>
        </w:rPr>
        <w:t> </w:t>
      </w:r>
      <w:r>
        <w:rPr>
          <w:sz w:val="20"/>
        </w:rPr>
        <w:t>approved</w:t>
      </w:r>
      <w:r>
        <w:rPr>
          <w:spacing w:val="-8"/>
          <w:sz w:val="20"/>
        </w:rPr>
        <w:t> </w:t>
      </w:r>
      <w:r>
        <w:rPr>
          <w:sz w:val="20"/>
        </w:rPr>
        <w:t>implementation</w:t>
      </w:r>
      <w:r>
        <w:rPr>
          <w:spacing w:val="-4"/>
          <w:sz w:val="20"/>
        </w:rPr>
        <w:t> </w:t>
      </w:r>
      <w:r>
        <w:rPr>
          <w:sz w:val="20"/>
        </w:rPr>
        <w:t>plan. The Legal Adviser and legal team are also in charge of developing and adapting implementation plans for Court-ordered reparations.</w:t>
      </w:r>
    </w:p>
    <w:p>
      <w:pPr>
        <w:pStyle w:val="ListParagraph"/>
        <w:numPr>
          <w:ilvl w:val="0"/>
          <w:numId w:val="4"/>
        </w:numPr>
        <w:tabs>
          <w:tab w:pos="2967" w:val="left" w:leader="none"/>
        </w:tabs>
        <w:spacing w:line="240" w:lineRule="auto" w:before="123" w:after="0"/>
        <w:ind w:left="2246" w:right="2237" w:firstLine="0"/>
        <w:jc w:val="both"/>
        <w:rPr>
          <w:sz w:val="20"/>
        </w:rPr>
      </w:pPr>
      <w:r>
        <w:rPr>
          <w:sz w:val="20"/>
        </w:rPr>
        <w:t>The</w:t>
      </w:r>
      <w:r>
        <w:rPr>
          <w:spacing w:val="-9"/>
          <w:sz w:val="20"/>
        </w:rPr>
        <w:t> </w:t>
      </w:r>
      <w:r>
        <w:rPr>
          <w:sz w:val="20"/>
        </w:rPr>
        <w:t>Programme</w:t>
      </w:r>
      <w:r>
        <w:rPr>
          <w:spacing w:val="-9"/>
          <w:sz w:val="20"/>
        </w:rPr>
        <w:t> </w:t>
      </w:r>
      <w:r>
        <w:rPr>
          <w:sz w:val="20"/>
        </w:rPr>
        <w:t>Managers</w:t>
      </w:r>
      <w:r>
        <w:rPr>
          <w:spacing w:val="-7"/>
          <w:sz w:val="20"/>
        </w:rPr>
        <w:t> </w:t>
      </w:r>
      <w:r>
        <w:rPr>
          <w:sz w:val="20"/>
        </w:rPr>
        <w:t>and</w:t>
      </w:r>
      <w:r>
        <w:rPr>
          <w:spacing w:val="-6"/>
          <w:sz w:val="20"/>
        </w:rPr>
        <w:t> </w:t>
      </w:r>
      <w:r>
        <w:rPr>
          <w:sz w:val="20"/>
        </w:rPr>
        <w:t>the</w:t>
      </w:r>
      <w:r>
        <w:rPr>
          <w:spacing w:val="-4"/>
          <w:sz w:val="20"/>
        </w:rPr>
        <w:t> </w:t>
      </w:r>
      <w:r>
        <w:rPr>
          <w:sz w:val="20"/>
        </w:rPr>
        <w:t>Associate</w:t>
      </w:r>
      <w:r>
        <w:rPr>
          <w:spacing w:val="-9"/>
          <w:sz w:val="20"/>
        </w:rPr>
        <w:t> </w:t>
      </w:r>
      <w:r>
        <w:rPr>
          <w:sz w:val="20"/>
        </w:rPr>
        <w:t>Field</w:t>
      </w:r>
      <w:r>
        <w:rPr>
          <w:spacing w:val="-6"/>
          <w:sz w:val="20"/>
        </w:rPr>
        <w:t> </w:t>
      </w:r>
      <w:r>
        <w:rPr>
          <w:sz w:val="20"/>
        </w:rPr>
        <w:t>Programme</w:t>
      </w:r>
      <w:r>
        <w:rPr>
          <w:spacing w:val="-4"/>
          <w:sz w:val="20"/>
        </w:rPr>
        <w:t> </w:t>
      </w:r>
      <w:r>
        <w:rPr>
          <w:sz w:val="20"/>
        </w:rPr>
        <w:t>Officers</w:t>
      </w:r>
      <w:r>
        <w:rPr>
          <w:spacing w:val="-7"/>
          <w:sz w:val="20"/>
        </w:rPr>
        <w:t> </w:t>
      </w:r>
      <w:r>
        <w:rPr>
          <w:sz w:val="20"/>
        </w:rPr>
        <w:t>support</w:t>
      </w:r>
      <w:r>
        <w:rPr>
          <w:spacing w:val="-9"/>
          <w:sz w:val="20"/>
        </w:rPr>
        <w:t> </w:t>
      </w:r>
      <w:r>
        <w:rPr>
          <w:sz w:val="20"/>
        </w:rPr>
        <w:t>the preparation of draft implementation plans and provide operational and administrative oversight of the implementation of reparations awards and assistance programmes. This oversight</w:t>
      </w:r>
      <w:r>
        <w:rPr>
          <w:spacing w:val="-13"/>
          <w:sz w:val="20"/>
        </w:rPr>
        <w:t> </w:t>
      </w:r>
      <w:r>
        <w:rPr>
          <w:sz w:val="20"/>
        </w:rPr>
        <w:t>includes</w:t>
      </w:r>
      <w:r>
        <w:rPr>
          <w:spacing w:val="-12"/>
          <w:sz w:val="20"/>
        </w:rPr>
        <w:t> </w:t>
      </w:r>
      <w:r>
        <w:rPr>
          <w:sz w:val="20"/>
        </w:rPr>
        <w:t>the</w:t>
      </w:r>
      <w:r>
        <w:rPr>
          <w:spacing w:val="-8"/>
          <w:sz w:val="20"/>
        </w:rPr>
        <w:t> </w:t>
      </w:r>
      <w:r>
        <w:rPr>
          <w:sz w:val="20"/>
        </w:rPr>
        <w:t>management</w:t>
      </w:r>
      <w:r>
        <w:rPr>
          <w:spacing w:val="-13"/>
          <w:sz w:val="20"/>
        </w:rPr>
        <w:t> </w:t>
      </w:r>
      <w:r>
        <w:rPr>
          <w:sz w:val="20"/>
        </w:rPr>
        <w:t>and</w:t>
      </w:r>
      <w:r>
        <w:rPr>
          <w:spacing w:val="-8"/>
          <w:sz w:val="20"/>
        </w:rPr>
        <w:t> </w:t>
      </w:r>
      <w:r>
        <w:rPr>
          <w:sz w:val="20"/>
        </w:rPr>
        <w:t>supervision</w:t>
      </w:r>
      <w:r>
        <w:rPr>
          <w:spacing w:val="-13"/>
          <w:sz w:val="20"/>
        </w:rPr>
        <w:t> </w:t>
      </w:r>
      <w:r>
        <w:rPr>
          <w:sz w:val="20"/>
        </w:rPr>
        <w:t>of</w:t>
      </w:r>
      <w:r>
        <w:rPr>
          <w:spacing w:val="-8"/>
          <w:sz w:val="20"/>
        </w:rPr>
        <w:t> </w:t>
      </w:r>
      <w:r>
        <w:rPr>
          <w:sz w:val="20"/>
        </w:rPr>
        <w:t>implementing</w:t>
      </w:r>
      <w:r>
        <w:rPr>
          <w:spacing w:val="-13"/>
          <w:sz w:val="20"/>
        </w:rPr>
        <w:t> </w:t>
      </w:r>
      <w:r>
        <w:rPr>
          <w:sz w:val="20"/>
        </w:rPr>
        <w:t>partners,</w:t>
      </w:r>
      <w:r>
        <w:rPr>
          <w:spacing w:val="-7"/>
          <w:sz w:val="20"/>
        </w:rPr>
        <w:t> </w:t>
      </w:r>
      <w:r>
        <w:rPr>
          <w:sz w:val="20"/>
        </w:rPr>
        <w:t>sound</w:t>
      </w:r>
      <w:r>
        <w:rPr>
          <w:spacing w:val="-9"/>
          <w:sz w:val="20"/>
        </w:rPr>
        <w:t> </w:t>
      </w:r>
      <w:r>
        <w:rPr>
          <w:sz w:val="20"/>
        </w:rPr>
        <w:t>internal controls</w:t>
      </w:r>
      <w:r>
        <w:rPr>
          <w:spacing w:val="-4"/>
          <w:sz w:val="20"/>
        </w:rPr>
        <w:t> </w:t>
      </w:r>
      <w:r>
        <w:rPr>
          <w:sz w:val="20"/>
        </w:rPr>
        <w:t>and</w:t>
      </w:r>
      <w:r>
        <w:rPr>
          <w:spacing w:val="-3"/>
          <w:sz w:val="20"/>
        </w:rPr>
        <w:t> </w:t>
      </w:r>
      <w:r>
        <w:rPr>
          <w:sz w:val="20"/>
        </w:rPr>
        <w:t>their</w:t>
      </w:r>
      <w:r>
        <w:rPr>
          <w:spacing w:val="-3"/>
          <w:sz w:val="20"/>
        </w:rPr>
        <w:t> </w:t>
      </w:r>
      <w:r>
        <w:rPr>
          <w:sz w:val="20"/>
        </w:rPr>
        <w:t>related</w:t>
      </w:r>
      <w:r>
        <w:rPr>
          <w:spacing w:val="-3"/>
          <w:sz w:val="20"/>
        </w:rPr>
        <w:t> </w:t>
      </w:r>
      <w:r>
        <w:rPr>
          <w:sz w:val="20"/>
        </w:rPr>
        <w:t>tools and procedures, outreach</w:t>
      </w:r>
      <w:r>
        <w:rPr>
          <w:spacing w:val="-3"/>
          <w:sz w:val="20"/>
        </w:rPr>
        <w:t> </w:t>
      </w:r>
      <w:r>
        <w:rPr>
          <w:sz w:val="20"/>
        </w:rPr>
        <w:t>to (potentially)</w:t>
      </w:r>
      <w:r>
        <w:rPr>
          <w:spacing w:val="-3"/>
          <w:sz w:val="20"/>
        </w:rPr>
        <w:t> </w:t>
      </w:r>
      <w:r>
        <w:rPr>
          <w:sz w:val="20"/>
        </w:rPr>
        <w:t>eligible</w:t>
      </w:r>
      <w:r>
        <w:rPr>
          <w:spacing w:val="-1"/>
          <w:sz w:val="20"/>
        </w:rPr>
        <w:t> </w:t>
      </w:r>
      <w:r>
        <w:rPr>
          <w:sz w:val="20"/>
        </w:rPr>
        <w:t>victims</w:t>
      </w:r>
      <w:r>
        <w:rPr>
          <w:spacing w:val="-4"/>
          <w:sz w:val="20"/>
        </w:rPr>
        <w:t> </w:t>
      </w:r>
      <w:r>
        <w:rPr>
          <w:sz w:val="20"/>
        </w:rPr>
        <w:t>and their communities, and the establishment and maintenance of relations with other stakeholders, such as national and local State authorities and other agencies. Functional steering</w:t>
      </w:r>
      <w:r>
        <w:rPr>
          <w:spacing w:val="-9"/>
          <w:sz w:val="20"/>
        </w:rPr>
        <w:t> </w:t>
      </w:r>
      <w:r>
        <w:rPr>
          <w:sz w:val="20"/>
        </w:rPr>
        <w:t>of</w:t>
      </w:r>
      <w:r>
        <w:rPr>
          <w:spacing w:val="-13"/>
          <w:sz w:val="20"/>
        </w:rPr>
        <w:t> </w:t>
      </w:r>
      <w:r>
        <w:rPr>
          <w:sz w:val="20"/>
        </w:rPr>
        <w:t>the</w:t>
      </w:r>
      <w:r>
        <w:rPr>
          <w:spacing w:val="-7"/>
          <w:sz w:val="20"/>
        </w:rPr>
        <w:t> </w:t>
      </w:r>
      <w:r>
        <w:rPr>
          <w:sz w:val="20"/>
        </w:rPr>
        <w:t>programme</w:t>
      </w:r>
      <w:r>
        <w:rPr>
          <w:spacing w:val="-8"/>
          <w:sz w:val="20"/>
        </w:rPr>
        <w:t> </w:t>
      </w:r>
      <w:r>
        <w:rPr>
          <w:sz w:val="20"/>
        </w:rPr>
        <w:t>work</w:t>
      </w:r>
      <w:r>
        <w:rPr>
          <w:spacing w:val="-9"/>
          <w:sz w:val="20"/>
        </w:rPr>
        <w:t> </w:t>
      </w:r>
      <w:r>
        <w:rPr>
          <w:sz w:val="20"/>
        </w:rPr>
        <w:t>(standard</w:t>
      </w:r>
      <w:r>
        <w:rPr>
          <w:spacing w:val="-9"/>
          <w:sz w:val="20"/>
        </w:rPr>
        <w:t> </w:t>
      </w:r>
      <w:r>
        <w:rPr>
          <w:sz w:val="20"/>
        </w:rPr>
        <w:t>setting,</w:t>
      </w:r>
      <w:r>
        <w:rPr>
          <w:spacing w:val="-7"/>
          <w:sz w:val="20"/>
        </w:rPr>
        <w:t> </w:t>
      </w:r>
      <w:r>
        <w:rPr>
          <w:sz w:val="20"/>
        </w:rPr>
        <w:t>technical</w:t>
      </w:r>
      <w:r>
        <w:rPr>
          <w:spacing w:val="-7"/>
          <w:sz w:val="20"/>
        </w:rPr>
        <w:t> </w:t>
      </w:r>
      <w:r>
        <w:rPr>
          <w:sz w:val="20"/>
        </w:rPr>
        <w:t>advice</w:t>
      </w:r>
      <w:r>
        <w:rPr>
          <w:spacing w:val="-8"/>
          <w:sz w:val="20"/>
        </w:rPr>
        <w:t> </w:t>
      </w:r>
      <w:r>
        <w:rPr>
          <w:sz w:val="20"/>
        </w:rPr>
        <w:t>and</w:t>
      </w:r>
      <w:r>
        <w:rPr>
          <w:spacing w:val="-9"/>
          <w:sz w:val="20"/>
        </w:rPr>
        <w:t> </w:t>
      </w:r>
      <w:r>
        <w:rPr>
          <w:sz w:val="20"/>
        </w:rPr>
        <w:t>quality</w:t>
      </w:r>
      <w:r>
        <w:rPr>
          <w:spacing w:val="-9"/>
          <w:sz w:val="20"/>
        </w:rPr>
        <w:t> </w:t>
      </w:r>
      <w:r>
        <w:rPr>
          <w:sz w:val="20"/>
        </w:rPr>
        <w:t>control)</w:t>
      </w:r>
      <w:r>
        <w:rPr>
          <w:spacing w:val="-9"/>
          <w:sz w:val="20"/>
        </w:rPr>
        <w:t> </w:t>
      </w:r>
      <w:r>
        <w:rPr>
          <w:sz w:val="20"/>
        </w:rPr>
        <w:t>is</w:t>
      </w:r>
      <w:r>
        <w:rPr>
          <w:spacing w:val="-11"/>
          <w:sz w:val="20"/>
        </w:rPr>
        <w:t> </w:t>
      </w:r>
      <w:r>
        <w:rPr>
          <w:sz w:val="20"/>
        </w:rPr>
        <w:t>the responsibility of the Legal Adviser, the Finance Officer and the Monitoring and Evaluation Officer, respectively.</w:t>
      </w:r>
    </w:p>
    <w:p>
      <w:pPr>
        <w:pStyle w:val="ListParagraph"/>
        <w:numPr>
          <w:ilvl w:val="0"/>
          <w:numId w:val="4"/>
        </w:numPr>
        <w:tabs>
          <w:tab w:pos="2967" w:val="left" w:leader="none"/>
        </w:tabs>
        <w:spacing w:line="240" w:lineRule="auto" w:before="120" w:after="0"/>
        <w:ind w:left="2246" w:right="2238" w:firstLine="0"/>
        <w:jc w:val="both"/>
        <w:rPr>
          <w:sz w:val="20"/>
        </w:rPr>
      </w:pPr>
      <w:r>
        <w:rPr>
          <w:sz w:val="20"/>
        </w:rPr>
        <w:t>Under</w:t>
      </w:r>
      <w:r>
        <w:rPr>
          <w:spacing w:val="-5"/>
          <w:sz w:val="20"/>
        </w:rPr>
        <w:t> </w:t>
      </w:r>
      <w:r>
        <w:rPr>
          <w:sz w:val="20"/>
        </w:rPr>
        <w:t>the guidance of</w:t>
      </w:r>
      <w:r>
        <w:rPr>
          <w:spacing w:val="-5"/>
          <w:sz w:val="20"/>
        </w:rPr>
        <w:t> </w:t>
      </w:r>
      <w:r>
        <w:rPr>
          <w:sz w:val="20"/>
        </w:rPr>
        <w:t>the</w:t>
      </w:r>
      <w:r>
        <w:rPr>
          <w:spacing w:val="-4"/>
          <w:sz w:val="20"/>
        </w:rPr>
        <w:t> </w:t>
      </w:r>
      <w:r>
        <w:rPr>
          <w:sz w:val="20"/>
        </w:rPr>
        <w:t>Legal Adviser,</w:t>
      </w:r>
      <w:r>
        <w:rPr>
          <w:spacing w:val="-3"/>
          <w:sz w:val="20"/>
        </w:rPr>
        <w:t> </w:t>
      </w:r>
      <w:r>
        <w:rPr>
          <w:sz w:val="20"/>
        </w:rPr>
        <w:t>the Programme</w:t>
      </w:r>
      <w:r>
        <w:rPr>
          <w:spacing w:val="-4"/>
          <w:sz w:val="20"/>
        </w:rPr>
        <w:t> </w:t>
      </w:r>
      <w:r>
        <w:rPr>
          <w:sz w:val="20"/>
        </w:rPr>
        <w:t>Managers</w:t>
      </w:r>
      <w:r>
        <w:rPr>
          <w:spacing w:val="-6"/>
          <w:sz w:val="20"/>
        </w:rPr>
        <w:t> </w:t>
      </w:r>
      <w:r>
        <w:rPr>
          <w:sz w:val="20"/>
        </w:rPr>
        <w:t>ensure</w:t>
      </w:r>
      <w:r>
        <w:rPr>
          <w:spacing w:val="-4"/>
          <w:sz w:val="20"/>
        </w:rPr>
        <w:t> </w:t>
      </w:r>
      <w:r>
        <w:rPr>
          <w:sz w:val="20"/>
        </w:rPr>
        <w:t>that</w:t>
      </w:r>
      <w:r>
        <w:rPr>
          <w:spacing w:val="-4"/>
          <w:sz w:val="20"/>
        </w:rPr>
        <w:t> </w:t>
      </w:r>
      <w:r>
        <w:rPr>
          <w:sz w:val="20"/>
        </w:rPr>
        <w:t>the implementation of reparations is in line with the Chamber’s reparations orders and the approved</w:t>
      </w:r>
      <w:r>
        <w:rPr>
          <w:spacing w:val="-4"/>
          <w:sz w:val="20"/>
        </w:rPr>
        <w:t> </w:t>
      </w:r>
      <w:r>
        <w:rPr>
          <w:sz w:val="20"/>
        </w:rPr>
        <w:t>implementation plan.</w:t>
      </w:r>
      <w:r>
        <w:rPr>
          <w:spacing w:val="-1"/>
          <w:sz w:val="20"/>
        </w:rPr>
        <w:t> </w:t>
      </w:r>
      <w:r>
        <w:rPr>
          <w:sz w:val="20"/>
        </w:rPr>
        <w:t>The</w:t>
      </w:r>
      <w:r>
        <w:rPr>
          <w:spacing w:val="-2"/>
          <w:sz w:val="20"/>
        </w:rPr>
        <w:t> </w:t>
      </w:r>
      <w:r>
        <w:rPr>
          <w:sz w:val="20"/>
        </w:rPr>
        <w:t>Legal Adviser</w:t>
      </w:r>
      <w:r>
        <w:rPr>
          <w:spacing w:val="-4"/>
          <w:sz w:val="20"/>
        </w:rPr>
        <w:t> </w:t>
      </w:r>
      <w:r>
        <w:rPr>
          <w:sz w:val="20"/>
        </w:rPr>
        <w:t>usually</w:t>
      </w:r>
      <w:r>
        <w:rPr>
          <w:spacing w:val="-4"/>
          <w:sz w:val="20"/>
        </w:rPr>
        <w:t> </w:t>
      </w:r>
      <w:r>
        <w:rPr>
          <w:sz w:val="20"/>
        </w:rPr>
        <w:t>prepares quarterly reports for the relevant Chamber that monitors the implementation. The Legal Adviser is in charge of preparing</w:t>
      </w:r>
      <w:r>
        <w:rPr>
          <w:spacing w:val="-3"/>
          <w:sz w:val="20"/>
        </w:rPr>
        <w:t> </w:t>
      </w:r>
      <w:r>
        <w:rPr>
          <w:sz w:val="20"/>
        </w:rPr>
        <w:t>decisions on eligibility</w:t>
      </w:r>
      <w:r>
        <w:rPr>
          <w:spacing w:val="-3"/>
          <w:sz w:val="20"/>
        </w:rPr>
        <w:t> </w:t>
      </w:r>
      <w:r>
        <w:rPr>
          <w:sz w:val="20"/>
        </w:rPr>
        <w:t>issued</w:t>
      </w:r>
      <w:r>
        <w:rPr>
          <w:spacing w:val="-3"/>
          <w:sz w:val="20"/>
        </w:rPr>
        <w:t> </w:t>
      </w:r>
      <w:r>
        <w:rPr>
          <w:sz w:val="20"/>
        </w:rPr>
        <w:t>by</w:t>
      </w:r>
      <w:r>
        <w:rPr>
          <w:spacing w:val="-3"/>
          <w:sz w:val="20"/>
        </w:rPr>
        <w:t> </w:t>
      </w:r>
      <w:r>
        <w:rPr>
          <w:sz w:val="20"/>
        </w:rPr>
        <w:t>the</w:t>
      </w:r>
      <w:r>
        <w:rPr>
          <w:spacing w:val="-1"/>
          <w:sz w:val="20"/>
        </w:rPr>
        <w:t> </w:t>
      </w:r>
      <w:r>
        <w:rPr>
          <w:sz w:val="20"/>
        </w:rPr>
        <w:t>Board</w:t>
      </w:r>
      <w:r>
        <w:rPr>
          <w:spacing w:val="-3"/>
          <w:sz w:val="20"/>
        </w:rPr>
        <w:t> </w:t>
      </w:r>
      <w:r>
        <w:rPr>
          <w:sz w:val="20"/>
        </w:rPr>
        <w:t>and</w:t>
      </w:r>
      <w:r>
        <w:rPr>
          <w:spacing w:val="-3"/>
          <w:sz w:val="20"/>
        </w:rPr>
        <w:t> </w:t>
      </w:r>
      <w:r>
        <w:rPr>
          <w:sz w:val="20"/>
        </w:rPr>
        <w:t>ensures that</w:t>
      </w:r>
      <w:r>
        <w:rPr>
          <w:spacing w:val="-1"/>
          <w:sz w:val="20"/>
        </w:rPr>
        <w:t> </w:t>
      </w:r>
      <w:r>
        <w:rPr>
          <w:sz w:val="20"/>
        </w:rPr>
        <w:t>the</w:t>
      </w:r>
      <w:r>
        <w:rPr>
          <w:spacing w:val="-1"/>
          <w:sz w:val="20"/>
        </w:rPr>
        <w:t> </w:t>
      </w:r>
      <w:r>
        <w:rPr>
          <w:sz w:val="20"/>
        </w:rPr>
        <w:t>identification</w:t>
      </w:r>
      <w:r>
        <w:rPr>
          <w:spacing w:val="-3"/>
          <w:sz w:val="20"/>
        </w:rPr>
        <w:t> </w:t>
      </w:r>
      <w:r>
        <w:rPr>
          <w:sz w:val="20"/>
        </w:rPr>
        <w:t>and verification of beneficiaries, in particular of reparations programmes, are harmonized. The Legal Adviser also advises on</w:t>
      </w:r>
      <w:r>
        <w:rPr>
          <w:spacing w:val="-3"/>
          <w:sz w:val="20"/>
        </w:rPr>
        <w:t> </w:t>
      </w:r>
      <w:r>
        <w:rPr>
          <w:sz w:val="20"/>
        </w:rPr>
        <w:t>legal</w:t>
      </w:r>
      <w:r>
        <w:rPr>
          <w:spacing w:val="-1"/>
          <w:sz w:val="20"/>
        </w:rPr>
        <w:t> </w:t>
      </w:r>
      <w:r>
        <w:rPr>
          <w:sz w:val="20"/>
        </w:rPr>
        <w:t>matters relating to</w:t>
      </w:r>
      <w:r>
        <w:rPr>
          <w:spacing w:val="-3"/>
          <w:sz w:val="20"/>
        </w:rPr>
        <w:t> </w:t>
      </w:r>
      <w:r>
        <w:rPr>
          <w:sz w:val="20"/>
        </w:rPr>
        <w:t>the</w:t>
      </w:r>
      <w:r>
        <w:rPr>
          <w:spacing w:val="-1"/>
          <w:sz w:val="20"/>
        </w:rPr>
        <w:t> </w:t>
      </w:r>
      <w:r>
        <w:rPr>
          <w:sz w:val="20"/>
        </w:rPr>
        <w:t>implementing partners as well as donors and maintains the relationship with the Registry’s Legal Office.</w:t>
      </w:r>
    </w:p>
    <w:p>
      <w:pPr>
        <w:pStyle w:val="ListParagraph"/>
        <w:numPr>
          <w:ilvl w:val="0"/>
          <w:numId w:val="4"/>
        </w:numPr>
        <w:tabs>
          <w:tab w:pos="2967" w:val="left" w:leader="none"/>
        </w:tabs>
        <w:spacing w:line="240" w:lineRule="auto" w:before="119" w:after="0"/>
        <w:ind w:left="2246" w:right="2245" w:firstLine="0"/>
        <w:jc w:val="both"/>
        <w:rPr>
          <w:sz w:val="20"/>
        </w:rPr>
      </w:pPr>
      <w:r>
        <w:rPr>
          <w:sz w:val="20"/>
        </w:rPr>
        <w:t>Under the guidance of the Finance Officer, the Programme Managers implement administrative processes, including project-based administrative verification checks and management assessments, in support of programme implementation.</w:t>
      </w:r>
    </w:p>
    <w:p>
      <w:pPr>
        <w:pStyle w:val="ListParagraph"/>
        <w:numPr>
          <w:ilvl w:val="0"/>
          <w:numId w:val="4"/>
        </w:numPr>
        <w:tabs>
          <w:tab w:pos="2967" w:val="left" w:leader="none"/>
        </w:tabs>
        <w:spacing w:line="240" w:lineRule="auto" w:before="121" w:after="0"/>
        <w:ind w:left="2246" w:right="2236" w:firstLine="0"/>
        <w:jc w:val="both"/>
        <w:rPr>
          <w:sz w:val="20"/>
        </w:rPr>
      </w:pPr>
      <w:r>
        <w:rPr>
          <w:sz w:val="20"/>
        </w:rPr>
        <w:t>The</w:t>
      </w:r>
      <w:r>
        <w:rPr>
          <w:spacing w:val="-1"/>
          <w:sz w:val="20"/>
        </w:rPr>
        <w:t> </w:t>
      </w:r>
      <w:r>
        <w:rPr>
          <w:sz w:val="20"/>
        </w:rPr>
        <w:t>Monitoring</w:t>
      </w:r>
      <w:r>
        <w:rPr>
          <w:spacing w:val="-3"/>
          <w:sz w:val="20"/>
        </w:rPr>
        <w:t> </w:t>
      </w:r>
      <w:r>
        <w:rPr>
          <w:sz w:val="20"/>
        </w:rPr>
        <w:t>and</w:t>
      </w:r>
      <w:r>
        <w:rPr>
          <w:spacing w:val="-3"/>
          <w:sz w:val="20"/>
        </w:rPr>
        <w:t> </w:t>
      </w:r>
      <w:r>
        <w:rPr>
          <w:sz w:val="20"/>
        </w:rPr>
        <w:t>Evaluation</w:t>
      </w:r>
      <w:r>
        <w:rPr>
          <w:spacing w:val="-3"/>
          <w:sz w:val="20"/>
        </w:rPr>
        <w:t> </w:t>
      </w:r>
      <w:r>
        <w:rPr>
          <w:sz w:val="20"/>
        </w:rPr>
        <w:t>Officer</w:t>
      </w:r>
      <w:r>
        <w:rPr>
          <w:spacing w:val="-3"/>
          <w:sz w:val="20"/>
        </w:rPr>
        <w:t> </w:t>
      </w:r>
      <w:r>
        <w:rPr>
          <w:sz w:val="20"/>
        </w:rPr>
        <w:t>is</w:t>
      </w:r>
      <w:r>
        <w:rPr>
          <w:spacing w:val="-4"/>
          <w:sz w:val="20"/>
        </w:rPr>
        <w:t> </w:t>
      </w:r>
      <w:r>
        <w:rPr>
          <w:sz w:val="20"/>
        </w:rPr>
        <w:t>in</w:t>
      </w:r>
      <w:r>
        <w:rPr>
          <w:spacing w:val="-3"/>
          <w:sz w:val="20"/>
        </w:rPr>
        <w:t> </w:t>
      </w:r>
      <w:r>
        <w:rPr>
          <w:sz w:val="20"/>
        </w:rPr>
        <w:t>charge of</w:t>
      </w:r>
      <w:r>
        <w:rPr>
          <w:spacing w:val="-3"/>
          <w:sz w:val="20"/>
        </w:rPr>
        <w:t> </w:t>
      </w:r>
      <w:r>
        <w:rPr>
          <w:sz w:val="20"/>
        </w:rPr>
        <w:t>ensuring quality</w:t>
      </w:r>
      <w:r>
        <w:rPr>
          <w:spacing w:val="-3"/>
          <w:sz w:val="20"/>
        </w:rPr>
        <w:t> </w:t>
      </w:r>
      <w:r>
        <w:rPr>
          <w:sz w:val="20"/>
        </w:rPr>
        <w:t>control</w:t>
      </w:r>
      <w:r>
        <w:rPr>
          <w:spacing w:val="-1"/>
          <w:sz w:val="20"/>
        </w:rPr>
        <w:t> </w:t>
      </w:r>
      <w:r>
        <w:rPr>
          <w:sz w:val="20"/>
        </w:rPr>
        <w:t>and quality</w:t>
      </w:r>
      <w:r>
        <w:rPr>
          <w:spacing w:val="-3"/>
          <w:sz w:val="20"/>
        </w:rPr>
        <w:t> </w:t>
      </w:r>
      <w:r>
        <w:rPr>
          <w:sz w:val="20"/>
        </w:rPr>
        <w:t>assurance of the Trust Fund’s practice of</w:t>
      </w:r>
      <w:r>
        <w:rPr>
          <w:spacing w:val="-3"/>
          <w:sz w:val="20"/>
        </w:rPr>
        <w:t> </w:t>
      </w:r>
      <w:r>
        <w:rPr>
          <w:sz w:val="20"/>
        </w:rPr>
        <w:t>monitoring</w:t>
      </w:r>
      <w:r>
        <w:rPr>
          <w:spacing w:val="-3"/>
          <w:sz w:val="20"/>
        </w:rPr>
        <w:t> </w:t>
      </w:r>
      <w:r>
        <w:rPr>
          <w:sz w:val="20"/>
        </w:rPr>
        <w:t>the project results reporting by implementing partners, as well as of the commissioning of independent beneficiary satisfaction surveys and impact evaluations. An electronic management system, once in place, will facilitate programme oversight and reporting, including to external stakeholders such as the Court, States Parties and their oversight bodies, and Trust Fund donors. The Monitoring and Evaluation Officer requires support in this crucial function at Headquarters in</w:t>
      </w:r>
      <w:r>
        <w:rPr>
          <w:spacing w:val="-4"/>
          <w:sz w:val="20"/>
        </w:rPr>
        <w:t> </w:t>
      </w:r>
      <w:r>
        <w:rPr>
          <w:sz w:val="20"/>
        </w:rPr>
        <w:t>order</w:t>
      </w:r>
      <w:r>
        <w:rPr>
          <w:spacing w:val="-8"/>
          <w:sz w:val="20"/>
        </w:rPr>
        <w:t> </w:t>
      </w:r>
      <w:r>
        <w:rPr>
          <w:sz w:val="20"/>
        </w:rPr>
        <w:t>to</w:t>
      </w:r>
      <w:r>
        <w:rPr>
          <w:spacing w:val="-4"/>
          <w:sz w:val="20"/>
        </w:rPr>
        <w:t> </w:t>
      </w:r>
      <w:r>
        <w:rPr>
          <w:sz w:val="20"/>
        </w:rPr>
        <w:t>be</w:t>
      </w:r>
      <w:r>
        <w:rPr>
          <w:spacing w:val="-7"/>
          <w:sz w:val="20"/>
        </w:rPr>
        <w:t> </w:t>
      </w:r>
      <w:r>
        <w:rPr>
          <w:sz w:val="20"/>
        </w:rPr>
        <w:t>able</w:t>
      </w:r>
      <w:r>
        <w:rPr>
          <w:spacing w:val="-2"/>
          <w:sz w:val="20"/>
        </w:rPr>
        <w:t> </w:t>
      </w:r>
      <w:r>
        <w:rPr>
          <w:sz w:val="20"/>
        </w:rPr>
        <w:t>to</w:t>
      </w:r>
      <w:r>
        <w:rPr>
          <w:spacing w:val="-4"/>
          <w:sz w:val="20"/>
        </w:rPr>
        <w:t> </w:t>
      </w:r>
      <w:r>
        <w:rPr>
          <w:sz w:val="20"/>
        </w:rPr>
        <w:t>appropriately</w:t>
      </w:r>
      <w:r>
        <w:rPr>
          <w:spacing w:val="-4"/>
          <w:sz w:val="20"/>
        </w:rPr>
        <w:t> </w:t>
      </w:r>
      <w:r>
        <w:rPr>
          <w:sz w:val="20"/>
        </w:rPr>
        <w:t>measure</w:t>
      </w:r>
      <w:r>
        <w:rPr>
          <w:spacing w:val="-2"/>
          <w:sz w:val="20"/>
        </w:rPr>
        <w:t> </w:t>
      </w:r>
      <w:r>
        <w:rPr>
          <w:sz w:val="20"/>
        </w:rPr>
        <w:t>and report</w:t>
      </w:r>
      <w:r>
        <w:rPr>
          <w:spacing w:val="-2"/>
          <w:sz w:val="20"/>
        </w:rPr>
        <w:t> </w:t>
      </w:r>
      <w:r>
        <w:rPr>
          <w:sz w:val="20"/>
        </w:rPr>
        <w:t>on</w:t>
      </w:r>
      <w:r>
        <w:rPr>
          <w:spacing w:val="-4"/>
          <w:sz w:val="20"/>
        </w:rPr>
        <w:t> </w:t>
      </w:r>
      <w:r>
        <w:rPr>
          <w:sz w:val="20"/>
        </w:rPr>
        <w:t>the</w:t>
      </w:r>
      <w:r>
        <w:rPr>
          <w:spacing w:val="-2"/>
          <w:sz w:val="20"/>
        </w:rPr>
        <w:t> </w:t>
      </w:r>
      <w:r>
        <w:rPr>
          <w:sz w:val="20"/>
        </w:rPr>
        <w:t>impact</w:t>
      </w:r>
      <w:r>
        <w:rPr>
          <w:spacing w:val="-2"/>
          <w:sz w:val="20"/>
        </w:rPr>
        <w:t> </w:t>
      </w:r>
      <w:r>
        <w:rPr>
          <w:sz w:val="20"/>
        </w:rPr>
        <w:t>of</w:t>
      </w:r>
      <w:r>
        <w:rPr>
          <w:spacing w:val="-4"/>
          <w:sz w:val="20"/>
        </w:rPr>
        <w:t> </w:t>
      </w:r>
      <w:r>
        <w:rPr>
          <w:sz w:val="20"/>
        </w:rPr>
        <w:t>the</w:t>
      </w:r>
      <w:r>
        <w:rPr>
          <w:spacing w:val="-2"/>
          <w:sz w:val="20"/>
        </w:rPr>
        <w:t> </w:t>
      </w:r>
      <w:r>
        <w:rPr>
          <w:sz w:val="20"/>
        </w:rPr>
        <w:t>growing</w:t>
      </w:r>
      <w:r>
        <w:rPr>
          <w:spacing w:val="-4"/>
          <w:sz w:val="20"/>
        </w:rPr>
        <w:t> </w:t>
      </w:r>
      <w:r>
        <w:rPr>
          <w:sz w:val="20"/>
        </w:rPr>
        <w:t>number of Trust Fund programmes. While support was originally planned for the field (Bunia), the relevant posts were redeployed as one post to Headquarters in 2022 for the period of six months in order to manage the workload arising in this respect from (currently) 25 projects (29 at the end of 2022). This support continues to be required into 2023 for a period of 12 months. For evaluation purposes, the TFV relies on external expert services to conduct baseline studies and ex post facto evaluations, and to carry out beneficiary satisfaction surveys. These functions are financed through IPC (incidental programme support costs) </w:t>
      </w:r>
      <w:r>
        <w:rPr>
          <w:spacing w:val="-2"/>
          <w:sz w:val="20"/>
        </w:rPr>
        <w:t>funds.</w:t>
      </w:r>
    </w:p>
    <w:p>
      <w:pPr>
        <w:pStyle w:val="ListParagraph"/>
        <w:numPr>
          <w:ilvl w:val="0"/>
          <w:numId w:val="4"/>
        </w:numPr>
        <w:tabs>
          <w:tab w:pos="2967" w:val="left" w:leader="none"/>
        </w:tabs>
        <w:spacing w:line="240" w:lineRule="auto" w:before="123" w:after="0"/>
        <w:ind w:left="2246" w:right="2239" w:firstLine="0"/>
        <w:jc w:val="both"/>
        <w:rPr>
          <w:sz w:val="20"/>
        </w:rPr>
      </w:pPr>
      <w:r>
        <w:rPr>
          <w:sz w:val="20"/>
        </w:rPr>
        <w:t>The overall reparations programming perspective and related partnership building with organizations, NGOs, civil society and international organizations active</w:t>
      </w:r>
      <w:r>
        <w:rPr>
          <w:spacing w:val="-2"/>
          <w:sz w:val="20"/>
        </w:rPr>
        <w:t> </w:t>
      </w:r>
      <w:r>
        <w:rPr>
          <w:sz w:val="20"/>
        </w:rPr>
        <w:t>in the</w:t>
      </w:r>
      <w:r>
        <w:rPr>
          <w:spacing w:val="-2"/>
          <w:sz w:val="20"/>
        </w:rPr>
        <w:t> </w:t>
      </w:r>
      <w:r>
        <w:rPr>
          <w:sz w:val="20"/>
        </w:rPr>
        <w:t>area of reparations</w:t>
      </w:r>
      <w:r>
        <w:rPr>
          <w:spacing w:val="-13"/>
          <w:sz w:val="20"/>
        </w:rPr>
        <w:t> </w:t>
      </w:r>
      <w:r>
        <w:rPr>
          <w:sz w:val="20"/>
        </w:rPr>
        <w:t>in</w:t>
      </w:r>
      <w:r>
        <w:rPr>
          <w:spacing w:val="-12"/>
          <w:sz w:val="20"/>
        </w:rPr>
        <w:t> </w:t>
      </w:r>
      <w:r>
        <w:rPr>
          <w:sz w:val="20"/>
        </w:rPr>
        <w:t>the</w:t>
      </w:r>
      <w:r>
        <w:rPr>
          <w:spacing w:val="-13"/>
          <w:sz w:val="20"/>
        </w:rPr>
        <w:t> </w:t>
      </w:r>
      <w:r>
        <w:rPr>
          <w:sz w:val="20"/>
        </w:rPr>
        <w:t>relevant</w:t>
      </w:r>
      <w:r>
        <w:rPr>
          <w:spacing w:val="-12"/>
          <w:sz w:val="20"/>
        </w:rPr>
        <w:t> </w:t>
      </w:r>
      <w:r>
        <w:rPr>
          <w:sz w:val="20"/>
        </w:rPr>
        <w:t>situation</w:t>
      </w:r>
      <w:r>
        <w:rPr>
          <w:spacing w:val="-13"/>
          <w:sz w:val="20"/>
        </w:rPr>
        <w:t> </w:t>
      </w:r>
      <w:r>
        <w:rPr>
          <w:sz w:val="20"/>
        </w:rPr>
        <w:t>countries</w:t>
      </w:r>
      <w:r>
        <w:rPr>
          <w:spacing w:val="-12"/>
          <w:sz w:val="20"/>
        </w:rPr>
        <w:t> </w:t>
      </w:r>
      <w:r>
        <w:rPr>
          <w:sz w:val="20"/>
        </w:rPr>
        <w:t>will</w:t>
      </w:r>
      <w:r>
        <w:rPr>
          <w:spacing w:val="-13"/>
          <w:sz w:val="20"/>
        </w:rPr>
        <w:t> </w:t>
      </w:r>
      <w:r>
        <w:rPr>
          <w:sz w:val="20"/>
        </w:rPr>
        <w:t>remain</w:t>
      </w:r>
      <w:r>
        <w:rPr>
          <w:spacing w:val="-12"/>
          <w:sz w:val="20"/>
        </w:rPr>
        <w:t> </w:t>
      </w:r>
      <w:r>
        <w:rPr>
          <w:sz w:val="20"/>
        </w:rPr>
        <w:t>important</w:t>
      </w:r>
      <w:r>
        <w:rPr>
          <w:spacing w:val="-13"/>
          <w:sz w:val="20"/>
        </w:rPr>
        <w:t> </w:t>
      </w:r>
      <w:r>
        <w:rPr>
          <w:sz w:val="20"/>
        </w:rPr>
        <w:t>in</w:t>
      </w:r>
      <w:r>
        <w:rPr>
          <w:spacing w:val="-12"/>
          <w:sz w:val="20"/>
        </w:rPr>
        <w:t> </w:t>
      </w:r>
      <w:r>
        <w:rPr>
          <w:sz w:val="20"/>
        </w:rPr>
        <w:t>2023.</w:t>
      </w:r>
      <w:r>
        <w:rPr>
          <w:spacing w:val="-13"/>
          <w:sz w:val="20"/>
        </w:rPr>
        <w:t> </w:t>
      </w:r>
      <w:r>
        <w:rPr>
          <w:sz w:val="20"/>
        </w:rPr>
        <w:t>As</w:t>
      </w:r>
      <w:r>
        <w:rPr>
          <w:spacing w:val="-8"/>
          <w:sz w:val="20"/>
        </w:rPr>
        <w:t> </w:t>
      </w:r>
      <w:r>
        <w:rPr>
          <w:sz w:val="20"/>
        </w:rPr>
        <w:t>a</w:t>
      </w:r>
      <w:r>
        <w:rPr>
          <w:spacing w:val="-7"/>
          <w:sz w:val="20"/>
        </w:rPr>
        <w:t> </w:t>
      </w:r>
      <w:r>
        <w:rPr>
          <w:sz w:val="20"/>
        </w:rPr>
        <w:t>result,</w:t>
      </w:r>
      <w:r>
        <w:rPr>
          <w:spacing w:val="-12"/>
          <w:sz w:val="20"/>
        </w:rPr>
        <w:t> </w:t>
      </w:r>
      <w:r>
        <w:rPr>
          <w:sz w:val="20"/>
        </w:rPr>
        <w:t>there will be a need for work on issues such as the legal personality of the Trust Fund, its ability to</w:t>
      </w:r>
      <w:r>
        <w:rPr>
          <w:spacing w:val="-8"/>
          <w:sz w:val="20"/>
        </w:rPr>
        <w:t> </w:t>
      </w:r>
      <w:r>
        <w:rPr>
          <w:sz w:val="20"/>
        </w:rPr>
        <w:t>conclude</w:t>
      </w:r>
      <w:r>
        <w:rPr>
          <w:spacing w:val="-7"/>
          <w:sz w:val="20"/>
        </w:rPr>
        <w:t> </w:t>
      </w:r>
      <w:r>
        <w:rPr>
          <w:sz w:val="20"/>
        </w:rPr>
        <w:t>partnerships,</w:t>
      </w:r>
      <w:r>
        <w:rPr>
          <w:spacing w:val="-6"/>
          <w:sz w:val="20"/>
        </w:rPr>
        <w:t> </w:t>
      </w:r>
      <w:r>
        <w:rPr>
          <w:sz w:val="20"/>
        </w:rPr>
        <w:t>the</w:t>
      </w:r>
      <w:r>
        <w:rPr>
          <w:spacing w:val="-7"/>
          <w:sz w:val="20"/>
        </w:rPr>
        <w:t> </w:t>
      </w:r>
      <w:r>
        <w:rPr>
          <w:sz w:val="20"/>
        </w:rPr>
        <w:t>applicability</w:t>
      </w:r>
      <w:r>
        <w:rPr>
          <w:spacing w:val="-8"/>
          <w:sz w:val="20"/>
        </w:rPr>
        <w:t> </w:t>
      </w:r>
      <w:r>
        <w:rPr>
          <w:sz w:val="20"/>
        </w:rPr>
        <w:t>of</w:t>
      </w:r>
      <w:r>
        <w:rPr>
          <w:spacing w:val="-8"/>
          <w:sz w:val="20"/>
        </w:rPr>
        <w:t> </w:t>
      </w:r>
      <w:r>
        <w:rPr>
          <w:sz w:val="20"/>
        </w:rPr>
        <w:t>procurement</w:t>
      </w:r>
      <w:r>
        <w:rPr>
          <w:spacing w:val="-7"/>
          <w:sz w:val="20"/>
        </w:rPr>
        <w:t> </w:t>
      </w:r>
      <w:r>
        <w:rPr>
          <w:sz w:val="20"/>
        </w:rPr>
        <w:t>rules</w:t>
      </w:r>
      <w:r>
        <w:rPr>
          <w:spacing w:val="-5"/>
          <w:sz w:val="20"/>
        </w:rPr>
        <w:t> </w:t>
      </w:r>
      <w:r>
        <w:rPr>
          <w:sz w:val="20"/>
        </w:rPr>
        <w:t>and</w:t>
      </w:r>
      <w:r>
        <w:rPr>
          <w:spacing w:val="-8"/>
          <w:sz w:val="20"/>
        </w:rPr>
        <w:t> </w:t>
      </w:r>
      <w:r>
        <w:rPr>
          <w:sz w:val="20"/>
        </w:rPr>
        <w:t>a</w:t>
      </w:r>
      <w:r>
        <w:rPr>
          <w:spacing w:val="-7"/>
          <w:sz w:val="20"/>
        </w:rPr>
        <w:t> </w:t>
      </w:r>
      <w:r>
        <w:rPr>
          <w:sz w:val="20"/>
        </w:rPr>
        <w:t>clear</w:t>
      </w:r>
      <w:r>
        <w:rPr>
          <w:spacing w:val="-8"/>
          <w:sz w:val="20"/>
        </w:rPr>
        <w:t> </w:t>
      </w:r>
      <w:r>
        <w:rPr>
          <w:sz w:val="20"/>
        </w:rPr>
        <w:t>delineation</w:t>
      </w:r>
      <w:r>
        <w:rPr>
          <w:spacing w:val="-8"/>
          <w:sz w:val="20"/>
        </w:rPr>
        <w:t> </w:t>
      </w:r>
      <w:r>
        <w:rPr>
          <w:sz w:val="20"/>
        </w:rPr>
        <w:t>of</w:t>
      </w:r>
      <w:r>
        <w:rPr>
          <w:spacing w:val="-8"/>
          <w:sz w:val="20"/>
        </w:rPr>
        <w:t> </w:t>
      </w:r>
      <w:r>
        <w:rPr>
          <w:sz w:val="20"/>
        </w:rPr>
        <w:t>the requirements of the Trust Fund. At the same time, these partnerships must be built or procured. This will also require policy and conceptual work, in particular when linking the work of the Trust Fund and the Court in its reparations and</w:t>
      </w:r>
      <w:r>
        <w:rPr>
          <w:spacing w:val="-3"/>
          <w:sz w:val="20"/>
        </w:rPr>
        <w:t> </w:t>
      </w:r>
      <w:r>
        <w:rPr>
          <w:sz w:val="20"/>
        </w:rPr>
        <w:t>assistance mandates to regional or</w:t>
      </w:r>
      <w:r>
        <w:rPr>
          <w:spacing w:val="-4"/>
          <w:sz w:val="20"/>
        </w:rPr>
        <w:t> </w:t>
      </w:r>
      <w:r>
        <w:rPr>
          <w:sz w:val="20"/>
        </w:rPr>
        <w:t>domestic</w:t>
      </w:r>
      <w:r>
        <w:rPr>
          <w:spacing w:val="-7"/>
          <w:sz w:val="20"/>
        </w:rPr>
        <w:t> </w:t>
      </w:r>
      <w:r>
        <w:rPr>
          <w:sz w:val="20"/>
        </w:rPr>
        <w:t>reparation</w:t>
      </w:r>
      <w:r>
        <w:rPr>
          <w:spacing w:val="-8"/>
          <w:sz w:val="20"/>
        </w:rPr>
        <w:t> </w:t>
      </w:r>
      <w:r>
        <w:rPr>
          <w:sz w:val="20"/>
        </w:rPr>
        <w:t>programmes.</w:t>
      </w:r>
      <w:r>
        <w:rPr>
          <w:spacing w:val="-3"/>
          <w:sz w:val="20"/>
        </w:rPr>
        <w:t> </w:t>
      </w:r>
      <w:r>
        <w:rPr>
          <w:sz w:val="20"/>
        </w:rPr>
        <w:t>This</w:t>
      </w:r>
      <w:r>
        <w:rPr>
          <w:spacing w:val="-10"/>
          <w:sz w:val="20"/>
        </w:rPr>
        <w:t> </w:t>
      </w:r>
      <w:r>
        <w:rPr>
          <w:sz w:val="20"/>
        </w:rPr>
        <w:t>conceptual</w:t>
      </w:r>
      <w:r>
        <w:rPr>
          <w:spacing w:val="-7"/>
          <w:sz w:val="20"/>
        </w:rPr>
        <w:t> </w:t>
      </w:r>
      <w:r>
        <w:rPr>
          <w:sz w:val="20"/>
        </w:rPr>
        <w:t>and</w:t>
      </w:r>
      <w:r>
        <w:rPr>
          <w:spacing w:val="-8"/>
          <w:sz w:val="20"/>
        </w:rPr>
        <w:t> </w:t>
      </w:r>
      <w:r>
        <w:rPr>
          <w:sz w:val="20"/>
        </w:rPr>
        <w:t>legal</w:t>
      </w:r>
      <w:r>
        <w:rPr>
          <w:spacing w:val="-2"/>
          <w:sz w:val="20"/>
        </w:rPr>
        <w:t> </w:t>
      </w:r>
      <w:r>
        <w:rPr>
          <w:sz w:val="20"/>
        </w:rPr>
        <w:t>work</w:t>
      </w:r>
      <w:r>
        <w:rPr>
          <w:spacing w:val="-8"/>
          <w:sz w:val="20"/>
        </w:rPr>
        <w:t> </w:t>
      </w:r>
      <w:r>
        <w:rPr>
          <w:sz w:val="20"/>
        </w:rPr>
        <w:t>is</w:t>
      </w:r>
      <w:r>
        <w:rPr>
          <w:spacing w:val="-10"/>
          <w:sz w:val="20"/>
        </w:rPr>
        <w:t> </w:t>
      </w:r>
      <w:r>
        <w:rPr>
          <w:sz w:val="20"/>
        </w:rPr>
        <w:t>intended</w:t>
      </w:r>
      <w:r>
        <w:rPr>
          <w:spacing w:val="-8"/>
          <w:sz w:val="20"/>
        </w:rPr>
        <w:t> </w:t>
      </w:r>
      <w:r>
        <w:rPr>
          <w:sz w:val="20"/>
        </w:rPr>
        <w:t>to</w:t>
      </w:r>
      <w:r>
        <w:rPr>
          <w:spacing w:val="-8"/>
          <w:sz w:val="20"/>
        </w:rPr>
        <w:t> </w:t>
      </w:r>
      <w:r>
        <w:rPr>
          <w:sz w:val="20"/>
        </w:rPr>
        <w:t>be</w:t>
      </w:r>
      <w:r>
        <w:rPr>
          <w:spacing w:val="-7"/>
          <w:sz w:val="20"/>
        </w:rPr>
        <w:t> </w:t>
      </w:r>
      <w:r>
        <w:rPr>
          <w:sz w:val="20"/>
        </w:rPr>
        <w:t>carried out by the Legal Adviser together with the new Associate Partnership Development and Procurement Officer, recruited in 2022 for only two months, the continuation of which is requested for the whole of 2023.</w:t>
      </w:r>
    </w:p>
    <w:p>
      <w:pPr>
        <w:spacing w:after="0" w:line="240" w:lineRule="auto"/>
        <w:jc w:val="both"/>
        <w:rPr>
          <w:sz w:val="20"/>
        </w:rPr>
        <w:sectPr>
          <w:pgSz w:w="11910" w:h="16840"/>
          <w:pgMar w:header="957" w:footer="940" w:top="1140" w:bottom="1140" w:left="20" w:right="20"/>
        </w:sectPr>
      </w:pPr>
    </w:p>
    <w:p>
      <w:pPr>
        <w:pStyle w:val="ListParagraph"/>
        <w:numPr>
          <w:ilvl w:val="0"/>
          <w:numId w:val="4"/>
        </w:numPr>
        <w:tabs>
          <w:tab w:pos="2967" w:val="left" w:leader="none"/>
        </w:tabs>
        <w:spacing w:line="240" w:lineRule="auto" w:before="124" w:after="0"/>
        <w:ind w:left="2246" w:right="2235" w:firstLine="0"/>
        <w:jc w:val="both"/>
        <w:rPr>
          <w:sz w:val="20"/>
        </w:rPr>
      </w:pPr>
      <w:r>
        <w:rPr>
          <w:sz w:val="20"/>
        </w:rPr>
        <w:t>In relation to legal capacity, the current budgetary resources are intended for one Legal</w:t>
      </w:r>
      <w:r>
        <w:rPr>
          <w:spacing w:val="-13"/>
          <w:sz w:val="20"/>
        </w:rPr>
        <w:t> </w:t>
      </w:r>
      <w:r>
        <w:rPr>
          <w:sz w:val="20"/>
        </w:rPr>
        <w:t>Adviser</w:t>
      </w:r>
      <w:r>
        <w:rPr>
          <w:spacing w:val="-12"/>
          <w:sz w:val="20"/>
        </w:rPr>
        <w:t> </w:t>
      </w:r>
      <w:r>
        <w:rPr>
          <w:sz w:val="20"/>
        </w:rPr>
        <w:t>(P-4)</w:t>
      </w:r>
      <w:r>
        <w:rPr>
          <w:spacing w:val="-13"/>
          <w:sz w:val="20"/>
        </w:rPr>
        <w:t> </w:t>
      </w:r>
      <w:r>
        <w:rPr>
          <w:sz w:val="20"/>
        </w:rPr>
        <w:t>and</w:t>
      </w:r>
      <w:r>
        <w:rPr>
          <w:spacing w:val="-12"/>
          <w:sz w:val="20"/>
        </w:rPr>
        <w:t> </w:t>
      </w:r>
      <w:r>
        <w:rPr>
          <w:sz w:val="20"/>
        </w:rPr>
        <w:t>three</w:t>
      </w:r>
      <w:r>
        <w:rPr>
          <w:spacing w:val="-13"/>
          <w:sz w:val="20"/>
        </w:rPr>
        <w:t> </w:t>
      </w:r>
      <w:r>
        <w:rPr>
          <w:sz w:val="20"/>
        </w:rPr>
        <w:t>GTA</w:t>
      </w:r>
      <w:r>
        <w:rPr>
          <w:spacing w:val="-12"/>
          <w:sz w:val="20"/>
        </w:rPr>
        <w:t> </w:t>
      </w:r>
      <w:r>
        <w:rPr>
          <w:sz w:val="20"/>
        </w:rPr>
        <w:t>Associate</w:t>
      </w:r>
      <w:r>
        <w:rPr>
          <w:spacing w:val="-13"/>
          <w:sz w:val="20"/>
        </w:rPr>
        <w:t> </w:t>
      </w:r>
      <w:r>
        <w:rPr>
          <w:sz w:val="20"/>
        </w:rPr>
        <w:t>Legal</w:t>
      </w:r>
      <w:r>
        <w:rPr>
          <w:spacing w:val="-9"/>
          <w:sz w:val="20"/>
        </w:rPr>
        <w:t> </w:t>
      </w:r>
      <w:r>
        <w:rPr>
          <w:sz w:val="20"/>
        </w:rPr>
        <w:t>Officers</w:t>
      </w:r>
      <w:r>
        <w:rPr>
          <w:spacing w:val="-12"/>
          <w:sz w:val="20"/>
        </w:rPr>
        <w:t> </w:t>
      </w:r>
      <w:r>
        <w:rPr>
          <w:sz w:val="20"/>
        </w:rPr>
        <w:t>(P-2).</w:t>
      </w:r>
      <w:r>
        <w:rPr>
          <w:spacing w:val="-11"/>
          <w:sz w:val="20"/>
        </w:rPr>
        <w:t> </w:t>
      </w:r>
      <w:r>
        <w:rPr>
          <w:sz w:val="20"/>
        </w:rPr>
        <w:t>Managing</w:t>
      </w:r>
      <w:r>
        <w:rPr>
          <w:spacing w:val="-13"/>
          <w:sz w:val="20"/>
        </w:rPr>
        <w:t> </w:t>
      </w:r>
      <w:r>
        <w:rPr>
          <w:sz w:val="20"/>
        </w:rPr>
        <w:t>the</w:t>
      </w:r>
      <w:r>
        <w:rPr>
          <w:spacing w:val="-11"/>
          <w:sz w:val="20"/>
        </w:rPr>
        <w:t> </w:t>
      </w:r>
      <w:r>
        <w:rPr>
          <w:sz w:val="20"/>
        </w:rPr>
        <w:t>reparations and contract case load will be possible only if the three Associate Legal Officer positions continue</w:t>
      </w:r>
      <w:r>
        <w:rPr>
          <w:spacing w:val="-13"/>
          <w:sz w:val="20"/>
        </w:rPr>
        <w:t> </w:t>
      </w:r>
      <w:r>
        <w:rPr>
          <w:sz w:val="20"/>
        </w:rPr>
        <w:t>for</w:t>
      </w:r>
      <w:r>
        <w:rPr>
          <w:spacing w:val="-12"/>
          <w:sz w:val="20"/>
        </w:rPr>
        <w:t> </w:t>
      </w:r>
      <w:r>
        <w:rPr>
          <w:sz w:val="20"/>
        </w:rPr>
        <w:t>the</w:t>
      </w:r>
      <w:r>
        <w:rPr>
          <w:spacing w:val="-13"/>
          <w:sz w:val="20"/>
        </w:rPr>
        <w:t> </w:t>
      </w:r>
      <w:r>
        <w:rPr>
          <w:sz w:val="20"/>
        </w:rPr>
        <w:t>entire</w:t>
      </w:r>
      <w:r>
        <w:rPr>
          <w:spacing w:val="-12"/>
          <w:sz w:val="20"/>
        </w:rPr>
        <w:t> </w:t>
      </w:r>
      <w:r>
        <w:rPr>
          <w:sz w:val="20"/>
        </w:rPr>
        <w:t>duration</w:t>
      </w:r>
      <w:r>
        <w:rPr>
          <w:spacing w:val="-13"/>
          <w:sz w:val="20"/>
        </w:rPr>
        <w:t> </w:t>
      </w:r>
      <w:r>
        <w:rPr>
          <w:sz w:val="20"/>
        </w:rPr>
        <w:t>of</w:t>
      </w:r>
      <w:r>
        <w:rPr>
          <w:spacing w:val="-12"/>
          <w:sz w:val="20"/>
        </w:rPr>
        <w:t> </w:t>
      </w:r>
      <w:r>
        <w:rPr>
          <w:sz w:val="20"/>
        </w:rPr>
        <w:t>2023.</w:t>
      </w:r>
      <w:r>
        <w:rPr>
          <w:spacing w:val="-13"/>
          <w:sz w:val="20"/>
        </w:rPr>
        <w:t> </w:t>
      </w:r>
      <w:r>
        <w:rPr>
          <w:sz w:val="20"/>
        </w:rPr>
        <w:t>The</w:t>
      </w:r>
      <w:r>
        <w:rPr>
          <w:spacing w:val="-11"/>
          <w:sz w:val="20"/>
        </w:rPr>
        <w:t> </w:t>
      </w:r>
      <w:r>
        <w:rPr>
          <w:sz w:val="20"/>
        </w:rPr>
        <w:t>Legal</w:t>
      </w:r>
      <w:r>
        <w:rPr>
          <w:spacing w:val="-13"/>
          <w:sz w:val="20"/>
        </w:rPr>
        <w:t> </w:t>
      </w:r>
      <w:r>
        <w:rPr>
          <w:sz w:val="20"/>
        </w:rPr>
        <w:t>Adviser</w:t>
      </w:r>
      <w:r>
        <w:rPr>
          <w:spacing w:val="-12"/>
          <w:sz w:val="20"/>
        </w:rPr>
        <w:t> </w:t>
      </w:r>
      <w:r>
        <w:rPr>
          <w:sz w:val="20"/>
        </w:rPr>
        <w:t>lays</w:t>
      </w:r>
      <w:r>
        <w:rPr>
          <w:spacing w:val="-11"/>
          <w:sz w:val="20"/>
        </w:rPr>
        <w:t> </w:t>
      </w:r>
      <w:r>
        <w:rPr>
          <w:sz w:val="20"/>
        </w:rPr>
        <w:t>the</w:t>
      </w:r>
      <w:r>
        <w:rPr>
          <w:spacing w:val="-11"/>
          <w:sz w:val="20"/>
        </w:rPr>
        <w:t> </w:t>
      </w:r>
      <w:r>
        <w:rPr>
          <w:sz w:val="20"/>
        </w:rPr>
        <w:t>foundation</w:t>
      </w:r>
      <w:r>
        <w:rPr>
          <w:spacing w:val="-13"/>
          <w:sz w:val="20"/>
        </w:rPr>
        <w:t> </w:t>
      </w:r>
      <w:r>
        <w:rPr>
          <w:sz w:val="20"/>
        </w:rPr>
        <w:t>for</w:t>
      </w:r>
      <w:r>
        <w:rPr>
          <w:spacing w:val="-12"/>
          <w:sz w:val="20"/>
        </w:rPr>
        <w:t> </w:t>
      </w:r>
      <w:r>
        <w:rPr>
          <w:sz w:val="20"/>
        </w:rPr>
        <w:t>and</w:t>
      </w:r>
      <w:r>
        <w:rPr>
          <w:spacing w:val="-13"/>
          <w:sz w:val="20"/>
        </w:rPr>
        <w:t> </w:t>
      </w:r>
      <w:r>
        <w:rPr>
          <w:sz w:val="20"/>
        </w:rPr>
        <w:t>guides the</w:t>
      </w:r>
      <w:r>
        <w:rPr>
          <w:spacing w:val="-1"/>
          <w:sz w:val="20"/>
        </w:rPr>
        <w:t> </w:t>
      </w:r>
      <w:r>
        <w:rPr>
          <w:sz w:val="20"/>
        </w:rPr>
        <w:t>implementation</w:t>
      </w:r>
      <w:r>
        <w:rPr>
          <w:spacing w:val="-3"/>
          <w:sz w:val="20"/>
        </w:rPr>
        <w:t> </w:t>
      </w:r>
      <w:r>
        <w:rPr>
          <w:sz w:val="20"/>
        </w:rPr>
        <w:t>of</w:t>
      </w:r>
      <w:r>
        <w:rPr>
          <w:spacing w:val="-3"/>
          <w:sz w:val="20"/>
        </w:rPr>
        <w:t> </w:t>
      </w:r>
      <w:r>
        <w:rPr>
          <w:sz w:val="20"/>
        </w:rPr>
        <w:t>reparations</w:t>
      </w:r>
      <w:r>
        <w:rPr>
          <w:spacing w:val="-4"/>
          <w:sz w:val="20"/>
        </w:rPr>
        <w:t> </w:t>
      </w:r>
      <w:r>
        <w:rPr>
          <w:sz w:val="20"/>
        </w:rPr>
        <w:t>awards, including</w:t>
      </w:r>
      <w:r>
        <w:rPr>
          <w:spacing w:val="-3"/>
          <w:sz w:val="20"/>
        </w:rPr>
        <w:t> </w:t>
      </w:r>
      <w:r>
        <w:rPr>
          <w:sz w:val="20"/>
        </w:rPr>
        <w:t>victim</w:t>
      </w:r>
      <w:r>
        <w:rPr>
          <w:spacing w:val="-1"/>
          <w:sz w:val="20"/>
        </w:rPr>
        <w:t> </w:t>
      </w:r>
      <w:r>
        <w:rPr>
          <w:sz w:val="20"/>
        </w:rPr>
        <w:t>identification</w:t>
      </w:r>
      <w:r>
        <w:rPr>
          <w:spacing w:val="-7"/>
          <w:sz w:val="20"/>
        </w:rPr>
        <w:t> </w:t>
      </w:r>
      <w:r>
        <w:rPr>
          <w:sz w:val="20"/>
        </w:rPr>
        <w:t>and</w:t>
      </w:r>
      <w:r>
        <w:rPr>
          <w:spacing w:val="-3"/>
          <w:sz w:val="20"/>
        </w:rPr>
        <w:t> </w:t>
      </w:r>
      <w:r>
        <w:rPr>
          <w:sz w:val="20"/>
        </w:rPr>
        <w:t>verification</w:t>
      </w:r>
      <w:r>
        <w:rPr>
          <w:spacing w:val="-3"/>
          <w:sz w:val="20"/>
        </w:rPr>
        <w:t> </w:t>
      </w:r>
      <w:r>
        <w:rPr>
          <w:sz w:val="20"/>
        </w:rPr>
        <w:t>in support of the Board’s administrative eligibility decisions, and provides overall quality control. Under</w:t>
      </w:r>
      <w:r>
        <w:rPr>
          <w:spacing w:val="-8"/>
          <w:sz w:val="20"/>
        </w:rPr>
        <w:t> </w:t>
      </w:r>
      <w:r>
        <w:rPr>
          <w:sz w:val="20"/>
        </w:rPr>
        <w:t>the</w:t>
      </w:r>
      <w:r>
        <w:rPr>
          <w:spacing w:val="-6"/>
          <w:sz w:val="20"/>
        </w:rPr>
        <w:t> </w:t>
      </w:r>
      <w:r>
        <w:rPr>
          <w:sz w:val="20"/>
        </w:rPr>
        <w:t>supervision</w:t>
      </w:r>
      <w:r>
        <w:rPr>
          <w:spacing w:val="-8"/>
          <w:sz w:val="20"/>
        </w:rPr>
        <w:t> </w:t>
      </w:r>
      <w:r>
        <w:rPr>
          <w:sz w:val="20"/>
        </w:rPr>
        <w:t>of</w:t>
      </w:r>
      <w:r>
        <w:rPr>
          <w:spacing w:val="-7"/>
          <w:sz w:val="20"/>
        </w:rPr>
        <w:t> </w:t>
      </w:r>
      <w:r>
        <w:rPr>
          <w:sz w:val="20"/>
        </w:rPr>
        <w:t>the</w:t>
      </w:r>
      <w:r>
        <w:rPr>
          <w:spacing w:val="-2"/>
          <w:sz w:val="20"/>
        </w:rPr>
        <w:t> </w:t>
      </w:r>
      <w:r>
        <w:rPr>
          <w:sz w:val="20"/>
        </w:rPr>
        <w:t>Legal</w:t>
      </w:r>
      <w:r>
        <w:rPr>
          <w:spacing w:val="-1"/>
          <w:sz w:val="20"/>
        </w:rPr>
        <w:t> </w:t>
      </w:r>
      <w:r>
        <w:rPr>
          <w:sz w:val="20"/>
        </w:rPr>
        <w:t>Adviser,</w:t>
      </w:r>
      <w:r>
        <w:rPr>
          <w:spacing w:val="-6"/>
          <w:sz w:val="20"/>
        </w:rPr>
        <w:t> </w:t>
      </w:r>
      <w:r>
        <w:rPr>
          <w:sz w:val="20"/>
        </w:rPr>
        <w:t>legal</w:t>
      </w:r>
      <w:r>
        <w:rPr>
          <w:spacing w:val="-6"/>
          <w:sz w:val="20"/>
        </w:rPr>
        <w:t> </w:t>
      </w:r>
      <w:r>
        <w:rPr>
          <w:sz w:val="20"/>
        </w:rPr>
        <w:t>team</w:t>
      </w:r>
      <w:r>
        <w:rPr>
          <w:spacing w:val="-7"/>
          <w:sz w:val="20"/>
        </w:rPr>
        <w:t> </w:t>
      </w:r>
      <w:r>
        <w:rPr>
          <w:sz w:val="20"/>
        </w:rPr>
        <w:t>members</w:t>
      </w:r>
      <w:r>
        <w:rPr>
          <w:spacing w:val="-9"/>
          <w:sz w:val="20"/>
        </w:rPr>
        <w:t> </w:t>
      </w:r>
      <w:r>
        <w:rPr>
          <w:sz w:val="20"/>
        </w:rPr>
        <w:t>are</w:t>
      </w:r>
      <w:r>
        <w:rPr>
          <w:spacing w:val="-7"/>
          <w:sz w:val="20"/>
        </w:rPr>
        <w:t> </w:t>
      </w:r>
      <w:r>
        <w:rPr>
          <w:sz w:val="20"/>
        </w:rPr>
        <w:t>assigned</w:t>
      </w:r>
      <w:r>
        <w:rPr>
          <w:spacing w:val="-3"/>
          <w:sz w:val="20"/>
        </w:rPr>
        <w:t> </w:t>
      </w:r>
      <w:r>
        <w:rPr>
          <w:sz w:val="20"/>
        </w:rPr>
        <w:t>to</w:t>
      </w:r>
      <w:r>
        <w:rPr>
          <w:spacing w:val="-8"/>
          <w:sz w:val="20"/>
        </w:rPr>
        <w:t> </w:t>
      </w:r>
      <w:r>
        <w:rPr>
          <w:sz w:val="20"/>
        </w:rPr>
        <w:t>one or more cases, liaise with legal representatives, support the programme manager, run the victim identification and eligibility processes and prepare the quarterly reports to be submitted to the relevant Chamber. Legal team members travel to situation countries to prepare draft implementation plans, carry out victim identification or consult with stakeholders when</w:t>
      </w:r>
      <w:r>
        <w:rPr>
          <w:spacing w:val="-3"/>
          <w:sz w:val="20"/>
        </w:rPr>
        <w:t> </w:t>
      </w:r>
      <w:r>
        <w:rPr>
          <w:sz w:val="20"/>
        </w:rPr>
        <w:t>developing an</w:t>
      </w:r>
      <w:r>
        <w:rPr>
          <w:spacing w:val="-3"/>
          <w:sz w:val="20"/>
        </w:rPr>
        <w:t> </w:t>
      </w:r>
      <w:r>
        <w:rPr>
          <w:sz w:val="20"/>
        </w:rPr>
        <w:t>implementation</w:t>
      </w:r>
      <w:r>
        <w:rPr>
          <w:spacing w:val="-3"/>
          <w:sz w:val="20"/>
        </w:rPr>
        <w:t> </w:t>
      </w:r>
      <w:r>
        <w:rPr>
          <w:sz w:val="20"/>
        </w:rPr>
        <w:t>plan</w:t>
      </w:r>
      <w:r>
        <w:rPr>
          <w:spacing w:val="-3"/>
          <w:sz w:val="20"/>
        </w:rPr>
        <w:t> </w:t>
      </w:r>
      <w:r>
        <w:rPr>
          <w:sz w:val="20"/>
        </w:rPr>
        <w:t>and</w:t>
      </w:r>
      <w:r>
        <w:rPr>
          <w:spacing w:val="-3"/>
          <w:sz w:val="20"/>
        </w:rPr>
        <w:t> </w:t>
      </w:r>
      <w:r>
        <w:rPr>
          <w:sz w:val="20"/>
        </w:rPr>
        <w:t>in</w:t>
      </w:r>
      <w:r>
        <w:rPr>
          <w:spacing w:val="-3"/>
          <w:sz w:val="20"/>
        </w:rPr>
        <w:t> </w:t>
      </w:r>
      <w:r>
        <w:rPr>
          <w:sz w:val="20"/>
        </w:rPr>
        <w:t>relation</w:t>
      </w:r>
      <w:r>
        <w:rPr>
          <w:spacing w:val="-3"/>
          <w:sz w:val="20"/>
        </w:rPr>
        <w:t> </w:t>
      </w:r>
      <w:r>
        <w:rPr>
          <w:sz w:val="20"/>
        </w:rPr>
        <w:t>to</w:t>
      </w:r>
      <w:r>
        <w:rPr>
          <w:spacing w:val="-3"/>
          <w:sz w:val="20"/>
        </w:rPr>
        <w:t> </w:t>
      </w:r>
      <w:r>
        <w:rPr>
          <w:sz w:val="20"/>
        </w:rPr>
        <w:t>the</w:t>
      </w:r>
      <w:r>
        <w:rPr>
          <w:spacing w:val="-1"/>
          <w:sz w:val="20"/>
        </w:rPr>
        <w:t> </w:t>
      </w:r>
      <w:r>
        <w:rPr>
          <w:sz w:val="20"/>
        </w:rPr>
        <w:t>implementation of reparations. In addition, the legal staff are also involved in the procurement of partners and ensuring that implementing partners for reparations adhere to the approved implementation plan. The Legal Adviser and team are invested in the Secretariat’s policy- making.</w:t>
      </w:r>
      <w:r>
        <w:rPr>
          <w:spacing w:val="-6"/>
          <w:sz w:val="20"/>
        </w:rPr>
        <w:t> </w:t>
      </w:r>
      <w:r>
        <w:rPr>
          <w:sz w:val="20"/>
        </w:rPr>
        <w:t>The</w:t>
      </w:r>
      <w:r>
        <w:rPr>
          <w:spacing w:val="-6"/>
          <w:sz w:val="20"/>
        </w:rPr>
        <w:t> </w:t>
      </w:r>
      <w:r>
        <w:rPr>
          <w:sz w:val="20"/>
        </w:rPr>
        <w:t>workload</w:t>
      </w:r>
      <w:r>
        <w:rPr>
          <w:spacing w:val="-3"/>
          <w:sz w:val="20"/>
        </w:rPr>
        <w:t> </w:t>
      </w:r>
      <w:r>
        <w:rPr>
          <w:sz w:val="20"/>
        </w:rPr>
        <w:t>of</w:t>
      </w:r>
      <w:r>
        <w:rPr>
          <w:spacing w:val="-7"/>
          <w:sz w:val="20"/>
        </w:rPr>
        <w:t> </w:t>
      </w:r>
      <w:r>
        <w:rPr>
          <w:sz w:val="20"/>
        </w:rPr>
        <w:t>the</w:t>
      </w:r>
      <w:r>
        <w:rPr>
          <w:spacing w:val="-6"/>
          <w:sz w:val="20"/>
        </w:rPr>
        <w:t> </w:t>
      </w:r>
      <w:r>
        <w:rPr>
          <w:sz w:val="20"/>
        </w:rPr>
        <w:t>four</w:t>
      </w:r>
      <w:r>
        <w:rPr>
          <w:spacing w:val="-7"/>
          <w:sz w:val="20"/>
        </w:rPr>
        <w:t> </w:t>
      </w:r>
      <w:r>
        <w:rPr>
          <w:sz w:val="20"/>
        </w:rPr>
        <w:t>expected</w:t>
      </w:r>
      <w:r>
        <w:rPr>
          <w:spacing w:val="-7"/>
          <w:sz w:val="20"/>
        </w:rPr>
        <w:t> </w:t>
      </w:r>
      <w:r>
        <w:rPr>
          <w:sz w:val="20"/>
        </w:rPr>
        <w:t>reparations</w:t>
      </w:r>
      <w:r>
        <w:rPr>
          <w:spacing w:val="-4"/>
          <w:sz w:val="20"/>
        </w:rPr>
        <w:t> </w:t>
      </w:r>
      <w:r>
        <w:rPr>
          <w:sz w:val="20"/>
        </w:rPr>
        <w:t>cases</w:t>
      </w:r>
      <w:r>
        <w:rPr>
          <w:spacing w:val="-13"/>
          <w:sz w:val="20"/>
        </w:rPr>
        <w:t> </w:t>
      </w:r>
      <w:r>
        <w:rPr>
          <w:sz w:val="20"/>
        </w:rPr>
        <w:t>requires</w:t>
      </w:r>
      <w:r>
        <w:rPr>
          <w:spacing w:val="-8"/>
          <w:sz w:val="20"/>
        </w:rPr>
        <w:t> </w:t>
      </w:r>
      <w:r>
        <w:rPr>
          <w:sz w:val="20"/>
        </w:rPr>
        <w:t>the</w:t>
      </w:r>
      <w:r>
        <w:rPr>
          <w:spacing w:val="-10"/>
          <w:sz w:val="20"/>
        </w:rPr>
        <w:t> </w:t>
      </w:r>
      <w:r>
        <w:rPr>
          <w:sz w:val="20"/>
        </w:rPr>
        <w:t>continuation</w:t>
      </w:r>
      <w:r>
        <w:rPr>
          <w:spacing w:val="-7"/>
          <w:sz w:val="20"/>
        </w:rPr>
        <w:t> </w:t>
      </w:r>
      <w:r>
        <w:rPr>
          <w:sz w:val="20"/>
        </w:rPr>
        <w:t>of</w:t>
      </w:r>
      <w:r>
        <w:rPr>
          <w:spacing w:val="-7"/>
          <w:sz w:val="20"/>
        </w:rPr>
        <w:t> </w:t>
      </w:r>
      <w:r>
        <w:rPr>
          <w:sz w:val="20"/>
        </w:rPr>
        <w:t>the Associate Legal Officer positions to ensure the quality of the TFV’s legal observations as well as expeditious and high-impact implementation of reparations. Accordingly, the continuation for 12 months of three GTA Associate Legal Officer (P-2) positions is </w:t>
      </w:r>
      <w:r>
        <w:rPr>
          <w:spacing w:val="-2"/>
          <w:sz w:val="20"/>
        </w:rPr>
        <w:t>requested.</w:t>
      </w:r>
    </w:p>
    <w:p>
      <w:pPr>
        <w:pStyle w:val="ListParagraph"/>
        <w:numPr>
          <w:ilvl w:val="0"/>
          <w:numId w:val="4"/>
        </w:numPr>
        <w:tabs>
          <w:tab w:pos="2967" w:val="left" w:leader="none"/>
        </w:tabs>
        <w:spacing w:line="240" w:lineRule="auto" w:before="126" w:after="0"/>
        <w:ind w:left="2246" w:right="2236" w:firstLine="0"/>
        <w:jc w:val="both"/>
        <w:rPr>
          <w:sz w:val="20"/>
        </w:rPr>
      </w:pPr>
      <w:r>
        <w:rPr>
          <w:sz w:val="20"/>
        </w:rPr>
        <w:t>The TFV staff members who conduct interviews for victim identification may require appropriate psychological support, before and after interview sessions. While the Registry’s Victims and Witnesses Section (VWS) has provided training to TFV legal staff, the</w:t>
      </w:r>
      <w:r>
        <w:rPr>
          <w:spacing w:val="-13"/>
          <w:sz w:val="20"/>
        </w:rPr>
        <w:t> </w:t>
      </w:r>
      <w:r>
        <w:rPr>
          <w:sz w:val="20"/>
        </w:rPr>
        <w:t>function</w:t>
      </w:r>
      <w:r>
        <w:rPr>
          <w:spacing w:val="-12"/>
          <w:sz w:val="20"/>
        </w:rPr>
        <w:t> </w:t>
      </w:r>
      <w:r>
        <w:rPr>
          <w:sz w:val="20"/>
        </w:rPr>
        <w:t>of</w:t>
      </w:r>
      <w:r>
        <w:rPr>
          <w:spacing w:val="-13"/>
          <w:sz w:val="20"/>
        </w:rPr>
        <w:t> </w:t>
      </w:r>
      <w:r>
        <w:rPr>
          <w:sz w:val="20"/>
        </w:rPr>
        <w:t>psychological</w:t>
      </w:r>
      <w:r>
        <w:rPr>
          <w:spacing w:val="-11"/>
          <w:sz w:val="20"/>
        </w:rPr>
        <w:t> </w:t>
      </w:r>
      <w:r>
        <w:rPr>
          <w:sz w:val="20"/>
        </w:rPr>
        <w:t>support</w:t>
      </w:r>
      <w:r>
        <w:rPr>
          <w:spacing w:val="-10"/>
          <w:sz w:val="20"/>
        </w:rPr>
        <w:t> </w:t>
      </w:r>
      <w:r>
        <w:rPr>
          <w:sz w:val="20"/>
        </w:rPr>
        <w:t>will</w:t>
      </w:r>
      <w:r>
        <w:rPr>
          <w:spacing w:val="-10"/>
          <w:sz w:val="20"/>
        </w:rPr>
        <w:t> </w:t>
      </w:r>
      <w:r>
        <w:rPr>
          <w:sz w:val="20"/>
        </w:rPr>
        <w:t>need</w:t>
      </w:r>
      <w:r>
        <w:rPr>
          <w:spacing w:val="-11"/>
          <w:sz w:val="20"/>
        </w:rPr>
        <w:t> </w:t>
      </w:r>
      <w:r>
        <w:rPr>
          <w:sz w:val="20"/>
        </w:rPr>
        <w:t>to</w:t>
      </w:r>
      <w:r>
        <w:rPr>
          <w:spacing w:val="-11"/>
          <w:sz w:val="20"/>
        </w:rPr>
        <w:t> </w:t>
      </w:r>
      <w:r>
        <w:rPr>
          <w:sz w:val="20"/>
        </w:rPr>
        <w:t>be</w:t>
      </w:r>
      <w:r>
        <w:rPr>
          <w:spacing w:val="-10"/>
          <w:sz w:val="20"/>
        </w:rPr>
        <w:t> </w:t>
      </w:r>
      <w:r>
        <w:rPr>
          <w:sz w:val="20"/>
        </w:rPr>
        <w:t>further</w:t>
      </w:r>
      <w:r>
        <w:rPr>
          <w:spacing w:val="-11"/>
          <w:sz w:val="20"/>
        </w:rPr>
        <w:t> </w:t>
      </w:r>
      <w:r>
        <w:rPr>
          <w:sz w:val="20"/>
        </w:rPr>
        <w:t>strengthened,</w:t>
      </w:r>
      <w:r>
        <w:rPr>
          <w:spacing w:val="-9"/>
          <w:sz w:val="20"/>
        </w:rPr>
        <w:t> </w:t>
      </w:r>
      <w:r>
        <w:rPr>
          <w:sz w:val="20"/>
        </w:rPr>
        <w:t>and</w:t>
      </w:r>
      <w:r>
        <w:rPr>
          <w:spacing w:val="-11"/>
          <w:sz w:val="20"/>
        </w:rPr>
        <w:t> </w:t>
      </w:r>
      <w:r>
        <w:rPr>
          <w:sz w:val="20"/>
        </w:rPr>
        <w:t>synergies</w:t>
      </w:r>
      <w:r>
        <w:rPr>
          <w:spacing w:val="-13"/>
          <w:sz w:val="20"/>
        </w:rPr>
        <w:t> </w:t>
      </w:r>
      <w:r>
        <w:rPr>
          <w:sz w:val="20"/>
        </w:rPr>
        <w:t>with the Registry will be explored.</w:t>
      </w:r>
    </w:p>
    <w:p>
      <w:pPr>
        <w:pStyle w:val="BodyText"/>
        <w:spacing w:before="7"/>
      </w:pPr>
    </w:p>
    <w:p>
      <w:pPr>
        <w:pStyle w:val="Heading3"/>
        <w:jc w:val="both"/>
      </w:pPr>
      <w:r>
        <w:rPr/>
        <w:t>Organization</w:t>
      </w:r>
      <w:r>
        <w:rPr>
          <w:spacing w:val="-8"/>
        </w:rPr>
        <w:t> </w:t>
      </w:r>
      <w:r>
        <w:rPr/>
        <w:t>and</w:t>
      </w:r>
      <w:r>
        <w:rPr>
          <w:spacing w:val="-3"/>
        </w:rPr>
        <w:t> </w:t>
      </w:r>
      <w:r>
        <w:rPr>
          <w:spacing w:val="-2"/>
        </w:rPr>
        <w:t>governance</w:t>
      </w:r>
    </w:p>
    <w:p>
      <w:pPr>
        <w:pStyle w:val="BodyText"/>
        <w:spacing w:before="10"/>
        <w:rPr>
          <w:b/>
        </w:rPr>
      </w:pPr>
    </w:p>
    <w:p>
      <w:pPr>
        <w:pStyle w:val="ListParagraph"/>
        <w:numPr>
          <w:ilvl w:val="0"/>
          <w:numId w:val="4"/>
        </w:numPr>
        <w:tabs>
          <w:tab w:pos="2967" w:val="left" w:leader="none"/>
        </w:tabs>
        <w:spacing w:line="240" w:lineRule="auto" w:before="1" w:after="0"/>
        <w:ind w:left="2246" w:right="2240" w:firstLine="0"/>
        <w:jc w:val="both"/>
        <w:rPr>
          <w:sz w:val="20"/>
        </w:rPr>
      </w:pPr>
      <w:r>
        <w:rPr>
          <w:sz w:val="20"/>
        </w:rPr>
        <w:t>On account of the exponential growth of the TFV’s portfolio of investments and activities, the pace of operations and the implementation rate have accelerated. As a result, the</w:t>
      </w:r>
      <w:r>
        <w:rPr>
          <w:spacing w:val="-2"/>
          <w:sz w:val="20"/>
        </w:rPr>
        <w:t> </w:t>
      </w:r>
      <w:r>
        <w:rPr>
          <w:sz w:val="20"/>
        </w:rPr>
        <w:t>TFV</w:t>
      </w:r>
      <w:r>
        <w:rPr>
          <w:spacing w:val="-5"/>
          <w:sz w:val="20"/>
        </w:rPr>
        <w:t> </w:t>
      </w:r>
      <w:r>
        <w:rPr>
          <w:sz w:val="20"/>
        </w:rPr>
        <w:t>has</w:t>
      </w:r>
      <w:r>
        <w:rPr>
          <w:spacing w:val="-5"/>
          <w:sz w:val="20"/>
        </w:rPr>
        <w:t> </w:t>
      </w:r>
      <w:r>
        <w:rPr>
          <w:sz w:val="20"/>
        </w:rPr>
        <w:t>to</w:t>
      </w:r>
      <w:r>
        <w:rPr>
          <w:spacing w:val="-4"/>
          <w:sz w:val="20"/>
        </w:rPr>
        <w:t> </w:t>
      </w:r>
      <w:r>
        <w:rPr>
          <w:sz w:val="20"/>
        </w:rPr>
        <w:t>manage</w:t>
      </w:r>
      <w:r>
        <w:rPr>
          <w:spacing w:val="-2"/>
          <w:sz w:val="20"/>
        </w:rPr>
        <w:t> </w:t>
      </w:r>
      <w:r>
        <w:rPr>
          <w:sz w:val="20"/>
        </w:rPr>
        <w:t>a</w:t>
      </w:r>
      <w:r>
        <w:rPr>
          <w:spacing w:val="-2"/>
          <w:sz w:val="20"/>
        </w:rPr>
        <w:t> </w:t>
      </w:r>
      <w:r>
        <w:rPr>
          <w:sz w:val="20"/>
        </w:rPr>
        <w:t>high number of</w:t>
      </w:r>
      <w:r>
        <w:rPr>
          <w:spacing w:val="-4"/>
          <w:sz w:val="20"/>
        </w:rPr>
        <w:t> </w:t>
      </w:r>
      <w:r>
        <w:rPr>
          <w:sz w:val="20"/>
        </w:rPr>
        <w:t>complexities</w:t>
      </w:r>
      <w:r>
        <w:rPr>
          <w:spacing w:val="-5"/>
          <w:sz w:val="20"/>
        </w:rPr>
        <w:t> </w:t>
      </w:r>
      <w:r>
        <w:rPr>
          <w:sz w:val="20"/>
        </w:rPr>
        <w:t>on</w:t>
      </w:r>
      <w:r>
        <w:rPr>
          <w:spacing w:val="-4"/>
          <w:sz w:val="20"/>
        </w:rPr>
        <w:t> </w:t>
      </w:r>
      <w:r>
        <w:rPr>
          <w:sz w:val="20"/>
        </w:rPr>
        <w:t>a</w:t>
      </w:r>
      <w:r>
        <w:rPr>
          <w:spacing w:val="-2"/>
          <w:sz w:val="20"/>
        </w:rPr>
        <w:t> </w:t>
      </w:r>
      <w:r>
        <w:rPr>
          <w:sz w:val="20"/>
        </w:rPr>
        <w:t>daily basis while discharging</w:t>
      </w:r>
      <w:r>
        <w:rPr>
          <w:spacing w:val="-4"/>
          <w:sz w:val="20"/>
        </w:rPr>
        <w:t> </w:t>
      </w:r>
      <w:r>
        <w:rPr>
          <w:sz w:val="20"/>
        </w:rPr>
        <w:t>its obligations</w:t>
      </w:r>
      <w:r>
        <w:rPr>
          <w:spacing w:val="-5"/>
          <w:sz w:val="20"/>
        </w:rPr>
        <w:t> </w:t>
      </w:r>
      <w:r>
        <w:rPr>
          <w:sz w:val="20"/>
        </w:rPr>
        <w:t>to</w:t>
      </w:r>
      <w:r>
        <w:rPr>
          <w:spacing w:val="-4"/>
          <w:sz w:val="20"/>
        </w:rPr>
        <w:t> </w:t>
      </w:r>
      <w:r>
        <w:rPr>
          <w:sz w:val="20"/>
        </w:rPr>
        <w:t>the Court</w:t>
      </w:r>
      <w:r>
        <w:rPr>
          <w:spacing w:val="-2"/>
          <w:sz w:val="20"/>
        </w:rPr>
        <w:t> </w:t>
      </w:r>
      <w:r>
        <w:rPr>
          <w:sz w:val="20"/>
        </w:rPr>
        <w:t>and</w:t>
      </w:r>
      <w:r>
        <w:rPr>
          <w:spacing w:val="-4"/>
          <w:sz w:val="20"/>
        </w:rPr>
        <w:t> </w:t>
      </w:r>
      <w:r>
        <w:rPr>
          <w:sz w:val="20"/>
        </w:rPr>
        <w:t>to victims.</w:t>
      </w:r>
      <w:r>
        <w:rPr>
          <w:spacing w:val="-1"/>
          <w:sz w:val="20"/>
        </w:rPr>
        <w:t> </w:t>
      </w:r>
      <w:r>
        <w:rPr>
          <w:sz w:val="20"/>
        </w:rPr>
        <w:t>To</w:t>
      </w:r>
      <w:r>
        <w:rPr>
          <w:spacing w:val="-4"/>
          <w:sz w:val="20"/>
        </w:rPr>
        <w:t> </w:t>
      </w:r>
      <w:r>
        <w:rPr>
          <w:sz w:val="20"/>
        </w:rPr>
        <w:t>be</w:t>
      </w:r>
      <w:r>
        <w:rPr>
          <w:spacing w:val="-2"/>
          <w:sz w:val="20"/>
        </w:rPr>
        <w:t> </w:t>
      </w:r>
      <w:r>
        <w:rPr>
          <w:sz w:val="20"/>
        </w:rPr>
        <w:t>able</w:t>
      </w:r>
      <w:r>
        <w:rPr>
          <w:spacing w:val="-2"/>
          <w:sz w:val="20"/>
        </w:rPr>
        <w:t> </w:t>
      </w:r>
      <w:r>
        <w:rPr>
          <w:sz w:val="20"/>
        </w:rPr>
        <w:t>to</w:t>
      </w:r>
      <w:r>
        <w:rPr>
          <w:spacing w:val="-4"/>
          <w:sz w:val="20"/>
        </w:rPr>
        <w:t> </w:t>
      </w:r>
      <w:r>
        <w:rPr>
          <w:sz w:val="20"/>
        </w:rPr>
        <w:t>continue to do so,</w:t>
      </w:r>
      <w:r>
        <w:rPr>
          <w:spacing w:val="-1"/>
          <w:sz w:val="20"/>
        </w:rPr>
        <w:t> </w:t>
      </w:r>
      <w:r>
        <w:rPr>
          <w:sz w:val="20"/>
        </w:rPr>
        <w:t>the</w:t>
      </w:r>
      <w:r>
        <w:rPr>
          <w:spacing w:val="-2"/>
          <w:sz w:val="20"/>
        </w:rPr>
        <w:t> </w:t>
      </w:r>
      <w:r>
        <w:rPr>
          <w:sz w:val="20"/>
        </w:rPr>
        <w:t>TFV</w:t>
      </w:r>
      <w:r>
        <w:rPr>
          <w:spacing w:val="-5"/>
          <w:sz w:val="20"/>
        </w:rPr>
        <w:t> </w:t>
      </w:r>
      <w:r>
        <w:rPr>
          <w:sz w:val="20"/>
        </w:rPr>
        <w:t>must retain its ability to respond flexibly to unexpected developments, for example by temporarily redeploying field-based staff, temporarily deploying staff to field locations and engaging short-term</w:t>
      </w:r>
      <w:r>
        <w:rPr>
          <w:spacing w:val="-3"/>
          <w:sz w:val="20"/>
        </w:rPr>
        <w:t> </w:t>
      </w:r>
      <w:r>
        <w:rPr>
          <w:sz w:val="20"/>
        </w:rPr>
        <w:t>consultants.</w:t>
      </w:r>
    </w:p>
    <w:p>
      <w:pPr>
        <w:pStyle w:val="ListParagraph"/>
        <w:numPr>
          <w:ilvl w:val="0"/>
          <w:numId w:val="4"/>
        </w:numPr>
        <w:tabs>
          <w:tab w:pos="2967" w:val="left" w:leader="none"/>
        </w:tabs>
        <w:spacing w:line="240" w:lineRule="auto" w:before="118" w:after="0"/>
        <w:ind w:left="2246" w:right="2246" w:firstLine="0"/>
        <w:jc w:val="both"/>
        <w:rPr>
          <w:sz w:val="20"/>
        </w:rPr>
      </w:pPr>
      <w:r>
        <w:rPr>
          <w:sz w:val="20"/>
        </w:rPr>
        <w:t>In</w:t>
      </w:r>
      <w:r>
        <w:rPr>
          <w:spacing w:val="-6"/>
          <w:sz w:val="20"/>
        </w:rPr>
        <w:t> </w:t>
      </w:r>
      <w:r>
        <w:rPr>
          <w:sz w:val="20"/>
        </w:rPr>
        <w:t>order</w:t>
      </w:r>
      <w:r>
        <w:rPr>
          <w:spacing w:val="-10"/>
          <w:sz w:val="20"/>
        </w:rPr>
        <w:t> </w:t>
      </w:r>
      <w:r>
        <w:rPr>
          <w:sz w:val="20"/>
        </w:rPr>
        <w:t>to</w:t>
      </w:r>
      <w:r>
        <w:rPr>
          <w:spacing w:val="-10"/>
          <w:sz w:val="20"/>
        </w:rPr>
        <w:t> </w:t>
      </w:r>
      <w:r>
        <w:rPr>
          <w:sz w:val="20"/>
        </w:rPr>
        <w:t>further</w:t>
      </w:r>
      <w:r>
        <w:rPr>
          <w:spacing w:val="-6"/>
          <w:sz w:val="20"/>
        </w:rPr>
        <w:t> </w:t>
      </w:r>
      <w:r>
        <w:rPr>
          <w:sz w:val="20"/>
        </w:rPr>
        <w:t>strengthen</w:t>
      </w:r>
      <w:r>
        <w:rPr>
          <w:spacing w:val="-10"/>
          <w:sz w:val="20"/>
        </w:rPr>
        <w:t> </w:t>
      </w:r>
      <w:r>
        <w:rPr>
          <w:sz w:val="20"/>
        </w:rPr>
        <w:t>management</w:t>
      </w:r>
      <w:r>
        <w:rPr>
          <w:spacing w:val="-9"/>
          <w:sz w:val="20"/>
        </w:rPr>
        <w:t> </w:t>
      </w:r>
      <w:r>
        <w:rPr>
          <w:sz w:val="20"/>
        </w:rPr>
        <w:t>and</w:t>
      </w:r>
      <w:r>
        <w:rPr>
          <w:spacing w:val="-10"/>
          <w:sz w:val="20"/>
        </w:rPr>
        <w:t> </w:t>
      </w:r>
      <w:r>
        <w:rPr>
          <w:sz w:val="20"/>
        </w:rPr>
        <w:t>implementation</w:t>
      </w:r>
      <w:r>
        <w:rPr>
          <w:spacing w:val="-6"/>
          <w:sz w:val="20"/>
        </w:rPr>
        <w:t> </w:t>
      </w:r>
      <w:r>
        <w:rPr>
          <w:sz w:val="20"/>
        </w:rPr>
        <w:t>capacities,</w:t>
      </w:r>
      <w:r>
        <w:rPr>
          <w:spacing w:val="-8"/>
          <w:sz w:val="20"/>
        </w:rPr>
        <w:t> </w:t>
      </w:r>
      <w:r>
        <w:rPr>
          <w:sz w:val="20"/>
        </w:rPr>
        <w:t>the</w:t>
      </w:r>
      <w:r>
        <w:rPr>
          <w:spacing w:val="-9"/>
          <w:sz w:val="20"/>
        </w:rPr>
        <w:t> </w:t>
      </w:r>
      <w:r>
        <w:rPr>
          <w:sz w:val="20"/>
        </w:rPr>
        <w:t>Trust Fund seeks to maintain and build on the Secretariat’s core organizational capabilities, as it has done over the past three years, with the mobilization of essential senior staff posts, including the field-based Programme Managers and the Legal Adviser, as well as their respective direct reports. Considering the required strategic and policy work, it can be expected that the Secretariat’s core organizational capabilities will take greater shape, for example</w:t>
      </w:r>
      <w:r>
        <w:rPr>
          <w:spacing w:val="-9"/>
          <w:sz w:val="20"/>
        </w:rPr>
        <w:t> </w:t>
      </w:r>
      <w:r>
        <w:rPr>
          <w:sz w:val="20"/>
        </w:rPr>
        <w:t>in</w:t>
      </w:r>
      <w:r>
        <w:rPr>
          <w:spacing w:val="-9"/>
          <w:sz w:val="20"/>
        </w:rPr>
        <w:t> </w:t>
      </w:r>
      <w:r>
        <w:rPr>
          <w:sz w:val="20"/>
        </w:rPr>
        <w:t>the</w:t>
      </w:r>
      <w:r>
        <w:rPr>
          <w:spacing w:val="-9"/>
          <w:sz w:val="20"/>
        </w:rPr>
        <w:t> </w:t>
      </w:r>
      <w:r>
        <w:rPr>
          <w:sz w:val="20"/>
        </w:rPr>
        <w:t>area</w:t>
      </w:r>
      <w:r>
        <w:rPr>
          <w:spacing w:val="-9"/>
          <w:sz w:val="20"/>
        </w:rPr>
        <w:t> </w:t>
      </w:r>
      <w:r>
        <w:rPr>
          <w:sz w:val="20"/>
        </w:rPr>
        <w:t>of</w:t>
      </w:r>
      <w:r>
        <w:rPr>
          <w:spacing w:val="-6"/>
          <w:sz w:val="20"/>
        </w:rPr>
        <w:t> </w:t>
      </w:r>
      <w:r>
        <w:rPr>
          <w:sz w:val="20"/>
        </w:rPr>
        <w:t>fund</w:t>
      </w:r>
      <w:r>
        <w:rPr>
          <w:spacing w:val="-9"/>
          <w:sz w:val="20"/>
        </w:rPr>
        <w:t> </w:t>
      </w:r>
      <w:r>
        <w:rPr>
          <w:sz w:val="20"/>
        </w:rPr>
        <w:t>management</w:t>
      </w:r>
      <w:r>
        <w:rPr>
          <w:spacing w:val="-9"/>
          <w:sz w:val="20"/>
        </w:rPr>
        <w:t> </w:t>
      </w:r>
      <w:r>
        <w:rPr>
          <w:sz w:val="20"/>
        </w:rPr>
        <w:t>and</w:t>
      </w:r>
      <w:r>
        <w:rPr>
          <w:spacing w:val="-9"/>
          <w:sz w:val="20"/>
        </w:rPr>
        <w:t> </w:t>
      </w:r>
      <w:r>
        <w:rPr>
          <w:sz w:val="20"/>
        </w:rPr>
        <w:t>programme</w:t>
      </w:r>
      <w:r>
        <w:rPr>
          <w:spacing w:val="-9"/>
          <w:sz w:val="20"/>
        </w:rPr>
        <w:t> </w:t>
      </w:r>
      <w:r>
        <w:rPr>
          <w:sz w:val="20"/>
        </w:rPr>
        <w:t>development,</w:t>
      </w:r>
      <w:r>
        <w:rPr>
          <w:spacing w:val="-3"/>
          <w:sz w:val="20"/>
        </w:rPr>
        <w:t> </w:t>
      </w:r>
      <w:r>
        <w:rPr>
          <w:sz w:val="20"/>
        </w:rPr>
        <w:t>both</w:t>
      </w:r>
      <w:r>
        <w:rPr>
          <w:spacing w:val="-9"/>
          <w:sz w:val="20"/>
        </w:rPr>
        <w:t> </w:t>
      </w:r>
      <w:r>
        <w:rPr>
          <w:sz w:val="20"/>
        </w:rPr>
        <w:t>at</w:t>
      </w:r>
      <w:r>
        <w:rPr>
          <w:spacing w:val="-4"/>
          <w:sz w:val="20"/>
        </w:rPr>
        <w:t> </w:t>
      </w:r>
      <w:r>
        <w:rPr>
          <w:sz w:val="20"/>
        </w:rPr>
        <w:t>Headquarters and in the field.</w:t>
      </w:r>
    </w:p>
    <w:p>
      <w:pPr>
        <w:pStyle w:val="ListParagraph"/>
        <w:numPr>
          <w:ilvl w:val="0"/>
          <w:numId w:val="4"/>
        </w:numPr>
        <w:tabs>
          <w:tab w:pos="2967" w:val="left" w:leader="none"/>
        </w:tabs>
        <w:spacing w:line="240" w:lineRule="auto" w:before="124" w:after="0"/>
        <w:ind w:left="2246" w:right="2241" w:firstLine="0"/>
        <w:jc w:val="both"/>
        <w:rPr>
          <w:sz w:val="20"/>
        </w:rPr>
      </w:pPr>
      <w:r>
        <w:rPr>
          <w:sz w:val="20"/>
        </w:rPr>
        <w:t>Financial</w:t>
      </w:r>
      <w:r>
        <w:rPr>
          <w:spacing w:val="-13"/>
          <w:sz w:val="20"/>
        </w:rPr>
        <w:t> </w:t>
      </w:r>
      <w:r>
        <w:rPr>
          <w:sz w:val="20"/>
        </w:rPr>
        <w:t>and</w:t>
      </w:r>
      <w:r>
        <w:rPr>
          <w:spacing w:val="-12"/>
          <w:sz w:val="20"/>
        </w:rPr>
        <w:t> </w:t>
      </w:r>
      <w:r>
        <w:rPr>
          <w:sz w:val="20"/>
        </w:rPr>
        <w:t>managerial</w:t>
      </w:r>
      <w:r>
        <w:rPr>
          <w:spacing w:val="-13"/>
          <w:sz w:val="20"/>
        </w:rPr>
        <w:t> </w:t>
      </w:r>
      <w:r>
        <w:rPr>
          <w:sz w:val="20"/>
        </w:rPr>
        <w:t>control</w:t>
      </w:r>
      <w:r>
        <w:rPr>
          <w:spacing w:val="-12"/>
          <w:sz w:val="20"/>
        </w:rPr>
        <w:t> </w:t>
      </w:r>
      <w:r>
        <w:rPr>
          <w:sz w:val="20"/>
        </w:rPr>
        <w:t>of</w:t>
      </w:r>
      <w:r>
        <w:rPr>
          <w:spacing w:val="-13"/>
          <w:sz w:val="20"/>
        </w:rPr>
        <w:t> </w:t>
      </w:r>
      <w:r>
        <w:rPr>
          <w:sz w:val="20"/>
        </w:rPr>
        <w:t>the</w:t>
      </w:r>
      <w:r>
        <w:rPr>
          <w:spacing w:val="-12"/>
          <w:sz w:val="20"/>
        </w:rPr>
        <w:t> </w:t>
      </w:r>
      <w:r>
        <w:rPr>
          <w:sz w:val="20"/>
        </w:rPr>
        <w:t>Secretariat</w:t>
      </w:r>
      <w:r>
        <w:rPr>
          <w:spacing w:val="-13"/>
          <w:sz w:val="20"/>
        </w:rPr>
        <w:t> </w:t>
      </w:r>
      <w:r>
        <w:rPr>
          <w:sz w:val="20"/>
        </w:rPr>
        <w:t>rests</w:t>
      </w:r>
      <w:r>
        <w:rPr>
          <w:spacing w:val="-12"/>
          <w:sz w:val="20"/>
        </w:rPr>
        <w:t> </w:t>
      </w:r>
      <w:r>
        <w:rPr>
          <w:sz w:val="20"/>
        </w:rPr>
        <w:t>with</w:t>
      </w:r>
      <w:r>
        <w:rPr>
          <w:spacing w:val="-13"/>
          <w:sz w:val="20"/>
        </w:rPr>
        <w:t> </w:t>
      </w:r>
      <w:r>
        <w:rPr>
          <w:sz w:val="20"/>
        </w:rPr>
        <w:t>the</w:t>
      </w:r>
      <w:r>
        <w:rPr>
          <w:spacing w:val="-12"/>
          <w:sz w:val="20"/>
        </w:rPr>
        <w:t> </w:t>
      </w:r>
      <w:r>
        <w:rPr>
          <w:sz w:val="20"/>
        </w:rPr>
        <w:t>Executive</w:t>
      </w:r>
      <w:r>
        <w:rPr>
          <w:spacing w:val="-13"/>
          <w:sz w:val="20"/>
        </w:rPr>
        <w:t> </w:t>
      </w:r>
      <w:r>
        <w:rPr>
          <w:sz w:val="20"/>
        </w:rPr>
        <w:t>Director, supported by</w:t>
      </w:r>
      <w:r>
        <w:rPr>
          <w:spacing w:val="-4"/>
          <w:sz w:val="20"/>
        </w:rPr>
        <w:t> </w:t>
      </w:r>
      <w:r>
        <w:rPr>
          <w:sz w:val="20"/>
        </w:rPr>
        <w:t>the</w:t>
      </w:r>
      <w:r>
        <w:rPr>
          <w:spacing w:val="-2"/>
          <w:sz w:val="20"/>
        </w:rPr>
        <w:t> </w:t>
      </w:r>
      <w:r>
        <w:rPr>
          <w:sz w:val="20"/>
        </w:rPr>
        <w:t>Legal Adviser</w:t>
      </w:r>
      <w:r>
        <w:rPr>
          <w:spacing w:val="-4"/>
          <w:sz w:val="20"/>
        </w:rPr>
        <w:t> </w:t>
      </w:r>
      <w:r>
        <w:rPr>
          <w:sz w:val="20"/>
        </w:rPr>
        <w:t>in</w:t>
      </w:r>
      <w:r>
        <w:rPr>
          <w:spacing w:val="-4"/>
          <w:sz w:val="20"/>
        </w:rPr>
        <w:t> </w:t>
      </w:r>
      <w:r>
        <w:rPr>
          <w:sz w:val="20"/>
        </w:rPr>
        <w:t>a</w:t>
      </w:r>
      <w:r>
        <w:rPr>
          <w:spacing w:val="-2"/>
          <w:sz w:val="20"/>
        </w:rPr>
        <w:t> </w:t>
      </w:r>
      <w:r>
        <w:rPr>
          <w:sz w:val="20"/>
        </w:rPr>
        <w:t>deputy</w:t>
      </w:r>
      <w:r>
        <w:rPr>
          <w:spacing w:val="-4"/>
          <w:sz w:val="20"/>
        </w:rPr>
        <w:t> </w:t>
      </w:r>
      <w:r>
        <w:rPr>
          <w:sz w:val="20"/>
        </w:rPr>
        <w:t>role.</w:t>
      </w:r>
      <w:r>
        <w:rPr>
          <w:spacing w:val="-1"/>
          <w:sz w:val="20"/>
        </w:rPr>
        <w:t> </w:t>
      </w:r>
      <w:r>
        <w:rPr>
          <w:sz w:val="20"/>
        </w:rPr>
        <w:t>The</w:t>
      </w:r>
      <w:r>
        <w:rPr>
          <w:spacing w:val="-2"/>
          <w:sz w:val="20"/>
        </w:rPr>
        <w:t> </w:t>
      </w:r>
      <w:r>
        <w:rPr>
          <w:sz w:val="20"/>
        </w:rPr>
        <w:t>biweekly</w:t>
      </w:r>
      <w:r>
        <w:rPr>
          <w:spacing w:val="-4"/>
          <w:sz w:val="20"/>
        </w:rPr>
        <w:t> </w:t>
      </w:r>
      <w:r>
        <w:rPr>
          <w:sz w:val="20"/>
        </w:rPr>
        <w:t>meetings of</w:t>
      </w:r>
      <w:r>
        <w:rPr>
          <w:spacing w:val="-4"/>
          <w:sz w:val="20"/>
        </w:rPr>
        <w:t> </w:t>
      </w:r>
      <w:r>
        <w:rPr>
          <w:sz w:val="20"/>
        </w:rPr>
        <w:t>the</w:t>
      </w:r>
      <w:r>
        <w:rPr>
          <w:spacing w:val="-2"/>
          <w:sz w:val="20"/>
        </w:rPr>
        <w:t> </w:t>
      </w:r>
      <w:r>
        <w:rPr>
          <w:sz w:val="20"/>
        </w:rPr>
        <w:t>coordination team, which is composed of these two posts in addition to the Programme Managers, the Finance Officer, the Fundraising and Visibility Officer and the Monitoring and Evaluation Officer, also form an effective additional management tool.</w:t>
      </w:r>
    </w:p>
    <w:p>
      <w:pPr>
        <w:pStyle w:val="ListParagraph"/>
        <w:numPr>
          <w:ilvl w:val="0"/>
          <w:numId w:val="4"/>
        </w:numPr>
        <w:tabs>
          <w:tab w:pos="2967" w:val="left" w:leader="none"/>
        </w:tabs>
        <w:spacing w:line="240" w:lineRule="auto" w:before="117" w:after="0"/>
        <w:ind w:left="2246" w:right="2240" w:firstLine="0"/>
        <w:jc w:val="both"/>
        <w:rPr>
          <w:sz w:val="20"/>
        </w:rPr>
      </w:pPr>
      <w:r>
        <w:rPr>
          <w:sz w:val="20"/>
        </w:rPr>
        <w:t>Given</w:t>
      </w:r>
      <w:r>
        <w:rPr>
          <w:spacing w:val="-13"/>
          <w:sz w:val="20"/>
        </w:rPr>
        <w:t> </w:t>
      </w:r>
      <w:r>
        <w:rPr>
          <w:sz w:val="20"/>
        </w:rPr>
        <w:t>the</w:t>
      </w:r>
      <w:r>
        <w:rPr>
          <w:spacing w:val="-12"/>
          <w:sz w:val="20"/>
        </w:rPr>
        <w:t> </w:t>
      </w:r>
      <w:r>
        <w:rPr>
          <w:sz w:val="20"/>
        </w:rPr>
        <w:t>outcome</w:t>
      </w:r>
      <w:r>
        <w:rPr>
          <w:spacing w:val="-13"/>
          <w:sz w:val="20"/>
        </w:rPr>
        <w:t> </w:t>
      </w:r>
      <w:r>
        <w:rPr>
          <w:sz w:val="20"/>
        </w:rPr>
        <w:t>of</w:t>
      </w:r>
      <w:r>
        <w:rPr>
          <w:spacing w:val="-12"/>
          <w:sz w:val="20"/>
        </w:rPr>
        <w:t> </w:t>
      </w:r>
      <w:r>
        <w:rPr>
          <w:sz w:val="20"/>
        </w:rPr>
        <w:t>the</w:t>
      </w:r>
      <w:r>
        <w:rPr>
          <w:spacing w:val="-13"/>
          <w:sz w:val="20"/>
        </w:rPr>
        <w:t> </w:t>
      </w:r>
      <w:r>
        <w:rPr>
          <w:sz w:val="20"/>
        </w:rPr>
        <w:t>Review</w:t>
      </w:r>
      <w:r>
        <w:rPr>
          <w:spacing w:val="-12"/>
          <w:sz w:val="20"/>
        </w:rPr>
        <w:t> </w:t>
      </w:r>
      <w:r>
        <w:rPr>
          <w:sz w:val="20"/>
        </w:rPr>
        <w:t>Mechanism</w:t>
      </w:r>
      <w:r>
        <w:rPr>
          <w:spacing w:val="-13"/>
          <w:sz w:val="20"/>
        </w:rPr>
        <w:t> </w:t>
      </w:r>
      <w:r>
        <w:rPr>
          <w:sz w:val="20"/>
        </w:rPr>
        <w:t>assessment</w:t>
      </w:r>
      <w:r>
        <w:rPr>
          <w:spacing w:val="-12"/>
          <w:sz w:val="20"/>
        </w:rPr>
        <w:t> </w:t>
      </w:r>
      <w:r>
        <w:rPr>
          <w:sz w:val="20"/>
        </w:rPr>
        <w:t>process,</w:t>
      </w:r>
      <w:r>
        <w:rPr>
          <w:spacing w:val="-13"/>
          <w:sz w:val="20"/>
        </w:rPr>
        <w:t> </w:t>
      </w:r>
      <w:r>
        <w:rPr>
          <w:sz w:val="20"/>
        </w:rPr>
        <w:t>referred</w:t>
      </w:r>
      <w:r>
        <w:rPr>
          <w:spacing w:val="-12"/>
          <w:sz w:val="20"/>
        </w:rPr>
        <w:t> </w:t>
      </w:r>
      <w:r>
        <w:rPr>
          <w:sz w:val="20"/>
        </w:rPr>
        <w:t>to</w:t>
      </w:r>
      <w:r>
        <w:rPr>
          <w:spacing w:val="-13"/>
          <w:sz w:val="20"/>
        </w:rPr>
        <w:t> </w:t>
      </w:r>
      <w:r>
        <w:rPr>
          <w:sz w:val="20"/>
        </w:rPr>
        <w:t>above, the Trust Fund’s focus for 2023 will be on further streamlining and enhancing its internal work</w:t>
      </w:r>
      <w:r>
        <w:rPr>
          <w:spacing w:val="-4"/>
          <w:sz w:val="20"/>
        </w:rPr>
        <w:t> </w:t>
      </w:r>
      <w:r>
        <w:rPr>
          <w:sz w:val="20"/>
        </w:rPr>
        <w:t>processes</w:t>
      </w:r>
      <w:r>
        <w:rPr>
          <w:spacing w:val="-10"/>
          <w:sz w:val="20"/>
        </w:rPr>
        <w:t> </w:t>
      </w:r>
      <w:r>
        <w:rPr>
          <w:sz w:val="20"/>
        </w:rPr>
        <w:t>and</w:t>
      </w:r>
      <w:r>
        <w:rPr>
          <w:spacing w:val="-8"/>
          <w:sz w:val="20"/>
        </w:rPr>
        <w:t> </w:t>
      </w:r>
      <w:r>
        <w:rPr>
          <w:sz w:val="20"/>
        </w:rPr>
        <w:t>putting</w:t>
      </w:r>
      <w:r>
        <w:rPr>
          <w:spacing w:val="-8"/>
          <w:sz w:val="20"/>
        </w:rPr>
        <w:t> </w:t>
      </w:r>
      <w:r>
        <w:rPr>
          <w:sz w:val="20"/>
        </w:rPr>
        <w:t>in</w:t>
      </w:r>
      <w:r>
        <w:rPr>
          <w:spacing w:val="-8"/>
          <w:sz w:val="20"/>
        </w:rPr>
        <w:t> </w:t>
      </w:r>
      <w:r>
        <w:rPr>
          <w:sz w:val="20"/>
        </w:rPr>
        <w:t>place</w:t>
      </w:r>
      <w:r>
        <w:rPr>
          <w:spacing w:val="-7"/>
          <w:sz w:val="20"/>
        </w:rPr>
        <w:t> </w:t>
      </w:r>
      <w:r>
        <w:rPr>
          <w:sz w:val="20"/>
        </w:rPr>
        <w:t>enhanced</w:t>
      </w:r>
      <w:r>
        <w:rPr>
          <w:spacing w:val="-8"/>
          <w:sz w:val="20"/>
        </w:rPr>
        <w:t> </w:t>
      </w:r>
      <w:r>
        <w:rPr>
          <w:sz w:val="20"/>
        </w:rPr>
        <w:t>coordination</w:t>
      </w:r>
      <w:r>
        <w:rPr>
          <w:spacing w:val="-8"/>
          <w:sz w:val="20"/>
        </w:rPr>
        <w:t> </w:t>
      </w:r>
      <w:r>
        <w:rPr>
          <w:sz w:val="20"/>
        </w:rPr>
        <w:t>and</w:t>
      </w:r>
      <w:r>
        <w:rPr>
          <w:spacing w:val="-4"/>
          <w:sz w:val="20"/>
        </w:rPr>
        <w:t> </w:t>
      </w:r>
      <w:r>
        <w:rPr>
          <w:sz w:val="20"/>
        </w:rPr>
        <w:t>additional</w:t>
      </w:r>
      <w:r>
        <w:rPr>
          <w:spacing w:val="-7"/>
          <w:sz w:val="20"/>
        </w:rPr>
        <w:t> </w:t>
      </w:r>
      <w:r>
        <w:rPr>
          <w:sz w:val="20"/>
        </w:rPr>
        <w:t>synergies</w:t>
      </w:r>
      <w:r>
        <w:rPr>
          <w:spacing w:val="-5"/>
          <w:sz w:val="20"/>
        </w:rPr>
        <w:t> </w:t>
      </w:r>
      <w:r>
        <w:rPr>
          <w:sz w:val="20"/>
        </w:rPr>
        <w:t>with</w:t>
      </w:r>
      <w:r>
        <w:rPr>
          <w:spacing w:val="-8"/>
          <w:sz w:val="20"/>
        </w:rPr>
        <w:t> </w:t>
      </w:r>
      <w:r>
        <w:rPr>
          <w:sz w:val="20"/>
        </w:rPr>
        <w:t>the Registry,</w:t>
      </w:r>
      <w:r>
        <w:rPr>
          <w:spacing w:val="-1"/>
          <w:sz w:val="20"/>
        </w:rPr>
        <w:t> </w:t>
      </w:r>
      <w:r>
        <w:rPr>
          <w:sz w:val="20"/>
        </w:rPr>
        <w:t>insofar</w:t>
      </w:r>
      <w:r>
        <w:rPr>
          <w:spacing w:val="-4"/>
          <w:sz w:val="20"/>
        </w:rPr>
        <w:t> </w:t>
      </w:r>
      <w:r>
        <w:rPr>
          <w:sz w:val="20"/>
        </w:rPr>
        <w:t>as</w:t>
      </w:r>
      <w:r>
        <w:rPr>
          <w:spacing w:val="-5"/>
          <w:sz w:val="20"/>
        </w:rPr>
        <w:t> </w:t>
      </w:r>
      <w:r>
        <w:rPr>
          <w:sz w:val="20"/>
        </w:rPr>
        <w:t>this</w:t>
      </w:r>
      <w:r>
        <w:rPr>
          <w:spacing w:val="-5"/>
          <w:sz w:val="20"/>
        </w:rPr>
        <w:t> </w:t>
      </w:r>
      <w:r>
        <w:rPr>
          <w:sz w:val="20"/>
        </w:rPr>
        <w:t>is agreed upon</w:t>
      </w:r>
      <w:r>
        <w:rPr>
          <w:spacing w:val="-4"/>
          <w:sz w:val="20"/>
        </w:rPr>
        <w:t> </w:t>
      </w:r>
      <w:r>
        <w:rPr>
          <w:sz w:val="20"/>
        </w:rPr>
        <w:t>as part</w:t>
      </w:r>
      <w:r>
        <w:rPr>
          <w:spacing w:val="-2"/>
          <w:sz w:val="20"/>
        </w:rPr>
        <w:t> </w:t>
      </w:r>
      <w:r>
        <w:rPr>
          <w:sz w:val="20"/>
        </w:rPr>
        <w:t>of</w:t>
      </w:r>
      <w:r>
        <w:rPr>
          <w:spacing w:val="-4"/>
          <w:sz w:val="20"/>
        </w:rPr>
        <w:t> </w:t>
      </w:r>
      <w:r>
        <w:rPr>
          <w:sz w:val="20"/>
        </w:rPr>
        <w:t>the</w:t>
      </w:r>
      <w:r>
        <w:rPr>
          <w:spacing w:val="-2"/>
          <w:sz w:val="20"/>
        </w:rPr>
        <w:t> </w:t>
      </w:r>
      <w:r>
        <w:rPr>
          <w:sz w:val="20"/>
        </w:rPr>
        <w:t>outcome of</w:t>
      </w:r>
      <w:r>
        <w:rPr>
          <w:spacing w:val="-4"/>
          <w:sz w:val="20"/>
        </w:rPr>
        <w:t> </w:t>
      </w:r>
      <w:r>
        <w:rPr>
          <w:sz w:val="20"/>
        </w:rPr>
        <w:t>the</w:t>
      </w:r>
      <w:r>
        <w:rPr>
          <w:spacing w:val="-2"/>
          <w:sz w:val="20"/>
        </w:rPr>
        <w:t> </w:t>
      </w:r>
      <w:r>
        <w:rPr>
          <w:sz w:val="20"/>
        </w:rPr>
        <w:t>exercise to seek further </w:t>
      </w:r>
      <w:r>
        <w:rPr>
          <w:spacing w:val="-2"/>
          <w:sz w:val="20"/>
        </w:rPr>
        <w:t>improvements.</w:t>
      </w:r>
    </w:p>
    <w:p>
      <w:pPr>
        <w:pStyle w:val="ListParagraph"/>
        <w:numPr>
          <w:ilvl w:val="0"/>
          <w:numId w:val="4"/>
        </w:numPr>
        <w:tabs>
          <w:tab w:pos="2967" w:val="left" w:leader="none"/>
        </w:tabs>
        <w:spacing w:line="240" w:lineRule="auto" w:before="123" w:after="0"/>
        <w:ind w:left="2246" w:right="2246" w:firstLine="0"/>
        <w:jc w:val="both"/>
        <w:rPr>
          <w:sz w:val="20"/>
        </w:rPr>
      </w:pPr>
      <w:r>
        <w:rPr>
          <w:sz w:val="20"/>
        </w:rPr>
        <w:t>The TFV Secretariat is currently undergoing a leadership transition that will continue into 2023. The outgoing Executive Director will continue as Adviser to the TFV Board of Directors until June 2023 to accompany the transition and related key processes.</w:t>
      </w:r>
    </w:p>
    <w:p>
      <w:pPr>
        <w:pStyle w:val="ListParagraph"/>
        <w:numPr>
          <w:ilvl w:val="0"/>
          <w:numId w:val="4"/>
        </w:numPr>
        <w:tabs>
          <w:tab w:pos="2967" w:val="left" w:leader="none"/>
        </w:tabs>
        <w:spacing w:line="240" w:lineRule="auto" w:before="122" w:after="0"/>
        <w:ind w:left="2246" w:right="2249" w:firstLine="0"/>
        <w:jc w:val="both"/>
        <w:rPr>
          <w:sz w:val="20"/>
        </w:rPr>
      </w:pPr>
      <w:r>
        <w:rPr>
          <w:sz w:val="20"/>
        </w:rPr>
        <w:t>Under the oversight of the Board, the Executive Director is in charge of the management</w:t>
      </w:r>
      <w:r>
        <w:rPr>
          <w:spacing w:val="26"/>
          <w:sz w:val="20"/>
        </w:rPr>
        <w:t> </w:t>
      </w:r>
      <w:r>
        <w:rPr>
          <w:sz w:val="20"/>
        </w:rPr>
        <w:t>of</w:t>
      </w:r>
      <w:r>
        <w:rPr>
          <w:spacing w:val="24"/>
          <w:sz w:val="20"/>
        </w:rPr>
        <w:t> </w:t>
      </w:r>
      <w:r>
        <w:rPr>
          <w:sz w:val="20"/>
        </w:rPr>
        <w:t>the</w:t>
      </w:r>
      <w:r>
        <w:rPr>
          <w:spacing w:val="26"/>
          <w:sz w:val="20"/>
        </w:rPr>
        <w:t> </w:t>
      </w:r>
      <w:r>
        <w:rPr>
          <w:sz w:val="20"/>
        </w:rPr>
        <w:t>extrabudgetary</w:t>
      </w:r>
      <w:r>
        <w:rPr>
          <w:spacing w:val="29"/>
          <w:sz w:val="20"/>
        </w:rPr>
        <w:t> </w:t>
      </w:r>
      <w:r>
        <w:rPr>
          <w:sz w:val="20"/>
        </w:rPr>
        <w:t>resources</w:t>
      </w:r>
      <w:r>
        <w:rPr>
          <w:spacing w:val="27"/>
          <w:sz w:val="20"/>
        </w:rPr>
        <w:t> </w:t>
      </w:r>
      <w:r>
        <w:rPr>
          <w:sz w:val="20"/>
        </w:rPr>
        <w:t>of</w:t>
      </w:r>
      <w:r>
        <w:rPr>
          <w:spacing w:val="24"/>
          <w:sz w:val="20"/>
        </w:rPr>
        <w:t> </w:t>
      </w:r>
      <w:r>
        <w:rPr>
          <w:sz w:val="20"/>
        </w:rPr>
        <w:t>the</w:t>
      </w:r>
      <w:r>
        <w:rPr>
          <w:spacing w:val="26"/>
          <w:sz w:val="20"/>
        </w:rPr>
        <w:t> </w:t>
      </w:r>
      <w:r>
        <w:rPr>
          <w:sz w:val="20"/>
        </w:rPr>
        <w:t>Trust</w:t>
      </w:r>
      <w:r>
        <w:rPr>
          <w:spacing w:val="21"/>
          <w:sz w:val="20"/>
        </w:rPr>
        <w:t> </w:t>
      </w:r>
      <w:r>
        <w:rPr>
          <w:sz w:val="20"/>
        </w:rPr>
        <w:t>Fund</w:t>
      </w:r>
      <w:r>
        <w:rPr>
          <w:spacing w:val="29"/>
          <w:sz w:val="20"/>
        </w:rPr>
        <w:t> </w:t>
      </w:r>
      <w:r>
        <w:rPr>
          <w:sz w:val="20"/>
        </w:rPr>
        <w:t>(voluntary</w:t>
      </w:r>
      <w:r>
        <w:rPr>
          <w:spacing w:val="24"/>
          <w:sz w:val="20"/>
        </w:rPr>
        <w:t> </w:t>
      </w:r>
      <w:r>
        <w:rPr>
          <w:sz w:val="20"/>
        </w:rPr>
        <w:t>contributions,</w:t>
      </w:r>
    </w:p>
    <w:p>
      <w:pPr>
        <w:spacing w:after="0" w:line="240" w:lineRule="auto"/>
        <w:jc w:val="both"/>
        <w:rPr>
          <w:sz w:val="20"/>
        </w:rPr>
        <w:sectPr>
          <w:pgSz w:w="11910" w:h="16840"/>
          <w:pgMar w:header="953" w:footer="940" w:top="1140" w:bottom="1140" w:left="20" w:right="20"/>
        </w:sectPr>
      </w:pPr>
    </w:p>
    <w:p>
      <w:pPr>
        <w:pStyle w:val="BodyText"/>
        <w:spacing w:before="120"/>
        <w:ind w:left="2246" w:right="2237"/>
        <w:jc w:val="both"/>
      </w:pPr>
      <w:r>
        <w:rPr/>
        <w:t>fines, income from forfeiture orders) and directly accountable to the Board for the use of these funds. The Board has ultimate responsibility for assigning funds to reparations and assistance programmes and related incidental activities. With the support of the Associate Executive Officer, the Executive Director also manages public donor relationships. At Headquarters, the Finance Officer and his team ensure that the funds are recorded and assigned to the relevant activities. They also ensure that funds are disbursed as per requests submitted by the Programme Managers or relevant programme officers, assisted by the relevant Registry offices. Disbursements to implementing partners are processed by the Finance Officer and approved by the Executive Director upon submission of the reports of implementing</w:t>
      </w:r>
      <w:r>
        <w:rPr>
          <w:spacing w:val="-5"/>
        </w:rPr>
        <w:t> </w:t>
      </w:r>
      <w:r>
        <w:rPr/>
        <w:t>partners,</w:t>
      </w:r>
      <w:r>
        <w:rPr>
          <w:spacing w:val="-7"/>
        </w:rPr>
        <w:t> </w:t>
      </w:r>
      <w:r>
        <w:rPr/>
        <w:t>as</w:t>
      </w:r>
      <w:r>
        <w:rPr>
          <w:spacing w:val="-11"/>
        </w:rPr>
        <w:t> </w:t>
      </w:r>
      <w:r>
        <w:rPr/>
        <w:t>received</w:t>
      </w:r>
      <w:r>
        <w:rPr>
          <w:spacing w:val="-9"/>
        </w:rPr>
        <w:t> </w:t>
      </w:r>
      <w:r>
        <w:rPr/>
        <w:t>and</w:t>
      </w:r>
      <w:r>
        <w:rPr>
          <w:spacing w:val="-5"/>
        </w:rPr>
        <w:t> </w:t>
      </w:r>
      <w:r>
        <w:rPr/>
        <w:t>verified</w:t>
      </w:r>
      <w:r>
        <w:rPr>
          <w:spacing w:val="-5"/>
        </w:rPr>
        <w:t> </w:t>
      </w:r>
      <w:r>
        <w:rPr/>
        <w:t>by</w:t>
      </w:r>
      <w:r>
        <w:rPr>
          <w:spacing w:val="-9"/>
        </w:rPr>
        <w:t> </w:t>
      </w:r>
      <w:r>
        <w:rPr/>
        <w:t>the</w:t>
      </w:r>
      <w:r>
        <w:rPr>
          <w:spacing w:val="-3"/>
        </w:rPr>
        <w:t> </w:t>
      </w:r>
      <w:r>
        <w:rPr/>
        <w:t>Programme</w:t>
      </w:r>
      <w:r>
        <w:rPr>
          <w:spacing w:val="-3"/>
        </w:rPr>
        <w:t> </w:t>
      </w:r>
      <w:r>
        <w:rPr/>
        <w:t>Managers.</w:t>
      </w:r>
      <w:r>
        <w:rPr>
          <w:spacing w:val="-7"/>
        </w:rPr>
        <w:t> </w:t>
      </w:r>
      <w:r>
        <w:rPr/>
        <w:t>The</w:t>
      </w:r>
      <w:r>
        <w:rPr>
          <w:spacing w:val="-8"/>
        </w:rPr>
        <w:t> </w:t>
      </w:r>
      <w:r>
        <w:rPr/>
        <w:t>Associate Executive Officer</w:t>
      </w:r>
      <w:r>
        <w:rPr>
          <w:spacing w:val="-2"/>
        </w:rPr>
        <w:t> </w:t>
      </w:r>
      <w:r>
        <w:rPr/>
        <w:t>ensures</w:t>
      </w:r>
      <w:r>
        <w:rPr>
          <w:spacing w:val="-3"/>
        </w:rPr>
        <w:t> </w:t>
      </w:r>
      <w:r>
        <w:rPr/>
        <w:t>that reports</w:t>
      </w:r>
      <w:r>
        <w:rPr>
          <w:spacing w:val="-3"/>
        </w:rPr>
        <w:t> </w:t>
      </w:r>
      <w:r>
        <w:rPr/>
        <w:t>and reporting deadlines to</w:t>
      </w:r>
      <w:r>
        <w:rPr>
          <w:spacing w:val="-2"/>
        </w:rPr>
        <w:t> </w:t>
      </w:r>
      <w:r>
        <w:rPr/>
        <w:t>the donors</w:t>
      </w:r>
      <w:r>
        <w:rPr>
          <w:spacing w:val="-3"/>
        </w:rPr>
        <w:t> </w:t>
      </w:r>
      <w:r>
        <w:rPr/>
        <w:t>are maintained. The Legal Adviser advises on compliance of the managed funds with the terms of donor agreements and services contracts with implementing partners, and remains informed of all relevant processes.</w:t>
      </w:r>
      <w:r>
        <w:rPr>
          <w:spacing w:val="-1"/>
        </w:rPr>
        <w:t> </w:t>
      </w:r>
      <w:r>
        <w:rPr/>
        <w:t>The</w:t>
      </w:r>
      <w:r>
        <w:rPr>
          <w:spacing w:val="-2"/>
        </w:rPr>
        <w:t> </w:t>
      </w:r>
      <w:r>
        <w:rPr/>
        <w:t>Associate Executive Officer</w:t>
      </w:r>
      <w:r>
        <w:rPr>
          <w:spacing w:val="-4"/>
        </w:rPr>
        <w:t> </w:t>
      </w:r>
      <w:r>
        <w:rPr/>
        <w:t>and</w:t>
      </w:r>
      <w:r>
        <w:rPr>
          <w:spacing w:val="-4"/>
        </w:rPr>
        <w:t> </w:t>
      </w:r>
      <w:r>
        <w:rPr/>
        <w:t>her</w:t>
      </w:r>
      <w:r>
        <w:rPr>
          <w:spacing w:val="-4"/>
        </w:rPr>
        <w:t> </w:t>
      </w:r>
      <w:r>
        <w:rPr/>
        <w:t>team</w:t>
      </w:r>
      <w:r>
        <w:rPr>
          <w:spacing w:val="-2"/>
        </w:rPr>
        <w:t> </w:t>
      </w:r>
      <w:r>
        <w:rPr/>
        <w:t>also organize the</w:t>
      </w:r>
      <w:r>
        <w:rPr>
          <w:spacing w:val="-2"/>
        </w:rPr>
        <w:t> </w:t>
      </w:r>
      <w:r>
        <w:rPr/>
        <w:t>drafting of the reports to the Assembly and the Committee and of the annual TFV reports.</w:t>
      </w:r>
    </w:p>
    <w:p>
      <w:pPr>
        <w:pStyle w:val="ListParagraph"/>
        <w:numPr>
          <w:ilvl w:val="0"/>
          <w:numId w:val="4"/>
        </w:numPr>
        <w:tabs>
          <w:tab w:pos="2967" w:val="left" w:leader="none"/>
        </w:tabs>
        <w:spacing w:line="240" w:lineRule="auto" w:before="123" w:after="0"/>
        <w:ind w:left="2246" w:right="2241" w:firstLine="0"/>
        <w:jc w:val="both"/>
        <w:rPr>
          <w:sz w:val="20"/>
        </w:rPr>
      </w:pPr>
      <w:r>
        <w:rPr>
          <w:sz w:val="20"/>
        </w:rPr>
        <w:t>The</w:t>
      </w:r>
      <w:r>
        <w:rPr>
          <w:spacing w:val="-2"/>
          <w:sz w:val="20"/>
        </w:rPr>
        <w:t> </w:t>
      </w:r>
      <w:r>
        <w:rPr>
          <w:sz w:val="20"/>
        </w:rPr>
        <w:t>financial</w:t>
      </w:r>
      <w:r>
        <w:rPr>
          <w:spacing w:val="-2"/>
          <w:sz w:val="20"/>
        </w:rPr>
        <w:t> </w:t>
      </w:r>
      <w:r>
        <w:rPr>
          <w:sz w:val="20"/>
        </w:rPr>
        <w:t>reporting</w:t>
      </w:r>
      <w:r>
        <w:rPr>
          <w:spacing w:val="-4"/>
          <w:sz w:val="20"/>
        </w:rPr>
        <w:t> </w:t>
      </w:r>
      <w:r>
        <w:rPr>
          <w:sz w:val="20"/>
        </w:rPr>
        <w:t>from</w:t>
      </w:r>
      <w:r>
        <w:rPr>
          <w:spacing w:val="-2"/>
          <w:sz w:val="20"/>
        </w:rPr>
        <w:t> </w:t>
      </w:r>
      <w:r>
        <w:rPr>
          <w:sz w:val="20"/>
        </w:rPr>
        <w:t>implementing partners</w:t>
      </w:r>
      <w:r>
        <w:rPr>
          <w:spacing w:val="-5"/>
          <w:sz w:val="20"/>
        </w:rPr>
        <w:t> </w:t>
      </w:r>
      <w:r>
        <w:rPr>
          <w:sz w:val="20"/>
        </w:rPr>
        <w:t>is</w:t>
      </w:r>
      <w:r>
        <w:rPr>
          <w:spacing w:val="-1"/>
          <w:sz w:val="20"/>
        </w:rPr>
        <w:t> </w:t>
      </w:r>
      <w:r>
        <w:rPr>
          <w:sz w:val="20"/>
        </w:rPr>
        <w:t>recorded</w:t>
      </w:r>
      <w:r>
        <w:rPr>
          <w:spacing w:val="-4"/>
          <w:sz w:val="20"/>
        </w:rPr>
        <w:t> </w:t>
      </w:r>
      <w:r>
        <w:rPr>
          <w:sz w:val="20"/>
        </w:rPr>
        <w:t>in</w:t>
      </w:r>
      <w:r>
        <w:rPr>
          <w:spacing w:val="-4"/>
          <w:sz w:val="20"/>
        </w:rPr>
        <w:t> </w:t>
      </w:r>
      <w:r>
        <w:rPr>
          <w:sz w:val="20"/>
        </w:rPr>
        <w:t>the</w:t>
      </w:r>
      <w:r>
        <w:rPr>
          <w:spacing w:val="-7"/>
          <w:sz w:val="20"/>
        </w:rPr>
        <w:t> </w:t>
      </w:r>
      <w:r>
        <w:rPr>
          <w:sz w:val="20"/>
        </w:rPr>
        <w:t>Trust</w:t>
      </w:r>
      <w:r>
        <w:rPr>
          <w:spacing w:val="-2"/>
          <w:sz w:val="20"/>
        </w:rPr>
        <w:t> </w:t>
      </w:r>
      <w:r>
        <w:rPr>
          <w:sz w:val="20"/>
        </w:rPr>
        <w:t>Fund’s SAP Grants Management system, established in accordance with regulation 38 of the TFV Regulations, and in a system for impact-related information after being verified and controlled by the Monitoring and Evaluation Officer. This electronic reporting system is currently not efficiently interfaced with</w:t>
      </w:r>
      <w:r>
        <w:rPr>
          <w:spacing w:val="-5"/>
          <w:sz w:val="20"/>
        </w:rPr>
        <w:t> </w:t>
      </w:r>
      <w:r>
        <w:rPr>
          <w:sz w:val="20"/>
        </w:rPr>
        <w:t>the</w:t>
      </w:r>
      <w:r>
        <w:rPr>
          <w:spacing w:val="-3"/>
          <w:sz w:val="20"/>
        </w:rPr>
        <w:t> </w:t>
      </w:r>
      <w:r>
        <w:rPr>
          <w:sz w:val="20"/>
        </w:rPr>
        <w:t>Court’s</w:t>
      </w:r>
      <w:r>
        <w:rPr>
          <w:spacing w:val="-1"/>
          <w:sz w:val="20"/>
        </w:rPr>
        <w:t> </w:t>
      </w:r>
      <w:r>
        <w:rPr>
          <w:sz w:val="20"/>
        </w:rPr>
        <w:t>electronic system</w:t>
      </w:r>
      <w:r>
        <w:rPr>
          <w:spacing w:val="-3"/>
          <w:sz w:val="20"/>
        </w:rPr>
        <w:t> </w:t>
      </w:r>
      <w:r>
        <w:rPr>
          <w:sz w:val="20"/>
        </w:rPr>
        <w:t>and</w:t>
      </w:r>
      <w:r>
        <w:rPr>
          <w:spacing w:val="-5"/>
          <w:sz w:val="20"/>
        </w:rPr>
        <w:t> </w:t>
      </w:r>
      <w:r>
        <w:rPr>
          <w:sz w:val="20"/>
        </w:rPr>
        <w:t>therefore requires intensive</w:t>
      </w:r>
      <w:r>
        <w:rPr>
          <w:spacing w:val="-3"/>
          <w:sz w:val="20"/>
        </w:rPr>
        <w:t> </w:t>
      </w:r>
      <w:r>
        <w:rPr>
          <w:sz w:val="20"/>
        </w:rPr>
        <w:t>staff</w:t>
      </w:r>
      <w:r>
        <w:rPr>
          <w:spacing w:val="-8"/>
          <w:sz w:val="20"/>
        </w:rPr>
        <w:t> </w:t>
      </w:r>
      <w:r>
        <w:rPr>
          <w:sz w:val="20"/>
        </w:rPr>
        <w:t>resources</w:t>
      </w:r>
      <w:r>
        <w:rPr>
          <w:spacing w:val="-6"/>
          <w:sz w:val="20"/>
        </w:rPr>
        <w:t> </w:t>
      </w:r>
      <w:r>
        <w:rPr>
          <w:sz w:val="20"/>
        </w:rPr>
        <w:t>to</w:t>
      </w:r>
      <w:r>
        <w:rPr>
          <w:spacing w:val="-5"/>
          <w:sz w:val="20"/>
        </w:rPr>
        <w:t> </w:t>
      </w:r>
      <w:r>
        <w:rPr>
          <w:sz w:val="20"/>
        </w:rPr>
        <w:t>be</w:t>
      </w:r>
      <w:r>
        <w:rPr>
          <w:spacing w:val="-7"/>
          <w:sz w:val="20"/>
        </w:rPr>
        <w:t> </w:t>
      </w:r>
      <w:r>
        <w:rPr>
          <w:sz w:val="20"/>
        </w:rPr>
        <w:t>maintained.</w:t>
      </w:r>
      <w:r>
        <w:rPr>
          <w:spacing w:val="-2"/>
          <w:sz w:val="20"/>
        </w:rPr>
        <w:t> </w:t>
      </w:r>
      <w:r>
        <w:rPr>
          <w:sz w:val="20"/>
        </w:rPr>
        <w:t>An</w:t>
      </w:r>
      <w:r>
        <w:rPr>
          <w:spacing w:val="-5"/>
          <w:sz w:val="20"/>
        </w:rPr>
        <w:t> </w:t>
      </w:r>
      <w:r>
        <w:rPr>
          <w:sz w:val="20"/>
        </w:rPr>
        <w:t>overhaul</w:t>
      </w:r>
      <w:r>
        <w:rPr>
          <w:spacing w:val="-3"/>
          <w:sz w:val="20"/>
        </w:rPr>
        <w:t> </w:t>
      </w:r>
      <w:r>
        <w:rPr>
          <w:sz w:val="20"/>
        </w:rPr>
        <w:t>of</w:t>
      </w:r>
      <w:r>
        <w:rPr>
          <w:spacing w:val="-5"/>
          <w:sz w:val="20"/>
        </w:rPr>
        <w:t> </w:t>
      </w:r>
      <w:r>
        <w:rPr>
          <w:sz w:val="20"/>
        </w:rPr>
        <w:t>this</w:t>
      </w:r>
      <w:r>
        <w:rPr>
          <w:spacing w:val="-1"/>
          <w:sz w:val="20"/>
        </w:rPr>
        <w:t> </w:t>
      </w:r>
      <w:r>
        <w:rPr>
          <w:sz w:val="20"/>
        </w:rPr>
        <w:t>system</w:t>
      </w:r>
      <w:r>
        <w:rPr>
          <w:spacing w:val="-3"/>
          <w:sz w:val="20"/>
        </w:rPr>
        <w:t> </w:t>
      </w:r>
      <w:r>
        <w:rPr>
          <w:sz w:val="20"/>
        </w:rPr>
        <w:t>is urgently</w:t>
      </w:r>
      <w:r>
        <w:rPr>
          <w:spacing w:val="-5"/>
          <w:sz w:val="20"/>
        </w:rPr>
        <w:t> </w:t>
      </w:r>
      <w:r>
        <w:rPr>
          <w:sz w:val="20"/>
        </w:rPr>
        <w:t>required</w:t>
      </w:r>
      <w:r>
        <w:rPr>
          <w:spacing w:val="-8"/>
          <w:sz w:val="20"/>
        </w:rPr>
        <w:t> </w:t>
      </w:r>
      <w:r>
        <w:rPr>
          <w:sz w:val="20"/>
        </w:rPr>
        <w:t>to ensure efficiencies in terms of time and resources in the long run.</w:t>
      </w:r>
    </w:p>
    <w:p>
      <w:pPr>
        <w:pStyle w:val="ListParagraph"/>
        <w:numPr>
          <w:ilvl w:val="0"/>
          <w:numId w:val="4"/>
        </w:numPr>
        <w:tabs>
          <w:tab w:pos="2967" w:val="left" w:leader="none"/>
        </w:tabs>
        <w:spacing w:line="240" w:lineRule="auto" w:before="118" w:after="0"/>
        <w:ind w:left="2246" w:right="2242" w:firstLine="0"/>
        <w:jc w:val="both"/>
        <w:rPr>
          <w:sz w:val="20"/>
        </w:rPr>
      </w:pPr>
      <w:r>
        <w:rPr>
          <w:sz w:val="20"/>
        </w:rPr>
        <w:t>The</w:t>
      </w:r>
      <w:r>
        <w:rPr>
          <w:spacing w:val="-4"/>
          <w:sz w:val="20"/>
        </w:rPr>
        <w:t> </w:t>
      </w:r>
      <w:r>
        <w:rPr>
          <w:sz w:val="20"/>
        </w:rPr>
        <w:t>Associate</w:t>
      </w:r>
      <w:r>
        <w:rPr>
          <w:spacing w:val="-8"/>
          <w:sz w:val="20"/>
        </w:rPr>
        <w:t> </w:t>
      </w:r>
      <w:r>
        <w:rPr>
          <w:sz w:val="20"/>
        </w:rPr>
        <w:t>Executive</w:t>
      </w:r>
      <w:r>
        <w:rPr>
          <w:spacing w:val="-4"/>
          <w:sz w:val="20"/>
        </w:rPr>
        <w:t> </w:t>
      </w:r>
      <w:r>
        <w:rPr>
          <w:sz w:val="20"/>
        </w:rPr>
        <w:t>Officer</w:t>
      </w:r>
      <w:r>
        <w:rPr>
          <w:spacing w:val="-6"/>
          <w:sz w:val="20"/>
        </w:rPr>
        <w:t> </w:t>
      </w:r>
      <w:r>
        <w:rPr>
          <w:sz w:val="20"/>
        </w:rPr>
        <w:t>is</w:t>
      </w:r>
      <w:r>
        <w:rPr>
          <w:spacing w:val="-7"/>
          <w:sz w:val="20"/>
        </w:rPr>
        <w:t> </w:t>
      </w:r>
      <w:r>
        <w:rPr>
          <w:sz w:val="20"/>
        </w:rPr>
        <w:t>generally</w:t>
      </w:r>
      <w:r>
        <w:rPr>
          <w:spacing w:val="-9"/>
          <w:sz w:val="20"/>
        </w:rPr>
        <w:t> </w:t>
      </w:r>
      <w:r>
        <w:rPr>
          <w:sz w:val="20"/>
        </w:rPr>
        <w:t>responsible</w:t>
      </w:r>
      <w:r>
        <w:rPr>
          <w:spacing w:val="-4"/>
          <w:sz w:val="20"/>
        </w:rPr>
        <w:t> </w:t>
      </w:r>
      <w:r>
        <w:rPr>
          <w:sz w:val="20"/>
        </w:rPr>
        <w:t>for</w:t>
      </w:r>
      <w:r>
        <w:rPr>
          <w:spacing w:val="-9"/>
          <w:sz w:val="20"/>
        </w:rPr>
        <w:t> </w:t>
      </w:r>
      <w:r>
        <w:rPr>
          <w:sz w:val="20"/>
        </w:rPr>
        <w:t>ensuring</w:t>
      </w:r>
      <w:r>
        <w:rPr>
          <w:spacing w:val="-6"/>
          <w:sz w:val="20"/>
        </w:rPr>
        <w:t> </w:t>
      </w:r>
      <w:r>
        <w:rPr>
          <w:sz w:val="20"/>
        </w:rPr>
        <w:t>the</w:t>
      </w:r>
      <w:r>
        <w:rPr>
          <w:spacing w:val="-4"/>
          <w:sz w:val="20"/>
        </w:rPr>
        <w:t> </w:t>
      </w:r>
      <w:r>
        <w:rPr>
          <w:sz w:val="20"/>
        </w:rPr>
        <w:t>provision of</w:t>
      </w:r>
      <w:r>
        <w:rPr>
          <w:spacing w:val="-13"/>
          <w:sz w:val="20"/>
        </w:rPr>
        <w:t> </w:t>
      </w:r>
      <w:r>
        <w:rPr>
          <w:sz w:val="20"/>
        </w:rPr>
        <w:t>administrative</w:t>
      </w:r>
      <w:r>
        <w:rPr>
          <w:spacing w:val="-12"/>
          <w:sz w:val="20"/>
        </w:rPr>
        <w:t> </w:t>
      </w:r>
      <w:r>
        <w:rPr>
          <w:sz w:val="20"/>
        </w:rPr>
        <w:t>support</w:t>
      </w:r>
      <w:r>
        <w:rPr>
          <w:spacing w:val="-13"/>
          <w:sz w:val="20"/>
        </w:rPr>
        <w:t> </w:t>
      </w:r>
      <w:r>
        <w:rPr>
          <w:sz w:val="20"/>
        </w:rPr>
        <w:t>to</w:t>
      </w:r>
      <w:r>
        <w:rPr>
          <w:spacing w:val="-12"/>
          <w:sz w:val="20"/>
        </w:rPr>
        <w:t> </w:t>
      </w:r>
      <w:r>
        <w:rPr>
          <w:sz w:val="20"/>
        </w:rPr>
        <w:t>the</w:t>
      </w:r>
      <w:r>
        <w:rPr>
          <w:spacing w:val="-13"/>
          <w:sz w:val="20"/>
        </w:rPr>
        <w:t> </w:t>
      </w:r>
      <w:r>
        <w:rPr>
          <w:sz w:val="20"/>
        </w:rPr>
        <w:t>Board,</w:t>
      </w:r>
      <w:r>
        <w:rPr>
          <w:spacing w:val="-12"/>
          <w:sz w:val="20"/>
        </w:rPr>
        <w:t> </w:t>
      </w:r>
      <w:r>
        <w:rPr>
          <w:sz w:val="20"/>
        </w:rPr>
        <w:t>the</w:t>
      </w:r>
      <w:r>
        <w:rPr>
          <w:spacing w:val="-13"/>
          <w:sz w:val="20"/>
        </w:rPr>
        <w:t> </w:t>
      </w:r>
      <w:r>
        <w:rPr>
          <w:sz w:val="20"/>
        </w:rPr>
        <w:t>Executive</w:t>
      </w:r>
      <w:r>
        <w:rPr>
          <w:spacing w:val="-12"/>
          <w:sz w:val="20"/>
        </w:rPr>
        <w:t> </w:t>
      </w:r>
      <w:r>
        <w:rPr>
          <w:sz w:val="20"/>
        </w:rPr>
        <w:t>Director</w:t>
      </w:r>
      <w:r>
        <w:rPr>
          <w:spacing w:val="-13"/>
          <w:sz w:val="20"/>
        </w:rPr>
        <w:t> </w:t>
      </w:r>
      <w:r>
        <w:rPr>
          <w:sz w:val="20"/>
        </w:rPr>
        <w:t>and</w:t>
      </w:r>
      <w:r>
        <w:rPr>
          <w:spacing w:val="-12"/>
          <w:sz w:val="20"/>
        </w:rPr>
        <w:t> </w:t>
      </w:r>
      <w:r>
        <w:rPr>
          <w:sz w:val="20"/>
        </w:rPr>
        <w:t>other</w:t>
      </w:r>
      <w:r>
        <w:rPr>
          <w:spacing w:val="-13"/>
          <w:sz w:val="20"/>
        </w:rPr>
        <w:t> </w:t>
      </w:r>
      <w:r>
        <w:rPr>
          <w:sz w:val="20"/>
        </w:rPr>
        <w:t>staff</w:t>
      </w:r>
      <w:r>
        <w:rPr>
          <w:spacing w:val="-12"/>
          <w:sz w:val="20"/>
        </w:rPr>
        <w:t> </w:t>
      </w:r>
      <w:r>
        <w:rPr>
          <w:sz w:val="20"/>
        </w:rPr>
        <w:t>members.</w:t>
      </w:r>
      <w:r>
        <w:rPr>
          <w:spacing w:val="-12"/>
          <w:sz w:val="20"/>
        </w:rPr>
        <w:t> </w:t>
      </w:r>
      <w:r>
        <w:rPr>
          <w:sz w:val="20"/>
        </w:rPr>
        <w:t>Apart from managing relations with States, the Associate Executive Officer also supports the human resources/recruitment function as well as the communication function of the Trust Fund by preparing press releases and handling the social media component. The Associate Executive Officer works closely with PIOS, the Programme Managers and the country offices on the issuance of press releases and other communication related to the ongoing activities of the Trust Fund.</w:t>
      </w:r>
    </w:p>
    <w:p>
      <w:pPr>
        <w:pStyle w:val="ListParagraph"/>
        <w:numPr>
          <w:ilvl w:val="0"/>
          <w:numId w:val="4"/>
        </w:numPr>
        <w:tabs>
          <w:tab w:pos="2967" w:val="left" w:leader="none"/>
        </w:tabs>
        <w:spacing w:line="240" w:lineRule="auto" w:before="124" w:after="0"/>
        <w:ind w:left="2246" w:right="2241" w:firstLine="0"/>
        <w:jc w:val="both"/>
        <w:rPr>
          <w:sz w:val="20"/>
        </w:rPr>
      </w:pPr>
      <w:r>
        <w:rPr>
          <w:sz w:val="20"/>
        </w:rPr>
        <w:t>Administrative Assistants carry out a wide array of tasks under the supervision of the Associate</w:t>
      </w:r>
      <w:r>
        <w:rPr>
          <w:spacing w:val="-2"/>
          <w:sz w:val="20"/>
        </w:rPr>
        <w:t> </w:t>
      </w:r>
      <w:r>
        <w:rPr>
          <w:sz w:val="20"/>
        </w:rPr>
        <w:t>Executive Officer. They support</w:t>
      </w:r>
      <w:r>
        <w:rPr>
          <w:spacing w:val="-2"/>
          <w:sz w:val="20"/>
        </w:rPr>
        <w:t> </w:t>
      </w:r>
      <w:r>
        <w:rPr>
          <w:sz w:val="20"/>
        </w:rPr>
        <w:t>the</w:t>
      </w:r>
      <w:r>
        <w:rPr>
          <w:spacing w:val="-2"/>
          <w:sz w:val="20"/>
        </w:rPr>
        <w:t> </w:t>
      </w:r>
      <w:r>
        <w:rPr>
          <w:sz w:val="20"/>
        </w:rPr>
        <w:t>monthly remote or in-person</w:t>
      </w:r>
      <w:r>
        <w:rPr>
          <w:spacing w:val="-4"/>
          <w:sz w:val="20"/>
        </w:rPr>
        <w:t> </w:t>
      </w:r>
      <w:r>
        <w:rPr>
          <w:sz w:val="20"/>
        </w:rPr>
        <w:t>meetings of the</w:t>
      </w:r>
      <w:r>
        <w:rPr>
          <w:spacing w:val="-13"/>
          <w:sz w:val="20"/>
        </w:rPr>
        <w:t> </w:t>
      </w:r>
      <w:r>
        <w:rPr>
          <w:sz w:val="20"/>
        </w:rPr>
        <w:t>Board</w:t>
      </w:r>
      <w:r>
        <w:rPr>
          <w:spacing w:val="-12"/>
          <w:sz w:val="20"/>
        </w:rPr>
        <w:t> </w:t>
      </w:r>
      <w:r>
        <w:rPr>
          <w:sz w:val="20"/>
        </w:rPr>
        <w:t>and</w:t>
      </w:r>
      <w:r>
        <w:rPr>
          <w:spacing w:val="-13"/>
          <w:sz w:val="20"/>
        </w:rPr>
        <w:t> </w:t>
      </w:r>
      <w:r>
        <w:rPr>
          <w:sz w:val="20"/>
        </w:rPr>
        <w:t>communication</w:t>
      </w:r>
      <w:r>
        <w:rPr>
          <w:spacing w:val="-12"/>
          <w:sz w:val="20"/>
        </w:rPr>
        <w:t> </w:t>
      </w:r>
      <w:r>
        <w:rPr>
          <w:sz w:val="20"/>
        </w:rPr>
        <w:t>with</w:t>
      </w:r>
      <w:r>
        <w:rPr>
          <w:spacing w:val="-13"/>
          <w:sz w:val="20"/>
        </w:rPr>
        <w:t> </w:t>
      </w:r>
      <w:r>
        <w:rPr>
          <w:sz w:val="20"/>
        </w:rPr>
        <w:t>the</w:t>
      </w:r>
      <w:r>
        <w:rPr>
          <w:spacing w:val="-12"/>
          <w:sz w:val="20"/>
        </w:rPr>
        <w:t> </w:t>
      </w:r>
      <w:r>
        <w:rPr>
          <w:sz w:val="20"/>
        </w:rPr>
        <w:t>Board</w:t>
      </w:r>
      <w:r>
        <w:rPr>
          <w:spacing w:val="-13"/>
          <w:sz w:val="20"/>
        </w:rPr>
        <w:t> </w:t>
      </w:r>
      <w:r>
        <w:rPr>
          <w:sz w:val="20"/>
        </w:rPr>
        <w:t>by</w:t>
      </w:r>
      <w:r>
        <w:rPr>
          <w:spacing w:val="-12"/>
          <w:sz w:val="20"/>
        </w:rPr>
        <w:t> </w:t>
      </w:r>
      <w:r>
        <w:rPr>
          <w:sz w:val="20"/>
        </w:rPr>
        <w:t>writing</w:t>
      </w:r>
      <w:r>
        <w:rPr>
          <w:spacing w:val="-13"/>
          <w:sz w:val="20"/>
        </w:rPr>
        <w:t> </w:t>
      </w:r>
      <w:r>
        <w:rPr>
          <w:sz w:val="20"/>
        </w:rPr>
        <w:t>minutes,</w:t>
      </w:r>
      <w:r>
        <w:rPr>
          <w:spacing w:val="-12"/>
          <w:sz w:val="20"/>
        </w:rPr>
        <w:t> </w:t>
      </w:r>
      <w:r>
        <w:rPr>
          <w:sz w:val="20"/>
        </w:rPr>
        <w:t>lists</w:t>
      </w:r>
      <w:r>
        <w:rPr>
          <w:spacing w:val="-13"/>
          <w:sz w:val="20"/>
        </w:rPr>
        <w:t> </w:t>
      </w:r>
      <w:r>
        <w:rPr>
          <w:sz w:val="20"/>
        </w:rPr>
        <w:t>of</w:t>
      </w:r>
      <w:r>
        <w:rPr>
          <w:spacing w:val="-12"/>
          <w:sz w:val="20"/>
        </w:rPr>
        <w:t> </w:t>
      </w:r>
      <w:r>
        <w:rPr>
          <w:sz w:val="20"/>
        </w:rPr>
        <w:t>action</w:t>
      </w:r>
      <w:r>
        <w:rPr>
          <w:spacing w:val="-13"/>
          <w:sz w:val="20"/>
        </w:rPr>
        <w:t> </w:t>
      </w:r>
      <w:r>
        <w:rPr>
          <w:sz w:val="20"/>
        </w:rPr>
        <w:t>points,</w:t>
      </w:r>
      <w:r>
        <w:rPr>
          <w:spacing w:val="-12"/>
          <w:sz w:val="20"/>
        </w:rPr>
        <w:t> </w:t>
      </w:r>
      <w:r>
        <w:rPr>
          <w:sz w:val="20"/>
        </w:rPr>
        <w:t>Board member correspondence, etc. They support the Executive Director and Legal Adviser, in particular by arranging meetings with diplomats, Court officials and civil society, sending communication materials to external stakeholders, keeping minutes and following up on action points. They ensure communication in all matters related to human resources and facility</w:t>
      </w:r>
      <w:r>
        <w:rPr>
          <w:spacing w:val="-9"/>
          <w:sz w:val="20"/>
        </w:rPr>
        <w:t> </w:t>
      </w:r>
      <w:r>
        <w:rPr>
          <w:sz w:val="20"/>
        </w:rPr>
        <w:t>management,</w:t>
      </w:r>
      <w:r>
        <w:rPr>
          <w:spacing w:val="-7"/>
          <w:sz w:val="20"/>
        </w:rPr>
        <w:t> </w:t>
      </w:r>
      <w:r>
        <w:rPr>
          <w:sz w:val="20"/>
        </w:rPr>
        <w:t>including</w:t>
      </w:r>
      <w:r>
        <w:rPr>
          <w:spacing w:val="-9"/>
          <w:sz w:val="20"/>
        </w:rPr>
        <w:t> </w:t>
      </w:r>
      <w:r>
        <w:rPr>
          <w:sz w:val="20"/>
        </w:rPr>
        <w:t>check-in</w:t>
      </w:r>
      <w:r>
        <w:rPr>
          <w:spacing w:val="-13"/>
          <w:sz w:val="20"/>
        </w:rPr>
        <w:t> </w:t>
      </w:r>
      <w:r>
        <w:rPr>
          <w:sz w:val="20"/>
        </w:rPr>
        <w:t>and</w:t>
      </w:r>
      <w:r>
        <w:rPr>
          <w:spacing w:val="-12"/>
          <w:sz w:val="20"/>
        </w:rPr>
        <w:t> </w:t>
      </w:r>
      <w:r>
        <w:rPr>
          <w:sz w:val="20"/>
        </w:rPr>
        <w:t>check-out</w:t>
      </w:r>
      <w:r>
        <w:rPr>
          <w:spacing w:val="-8"/>
          <w:sz w:val="20"/>
        </w:rPr>
        <w:t> </w:t>
      </w:r>
      <w:r>
        <w:rPr>
          <w:sz w:val="20"/>
        </w:rPr>
        <w:t>of</w:t>
      </w:r>
      <w:r>
        <w:rPr>
          <w:spacing w:val="-9"/>
          <w:sz w:val="20"/>
        </w:rPr>
        <w:t> </w:t>
      </w:r>
      <w:r>
        <w:rPr>
          <w:sz w:val="20"/>
        </w:rPr>
        <w:t>TFV</w:t>
      </w:r>
      <w:r>
        <w:rPr>
          <w:spacing w:val="-6"/>
          <w:sz w:val="20"/>
        </w:rPr>
        <w:t> </w:t>
      </w:r>
      <w:r>
        <w:rPr>
          <w:sz w:val="20"/>
        </w:rPr>
        <w:t>staff</w:t>
      </w:r>
      <w:r>
        <w:rPr>
          <w:spacing w:val="-9"/>
          <w:sz w:val="20"/>
        </w:rPr>
        <w:t> </w:t>
      </w:r>
      <w:r>
        <w:rPr>
          <w:sz w:val="20"/>
        </w:rPr>
        <w:t>members.</w:t>
      </w:r>
      <w:r>
        <w:rPr>
          <w:spacing w:val="-12"/>
          <w:sz w:val="20"/>
        </w:rPr>
        <w:t> </w:t>
      </w:r>
      <w:r>
        <w:rPr>
          <w:sz w:val="20"/>
        </w:rPr>
        <w:t>They</w:t>
      </w:r>
      <w:r>
        <w:rPr>
          <w:spacing w:val="-5"/>
          <w:sz w:val="20"/>
        </w:rPr>
        <w:t> </w:t>
      </w:r>
      <w:r>
        <w:rPr>
          <w:sz w:val="20"/>
        </w:rPr>
        <w:t>serve</w:t>
      </w:r>
      <w:r>
        <w:rPr>
          <w:spacing w:val="-8"/>
          <w:sz w:val="20"/>
        </w:rPr>
        <w:t> </w:t>
      </w:r>
      <w:r>
        <w:rPr>
          <w:sz w:val="20"/>
        </w:rPr>
        <w:t>as a direct TFV focal point for many Registry sections in this respect.</w:t>
      </w:r>
    </w:p>
    <w:p>
      <w:pPr>
        <w:pStyle w:val="ListParagraph"/>
        <w:numPr>
          <w:ilvl w:val="0"/>
          <w:numId w:val="4"/>
        </w:numPr>
        <w:tabs>
          <w:tab w:pos="2967" w:val="left" w:leader="none"/>
        </w:tabs>
        <w:spacing w:line="240" w:lineRule="auto" w:before="120" w:after="0"/>
        <w:ind w:left="2246" w:right="2239" w:firstLine="0"/>
        <w:jc w:val="both"/>
        <w:rPr>
          <w:sz w:val="20"/>
        </w:rPr>
      </w:pPr>
      <w:r>
        <w:rPr>
          <w:sz w:val="20"/>
        </w:rPr>
        <w:t>Administrative</w:t>
      </w:r>
      <w:r>
        <w:rPr>
          <w:spacing w:val="-3"/>
          <w:sz w:val="20"/>
        </w:rPr>
        <w:t> </w:t>
      </w:r>
      <w:r>
        <w:rPr>
          <w:sz w:val="20"/>
        </w:rPr>
        <w:t>Assistants</w:t>
      </w:r>
      <w:r>
        <w:rPr>
          <w:spacing w:val="-1"/>
          <w:sz w:val="20"/>
        </w:rPr>
        <w:t> </w:t>
      </w:r>
      <w:r>
        <w:rPr>
          <w:sz w:val="20"/>
        </w:rPr>
        <w:t>support</w:t>
      </w:r>
      <w:r>
        <w:rPr>
          <w:spacing w:val="-8"/>
          <w:sz w:val="20"/>
        </w:rPr>
        <w:t> </w:t>
      </w:r>
      <w:r>
        <w:rPr>
          <w:sz w:val="20"/>
        </w:rPr>
        <w:t>TFV</w:t>
      </w:r>
      <w:r>
        <w:rPr>
          <w:spacing w:val="-1"/>
          <w:sz w:val="20"/>
        </w:rPr>
        <w:t> </w:t>
      </w:r>
      <w:r>
        <w:rPr>
          <w:sz w:val="20"/>
        </w:rPr>
        <w:t>staff</w:t>
      </w:r>
      <w:r>
        <w:rPr>
          <w:spacing w:val="-5"/>
          <w:sz w:val="20"/>
        </w:rPr>
        <w:t> </w:t>
      </w:r>
      <w:r>
        <w:rPr>
          <w:sz w:val="20"/>
        </w:rPr>
        <w:t>at Headquarters</w:t>
      </w:r>
      <w:r>
        <w:rPr>
          <w:spacing w:val="-11"/>
          <w:sz w:val="20"/>
        </w:rPr>
        <w:t> </w:t>
      </w:r>
      <w:r>
        <w:rPr>
          <w:sz w:val="20"/>
        </w:rPr>
        <w:t>and</w:t>
      </w:r>
      <w:r>
        <w:rPr>
          <w:spacing w:val="-5"/>
          <w:sz w:val="20"/>
        </w:rPr>
        <w:t> </w:t>
      </w:r>
      <w:r>
        <w:rPr>
          <w:sz w:val="20"/>
        </w:rPr>
        <w:t>in</w:t>
      </w:r>
      <w:r>
        <w:rPr>
          <w:spacing w:val="-5"/>
          <w:sz w:val="20"/>
        </w:rPr>
        <w:t> </w:t>
      </w:r>
      <w:r>
        <w:rPr>
          <w:sz w:val="20"/>
        </w:rPr>
        <w:t>country offices in various</w:t>
      </w:r>
      <w:r>
        <w:rPr>
          <w:spacing w:val="-5"/>
          <w:sz w:val="20"/>
        </w:rPr>
        <w:t> </w:t>
      </w:r>
      <w:r>
        <w:rPr>
          <w:sz w:val="20"/>
        </w:rPr>
        <w:t>administrative functions. An</w:t>
      </w:r>
      <w:r>
        <w:rPr>
          <w:spacing w:val="-4"/>
          <w:sz w:val="20"/>
        </w:rPr>
        <w:t> </w:t>
      </w:r>
      <w:r>
        <w:rPr>
          <w:sz w:val="20"/>
        </w:rPr>
        <w:t>essential task is</w:t>
      </w:r>
      <w:r>
        <w:rPr>
          <w:spacing w:val="-5"/>
          <w:sz w:val="20"/>
        </w:rPr>
        <w:t> </w:t>
      </w:r>
      <w:r>
        <w:rPr>
          <w:sz w:val="20"/>
        </w:rPr>
        <w:t>to provide</w:t>
      </w:r>
      <w:r>
        <w:rPr>
          <w:spacing w:val="-2"/>
          <w:sz w:val="20"/>
        </w:rPr>
        <w:t> </w:t>
      </w:r>
      <w:r>
        <w:rPr>
          <w:sz w:val="20"/>
        </w:rPr>
        <w:t>administrative support</w:t>
      </w:r>
      <w:r>
        <w:rPr>
          <w:spacing w:val="-2"/>
          <w:sz w:val="20"/>
        </w:rPr>
        <w:t> </w:t>
      </w:r>
      <w:r>
        <w:rPr>
          <w:sz w:val="20"/>
        </w:rPr>
        <w:t>to opening purchase requisitions for all financial transactions relevant to the regular budget (MP VI), and carrying out follow-up actions in the Court’s SAP system, which includes all travel of TFV staff and Board members and any other administrative matter related to the regular budget (consultancies, etc.) They also provide financial support to staff in country offices with regard to Miscellaneous Obligating Documents (MOD) and other transactions.</w:t>
      </w:r>
    </w:p>
    <w:p>
      <w:pPr>
        <w:pStyle w:val="ListParagraph"/>
        <w:numPr>
          <w:ilvl w:val="0"/>
          <w:numId w:val="4"/>
        </w:numPr>
        <w:tabs>
          <w:tab w:pos="2967" w:val="left" w:leader="none"/>
        </w:tabs>
        <w:spacing w:line="240" w:lineRule="auto" w:before="118" w:after="0"/>
        <w:ind w:left="2246" w:right="2241" w:firstLine="0"/>
        <w:jc w:val="both"/>
        <w:rPr>
          <w:sz w:val="20"/>
        </w:rPr>
      </w:pPr>
      <w:r>
        <w:rPr>
          <w:sz w:val="20"/>
        </w:rPr>
        <w:t>The</w:t>
      </w:r>
      <w:r>
        <w:rPr>
          <w:spacing w:val="-13"/>
          <w:sz w:val="20"/>
        </w:rPr>
        <w:t> </w:t>
      </w:r>
      <w:r>
        <w:rPr>
          <w:sz w:val="20"/>
        </w:rPr>
        <w:t>administrative</w:t>
      </w:r>
      <w:r>
        <w:rPr>
          <w:spacing w:val="-9"/>
          <w:sz w:val="20"/>
        </w:rPr>
        <w:t> </w:t>
      </w:r>
      <w:r>
        <w:rPr>
          <w:sz w:val="20"/>
        </w:rPr>
        <w:t>workload</w:t>
      </w:r>
      <w:r>
        <w:rPr>
          <w:spacing w:val="-9"/>
          <w:sz w:val="20"/>
        </w:rPr>
        <w:t> </w:t>
      </w:r>
      <w:r>
        <w:rPr>
          <w:sz w:val="20"/>
        </w:rPr>
        <w:t>of</w:t>
      </w:r>
      <w:r>
        <w:rPr>
          <w:spacing w:val="-13"/>
          <w:sz w:val="20"/>
        </w:rPr>
        <w:t> </w:t>
      </w:r>
      <w:r>
        <w:rPr>
          <w:sz w:val="20"/>
        </w:rPr>
        <w:t>the</w:t>
      </w:r>
      <w:r>
        <w:rPr>
          <w:spacing w:val="-8"/>
          <w:sz w:val="20"/>
        </w:rPr>
        <w:t> </w:t>
      </w:r>
      <w:r>
        <w:rPr>
          <w:sz w:val="20"/>
        </w:rPr>
        <w:t>TFV</w:t>
      </w:r>
      <w:r>
        <w:rPr>
          <w:spacing w:val="-11"/>
          <w:sz w:val="20"/>
        </w:rPr>
        <w:t> </w:t>
      </w:r>
      <w:r>
        <w:rPr>
          <w:sz w:val="20"/>
        </w:rPr>
        <w:t>Secretariat</w:t>
      </w:r>
      <w:r>
        <w:rPr>
          <w:spacing w:val="-13"/>
          <w:sz w:val="20"/>
        </w:rPr>
        <w:t> </w:t>
      </w:r>
      <w:r>
        <w:rPr>
          <w:sz w:val="20"/>
        </w:rPr>
        <w:t>is</w:t>
      </w:r>
      <w:r>
        <w:rPr>
          <w:spacing w:val="-10"/>
          <w:sz w:val="20"/>
        </w:rPr>
        <w:t> </w:t>
      </w:r>
      <w:r>
        <w:rPr>
          <w:sz w:val="20"/>
        </w:rPr>
        <w:t>directly</w:t>
      </w:r>
      <w:r>
        <w:rPr>
          <w:spacing w:val="-9"/>
          <w:sz w:val="20"/>
        </w:rPr>
        <w:t> </w:t>
      </w:r>
      <w:r>
        <w:rPr>
          <w:sz w:val="20"/>
        </w:rPr>
        <w:t>related</w:t>
      </w:r>
      <w:r>
        <w:rPr>
          <w:spacing w:val="-13"/>
          <w:sz w:val="20"/>
        </w:rPr>
        <w:t> </w:t>
      </w:r>
      <w:r>
        <w:rPr>
          <w:sz w:val="20"/>
        </w:rPr>
        <w:t>to</w:t>
      </w:r>
      <w:r>
        <w:rPr>
          <w:spacing w:val="-9"/>
          <w:sz w:val="20"/>
        </w:rPr>
        <w:t> </w:t>
      </w:r>
      <w:r>
        <w:rPr>
          <w:sz w:val="20"/>
        </w:rPr>
        <w:t>the</w:t>
      </w:r>
      <w:r>
        <w:rPr>
          <w:spacing w:val="-8"/>
          <w:sz w:val="20"/>
        </w:rPr>
        <w:t> </w:t>
      </w:r>
      <w:r>
        <w:rPr>
          <w:sz w:val="20"/>
        </w:rPr>
        <w:t>volume of</w:t>
      </w:r>
      <w:r>
        <w:rPr>
          <w:spacing w:val="-4"/>
          <w:sz w:val="20"/>
        </w:rPr>
        <w:t> </w:t>
      </w:r>
      <w:r>
        <w:rPr>
          <w:sz w:val="20"/>
        </w:rPr>
        <w:t>TFV</w:t>
      </w:r>
      <w:r>
        <w:rPr>
          <w:spacing w:val="-10"/>
          <w:sz w:val="20"/>
        </w:rPr>
        <w:t> </w:t>
      </w:r>
      <w:r>
        <w:rPr>
          <w:sz w:val="20"/>
        </w:rPr>
        <w:t>activities</w:t>
      </w:r>
      <w:r>
        <w:rPr>
          <w:spacing w:val="-5"/>
          <w:sz w:val="20"/>
        </w:rPr>
        <w:t> </w:t>
      </w:r>
      <w:r>
        <w:rPr>
          <w:sz w:val="20"/>
        </w:rPr>
        <w:t>in</w:t>
      </w:r>
      <w:r>
        <w:rPr>
          <w:spacing w:val="-8"/>
          <w:sz w:val="20"/>
        </w:rPr>
        <w:t> </w:t>
      </w:r>
      <w:r>
        <w:rPr>
          <w:sz w:val="20"/>
        </w:rPr>
        <w:t>the</w:t>
      </w:r>
      <w:r>
        <w:rPr>
          <w:spacing w:val="-7"/>
          <w:sz w:val="20"/>
        </w:rPr>
        <w:t> </w:t>
      </w:r>
      <w:r>
        <w:rPr>
          <w:sz w:val="20"/>
        </w:rPr>
        <w:t>situation</w:t>
      </w:r>
      <w:r>
        <w:rPr>
          <w:spacing w:val="-8"/>
          <w:sz w:val="20"/>
        </w:rPr>
        <w:t> </w:t>
      </w:r>
      <w:r>
        <w:rPr>
          <w:sz w:val="20"/>
        </w:rPr>
        <w:t>countries</w:t>
      </w:r>
      <w:r>
        <w:rPr>
          <w:spacing w:val="-10"/>
          <w:sz w:val="20"/>
        </w:rPr>
        <w:t> </w:t>
      </w:r>
      <w:r>
        <w:rPr>
          <w:sz w:val="20"/>
        </w:rPr>
        <w:t>and</w:t>
      </w:r>
      <w:r>
        <w:rPr>
          <w:spacing w:val="-8"/>
          <w:sz w:val="20"/>
        </w:rPr>
        <w:t> </w:t>
      </w:r>
      <w:r>
        <w:rPr>
          <w:sz w:val="20"/>
        </w:rPr>
        <w:t>at</w:t>
      </w:r>
      <w:r>
        <w:rPr>
          <w:spacing w:val="-7"/>
          <w:sz w:val="20"/>
        </w:rPr>
        <w:t> </w:t>
      </w:r>
      <w:r>
        <w:rPr>
          <w:sz w:val="20"/>
        </w:rPr>
        <w:t>Headquarters,</w:t>
      </w:r>
      <w:r>
        <w:rPr>
          <w:spacing w:val="-6"/>
          <w:sz w:val="20"/>
        </w:rPr>
        <w:t> </w:t>
      </w:r>
      <w:r>
        <w:rPr>
          <w:sz w:val="20"/>
        </w:rPr>
        <w:t>including</w:t>
      </w:r>
      <w:r>
        <w:rPr>
          <w:spacing w:val="-8"/>
          <w:sz w:val="20"/>
        </w:rPr>
        <w:t> </w:t>
      </w:r>
      <w:r>
        <w:rPr>
          <w:sz w:val="20"/>
        </w:rPr>
        <w:t>those</w:t>
      </w:r>
      <w:r>
        <w:rPr>
          <w:spacing w:val="-7"/>
          <w:sz w:val="20"/>
        </w:rPr>
        <w:t> </w:t>
      </w:r>
      <w:r>
        <w:rPr>
          <w:sz w:val="20"/>
        </w:rPr>
        <w:t>in</w:t>
      </w:r>
      <w:r>
        <w:rPr>
          <w:spacing w:val="-4"/>
          <w:sz w:val="20"/>
        </w:rPr>
        <w:t> </w:t>
      </w:r>
      <w:r>
        <w:rPr>
          <w:sz w:val="20"/>
        </w:rPr>
        <w:t>relation</w:t>
      </w:r>
      <w:r>
        <w:rPr>
          <w:spacing w:val="-8"/>
          <w:sz w:val="20"/>
        </w:rPr>
        <w:t> </w:t>
      </w:r>
      <w:r>
        <w:rPr>
          <w:sz w:val="20"/>
        </w:rPr>
        <w:t>to resource</w:t>
      </w:r>
      <w:r>
        <w:rPr>
          <w:spacing w:val="-2"/>
          <w:sz w:val="20"/>
        </w:rPr>
        <w:t> </w:t>
      </w:r>
      <w:r>
        <w:rPr>
          <w:sz w:val="20"/>
        </w:rPr>
        <w:t>development</w:t>
      </w:r>
      <w:r>
        <w:rPr>
          <w:spacing w:val="-2"/>
          <w:sz w:val="20"/>
        </w:rPr>
        <w:t> </w:t>
      </w:r>
      <w:r>
        <w:rPr>
          <w:sz w:val="20"/>
        </w:rPr>
        <w:t>and</w:t>
      </w:r>
      <w:r>
        <w:rPr>
          <w:spacing w:val="-4"/>
          <w:sz w:val="20"/>
        </w:rPr>
        <w:t> </w:t>
      </w:r>
      <w:r>
        <w:rPr>
          <w:sz w:val="20"/>
        </w:rPr>
        <w:t>visibility</w:t>
      </w:r>
      <w:r>
        <w:rPr>
          <w:spacing w:val="-4"/>
          <w:sz w:val="20"/>
        </w:rPr>
        <w:t> </w:t>
      </w:r>
      <w:r>
        <w:rPr>
          <w:sz w:val="20"/>
        </w:rPr>
        <w:t>and not</w:t>
      </w:r>
      <w:r>
        <w:rPr>
          <w:spacing w:val="-2"/>
          <w:sz w:val="20"/>
        </w:rPr>
        <w:t> </w:t>
      </w:r>
      <w:r>
        <w:rPr>
          <w:sz w:val="20"/>
        </w:rPr>
        <w:t>least</w:t>
      </w:r>
      <w:r>
        <w:rPr>
          <w:spacing w:val="-2"/>
          <w:sz w:val="20"/>
        </w:rPr>
        <w:t> </w:t>
      </w:r>
      <w:r>
        <w:rPr>
          <w:sz w:val="20"/>
        </w:rPr>
        <w:t>to</w:t>
      </w:r>
      <w:r>
        <w:rPr>
          <w:spacing w:val="-4"/>
          <w:sz w:val="20"/>
        </w:rPr>
        <w:t> </w:t>
      </w:r>
      <w:r>
        <w:rPr>
          <w:sz w:val="20"/>
        </w:rPr>
        <w:t>the</w:t>
      </w:r>
      <w:r>
        <w:rPr>
          <w:spacing w:val="-2"/>
          <w:sz w:val="20"/>
        </w:rPr>
        <w:t> </w:t>
      </w:r>
      <w:r>
        <w:rPr>
          <w:sz w:val="20"/>
        </w:rPr>
        <w:t>significant</w:t>
      </w:r>
      <w:r>
        <w:rPr>
          <w:spacing w:val="-2"/>
          <w:sz w:val="20"/>
        </w:rPr>
        <w:t> </w:t>
      </w:r>
      <w:r>
        <w:rPr>
          <w:sz w:val="20"/>
        </w:rPr>
        <w:t>volume</w:t>
      </w:r>
      <w:r>
        <w:rPr>
          <w:spacing w:val="-2"/>
          <w:sz w:val="20"/>
        </w:rPr>
        <w:t> </w:t>
      </w:r>
      <w:r>
        <w:rPr>
          <w:sz w:val="20"/>
        </w:rPr>
        <w:t>and</w:t>
      </w:r>
      <w:r>
        <w:rPr>
          <w:spacing w:val="-4"/>
          <w:sz w:val="20"/>
        </w:rPr>
        <w:t> </w:t>
      </w:r>
      <w:r>
        <w:rPr>
          <w:sz w:val="20"/>
        </w:rPr>
        <w:t>frequency</w:t>
      </w:r>
      <w:r>
        <w:rPr>
          <w:spacing w:val="-4"/>
          <w:sz w:val="20"/>
        </w:rPr>
        <w:t> </w:t>
      </w:r>
      <w:r>
        <w:rPr>
          <w:sz w:val="20"/>
        </w:rPr>
        <w:t>of activities of the Board. This</w:t>
      </w:r>
      <w:r>
        <w:rPr>
          <w:spacing w:val="-1"/>
          <w:sz w:val="20"/>
        </w:rPr>
        <w:t> </w:t>
      </w:r>
      <w:r>
        <w:rPr>
          <w:sz w:val="20"/>
        </w:rPr>
        <w:t>administrative workload has</w:t>
      </w:r>
      <w:r>
        <w:rPr>
          <w:spacing w:val="-1"/>
          <w:sz w:val="20"/>
        </w:rPr>
        <w:t> </w:t>
      </w:r>
      <w:r>
        <w:rPr>
          <w:sz w:val="20"/>
        </w:rPr>
        <w:t>grown exponentially over the past two years. Currently, the entire workload described above is handled by just one Administrative Assistant. In 2023, a second full-time Administrative Assistant is urgently required to ensure business continuity and support the essential functions of the Secretariat and the Board in timely manner. To date, urgent administrative capacity deficiencies have been addressed through hiring of short-term staff, who, however, require considerable time to</w:t>
      </w:r>
      <w:r>
        <w:rPr>
          <w:spacing w:val="-13"/>
          <w:sz w:val="20"/>
        </w:rPr>
        <w:t> </w:t>
      </w:r>
      <w:r>
        <w:rPr>
          <w:sz w:val="20"/>
        </w:rPr>
        <w:t>become</w:t>
      </w:r>
      <w:r>
        <w:rPr>
          <w:spacing w:val="-12"/>
          <w:sz w:val="20"/>
        </w:rPr>
        <w:t> </w:t>
      </w:r>
      <w:r>
        <w:rPr>
          <w:sz w:val="20"/>
        </w:rPr>
        <w:t>familiar</w:t>
      </w:r>
      <w:r>
        <w:rPr>
          <w:spacing w:val="-13"/>
          <w:sz w:val="20"/>
        </w:rPr>
        <w:t> </w:t>
      </w:r>
      <w:r>
        <w:rPr>
          <w:sz w:val="20"/>
        </w:rPr>
        <w:t>with</w:t>
      </w:r>
      <w:r>
        <w:rPr>
          <w:spacing w:val="-12"/>
          <w:sz w:val="20"/>
        </w:rPr>
        <w:t> </w:t>
      </w:r>
      <w:r>
        <w:rPr>
          <w:sz w:val="20"/>
        </w:rPr>
        <w:t>the</w:t>
      </w:r>
      <w:r>
        <w:rPr>
          <w:spacing w:val="-13"/>
          <w:sz w:val="20"/>
        </w:rPr>
        <w:t> </w:t>
      </w:r>
      <w:r>
        <w:rPr>
          <w:sz w:val="20"/>
        </w:rPr>
        <w:t>TFV’s</w:t>
      </w:r>
      <w:r>
        <w:rPr>
          <w:spacing w:val="-12"/>
          <w:sz w:val="20"/>
        </w:rPr>
        <w:t> </w:t>
      </w:r>
      <w:r>
        <w:rPr>
          <w:sz w:val="20"/>
        </w:rPr>
        <w:t>diverse</w:t>
      </w:r>
      <w:r>
        <w:rPr>
          <w:spacing w:val="-13"/>
          <w:sz w:val="20"/>
        </w:rPr>
        <w:t> </w:t>
      </w:r>
      <w:r>
        <w:rPr>
          <w:sz w:val="20"/>
        </w:rPr>
        <w:t>and</w:t>
      </w:r>
      <w:r>
        <w:rPr>
          <w:spacing w:val="-12"/>
          <w:sz w:val="20"/>
        </w:rPr>
        <w:t> </w:t>
      </w:r>
      <w:r>
        <w:rPr>
          <w:sz w:val="20"/>
        </w:rPr>
        <w:t>high-speed</w:t>
      </w:r>
      <w:r>
        <w:rPr>
          <w:spacing w:val="-13"/>
          <w:sz w:val="20"/>
        </w:rPr>
        <w:t> </w:t>
      </w:r>
      <w:r>
        <w:rPr>
          <w:sz w:val="20"/>
        </w:rPr>
        <w:t>environment</w:t>
      </w:r>
      <w:r>
        <w:rPr>
          <w:spacing w:val="-12"/>
          <w:sz w:val="20"/>
        </w:rPr>
        <w:t> </w:t>
      </w:r>
      <w:r>
        <w:rPr>
          <w:sz w:val="20"/>
        </w:rPr>
        <w:t>and</w:t>
      </w:r>
      <w:r>
        <w:rPr>
          <w:spacing w:val="-13"/>
          <w:sz w:val="20"/>
        </w:rPr>
        <w:t> </w:t>
      </w:r>
      <w:r>
        <w:rPr>
          <w:sz w:val="20"/>
        </w:rPr>
        <w:t>related</w:t>
      </w:r>
      <w:r>
        <w:rPr>
          <w:spacing w:val="-12"/>
          <w:sz w:val="20"/>
        </w:rPr>
        <w:t> </w:t>
      </w:r>
      <w:r>
        <w:rPr>
          <w:sz w:val="20"/>
        </w:rPr>
        <w:t>electronic management</w:t>
      </w:r>
      <w:r>
        <w:rPr>
          <w:spacing w:val="-13"/>
          <w:sz w:val="20"/>
        </w:rPr>
        <w:t> </w:t>
      </w:r>
      <w:r>
        <w:rPr>
          <w:sz w:val="20"/>
        </w:rPr>
        <w:t>systems.</w:t>
      </w:r>
      <w:r>
        <w:rPr>
          <w:spacing w:val="-12"/>
          <w:sz w:val="20"/>
        </w:rPr>
        <w:t> </w:t>
      </w:r>
      <w:r>
        <w:rPr>
          <w:sz w:val="20"/>
        </w:rPr>
        <w:t>Additional</w:t>
      </w:r>
      <w:r>
        <w:rPr>
          <w:spacing w:val="-13"/>
          <w:sz w:val="20"/>
        </w:rPr>
        <w:t> </w:t>
      </w:r>
      <w:r>
        <w:rPr>
          <w:sz w:val="20"/>
        </w:rPr>
        <w:t>administrative</w:t>
      </w:r>
      <w:r>
        <w:rPr>
          <w:spacing w:val="-11"/>
          <w:sz w:val="20"/>
        </w:rPr>
        <w:t> </w:t>
      </w:r>
      <w:r>
        <w:rPr>
          <w:sz w:val="20"/>
        </w:rPr>
        <w:t>staff</w:t>
      </w:r>
      <w:r>
        <w:rPr>
          <w:spacing w:val="-12"/>
          <w:sz w:val="20"/>
        </w:rPr>
        <w:t> </w:t>
      </w:r>
      <w:r>
        <w:rPr>
          <w:sz w:val="20"/>
        </w:rPr>
        <w:t>capacity</w:t>
      </w:r>
      <w:r>
        <w:rPr>
          <w:spacing w:val="-9"/>
          <w:sz w:val="20"/>
        </w:rPr>
        <w:t> </w:t>
      </w:r>
      <w:r>
        <w:rPr>
          <w:sz w:val="20"/>
        </w:rPr>
        <w:t>is</w:t>
      </w:r>
      <w:r>
        <w:rPr>
          <w:spacing w:val="-13"/>
          <w:sz w:val="20"/>
        </w:rPr>
        <w:t> </w:t>
      </w:r>
      <w:r>
        <w:rPr>
          <w:sz w:val="20"/>
        </w:rPr>
        <w:t>a</w:t>
      </w:r>
      <w:r>
        <w:rPr>
          <w:spacing w:val="-12"/>
          <w:sz w:val="20"/>
        </w:rPr>
        <w:t> </w:t>
      </w:r>
      <w:r>
        <w:rPr>
          <w:sz w:val="20"/>
        </w:rPr>
        <w:t>pressing</w:t>
      </w:r>
      <w:r>
        <w:rPr>
          <w:spacing w:val="-9"/>
          <w:sz w:val="20"/>
        </w:rPr>
        <w:t> </w:t>
      </w:r>
      <w:r>
        <w:rPr>
          <w:sz w:val="20"/>
        </w:rPr>
        <w:t>need</w:t>
      </w:r>
      <w:r>
        <w:rPr>
          <w:spacing w:val="-13"/>
          <w:sz w:val="20"/>
        </w:rPr>
        <w:t> </w:t>
      </w:r>
      <w:r>
        <w:rPr>
          <w:sz w:val="20"/>
        </w:rPr>
        <w:t>to</w:t>
      </w:r>
      <w:r>
        <w:rPr>
          <w:spacing w:val="-12"/>
          <w:sz w:val="20"/>
        </w:rPr>
        <w:t> </w:t>
      </w:r>
      <w:r>
        <w:rPr>
          <w:sz w:val="20"/>
        </w:rPr>
        <w:t>cope</w:t>
      </w:r>
      <w:r>
        <w:rPr>
          <w:spacing w:val="-12"/>
          <w:sz w:val="20"/>
        </w:rPr>
        <w:t> </w:t>
      </w:r>
      <w:r>
        <w:rPr>
          <w:sz w:val="20"/>
        </w:rPr>
        <w:t>with the above-described workload and to ensure that the STFV’s administrative processes are well established and sustainable.</w:t>
      </w:r>
    </w:p>
    <w:p>
      <w:pPr>
        <w:spacing w:after="0" w:line="240" w:lineRule="auto"/>
        <w:jc w:val="both"/>
        <w:rPr>
          <w:sz w:val="20"/>
        </w:rPr>
        <w:sectPr>
          <w:pgSz w:w="11910" w:h="16840"/>
          <w:pgMar w:header="957" w:footer="940" w:top="1140" w:bottom="1140" w:left="20" w:right="20"/>
        </w:sectPr>
      </w:pPr>
    </w:p>
    <w:p>
      <w:pPr>
        <w:spacing w:before="124"/>
        <w:ind w:left="2246" w:right="0" w:firstLine="0"/>
        <w:jc w:val="both"/>
        <w:rPr>
          <w:i/>
          <w:sz w:val="20"/>
        </w:rPr>
      </w:pPr>
      <w:r>
        <w:rPr>
          <w:i/>
          <w:sz w:val="20"/>
        </w:rPr>
        <w:t>Coordination</w:t>
      </w:r>
      <w:r>
        <w:rPr>
          <w:i/>
          <w:spacing w:val="-7"/>
          <w:sz w:val="20"/>
        </w:rPr>
        <w:t> </w:t>
      </w:r>
      <w:r>
        <w:rPr>
          <w:i/>
          <w:sz w:val="20"/>
        </w:rPr>
        <w:t>with</w:t>
      </w:r>
      <w:r>
        <w:rPr>
          <w:i/>
          <w:spacing w:val="-7"/>
          <w:sz w:val="20"/>
        </w:rPr>
        <w:t> </w:t>
      </w:r>
      <w:r>
        <w:rPr>
          <w:i/>
          <w:sz w:val="20"/>
        </w:rPr>
        <w:t>the</w:t>
      </w:r>
      <w:r>
        <w:rPr>
          <w:i/>
          <w:spacing w:val="-4"/>
          <w:sz w:val="20"/>
        </w:rPr>
        <w:t> </w:t>
      </w:r>
      <w:r>
        <w:rPr>
          <w:i/>
          <w:spacing w:val="-2"/>
          <w:sz w:val="20"/>
        </w:rPr>
        <w:t>Registry</w:t>
      </w:r>
    </w:p>
    <w:p>
      <w:pPr>
        <w:pStyle w:val="BodyText"/>
        <w:spacing w:before="11"/>
        <w:rPr>
          <w:i/>
        </w:rPr>
      </w:pPr>
    </w:p>
    <w:p>
      <w:pPr>
        <w:pStyle w:val="ListParagraph"/>
        <w:numPr>
          <w:ilvl w:val="0"/>
          <w:numId w:val="4"/>
        </w:numPr>
        <w:tabs>
          <w:tab w:pos="2967" w:val="left" w:leader="none"/>
        </w:tabs>
        <w:spacing w:line="240" w:lineRule="auto" w:before="0" w:after="0"/>
        <w:ind w:left="2246" w:right="2242" w:firstLine="0"/>
        <w:jc w:val="both"/>
        <w:rPr>
          <w:sz w:val="20"/>
        </w:rPr>
      </w:pPr>
      <w:r>
        <w:rPr>
          <w:sz w:val="20"/>
        </w:rPr>
        <w:t>The TFV and the Registry have developed a strong collaborative partnership, mindful</w:t>
      </w:r>
      <w:r>
        <w:rPr>
          <w:spacing w:val="-11"/>
          <w:sz w:val="20"/>
        </w:rPr>
        <w:t> </w:t>
      </w:r>
      <w:r>
        <w:rPr>
          <w:sz w:val="20"/>
        </w:rPr>
        <w:t>of</w:t>
      </w:r>
      <w:r>
        <w:rPr>
          <w:spacing w:val="-13"/>
          <w:sz w:val="20"/>
        </w:rPr>
        <w:t> </w:t>
      </w:r>
      <w:r>
        <w:rPr>
          <w:sz w:val="20"/>
        </w:rPr>
        <w:t>each</w:t>
      </w:r>
      <w:r>
        <w:rPr>
          <w:spacing w:val="-8"/>
          <w:sz w:val="20"/>
        </w:rPr>
        <w:t> </w:t>
      </w:r>
      <w:r>
        <w:rPr>
          <w:sz w:val="20"/>
        </w:rPr>
        <w:t>other’s</w:t>
      </w:r>
      <w:r>
        <w:rPr>
          <w:spacing w:val="-11"/>
          <w:sz w:val="20"/>
        </w:rPr>
        <w:t> </w:t>
      </w:r>
      <w:r>
        <w:rPr>
          <w:sz w:val="20"/>
        </w:rPr>
        <w:t>roles</w:t>
      </w:r>
      <w:r>
        <w:rPr>
          <w:spacing w:val="-11"/>
          <w:sz w:val="20"/>
        </w:rPr>
        <w:t> </w:t>
      </w:r>
      <w:r>
        <w:rPr>
          <w:sz w:val="20"/>
        </w:rPr>
        <w:t>and</w:t>
      </w:r>
      <w:r>
        <w:rPr>
          <w:spacing w:val="-9"/>
          <w:sz w:val="20"/>
        </w:rPr>
        <w:t> </w:t>
      </w:r>
      <w:r>
        <w:rPr>
          <w:sz w:val="20"/>
        </w:rPr>
        <w:t>responsibilities</w:t>
      </w:r>
      <w:r>
        <w:rPr>
          <w:spacing w:val="-13"/>
          <w:sz w:val="20"/>
        </w:rPr>
        <w:t> </w:t>
      </w:r>
      <w:r>
        <w:rPr>
          <w:sz w:val="20"/>
        </w:rPr>
        <w:t>and</w:t>
      </w:r>
      <w:r>
        <w:rPr>
          <w:spacing w:val="-8"/>
          <w:sz w:val="20"/>
        </w:rPr>
        <w:t> </w:t>
      </w:r>
      <w:r>
        <w:rPr>
          <w:sz w:val="20"/>
        </w:rPr>
        <w:t>the</w:t>
      </w:r>
      <w:r>
        <w:rPr>
          <w:spacing w:val="-8"/>
          <w:sz w:val="20"/>
        </w:rPr>
        <w:t> </w:t>
      </w:r>
      <w:r>
        <w:rPr>
          <w:sz w:val="20"/>
        </w:rPr>
        <w:t>need</w:t>
      </w:r>
      <w:r>
        <w:rPr>
          <w:spacing w:val="-9"/>
          <w:sz w:val="20"/>
        </w:rPr>
        <w:t> </w:t>
      </w:r>
      <w:r>
        <w:rPr>
          <w:sz w:val="20"/>
        </w:rPr>
        <w:t>to</w:t>
      </w:r>
      <w:r>
        <w:rPr>
          <w:spacing w:val="-9"/>
          <w:sz w:val="20"/>
        </w:rPr>
        <w:t> </w:t>
      </w:r>
      <w:r>
        <w:rPr>
          <w:sz w:val="20"/>
        </w:rPr>
        <w:t>develop</w:t>
      </w:r>
      <w:r>
        <w:rPr>
          <w:spacing w:val="-9"/>
          <w:sz w:val="20"/>
        </w:rPr>
        <w:t> </w:t>
      </w:r>
      <w:r>
        <w:rPr>
          <w:sz w:val="20"/>
        </w:rPr>
        <w:t>synergies</w:t>
      </w:r>
      <w:r>
        <w:rPr>
          <w:spacing w:val="-6"/>
          <w:sz w:val="20"/>
        </w:rPr>
        <w:t> </w:t>
      </w:r>
      <w:r>
        <w:rPr>
          <w:sz w:val="20"/>
        </w:rPr>
        <w:t>wherever possible. They aim to further strengthen this relationship through their commitment to seeking</w:t>
      </w:r>
      <w:r>
        <w:rPr>
          <w:spacing w:val="-5"/>
          <w:sz w:val="20"/>
        </w:rPr>
        <w:t> </w:t>
      </w:r>
      <w:r>
        <w:rPr>
          <w:sz w:val="20"/>
        </w:rPr>
        <w:t>additional</w:t>
      </w:r>
      <w:r>
        <w:rPr>
          <w:spacing w:val="-3"/>
          <w:sz w:val="20"/>
        </w:rPr>
        <w:t> </w:t>
      </w:r>
      <w:r>
        <w:rPr>
          <w:sz w:val="20"/>
        </w:rPr>
        <w:t>synergies</w:t>
      </w:r>
      <w:r>
        <w:rPr>
          <w:spacing w:val="-10"/>
          <w:sz w:val="20"/>
        </w:rPr>
        <w:t> </w:t>
      </w:r>
      <w:r>
        <w:rPr>
          <w:sz w:val="20"/>
        </w:rPr>
        <w:t>as</w:t>
      </w:r>
      <w:r>
        <w:rPr>
          <w:spacing w:val="-6"/>
          <w:sz w:val="20"/>
        </w:rPr>
        <w:t> </w:t>
      </w:r>
      <w:r>
        <w:rPr>
          <w:sz w:val="20"/>
        </w:rPr>
        <w:t>part</w:t>
      </w:r>
      <w:r>
        <w:rPr>
          <w:spacing w:val="-3"/>
          <w:sz w:val="20"/>
        </w:rPr>
        <w:t> </w:t>
      </w:r>
      <w:r>
        <w:rPr>
          <w:sz w:val="20"/>
        </w:rPr>
        <w:t>of</w:t>
      </w:r>
      <w:r>
        <w:rPr>
          <w:spacing w:val="-9"/>
          <w:sz w:val="20"/>
        </w:rPr>
        <w:t> </w:t>
      </w:r>
      <w:r>
        <w:rPr>
          <w:sz w:val="20"/>
        </w:rPr>
        <w:t>the</w:t>
      </w:r>
      <w:r>
        <w:rPr>
          <w:spacing w:val="-3"/>
          <w:sz w:val="20"/>
        </w:rPr>
        <w:t> </w:t>
      </w:r>
      <w:r>
        <w:rPr>
          <w:sz w:val="20"/>
        </w:rPr>
        <w:t>follow-up</w:t>
      </w:r>
      <w:r>
        <w:rPr>
          <w:spacing w:val="-5"/>
          <w:sz w:val="20"/>
        </w:rPr>
        <w:t> </w:t>
      </w:r>
      <w:r>
        <w:rPr>
          <w:sz w:val="20"/>
        </w:rPr>
        <w:t>actions</w:t>
      </w:r>
      <w:r>
        <w:rPr>
          <w:spacing w:val="-6"/>
          <w:sz w:val="20"/>
        </w:rPr>
        <w:t> </w:t>
      </w:r>
      <w:r>
        <w:rPr>
          <w:sz w:val="20"/>
        </w:rPr>
        <w:t>taken</w:t>
      </w:r>
      <w:r>
        <w:rPr>
          <w:spacing w:val="-9"/>
          <w:sz w:val="20"/>
        </w:rPr>
        <w:t> </w:t>
      </w:r>
      <w:r>
        <w:rPr>
          <w:sz w:val="20"/>
        </w:rPr>
        <w:t>in</w:t>
      </w:r>
      <w:r>
        <w:rPr>
          <w:spacing w:val="-5"/>
          <w:sz w:val="20"/>
        </w:rPr>
        <w:t> </w:t>
      </w:r>
      <w:r>
        <w:rPr>
          <w:sz w:val="20"/>
        </w:rPr>
        <w:t>response</w:t>
      </w:r>
      <w:r>
        <w:rPr>
          <w:spacing w:val="-3"/>
          <w:sz w:val="20"/>
        </w:rPr>
        <w:t> </w:t>
      </w:r>
      <w:r>
        <w:rPr>
          <w:sz w:val="20"/>
        </w:rPr>
        <w:t>to</w:t>
      </w:r>
      <w:r>
        <w:rPr>
          <w:spacing w:val="-9"/>
          <w:sz w:val="20"/>
        </w:rPr>
        <w:t> </w:t>
      </w:r>
      <w:r>
        <w:rPr>
          <w:sz w:val="20"/>
        </w:rPr>
        <w:t>the</w:t>
      </w:r>
      <w:r>
        <w:rPr>
          <w:spacing w:val="-3"/>
          <w:sz w:val="20"/>
        </w:rPr>
        <w:t> </w:t>
      </w:r>
      <w:r>
        <w:rPr>
          <w:sz w:val="20"/>
        </w:rPr>
        <w:t>Review Mechanism</w:t>
      </w:r>
      <w:r>
        <w:rPr>
          <w:spacing w:val="-13"/>
          <w:sz w:val="20"/>
        </w:rPr>
        <w:t> </w:t>
      </w:r>
      <w:r>
        <w:rPr>
          <w:sz w:val="20"/>
        </w:rPr>
        <w:t>process.</w:t>
      </w:r>
      <w:r>
        <w:rPr>
          <w:spacing w:val="-10"/>
          <w:sz w:val="20"/>
        </w:rPr>
        <w:t> </w:t>
      </w:r>
      <w:r>
        <w:rPr>
          <w:sz w:val="20"/>
        </w:rPr>
        <w:t>In</w:t>
      </w:r>
      <w:r>
        <w:rPr>
          <w:spacing w:val="-13"/>
          <w:sz w:val="20"/>
        </w:rPr>
        <w:t> </w:t>
      </w:r>
      <w:r>
        <w:rPr>
          <w:sz w:val="20"/>
        </w:rPr>
        <w:t>preparation</w:t>
      </w:r>
      <w:r>
        <w:rPr>
          <w:spacing w:val="-12"/>
          <w:sz w:val="20"/>
        </w:rPr>
        <w:t> </w:t>
      </w:r>
      <w:r>
        <w:rPr>
          <w:sz w:val="20"/>
        </w:rPr>
        <w:t>for</w:t>
      </w:r>
      <w:r>
        <w:rPr>
          <w:spacing w:val="-13"/>
          <w:sz w:val="20"/>
        </w:rPr>
        <w:t> </w:t>
      </w:r>
      <w:r>
        <w:rPr>
          <w:sz w:val="20"/>
        </w:rPr>
        <w:t>the</w:t>
      </w:r>
      <w:r>
        <w:rPr>
          <w:spacing w:val="-8"/>
          <w:sz w:val="20"/>
        </w:rPr>
        <w:t> </w:t>
      </w:r>
      <w:r>
        <w:rPr>
          <w:sz w:val="20"/>
        </w:rPr>
        <w:t>assessment</w:t>
      </w:r>
      <w:r>
        <w:rPr>
          <w:spacing w:val="-9"/>
          <w:sz w:val="20"/>
        </w:rPr>
        <w:t> </w:t>
      </w:r>
      <w:r>
        <w:rPr>
          <w:sz w:val="20"/>
        </w:rPr>
        <w:t>of</w:t>
      </w:r>
      <w:r>
        <w:rPr>
          <w:spacing w:val="-10"/>
          <w:sz w:val="20"/>
        </w:rPr>
        <w:t> </w:t>
      </w:r>
      <w:r>
        <w:rPr>
          <w:sz w:val="20"/>
        </w:rPr>
        <w:t>IER</w:t>
      </w:r>
      <w:r>
        <w:rPr>
          <w:spacing w:val="-13"/>
          <w:sz w:val="20"/>
        </w:rPr>
        <w:t> </w:t>
      </w:r>
      <w:r>
        <w:rPr>
          <w:sz w:val="20"/>
        </w:rPr>
        <w:t>recommendations</w:t>
      </w:r>
      <w:r>
        <w:rPr>
          <w:spacing w:val="-11"/>
          <w:sz w:val="20"/>
        </w:rPr>
        <w:t> </w:t>
      </w:r>
      <w:r>
        <w:rPr>
          <w:sz w:val="20"/>
        </w:rPr>
        <w:t>354</w:t>
      </w:r>
      <w:r>
        <w:rPr>
          <w:spacing w:val="-13"/>
          <w:sz w:val="20"/>
        </w:rPr>
        <w:t> </w:t>
      </w:r>
      <w:r>
        <w:rPr>
          <w:sz w:val="20"/>
        </w:rPr>
        <w:t>and</w:t>
      </w:r>
      <w:r>
        <w:rPr>
          <w:spacing w:val="-12"/>
          <w:sz w:val="20"/>
        </w:rPr>
        <w:t> </w:t>
      </w:r>
      <w:r>
        <w:rPr>
          <w:sz w:val="20"/>
        </w:rPr>
        <w:t>358, the current collaboration between the TFV and the Registry has been described in detail in the</w:t>
      </w:r>
      <w:r>
        <w:rPr>
          <w:spacing w:val="-2"/>
          <w:sz w:val="20"/>
        </w:rPr>
        <w:t> </w:t>
      </w:r>
      <w:r>
        <w:rPr>
          <w:sz w:val="20"/>
        </w:rPr>
        <w:t>assessment document submitted by</w:t>
      </w:r>
      <w:r>
        <w:rPr>
          <w:spacing w:val="-4"/>
          <w:sz w:val="20"/>
        </w:rPr>
        <w:t> </w:t>
      </w:r>
      <w:r>
        <w:rPr>
          <w:sz w:val="20"/>
        </w:rPr>
        <w:t>the</w:t>
      </w:r>
      <w:r>
        <w:rPr>
          <w:spacing w:val="-2"/>
          <w:sz w:val="20"/>
        </w:rPr>
        <w:t> </w:t>
      </w:r>
      <w:r>
        <w:rPr>
          <w:sz w:val="20"/>
        </w:rPr>
        <w:t>TFV to</w:t>
      </w:r>
      <w:r>
        <w:rPr>
          <w:spacing w:val="-4"/>
          <w:sz w:val="20"/>
        </w:rPr>
        <w:t> </w:t>
      </w:r>
      <w:r>
        <w:rPr>
          <w:sz w:val="20"/>
        </w:rPr>
        <w:t>the Review Mechanism,</w:t>
      </w:r>
      <w:r>
        <w:rPr>
          <w:spacing w:val="-1"/>
          <w:sz w:val="20"/>
        </w:rPr>
        <w:t> </w:t>
      </w:r>
      <w:r>
        <w:rPr>
          <w:sz w:val="20"/>
        </w:rPr>
        <w:t>and</w:t>
      </w:r>
      <w:r>
        <w:rPr>
          <w:spacing w:val="-4"/>
          <w:sz w:val="20"/>
        </w:rPr>
        <w:t> </w:t>
      </w:r>
      <w:r>
        <w:rPr>
          <w:sz w:val="20"/>
        </w:rPr>
        <w:t>the work of seeking further synergies has been set in motion with results expected in 2022 and 2023.</w:t>
      </w:r>
    </w:p>
    <w:p>
      <w:pPr>
        <w:pStyle w:val="BodyText"/>
        <w:spacing w:before="2"/>
        <w:rPr>
          <w:sz w:val="21"/>
        </w:rPr>
      </w:pPr>
    </w:p>
    <w:p>
      <w:pPr>
        <w:pStyle w:val="Heading3"/>
      </w:pPr>
      <w:r>
        <w:rPr>
          <w:spacing w:val="-2"/>
        </w:rPr>
        <w:t>Travel</w:t>
      </w:r>
    </w:p>
    <w:p>
      <w:pPr>
        <w:pStyle w:val="BodyText"/>
        <w:spacing w:before="6"/>
        <w:rPr>
          <w:b/>
        </w:rPr>
      </w:pPr>
    </w:p>
    <w:p>
      <w:pPr>
        <w:pStyle w:val="ListParagraph"/>
        <w:numPr>
          <w:ilvl w:val="0"/>
          <w:numId w:val="4"/>
        </w:numPr>
        <w:tabs>
          <w:tab w:pos="2967" w:val="left" w:leader="none"/>
        </w:tabs>
        <w:spacing w:line="240" w:lineRule="auto" w:before="0" w:after="0"/>
        <w:ind w:left="2246" w:right="2243" w:firstLine="0"/>
        <w:jc w:val="both"/>
        <w:rPr>
          <w:sz w:val="20"/>
        </w:rPr>
      </w:pPr>
      <w:r>
        <w:rPr>
          <w:sz w:val="20"/>
        </w:rPr>
        <w:t>The proposed increase in travel resources, notably at a lower volume compared to the</w:t>
      </w:r>
      <w:r>
        <w:rPr>
          <w:spacing w:val="-10"/>
          <w:sz w:val="20"/>
        </w:rPr>
        <w:t> </w:t>
      </w:r>
      <w:r>
        <w:rPr>
          <w:sz w:val="20"/>
        </w:rPr>
        <w:t>pre-pandemic</w:t>
      </w:r>
      <w:r>
        <w:rPr>
          <w:spacing w:val="-7"/>
          <w:sz w:val="20"/>
        </w:rPr>
        <w:t> </w:t>
      </w:r>
      <w:r>
        <w:rPr>
          <w:sz w:val="20"/>
        </w:rPr>
        <w:t>travel</w:t>
      </w:r>
      <w:r>
        <w:rPr>
          <w:spacing w:val="-7"/>
          <w:sz w:val="20"/>
        </w:rPr>
        <w:t> </w:t>
      </w:r>
      <w:r>
        <w:rPr>
          <w:sz w:val="20"/>
        </w:rPr>
        <w:t>budget,</w:t>
      </w:r>
      <w:r>
        <w:rPr>
          <w:spacing w:val="-11"/>
          <w:sz w:val="20"/>
        </w:rPr>
        <w:t> </w:t>
      </w:r>
      <w:r>
        <w:rPr>
          <w:sz w:val="20"/>
        </w:rPr>
        <w:t>is</w:t>
      </w:r>
      <w:r>
        <w:rPr>
          <w:spacing w:val="-5"/>
          <w:sz w:val="20"/>
        </w:rPr>
        <w:t> </w:t>
      </w:r>
      <w:r>
        <w:rPr>
          <w:sz w:val="20"/>
        </w:rPr>
        <w:t>necessary</w:t>
      </w:r>
      <w:r>
        <w:rPr>
          <w:spacing w:val="-13"/>
          <w:sz w:val="20"/>
        </w:rPr>
        <w:t> </w:t>
      </w:r>
      <w:r>
        <w:rPr>
          <w:sz w:val="20"/>
        </w:rPr>
        <w:t>to</w:t>
      </w:r>
      <w:r>
        <w:rPr>
          <w:spacing w:val="-8"/>
          <w:sz w:val="20"/>
        </w:rPr>
        <w:t> </w:t>
      </w:r>
      <w:r>
        <w:rPr>
          <w:sz w:val="20"/>
        </w:rPr>
        <w:t>accommodate</w:t>
      </w:r>
      <w:r>
        <w:rPr>
          <w:spacing w:val="-7"/>
          <w:sz w:val="20"/>
        </w:rPr>
        <w:t> </w:t>
      </w:r>
      <w:r>
        <w:rPr>
          <w:sz w:val="20"/>
        </w:rPr>
        <w:t>travel</w:t>
      </w:r>
      <w:r>
        <w:rPr>
          <w:spacing w:val="-7"/>
          <w:sz w:val="20"/>
        </w:rPr>
        <w:t> </w:t>
      </w:r>
      <w:r>
        <w:rPr>
          <w:sz w:val="20"/>
        </w:rPr>
        <w:t>needs</w:t>
      </w:r>
      <w:r>
        <w:rPr>
          <w:spacing w:val="-13"/>
          <w:sz w:val="20"/>
        </w:rPr>
        <w:t> </w:t>
      </w:r>
      <w:r>
        <w:rPr>
          <w:sz w:val="20"/>
        </w:rPr>
        <w:t>considering</w:t>
      </w:r>
      <w:r>
        <w:rPr>
          <w:spacing w:val="-8"/>
          <w:sz w:val="20"/>
        </w:rPr>
        <w:t> </w:t>
      </w:r>
      <w:r>
        <w:rPr>
          <w:sz w:val="20"/>
        </w:rPr>
        <w:t>(i)</w:t>
      </w:r>
      <w:r>
        <w:rPr>
          <w:spacing w:val="-13"/>
          <w:sz w:val="20"/>
        </w:rPr>
        <w:t> </w:t>
      </w:r>
      <w:r>
        <w:rPr>
          <w:sz w:val="20"/>
        </w:rPr>
        <w:t>the increased portfolio of activities, related both to reparations and assistance; (ii) necessary investment</w:t>
      </w:r>
      <w:r>
        <w:rPr>
          <w:spacing w:val="-13"/>
          <w:sz w:val="20"/>
        </w:rPr>
        <w:t> </w:t>
      </w:r>
      <w:r>
        <w:rPr>
          <w:sz w:val="20"/>
        </w:rPr>
        <w:t>in</w:t>
      </w:r>
      <w:r>
        <w:rPr>
          <w:spacing w:val="-12"/>
          <w:sz w:val="20"/>
        </w:rPr>
        <w:t> </w:t>
      </w:r>
      <w:r>
        <w:rPr>
          <w:sz w:val="20"/>
        </w:rPr>
        <w:t>donor</w:t>
      </w:r>
      <w:r>
        <w:rPr>
          <w:spacing w:val="-13"/>
          <w:sz w:val="20"/>
        </w:rPr>
        <w:t> </w:t>
      </w:r>
      <w:r>
        <w:rPr>
          <w:sz w:val="20"/>
        </w:rPr>
        <w:t>relations</w:t>
      </w:r>
      <w:r>
        <w:rPr>
          <w:spacing w:val="-12"/>
          <w:sz w:val="20"/>
        </w:rPr>
        <w:t> </w:t>
      </w:r>
      <w:r>
        <w:rPr>
          <w:sz w:val="20"/>
        </w:rPr>
        <w:t>and</w:t>
      </w:r>
      <w:r>
        <w:rPr>
          <w:spacing w:val="-13"/>
          <w:sz w:val="20"/>
        </w:rPr>
        <w:t> </w:t>
      </w:r>
      <w:r>
        <w:rPr>
          <w:sz w:val="20"/>
        </w:rPr>
        <w:t>strategic</w:t>
      </w:r>
      <w:r>
        <w:rPr>
          <w:spacing w:val="-12"/>
          <w:sz w:val="20"/>
        </w:rPr>
        <w:t> </w:t>
      </w:r>
      <w:r>
        <w:rPr>
          <w:sz w:val="20"/>
        </w:rPr>
        <w:t>partnership</w:t>
      </w:r>
      <w:r>
        <w:rPr>
          <w:spacing w:val="-13"/>
          <w:sz w:val="20"/>
        </w:rPr>
        <w:t> </w:t>
      </w:r>
      <w:r>
        <w:rPr>
          <w:sz w:val="20"/>
        </w:rPr>
        <w:t>development;</w:t>
      </w:r>
      <w:r>
        <w:rPr>
          <w:spacing w:val="-12"/>
          <w:sz w:val="20"/>
        </w:rPr>
        <w:t> </w:t>
      </w:r>
      <w:r>
        <w:rPr>
          <w:sz w:val="20"/>
        </w:rPr>
        <w:t>and</w:t>
      </w:r>
      <w:r>
        <w:rPr>
          <w:spacing w:val="-13"/>
          <w:sz w:val="20"/>
        </w:rPr>
        <w:t> </w:t>
      </w:r>
      <w:r>
        <w:rPr>
          <w:sz w:val="20"/>
        </w:rPr>
        <w:t>(iii)</w:t>
      </w:r>
      <w:r>
        <w:rPr>
          <w:spacing w:val="-12"/>
          <w:sz w:val="20"/>
        </w:rPr>
        <w:t> </w:t>
      </w:r>
      <w:r>
        <w:rPr>
          <w:sz w:val="20"/>
        </w:rPr>
        <w:t>increased</w:t>
      </w:r>
      <w:r>
        <w:rPr>
          <w:spacing w:val="-13"/>
          <w:sz w:val="20"/>
        </w:rPr>
        <w:t> </w:t>
      </w:r>
      <w:r>
        <w:rPr>
          <w:sz w:val="20"/>
        </w:rPr>
        <w:t>travel needs of Board members to adequately meet supervision and accountability requirements.</w:t>
      </w:r>
    </w:p>
    <w:p>
      <w:pPr>
        <w:pStyle w:val="ListParagraph"/>
        <w:numPr>
          <w:ilvl w:val="0"/>
          <w:numId w:val="4"/>
        </w:numPr>
        <w:tabs>
          <w:tab w:pos="2967" w:val="left" w:leader="none"/>
        </w:tabs>
        <w:spacing w:line="240" w:lineRule="auto" w:before="122" w:after="0"/>
        <w:ind w:left="2246" w:right="2239" w:firstLine="0"/>
        <w:jc w:val="both"/>
        <w:rPr>
          <w:sz w:val="20"/>
        </w:rPr>
      </w:pPr>
      <w:r>
        <w:rPr>
          <w:sz w:val="20"/>
        </w:rPr>
        <w:t>Additional travel in 2023 will be required from Headquarters and from Board members’ locations to the different country offices to support important reparations events, such as the process of completing reparations in Katanga, monitoring the reparations in Lubanga and Al Mahdi and starting the reparations process in Ntaganda. In particular, longer-term field missions, including from Headquarters, will be required to establish the implementation</w:t>
      </w:r>
      <w:r>
        <w:rPr>
          <w:spacing w:val="-5"/>
          <w:sz w:val="20"/>
        </w:rPr>
        <w:t> </w:t>
      </w:r>
      <w:r>
        <w:rPr>
          <w:sz w:val="20"/>
        </w:rPr>
        <w:t>plan</w:t>
      </w:r>
      <w:r>
        <w:rPr>
          <w:spacing w:val="-9"/>
          <w:sz w:val="20"/>
        </w:rPr>
        <w:t> </w:t>
      </w:r>
      <w:r>
        <w:rPr>
          <w:sz w:val="20"/>
        </w:rPr>
        <w:t>in</w:t>
      </w:r>
      <w:r>
        <w:rPr>
          <w:spacing w:val="-9"/>
          <w:sz w:val="20"/>
        </w:rPr>
        <w:t> </w:t>
      </w:r>
      <w:r>
        <w:rPr>
          <w:sz w:val="20"/>
        </w:rPr>
        <w:t>Ongwen.</w:t>
      </w:r>
      <w:r>
        <w:rPr>
          <w:spacing w:val="-7"/>
          <w:sz w:val="20"/>
        </w:rPr>
        <w:t> </w:t>
      </w:r>
      <w:r>
        <w:rPr>
          <w:sz w:val="20"/>
        </w:rPr>
        <w:t>Such</w:t>
      </w:r>
      <w:r>
        <w:rPr>
          <w:spacing w:val="-9"/>
          <w:sz w:val="20"/>
        </w:rPr>
        <w:t> </w:t>
      </w:r>
      <w:r>
        <w:rPr>
          <w:sz w:val="20"/>
        </w:rPr>
        <w:t>travels</w:t>
      </w:r>
      <w:r>
        <w:rPr>
          <w:spacing w:val="-6"/>
          <w:sz w:val="20"/>
        </w:rPr>
        <w:t> </w:t>
      </w:r>
      <w:r>
        <w:rPr>
          <w:sz w:val="20"/>
        </w:rPr>
        <w:t>were</w:t>
      </w:r>
      <w:r>
        <w:rPr>
          <w:spacing w:val="-8"/>
          <w:sz w:val="20"/>
        </w:rPr>
        <w:t> </w:t>
      </w:r>
      <w:r>
        <w:rPr>
          <w:sz w:val="20"/>
        </w:rPr>
        <w:t>not</w:t>
      </w:r>
      <w:r>
        <w:rPr>
          <w:spacing w:val="-3"/>
          <w:sz w:val="20"/>
        </w:rPr>
        <w:t> </w:t>
      </w:r>
      <w:r>
        <w:rPr>
          <w:sz w:val="20"/>
        </w:rPr>
        <w:t>required</w:t>
      </w:r>
      <w:r>
        <w:rPr>
          <w:spacing w:val="-9"/>
          <w:sz w:val="20"/>
        </w:rPr>
        <w:t> </w:t>
      </w:r>
      <w:r>
        <w:rPr>
          <w:sz w:val="20"/>
        </w:rPr>
        <w:t>in</w:t>
      </w:r>
      <w:r>
        <w:rPr>
          <w:spacing w:val="-5"/>
          <w:sz w:val="20"/>
        </w:rPr>
        <w:t> </w:t>
      </w:r>
      <w:r>
        <w:rPr>
          <w:sz w:val="20"/>
        </w:rPr>
        <w:t>2022.</w:t>
      </w:r>
      <w:r>
        <w:rPr>
          <w:spacing w:val="-2"/>
          <w:sz w:val="20"/>
        </w:rPr>
        <w:t> </w:t>
      </w:r>
      <w:r>
        <w:rPr>
          <w:sz w:val="20"/>
        </w:rPr>
        <w:t>In</w:t>
      </w:r>
      <w:r>
        <w:rPr>
          <w:spacing w:val="-9"/>
          <w:sz w:val="20"/>
        </w:rPr>
        <w:t> </w:t>
      </w:r>
      <w:r>
        <w:rPr>
          <w:sz w:val="20"/>
        </w:rPr>
        <w:t>order</w:t>
      </w:r>
      <w:r>
        <w:rPr>
          <w:spacing w:val="-9"/>
          <w:sz w:val="20"/>
        </w:rPr>
        <w:t> </w:t>
      </w:r>
      <w:r>
        <w:rPr>
          <w:sz w:val="20"/>
        </w:rPr>
        <w:t>to</w:t>
      </w:r>
      <w:r>
        <w:rPr>
          <w:spacing w:val="-9"/>
          <w:sz w:val="20"/>
        </w:rPr>
        <w:t> </w:t>
      </w:r>
      <w:r>
        <w:rPr>
          <w:sz w:val="20"/>
        </w:rPr>
        <w:t>increase the expertise of the Trust Fund, it will be essential in 2023 to have two in-person meetings with staff to work together on improving implementation methods. In addition, regular (at least annual) regional meetings between the Trust Fund’s partners are required to enhance cooperation with</w:t>
      </w:r>
      <w:r>
        <w:rPr>
          <w:spacing w:val="-3"/>
          <w:sz w:val="20"/>
        </w:rPr>
        <w:t> </w:t>
      </w:r>
      <w:r>
        <w:rPr>
          <w:sz w:val="20"/>
        </w:rPr>
        <w:t>and</w:t>
      </w:r>
      <w:r>
        <w:rPr>
          <w:spacing w:val="-3"/>
          <w:sz w:val="20"/>
        </w:rPr>
        <w:t> </w:t>
      </w:r>
      <w:r>
        <w:rPr>
          <w:sz w:val="20"/>
        </w:rPr>
        <w:t>the competence of</w:t>
      </w:r>
      <w:r>
        <w:rPr>
          <w:spacing w:val="-3"/>
          <w:sz w:val="20"/>
        </w:rPr>
        <w:t> </w:t>
      </w:r>
      <w:r>
        <w:rPr>
          <w:sz w:val="20"/>
        </w:rPr>
        <w:t>the</w:t>
      </w:r>
      <w:r>
        <w:rPr>
          <w:spacing w:val="-1"/>
          <w:sz w:val="20"/>
        </w:rPr>
        <w:t> </w:t>
      </w:r>
      <w:r>
        <w:rPr>
          <w:sz w:val="20"/>
        </w:rPr>
        <w:t>partners. These</w:t>
      </w:r>
      <w:r>
        <w:rPr>
          <w:spacing w:val="-1"/>
          <w:sz w:val="20"/>
        </w:rPr>
        <w:t> </w:t>
      </w:r>
      <w:r>
        <w:rPr>
          <w:sz w:val="20"/>
        </w:rPr>
        <w:t>meetings can be held</w:t>
      </w:r>
      <w:r>
        <w:rPr>
          <w:spacing w:val="-3"/>
          <w:sz w:val="20"/>
        </w:rPr>
        <w:t> </w:t>
      </w:r>
      <w:r>
        <w:rPr>
          <w:sz w:val="20"/>
        </w:rPr>
        <w:t>according to regional accessibility and the language requirements of the different partners. The more regular follow-up meetings with partners can be held remotely.</w:t>
      </w:r>
    </w:p>
    <w:p>
      <w:pPr>
        <w:pStyle w:val="ListParagraph"/>
        <w:numPr>
          <w:ilvl w:val="0"/>
          <w:numId w:val="4"/>
        </w:numPr>
        <w:tabs>
          <w:tab w:pos="2967" w:val="left" w:leader="none"/>
        </w:tabs>
        <w:spacing w:line="240" w:lineRule="auto" w:before="122" w:after="0"/>
        <w:ind w:left="2246" w:right="2242" w:firstLine="0"/>
        <w:jc w:val="both"/>
        <w:rPr>
          <w:sz w:val="20"/>
        </w:rPr>
      </w:pPr>
      <w:r>
        <w:rPr>
          <w:sz w:val="20"/>
        </w:rPr>
        <w:t>Furthermore, support from Headquarters will also be required for assistance programmes, in particular if they are being phased out, or for monitoring or fundraising missions. In the situation in the Central African Republic, it will be essential to receive the support of Headquarters to enable cooperation with other reparation bodies.</w:t>
      </w:r>
    </w:p>
    <w:p>
      <w:pPr>
        <w:pStyle w:val="ListParagraph"/>
        <w:numPr>
          <w:ilvl w:val="0"/>
          <w:numId w:val="4"/>
        </w:numPr>
        <w:tabs>
          <w:tab w:pos="2967" w:val="left" w:leader="none"/>
        </w:tabs>
        <w:spacing w:line="240" w:lineRule="auto" w:before="122" w:after="0"/>
        <w:ind w:left="2246" w:right="2243" w:firstLine="0"/>
        <w:jc w:val="both"/>
        <w:rPr>
          <w:sz w:val="20"/>
        </w:rPr>
      </w:pPr>
      <w:r>
        <w:rPr>
          <w:sz w:val="20"/>
        </w:rPr>
        <w:t>In terms</w:t>
      </w:r>
      <w:r>
        <w:rPr>
          <w:spacing w:val="-1"/>
          <w:sz w:val="20"/>
        </w:rPr>
        <w:t> </w:t>
      </w:r>
      <w:r>
        <w:rPr>
          <w:sz w:val="20"/>
        </w:rPr>
        <w:t>of resource development, regular</w:t>
      </w:r>
      <w:r>
        <w:rPr>
          <w:spacing w:val="-5"/>
          <w:sz w:val="20"/>
        </w:rPr>
        <w:t> </w:t>
      </w:r>
      <w:r>
        <w:rPr>
          <w:sz w:val="20"/>
        </w:rPr>
        <w:t>travel from</w:t>
      </w:r>
      <w:r>
        <w:rPr>
          <w:spacing w:val="-3"/>
          <w:sz w:val="20"/>
        </w:rPr>
        <w:t> </w:t>
      </w:r>
      <w:r>
        <w:rPr>
          <w:sz w:val="20"/>
        </w:rPr>
        <w:t>country offices</w:t>
      </w:r>
      <w:r>
        <w:rPr>
          <w:spacing w:val="-1"/>
          <w:sz w:val="20"/>
        </w:rPr>
        <w:t> </w:t>
      </w:r>
      <w:r>
        <w:rPr>
          <w:sz w:val="20"/>
        </w:rPr>
        <w:t>to nationally based donors (e.g. Bunia to Kinshasa; Abidjan to Bamako) will be necessary, supported by Headquarters and Board members if and when required. Given the high additional funding requirements, these efforts will need to considerably increase in 2023. Travel to other possible donors in locations such as Brussels or Washington will also be required.</w:t>
      </w:r>
    </w:p>
    <w:p>
      <w:pPr>
        <w:pStyle w:val="ListParagraph"/>
        <w:numPr>
          <w:ilvl w:val="0"/>
          <w:numId w:val="4"/>
        </w:numPr>
        <w:tabs>
          <w:tab w:pos="2967" w:val="left" w:leader="none"/>
        </w:tabs>
        <w:spacing w:line="240" w:lineRule="auto" w:before="117" w:after="0"/>
        <w:ind w:left="2246" w:right="2245" w:firstLine="0"/>
        <w:jc w:val="both"/>
        <w:rPr>
          <w:sz w:val="20"/>
        </w:rPr>
      </w:pPr>
      <w:r>
        <w:rPr>
          <w:sz w:val="20"/>
        </w:rPr>
        <w:t>Visibility of the Trust Fund and communication about its work will also need to increase in all of the Court’s situation countries where the TFV is currently not active. Accordingly,</w:t>
      </w:r>
      <w:r>
        <w:rPr>
          <w:spacing w:val="-6"/>
          <w:sz w:val="20"/>
        </w:rPr>
        <w:t> </w:t>
      </w:r>
      <w:r>
        <w:rPr>
          <w:sz w:val="20"/>
        </w:rPr>
        <w:t>travel</w:t>
      </w:r>
      <w:r>
        <w:rPr>
          <w:spacing w:val="-2"/>
          <w:sz w:val="20"/>
        </w:rPr>
        <w:t> </w:t>
      </w:r>
      <w:r>
        <w:rPr>
          <w:sz w:val="20"/>
        </w:rPr>
        <w:t>will</w:t>
      </w:r>
      <w:r>
        <w:rPr>
          <w:spacing w:val="-2"/>
          <w:sz w:val="20"/>
        </w:rPr>
        <w:t> </w:t>
      </w:r>
      <w:r>
        <w:rPr>
          <w:sz w:val="20"/>
        </w:rPr>
        <w:t>be</w:t>
      </w:r>
      <w:r>
        <w:rPr>
          <w:spacing w:val="-7"/>
          <w:sz w:val="20"/>
        </w:rPr>
        <w:t> </w:t>
      </w:r>
      <w:r>
        <w:rPr>
          <w:sz w:val="20"/>
        </w:rPr>
        <w:t>required</w:t>
      </w:r>
      <w:r>
        <w:rPr>
          <w:spacing w:val="-4"/>
          <w:sz w:val="20"/>
        </w:rPr>
        <w:t> </w:t>
      </w:r>
      <w:r>
        <w:rPr>
          <w:sz w:val="20"/>
        </w:rPr>
        <w:t>to</w:t>
      </w:r>
      <w:r>
        <w:rPr>
          <w:spacing w:val="-8"/>
          <w:sz w:val="20"/>
        </w:rPr>
        <w:t> </w:t>
      </w:r>
      <w:r>
        <w:rPr>
          <w:sz w:val="20"/>
        </w:rPr>
        <w:t>engage</w:t>
      </w:r>
      <w:r>
        <w:rPr>
          <w:spacing w:val="-2"/>
          <w:sz w:val="20"/>
        </w:rPr>
        <w:t> </w:t>
      </w:r>
      <w:r>
        <w:rPr>
          <w:sz w:val="20"/>
        </w:rPr>
        <w:t>with</w:t>
      </w:r>
      <w:r>
        <w:rPr>
          <w:spacing w:val="-4"/>
          <w:sz w:val="20"/>
        </w:rPr>
        <w:t> </w:t>
      </w:r>
      <w:r>
        <w:rPr>
          <w:sz w:val="20"/>
        </w:rPr>
        <w:t>or</w:t>
      </w:r>
      <w:r>
        <w:rPr>
          <w:spacing w:val="-8"/>
          <w:sz w:val="20"/>
        </w:rPr>
        <w:t> </w:t>
      </w:r>
      <w:r>
        <w:rPr>
          <w:sz w:val="20"/>
        </w:rPr>
        <w:t>hold</w:t>
      </w:r>
      <w:r>
        <w:rPr>
          <w:spacing w:val="-8"/>
          <w:sz w:val="20"/>
        </w:rPr>
        <w:t> </w:t>
      </w:r>
      <w:r>
        <w:rPr>
          <w:sz w:val="20"/>
        </w:rPr>
        <w:t>events</w:t>
      </w:r>
      <w:r>
        <w:rPr>
          <w:spacing w:val="-5"/>
          <w:sz w:val="20"/>
        </w:rPr>
        <w:t> </w:t>
      </w:r>
      <w:r>
        <w:rPr>
          <w:sz w:val="20"/>
        </w:rPr>
        <w:t>with</w:t>
      </w:r>
      <w:r>
        <w:rPr>
          <w:spacing w:val="-8"/>
          <w:sz w:val="20"/>
        </w:rPr>
        <w:t> </w:t>
      </w:r>
      <w:r>
        <w:rPr>
          <w:sz w:val="20"/>
        </w:rPr>
        <w:t>civil</w:t>
      </w:r>
      <w:r>
        <w:rPr>
          <w:spacing w:val="-2"/>
          <w:sz w:val="20"/>
        </w:rPr>
        <w:t> </w:t>
      </w:r>
      <w:r>
        <w:rPr>
          <w:sz w:val="20"/>
        </w:rPr>
        <w:t>society,</w:t>
      </w:r>
      <w:r>
        <w:rPr>
          <w:spacing w:val="-1"/>
          <w:sz w:val="20"/>
        </w:rPr>
        <w:t> </w:t>
      </w:r>
      <w:r>
        <w:rPr>
          <w:sz w:val="20"/>
        </w:rPr>
        <w:t>victims and more generally national and international organizations</w:t>
      </w:r>
      <w:r>
        <w:rPr>
          <w:spacing w:val="-1"/>
          <w:sz w:val="20"/>
        </w:rPr>
        <w:t> </w:t>
      </w:r>
      <w:r>
        <w:rPr>
          <w:sz w:val="20"/>
        </w:rPr>
        <w:t>potentially active in the area of </w:t>
      </w:r>
      <w:r>
        <w:rPr>
          <w:spacing w:val="-2"/>
          <w:sz w:val="20"/>
        </w:rPr>
        <w:t>reparations.</w:t>
      </w:r>
    </w:p>
    <w:p>
      <w:pPr>
        <w:pStyle w:val="ListParagraph"/>
        <w:numPr>
          <w:ilvl w:val="0"/>
          <w:numId w:val="4"/>
        </w:numPr>
        <w:tabs>
          <w:tab w:pos="2967" w:val="left" w:leader="none"/>
        </w:tabs>
        <w:spacing w:line="240" w:lineRule="auto" w:before="123" w:after="0"/>
        <w:ind w:left="2246" w:right="2235" w:firstLine="0"/>
        <w:jc w:val="both"/>
        <w:rPr>
          <w:sz w:val="20"/>
        </w:rPr>
      </w:pPr>
      <w:r>
        <w:rPr>
          <w:sz w:val="20"/>
        </w:rPr>
        <w:t>Lastly, the Board is committed to strengthening regional ties with States Parties, which will require travel to the relevant capitals with the ultimate goal of increasing the funding</w:t>
      </w:r>
      <w:r>
        <w:rPr>
          <w:spacing w:val="-3"/>
          <w:sz w:val="20"/>
        </w:rPr>
        <w:t> </w:t>
      </w:r>
      <w:r>
        <w:rPr>
          <w:sz w:val="20"/>
        </w:rPr>
        <w:t>level of</w:t>
      </w:r>
      <w:r>
        <w:rPr>
          <w:spacing w:val="-3"/>
          <w:sz w:val="20"/>
        </w:rPr>
        <w:t> </w:t>
      </w:r>
      <w:r>
        <w:rPr>
          <w:sz w:val="20"/>
        </w:rPr>
        <w:t>the Secretariat. They</w:t>
      </w:r>
      <w:r>
        <w:rPr>
          <w:spacing w:val="-3"/>
          <w:sz w:val="20"/>
        </w:rPr>
        <w:t> </w:t>
      </w:r>
      <w:r>
        <w:rPr>
          <w:sz w:val="20"/>
        </w:rPr>
        <w:t>also</w:t>
      </w:r>
      <w:r>
        <w:rPr>
          <w:spacing w:val="-3"/>
          <w:sz w:val="20"/>
        </w:rPr>
        <w:t> </w:t>
      </w:r>
      <w:r>
        <w:rPr>
          <w:sz w:val="20"/>
        </w:rPr>
        <w:t>meet</w:t>
      </w:r>
      <w:r>
        <w:rPr>
          <w:spacing w:val="-1"/>
          <w:sz w:val="20"/>
        </w:rPr>
        <w:t> </w:t>
      </w:r>
      <w:r>
        <w:rPr>
          <w:sz w:val="20"/>
        </w:rPr>
        <w:t>at</w:t>
      </w:r>
      <w:r>
        <w:rPr>
          <w:spacing w:val="-1"/>
          <w:sz w:val="20"/>
        </w:rPr>
        <w:t> </w:t>
      </w:r>
      <w:r>
        <w:rPr>
          <w:sz w:val="20"/>
        </w:rPr>
        <w:t>least</w:t>
      </w:r>
      <w:r>
        <w:rPr>
          <w:spacing w:val="-1"/>
          <w:sz w:val="20"/>
        </w:rPr>
        <w:t> </w:t>
      </w:r>
      <w:r>
        <w:rPr>
          <w:sz w:val="20"/>
        </w:rPr>
        <w:t>twice</w:t>
      </w:r>
      <w:r>
        <w:rPr>
          <w:spacing w:val="-1"/>
          <w:sz w:val="20"/>
        </w:rPr>
        <w:t> </w:t>
      </w:r>
      <w:r>
        <w:rPr>
          <w:sz w:val="20"/>
        </w:rPr>
        <w:t>a year</w:t>
      </w:r>
      <w:r>
        <w:rPr>
          <w:spacing w:val="-3"/>
          <w:sz w:val="20"/>
        </w:rPr>
        <w:t> </w:t>
      </w:r>
      <w:r>
        <w:rPr>
          <w:sz w:val="20"/>
        </w:rPr>
        <w:t>in</w:t>
      </w:r>
      <w:r>
        <w:rPr>
          <w:spacing w:val="-3"/>
          <w:sz w:val="20"/>
        </w:rPr>
        <w:t> </w:t>
      </w:r>
      <w:r>
        <w:rPr>
          <w:sz w:val="20"/>
        </w:rPr>
        <w:t>person</w:t>
      </w:r>
      <w:r>
        <w:rPr>
          <w:spacing w:val="-3"/>
          <w:sz w:val="20"/>
        </w:rPr>
        <w:t> </w:t>
      </w:r>
      <w:r>
        <w:rPr>
          <w:sz w:val="20"/>
        </w:rPr>
        <w:t>and</w:t>
      </w:r>
      <w:r>
        <w:rPr>
          <w:spacing w:val="-3"/>
          <w:sz w:val="20"/>
        </w:rPr>
        <w:t> </w:t>
      </w:r>
      <w:r>
        <w:rPr>
          <w:sz w:val="20"/>
        </w:rPr>
        <w:t>will need to travel to the Assembly session in New York.</w:t>
      </w:r>
    </w:p>
    <w:p>
      <w:pPr>
        <w:pStyle w:val="ListParagraph"/>
        <w:numPr>
          <w:ilvl w:val="0"/>
          <w:numId w:val="4"/>
        </w:numPr>
        <w:tabs>
          <w:tab w:pos="2967" w:val="left" w:leader="none"/>
        </w:tabs>
        <w:spacing w:line="240" w:lineRule="auto" w:before="117" w:after="0"/>
        <w:ind w:left="2246" w:right="2248" w:firstLine="0"/>
        <w:jc w:val="both"/>
        <w:rPr>
          <w:sz w:val="20"/>
        </w:rPr>
      </w:pPr>
      <w:r>
        <w:rPr>
          <w:sz w:val="20"/>
        </w:rPr>
        <w:t>Accordingly, given this increased travel portfolio in 2023 required by mandated activities as well as for resource development purposes, the travel budget of the TFV will need to increase considerably.</w:t>
      </w:r>
    </w:p>
    <w:p>
      <w:pPr>
        <w:pStyle w:val="BodyText"/>
        <w:rPr>
          <w:sz w:val="21"/>
        </w:rPr>
      </w:pPr>
    </w:p>
    <w:p>
      <w:pPr>
        <w:pStyle w:val="Heading3"/>
        <w:tabs>
          <w:tab w:pos="8076" w:val="left" w:leader="none"/>
        </w:tabs>
      </w:pPr>
      <w:r>
        <w:rPr/>
        <w:t>Budget</w:t>
      </w:r>
      <w:r>
        <w:rPr>
          <w:spacing w:val="-6"/>
        </w:rPr>
        <w:t> </w:t>
      </w:r>
      <w:r>
        <w:rPr>
          <w:spacing w:val="-2"/>
        </w:rPr>
        <w:t>resources</w:t>
      </w:r>
      <w:r>
        <w:rPr/>
        <w:tab/>
        <w:t>€4,300.3</w:t>
      </w:r>
      <w:r>
        <w:rPr>
          <w:spacing w:val="-6"/>
        </w:rPr>
        <w:t> </w:t>
      </w:r>
      <w:r>
        <w:rPr>
          <w:spacing w:val="-2"/>
        </w:rPr>
        <w:t>thousand</w:t>
      </w:r>
    </w:p>
    <w:p>
      <w:pPr>
        <w:pStyle w:val="BodyText"/>
        <w:spacing w:before="10"/>
        <w:rPr>
          <w:b/>
        </w:rPr>
      </w:pPr>
    </w:p>
    <w:p>
      <w:pPr>
        <w:pStyle w:val="ListParagraph"/>
        <w:numPr>
          <w:ilvl w:val="0"/>
          <w:numId w:val="4"/>
        </w:numPr>
        <w:tabs>
          <w:tab w:pos="2966" w:val="left" w:leader="none"/>
          <w:tab w:pos="2967" w:val="left" w:leader="none"/>
        </w:tabs>
        <w:spacing w:line="240" w:lineRule="auto" w:before="0" w:after="0"/>
        <w:ind w:left="2246" w:right="2242" w:firstLine="0"/>
        <w:jc w:val="left"/>
        <w:rPr>
          <w:sz w:val="20"/>
        </w:rPr>
      </w:pPr>
      <w:r>
        <w:rPr>
          <w:sz w:val="20"/>
        </w:rPr>
        <w:t>The</w:t>
      </w:r>
      <w:r>
        <w:rPr>
          <w:spacing w:val="-13"/>
          <w:sz w:val="20"/>
        </w:rPr>
        <w:t> </w:t>
      </w:r>
      <w:r>
        <w:rPr>
          <w:sz w:val="20"/>
        </w:rPr>
        <w:t>proposed</w:t>
      </w:r>
      <w:r>
        <w:rPr>
          <w:spacing w:val="-17"/>
          <w:sz w:val="20"/>
        </w:rPr>
        <w:t> </w:t>
      </w:r>
      <w:r>
        <w:rPr>
          <w:sz w:val="20"/>
        </w:rPr>
        <w:t>increase</w:t>
      </w:r>
      <w:r>
        <w:rPr>
          <w:spacing w:val="-12"/>
          <w:sz w:val="20"/>
        </w:rPr>
        <w:t> </w:t>
      </w:r>
      <w:r>
        <w:rPr>
          <w:sz w:val="20"/>
        </w:rPr>
        <w:t>is</w:t>
      </w:r>
      <w:r>
        <w:rPr>
          <w:spacing w:val="-14"/>
          <w:sz w:val="20"/>
        </w:rPr>
        <w:t> </w:t>
      </w:r>
      <w:r>
        <w:rPr>
          <w:sz w:val="20"/>
        </w:rPr>
        <w:t>€1,073.1</w:t>
      </w:r>
      <w:r>
        <w:rPr>
          <w:spacing w:val="-17"/>
          <w:sz w:val="20"/>
        </w:rPr>
        <w:t> </w:t>
      </w:r>
      <w:r>
        <w:rPr>
          <w:sz w:val="20"/>
        </w:rPr>
        <w:t>thousand,</w:t>
      </w:r>
      <w:r>
        <w:rPr>
          <w:spacing w:val="-15"/>
          <w:sz w:val="20"/>
        </w:rPr>
        <w:t> </w:t>
      </w:r>
      <w:r>
        <w:rPr>
          <w:sz w:val="20"/>
        </w:rPr>
        <w:t>equivalent</w:t>
      </w:r>
      <w:r>
        <w:rPr>
          <w:spacing w:val="-13"/>
          <w:sz w:val="20"/>
        </w:rPr>
        <w:t> </w:t>
      </w:r>
      <w:r>
        <w:rPr>
          <w:sz w:val="20"/>
        </w:rPr>
        <w:t>to</w:t>
      </w:r>
      <w:r>
        <w:rPr>
          <w:spacing w:val="-17"/>
          <w:sz w:val="20"/>
        </w:rPr>
        <w:t> </w:t>
      </w:r>
      <w:r>
        <w:rPr>
          <w:sz w:val="20"/>
        </w:rPr>
        <w:t>33.3</w:t>
      </w:r>
      <w:r>
        <w:rPr>
          <w:spacing w:val="-9"/>
          <w:sz w:val="20"/>
        </w:rPr>
        <w:t> </w:t>
      </w:r>
      <w:r>
        <w:rPr>
          <w:sz w:val="20"/>
        </w:rPr>
        <w:t>per</w:t>
      </w:r>
      <w:r>
        <w:rPr>
          <w:spacing w:val="-13"/>
          <w:sz w:val="20"/>
        </w:rPr>
        <w:t> </w:t>
      </w:r>
      <w:r>
        <w:rPr>
          <w:sz w:val="20"/>
        </w:rPr>
        <w:t>cent</w:t>
      </w:r>
      <w:r>
        <w:rPr>
          <w:spacing w:val="-12"/>
          <w:sz w:val="20"/>
        </w:rPr>
        <w:t> </w:t>
      </w:r>
      <w:r>
        <w:rPr>
          <w:sz w:val="20"/>
        </w:rPr>
        <w:t>as</w:t>
      </w:r>
      <w:r>
        <w:rPr>
          <w:spacing w:val="-14"/>
          <w:sz w:val="20"/>
        </w:rPr>
        <w:t> </w:t>
      </w:r>
      <w:r>
        <w:rPr>
          <w:sz w:val="20"/>
        </w:rPr>
        <w:t>compared with the 2022 level of the approved budget.</w:t>
      </w:r>
    </w:p>
    <w:p>
      <w:pPr>
        <w:pStyle w:val="ListParagraph"/>
        <w:numPr>
          <w:ilvl w:val="0"/>
          <w:numId w:val="4"/>
        </w:numPr>
        <w:tabs>
          <w:tab w:pos="2966" w:val="left" w:leader="none"/>
          <w:tab w:pos="2967" w:val="left" w:leader="none"/>
        </w:tabs>
        <w:spacing w:line="240" w:lineRule="auto" w:before="122" w:after="0"/>
        <w:ind w:left="2246" w:right="2246" w:firstLine="0"/>
        <w:jc w:val="left"/>
        <w:rPr>
          <w:sz w:val="20"/>
        </w:rPr>
      </w:pPr>
      <w:r>
        <w:rPr>
          <w:sz w:val="20"/>
        </w:rPr>
        <w:t>The Trust Fund’s increasing workload will be addressed by</w:t>
      </w:r>
      <w:r>
        <w:rPr>
          <w:spacing w:val="-1"/>
          <w:sz w:val="20"/>
        </w:rPr>
        <w:t> </w:t>
      </w:r>
      <w:r>
        <w:rPr>
          <w:sz w:val="20"/>
        </w:rPr>
        <w:t>internal flexibility and efficiency</w:t>
      </w:r>
      <w:r>
        <w:rPr>
          <w:spacing w:val="-13"/>
          <w:sz w:val="20"/>
        </w:rPr>
        <w:t> </w:t>
      </w:r>
      <w:r>
        <w:rPr>
          <w:sz w:val="20"/>
        </w:rPr>
        <w:t>measures,</w:t>
      </w:r>
      <w:r>
        <w:rPr>
          <w:spacing w:val="-12"/>
          <w:sz w:val="20"/>
        </w:rPr>
        <w:t> </w:t>
      </w:r>
      <w:r>
        <w:rPr>
          <w:sz w:val="20"/>
        </w:rPr>
        <w:t>including</w:t>
      </w:r>
      <w:r>
        <w:rPr>
          <w:spacing w:val="-13"/>
          <w:sz w:val="20"/>
        </w:rPr>
        <w:t> </w:t>
      </w:r>
      <w:r>
        <w:rPr>
          <w:sz w:val="20"/>
        </w:rPr>
        <w:t>through</w:t>
      </w:r>
      <w:r>
        <w:rPr>
          <w:spacing w:val="-12"/>
          <w:sz w:val="20"/>
        </w:rPr>
        <w:t> </w:t>
      </w:r>
      <w:r>
        <w:rPr>
          <w:sz w:val="20"/>
        </w:rPr>
        <w:t>operational</w:t>
      </w:r>
      <w:r>
        <w:rPr>
          <w:spacing w:val="-13"/>
          <w:sz w:val="20"/>
        </w:rPr>
        <w:t> </w:t>
      </w:r>
      <w:r>
        <w:rPr>
          <w:sz w:val="20"/>
        </w:rPr>
        <w:t>coordination</w:t>
      </w:r>
      <w:r>
        <w:rPr>
          <w:spacing w:val="-10"/>
          <w:sz w:val="20"/>
        </w:rPr>
        <w:t> </w:t>
      </w:r>
      <w:r>
        <w:rPr>
          <w:sz w:val="20"/>
        </w:rPr>
        <w:t>with</w:t>
      </w:r>
      <w:r>
        <w:rPr>
          <w:spacing w:val="-8"/>
          <w:sz w:val="20"/>
        </w:rPr>
        <w:t> </w:t>
      </w:r>
      <w:r>
        <w:rPr>
          <w:sz w:val="20"/>
        </w:rPr>
        <w:t>the</w:t>
      </w:r>
      <w:r>
        <w:rPr>
          <w:spacing w:val="-13"/>
          <w:sz w:val="20"/>
        </w:rPr>
        <w:t> </w:t>
      </w:r>
      <w:r>
        <w:rPr>
          <w:sz w:val="20"/>
        </w:rPr>
        <w:t>Registry.</w:t>
      </w:r>
      <w:r>
        <w:rPr>
          <w:spacing w:val="-11"/>
          <w:sz w:val="20"/>
        </w:rPr>
        <w:t> </w:t>
      </w:r>
      <w:r>
        <w:rPr>
          <w:sz w:val="20"/>
        </w:rPr>
        <w:t>The</w:t>
      </w:r>
      <w:r>
        <w:rPr>
          <w:spacing w:val="-12"/>
          <w:sz w:val="20"/>
        </w:rPr>
        <w:t> </w:t>
      </w:r>
      <w:r>
        <w:rPr>
          <w:sz w:val="20"/>
        </w:rPr>
        <w:t>focus</w:t>
      </w:r>
    </w:p>
    <w:p>
      <w:pPr>
        <w:spacing w:after="0" w:line="240" w:lineRule="auto"/>
        <w:jc w:val="left"/>
        <w:rPr>
          <w:sz w:val="20"/>
        </w:rPr>
        <w:sectPr>
          <w:pgSz w:w="11910" w:h="16840"/>
          <w:pgMar w:header="953" w:footer="940" w:top="1140" w:bottom="1140" w:left="20" w:right="20"/>
        </w:sectPr>
      </w:pPr>
    </w:p>
    <w:p>
      <w:pPr>
        <w:pStyle w:val="BodyText"/>
        <w:spacing w:before="120"/>
        <w:ind w:left="2246" w:right="2239"/>
        <w:jc w:val="both"/>
      </w:pPr>
      <w:r>
        <w:rPr/>
        <w:t>of the</w:t>
      </w:r>
      <w:r>
        <w:rPr>
          <w:spacing w:val="-2"/>
        </w:rPr>
        <w:t> </w:t>
      </w:r>
      <w:r>
        <w:rPr/>
        <w:t>Trust</w:t>
      </w:r>
      <w:r>
        <w:rPr>
          <w:spacing w:val="-2"/>
        </w:rPr>
        <w:t> </w:t>
      </w:r>
      <w:r>
        <w:rPr/>
        <w:t>Fund’s work</w:t>
      </w:r>
      <w:r>
        <w:rPr>
          <w:spacing w:val="-4"/>
        </w:rPr>
        <w:t> </w:t>
      </w:r>
      <w:r>
        <w:rPr/>
        <w:t>in</w:t>
      </w:r>
      <w:r>
        <w:rPr>
          <w:spacing w:val="-4"/>
        </w:rPr>
        <w:t> </w:t>
      </w:r>
      <w:r>
        <w:rPr/>
        <w:t>2023</w:t>
      </w:r>
      <w:r>
        <w:rPr>
          <w:spacing w:val="-4"/>
        </w:rPr>
        <w:t> </w:t>
      </w:r>
      <w:r>
        <w:rPr/>
        <w:t>will</w:t>
      </w:r>
      <w:r>
        <w:rPr>
          <w:spacing w:val="-2"/>
        </w:rPr>
        <w:t> </w:t>
      </w:r>
      <w:r>
        <w:rPr/>
        <w:t>be</w:t>
      </w:r>
      <w:r>
        <w:rPr>
          <w:spacing w:val="-2"/>
        </w:rPr>
        <w:t> </w:t>
      </w:r>
      <w:r>
        <w:rPr/>
        <w:t>on</w:t>
      </w:r>
      <w:r>
        <w:rPr>
          <w:spacing w:val="-4"/>
        </w:rPr>
        <w:t> </w:t>
      </w:r>
      <w:r>
        <w:rPr/>
        <w:t>implementing</w:t>
      </w:r>
      <w:r>
        <w:rPr>
          <w:spacing w:val="-4"/>
        </w:rPr>
        <w:t> </w:t>
      </w:r>
      <w:r>
        <w:rPr/>
        <w:t>Court-ordered</w:t>
      </w:r>
      <w:r>
        <w:rPr>
          <w:spacing w:val="-4"/>
        </w:rPr>
        <w:t> </w:t>
      </w:r>
      <w:r>
        <w:rPr/>
        <w:t>reparations</w:t>
      </w:r>
      <w:r>
        <w:rPr>
          <w:spacing w:val="-5"/>
        </w:rPr>
        <w:t> </w:t>
      </w:r>
      <w:r>
        <w:rPr/>
        <w:t>in four cases, raising the resources required to complement reparations awards, and extending ongoing</w:t>
      </w:r>
      <w:r>
        <w:rPr>
          <w:spacing w:val="-13"/>
        </w:rPr>
        <w:t> </w:t>
      </w:r>
      <w:r>
        <w:rPr/>
        <w:t>assistance</w:t>
      </w:r>
      <w:r>
        <w:rPr>
          <w:spacing w:val="-12"/>
        </w:rPr>
        <w:t> </w:t>
      </w:r>
      <w:r>
        <w:rPr/>
        <w:t>programmes.</w:t>
      </w:r>
      <w:r>
        <w:rPr>
          <w:spacing w:val="-13"/>
        </w:rPr>
        <w:t> </w:t>
      </w:r>
      <w:r>
        <w:rPr/>
        <w:t>Accordingly,</w:t>
      </w:r>
      <w:r>
        <w:rPr>
          <w:spacing w:val="-12"/>
        </w:rPr>
        <w:t> </w:t>
      </w:r>
      <w:r>
        <w:rPr/>
        <w:t>the</w:t>
      </w:r>
      <w:r>
        <w:rPr>
          <w:spacing w:val="-11"/>
        </w:rPr>
        <w:t> </w:t>
      </w:r>
      <w:r>
        <w:rPr/>
        <w:t>requested</w:t>
      </w:r>
      <w:r>
        <w:rPr>
          <w:spacing w:val="-13"/>
        </w:rPr>
        <w:t> </w:t>
      </w:r>
      <w:r>
        <w:rPr/>
        <w:t>additional</w:t>
      </w:r>
      <w:r>
        <w:rPr>
          <w:spacing w:val="-11"/>
        </w:rPr>
        <w:t> </w:t>
      </w:r>
      <w:r>
        <w:rPr/>
        <w:t>resources</w:t>
      </w:r>
      <w:r>
        <w:rPr>
          <w:spacing w:val="-13"/>
        </w:rPr>
        <w:t> </w:t>
      </w:r>
      <w:r>
        <w:rPr/>
        <w:t>relate</w:t>
      </w:r>
      <w:r>
        <w:rPr>
          <w:spacing w:val="-10"/>
        </w:rPr>
        <w:t> </w:t>
      </w:r>
      <w:r>
        <w:rPr/>
        <w:t>to</w:t>
      </w:r>
      <w:r>
        <w:rPr>
          <w:spacing w:val="-13"/>
        </w:rPr>
        <w:t> </w:t>
      </w:r>
      <w:r>
        <w:rPr/>
        <w:t>the above-mentioned</w:t>
      </w:r>
      <w:r>
        <w:rPr>
          <w:spacing w:val="-13"/>
        </w:rPr>
        <w:t> </w:t>
      </w:r>
      <w:r>
        <w:rPr/>
        <w:t>priority</w:t>
      </w:r>
      <w:r>
        <w:rPr>
          <w:spacing w:val="-12"/>
        </w:rPr>
        <w:t> </w:t>
      </w:r>
      <w:r>
        <w:rPr/>
        <w:t>areas</w:t>
      </w:r>
      <w:r>
        <w:rPr>
          <w:spacing w:val="-13"/>
        </w:rPr>
        <w:t> </w:t>
      </w:r>
      <w:r>
        <w:rPr/>
        <w:t>of</w:t>
      </w:r>
      <w:r>
        <w:rPr>
          <w:spacing w:val="-12"/>
        </w:rPr>
        <w:t> </w:t>
      </w:r>
      <w:r>
        <w:rPr/>
        <w:t>reparations</w:t>
      </w:r>
      <w:r>
        <w:rPr>
          <w:spacing w:val="-13"/>
        </w:rPr>
        <w:t> </w:t>
      </w:r>
      <w:r>
        <w:rPr/>
        <w:t>and</w:t>
      </w:r>
      <w:r>
        <w:rPr>
          <w:spacing w:val="-11"/>
        </w:rPr>
        <w:t> </w:t>
      </w:r>
      <w:r>
        <w:rPr/>
        <w:t>fundraising,</w:t>
      </w:r>
      <w:r>
        <w:rPr>
          <w:spacing w:val="-7"/>
        </w:rPr>
        <w:t> </w:t>
      </w:r>
      <w:r>
        <w:rPr/>
        <w:t>including</w:t>
      </w:r>
      <w:r>
        <w:rPr>
          <w:spacing w:val="-10"/>
        </w:rPr>
        <w:t> </w:t>
      </w:r>
      <w:r>
        <w:rPr/>
        <w:t>raising</w:t>
      </w:r>
      <w:r>
        <w:rPr>
          <w:spacing w:val="-13"/>
        </w:rPr>
        <w:t> </w:t>
      </w:r>
      <w:r>
        <w:rPr/>
        <w:t>the</w:t>
      </w:r>
      <w:r>
        <w:rPr>
          <w:spacing w:val="-12"/>
        </w:rPr>
        <w:t> </w:t>
      </w:r>
      <w:r>
        <w:rPr/>
        <w:t>visibility of</w:t>
      </w:r>
      <w:r>
        <w:rPr>
          <w:spacing w:val="-1"/>
        </w:rPr>
        <w:t> </w:t>
      </w:r>
      <w:r>
        <w:rPr/>
        <w:t>the</w:t>
      </w:r>
      <w:r>
        <w:rPr>
          <w:spacing w:val="-3"/>
        </w:rPr>
        <w:t> </w:t>
      </w:r>
      <w:r>
        <w:rPr/>
        <w:t>Trust Fund</w:t>
      </w:r>
      <w:r>
        <w:rPr>
          <w:spacing w:val="-5"/>
        </w:rPr>
        <w:t> </w:t>
      </w:r>
      <w:r>
        <w:rPr/>
        <w:t>through</w:t>
      </w:r>
      <w:r>
        <w:rPr>
          <w:spacing w:val="-1"/>
        </w:rPr>
        <w:t> </w:t>
      </w:r>
      <w:r>
        <w:rPr/>
        <w:t>social</w:t>
      </w:r>
      <w:r>
        <w:rPr>
          <w:spacing w:val="-3"/>
        </w:rPr>
        <w:t> </w:t>
      </w:r>
      <w:r>
        <w:rPr/>
        <w:t>media</w:t>
      </w:r>
      <w:r>
        <w:rPr>
          <w:spacing w:val="-3"/>
        </w:rPr>
        <w:t> </w:t>
      </w:r>
      <w:r>
        <w:rPr/>
        <w:t>and</w:t>
      </w:r>
      <w:r>
        <w:rPr>
          <w:spacing w:val="-5"/>
        </w:rPr>
        <w:t> </w:t>
      </w:r>
      <w:r>
        <w:rPr/>
        <w:t>seeking</w:t>
      </w:r>
      <w:r>
        <w:rPr>
          <w:spacing w:val="-1"/>
        </w:rPr>
        <w:t> </w:t>
      </w:r>
      <w:r>
        <w:rPr/>
        <w:t>partnerships</w:t>
      </w:r>
      <w:r>
        <w:rPr>
          <w:spacing w:val="-2"/>
        </w:rPr>
        <w:t> </w:t>
      </w:r>
      <w:r>
        <w:rPr/>
        <w:t>with</w:t>
      </w:r>
      <w:r>
        <w:rPr>
          <w:spacing w:val="-5"/>
        </w:rPr>
        <w:t> </w:t>
      </w:r>
      <w:r>
        <w:rPr/>
        <w:t>international</w:t>
      </w:r>
      <w:r>
        <w:rPr>
          <w:spacing w:val="-3"/>
        </w:rPr>
        <w:t> </w:t>
      </w:r>
      <w:r>
        <w:rPr/>
        <w:t>and</w:t>
      </w:r>
      <w:r>
        <w:rPr>
          <w:spacing w:val="-1"/>
        </w:rPr>
        <w:t> </w:t>
      </w:r>
      <w:r>
        <w:rPr/>
        <w:t>non- governmental organizations for the benefit of victims. Increasingly, various donors and earmarking</w:t>
      </w:r>
      <w:r>
        <w:rPr>
          <w:spacing w:val="-13"/>
        </w:rPr>
        <w:t> </w:t>
      </w:r>
      <w:r>
        <w:rPr/>
        <w:t>also</w:t>
      </w:r>
      <w:r>
        <w:rPr>
          <w:spacing w:val="-12"/>
        </w:rPr>
        <w:t> </w:t>
      </w:r>
      <w:r>
        <w:rPr/>
        <w:t>require</w:t>
      </w:r>
      <w:r>
        <w:rPr>
          <w:spacing w:val="-13"/>
        </w:rPr>
        <w:t> </w:t>
      </w:r>
      <w:r>
        <w:rPr/>
        <w:t>that</w:t>
      </w:r>
      <w:r>
        <w:rPr>
          <w:spacing w:val="-12"/>
        </w:rPr>
        <w:t> </w:t>
      </w:r>
      <w:r>
        <w:rPr/>
        <w:t>the</w:t>
      </w:r>
      <w:r>
        <w:rPr>
          <w:spacing w:val="-13"/>
        </w:rPr>
        <w:t> </w:t>
      </w:r>
      <w:r>
        <w:rPr/>
        <w:t>Trust</w:t>
      </w:r>
      <w:r>
        <w:rPr>
          <w:spacing w:val="-12"/>
        </w:rPr>
        <w:t> </w:t>
      </w:r>
      <w:r>
        <w:rPr/>
        <w:t>Fund</w:t>
      </w:r>
      <w:r>
        <w:rPr>
          <w:spacing w:val="-12"/>
        </w:rPr>
        <w:t> </w:t>
      </w:r>
      <w:r>
        <w:rPr/>
        <w:t>enhance</w:t>
      </w:r>
      <w:r>
        <w:rPr>
          <w:spacing w:val="-11"/>
        </w:rPr>
        <w:t> </w:t>
      </w:r>
      <w:r>
        <w:rPr/>
        <w:t>its</w:t>
      </w:r>
      <w:r>
        <w:rPr>
          <w:spacing w:val="-13"/>
        </w:rPr>
        <w:t> </w:t>
      </w:r>
      <w:r>
        <w:rPr/>
        <w:t>fund</w:t>
      </w:r>
      <w:r>
        <w:rPr>
          <w:spacing w:val="-12"/>
        </w:rPr>
        <w:t> </w:t>
      </w:r>
      <w:r>
        <w:rPr/>
        <w:t>management</w:t>
      </w:r>
      <w:r>
        <w:rPr>
          <w:spacing w:val="-11"/>
        </w:rPr>
        <w:t> </w:t>
      </w:r>
      <w:r>
        <w:rPr/>
        <w:t>activities</w:t>
      </w:r>
      <w:r>
        <w:rPr>
          <w:spacing w:val="-13"/>
        </w:rPr>
        <w:t> </w:t>
      </w:r>
      <w:r>
        <w:rPr/>
        <w:t>and</w:t>
      </w:r>
      <w:r>
        <w:rPr>
          <w:spacing w:val="-12"/>
        </w:rPr>
        <w:t> </w:t>
      </w:r>
      <w:r>
        <w:rPr/>
        <w:t>focus resources</w:t>
      </w:r>
      <w:r>
        <w:rPr>
          <w:spacing w:val="-5"/>
        </w:rPr>
        <w:t> </w:t>
      </w:r>
      <w:r>
        <w:rPr/>
        <w:t>on</w:t>
      </w:r>
      <w:r>
        <w:rPr>
          <w:spacing w:val="-8"/>
        </w:rPr>
        <w:t> </w:t>
      </w:r>
      <w:r>
        <w:rPr/>
        <w:t>internal</w:t>
      </w:r>
      <w:r>
        <w:rPr>
          <w:spacing w:val="-7"/>
        </w:rPr>
        <w:t> </w:t>
      </w:r>
      <w:r>
        <w:rPr/>
        <w:t>and</w:t>
      </w:r>
      <w:r>
        <w:rPr>
          <w:spacing w:val="-8"/>
        </w:rPr>
        <w:t> </w:t>
      </w:r>
      <w:r>
        <w:rPr/>
        <w:t>external</w:t>
      </w:r>
      <w:r>
        <w:rPr>
          <w:spacing w:val="-2"/>
        </w:rPr>
        <w:t> </w:t>
      </w:r>
      <w:r>
        <w:rPr/>
        <w:t>financial</w:t>
      </w:r>
      <w:r>
        <w:rPr>
          <w:spacing w:val="-7"/>
        </w:rPr>
        <w:t> </w:t>
      </w:r>
      <w:r>
        <w:rPr/>
        <w:t>and</w:t>
      </w:r>
      <w:r>
        <w:rPr>
          <w:spacing w:val="-4"/>
        </w:rPr>
        <w:t> </w:t>
      </w:r>
      <w:r>
        <w:rPr/>
        <w:t>narrative</w:t>
      </w:r>
      <w:r>
        <w:rPr>
          <w:spacing w:val="-2"/>
        </w:rPr>
        <w:t> </w:t>
      </w:r>
      <w:r>
        <w:rPr/>
        <w:t>reporting.</w:t>
      </w:r>
      <w:r>
        <w:rPr>
          <w:spacing w:val="-6"/>
        </w:rPr>
        <w:t> </w:t>
      </w:r>
      <w:r>
        <w:rPr/>
        <w:t>The</w:t>
      </w:r>
      <w:r>
        <w:rPr>
          <w:spacing w:val="-7"/>
        </w:rPr>
        <w:t> </w:t>
      </w:r>
      <w:r>
        <w:rPr/>
        <w:t>additional</w:t>
      </w:r>
      <w:r>
        <w:rPr>
          <w:spacing w:val="-2"/>
        </w:rPr>
        <w:t> </w:t>
      </w:r>
      <w:r>
        <w:rPr/>
        <w:t>resources requested will therefore allow the TFV to be responsive in its strategy and mandates.</w:t>
      </w:r>
    </w:p>
    <w:p>
      <w:pPr>
        <w:pStyle w:val="ListParagraph"/>
        <w:numPr>
          <w:ilvl w:val="0"/>
          <w:numId w:val="4"/>
        </w:numPr>
        <w:tabs>
          <w:tab w:pos="2967" w:val="left" w:leader="none"/>
        </w:tabs>
        <w:spacing w:line="240" w:lineRule="auto" w:before="125" w:after="0"/>
        <w:ind w:left="2967" w:right="0" w:hanging="721"/>
        <w:jc w:val="both"/>
        <w:rPr>
          <w:sz w:val="20"/>
        </w:rPr>
      </w:pPr>
      <w:r>
        <w:rPr>
          <w:sz w:val="20"/>
        </w:rPr>
        <w:t>The</w:t>
      </w:r>
      <w:r>
        <w:rPr>
          <w:spacing w:val="-7"/>
          <w:sz w:val="20"/>
        </w:rPr>
        <w:t> </w:t>
      </w:r>
      <w:r>
        <w:rPr>
          <w:sz w:val="20"/>
        </w:rPr>
        <w:t>following</w:t>
      </w:r>
      <w:r>
        <w:rPr>
          <w:spacing w:val="-8"/>
          <w:sz w:val="20"/>
        </w:rPr>
        <w:t> </w:t>
      </w:r>
      <w:r>
        <w:rPr>
          <w:sz w:val="20"/>
        </w:rPr>
        <w:t>adjustments</w:t>
      </w:r>
      <w:r>
        <w:rPr>
          <w:spacing w:val="-5"/>
          <w:sz w:val="20"/>
        </w:rPr>
        <w:t> </w:t>
      </w:r>
      <w:r>
        <w:rPr>
          <w:sz w:val="20"/>
        </w:rPr>
        <w:t>are</w:t>
      </w:r>
      <w:r>
        <w:rPr>
          <w:spacing w:val="-6"/>
          <w:sz w:val="20"/>
        </w:rPr>
        <w:t> </w:t>
      </w:r>
      <w:r>
        <w:rPr>
          <w:spacing w:val="-2"/>
          <w:sz w:val="20"/>
        </w:rPr>
        <w:t>proposed:</w:t>
      </w:r>
    </w:p>
    <w:p>
      <w:pPr>
        <w:pStyle w:val="ListParagraph"/>
        <w:numPr>
          <w:ilvl w:val="1"/>
          <w:numId w:val="4"/>
        </w:numPr>
        <w:tabs>
          <w:tab w:pos="3686" w:val="left" w:leader="none"/>
          <w:tab w:pos="3687" w:val="left" w:leader="none"/>
        </w:tabs>
        <w:spacing w:line="240" w:lineRule="auto" w:before="115" w:after="0"/>
        <w:ind w:left="2957" w:right="2248" w:firstLine="0"/>
        <w:jc w:val="both"/>
        <w:rPr>
          <w:sz w:val="20"/>
        </w:rPr>
      </w:pPr>
      <w:r>
        <w:rPr>
          <w:sz w:val="20"/>
        </w:rPr>
        <w:t>Restoration of the vacancy rate from 10 per cent to 5 per cent in line with the implementation of staffing funds;</w:t>
      </w:r>
    </w:p>
    <w:p>
      <w:pPr>
        <w:pStyle w:val="ListParagraph"/>
        <w:numPr>
          <w:ilvl w:val="1"/>
          <w:numId w:val="4"/>
        </w:numPr>
        <w:tabs>
          <w:tab w:pos="3686" w:val="left" w:leader="none"/>
          <w:tab w:pos="3687" w:val="left" w:leader="none"/>
        </w:tabs>
        <w:spacing w:line="240" w:lineRule="auto" w:before="121" w:after="0"/>
        <w:ind w:left="2957" w:right="2245" w:firstLine="0"/>
        <w:jc w:val="both"/>
        <w:rPr>
          <w:sz w:val="20"/>
        </w:rPr>
      </w:pPr>
      <w:r>
        <w:rPr>
          <w:sz w:val="20"/>
        </w:rPr>
        <w:t>Proposed conversion of</w:t>
      </w:r>
      <w:r>
        <w:rPr>
          <w:spacing w:val="-1"/>
          <w:sz w:val="20"/>
        </w:rPr>
        <w:t> </w:t>
      </w:r>
      <w:r>
        <w:rPr>
          <w:sz w:val="20"/>
        </w:rPr>
        <w:t>one GTA position pivotal for business continuity at Headquarters;</w:t>
      </w:r>
    </w:p>
    <w:p>
      <w:pPr>
        <w:pStyle w:val="ListParagraph"/>
        <w:numPr>
          <w:ilvl w:val="1"/>
          <w:numId w:val="4"/>
        </w:numPr>
        <w:tabs>
          <w:tab w:pos="3686" w:val="left" w:leader="none"/>
          <w:tab w:pos="3687" w:val="left" w:leader="none"/>
        </w:tabs>
        <w:spacing w:line="240" w:lineRule="auto" w:before="121" w:after="0"/>
        <w:ind w:left="2957" w:right="2243" w:firstLine="0"/>
        <w:jc w:val="both"/>
        <w:rPr>
          <w:sz w:val="20"/>
        </w:rPr>
      </w:pPr>
      <w:r>
        <w:rPr>
          <w:sz w:val="20"/>
        </w:rPr>
        <w:t>Request for</w:t>
      </w:r>
      <w:r>
        <w:rPr>
          <w:spacing w:val="-1"/>
          <w:sz w:val="20"/>
        </w:rPr>
        <w:t> </w:t>
      </w:r>
      <w:r>
        <w:rPr>
          <w:sz w:val="20"/>
        </w:rPr>
        <w:t>two</w:t>
      </w:r>
      <w:r>
        <w:rPr>
          <w:spacing w:val="-1"/>
          <w:sz w:val="20"/>
        </w:rPr>
        <w:t> </w:t>
      </w:r>
      <w:r>
        <w:rPr>
          <w:sz w:val="20"/>
        </w:rPr>
        <w:t>new</w:t>
      </w:r>
      <w:r>
        <w:rPr>
          <w:spacing w:val="-2"/>
          <w:sz w:val="20"/>
        </w:rPr>
        <w:t> </w:t>
      </w:r>
      <w:r>
        <w:rPr>
          <w:sz w:val="20"/>
        </w:rPr>
        <w:t>GTA</w:t>
      </w:r>
      <w:r>
        <w:rPr>
          <w:spacing w:val="-7"/>
          <w:sz w:val="20"/>
        </w:rPr>
        <w:t> </w:t>
      </w:r>
      <w:r>
        <w:rPr>
          <w:sz w:val="20"/>
        </w:rPr>
        <w:t>positions</w:t>
      </w:r>
      <w:r>
        <w:rPr>
          <w:spacing w:val="-7"/>
          <w:sz w:val="20"/>
        </w:rPr>
        <w:t> </w:t>
      </w:r>
      <w:r>
        <w:rPr>
          <w:sz w:val="20"/>
        </w:rPr>
        <w:t>with</w:t>
      </w:r>
      <w:r>
        <w:rPr>
          <w:spacing w:val="-1"/>
          <w:sz w:val="20"/>
        </w:rPr>
        <w:t> </w:t>
      </w:r>
      <w:r>
        <w:rPr>
          <w:sz w:val="20"/>
        </w:rPr>
        <w:t>a</w:t>
      </w:r>
      <w:r>
        <w:rPr>
          <w:spacing w:val="-4"/>
          <w:sz w:val="20"/>
        </w:rPr>
        <w:t> </w:t>
      </w:r>
      <w:r>
        <w:rPr>
          <w:sz w:val="20"/>
        </w:rPr>
        <w:t>three-month</w:t>
      </w:r>
      <w:r>
        <w:rPr>
          <w:spacing w:val="-6"/>
          <w:sz w:val="20"/>
        </w:rPr>
        <w:t> </w:t>
      </w:r>
      <w:r>
        <w:rPr>
          <w:sz w:val="20"/>
        </w:rPr>
        <w:t>recruitment delay </w:t>
      </w:r>
      <w:r>
        <w:rPr>
          <w:spacing w:val="-2"/>
          <w:sz w:val="20"/>
        </w:rPr>
        <w:t>factor;</w:t>
      </w:r>
    </w:p>
    <w:p>
      <w:pPr>
        <w:pStyle w:val="ListParagraph"/>
        <w:numPr>
          <w:ilvl w:val="1"/>
          <w:numId w:val="4"/>
        </w:numPr>
        <w:tabs>
          <w:tab w:pos="3686" w:val="left" w:leader="none"/>
          <w:tab w:pos="3687" w:val="left" w:leader="none"/>
        </w:tabs>
        <w:spacing w:line="240" w:lineRule="auto" w:before="121" w:after="0"/>
        <w:ind w:left="3687" w:right="0" w:hanging="730"/>
        <w:jc w:val="both"/>
        <w:rPr>
          <w:sz w:val="20"/>
        </w:rPr>
      </w:pPr>
      <w:r>
        <w:rPr>
          <w:sz w:val="20"/>
        </w:rPr>
        <w:t>Increase</w:t>
      </w:r>
      <w:r>
        <w:rPr>
          <w:spacing w:val="-5"/>
          <w:sz w:val="20"/>
        </w:rPr>
        <w:t> </w:t>
      </w:r>
      <w:r>
        <w:rPr>
          <w:sz w:val="20"/>
        </w:rPr>
        <w:t>in</w:t>
      </w:r>
      <w:r>
        <w:rPr>
          <w:spacing w:val="-5"/>
          <w:sz w:val="20"/>
        </w:rPr>
        <w:t> </w:t>
      </w:r>
      <w:r>
        <w:rPr>
          <w:sz w:val="20"/>
        </w:rPr>
        <w:t>the</w:t>
      </w:r>
      <w:r>
        <w:rPr>
          <w:spacing w:val="-5"/>
          <w:sz w:val="20"/>
        </w:rPr>
        <w:t> </w:t>
      </w:r>
      <w:r>
        <w:rPr>
          <w:sz w:val="20"/>
        </w:rPr>
        <w:t>travel</w:t>
      </w:r>
      <w:r>
        <w:rPr>
          <w:spacing w:val="-4"/>
          <w:sz w:val="20"/>
        </w:rPr>
        <w:t> </w:t>
      </w:r>
      <w:r>
        <w:rPr>
          <w:sz w:val="20"/>
        </w:rPr>
        <w:t>budget</w:t>
      </w:r>
      <w:r>
        <w:rPr>
          <w:spacing w:val="-4"/>
          <w:sz w:val="20"/>
        </w:rPr>
        <w:t> </w:t>
      </w:r>
      <w:r>
        <w:rPr>
          <w:sz w:val="20"/>
        </w:rPr>
        <w:t>by</w:t>
      </w:r>
      <w:r>
        <w:rPr>
          <w:spacing w:val="-6"/>
          <w:sz w:val="20"/>
        </w:rPr>
        <w:t> </w:t>
      </w:r>
      <w:r>
        <w:rPr>
          <w:sz w:val="20"/>
        </w:rPr>
        <w:t>€198.1</w:t>
      </w:r>
      <w:r>
        <w:rPr>
          <w:spacing w:val="-5"/>
          <w:sz w:val="20"/>
        </w:rPr>
        <w:t> </w:t>
      </w:r>
      <w:r>
        <w:rPr>
          <w:spacing w:val="-2"/>
          <w:sz w:val="20"/>
        </w:rPr>
        <w:t>thousand;</w:t>
      </w:r>
    </w:p>
    <w:p>
      <w:pPr>
        <w:pStyle w:val="ListParagraph"/>
        <w:numPr>
          <w:ilvl w:val="1"/>
          <w:numId w:val="4"/>
        </w:numPr>
        <w:tabs>
          <w:tab w:pos="3686" w:val="left" w:leader="none"/>
          <w:tab w:pos="3687" w:val="left" w:leader="none"/>
        </w:tabs>
        <w:spacing w:line="240" w:lineRule="auto" w:before="121" w:after="0"/>
        <w:ind w:left="2957" w:right="2245" w:firstLine="0"/>
        <w:jc w:val="both"/>
        <w:rPr>
          <w:sz w:val="20"/>
        </w:rPr>
      </w:pPr>
      <w:r>
        <w:rPr>
          <w:sz w:val="20"/>
        </w:rPr>
        <w:t>Increase</w:t>
      </w:r>
      <w:r>
        <w:rPr>
          <w:spacing w:val="-13"/>
          <w:sz w:val="20"/>
        </w:rPr>
        <w:t> </w:t>
      </w:r>
      <w:r>
        <w:rPr>
          <w:sz w:val="20"/>
        </w:rPr>
        <w:t>in</w:t>
      </w:r>
      <w:r>
        <w:rPr>
          <w:spacing w:val="-10"/>
          <w:sz w:val="20"/>
        </w:rPr>
        <w:t> </w:t>
      </w:r>
      <w:r>
        <w:rPr>
          <w:sz w:val="20"/>
        </w:rPr>
        <w:t>the</w:t>
      </w:r>
      <w:r>
        <w:rPr>
          <w:spacing w:val="-12"/>
          <w:sz w:val="20"/>
        </w:rPr>
        <w:t> </w:t>
      </w:r>
      <w:r>
        <w:rPr>
          <w:sz w:val="20"/>
        </w:rPr>
        <w:t>contractual</w:t>
      </w:r>
      <w:r>
        <w:rPr>
          <w:spacing w:val="-9"/>
          <w:sz w:val="20"/>
        </w:rPr>
        <w:t> </w:t>
      </w:r>
      <w:r>
        <w:rPr>
          <w:sz w:val="20"/>
        </w:rPr>
        <w:t>services</w:t>
      </w:r>
      <w:r>
        <w:rPr>
          <w:spacing w:val="-11"/>
          <w:sz w:val="20"/>
        </w:rPr>
        <w:t> </w:t>
      </w:r>
      <w:r>
        <w:rPr>
          <w:sz w:val="20"/>
        </w:rPr>
        <w:t>budget</w:t>
      </w:r>
      <w:r>
        <w:rPr>
          <w:spacing w:val="-9"/>
          <w:sz w:val="20"/>
        </w:rPr>
        <w:t> </w:t>
      </w:r>
      <w:r>
        <w:rPr>
          <w:sz w:val="20"/>
        </w:rPr>
        <w:t>by</w:t>
      </w:r>
      <w:r>
        <w:rPr>
          <w:spacing w:val="-10"/>
          <w:sz w:val="20"/>
        </w:rPr>
        <w:t> </w:t>
      </w:r>
      <w:r>
        <w:rPr>
          <w:sz w:val="20"/>
        </w:rPr>
        <w:t>€135.7</w:t>
      </w:r>
      <w:r>
        <w:rPr>
          <w:spacing w:val="-10"/>
          <w:sz w:val="20"/>
        </w:rPr>
        <w:t> </w:t>
      </w:r>
      <w:r>
        <w:rPr>
          <w:sz w:val="20"/>
        </w:rPr>
        <w:t>thousand</w:t>
      </w:r>
      <w:r>
        <w:rPr>
          <w:spacing w:val="-10"/>
          <w:sz w:val="20"/>
        </w:rPr>
        <w:t> </w:t>
      </w:r>
      <w:r>
        <w:rPr>
          <w:sz w:val="20"/>
        </w:rPr>
        <w:t>to</w:t>
      </w:r>
      <w:r>
        <w:rPr>
          <w:spacing w:val="-10"/>
          <w:sz w:val="20"/>
        </w:rPr>
        <w:t> </w:t>
      </w:r>
      <w:r>
        <w:rPr>
          <w:sz w:val="20"/>
        </w:rPr>
        <w:t>cover</w:t>
      </w:r>
      <w:r>
        <w:rPr>
          <w:spacing w:val="-13"/>
          <w:sz w:val="20"/>
        </w:rPr>
        <w:t> </w:t>
      </w:r>
      <w:r>
        <w:rPr>
          <w:sz w:val="20"/>
        </w:rPr>
        <w:t>the cost of residential security</w:t>
      </w:r>
      <w:r>
        <w:rPr>
          <w:spacing w:val="-4"/>
          <w:sz w:val="20"/>
        </w:rPr>
        <w:t> </w:t>
      </w:r>
      <w:r>
        <w:rPr>
          <w:sz w:val="20"/>
        </w:rPr>
        <w:t>measures for</w:t>
      </w:r>
      <w:r>
        <w:rPr>
          <w:spacing w:val="-4"/>
          <w:sz w:val="20"/>
        </w:rPr>
        <w:t> </w:t>
      </w:r>
      <w:r>
        <w:rPr>
          <w:sz w:val="20"/>
        </w:rPr>
        <w:t>TFV staff</w:t>
      </w:r>
      <w:r>
        <w:rPr>
          <w:spacing w:val="-4"/>
          <w:sz w:val="20"/>
        </w:rPr>
        <w:t> </w:t>
      </w:r>
      <w:r>
        <w:rPr>
          <w:sz w:val="20"/>
        </w:rPr>
        <w:t>in country offices and</w:t>
      </w:r>
      <w:r>
        <w:rPr>
          <w:spacing w:val="-4"/>
          <w:sz w:val="20"/>
        </w:rPr>
        <w:t> </w:t>
      </w:r>
      <w:r>
        <w:rPr>
          <w:sz w:val="20"/>
        </w:rPr>
        <w:t>to budget for the review of the TFV’s Grants Management system; and</w:t>
      </w:r>
    </w:p>
    <w:p>
      <w:pPr>
        <w:pStyle w:val="ListParagraph"/>
        <w:numPr>
          <w:ilvl w:val="1"/>
          <w:numId w:val="4"/>
        </w:numPr>
        <w:tabs>
          <w:tab w:pos="3686" w:val="left" w:leader="none"/>
          <w:tab w:pos="3687" w:val="left" w:leader="none"/>
        </w:tabs>
        <w:spacing w:line="240" w:lineRule="auto" w:before="121" w:after="0"/>
        <w:ind w:left="2957" w:right="2239" w:firstLine="0"/>
        <w:jc w:val="both"/>
        <w:rPr>
          <w:sz w:val="20"/>
        </w:rPr>
      </w:pPr>
      <w:r>
        <w:rPr>
          <w:sz w:val="20"/>
        </w:rPr>
        <w:t>An extraordinary</w:t>
      </w:r>
      <w:r>
        <w:rPr>
          <w:spacing w:val="-3"/>
          <w:sz w:val="20"/>
        </w:rPr>
        <w:t> </w:t>
      </w:r>
      <w:r>
        <w:rPr>
          <w:sz w:val="20"/>
        </w:rPr>
        <w:t>provision</w:t>
      </w:r>
      <w:r>
        <w:rPr>
          <w:spacing w:val="-3"/>
          <w:sz w:val="20"/>
        </w:rPr>
        <w:t> </w:t>
      </w:r>
      <w:r>
        <w:rPr>
          <w:sz w:val="20"/>
        </w:rPr>
        <w:t>for</w:t>
      </w:r>
      <w:r>
        <w:rPr>
          <w:spacing w:val="-3"/>
          <w:sz w:val="20"/>
        </w:rPr>
        <w:t> </w:t>
      </w:r>
      <w:r>
        <w:rPr>
          <w:sz w:val="20"/>
        </w:rPr>
        <w:t>an</w:t>
      </w:r>
      <w:r>
        <w:rPr>
          <w:spacing w:val="-7"/>
          <w:sz w:val="20"/>
        </w:rPr>
        <w:t> </w:t>
      </w:r>
      <w:r>
        <w:rPr>
          <w:sz w:val="20"/>
        </w:rPr>
        <w:t>advisory role</w:t>
      </w:r>
      <w:r>
        <w:rPr>
          <w:spacing w:val="-1"/>
          <w:sz w:val="20"/>
        </w:rPr>
        <w:t> </w:t>
      </w:r>
      <w:r>
        <w:rPr>
          <w:sz w:val="20"/>
        </w:rPr>
        <w:t>to</w:t>
      </w:r>
      <w:r>
        <w:rPr>
          <w:spacing w:val="-3"/>
          <w:sz w:val="20"/>
        </w:rPr>
        <w:t> </w:t>
      </w:r>
      <w:r>
        <w:rPr>
          <w:sz w:val="20"/>
        </w:rPr>
        <w:t>the</w:t>
      </w:r>
      <w:r>
        <w:rPr>
          <w:spacing w:val="-1"/>
          <w:sz w:val="20"/>
        </w:rPr>
        <w:t> </w:t>
      </w:r>
      <w:r>
        <w:rPr>
          <w:sz w:val="20"/>
        </w:rPr>
        <w:t>Board</w:t>
      </w:r>
      <w:r>
        <w:rPr>
          <w:spacing w:val="-3"/>
          <w:sz w:val="20"/>
        </w:rPr>
        <w:t> </w:t>
      </w:r>
      <w:r>
        <w:rPr>
          <w:sz w:val="20"/>
        </w:rPr>
        <w:t>as part</w:t>
      </w:r>
      <w:r>
        <w:rPr>
          <w:spacing w:val="-1"/>
          <w:sz w:val="20"/>
        </w:rPr>
        <w:t> </w:t>
      </w:r>
      <w:r>
        <w:rPr>
          <w:sz w:val="20"/>
        </w:rPr>
        <w:t>of</w:t>
      </w:r>
      <w:r>
        <w:rPr>
          <w:spacing w:val="-3"/>
          <w:sz w:val="20"/>
        </w:rPr>
        <w:t> </w:t>
      </w:r>
      <w:r>
        <w:rPr>
          <w:sz w:val="20"/>
        </w:rPr>
        <w:t>the leadership transition at the TFV Secretariat.</w:t>
      </w:r>
    </w:p>
    <w:p>
      <w:pPr>
        <w:pStyle w:val="BodyText"/>
        <w:rPr>
          <w:sz w:val="21"/>
        </w:rPr>
      </w:pPr>
    </w:p>
    <w:p>
      <w:pPr>
        <w:pStyle w:val="Heading3"/>
        <w:tabs>
          <w:tab w:pos="8076" w:val="left" w:leader="none"/>
        </w:tabs>
        <w:jc w:val="both"/>
      </w:pPr>
      <w:r>
        <w:rPr/>
        <w:t>Staff</w:t>
      </w:r>
      <w:r>
        <w:rPr>
          <w:spacing w:val="-2"/>
        </w:rPr>
        <w:t> resources</w:t>
      </w:r>
      <w:r>
        <w:rPr/>
        <w:tab/>
        <w:t>€3,653.8</w:t>
      </w:r>
      <w:r>
        <w:rPr>
          <w:spacing w:val="-6"/>
        </w:rPr>
        <w:t> </w:t>
      </w:r>
      <w:r>
        <w:rPr>
          <w:spacing w:val="-2"/>
        </w:rPr>
        <w:t>thousand</w:t>
      </w:r>
    </w:p>
    <w:p>
      <w:pPr>
        <w:pStyle w:val="BodyText"/>
        <w:spacing w:before="6"/>
        <w:rPr>
          <w:b/>
        </w:rPr>
      </w:pPr>
    </w:p>
    <w:p>
      <w:pPr>
        <w:pStyle w:val="ListParagraph"/>
        <w:numPr>
          <w:ilvl w:val="0"/>
          <w:numId w:val="4"/>
        </w:numPr>
        <w:tabs>
          <w:tab w:pos="2967" w:val="left" w:leader="none"/>
        </w:tabs>
        <w:spacing w:line="240" w:lineRule="auto" w:before="0" w:after="0"/>
        <w:ind w:left="2246" w:right="2237" w:firstLine="0"/>
        <w:jc w:val="both"/>
        <w:rPr>
          <w:sz w:val="20"/>
        </w:rPr>
      </w:pPr>
      <w:r>
        <w:rPr>
          <w:sz w:val="20"/>
        </w:rPr>
        <w:t>The amount requested for established posts has increased by €256.9 thousand</w:t>
      </w:r>
      <w:r>
        <w:rPr>
          <w:spacing w:val="40"/>
          <w:sz w:val="20"/>
        </w:rPr>
        <w:t> </w:t>
      </w:r>
      <w:r>
        <w:rPr>
          <w:sz w:val="20"/>
        </w:rPr>
        <w:t>(18.9</w:t>
      </w:r>
      <w:r>
        <w:rPr>
          <w:spacing w:val="-3"/>
          <w:sz w:val="20"/>
        </w:rPr>
        <w:t> </w:t>
      </w:r>
      <w:r>
        <w:rPr>
          <w:sz w:val="20"/>
        </w:rPr>
        <w:t>per cent) as compared with the amount in the approved budget for 2022. The amount approved for GTA positions has increased by €482.2 thousand (31.0 per cent) as compared with the amount in the approved budget for 2022. The increase in established posts is the result of the reduction in the vacancy rate from 10 per</w:t>
      </w:r>
      <w:r>
        <w:rPr>
          <w:spacing w:val="-4"/>
          <w:sz w:val="20"/>
        </w:rPr>
        <w:t> </w:t>
      </w:r>
      <w:r>
        <w:rPr>
          <w:sz w:val="20"/>
        </w:rPr>
        <w:t>cent to 5 per cent</w:t>
      </w:r>
      <w:r>
        <w:rPr>
          <w:spacing w:val="-2"/>
          <w:sz w:val="20"/>
        </w:rPr>
        <w:t> </w:t>
      </w:r>
      <w:r>
        <w:rPr>
          <w:sz w:val="20"/>
        </w:rPr>
        <w:t>and the application of</w:t>
      </w:r>
      <w:r>
        <w:rPr>
          <w:spacing w:val="-8"/>
          <w:sz w:val="20"/>
        </w:rPr>
        <w:t> </w:t>
      </w:r>
      <w:r>
        <w:rPr>
          <w:sz w:val="20"/>
        </w:rPr>
        <w:t>the</w:t>
      </w:r>
      <w:r>
        <w:rPr>
          <w:spacing w:val="-7"/>
          <w:sz w:val="20"/>
        </w:rPr>
        <w:t> </w:t>
      </w:r>
      <w:r>
        <w:rPr>
          <w:sz w:val="20"/>
        </w:rPr>
        <w:t>UNCS</w:t>
      </w:r>
      <w:r>
        <w:rPr>
          <w:spacing w:val="-10"/>
          <w:sz w:val="20"/>
        </w:rPr>
        <w:t> </w:t>
      </w:r>
      <w:r>
        <w:rPr>
          <w:sz w:val="20"/>
        </w:rPr>
        <w:t>salary</w:t>
      </w:r>
      <w:r>
        <w:rPr>
          <w:spacing w:val="-4"/>
          <w:sz w:val="20"/>
        </w:rPr>
        <w:t> </w:t>
      </w:r>
      <w:r>
        <w:rPr>
          <w:sz w:val="20"/>
        </w:rPr>
        <w:t>scale</w:t>
      </w:r>
      <w:r>
        <w:rPr>
          <w:spacing w:val="-7"/>
          <w:sz w:val="20"/>
        </w:rPr>
        <w:t> </w:t>
      </w:r>
      <w:r>
        <w:rPr>
          <w:sz w:val="20"/>
        </w:rPr>
        <w:t>resulting</w:t>
      </w:r>
      <w:r>
        <w:rPr>
          <w:spacing w:val="-13"/>
          <w:sz w:val="20"/>
        </w:rPr>
        <w:t> </w:t>
      </w:r>
      <w:r>
        <w:rPr>
          <w:sz w:val="20"/>
        </w:rPr>
        <w:t>in</w:t>
      </w:r>
      <w:r>
        <w:rPr>
          <w:spacing w:val="-8"/>
          <w:sz w:val="20"/>
        </w:rPr>
        <w:t> </w:t>
      </w:r>
      <w:r>
        <w:rPr>
          <w:sz w:val="20"/>
        </w:rPr>
        <w:t>amended</w:t>
      </w:r>
      <w:r>
        <w:rPr>
          <w:spacing w:val="-8"/>
          <w:sz w:val="20"/>
        </w:rPr>
        <w:t> </w:t>
      </w:r>
      <w:r>
        <w:rPr>
          <w:sz w:val="20"/>
        </w:rPr>
        <w:t>standard</w:t>
      </w:r>
      <w:r>
        <w:rPr>
          <w:spacing w:val="-8"/>
          <w:sz w:val="20"/>
        </w:rPr>
        <w:t> </w:t>
      </w:r>
      <w:r>
        <w:rPr>
          <w:sz w:val="20"/>
        </w:rPr>
        <w:t>staff</w:t>
      </w:r>
      <w:r>
        <w:rPr>
          <w:spacing w:val="-13"/>
          <w:sz w:val="20"/>
        </w:rPr>
        <w:t> </w:t>
      </w:r>
      <w:r>
        <w:rPr>
          <w:sz w:val="20"/>
        </w:rPr>
        <w:t>costs.</w:t>
      </w:r>
      <w:r>
        <w:rPr>
          <w:spacing w:val="-6"/>
          <w:sz w:val="20"/>
        </w:rPr>
        <w:t> </w:t>
      </w:r>
      <w:r>
        <w:rPr>
          <w:sz w:val="20"/>
        </w:rPr>
        <w:t>No</w:t>
      </w:r>
      <w:r>
        <w:rPr>
          <w:spacing w:val="-8"/>
          <w:sz w:val="20"/>
        </w:rPr>
        <w:t> </w:t>
      </w:r>
      <w:r>
        <w:rPr>
          <w:sz w:val="20"/>
        </w:rPr>
        <w:t>new</w:t>
      </w:r>
      <w:r>
        <w:rPr>
          <w:spacing w:val="-10"/>
          <w:sz w:val="20"/>
        </w:rPr>
        <w:t> </w:t>
      </w:r>
      <w:r>
        <w:rPr>
          <w:sz w:val="20"/>
        </w:rPr>
        <w:t>established</w:t>
      </w:r>
      <w:r>
        <w:rPr>
          <w:spacing w:val="-8"/>
          <w:sz w:val="20"/>
        </w:rPr>
        <w:t> </w:t>
      </w:r>
      <w:r>
        <w:rPr>
          <w:sz w:val="20"/>
        </w:rPr>
        <w:t>posts are proposed. The conversion of one existing long-standing GTA position that will be required in the future has no budgetary impact.</w:t>
      </w:r>
    </w:p>
    <w:p>
      <w:pPr>
        <w:pStyle w:val="ListParagraph"/>
        <w:numPr>
          <w:ilvl w:val="0"/>
          <w:numId w:val="4"/>
        </w:numPr>
        <w:tabs>
          <w:tab w:pos="2967" w:val="left" w:leader="none"/>
        </w:tabs>
        <w:spacing w:line="240" w:lineRule="auto" w:before="124" w:after="0"/>
        <w:ind w:left="2246" w:right="2246" w:firstLine="0"/>
        <w:jc w:val="both"/>
        <w:rPr>
          <w:sz w:val="20"/>
        </w:rPr>
      </w:pPr>
      <w:r>
        <w:rPr>
          <w:sz w:val="20"/>
        </w:rPr>
        <w:t>In</w:t>
      </w:r>
      <w:r>
        <w:rPr>
          <w:spacing w:val="40"/>
          <w:sz w:val="20"/>
        </w:rPr>
        <w:t> </w:t>
      </w:r>
      <w:r>
        <w:rPr>
          <w:sz w:val="20"/>
        </w:rPr>
        <w:t>2023,</w:t>
      </w:r>
      <w:r>
        <w:rPr>
          <w:spacing w:val="40"/>
          <w:sz w:val="20"/>
        </w:rPr>
        <w:t> </w:t>
      </w:r>
      <w:r>
        <w:rPr>
          <w:sz w:val="20"/>
        </w:rPr>
        <w:t>the</w:t>
      </w:r>
      <w:r>
        <w:rPr>
          <w:spacing w:val="40"/>
          <w:sz w:val="20"/>
        </w:rPr>
        <w:t> </w:t>
      </w:r>
      <w:r>
        <w:rPr>
          <w:sz w:val="20"/>
        </w:rPr>
        <w:t>TFV</w:t>
      </w:r>
      <w:r>
        <w:rPr>
          <w:spacing w:val="40"/>
          <w:sz w:val="20"/>
        </w:rPr>
        <w:t> </w:t>
      </w:r>
      <w:r>
        <w:rPr>
          <w:sz w:val="20"/>
        </w:rPr>
        <w:t>will</w:t>
      </w:r>
      <w:r>
        <w:rPr>
          <w:spacing w:val="40"/>
          <w:sz w:val="20"/>
        </w:rPr>
        <w:t> </w:t>
      </w:r>
      <w:r>
        <w:rPr>
          <w:sz w:val="20"/>
        </w:rPr>
        <w:t>comprise</w:t>
      </w:r>
      <w:r>
        <w:rPr>
          <w:spacing w:val="40"/>
          <w:sz w:val="20"/>
        </w:rPr>
        <w:t> </w:t>
      </w:r>
      <w:r>
        <w:rPr>
          <w:sz w:val="20"/>
        </w:rPr>
        <w:t>12</w:t>
      </w:r>
      <w:r>
        <w:rPr>
          <w:spacing w:val="40"/>
          <w:sz w:val="20"/>
        </w:rPr>
        <w:t> </w:t>
      </w:r>
      <w:r>
        <w:rPr>
          <w:sz w:val="20"/>
        </w:rPr>
        <w:t>established</w:t>
      </w:r>
      <w:r>
        <w:rPr>
          <w:spacing w:val="40"/>
          <w:sz w:val="20"/>
        </w:rPr>
        <w:t> </w:t>
      </w:r>
      <w:r>
        <w:rPr>
          <w:sz w:val="20"/>
        </w:rPr>
        <w:t>posts</w:t>
      </w:r>
      <w:r>
        <w:rPr>
          <w:spacing w:val="40"/>
          <w:sz w:val="20"/>
        </w:rPr>
        <w:t> </w:t>
      </w:r>
      <w:r>
        <w:rPr>
          <w:sz w:val="20"/>
        </w:rPr>
        <w:t>and</w:t>
      </w:r>
      <w:r>
        <w:rPr>
          <w:spacing w:val="40"/>
          <w:sz w:val="20"/>
        </w:rPr>
        <w:t> </w:t>
      </w:r>
      <w:r>
        <w:rPr>
          <w:sz w:val="20"/>
        </w:rPr>
        <w:t>18</w:t>
      </w:r>
      <w:r>
        <w:rPr>
          <w:spacing w:val="40"/>
          <w:sz w:val="20"/>
        </w:rPr>
        <w:t> </w:t>
      </w:r>
      <w:r>
        <w:rPr>
          <w:sz w:val="20"/>
        </w:rPr>
        <w:t>GTA</w:t>
      </w:r>
      <w:r>
        <w:rPr>
          <w:spacing w:val="40"/>
          <w:sz w:val="20"/>
        </w:rPr>
        <w:t> </w:t>
      </w:r>
      <w:r>
        <w:rPr>
          <w:sz w:val="20"/>
        </w:rPr>
        <w:t>positions (17 FTE). The amount requested for established posts is €1,617.4 thousand. The amount requested for GTA positions is €2,036.4 thousand.</w:t>
      </w:r>
    </w:p>
    <w:p>
      <w:pPr>
        <w:pStyle w:val="BodyText"/>
        <w:spacing w:before="6"/>
      </w:pPr>
    </w:p>
    <w:p>
      <w:pPr>
        <w:tabs>
          <w:tab w:pos="8133" w:val="left" w:leader="none"/>
        </w:tabs>
        <w:spacing w:before="0"/>
        <w:ind w:left="2246" w:right="0" w:firstLine="0"/>
        <w:jc w:val="both"/>
        <w:rPr>
          <w:i/>
          <w:sz w:val="20"/>
        </w:rPr>
      </w:pPr>
      <w:r>
        <w:rPr>
          <w:i/>
          <w:sz w:val="20"/>
        </w:rPr>
        <w:t>Established</w:t>
      </w:r>
      <w:r>
        <w:rPr>
          <w:i/>
          <w:spacing w:val="-8"/>
          <w:sz w:val="20"/>
        </w:rPr>
        <w:t> </w:t>
      </w:r>
      <w:r>
        <w:rPr>
          <w:i/>
          <w:sz w:val="20"/>
        </w:rPr>
        <w:t>posts:</w:t>
      </w:r>
      <w:r>
        <w:rPr>
          <w:i/>
          <w:spacing w:val="-11"/>
          <w:sz w:val="20"/>
        </w:rPr>
        <w:t> </w:t>
      </w:r>
      <w:r>
        <w:rPr>
          <w:i/>
          <w:sz w:val="20"/>
        </w:rPr>
        <w:t>Professional</w:t>
      </w:r>
      <w:r>
        <w:rPr>
          <w:i/>
          <w:spacing w:val="-6"/>
          <w:sz w:val="20"/>
        </w:rPr>
        <w:t> </w:t>
      </w:r>
      <w:r>
        <w:rPr>
          <w:i/>
          <w:sz w:val="20"/>
        </w:rPr>
        <w:t>and</w:t>
      </w:r>
      <w:r>
        <w:rPr>
          <w:i/>
          <w:spacing w:val="-8"/>
          <w:sz w:val="20"/>
        </w:rPr>
        <w:t> </w:t>
      </w:r>
      <w:r>
        <w:rPr>
          <w:i/>
          <w:sz w:val="20"/>
        </w:rPr>
        <w:t>General</w:t>
      </w:r>
      <w:r>
        <w:rPr>
          <w:i/>
          <w:spacing w:val="-9"/>
          <w:sz w:val="20"/>
        </w:rPr>
        <w:t> </w:t>
      </w:r>
      <w:r>
        <w:rPr>
          <w:i/>
          <w:spacing w:val="-2"/>
          <w:sz w:val="20"/>
        </w:rPr>
        <w:t>Service</w:t>
      </w:r>
      <w:r>
        <w:rPr>
          <w:i/>
          <w:sz w:val="20"/>
        </w:rPr>
        <w:tab/>
        <w:t>€1,617.4</w:t>
      </w:r>
      <w:r>
        <w:rPr>
          <w:i/>
          <w:spacing w:val="-4"/>
          <w:sz w:val="20"/>
        </w:rPr>
        <w:t> </w:t>
      </w:r>
      <w:r>
        <w:rPr>
          <w:i/>
          <w:spacing w:val="-2"/>
          <w:sz w:val="20"/>
        </w:rPr>
        <w:t>thousand</w:t>
      </w:r>
    </w:p>
    <w:p>
      <w:pPr>
        <w:pStyle w:val="BodyText"/>
        <w:spacing w:before="11"/>
        <w:rPr>
          <w:i/>
        </w:rPr>
      </w:pPr>
    </w:p>
    <w:p>
      <w:pPr>
        <w:pStyle w:val="ListParagraph"/>
        <w:numPr>
          <w:ilvl w:val="0"/>
          <w:numId w:val="4"/>
        </w:numPr>
        <w:tabs>
          <w:tab w:pos="2967" w:val="left" w:leader="none"/>
        </w:tabs>
        <w:spacing w:line="240" w:lineRule="auto" w:before="0" w:after="0"/>
        <w:ind w:left="2967" w:right="0" w:hanging="721"/>
        <w:jc w:val="both"/>
        <w:rPr>
          <w:sz w:val="20"/>
        </w:rPr>
      </w:pPr>
      <w:r>
        <w:rPr>
          <w:sz w:val="20"/>
        </w:rPr>
        <w:t>The</w:t>
      </w:r>
      <w:r>
        <w:rPr>
          <w:spacing w:val="-4"/>
          <w:sz w:val="20"/>
        </w:rPr>
        <w:t> </w:t>
      </w:r>
      <w:r>
        <w:rPr>
          <w:sz w:val="20"/>
        </w:rPr>
        <w:t>TFV</w:t>
      </w:r>
      <w:r>
        <w:rPr>
          <w:spacing w:val="-7"/>
          <w:sz w:val="20"/>
        </w:rPr>
        <w:t> </w:t>
      </w:r>
      <w:r>
        <w:rPr>
          <w:sz w:val="20"/>
        </w:rPr>
        <w:t>is</w:t>
      </w:r>
      <w:r>
        <w:rPr>
          <w:spacing w:val="-7"/>
          <w:sz w:val="20"/>
        </w:rPr>
        <w:t> </w:t>
      </w:r>
      <w:r>
        <w:rPr>
          <w:sz w:val="20"/>
        </w:rPr>
        <w:t>managed</w:t>
      </w:r>
      <w:r>
        <w:rPr>
          <w:spacing w:val="-6"/>
          <w:sz w:val="20"/>
        </w:rPr>
        <w:t> </w:t>
      </w:r>
      <w:r>
        <w:rPr>
          <w:sz w:val="20"/>
        </w:rPr>
        <w:t>by</w:t>
      </w:r>
      <w:r>
        <w:rPr>
          <w:spacing w:val="-6"/>
          <w:sz w:val="20"/>
        </w:rPr>
        <w:t> </w:t>
      </w:r>
      <w:r>
        <w:rPr>
          <w:sz w:val="20"/>
        </w:rPr>
        <w:t>an</w:t>
      </w:r>
      <w:r>
        <w:rPr>
          <w:spacing w:val="-6"/>
          <w:sz w:val="20"/>
        </w:rPr>
        <w:t> </w:t>
      </w:r>
      <w:r>
        <w:rPr>
          <w:sz w:val="20"/>
        </w:rPr>
        <w:t>Executive</w:t>
      </w:r>
      <w:r>
        <w:rPr>
          <w:spacing w:val="-4"/>
          <w:sz w:val="20"/>
        </w:rPr>
        <w:t> </w:t>
      </w:r>
      <w:r>
        <w:rPr>
          <w:sz w:val="20"/>
        </w:rPr>
        <w:t>Director,</w:t>
      </w:r>
      <w:r>
        <w:rPr>
          <w:spacing w:val="-3"/>
          <w:sz w:val="20"/>
        </w:rPr>
        <w:t> </w:t>
      </w:r>
      <w:r>
        <w:rPr>
          <w:sz w:val="20"/>
        </w:rPr>
        <w:t>Trust</w:t>
      </w:r>
      <w:r>
        <w:rPr>
          <w:spacing w:val="-4"/>
          <w:sz w:val="20"/>
        </w:rPr>
        <w:t> </w:t>
      </w:r>
      <w:r>
        <w:rPr>
          <w:sz w:val="20"/>
        </w:rPr>
        <w:t>Fund</w:t>
      </w:r>
      <w:r>
        <w:rPr>
          <w:spacing w:val="-6"/>
          <w:sz w:val="20"/>
        </w:rPr>
        <w:t> </w:t>
      </w:r>
      <w:r>
        <w:rPr>
          <w:sz w:val="20"/>
        </w:rPr>
        <w:t>for</w:t>
      </w:r>
      <w:r>
        <w:rPr>
          <w:spacing w:val="-1"/>
          <w:sz w:val="20"/>
        </w:rPr>
        <w:t> </w:t>
      </w:r>
      <w:r>
        <w:rPr>
          <w:sz w:val="20"/>
        </w:rPr>
        <w:t>Victims</w:t>
      </w:r>
      <w:r>
        <w:rPr>
          <w:spacing w:val="-6"/>
          <w:sz w:val="20"/>
        </w:rPr>
        <w:t> </w:t>
      </w:r>
      <w:r>
        <w:rPr>
          <w:sz w:val="20"/>
        </w:rPr>
        <w:t>(D-</w:t>
      </w:r>
      <w:r>
        <w:rPr>
          <w:spacing w:val="-5"/>
          <w:sz w:val="20"/>
        </w:rPr>
        <w:t>1).</w:t>
      </w:r>
    </w:p>
    <w:p>
      <w:pPr>
        <w:pStyle w:val="ListParagraph"/>
        <w:numPr>
          <w:ilvl w:val="0"/>
          <w:numId w:val="4"/>
        </w:numPr>
        <w:tabs>
          <w:tab w:pos="2967" w:val="left" w:leader="none"/>
        </w:tabs>
        <w:spacing w:line="240" w:lineRule="auto" w:before="120" w:after="0"/>
        <w:ind w:left="2246" w:right="2244" w:firstLine="0"/>
        <w:jc w:val="both"/>
        <w:rPr>
          <w:sz w:val="20"/>
        </w:rPr>
      </w:pPr>
      <w:r>
        <w:rPr>
          <w:sz w:val="20"/>
        </w:rPr>
        <w:t>One Legal Adviser (P-4). The incumbent provides the Executive Director and the Board with expert legal advice on the development and implementation of the TFV’s assistance and reparations mandates. The incumbent’s responsibilities include the role of acting deputy to the Executive Director, provision of high-level advice on the development of</w:t>
      </w:r>
      <w:r>
        <w:rPr>
          <w:spacing w:val="-1"/>
          <w:sz w:val="20"/>
        </w:rPr>
        <w:t> </w:t>
      </w:r>
      <w:r>
        <w:rPr>
          <w:sz w:val="20"/>
        </w:rPr>
        <w:t>the</w:t>
      </w:r>
      <w:r>
        <w:rPr>
          <w:spacing w:val="-4"/>
          <w:sz w:val="20"/>
        </w:rPr>
        <w:t> </w:t>
      </w:r>
      <w:r>
        <w:rPr>
          <w:sz w:val="20"/>
        </w:rPr>
        <w:t>TFV’s</w:t>
      </w:r>
      <w:r>
        <w:rPr>
          <w:spacing w:val="-7"/>
          <w:sz w:val="20"/>
        </w:rPr>
        <w:t> </w:t>
      </w:r>
      <w:r>
        <w:rPr>
          <w:sz w:val="20"/>
        </w:rPr>
        <w:t>legal</w:t>
      </w:r>
      <w:r>
        <w:rPr>
          <w:spacing w:val="-4"/>
          <w:sz w:val="20"/>
        </w:rPr>
        <w:t> </w:t>
      </w:r>
      <w:r>
        <w:rPr>
          <w:sz w:val="20"/>
        </w:rPr>
        <w:t>and</w:t>
      </w:r>
      <w:r>
        <w:rPr>
          <w:spacing w:val="-6"/>
          <w:sz w:val="20"/>
        </w:rPr>
        <w:t> </w:t>
      </w:r>
      <w:r>
        <w:rPr>
          <w:sz w:val="20"/>
        </w:rPr>
        <w:t>institutional</w:t>
      </w:r>
      <w:r>
        <w:rPr>
          <w:spacing w:val="-4"/>
          <w:sz w:val="20"/>
        </w:rPr>
        <w:t> </w:t>
      </w:r>
      <w:r>
        <w:rPr>
          <w:sz w:val="20"/>
        </w:rPr>
        <w:t>strategies,</w:t>
      </w:r>
      <w:r>
        <w:rPr>
          <w:spacing w:val="-3"/>
          <w:sz w:val="20"/>
        </w:rPr>
        <w:t> </w:t>
      </w:r>
      <w:r>
        <w:rPr>
          <w:sz w:val="20"/>
        </w:rPr>
        <w:t>management of</w:t>
      </w:r>
      <w:r>
        <w:rPr>
          <w:spacing w:val="-1"/>
          <w:sz w:val="20"/>
        </w:rPr>
        <w:t> </w:t>
      </w:r>
      <w:r>
        <w:rPr>
          <w:sz w:val="20"/>
        </w:rPr>
        <w:t>the</w:t>
      </w:r>
      <w:r>
        <w:rPr>
          <w:spacing w:val="-4"/>
          <w:sz w:val="20"/>
        </w:rPr>
        <w:t> </w:t>
      </w:r>
      <w:r>
        <w:rPr>
          <w:sz w:val="20"/>
        </w:rPr>
        <w:t>process</w:t>
      </w:r>
      <w:r>
        <w:rPr>
          <w:spacing w:val="-2"/>
          <w:sz w:val="20"/>
        </w:rPr>
        <w:t> </w:t>
      </w:r>
      <w:r>
        <w:rPr>
          <w:sz w:val="20"/>
        </w:rPr>
        <w:t>of</w:t>
      </w:r>
      <w:r>
        <w:rPr>
          <w:spacing w:val="-1"/>
          <w:sz w:val="20"/>
        </w:rPr>
        <w:t> </w:t>
      </w:r>
      <w:r>
        <w:rPr>
          <w:sz w:val="20"/>
        </w:rPr>
        <w:t>preparing</w:t>
      </w:r>
      <w:r>
        <w:rPr>
          <w:spacing w:val="-6"/>
          <w:sz w:val="20"/>
        </w:rPr>
        <w:t> </w:t>
      </w:r>
      <w:r>
        <w:rPr>
          <w:sz w:val="20"/>
        </w:rPr>
        <w:t>legal filings</w:t>
      </w:r>
      <w:r>
        <w:rPr>
          <w:spacing w:val="-11"/>
          <w:sz w:val="20"/>
        </w:rPr>
        <w:t> </w:t>
      </w:r>
      <w:r>
        <w:rPr>
          <w:sz w:val="20"/>
        </w:rPr>
        <w:t>and</w:t>
      </w:r>
      <w:r>
        <w:rPr>
          <w:spacing w:val="-9"/>
          <w:sz w:val="20"/>
        </w:rPr>
        <w:t> </w:t>
      </w:r>
      <w:r>
        <w:rPr>
          <w:sz w:val="20"/>
        </w:rPr>
        <w:t>progress</w:t>
      </w:r>
      <w:r>
        <w:rPr>
          <w:spacing w:val="-6"/>
          <w:sz w:val="20"/>
        </w:rPr>
        <w:t> </w:t>
      </w:r>
      <w:r>
        <w:rPr>
          <w:sz w:val="20"/>
        </w:rPr>
        <w:t>reporting</w:t>
      </w:r>
      <w:r>
        <w:rPr>
          <w:spacing w:val="-9"/>
          <w:sz w:val="20"/>
        </w:rPr>
        <w:t> </w:t>
      </w:r>
      <w:r>
        <w:rPr>
          <w:sz w:val="20"/>
        </w:rPr>
        <w:t>to</w:t>
      </w:r>
      <w:r>
        <w:rPr>
          <w:spacing w:val="-9"/>
          <w:sz w:val="20"/>
        </w:rPr>
        <w:t> </w:t>
      </w:r>
      <w:r>
        <w:rPr>
          <w:sz w:val="20"/>
        </w:rPr>
        <w:t>the</w:t>
      </w:r>
      <w:r>
        <w:rPr>
          <w:spacing w:val="-8"/>
          <w:sz w:val="20"/>
        </w:rPr>
        <w:t> </w:t>
      </w:r>
      <w:r>
        <w:rPr>
          <w:sz w:val="20"/>
        </w:rPr>
        <w:t>Court,</w:t>
      </w:r>
      <w:r>
        <w:rPr>
          <w:spacing w:val="-7"/>
          <w:sz w:val="20"/>
        </w:rPr>
        <w:t> </w:t>
      </w:r>
      <w:r>
        <w:rPr>
          <w:sz w:val="20"/>
        </w:rPr>
        <w:t>external</w:t>
      </w:r>
      <w:r>
        <w:rPr>
          <w:spacing w:val="-3"/>
          <w:sz w:val="20"/>
        </w:rPr>
        <w:t> </w:t>
      </w:r>
      <w:r>
        <w:rPr>
          <w:sz w:val="20"/>
        </w:rPr>
        <w:t>representation</w:t>
      </w:r>
      <w:r>
        <w:rPr>
          <w:spacing w:val="-5"/>
          <w:sz w:val="20"/>
        </w:rPr>
        <w:t> </w:t>
      </w:r>
      <w:r>
        <w:rPr>
          <w:sz w:val="20"/>
        </w:rPr>
        <w:t>of</w:t>
      </w:r>
      <w:r>
        <w:rPr>
          <w:spacing w:val="-9"/>
          <w:sz w:val="20"/>
        </w:rPr>
        <w:t> </w:t>
      </w:r>
      <w:r>
        <w:rPr>
          <w:sz w:val="20"/>
        </w:rPr>
        <w:t>the</w:t>
      </w:r>
      <w:r>
        <w:rPr>
          <w:spacing w:val="-8"/>
          <w:sz w:val="20"/>
        </w:rPr>
        <w:t> </w:t>
      </w:r>
      <w:r>
        <w:rPr>
          <w:sz w:val="20"/>
        </w:rPr>
        <w:t>TFV</w:t>
      </w:r>
      <w:r>
        <w:rPr>
          <w:spacing w:val="-11"/>
          <w:sz w:val="20"/>
        </w:rPr>
        <w:t> </w:t>
      </w:r>
      <w:r>
        <w:rPr>
          <w:sz w:val="20"/>
        </w:rPr>
        <w:t>and</w:t>
      </w:r>
      <w:r>
        <w:rPr>
          <w:spacing w:val="-5"/>
          <w:sz w:val="20"/>
        </w:rPr>
        <w:t> </w:t>
      </w:r>
      <w:r>
        <w:rPr>
          <w:sz w:val="20"/>
        </w:rPr>
        <w:t>functional steering in respect of the implementation of Court-ordered reparations awards. As the main focal point for procurement at the TFV, including of the services of implementing partners, the incumbent also focuses on the coordination and implementation of procurement </w:t>
      </w:r>
      <w:r>
        <w:rPr>
          <w:spacing w:val="-2"/>
          <w:sz w:val="20"/>
        </w:rPr>
        <w:t>processes.</w:t>
      </w:r>
    </w:p>
    <w:p>
      <w:pPr>
        <w:pStyle w:val="ListParagraph"/>
        <w:numPr>
          <w:ilvl w:val="0"/>
          <w:numId w:val="4"/>
        </w:numPr>
        <w:tabs>
          <w:tab w:pos="2967" w:val="left" w:leader="none"/>
        </w:tabs>
        <w:spacing w:line="240" w:lineRule="auto" w:before="120" w:after="0"/>
        <w:ind w:left="2246" w:right="2235" w:firstLine="0"/>
        <w:jc w:val="both"/>
        <w:rPr>
          <w:sz w:val="20"/>
        </w:rPr>
      </w:pPr>
      <w:r>
        <w:rPr>
          <w:sz w:val="20"/>
        </w:rPr>
        <w:t>Three Programme Managers (P-4). These posts are based in the country offices in Kampala,</w:t>
      </w:r>
      <w:r>
        <w:rPr>
          <w:spacing w:val="-6"/>
          <w:sz w:val="20"/>
        </w:rPr>
        <w:t> </w:t>
      </w:r>
      <w:r>
        <w:rPr>
          <w:sz w:val="20"/>
        </w:rPr>
        <w:t>Uganda;</w:t>
      </w:r>
      <w:r>
        <w:rPr>
          <w:spacing w:val="-7"/>
          <w:sz w:val="20"/>
        </w:rPr>
        <w:t> </w:t>
      </w:r>
      <w:r>
        <w:rPr>
          <w:sz w:val="20"/>
        </w:rPr>
        <w:t>Bunia,</w:t>
      </w:r>
      <w:r>
        <w:rPr>
          <w:spacing w:val="-6"/>
          <w:sz w:val="20"/>
        </w:rPr>
        <w:t> </w:t>
      </w:r>
      <w:r>
        <w:rPr>
          <w:sz w:val="20"/>
        </w:rPr>
        <w:t>DRC;</w:t>
      </w:r>
      <w:r>
        <w:rPr>
          <w:spacing w:val="-12"/>
          <w:sz w:val="20"/>
        </w:rPr>
        <w:t> </w:t>
      </w:r>
      <w:r>
        <w:rPr>
          <w:sz w:val="20"/>
        </w:rPr>
        <w:t>and</w:t>
      </w:r>
      <w:r>
        <w:rPr>
          <w:spacing w:val="-8"/>
          <w:sz w:val="20"/>
        </w:rPr>
        <w:t> </w:t>
      </w:r>
      <w:r>
        <w:rPr>
          <w:sz w:val="20"/>
        </w:rPr>
        <w:t>Abidjan,</w:t>
      </w:r>
      <w:r>
        <w:rPr>
          <w:spacing w:val="-6"/>
          <w:sz w:val="20"/>
        </w:rPr>
        <w:t> </w:t>
      </w:r>
      <w:r>
        <w:rPr>
          <w:sz w:val="20"/>
        </w:rPr>
        <w:t>Côte</w:t>
      </w:r>
      <w:r>
        <w:rPr>
          <w:spacing w:val="-7"/>
          <w:sz w:val="20"/>
        </w:rPr>
        <w:t> </w:t>
      </w:r>
      <w:r>
        <w:rPr>
          <w:sz w:val="20"/>
        </w:rPr>
        <w:t>d’Ivoire.</w:t>
      </w:r>
      <w:r>
        <w:rPr>
          <w:spacing w:val="-11"/>
          <w:sz w:val="20"/>
        </w:rPr>
        <w:t> </w:t>
      </w:r>
      <w:r>
        <w:rPr>
          <w:sz w:val="20"/>
        </w:rPr>
        <w:t>The</w:t>
      </w:r>
      <w:r>
        <w:rPr>
          <w:spacing w:val="-11"/>
          <w:sz w:val="20"/>
        </w:rPr>
        <w:t> </w:t>
      </w:r>
      <w:r>
        <w:rPr>
          <w:sz w:val="20"/>
        </w:rPr>
        <w:t>incumbents</w:t>
      </w:r>
      <w:r>
        <w:rPr>
          <w:spacing w:val="-10"/>
          <w:sz w:val="20"/>
        </w:rPr>
        <w:t> </w:t>
      </w:r>
      <w:r>
        <w:rPr>
          <w:sz w:val="20"/>
        </w:rPr>
        <w:t>are</w:t>
      </w:r>
      <w:r>
        <w:rPr>
          <w:spacing w:val="-7"/>
          <w:sz w:val="20"/>
        </w:rPr>
        <w:t> </w:t>
      </w:r>
      <w:r>
        <w:rPr>
          <w:sz w:val="20"/>
        </w:rPr>
        <w:t>responsible and accountable for the design, implementation and management oversight of TFV programmes and reparations awards. They report directly to the Executive Director.</w:t>
      </w:r>
    </w:p>
    <w:p>
      <w:pPr>
        <w:pStyle w:val="ListParagraph"/>
        <w:numPr>
          <w:ilvl w:val="0"/>
          <w:numId w:val="4"/>
        </w:numPr>
        <w:tabs>
          <w:tab w:pos="2967" w:val="left" w:leader="none"/>
        </w:tabs>
        <w:spacing w:line="240" w:lineRule="auto" w:before="122" w:after="0"/>
        <w:ind w:left="2246" w:right="2245" w:firstLine="0"/>
        <w:jc w:val="both"/>
        <w:rPr>
          <w:sz w:val="20"/>
        </w:rPr>
      </w:pPr>
      <w:r>
        <w:rPr>
          <w:sz w:val="20"/>
        </w:rPr>
        <w:t>One</w:t>
      </w:r>
      <w:r>
        <w:rPr>
          <w:spacing w:val="-5"/>
          <w:sz w:val="20"/>
        </w:rPr>
        <w:t> </w:t>
      </w:r>
      <w:r>
        <w:rPr>
          <w:sz w:val="20"/>
        </w:rPr>
        <w:t>Monitoring</w:t>
      </w:r>
      <w:r>
        <w:rPr>
          <w:spacing w:val="-13"/>
          <w:sz w:val="20"/>
        </w:rPr>
        <w:t> </w:t>
      </w:r>
      <w:r>
        <w:rPr>
          <w:sz w:val="20"/>
        </w:rPr>
        <w:t>and</w:t>
      </w:r>
      <w:r>
        <w:rPr>
          <w:spacing w:val="-9"/>
          <w:sz w:val="20"/>
        </w:rPr>
        <w:t> </w:t>
      </w:r>
      <w:r>
        <w:rPr>
          <w:sz w:val="20"/>
        </w:rPr>
        <w:t>Evaluation</w:t>
      </w:r>
      <w:r>
        <w:rPr>
          <w:spacing w:val="-9"/>
          <w:sz w:val="20"/>
        </w:rPr>
        <w:t> </w:t>
      </w:r>
      <w:r>
        <w:rPr>
          <w:sz w:val="20"/>
        </w:rPr>
        <w:t>Officer</w:t>
      </w:r>
      <w:r>
        <w:rPr>
          <w:spacing w:val="-9"/>
          <w:sz w:val="20"/>
        </w:rPr>
        <w:t> </w:t>
      </w:r>
      <w:r>
        <w:rPr>
          <w:sz w:val="20"/>
        </w:rPr>
        <w:t>(P-3).</w:t>
      </w:r>
      <w:r>
        <w:rPr>
          <w:spacing w:val="-7"/>
          <w:sz w:val="20"/>
        </w:rPr>
        <w:t> </w:t>
      </w:r>
      <w:r>
        <w:rPr>
          <w:sz w:val="20"/>
        </w:rPr>
        <w:t>This</w:t>
      </w:r>
      <w:r>
        <w:rPr>
          <w:spacing w:val="-6"/>
          <w:sz w:val="20"/>
        </w:rPr>
        <w:t> </w:t>
      </w:r>
      <w:r>
        <w:rPr>
          <w:sz w:val="20"/>
        </w:rPr>
        <w:t>post</w:t>
      </w:r>
      <w:r>
        <w:rPr>
          <w:spacing w:val="-8"/>
          <w:sz w:val="20"/>
        </w:rPr>
        <w:t> </w:t>
      </w:r>
      <w:r>
        <w:rPr>
          <w:sz w:val="20"/>
        </w:rPr>
        <w:t>is</w:t>
      </w:r>
      <w:r>
        <w:rPr>
          <w:spacing w:val="-6"/>
          <w:sz w:val="20"/>
        </w:rPr>
        <w:t> </w:t>
      </w:r>
      <w:r>
        <w:rPr>
          <w:sz w:val="20"/>
        </w:rPr>
        <w:t>based</w:t>
      </w:r>
      <w:r>
        <w:rPr>
          <w:spacing w:val="-9"/>
          <w:sz w:val="20"/>
        </w:rPr>
        <w:t> </w:t>
      </w:r>
      <w:r>
        <w:rPr>
          <w:sz w:val="20"/>
        </w:rPr>
        <w:t>in</w:t>
      </w:r>
      <w:r>
        <w:rPr>
          <w:spacing w:val="-9"/>
          <w:sz w:val="20"/>
        </w:rPr>
        <w:t> </w:t>
      </w:r>
      <w:r>
        <w:rPr>
          <w:sz w:val="20"/>
        </w:rPr>
        <w:t>The</w:t>
      </w:r>
      <w:r>
        <w:rPr>
          <w:spacing w:val="-4"/>
          <w:sz w:val="20"/>
        </w:rPr>
        <w:t> </w:t>
      </w:r>
      <w:r>
        <w:rPr>
          <w:sz w:val="20"/>
        </w:rPr>
        <w:t>Hague.</w:t>
      </w:r>
      <w:r>
        <w:rPr>
          <w:spacing w:val="-7"/>
          <w:sz w:val="20"/>
        </w:rPr>
        <w:t> </w:t>
      </w:r>
      <w:r>
        <w:rPr>
          <w:sz w:val="20"/>
        </w:rPr>
        <w:t>The incumbent</w:t>
      </w:r>
      <w:r>
        <w:rPr>
          <w:spacing w:val="36"/>
          <w:sz w:val="20"/>
        </w:rPr>
        <w:t> </w:t>
      </w:r>
      <w:r>
        <w:rPr>
          <w:sz w:val="20"/>
        </w:rPr>
        <w:t>plays</w:t>
      </w:r>
      <w:r>
        <w:rPr>
          <w:spacing w:val="33"/>
          <w:sz w:val="20"/>
        </w:rPr>
        <w:t> </w:t>
      </w:r>
      <w:r>
        <w:rPr>
          <w:sz w:val="20"/>
        </w:rPr>
        <w:t>a</w:t>
      </w:r>
      <w:r>
        <w:rPr>
          <w:spacing w:val="31"/>
          <w:sz w:val="20"/>
        </w:rPr>
        <w:t> </w:t>
      </w:r>
      <w:r>
        <w:rPr>
          <w:sz w:val="20"/>
        </w:rPr>
        <w:t>central</w:t>
      </w:r>
      <w:r>
        <w:rPr>
          <w:spacing w:val="36"/>
          <w:sz w:val="20"/>
        </w:rPr>
        <w:t> </w:t>
      </w:r>
      <w:r>
        <w:rPr>
          <w:sz w:val="20"/>
        </w:rPr>
        <w:t>role</w:t>
      </w:r>
      <w:r>
        <w:rPr>
          <w:spacing w:val="31"/>
          <w:sz w:val="20"/>
        </w:rPr>
        <w:t> </w:t>
      </w:r>
      <w:r>
        <w:rPr>
          <w:sz w:val="20"/>
        </w:rPr>
        <w:t>in</w:t>
      </w:r>
      <w:r>
        <w:rPr>
          <w:spacing w:val="35"/>
          <w:sz w:val="20"/>
        </w:rPr>
        <w:t> </w:t>
      </w:r>
      <w:r>
        <w:rPr>
          <w:sz w:val="20"/>
        </w:rPr>
        <w:t>programme</w:t>
      </w:r>
      <w:r>
        <w:rPr>
          <w:spacing w:val="31"/>
          <w:sz w:val="20"/>
        </w:rPr>
        <w:t> </w:t>
      </w:r>
      <w:r>
        <w:rPr>
          <w:sz w:val="20"/>
        </w:rPr>
        <w:t>coordination</w:t>
      </w:r>
      <w:r>
        <w:rPr>
          <w:spacing w:val="30"/>
          <w:sz w:val="20"/>
        </w:rPr>
        <w:t> </w:t>
      </w:r>
      <w:r>
        <w:rPr>
          <w:sz w:val="20"/>
        </w:rPr>
        <w:t>and</w:t>
      </w:r>
      <w:r>
        <w:rPr>
          <w:spacing w:val="35"/>
          <w:sz w:val="20"/>
        </w:rPr>
        <w:t> </w:t>
      </w:r>
      <w:r>
        <w:rPr>
          <w:sz w:val="20"/>
        </w:rPr>
        <w:t>reports</w:t>
      </w:r>
      <w:r>
        <w:rPr>
          <w:spacing w:val="33"/>
          <w:sz w:val="20"/>
        </w:rPr>
        <w:t> </w:t>
      </w:r>
      <w:r>
        <w:rPr>
          <w:sz w:val="20"/>
        </w:rPr>
        <w:t>to</w:t>
      </w:r>
      <w:r>
        <w:rPr>
          <w:spacing w:val="30"/>
          <w:sz w:val="20"/>
        </w:rPr>
        <w:t> </w:t>
      </w:r>
      <w:r>
        <w:rPr>
          <w:sz w:val="20"/>
        </w:rPr>
        <w:t>the</w:t>
      </w:r>
      <w:r>
        <w:rPr>
          <w:spacing w:val="32"/>
          <w:sz w:val="20"/>
        </w:rPr>
        <w:t> </w:t>
      </w:r>
      <w:r>
        <w:rPr>
          <w:sz w:val="20"/>
        </w:rPr>
        <w:t>Executive</w:t>
      </w:r>
    </w:p>
    <w:p>
      <w:pPr>
        <w:spacing w:after="0" w:line="240" w:lineRule="auto"/>
        <w:jc w:val="both"/>
        <w:rPr>
          <w:sz w:val="20"/>
        </w:rPr>
        <w:sectPr>
          <w:pgSz w:w="11910" w:h="16840"/>
          <w:pgMar w:header="957" w:footer="940" w:top="1140" w:bottom="1140" w:left="20" w:right="20"/>
        </w:sectPr>
      </w:pPr>
    </w:p>
    <w:p>
      <w:pPr>
        <w:pStyle w:val="BodyText"/>
        <w:spacing w:before="124"/>
        <w:ind w:left="2246" w:right="2240"/>
        <w:jc w:val="both"/>
      </w:pPr>
      <w:r>
        <w:rPr/>
        <w:t>Director,</w:t>
      </w:r>
      <w:r>
        <w:rPr>
          <w:spacing w:val="-13"/>
        </w:rPr>
        <w:t> </w:t>
      </w:r>
      <w:r>
        <w:rPr/>
        <w:t>the</w:t>
      </w:r>
      <w:r>
        <w:rPr>
          <w:spacing w:val="-12"/>
        </w:rPr>
        <w:t> </w:t>
      </w:r>
      <w:r>
        <w:rPr/>
        <w:t>Legal</w:t>
      </w:r>
      <w:r>
        <w:rPr>
          <w:spacing w:val="-8"/>
        </w:rPr>
        <w:t> </w:t>
      </w:r>
      <w:r>
        <w:rPr/>
        <w:t>Adviser</w:t>
      </w:r>
      <w:r>
        <w:rPr>
          <w:spacing w:val="-13"/>
        </w:rPr>
        <w:t> </w:t>
      </w:r>
      <w:r>
        <w:rPr/>
        <w:t>or</w:t>
      </w:r>
      <w:r>
        <w:rPr>
          <w:spacing w:val="-9"/>
        </w:rPr>
        <w:t> </w:t>
      </w:r>
      <w:r>
        <w:rPr/>
        <w:t>the</w:t>
      </w:r>
      <w:r>
        <w:rPr>
          <w:spacing w:val="-13"/>
        </w:rPr>
        <w:t> </w:t>
      </w:r>
      <w:r>
        <w:rPr/>
        <w:t>authorized</w:t>
      </w:r>
      <w:r>
        <w:rPr>
          <w:spacing w:val="-9"/>
        </w:rPr>
        <w:t> </w:t>
      </w:r>
      <w:r>
        <w:rPr/>
        <w:t>acting</w:t>
      </w:r>
      <w:r>
        <w:rPr>
          <w:spacing w:val="-13"/>
        </w:rPr>
        <w:t> </w:t>
      </w:r>
      <w:r>
        <w:rPr/>
        <w:t>deputy.</w:t>
      </w:r>
      <w:r>
        <w:rPr>
          <w:spacing w:val="-11"/>
        </w:rPr>
        <w:t> </w:t>
      </w:r>
      <w:r>
        <w:rPr/>
        <w:t>The incumbent</w:t>
      </w:r>
      <w:r>
        <w:rPr>
          <w:spacing w:val="-13"/>
        </w:rPr>
        <w:t> </w:t>
      </w:r>
      <w:r>
        <w:rPr/>
        <w:t>is</w:t>
      </w:r>
      <w:r>
        <w:rPr>
          <w:spacing w:val="-10"/>
        </w:rPr>
        <w:t> </w:t>
      </w:r>
      <w:r>
        <w:rPr/>
        <w:t>responsible</w:t>
      </w:r>
      <w:r>
        <w:rPr>
          <w:spacing w:val="-8"/>
        </w:rPr>
        <w:t> </w:t>
      </w:r>
      <w:r>
        <w:rPr/>
        <w:t>for steering</w:t>
      </w:r>
      <w:r>
        <w:rPr>
          <w:spacing w:val="-7"/>
        </w:rPr>
        <w:t> </w:t>
      </w:r>
      <w:r>
        <w:rPr/>
        <w:t>and</w:t>
      </w:r>
      <w:r>
        <w:rPr>
          <w:spacing w:val="-7"/>
        </w:rPr>
        <w:t> </w:t>
      </w:r>
      <w:r>
        <w:rPr/>
        <w:t>ensuring</w:t>
      </w:r>
      <w:r>
        <w:rPr>
          <w:spacing w:val="-3"/>
        </w:rPr>
        <w:t> </w:t>
      </w:r>
      <w:r>
        <w:rPr/>
        <w:t>quality</w:t>
      </w:r>
      <w:r>
        <w:rPr>
          <w:spacing w:val="-7"/>
        </w:rPr>
        <w:t> </w:t>
      </w:r>
      <w:r>
        <w:rPr/>
        <w:t>control</w:t>
      </w:r>
      <w:r>
        <w:rPr>
          <w:spacing w:val="-6"/>
        </w:rPr>
        <w:t> </w:t>
      </w:r>
      <w:r>
        <w:rPr/>
        <w:t>in</w:t>
      </w:r>
      <w:r>
        <w:rPr>
          <w:spacing w:val="-7"/>
        </w:rPr>
        <w:t> </w:t>
      </w:r>
      <w:r>
        <w:rPr/>
        <w:t>respect</w:t>
      </w:r>
      <w:r>
        <w:rPr>
          <w:spacing w:val="-6"/>
        </w:rPr>
        <w:t> </w:t>
      </w:r>
      <w:r>
        <w:rPr/>
        <w:t>of</w:t>
      </w:r>
      <w:r>
        <w:rPr>
          <w:spacing w:val="-7"/>
        </w:rPr>
        <w:t> </w:t>
      </w:r>
      <w:r>
        <w:rPr/>
        <w:t>all</w:t>
      </w:r>
      <w:r>
        <w:rPr>
          <w:spacing w:val="-6"/>
        </w:rPr>
        <w:t> </w:t>
      </w:r>
      <w:r>
        <w:rPr/>
        <w:t>programme</w:t>
      </w:r>
      <w:r>
        <w:rPr>
          <w:spacing w:val="-1"/>
        </w:rPr>
        <w:t> </w:t>
      </w:r>
      <w:r>
        <w:rPr/>
        <w:t>monitoring,</w:t>
      </w:r>
      <w:r>
        <w:rPr>
          <w:spacing w:val="-5"/>
        </w:rPr>
        <w:t> </w:t>
      </w:r>
      <w:r>
        <w:rPr/>
        <w:t>evaluation</w:t>
      </w:r>
      <w:r>
        <w:rPr>
          <w:spacing w:val="-7"/>
        </w:rPr>
        <w:t> </w:t>
      </w:r>
      <w:r>
        <w:rPr/>
        <w:t>and reporting</w:t>
      </w:r>
      <w:r>
        <w:rPr>
          <w:spacing w:val="-8"/>
        </w:rPr>
        <w:t> </w:t>
      </w:r>
      <w:r>
        <w:rPr/>
        <w:t>activities.</w:t>
      </w:r>
      <w:r>
        <w:rPr>
          <w:spacing w:val="-1"/>
        </w:rPr>
        <w:t> </w:t>
      </w:r>
      <w:r>
        <w:rPr/>
        <w:t>The</w:t>
      </w:r>
      <w:r>
        <w:rPr>
          <w:spacing w:val="-7"/>
        </w:rPr>
        <w:t> </w:t>
      </w:r>
      <w:r>
        <w:rPr/>
        <w:t>incumbent</w:t>
      </w:r>
      <w:r>
        <w:rPr>
          <w:spacing w:val="-7"/>
        </w:rPr>
        <w:t> </w:t>
      </w:r>
      <w:r>
        <w:rPr/>
        <w:t>is</w:t>
      </w:r>
      <w:r>
        <w:rPr>
          <w:spacing w:val="-5"/>
        </w:rPr>
        <w:t> </w:t>
      </w:r>
      <w:r>
        <w:rPr/>
        <w:t>also</w:t>
      </w:r>
      <w:r>
        <w:rPr>
          <w:spacing w:val="-4"/>
        </w:rPr>
        <w:t> </w:t>
      </w:r>
      <w:r>
        <w:rPr/>
        <w:t>responsible</w:t>
      </w:r>
      <w:r>
        <w:rPr>
          <w:spacing w:val="-7"/>
        </w:rPr>
        <w:t> </w:t>
      </w:r>
      <w:r>
        <w:rPr/>
        <w:t>for</w:t>
      </w:r>
      <w:r>
        <w:rPr>
          <w:spacing w:val="-3"/>
        </w:rPr>
        <w:t> </w:t>
      </w:r>
      <w:r>
        <w:rPr/>
        <w:t>standard</w:t>
      </w:r>
      <w:r>
        <w:rPr>
          <w:spacing w:val="-4"/>
        </w:rPr>
        <w:t> </w:t>
      </w:r>
      <w:r>
        <w:rPr/>
        <w:t>setting</w:t>
      </w:r>
      <w:r>
        <w:rPr>
          <w:spacing w:val="-8"/>
        </w:rPr>
        <w:t> </w:t>
      </w:r>
      <w:r>
        <w:rPr/>
        <w:t>in</w:t>
      </w:r>
      <w:r>
        <w:rPr>
          <w:spacing w:val="-8"/>
        </w:rPr>
        <w:t> </w:t>
      </w:r>
      <w:r>
        <w:rPr/>
        <w:t>monitoring</w:t>
      </w:r>
      <w:r>
        <w:rPr>
          <w:spacing w:val="-8"/>
        </w:rPr>
        <w:t> </w:t>
      </w:r>
      <w:r>
        <w:rPr/>
        <w:t>and evaluation through the TFV’s Performance Monitoring Plan (PMP).</w:t>
      </w:r>
    </w:p>
    <w:p>
      <w:pPr>
        <w:pStyle w:val="ListParagraph"/>
        <w:numPr>
          <w:ilvl w:val="0"/>
          <w:numId w:val="4"/>
        </w:numPr>
        <w:tabs>
          <w:tab w:pos="2967" w:val="left" w:leader="none"/>
        </w:tabs>
        <w:spacing w:line="240" w:lineRule="auto" w:before="122" w:after="0"/>
        <w:ind w:left="2246" w:right="2244" w:firstLine="0"/>
        <w:jc w:val="both"/>
        <w:rPr>
          <w:sz w:val="20"/>
        </w:rPr>
      </w:pPr>
      <w:r>
        <w:rPr>
          <w:sz w:val="20"/>
        </w:rPr>
        <w:t>One Finance Officer (P-3). The incumbent ensures enhanced financial oversight, reporting, internal control and compliance with the TFV’s procedures and the Court’s financial policies. The Finance Officer provides guidance to the Programme Managers in respect of implementing partners and is also responsible for the management and further development of the SAP Grants Management system and financial policies relating to the TFV’s mandates and activities.</w:t>
      </w:r>
    </w:p>
    <w:p>
      <w:pPr>
        <w:pStyle w:val="ListParagraph"/>
        <w:numPr>
          <w:ilvl w:val="0"/>
          <w:numId w:val="4"/>
        </w:numPr>
        <w:tabs>
          <w:tab w:pos="2967" w:val="left" w:leader="none"/>
        </w:tabs>
        <w:spacing w:line="240" w:lineRule="auto" w:before="118" w:after="0"/>
        <w:ind w:left="2246" w:right="2241" w:firstLine="0"/>
        <w:jc w:val="both"/>
        <w:rPr>
          <w:sz w:val="20"/>
        </w:rPr>
      </w:pPr>
      <w:r>
        <w:rPr>
          <w:sz w:val="20"/>
        </w:rPr>
        <w:t>One Administrative Assistant (GS-OL).</w:t>
      </w:r>
      <w:r>
        <w:rPr>
          <w:spacing w:val="-2"/>
          <w:sz w:val="20"/>
        </w:rPr>
        <w:t> </w:t>
      </w:r>
      <w:r>
        <w:rPr>
          <w:sz w:val="20"/>
        </w:rPr>
        <w:t>This</w:t>
      </w:r>
      <w:r>
        <w:rPr>
          <w:spacing w:val="-1"/>
          <w:sz w:val="20"/>
        </w:rPr>
        <w:t> </w:t>
      </w:r>
      <w:r>
        <w:rPr>
          <w:sz w:val="20"/>
        </w:rPr>
        <w:t>post has the vital role of</w:t>
      </w:r>
      <w:r>
        <w:rPr>
          <w:spacing w:val="-5"/>
          <w:sz w:val="20"/>
        </w:rPr>
        <w:t> </w:t>
      </w:r>
      <w:r>
        <w:rPr>
          <w:sz w:val="20"/>
        </w:rPr>
        <w:t>handling</w:t>
      </w:r>
      <w:r>
        <w:rPr>
          <w:spacing w:val="-1"/>
          <w:sz w:val="20"/>
        </w:rPr>
        <w:t> </w:t>
      </w:r>
      <w:r>
        <w:rPr>
          <w:sz w:val="20"/>
        </w:rPr>
        <w:t>the administrative workload</w:t>
      </w:r>
      <w:r>
        <w:rPr>
          <w:spacing w:val="-5"/>
          <w:sz w:val="20"/>
        </w:rPr>
        <w:t> </w:t>
      </w:r>
      <w:r>
        <w:rPr>
          <w:sz w:val="20"/>
        </w:rPr>
        <w:t>that</w:t>
      </w:r>
      <w:r>
        <w:rPr>
          <w:spacing w:val="-3"/>
          <w:sz w:val="20"/>
        </w:rPr>
        <w:t> </w:t>
      </w:r>
      <w:r>
        <w:rPr>
          <w:sz w:val="20"/>
        </w:rPr>
        <w:t>comes</w:t>
      </w:r>
      <w:r>
        <w:rPr>
          <w:spacing w:val="-1"/>
          <w:sz w:val="20"/>
        </w:rPr>
        <w:t> </w:t>
      </w:r>
      <w:r>
        <w:rPr>
          <w:sz w:val="20"/>
        </w:rPr>
        <w:t>with</w:t>
      </w:r>
      <w:r>
        <w:rPr>
          <w:spacing w:val="-5"/>
          <w:sz w:val="20"/>
        </w:rPr>
        <w:t> </w:t>
      </w:r>
      <w:r>
        <w:rPr>
          <w:sz w:val="20"/>
        </w:rPr>
        <w:t>the</w:t>
      </w:r>
      <w:r>
        <w:rPr>
          <w:spacing w:val="-3"/>
          <w:sz w:val="20"/>
        </w:rPr>
        <w:t> </w:t>
      </w:r>
      <w:r>
        <w:rPr>
          <w:sz w:val="20"/>
        </w:rPr>
        <w:t>proper</w:t>
      </w:r>
      <w:r>
        <w:rPr>
          <w:spacing w:val="-5"/>
          <w:sz w:val="20"/>
        </w:rPr>
        <w:t> </w:t>
      </w:r>
      <w:r>
        <w:rPr>
          <w:sz w:val="20"/>
        </w:rPr>
        <w:t>functioning of</w:t>
      </w:r>
      <w:r>
        <w:rPr>
          <w:spacing w:val="-5"/>
          <w:sz w:val="20"/>
        </w:rPr>
        <w:t> </w:t>
      </w:r>
      <w:r>
        <w:rPr>
          <w:sz w:val="20"/>
        </w:rPr>
        <w:t>the</w:t>
      </w:r>
      <w:r>
        <w:rPr>
          <w:spacing w:val="-3"/>
          <w:sz w:val="20"/>
        </w:rPr>
        <w:t> </w:t>
      </w:r>
      <w:r>
        <w:rPr>
          <w:sz w:val="20"/>
        </w:rPr>
        <w:t>Board</w:t>
      </w:r>
      <w:r>
        <w:rPr>
          <w:spacing w:val="-5"/>
          <w:sz w:val="20"/>
        </w:rPr>
        <w:t> </w:t>
      </w:r>
      <w:r>
        <w:rPr>
          <w:sz w:val="20"/>
        </w:rPr>
        <w:t>and</w:t>
      </w:r>
      <w:r>
        <w:rPr>
          <w:spacing w:val="-5"/>
          <w:sz w:val="20"/>
        </w:rPr>
        <w:t> </w:t>
      </w:r>
      <w:r>
        <w:rPr>
          <w:sz w:val="20"/>
        </w:rPr>
        <w:t>the</w:t>
      </w:r>
      <w:r>
        <w:rPr>
          <w:spacing w:val="-3"/>
          <w:sz w:val="20"/>
        </w:rPr>
        <w:t> </w:t>
      </w:r>
      <w:r>
        <w:rPr>
          <w:sz w:val="20"/>
        </w:rPr>
        <w:t>STFV, the financial processes of the regular budget, including MODs for field operations and organization of missions, acting as a focal point for the Registry’s administrative sections and also supporting all TFV staff in relation to administrative processes.</w:t>
      </w:r>
    </w:p>
    <w:p>
      <w:pPr>
        <w:pStyle w:val="ListParagraph"/>
        <w:numPr>
          <w:ilvl w:val="0"/>
          <w:numId w:val="4"/>
        </w:numPr>
        <w:tabs>
          <w:tab w:pos="2967" w:val="left" w:leader="none"/>
        </w:tabs>
        <w:spacing w:line="240" w:lineRule="auto" w:before="123" w:after="0"/>
        <w:ind w:left="2246" w:right="2242" w:firstLine="0"/>
        <w:jc w:val="both"/>
        <w:rPr>
          <w:sz w:val="20"/>
        </w:rPr>
      </w:pPr>
      <w:r>
        <w:rPr>
          <w:sz w:val="20"/>
        </w:rPr>
        <w:t>One</w:t>
      </w:r>
      <w:r>
        <w:rPr>
          <w:spacing w:val="-4"/>
          <w:sz w:val="20"/>
        </w:rPr>
        <w:t> </w:t>
      </w:r>
      <w:r>
        <w:rPr>
          <w:sz w:val="20"/>
        </w:rPr>
        <w:t>Programme</w:t>
      </w:r>
      <w:r>
        <w:rPr>
          <w:spacing w:val="-4"/>
          <w:sz w:val="20"/>
        </w:rPr>
        <w:t> </w:t>
      </w:r>
      <w:r>
        <w:rPr>
          <w:sz w:val="20"/>
        </w:rPr>
        <w:t>Assistant</w:t>
      </w:r>
      <w:r>
        <w:rPr>
          <w:spacing w:val="-4"/>
          <w:sz w:val="20"/>
        </w:rPr>
        <w:t> </w:t>
      </w:r>
      <w:r>
        <w:rPr>
          <w:sz w:val="20"/>
        </w:rPr>
        <w:t>(GS-OL).</w:t>
      </w:r>
      <w:r>
        <w:rPr>
          <w:spacing w:val="-7"/>
          <w:sz w:val="20"/>
        </w:rPr>
        <w:t> </w:t>
      </w:r>
      <w:r>
        <w:rPr>
          <w:sz w:val="20"/>
        </w:rPr>
        <w:t>This</w:t>
      </w:r>
      <w:r>
        <w:rPr>
          <w:spacing w:val="-7"/>
          <w:sz w:val="20"/>
        </w:rPr>
        <w:t> </w:t>
      </w:r>
      <w:r>
        <w:rPr>
          <w:sz w:val="20"/>
        </w:rPr>
        <w:t>post</w:t>
      </w:r>
      <w:r>
        <w:rPr>
          <w:spacing w:val="-4"/>
          <w:sz w:val="20"/>
        </w:rPr>
        <w:t> </w:t>
      </w:r>
      <w:r>
        <w:rPr>
          <w:sz w:val="20"/>
        </w:rPr>
        <w:t>supports</w:t>
      </w:r>
      <w:r>
        <w:rPr>
          <w:spacing w:val="-7"/>
          <w:sz w:val="20"/>
        </w:rPr>
        <w:t> </w:t>
      </w:r>
      <w:r>
        <w:rPr>
          <w:sz w:val="20"/>
        </w:rPr>
        <w:t>the</w:t>
      </w:r>
      <w:r>
        <w:rPr>
          <w:spacing w:val="-4"/>
          <w:sz w:val="20"/>
        </w:rPr>
        <w:t> </w:t>
      </w:r>
      <w:r>
        <w:rPr>
          <w:sz w:val="20"/>
        </w:rPr>
        <w:t>Finance</w:t>
      </w:r>
      <w:r>
        <w:rPr>
          <w:spacing w:val="-4"/>
          <w:sz w:val="20"/>
        </w:rPr>
        <w:t> </w:t>
      </w:r>
      <w:r>
        <w:rPr>
          <w:sz w:val="20"/>
        </w:rPr>
        <w:t>Officer</w:t>
      </w:r>
      <w:r>
        <w:rPr>
          <w:spacing w:val="-9"/>
          <w:sz w:val="20"/>
        </w:rPr>
        <w:t> </w:t>
      </w:r>
      <w:r>
        <w:rPr>
          <w:sz w:val="20"/>
        </w:rPr>
        <w:t>and</w:t>
      </w:r>
      <w:r>
        <w:rPr>
          <w:spacing w:val="-9"/>
          <w:sz w:val="20"/>
        </w:rPr>
        <w:t> </w:t>
      </w:r>
      <w:r>
        <w:rPr>
          <w:sz w:val="20"/>
        </w:rPr>
        <w:t>the programme management team in The Hague in the development and implementation of assistance programmes and reparations awards.</w:t>
      </w:r>
    </w:p>
    <w:p>
      <w:pPr>
        <w:pStyle w:val="ListParagraph"/>
        <w:numPr>
          <w:ilvl w:val="0"/>
          <w:numId w:val="4"/>
        </w:numPr>
        <w:tabs>
          <w:tab w:pos="2967" w:val="left" w:leader="none"/>
        </w:tabs>
        <w:spacing w:line="240" w:lineRule="auto" w:before="121" w:after="0"/>
        <w:ind w:left="2246" w:right="2239" w:firstLine="0"/>
        <w:jc w:val="both"/>
        <w:rPr>
          <w:sz w:val="20"/>
        </w:rPr>
      </w:pPr>
      <w:r>
        <w:rPr>
          <w:sz w:val="20"/>
        </w:rPr>
        <w:t>One</w:t>
      </w:r>
      <w:r>
        <w:rPr>
          <w:spacing w:val="-13"/>
          <w:sz w:val="20"/>
        </w:rPr>
        <w:t> </w:t>
      </w:r>
      <w:r>
        <w:rPr>
          <w:sz w:val="20"/>
        </w:rPr>
        <w:t>Programme</w:t>
      </w:r>
      <w:r>
        <w:rPr>
          <w:spacing w:val="-12"/>
          <w:sz w:val="20"/>
        </w:rPr>
        <w:t> </w:t>
      </w:r>
      <w:r>
        <w:rPr>
          <w:sz w:val="20"/>
        </w:rPr>
        <w:t>Assistant</w:t>
      </w:r>
      <w:r>
        <w:rPr>
          <w:spacing w:val="-13"/>
          <w:sz w:val="20"/>
        </w:rPr>
        <w:t> </w:t>
      </w:r>
      <w:r>
        <w:rPr>
          <w:sz w:val="20"/>
        </w:rPr>
        <w:t>(GS-OL),</w:t>
      </w:r>
      <w:r>
        <w:rPr>
          <w:spacing w:val="-12"/>
          <w:sz w:val="20"/>
        </w:rPr>
        <w:t> </w:t>
      </w:r>
      <w:r>
        <w:rPr>
          <w:sz w:val="20"/>
        </w:rPr>
        <w:t>12</w:t>
      </w:r>
      <w:r>
        <w:rPr>
          <w:spacing w:val="-13"/>
          <w:sz w:val="20"/>
        </w:rPr>
        <w:t> </w:t>
      </w:r>
      <w:r>
        <w:rPr>
          <w:sz w:val="20"/>
        </w:rPr>
        <w:t>months.</w:t>
      </w:r>
      <w:r>
        <w:rPr>
          <w:spacing w:val="-12"/>
          <w:sz w:val="20"/>
        </w:rPr>
        <w:t> </w:t>
      </w:r>
      <w:r>
        <w:rPr>
          <w:sz w:val="20"/>
        </w:rPr>
        <w:t>New</w:t>
      </w:r>
      <w:r>
        <w:rPr>
          <w:spacing w:val="-13"/>
          <w:sz w:val="20"/>
        </w:rPr>
        <w:t> </w:t>
      </w:r>
      <w:r>
        <w:rPr>
          <w:sz w:val="20"/>
        </w:rPr>
        <w:t>(conversion).</w:t>
      </w:r>
      <w:r>
        <w:rPr>
          <w:spacing w:val="-12"/>
          <w:sz w:val="20"/>
        </w:rPr>
        <w:t> </w:t>
      </w:r>
      <w:r>
        <w:rPr>
          <w:sz w:val="20"/>
        </w:rPr>
        <w:t>Multi-year.</w:t>
      </w:r>
      <w:r>
        <w:rPr>
          <w:spacing w:val="-13"/>
          <w:sz w:val="20"/>
        </w:rPr>
        <w:t> </w:t>
      </w:r>
      <w:r>
        <w:rPr>
          <w:sz w:val="20"/>
        </w:rPr>
        <w:t>This post supports the Finance team in The Hague (Finance Officer and Associate Programme Officer) in the development and implementation of assistance programmes and reparations awards. Furthermore, this post provides support necessary to the programme teams in the situation countries in relation to the implementation of assistance programmes and </w:t>
      </w:r>
      <w:r>
        <w:rPr>
          <w:spacing w:val="-2"/>
          <w:sz w:val="20"/>
        </w:rPr>
        <w:t>reparations.</w:t>
      </w:r>
    </w:p>
    <w:p>
      <w:pPr>
        <w:pStyle w:val="ListParagraph"/>
        <w:numPr>
          <w:ilvl w:val="0"/>
          <w:numId w:val="4"/>
        </w:numPr>
        <w:tabs>
          <w:tab w:pos="2967" w:val="left" w:leader="none"/>
        </w:tabs>
        <w:spacing w:line="240" w:lineRule="auto" w:before="118" w:after="0"/>
        <w:ind w:left="2246" w:right="2238" w:firstLine="0"/>
        <w:jc w:val="both"/>
        <w:rPr>
          <w:sz w:val="20"/>
        </w:rPr>
      </w:pPr>
      <w:r>
        <w:rPr>
          <w:sz w:val="20"/>
        </w:rPr>
        <w:t>One Associate Executive Officer (P-2). This post is responsible for liaising with external stakeholders, in particular public donors, and ensures an open channel of communication with States to secure funding for the TFV’s assistance and reparations programmes. The incumbent provides and organizes executive support to the TFV’s Executive Director and Board and oversees administrative support functions at the STFV. The</w:t>
      </w:r>
      <w:r>
        <w:rPr>
          <w:spacing w:val="-7"/>
          <w:sz w:val="20"/>
        </w:rPr>
        <w:t> </w:t>
      </w:r>
      <w:r>
        <w:rPr>
          <w:sz w:val="20"/>
        </w:rPr>
        <w:t>incumbent</w:t>
      </w:r>
      <w:r>
        <w:rPr>
          <w:spacing w:val="-7"/>
          <w:sz w:val="20"/>
        </w:rPr>
        <w:t> </w:t>
      </w:r>
      <w:r>
        <w:rPr>
          <w:sz w:val="20"/>
        </w:rPr>
        <w:t>engages</w:t>
      </w:r>
      <w:r>
        <w:rPr>
          <w:spacing w:val="-5"/>
          <w:sz w:val="20"/>
        </w:rPr>
        <w:t> </w:t>
      </w:r>
      <w:r>
        <w:rPr>
          <w:sz w:val="20"/>
        </w:rPr>
        <w:t>in</w:t>
      </w:r>
      <w:r>
        <w:rPr>
          <w:spacing w:val="-4"/>
          <w:sz w:val="20"/>
        </w:rPr>
        <w:t> </w:t>
      </w:r>
      <w:r>
        <w:rPr>
          <w:sz w:val="20"/>
        </w:rPr>
        <w:t>relationship</w:t>
      </w:r>
      <w:r>
        <w:rPr>
          <w:spacing w:val="-4"/>
          <w:sz w:val="20"/>
        </w:rPr>
        <w:t> </w:t>
      </w:r>
      <w:r>
        <w:rPr>
          <w:sz w:val="20"/>
        </w:rPr>
        <w:t>management</w:t>
      </w:r>
      <w:r>
        <w:rPr>
          <w:spacing w:val="-2"/>
          <w:sz w:val="20"/>
        </w:rPr>
        <w:t> </w:t>
      </w:r>
      <w:r>
        <w:rPr>
          <w:sz w:val="20"/>
        </w:rPr>
        <w:t>with</w:t>
      </w:r>
      <w:r>
        <w:rPr>
          <w:spacing w:val="-4"/>
          <w:sz w:val="20"/>
        </w:rPr>
        <w:t> </w:t>
      </w:r>
      <w:r>
        <w:rPr>
          <w:sz w:val="20"/>
        </w:rPr>
        <w:t>high-level</w:t>
      </w:r>
      <w:r>
        <w:rPr>
          <w:spacing w:val="-7"/>
          <w:sz w:val="20"/>
        </w:rPr>
        <w:t> </w:t>
      </w:r>
      <w:r>
        <w:rPr>
          <w:sz w:val="20"/>
        </w:rPr>
        <w:t>external</w:t>
      </w:r>
      <w:r>
        <w:rPr>
          <w:spacing w:val="-2"/>
          <w:sz w:val="20"/>
        </w:rPr>
        <w:t> </w:t>
      </w:r>
      <w:r>
        <w:rPr>
          <w:sz w:val="20"/>
        </w:rPr>
        <w:t>stakeholders</w:t>
      </w:r>
      <w:r>
        <w:rPr>
          <w:spacing w:val="-5"/>
          <w:sz w:val="20"/>
        </w:rPr>
        <w:t> </w:t>
      </w:r>
      <w:r>
        <w:rPr>
          <w:sz w:val="20"/>
        </w:rPr>
        <w:t>in communication-related matters and organizes events to raise the TFV’s public profile and encourage more voluntary contributions and private donations.</w:t>
      </w:r>
    </w:p>
    <w:p>
      <w:pPr>
        <w:pStyle w:val="ListParagraph"/>
        <w:numPr>
          <w:ilvl w:val="0"/>
          <w:numId w:val="4"/>
        </w:numPr>
        <w:tabs>
          <w:tab w:pos="2967" w:val="left" w:leader="none"/>
        </w:tabs>
        <w:spacing w:line="240" w:lineRule="auto" w:before="124" w:after="0"/>
        <w:ind w:left="2246" w:right="2243" w:firstLine="0"/>
        <w:jc w:val="both"/>
        <w:rPr>
          <w:sz w:val="20"/>
        </w:rPr>
      </w:pPr>
      <w:r>
        <w:rPr>
          <w:sz w:val="20"/>
        </w:rPr>
        <w:t>One Associate Programme Officer (P-2). This role, based in The Hague, ensures proper fund management, in particular by converting information received from implementing partners/programme managers so that it accurately feeds into accounting and oversight tools and the Trust Fund’s timely, comprehensive and accurate reports to donors, the</w:t>
      </w:r>
      <w:r>
        <w:rPr>
          <w:spacing w:val="-9"/>
          <w:sz w:val="20"/>
        </w:rPr>
        <w:t> </w:t>
      </w:r>
      <w:r>
        <w:rPr>
          <w:sz w:val="20"/>
        </w:rPr>
        <w:t>Assembly</w:t>
      </w:r>
      <w:r>
        <w:rPr>
          <w:spacing w:val="-10"/>
          <w:sz w:val="20"/>
        </w:rPr>
        <w:t> </w:t>
      </w:r>
      <w:r>
        <w:rPr>
          <w:sz w:val="20"/>
        </w:rPr>
        <w:t>and</w:t>
      </w:r>
      <w:r>
        <w:rPr>
          <w:spacing w:val="-10"/>
          <w:sz w:val="20"/>
        </w:rPr>
        <w:t> </w:t>
      </w:r>
      <w:r>
        <w:rPr>
          <w:sz w:val="20"/>
        </w:rPr>
        <w:t>related</w:t>
      </w:r>
      <w:r>
        <w:rPr>
          <w:spacing w:val="-10"/>
          <w:sz w:val="20"/>
        </w:rPr>
        <w:t> </w:t>
      </w:r>
      <w:r>
        <w:rPr>
          <w:sz w:val="20"/>
        </w:rPr>
        <w:t>bodies.</w:t>
      </w:r>
      <w:r>
        <w:rPr>
          <w:spacing w:val="-8"/>
          <w:sz w:val="20"/>
        </w:rPr>
        <w:t> </w:t>
      </w:r>
      <w:r>
        <w:rPr>
          <w:sz w:val="20"/>
        </w:rPr>
        <w:t>The</w:t>
      </w:r>
      <w:r>
        <w:rPr>
          <w:spacing w:val="-9"/>
          <w:sz w:val="20"/>
        </w:rPr>
        <w:t> </w:t>
      </w:r>
      <w:r>
        <w:rPr>
          <w:sz w:val="20"/>
        </w:rPr>
        <w:t>incumbent</w:t>
      </w:r>
      <w:r>
        <w:rPr>
          <w:spacing w:val="-9"/>
          <w:sz w:val="20"/>
        </w:rPr>
        <w:t> </w:t>
      </w:r>
      <w:r>
        <w:rPr>
          <w:sz w:val="20"/>
        </w:rPr>
        <w:t>maintains</w:t>
      </w:r>
      <w:r>
        <w:rPr>
          <w:spacing w:val="-7"/>
          <w:sz w:val="20"/>
        </w:rPr>
        <w:t> </w:t>
      </w:r>
      <w:r>
        <w:rPr>
          <w:sz w:val="20"/>
        </w:rPr>
        <w:t>direct</w:t>
      </w:r>
      <w:r>
        <w:rPr>
          <w:spacing w:val="-5"/>
          <w:sz w:val="20"/>
        </w:rPr>
        <w:t> </w:t>
      </w:r>
      <w:r>
        <w:rPr>
          <w:sz w:val="20"/>
        </w:rPr>
        <w:t>working</w:t>
      </w:r>
      <w:r>
        <w:rPr>
          <w:spacing w:val="-10"/>
          <w:sz w:val="20"/>
        </w:rPr>
        <w:t> </w:t>
      </w:r>
      <w:r>
        <w:rPr>
          <w:sz w:val="20"/>
        </w:rPr>
        <w:t>relationships</w:t>
      </w:r>
      <w:r>
        <w:rPr>
          <w:spacing w:val="-7"/>
          <w:sz w:val="20"/>
        </w:rPr>
        <w:t> </w:t>
      </w:r>
      <w:r>
        <w:rPr>
          <w:sz w:val="20"/>
        </w:rPr>
        <w:t>with the Programme Managers and Associate Field Programme Officers and may support the development of programmatic frameworks.</w:t>
      </w:r>
    </w:p>
    <w:p>
      <w:pPr>
        <w:pStyle w:val="BodyText"/>
        <w:spacing w:before="9"/>
      </w:pPr>
    </w:p>
    <w:p>
      <w:pPr>
        <w:tabs>
          <w:tab w:pos="8138" w:val="left" w:leader="none"/>
        </w:tabs>
        <w:spacing w:before="0"/>
        <w:ind w:left="2246" w:right="0" w:firstLine="0"/>
        <w:jc w:val="both"/>
        <w:rPr>
          <w:i/>
          <w:sz w:val="20"/>
        </w:rPr>
      </w:pPr>
      <w:r>
        <w:rPr>
          <w:i/>
          <w:sz w:val="20"/>
        </w:rPr>
        <w:t>General</w:t>
      </w:r>
      <w:r>
        <w:rPr>
          <w:i/>
          <w:spacing w:val="-9"/>
          <w:sz w:val="20"/>
        </w:rPr>
        <w:t> </w:t>
      </w:r>
      <w:r>
        <w:rPr>
          <w:i/>
          <w:sz w:val="20"/>
        </w:rPr>
        <w:t>temporary</w:t>
      </w:r>
      <w:r>
        <w:rPr>
          <w:i/>
          <w:spacing w:val="-4"/>
          <w:sz w:val="20"/>
        </w:rPr>
        <w:t> </w:t>
      </w:r>
      <w:r>
        <w:rPr>
          <w:i/>
          <w:spacing w:val="-2"/>
          <w:sz w:val="20"/>
        </w:rPr>
        <w:t>assistance</w:t>
      </w:r>
      <w:r>
        <w:rPr>
          <w:i/>
          <w:sz w:val="20"/>
        </w:rPr>
        <w:tab/>
        <w:t>€2,036.4</w:t>
      </w:r>
      <w:r>
        <w:rPr>
          <w:i/>
          <w:spacing w:val="-11"/>
          <w:sz w:val="20"/>
        </w:rPr>
        <w:t> </w:t>
      </w:r>
      <w:r>
        <w:rPr>
          <w:i/>
          <w:spacing w:val="-2"/>
          <w:sz w:val="20"/>
        </w:rPr>
        <w:t>thousand</w:t>
      </w:r>
    </w:p>
    <w:p>
      <w:pPr>
        <w:pStyle w:val="BodyText"/>
        <w:spacing w:before="11"/>
        <w:rPr>
          <w:i/>
        </w:rPr>
      </w:pPr>
    </w:p>
    <w:p>
      <w:pPr>
        <w:pStyle w:val="ListParagraph"/>
        <w:numPr>
          <w:ilvl w:val="0"/>
          <w:numId w:val="4"/>
        </w:numPr>
        <w:tabs>
          <w:tab w:pos="2967" w:val="left" w:leader="none"/>
        </w:tabs>
        <w:spacing w:line="240" w:lineRule="auto" w:before="0" w:after="0"/>
        <w:ind w:left="2246" w:right="2237" w:firstLine="0"/>
        <w:jc w:val="both"/>
        <w:rPr>
          <w:sz w:val="20"/>
        </w:rPr>
      </w:pPr>
      <w:r>
        <w:rPr>
          <w:sz w:val="20"/>
        </w:rPr>
        <w:t>The amount requested for GTA positions has increased by €482.2 thousand (31.0 per cent) as compared with the amount in the approved budget for 2022.</w:t>
      </w:r>
    </w:p>
    <w:p>
      <w:pPr>
        <w:pStyle w:val="ListParagraph"/>
        <w:numPr>
          <w:ilvl w:val="0"/>
          <w:numId w:val="4"/>
        </w:numPr>
        <w:tabs>
          <w:tab w:pos="2966" w:val="left" w:leader="none"/>
          <w:tab w:pos="2967" w:val="left" w:leader="none"/>
        </w:tabs>
        <w:spacing w:line="240" w:lineRule="auto" w:before="121" w:after="0"/>
        <w:ind w:left="2246" w:right="2244" w:firstLine="0"/>
        <w:jc w:val="left"/>
        <w:rPr>
          <w:sz w:val="20"/>
        </w:rPr>
      </w:pPr>
      <w:r>
        <w:rPr>
          <w:sz w:val="20"/>
        </w:rPr>
        <w:t>The TFV requests the following new GTA positions (in-depth justifications above and below):</w:t>
      </w:r>
    </w:p>
    <w:p>
      <w:pPr>
        <w:pStyle w:val="ListParagraph"/>
        <w:numPr>
          <w:ilvl w:val="0"/>
          <w:numId w:val="20"/>
        </w:numPr>
        <w:tabs>
          <w:tab w:pos="2966" w:val="left" w:leader="none"/>
          <w:tab w:pos="2967" w:val="left" w:leader="none"/>
        </w:tabs>
        <w:spacing w:line="240" w:lineRule="auto" w:before="120" w:after="0"/>
        <w:ind w:left="2967" w:right="0" w:hanging="361"/>
        <w:jc w:val="left"/>
        <w:rPr>
          <w:i/>
          <w:sz w:val="20"/>
        </w:rPr>
      </w:pPr>
      <w:r>
        <w:rPr>
          <w:i/>
          <w:sz w:val="20"/>
        </w:rPr>
        <w:t>Associate</w:t>
      </w:r>
      <w:r>
        <w:rPr>
          <w:i/>
          <w:spacing w:val="-7"/>
          <w:sz w:val="20"/>
        </w:rPr>
        <w:t> </w:t>
      </w:r>
      <w:r>
        <w:rPr>
          <w:i/>
          <w:sz w:val="20"/>
        </w:rPr>
        <w:t>Communications</w:t>
      </w:r>
      <w:r>
        <w:rPr>
          <w:i/>
          <w:spacing w:val="-4"/>
          <w:sz w:val="20"/>
        </w:rPr>
        <w:t> </w:t>
      </w:r>
      <w:r>
        <w:rPr>
          <w:i/>
          <w:sz w:val="20"/>
        </w:rPr>
        <w:t>Officer</w:t>
      </w:r>
      <w:r>
        <w:rPr>
          <w:i/>
          <w:spacing w:val="-9"/>
          <w:sz w:val="20"/>
        </w:rPr>
        <w:t> </w:t>
      </w:r>
      <w:r>
        <w:rPr>
          <w:i/>
          <w:sz w:val="20"/>
        </w:rPr>
        <w:t>(P-2),</w:t>
      </w:r>
      <w:r>
        <w:rPr>
          <w:i/>
          <w:spacing w:val="-5"/>
          <w:sz w:val="20"/>
        </w:rPr>
        <w:t> </w:t>
      </w:r>
      <w:r>
        <w:rPr>
          <w:i/>
          <w:sz w:val="20"/>
        </w:rPr>
        <w:t>9</w:t>
      </w:r>
      <w:r>
        <w:rPr>
          <w:i/>
          <w:spacing w:val="-7"/>
          <w:sz w:val="20"/>
        </w:rPr>
        <w:t> </w:t>
      </w:r>
      <w:r>
        <w:rPr>
          <w:i/>
          <w:spacing w:val="-2"/>
          <w:sz w:val="20"/>
        </w:rPr>
        <w:t>months</w:t>
      </w:r>
    </w:p>
    <w:p>
      <w:pPr>
        <w:pStyle w:val="ListParagraph"/>
        <w:numPr>
          <w:ilvl w:val="0"/>
          <w:numId w:val="20"/>
        </w:numPr>
        <w:tabs>
          <w:tab w:pos="2966" w:val="left" w:leader="none"/>
          <w:tab w:pos="2967" w:val="left" w:leader="none"/>
        </w:tabs>
        <w:spacing w:line="240" w:lineRule="auto" w:before="121" w:after="0"/>
        <w:ind w:left="2967" w:right="0" w:hanging="361"/>
        <w:jc w:val="left"/>
        <w:rPr>
          <w:i/>
          <w:sz w:val="20"/>
        </w:rPr>
      </w:pPr>
      <w:r>
        <w:rPr>
          <w:i/>
          <w:sz w:val="20"/>
        </w:rPr>
        <w:t>Administrative</w:t>
      </w:r>
      <w:r>
        <w:rPr>
          <w:i/>
          <w:spacing w:val="-7"/>
          <w:sz w:val="20"/>
        </w:rPr>
        <w:t> </w:t>
      </w:r>
      <w:r>
        <w:rPr>
          <w:i/>
          <w:sz w:val="20"/>
        </w:rPr>
        <w:t>Assistant</w:t>
      </w:r>
      <w:r>
        <w:rPr>
          <w:i/>
          <w:spacing w:val="-6"/>
          <w:sz w:val="20"/>
        </w:rPr>
        <w:t> </w:t>
      </w:r>
      <w:r>
        <w:rPr>
          <w:i/>
          <w:sz w:val="20"/>
        </w:rPr>
        <w:t>(P-2),</w:t>
      </w:r>
      <w:r>
        <w:rPr>
          <w:i/>
          <w:spacing w:val="-6"/>
          <w:sz w:val="20"/>
        </w:rPr>
        <w:t> </w:t>
      </w:r>
      <w:r>
        <w:rPr>
          <w:i/>
          <w:sz w:val="20"/>
        </w:rPr>
        <w:t>9</w:t>
      </w:r>
      <w:r>
        <w:rPr>
          <w:i/>
          <w:spacing w:val="-3"/>
          <w:sz w:val="20"/>
        </w:rPr>
        <w:t> </w:t>
      </w:r>
      <w:r>
        <w:rPr>
          <w:i/>
          <w:spacing w:val="-2"/>
          <w:sz w:val="20"/>
        </w:rPr>
        <w:t>months</w:t>
      </w:r>
    </w:p>
    <w:p>
      <w:pPr>
        <w:pStyle w:val="ListParagraph"/>
        <w:numPr>
          <w:ilvl w:val="0"/>
          <w:numId w:val="4"/>
        </w:numPr>
        <w:tabs>
          <w:tab w:pos="2966" w:val="left" w:leader="none"/>
          <w:tab w:pos="2967" w:val="left" w:leader="none"/>
        </w:tabs>
        <w:spacing w:line="240" w:lineRule="auto" w:before="115" w:after="0"/>
        <w:ind w:left="2246" w:right="2250" w:firstLine="0"/>
        <w:jc w:val="left"/>
        <w:rPr>
          <w:sz w:val="20"/>
        </w:rPr>
      </w:pPr>
      <w:r>
        <w:rPr>
          <w:sz w:val="20"/>
        </w:rPr>
        <w:t>The</w:t>
      </w:r>
      <w:r>
        <w:rPr>
          <w:spacing w:val="40"/>
          <w:sz w:val="20"/>
        </w:rPr>
        <w:t> </w:t>
      </w:r>
      <w:r>
        <w:rPr>
          <w:sz w:val="20"/>
        </w:rPr>
        <w:t>TFV</w:t>
      </w:r>
      <w:r>
        <w:rPr>
          <w:spacing w:val="40"/>
          <w:sz w:val="20"/>
        </w:rPr>
        <w:t> </w:t>
      </w:r>
      <w:r>
        <w:rPr>
          <w:sz w:val="20"/>
        </w:rPr>
        <w:t>also</w:t>
      </w:r>
      <w:r>
        <w:rPr>
          <w:spacing w:val="40"/>
          <w:sz w:val="20"/>
        </w:rPr>
        <w:t> </w:t>
      </w:r>
      <w:r>
        <w:rPr>
          <w:sz w:val="20"/>
        </w:rPr>
        <w:t>requests</w:t>
      </w:r>
      <w:r>
        <w:rPr>
          <w:spacing w:val="40"/>
          <w:sz w:val="20"/>
        </w:rPr>
        <w:t> </w:t>
      </w:r>
      <w:r>
        <w:rPr>
          <w:sz w:val="20"/>
        </w:rPr>
        <w:t>in</w:t>
      </w:r>
      <w:r>
        <w:rPr>
          <w:spacing w:val="40"/>
          <w:sz w:val="20"/>
        </w:rPr>
        <w:t> </w:t>
      </w:r>
      <w:r>
        <w:rPr>
          <w:sz w:val="20"/>
        </w:rPr>
        <w:t>relation</w:t>
      </w:r>
      <w:r>
        <w:rPr>
          <w:spacing w:val="40"/>
          <w:sz w:val="20"/>
        </w:rPr>
        <w:t> </w:t>
      </w:r>
      <w:r>
        <w:rPr>
          <w:sz w:val="20"/>
        </w:rPr>
        <w:t>to</w:t>
      </w:r>
      <w:r>
        <w:rPr>
          <w:spacing w:val="40"/>
          <w:sz w:val="20"/>
        </w:rPr>
        <w:t> </w:t>
      </w:r>
      <w:r>
        <w:rPr>
          <w:sz w:val="20"/>
        </w:rPr>
        <w:t>the</w:t>
      </w:r>
      <w:r>
        <w:rPr>
          <w:spacing w:val="40"/>
          <w:sz w:val="20"/>
        </w:rPr>
        <w:t> </w:t>
      </w:r>
      <w:r>
        <w:rPr>
          <w:sz w:val="20"/>
        </w:rPr>
        <w:t>leadership</w:t>
      </w:r>
      <w:r>
        <w:rPr>
          <w:spacing w:val="40"/>
          <w:sz w:val="20"/>
        </w:rPr>
        <w:t> </w:t>
      </w:r>
      <w:r>
        <w:rPr>
          <w:sz w:val="20"/>
        </w:rPr>
        <w:t>transition</w:t>
      </w:r>
      <w:r>
        <w:rPr>
          <w:spacing w:val="40"/>
          <w:sz w:val="20"/>
        </w:rPr>
        <w:t> </w:t>
      </w:r>
      <w:r>
        <w:rPr>
          <w:sz w:val="20"/>
        </w:rPr>
        <w:t>the</w:t>
      </w:r>
      <w:r>
        <w:rPr>
          <w:spacing w:val="40"/>
          <w:sz w:val="20"/>
        </w:rPr>
        <w:t> </w:t>
      </w:r>
      <w:r>
        <w:rPr>
          <w:sz w:val="20"/>
        </w:rPr>
        <w:t>following unavoidable “one-off” provision:</w:t>
      </w:r>
    </w:p>
    <w:p>
      <w:pPr>
        <w:pStyle w:val="ListParagraph"/>
        <w:numPr>
          <w:ilvl w:val="0"/>
          <w:numId w:val="21"/>
        </w:numPr>
        <w:tabs>
          <w:tab w:pos="2966" w:val="left" w:leader="none"/>
          <w:tab w:pos="2967" w:val="left" w:leader="none"/>
        </w:tabs>
        <w:spacing w:line="240" w:lineRule="auto" w:before="120" w:after="0"/>
        <w:ind w:left="2967" w:right="0" w:hanging="361"/>
        <w:jc w:val="left"/>
        <w:rPr>
          <w:i/>
          <w:sz w:val="20"/>
        </w:rPr>
      </w:pPr>
      <w:r>
        <w:rPr>
          <w:i/>
          <w:sz w:val="20"/>
        </w:rPr>
        <w:t>Adviser</w:t>
      </w:r>
      <w:r>
        <w:rPr>
          <w:i/>
          <w:spacing w:val="-3"/>
          <w:sz w:val="20"/>
        </w:rPr>
        <w:t> </w:t>
      </w:r>
      <w:r>
        <w:rPr>
          <w:i/>
          <w:sz w:val="20"/>
        </w:rPr>
        <w:t>(D-1),</w:t>
      </w:r>
      <w:r>
        <w:rPr>
          <w:i/>
          <w:spacing w:val="-3"/>
          <w:sz w:val="20"/>
        </w:rPr>
        <w:t> </w:t>
      </w:r>
      <w:r>
        <w:rPr>
          <w:i/>
          <w:sz w:val="20"/>
        </w:rPr>
        <w:t>6</w:t>
      </w:r>
      <w:r>
        <w:rPr>
          <w:i/>
          <w:spacing w:val="-5"/>
          <w:sz w:val="20"/>
        </w:rPr>
        <w:t> </w:t>
      </w:r>
      <w:r>
        <w:rPr>
          <w:i/>
          <w:spacing w:val="-2"/>
          <w:sz w:val="20"/>
        </w:rPr>
        <w:t>months.</w:t>
      </w:r>
    </w:p>
    <w:p>
      <w:pPr>
        <w:pStyle w:val="ListParagraph"/>
        <w:numPr>
          <w:ilvl w:val="0"/>
          <w:numId w:val="4"/>
        </w:numPr>
        <w:tabs>
          <w:tab w:pos="2966" w:val="left" w:leader="none"/>
          <w:tab w:pos="2967" w:val="left" w:leader="none"/>
        </w:tabs>
        <w:spacing w:line="240" w:lineRule="auto" w:before="120" w:after="0"/>
        <w:ind w:left="2246" w:right="2239" w:firstLine="0"/>
        <w:jc w:val="left"/>
        <w:rPr>
          <w:sz w:val="20"/>
        </w:rPr>
      </w:pPr>
      <w:r>
        <w:rPr>
          <w:sz w:val="20"/>
        </w:rPr>
        <w:t>The</w:t>
      </w:r>
      <w:r>
        <w:rPr>
          <w:spacing w:val="31"/>
          <w:sz w:val="20"/>
        </w:rPr>
        <w:t> </w:t>
      </w:r>
      <w:r>
        <w:rPr>
          <w:sz w:val="20"/>
        </w:rPr>
        <w:t>TFV</w:t>
      </w:r>
      <w:r>
        <w:rPr>
          <w:spacing w:val="32"/>
          <w:sz w:val="20"/>
        </w:rPr>
        <w:t> </w:t>
      </w:r>
      <w:r>
        <w:rPr>
          <w:sz w:val="20"/>
        </w:rPr>
        <w:t>requests</w:t>
      </w:r>
      <w:r>
        <w:rPr>
          <w:spacing w:val="27"/>
          <w:sz w:val="20"/>
        </w:rPr>
        <w:t> </w:t>
      </w:r>
      <w:r>
        <w:rPr>
          <w:sz w:val="20"/>
        </w:rPr>
        <w:t>the</w:t>
      </w:r>
      <w:r>
        <w:rPr>
          <w:spacing w:val="31"/>
          <w:sz w:val="20"/>
        </w:rPr>
        <w:t> </w:t>
      </w:r>
      <w:r>
        <w:rPr>
          <w:sz w:val="20"/>
        </w:rPr>
        <w:t>continuation</w:t>
      </w:r>
      <w:r>
        <w:rPr>
          <w:spacing w:val="29"/>
          <w:sz w:val="20"/>
        </w:rPr>
        <w:t> </w:t>
      </w:r>
      <w:r>
        <w:rPr>
          <w:sz w:val="20"/>
        </w:rPr>
        <w:t>of</w:t>
      </w:r>
      <w:r>
        <w:rPr>
          <w:spacing w:val="29"/>
          <w:sz w:val="20"/>
        </w:rPr>
        <w:t> </w:t>
      </w:r>
      <w:r>
        <w:rPr>
          <w:sz w:val="20"/>
        </w:rPr>
        <w:t>the</w:t>
      </w:r>
      <w:r>
        <w:rPr>
          <w:spacing w:val="35"/>
          <w:sz w:val="20"/>
        </w:rPr>
        <w:t> </w:t>
      </w:r>
      <w:r>
        <w:rPr>
          <w:sz w:val="20"/>
        </w:rPr>
        <w:t>following</w:t>
      </w:r>
      <w:r>
        <w:rPr>
          <w:spacing w:val="34"/>
          <w:sz w:val="20"/>
        </w:rPr>
        <w:t> </w:t>
      </w:r>
      <w:r>
        <w:rPr>
          <w:sz w:val="20"/>
        </w:rPr>
        <w:t>GTA</w:t>
      </w:r>
      <w:r>
        <w:rPr>
          <w:spacing w:val="27"/>
          <w:sz w:val="20"/>
        </w:rPr>
        <w:t> </w:t>
      </w:r>
      <w:r>
        <w:rPr>
          <w:sz w:val="20"/>
        </w:rPr>
        <w:t>positions,</w:t>
      </w:r>
      <w:r>
        <w:rPr>
          <w:spacing w:val="36"/>
          <w:sz w:val="20"/>
        </w:rPr>
        <w:t> </w:t>
      </w:r>
      <w:r>
        <w:rPr>
          <w:sz w:val="20"/>
        </w:rPr>
        <w:t>previously approved for 2022, amounting to 12 months’ FTE:</w:t>
      </w:r>
    </w:p>
    <w:p>
      <w:pPr>
        <w:pStyle w:val="ListParagraph"/>
        <w:numPr>
          <w:ilvl w:val="0"/>
          <w:numId w:val="22"/>
        </w:numPr>
        <w:tabs>
          <w:tab w:pos="2966" w:val="left" w:leader="none"/>
          <w:tab w:pos="2967" w:val="left" w:leader="none"/>
        </w:tabs>
        <w:spacing w:line="240" w:lineRule="auto" w:before="122" w:after="0"/>
        <w:ind w:left="2967" w:right="0" w:hanging="361"/>
        <w:jc w:val="left"/>
        <w:rPr>
          <w:i/>
          <w:sz w:val="20"/>
        </w:rPr>
      </w:pPr>
      <w:r>
        <w:rPr>
          <w:i/>
          <w:sz w:val="20"/>
        </w:rPr>
        <w:t>Associate</w:t>
      </w:r>
      <w:r>
        <w:rPr>
          <w:i/>
          <w:spacing w:val="-11"/>
          <w:sz w:val="20"/>
        </w:rPr>
        <w:t> </w:t>
      </w:r>
      <w:r>
        <w:rPr>
          <w:i/>
          <w:sz w:val="20"/>
        </w:rPr>
        <w:t>Partnership</w:t>
      </w:r>
      <w:r>
        <w:rPr>
          <w:i/>
          <w:spacing w:val="-8"/>
          <w:sz w:val="20"/>
        </w:rPr>
        <w:t> </w:t>
      </w:r>
      <w:r>
        <w:rPr>
          <w:i/>
          <w:sz w:val="20"/>
        </w:rPr>
        <w:t>Development</w:t>
      </w:r>
      <w:r>
        <w:rPr>
          <w:i/>
          <w:spacing w:val="-6"/>
          <w:sz w:val="20"/>
        </w:rPr>
        <w:t> </w:t>
      </w:r>
      <w:r>
        <w:rPr>
          <w:i/>
          <w:sz w:val="20"/>
        </w:rPr>
        <w:t>and</w:t>
      </w:r>
      <w:r>
        <w:rPr>
          <w:i/>
          <w:spacing w:val="-12"/>
          <w:sz w:val="20"/>
        </w:rPr>
        <w:t> </w:t>
      </w:r>
      <w:r>
        <w:rPr>
          <w:i/>
          <w:sz w:val="20"/>
        </w:rPr>
        <w:t>Procurement</w:t>
      </w:r>
      <w:r>
        <w:rPr>
          <w:i/>
          <w:spacing w:val="-7"/>
          <w:sz w:val="20"/>
        </w:rPr>
        <w:t> </w:t>
      </w:r>
      <w:r>
        <w:rPr>
          <w:i/>
          <w:sz w:val="20"/>
        </w:rPr>
        <w:t>Officer</w:t>
      </w:r>
      <w:r>
        <w:rPr>
          <w:i/>
          <w:spacing w:val="-8"/>
          <w:sz w:val="20"/>
        </w:rPr>
        <w:t> </w:t>
      </w:r>
      <w:r>
        <w:rPr>
          <w:i/>
          <w:sz w:val="20"/>
        </w:rPr>
        <w:t>(P-</w:t>
      </w:r>
      <w:r>
        <w:rPr>
          <w:i/>
          <w:spacing w:val="-5"/>
          <w:sz w:val="20"/>
        </w:rPr>
        <w:t>2).</w:t>
      </w:r>
    </w:p>
    <w:p>
      <w:pPr>
        <w:spacing w:after="0" w:line="240" w:lineRule="auto"/>
        <w:jc w:val="left"/>
        <w:rPr>
          <w:sz w:val="20"/>
        </w:rPr>
        <w:sectPr>
          <w:pgSz w:w="11910" w:h="16840"/>
          <w:pgMar w:header="953" w:footer="940" w:top="1140" w:bottom="1140" w:left="20" w:right="20"/>
        </w:sectPr>
      </w:pPr>
    </w:p>
    <w:p>
      <w:pPr>
        <w:pStyle w:val="ListParagraph"/>
        <w:numPr>
          <w:ilvl w:val="0"/>
          <w:numId w:val="22"/>
        </w:numPr>
        <w:tabs>
          <w:tab w:pos="2967" w:val="left" w:leader="none"/>
        </w:tabs>
        <w:spacing w:line="240" w:lineRule="auto" w:before="120" w:after="0"/>
        <w:ind w:left="2967" w:right="0" w:hanging="361"/>
        <w:jc w:val="both"/>
        <w:rPr>
          <w:i/>
          <w:sz w:val="20"/>
        </w:rPr>
      </w:pPr>
      <w:r>
        <w:rPr>
          <w:i/>
          <w:sz w:val="20"/>
        </w:rPr>
        <w:t>Associate</w:t>
      </w:r>
      <w:r>
        <w:rPr>
          <w:i/>
          <w:spacing w:val="-9"/>
          <w:sz w:val="20"/>
        </w:rPr>
        <w:t> </w:t>
      </w:r>
      <w:r>
        <w:rPr>
          <w:i/>
          <w:sz w:val="20"/>
        </w:rPr>
        <w:t>Legal</w:t>
      </w:r>
      <w:r>
        <w:rPr>
          <w:i/>
          <w:spacing w:val="-7"/>
          <w:sz w:val="20"/>
        </w:rPr>
        <w:t> </w:t>
      </w:r>
      <w:r>
        <w:rPr>
          <w:i/>
          <w:sz w:val="20"/>
        </w:rPr>
        <w:t>Officer</w:t>
      </w:r>
      <w:r>
        <w:rPr>
          <w:i/>
          <w:spacing w:val="-5"/>
          <w:sz w:val="20"/>
        </w:rPr>
        <w:t> </w:t>
      </w:r>
      <w:r>
        <w:rPr>
          <w:i/>
          <w:sz w:val="20"/>
        </w:rPr>
        <w:t>(P-</w:t>
      </w:r>
      <w:r>
        <w:rPr>
          <w:i/>
          <w:spacing w:val="-5"/>
          <w:sz w:val="20"/>
        </w:rPr>
        <w:t>2).</w:t>
      </w:r>
    </w:p>
    <w:p>
      <w:pPr>
        <w:pStyle w:val="ListParagraph"/>
        <w:numPr>
          <w:ilvl w:val="0"/>
          <w:numId w:val="22"/>
        </w:numPr>
        <w:tabs>
          <w:tab w:pos="2967" w:val="left" w:leader="none"/>
        </w:tabs>
        <w:spacing w:line="240" w:lineRule="auto" w:before="120" w:after="0"/>
        <w:ind w:left="2967" w:right="0" w:hanging="361"/>
        <w:jc w:val="both"/>
        <w:rPr>
          <w:i/>
          <w:sz w:val="20"/>
        </w:rPr>
      </w:pPr>
      <w:r>
        <w:rPr>
          <w:i/>
          <w:sz w:val="20"/>
        </w:rPr>
        <w:t>Monitoring</w:t>
      </w:r>
      <w:r>
        <w:rPr>
          <w:i/>
          <w:spacing w:val="-9"/>
          <w:sz w:val="20"/>
        </w:rPr>
        <w:t> </w:t>
      </w:r>
      <w:r>
        <w:rPr>
          <w:i/>
          <w:sz w:val="20"/>
        </w:rPr>
        <w:t>and</w:t>
      </w:r>
      <w:r>
        <w:rPr>
          <w:i/>
          <w:spacing w:val="-8"/>
          <w:sz w:val="20"/>
        </w:rPr>
        <w:t> </w:t>
      </w:r>
      <w:r>
        <w:rPr>
          <w:i/>
          <w:sz w:val="20"/>
        </w:rPr>
        <w:t>Evaluation</w:t>
      </w:r>
      <w:r>
        <w:rPr>
          <w:i/>
          <w:spacing w:val="-8"/>
          <w:sz w:val="20"/>
        </w:rPr>
        <w:t> </w:t>
      </w:r>
      <w:r>
        <w:rPr>
          <w:i/>
          <w:sz w:val="20"/>
        </w:rPr>
        <w:t>Assistant</w:t>
      </w:r>
      <w:r>
        <w:rPr>
          <w:i/>
          <w:spacing w:val="-6"/>
          <w:sz w:val="20"/>
        </w:rPr>
        <w:t> </w:t>
      </w:r>
      <w:r>
        <w:rPr>
          <w:i/>
          <w:sz w:val="20"/>
        </w:rPr>
        <w:t>(GS-</w:t>
      </w:r>
      <w:r>
        <w:rPr>
          <w:i/>
          <w:spacing w:val="-4"/>
          <w:sz w:val="20"/>
        </w:rPr>
        <w:t>OL).</w:t>
      </w:r>
    </w:p>
    <w:p>
      <w:pPr>
        <w:pStyle w:val="ListParagraph"/>
        <w:numPr>
          <w:ilvl w:val="0"/>
          <w:numId w:val="4"/>
        </w:numPr>
        <w:tabs>
          <w:tab w:pos="2967" w:val="left" w:leader="none"/>
        </w:tabs>
        <w:spacing w:line="240" w:lineRule="auto" w:before="120" w:after="0"/>
        <w:ind w:left="2246" w:right="2241" w:firstLine="0"/>
        <w:jc w:val="both"/>
        <w:rPr>
          <w:sz w:val="20"/>
        </w:rPr>
      </w:pPr>
      <w:r>
        <w:rPr>
          <w:sz w:val="20"/>
        </w:rPr>
        <w:t>The total number of GTA</w:t>
      </w:r>
      <w:r>
        <w:rPr>
          <w:spacing w:val="-1"/>
          <w:sz w:val="20"/>
        </w:rPr>
        <w:t> </w:t>
      </w:r>
      <w:r>
        <w:rPr>
          <w:sz w:val="20"/>
        </w:rPr>
        <w:t>positions</w:t>
      </w:r>
      <w:r>
        <w:rPr>
          <w:spacing w:val="-1"/>
          <w:sz w:val="20"/>
        </w:rPr>
        <w:t> </w:t>
      </w:r>
      <w:r>
        <w:rPr>
          <w:sz w:val="20"/>
        </w:rPr>
        <w:t>is</w:t>
      </w:r>
      <w:r>
        <w:rPr>
          <w:spacing w:val="-1"/>
          <w:sz w:val="20"/>
        </w:rPr>
        <w:t> </w:t>
      </w:r>
      <w:r>
        <w:rPr>
          <w:sz w:val="20"/>
        </w:rPr>
        <w:t>18 (17 FTE). These proposed changes result in a net effect of one position (as the position of Programme Assistant (GS-OL) is being converted to an established post), an increase in FTE of 2.83 and an increase in resource requests of €482.2 thousand.</w:t>
      </w:r>
    </w:p>
    <w:p>
      <w:pPr>
        <w:pStyle w:val="BodyText"/>
        <w:rPr>
          <w:sz w:val="21"/>
        </w:rPr>
      </w:pPr>
    </w:p>
    <w:p>
      <w:pPr>
        <w:spacing w:before="1"/>
        <w:ind w:left="2246" w:right="0" w:firstLine="0"/>
        <w:jc w:val="left"/>
        <w:rPr>
          <w:i/>
          <w:sz w:val="20"/>
        </w:rPr>
      </w:pPr>
      <w:r>
        <w:rPr>
          <w:i/>
          <w:spacing w:val="-2"/>
          <w:sz w:val="20"/>
        </w:rPr>
        <w:t>Headquarters</w:t>
      </w:r>
    </w:p>
    <w:p>
      <w:pPr>
        <w:pStyle w:val="BodyText"/>
        <w:spacing w:before="10"/>
        <w:rPr>
          <w:i/>
        </w:rPr>
      </w:pPr>
    </w:p>
    <w:p>
      <w:pPr>
        <w:pStyle w:val="ListParagraph"/>
        <w:numPr>
          <w:ilvl w:val="0"/>
          <w:numId w:val="4"/>
        </w:numPr>
        <w:tabs>
          <w:tab w:pos="2967" w:val="left" w:leader="none"/>
        </w:tabs>
        <w:spacing w:line="240" w:lineRule="auto" w:before="0" w:after="0"/>
        <w:ind w:left="2246" w:right="2237" w:firstLine="0"/>
        <w:jc w:val="both"/>
        <w:rPr>
          <w:sz w:val="20"/>
        </w:rPr>
      </w:pPr>
      <w:r>
        <w:rPr>
          <w:sz w:val="20"/>
        </w:rPr>
        <w:t>One </w:t>
      </w:r>
      <w:r>
        <w:rPr>
          <w:i/>
          <w:sz w:val="20"/>
        </w:rPr>
        <w:t>Fundraising and Visibility Officer (P-3), 12 months. Continued. Multi-year.</w:t>
      </w:r>
      <w:r>
        <w:rPr>
          <w:i/>
          <w:sz w:val="20"/>
        </w:rPr>
        <w:t> </w:t>
      </w:r>
      <w:r>
        <w:rPr>
          <w:sz w:val="20"/>
        </w:rPr>
        <w:t>Awareness-building and fundraising go hand-in-hand to create a stronger political and financial foundation for fulfilling the TFV’s mandates, mission and goals. The TFV continues to strive towards the diversification of its revenue base. Both awareness-raising and</w:t>
      </w:r>
      <w:r>
        <w:rPr>
          <w:spacing w:val="-3"/>
          <w:sz w:val="20"/>
        </w:rPr>
        <w:t> </w:t>
      </w:r>
      <w:r>
        <w:rPr>
          <w:sz w:val="20"/>
        </w:rPr>
        <w:t>resource</w:t>
      </w:r>
      <w:r>
        <w:rPr>
          <w:spacing w:val="-1"/>
          <w:sz w:val="20"/>
        </w:rPr>
        <w:t> </w:t>
      </w:r>
      <w:r>
        <w:rPr>
          <w:sz w:val="20"/>
        </w:rPr>
        <w:t>development</w:t>
      </w:r>
      <w:r>
        <w:rPr>
          <w:spacing w:val="-1"/>
          <w:sz w:val="20"/>
        </w:rPr>
        <w:t> </w:t>
      </w:r>
      <w:r>
        <w:rPr>
          <w:sz w:val="20"/>
        </w:rPr>
        <w:t>are strategic</w:t>
      </w:r>
      <w:r>
        <w:rPr>
          <w:spacing w:val="-1"/>
          <w:sz w:val="20"/>
        </w:rPr>
        <w:t> </w:t>
      </w:r>
      <w:r>
        <w:rPr>
          <w:sz w:val="20"/>
        </w:rPr>
        <w:t>functions</w:t>
      </w:r>
      <w:r>
        <w:rPr>
          <w:spacing w:val="-4"/>
          <w:sz w:val="20"/>
        </w:rPr>
        <w:t> </w:t>
      </w:r>
      <w:r>
        <w:rPr>
          <w:sz w:val="20"/>
        </w:rPr>
        <w:t>of</w:t>
      </w:r>
      <w:r>
        <w:rPr>
          <w:spacing w:val="-3"/>
          <w:sz w:val="20"/>
        </w:rPr>
        <w:t> </w:t>
      </w:r>
      <w:r>
        <w:rPr>
          <w:sz w:val="20"/>
        </w:rPr>
        <w:t>the</w:t>
      </w:r>
      <w:r>
        <w:rPr>
          <w:spacing w:val="-1"/>
          <w:sz w:val="20"/>
        </w:rPr>
        <w:t> </w:t>
      </w:r>
      <w:r>
        <w:rPr>
          <w:sz w:val="20"/>
        </w:rPr>
        <w:t>TFV</w:t>
      </w:r>
      <w:r>
        <w:rPr>
          <w:spacing w:val="-4"/>
          <w:sz w:val="20"/>
        </w:rPr>
        <w:t> </w:t>
      </w:r>
      <w:r>
        <w:rPr>
          <w:sz w:val="20"/>
        </w:rPr>
        <w:t>and,</w:t>
      </w:r>
      <w:r>
        <w:rPr>
          <w:spacing w:val="-5"/>
          <w:sz w:val="20"/>
        </w:rPr>
        <w:t> </w:t>
      </w:r>
      <w:r>
        <w:rPr>
          <w:sz w:val="20"/>
        </w:rPr>
        <w:t>as</w:t>
      </w:r>
      <w:r>
        <w:rPr>
          <w:spacing w:val="-4"/>
          <w:sz w:val="20"/>
        </w:rPr>
        <w:t> </w:t>
      </w:r>
      <w:r>
        <w:rPr>
          <w:sz w:val="20"/>
        </w:rPr>
        <w:t>explained</w:t>
      </w:r>
      <w:r>
        <w:rPr>
          <w:spacing w:val="-3"/>
          <w:sz w:val="20"/>
        </w:rPr>
        <w:t> </w:t>
      </w:r>
      <w:r>
        <w:rPr>
          <w:sz w:val="20"/>
        </w:rPr>
        <w:t>above, of</w:t>
      </w:r>
      <w:r>
        <w:rPr>
          <w:spacing w:val="-3"/>
          <w:sz w:val="20"/>
        </w:rPr>
        <w:t> </w:t>
      </w:r>
      <w:r>
        <w:rPr>
          <w:sz w:val="20"/>
        </w:rPr>
        <w:t>the highest priority for the Trust Fund in 2023. Fundraising activities require dedicated expert capacity, which the Fundraising and Visibility Officer will contribute to private and public sector fundraising activities.</w:t>
      </w:r>
    </w:p>
    <w:p>
      <w:pPr>
        <w:pStyle w:val="ListParagraph"/>
        <w:numPr>
          <w:ilvl w:val="0"/>
          <w:numId w:val="4"/>
        </w:numPr>
        <w:tabs>
          <w:tab w:pos="2967" w:val="left" w:leader="none"/>
        </w:tabs>
        <w:spacing w:line="240" w:lineRule="auto" w:before="119" w:after="0"/>
        <w:ind w:left="2246" w:right="2235" w:firstLine="0"/>
        <w:jc w:val="both"/>
        <w:rPr>
          <w:sz w:val="20"/>
        </w:rPr>
      </w:pPr>
      <w:r>
        <w:rPr>
          <w:sz w:val="20"/>
        </w:rPr>
        <w:t>One</w:t>
      </w:r>
      <w:r>
        <w:rPr>
          <w:spacing w:val="80"/>
          <w:sz w:val="20"/>
        </w:rPr>
        <w:t> </w:t>
      </w:r>
      <w:r>
        <w:rPr>
          <w:i/>
          <w:sz w:val="20"/>
        </w:rPr>
        <w:t>Associate</w:t>
      </w:r>
      <w:r>
        <w:rPr>
          <w:i/>
          <w:spacing w:val="80"/>
          <w:sz w:val="20"/>
        </w:rPr>
        <w:t> </w:t>
      </w:r>
      <w:r>
        <w:rPr>
          <w:i/>
          <w:sz w:val="20"/>
        </w:rPr>
        <w:t>Partnership</w:t>
      </w:r>
      <w:r>
        <w:rPr>
          <w:i/>
          <w:spacing w:val="80"/>
          <w:sz w:val="20"/>
        </w:rPr>
        <w:t> </w:t>
      </w:r>
      <w:r>
        <w:rPr>
          <w:i/>
          <w:sz w:val="20"/>
        </w:rPr>
        <w:t>Development</w:t>
      </w:r>
      <w:r>
        <w:rPr>
          <w:i/>
          <w:spacing w:val="80"/>
          <w:sz w:val="20"/>
        </w:rPr>
        <w:t> </w:t>
      </w:r>
      <w:r>
        <w:rPr>
          <w:i/>
          <w:sz w:val="20"/>
        </w:rPr>
        <w:t>and</w:t>
      </w:r>
      <w:r>
        <w:rPr>
          <w:i/>
          <w:spacing w:val="80"/>
          <w:sz w:val="20"/>
        </w:rPr>
        <w:t> </w:t>
      </w:r>
      <w:r>
        <w:rPr>
          <w:i/>
          <w:sz w:val="20"/>
        </w:rPr>
        <w:t>Procurement</w:t>
      </w:r>
      <w:r>
        <w:rPr>
          <w:i/>
          <w:spacing w:val="80"/>
          <w:sz w:val="20"/>
        </w:rPr>
        <w:t> </w:t>
      </w:r>
      <w:r>
        <w:rPr>
          <w:i/>
          <w:sz w:val="20"/>
        </w:rPr>
        <w:t>Officer</w:t>
      </w:r>
      <w:r>
        <w:rPr>
          <w:i/>
          <w:spacing w:val="80"/>
          <w:sz w:val="20"/>
        </w:rPr>
        <w:t> </w:t>
      </w:r>
      <w:r>
        <w:rPr>
          <w:i/>
          <w:sz w:val="20"/>
        </w:rPr>
        <w:t>(P-2),</w:t>
      </w:r>
      <w:r>
        <w:rPr>
          <w:i/>
          <w:spacing w:val="80"/>
          <w:sz w:val="20"/>
        </w:rPr>
        <w:t> </w:t>
      </w:r>
      <w:r>
        <w:rPr>
          <w:i/>
          <w:sz w:val="20"/>
        </w:rPr>
        <w:t>12</w:t>
      </w:r>
      <w:r>
        <w:rPr>
          <w:i/>
          <w:spacing w:val="-2"/>
          <w:sz w:val="20"/>
        </w:rPr>
        <w:t> </w:t>
      </w:r>
      <w:r>
        <w:rPr>
          <w:i/>
          <w:sz w:val="20"/>
        </w:rPr>
        <w:t>months.</w:t>
      </w:r>
      <w:r>
        <w:rPr>
          <w:i/>
          <w:spacing w:val="-12"/>
          <w:sz w:val="20"/>
        </w:rPr>
        <w:t> </w:t>
      </w:r>
      <w:r>
        <w:rPr>
          <w:i/>
          <w:sz w:val="20"/>
        </w:rPr>
        <w:t>Continued.</w:t>
      </w:r>
      <w:r>
        <w:rPr>
          <w:i/>
          <w:spacing w:val="-12"/>
          <w:sz w:val="20"/>
        </w:rPr>
        <w:t> </w:t>
      </w:r>
      <w:r>
        <w:rPr>
          <w:i/>
          <w:sz w:val="20"/>
        </w:rPr>
        <w:t>Multi-year.</w:t>
      </w:r>
      <w:r>
        <w:rPr>
          <w:i/>
          <w:spacing w:val="-11"/>
          <w:sz w:val="20"/>
        </w:rPr>
        <w:t> </w:t>
      </w:r>
      <w:r>
        <w:rPr>
          <w:sz w:val="20"/>
        </w:rPr>
        <w:t>The</w:t>
      </w:r>
      <w:r>
        <w:rPr>
          <w:spacing w:val="-8"/>
          <w:sz w:val="20"/>
        </w:rPr>
        <w:t> </w:t>
      </w:r>
      <w:r>
        <w:rPr>
          <w:sz w:val="20"/>
        </w:rPr>
        <w:t>incumbent</w:t>
      </w:r>
      <w:r>
        <w:rPr>
          <w:spacing w:val="-13"/>
          <w:sz w:val="20"/>
        </w:rPr>
        <w:t> </w:t>
      </w:r>
      <w:r>
        <w:rPr>
          <w:sz w:val="20"/>
        </w:rPr>
        <w:t>ensures</w:t>
      </w:r>
      <w:r>
        <w:rPr>
          <w:spacing w:val="-10"/>
          <w:sz w:val="20"/>
        </w:rPr>
        <w:t> </w:t>
      </w:r>
      <w:r>
        <w:rPr>
          <w:sz w:val="20"/>
        </w:rPr>
        <w:t>the</w:t>
      </w:r>
      <w:r>
        <w:rPr>
          <w:spacing w:val="-8"/>
          <w:sz w:val="20"/>
        </w:rPr>
        <w:t> </w:t>
      </w:r>
      <w:r>
        <w:rPr>
          <w:sz w:val="20"/>
        </w:rPr>
        <w:t>smooth</w:t>
      </w:r>
      <w:r>
        <w:rPr>
          <w:spacing w:val="-13"/>
          <w:sz w:val="20"/>
        </w:rPr>
        <w:t> </w:t>
      </w:r>
      <w:r>
        <w:rPr>
          <w:sz w:val="20"/>
        </w:rPr>
        <w:t>conduct</w:t>
      </w:r>
      <w:r>
        <w:rPr>
          <w:spacing w:val="-7"/>
          <w:sz w:val="20"/>
        </w:rPr>
        <w:t> </w:t>
      </w:r>
      <w:r>
        <w:rPr>
          <w:sz w:val="20"/>
        </w:rPr>
        <w:t>of</w:t>
      </w:r>
      <w:r>
        <w:rPr>
          <w:spacing w:val="-13"/>
          <w:sz w:val="20"/>
        </w:rPr>
        <w:t> </w:t>
      </w:r>
      <w:r>
        <w:rPr>
          <w:sz w:val="20"/>
        </w:rPr>
        <w:t>all</w:t>
      </w:r>
      <w:r>
        <w:rPr>
          <w:spacing w:val="-7"/>
          <w:sz w:val="20"/>
        </w:rPr>
        <w:t> </w:t>
      </w:r>
      <w:r>
        <w:rPr>
          <w:sz w:val="20"/>
        </w:rPr>
        <w:t>ongoing procurement processes and coordination with the Registry’s Procurement Unit, which is essential for the</w:t>
      </w:r>
      <w:r>
        <w:rPr>
          <w:spacing w:val="-1"/>
          <w:sz w:val="20"/>
        </w:rPr>
        <w:t> </w:t>
      </w:r>
      <w:r>
        <w:rPr>
          <w:sz w:val="20"/>
        </w:rPr>
        <w:t>expeditious implementation of reparations orders. The incumbent assists in the development of partnerships with international organizations and NGOs for the implementation of</w:t>
      </w:r>
      <w:r>
        <w:rPr>
          <w:spacing w:val="-3"/>
          <w:sz w:val="20"/>
        </w:rPr>
        <w:t> </w:t>
      </w:r>
      <w:r>
        <w:rPr>
          <w:sz w:val="20"/>
        </w:rPr>
        <w:t>reparations awards</w:t>
      </w:r>
      <w:r>
        <w:rPr>
          <w:spacing w:val="-4"/>
          <w:sz w:val="20"/>
        </w:rPr>
        <w:t> </w:t>
      </w:r>
      <w:r>
        <w:rPr>
          <w:sz w:val="20"/>
        </w:rPr>
        <w:t>and</w:t>
      </w:r>
      <w:r>
        <w:rPr>
          <w:spacing w:val="-3"/>
          <w:sz w:val="20"/>
        </w:rPr>
        <w:t> </w:t>
      </w:r>
      <w:r>
        <w:rPr>
          <w:sz w:val="20"/>
        </w:rPr>
        <w:t>the conduct</w:t>
      </w:r>
      <w:r>
        <w:rPr>
          <w:spacing w:val="-1"/>
          <w:sz w:val="20"/>
        </w:rPr>
        <w:t> </w:t>
      </w:r>
      <w:r>
        <w:rPr>
          <w:sz w:val="20"/>
        </w:rPr>
        <w:t>of</w:t>
      </w:r>
      <w:r>
        <w:rPr>
          <w:spacing w:val="-3"/>
          <w:sz w:val="20"/>
        </w:rPr>
        <w:t> </w:t>
      </w:r>
      <w:r>
        <w:rPr>
          <w:sz w:val="20"/>
        </w:rPr>
        <w:t>assistance</w:t>
      </w:r>
      <w:r>
        <w:rPr>
          <w:spacing w:val="-1"/>
          <w:sz w:val="20"/>
        </w:rPr>
        <w:t> </w:t>
      </w:r>
      <w:r>
        <w:rPr>
          <w:sz w:val="20"/>
        </w:rPr>
        <w:t>programmes to</w:t>
      </w:r>
      <w:r>
        <w:rPr>
          <w:spacing w:val="-3"/>
          <w:sz w:val="20"/>
        </w:rPr>
        <w:t> </w:t>
      </w:r>
      <w:r>
        <w:rPr>
          <w:sz w:val="20"/>
        </w:rPr>
        <w:t>broaden the</w:t>
      </w:r>
      <w:r>
        <w:rPr>
          <w:spacing w:val="-12"/>
          <w:sz w:val="20"/>
        </w:rPr>
        <w:t> </w:t>
      </w:r>
      <w:r>
        <w:rPr>
          <w:sz w:val="20"/>
        </w:rPr>
        <w:t>impact</w:t>
      </w:r>
      <w:r>
        <w:rPr>
          <w:spacing w:val="-7"/>
          <w:sz w:val="20"/>
        </w:rPr>
        <w:t> </w:t>
      </w:r>
      <w:r>
        <w:rPr>
          <w:sz w:val="20"/>
        </w:rPr>
        <w:t>of</w:t>
      </w:r>
      <w:r>
        <w:rPr>
          <w:spacing w:val="-13"/>
          <w:sz w:val="20"/>
        </w:rPr>
        <w:t> </w:t>
      </w:r>
      <w:r>
        <w:rPr>
          <w:sz w:val="20"/>
        </w:rPr>
        <w:t>reparations</w:t>
      </w:r>
      <w:r>
        <w:rPr>
          <w:spacing w:val="-9"/>
          <w:sz w:val="20"/>
        </w:rPr>
        <w:t> </w:t>
      </w:r>
      <w:r>
        <w:rPr>
          <w:sz w:val="20"/>
        </w:rPr>
        <w:t>for</w:t>
      </w:r>
      <w:r>
        <w:rPr>
          <w:spacing w:val="-13"/>
          <w:sz w:val="20"/>
        </w:rPr>
        <w:t> </w:t>
      </w:r>
      <w:r>
        <w:rPr>
          <w:sz w:val="20"/>
        </w:rPr>
        <w:t>victims.</w:t>
      </w:r>
      <w:r>
        <w:rPr>
          <w:spacing w:val="-10"/>
          <w:sz w:val="20"/>
        </w:rPr>
        <w:t> </w:t>
      </w:r>
      <w:r>
        <w:rPr>
          <w:sz w:val="20"/>
        </w:rPr>
        <w:t>This</w:t>
      </w:r>
      <w:r>
        <w:rPr>
          <w:spacing w:val="-10"/>
          <w:sz w:val="20"/>
        </w:rPr>
        <w:t> </w:t>
      </w:r>
      <w:r>
        <w:rPr>
          <w:sz w:val="20"/>
        </w:rPr>
        <w:t>includes</w:t>
      </w:r>
      <w:r>
        <w:rPr>
          <w:spacing w:val="-10"/>
          <w:sz w:val="20"/>
        </w:rPr>
        <w:t> </w:t>
      </w:r>
      <w:r>
        <w:rPr>
          <w:sz w:val="20"/>
        </w:rPr>
        <w:t>ensuring,</w:t>
      </w:r>
      <w:r>
        <w:rPr>
          <w:spacing w:val="-11"/>
          <w:sz w:val="20"/>
        </w:rPr>
        <w:t> </w:t>
      </w:r>
      <w:r>
        <w:rPr>
          <w:sz w:val="20"/>
        </w:rPr>
        <w:t>together</w:t>
      </w:r>
      <w:r>
        <w:rPr>
          <w:spacing w:val="-8"/>
          <w:sz w:val="20"/>
        </w:rPr>
        <w:t> </w:t>
      </w:r>
      <w:r>
        <w:rPr>
          <w:sz w:val="20"/>
        </w:rPr>
        <w:t>with</w:t>
      </w:r>
      <w:r>
        <w:rPr>
          <w:spacing w:val="-13"/>
          <w:sz w:val="20"/>
        </w:rPr>
        <w:t> </w:t>
      </w:r>
      <w:r>
        <w:rPr>
          <w:sz w:val="20"/>
        </w:rPr>
        <w:t>the</w:t>
      </w:r>
      <w:r>
        <w:rPr>
          <w:spacing w:val="-6"/>
          <w:sz w:val="20"/>
        </w:rPr>
        <w:t> </w:t>
      </w:r>
      <w:r>
        <w:rPr>
          <w:sz w:val="20"/>
        </w:rPr>
        <w:t>Legal</w:t>
      </w:r>
      <w:r>
        <w:rPr>
          <w:spacing w:val="-7"/>
          <w:sz w:val="20"/>
        </w:rPr>
        <w:t> </w:t>
      </w:r>
      <w:r>
        <w:rPr>
          <w:sz w:val="20"/>
        </w:rPr>
        <w:t>Adviser and the relevant Programme Managers, that regulatory frameworks for partnerships with such</w:t>
      </w:r>
      <w:r>
        <w:rPr>
          <w:spacing w:val="-4"/>
          <w:sz w:val="20"/>
        </w:rPr>
        <w:t> </w:t>
      </w:r>
      <w:r>
        <w:rPr>
          <w:sz w:val="20"/>
        </w:rPr>
        <w:t>organizations</w:t>
      </w:r>
      <w:r>
        <w:rPr>
          <w:spacing w:val="-5"/>
          <w:sz w:val="20"/>
        </w:rPr>
        <w:t> </w:t>
      </w:r>
      <w:r>
        <w:rPr>
          <w:sz w:val="20"/>
        </w:rPr>
        <w:t>are</w:t>
      </w:r>
      <w:r>
        <w:rPr>
          <w:spacing w:val="-7"/>
          <w:sz w:val="20"/>
        </w:rPr>
        <w:t> </w:t>
      </w:r>
      <w:r>
        <w:rPr>
          <w:sz w:val="20"/>
        </w:rPr>
        <w:t>built</w:t>
      </w:r>
      <w:r>
        <w:rPr>
          <w:spacing w:val="-7"/>
          <w:sz w:val="20"/>
        </w:rPr>
        <w:t> </w:t>
      </w:r>
      <w:r>
        <w:rPr>
          <w:sz w:val="20"/>
        </w:rPr>
        <w:t>and</w:t>
      </w:r>
      <w:r>
        <w:rPr>
          <w:spacing w:val="-8"/>
          <w:sz w:val="20"/>
        </w:rPr>
        <w:t> </w:t>
      </w:r>
      <w:r>
        <w:rPr>
          <w:sz w:val="20"/>
        </w:rPr>
        <w:t>maintained.</w:t>
      </w:r>
      <w:r>
        <w:rPr>
          <w:spacing w:val="-6"/>
          <w:sz w:val="20"/>
        </w:rPr>
        <w:t> </w:t>
      </w:r>
      <w:r>
        <w:rPr>
          <w:sz w:val="20"/>
        </w:rPr>
        <w:t>The</w:t>
      </w:r>
      <w:r>
        <w:rPr>
          <w:spacing w:val="-7"/>
          <w:sz w:val="20"/>
        </w:rPr>
        <w:t> </w:t>
      </w:r>
      <w:r>
        <w:rPr>
          <w:sz w:val="20"/>
        </w:rPr>
        <w:t>incumbent</w:t>
      </w:r>
      <w:r>
        <w:rPr>
          <w:spacing w:val="-12"/>
          <w:sz w:val="20"/>
        </w:rPr>
        <w:t> </w:t>
      </w:r>
      <w:r>
        <w:rPr>
          <w:sz w:val="20"/>
        </w:rPr>
        <w:t>will</w:t>
      </w:r>
      <w:r>
        <w:rPr>
          <w:spacing w:val="-7"/>
          <w:sz w:val="20"/>
        </w:rPr>
        <w:t> </w:t>
      </w:r>
      <w:r>
        <w:rPr>
          <w:sz w:val="20"/>
        </w:rPr>
        <w:t>act</w:t>
      </w:r>
      <w:r>
        <w:rPr>
          <w:spacing w:val="-7"/>
          <w:sz w:val="20"/>
        </w:rPr>
        <w:t> </w:t>
      </w:r>
      <w:r>
        <w:rPr>
          <w:sz w:val="20"/>
        </w:rPr>
        <w:t>under</w:t>
      </w:r>
      <w:r>
        <w:rPr>
          <w:spacing w:val="-4"/>
          <w:sz w:val="20"/>
        </w:rPr>
        <w:t> </w:t>
      </w:r>
      <w:r>
        <w:rPr>
          <w:sz w:val="20"/>
        </w:rPr>
        <w:t>the</w:t>
      </w:r>
      <w:r>
        <w:rPr>
          <w:spacing w:val="-2"/>
          <w:sz w:val="20"/>
        </w:rPr>
        <w:t> </w:t>
      </w:r>
      <w:r>
        <w:rPr>
          <w:sz w:val="20"/>
        </w:rPr>
        <w:t>supervision</w:t>
      </w:r>
      <w:r>
        <w:rPr>
          <w:spacing w:val="-8"/>
          <w:sz w:val="20"/>
        </w:rPr>
        <w:t> </w:t>
      </w:r>
      <w:r>
        <w:rPr>
          <w:sz w:val="20"/>
        </w:rPr>
        <w:t>of the Legal Adviser.</w:t>
      </w:r>
    </w:p>
    <w:p>
      <w:pPr>
        <w:pStyle w:val="ListParagraph"/>
        <w:numPr>
          <w:ilvl w:val="0"/>
          <w:numId w:val="4"/>
        </w:numPr>
        <w:tabs>
          <w:tab w:pos="2967" w:val="left" w:leader="none"/>
        </w:tabs>
        <w:spacing w:line="240" w:lineRule="auto" w:before="120" w:after="0"/>
        <w:ind w:left="2246" w:right="2235" w:firstLine="0"/>
        <w:jc w:val="both"/>
        <w:rPr>
          <w:sz w:val="20"/>
        </w:rPr>
      </w:pPr>
      <w:r>
        <w:rPr>
          <w:sz w:val="20"/>
        </w:rPr>
        <w:t>Three </w:t>
      </w:r>
      <w:r>
        <w:rPr>
          <w:i/>
          <w:sz w:val="20"/>
        </w:rPr>
        <w:t>Associate Legal Officers (P-2), 12 months each. Continued. Multi-year.</w:t>
      </w:r>
      <w:r>
        <w:rPr>
          <w:i/>
          <w:sz w:val="20"/>
        </w:rPr>
        <w:t> </w:t>
      </w:r>
      <w:r>
        <w:rPr>
          <w:sz w:val="20"/>
        </w:rPr>
        <w:t>Associate Legal Officers are required to provide research, drafting and reporting capacity throughout the reparations phase and to maintain working relationships with parties and participants in the reparations proceedings, as well as with relevant staff at the Court, including</w:t>
      </w:r>
      <w:r>
        <w:rPr>
          <w:spacing w:val="-13"/>
          <w:sz w:val="20"/>
        </w:rPr>
        <w:t> </w:t>
      </w:r>
      <w:r>
        <w:rPr>
          <w:sz w:val="20"/>
        </w:rPr>
        <w:t>in</w:t>
      </w:r>
      <w:r>
        <w:rPr>
          <w:spacing w:val="-12"/>
          <w:sz w:val="20"/>
        </w:rPr>
        <w:t> </w:t>
      </w:r>
      <w:r>
        <w:rPr>
          <w:sz w:val="20"/>
        </w:rPr>
        <w:t>the</w:t>
      </w:r>
      <w:r>
        <w:rPr>
          <w:spacing w:val="-13"/>
          <w:sz w:val="20"/>
        </w:rPr>
        <w:t> </w:t>
      </w:r>
      <w:r>
        <w:rPr>
          <w:sz w:val="20"/>
        </w:rPr>
        <w:t>Judiciary</w:t>
      </w:r>
      <w:r>
        <w:rPr>
          <w:spacing w:val="-12"/>
          <w:sz w:val="20"/>
        </w:rPr>
        <w:t> </w:t>
      </w:r>
      <w:r>
        <w:rPr>
          <w:sz w:val="20"/>
        </w:rPr>
        <w:t>and</w:t>
      </w:r>
      <w:r>
        <w:rPr>
          <w:spacing w:val="-13"/>
          <w:sz w:val="20"/>
        </w:rPr>
        <w:t> </w:t>
      </w:r>
      <w:r>
        <w:rPr>
          <w:sz w:val="20"/>
        </w:rPr>
        <w:t>the</w:t>
      </w:r>
      <w:r>
        <w:rPr>
          <w:spacing w:val="-11"/>
          <w:sz w:val="20"/>
        </w:rPr>
        <w:t> </w:t>
      </w:r>
      <w:r>
        <w:rPr>
          <w:sz w:val="20"/>
        </w:rPr>
        <w:t>Registry.</w:t>
      </w:r>
      <w:r>
        <w:rPr>
          <w:spacing w:val="-11"/>
          <w:sz w:val="20"/>
        </w:rPr>
        <w:t> </w:t>
      </w:r>
      <w:r>
        <w:rPr>
          <w:sz w:val="20"/>
        </w:rPr>
        <w:t>The</w:t>
      </w:r>
      <w:r>
        <w:rPr>
          <w:spacing w:val="-12"/>
          <w:sz w:val="20"/>
        </w:rPr>
        <w:t> </w:t>
      </w:r>
      <w:r>
        <w:rPr>
          <w:sz w:val="20"/>
        </w:rPr>
        <w:t>incumbents’</w:t>
      </w:r>
      <w:r>
        <w:rPr>
          <w:spacing w:val="-8"/>
          <w:sz w:val="20"/>
        </w:rPr>
        <w:t> </w:t>
      </w:r>
      <w:r>
        <w:rPr>
          <w:sz w:val="20"/>
        </w:rPr>
        <w:t>assignments</w:t>
      </w:r>
      <w:r>
        <w:rPr>
          <w:spacing w:val="-10"/>
          <w:sz w:val="20"/>
        </w:rPr>
        <w:t> </w:t>
      </w:r>
      <w:r>
        <w:rPr>
          <w:sz w:val="20"/>
        </w:rPr>
        <w:t>will</w:t>
      </w:r>
      <w:r>
        <w:rPr>
          <w:spacing w:val="-7"/>
          <w:sz w:val="20"/>
        </w:rPr>
        <w:t> </w:t>
      </w:r>
      <w:r>
        <w:rPr>
          <w:sz w:val="20"/>
        </w:rPr>
        <w:t>be</w:t>
      </w:r>
      <w:r>
        <w:rPr>
          <w:spacing w:val="-12"/>
          <w:sz w:val="20"/>
        </w:rPr>
        <w:t> </w:t>
      </w:r>
      <w:r>
        <w:rPr>
          <w:sz w:val="20"/>
        </w:rPr>
        <w:t>case-related on the basis of ongoing reparations proceedings, i.e. </w:t>
      </w:r>
      <w:r>
        <w:rPr>
          <w:i/>
          <w:sz w:val="20"/>
        </w:rPr>
        <w:t>Lubanga, Al Mahdi, Ntaganda </w:t>
      </w:r>
      <w:r>
        <w:rPr>
          <w:sz w:val="20"/>
        </w:rPr>
        <w:t>and </w:t>
      </w:r>
      <w:r>
        <w:rPr>
          <w:i/>
          <w:sz w:val="20"/>
        </w:rPr>
        <w:t>Ongwen</w:t>
      </w:r>
      <w:r>
        <w:rPr>
          <w:sz w:val="20"/>
        </w:rPr>
        <w:t>. They will specifically include conducting research for and drafting TFV legal filings and reports; implementing victim identification and verification processes, which includes training field-based staff; handling the administration of the TFV’s victim identification and verification process, for example by managing victim files; engaging in reparations-related working relationships with stakeholders inside and outside of the Court; and supporting the Board’s decision-making on</w:t>
      </w:r>
      <w:r>
        <w:rPr>
          <w:spacing w:val="-4"/>
          <w:sz w:val="20"/>
        </w:rPr>
        <w:t> </w:t>
      </w:r>
      <w:r>
        <w:rPr>
          <w:sz w:val="20"/>
        </w:rPr>
        <w:t>eligibility</w:t>
      </w:r>
      <w:r>
        <w:rPr>
          <w:spacing w:val="-4"/>
          <w:sz w:val="20"/>
        </w:rPr>
        <w:t> </w:t>
      </w:r>
      <w:r>
        <w:rPr>
          <w:sz w:val="20"/>
        </w:rPr>
        <w:t>and subsequent reporting</w:t>
      </w:r>
      <w:r>
        <w:rPr>
          <w:spacing w:val="-4"/>
          <w:sz w:val="20"/>
        </w:rPr>
        <w:t> </w:t>
      </w:r>
      <w:r>
        <w:rPr>
          <w:sz w:val="20"/>
        </w:rPr>
        <w:t>to Trial Chambers.</w:t>
      </w:r>
      <w:r>
        <w:rPr>
          <w:spacing w:val="-2"/>
          <w:sz w:val="20"/>
        </w:rPr>
        <w:t> </w:t>
      </w:r>
      <w:r>
        <w:rPr>
          <w:sz w:val="20"/>
        </w:rPr>
        <w:t>Further</w:t>
      </w:r>
      <w:r>
        <w:rPr>
          <w:spacing w:val="-3"/>
          <w:sz w:val="20"/>
        </w:rPr>
        <w:t> </w:t>
      </w:r>
      <w:r>
        <w:rPr>
          <w:sz w:val="20"/>
        </w:rPr>
        <w:t>responsibilities</w:t>
      </w:r>
      <w:r>
        <w:rPr>
          <w:spacing w:val="-9"/>
          <w:sz w:val="20"/>
        </w:rPr>
        <w:t> </w:t>
      </w:r>
      <w:r>
        <w:rPr>
          <w:sz w:val="20"/>
        </w:rPr>
        <w:t>include</w:t>
      </w:r>
      <w:r>
        <w:rPr>
          <w:spacing w:val="-6"/>
          <w:sz w:val="20"/>
        </w:rPr>
        <w:t> </w:t>
      </w:r>
      <w:r>
        <w:rPr>
          <w:sz w:val="20"/>
        </w:rPr>
        <w:t>monitoring</w:t>
      </w:r>
      <w:r>
        <w:rPr>
          <w:spacing w:val="-7"/>
          <w:sz w:val="20"/>
        </w:rPr>
        <w:t> </w:t>
      </w:r>
      <w:r>
        <w:rPr>
          <w:sz w:val="20"/>
        </w:rPr>
        <w:t>cases</w:t>
      </w:r>
      <w:r>
        <w:rPr>
          <w:spacing w:val="-13"/>
          <w:sz w:val="20"/>
        </w:rPr>
        <w:t> </w:t>
      </w:r>
      <w:r>
        <w:rPr>
          <w:sz w:val="20"/>
        </w:rPr>
        <w:t>at</w:t>
      </w:r>
      <w:r>
        <w:rPr>
          <w:spacing w:val="-6"/>
          <w:sz w:val="20"/>
        </w:rPr>
        <w:t> </w:t>
      </w:r>
      <w:r>
        <w:rPr>
          <w:sz w:val="20"/>
        </w:rPr>
        <w:t>the</w:t>
      </w:r>
      <w:r>
        <w:rPr>
          <w:spacing w:val="-6"/>
          <w:sz w:val="20"/>
        </w:rPr>
        <w:t> </w:t>
      </w:r>
      <w:r>
        <w:rPr>
          <w:sz w:val="20"/>
        </w:rPr>
        <w:t>trial</w:t>
      </w:r>
      <w:r>
        <w:rPr>
          <w:spacing w:val="-6"/>
          <w:sz w:val="20"/>
        </w:rPr>
        <w:t> </w:t>
      </w:r>
      <w:r>
        <w:rPr>
          <w:sz w:val="20"/>
        </w:rPr>
        <w:t>stage</w:t>
      </w:r>
      <w:r>
        <w:rPr>
          <w:spacing w:val="-6"/>
          <w:sz w:val="20"/>
        </w:rPr>
        <w:t> </w:t>
      </w:r>
      <w:r>
        <w:rPr>
          <w:sz w:val="20"/>
        </w:rPr>
        <w:t>so</w:t>
      </w:r>
      <w:r>
        <w:rPr>
          <w:spacing w:val="-7"/>
          <w:sz w:val="20"/>
        </w:rPr>
        <w:t> </w:t>
      </w:r>
      <w:r>
        <w:rPr>
          <w:sz w:val="20"/>
        </w:rPr>
        <w:t>that</w:t>
      </w:r>
      <w:r>
        <w:rPr>
          <w:spacing w:val="-6"/>
          <w:sz w:val="20"/>
        </w:rPr>
        <w:t> </w:t>
      </w:r>
      <w:r>
        <w:rPr>
          <w:sz w:val="20"/>
        </w:rPr>
        <w:t>the</w:t>
      </w:r>
      <w:r>
        <w:rPr>
          <w:spacing w:val="-10"/>
          <w:sz w:val="20"/>
        </w:rPr>
        <w:t> </w:t>
      </w:r>
      <w:r>
        <w:rPr>
          <w:sz w:val="20"/>
        </w:rPr>
        <w:t>TFV can be properly informed and positioned at the outset of the reparations phase. Since 2020, the</w:t>
      </w:r>
      <w:r>
        <w:rPr>
          <w:spacing w:val="-7"/>
          <w:sz w:val="20"/>
        </w:rPr>
        <w:t> </w:t>
      </w:r>
      <w:r>
        <w:rPr>
          <w:sz w:val="20"/>
        </w:rPr>
        <w:t>legal</w:t>
      </w:r>
      <w:r>
        <w:rPr>
          <w:spacing w:val="-2"/>
          <w:sz w:val="20"/>
        </w:rPr>
        <w:t> </w:t>
      </w:r>
      <w:r>
        <w:rPr>
          <w:sz w:val="20"/>
        </w:rPr>
        <w:t>team</w:t>
      </w:r>
      <w:r>
        <w:rPr>
          <w:spacing w:val="-7"/>
          <w:sz w:val="20"/>
        </w:rPr>
        <w:t> </w:t>
      </w:r>
      <w:r>
        <w:rPr>
          <w:sz w:val="20"/>
        </w:rPr>
        <w:t>has</w:t>
      </w:r>
      <w:r>
        <w:rPr>
          <w:spacing w:val="-5"/>
          <w:sz w:val="20"/>
        </w:rPr>
        <w:t> </w:t>
      </w:r>
      <w:r>
        <w:rPr>
          <w:sz w:val="20"/>
        </w:rPr>
        <w:t>been</w:t>
      </w:r>
      <w:r>
        <w:rPr>
          <w:spacing w:val="-4"/>
          <w:sz w:val="20"/>
        </w:rPr>
        <w:t> </w:t>
      </w:r>
      <w:r>
        <w:rPr>
          <w:sz w:val="20"/>
        </w:rPr>
        <w:t>supported</w:t>
      </w:r>
      <w:r>
        <w:rPr>
          <w:spacing w:val="-4"/>
          <w:sz w:val="20"/>
        </w:rPr>
        <w:t> </w:t>
      </w:r>
      <w:r>
        <w:rPr>
          <w:sz w:val="20"/>
        </w:rPr>
        <w:t>by</w:t>
      </w:r>
      <w:r>
        <w:rPr>
          <w:spacing w:val="-8"/>
          <w:sz w:val="20"/>
        </w:rPr>
        <w:t> </w:t>
      </w:r>
      <w:r>
        <w:rPr>
          <w:sz w:val="20"/>
        </w:rPr>
        <w:t>STA</w:t>
      </w:r>
      <w:r>
        <w:rPr>
          <w:spacing w:val="-10"/>
          <w:sz w:val="20"/>
        </w:rPr>
        <w:t> </w:t>
      </w:r>
      <w:r>
        <w:rPr>
          <w:sz w:val="20"/>
        </w:rPr>
        <w:t>positions</w:t>
      </w:r>
      <w:r>
        <w:rPr>
          <w:spacing w:val="-10"/>
          <w:sz w:val="20"/>
        </w:rPr>
        <w:t> </w:t>
      </w:r>
      <w:r>
        <w:rPr>
          <w:sz w:val="20"/>
        </w:rPr>
        <w:t>that</w:t>
      </w:r>
      <w:r>
        <w:rPr>
          <w:spacing w:val="-7"/>
          <w:sz w:val="20"/>
        </w:rPr>
        <w:t> </w:t>
      </w:r>
      <w:r>
        <w:rPr>
          <w:sz w:val="20"/>
        </w:rPr>
        <w:t>make</w:t>
      </w:r>
      <w:r>
        <w:rPr>
          <w:spacing w:val="-2"/>
          <w:sz w:val="20"/>
        </w:rPr>
        <w:t> </w:t>
      </w:r>
      <w:r>
        <w:rPr>
          <w:sz w:val="20"/>
        </w:rPr>
        <w:t>it</w:t>
      </w:r>
      <w:r>
        <w:rPr>
          <w:spacing w:val="-2"/>
          <w:sz w:val="20"/>
        </w:rPr>
        <w:t> </w:t>
      </w:r>
      <w:r>
        <w:rPr>
          <w:sz w:val="20"/>
        </w:rPr>
        <w:t>possible</w:t>
      </w:r>
      <w:r>
        <w:rPr>
          <w:spacing w:val="-2"/>
          <w:sz w:val="20"/>
        </w:rPr>
        <w:t> </w:t>
      </w:r>
      <w:r>
        <w:rPr>
          <w:sz w:val="20"/>
        </w:rPr>
        <w:t>for</w:t>
      </w:r>
      <w:r>
        <w:rPr>
          <w:spacing w:val="-8"/>
          <w:sz w:val="20"/>
        </w:rPr>
        <w:t> </w:t>
      </w:r>
      <w:r>
        <w:rPr>
          <w:sz w:val="20"/>
        </w:rPr>
        <w:t>each</w:t>
      </w:r>
      <w:r>
        <w:rPr>
          <w:spacing w:val="-8"/>
          <w:sz w:val="20"/>
        </w:rPr>
        <w:t> </w:t>
      </w:r>
      <w:r>
        <w:rPr>
          <w:sz w:val="20"/>
        </w:rPr>
        <w:t>legal</w:t>
      </w:r>
      <w:r>
        <w:rPr>
          <w:spacing w:val="-7"/>
          <w:sz w:val="20"/>
        </w:rPr>
        <w:t> </w:t>
      </w:r>
      <w:r>
        <w:rPr>
          <w:sz w:val="20"/>
        </w:rPr>
        <w:t>team member</w:t>
      </w:r>
      <w:r>
        <w:rPr>
          <w:spacing w:val="17"/>
          <w:sz w:val="20"/>
        </w:rPr>
        <w:t> </w:t>
      </w:r>
      <w:r>
        <w:rPr>
          <w:sz w:val="20"/>
        </w:rPr>
        <w:t>to focus on a maximum of</w:t>
      </w:r>
      <w:r>
        <w:rPr>
          <w:spacing w:val="17"/>
          <w:sz w:val="20"/>
        </w:rPr>
        <w:t> </w:t>
      </w:r>
      <w:r>
        <w:rPr>
          <w:sz w:val="20"/>
        </w:rPr>
        <w:t>two cases. Considering the high reparations workload</w:t>
      </w:r>
      <w:r>
        <w:rPr>
          <w:spacing w:val="40"/>
          <w:sz w:val="20"/>
        </w:rPr>
        <w:t> </w:t>
      </w:r>
      <w:r>
        <w:rPr>
          <w:sz w:val="20"/>
        </w:rPr>
        <w:t>in 2023 and the required policy drafting work, the continuation of three Associate Legal Officer</w:t>
      </w:r>
      <w:r>
        <w:rPr>
          <w:spacing w:val="-13"/>
          <w:sz w:val="20"/>
        </w:rPr>
        <w:t> </w:t>
      </w:r>
      <w:r>
        <w:rPr>
          <w:sz w:val="20"/>
        </w:rPr>
        <w:t>positions</w:t>
      </w:r>
      <w:r>
        <w:rPr>
          <w:spacing w:val="-12"/>
          <w:sz w:val="20"/>
        </w:rPr>
        <w:t> </w:t>
      </w:r>
      <w:r>
        <w:rPr>
          <w:sz w:val="20"/>
        </w:rPr>
        <w:t>is</w:t>
      </w:r>
      <w:r>
        <w:rPr>
          <w:spacing w:val="-13"/>
          <w:sz w:val="20"/>
        </w:rPr>
        <w:t> </w:t>
      </w:r>
      <w:r>
        <w:rPr>
          <w:sz w:val="20"/>
        </w:rPr>
        <w:t>requested</w:t>
      </w:r>
      <w:r>
        <w:rPr>
          <w:spacing w:val="-12"/>
          <w:sz w:val="20"/>
        </w:rPr>
        <w:t> </w:t>
      </w:r>
      <w:r>
        <w:rPr>
          <w:sz w:val="20"/>
        </w:rPr>
        <w:t>in</w:t>
      </w:r>
      <w:r>
        <w:rPr>
          <w:spacing w:val="-9"/>
          <w:sz w:val="20"/>
        </w:rPr>
        <w:t> </w:t>
      </w:r>
      <w:r>
        <w:rPr>
          <w:sz w:val="20"/>
        </w:rPr>
        <w:t>order</w:t>
      </w:r>
      <w:r>
        <w:rPr>
          <w:spacing w:val="-13"/>
          <w:sz w:val="20"/>
        </w:rPr>
        <w:t> </w:t>
      </w:r>
      <w:r>
        <w:rPr>
          <w:sz w:val="20"/>
        </w:rPr>
        <w:t>to</w:t>
      </w:r>
      <w:r>
        <w:rPr>
          <w:spacing w:val="-12"/>
          <w:sz w:val="20"/>
        </w:rPr>
        <w:t> </w:t>
      </w:r>
      <w:r>
        <w:rPr>
          <w:sz w:val="20"/>
        </w:rPr>
        <w:t>meet</w:t>
      </w:r>
      <w:r>
        <w:rPr>
          <w:spacing w:val="-8"/>
          <w:sz w:val="20"/>
        </w:rPr>
        <w:t> </w:t>
      </w:r>
      <w:r>
        <w:rPr>
          <w:sz w:val="20"/>
        </w:rPr>
        <w:t>judicial</w:t>
      </w:r>
      <w:r>
        <w:rPr>
          <w:spacing w:val="-8"/>
          <w:sz w:val="20"/>
        </w:rPr>
        <w:t> </w:t>
      </w:r>
      <w:r>
        <w:rPr>
          <w:sz w:val="20"/>
        </w:rPr>
        <w:t>deadlines,</w:t>
      </w:r>
      <w:r>
        <w:rPr>
          <w:spacing w:val="-7"/>
          <w:sz w:val="20"/>
        </w:rPr>
        <w:t> </w:t>
      </w:r>
      <w:r>
        <w:rPr>
          <w:sz w:val="20"/>
        </w:rPr>
        <w:t>provide</w:t>
      </w:r>
      <w:r>
        <w:rPr>
          <w:spacing w:val="-8"/>
          <w:sz w:val="20"/>
        </w:rPr>
        <w:t> </w:t>
      </w:r>
      <w:r>
        <w:rPr>
          <w:sz w:val="20"/>
        </w:rPr>
        <w:t>quality</w:t>
      </w:r>
      <w:r>
        <w:rPr>
          <w:spacing w:val="-9"/>
          <w:sz w:val="20"/>
        </w:rPr>
        <w:t> </w:t>
      </w:r>
      <w:r>
        <w:rPr>
          <w:sz w:val="20"/>
        </w:rPr>
        <w:t>submissions and implement the identification and eligibility screening required to determine beneficiary groups. The Associate Legal Officers report to the Legal Adviser.</w:t>
      </w:r>
    </w:p>
    <w:p>
      <w:pPr>
        <w:pStyle w:val="ListParagraph"/>
        <w:numPr>
          <w:ilvl w:val="0"/>
          <w:numId w:val="4"/>
        </w:numPr>
        <w:tabs>
          <w:tab w:pos="2967" w:val="left" w:leader="none"/>
        </w:tabs>
        <w:spacing w:line="240" w:lineRule="auto" w:before="120" w:after="0"/>
        <w:ind w:left="2246" w:right="2238" w:firstLine="0"/>
        <w:jc w:val="both"/>
        <w:rPr>
          <w:sz w:val="20"/>
        </w:rPr>
      </w:pPr>
      <w:r>
        <w:rPr>
          <w:sz w:val="20"/>
        </w:rPr>
        <w:t>One</w:t>
      </w:r>
      <w:r>
        <w:rPr>
          <w:spacing w:val="40"/>
          <w:sz w:val="20"/>
        </w:rPr>
        <w:t> </w:t>
      </w:r>
      <w:r>
        <w:rPr>
          <w:i/>
          <w:sz w:val="20"/>
        </w:rPr>
        <w:t>Monitoring</w:t>
      </w:r>
      <w:r>
        <w:rPr>
          <w:i/>
          <w:spacing w:val="40"/>
          <w:sz w:val="20"/>
        </w:rPr>
        <w:t> </w:t>
      </w:r>
      <w:r>
        <w:rPr>
          <w:i/>
          <w:sz w:val="20"/>
        </w:rPr>
        <w:t>and</w:t>
      </w:r>
      <w:r>
        <w:rPr>
          <w:i/>
          <w:spacing w:val="40"/>
          <w:sz w:val="20"/>
        </w:rPr>
        <w:t> </w:t>
      </w:r>
      <w:r>
        <w:rPr>
          <w:i/>
          <w:sz w:val="20"/>
        </w:rPr>
        <w:t>Evaluation</w:t>
      </w:r>
      <w:r>
        <w:rPr>
          <w:i/>
          <w:spacing w:val="40"/>
          <w:sz w:val="20"/>
        </w:rPr>
        <w:t> </w:t>
      </w:r>
      <w:r>
        <w:rPr>
          <w:i/>
          <w:sz w:val="20"/>
        </w:rPr>
        <w:t>Assistant</w:t>
      </w:r>
      <w:r>
        <w:rPr>
          <w:i/>
          <w:spacing w:val="40"/>
          <w:sz w:val="20"/>
        </w:rPr>
        <w:t> </w:t>
      </w:r>
      <w:r>
        <w:rPr>
          <w:i/>
          <w:sz w:val="20"/>
        </w:rPr>
        <w:t>(GS-OL),</w:t>
      </w:r>
      <w:r>
        <w:rPr>
          <w:i/>
          <w:spacing w:val="40"/>
          <w:sz w:val="20"/>
        </w:rPr>
        <w:t> </w:t>
      </w:r>
      <w:r>
        <w:rPr>
          <w:i/>
          <w:sz w:val="20"/>
        </w:rPr>
        <w:t>12</w:t>
      </w:r>
      <w:r>
        <w:rPr>
          <w:i/>
          <w:spacing w:val="40"/>
          <w:sz w:val="20"/>
        </w:rPr>
        <w:t> </w:t>
      </w:r>
      <w:r>
        <w:rPr>
          <w:i/>
          <w:sz w:val="20"/>
        </w:rPr>
        <w:t>months.</w:t>
      </w:r>
      <w:r>
        <w:rPr>
          <w:i/>
          <w:spacing w:val="40"/>
          <w:sz w:val="20"/>
        </w:rPr>
        <w:t> </w:t>
      </w:r>
      <w:r>
        <w:rPr>
          <w:i/>
          <w:sz w:val="20"/>
        </w:rPr>
        <w:t>Continued.</w:t>
      </w:r>
      <w:r>
        <w:rPr>
          <w:i/>
          <w:sz w:val="20"/>
        </w:rPr>
        <w:t> Multi-year. </w:t>
      </w:r>
      <w:r>
        <w:rPr>
          <w:sz w:val="20"/>
        </w:rPr>
        <w:t>The position</w:t>
      </w:r>
      <w:r>
        <w:rPr>
          <w:spacing w:val="-3"/>
          <w:sz w:val="20"/>
        </w:rPr>
        <w:t> </w:t>
      </w:r>
      <w:r>
        <w:rPr>
          <w:sz w:val="20"/>
        </w:rPr>
        <w:t>is crucial</w:t>
      </w:r>
      <w:r>
        <w:rPr>
          <w:spacing w:val="-1"/>
          <w:sz w:val="20"/>
        </w:rPr>
        <w:t> </w:t>
      </w:r>
      <w:r>
        <w:rPr>
          <w:sz w:val="20"/>
        </w:rPr>
        <w:t>to supporting</w:t>
      </w:r>
      <w:r>
        <w:rPr>
          <w:spacing w:val="-3"/>
          <w:sz w:val="20"/>
        </w:rPr>
        <w:t> </w:t>
      </w:r>
      <w:r>
        <w:rPr>
          <w:sz w:val="20"/>
        </w:rPr>
        <w:t>data</w:t>
      </w:r>
      <w:r>
        <w:rPr>
          <w:spacing w:val="-1"/>
          <w:sz w:val="20"/>
        </w:rPr>
        <w:t> </w:t>
      </w:r>
      <w:r>
        <w:rPr>
          <w:sz w:val="20"/>
        </w:rPr>
        <w:t>analysis and verification related</w:t>
      </w:r>
      <w:r>
        <w:rPr>
          <w:spacing w:val="-3"/>
          <w:sz w:val="20"/>
        </w:rPr>
        <w:t> </w:t>
      </w:r>
      <w:r>
        <w:rPr>
          <w:sz w:val="20"/>
        </w:rPr>
        <w:t>to the monitoring, reporting and evaluation of the implementation of assistance programmes and reparations</w:t>
      </w:r>
      <w:r>
        <w:rPr>
          <w:spacing w:val="-13"/>
          <w:sz w:val="20"/>
        </w:rPr>
        <w:t> </w:t>
      </w:r>
      <w:r>
        <w:rPr>
          <w:sz w:val="20"/>
        </w:rPr>
        <w:t>awards</w:t>
      </w:r>
      <w:r>
        <w:rPr>
          <w:spacing w:val="-12"/>
          <w:sz w:val="20"/>
        </w:rPr>
        <w:t> </w:t>
      </w:r>
      <w:r>
        <w:rPr>
          <w:sz w:val="20"/>
        </w:rPr>
        <w:t>(</w:t>
      </w:r>
      <w:r>
        <w:rPr>
          <w:i/>
          <w:sz w:val="20"/>
        </w:rPr>
        <w:t>Lubanga,</w:t>
      </w:r>
      <w:r>
        <w:rPr>
          <w:i/>
          <w:spacing w:val="-13"/>
          <w:sz w:val="20"/>
        </w:rPr>
        <w:t> </w:t>
      </w:r>
      <w:r>
        <w:rPr>
          <w:i/>
          <w:sz w:val="20"/>
        </w:rPr>
        <w:t>Katanga,</w:t>
      </w:r>
      <w:r>
        <w:rPr>
          <w:i/>
          <w:spacing w:val="-12"/>
          <w:sz w:val="20"/>
        </w:rPr>
        <w:t> </w:t>
      </w:r>
      <w:r>
        <w:rPr>
          <w:i/>
          <w:sz w:val="20"/>
        </w:rPr>
        <w:t>Al</w:t>
      </w:r>
      <w:r>
        <w:rPr>
          <w:i/>
          <w:spacing w:val="-13"/>
          <w:sz w:val="20"/>
        </w:rPr>
        <w:t> </w:t>
      </w:r>
      <w:r>
        <w:rPr>
          <w:i/>
          <w:sz w:val="20"/>
        </w:rPr>
        <w:t>Mahdi,</w:t>
      </w:r>
      <w:r>
        <w:rPr>
          <w:i/>
          <w:spacing w:val="-12"/>
          <w:sz w:val="20"/>
        </w:rPr>
        <w:t> </w:t>
      </w:r>
      <w:r>
        <w:rPr>
          <w:i/>
          <w:sz w:val="20"/>
        </w:rPr>
        <w:t>Ntaganda</w:t>
      </w:r>
      <w:r>
        <w:rPr>
          <w:i/>
          <w:spacing w:val="-13"/>
          <w:sz w:val="20"/>
        </w:rPr>
        <w:t> </w:t>
      </w:r>
      <w:r>
        <w:rPr>
          <w:sz w:val="20"/>
        </w:rPr>
        <w:t>and</w:t>
      </w:r>
      <w:r>
        <w:rPr>
          <w:spacing w:val="-12"/>
          <w:sz w:val="20"/>
        </w:rPr>
        <w:t> </w:t>
      </w:r>
      <w:r>
        <w:rPr>
          <w:i/>
          <w:sz w:val="20"/>
        </w:rPr>
        <w:t>Ongwen)</w:t>
      </w:r>
      <w:r>
        <w:rPr>
          <w:sz w:val="20"/>
        </w:rPr>
        <w:t>,</w:t>
      </w:r>
      <w:r>
        <w:rPr>
          <w:spacing w:val="-13"/>
          <w:sz w:val="20"/>
        </w:rPr>
        <w:t> </w:t>
      </w:r>
      <w:r>
        <w:rPr>
          <w:sz w:val="20"/>
        </w:rPr>
        <w:t>including</w:t>
      </w:r>
      <w:r>
        <w:rPr>
          <w:spacing w:val="-12"/>
          <w:sz w:val="20"/>
        </w:rPr>
        <w:t> </w:t>
      </w:r>
      <w:r>
        <w:rPr>
          <w:sz w:val="20"/>
        </w:rPr>
        <w:t>support for</w:t>
      </w:r>
      <w:r>
        <w:rPr>
          <w:spacing w:val="-4"/>
          <w:sz w:val="20"/>
        </w:rPr>
        <w:t> </w:t>
      </w:r>
      <w:r>
        <w:rPr>
          <w:sz w:val="20"/>
        </w:rPr>
        <w:t>beneficiary</w:t>
      </w:r>
      <w:r>
        <w:rPr>
          <w:spacing w:val="-9"/>
          <w:sz w:val="20"/>
        </w:rPr>
        <w:t> </w:t>
      </w:r>
      <w:r>
        <w:rPr>
          <w:sz w:val="20"/>
        </w:rPr>
        <w:t>satisfaction</w:t>
      </w:r>
      <w:r>
        <w:rPr>
          <w:spacing w:val="-9"/>
          <w:sz w:val="20"/>
        </w:rPr>
        <w:t> </w:t>
      </w:r>
      <w:r>
        <w:rPr>
          <w:sz w:val="20"/>
        </w:rPr>
        <w:t>surveys.</w:t>
      </w:r>
      <w:r>
        <w:rPr>
          <w:spacing w:val="-7"/>
          <w:sz w:val="20"/>
        </w:rPr>
        <w:t> </w:t>
      </w:r>
      <w:r>
        <w:rPr>
          <w:sz w:val="20"/>
        </w:rPr>
        <w:t>The</w:t>
      </w:r>
      <w:r>
        <w:rPr>
          <w:spacing w:val="-8"/>
          <w:sz w:val="20"/>
        </w:rPr>
        <w:t> </w:t>
      </w:r>
      <w:r>
        <w:rPr>
          <w:sz w:val="20"/>
        </w:rPr>
        <w:t>incumbent</w:t>
      </w:r>
      <w:r>
        <w:rPr>
          <w:spacing w:val="-8"/>
          <w:sz w:val="20"/>
        </w:rPr>
        <w:t> </w:t>
      </w:r>
      <w:r>
        <w:rPr>
          <w:sz w:val="20"/>
        </w:rPr>
        <w:t>reports</w:t>
      </w:r>
      <w:r>
        <w:rPr>
          <w:spacing w:val="-10"/>
          <w:sz w:val="20"/>
        </w:rPr>
        <w:t> </w:t>
      </w:r>
      <w:r>
        <w:rPr>
          <w:sz w:val="20"/>
        </w:rPr>
        <w:t>to</w:t>
      </w:r>
      <w:r>
        <w:rPr>
          <w:spacing w:val="-9"/>
          <w:sz w:val="20"/>
        </w:rPr>
        <w:t> </w:t>
      </w:r>
      <w:r>
        <w:rPr>
          <w:sz w:val="20"/>
        </w:rPr>
        <w:t>the</w:t>
      </w:r>
      <w:r>
        <w:rPr>
          <w:spacing w:val="-8"/>
          <w:sz w:val="20"/>
        </w:rPr>
        <w:t> </w:t>
      </w:r>
      <w:r>
        <w:rPr>
          <w:sz w:val="20"/>
        </w:rPr>
        <w:t>Monitoring</w:t>
      </w:r>
      <w:r>
        <w:rPr>
          <w:spacing w:val="-9"/>
          <w:sz w:val="20"/>
        </w:rPr>
        <w:t> </w:t>
      </w:r>
      <w:r>
        <w:rPr>
          <w:sz w:val="20"/>
        </w:rPr>
        <w:t>and</w:t>
      </w:r>
      <w:r>
        <w:rPr>
          <w:spacing w:val="-13"/>
          <w:sz w:val="20"/>
        </w:rPr>
        <w:t> </w:t>
      </w:r>
      <w:r>
        <w:rPr>
          <w:sz w:val="20"/>
        </w:rPr>
        <w:t>Evaluation Officer to support the consistency and cohesion of the TFV’s monitoring, reporting and evaluation practice, in accordance with the standards and protocols of the TFV’s PMP.</w:t>
      </w:r>
    </w:p>
    <w:p>
      <w:pPr>
        <w:pStyle w:val="ListParagraph"/>
        <w:numPr>
          <w:ilvl w:val="0"/>
          <w:numId w:val="4"/>
        </w:numPr>
        <w:tabs>
          <w:tab w:pos="2967" w:val="left" w:leader="none"/>
        </w:tabs>
        <w:spacing w:line="240" w:lineRule="auto" w:before="123" w:after="0"/>
        <w:ind w:left="2246" w:right="2240" w:firstLine="0"/>
        <w:jc w:val="both"/>
        <w:rPr>
          <w:sz w:val="20"/>
        </w:rPr>
      </w:pPr>
      <w:r>
        <w:rPr>
          <w:sz w:val="20"/>
        </w:rPr>
        <w:t>One </w:t>
      </w:r>
      <w:r>
        <w:rPr>
          <w:i/>
          <w:sz w:val="20"/>
        </w:rPr>
        <w:t>Finance Assistant (GS-OL), 12 months. Continued. Multi-year. </w:t>
      </w:r>
      <w:r>
        <w:rPr>
          <w:sz w:val="20"/>
        </w:rPr>
        <w:t>This position provides</w:t>
      </w:r>
      <w:r>
        <w:rPr>
          <w:spacing w:val="-13"/>
          <w:sz w:val="20"/>
        </w:rPr>
        <w:t> </w:t>
      </w:r>
      <w:r>
        <w:rPr>
          <w:sz w:val="20"/>
        </w:rPr>
        <w:t>support</w:t>
      </w:r>
      <w:r>
        <w:rPr>
          <w:spacing w:val="-12"/>
          <w:sz w:val="20"/>
        </w:rPr>
        <w:t> </w:t>
      </w:r>
      <w:r>
        <w:rPr>
          <w:sz w:val="20"/>
        </w:rPr>
        <w:t>necessary</w:t>
      </w:r>
      <w:r>
        <w:rPr>
          <w:spacing w:val="-13"/>
          <w:sz w:val="20"/>
        </w:rPr>
        <w:t> </w:t>
      </w:r>
      <w:r>
        <w:rPr>
          <w:sz w:val="20"/>
        </w:rPr>
        <w:t>for</w:t>
      </w:r>
      <w:r>
        <w:rPr>
          <w:spacing w:val="-12"/>
          <w:sz w:val="20"/>
        </w:rPr>
        <w:t> </w:t>
      </w:r>
      <w:r>
        <w:rPr>
          <w:sz w:val="20"/>
        </w:rPr>
        <w:t>the</w:t>
      </w:r>
      <w:r>
        <w:rPr>
          <w:spacing w:val="-13"/>
          <w:sz w:val="20"/>
        </w:rPr>
        <w:t> </w:t>
      </w:r>
      <w:r>
        <w:rPr>
          <w:sz w:val="20"/>
        </w:rPr>
        <w:t>implementation</w:t>
      </w:r>
      <w:r>
        <w:rPr>
          <w:spacing w:val="-12"/>
          <w:sz w:val="20"/>
        </w:rPr>
        <w:t> </w:t>
      </w:r>
      <w:r>
        <w:rPr>
          <w:sz w:val="20"/>
        </w:rPr>
        <w:t>of</w:t>
      </w:r>
      <w:r>
        <w:rPr>
          <w:spacing w:val="-13"/>
          <w:sz w:val="20"/>
        </w:rPr>
        <w:t> </w:t>
      </w:r>
      <w:r>
        <w:rPr>
          <w:sz w:val="20"/>
        </w:rPr>
        <w:t>assistance</w:t>
      </w:r>
      <w:r>
        <w:rPr>
          <w:spacing w:val="-12"/>
          <w:sz w:val="20"/>
        </w:rPr>
        <w:t> </w:t>
      </w:r>
      <w:r>
        <w:rPr>
          <w:sz w:val="20"/>
        </w:rPr>
        <w:t>programmes</w:t>
      </w:r>
      <w:r>
        <w:rPr>
          <w:spacing w:val="-13"/>
          <w:sz w:val="20"/>
        </w:rPr>
        <w:t> </w:t>
      </w:r>
      <w:r>
        <w:rPr>
          <w:sz w:val="20"/>
        </w:rPr>
        <w:t>and</w:t>
      </w:r>
      <w:r>
        <w:rPr>
          <w:spacing w:val="-12"/>
          <w:sz w:val="20"/>
        </w:rPr>
        <w:t> </w:t>
      </w:r>
      <w:r>
        <w:rPr>
          <w:sz w:val="20"/>
        </w:rPr>
        <w:t>reparations. The</w:t>
      </w:r>
      <w:r>
        <w:rPr>
          <w:spacing w:val="-3"/>
          <w:sz w:val="20"/>
        </w:rPr>
        <w:t> </w:t>
      </w:r>
      <w:r>
        <w:rPr>
          <w:sz w:val="20"/>
        </w:rPr>
        <w:t>incumbent supports the Finance Officer (P-3) in finance-related activities, including in relation</w:t>
      </w:r>
      <w:r>
        <w:rPr>
          <w:spacing w:val="35"/>
          <w:sz w:val="20"/>
        </w:rPr>
        <w:t> </w:t>
      </w:r>
      <w:r>
        <w:rPr>
          <w:sz w:val="20"/>
        </w:rPr>
        <w:t>to</w:t>
      </w:r>
      <w:r>
        <w:rPr>
          <w:spacing w:val="35"/>
          <w:sz w:val="20"/>
        </w:rPr>
        <w:t> </w:t>
      </w:r>
      <w:r>
        <w:rPr>
          <w:sz w:val="20"/>
        </w:rPr>
        <w:t>SAP,</w:t>
      </w:r>
      <w:r>
        <w:rPr>
          <w:spacing w:val="32"/>
          <w:sz w:val="20"/>
        </w:rPr>
        <w:t> </w:t>
      </w:r>
      <w:r>
        <w:rPr>
          <w:sz w:val="20"/>
        </w:rPr>
        <w:t>and</w:t>
      </w:r>
      <w:r>
        <w:rPr>
          <w:spacing w:val="35"/>
          <w:sz w:val="20"/>
        </w:rPr>
        <w:t> </w:t>
      </w:r>
      <w:r>
        <w:rPr>
          <w:sz w:val="20"/>
        </w:rPr>
        <w:t>the</w:t>
      </w:r>
      <w:r>
        <w:rPr>
          <w:spacing w:val="36"/>
          <w:sz w:val="20"/>
        </w:rPr>
        <w:t> </w:t>
      </w:r>
      <w:r>
        <w:rPr>
          <w:sz w:val="20"/>
        </w:rPr>
        <w:t>programme</w:t>
      </w:r>
      <w:r>
        <w:rPr>
          <w:spacing w:val="36"/>
          <w:sz w:val="20"/>
        </w:rPr>
        <w:t> </w:t>
      </w:r>
      <w:r>
        <w:rPr>
          <w:sz w:val="20"/>
        </w:rPr>
        <w:t>teams.</w:t>
      </w:r>
      <w:r>
        <w:rPr>
          <w:spacing w:val="37"/>
          <w:sz w:val="20"/>
        </w:rPr>
        <w:t> </w:t>
      </w:r>
      <w:r>
        <w:rPr>
          <w:sz w:val="20"/>
        </w:rPr>
        <w:t>In</w:t>
      </w:r>
      <w:r>
        <w:rPr>
          <w:spacing w:val="30"/>
          <w:sz w:val="20"/>
        </w:rPr>
        <w:t> </w:t>
      </w:r>
      <w:r>
        <w:rPr>
          <w:sz w:val="20"/>
        </w:rPr>
        <w:t>addition,</w:t>
      </w:r>
      <w:r>
        <w:rPr>
          <w:spacing w:val="32"/>
          <w:sz w:val="20"/>
        </w:rPr>
        <w:t> </w:t>
      </w:r>
      <w:r>
        <w:rPr>
          <w:sz w:val="20"/>
        </w:rPr>
        <w:t>the</w:t>
      </w:r>
      <w:r>
        <w:rPr>
          <w:spacing w:val="36"/>
          <w:sz w:val="20"/>
        </w:rPr>
        <w:t> </w:t>
      </w:r>
      <w:r>
        <w:rPr>
          <w:sz w:val="20"/>
        </w:rPr>
        <w:t>Finance</w:t>
      </w:r>
      <w:r>
        <w:rPr>
          <w:spacing w:val="36"/>
          <w:sz w:val="20"/>
        </w:rPr>
        <w:t> </w:t>
      </w:r>
      <w:r>
        <w:rPr>
          <w:sz w:val="20"/>
        </w:rPr>
        <w:t>Assistant</w:t>
      </w:r>
      <w:r>
        <w:rPr>
          <w:spacing w:val="36"/>
          <w:sz w:val="20"/>
        </w:rPr>
        <w:t> </w:t>
      </w:r>
      <w:r>
        <w:rPr>
          <w:sz w:val="20"/>
        </w:rPr>
        <w:t>provides</w:t>
      </w:r>
    </w:p>
    <w:p>
      <w:pPr>
        <w:spacing w:after="0" w:line="240" w:lineRule="auto"/>
        <w:jc w:val="both"/>
        <w:rPr>
          <w:sz w:val="20"/>
        </w:rPr>
        <w:sectPr>
          <w:pgSz w:w="11910" w:h="16840"/>
          <w:pgMar w:header="957" w:footer="940" w:top="1140" w:bottom="1140" w:left="20" w:right="20"/>
        </w:sectPr>
      </w:pPr>
    </w:p>
    <w:p>
      <w:pPr>
        <w:pStyle w:val="BodyText"/>
        <w:spacing w:before="124"/>
        <w:ind w:left="2246" w:right="2249"/>
        <w:jc w:val="both"/>
      </w:pPr>
      <w:r>
        <w:rPr/>
        <w:t>financial support to implementing partners operating under the assistance and reparations mandates, including in the context of the expected workload in 2023.</w:t>
      </w:r>
    </w:p>
    <w:p>
      <w:pPr>
        <w:pStyle w:val="ListParagraph"/>
        <w:numPr>
          <w:ilvl w:val="0"/>
          <w:numId w:val="4"/>
        </w:numPr>
        <w:tabs>
          <w:tab w:pos="2967" w:val="left" w:leader="none"/>
        </w:tabs>
        <w:spacing w:line="240" w:lineRule="auto" w:before="121" w:after="0"/>
        <w:ind w:left="2246" w:right="2240" w:firstLine="0"/>
        <w:jc w:val="both"/>
        <w:rPr>
          <w:sz w:val="20"/>
        </w:rPr>
      </w:pPr>
      <w:r>
        <w:rPr>
          <w:sz w:val="20"/>
        </w:rPr>
        <w:t>One </w:t>
      </w:r>
      <w:r>
        <w:rPr>
          <w:i/>
          <w:sz w:val="20"/>
        </w:rPr>
        <w:t>Administrative Assistant (GS-OL, 9 months, Multi-year. </w:t>
      </w:r>
      <w:r>
        <w:rPr>
          <w:sz w:val="20"/>
        </w:rPr>
        <w:t>The administrative assistant will have the same duties and responsibilities as described above under the established post for this role and will act under the supervision of the Associate Executive Officer. The rationale for the request for a second administrative assistant at the TFV Secretariat is explained in detail in above.</w:t>
      </w:r>
    </w:p>
    <w:p>
      <w:pPr>
        <w:pStyle w:val="ListParagraph"/>
        <w:numPr>
          <w:ilvl w:val="0"/>
          <w:numId w:val="4"/>
        </w:numPr>
        <w:tabs>
          <w:tab w:pos="3020" w:val="left" w:leader="none"/>
        </w:tabs>
        <w:spacing w:line="240" w:lineRule="auto" w:before="123" w:after="0"/>
        <w:ind w:left="2246" w:right="2238" w:firstLine="0"/>
        <w:jc w:val="both"/>
        <w:rPr>
          <w:sz w:val="20"/>
        </w:rPr>
      </w:pPr>
      <w:r>
        <w:rPr>
          <w:sz w:val="20"/>
        </w:rPr>
        <w:t>One </w:t>
      </w:r>
      <w:r>
        <w:rPr>
          <w:i/>
          <w:sz w:val="20"/>
        </w:rPr>
        <w:t>Associate Communications Officer (P-2), 9 months. New. Multi-year. </w:t>
      </w:r>
      <w:r>
        <w:rPr>
          <w:sz w:val="20"/>
        </w:rPr>
        <w:t>A dedicated full-time position is crucial in ensuring consistency in communication about the activities</w:t>
      </w:r>
      <w:r>
        <w:rPr>
          <w:spacing w:val="-4"/>
          <w:sz w:val="20"/>
        </w:rPr>
        <w:t> </w:t>
      </w:r>
      <w:r>
        <w:rPr>
          <w:sz w:val="20"/>
        </w:rPr>
        <w:t>of</w:t>
      </w:r>
      <w:r>
        <w:rPr>
          <w:spacing w:val="-7"/>
          <w:sz w:val="20"/>
        </w:rPr>
        <w:t> </w:t>
      </w:r>
      <w:r>
        <w:rPr>
          <w:sz w:val="20"/>
        </w:rPr>
        <w:t>the</w:t>
      </w:r>
      <w:r>
        <w:rPr>
          <w:spacing w:val="-6"/>
          <w:sz w:val="20"/>
        </w:rPr>
        <w:t> </w:t>
      </w:r>
      <w:r>
        <w:rPr>
          <w:sz w:val="20"/>
        </w:rPr>
        <w:t>Trust</w:t>
      </w:r>
      <w:r>
        <w:rPr>
          <w:spacing w:val="-1"/>
          <w:sz w:val="20"/>
        </w:rPr>
        <w:t> </w:t>
      </w:r>
      <w:r>
        <w:rPr>
          <w:sz w:val="20"/>
        </w:rPr>
        <w:t>Fund</w:t>
      </w:r>
      <w:r>
        <w:rPr>
          <w:spacing w:val="-7"/>
          <w:sz w:val="20"/>
        </w:rPr>
        <w:t> </w:t>
      </w:r>
      <w:r>
        <w:rPr>
          <w:sz w:val="20"/>
        </w:rPr>
        <w:t>and</w:t>
      </w:r>
      <w:r>
        <w:rPr>
          <w:spacing w:val="-7"/>
          <w:sz w:val="20"/>
        </w:rPr>
        <w:t> </w:t>
      </w:r>
      <w:r>
        <w:rPr>
          <w:sz w:val="20"/>
        </w:rPr>
        <w:t>its</w:t>
      </w:r>
      <w:r>
        <w:rPr>
          <w:spacing w:val="-9"/>
          <w:sz w:val="20"/>
        </w:rPr>
        <w:t> </w:t>
      </w:r>
      <w:r>
        <w:rPr>
          <w:sz w:val="20"/>
        </w:rPr>
        <w:t>implementing</w:t>
      </w:r>
      <w:r>
        <w:rPr>
          <w:spacing w:val="-7"/>
          <w:sz w:val="20"/>
        </w:rPr>
        <w:t> </w:t>
      </w:r>
      <w:r>
        <w:rPr>
          <w:sz w:val="20"/>
        </w:rPr>
        <w:t>partners</w:t>
      </w:r>
      <w:r>
        <w:rPr>
          <w:spacing w:val="-4"/>
          <w:sz w:val="20"/>
        </w:rPr>
        <w:t> </w:t>
      </w:r>
      <w:r>
        <w:rPr>
          <w:sz w:val="20"/>
        </w:rPr>
        <w:t>to</w:t>
      </w:r>
      <w:r>
        <w:rPr>
          <w:spacing w:val="-7"/>
          <w:sz w:val="20"/>
        </w:rPr>
        <w:t> </w:t>
      </w:r>
      <w:r>
        <w:rPr>
          <w:sz w:val="20"/>
        </w:rPr>
        <w:t>key</w:t>
      </w:r>
      <w:r>
        <w:rPr>
          <w:spacing w:val="-7"/>
          <w:sz w:val="20"/>
        </w:rPr>
        <w:t> </w:t>
      </w:r>
      <w:r>
        <w:rPr>
          <w:sz w:val="20"/>
        </w:rPr>
        <w:t>external</w:t>
      </w:r>
      <w:r>
        <w:rPr>
          <w:spacing w:val="-6"/>
          <w:sz w:val="20"/>
        </w:rPr>
        <w:t> </w:t>
      </w:r>
      <w:r>
        <w:rPr>
          <w:sz w:val="20"/>
        </w:rPr>
        <w:t>stakeholders</w:t>
      </w:r>
      <w:r>
        <w:rPr>
          <w:spacing w:val="-9"/>
          <w:sz w:val="20"/>
        </w:rPr>
        <w:t> </w:t>
      </w:r>
      <w:r>
        <w:rPr>
          <w:sz w:val="20"/>
        </w:rPr>
        <w:t>and</w:t>
      </w:r>
      <w:r>
        <w:rPr>
          <w:spacing w:val="-7"/>
          <w:sz w:val="20"/>
        </w:rPr>
        <w:t> </w:t>
      </w:r>
      <w:r>
        <w:rPr>
          <w:sz w:val="20"/>
        </w:rPr>
        <w:t>to raise the profile of the Trust Fund in the public domain, in particular in showing its competence and expertise. The position also serves to increase the Trust Fund’s visibility, which is essential to mobilizing resources in the public and private sectors.</w:t>
      </w:r>
    </w:p>
    <w:p>
      <w:pPr>
        <w:pStyle w:val="ListParagraph"/>
        <w:numPr>
          <w:ilvl w:val="0"/>
          <w:numId w:val="4"/>
        </w:numPr>
        <w:tabs>
          <w:tab w:pos="2967" w:val="left" w:leader="none"/>
        </w:tabs>
        <w:spacing w:line="240" w:lineRule="auto" w:before="118" w:after="0"/>
        <w:ind w:left="2246" w:right="2243" w:firstLine="0"/>
        <w:jc w:val="both"/>
        <w:rPr>
          <w:sz w:val="20"/>
        </w:rPr>
      </w:pPr>
      <w:r>
        <w:rPr>
          <w:sz w:val="20"/>
        </w:rPr>
        <w:t>One </w:t>
      </w:r>
      <w:r>
        <w:rPr>
          <w:i/>
          <w:sz w:val="20"/>
        </w:rPr>
        <w:t>Adviser (D-1), limited to 6 months. New. </w:t>
      </w:r>
      <w:r>
        <w:rPr>
          <w:sz w:val="20"/>
        </w:rPr>
        <w:t>Pursuant to an agreement reached between the Registrar, acting on behalf of the Board, and the outgoing Executive Director, the latter will perform an advisory role to the Board until June 2023, in connection with the leadership transition at the Secretariat and related key processes.</w:t>
      </w:r>
    </w:p>
    <w:p>
      <w:pPr>
        <w:pStyle w:val="BodyText"/>
        <w:rPr>
          <w:sz w:val="21"/>
        </w:rPr>
      </w:pPr>
    </w:p>
    <w:p>
      <w:pPr>
        <w:spacing w:before="0"/>
        <w:ind w:left="2246" w:right="0" w:firstLine="0"/>
        <w:jc w:val="both"/>
        <w:rPr>
          <w:i/>
          <w:sz w:val="20"/>
        </w:rPr>
      </w:pPr>
      <w:r>
        <w:rPr>
          <w:i/>
          <w:sz w:val="20"/>
        </w:rPr>
        <w:t>Programme</w:t>
      </w:r>
      <w:r>
        <w:rPr>
          <w:i/>
          <w:spacing w:val="-8"/>
          <w:sz w:val="20"/>
        </w:rPr>
        <w:t> </w:t>
      </w:r>
      <w:r>
        <w:rPr>
          <w:i/>
          <w:sz w:val="20"/>
        </w:rPr>
        <w:t>management</w:t>
      </w:r>
      <w:r>
        <w:rPr>
          <w:i/>
          <w:spacing w:val="-3"/>
          <w:sz w:val="20"/>
        </w:rPr>
        <w:t> </w:t>
      </w:r>
      <w:r>
        <w:rPr>
          <w:i/>
          <w:sz w:val="20"/>
        </w:rPr>
        <w:t>and</w:t>
      </w:r>
      <w:r>
        <w:rPr>
          <w:i/>
          <w:spacing w:val="-9"/>
          <w:sz w:val="20"/>
        </w:rPr>
        <w:t> </w:t>
      </w:r>
      <w:r>
        <w:rPr>
          <w:i/>
          <w:sz w:val="20"/>
        </w:rPr>
        <w:t>field</w:t>
      </w:r>
      <w:r>
        <w:rPr>
          <w:i/>
          <w:spacing w:val="-8"/>
          <w:sz w:val="20"/>
        </w:rPr>
        <w:t> </w:t>
      </w:r>
      <w:r>
        <w:rPr>
          <w:i/>
          <w:spacing w:val="-2"/>
          <w:sz w:val="20"/>
        </w:rPr>
        <w:t>operations</w:t>
      </w:r>
    </w:p>
    <w:p>
      <w:pPr>
        <w:pStyle w:val="BodyText"/>
        <w:rPr>
          <w:i/>
          <w:sz w:val="21"/>
        </w:rPr>
      </w:pPr>
    </w:p>
    <w:p>
      <w:pPr>
        <w:pStyle w:val="ListParagraph"/>
        <w:numPr>
          <w:ilvl w:val="0"/>
          <w:numId w:val="4"/>
        </w:numPr>
        <w:tabs>
          <w:tab w:pos="2967" w:val="left" w:leader="none"/>
        </w:tabs>
        <w:spacing w:line="240" w:lineRule="auto" w:before="0" w:after="0"/>
        <w:ind w:left="2246" w:right="2242" w:firstLine="0"/>
        <w:jc w:val="both"/>
        <w:rPr>
          <w:sz w:val="20"/>
        </w:rPr>
      </w:pPr>
      <w:r>
        <w:rPr>
          <w:sz w:val="20"/>
        </w:rPr>
        <w:t>Seven </w:t>
      </w:r>
      <w:r>
        <w:rPr>
          <w:i/>
          <w:sz w:val="20"/>
        </w:rPr>
        <w:t>Associate Field Programme Officers (P-2), 12 months each. Continued.</w:t>
      </w:r>
      <w:r>
        <w:rPr>
          <w:i/>
          <w:sz w:val="20"/>
        </w:rPr>
        <w:t> Multi-year.</w:t>
      </w:r>
      <w:r>
        <w:rPr>
          <w:i/>
          <w:spacing w:val="-13"/>
          <w:sz w:val="20"/>
        </w:rPr>
        <w:t> </w:t>
      </w:r>
      <w:r>
        <w:rPr>
          <w:sz w:val="20"/>
        </w:rPr>
        <w:t>These</w:t>
      </w:r>
      <w:r>
        <w:rPr>
          <w:spacing w:val="-12"/>
          <w:sz w:val="20"/>
        </w:rPr>
        <w:t> </w:t>
      </w:r>
      <w:r>
        <w:rPr>
          <w:sz w:val="20"/>
        </w:rPr>
        <w:t>positions</w:t>
      </w:r>
      <w:r>
        <w:rPr>
          <w:spacing w:val="-13"/>
          <w:sz w:val="20"/>
        </w:rPr>
        <w:t> </w:t>
      </w:r>
      <w:r>
        <w:rPr>
          <w:sz w:val="20"/>
        </w:rPr>
        <w:t>are</w:t>
      </w:r>
      <w:r>
        <w:rPr>
          <w:spacing w:val="-12"/>
          <w:sz w:val="20"/>
        </w:rPr>
        <w:t> </w:t>
      </w:r>
      <w:r>
        <w:rPr>
          <w:sz w:val="20"/>
        </w:rPr>
        <w:t>based</w:t>
      </w:r>
      <w:r>
        <w:rPr>
          <w:spacing w:val="-13"/>
          <w:sz w:val="20"/>
        </w:rPr>
        <w:t> </w:t>
      </w:r>
      <w:r>
        <w:rPr>
          <w:sz w:val="20"/>
        </w:rPr>
        <w:t>in</w:t>
      </w:r>
      <w:r>
        <w:rPr>
          <w:spacing w:val="-12"/>
          <w:sz w:val="20"/>
        </w:rPr>
        <w:t> </w:t>
      </w:r>
      <w:r>
        <w:rPr>
          <w:sz w:val="20"/>
        </w:rPr>
        <w:t>the</w:t>
      </w:r>
      <w:r>
        <w:rPr>
          <w:spacing w:val="-13"/>
          <w:sz w:val="20"/>
        </w:rPr>
        <w:t> </w:t>
      </w:r>
      <w:r>
        <w:rPr>
          <w:sz w:val="20"/>
        </w:rPr>
        <w:t>country</w:t>
      </w:r>
      <w:r>
        <w:rPr>
          <w:spacing w:val="-12"/>
          <w:sz w:val="20"/>
        </w:rPr>
        <w:t> </w:t>
      </w:r>
      <w:r>
        <w:rPr>
          <w:sz w:val="20"/>
        </w:rPr>
        <w:t>offices:</w:t>
      </w:r>
      <w:r>
        <w:rPr>
          <w:spacing w:val="-13"/>
          <w:sz w:val="20"/>
        </w:rPr>
        <w:t> </w:t>
      </w:r>
      <w:r>
        <w:rPr>
          <w:sz w:val="20"/>
        </w:rPr>
        <w:t>three</w:t>
      </w:r>
      <w:r>
        <w:rPr>
          <w:spacing w:val="-12"/>
          <w:sz w:val="20"/>
        </w:rPr>
        <w:t> </w:t>
      </w:r>
      <w:r>
        <w:rPr>
          <w:sz w:val="20"/>
        </w:rPr>
        <w:t>in</w:t>
      </w:r>
      <w:r>
        <w:rPr>
          <w:spacing w:val="-13"/>
          <w:sz w:val="20"/>
        </w:rPr>
        <w:t> </w:t>
      </w:r>
      <w:r>
        <w:rPr>
          <w:sz w:val="20"/>
        </w:rPr>
        <w:t>the</w:t>
      </w:r>
      <w:r>
        <w:rPr>
          <w:spacing w:val="-12"/>
          <w:sz w:val="20"/>
        </w:rPr>
        <w:t> </w:t>
      </w:r>
      <w:r>
        <w:rPr>
          <w:sz w:val="20"/>
        </w:rPr>
        <w:t>DRC,</w:t>
      </w:r>
      <w:r>
        <w:rPr>
          <w:spacing w:val="-13"/>
          <w:sz w:val="20"/>
        </w:rPr>
        <w:t> </w:t>
      </w:r>
      <w:r>
        <w:rPr>
          <w:sz w:val="20"/>
        </w:rPr>
        <w:t>one</w:t>
      </w:r>
      <w:r>
        <w:rPr>
          <w:spacing w:val="-12"/>
          <w:sz w:val="20"/>
        </w:rPr>
        <w:t> </w:t>
      </w:r>
      <w:r>
        <w:rPr>
          <w:sz w:val="20"/>
        </w:rPr>
        <w:t>in</w:t>
      </w:r>
      <w:r>
        <w:rPr>
          <w:spacing w:val="-13"/>
          <w:sz w:val="20"/>
        </w:rPr>
        <w:t> </w:t>
      </w:r>
      <w:r>
        <w:rPr>
          <w:sz w:val="20"/>
        </w:rPr>
        <w:t>Uganda, one in Mali, one in Côte d’Ivoire and one in the CAR. The incumbents form part of the long-term</w:t>
      </w:r>
      <w:r>
        <w:rPr>
          <w:spacing w:val="-13"/>
          <w:sz w:val="20"/>
        </w:rPr>
        <w:t> </w:t>
      </w:r>
      <w:r>
        <w:rPr>
          <w:sz w:val="20"/>
        </w:rPr>
        <w:t>backbone</w:t>
      </w:r>
      <w:r>
        <w:rPr>
          <w:spacing w:val="-12"/>
          <w:sz w:val="20"/>
        </w:rPr>
        <w:t> </w:t>
      </w:r>
      <w:r>
        <w:rPr>
          <w:sz w:val="20"/>
        </w:rPr>
        <w:t>of</w:t>
      </w:r>
      <w:r>
        <w:rPr>
          <w:spacing w:val="-13"/>
          <w:sz w:val="20"/>
        </w:rPr>
        <w:t> </w:t>
      </w:r>
      <w:r>
        <w:rPr>
          <w:sz w:val="20"/>
        </w:rPr>
        <w:t>the</w:t>
      </w:r>
      <w:r>
        <w:rPr>
          <w:spacing w:val="-12"/>
          <w:sz w:val="20"/>
        </w:rPr>
        <w:t> </w:t>
      </w:r>
      <w:r>
        <w:rPr>
          <w:sz w:val="20"/>
        </w:rPr>
        <w:t>TFV’s</w:t>
      </w:r>
      <w:r>
        <w:rPr>
          <w:spacing w:val="-13"/>
          <w:sz w:val="20"/>
        </w:rPr>
        <w:t> </w:t>
      </w:r>
      <w:r>
        <w:rPr>
          <w:sz w:val="20"/>
        </w:rPr>
        <w:t>field</w:t>
      </w:r>
      <w:r>
        <w:rPr>
          <w:spacing w:val="-12"/>
          <w:sz w:val="20"/>
        </w:rPr>
        <w:t> </w:t>
      </w:r>
      <w:r>
        <w:rPr>
          <w:sz w:val="20"/>
        </w:rPr>
        <w:t>capacity,</w:t>
      </w:r>
      <w:r>
        <w:rPr>
          <w:spacing w:val="-13"/>
          <w:sz w:val="20"/>
        </w:rPr>
        <w:t> </w:t>
      </w:r>
      <w:r>
        <w:rPr>
          <w:sz w:val="20"/>
        </w:rPr>
        <w:t>reporting</w:t>
      </w:r>
      <w:r>
        <w:rPr>
          <w:spacing w:val="-12"/>
          <w:sz w:val="20"/>
        </w:rPr>
        <w:t> </w:t>
      </w:r>
      <w:r>
        <w:rPr>
          <w:sz w:val="20"/>
        </w:rPr>
        <w:t>to</w:t>
      </w:r>
      <w:r>
        <w:rPr>
          <w:spacing w:val="-13"/>
          <w:sz w:val="20"/>
        </w:rPr>
        <w:t> </w:t>
      </w:r>
      <w:r>
        <w:rPr>
          <w:sz w:val="20"/>
        </w:rPr>
        <w:t>the</w:t>
      </w:r>
      <w:r>
        <w:rPr>
          <w:spacing w:val="-8"/>
          <w:sz w:val="20"/>
        </w:rPr>
        <w:t> </w:t>
      </w:r>
      <w:r>
        <w:rPr>
          <w:sz w:val="20"/>
        </w:rPr>
        <w:t>Programme</w:t>
      </w:r>
      <w:r>
        <w:rPr>
          <w:spacing w:val="-12"/>
          <w:sz w:val="20"/>
        </w:rPr>
        <w:t> </w:t>
      </w:r>
      <w:r>
        <w:rPr>
          <w:sz w:val="20"/>
        </w:rPr>
        <w:t>Managers</w:t>
      </w:r>
      <w:r>
        <w:rPr>
          <w:spacing w:val="-13"/>
          <w:sz w:val="20"/>
        </w:rPr>
        <w:t> </w:t>
      </w:r>
      <w:r>
        <w:rPr>
          <w:sz w:val="20"/>
        </w:rPr>
        <w:t>(P-4). They help ensure continuity, consistency and quality control in the development and implementation of assistance programmes and reparations awards. They provide crucial support</w:t>
      </w:r>
      <w:r>
        <w:rPr>
          <w:spacing w:val="-2"/>
          <w:sz w:val="20"/>
        </w:rPr>
        <w:t> </w:t>
      </w:r>
      <w:r>
        <w:rPr>
          <w:sz w:val="20"/>
        </w:rPr>
        <w:t>in</w:t>
      </w:r>
      <w:r>
        <w:rPr>
          <w:spacing w:val="-4"/>
          <w:sz w:val="20"/>
        </w:rPr>
        <w:t> </w:t>
      </w:r>
      <w:r>
        <w:rPr>
          <w:sz w:val="20"/>
        </w:rPr>
        <w:t>relation</w:t>
      </w:r>
      <w:r>
        <w:rPr>
          <w:spacing w:val="-4"/>
          <w:sz w:val="20"/>
        </w:rPr>
        <w:t> </w:t>
      </w:r>
      <w:r>
        <w:rPr>
          <w:sz w:val="20"/>
        </w:rPr>
        <w:t>to</w:t>
      </w:r>
      <w:r>
        <w:rPr>
          <w:spacing w:val="-4"/>
          <w:sz w:val="20"/>
        </w:rPr>
        <w:t> </w:t>
      </w:r>
      <w:r>
        <w:rPr>
          <w:sz w:val="20"/>
        </w:rPr>
        <w:t>victim</w:t>
      </w:r>
      <w:r>
        <w:rPr>
          <w:spacing w:val="-2"/>
          <w:sz w:val="20"/>
        </w:rPr>
        <w:t> </w:t>
      </w:r>
      <w:r>
        <w:rPr>
          <w:sz w:val="20"/>
        </w:rPr>
        <w:t>verification</w:t>
      </w:r>
      <w:r>
        <w:rPr>
          <w:spacing w:val="-4"/>
          <w:sz w:val="20"/>
        </w:rPr>
        <w:t> </w:t>
      </w:r>
      <w:r>
        <w:rPr>
          <w:sz w:val="20"/>
        </w:rPr>
        <w:t>and</w:t>
      </w:r>
      <w:r>
        <w:rPr>
          <w:spacing w:val="-4"/>
          <w:sz w:val="20"/>
        </w:rPr>
        <w:t> </w:t>
      </w:r>
      <w:r>
        <w:rPr>
          <w:sz w:val="20"/>
        </w:rPr>
        <w:t>the</w:t>
      </w:r>
      <w:r>
        <w:rPr>
          <w:spacing w:val="-2"/>
          <w:sz w:val="20"/>
        </w:rPr>
        <w:t> </w:t>
      </w:r>
      <w:r>
        <w:rPr>
          <w:sz w:val="20"/>
        </w:rPr>
        <w:t>conduct of</w:t>
      </w:r>
      <w:r>
        <w:rPr>
          <w:spacing w:val="-4"/>
          <w:sz w:val="20"/>
        </w:rPr>
        <w:t> </w:t>
      </w:r>
      <w:r>
        <w:rPr>
          <w:sz w:val="20"/>
        </w:rPr>
        <w:t>operational</w:t>
      </w:r>
      <w:r>
        <w:rPr>
          <w:spacing w:val="-2"/>
          <w:sz w:val="20"/>
        </w:rPr>
        <w:t> </w:t>
      </w:r>
      <w:r>
        <w:rPr>
          <w:sz w:val="20"/>
        </w:rPr>
        <w:t>research, supporting the development and planning of assistance and reparations programmes, including in relation to local services markets for the purpose of procurement processes to select implementing partners.</w:t>
      </w:r>
    </w:p>
    <w:p>
      <w:pPr>
        <w:pStyle w:val="ListParagraph"/>
        <w:numPr>
          <w:ilvl w:val="0"/>
          <w:numId w:val="4"/>
        </w:numPr>
        <w:tabs>
          <w:tab w:pos="2967" w:val="left" w:leader="none"/>
        </w:tabs>
        <w:spacing w:line="240" w:lineRule="auto" w:before="120" w:after="0"/>
        <w:ind w:left="2246" w:right="2238" w:firstLine="0"/>
        <w:jc w:val="both"/>
        <w:rPr>
          <w:sz w:val="20"/>
        </w:rPr>
      </w:pPr>
      <w:r>
        <w:rPr>
          <w:sz w:val="20"/>
        </w:rPr>
        <w:t>One </w:t>
      </w:r>
      <w:r>
        <w:rPr>
          <w:i/>
          <w:sz w:val="20"/>
        </w:rPr>
        <w:t>Field Programme Assistant (G-5) (DRC), 12 months. Continued. Multi-year.</w:t>
      </w:r>
      <w:r>
        <w:rPr>
          <w:i/>
          <w:sz w:val="20"/>
        </w:rPr>
        <w:t> </w:t>
      </w:r>
      <w:r>
        <w:rPr>
          <w:sz w:val="20"/>
        </w:rPr>
        <w:t>This position is based in the DRC to support the implementation of reparations awards in </w:t>
      </w:r>
      <w:r>
        <w:rPr>
          <w:i/>
          <w:sz w:val="20"/>
        </w:rPr>
        <w:t>Lubanga</w:t>
      </w:r>
      <w:r>
        <w:rPr>
          <w:i/>
          <w:spacing w:val="-2"/>
          <w:sz w:val="20"/>
        </w:rPr>
        <w:t> </w:t>
      </w:r>
      <w:r>
        <w:rPr>
          <w:sz w:val="20"/>
        </w:rPr>
        <w:t>and</w:t>
      </w:r>
      <w:r>
        <w:rPr>
          <w:spacing w:val="-2"/>
          <w:sz w:val="20"/>
        </w:rPr>
        <w:t> </w:t>
      </w:r>
      <w:r>
        <w:rPr>
          <w:i/>
          <w:sz w:val="20"/>
        </w:rPr>
        <w:t>Katanga</w:t>
      </w:r>
      <w:r>
        <w:rPr>
          <w:i/>
          <w:spacing w:val="-2"/>
          <w:sz w:val="20"/>
        </w:rPr>
        <w:t> </w:t>
      </w:r>
      <w:r>
        <w:rPr>
          <w:sz w:val="20"/>
        </w:rPr>
        <w:t>and of</w:t>
      </w:r>
      <w:r>
        <w:rPr>
          <w:spacing w:val="-3"/>
          <w:sz w:val="20"/>
        </w:rPr>
        <w:t> </w:t>
      </w:r>
      <w:r>
        <w:rPr>
          <w:sz w:val="20"/>
        </w:rPr>
        <w:t>the</w:t>
      </w:r>
      <w:r>
        <w:rPr>
          <w:spacing w:val="-1"/>
          <w:sz w:val="20"/>
        </w:rPr>
        <w:t> </w:t>
      </w:r>
      <w:r>
        <w:rPr>
          <w:sz w:val="20"/>
        </w:rPr>
        <w:t>assistance</w:t>
      </w:r>
      <w:r>
        <w:rPr>
          <w:spacing w:val="-1"/>
          <w:sz w:val="20"/>
        </w:rPr>
        <w:t> </w:t>
      </w:r>
      <w:r>
        <w:rPr>
          <w:sz w:val="20"/>
        </w:rPr>
        <w:t>mandate</w:t>
      </w:r>
      <w:r>
        <w:rPr>
          <w:spacing w:val="-1"/>
          <w:sz w:val="20"/>
        </w:rPr>
        <w:t> </w:t>
      </w:r>
      <w:r>
        <w:rPr>
          <w:sz w:val="20"/>
        </w:rPr>
        <w:t>programme. This</w:t>
      </w:r>
      <w:r>
        <w:rPr>
          <w:spacing w:val="-4"/>
          <w:sz w:val="20"/>
        </w:rPr>
        <w:t> </w:t>
      </w:r>
      <w:r>
        <w:rPr>
          <w:sz w:val="20"/>
        </w:rPr>
        <w:t>capacity</w:t>
      </w:r>
      <w:r>
        <w:rPr>
          <w:spacing w:val="-3"/>
          <w:sz w:val="20"/>
        </w:rPr>
        <w:t> </w:t>
      </w:r>
      <w:r>
        <w:rPr>
          <w:sz w:val="20"/>
        </w:rPr>
        <w:t>is</w:t>
      </w:r>
      <w:r>
        <w:rPr>
          <w:spacing w:val="-4"/>
          <w:sz w:val="20"/>
        </w:rPr>
        <w:t> </w:t>
      </w:r>
      <w:r>
        <w:rPr>
          <w:sz w:val="20"/>
        </w:rPr>
        <w:t>needed</w:t>
      </w:r>
      <w:r>
        <w:rPr>
          <w:spacing w:val="-3"/>
          <w:sz w:val="20"/>
        </w:rPr>
        <w:t> </w:t>
      </w:r>
      <w:r>
        <w:rPr>
          <w:sz w:val="20"/>
        </w:rPr>
        <w:t>to ensure</w:t>
      </w:r>
      <w:r>
        <w:rPr>
          <w:spacing w:val="-12"/>
          <w:sz w:val="20"/>
        </w:rPr>
        <w:t> </w:t>
      </w:r>
      <w:r>
        <w:rPr>
          <w:sz w:val="20"/>
        </w:rPr>
        <w:t>essential</w:t>
      </w:r>
      <w:r>
        <w:rPr>
          <w:spacing w:val="-8"/>
          <w:sz w:val="20"/>
        </w:rPr>
        <w:t> </w:t>
      </w:r>
      <w:r>
        <w:rPr>
          <w:sz w:val="20"/>
        </w:rPr>
        <w:t>field-based</w:t>
      </w:r>
      <w:r>
        <w:rPr>
          <w:spacing w:val="-9"/>
          <w:sz w:val="20"/>
        </w:rPr>
        <w:t> </w:t>
      </w:r>
      <w:r>
        <w:rPr>
          <w:sz w:val="20"/>
        </w:rPr>
        <w:t>programme</w:t>
      </w:r>
      <w:r>
        <w:rPr>
          <w:spacing w:val="-8"/>
          <w:sz w:val="20"/>
        </w:rPr>
        <w:t> </w:t>
      </w:r>
      <w:r>
        <w:rPr>
          <w:sz w:val="20"/>
        </w:rPr>
        <w:t>support</w:t>
      </w:r>
      <w:r>
        <w:rPr>
          <w:spacing w:val="-8"/>
          <w:sz w:val="20"/>
        </w:rPr>
        <w:t> </w:t>
      </w:r>
      <w:r>
        <w:rPr>
          <w:sz w:val="20"/>
        </w:rPr>
        <w:t>functions</w:t>
      </w:r>
      <w:r>
        <w:rPr>
          <w:spacing w:val="-11"/>
          <w:sz w:val="20"/>
        </w:rPr>
        <w:t> </w:t>
      </w:r>
      <w:r>
        <w:rPr>
          <w:sz w:val="20"/>
        </w:rPr>
        <w:t>and</w:t>
      </w:r>
      <w:r>
        <w:rPr>
          <w:spacing w:val="-5"/>
          <w:sz w:val="20"/>
        </w:rPr>
        <w:t> </w:t>
      </w:r>
      <w:r>
        <w:rPr>
          <w:sz w:val="20"/>
        </w:rPr>
        <w:t>to</w:t>
      </w:r>
      <w:r>
        <w:rPr>
          <w:spacing w:val="-5"/>
          <w:sz w:val="20"/>
        </w:rPr>
        <w:t> </w:t>
      </w:r>
      <w:r>
        <w:rPr>
          <w:sz w:val="20"/>
        </w:rPr>
        <w:t>support</w:t>
      </w:r>
      <w:r>
        <w:rPr>
          <w:spacing w:val="-13"/>
          <w:sz w:val="20"/>
        </w:rPr>
        <w:t> </w:t>
      </w:r>
      <w:r>
        <w:rPr>
          <w:sz w:val="20"/>
        </w:rPr>
        <w:t>programme</w:t>
      </w:r>
      <w:r>
        <w:rPr>
          <w:spacing w:val="-8"/>
          <w:sz w:val="20"/>
        </w:rPr>
        <w:t> </w:t>
      </w:r>
      <w:r>
        <w:rPr>
          <w:sz w:val="20"/>
        </w:rPr>
        <w:t>staff</w:t>
      </w:r>
      <w:r>
        <w:rPr>
          <w:spacing w:val="-9"/>
          <w:sz w:val="20"/>
        </w:rPr>
        <w:t> </w:t>
      </w:r>
      <w:r>
        <w:rPr>
          <w:sz w:val="20"/>
        </w:rPr>
        <w:t>by collecting, registering and maintaining information on implementation activities, preparing status</w:t>
      </w:r>
      <w:r>
        <w:rPr>
          <w:spacing w:val="-10"/>
          <w:sz w:val="20"/>
        </w:rPr>
        <w:t> </w:t>
      </w:r>
      <w:r>
        <w:rPr>
          <w:sz w:val="20"/>
        </w:rPr>
        <w:t>and</w:t>
      </w:r>
      <w:r>
        <w:rPr>
          <w:spacing w:val="-8"/>
          <w:sz w:val="20"/>
        </w:rPr>
        <w:t> </w:t>
      </w:r>
      <w:r>
        <w:rPr>
          <w:sz w:val="20"/>
        </w:rPr>
        <w:t>progress</w:t>
      </w:r>
      <w:r>
        <w:rPr>
          <w:spacing w:val="-10"/>
          <w:sz w:val="20"/>
        </w:rPr>
        <w:t> </w:t>
      </w:r>
      <w:r>
        <w:rPr>
          <w:sz w:val="20"/>
        </w:rPr>
        <w:t>reports,</w:t>
      </w:r>
      <w:r>
        <w:rPr>
          <w:spacing w:val="-6"/>
          <w:sz w:val="20"/>
        </w:rPr>
        <w:t> </w:t>
      </w:r>
      <w:r>
        <w:rPr>
          <w:sz w:val="20"/>
        </w:rPr>
        <w:t>ensuring</w:t>
      </w:r>
      <w:r>
        <w:rPr>
          <w:spacing w:val="-8"/>
          <w:sz w:val="20"/>
        </w:rPr>
        <w:t> </w:t>
      </w:r>
      <w:r>
        <w:rPr>
          <w:sz w:val="20"/>
        </w:rPr>
        <w:t>that</w:t>
      </w:r>
      <w:r>
        <w:rPr>
          <w:spacing w:val="-7"/>
          <w:sz w:val="20"/>
        </w:rPr>
        <w:t> </w:t>
      </w:r>
      <w:r>
        <w:rPr>
          <w:sz w:val="20"/>
        </w:rPr>
        <w:t>implementing</w:t>
      </w:r>
      <w:r>
        <w:rPr>
          <w:spacing w:val="-4"/>
          <w:sz w:val="20"/>
        </w:rPr>
        <w:t> </w:t>
      </w:r>
      <w:r>
        <w:rPr>
          <w:sz w:val="20"/>
        </w:rPr>
        <w:t>partners’</w:t>
      </w:r>
      <w:r>
        <w:rPr>
          <w:spacing w:val="-4"/>
          <w:sz w:val="20"/>
        </w:rPr>
        <w:t> </w:t>
      </w:r>
      <w:r>
        <w:rPr>
          <w:sz w:val="20"/>
        </w:rPr>
        <w:t>quality</w:t>
      </w:r>
      <w:r>
        <w:rPr>
          <w:spacing w:val="-8"/>
          <w:sz w:val="20"/>
        </w:rPr>
        <w:t> </w:t>
      </w:r>
      <w:r>
        <w:rPr>
          <w:sz w:val="20"/>
        </w:rPr>
        <w:t>controls</w:t>
      </w:r>
      <w:r>
        <w:rPr>
          <w:spacing w:val="-10"/>
          <w:sz w:val="20"/>
        </w:rPr>
        <w:t> </w:t>
      </w:r>
      <w:r>
        <w:rPr>
          <w:sz w:val="20"/>
        </w:rPr>
        <w:t>are</w:t>
      </w:r>
      <w:r>
        <w:rPr>
          <w:spacing w:val="-7"/>
          <w:sz w:val="20"/>
        </w:rPr>
        <w:t> </w:t>
      </w:r>
      <w:r>
        <w:rPr>
          <w:sz w:val="20"/>
        </w:rPr>
        <w:t>aligned with the</w:t>
      </w:r>
      <w:r>
        <w:rPr>
          <w:spacing w:val="-2"/>
          <w:sz w:val="20"/>
        </w:rPr>
        <w:t> </w:t>
      </w:r>
      <w:r>
        <w:rPr>
          <w:sz w:val="20"/>
        </w:rPr>
        <w:t>TFV’s rules</w:t>
      </w:r>
      <w:r>
        <w:rPr>
          <w:spacing w:val="-5"/>
          <w:sz w:val="20"/>
        </w:rPr>
        <w:t> </w:t>
      </w:r>
      <w:r>
        <w:rPr>
          <w:sz w:val="20"/>
        </w:rPr>
        <w:t>and procedures, and providing administrative support</w:t>
      </w:r>
      <w:r>
        <w:rPr>
          <w:spacing w:val="-2"/>
          <w:sz w:val="20"/>
        </w:rPr>
        <w:t> </w:t>
      </w:r>
      <w:r>
        <w:rPr>
          <w:sz w:val="20"/>
        </w:rPr>
        <w:t>to the TFV field </w:t>
      </w:r>
      <w:r>
        <w:rPr>
          <w:spacing w:val="-2"/>
          <w:sz w:val="20"/>
        </w:rPr>
        <w:t>team.</w:t>
      </w:r>
    </w:p>
    <w:p>
      <w:pPr>
        <w:pStyle w:val="BodyText"/>
        <w:spacing w:before="8"/>
      </w:pPr>
    </w:p>
    <w:p>
      <w:pPr>
        <w:pStyle w:val="Heading3"/>
        <w:tabs>
          <w:tab w:pos="8229" w:val="left" w:leader="none"/>
        </w:tabs>
        <w:jc w:val="both"/>
      </w:pPr>
      <w:r>
        <w:rPr/>
        <w:t>Non-staff</w:t>
      </w:r>
      <w:r>
        <w:rPr>
          <w:spacing w:val="-4"/>
        </w:rPr>
        <w:t> </w:t>
      </w:r>
      <w:r>
        <w:rPr>
          <w:spacing w:val="-2"/>
        </w:rPr>
        <w:t>resources</w:t>
      </w:r>
      <w:r>
        <w:rPr/>
        <w:tab/>
        <w:t>€646.5</w:t>
      </w:r>
      <w:r>
        <w:rPr>
          <w:spacing w:val="-3"/>
        </w:rPr>
        <w:t> </w:t>
      </w:r>
      <w:r>
        <w:rPr>
          <w:spacing w:val="-2"/>
        </w:rPr>
        <w:t>thousand</w:t>
      </w:r>
    </w:p>
    <w:p>
      <w:pPr>
        <w:pStyle w:val="BodyText"/>
        <w:rPr>
          <w:b/>
          <w:sz w:val="21"/>
        </w:rPr>
      </w:pPr>
    </w:p>
    <w:p>
      <w:pPr>
        <w:pStyle w:val="ListParagraph"/>
        <w:numPr>
          <w:ilvl w:val="0"/>
          <w:numId w:val="4"/>
        </w:numPr>
        <w:tabs>
          <w:tab w:pos="3020" w:val="left" w:leader="none"/>
        </w:tabs>
        <w:spacing w:line="240" w:lineRule="auto" w:before="0" w:after="0"/>
        <w:ind w:left="2246" w:right="2244" w:firstLine="0"/>
        <w:jc w:val="both"/>
        <w:rPr>
          <w:sz w:val="20"/>
        </w:rPr>
      </w:pPr>
      <w:r>
        <w:rPr>
          <w:sz w:val="20"/>
        </w:rPr>
        <w:t>Non-staff resources are required for travel, hospitality, contractual services, training, consultants, general operating</w:t>
      </w:r>
      <w:r>
        <w:rPr>
          <w:spacing w:val="-2"/>
          <w:sz w:val="20"/>
        </w:rPr>
        <w:t> </w:t>
      </w:r>
      <w:r>
        <w:rPr>
          <w:sz w:val="20"/>
        </w:rPr>
        <w:t>expenses, and supplies</w:t>
      </w:r>
      <w:r>
        <w:rPr>
          <w:spacing w:val="-3"/>
          <w:sz w:val="20"/>
        </w:rPr>
        <w:t> </w:t>
      </w:r>
      <w:r>
        <w:rPr>
          <w:sz w:val="20"/>
        </w:rPr>
        <w:t>and</w:t>
      </w:r>
      <w:r>
        <w:rPr>
          <w:spacing w:val="-2"/>
          <w:sz w:val="20"/>
        </w:rPr>
        <w:t> </w:t>
      </w:r>
      <w:r>
        <w:rPr>
          <w:sz w:val="20"/>
        </w:rPr>
        <w:t>materials. The requested amount has increased by €334.0 thousand (106.9 per cent) as compared with the 2022 approved</w:t>
      </w:r>
      <w:r>
        <w:rPr>
          <w:spacing w:val="-13"/>
          <w:sz w:val="20"/>
        </w:rPr>
        <w:t> </w:t>
      </w:r>
      <w:r>
        <w:rPr>
          <w:sz w:val="20"/>
        </w:rPr>
        <w:t>budget.</w:t>
      </w:r>
      <w:r>
        <w:rPr>
          <w:spacing w:val="-12"/>
          <w:sz w:val="20"/>
        </w:rPr>
        <w:t> </w:t>
      </w:r>
      <w:r>
        <w:rPr>
          <w:sz w:val="20"/>
        </w:rPr>
        <w:t>The</w:t>
      </w:r>
      <w:r>
        <w:rPr>
          <w:spacing w:val="-8"/>
          <w:sz w:val="20"/>
        </w:rPr>
        <w:t> </w:t>
      </w:r>
      <w:r>
        <w:rPr>
          <w:sz w:val="20"/>
        </w:rPr>
        <w:t>increase</w:t>
      </w:r>
      <w:r>
        <w:rPr>
          <w:spacing w:val="-12"/>
          <w:sz w:val="20"/>
        </w:rPr>
        <w:t> </w:t>
      </w:r>
      <w:r>
        <w:rPr>
          <w:sz w:val="20"/>
        </w:rPr>
        <w:t>reflects</w:t>
      </w:r>
      <w:r>
        <w:rPr>
          <w:spacing w:val="-13"/>
          <w:sz w:val="20"/>
        </w:rPr>
        <w:t> </w:t>
      </w:r>
      <w:r>
        <w:rPr>
          <w:sz w:val="20"/>
        </w:rPr>
        <w:t>a</w:t>
      </w:r>
      <w:r>
        <w:rPr>
          <w:spacing w:val="-8"/>
          <w:sz w:val="20"/>
        </w:rPr>
        <w:t> </w:t>
      </w:r>
      <w:r>
        <w:rPr>
          <w:sz w:val="20"/>
        </w:rPr>
        <w:t>continued</w:t>
      </w:r>
      <w:r>
        <w:rPr>
          <w:spacing w:val="-9"/>
          <w:sz w:val="20"/>
        </w:rPr>
        <w:t> </w:t>
      </w:r>
      <w:r>
        <w:rPr>
          <w:sz w:val="20"/>
        </w:rPr>
        <w:t>conservative</w:t>
      </w:r>
      <w:r>
        <w:rPr>
          <w:spacing w:val="-8"/>
          <w:sz w:val="20"/>
        </w:rPr>
        <w:t> </w:t>
      </w:r>
      <w:r>
        <w:rPr>
          <w:sz w:val="20"/>
        </w:rPr>
        <w:t>approach</w:t>
      </w:r>
      <w:r>
        <w:rPr>
          <w:spacing w:val="-13"/>
          <w:sz w:val="20"/>
        </w:rPr>
        <w:t> </w:t>
      </w:r>
      <w:r>
        <w:rPr>
          <w:sz w:val="20"/>
        </w:rPr>
        <w:t>combined</w:t>
      </w:r>
      <w:r>
        <w:rPr>
          <w:spacing w:val="-8"/>
          <w:sz w:val="20"/>
        </w:rPr>
        <w:t> </w:t>
      </w:r>
      <w:r>
        <w:rPr>
          <w:sz w:val="20"/>
        </w:rPr>
        <w:t>with</w:t>
      </w:r>
      <w:r>
        <w:rPr>
          <w:spacing w:val="-13"/>
          <w:sz w:val="20"/>
        </w:rPr>
        <w:t> </w:t>
      </w:r>
      <w:r>
        <w:rPr>
          <w:sz w:val="20"/>
        </w:rPr>
        <w:t>the requirements of a significantly larger portfolio, fundraising activities and Board activities. All non-staff resources are recurrent, with the exception of the SAP Grants Management revision (€80.0 thousand) budgeted under contractual services.</w:t>
      </w:r>
    </w:p>
    <w:p>
      <w:pPr>
        <w:pStyle w:val="BodyText"/>
        <w:spacing w:before="2"/>
        <w:rPr>
          <w:sz w:val="21"/>
        </w:rPr>
      </w:pPr>
    </w:p>
    <w:p>
      <w:pPr>
        <w:tabs>
          <w:tab w:pos="8282" w:val="left" w:leader="none"/>
        </w:tabs>
        <w:spacing w:before="0"/>
        <w:ind w:left="2246" w:right="0" w:firstLine="0"/>
        <w:jc w:val="both"/>
        <w:rPr>
          <w:i/>
          <w:sz w:val="20"/>
        </w:rPr>
      </w:pPr>
      <w:r>
        <w:rPr>
          <w:i/>
          <w:spacing w:val="-2"/>
          <w:sz w:val="20"/>
        </w:rPr>
        <w:t>Travel</w:t>
      </w:r>
      <w:r>
        <w:rPr>
          <w:i/>
          <w:sz w:val="20"/>
        </w:rPr>
        <w:tab/>
        <w:t>€343.0</w:t>
      </w:r>
      <w:r>
        <w:rPr>
          <w:i/>
          <w:spacing w:val="-3"/>
          <w:sz w:val="20"/>
        </w:rPr>
        <w:t> </w:t>
      </w:r>
      <w:r>
        <w:rPr>
          <w:i/>
          <w:spacing w:val="-2"/>
          <w:sz w:val="20"/>
        </w:rPr>
        <w:t>thousand</w:t>
      </w:r>
    </w:p>
    <w:p>
      <w:pPr>
        <w:pStyle w:val="BodyText"/>
        <w:spacing w:before="5"/>
        <w:rPr>
          <w:i/>
        </w:rPr>
      </w:pPr>
    </w:p>
    <w:p>
      <w:pPr>
        <w:pStyle w:val="ListParagraph"/>
        <w:numPr>
          <w:ilvl w:val="0"/>
          <w:numId w:val="4"/>
        </w:numPr>
        <w:tabs>
          <w:tab w:pos="3020" w:val="left" w:leader="none"/>
        </w:tabs>
        <w:spacing w:line="240" w:lineRule="auto" w:before="1" w:after="0"/>
        <w:ind w:left="2246" w:right="2242" w:firstLine="0"/>
        <w:jc w:val="both"/>
        <w:rPr>
          <w:sz w:val="20"/>
        </w:rPr>
      </w:pPr>
      <w:r>
        <w:rPr>
          <w:sz w:val="20"/>
        </w:rPr>
        <w:t>The requested amount, which has increased by €198.1 thousand (136.7 percent), will be required mainly in relation to the TFV’s programme activities (reparations and assistance</w:t>
      </w:r>
      <w:r>
        <w:rPr>
          <w:spacing w:val="-13"/>
          <w:sz w:val="20"/>
        </w:rPr>
        <w:t> </w:t>
      </w:r>
      <w:r>
        <w:rPr>
          <w:sz w:val="20"/>
        </w:rPr>
        <w:t>mandates),</w:t>
      </w:r>
      <w:r>
        <w:rPr>
          <w:spacing w:val="-6"/>
          <w:sz w:val="20"/>
        </w:rPr>
        <w:t> </w:t>
      </w:r>
      <w:r>
        <w:rPr>
          <w:sz w:val="20"/>
        </w:rPr>
        <w:t>visibility/fundraising</w:t>
      </w:r>
      <w:r>
        <w:rPr>
          <w:spacing w:val="-13"/>
          <w:sz w:val="20"/>
        </w:rPr>
        <w:t> </w:t>
      </w:r>
      <w:r>
        <w:rPr>
          <w:sz w:val="20"/>
        </w:rPr>
        <w:t>and</w:t>
      </w:r>
      <w:r>
        <w:rPr>
          <w:spacing w:val="-8"/>
          <w:sz w:val="20"/>
        </w:rPr>
        <w:t> </w:t>
      </w:r>
      <w:r>
        <w:rPr>
          <w:sz w:val="20"/>
        </w:rPr>
        <w:t>Board-related</w:t>
      </w:r>
      <w:r>
        <w:rPr>
          <w:spacing w:val="-9"/>
          <w:sz w:val="20"/>
        </w:rPr>
        <w:t> </w:t>
      </w:r>
      <w:r>
        <w:rPr>
          <w:sz w:val="20"/>
        </w:rPr>
        <w:t>initiatives.</w:t>
      </w:r>
      <w:r>
        <w:rPr>
          <w:spacing w:val="-7"/>
          <w:sz w:val="20"/>
        </w:rPr>
        <w:t> </w:t>
      </w:r>
      <w:r>
        <w:rPr>
          <w:sz w:val="20"/>
        </w:rPr>
        <w:t>Given</w:t>
      </w:r>
      <w:r>
        <w:rPr>
          <w:spacing w:val="-13"/>
          <w:sz w:val="20"/>
        </w:rPr>
        <w:t> </w:t>
      </w:r>
      <w:r>
        <w:rPr>
          <w:sz w:val="20"/>
        </w:rPr>
        <w:t>the</w:t>
      </w:r>
      <w:r>
        <w:rPr>
          <w:spacing w:val="-11"/>
          <w:sz w:val="20"/>
        </w:rPr>
        <w:t> </w:t>
      </w:r>
      <w:r>
        <w:rPr>
          <w:sz w:val="20"/>
        </w:rPr>
        <w:t>expected higher</w:t>
      </w:r>
      <w:r>
        <w:rPr>
          <w:spacing w:val="-8"/>
          <w:sz w:val="20"/>
        </w:rPr>
        <w:t> </w:t>
      </w:r>
      <w:r>
        <w:rPr>
          <w:sz w:val="20"/>
        </w:rPr>
        <w:t>costs</w:t>
      </w:r>
      <w:r>
        <w:rPr>
          <w:spacing w:val="-10"/>
          <w:sz w:val="20"/>
        </w:rPr>
        <w:t> </w:t>
      </w:r>
      <w:r>
        <w:rPr>
          <w:sz w:val="20"/>
        </w:rPr>
        <w:t>and</w:t>
      </w:r>
      <w:r>
        <w:rPr>
          <w:spacing w:val="-8"/>
          <w:sz w:val="20"/>
        </w:rPr>
        <w:t> </w:t>
      </w:r>
      <w:r>
        <w:rPr>
          <w:sz w:val="20"/>
        </w:rPr>
        <w:t>higher</w:t>
      </w:r>
      <w:r>
        <w:rPr>
          <w:spacing w:val="-4"/>
          <w:sz w:val="20"/>
        </w:rPr>
        <w:t> </w:t>
      </w:r>
      <w:r>
        <w:rPr>
          <w:sz w:val="20"/>
        </w:rPr>
        <w:t>frequency</w:t>
      </w:r>
      <w:r>
        <w:rPr>
          <w:spacing w:val="-8"/>
          <w:sz w:val="20"/>
        </w:rPr>
        <w:t> </w:t>
      </w:r>
      <w:r>
        <w:rPr>
          <w:sz w:val="20"/>
        </w:rPr>
        <w:t>of</w:t>
      </w:r>
      <w:r>
        <w:rPr>
          <w:spacing w:val="-8"/>
          <w:sz w:val="20"/>
        </w:rPr>
        <w:t> </w:t>
      </w:r>
      <w:r>
        <w:rPr>
          <w:sz w:val="20"/>
        </w:rPr>
        <w:t>international</w:t>
      </w:r>
      <w:r>
        <w:rPr>
          <w:spacing w:val="-7"/>
          <w:sz w:val="20"/>
        </w:rPr>
        <w:t> </w:t>
      </w:r>
      <w:r>
        <w:rPr>
          <w:sz w:val="20"/>
        </w:rPr>
        <w:t>travel</w:t>
      </w:r>
      <w:r>
        <w:rPr>
          <w:spacing w:val="-7"/>
          <w:sz w:val="20"/>
        </w:rPr>
        <w:t> </w:t>
      </w:r>
      <w:r>
        <w:rPr>
          <w:sz w:val="20"/>
        </w:rPr>
        <w:t>and</w:t>
      </w:r>
      <w:r>
        <w:rPr>
          <w:spacing w:val="-8"/>
          <w:sz w:val="20"/>
        </w:rPr>
        <w:t> </w:t>
      </w:r>
      <w:r>
        <w:rPr>
          <w:sz w:val="20"/>
        </w:rPr>
        <w:t>the</w:t>
      </w:r>
      <w:r>
        <w:rPr>
          <w:spacing w:val="-7"/>
          <w:sz w:val="20"/>
        </w:rPr>
        <w:t> </w:t>
      </w:r>
      <w:r>
        <w:rPr>
          <w:sz w:val="20"/>
        </w:rPr>
        <w:t>growing</w:t>
      </w:r>
      <w:r>
        <w:rPr>
          <w:spacing w:val="-8"/>
          <w:sz w:val="20"/>
        </w:rPr>
        <w:t> </w:t>
      </w:r>
      <w:r>
        <w:rPr>
          <w:sz w:val="20"/>
        </w:rPr>
        <w:t>needs</w:t>
      </w:r>
      <w:r>
        <w:rPr>
          <w:spacing w:val="-10"/>
          <w:sz w:val="20"/>
        </w:rPr>
        <w:t> </w:t>
      </w:r>
      <w:r>
        <w:rPr>
          <w:sz w:val="20"/>
        </w:rPr>
        <w:t>related</w:t>
      </w:r>
      <w:r>
        <w:rPr>
          <w:spacing w:val="-8"/>
          <w:sz w:val="20"/>
        </w:rPr>
        <w:t> </w:t>
      </w:r>
      <w:r>
        <w:rPr>
          <w:sz w:val="20"/>
        </w:rPr>
        <w:t>to</w:t>
      </w:r>
      <w:r>
        <w:rPr>
          <w:spacing w:val="-8"/>
          <w:sz w:val="20"/>
        </w:rPr>
        <w:t> </w:t>
      </w:r>
      <w:r>
        <w:rPr>
          <w:sz w:val="20"/>
        </w:rPr>
        <w:t>the TFV’s</w:t>
      </w:r>
      <w:r>
        <w:rPr>
          <w:spacing w:val="-1"/>
          <w:sz w:val="20"/>
        </w:rPr>
        <w:t> </w:t>
      </w:r>
      <w:r>
        <w:rPr>
          <w:sz w:val="20"/>
        </w:rPr>
        <w:t>portfolio,</w:t>
      </w:r>
      <w:r>
        <w:rPr>
          <w:spacing w:val="-2"/>
          <w:sz w:val="20"/>
        </w:rPr>
        <w:t> </w:t>
      </w:r>
      <w:r>
        <w:rPr>
          <w:sz w:val="20"/>
        </w:rPr>
        <w:t>this</w:t>
      </w:r>
      <w:r>
        <w:rPr>
          <w:spacing w:val="-5"/>
          <w:sz w:val="20"/>
        </w:rPr>
        <w:t> </w:t>
      </w:r>
      <w:r>
        <w:rPr>
          <w:sz w:val="20"/>
        </w:rPr>
        <w:t>amount</w:t>
      </w:r>
      <w:r>
        <w:rPr>
          <w:spacing w:val="-2"/>
          <w:sz w:val="20"/>
        </w:rPr>
        <w:t> </w:t>
      </w:r>
      <w:r>
        <w:rPr>
          <w:sz w:val="20"/>
        </w:rPr>
        <w:t>will</w:t>
      </w:r>
      <w:r>
        <w:rPr>
          <w:spacing w:val="-2"/>
          <w:sz w:val="20"/>
        </w:rPr>
        <w:t> </w:t>
      </w:r>
      <w:r>
        <w:rPr>
          <w:sz w:val="20"/>
        </w:rPr>
        <w:t>be required</w:t>
      </w:r>
      <w:r>
        <w:rPr>
          <w:spacing w:val="-4"/>
          <w:sz w:val="20"/>
        </w:rPr>
        <w:t> </w:t>
      </w:r>
      <w:r>
        <w:rPr>
          <w:sz w:val="20"/>
        </w:rPr>
        <w:t>for</w:t>
      </w:r>
      <w:r>
        <w:rPr>
          <w:spacing w:val="-4"/>
          <w:sz w:val="20"/>
        </w:rPr>
        <w:t> </w:t>
      </w:r>
      <w:r>
        <w:rPr>
          <w:sz w:val="20"/>
        </w:rPr>
        <w:t>the</w:t>
      </w:r>
      <w:r>
        <w:rPr>
          <w:spacing w:val="-2"/>
          <w:sz w:val="20"/>
        </w:rPr>
        <w:t> </w:t>
      </w:r>
      <w:r>
        <w:rPr>
          <w:sz w:val="20"/>
        </w:rPr>
        <w:t>TFV’s</w:t>
      </w:r>
      <w:r>
        <w:rPr>
          <w:spacing w:val="-5"/>
          <w:sz w:val="20"/>
        </w:rPr>
        <w:t> </w:t>
      </w:r>
      <w:r>
        <w:rPr>
          <w:sz w:val="20"/>
        </w:rPr>
        <w:t>priority</w:t>
      </w:r>
      <w:r>
        <w:rPr>
          <w:spacing w:val="-4"/>
          <w:sz w:val="20"/>
        </w:rPr>
        <w:t> </w:t>
      </w:r>
      <w:r>
        <w:rPr>
          <w:sz w:val="20"/>
        </w:rPr>
        <w:t>areas</w:t>
      </w:r>
      <w:r>
        <w:rPr>
          <w:spacing w:val="-5"/>
          <w:sz w:val="20"/>
        </w:rPr>
        <w:t> </w:t>
      </w:r>
      <w:r>
        <w:rPr>
          <w:sz w:val="20"/>
        </w:rPr>
        <w:t>of</w:t>
      </w:r>
      <w:r>
        <w:rPr>
          <w:spacing w:val="-4"/>
          <w:sz w:val="20"/>
        </w:rPr>
        <w:t> </w:t>
      </w:r>
      <w:r>
        <w:rPr>
          <w:sz w:val="20"/>
        </w:rPr>
        <w:t>reparations</w:t>
      </w:r>
      <w:r>
        <w:rPr>
          <w:spacing w:val="-5"/>
          <w:sz w:val="20"/>
        </w:rPr>
        <w:t> </w:t>
      </w:r>
      <w:r>
        <w:rPr>
          <w:sz w:val="20"/>
        </w:rPr>
        <w:t>and resource development as well as to support the Board’s international fundraising and advocacy initiatives. A detailed explanation is provided above.</w:t>
      </w:r>
    </w:p>
    <w:p>
      <w:pPr>
        <w:spacing w:after="0" w:line="240" w:lineRule="auto"/>
        <w:jc w:val="both"/>
        <w:rPr>
          <w:sz w:val="20"/>
        </w:rPr>
        <w:sectPr>
          <w:pgSz w:w="11910" w:h="16840"/>
          <w:pgMar w:header="953" w:footer="940" w:top="1140" w:bottom="1140" w:left="20" w:right="20"/>
        </w:sectPr>
      </w:pPr>
    </w:p>
    <w:p>
      <w:pPr>
        <w:tabs>
          <w:tab w:pos="8484" w:val="left" w:leader="none"/>
        </w:tabs>
        <w:spacing w:before="120"/>
        <w:ind w:left="2246" w:right="0" w:firstLine="0"/>
        <w:jc w:val="both"/>
        <w:rPr>
          <w:i/>
          <w:sz w:val="20"/>
        </w:rPr>
      </w:pPr>
      <w:r>
        <w:rPr>
          <w:i/>
          <w:spacing w:val="-2"/>
          <w:sz w:val="20"/>
        </w:rPr>
        <w:t>Hospitality</w:t>
      </w:r>
      <w:r>
        <w:rPr>
          <w:i/>
          <w:sz w:val="20"/>
        </w:rPr>
        <w:tab/>
        <w:t>€1.0</w:t>
      </w:r>
      <w:r>
        <w:rPr>
          <w:i/>
          <w:spacing w:val="-8"/>
          <w:sz w:val="20"/>
        </w:rPr>
        <w:t> </w:t>
      </w:r>
      <w:r>
        <w:rPr>
          <w:i/>
          <w:spacing w:val="-2"/>
          <w:sz w:val="20"/>
        </w:rPr>
        <w:t>thousand</w:t>
      </w:r>
    </w:p>
    <w:p>
      <w:pPr>
        <w:pStyle w:val="BodyText"/>
        <w:spacing w:before="10"/>
        <w:rPr>
          <w:i/>
        </w:rPr>
      </w:pPr>
    </w:p>
    <w:p>
      <w:pPr>
        <w:pStyle w:val="ListParagraph"/>
        <w:numPr>
          <w:ilvl w:val="0"/>
          <w:numId w:val="4"/>
        </w:numPr>
        <w:tabs>
          <w:tab w:pos="3020" w:val="left" w:leader="none"/>
        </w:tabs>
        <w:spacing w:line="240" w:lineRule="auto" w:before="1" w:after="0"/>
        <w:ind w:left="2246" w:right="2249" w:firstLine="0"/>
        <w:jc w:val="both"/>
        <w:rPr>
          <w:sz w:val="20"/>
        </w:rPr>
      </w:pPr>
      <w:r>
        <w:rPr>
          <w:sz w:val="20"/>
        </w:rPr>
        <w:t>The</w:t>
      </w:r>
      <w:r>
        <w:rPr>
          <w:spacing w:val="-11"/>
          <w:sz w:val="20"/>
        </w:rPr>
        <w:t> </w:t>
      </w:r>
      <w:r>
        <w:rPr>
          <w:sz w:val="20"/>
        </w:rPr>
        <w:t>requested</w:t>
      </w:r>
      <w:r>
        <w:rPr>
          <w:spacing w:val="-12"/>
          <w:sz w:val="20"/>
        </w:rPr>
        <w:t> </w:t>
      </w:r>
      <w:r>
        <w:rPr>
          <w:sz w:val="20"/>
        </w:rPr>
        <w:t>amount</w:t>
      </w:r>
      <w:r>
        <w:rPr>
          <w:spacing w:val="-8"/>
          <w:sz w:val="20"/>
        </w:rPr>
        <w:t> </w:t>
      </w:r>
      <w:r>
        <w:rPr>
          <w:sz w:val="20"/>
        </w:rPr>
        <w:t>remains</w:t>
      </w:r>
      <w:r>
        <w:rPr>
          <w:spacing w:val="-11"/>
          <w:sz w:val="20"/>
        </w:rPr>
        <w:t> </w:t>
      </w:r>
      <w:r>
        <w:rPr>
          <w:sz w:val="20"/>
        </w:rPr>
        <w:t>unchanged</w:t>
      </w:r>
      <w:r>
        <w:rPr>
          <w:spacing w:val="-9"/>
          <w:sz w:val="20"/>
        </w:rPr>
        <w:t> </w:t>
      </w:r>
      <w:r>
        <w:rPr>
          <w:sz w:val="20"/>
        </w:rPr>
        <w:t>and</w:t>
      </w:r>
      <w:r>
        <w:rPr>
          <w:spacing w:val="-13"/>
          <w:sz w:val="20"/>
        </w:rPr>
        <w:t> </w:t>
      </w:r>
      <w:r>
        <w:rPr>
          <w:sz w:val="20"/>
        </w:rPr>
        <w:t>is</w:t>
      </w:r>
      <w:r>
        <w:rPr>
          <w:spacing w:val="-11"/>
          <w:sz w:val="20"/>
        </w:rPr>
        <w:t> </w:t>
      </w:r>
      <w:r>
        <w:rPr>
          <w:sz w:val="20"/>
        </w:rPr>
        <w:t>required</w:t>
      </w:r>
      <w:r>
        <w:rPr>
          <w:spacing w:val="-9"/>
          <w:sz w:val="20"/>
        </w:rPr>
        <w:t> </w:t>
      </w:r>
      <w:r>
        <w:rPr>
          <w:sz w:val="20"/>
        </w:rPr>
        <w:t>for</w:t>
      </w:r>
      <w:r>
        <w:rPr>
          <w:spacing w:val="-9"/>
          <w:sz w:val="20"/>
        </w:rPr>
        <w:t> </w:t>
      </w:r>
      <w:r>
        <w:rPr>
          <w:sz w:val="20"/>
        </w:rPr>
        <w:t>effective</w:t>
      </w:r>
      <w:r>
        <w:rPr>
          <w:spacing w:val="-12"/>
          <w:sz w:val="20"/>
        </w:rPr>
        <w:t> </w:t>
      </w:r>
      <w:r>
        <w:rPr>
          <w:sz w:val="20"/>
        </w:rPr>
        <w:t>engagement with third parties in the context of the TFV’s management of its external relations.</w:t>
      </w:r>
    </w:p>
    <w:p>
      <w:pPr>
        <w:pStyle w:val="BodyText"/>
        <w:spacing w:before="11"/>
      </w:pPr>
    </w:p>
    <w:p>
      <w:pPr>
        <w:tabs>
          <w:tab w:pos="8282" w:val="left" w:leader="none"/>
        </w:tabs>
        <w:spacing w:before="0"/>
        <w:ind w:left="2246" w:right="0" w:firstLine="0"/>
        <w:jc w:val="both"/>
        <w:rPr>
          <w:i/>
          <w:sz w:val="20"/>
        </w:rPr>
      </w:pPr>
      <w:r>
        <w:rPr>
          <w:i/>
          <w:sz w:val="20"/>
        </w:rPr>
        <w:t>Contractual</w:t>
      </w:r>
      <w:r>
        <w:rPr>
          <w:i/>
          <w:spacing w:val="-4"/>
          <w:sz w:val="20"/>
        </w:rPr>
        <w:t> </w:t>
      </w:r>
      <w:r>
        <w:rPr>
          <w:i/>
          <w:spacing w:val="-2"/>
          <w:sz w:val="20"/>
        </w:rPr>
        <w:t>services</w:t>
      </w:r>
      <w:r>
        <w:rPr>
          <w:i/>
          <w:sz w:val="20"/>
        </w:rPr>
        <w:tab/>
        <w:t>€235.0</w:t>
      </w:r>
      <w:r>
        <w:rPr>
          <w:i/>
          <w:spacing w:val="-3"/>
          <w:sz w:val="20"/>
        </w:rPr>
        <w:t> </w:t>
      </w:r>
      <w:r>
        <w:rPr>
          <w:i/>
          <w:spacing w:val="-2"/>
          <w:sz w:val="20"/>
        </w:rPr>
        <w:t>thousand</w:t>
      </w:r>
    </w:p>
    <w:p>
      <w:pPr>
        <w:pStyle w:val="BodyText"/>
        <w:spacing w:before="10"/>
        <w:rPr>
          <w:i/>
        </w:rPr>
      </w:pPr>
    </w:p>
    <w:p>
      <w:pPr>
        <w:pStyle w:val="ListParagraph"/>
        <w:numPr>
          <w:ilvl w:val="0"/>
          <w:numId w:val="4"/>
        </w:numPr>
        <w:tabs>
          <w:tab w:pos="3020" w:val="left" w:leader="none"/>
        </w:tabs>
        <w:spacing w:line="240" w:lineRule="auto" w:before="1" w:after="0"/>
        <w:ind w:left="2246" w:right="2236" w:firstLine="0"/>
        <w:jc w:val="both"/>
        <w:rPr>
          <w:sz w:val="20"/>
        </w:rPr>
      </w:pPr>
      <w:r>
        <w:rPr>
          <w:sz w:val="20"/>
        </w:rPr>
        <w:t>The requested amount has increased by €135.7 thousand (136.7 percent). Contractual services are needed for external printing in the field and at Headquarters; SAP Grants Management support, including business support services; development of fundraising events and materials, rental of premises in the field; the External Auditor’s fee; TFV Board meeting costs; external English-French translation; and the cost of mandatory residential security measures in the field.</w:t>
      </w:r>
    </w:p>
    <w:p>
      <w:pPr>
        <w:pStyle w:val="ListParagraph"/>
        <w:numPr>
          <w:ilvl w:val="0"/>
          <w:numId w:val="4"/>
        </w:numPr>
        <w:tabs>
          <w:tab w:pos="3020" w:val="left" w:leader="none"/>
        </w:tabs>
        <w:spacing w:line="240" w:lineRule="auto" w:before="118" w:after="0"/>
        <w:ind w:left="2246" w:right="2239" w:firstLine="0"/>
        <w:jc w:val="both"/>
        <w:rPr>
          <w:sz w:val="20"/>
        </w:rPr>
      </w:pPr>
      <w:r>
        <w:rPr>
          <w:sz w:val="20"/>
        </w:rPr>
        <w:t>The increase in the budget for contractual resources relates specifically to (i) the TFV’s</w:t>
      </w:r>
      <w:r>
        <w:rPr>
          <w:spacing w:val="29"/>
          <w:sz w:val="20"/>
        </w:rPr>
        <w:t> </w:t>
      </w:r>
      <w:r>
        <w:rPr>
          <w:sz w:val="20"/>
        </w:rPr>
        <w:t>need</w:t>
      </w:r>
      <w:r>
        <w:rPr>
          <w:spacing w:val="21"/>
          <w:sz w:val="20"/>
        </w:rPr>
        <w:t> </w:t>
      </w:r>
      <w:r>
        <w:rPr>
          <w:sz w:val="20"/>
        </w:rPr>
        <w:t>to</w:t>
      </w:r>
      <w:r>
        <w:rPr>
          <w:spacing w:val="26"/>
          <w:sz w:val="20"/>
        </w:rPr>
        <w:t> </w:t>
      </w:r>
      <w:r>
        <w:rPr>
          <w:sz w:val="20"/>
        </w:rPr>
        <w:t>review</w:t>
      </w:r>
      <w:r>
        <w:rPr>
          <w:spacing w:val="20"/>
          <w:sz w:val="20"/>
        </w:rPr>
        <w:t> </w:t>
      </w:r>
      <w:r>
        <w:rPr>
          <w:sz w:val="20"/>
        </w:rPr>
        <w:t>and</w:t>
      </w:r>
      <w:r>
        <w:rPr>
          <w:spacing w:val="26"/>
          <w:sz w:val="20"/>
        </w:rPr>
        <w:t> </w:t>
      </w:r>
      <w:r>
        <w:rPr>
          <w:sz w:val="20"/>
        </w:rPr>
        <w:t>adapt</w:t>
      </w:r>
      <w:r>
        <w:rPr>
          <w:spacing w:val="23"/>
          <w:sz w:val="20"/>
        </w:rPr>
        <w:t> </w:t>
      </w:r>
      <w:r>
        <w:rPr>
          <w:sz w:val="20"/>
        </w:rPr>
        <w:t>its</w:t>
      </w:r>
      <w:r>
        <w:rPr>
          <w:spacing w:val="24"/>
          <w:sz w:val="20"/>
        </w:rPr>
        <w:t> </w:t>
      </w:r>
      <w:r>
        <w:rPr>
          <w:sz w:val="20"/>
        </w:rPr>
        <w:t>electronic</w:t>
      </w:r>
      <w:r>
        <w:rPr>
          <w:spacing w:val="28"/>
          <w:sz w:val="20"/>
        </w:rPr>
        <w:t> </w:t>
      </w:r>
      <w:r>
        <w:rPr>
          <w:sz w:val="20"/>
        </w:rPr>
        <w:t>fund</w:t>
      </w:r>
      <w:r>
        <w:rPr>
          <w:spacing w:val="26"/>
          <w:sz w:val="20"/>
        </w:rPr>
        <w:t> </w:t>
      </w:r>
      <w:r>
        <w:rPr>
          <w:sz w:val="20"/>
        </w:rPr>
        <w:t>management</w:t>
      </w:r>
      <w:r>
        <w:rPr>
          <w:spacing w:val="28"/>
          <w:sz w:val="20"/>
        </w:rPr>
        <w:t> </w:t>
      </w:r>
      <w:r>
        <w:rPr>
          <w:sz w:val="20"/>
        </w:rPr>
        <w:t>system,</w:t>
      </w:r>
      <w:r>
        <w:rPr>
          <w:spacing w:val="29"/>
          <w:sz w:val="20"/>
        </w:rPr>
        <w:t> </w:t>
      </w:r>
      <w:r>
        <w:rPr>
          <w:sz w:val="20"/>
        </w:rPr>
        <w:t>with</w:t>
      </w:r>
      <w:r>
        <w:rPr>
          <w:spacing w:val="26"/>
          <w:sz w:val="20"/>
        </w:rPr>
        <w:t> </w:t>
      </w:r>
      <w:r>
        <w:rPr>
          <w:sz w:val="20"/>
        </w:rPr>
        <w:t>a</w:t>
      </w:r>
      <w:r>
        <w:rPr>
          <w:spacing w:val="28"/>
          <w:sz w:val="20"/>
        </w:rPr>
        <w:t> </w:t>
      </w:r>
      <w:r>
        <w:rPr>
          <w:sz w:val="20"/>
        </w:rPr>
        <w:t>view</w:t>
      </w:r>
      <w:r>
        <w:rPr>
          <w:spacing w:val="24"/>
          <w:sz w:val="20"/>
        </w:rPr>
        <w:t> </w:t>
      </w:r>
      <w:r>
        <w:rPr>
          <w:sz w:val="20"/>
        </w:rPr>
        <w:t>to re-establishing</w:t>
      </w:r>
      <w:r>
        <w:rPr>
          <w:spacing w:val="-13"/>
          <w:sz w:val="20"/>
        </w:rPr>
        <w:t> </w:t>
      </w:r>
      <w:r>
        <w:rPr>
          <w:sz w:val="20"/>
        </w:rPr>
        <w:t>its</w:t>
      </w:r>
      <w:r>
        <w:rPr>
          <w:spacing w:val="-12"/>
          <w:sz w:val="20"/>
        </w:rPr>
        <w:t> </w:t>
      </w:r>
      <w:r>
        <w:rPr>
          <w:sz w:val="20"/>
        </w:rPr>
        <w:t>efficiency</w:t>
      </w:r>
      <w:r>
        <w:rPr>
          <w:spacing w:val="-13"/>
          <w:sz w:val="20"/>
        </w:rPr>
        <w:t> </w:t>
      </w:r>
      <w:r>
        <w:rPr>
          <w:sz w:val="20"/>
        </w:rPr>
        <w:t>and</w:t>
      </w:r>
      <w:r>
        <w:rPr>
          <w:spacing w:val="-12"/>
          <w:sz w:val="20"/>
        </w:rPr>
        <w:t> </w:t>
      </w:r>
      <w:r>
        <w:rPr>
          <w:sz w:val="20"/>
        </w:rPr>
        <w:t>relevance</w:t>
      </w:r>
      <w:r>
        <w:rPr>
          <w:spacing w:val="-13"/>
          <w:sz w:val="20"/>
        </w:rPr>
        <w:t> </w:t>
      </w:r>
      <w:r>
        <w:rPr>
          <w:sz w:val="20"/>
        </w:rPr>
        <w:t>with</w:t>
      </w:r>
      <w:r>
        <w:rPr>
          <w:spacing w:val="-12"/>
          <w:sz w:val="20"/>
        </w:rPr>
        <w:t> </w:t>
      </w:r>
      <w:r>
        <w:rPr>
          <w:sz w:val="20"/>
        </w:rPr>
        <w:t>respect</w:t>
      </w:r>
      <w:r>
        <w:rPr>
          <w:spacing w:val="-13"/>
          <w:sz w:val="20"/>
        </w:rPr>
        <w:t> </w:t>
      </w:r>
      <w:r>
        <w:rPr>
          <w:sz w:val="20"/>
        </w:rPr>
        <w:t>to</w:t>
      </w:r>
      <w:r>
        <w:rPr>
          <w:spacing w:val="-12"/>
          <w:sz w:val="20"/>
        </w:rPr>
        <w:t> </w:t>
      </w:r>
      <w:r>
        <w:rPr>
          <w:sz w:val="20"/>
        </w:rPr>
        <w:t>the</w:t>
      </w:r>
      <w:r>
        <w:rPr>
          <w:spacing w:val="-12"/>
          <w:sz w:val="20"/>
        </w:rPr>
        <w:t> </w:t>
      </w:r>
      <w:r>
        <w:rPr>
          <w:sz w:val="20"/>
        </w:rPr>
        <w:t>Trust</w:t>
      </w:r>
      <w:r>
        <w:rPr>
          <w:spacing w:val="-11"/>
          <w:sz w:val="20"/>
        </w:rPr>
        <w:t> </w:t>
      </w:r>
      <w:r>
        <w:rPr>
          <w:sz w:val="20"/>
        </w:rPr>
        <w:t>Fund’s</w:t>
      </w:r>
      <w:r>
        <w:rPr>
          <w:spacing w:val="-12"/>
          <w:sz w:val="20"/>
        </w:rPr>
        <w:t> </w:t>
      </w:r>
      <w:r>
        <w:rPr>
          <w:sz w:val="20"/>
        </w:rPr>
        <w:t>evolved</w:t>
      </w:r>
      <w:r>
        <w:rPr>
          <w:spacing w:val="-12"/>
          <w:sz w:val="20"/>
        </w:rPr>
        <w:t> </w:t>
      </w:r>
      <w:r>
        <w:rPr>
          <w:sz w:val="20"/>
        </w:rPr>
        <w:t>and</w:t>
      </w:r>
      <w:r>
        <w:rPr>
          <w:spacing w:val="-12"/>
          <w:sz w:val="20"/>
        </w:rPr>
        <w:t> </w:t>
      </w:r>
      <w:r>
        <w:rPr>
          <w:sz w:val="20"/>
        </w:rPr>
        <w:t>more complex fund management needs – having such an accounting system in place is a requirement that follows from regulation 38 of the Trust Fund’s Regulations; and (ii) the need to endow the Trust Fund with the means to engage in profiling activities in support of its fundraising strategy and the establishment of strategic partnerships.</w:t>
      </w:r>
    </w:p>
    <w:p>
      <w:pPr>
        <w:pStyle w:val="BodyText"/>
        <w:spacing w:before="2"/>
        <w:rPr>
          <w:sz w:val="21"/>
        </w:rPr>
      </w:pPr>
    </w:p>
    <w:p>
      <w:pPr>
        <w:tabs>
          <w:tab w:pos="8383" w:val="left" w:leader="none"/>
        </w:tabs>
        <w:spacing w:before="0"/>
        <w:ind w:left="2246" w:right="0" w:firstLine="0"/>
        <w:jc w:val="both"/>
        <w:rPr>
          <w:i/>
          <w:sz w:val="20"/>
        </w:rPr>
      </w:pPr>
      <w:r>
        <w:rPr>
          <w:i/>
          <w:spacing w:val="-2"/>
          <w:sz w:val="20"/>
        </w:rPr>
        <w:t>Training</w:t>
      </w:r>
      <w:r>
        <w:rPr>
          <w:i/>
          <w:sz w:val="20"/>
        </w:rPr>
        <w:tab/>
        <w:t>€19.5</w:t>
      </w:r>
      <w:r>
        <w:rPr>
          <w:i/>
          <w:spacing w:val="-3"/>
          <w:sz w:val="20"/>
        </w:rPr>
        <w:t> </w:t>
      </w:r>
      <w:r>
        <w:rPr>
          <w:i/>
          <w:spacing w:val="-2"/>
          <w:sz w:val="20"/>
        </w:rPr>
        <w:t>thousand</w:t>
      </w:r>
    </w:p>
    <w:p>
      <w:pPr>
        <w:pStyle w:val="BodyText"/>
        <w:spacing w:before="10"/>
        <w:rPr>
          <w:i/>
        </w:rPr>
      </w:pPr>
    </w:p>
    <w:p>
      <w:pPr>
        <w:pStyle w:val="ListParagraph"/>
        <w:numPr>
          <w:ilvl w:val="0"/>
          <w:numId w:val="4"/>
        </w:numPr>
        <w:tabs>
          <w:tab w:pos="3020" w:val="left" w:leader="none"/>
        </w:tabs>
        <w:spacing w:line="240" w:lineRule="auto" w:before="0" w:after="0"/>
        <w:ind w:left="2246" w:right="2243" w:firstLine="0"/>
        <w:jc w:val="both"/>
        <w:rPr>
          <w:sz w:val="20"/>
        </w:rPr>
      </w:pPr>
      <w:r>
        <w:rPr>
          <w:sz w:val="20"/>
        </w:rPr>
        <w:t>The requested amount has increased by €0.4 thousand (2.1 percent). This amount is required to cover the training needs of new and existing staff in The Hague and in the country offices, within the newly expanded STFV structure.</w:t>
      </w:r>
    </w:p>
    <w:p>
      <w:pPr>
        <w:pStyle w:val="BodyText"/>
        <w:rPr>
          <w:sz w:val="21"/>
        </w:rPr>
      </w:pPr>
    </w:p>
    <w:p>
      <w:pPr>
        <w:tabs>
          <w:tab w:pos="8383" w:val="left" w:leader="none"/>
        </w:tabs>
        <w:spacing w:before="0"/>
        <w:ind w:left="2246" w:right="0" w:firstLine="0"/>
        <w:jc w:val="both"/>
        <w:rPr>
          <w:i/>
          <w:sz w:val="20"/>
        </w:rPr>
      </w:pPr>
      <w:r>
        <w:rPr>
          <w:i/>
          <w:spacing w:val="-2"/>
          <w:sz w:val="20"/>
        </w:rPr>
        <w:t>Consultants</w:t>
      </w:r>
      <w:r>
        <w:rPr>
          <w:i/>
          <w:sz w:val="20"/>
        </w:rPr>
        <w:tab/>
        <w:t>€40.0</w:t>
      </w:r>
      <w:r>
        <w:rPr>
          <w:i/>
          <w:spacing w:val="-3"/>
          <w:sz w:val="20"/>
        </w:rPr>
        <w:t> </w:t>
      </w:r>
      <w:r>
        <w:rPr>
          <w:i/>
          <w:spacing w:val="-2"/>
          <w:sz w:val="20"/>
        </w:rPr>
        <w:t>thousand</w:t>
      </w:r>
    </w:p>
    <w:p>
      <w:pPr>
        <w:pStyle w:val="BodyText"/>
        <w:spacing w:before="6"/>
        <w:rPr>
          <w:i/>
        </w:rPr>
      </w:pPr>
    </w:p>
    <w:p>
      <w:pPr>
        <w:pStyle w:val="ListParagraph"/>
        <w:numPr>
          <w:ilvl w:val="0"/>
          <w:numId w:val="4"/>
        </w:numPr>
        <w:tabs>
          <w:tab w:pos="3020" w:val="left" w:leader="none"/>
        </w:tabs>
        <w:spacing w:line="240" w:lineRule="auto" w:before="0" w:after="0"/>
        <w:ind w:left="2246" w:right="2241" w:firstLine="0"/>
        <w:jc w:val="both"/>
        <w:rPr>
          <w:sz w:val="20"/>
        </w:rPr>
      </w:pPr>
      <w:r>
        <w:rPr>
          <w:sz w:val="20"/>
        </w:rPr>
        <w:t>The requested amount has decreased by €0.2 thousand (0.5 percent). Consultants will</w:t>
      </w:r>
      <w:r>
        <w:rPr>
          <w:spacing w:val="-13"/>
          <w:sz w:val="20"/>
        </w:rPr>
        <w:t> </w:t>
      </w:r>
      <w:r>
        <w:rPr>
          <w:sz w:val="20"/>
        </w:rPr>
        <w:t>be</w:t>
      </w:r>
      <w:r>
        <w:rPr>
          <w:spacing w:val="-12"/>
          <w:sz w:val="20"/>
        </w:rPr>
        <w:t> </w:t>
      </w:r>
      <w:r>
        <w:rPr>
          <w:sz w:val="20"/>
        </w:rPr>
        <w:t>required</w:t>
      </w:r>
      <w:r>
        <w:rPr>
          <w:spacing w:val="-13"/>
          <w:sz w:val="20"/>
        </w:rPr>
        <w:t> </w:t>
      </w:r>
      <w:r>
        <w:rPr>
          <w:sz w:val="20"/>
        </w:rPr>
        <w:t>in</w:t>
      </w:r>
      <w:r>
        <w:rPr>
          <w:spacing w:val="-12"/>
          <w:sz w:val="20"/>
        </w:rPr>
        <w:t> </w:t>
      </w:r>
      <w:r>
        <w:rPr>
          <w:sz w:val="20"/>
        </w:rPr>
        <w:t>the</w:t>
      </w:r>
      <w:r>
        <w:rPr>
          <w:spacing w:val="-13"/>
          <w:sz w:val="20"/>
        </w:rPr>
        <w:t> </w:t>
      </w:r>
      <w:r>
        <w:rPr>
          <w:sz w:val="20"/>
        </w:rPr>
        <w:t>first</w:t>
      </w:r>
      <w:r>
        <w:rPr>
          <w:spacing w:val="-12"/>
          <w:sz w:val="20"/>
        </w:rPr>
        <w:t> </w:t>
      </w:r>
      <w:r>
        <w:rPr>
          <w:sz w:val="20"/>
        </w:rPr>
        <w:t>instance</w:t>
      </w:r>
      <w:r>
        <w:rPr>
          <w:spacing w:val="-13"/>
          <w:sz w:val="20"/>
        </w:rPr>
        <w:t> </w:t>
      </w:r>
      <w:r>
        <w:rPr>
          <w:sz w:val="20"/>
        </w:rPr>
        <w:t>to</w:t>
      </w:r>
      <w:r>
        <w:rPr>
          <w:spacing w:val="-12"/>
          <w:sz w:val="20"/>
        </w:rPr>
        <w:t> </w:t>
      </w:r>
      <w:r>
        <w:rPr>
          <w:sz w:val="20"/>
        </w:rPr>
        <w:t>support</w:t>
      </w:r>
      <w:r>
        <w:rPr>
          <w:spacing w:val="-13"/>
          <w:sz w:val="20"/>
        </w:rPr>
        <w:t> </w:t>
      </w:r>
      <w:r>
        <w:rPr>
          <w:sz w:val="20"/>
        </w:rPr>
        <w:t>ad</w:t>
      </w:r>
      <w:r>
        <w:rPr>
          <w:spacing w:val="-12"/>
          <w:sz w:val="20"/>
        </w:rPr>
        <w:t> </w:t>
      </w:r>
      <w:r>
        <w:rPr>
          <w:sz w:val="20"/>
        </w:rPr>
        <w:t>hoc</w:t>
      </w:r>
      <w:r>
        <w:rPr>
          <w:spacing w:val="-13"/>
          <w:sz w:val="20"/>
        </w:rPr>
        <w:t> </w:t>
      </w:r>
      <w:r>
        <w:rPr>
          <w:sz w:val="20"/>
        </w:rPr>
        <w:t>reparations</w:t>
      </w:r>
      <w:r>
        <w:rPr>
          <w:spacing w:val="-11"/>
          <w:sz w:val="20"/>
        </w:rPr>
        <w:t> </w:t>
      </w:r>
      <w:r>
        <w:rPr>
          <w:sz w:val="20"/>
        </w:rPr>
        <w:t>activities,</w:t>
      </w:r>
      <w:r>
        <w:rPr>
          <w:spacing w:val="-11"/>
          <w:sz w:val="20"/>
        </w:rPr>
        <w:t> </w:t>
      </w:r>
      <w:r>
        <w:rPr>
          <w:sz w:val="20"/>
        </w:rPr>
        <w:t>including</w:t>
      </w:r>
      <w:r>
        <w:rPr>
          <w:spacing w:val="-13"/>
          <w:sz w:val="20"/>
        </w:rPr>
        <w:t> </w:t>
      </w:r>
      <w:r>
        <w:rPr>
          <w:sz w:val="20"/>
        </w:rPr>
        <w:t>through the provision of expert advice, and the TFV’s visibility and fundraising activities.</w:t>
      </w:r>
    </w:p>
    <w:p>
      <w:pPr>
        <w:pStyle w:val="BodyText"/>
        <w:rPr>
          <w:sz w:val="21"/>
        </w:rPr>
      </w:pPr>
    </w:p>
    <w:p>
      <w:pPr>
        <w:tabs>
          <w:tab w:pos="8484" w:val="left" w:leader="none"/>
        </w:tabs>
        <w:spacing w:before="0"/>
        <w:ind w:left="2246" w:right="0" w:firstLine="0"/>
        <w:jc w:val="both"/>
        <w:rPr>
          <w:i/>
          <w:sz w:val="20"/>
        </w:rPr>
      </w:pPr>
      <w:r>
        <w:rPr>
          <w:i/>
          <w:sz w:val="20"/>
        </w:rPr>
        <w:t>General</w:t>
      </w:r>
      <w:r>
        <w:rPr>
          <w:i/>
          <w:spacing w:val="-7"/>
          <w:sz w:val="20"/>
        </w:rPr>
        <w:t> </w:t>
      </w:r>
      <w:r>
        <w:rPr>
          <w:i/>
          <w:sz w:val="20"/>
        </w:rPr>
        <w:t>operating</w:t>
      </w:r>
      <w:r>
        <w:rPr>
          <w:i/>
          <w:spacing w:val="-8"/>
          <w:sz w:val="20"/>
        </w:rPr>
        <w:t> </w:t>
      </w:r>
      <w:r>
        <w:rPr>
          <w:i/>
          <w:spacing w:val="-2"/>
          <w:sz w:val="20"/>
        </w:rPr>
        <w:t>expenses</w:t>
      </w:r>
      <w:r>
        <w:rPr>
          <w:i/>
          <w:sz w:val="20"/>
        </w:rPr>
        <w:tab/>
        <w:t>€5.0</w:t>
      </w:r>
      <w:r>
        <w:rPr>
          <w:i/>
          <w:spacing w:val="-3"/>
          <w:sz w:val="20"/>
        </w:rPr>
        <w:t> </w:t>
      </w:r>
      <w:r>
        <w:rPr>
          <w:i/>
          <w:spacing w:val="-2"/>
          <w:sz w:val="20"/>
        </w:rPr>
        <w:t>thousand</w:t>
      </w:r>
    </w:p>
    <w:p>
      <w:pPr>
        <w:pStyle w:val="BodyText"/>
        <w:spacing w:before="10"/>
        <w:rPr>
          <w:i/>
        </w:rPr>
      </w:pPr>
    </w:p>
    <w:p>
      <w:pPr>
        <w:pStyle w:val="ListParagraph"/>
        <w:numPr>
          <w:ilvl w:val="0"/>
          <w:numId w:val="4"/>
        </w:numPr>
        <w:tabs>
          <w:tab w:pos="3020" w:val="left" w:leader="none"/>
        </w:tabs>
        <w:spacing w:line="240" w:lineRule="auto" w:before="1" w:after="0"/>
        <w:ind w:left="2246" w:right="2247" w:firstLine="0"/>
        <w:jc w:val="both"/>
        <w:rPr>
          <w:sz w:val="20"/>
        </w:rPr>
      </w:pPr>
      <w:r>
        <w:rPr>
          <w:sz w:val="20"/>
        </w:rPr>
        <w:t>The requested</w:t>
      </w:r>
      <w:r>
        <w:rPr>
          <w:spacing w:val="-7"/>
          <w:sz w:val="20"/>
        </w:rPr>
        <w:t> </w:t>
      </w:r>
      <w:r>
        <w:rPr>
          <w:sz w:val="20"/>
        </w:rPr>
        <w:t>amount remains</w:t>
      </w:r>
      <w:r>
        <w:rPr>
          <w:spacing w:val="-3"/>
          <w:sz w:val="20"/>
        </w:rPr>
        <w:t> </w:t>
      </w:r>
      <w:r>
        <w:rPr>
          <w:sz w:val="20"/>
        </w:rPr>
        <w:t>unchanged.</w:t>
      </w:r>
      <w:r>
        <w:rPr>
          <w:spacing w:val="-4"/>
          <w:sz w:val="20"/>
        </w:rPr>
        <w:t> </w:t>
      </w:r>
      <w:r>
        <w:rPr>
          <w:sz w:val="20"/>
        </w:rPr>
        <w:t>This</w:t>
      </w:r>
      <w:r>
        <w:rPr>
          <w:spacing w:val="-3"/>
          <w:sz w:val="20"/>
        </w:rPr>
        <w:t> </w:t>
      </w:r>
      <w:r>
        <w:rPr>
          <w:sz w:val="20"/>
        </w:rPr>
        <w:t>amount is</w:t>
      </w:r>
      <w:r>
        <w:rPr>
          <w:spacing w:val="-3"/>
          <w:sz w:val="20"/>
        </w:rPr>
        <w:t> </w:t>
      </w:r>
      <w:r>
        <w:rPr>
          <w:sz w:val="20"/>
        </w:rPr>
        <w:t>required</w:t>
      </w:r>
      <w:r>
        <w:rPr>
          <w:spacing w:val="-2"/>
          <w:sz w:val="20"/>
        </w:rPr>
        <w:t> </w:t>
      </w:r>
      <w:r>
        <w:rPr>
          <w:sz w:val="20"/>
        </w:rPr>
        <w:t>for</w:t>
      </w:r>
      <w:r>
        <w:rPr>
          <w:spacing w:val="-2"/>
          <w:sz w:val="20"/>
        </w:rPr>
        <w:t> </w:t>
      </w:r>
      <w:r>
        <w:rPr>
          <w:sz w:val="20"/>
        </w:rPr>
        <w:t>workshops and meetings in country offices and for communications materials and mailing costs.</w:t>
      </w:r>
    </w:p>
    <w:p>
      <w:pPr>
        <w:pStyle w:val="BodyText"/>
        <w:spacing w:before="10"/>
      </w:pPr>
    </w:p>
    <w:p>
      <w:pPr>
        <w:tabs>
          <w:tab w:pos="8484" w:val="left" w:leader="none"/>
        </w:tabs>
        <w:spacing w:before="0"/>
        <w:ind w:left="2246" w:right="0" w:firstLine="0"/>
        <w:jc w:val="both"/>
        <w:rPr>
          <w:i/>
          <w:sz w:val="20"/>
        </w:rPr>
      </w:pPr>
      <w:r>
        <w:rPr>
          <w:i/>
          <w:sz w:val="20"/>
        </w:rPr>
        <w:t>Supplies</w:t>
      </w:r>
      <w:r>
        <w:rPr>
          <w:i/>
          <w:spacing w:val="-5"/>
          <w:sz w:val="20"/>
        </w:rPr>
        <w:t> </w:t>
      </w:r>
      <w:r>
        <w:rPr>
          <w:i/>
          <w:sz w:val="20"/>
        </w:rPr>
        <w:t>and</w:t>
      </w:r>
      <w:r>
        <w:rPr>
          <w:i/>
          <w:spacing w:val="-4"/>
          <w:sz w:val="20"/>
        </w:rPr>
        <w:t> </w:t>
      </w:r>
      <w:r>
        <w:rPr>
          <w:i/>
          <w:spacing w:val="-2"/>
          <w:sz w:val="20"/>
        </w:rPr>
        <w:t>materials</w:t>
      </w:r>
      <w:r>
        <w:rPr>
          <w:i/>
          <w:sz w:val="20"/>
        </w:rPr>
        <w:tab/>
        <w:t>€3.0</w:t>
      </w:r>
      <w:r>
        <w:rPr>
          <w:i/>
          <w:spacing w:val="-3"/>
          <w:sz w:val="20"/>
        </w:rPr>
        <w:t> </w:t>
      </w:r>
      <w:r>
        <w:rPr>
          <w:i/>
          <w:spacing w:val="-2"/>
          <w:sz w:val="20"/>
        </w:rPr>
        <w:t>thousand</w:t>
      </w:r>
    </w:p>
    <w:p>
      <w:pPr>
        <w:pStyle w:val="BodyText"/>
        <w:spacing w:before="11"/>
        <w:rPr>
          <w:i/>
        </w:rPr>
      </w:pPr>
    </w:p>
    <w:p>
      <w:pPr>
        <w:pStyle w:val="ListParagraph"/>
        <w:numPr>
          <w:ilvl w:val="0"/>
          <w:numId w:val="4"/>
        </w:numPr>
        <w:tabs>
          <w:tab w:pos="3020" w:val="left" w:leader="none"/>
        </w:tabs>
        <w:spacing w:line="240" w:lineRule="auto" w:before="0" w:after="0"/>
        <w:ind w:left="2246" w:right="2243" w:firstLine="0"/>
        <w:jc w:val="both"/>
        <w:rPr>
          <w:sz w:val="20"/>
        </w:rPr>
      </w:pPr>
      <w:r>
        <w:rPr>
          <w:sz w:val="20"/>
        </w:rPr>
        <w:t>The</w:t>
      </w:r>
      <w:r>
        <w:rPr>
          <w:spacing w:val="-4"/>
          <w:sz w:val="20"/>
        </w:rPr>
        <w:t> </w:t>
      </w:r>
      <w:r>
        <w:rPr>
          <w:sz w:val="20"/>
        </w:rPr>
        <w:t>requested</w:t>
      </w:r>
      <w:r>
        <w:rPr>
          <w:spacing w:val="-6"/>
          <w:sz w:val="20"/>
        </w:rPr>
        <w:t> </w:t>
      </w:r>
      <w:r>
        <w:rPr>
          <w:sz w:val="20"/>
        </w:rPr>
        <w:t>amount</w:t>
      </w:r>
      <w:r>
        <w:rPr>
          <w:spacing w:val="-9"/>
          <w:sz w:val="20"/>
        </w:rPr>
        <w:t> </w:t>
      </w:r>
      <w:r>
        <w:rPr>
          <w:sz w:val="20"/>
        </w:rPr>
        <w:t>remains</w:t>
      </w:r>
      <w:r>
        <w:rPr>
          <w:spacing w:val="-7"/>
          <w:sz w:val="20"/>
        </w:rPr>
        <w:t> </w:t>
      </w:r>
      <w:r>
        <w:rPr>
          <w:sz w:val="20"/>
        </w:rPr>
        <w:t>unchanged.</w:t>
      </w:r>
      <w:r>
        <w:rPr>
          <w:spacing w:val="-8"/>
          <w:sz w:val="20"/>
        </w:rPr>
        <w:t> </w:t>
      </w:r>
      <w:r>
        <w:rPr>
          <w:sz w:val="20"/>
        </w:rPr>
        <w:t>This</w:t>
      </w:r>
      <w:r>
        <w:rPr>
          <w:spacing w:val="-7"/>
          <w:sz w:val="20"/>
        </w:rPr>
        <w:t> </w:t>
      </w:r>
      <w:r>
        <w:rPr>
          <w:sz w:val="20"/>
        </w:rPr>
        <w:t>amount</w:t>
      </w:r>
      <w:r>
        <w:rPr>
          <w:spacing w:val="-9"/>
          <w:sz w:val="20"/>
        </w:rPr>
        <w:t> </w:t>
      </w:r>
      <w:r>
        <w:rPr>
          <w:sz w:val="20"/>
        </w:rPr>
        <w:t>is</w:t>
      </w:r>
      <w:r>
        <w:rPr>
          <w:spacing w:val="-7"/>
          <w:sz w:val="20"/>
        </w:rPr>
        <w:t> </w:t>
      </w:r>
      <w:r>
        <w:rPr>
          <w:sz w:val="20"/>
        </w:rPr>
        <w:t>required</w:t>
      </w:r>
      <w:r>
        <w:rPr>
          <w:spacing w:val="-6"/>
          <w:sz w:val="20"/>
        </w:rPr>
        <w:t> </w:t>
      </w:r>
      <w:r>
        <w:rPr>
          <w:sz w:val="20"/>
        </w:rPr>
        <w:t>for</w:t>
      </w:r>
      <w:r>
        <w:rPr>
          <w:spacing w:val="-10"/>
          <w:sz w:val="20"/>
        </w:rPr>
        <w:t> </w:t>
      </w:r>
      <w:r>
        <w:rPr>
          <w:sz w:val="20"/>
        </w:rPr>
        <w:t>basic</w:t>
      </w:r>
      <w:r>
        <w:rPr>
          <w:spacing w:val="-9"/>
          <w:sz w:val="20"/>
        </w:rPr>
        <w:t> </w:t>
      </w:r>
      <w:r>
        <w:rPr>
          <w:sz w:val="20"/>
        </w:rPr>
        <w:t>office supplies and other expendable office materials.</w:t>
      </w:r>
    </w:p>
    <w:p>
      <w:pPr>
        <w:spacing w:after="0" w:line="240" w:lineRule="auto"/>
        <w:jc w:val="both"/>
        <w:rPr>
          <w:sz w:val="20"/>
        </w:rPr>
        <w:sectPr>
          <w:pgSz w:w="11910" w:h="16840"/>
          <w:pgMar w:header="957" w:footer="940" w:top="1140" w:bottom="1140" w:left="20" w:right="20"/>
        </w:sectPr>
      </w:pPr>
    </w:p>
    <w:p>
      <w:pPr>
        <w:pStyle w:val="BodyText"/>
        <w:spacing w:line="20" w:lineRule="exact"/>
        <w:ind w:left="1084"/>
        <w:rPr>
          <w:sz w:val="2"/>
        </w:rPr>
      </w:pPr>
      <w:r>
        <w:rPr>
          <w:sz w:val="2"/>
        </w:rPr>
        <w:pict>
          <v:group style="width:485pt;height:.25pt;mso-position-horizontal-relative:char;mso-position-vertical-relative:line" id="docshapegroup338" coordorigin="0,0" coordsize="9700,5">
            <v:rect style="position:absolute;left:0;top:0;width:9700;height:5" id="docshape339" filled="true" fillcolor="#000000" stroked="false">
              <v:fill type="solid"/>
            </v:rect>
          </v:group>
        </w:pict>
      </w:r>
      <w:r>
        <w:rPr>
          <w:sz w:val="2"/>
        </w:rPr>
      </w:r>
    </w:p>
    <w:p>
      <w:pPr>
        <w:spacing w:before="104"/>
        <w:ind w:left="2246" w:right="0" w:firstLine="0"/>
        <w:jc w:val="left"/>
        <w:rPr>
          <w:b/>
          <w:sz w:val="20"/>
        </w:rPr>
      </w:pPr>
      <w:r>
        <w:rPr>
          <w:b/>
          <w:sz w:val="20"/>
        </w:rPr>
        <w:t>Table</w:t>
      </w:r>
      <w:r>
        <w:rPr>
          <w:b/>
          <w:spacing w:val="-5"/>
          <w:sz w:val="20"/>
        </w:rPr>
        <w:t> </w:t>
      </w:r>
      <w:r>
        <w:rPr>
          <w:b/>
          <w:sz w:val="20"/>
        </w:rPr>
        <w:t>43:</w:t>
      </w:r>
      <w:r>
        <w:rPr>
          <w:b/>
          <w:spacing w:val="-7"/>
          <w:sz w:val="20"/>
        </w:rPr>
        <w:t> </w:t>
      </w:r>
      <w:r>
        <w:rPr>
          <w:b/>
          <w:sz w:val="20"/>
        </w:rPr>
        <w:t>Major</w:t>
      </w:r>
      <w:r>
        <w:rPr>
          <w:b/>
          <w:spacing w:val="-10"/>
          <w:sz w:val="20"/>
        </w:rPr>
        <w:t> </w:t>
      </w:r>
      <w:r>
        <w:rPr>
          <w:b/>
          <w:sz w:val="20"/>
        </w:rPr>
        <w:t>Programme</w:t>
      </w:r>
      <w:r>
        <w:rPr>
          <w:b/>
          <w:spacing w:val="-3"/>
          <w:sz w:val="20"/>
        </w:rPr>
        <w:t> </w:t>
      </w:r>
      <w:r>
        <w:rPr>
          <w:b/>
          <w:sz w:val="20"/>
        </w:rPr>
        <w:t>VI:</w:t>
      </w:r>
      <w:r>
        <w:rPr>
          <w:b/>
          <w:spacing w:val="-7"/>
          <w:sz w:val="20"/>
        </w:rPr>
        <w:t> </w:t>
      </w:r>
      <w:r>
        <w:rPr>
          <w:b/>
          <w:sz w:val="20"/>
        </w:rPr>
        <w:t>Proposed</w:t>
      </w:r>
      <w:r>
        <w:rPr>
          <w:b/>
          <w:spacing w:val="-3"/>
          <w:sz w:val="20"/>
        </w:rPr>
        <w:t> </w:t>
      </w:r>
      <w:r>
        <w:rPr>
          <w:b/>
          <w:sz w:val="20"/>
        </w:rPr>
        <w:t>budget</w:t>
      </w:r>
      <w:r>
        <w:rPr>
          <w:b/>
          <w:spacing w:val="-7"/>
          <w:sz w:val="20"/>
        </w:rPr>
        <w:t> </w:t>
      </w:r>
      <w:r>
        <w:rPr>
          <w:b/>
          <w:sz w:val="20"/>
        </w:rPr>
        <w:t>for</w:t>
      </w:r>
      <w:r>
        <w:rPr>
          <w:b/>
          <w:spacing w:val="-4"/>
          <w:sz w:val="20"/>
        </w:rPr>
        <w:t> 2023</w:t>
      </w:r>
    </w:p>
    <w:tbl>
      <w:tblPr>
        <w:tblW w:w="0" w:type="auto"/>
        <w:jc w:val="left"/>
        <w:tblInd w:w="1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61"/>
        <w:gridCol w:w="1218"/>
        <w:gridCol w:w="827"/>
        <w:gridCol w:w="1133"/>
        <w:gridCol w:w="1078"/>
        <w:gridCol w:w="1136"/>
        <w:gridCol w:w="738"/>
        <w:gridCol w:w="1053"/>
      </w:tblGrid>
      <w:tr>
        <w:trPr>
          <w:trHeight w:val="324" w:hRule="atLeast"/>
        </w:trPr>
        <w:tc>
          <w:tcPr>
            <w:tcW w:w="2461" w:type="dxa"/>
            <w:vMerge w:val="restart"/>
            <w:tcBorders>
              <w:top w:val="single" w:sz="4" w:space="0" w:color="000000"/>
              <w:bottom w:val="single" w:sz="12" w:space="0" w:color="000000"/>
            </w:tcBorders>
          </w:tcPr>
          <w:p>
            <w:pPr>
              <w:pStyle w:val="TableParagraph"/>
              <w:spacing w:before="153"/>
              <w:ind w:left="117" w:right="98"/>
              <w:jc w:val="left"/>
              <w:rPr>
                <w:b/>
                <w:sz w:val="16"/>
              </w:rPr>
            </w:pPr>
            <w:r>
              <w:rPr>
                <w:b/>
                <w:sz w:val="16"/>
              </w:rPr>
              <w:t>Major Programme VI</w:t>
            </w:r>
            <w:r>
              <w:rPr>
                <w:b/>
                <w:spacing w:val="40"/>
                <w:sz w:val="16"/>
              </w:rPr>
              <w:t> </w:t>
            </w:r>
            <w:r>
              <w:rPr>
                <w:b/>
                <w:sz w:val="16"/>
              </w:rPr>
              <w:t>Secretariat</w:t>
            </w:r>
            <w:r>
              <w:rPr>
                <w:b/>
                <w:spacing w:val="-10"/>
                <w:sz w:val="16"/>
              </w:rPr>
              <w:t> </w:t>
            </w:r>
            <w:r>
              <w:rPr>
                <w:b/>
                <w:sz w:val="16"/>
              </w:rPr>
              <w:t>of</w:t>
            </w:r>
            <w:r>
              <w:rPr>
                <w:b/>
                <w:spacing w:val="-10"/>
                <w:sz w:val="16"/>
              </w:rPr>
              <w:t> </w:t>
            </w:r>
            <w:r>
              <w:rPr>
                <w:b/>
                <w:sz w:val="16"/>
              </w:rPr>
              <w:t>the</w:t>
            </w:r>
            <w:r>
              <w:rPr>
                <w:b/>
                <w:spacing w:val="-10"/>
                <w:sz w:val="16"/>
              </w:rPr>
              <w:t> </w:t>
            </w:r>
            <w:r>
              <w:rPr>
                <w:b/>
                <w:sz w:val="16"/>
              </w:rPr>
              <w:t>Trust</w:t>
            </w:r>
            <w:r>
              <w:rPr>
                <w:b/>
                <w:spacing w:val="-10"/>
                <w:sz w:val="16"/>
              </w:rPr>
              <w:t> </w:t>
            </w:r>
            <w:r>
              <w:rPr>
                <w:b/>
                <w:sz w:val="16"/>
              </w:rPr>
              <w:t>Fund</w:t>
            </w:r>
          </w:p>
          <w:p>
            <w:pPr>
              <w:pStyle w:val="TableParagraph"/>
              <w:spacing w:line="171" w:lineRule="exact" w:before="2"/>
              <w:ind w:left="117"/>
              <w:jc w:val="left"/>
              <w:rPr>
                <w:b/>
                <w:sz w:val="16"/>
              </w:rPr>
            </w:pPr>
            <w:r>
              <w:rPr>
                <w:b/>
                <w:sz w:val="16"/>
              </w:rPr>
              <w:t>for</w:t>
            </w:r>
            <w:r>
              <w:rPr>
                <w:b/>
                <w:spacing w:val="-4"/>
                <w:sz w:val="16"/>
              </w:rPr>
              <w:t> </w:t>
            </w:r>
            <w:r>
              <w:rPr>
                <w:b/>
                <w:spacing w:val="-2"/>
                <w:sz w:val="16"/>
              </w:rPr>
              <w:t>Victims</w:t>
            </w:r>
          </w:p>
        </w:tc>
        <w:tc>
          <w:tcPr>
            <w:tcW w:w="3178" w:type="dxa"/>
            <w:gridSpan w:val="3"/>
            <w:tcBorders>
              <w:top w:val="single" w:sz="4" w:space="0" w:color="000000"/>
            </w:tcBorders>
          </w:tcPr>
          <w:p>
            <w:pPr>
              <w:pStyle w:val="TableParagraph"/>
              <w:tabs>
                <w:tab w:pos="311" w:val="left" w:leader="none"/>
                <w:tab w:pos="3178" w:val="left" w:leader="none"/>
              </w:tabs>
              <w:spacing w:line="180" w:lineRule="exact" w:before="124"/>
              <w:ind w:left="-1" w:right="-15"/>
              <w:jc w:val="left"/>
              <w:rPr>
                <w:sz w:val="16"/>
              </w:rPr>
            </w:pPr>
            <w:r>
              <w:rPr>
                <w:sz w:val="16"/>
                <w:u w:val="single"/>
              </w:rPr>
              <w:tab/>
              <w:t>2021</w:t>
            </w:r>
            <w:r>
              <w:rPr>
                <w:spacing w:val="-3"/>
                <w:sz w:val="16"/>
                <w:u w:val="single"/>
              </w:rPr>
              <w:t> </w:t>
            </w:r>
            <w:r>
              <w:rPr>
                <w:sz w:val="16"/>
                <w:u w:val="single"/>
              </w:rPr>
              <w:t>Expenditures</w:t>
            </w:r>
            <w:r>
              <w:rPr>
                <w:spacing w:val="-4"/>
                <w:sz w:val="16"/>
                <w:u w:val="single"/>
              </w:rPr>
              <w:t> </w:t>
            </w:r>
            <w:r>
              <w:rPr>
                <w:sz w:val="16"/>
                <w:u w:val="single"/>
              </w:rPr>
              <w:t>(thousands</w:t>
            </w:r>
            <w:r>
              <w:rPr>
                <w:spacing w:val="-4"/>
                <w:sz w:val="16"/>
                <w:u w:val="single"/>
              </w:rPr>
              <w:t> </w:t>
            </w:r>
            <w:r>
              <w:rPr>
                <w:sz w:val="16"/>
                <w:u w:val="single"/>
              </w:rPr>
              <w:t>of</w:t>
            </w:r>
            <w:r>
              <w:rPr>
                <w:spacing w:val="-4"/>
                <w:sz w:val="16"/>
                <w:u w:val="single"/>
              </w:rPr>
              <w:t> </w:t>
            </w:r>
            <w:r>
              <w:rPr>
                <w:spacing w:val="-2"/>
                <w:sz w:val="16"/>
                <w:u w:val="single"/>
              </w:rPr>
              <w:t>euros)</w:t>
            </w:r>
            <w:r>
              <w:rPr>
                <w:sz w:val="16"/>
                <w:u w:val="single"/>
              </w:rPr>
              <w:tab/>
            </w:r>
          </w:p>
        </w:tc>
        <w:tc>
          <w:tcPr>
            <w:tcW w:w="1078" w:type="dxa"/>
            <w:vMerge w:val="restart"/>
            <w:tcBorders>
              <w:top w:val="single" w:sz="4" w:space="0" w:color="000000"/>
              <w:bottom w:val="single" w:sz="12" w:space="0" w:color="000000"/>
            </w:tcBorders>
          </w:tcPr>
          <w:p>
            <w:pPr>
              <w:pStyle w:val="TableParagraph"/>
              <w:spacing w:line="183" w:lineRule="exact" w:before="153"/>
              <w:ind w:left="228" w:right="181"/>
              <w:jc w:val="center"/>
              <w:rPr>
                <w:sz w:val="16"/>
              </w:rPr>
            </w:pPr>
            <w:r>
              <w:rPr>
                <w:spacing w:val="-4"/>
                <w:sz w:val="16"/>
              </w:rPr>
              <w:t>2022</w:t>
            </w:r>
          </w:p>
          <w:p>
            <w:pPr>
              <w:pStyle w:val="TableParagraph"/>
              <w:spacing w:line="183" w:lineRule="exact"/>
              <w:ind w:left="227" w:right="184"/>
              <w:jc w:val="center"/>
              <w:rPr>
                <w:sz w:val="16"/>
              </w:rPr>
            </w:pPr>
            <w:r>
              <w:rPr>
                <w:spacing w:val="-2"/>
                <w:sz w:val="16"/>
              </w:rPr>
              <w:t>Approved</w:t>
            </w:r>
          </w:p>
          <w:p>
            <w:pPr>
              <w:pStyle w:val="TableParagraph"/>
              <w:spacing w:line="171" w:lineRule="exact" w:before="3"/>
              <w:ind w:left="228" w:right="176"/>
              <w:jc w:val="center"/>
              <w:rPr>
                <w:sz w:val="16"/>
              </w:rPr>
            </w:pPr>
            <w:r>
              <w:rPr>
                <w:spacing w:val="-2"/>
                <w:sz w:val="16"/>
              </w:rPr>
              <w:t>Budget</w:t>
            </w:r>
          </w:p>
        </w:tc>
        <w:tc>
          <w:tcPr>
            <w:tcW w:w="1874" w:type="dxa"/>
            <w:gridSpan w:val="2"/>
            <w:tcBorders>
              <w:top w:val="single" w:sz="4" w:space="0" w:color="000000"/>
            </w:tcBorders>
          </w:tcPr>
          <w:p>
            <w:pPr>
              <w:pStyle w:val="TableParagraph"/>
              <w:tabs>
                <w:tab w:pos="339" w:val="left" w:leader="none"/>
                <w:tab w:pos="1803" w:val="left" w:leader="none"/>
              </w:tabs>
              <w:spacing w:line="180" w:lineRule="exact" w:before="124"/>
              <w:ind w:left="56"/>
              <w:jc w:val="left"/>
              <w:rPr>
                <w:sz w:val="16"/>
              </w:rPr>
            </w:pPr>
            <w:r>
              <w:rPr>
                <w:sz w:val="16"/>
                <w:u w:val="single"/>
              </w:rPr>
              <w:tab/>
              <w:t>Resource</w:t>
            </w:r>
            <w:r>
              <w:rPr>
                <w:spacing w:val="-2"/>
                <w:sz w:val="16"/>
                <w:u w:val="single"/>
              </w:rPr>
              <w:t> Changes</w:t>
            </w:r>
            <w:r>
              <w:rPr>
                <w:sz w:val="16"/>
                <w:u w:val="single"/>
              </w:rPr>
              <w:tab/>
            </w:r>
          </w:p>
        </w:tc>
        <w:tc>
          <w:tcPr>
            <w:tcW w:w="1053" w:type="dxa"/>
            <w:tcBorders>
              <w:top w:val="single" w:sz="4" w:space="0" w:color="000000"/>
            </w:tcBorders>
          </w:tcPr>
          <w:p>
            <w:pPr>
              <w:pStyle w:val="TableParagraph"/>
              <w:jc w:val="left"/>
              <w:rPr>
                <w:sz w:val="14"/>
              </w:rPr>
            </w:pPr>
          </w:p>
        </w:tc>
      </w:tr>
      <w:tr>
        <w:trPr>
          <w:trHeight w:val="359" w:hRule="atLeast"/>
        </w:trPr>
        <w:tc>
          <w:tcPr>
            <w:tcW w:w="2461" w:type="dxa"/>
            <w:vMerge/>
            <w:tcBorders>
              <w:top w:val="nil"/>
              <w:bottom w:val="single" w:sz="12" w:space="0" w:color="000000"/>
            </w:tcBorders>
          </w:tcPr>
          <w:p>
            <w:pPr>
              <w:rPr>
                <w:sz w:val="2"/>
                <w:szCs w:val="2"/>
              </w:rPr>
            </w:pPr>
          </w:p>
        </w:tc>
        <w:tc>
          <w:tcPr>
            <w:tcW w:w="1218" w:type="dxa"/>
            <w:tcBorders>
              <w:bottom w:val="single" w:sz="12" w:space="0" w:color="000000"/>
            </w:tcBorders>
          </w:tcPr>
          <w:p>
            <w:pPr>
              <w:pStyle w:val="TableParagraph"/>
              <w:spacing w:before="7"/>
              <w:jc w:val="left"/>
              <w:rPr>
                <w:b/>
                <w:sz w:val="14"/>
              </w:rPr>
            </w:pPr>
          </w:p>
          <w:p>
            <w:pPr>
              <w:pStyle w:val="TableParagraph"/>
              <w:spacing w:line="171" w:lineRule="exact"/>
              <w:ind w:left="393"/>
              <w:jc w:val="left"/>
              <w:rPr>
                <w:sz w:val="16"/>
              </w:rPr>
            </w:pPr>
            <w:r>
              <w:rPr>
                <w:spacing w:val="-2"/>
                <w:sz w:val="16"/>
              </w:rPr>
              <w:t>Total</w:t>
            </w:r>
          </w:p>
        </w:tc>
        <w:tc>
          <w:tcPr>
            <w:tcW w:w="827" w:type="dxa"/>
            <w:tcBorders>
              <w:bottom w:val="single" w:sz="12" w:space="0" w:color="000000"/>
            </w:tcBorders>
          </w:tcPr>
          <w:p>
            <w:pPr>
              <w:pStyle w:val="TableParagraph"/>
              <w:spacing w:line="165" w:lineRule="exact"/>
              <w:ind w:left="193"/>
              <w:jc w:val="left"/>
              <w:rPr>
                <w:sz w:val="16"/>
              </w:rPr>
            </w:pPr>
            <w:r>
              <w:rPr>
                <w:spacing w:val="-2"/>
                <w:sz w:val="16"/>
              </w:rPr>
              <w:t>Cont.</w:t>
            </w:r>
          </w:p>
          <w:p>
            <w:pPr>
              <w:pStyle w:val="TableParagraph"/>
              <w:spacing w:line="171" w:lineRule="exact" w:before="3"/>
              <w:ind w:left="203"/>
              <w:jc w:val="left"/>
              <w:rPr>
                <w:sz w:val="16"/>
              </w:rPr>
            </w:pPr>
            <w:r>
              <w:rPr>
                <w:spacing w:val="-4"/>
                <w:sz w:val="16"/>
              </w:rPr>
              <w:t>Fund</w:t>
            </w:r>
          </w:p>
        </w:tc>
        <w:tc>
          <w:tcPr>
            <w:tcW w:w="1133" w:type="dxa"/>
            <w:tcBorders>
              <w:bottom w:val="single" w:sz="12" w:space="0" w:color="000000"/>
            </w:tcBorders>
          </w:tcPr>
          <w:p>
            <w:pPr>
              <w:pStyle w:val="TableParagraph"/>
              <w:spacing w:before="7"/>
              <w:jc w:val="left"/>
              <w:rPr>
                <w:b/>
                <w:sz w:val="14"/>
              </w:rPr>
            </w:pPr>
          </w:p>
          <w:p>
            <w:pPr>
              <w:pStyle w:val="TableParagraph"/>
              <w:spacing w:line="171" w:lineRule="exact"/>
              <w:ind w:right="121"/>
              <w:rPr>
                <w:sz w:val="16"/>
              </w:rPr>
            </w:pPr>
            <w:r>
              <w:rPr>
                <w:sz w:val="16"/>
              </w:rPr>
              <w:t>Total</w:t>
            </w:r>
            <w:r>
              <w:rPr>
                <w:spacing w:val="-7"/>
                <w:sz w:val="16"/>
              </w:rPr>
              <w:t> </w:t>
            </w:r>
            <w:r>
              <w:rPr>
                <w:sz w:val="16"/>
              </w:rPr>
              <w:t>Incl.</w:t>
            </w:r>
            <w:r>
              <w:rPr>
                <w:spacing w:val="-6"/>
                <w:sz w:val="16"/>
              </w:rPr>
              <w:t> </w:t>
            </w:r>
            <w:r>
              <w:rPr>
                <w:spacing w:val="-5"/>
                <w:sz w:val="16"/>
              </w:rPr>
              <w:t>CF</w:t>
            </w:r>
          </w:p>
        </w:tc>
        <w:tc>
          <w:tcPr>
            <w:tcW w:w="1078" w:type="dxa"/>
            <w:vMerge/>
            <w:tcBorders>
              <w:top w:val="nil"/>
              <w:bottom w:val="single" w:sz="12" w:space="0" w:color="000000"/>
            </w:tcBorders>
          </w:tcPr>
          <w:p>
            <w:pPr>
              <w:rPr>
                <w:sz w:val="2"/>
                <w:szCs w:val="2"/>
              </w:rPr>
            </w:pPr>
          </w:p>
        </w:tc>
        <w:tc>
          <w:tcPr>
            <w:tcW w:w="1136" w:type="dxa"/>
            <w:tcBorders>
              <w:bottom w:val="single" w:sz="12" w:space="0" w:color="000000"/>
            </w:tcBorders>
          </w:tcPr>
          <w:p>
            <w:pPr>
              <w:pStyle w:val="TableParagraph"/>
              <w:spacing w:before="7"/>
              <w:jc w:val="left"/>
              <w:rPr>
                <w:b/>
                <w:sz w:val="14"/>
              </w:rPr>
            </w:pPr>
          </w:p>
          <w:p>
            <w:pPr>
              <w:pStyle w:val="TableParagraph"/>
              <w:spacing w:line="171" w:lineRule="exact"/>
              <w:ind w:right="194"/>
              <w:rPr>
                <w:sz w:val="16"/>
              </w:rPr>
            </w:pPr>
            <w:r>
              <w:rPr>
                <w:spacing w:val="-2"/>
                <w:sz w:val="16"/>
              </w:rPr>
              <w:t>Amount</w:t>
            </w:r>
          </w:p>
        </w:tc>
        <w:tc>
          <w:tcPr>
            <w:tcW w:w="738" w:type="dxa"/>
            <w:tcBorders>
              <w:bottom w:val="single" w:sz="12" w:space="0" w:color="000000"/>
            </w:tcBorders>
          </w:tcPr>
          <w:p>
            <w:pPr>
              <w:pStyle w:val="TableParagraph"/>
              <w:spacing w:before="7"/>
              <w:jc w:val="left"/>
              <w:rPr>
                <w:b/>
                <w:sz w:val="14"/>
              </w:rPr>
            </w:pPr>
          </w:p>
          <w:p>
            <w:pPr>
              <w:pStyle w:val="TableParagraph"/>
              <w:spacing w:line="171" w:lineRule="exact"/>
              <w:ind w:right="176"/>
              <w:rPr>
                <w:sz w:val="16"/>
              </w:rPr>
            </w:pPr>
            <w:r>
              <w:rPr>
                <w:w w:val="98"/>
                <w:sz w:val="16"/>
              </w:rPr>
              <w:t>%</w:t>
            </w:r>
          </w:p>
        </w:tc>
        <w:tc>
          <w:tcPr>
            <w:tcW w:w="1053" w:type="dxa"/>
            <w:tcBorders>
              <w:bottom w:val="single" w:sz="12" w:space="0" w:color="000000"/>
            </w:tcBorders>
          </w:tcPr>
          <w:p>
            <w:pPr>
              <w:pStyle w:val="TableParagraph"/>
              <w:spacing w:line="165" w:lineRule="exact"/>
              <w:ind w:left="58" w:right="134"/>
              <w:jc w:val="center"/>
              <w:rPr>
                <w:sz w:val="16"/>
              </w:rPr>
            </w:pPr>
            <w:r>
              <w:rPr>
                <w:spacing w:val="-2"/>
                <w:sz w:val="16"/>
              </w:rPr>
              <w:t>Proposed</w:t>
            </w:r>
          </w:p>
          <w:p>
            <w:pPr>
              <w:pStyle w:val="TableParagraph"/>
              <w:spacing w:line="171" w:lineRule="exact" w:before="3"/>
              <w:ind w:left="65" w:right="133"/>
              <w:jc w:val="center"/>
              <w:rPr>
                <w:sz w:val="16"/>
              </w:rPr>
            </w:pPr>
            <w:r>
              <w:rPr>
                <w:sz w:val="16"/>
              </w:rPr>
              <w:t>2023</w:t>
            </w:r>
            <w:r>
              <w:rPr>
                <w:spacing w:val="2"/>
                <w:sz w:val="16"/>
              </w:rPr>
              <w:t> </w:t>
            </w:r>
            <w:r>
              <w:rPr>
                <w:spacing w:val="-2"/>
                <w:sz w:val="16"/>
              </w:rPr>
              <w:t>Budget</w:t>
            </w:r>
          </w:p>
        </w:tc>
      </w:tr>
      <w:tr>
        <w:trPr>
          <w:trHeight w:val="231" w:hRule="atLeast"/>
        </w:trPr>
        <w:tc>
          <w:tcPr>
            <w:tcW w:w="2461" w:type="dxa"/>
            <w:tcBorders>
              <w:top w:val="single" w:sz="12" w:space="0" w:color="000000"/>
            </w:tcBorders>
          </w:tcPr>
          <w:p>
            <w:pPr>
              <w:pStyle w:val="TableParagraph"/>
              <w:spacing w:before="13"/>
              <w:ind w:left="117"/>
              <w:jc w:val="left"/>
              <w:rPr>
                <w:sz w:val="16"/>
              </w:rPr>
            </w:pPr>
            <w:r>
              <w:rPr>
                <w:w w:val="95"/>
                <w:sz w:val="16"/>
              </w:rPr>
              <w:t>Professional</w:t>
            </w:r>
            <w:r>
              <w:rPr>
                <w:spacing w:val="28"/>
                <w:sz w:val="16"/>
              </w:rPr>
              <w:t> </w:t>
            </w:r>
            <w:r>
              <w:rPr>
                <w:spacing w:val="-2"/>
                <w:sz w:val="16"/>
              </w:rPr>
              <w:t>staff</w:t>
            </w:r>
          </w:p>
        </w:tc>
        <w:tc>
          <w:tcPr>
            <w:tcW w:w="1218" w:type="dxa"/>
            <w:tcBorders>
              <w:top w:val="single" w:sz="12" w:space="0" w:color="000000"/>
            </w:tcBorders>
            <w:shd w:val="clear" w:color="auto" w:fill="D9D9D9"/>
          </w:tcPr>
          <w:p>
            <w:pPr>
              <w:pStyle w:val="TableParagraph"/>
              <w:jc w:val="left"/>
              <w:rPr>
                <w:sz w:val="14"/>
              </w:rPr>
            </w:pPr>
          </w:p>
        </w:tc>
        <w:tc>
          <w:tcPr>
            <w:tcW w:w="827" w:type="dxa"/>
            <w:tcBorders>
              <w:top w:val="single" w:sz="12" w:space="0" w:color="000000"/>
            </w:tcBorders>
            <w:shd w:val="clear" w:color="auto" w:fill="D9D9D9"/>
          </w:tcPr>
          <w:p>
            <w:pPr>
              <w:pStyle w:val="TableParagraph"/>
              <w:jc w:val="left"/>
              <w:rPr>
                <w:sz w:val="14"/>
              </w:rPr>
            </w:pPr>
          </w:p>
        </w:tc>
        <w:tc>
          <w:tcPr>
            <w:tcW w:w="1133" w:type="dxa"/>
            <w:tcBorders>
              <w:top w:val="single" w:sz="12" w:space="0" w:color="000000"/>
            </w:tcBorders>
            <w:shd w:val="clear" w:color="auto" w:fill="D9D9D9"/>
          </w:tcPr>
          <w:p>
            <w:pPr>
              <w:pStyle w:val="TableParagraph"/>
              <w:jc w:val="left"/>
              <w:rPr>
                <w:sz w:val="14"/>
              </w:rPr>
            </w:pPr>
          </w:p>
        </w:tc>
        <w:tc>
          <w:tcPr>
            <w:tcW w:w="1078" w:type="dxa"/>
            <w:tcBorders>
              <w:top w:val="single" w:sz="12" w:space="0" w:color="000000"/>
            </w:tcBorders>
          </w:tcPr>
          <w:p>
            <w:pPr>
              <w:pStyle w:val="TableParagraph"/>
              <w:spacing w:before="13"/>
              <w:ind w:right="51"/>
              <w:rPr>
                <w:sz w:val="16"/>
              </w:rPr>
            </w:pPr>
            <w:r>
              <w:rPr>
                <w:spacing w:val="-2"/>
                <w:sz w:val="16"/>
              </w:rPr>
              <w:t>1,221.5</w:t>
            </w:r>
          </w:p>
        </w:tc>
        <w:tc>
          <w:tcPr>
            <w:tcW w:w="1136" w:type="dxa"/>
            <w:tcBorders>
              <w:top w:val="single" w:sz="12" w:space="0" w:color="000000"/>
            </w:tcBorders>
          </w:tcPr>
          <w:p>
            <w:pPr>
              <w:pStyle w:val="TableParagraph"/>
              <w:spacing w:before="13"/>
              <w:ind w:right="197"/>
              <w:rPr>
                <w:sz w:val="16"/>
              </w:rPr>
            </w:pPr>
            <w:r>
              <w:rPr>
                <w:spacing w:val="-2"/>
                <w:sz w:val="16"/>
              </w:rPr>
              <w:t>171.2</w:t>
            </w:r>
          </w:p>
        </w:tc>
        <w:tc>
          <w:tcPr>
            <w:tcW w:w="738" w:type="dxa"/>
            <w:tcBorders>
              <w:top w:val="single" w:sz="12" w:space="0" w:color="000000"/>
            </w:tcBorders>
          </w:tcPr>
          <w:p>
            <w:pPr>
              <w:pStyle w:val="TableParagraph"/>
              <w:spacing w:before="13"/>
              <w:ind w:right="171"/>
              <w:rPr>
                <w:sz w:val="16"/>
              </w:rPr>
            </w:pPr>
            <w:r>
              <w:rPr>
                <w:spacing w:val="-4"/>
                <w:sz w:val="16"/>
              </w:rPr>
              <w:t>14.0</w:t>
            </w:r>
          </w:p>
        </w:tc>
        <w:tc>
          <w:tcPr>
            <w:tcW w:w="1053" w:type="dxa"/>
            <w:tcBorders>
              <w:top w:val="single" w:sz="12" w:space="0" w:color="000000"/>
            </w:tcBorders>
          </w:tcPr>
          <w:p>
            <w:pPr>
              <w:pStyle w:val="TableParagraph"/>
              <w:spacing w:before="13"/>
              <w:ind w:right="101"/>
              <w:rPr>
                <w:sz w:val="16"/>
              </w:rPr>
            </w:pPr>
            <w:r>
              <w:rPr>
                <w:spacing w:val="-2"/>
                <w:sz w:val="16"/>
              </w:rPr>
              <w:t>1,392.7</w:t>
            </w:r>
          </w:p>
        </w:tc>
      </w:tr>
      <w:tr>
        <w:trPr>
          <w:trHeight w:val="223" w:hRule="atLeast"/>
        </w:trPr>
        <w:tc>
          <w:tcPr>
            <w:tcW w:w="2461" w:type="dxa"/>
            <w:tcBorders>
              <w:bottom w:val="single" w:sz="4" w:space="0" w:color="000000"/>
            </w:tcBorders>
          </w:tcPr>
          <w:p>
            <w:pPr>
              <w:pStyle w:val="TableParagraph"/>
              <w:spacing w:before="8"/>
              <w:ind w:left="117"/>
              <w:jc w:val="left"/>
              <w:rPr>
                <w:sz w:val="16"/>
              </w:rPr>
            </w:pPr>
            <w:r>
              <w:rPr>
                <w:sz w:val="16"/>
              </w:rPr>
              <w:t>General</w:t>
            </w:r>
            <w:r>
              <w:rPr>
                <w:spacing w:val="-6"/>
                <w:sz w:val="16"/>
              </w:rPr>
              <w:t> </w:t>
            </w:r>
            <w:r>
              <w:rPr>
                <w:sz w:val="16"/>
              </w:rPr>
              <w:t>Service</w:t>
            </w:r>
            <w:r>
              <w:rPr>
                <w:spacing w:val="-4"/>
                <w:sz w:val="16"/>
              </w:rPr>
              <w:t> staff</w:t>
            </w:r>
          </w:p>
        </w:tc>
        <w:tc>
          <w:tcPr>
            <w:tcW w:w="1218" w:type="dxa"/>
            <w:tcBorders>
              <w:bottom w:val="single" w:sz="4" w:space="0" w:color="000000"/>
            </w:tcBorders>
            <w:shd w:val="clear" w:color="auto" w:fill="D9D9D9"/>
          </w:tcPr>
          <w:p>
            <w:pPr>
              <w:pStyle w:val="TableParagraph"/>
              <w:jc w:val="left"/>
              <w:rPr>
                <w:sz w:val="14"/>
              </w:rPr>
            </w:pPr>
          </w:p>
        </w:tc>
        <w:tc>
          <w:tcPr>
            <w:tcW w:w="827" w:type="dxa"/>
            <w:tcBorders>
              <w:bottom w:val="single" w:sz="4" w:space="0" w:color="000000"/>
            </w:tcBorders>
            <w:shd w:val="clear" w:color="auto" w:fill="D9D9D9"/>
          </w:tcPr>
          <w:p>
            <w:pPr>
              <w:pStyle w:val="TableParagraph"/>
              <w:jc w:val="left"/>
              <w:rPr>
                <w:sz w:val="14"/>
              </w:rPr>
            </w:pPr>
          </w:p>
        </w:tc>
        <w:tc>
          <w:tcPr>
            <w:tcW w:w="1133" w:type="dxa"/>
            <w:tcBorders>
              <w:bottom w:val="single" w:sz="4" w:space="0" w:color="000000"/>
            </w:tcBorders>
            <w:shd w:val="clear" w:color="auto" w:fill="D9D9D9"/>
          </w:tcPr>
          <w:p>
            <w:pPr>
              <w:pStyle w:val="TableParagraph"/>
              <w:jc w:val="left"/>
              <w:rPr>
                <w:sz w:val="14"/>
              </w:rPr>
            </w:pPr>
          </w:p>
        </w:tc>
        <w:tc>
          <w:tcPr>
            <w:tcW w:w="1078" w:type="dxa"/>
            <w:tcBorders>
              <w:bottom w:val="single" w:sz="4" w:space="0" w:color="000000"/>
            </w:tcBorders>
          </w:tcPr>
          <w:p>
            <w:pPr>
              <w:pStyle w:val="TableParagraph"/>
              <w:spacing w:before="8"/>
              <w:ind w:right="50"/>
              <w:rPr>
                <w:sz w:val="16"/>
              </w:rPr>
            </w:pPr>
            <w:r>
              <w:rPr>
                <w:spacing w:val="-2"/>
                <w:sz w:val="16"/>
              </w:rPr>
              <w:t>139.0</w:t>
            </w:r>
          </w:p>
        </w:tc>
        <w:tc>
          <w:tcPr>
            <w:tcW w:w="1136" w:type="dxa"/>
            <w:tcBorders>
              <w:bottom w:val="single" w:sz="4" w:space="0" w:color="000000"/>
            </w:tcBorders>
          </w:tcPr>
          <w:p>
            <w:pPr>
              <w:pStyle w:val="TableParagraph"/>
              <w:spacing w:before="8"/>
              <w:ind w:right="197"/>
              <w:rPr>
                <w:sz w:val="16"/>
              </w:rPr>
            </w:pPr>
            <w:r>
              <w:rPr>
                <w:spacing w:val="-4"/>
                <w:sz w:val="16"/>
              </w:rPr>
              <w:t>85.7</w:t>
            </w:r>
          </w:p>
        </w:tc>
        <w:tc>
          <w:tcPr>
            <w:tcW w:w="738" w:type="dxa"/>
            <w:tcBorders>
              <w:bottom w:val="single" w:sz="4" w:space="0" w:color="000000"/>
            </w:tcBorders>
          </w:tcPr>
          <w:p>
            <w:pPr>
              <w:pStyle w:val="TableParagraph"/>
              <w:spacing w:before="8"/>
              <w:ind w:right="171"/>
              <w:rPr>
                <w:sz w:val="16"/>
              </w:rPr>
            </w:pPr>
            <w:r>
              <w:rPr>
                <w:spacing w:val="-4"/>
                <w:sz w:val="16"/>
              </w:rPr>
              <w:t>61.7</w:t>
            </w:r>
          </w:p>
        </w:tc>
        <w:tc>
          <w:tcPr>
            <w:tcW w:w="1053" w:type="dxa"/>
            <w:tcBorders>
              <w:bottom w:val="single" w:sz="4" w:space="0" w:color="000000"/>
            </w:tcBorders>
          </w:tcPr>
          <w:p>
            <w:pPr>
              <w:pStyle w:val="TableParagraph"/>
              <w:spacing w:before="8"/>
              <w:ind w:right="101"/>
              <w:rPr>
                <w:sz w:val="16"/>
              </w:rPr>
            </w:pPr>
            <w:r>
              <w:rPr>
                <w:spacing w:val="-2"/>
                <w:sz w:val="16"/>
              </w:rPr>
              <w:t>224.7</w:t>
            </w:r>
          </w:p>
        </w:tc>
      </w:tr>
      <w:tr>
        <w:trPr>
          <w:trHeight w:val="225" w:hRule="atLeast"/>
        </w:trPr>
        <w:tc>
          <w:tcPr>
            <w:tcW w:w="2461" w:type="dxa"/>
            <w:tcBorders>
              <w:top w:val="single" w:sz="4" w:space="0" w:color="000000"/>
              <w:bottom w:val="single" w:sz="4" w:space="0" w:color="000000"/>
            </w:tcBorders>
          </w:tcPr>
          <w:p>
            <w:pPr>
              <w:pStyle w:val="TableParagraph"/>
              <w:spacing w:before="9"/>
              <w:ind w:right="104"/>
              <w:rPr>
                <w:i/>
                <w:sz w:val="16"/>
              </w:rPr>
            </w:pPr>
            <w:r>
              <w:rPr>
                <w:i/>
                <w:sz w:val="16"/>
              </w:rPr>
              <w:t>Subtotal</w:t>
            </w:r>
            <w:r>
              <w:rPr>
                <w:i/>
                <w:spacing w:val="-1"/>
                <w:sz w:val="16"/>
              </w:rPr>
              <w:t> </w:t>
            </w:r>
            <w:r>
              <w:rPr>
                <w:i/>
                <w:spacing w:val="-2"/>
                <w:sz w:val="16"/>
              </w:rPr>
              <w:t>staff</w:t>
            </w:r>
          </w:p>
        </w:tc>
        <w:tc>
          <w:tcPr>
            <w:tcW w:w="1218" w:type="dxa"/>
            <w:tcBorders>
              <w:top w:val="single" w:sz="4" w:space="0" w:color="000000"/>
              <w:bottom w:val="single" w:sz="4" w:space="0" w:color="000000"/>
            </w:tcBorders>
          </w:tcPr>
          <w:p>
            <w:pPr>
              <w:pStyle w:val="TableParagraph"/>
              <w:spacing w:before="9"/>
              <w:ind w:right="192"/>
              <w:rPr>
                <w:i/>
                <w:sz w:val="16"/>
              </w:rPr>
            </w:pPr>
            <w:r>
              <w:rPr>
                <w:i/>
                <w:spacing w:val="-2"/>
                <w:sz w:val="16"/>
              </w:rPr>
              <w:t>1,357.6</w:t>
            </w:r>
          </w:p>
        </w:tc>
        <w:tc>
          <w:tcPr>
            <w:tcW w:w="827" w:type="dxa"/>
            <w:tcBorders>
              <w:top w:val="single" w:sz="4" w:space="0" w:color="000000"/>
              <w:bottom w:val="single" w:sz="4" w:space="0" w:color="000000"/>
            </w:tcBorders>
          </w:tcPr>
          <w:p>
            <w:pPr>
              <w:pStyle w:val="TableParagraph"/>
              <w:spacing w:before="9"/>
              <w:ind w:right="107"/>
              <w:rPr>
                <w:i/>
                <w:sz w:val="16"/>
              </w:rPr>
            </w:pPr>
            <w:r>
              <w:rPr>
                <w:i/>
                <w:w w:val="98"/>
                <w:sz w:val="16"/>
              </w:rPr>
              <w:t>-</w:t>
            </w:r>
          </w:p>
        </w:tc>
        <w:tc>
          <w:tcPr>
            <w:tcW w:w="1133" w:type="dxa"/>
            <w:tcBorders>
              <w:top w:val="single" w:sz="4" w:space="0" w:color="000000"/>
              <w:bottom w:val="single" w:sz="4" w:space="0" w:color="000000"/>
            </w:tcBorders>
          </w:tcPr>
          <w:p>
            <w:pPr>
              <w:pStyle w:val="TableParagraph"/>
              <w:spacing w:before="9"/>
              <w:ind w:right="106"/>
              <w:rPr>
                <w:i/>
                <w:sz w:val="16"/>
              </w:rPr>
            </w:pPr>
            <w:r>
              <w:rPr>
                <w:i/>
                <w:spacing w:val="-2"/>
                <w:sz w:val="16"/>
              </w:rPr>
              <w:t>1,357.6</w:t>
            </w:r>
          </w:p>
        </w:tc>
        <w:tc>
          <w:tcPr>
            <w:tcW w:w="1078" w:type="dxa"/>
            <w:tcBorders>
              <w:top w:val="single" w:sz="4" w:space="0" w:color="000000"/>
              <w:bottom w:val="single" w:sz="4" w:space="0" w:color="000000"/>
            </w:tcBorders>
          </w:tcPr>
          <w:p>
            <w:pPr>
              <w:pStyle w:val="TableParagraph"/>
              <w:spacing w:before="9"/>
              <w:ind w:right="51"/>
              <w:rPr>
                <w:i/>
                <w:sz w:val="16"/>
              </w:rPr>
            </w:pPr>
            <w:r>
              <w:rPr>
                <w:i/>
                <w:spacing w:val="-2"/>
                <w:sz w:val="16"/>
              </w:rPr>
              <w:t>1,360.5</w:t>
            </w:r>
          </w:p>
        </w:tc>
        <w:tc>
          <w:tcPr>
            <w:tcW w:w="1136" w:type="dxa"/>
            <w:tcBorders>
              <w:top w:val="single" w:sz="4" w:space="0" w:color="000000"/>
              <w:bottom w:val="single" w:sz="4" w:space="0" w:color="000000"/>
            </w:tcBorders>
          </w:tcPr>
          <w:p>
            <w:pPr>
              <w:pStyle w:val="TableParagraph"/>
              <w:spacing w:before="9"/>
              <w:ind w:right="197"/>
              <w:rPr>
                <w:i/>
                <w:sz w:val="16"/>
              </w:rPr>
            </w:pPr>
            <w:r>
              <w:rPr>
                <w:i/>
                <w:spacing w:val="-2"/>
                <w:sz w:val="16"/>
              </w:rPr>
              <w:t>256.9</w:t>
            </w:r>
          </w:p>
        </w:tc>
        <w:tc>
          <w:tcPr>
            <w:tcW w:w="738" w:type="dxa"/>
            <w:tcBorders>
              <w:top w:val="single" w:sz="4" w:space="0" w:color="000000"/>
              <w:bottom w:val="single" w:sz="4" w:space="0" w:color="000000"/>
            </w:tcBorders>
          </w:tcPr>
          <w:p>
            <w:pPr>
              <w:pStyle w:val="TableParagraph"/>
              <w:spacing w:before="9"/>
              <w:ind w:right="171"/>
              <w:rPr>
                <w:i/>
                <w:sz w:val="16"/>
              </w:rPr>
            </w:pPr>
            <w:r>
              <w:rPr>
                <w:i/>
                <w:spacing w:val="-4"/>
                <w:sz w:val="16"/>
              </w:rPr>
              <w:t>18.9</w:t>
            </w:r>
          </w:p>
        </w:tc>
        <w:tc>
          <w:tcPr>
            <w:tcW w:w="1053" w:type="dxa"/>
            <w:tcBorders>
              <w:top w:val="single" w:sz="4" w:space="0" w:color="000000"/>
              <w:bottom w:val="single" w:sz="4" w:space="0" w:color="000000"/>
            </w:tcBorders>
          </w:tcPr>
          <w:p>
            <w:pPr>
              <w:pStyle w:val="TableParagraph"/>
              <w:spacing w:before="9"/>
              <w:ind w:right="101"/>
              <w:rPr>
                <w:i/>
                <w:sz w:val="16"/>
              </w:rPr>
            </w:pPr>
            <w:r>
              <w:rPr>
                <w:i/>
                <w:spacing w:val="-2"/>
                <w:sz w:val="16"/>
              </w:rPr>
              <w:t>1,617.4</w:t>
            </w:r>
          </w:p>
        </w:tc>
      </w:tr>
      <w:tr>
        <w:trPr>
          <w:trHeight w:val="231" w:hRule="atLeast"/>
        </w:trPr>
        <w:tc>
          <w:tcPr>
            <w:tcW w:w="2461" w:type="dxa"/>
            <w:tcBorders>
              <w:top w:val="single" w:sz="4" w:space="0" w:color="000000"/>
            </w:tcBorders>
          </w:tcPr>
          <w:p>
            <w:pPr>
              <w:pStyle w:val="TableParagraph"/>
              <w:spacing w:before="14"/>
              <w:ind w:left="117"/>
              <w:jc w:val="left"/>
              <w:rPr>
                <w:sz w:val="16"/>
              </w:rPr>
            </w:pPr>
            <w:r>
              <w:rPr>
                <w:sz w:val="16"/>
              </w:rPr>
              <w:t>General</w:t>
            </w:r>
            <w:r>
              <w:rPr>
                <w:spacing w:val="-4"/>
                <w:sz w:val="16"/>
              </w:rPr>
              <w:t> </w:t>
            </w:r>
            <w:r>
              <w:rPr>
                <w:sz w:val="16"/>
              </w:rPr>
              <w:t>temporary</w:t>
            </w:r>
            <w:r>
              <w:rPr>
                <w:spacing w:val="-1"/>
                <w:sz w:val="16"/>
              </w:rPr>
              <w:t> </w:t>
            </w:r>
            <w:r>
              <w:rPr>
                <w:spacing w:val="-2"/>
                <w:sz w:val="16"/>
              </w:rPr>
              <w:t>assistance</w:t>
            </w:r>
          </w:p>
        </w:tc>
        <w:tc>
          <w:tcPr>
            <w:tcW w:w="1218" w:type="dxa"/>
            <w:tcBorders>
              <w:top w:val="single" w:sz="4" w:space="0" w:color="000000"/>
            </w:tcBorders>
          </w:tcPr>
          <w:p>
            <w:pPr>
              <w:pStyle w:val="TableParagraph"/>
              <w:spacing w:before="14"/>
              <w:ind w:right="192"/>
              <w:rPr>
                <w:sz w:val="16"/>
              </w:rPr>
            </w:pPr>
            <w:r>
              <w:rPr>
                <w:spacing w:val="-2"/>
                <w:sz w:val="16"/>
              </w:rPr>
              <w:t>1,479.9</w:t>
            </w:r>
          </w:p>
        </w:tc>
        <w:tc>
          <w:tcPr>
            <w:tcW w:w="827" w:type="dxa"/>
            <w:tcBorders>
              <w:top w:val="single" w:sz="4" w:space="0" w:color="000000"/>
            </w:tcBorders>
          </w:tcPr>
          <w:p>
            <w:pPr>
              <w:pStyle w:val="TableParagraph"/>
              <w:spacing w:before="14"/>
              <w:ind w:right="107"/>
              <w:rPr>
                <w:sz w:val="16"/>
              </w:rPr>
            </w:pPr>
            <w:r>
              <w:rPr>
                <w:w w:val="98"/>
                <w:sz w:val="16"/>
              </w:rPr>
              <w:t>-</w:t>
            </w:r>
          </w:p>
        </w:tc>
        <w:tc>
          <w:tcPr>
            <w:tcW w:w="1133" w:type="dxa"/>
            <w:tcBorders>
              <w:top w:val="single" w:sz="4" w:space="0" w:color="000000"/>
            </w:tcBorders>
          </w:tcPr>
          <w:p>
            <w:pPr>
              <w:pStyle w:val="TableParagraph"/>
              <w:spacing w:before="14"/>
              <w:ind w:right="106"/>
              <w:rPr>
                <w:sz w:val="16"/>
              </w:rPr>
            </w:pPr>
            <w:r>
              <w:rPr>
                <w:spacing w:val="-2"/>
                <w:sz w:val="16"/>
              </w:rPr>
              <w:t>1,479.9</w:t>
            </w:r>
          </w:p>
        </w:tc>
        <w:tc>
          <w:tcPr>
            <w:tcW w:w="1078" w:type="dxa"/>
            <w:tcBorders>
              <w:top w:val="single" w:sz="4" w:space="0" w:color="000000"/>
            </w:tcBorders>
          </w:tcPr>
          <w:p>
            <w:pPr>
              <w:pStyle w:val="TableParagraph"/>
              <w:spacing w:before="14"/>
              <w:ind w:right="51"/>
              <w:rPr>
                <w:sz w:val="16"/>
              </w:rPr>
            </w:pPr>
            <w:r>
              <w:rPr>
                <w:spacing w:val="-2"/>
                <w:sz w:val="16"/>
              </w:rPr>
              <w:t>1,554.2</w:t>
            </w:r>
          </w:p>
        </w:tc>
        <w:tc>
          <w:tcPr>
            <w:tcW w:w="1136" w:type="dxa"/>
            <w:tcBorders>
              <w:top w:val="single" w:sz="4" w:space="0" w:color="000000"/>
            </w:tcBorders>
          </w:tcPr>
          <w:p>
            <w:pPr>
              <w:pStyle w:val="TableParagraph"/>
              <w:spacing w:before="14"/>
              <w:ind w:right="197"/>
              <w:rPr>
                <w:sz w:val="16"/>
              </w:rPr>
            </w:pPr>
            <w:r>
              <w:rPr>
                <w:spacing w:val="-2"/>
                <w:sz w:val="16"/>
              </w:rPr>
              <w:t>482.2</w:t>
            </w:r>
          </w:p>
        </w:tc>
        <w:tc>
          <w:tcPr>
            <w:tcW w:w="738" w:type="dxa"/>
            <w:tcBorders>
              <w:top w:val="single" w:sz="4" w:space="0" w:color="000000"/>
            </w:tcBorders>
          </w:tcPr>
          <w:p>
            <w:pPr>
              <w:pStyle w:val="TableParagraph"/>
              <w:spacing w:before="14"/>
              <w:ind w:right="171"/>
              <w:rPr>
                <w:sz w:val="16"/>
              </w:rPr>
            </w:pPr>
            <w:r>
              <w:rPr>
                <w:spacing w:val="-4"/>
                <w:sz w:val="16"/>
              </w:rPr>
              <w:t>31.0</w:t>
            </w:r>
          </w:p>
        </w:tc>
        <w:tc>
          <w:tcPr>
            <w:tcW w:w="1053" w:type="dxa"/>
            <w:tcBorders>
              <w:top w:val="single" w:sz="4" w:space="0" w:color="000000"/>
            </w:tcBorders>
          </w:tcPr>
          <w:p>
            <w:pPr>
              <w:pStyle w:val="TableParagraph"/>
              <w:spacing w:before="14"/>
              <w:ind w:right="101"/>
              <w:rPr>
                <w:sz w:val="16"/>
              </w:rPr>
            </w:pPr>
            <w:r>
              <w:rPr>
                <w:spacing w:val="-2"/>
                <w:sz w:val="16"/>
              </w:rPr>
              <w:t>2,036.4</w:t>
            </w:r>
          </w:p>
        </w:tc>
      </w:tr>
      <w:tr>
        <w:trPr>
          <w:trHeight w:val="225" w:hRule="atLeast"/>
        </w:trPr>
        <w:tc>
          <w:tcPr>
            <w:tcW w:w="2461" w:type="dxa"/>
          </w:tcPr>
          <w:p>
            <w:pPr>
              <w:pStyle w:val="TableParagraph"/>
              <w:spacing w:before="8"/>
              <w:ind w:left="117"/>
              <w:jc w:val="left"/>
              <w:rPr>
                <w:sz w:val="16"/>
              </w:rPr>
            </w:pPr>
            <w:r>
              <w:rPr>
                <w:sz w:val="16"/>
              </w:rPr>
              <w:t>Temporary</w:t>
            </w:r>
            <w:r>
              <w:rPr>
                <w:spacing w:val="-1"/>
                <w:sz w:val="16"/>
              </w:rPr>
              <w:t> </w:t>
            </w:r>
            <w:r>
              <w:rPr>
                <w:sz w:val="16"/>
              </w:rPr>
              <w:t>assistance</w:t>
            </w:r>
            <w:r>
              <w:rPr>
                <w:spacing w:val="-4"/>
                <w:sz w:val="16"/>
              </w:rPr>
              <w:t> </w:t>
            </w:r>
            <w:r>
              <w:rPr>
                <w:sz w:val="16"/>
              </w:rPr>
              <w:t>for</w:t>
            </w:r>
            <w:r>
              <w:rPr>
                <w:spacing w:val="-5"/>
                <w:sz w:val="16"/>
              </w:rPr>
              <w:t> </w:t>
            </w:r>
            <w:r>
              <w:rPr>
                <w:spacing w:val="-2"/>
                <w:sz w:val="16"/>
              </w:rPr>
              <w:t>meetings</w:t>
            </w:r>
          </w:p>
        </w:tc>
        <w:tc>
          <w:tcPr>
            <w:tcW w:w="1218" w:type="dxa"/>
          </w:tcPr>
          <w:p>
            <w:pPr>
              <w:pStyle w:val="TableParagraph"/>
              <w:spacing w:before="8"/>
              <w:ind w:right="191"/>
              <w:rPr>
                <w:sz w:val="16"/>
              </w:rPr>
            </w:pPr>
            <w:r>
              <w:rPr>
                <w:spacing w:val="-4"/>
                <w:sz w:val="16"/>
              </w:rPr>
              <w:t>13.3</w:t>
            </w:r>
          </w:p>
        </w:tc>
        <w:tc>
          <w:tcPr>
            <w:tcW w:w="827" w:type="dxa"/>
          </w:tcPr>
          <w:p>
            <w:pPr>
              <w:pStyle w:val="TableParagraph"/>
              <w:spacing w:before="8"/>
              <w:ind w:right="107"/>
              <w:rPr>
                <w:sz w:val="16"/>
              </w:rPr>
            </w:pPr>
            <w:r>
              <w:rPr>
                <w:w w:val="98"/>
                <w:sz w:val="16"/>
              </w:rPr>
              <w:t>-</w:t>
            </w:r>
          </w:p>
        </w:tc>
        <w:tc>
          <w:tcPr>
            <w:tcW w:w="1133" w:type="dxa"/>
          </w:tcPr>
          <w:p>
            <w:pPr>
              <w:pStyle w:val="TableParagraph"/>
              <w:spacing w:before="8"/>
              <w:ind w:right="105"/>
              <w:rPr>
                <w:sz w:val="16"/>
              </w:rPr>
            </w:pPr>
            <w:r>
              <w:rPr>
                <w:spacing w:val="-4"/>
                <w:sz w:val="16"/>
              </w:rPr>
              <w:t>13.3</w:t>
            </w:r>
          </w:p>
        </w:tc>
        <w:tc>
          <w:tcPr>
            <w:tcW w:w="1078" w:type="dxa"/>
          </w:tcPr>
          <w:p>
            <w:pPr>
              <w:pStyle w:val="TableParagraph"/>
              <w:spacing w:before="8"/>
              <w:ind w:right="52"/>
              <w:rPr>
                <w:sz w:val="16"/>
              </w:rPr>
            </w:pPr>
            <w:r>
              <w:rPr>
                <w:w w:val="98"/>
                <w:sz w:val="16"/>
              </w:rPr>
              <w:t>-</w:t>
            </w:r>
          </w:p>
        </w:tc>
        <w:tc>
          <w:tcPr>
            <w:tcW w:w="1136" w:type="dxa"/>
          </w:tcPr>
          <w:p>
            <w:pPr>
              <w:pStyle w:val="TableParagraph"/>
              <w:spacing w:before="8"/>
              <w:ind w:right="199"/>
              <w:rPr>
                <w:sz w:val="16"/>
              </w:rPr>
            </w:pPr>
            <w:r>
              <w:rPr>
                <w:w w:val="98"/>
                <w:sz w:val="16"/>
              </w:rPr>
              <w:t>-</w:t>
            </w:r>
          </w:p>
        </w:tc>
        <w:tc>
          <w:tcPr>
            <w:tcW w:w="738" w:type="dxa"/>
          </w:tcPr>
          <w:p>
            <w:pPr>
              <w:pStyle w:val="TableParagraph"/>
              <w:spacing w:before="8"/>
              <w:ind w:right="173"/>
              <w:rPr>
                <w:sz w:val="16"/>
              </w:rPr>
            </w:pPr>
            <w:r>
              <w:rPr>
                <w:w w:val="98"/>
                <w:sz w:val="16"/>
              </w:rPr>
              <w:t>-</w:t>
            </w:r>
          </w:p>
        </w:tc>
        <w:tc>
          <w:tcPr>
            <w:tcW w:w="1053" w:type="dxa"/>
          </w:tcPr>
          <w:p>
            <w:pPr>
              <w:pStyle w:val="TableParagraph"/>
              <w:spacing w:before="8"/>
              <w:ind w:right="102"/>
              <w:rPr>
                <w:sz w:val="16"/>
              </w:rPr>
            </w:pPr>
            <w:r>
              <w:rPr>
                <w:w w:val="98"/>
                <w:sz w:val="16"/>
              </w:rPr>
              <w:t>-</w:t>
            </w:r>
          </w:p>
        </w:tc>
      </w:tr>
      <w:tr>
        <w:trPr>
          <w:trHeight w:val="223" w:hRule="atLeast"/>
        </w:trPr>
        <w:tc>
          <w:tcPr>
            <w:tcW w:w="2461" w:type="dxa"/>
            <w:tcBorders>
              <w:bottom w:val="single" w:sz="4" w:space="0" w:color="000000"/>
            </w:tcBorders>
          </w:tcPr>
          <w:p>
            <w:pPr>
              <w:pStyle w:val="TableParagraph"/>
              <w:spacing w:before="8"/>
              <w:ind w:left="117"/>
              <w:jc w:val="left"/>
              <w:rPr>
                <w:sz w:val="16"/>
              </w:rPr>
            </w:pPr>
            <w:r>
              <w:rPr>
                <w:spacing w:val="-2"/>
                <w:sz w:val="16"/>
              </w:rPr>
              <w:t>Overtime</w:t>
            </w:r>
          </w:p>
        </w:tc>
        <w:tc>
          <w:tcPr>
            <w:tcW w:w="1218" w:type="dxa"/>
            <w:tcBorders>
              <w:bottom w:val="single" w:sz="4" w:space="0" w:color="000000"/>
            </w:tcBorders>
          </w:tcPr>
          <w:p>
            <w:pPr>
              <w:pStyle w:val="TableParagraph"/>
              <w:spacing w:before="8"/>
              <w:ind w:right="193"/>
              <w:rPr>
                <w:sz w:val="16"/>
              </w:rPr>
            </w:pPr>
            <w:r>
              <w:rPr>
                <w:w w:val="98"/>
                <w:sz w:val="16"/>
              </w:rPr>
              <w:t>-</w:t>
            </w:r>
          </w:p>
        </w:tc>
        <w:tc>
          <w:tcPr>
            <w:tcW w:w="827" w:type="dxa"/>
            <w:tcBorders>
              <w:bottom w:val="single" w:sz="4" w:space="0" w:color="000000"/>
            </w:tcBorders>
          </w:tcPr>
          <w:p>
            <w:pPr>
              <w:pStyle w:val="TableParagraph"/>
              <w:spacing w:before="8"/>
              <w:ind w:right="107"/>
              <w:rPr>
                <w:sz w:val="16"/>
              </w:rPr>
            </w:pPr>
            <w:r>
              <w:rPr>
                <w:w w:val="98"/>
                <w:sz w:val="16"/>
              </w:rPr>
              <w:t>-</w:t>
            </w:r>
          </w:p>
        </w:tc>
        <w:tc>
          <w:tcPr>
            <w:tcW w:w="1133" w:type="dxa"/>
            <w:tcBorders>
              <w:bottom w:val="single" w:sz="4" w:space="0" w:color="000000"/>
            </w:tcBorders>
          </w:tcPr>
          <w:p>
            <w:pPr>
              <w:pStyle w:val="TableParagraph"/>
              <w:spacing w:before="8"/>
              <w:ind w:right="107"/>
              <w:rPr>
                <w:sz w:val="16"/>
              </w:rPr>
            </w:pPr>
            <w:r>
              <w:rPr>
                <w:w w:val="98"/>
                <w:sz w:val="16"/>
              </w:rPr>
              <w:t>-</w:t>
            </w:r>
          </w:p>
        </w:tc>
        <w:tc>
          <w:tcPr>
            <w:tcW w:w="1078" w:type="dxa"/>
            <w:tcBorders>
              <w:bottom w:val="single" w:sz="4" w:space="0" w:color="000000"/>
            </w:tcBorders>
          </w:tcPr>
          <w:p>
            <w:pPr>
              <w:pStyle w:val="TableParagraph"/>
              <w:spacing w:before="8"/>
              <w:ind w:right="52"/>
              <w:rPr>
                <w:sz w:val="16"/>
              </w:rPr>
            </w:pPr>
            <w:r>
              <w:rPr>
                <w:w w:val="98"/>
                <w:sz w:val="16"/>
              </w:rPr>
              <w:t>-</w:t>
            </w:r>
          </w:p>
        </w:tc>
        <w:tc>
          <w:tcPr>
            <w:tcW w:w="1136" w:type="dxa"/>
            <w:tcBorders>
              <w:bottom w:val="single" w:sz="4" w:space="0" w:color="000000"/>
            </w:tcBorders>
          </w:tcPr>
          <w:p>
            <w:pPr>
              <w:pStyle w:val="TableParagraph"/>
              <w:spacing w:before="8"/>
              <w:ind w:right="199"/>
              <w:rPr>
                <w:sz w:val="16"/>
              </w:rPr>
            </w:pPr>
            <w:r>
              <w:rPr>
                <w:w w:val="98"/>
                <w:sz w:val="16"/>
              </w:rPr>
              <w:t>-</w:t>
            </w:r>
          </w:p>
        </w:tc>
        <w:tc>
          <w:tcPr>
            <w:tcW w:w="738" w:type="dxa"/>
            <w:tcBorders>
              <w:bottom w:val="single" w:sz="4" w:space="0" w:color="000000"/>
            </w:tcBorders>
          </w:tcPr>
          <w:p>
            <w:pPr>
              <w:pStyle w:val="TableParagraph"/>
              <w:spacing w:before="8"/>
              <w:ind w:right="173"/>
              <w:rPr>
                <w:sz w:val="16"/>
              </w:rPr>
            </w:pPr>
            <w:r>
              <w:rPr>
                <w:w w:val="98"/>
                <w:sz w:val="16"/>
              </w:rPr>
              <w:t>-</w:t>
            </w:r>
          </w:p>
        </w:tc>
        <w:tc>
          <w:tcPr>
            <w:tcW w:w="1053" w:type="dxa"/>
            <w:tcBorders>
              <w:bottom w:val="single" w:sz="4" w:space="0" w:color="000000"/>
            </w:tcBorders>
          </w:tcPr>
          <w:p>
            <w:pPr>
              <w:pStyle w:val="TableParagraph"/>
              <w:spacing w:before="8"/>
              <w:ind w:right="102"/>
              <w:rPr>
                <w:sz w:val="16"/>
              </w:rPr>
            </w:pPr>
            <w:r>
              <w:rPr>
                <w:w w:val="98"/>
                <w:sz w:val="16"/>
              </w:rPr>
              <w:t>-</w:t>
            </w:r>
          </w:p>
        </w:tc>
      </w:tr>
      <w:tr>
        <w:trPr>
          <w:trHeight w:val="230" w:hRule="atLeast"/>
        </w:trPr>
        <w:tc>
          <w:tcPr>
            <w:tcW w:w="2461" w:type="dxa"/>
            <w:tcBorders>
              <w:top w:val="single" w:sz="4" w:space="0" w:color="000000"/>
              <w:bottom w:val="single" w:sz="4" w:space="0" w:color="000000"/>
            </w:tcBorders>
          </w:tcPr>
          <w:p>
            <w:pPr>
              <w:pStyle w:val="TableParagraph"/>
              <w:spacing w:before="14"/>
              <w:ind w:right="105"/>
              <w:rPr>
                <w:i/>
                <w:sz w:val="16"/>
              </w:rPr>
            </w:pPr>
            <w:r>
              <w:rPr>
                <w:i/>
                <w:sz w:val="16"/>
              </w:rPr>
              <w:t>Subtotal</w:t>
            </w:r>
            <w:r>
              <w:rPr>
                <w:i/>
                <w:spacing w:val="-2"/>
                <w:sz w:val="16"/>
              </w:rPr>
              <w:t> </w:t>
            </w:r>
            <w:r>
              <w:rPr>
                <w:i/>
                <w:sz w:val="16"/>
              </w:rPr>
              <w:t>other</w:t>
            </w:r>
            <w:r>
              <w:rPr>
                <w:i/>
                <w:spacing w:val="-1"/>
                <w:sz w:val="16"/>
              </w:rPr>
              <w:t> </w:t>
            </w:r>
            <w:r>
              <w:rPr>
                <w:i/>
                <w:spacing w:val="-2"/>
                <w:sz w:val="16"/>
              </w:rPr>
              <w:t>staff</w:t>
            </w:r>
          </w:p>
        </w:tc>
        <w:tc>
          <w:tcPr>
            <w:tcW w:w="1218" w:type="dxa"/>
            <w:tcBorders>
              <w:top w:val="single" w:sz="4" w:space="0" w:color="000000"/>
              <w:bottom w:val="single" w:sz="4" w:space="0" w:color="000000"/>
            </w:tcBorders>
          </w:tcPr>
          <w:p>
            <w:pPr>
              <w:pStyle w:val="TableParagraph"/>
              <w:spacing w:before="14"/>
              <w:ind w:right="192"/>
              <w:rPr>
                <w:i/>
                <w:sz w:val="16"/>
              </w:rPr>
            </w:pPr>
            <w:r>
              <w:rPr>
                <w:i/>
                <w:spacing w:val="-2"/>
                <w:sz w:val="16"/>
              </w:rPr>
              <w:t>1,493.2</w:t>
            </w:r>
          </w:p>
        </w:tc>
        <w:tc>
          <w:tcPr>
            <w:tcW w:w="827" w:type="dxa"/>
            <w:tcBorders>
              <w:top w:val="single" w:sz="4" w:space="0" w:color="000000"/>
              <w:bottom w:val="single" w:sz="4" w:space="0" w:color="000000"/>
            </w:tcBorders>
          </w:tcPr>
          <w:p>
            <w:pPr>
              <w:pStyle w:val="TableParagraph"/>
              <w:spacing w:before="14"/>
              <w:ind w:right="107"/>
              <w:rPr>
                <w:i/>
                <w:sz w:val="16"/>
              </w:rPr>
            </w:pPr>
            <w:r>
              <w:rPr>
                <w:i/>
                <w:w w:val="98"/>
                <w:sz w:val="16"/>
              </w:rPr>
              <w:t>-</w:t>
            </w:r>
          </w:p>
        </w:tc>
        <w:tc>
          <w:tcPr>
            <w:tcW w:w="1133" w:type="dxa"/>
            <w:tcBorders>
              <w:top w:val="single" w:sz="4" w:space="0" w:color="000000"/>
              <w:bottom w:val="single" w:sz="4" w:space="0" w:color="000000"/>
            </w:tcBorders>
          </w:tcPr>
          <w:p>
            <w:pPr>
              <w:pStyle w:val="TableParagraph"/>
              <w:spacing w:before="14"/>
              <w:ind w:right="106"/>
              <w:rPr>
                <w:i/>
                <w:sz w:val="16"/>
              </w:rPr>
            </w:pPr>
            <w:r>
              <w:rPr>
                <w:i/>
                <w:spacing w:val="-2"/>
                <w:sz w:val="16"/>
              </w:rPr>
              <w:t>1,493.2</w:t>
            </w:r>
          </w:p>
        </w:tc>
        <w:tc>
          <w:tcPr>
            <w:tcW w:w="1078" w:type="dxa"/>
            <w:tcBorders>
              <w:top w:val="single" w:sz="4" w:space="0" w:color="000000"/>
              <w:bottom w:val="single" w:sz="4" w:space="0" w:color="000000"/>
            </w:tcBorders>
          </w:tcPr>
          <w:p>
            <w:pPr>
              <w:pStyle w:val="TableParagraph"/>
              <w:spacing w:before="14"/>
              <w:ind w:right="51"/>
              <w:rPr>
                <w:i/>
                <w:sz w:val="16"/>
              </w:rPr>
            </w:pPr>
            <w:r>
              <w:rPr>
                <w:i/>
                <w:spacing w:val="-2"/>
                <w:sz w:val="16"/>
              </w:rPr>
              <w:t>1,554.2</w:t>
            </w:r>
          </w:p>
        </w:tc>
        <w:tc>
          <w:tcPr>
            <w:tcW w:w="1136" w:type="dxa"/>
            <w:tcBorders>
              <w:top w:val="single" w:sz="4" w:space="0" w:color="000000"/>
              <w:bottom w:val="single" w:sz="4" w:space="0" w:color="000000"/>
            </w:tcBorders>
          </w:tcPr>
          <w:p>
            <w:pPr>
              <w:pStyle w:val="TableParagraph"/>
              <w:spacing w:before="14"/>
              <w:ind w:right="197"/>
              <w:rPr>
                <w:i/>
                <w:sz w:val="16"/>
              </w:rPr>
            </w:pPr>
            <w:r>
              <w:rPr>
                <w:i/>
                <w:spacing w:val="-2"/>
                <w:sz w:val="16"/>
              </w:rPr>
              <w:t>482.2</w:t>
            </w:r>
          </w:p>
        </w:tc>
        <w:tc>
          <w:tcPr>
            <w:tcW w:w="738" w:type="dxa"/>
            <w:tcBorders>
              <w:top w:val="single" w:sz="4" w:space="0" w:color="000000"/>
              <w:bottom w:val="single" w:sz="4" w:space="0" w:color="000000"/>
            </w:tcBorders>
          </w:tcPr>
          <w:p>
            <w:pPr>
              <w:pStyle w:val="TableParagraph"/>
              <w:spacing w:before="14"/>
              <w:ind w:right="171"/>
              <w:rPr>
                <w:i/>
                <w:sz w:val="16"/>
              </w:rPr>
            </w:pPr>
            <w:r>
              <w:rPr>
                <w:i/>
                <w:spacing w:val="-4"/>
                <w:sz w:val="16"/>
              </w:rPr>
              <w:t>31.0</w:t>
            </w:r>
          </w:p>
        </w:tc>
        <w:tc>
          <w:tcPr>
            <w:tcW w:w="1053" w:type="dxa"/>
            <w:tcBorders>
              <w:top w:val="single" w:sz="4" w:space="0" w:color="000000"/>
              <w:bottom w:val="single" w:sz="4" w:space="0" w:color="000000"/>
            </w:tcBorders>
          </w:tcPr>
          <w:p>
            <w:pPr>
              <w:pStyle w:val="TableParagraph"/>
              <w:spacing w:before="14"/>
              <w:ind w:right="101"/>
              <w:rPr>
                <w:i/>
                <w:sz w:val="16"/>
              </w:rPr>
            </w:pPr>
            <w:r>
              <w:rPr>
                <w:i/>
                <w:spacing w:val="-2"/>
                <w:sz w:val="16"/>
              </w:rPr>
              <w:t>2,036.4</w:t>
            </w:r>
          </w:p>
        </w:tc>
      </w:tr>
      <w:tr>
        <w:trPr>
          <w:trHeight w:val="227" w:hRule="atLeast"/>
        </w:trPr>
        <w:tc>
          <w:tcPr>
            <w:tcW w:w="2461" w:type="dxa"/>
            <w:tcBorders>
              <w:top w:val="single" w:sz="4" w:space="0" w:color="000000"/>
            </w:tcBorders>
          </w:tcPr>
          <w:p>
            <w:pPr>
              <w:pStyle w:val="TableParagraph"/>
              <w:spacing w:before="9"/>
              <w:ind w:left="117"/>
              <w:jc w:val="left"/>
              <w:rPr>
                <w:sz w:val="16"/>
              </w:rPr>
            </w:pPr>
            <w:r>
              <w:rPr>
                <w:spacing w:val="-2"/>
                <w:sz w:val="16"/>
              </w:rPr>
              <w:t>Travel</w:t>
            </w:r>
          </w:p>
        </w:tc>
        <w:tc>
          <w:tcPr>
            <w:tcW w:w="1218" w:type="dxa"/>
            <w:tcBorders>
              <w:top w:val="single" w:sz="4" w:space="0" w:color="000000"/>
            </w:tcBorders>
          </w:tcPr>
          <w:p>
            <w:pPr>
              <w:pStyle w:val="TableParagraph"/>
              <w:spacing w:before="9"/>
              <w:ind w:right="191"/>
              <w:rPr>
                <w:sz w:val="16"/>
              </w:rPr>
            </w:pPr>
            <w:r>
              <w:rPr>
                <w:spacing w:val="-2"/>
                <w:sz w:val="16"/>
              </w:rPr>
              <w:t>123.6</w:t>
            </w:r>
          </w:p>
        </w:tc>
        <w:tc>
          <w:tcPr>
            <w:tcW w:w="827" w:type="dxa"/>
            <w:tcBorders>
              <w:top w:val="single" w:sz="4" w:space="0" w:color="000000"/>
            </w:tcBorders>
          </w:tcPr>
          <w:p>
            <w:pPr>
              <w:pStyle w:val="TableParagraph"/>
              <w:spacing w:before="9"/>
              <w:ind w:right="107"/>
              <w:rPr>
                <w:sz w:val="16"/>
              </w:rPr>
            </w:pPr>
            <w:r>
              <w:rPr>
                <w:w w:val="98"/>
                <w:sz w:val="16"/>
              </w:rPr>
              <w:t>-</w:t>
            </w:r>
          </w:p>
        </w:tc>
        <w:tc>
          <w:tcPr>
            <w:tcW w:w="1133" w:type="dxa"/>
            <w:tcBorders>
              <w:top w:val="single" w:sz="4" w:space="0" w:color="000000"/>
            </w:tcBorders>
          </w:tcPr>
          <w:p>
            <w:pPr>
              <w:pStyle w:val="TableParagraph"/>
              <w:spacing w:before="9"/>
              <w:ind w:right="106"/>
              <w:rPr>
                <w:sz w:val="16"/>
              </w:rPr>
            </w:pPr>
            <w:r>
              <w:rPr>
                <w:spacing w:val="-2"/>
                <w:sz w:val="16"/>
              </w:rPr>
              <w:t>123.6</w:t>
            </w:r>
          </w:p>
        </w:tc>
        <w:tc>
          <w:tcPr>
            <w:tcW w:w="1078" w:type="dxa"/>
            <w:tcBorders>
              <w:top w:val="single" w:sz="4" w:space="0" w:color="000000"/>
            </w:tcBorders>
          </w:tcPr>
          <w:p>
            <w:pPr>
              <w:pStyle w:val="TableParagraph"/>
              <w:spacing w:before="9"/>
              <w:ind w:right="50"/>
              <w:rPr>
                <w:sz w:val="16"/>
              </w:rPr>
            </w:pPr>
            <w:r>
              <w:rPr>
                <w:spacing w:val="-2"/>
                <w:sz w:val="16"/>
              </w:rPr>
              <w:t>144.9</w:t>
            </w:r>
          </w:p>
        </w:tc>
        <w:tc>
          <w:tcPr>
            <w:tcW w:w="1136" w:type="dxa"/>
            <w:tcBorders>
              <w:top w:val="single" w:sz="4" w:space="0" w:color="000000"/>
            </w:tcBorders>
          </w:tcPr>
          <w:p>
            <w:pPr>
              <w:pStyle w:val="TableParagraph"/>
              <w:spacing w:before="9"/>
              <w:ind w:right="197"/>
              <w:rPr>
                <w:sz w:val="16"/>
              </w:rPr>
            </w:pPr>
            <w:r>
              <w:rPr>
                <w:spacing w:val="-2"/>
                <w:sz w:val="16"/>
              </w:rPr>
              <w:t>198.1</w:t>
            </w:r>
          </w:p>
        </w:tc>
        <w:tc>
          <w:tcPr>
            <w:tcW w:w="738" w:type="dxa"/>
            <w:tcBorders>
              <w:top w:val="single" w:sz="4" w:space="0" w:color="000000"/>
            </w:tcBorders>
          </w:tcPr>
          <w:p>
            <w:pPr>
              <w:pStyle w:val="TableParagraph"/>
              <w:spacing w:before="9"/>
              <w:ind w:right="171"/>
              <w:rPr>
                <w:sz w:val="16"/>
              </w:rPr>
            </w:pPr>
            <w:r>
              <w:rPr>
                <w:spacing w:val="-2"/>
                <w:sz w:val="16"/>
              </w:rPr>
              <w:t>136.7</w:t>
            </w:r>
          </w:p>
        </w:tc>
        <w:tc>
          <w:tcPr>
            <w:tcW w:w="1053" w:type="dxa"/>
            <w:tcBorders>
              <w:top w:val="single" w:sz="4" w:space="0" w:color="000000"/>
            </w:tcBorders>
          </w:tcPr>
          <w:p>
            <w:pPr>
              <w:pStyle w:val="TableParagraph"/>
              <w:spacing w:before="9"/>
              <w:ind w:right="101"/>
              <w:rPr>
                <w:sz w:val="16"/>
              </w:rPr>
            </w:pPr>
            <w:r>
              <w:rPr>
                <w:spacing w:val="-2"/>
                <w:sz w:val="16"/>
              </w:rPr>
              <w:t>343.0</w:t>
            </w:r>
          </w:p>
        </w:tc>
      </w:tr>
      <w:tr>
        <w:trPr>
          <w:trHeight w:val="228" w:hRule="atLeast"/>
        </w:trPr>
        <w:tc>
          <w:tcPr>
            <w:tcW w:w="2461" w:type="dxa"/>
          </w:tcPr>
          <w:p>
            <w:pPr>
              <w:pStyle w:val="TableParagraph"/>
              <w:spacing w:before="8"/>
              <w:ind w:left="117"/>
              <w:jc w:val="left"/>
              <w:rPr>
                <w:sz w:val="16"/>
              </w:rPr>
            </w:pPr>
            <w:r>
              <w:rPr>
                <w:spacing w:val="-2"/>
                <w:sz w:val="16"/>
              </w:rPr>
              <w:t>Hospitality</w:t>
            </w:r>
          </w:p>
        </w:tc>
        <w:tc>
          <w:tcPr>
            <w:tcW w:w="1218" w:type="dxa"/>
          </w:tcPr>
          <w:p>
            <w:pPr>
              <w:pStyle w:val="TableParagraph"/>
              <w:spacing w:before="8"/>
              <w:ind w:right="193"/>
              <w:rPr>
                <w:sz w:val="16"/>
              </w:rPr>
            </w:pPr>
            <w:r>
              <w:rPr>
                <w:w w:val="98"/>
                <w:sz w:val="16"/>
              </w:rPr>
              <w:t>-</w:t>
            </w:r>
          </w:p>
        </w:tc>
        <w:tc>
          <w:tcPr>
            <w:tcW w:w="827" w:type="dxa"/>
          </w:tcPr>
          <w:p>
            <w:pPr>
              <w:pStyle w:val="TableParagraph"/>
              <w:spacing w:before="8"/>
              <w:ind w:right="107"/>
              <w:rPr>
                <w:sz w:val="16"/>
              </w:rPr>
            </w:pPr>
            <w:r>
              <w:rPr>
                <w:w w:val="98"/>
                <w:sz w:val="16"/>
              </w:rPr>
              <w:t>-</w:t>
            </w:r>
          </w:p>
        </w:tc>
        <w:tc>
          <w:tcPr>
            <w:tcW w:w="1133" w:type="dxa"/>
          </w:tcPr>
          <w:p>
            <w:pPr>
              <w:pStyle w:val="TableParagraph"/>
              <w:spacing w:before="8"/>
              <w:ind w:right="107"/>
              <w:rPr>
                <w:sz w:val="16"/>
              </w:rPr>
            </w:pPr>
            <w:r>
              <w:rPr>
                <w:w w:val="98"/>
                <w:sz w:val="16"/>
              </w:rPr>
              <w:t>-</w:t>
            </w:r>
          </w:p>
        </w:tc>
        <w:tc>
          <w:tcPr>
            <w:tcW w:w="1078" w:type="dxa"/>
          </w:tcPr>
          <w:p>
            <w:pPr>
              <w:pStyle w:val="TableParagraph"/>
              <w:spacing w:before="8"/>
              <w:ind w:right="55"/>
              <w:rPr>
                <w:sz w:val="16"/>
              </w:rPr>
            </w:pPr>
            <w:r>
              <w:rPr>
                <w:spacing w:val="-5"/>
                <w:sz w:val="16"/>
              </w:rPr>
              <w:t>1.0</w:t>
            </w:r>
          </w:p>
        </w:tc>
        <w:tc>
          <w:tcPr>
            <w:tcW w:w="1136" w:type="dxa"/>
          </w:tcPr>
          <w:p>
            <w:pPr>
              <w:pStyle w:val="TableParagraph"/>
              <w:spacing w:before="8"/>
              <w:ind w:right="199"/>
              <w:rPr>
                <w:sz w:val="16"/>
              </w:rPr>
            </w:pPr>
            <w:r>
              <w:rPr>
                <w:w w:val="98"/>
                <w:sz w:val="16"/>
              </w:rPr>
              <w:t>-</w:t>
            </w:r>
          </w:p>
        </w:tc>
        <w:tc>
          <w:tcPr>
            <w:tcW w:w="738" w:type="dxa"/>
          </w:tcPr>
          <w:p>
            <w:pPr>
              <w:pStyle w:val="TableParagraph"/>
              <w:spacing w:before="8"/>
              <w:ind w:right="173"/>
              <w:rPr>
                <w:sz w:val="16"/>
              </w:rPr>
            </w:pPr>
            <w:r>
              <w:rPr>
                <w:w w:val="98"/>
                <w:sz w:val="16"/>
              </w:rPr>
              <w:t>-</w:t>
            </w:r>
          </w:p>
        </w:tc>
        <w:tc>
          <w:tcPr>
            <w:tcW w:w="1053" w:type="dxa"/>
          </w:tcPr>
          <w:p>
            <w:pPr>
              <w:pStyle w:val="TableParagraph"/>
              <w:spacing w:before="8"/>
              <w:ind w:right="105"/>
              <w:rPr>
                <w:sz w:val="16"/>
              </w:rPr>
            </w:pPr>
            <w:r>
              <w:rPr>
                <w:spacing w:val="-5"/>
                <w:sz w:val="16"/>
              </w:rPr>
              <w:t>1.0</w:t>
            </w:r>
          </w:p>
        </w:tc>
      </w:tr>
      <w:tr>
        <w:trPr>
          <w:trHeight w:val="228" w:hRule="atLeast"/>
        </w:trPr>
        <w:tc>
          <w:tcPr>
            <w:tcW w:w="2461" w:type="dxa"/>
          </w:tcPr>
          <w:p>
            <w:pPr>
              <w:pStyle w:val="TableParagraph"/>
              <w:spacing w:before="10"/>
              <w:ind w:left="117"/>
              <w:jc w:val="left"/>
              <w:rPr>
                <w:sz w:val="16"/>
              </w:rPr>
            </w:pPr>
            <w:r>
              <w:rPr>
                <w:w w:val="95"/>
                <w:sz w:val="16"/>
              </w:rPr>
              <w:t>Contractual</w:t>
            </w:r>
            <w:r>
              <w:rPr>
                <w:spacing w:val="33"/>
                <w:sz w:val="16"/>
              </w:rPr>
              <w:t> </w:t>
            </w:r>
            <w:r>
              <w:rPr>
                <w:spacing w:val="-2"/>
                <w:sz w:val="16"/>
              </w:rPr>
              <w:t>services</w:t>
            </w:r>
          </w:p>
        </w:tc>
        <w:tc>
          <w:tcPr>
            <w:tcW w:w="1218" w:type="dxa"/>
          </w:tcPr>
          <w:p>
            <w:pPr>
              <w:pStyle w:val="TableParagraph"/>
              <w:spacing w:before="10"/>
              <w:ind w:right="191"/>
              <w:rPr>
                <w:sz w:val="16"/>
              </w:rPr>
            </w:pPr>
            <w:r>
              <w:rPr>
                <w:spacing w:val="-4"/>
                <w:sz w:val="16"/>
              </w:rPr>
              <w:t>88.4</w:t>
            </w:r>
          </w:p>
        </w:tc>
        <w:tc>
          <w:tcPr>
            <w:tcW w:w="827" w:type="dxa"/>
          </w:tcPr>
          <w:p>
            <w:pPr>
              <w:pStyle w:val="TableParagraph"/>
              <w:spacing w:before="10"/>
              <w:ind w:right="107"/>
              <w:rPr>
                <w:sz w:val="16"/>
              </w:rPr>
            </w:pPr>
            <w:r>
              <w:rPr>
                <w:w w:val="98"/>
                <w:sz w:val="16"/>
              </w:rPr>
              <w:t>-</w:t>
            </w:r>
          </w:p>
        </w:tc>
        <w:tc>
          <w:tcPr>
            <w:tcW w:w="1133" w:type="dxa"/>
          </w:tcPr>
          <w:p>
            <w:pPr>
              <w:pStyle w:val="TableParagraph"/>
              <w:spacing w:before="10"/>
              <w:ind w:right="105"/>
              <w:rPr>
                <w:sz w:val="16"/>
              </w:rPr>
            </w:pPr>
            <w:r>
              <w:rPr>
                <w:spacing w:val="-4"/>
                <w:sz w:val="16"/>
              </w:rPr>
              <w:t>88.4</w:t>
            </w:r>
          </w:p>
        </w:tc>
        <w:tc>
          <w:tcPr>
            <w:tcW w:w="1078" w:type="dxa"/>
          </w:tcPr>
          <w:p>
            <w:pPr>
              <w:pStyle w:val="TableParagraph"/>
              <w:spacing w:before="10"/>
              <w:ind w:right="50"/>
              <w:rPr>
                <w:sz w:val="16"/>
              </w:rPr>
            </w:pPr>
            <w:r>
              <w:rPr>
                <w:spacing w:val="-4"/>
                <w:sz w:val="16"/>
              </w:rPr>
              <w:t>99.3</w:t>
            </w:r>
          </w:p>
        </w:tc>
        <w:tc>
          <w:tcPr>
            <w:tcW w:w="1136" w:type="dxa"/>
          </w:tcPr>
          <w:p>
            <w:pPr>
              <w:pStyle w:val="TableParagraph"/>
              <w:spacing w:before="10"/>
              <w:ind w:right="197"/>
              <w:rPr>
                <w:sz w:val="16"/>
              </w:rPr>
            </w:pPr>
            <w:r>
              <w:rPr>
                <w:spacing w:val="-2"/>
                <w:sz w:val="16"/>
              </w:rPr>
              <w:t>135.7</w:t>
            </w:r>
          </w:p>
        </w:tc>
        <w:tc>
          <w:tcPr>
            <w:tcW w:w="738" w:type="dxa"/>
          </w:tcPr>
          <w:p>
            <w:pPr>
              <w:pStyle w:val="TableParagraph"/>
              <w:spacing w:before="10"/>
              <w:ind w:right="171"/>
              <w:rPr>
                <w:sz w:val="16"/>
              </w:rPr>
            </w:pPr>
            <w:r>
              <w:rPr>
                <w:spacing w:val="-2"/>
                <w:sz w:val="16"/>
              </w:rPr>
              <w:t>136.7</w:t>
            </w:r>
          </w:p>
        </w:tc>
        <w:tc>
          <w:tcPr>
            <w:tcW w:w="1053" w:type="dxa"/>
          </w:tcPr>
          <w:p>
            <w:pPr>
              <w:pStyle w:val="TableParagraph"/>
              <w:spacing w:before="10"/>
              <w:ind w:right="101"/>
              <w:rPr>
                <w:sz w:val="16"/>
              </w:rPr>
            </w:pPr>
            <w:r>
              <w:rPr>
                <w:spacing w:val="-2"/>
                <w:sz w:val="16"/>
              </w:rPr>
              <w:t>235.0</w:t>
            </w:r>
          </w:p>
        </w:tc>
      </w:tr>
      <w:tr>
        <w:trPr>
          <w:trHeight w:val="225" w:hRule="atLeast"/>
        </w:trPr>
        <w:tc>
          <w:tcPr>
            <w:tcW w:w="2461" w:type="dxa"/>
          </w:tcPr>
          <w:p>
            <w:pPr>
              <w:pStyle w:val="TableParagraph"/>
              <w:spacing w:before="8"/>
              <w:ind w:left="117"/>
              <w:jc w:val="left"/>
              <w:rPr>
                <w:sz w:val="16"/>
              </w:rPr>
            </w:pPr>
            <w:r>
              <w:rPr>
                <w:spacing w:val="-2"/>
                <w:sz w:val="16"/>
              </w:rPr>
              <w:t>Training</w:t>
            </w:r>
          </w:p>
        </w:tc>
        <w:tc>
          <w:tcPr>
            <w:tcW w:w="1218" w:type="dxa"/>
          </w:tcPr>
          <w:p>
            <w:pPr>
              <w:pStyle w:val="TableParagraph"/>
              <w:spacing w:before="8"/>
              <w:ind w:right="193"/>
              <w:rPr>
                <w:sz w:val="16"/>
              </w:rPr>
            </w:pPr>
            <w:r>
              <w:rPr>
                <w:w w:val="98"/>
                <w:sz w:val="16"/>
              </w:rPr>
              <w:t>-</w:t>
            </w:r>
          </w:p>
        </w:tc>
        <w:tc>
          <w:tcPr>
            <w:tcW w:w="827" w:type="dxa"/>
          </w:tcPr>
          <w:p>
            <w:pPr>
              <w:pStyle w:val="TableParagraph"/>
              <w:spacing w:before="8"/>
              <w:ind w:right="107"/>
              <w:rPr>
                <w:sz w:val="16"/>
              </w:rPr>
            </w:pPr>
            <w:r>
              <w:rPr>
                <w:w w:val="98"/>
                <w:sz w:val="16"/>
              </w:rPr>
              <w:t>-</w:t>
            </w:r>
          </w:p>
        </w:tc>
        <w:tc>
          <w:tcPr>
            <w:tcW w:w="1133" w:type="dxa"/>
          </w:tcPr>
          <w:p>
            <w:pPr>
              <w:pStyle w:val="TableParagraph"/>
              <w:spacing w:before="8"/>
              <w:ind w:right="107"/>
              <w:rPr>
                <w:sz w:val="16"/>
              </w:rPr>
            </w:pPr>
            <w:r>
              <w:rPr>
                <w:w w:val="98"/>
                <w:sz w:val="16"/>
              </w:rPr>
              <w:t>-</w:t>
            </w:r>
          </w:p>
        </w:tc>
        <w:tc>
          <w:tcPr>
            <w:tcW w:w="1078" w:type="dxa"/>
          </w:tcPr>
          <w:p>
            <w:pPr>
              <w:pStyle w:val="TableParagraph"/>
              <w:spacing w:before="8"/>
              <w:ind w:right="50"/>
              <w:rPr>
                <w:sz w:val="16"/>
              </w:rPr>
            </w:pPr>
            <w:r>
              <w:rPr>
                <w:spacing w:val="-4"/>
                <w:sz w:val="16"/>
              </w:rPr>
              <w:t>19.1</w:t>
            </w:r>
          </w:p>
        </w:tc>
        <w:tc>
          <w:tcPr>
            <w:tcW w:w="1136" w:type="dxa"/>
          </w:tcPr>
          <w:p>
            <w:pPr>
              <w:pStyle w:val="TableParagraph"/>
              <w:spacing w:before="8"/>
              <w:ind w:right="201"/>
              <w:rPr>
                <w:sz w:val="16"/>
              </w:rPr>
            </w:pPr>
            <w:r>
              <w:rPr>
                <w:spacing w:val="-5"/>
                <w:sz w:val="16"/>
              </w:rPr>
              <w:t>0.4</w:t>
            </w:r>
          </w:p>
        </w:tc>
        <w:tc>
          <w:tcPr>
            <w:tcW w:w="738" w:type="dxa"/>
          </w:tcPr>
          <w:p>
            <w:pPr>
              <w:pStyle w:val="TableParagraph"/>
              <w:spacing w:before="8"/>
              <w:ind w:right="176"/>
              <w:rPr>
                <w:sz w:val="16"/>
              </w:rPr>
            </w:pPr>
            <w:r>
              <w:rPr>
                <w:spacing w:val="-5"/>
                <w:sz w:val="16"/>
              </w:rPr>
              <w:t>2.1</w:t>
            </w:r>
          </w:p>
        </w:tc>
        <w:tc>
          <w:tcPr>
            <w:tcW w:w="1053" w:type="dxa"/>
          </w:tcPr>
          <w:p>
            <w:pPr>
              <w:pStyle w:val="TableParagraph"/>
              <w:spacing w:before="8"/>
              <w:ind w:right="100"/>
              <w:rPr>
                <w:sz w:val="16"/>
              </w:rPr>
            </w:pPr>
            <w:r>
              <w:rPr>
                <w:spacing w:val="-4"/>
                <w:sz w:val="16"/>
              </w:rPr>
              <w:t>19.5</w:t>
            </w:r>
          </w:p>
        </w:tc>
      </w:tr>
      <w:tr>
        <w:trPr>
          <w:trHeight w:val="228" w:hRule="atLeast"/>
        </w:trPr>
        <w:tc>
          <w:tcPr>
            <w:tcW w:w="2461" w:type="dxa"/>
          </w:tcPr>
          <w:p>
            <w:pPr>
              <w:pStyle w:val="TableParagraph"/>
              <w:spacing w:before="8"/>
              <w:ind w:left="117"/>
              <w:jc w:val="left"/>
              <w:rPr>
                <w:sz w:val="16"/>
              </w:rPr>
            </w:pPr>
            <w:r>
              <w:rPr>
                <w:spacing w:val="-2"/>
                <w:sz w:val="16"/>
              </w:rPr>
              <w:t>Consultants</w:t>
            </w:r>
          </w:p>
        </w:tc>
        <w:tc>
          <w:tcPr>
            <w:tcW w:w="1218" w:type="dxa"/>
          </w:tcPr>
          <w:p>
            <w:pPr>
              <w:pStyle w:val="TableParagraph"/>
              <w:spacing w:before="8"/>
              <w:ind w:right="191"/>
              <w:rPr>
                <w:sz w:val="16"/>
              </w:rPr>
            </w:pPr>
            <w:r>
              <w:rPr>
                <w:spacing w:val="-4"/>
                <w:sz w:val="16"/>
              </w:rPr>
              <w:t>67.5</w:t>
            </w:r>
          </w:p>
        </w:tc>
        <w:tc>
          <w:tcPr>
            <w:tcW w:w="827" w:type="dxa"/>
          </w:tcPr>
          <w:p>
            <w:pPr>
              <w:pStyle w:val="TableParagraph"/>
              <w:spacing w:before="8"/>
              <w:ind w:right="107"/>
              <w:rPr>
                <w:sz w:val="16"/>
              </w:rPr>
            </w:pPr>
            <w:r>
              <w:rPr>
                <w:w w:val="98"/>
                <w:sz w:val="16"/>
              </w:rPr>
              <w:t>-</w:t>
            </w:r>
          </w:p>
        </w:tc>
        <w:tc>
          <w:tcPr>
            <w:tcW w:w="1133" w:type="dxa"/>
          </w:tcPr>
          <w:p>
            <w:pPr>
              <w:pStyle w:val="TableParagraph"/>
              <w:spacing w:before="8"/>
              <w:ind w:right="105"/>
              <w:rPr>
                <w:sz w:val="16"/>
              </w:rPr>
            </w:pPr>
            <w:r>
              <w:rPr>
                <w:spacing w:val="-4"/>
                <w:sz w:val="16"/>
              </w:rPr>
              <w:t>67.5</w:t>
            </w:r>
          </w:p>
        </w:tc>
        <w:tc>
          <w:tcPr>
            <w:tcW w:w="1078" w:type="dxa"/>
          </w:tcPr>
          <w:p>
            <w:pPr>
              <w:pStyle w:val="TableParagraph"/>
              <w:spacing w:before="8"/>
              <w:ind w:right="50"/>
              <w:rPr>
                <w:sz w:val="16"/>
              </w:rPr>
            </w:pPr>
            <w:r>
              <w:rPr>
                <w:spacing w:val="-4"/>
                <w:sz w:val="16"/>
              </w:rPr>
              <w:t>40.2</w:t>
            </w:r>
          </w:p>
        </w:tc>
        <w:tc>
          <w:tcPr>
            <w:tcW w:w="1136" w:type="dxa"/>
          </w:tcPr>
          <w:p>
            <w:pPr>
              <w:pStyle w:val="TableParagraph"/>
              <w:spacing w:before="8"/>
              <w:ind w:right="199"/>
              <w:rPr>
                <w:sz w:val="16"/>
              </w:rPr>
            </w:pPr>
            <w:r>
              <w:rPr>
                <w:spacing w:val="-2"/>
                <w:sz w:val="16"/>
              </w:rPr>
              <w:t>(0.2)</w:t>
            </w:r>
          </w:p>
        </w:tc>
        <w:tc>
          <w:tcPr>
            <w:tcW w:w="738" w:type="dxa"/>
          </w:tcPr>
          <w:p>
            <w:pPr>
              <w:pStyle w:val="TableParagraph"/>
              <w:spacing w:before="8"/>
              <w:ind w:right="174"/>
              <w:rPr>
                <w:sz w:val="16"/>
              </w:rPr>
            </w:pPr>
            <w:r>
              <w:rPr>
                <w:spacing w:val="-2"/>
                <w:sz w:val="16"/>
              </w:rPr>
              <w:t>(0.5)</w:t>
            </w:r>
          </w:p>
        </w:tc>
        <w:tc>
          <w:tcPr>
            <w:tcW w:w="1053" w:type="dxa"/>
          </w:tcPr>
          <w:p>
            <w:pPr>
              <w:pStyle w:val="TableParagraph"/>
              <w:spacing w:before="8"/>
              <w:ind w:right="100"/>
              <w:rPr>
                <w:sz w:val="16"/>
              </w:rPr>
            </w:pPr>
            <w:r>
              <w:rPr>
                <w:spacing w:val="-4"/>
                <w:sz w:val="16"/>
              </w:rPr>
              <w:t>40.0</w:t>
            </w:r>
          </w:p>
        </w:tc>
      </w:tr>
      <w:tr>
        <w:trPr>
          <w:trHeight w:val="227" w:hRule="atLeast"/>
        </w:trPr>
        <w:tc>
          <w:tcPr>
            <w:tcW w:w="2461" w:type="dxa"/>
          </w:tcPr>
          <w:p>
            <w:pPr>
              <w:pStyle w:val="TableParagraph"/>
              <w:spacing w:before="10"/>
              <w:ind w:left="117"/>
              <w:jc w:val="left"/>
              <w:rPr>
                <w:sz w:val="16"/>
              </w:rPr>
            </w:pPr>
            <w:r>
              <w:rPr>
                <w:sz w:val="16"/>
              </w:rPr>
              <w:t>General</w:t>
            </w:r>
            <w:r>
              <w:rPr>
                <w:spacing w:val="-4"/>
                <w:sz w:val="16"/>
              </w:rPr>
              <w:t> </w:t>
            </w:r>
            <w:r>
              <w:rPr>
                <w:sz w:val="16"/>
              </w:rPr>
              <w:t>operating</w:t>
            </w:r>
            <w:r>
              <w:rPr>
                <w:spacing w:val="-1"/>
                <w:sz w:val="16"/>
              </w:rPr>
              <w:t> </w:t>
            </w:r>
            <w:r>
              <w:rPr>
                <w:spacing w:val="-2"/>
                <w:sz w:val="16"/>
              </w:rPr>
              <w:t>expenses</w:t>
            </w:r>
          </w:p>
        </w:tc>
        <w:tc>
          <w:tcPr>
            <w:tcW w:w="1218" w:type="dxa"/>
          </w:tcPr>
          <w:p>
            <w:pPr>
              <w:pStyle w:val="TableParagraph"/>
              <w:spacing w:before="10"/>
              <w:ind w:right="195"/>
              <w:rPr>
                <w:sz w:val="16"/>
              </w:rPr>
            </w:pPr>
            <w:r>
              <w:rPr>
                <w:spacing w:val="-5"/>
                <w:sz w:val="16"/>
              </w:rPr>
              <w:t>2.0</w:t>
            </w:r>
          </w:p>
        </w:tc>
        <w:tc>
          <w:tcPr>
            <w:tcW w:w="827" w:type="dxa"/>
          </w:tcPr>
          <w:p>
            <w:pPr>
              <w:pStyle w:val="TableParagraph"/>
              <w:spacing w:before="10"/>
              <w:ind w:right="107"/>
              <w:rPr>
                <w:sz w:val="16"/>
              </w:rPr>
            </w:pPr>
            <w:r>
              <w:rPr>
                <w:w w:val="98"/>
                <w:sz w:val="16"/>
              </w:rPr>
              <w:t>-</w:t>
            </w:r>
          </w:p>
        </w:tc>
        <w:tc>
          <w:tcPr>
            <w:tcW w:w="1133" w:type="dxa"/>
          </w:tcPr>
          <w:p>
            <w:pPr>
              <w:pStyle w:val="TableParagraph"/>
              <w:spacing w:before="10"/>
              <w:ind w:right="110"/>
              <w:rPr>
                <w:sz w:val="16"/>
              </w:rPr>
            </w:pPr>
            <w:r>
              <w:rPr>
                <w:spacing w:val="-5"/>
                <w:sz w:val="16"/>
              </w:rPr>
              <w:t>2.0</w:t>
            </w:r>
          </w:p>
        </w:tc>
        <w:tc>
          <w:tcPr>
            <w:tcW w:w="1078" w:type="dxa"/>
          </w:tcPr>
          <w:p>
            <w:pPr>
              <w:pStyle w:val="TableParagraph"/>
              <w:spacing w:before="10"/>
              <w:ind w:right="55"/>
              <w:rPr>
                <w:sz w:val="16"/>
              </w:rPr>
            </w:pPr>
            <w:r>
              <w:rPr>
                <w:spacing w:val="-5"/>
                <w:sz w:val="16"/>
              </w:rPr>
              <w:t>5.0</w:t>
            </w:r>
          </w:p>
        </w:tc>
        <w:tc>
          <w:tcPr>
            <w:tcW w:w="1136" w:type="dxa"/>
          </w:tcPr>
          <w:p>
            <w:pPr>
              <w:pStyle w:val="TableParagraph"/>
              <w:spacing w:before="10"/>
              <w:ind w:right="199"/>
              <w:rPr>
                <w:sz w:val="16"/>
              </w:rPr>
            </w:pPr>
            <w:r>
              <w:rPr>
                <w:w w:val="98"/>
                <w:sz w:val="16"/>
              </w:rPr>
              <w:t>-</w:t>
            </w:r>
          </w:p>
        </w:tc>
        <w:tc>
          <w:tcPr>
            <w:tcW w:w="738" w:type="dxa"/>
          </w:tcPr>
          <w:p>
            <w:pPr>
              <w:pStyle w:val="TableParagraph"/>
              <w:spacing w:before="10"/>
              <w:ind w:right="173"/>
              <w:rPr>
                <w:sz w:val="16"/>
              </w:rPr>
            </w:pPr>
            <w:r>
              <w:rPr>
                <w:w w:val="98"/>
                <w:sz w:val="16"/>
              </w:rPr>
              <w:t>-</w:t>
            </w:r>
          </w:p>
        </w:tc>
        <w:tc>
          <w:tcPr>
            <w:tcW w:w="1053" w:type="dxa"/>
          </w:tcPr>
          <w:p>
            <w:pPr>
              <w:pStyle w:val="TableParagraph"/>
              <w:spacing w:before="10"/>
              <w:ind w:right="105"/>
              <w:rPr>
                <w:sz w:val="16"/>
              </w:rPr>
            </w:pPr>
            <w:r>
              <w:rPr>
                <w:spacing w:val="-5"/>
                <w:sz w:val="16"/>
              </w:rPr>
              <w:t>5.0</w:t>
            </w:r>
          </w:p>
        </w:tc>
      </w:tr>
      <w:tr>
        <w:trPr>
          <w:trHeight w:val="225" w:hRule="atLeast"/>
        </w:trPr>
        <w:tc>
          <w:tcPr>
            <w:tcW w:w="2461" w:type="dxa"/>
          </w:tcPr>
          <w:p>
            <w:pPr>
              <w:pStyle w:val="TableParagraph"/>
              <w:spacing w:before="8"/>
              <w:ind w:left="117"/>
              <w:jc w:val="left"/>
              <w:rPr>
                <w:sz w:val="16"/>
              </w:rPr>
            </w:pPr>
            <w:r>
              <w:rPr>
                <w:sz w:val="16"/>
              </w:rPr>
              <w:t>Supplies</w:t>
            </w:r>
            <w:r>
              <w:rPr>
                <w:spacing w:val="-4"/>
                <w:sz w:val="16"/>
              </w:rPr>
              <w:t> </w:t>
            </w:r>
            <w:r>
              <w:rPr>
                <w:sz w:val="16"/>
              </w:rPr>
              <w:t>and</w:t>
            </w:r>
            <w:r>
              <w:rPr>
                <w:spacing w:val="-2"/>
                <w:sz w:val="16"/>
              </w:rPr>
              <w:t> materials</w:t>
            </w:r>
          </w:p>
        </w:tc>
        <w:tc>
          <w:tcPr>
            <w:tcW w:w="1218" w:type="dxa"/>
          </w:tcPr>
          <w:p>
            <w:pPr>
              <w:pStyle w:val="TableParagraph"/>
              <w:spacing w:before="8"/>
              <w:ind w:right="195"/>
              <w:rPr>
                <w:sz w:val="16"/>
              </w:rPr>
            </w:pPr>
            <w:r>
              <w:rPr>
                <w:spacing w:val="-5"/>
                <w:sz w:val="16"/>
              </w:rPr>
              <w:t>4.2</w:t>
            </w:r>
          </w:p>
        </w:tc>
        <w:tc>
          <w:tcPr>
            <w:tcW w:w="827" w:type="dxa"/>
          </w:tcPr>
          <w:p>
            <w:pPr>
              <w:pStyle w:val="TableParagraph"/>
              <w:spacing w:before="8"/>
              <w:ind w:right="107"/>
              <w:rPr>
                <w:sz w:val="16"/>
              </w:rPr>
            </w:pPr>
            <w:r>
              <w:rPr>
                <w:w w:val="98"/>
                <w:sz w:val="16"/>
              </w:rPr>
              <w:t>-</w:t>
            </w:r>
          </w:p>
        </w:tc>
        <w:tc>
          <w:tcPr>
            <w:tcW w:w="1133" w:type="dxa"/>
          </w:tcPr>
          <w:p>
            <w:pPr>
              <w:pStyle w:val="TableParagraph"/>
              <w:spacing w:before="8"/>
              <w:ind w:right="110"/>
              <w:rPr>
                <w:sz w:val="16"/>
              </w:rPr>
            </w:pPr>
            <w:r>
              <w:rPr>
                <w:spacing w:val="-5"/>
                <w:sz w:val="16"/>
              </w:rPr>
              <w:t>4.2</w:t>
            </w:r>
          </w:p>
        </w:tc>
        <w:tc>
          <w:tcPr>
            <w:tcW w:w="1078" w:type="dxa"/>
          </w:tcPr>
          <w:p>
            <w:pPr>
              <w:pStyle w:val="TableParagraph"/>
              <w:spacing w:before="8"/>
              <w:ind w:right="55"/>
              <w:rPr>
                <w:sz w:val="16"/>
              </w:rPr>
            </w:pPr>
            <w:r>
              <w:rPr>
                <w:spacing w:val="-5"/>
                <w:sz w:val="16"/>
              </w:rPr>
              <w:t>3.0</w:t>
            </w:r>
          </w:p>
        </w:tc>
        <w:tc>
          <w:tcPr>
            <w:tcW w:w="1136" w:type="dxa"/>
          </w:tcPr>
          <w:p>
            <w:pPr>
              <w:pStyle w:val="TableParagraph"/>
              <w:spacing w:before="8"/>
              <w:ind w:right="199"/>
              <w:rPr>
                <w:sz w:val="16"/>
              </w:rPr>
            </w:pPr>
            <w:r>
              <w:rPr>
                <w:w w:val="98"/>
                <w:sz w:val="16"/>
              </w:rPr>
              <w:t>-</w:t>
            </w:r>
          </w:p>
        </w:tc>
        <w:tc>
          <w:tcPr>
            <w:tcW w:w="738" w:type="dxa"/>
          </w:tcPr>
          <w:p>
            <w:pPr>
              <w:pStyle w:val="TableParagraph"/>
              <w:spacing w:before="8"/>
              <w:ind w:right="173"/>
              <w:rPr>
                <w:sz w:val="16"/>
              </w:rPr>
            </w:pPr>
            <w:r>
              <w:rPr>
                <w:w w:val="98"/>
                <w:sz w:val="16"/>
              </w:rPr>
              <w:t>-</w:t>
            </w:r>
          </w:p>
        </w:tc>
        <w:tc>
          <w:tcPr>
            <w:tcW w:w="1053" w:type="dxa"/>
          </w:tcPr>
          <w:p>
            <w:pPr>
              <w:pStyle w:val="TableParagraph"/>
              <w:spacing w:before="8"/>
              <w:ind w:right="105"/>
              <w:rPr>
                <w:sz w:val="16"/>
              </w:rPr>
            </w:pPr>
            <w:r>
              <w:rPr>
                <w:spacing w:val="-5"/>
                <w:sz w:val="16"/>
              </w:rPr>
              <w:t>3.0</w:t>
            </w:r>
          </w:p>
        </w:tc>
      </w:tr>
      <w:tr>
        <w:trPr>
          <w:trHeight w:val="223" w:hRule="atLeast"/>
        </w:trPr>
        <w:tc>
          <w:tcPr>
            <w:tcW w:w="2461" w:type="dxa"/>
            <w:tcBorders>
              <w:bottom w:val="single" w:sz="4" w:space="0" w:color="000000"/>
            </w:tcBorders>
          </w:tcPr>
          <w:p>
            <w:pPr>
              <w:pStyle w:val="TableParagraph"/>
              <w:spacing w:before="8"/>
              <w:ind w:left="117"/>
              <w:jc w:val="left"/>
              <w:rPr>
                <w:sz w:val="16"/>
              </w:rPr>
            </w:pPr>
            <w:r>
              <w:rPr>
                <w:sz w:val="16"/>
              </w:rPr>
              <w:t>Furniture</w:t>
            </w:r>
            <w:r>
              <w:rPr>
                <w:spacing w:val="-4"/>
                <w:sz w:val="16"/>
              </w:rPr>
              <w:t> </w:t>
            </w:r>
            <w:r>
              <w:rPr>
                <w:sz w:val="16"/>
              </w:rPr>
              <w:t>and</w:t>
            </w:r>
            <w:r>
              <w:rPr>
                <w:spacing w:val="-2"/>
                <w:sz w:val="16"/>
              </w:rPr>
              <w:t> equipment</w:t>
            </w:r>
          </w:p>
        </w:tc>
        <w:tc>
          <w:tcPr>
            <w:tcW w:w="1218" w:type="dxa"/>
            <w:tcBorders>
              <w:bottom w:val="single" w:sz="4" w:space="0" w:color="000000"/>
            </w:tcBorders>
          </w:tcPr>
          <w:p>
            <w:pPr>
              <w:pStyle w:val="TableParagraph"/>
              <w:spacing w:before="8"/>
              <w:ind w:right="193"/>
              <w:rPr>
                <w:sz w:val="16"/>
              </w:rPr>
            </w:pPr>
            <w:r>
              <w:rPr>
                <w:w w:val="98"/>
                <w:sz w:val="16"/>
              </w:rPr>
              <w:t>-</w:t>
            </w:r>
          </w:p>
        </w:tc>
        <w:tc>
          <w:tcPr>
            <w:tcW w:w="827" w:type="dxa"/>
            <w:tcBorders>
              <w:bottom w:val="single" w:sz="4" w:space="0" w:color="000000"/>
            </w:tcBorders>
          </w:tcPr>
          <w:p>
            <w:pPr>
              <w:pStyle w:val="TableParagraph"/>
              <w:spacing w:before="8"/>
              <w:ind w:right="107"/>
              <w:rPr>
                <w:sz w:val="16"/>
              </w:rPr>
            </w:pPr>
            <w:r>
              <w:rPr>
                <w:w w:val="98"/>
                <w:sz w:val="16"/>
              </w:rPr>
              <w:t>-</w:t>
            </w:r>
          </w:p>
        </w:tc>
        <w:tc>
          <w:tcPr>
            <w:tcW w:w="1133" w:type="dxa"/>
            <w:tcBorders>
              <w:bottom w:val="single" w:sz="4" w:space="0" w:color="000000"/>
            </w:tcBorders>
          </w:tcPr>
          <w:p>
            <w:pPr>
              <w:pStyle w:val="TableParagraph"/>
              <w:spacing w:before="8"/>
              <w:ind w:right="107"/>
              <w:rPr>
                <w:sz w:val="16"/>
              </w:rPr>
            </w:pPr>
            <w:r>
              <w:rPr>
                <w:w w:val="98"/>
                <w:sz w:val="16"/>
              </w:rPr>
              <w:t>-</w:t>
            </w:r>
          </w:p>
        </w:tc>
        <w:tc>
          <w:tcPr>
            <w:tcW w:w="1078" w:type="dxa"/>
            <w:tcBorders>
              <w:bottom w:val="single" w:sz="4" w:space="0" w:color="000000"/>
            </w:tcBorders>
          </w:tcPr>
          <w:p>
            <w:pPr>
              <w:pStyle w:val="TableParagraph"/>
              <w:spacing w:before="8"/>
              <w:ind w:right="52"/>
              <w:rPr>
                <w:sz w:val="16"/>
              </w:rPr>
            </w:pPr>
            <w:r>
              <w:rPr>
                <w:w w:val="98"/>
                <w:sz w:val="16"/>
              </w:rPr>
              <w:t>-</w:t>
            </w:r>
          </w:p>
        </w:tc>
        <w:tc>
          <w:tcPr>
            <w:tcW w:w="1136" w:type="dxa"/>
            <w:tcBorders>
              <w:bottom w:val="single" w:sz="4" w:space="0" w:color="000000"/>
            </w:tcBorders>
          </w:tcPr>
          <w:p>
            <w:pPr>
              <w:pStyle w:val="TableParagraph"/>
              <w:spacing w:before="8"/>
              <w:ind w:right="199"/>
              <w:rPr>
                <w:sz w:val="16"/>
              </w:rPr>
            </w:pPr>
            <w:r>
              <w:rPr>
                <w:w w:val="98"/>
                <w:sz w:val="16"/>
              </w:rPr>
              <w:t>-</w:t>
            </w:r>
          </w:p>
        </w:tc>
        <w:tc>
          <w:tcPr>
            <w:tcW w:w="738" w:type="dxa"/>
            <w:tcBorders>
              <w:bottom w:val="single" w:sz="4" w:space="0" w:color="000000"/>
            </w:tcBorders>
          </w:tcPr>
          <w:p>
            <w:pPr>
              <w:pStyle w:val="TableParagraph"/>
              <w:spacing w:before="8"/>
              <w:ind w:right="173"/>
              <w:rPr>
                <w:sz w:val="16"/>
              </w:rPr>
            </w:pPr>
            <w:r>
              <w:rPr>
                <w:w w:val="98"/>
                <w:sz w:val="16"/>
              </w:rPr>
              <w:t>-</w:t>
            </w:r>
          </w:p>
        </w:tc>
        <w:tc>
          <w:tcPr>
            <w:tcW w:w="1053" w:type="dxa"/>
            <w:tcBorders>
              <w:bottom w:val="single" w:sz="4" w:space="0" w:color="000000"/>
            </w:tcBorders>
          </w:tcPr>
          <w:p>
            <w:pPr>
              <w:pStyle w:val="TableParagraph"/>
              <w:spacing w:before="8"/>
              <w:ind w:right="102"/>
              <w:rPr>
                <w:sz w:val="16"/>
              </w:rPr>
            </w:pPr>
            <w:r>
              <w:rPr>
                <w:w w:val="98"/>
                <w:sz w:val="16"/>
              </w:rPr>
              <w:t>-</w:t>
            </w:r>
          </w:p>
        </w:tc>
      </w:tr>
      <w:tr>
        <w:trPr>
          <w:trHeight w:val="225" w:hRule="atLeast"/>
        </w:trPr>
        <w:tc>
          <w:tcPr>
            <w:tcW w:w="2461" w:type="dxa"/>
            <w:tcBorders>
              <w:top w:val="single" w:sz="4" w:space="0" w:color="000000"/>
              <w:bottom w:val="single" w:sz="4" w:space="0" w:color="000000"/>
            </w:tcBorders>
          </w:tcPr>
          <w:p>
            <w:pPr>
              <w:pStyle w:val="TableParagraph"/>
              <w:spacing w:before="14"/>
              <w:ind w:right="103"/>
              <w:rPr>
                <w:i/>
                <w:sz w:val="16"/>
              </w:rPr>
            </w:pPr>
            <w:r>
              <w:rPr>
                <w:i/>
                <w:w w:val="95"/>
                <w:sz w:val="16"/>
              </w:rPr>
              <w:t>Subtotal</w:t>
            </w:r>
            <w:r>
              <w:rPr>
                <w:i/>
                <w:spacing w:val="40"/>
                <w:sz w:val="16"/>
              </w:rPr>
              <w:t> </w:t>
            </w:r>
            <w:r>
              <w:rPr>
                <w:i/>
                <w:w w:val="95"/>
                <w:sz w:val="16"/>
              </w:rPr>
              <w:t>non-</w:t>
            </w:r>
            <w:r>
              <w:rPr>
                <w:i/>
                <w:spacing w:val="-4"/>
                <w:w w:val="95"/>
                <w:sz w:val="16"/>
              </w:rPr>
              <w:t>staff</w:t>
            </w:r>
          </w:p>
        </w:tc>
        <w:tc>
          <w:tcPr>
            <w:tcW w:w="1218" w:type="dxa"/>
            <w:tcBorders>
              <w:top w:val="single" w:sz="4" w:space="0" w:color="000000"/>
              <w:bottom w:val="single" w:sz="4" w:space="0" w:color="000000"/>
            </w:tcBorders>
          </w:tcPr>
          <w:p>
            <w:pPr>
              <w:pStyle w:val="TableParagraph"/>
              <w:spacing w:before="14"/>
              <w:ind w:right="191"/>
              <w:rPr>
                <w:i/>
                <w:sz w:val="16"/>
              </w:rPr>
            </w:pPr>
            <w:r>
              <w:rPr>
                <w:i/>
                <w:spacing w:val="-2"/>
                <w:sz w:val="16"/>
              </w:rPr>
              <w:t>285.6</w:t>
            </w:r>
          </w:p>
        </w:tc>
        <w:tc>
          <w:tcPr>
            <w:tcW w:w="827" w:type="dxa"/>
            <w:tcBorders>
              <w:top w:val="single" w:sz="4" w:space="0" w:color="000000"/>
              <w:bottom w:val="single" w:sz="4" w:space="0" w:color="000000"/>
            </w:tcBorders>
          </w:tcPr>
          <w:p>
            <w:pPr>
              <w:pStyle w:val="TableParagraph"/>
              <w:spacing w:before="14"/>
              <w:ind w:right="107"/>
              <w:rPr>
                <w:i/>
                <w:sz w:val="16"/>
              </w:rPr>
            </w:pPr>
            <w:r>
              <w:rPr>
                <w:i/>
                <w:w w:val="98"/>
                <w:sz w:val="16"/>
              </w:rPr>
              <w:t>-</w:t>
            </w:r>
          </w:p>
        </w:tc>
        <w:tc>
          <w:tcPr>
            <w:tcW w:w="1133" w:type="dxa"/>
            <w:tcBorders>
              <w:top w:val="single" w:sz="4" w:space="0" w:color="000000"/>
              <w:bottom w:val="single" w:sz="4" w:space="0" w:color="000000"/>
            </w:tcBorders>
          </w:tcPr>
          <w:p>
            <w:pPr>
              <w:pStyle w:val="TableParagraph"/>
              <w:spacing w:before="14"/>
              <w:ind w:right="106"/>
              <w:rPr>
                <w:i/>
                <w:sz w:val="16"/>
              </w:rPr>
            </w:pPr>
            <w:r>
              <w:rPr>
                <w:i/>
                <w:spacing w:val="-2"/>
                <w:sz w:val="16"/>
              </w:rPr>
              <w:t>285.6</w:t>
            </w:r>
          </w:p>
        </w:tc>
        <w:tc>
          <w:tcPr>
            <w:tcW w:w="1078" w:type="dxa"/>
            <w:tcBorders>
              <w:top w:val="single" w:sz="4" w:space="0" w:color="000000"/>
              <w:bottom w:val="single" w:sz="4" w:space="0" w:color="000000"/>
            </w:tcBorders>
          </w:tcPr>
          <w:p>
            <w:pPr>
              <w:pStyle w:val="TableParagraph"/>
              <w:spacing w:before="14"/>
              <w:ind w:right="50"/>
              <w:rPr>
                <w:i/>
                <w:sz w:val="16"/>
              </w:rPr>
            </w:pPr>
            <w:r>
              <w:rPr>
                <w:i/>
                <w:spacing w:val="-2"/>
                <w:sz w:val="16"/>
              </w:rPr>
              <w:t>312.5</w:t>
            </w:r>
          </w:p>
        </w:tc>
        <w:tc>
          <w:tcPr>
            <w:tcW w:w="1136" w:type="dxa"/>
            <w:tcBorders>
              <w:top w:val="single" w:sz="4" w:space="0" w:color="000000"/>
              <w:bottom w:val="single" w:sz="4" w:space="0" w:color="000000"/>
            </w:tcBorders>
          </w:tcPr>
          <w:p>
            <w:pPr>
              <w:pStyle w:val="TableParagraph"/>
              <w:spacing w:before="14"/>
              <w:ind w:right="197"/>
              <w:rPr>
                <w:i/>
                <w:sz w:val="16"/>
              </w:rPr>
            </w:pPr>
            <w:r>
              <w:rPr>
                <w:i/>
                <w:spacing w:val="-2"/>
                <w:sz w:val="16"/>
              </w:rPr>
              <w:t>334.0</w:t>
            </w:r>
          </w:p>
        </w:tc>
        <w:tc>
          <w:tcPr>
            <w:tcW w:w="738" w:type="dxa"/>
            <w:tcBorders>
              <w:top w:val="single" w:sz="4" w:space="0" w:color="000000"/>
              <w:bottom w:val="single" w:sz="4" w:space="0" w:color="000000"/>
            </w:tcBorders>
          </w:tcPr>
          <w:p>
            <w:pPr>
              <w:pStyle w:val="TableParagraph"/>
              <w:spacing w:before="14"/>
              <w:ind w:right="171"/>
              <w:rPr>
                <w:i/>
                <w:sz w:val="16"/>
              </w:rPr>
            </w:pPr>
            <w:r>
              <w:rPr>
                <w:i/>
                <w:spacing w:val="-2"/>
                <w:sz w:val="16"/>
              </w:rPr>
              <w:t>106.9</w:t>
            </w:r>
          </w:p>
        </w:tc>
        <w:tc>
          <w:tcPr>
            <w:tcW w:w="1053" w:type="dxa"/>
            <w:tcBorders>
              <w:top w:val="single" w:sz="4" w:space="0" w:color="000000"/>
              <w:bottom w:val="single" w:sz="4" w:space="0" w:color="000000"/>
            </w:tcBorders>
          </w:tcPr>
          <w:p>
            <w:pPr>
              <w:pStyle w:val="TableParagraph"/>
              <w:spacing w:before="14"/>
              <w:ind w:right="101"/>
              <w:rPr>
                <w:i/>
                <w:sz w:val="16"/>
              </w:rPr>
            </w:pPr>
            <w:r>
              <w:rPr>
                <w:i/>
                <w:spacing w:val="-2"/>
                <w:sz w:val="16"/>
              </w:rPr>
              <w:t>646.5</w:t>
            </w:r>
          </w:p>
        </w:tc>
      </w:tr>
      <w:tr>
        <w:trPr>
          <w:trHeight w:val="230" w:hRule="atLeast"/>
        </w:trPr>
        <w:tc>
          <w:tcPr>
            <w:tcW w:w="2461" w:type="dxa"/>
            <w:tcBorders>
              <w:top w:val="single" w:sz="4" w:space="0" w:color="000000"/>
              <w:bottom w:val="single" w:sz="12" w:space="0" w:color="000000"/>
            </w:tcBorders>
          </w:tcPr>
          <w:p>
            <w:pPr>
              <w:pStyle w:val="TableParagraph"/>
              <w:spacing w:before="14"/>
              <w:ind w:left="117"/>
              <w:jc w:val="left"/>
              <w:rPr>
                <w:b/>
                <w:sz w:val="16"/>
              </w:rPr>
            </w:pPr>
            <w:r>
              <w:rPr>
                <w:b/>
                <w:spacing w:val="-2"/>
                <w:sz w:val="16"/>
              </w:rPr>
              <w:t>Total</w:t>
            </w:r>
          </w:p>
        </w:tc>
        <w:tc>
          <w:tcPr>
            <w:tcW w:w="1218" w:type="dxa"/>
            <w:tcBorders>
              <w:top w:val="single" w:sz="4" w:space="0" w:color="000000"/>
              <w:bottom w:val="single" w:sz="12" w:space="0" w:color="000000"/>
            </w:tcBorders>
          </w:tcPr>
          <w:p>
            <w:pPr>
              <w:pStyle w:val="TableParagraph"/>
              <w:spacing w:before="14"/>
              <w:ind w:right="192"/>
              <w:rPr>
                <w:b/>
                <w:sz w:val="16"/>
              </w:rPr>
            </w:pPr>
            <w:r>
              <w:rPr>
                <w:b/>
                <w:spacing w:val="-2"/>
                <w:sz w:val="16"/>
              </w:rPr>
              <w:t>3,136.5</w:t>
            </w:r>
          </w:p>
        </w:tc>
        <w:tc>
          <w:tcPr>
            <w:tcW w:w="827" w:type="dxa"/>
            <w:tcBorders>
              <w:top w:val="single" w:sz="4" w:space="0" w:color="000000"/>
              <w:bottom w:val="single" w:sz="12" w:space="0" w:color="000000"/>
            </w:tcBorders>
          </w:tcPr>
          <w:p>
            <w:pPr>
              <w:pStyle w:val="TableParagraph"/>
              <w:spacing w:before="14"/>
              <w:ind w:right="107"/>
              <w:rPr>
                <w:b/>
                <w:sz w:val="16"/>
              </w:rPr>
            </w:pPr>
            <w:r>
              <w:rPr>
                <w:b/>
                <w:w w:val="98"/>
                <w:sz w:val="16"/>
              </w:rPr>
              <w:t>-</w:t>
            </w:r>
          </w:p>
        </w:tc>
        <w:tc>
          <w:tcPr>
            <w:tcW w:w="1133" w:type="dxa"/>
            <w:tcBorders>
              <w:top w:val="single" w:sz="4" w:space="0" w:color="000000"/>
              <w:bottom w:val="single" w:sz="12" w:space="0" w:color="000000"/>
            </w:tcBorders>
          </w:tcPr>
          <w:p>
            <w:pPr>
              <w:pStyle w:val="TableParagraph"/>
              <w:spacing w:before="14"/>
              <w:ind w:right="106"/>
              <w:rPr>
                <w:b/>
                <w:sz w:val="16"/>
              </w:rPr>
            </w:pPr>
            <w:r>
              <w:rPr>
                <w:b/>
                <w:spacing w:val="-2"/>
                <w:sz w:val="16"/>
              </w:rPr>
              <w:t>3,136.5</w:t>
            </w:r>
          </w:p>
        </w:tc>
        <w:tc>
          <w:tcPr>
            <w:tcW w:w="1078" w:type="dxa"/>
            <w:tcBorders>
              <w:top w:val="single" w:sz="4" w:space="0" w:color="000000"/>
              <w:bottom w:val="single" w:sz="12" w:space="0" w:color="000000"/>
            </w:tcBorders>
          </w:tcPr>
          <w:p>
            <w:pPr>
              <w:pStyle w:val="TableParagraph"/>
              <w:spacing w:before="14"/>
              <w:ind w:right="51"/>
              <w:rPr>
                <w:b/>
                <w:sz w:val="16"/>
              </w:rPr>
            </w:pPr>
            <w:r>
              <w:rPr>
                <w:b/>
                <w:spacing w:val="-2"/>
                <w:sz w:val="16"/>
              </w:rPr>
              <w:t>3,227.2</w:t>
            </w:r>
          </w:p>
        </w:tc>
        <w:tc>
          <w:tcPr>
            <w:tcW w:w="1136" w:type="dxa"/>
            <w:tcBorders>
              <w:top w:val="single" w:sz="4" w:space="0" w:color="000000"/>
              <w:bottom w:val="single" w:sz="12" w:space="0" w:color="000000"/>
            </w:tcBorders>
          </w:tcPr>
          <w:p>
            <w:pPr>
              <w:pStyle w:val="TableParagraph"/>
              <w:spacing w:before="14"/>
              <w:ind w:right="197"/>
              <w:rPr>
                <w:b/>
                <w:sz w:val="16"/>
              </w:rPr>
            </w:pPr>
            <w:r>
              <w:rPr>
                <w:b/>
                <w:spacing w:val="-2"/>
                <w:sz w:val="16"/>
              </w:rPr>
              <w:t>1,073.1</w:t>
            </w:r>
          </w:p>
        </w:tc>
        <w:tc>
          <w:tcPr>
            <w:tcW w:w="738" w:type="dxa"/>
            <w:tcBorders>
              <w:top w:val="single" w:sz="4" w:space="0" w:color="000000"/>
              <w:bottom w:val="single" w:sz="12" w:space="0" w:color="000000"/>
            </w:tcBorders>
          </w:tcPr>
          <w:p>
            <w:pPr>
              <w:pStyle w:val="TableParagraph"/>
              <w:spacing w:before="14"/>
              <w:ind w:right="171"/>
              <w:rPr>
                <w:b/>
                <w:sz w:val="16"/>
              </w:rPr>
            </w:pPr>
            <w:r>
              <w:rPr>
                <w:b/>
                <w:spacing w:val="-4"/>
                <w:sz w:val="16"/>
              </w:rPr>
              <w:t>33.3</w:t>
            </w:r>
          </w:p>
        </w:tc>
        <w:tc>
          <w:tcPr>
            <w:tcW w:w="1053" w:type="dxa"/>
            <w:tcBorders>
              <w:top w:val="single" w:sz="4" w:space="0" w:color="000000"/>
              <w:bottom w:val="single" w:sz="12" w:space="0" w:color="000000"/>
            </w:tcBorders>
          </w:tcPr>
          <w:p>
            <w:pPr>
              <w:pStyle w:val="TableParagraph"/>
              <w:spacing w:before="14"/>
              <w:ind w:right="101"/>
              <w:rPr>
                <w:b/>
                <w:sz w:val="16"/>
              </w:rPr>
            </w:pPr>
            <w:r>
              <w:rPr>
                <w:b/>
                <w:spacing w:val="-2"/>
                <w:sz w:val="16"/>
              </w:rPr>
              <w:t>4,300.3</w:t>
            </w:r>
          </w:p>
        </w:tc>
      </w:tr>
    </w:tbl>
    <w:p>
      <w:pPr>
        <w:pStyle w:val="BodyText"/>
        <w:spacing w:before="8"/>
        <w:rPr>
          <w:b/>
          <w:sz w:val="21"/>
        </w:rPr>
      </w:pPr>
    </w:p>
    <w:p>
      <w:pPr>
        <w:spacing w:before="0"/>
        <w:ind w:left="2246" w:right="0" w:firstLine="0"/>
        <w:jc w:val="left"/>
        <w:rPr>
          <w:b/>
          <w:sz w:val="20"/>
        </w:rPr>
      </w:pPr>
      <w:r>
        <w:rPr>
          <w:b/>
          <w:sz w:val="20"/>
        </w:rPr>
        <w:t>Table</w:t>
      </w:r>
      <w:r>
        <w:rPr>
          <w:b/>
          <w:spacing w:val="-5"/>
          <w:sz w:val="20"/>
        </w:rPr>
        <w:t> </w:t>
      </w:r>
      <w:r>
        <w:rPr>
          <w:b/>
          <w:sz w:val="20"/>
        </w:rPr>
        <w:t>44:</w:t>
      </w:r>
      <w:r>
        <w:rPr>
          <w:b/>
          <w:spacing w:val="-7"/>
          <w:sz w:val="20"/>
        </w:rPr>
        <w:t> </w:t>
      </w:r>
      <w:r>
        <w:rPr>
          <w:b/>
          <w:sz w:val="20"/>
        </w:rPr>
        <w:t>Major</w:t>
      </w:r>
      <w:r>
        <w:rPr>
          <w:b/>
          <w:spacing w:val="-9"/>
          <w:sz w:val="20"/>
        </w:rPr>
        <w:t> </w:t>
      </w:r>
      <w:r>
        <w:rPr>
          <w:b/>
          <w:sz w:val="20"/>
        </w:rPr>
        <w:t>Programme</w:t>
      </w:r>
      <w:r>
        <w:rPr>
          <w:b/>
          <w:spacing w:val="-3"/>
          <w:sz w:val="20"/>
        </w:rPr>
        <w:t> </w:t>
      </w:r>
      <w:r>
        <w:rPr>
          <w:b/>
          <w:sz w:val="20"/>
        </w:rPr>
        <w:t>VI:</w:t>
      </w:r>
      <w:r>
        <w:rPr>
          <w:b/>
          <w:spacing w:val="-6"/>
          <w:sz w:val="20"/>
        </w:rPr>
        <w:t> </w:t>
      </w:r>
      <w:r>
        <w:rPr>
          <w:b/>
          <w:sz w:val="20"/>
        </w:rPr>
        <w:t>Proposed</w:t>
      </w:r>
      <w:r>
        <w:rPr>
          <w:b/>
          <w:spacing w:val="-3"/>
          <w:sz w:val="20"/>
        </w:rPr>
        <w:t> </w:t>
      </w:r>
      <w:r>
        <w:rPr>
          <w:b/>
          <w:sz w:val="20"/>
        </w:rPr>
        <w:t>staffing</w:t>
      </w:r>
      <w:r>
        <w:rPr>
          <w:b/>
          <w:spacing w:val="-7"/>
          <w:sz w:val="20"/>
        </w:rPr>
        <w:t> </w:t>
      </w:r>
      <w:r>
        <w:rPr>
          <w:b/>
          <w:sz w:val="20"/>
        </w:rPr>
        <w:t>for</w:t>
      </w:r>
      <w:r>
        <w:rPr>
          <w:b/>
          <w:spacing w:val="-4"/>
          <w:sz w:val="20"/>
        </w:rPr>
        <w:t> 2023</w:t>
      </w:r>
    </w:p>
    <w:tbl>
      <w:tblPr>
        <w:tblW w:w="0" w:type="auto"/>
        <w:jc w:val="left"/>
        <w:tblInd w:w="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6"/>
        <w:gridCol w:w="678"/>
        <w:gridCol w:w="607"/>
        <w:gridCol w:w="548"/>
        <w:gridCol w:w="595"/>
        <w:gridCol w:w="581"/>
        <w:gridCol w:w="566"/>
        <w:gridCol w:w="633"/>
        <w:gridCol w:w="727"/>
        <w:gridCol w:w="464"/>
        <w:gridCol w:w="795"/>
        <w:gridCol w:w="569"/>
        <w:gridCol w:w="578"/>
        <w:gridCol w:w="565"/>
        <w:gridCol w:w="813"/>
        <w:gridCol w:w="525"/>
      </w:tblGrid>
      <w:tr>
        <w:trPr>
          <w:trHeight w:val="484" w:hRule="atLeast"/>
        </w:trPr>
        <w:tc>
          <w:tcPr>
            <w:tcW w:w="1186"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left="67"/>
              <w:jc w:val="left"/>
              <w:rPr>
                <w:sz w:val="14"/>
              </w:rPr>
            </w:pPr>
            <w:r>
              <w:rPr>
                <w:spacing w:val="-5"/>
                <w:sz w:val="14"/>
              </w:rPr>
              <w:t>VI</w:t>
            </w:r>
          </w:p>
        </w:tc>
        <w:tc>
          <w:tcPr>
            <w:tcW w:w="678"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152"/>
              <w:rPr>
                <w:sz w:val="14"/>
              </w:rPr>
            </w:pPr>
            <w:r>
              <w:rPr>
                <w:spacing w:val="-5"/>
                <w:sz w:val="14"/>
              </w:rPr>
              <w:t>USG</w:t>
            </w:r>
          </w:p>
        </w:tc>
        <w:tc>
          <w:tcPr>
            <w:tcW w:w="607"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169"/>
              <w:rPr>
                <w:sz w:val="14"/>
              </w:rPr>
            </w:pPr>
            <w:r>
              <w:rPr>
                <w:spacing w:val="-5"/>
                <w:sz w:val="14"/>
              </w:rPr>
              <w:t>ASG</w:t>
            </w:r>
          </w:p>
        </w:tc>
        <w:tc>
          <w:tcPr>
            <w:tcW w:w="548"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152"/>
              <w:rPr>
                <w:sz w:val="14"/>
              </w:rPr>
            </w:pPr>
            <w:r>
              <w:rPr>
                <w:w w:val="95"/>
                <w:sz w:val="14"/>
              </w:rPr>
              <w:t>D-</w:t>
            </w:r>
            <w:r>
              <w:rPr>
                <w:spacing w:val="-10"/>
                <w:sz w:val="14"/>
              </w:rPr>
              <w:t>2</w:t>
            </w:r>
          </w:p>
        </w:tc>
        <w:tc>
          <w:tcPr>
            <w:tcW w:w="595"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186"/>
              <w:rPr>
                <w:sz w:val="14"/>
              </w:rPr>
            </w:pPr>
            <w:r>
              <w:rPr>
                <w:w w:val="95"/>
                <w:sz w:val="14"/>
              </w:rPr>
              <w:t>D-</w:t>
            </w:r>
            <w:r>
              <w:rPr>
                <w:spacing w:val="-10"/>
                <w:sz w:val="14"/>
              </w:rPr>
              <w:t>1</w:t>
            </w:r>
          </w:p>
        </w:tc>
        <w:tc>
          <w:tcPr>
            <w:tcW w:w="581"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left="18" w:right="17"/>
              <w:jc w:val="center"/>
              <w:rPr>
                <w:sz w:val="14"/>
              </w:rPr>
            </w:pPr>
            <w:r>
              <w:rPr>
                <w:w w:val="95"/>
                <w:sz w:val="14"/>
              </w:rPr>
              <w:t>P-</w:t>
            </w:r>
            <w:r>
              <w:rPr>
                <w:spacing w:val="-10"/>
                <w:sz w:val="14"/>
              </w:rPr>
              <w:t>5</w:t>
            </w:r>
          </w:p>
        </w:tc>
        <w:tc>
          <w:tcPr>
            <w:tcW w:w="566"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171"/>
              <w:rPr>
                <w:sz w:val="14"/>
              </w:rPr>
            </w:pPr>
            <w:r>
              <w:rPr>
                <w:w w:val="95"/>
                <w:sz w:val="14"/>
              </w:rPr>
              <w:t>P-</w:t>
            </w:r>
            <w:r>
              <w:rPr>
                <w:spacing w:val="-10"/>
                <w:sz w:val="14"/>
              </w:rPr>
              <w:t>4</w:t>
            </w:r>
          </w:p>
        </w:tc>
        <w:tc>
          <w:tcPr>
            <w:tcW w:w="633"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208"/>
              <w:rPr>
                <w:sz w:val="14"/>
              </w:rPr>
            </w:pPr>
            <w:r>
              <w:rPr>
                <w:w w:val="95"/>
                <w:sz w:val="14"/>
              </w:rPr>
              <w:t>P-</w:t>
            </w:r>
            <w:r>
              <w:rPr>
                <w:spacing w:val="-10"/>
                <w:sz w:val="14"/>
              </w:rPr>
              <w:t>3</w:t>
            </w:r>
          </w:p>
        </w:tc>
        <w:tc>
          <w:tcPr>
            <w:tcW w:w="727"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195"/>
              <w:rPr>
                <w:sz w:val="14"/>
              </w:rPr>
            </w:pPr>
            <w:r>
              <w:rPr>
                <w:w w:val="95"/>
                <w:sz w:val="14"/>
              </w:rPr>
              <w:t>P-</w:t>
            </w:r>
            <w:r>
              <w:rPr>
                <w:spacing w:val="-10"/>
                <w:sz w:val="14"/>
              </w:rPr>
              <w:t>2</w:t>
            </w:r>
          </w:p>
        </w:tc>
        <w:tc>
          <w:tcPr>
            <w:tcW w:w="464"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64"/>
              <w:rPr>
                <w:sz w:val="14"/>
              </w:rPr>
            </w:pPr>
            <w:r>
              <w:rPr>
                <w:w w:val="95"/>
                <w:sz w:val="14"/>
              </w:rPr>
              <w:t>P-</w:t>
            </w:r>
            <w:r>
              <w:rPr>
                <w:spacing w:val="-10"/>
                <w:sz w:val="14"/>
              </w:rPr>
              <w:t>1</w:t>
            </w:r>
          </w:p>
        </w:tc>
        <w:tc>
          <w:tcPr>
            <w:tcW w:w="795" w:type="dxa"/>
            <w:tcBorders>
              <w:top w:val="single" w:sz="4" w:space="0" w:color="000000"/>
              <w:bottom w:val="single" w:sz="4" w:space="0" w:color="000000"/>
            </w:tcBorders>
          </w:tcPr>
          <w:p>
            <w:pPr>
              <w:pStyle w:val="TableParagraph"/>
              <w:spacing w:line="150" w:lineRule="exact"/>
              <w:ind w:left="373"/>
              <w:jc w:val="left"/>
              <w:rPr>
                <w:i/>
                <w:sz w:val="14"/>
              </w:rPr>
            </w:pPr>
            <w:r>
              <w:rPr>
                <w:i/>
                <w:spacing w:val="-2"/>
                <w:sz w:val="14"/>
              </w:rPr>
              <w:t>Total</w:t>
            </w:r>
          </w:p>
          <w:p>
            <w:pPr>
              <w:pStyle w:val="TableParagraph"/>
              <w:spacing w:line="160" w:lineRule="atLeast"/>
              <w:ind w:left="74" w:right="115" w:firstLine="201"/>
              <w:jc w:val="left"/>
              <w:rPr>
                <w:i/>
                <w:sz w:val="14"/>
              </w:rPr>
            </w:pPr>
            <w:r>
              <w:rPr>
                <w:i/>
                <w:spacing w:val="-2"/>
                <w:sz w:val="14"/>
              </w:rPr>
              <w:t>P-Staff</w:t>
            </w:r>
            <w:r>
              <w:rPr>
                <w:i/>
                <w:spacing w:val="40"/>
                <w:sz w:val="14"/>
              </w:rPr>
              <w:t> </w:t>
            </w:r>
            <w:r>
              <w:rPr>
                <w:i/>
                <w:sz w:val="14"/>
              </w:rPr>
              <w:t>and</w:t>
            </w:r>
            <w:r>
              <w:rPr>
                <w:i/>
                <w:spacing w:val="1"/>
                <w:sz w:val="14"/>
              </w:rPr>
              <w:t> </w:t>
            </w:r>
            <w:r>
              <w:rPr>
                <w:i/>
                <w:spacing w:val="-2"/>
                <w:sz w:val="14"/>
              </w:rPr>
              <w:t>Above</w:t>
            </w:r>
          </w:p>
        </w:tc>
        <w:tc>
          <w:tcPr>
            <w:tcW w:w="569"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94"/>
              <w:rPr>
                <w:sz w:val="14"/>
              </w:rPr>
            </w:pPr>
            <w:r>
              <w:rPr>
                <w:w w:val="95"/>
                <w:sz w:val="14"/>
              </w:rPr>
              <w:t>NO-</w:t>
            </w:r>
            <w:r>
              <w:rPr>
                <w:spacing w:val="-10"/>
                <w:sz w:val="14"/>
              </w:rPr>
              <w:t>C</w:t>
            </w:r>
          </w:p>
        </w:tc>
        <w:tc>
          <w:tcPr>
            <w:tcW w:w="578"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85"/>
              <w:rPr>
                <w:sz w:val="14"/>
              </w:rPr>
            </w:pPr>
            <w:r>
              <w:rPr>
                <w:w w:val="95"/>
                <w:sz w:val="14"/>
              </w:rPr>
              <w:t>GS-</w:t>
            </w:r>
            <w:r>
              <w:rPr>
                <w:spacing w:val="-5"/>
                <w:sz w:val="14"/>
              </w:rPr>
              <w:t>PL</w:t>
            </w:r>
          </w:p>
        </w:tc>
        <w:tc>
          <w:tcPr>
            <w:tcW w:w="565" w:type="dxa"/>
            <w:tcBorders>
              <w:top w:val="single" w:sz="4" w:space="0" w:color="000000"/>
              <w:bottom w:val="single" w:sz="4" w:space="0" w:color="000000"/>
            </w:tcBorders>
          </w:tcPr>
          <w:p>
            <w:pPr>
              <w:pStyle w:val="TableParagraph"/>
              <w:jc w:val="left"/>
              <w:rPr>
                <w:b/>
                <w:sz w:val="14"/>
              </w:rPr>
            </w:pPr>
          </w:p>
          <w:p>
            <w:pPr>
              <w:pStyle w:val="TableParagraph"/>
              <w:spacing w:before="5"/>
              <w:jc w:val="left"/>
              <w:rPr>
                <w:b/>
                <w:sz w:val="13"/>
              </w:rPr>
            </w:pPr>
          </w:p>
          <w:p>
            <w:pPr>
              <w:pStyle w:val="TableParagraph"/>
              <w:spacing w:line="149" w:lineRule="exact"/>
              <w:ind w:right="58"/>
              <w:rPr>
                <w:sz w:val="14"/>
              </w:rPr>
            </w:pPr>
            <w:r>
              <w:rPr>
                <w:w w:val="95"/>
                <w:sz w:val="14"/>
              </w:rPr>
              <w:t>GS-</w:t>
            </w:r>
            <w:r>
              <w:rPr>
                <w:spacing w:val="-5"/>
                <w:sz w:val="14"/>
              </w:rPr>
              <w:t>OL</w:t>
            </w:r>
          </w:p>
        </w:tc>
        <w:tc>
          <w:tcPr>
            <w:tcW w:w="813" w:type="dxa"/>
            <w:tcBorders>
              <w:top w:val="single" w:sz="4" w:space="0" w:color="000000"/>
              <w:bottom w:val="single" w:sz="4" w:space="0" w:color="000000"/>
            </w:tcBorders>
          </w:tcPr>
          <w:p>
            <w:pPr>
              <w:pStyle w:val="TableParagraph"/>
              <w:spacing w:line="150" w:lineRule="exact"/>
              <w:ind w:left="382"/>
              <w:jc w:val="left"/>
              <w:rPr>
                <w:i/>
                <w:sz w:val="14"/>
              </w:rPr>
            </w:pPr>
            <w:r>
              <w:rPr>
                <w:i/>
                <w:spacing w:val="-2"/>
                <w:sz w:val="14"/>
              </w:rPr>
              <w:t>Total</w:t>
            </w:r>
          </w:p>
          <w:p>
            <w:pPr>
              <w:pStyle w:val="TableParagraph"/>
              <w:spacing w:line="160" w:lineRule="atLeast"/>
              <w:ind w:left="60" w:right="128" w:firstLine="197"/>
              <w:jc w:val="left"/>
              <w:rPr>
                <w:i/>
                <w:sz w:val="14"/>
              </w:rPr>
            </w:pPr>
            <w:r>
              <w:rPr>
                <w:i/>
                <w:sz w:val="14"/>
              </w:rPr>
              <w:t>GS</w:t>
            </w:r>
            <w:r>
              <w:rPr>
                <w:i/>
                <w:spacing w:val="-9"/>
                <w:sz w:val="14"/>
              </w:rPr>
              <w:t> </w:t>
            </w:r>
            <w:r>
              <w:rPr>
                <w:i/>
                <w:sz w:val="14"/>
              </w:rPr>
              <w:t>and</w:t>
            </w:r>
            <w:r>
              <w:rPr>
                <w:i/>
                <w:spacing w:val="40"/>
                <w:sz w:val="14"/>
              </w:rPr>
              <w:t> </w:t>
            </w:r>
            <w:r>
              <w:rPr>
                <w:i/>
                <w:sz w:val="14"/>
              </w:rPr>
              <w:t>Other</w:t>
            </w:r>
            <w:r>
              <w:rPr>
                <w:i/>
                <w:spacing w:val="-5"/>
                <w:sz w:val="14"/>
              </w:rPr>
              <w:t> </w:t>
            </w:r>
            <w:r>
              <w:rPr>
                <w:i/>
                <w:spacing w:val="-2"/>
                <w:sz w:val="14"/>
              </w:rPr>
              <w:t>Staff</w:t>
            </w:r>
          </w:p>
        </w:tc>
        <w:tc>
          <w:tcPr>
            <w:tcW w:w="525" w:type="dxa"/>
            <w:tcBorders>
              <w:top w:val="single" w:sz="4" w:space="0" w:color="000000"/>
              <w:bottom w:val="single" w:sz="4" w:space="0" w:color="000000"/>
            </w:tcBorders>
          </w:tcPr>
          <w:p>
            <w:pPr>
              <w:pStyle w:val="TableParagraph"/>
              <w:spacing w:before="4"/>
              <w:jc w:val="left"/>
              <w:rPr>
                <w:b/>
                <w:sz w:val="12"/>
              </w:rPr>
            </w:pPr>
          </w:p>
          <w:p>
            <w:pPr>
              <w:pStyle w:val="TableParagraph"/>
              <w:spacing w:line="160" w:lineRule="atLeast"/>
              <w:ind w:left="178" w:hanging="34"/>
              <w:jc w:val="left"/>
              <w:rPr>
                <w:b/>
                <w:sz w:val="14"/>
              </w:rPr>
            </w:pPr>
            <w:r>
              <w:rPr>
                <w:b/>
                <w:spacing w:val="-4"/>
                <w:sz w:val="14"/>
              </w:rPr>
              <w:t>Total</w:t>
            </w:r>
            <w:r>
              <w:rPr>
                <w:b/>
                <w:spacing w:val="40"/>
                <w:sz w:val="14"/>
              </w:rPr>
              <w:t> </w:t>
            </w:r>
            <w:r>
              <w:rPr>
                <w:b/>
                <w:spacing w:val="-4"/>
                <w:sz w:val="14"/>
              </w:rPr>
              <w:t>Staff</w:t>
            </w:r>
          </w:p>
        </w:tc>
      </w:tr>
      <w:tr>
        <w:trPr>
          <w:trHeight w:val="228" w:hRule="atLeast"/>
        </w:trPr>
        <w:tc>
          <w:tcPr>
            <w:tcW w:w="1186" w:type="dxa"/>
            <w:tcBorders>
              <w:top w:val="single" w:sz="4" w:space="0" w:color="000000"/>
            </w:tcBorders>
          </w:tcPr>
          <w:p>
            <w:pPr>
              <w:pStyle w:val="TableParagraph"/>
              <w:spacing w:before="22"/>
              <w:ind w:left="67"/>
              <w:jc w:val="left"/>
              <w:rPr>
                <w:b/>
                <w:sz w:val="14"/>
              </w:rPr>
            </w:pPr>
            <w:r>
              <w:rPr>
                <w:b/>
                <w:spacing w:val="-2"/>
                <w:sz w:val="14"/>
              </w:rPr>
              <w:t>Established</w:t>
            </w:r>
            <w:r>
              <w:rPr>
                <w:b/>
                <w:spacing w:val="11"/>
                <w:sz w:val="14"/>
              </w:rPr>
              <w:t> </w:t>
            </w:r>
            <w:r>
              <w:rPr>
                <w:b/>
                <w:spacing w:val="-2"/>
                <w:sz w:val="14"/>
              </w:rPr>
              <w:t>Posts</w:t>
            </w:r>
          </w:p>
        </w:tc>
        <w:tc>
          <w:tcPr>
            <w:tcW w:w="678" w:type="dxa"/>
            <w:tcBorders>
              <w:top w:val="single" w:sz="4" w:space="0" w:color="000000"/>
            </w:tcBorders>
          </w:tcPr>
          <w:p>
            <w:pPr>
              <w:pStyle w:val="TableParagraph"/>
              <w:jc w:val="left"/>
              <w:rPr>
                <w:sz w:val="14"/>
              </w:rPr>
            </w:pPr>
          </w:p>
        </w:tc>
        <w:tc>
          <w:tcPr>
            <w:tcW w:w="607" w:type="dxa"/>
            <w:tcBorders>
              <w:top w:val="single" w:sz="4" w:space="0" w:color="000000"/>
            </w:tcBorders>
          </w:tcPr>
          <w:p>
            <w:pPr>
              <w:pStyle w:val="TableParagraph"/>
              <w:jc w:val="left"/>
              <w:rPr>
                <w:sz w:val="14"/>
              </w:rPr>
            </w:pPr>
          </w:p>
        </w:tc>
        <w:tc>
          <w:tcPr>
            <w:tcW w:w="548" w:type="dxa"/>
            <w:tcBorders>
              <w:top w:val="single" w:sz="4" w:space="0" w:color="000000"/>
            </w:tcBorders>
          </w:tcPr>
          <w:p>
            <w:pPr>
              <w:pStyle w:val="TableParagraph"/>
              <w:jc w:val="left"/>
              <w:rPr>
                <w:sz w:val="14"/>
              </w:rPr>
            </w:pPr>
          </w:p>
        </w:tc>
        <w:tc>
          <w:tcPr>
            <w:tcW w:w="595" w:type="dxa"/>
            <w:tcBorders>
              <w:top w:val="single" w:sz="4" w:space="0" w:color="000000"/>
            </w:tcBorders>
          </w:tcPr>
          <w:p>
            <w:pPr>
              <w:pStyle w:val="TableParagraph"/>
              <w:jc w:val="left"/>
              <w:rPr>
                <w:sz w:val="14"/>
              </w:rPr>
            </w:pPr>
          </w:p>
        </w:tc>
        <w:tc>
          <w:tcPr>
            <w:tcW w:w="581" w:type="dxa"/>
            <w:tcBorders>
              <w:top w:val="single" w:sz="4" w:space="0" w:color="000000"/>
            </w:tcBorders>
          </w:tcPr>
          <w:p>
            <w:pPr>
              <w:pStyle w:val="TableParagraph"/>
              <w:jc w:val="left"/>
              <w:rPr>
                <w:sz w:val="14"/>
              </w:rPr>
            </w:pPr>
          </w:p>
        </w:tc>
        <w:tc>
          <w:tcPr>
            <w:tcW w:w="566" w:type="dxa"/>
            <w:tcBorders>
              <w:top w:val="single" w:sz="4" w:space="0" w:color="000000"/>
            </w:tcBorders>
          </w:tcPr>
          <w:p>
            <w:pPr>
              <w:pStyle w:val="TableParagraph"/>
              <w:jc w:val="left"/>
              <w:rPr>
                <w:sz w:val="14"/>
              </w:rPr>
            </w:pPr>
          </w:p>
        </w:tc>
        <w:tc>
          <w:tcPr>
            <w:tcW w:w="633" w:type="dxa"/>
            <w:tcBorders>
              <w:top w:val="single" w:sz="4" w:space="0" w:color="000000"/>
            </w:tcBorders>
          </w:tcPr>
          <w:p>
            <w:pPr>
              <w:pStyle w:val="TableParagraph"/>
              <w:jc w:val="left"/>
              <w:rPr>
                <w:sz w:val="14"/>
              </w:rPr>
            </w:pPr>
          </w:p>
        </w:tc>
        <w:tc>
          <w:tcPr>
            <w:tcW w:w="727" w:type="dxa"/>
            <w:tcBorders>
              <w:top w:val="single" w:sz="4" w:space="0" w:color="000000"/>
            </w:tcBorders>
          </w:tcPr>
          <w:p>
            <w:pPr>
              <w:pStyle w:val="TableParagraph"/>
              <w:jc w:val="left"/>
              <w:rPr>
                <w:sz w:val="14"/>
              </w:rPr>
            </w:pPr>
          </w:p>
        </w:tc>
        <w:tc>
          <w:tcPr>
            <w:tcW w:w="464" w:type="dxa"/>
            <w:tcBorders>
              <w:top w:val="single" w:sz="4" w:space="0" w:color="000000"/>
            </w:tcBorders>
          </w:tcPr>
          <w:p>
            <w:pPr>
              <w:pStyle w:val="TableParagraph"/>
              <w:jc w:val="left"/>
              <w:rPr>
                <w:sz w:val="14"/>
              </w:rPr>
            </w:pPr>
          </w:p>
        </w:tc>
        <w:tc>
          <w:tcPr>
            <w:tcW w:w="795" w:type="dxa"/>
            <w:tcBorders>
              <w:top w:val="single" w:sz="4" w:space="0" w:color="000000"/>
            </w:tcBorders>
          </w:tcPr>
          <w:p>
            <w:pPr>
              <w:pStyle w:val="TableParagraph"/>
              <w:jc w:val="left"/>
              <w:rPr>
                <w:sz w:val="14"/>
              </w:rPr>
            </w:pPr>
          </w:p>
        </w:tc>
        <w:tc>
          <w:tcPr>
            <w:tcW w:w="569" w:type="dxa"/>
            <w:tcBorders>
              <w:top w:val="single" w:sz="4" w:space="0" w:color="000000"/>
            </w:tcBorders>
          </w:tcPr>
          <w:p>
            <w:pPr>
              <w:pStyle w:val="TableParagraph"/>
              <w:jc w:val="left"/>
              <w:rPr>
                <w:sz w:val="14"/>
              </w:rPr>
            </w:pPr>
          </w:p>
        </w:tc>
        <w:tc>
          <w:tcPr>
            <w:tcW w:w="578" w:type="dxa"/>
            <w:tcBorders>
              <w:top w:val="single" w:sz="4" w:space="0" w:color="000000"/>
            </w:tcBorders>
          </w:tcPr>
          <w:p>
            <w:pPr>
              <w:pStyle w:val="TableParagraph"/>
              <w:jc w:val="left"/>
              <w:rPr>
                <w:sz w:val="14"/>
              </w:rPr>
            </w:pPr>
          </w:p>
        </w:tc>
        <w:tc>
          <w:tcPr>
            <w:tcW w:w="565" w:type="dxa"/>
            <w:tcBorders>
              <w:top w:val="single" w:sz="4" w:space="0" w:color="000000"/>
            </w:tcBorders>
          </w:tcPr>
          <w:p>
            <w:pPr>
              <w:pStyle w:val="TableParagraph"/>
              <w:jc w:val="left"/>
              <w:rPr>
                <w:sz w:val="14"/>
              </w:rPr>
            </w:pPr>
          </w:p>
        </w:tc>
        <w:tc>
          <w:tcPr>
            <w:tcW w:w="813" w:type="dxa"/>
            <w:tcBorders>
              <w:top w:val="single" w:sz="4" w:space="0" w:color="000000"/>
            </w:tcBorders>
          </w:tcPr>
          <w:p>
            <w:pPr>
              <w:pStyle w:val="TableParagraph"/>
              <w:jc w:val="left"/>
              <w:rPr>
                <w:sz w:val="14"/>
              </w:rPr>
            </w:pPr>
          </w:p>
        </w:tc>
        <w:tc>
          <w:tcPr>
            <w:tcW w:w="525" w:type="dxa"/>
            <w:tcBorders>
              <w:top w:val="single" w:sz="4" w:space="0" w:color="000000"/>
            </w:tcBorders>
          </w:tcPr>
          <w:p>
            <w:pPr>
              <w:pStyle w:val="TableParagraph"/>
              <w:jc w:val="left"/>
              <w:rPr>
                <w:sz w:val="14"/>
              </w:rPr>
            </w:pPr>
          </w:p>
        </w:tc>
      </w:tr>
      <w:tr>
        <w:trPr>
          <w:trHeight w:val="221" w:hRule="atLeast"/>
        </w:trPr>
        <w:tc>
          <w:tcPr>
            <w:tcW w:w="1186" w:type="dxa"/>
            <w:tcBorders>
              <w:bottom w:val="single" w:sz="12" w:space="0" w:color="000000"/>
            </w:tcBorders>
          </w:tcPr>
          <w:p>
            <w:pPr>
              <w:pStyle w:val="TableParagraph"/>
              <w:spacing w:before="19"/>
              <w:ind w:left="67"/>
              <w:jc w:val="left"/>
              <w:rPr>
                <w:sz w:val="14"/>
              </w:rPr>
            </w:pPr>
            <w:r>
              <w:rPr>
                <w:w w:val="95"/>
                <w:sz w:val="14"/>
              </w:rPr>
              <w:t>Approved</w:t>
            </w:r>
            <w:r>
              <w:rPr>
                <w:spacing w:val="22"/>
                <w:sz w:val="14"/>
              </w:rPr>
              <w:t> </w:t>
            </w:r>
            <w:r>
              <w:rPr>
                <w:spacing w:val="-4"/>
                <w:sz w:val="14"/>
              </w:rPr>
              <w:t>2022</w:t>
            </w:r>
          </w:p>
        </w:tc>
        <w:tc>
          <w:tcPr>
            <w:tcW w:w="678" w:type="dxa"/>
            <w:tcBorders>
              <w:bottom w:val="single" w:sz="12" w:space="0" w:color="000000"/>
            </w:tcBorders>
          </w:tcPr>
          <w:p>
            <w:pPr>
              <w:pStyle w:val="TableParagraph"/>
              <w:spacing w:before="19"/>
              <w:ind w:right="154"/>
              <w:rPr>
                <w:sz w:val="14"/>
              </w:rPr>
            </w:pPr>
            <w:r>
              <w:rPr>
                <w:w w:val="99"/>
                <w:sz w:val="14"/>
              </w:rPr>
              <w:t>-</w:t>
            </w:r>
          </w:p>
        </w:tc>
        <w:tc>
          <w:tcPr>
            <w:tcW w:w="607" w:type="dxa"/>
            <w:tcBorders>
              <w:bottom w:val="single" w:sz="12" w:space="0" w:color="000000"/>
            </w:tcBorders>
          </w:tcPr>
          <w:p>
            <w:pPr>
              <w:pStyle w:val="TableParagraph"/>
              <w:spacing w:before="19"/>
              <w:ind w:right="170"/>
              <w:rPr>
                <w:sz w:val="14"/>
              </w:rPr>
            </w:pPr>
            <w:r>
              <w:rPr>
                <w:w w:val="99"/>
                <w:sz w:val="14"/>
              </w:rPr>
              <w:t>-</w:t>
            </w:r>
          </w:p>
        </w:tc>
        <w:tc>
          <w:tcPr>
            <w:tcW w:w="548" w:type="dxa"/>
            <w:tcBorders>
              <w:bottom w:val="single" w:sz="12" w:space="0" w:color="000000"/>
            </w:tcBorders>
          </w:tcPr>
          <w:p>
            <w:pPr>
              <w:pStyle w:val="TableParagraph"/>
              <w:spacing w:before="19"/>
              <w:ind w:right="156"/>
              <w:rPr>
                <w:sz w:val="14"/>
              </w:rPr>
            </w:pPr>
            <w:r>
              <w:rPr>
                <w:w w:val="99"/>
                <w:sz w:val="14"/>
              </w:rPr>
              <w:t>-</w:t>
            </w:r>
          </w:p>
        </w:tc>
        <w:tc>
          <w:tcPr>
            <w:tcW w:w="595" w:type="dxa"/>
            <w:tcBorders>
              <w:bottom w:val="single" w:sz="12" w:space="0" w:color="000000"/>
            </w:tcBorders>
          </w:tcPr>
          <w:p>
            <w:pPr>
              <w:pStyle w:val="TableParagraph"/>
              <w:spacing w:before="19"/>
              <w:ind w:right="191"/>
              <w:rPr>
                <w:sz w:val="14"/>
              </w:rPr>
            </w:pPr>
            <w:r>
              <w:rPr>
                <w:w w:val="99"/>
                <w:sz w:val="14"/>
              </w:rPr>
              <w:t>1</w:t>
            </w:r>
          </w:p>
        </w:tc>
        <w:tc>
          <w:tcPr>
            <w:tcW w:w="581" w:type="dxa"/>
            <w:tcBorders>
              <w:bottom w:val="single" w:sz="12" w:space="0" w:color="000000"/>
            </w:tcBorders>
          </w:tcPr>
          <w:p>
            <w:pPr>
              <w:pStyle w:val="TableParagraph"/>
              <w:spacing w:before="19"/>
              <w:ind w:left="150"/>
              <w:jc w:val="center"/>
              <w:rPr>
                <w:sz w:val="14"/>
              </w:rPr>
            </w:pPr>
            <w:r>
              <w:rPr>
                <w:w w:val="99"/>
                <w:sz w:val="14"/>
              </w:rPr>
              <w:t>-</w:t>
            </w:r>
          </w:p>
        </w:tc>
        <w:tc>
          <w:tcPr>
            <w:tcW w:w="566" w:type="dxa"/>
            <w:tcBorders>
              <w:bottom w:val="single" w:sz="12" w:space="0" w:color="000000"/>
            </w:tcBorders>
          </w:tcPr>
          <w:p>
            <w:pPr>
              <w:pStyle w:val="TableParagraph"/>
              <w:spacing w:before="19"/>
              <w:ind w:right="171"/>
              <w:rPr>
                <w:sz w:val="14"/>
              </w:rPr>
            </w:pPr>
            <w:r>
              <w:rPr>
                <w:w w:val="99"/>
                <w:sz w:val="14"/>
              </w:rPr>
              <w:t>4</w:t>
            </w:r>
          </w:p>
        </w:tc>
        <w:tc>
          <w:tcPr>
            <w:tcW w:w="633" w:type="dxa"/>
            <w:tcBorders>
              <w:bottom w:val="single" w:sz="12" w:space="0" w:color="000000"/>
            </w:tcBorders>
          </w:tcPr>
          <w:p>
            <w:pPr>
              <w:pStyle w:val="TableParagraph"/>
              <w:spacing w:before="19"/>
              <w:ind w:right="208"/>
              <w:rPr>
                <w:sz w:val="14"/>
              </w:rPr>
            </w:pPr>
            <w:r>
              <w:rPr>
                <w:w w:val="99"/>
                <w:sz w:val="14"/>
              </w:rPr>
              <w:t>2</w:t>
            </w:r>
          </w:p>
        </w:tc>
        <w:tc>
          <w:tcPr>
            <w:tcW w:w="727" w:type="dxa"/>
            <w:tcBorders>
              <w:bottom w:val="single" w:sz="12" w:space="0" w:color="000000"/>
            </w:tcBorders>
          </w:tcPr>
          <w:p>
            <w:pPr>
              <w:pStyle w:val="TableParagraph"/>
              <w:spacing w:before="19"/>
              <w:ind w:right="195"/>
              <w:rPr>
                <w:sz w:val="14"/>
              </w:rPr>
            </w:pPr>
            <w:r>
              <w:rPr>
                <w:w w:val="99"/>
                <w:sz w:val="14"/>
              </w:rPr>
              <w:t>2</w:t>
            </w:r>
          </w:p>
        </w:tc>
        <w:tc>
          <w:tcPr>
            <w:tcW w:w="464" w:type="dxa"/>
            <w:tcBorders>
              <w:bottom w:val="single" w:sz="12" w:space="0" w:color="000000"/>
            </w:tcBorders>
          </w:tcPr>
          <w:p>
            <w:pPr>
              <w:pStyle w:val="TableParagraph"/>
              <w:spacing w:before="19"/>
              <w:ind w:right="63"/>
              <w:rPr>
                <w:sz w:val="14"/>
              </w:rPr>
            </w:pPr>
            <w:r>
              <w:rPr>
                <w:w w:val="99"/>
                <w:sz w:val="14"/>
              </w:rPr>
              <w:t>-</w:t>
            </w:r>
          </w:p>
        </w:tc>
        <w:tc>
          <w:tcPr>
            <w:tcW w:w="795" w:type="dxa"/>
            <w:tcBorders>
              <w:bottom w:val="single" w:sz="12" w:space="0" w:color="000000"/>
            </w:tcBorders>
          </w:tcPr>
          <w:p>
            <w:pPr>
              <w:pStyle w:val="TableParagraph"/>
              <w:spacing w:before="19"/>
              <w:ind w:right="124"/>
              <w:rPr>
                <w:i/>
                <w:sz w:val="14"/>
              </w:rPr>
            </w:pPr>
            <w:r>
              <w:rPr>
                <w:i/>
                <w:w w:val="99"/>
                <w:sz w:val="14"/>
              </w:rPr>
              <w:t>9</w:t>
            </w:r>
          </w:p>
        </w:tc>
        <w:tc>
          <w:tcPr>
            <w:tcW w:w="569" w:type="dxa"/>
            <w:tcBorders>
              <w:bottom w:val="single" w:sz="12" w:space="0" w:color="000000"/>
            </w:tcBorders>
          </w:tcPr>
          <w:p>
            <w:pPr>
              <w:pStyle w:val="TableParagraph"/>
              <w:spacing w:before="19"/>
              <w:ind w:right="97"/>
              <w:rPr>
                <w:sz w:val="14"/>
              </w:rPr>
            </w:pPr>
            <w:r>
              <w:rPr>
                <w:w w:val="99"/>
                <w:sz w:val="14"/>
              </w:rPr>
              <w:t>-</w:t>
            </w:r>
          </w:p>
        </w:tc>
        <w:tc>
          <w:tcPr>
            <w:tcW w:w="578" w:type="dxa"/>
            <w:tcBorders>
              <w:bottom w:val="single" w:sz="12" w:space="0" w:color="000000"/>
            </w:tcBorders>
          </w:tcPr>
          <w:p>
            <w:pPr>
              <w:pStyle w:val="TableParagraph"/>
              <w:spacing w:before="19"/>
              <w:ind w:right="84"/>
              <w:rPr>
                <w:sz w:val="14"/>
              </w:rPr>
            </w:pPr>
            <w:r>
              <w:rPr>
                <w:w w:val="99"/>
                <w:sz w:val="14"/>
              </w:rPr>
              <w:t>-</w:t>
            </w:r>
          </w:p>
        </w:tc>
        <w:tc>
          <w:tcPr>
            <w:tcW w:w="565" w:type="dxa"/>
            <w:tcBorders>
              <w:bottom w:val="single" w:sz="12" w:space="0" w:color="000000"/>
            </w:tcBorders>
          </w:tcPr>
          <w:p>
            <w:pPr>
              <w:pStyle w:val="TableParagraph"/>
              <w:spacing w:before="19"/>
              <w:ind w:right="60"/>
              <w:rPr>
                <w:sz w:val="14"/>
              </w:rPr>
            </w:pPr>
            <w:r>
              <w:rPr>
                <w:w w:val="99"/>
                <w:sz w:val="14"/>
              </w:rPr>
              <w:t>2</w:t>
            </w:r>
          </w:p>
        </w:tc>
        <w:tc>
          <w:tcPr>
            <w:tcW w:w="813" w:type="dxa"/>
            <w:tcBorders>
              <w:bottom w:val="single" w:sz="12" w:space="0" w:color="000000"/>
            </w:tcBorders>
          </w:tcPr>
          <w:p>
            <w:pPr>
              <w:pStyle w:val="TableParagraph"/>
              <w:spacing w:before="19"/>
              <w:ind w:right="133"/>
              <w:rPr>
                <w:i/>
                <w:sz w:val="14"/>
              </w:rPr>
            </w:pPr>
            <w:r>
              <w:rPr>
                <w:i/>
                <w:w w:val="99"/>
                <w:sz w:val="14"/>
              </w:rPr>
              <w:t>2</w:t>
            </w:r>
          </w:p>
        </w:tc>
        <w:tc>
          <w:tcPr>
            <w:tcW w:w="525" w:type="dxa"/>
            <w:tcBorders>
              <w:bottom w:val="single" w:sz="12" w:space="0" w:color="000000"/>
            </w:tcBorders>
          </w:tcPr>
          <w:p>
            <w:pPr>
              <w:pStyle w:val="TableParagraph"/>
              <w:spacing w:before="19"/>
              <w:ind w:right="51"/>
              <w:rPr>
                <w:b/>
                <w:sz w:val="14"/>
              </w:rPr>
            </w:pPr>
            <w:r>
              <w:rPr>
                <w:b/>
                <w:spacing w:val="-5"/>
                <w:sz w:val="14"/>
              </w:rPr>
              <w:t>11</w:t>
            </w:r>
          </w:p>
        </w:tc>
      </w:tr>
      <w:tr>
        <w:trPr>
          <w:trHeight w:val="230" w:hRule="atLeast"/>
        </w:trPr>
        <w:tc>
          <w:tcPr>
            <w:tcW w:w="1186" w:type="dxa"/>
            <w:tcBorders>
              <w:top w:val="single" w:sz="12" w:space="0" w:color="000000"/>
              <w:bottom w:val="single" w:sz="4" w:space="0" w:color="000000"/>
            </w:tcBorders>
          </w:tcPr>
          <w:p>
            <w:pPr>
              <w:pStyle w:val="TableParagraph"/>
              <w:spacing w:before="27"/>
              <w:ind w:left="67"/>
              <w:jc w:val="left"/>
              <w:rPr>
                <w:sz w:val="14"/>
              </w:rPr>
            </w:pPr>
            <w:r>
              <w:rPr>
                <w:spacing w:val="-5"/>
                <w:sz w:val="14"/>
              </w:rPr>
              <w:t>New</w:t>
            </w:r>
          </w:p>
        </w:tc>
        <w:tc>
          <w:tcPr>
            <w:tcW w:w="678" w:type="dxa"/>
            <w:tcBorders>
              <w:top w:val="single" w:sz="12" w:space="0" w:color="000000"/>
              <w:bottom w:val="single" w:sz="4" w:space="0" w:color="000000"/>
            </w:tcBorders>
          </w:tcPr>
          <w:p>
            <w:pPr>
              <w:pStyle w:val="TableParagraph"/>
              <w:spacing w:before="27"/>
              <w:ind w:right="154"/>
              <w:rPr>
                <w:sz w:val="14"/>
              </w:rPr>
            </w:pPr>
            <w:r>
              <w:rPr>
                <w:w w:val="99"/>
                <w:sz w:val="14"/>
              </w:rPr>
              <w:t>-</w:t>
            </w:r>
          </w:p>
        </w:tc>
        <w:tc>
          <w:tcPr>
            <w:tcW w:w="607" w:type="dxa"/>
            <w:tcBorders>
              <w:top w:val="single" w:sz="12" w:space="0" w:color="000000"/>
              <w:bottom w:val="single" w:sz="4" w:space="0" w:color="000000"/>
            </w:tcBorders>
          </w:tcPr>
          <w:p>
            <w:pPr>
              <w:pStyle w:val="TableParagraph"/>
              <w:spacing w:before="27"/>
              <w:ind w:right="170"/>
              <w:rPr>
                <w:sz w:val="14"/>
              </w:rPr>
            </w:pPr>
            <w:r>
              <w:rPr>
                <w:w w:val="99"/>
                <w:sz w:val="14"/>
              </w:rPr>
              <w:t>-</w:t>
            </w:r>
          </w:p>
        </w:tc>
        <w:tc>
          <w:tcPr>
            <w:tcW w:w="548" w:type="dxa"/>
            <w:tcBorders>
              <w:top w:val="single" w:sz="12" w:space="0" w:color="000000"/>
              <w:bottom w:val="single" w:sz="4" w:space="0" w:color="000000"/>
            </w:tcBorders>
          </w:tcPr>
          <w:p>
            <w:pPr>
              <w:pStyle w:val="TableParagraph"/>
              <w:spacing w:before="27"/>
              <w:ind w:right="156"/>
              <w:rPr>
                <w:sz w:val="14"/>
              </w:rPr>
            </w:pPr>
            <w:r>
              <w:rPr>
                <w:w w:val="99"/>
                <w:sz w:val="14"/>
              </w:rPr>
              <w:t>-</w:t>
            </w:r>
          </w:p>
        </w:tc>
        <w:tc>
          <w:tcPr>
            <w:tcW w:w="595" w:type="dxa"/>
            <w:tcBorders>
              <w:top w:val="single" w:sz="12" w:space="0" w:color="000000"/>
              <w:bottom w:val="single" w:sz="4" w:space="0" w:color="000000"/>
            </w:tcBorders>
          </w:tcPr>
          <w:p>
            <w:pPr>
              <w:pStyle w:val="TableParagraph"/>
              <w:spacing w:before="27"/>
              <w:ind w:right="190"/>
              <w:rPr>
                <w:sz w:val="14"/>
              </w:rPr>
            </w:pPr>
            <w:r>
              <w:rPr>
                <w:w w:val="99"/>
                <w:sz w:val="14"/>
              </w:rPr>
              <w:t>-</w:t>
            </w:r>
          </w:p>
        </w:tc>
        <w:tc>
          <w:tcPr>
            <w:tcW w:w="581" w:type="dxa"/>
            <w:tcBorders>
              <w:top w:val="single" w:sz="12" w:space="0" w:color="000000"/>
              <w:bottom w:val="single" w:sz="4" w:space="0" w:color="000000"/>
            </w:tcBorders>
          </w:tcPr>
          <w:p>
            <w:pPr>
              <w:pStyle w:val="TableParagraph"/>
              <w:spacing w:before="27"/>
              <w:ind w:left="150"/>
              <w:jc w:val="center"/>
              <w:rPr>
                <w:sz w:val="14"/>
              </w:rPr>
            </w:pPr>
            <w:r>
              <w:rPr>
                <w:w w:val="99"/>
                <w:sz w:val="14"/>
              </w:rPr>
              <w:t>-</w:t>
            </w:r>
          </w:p>
        </w:tc>
        <w:tc>
          <w:tcPr>
            <w:tcW w:w="566" w:type="dxa"/>
            <w:tcBorders>
              <w:top w:val="single" w:sz="12" w:space="0" w:color="000000"/>
              <w:bottom w:val="single" w:sz="4" w:space="0" w:color="000000"/>
            </w:tcBorders>
          </w:tcPr>
          <w:p>
            <w:pPr>
              <w:pStyle w:val="TableParagraph"/>
              <w:spacing w:before="27"/>
              <w:ind w:right="170"/>
              <w:rPr>
                <w:sz w:val="14"/>
              </w:rPr>
            </w:pPr>
            <w:r>
              <w:rPr>
                <w:w w:val="99"/>
                <w:sz w:val="14"/>
              </w:rPr>
              <w:t>-</w:t>
            </w:r>
          </w:p>
        </w:tc>
        <w:tc>
          <w:tcPr>
            <w:tcW w:w="633" w:type="dxa"/>
            <w:tcBorders>
              <w:top w:val="single" w:sz="12" w:space="0" w:color="000000"/>
              <w:bottom w:val="single" w:sz="4" w:space="0" w:color="000000"/>
            </w:tcBorders>
          </w:tcPr>
          <w:p>
            <w:pPr>
              <w:pStyle w:val="TableParagraph"/>
              <w:spacing w:before="27"/>
              <w:ind w:right="207"/>
              <w:rPr>
                <w:sz w:val="14"/>
              </w:rPr>
            </w:pPr>
            <w:r>
              <w:rPr>
                <w:w w:val="99"/>
                <w:sz w:val="14"/>
              </w:rPr>
              <w:t>-</w:t>
            </w:r>
          </w:p>
        </w:tc>
        <w:tc>
          <w:tcPr>
            <w:tcW w:w="727" w:type="dxa"/>
            <w:tcBorders>
              <w:top w:val="single" w:sz="12" w:space="0" w:color="000000"/>
              <w:bottom w:val="single" w:sz="4" w:space="0" w:color="000000"/>
            </w:tcBorders>
          </w:tcPr>
          <w:p>
            <w:pPr>
              <w:pStyle w:val="TableParagraph"/>
              <w:spacing w:before="27"/>
              <w:ind w:right="195"/>
              <w:rPr>
                <w:sz w:val="14"/>
              </w:rPr>
            </w:pPr>
            <w:r>
              <w:rPr>
                <w:w w:val="99"/>
                <w:sz w:val="14"/>
              </w:rPr>
              <w:t>-</w:t>
            </w:r>
          </w:p>
        </w:tc>
        <w:tc>
          <w:tcPr>
            <w:tcW w:w="464" w:type="dxa"/>
            <w:tcBorders>
              <w:top w:val="single" w:sz="12" w:space="0" w:color="000000"/>
              <w:bottom w:val="single" w:sz="4" w:space="0" w:color="000000"/>
            </w:tcBorders>
          </w:tcPr>
          <w:p>
            <w:pPr>
              <w:pStyle w:val="TableParagraph"/>
              <w:spacing w:before="27"/>
              <w:ind w:right="63"/>
              <w:rPr>
                <w:sz w:val="14"/>
              </w:rPr>
            </w:pPr>
            <w:r>
              <w:rPr>
                <w:w w:val="99"/>
                <w:sz w:val="14"/>
              </w:rPr>
              <w:t>-</w:t>
            </w:r>
          </w:p>
        </w:tc>
        <w:tc>
          <w:tcPr>
            <w:tcW w:w="795" w:type="dxa"/>
            <w:tcBorders>
              <w:top w:val="single" w:sz="12" w:space="0" w:color="000000"/>
              <w:bottom w:val="single" w:sz="4" w:space="0" w:color="000000"/>
            </w:tcBorders>
          </w:tcPr>
          <w:p>
            <w:pPr>
              <w:pStyle w:val="TableParagraph"/>
              <w:spacing w:before="27"/>
              <w:ind w:right="123"/>
              <w:rPr>
                <w:i/>
                <w:sz w:val="14"/>
              </w:rPr>
            </w:pPr>
            <w:r>
              <w:rPr>
                <w:i/>
                <w:w w:val="99"/>
                <w:sz w:val="14"/>
              </w:rPr>
              <w:t>-</w:t>
            </w:r>
          </w:p>
        </w:tc>
        <w:tc>
          <w:tcPr>
            <w:tcW w:w="569" w:type="dxa"/>
            <w:tcBorders>
              <w:top w:val="single" w:sz="12" w:space="0" w:color="000000"/>
              <w:bottom w:val="single" w:sz="4" w:space="0" w:color="000000"/>
            </w:tcBorders>
          </w:tcPr>
          <w:p>
            <w:pPr>
              <w:pStyle w:val="TableParagraph"/>
              <w:spacing w:before="27"/>
              <w:ind w:right="97"/>
              <w:rPr>
                <w:sz w:val="14"/>
              </w:rPr>
            </w:pPr>
            <w:r>
              <w:rPr>
                <w:w w:val="99"/>
                <w:sz w:val="14"/>
              </w:rPr>
              <w:t>-</w:t>
            </w:r>
          </w:p>
        </w:tc>
        <w:tc>
          <w:tcPr>
            <w:tcW w:w="578" w:type="dxa"/>
            <w:tcBorders>
              <w:top w:val="single" w:sz="12" w:space="0" w:color="000000"/>
              <w:bottom w:val="single" w:sz="4" w:space="0" w:color="000000"/>
            </w:tcBorders>
          </w:tcPr>
          <w:p>
            <w:pPr>
              <w:pStyle w:val="TableParagraph"/>
              <w:spacing w:before="27"/>
              <w:ind w:right="84"/>
              <w:rPr>
                <w:sz w:val="14"/>
              </w:rPr>
            </w:pPr>
            <w:r>
              <w:rPr>
                <w:w w:val="99"/>
                <w:sz w:val="14"/>
              </w:rPr>
              <w:t>-</w:t>
            </w:r>
          </w:p>
        </w:tc>
        <w:tc>
          <w:tcPr>
            <w:tcW w:w="565" w:type="dxa"/>
            <w:tcBorders>
              <w:top w:val="single" w:sz="12" w:space="0" w:color="000000"/>
              <w:bottom w:val="single" w:sz="4" w:space="0" w:color="000000"/>
            </w:tcBorders>
          </w:tcPr>
          <w:p>
            <w:pPr>
              <w:pStyle w:val="TableParagraph"/>
              <w:spacing w:before="27"/>
              <w:ind w:right="60"/>
              <w:rPr>
                <w:sz w:val="14"/>
              </w:rPr>
            </w:pPr>
            <w:r>
              <w:rPr>
                <w:w w:val="99"/>
                <w:sz w:val="14"/>
              </w:rPr>
              <w:t>1</w:t>
            </w:r>
          </w:p>
        </w:tc>
        <w:tc>
          <w:tcPr>
            <w:tcW w:w="813" w:type="dxa"/>
            <w:tcBorders>
              <w:top w:val="single" w:sz="12" w:space="0" w:color="000000"/>
              <w:bottom w:val="single" w:sz="4" w:space="0" w:color="000000"/>
            </w:tcBorders>
          </w:tcPr>
          <w:p>
            <w:pPr>
              <w:pStyle w:val="TableParagraph"/>
              <w:spacing w:before="27"/>
              <w:ind w:right="133"/>
              <w:rPr>
                <w:i/>
                <w:sz w:val="14"/>
              </w:rPr>
            </w:pPr>
            <w:r>
              <w:rPr>
                <w:i/>
                <w:w w:val="99"/>
                <w:sz w:val="14"/>
              </w:rPr>
              <w:t>1</w:t>
            </w:r>
          </w:p>
        </w:tc>
        <w:tc>
          <w:tcPr>
            <w:tcW w:w="525" w:type="dxa"/>
            <w:tcBorders>
              <w:top w:val="single" w:sz="12" w:space="0" w:color="000000"/>
              <w:bottom w:val="single" w:sz="4" w:space="0" w:color="000000"/>
            </w:tcBorders>
          </w:tcPr>
          <w:p>
            <w:pPr>
              <w:pStyle w:val="TableParagraph"/>
              <w:spacing w:before="27"/>
              <w:ind w:right="58"/>
              <w:rPr>
                <w:b/>
                <w:sz w:val="14"/>
              </w:rPr>
            </w:pPr>
            <w:r>
              <w:rPr>
                <w:b/>
                <w:w w:val="99"/>
                <w:sz w:val="14"/>
              </w:rPr>
              <w:t>1</w:t>
            </w:r>
          </w:p>
        </w:tc>
      </w:tr>
      <w:tr>
        <w:trPr>
          <w:trHeight w:val="225" w:hRule="atLeast"/>
        </w:trPr>
        <w:tc>
          <w:tcPr>
            <w:tcW w:w="1186" w:type="dxa"/>
            <w:tcBorders>
              <w:top w:val="single" w:sz="4" w:space="0" w:color="000000"/>
              <w:bottom w:val="single" w:sz="4" w:space="0" w:color="000000"/>
            </w:tcBorders>
          </w:tcPr>
          <w:p>
            <w:pPr>
              <w:pStyle w:val="TableParagraph"/>
              <w:spacing w:before="22"/>
              <w:ind w:left="67"/>
              <w:jc w:val="left"/>
              <w:rPr>
                <w:sz w:val="14"/>
              </w:rPr>
            </w:pPr>
            <w:r>
              <w:rPr>
                <w:spacing w:val="-2"/>
                <w:sz w:val="14"/>
              </w:rPr>
              <w:t>Redeployed</w:t>
            </w:r>
          </w:p>
        </w:tc>
        <w:tc>
          <w:tcPr>
            <w:tcW w:w="678" w:type="dxa"/>
            <w:tcBorders>
              <w:top w:val="single" w:sz="4" w:space="0" w:color="000000"/>
              <w:bottom w:val="single" w:sz="4" w:space="0" w:color="000000"/>
            </w:tcBorders>
          </w:tcPr>
          <w:p>
            <w:pPr>
              <w:pStyle w:val="TableParagraph"/>
              <w:spacing w:before="22"/>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2"/>
              <w:ind w:right="170"/>
              <w:rPr>
                <w:sz w:val="14"/>
              </w:rPr>
            </w:pPr>
            <w:r>
              <w:rPr>
                <w:w w:val="99"/>
                <w:sz w:val="14"/>
              </w:rPr>
              <w:t>-</w:t>
            </w:r>
          </w:p>
        </w:tc>
        <w:tc>
          <w:tcPr>
            <w:tcW w:w="548" w:type="dxa"/>
            <w:tcBorders>
              <w:top w:val="single" w:sz="4" w:space="0" w:color="000000"/>
              <w:bottom w:val="single" w:sz="4" w:space="0" w:color="000000"/>
            </w:tcBorders>
          </w:tcPr>
          <w:p>
            <w:pPr>
              <w:pStyle w:val="TableParagraph"/>
              <w:spacing w:before="22"/>
              <w:ind w:right="156"/>
              <w:rPr>
                <w:sz w:val="14"/>
              </w:rPr>
            </w:pPr>
            <w:r>
              <w:rPr>
                <w:w w:val="99"/>
                <w:sz w:val="14"/>
              </w:rPr>
              <w:t>-</w:t>
            </w:r>
          </w:p>
        </w:tc>
        <w:tc>
          <w:tcPr>
            <w:tcW w:w="595" w:type="dxa"/>
            <w:tcBorders>
              <w:top w:val="single" w:sz="4" w:space="0" w:color="000000"/>
              <w:bottom w:val="single" w:sz="4" w:space="0" w:color="000000"/>
            </w:tcBorders>
          </w:tcPr>
          <w:p>
            <w:pPr>
              <w:pStyle w:val="TableParagraph"/>
              <w:spacing w:before="22"/>
              <w:ind w:right="190"/>
              <w:rPr>
                <w:sz w:val="14"/>
              </w:rPr>
            </w:pPr>
            <w:r>
              <w:rPr>
                <w:w w:val="99"/>
                <w:sz w:val="14"/>
              </w:rPr>
              <w:t>-</w:t>
            </w:r>
          </w:p>
        </w:tc>
        <w:tc>
          <w:tcPr>
            <w:tcW w:w="581" w:type="dxa"/>
            <w:tcBorders>
              <w:top w:val="single" w:sz="4" w:space="0" w:color="000000"/>
              <w:bottom w:val="single" w:sz="4" w:space="0" w:color="000000"/>
            </w:tcBorders>
          </w:tcPr>
          <w:p>
            <w:pPr>
              <w:pStyle w:val="TableParagraph"/>
              <w:spacing w:before="22"/>
              <w:ind w:left="150"/>
              <w:jc w:val="center"/>
              <w:rPr>
                <w:sz w:val="14"/>
              </w:rPr>
            </w:pPr>
            <w:r>
              <w:rPr>
                <w:w w:val="99"/>
                <w:sz w:val="14"/>
              </w:rPr>
              <w:t>-</w:t>
            </w:r>
          </w:p>
        </w:tc>
        <w:tc>
          <w:tcPr>
            <w:tcW w:w="566" w:type="dxa"/>
            <w:tcBorders>
              <w:top w:val="single" w:sz="4" w:space="0" w:color="000000"/>
              <w:bottom w:val="single" w:sz="4" w:space="0" w:color="000000"/>
            </w:tcBorders>
          </w:tcPr>
          <w:p>
            <w:pPr>
              <w:pStyle w:val="TableParagraph"/>
              <w:spacing w:before="22"/>
              <w:ind w:right="170"/>
              <w:rPr>
                <w:sz w:val="14"/>
              </w:rPr>
            </w:pPr>
            <w:r>
              <w:rPr>
                <w:w w:val="99"/>
                <w:sz w:val="14"/>
              </w:rPr>
              <w:t>-</w:t>
            </w:r>
          </w:p>
        </w:tc>
        <w:tc>
          <w:tcPr>
            <w:tcW w:w="633" w:type="dxa"/>
            <w:tcBorders>
              <w:top w:val="single" w:sz="4" w:space="0" w:color="000000"/>
              <w:bottom w:val="single" w:sz="4" w:space="0" w:color="000000"/>
            </w:tcBorders>
          </w:tcPr>
          <w:p>
            <w:pPr>
              <w:pStyle w:val="TableParagraph"/>
              <w:spacing w:before="22"/>
              <w:ind w:right="207"/>
              <w:rPr>
                <w:sz w:val="14"/>
              </w:rPr>
            </w:pPr>
            <w:r>
              <w:rPr>
                <w:w w:val="99"/>
                <w:sz w:val="14"/>
              </w:rPr>
              <w:t>-</w:t>
            </w:r>
          </w:p>
        </w:tc>
        <w:tc>
          <w:tcPr>
            <w:tcW w:w="727" w:type="dxa"/>
            <w:tcBorders>
              <w:top w:val="single" w:sz="4" w:space="0" w:color="000000"/>
              <w:bottom w:val="single" w:sz="4" w:space="0" w:color="000000"/>
            </w:tcBorders>
          </w:tcPr>
          <w:p>
            <w:pPr>
              <w:pStyle w:val="TableParagraph"/>
              <w:spacing w:before="22"/>
              <w:ind w:right="195"/>
              <w:rPr>
                <w:sz w:val="14"/>
              </w:rPr>
            </w:pPr>
            <w:r>
              <w:rPr>
                <w:w w:val="99"/>
                <w:sz w:val="14"/>
              </w:rPr>
              <w:t>-</w:t>
            </w:r>
          </w:p>
        </w:tc>
        <w:tc>
          <w:tcPr>
            <w:tcW w:w="464" w:type="dxa"/>
            <w:tcBorders>
              <w:top w:val="single" w:sz="4" w:space="0" w:color="000000"/>
              <w:bottom w:val="single" w:sz="4" w:space="0" w:color="000000"/>
            </w:tcBorders>
          </w:tcPr>
          <w:p>
            <w:pPr>
              <w:pStyle w:val="TableParagraph"/>
              <w:spacing w:before="22"/>
              <w:ind w:right="63"/>
              <w:rPr>
                <w:sz w:val="14"/>
              </w:rPr>
            </w:pPr>
            <w:r>
              <w:rPr>
                <w:w w:val="99"/>
                <w:sz w:val="14"/>
              </w:rPr>
              <w:t>-</w:t>
            </w:r>
          </w:p>
        </w:tc>
        <w:tc>
          <w:tcPr>
            <w:tcW w:w="795" w:type="dxa"/>
            <w:tcBorders>
              <w:top w:val="single" w:sz="4" w:space="0" w:color="000000"/>
              <w:bottom w:val="single" w:sz="4" w:space="0" w:color="000000"/>
            </w:tcBorders>
          </w:tcPr>
          <w:p>
            <w:pPr>
              <w:pStyle w:val="TableParagraph"/>
              <w:spacing w:before="22"/>
              <w:ind w:right="123"/>
              <w:rPr>
                <w:i/>
                <w:sz w:val="14"/>
              </w:rPr>
            </w:pPr>
            <w:r>
              <w:rPr>
                <w:i/>
                <w:w w:val="99"/>
                <w:sz w:val="14"/>
              </w:rPr>
              <w:t>-</w:t>
            </w:r>
          </w:p>
        </w:tc>
        <w:tc>
          <w:tcPr>
            <w:tcW w:w="569" w:type="dxa"/>
            <w:tcBorders>
              <w:top w:val="single" w:sz="4" w:space="0" w:color="000000"/>
              <w:bottom w:val="single" w:sz="4" w:space="0" w:color="000000"/>
            </w:tcBorders>
          </w:tcPr>
          <w:p>
            <w:pPr>
              <w:pStyle w:val="TableParagraph"/>
              <w:spacing w:before="22"/>
              <w:ind w:right="97"/>
              <w:rPr>
                <w:sz w:val="14"/>
              </w:rPr>
            </w:pPr>
            <w:r>
              <w:rPr>
                <w:w w:val="99"/>
                <w:sz w:val="14"/>
              </w:rPr>
              <w:t>-</w:t>
            </w:r>
          </w:p>
        </w:tc>
        <w:tc>
          <w:tcPr>
            <w:tcW w:w="578" w:type="dxa"/>
            <w:tcBorders>
              <w:top w:val="single" w:sz="4" w:space="0" w:color="000000"/>
              <w:bottom w:val="single" w:sz="4" w:space="0" w:color="000000"/>
            </w:tcBorders>
          </w:tcPr>
          <w:p>
            <w:pPr>
              <w:pStyle w:val="TableParagraph"/>
              <w:spacing w:before="22"/>
              <w:ind w:right="84"/>
              <w:rPr>
                <w:sz w:val="14"/>
              </w:rPr>
            </w:pPr>
            <w:r>
              <w:rPr>
                <w:w w:val="99"/>
                <w:sz w:val="14"/>
              </w:rPr>
              <w:t>-</w:t>
            </w:r>
          </w:p>
        </w:tc>
        <w:tc>
          <w:tcPr>
            <w:tcW w:w="565" w:type="dxa"/>
            <w:tcBorders>
              <w:top w:val="single" w:sz="4" w:space="0" w:color="000000"/>
              <w:bottom w:val="single" w:sz="4" w:space="0" w:color="000000"/>
            </w:tcBorders>
          </w:tcPr>
          <w:p>
            <w:pPr>
              <w:pStyle w:val="TableParagraph"/>
              <w:spacing w:before="22"/>
              <w:ind w:right="59"/>
              <w:rPr>
                <w:sz w:val="14"/>
              </w:rPr>
            </w:pPr>
            <w:r>
              <w:rPr>
                <w:w w:val="99"/>
                <w:sz w:val="14"/>
              </w:rPr>
              <w:t>-</w:t>
            </w:r>
          </w:p>
        </w:tc>
        <w:tc>
          <w:tcPr>
            <w:tcW w:w="813" w:type="dxa"/>
            <w:tcBorders>
              <w:top w:val="single" w:sz="4" w:space="0" w:color="000000"/>
              <w:bottom w:val="single" w:sz="4" w:space="0" w:color="000000"/>
            </w:tcBorders>
          </w:tcPr>
          <w:p>
            <w:pPr>
              <w:pStyle w:val="TableParagraph"/>
              <w:spacing w:before="22"/>
              <w:ind w:right="132"/>
              <w:rPr>
                <w:i/>
                <w:sz w:val="14"/>
              </w:rPr>
            </w:pPr>
            <w:r>
              <w:rPr>
                <w:i/>
                <w:w w:val="99"/>
                <w:sz w:val="14"/>
              </w:rPr>
              <w:t>-</w:t>
            </w:r>
          </w:p>
        </w:tc>
        <w:tc>
          <w:tcPr>
            <w:tcW w:w="525" w:type="dxa"/>
            <w:tcBorders>
              <w:top w:val="single" w:sz="4" w:space="0" w:color="000000"/>
              <w:bottom w:val="single" w:sz="4" w:space="0" w:color="000000"/>
            </w:tcBorders>
          </w:tcPr>
          <w:p>
            <w:pPr>
              <w:pStyle w:val="TableParagraph"/>
              <w:spacing w:before="22"/>
              <w:ind w:right="57"/>
              <w:rPr>
                <w:b/>
                <w:sz w:val="14"/>
              </w:rPr>
            </w:pPr>
            <w:r>
              <w:rPr>
                <w:b/>
                <w:w w:val="99"/>
                <w:sz w:val="14"/>
              </w:rPr>
              <w:t>-</w:t>
            </w:r>
          </w:p>
        </w:tc>
      </w:tr>
      <w:tr>
        <w:trPr>
          <w:trHeight w:val="230" w:hRule="atLeast"/>
        </w:trPr>
        <w:tc>
          <w:tcPr>
            <w:tcW w:w="1186" w:type="dxa"/>
            <w:tcBorders>
              <w:top w:val="single" w:sz="4" w:space="0" w:color="000000"/>
              <w:bottom w:val="single" w:sz="4" w:space="0" w:color="000000"/>
            </w:tcBorders>
          </w:tcPr>
          <w:p>
            <w:pPr>
              <w:pStyle w:val="TableParagraph"/>
              <w:spacing w:before="27"/>
              <w:ind w:left="67"/>
              <w:jc w:val="left"/>
              <w:rPr>
                <w:sz w:val="14"/>
              </w:rPr>
            </w:pPr>
            <w:r>
              <w:rPr>
                <w:spacing w:val="-2"/>
                <w:sz w:val="14"/>
              </w:rPr>
              <w:t>Reclassified</w:t>
            </w:r>
          </w:p>
        </w:tc>
        <w:tc>
          <w:tcPr>
            <w:tcW w:w="678" w:type="dxa"/>
            <w:tcBorders>
              <w:top w:val="single" w:sz="4" w:space="0" w:color="000000"/>
              <w:bottom w:val="single" w:sz="4" w:space="0" w:color="000000"/>
            </w:tcBorders>
          </w:tcPr>
          <w:p>
            <w:pPr>
              <w:pStyle w:val="TableParagraph"/>
              <w:spacing w:before="27"/>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7"/>
              <w:ind w:right="170"/>
              <w:rPr>
                <w:sz w:val="14"/>
              </w:rPr>
            </w:pPr>
            <w:r>
              <w:rPr>
                <w:w w:val="99"/>
                <w:sz w:val="14"/>
              </w:rPr>
              <w:t>-</w:t>
            </w:r>
          </w:p>
        </w:tc>
        <w:tc>
          <w:tcPr>
            <w:tcW w:w="548" w:type="dxa"/>
            <w:tcBorders>
              <w:top w:val="single" w:sz="4" w:space="0" w:color="000000"/>
              <w:bottom w:val="single" w:sz="4" w:space="0" w:color="000000"/>
            </w:tcBorders>
          </w:tcPr>
          <w:p>
            <w:pPr>
              <w:pStyle w:val="TableParagraph"/>
              <w:spacing w:before="27"/>
              <w:ind w:right="156"/>
              <w:rPr>
                <w:sz w:val="14"/>
              </w:rPr>
            </w:pPr>
            <w:r>
              <w:rPr>
                <w:w w:val="99"/>
                <w:sz w:val="14"/>
              </w:rPr>
              <w:t>-</w:t>
            </w:r>
          </w:p>
        </w:tc>
        <w:tc>
          <w:tcPr>
            <w:tcW w:w="595" w:type="dxa"/>
            <w:tcBorders>
              <w:top w:val="single" w:sz="4" w:space="0" w:color="000000"/>
              <w:bottom w:val="single" w:sz="4" w:space="0" w:color="000000"/>
            </w:tcBorders>
          </w:tcPr>
          <w:p>
            <w:pPr>
              <w:pStyle w:val="TableParagraph"/>
              <w:spacing w:before="27"/>
              <w:ind w:right="190"/>
              <w:rPr>
                <w:sz w:val="14"/>
              </w:rPr>
            </w:pPr>
            <w:r>
              <w:rPr>
                <w:w w:val="99"/>
                <w:sz w:val="14"/>
              </w:rPr>
              <w:t>-</w:t>
            </w:r>
          </w:p>
        </w:tc>
        <w:tc>
          <w:tcPr>
            <w:tcW w:w="581" w:type="dxa"/>
            <w:tcBorders>
              <w:top w:val="single" w:sz="4" w:space="0" w:color="000000"/>
              <w:bottom w:val="single" w:sz="4" w:space="0" w:color="000000"/>
            </w:tcBorders>
          </w:tcPr>
          <w:p>
            <w:pPr>
              <w:pStyle w:val="TableParagraph"/>
              <w:spacing w:before="27"/>
              <w:ind w:left="150"/>
              <w:jc w:val="center"/>
              <w:rPr>
                <w:sz w:val="14"/>
              </w:rPr>
            </w:pPr>
            <w:r>
              <w:rPr>
                <w:w w:val="99"/>
                <w:sz w:val="14"/>
              </w:rPr>
              <w:t>-</w:t>
            </w:r>
          </w:p>
        </w:tc>
        <w:tc>
          <w:tcPr>
            <w:tcW w:w="566" w:type="dxa"/>
            <w:tcBorders>
              <w:top w:val="single" w:sz="4" w:space="0" w:color="000000"/>
              <w:bottom w:val="single" w:sz="4" w:space="0" w:color="000000"/>
            </w:tcBorders>
          </w:tcPr>
          <w:p>
            <w:pPr>
              <w:pStyle w:val="TableParagraph"/>
              <w:spacing w:before="27"/>
              <w:ind w:right="170"/>
              <w:rPr>
                <w:sz w:val="14"/>
              </w:rPr>
            </w:pPr>
            <w:r>
              <w:rPr>
                <w:w w:val="99"/>
                <w:sz w:val="14"/>
              </w:rPr>
              <w:t>-</w:t>
            </w:r>
          </w:p>
        </w:tc>
        <w:tc>
          <w:tcPr>
            <w:tcW w:w="633" w:type="dxa"/>
            <w:tcBorders>
              <w:top w:val="single" w:sz="4" w:space="0" w:color="000000"/>
              <w:bottom w:val="single" w:sz="4" w:space="0" w:color="000000"/>
            </w:tcBorders>
          </w:tcPr>
          <w:p>
            <w:pPr>
              <w:pStyle w:val="TableParagraph"/>
              <w:spacing w:before="27"/>
              <w:ind w:right="207"/>
              <w:rPr>
                <w:sz w:val="14"/>
              </w:rPr>
            </w:pPr>
            <w:r>
              <w:rPr>
                <w:w w:val="99"/>
                <w:sz w:val="14"/>
              </w:rPr>
              <w:t>-</w:t>
            </w:r>
          </w:p>
        </w:tc>
        <w:tc>
          <w:tcPr>
            <w:tcW w:w="727" w:type="dxa"/>
            <w:tcBorders>
              <w:top w:val="single" w:sz="4" w:space="0" w:color="000000"/>
              <w:bottom w:val="single" w:sz="4" w:space="0" w:color="000000"/>
            </w:tcBorders>
          </w:tcPr>
          <w:p>
            <w:pPr>
              <w:pStyle w:val="TableParagraph"/>
              <w:spacing w:before="27"/>
              <w:ind w:right="195"/>
              <w:rPr>
                <w:sz w:val="14"/>
              </w:rPr>
            </w:pPr>
            <w:r>
              <w:rPr>
                <w:w w:val="99"/>
                <w:sz w:val="14"/>
              </w:rPr>
              <w:t>-</w:t>
            </w:r>
          </w:p>
        </w:tc>
        <w:tc>
          <w:tcPr>
            <w:tcW w:w="464" w:type="dxa"/>
            <w:tcBorders>
              <w:top w:val="single" w:sz="4" w:space="0" w:color="000000"/>
              <w:bottom w:val="single" w:sz="4" w:space="0" w:color="000000"/>
            </w:tcBorders>
          </w:tcPr>
          <w:p>
            <w:pPr>
              <w:pStyle w:val="TableParagraph"/>
              <w:spacing w:before="27"/>
              <w:ind w:right="63"/>
              <w:rPr>
                <w:sz w:val="14"/>
              </w:rPr>
            </w:pPr>
            <w:r>
              <w:rPr>
                <w:w w:val="99"/>
                <w:sz w:val="14"/>
              </w:rPr>
              <w:t>-</w:t>
            </w:r>
          </w:p>
        </w:tc>
        <w:tc>
          <w:tcPr>
            <w:tcW w:w="795" w:type="dxa"/>
            <w:tcBorders>
              <w:top w:val="single" w:sz="4" w:space="0" w:color="000000"/>
              <w:bottom w:val="single" w:sz="4" w:space="0" w:color="000000"/>
            </w:tcBorders>
          </w:tcPr>
          <w:p>
            <w:pPr>
              <w:pStyle w:val="TableParagraph"/>
              <w:spacing w:before="27"/>
              <w:ind w:right="123"/>
              <w:rPr>
                <w:i/>
                <w:sz w:val="14"/>
              </w:rPr>
            </w:pPr>
            <w:r>
              <w:rPr>
                <w:i/>
                <w:w w:val="99"/>
                <w:sz w:val="14"/>
              </w:rPr>
              <w:t>-</w:t>
            </w:r>
          </w:p>
        </w:tc>
        <w:tc>
          <w:tcPr>
            <w:tcW w:w="569" w:type="dxa"/>
            <w:tcBorders>
              <w:top w:val="single" w:sz="4" w:space="0" w:color="000000"/>
              <w:bottom w:val="single" w:sz="4" w:space="0" w:color="000000"/>
            </w:tcBorders>
          </w:tcPr>
          <w:p>
            <w:pPr>
              <w:pStyle w:val="TableParagraph"/>
              <w:spacing w:before="27"/>
              <w:ind w:right="97"/>
              <w:rPr>
                <w:sz w:val="14"/>
              </w:rPr>
            </w:pPr>
            <w:r>
              <w:rPr>
                <w:w w:val="99"/>
                <w:sz w:val="14"/>
              </w:rPr>
              <w:t>-</w:t>
            </w:r>
          </w:p>
        </w:tc>
        <w:tc>
          <w:tcPr>
            <w:tcW w:w="578" w:type="dxa"/>
            <w:tcBorders>
              <w:top w:val="single" w:sz="4" w:space="0" w:color="000000"/>
              <w:bottom w:val="single" w:sz="4" w:space="0" w:color="000000"/>
            </w:tcBorders>
          </w:tcPr>
          <w:p>
            <w:pPr>
              <w:pStyle w:val="TableParagraph"/>
              <w:spacing w:before="27"/>
              <w:ind w:right="84"/>
              <w:rPr>
                <w:sz w:val="14"/>
              </w:rPr>
            </w:pPr>
            <w:r>
              <w:rPr>
                <w:w w:val="99"/>
                <w:sz w:val="14"/>
              </w:rPr>
              <w:t>-</w:t>
            </w:r>
          </w:p>
        </w:tc>
        <w:tc>
          <w:tcPr>
            <w:tcW w:w="565" w:type="dxa"/>
            <w:tcBorders>
              <w:top w:val="single" w:sz="4" w:space="0" w:color="000000"/>
              <w:bottom w:val="single" w:sz="4" w:space="0" w:color="000000"/>
            </w:tcBorders>
          </w:tcPr>
          <w:p>
            <w:pPr>
              <w:pStyle w:val="TableParagraph"/>
              <w:spacing w:before="27"/>
              <w:ind w:right="59"/>
              <w:rPr>
                <w:sz w:val="14"/>
              </w:rPr>
            </w:pPr>
            <w:r>
              <w:rPr>
                <w:w w:val="99"/>
                <w:sz w:val="14"/>
              </w:rPr>
              <w:t>-</w:t>
            </w:r>
          </w:p>
        </w:tc>
        <w:tc>
          <w:tcPr>
            <w:tcW w:w="813" w:type="dxa"/>
            <w:tcBorders>
              <w:top w:val="single" w:sz="4" w:space="0" w:color="000000"/>
              <w:bottom w:val="single" w:sz="4" w:space="0" w:color="000000"/>
            </w:tcBorders>
          </w:tcPr>
          <w:p>
            <w:pPr>
              <w:pStyle w:val="TableParagraph"/>
              <w:spacing w:before="27"/>
              <w:ind w:right="132"/>
              <w:rPr>
                <w:i/>
                <w:sz w:val="14"/>
              </w:rPr>
            </w:pPr>
            <w:r>
              <w:rPr>
                <w:i/>
                <w:w w:val="99"/>
                <w:sz w:val="14"/>
              </w:rPr>
              <w:t>-</w:t>
            </w:r>
          </w:p>
        </w:tc>
        <w:tc>
          <w:tcPr>
            <w:tcW w:w="525" w:type="dxa"/>
            <w:tcBorders>
              <w:top w:val="single" w:sz="4" w:space="0" w:color="000000"/>
              <w:bottom w:val="single" w:sz="4" w:space="0" w:color="000000"/>
            </w:tcBorders>
          </w:tcPr>
          <w:p>
            <w:pPr>
              <w:pStyle w:val="TableParagraph"/>
              <w:spacing w:before="27"/>
              <w:ind w:right="57"/>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2"/>
              <w:ind w:left="67"/>
              <w:jc w:val="left"/>
              <w:rPr>
                <w:sz w:val="14"/>
              </w:rPr>
            </w:pPr>
            <w:r>
              <w:rPr>
                <w:spacing w:val="-2"/>
                <w:sz w:val="14"/>
              </w:rPr>
              <w:t>Returned</w:t>
            </w:r>
          </w:p>
        </w:tc>
        <w:tc>
          <w:tcPr>
            <w:tcW w:w="678" w:type="dxa"/>
            <w:tcBorders>
              <w:top w:val="single" w:sz="4" w:space="0" w:color="000000"/>
              <w:bottom w:val="single" w:sz="4" w:space="0" w:color="000000"/>
            </w:tcBorders>
          </w:tcPr>
          <w:p>
            <w:pPr>
              <w:pStyle w:val="TableParagraph"/>
              <w:spacing w:before="22"/>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2"/>
              <w:ind w:right="170"/>
              <w:rPr>
                <w:sz w:val="14"/>
              </w:rPr>
            </w:pPr>
            <w:r>
              <w:rPr>
                <w:w w:val="99"/>
                <w:sz w:val="14"/>
              </w:rPr>
              <w:t>-</w:t>
            </w:r>
          </w:p>
        </w:tc>
        <w:tc>
          <w:tcPr>
            <w:tcW w:w="548" w:type="dxa"/>
            <w:tcBorders>
              <w:top w:val="single" w:sz="4" w:space="0" w:color="000000"/>
              <w:bottom w:val="single" w:sz="4" w:space="0" w:color="000000"/>
            </w:tcBorders>
          </w:tcPr>
          <w:p>
            <w:pPr>
              <w:pStyle w:val="TableParagraph"/>
              <w:spacing w:before="22"/>
              <w:ind w:right="156"/>
              <w:rPr>
                <w:sz w:val="14"/>
              </w:rPr>
            </w:pPr>
            <w:r>
              <w:rPr>
                <w:w w:val="99"/>
                <w:sz w:val="14"/>
              </w:rPr>
              <w:t>-</w:t>
            </w:r>
          </w:p>
        </w:tc>
        <w:tc>
          <w:tcPr>
            <w:tcW w:w="595" w:type="dxa"/>
            <w:tcBorders>
              <w:top w:val="single" w:sz="4" w:space="0" w:color="000000"/>
              <w:bottom w:val="single" w:sz="4" w:space="0" w:color="000000"/>
            </w:tcBorders>
          </w:tcPr>
          <w:p>
            <w:pPr>
              <w:pStyle w:val="TableParagraph"/>
              <w:spacing w:before="22"/>
              <w:ind w:right="190"/>
              <w:rPr>
                <w:sz w:val="14"/>
              </w:rPr>
            </w:pPr>
            <w:r>
              <w:rPr>
                <w:w w:val="99"/>
                <w:sz w:val="14"/>
              </w:rPr>
              <w:t>-</w:t>
            </w:r>
          </w:p>
        </w:tc>
        <w:tc>
          <w:tcPr>
            <w:tcW w:w="581" w:type="dxa"/>
            <w:tcBorders>
              <w:top w:val="single" w:sz="4" w:space="0" w:color="000000"/>
              <w:bottom w:val="single" w:sz="4" w:space="0" w:color="000000"/>
            </w:tcBorders>
          </w:tcPr>
          <w:p>
            <w:pPr>
              <w:pStyle w:val="TableParagraph"/>
              <w:spacing w:before="22"/>
              <w:ind w:left="150"/>
              <w:jc w:val="center"/>
              <w:rPr>
                <w:sz w:val="14"/>
              </w:rPr>
            </w:pPr>
            <w:r>
              <w:rPr>
                <w:w w:val="99"/>
                <w:sz w:val="14"/>
              </w:rPr>
              <w:t>-</w:t>
            </w:r>
          </w:p>
        </w:tc>
        <w:tc>
          <w:tcPr>
            <w:tcW w:w="566" w:type="dxa"/>
            <w:tcBorders>
              <w:top w:val="single" w:sz="4" w:space="0" w:color="000000"/>
              <w:bottom w:val="single" w:sz="4" w:space="0" w:color="000000"/>
            </w:tcBorders>
          </w:tcPr>
          <w:p>
            <w:pPr>
              <w:pStyle w:val="TableParagraph"/>
              <w:spacing w:before="22"/>
              <w:ind w:right="170"/>
              <w:rPr>
                <w:sz w:val="14"/>
              </w:rPr>
            </w:pPr>
            <w:r>
              <w:rPr>
                <w:w w:val="99"/>
                <w:sz w:val="14"/>
              </w:rPr>
              <w:t>-</w:t>
            </w:r>
          </w:p>
        </w:tc>
        <w:tc>
          <w:tcPr>
            <w:tcW w:w="633" w:type="dxa"/>
            <w:tcBorders>
              <w:top w:val="single" w:sz="4" w:space="0" w:color="000000"/>
              <w:bottom w:val="single" w:sz="4" w:space="0" w:color="000000"/>
            </w:tcBorders>
          </w:tcPr>
          <w:p>
            <w:pPr>
              <w:pStyle w:val="TableParagraph"/>
              <w:spacing w:before="22"/>
              <w:ind w:right="207"/>
              <w:rPr>
                <w:sz w:val="14"/>
              </w:rPr>
            </w:pPr>
            <w:r>
              <w:rPr>
                <w:w w:val="99"/>
                <w:sz w:val="14"/>
              </w:rPr>
              <w:t>-</w:t>
            </w:r>
          </w:p>
        </w:tc>
        <w:tc>
          <w:tcPr>
            <w:tcW w:w="727" w:type="dxa"/>
            <w:tcBorders>
              <w:top w:val="single" w:sz="4" w:space="0" w:color="000000"/>
              <w:bottom w:val="single" w:sz="4" w:space="0" w:color="000000"/>
            </w:tcBorders>
          </w:tcPr>
          <w:p>
            <w:pPr>
              <w:pStyle w:val="TableParagraph"/>
              <w:spacing w:before="22"/>
              <w:ind w:right="195"/>
              <w:rPr>
                <w:sz w:val="14"/>
              </w:rPr>
            </w:pPr>
            <w:r>
              <w:rPr>
                <w:w w:val="99"/>
                <w:sz w:val="14"/>
              </w:rPr>
              <w:t>-</w:t>
            </w:r>
          </w:p>
        </w:tc>
        <w:tc>
          <w:tcPr>
            <w:tcW w:w="464" w:type="dxa"/>
            <w:tcBorders>
              <w:top w:val="single" w:sz="4" w:space="0" w:color="000000"/>
              <w:bottom w:val="single" w:sz="4" w:space="0" w:color="000000"/>
            </w:tcBorders>
          </w:tcPr>
          <w:p>
            <w:pPr>
              <w:pStyle w:val="TableParagraph"/>
              <w:spacing w:before="22"/>
              <w:ind w:right="63"/>
              <w:rPr>
                <w:sz w:val="14"/>
              </w:rPr>
            </w:pPr>
            <w:r>
              <w:rPr>
                <w:w w:val="99"/>
                <w:sz w:val="14"/>
              </w:rPr>
              <w:t>-</w:t>
            </w:r>
          </w:p>
        </w:tc>
        <w:tc>
          <w:tcPr>
            <w:tcW w:w="795" w:type="dxa"/>
            <w:tcBorders>
              <w:top w:val="single" w:sz="4" w:space="0" w:color="000000"/>
              <w:bottom w:val="single" w:sz="4" w:space="0" w:color="000000"/>
            </w:tcBorders>
          </w:tcPr>
          <w:p>
            <w:pPr>
              <w:pStyle w:val="TableParagraph"/>
              <w:spacing w:before="22"/>
              <w:ind w:right="123"/>
              <w:rPr>
                <w:i/>
                <w:sz w:val="14"/>
              </w:rPr>
            </w:pPr>
            <w:r>
              <w:rPr>
                <w:i/>
                <w:w w:val="99"/>
                <w:sz w:val="14"/>
              </w:rPr>
              <w:t>-</w:t>
            </w:r>
          </w:p>
        </w:tc>
        <w:tc>
          <w:tcPr>
            <w:tcW w:w="569" w:type="dxa"/>
            <w:tcBorders>
              <w:top w:val="single" w:sz="4" w:space="0" w:color="000000"/>
              <w:bottom w:val="single" w:sz="4" w:space="0" w:color="000000"/>
            </w:tcBorders>
          </w:tcPr>
          <w:p>
            <w:pPr>
              <w:pStyle w:val="TableParagraph"/>
              <w:spacing w:before="22"/>
              <w:ind w:right="97"/>
              <w:rPr>
                <w:sz w:val="14"/>
              </w:rPr>
            </w:pPr>
            <w:r>
              <w:rPr>
                <w:w w:val="99"/>
                <w:sz w:val="14"/>
              </w:rPr>
              <w:t>-</w:t>
            </w:r>
          </w:p>
        </w:tc>
        <w:tc>
          <w:tcPr>
            <w:tcW w:w="578" w:type="dxa"/>
            <w:tcBorders>
              <w:top w:val="single" w:sz="4" w:space="0" w:color="000000"/>
              <w:bottom w:val="single" w:sz="4" w:space="0" w:color="000000"/>
            </w:tcBorders>
          </w:tcPr>
          <w:p>
            <w:pPr>
              <w:pStyle w:val="TableParagraph"/>
              <w:spacing w:before="22"/>
              <w:ind w:right="84"/>
              <w:rPr>
                <w:sz w:val="14"/>
              </w:rPr>
            </w:pPr>
            <w:r>
              <w:rPr>
                <w:w w:val="99"/>
                <w:sz w:val="14"/>
              </w:rPr>
              <w:t>-</w:t>
            </w:r>
          </w:p>
        </w:tc>
        <w:tc>
          <w:tcPr>
            <w:tcW w:w="565" w:type="dxa"/>
            <w:tcBorders>
              <w:top w:val="single" w:sz="4" w:space="0" w:color="000000"/>
              <w:bottom w:val="single" w:sz="4" w:space="0" w:color="000000"/>
            </w:tcBorders>
          </w:tcPr>
          <w:p>
            <w:pPr>
              <w:pStyle w:val="TableParagraph"/>
              <w:spacing w:before="22"/>
              <w:ind w:right="59"/>
              <w:rPr>
                <w:sz w:val="14"/>
              </w:rPr>
            </w:pPr>
            <w:r>
              <w:rPr>
                <w:w w:val="99"/>
                <w:sz w:val="14"/>
              </w:rPr>
              <w:t>-</w:t>
            </w:r>
          </w:p>
        </w:tc>
        <w:tc>
          <w:tcPr>
            <w:tcW w:w="813" w:type="dxa"/>
            <w:tcBorders>
              <w:top w:val="single" w:sz="4" w:space="0" w:color="000000"/>
              <w:bottom w:val="single" w:sz="4" w:space="0" w:color="000000"/>
            </w:tcBorders>
          </w:tcPr>
          <w:p>
            <w:pPr>
              <w:pStyle w:val="TableParagraph"/>
              <w:spacing w:before="22"/>
              <w:ind w:right="132"/>
              <w:rPr>
                <w:i/>
                <w:sz w:val="14"/>
              </w:rPr>
            </w:pPr>
            <w:r>
              <w:rPr>
                <w:i/>
                <w:w w:val="99"/>
                <w:sz w:val="14"/>
              </w:rPr>
              <w:t>-</w:t>
            </w:r>
          </w:p>
        </w:tc>
        <w:tc>
          <w:tcPr>
            <w:tcW w:w="525" w:type="dxa"/>
            <w:tcBorders>
              <w:top w:val="single" w:sz="4" w:space="0" w:color="000000"/>
              <w:bottom w:val="single" w:sz="4" w:space="0" w:color="000000"/>
            </w:tcBorders>
          </w:tcPr>
          <w:p>
            <w:pPr>
              <w:pStyle w:val="TableParagraph"/>
              <w:spacing w:before="22"/>
              <w:ind w:right="57"/>
              <w:rPr>
                <w:b/>
                <w:sz w:val="14"/>
              </w:rPr>
            </w:pPr>
            <w:r>
              <w:rPr>
                <w:b/>
                <w:w w:val="99"/>
                <w:sz w:val="14"/>
              </w:rPr>
              <w:t>-</w:t>
            </w:r>
          </w:p>
        </w:tc>
      </w:tr>
      <w:tr>
        <w:trPr>
          <w:trHeight w:val="224" w:hRule="atLeast"/>
        </w:trPr>
        <w:tc>
          <w:tcPr>
            <w:tcW w:w="1186" w:type="dxa"/>
            <w:tcBorders>
              <w:top w:val="single" w:sz="4" w:space="0" w:color="000000"/>
              <w:bottom w:val="single" w:sz="12" w:space="0" w:color="000000"/>
            </w:tcBorders>
          </w:tcPr>
          <w:p>
            <w:pPr>
              <w:pStyle w:val="TableParagraph"/>
              <w:spacing w:before="22"/>
              <w:ind w:left="67"/>
              <w:jc w:val="left"/>
              <w:rPr>
                <w:b/>
                <w:sz w:val="14"/>
              </w:rPr>
            </w:pPr>
            <w:r>
              <w:rPr>
                <w:b/>
                <w:sz w:val="14"/>
              </w:rPr>
              <w:t>Proposed</w:t>
            </w:r>
            <w:r>
              <w:rPr>
                <w:b/>
                <w:spacing w:val="-6"/>
                <w:sz w:val="14"/>
              </w:rPr>
              <w:t> </w:t>
            </w:r>
            <w:r>
              <w:rPr>
                <w:b/>
                <w:spacing w:val="-4"/>
                <w:sz w:val="14"/>
              </w:rPr>
              <w:t>2023</w:t>
            </w:r>
          </w:p>
        </w:tc>
        <w:tc>
          <w:tcPr>
            <w:tcW w:w="678" w:type="dxa"/>
            <w:tcBorders>
              <w:top w:val="single" w:sz="4" w:space="0" w:color="000000"/>
              <w:bottom w:val="single" w:sz="12" w:space="0" w:color="000000"/>
            </w:tcBorders>
          </w:tcPr>
          <w:p>
            <w:pPr>
              <w:pStyle w:val="TableParagraph"/>
              <w:spacing w:before="22"/>
              <w:ind w:right="154"/>
              <w:rPr>
                <w:b/>
                <w:sz w:val="14"/>
              </w:rPr>
            </w:pPr>
            <w:r>
              <w:rPr>
                <w:b/>
                <w:w w:val="99"/>
                <w:sz w:val="14"/>
              </w:rPr>
              <w:t>-</w:t>
            </w:r>
          </w:p>
        </w:tc>
        <w:tc>
          <w:tcPr>
            <w:tcW w:w="607" w:type="dxa"/>
            <w:tcBorders>
              <w:top w:val="single" w:sz="4" w:space="0" w:color="000000"/>
              <w:bottom w:val="single" w:sz="12" w:space="0" w:color="000000"/>
            </w:tcBorders>
          </w:tcPr>
          <w:p>
            <w:pPr>
              <w:pStyle w:val="TableParagraph"/>
              <w:spacing w:before="22"/>
              <w:ind w:right="170"/>
              <w:rPr>
                <w:b/>
                <w:sz w:val="14"/>
              </w:rPr>
            </w:pPr>
            <w:r>
              <w:rPr>
                <w:b/>
                <w:w w:val="99"/>
                <w:sz w:val="14"/>
              </w:rPr>
              <w:t>-</w:t>
            </w:r>
          </w:p>
        </w:tc>
        <w:tc>
          <w:tcPr>
            <w:tcW w:w="548" w:type="dxa"/>
            <w:tcBorders>
              <w:top w:val="single" w:sz="4" w:space="0" w:color="000000"/>
              <w:bottom w:val="single" w:sz="12" w:space="0" w:color="000000"/>
            </w:tcBorders>
          </w:tcPr>
          <w:p>
            <w:pPr>
              <w:pStyle w:val="TableParagraph"/>
              <w:spacing w:before="22"/>
              <w:ind w:right="156"/>
              <w:rPr>
                <w:b/>
                <w:sz w:val="14"/>
              </w:rPr>
            </w:pPr>
            <w:r>
              <w:rPr>
                <w:b/>
                <w:w w:val="99"/>
                <w:sz w:val="14"/>
              </w:rPr>
              <w:t>-</w:t>
            </w:r>
          </w:p>
        </w:tc>
        <w:tc>
          <w:tcPr>
            <w:tcW w:w="595" w:type="dxa"/>
            <w:tcBorders>
              <w:top w:val="single" w:sz="4" w:space="0" w:color="000000"/>
              <w:bottom w:val="single" w:sz="12" w:space="0" w:color="000000"/>
            </w:tcBorders>
          </w:tcPr>
          <w:p>
            <w:pPr>
              <w:pStyle w:val="TableParagraph"/>
              <w:spacing w:before="22"/>
              <w:ind w:right="191"/>
              <w:rPr>
                <w:b/>
                <w:sz w:val="14"/>
              </w:rPr>
            </w:pPr>
            <w:r>
              <w:rPr>
                <w:b/>
                <w:w w:val="99"/>
                <w:sz w:val="14"/>
              </w:rPr>
              <w:t>1</w:t>
            </w:r>
          </w:p>
        </w:tc>
        <w:tc>
          <w:tcPr>
            <w:tcW w:w="581" w:type="dxa"/>
            <w:tcBorders>
              <w:top w:val="single" w:sz="4" w:space="0" w:color="000000"/>
              <w:bottom w:val="single" w:sz="12" w:space="0" w:color="000000"/>
            </w:tcBorders>
          </w:tcPr>
          <w:p>
            <w:pPr>
              <w:pStyle w:val="TableParagraph"/>
              <w:spacing w:before="22"/>
              <w:ind w:left="150"/>
              <w:jc w:val="center"/>
              <w:rPr>
                <w:b/>
                <w:sz w:val="14"/>
              </w:rPr>
            </w:pPr>
            <w:r>
              <w:rPr>
                <w:b/>
                <w:w w:val="99"/>
                <w:sz w:val="14"/>
              </w:rPr>
              <w:t>-</w:t>
            </w:r>
          </w:p>
        </w:tc>
        <w:tc>
          <w:tcPr>
            <w:tcW w:w="566" w:type="dxa"/>
            <w:tcBorders>
              <w:top w:val="single" w:sz="4" w:space="0" w:color="000000"/>
              <w:bottom w:val="single" w:sz="12" w:space="0" w:color="000000"/>
            </w:tcBorders>
          </w:tcPr>
          <w:p>
            <w:pPr>
              <w:pStyle w:val="TableParagraph"/>
              <w:spacing w:before="22"/>
              <w:ind w:right="171"/>
              <w:rPr>
                <w:b/>
                <w:sz w:val="14"/>
              </w:rPr>
            </w:pPr>
            <w:r>
              <w:rPr>
                <w:b/>
                <w:w w:val="99"/>
                <w:sz w:val="14"/>
              </w:rPr>
              <w:t>4</w:t>
            </w:r>
          </w:p>
        </w:tc>
        <w:tc>
          <w:tcPr>
            <w:tcW w:w="633" w:type="dxa"/>
            <w:tcBorders>
              <w:top w:val="single" w:sz="4" w:space="0" w:color="000000"/>
              <w:bottom w:val="single" w:sz="12" w:space="0" w:color="000000"/>
            </w:tcBorders>
          </w:tcPr>
          <w:p>
            <w:pPr>
              <w:pStyle w:val="TableParagraph"/>
              <w:spacing w:before="22"/>
              <w:ind w:right="208"/>
              <w:rPr>
                <w:b/>
                <w:sz w:val="14"/>
              </w:rPr>
            </w:pPr>
            <w:r>
              <w:rPr>
                <w:b/>
                <w:w w:val="99"/>
                <w:sz w:val="14"/>
              </w:rPr>
              <w:t>2</w:t>
            </w:r>
          </w:p>
        </w:tc>
        <w:tc>
          <w:tcPr>
            <w:tcW w:w="727" w:type="dxa"/>
            <w:tcBorders>
              <w:top w:val="single" w:sz="4" w:space="0" w:color="000000"/>
              <w:bottom w:val="single" w:sz="12" w:space="0" w:color="000000"/>
            </w:tcBorders>
          </w:tcPr>
          <w:p>
            <w:pPr>
              <w:pStyle w:val="TableParagraph"/>
              <w:spacing w:before="22"/>
              <w:ind w:right="195"/>
              <w:rPr>
                <w:b/>
                <w:sz w:val="14"/>
              </w:rPr>
            </w:pPr>
            <w:r>
              <w:rPr>
                <w:b/>
                <w:w w:val="99"/>
                <w:sz w:val="14"/>
              </w:rPr>
              <w:t>2</w:t>
            </w:r>
          </w:p>
        </w:tc>
        <w:tc>
          <w:tcPr>
            <w:tcW w:w="464" w:type="dxa"/>
            <w:tcBorders>
              <w:top w:val="single" w:sz="4" w:space="0" w:color="000000"/>
              <w:bottom w:val="single" w:sz="12" w:space="0" w:color="000000"/>
            </w:tcBorders>
          </w:tcPr>
          <w:p>
            <w:pPr>
              <w:pStyle w:val="TableParagraph"/>
              <w:spacing w:before="22"/>
              <w:ind w:right="63"/>
              <w:rPr>
                <w:b/>
                <w:sz w:val="14"/>
              </w:rPr>
            </w:pPr>
            <w:r>
              <w:rPr>
                <w:b/>
                <w:w w:val="99"/>
                <w:sz w:val="14"/>
              </w:rPr>
              <w:t>-</w:t>
            </w:r>
          </w:p>
        </w:tc>
        <w:tc>
          <w:tcPr>
            <w:tcW w:w="795" w:type="dxa"/>
            <w:tcBorders>
              <w:top w:val="single" w:sz="4" w:space="0" w:color="000000"/>
              <w:bottom w:val="single" w:sz="12" w:space="0" w:color="000000"/>
            </w:tcBorders>
          </w:tcPr>
          <w:p>
            <w:pPr>
              <w:pStyle w:val="TableParagraph"/>
              <w:spacing w:before="22"/>
              <w:ind w:right="124"/>
              <w:rPr>
                <w:b/>
                <w:i/>
                <w:sz w:val="14"/>
              </w:rPr>
            </w:pPr>
            <w:r>
              <w:rPr>
                <w:b/>
                <w:i/>
                <w:w w:val="99"/>
                <w:sz w:val="14"/>
              </w:rPr>
              <w:t>9</w:t>
            </w:r>
          </w:p>
        </w:tc>
        <w:tc>
          <w:tcPr>
            <w:tcW w:w="569" w:type="dxa"/>
            <w:tcBorders>
              <w:top w:val="single" w:sz="4" w:space="0" w:color="000000"/>
              <w:bottom w:val="single" w:sz="12" w:space="0" w:color="000000"/>
            </w:tcBorders>
          </w:tcPr>
          <w:p>
            <w:pPr>
              <w:pStyle w:val="TableParagraph"/>
              <w:spacing w:before="22"/>
              <w:ind w:right="97"/>
              <w:rPr>
                <w:b/>
                <w:sz w:val="14"/>
              </w:rPr>
            </w:pPr>
            <w:r>
              <w:rPr>
                <w:b/>
                <w:w w:val="99"/>
                <w:sz w:val="14"/>
              </w:rPr>
              <w:t>-</w:t>
            </w:r>
          </w:p>
        </w:tc>
        <w:tc>
          <w:tcPr>
            <w:tcW w:w="578" w:type="dxa"/>
            <w:tcBorders>
              <w:top w:val="single" w:sz="4" w:space="0" w:color="000000"/>
              <w:bottom w:val="single" w:sz="12" w:space="0" w:color="000000"/>
            </w:tcBorders>
          </w:tcPr>
          <w:p>
            <w:pPr>
              <w:pStyle w:val="TableParagraph"/>
              <w:spacing w:before="22"/>
              <w:ind w:right="84"/>
              <w:rPr>
                <w:b/>
                <w:sz w:val="14"/>
              </w:rPr>
            </w:pPr>
            <w:r>
              <w:rPr>
                <w:b/>
                <w:w w:val="99"/>
                <w:sz w:val="14"/>
              </w:rPr>
              <w:t>-</w:t>
            </w:r>
          </w:p>
        </w:tc>
        <w:tc>
          <w:tcPr>
            <w:tcW w:w="565" w:type="dxa"/>
            <w:tcBorders>
              <w:top w:val="single" w:sz="4" w:space="0" w:color="000000"/>
              <w:bottom w:val="single" w:sz="12" w:space="0" w:color="000000"/>
            </w:tcBorders>
          </w:tcPr>
          <w:p>
            <w:pPr>
              <w:pStyle w:val="TableParagraph"/>
              <w:spacing w:before="22"/>
              <w:ind w:right="60"/>
              <w:rPr>
                <w:b/>
                <w:sz w:val="14"/>
              </w:rPr>
            </w:pPr>
            <w:r>
              <w:rPr>
                <w:b/>
                <w:w w:val="99"/>
                <w:sz w:val="14"/>
              </w:rPr>
              <w:t>3</w:t>
            </w:r>
          </w:p>
        </w:tc>
        <w:tc>
          <w:tcPr>
            <w:tcW w:w="813" w:type="dxa"/>
            <w:tcBorders>
              <w:top w:val="single" w:sz="4" w:space="0" w:color="000000"/>
              <w:bottom w:val="single" w:sz="12" w:space="0" w:color="000000"/>
            </w:tcBorders>
          </w:tcPr>
          <w:p>
            <w:pPr>
              <w:pStyle w:val="TableParagraph"/>
              <w:spacing w:before="22"/>
              <w:ind w:right="133"/>
              <w:rPr>
                <w:b/>
                <w:i/>
                <w:sz w:val="14"/>
              </w:rPr>
            </w:pPr>
            <w:r>
              <w:rPr>
                <w:b/>
                <w:i/>
                <w:w w:val="99"/>
                <w:sz w:val="14"/>
              </w:rPr>
              <w:t>3</w:t>
            </w:r>
          </w:p>
        </w:tc>
        <w:tc>
          <w:tcPr>
            <w:tcW w:w="525" w:type="dxa"/>
            <w:tcBorders>
              <w:top w:val="single" w:sz="4" w:space="0" w:color="000000"/>
              <w:bottom w:val="single" w:sz="12" w:space="0" w:color="000000"/>
            </w:tcBorders>
          </w:tcPr>
          <w:p>
            <w:pPr>
              <w:pStyle w:val="TableParagraph"/>
              <w:spacing w:before="22"/>
              <w:ind w:right="51"/>
              <w:rPr>
                <w:b/>
                <w:sz w:val="14"/>
              </w:rPr>
            </w:pPr>
            <w:r>
              <w:rPr>
                <w:b/>
                <w:spacing w:val="-5"/>
                <w:sz w:val="14"/>
              </w:rPr>
              <w:t>12</w:t>
            </w:r>
          </w:p>
        </w:tc>
      </w:tr>
      <w:tr>
        <w:trPr>
          <w:trHeight w:val="571" w:hRule="atLeast"/>
        </w:trPr>
        <w:tc>
          <w:tcPr>
            <w:tcW w:w="1186" w:type="dxa"/>
            <w:tcBorders>
              <w:top w:val="single" w:sz="12" w:space="0" w:color="000000"/>
            </w:tcBorders>
          </w:tcPr>
          <w:p>
            <w:pPr>
              <w:pStyle w:val="TableParagraph"/>
              <w:jc w:val="left"/>
              <w:rPr>
                <w:b/>
                <w:sz w:val="19"/>
              </w:rPr>
            </w:pPr>
          </w:p>
          <w:p>
            <w:pPr>
              <w:pStyle w:val="TableParagraph"/>
              <w:spacing w:line="242" w:lineRule="auto"/>
              <w:ind w:left="67" w:right="232"/>
              <w:jc w:val="left"/>
              <w:rPr>
                <w:b/>
                <w:sz w:val="14"/>
              </w:rPr>
            </w:pPr>
            <w:r>
              <w:rPr>
                <w:b/>
                <w:sz w:val="14"/>
              </w:rPr>
              <w:t>GTA</w:t>
            </w:r>
            <w:r>
              <w:rPr>
                <w:b/>
                <w:spacing w:val="-9"/>
                <w:sz w:val="14"/>
              </w:rPr>
              <w:t> </w:t>
            </w:r>
            <w:r>
              <w:rPr>
                <w:b/>
                <w:sz w:val="14"/>
              </w:rPr>
              <w:t>Positions</w:t>
            </w:r>
            <w:r>
              <w:rPr>
                <w:b/>
                <w:spacing w:val="40"/>
                <w:sz w:val="14"/>
              </w:rPr>
              <w:t> </w:t>
            </w:r>
            <w:r>
              <w:rPr>
                <w:b/>
                <w:spacing w:val="-2"/>
                <w:sz w:val="14"/>
              </w:rPr>
              <w:t>(FTE)</w:t>
            </w:r>
          </w:p>
        </w:tc>
        <w:tc>
          <w:tcPr>
            <w:tcW w:w="678" w:type="dxa"/>
            <w:tcBorders>
              <w:top w:val="single" w:sz="12" w:space="0" w:color="000000"/>
            </w:tcBorders>
          </w:tcPr>
          <w:p>
            <w:pPr>
              <w:pStyle w:val="TableParagraph"/>
              <w:jc w:val="left"/>
              <w:rPr>
                <w:sz w:val="14"/>
              </w:rPr>
            </w:pPr>
          </w:p>
        </w:tc>
        <w:tc>
          <w:tcPr>
            <w:tcW w:w="607" w:type="dxa"/>
            <w:tcBorders>
              <w:top w:val="single" w:sz="12" w:space="0" w:color="000000"/>
            </w:tcBorders>
          </w:tcPr>
          <w:p>
            <w:pPr>
              <w:pStyle w:val="TableParagraph"/>
              <w:jc w:val="left"/>
              <w:rPr>
                <w:sz w:val="14"/>
              </w:rPr>
            </w:pPr>
          </w:p>
        </w:tc>
        <w:tc>
          <w:tcPr>
            <w:tcW w:w="548" w:type="dxa"/>
            <w:tcBorders>
              <w:top w:val="single" w:sz="12" w:space="0" w:color="000000"/>
            </w:tcBorders>
          </w:tcPr>
          <w:p>
            <w:pPr>
              <w:pStyle w:val="TableParagraph"/>
              <w:jc w:val="left"/>
              <w:rPr>
                <w:sz w:val="14"/>
              </w:rPr>
            </w:pPr>
          </w:p>
        </w:tc>
        <w:tc>
          <w:tcPr>
            <w:tcW w:w="595" w:type="dxa"/>
            <w:tcBorders>
              <w:top w:val="single" w:sz="12" w:space="0" w:color="000000"/>
            </w:tcBorders>
          </w:tcPr>
          <w:p>
            <w:pPr>
              <w:pStyle w:val="TableParagraph"/>
              <w:jc w:val="left"/>
              <w:rPr>
                <w:sz w:val="14"/>
              </w:rPr>
            </w:pPr>
          </w:p>
        </w:tc>
        <w:tc>
          <w:tcPr>
            <w:tcW w:w="581" w:type="dxa"/>
            <w:tcBorders>
              <w:top w:val="single" w:sz="12" w:space="0" w:color="000000"/>
            </w:tcBorders>
          </w:tcPr>
          <w:p>
            <w:pPr>
              <w:pStyle w:val="TableParagraph"/>
              <w:jc w:val="left"/>
              <w:rPr>
                <w:sz w:val="14"/>
              </w:rPr>
            </w:pPr>
          </w:p>
        </w:tc>
        <w:tc>
          <w:tcPr>
            <w:tcW w:w="566" w:type="dxa"/>
            <w:tcBorders>
              <w:top w:val="single" w:sz="12" w:space="0" w:color="000000"/>
            </w:tcBorders>
          </w:tcPr>
          <w:p>
            <w:pPr>
              <w:pStyle w:val="TableParagraph"/>
              <w:jc w:val="left"/>
              <w:rPr>
                <w:sz w:val="14"/>
              </w:rPr>
            </w:pPr>
          </w:p>
        </w:tc>
        <w:tc>
          <w:tcPr>
            <w:tcW w:w="633" w:type="dxa"/>
            <w:tcBorders>
              <w:top w:val="single" w:sz="12" w:space="0" w:color="000000"/>
            </w:tcBorders>
          </w:tcPr>
          <w:p>
            <w:pPr>
              <w:pStyle w:val="TableParagraph"/>
              <w:jc w:val="left"/>
              <w:rPr>
                <w:sz w:val="14"/>
              </w:rPr>
            </w:pPr>
          </w:p>
        </w:tc>
        <w:tc>
          <w:tcPr>
            <w:tcW w:w="727" w:type="dxa"/>
            <w:tcBorders>
              <w:top w:val="single" w:sz="12" w:space="0" w:color="000000"/>
            </w:tcBorders>
          </w:tcPr>
          <w:p>
            <w:pPr>
              <w:pStyle w:val="TableParagraph"/>
              <w:jc w:val="left"/>
              <w:rPr>
                <w:sz w:val="14"/>
              </w:rPr>
            </w:pPr>
          </w:p>
        </w:tc>
        <w:tc>
          <w:tcPr>
            <w:tcW w:w="464" w:type="dxa"/>
            <w:tcBorders>
              <w:top w:val="single" w:sz="12" w:space="0" w:color="000000"/>
            </w:tcBorders>
          </w:tcPr>
          <w:p>
            <w:pPr>
              <w:pStyle w:val="TableParagraph"/>
              <w:jc w:val="left"/>
              <w:rPr>
                <w:sz w:val="14"/>
              </w:rPr>
            </w:pPr>
          </w:p>
        </w:tc>
        <w:tc>
          <w:tcPr>
            <w:tcW w:w="795" w:type="dxa"/>
            <w:tcBorders>
              <w:top w:val="single" w:sz="12" w:space="0" w:color="000000"/>
            </w:tcBorders>
          </w:tcPr>
          <w:p>
            <w:pPr>
              <w:pStyle w:val="TableParagraph"/>
              <w:jc w:val="left"/>
              <w:rPr>
                <w:sz w:val="14"/>
              </w:rPr>
            </w:pPr>
          </w:p>
        </w:tc>
        <w:tc>
          <w:tcPr>
            <w:tcW w:w="569" w:type="dxa"/>
            <w:tcBorders>
              <w:top w:val="single" w:sz="12" w:space="0" w:color="000000"/>
            </w:tcBorders>
          </w:tcPr>
          <w:p>
            <w:pPr>
              <w:pStyle w:val="TableParagraph"/>
              <w:jc w:val="left"/>
              <w:rPr>
                <w:sz w:val="14"/>
              </w:rPr>
            </w:pPr>
          </w:p>
        </w:tc>
        <w:tc>
          <w:tcPr>
            <w:tcW w:w="578" w:type="dxa"/>
            <w:tcBorders>
              <w:top w:val="single" w:sz="12" w:space="0" w:color="000000"/>
            </w:tcBorders>
          </w:tcPr>
          <w:p>
            <w:pPr>
              <w:pStyle w:val="TableParagraph"/>
              <w:jc w:val="left"/>
              <w:rPr>
                <w:sz w:val="14"/>
              </w:rPr>
            </w:pPr>
          </w:p>
        </w:tc>
        <w:tc>
          <w:tcPr>
            <w:tcW w:w="565" w:type="dxa"/>
            <w:tcBorders>
              <w:top w:val="single" w:sz="12" w:space="0" w:color="000000"/>
            </w:tcBorders>
          </w:tcPr>
          <w:p>
            <w:pPr>
              <w:pStyle w:val="TableParagraph"/>
              <w:jc w:val="left"/>
              <w:rPr>
                <w:sz w:val="14"/>
              </w:rPr>
            </w:pPr>
          </w:p>
        </w:tc>
        <w:tc>
          <w:tcPr>
            <w:tcW w:w="813" w:type="dxa"/>
            <w:tcBorders>
              <w:top w:val="single" w:sz="12" w:space="0" w:color="000000"/>
            </w:tcBorders>
          </w:tcPr>
          <w:p>
            <w:pPr>
              <w:pStyle w:val="TableParagraph"/>
              <w:jc w:val="left"/>
              <w:rPr>
                <w:sz w:val="14"/>
              </w:rPr>
            </w:pPr>
          </w:p>
        </w:tc>
        <w:tc>
          <w:tcPr>
            <w:tcW w:w="525" w:type="dxa"/>
            <w:tcBorders>
              <w:top w:val="single" w:sz="12" w:space="0" w:color="000000"/>
            </w:tcBorders>
          </w:tcPr>
          <w:p>
            <w:pPr>
              <w:pStyle w:val="TableParagraph"/>
              <w:jc w:val="left"/>
              <w:rPr>
                <w:sz w:val="14"/>
              </w:rPr>
            </w:pPr>
          </w:p>
        </w:tc>
      </w:tr>
      <w:tr>
        <w:trPr>
          <w:trHeight w:val="205" w:hRule="atLeast"/>
        </w:trPr>
        <w:tc>
          <w:tcPr>
            <w:tcW w:w="1186" w:type="dxa"/>
            <w:tcBorders>
              <w:bottom w:val="single" w:sz="12" w:space="0" w:color="000000"/>
            </w:tcBorders>
          </w:tcPr>
          <w:p>
            <w:pPr>
              <w:pStyle w:val="TableParagraph"/>
              <w:spacing w:before="2"/>
              <w:ind w:left="67"/>
              <w:jc w:val="left"/>
              <w:rPr>
                <w:sz w:val="14"/>
              </w:rPr>
            </w:pPr>
            <w:r>
              <w:rPr>
                <w:w w:val="95"/>
                <w:sz w:val="14"/>
              </w:rPr>
              <w:t>Approved</w:t>
            </w:r>
            <w:r>
              <w:rPr>
                <w:spacing w:val="22"/>
                <w:sz w:val="14"/>
              </w:rPr>
              <w:t> </w:t>
            </w:r>
            <w:r>
              <w:rPr>
                <w:spacing w:val="-4"/>
                <w:sz w:val="14"/>
              </w:rPr>
              <w:t>2022</w:t>
            </w:r>
          </w:p>
        </w:tc>
        <w:tc>
          <w:tcPr>
            <w:tcW w:w="678" w:type="dxa"/>
            <w:tcBorders>
              <w:bottom w:val="single" w:sz="12" w:space="0" w:color="000000"/>
            </w:tcBorders>
          </w:tcPr>
          <w:p>
            <w:pPr>
              <w:pStyle w:val="TableParagraph"/>
              <w:spacing w:before="2"/>
              <w:ind w:right="154"/>
              <w:rPr>
                <w:sz w:val="14"/>
              </w:rPr>
            </w:pPr>
            <w:r>
              <w:rPr>
                <w:w w:val="99"/>
                <w:sz w:val="14"/>
              </w:rPr>
              <w:t>-</w:t>
            </w:r>
          </w:p>
        </w:tc>
        <w:tc>
          <w:tcPr>
            <w:tcW w:w="607" w:type="dxa"/>
            <w:tcBorders>
              <w:bottom w:val="single" w:sz="12" w:space="0" w:color="000000"/>
            </w:tcBorders>
          </w:tcPr>
          <w:p>
            <w:pPr>
              <w:pStyle w:val="TableParagraph"/>
              <w:spacing w:before="2"/>
              <w:ind w:right="170"/>
              <w:rPr>
                <w:sz w:val="14"/>
              </w:rPr>
            </w:pPr>
            <w:r>
              <w:rPr>
                <w:w w:val="99"/>
                <w:sz w:val="14"/>
              </w:rPr>
              <w:t>-</w:t>
            </w:r>
          </w:p>
        </w:tc>
        <w:tc>
          <w:tcPr>
            <w:tcW w:w="548" w:type="dxa"/>
            <w:tcBorders>
              <w:bottom w:val="single" w:sz="12" w:space="0" w:color="000000"/>
            </w:tcBorders>
          </w:tcPr>
          <w:p>
            <w:pPr>
              <w:pStyle w:val="TableParagraph"/>
              <w:spacing w:before="2"/>
              <w:ind w:right="156"/>
              <w:rPr>
                <w:sz w:val="14"/>
              </w:rPr>
            </w:pPr>
            <w:r>
              <w:rPr>
                <w:w w:val="99"/>
                <w:sz w:val="14"/>
              </w:rPr>
              <w:t>-</w:t>
            </w:r>
          </w:p>
        </w:tc>
        <w:tc>
          <w:tcPr>
            <w:tcW w:w="595" w:type="dxa"/>
            <w:tcBorders>
              <w:bottom w:val="single" w:sz="12" w:space="0" w:color="000000"/>
            </w:tcBorders>
          </w:tcPr>
          <w:p>
            <w:pPr>
              <w:pStyle w:val="TableParagraph"/>
              <w:spacing w:before="2"/>
              <w:ind w:right="190"/>
              <w:rPr>
                <w:sz w:val="14"/>
              </w:rPr>
            </w:pPr>
            <w:r>
              <w:rPr>
                <w:w w:val="99"/>
                <w:sz w:val="14"/>
              </w:rPr>
              <w:t>-</w:t>
            </w:r>
          </w:p>
        </w:tc>
        <w:tc>
          <w:tcPr>
            <w:tcW w:w="581" w:type="dxa"/>
            <w:tcBorders>
              <w:bottom w:val="single" w:sz="12" w:space="0" w:color="000000"/>
            </w:tcBorders>
          </w:tcPr>
          <w:p>
            <w:pPr>
              <w:pStyle w:val="TableParagraph"/>
              <w:spacing w:before="2"/>
              <w:ind w:left="150"/>
              <w:jc w:val="center"/>
              <w:rPr>
                <w:sz w:val="14"/>
              </w:rPr>
            </w:pPr>
            <w:r>
              <w:rPr>
                <w:w w:val="99"/>
                <w:sz w:val="14"/>
              </w:rPr>
              <w:t>-</w:t>
            </w:r>
          </w:p>
        </w:tc>
        <w:tc>
          <w:tcPr>
            <w:tcW w:w="566" w:type="dxa"/>
            <w:tcBorders>
              <w:bottom w:val="single" w:sz="12" w:space="0" w:color="000000"/>
            </w:tcBorders>
          </w:tcPr>
          <w:p>
            <w:pPr>
              <w:pStyle w:val="TableParagraph"/>
              <w:spacing w:before="2"/>
              <w:ind w:right="170"/>
              <w:rPr>
                <w:sz w:val="14"/>
              </w:rPr>
            </w:pPr>
            <w:r>
              <w:rPr>
                <w:w w:val="99"/>
                <w:sz w:val="14"/>
              </w:rPr>
              <w:t>-</w:t>
            </w:r>
          </w:p>
        </w:tc>
        <w:tc>
          <w:tcPr>
            <w:tcW w:w="633" w:type="dxa"/>
            <w:tcBorders>
              <w:bottom w:val="single" w:sz="12" w:space="0" w:color="000000"/>
            </w:tcBorders>
          </w:tcPr>
          <w:p>
            <w:pPr>
              <w:pStyle w:val="TableParagraph"/>
              <w:spacing w:before="2"/>
              <w:ind w:right="204"/>
              <w:rPr>
                <w:sz w:val="14"/>
              </w:rPr>
            </w:pPr>
            <w:r>
              <w:rPr>
                <w:spacing w:val="-4"/>
                <w:sz w:val="14"/>
              </w:rPr>
              <w:t>1.00</w:t>
            </w:r>
          </w:p>
        </w:tc>
        <w:tc>
          <w:tcPr>
            <w:tcW w:w="727" w:type="dxa"/>
            <w:tcBorders>
              <w:bottom w:val="single" w:sz="12" w:space="0" w:color="000000"/>
            </w:tcBorders>
          </w:tcPr>
          <w:p>
            <w:pPr>
              <w:pStyle w:val="TableParagraph"/>
              <w:spacing w:before="2"/>
              <w:ind w:right="191"/>
              <w:rPr>
                <w:sz w:val="14"/>
              </w:rPr>
            </w:pPr>
            <w:r>
              <w:rPr>
                <w:spacing w:val="-4"/>
                <w:sz w:val="14"/>
              </w:rPr>
              <w:t>9.67</w:t>
            </w:r>
          </w:p>
        </w:tc>
        <w:tc>
          <w:tcPr>
            <w:tcW w:w="464" w:type="dxa"/>
            <w:tcBorders>
              <w:bottom w:val="single" w:sz="12" w:space="0" w:color="000000"/>
            </w:tcBorders>
          </w:tcPr>
          <w:p>
            <w:pPr>
              <w:pStyle w:val="TableParagraph"/>
              <w:spacing w:before="2"/>
              <w:ind w:right="63"/>
              <w:rPr>
                <w:sz w:val="14"/>
              </w:rPr>
            </w:pPr>
            <w:r>
              <w:rPr>
                <w:w w:val="99"/>
                <w:sz w:val="14"/>
              </w:rPr>
              <w:t>-</w:t>
            </w:r>
          </w:p>
        </w:tc>
        <w:tc>
          <w:tcPr>
            <w:tcW w:w="795" w:type="dxa"/>
            <w:tcBorders>
              <w:bottom w:val="single" w:sz="12" w:space="0" w:color="000000"/>
            </w:tcBorders>
          </w:tcPr>
          <w:p>
            <w:pPr>
              <w:pStyle w:val="TableParagraph"/>
              <w:spacing w:before="2"/>
              <w:ind w:right="121"/>
              <w:rPr>
                <w:i/>
                <w:sz w:val="14"/>
              </w:rPr>
            </w:pPr>
            <w:r>
              <w:rPr>
                <w:i/>
                <w:spacing w:val="-2"/>
                <w:sz w:val="14"/>
              </w:rPr>
              <w:t>10.67</w:t>
            </w:r>
          </w:p>
        </w:tc>
        <w:tc>
          <w:tcPr>
            <w:tcW w:w="569" w:type="dxa"/>
            <w:tcBorders>
              <w:bottom w:val="single" w:sz="12" w:space="0" w:color="000000"/>
            </w:tcBorders>
          </w:tcPr>
          <w:p>
            <w:pPr>
              <w:pStyle w:val="TableParagraph"/>
              <w:spacing w:before="2"/>
              <w:ind w:right="97"/>
              <w:rPr>
                <w:sz w:val="14"/>
              </w:rPr>
            </w:pPr>
            <w:r>
              <w:rPr>
                <w:w w:val="99"/>
                <w:sz w:val="14"/>
              </w:rPr>
              <w:t>-</w:t>
            </w:r>
          </w:p>
        </w:tc>
        <w:tc>
          <w:tcPr>
            <w:tcW w:w="578" w:type="dxa"/>
            <w:tcBorders>
              <w:bottom w:val="single" w:sz="12" w:space="0" w:color="000000"/>
            </w:tcBorders>
          </w:tcPr>
          <w:p>
            <w:pPr>
              <w:pStyle w:val="TableParagraph"/>
              <w:spacing w:before="2"/>
              <w:ind w:right="84"/>
              <w:rPr>
                <w:sz w:val="14"/>
              </w:rPr>
            </w:pPr>
            <w:r>
              <w:rPr>
                <w:w w:val="99"/>
                <w:sz w:val="14"/>
              </w:rPr>
              <w:t>-</w:t>
            </w:r>
          </w:p>
        </w:tc>
        <w:tc>
          <w:tcPr>
            <w:tcW w:w="565" w:type="dxa"/>
            <w:tcBorders>
              <w:bottom w:val="single" w:sz="12" w:space="0" w:color="000000"/>
            </w:tcBorders>
          </w:tcPr>
          <w:p>
            <w:pPr>
              <w:pStyle w:val="TableParagraph"/>
              <w:spacing w:before="2"/>
              <w:ind w:right="55"/>
              <w:rPr>
                <w:sz w:val="14"/>
              </w:rPr>
            </w:pPr>
            <w:r>
              <w:rPr>
                <w:spacing w:val="-4"/>
                <w:sz w:val="14"/>
              </w:rPr>
              <w:t>3.50</w:t>
            </w:r>
          </w:p>
        </w:tc>
        <w:tc>
          <w:tcPr>
            <w:tcW w:w="813" w:type="dxa"/>
            <w:tcBorders>
              <w:bottom w:val="single" w:sz="12" w:space="0" w:color="000000"/>
            </w:tcBorders>
          </w:tcPr>
          <w:p>
            <w:pPr>
              <w:pStyle w:val="TableParagraph"/>
              <w:spacing w:before="2"/>
              <w:ind w:right="129"/>
              <w:rPr>
                <w:i/>
                <w:sz w:val="14"/>
              </w:rPr>
            </w:pPr>
            <w:r>
              <w:rPr>
                <w:i/>
                <w:spacing w:val="-4"/>
                <w:sz w:val="14"/>
              </w:rPr>
              <w:t>3.50</w:t>
            </w:r>
          </w:p>
        </w:tc>
        <w:tc>
          <w:tcPr>
            <w:tcW w:w="525" w:type="dxa"/>
            <w:tcBorders>
              <w:bottom w:val="single" w:sz="12" w:space="0" w:color="000000"/>
            </w:tcBorders>
          </w:tcPr>
          <w:p>
            <w:pPr>
              <w:pStyle w:val="TableParagraph"/>
              <w:spacing w:before="2"/>
              <w:ind w:right="54"/>
              <w:rPr>
                <w:b/>
                <w:sz w:val="14"/>
              </w:rPr>
            </w:pPr>
            <w:r>
              <w:rPr>
                <w:b/>
                <w:spacing w:val="-2"/>
                <w:sz w:val="14"/>
              </w:rPr>
              <w:t>14.17</w:t>
            </w:r>
          </w:p>
        </w:tc>
      </w:tr>
      <w:tr>
        <w:trPr>
          <w:trHeight w:val="229" w:hRule="atLeast"/>
        </w:trPr>
        <w:tc>
          <w:tcPr>
            <w:tcW w:w="1186" w:type="dxa"/>
            <w:tcBorders>
              <w:top w:val="single" w:sz="12" w:space="0" w:color="000000"/>
              <w:bottom w:val="single" w:sz="4" w:space="0" w:color="000000"/>
            </w:tcBorders>
          </w:tcPr>
          <w:p>
            <w:pPr>
              <w:pStyle w:val="TableParagraph"/>
              <w:spacing w:before="27"/>
              <w:ind w:left="67"/>
              <w:jc w:val="left"/>
              <w:rPr>
                <w:sz w:val="14"/>
              </w:rPr>
            </w:pPr>
            <w:r>
              <w:rPr>
                <w:spacing w:val="-2"/>
                <w:sz w:val="14"/>
              </w:rPr>
              <w:t>Continued</w:t>
            </w:r>
          </w:p>
        </w:tc>
        <w:tc>
          <w:tcPr>
            <w:tcW w:w="678" w:type="dxa"/>
            <w:tcBorders>
              <w:top w:val="single" w:sz="12" w:space="0" w:color="000000"/>
              <w:bottom w:val="single" w:sz="4" w:space="0" w:color="000000"/>
            </w:tcBorders>
          </w:tcPr>
          <w:p>
            <w:pPr>
              <w:pStyle w:val="TableParagraph"/>
              <w:spacing w:before="27"/>
              <w:ind w:right="154"/>
              <w:rPr>
                <w:sz w:val="14"/>
              </w:rPr>
            </w:pPr>
            <w:r>
              <w:rPr>
                <w:w w:val="99"/>
                <w:sz w:val="14"/>
              </w:rPr>
              <w:t>-</w:t>
            </w:r>
          </w:p>
        </w:tc>
        <w:tc>
          <w:tcPr>
            <w:tcW w:w="607" w:type="dxa"/>
            <w:tcBorders>
              <w:top w:val="single" w:sz="12" w:space="0" w:color="000000"/>
              <w:bottom w:val="single" w:sz="4" w:space="0" w:color="000000"/>
            </w:tcBorders>
          </w:tcPr>
          <w:p>
            <w:pPr>
              <w:pStyle w:val="TableParagraph"/>
              <w:spacing w:before="27"/>
              <w:ind w:right="170"/>
              <w:rPr>
                <w:sz w:val="14"/>
              </w:rPr>
            </w:pPr>
            <w:r>
              <w:rPr>
                <w:w w:val="99"/>
                <w:sz w:val="14"/>
              </w:rPr>
              <w:t>-</w:t>
            </w:r>
          </w:p>
        </w:tc>
        <w:tc>
          <w:tcPr>
            <w:tcW w:w="548" w:type="dxa"/>
            <w:tcBorders>
              <w:top w:val="single" w:sz="12" w:space="0" w:color="000000"/>
              <w:bottom w:val="single" w:sz="4" w:space="0" w:color="000000"/>
            </w:tcBorders>
          </w:tcPr>
          <w:p>
            <w:pPr>
              <w:pStyle w:val="TableParagraph"/>
              <w:spacing w:before="27"/>
              <w:ind w:right="156"/>
              <w:rPr>
                <w:sz w:val="14"/>
              </w:rPr>
            </w:pPr>
            <w:r>
              <w:rPr>
                <w:w w:val="99"/>
                <w:sz w:val="14"/>
              </w:rPr>
              <w:t>-</w:t>
            </w:r>
          </w:p>
        </w:tc>
        <w:tc>
          <w:tcPr>
            <w:tcW w:w="595" w:type="dxa"/>
            <w:tcBorders>
              <w:top w:val="single" w:sz="12" w:space="0" w:color="000000"/>
              <w:bottom w:val="single" w:sz="4" w:space="0" w:color="000000"/>
            </w:tcBorders>
          </w:tcPr>
          <w:p>
            <w:pPr>
              <w:pStyle w:val="TableParagraph"/>
              <w:spacing w:before="27"/>
              <w:ind w:right="190"/>
              <w:rPr>
                <w:sz w:val="14"/>
              </w:rPr>
            </w:pPr>
            <w:r>
              <w:rPr>
                <w:w w:val="99"/>
                <w:sz w:val="14"/>
              </w:rPr>
              <w:t>-</w:t>
            </w:r>
          </w:p>
        </w:tc>
        <w:tc>
          <w:tcPr>
            <w:tcW w:w="581" w:type="dxa"/>
            <w:tcBorders>
              <w:top w:val="single" w:sz="12" w:space="0" w:color="000000"/>
              <w:bottom w:val="single" w:sz="4" w:space="0" w:color="000000"/>
            </w:tcBorders>
          </w:tcPr>
          <w:p>
            <w:pPr>
              <w:pStyle w:val="TableParagraph"/>
              <w:spacing w:before="27"/>
              <w:ind w:left="150"/>
              <w:jc w:val="center"/>
              <w:rPr>
                <w:sz w:val="14"/>
              </w:rPr>
            </w:pPr>
            <w:r>
              <w:rPr>
                <w:w w:val="99"/>
                <w:sz w:val="14"/>
              </w:rPr>
              <w:t>-</w:t>
            </w:r>
          </w:p>
        </w:tc>
        <w:tc>
          <w:tcPr>
            <w:tcW w:w="566" w:type="dxa"/>
            <w:tcBorders>
              <w:top w:val="single" w:sz="12" w:space="0" w:color="000000"/>
              <w:bottom w:val="single" w:sz="4" w:space="0" w:color="000000"/>
            </w:tcBorders>
          </w:tcPr>
          <w:p>
            <w:pPr>
              <w:pStyle w:val="TableParagraph"/>
              <w:spacing w:before="27"/>
              <w:ind w:right="170"/>
              <w:rPr>
                <w:sz w:val="14"/>
              </w:rPr>
            </w:pPr>
            <w:r>
              <w:rPr>
                <w:w w:val="99"/>
                <w:sz w:val="14"/>
              </w:rPr>
              <w:t>-</w:t>
            </w:r>
          </w:p>
        </w:tc>
        <w:tc>
          <w:tcPr>
            <w:tcW w:w="633" w:type="dxa"/>
            <w:tcBorders>
              <w:top w:val="single" w:sz="12" w:space="0" w:color="000000"/>
              <w:bottom w:val="single" w:sz="4" w:space="0" w:color="000000"/>
            </w:tcBorders>
          </w:tcPr>
          <w:p>
            <w:pPr>
              <w:pStyle w:val="TableParagraph"/>
              <w:spacing w:before="27"/>
              <w:ind w:right="204"/>
              <w:rPr>
                <w:sz w:val="14"/>
              </w:rPr>
            </w:pPr>
            <w:r>
              <w:rPr>
                <w:spacing w:val="-4"/>
                <w:sz w:val="14"/>
              </w:rPr>
              <w:t>1.00</w:t>
            </w:r>
          </w:p>
        </w:tc>
        <w:tc>
          <w:tcPr>
            <w:tcW w:w="727" w:type="dxa"/>
            <w:tcBorders>
              <w:top w:val="single" w:sz="12" w:space="0" w:color="000000"/>
              <w:bottom w:val="single" w:sz="4" w:space="0" w:color="000000"/>
            </w:tcBorders>
          </w:tcPr>
          <w:p>
            <w:pPr>
              <w:pStyle w:val="TableParagraph"/>
              <w:spacing w:before="27"/>
              <w:ind w:right="192"/>
              <w:rPr>
                <w:sz w:val="14"/>
              </w:rPr>
            </w:pPr>
            <w:r>
              <w:rPr>
                <w:spacing w:val="-2"/>
                <w:sz w:val="14"/>
              </w:rPr>
              <w:t>11.00</w:t>
            </w:r>
          </w:p>
        </w:tc>
        <w:tc>
          <w:tcPr>
            <w:tcW w:w="464" w:type="dxa"/>
            <w:tcBorders>
              <w:top w:val="single" w:sz="12" w:space="0" w:color="000000"/>
              <w:bottom w:val="single" w:sz="4" w:space="0" w:color="000000"/>
            </w:tcBorders>
          </w:tcPr>
          <w:p>
            <w:pPr>
              <w:pStyle w:val="TableParagraph"/>
              <w:spacing w:before="27"/>
              <w:ind w:right="63"/>
              <w:rPr>
                <w:sz w:val="14"/>
              </w:rPr>
            </w:pPr>
            <w:r>
              <w:rPr>
                <w:w w:val="99"/>
                <w:sz w:val="14"/>
              </w:rPr>
              <w:t>-</w:t>
            </w:r>
          </w:p>
        </w:tc>
        <w:tc>
          <w:tcPr>
            <w:tcW w:w="795" w:type="dxa"/>
            <w:tcBorders>
              <w:top w:val="single" w:sz="12" w:space="0" w:color="000000"/>
              <w:bottom w:val="single" w:sz="4" w:space="0" w:color="000000"/>
            </w:tcBorders>
          </w:tcPr>
          <w:p>
            <w:pPr>
              <w:pStyle w:val="TableParagraph"/>
              <w:spacing w:before="27"/>
              <w:ind w:right="121"/>
              <w:rPr>
                <w:i/>
                <w:sz w:val="14"/>
              </w:rPr>
            </w:pPr>
            <w:r>
              <w:rPr>
                <w:i/>
                <w:spacing w:val="-2"/>
                <w:sz w:val="14"/>
              </w:rPr>
              <w:t>12.00</w:t>
            </w:r>
          </w:p>
        </w:tc>
        <w:tc>
          <w:tcPr>
            <w:tcW w:w="569" w:type="dxa"/>
            <w:tcBorders>
              <w:top w:val="single" w:sz="12" w:space="0" w:color="000000"/>
              <w:bottom w:val="single" w:sz="4" w:space="0" w:color="000000"/>
            </w:tcBorders>
          </w:tcPr>
          <w:p>
            <w:pPr>
              <w:pStyle w:val="TableParagraph"/>
              <w:spacing w:before="27"/>
              <w:ind w:right="97"/>
              <w:rPr>
                <w:sz w:val="14"/>
              </w:rPr>
            </w:pPr>
            <w:r>
              <w:rPr>
                <w:w w:val="99"/>
                <w:sz w:val="14"/>
              </w:rPr>
              <w:t>-</w:t>
            </w:r>
          </w:p>
        </w:tc>
        <w:tc>
          <w:tcPr>
            <w:tcW w:w="578" w:type="dxa"/>
            <w:tcBorders>
              <w:top w:val="single" w:sz="12" w:space="0" w:color="000000"/>
              <w:bottom w:val="single" w:sz="4" w:space="0" w:color="000000"/>
            </w:tcBorders>
          </w:tcPr>
          <w:p>
            <w:pPr>
              <w:pStyle w:val="TableParagraph"/>
              <w:spacing w:before="27"/>
              <w:ind w:right="84"/>
              <w:rPr>
                <w:sz w:val="14"/>
              </w:rPr>
            </w:pPr>
            <w:r>
              <w:rPr>
                <w:w w:val="99"/>
                <w:sz w:val="14"/>
              </w:rPr>
              <w:t>-</w:t>
            </w:r>
          </w:p>
        </w:tc>
        <w:tc>
          <w:tcPr>
            <w:tcW w:w="565" w:type="dxa"/>
            <w:tcBorders>
              <w:top w:val="single" w:sz="12" w:space="0" w:color="000000"/>
              <w:bottom w:val="single" w:sz="4" w:space="0" w:color="000000"/>
            </w:tcBorders>
          </w:tcPr>
          <w:p>
            <w:pPr>
              <w:pStyle w:val="TableParagraph"/>
              <w:spacing w:before="27"/>
              <w:ind w:right="55"/>
              <w:rPr>
                <w:sz w:val="14"/>
              </w:rPr>
            </w:pPr>
            <w:r>
              <w:rPr>
                <w:spacing w:val="-4"/>
                <w:sz w:val="14"/>
              </w:rPr>
              <w:t>4.00</w:t>
            </w:r>
          </w:p>
        </w:tc>
        <w:tc>
          <w:tcPr>
            <w:tcW w:w="813" w:type="dxa"/>
            <w:tcBorders>
              <w:top w:val="single" w:sz="12" w:space="0" w:color="000000"/>
              <w:bottom w:val="single" w:sz="4" w:space="0" w:color="000000"/>
            </w:tcBorders>
          </w:tcPr>
          <w:p>
            <w:pPr>
              <w:pStyle w:val="TableParagraph"/>
              <w:spacing w:before="27"/>
              <w:ind w:right="129"/>
              <w:rPr>
                <w:i/>
                <w:sz w:val="14"/>
              </w:rPr>
            </w:pPr>
            <w:r>
              <w:rPr>
                <w:i/>
                <w:spacing w:val="-4"/>
                <w:sz w:val="14"/>
              </w:rPr>
              <w:t>4.00</w:t>
            </w:r>
          </w:p>
        </w:tc>
        <w:tc>
          <w:tcPr>
            <w:tcW w:w="525" w:type="dxa"/>
            <w:tcBorders>
              <w:top w:val="single" w:sz="12" w:space="0" w:color="000000"/>
              <w:bottom w:val="single" w:sz="4" w:space="0" w:color="000000"/>
            </w:tcBorders>
          </w:tcPr>
          <w:p>
            <w:pPr>
              <w:pStyle w:val="TableParagraph"/>
              <w:spacing w:before="27"/>
              <w:ind w:right="54"/>
              <w:rPr>
                <w:b/>
                <w:sz w:val="14"/>
              </w:rPr>
            </w:pPr>
            <w:r>
              <w:rPr>
                <w:b/>
                <w:spacing w:val="-2"/>
                <w:sz w:val="14"/>
              </w:rPr>
              <w:t>16.00</w:t>
            </w:r>
          </w:p>
        </w:tc>
      </w:tr>
      <w:tr>
        <w:trPr>
          <w:trHeight w:val="225" w:hRule="atLeast"/>
        </w:trPr>
        <w:tc>
          <w:tcPr>
            <w:tcW w:w="1186" w:type="dxa"/>
            <w:tcBorders>
              <w:top w:val="single" w:sz="4" w:space="0" w:color="000000"/>
              <w:bottom w:val="single" w:sz="4" w:space="0" w:color="000000"/>
            </w:tcBorders>
          </w:tcPr>
          <w:p>
            <w:pPr>
              <w:pStyle w:val="TableParagraph"/>
              <w:spacing w:before="22"/>
              <w:ind w:left="67"/>
              <w:jc w:val="left"/>
              <w:rPr>
                <w:sz w:val="14"/>
              </w:rPr>
            </w:pPr>
            <w:r>
              <w:rPr>
                <w:spacing w:val="-5"/>
                <w:sz w:val="14"/>
              </w:rPr>
              <w:t>New</w:t>
            </w:r>
          </w:p>
        </w:tc>
        <w:tc>
          <w:tcPr>
            <w:tcW w:w="678" w:type="dxa"/>
            <w:tcBorders>
              <w:top w:val="single" w:sz="4" w:space="0" w:color="000000"/>
              <w:bottom w:val="single" w:sz="4" w:space="0" w:color="000000"/>
            </w:tcBorders>
          </w:tcPr>
          <w:p>
            <w:pPr>
              <w:pStyle w:val="TableParagraph"/>
              <w:spacing w:before="22"/>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2"/>
              <w:ind w:right="170"/>
              <w:rPr>
                <w:sz w:val="14"/>
              </w:rPr>
            </w:pPr>
            <w:r>
              <w:rPr>
                <w:w w:val="99"/>
                <w:sz w:val="14"/>
              </w:rPr>
              <w:t>-</w:t>
            </w:r>
          </w:p>
        </w:tc>
        <w:tc>
          <w:tcPr>
            <w:tcW w:w="548" w:type="dxa"/>
            <w:tcBorders>
              <w:top w:val="single" w:sz="4" w:space="0" w:color="000000"/>
              <w:bottom w:val="single" w:sz="4" w:space="0" w:color="000000"/>
            </w:tcBorders>
          </w:tcPr>
          <w:p>
            <w:pPr>
              <w:pStyle w:val="TableParagraph"/>
              <w:spacing w:before="22"/>
              <w:ind w:right="156"/>
              <w:rPr>
                <w:sz w:val="14"/>
              </w:rPr>
            </w:pPr>
            <w:r>
              <w:rPr>
                <w:w w:val="99"/>
                <w:sz w:val="14"/>
              </w:rPr>
              <w:t>-</w:t>
            </w:r>
          </w:p>
        </w:tc>
        <w:tc>
          <w:tcPr>
            <w:tcW w:w="595" w:type="dxa"/>
            <w:tcBorders>
              <w:top w:val="single" w:sz="4" w:space="0" w:color="000000"/>
              <w:bottom w:val="single" w:sz="4" w:space="0" w:color="000000"/>
            </w:tcBorders>
          </w:tcPr>
          <w:p>
            <w:pPr>
              <w:pStyle w:val="TableParagraph"/>
              <w:spacing w:before="22"/>
              <w:ind w:right="186"/>
              <w:rPr>
                <w:sz w:val="14"/>
              </w:rPr>
            </w:pPr>
            <w:r>
              <w:rPr>
                <w:spacing w:val="-4"/>
                <w:sz w:val="14"/>
              </w:rPr>
              <w:t>0.50</w:t>
            </w:r>
          </w:p>
        </w:tc>
        <w:tc>
          <w:tcPr>
            <w:tcW w:w="581" w:type="dxa"/>
            <w:tcBorders>
              <w:top w:val="single" w:sz="4" w:space="0" w:color="000000"/>
              <w:bottom w:val="single" w:sz="4" w:space="0" w:color="000000"/>
            </w:tcBorders>
          </w:tcPr>
          <w:p>
            <w:pPr>
              <w:pStyle w:val="TableParagraph"/>
              <w:spacing w:before="22"/>
              <w:ind w:left="150"/>
              <w:jc w:val="center"/>
              <w:rPr>
                <w:sz w:val="14"/>
              </w:rPr>
            </w:pPr>
            <w:r>
              <w:rPr>
                <w:w w:val="99"/>
                <w:sz w:val="14"/>
              </w:rPr>
              <w:t>-</w:t>
            </w:r>
          </w:p>
        </w:tc>
        <w:tc>
          <w:tcPr>
            <w:tcW w:w="566" w:type="dxa"/>
            <w:tcBorders>
              <w:top w:val="single" w:sz="4" w:space="0" w:color="000000"/>
              <w:bottom w:val="single" w:sz="4" w:space="0" w:color="000000"/>
            </w:tcBorders>
          </w:tcPr>
          <w:p>
            <w:pPr>
              <w:pStyle w:val="TableParagraph"/>
              <w:spacing w:before="22"/>
              <w:ind w:right="170"/>
              <w:rPr>
                <w:sz w:val="14"/>
              </w:rPr>
            </w:pPr>
            <w:r>
              <w:rPr>
                <w:w w:val="99"/>
                <w:sz w:val="14"/>
              </w:rPr>
              <w:t>-</w:t>
            </w:r>
          </w:p>
        </w:tc>
        <w:tc>
          <w:tcPr>
            <w:tcW w:w="633" w:type="dxa"/>
            <w:tcBorders>
              <w:top w:val="single" w:sz="4" w:space="0" w:color="000000"/>
              <w:bottom w:val="single" w:sz="4" w:space="0" w:color="000000"/>
            </w:tcBorders>
          </w:tcPr>
          <w:p>
            <w:pPr>
              <w:pStyle w:val="TableParagraph"/>
              <w:spacing w:before="22"/>
              <w:ind w:right="207"/>
              <w:rPr>
                <w:sz w:val="14"/>
              </w:rPr>
            </w:pPr>
            <w:r>
              <w:rPr>
                <w:w w:val="99"/>
                <w:sz w:val="14"/>
              </w:rPr>
              <w:t>-</w:t>
            </w:r>
          </w:p>
        </w:tc>
        <w:tc>
          <w:tcPr>
            <w:tcW w:w="727" w:type="dxa"/>
            <w:tcBorders>
              <w:top w:val="single" w:sz="4" w:space="0" w:color="000000"/>
              <w:bottom w:val="single" w:sz="4" w:space="0" w:color="000000"/>
            </w:tcBorders>
          </w:tcPr>
          <w:p>
            <w:pPr>
              <w:pStyle w:val="TableParagraph"/>
              <w:spacing w:before="22"/>
              <w:ind w:right="191"/>
              <w:rPr>
                <w:sz w:val="14"/>
              </w:rPr>
            </w:pPr>
            <w:r>
              <w:rPr>
                <w:spacing w:val="-4"/>
                <w:sz w:val="14"/>
              </w:rPr>
              <w:t>0.75</w:t>
            </w:r>
          </w:p>
        </w:tc>
        <w:tc>
          <w:tcPr>
            <w:tcW w:w="464" w:type="dxa"/>
            <w:tcBorders>
              <w:top w:val="single" w:sz="4" w:space="0" w:color="000000"/>
              <w:bottom w:val="single" w:sz="4" w:space="0" w:color="000000"/>
            </w:tcBorders>
          </w:tcPr>
          <w:p>
            <w:pPr>
              <w:pStyle w:val="TableParagraph"/>
              <w:spacing w:before="22"/>
              <w:ind w:right="63"/>
              <w:rPr>
                <w:sz w:val="14"/>
              </w:rPr>
            </w:pPr>
            <w:r>
              <w:rPr>
                <w:w w:val="99"/>
                <w:sz w:val="14"/>
              </w:rPr>
              <w:t>-</w:t>
            </w:r>
          </w:p>
        </w:tc>
        <w:tc>
          <w:tcPr>
            <w:tcW w:w="795" w:type="dxa"/>
            <w:tcBorders>
              <w:top w:val="single" w:sz="4" w:space="0" w:color="000000"/>
              <w:bottom w:val="single" w:sz="4" w:space="0" w:color="000000"/>
            </w:tcBorders>
          </w:tcPr>
          <w:p>
            <w:pPr>
              <w:pStyle w:val="TableParagraph"/>
              <w:spacing w:before="22"/>
              <w:ind w:right="120"/>
              <w:rPr>
                <w:i/>
                <w:sz w:val="14"/>
              </w:rPr>
            </w:pPr>
            <w:r>
              <w:rPr>
                <w:i/>
                <w:spacing w:val="-4"/>
                <w:sz w:val="14"/>
              </w:rPr>
              <w:t>1.25</w:t>
            </w:r>
          </w:p>
        </w:tc>
        <w:tc>
          <w:tcPr>
            <w:tcW w:w="569" w:type="dxa"/>
            <w:tcBorders>
              <w:top w:val="single" w:sz="4" w:space="0" w:color="000000"/>
              <w:bottom w:val="single" w:sz="4" w:space="0" w:color="000000"/>
            </w:tcBorders>
          </w:tcPr>
          <w:p>
            <w:pPr>
              <w:pStyle w:val="TableParagraph"/>
              <w:spacing w:before="22"/>
              <w:ind w:right="97"/>
              <w:rPr>
                <w:sz w:val="14"/>
              </w:rPr>
            </w:pPr>
            <w:r>
              <w:rPr>
                <w:w w:val="99"/>
                <w:sz w:val="14"/>
              </w:rPr>
              <w:t>-</w:t>
            </w:r>
          </w:p>
        </w:tc>
        <w:tc>
          <w:tcPr>
            <w:tcW w:w="578" w:type="dxa"/>
            <w:tcBorders>
              <w:top w:val="single" w:sz="4" w:space="0" w:color="000000"/>
              <w:bottom w:val="single" w:sz="4" w:space="0" w:color="000000"/>
            </w:tcBorders>
          </w:tcPr>
          <w:p>
            <w:pPr>
              <w:pStyle w:val="TableParagraph"/>
              <w:spacing w:before="22"/>
              <w:ind w:right="84"/>
              <w:rPr>
                <w:sz w:val="14"/>
              </w:rPr>
            </w:pPr>
            <w:r>
              <w:rPr>
                <w:w w:val="99"/>
                <w:sz w:val="14"/>
              </w:rPr>
              <w:t>-</w:t>
            </w:r>
          </w:p>
        </w:tc>
        <w:tc>
          <w:tcPr>
            <w:tcW w:w="565" w:type="dxa"/>
            <w:tcBorders>
              <w:top w:val="single" w:sz="4" w:space="0" w:color="000000"/>
              <w:bottom w:val="single" w:sz="4" w:space="0" w:color="000000"/>
            </w:tcBorders>
          </w:tcPr>
          <w:p>
            <w:pPr>
              <w:pStyle w:val="TableParagraph"/>
              <w:spacing w:before="22"/>
              <w:ind w:right="55"/>
              <w:rPr>
                <w:sz w:val="14"/>
              </w:rPr>
            </w:pPr>
            <w:r>
              <w:rPr>
                <w:spacing w:val="-4"/>
                <w:sz w:val="14"/>
              </w:rPr>
              <w:t>0.75</w:t>
            </w:r>
          </w:p>
        </w:tc>
        <w:tc>
          <w:tcPr>
            <w:tcW w:w="813" w:type="dxa"/>
            <w:tcBorders>
              <w:top w:val="single" w:sz="4" w:space="0" w:color="000000"/>
              <w:bottom w:val="single" w:sz="4" w:space="0" w:color="000000"/>
            </w:tcBorders>
          </w:tcPr>
          <w:p>
            <w:pPr>
              <w:pStyle w:val="TableParagraph"/>
              <w:spacing w:before="22"/>
              <w:ind w:right="129"/>
              <w:rPr>
                <w:i/>
                <w:sz w:val="14"/>
              </w:rPr>
            </w:pPr>
            <w:r>
              <w:rPr>
                <w:i/>
                <w:spacing w:val="-4"/>
                <w:sz w:val="14"/>
              </w:rPr>
              <w:t>0.75</w:t>
            </w:r>
          </w:p>
        </w:tc>
        <w:tc>
          <w:tcPr>
            <w:tcW w:w="525" w:type="dxa"/>
            <w:tcBorders>
              <w:top w:val="single" w:sz="4" w:space="0" w:color="000000"/>
              <w:bottom w:val="single" w:sz="4" w:space="0" w:color="000000"/>
            </w:tcBorders>
          </w:tcPr>
          <w:p>
            <w:pPr>
              <w:pStyle w:val="TableParagraph"/>
              <w:spacing w:before="22"/>
              <w:ind w:right="54"/>
              <w:rPr>
                <w:b/>
                <w:sz w:val="14"/>
              </w:rPr>
            </w:pPr>
            <w:r>
              <w:rPr>
                <w:b/>
                <w:spacing w:val="-4"/>
                <w:sz w:val="14"/>
              </w:rPr>
              <w:t>2.00</w:t>
            </w:r>
          </w:p>
        </w:tc>
      </w:tr>
      <w:tr>
        <w:trPr>
          <w:trHeight w:val="225" w:hRule="atLeast"/>
        </w:trPr>
        <w:tc>
          <w:tcPr>
            <w:tcW w:w="1186" w:type="dxa"/>
            <w:tcBorders>
              <w:top w:val="single" w:sz="4" w:space="0" w:color="000000"/>
              <w:bottom w:val="single" w:sz="4" w:space="0" w:color="000000"/>
            </w:tcBorders>
          </w:tcPr>
          <w:p>
            <w:pPr>
              <w:pStyle w:val="TableParagraph"/>
              <w:spacing w:before="27"/>
              <w:ind w:left="67"/>
              <w:jc w:val="left"/>
              <w:rPr>
                <w:sz w:val="14"/>
              </w:rPr>
            </w:pPr>
            <w:r>
              <w:rPr>
                <w:spacing w:val="-2"/>
                <w:sz w:val="14"/>
              </w:rPr>
              <w:t>Redeployed</w:t>
            </w:r>
          </w:p>
        </w:tc>
        <w:tc>
          <w:tcPr>
            <w:tcW w:w="678" w:type="dxa"/>
            <w:tcBorders>
              <w:top w:val="single" w:sz="4" w:space="0" w:color="000000"/>
              <w:bottom w:val="single" w:sz="4" w:space="0" w:color="000000"/>
            </w:tcBorders>
          </w:tcPr>
          <w:p>
            <w:pPr>
              <w:pStyle w:val="TableParagraph"/>
              <w:spacing w:before="27"/>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7"/>
              <w:ind w:right="170"/>
              <w:rPr>
                <w:sz w:val="14"/>
              </w:rPr>
            </w:pPr>
            <w:r>
              <w:rPr>
                <w:w w:val="99"/>
                <w:sz w:val="14"/>
              </w:rPr>
              <w:t>-</w:t>
            </w:r>
          </w:p>
        </w:tc>
        <w:tc>
          <w:tcPr>
            <w:tcW w:w="548" w:type="dxa"/>
            <w:tcBorders>
              <w:top w:val="single" w:sz="4" w:space="0" w:color="000000"/>
              <w:bottom w:val="single" w:sz="4" w:space="0" w:color="000000"/>
            </w:tcBorders>
          </w:tcPr>
          <w:p>
            <w:pPr>
              <w:pStyle w:val="TableParagraph"/>
              <w:spacing w:before="27"/>
              <w:ind w:right="156"/>
              <w:rPr>
                <w:sz w:val="14"/>
              </w:rPr>
            </w:pPr>
            <w:r>
              <w:rPr>
                <w:w w:val="99"/>
                <w:sz w:val="14"/>
              </w:rPr>
              <w:t>-</w:t>
            </w:r>
          </w:p>
        </w:tc>
        <w:tc>
          <w:tcPr>
            <w:tcW w:w="595" w:type="dxa"/>
            <w:tcBorders>
              <w:top w:val="single" w:sz="4" w:space="0" w:color="000000"/>
              <w:bottom w:val="single" w:sz="4" w:space="0" w:color="000000"/>
            </w:tcBorders>
          </w:tcPr>
          <w:p>
            <w:pPr>
              <w:pStyle w:val="TableParagraph"/>
              <w:spacing w:before="27"/>
              <w:ind w:right="190"/>
              <w:rPr>
                <w:sz w:val="14"/>
              </w:rPr>
            </w:pPr>
            <w:r>
              <w:rPr>
                <w:w w:val="99"/>
                <w:sz w:val="14"/>
              </w:rPr>
              <w:t>-</w:t>
            </w:r>
          </w:p>
        </w:tc>
        <w:tc>
          <w:tcPr>
            <w:tcW w:w="581" w:type="dxa"/>
            <w:tcBorders>
              <w:top w:val="single" w:sz="4" w:space="0" w:color="000000"/>
              <w:bottom w:val="single" w:sz="4" w:space="0" w:color="000000"/>
            </w:tcBorders>
          </w:tcPr>
          <w:p>
            <w:pPr>
              <w:pStyle w:val="TableParagraph"/>
              <w:spacing w:before="27"/>
              <w:ind w:left="150"/>
              <w:jc w:val="center"/>
              <w:rPr>
                <w:sz w:val="14"/>
              </w:rPr>
            </w:pPr>
            <w:r>
              <w:rPr>
                <w:w w:val="99"/>
                <w:sz w:val="14"/>
              </w:rPr>
              <w:t>-</w:t>
            </w:r>
          </w:p>
        </w:tc>
        <w:tc>
          <w:tcPr>
            <w:tcW w:w="566" w:type="dxa"/>
            <w:tcBorders>
              <w:top w:val="single" w:sz="4" w:space="0" w:color="000000"/>
              <w:bottom w:val="single" w:sz="4" w:space="0" w:color="000000"/>
            </w:tcBorders>
          </w:tcPr>
          <w:p>
            <w:pPr>
              <w:pStyle w:val="TableParagraph"/>
              <w:spacing w:before="27"/>
              <w:ind w:right="170"/>
              <w:rPr>
                <w:sz w:val="14"/>
              </w:rPr>
            </w:pPr>
            <w:r>
              <w:rPr>
                <w:w w:val="99"/>
                <w:sz w:val="14"/>
              </w:rPr>
              <w:t>-</w:t>
            </w:r>
          </w:p>
        </w:tc>
        <w:tc>
          <w:tcPr>
            <w:tcW w:w="633" w:type="dxa"/>
            <w:tcBorders>
              <w:top w:val="single" w:sz="4" w:space="0" w:color="000000"/>
              <w:bottom w:val="single" w:sz="4" w:space="0" w:color="000000"/>
            </w:tcBorders>
          </w:tcPr>
          <w:p>
            <w:pPr>
              <w:pStyle w:val="TableParagraph"/>
              <w:spacing w:before="27"/>
              <w:ind w:right="207"/>
              <w:rPr>
                <w:sz w:val="14"/>
              </w:rPr>
            </w:pPr>
            <w:r>
              <w:rPr>
                <w:w w:val="99"/>
                <w:sz w:val="14"/>
              </w:rPr>
              <w:t>-</w:t>
            </w:r>
          </w:p>
        </w:tc>
        <w:tc>
          <w:tcPr>
            <w:tcW w:w="727" w:type="dxa"/>
            <w:tcBorders>
              <w:top w:val="single" w:sz="4" w:space="0" w:color="000000"/>
              <w:bottom w:val="single" w:sz="4" w:space="0" w:color="000000"/>
            </w:tcBorders>
          </w:tcPr>
          <w:p>
            <w:pPr>
              <w:pStyle w:val="TableParagraph"/>
              <w:spacing w:before="27"/>
              <w:ind w:right="195"/>
              <w:rPr>
                <w:sz w:val="14"/>
              </w:rPr>
            </w:pPr>
            <w:r>
              <w:rPr>
                <w:w w:val="99"/>
                <w:sz w:val="14"/>
              </w:rPr>
              <w:t>-</w:t>
            </w:r>
          </w:p>
        </w:tc>
        <w:tc>
          <w:tcPr>
            <w:tcW w:w="464" w:type="dxa"/>
            <w:tcBorders>
              <w:top w:val="single" w:sz="4" w:space="0" w:color="000000"/>
              <w:bottom w:val="single" w:sz="4" w:space="0" w:color="000000"/>
            </w:tcBorders>
          </w:tcPr>
          <w:p>
            <w:pPr>
              <w:pStyle w:val="TableParagraph"/>
              <w:spacing w:before="27"/>
              <w:ind w:right="63"/>
              <w:rPr>
                <w:sz w:val="14"/>
              </w:rPr>
            </w:pPr>
            <w:r>
              <w:rPr>
                <w:w w:val="99"/>
                <w:sz w:val="14"/>
              </w:rPr>
              <w:t>-</w:t>
            </w:r>
          </w:p>
        </w:tc>
        <w:tc>
          <w:tcPr>
            <w:tcW w:w="795" w:type="dxa"/>
            <w:tcBorders>
              <w:top w:val="single" w:sz="4" w:space="0" w:color="000000"/>
              <w:bottom w:val="single" w:sz="4" w:space="0" w:color="000000"/>
            </w:tcBorders>
          </w:tcPr>
          <w:p>
            <w:pPr>
              <w:pStyle w:val="TableParagraph"/>
              <w:spacing w:before="27"/>
              <w:ind w:right="123"/>
              <w:rPr>
                <w:i/>
                <w:sz w:val="14"/>
              </w:rPr>
            </w:pPr>
            <w:r>
              <w:rPr>
                <w:i/>
                <w:w w:val="99"/>
                <w:sz w:val="14"/>
              </w:rPr>
              <w:t>-</w:t>
            </w:r>
          </w:p>
        </w:tc>
        <w:tc>
          <w:tcPr>
            <w:tcW w:w="569" w:type="dxa"/>
            <w:tcBorders>
              <w:top w:val="single" w:sz="4" w:space="0" w:color="000000"/>
              <w:bottom w:val="single" w:sz="4" w:space="0" w:color="000000"/>
            </w:tcBorders>
          </w:tcPr>
          <w:p>
            <w:pPr>
              <w:pStyle w:val="TableParagraph"/>
              <w:spacing w:before="27"/>
              <w:ind w:right="97"/>
              <w:rPr>
                <w:sz w:val="14"/>
              </w:rPr>
            </w:pPr>
            <w:r>
              <w:rPr>
                <w:w w:val="99"/>
                <w:sz w:val="14"/>
              </w:rPr>
              <w:t>-</w:t>
            </w:r>
          </w:p>
        </w:tc>
        <w:tc>
          <w:tcPr>
            <w:tcW w:w="578" w:type="dxa"/>
            <w:tcBorders>
              <w:top w:val="single" w:sz="4" w:space="0" w:color="000000"/>
              <w:bottom w:val="single" w:sz="4" w:space="0" w:color="000000"/>
            </w:tcBorders>
          </w:tcPr>
          <w:p>
            <w:pPr>
              <w:pStyle w:val="TableParagraph"/>
              <w:spacing w:before="27"/>
              <w:ind w:right="84"/>
              <w:rPr>
                <w:sz w:val="14"/>
              </w:rPr>
            </w:pPr>
            <w:r>
              <w:rPr>
                <w:w w:val="99"/>
                <w:sz w:val="14"/>
              </w:rPr>
              <w:t>-</w:t>
            </w:r>
          </w:p>
        </w:tc>
        <w:tc>
          <w:tcPr>
            <w:tcW w:w="565" w:type="dxa"/>
            <w:tcBorders>
              <w:top w:val="single" w:sz="4" w:space="0" w:color="000000"/>
              <w:bottom w:val="single" w:sz="4" w:space="0" w:color="000000"/>
            </w:tcBorders>
          </w:tcPr>
          <w:p>
            <w:pPr>
              <w:pStyle w:val="TableParagraph"/>
              <w:spacing w:before="27"/>
              <w:ind w:right="59"/>
              <w:rPr>
                <w:sz w:val="14"/>
              </w:rPr>
            </w:pPr>
            <w:r>
              <w:rPr>
                <w:w w:val="99"/>
                <w:sz w:val="14"/>
              </w:rPr>
              <w:t>-</w:t>
            </w:r>
          </w:p>
        </w:tc>
        <w:tc>
          <w:tcPr>
            <w:tcW w:w="813" w:type="dxa"/>
            <w:tcBorders>
              <w:top w:val="single" w:sz="4" w:space="0" w:color="000000"/>
              <w:bottom w:val="single" w:sz="4" w:space="0" w:color="000000"/>
            </w:tcBorders>
          </w:tcPr>
          <w:p>
            <w:pPr>
              <w:pStyle w:val="TableParagraph"/>
              <w:spacing w:before="27"/>
              <w:ind w:right="132"/>
              <w:rPr>
                <w:i/>
                <w:sz w:val="14"/>
              </w:rPr>
            </w:pPr>
            <w:r>
              <w:rPr>
                <w:i/>
                <w:w w:val="99"/>
                <w:sz w:val="14"/>
              </w:rPr>
              <w:t>-</w:t>
            </w:r>
          </w:p>
        </w:tc>
        <w:tc>
          <w:tcPr>
            <w:tcW w:w="525" w:type="dxa"/>
            <w:tcBorders>
              <w:top w:val="single" w:sz="4" w:space="0" w:color="000000"/>
              <w:bottom w:val="single" w:sz="4" w:space="0" w:color="000000"/>
            </w:tcBorders>
          </w:tcPr>
          <w:p>
            <w:pPr>
              <w:pStyle w:val="TableParagraph"/>
              <w:spacing w:before="27"/>
              <w:ind w:right="57"/>
              <w:rPr>
                <w:b/>
                <w:sz w:val="14"/>
              </w:rPr>
            </w:pPr>
            <w:r>
              <w:rPr>
                <w:b/>
                <w:w w:val="99"/>
                <w:sz w:val="14"/>
              </w:rPr>
              <w:t>-</w:t>
            </w:r>
          </w:p>
        </w:tc>
      </w:tr>
      <w:tr>
        <w:trPr>
          <w:trHeight w:val="230" w:hRule="atLeast"/>
        </w:trPr>
        <w:tc>
          <w:tcPr>
            <w:tcW w:w="1186" w:type="dxa"/>
            <w:tcBorders>
              <w:top w:val="single" w:sz="4" w:space="0" w:color="000000"/>
              <w:bottom w:val="single" w:sz="4" w:space="0" w:color="000000"/>
            </w:tcBorders>
          </w:tcPr>
          <w:p>
            <w:pPr>
              <w:pStyle w:val="TableParagraph"/>
              <w:spacing w:before="27"/>
              <w:ind w:left="67"/>
              <w:jc w:val="left"/>
              <w:rPr>
                <w:sz w:val="14"/>
              </w:rPr>
            </w:pPr>
            <w:r>
              <w:rPr>
                <w:spacing w:val="-2"/>
                <w:sz w:val="14"/>
              </w:rPr>
              <w:t>Reclassified</w:t>
            </w:r>
          </w:p>
        </w:tc>
        <w:tc>
          <w:tcPr>
            <w:tcW w:w="678" w:type="dxa"/>
            <w:tcBorders>
              <w:top w:val="single" w:sz="4" w:space="0" w:color="000000"/>
              <w:bottom w:val="single" w:sz="4" w:space="0" w:color="000000"/>
            </w:tcBorders>
          </w:tcPr>
          <w:p>
            <w:pPr>
              <w:pStyle w:val="TableParagraph"/>
              <w:spacing w:before="27"/>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7"/>
              <w:ind w:right="170"/>
              <w:rPr>
                <w:sz w:val="14"/>
              </w:rPr>
            </w:pPr>
            <w:r>
              <w:rPr>
                <w:w w:val="99"/>
                <w:sz w:val="14"/>
              </w:rPr>
              <w:t>-</w:t>
            </w:r>
          </w:p>
        </w:tc>
        <w:tc>
          <w:tcPr>
            <w:tcW w:w="548" w:type="dxa"/>
            <w:tcBorders>
              <w:top w:val="single" w:sz="4" w:space="0" w:color="000000"/>
              <w:bottom w:val="single" w:sz="4" w:space="0" w:color="000000"/>
            </w:tcBorders>
          </w:tcPr>
          <w:p>
            <w:pPr>
              <w:pStyle w:val="TableParagraph"/>
              <w:spacing w:before="27"/>
              <w:ind w:right="156"/>
              <w:rPr>
                <w:sz w:val="14"/>
              </w:rPr>
            </w:pPr>
            <w:r>
              <w:rPr>
                <w:w w:val="99"/>
                <w:sz w:val="14"/>
              </w:rPr>
              <w:t>-</w:t>
            </w:r>
          </w:p>
        </w:tc>
        <w:tc>
          <w:tcPr>
            <w:tcW w:w="595" w:type="dxa"/>
            <w:tcBorders>
              <w:top w:val="single" w:sz="4" w:space="0" w:color="000000"/>
              <w:bottom w:val="single" w:sz="4" w:space="0" w:color="000000"/>
            </w:tcBorders>
          </w:tcPr>
          <w:p>
            <w:pPr>
              <w:pStyle w:val="TableParagraph"/>
              <w:spacing w:before="27"/>
              <w:ind w:right="190"/>
              <w:rPr>
                <w:sz w:val="14"/>
              </w:rPr>
            </w:pPr>
            <w:r>
              <w:rPr>
                <w:w w:val="99"/>
                <w:sz w:val="14"/>
              </w:rPr>
              <w:t>-</w:t>
            </w:r>
          </w:p>
        </w:tc>
        <w:tc>
          <w:tcPr>
            <w:tcW w:w="581" w:type="dxa"/>
            <w:tcBorders>
              <w:top w:val="single" w:sz="4" w:space="0" w:color="000000"/>
              <w:bottom w:val="single" w:sz="4" w:space="0" w:color="000000"/>
            </w:tcBorders>
          </w:tcPr>
          <w:p>
            <w:pPr>
              <w:pStyle w:val="TableParagraph"/>
              <w:spacing w:before="27"/>
              <w:ind w:left="150"/>
              <w:jc w:val="center"/>
              <w:rPr>
                <w:sz w:val="14"/>
              </w:rPr>
            </w:pPr>
            <w:r>
              <w:rPr>
                <w:w w:val="99"/>
                <w:sz w:val="14"/>
              </w:rPr>
              <w:t>-</w:t>
            </w:r>
          </w:p>
        </w:tc>
        <w:tc>
          <w:tcPr>
            <w:tcW w:w="566" w:type="dxa"/>
            <w:tcBorders>
              <w:top w:val="single" w:sz="4" w:space="0" w:color="000000"/>
              <w:bottom w:val="single" w:sz="4" w:space="0" w:color="000000"/>
            </w:tcBorders>
          </w:tcPr>
          <w:p>
            <w:pPr>
              <w:pStyle w:val="TableParagraph"/>
              <w:spacing w:before="27"/>
              <w:ind w:right="170"/>
              <w:rPr>
                <w:sz w:val="14"/>
              </w:rPr>
            </w:pPr>
            <w:r>
              <w:rPr>
                <w:w w:val="99"/>
                <w:sz w:val="14"/>
              </w:rPr>
              <w:t>-</w:t>
            </w:r>
          </w:p>
        </w:tc>
        <w:tc>
          <w:tcPr>
            <w:tcW w:w="633" w:type="dxa"/>
            <w:tcBorders>
              <w:top w:val="single" w:sz="4" w:space="0" w:color="000000"/>
              <w:bottom w:val="single" w:sz="4" w:space="0" w:color="000000"/>
            </w:tcBorders>
          </w:tcPr>
          <w:p>
            <w:pPr>
              <w:pStyle w:val="TableParagraph"/>
              <w:spacing w:before="27"/>
              <w:ind w:right="207"/>
              <w:rPr>
                <w:sz w:val="14"/>
              </w:rPr>
            </w:pPr>
            <w:r>
              <w:rPr>
                <w:w w:val="99"/>
                <w:sz w:val="14"/>
              </w:rPr>
              <w:t>-</w:t>
            </w:r>
          </w:p>
        </w:tc>
        <w:tc>
          <w:tcPr>
            <w:tcW w:w="727" w:type="dxa"/>
            <w:tcBorders>
              <w:top w:val="single" w:sz="4" w:space="0" w:color="000000"/>
              <w:bottom w:val="single" w:sz="4" w:space="0" w:color="000000"/>
            </w:tcBorders>
          </w:tcPr>
          <w:p>
            <w:pPr>
              <w:pStyle w:val="TableParagraph"/>
              <w:spacing w:before="27"/>
              <w:ind w:right="195"/>
              <w:rPr>
                <w:sz w:val="14"/>
              </w:rPr>
            </w:pPr>
            <w:r>
              <w:rPr>
                <w:w w:val="99"/>
                <w:sz w:val="14"/>
              </w:rPr>
              <w:t>-</w:t>
            </w:r>
          </w:p>
        </w:tc>
        <w:tc>
          <w:tcPr>
            <w:tcW w:w="464" w:type="dxa"/>
            <w:tcBorders>
              <w:top w:val="single" w:sz="4" w:space="0" w:color="000000"/>
              <w:bottom w:val="single" w:sz="4" w:space="0" w:color="000000"/>
            </w:tcBorders>
          </w:tcPr>
          <w:p>
            <w:pPr>
              <w:pStyle w:val="TableParagraph"/>
              <w:spacing w:before="27"/>
              <w:ind w:right="63"/>
              <w:rPr>
                <w:sz w:val="14"/>
              </w:rPr>
            </w:pPr>
            <w:r>
              <w:rPr>
                <w:w w:val="99"/>
                <w:sz w:val="14"/>
              </w:rPr>
              <w:t>-</w:t>
            </w:r>
          </w:p>
        </w:tc>
        <w:tc>
          <w:tcPr>
            <w:tcW w:w="795" w:type="dxa"/>
            <w:tcBorders>
              <w:top w:val="single" w:sz="4" w:space="0" w:color="000000"/>
              <w:bottom w:val="single" w:sz="4" w:space="0" w:color="000000"/>
            </w:tcBorders>
          </w:tcPr>
          <w:p>
            <w:pPr>
              <w:pStyle w:val="TableParagraph"/>
              <w:spacing w:before="27"/>
              <w:ind w:right="123"/>
              <w:rPr>
                <w:i/>
                <w:sz w:val="14"/>
              </w:rPr>
            </w:pPr>
            <w:r>
              <w:rPr>
                <w:i/>
                <w:w w:val="99"/>
                <w:sz w:val="14"/>
              </w:rPr>
              <w:t>-</w:t>
            </w:r>
          </w:p>
        </w:tc>
        <w:tc>
          <w:tcPr>
            <w:tcW w:w="569" w:type="dxa"/>
            <w:tcBorders>
              <w:top w:val="single" w:sz="4" w:space="0" w:color="000000"/>
              <w:bottom w:val="single" w:sz="4" w:space="0" w:color="000000"/>
            </w:tcBorders>
          </w:tcPr>
          <w:p>
            <w:pPr>
              <w:pStyle w:val="TableParagraph"/>
              <w:spacing w:before="27"/>
              <w:ind w:right="97"/>
              <w:rPr>
                <w:sz w:val="14"/>
              </w:rPr>
            </w:pPr>
            <w:r>
              <w:rPr>
                <w:w w:val="99"/>
                <w:sz w:val="14"/>
              </w:rPr>
              <w:t>-</w:t>
            </w:r>
          </w:p>
        </w:tc>
        <w:tc>
          <w:tcPr>
            <w:tcW w:w="578" w:type="dxa"/>
            <w:tcBorders>
              <w:top w:val="single" w:sz="4" w:space="0" w:color="000000"/>
              <w:bottom w:val="single" w:sz="4" w:space="0" w:color="000000"/>
            </w:tcBorders>
          </w:tcPr>
          <w:p>
            <w:pPr>
              <w:pStyle w:val="TableParagraph"/>
              <w:spacing w:before="27"/>
              <w:ind w:right="84"/>
              <w:rPr>
                <w:sz w:val="14"/>
              </w:rPr>
            </w:pPr>
            <w:r>
              <w:rPr>
                <w:w w:val="99"/>
                <w:sz w:val="14"/>
              </w:rPr>
              <w:t>-</w:t>
            </w:r>
          </w:p>
        </w:tc>
        <w:tc>
          <w:tcPr>
            <w:tcW w:w="565" w:type="dxa"/>
            <w:tcBorders>
              <w:top w:val="single" w:sz="4" w:space="0" w:color="000000"/>
              <w:bottom w:val="single" w:sz="4" w:space="0" w:color="000000"/>
            </w:tcBorders>
          </w:tcPr>
          <w:p>
            <w:pPr>
              <w:pStyle w:val="TableParagraph"/>
              <w:spacing w:before="27"/>
              <w:ind w:right="59"/>
              <w:rPr>
                <w:sz w:val="14"/>
              </w:rPr>
            </w:pPr>
            <w:r>
              <w:rPr>
                <w:w w:val="99"/>
                <w:sz w:val="14"/>
              </w:rPr>
              <w:t>-</w:t>
            </w:r>
          </w:p>
        </w:tc>
        <w:tc>
          <w:tcPr>
            <w:tcW w:w="813" w:type="dxa"/>
            <w:tcBorders>
              <w:top w:val="single" w:sz="4" w:space="0" w:color="000000"/>
              <w:bottom w:val="single" w:sz="4" w:space="0" w:color="000000"/>
            </w:tcBorders>
          </w:tcPr>
          <w:p>
            <w:pPr>
              <w:pStyle w:val="TableParagraph"/>
              <w:spacing w:before="27"/>
              <w:ind w:right="132"/>
              <w:rPr>
                <w:i/>
                <w:sz w:val="14"/>
              </w:rPr>
            </w:pPr>
            <w:r>
              <w:rPr>
                <w:i/>
                <w:w w:val="99"/>
                <w:sz w:val="14"/>
              </w:rPr>
              <w:t>-</w:t>
            </w:r>
          </w:p>
        </w:tc>
        <w:tc>
          <w:tcPr>
            <w:tcW w:w="525" w:type="dxa"/>
            <w:tcBorders>
              <w:top w:val="single" w:sz="4" w:space="0" w:color="000000"/>
              <w:bottom w:val="single" w:sz="4" w:space="0" w:color="000000"/>
            </w:tcBorders>
          </w:tcPr>
          <w:p>
            <w:pPr>
              <w:pStyle w:val="TableParagraph"/>
              <w:spacing w:before="27"/>
              <w:ind w:right="57"/>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2"/>
              <w:ind w:left="67"/>
              <w:jc w:val="left"/>
              <w:rPr>
                <w:sz w:val="14"/>
              </w:rPr>
            </w:pPr>
            <w:r>
              <w:rPr>
                <w:spacing w:val="-2"/>
                <w:sz w:val="14"/>
              </w:rPr>
              <w:t>Converted</w:t>
            </w:r>
          </w:p>
        </w:tc>
        <w:tc>
          <w:tcPr>
            <w:tcW w:w="678" w:type="dxa"/>
            <w:tcBorders>
              <w:top w:val="single" w:sz="4" w:space="0" w:color="000000"/>
              <w:bottom w:val="single" w:sz="4" w:space="0" w:color="000000"/>
            </w:tcBorders>
          </w:tcPr>
          <w:p>
            <w:pPr>
              <w:pStyle w:val="TableParagraph"/>
              <w:spacing w:before="22"/>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2"/>
              <w:ind w:right="170"/>
              <w:rPr>
                <w:sz w:val="14"/>
              </w:rPr>
            </w:pPr>
            <w:r>
              <w:rPr>
                <w:w w:val="99"/>
                <w:sz w:val="14"/>
              </w:rPr>
              <w:t>-</w:t>
            </w:r>
          </w:p>
        </w:tc>
        <w:tc>
          <w:tcPr>
            <w:tcW w:w="548" w:type="dxa"/>
            <w:tcBorders>
              <w:top w:val="single" w:sz="4" w:space="0" w:color="000000"/>
              <w:bottom w:val="single" w:sz="4" w:space="0" w:color="000000"/>
            </w:tcBorders>
          </w:tcPr>
          <w:p>
            <w:pPr>
              <w:pStyle w:val="TableParagraph"/>
              <w:spacing w:before="22"/>
              <w:ind w:right="156"/>
              <w:rPr>
                <w:sz w:val="14"/>
              </w:rPr>
            </w:pPr>
            <w:r>
              <w:rPr>
                <w:w w:val="99"/>
                <w:sz w:val="14"/>
              </w:rPr>
              <w:t>-</w:t>
            </w:r>
          </w:p>
        </w:tc>
        <w:tc>
          <w:tcPr>
            <w:tcW w:w="595" w:type="dxa"/>
            <w:tcBorders>
              <w:top w:val="single" w:sz="4" w:space="0" w:color="000000"/>
              <w:bottom w:val="single" w:sz="4" w:space="0" w:color="000000"/>
            </w:tcBorders>
          </w:tcPr>
          <w:p>
            <w:pPr>
              <w:pStyle w:val="TableParagraph"/>
              <w:spacing w:before="22"/>
              <w:ind w:right="190"/>
              <w:rPr>
                <w:sz w:val="14"/>
              </w:rPr>
            </w:pPr>
            <w:r>
              <w:rPr>
                <w:w w:val="99"/>
                <w:sz w:val="14"/>
              </w:rPr>
              <w:t>-</w:t>
            </w:r>
          </w:p>
        </w:tc>
        <w:tc>
          <w:tcPr>
            <w:tcW w:w="581" w:type="dxa"/>
            <w:tcBorders>
              <w:top w:val="single" w:sz="4" w:space="0" w:color="000000"/>
              <w:bottom w:val="single" w:sz="4" w:space="0" w:color="000000"/>
            </w:tcBorders>
          </w:tcPr>
          <w:p>
            <w:pPr>
              <w:pStyle w:val="TableParagraph"/>
              <w:spacing w:before="22"/>
              <w:ind w:left="150"/>
              <w:jc w:val="center"/>
              <w:rPr>
                <w:sz w:val="14"/>
              </w:rPr>
            </w:pPr>
            <w:r>
              <w:rPr>
                <w:w w:val="99"/>
                <w:sz w:val="14"/>
              </w:rPr>
              <w:t>-</w:t>
            </w:r>
          </w:p>
        </w:tc>
        <w:tc>
          <w:tcPr>
            <w:tcW w:w="566" w:type="dxa"/>
            <w:tcBorders>
              <w:top w:val="single" w:sz="4" w:space="0" w:color="000000"/>
              <w:bottom w:val="single" w:sz="4" w:space="0" w:color="000000"/>
            </w:tcBorders>
          </w:tcPr>
          <w:p>
            <w:pPr>
              <w:pStyle w:val="TableParagraph"/>
              <w:spacing w:before="22"/>
              <w:ind w:right="170"/>
              <w:rPr>
                <w:sz w:val="14"/>
              </w:rPr>
            </w:pPr>
            <w:r>
              <w:rPr>
                <w:w w:val="99"/>
                <w:sz w:val="14"/>
              </w:rPr>
              <w:t>-</w:t>
            </w:r>
          </w:p>
        </w:tc>
        <w:tc>
          <w:tcPr>
            <w:tcW w:w="633" w:type="dxa"/>
            <w:tcBorders>
              <w:top w:val="single" w:sz="4" w:space="0" w:color="000000"/>
              <w:bottom w:val="single" w:sz="4" w:space="0" w:color="000000"/>
            </w:tcBorders>
          </w:tcPr>
          <w:p>
            <w:pPr>
              <w:pStyle w:val="TableParagraph"/>
              <w:spacing w:before="22"/>
              <w:ind w:right="207"/>
              <w:rPr>
                <w:sz w:val="14"/>
              </w:rPr>
            </w:pPr>
            <w:r>
              <w:rPr>
                <w:w w:val="99"/>
                <w:sz w:val="14"/>
              </w:rPr>
              <w:t>-</w:t>
            </w:r>
          </w:p>
        </w:tc>
        <w:tc>
          <w:tcPr>
            <w:tcW w:w="727" w:type="dxa"/>
            <w:tcBorders>
              <w:top w:val="single" w:sz="4" w:space="0" w:color="000000"/>
              <w:bottom w:val="single" w:sz="4" w:space="0" w:color="000000"/>
            </w:tcBorders>
          </w:tcPr>
          <w:p>
            <w:pPr>
              <w:pStyle w:val="TableParagraph"/>
              <w:spacing w:before="22"/>
              <w:ind w:right="195"/>
              <w:rPr>
                <w:sz w:val="14"/>
              </w:rPr>
            </w:pPr>
            <w:r>
              <w:rPr>
                <w:w w:val="99"/>
                <w:sz w:val="14"/>
              </w:rPr>
              <w:t>-</w:t>
            </w:r>
          </w:p>
        </w:tc>
        <w:tc>
          <w:tcPr>
            <w:tcW w:w="464" w:type="dxa"/>
            <w:tcBorders>
              <w:top w:val="single" w:sz="4" w:space="0" w:color="000000"/>
              <w:bottom w:val="single" w:sz="4" w:space="0" w:color="000000"/>
            </w:tcBorders>
          </w:tcPr>
          <w:p>
            <w:pPr>
              <w:pStyle w:val="TableParagraph"/>
              <w:spacing w:before="22"/>
              <w:ind w:right="63"/>
              <w:rPr>
                <w:sz w:val="14"/>
              </w:rPr>
            </w:pPr>
            <w:r>
              <w:rPr>
                <w:w w:val="99"/>
                <w:sz w:val="14"/>
              </w:rPr>
              <w:t>-</w:t>
            </w:r>
          </w:p>
        </w:tc>
        <w:tc>
          <w:tcPr>
            <w:tcW w:w="795" w:type="dxa"/>
            <w:tcBorders>
              <w:top w:val="single" w:sz="4" w:space="0" w:color="000000"/>
              <w:bottom w:val="single" w:sz="4" w:space="0" w:color="000000"/>
            </w:tcBorders>
          </w:tcPr>
          <w:p>
            <w:pPr>
              <w:pStyle w:val="TableParagraph"/>
              <w:spacing w:before="22"/>
              <w:ind w:right="123"/>
              <w:rPr>
                <w:i/>
                <w:sz w:val="14"/>
              </w:rPr>
            </w:pPr>
            <w:r>
              <w:rPr>
                <w:i/>
                <w:w w:val="99"/>
                <w:sz w:val="14"/>
              </w:rPr>
              <w:t>-</w:t>
            </w:r>
          </w:p>
        </w:tc>
        <w:tc>
          <w:tcPr>
            <w:tcW w:w="569" w:type="dxa"/>
            <w:tcBorders>
              <w:top w:val="single" w:sz="4" w:space="0" w:color="000000"/>
              <w:bottom w:val="single" w:sz="4" w:space="0" w:color="000000"/>
            </w:tcBorders>
          </w:tcPr>
          <w:p>
            <w:pPr>
              <w:pStyle w:val="TableParagraph"/>
              <w:spacing w:before="22"/>
              <w:ind w:right="97"/>
              <w:rPr>
                <w:sz w:val="14"/>
              </w:rPr>
            </w:pPr>
            <w:r>
              <w:rPr>
                <w:w w:val="99"/>
                <w:sz w:val="14"/>
              </w:rPr>
              <w:t>-</w:t>
            </w:r>
          </w:p>
        </w:tc>
        <w:tc>
          <w:tcPr>
            <w:tcW w:w="578" w:type="dxa"/>
            <w:tcBorders>
              <w:top w:val="single" w:sz="4" w:space="0" w:color="000000"/>
              <w:bottom w:val="single" w:sz="4" w:space="0" w:color="000000"/>
            </w:tcBorders>
          </w:tcPr>
          <w:p>
            <w:pPr>
              <w:pStyle w:val="TableParagraph"/>
              <w:spacing w:before="22"/>
              <w:ind w:right="84"/>
              <w:rPr>
                <w:sz w:val="14"/>
              </w:rPr>
            </w:pPr>
            <w:r>
              <w:rPr>
                <w:w w:val="99"/>
                <w:sz w:val="14"/>
              </w:rPr>
              <w:t>-</w:t>
            </w:r>
          </w:p>
        </w:tc>
        <w:tc>
          <w:tcPr>
            <w:tcW w:w="565" w:type="dxa"/>
            <w:tcBorders>
              <w:top w:val="single" w:sz="4" w:space="0" w:color="000000"/>
              <w:bottom w:val="single" w:sz="4" w:space="0" w:color="000000"/>
            </w:tcBorders>
          </w:tcPr>
          <w:p>
            <w:pPr>
              <w:pStyle w:val="TableParagraph"/>
              <w:spacing w:before="22"/>
              <w:ind w:right="55"/>
              <w:rPr>
                <w:sz w:val="14"/>
              </w:rPr>
            </w:pPr>
            <w:r>
              <w:rPr>
                <w:spacing w:val="-2"/>
                <w:sz w:val="14"/>
              </w:rPr>
              <w:t>(1.00)</w:t>
            </w:r>
          </w:p>
        </w:tc>
        <w:tc>
          <w:tcPr>
            <w:tcW w:w="813" w:type="dxa"/>
            <w:tcBorders>
              <w:top w:val="single" w:sz="4" w:space="0" w:color="000000"/>
              <w:bottom w:val="single" w:sz="4" w:space="0" w:color="000000"/>
            </w:tcBorders>
          </w:tcPr>
          <w:p>
            <w:pPr>
              <w:pStyle w:val="TableParagraph"/>
              <w:spacing w:before="22"/>
              <w:ind w:right="128"/>
              <w:rPr>
                <w:i/>
                <w:sz w:val="14"/>
              </w:rPr>
            </w:pPr>
            <w:r>
              <w:rPr>
                <w:i/>
                <w:spacing w:val="-2"/>
                <w:sz w:val="14"/>
              </w:rPr>
              <w:t>(1.00)</w:t>
            </w:r>
          </w:p>
        </w:tc>
        <w:tc>
          <w:tcPr>
            <w:tcW w:w="525" w:type="dxa"/>
            <w:tcBorders>
              <w:top w:val="single" w:sz="4" w:space="0" w:color="000000"/>
              <w:bottom w:val="single" w:sz="4" w:space="0" w:color="000000"/>
            </w:tcBorders>
          </w:tcPr>
          <w:p>
            <w:pPr>
              <w:pStyle w:val="TableParagraph"/>
              <w:spacing w:before="22"/>
              <w:ind w:right="53"/>
              <w:rPr>
                <w:b/>
                <w:sz w:val="14"/>
              </w:rPr>
            </w:pPr>
            <w:r>
              <w:rPr>
                <w:b/>
                <w:spacing w:val="-2"/>
                <w:sz w:val="14"/>
              </w:rPr>
              <w:t>(1.00)</w:t>
            </w:r>
          </w:p>
        </w:tc>
      </w:tr>
      <w:tr>
        <w:trPr>
          <w:trHeight w:val="229" w:hRule="atLeast"/>
        </w:trPr>
        <w:tc>
          <w:tcPr>
            <w:tcW w:w="1186" w:type="dxa"/>
            <w:tcBorders>
              <w:top w:val="single" w:sz="4" w:space="0" w:color="000000"/>
              <w:bottom w:val="single" w:sz="12" w:space="0" w:color="000000"/>
            </w:tcBorders>
          </w:tcPr>
          <w:p>
            <w:pPr>
              <w:pStyle w:val="TableParagraph"/>
              <w:spacing w:before="27"/>
              <w:ind w:left="67"/>
              <w:jc w:val="left"/>
              <w:rPr>
                <w:b/>
                <w:sz w:val="14"/>
              </w:rPr>
            </w:pPr>
            <w:r>
              <w:rPr>
                <w:b/>
                <w:sz w:val="14"/>
              </w:rPr>
              <w:t>Proposed</w:t>
            </w:r>
            <w:r>
              <w:rPr>
                <w:b/>
                <w:spacing w:val="-6"/>
                <w:sz w:val="14"/>
              </w:rPr>
              <w:t> </w:t>
            </w:r>
            <w:r>
              <w:rPr>
                <w:b/>
                <w:spacing w:val="-4"/>
                <w:sz w:val="14"/>
              </w:rPr>
              <w:t>2023</w:t>
            </w:r>
          </w:p>
        </w:tc>
        <w:tc>
          <w:tcPr>
            <w:tcW w:w="678" w:type="dxa"/>
            <w:tcBorders>
              <w:top w:val="single" w:sz="4" w:space="0" w:color="000000"/>
              <w:bottom w:val="single" w:sz="12" w:space="0" w:color="000000"/>
            </w:tcBorders>
          </w:tcPr>
          <w:p>
            <w:pPr>
              <w:pStyle w:val="TableParagraph"/>
              <w:spacing w:before="27"/>
              <w:ind w:right="154"/>
              <w:rPr>
                <w:b/>
                <w:sz w:val="14"/>
              </w:rPr>
            </w:pPr>
            <w:r>
              <w:rPr>
                <w:b/>
                <w:w w:val="99"/>
                <w:sz w:val="14"/>
              </w:rPr>
              <w:t>-</w:t>
            </w:r>
          </w:p>
        </w:tc>
        <w:tc>
          <w:tcPr>
            <w:tcW w:w="607" w:type="dxa"/>
            <w:tcBorders>
              <w:top w:val="single" w:sz="4" w:space="0" w:color="000000"/>
              <w:bottom w:val="single" w:sz="12" w:space="0" w:color="000000"/>
            </w:tcBorders>
          </w:tcPr>
          <w:p>
            <w:pPr>
              <w:pStyle w:val="TableParagraph"/>
              <w:spacing w:before="27"/>
              <w:ind w:right="170"/>
              <w:rPr>
                <w:b/>
                <w:sz w:val="14"/>
              </w:rPr>
            </w:pPr>
            <w:r>
              <w:rPr>
                <w:b/>
                <w:w w:val="99"/>
                <w:sz w:val="14"/>
              </w:rPr>
              <w:t>-</w:t>
            </w:r>
          </w:p>
        </w:tc>
        <w:tc>
          <w:tcPr>
            <w:tcW w:w="548" w:type="dxa"/>
            <w:tcBorders>
              <w:top w:val="single" w:sz="4" w:space="0" w:color="000000"/>
              <w:bottom w:val="single" w:sz="12" w:space="0" w:color="000000"/>
            </w:tcBorders>
          </w:tcPr>
          <w:p>
            <w:pPr>
              <w:pStyle w:val="TableParagraph"/>
              <w:spacing w:before="27"/>
              <w:ind w:right="156"/>
              <w:rPr>
                <w:b/>
                <w:sz w:val="14"/>
              </w:rPr>
            </w:pPr>
            <w:r>
              <w:rPr>
                <w:b/>
                <w:w w:val="99"/>
                <w:sz w:val="14"/>
              </w:rPr>
              <w:t>-</w:t>
            </w:r>
          </w:p>
        </w:tc>
        <w:tc>
          <w:tcPr>
            <w:tcW w:w="595" w:type="dxa"/>
            <w:tcBorders>
              <w:top w:val="single" w:sz="4" w:space="0" w:color="000000"/>
              <w:bottom w:val="single" w:sz="12" w:space="0" w:color="000000"/>
            </w:tcBorders>
          </w:tcPr>
          <w:p>
            <w:pPr>
              <w:pStyle w:val="TableParagraph"/>
              <w:spacing w:before="27"/>
              <w:ind w:right="186"/>
              <w:rPr>
                <w:b/>
                <w:sz w:val="14"/>
              </w:rPr>
            </w:pPr>
            <w:r>
              <w:rPr>
                <w:b/>
                <w:spacing w:val="-4"/>
                <w:sz w:val="14"/>
              </w:rPr>
              <w:t>0.50</w:t>
            </w:r>
          </w:p>
        </w:tc>
        <w:tc>
          <w:tcPr>
            <w:tcW w:w="581" w:type="dxa"/>
            <w:tcBorders>
              <w:top w:val="single" w:sz="4" w:space="0" w:color="000000"/>
              <w:bottom w:val="single" w:sz="12" w:space="0" w:color="000000"/>
            </w:tcBorders>
          </w:tcPr>
          <w:p>
            <w:pPr>
              <w:pStyle w:val="TableParagraph"/>
              <w:spacing w:before="27"/>
              <w:ind w:left="150"/>
              <w:jc w:val="center"/>
              <w:rPr>
                <w:b/>
                <w:sz w:val="14"/>
              </w:rPr>
            </w:pPr>
            <w:r>
              <w:rPr>
                <w:b/>
                <w:w w:val="99"/>
                <w:sz w:val="14"/>
              </w:rPr>
              <w:t>-</w:t>
            </w:r>
          </w:p>
        </w:tc>
        <w:tc>
          <w:tcPr>
            <w:tcW w:w="566" w:type="dxa"/>
            <w:tcBorders>
              <w:top w:val="single" w:sz="4" w:space="0" w:color="000000"/>
              <w:bottom w:val="single" w:sz="12" w:space="0" w:color="000000"/>
            </w:tcBorders>
          </w:tcPr>
          <w:p>
            <w:pPr>
              <w:pStyle w:val="TableParagraph"/>
              <w:spacing w:before="27"/>
              <w:ind w:right="170"/>
              <w:rPr>
                <w:b/>
                <w:sz w:val="14"/>
              </w:rPr>
            </w:pPr>
            <w:r>
              <w:rPr>
                <w:b/>
                <w:w w:val="99"/>
                <w:sz w:val="14"/>
              </w:rPr>
              <w:t>-</w:t>
            </w:r>
          </w:p>
        </w:tc>
        <w:tc>
          <w:tcPr>
            <w:tcW w:w="633" w:type="dxa"/>
            <w:tcBorders>
              <w:top w:val="single" w:sz="4" w:space="0" w:color="000000"/>
              <w:bottom w:val="single" w:sz="12" w:space="0" w:color="000000"/>
            </w:tcBorders>
          </w:tcPr>
          <w:p>
            <w:pPr>
              <w:pStyle w:val="TableParagraph"/>
              <w:spacing w:before="27"/>
              <w:ind w:right="204"/>
              <w:rPr>
                <w:b/>
                <w:sz w:val="14"/>
              </w:rPr>
            </w:pPr>
            <w:r>
              <w:rPr>
                <w:b/>
                <w:spacing w:val="-4"/>
                <w:sz w:val="14"/>
              </w:rPr>
              <w:t>1.00</w:t>
            </w:r>
          </w:p>
        </w:tc>
        <w:tc>
          <w:tcPr>
            <w:tcW w:w="727" w:type="dxa"/>
            <w:tcBorders>
              <w:top w:val="single" w:sz="4" w:space="0" w:color="000000"/>
              <w:bottom w:val="single" w:sz="12" w:space="0" w:color="000000"/>
            </w:tcBorders>
          </w:tcPr>
          <w:p>
            <w:pPr>
              <w:pStyle w:val="TableParagraph"/>
              <w:spacing w:before="27"/>
              <w:ind w:right="192"/>
              <w:rPr>
                <w:b/>
                <w:sz w:val="14"/>
              </w:rPr>
            </w:pPr>
            <w:r>
              <w:rPr>
                <w:b/>
                <w:spacing w:val="-2"/>
                <w:sz w:val="14"/>
              </w:rPr>
              <w:t>11.75</w:t>
            </w:r>
          </w:p>
        </w:tc>
        <w:tc>
          <w:tcPr>
            <w:tcW w:w="464" w:type="dxa"/>
            <w:tcBorders>
              <w:top w:val="single" w:sz="4" w:space="0" w:color="000000"/>
              <w:bottom w:val="single" w:sz="12" w:space="0" w:color="000000"/>
            </w:tcBorders>
          </w:tcPr>
          <w:p>
            <w:pPr>
              <w:pStyle w:val="TableParagraph"/>
              <w:spacing w:before="27"/>
              <w:ind w:right="63"/>
              <w:rPr>
                <w:b/>
                <w:sz w:val="14"/>
              </w:rPr>
            </w:pPr>
            <w:r>
              <w:rPr>
                <w:b/>
                <w:w w:val="99"/>
                <w:sz w:val="14"/>
              </w:rPr>
              <w:t>-</w:t>
            </w:r>
          </w:p>
        </w:tc>
        <w:tc>
          <w:tcPr>
            <w:tcW w:w="795" w:type="dxa"/>
            <w:tcBorders>
              <w:top w:val="single" w:sz="4" w:space="0" w:color="000000"/>
              <w:bottom w:val="single" w:sz="12" w:space="0" w:color="000000"/>
            </w:tcBorders>
          </w:tcPr>
          <w:p>
            <w:pPr>
              <w:pStyle w:val="TableParagraph"/>
              <w:spacing w:before="27"/>
              <w:ind w:right="121"/>
              <w:rPr>
                <w:b/>
                <w:i/>
                <w:sz w:val="14"/>
              </w:rPr>
            </w:pPr>
            <w:r>
              <w:rPr>
                <w:b/>
                <w:i/>
                <w:spacing w:val="-2"/>
                <w:sz w:val="14"/>
              </w:rPr>
              <w:t>13.25</w:t>
            </w:r>
          </w:p>
        </w:tc>
        <w:tc>
          <w:tcPr>
            <w:tcW w:w="569" w:type="dxa"/>
            <w:tcBorders>
              <w:top w:val="single" w:sz="4" w:space="0" w:color="000000"/>
              <w:bottom w:val="single" w:sz="12" w:space="0" w:color="000000"/>
            </w:tcBorders>
          </w:tcPr>
          <w:p>
            <w:pPr>
              <w:pStyle w:val="TableParagraph"/>
              <w:spacing w:before="27"/>
              <w:ind w:right="97"/>
              <w:rPr>
                <w:b/>
                <w:sz w:val="14"/>
              </w:rPr>
            </w:pPr>
            <w:r>
              <w:rPr>
                <w:b/>
                <w:w w:val="99"/>
                <w:sz w:val="14"/>
              </w:rPr>
              <w:t>-</w:t>
            </w:r>
          </w:p>
        </w:tc>
        <w:tc>
          <w:tcPr>
            <w:tcW w:w="578" w:type="dxa"/>
            <w:tcBorders>
              <w:top w:val="single" w:sz="4" w:space="0" w:color="000000"/>
              <w:bottom w:val="single" w:sz="12" w:space="0" w:color="000000"/>
            </w:tcBorders>
          </w:tcPr>
          <w:p>
            <w:pPr>
              <w:pStyle w:val="TableParagraph"/>
              <w:spacing w:before="27"/>
              <w:ind w:right="84"/>
              <w:rPr>
                <w:b/>
                <w:sz w:val="14"/>
              </w:rPr>
            </w:pPr>
            <w:r>
              <w:rPr>
                <w:b/>
                <w:w w:val="99"/>
                <w:sz w:val="14"/>
              </w:rPr>
              <w:t>-</w:t>
            </w:r>
          </w:p>
        </w:tc>
        <w:tc>
          <w:tcPr>
            <w:tcW w:w="565" w:type="dxa"/>
            <w:tcBorders>
              <w:top w:val="single" w:sz="4" w:space="0" w:color="000000"/>
              <w:bottom w:val="single" w:sz="12" w:space="0" w:color="000000"/>
            </w:tcBorders>
          </w:tcPr>
          <w:p>
            <w:pPr>
              <w:pStyle w:val="TableParagraph"/>
              <w:spacing w:before="27"/>
              <w:ind w:right="55"/>
              <w:rPr>
                <w:b/>
                <w:sz w:val="14"/>
              </w:rPr>
            </w:pPr>
            <w:r>
              <w:rPr>
                <w:b/>
                <w:spacing w:val="-4"/>
                <w:sz w:val="14"/>
              </w:rPr>
              <w:t>3.75</w:t>
            </w:r>
          </w:p>
        </w:tc>
        <w:tc>
          <w:tcPr>
            <w:tcW w:w="813" w:type="dxa"/>
            <w:tcBorders>
              <w:top w:val="single" w:sz="4" w:space="0" w:color="000000"/>
              <w:bottom w:val="single" w:sz="12" w:space="0" w:color="000000"/>
            </w:tcBorders>
          </w:tcPr>
          <w:p>
            <w:pPr>
              <w:pStyle w:val="TableParagraph"/>
              <w:spacing w:before="27"/>
              <w:ind w:right="129"/>
              <w:rPr>
                <w:b/>
                <w:i/>
                <w:sz w:val="14"/>
              </w:rPr>
            </w:pPr>
            <w:r>
              <w:rPr>
                <w:b/>
                <w:i/>
                <w:spacing w:val="-4"/>
                <w:sz w:val="14"/>
              </w:rPr>
              <w:t>3.75</w:t>
            </w:r>
          </w:p>
        </w:tc>
        <w:tc>
          <w:tcPr>
            <w:tcW w:w="525" w:type="dxa"/>
            <w:tcBorders>
              <w:top w:val="single" w:sz="4" w:space="0" w:color="000000"/>
              <w:bottom w:val="single" w:sz="12" w:space="0" w:color="000000"/>
            </w:tcBorders>
          </w:tcPr>
          <w:p>
            <w:pPr>
              <w:pStyle w:val="TableParagraph"/>
              <w:spacing w:before="27"/>
              <w:ind w:right="54"/>
              <w:rPr>
                <w:b/>
                <w:sz w:val="14"/>
              </w:rPr>
            </w:pPr>
            <w:r>
              <w:rPr>
                <w:b/>
                <w:spacing w:val="-2"/>
                <w:sz w:val="14"/>
              </w:rPr>
              <w:t>17.00</w:t>
            </w:r>
          </w:p>
        </w:tc>
      </w:tr>
    </w:tbl>
    <w:p>
      <w:pPr>
        <w:spacing w:after="0"/>
        <w:rPr>
          <w:sz w:val="14"/>
        </w:rPr>
        <w:sectPr>
          <w:headerReference w:type="even" r:id="rId125"/>
          <w:headerReference w:type="default" r:id="rId126"/>
          <w:footerReference w:type="even" r:id="rId127"/>
          <w:footerReference w:type="default" r:id="rId128"/>
          <w:pgSz w:w="11910" w:h="16840"/>
          <w:pgMar w:header="953" w:footer="940" w:top="1140" w:bottom="1140" w:left="20" w:right="20"/>
          <w:pgNumType w:start="182"/>
        </w:sectPr>
      </w:pPr>
    </w:p>
    <w:p>
      <w:pPr>
        <w:pStyle w:val="Heading2"/>
        <w:numPr>
          <w:ilvl w:val="1"/>
          <w:numId w:val="3"/>
        </w:numPr>
        <w:tabs>
          <w:tab w:pos="2246" w:val="left" w:leader="none"/>
          <w:tab w:pos="2247" w:val="left" w:leader="none"/>
        </w:tabs>
        <w:spacing w:line="240" w:lineRule="auto" w:before="121" w:after="0"/>
        <w:ind w:left="2246" w:right="0" w:hanging="568"/>
        <w:jc w:val="left"/>
      </w:pPr>
      <w:bookmarkStart w:name="_bookmark55" w:id="56"/>
      <w:bookmarkEnd w:id="56"/>
      <w:r>
        <w:rPr>
          <w:spacing w:val="-2"/>
        </w:rPr>
        <w:t>M</w:t>
      </w:r>
      <w:r>
        <w:rPr>
          <w:spacing w:val="-2"/>
        </w:rPr>
        <w:t>ajor</w:t>
      </w:r>
      <w:r>
        <w:rPr>
          <w:spacing w:val="-12"/>
        </w:rPr>
        <w:t> </w:t>
      </w:r>
      <w:r>
        <w:rPr>
          <w:spacing w:val="-2"/>
        </w:rPr>
        <w:t>Programme</w:t>
      </w:r>
      <w:r>
        <w:rPr>
          <w:spacing w:val="-7"/>
        </w:rPr>
        <w:t> </w:t>
      </w:r>
      <w:r>
        <w:rPr>
          <w:spacing w:val="-2"/>
        </w:rPr>
        <w:t>VII-2:</w:t>
      </w:r>
      <w:r>
        <w:rPr>
          <w:spacing w:val="-10"/>
        </w:rPr>
        <w:t> </w:t>
      </w:r>
      <w:r>
        <w:rPr>
          <w:spacing w:val="-2"/>
        </w:rPr>
        <w:t>Permanent</w:t>
      </w:r>
      <w:r>
        <w:rPr>
          <w:spacing w:val="-9"/>
        </w:rPr>
        <w:t> </w:t>
      </w:r>
      <w:r>
        <w:rPr>
          <w:spacing w:val="-2"/>
        </w:rPr>
        <w:t>Premises</w:t>
      </w:r>
      <w:r>
        <w:rPr>
          <w:spacing w:val="-13"/>
        </w:rPr>
        <w:t> </w:t>
      </w:r>
      <w:r>
        <w:rPr>
          <w:spacing w:val="-2"/>
        </w:rPr>
        <w:t>Project –</w:t>
      </w:r>
      <w:r>
        <w:rPr>
          <w:spacing w:val="-10"/>
        </w:rPr>
        <w:t> </w:t>
      </w:r>
      <w:r>
        <w:rPr>
          <w:spacing w:val="-2"/>
        </w:rPr>
        <w:t>Host</w:t>
      </w:r>
      <w:r>
        <w:rPr>
          <w:spacing w:val="-5"/>
        </w:rPr>
        <w:t> </w:t>
      </w:r>
      <w:r>
        <w:rPr>
          <w:spacing w:val="-2"/>
        </w:rPr>
        <w:t>State</w:t>
      </w:r>
      <w:r>
        <w:rPr>
          <w:spacing w:val="-7"/>
        </w:rPr>
        <w:t> </w:t>
      </w:r>
      <w:r>
        <w:rPr>
          <w:spacing w:val="-4"/>
        </w:rPr>
        <w:t>Loan</w:t>
      </w:r>
    </w:p>
    <w:p>
      <w:pPr>
        <w:pStyle w:val="Heading3"/>
        <w:spacing w:before="203"/>
      </w:pPr>
      <w:r>
        <w:rPr>
          <w:spacing w:val="-2"/>
        </w:rPr>
        <w:t>Introduction</w:t>
      </w:r>
    </w:p>
    <w:p>
      <w:pPr>
        <w:pStyle w:val="ListParagraph"/>
        <w:numPr>
          <w:ilvl w:val="0"/>
          <w:numId w:val="4"/>
        </w:numPr>
        <w:tabs>
          <w:tab w:pos="2967" w:val="left" w:leader="none"/>
        </w:tabs>
        <w:spacing w:line="240" w:lineRule="auto" w:before="197" w:after="0"/>
        <w:ind w:left="2246" w:right="2244" w:firstLine="0"/>
        <w:jc w:val="both"/>
        <w:rPr>
          <w:sz w:val="20"/>
        </w:rPr>
      </w:pPr>
      <w:bookmarkStart w:name="_bookmark56" w:id="57"/>
      <w:bookmarkEnd w:id="57"/>
      <w:r>
        <w:rPr>
          <w:sz w:val="20"/>
        </w:rPr>
        <w:t>In</w:t>
      </w:r>
      <w:r>
        <w:rPr>
          <w:sz w:val="20"/>
        </w:rPr>
        <w:t> 2008, the Assembly accepted the host State’s offer of a loan for the Permanent Premises Project of up to a maximum of €200.0 million, to be repaid over a period of 30 years at an interest rate of 2.5 per cent.</w:t>
      </w:r>
      <w:r>
        <w:rPr>
          <w:sz w:val="20"/>
          <w:vertAlign w:val="superscript"/>
        </w:rPr>
        <w:t>140</w:t>
      </w:r>
    </w:p>
    <w:p>
      <w:pPr>
        <w:pStyle w:val="ListParagraph"/>
        <w:numPr>
          <w:ilvl w:val="0"/>
          <w:numId w:val="4"/>
        </w:numPr>
        <w:tabs>
          <w:tab w:pos="2967" w:val="left" w:leader="none"/>
        </w:tabs>
        <w:spacing w:line="240" w:lineRule="auto" w:before="122" w:after="0"/>
        <w:ind w:left="2246" w:right="2239" w:firstLine="0"/>
        <w:jc w:val="both"/>
        <w:rPr>
          <w:sz w:val="20"/>
        </w:rPr>
      </w:pPr>
      <w:r>
        <w:rPr>
          <w:sz w:val="20"/>
        </w:rPr>
        <w:t>In response to requests from the Committee on Budget and Finance and the Assembly,</w:t>
      </w:r>
      <w:r>
        <w:rPr>
          <w:spacing w:val="-13"/>
          <w:sz w:val="20"/>
        </w:rPr>
        <w:t> </w:t>
      </w:r>
      <w:r>
        <w:rPr>
          <w:sz w:val="20"/>
        </w:rPr>
        <w:t>in</w:t>
      </w:r>
      <w:r>
        <w:rPr>
          <w:spacing w:val="-12"/>
          <w:sz w:val="20"/>
        </w:rPr>
        <w:t> </w:t>
      </w:r>
      <w:r>
        <w:rPr>
          <w:sz w:val="20"/>
        </w:rPr>
        <w:t>its</w:t>
      </w:r>
      <w:r>
        <w:rPr>
          <w:spacing w:val="-13"/>
          <w:sz w:val="20"/>
        </w:rPr>
        <w:t> </w:t>
      </w:r>
      <w:r>
        <w:rPr>
          <w:sz w:val="20"/>
        </w:rPr>
        <w:t>approved</w:t>
      </w:r>
      <w:r>
        <w:rPr>
          <w:spacing w:val="-9"/>
          <w:sz w:val="20"/>
        </w:rPr>
        <w:t> </w:t>
      </w:r>
      <w:r>
        <w:rPr>
          <w:sz w:val="20"/>
        </w:rPr>
        <w:t>budget</w:t>
      </w:r>
      <w:r>
        <w:rPr>
          <w:spacing w:val="-3"/>
          <w:sz w:val="20"/>
        </w:rPr>
        <w:t> </w:t>
      </w:r>
      <w:r>
        <w:rPr>
          <w:sz w:val="20"/>
        </w:rPr>
        <w:t>for</w:t>
      </w:r>
      <w:r>
        <w:rPr>
          <w:spacing w:val="-5"/>
          <w:sz w:val="20"/>
        </w:rPr>
        <w:t> </w:t>
      </w:r>
      <w:r>
        <w:rPr>
          <w:sz w:val="20"/>
        </w:rPr>
        <w:t>2011,</w:t>
      </w:r>
      <w:r>
        <w:rPr>
          <w:spacing w:val="-7"/>
          <w:sz w:val="20"/>
        </w:rPr>
        <w:t> </w:t>
      </w:r>
      <w:r>
        <w:rPr>
          <w:sz w:val="20"/>
        </w:rPr>
        <w:t>the Court</w:t>
      </w:r>
      <w:r>
        <w:rPr>
          <w:spacing w:val="-7"/>
          <w:sz w:val="20"/>
        </w:rPr>
        <w:t> </w:t>
      </w:r>
      <w:r>
        <w:rPr>
          <w:sz w:val="20"/>
        </w:rPr>
        <w:t>established</w:t>
      </w:r>
      <w:r>
        <w:rPr>
          <w:spacing w:val="-5"/>
          <w:sz w:val="20"/>
        </w:rPr>
        <w:t> </w:t>
      </w:r>
      <w:r>
        <w:rPr>
          <w:sz w:val="20"/>
        </w:rPr>
        <w:t>Major</w:t>
      </w:r>
      <w:r>
        <w:rPr>
          <w:spacing w:val="-5"/>
          <w:sz w:val="20"/>
        </w:rPr>
        <w:t> </w:t>
      </w:r>
      <w:r>
        <w:rPr>
          <w:sz w:val="20"/>
        </w:rPr>
        <w:t>Programme</w:t>
      </w:r>
      <w:r>
        <w:rPr>
          <w:spacing w:val="-3"/>
          <w:sz w:val="20"/>
        </w:rPr>
        <w:t> </w:t>
      </w:r>
      <w:r>
        <w:rPr>
          <w:sz w:val="20"/>
        </w:rPr>
        <w:t>VII-2</w:t>
      </w:r>
      <w:r>
        <w:rPr>
          <w:spacing w:val="-5"/>
          <w:sz w:val="20"/>
        </w:rPr>
        <w:t> </w:t>
      </w:r>
      <w:r>
        <w:rPr>
          <w:sz w:val="20"/>
        </w:rPr>
        <w:t>to report on the interest expected to be paid on the loan amounts received by the Court for the Permanent Premises Project.</w:t>
      </w:r>
      <w:r>
        <w:rPr>
          <w:sz w:val="20"/>
          <w:vertAlign w:val="superscript"/>
        </w:rPr>
        <w:t>141</w:t>
      </w:r>
    </w:p>
    <w:p>
      <w:pPr>
        <w:pStyle w:val="ListParagraph"/>
        <w:numPr>
          <w:ilvl w:val="0"/>
          <w:numId w:val="4"/>
        </w:numPr>
        <w:tabs>
          <w:tab w:pos="2967" w:val="left" w:leader="none"/>
        </w:tabs>
        <w:spacing w:line="240" w:lineRule="auto" w:before="117" w:after="0"/>
        <w:ind w:left="2246" w:right="2241" w:firstLine="0"/>
        <w:jc w:val="both"/>
        <w:rPr>
          <w:sz w:val="20"/>
        </w:rPr>
      </w:pPr>
      <w:r>
        <w:rPr>
          <w:sz w:val="20"/>
        </w:rPr>
        <w:t>The financial implications</w:t>
      </w:r>
      <w:r>
        <w:rPr>
          <w:spacing w:val="-1"/>
          <w:sz w:val="20"/>
        </w:rPr>
        <w:t> </w:t>
      </w:r>
      <w:r>
        <w:rPr>
          <w:sz w:val="20"/>
        </w:rPr>
        <w:t>of Major Programme VII-2 are applicable only to those States</w:t>
      </w:r>
      <w:r>
        <w:rPr>
          <w:spacing w:val="-7"/>
          <w:sz w:val="20"/>
        </w:rPr>
        <w:t> </w:t>
      </w:r>
      <w:r>
        <w:rPr>
          <w:sz w:val="20"/>
        </w:rPr>
        <w:t>Parties</w:t>
      </w:r>
      <w:r>
        <w:rPr>
          <w:spacing w:val="-11"/>
          <w:sz w:val="20"/>
        </w:rPr>
        <w:t> </w:t>
      </w:r>
      <w:r>
        <w:rPr>
          <w:sz w:val="20"/>
        </w:rPr>
        <w:t>that</w:t>
      </w:r>
      <w:r>
        <w:rPr>
          <w:spacing w:val="-6"/>
          <w:sz w:val="20"/>
        </w:rPr>
        <w:t> </w:t>
      </w:r>
      <w:r>
        <w:rPr>
          <w:sz w:val="20"/>
        </w:rPr>
        <w:t>did</w:t>
      </w:r>
      <w:r>
        <w:rPr>
          <w:spacing w:val="-9"/>
          <w:sz w:val="20"/>
        </w:rPr>
        <w:t> </w:t>
      </w:r>
      <w:r>
        <w:rPr>
          <w:sz w:val="20"/>
        </w:rPr>
        <w:t>not</w:t>
      </w:r>
      <w:r>
        <w:rPr>
          <w:spacing w:val="-8"/>
          <w:sz w:val="20"/>
        </w:rPr>
        <w:t> </w:t>
      </w:r>
      <w:r>
        <w:rPr>
          <w:sz w:val="20"/>
        </w:rPr>
        <w:t>opt</w:t>
      </w:r>
      <w:r>
        <w:rPr>
          <w:spacing w:val="-8"/>
          <w:sz w:val="20"/>
        </w:rPr>
        <w:t> </w:t>
      </w:r>
      <w:r>
        <w:rPr>
          <w:sz w:val="20"/>
        </w:rPr>
        <w:t>for</w:t>
      </w:r>
      <w:r>
        <w:rPr>
          <w:spacing w:val="-13"/>
          <w:sz w:val="20"/>
        </w:rPr>
        <w:t> </w:t>
      </w:r>
      <w:r>
        <w:rPr>
          <w:sz w:val="20"/>
        </w:rPr>
        <w:t>a</w:t>
      </w:r>
      <w:r>
        <w:rPr>
          <w:spacing w:val="-7"/>
          <w:sz w:val="20"/>
        </w:rPr>
        <w:t> </w:t>
      </w:r>
      <w:r>
        <w:rPr>
          <w:sz w:val="20"/>
        </w:rPr>
        <w:t>one-time</w:t>
      </w:r>
      <w:r>
        <w:rPr>
          <w:spacing w:val="-8"/>
          <w:sz w:val="20"/>
        </w:rPr>
        <w:t> </w:t>
      </w:r>
      <w:r>
        <w:rPr>
          <w:sz w:val="20"/>
        </w:rPr>
        <w:t>payment</w:t>
      </w:r>
      <w:r>
        <w:rPr>
          <w:spacing w:val="-8"/>
          <w:sz w:val="20"/>
        </w:rPr>
        <w:t> </w:t>
      </w:r>
      <w:r>
        <w:rPr>
          <w:sz w:val="20"/>
        </w:rPr>
        <w:t>or</w:t>
      </w:r>
      <w:r>
        <w:rPr>
          <w:spacing w:val="-9"/>
          <w:sz w:val="20"/>
        </w:rPr>
        <w:t> </w:t>
      </w:r>
      <w:r>
        <w:rPr>
          <w:sz w:val="20"/>
        </w:rPr>
        <w:t>did</w:t>
      </w:r>
      <w:r>
        <w:rPr>
          <w:spacing w:val="-9"/>
          <w:sz w:val="20"/>
        </w:rPr>
        <w:t> </w:t>
      </w:r>
      <w:r>
        <w:rPr>
          <w:sz w:val="20"/>
        </w:rPr>
        <w:t>not</w:t>
      </w:r>
      <w:r>
        <w:rPr>
          <w:spacing w:val="-8"/>
          <w:sz w:val="20"/>
        </w:rPr>
        <w:t> </w:t>
      </w:r>
      <w:r>
        <w:rPr>
          <w:sz w:val="20"/>
        </w:rPr>
        <w:t>fully</w:t>
      </w:r>
      <w:r>
        <w:rPr>
          <w:spacing w:val="-9"/>
          <w:sz w:val="20"/>
        </w:rPr>
        <w:t> </w:t>
      </w:r>
      <w:r>
        <w:rPr>
          <w:sz w:val="20"/>
        </w:rPr>
        <w:t>complete</w:t>
      </w:r>
      <w:r>
        <w:rPr>
          <w:spacing w:val="-12"/>
          <w:sz w:val="20"/>
        </w:rPr>
        <w:t> </w:t>
      </w:r>
      <w:r>
        <w:rPr>
          <w:sz w:val="20"/>
        </w:rPr>
        <w:t>their</w:t>
      </w:r>
      <w:r>
        <w:rPr>
          <w:spacing w:val="-9"/>
          <w:sz w:val="20"/>
        </w:rPr>
        <w:t> </w:t>
      </w:r>
      <w:r>
        <w:rPr>
          <w:sz w:val="20"/>
        </w:rPr>
        <w:t>one-time </w:t>
      </w:r>
      <w:r>
        <w:rPr>
          <w:spacing w:val="-2"/>
          <w:sz w:val="20"/>
        </w:rPr>
        <w:t>payments.</w:t>
      </w:r>
      <w:r>
        <w:rPr>
          <w:spacing w:val="-2"/>
          <w:sz w:val="20"/>
          <w:vertAlign w:val="superscript"/>
        </w:rPr>
        <w:t>142</w:t>
      </w:r>
    </w:p>
    <w:p>
      <w:pPr>
        <w:pStyle w:val="ListParagraph"/>
        <w:numPr>
          <w:ilvl w:val="0"/>
          <w:numId w:val="4"/>
        </w:numPr>
        <w:tabs>
          <w:tab w:pos="2967" w:val="left" w:leader="none"/>
        </w:tabs>
        <w:spacing w:line="240" w:lineRule="auto" w:before="122" w:after="0"/>
        <w:ind w:left="2246" w:right="2240" w:firstLine="0"/>
        <w:jc w:val="both"/>
        <w:rPr>
          <w:sz w:val="20"/>
        </w:rPr>
      </w:pPr>
      <w:r>
        <w:rPr>
          <w:sz w:val="20"/>
        </w:rPr>
        <w:t>The</w:t>
      </w:r>
      <w:r>
        <w:rPr>
          <w:spacing w:val="-3"/>
          <w:sz w:val="20"/>
        </w:rPr>
        <w:t> </w:t>
      </w:r>
      <w:r>
        <w:rPr>
          <w:sz w:val="20"/>
        </w:rPr>
        <w:t>loan</w:t>
      </w:r>
      <w:r>
        <w:rPr>
          <w:spacing w:val="-5"/>
          <w:sz w:val="20"/>
        </w:rPr>
        <w:t> </w:t>
      </w:r>
      <w:r>
        <w:rPr>
          <w:sz w:val="20"/>
        </w:rPr>
        <w:t>agreement</w:t>
      </w:r>
      <w:r>
        <w:rPr>
          <w:spacing w:val="-3"/>
          <w:sz w:val="20"/>
        </w:rPr>
        <w:t> </w:t>
      </w:r>
      <w:r>
        <w:rPr>
          <w:sz w:val="20"/>
        </w:rPr>
        <w:t>between</w:t>
      </w:r>
      <w:r>
        <w:rPr>
          <w:spacing w:val="-9"/>
          <w:sz w:val="20"/>
        </w:rPr>
        <w:t> </w:t>
      </w:r>
      <w:r>
        <w:rPr>
          <w:sz w:val="20"/>
        </w:rPr>
        <w:t>the</w:t>
      </w:r>
      <w:r>
        <w:rPr>
          <w:spacing w:val="-3"/>
          <w:sz w:val="20"/>
        </w:rPr>
        <w:t> </w:t>
      </w:r>
      <w:r>
        <w:rPr>
          <w:sz w:val="20"/>
        </w:rPr>
        <w:t>host State</w:t>
      </w:r>
      <w:r>
        <w:rPr>
          <w:spacing w:val="-3"/>
          <w:sz w:val="20"/>
        </w:rPr>
        <w:t> </w:t>
      </w:r>
      <w:r>
        <w:rPr>
          <w:sz w:val="20"/>
        </w:rPr>
        <w:t>and</w:t>
      </w:r>
      <w:r>
        <w:rPr>
          <w:spacing w:val="-5"/>
          <w:sz w:val="20"/>
        </w:rPr>
        <w:t> </w:t>
      </w:r>
      <w:r>
        <w:rPr>
          <w:sz w:val="20"/>
        </w:rPr>
        <w:t>the</w:t>
      </w:r>
      <w:r>
        <w:rPr>
          <w:spacing w:val="-3"/>
          <w:sz w:val="20"/>
        </w:rPr>
        <w:t> </w:t>
      </w:r>
      <w:r>
        <w:rPr>
          <w:sz w:val="20"/>
        </w:rPr>
        <w:t>Court</w:t>
      </w:r>
      <w:r>
        <w:rPr>
          <w:spacing w:val="-3"/>
          <w:sz w:val="20"/>
        </w:rPr>
        <w:t> </w:t>
      </w:r>
      <w:r>
        <w:rPr>
          <w:sz w:val="20"/>
        </w:rPr>
        <w:t>stipulates</w:t>
      </w:r>
      <w:r>
        <w:rPr>
          <w:spacing w:val="-6"/>
          <w:sz w:val="20"/>
        </w:rPr>
        <w:t> </w:t>
      </w:r>
      <w:r>
        <w:rPr>
          <w:sz w:val="20"/>
        </w:rPr>
        <w:t>that</w:t>
      </w:r>
      <w:r>
        <w:rPr>
          <w:spacing w:val="-3"/>
          <w:sz w:val="20"/>
        </w:rPr>
        <w:t> </w:t>
      </w:r>
      <w:r>
        <w:rPr>
          <w:sz w:val="20"/>
        </w:rPr>
        <w:t>the</w:t>
      </w:r>
      <w:r>
        <w:rPr>
          <w:spacing w:val="-3"/>
          <w:sz w:val="20"/>
        </w:rPr>
        <w:t> </w:t>
      </w:r>
      <w:r>
        <w:rPr>
          <w:sz w:val="20"/>
        </w:rPr>
        <w:t>interest due from the Court</w:t>
      </w:r>
      <w:r>
        <w:rPr>
          <w:spacing w:val="-2"/>
          <w:sz w:val="20"/>
        </w:rPr>
        <w:t> </w:t>
      </w:r>
      <w:r>
        <w:rPr>
          <w:sz w:val="20"/>
        </w:rPr>
        <w:t>to the host State over</w:t>
      </w:r>
      <w:r>
        <w:rPr>
          <w:spacing w:val="-4"/>
          <w:sz w:val="20"/>
        </w:rPr>
        <w:t> </w:t>
      </w:r>
      <w:r>
        <w:rPr>
          <w:sz w:val="20"/>
        </w:rPr>
        <w:t>the preceding calendar year and/or</w:t>
      </w:r>
      <w:r>
        <w:rPr>
          <w:spacing w:val="-4"/>
          <w:sz w:val="20"/>
        </w:rPr>
        <w:t> </w:t>
      </w:r>
      <w:r>
        <w:rPr>
          <w:sz w:val="20"/>
        </w:rPr>
        <w:t>any repayment to be applied to previous calendar years is to be paid by the Court on the due date (namely on or before 1 February of each calendar year).</w:t>
      </w:r>
      <w:r>
        <w:rPr>
          <w:sz w:val="20"/>
          <w:vertAlign w:val="superscript"/>
        </w:rPr>
        <w:t>143</w:t>
      </w:r>
    </w:p>
    <w:p>
      <w:pPr>
        <w:pStyle w:val="ListParagraph"/>
        <w:numPr>
          <w:ilvl w:val="0"/>
          <w:numId w:val="4"/>
        </w:numPr>
        <w:tabs>
          <w:tab w:pos="2967" w:val="left" w:leader="none"/>
        </w:tabs>
        <w:spacing w:line="240" w:lineRule="auto" w:before="121" w:after="0"/>
        <w:ind w:left="2967" w:right="0" w:hanging="721"/>
        <w:jc w:val="both"/>
        <w:rPr>
          <w:sz w:val="20"/>
        </w:rPr>
      </w:pPr>
      <w:r>
        <w:rPr>
          <w:sz w:val="20"/>
        </w:rPr>
        <w:t>The</w:t>
      </w:r>
      <w:r>
        <w:rPr>
          <w:spacing w:val="-5"/>
          <w:sz w:val="20"/>
        </w:rPr>
        <w:t> </w:t>
      </w:r>
      <w:r>
        <w:rPr>
          <w:sz w:val="20"/>
        </w:rPr>
        <w:t>impact</w:t>
      </w:r>
      <w:r>
        <w:rPr>
          <w:spacing w:val="-4"/>
          <w:sz w:val="20"/>
        </w:rPr>
        <w:t> </w:t>
      </w:r>
      <w:r>
        <w:rPr>
          <w:sz w:val="20"/>
        </w:rPr>
        <w:t>over</w:t>
      </w:r>
      <w:r>
        <w:rPr>
          <w:spacing w:val="-4"/>
          <w:sz w:val="20"/>
        </w:rPr>
        <w:t> </w:t>
      </w:r>
      <w:r>
        <w:rPr>
          <w:sz w:val="20"/>
        </w:rPr>
        <w:t>the</w:t>
      </w:r>
      <w:r>
        <w:rPr>
          <w:spacing w:val="-4"/>
          <w:sz w:val="20"/>
        </w:rPr>
        <w:t> </w:t>
      </w:r>
      <w:r>
        <w:rPr>
          <w:sz w:val="20"/>
        </w:rPr>
        <w:t>coming</w:t>
      </w:r>
      <w:r>
        <w:rPr>
          <w:spacing w:val="-6"/>
          <w:sz w:val="20"/>
        </w:rPr>
        <w:t> </w:t>
      </w:r>
      <w:r>
        <w:rPr>
          <w:sz w:val="20"/>
        </w:rPr>
        <w:t>years</w:t>
      </w:r>
      <w:r>
        <w:rPr>
          <w:spacing w:val="-8"/>
          <w:sz w:val="20"/>
        </w:rPr>
        <w:t> </w:t>
      </w:r>
      <w:r>
        <w:rPr>
          <w:sz w:val="20"/>
        </w:rPr>
        <w:t>is</w:t>
      </w:r>
      <w:r>
        <w:rPr>
          <w:spacing w:val="-2"/>
          <w:sz w:val="20"/>
        </w:rPr>
        <w:t> </w:t>
      </w:r>
      <w:r>
        <w:rPr>
          <w:sz w:val="20"/>
        </w:rPr>
        <w:t>shown</w:t>
      </w:r>
      <w:r>
        <w:rPr>
          <w:spacing w:val="-7"/>
          <w:sz w:val="20"/>
        </w:rPr>
        <w:t> </w:t>
      </w:r>
      <w:r>
        <w:rPr>
          <w:sz w:val="20"/>
        </w:rPr>
        <w:t>in</w:t>
      </w:r>
      <w:r>
        <w:rPr>
          <w:spacing w:val="-6"/>
          <w:sz w:val="20"/>
        </w:rPr>
        <w:t> </w:t>
      </w:r>
      <w:r>
        <w:rPr>
          <w:sz w:val="20"/>
        </w:rPr>
        <w:t>greater</w:t>
      </w:r>
      <w:r>
        <w:rPr>
          <w:spacing w:val="-6"/>
          <w:sz w:val="20"/>
        </w:rPr>
        <w:t> </w:t>
      </w:r>
      <w:r>
        <w:rPr>
          <w:sz w:val="20"/>
        </w:rPr>
        <w:t>detail</w:t>
      </w:r>
      <w:r>
        <w:rPr>
          <w:spacing w:val="-4"/>
          <w:sz w:val="20"/>
        </w:rPr>
        <w:t> </w:t>
      </w:r>
      <w:r>
        <w:rPr>
          <w:spacing w:val="-2"/>
          <w:sz w:val="20"/>
        </w:rPr>
        <w:t>below.</w:t>
      </w:r>
    </w:p>
    <w:p>
      <w:pPr>
        <w:pStyle w:val="Heading3"/>
        <w:spacing w:before="122"/>
        <w:jc w:val="both"/>
      </w:pPr>
      <w:r>
        <w:rPr/>
        <w:t>Table</w:t>
      </w:r>
      <w:r>
        <w:rPr>
          <w:spacing w:val="-6"/>
        </w:rPr>
        <w:t> </w:t>
      </w:r>
      <w:r>
        <w:rPr/>
        <w:t>45:</w:t>
      </w:r>
      <w:r>
        <w:rPr>
          <w:spacing w:val="-7"/>
        </w:rPr>
        <w:t> </w:t>
      </w:r>
      <w:r>
        <w:rPr/>
        <w:t>Loan</w:t>
      </w:r>
      <w:r>
        <w:rPr>
          <w:spacing w:val="-9"/>
        </w:rPr>
        <w:t> </w:t>
      </w:r>
      <w:r>
        <w:rPr/>
        <w:t>repayment</w:t>
      </w:r>
      <w:r>
        <w:rPr>
          <w:spacing w:val="-7"/>
        </w:rPr>
        <w:t> </w:t>
      </w:r>
      <w:r>
        <w:rPr/>
        <w:t>impact</w:t>
      </w:r>
      <w:r>
        <w:rPr>
          <w:spacing w:val="-3"/>
        </w:rPr>
        <w:t> </w:t>
      </w:r>
      <w:r>
        <w:rPr/>
        <w:t>over</w:t>
      </w:r>
      <w:r>
        <w:rPr>
          <w:spacing w:val="-1"/>
        </w:rPr>
        <w:t> </w:t>
      </w:r>
      <w:r>
        <w:rPr/>
        <w:t>the</w:t>
      </w:r>
      <w:r>
        <w:rPr>
          <w:spacing w:val="-5"/>
        </w:rPr>
        <w:t> </w:t>
      </w:r>
      <w:r>
        <w:rPr/>
        <w:t>coming</w:t>
      </w:r>
      <w:r>
        <w:rPr>
          <w:spacing w:val="-3"/>
        </w:rPr>
        <w:t> </w:t>
      </w:r>
      <w:r>
        <w:rPr/>
        <w:t>years</w:t>
      </w:r>
      <w:r>
        <w:rPr>
          <w:spacing w:val="-8"/>
        </w:rPr>
        <w:t> </w:t>
      </w:r>
      <w:r>
        <w:rPr/>
        <w:t>(in</w:t>
      </w:r>
      <w:r>
        <w:rPr>
          <w:spacing w:val="-3"/>
        </w:rPr>
        <w:t> </w:t>
      </w:r>
      <w:r>
        <w:rPr>
          <w:spacing w:val="-2"/>
        </w:rPr>
        <w:t>euros)</w:t>
      </w:r>
    </w:p>
    <w:tbl>
      <w:tblPr>
        <w:tblW w:w="0" w:type="auto"/>
        <w:jc w:val="left"/>
        <w:tblInd w:w="1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98"/>
        <w:gridCol w:w="1765"/>
        <w:gridCol w:w="1539"/>
        <w:gridCol w:w="1438"/>
        <w:gridCol w:w="1409"/>
        <w:gridCol w:w="1052"/>
      </w:tblGrid>
      <w:tr>
        <w:trPr>
          <w:trHeight w:val="325" w:hRule="atLeast"/>
        </w:trPr>
        <w:tc>
          <w:tcPr>
            <w:tcW w:w="1998" w:type="dxa"/>
            <w:tcBorders>
              <w:top w:val="single" w:sz="4" w:space="0" w:color="000000"/>
              <w:bottom w:val="single" w:sz="4" w:space="0" w:color="000000"/>
            </w:tcBorders>
          </w:tcPr>
          <w:p>
            <w:pPr>
              <w:pStyle w:val="TableParagraph"/>
              <w:jc w:val="left"/>
              <w:rPr>
                <w:sz w:val="18"/>
              </w:rPr>
            </w:pPr>
          </w:p>
        </w:tc>
        <w:tc>
          <w:tcPr>
            <w:tcW w:w="1765" w:type="dxa"/>
            <w:tcBorders>
              <w:top w:val="single" w:sz="4" w:space="0" w:color="000000"/>
              <w:bottom w:val="single" w:sz="4" w:space="0" w:color="000000"/>
            </w:tcBorders>
          </w:tcPr>
          <w:p>
            <w:pPr>
              <w:pStyle w:val="TableParagraph"/>
              <w:spacing w:before="62"/>
              <w:ind w:right="457"/>
              <w:rPr>
                <w:i/>
                <w:sz w:val="18"/>
              </w:rPr>
            </w:pPr>
            <w:r>
              <w:rPr>
                <w:i/>
                <w:spacing w:val="-4"/>
                <w:sz w:val="18"/>
              </w:rPr>
              <w:t>2020</w:t>
            </w:r>
          </w:p>
        </w:tc>
        <w:tc>
          <w:tcPr>
            <w:tcW w:w="1539" w:type="dxa"/>
            <w:tcBorders>
              <w:top w:val="single" w:sz="4" w:space="0" w:color="000000"/>
              <w:bottom w:val="single" w:sz="4" w:space="0" w:color="000000"/>
            </w:tcBorders>
          </w:tcPr>
          <w:p>
            <w:pPr>
              <w:pStyle w:val="TableParagraph"/>
              <w:spacing w:before="62"/>
              <w:ind w:right="354"/>
              <w:rPr>
                <w:i/>
                <w:sz w:val="18"/>
              </w:rPr>
            </w:pPr>
            <w:r>
              <w:rPr>
                <w:i/>
                <w:spacing w:val="-4"/>
                <w:sz w:val="18"/>
              </w:rPr>
              <w:t>2021</w:t>
            </w:r>
          </w:p>
        </w:tc>
        <w:tc>
          <w:tcPr>
            <w:tcW w:w="1438" w:type="dxa"/>
            <w:tcBorders>
              <w:top w:val="single" w:sz="4" w:space="0" w:color="000000"/>
              <w:bottom w:val="single" w:sz="4" w:space="0" w:color="000000"/>
            </w:tcBorders>
          </w:tcPr>
          <w:p>
            <w:pPr>
              <w:pStyle w:val="TableParagraph"/>
              <w:spacing w:before="62"/>
              <w:ind w:right="356"/>
              <w:rPr>
                <w:i/>
                <w:sz w:val="18"/>
              </w:rPr>
            </w:pPr>
            <w:r>
              <w:rPr>
                <w:i/>
                <w:spacing w:val="-4"/>
                <w:sz w:val="18"/>
              </w:rPr>
              <w:t>2022</w:t>
            </w:r>
          </w:p>
        </w:tc>
        <w:tc>
          <w:tcPr>
            <w:tcW w:w="1409" w:type="dxa"/>
            <w:tcBorders>
              <w:top w:val="single" w:sz="4" w:space="0" w:color="000000"/>
              <w:bottom w:val="single" w:sz="4" w:space="0" w:color="000000"/>
            </w:tcBorders>
          </w:tcPr>
          <w:p>
            <w:pPr>
              <w:pStyle w:val="TableParagraph"/>
              <w:spacing w:before="62"/>
              <w:ind w:right="324"/>
              <w:rPr>
                <w:i/>
                <w:sz w:val="18"/>
              </w:rPr>
            </w:pPr>
            <w:r>
              <w:rPr>
                <w:i/>
                <w:spacing w:val="-4"/>
                <w:sz w:val="18"/>
              </w:rPr>
              <w:t>2023</w:t>
            </w:r>
          </w:p>
        </w:tc>
        <w:tc>
          <w:tcPr>
            <w:tcW w:w="1052" w:type="dxa"/>
            <w:tcBorders>
              <w:top w:val="single" w:sz="4" w:space="0" w:color="000000"/>
              <w:bottom w:val="single" w:sz="4" w:space="0" w:color="000000"/>
            </w:tcBorders>
          </w:tcPr>
          <w:p>
            <w:pPr>
              <w:pStyle w:val="TableParagraph"/>
              <w:spacing w:before="62"/>
              <w:rPr>
                <w:i/>
                <w:sz w:val="18"/>
              </w:rPr>
            </w:pPr>
            <w:r>
              <w:rPr>
                <w:i/>
                <w:spacing w:val="-4"/>
                <w:sz w:val="18"/>
              </w:rPr>
              <w:t>2024</w:t>
            </w:r>
          </w:p>
        </w:tc>
      </w:tr>
      <w:tr>
        <w:trPr>
          <w:trHeight w:val="303" w:hRule="atLeast"/>
        </w:trPr>
        <w:tc>
          <w:tcPr>
            <w:tcW w:w="1998" w:type="dxa"/>
            <w:tcBorders>
              <w:top w:val="single" w:sz="4" w:space="0" w:color="000000"/>
            </w:tcBorders>
          </w:tcPr>
          <w:p>
            <w:pPr>
              <w:pStyle w:val="TableParagraph"/>
              <w:spacing w:before="62"/>
              <w:ind w:left="14"/>
              <w:jc w:val="left"/>
              <w:rPr>
                <w:b/>
                <w:sz w:val="18"/>
              </w:rPr>
            </w:pPr>
            <w:r>
              <w:rPr>
                <w:b/>
                <w:sz w:val="18"/>
              </w:rPr>
              <w:t>Loan</w:t>
            </w:r>
            <w:r>
              <w:rPr>
                <w:b/>
                <w:spacing w:val="-1"/>
                <w:sz w:val="18"/>
              </w:rPr>
              <w:t> </w:t>
            </w:r>
            <w:r>
              <w:rPr>
                <w:b/>
                <w:spacing w:val="-2"/>
                <w:sz w:val="18"/>
              </w:rPr>
              <w:t>repayment</w:t>
            </w:r>
          </w:p>
        </w:tc>
        <w:tc>
          <w:tcPr>
            <w:tcW w:w="1765" w:type="dxa"/>
            <w:tcBorders>
              <w:top w:val="single" w:sz="4" w:space="0" w:color="000000"/>
            </w:tcBorders>
          </w:tcPr>
          <w:p>
            <w:pPr>
              <w:pStyle w:val="TableParagraph"/>
              <w:jc w:val="left"/>
              <w:rPr>
                <w:sz w:val="18"/>
              </w:rPr>
            </w:pPr>
          </w:p>
        </w:tc>
        <w:tc>
          <w:tcPr>
            <w:tcW w:w="1539" w:type="dxa"/>
            <w:tcBorders>
              <w:top w:val="single" w:sz="4" w:space="0" w:color="000000"/>
            </w:tcBorders>
          </w:tcPr>
          <w:p>
            <w:pPr>
              <w:pStyle w:val="TableParagraph"/>
              <w:jc w:val="left"/>
              <w:rPr>
                <w:sz w:val="18"/>
              </w:rPr>
            </w:pPr>
          </w:p>
        </w:tc>
        <w:tc>
          <w:tcPr>
            <w:tcW w:w="1438" w:type="dxa"/>
            <w:tcBorders>
              <w:top w:val="single" w:sz="4" w:space="0" w:color="000000"/>
            </w:tcBorders>
          </w:tcPr>
          <w:p>
            <w:pPr>
              <w:pStyle w:val="TableParagraph"/>
              <w:jc w:val="left"/>
              <w:rPr>
                <w:sz w:val="18"/>
              </w:rPr>
            </w:pPr>
          </w:p>
        </w:tc>
        <w:tc>
          <w:tcPr>
            <w:tcW w:w="1409" w:type="dxa"/>
            <w:tcBorders>
              <w:top w:val="single" w:sz="4" w:space="0" w:color="000000"/>
            </w:tcBorders>
          </w:tcPr>
          <w:p>
            <w:pPr>
              <w:pStyle w:val="TableParagraph"/>
              <w:jc w:val="left"/>
              <w:rPr>
                <w:sz w:val="18"/>
              </w:rPr>
            </w:pPr>
          </w:p>
        </w:tc>
        <w:tc>
          <w:tcPr>
            <w:tcW w:w="1052" w:type="dxa"/>
            <w:tcBorders>
              <w:top w:val="single" w:sz="4" w:space="0" w:color="000000"/>
            </w:tcBorders>
          </w:tcPr>
          <w:p>
            <w:pPr>
              <w:pStyle w:val="TableParagraph"/>
              <w:jc w:val="left"/>
              <w:rPr>
                <w:sz w:val="18"/>
              </w:rPr>
            </w:pPr>
          </w:p>
        </w:tc>
      </w:tr>
      <w:tr>
        <w:trPr>
          <w:trHeight w:val="291" w:hRule="atLeast"/>
        </w:trPr>
        <w:tc>
          <w:tcPr>
            <w:tcW w:w="1998" w:type="dxa"/>
            <w:tcBorders>
              <w:bottom w:val="single" w:sz="4" w:space="0" w:color="000000"/>
            </w:tcBorders>
          </w:tcPr>
          <w:p>
            <w:pPr>
              <w:pStyle w:val="TableParagraph"/>
              <w:spacing w:before="28"/>
              <w:ind w:left="14"/>
              <w:jc w:val="left"/>
              <w:rPr>
                <w:sz w:val="18"/>
              </w:rPr>
            </w:pPr>
            <w:r>
              <w:rPr>
                <w:sz w:val="18"/>
              </w:rPr>
              <w:t>Capital</w:t>
            </w:r>
            <w:r>
              <w:rPr>
                <w:spacing w:val="-1"/>
                <w:sz w:val="18"/>
              </w:rPr>
              <w:t> </w:t>
            </w:r>
            <w:r>
              <w:rPr>
                <w:sz w:val="18"/>
              </w:rPr>
              <w:t>and</w:t>
            </w:r>
            <w:r>
              <w:rPr>
                <w:spacing w:val="-3"/>
                <w:sz w:val="18"/>
              </w:rPr>
              <w:t> </w:t>
            </w:r>
            <w:r>
              <w:rPr>
                <w:spacing w:val="-2"/>
                <w:sz w:val="18"/>
              </w:rPr>
              <w:t>interest</w:t>
            </w:r>
          </w:p>
        </w:tc>
        <w:tc>
          <w:tcPr>
            <w:tcW w:w="1765" w:type="dxa"/>
            <w:tcBorders>
              <w:bottom w:val="single" w:sz="4" w:space="0" w:color="000000"/>
            </w:tcBorders>
          </w:tcPr>
          <w:p>
            <w:pPr>
              <w:pStyle w:val="TableParagraph"/>
              <w:spacing w:before="28"/>
              <w:ind w:right="457"/>
              <w:rPr>
                <w:sz w:val="18"/>
              </w:rPr>
            </w:pPr>
            <w:r>
              <w:rPr>
                <w:spacing w:val="-2"/>
                <w:sz w:val="18"/>
              </w:rPr>
              <w:t>3,585,127</w:t>
            </w:r>
          </w:p>
        </w:tc>
        <w:tc>
          <w:tcPr>
            <w:tcW w:w="1539" w:type="dxa"/>
            <w:tcBorders>
              <w:bottom w:val="single" w:sz="4" w:space="0" w:color="000000"/>
            </w:tcBorders>
          </w:tcPr>
          <w:p>
            <w:pPr>
              <w:pStyle w:val="TableParagraph"/>
              <w:spacing w:before="28"/>
              <w:ind w:right="354"/>
              <w:rPr>
                <w:sz w:val="18"/>
              </w:rPr>
            </w:pPr>
            <w:r>
              <w:rPr>
                <w:spacing w:val="-2"/>
                <w:sz w:val="18"/>
              </w:rPr>
              <w:t>3,585,127</w:t>
            </w:r>
          </w:p>
        </w:tc>
        <w:tc>
          <w:tcPr>
            <w:tcW w:w="1438" w:type="dxa"/>
            <w:tcBorders>
              <w:bottom w:val="single" w:sz="4" w:space="0" w:color="000000"/>
            </w:tcBorders>
          </w:tcPr>
          <w:p>
            <w:pPr>
              <w:pStyle w:val="TableParagraph"/>
              <w:spacing w:before="28"/>
              <w:ind w:right="356"/>
              <w:rPr>
                <w:sz w:val="18"/>
              </w:rPr>
            </w:pPr>
            <w:r>
              <w:rPr>
                <w:spacing w:val="-2"/>
                <w:sz w:val="18"/>
              </w:rPr>
              <w:t>3,585,127</w:t>
            </w:r>
          </w:p>
        </w:tc>
        <w:tc>
          <w:tcPr>
            <w:tcW w:w="1409" w:type="dxa"/>
            <w:tcBorders>
              <w:bottom w:val="single" w:sz="4" w:space="0" w:color="000000"/>
            </w:tcBorders>
          </w:tcPr>
          <w:p>
            <w:pPr>
              <w:pStyle w:val="TableParagraph"/>
              <w:spacing w:before="28"/>
              <w:ind w:right="325"/>
              <w:rPr>
                <w:sz w:val="18"/>
              </w:rPr>
            </w:pPr>
            <w:r>
              <w:rPr>
                <w:spacing w:val="-2"/>
                <w:sz w:val="18"/>
              </w:rPr>
              <w:t>3,585,127</w:t>
            </w:r>
          </w:p>
        </w:tc>
        <w:tc>
          <w:tcPr>
            <w:tcW w:w="1052" w:type="dxa"/>
            <w:tcBorders>
              <w:bottom w:val="single" w:sz="4" w:space="0" w:color="000000"/>
            </w:tcBorders>
          </w:tcPr>
          <w:p>
            <w:pPr>
              <w:pStyle w:val="TableParagraph"/>
              <w:spacing w:before="28"/>
              <w:ind w:right="1"/>
              <w:rPr>
                <w:sz w:val="18"/>
              </w:rPr>
            </w:pPr>
            <w:r>
              <w:rPr>
                <w:spacing w:val="-2"/>
                <w:sz w:val="18"/>
              </w:rPr>
              <w:t>3,585,127</w:t>
            </w:r>
          </w:p>
        </w:tc>
      </w:tr>
      <w:tr>
        <w:trPr>
          <w:trHeight w:val="325" w:hRule="atLeast"/>
        </w:trPr>
        <w:tc>
          <w:tcPr>
            <w:tcW w:w="1998" w:type="dxa"/>
            <w:tcBorders>
              <w:top w:val="single" w:sz="4" w:space="0" w:color="000000"/>
              <w:bottom w:val="single" w:sz="4" w:space="0" w:color="000000"/>
            </w:tcBorders>
          </w:tcPr>
          <w:p>
            <w:pPr>
              <w:pStyle w:val="TableParagraph"/>
              <w:spacing w:before="62"/>
              <w:ind w:left="14"/>
              <w:jc w:val="left"/>
              <w:rPr>
                <w:b/>
                <w:sz w:val="18"/>
              </w:rPr>
            </w:pPr>
            <w:r>
              <w:rPr>
                <w:b/>
                <w:sz w:val="18"/>
              </w:rPr>
              <w:t>Total</w:t>
            </w:r>
            <w:r>
              <w:rPr>
                <w:b/>
                <w:spacing w:val="2"/>
                <w:sz w:val="18"/>
              </w:rPr>
              <w:t> </w:t>
            </w:r>
            <w:r>
              <w:rPr>
                <w:b/>
                <w:spacing w:val="-2"/>
                <w:sz w:val="18"/>
              </w:rPr>
              <w:t>payments</w:t>
            </w:r>
          </w:p>
        </w:tc>
        <w:tc>
          <w:tcPr>
            <w:tcW w:w="1765" w:type="dxa"/>
            <w:tcBorders>
              <w:top w:val="single" w:sz="4" w:space="0" w:color="000000"/>
              <w:bottom w:val="single" w:sz="4" w:space="0" w:color="000000"/>
            </w:tcBorders>
          </w:tcPr>
          <w:p>
            <w:pPr>
              <w:pStyle w:val="TableParagraph"/>
              <w:spacing w:before="62"/>
              <w:ind w:right="457"/>
              <w:rPr>
                <w:b/>
                <w:sz w:val="18"/>
              </w:rPr>
            </w:pPr>
            <w:r>
              <w:rPr>
                <w:b/>
                <w:spacing w:val="-2"/>
                <w:sz w:val="18"/>
              </w:rPr>
              <w:t>3,585,127</w:t>
            </w:r>
          </w:p>
        </w:tc>
        <w:tc>
          <w:tcPr>
            <w:tcW w:w="1539" w:type="dxa"/>
            <w:tcBorders>
              <w:top w:val="single" w:sz="4" w:space="0" w:color="000000"/>
              <w:bottom w:val="single" w:sz="4" w:space="0" w:color="000000"/>
            </w:tcBorders>
          </w:tcPr>
          <w:p>
            <w:pPr>
              <w:pStyle w:val="TableParagraph"/>
              <w:spacing w:before="62"/>
              <w:ind w:right="354"/>
              <w:rPr>
                <w:b/>
                <w:sz w:val="18"/>
              </w:rPr>
            </w:pPr>
            <w:r>
              <w:rPr>
                <w:b/>
                <w:spacing w:val="-2"/>
                <w:sz w:val="18"/>
              </w:rPr>
              <w:t>3,585,127</w:t>
            </w:r>
          </w:p>
        </w:tc>
        <w:tc>
          <w:tcPr>
            <w:tcW w:w="1438" w:type="dxa"/>
            <w:tcBorders>
              <w:top w:val="single" w:sz="4" w:space="0" w:color="000000"/>
              <w:bottom w:val="single" w:sz="4" w:space="0" w:color="000000"/>
            </w:tcBorders>
          </w:tcPr>
          <w:p>
            <w:pPr>
              <w:pStyle w:val="TableParagraph"/>
              <w:spacing w:before="62"/>
              <w:ind w:right="356"/>
              <w:rPr>
                <w:b/>
                <w:sz w:val="18"/>
              </w:rPr>
            </w:pPr>
            <w:r>
              <w:rPr>
                <w:b/>
                <w:spacing w:val="-2"/>
                <w:sz w:val="18"/>
              </w:rPr>
              <w:t>3,585,127</w:t>
            </w:r>
          </w:p>
        </w:tc>
        <w:tc>
          <w:tcPr>
            <w:tcW w:w="1409" w:type="dxa"/>
            <w:tcBorders>
              <w:top w:val="single" w:sz="4" w:space="0" w:color="000000"/>
              <w:bottom w:val="single" w:sz="4" w:space="0" w:color="000000"/>
            </w:tcBorders>
          </w:tcPr>
          <w:p>
            <w:pPr>
              <w:pStyle w:val="TableParagraph"/>
              <w:spacing w:before="62"/>
              <w:ind w:right="325"/>
              <w:rPr>
                <w:b/>
                <w:sz w:val="18"/>
              </w:rPr>
            </w:pPr>
            <w:r>
              <w:rPr>
                <w:b/>
                <w:spacing w:val="-2"/>
                <w:sz w:val="18"/>
              </w:rPr>
              <w:t>3,585,127</w:t>
            </w:r>
          </w:p>
        </w:tc>
        <w:tc>
          <w:tcPr>
            <w:tcW w:w="1052" w:type="dxa"/>
            <w:tcBorders>
              <w:top w:val="single" w:sz="4" w:space="0" w:color="000000"/>
              <w:bottom w:val="single" w:sz="4" w:space="0" w:color="000000"/>
            </w:tcBorders>
          </w:tcPr>
          <w:p>
            <w:pPr>
              <w:pStyle w:val="TableParagraph"/>
              <w:spacing w:before="62"/>
              <w:ind w:right="1"/>
              <w:rPr>
                <w:b/>
                <w:sz w:val="18"/>
              </w:rPr>
            </w:pPr>
            <w:r>
              <w:rPr>
                <w:b/>
                <w:spacing w:val="-2"/>
                <w:sz w:val="18"/>
              </w:rPr>
              <w:t>3,585,127</w:t>
            </w:r>
          </w:p>
        </w:tc>
      </w:tr>
    </w:tbl>
    <w:p>
      <w:pPr>
        <w:pStyle w:val="ListParagraph"/>
        <w:numPr>
          <w:ilvl w:val="0"/>
          <w:numId w:val="4"/>
        </w:numPr>
        <w:tabs>
          <w:tab w:pos="2967" w:val="left" w:leader="none"/>
        </w:tabs>
        <w:spacing w:line="240" w:lineRule="auto" w:before="123" w:after="0"/>
        <w:ind w:left="2246" w:right="2243" w:firstLine="0"/>
        <w:jc w:val="both"/>
        <w:rPr>
          <w:sz w:val="20"/>
        </w:rPr>
      </w:pPr>
      <w:r>
        <w:rPr>
          <w:sz w:val="20"/>
        </w:rPr>
        <w:t>Repayment of the loan started after surrender of the interim premises leases on 30 June</w:t>
      </w:r>
      <w:r>
        <w:rPr>
          <w:spacing w:val="-6"/>
          <w:sz w:val="20"/>
        </w:rPr>
        <w:t> </w:t>
      </w:r>
      <w:r>
        <w:rPr>
          <w:sz w:val="20"/>
        </w:rPr>
        <w:t>2016.</w:t>
      </w:r>
      <w:r>
        <w:rPr>
          <w:spacing w:val="-4"/>
          <w:sz w:val="20"/>
        </w:rPr>
        <w:t> </w:t>
      </w:r>
      <w:r>
        <w:rPr>
          <w:sz w:val="20"/>
        </w:rPr>
        <w:t>Capital</w:t>
      </w:r>
      <w:r>
        <w:rPr>
          <w:spacing w:val="-10"/>
          <w:sz w:val="20"/>
        </w:rPr>
        <w:t> </w:t>
      </w:r>
      <w:r>
        <w:rPr>
          <w:sz w:val="20"/>
        </w:rPr>
        <w:t>and</w:t>
      </w:r>
      <w:r>
        <w:rPr>
          <w:spacing w:val="-12"/>
          <w:sz w:val="20"/>
        </w:rPr>
        <w:t> </w:t>
      </w:r>
      <w:r>
        <w:rPr>
          <w:sz w:val="20"/>
        </w:rPr>
        <w:t>interest</w:t>
      </w:r>
      <w:r>
        <w:rPr>
          <w:spacing w:val="-6"/>
          <w:sz w:val="20"/>
        </w:rPr>
        <w:t> </w:t>
      </w:r>
      <w:r>
        <w:rPr>
          <w:sz w:val="20"/>
        </w:rPr>
        <w:t>owed</w:t>
      </w:r>
      <w:r>
        <w:rPr>
          <w:spacing w:val="-12"/>
          <w:sz w:val="20"/>
        </w:rPr>
        <w:t> </w:t>
      </w:r>
      <w:r>
        <w:rPr>
          <w:sz w:val="20"/>
        </w:rPr>
        <w:t>for</w:t>
      </w:r>
      <w:r>
        <w:rPr>
          <w:spacing w:val="-12"/>
          <w:sz w:val="20"/>
        </w:rPr>
        <w:t> </w:t>
      </w:r>
      <w:r>
        <w:rPr>
          <w:sz w:val="20"/>
        </w:rPr>
        <w:t>the</w:t>
      </w:r>
      <w:r>
        <w:rPr>
          <w:spacing w:val="-10"/>
          <w:sz w:val="20"/>
        </w:rPr>
        <w:t> </w:t>
      </w:r>
      <w:r>
        <w:rPr>
          <w:sz w:val="20"/>
        </w:rPr>
        <w:t>period</w:t>
      </w:r>
      <w:r>
        <w:rPr>
          <w:spacing w:val="-7"/>
          <w:sz w:val="20"/>
        </w:rPr>
        <w:t> </w:t>
      </w:r>
      <w:r>
        <w:rPr>
          <w:sz w:val="20"/>
        </w:rPr>
        <w:t>from</w:t>
      </w:r>
      <w:r>
        <w:rPr>
          <w:spacing w:val="-11"/>
          <w:sz w:val="20"/>
        </w:rPr>
        <w:t> </w:t>
      </w:r>
      <w:r>
        <w:rPr>
          <w:sz w:val="20"/>
        </w:rPr>
        <w:t>1</w:t>
      </w:r>
      <w:r>
        <w:rPr>
          <w:spacing w:val="-12"/>
          <w:sz w:val="20"/>
        </w:rPr>
        <w:t> </w:t>
      </w:r>
      <w:r>
        <w:rPr>
          <w:sz w:val="20"/>
        </w:rPr>
        <w:t>January</w:t>
      </w:r>
      <w:r>
        <w:rPr>
          <w:spacing w:val="-12"/>
          <w:sz w:val="20"/>
        </w:rPr>
        <w:t> </w:t>
      </w:r>
      <w:r>
        <w:rPr>
          <w:sz w:val="20"/>
        </w:rPr>
        <w:t>to</w:t>
      </w:r>
      <w:r>
        <w:rPr>
          <w:spacing w:val="-7"/>
          <w:sz w:val="20"/>
        </w:rPr>
        <w:t> </w:t>
      </w:r>
      <w:r>
        <w:rPr>
          <w:sz w:val="20"/>
        </w:rPr>
        <w:t>31</w:t>
      </w:r>
      <w:r>
        <w:rPr>
          <w:spacing w:val="-12"/>
          <w:sz w:val="20"/>
        </w:rPr>
        <w:t> </w:t>
      </w:r>
      <w:r>
        <w:rPr>
          <w:sz w:val="20"/>
        </w:rPr>
        <w:t>December</w:t>
      </w:r>
      <w:r>
        <w:rPr>
          <w:spacing w:val="-12"/>
          <w:sz w:val="20"/>
        </w:rPr>
        <w:t> </w:t>
      </w:r>
      <w:r>
        <w:rPr>
          <w:sz w:val="20"/>
        </w:rPr>
        <w:t>2022</w:t>
      </w:r>
      <w:r>
        <w:rPr>
          <w:spacing w:val="-12"/>
          <w:sz w:val="20"/>
        </w:rPr>
        <w:t> </w:t>
      </w:r>
      <w:r>
        <w:rPr>
          <w:sz w:val="20"/>
        </w:rPr>
        <w:t>will be payable on or before 1 February 2023.</w:t>
      </w:r>
    </w:p>
    <w:p>
      <w:pPr>
        <w:pStyle w:val="Heading3"/>
        <w:spacing w:before="121"/>
        <w:jc w:val="both"/>
      </w:pPr>
      <w:r>
        <w:rPr/>
        <w:t>Table</w:t>
      </w:r>
      <w:r>
        <w:rPr>
          <w:spacing w:val="-6"/>
        </w:rPr>
        <w:t> </w:t>
      </w:r>
      <w:r>
        <w:rPr/>
        <w:t>46:</w:t>
      </w:r>
      <w:r>
        <w:rPr>
          <w:spacing w:val="-7"/>
        </w:rPr>
        <w:t> </w:t>
      </w:r>
      <w:r>
        <w:rPr/>
        <w:t>Major</w:t>
      </w:r>
      <w:r>
        <w:rPr>
          <w:spacing w:val="-10"/>
        </w:rPr>
        <w:t> </w:t>
      </w:r>
      <w:r>
        <w:rPr/>
        <w:t>Programme</w:t>
      </w:r>
      <w:r>
        <w:rPr>
          <w:spacing w:val="-6"/>
        </w:rPr>
        <w:t> </w:t>
      </w:r>
      <w:r>
        <w:rPr/>
        <w:t>VII-2:</w:t>
      </w:r>
      <w:r>
        <w:rPr>
          <w:spacing w:val="-7"/>
        </w:rPr>
        <w:t> </w:t>
      </w:r>
      <w:r>
        <w:rPr/>
        <w:t>Proposed</w:t>
      </w:r>
      <w:r>
        <w:rPr>
          <w:spacing w:val="-4"/>
        </w:rPr>
        <w:t> </w:t>
      </w:r>
      <w:r>
        <w:rPr/>
        <w:t>budget</w:t>
      </w:r>
      <w:r>
        <w:rPr>
          <w:spacing w:val="-2"/>
        </w:rPr>
        <w:t> </w:t>
      </w:r>
      <w:r>
        <w:rPr/>
        <w:t>for</w:t>
      </w:r>
      <w:r>
        <w:rPr>
          <w:spacing w:val="-10"/>
        </w:rPr>
        <w:t> </w:t>
      </w:r>
      <w:r>
        <w:rPr>
          <w:spacing w:val="-4"/>
        </w:rPr>
        <w:t>2023</w:t>
      </w:r>
    </w:p>
    <w:tbl>
      <w:tblPr>
        <w:tblW w:w="0" w:type="auto"/>
        <w:jc w:val="left"/>
        <w:tblInd w:w="1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83"/>
        <w:gridCol w:w="1218"/>
        <w:gridCol w:w="828"/>
        <w:gridCol w:w="1133"/>
        <w:gridCol w:w="1220"/>
        <w:gridCol w:w="1402"/>
        <w:gridCol w:w="279"/>
        <w:gridCol w:w="1135"/>
      </w:tblGrid>
      <w:tr>
        <w:trPr>
          <w:trHeight w:val="322" w:hRule="atLeast"/>
        </w:trPr>
        <w:tc>
          <w:tcPr>
            <w:tcW w:w="2483" w:type="dxa"/>
            <w:tcBorders>
              <w:top w:val="single" w:sz="4" w:space="0" w:color="000000"/>
            </w:tcBorders>
          </w:tcPr>
          <w:p>
            <w:pPr>
              <w:pStyle w:val="TableParagraph"/>
              <w:jc w:val="left"/>
              <w:rPr>
                <w:sz w:val="18"/>
              </w:rPr>
            </w:pPr>
          </w:p>
        </w:tc>
        <w:tc>
          <w:tcPr>
            <w:tcW w:w="3179" w:type="dxa"/>
            <w:gridSpan w:val="3"/>
            <w:tcBorders>
              <w:top w:val="single" w:sz="4" w:space="0" w:color="000000"/>
            </w:tcBorders>
          </w:tcPr>
          <w:p>
            <w:pPr>
              <w:pStyle w:val="TableParagraph"/>
              <w:tabs>
                <w:tab w:pos="311" w:val="left" w:leader="none"/>
                <w:tab w:pos="3178" w:val="left" w:leader="none"/>
              </w:tabs>
              <w:spacing w:line="183" w:lineRule="exact" w:before="119"/>
              <w:ind w:left="-1"/>
              <w:jc w:val="left"/>
              <w:rPr>
                <w:sz w:val="16"/>
              </w:rPr>
            </w:pPr>
            <w:r>
              <w:rPr>
                <w:sz w:val="16"/>
                <w:u w:val="single"/>
              </w:rPr>
              <w:tab/>
              <w:t>2021</w:t>
            </w:r>
            <w:r>
              <w:rPr>
                <w:spacing w:val="-3"/>
                <w:sz w:val="16"/>
                <w:u w:val="single"/>
              </w:rPr>
              <w:t> </w:t>
            </w:r>
            <w:r>
              <w:rPr>
                <w:sz w:val="16"/>
                <w:u w:val="single"/>
              </w:rPr>
              <w:t>Expenditures</w:t>
            </w:r>
            <w:r>
              <w:rPr>
                <w:spacing w:val="-4"/>
                <w:sz w:val="16"/>
                <w:u w:val="single"/>
              </w:rPr>
              <w:t> </w:t>
            </w:r>
            <w:r>
              <w:rPr>
                <w:sz w:val="16"/>
                <w:u w:val="single"/>
              </w:rPr>
              <w:t>(thousands</w:t>
            </w:r>
            <w:r>
              <w:rPr>
                <w:spacing w:val="-4"/>
                <w:sz w:val="16"/>
                <w:u w:val="single"/>
              </w:rPr>
              <w:t> </w:t>
            </w:r>
            <w:r>
              <w:rPr>
                <w:sz w:val="16"/>
                <w:u w:val="single"/>
              </w:rPr>
              <w:t>of</w:t>
            </w:r>
            <w:r>
              <w:rPr>
                <w:spacing w:val="-4"/>
                <w:sz w:val="16"/>
                <w:u w:val="single"/>
              </w:rPr>
              <w:t> </w:t>
            </w:r>
            <w:r>
              <w:rPr>
                <w:spacing w:val="-2"/>
                <w:sz w:val="16"/>
                <w:u w:val="single"/>
              </w:rPr>
              <w:t>euros)</w:t>
            </w:r>
            <w:r>
              <w:rPr>
                <w:sz w:val="16"/>
                <w:u w:val="single"/>
              </w:rPr>
              <w:tab/>
            </w:r>
          </w:p>
        </w:tc>
        <w:tc>
          <w:tcPr>
            <w:tcW w:w="1220" w:type="dxa"/>
            <w:vMerge w:val="restart"/>
            <w:tcBorders>
              <w:top w:val="single" w:sz="4" w:space="0" w:color="000000"/>
              <w:bottom w:val="single" w:sz="12" w:space="0" w:color="000000"/>
            </w:tcBorders>
          </w:tcPr>
          <w:p>
            <w:pPr>
              <w:pStyle w:val="TableParagraph"/>
              <w:tabs>
                <w:tab w:pos="1132" w:val="left" w:leader="none"/>
                <w:tab w:pos="1416" w:val="left" w:leader="none"/>
              </w:tabs>
              <w:spacing w:before="148"/>
              <w:ind w:left="397" w:right="-202"/>
              <w:jc w:val="left"/>
              <w:rPr>
                <w:sz w:val="16"/>
              </w:rPr>
            </w:pPr>
            <w:r>
              <w:rPr>
                <w:spacing w:val="-4"/>
                <w:sz w:val="16"/>
              </w:rPr>
              <w:t>2022</w:t>
            </w:r>
            <w:r>
              <w:rPr>
                <w:sz w:val="16"/>
              </w:rPr>
              <w:tab/>
            </w:r>
            <w:r>
              <w:rPr>
                <w:position w:val="3"/>
                <w:sz w:val="16"/>
                <w:u w:val="single"/>
              </w:rPr>
              <w:tab/>
            </w:r>
          </w:p>
          <w:p>
            <w:pPr>
              <w:pStyle w:val="TableParagraph"/>
              <w:spacing w:line="182" w:lineRule="exact"/>
              <w:ind w:left="330" w:hanging="92"/>
              <w:jc w:val="left"/>
              <w:rPr>
                <w:sz w:val="16"/>
              </w:rPr>
            </w:pPr>
            <w:r>
              <w:rPr>
                <w:spacing w:val="-2"/>
                <w:sz w:val="16"/>
              </w:rPr>
              <w:t>Approved</w:t>
            </w:r>
            <w:r>
              <w:rPr>
                <w:spacing w:val="40"/>
                <w:sz w:val="16"/>
              </w:rPr>
              <w:t> </w:t>
            </w:r>
            <w:r>
              <w:rPr>
                <w:spacing w:val="-2"/>
                <w:sz w:val="16"/>
              </w:rPr>
              <w:t>Budget</w:t>
            </w:r>
          </w:p>
        </w:tc>
        <w:tc>
          <w:tcPr>
            <w:tcW w:w="1402" w:type="dxa"/>
            <w:tcBorders>
              <w:top w:val="single" w:sz="4" w:space="0" w:color="000000"/>
            </w:tcBorders>
          </w:tcPr>
          <w:p>
            <w:pPr>
              <w:pStyle w:val="TableParagraph"/>
              <w:tabs>
                <w:tab w:pos="1660" w:val="left" w:leader="none"/>
              </w:tabs>
              <w:spacing w:line="183" w:lineRule="exact" w:before="119"/>
              <w:ind w:left="196" w:right="-260"/>
              <w:jc w:val="left"/>
              <w:rPr>
                <w:sz w:val="16"/>
              </w:rPr>
            </w:pPr>
            <w:r>
              <w:rPr>
                <w:sz w:val="16"/>
                <w:u w:val="single"/>
              </w:rPr>
              <w:t>Resource</w:t>
            </w:r>
            <w:r>
              <w:rPr>
                <w:spacing w:val="-2"/>
                <w:sz w:val="16"/>
                <w:u w:val="single"/>
              </w:rPr>
              <w:t> Changes</w:t>
            </w:r>
            <w:r>
              <w:rPr>
                <w:sz w:val="16"/>
                <w:u w:val="single"/>
              </w:rPr>
              <w:tab/>
            </w:r>
          </w:p>
        </w:tc>
        <w:tc>
          <w:tcPr>
            <w:tcW w:w="279" w:type="dxa"/>
            <w:tcBorders>
              <w:top w:val="single" w:sz="4" w:space="0" w:color="000000"/>
            </w:tcBorders>
          </w:tcPr>
          <w:p>
            <w:pPr>
              <w:pStyle w:val="TableParagraph"/>
              <w:jc w:val="left"/>
              <w:rPr>
                <w:sz w:val="18"/>
              </w:rPr>
            </w:pPr>
          </w:p>
        </w:tc>
        <w:tc>
          <w:tcPr>
            <w:tcW w:w="1135" w:type="dxa"/>
            <w:tcBorders>
              <w:top w:val="single" w:sz="4" w:space="0" w:color="000000"/>
            </w:tcBorders>
          </w:tcPr>
          <w:p>
            <w:pPr>
              <w:pStyle w:val="TableParagraph"/>
              <w:jc w:val="left"/>
              <w:rPr>
                <w:sz w:val="18"/>
              </w:rPr>
            </w:pPr>
          </w:p>
        </w:tc>
      </w:tr>
      <w:tr>
        <w:trPr>
          <w:trHeight w:val="357" w:hRule="atLeast"/>
        </w:trPr>
        <w:tc>
          <w:tcPr>
            <w:tcW w:w="2483" w:type="dxa"/>
            <w:tcBorders>
              <w:bottom w:val="single" w:sz="12" w:space="0" w:color="000000"/>
            </w:tcBorders>
          </w:tcPr>
          <w:p>
            <w:pPr>
              <w:pStyle w:val="TableParagraph"/>
              <w:spacing w:line="166" w:lineRule="exact"/>
              <w:ind w:left="139"/>
              <w:jc w:val="left"/>
              <w:rPr>
                <w:b/>
                <w:sz w:val="16"/>
              </w:rPr>
            </w:pPr>
            <w:r>
              <w:rPr>
                <w:b/>
                <w:w w:val="95"/>
                <w:sz w:val="16"/>
              </w:rPr>
              <w:t>Major</w:t>
            </w:r>
            <w:r>
              <w:rPr>
                <w:b/>
                <w:spacing w:val="34"/>
                <w:sz w:val="16"/>
              </w:rPr>
              <w:t> </w:t>
            </w:r>
            <w:r>
              <w:rPr>
                <w:b/>
                <w:w w:val="95"/>
                <w:sz w:val="16"/>
              </w:rPr>
              <w:t>Programme</w:t>
            </w:r>
            <w:r>
              <w:rPr>
                <w:b/>
                <w:spacing w:val="34"/>
                <w:sz w:val="16"/>
              </w:rPr>
              <w:t> </w:t>
            </w:r>
            <w:r>
              <w:rPr>
                <w:b/>
                <w:w w:val="95"/>
                <w:sz w:val="16"/>
              </w:rPr>
              <w:t>VII-</w:t>
            </w:r>
            <w:r>
              <w:rPr>
                <w:b/>
                <w:spacing w:val="-10"/>
                <w:w w:val="95"/>
                <w:sz w:val="16"/>
              </w:rPr>
              <w:t>2</w:t>
            </w:r>
          </w:p>
          <w:p>
            <w:pPr>
              <w:pStyle w:val="TableParagraph"/>
              <w:spacing w:line="171" w:lineRule="exact"/>
              <w:ind w:left="139"/>
              <w:jc w:val="left"/>
              <w:rPr>
                <w:b/>
                <w:sz w:val="16"/>
              </w:rPr>
            </w:pPr>
            <w:r>
              <w:rPr>
                <w:b/>
                <w:sz w:val="16"/>
              </w:rPr>
              <w:t>Host</w:t>
            </w:r>
            <w:r>
              <w:rPr>
                <w:b/>
                <w:spacing w:val="-7"/>
                <w:sz w:val="16"/>
              </w:rPr>
              <w:t> </w:t>
            </w:r>
            <w:r>
              <w:rPr>
                <w:b/>
                <w:sz w:val="16"/>
              </w:rPr>
              <w:t>State</w:t>
            </w:r>
            <w:r>
              <w:rPr>
                <w:b/>
                <w:spacing w:val="-5"/>
                <w:sz w:val="16"/>
              </w:rPr>
              <w:t> </w:t>
            </w:r>
            <w:r>
              <w:rPr>
                <w:b/>
                <w:spacing w:val="-4"/>
                <w:sz w:val="16"/>
              </w:rPr>
              <w:t>Loan</w:t>
            </w:r>
          </w:p>
        </w:tc>
        <w:tc>
          <w:tcPr>
            <w:tcW w:w="1218" w:type="dxa"/>
            <w:tcBorders>
              <w:bottom w:val="single" w:sz="12" w:space="0" w:color="000000"/>
            </w:tcBorders>
          </w:tcPr>
          <w:p>
            <w:pPr>
              <w:pStyle w:val="TableParagraph"/>
              <w:spacing w:before="4"/>
              <w:jc w:val="left"/>
              <w:rPr>
                <w:b/>
                <w:sz w:val="14"/>
              </w:rPr>
            </w:pPr>
          </w:p>
          <w:p>
            <w:pPr>
              <w:pStyle w:val="TableParagraph"/>
              <w:spacing w:line="172" w:lineRule="exact"/>
              <w:ind w:left="393"/>
              <w:jc w:val="left"/>
              <w:rPr>
                <w:sz w:val="16"/>
              </w:rPr>
            </w:pPr>
            <w:r>
              <w:rPr>
                <w:spacing w:val="-2"/>
                <w:sz w:val="16"/>
              </w:rPr>
              <w:t>Total</w:t>
            </w:r>
          </w:p>
        </w:tc>
        <w:tc>
          <w:tcPr>
            <w:tcW w:w="828" w:type="dxa"/>
            <w:tcBorders>
              <w:bottom w:val="single" w:sz="12" w:space="0" w:color="000000"/>
            </w:tcBorders>
          </w:tcPr>
          <w:p>
            <w:pPr>
              <w:pStyle w:val="TableParagraph"/>
              <w:spacing w:line="166" w:lineRule="exact"/>
              <w:ind w:left="193"/>
              <w:jc w:val="left"/>
              <w:rPr>
                <w:sz w:val="16"/>
              </w:rPr>
            </w:pPr>
            <w:r>
              <w:rPr>
                <w:spacing w:val="-2"/>
                <w:sz w:val="16"/>
              </w:rPr>
              <w:t>Cont.</w:t>
            </w:r>
          </w:p>
          <w:p>
            <w:pPr>
              <w:pStyle w:val="TableParagraph"/>
              <w:spacing w:line="171" w:lineRule="exact"/>
              <w:ind w:left="202"/>
              <w:jc w:val="left"/>
              <w:rPr>
                <w:sz w:val="16"/>
              </w:rPr>
            </w:pPr>
            <w:r>
              <w:rPr>
                <w:spacing w:val="-4"/>
                <w:sz w:val="16"/>
              </w:rPr>
              <w:t>Fund</w:t>
            </w:r>
          </w:p>
        </w:tc>
        <w:tc>
          <w:tcPr>
            <w:tcW w:w="1133" w:type="dxa"/>
            <w:tcBorders>
              <w:bottom w:val="single" w:sz="12" w:space="0" w:color="000000"/>
            </w:tcBorders>
          </w:tcPr>
          <w:p>
            <w:pPr>
              <w:pStyle w:val="TableParagraph"/>
              <w:spacing w:before="4"/>
              <w:jc w:val="left"/>
              <w:rPr>
                <w:b/>
                <w:sz w:val="14"/>
              </w:rPr>
            </w:pPr>
          </w:p>
          <w:p>
            <w:pPr>
              <w:pStyle w:val="TableParagraph"/>
              <w:spacing w:line="172" w:lineRule="exact"/>
              <w:ind w:right="122"/>
              <w:rPr>
                <w:sz w:val="16"/>
              </w:rPr>
            </w:pPr>
            <w:r>
              <w:rPr>
                <w:sz w:val="16"/>
              </w:rPr>
              <w:t>Total</w:t>
            </w:r>
            <w:r>
              <w:rPr>
                <w:spacing w:val="-7"/>
                <w:sz w:val="16"/>
              </w:rPr>
              <w:t> </w:t>
            </w:r>
            <w:r>
              <w:rPr>
                <w:sz w:val="16"/>
              </w:rPr>
              <w:t>Incl.</w:t>
            </w:r>
            <w:r>
              <w:rPr>
                <w:spacing w:val="-6"/>
                <w:sz w:val="16"/>
              </w:rPr>
              <w:t> </w:t>
            </w:r>
            <w:r>
              <w:rPr>
                <w:spacing w:val="-5"/>
                <w:sz w:val="16"/>
              </w:rPr>
              <w:t>CF</w:t>
            </w:r>
          </w:p>
        </w:tc>
        <w:tc>
          <w:tcPr>
            <w:tcW w:w="1220" w:type="dxa"/>
            <w:vMerge/>
            <w:tcBorders>
              <w:top w:val="nil"/>
              <w:bottom w:val="single" w:sz="12" w:space="0" w:color="000000"/>
            </w:tcBorders>
          </w:tcPr>
          <w:p>
            <w:pPr>
              <w:rPr>
                <w:sz w:val="2"/>
                <w:szCs w:val="2"/>
              </w:rPr>
            </w:pPr>
          </w:p>
        </w:tc>
        <w:tc>
          <w:tcPr>
            <w:tcW w:w="1402" w:type="dxa"/>
            <w:tcBorders>
              <w:bottom w:val="single" w:sz="12" w:space="0" w:color="000000"/>
            </w:tcBorders>
          </w:tcPr>
          <w:p>
            <w:pPr>
              <w:pStyle w:val="TableParagraph"/>
              <w:spacing w:before="4"/>
              <w:jc w:val="left"/>
              <w:rPr>
                <w:b/>
                <w:sz w:val="14"/>
              </w:rPr>
            </w:pPr>
          </w:p>
          <w:p>
            <w:pPr>
              <w:pStyle w:val="TableParagraph"/>
              <w:spacing w:line="172" w:lineRule="exact"/>
              <w:ind w:left="268"/>
              <w:jc w:val="left"/>
              <w:rPr>
                <w:sz w:val="16"/>
              </w:rPr>
            </w:pPr>
            <w:r>
              <w:rPr>
                <w:spacing w:val="-2"/>
                <w:sz w:val="16"/>
              </w:rPr>
              <w:t>Amount</w:t>
            </w:r>
          </w:p>
        </w:tc>
        <w:tc>
          <w:tcPr>
            <w:tcW w:w="279" w:type="dxa"/>
            <w:tcBorders>
              <w:bottom w:val="single" w:sz="12" w:space="0" w:color="000000"/>
            </w:tcBorders>
          </w:tcPr>
          <w:p>
            <w:pPr>
              <w:pStyle w:val="TableParagraph"/>
              <w:spacing w:before="4"/>
              <w:jc w:val="left"/>
              <w:rPr>
                <w:b/>
                <w:sz w:val="14"/>
              </w:rPr>
            </w:pPr>
          </w:p>
          <w:p>
            <w:pPr>
              <w:pStyle w:val="TableParagraph"/>
              <w:spacing w:line="172" w:lineRule="exact"/>
              <w:ind w:right="126"/>
              <w:rPr>
                <w:sz w:val="16"/>
              </w:rPr>
            </w:pPr>
            <w:r>
              <w:rPr>
                <w:w w:val="98"/>
                <w:sz w:val="16"/>
              </w:rPr>
              <w:t>%</w:t>
            </w:r>
          </w:p>
        </w:tc>
        <w:tc>
          <w:tcPr>
            <w:tcW w:w="1135" w:type="dxa"/>
            <w:tcBorders>
              <w:bottom w:val="single" w:sz="12" w:space="0" w:color="000000"/>
            </w:tcBorders>
          </w:tcPr>
          <w:p>
            <w:pPr>
              <w:pStyle w:val="TableParagraph"/>
              <w:spacing w:line="166" w:lineRule="exact"/>
              <w:ind w:left="108" w:right="166"/>
              <w:jc w:val="center"/>
              <w:rPr>
                <w:sz w:val="16"/>
              </w:rPr>
            </w:pPr>
            <w:r>
              <w:rPr>
                <w:spacing w:val="-2"/>
                <w:sz w:val="16"/>
              </w:rPr>
              <w:t>Proposed</w:t>
            </w:r>
          </w:p>
          <w:p>
            <w:pPr>
              <w:pStyle w:val="TableParagraph"/>
              <w:spacing w:line="171" w:lineRule="exact"/>
              <w:ind w:left="115" w:right="166"/>
              <w:jc w:val="center"/>
              <w:rPr>
                <w:sz w:val="16"/>
              </w:rPr>
            </w:pPr>
            <w:r>
              <w:rPr>
                <w:sz w:val="16"/>
              </w:rPr>
              <w:t>2023</w:t>
            </w:r>
            <w:r>
              <w:rPr>
                <w:spacing w:val="2"/>
                <w:sz w:val="16"/>
              </w:rPr>
              <w:t> </w:t>
            </w:r>
            <w:r>
              <w:rPr>
                <w:spacing w:val="-2"/>
                <w:sz w:val="16"/>
              </w:rPr>
              <w:t>Budget</w:t>
            </w:r>
          </w:p>
        </w:tc>
      </w:tr>
      <w:tr>
        <w:trPr>
          <w:trHeight w:val="231" w:hRule="atLeast"/>
        </w:trPr>
        <w:tc>
          <w:tcPr>
            <w:tcW w:w="2483" w:type="dxa"/>
            <w:tcBorders>
              <w:top w:val="single" w:sz="12" w:space="0" w:color="000000"/>
            </w:tcBorders>
          </w:tcPr>
          <w:p>
            <w:pPr>
              <w:pStyle w:val="TableParagraph"/>
              <w:spacing w:before="13"/>
              <w:ind w:left="139"/>
              <w:jc w:val="left"/>
              <w:rPr>
                <w:sz w:val="16"/>
              </w:rPr>
            </w:pPr>
            <w:r>
              <w:rPr>
                <w:w w:val="95"/>
                <w:sz w:val="16"/>
              </w:rPr>
              <w:t>Professional</w:t>
            </w:r>
            <w:r>
              <w:rPr>
                <w:spacing w:val="28"/>
                <w:sz w:val="16"/>
              </w:rPr>
              <w:t> </w:t>
            </w:r>
            <w:r>
              <w:rPr>
                <w:spacing w:val="-2"/>
                <w:sz w:val="16"/>
              </w:rPr>
              <w:t>staff</w:t>
            </w:r>
          </w:p>
        </w:tc>
        <w:tc>
          <w:tcPr>
            <w:tcW w:w="1218" w:type="dxa"/>
            <w:tcBorders>
              <w:top w:val="single" w:sz="12" w:space="0" w:color="000000"/>
            </w:tcBorders>
            <w:shd w:val="clear" w:color="auto" w:fill="D9D9D9"/>
          </w:tcPr>
          <w:p>
            <w:pPr>
              <w:pStyle w:val="TableParagraph"/>
              <w:jc w:val="left"/>
              <w:rPr>
                <w:sz w:val="16"/>
              </w:rPr>
            </w:pPr>
          </w:p>
        </w:tc>
        <w:tc>
          <w:tcPr>
            <w:tcW w:w="828" w:type="dxa"/>
            <w:tcBorders>
              <w:top w:val="single" w:sz="12" w:space="0" w:color="000000"/>
            </w:tcBorders>
            <w:shd w:val="clear" w:color="auto" w:fill="D9D9D9"/>
          </w:tcPr>
          <w:p>
            <w:pPr>
              <w:pStyle w:val="TableParagraph"/>
              <w:jc w:val="left"/>
              <w:rPr>
                <w:sz w:val="16"/>
              </w:rPr>
            </w:pPr>
          </w:p>
        </w:tc>
        <w:tc>
          <w:tcPr>
            <w:tcW w:w="1133" w:type="dxa"/>
            <w:tcBorders>
              <w:top w:val="single" w:sz="12" w:space="0" w:color="000000"/>
            </w:tcBorders>
            <w:shd w:val="clear" w:color="auto" w:fill="D9D9D9"/>
          </w:tcPr>
          <w:p>
            <w:pPr>
              <w:pStyle w:val="TableParagraph"/>
              <w:jc w:val="left"/>
              <w:rPr>
                <w:sz w:val="16"/>
              </w:rPr>
            </w:pPr>
          </w:p>
        </w:tc>
        <w:tc>
          <w:tcPr>
            <w:tcW w:w="1220" w:type="dxa"/>
            <w:tcBorders>
              <w:top w:val="single" w:sz="12" w:space="0" w:color="000000"/>
            </w:tcBorders>
          </w:tcPr>
          <w:p>
            <w:pPr>
              <w:pStyle w:val="TableParagraph"/>
              <w:spacing w:before="13"/>
              <w:ind w:right="195"/>
              <w:rPr>
                <w:sz w:val="16"/>
              </w:rPr>
            </w:pPr>
            <w:r>
              <w:rPr>
                <w:w w:val="98"/>
                <w:sz w:val="16"/>
              </w:rPr>
              <w:t>-</w:t>
            </w:r>
          </w:p>
        </w:tc>
        <w:tc>
          <w:tcPr>
            <w:tcW w:w="1402" w:type="dxa"/>
            <w:tcBorders>
              <w:top w:val="single" w:sz="12" w:space="0" w:color="000000"/>
            </w:tcBorders>
          </w:tcPr>
          <w:p>
            <w:pPr>
              <w:pStyle w:val="TableParagraph"/>
              <w:spacing w:before="13"/>
              <w:ind w:left="127"/>
              <w:jc w:val="center"/>
              <w:rPr>
                <w:sz w:val="16"/>
              </w:rPr>
            </w:pPr>
            <w:r>
              <w:rPr>
                <w:w w:val="98"/>
                <w:sz w:val="16"/>
              </w:rPr>
              <w:t>-</w:t>
            </w:r>
          </w:p>
        </w:tc>
        <w:tc>
          <w:tcPr>
            <w:tcW w:w="279" w:type="dxa"/>
            <w:tcBorders>
              <w:top w:val="single" w:sz="12" w:space="0" w:color="000000"/>
            </w:tcBorders>
          </w:tcPr>
          <w:p>
            <w:pPr>
              <w:pStyle w:val="TableParagraph"/>
              <w:spacing w:before="13"/>
              <w:ind w:right="124"/>
              <w:rPr>
                <w:sz w:val="16"/>
              </w:rPr>
            </w:pPr>
            <w:r>
              <w:rPr>
                <w:w w:val="98"/>
                <w:sz w:val="16"/>
              </w:rPr>
              <w:t>-</w:t>
            </w:r>
          </w:p>
        </w:tc>
        <w:tc>
          <w:tcPr>
            <w:tcW w:w="1135" w:type="dxa"/>
            <w:tcBorders>
              <w:top w:val="single" w:sz="12" w:space="0" w:color="000000"/>
            </w:tcBorders>
          </w:tcPr>
          <w:p>
            <w:pPr>
              <w:pStyle w:val="TableParagraph"/>
              <w:spacing w:before="13"/>
              <w:ind w:right="135"/>
              <w:rPr>
                <w:sz w:val="16"/>
              </w:rPr>
            </w:pPr>
            <w:r>
              <w:rPr>
                <w:w w:val="98"/>
                <w:sz w:val="16"/>
              </w:rPr>
              <w:t>-</w:t>
            </w:r>
          </w:p>
        </w:tc>
      </w:tr>
      <w:tr>
        <w:trPr>
          <w:trHeight w:val="223" w:hRule="atLeast"/>
        </w:trPr>
        <w:tc>
          <w:tcPr>
            <w:tcW w:w="2483" w:type="dxa"/>
            <w:tcBorders>
              <w:bottom w:val="single" w:sz="4" w:space="0" w:color="000000"/>
            </w:tcBorders>
          </w:tcPr>
          <w:p>
            <w:pPr>
              <w:pStyle w:val="TableParagraph"/>
              <w:spacing w:before="7"/>
              <w:ind w:left="139"/>
              <w:jc w:val="left"/>
              <w:rPr>
                <w:sz w:val="16"/>
              </w:rPr>
            </w:pPr>
            <w:r>
              <w:rPr>
                <w:sz w:val="16"/>
              </w:rPr>
              <w:t>General</w:t>
            </w:r>
            <w:r>
              <w:rPr>
                <w:spacing w:val="-6"/>
                <w:sz w:val="16"/>
              </w:rPr>
              <w:t> </w:t>
            </w:r>
            <w:r>
              <w:rPr>
                <w:sz w:val="16"/>
              </w:rPr>
              <w:t>Service</w:t>
            </w:r>
            <w:r>
              <w:rPr>
                <w:spacing w:val="-4"/>
                <w:sz w:val="16"/>
              </w:rPr>
              <w:t> staff</w:t>
            </w:r>
          </w:p>
        </w:tc>
        <w:tc>
          <w:tcPr>
            <w:tcW w:w="1218" w:type="dxa"/>
            <w:tcBorders>
              <w:bottom w:val="single" w:sz="4" w:space="0" w:color="000000"/>
            </w:tcBorders>
            <w:shd w:val="clear" w:color="auto" w:fill="D9D9D9"/>
          </w:tcPr>
          <w:p>
            <w:pPr>
              <w:pStyle w:val="TableParagraph"/>
              <w:jc w:val="left"/>
              <w:rPr>
                <w:sz w:val="14"/>
              </w:rPr>
            </w:pPr>
          </w:p>
        </w:tc>
        <w:tc>
          <w:tcPr>
            <w:tcW w:w="828" w:type="dxa"/>
            <w:tcBorders>
              <w:bottom w:val="single" w:sz="4" w:space="0" w:color="000000"/>
            </w:tcBorders>
            <w:shd w:val="clear" w:color="auto" w:fill="D9D9D9"/>
          </w:tcPr>
          <w:p>
            <w:pPr>
              <w:pStyle w:val="TableParagraph"/>
              <w:jc w:val="left"/>
              <w:rPr>
                <w:sz w:val="14"/>
              </w:rPr>
            </w:pPr>
          </w:p>
        </w:tc>
        <w:tc>
          <w:tcPr>
            <w:tcW w:w="1133" w:type="dxa"/>
            <w:tcBorders>
              <w:bottom w:val="single" w:sz="4" w:space="0" w:color="000000"/>
            </w:tcBorders>
            <w:shd w:val="clear" w:color="auto" w:fill="D9D9D9"/>
          </w:tcPr>
          <w:p>
            <w:pPr>
              <w:pStyle w:val="TableParagraph"/>
              <w:jc w:val="left"/>
              <w:rPr>
                <w:sz w:val="14"/>
              </w:rPr>
            </w:pPr>
          </w:p>
        </w:tc>
        <w:tc>
          <w:tcPr>
            <w:tcW w:w="1220" w:type="dxa"/>
            <w:tcBorders>
              <w:bottom w:val="single" w:sz="4" w:space="0" w:color="000000"/>
            </w:tcBorders>
          </w:tcPr>
          <w:p>
            <w:pPr>
              <w:pStyle w:val="TableParagraph"/>
              <w:spacing w:before="7"/>
              <w:ind w:right="195"/>
              <w:rPr>
                <w:sz w:val="16"/>
              </w:rPr>
            </w:pPr>
            <w:r>
              <w:rPr>
                <w:w w:val="98"/>
                <w:sz w:val="16"/>
              </w:rPr>
              <w:t>-</w:t>
            </w:r>
          </w:p>
        </w:tc>
        <w:tc>
          <w:tcPr>
            <w:tcW w:w="1402" w:type="dxa"/>
            <w:tcBorders>
              <w:bottom w:val="single" w:sz="4" w:space="0" w:color="000000"/>
            </w:tcBorders>
          </w:tcPr>
          <w:p>
            <w:pPr>
              <w:pStyle w:val="TableParagraph"/>
              <w:spacing w:before="7"/>
              <w:ind w:left="127"/>
              <w:jc w:val="center"/>
              <w:rPr>
                <w:sz w:val="16"/>
              </w:rPr>
            </w:pPr>
            <w:r>
              <w:rPr>
                <w:w w:val="98"/>
                <w:sz w:val="16"/>
              </w:rPr>
              <w:t>-</w:t>
            </w:r>
          </w:p>
        </w:tc>
        <w:tc>
          <w:tcPr>
            <w:tcW w:w="279" w:type="dxa"/>
            <w:tcBorders>
              <w:bottom w:val="single" w:sz="4" w:space="0" w:color="000000"/>
            </w:tcBorders>
          </w:tcPr>
          <w:p>
            <w:pPr>
              <w:pStyle w:val="TableParagraph"/>
              <w:spacing w:before="7"/>
              <w:ind w:right="124"/>
              <w:rPr>
                <w:sz w:val="16"/>
              </w:rPr>
            </w:pPr>
            <w:r>
              <w:rPr>
                <w:w w:val="98"/>
                <w:sz w:val="16"/>
              </w:rPr>
              <w:t>-</w:t>
            </w:r>
          </w:p>
        </w:tc>
        <w:tc>
          <w:tcPr>
            <w:tcW w:w="1135" w:type="dxa"/>
            <w:tcBorders>
              <w:bottom w:val="single" w:sz="4" w:space="0" w:color="000000"/>
            </w:tcBorders>
          </w:tcPr>
          <w:p>
            <w:pPr>
              <w:pStyle w:val="TableParagraph"/>
              <w:spacing w:before="7"/>
              <w:ind w:right="135"/>
              <w:rPr>
                <w:sz w:val="16"/>
              </w:rPr>
            </w:pPr>
            <w:r>
              <w:rPr>
                <w:w w:val="98"/>
                <w:sz w:val="16"/>
              </w:rPr>
              <w:t>-</w:t>
            </w:r>
          </w:p>
        </w:tc>
      </w:tr>
      <w:tr>
        <w:trPr>
          <w:trHeight w:val="230" w:hRule="atLeast"/>
        </w:trPr>
        <w:tc>
          <w:tcPr>
            <w:tcW w:w="2483" w:type="dxa"/>
            <w:tcBorders>
              <w:top w:val="single" w:sz="4" w:space="0" w:color="000000"/>
              <w:bottom w:val="single" w:sz="4" w:space="0" w:color="000000"/>
            </w:tcBorders>
          </w:tcPr>
          <w:p>
            <w:pPr>
              <w:pStyle w:val="TableParagraph"/>
              <w:spacing w:before="14"/>
              <w:ind w:right="104"/>
              <w:rPr>
                <w:i/>
                <w:sz w:val="16"/>
              </w:rPr>
            </w:pPr>
            <w:r>
              <w:rPr>
                <w:i/>
                <w:sz w:val="16"/>
              </w:rPr>
              <w:t>Subtotal</w:t>
            </w:r>
            <w:r>
              <w:rPr>
                <w:i/>
                <w:spacing w:val="-1"/>
                <w:sz w:val="16"/>
              </w:rPr>
              <w:t> </w:t>
            </w:r>
            <w:r>
              <w:rPr>
                <w:i/>
                <w:spacing w:val="-2"/>
                <w:sz w:val="16"/>
              </w:rPr>
              <w:t>staff</w:t>
            </w:r>
          </w:p>
        </w:tc>
        <w:tc>
          <w:tcPr>
            <w:tcW w:w="1218" w:type="dxa"/>
            <w:tcBorders>
              <w:top w:val="single" w:sz="4" w:space="0" w:color="000000"/>
              <w:bottom w:val="single" w:sz="4" w:space="0" w:color="000000"/>
            </w:tcBorders>
          </w:tcPr>
          <w:p>
            <w:pPr>
              <w:pStyle w:val="TableParagraph"/>
              <w:spacing w:before="14"/>
              <w:ind w:right="193"/>
              <w:rPr>
                <w:i/>
                <w:sz w:val="16"/>
              </w:rPr>
            </w:pPr>
            <w:r>
              <w:rPr>
                <w:i/>
                <w:w w:val="98"/>
                <w:sz w:val="16"/>
              </w:rPr>
              <w:t>-</w:t>
            </w:r>
          </w:p>
        </w:tc>
        <w:tc>
          <w:tcPr>
            <w:tcW w:w="828" w:type="dxa"/>
            <w:tcBorders>
              <w:top w:val="single" w:sz="4" w:space="0" w:color="000000"/>
              <w:bottom w:val="single" w:sz="4" w:space="0" w:color="000000"/>
            </w:tcBorders>
          </w:tcPr>
          <w:p>
            <w:pPr>
              <w:pStyle w:val="TableParagraph"/>
              <w:spacing w:before="14"/>
              <w:ind w:right="109"/>
              <w:rPr>
                <w:i/>
                <w:sz w:val="16"/>
              </w:rPr>
            </w:pPr>
            <w:r>
              <w:rPr>
                <w:i/>
                <w:w w:val="98"/>
                <w:sz w:val="16"/>
              </w:rPr>
              <w:t>-</w:t>
            </w:r>
          </w:p>
        </w:tc>
        <w:tc>
          <w:tcPr>
            <w:tcW w:w="1133" w:type="dxa"/>
            <w:tcBorders>
              <w:top w:val="single" w:sz="4" w:space="0" w:color="000000"/>
              <w:bottom w:val="single" w:sz="4" w:space="0" w:color="000000"/>
            </w:tcBorders>
          </w:tcPr>
          <w:p>
            <w:pPr>
              <w:pStyle w:val="TableParagraph"/>
              <w:spacing w:before="14"/>
              <w:ind w:right="108"/>
              <w:rPr>
                <w:i/>
                <w:sz w:val="16"/>
              </w:rPr>
            </w:pPr>
            <w:r>
              <w:rPr>
                <w:i/>
                <w:w w:val="98"/>
                <w:sz w:val="16"/>
              </w:rPr>
              <w:t>-</w:t>
            </w:r>
          </w:p>
        </w:tc>
        <w:tc>
          <w:tcPr>
            <w:tcW w:w="1220" w:type="dxa"/>
            <w:tcBorders>
              <w:top w:val="single" w:sz="4" w:space="0" w:color="000000"/>
              <w:bottom w:val="single" w:sz="4" w:space="0" w:color="000000"/>
            </w:tcBorders>
          </w:tcPr>
          <w:p>
            <w:pPr>
              <w:pStyle w:val="TableParagraph"/>
              <w:spacing w:before="14"/>
              <w:ind w:right="195"/>
              <w:rPr>
                <w:i/>
                <w:sz w:val="16"/>
              </w:rPr>
            </w:pPr>
            <w:r>
              <w:rPr>
                <w:i/>
                <w:w w:val="98"/>
                <w:sz w:val="16"/>
              </w:rPr>
              <w:t>-</w:t>
            </w:r>
          </w:p>
        </w:tc>
        <w:tc>
          <w:tcPr>
            <w:tcW w:w="1402" w:type="dxa"/>
            <w:tcBorders>
              <w:top w:val="single" w:sz="4" w:space="0" w:color="000000"/>
              <w:bottom w:val="single" w:sz="4" w:space="0" w:color="000000"/>
            </w:tcBorders>
          </w:tcPr>
          <w:p>
            <w:pPr>
              <w:pStyle w:val="TableParagraph"/>
              <w:spacing w:before="14"/>
              <w:ind w:left="127"/>
              <w:jc w:val="center"/>
              <w:rPr>
                <w:i/>
                <w:sz w:val="16"/>
              </w:rPr>
            </w:pPr>
            <w:r>
              <w:rPr>
                <w:i/>
                <w:w w:val="98"/>
                <w:sz w:val="16"/>
              </w:rPr>
              <w:t>-</w:t>
            </w:r>
          </w:p>
        </w:tc>
        <w:tc>
          <w:tcPr>
            <w:tcW w:w="279" w:type="dxa"/>
            <w:tcBorders>
              <w:top w:val="single" w:sz="4" w:space="0" w:color="000000"/>
              <w:bottom w:val="single" w:sz="4" w:space="0" w:color="000000"/>
            </w:tcBorders>
          </w:tcPr>
          <w:p>
            <w:pPr>
              <w:pStyle w:val="TableParagraph"/>
              <w:spacing w:before="14"/>
              <w:ind w:right="124"/>
              <w:rPr>
                <w:i/>
                <w:sz w:val="16"/>
              </w:rPr>
            </w:pPr>
            <w:r>
              <w:rPr>
                <w:i/>
                <w:w w:val="98"/>
                <w:sz w:val="16"/>
              </w:rPr>
              <w:t>-</w:t>
            </w:r>
          </w:p>
        </w:tc>
        <w:tc>
          <w:tcPr>
            <w:tcW w:w="1135" w:type="dxa"/>
            <w:tcBorders>
              <w:top w:val="single" w:sz="4" w:space="0" w:color="000000"/>
              <w:bottom w:val="single" w:sz="4" w:space="0" w:color="000000"/>
            </w:tcBorders>
          </w:tcPr>
          <w:p>
            <w:pPr>
              <w:pStyle w:val="TableParagraph"/>
              <w:spacing w:before="14"/>
              <w:ind w:right="135"/>
              <w:rPr>
                <w:i/>
                <w:sz w:val="16"/>
              </w:rPr>
            </w:pPr>
            <w:r>
              <w:rPr>
                <w:i/>
                <w:w w:val="98"/>
                <w:sz w:val="16"/>
              </w:rPr>
              <w:t>-</w:t>
            </w:r>
          </w:p>
        </w:tc>
      </w:tr>
      <w:tr>
        <w:trPr>
          <w:trHeight w:val="227" w:hRule="atLeast"/>
        </w:trPr>
        <w:tc>
          <w:tcPr>
            <w:tcW w:w="2483" w:type="dxa"/>
            <w:tcBorders>
              <w:top w:val="single" w:sz="4" w:space="0" w:color="000000"/>
            </w:tcBorders>
          </w:tcPr>
          <w:p>
            <w:pPr>
              <w:pStyle w:val="TableParagraph"/>
              <w:spacing w:before="9"/>
              <w:ind w:left="139"/>
              <w:jc w:val="left"/>
              <w:rPr>
                <w:sz w:val="16"/>
              </w:rPr>
            </w:pPr>
            <w:r>
              <w:rPr>
                <w:sz w:val="16"/>
              </w:rPr>
              <w:t>General</w:t>
            </w:r>
            <w:r>
              <w:rPr>
                <w:spacing w:val="-4"/>
                <w:sz w:val="16"/>
              </w:rPr>
              <w:t> </w:t>
            </w:r>
            <w:r>
              <w:rPr>
                <w:sz w:val="16"/>
              </w:rPr>
              <w:t>temporary</w:t>
            </w:r>
            <w:r>
              <w:rPr>
                <w:spacing w:val="-1"/>
                <w:sz w:val="16"/>
              </w:rPr>
              <w:t> </w:t>
            </w:r>
            <w:r>
              <w:rPr>
                <w:spacing w:val="-2"/>
                <w:sz w:val="16"/>
              </w:rPr>
              <w:t>assistance</w:t>
            </w:r>
          </w:p>
        </w:tc>
        <w:tc>
          <w:tcPr>
            <w:tcW w:w="1218" w:type="dxa"/>
            <w:tcBorders>
              <w:top w:val="single" w:sz="4" w:space="0" w:color="000000"/>
            </w:tcBorders>
          </w:tcPr>
          <w:p>
            <w:pPr>
              <w:pStyle w:val="TableParagraph"/>
              <w:spacing w:before="9"/>
              <w:ind w:right="193"/>
              <w:rPr>
                <w:sz w:val="16"/>
              </w:rPr>
            </w:pPr>
            <w:r>
              <w:rPr>
                <w:w w:val="98"/>
                <w:sz w:val="16"/>
              </w:rPr>
              <w:t>-</w:t>
            </w:r>
          </w:p>
        </w:tc>
        <w:tc>
          <w:tcPr>
            <w:tcW w:w="828" w:type="dxa"/>
            <w:tcBorders>
              <w:top w:val="single" w:sz="4" w:space="0" w:color="000000"/>
            </w:tcBorders>
          </w:tcPr>
          <w:p>
            <w:pPr>
              <w:pStyle w:val="TableParagraph"/>
              <w:spacing w:before="9"/>
              <w:ind w:right="109"/>
              <w:rPr>
                <w:sz w:val="16"/>
              </w:rPr>
            </w:pPr>
            <w:r>
              <w:rPr>
                <w:w w:val="98"/>
                <w:sz w:val="16"/>
              </w:rPr>
              <w:t>-</w:t>
            </w:r>
          </w:p>
        </w:tc>
        <w:tc>
          <w:tcPr>
            <w:tcW w:w="1133" w:type="dxa"/>
            <w:tcBorders>
              <w:top w:val="single" w:sz="4" w:space="0" w:color="000000"/>
            </w:tcBorders>
          </w:tcPr>
          <w:p>
            <w:pPr>
              <w:pStyle w:val="TableParagraph"/>
              <w:spacing w:before="9"/>
              <w:ind w:right="108"/>
              <w:rPr>
                <w:sz w:val="16"/>
              </w:rPr>
            </w:pPr>
            <w:r>
              <w:rPr>
                <w:w w:val="98"/>
                <w:sz w:val="16"/>
              </w:rPr>
              <w:t>-</w:t>
            </w:r>
          </w:p>
        </w:tc>
        <w:tc>
          <w:tcPr>
            <w:tcW w:w="1220" w:type="dxa"/>
            <w:tcBorders>
              <w:top w:val="single" w:sz="4" w:space="0" w:color="000000"/>
            </w:tcBorders>
          </w:tcPr>
          <w:p>
            <w:pPr>
              <w:pStyle w:val="TableParagraph"/>
              <w:spacing w:before="9"/>
              <w:ind w:right="195"/>
              <w:rPr>
                <w:sz w:val="16"/>
              </w:rPr>
            </w:pPr>
            <w:r>
              <w:rPr>
                <w:w w:val="98"/>
                <w:sz w:val="16"/>
              </w:rPr>
              <w:t>-</w:t>
            </w:r>
          </w:p>
        </w:tc>
        <w:tc>
          <w:tcPr>
            <w:tcW w:w="1402" w:type="dxa"/>
            <w:tcBorders>
              <w:top w:val="single" w:sz="4" w:space="0" w:color="000000"/>
            </w:tcBorders>
          </w:tcPr>
          <w:p>
            <w:pPr>
              <w:pStyle w:val="TableParagraph"/>
              <w:spacing w:before="9"/>
              <w:ind w:left="127"/>
              <w:jc w:val="center"/>
              <w:rPr>
                <w:sz w:val="16"/>
              </w:rPr>
            </w:pPr>
            <w:r>
              <w:rPr>
                <w:w w:val="98"/>
                <w:sz w:val="16"/>
              </w:rPr>
              <w:t>-</w:t>
            </w:r>
          </w:p>
        </w:tc>
        <w:tc>
          <w:tcPr>
            <w:tcW w:w="279" w:type="dxa"/>
            <w:tcBorders>
              <w:top w:val="single" w:sz="4" w:space="0" w:color="000000"/>
            </w:tcBorders>
          </w:tcPr>
          <w:p>
            <w:pPr>
              <w:pStyle w:val="TableParagraph"/>
              <w:spacing w:before="9"/>
              <w:ind w:right="124"/>
              <w:rPr>
                <w:sz w:val="16"/>
              </w:rPr>
            </w:pPr>
            <w:r>
              <w:rPr>
                <w:w w:val="98"/>
                <w:sz w:val="16"/>
              </w:rPr>
              <w:t>-</w:t>
            </w:r>
          </w:p>
        </w:tc>
        <w:tc>
          <w:tcPr>
            <w:tcW w:w="1135" w:type="dxa"/>
            <w:tcBorders>
              <w:top w:val="single" w:sz="4" w:space="0" w:color="000000"/>
            </w:tcBorders>
          </w:tcPr>
          <w:p>
            <w:pPr>
              <w:pStyle w:val="TableParagraph"/>
              <w:spacing w:before="9"/>
              <w:ind w:right="135"/>
              <w:rPr>
                <w:sz w:val="16"/>
              </w:rPr>
            </w:pPr>
            <w:r>
              <w:rPr>
                <w:w w:val="98"/>
                <w:sz w:val="16"/>
              </w:rPr>
              <w:t>-</w:t>
            </w:r>
          </w:p>
        </w:tc>
      </w:tr>
      <w:tr>
        <w:trPr>
          <w:trHeight w:val="228" w:hRule="atLeast"/>
        </w:trPr>
        <w:tc>
          <w:tcPr>
            <w:tcW w:w="2483" w:type="dxa"/>
          </w:tcPr>
          <w:p>
            <w:pPr>
              <w:pStyle w:val="TableParagraph"/>
              <w:spacing w:before="7"/>
              <w:ind w:left="139"/>
              <w:jc w:val="left"/>
              <w:rPr>
                <w:sz w:val="16"/>
              </w:rPr>
            </w:pPr>
            <w:r>
              <w:rPr>
                <w:sz w:val="16"/>
              </w:rPr>
              <w:t>Temporary</w:t>
            </w:r>
            <w:r>
              <w:rPr>
                <w:spacing w:val="-3"/>
                <w:sz w:val="16"/>
              </w:rPr>
              <w:t> </w:t>
            </w:r>
            <w:r>
              <w:rPr>
                <w:sz w:val="16"/>
              </w:rPr>
              <w:t>assistance</w:t>
            </w:r>
            <w:r>
              <w:rPr>
                <w:spacing w:val="-4"/>
                <w:sz w:val="16"/>
              </w:rPr>
              <w:t> </w:t>
            </w:r>
            <w:r>
              <w:rPr>
                <w:sz w:val="16"/>
              </w:rPr>
              <w:t>for</w:t>
            </w:r>
            <w:r>
              <w:rPr>
                <w:spacing w:val="-5"/>
                <w:sz w:val="16"/>
              </w:rPr>
              <w:t> </w:t>
            </w:r>
            <w:r>
              <w:rPr>
                <w:spacing w:val="-2"/>
                <w:sz w:val="16"/>
              </w:rPr>
              <w:t>meetings</w:t>
            </w:r>
          </w:p>
        </w:tc>
        <w:tc>
          <w:tcPr>
            <w:tcW w:w="1218" w:type="dxa"/>
          </w:tcPr>
          <w:p>
            <w:pPr>
              <w:pStyle w:val="TableParagraph"/>
              <w:spacing w:before="7"/>
              <w:ind w:right="193"/>
              <w:rPr>
                <w:sz w:val="16"/>
              </w:rPr>
            </w:pPr>
            <w:r>
              <w:rPr>
                <w:w w:val="98"/>
                <w:sz w:val="16"/>
              </w:rPr>
              <w:t>-</w:t>
            </w:r>
          </w:p>
        </w:tc>
        <w:tc>
          <w:tcPr>
            <w:tcW w:w="828" w:type="dxa"/>
          </w:tcPr>
          <w:p>
            <w:pPr>
              <w:pStyle w:val="TableParagraph"/>
              <w:spacing w:before="7"/>
              <w:ind w:right="109"/>
              <w:rPr>
                <w:sz w:val="16"/>
              </w:rPr>
            </w:pPr>
            <w:r>
              <w:rPr>
                <w:w w:val="98"/>
                <w:sz w:val="16"/>
              </w:rPr>
              <w:t>-</w:t>
            </w:r>
          </w:p>
        </w:tc>
        <w:tc>
          <w:tcPr>
            <w:tcW w:w="1133" w:type="dxa"/>
          </w:tcPr>
          <w:p>
            <w:pPr>
              <w:pStyle w:val="TableParagraph"/>
              <w:spacing w:before="7"/>
              <w:ind w:right="108"/>
              <w:rPr>
                <w:sz w:val="16"/>
              </w:rPr>
            </w:pPr>
            <w:r>
              <w:rPr>
                <w:w w:val="98"/>
                <w:sz w:val="16"/>
              </w:rPr>
              <w:t>-</w:t>
            </w:r>
          </w:p>
        </w:tc>
        <w:tc>
          <w:tcPr>
            <w:tcW w:w="1220" w:type="dxa"/>
          </w:tcPr>
          <w:p>
            <w:pPr>
              <w:pStyle w:val="TableParagraph"/>
              <w:spacing w:before="7"/>
              <w:ind w:right="195"/>
              <w:rPr>
                <w:sz w:val="16"/>
              </w:rPr>
            </w:pPr>
            <w:r>
              <w:rPr>
                <w:w w:val="98"/>
                <w:sz w:val="16"/>
              </w:rPr>
              <w:t>-</w:t>
            </w:r>
          </w:p>
        </w:tc>
        <w:tc>
          <w:tcPr>
            <w:tcW w:w="1402" w:type="dxa"/>
          </w:tcPr>
          <w:p>
            <w:pPr>
              <w:pStyle w:val="TableParagraph"/>
              <w:spacing w:before="7"/>
              <w:ind w:left="127"/>
              <w:jc w:val="center"/>
              <w:rPr>
                <w:sz w:val="16"/>
              </w:rPr>
            </w:pPr>
            <w:r>
              <w:rPr>
                <w:w w:val="98"/>
                <w:sz w:val="16"/>
              </w:rPr>
              <w:t>-</w:t>
            </w:r>
          </w:p>
        </w:tc>
        <w:tc>
          <w:tcPr>
            <w:tcW w:w="279" w:type="dxa"/>
          </w:tcPr>
          <w:p>
            <w:pPr>
              <w:pStyle w:val="TableParagraph"/>
              <w:spacing w:before="7"/>
              <w:ind w:right="124"/>
              <w:rPr>
                <w:sz w:val="16"/>
              </w:rPr>
            </w:pPr>
            <w:r>
              <w:rPr>
                <w:w w:val="98"/>
                <w:sz w:val="16"/>
              </w:rPr>
              <w:t>-</w:t>
            </w:r>
          </w:p>
        </w:tc>
        <w:tc>
          <w:tcPr>
            <w:tcW w:w="1135" w:type="dxa"/>
          </w:tcPr>
          <w:p>
            <w:pPr>
              <w:pStyle w:val="TableParagraph"/>
              <w:spacing w:before="7"/>
              <w:ind w:right="135"/>
              <w:rPr>
                <w:sz w:val="16"/>
              </w:rPr>
            </w:pPr>
            <w:r>
              <w:rPr>
                <w:w w:val="98"/>
                <w:sz w:val="16"/>
              </w:rPr>
              <w:t>-</w:t>
            </w:r>
          </w:p>
        </w:tc>
      </w:tr>
      <w:tr>
        <w:trPr>
          <w:trHeight w:val="226" w:hRule="atLeast"/>
        </w:trPr>
        <w:tc>
          <w:tcPr>
            <w:tcW w:w="2483" w:type="dxa"/>
            <w:tcBorders>
              <w:bottom w:val="single" w:sz="4" w:space="0" w:color="000000"/>
            </w:tcBorders>
          </w:tcPr>
          <w:p>
            <w:pPr>
              <w:pStyle w:val="TableParagraph"/>
              <w:spacing w:before="10"/>
              <w:ind w:left="139"/>
              <w:jc w:val="left"/>
              <w:rPr>
                <w:sz w:val="16"/>
              </w:rPr>
            </w:pPr>
            <w:r>
              <w:rPr>
                <w:spacing w:val="-2"/>
                <w:sz w:val="16"/>
              </w:rPr>
              <w:t>Overtime</w:t>
            </w:r>
          </w:p>
        </w:tc>
        <w:tc>
          <w:tcPr>
            <w:tcW w:w="1218" w:type="dxa"/>
            <w:tcBorders>
              <w:bottom w:val="single" w:sz="4" w:space="0" w:color="000000"/>
            </w:tcBorders>
          </w:tcPr>
          <w:p>
            <w:pPr>
              <w:pStyle w:val="TableParagraph"/>
              <w:spacing w:before="10"/>
              <w:ind w:right="193"/>
              <w:rPr>
                <w:sz w:val="16"/>
              </w:rPr>
            </w:pPr>
            <w:r>
              <w:rPr>
                <w:w w:val="98"/>
                <w:sz w:val="16"/>
              </w:rPr>
              <w:t>-</w:t>
            </w:r>
          </w:p>
        </w:tc>
        <w:tc>
          <w:tcPr>
            <w:tcW w:w="828" w:type="dxa"/>
            <w:tcBorders>
              <w:bottom w:val="single" w:sz="4" w:space="0" w:color="000000"/>
            </w:tcBorders>
          </w:tcPr>
          <w:p>
            <w:pPr>
              <w:pStyle w:val="TableParagraph"/>
              <w:spacing w:before="10"/>
              <w:ind w:right="109"/>
              <w:rPr>
                <w:sz w:val="16"/>
              </w:rPr>
            </w:pPr>
            <w:r>
              <w:rPr>
                <w:w w:val="98"/>
                <w:sz w:val="16"/>
              </w:rPr>
              <w:t>-</w:t>
            </w:r>
          </w:p>
        </w:tc>
        <w:tc>
          <w:tcPr>
            <w:tcW w:w="1133" w:type="dxa"/>
            <w:tcBorders>
              <w:bottom w:val="single" w:sz="4" w:space="0" w:color="000000"/>
            </w:tcBorders>
          </w:tcPr>
          <w:p>
            <w:pPr>
              <w:pStyle w:val="TableParagraph"/>
              <w:spacing w:before="10"/>
              <w:ind w:right="108"/>
              <w:rPr>
                <w:sz w:val="16"/>
              </w:rPr>
            </w:pPr>
            <w:r>
              <w:rPr>
                <w:w w:val="98"/>
                <w:sz w:val="16"/>
              </w:rPr>
              <w:t>-</w:t>
            </w:r>
          </w:p>
        </w:tc>
        <w:tc>
          <w:tcPr>
            <w:tcW w:w="1220" w:type="dxa"/>
            <w:tcBorders>
              <w:bottom w:val="single" w:sz="4" w:space="0" w:color="000000"/>
            </w:tcBorders>
          </w:tcPr>
          <w:p>
            <w:pPr>
              <w:pStyle w:val="TableParagraph"/>
              <w:spacing w:before="10"/>
              <w:ind w:right="195"/>
              <w:rPr>
                <w:sz w:val="16"/>
              </w:rPr>
            </w:pPr>
            <w:r>
              <w:rPr>
                <w:w w:val="98"/>
                <w:sz w:val="16"/>
              </w:rPr>
              <w:t>-</w:t>
            </w:r>
          </w:p>
        </w:tc>
        <w:tc>
          <w:tcPr>
            <w:tcW w:w="1402" w:type="dxa"/>
            <w:tcBorders>
              <w:bottom w:val="single" w:sz="4" w:space="0" w:color="000000"/>
            </w:tcBorders>
          </w:tcPr>
          <w:p>
            <w:pPr>
              <w:pStyle w:val="TableParagraph"/>
              <w:spacing w:before="10"/>
              <w:ind w:left="127"/>
              <w:jc w:val="center"/>
              <w:rPr>
                <w:sz w:val="16"/>
              </w:rPr>
            </w:pPr>
            <w:r>
              <w:rPr>
                <w:w w:val="98"/>
                <w:sz w:val="16"/>
              </w:rPr>
              <w:t>-</w:t>
            </w:r>
          </w:p>
        </w:tc>
        <w:tc>
          <w:tcPr>
            <w:tcW w:w="279" w:type="dxa"/>
            <w:tcBorders>
              <w:bottom w:val="single" w:sz="4" w:space="0" w:color="000000"/>
            </w:tcBorders>
          </w:tcPr>
          <w:p>
            <w:pPr>
              <w:pStyle w:val="TableParagraph"/>
              <w:spacing w:before="10"/>
              <w:ind w:right="124"/>
              <w:rPr>
                <w:sz w:val="16"/>
              </w:rPr>
            </w:pPr>
            <w:r>
              <w:rPr>
                <w:w w:val="98"/>
                <w:sz w:val="16"/>
              </w:rPr>
              <w:t>-</w:t>
            </w:r>
          </w:p>
        </w:tc>
        <w:tc>
          <w:tcPr>
            <w:tcW w:w="1135" w:type="dxa"/>
            <w:tcBorders>
              <w:bottom w:val="single" w:sz="4" w:space="0" w:color="000000"/>
            </w:tcBorders>
          </w:tcPr>
          <w:p>
            <w:pPr>
              <w:pStyle w:val="TableParagraph"/>
              <w:spacing w:before="10"/>
              <w:ind w:right="135"/>
              <w:rPr>
                <w:sz w:val="16"/>
              </w:rPr>
            </w:pPr>
            <w:r>
              <w:rPr>
                <w:w w:val="98"/>
                <w:sz w:val="16"/>
              </w:rPr>
              <w:t>-</w:t>
            </w:r>
          </w:p>
        </w:tc>
      </w:tr>
      <w:tr>
        <w:trPr>
          <w:trHeight w:val="225" w:hRule="atLeast"/>
        </w:trPr>
        <w:tc>
          <w:tcPr>
            <w:tcW w:w="2483" w:type="dxa"/>
            <w:tcBorders>
              <w:top w:val="single" w:sz="4" w:space="0" w:color="000000"/>
              <w:bottom w:val="single" w:sz="4" w:space="0" w:color="000000"/>
            </w:tcBorders>
          </w:tcPr>
          <w:p>
            <w:pPr>
              <w:pStyle w:val="TableParagraph"/>
              <w:spacing w:before="9"/>
              <w:ind w:right="105"/>
              <w:rPr>
                <w:i/>
                <w:sz w:val="16"/>
              </w:rPr>
            </w:pPr>
            <w:r>
              <w:rPr>
                <w:i/>
                <w:sz w:val="16"/>
              </w:rPr>
              <w:t>Subtotal</w:t>
            </w:r>
            <w:r>
              <w:rPr>
                <w:i/>
                <w:spacing w:val="-2"/>
                <w:sz w:val="16"/>
              </w:rPr>
              <w:t> </w:t>
            </w:r>
            <w:r>
              <w:rPr>
                <w:i/>
                <w:sz w:val="16"/>
              </w:rPr>
              <w:t>other</w:t>
            </w:r>
            <w:r>
              <w:rPr>
                <w:i/>
                <w:spacing w:val="-1"/>
                <w:sz w:val="16"/>
              </w:rPr>
              <w:t> </w:t>
            </w:r>
            <w:r>
              <w:rPr>
                <w:i/>
                <w:spacing w:val="-2"/>
                <w:sz w:val="16"/>
              </w:rPr>
              <w:t>staff</w:t>
            </w:r>
          </w:p>
        </w:tc>
        <w:tc>
          <w:tcPr>
            <w:tcW w:w="1218" w:type="dxa"/>
            <w:tcBorders>
              <w:top w:val="single" w:sz="4" w:space="0" w:color="000000"/>
              <w:bottom w:val="single" w:sz="4" w:space="0" w:color="000000"/>
            </w:tcBorders>
          </w:tcPr>
          <w:p>
            <w:pPr>
              <w:pStyle w:val="TableParagraph"/>
              <w:spacing w:before="9"/>
              <w:ind w:right="193"/>
              <w:rPr>
                <w:i/>
                <w:sz w:val="16"/>
              </w:rPr>
            </w:pPr>
            <w:r>
              <w:rPr>
                <w:i/>
                <w:w w:val="98"/>
                <w:sz w:val="16"/>
              </w:rPr>
              <w:t>-</w:t>
            </w:r>
          </w:p>
        </w:tc>
        <w:tc>
          <w:tcPr>
            <w:tcW w:w="828" w:type="dxa"/>
            <w:tcBorders>
              <w:top w:val="single" w:sz="4" w:space="0" w:color="000000"/>
              <w:bottom w:val="single" w:sz="4" w:space="0" w:color="000000"/>
            </w:tcBorders>
          </w:tcPr>
          <w:p>
            <w:pPr>
              <w:pStyle w:val="TableParagraph"/>
              <w:spacing w:before="9"/>
              <w:ind w:right="109"/>
              <w:rPr>
                <w:i/>
                <w:sz w:val="16"/>
              </w:rPr>
            </w:pPr>
            <w:r>
              <w:rPr>
                <w:i/>
                <w:w w:val="98"/>
                <w:sz w:val="16"/>
              </w:rPr>
              <w:t>-</w:t>
            </w:r>
          </w:p>
        </w:tc>
        <w:tc>
          <w:tcPr>
            <w:tcW w:w="1133" w:type="dxa"/>
            <w:tcBorders>
              <w:top w:val="single" w:sz="4" w:space="0" w:color="000000"/>
              <w:bottom w:val="single" w:sz="4" w:space="0" w:color="000000"/>
            </w:tcBorders>
          </w:tcPr>
          <w:p>
            <w:pPr>
              <w:pStyle w:val="TableParagraph"/>
              <w:spacing w:before="9"/>
              <w:ind w:right="108"/>
              <w:rPr>
                <w:i/>
                <w:sz w:val="16"/>
              </w:rPr>
            </w:pPr>
            <w:r>
              <w:rPr>
                <w:i/>
                <w:w w:val="98"/>
                <w:sz w:val="16"/>
              </w:rPr>
              <w:t>-</w:t>
            </w:r>
          </w:p>
        </w:tc>
        <w:tc>
          <w:tcPr>
            <w:tcW w:w="1220" w:type="dxa"/>
            <w:tcBorders>
              <w:top w:val="single" w:sz="4" w:space="0" w:color="000000"/>
              <w:bottom w:val="single" w:sz="4" w:space="0" w:color="000000"/>
            </w:tcBorders>
          </w:tcPr>
          <w:p>
            <w:pPr>
              <w:pStyle w:val="TableParagraph"/>
              <w:spacing w:before="9"/>
              <w:ind w:right="195"/>
              <w:rPr>
                <w:i/>
                <w:sz w:val="16"/>
              </w:rPr>
            </w:pPr>
            <w:r>
              <w:rPr>
                <w:i/>
                <w:w w:val="98"/>
                <w:sz w:val="16"/>
              </w:rPr>
              <w:t>-</w:t>
            </w:r>
          </w:p>
        </w:tc>
        <w:tc>
          <w:tcPr>
            <w:tcW w:w="1402" w:type="dxa"/>
            <w:tcBorders>
              <w:top w:val="single" w:sz="4" w:space="0" w:color="000000"/>
              <w:bottom w:val="single" w:sz="4" w:space="0" w:color="000000"/>
            </w:tcBorders>
          </w:tcPr>
          <w:p>
            <w:pPr>
              <w:pStyle w:val="TableParagraph"/>
              <w:spacing w:before="9"/>
              <w:ind w:left="127"/>
              <w:jc w:val="center"/>
              <w:rPr>
                <w:i/>
                <w:sz w:val="16"/>
              </w:rPr>
            </w:pPr>
            <w:r>
              <w:rPr>
                <w:i/>
                <w:w w:val="98"/>
                <w:sz w:val="16"/>
              </w:rPr>
              <w:t>-</w:t>
            </w:r>
          </w:p>
        </w:tc>
        <w:tc>
          <w:tcPr>
            <w:tcW w:w="279" w:type="dxa"/>
            <w:tcBorders>
              <w:top w:val="single" w:sz="4" w:space="0" w:color="000000"/>
              <w:bottom w:val="single" w:sz="4" w:space="0" w:color="000000"/>
            </w:tcBorders>
          </w:tcPr>
          <w:p>
            <w:pPr>
              <w:pStyle w:val="TableParagraph"/>
              <w:spacing w:before="9"/>
              <w:ind w:right="124"/>
              <w:rPr>
                <w:i/>
                <w:sz w:val="16"/>
              </w:rPr>
            </w:pPr>
            <w:r>
              <w:rPr>
                <w:i/>
                <w:w w:val="98"/>
                <w:sz w:val="16"/>
              </w:rPr>
              <w:t>-</w:t>
            </w:r>
          </w:p>
        </w:tc>
        <w:tc>
          <w:tcPr>
            <w:tcW w:w="1135" w:type="dxa"/>
            <w:tcBorders>
              <w:top w:val="single" w:sz="4" w:space="0" w:color="000000"/>
              <w:bottom w:val="single" w:sz="4" w:space="0" w:color="000000"/>
            </w:tcBorders>
          </w:tcPr>
          <w:p>
            <w:pPr>
              <w:pStyle w:val="TableParagraph"/>
              <w:spacing w:before="9"/>
              <w:ind w:right="135"/>
              <w:rPr>
                <w:i/>
                <w:sz w:val="16"/>
              </w:rPr>
            </w:pPr>
            <w:r>
              <w:rPr>
                <w:i/>
                <w:w w:val="98"/>
                <w:sz w:val="16"/>
              </w:rPr>
              <w:t>-</w:t>
            </w:r>
          </w:p>
        </w:tc>
      </w:tr>
      <w:tr>
        <w:trPr>
          <w:trHeight w:val="230" w:hRule="atLeast"/>
        </w:trPr>
        <w:tc>
          <w:tcPr>
            <w:tcW w:w="2483" w:type="dxa"/>
            <w:tcBorders>
              <w:top w:val="single" w:sz="4" w:space="0" w:color="000000"/>
            </w:tcBorders>
          </w:tcPr>
          <w:p>
            <w:pPr>
              <w:pStyle w:val="TableParagraph"/>
              <w:spacing w:before="9"/>
              <w:ind w:left="139"/>
              <w:jc w:val="left"/>
              <w:rPr>
                <w:sz w:val="16"/>
              </w:rPr>
            </w:pPr>
            <w:r>
              <w:rPr>
                <w:spacing w:val="-2"/>
                <w:sz w:val="16"/>
              </w:rPr>
              <w:t>Travel</w:t>
            </w:r>
          </w:p>
        </w:tc>
        <w:tc>
          <w:tcPr>
            <w:tcW w:w="1218" w:type="dxa"/>
            <w:tcBorders>
              <w:top w:val="single" w:sz="4" w:space="0" w:color="000000"/>
            </w:tcBorders>
          </w:tcPr>
          <w:p>
            <w:pPr>
              <w:pStyle w:val="TableParagraph"/>
              <w:spacing w:before="9"/>
              <w:ind w:right="193"/>
              <w:rPr>
                <w:sz w:val="16"/>
              </w:rPr>
            </w:pPr>
            <w:r>
              <w:rPr>
                <w:w w:val="98"/>
                <w:sz w:val="16"/>
              </w:rPr>
              <w:t>-</w:t>
            </w:r>
          </w:p>
        </w:tc>
        <w:tc>
          <w:tcPr>
            <w:tcW w:w="828" w:type="dxa"/>
            <w:tcBorders>
              <w:top w:val="single" w:sz="4" w:space="0" w:color="000000"/>
            </w:tcBorders>
          </w:tcPr>
          <w:p>
            <w:pPr>
              <w:pStyle w:val="TableParagraph"/>
              <w:spacing w:before="9"/>
              <w:ind w:right="109"/>
              <w:rPr>
                <w:sz w:val="16"/>
              </w:rPr>
            </w:pPr>
            <w:r>
              <w:rPr>
                <w:w w:val="98"/>
                <w:sz w:val="16"/>
              </w:rPr>
              <w:t>-</w:t>
            </w:r>
          </w:p>
        </w:tc>
        <w:tc>
          <w:tcPr>
            <w:tcW w:w="1133" w:type="dxa"/>
            <w:tcBorders>
              <w:top w:val="single" w:sz="4" w:space="0" w:color="000000"/>
            </w:tcBorders>
          </w:tcPr>
          <w:p>
            <w:pPr>
              <w:pStyle w:val="TableParagraph"/>
              <w:spacing w:before="9"/>
              <w:ind w:right="108"/>
              <w:rPr>
                <w:sz w:val="16"/>
              </w:rPr>
            </w:pPr>
            <w:r>
              <w:rPr>
                <w:w w:val="98"/>
                <w:sz w:val="16"/>
              </w:rPr>
              <w:t>-</w:t>
            </w:r>
          </w:p>
        </w:tc>
        <w:tc>
          <w:tcPr>
            <w:tcW w:w="1220" w:type="dxa"/>
            <w:tcBorders>
              <w:top w:val="single" w:sz="4" w:space="0" w:color="000000"/>
            </w:tcBorders>
          </w:tcPr>
          <w:p>
            <w:pPr>
              <w:pStyle w:val="TableParagraph"/>
              <w:spacing w:before="9"/>
              <w:ind w:right="195"/>
              <w:rPr>
                <w:sz w:val="16"/>
              </w:rPr>
            </w:pPr>
            <w:r>
              <w:rPr>
                <w:w w:val="98"/>
                <w:sz w:val="16"/>
              </w:rPr>
              <w:t>-</w:t>
            </w:r>
          </w:p>
        </w:tc>
        <w:tc>
          <w:tcPr>
            <w:tcW w:w="1402" w:type="dxa"/>
            <w:tcBorders>
              <w:top w:val="single" w:sz="4" w:space="0" w:color="000000"/>
            </w:tcBorders>
          </w:tcPr>
          <w:p>
            <w:pPr>
              <w:pStyle w:val="TableParagraph"/>
              <w:spacing w:before="9"/>
              <w:ind w:left="127"/>
              <w:jc w:val="center"/>
              <w:rPr>
                <w:sz w:val="16"/>
              </w:rPr>
            </w:pPr>
            <w:r>
              <w:rPr>
                <w:w w:val="98"/>
                <w:sz w:val="16"/>
              </w:rPr>
              <w:t>-</w:t>
            </w:r>
          </w:p>
        </w:tc>
        <w:tc>
          <w:tcPr>
            <w:tcW w:w="279" w:type="dxa"/>
            <w:tcBorders>
              <w:top w:val="single" w:sz="4" w:space="0" w:color="000000"/>
            </w:tcBorders>
          </w:tcPr>
          <w:p>
            <w:pPr>
              <w:pStyle w:val="TableParagraph"/>
              <w:spacing w:before="9"/>
              <w:ind w:right="124"/>
              <w:rPr>
                <w:sz w:val="16"/>
              </w:rPr>
            </w:pPr>
            <w:r>
              <w:rPr>
                <w:w w:val="98"/>
                <w:sz w:val="16"/>
              </w:rPr>
              <w:t>-</w:t>
            </w:r>
          </w:p>
        </w:tc>
        <w:tc>
          <w:tcPr>
            <w:tcW w:w="1135" w:type="dxa"/>
            <w:tcBorders>
              <w:top w:val="single" w:sz="4" w:space="0" w:color="000000"/>
            </w:tcBorders>
          </w:tcPr>
          <w:p>
            <w:pPr>
              <w:pStyle w:val="TableParagraph"/>
              <w:spacing w:before="9"/>
              <w:ind w:right="135"/>
              <w:rPr>
                <w:sz w:val="16"/>
              </w:rPr>
            </w:pPr>
            <w:r>
              <w:rPr>
                <w:w w:val="98"/>
                <w:sz w:val="16"/>
              </w:rPr>
              <w:t>-</w:t>
            </w:r>
          </w:p>
        </w:tc>
      </w:tr>
      <w:tr>
        <w:trPr>
          <w:trHeight w:val="227" w:hRule="atLeast"/>
        </w:trPr>
        <w:tc>
          <w:tcPr>
            <w:tcW w:w="2483" w:type="dxa"/>
          </w:tcPr>
          <w:p>
            <w:pPr>
              <w:pStyle w:val="TableParagraph"/>
              <w:spacing w:before="10"/>
              <w:ind w:left="139"/>
              <w:jc w:val="left"/>
              <w:rPr>
                <w:sz w:val="16"/>
              </w:rPr>
            </w:pPr>
            <w:r>
              <w:rPr>
                <w:spacing w:val="-2"/>
                <w:sz w:val="16"/>
              </w:rPr>
              <w:t>Hospitality</w:t>
            </w:r>
          </w:p>
        </w:tc>
        <w:tc>
          <w:tcPr>
            <w:tcW w:w="1218" w:type="dxa"/>
          </w:tcPr>
          <w:p>
            <w:pPr>
              <w:pStyle w:val="TableParagraph"/>
              <w:spacing w:before="10"/>
              <w:ind w:right="193"/>
              <w:rPr>
                <w:sz w:val="16"/>
              </w:rPr>
            </w:pPr>
            <w:r>
              <w:rPr>
                <w:w w:val="98"/>
                <w:sz w:val="16"/>
              </w:rPr>
              <w:t>-</w:t>
            </w:r>
          </w:p>
        </w:tc>
        <w:tc>
          <w:tcPr>
            <w:tcW w:w="828" w:type="dxa"/>
          </w:tcPr>
          <w:p>
            <w:pPr>
              <w:pStyle w:val="TableParagraph"/>
              <w:spacing w:before="10"/>
              <w:ind w:right="109"/>
              <w:rPr>
                <w:sz w:val="16"/>
              </w:rPr>
            </w:pPr>
            <w:r>
              <w:rPr>
                <w:w w:val="98"/>
                <w:sz w:val="16"/>
              </w:rPr>
              <w:t>-</w:t>
            </w:r>
          </w:p>
        </w:tc>
        <w:tc>
          <w:tcPr>
            <w:tcW w:w="1133" w:type="dxa"/>
          </w:tcPr>
          <w:p>
            <w:pPr>
              <w:pStyle w:val="TableParagraph"/>
              <w:spacing w:before="10"/>
              <w:ind w:right="108"/>
              <w:rPr>
                <w:sz w:val="16"/>
              </w:rPr>
            </w:pPr>
            <w:r>
              <w:rPr>
                <w:w w:val="98"/>
                <w:sz w:val="16"/>
              </w:rPr>
              <w:t>-</w:t>
            </w:r>
          </w:p>
        </w:tc>
        <w:tc>
          <w:tcPr>
            <w:tcW w:w="1220" w:type="dxa"/>
          </w:tcPr>
          <w:p>
            <w:pPr>
              <w:pStyle w:val="TableParagraph"/>
              <w:spacing w:before="10"/>
              <w:ind w:right="195"/>
              <w:rPr>
                <w:sz w:val="16"/>
              </w:rPr>
            </w:pPr>
            <w:r>
              <w:rPr>
                <w:w w:val="98"/>
                <w:sz w:val="16"/>
              </w:rPr>
              <w:t>-</w:t>
            </w:r>
          </w:p>
        </w:tc>
        <w:tc>
          <w:tcPr>
            <w:tcW w:w="1402" w:type="dxa"/>
          </w:tcPr>
          <w:p>
            <w:pPr>
              <w:pStyle w:val="TableParagraph"/>
              <w:spacing w:before="10"/>
              <w:ind w:left="127"/>
              <w:jc w:val="center"/>
              <w:rPr>
                <w:sz w:val="16"/>
              </w:rPr>
            </w:pPr>
            <w:r>
              <w:rPr>
                <w:w w:val="98"/>
                <w:sz w:val="16"/>
              </w:rPr>
              <w:t>-</w:t>
            </w:r>
          </w:p>
        </w:tc>
        <w:tc>
          <w:tcPr>
            <w:tcW w:w="279" w:type="dxa"/>
          </w:tcPr>
          <w:p>
            <w:pPr>
              <w:pStyle w:val="TableParagraph"/>
              <w:spacing w:before="10"/>
              <w:ind w:right="124"/>
              <w:rPr>
                <w:sz w:val="16"/>
              </w:rPr>
            </w:pPr>
            <w:r>
              <w:rPr>
                <w:w w:val="98"/>
                <w:sz w:val="16"/>
              </w:rPr>
              <w:t>-</w:t>
            </w:r>
          </w:p>
        </w:tc>
        <w:tc>
          <w:tcPr>
            <w:tcW w:w="1135" w:type="dxa"/>
          </w:tcPr>
          <w:p>
            <w:pPr>
              <w:pStyle w:val="TableParagraph"/>
              <w:spacing w:before="10"/>
              <w:ind w:right="135"/>
              <w:rPr>
                <w:sz w:val="16"/>
              </w:rPr>
            </w:pPr>
            <w:r>
              <w:rPr>
                <w:w w:val="98"/>
                <w:sz w:val="16"/>
              </w:rPr>
              <w:t>-</w:t>
            </w:r>
          </w:p>
        </w:tc>
      </w:tr>
      <w:tr>
        <w:trPr>
          <w:trHeight w:val="225" w:hRule="atLeast"/>
        </w:trPr>
        <w:tc>
          <w:tcPr>
            <w:tcW w:w="2483" w:type="dxa"/>
          </w:tcPr>
          <w:p>
            <w:pPr>
              <w:pStyle w:val="TableParagraph"/>
              <w:spacing w:before="7"/>
              <w:ind w:left="139"/>
              <w:jc w:val="left"/>
              <w:rPr>
                <w:sz w:val="16"/>
              </w:rPr>
            </w:pPr>
            <w:r>
              <w:rPr>
                <w:w w:val="95"/>
                <w:sz w:val="16"/>
              </w:rPr>
              <w:t>Contractual</w:t>
            </w:r>
            <w:r>
              <w:rPr>
                <w:spacing w:val="33"/>
                <w:sz w:val="16"/>
              </w:rPr>
              <w:t> </w:t>
            </w:r>
            <w:r>
              <w:rPr>
                <w:spacing w:val="-2"/>
                <w:sz w:val="16"/>
              </w:rPr>
              <w:t>services</w:t>
            </w:r>
          </w:p>
        </w:tc>
        <w:tc>
          <w:tcPr>
            <w:tcW w:w="1218" w:type="dxa"/>
          </w:tcPr>
          <w:p>
            <w:pPr>
              <w:pStyle w:val="TableParagraph"/>
              <w:spacing w:before="7"/>
              <w:ind w:right="193"/>
              <w:rPr>
                <w:sz w:val="16"/>
              </w:rPr>
            </w:pPr>
            <w:r>
              <w:rPr>
                <w:w w:val="98"/>
                <w:sz w:val="16"/>
              </w:rPr>
              <w:t>-</w:t>
            </w:r>
          </w:p>
        </w:tc>
        <w:tc>
          <w:tcPr>
            <w:tcW w:w="828" w:type="dxa"/>
          </w:tcPr>
          <w:p>
            <w:pPr>
              <w:pStyle w:val="TableParagraph"/>
              <w:spacing w:before="7"/>
              <w:ind w:right="109"/>
              <w:rPr>
                <w:sz w:val="16"/>
              </w:rPr>
            </w:pPr>
            <w:r>
              <w:rPr>
                <w:w w:val="98"/>
                <w:sz w:val="16"/>
              </w:rPr>
              <w:t>-</w:t>
            </w:r>
          </w:p>
        </w:tc>
        <w:tc>
          <w:tcPr>
            <w:tcW w:w="1133" w:type="dxa"/>
          </w:tcPr>
          <w:p>
            <w:pPr>
              <w:pStyle w:val="TableParagraph"/>
              <w:spacing w:before="7"/>
              <w:ind w:right="108"/>
              <w:rPr>
                <w:sz w:val="16"/>
              </w:rPr>
            </w:pPr>
            <w:r>
              <w:rPr>
                <w:w w:val="98"/>
                <w:sz w:val="16"/>
              </w:rPr>
              <w:t>-</w:t>
            </w:r>
          </w:p>
        </w:tc>
        <w:tc>
          <w:tcPr>
            <w:tcW w:w="1220" w:type="dxa"/>
          </w:tcPr>
          <w:p>
            <w:pPr>
              <w:pStyle w:val="TableParagraph"/>
              <w:spacing w:before="7"/>
              <w:ind w:right="195"/>
              <w:rPr>
                <w:sz w:val="16"/>
              </w:rPr>
            </w:pPr>
            <w:r>
              <w:rPr>
                <w:w w:val="98"/>
                <w:sz w:val="16"/>
              </w:rPr>
              <w:t>-</w:t>
            </w:r>
          </w:p>
        </w:tc>
        <w:tc>
          <w:tcPr>
            <w:tcW w:w="1402" w:type="dxa"/>
          </w:tcPr>
          <w:p>
            <w:pPr>
              <w:pStyle w:val="TableParagraph"/>
              <w:spacing w:before="7"/>
              <w:ind w:left="127"/>
              <w:jc w:val="center"/>
              <w:rPr>
                <w:sz w:val="16"/>
              </w:rPr>
            </w:pPr>
            <w:r>
              <w:rPr>
                <w:w w:val="98"/>
                <w:sz w:val="16"/>
              </w:rPr>
              <w:t>-</w:t>
            </w:r>
          </w:p>
        </w:tc>
        <w:tc>
          <w:tcPr>
            <w:tcW w:w="279" w:type="dxa"/>
          </w:tcPr>
          <w:p>
            <w:pPr>
              <w:pStyle w:val="TableParagraph"/>
              <w:spacing w:before="7"/>
              <w:ind w:right="124"/>
              <w:rPr>
                <w:sz w:val="16"/>
              </w:rPr>
            </w:pPr>
            <w:r>
              <w:rPr>
                <w:w w:val="98"/>
                <w:sz w:val="16"/>
              </w:rPr>
              <w:t>-</w:t>
            </w:r>
          </w:p>
        </w:tc>
        <w:tc>
          <w:tcPr>
            <w:tcW w:w="1135" w:type="dxa"/>
          </w:tcPr>
          <w:p>
            <w:pPr>
              <w:pStyle w:val="TableParagraph"/>
              <w:spacing w:before="7"/>
              <w:ind w:right="135"/>
              <w:rPr>
                <w:sz w:val="16"/>
              </w:rPr>
            </w:pPr>
            <w:r>
              <w:rPr>
                <w:w w:val="98"/>
                <w:sz w:val="16"/>
              </w:rPr>
              <w:t>-</w:t>
            </w:r>
          </w:p>
        </w:tc>
      </w:tr>
      <w:tr>
        <w:trPr>
          <w:trHeight w:val="228" w:hRule="atLeast"/>
        </w:trPr>
        <w:tc>
          <w:tcPr>
            <w:tcW w:w="2483" w:type="dxa"/>
          </w:tcPr>
          <w:p>
            <w:pPr>
              <w:pStyle w:val="TableParagraph"/>
              <w:spacing w:before="7"/>
              <w:ind w:left="139"/>
              <w:jc w:val="left"/>
              <w:rPr>
                <w:sz w:val="16"/>
              </w:rPr>
            </w:pPr>
            <w:r>
              <w:rPr>
                <w:spacing w:val="-2"/>
                <w:sz w:val="16"/>
              </w:rPr>
              <w:t>Training</w:t>
            </w:r>
          </w:p>
        </w:tc>
        <w:tc>
          <w:tcPr>
            <w:tcW w:w="1218" w:type="dxa"/>
          </w:tcPr>
          <w:p>
            <w:pPr>
              <w:pStyle w:val="TableParagraph"/>
              <w:spacing w:before="7"/>
              <w:ind w:right="193"/>
              <w:rPr>
                <w:sz w:val="16"/>
              </w:rPr>
            </w:pPr>
            <w:r>
              <w:rPr>
                <w:w w:val="98"/>
                <w:sz w:val="16"/>
              </w:rPr>
              <w:t>-</w:t>
            </w:r>
          </w:p>
        </w:tc>
        <w:tc>
          <w:tcPr>
            <w:tcW w:w="828" w:type="dxa"/>
          </w:tcPr>
          <w:p>
            <w:pPr>
              <w:pStyle w:val="TableParagraph"/>
              <w:spacing w:before="7"/>
              <w:ind w:right="109"/>
              <w:rPr>
                <w:sz w:val="16"/>
              </w:rPr>
            </w:pPr>
            <w:r>
              <w:rPr>
                <w:w w:val="98"/>
                <w:sz w:val="16"/>
              </w:rPr>
              <w:t>-</w:t>
            </w:r>
          </w:p>
        </w:tc>
        <w:tc>
          <w:tcPr>
            <w:tcW w:w="1133" w:type="dxa"/>
          </w:tcPr>
          <w:p>
            <w:pPr>
              <w:pStyle w:val="TableParagraph"/>
              <w:spacing w:before="7"/>
              <w:ind w:right="108"/>
              <w:rPr>
                <w:sz w:val="16"/>
              </w:rPr>
            </w:pPr>
            <w:r>
              <w:rPr>
                <w:w w:val="98"/>
                <w:sz w:val="16"/>
              </w:rPr>
              <w:t>-</w:t>
            </w:r>
          </w:p>
        </w:tc>
        <w:tc>
          <w:tcPr>
            <w:tcW w:w="1220" w:type="dxa"/>
          </w:tcPr>
          <w:p>
            <w:pPr>
              <w:pStyle w:val="TableParagraph"/>
              <w:spacing w:before="7"/>
              <w:ind w:right="195"/>
              <w:rPr>
                <w:sz w:val="16"/>
              </w:rPr>
            </w:pPr>
            <w:r>
              <w:rPr>
                <w:w w:val="98"/>
                <w:sz w:val="16"/>
              </w:rPr>
              <w:t>-</w:t>
            </w:r>
          </w:p>
        </w:tc>
        <w:tc>
          <w:tcPr>
            <w:tcW w:w="1402" w:type="dxa"/>
          </w:tcPr>
          <w:p>
            <w:pPr>
              <w:pStyle w:val="TableParagraph"/>
              <w:spacing w:before="7"/>
              <w:ind w:left="127"/>
              <w:jc w:val="center"/>
              <w:rPr>
                <w:sz w:val="16"/>
              </w:rPr>
            </w:pPr>
            <w:r>
              <w:rPr>
                <w:w w:val="98"/>
                <w:sz w:val="16"/>
              </w:rPr>
              <w:t>-</w:t>
            </w:r>
          </w:p>
        </w:tc>
        <w:tc>
          <w:tcPr>
            <w:tcW w:w="279" w:type="dxa"/>
          </w:tcPr>
          <w:p>
            <w:pPr>
              <w:pStyle w:val="TableParagraph"/>
              <w:spacing w:before="7"/>
              <w:ind w:right="124"/>
              <w:rPr>
                <w:sz w:val="16"/>
              </w:rPr>
            </w:pPr>
            <w:r>
              <w:rPr>
                <w:w w:val="98"/>
                <w:sz w:val="16"/>
              </w:rPr>
              <w:t>-</w:t>
            </w:r>
          </w:p>
        </w:tc>
        <w:tc>
          <w:tcPr>
            <w:tcW w:w="1135" w:type="dxa"/>
          </w:tcPr>
          <w:p>
            <w:pPr>
              <w:pStyle w:val="TableParagraph"/>
              <w:spacing w:before="7"/>
              <w:ind w:right="135"/>
              <w:rPr>
                <w:sz w:val="16"/>
              </w:rPr>
            </w:pPr>
            <w:r>
              <w:rPr>
                <w:w w:val="98"/>
                <w:sz w:val="16"/>
              </w:rPr>
              <w:t>-</w:t>
            </w:r>
          </w:p>
        </w:tc>
      </w:tr>
      <w:tr>
        <w:trPr>
          <w:trHeight w:val="228" w:hRule="atLeast"/>
        </w:trPr>
        <w:tc>
          <w:tcPr>
            <w:tcW w:w="2483" w:type="dxa"/>
          </w:tcPr>
          <w:p>
            <w:pPr>
              <w:pStyle w:val="TableParagraph"/>
              <w:spacing w:before="10"/>
              <w:ind w:left="139"/>
              <w:jc w:val="left"/>
              <w:rPr>
                <w:sz w:val="16"/>
              </w:rPr>
            </w:pPr>
            <w:r>
              <w:rPr>
                <w:spacing w:val="-2"/>
                <w:sz w:val="16"/>
              </w:rPr>
              <w:t>Consultants</w:t>
            </w:r>
          </w:p>
        </w:tc>
        <w:tc>
          <w:tcPr>
            <w:tcW w:w="1218" w:type="dxa"/>
          </w:tcPr>
          <w:p>
            <w:pPr>
              <w:pStyle w:val="TableParagraph"/>
              <w:spacing w:before="10"/>
              <w:ind w:right="193"/>
              <w:rPr>
                <w:sz w:val="16"/>
              </w:rPr>
            </w:pPr>
            <w:r>
              <w:rPr>
                <w:w w:val="98"/>
                <w:sz w:val="16"/>
              </w:rPr>
              <w:t>-</w:t>
            </w:r>
          </w:p>
        </w:tc>
        <w:tc>
          <w:tcPr>
            <w:tcW w:w="828" w:type="dxa"/>
          </w:tcPr>
          <w:p>
            <w:pPr>
              <w:pStyle w:val="TableParagraph"/>
              <w:spacing w:before="10"/>
              <w:ind w:right="109"/>
              <w:rPr>
                <w:sz w:val="16"/>
              </w:rPr>
            </w:pPr>
            <w:r>
              <w:rPr>
                <w:w w:val="98"/>
                <w:sz w:val="16"/>
              </w:rPr>
              <w:t>-</w:t>
            </w:r>
          </w:p>
        </w:tc>
        <w:tc>
          <w:tcPr>
            <w:tcW w:w="1133" w:type="dxa"/>
          </w:tcPr>
          <w:p>
            <w:pPr>
              <w:pStyle w:val="TableParagraph"/>
              <w:spacing w:before="10"/>
              <w:ind w:right="108"/>
              <w:rPr>
                <w:sz w:val="16"/>
              </w:rPr>
            </w:pPr>
            <w:r>
              <w:rPr>
                <w:w w:val="98"/>
                <w:sz w:val="16"/>
              </w:rPr>
              <w:t>-</w:t>
            </w:r>
          </w:p>
        </w:tc>
        <w:tc>
          <w:tcPr>
            <w:tcW w:w="1220" w:type="dxa"/>
          </w:tcPr>
          <w:p>
            <w:pPr>
              <w:pStyle w:val="TableParagraph"/>
              <w:spacing w:before="10"/>
              <w:ind w:right="195"/>
              <w:rPr>
                <w:sz w:val="16"/>
              </w:rPr>
            </w:pPr>
            <w:r>
              <w:rPr>
                <w:w w:val="98"/>
                <w:sz w:val="16"/>
              </w:rPr>
              <w:t>-</w:t>
            </w:r>
          </w:p>
        </w:tc>
        <w:tc>
          <w:tcPr>
            <w:tcW w:w="1402" w:type="dxa"/>
          </w:tcPr>
          <w:p>
            <w:pPr>
              <w:pStyle w:val="TableParagraph"/>
              <w:spacing w:before="10"/>
              <w:ind w:left="127"/>
              <w:jc w:val="center"/>
              <w:rPr>
                <w:sz w:val="16"/>
              </w:rPr>
            </w:pPr>
            <w:r>
              <w:rPr>
                <w:w w:val="98"/>
                <w:sz w:val="16"/>
              </w:rPr>
              <w:t>-</w:t>
            </w:r>
          </w:p>
        </w:tc>
        <w:tc>
          <w:tcPr>
            <w:tcW w:w="279" w:type="dxa"/>
          </w:tcPr>
          <w:p>
            <w:pPr>
              <w:pStyle w:val="TableParagraph"/>
              <w:spacing w:before="10"/>
              <w:ind w:right="124"/>
              <w:rPr>
                <w:sz w:val="16"/>
              </w:rPr>
            </w:pPr>
            <w:r>
              <w:rPr>
                <w:w w:val="98"/>
                <w:sz w:val="16"/>
              </w:rPr>
              <w:t>-</w:t>
            </w:r>
          </w:p>
        </w:tc>
        <w:tc>
          <w:tcPr>
            <w:tcW w:w="1135" w:type="dxa"/>
          </w:tcPr>
          <w:p>
            <w:pPr>
              <w:pStyle w:val="TableParagraph"/>
              <w:spacing w:before="10"/>
              <w:ind w:right="135"/>
              <w:rPr>
                <w:sz w:val="16"/>
              </w:rPr>
            </w:pPr>
            <w:r>
              <w:rPr>
                <w:w w:val="98"/>
                <w:sz w:val="16"/>
              </w:rPr>
              <w:t>-</w:t>
            </w:r>
          </w:p>
        </w:tc>
      </w:tr>
      <w:tr>
        <w:trPr>
          <w:trHeight w:val="225" w:hRule="atLeast"/>
        </w:trPr>
        <w:tc>
          <w:tcPr>
            <w:tcW w:w="2483" w:type="dxa"/>
          </w:tcPr>
          <w:p>
            <w:pPr>
              <w:pStyle w:val="TableParagraph"/>
              <w:spacing w:before="7"/>
              <w:ind w:left="139"/>
              <w:jc w:val="left"/>
              <w:rPr>
                <w:sz w:val="16"/>
              </w:rPr>
            </w:pPr>
            <w:r>
              <w:rPr>
                <w:sz w:val="16"/>
              </w:rPr>
              <w:t>General</w:t>
            </w:r>
            <w:r>
              <w:rPr>
                <w:spacing w:val="-4"/>
                <w:sz w:val="16"/>
              </w:rPr>
              <w:t> </w:t>
            </w:r>
            <w:r>
              <w:rPr>
                <w:sz w:val="16"/>
              </w:rPr>
              <w:t>operating</w:t>
            </w:r>
            <w:r>
              <w:rPr>
                <w:spacing w:val="-1"/>
                <w:sz w:val="16"/>
              </w:rPr>
              <w:t> </w:t>
            </w:r>
            <w:r>
              <w:rPr>
                <w:spacing w:val="-2"/>
                <w:sz w:val="16"/>
              </w:rPr>
              <w:t>expenses</w:t>
            </w:r>
          </w:p>
        </w:tc>
        <w:tc>
          <w:tcPr>
            <w:tcW w:w="1218" w:type="dxa"/>
          </w:tcPr>
          <w:p>
            <w:pPr>
              <w:pStyle w:val="TableParagraph"/>
              <w:spacing w:before="7"/>
              <w:ind w:right="193"/>
              <w:rPr>
                <w:sz w:val="16"/>
              </w:rPr>
            </w:pPr>
            <w:r>
              <w:rPr>
                <w:w w:val="98"/>
                <w:sz w:val="16"/>
              </w:rPr>
              <w:t>-</w:t>
            </w:r>
          </w:p>
        </w:tc>
        <w:tc>
          <w:tcPr>
            <w:tcW w:w="828" w:type="dxa"/>
          </w:tcPr>
          <w:p>
            <w:pPr>
              <w:pStyle w:val="TableParagraph"/>
              <w:spacing w:before="7"/>
              <w:ind w:right="109"/>
              <w:rPr>
                <w:sz w:val="16"/>
              </w:rPr>
            </w:pPr>
            <w:r>
              <w:rPr>
                <w:w w:val="98"/>
                <w:sz w:val="16"/>
              </w:rPr>
              <w:t>-</w:t>
            </w:r>
          </w:p>
        </w:tc>
        <w:tc>
          <w:tcPr>
            <w:tcW w:w="1133" w:type="dxa"/>
          </w:tcPr>
          <w:p>
            <w:pPr>
              <w:pStyle w:val="TableParagraph"/>
              <w:spacing w:before="7"/>
              <w:ind w:right="108"/>
              <w:rPr>
                <w:sz w:val="16"/>
              </w:rPr>
            </w:pPr>
            <w:r>
              <w:rPr>
                <w:w w:val="98"/>
                <w:sz w:val="16"/>
              </w:rPr>
              <w:t>-</w:t>
            </w:r>
          </w:p>
        </w:tc>
        <w:tc>
          <w:tcPr>
            <w:tcW w:w="1220" w:type="dxa"/>
          </w:tcPr>
          <w:p>
            <w:pPr>
              <w:pStyle w:val="TableParagraph"/>
              <w:spacing w:before="7"/>
              <w:ind w:right="195"/>
              <w:rPr>
                <w:sz w:val="16"/>
              </w:rPr>
            </w:pPr>
            <w:r>
              <w:rPr>
                <w:w w:val="98"/>
                <w:sz w:val="16"/>
              </w:rPr>
              <w:t>-</w:t>
            </w:r>
          </w:p>
        </w:tc>
        <w:tc>
          <w:tcPr>
            <w:tcW w:w="1402" w:type="dxa"/>
          </w:tcPr>
          <w:p>
            <w:pPr>
              <w:pStyle w:val="TableParagraph"/>
              <w:spacing w:before="7"/>
              <w:ind w:left="127"/>
              <w:jc w:val="center"/>
              <w:rPr>
                <w:sz w:val="16"/>
              </w:rPr>
            </w:pPr>
            <w:r>
              <w:rPr>
                <w:w w:val="98"/>
                <w:sz w:val="16"/>
              </w:rPr>
              <w:t>-</w:t>
            </w:r>
          </w:p>
        </w:tc>
        <w:tc>
          <w:tcPr>
            <w:tcW w:w="279" w:type="dxa"/>
          </w:tcPr>
          <w:p>
            <w:pPr>
              <w:pStyle w:val="TableParagraph"/>
              <w:spacing w:before="7"/>
              <w:ind w:right="124"/>
              <w:rPr>
                <w:sz w:val="16"/>
              </w:rPr>
            </w:pPr>
            <w:r>
              <w:rPr>
                <w:w w:val="98"/>
                <w:sz w:val="16"/>
              </w:rPr>
              <w:t>-</w:t>
            </w:r>
          </w:p>
        </w:tc>
        <w:tc>
          <w:tcPr>
            <w:tcW w:w="1135" w:type="dxa"/>
          </w:tcPr>
          <w:p>
            <w:pPr>
              <w:pStyle w:val="TableParagraph"/>
              <w:spacing w:before="7"/>
              <w:ind w:right="135"/>
              <w:rPr>
                <w:sz w:val="16"/>
              </w:rPr>
            </w:pPr>
            <w:r>
              <w:rPr>
                <w:w w:val="98"/>
                <w:sz w:val="16"/>
              </w:rPr>
              <w:t>-</w:t>
            </w:r>
          </w:p>
        </w:tc>
      </w:tr>
      <w:tr>
        <w:trPr>
          <w:trHeight w:val="228" w:hRule="atLeast"/>
        </w:trPr>
        <w:tc>
          <w:tcPr>
            <w:tcW w:w="2483" w:type="dxa"/>
          </w:tcPr>
          <w:p>
            <w:pPr>
              <w:pStyle w:val="TableParagraph"/>
              <w:spacing w:before="7"/>
              <w:ind w:left="139"/>
              <w:jc w:val="left"/>
              <w:rPr>
                <w:sz w:val="16"/>
              </w:rPr>
            </w:pPr>
            <w:r>
              <w:rPr>
                <w:sz w:val="16"/>
              </w:rPr>
              <w:t>Supplies</w:t>
            </w:r>
            <w:r>
              <w:rPr>
                <w:spacing w:val="-4"/>
                <w:sz w:val="16"/>
              </w:rPr>
              <w:t> </w:t>
            </w:r>
            <w:r>
              <w:rPr>
                <w:sz w:val="16"/>
              </w:rPr>
              <w:t>and</w:t>
            </w:r>
            <w:r>
              <w:rPr>
                <w:spacing w:val="-2"/>
                <w:sz w:val="16"/>
              </w:rPr>
              <w:t> materials</w:t>
            </w:r>
          </w:p>
        </w:tc>
        <w:tc>
          <w:tcPr>
            <w:tcW w:w="1218" w:type="dxa"/>
          </w:tcPr>
          <w:p>
            <w:pPr>
              <w:pStyle w:val="TableParagraph"/>
              <w:spacing w:before="7"/>
              <w:ind w:right="193"/>
              <w:rPr>
                <w:sz w:val="16"/>
              </w:rPr>
            </w:pPr>
            <w:r>
              <w:rPr>
                <w:w w:val="98"/>
                <w:sz w:val="16"/>
              </w:rPr>
              <w:t>-</w:t>
            </w:r>
          </w:p>
        </w:tc>
        <w:tc>
          <w:tcPr>
            <w:tcW w:w="828" w:type="dxa"/>
          </w:tcPr>
          <w:p>
            <w:pPr>
              <w:pStyle w:val="TableParagraph"/>
              <w:spacing w:before="7"/>
              <w:ind w:right="109"/>
              <w:rPr>
                <w:sz w:val="16"/>
              </w:rPr>
            </w:pPr>
            <w:r>
              <w:rPr>
                <w:w w:val="98"/>
                <w:sz w:val="16"/>
              </w:rPr>
              <w:t>-</w:t>
            </w:r>
          </w:p>
        </w:tc>
        <w:tc>
          <w:tcPr>
            <w:tcW w:w="1133" w:type="dxa"/>
          </w:tcPr>
          <w:p>
            <w:pPr>
              <w:pStyle w:val="TableParagraph"/>
              <w:spacing w:before="7"/>
              <w:ind w:right="108"/>
              <w:rPr>
                <w:sz w:val="16"/>
              </w:rPr>
            </w:pPr>
            <w:r>
              <w:rPr>
                <w:w w:val="98"/>
                <w:sz w:val="16"/>
              </w:rPr>
              <w:t>-</w:t>
            </w:r>
          </w:p>
        </w:tc>
        <w:tc>
          <w:tcPr>
            <w:tcW w:w="1220" w:type="dxa"/>
          </w:tcPr>
          <w:p>
            <w:pPr>
              <w:pStyle w:val="TableParagraph"/>
              <w:spacing w:before="7"/>
              <w:ind w:right="195"/>
              <w:rPr>
                <w:sz w:val="16"/>
              </w:rPr>
            </w:pPr>
            <w:r>
              <w:rPr>
                <w:w w:val="98"/>
                <w:sz w:val="16"/>
              </w:rPr>
              <w:t>-</w:t>
            </w:r>
          </w:p>
        </w:tc>
        <w:tc>
          <w:tcPr>
            <w:tcW w:w="1402" w:type="dxa"/>
          </w:tcPr>
          <w:p>
            <w:pPr>
              <w:pStyle w:val="TableParagraph"/>
              <w:spacing w:before="7"/>
              <w:ind w:left="127"/>
              <w:jc w:val="center"/>
              <w:rPr>
                <w:sz w:val="16"/>
              </w:rPr>
            </w:pPr>
            <w:r>
              <w:rPr>
                <w:w w:val="98"/>
                <w:sz w:val="16"/>
              </w:rPr>
              <w:t>-</w:t>
            </w:r>
          </w:p>
        </w:tc>
        <w:tc>
          <w:tcPr>
            <w:tcW w:w="279" w:type="dxa"/>
          </w:tcPr>
          <w:p>
            <w:pPr>
              <w:pStyle w:val="TableParagraph"/>
              <w:spacing w:before="7"/>
              <w:ind w:right="124"/>
              <w:rPr>
                <w:sz w:val="16"/>
              </w:rPr>
            </w:pPr>
            <w:r>
              <w:rPr>
                <w:w w:val="98"/>
                <w:sz w:val="16"/>
              </w:rPr>
              <w:t>-</w:t>
            </w:r>
          </w:p>
        </w:tc>
        <w:tc>
          <w:tcPr>
            <w:tcW w:w="1135" w:type="dxa"/>
          </w:tcPr>
          <w:p>
            <w:pPr>
              <w:pStyle w:val="TableParagraph"/>
              <w:spacing w:before="7"/>
              <w:ind w:right="135"/>
              <w:rPr>
                <w:sz w:val="16"/>
              </w:rPr>
            </w:pPr>
            <w:r>
              <w:rPr>
                <w:w w:val="98"/>
                <w:sz w:val="16"/>
              </w:rPr>
              <w:t>-</w:t>
            </w:r>
          </w:p>
        </w:tc>
      </w:tr>
      <w:tr>
        <w:trPr>
          <w:trHeight w:val="221" w:hRule="atLeast"/>
        </w:trPr>
        <w:tc>
          <w:tcPr>
            <w:tcW w:w="2483" w:type="dxa"/>
            <w:tcBorders>
              <w:bottom w:val="single" w:sz="4" w:space="0" w:color="000000"/>
            </w:tcBorders>
          </w:tcPr>
          <w:p>
            <w:pPr>
              <w:pStyle w:val="TableParagraph"/>
              <w:spacing w:before="10"/>
              <w:ind w:left="139"/>
              <w:jc w:val="left"/>
              <w:rPr>
                <w:sz w:val="16"/>
              </w:rPr>
            </w:pPr>
            <w:r>
              <w:rPr>
                <w:sz w:val="16"/>
              </w:rPr>
              <w:t>Furniture</w:t>
            </w:r>
            <w:r>
              <w:rPr>
                <w:spacing w:val="-4"/>
                <w:sz w:val="16"/>
              </w:rPr>
              <w:t> </w:t>
            </w:r>
            <w:r>
              <w:rPr>
                <w:sz w:val="16"/>
              </w:rPr>
              <w:t>and</w:t>
            </w:r>
            <w:r>
              <w:rPr>
                <w:spacing w:val="-2"/>
                <w:sz w:val="16"/>
              </w:rPr>
              <w:t> equipment</w:t>
            </w:r>
          </w:p>
        </w:tc>
        <w:tc>
          <w:tcPr>
            <w:tcW w:w="1218" w:type="dxa"/>
            <w:tcBorders>
              <w:bottom w:val="single" w:sz="4" w:space="0" w:color="000000"/>
            </w:tcBorders>
          </w:tcPr>
          <w:p>
            <w:pPr>
              <w:pStyle w:val="TableParagraph"/>
              <w:spacing w:before="10"/>
              <w:ind w:right="193"/>
              <w:rPr>
                <w:sz w:val="16"/>
              </w:rPr>
            </w:pPr>
            <w:r>
              <w:rPr>
                <w:w w:val="98"/>
                <w:sz w:val="16"/>
              </w:rPr>
              <w:t>-</w:t>
            </w:r>
          </w:p>
        </w:tc>
        <w:tc>
          <w:tcPr>
            <w:tcW w:w="828" w:type="dxa"/>
            <w:tcBorders>
              <w:bottom w:val="single" w:sz="4" w:space="0" w:color="000000"/>
            </w:tcBorders>
          </w:tcPr>
          <w:p>
            <w:pPr>
              <w:pStyle w:val="TableParagraph"/>
              <w:spacing w:before="10"/>
              <w:ind w:right="109"/>
              <w:rPr>
                <w:sz w:val="16"/>
              </w:rPr>
            </w:pPr>
            <w:r>
              <w:rPr>
                <w:w w:val="98"/>
                <w:sz w:val="16"/>
              </w:rPr>
              <w:t>-</w:t>
            </w:r>
          </w:p>
        </w:tc>
        <w:tc>
          <w:tcPr>
            <w:tcW w:w="1133" w:type="dxa"/>
            <w:tcBorders>
              <w:bottom w:val="single" w:sz="4" w:space="0" w:color="000000"/>
            </w:tcBorders>
          </w:tcPr>
          <w:p>
            <w:pPr>
              <w:pStyle w:val="TableParagraph"/>
              <w:spacing w:before="10"/>
              <w:ind w:right="108"/>
              <w:rPr>
                <w:sz w:val="16"/>
              </w:rPr>
            </w:pPr>
            <w:r>
              <w:rPr>
                <w:w w:val="98"/>
                <w:sz w:val="16"/>
              </w:rPr>
              <w:t>-</w:t>
            </w:r>
          </w:p>
        </w:tc>
        <w:tc>
          <w:tcPr>
            <w:tcW w:w="1220" w:type="dxa"/>
            <w:tcBorders>
              <w:bottom w:val="single" w:sz="4" w:space="0" w:color="000000"/>
            </w:tcBorders>
          </w:tcPr>
          <w:p>
            <w:pPr>
              <w:pStyle w:val="TableParagraph"/>
              <w:spacing w:before="10"/>
              <w:ind w:right="195"/>
              <w:rPr>
                <w:sz w:val="16"/>
              </w:rPr>
            </w:pPr>
            <w:r>
              <w:rPr>
                <w:w w:val="98"/>
                <w:sz w:val="16"/>
              </w:rPr>
              <w:t>-</w:t>
            </w:r>
          </w:p>
        </w:tc>
        <w:tc>
          <w:tcPr>
            <w:tcW w:w="1402" w:type="dxa"/>
            <w:tcBorders>
              <w:bottom w:val="single" w:sz="4" w:space="0" w:color="000000"/>
            </w:tcBorders>
          </w:tcPr>
          <w:p>
            <w:pPr>
              <w:pStyle w:val="TableParagraph"/>
              <w:spacing w:before="10"/>
              <w:ind w:left="127"/>
              <w:jc w:val="center"/>
              <w:rPr>
                <w:sz w:val="16"/>
              </w:rPr>
            </w:pPr>
            <w:r>
              <w:rPr>
                <w:w w:val="98"/>
                <w:sz w:val="16"/>
              </w:rPr>
              <w:t>-</w:t>
            </w:r>
          </w:p>
        </w:tc>
        <w:tc>
          <w:tcPr>
            <w:tcW w:w="279" w:type="dxa"/>
            <w:tcBorders>
              <w:bottom w:val="single" w:sz="4" w:space="0" w:color="000000"/>
            </w:tcBorders>
          </w:tcPr>
          <w:p>
            <w:pPr>
              <w:pStyle w:val="TableParagraph"/>
              <w:spacing w:before="10"/>
              <w:ind w:right="124"/>
              <w:rPr>
                <w:sz w:val="16"/>
              </w:rPr>
            </w:pPr>
            <w:r>
              <w:rPr>
                <w:w w:val="98"/>
                <w:sz w:val="16"/>
              </w:rPr>
              <w:t>-</w:t>
            </w:r>
          </w:p>
        </w:tc>
        <w:tc>
          <w:tcPr>
            <w:tcW w:w="1135" w:type="dxa"/>
            <w:tcBorders>
              <w:bottom w:val="single" w:sz="4" w:space="0" w:color="000000"/>
            </w:tcBorders>
          </w:tcPr>
          <w:p>
            <w:pPr>
              <w:pStyle w:val="TableParagraph"/>
              <w:spacing w:before="10"/>
              <w:ind w:right="135"/>
              <w:rPr>
                <w:sz w:val="16"/>
              </w:rPr>
            </w:pPr>
            <w:r>
              <w:rPr>
                <w:w w:val="98"/>
                <w:sz w:val="16"/>
              </w:rPr>
              <w:t>-</w:t>
            </w:r>
          </w:p>
        </w:tc>
      </w:tr>
      <w:tr>
        <w:trPr>
          <w:trHeight w:val="230" w:hRule="atLeast"/>
        </w:trPr>
        <w:tc>
          <w:tcPr>
            <w:tcW w:w="2483" w:type="dxa"/>
            <w:tcBorders>
              <w:top w:val="single" w:sz="4" w:space="0" w:color="000000"/>
              <w:bottom w:val="single" w:sz="4" w:space="0" w:color="000000"/>
            </w:tcBorders>
          </w:tcPr>
          <w:p>
            <w:pPr>
              <w:pStyle w:val="TableParagraph"/>
              <w:spacing w:before="14"/>
              <w:ind w:right="103"/>
              <w:rPr>
                <w:i/>
                <w:sz w:val="16"/>
              </w:rPr>
            </w:pPr>
            <w:r>
              <w:rPr>
                <w:i/>
                <w:w w:val="95"/>
                <w:sz w:val="16"/>
              </w:rPr>
              <w:t>Subtotal</w:t>
            </w:r>
            <w:r>
              <w:rPr>
                <w:i/>
                <w:spacing w:val="40"/>
                <w:sz w:val="16"/>
              </w:rPr>
              <w:t> </w:t>
            </w:r>
            <w:r>
              <w:rPr>
                <w:i/>
                <w:w w:val="95"/>
                <w:sz w:val="16"/>
              </w:rPr>
              <w:t>non-</w:t>
            </w:r>
            <w:r>
              <w:rPr>
                <w:i/>
                <w:spacing w:val="-4"/>
                <w:w w:val="95"/>
                <w:sz w:val="16"/>
              </w:rPr>
              <w:t>staff</w:t>
            </w:r>
          </w:p>
        </w:tc>
        <w:tc>
          <w:tcPr>
            <w:tcW w:w="1218" w:type="dxa"/>
            <w:tcBorders>
              <w:top w:val="single" w:sz="4" w:space="0" w:color="000000"/>
              <w:bottom w:val="single" w:sz="4" w:space="0" w:color="000000"/>
            </w:tcBorders>
          </w:tcPr>
          <w:p>
            <w:pPr>
              <w:pStyle w:val="TableParagraph"/>
              <w:spacing w:before="14"/>
              <w:ind w:right="193"/>
              <w:rPr>
                <w:i/>
                <w:sz w:val="16"/>
              </w:rPr>
            </w:pPr>
            <w:r>
              <w:rPr>
                <w:i/>
                <w:w w:val="98"/>
                <w:sz w:val="16"/>
              </w:rPr>
              <w:t>-</w:t>
            </w:r>
          </w:p>
        </w:tc>
        <w:tc>
          <w:tcPr>
            <w:tcW w:w="828" w:type="dxa"/>
            <w:tcBorders>
              <w:top w:val="single" w:sz="4" w:space="0" w:color="000000"/>
              <w:bottom w:val="single" w:sz="4" w:space="0" w:color="000000"/>
            </w:tcBorders>
          </w:tcPr>
          <w:p>
            <w:pPr>
              <w:pStyle w:val="TableParagraph"/>
              <w:spacing w:before="14"/>
              <w:ind w:right="109"/>
              <w:rPr>
                <w:i/>
                <w:sz w:val="16"/>
              </w:rPr>
            </w:pPr>
            <w:r>
              <w:rPr>
                <w:i/>
                <w:w w:val="98"/>
                <w:sz w:val="16"/>
              </w:rPr>
              <w:t>-</w:t>
            </w:r>
          </w:p>
        </w:tc>
        <w:tc>
          <w:tcPr>
            <w:tcW w:w="1133" w:type="dxa"/>
            <w:tcBorders>
              <w:top w:val="single" w:sz="4" w:space="0" w:color="000000"/>
              <w:bottom w:val="single" w:sz="4" w:space="0" w:color="000000"/>
            </w:tcBorders>
          </w:tcPr>
          <w:p>
            <w:pPr>
              <w:pStyle w:val="TableParagraph"/>
              <w:spacing w:before="14"/>
              <w:ind w:right="108"/>
              <w:rPr>
                <w:i/>
                <w:sz w:val="16"/>
              </w:rPr>
            </w:pPr>
            <w:r>
              <w:rPr>
                <w:i/>
                <w:w w:val="98"/>
                <w:sz w:val="16"/>
              </w:rPr>
              <w:t>-</w:t>
            </w:r>
          </w:p>
        </w:tc>
        <w:tc>
          <w:tcPr>
            <w:tcW w:w="1220" w:type="dxa"/>
            <w:tcBorders>
              <w:top w:val="single" w:sz="4" w:space="0" w:color="000000"/>
              <w:bottom w:val="single" w:sz="4" w:space="0" w:color="000000"/>
            </w:tcBorders>
          </w:tcPr>
          <w:p>
            <w:pPr>
              <w:pStyle w:val="TableParagraph"/>
              <w:spacing w:before="14"/>
              <w:ind w:right="195"/>
              <w:rPr>
                <w:i/>
                <w:sz w:val="16"/>
              </w:rPr>
            </w:pPr>
            <w:r>
              <w:rPr>
                <w:i/>
                <w:w w:val="98"/>
                <w:sz w:val="16"/>
              </w:rPr>
              <w:t>-</w:t>
            </w:r>
          </w:p>
        </w:tc>
        <w:tc>
          <w:tcPr>
            <w:tcW w:w="1402" w:type="dxa"/>
            <w:tcBorders>
              <w:top w:val="single" w:sz="4" w:space="0" w:color="000000"/>
              <w:bottom w:val="single" w:sz="4" w:space="0" w:color="000000"/>
            </w:tcBorders>
          </w:tcPr>
          <w:p>
            <w:pPr>
              <w:pStyle w:val="TableParagraph"/>
              <w:spacing w:before="14"/>
              <w:ind w:left="127"/>
              <w:jc w:val="center"/>
              <w:rPr>
                <w:i/>
                <w:sz w:val="16"/>
              </w:rPr>
            </w:pPr>
            <w:r>
              <w:rPr>
                <w:i/>
                <w:w w:val="98"/>
                <w:sz w:val="16"/>
              </w:rPr>
              <w:t>-</w:t>
            </w:r>
          </w:p>
        </w:tc>
        <w:tc>
          <w:tcPr>
            <w:tcW w:w="279" w:type="dxa"/>
            <w:tcBorders>
              <w:top w:val="single" w:sz="4" w:space="0" w:color="000000"/>
              <w:bottom w:val="single" w:sz="4" w:space="0" w:color="000000"/>
            </w:tcBorders>
          </w:tcPr>
          <w:p>
            <w:pPr>
              <w:pStyle w:val="TableParagraph"/>
              <w:spacing w:before="14"/>
              <w:ind w:right="124"/>
              <w:rPr>
                <w:i/>
                <w:sz w:val="16"/>
              </w:rPr>
            </w:pPr>
            <w:r>
              <w:rPr>
                <w:i/>
                <w:w w:val="98"/>
                <w:sz w:val="16"/>
              </w:rPr>
              <w:t>-</w:t>
            </w:r>
          </w:p>
        </w:tc>
        <w:tc>
          <w:tcPr>
            <w:tcW w:w="1135" w:type="dxa"/>
            <w:tcBorders>
              <w:top w:val="single" w:sz="4" w:space="0" w:color="000000"/>
              <w:bottom w:val="single" w:sz="4" w:space="0" w:color="000000"/>
            </w:tcBorders>
          </w:tcPr>
          <w:p>
            <w:pPr>
              <w:pStyle w:val="TableParagraph"/>
              <w:spacing w:before="14"/>
              <w:ind w:right="135"/>
              <w:rPr>
                <w:i/>
                <w:sz w:val="16"/>
              </w:rPr>
            </w:pPr>
            <w:r>
              <w:rPr>
                <w:i/>
                <w:w w:val="98"/>
                <w:sz w:val="16"/>
              </w:rPr>
              <w:t>-</w:t>
            </w:r>
          </w:p>
        </w:tc>
      </w:tr>
      <w:tr>
        <w:trPr>
          <w:trHeight w:val="224" w:hRule="atLeast"/>
        </w:trPr>
        <w:tc>
          <w:tcPr>
            <w:tcW w:w="2483" w:type="dxa"/>
            <w:tcBorders>
              <w:top w:val="single" w:sz="4" w:space="0" w:color="000000"/>
              <w:bottom w:val="single" w:sz="12" w:space="0" w:color="000000"/>
            </w:tcBorders>
          </w:tcPr>
          <w:p>
            <w:pPr>
              <w:pStyle w:val="TableParagraph"/>
              <w:spacing w:before="9"/>
              <w:ind w:left="139"/>
              <w:jc w:val="left"/>
              <w:rPr>
                <w:b/>
                <w:sz w:val="16"/>
              </w:rPr>
            </w:pPr>
            <w:r>
              <w:rPr>
                <w:b/>
                <w:spacing w:val="-2"/>
                <w:sz w:val="16"/>
              </w:rPr>
              <w:t>Total</w:t>
            </w:r>
          </w:p>
        </w:tc>
        <w:tc>
          <w:tcPr>
            <w:tcW w:w="1218" w:type="dxa"/>
            <w:tcBorders>
              <w:top w:val="single" w:sz="4" w:space="0" w:color="000000"/>
              <w:bottom w:val="single" w:sz="12" w:space="0" w:color="000000"/>
            </w:tcBorders>
          </w:tcPr>
          <w:p>
            <w:pPr>
              <w:pStyle w:val="TableParagraph"/>
              <w:spacing w:before="9"/>
              <w:ind w:right="193"/>
              <w:rPr>
                <w:b/>
                <w:sz w:val="16"/>
              </w:rPr>
            </w:pPr>
            <w:r>
              <w:rPr>
                <w:b/>
                <w:w w:val="98"/>
                <w:sz w:val="16"/>
              </w:rPr>
              <w:t>-</w:t>
            </w:r>
          </w:p>
        </w:tc>
        <w:tc>
          <w:tcPr>
            <w:tcW w:w="828" w:type="dxa"/>
            <w:tcBorders>
              <w:top w:val="single" w:sz="4" w:space="0" w:color="000000"/>
              <w:bottom w:val="single" w:sz="12" w:space="0" w:color="000000"/>
            </w:tcBorders>
          </w:tcPr>
          <w:p>
            <w:pPr>
              <w:pStyle w:val="TableParagraph"/>
              <w:spacing w:before="9"/>
              <w:ind w:right="109"/>
              <w:rPr>
                <w:b/>
                <w:sz w:val="16"/>
              </w:rPr>
            </w:pPr>
            <w:r>
              <w:rPr>
                <w:b/>
                <w:w w:val="98"/>
                <w:sz w:val="16"/>
              </w:rPr>
              <w:t>-</w:t>
            </w:r>
          </w:p>
        </w:tc>
        <w:tc>
          <w:tcPr>
            <w:tcW w:w="1133" w:type="dxa"/>
            <w:tcBorders>
              <w:top w:val="single" w:sz="4" w:space="0" w:color="000000"/>
              <w:bottom w:val="single" w:sz="12" w:space="0" w:color="000000"/>
            </w:tcBorders>
          </w:tcPr>
          <w:p>
            <w:pPr>
              <w:pStyle w:val="TableParagraph"/>
              <w:spacing w:before="9"/>
              <w:ind w:right="108"/>
              <w:rPr>
                <w:b/>
                <w:sz w:val="16"/>
              </w:rPr>
            </w:pPr>
            <w:r>
              <w:rPr>
                <w:b/>
                <w:w w:val="98"/>
                <w:sz w:val="16"/>
              </w:rPr>
              <w:t>-</w:t>
            </w:r>
          </w:p>
        </w:tc>
        <w:tc>
          <w:tcPr>
            <w:tcW w:w="1220" w:type="dxa"/>
            <w:tcBorders>
              <w:top w:val="single" w:sz="4" w:space="0" w:color="000000"/>
              <w:bottom w:val="single" w:sz="12" w:space="0" w:color="000000"/>
            </w:tcBorders>
          </w:tcPr>
          <w:p>
            <w:pPr>
              <w:pStyle w:val="TableParagraph"/>
              <w:spacing w:before="9"/>
              <w:ind w:right="195"/>
              <w:rPr>
                <w:b/>
                <w:sz w:val="16"/>
              </w:rPr>
            </w:pPr>
            <w:r>
              <w:rPr>
                <w:b/>
                <w:w w:val="98"/>
                <w:sz w:val="16"/>
              </w:rPr>
              <w:t>-</w:t>
            </w:r>
          </w:p>
        </w:tc>
        <w:tc>
          <w:tcPr>
            <w:tcW w:w="1402" w:type="dxa"/>
            <w:tcBorders>
              <w:top w:val="single" w:sz="4" w:space="0" w:color="000000"/>
              <w:bottom w:val="single" w:sz="12" w:space="0" w:color="000000"/>
            </w:tcBorders>
          </w:tcPr>
          <w:p>
            <w:pPr>
              <w:pStyle w:val="TableParagraph"/>
              <w:spacing w:before="9"/>
              <w:ind w:left="127"/>
              <w:jc w:val="center"/>
              <w:rPr>
                <w:b/>
                <w:sz w:val="16"/>
              </w:rPr>
            </w:pPr>
            <w:r>
              <w:rPr>
                <w:b/>
                <w:w w:val="98"/>
                <w:sz w:val="16"/>
              </w:rPr>
              <w:t>-</w:t>
            </w:r>
          </w:p>
        </w:tc>
        <w:tc>
          <w:tcPr>
            <w:tcW w:w="279" w:type="dxa"/>
            <w:tcBorders>
              <w:top w:val="single" w:sz="4" w:space="0" w:color="000000"/>
              <w:bottom w:val="single" w:sz="12" w:space="0" w:color="000000"/>
            </w:tcBorders>
          </w:tcPr>
          <w:p>
            <w:pPr>
              <w:pStyle w:val="TableParagraph"/>
              <w:spacing w:before="9"/>
              <w:ind w:right="124"/>
              <w:rPr>
                <w:b/>
                <w:sz w:val="16"/>
              </w:rPr>
            </w:pPr>
            <w:r>
              <w:rPr>
                <w:b/>
                <w:w w:val="98"/>
                <w:sz w:val="16"/>
              </w:rPr>
              <w:t>-</w:t>
            </w:r>
          </w:p>
        </w:tc>
        <w:tc>
          <w:tcPr>
            <w:tcW w:w="1135" w:type="dxa"/>
            <w:tcBorders>
              <w:top w:val="single" w:sz="4" w:space="0" w:color="000000"/>
              <w:bottom w:val="single" w:sz="12" w:space="0" w:color="000000"/>
            </w:tcBorders>
          </w:tcPr>
          <w:p>
            <w:pPr>
              <w:pStyle w:val="TableParagraph"/>
              <w:spacing w:before="9"/>
              <w:ind w:right="135"/>
              <w:rPr>
                <w:b/>
                <w:sz w:val="16"/>
              </w:rPr>
            </w:pPr>
            <w:r>
              <w:rPr>
                <w:b/>
                <w:w w:val="98"/>
                <w:sz w:val="16"/>
              </w:rPr>
              <w:t>-</w:t>
            </w:r>
          </w:p>
        </w:tc>
      </w:tr>
      <w:tr>
        <w:trPr>
          <w:trHeight w:val="229" w:hRule="atLeast"/>
        </w:trPr>
        <w:tc>
          <w:tcPr>
            <w:tcW w:w="2483" w:type="dxa"/>
            <w:tcBorders>
              <w:top w:val="single" w:sz="12" w:space="0" w:color="000000"/>
              <w:bottom w:val="single" w:sz="4" w:space="0" w:color="000000"/>
            </w:tcBorders>
          </w:tcPr>
          <w:p>
            <w:pPr>
              <w:pStyle w:val="TableParagraph"/>
              <w:spacing w:before="13"/>
              <w:ind w:left="139"/>
              <w:jc w:val="left"/>
              <w:rPr>
                <w:i/>
                <w:sz w:val="16"/>
              </w:rPr>
            </w:pPr>
            <w:r>
              <w:rPr>
                <w:i/>
                <w:sz w:val="16"/>
              </w:rPr>
              <w:t>Host</w:t>
            </w:r>
            <w:r>
              <w:rPr>
                <w:i/>
                <w:spacing w:val="-5"/>
                <w:sz w:val="16"/>
              </w:rPr>
              <w:t> </w:t>
            </w:r>
            <w:r>
              <w:rPr>
                <w:i/>
                <w:sz w:val="16"/>
              </w:rPr>
              <w:t>State</w:t>
            </w:r>
            <w:r>
              <w:rPr>
                <w:i/>
                <w:spacing w:val="-3"/>
                <w:sz w:val="16"/>
              </w:rPr>
              <w:t> </w:t>
            </w:r>
            <w:r>
              <w:rPr>
                <w:i/>
                <w:spacing w:val="-4"/>
                <w:sz w:val="16"/>
              </w:rPr>
              <w:t>Loan</w:t>
            </w:r>
          </w:p>
        </w:tc>
        <w:tc>
          <w:tcPr>
            <w:tcW w:w="1218" w:type="dxa"/>
            <w:tcBorders>
              <w:top w:val="single" w:sz="12" w:space="0" w:color="000000"/>
              <w:bottom w:val="single" w:sz="4" w:space="0" w:color="000000"/>
            </w:tcBorders>
          </w:tcPr>
          <w:p>
            <w:pPr>
              <w:pStyle w:val="TableParagraph"/>
              <w:spacing w:before="13"/>
              <w:ind w:right="192"/>
              <w:rPr>
                <w:i/>
                <w:sz w:val="16"/>
              </w:rPr>
            </w:pPr>
            <w:r>
              <w:rPr>
                <w:i/>
                <w:spacing w:val="-2"/>
                <w:sz w:val="16"/>
              </w:rPr>
              <w:t>3,585.1</w:t>
            </w:r>
          </w:p>
        </w:tc>
        <w:tc>
          <w:tcPr>
            <w:tcW w:w="828" w:type="dxa"/>
            <w:tcBorders>
              <w:top w:val="single" w:sz="12" w:space="0" w:color="000000"/>
              <w:bottom w:val="single" w:sz="4" w:space="0" w:color="000000"/>
            </w:tcBorders>
          </w:tcPr>
          <w:p>
            <w:pPr>
              <w:pStyle w:val="TableParagraph"/>
              <w:spacing w:before="13"/>
              <w:ind w:right="109"/>
              <w:rPr>
                <w:i/>
                <w:sz w:val="16"/>
              </w:rPr>
            </w:pPr>
            <w:r>
              <w:rPr>
                <w:i/>
                <w:w w:val="98"/>
                <w:sz w:val="16"/>
              </w:rPr>
              <w:t>-</w:t>
            </w:r>
          </w:p>
        </w:tc>
        <w:tc>
          <w:tcPr>
            <w:tcW w:w="1133" w:type="dxa"/>
            <w:tcBorders>
              <w:top w:val="single" w:sz="12" w:space="0" w:color="000000"/>
              <w:bottom w:val="single" w:sz="4" w:space="0" w:color="000000"/>
            </w:tcBorders>
          </w:tcPr>
          <w:p>
            <w:pPr>
              <w:pStyle w:val="TableParagraph"/>
              <w:spacing w:before="13"/>
              <w:ind w:right="107"/>
              <w:rPr>
                <w:i/>
                <w:sz w:val="16"/>
              </w:rPr>
            </w:pPr>
            <w:r>
              <w:rPr>
                <w:i/>
                <w:spacing w:val="-2"/>
                <w:sz w:val="16"/>
              </w:rPr>
              <w:t>3,585.1</w:t>
            </w:r>
          </w:p>
        </w:tc>
        <w:tc>
          <w:tcPr>
            <w:tcW w:w="1220" w:type="dxa"/>
            <w:tcBorders>
              <w:top w:val="single" w:sz="12" w:space="0" w:color="000000"/>
              <w:bottom w:val="single" w:sz="4" w:space="0" w:color="000000"/>
            </w:tcBorders>
          </w:tcPr>
          <w:p>
            <w:pPr>
              <w:pStyle w:val="TableParagraph"/>
              <w:spacing w:before="13"/>
              <w:ind w:right="194"/>
              <w:rPr>
                <w:i/>
                <w:sz w:val="16"/>
              </w:rPr>
            </w:pPr>
            <w:r>
              <w:rPr>
                <w:i/>
                <w:spacing w:val="-2"/>
                <w:sz w:val="16"/>
              </w:rPr>
              <w:t>3,585.1</w:t>
            </w:r>
          </w:p>
        </w:tc>
        <w:tc>
          <w:tcPr>
            <w:tcW w:w="1402" w:type="dxa"/>
            <w:tcBorders>
              <w:top w:val="single" w:sz="12" w:space="0" w:color="000000"/>
              <w:bottom w:val="single" w:sz="4" w:space="0" w:color="000000"/>
            </w:tcBorders>
          </w:tcPr>
          <w:p>
            <w:pPr>
              <w:pStyle w:val="TableParagraph"/>
              <w:spacing w:before="13"/>
              <w:ind w:left="127"/>
              <w:jc w:val="center"/>
              <w:rPr>
                <w:i/>
                <w:sz w:val="16"/>
              </w:rPr>
            </w:pPr>
            <w:r>
              <w:rPr>
                <w:i/>
                <w:w w:val="98"/>
                <w:sz w:val="16"/>
              </w:rPr>
              <w:t>-</w:t>
            </w:r>
          </w:p>
        </w:tc>
        <w:tc>
          <w:tcPr>
            <w:tcW w:w="279" w:type="dxa"/>
            <w:tcBorders>
              <w:top w:val="single" w:sz="12" w:space="0" w:color="000000"/>
              <w:bottom w:val="single" w:sz="4" w:space="0" w:color="000000"/>
            </w:tcBorders>
          </w:tcPr>
          <w:p>
            <w:pPr>
              <w:pStyle w:val="TableParagraph"/>
              <w:spacing w:before="13"/>
              <w:ind w:right="124"/>
              <w:rPr>
                <w:i/>
                <w:sz w:val="16"/>
              </w:rPr>
            </w:pPr>
            <w:r>
              <w:rPr>
                <w:i/>
                <w:w w:val="98"/>
                <w:sz w:val="16"/>
              </w:rPr>
              <w:t>-</w:t>
            </w:r>
          </w:p>
        </w:tc>
        <w:tc>
          <w:tcPr>
            <w:tcW w:w="1135" w:type="dxa"/>
            <w:tcBorders>
              <w:top w:val="single" w:sz="12" w:space="0" w:color="000000"/>
              <w:bottom w:val="single" w:sz="4" w:space="0" w:color="000000"/>
            </w:tcBorders>
          </w:tcPr>
          <w:p>
            <w:pPr>
              <w:pStyle w:val="TableParagraph"/>
              <w:spacing w:before="13"/>
              <w:ind w:right="133"/>
              <w:rPr>
                <w:i/>
                <w:sz w:val="16"/>
              </w:rPr>
            </w:pPr>
            <w:r>
              <w:rPr>
                <w:i/>
                <w:spacing w:val="-2"/>
                <w:sz w:val="16"/>
              </w:rPr>
              <w:t>3,585.1</w:t>
            </w:r>
          </w:p>
        </w:tc>
      </w:tr>
      <w:tr>
        <w:trPr>
          <w:trHeight w:val="224" w:hRule="atLeast"/>
        </w:trPr>
        <w:tc>
          <w:tcPr>
            <w:tcW w:w="2483" w:type="dxa"/>
            <w:tcBorders>
              <w:top w:val="single" w:sz="4" w:space="0" w:color="000000"/>
              <w:bottom w:val="single" w:sz="12" w:space="0" w:color="000000"/>
            </w:tcBorders>
          </w:tcPr>
          <w:p>
            <w:pPr>
              <w:pStyle w:val="TableParagraph"/>
              <w:spacing w:before="9"/>
              <w:ind w:left="139"/>
              <w:jc w:val="left"/>
              <w:rPr>
                <w:b/>
                <w:sz w:val="16"/>
              </w:rPr>
            </w:pPr>
            <w:r>
              <w:rPr>
                <w:b/>
                <w:sz w:val="16"/>
              </w:rPr>
              <w:t>Total</w:t>
            </w:r>
            <w:r>
              <w:rPr>
                <w:b/>
                <w:spacing w:val="-8"/>
                <w:sz w:val="16"/>
              </w:rPr>
              <w:t> </w:t>
            </w:r>
            <w:r>
              <w:rPr>
                <w:b/>
                <w:sz w:val="16"/>
              </w:rPr>
              <w:t>Including</w:t>
            </w:r>
            <w:r>
              <w:rPr>
                <w:b/>
                <w:spacing w:val="-5"/>
                <w:sz w:val="16"/>
              </w:rPr>
              <w:t> </w:t>
            </w:r>
            <w:r>
              <w:rPr>
                <w:b/>
                <w:sz w:val="16"/>
              </w:rPr>
              <w:t>Host</w:t>
            </w:r>
            <w:r>
              <w:rPr>
                <w:b/>
                <w:spacing w:val="-6"/>
                <w:sz w:val="16"/>
              </w:rPr>
              <w:t> </w:t>
            </w:r>
            <w:r>
              <w:rPr>
                <w:b/>
                <w:sz w:val="16"/>
              </w:rPr>
              <w:t>State</w:t>
            </w:r>
            <w:r>
              <w:rPr>
                <w:b/>
                <w:spacing w:val="-6"/>
                <w:sz w:val="16"/>
              </w:rPr>
              <w:t> </w:t>
            </w:r>
            <w:r>
              <w:rPr>
                <w:b/>
                <w:spacing w:val="-4"/>
                <w:sz w:val="16"/>
              </w:rPr>
              <w:t>Loan</w:t>
            </w:r>
          </w:p>
        </w:tc>
        <w:tc>
          <w:tcPr>
            <w:tcW w:w="1218" w:type="dxa"/>
            <w:tcBorders>
              <w:top w:val="single" w:sz="4" w:space="0" w:color="000000"/>
              <w:bottom w:val="single" w:sz="12" w:space="0" w:color="000000"/>
            </w:tcBorders>
          </w:tcPr>
          <w:p>
            <w:pPr>
              <w:pStyle w:val="TableParagraph"/>
              <w:spacing w:before="9"/>
              <w:ind w:right="192"/>
              <w:rPr>
                <w:b/>
                <w:sz w:val="16"/>
              </w:rPr>
            </w:pPr>
            <w:r>
              <w:rPr>
                <w:b/>
                <w:spacing w:val="-2"/>
                <w:sz w:val="16"/>
              </w:rPr>
              <w:t>3,585.1</w:t>
            </w:r>
          </w:p>
        </w:tc>
        <w:tc>
          <w:tcPr>
            <w:tcW w:w="828" w:type="dxa"/>
            <w:tcBorders>
              <w:top w:val="single" w:sz="4" w:space="0" w:color="000000"/>
              <w:bottom w:val="single" w:sz="12" w:space="0" w:color="000000"/>
            </w:tcBorders>
          </w:tcPr>
          <w:p>
            <w:pPr>
              <w:pStyle w:val="TableParagraph"/>
              <w:spacing w:before="9"/>
              <w:ind w:right="109"/>
              <w:rPr>
                <w:b/>
                <w:sz w:val="16"/>
              </w:rPr>
            </w:pPr>
            <w:r>
              <w:rPr>
                <w:b/>
                <w:w w:val="98"/>
                <w:sz w:val="16"/>
              </w:rPr>
              <w:t>-</w:t>
            </w:r>
          </w:p>
        </w:tc>
        <w:tc>
          <w:tcPr>
            <w:tcW w:w="1133" w:type="dxa"/>
            <w:tcBorders>
              <w:top w:val="single" w:sz="4" w:space="0" w:color="000000"/>
              <w:bottom w:val="single" w:sz="12" w:space="0" w:color="000000"/>
            </w:tcBorders>
          </w:tcPr>
          <w:p>
            <w:pPr>
              <w:pStyle w:val="TableParagraph"/>
              <w:spacing w:before="9"/>
              <w:ind w:right="107"/>
              <w:rPr>
                <w:b/>
                <w:sz w:val="16"/>
              </w:rPr>
            </w:pPr>
            <w:r>
              <w:rPr>
                <w:b/>
                <w:spacing w:val="-2"/>
                <w:sz w:val="16"/>
              </w:rPr>
              <w:t>3,585.1</w:t>
            </w:r>
          </w:p>
        </w:tc>
        <w:tc>
          <w:tcPr>
            <w:tcW w:w="1220" w:type="dxa"/>
            <w:tcBorders>
              <w:top w:val="single" w:sz="4" w:space="0" w:color="000000"/>
              <w:bottom w:val="single" w:sz="12" w:space="0" w:color="000000"/>
            </w:tcBorders>
          </w:tcPr>
          <w:p>
            <w:pPr>
              <w:pStyle w:val="TableParagraph"/>
              <w:spacing w:before="9"/>
              <w:ind w:right="194"/>
              <w:rPr>
                <w:b/>
                <w:sz w:val="16"/>
              </w:rPr>
            </w:pPr>
            <w:r>
              <w:rPr>
                <w:b/>
                <w:spacing w:val="-2"/>
                <w:sz w:val="16"/>
              </w:rPr>
              <w:t>3,585.1</w:t>
            </w:r>
          </w:p>
        </w:tc>
        <w:tc>
          <w:tcPr>
            <w:tcW w:w="1402" w:type="dxa"/>
            <w:tcBorders>
              <w:top w:val="single" w:sz="4" w:space="0" w:color="000000"/>
              <w:bottom w:val="single" w:sz="12" w:space="0" w:color="000000"/>
            </w:tcBorders>
          </w:tcPr>
          <w:p>
            <w:pPr>
              <w:pStyle w:val="TableParagraph"/>
              <w:spacing w:before="9"/>
              <w:ind w:left="127"/>
              <w:jc w:val="center"/>
              <w:rPr>
                <w:b/>
                <w:sz w:val="16"/>
              </w:rPr>
            </w:pPr>
            <w:r>
              <w:rPr>
                <w:b/>
                <w:w w:val="98"/>
                <w:sz w:val="16"/>
              </w:rPr>
              <w:t>-</w:t>
            </w:r>
          </w:p>
        </w:tc>
        <w:tc>
          <w:tcPr>
            <w:tcW w:w="279" w:type="dxa"/>
            <w:tcBorders>
              <w:top w:val="single" w:sz="4" w:space="0" w:color="000000"/>
              <w:bottom w:val="single" w:sz="12" w:space="0" w:color="000000"/>
            </w:tcBorders>
          </w:tcPr>
          <w:p>
            <w:pPr>
              <w:pStyle w:val="TableParagraph"/>
              <w:spacing w:before="9"/>
              <w:ind w:right="124"/>
              <w:rPr>
                <w:b/>
                <w:sz w:val="16"/>
              </w:rPr>
            </w:pPr>
            <w:r>
              <w:rPr>
                <w:b/>
                <w:w w:val="98"/>
                <w:sz w:val="16"/>
              </w:rPr>
              <w:t>-</w:t>
            </w:r>
          </w:p>
        </w:tc>
        <w:tc>
          <w:tcPr>
            <w:tcW w:w="1135" w:type="dxa"/>
            <w:tcBorders>
              <w:top w:val="single" w:sz="4" w:space="0" w:color="000000"/>
              <w:bottom w:val="single" w:sz="12" w:space="0" w:color="000000"/>
            </w:tcBorders>
          </w:tcPr>
          <w:p>
            <w:pPr>
              <w:pStyle w:val="TableParagraph"/>
              <w:spacing w:before="9"/>
              <w:ind w:right="133"/>
              <w:rPr>
                <w:b/>
                <w:sz w:val="16"/>
              </w:rPr>
            </w:pPr>
            <w:r>
              <w:rPr>
                <w:b/>
                <w:spacing w:val="-2"/>
                <w:sz w:val="16"/>
              </w:rPr>
              <w:t>3,585.1</w:t>
            </w:r>
          </w:p>
        </w:tc>
      </w:tr>
    </w:tbl>
    <w:p>
      <w:pPr>
        <w:pStyle w:val="BodyText"/>
        <w:rPr>
          <w:b/>
          <w:sz w:val="21"/>
        </w:rPr>
      </w:pPr>
      <w:r>
        <w:rPr/>
        <w:pict>
          <v:rect style="position:absolute;margin-left:113.330002pt;margin-top:13.3217pt;width:144.050pt;height:.47998pt;mso-position-horizontal-relative:page;mso-position-vertical-relative:paragraph;z-index:-15678976;mso-wrap-distance-left:0;mso-wrap-distance-right:0" id="docshape340" filled="true" fillcolor="#000000" stroked="false">
            <v:fill type="solid"/>
            <w10:wrap type="topAndBottom"/>
          </v:rect>
        </w:pict>
      </w:r>
    </w:p>
    <w:p>
      <w:pPr>
        <w:spacing w:before="86"/>
        <w:ind w:left="2246" w:right="2195" w:firstLine="0"/>
        <w:jc w:val="left"/>
        <w:rPr>
          <w:sz w:val="16"/>
        </w:rPr>
      </w:pPr>
      <w:r>
        <w:rPr>
          <w:spacing w:val="-2"/>
          <w:position w:val="5"/>
          <w:sz w:val="10"/>
        </w:rPr>
        <w:t>140</w:t>
      </w:r>
      <w:r>
        <w:rPr>
          <w:spacing w:val="19"/>
          <w:position w:val="5"/>
          <w:sz w:val="10"/>
        </w:rPr>
        <w:t> </w:t>
      </w:r>
      <w:r>
        <w:rPr>
          <w:i/>
          <w:spacing w:val="-2"/>
          <w:sz w:val="16"/>
        </w:rPr>
        <w:t>Official</w:t>
      </w:r>
      <w:r>
        <w:rPr>
          <w:i/>
          <w:spacing w:val="-4"/>
          <w:sz w:val="16"/>
        </w:rPr>
        <w:t> </w:t>
      </w:r>
      <w:r>
        <w:rPr>
          <w:i/>
          <w:spacing w:val="-2"/>
          <w:sz w:val="16"/>
        </w:rPr>
        <w:t>Records</w:t>
      </w:r>
      <w:r>
        <w:rPr>
          <w:i/>
          <w:spacing w:val="-7"/>
          <w:sz w:val="16"/>
        </w:rPr>
        <w:t> </w:t>
      </w:r>
      <w:r>
        <w:rPr>
          <w:i/>
          <w:spacing w:val="-2"/>
          <w:sz w:val="16"/>
        </w:rPr>
        <w:t>of</w:t>
      </w:r>
      <w:r>
        <w:rPr>
          <w:i/>
          <w:spacing w:val="-4"/>
          <w:sz w:val="16"/>
        </w:rPr>
        <w:t> </w:t>
      </w:r>
      <w:r>
        <w:rPr>
          <w:i/>
          <w:spacing w:val="-2"/>
          <w:sz w:val="16"/>
        </w:rPr>
        <w:t>the Assembly of</w:t>
      </w:r>
      <w:r>
        <w:rPr>
          <w:i/>
          <w:spacing w:val="-8"/>
          <w:sz w:val="16"/>
        </w:rPr>
        <w:t> </w:t>
      </w:r>
      <w:r>
        <w:rPr>
          <w:i/>
          <w:spacing w:val="-2"/>
          <w:sz w:val="16"/>
        </w:rPr>
        <w:t>States Parties to the Rome Statute of the International</w:t>
      </w:r>
      <w:r>
        <w:rPr>
          <w:i/>
          <w:spacing w:val="-4"/>
          <w:sz w:val="16"/>
        </w:rPr>
        <w:t> </w:t>
      </w:r>
      <w:r>
        <w:rPr>
          <w:i/>
          <w:spacing w:val="-2"/>
          <w:sz w:val="16"/>
        </w:rPr>
        <w:t>Criminal</w:t>
      </w:r>
      <w:r>
        <w:rPr>
          <w:i/>
          <w:spacing w:val="-4"/>
          <w:sz w:val="16"/>
        </w:rPr>
        <w:t> </w:t>
      </w:r>
      <w:r>
        <w:rPr>
          <w:i/>
          <w:spacing w:val="-2"/>
          <w:sz w:val="16"/>
        </w:rPr>
        <w:t>Court,</w:t>
      </w:r>
      <w:r>
        <w:rPr>
          <w:i/>
          <w:spacing w:val="-4"/>
          <w:sz w:val="16"/>
        </w:rPr>
        <w:t> </w:t>
      </w:r>
      <w:r>
        <w:rPr>
          <w:i/>
          <w:spacing w:val="-2"/>
          <w:sz w:val="16"/>
        </w:rPr>
        <w:t>Seventh</w:t>
      </w:r>
      <w:r>
        <w:rPr>
          <w:i/>
          <w:spacing w:val="40"/>
          <w:sz w:val="16"/>
        </w:rPr>
        <w:t> </w:t>
      </w:r>
      <w:r>
        <w:rPr>
          <w:i/>
          <w:sz w:val="16"/>
        </w:rPr>
        <w:t>session,</w:t>
      </w:r>
      <w:r>
        <w:rPr>
          <w:i/>
          <w:spacing w:val="-6"/>
          <w:sz w:val="16"/>
        </w:rPr>
        <w:t> </w:t>
      </w:r>
      <w:r>
        <w:rPr>
          <w:i/>
          <w:sz w:val="16"/>
        </w:rPr>
        <w:t>The</w:t>
      </w:r>
      <w:r>
        <w:rPr>
          <w:i/>
          <w:spacing w:val="-3"/>
          <w:sz w:val="16"/>
        </w:rPr>
        <w:t> </w:t>
      </w:r>
      <w:r>
        <w:rPr>
          <w:i/>
          <w:sz w:val="16"/>
        </w:rPr>
        <w:t>Hague,</w:t>
      </w:r>
      <w:r>
        <w:rPr>
          <w:i/>
          <w:spacing w:val="-10"/>
          <w:sz w:val="16"/>
        </w:rPr>
        <w:t> </w:t>
      </w:r>
      <w:r>
        <w:rPr>
          <w:i/>
          <w:sz w:val="16"/>
        </w:rPr>
        <w:t>14-22</w:t>
      </w:r>
      <w:r>
        <w:rPr>
          <w:i/>
          <w:spacing w:val="-3"/>
          <w:sz w:val="16"/>
        </w:rPr>
        <w:t> </w:t>
      </w:r>
      <w:r>
        <w:rPr>
          <w:i/>
          <w:sz w:val="16"/>
        </w:rPr>
        <w:t>November</w:t>
      </w:r>
      <w:r>
        <w:rPr>
          <w:i/>
          <w:spacing w:val="-8"/>
          <w:sz w:val="16"/>
        </w:rPr>
        <w:t> </w:t>
      </w:r>
      <w:r>
        <w:rPr>
          <w:i/>
          <w:sz w:val="16"/>
        </w:rPr>
        <w:t>2008</w:t>
      </w:r>
      <w:r>
        <w:rPr>
          <w:i/>
          <w:spacing w:val="-7"/>
          <w:sz w:val="16"/>
        </w:rPr>
        <w:t> </w:t>
      </w:r>
      <w:r>
        <w:rPr>
          <w:sz w:val="16"/>
        </w:rPr>
        <w:t>(ICC-ASP/7/20),</w:t>
      </w:r>
      <w:r>
        <w:rPr>
          <w:spacing w:val="-10"/>
          <w:sz w:val="16"/>
        </w:rPr>
        <w:t> </w:t>
      </w:r>
      <w:r>
        <w:rPr>
          <w:sz w:val="16"/>
        </w:rPr>
        <w:t>vol.</w:t>
      </w:r>
      <w:r>
        <w:rPr>
          <w:spacing w:val="-6"/>
          <w:sz w:val="16"/>
        </w:rPr>
        <w:t> </w:t>
      </w:r>
      <w:r>
        <w:rPr>
          <w:sz w:val="16"/>
        </w:rPr>
        <w:t>I,</w:t>
      </w:r>
      <w:r>
        <w:rPr>
          <w:spacing w:val="-10"/>
          <w:sz w:val="16"/>
        </w:rPr>
        <w:t> </w:t>
      </w:r>
      <w:r>
        <w:rPr>
          <w:sz w:val="16"/>
        </w:rPr>
        <w:t>part</w:t>
      </w:r>
      <w:r>
        <w:rPr>
          <w:spacing w:val="-10"/>
          <w:sz w:val="16"/>
        </w:rPr>
        <w:t> </w:t>
      </w:r>
      <w:r>
        <w:rPr>
          <w:sz w:val="16"/>
        </w:rPr>
        <w:t>III,</w:t>
      </w:r>
      <w:r>
        <w:rPr>
          <w:spacing w:val="-10"/>
          <w:sz w:val="16"/>
        </w:rPr>
        <w:t> </w:t>
      </w:r>
      <w:r>
        <w:rPr>
          <w:sz w:val="16"/>
        </w:rPr>
        <w:t>ICC-ASP/7/Res.1,</w:t>
      </w:r>
      <w:r>
        <w:rPr>
          <w:spacing w:val="-10"/>
          <w:sz w:val="16"/>
        </w:rPr>
        <w:t> </w:t>
      </w:r>
      <w:r>
        <w:rPr>
          <w:sz w:val="16"/>
        </w:rPr>
        <w:t>para.</w:t>
      </w:r>
      <w:r>
        <w:rPr>
          <w:spacing w:val="-9"/>
          <w:sz w:val="16"/>
        </w:rPr>
        <w:t> </w:t>
      </w:r>
      <w:r>
        <w:rPr>
          <w:sz w:val="16"/>
        </w:rPr>
        <w:t>2</w:t>
      </w:r>
      <w:r>
        <w:rPr>
          <w:spacing w:val="-8"/>
          <w:sz w:val="16"/>
        </w:rPr>
        <w:t> </w:t>
      </w:r>
      <w:r>
        <w:rPr>
          <w:sz w:val="16"/>
        </w:rPr>
        <w:t>and</w:t>
      </w:r>
      <w:r>
        <w:rPr>
          <w:spacing w:val="-8"/>
          <w:sz w:val="16"/>
        </w:rPr>
        <w:t> </w:t>
      </w:r>
      <w:r>
        <w:rPr>
          <w:sz w:val="16"/>
        </w:rPr>
        <w:t>annex</w:t>
      </w:r>
      <w:r>
        <w:rPr>
          <w:spacing w:val="-3"/>
          <w:sz w:val="16"/>
        </w:rPr>
        <w:t> </w:t>
      </w:r>
      <w:r>
        <w:rPr>
          <w:sz w:val="16"/>
        </w:rPr>
        <w:t>II.</w:t>
      </w:r>
    </w:p>
    <w:p>
      <w:pPr>
        <w:spacing w:line="181" w:lineRule="exact" w:before="0"/>
        <w:ind w:left="2246" w:right="0" w:firstLine="0"/>
        <w:jc w:val="left"/>
        <w:rPr>
          <w:sz w:val="16"/>
        </w:rPr>
      </w:pPr>
      <w:r>
        <w:rPr>
          <w:position w:val="5"/>
          <w:sz w:val="10"/>
        </w:rPr>
        <w:t>141</w:t>
      </w:r>
      <w:r>
        <w:rPr>
          <w:spacing w:val="13"/>
          <w:position w:val="5"/>
          <w:sz w:val="10"/>
        </w:rPr>
        <w:t> </w:t>
      </w:r>
      <w:r>
        <w:rPr>
          <w:i/>
          <w:sz w:val="16"/>
        </w:rPr>
        <w:t>Official Records</w:t>
      </w:r>
      <w:r>
        <w:rPr>
          <w:i/>
          <w:spacing w:val="-4"/>
          <w:sz w:val="16"/>
        </w:rPr>
        <w:t> </w:t>
      </w:r>
      <w:r>
        <w:rPr>
          <w:i/>
          <w:sz w:val="16"/>
        </w:rPr>
        <w:t>…</w:t>
      </w:r>
      <w:r>
        <w:rPr>
          <w:i/>
          <w:spacing w:val="-5"/>
          <w:sz w:val="16"/>
        </w:rPr>
        <w:t> </w:t>
      </w:r>
      <w:r>
        <w:rPr>
          <w:i/>
          <w:sz w:val="16"/>
        </w:rPr>
        <w:t>Ninth</w:t>
      </w:r>
      <w:r>
        <w:rPr>
          <w:i/>
          <w:spacing w:val="-2"/>
          <w:sz w:val="16"/>
        </w:rPr>
        <w:t> </w:t>
      </w:r>
      <w:r>
        <w:rPr>
          <w:i/>
          <w:sz w:val="16"/>
        </w:rPr>
        <w:t>session</w:t>
      </w:r>
      <w:r>
        <w:rPr>
          <w:i/>
          <w:spacing w:val="3"/>
          <w:sz w:val="16"/>
        </w:rPr>
        <w:t> </w:t>
      </w:r>
      <w:r>
        <w:rPr>
          <w:i/>
          <w:sz w:val="16"/>
        </w:rPr>
        <w:t>…</w:t>
      </w:r>
      <w:r>
        <w:rPr>
          <w:i/>
          <w:spacing w:val="-5"/>
          <w:sz w:val="16"/>
        </w:rPr>
        <w:t> </w:t>
      </w:r>
      <w:r>
        <w:rPr>
          <w:i/>
          <w:sz w:val="16"/>
        </w:rPr>
        <w:t>2010</w:t>
      </w:r>
      <w:r>
        <w:rPr>
          <w:i/>
          <w:spacing w:val="3"/>
          <w:sz w:val="16"/>
        </w:rPr>
        <w:t> </w:t>
      </w:r>
      <w:r>
        <w:rPr>
          <w:sz w:val="16"/>
        </w:rPr>
        <w:t>(ICC/ASP/9/20),</w:t>
      </w:r>
      <w:r>
        <w:rPr>
          <w:spacing w:val="-4"/>
          <w:sz w:val="16"/>
        </w:rPr>
        <w:t> </w:t>
      </w:r>
      <w:r>
        <w:rPr>
          <w:sz w:val="16"/>
        </w:rPr>
        <w:t>vol.</w:t>
      </w:r>
      <w:r>
        <w:rPr>
          <w:spacing w:val="-1"/>
          <w:sz w:val="16"/>
        </w:rPr>
        <w:t> </w:t>
      </w:r>
      <w:r>
        <w:rPr>
          <w:sz w:val="16"/>
        </w:rPr>
        <w:t>II,</w:t>
      </w:r>
      <w:r>
        <w:rPr>
          <w:spacing w:val="-5"/>
          <w:sz w:val="16"/>
        </w:rPr>
        <w:t> </w:t>
      </w:r>
      <w:r>
        <w:rPr>
          <w:sz w:val="16"/>
        </w:rPr>
        <w:t>part A,</w:t>
      </w:r>
      <w:r>
        <w:rPr>
          <w:spacing w:val="-4"/>
          <w:sz w:val="16"/>
        </w:rPr>
        <w:t> </w:t>
      </w:r>
      <w:r>
        <w:rPr>
          <w:sz w:val="16"/>
        </w:rPr>
        <w:t>section</w:t>
      </w:r>
      <w:r>
        <w:rPr>
          <w:spacing w:val="-2"/>
          <w:sz w:val="16"/>
        </w:rPr>
        <w:t> </w:t>
      </w:r>
      <w:r>
        <w:rPr>
          <w:sz w:val="16"/>
        </w:rPr>
        <w:t>G,</w:t>
      </w:r>
      <w:r>
        <w:rPr>
          <w:spacing w:val="-4"/>
          <w:sz w:val="16"/>
        </w:rPr>
        <w:t> </w:t>
      </w:r>
      <w:r>
        <w:rPr>
          <w:sz w:val="16"/>
        </w:rPr>
        <w:t>para.</w:t>
      </w:r>
      <w:r>
        <w:rPr>
          <w:spacing w:val="-5"/>
          <w:sz w:val="16"/>
        </w:rPr>
        <w:t> </w:t>
      </w:r>
      <w:r>
        <w:rPr>
          <w:spacing w:val="-4"/>
          <w:sz w:val="16"/>
        </w:rPr>
        <w:t>466.</w:t>
      </w:r>
    </w:p>
    <w:p>
      <w:pPr>
        <w:spacing w:line="183" w:lineRule="exact" w:before="3"/>
        <w:ind w:left="2246" w:right="0" w:firstLine="0"/>
        <w:jc w:val="left"/>
        <w:rPr>
          <w:sz w:val="16"/>
        </w:rPr>
      </w:pPr>
      <w:r>
        <w:rPr>
          <w:position w:val="5"/>
          <w:sz w:val="10"/>
        </w:rPr>
        <w:t>142</w:t>
      </w:r>
      <w:r>
        <w:rPr>
          <w:spacing w:val="13"/>
          <w:position w:val="5"/>
          <w:sz w:val="10"/>
        </w:rPr>
        <w:t> </w:t>
      </w:r>
      <w:r>
        <w:rPr>
          <w:i/>
          <w:sz w:val="16"/>
        </w:rPr>
        <w:t>Official Records</w:t>
      </w:r>
      <w:r>
        <w:rPr>
          <w:i/>
          <w:spacing w:val="-3"/>
          <w:sz w:val="16"/>
        </w:rPr>
        <w:t> </w:t>
      </w:r>
      <w:r>
        <w:rPr>
          <w:i/>
          <w:sz w:val="16"/>
        </w:rPr>
        <w:t>…</w:t>
      </w:r>
      <w:r>
        <w:rPr>
          <w:i/>
          <w:spacing w:val="-5"/>
          <w:sz w:val="16"/>
        </w:rPr>
        <w:t> </w:t>
      </w:r>
      <w:r>
        <w:rPr>
          <w:i/>
          <w:sz w:val="16"/>
        </w:rPr>
        <w:t>Seventh</w:t>
      </w:r>
      <w:r>
        <w:rPr>
          <w:i/>
          <w:spacing w:val="-2"/>
          <w:sz w:val="16"/>
        </w:rPr>
        <w:t> </w:t>
      </w:r>
      <w:r>
        <w:rPr>
          <w:i/>
          <w:sz w:val="16"/>
        </w:rPr>
        <w:t>session</w:t>
      </w:r>
      <w:r>
        <w:rPr>
          <w:i/>
          <w:spacing w:val="-2"/>
          <w:sz w:val="16"/>
        </w:rPr>
        <w:t> </w:t>
      </w:r>
      <w:r>
        <w:rPr>
          <w:i/>
          <w:sz w:val="16"/>
        </w:rPr>
        <w:t>…</w:t>
      </w:r>
      <w:r>
        <w:rPr>
          <w:i/>
          <w:spacing w:val="-5"/>
          <w:sz w:val="16"/>
        </w:rPr>
        <w:t> </w:t>
      </w:r>
      <w:r>
        <w:rPr>
          <w:i/>
          <w:sz w:val="16"/>
        </w:rPr>
        <w:t>2008</w:t>
      </w:r>
      <w:r>
        <w:rPr>
          <w:i/>
          <w:spacing w:val="3"/>
          <w:sz w:val="16"/>
        </w:rPr>
        <w:t> </w:t>
      </w:r>
      <w:r>
        <w:rPr>
          <w:sz w:val="16"/>
        </w:rPr>
        <w:t>(ICC-ASP/7/20),</w:t>
      </w:r>
      <w:r>
        <w:rPr>
          <w:spacing w:val="-4"/>
          <w:sz w:val="16"/>
        </w:rPr>
        <w:t> </w:t>
      </w:r>
      <w:r>
        <w:rPr>
          <w:sz w:val="16"/>
        </w:rPr>
        <w:t>vol.</w:t>
      </w:r>
      <w:r>
        <w:rPr>
          <w:spacing w:val="-4"/>
          <w:sz w:val="16"/>
        </w:rPr>
        <w:t> </w:t>
      </w:r>
      <w:r>
        <w:rPr>
          <w:sz w:val="16"/>
        </w:rPr>
        <w:t>I,</w:t>
      </w:r>
      <w:r>
        <w:rPr>
          <w:spacing w:val="-1"/>
          <w:sz w:val="16"/>
        </w:rPr>
        <w:t> </w:t>
      </w:r>
      <w:r>
        <w:rPr>
          <w:sz w:val="16"/>
        </w:rPr>
        <w:t>part</w:t>
      </w:r>
      <w:r>
        <w:rPr>
          <w:spacing w:val="-4"/>
          <w:sz w:val="16"/>
        </w:rPr>
        <w:t> </w:t>
      </w:r>
      <w:r>
        <w:rPr>
          <w:sz w:val="16"/>
        </w:rPr>
        <w:t>III,</w:t>
      </w:r>
      <w:r>
        <w:rPr>
          <w:spacing w:val="-5"/>
          <w:sz w:val="16"/>
        </w:rPr>
        <w:t> </w:t>
      </w:r>
      <w:r>
        <w:rPr>
          <w:sz w:val="16"/>
        </w:rPr>
        <w:t>ICC-ASP/7/Res.1,</w:t>
      </w:r>
      <w:r>
        <w:rPr>
          <w:spacing w:val="-4"/>
          <w:sz w:val="16"/>
        </w:rPr>
        <w:t> </w:t>
      </w:r>
      <w:r>
        <w:rPr>
          <w:sz w:val="16"/>
        </w:rPr>
        <w:t>annex</w:t>
      </w:r>
      <w:r>
        <w:rPr>
          <w:spacing w:val="-2"/>
          <w:sz w:val="16"/>
        </w:rPr>
        <w:t> </w:t>
      </w:r>
      <w:r>
        <w:rPr>
          <w:spacing w:val="-4"/>
          <w:sz w:val="16"/>
        </w:rPr>
        <w:t>III.</w:t>
      </w:r>
    </w:p>
    <w:p>
      <w:pPr>
        <w:spacing w:before="0"/>
        <w:ind w:left="2246" w:right="2195" w:firstLine="0"/>
        <w:jc w:val="left"/>
        <w:rPr>
          <w:sz w:val="16"/>
        </w:rPr>
      </w:pPr>
      <w:r>
        <w:rPr>
          <w:position w:val="5"/>
          <w:sz w:val="10"/>
        </w:rPr>
        <w:t>143</w:t>
      </w:r>
      <w:r>
        <w:rPr>
          <w:spacing w:val="1"/>
          <w:position w:val="5"/>
          <w:sz w:val="10"/>
        </w:rPr>
        <w:t> </w:t>
      </w:r>
      <w:r>
        <w:rPr>
          <w:sz w:val="16"/>
        </w:rPr>
        <w:t>Loan</w:t>
      </w:r>
      <w:r>
        <w:rPr>
          <w:spacing w:val="-10"/>
          <w:sz w:val="16"/>
        </w:rPr>
        <w:t> </w:t>
      </w:r>
      <w:r>
        <w:rPr>
          <w:sz w:val="16"/>
        </w:rPr>
        <w:t>agreement</w:t>
      </w:r>
      <w:r>
        <w:rPr>
          <w:spacing w:val="-12"/>
          <w:sz w:val="16"/>
        </w:rPr>
        <w:t> </w:t>
      </w:r>
      <w:r>
        <w:rPr>
          <w:sz w:val="16"/>
        </w:rPr>
        <w:t>between</w:t>
      </w:r>
      <w:r>
        <w:rPr>
          <w:spacing w:val="-10"/>
          <w:sz w:val="16"/>
        </w:rPr>
        <w:t> </w:t>
      </w:r>
      <w:r>
        <w:rPr>
          <w:sz w:val="16"/>
        </w:rPr>
        <w:t>the</w:t>
      </w:r>
      <w:r>
        <w:rPr>
          <w:spacing w:val="-10"/>
          <w:sz w:val="16"/>
        </w:rPr>
        <w:t> </w:t>
      </w:r>
      <w:r>
        <w:rPr>
          <w:sz w:val="16"/>
        </w:rPr>
        <w:t>State</w:t>
      </w:r>
      <w:r>
        <w:rPr>
          <w:spacing w:val="-10"/>
          <w:sz w:val="16"/>
        </w:rPr>
        <w:t> </w:t>
      </w:r>
      <w:r>
        <w:rPr>
          <w:sz w:val="16"/>
        </w:rPr>
        <w:t>of</w:t>
      </w:r>
      <w:r>
        <w:rPr>
          <w:spacing w:val="-8"/>
          <w:sz w:val="16"/>
        </w:rPr>
        <w:t> </w:t>
      </w:r>
      <w:r>
        <w:rPr>
          <w:sz w:val="16"/>
        </w:rPr>
        <w:t>the</w:t>
      </w:r>
      <w:r>
        <w:rPr>
          <w:spacing w:val="-10"/>
          <w:sz w:val="16"/>
        </w:rPr>
        <w:t> </w:t>
      </w:r>
      <w:r>
        <w:rPr>
          <w:sz w:val="16"/>
        </w:rPr>
        <w:t>Netherlands</w:t>
      </w:r>
      <w:r>
        <w:rPr>
          <w:spacing w:val="-11"/>
          <w:sz w:val="16"/>
        </w:rPr>
        <w:t> </w:t>
      </w:r>
      <w:r>
        <w:rPr>
          <w:sz w:val="16"/>
        </w:rPr>
        <w:t>(Ministry</w:t>
      </w:r>
      <w:r>
        <w:rPr>
          <w:spacing w:val="-6"/>
          <w:sz w:val="16"/>
        </w:rPr>
        <w:t> </w:t>
      </w:r>
      <w:r>
        <w:rPr>
          <w:sz w:val="16"/>
        </w:rPr>
        <w:t>of</w:t>
      </w:r>
      <w:r>
        <w:rPr>
          <w:spacing w:val="-8"/>
          <w:sz w:val="16"/>
        </w:rPr>
        <w:t> </w:t>
      </w:r>
      <w:r>
        <w:rPr>
          <w:sz w:val="16"/>
        </w:rPr>
        <w:t>Foreign</w:t>
      </w:r>
      <w:r>
        <w:rPr>
          <w:spacing w:val="-10"/>
          <w:sz w:val="16"/>
        </w:rPr>
        <w:t> </w:t>
      </w:r>
      <w:r>
        <w:rPr>
          <w:sz w:val="16"/>
        </w:rPr>
        <w:t>Affairs)</w:t>
      </w:r>
      <w:r>
        <w:rPr>
          <w:spacing w:val="-12"/>
          <w:sz w:val="16"/>
        </w:rPr>
        <w:t> </w:t>
      </w:r>
      <w:r>
        <w:rPr>
          <w:sz w:val="16"/>
        </w:rPr>
        <w:t>and</w:t>
      </w:r>
      <w:r>
        <w:rPr>
          <w:spacing w:val="-10"/>
          <w:sz w:val="16"/>
        </w:rPr>
        <w:t> </w:t>
      </w:r>
      <w:r>
        <w:rPr>
          <w:sz w:val="16"/>
        </w:rPr>
        <w:t>the</w:t>
      </w:r>
      <w:r>
        <w:rPr>
          <w:spacing w:val="-6"/>
          <w:sz w:val="16"/>
        </w:rPr>
        <w:t> </w:t>
      </w:r>
      <w:r>
        <w:rPr>
          <w:sz w:val="16"/>
        </w:rPr>
        <w:t>International</w:t>
      </w:r>
      <w:r>
        <w:rPr>
          <w:spacing w:val="-12"/>
          <w:sz w:val="16"/>
        </w:rPr>
        <w:t> </w:t>
      </w:r>
      <w:r>
        <w:rPr>
          <w:sz w:val="16"/>
        </w:rPr>
        <w:t>Criminal</w:t>
      </w:r>
      <w:r>
        <w:rPr>
          <w:spacing w:val="40"/>
          <w:sz w:val="16"/>
        </w:rPr>
        <w:t> </w:t>
      </w:r>
      <w:r>
        <w:rPr>
          <w:sz w:val="16"/>
        </w:rPr>
        <w:t>Court, dated 23 March 2009, para. 6.1.</w:t>
      </w:r>
    </w:p>
    <w:p>
      <w:pPr>
        <w:spacing w:after="0"/>
        <w:jc w:val="left"/>
        <w:rPr>
          <w:sz w:val="16"/>
        </w:rPr>
        <w:sectPr>
          <w:pgSz w:w="11910" w:h="16840"/>
          <w:pgMar w:header="957" w:footer="940" w:top="1140" w:bottom="1140" w:left="20" w:right="20"/>
        </w:sectPr>
      </w:pPr>
    </w:p>
    <w:p>
      <w:pPr>
        <w:pStyle w:val="Heading2"/>
        <w:numPr>
          <w:ilvl w:val="1"/>
          <w:numId w:val="3"/>
        </w:numPr>
        <w:tabs>
          <w:tab w:pos="2246" w:val="left" w:leader="none"/>
          <w:tab w:pos="2247" w:val="left" w:leader="none"/>
        </w:tabs>
        <w:spacing w:line="240" w:lineRule="auto" w:before="125" w:after="0"/>
        <w:ind w:left="2246" w:right="0" w:hanging="568"/>
        <w:jc w:val="left"/>
      </w:pPr>
      <w:bookmarkStart w:name="_bookmark57" w:id="58"/>
      <w:bookmarkEnd w:id="58"/>
      <w:r>
        <w:rPr/>
        <w:t>M</w:t>
      </w:r>
      <w:r>
        <w:rPr/>
        <w:t>ajor</w:t>
      </w:r>
      <w:r>
        <w:rPr>
          <w:spacing w:val="-7"/>
        </w:rPr>
        <w:t> </w:t>
      </w:r>
      <w:r>
        <w:rPr/>
        <w:t>Programme</w:t>
      </w:r>
      <w:r>
        <w:rPr>
          <w:spacing w:val="-11"/>
        </w:rPr>
        <w:t> </w:t>
      </w:r>
      <w:r>
        <w:rPr/>
        <w:t>VII-5:</w:t>
      </w:r>
      <w:r>
        <w:rPr>
          <w:spacing w:val="-5"/>
        </w:rPr>
        <w:t> </w:t>
      </w:r>
      <w:r>
        <w:rPr/>
        <w:t>Independent</w:t>
      </w:r>
      <w:r>
        <w:rPr>
          <w:spacing w:val="-9"/>
        </w:rPr>
        <w:t> </w:t>
      </w:r>
      <w:r>
        <w:rPr/>
        <w:t>Oversight</w:t>
      </w:r>
      <w:r>
        <w:rPr>
          <w:spacing w:val="-5"/>
        </w:rPr>
        <w:t> </w:t>
      </w:r>
      <w:r>
        <w:rPr>
          <w:spacing w:val="-2"/>
        </w:rPr>
        <w:t>Mechanism</w:t>
      </w:r>
    </w:p>
    <w:p>
      <w:pPr>
        <w:pStyle w:val="BodyText"/>
        <w:rPr>
          <w:b/>
          <w:sz w:val="21"/>
        </w:rPr>
      </w:pPr>
    </w:p>
    <w:p>
      <w:pPr>
        <w:pStyle w:val="Heading3"/>
      </w:pPr>
      <w:r>
        <w:rPr>
          <w:spacing w:val="-2"/>
        </w:rPr>
        <w:t>Introduction</w:t>
      </w:r>
    </w:p>
    <w:p>
      <w:pPr>
        <w:pStyle w:val="BodyText"/>
        <w:spacing w:before="11"/>
        <w:rPr>
          <w:b/>
        </w:rPr>
      </w:pPr>
    </w:p>
    <w:p>
      <w:pPr>
        <w:pStyle w:val="ListParagraph"/>
        <w:numPr>
          <w:ilvl w:val="0"/>
          <w:numId w:val="4"/>
        </w:numPr>
        <w:tabs>
          <w:tab w:pos="2967" w:val="left" w:leader="none"/>
        </w:tabs>
        <w:spacing w:line="240" w:lineRule="auto" w:before="0" w:after="0"/>
        <w:ind w:left="2246" w:right="2244" w:firstLine="0"/>
        <w:jc w:val="both"/>
        <w:rPr>
          <w:sz w:val="20"/>
        </w:rPr>
      </w:pPr>
      <w:bookmarkStart w:name="_bookmark58" w:id="59"/>
      <w:bookmarkEnd w:id="59"/>
      <w:r>
        <w:rPr>
          <w:sz w:val="20"/>
        </w:rPr>
        <w:t>M</w:t>
      </w:r>
      <w:r>
        <w:rPr>
          <w:sz w:val="20"/>
        </w:rPr>
        <w:t>ajor Programme VII-5, the Independent Oversight Mechanism (IOM), was established by the Assembly at its eighth session</w:t>
      </w:r>
      <w:r>
        <w:rPr>
          <w:sz w:val="20"/>
          <w:vertAlign w:val="superscript"/>
        </w:rPr>
        <w:t>144</w:t>
      </w:r>
      <w:r>
        <w:rPr>
          <w:sz w:val="20"/>
          <w:vertAlign w:val="baseline"/>
        </w:rPr>
        <w:t> in accordance with article 112(4) of the Rome Statute, to provide independent, effective and meaningful oversight of the Court. At its nineteenth session, the Assembly approved a revised version of the IOM mandate.</w:t>
      </w:r>
      <w:r>
        <w:rPr>
          <w:sz w:val="20"/>
          <w:vertAlign w:val="superscript"/>
        </w:rPr>
        <w:t>145</w:t>
      </w:r>
    </w:p>
    <w:p>
      <w:pPr>
        <w:pStyle w:val="ListParagraph"/>
        <w:numPr>
          <w:ilvl w:val="0"/>
          <w:numId w:val="4"/>
        </w:numPr>
        <w:tabs>
          <w:tab w:pos="2967" w:val="left" w:leader="none"/>
        </w:tabs>
        <w:spacing w:line="240" w:lineRule="auto" w:before="117" w:after="0"/>
        <w:ind w:left="2246" w:right="2244" w:firstLine="0"/>
        <w:jc w:val="both"/>
        <w:rPr>
          <w:sz w:val="20"/>
        </w:rPr>
      </w:pPr>
      <w:r>
        <w:rPr>
          <w:sz w:val="20"/>
        </w:rPr>
        <w:t>The purpose of the IOM is to assure the Assembly of the effective and comprehensive oversight of the Court in order to enhance its efficiency and economy. This is achieved through the conduct of independent inspections, evaluations and investigations. The</w:t>
      </w:r>
      <w:r>
        <w:rPr>
          <w:spacing w:val="-8"/>
          <w:sz w:val="20"/>
        </w:rPr>
        <w:t> </w:t>
      </w:r>
      <w:r>
        <w:rPr>
          <w:sz w:val="20"/>
        </w:rPr>
        <w:t>IOM</w:t>
      </w:r>
      <w:r>
        <w:rPr>
          <w:spacing w:val="-6"/>
          <w:sz w:val="20"/>
        </w:rPr>
        <w:t> </w:t>
      </w:r>
      <w:r>
        <w:rPr>
          <w:sz w:val="20"/>
        </w:rPr>
        <w:t>undertakes</w:t>
      </w:r>
      <w:r>
        <w:rPr>
          <w:spacing w:val="-6"/>
          <w:sz w:val="20"/>
        </w:rPr>
        <w:t> </w:t>
      </w:r>
      <w:r>
        <w:rPr>
          <w:sz w:val="20"/>
        </w:rPr>
        <w:t>evaluation</w:t>
      </w:r>
      <w:r>
        <w:rPr>
          <w:spacing w:val="-9"/>
          <w:sz w:val="20"/>
        </w:rPr>
        <w:t> </w:t>
      </w:r>
      <w:r>
        <w:rPr>
          <w:sz w:val="20"/>
        </w:rPr>
        <w:t>and</w:t>
      </w:r>
      <w:r>
        <w:rPr>
          <w:spacing w:val="-9"/>
          <w:sz w:val="20"/>
        </w:rPr>
        <w:t> </w:t>
      </w:r>
      <w:r>
        <w:rPr>
          <w:sz w:val="20"/>
        </w:rPr>
        <w:t>inspection</w:t>
      </w:r>
      <w:r>
        <w:rPr>
          <w:spacing w:val="-5"/>
          <w:sz w:val="20"/>
        </w:rPr>
        <w:t> </w:t>
      </w:r>
      <w:r>
        <w:rPr>
          <w:sz w:val="20"/>
        </w:rPr>
        <w:t>work</w:t>
      </w:r>
      <w:r>
        <w:rPr>
          <w:spacing w:val="-9"/>
          <w:sz w:val="20"/>
        </w:rPr>
        <w:t> </w:t>
      </w:r>
      <w:r>
        <w:rPr>
          <w:sz w:val="20"/>
        </w:rPr>
        <w:t>at</w:t>
      </w:r>
      <w:r>
        <w:rPr>
          <w:spacing w:val="-8"/>
          <w:sz w:val="20"/>
        </w:rPr>
        <w:t> </w:t>
      </w:r>
      <w:r>
        <w:rPr>
          <w:sz w:val="20"/>
        </w:rPr>
        <w:t>the</w:t>
      </w:r>
      <w:r>
        <w:rPr>
          <w:spacing w:val="-3"/>
          <w:sz w:val="20"/>
        </w:rPr>
        <w:t> </w:t>
      </w:r>
      <w:r>
        <w:rPr>
          <w:sz w:val="20"/>
        </w:rPr>
        <w:t>direct</w:t>
      </w:r>
      <w:r>
        <w:rPr>
          <w:spacing w:val="-3"/>
          <w:sz w:val="20"/>
        </w:rPr>
        <w:t> </w:t>
      </w:r>
      <w:r>
        <w:rPr>
          <w:sz w:val="20"/>
        </w:rPr>
        <w:t>request</w:t>
      </w:r>
      <w:r>
        <w:rPr>
          <w:spacing w:val="-3"/>
          <w:sz w:val="20"/>
        </w:rPr>
        <w:t> </w:t>
      </w:r>
      <w:r>
        <w:rPr>
          <w:sz w:val="20"/>
        </w:rPr>
        <w:t>of</w:t>
      </w:r>
      <w:r>
        <w:rPr>
          <w:spacing w:val="-9"/>
          <w:sz w:val="20"/>
        </w:rPr>
        <w:t> </w:t>
      </w:r>
      <w:r>
        <w:rPr>
          <w:sz w:val="20"/>
        </w:rPr>
        <w:t>the</w:t>
      </w:r>
      <w:r>
        <w:rPr>
          <w:spacing w:val="-3"/>
          <w:sz w:val="20"/>
        </w:rPr>
        <w:t> </w:t>
      </w:r>
      <w:r>
        <w:rPr>
          <w:sz w:val="20"/>
        </w:rPr>
        <w:t>Assembly</w:t>
      </w:r>
      <w:r>
        <w:rPr>
          <w:spacing w:val="-9"/>
          <w:sz w:val="20"/>
        </w:rPr>
        <w:t> </w:t>
      </w:r>
      <w:r>
        <w:rPr>
          <w:sz w:val="20"/>
        </w:rPr>
        <w:t>or of the Heads of Organ of the Court, and conducts investigations at its own discretion into received reports of misconduct or breaches of the Court’s rules and regulations, including investigations</w:t>
      </w:r>
      <w:r>
        <w:rPr>
          <w:spacing w:val="-9"/>
          <w:sz w:val="20"/>
        </w:rPr>
        <w:t> </w:t>
      </w:r>
      <w:r>
        <w:rPr>
          <w:sz w:val="20"/>
        </w:rPr>
        <w:t>of</w:t>
      </w:r>
      <w:r>
        <w:rPr>
          <w:spacing w:val="-12"/>
          <w:sz w:val="20"/>
        </w:rPr>
        <w:t> </w:t>
      </w:r>
      <w:r>
        <w:rPr>
          <w:sz w:val="20"/>
        </w:rPr>
        <w:t>elected</w:t>
      </w:r>
      <w:r>
        <w:rPr>
          <w:spacing w:val="-12"/>
          <w:sz w:val="20"/>
        </w:rPr>
        <w:t> </w:t>
      </w:r>
      <w:r>
        <w:rPr>
          <w:sz w:val="20"/>
        </w:rPr>
        <w:t>officials</w:t>
      </w:r>
      <w:r>
        <w:rPr>
          <w:spacing w:val="-14"/>
          <w:sz w:val="20"/>
        </w:rPr>
        <w:t> </w:t>
      </w:r>
      <w:r>
        <w:rPr>
          <w:sz w:val="20"/>
        </w:rPr>
        <w:t>pursuant</w:t>
      </w:r>
      <w:r>
        <w:rPr>
          <w:spacing w:val="-11"/>
          <w:sz w:val="20"/>
        </w:rPr>
        <w:t> </w:t>
      </w:r>
      <w:r>
        <w:rPr>
          <w:sz w:val="20"/>
        </w:rPr>
        <w:t>to</w:t>
      </w:r>
      <w:r>
        <w:rPr>
          <w:spacing w:val="-7"/>
          <w:sz w:val="20"/>
        </w:rPr>
        <w:t> </w:t>
      </w:r>
      <w:r>
        <w:rPr>
          <w:sz w:val="20"/>
        </w:rPr>
        <w:t>rule</w:t>
      </w:r>
      <w:r>
        <w:rPr>
          <w:spacing w:val="-11"/>
          <w:sz w:val="20"/>
        </w:rPr>
        <w:t> </w:t>
      </w:r>
      <w:r>
        <w:rPr>
          <w:sz w:val="20"/>
        </w:rPr>
        <w:t>26</w:t>
      </w:r>
      <w:r>
        <w:rPr>
          <w:spacing w:val="-7"/>
          <w:sz w:val="20"/>
        </w:rPr>
        <w:t> </w:t>
      </w:r>
      <w:r>
        <w:rPr>
          <w:sz w:val="20"/>
        </w:rPr>
        <w:t>of</w:t>
      </w:r>
      <w:r>
        <w:rPr>
          <w:spacing w:val="-12"/>
          <w:sz w:val="20"/>
        </w:rPr>
        <w:t> </w:t>
      </w:r>
      <w:r>
        <w:rPr>
          <w:sz w:val="20"/>
        </w:rPr>
        <w:t>the</w:t>
      </w:r>
      <w:r>
        <w:rPr>
          <w:spacing w:val="-6"/>
          <w:sz w:val="20"/>
        </w:rPr>
        <w:t> </w:t>
      </w:r>
      <w:r>
        <w:rPr>
          <w:sz w:val="20"/>
        </w:rPr>
        <w:t>Rules</w:t>
      </w:r>
      <w:r>
        <w:rPr>
          <w:spacing w:val="-9"/>
          <w:sz w:val="20"/>
        </w:rPr>
        <w:t> </w:t>
      </w:r>
      <w:r>
        <w:rPr>
          <w:sz w:val="20"/>
        </w:rPr>
        <w:t>of</w:t>
      </w:r>
      <w:r>
        <w:rPr>
          <w:spacing w:val="-12"/>
          <w:sz w:val="20"/>
        </w:rPr>
        <w:t> </w:t>
      </w:r>
      <w:r>
        <w:rPr>
          <w:sz w:val="20"/>
        </w:rPr>
        <w:t>Procedure</w:t>
      </w:r>
      <w:r>
        <w:rPr>
          <w:spacing w:val="-11"/>
          <w:sz w:val="20"/>
        </w:rPr>
        <w:t> </w:t>
      </w:r>
      <w:r>
        <w:rPr>
          <w:sz w:val="20"/>
        </w:rPr>
        <w:t>and</w:t>
      </w:r>
      <w:r>
        <w:rPr>
          <w:spacing w:val="-12"/>
          <w:sz w:val="20"/>
        </w:rPr>
        <w:t> </w:t>
      </w:r>
      <w:r>
        <w:rPr>
          <w:sz w:val="20"/>
        </w:rPr>
        <w:t>Evidence.</w:t>
      </w:r>
    </w:p>
    <w:p>
      <w:pPr>
        <w:pStyle w:val="BodyText"/>
        <w:spacing w:before="2"/>
        <w:rPr>
          <w:sz w:val="21"/>
        </w:rPr>
      </w:pPr>
    </w:p>
    <w:p>
      <w:pPr>
        <w:pStyle w:val="Heading3"/>
        <w:tabs>
          <w:tab w:pos="8229" w:val="left" w:leader="none"/>
        </w:tabs>
        <w:jc w:val="both"/>
      </w:pPr>
      <w:r>
        <w:rPr/>
        <w:t>Budget</w:t>
      </w:r>
      <w:r>
        <w:rPr>
          <w:spacing w:val="-6"/>
        </w:rPr>
        <w:t> </w:t>
      </w:r>
      <w:r>
        <w:rPr>
          <w:spacing w:val="-2"/>
        </w:rPr>
        <w:t>resources</w:t>
      </w:r>
      <w:r>
        <w:rPr/>
        <w:tab/>
        <w:t>€938.0</w:t>
      </w:r>
      <w:r>
        <w:rPr>
          <w:spacing w:val="-3"/>
        </w:rPr>
        <w:t> </w:t>
      </w:r>
      <w:r>
        <w:rPr>
          <w:spacing w:val="-2"/>
        </w:rPr>
        <w:t>thousand</w:t>
      </w:r>
    </w:p>
    <w:p>
      <w:pPr>
        <w:pStyle w:val="BodyText"/>
        <w:spacing w:before="10"/>
        <w:rPr>
          <w:b/>
        </w:rPr>
      </w:pPr>
    </w:p>
    <w:p>
      <w:pPr>
        <w:pStyle w:val="ListParagraph"/>
        <w:numPr>
          <w:ilvl w:val="0"/>
          <w:numId w:val="4"/>
        </w:numPr>
        <w:tabs>
          <w:tab w:pos="2967" w:val="left" w:leader="none"/>
        </w:tabs>
        <w:spacing w:line="240" w:lineRule="auto" w:before="0" w:after="0"/>
        <w:ind w:left="2246" w:right="2242" w:firstLine="0"/>
        <w:jc w:val="both"/>
        <w:rPr>
          <w:sz w:val="20"/>
        </w:rPr>
      </w:pPr>
      <w:r>
        <w:rPr>
          <w:sz w:val="20"/>
        </w:rPr>
        <w:t>The requested amount has increased by €117.2 thousand (14.3 per cent), which is largely</w:t>
      </w:r>
      <w:r>
        <w:rPr>
          <w:spacing w:val="-4"/>
          <w:sz w:val="20"/>
        </w:rPr>
        <w:t> </w:t>
      </w:r>
      <w:r>
        <w:rPr>
          <w:sz w:val="20"/>
        </w:rPr>
        <w:t>because</w:t>
      </w:r>
      <w:r>
        <w:rPr>
          <w:spacing w:val="-2"/>
          <w:sz w:val="20"/>
        </w:rPr>
        <w:t> </w:t>
      </w:r>
      <w:r>
        <w:rPr>
          <w:sz w:val="20"/>
        </w:rPr>
        <w:t>the</w:t>
      </w:r>
      <w:r>
        <w:rPr>
          <w:spacing w:val="-2"/>
          <w:sz w:val="20"/>
        </w:rPr>
        <w:t> </w:t>
      </w:r>
      <w:r>
        <w:rPr>
          <w:sz w:val="20"/>
        </w:rPr>
        <w:t>new position</w:t>
      </w:r>
      <w:r>
        <w:rPr>
          <w:spacing w:val="-4"/>
          <w:sz w:val="20"/>
        </w:rPr>
        <w:t> </w:t>
      </w:r>
      <w:r>
        <w:rPr>
          <w:sz w:val="20"/>
        </w:rPr>
        <w:t>approved</w:t>
      </w:r>
      <w:r>
        <w:rPr>
          <w:spacing w:val="-4"/>
          <w:sz w:val="20"/>
        </w:rPr>
        <w:t> </w:t>
      </w:r>
      <w:r>
        <w:rPr>
          <w:sz w:val="20"/>
        </w:rPr>
        <w:t>by</w:t>
      </w:r>
      <w:r>
        <w:rPr>
          <w:spacing w:val="-4"/>
          <w:sz w:val="20"/>
        </w:rPr>
        <w:t> </w:t>
      </w:r>
      <w:r>
        <w:rPr>
          <w:sz w:val="20"/>
        </w:rPr>
        <w:t>the</w:t>
      </w:r>
      <w:r>
        <w:rPr>
          <w:spacing w:val="-2"/>
          <w:sz w:val="20"/>
        </w:rPr>
        <w:t> </w:t>
      </w:r>
      <w:r>
        <w:rPr>
          <w:sz w:val="20"/>
        </w:rPr>
        <w:t>Assembly</w:t>
      </w:r>
      <w:r>
        <w:rPr>
          <w:spacing w:val="-4"/>
          <w:sz w:val="20"/>
        </w:rPr>
        <w:t> </w:t>
      </w:r>
      <w:r>
        <w:rPr>
          <w:sz w:val="20"/>
        </w:rPr>
        <w:t>in the 2022 Programme Budget is</w:t>
      </w:r>
      <w:r>
        <w:rPr>
          <w:spacing w:val="-13"/>
          <w:sz w:val="20"/>
        </w:rPr>
        <w:t> </w:t>
      </w:r>
      <w:r>
        <w:rPr>
          <w:sz w:val="20"/>
        </w:rPr>
        <w:t>to</w:t>
      </w:r>
      <w:r>
        <w:rPr>
          <w:spacing w:val="-12"/>
          <w:sz w:val="20"/>
        </w:rPr>
        <w:t> </w:t>
      </w:r>
      <w:r>
        <w:rPr>
          <w:sz w:val="20"/>
        </w:rPr>
        <w:t>be</w:t>
      </w:r>
      <w:r>
        <w:rPr>
          <w:spacing w:val="-10"/>
          <w:sz w:val="20"/>
        </w:rPr>
        <w:t> </w:t>
      </w:r>
      <w:r>
        <w:rPr>
          <w:sz w:val="20"/>
        </w:rPr>
        <w:t>continued</w:t>
      </w:r>
      <w:r>
        <w:rPr>
          <w:spacing w:val="-11"/>
          <w:sz w:val="20"/>
        </w:rPr>
        <w:t> </w:t>
      </w:r>
      <w:r>
        <w:rPr>
          <w:sz w:val="20"/>
        </w:rPr>
        <w:t>in</w:t>
      </w:r>
      <w:r>
        <w:rPr>
          <w:spacing w:val="-6"/>
          <w:sz w:val="20"/>
        </w:rPr>
        <w:t> </w:t>
      </w:r>
      <w:r>
        <w:rPr>
          <w:sz w:val="20"/>
        </w:rPr>
        <w:t>2023.</w:t>
      </w:r>
      <w:r>
        <w:rPr>
          <w:spacing w:val="-13"/>
          <w:sz w:val="20"/>
        </w:rPr>
        <w:t> </w:t>
      </w:r>
      <w:r>
        <w:rPr>
          <w:sz w:val="20"/>
        </w:rPr>
        <w:t>This</w:t>
      </w:r>
      <w:r>
        <w:rPr>
          <w:spacing w:val="-12"/>
          <w:sz w:val="20"/>
        </w:rPr>
        <w:t> </w:t>
      </w:r>
      <w:r>
        <w:rPr>
          <w:sz w:val="20"/>
        </w:rPr>
        <w:t>position</w:t>
      </w:r>
      <w:r>
        <w:rPr>
          <w:spacing w:val="-11"/>
          <w:sz w:val="20"/>
        </w:rPr>
        <w:t> </w:t>
      </w:r>
      <w:r>
        <w:rPr>
          <w:sz w:val="20"/>
        </w:rPr>
        <w:t>was</w:t>
      </w:r>
      <w:r>
        <w:rPr>
          <w:spacing w:val="-13"/>
          <w:sz w:val="20"/>
        </w:rPr>
        <w:t> </w:t>
      </w:r>
      <w:r>
        <w:rPr>
          <w:sz w:val="20"/>
        </w:rPr>
        <w:t>approved</w:t>
      </w:r>
      <w:r>
        <w:rPr>
          <w:spacing w:val="-11"/>
          <w:sz w:val="20"/>
        </w:rPr>
        <w:t> </w:t>
      </w:r>
      <w:r>
        <w:rPr>
          <w:sz w:val="20"/>
        </w:rPr>
        <w:t>for</w:t>
      </w:r>
      <w:r>
        <w:rPr>
          <w:spacing w:val="-11"/>
          <w:sz w:val="20"/>
        </w:rPr>
        <w:t> </w:t>
      </w:r>
      <w:r>
        <w:rPr>
          <w:sz w:val="20"/>
        </w:rPr>
        <w:t>six</w:t>
      </w:r>
      <w:r>
        <w:rPr>
          <w:spacing w:val="-13"/>
          <w:sz w:val="20"/>
        </w:rPr>
        <w:t> </w:t>
      </w:r>
      <w:r>
        <w:rPr>
          <w:sz w:val="20"/>
        </w:rPr>
        <w:t>months</w:t>
      </w:r>
      <w:r>
        <w:rPr>
          <w:spacing w:val="-8"/>
          <w:sz w:val="20"/>
        </w:rPr>
        <w:t> </w:t>
      </w:r>
      <w:r>
        <w:rPr>
          <w:sz w:val="20"/>
        </w:rPr>
        <w:t>in</w:t>
      </w:r>
      <w:r>
        <w:rPr>
          <w:spacing w:val="-11"/>
          <w:sz w:val="20"/>
        </w:rPr>
        <w:t> </w:t>
      </w:r>
      <w:r>
        <w:rPr>
          <w:sz w:val="20"/>
        </w:rPr>
        <w:t>the</w:t>
      </w:r>
      <w:r>
        <w:rPr>
          <w:spacing w:val="-10"/>
          <w:sz w:val="20"/>
        </w:rPr>
        <w:t> </w:t>
      </w:r>
      <w:r>
        <w:rPr>
          <w:sz w:val="20"/>
        </w:rPr>
        <w:t>2022</w:t>
      </w:r>
      <w:r>
        <w:rPr>
          <w:spacing w:val="-11"/>
          <w:sz w:val="20"/>
        </w:rPr>
        <w:t> </w:t>
      </w:r>
      <w:r>
        <w:rPr>
          <w:sz w:val="20"/>
        </w:rPr>
        <w:t>Programme Budget</w:t>
      </w:r>
      <w:r>
        <w:rPr>
          <w:spacing w:val="-2"/>
          <w:sz w:val="20"/>
        </w:rPr>
        <w:t> </w:t>
      </w:r>
      <w:r>
        <w:rPr>
          <w:sz w:val="20"/>
        </w:rPr>
        <w:t>to</w:t>
      </w:r>
      <w:r>
        <w:rPr>
          <w:spacing w:val="-4"/>
          <w:sz w:val="20"/>
        </w:rPr>
        <w:t> </w:t>
      </w:r>
      <w:r>
        <w:rPr>
          <w:sz w:val="20"/>
        </w:rPr>
        <w:t>allow</w:t>
      </w:r>
      <w:r>
        <w:rPr>
          <w:spacing w:val="-5"/>
          <w:sz w:val="20"/>
        </w:rPr>
        <w:t> </w:t>
      </w:r>
      <w:r>
        <w:rPr>
          <w:sz w:val="20"/>
        </w:rPr>
        <w:t>for</w:t>
      </w:r>
      <w:r>
        <w:rPr>
          <w:spacing w:val="-4"/>
          <w:sz w:val="20"/>
        </w:rPr>
        <w:t> </w:t>
      </w:r>
      <w:r>
        <w:rPr>
          <w:sz w:val="20"/>
        </w:rPr>
        <w:t>recruitment</w:t>
      </w:r>
      <w:r>
        <w:rPr>
          <w:spacing w:val="-2"/>
          <w:sz w:val="20"/>
        </w:rPr>
        <w:t> </w:t>
      </w:r>
      <w:r>
        <w:rPr>
          <w:sz w:val="20"/>
        </w:rPr>
        <w:t>to</w:t>
      </w:r>
      <w:r>
        <w:rPr>
          <w:spacing w:val="-4"/>
          <w:sz w:val="20"/>
        </w:rPr>
        <w:t> </w:t>
      </w:r>
      <w:r>
        <w:rPr>
          <w:sz w:val="20"/>
        </w:rPr>
        <w:t>take</w:t>
      </w:r>
      <w:r>
        <w:rPr>
          <w:spacing w:val="-2"/>
          <w:sz w:val="20"/>
        </w:rPr>
        <w:t> </w:t>
      </w:r>
      <w:r>
        <w:rPr>
          <w:sz w:val="20"/>
        </w:rPr>
        <w:t>place. Now</w:t>
      </w:r>
      <w:r>
        <w:rPr>
          <w:spacing w:val="-5"/>
          <w:sz w:val="20"/>
        </w:rPr>
        <w:t> </w:t>
      </w:r>
      <w:r>
        <w:rPr>
          <w:sz w:val="20"/>
        </w:rPr>
        <w:t>that</w:t>
      </w:r>
      <w:r>
        <w:rPr>
          <w:spacing w:val="-2"/>
          <w:sz w:val="20"/>
        </w:rPr>
        <w:t> </w:t>
      </w:r>
      <w:r>
        <w:rPr>
          <w:sz w:val="20"/>
        </w:rPr>
        <w:t>the</w:t>
      </w:r>
      <w:r>
        <w:rPr>
          <w:spacing w:val="-2"/>
          <w:sz w:val="20"/>
        </w:rPr>
        <w:t> </w:t>
      </w:r>
      <w:r>
        <w:rPr>
          <w:sz w:val="20"/>
        </w:rPr>
        <w:t>recruitment</w:t>
      </w:r>
      <w:r>
        <w:rPr>
          <w:spacing w:val="-2"/>
          <w:sz w:val="20"/>
        </w:rPr>
        <w:t> </w:t>
      </w:r>
      <w:r>
        <w:rPr>
          <w:sz w:val="20"/>
        </w:rPr>
        <w:t>has</w:t>
      </w:r>
      <w:r>
        <w:rPr>
          <w:spacing w:val="-5"/>
          <w:sz w:val="20"/>
        </w:rPr>
        <w:t> </w:t>
      </w:r>
      <w:r>
        <w:rPr>
          <w:sz w:val="20"/>
        </w:rPr>
        <w:t>been</w:t>
      </w:r>
      <w:r>
        <w:rPr>
          <w:spacing w:val="-4"/>
          <w:sz w:val="20"/>
        </w:rPr>
        <w:t> </w:t>
      </w:r>
      <w:r>
        <w:rPr>
          <w:sz w:val="20"/>
        </w:rPr>
        <w:t>completed, this additional investigator can continue in the position for the whole of 2023.</w:t>
      </w:r>
    </w:p>
    <w:p>
      <w:pPr>
        <w:pStyle w:val="ListParagraph"/>
        <w:numPr>
          <w:ilvl w:val="0"/>
          <w:numId w:val="4"/>
        </w:numPr>
        <w:tabs>
          <w:tab w:pos="2967" w:val="left" w:leader="none"/>
        </w:tabs>
        <w:spacing w:line="240" w:lineRule="auto" w:before="118" w:after="0"/>
        <w:ind w:left="2246" w:right="2238" w:firstLine="0"/>
        <w:jc w:val="both"/>
        <w:rPr>
          <w:sz w:val="20"/>
        </w:rPr>
      </w:pPr>
      <w:r>
        <w:rPr>
          <w:sz w:val="20"/>
        </w:rPr>
        <w:t>Non-staff</w:t>
      </w:r>
      <w:r>
        <w:rPr>
          <w:spacing w:val="-8"/>
          <w:sz w:val="20"/>
        </w:rPr>
        <w:t> </w:t>
      </w:r>
      <w:r>
        <w:rPr>
          <w:sz w:val="20"/>
        </w:rPr>
        <w:t>costs</w:t>
      </w:r>
      <w:r>
        <w:rPr>
          <w:spacing w:val="-5"/>
          <w:sz w:val="20"/>
        </w:rPr>
        <w:t> </w:t>
      </w:r>
      <w:r>
        <w:rPr>
          <w:sz w:val="20"/>
        </w:rPr>
        <w:t>have</w:t>
      </w:r>
      <w:r>
        <w:rPr>
          <w:spacing w:val="-2"/>
          <w:sz w:val="20"/>
        </w:rPr>
        <w:t> </w:t>
      </w:r>
      <w:r>
        <w:rPr>
          <w:sz w:val="20"/>
        </w:rPr>
        <w:t>increased</w:t>
      </w:r>
      <w:r>
        <w:rPr>
          <w:spacing w:val="-4"/>
          <w:sz w:val="20"/>
        </w:rPr>
        <w:t> </w:t>
      </w:r>
      <w:r>
        <w:rPr>
          <w:sz w:val="20"/>
        </w:rPr>
        <w:t>by</w:t>
      </w:r>
      <w:r>
        <w:rPr>
          <w:spacing w:val="-4"/>
          <w:sz w:val="20"/>
        </w:rPr>
        <w:t> </w:t>
      </w:r>
      <w:r>
        <w:rPr>
          <w:sz w:val="20"/>
        </w:rPr>
        <w:t>€21.9</w:t>
      </w:r>
      <w:r>
        <w:rPr>
          <w:spacing w:val="-4"/>
          <w:sz w:val="20"/>
        </w:rPr>
        <w:t> </w:t>
      </w:r>
      <w:r>
        <w:rPr>
          <w:sz w:val="20"/>
        </w:rPr>
        <w:t>thousand</w:t>
      </w:r>
      <w:r>
        <w:rPr>
          <w:spacing w:val="-4"/>
          <w:sz w:val="20"/>
        </w:rPr>
        <w:t> </w:t>
      </w:r>
      <w:r>
        <w:rPr>
          <w:sz w:val="20"/>
        </w:rPr>
        <w:t>(31.9</w:t>
      </w:r>
      <w:r>
        <w:rPr>
          <w:spacing w:val="-4"/>
          <w:sz w:val="20"/>
        </w:rPr>
        <w:t> </w:t>
      </w:r>
      <w:r>
        <w:rPr>
          <w:sz w:val="20"/>
        </w:rPr>
        <w:t>per</w:t>
      </w:r>
      <w:r>
        <w:rPr>
          <w:spacing w:val="-8"/>
          <w:sz w:val="20"/>
        </w:rPr>
        <w:t> </w:t>
      </w:r>
      <w:r>
        <w:rPr>
          <w:sz w:val="20"/>
        </w:rPr>
        <w:t>cent),</w:t>
      </w:r>
      <w:r>
        <w:rPr>
          <w:spacing w:val="-1"/>
          <w:sz w:val="20"/>
        </w:rPr>
        <w:t> </w:t>
      </w:r>
      <w:r>
        <w:rPr>
          <w:sz w:val="20"/>
        </w:rPr>
        <w:t>mainly</w:t>
      </w:r>
      <w:r>
        <w:rPr>
          <w:spacing w:val="-4"/>
          <w:sz w:val="20"/>
        </w:rPr>
        <w:t> </w:t>
      </w:r>
      <w:r>
        <w:rPr>
          <w:sz w:val="20"/>
        </w:rPr>
        <w:t>reflecting the increase in travel costs to carry out inspections in the Court’s country offices, now that the IOM has additional capacity and most COVID-19 restrictions have been lifted. The requested amount also includes a modest amount (€30.0 thousand</w:t>
      </w:r>
      <w:r>
        <w:rPr>
          <w:b/>
          <w:sz w:val="20"/>
        </w:rPr>
        <w:t>) </w:t>
      </w:r>
      <w:r>
        <w:rPr>
          <w:sz w:val="20"/>
        </w:rPr>
        <w:t>for the due diligence process to be conducted for the election of six judges at the end of 2023, to which the IOM may be requested to contribute.</w:t>
      </w:r>
    </w:p>
    <w:p>
      <w:pPr>
        <w:pStyle w:val="BodyText"/>
        <w:spacing w:before="2"/>
        <w:rPr>
          <w:sz w:val="21"/>
        </w:rPr>
      </w:pPr>
    </w:p>
    <w:p>
      <w:pPr>
        <w:pStyle w:val="Heading3"/>
        <w:tabs>
          <w:tab w:pos="8229" w:val="left" w:leader="none"/>
        </w:tabs>
        <w:jc w:val="both"/>
      </w:pPr>
      <w:r>
        <w:rPr/>
        <w:t>Staff</w:t>
      </w:r>
      <w:r>
        <w:rPr>
          <w:spacing w:val="-2"/>
        </w:rPr>
        <w:t> resources</w:t>
      </w:r>
      <w:r>
        <w:rPr/>
        <w:tab/>
        <w:t>€847.5</w:t>
      </w:r>
      <w:r>
        <w:rPr>
          <w:spacing w:val="-3"/>
        </w:rPr>
        <w:t> </w:t>
      </w:r>
      <w:r>
        <w:rPr>
          <w:spacing w:val="-2"/>
        </w:rPr>
        <w:t>thousand</w:t>
      </w:r>
    </w:p>
    <w:p>
      <w:pPr>
        <w:pStyle w:val="BodyText"/>
        <w:spacing w:before="10"/>
        <w:rPr>
          <w:b/>
        </w:rPr>
      </w:pPr>
    </w:p>
    <w:p>
      <w:pPr>
        <w:pStyle w:val="ListParagraph"/>
        <w:numPr>
          <w:ilvl w:val="0"/>
          <w:numId w:val="4"/>
        </w:numPr>
        <w:tabs>
          <w:tab w:pos="2967" w:val="left" w:leader="none"/>
        </w:tabs>
        <w:spacing w:line="240" w:lineRule="auto" w:before="0" w:after="0"/>
        <w:ind w:left="2246" w:right="2243" w:firstLine="0"/>
        <w:jc w:val="both"/>
        <w:rPr>
          <w:sz w:val="20"/>
        </w:rPr>
      </w:pPr>
      <w:r>
        <w:rPr>
          <w:sz w:val="20"/>
        </w:rPr>
        <w:t>The requested amount has increased by €95.3 thousand (11.2 per cent) so that the </w:t>
      </w:r>
      <w:r>
        <w:rPr>
          <w:spacing w:val="-2"/>
          <w:sz w:val="20"/>
        </w:rPr>
        <w:t>additional</w:t>
      </w:r>
      <w:r>
        <w:rPr>
          <w:spacing w:val="-15"/>
          <w:sz w:val="20"/>
        </w:rPr>
        <w:t> </w:t>
      </w:r>
      <w:r>
        <w:rPr>
          <w:spacing w:val="-2"/>
          <w:sz w:val="20"/>
        </w:rPr>
        <w:t>investigator</w:t>
      </w:r>
      <w:r>
        <w:rPr>
          <w:spacing w:val="-17"/>
          <w:sz w:val="20"/>
        </w:rPr>
        <w:t> </w:t>
      </w:r>
      <w:r>
        <w:rPr>
          <w:spacing w:val="-2"/>
          <w:sz w:val="20"/>
        </w:rPr>
        <w:t>position</w:t>
      </w:r>
      <w:r>
        <w:rPr>
          <w:spacing w:val="-17"/>
          <w:sz w:val="20"/>
        </w:rPr>
        <w:t> </w:t>
      </w:r>
      <w:r>
        <w:rPr>
          <w:spacing w:val="-2"/>
          <w:sz w:val="20"/>
        </w:rPr>
        <w:t>approved</w:t>
      </w:r>
      <w:r>
        <w:rPr>
          <w:spacing w:val="-17"/>
          <w:sz w:val="20"/>
        </w:rPr>
        <w:t> </w:t>
      </w:r>
      <w:r>
        <w:rPr>
          <w:spacing w:val="-2"/>
          <w:sz w:val="20"/>
        </w:rPr>
        <w:t>last</w:t>
      </w:r>
      <w:r>
        <w:rPr>
          <w:spacing w:val="-15"/>
          <w:sz w:val="20"/>
        </w:rPr>
        <w:t> </w:t>
      </w:r>
      <w:r>
        <w:rPr>
          <w:spacing w:val="-2"/>
          <w:sz w:val="20"/>
        </w:rPr>
        <w:t>year</w:t>
      </w:r>
      <w:r>
        <w:rPr>
          <w:spacing w:val="-17"/>
          <w:sz w:val="20"/>
        </w:rPr>
        <w:t> </w:t>
      </w:r>
      <w:r>
        <w:rPr>
          <w:spacing w:val="-2"/>
          <w:sz w:val="20"/>
        </w:rPr>
        <w:t>for</w:t>
      </w:r>
      <w:r>
        <w:rPr>
          <w:spacing w:val="-12"/>
          <w:sz w:val="20"/>
        </w:rPr>
        <w:t> </w:t>
      </w:r>
      <w:r>
        <w:rPr>
          <w:spacing w:val="-2"/>
          <w:sz w:val="20"/>
        </w:rPr>
        <w:t>six</w:t>
      </w:r>
      <w:r>
        <w:rPr>
          <w:spacing w:val="-17"/>
          <w:sz w:val="20"/>
        </w:rPr>
        <w:t> </w:t>
      </w:r>
      <w:r>
        <w:rPr>
          <w:spacing w:val="-2"/>
          <w:sz w:val="20"/>
        </w:rPr>
        <w:t>months</w:t>
      </w:r>
      <w:r>
        <w:rPr>
          <w:spacing w:val="-19"/>
          <w:sz w:val="20"/>
        </w:rPr>
        <w:t> </w:t>
      </w:r>
      <w:r>
        <w:rPr>
          <w:spacing w:val="-2"/>
          <w:sz w:val="20"/>
        </w:rPr>
        <w:t>can</w:t>
      </w:r>
      <w:r>
        <w:rPr>
          <w:spacing w:val="-17"/>
          <w:sz w:val="20"/>
        </w:rPr>
        <w:t> </w:t>
      </w:r>
      <w:r>
        <w:rPr>
          <w:spacing w:val="-2"/>
          <w:sz w:val="20"/>
        </w:rPr>
        <w:t>continue</w:t>
      </w:r>
      <w:r>
        <w:rPr>
          <w:spacing w:val="-15"/>
          <w:sz w:val="20"/>
        </w:rPr>
        <w:t> </w:t>
      </w:r>
      <w:r>
        <w:rPr>
          <w:spacing w:val="-2"/>
          <w:sz w:val="20"/>
        </w:rPr>
        <w:t>throughout</w:t>
      </w:r>
      <w:r>
        <w:rPr>
          <w:spacing w:val="-15"/>
          <w:sz w:val="20"/>
        </w:rPr>
        <w:t> </w:t>
      </w:r>
      <w:r>
        <w:rPr>
          <w:spacing w:val="-2"/>
          <w:sz w:val="20"/>
        </w:rPr>
        <w:t>2023.</w:t>
      </w:r>
    </w:p>
    <w:p>
      <w:pPr>
        <w:pStyle w:val="BodyText"/>
        <w:rPr>
          <w:sz w:val="21"/>
        </w:rPr>
      </w:pPr>
    </w:p>
    <w:p>
      <w:pPr>
        <w:tabs>
          <w:tab w:pos="8282" w:val="left" w:leader="none"/>
        </w:tabs>
        <w:spacing w:before="0"/>
        <w:ind w:left="2246" w:right="0" w:firstLine="0"/>
        <w:jc w:val="both"/>
        <w:rPr>
          <w:i/>
          <w:sz w:val="20"/>
        </w:rPr>
      </w:pPr>
      <w:r>
        <w:rPr>
          <w:i/>
          <w:sz w:val="20"/>
        </w:rPr>
        <w:t>Established</w:t>
      </w:r>
      <w:r>
        <w:rPr>
          <w:i/>
          <w:spacing w:val="-8"/>
          <w:sz w:val="20"/>
        </w:rPr>
        <w:t> </w:t>
      </w:r>
      <w:r>
        <w:rPr>
          <w:i/>
          <w:sz w:val="20"/>
        </w:rPr>
        <w:t>posts:</w:t>
      </w:r>
      <w:r>
        <w:rPr>
          <w:i/>
          <w:spacing w:val="-11"/>
          <w:sz w:val="20"/>
        </w:rPr>
        <w:t> </w:t>
      </w:r>
      <w:r>
        <w:rPr>
          <w:i/>
          <w:sz w:val="20"/>
        </w:rPr>
        <w:t>Professional</w:t>
      </w:r>
      <w:r>
        <w:rPr>
          <w:i/>
          <w:spacing w:val="-6"/>
          <w:sz w:val="20"/>
        </w:rPr>
        <w:t> </w:t>
      </w:r>
      <w:r>
        <w:rPr>
          <w:i/>
          <w:sz w:val="20"/>
        </w:rPr>
        <w:t>and</w:t>
      </w:r>
      <w:r>
        <w:rPr>
          <w:i/>
          <w:spacing w:val="-8"/>
          <w:sz w:val="20"/>
        </w:rPr>
        <w:t> </w:t>
      </w:r>
      <w:r>
        <w:rPr>
          <w:i/>
          <w:sz w:val="20"/>
        </w:rPr>
        <w:t>General</w:t>
      </w:r>
      <w:r>
        <w:rPr>
          <w:i/>
          <w:spacing w:val="-9"/>
          <w:sz w:val="20"/>
        </w:rPr>
        <w:t> </w:t>
      </w:r>
      <w:r>
        <w:rPr>
          <w:i/>
          <w:spacing w:val="-2"/>
          <w:sz w:val="20"/>
        </w:rPr>
        <w:t>Service</w:t>
      </w:r>
      <w:r>
        <w:rPr>
          <w:i/>
          <w:sz w:val="20"/>
        </w:rPr>
        <w:tab/>
        <w:t>€710.4</w:t>
      </w:r>
      <w:r>
        <w:rPr>
          <w:i/>
          <w:spacing w:val="-3"/>
          <w:sz w:val="20"/>
        </w:rPr>
        <w:t> </w:t>
      </w:r>
      <w:r>
        <w:rPr>
          <w:i/>
          <w:spacing w:val="-2"/>
          <w:sz w:val="20"/>
        </w:rPr>
        <w:t>thousand</w:t>
      </w:r>
    </w:p>
    <w:p>
      <w:pPr>
        <w:pStyle w:val="BodyText"/>
        <w:spacing w:before="5"/>
        <w:rPr>
          <w:i/>
        </w:rPr>
      </w:pPr>
    </w:p>
    <w:p>
      <w:pPr>
        <w:pStyle w:val="ListParagraph"/>
        <w:numPr>
          <w:ilvl w:val="0"/>
          <w:numId w:val="4"/>
        </w:numPr>
        <w:tabs>
          <w:tab w:pos="2967" w:val="left" w:leader="none"/>
        </w:tabs>
        <w:spacing w:line="240" w:lineRule="auto" w:before="1" w:after="0"/>
        <w:ind w:left="2246" w:right="2239" w:firstLine="0"/>
        <w:jc w:val="both"/>
        <w:rPr>
          <w:sz w:val="20"/>
        </w:rPr>
      </w:pPr>
      <w:r>
        <w:rPr>
          <w:sz w:val="20"/>
        </w:rPr>
        <w:t>The IOM comprises four established posts: one P-5 (Head, IOM), one P-4 (Senior Evaluation Specialist), one P-2 (Associate Investigator), and one G-5 (Administrative Assistant).</w:t>
      </w:r>
      <w:r>
        <w:rPr>
          <w:spacing w:val="-2"/>
          <w:sz w:val="20"/>
        </w:rPr>
        <w:t> </w:t>
      </w:r>
      <w:r>
        <w:rPr>
          <w:sz w:val="20"/>
        </w:rPr>
        <w:t>It</w:t>
      </w:r>
      <w:r>
        <w:rPr>
          <w:spacing w:val="-3"/>
          <w:sz w:val="20"/>
        </w:rPr>
        <w:t> </w:t>
      </w:r>
      <w:r>
        <w:rPr>
          <w:sz w:val="20"/>
        </w:rPr>
        <w:t>also</w:t>
      </w:r>
      <w:r>
        <w:rPr>
          <w:spacing w:val="-5"/>
          <w:sz w:val="20"/>
        </w:rPr>
        <w:t> </w:t>
      </w:r>
      <w:r>
        <w:rPr>
          <w:sz w:val="20"/>
        </w:rPr>
        <w:t>includes</w:t>
      </w:r>
      <w:r>
        <w:rPr>
          <w:spacing w:val="-6"/>
          <w:sz w:val="20"/>
        </w:rPr>
        <w:t> </w:t>
      </w:r>
      <w:r>
        <w:rPr>
          <w:sz w:val="20"/>
        </w:rPr>
        <w:t>one</w:t>
      </w:r>
      <w:r>
        <w:rPr>
          <w:spacing w:val="-3"/>
          <w:sz w:val="20"/>
        </w:rPr>
        <w:t> </w:t>
      </w:r>
      <w:r>
        <w:rPr>
          <w:sz w:val="20"/>
        </w:rPr>
        <w:t>P-4</w:t>
      </w:r>
      <w:r>
        <w:rPr>
          <w:spacing w:val="-5"/>
          <w:sz w:val="20"/>
        </w:rPr>
        <w:t> </w:t>
      </w:r>
      <w:r>
        <w:rPr>
          <w:sz w:val="20"/>
        </w:rPr>
        <w:t>(GTA)</w:t>
      </w:r>
      <w:r>
        <w:rPr>
          <w:spacing w:val="-9"/>
          <w:sz w:val="20"/>
        </w:rPr>
        <w:t> </w:t>
      </w:r>
      <w:r>
        <w:rPr>
          <w:sz w:val="20"/>
        </w:rPr>
        <w:t>position</w:t>
      </w:r>
      <w:r>
        <w:rPr>
          <w:spacing w:val="-5"/>
          <w:sz w:val="20"/>
        </w:rPr>
        <w:t> </w:t>
      </w:r>
      <w:r>
        <w:rPr>
          <w:sz w:val="20"/>
        </w:rPr>
        <w:t>of</w:t>
      </w:r>
      <w:r>
        <w:rPr>
          <w:spacing w:val="-5"/>
          <w:sz w:val="20"/>
        </w:rPr>
        <w:t> </w:t>
      </w:r>
      <w:r>
        <w:rPr>
          <w:sz w:val="20"/>
        </w:rPr>
        <w:t>Senior</w:t>
      </w:r>
      <w:r>
        <w:rPr>
          <w:spacing w:val="-9"/>
          <w:sz w:val="20"/>
        </w:rPr>
        <w:t> </w:t>
      </w:r>
      <w:r>
        <w:rPr>
          <w:sz w:val="20"/>
        </w:rPr>
        <w:t>Investigator.</w:t>
      </w:r>
      <w:r>
        <w:rPr>
          <w:spacing w:val="-2"/>
          <w:sz w:val="20"/>
        </w:rPr>
        <w:t> </w:t>
      </w:r>
      <w:r>
        <w:rPr>
          <w:sz w:val="20"/>
        </w:rPr>
        <w:t>Currently,</w:t>
      </w:r>
      <w:r>
        <w:rPr>
          <w:spacing w:val="-2"/>
          <w:sz w:val="20"/>
        </w:rPr>
        <w:t> </w:t>
      </w:r>
      <w:r>
        <w:rPr>
          <w:sz w:val="20"/>
        </w:rPr>
        <w:t>the</w:t>
      </w:r>
      <w:r>
        <w:rPr>
          <w:spacing w:val="-3"/>
          <w:sz w:val="20"/>
        </w:rPr>
        <w:t> </w:t>
      </w:r>
      <w:r>
        <w:rPr>
          <w:sz w:val="20"/>
        </w:rPr>
        <w:t>P-4 Senior</w:t>
      </w:r>
      <w:r>
        <w:rPr>
          <w:spacing w:val="-13"/>
          <w:sz w:val="20"/>
        </w:rPr>
        <w:t> </w:t>
      </w:r>
      <w:r>
        <w:rPr>
          <w:sz w:val="20"/>
        </w:rPr>
        <w:t>Investigator</w:t>
      </w:r>
      <w:r>
        <w:rPr>
          <w:spacing w:val="-12"/>
          <w:sz w:val="20"/>
        </w:rPr>
        <w:t> </w:t>
      </w:r>
      <w:r>
        <w:rPr>
          <w:sz w:val="20"/>
        </w:rPr>
        <w:t>(GTA)</w:t>
      </w:r>
      <w:r>
        <w:rPr>
          <w:spacing w:val="-13"/>
          <w:sz w:val="20"/>
        </w:rPr>
        <w:t> </w:t>
      </w:r>
      <w:r>
        <w:rPr>
          <w:sz w:val="20"/>
        </w:rPr>
        <w:t>leads</w:t>
      </w:r>
      <w:r>
        <w:rPr>
          <w:spacing w:val="-12"/>
          <w:sz w:val="20"/>
        </w:rPr>
        <w:t> </w:t>
      </w:r>
      <w:r>
        <w:rPr>
          <w:sz w:val="20"/>
        </w:rPr>
        <w:t>the</w:t>
      </w:r>
      <w:r>
        <w:rPr>
          <w:spacing w:val="-12"/>
          <w:sz w:val="20"/>
        </w:rPr>
        <w:t> </w:t>
      </w:r>
      <w:r>
        <w:rPr>
          <w:sz w:val="20"/>
        </w:rPr>
        <w:t>investigation</w:t>
      </w:r>
      <w:r>
        <w:rPr>
          <w:spacing w:val="-12"/>
          <w:sz w:val="20"/>
        </w:rPr>
        <w:t> </w:t>
      </w:r>
      <w:r>
        <w:rPr>
          <w:sz w:val="20"/>
        </w:rPr>
        <w:t>function</w:t>
      </w:r>
      <w:r>
        <w:rPr>
          <w:spacing w:val="-13"/>
          <w:sz w:val="20"/>
        </w:rPr>
        <w:t> </w:t>
      </w:r>
      <w:r>
        <w:rPr>
          <w:sz w:val="20"/>
        </w:rPr>
        <w:t>with</w:t>
      </w:r>
      <w:r>
        <w:rPr>
          <w:spacing w:val="-12"/>
          <w:sz w:val="20"/>
        </w:rPr>
        <w:t> </w:t>
      </w:r>
      <w:r>
        <w:rPr>
          <w:sz w:val="20"/>
        </w:rPr>
        <w:t>the</w:t>
      </w:r>
      <w:r>
        <w:rPr>
          <w:spacing w:val="-11"/>
          <w:sz w:val="20"/>
        </w:rPr>
        <w:t> </w:t>
      </w:r>
      <w:r>
        <w:rPr>
          <w:sz w:val="20"/>
        </w:rPr>
        <w:t>support</w:t>
      </w:r>
      <w:r>
        <w:rPr>
          <w:spacing w:val="-11"/>
          <w:sz w:val="20"/>
        </w:rPr>
        <w:t> </w:t>
      </w:r>
      <w:r>
        <w:rPr>
          <w:sz w:val="20"/>
        </w:rPr>
        <w:t>of</w:t>
      </w:r>
      <w:r>
        <w:rPr>
          <w:spacing w:val="-13"/>
          <w:sz w:val="20"/>
        </w:rPr>
        <w:t> </w:t>
      </w:r>
      <w:r>
        <w:rPr>
          <w:sz w:val="20"/>
        </w:rPr>
        <w:t>an</w:t>
      </w:r>
      <w:r>
        <w:rPr>
          <w:spacing w:val="-12"/>
          <w:sz w:val="20"/>
        </w:rPr>
        <w:t> </w:t>
      </w:r>
      <w:r>
        <w:rPr>
          <w:sz w:val="20"/>
        </w:rPr>
        <w:t>Investigator at the P-3 level (GTA) and an Associate Investigator at the P-2 level, while the Senior Evaluation</w:t>
      </w:r>
      <w:r>
        <w:rPr>
          <w:spacing w:val="-12"/>
          <w:sz w:val="20"/>
        </w:rPr>
        <w:t> </w:t>
      </w:r>
      <w:r>
        <w:rPr>
          <w:sz w:val="20"/>
        </w:rPr>
        <w:t>Specialist</w:t>
      </w:r>
      <w:r>
        <w:rPr>
          <w:spacing w:val="-13"/>
          <w:sz w:val="20"/>
        </w:rPr>
        <w:t> </w:t>
      </w:r>
      <w:r>
        <w:rPr>
          <w:sz w:val="20"/>
        </w:rPr>
        <w:t>leads</w:t>
      </w:r>
      <w:r>
        <w:rPr>
          <w:spacing w:val="-11"/>
          <w:sz w:val="20"/>
        </w:rPr>
        <w:t> </w:t>
      </w:r>
      <w:r>
        <w:rPr>
          <w:sz w:val="20"/>
        </w:rPr>
        <w:t>the</w:t>
      </w:r>
      <w:r>
        <w:rPr>
          <w:spacing w:val="-13"/>
          <w:sz w:val="20"/>
        </w:rPr>
        <w:t> </w:t>
      </w:r>
      <w:r>
        <w:rPr>
          <w:sz w:val="20"/>
        </w:rPr>
        <w:t>evaluation</w:t>
      </w:r>
      <w:r>
        <w:rPr>
          <w:spacing w:val="-9"/>
          <w:sz w:val="20"/>
        </w:rPr>
        <w:t> </w:t>
      </w:r>
      <w:r>
        <w:rPr>
          <w:sz w:val="20"/>
        </w:rPr>
        <w:t>function.</w:t>
      </w:r>
      <w:r>
        <w:rPr>
          <w:spacing w:val="-8"/>
          <w:sz w:val="20"/>
        </w:rPr>
        <w:t> </w:t>
      </w:r>
      <w:r>
        <w:rPr>
          <w:sz w:val="20"/>
        </w:rPr>
        <w:t>Both</w:t>
      </w:r>
      <w:r>
        <w:rPr>
          <w:spacing w:val="-13"/>
          <w:sz w:val="20"/>
        </w:rPr>
        <w:t> </w:t>
      </w:r>
      <w:r>
        <w:rPr>
          <w:sz w:val="20"/>
        </w:rPr>
        <w:t>senior</w:t>
      </w:r>
      <w:r>
        <w:rPr>
          <w:spacing w:val="-9"/>
          <w:sz w:val="20"/>
        </w:rPr>
        <w:t> </w:t>
      </w:r>
      <w:r>
        <w:rPr>
          <w:sz w:val="20"/>
        </w:rPr>
        <w:t>staff</w:t>
      </w:r>
      <w:r>
        <w:rPr>
          <w:spacing w:val="-10"/>
          <w:sz w:val="20"/>
        </w:rPr>
        <w:t> </w:t>
      </w:r>
      <w:r>
        <w:rPr>
          <w:sz w:val="20"/>
        </w:rPr>
        <w:t>operate</w:t>
      </w:r>
      <w:r>
        <w:rPr>
          <w:spacing w:val="-13"/>
          <w:sz w:val="20"/>
        </w:rPr>
        <w:t> </w:t>
      </w:r>
      <w:r>
        <w:rPr>
          <w:sz w:val="20"/>
        </w:rPr>
        <w:t>with</w:t>
      </w:r>
      <w:r>
        <w:rPr>
          <w:spacing w:val="-9"/>
          <w:sz w:val="20"/>
        </w:rPr>
        <w:t> </w:t>
      </w:r>
      <w:r>
        <w:rPr>
          <w:sz w:val="20"/>
        </w:rPr>
        <w:t>the</w:t>
      </w:r>
      <w:r>
        <w:rPr>
          <w:spacing w:val="-9"/>
          <w:sz w:val="20"/>
        </w:rPr>
        <w:t> </w:t>
      </w:r>
      <w:r>
        <w:rPr>
          <w:sz w:val="20"/>
        </w:rPr>
        <w:t>support of and under the direction of the Head, IOM. The Administrative Assistant provides administrative support to the entire programme as well as substantive support to the Senior Investigator and Senior Evaluation Specialist.</w:t>
      </w:r>
    </w:p>
    <w:p>
      <w:pPr>
        <w:spacing w:before="124"/>
        <w:ind w:left="2246" w:right="0" w:firstLine="0"/>
        <w:jc w:val="both"/>
        <w:rPr>
          <w:i/>
          <w:sz w:val="20"/>
        </w:rPr>
      </w:pPr>
      <w:r>
        <w:rPr>
          <w:i/>
          <w:sz w:val="20"/>
        </w:rPr>
        <w:t>Conversion</w:t>
      </w:r>
      <w:r>
        <w:rPr>
          <w:i/>
          <w:spacing w:val="-9"/>
          <w:sz w:val="20"/>
        </w:rPr>
        <w:t> </w:t>
      </w:r>
      <w:r>
        <w:rPr>
          <w:i/>
          <w:sz w:val="20"/>
        </w:rPr>
        <w:t>of</w:t>
      </w:r>
      <w:r>
        <w:rPr>
          <w:i/>
          <w:spacing w:val="-6"/>
          <w:sz w:val="20"/>
        </w:rPr>
        <w:t> </w:t>
      </w:r>
      <w:r>
        <w:rPr>
          <w:i/>
          <w:sz w:val="20"/>
        </w:rPr>
        <w:t>one</w:t>
      </w:r>
      <w:r>
        <w:rPr>
          <w:i/>
          <w:spacing w:val="-1"/>
          <w:sz w:val="20"/>
        </w:rPr>
        <w:t> </w:t>
      </w:r>
      <w:r>
        <w:rPr>
          <w:i/>
          <w:sz w:val="20"/>
        </w:rPr>
        <w:t>GTA</w:t>
      </w:r>
      <w:r>
        <w:rPr>
          <w:i/>
          <w:spacing w:val="-7"/>
          <w:sz w:val="20"/>
        </w:rPr>
        <w:t> </w:t>
      </w:r>
      <w:r>
        <w:rPr>
          <w:i/>
          <w:sz w:val="20"/>
        </w:rPr>
        <w:t>position</w:t>
      </w:r>
      <w:r>
        <w:rPr>
          <w:i/>
          <w:spacing w:val="-8"/>
          <w:sz w:val="20"/>
        </w:rPr>
        <w:t> </w:t>
      </w:r>
      <w:r>
        <w:rPr>
          <w:i/>
          <w:sz w:val="20"/>
        </w:rPr>
        <w:t>into</w:t>
      </w:r>
      <w:r>
        <w:rPr>
          <w:i/>
          <w:spacing w:val="-3"/>
          <w:sz w:val="20"/>
        </w:rPr>
        <w:t> </w:t>
      </w:r>
      <w:r>
        <w:rPr>
          <w:i/>
          <w:sz w:val="20"/>
        </w:rPr>
        <w:t>an</w:t>
      </w:r>
      <w:r>
        <w:rPr>
          <w:i/>
          <w:spacing w:val="-12"/>
          <w:sz w:val="20"/>
        </w:rPr>
        <w:t> </w:t>
      </w:r>
      <w:r>
        <w:rPr>
          <w:i/>
          <w:sz w:val="20"/>
        </w:rPr>
        <w:t>Established</w:t>
      </w:r>
      <w:r>
        <w:rPr>
          <w:i/>
          <w:spacing w:val="-3"/>
          <w:sz w:val="20"/>
        </w:rPr>
        <w:t> </w:t>
      </w:r>
      <w:r>
        <w:rPr>
          <w:i/>
          <w:sz w:val="20"/>
        </w:rPr>
        <w:t>post</w:t>
      </w:r>
      <w:r>
        <w:rPr>
          <w:i/>
          <w:spacing w:val="2"/>
          <w:sz w:val="20"/>
        </w:rPr>
        <w:t> </w:t>
      </w:r>
      <w:r>
        <w:rPr>
          <w:i/>
          <w:sz w:val="20"/>
        </w:rPr>
        <w:t>-</w:t>
      </w:r>
      <w:r>
        <w:rPr>
          <w:i/>
          <w:spacing w:val="-7"/>
          <w:sz w:val="20"/>
        </w:rPr>
        <w:t> </w:t>
      </w:r>
      <w:r>
        <w:rPr>
          <w:i/>
          <w:sz w:val="20"/>
        </w:rPr>
        <w:t>One</w:t>
      </w:r>
      <w:r>
        <w:rPr>
          <w:i/>
          <w:spacing w:val="-2"/>
          <w:sz w:val="20"/>
        </w:rPr>
        <w:t> </w:t>
      </w:r>
      <w:r>
        <w:rPr>
          <w:i/>
          <w:sz w:val="20"/>
        </w:rPr>
        <w:t>Senior</w:t>
      </w:r>
      <w:r>
        <w:rPr>
          <w:i/>
          <w:spacing w:val="-4"/>
          <w:sz w:val="20"/>
        </w:rPr>
        <w:t> </w:t>
      </w:r>
      <w:r>
        <w:rPr>
          <w:i/>
          <w:sz w:val="20"/>
        </w:rPr>
        <w:t>Investigator</w:t>
      </w:r>
      <w:r>
        <w:rPr>
          <w:i/>
          <w:spacing w:val="-4"/>
          <w:sz w:val="20"/>
        </w:rPr>
        <w:t> </w:t>
      </w:r>
      <w:r>
        <w:rPr>
          <w:i/>
          <w:sz w:val="20"/>
        </w:rPr>
        <w:t>(P-</w:t>
      </w:r>
      <w:r>
        <w:rPr>
          <w:i/>
          <w:spacing w:val="-5"/>
          <w:sz w:val="20"/>
        </w:rPr>
        <w:t>4)</w:t>
      </w:r>
    </w:p>
    <w:p>
      <w:pPr>
        <w:pStyle w:val="ListParagraph"/>
        <w:numPr>
          <w:ilvl w:val="0"/>
          <w:numId w:val="4"/>
        </w:numPr>
        <w:tabs>
          <w:tab w:pos="2967" w:val="left" w:leader="none"/>
        </w:tabs>
        <w:spacing w:line="240" w:lineRule="auto" w:before="120" w:after="0"/>
        <w:ind w:left="2246" w:right="2237" w:firstLine="0"/>
        <w:jc w:val="both"/>
        <w:rPr>
          <w:sz w:val="20"/>
        </w:rPr>
      </w:pPr>
      <w:r>
        <w:rPr>
          <w:sz w:val="20"/>
        </w:rPr>
        <w:t>The position of Senior Investigator at the IOM was approved by the Assembly in the</w:t>
      </w:r>
      <w:r>
        <w:rPr>
          <w:spacing w:val="-7"/>
          <w:sz w:val="20"/>
        </w:rPr>
        <w:t> </w:t>
      </w:r>
      <w:r>
        <w:rPr>
          <w:sz w:val="20"/>
        </w:rPr>
        <w:t>2020</w:t>
      </w:r>
      <w:r>
        <w:rPr>
          <w:spacing w:val="-8"/>
          <w:sz w:val="20"/>
        </w:rPr>
        <w:t> </w:t>
      </w:r>
      <w:r>
        <w:rPr>
          <w:sz w:val="20"/>
        </w:rPr>
        <w:t>Programme</w:t>
      </w:r>
      <w:r>
        <w:rPr>
          <w:spacing w:val="-7"/>
          <w:sz w:val="20"/>
        </w:rPr>
        <w:t> </w:t>
      </w:r>
      <w:r>
        <w:rPr>
          <w:sz w:val="20"/>
        </w:rPr>
        <w:t>Budget</w:t>
      </w:r>
      <w:r>
        <w:rPr>
          <w:spacing w:val="-7"/>
          <w:sz w:val="20"/>
        </w:rPr>
        <w:t> </w:t>
      </w:r>
      <w:r>
        <w:rPr>
          <w:sz w:val="20"/>
        </w:rPr>
        <w:t>and</w:t>
      </w:r>
      <w:r>
        <w:rPr>
          <w:spacing w:val="-4"/>
          <w:sz w:val="20"/>
        </w:rPr>
        <w:t> </w:t>
      </w:r>
      <w:r>
        <w:rPr>
          <w:sz w:val="20"/>
        </w:rPr>
        <w:t>filled</w:t>
      </w:r>
      <w:r>
        <w:rPr>
          <w:spacing w:val="-8"/>
          <w:sz w:val="20"/>
        </w:rPr>
        <w:t> </w:t>
      </w:r>
      <w:r>
        <w:rPr>
          <w:sz w:val="20"/>
        </w:rPr>
        <w:t>in</w:t>
      </w:r>
      <w:r>
        <w:rPr>
          <w:spacing w:val="-8"/>
          <w:sz w:val="20"/>
        </w:rPr>
        <w:t> </w:t>
      </w:r>
      <w:r>
        <w:rPr>
          <w:sz w:val="20"/>
        </w:rPr>
        <w:t>late</w:t>
      </w:r>
      <w:r>
        <w:rPr>
          <w:spacing w:val="-7"/>
          <w:sz w:val="20"/>
        </w:rPr>
        <w:t> </w:t>
      </w:r>
      <w:r>
        <w:rPr>
          <w:sz w:val="20"/>
        </w:rPr>
        <w:t>2020.</w:t>
      </w:r>
      <w:r>
        <w:rPr>
          <w:spacing w:val="-6"/>
          <w:sz w:val="20"/>
        </w:rPr>
        <w:t> </w:t>
      </w:r>
      <w:r>
        <w:rPr>
          <w:sz w:val="20"/>
        </w:rPr>
        <w:t>Over</w:t>
      </w:r>
      <w:r>
        <w:rPr>
          <w:spacing w:val="-13"/>
          <w:sz w:val="20"/>
        </w:rPr>
        <w:t> </w:t>
      </w:r>
      <w:r>
        <w:rPr>
          <w:sz w:val="20"/>
        </w:rPr>
        <w:t>the</w:t>
      </w:r>
      <w:r>
        <w:rPr>
          <w:spacing w:val="-10"/>
          <w:sz w:val="20"/>
        </w:rPr>
        <w:t> </w:t>
      </w:r>
      <w:r>
        <w:rPr>
          <w:sz w:val="20"/>
        </w:rPr>
        <w:t>last</w:t>
      </w:r>
      <w:r>
        <w:rPr>
          <w:spacing w:val="-7"/>
          <w:sz w:val="20"/>
        </w:rPr>
        <w:t> </w:t>
      </w:r>
      <w:r>
        <w:rPr>
          <w:sz w:val="20"/>
        </w:rPr>
        <w:t>three</w:t>
      </w:r>
      <w:r>
        <w:rPr>
          <w:spacing w:val="-2"/>
          <w:sz w:val="20"/>
        </w:rPr>
        <w:t> </w:t>
      </w:r>
      <w:r>
        <w:rPr>
          <w:sz w:val="20"/>
        </w:rPr>
        <w:t>years,</w:t>
      </w:r>
      <w:r>
        <w:rPr>
          <w:spacing w:val="-6"/>
          <w:sz w:val="20"/>
        </w:rPr>
        <w:t> </w:t>
      </w:r>
      <w:r>
        <w:rPr>
          <w:sz w:val="20"/>
        </w:rPr>
        <w:t>the</w:t>
      </w:r>
      <w:r>
        <w:rPr>
          <w:spacing w:val="-7"/>
          <w:sz w:val="20"/>
        </w:rPr>
        <w:t> </w:t>
      </w:r>
      <w:r>
        <w:rPr>
          <w:sz w:val="20"/>
        </w:rPr>
        <w:t>importance of this position to lead the IOM’s investigation function has been apparent, especially as it also brings a much more solid structure to the IOM in terms of having both its Evaluation and Investigation functions headed by a senior staff member.</w:t>
      </w:r>
      <w:r>
        <w:rPr>
          <w:spacing w:val="18"/>
          <w:sz w:val="20"/>
        </w:rPr>
        <w:t> </w:t>
      </w:r>
      <w:r>
        <w:rPr>
          <w:sz w:val="20"/>
        </w:rPr>
        <w:t>The IOM therefore requests</w:t>
      </w:r>
    </w:p>
    <w:p>
      <w:pPr>
        <w:pStyle w:val="BodyText"/>
      </w:pPr>
    </w:p>
    <w:p>
      <w:pPr>
        <w:pStyle w:val="BodyText"/>
      </w:pPr>
    </w:p>
    <w:p>
      <w:pPr>
        <w:pStyle w:val="BodyText"/>
        <w:spacing w:before="10"/>
        <w:rPr>
          <w:sz w:val="14"/>
        </w:rPr>
      </w:pPr>
      <w:r>
        <w:rPr/>
        <w:pict>
          <v:rect style="position:absolute;margin-left:113.330002pt;margin-top:9.779921pt;width:144.050pt;height:.48004pt;mso-position-horizontal-relative:page;mso-position-vertical-relative:paragraph;z-index:-15678464;mso-wrap-distance-left:0;mso-wrap-distance-right:0" id="docshape348" filled="true" fillcolor="#000000" stroked="false">
            <v:fill type="solid"/>
            <w10:wrap type="topAndBottom"/>
          </v:rect>
        </w:pict>
      </w:r>
    </w:p>
    <w:p>
      <w:pPr>
        <w:spacing w:before="87"/>
        <w:ind w:left="2246" w:right="2242" w:firstLine="0"/>
        <w:jc w:val="both"/>
        <w:rPr>
          <w:sz w:val="16"/>
        </w:rPr>
      </w:pPr>
      <w:r>
        <w:rPr>
          <w:position w:val="5"/>
          <w:sz w:val="10"/>
        </w:rPr>
        <w:t>144</w:t>
      </w:r>
      <w:r>
        <w:rPr>
          <w:spacing w:val="-7"/>
          <w:position w:val="5"/>
          <w:sz w:val="10"/>
        </w:rPr>
        <w:t> </w:t>
      </w:r>
      <w:r>
        <w:rPr>
          <w:i/>
          <w:sz w:val="20"/>
        </w:rPr>
        <w:t>O</w:t>
      </w:r>
      <w:r>
        <w:rPr>
          <w:i/>
          <w:sz w:val="16"/>
        </w:rPr>
        <w:t>fficial</w:t>
      </w:r>
      <w:r>
        <w:rPr>
          <w:i/>
          <w:spacing w:val="-10"/>
          <w:sz w:val="16"/>
        </w:rPr>
        <w:t> </w:t>
      </w:r>
      <w:r>
        <w:rPr>
          <w:i/>
          <w:sz w:val="16"/>
        </w:rPr>
        <w:t>Records</w:t>
      </w:r>
      <w:r>
        <w:rPr>
          <w:i/>
          <w:spacing w:val="-10"/>
          <w:sz w:val="16"/>
        </w:rPr>
        <w:t> </w:t>
      </w:r>
      <w:r>
        <w:rPr>
          <w:i/>
          <w:sz w:val="16"/>
        </w:rPr>
        <w:t>of</w:t>
      </w:r>
      <w:r>
        <w:rPr>
          <w:i/>
          <w:spacing w:val="-10"/>
          <w:sz w:val="16"/>
        </w:rPr>
        <w:t> </w:t>
      </w:r>
      <w:r>
        <w:rPr>
          <w:i/>
          <w:sz w:val="16"/>
        </w:rPr>
        <w:t>the</w:t>
      </w:r>
      <w:r>
        <w:rPr>
          <w:i/>
          <w:spacing w:val="-10"/>
          <w:sz w:val="16"/>
        </w:rPr>
        <w:t> </w:t>
      </w:r>
      <w:r>
        <w:rPr>
          <w:i/>
          <w:sz w:val="16"/>
        </w:rPr>
        <w:t>Assembly</w:t>
      </w:r>
      <w:r>
        <w:rPr>
          <w:i/>
          <w:spacing w:val="-10"/>
          <w:sz w:val="16"/>
        </w:rPr>
        <w:t> </w:t>
      </w:r>
      <w:r>
        <w:rPr>
          <w:i/>
          <w:sz w:val="16"/>
        </w:rPr>
        <w:t>of</w:t>
      </w:r>
      <w:r>
        <w:rPr>
          <w:i/>
          <w:spacing w:val="-10"/>
          <w:sz w:val="16"/>
        </w:rPr>
        <w:t> </w:t>
      </w:r>
      <w:r>
        <w:rPr>
          <w:i/>
          <w:sz w:val="16"/>
        </w:rPr>
        <w:t>States</w:t>
      </w:r>
      <w:r>
        <w:rPr>
          <w:i/>
          <w:spacing w:val="-10"/>
          <w:sz w:val="16"/>
        </w:rPr>
        <w:t> </w:t>
      </w:r>
      <w:r>
        <w:rPr>
          <w:i/>
          <w:sz w:val="16"/>
        </w:rPr>
        <w:t>Parties</w:t>
      </w:r>
      <w:r>
        <w:rPr>
          <w:i/>
          <w:spacing w:val="-10"/>
          <w:sz w:val="16"/>
        </w:rPr>
        <w:t> </w:t>
      </w:r>
      <w:r>
        <w:rPr>
          <w:i/>
          <w:sz w:val="16"/>
        </w:rPr>
        <w:t>to</w:t>
      </w:r>
      <w:r>
        <w:rPr>
          <w:i/>
          <w:spacing w:val="-6"/>
          <w:sz w:val="16"/>
        </w:rPr>
        <w:t> </w:t>
      </w:r>
      <w:r>
        <w:rPr>
          <w:i/>
          <w:sz w:val="16"/>
        </w:rPr>
        <w:t>the</w:t>
      </w:r>
      <w:r>
        <w:rPr>
          <w:i/>
          <w:spacing w:val="-10"/>
          <w:sz w:val="16"/>
        </w:rPr>
        <w:t> </w:t>
      </w:r>
      <w:r>
        <w:rPr>
          <w:i/>
          <w:sz w:val="16"/>
        </w:rPr>
        <w:t>Rome</w:t>
      </w:r>
      <w:r>
        <w:rPr>
          <w:i/>
          <w:spacing w:val="-7"/>
          <w:sz w:val="16"/>
        </w:rPr>
        <w:t> </w:t>
      </w:r>
      <w:r>
        <w:rPr>
          <w:i/>
          <w:sz w:val="16"/>
        </w:rPr>
        <w:t>Statute</w:t>
      </w:r>
      <w:r>
        <w:rPr>
          <w:i/>
          <w:spacing w:val="-10"/>
          <w:sz w:val="16"/>
        </w:rPr>
        <w:t> </w:t>
      </w:r>
      <w:r>
        <w:rPr>
          <w:i/>
          <w:sz w:val="16"/>
        </w:rPr>
        <w:t>of</w:t>
      </w:r>
      <w:r>
        <w:rPr>
          <w:i/>
          <w:spacing w:val="-10"/>
          <w:sz w:val="16"/>
        </w:rPr>
        <w:t> </w:t>
      </w:r>
      <w:r>
        <w:rPr>
          <w:i/>
          <w:sz w:val="16"/>
        </w:rPr>
        <w:t>the</w:t>
      </w:r>
      <w:r>
        <w:rPr>
          <w:i/>
          <w:spacing w:val="-7"/>
          <w:sz w:val="16"/>
        </w:rPr>
        <w:t> </w:t>
      </w:r>
      <w:r>
        <w:rPr>
          <w:i/>
          <w:sz w:val="16"/>
        </w:rPr>
        <w:t>International</w:t>
      </w:r>
      <w:r>
        <w:rPr>
          <w:i/>
          <w:spacing w:val="-10"/>
          <w:sz w:val="16"/>
        </w:rPr>
        <w:t> </w:t>
      </w:r>
      <w:r>
        <w:rPr>
          <w:i/>
          <w:sz w:val="16"/>
        </w:rPr>
        <w:t>Criminal</w:t>
      </w:r>
      <w:r>
        <w:rPr>
          <w:i/>
          <w:spacing w:val="-10"/>
          <w:sz w:val="16"/>
        </w:rPr>
        <w:t> </w:t>
      </w:r>
      <w:r>
        <w:rPr>
          <w:i/>
          <w:sz w:val="16"/>
        </w:rPr>
        <w:t>Court,</w:t>
      </w:r>
      <w:r>
        <w:rPr>
          <w:i/>
          <w:spacing w:val="-4"/>
          <w:sz w:val="16"/>
        </w:rPr>
        <w:t> </w:t>
      </w:r>
      <w:r>
        <w:rPr>
          <w:i/>
          <w:sz w:val="16"/>
        </w:rPr>
        <w:t>Eighth</w:t>
      </w:r>
      <w:r>
        <w:rPr>
          <w:i/>
          <w:spacing w:val="40"/>
          <w:sz w:val="16"/>
        </w:rPr>
        <w:t> </w:t>
      </w:r>
      <w:r>
        <w:rPr>
          <w:i/>
          <w:sz w:val="16"/>
        </w:rPr>
        <w:t>session, The Hague, 18-26 November 2009 </w:t>
      </w:r>
      <w:r>
        <w:rPr>
          <w:sz w:val="16"/>
        </w:rPr>
        <w:t>(ICC-ASP/8/20), vol. I, part II, ICC-ASP/8/Res.1.</w:t>
      </w:r>
    </w:p>
    <w:p>
      <w:pPr>
        <w:spacing w:before="3"/>
        <w:ind w:left="2246" w:right="2238" w:firstLine="0"/>
        <w:jc w:val="both"/>
        <w:rPr>
          <w:sz w:val="16"/>
        </w:rPr>
      </w:pPr>
      <w:r>
        <w:rPr>
          <w:position w:val="5"/>
          <w:sz w:val="10"/>
        </w:rPr>
        <w:t>145</w:t>
      </w:r>
      <w:r>
        <w:rPr>
          <w:spacing w:val="34"/>
          <w:position w:val="5"/>
          <w:sz w:val="10"/>
        </w:rPr>
        <w:t> </w:t>
      </w:r>
      <w:r>
        <w:rPr>
          <w:i/>
          <w:sz w:val="16"/>
        </w:rPr>
        <w:t>Official Records of the Assembly of States Parties to the Rome Statute of the International Criminal Court,</w:t>
      </w:r>
      <w:r>
        <w:rPr>
          <w:i/>
          <w:spacing w:val="40"/>
          <w:sz w:val="16"/>
        </w:rPr>
        <w:t> </w:t>
      </w:r>
      <w:r>
        <w:rPr>
          <w:i/>
          <w:sz w:val="16"/>
        </w:rPr>
        <w:t>Nineteenth session, (First and Second Resumptions), New York, 17-23 December 2020 and 12 February 2020,</w:t>
      </w:r>
      <w:r>
        <w:rPr>
          <w:i/>
          <w:spacing w:val="40"/>
          <w:sz w:val="16"/>
        </w:rPr>
        <w:t> </w:t>
      </w:r>
      <w:r>
        <w:rPr>
          <w:sz w:val="16"/>
        </w:rPr>
        <w:t>(ICC-ASP/19/20), vol. I, part III, ICC-ASP/19/Res.6, Annex II.</w:t>
      </w:r>
    </w:p>
    <w:p>
      <w:pPr>
        <w:spacing w:after="0"/>
        <w:jc w:val="both"/>
        <w:rPr>
          <w:sz w:val="16"/>
        </w:rPr>
        <w:sectPr>
          <w:headerReference w:type="even" r:id="rId129"/>
          <w:headerReference w:type="default" r:id="rId130"/>
          <w:footerReference w:type="even" r:id="rId131"/>
          <w:footerReference w:type="default" r:id="rId132"/>
          <w:pgSz w:w="11910" w:h="16840"/>
          <w:pgMar w:header="953" w:footer="940" w:top="1140" w:bottom="1140" w:left="20" w:right="20"/>
          <w:pgNumType w:start="184"/>
        </w:sectPr>
      </w:pPr>
    </w:p>
    <w:p>
      <w:pPr>
        <w:pStyle w:val="BodyText"/>
        <w:spacing w:before="120"/>
        <w:ind w:left="2246" w:right="2243"/>
        <w:jc w:val="both"/>
      </w:pPr>
      <w:r>
        <w:rPr/>
        <w:t>that the Senior</w:t>
      </w:r>
      <w:r>
        <w:rPr>
          <w:spacing w:val="-5"/>
        </w:rPr>
        <w:t> </w:t>
      </w:r>
      <w:r>
        <w:rPr/>
        <w:t>Investigator position be</w:t>
      </w:r>
      <w:r>
        <w:rPr>
          <w:spacing w:val="-3"/>
        </w:rPr>
        <w:t> </w:t>
      </w:r>
      <w:r>
        <w:rPr/>
        <w:t>converted from GTA</w:t>
      </w:r>
      <w:r>
        <w:rPr>
          <w:spacing w:val="-6"/>
        </w:rPr>
        <w:t> </w:t>
      </w:r>
      <w:r>
        <w:rPr/>
        <w:t>to an established post so</w:t>
      </w:r>
      <w:r>
        <w:rPr>
          <w:spacing w:val="-5"/>
        </w:rPr>
        <w:t> </w:t>
      </w:r>
      <w:r>
        <w:rPr/>
        <w:t>that it is regularized in the Court’s staffing structure. This conversion would be cost neutral.</w:t>
      </w:r>
    </w:p>
    <w:p>
      <w:pPr>
        <w:pStyle w:val="BodyText"/>
        <w:spacing w:before="11"/>
      </w:pPr>
    </w:p>
    <w:p>
      <w:pPr>
        <w:tabs>
          <w:tab w:pos="8282" w:val="left" w:leader="none"/>
        </w:tabs>
        <w:spacing w:before="0"/>
        <w:ind w:left="2246" w:right="0" w:firstLine="0"/>
        <w:jc w:val="both"/>
        <w:rPr>
          <w:i/>
          <w:sz w:val="20"/>
        </w:rPr>
      </w:pPr>
      <w:r>
        <w:rPr>
          <w:i/>
          <w:sz w:val="20"/>
        </w:rPr>
        <w:t>General</w:t>
      </w:r>
      <w:r>
        <w:rPr>
          <w:i/>
          <w:spacing w:val="-9"/>
          <w:sz w:val="20"/>
        </w:rPr>
        <w:t> </w:t>
      </w:r>
      <w:r>
        <w:rPr>
          <w:i/>
          <w:sz w:val="20"/>
        </w:rPr>
        <w:t>temporary</w:t>
      </w:r>
      <w:r>
        <w:rPr>
          <w:i/>
          <w:spacing w:val="-4"/>
          <w:sz w:val="20"/>
        </w:rPr>
        <w:t> </w:t>
      </w:r>
      <w:r>
        <w:rPr>
          <w:i/>
          <w:spacing w:val="-2"/>
          <w:sz w:val="20"/>
        </w:rPr>
        <w:t>assistance</w:t>
      </w:r>
      <w:r>
        <w:rPr>
          <w:i/>
          <w:sz w:val="20"/>
        </w:rPr>
        <w:tab/>
        <w:t>€137.1</w:t>
      </w:r>
      <w:r>
        <w:rPr>
          <w:i/>
          <w:spacing w:val="-3"/>
          <w:sz w:val="20"/>
        </w:rPr>
        <w:t> </w:t>
      </w:r>
      <w:r>
        <w:rPr>
          <w:i/>
          <w:spacing w:val="-2"/>
          <w:sz w:val="20"/>
        </w:rPr>
        <w:t>thousand</w:t>
      </w:r>
    </w:p>
    <w:p>
      <w:pPr>
        <w:pStyle w:val="BodyText"/>
        <w:spacing w:before="11"/>
        <w:rPr>
          <w:i/>
        </w:rPr>
      </w:pPr>
    </w:p>
    <w:p>
      <w:pPr>
        <w:pStyle w:val="ListParagraph"/>
        <w:numPr>
          <w:ilvl w:val="0"/>
          <w:numId w:val="4"/>
        </w:numPr>
        <w:tabs>
          <w:tab w:pos="2967" w:val="left" w:leader="none"/>
        </w:tabs>
        <w:spacing w:line="240" w:lineRule="auto" w:before="0" w:after="0"/>
        <w:ind w:left="2246" w:right="2238" w:firstLine="0"/>
        <w:jc w:val="both"/>
        <w:rPr>
          <w:sz w:val="20"/>
        </w:rPr>
      </w:pPr>
      <w:r>
        <w:rPr>
          <w:i/>
          <w:sz w:val="20"/>
        </w:rPr>
        <w:t>One Investigator, (P-3), 12 months. Continued. Multi-year. </w:t>
      </w:r>
      <w:r>
        <w:rPr>
          <w:sz w:val="20"/>
        </w:rPr>
        <w:t>In previous years, the IOM has faced significant challenges in handling its investigative caseload and responding to allegations in a timely manner, reflecting internationally recognized best practices. The Assembly acknowledged the challenges and granted the IOM an additional position of Investigator on a GTA basis for six months in 2022, to allow for the relevant recruitment. That recruitment has now been completed and the staff member started working with the IOM in July 2022. The investigative caseload is expected to continue in 2023 and the IOM therefore requests that this position be continued for 2023.</w:t>
      </w:r>
    </w:p>
    <w:p>
      <w:pPr>
        <w:pStyle w:val="ListParagraph"/>
        <w:numPr>
          <w:ilvl w:val="0"/>
          <w:numId w:val="4"/>
        </w:numPr>
        <w:tabs>
          <w:tab w:pos="2967" w:val="left" w:leader="none"/>
        </w:tabs>
        <w:spacing w:line="240" w:lineRule="auto" w:before="119" w:after="0"/>
        <w:ind w:left="2246" w:right="2238" w:firstLine="0"/>
        <w:jc w:val="both"/>
        <w:rPr>
          <w:sz w:val="20"/>
        </w:rPr>
      </w:pPr>
      <w:r>
        <w:rPr>
          <w:sz w:val="20"/>
        </w:rPr>
        <w:t>For the latter part of 2021 and the first months of 2022, the IOM had a P-3 level investigator on an STA basis, which allowed for two investigators to lead investigations independently, with the assistance and support of a junior colleague. The P-2 Associate Investigator will support both the P-4 Senior Investigator and the P-3 Investigator in all investigations</w:t>
      </w:r>
      <w:r>
        <w:rPr>
          <w:spacing w:val="-10"/>
          <w:sz w:val="20"/>
        </w:rPr>
        <w:t> </w:t>
      </w:r>
      <w:r>
        <w:rPr>
          <w:sz w:val="20"/>
        </w:rPr>
        <w:t>to</w:t>
      </w:r>
      <w:r>
        <w:rPr>
          <w:spacing w:val="-8"/>
          <w:sz w:val="20"/>
        </w:rPr>
        <w:t> </w:t>
      </w:r>
      <w:r>
        <w:rPr>
          <w:sz w:val="20"/>
        </w:rPr>
        <w:t>ensure</w:t>
      </w:r>
      <w:r>
        <w:rPr>
          <w:spacing w:val="-7"/>
          <w:sz w:val="20"/>
        </w:rPr>
        <w:t> </w:t>
      </w:r>
      <w:r>
        <w:rPr>
          <w:sz w:val="20"/>
        </w:rPr>
        <w:t>adherence</w:t>
      </w:r>
      <w:r>
        <w:rPr>
          <w:spacing w:val="-7"/>
          <w:sz w:val="20"/>
        </w:rPr>
        <w:t> </w:t>
      </w:r>
      <w:r>
        <w:rPr>
          <w:sz w:val="20"/>
        </w:rPr>
        <w:t>to</w:t>
      </w:r>
      <w:r>
        <w:rPr>
          <w:spacing w:val="-8"/>
          <w:sz w:val="20"/>
        </w:rPr>
        <w:t> </w:t>
      </w:r>
      <w:r>
        <w:rPr>
          <w:sz w:val="20"/>
        </w:rPr>
        <w:t>best</w:t>
      </w:r>
      <w:r>
        <w:rPr>
          <w:spacing w:val="-7"/>
          <w:sz w:val="20"/>
        </w:rPr>
        <w:t> </w:t>
      </w:r>
      <w:r>
        <w:rPr>
          <w:sz w:val="20"/>
        </w:rPr>
        <w:t>practices,</w:t>
      </w:r>
      <w:r>
        <w:rPr>
          <w:spacing w:val="-6"/>
          <w:sz w:val="20"/>
        </w:rPr>
        <w:t> </w:t>
      </w:r>
      <w:r>
        <w:rPr>
          <w:sz w:val="20"/>
        </w:rPr>
        <w:t>such</w:t>
      </w:r>
      <w:r>
        <w:rPr>
          <w:spacing w:val="-13"/>
          <w:sz w:val="20"/>
        </w:rPr>
        <w:t> </w:t>
      </w:r>
      <w:r>
        <w:rPr>
          <w:sz w:val="20"/>
        </w:rPr>
        <w:t>as</w:t>
      </w:r>
      <w:r>
        <w:rPr>
          <w:spacing w:val="-9"/>
          <w:sz w:val="20"/>
        </w:rPr>
        <w:t> </w:t>
      </w:r>
      <w:r>
        <w:rPr>
          <w:sz w:val="20"/>
        </w:rPr>
        <w:t>the</w:t>
      </w:r>
      <w:r>
        <w:rPr>
          <w:spacing w:val="-7"/>
          <w:sz w:val="20"/>
        </w:rPr>
        <w:t> </w:t>
      </w:r>
      <w:r>
        <w:rPr>
          <w:sz w:val="20"/>
        </w:rPr>
        <w:t>conduct</w:t>
      </w:r>
      <w:r>
        <w:rPr>
          <w:spacing w:val="-2"/>
          <w:sz w:val="20"/>
        </w:rPr>
        <w:t> </w:t>
      </w:r>
      <w:r>
        <w:rPr>
          <w:sz w:val="20"/>
        </w:rPr>
        <w:t>of</w:t>
      </w:r>
      <w:r>
        <w:rPr>
          <w:spacing w:val="-8"/>
          <w:sz w:val="20"/>
        </w:rPr>
        <w:t> </w:t>
      </w:r>
      <w:r>
        <w:rPr>
          <w:sz w:val="20"/>
        </w:rPr>
        <w:t>interviews</w:t>
      </w:r>
      <w:r>
        <w:rPr>
          <w:spacing w:val="-10"/>
          <w:sz w:val="20"/>
        </w:rPr>
        <w:t> </w:t>
      </w:r>
      <w:r>
        <w:rPr>
          <w:sz w:val="20"/>
        </w:rPr>
        <w:t>by</w:t>
      </w:r>
      <w:r>
        <w:rPr>
          <w:spacing w:val="-8"/>
          <w:sz w:val="20"/>
        </w:rPr>
        <w:t> </w:t>
      </w:r>
      <w:r>
        <w:rPr>
          <w:sz w:val="20"/>
        </w:rPr>
        <w:t>two professional</w:t>
      </w:r>
      <w:r>
        <w:rPr>
          <w:spacing w:val="18"/>
          <w:sz w:val="20"/>
        </w:rPr>
        <w:t> </w:t>
      </w:r>
      <w:r>
        <w:rPr>
          <w:sz w:val="20"/>
        </w:rPr>
        <w:t>staff.</w:t>
      </w:r>
      <w:r>
        <w:rPr>
          <w:spacing w:val="19"/>
          <w:sz w:val="20"/>
        </w:rPr>
        <w:t> </w:t>
      </w:r>
      <w:r>
        <w:rPr>
          <w:sz w:val="20"/>
        </w:rPr>
        <w:t>The</w:t>
      </w:r>
      <w:r>
        <w:rPr>
          <w:spacing w:val="18"/>
          <w:sz w:val="20"/>
        </w:rPr>
        <w:t> </w:t>
      </w:r>
      <w:r>
        <w:rPr>
          <w:sz w:val="20"/>
        </w:rPr>
        <w:t>IOM is also</w:t>
      </w:r>
      <w:r>
        <w:rPr>
          <w:spacing w:val="16"/>
          <w:sz w:val="20"/>
        </w:rPr>
        <w:t> </w:t>
      </w:r>
      <w:r>
        <w:rPr>
          <w:sz w:val="20"/>
        </w:rPr>
        <w:t>planning</w:t>
      </w:r>
      <w:r>
        <w:rPr>
          <w:spacing w:val="16"/>
          <w:sz w:val="20"/>
        </w:rPr>
        <w:t> </w:t>
      </w:r>
      <w:r>
        <w:rPr>
          <w:sz w:val="20"/>
        </w:rPr>
        <w:t>to conduct inspections in</w:t>
      </w:r>
      <w:r>
        <w:rPr>
          <w:spacing w:val="16"/>
          <w:sz w:val="20"/>
        </w:rPr>
        <w:t> </w:t>
      </w:r>
      <w:r>
        <w:rPr>
          <w:sz w:val="20"/>
        </w:rPr>
        <w:t>the country</w:t>
      </w:r>
      <w:r>
        <w:rPr>
          <w:spacing w:val="17"/>
          <w:sz w:val="20"/>
        </w:rPr>
        <w:t> </w:t>
      </w:r>
      <w:r>
        <w:rPr>
          <w:sz w:val="20"/>
        </w:rPr>
        <w:t>offices in</w:t>
      </w:r>
      <w:r>
        <w:rPr>
          <w:spacing w:val="-1"/>
          <w:sz w:val="20"/>
        </w:rPr>
        <w:t> </w:t>
      </w:r>
      <w:r>
        <w:rPr>
          <w:sz w:val="20"/>
        </w:rPr>
        <w:t>2023, which will also require these investigative resources. The IOM has been unable in recent years to carry out this function because of lack of resources.</w:t>
      </w:r>
    </w:p>
    <w:p>
      <w:pPr>
        <w:pStyle w:val="BodyText"/>
        <w:spacing w:before="2"/>
        <w:rPr>
          <w:sz w:val="21"/>
        </w:rPr>
      </w:pPr>
    </w:p>
    <w:p>
      <w:pPr>
        <w:pStyle w:val="Heading3"/>
        <w:tabs>
          <w:tab w:pos="8325" w:val="left" w:leader="none"/>
        </w:tabs>
        <w:spacing w:before="1"/>
        <w:jc w:val="both"/>
      </w:pPr>
      <w:r>
        <w:rPr/>
        <w:t>Non-staff</w:t>
      </w:r>
      <w:r>
        <w:rPr>
          <w:spacing w:val="-4"/>
        </w:rPr>
        <w:t> </w:t>
      </w:r>
      <w:r>
        <w:rPr>
          <w:spacing w:val="-2"/>
        </w:rPr>
        <w:t>resources</w:t>
      </w:r>
      <w:r>
        <w:rPr/>
        <w:tab/>
        <w:t>€90.5</w:t>
      </w:r>
      <w:r>
        <w:rPr>
          <w:spacing w:val="-3"/>
        </w:rPr>
        <w:t> </w:t>
      </w:r>
      <w:r>
        <w:rPr>
          <w:spacing w:val="-2"/>
        </w:rPr>
        <w:t>thousand</w:t>
      </w:r>
    </w:p>
    <w:p>
      <w:pPr>
        <w:pStyle w:val="BodyText"/>
        <w:rPr>
          <w:b/>
          <w:sz w:val="21"/>
        </w:rPr>
      </w:pPr>
    </w:p>
    <w:p>
      <w:pPr>
        <w:pStyle w:val="ListParagraph"/>
        <w:numPr>
          <w:ilvl w:val="0"/>
          <w:numId w:val="4"/>
        </w:numPr>
        <w:tabs>
          <w:tab w:pos="2967" w:val="left" w:leader="none"/>
        </w:tabs>
        <w:spacing w:line="237" w:lineRule="auto" w:before="0" w:after="0"/>
        <w:ind w:left="2246" w:right="2245" w:firstLine="0"/>
        <w:jc w:val="both"/>
        <w:rPr>
          <w:sz w:val="20"/>
        </w:rPr>
      </w:pPr>
      <w:r>
        <w:rPr>
          <w:sz w:val="20"/>
        </w:rPr>
        <w:t>The requested amount has increased by €21.9 thousand (31.9 per cent), mainly reflecting an increase in travel costs owing to the IOM’s intention to conduct inspections at the</w:t>
      </w:r>
      <w:r>
        <w:rPr>
          <w:spacing w:val="-13"/>
          <w:sz w:val="20"/>
        </w:rPr>
        <w:t> </w:t>
      </w:r>
      <w:r>
        <w:rPr>
          <w:sz w:val="20"/>
        </w:rPr>
        <w:t>Court’s</w:t>
      </w:r>
      <w:r>
        <w:rPr>
          <w:spacing w:val="-12"/>
          <w:sz w:val="20"/>
        </w:rPr>
        <w:t> </w:t>
      </w:r>
      <w:r>
        <w:rPr>
          <w:sz w:val="20"/>
        </w:rPr>
        <w:t>country</w:t>
      </w:r>
      <w:r>
        <w:rPr>
          <w:spacing w:val="-13"/>
          <w:sz w:val="20"/>
        </w:rPr>
        <w:t> </w:t>
      </w:r>
      <w:r>
        <w:rPr>
          <w:sz w:val="20"/>
        </w:rPr>
        <w:t>offices,</w:t>
      </w:r>
      <w:r>
        <w:rPr>
          <w:spacing w:val="-12"/>
          <w:sz w:val="20"/>
        </w:rPr>
        <w:t> </w:t>
      </w:r>
      <w:r>
        <w:rPr>
          <w:sz w:val="20"/>
        </w:rPr>
        <w:t>as</w:t>
      </w:r>
      <w:r>
        <w:rPr>
          <w:spacing w:val="-13"/>
          <w:sz w:val="20"/>
        </w:rPr>
        <w:t> </w:t>
      </w:r>
      <w:r>
        <w:rPr>
          <w:sz w:val="20"/>
        </w:rPr>
        <w:t>well</w:t>
      </w:r>
      <w:r>
        <w:rPr>
          <w:spacing w:val="-12"/>
          <w:sz w:val="20"/>
        </w:rPr>
        <w:t> </w:t>
      </w:r>
      <w:r>
        <w:rPr>
          <w:sz w:val="20"/>
        </w:rPr>
        <w:t>as</w:t>
      </w:r>
      <w:r>
        <w:rPr>
          <w:spacing w:val="-13"/>
          <w:sz w:val="20"/>
        </w:rPr>
        <w:t> </w:t>
      </w:r>
      <w:r>
        <w:rPr>
          <w:sz w:val="20"/>
        </w:rPr>
        <w:t>anticipated</w:t>
      </w:r>
      <w:r>
        <w:rPr>
          <w:spacing w:val="-12"/>
          <w:sz w:val="20"/>
        </w:rPr>
        <w:t> </w:t>
      </w:r>
      <w:r>
        <w:rPr>
          <w:sz w:val="20"/>
        </w:rPr>
        <w:t>work</w:t>
      </w:r>
      <w:r>
        <w:rPr>
          <w:spacing w:val="-9"/>
          <w:sz w:val="20"/>
        </w:rPr>
        <w:t> </w:t>
      </w:r>
      <w:r>
        <w:rPr>
          <w:sz w:val="20"/>
        </w:rPr>
        <w:t>on</w:t>
      </w:r>
      <w:r>
        <w:rPr>
          <w:spacing w:val="-13"/>
          <w:sz w:val="20"/>
        </w:rPr>
        <w:t> </w:t>
      </w:r>
      <w:r>
        <w:rPr>
          <w:sz w:val="20"/>
        </w:rPr>
        <w:t>a</w:t>
      </w:r>
      <w:r>
        <w:rPr>
          <w:spacing w:val="-8"/>
          <w:sz w:val="20"/>
        </w:rPr>
        <w:t> </w:t>
      </w:r>
      <w:r>
        <w:rPr>
          <w:sz w:val="20"/>
        </w:rPr>
        <w:t>due</w:t>
      </w:r>
      <w:r>
        <w:rPr>
          <w:spacing w:val="-8"/>
          <w:sz w:val="20"/>
        </w:rPr>
        <w:t> </w:t>
      </w:r>
      <w:r>
        <w:rPr>
          <w:sz w:val="20"/>
        </w:rPr>
        <w:t>diligence</w:t>
      </w:r>
      <w:r>
        <w:rPr>
          <w:spacing w:val="-8"/>
          <w:sz w:val="20"/>
        </w:rPr>
        <w:t> </w:t>
      </w:r>
      <w:r>
        <w:rPr>
          <w:sz w:val="20"/>
        </w:rPr>
        <w:t>process</w:t>
      </w:r>
      <w:r>
        <w:rPr>
          <w:spacing w:val="-13"/>
          <w:sz w:val="20"/>
        </w:rPr>
        <w:t> </w:t>
      </w:r>
      <w:r>
        <w:rPr>
          <w:sz w:val="20"/>
        </w:rPr>
        <w:t>for</w:t>
      </w:r>
      <w:r>
        <w:rPr>
          <w:spacing w:val="-12"/>
          <w:sz w:val="20"/>
        </w:rPr>
        <w:t> </w:t>
      </w:r>
      <w:r>
        <w:rPr>
          <w:sz w:val="20"/>
        </w:rPr>
        <w:t>judicial elections to be held at the twenty-second session of the Assembly in New York.</w:t>
      </w:r>
    </w:p>
    <w:p>
      <w:pPr>
        <w:pStyle w:val="BodyText"/>
        <w:spacing w:before="3"/>
        <w:rPr>
          <w:sz w:val="21"/>
        </w:rPr>
      </w:pPr>
    </w:p>
    <w:p>
      <w:pPr>
        <w:tabs>
          <w:tab w:pos="8383" w:val="left" w:leader="none"/>
        </w:tabs>
        <w:spacing w:before="0"/>
        <w:ind w:left="2246" w:right="0" w:firstLine="0"/>
        <w:jc w:val="both"/>
        <w:rPr>
          <w:i/>
          <w:sz w:val="20"/>
        </w:rPr>
      </w:pPr>
      <w:r>
        <w:rPr>
          <w:i/>
          <w:spacing w:val="-2"/>
          <w:sz w:val="20"/>
        </w:rPr>
        <w:t>Travel</w:t>
      </w:r>
      <w:r>
        <w:rPr>
          <w:i/>
          <w:sz w:val="20"/>
        </w:rPr>
        <w:tab/>
        <w:t>€38.9</w:t>
      </w:r>
      <w:r>
        <w:rPr>
          <w:i/>
          <w:spacing w:val="-3"/>
          <w:sz w:val="20"/>
        </w:rPr>
        <w:t> </w:t>
      </w:r>
      <w:r>
        <w:rPr>
          <w:i/>
          <w:spacing w:val="-2"/>
          <w:sz w:val="20"/>
        </w:rPr>
        <w:t>thousand</w:t>
      </w:r>
    </w:p>
    <w:p>
      <w:pPr>
        <w:pStyle w:val="BodyText"/>
        <w:spacing w:before="11"/>
        <w:rPr>
          <w:i/>
        </w:rPr>
      </w:pPr>
    </w:p>
    <w:p>
      <w:pPr>
        <w:pStyle w:val="ListParagraph"/>
        <w:numPr>
          <w:ilvl w:val="0"/>
          <w:numId w:val="4"/>
        </w:numPr>
        <w:tabs>
          <w:tab w:pos="2967" w:val="left" w:leader="none"/>
        </w:tabs>
        <w:spacing w:line="240" w:lineRule="auto" w:before="0" w:after="0"/>
        <w:ind w:left="2246" w:right="2241" w:firstLine="0"/>
        <w:jc w:val="both"/>
        <w:rPr>
          <w:sz w:val="20"/>
        </w:rPr>
      </w:pPr>
      <w:r>
        <w:rPr>
          <w:sz w:val="20"/>
        </w:rPr>
        <w:t>As</w:t>
      </w:r>
      <w:r>
        <w:rPr>
          <w:spacing w:val="-13"/>
          <w:sz w:val="20"/>
        </w:rPr>
        <w:t> </w:t>
      </w:r>
      <w:r>
        <w:rPr>
          <w:sz w:val="20"/>
        </w:rPr>
        <w:t>it</w:t>
      </w:r>
      <w:r>
        <w:rPr>
          <w:spacing w:val="-8"/>
          <w:sz w:val="20"/>
        </w:rPr>
        <w:t> </w:t>
      </w:r>
      <w:r>
        <w:rPr>
          <w:sz w:val="20"/>
        </w:rPr>
        <w:t>is</w:t>
      </w:r>
      <w:r>
        <w:rPr>
          <w:spacing w:val="-13"/>
          <w:sz w:val="20"/>
        </w:rPr>
        <w:t> </w:t>
      </w:r>
      <w:r>
        <w:rPr>
          <w:sz w:val="20"/>
        </w:rPr>
        <w:t>impossible</w:t>
      </w:r>
      <w:r>
        <w:rPr>
          <w:spacing w:val="-7"/>
          <w:sz w:val="20"/>
        </w:rPr>
        <w:t> </w:t>
      </w:r>
      <w:r>
        <w:rPr>
          <w:sz w:val="20"/>
        </w:rPr>
        <w:t>to</w:t>
      </w:r>
      <w:r>
        <w:rPr>
          <w:spacing w:val="-13"/>
          <w:sz w:val="20"/>
        </w:rPr>
        <w:t> </w:t>
      </w:r>
      <w:r>
        <w:rPr>
          <w:sz w:val="20"/>
        </w:rPr>
        <w:t>predict</w:t>
      </w:r>
      <w:r>
        <w:rPr>
          <w:spacing w:val="-7"/>
          <w:sz w:val="20"/>
        </w:rPr>
        <w:t> </w:t>
      </w:r>
      <w:r>
        <w:rPr>
          <w:sz w:val="20"/>
        </w:rPr>
        <w:t>where</w:t>
      </w:r>
      <w:r>
        <w:rPr>
          <w:spacing w:val="-12"/>
          <w:sz w:val="20"/>
        </w:rPr>
        <w:t> </w:t>
      </w:r>
      <w:r>
        <w:rPr>
          <w:sz w:val="20"/>
        </w:rPr>
        <w:t>or</w:t>
      </w:r>
      <w:r>
        <w:rPr>
          <w:spacing w:val="-8"/>
          <w:sz w:val="20"/>
        </w:rPr>
        <w:t> </w:t>
      </w:r>
      <w:r>
        <w:rPr>
          <w:sz w:val="20"/>
        </w:rPr>
        <w:t>how</w:t>
      </w:r>
      <w:r>
        <w:rPr>
          <w:spacing w:val="-13"/>
          <w:sz w:val="20"/>
        </w:rPr>
        <w:t> </w:t>
      </w:r>
      <w:r>
        <w:rPr>
          <w:sz w:val="20"/>
        </w:rPr>
        <w:t>many</w:t>
      </w:r>
      <w:r>
        <w:rPr>
          <w:spacing w:val="-8"/>
          <w:sz w:val="20"/>
        </w:rPr>
        <w:t> </w:t>
      </w:r>
      <w:r>
        <w:rPr>
          <w:sz w:val="20"/>
        </w:rPr>
        <w:t>investigations</w:t>
      </w:r>
      <w:r>
        <w:rPr>
          <w:spacing w:val="-10"/>
          <w:sz w:val="20"/>
        </w:rPr>
        <w:t> </w:t>
      </w:r>
      <w:r>
        <w:rPr>
          <w:sz w:val="20"/>
        </w:rPr>
        <w:t>will</w:t>
      </w:r>
      <w:r>
        <w:rPr>
          <w:spacing w:val="-12"/>
          <w:sz w:val="20"/>
        </w:rPr>
        <w:t> </w:t>
      </w:r>
      <w:r>
        <w:rPr>
          <w:sz w:val="20"/>
        </w:rPr>
        <w:t>arise</w:t>
      </w:r>
      <w:r>
        <w:rPr>
          <w:spacing w:val="-7"/>
          <w:sz w:val="20"/>
        </w:rPr>
        <w:t> </w:t>
      </w:r>
      <w:r>
        <w:rPr>
          <w:sz w:val="20"/>
        </w:rPr>
        <w:t>in</w:t>
      </w:r>
      <w:r>
        <w:rPr>
          <w:spacing w:val="-8"/>
          <w:sz w:val="20"/>
        </w:rPr>
        <w:t> </w:t>
      </w:r>
      <w:r>
        <w:rPr>
          <w:sz w:val="20"/>
        </w:rPr>
        <w:t>country offices, the request provides for one operational field mission directly supporting an investigation in the country offices. Last year, IOM received allegations relating to misconduct</w:t>
      </w:r>
      <w:r>
        <w:rPr>
          <w:spacing w:val="-13"/>
          <w:sz w:val="20"/>
        </w:rPr>
        <w:t> </w:t>
      </w:r>
      <w:r>
        <w:rPr>
          <w:sz w:val="20"/>
        </w:rPr>
        <w:t>in</w:t>
      </w:r>
      <w:r>
        <w:rPr>
          <w:spacing w:val="-12"/>
          <w:sz w:val="20"/>
        </w:rPr>
        <w:t> </w:t>
      </w:r>
      <w:r>
        <w:rPr>
          <w:sz w:val="20"/>
        </w:rPr>
        <w:t>the</w:t>
      </w:r>
      <w:r>
        <w:rPr>
          <w:spacing w:val="-13"/>
          <w:sz w:val="20"/>
        </w:rPr>
        <w:t> </w:t>
      </w:r>
      <w:r>
        <w:rPr>
          <w:sz w:val="20"/>
        </w:rPr>
        <w:t>country</w:t>
      </w:r>
      <w:r>
        <w:rPr>
          <w:spacing w:val="-12"/>
          <w:sz w:val="20"/>
        </w:rPr>
        <w:t> </w:t>
      </w:r>
      <w:r>
        <w:rPr>
          <w:sz w:val="20"/>
        </w:rPr>
        <w:t>offices,</w:t>
      </w:r>
      <w:r>
        <w:rPr>
          <w:spacing w:val="-13"/>
          <w:sz w:val="20"/>
        </w:rPr>
        <w:t> </w:t>
      </w:r>
      <w:r>
        <w:rPr>
          <w:sz w:val="20"/>
        </w:rPr>
        <w:t>and</w:t>
      </w:r>
      <w:r>
        <w:rPr>
          <w:spacing w:val="-12"/>
          <w:sz w:val="20"/>
        </w:rPr>
        <w:t> </w:t>
      </w:r>
      <w:r>
        <w:rPr>
          <w:sz w:val="20"/>
        </w:rPr>
        <w:t>had</w:t>
      </w:r>
      <w:r>
        <w:rPr>
          <w:spacing w:val="-13"/>
          <w:sz w:val="20"/>
        </w:rPr>
        <w:t> </w:t>
      </w:r>
      <w:r>
        <w:rPr>
          <w:sz w:val="20"/>
        </w:rPr>
        <w:t>to</w:t>
      </w:r>
      <w:r>
        <w:rPr>
          <w:spacing w:val="-12"/>
          <w:sz w:val="20"/>
        </w:rPr>
        <w:t> </w:t>
      </w:r>
      <w:r>
        <w:rPr>
          <w:sz w:val="20"/>
        </w:rPr>
        <w:t>secure</w:t>
      </w:r>
      <w:r>
        <w:rPr>
          <w:spacing w:val="-13"/>
          <w:sz w:val="20"/>
        </w:rPr>
        <w:t> </w:t>
      </w:r>
      <w:r>
        <w:rPr>
          <w:sz w:val="20"/>
        </w:rPr>
        <w:t>local</w:t>
      </w:r>
      <w:r>
        <w:rPr>
          <w:spacing w:val="-12"/>
          <w:sz w:val="20"/>
        </w:rPr>
        <w:t> </w:t>
      </w:r>
      <w:r>
        <w:rPr>
          <w:sz w:val="20"/>
        </w:rPr>
        <w:t>consultants</w:t>
      </w:r>
      <w:r>
        <w:rPr>
          <w:spacing w:val="-13"/>
          <w:sz w:val="20"/>
        </w:rPr>
        <w:t> </w:t>
      </w:r>
      <w:r>
        <w:rPr>
          <w:sz w:val="20"/>
        </w:rPr>
        <w:t>to</w:t>
      </w:r>
      <w:r>
        <w:rPr>
          <w:spacing w:val="-12"/>
          <w:sz w:val="20"/>
        </w:rPr>
        <w:t> </w:t>
      </w:r>
      <w:r>
        <w:rPr>
          <w:sz w:val="20"/>
        </w:rPr>
        <w:t>assist</w:t>
      </w:r>
      <w:r>
        <w:rPr>
          <w:spacing w:val="-13"/>
          <w:sz w:val="20"/>
        </w:rPr>
        <w:t> </w:t>
      </w:r>
      <w:r>
        <w:rPr>
          <w:sz w:val="20"/>
        </w:rPr>
        <w:t>in</w:t>
      </w:r>
      <w:r>
        <w:rPr>
          <w:spacing w:val="-12"/>
          <w:sz w:val="20"/>
        </w:rPr>
        <w:t> </w:t>
      </w:r>
      <w:r>
        <w:rPr>
          <w:sz w:val="20"/>
        </w:rPr>
        <w:t>investigating those</w:t>
      </w:r>
      <w:r>
        <w:rPr>
          <w:spacing w:val="22"/>
          <w:sz w:val="20"/>
        </w:rPr>
        <w:t> </w:t>
      </w:r>
      <w:r>
        <w:rPr>
          <w:sz w:val="20"/>
        </w:rPr>
        <w:t>allegations.</w:t>
      </w:r>
      <w:r>
        <w:rPr>
          <w:spacing w:val="27"/>
          <w:sz w:val="20"/>
        </w:rPr>
        <w:t> </w:t>
      </w:r>
      <w:r>
        <w:rPr>
          <w:sz w:val="20"/>
        </w:rPr>
        <w:t>Now</w:t>
      </w:r>
      <w:r>
        <w:rPr>
          <w:spacing w:val="24"/>
          <w:sz w:val="20"/>
        </w:rPr>
        <w:t> </w:t>
      </w:r>
      <w:r>
        <w:rPr>
          <w:sz w:val="20"/>
        </w:rPr>
        <w:t>that</w:t>
      </w:r>
      <w:r>
        <w:rPr>
          <w:spacing w:val="27"/>
          <w:sz w:val="20"/>
        </w:rPr>
        <w:t> </w:t>
      </w:r>
      <w:r>
        <w:rPr>
          <w:sz w:val="20"/>
        </w:rPr>
        <w:t>IOM</w:t>
      </w:r>
      <w:r>
        <w:rPr>
          <w:spacing w:val="19"/>
          <w:sz w:val="20"/>
        </w:rPr>
        <w:t> </w:t>
      </w:r>
      <w:r>
        <w:rPr>
          <w:sz w:val="20"/>
        </w:rPr>
        <w:t>investigative</w:t>
      </w:r>
      <w:r>
        <w:rPr>
          <w:spacing w:val="27"/>
          <w:sz w:val="20"/>
        </w:rPr>
        <w:t> </w:t>
      </w:r>
      <w:r>
        <w:rPr>
          <w:sz w:val="20"/>
        </w:rPr>
        <w:t>function</w:t>
      </w:r>
      <w:r>
        <w:rPr>
          <w:spacing w:val="20"/>
          <w:sz w:val="20"/>
        </w:rPr>
        <w:t> </w:t>
      </w:r>
      <w:r>
        <w:rPr>
          <w:sz w:val="20"/>
        </w:rPr>
        <w:t>is</w:t>
      </w:r>
      <w:r>
        <w:rPr>
          <w:spacing w:val="24"/>
          <w:sz w:val="20"/>
        </w:rPr>
        <w:t> </w:t>
      </w:r>
      <w:r>
        <w:rPr>
          <w:sz w:val="20"/>
        </w:rPr>
        <w:t>expected</w:t>
      </w:r>
      <w:r>
        <w:rPr>
          <w:spacing w:val="20"/>
          <w:sz w:val="20"/>
        </w:rPr>
        <w:t> </w:t>
      </w:r>
      <w:r>
        <w:rPr>
          <w:sz w:val="20"/>
        </w:rPr>
        <w:t>to</w:t>
      </w:r>
      <w:r>
        <w:rPr>
          <w:spacing w:val="25"/>
          <w:sz w:val="20"/>
        </w:rPr>
        <w:t> </w:t>
      </w:r>
      <w:r>
        <w:rPr>
          <w:sz w:val="20"/>
        </w:rPr>
        <w:t>be</w:t>
      </w:r>
      <w:r>
        <w:rPr>
          <w:spacing w:val="27"/>
          <w:sz w:val="20"/>
        </w:rPr>
        <w:t> </w:t>
      </w:r>
      <w:r>
        <w:rPr>
          <w:sz w:val="20"/>
        </w:rPr>
        <w:t>at</w:t>
      </w:r>
      <w:r>
        <w:rPr>
          <w:spacing w:val="27"/>
          <w:sz w:val="20"/>
        </w:rPr>
        <w:t> </w:t>
      </w:r>
      <w:r>
        <w:rPr>
          <w:sz w:val="20"/>
        </w:rPr>
        <w:t>full</w:t>
      </w:r>
      <w:r>
        <w:rPr>
          <w:spacing w:val="22"/>
          <w:sz w:val="20"/>
        </w:rPr>
        <w:t> </w:t>
      </w:r>
      <w:r>
        <w:rPr>
          <w:sz w:val="20"/>
        </w:rPr>
        <w:t>capacity in 2023, it will be able to carry out these investigations itself.</w:t>
      </w:r>
    </w:p>
    <w:p>
      <w:pPr>
        <w:pStyle w:val="ListParagraph"/>
        <w:numPr>
          <w:ilvl w:val="0"/>
          <w:numId w:val="4"/>
        </w:numPr>
        <w:tabs>
          <w:tab w:pos="2967" w:val="left" w:leader="none"/>
        </w:tabs>
        <w:spacing w:line="240" w:lineRule="auto" w:before="123" w:after="0"/>
        <w:ind w:left="2246" w:right="2252" w:firstLine="0"/>
        <w:jc w:val="both"/>
        <w:rPr>
          <w:sz w:val="20"/>
        </w:rPr>
      </w:pPr>
      <w:r>
        <w:rPr>
          <w:sz w:val="20"/>
        </w:rPr>
        <w:t>In</w:t>
      </w:r>
      <w:r>
        <w:rPr>
          <w:spacing w:val="-1"/>
          <w:sz w:val="20"/>
        </w:rPr>
        <w:t> </w:t>
      </w:r>
      <w:r>
        <w:rPr>
          <w:sz w:val="20"/>
        </w:rPr>
        <w:t>addition, if</w:t>
      </w:r>
      <w:r>
        <w:rPr>
          <w:spacing w:val="-5"/>
          <w:sz w:val="20"/>
        </w:rPr>
        <w:t> </w:t>
      </w:r>
      <w:r>
        <w:rPr>
          <w:sz w:val="20"/>
        </w:rPr>
        <w:t>the request is</w:t>
      </w:r>
      <w:r>
        <w:rPr>
          <w:spacing w:val="-6"/>
          <w:sz w:val="20"/>
        </w:rPr>
        <w:t> </w:t>
      </w:r>
      <w:r>
        <w:rPr>
          <w:sz w:val="20"/>
        </w:rPr>
        <w:t>granted,</w:t>
      </w:r>
      <w:r>
        <w:rPr>
          <w:spacing w:val="-3"/>
          <w:sz w:val="20"/>
        </w:rPr>
        <w:t> </w:t>
      </w:r>
      <w:r>
        <w:rPr>
          <w:sz w:val="20"/>
        </w:rPr>
        <w:t>the</w:t>
      </w:r>
      <w:r>
        <w:rPr>
          <w:spacing w:val="-4"/>
          <w:sz w:val="20"/>
        </w:rPr>
        <w:t> </w:t>
      </w:r>
      <w:r>
        <w:rPr>
          <w:sz w:val="20"/>
        </w:rPr>
        <w:t>IOM</w:t>
      </w:r>
      <w:r>
        <w:rPr>
          <w:spacing w:val="-2"/>
          <w:sz w:val="20"/>
        </w:rPr>
        <w:t> </w:t>
      </w:r>
      <w:r>
        <w:rPr>
          <w:sz w:val="20"/>
        </w:rPr>
        <w:t>will, with</w:t>
      </w:r>
      <w:r>
        <w:rPr>
          <w:spacing w:val="-5"/>
          <w:sz w:val="20"/>
        </w:rPr>
        <w:t> </w:t>
      </w:r>
      <w:r>
        <w:rPr>
          <w:sz w:val="20"/>
        </w:rPr>
        <w:t>a full complement of</w:t>
      </w:r>
      <w:r>
        <w:rPr>
          <w:spacing w:val="-5"/>
          <w:sz w:val="20"/>
        </w:rPr>
        <w:t> </w:t>
      </w:r>
      <w:r>
        <w:rPr>
          <w:sz w:val="20"/>
        </w:rPr>
        <w:t>staff, be able to carry out planned inspections in country offices.</w:t>
      </w:r>
    </w:p>
    <w:p>
      <w:pPr>
        <w:pStyle w:val="ListParagraph"/>
        <w:numPr>
          <w:ilvl w:val="0"/>
          <w:numId w:val="4"/>
        </w:numPr>
        <w:tabs>
          <w:tab w:pos="2967" w:val="left" w:leader="none"/>
        </w:tabs>
        <w:spacing w:line="240" w:lineRule="auto" w:before="116" w:after="0"/>
        <w:ind w:left="2246" w:right="2243" w:firstLine="0"/>
        <w:jc w:val="both"/>
        <w:rPr>
          <w:sz w:val="20"/>
        </w:rPr>
      </w:pPr>
      <w:r>
        <w:rPr>
          <w:sz w:val="20"/>
        </w:rPr>
        <w:t>The remainder of the request is for attending annual meetings with peers in evaluation</w:t>
      </w:r>
      <w:r>
        <w:rPr>
          <w:spacing w:val="-8"/>
          <w:sz w:val="20"/>
        </w:rPr>
        <w:t> </w:t>
      </w:r>
      <w:r>
        <w:rPr>
          <w:sz w:val="20"/>
        </w:rPr>
        <w:t>and</w:t>
      </w:r>
      <w:r>
        <w:rPr>
          <w:spacing w:val="-4"/>
          <w:sz w:val="20"/>
        </w:rPr>
        <w:t> </w:t>
      </w:r>
      <w:r>
        <w:rPr>
          <w:sz w:val="20"/>
        </w:rPr>
        <w:t>investigation</w:t>
      </w:r>
      <w:r>
        <w:rPr>
          <w:spacing w:val="-4"/>
          <w:sz w:val="20"/>
        </w:rPr>
        <w:t> </w:t>
      </w:r>
      <w:r>
        <w:rPr>
          <w:sz w:val="20"/>
        </w:rPr>
        <w:t>communities,</w:t>
      </w:r>
      <w:r>
        <w:rPr>
          <w:spacing w:val="-1"/>
          <w:sz w:val="20"/>
        </w:rPr>
        <w:t> </w:t>
      </w:r>
      <w:r>
        <w:rPr>
          <w:sz w:val="20"/>
        </w:rPr>
        <w:t>which</w:t>
      </w:r>
      <w:r>
        <w:rPr>
          <w:spacing w:val="-4"/>
          <w:sz w:val="20"/>
        </w:rPr>
        <w:t> </w:t>
      </w:r>
      <w:r>
        <w:rPr>
          <w:sz w:val="20"/>
        </w:rPr>
        <w:t>is</w:t>
      </w:r>
      <w:r>
        <w:rPr>
          <w:spacing w:val="-5"/>
          <w:sz w:val="20"/>
        </w:rPr>
        <w:t> </w:t>
      </w:r>
      <w:r>
        <w:rPr>
          <w:sz w:val="20"/>
        </w:rPr>
        <w:t>important</w:t>
      </w:r>
      <w:r>
        <w:rPr>
          <w:spacing w:val="-2"/>
          <w:sz w:val="20"/>
        </w:rPr>
        <w:t> </w:t>
      </w:r>
      <w:r>
        <w:rPr>
          <w:sz w:val="20"/>
        </w:rPr>
        <w:t>to</w:t>
      </w:r>
      <w:r>
        <w:rPr>
          <w:spacing w:val="-4"/>
          <w:sz w:val="20"/>
        </w:rPr>
        <w:t> </w:t>
      </w:r>
      <w:r>
        <w:rPr>
          <w:sz w:val="20"/>
        </w:rPr>
        <w:t>allow</w:t>
      </w:r>
      <w:r>
        <w:rPr>
          <w:spacing w:val="-5"/>
          <w:sz w:val="20"/>
        </w:rPr>
        <w:t> </w:t>
      </w:r>
      <w:r>
        <w:rPr>
          <w:sz w:val="20"/>
        </w:rPr>
        <w:t>the</w:t>
      </w:r>
      <w:r>
        <w:rPr>
          <w:spacing w:val="-2"/>
          <w:sz w:val="20"/>
        </w:rPr>
        <w:t> </w:t>
      </w:r>
      <w:r>
        <w:rPr>
          <w:sz w:val="20"/>
        </w:rPr>
        <w:t>IOM</w:t>
      </w:r>
      <w:r>
        <w:rPr>
          <w:spacing w:val="-5"/>
          <w:sz w:val="20"/>
        </w:rPr>
        <w:t> </w:t>
      </w:r>
      <w:r>
        <w:rPr>
          <w:sz w:val="20"/>
        </w:rPr>
        <w:t>to</w:t>
      </w:r>
      <w:r>
        <w:rPr>
          <w:spacing w:val="-4"/>
          <w:sz w:val="20"/>
        </w:rPr>
        <w:t> </w:t>
      </w:r>
      <w:r>
        <w:rPr>
          <w:sz w:val="20"/>
        </w:rPr>
        <w:t>exchange views</w:t>
      </w:r>
      <w:r>
        <w:rPr>
          <w:spacing w:val="-13"/>
          <w:sz w:val="20"/>
        </w:rPr>
        <w:t> </w:t>
      </w:r>
      <w:r>
        <w:rPr>
          <w:sz w:val="20"/>
        </w:rPr>
        <w:t>with</w:t>
      </w:r>
      <w:r>
        <w:rPr>
          <w:spacing w:val="-12"/>
          <w:sz w:val="20"/>
        </w:rPr>
        <w:t> </w:t>
      </w:r>
      <w:r>
        <w:rPr>
          <w:sz w:val="20"/>
        </w:rPr>
        <w:t>its</w:t>
      </w:r>
      <w:r>
        <w:rPr>
          <w:spacing w:val="-13"/>
          <w:sz w:val="20"/>
        </w:rPr>
        <w:t> </w:t>
      </w:r>
      <w:r>
        <w:rPr>
          <w:sz w:val="20"/>
        </w:rPr>
        <w:t>counterparts</w:t>
      </w:r>
      <w:r>
        <w:rPr>
          <w:spacing w:val="-12"/>
          <w:sz w:val="20"/>
        </w:rPr>
        <w:t> </w:t>
      </w:r>
      <w:r>
        <w:rPr>
          <w:sz w:val="20"/>
        </w:rPr>
        <w:t>in</w:t>
      </w:r>
      <w:r>
        <w:rPr>
          <w:spacing w:val="-13"/>
          <w:sz w:val="20"/>
        </w:rPr>
        <w:t> </w:t>
      </w:r>
      <w:r>
        <w:rPr>
          <w:sz w:val="20"/>
        </w:rPr>
        <w:t>the</w:t>
      </w:r>
      <w:r>
        <w:rPr>
          <w:spacing w:val="-12"/>
          <w:sz w:val="20"/>
        </w:rPr>
        <w:t> </w:t>
      </w:r>
      <w:r>
        <w:rPr>
          <w:sz w:val="20"/>
        </w:rPr>
        <w:t>United</w:t>
      </w:r>
      <w:r>
        <w:rPr>
          <w:spacing w:val="-13"/>
          <w:sz w:val="20"/>
        </w:rPr>
        <w:t> </w:t>
      </w:r>
      <w:r>
        <w:rPr>
          <w:sz w:val="20"/>
        </w:rPr>
        <w:t>Nations</w:t>
      </w:r>
      <w:r>
        <w:rPr>
          <w:spacing w:val="-12"/>
          <w:sz w:val="20"/>
        </w:rPr>
        <w:t> </w:t>
      </w:r>
      <w:r>
        <w:rPr>
          <w:sz w:val="20"/>
        </w:rPr>
        <w:t>systems</w:t>
      </w:r>
      <w:r>
        <w:rPr>
          <w:spacing w:val="-13"/>
          <w:sz w:val="20"/>
        </w:rPr>
        <w:t> </w:t>
      </w:r>
      <w:r>
        <w:rPr>
          <w:sz w:val="20"/>
        </w:rPr>
        <w:t>and</w:t>
      </w:r>
      <w:r>
        <w:rPr>
          <w:spacing w:val="-12"/>
          <w:sz w:val="20"/>
        </w:rPr>
        <w:t> </w:t>
      </w:r>
      <w:r>
        <w:rPr>
          <w:sz w:val="20"/>
        </w:rPr>
        <w:t>be</w:t>
      </w:r>
      <w:r>
        <w:rPr>
          <w:spacing w:val="-13"/>
          <w:sz w:val="20"/>
        </w:rPr>
        <w:t> </w:t>
      </w:r>
      <w:r>
        <w:rPr>
          <w:sz w:val="20"/>
        </w:rPr>
        <w:t>up-to-date</w:t>
      </w:r>
      <w:r>
        <w:rPr>
          <w:spacing w:val="-12"/>
          <w:sz w:val="20"/>
        </w:rPr>
        <w:t> </w:t>
      </w:r>
      <w:r>
        <w:rPr>
          <w:sz w:val="20"/>
        </w:rPr>
        <w:t>with</w:t>
      </w:r>
      <w:r>
        <w:rPr>
          <w:spacing w:val="-13"/>
          <w:sz w:val="20"/>
        </w:rPr>
        <w:t> </w:t>
      </w:r>
      <w:r>
        <w:rPr>
          <w:sz w:val="20"/>
        </w:rPr>
        <w:t>international best practices. It will also enable the Head, IOM to attend the session of the Assembly in New York.</w:t>
      </w:r>
    </w:p>
    <w:p>
      <w:pPr>
        <w:pStyle w:val="BodyText"/>
        <w:spacing w:before="1"/>
        <w:rPr>
          <w:sz w:val="21"/>
        </w:rPr>
      </w:pPr>
    </w:p>
    <w:p>
      <w:pPr>
        <w:tabs>
          <w:tab w:pos="8484" w:val="left" w:leader="none"/>
        </w:tabs>
        <w:spacing w:before="0"/>
        <w:ind w:left="2246" w:right="0" w:firstLine="0"/>
        <w:jc w:val="both"/>
        <w:rPr>
          <w:i/>
          <w:sz w:val="20"/>
        </w:rPr>
      </w:pPr>
      <w:r>
        <w:rPr>
          <w:i/>
          <w:sz w:val="20"/>
        </w:rPr>
        <w:t>Contractual</w:t>
      </w:r>
      <w:r>
        <w:rPr>
          <w:i/>
          <w:spacing w:val="-5"/>
          <w:sz w:val="20"/>
        </w:rPr>
        <w:t> </w:t>
      </w:r>
      <w:r>
        <w:rPr>
          <w:i/>
          <w:spacing w:val="-2"/>
          <w:sz w:val="20"/>
        </w:rPr>
        <w:t>Services</w:t>
      </w:r>
      <w:r>
        <w:rPr>
          <w:i/>
          <w:sz w:val="20"/>
        </w:rPr>
        <w:tab/>
        <w:t>€3.0</w:t>
      </w:r>
      <w:r>
        <w:rPr>
          <w:i/>
          <w:spacing w:val="-3"/>
          <w:sz w:val="20"/>
        </w:rPr>
        <w:t> </w:t>
      </w:r>
      <w:r>
        <w:rPr>
          <w:i/>
          <w:spacing w:val="-2"/>
          <w:sz w:val="20"/>
        </w:rPr>
        <w:t>thousand</w:t>
      </w:r>
    </w:p>
    <w:p>
      <w:pPr>
        <w:pStyle w:val="BodyText"/>
        <w:spacing w:before="10"/>
        <w:rPr>
          <w:i/>
        </w:rPr>
      </w:pPr>
    </w:p>
    <w:p>
      <w:pPr>
        <w:pStyle w:val="ListParagraph"/>
        <w:numPr>
          <w:ilvl w:val="0"/>
          <w:numId w:val="4"/>
        </w:numPr>
        <w:tabs>
          <w:tab w:pos="2967" w:val="left" w:leader="none"/>
        </w:tabs>
        <w:spacing w:line="240" w:lineRule="auto" w:before="1" w:after="0"/>
        <w:ind w:left="2246" w:right="2248" w:firstLine="0"/>
        <w:jc w:val="both"/>
        <w:rPr>
          <w:sz w:val="20"/>
        </w:rPr>
      </w:pPr>
      <w:r>
        <w:rPr>
          <w:sz w:val="20"/>
        </w:rPr>
        <w:t>This amount is required to provide transcription services to the IOM, to professionally and independently transcribe interviews in both English and French.</w:t>
      </w:r>
    </w:p>
    <w:p>
      <w:pPr>
        <w:pStyle w:val="BodyText"/>
        <w:spacing w:before="11"/>
      </w:pPr>
    </w:p>
    <w:p>
      <w:pPr>
        <w:tabs>
          <w:tab w:pos="8484" w:val="left" w:leader="none"/>
        </w:tabs>
        <w:spacing w:before="0"/>
        <w:ind w:left="2246" w:right="0" w:firstLine="0"/>
        <w:jc w:val="both"/>
        <w:rPr>
          <w:i/>
          <w:sz w:val="20"/>
        </w:rPr>
      </w:pPr>
      <w:r>
        <w:rPr>
          <w:i/>
          <w:spacing w:val="-2"/>
          <w:sz w:val="20"/>
        </w:rPr>
        <w:t>Training</w:t>
      </w:r>
      <w:r>
        <w:rPr>
          <w:i/>
          <w:sz w:val="20"/>
        </w:rPr>
        <w:tab/>
        <w:t>€7.6</w:t>
      </w:r>
      <w:r>
        <w:rPr>
          <w:i/>
          <w:spacing w:val="-3"/>
          <w:sz w:val="20"/>
        </w:rPr>
        <w:t> </w:t>
      </w:r>
      <w:r>
        <w:rPr>
          <w:i/>
          <w:spacing w:val="-2"/>
          <w:sz w:val="20"/>
        </w:rPr>
        <w:t>thousand</w:t>
      </w:r>
    </w:p>
    <w:p>
      <w:pPr>
        <w:pStyle w:val="BodyText"/>
        <w:spacing w:before="10"/>
        <w:rPr>
          <w:i/>
        </w:rPr>
      </w:pPr>
    </w:p>
    <w:p>
      <w:pPr>
        <w:pStyle w:val="ListParagraph"/>
        <w:numPr>
          <w:ilvl w:val="0"/>
          <w:numId w:val="4"/>
        </w:numPr>
        <w:tabs>
          <w:tab w:pos="2967" w:val="left" w:leader="none"/>
        </w:tabs>
        <w:spacing w:line="240" w:lineRule="auto" w:before="0" w:after="0"/>
        <w:ind w:left="2246" w:right="2242" w:firstLine="0"/>
        <w:jc w:val="both"/>
        <w:rPr>
          <w:sz w:val="20"/>
        </w:rPr>
      </w:pPr>
      <w:r>
        <w:rPr>
          <w:sz w:val="20"/>
        </w:rPr>
        <w:t>The requested amount is required for the IOM’s staff members to participate in training programmes to maintain their substantive skills, to ensure that they are conversant with international best practice in their areas of expertise, and to assist in maintaining their relevant professional</w:t>
      </w:r>
      <w:r>
        <w:rPr>
          <w:spacing w:val="-2"/>
          <w:sz w:val="20"/>
        </w:rPr>
        <w:t> </w:t>
      </w:r>
      <w:r>
        <w:rPr>
          <w:sz w:val="20"/>
        </w:rPr>
        <w:t>qualifications.</w:t>
      </w:r>
      <w:r>
        <w:rPr>
          <w:spacing w:val="-1"/>
          <w:sz w:val="20"/>
        </w:rPr>
        <w:t> </w:t>
      </w:r>
      <w:r>
        <w:rPr>
          <w:sz w:val="20"/>
        </w:rPr>
        <w:t>These</w:t>
      </w:r>
      <w:r>
        <w:rPr>
          <w:spacing w:val="-2"/>
          <w:sz w:val="20"/>
        </w:rPr>
        <w:t> </w:t>
      </w:r>
      <w:r>
        <w:rPr>
          <w:sz w:val="20"/>
        </w:rPr>
        <w:t>training programmes would</w:t>
      </w:r>
      <w:r>
        <w:rPr>
          <w:spacing w:val="-4"/>
          <w:sz w:val="20"/>
        </w:rPr>
        <w:t> </w:t>
      </w:r>
      <w:r>
        <w:rPr>
          <w:sz w:val="20"/>
        </w:rPr>
        <w:t>most</w:t>
      </w:r>
      <w:r>
        <w:rPr>
          <w:spacing w:val="-2"/>
          <w:sz w:val="20"/>
        </w:rPr>
        <w:t> </w:t>
      </w:r>
      <w:r>
        <w:rPr>
          <w:sz w:val="20"/>
        </w:rPr>
        <w:t>likely</w:t>
      </w:r>
      <w:r>
        <w:rPr>
          <w:spacing w:val="-4"/>
          <w:sz w:val="20"/>
        </w:rPr>
        <w:t> </w:t>
      </w:r>
      <w:r>
        <w:rPr>
          <w:sz w:val="20"/>
        </w:rPr>
        <w:t>be</w:t>
      </w:r>
      <w:r>
        <w:rPr>
          <w:spacing w:val="-2"/>
          <w:sz w:val="20"/>
        </w:rPr>
        <w:t> </w:t>
      </w:r>
      <w:r>
        <w:rPr>
          <w:sz w:val="20"/>
        </w:rPr>
        <w:t>either conducted online or provided free of charge by other international or United Nations </w:t>
      </w:r>
      <w:r>
        <w:rPr>
          <w:spacing w:val="-2"/>
          <w:sz w:val="20"/>
        </w:rPr>
        <w:t>organizations.</w:t>
      </w:r>
    </w:p>
    <w:p>
      <w:pPr>
        <w:spacing w:after="0" w:line="240" w:lineRule="auto"/>
        <w:jc w:val="both"/>
        <w:rPr>
          <w:sz w:val="20"/>
        </w:rPr>
        <w:sectPr>
          <w:pgSz w:w="11910" w:h="16840"/>
          <w:pgMar w:header="957" w:footer="940" w:top="1140" w:bottom="1140" w:left="20" w:right="20"/>
        </w:sectPr>
      </w:pPr>
    </w:p>
    <w:p>
      <w:pPr>
        <w:tabs>
          <w:tab w:pos="8383" w:val="left" w:leader="none"/>
        </w:tabs>
        <w:spacing w:before="124"/>
        <w:ind w:left="2246" w:right="0" w:firstLine="0"/>
        <w:jc w:val="both"/>
        <w:rPr>
          <w:i/>
          <w:sz w:val="20"/>
        </w:rPr>
      </w:pPr>
      <w:r>
        <w:rPr>
          <w:i/>
          <w:spacing w:val="-2"/>
          <w:sz w:val="20"/>
        </w:rPr>
        <w:t>Consultants</w:t>
      </w:r>
      <w:r>
        <w:rPr>
          <w:i/>
          <w:sz w:val="20"/>
        </w:rPr>
        <w:tab/>
        <w:t>€40.0</w:t>
      </w:r>
      <w:r>
        <w:rPr>
          <w:i/>
          <w:spacing w:val="-3"/>
          <w:sz w:val="20"/>
        </w:rPr>
        <w:t> </w:t>
      </w:r>
      <w:r>
        <w:rPr>
          <w:i/>
          <w:spacing w:val="-2"/>
          <w:sz w:val="20"/>
        </w:rPr>
        <w:t>thousand</w:t>
      </w:r>
    </w:p>
    <w:p>
      <w:pPr>
        <w:pStyle w:val="BodyText"/>
        <w:spacing w:before="11"/>
        <w:rPr>
          <w:i/>
        </w:rPr>
      </w:pPr>
    </w:p>
    <w:p>
      <w:pPr>
        <w:pStyle w:val="ListParagraph"/>
        <w:numPr>
          <w:ilvl w:val="0"/>
          <w:numId w:val="4"/>
        </w:numPr>
        <w:tabs>
          <w:tab w:pos="2967" w:val="left" w:leader="none"/>
        </w:tabs>
        <w:spacing w:line="240" w:lineRule="auto" w:before="0" w:after="0"/>
        <w:ind w:left="2246" w:right="2241" w:firstLine="0"/>
        <w:jc w:val="both"/>
        <w:rPr>
          <w:sz w:val="20"/>
        </w:rPr>
      </w:pPr>
      <w:r>
        <w:rPr>
          <w:sz w:val="20"/>
        </w:rPr>
        <w:t>This</w:t>
      </w:r>
      <w:r>
        <w:rPr>
          <w:spacing w:val="40"/>
          <w:sz w:val="20"/>
        </w:rPr>
        <w:t> </w:t>
      </w:r>
      <w:r>
        <w:rPr>
          <w:sz w:val="20"/>
        </w:rPr>
        <w:t>amount</w:t>
      </w:r>
      <w:r>
        <w:rPr>
          <w:spacing w:val="40"/>
          <w:sz w:val="20"/>
        </w:rPr>
        <w:t> </w:t>
      </w:r>
      <w:r>
        <w:rPr>
          <w:sz w:val="20"/>
        </w:rPr>
        <w:t>mainly</w:t>
      </w:r>
      <w:r>
        <w:rPr>
          <w:spacing w:val="40"/>
          <w:sz w:val="20"/>
        </w:rPr>
        <w:t> </w:t>
      </w:r>
      <w:r>
        <w:rPr>
          <w:sz w:val="20"/>
        </w:rPr>
        <w:t>constitutes</w:t>
      </w:r>
      <w:r>
        <w:rPr>
          <w:spacing w:val="40"/>
          <w:sz w:val="20"/>
        </w:rPr>
        <w:t> </w:t>
      </w:r>
      <w:r>
        <w:rPr>
          <w:sz w:val="20"/>
        </w:rPr>
        <w:t>the</w:t>
      </w:r>
      <w:r>
        <w:rPr>
          <w:spacing w:val="40"/>
          <w:sz w:val="20"/>
        </w:rPr>
        <w:t> </w:t>
      </w:r>
      <w:r>
        <w:rPr>
          <w:sz w:val="20"/>
        </w:rPr>
        <w:t>cost</w:t>
      </w:r>
      <w:r>
        <w:rPr>
          <w:spacing w:val="40"/>
          <w:sz w:val="20"/>
        </w:rPr>
        <w:t> </w:t>
      </w:r>
      <w:r>
        <w:rPr>
          <w:sz w:val="20"/>
        </w:rPr>
        <w:t>of</w:t>
      </w:r>
      <w:r>
        <w:rPr>
          <w:spacing w:val="40"/>
          <w:sz w:val="20"/>
        </w:rPr>
        <w:t> </w:t>
      </w:r>
      <w:r>
        <w:rPr>
          <w:sz w:val="20"/>
        </w:rPr>
        <w:t>engaging</w:t>
      </w:r>
      <w:r>
        <w:rPr>
          <w:spacing w:val="40"/>
          <w:sz w:val="20"/>
        </w:rPr>
        <w:t> </w:t>
      </w:r>
      <w:r>
        <w:rPr>
          <w:sz w:val="20"/>
        </w:rPr>
        <w:t>an</w:t>
      </w:r>
      <w:r>
        <w:rPr>
          <w:spacing w:val="40"/>
          <w:sz w:val="20"/>
        </w:rPr>
        <w:t> </w:t>
      </w:r>
      <w:r>
        <w:rPr>
          <w:sz w:val="20"/>
        </w:rPr>
        <w:t>external</w:t>
      </w:r>
      <w:r>
        <w:rPr>
          <w:spacing w:val="40"/>
          <w:sz w:val="20"/>
        </w:rPr>
        <w:t> </w:t>
      </w:r>
      <w:r>
        <w:rPr>
          <w:sz w:val="20"/>
        </w:rPr>
        <w:t>consultant (€30.0</w:t>
      </w:r>
      <w:r>
        <w:rPr>
          <w:spacing w:val="-3"/>
          <w:sz w:val="20"/>
        </w:rPr>
        <w:t> </w:t>
      </w:r>
      <w:r>
        <w:rPr>
          <w:sz w:val="20"/>
        </w:rPr>
        <w:t>thousand) to support the IOM in conducting an anticipated due diligence process for judicial</w:t>
      </w:r>
      <w:r>
        <w:rPr>
          <w:spacing w:val="-6"/>
          <w:sz w:val="20"/>
        </w:rPr>
        <w:t> </w:t>
      </w:r>
      <w:r>
        <w:rPr>
          <w:sz w:val="20"/>
        </w:rPr>
        <w:t>elections.</w:t>
      </w:r>
      <w:r>
        <w:rPr>
          <w:spacing w:val="-6"/>
          <w:sz w:val="20"/>
        </w:rPr>
        <w:t> </w:t>
      </w:r>
      <w:r>
        <w:rPr>
          <w:sz w:val="20"/>
        </w:rPr>
        <w:t>In</w:t>
      </w:r>
      <w:r>
        <w:rPr>
          <w:spacing w:val="-8"/>
          <w:sz w:val="20"/>
        </w:rPr>
        <w:t> </w:t>
      </w:r>
      <w:r>
        <w:rPr>
          <w:sz w:val="20"/>
        </w:rPr>
        <w:t>both</w:t>
      </w:r>
      <w:r>
        <w:rPr>
          <w:spacing w:val="-8"/>
          <w:sz w:val="20"/>
        </w:rPr>
        <w:t> </w:t>
      </w:r>
      <w:r>
        <w:rPr>
          <w:sz w:val="20"/>
        </w:rPr>
        <w:t>2021</w:t>
      </w:r>
      <w:r>
        <w:rPr>
          <w:spacing w:val="-8"/>
          <w:sz w:val="20"/>
        </w:rPr>
        <w:t> </w:t>
      </w:r>
      <w:r>
        <w:rPr>
          <w:sz w:val="20"/>
        </w:rPr>
        <w:t>and</w:t>
      </w:r>
      <w:r>
        <w:rPr>
          <w:spacing w:val="-8"/>
          <w:sz w:val="20"/>
        </w:rPr>
        <w:t> </w:t>
      </w:r>
      <w:r>
        <w:rPr>
          <w:sz w:val="20"/>
        </w:rPr>
        <w:t>2022,</w:t>
      </w:r>
      <w:r>
        <w:rPr>
          <w:spacing w:val="-6"/>
          <w:sz w:val="20"/>
        </w:rPr>
        <w:t> </w:t>
      </w:r>
      <w:r>
        <w:rPr>
          <w:sz w:val="20"/>
        </w:rPr>
        <w:t>the</w:t>
      </w:r>
      <w:r>
        <w:rPr>
          <w:spacing w:val="-7"/>
          <w:sz w:val="20"/>
        </w:rPr>
        <w:t> </w:t>
      </w:r>
      <w:r>
        <w:rPr>
          <w:sz w:val="20"/>
        </w:rPr>
        <w:t>IOM</w:t>
      </w:r>
      <w:r>
        <w:rPr>
          <w:spacing w:val="-10"/>
          <w:sz w:val="20"/>
        </w:rPr>
        <w:t> </w:t>
      </w:r>
      <w:r>
        <w:rPr>
          <w:sz w:val="20"/>
        </w:rPr>
        <w:t>was</w:t>
      </w:r>
      <w:r>
        <w:rPr>
          <w:spacing w:val="-10"/>
          <w:sz w:val="20"/>
        </w:rPr>
        <w:t> </w:t>
      </w:r>
      <w:r>
        <w:rPr>
          <w:sz w:val="20"/>
        </w:rPr>
        <w:t>asked</w:t>
      </w:r>
      <w:r>
        <w:rPr>
          <w:spacing w:val="-13"/>
          <w:sz w:val="20"/>
        </w:rPr>
        <w:t> </w:t>
      </w:r>
      <w:r>
        <w:rPr>
          <w:sz w:val="20"/>
        </w:rPr>
        <w:t>by</w:t>
      </w:r>
      <w:r>
        <w:rPr>
          <w:spacing w:val="-3"/>
          <w:sz w:val="20"/>
        </w:rPr>
        <w:t> </w:t>
      </w:r>
      <w:r>
        <w:rPr>
          <w:sz w:val="20"/>
        </w:rPr>
        <w:t>the</w:t>
      </w:r>
      <w:r>
        <w:rPr>
          <w:spacing w:val="-7"/>
          <w:sz w:val="20"/>
        </w:rPr>
        <w:t> </w:t>
      </w:r>
      <w:r>
        <w:rPr>
          <w:sz w:val="20"/>
        </w:rPr>
        <w:t>Bureau</w:t>
      </w:r>
      <w:r>
        <w:rPr>
          <w:spacing w:val="-4"/>
          <w:sz w:val="20"/>
        </w:rPr>
        <w:t> </w:t>
      </w:r>
      <w:r>
        <w:rPr>
          <w:sz w:val="20"/>
        </w:rPr>
        <w:t>of</w:t>
      </w:r>
      <w:r>
        <w:rPr>
          <w:spacing w:val="-13"/>
          <w:sz w:val="20"/>
        </w:rPr>
        <w:t> </w:t>
      </w:r>
      <w:r>
        <w:rPr>
          <w:sz w:val="20"/>
        </w:rPr>
        <w:t>the</w:t>
      </w:r>
      <w:r>
        <w:rPr>
          <w:spacing w:val="-6"/>
          <w:sz w:val="20"/>
        </w:rPr>
        <w:t> </w:t>
      </w:r>
      <w:r>
        <w:rPr>
          <w:sz w:val="20"/>
        </w:rPr>
        <w:t>Assembly to provide support in conducting due diligence processes for candidates for Deputy Prosecutor</w:t>
      </w:r>
      <w:r>
        <w:rPr>
          <w:spacing w:val="-5"/>
          <w:sz w:val="20"/>
        </w:rPr>
        <w:t> </w:t>
      </w:r>
      <w:r>
        <w:rPr>
          <w:sz w:val="20"/>
        </w:rPr>
        <w:t>and</w:t>
      </w:r>
      <w:r>
        <w:rPr>
          <w:spacing w:val="-5"/>
          <w:sz w:val="20"/>
        </w:rPr>
        <w:t> </w:t>
      </w:r>
      <w:r>
        <w:rPr>
          <w:sz w:val="20"/>
        </w:rPr>
        <w:t>Registrar,</w:t>
      </w:r>
      <w:r>
        <w:rPr>
          <w:spacing w:val="-2"/>
          <w:sz w:val="20"/>
        </w:rPr>
        <w:t> </w:t>
      </w:r>
      <w:r>
        <w:rPr>
          <w:sz w:val="20"/>
        </w:rPr>
        <w:t>respectively.</w:t>
      </w:r>
      <w:r>
        <w:rPr>
          <w:spacing w:val="-2"/>
          <w:sz w:val="20"/>
        </w:rPr>
        <w:t> </w:t>
      </w:r>
      <w:r>
        <w:rPr>
          <w:sz w:val="20"/>
        </w:rPr>
        <w:t>It</w:t>
      </w:r>
      <w:r>
        <w:rPr>
          <w:spacing w:val="-3"/>
          <w:sz w:val="20"/>
        </w:rPr>
        <w:t> </w:t>
      </w:r>
      <w:r>
        <w:rPr>
          <w:sz w:val="20"/>
        </w:rPr>
        <w:t>appears</w:t>
      </w:r>
      <w:r>
        <w:rPr>
          <w:spacing w:val="-6"/>
          <w:sz w:val="20"/>
        </w:rPr>
        <w:t> </w:t>
      </w:r>
      <w:r>
        <w:rPr>
          <w:sz w:val="20"/>
        </w:rPr>
        <w:t>that</w:t>
      </w:r>
      <w:r>
        <w:rPr>
          <w:spacing w:val="-3"/>
          <w:sz w:val="20"/>
        </w:rPr>
        <w:t> </w:t>
      </w:r>
      <w:r>
        <w:rPr>
          <w:sz w:val="20"/>
        </w:rPr>
        <w:t>the IOM</w:t>
      </w:r>
      <w:r>
        <w:rPr>
          <w:spacing w:val="-1"/>
          <w:sz w:val="20"/>
        </w:rPr>
        <w:t> </w:t>
      </w:r>
      <w:r>
        <w:rPr>
          <w:sz w:val="20"/>
        </w:rPr>
        <w:t>may</w:t>
      </w:r>
      <w:r>
        <w:rPr>
          <w:spacing w:val="-5"/>
          <w:sz w:val="20"/>
        </w:rPr>
        <w:t> </w:t>
      </w:r>
      <w:r>
        <w:rPr>
          <w:sz w:val="20"/>
        </w:rPr>
        <w:t>also be</w:t>
      </w:r>
      <w:r>
        <w:rPr>
          <w:spacing w:val="-3"/>
          <w:sz w:val="20"/>
        </w:rPr>
        <w:t> </w:t>
      </w:r>
      <w:r>
        <w:rPr>
          <w:sz w:val="20"/>
        </w:rPr>
        <w:t>asked</w:t>
      </w:r>
      <w:r>
        <w:rPr>
          <w:spacing w:val="-5"/>
          <w:sz w:val="20"/>
        </w:rPr>
        <w:t> </w:t>
      </w:r>
      <w:r>
        <w:rPr>
          <w:sz w:val="20"/>
        </w:rPr>
        <w:t>to</w:t>
      </w:r>
      <w:r>
        <w:rPr>
          <w:spacing w:val="-5"/>
          <w:sz w:val="20"/>
        </w:rPr>
        <w:t> </w:t>
      </w:r>
      <w:r>
        <w:rPr>
          <w:sz w:val="20"/>
        </w:rPr>
        <w:t>support the process for the election of six judges. For previous elections, the IOM absorbed this additional</w:t>
      </w:r>
      <w:r>
        <w:rPr>
          <w:spacing w:val="-8"/>
          <w:sz w:val="20"/>
        </w:rPr>
        <w:t> </w:t>
      </w:r>
      <w:r>
        <w:rPr>
          <w:sz w:val="20"/>
        </w:rPr>
        <w:t>work</w:t>
      </w:r>
      <w:r>
        <w:rPr>
          <w:spacing w:val="-5"/>
          <w:sz w:val="20"/>
        </w:rPr>
        <w:t> </w:t>
      </w:r>
      <w:r>
        <w:rPr>
          <w:sz w:val="20"/>
        </w:rPr>
        <w:t>within</w:t>
      </w:r>
      <w:r>
        <w:rPr>
          <w:spacing w:val="-9"/>
          <w:sz w:val="20"/>
        </w:rPr>
        <w:t> </w:t>
      </w:r>
      <w:r>
        <w:rPr>
          <w:sz w:val="20"/>
        </w:rPr>
        <w:t>its</w:t>
      </w:r>
      <w:r>
        <w:rPr>
          <w:spacing w:val="-11"/>
          <w:sz w:val="20"/>
        </w:rPr>
        <w:t> </w:t>
      </w:r>
      <w:r>
        <w:rPr>
          <w:sz w:val="20"/>
        </w:rPr>
        <w:t>existing</w:t>
      </w:r>
      <w:r>
        <w:rPr>
          <w:spacing w:val="-9"/>
          <w:sz w:val="20"/>
        </w:rPr>
        <w:t> </w:t>
      </w:r>
      <w:r>
        <w:rPr>
          <w:sz w:val="20"/>
        </w:rPr>
        <w:t>resources,</w:t>
      </w:r>
      <w:r>
        <w:rPr>
          <w:spacing w:val="-7"/>
          <w:sz w:val="20"/>
        </w:rPr>
        <w:t> </w:t>
      </w:r>
      <w:r>
        <w:rPr>
          <w:sz w:val="20"/>
        </w:rPr>
        <w:t>thus</w:t>
      </w:r>
      <w:r>
        <w:rPr>
          <w:spacing w:val="-11"/>
          <w:sz w:val="20"/>
        </w:rPr>
        <w:t> </w:t>
      </w:r>
      <w:r>
        <w:rPr>
          <w:sz w:val="20"/>
        </w:rPr>
        <w:t>stretching</w:t>
      </w:r>
      <w:r>
        <w:rPr>
          <w:spacing w:val="-9"/>
          <w:sz w:val="20"/>
        </w:rPr>
        <w:t> </w:t>
      </w:r>
      <w:r>
        <w:rPr>
          <w:sz w:val="20"/>
        </w:rPr>
        <w:t>its</w:t>
      </w:r>
      <w:r>
        <w:rPr>
          <w:spacing w:val="-11"/>
          <w:sz w:val="20"/>
        </w:rPr>
        <w:t> </w:t>
      </w:r>
      <w:r>
        <w:rPr>
          <w:sz w:val="20"/>
        </w:rPr>
        <w:t>already</w:t>
      </w:r>
      <w:r>
        <w:rPr>
          <w:spacing w:val="-13"/>
          <w:sz w:val="20"/>
        </w:rPr>
        <w:t> </w:t>
      </w:r>
      <w:r>
        <w:rPr>
          <w:sz w:val="20"/>
        </w:rPr>
        <w:t>limited</w:t>
      </w:r>
      <w:r>
        <w:rPr>
          <w:spacing w:val="-8"/>
          <w:sz w:val="20"/>
        </w:rPr>
        <w:t> </w:t>
      </w:r>
      <w:r>
        <w:rPr>
          <w:sz w:val="20"/>
        </w:rPr>
        <w:t>resources.</w:t>
      </w:r>
      <w:r>
        <w:rPr>
          <w:spacing w:val="-7"/>
          <w:sz w:val="20"/>
        </w:rPr>
        <w:t> </w:t>
      </w:r>
      <w:r>
        <w:rPr>
          <w:sz w:val="20"/>
        </w:rPr>
        <w:t>As things</w:t>
      </w:r>
      <w:r>
        <w:rPr>
          <w:spacing w:val="-5"/>
          <w:sz w:val="20"/>
        </w:rPr>
        <w:t> </w:t>
      </w:r>
      <w:r>
        <w:rPr>
          <w:sz w:val="20"/>
        </w:rPr>
        <w:t>stand,</w:t>
      </w:r>
      <w:r>
        <w:rPr>
          <w:spacing w:val="-1"/>
          <w:sz w:val="20"/>
        </w:rPr>
        <w:t> </w:t>
      </w:r>
      <w:r>
        <w:rPr>
          <w:sz w:val="20"/>
        </w:rPr>
        <w:t>the</w:t>
      </w:r>
      <w:r>
        <w:rPr>
          <w:spacing w:val="-2"/>
          <w:sz w:val="20"/>
        </w:rPr>
        <w:t> </w:t>
      </w:r>
      <w:r>
        <w:rPr>
          <w:sz w:val="20"/>
        </w:rPr>
        <w:t>IOM</w:t>
      </w:r>
      <w:r>
        <w:rPr>
          <w:spacing w:val="-5"/>
          <w:sz w:val="20"/>
        </w:rPr>
        <w:t> </w:t>
      </w:r>
      <w:r>
        <w:rPr>
          <w:sz w:val="20"/>
        </w:rPr>
        <w:t>will</w:t>
      </w:r>
      <w:r>
        <w:rPr>
          <w:spacing w:val="-2"/>
          <w:sz w:val="20"/>
        </w:rPr>
        <w:t> </w:t>
      </w:r>
      <w:r>
        <w:rPr>
          <w:sz w:val="20"/>
        </w:rPr>
        <w:t>not</w:t>
      </w:r>
      <w:r>
        <w:rPr>
          <w:spacing w:val="-2"/>
          <w:sz w:val="20"/>
        </w:rPr>
        <w:t> </w:t>
      </w:r>
      <w:r>
        <w:rPr>
          <w:sz w:val="20"/>
        </w:rPr>
        <w:t>be</w:t>
      </w:r>
      <w:r>
        <w:rPr>
          <w:spacing w:val="-2"/>
          <w:sz w:val="20"/>
        </w:rPr>
        <w:t> </w:t>
      </w:r>
      <w:r>
        <w:rPr>
          <w:sz w:val="20"/>
        </w:rPr>
        <w:t>able</w:t>
      </w:r>
      <w:r>
        <w:rPr>
          <w:spacing w:val="-2"/>
          <w:sz w:val="20"/>
        </w:rPr>
        <w:t> </w:t>
      </w:r>
      <w:r>
        <w:rPr>
          <w:sz w:val="20"/>
        </w:rPr>
        <w:t>to</w:t>
      </w:r>
      <w:r>
        <w:rPr>
          <w:spacing w:val="-4"/>
          <w:sz w:val="20"/>
        </w:rPr>
        <w:t> </w:t>
      </w:r>
      <w:r>
        <w:rPr>
          <w:sz w:val="20"/>
        </w:rPr>
        <w:t>absorb</w:t>
      </w:r>
      <w:r>
        <w:rPr>
          <w:spacing w:val="-4"/>
          <w:sz w:val="20"/>
        </w:rPr>
        <w:t> </w:t>
      </w:r>
      <w:r>
        <w:rPr>
          <w:sz w:val="20"/>
        </w:rPr>
        <w:t>the</w:t>
      </w:r>
      <w:r>
        <w:rPr>
          <w:spacing w:val="-2"/>
          <w:sz w:val="20"/>
        </w:rPr>
        <w:t> </w:t>
      </w:r>
      <w:r>
        <w:rPr>
          <w:sz w:val="20"/>
        </w:rPr>
        <w:t>cost</w:t>
      </w:r>
      <w:r>
        <w:rPr>
          <w:spacing w:val="-2"/>
          <w:sz w:val="20"/>
        </w:rPr>
        <w:t> </w:t>
      </w:r>
      <w:r>
        <w:rPr>
          <w:sz w:val="20"/>
        </w:rPr>
        <w:t>of</w:t>
      </w:r>
      <w:r>
        <w:rPr>
          <w:spacing w:val="-4"/>
          <w:sz w:val="20"/>
        </w:rPr>
        <w:t> </w:t>
      </w:r>
      <w:r>
        <w:rPr>
          <w:sz w:val="20"/>
        </w:rPr>
        <w:t>such a</w:t>
      </w:r>
      <w:r>
        <w:rPr>
          <w:spacing w:val="-2"/>
          <w:sz w:val="20"/>
        </w:rPr>
        <w:t> </w:t>
      </w:r>
      <w:r>
        <w:rPr>
          <w:sz w:val="20"/>
        </w:rPr>
        <w:t>process</w:t>
      </w:r>
      <w:r>
        <w:rPr>
          <w:spacing w:val="-5"/>
          <w:sz w:val="20"/>
        </w:rPr>
        <w:t> </w:t>
      </w:r>
      <w:r>
        <w:rPr>
          <w:sz w:val="20"/>
        </w:rPr>
        <w:t>for</w:t>
      </w:r>
      <w:r>
        <w:rPr>
          <w:spacing w:val="-4"/>
          <w:sz w:val="20"/>
        </w:rPr>
        <w:t> </w:t>
      </w:r>
      <w:r>
        <w:rPr>
          <w:sz w:val="20"/>
        </w:rPr>
        <w:t>the</w:t>
      </w:r>
      <w:r>
        <w:rPr>
          <w:spacing w:val="-2"/>
          <w:sz w:val="20"/>
        </w:rPr>
        <w:t> </w:t>
      </w:r>
      <w:r>
        <w:rPr>
          <w:sz w:val="20"/>
        </w:rPr>
        <w:t>election</w:t>
      </w:r>
      <w:r>
        <w:rPr>
          <w:spacing w:val="-4"/>
          <w:sz w:val="20"/>
        </w:rPr>
        <w:t> </w:t>
      </w:r>
      <w:r>
        <w:rPr>
          <w:sz w:val="20"/>
        </w:rPr>
        <w:t>of six judges. While no final decision has yet been taken in this respect, the IOM wants to ensure,</w:t>
      </w:r>
      <w:r>
        <w:rPr>
          <w:spacing w:val="-1"/>
          <w:sz w:val="20"/>
        </w:rPr>
        <w:t> </w:t>
      </w:r>
      <w:r>
        <w:rPr>
          <w:sz w:val="20"/>
        </w:rPr>
        <w:t>through</w:t>
      </w:r>
      <w:r>
        <w:rPr>
          <w:spacing w:val="-4"/>
          <w:sz w:val="20"/>
        </w:rPr>
        <w:t> </w:t>
      </w:r>
      <w:r>
        <w:rPr>
          <w:sz w:val="20"/>
        </w:rPr>
        <w:t>this</w:t>
      </w:r>
      <w:r>
        <w:rPr>
          <w:spacing w:val="-5"/>
          <w:sz w:val="20"/>
        </w:rPr>
        <w:t> </w:t>
      </w:r>
      <w:r>
        <w:rPr>
          <w:sz w:val="20"/>
        </w:rPr>
        <w:t>request,</w:t>
      </w:r>
      <w:r>
        <w:rPr>
          <w:spacing w:val="-1"/>
          <w:sz w:val="20"/>
        </w:rPr>
        <w:t> </w:t>
      </w:r>
      <w:r>
        <w:rPr>
          <w:sz w:val="20"/>
        </w:rPr>
        <w:t>that</w:t>
      </w:r>
      <w:r>
        <w:rPr>
          <w:spacing w:val="-2"/>
          <w:sz w:val="20"/>
        </w:rPr>
        <w:t> </w:t>
      </w:r>
      <w:r>
        <w:rPr>
          <w:sz w:val="20"/>
        </w:rPr>
        <w:t>the</w:t>
      </w:r>
      <w:r>
        <w:rPr>
          <w:spacing w:val="-2"/>
          <w:sz w:val="20"/>
        </w:rPr>
        <w:t> </w:t>
      </w:r>
      <w:r>
        <w:rPr>
          <w:sz w:val="20"/>
        </w:rPr>
        <w:t>Assembly</w:t>
      </w:r>
      <w:r>
        <w:rPr>
          <w:spacing w:val="-8"/>
          <w:sz w:val="20"/>
        </w:rPr>
        <w:t> </w:t>
      </w:r>
      <w:r>
        <w:rPr>
          <w:sz w:val="20"/>
        </w:rPr>
        <w:t>is</w:t>
      </w:r>
      <w:r>
        <w:rPr>
          <w:spacing w:val="-5"/>
          <w:sz w:val="20"/>
        </w:rPr>
        <w:t> </w:t>
      </w:r>
      <w:r>
        <w:rPr>
          <w:sz w:val="20"/>
        </w:rPr>
        <w:t>aware</w:t>
      </w:r>
      <w:r>
        <w:rPr>
          <w:spacing w:val="-2"/>
          <w:sz w:val="20"/>
        </w:rPr>
        <w:t> </w:t>
      </w:r>
      <w:r>
        <w:rPr>
          <w:sz w:val="20"/>
        </w:rPr>
        <w:t>of</w:t>
      </w:r>
      <w:r>
        <w:rPr>
          <w:spacing w:val="-4"/>
          <w:sz w:val="20"/>
        </w:rPr>
        <w:t> </w:t>
      </w:r>
      <w:r>
        <w:rPr>
          <w:sz w:val="20"/>
        </w:rPr>
        <w:t>the</w:t>
      </w:r>
      <w:r>
        <w:rPr>
          <w:spacing w:val="-2"/>
          <w:sz w:val="20"/>
        </w:rPr>
        <w:t> </w:t>
      </w:r>
      <w:r>
        <w:rPr>
          <w:sz w:val="20"/>
        </w:rPr>
        <w:t>needs of</w:t>
      </w:r>
      <w:r>
        <w:rPr>
          <w:spacing w:val="-4"/>
          <w:sz w:val="20"/>
        </w:rPr>
        <w:t> </w:t>
      </w:r>
      <w:r>
        <w:rPr>
          <w:sz w:val="20"/>
        </w:rPr>
        <w:t>the</w:t>
      </w:r>
      <w:r>
        <w:rPr>
          <w:spacing w:val="-2"/>
          <w:sz w:val="20"/>
        </w:rPr>
        <w:t> </w:t>
      </w:r>
      <w:r>
        <w:rPr>
          <w:sz w:val="20"/>
        </w:rPr>
        <w:t>IOM</w:t>
      </w:r>
      <w:r>
        <w:rPr>
          <w:spacing w:val="-5"/>
          <w:sz w:val="20"/>
        </w:rPr>
        <w:t> </w:t>
      </w:r>
      <w:r>
        <w:rPr>
          <w:sz w:val="20"/>
        </w:rPr>
        <w:t>if</w:t>
      </w:r>
      <w:r>
        <w:rPr>
          <w:spacing w:val="-4"/>
          <w:sz w:val="20"/>
        </w:rPr>
        <w:t> </w:t>
      </w:r>
      <w:r>
        <w:rPr>
          <w:sz w:val="20"/>
        </w:rPr>
        <w:t>it</w:t>
      </w:r>
      <w:r>
        <w:rPr>
          <w:spacing w:val="-7"/>
          <w:sz w:val="20"/>
        </w:rPr>
        <w:t> </w:t>
      </w:r>
      <w:r>
        <w:rPr>
          <w:sz w:val="20"/>
        </w:rPr>
        <w:t>is</w:t>
      </w:r>
      <w:r>
        <w:rPr>
          <w:spacing w:val="-5"/>
          <w:sz w:val="20"/>
        </w:rPr>
        <w:t> </w:t>
      </w:r>
      <w:r>
        <w:rPr>
          <w:sz w:val="20"/>
        </w:rPr>
        <w:t>to</w:t>
      </w:r>
      <w:r>
        <w:rPr>
          <w:spacing w:val="-4"/>
          <w:sz w:val="20"/>
        </w:rPr>
        <w:t> </w:t>
      </w:r>
      <w:r>
        <w:rPr>
          <w:sz w:val="20"/>
        </w:rPr>
        <w:t>be asked</w:t>
      </w:r>
      <w:r>
        <w:rPr>
          <w:spacing w:val="-3"/>
          <w:sz w:val="20"/>
        </w:rPr>
        <w:t> </w:t>
      </w:r>
      <w:r>
        <w:rPr>
          <w:sz w:val="20"/>
        </w:rPr>
        <w:t>to</w:t>
      </w:r>
      <w:r>
        <w:rPr>
          <w:spacing w:val="-7"/>
          <w:sz w:val="20"/>
        </w:rPr>
        <w:t> </w:t>
      </w:r>
      <w:r>
        <w:rPr>
          <w:sz w:val="20"/>
        </w:rPr>
        <w:t>contribute</w:t>
      </w:r>
      <w:r>
        <w:rPr>
          <w:spacing w:val="-6"/>
          <w:sz w:val="20"/>
        </w:rPr>
        <w:t> </w:t>
      </w:r>
      <w:r>
        <w:rPr>
          <w:sz w:val="20"/>
        </w:rPr>
        <w:t>to</w:t>
      </w:r>
      <w:r>
        <w:rPr>
          <w:spacing w:val="-3"/>
          <w:sz w:val="20"/>
        </w:rPr>
        <w:t> </w:t>
      </w:r>
      <w:r>
        <w:rPr>
          <w:sz w:val="20"/>
        </w:rPr>
        <w:t>this</w:t>
      </w:r>
      <w:r>
        <w:rPr>
          <w:spacing w:val="-4"/>
          <w:sz w:val="20"/>
        </w:rPr>
        <w:t> </w:t>
      </w:r>
      <w:r>
        <w:rPr>
          <w:sz w:val="20"/>
        </w:rPr>
        <w:t>process. Should</w:t>
      </w:r>
      <w:r>
        <w:rPr>
          <w:spacing w:val="-7"/>
          <w:sz w:val="20"/>
        </w:rPr>
        <w:t> </w:t>
      </w:r>
      <w:r>
        <w:rPr>
          <w:sz w:val="20"/>
        </w:rPr>
        <w:t>the</w:t>
      </w:r>
      <w:r>
        <w:rPr>
          <w:spacing w:val="-1"/>
          <w:sz w:val="20"/>
        </w:rPr>
        <w:t> </w:t>
      </w:r>
      <w:r>
        <w:rPr>
          <w:sz w:val="20"/>
        </w:rPr>
        <w:t>Assembly</w:t>
      </w:r>
      <w:r>
        <w:rPr>
          <w:spacing w:val="-3"/>
          <w:sz w:val="20"/>
        </w:rPr>
        <w:t> </w:t>
      </w:r>
      <w:r>
        <w:rPr>
          <w:sz w:val="20"/>
        </w:rPr>
        <w:t>decide</w:t>
      </w:r>
      <w:r>
        <w:rPr>
          <w:spacing w:val="-1"/>
          <w:sz w:val="20"/>
        </w:rPr>
        <w:t> </w:t>
      </w:r>
      <w:r>
        <w:rPr>
          <w:sz w:val="20"/>
        </w:rPr>
        <w:t>not</w:t>
      </w:r>
      <w:r>
        <w:rPr>
          <w:spacing w:val="-1"/>
          <w:sz w:val="20"/>
        </w:rPr>
        <w:t> </w:t>
      </w:r>
      <w:r>
        <w:rPr>
          <w:sz w:val="20"/>
        </w:rPr>
        <w:t>to</w:t>
      </w:r>
      <w:r>
        <w:rPr>
          <w:spacing w:val="-3"/>
          <w:sz w:val="20"/>
        </w:rPr>
        <w:t> </w:t>
      </w:r>
      <w:r>
        <w:rPr>
          <w:sz w:val="20"/>
        </w:rPr>
        <w:t>involve</w:t>
      </w:r>
      <w:r>
        <w:rPr>
          <w:spacing w:val="-6"/>
          <w:sz w:val="20"/>
        </w:rPr>
        <w:t> </w:t>
      </w:r>
      <w:r>
        <w:rPr>
          <w:sz w:val="20"/>
        </w:rPr>
        <w:t>the</w:t>
      </w:r>
      <w:r>
        <w:rPr>
          <w:spacing w:val="-1"/>
          <w:sz w:val="20"/>
        </w:rPr>
        <w:t> </w:t>
      </w:r>
      <w:r>
        <w:rPr>
          <w:sz w:val="20"/>
        </w:rPr>
        <w:t>IOM, this amount will not be necessary.</w:t>
      </w:r>
    </w:p>
    <w:p>
      <w:pPr>
        <w:pStyle w:val="ListParagraph"/>
        <w:numPr>
          <w:ilvl w:val="0"/>
          <w:numId w:val="4"/>
        </w:numPr>
        <w:tabs>
          <w:tab w:pos="2967" w:val="left" w:leader="none"/>
        </w:tabs>
        <w:spacing w:line="240" w:lineRule="auto" w:before="121" w:after="0"/>
        <w:ind w:left="2246" w:right="2244" w:firstLine="0"/>
        <w:jc w:val="both"/>
        <w:rPr>
          <w:sz w:val="20"/>
        </w:rPr>
      </w:pPr>
      <w:r>
        <w:rPr>
          <w:sz w:val="20"/>
        </w:rPr>
        <w:t>The</w:t>
      </w:r>
      <w:r>
        <w:rPr>
          <w:spacing w:val="-13"/>
          <w:sz w:val="20"/>
        </w:rPr>
        <w:t> </w:t>
      </w:r>
      <w:r>
        <w:rPr>
          <w:sz w:val="20"/>
        </w:rPr>
        <w:t>remaining</w:t>
      </w:r>
      <w:r>
        <w:rPr>
          <w:spacing w:val="-12"/>
          <w:sz w:val="20"/>
        </w:rPr>
        <w:t> </w:t>
      </w:r>
      <w:r>
        <w:rPr>
          <w:sz w:val="20"/>
        </w:rPr>
        <w:t>amount</w:t>
      </w:r>
      <w:r>
        <w:rPr>
          <w:spacing w:val="-13"/>
          <w:sz w:val="20"/>
        </w:rPr>
        <w:t> </w:t>
      </w:r>
      <w:r>
        <w:rPr>
          <w:sz w:val="20"/>
        </w:rPr>
        <w:t>(€10.0</w:t>
      </w:r>
      <w:r>
        <w:rPr>
          <w:spacing w:val="-12"/>
          <w:sz w:val="20"/>
        </w:rPr>
        <w:t> </w:t>
      </w:r>
      <w:r>
        <w:rPr>
          <w:sz w:val="20"/>
        </w:rPr>
        <w:t>thousand)</w:t>
      </w:r>
      <w:r>
        <w:rPr>
          <w:spacing w:val="-13"/>
          <w:sz w:val="20"/>
        </w:rPr>
        <w:t> </w:t>
      </w:r>
      <w:r>
        <w:rPr>
          <w:sz w:val="20"/>
        </w:rPr>
        <w:t>is</w:t>
      </w:r>
      <w:r>
        <w:rPr>
          <w:spacing w:val="-12"/>
          <w:sz w:val="20"/>
        </w:rPr>
        <w:t> </w:t>
      </w:r>
      <w:r>
        <w:rPr>
          <w:sz w:val="20"/>
        </w:rPr>
        <w:t>necessary</w:t>
      </w:r>
      <w:r>
        <w:rPr>
          <w:spacing w:val="-13"/>
          <w:sz w:val="20"/>
        </w:rPr>
        <w:t> </w:t>
      </w:r>
      <w:r>
        <w:rPr>
          <w:sz w:val="20"/>
        </w:rPr>
        <w:t>for</w:t>
      </w:r>
      <w:r>
        <w:rPr>
          <w:spacing w:val="-12"/>
          <w:sz w:val="20"/>
        </w:rPr>
        <w:t> </w:t>
      </w:r>
      <w:r>
        <w:rPr>
          <w:sz w:val="20"/>
        </w:rPr>
        <w:t>the</w:t>
      </w:r>
      <w:r>
        <w:rPr>
          <w:spacing w:val="-13"/>
          <w:sz w:val="20"/>
        </w:rPr>
        <w:t> </w:t>
      </w:r>
      <w:r>
        <w:rPr>
          <w:sz w:val="20"/>
        </w:rPr>
        <w:t>IOM</w:t>
      </w:r>
      <w:r>
        <w:rPr>
          <w:spacing w:val="-12"/>
          <w:sz w:val="20"/>
        </w:rPr>
        <w:t> </w:t>
      </w:r>
      <w:r>
        <w:rPr>
          <w:sz w:val="20"/>
        </w:rPr>
        <w:t>to</w:t>
      </w:r>
      <w:r>
        <w:rPr>
          <w:spacing w:val="-13"/>
          <w:sz w:val="20"/>
        </w:rPr>
        <w:t> </w:t>
      </w:r>
      <w:r>
        <w:rPr>
          <w:sz w:val="20"/>
        </w:rPr>
        <w:t>be</w:t>
      </w:r>
      <w:r>
        <w:rPr>
          <w:spacing w:val="-12"/>
          <w:sz w:val="20"/>
        </w:rPr>
        <w:t> </w:t>
      </w:r>
      <w:r>
        <w:rPr>
          <w:sz w:val="20"/>
        </w:rPr>
        <w:t>able</w:t>
      </w:r>
      <w:r>
        <w:rPr>
          <w:spacing w:val="-12"/>
          <w:sz w:val="20"/>
        </w:rPr>
        <w:t> </w:t>
      </w:r>
      <w:r>
        <w:rPr>
          <w:sz w:val="20"/>
        </w:rPr>
        <w:t>to</w:t>
      </w:r>
      <w:r>
        <w:rPr>
          <w:spacing w:val="-12"/>
          <w:sz w:val="20"/>
        </w:rPr>
        <w:t> </w:t>
      </w:r>
      <w:r>
        <w:rPr>
          <w:sz w:val="20"/>
        </w:rPr>
        <w:t>retain experts with specific expertise for any investigations or evaluations that it may have to conduct</w:t>
      </w:r>
      <w:r>
        <w:rPr>
          <w:spacing w:val="-2"/>
          <w:sz w:val="20"/>
        </w:rPr>
        <w:t> </w:t>
      </w:r>
      <w:r>
        <w:rPr>
          <w:sz w:val="20"/>
        </w:rPr>
        <w:t>in 2023.</w:t>
      </w:r>
      <w:r>
        <w:rPr>
          <w:spacing w:val="-1"/>
          <w:sz w:val="20"/>
        </w:rPr>
        <w:t> </w:t>
      </w:r>
      <w:r>
        <w:rPr>
          <w:sz w:val="20"/>
        </w:rPr>
        <w:t>While the evaluation</w:t>
      </w:r>
      <w:r>
        <w:rPr>
          <w:spacing w:val="-4"/>
          <w:sz w:val="20"/>
        </w:rPr>
        <w:t> </w:t>
      </w:r>
      <w:r>
        <w:rPr>
          <w:sz w:val="20"/>
        </w:rPr>
        <w:t>topics for 2023</w:t>
      </w:r>
      <w:r>
        <w:rPr>
          <w:spacing w:val="-4"/>
          <w:sz w:val="20"/>
        </w:rPr>
        <w:t> </w:t>
      </w:r>
      <w:r>
        <w:rPr>
          <w:sz w:val="20"/>
        </w:rPr>
        <w:t>have</w:t>
      </w:r>
      <w:r>
        <w:rPr>
          <w:spacing w:val="-2"/>
          <w:sz w:val="20"/>
        </w:rPr>
        <w:t> </w:t>
      </w:r>
      <w:r>
        <w:rPr>
          <w:sz w:val="20"/>
        </w:rPr>
        <w:t>not yet been</w:t>
      </w:r>
      <w:r>
        <w:rPr>
          <w:spacing w:val="-4"/>
          <w:sz w:val="20"/>
        </w:rPr>
        <w:t> </w:t>
      </w:r>
      <w:r>
        <w:rPr>
          <w:sz w:val="20"/>
        </w:rPr>
        <w:t>decided, given</w:t>
      </w:r>
      <w:r>
        <w:rPr>
          <w:spacing w:val="-4"/>
          <w:sz w:val="20"/>
        </w:rPr>
        <w:t> </w:t>
      </w:r>
      <w:r>
        <w:rPr>
          <w:sz w:val="20"/>
        </w:rPr>
        <w:t>that the IOM has only one staff member working full time on evaluations, it is anticipated that the services of an evaluation consultant will be needed.</w:t>
      </w:r>
    </w:p>
    <w:p>
      <w:pPr>
        <w:pStyle w:val="BodyText"/>
        <w:spacing w:before="1"/>
        <w:rPr>
          <w:sz w:val="21"/>
        </w:rPr>
      </w:pPr>
    </w:p>
    <w:p>
      <w:pPr>
        <w:tabs>
          <w:tab w:pos="8484" w:val="left" w:leader="none"/>
        </w:tabs>
        <w:spacing w:before="0"/>
        <w:ind w:left="2246" w:right="0" w:firstLine="0"/>
        <w:jc w:val="both"/>
        <w:rPr>
          <w:i/>
          <w:sz w:val="20"/>
        </w:rPr>
      </w:pPr>
      <w:r>
        <w:rPr>
          <w:i/>
          <w:sz w:val="20"/>
        </w:rPr>
        <w:t>Furniture</w:t>
      </w:r>
      <w:r>
        <w:rPr>
          <w:i/>
          <w:spacing w:val="-5"/>
          <w:sz w:val="20"/>
        </w:rPr>
        <w:t> </w:t>
      </w:r>
      <w:r>
        <w:rPr>
          <w:i/>
          <w:sz w:val="20"/>
        </w:rPr>
        <w:t>and</w:t>
      </w:r>
      <w:r>
        <w:rPr>
          <w:i/>
          <w:spacing w:val="-5"/>
          <w:sz w:val="20"/>
        </w:rPr>
        <w:t> </w:t>
      </w:r>
      <w:r>
        <w:rPr>
          <w:i/>
          <w:spacing w:val="-2"/>
          <w:sz w:val="20"/>
        </w:rPr>
        <w:t>Equipment</w:t>
      </w:r>
      <w:r>
        <w:rPr>
          <w:i/>
          <w:sz w:val="20"/>
        </w:rPr>
        <w:tab/>
        <w:t>€1.0</w:t>
      </w:r>
      <w:r>
        <w:rPr>
          <w:i/>
          <w:spacing w:val="-3"/>
          <w:sz w:val="20"/>
        </w:rPr>
        <w:t> </w:t>
      </w:r>
      <w:r>
        <w:rPr>
          <w:i/>
          <w:spacing w:val="-2"/>
          <w:sz w:val="20"/>
        </w:rPr>
        <w:t>thousand</w:t>
      </w:r>
    </w:p>
    <w:p>
      <w:pPr>
        <w:pStyle w:val="BodyText"/>
        <w:spacing w:before="10"/>
        <w:rPr>
          <w:i/>
        </w:rPr>
      </w:pPr>
    </w:p>
    <w:p>
      <w:pPr>
        <w:pStyle w:val="ListParagraph"/>
        <w:numPr>
          <w:ilvl w:val="0"/>
          <w:numId w:val="4"/>
        </w:numPr>
        <w:tabs>
          <w:tab w:pos="2967" w:val="left" w:leader="none"/>
        </w:tabs>
        <w:spacing w:line="240" w:lineRule="auto" w:before="1" w:after="0"/>
        <w:ind w:left="2246" w:right="2246" w:firstLine="0"/>
        <w:jc w:val="both"/>
        <w:rPr>
          <w:sz w:val="20"/>
        </w:rPr>
      </w:pPr>
      <w:r>
        <w:rPr>
          <w:sz w:val="20"/>
        </w:rPr>
        <w:t>This</w:t>
      </w:r>
      <w:r>
        <w:rPr>
          <w:spacing w:val="-10"/>
          <w:sz w:val="20"/>
        </w:rPr>
        <w:t> </w:t>
      </w:r>
      <w:r>
        <w:rPr>
          <w:sz w:val="20"/>
        </w:rPr>
        <w:t>modest</w:t>
      </w:r>
      <w:r>
        <w:rPr>
          <w:spacing w:val="-7"/>
          <w:sz w:val="20"/>
        </w:rPr>
        <w:t> </w:t>
      </w:r>
      <w:r>
        <w:rPr>
          <w:sz w:val="20"/>
        </w:rPr>
        <w:t>amount</w:t>
      </w:r>
      <w:r>
        <w:rPr>
          <w:spacing w:val="-7"/>
          <w:sz w:val="20"/>
        </w:rPr>
        <w:t> </w:t>
      </w:r>
      <w:r>
        <w:rPr>
          <w:sz w:val="20"/>
        </w:rPr>
        <w:t>is</w:t>
      </w:r>
      <w:r>
        <w:rPr>
          <w:spacing w:val="-10"/>
          <w:sz w:val="20"/>
        </w:rPr>
        <w:t> </w:t>
      </w:r>
      <w:r>
        <w:rPr>
          <w:sz w:val="20"/>
        </w:rPr>
        <w:t>to</w:t>
      </w:r>
      <w:r>
        <w:rPr>
          <w:spacing w:val="-8"/>
          <w:sz w:val="20"/>
        </w:rPr>
        <w:t> </w:t>
      </w:r>
      <w:r>
        <w:rPr>
          <w:sz w:val="20"/>
        </w:rPr>
        <w:t>provide</w:t>
      </w:r>
      <w:r>
        <w:rPr>
          <w:spacing w:val="-7"/>
          <w:sz w:val="20"/>
        </w:rPr>
        <w:t> </w:t>
      </w:r>
      <w:r>
        <w:rPr>
          <w:sz w:val="20"/>
        </w:rPr>
        <w:t>and</w:t>
      </w:r>
      <w:r>
        <w:rPr>
          <w:spacing w:val="-4"/>
          <w:sz w:val="20"/>
        </w:rPr>
        <w:t> </w:t>
      </w:r>
      <w:r>
        <w:rPr>
          <w:sz w:val="20"/>
        </w:rPr>
        <w:t>replace</w:t>
      </w:r>
      <w:r>
        <w:rPr>
          <w:spacing w:val="-2"/>
          <w:sz w:val="20"/>
        </w:rPr>
        <w:t> </w:t>
      </w:r>
      <w:r>
        <w:rPr>
          <w:sz w:val="20"/>
        </w:rPr>
        <w:t>specialized</w:t>
      </w:r>
      <w:r>
        <w:rPr>
          <w:spacing w:val="-8"/>
          <w:sz w:val="20"/>
        </w:rPr>
        <w:t> </w:t>
      </w:r>
      <w:r>
        <w:rPr>
          <w:sz w:val="20"/>
        </w:rPr>
        <w:t>equipment</w:t>
      </w:r>
      <w:r>
        <w:rPr>
          <w:spacing w:val="-7"/>
          <w:sz w:val="20"/>
        </w:rPr>
        <w:t> </w:t>
      </w:r>
      <w:r>
        <w:rPr>
          <w:sz w:val="20"/>
        </w:rPr>
        <w:t>to</w:t>
      </w:r>
      <w:r>
        <w:rPr>
          <w:spacing w:val="-8"/>
          <w:sz w:val="20"/>
        </w:rPr>
        <w:t> </w:t>
      </w:r>
      <w:r>
        <w:rPr>
          <w:sz w:val="20"/>
        </w:rPr>
        <w:t>enable</w:t>
      </w:r>
      <w:r>
        <w:rPr>
          <w:spacing w:val="-7"/>
          <w:sz w:val="20"/>
        </w:rPr>
        <w:t> </w:t>
      </w:r>
      <w:r>
        <w:rPr>
          <w:sz w:val="20"/>
        </w:rPr>
        <w:t>IOM to conduct its oversight activities, such as audio recorders, digital storage equipment, etc.</w:t>
      </w:r>
    </w:p>
    <w:p>
      <w:pPr>
        <w:spacing w:after="0" w:line="240" w:lineRule="auto"/>
        <w:jc w:val="both"/>
        <w:rPr>
          <w:sz w:val="20"/>
        </w:rPr>
        <w:sectPr>
          <w:pgSz w:w="11910" w:h="16840"/>
          <w:pgMar w:header="953" w:footer="940" w:top="1140" w:bottom="1140" w:left="20" w:right="20"/>
        </w:sectPr>
      </w:pPr>
    </w:p>
    <w:p>
      <w:pPr>
        <w:spacing w:before="120"/>
        <w:ind w:left="2246" w:right="0" w:firstLine="0"/>
        <w:jc w:val="left"/>
        <w:rPr>
          <w:b/>
          <w:sz w:val="20"/>
        </w:rPr>
      </w:pPr>
      <w:r>
        <w:rPr>
          <w:b/>
          <w:sz w:val="20"/>
        </w:rPr>
        <w:t>Table</w:t>
      </w:r>
      <w:r>
        <w:rPr>
          <w:b/>
          <w:spacing w:val="-6"/>
          <w:sz w:val="20"/>
        </w:rPr>
        <w:t> </w:t>
      </w:r>
      <w:r>
        <w:rPr>
          <w:b/>
          <w:sz w:val="20"/>
        </w:rPr>
        <w:t>47:</w:t>
      </w:r>
      <w:r>
        <w:rPr>
          <w:b/>
          <w:spacing w:val="-8"/>
          <w:sz w:val="20"/>
        </w:rPr>
        <w:t> </w:t>
      </w:r>
      <w:r>
        <w:rPr>
          <w:b/>
          <w:sz w:val="20"/>
        </w:rPr>
        <w:t>Major</w:t>
      </w:r>
      <w:r>
        <w:rPr>
          <w:b/>
          <w:spacing w:val="-10"/>
          <w:sz w:val="20"/>
        </w:rPr>
        <w:t> </w:t>
      </w:r>
      <w:r>
        <w:rPr>
          <w:b/>
          <w:sz w:val="20"/>
        </w:rPr>
        <w:t>Programme</w:t>
      </w:r>
      <w:r>
        <w:rPr>
          <w:b/>
          <w:spacing w:val="-4"/>
          <w:sz w:val="20"/>
        </w:rPr>
        <w:t> </w:t>
      </w:r>
      <w:r>
        <w:rPr>
          <w:b/>
          <w:sz w:val="20"/>
        </w:rPr>
        <w:t>VII-5:</w:t>
      </w:r>
      <w:r>
        <w:rPr>
          <w:b/>
          <w:spacing w:val="-7"/>
          <w:sz w:val="20"/>
        </w:rPr>
        <w:t> </w:t>
      </w:r>
      <w:r>
        <w:rPr>
          <w:b/>
          <w:sz w:val="20"/>
        </w:rPr>
        <w:t>Proposed</w:t>
      </w:r>
      <w:r>
        <w:rPr>
          <w:b/>
          <w:spacing w:val="-4"/>
          <w:sz w:val="20"/>
        </w:rPr>
        <w:t> </w:t>
      </w:r>
      <w:r>
        <w:rPr>
          <w:b/>
          <w:sz w:val="20"/>
        </w:rPr>
        <w:t>budget</w:t>
      </w:r>
      <w:r>
        <w:rPr>
          <w:b/>
          <w:spacing w:val="-3"/>
          <w:sz w:val="20"/>
        </w:rPr>
        <w:t> </w:t>
      </w:r>
      <w:r>
        <w:rPr>
          <w:b/>
          <w:sz w:val="20"/>
        </w:rPr>
        <w:t>for</w:t>
      </w:r>
      <w:r>
        <w:rPr>
          <w:b/>
          <w:spacing w:val="-10"/>
          <w:sz w:val="20"/>
        </w:rPr>
        <w:t> </w:t>
      </w:r>
      <w:r>
        <w:rPr>
          <w:b/>
          <w:spacing w:val="-4"/>
          <w:sz w:val="20"/>
        </w:rPr>
        <w:t>2023</w:t>
      </w:r>
    </w:p>
    <w:tbl>
      <w:tblPr>
        <w:tblW w:w="0" w:type="auto"/>
        <w:jc w:val="left"/>
        <w:tblInd w:w="1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61"/>
        <w:gridCol w:w="1218"/>
        <w:gridCol w:w="827"/>
        <w:gridCol w:w="1133"/>
        <w:gridCol w:w="1078"/>
        <w:gridCol w:w="1122"/>
        <w:gridCol w:w="753"/>
        <w:gridCol w:w="1053"/>
      </w:tblGrid>
      <w:tr>
        <w:trPr>
          <w:trHeight w:val="324" w:hRule="atLeast"/>
        </w:trPr>
        <w:tc>
          <w:tcPr>
            <w:tcW w:w="2461" w:type="dxa"/>
            <w:vMerge w:val="restart"/>
            <w:tcBorders>
              <w:top w:val="single" w:sz="4" w:space="0" w:color="000000"/>
              <w:bottom w:val="single" w:sz="12" w:space="0" w:color="000000"/>
            </w:tcBorders>
          </w:tcPr>
          <w:p>
            <w:pPr>
              <w:pStyle w:val="TableParagraph"/>
              <w:spacing w:before="153"/>
              <w:ind w:left="117"/>
              <w:jc w:val="left"/>
              <w:rPr>
                <w:b/>
                <w:sz w:val="16"/>
              </w:rPr>
            </w:pPr>
            <w:r>
              <w:rPr>
                <w:b/>
                <w:sz w:val="16"/>
              </w:rPr>
              <w:t>Major</w:t>
            </w:r>
            <w:r>
              <w:rPr>
                <w:b/>
                <w:spacing w:val="-10"/>
                <w:sz w:val="16"/>
              </w:rPr>
              <w:t> </w:t>
            </w:r>
            <w:r>
              <w:rPr>
                <w:b/>
                <w:sz w:val="16"/>
              </w:rPr>
              <w:t>Programme</w:t>
            </w:r>
            <w:r>
              <w:rPr>
                <w:b/>
                <w:spacing w:val="-10"/>
                <w:sz w:val="16"/>
              </w:rPr>
              <w:t> </w:t>
            </w:r>
            <w:r>
              <w:rPr>
                <w:b/>
                <w:sz w:val="16"/>
              </w:rPr>
              <w:t>VII-5</w:t>
            </w:r>
            <w:r>
              <w:rPr>
                <w:b/>
                <w:spacing w:val="40"/>
                <w:sz w:val="16"/>
              </w:rPr>
              <w:t> </w:t>
            </w:r>
            <w:r>
              <w:rPr>
                <w:b/>
                <w:sz w:val="16"/>
              </w:rPr>
              <w:t>Independent</w:t>
            </w:r>
            <w:r>
              <w:rPr>
                <w:b/>
                <w:spacing w:val="-5"/>
                <w:sz w:val="16"/>
              </w:rPr>
              <w:t> </w:t>
            </w:r>
            <w:r>
              <w:rPr>
                <w:b/>
                <w:sz w:val="16"/>
              </w:rPr>
              <w:t>Oversight</w:t>
            </w:r>
          </w:p>
          <w:p>
            <w:pPr>
              <w:pStyle w:val="TableParagraph"/>
              <w:spacing w:line="172" w:lineRule="exact" w:before="2"/>
              <w:ind w:left="117"/>
              <w:jc w:val="left"/>
              <w:rPr>
                <w:b/>
                <w:sz w:val="16"/>
              </w:rPr>
            </w:pPr>
            <w:r>
              <w:rPr>
                <w:b/>
                <w:spacing w:val="-2"/>
                <w:sz w:val="16"/>
              </w:rPr>
              <w:t>Mechanism</w:t>
            </w:r>
          </w:p>
        </w:tc>
        <w:tc>
          <w:tcPr>
            <w:tcW w:w="3178" w:type="dxa"/>
            <w:gridSpan w:val="3"/>
            <w:tcBorders>
              <w:top w:val="single" w:sz="4" w:space="0" w:color="000000"/>
            </w:tcBorders>
          </w:tcPr>
          <w:p>
            <w:pPr>
              <w:pStyle w:val="TableParagraph"/>
              <w:tabs>
                <w:tab w:pos="311" w:val="left" w:leader="none"/>
                <w:tab w:pos="3178" w:val="left" w:leader="none"/>
              </w:tabs>
              <w:spacing w:line="180" w:lineRule="exact" w:before="124"/>
              <w:ind w:left="-1" w:right="-15"/>
              <w:jc w:val="left"/>
              <w:rPr>
                <w:sz w:val="16"/>
              </w:rPr>
            </w:pPr>
            <w:r>
              <w:rPr>
                <w:sz w:val="16"/>
                <w:u w:val="single"/>
              </w:rPr>
              <w:tab/>
              <w:t>2021</w:t>
            </w:r>
            <w:r>
              <w:rPr>
                <w:spacing w:val="-3"/>
                <w:sz w:val="16"/>
                <w:u w:val="single"/>
              </w:rPr>
              <w:t> </w:t>
            </w:r>
            <w:r>
              <w:rPr>
                <w:sz w:val="16"/>
                <w:u w:val="single"/>
              </w:rPr>
              <w:t>Expenditures</w:t>
            </w:r>
            <w:r>
              <w:rPr>
                <w:spacing w:val="-4"/>
                <w:sz w:val="16"/>
                <w:u w:val="single"/>
              </w:rPr>
              <w:t> </w:t>
            </w:r>
            <w:r>
              <w:rPr>
                <w:sz w:val="16"/>
                <w:u w:val="single"/>
              </w:rPr>
              <w:t>(thousands</w:t>
            </w:r>
            <w:r>
              <w:rPr>
                <w:spacing w:val="-4"/>
                <w:sz w:val="16"/>
                <w:u w:val="single"/>
              </w:rPr>
              <w:t> </w:t>
            </w:r>
            <w:r>
              <w:rPr>
                <w:sz w:val="16"/>
                <w:u w:val="single"/>
              </w:rPr>
              <w:t>of</w:t>
            </w:r>
            <w:r>
              <w:rPr>
                <w:spacing w:val="-4"/>
                <w:sz w:val="16"/>
                <w:u w:val="single"/>
              </w:rPr>
              <w:t> </w:t>
            </w:r>
            <w:r>
              <w:rPr>
                <w:spacing w:val="-2"/>
                <w:sz w:val="16"/>
                <w:u w:val="single"/>
              </w:rPr>
              <w:t>euros)</w:t>
            </w:r>
            <w:r>
              <w:rPr>
                <w:sz w:val="16"/>
                <w:u w:val="single"/>
              </w:rPr>
              <w:tab/>
            </w:r>
          </w:p>
        </w:tc>
        <w:tc>
          <w:tcPr>
            <w:tcW w:w="1078" w:type="dxa"/>
            <w:vMerge w:val="restart"/>
            <w:tcBorders>
              <w:top w:val="single" w:sz="4" w:space="0" w:color="000000"/>
              <w:bottom w:val="single" w:sz="12" w:space="0" w:color="000000"/>
            </w:tcBorders>
          </w:tcPr>
          <w:p>
            <w:pPr>
              <w:pStyle w:val="TableParagraph"/>
              <w:spacing w:line="183" w:lineRule="exact" w:before="153"/>
              <w:ind w:left="228" w:right="181"/>
              <w:jc w:val="center"/>
              <w:rPr>
                <w:sz w:val="16"/>
              </w:rPr>
            </w:pPr>
            <w:r>
              <w:rPr>
                <w:spacing w:val="-4"/>
                <w:sz w:val="16"/>
              </w:rPr>
              <w:t>2022</w:t>
            </w:r>
          </w:p>
          <w:p>
            <w:pPr>
              <w:pStyle w:val="TableParagraph"/>
              <w:spacing w:line="183" w:lineRule="exact"/>
              <w:ind w:left="227" w:right="184"/>
              <w:jc w:val="center"/>
              <w:rPr>
                <w:sz w:val="16"/>
              </w:rPr>
            </w:pPr>
            <w:r>
              <w:rPr>
                <w:spacing w:val="-2"/>
                <w:sz w:val="16"/>
              </w:rPr>
              <w:t>Approved</w:t>
            </w:r>
          </w:p>
          <w:p>
            <w:pPr>
              <w:pStyle w:val="TableParagraph"/>
              <w:spacing w:line="172" w:lineRule="exact" w:before="3"/>
              <w:ind w:left="228" w:right="176"/>
              <w:jc w:val="center"/>
              <w:rPr>
                <w:sz w:val="16"/>
              </w:rPr>
            </w:pPr>
            <w:r>
              <w:rPr>
                <w:spacing w:val="-2"/>
                <w:sz w:val="16"/>
              </w:rPr>
              <w:t>Budget</w:t>
            </w:r>
          </w:p>
        </w:tc>
        <w:tc>
          <w:tcPr>
            <w:tcW w:w="1875" w:type="dxa"/>
            <w:gridSpan w:val="2"/>
            <w:tcBorders>
              <w:top w:val="single" w:sz="4" w:space="0" w:color="000000"/>
            </w:tcBorders>
          </w:tcPr>
          <w:p>
            <w:pPr>
              <w:pStyle w:val="TableParagraph"/>
              <w:tabs>
                <w:tab w:pos="339" w:val="left" w:leader="none"/>
                <w:tab w:pos="1803" w:val="left" w:leader="none"/>
              </w:tabs>
              <w:spacing w:line="180" w:lineRule="exact" w:before="124"/>
              <w:ind w:left="56"/>
              <w:jc w:val="left"/>
              <w:rPr>
                <w:sz w:val="16"/>
              </w:rPr>
            </w:pPr>
            <w:r>
              <w:rPr>
                <w:sz w:val="16"/>
                <w:u w:val="single"/>
              </w:rPr>
              <w:tab/>
              <w:t>Resource</w:t>
            </w:r>
            <w:r>
              <w:rPr>
                <w:spacing w:val="-2"/>
                <w:sz w:val="16"/>
                <w:u w:val="single"/>
              </w:rPr>
              <w:t> Changes</w:t>
            </w:r>
            <w:r>
              <w:rPr>
                <w:sz w:val="16"/>
                <w:u w:val="single"/>
              </w:rPr>
              <w:tab/>
            </w:r>
          </w:p>
        </w:tc>
        <w:tc>
          <w:tcPr>
            <w:tcW w:w="1053" w:type="dxa"/>
            <w:tcBorders>
              <w:top w:val="single" w:sz="4" w:space="0" w:color="000000"/>
            </w:tcBorders>
          </w:tcPr>
          <w:p>
            <w:pPr>
              <w:pStyle w:val="TableParagraph"/>
              <w:jc w:val="left"/>
              <w:rPr>
                <w:sz w:val="14"/>
              </w:rPr>
            </w:pPr>
          </w:p>
        </w:tc>
      </w:tr>
      <w:tr>
        <w:trPr>
          <w:trHeight w:val="359" w:hRule="atLeast"/>
        </w:trPr>
        <w:tc>
          <w:tcPr>
            <w:tcW w:w="2461" w:type="dxa"/>
            <w:vMerge/>
            <w:tcBorders>
              <w:top w:val="nil"/>
              <w:bottom w:val="single" w:sz="12" w:space="0" w:color="000000"/>
            </w:tcBorders>
          </w:tcPr>
          <w:p>
            <w:pPr>
              <w:rPr>
                <w:sz w:val="2"/>
                <w:szCs w:val="2"/>
              </w:rPr>
            </w:pPr>
          </w:p>
        </w:tc>
        <w:tc>
          <w:tcPr>
            <w:tcW w:w="1218" w:type="dxa"/>
            <w:tcBorders>
              <w:bottom w:val="single" w:sz="12" w:space="0" w:color="000000"/>
            </w:tcBorders>
          </w:tcPr>
          <w:p>
            <w:pPr>
              <w:pStyle w:val="TableParagraph"/>
              <w:spacing w:before="7"/>
              <w:jc w:val="left"/>
              <w:rPr>
                <w:b/>
                <w:sz w:val="14"/>
              </w:rPr>
            </w:pPr>
          </w:p>
          <w:p>
            <w:pPr>
              <w:pStyle w:val="TableParagraph"/>
              <w:spacing w:line="172" w:lineRule="exact"/>
              <w:ind w:left="393"/>
              <w:jc w:val="left"/>
              <w:rPr>
                <w:sz w:val="16"/>
              </w:rPr>
            </w:pPr>
            <w:r>
              <w:rPr>
                <w:spacing w:val="-2"/>
                <w:sz w:val="16"/>
              </w:rPr>
              <w:t>Total</w:t>
            </w:r>
          </w:p>
        </w:tc>
        <w:tc>
          <w:tcPr>
            <w:tcW w:w="827" w:type="dxa"/>
            <w:tcBorders>
              <w:bottom w:val="single" w:sz="12" w:space="0" w:color="000000"/>
            </w:tcBorders>
          </w:tcPr>
          <w:p>
            <w:pPr>
              <w:pStyle w:val="TableParagraph"/>
              <w:spacing w:line="165" w:lineRule="exact"/>
              <w:ind w:left="193"/>
              <w:jc w:val="left"/>
              <w:rPr>
                <w:sz w:val="16"/>
              </w:rPr>
            </w:pPr>
            <w:r>
              <w:rPr>
                <w:spacing w:val="-2"/>
                <w:sz w:val="16"/>
              </w:rPr>
              <w:t>Cont.</w:t>
            </w:r>
          </w:p>
          <w:p>
            <w:pPr>
              <w:pStyle w:val="TableParagraph"/>
              <w:spacing w:line="172" w:lineRule="exact" w:before="3"/>
              <w:ind w:left="203"/>
              <w:jc w:val="left"/>
              <w:rPr>
                <w:sz w:val="16"/>
              </w:rPr>
            </w:pPr>
            <w:r>
              <w:rPr>
                <w:spacing w:val="-4"/>
                <w:sz w:val="16"/>
              </w:rPr>
              <w:t>Fund</w:t>
            </w:r>
          </w:p>
        </w:tc>
        <w:tc>
          <w:tcPr>
            <w:tcW w:w="1133" w:type="dxa"/>
            <w:tcBorders>
              <w:bottom w:val="single" w:sz="12" w:space="0" w:color="000000"/>
            </w:tcBorders>
          </w:tcPr>
          <w:p>
            <w:pPr>
              <w:pStyle w:val="TableParagraph"/>
              <w:spacing w:before="7"/>
              <w:jc w:val="left"/>
              <w:rPr>
                <w:b/>
                <w:sz w:val="14"/>
              </w:rPr>
            </w:pPr>
          </w:p>
          <w:p>
            <w:pPr>
              <w:pStyle w:val="TableParagraph"/>
              <w:spacing w:line="172" w:lineRule="exact"/>
              <w:ind w:right="121"/>
              <w:rPr>
                <w:sz w:val="16"/>
              </w:rPr>
            </w:pPr>
            <w:r>
              <w:rPr>
                <w:sz w:val="16"/>
              </w:rPr>
              <w:t>Total</w:t>
            </w:r>
            <w:r>
              <w:rPr>
                <w:spacing w:val="-7"/>
                <w:sz w:val="16"/>
              </w:rPr>
              <w:t> </w:t>
            </w:r>
            <w:r>
              <w:rPr>
                <w:sz w:val="16"/>
              </w:rPr>
              <w:t>Incl.</w:t>
            </w:r>
            <w:r>
              <w:rPr>
                <w:spacing w:val="-6"/>
                <w:sz w:val="16"/>
              </w:rPr>
              <w:t> </w:t>
            </w:r>
            <w:r>
              <w:rPr>
                <w:spacing w:val="-5"/>
                <w:sz w:val="16"/>
              </w:rPr>
              <w:t>CF</w:t>
            </w:r>
          </w:p>
        </w:tc>
        <w:tc>
          <w:tcPr>
            <w:tcW w:w="1078" w:type="dxa"/>
            <w:vMerge/>
            <w:tcBorders>
              <w:top w:val="nil"/>
              <w:bottom w:val="single" w:sz="12" w:space="0" w:color="000000"/>
            </w:tcBorders>
          </w:tcPr>
          <w:p>
            <w:pPr>
              <w:rPr>
                <w:sz w:val="2"/>
                <w:szCs w:val="2"/>
              </w:rPr>
            </w:pPr>
          </w:p>
        </w:tc>
        <w:tc>
          <w:tcPr>
            <w:tcW w:w="1122" w:type="dxa"/>
            <w:tcBorders>
              <w:bottom w:val="single" w:sz="12" w:space="0" w:color="000000"/>
            </w:tcBorders>
          </w:tcPr>
          <w:p>
            <w:pPr>
              <w:pStyle w:val="TableParagraph"/>
              <w:spacing w:before="7"/>
              <w:jc w:val="left"/>
              <w:rPr>
                <w:b/>
                <w:sz w:val="14"/>
              </w:rPr>
            </w:pPr>
          </w:p>
          <w:p>
            <w:pPr>
              <w:pStyle w:val="TableParagraph"/>
              <w:spacing w:line="172" w:lineRule="exact"/>
              <w:ind w:right="180"/>
              <w:rPr>
                <w:sz w:val="16"/>
              </w:rPr>
            </w:pPr>
            <w:r>
              <w:rPr>
                <w:spacing w:val="-2"/>
                <w:sz w:val="16"/>
              </w:rPr>
              <w:t>Amount</w:t>
            </w:r>
          </w:p>
        </w:tc>
        <w:tc>
          <w:tcPr>
            <w:tcW w:w="753" w:type="dxa"/>
            <w:tcBorders>
              <w:bottom w:val="single" w:sz="12" w:space="0" w:color="000000"/>
            </w:tcBorders>
          </w:tcPr>
          <w:p>
            <w:pPr>
              <w:pStyle w:val="TableParagraph"/>
              <w:spacing w:before="7"/>
              <w:jc w:val="left"/>
              <w:rPr>
                <w:b/>
                <w:sz w:val="14"/>
              </w:rPr>
            </w:pPr>
          </w:p>
          <w:p>
            <w:pPr>
              <w:pStyle w:val="TableParagraph"/>
              <w:spacing w:line="172" w:lineRule="exact"/>
              <w:ind w:right="177"/>
              <w:rPr>
                <w:sz w:val="16"/>
              </w:rPr>
            </w:pPr>
            <w:r>
              <w:rPr>
                <w:w w:val="98"/>
                <w:sz w:val="16"/>
              </w:rPr>
              <w:t>%</w:t>
            </w:r>
          </w:p>
        </w:tc>
        <w:tc>
          <w:tcPr>
            <w:tcW w:w="1053" w:type="dxa"/>
            <w:tcBorders>
              <w:bottom w:val="single" w:sz="12" w:space="0" w:color="000000"/>
            </w:tcBorders>
          </w:tcPr>
          <w:p>
            <w:pPr>
              <w:pStyle w:val="TableParagraph"/>
              <w:spacing w:line="165" w:lineRule="exact"/>
              <w:ind w:left="56" w:right="134"/>
              <w:jc w:val="center"/>
              <w:rPr>
                <w:sz w:val="16"/>
              </w:rPr>
            </w:pPr>
            <w:r>
              <w:rPr>
                <w:spacing w:val="-2"/>
                <w:sz w:val="16"/>
              </w:rPr>
              <w:t>Proposed</w:t>
            </w:r>
          </w:p>
          <w:p>
            <w:pPr>
              <w:pStyle w:val="TableParagraph"/>
              <w:spacing w:line="172" w:lineRule="exact" w:before="3"/>
              <w:ind w:left="64" w:right="134"/>
              <w:jc w:val="center"/>
              <w:rPr>
                <w:sz w:val="16"/>
              </w:rPr>
            </w:pPr>
            <w:r>
              <w:rPr>
                <w:sz w:val="16"/>
              </w:rPr>
              <w:t>2023</w:t>
            </w:r>
            <w:r>
              <w:rPr>
                <w:spacing w:val="2"/>
                <w:sz w:val="16"/>
              </w:rPr>
              <w:t> </w:t>
            </w:r>
            <w:r>
              <w:rPr>
                <w:spacing w:val="-2"/>
                <w:sz w:val="16"/>
              </w:rPr>
              <w:t>Budget</w:t>
            </w:r>
          </w:p>
        </w:tc>
      </w:tr>
      <w:tr>
        <w:trPr>
          <w:trHeight w:val="231" w:hRule="atLeast"/>
        </w:trPr>
        <w:tc>
          <w:tcPr>
            <w:tcW w:w="2461" w:type="dxa"/>
            <w:tcBorders>
              <w:top w:val="single" w:sz="12" w:space="0" w:color="000000"/>
            </w:tcBorders>
          </w:tcPr>
          <w:p>
            <w:pPr>
              <w:pStyle w:val="TableParagraph"/>
              <w:spacing w:before="13"/>
              <w:ind w:left="117"/>
              <w:jc w:val="left"/>
              <w:rPr>
                <w:sz w:val="16"/>
              </w:rPr>
            </w:pPr>
            <w:r>
              <w:rPr>
                <w:w w:val="95"/>
                <w:sz w:val="16"/>
              </w:rPr>
              <w:t>Professional</w:t>
            </w:r>
            <w:r>
              <w:rPr>
                <w:spacing w:val="28"/>
                <w:sz w:val="16"/>
              </w:rPr>
              <w:t> </w:t>
            </w:r>
            <w:r>
              <w:rPr>
                <w:spacing w:val="-2"/>
                <w:sz w:val="16"/>
              </w:rPr>
              <w:t>staff</w:t>
            </w:r>
          </w:p>
        </w:tc>
        <w:tc>
          <w:tcPr>
            <w:tcW w:w="1218" w:type="dxa"/>
            <w:tcBorders>
              <w:top w:val="single" w:sz="12" w:space="0" w:color="000000"/>
            </w:tcBorders>
            <w:shd w:val="clear" w:color="auto" w:fill="D9D9D9"/>
          </w:tcPr>
          <w:p>
            <w:pPr>
              <w:pStyle w:val="TableParagraph"/>
              <w:jc w:val="left"/>
              <w:rPr>
                <w:sz w:val="14"/>
              </w:rPr>
            </w:pPr>
          </w:p>
        </w:tc>
        <w:tc>
          <w:tcPr>
            <w:tcW w:w="827" w:type="dxa"/>
            <w:tcBorders>
              <w:top w:val="single" w:sz="12" w:space="0" w:color="000000"/>
            </w:tcBorders>
            <w:shd w:val="clear" w:color="auto" w:fill="D9D9D9"/>
          </w:tcPr>
          <w:p>
            <w:pPr>
              <w:pStyle w:val="TableParagraph"/>
              <w:jc w:val="left"/>
              <w:rPr>
                <w:sz w:val="14"/>
              </w:rPr>
            </w:pPr>
          </w:p>
        </w:tc>
        <w:tc>
          <w:tcPr>
            <w:tcW w:w="1133" w:type="dxa"/>
            <w:tcBorders>
              <w:top w:val="single" w:sz="12" w:space="0" w:color="000000"/>
            </w:tcBorders>
            <w:shd w:val="clear" w:color="auto" w:fill="D9D9D9"/>
          </w:tcPr>
          <w:p>
            <w:pPr>
              <w:pStyle w:val="TableParagraph"/>
              <w:jc w:val="left"/>
              <w:rPr>
                <w:sz w:val="14"/>
              </w:rPr>
            </w:pPr>
          </w:p>
        </w:tc>
        <w:tc>
          <w:tcPr>
            <w:tcW w:w="1078" w:type="dxa"/>
            <w:tcBorders>
              <w:top w:val="single" w:sz="12" w:space="0" w:color="000000"/>
            </w:tcBorders>
          </w:tcPr>
          <w:p>
            <w:pPr>
              <w:pStyle w:val="TableParagraph"/>
              <w:spacing w:before="13"/>
              <w:ind w:right="50"/>
              <w:rPr>
                <w:sz w:val="16"/>
              </w:rPr>
            </w:pPr>
            <w:r>
              <w:rPr>
                <w:spacing w:val="-2"/>
                <w:sz w:val="16"/>
              </w:rPr>
              <w:t>449.4</w:t>
            </w:r>
          </w:p>
        </w:tc>
        <w:tc>
          <w:tcPr>
            <w:tcW w:w="1122" w:type="dxa"/>
            <w:tcBorders>
              <w:top w:val="single" w:sz="12" w:space="0" w:color="000000"/>
            </w:tcBorders>
          </w:tcPr>
          <w:p>
            <w:pPr>
              <w:pStyle w:val="TableParagraph"/>
              <w:spacing w:before="13"/>
              <w:ind w:right="183"/>
              <w:rPr>
                <w:sz w:val="16"/>
              </w:rPr>
            </w:pPr>
            <w:r>
              <w:rPr>
                <w:spacing w:val="-2"/>
                <w:sz w:val="16"/>
              </w:rPr>
              <w:t>182.2</w:t>
            </w:r>
          </w:p>
        </w:tc>
        <w:tc>
          <w:tcPr>
            <w:tcW w:w="753" w:type="dxa"/>
            <w:tcBorders>
              <w:top w:val="single" w:sz="12" w:space="0" w:color="000000"/>
            </w:tcBorders>
          </w:tcPr>
          <w:p>
            <w:pPr>
              <w:pStyle w:val="TableParagraph"/>
              <w:spacing w:before="13"/>
              <w:ind w:right="172"/>
              <w:rPr>
                <w:sz w:val="16"/>
              </w:rPr>
            </w:pPr>
            <w:r>
              <w:rPr>
                <w:spacing w:val="-4"/>
                <w:sz w:val="16"/>
              </w:rPr>
              <w:t>40.5</w:t>
            </w:r>
          </w:p>
        </w:tc>
        <w:tc>
          <w:tcPr>
            <w:tcW w:w="1053" w:type="dxa"/>
            <w:tcBorders>
              <w:top w:val="single" w:sz="12" w:space="0" w:color="000000"/>
            </w:tcBorders>
          </w:tcPr>
          <w:p>
            <w:pPr>
              <w:pStyle w:val="TableParagraph"/>
              <w:spacing w:before="13"/>
              <w:ind w:right="102"/>
              <w:rPr>
                <w:sz w:val="16"/>
              </w:rPr>
            </w:pPr>
            <w:r>
              <w:rPr>
                <w:spacing w:val="-2"/>
                <w:sz w:val="16"/>
              </w:rPr>
              <w:t>631.6</w:t>
            </w:r>
          </w:p>
        </w:tc>
      </w:tr>
      <w:tr>
        <w:trPr>
          <w:trHeight w:val="223" w:hRule="atLeast"/>
        </w:trPr>
        <w:tc>
          <w:tcPr>
            <w:tcW w:w="2461" w:type="dxa"/>
            <w:tcBorders>
              <w:bottom w:val="single" w:sz="4" w:space="0" w:color="000000"/>
            </w:tcBorders>
          </w:tcPr>
          <w:p>
            <w:pPr>
              <w:pStyle w:val="TableParagraph"/>
              <w:spacing w:before="8"/>
              <w:ind w:left="117"/>
              <w:jc w:val="left"/>
              <w:rPr>
                <w:sz w:val="16"/>
              </w:rPr>
            </w:pPr>
            <w:r>
              <w:rPr>
                <w:sz w:val="16"/>
              </w:rPr>
              <w:t>General</w:t>
            </w:r>
            <w:r>
              <w:rPr>
                <w:spacing w:val="-6"/>
                <w:sz w:val="16"/>
              </w:rPr>
              <w:t> </w:t>
            </w:r>
            <w:r>
              <w:rPr>
                <w:sz w:val="16"/>
              </w:rPr>
              <w:t>Service</w:t>
            </w:r>
            <w:r>
              <w:rPr>
                <w:spacing w:val="-4"/>
                <w:sz w:val="16"/>
              </w:rPr>
              <w:t> staff</w:t>
            </w:r>
          </w:p>
        </w:tc>
        <w:tc>
          <w:tcPr>
            <w:tcW w:w="1218" w:type="dxa"/>
            <w:tcBorders>
              <w:bottom w:val="single" w:sz="4" w:space="0" w:color="000000"/>
            </w:tcBorders>
            <w:shd w:val="clear" w:color="auto" w:fill="D9D9D9"/>
          </w:tcPr>
          <w:p>
            <w:pPr>
              <w:pStyle w:val="TableParagraph"/>
              <w:jc w:val="left"/>
              <w:rPr>
                <w:sz w:val="14"/>
              </w:rPr>
            </w:pPr>
          </w:p>
        </w:tc>
        <w:tc>
          <w:tcPr>
            <w:tcW w:w="827" w:type="dxa"/>
            <w:tcBorders>
              <w:bottom w:val="single" w:sz="4" w:space="0" w:color="000000"/>
            </w:tcBorders>
            <w:shd w:val="clear" w:color="auto" w:fill="D9D9D9"/>
          </w:tcPr>
          <w:p>
            <w:pPr>
              <w:pStyle w:val="TableParagraph"/>
              <w:jc w:val="left"/>
              <w:rPr>
                <w:sz w:val="14"/>
              </w:rPr>
            </w:pPr>
          </w:p>
        </w:tc>
        <w:tc>
          <w:tcPr>
            <w:tcW w:w="1133" w:type="dxa"/>
            <w:tcBorders>
              <w:bottom w:val="single" w:sz="4" w:space="0" w:color="000000"/>
            </w:tcBorders>
            <w:shd w:val="clear" w:color="auto" w:fill="D9D9D9"/>
          </w:tcPr>
          <w:p>
            <w:pPr>
              <w:pStyle w:val="TableParagraph"/>
              <w:jc w:val="left"/>
              <w:rPr>
                <w:sz w:val="14"/>
              </w:rPr>
            </w:pPr>
          </w:p>
        </w:tc>
        <w:tc>
          <w:tcPr>
            <w:tcW w:w="1078" w:type="dxa"/>
            <w:tcBorders>
              <w:bottom w:val="single" w:sz="4" w:space="0" w:color="000000"/>
            </w:tcBorders>
          </w:tcPr>
          <w:p>
            <w:pPr>
              <w:pStyle w:val="TableParagraph"/>
              <w:spacing w:before="8"/>
              <w:ind w:right="50"/>
              <w:rPr>
                <w:sz w:val="16"/>
              </w:rPr>
            </w:pPr>
            <w:r>
              <w:rPr>
                <w:spacing w:val="-4"/>
                <w:sz w:val="16"/>
              </w:rPr>
              <w:t>77.2</w:t>
            </w:r>
          </w:p>
        </w:tc>
        <w:tc>
          <w:tcPr>
            <w:tcW w:w="1122" w:type="dxa"/>
            <w:tcBorders>
              <w:bottom w:val="single" w:sz="4" w:space="0" w:color="000000"/>
            </w:tcBorders>
          </w:tcPr>
          <w:p>
            <w:pPr>
              <w:pStyle w:val="TableParagraph"/>
              <w:spacing w:before="8"/>
              <w:ind w:right="187"/>
              <w:rPr>
                <w:sz w:val="16"/>
              </w:rPr>
            </w:pPr>
            <w:r>
              <w:rPr>
                <w:spacing w:val="-5"/>
                <w:sz w:val="16"/>
              </w:rPr>
              <w:t>1.6</w:t>
            </w:r>
          </w:p>
        </w:tc>
        <w:tc>
          <w:tcPr>
            <w:tcW w:w="753" w:type="dxa"/>
            <w:tcBorders>
              <w:bottom w:val="single" w:sz="4" w:space="0" w:color="000000"/>
            </w:tcBorders>
          </w:tcPr>
          <w:p>
            <w:pPr>
              <w:pStyle w:val="TableParagraph"/>
              <w:spacing w:before="8"/>
              <w:ind w:right="177"/>
              <w:rPr>
                <w:sz w:val="16"/>
              </w:rPr>
            </w:pPr>
            <w:r>
              <w:rPr>
                <w:spacing w:val="-5"/>
                <w:sz w:val="16"/>
              </w:rPr>
              <w:t>2.1</w:t>
            </w:r>
          </w:p>
        </w:tc>
        <w:tc>
          <w:tcPr>
            <w:tcW w:w="1053" w:type="dxa"/>
            <w:tcBorders>
              <w:bottom w:val="single" w:sz="4" w:space="0" w:color="000000"/>
            </w:tcBorders>
          </w:tcPr>
          <w:p>
            <w:pPr>
              <w:pStyle w:val="TableParagraph"/>
              <w:spacing w:before="8"/>
              <w:ind w:right="101"/>
              <w:rPr>
                <w:sz w:val="16"/>
              </w:rPr>
            </w:pPr>
            <w:r>
              <w:rPr>
                <w:spacing w:val="-4"/>
                <w:sz w:val="16"/>
              </w:rPr>
              <w:t>78.8</w:t>
            </w:r>
          </w:p>
        </w:tc>
      </w:tr>
      <w:tr>
        <w:trPr>
          <w:trHeight w:val="225" w:hRule="atLeast"/>
        </w:trPr>
        <w:tc>
          <w:tcPr>
            <w:tcW w:w="2461" w:type="dxa"/>
            <w:tcBorders>
              <w:top w:val="single" w:sz="4" w:space="0" w:color="000000"/>
              <w:bottom w:val="single" w:sz="4" w:space="0" w:color="000000"/>
            </w:tcBorders>
          </w:tcPr>
          <w:p>
            <w:pPr>
              <w:pStyle w:val="TableParagraph"/>
              <w:spacing w:before="9"/>
              <w:ind w:right="104"/>
              <w:rPr>
                <w:i/>
                <w:sz w:val="16"/>
              </w:rPr>
            </w:pPr>
            <w:r>
              <w:rPr>
                <w:i/>
                <w:sz w:val="16"/>
              </w:rPr>
              <w:t>Subtotal</w:t>
            </w:r>
            <w:r>
              <w:rPr>
                <w:i/>
                <w:spacing w:val="-1"/>
                <w:sz w:val="16"/>
              </w:rPr>
              <w:t> </w:t>
            </w:r>
            <w:r>
              <w:rPr>
                <w:i/>
                <w:spacing w:val="-2"/>
                <w:sz w:val="16"/>
              </w:rPr>
              <w:t>staff</w:t>
            </w:r>
          </w:p>
        </w:tc>
        <w:tc>
          <w:tcPr>
            <w:tcW w:w="1218" w:type="dxa"/>
            <w:tcBorders>
              <w:top w:val="single" w:sz="4" w:space="0" w:color="000000"/>
              <w:bottom w:val="single" w:sz="4" w:space="0" w:color="000000"/>
            </w:tcBorders>
          </w:tcPr>
          <w:p>
            <w:pPr>
              <w:pStyle w:val="TableParagraph"/>
              <w:spacing w:before="9"/>
              <w:ind w:right="191"/>
              <w:rPr>
                <w:i/>
                <w:sz w:val="16"/>
              </w:rPr>
            </w:pPr>
            <w:r>
              <w:rPr>
                <w:i/>
                <w:spacing w:val="-2"/>
                <w:sz w:val="16"/>
              </w:rPr>
              <w:t>378.2</w:t>
            </w:r>
          </w:p>
        </w:tc>
        <w:tc>
          <w:tcPr>
            <w:tcW w:w="827" w:type="dxa"/>
            <w:tcBorders>
              <w:top w:val="single" w:sz="4" w:space="0" w:color="000000"/>
              <w:bottom w:val="single" w:sz="4" w:space="0" w:color="000000"/>
            </w:tcBorders>
          </w:tcPr>
          <w:p>
            <w:pPr>
              <w:pStyle w:val="TableParagraph"/>
              <w:spacing w:before="9"/>
              <w:ind w:right="107"/>
              <w:rPr>
                <w:i/>
                <w:sz w:val="16"/>
              </w:rPr>
            </w:pPr>
            <w:r>
              <w:rPr>
                <w:i/>
                <w:w w:val="98"/>
                <w:sz w:val="16"/>
              </w:rPr>
              <w:t>-</w:t>
            </w:r>
          </w:p>
        </w:tc>
        <w:tc>
          <w:tcPr>
            <w:tcW w:w="1133" w:type="dxa"/>
            <w:tcBorders>
              <w:top w:val="single" w:sz="4" w:space="0" w:color="000000"/>
              <w:bottom w:val="single" w:sz="4" w:space="0" w:color="000000"/>
            </w:tcBorders>
          </w:tcPr>
          <w:p>
            <w:pPr>
              <w:pStyle w:val="TableParagraph"/>
              <w:spacing w:before="9"/>
              <w:ind w:right="106"/>
              <w:rPr>
                <w:i/>
                <w:sz w:val="16"/>
              </w:rPr>
            </w:pPr>
            <w:r>
              <w:rPr>
                <w:i/>
                <w:spacing w:val="-2"/>
                <w:sz w:val="16"/>
              </w:rPr>
              <w:t>378.2</w:t>
            </w:r>
          </w:p>
        </w:tc>
        <w:tc>
          <w:tcPr>
            <w:tcW w:w="1078" w:type="dxa"/>
            <w:tcBorders>
              <w:top w:val="single" w:sz="4" w:space="0" w:color="000000"/>
              <w:bottom w:val="single" w:sz="4" w:space="0" w:color="000000"/>
            </w:tcBorders>
          </w:tcPr>
          <w:p>
            <w:pPr>
              <w:pStyle w:val="TableParagraph"/>
              <w:spacing w:before="9"/>
              <w:ind w:right="50"/>
              <w:rPr>
                <w:i/>
                <w:sz w:val="16"/>
              </w:rPr>
            </w:pPr>
            <w:r>
              <w:rPr>
                <w:i/>
                <w:spacing w:val="-2"/>
                <w:sz w:val="16"/>
              </w:rPr>
              <w:t>526.6</w:t>
            </w:r>
          </w:p>
        </w:tc>
        <w:tc>
          <w:tcPr>
            <w:tcW w:w="1122" w:type="dxa"/>
            <w:tcBorders>
              <w:top w:val="single" w:sz="4" w:space="0" w:color="000000"/>
              <w:bottom w:val="single" w:sz="4" w:space="0" w:color="000000"/>
            </w:tcBorders>
          </w:tcPr>
          <w:p>
            <w:pPr>
              <w:pStyle w:val="TableParagraph"/>
              <w:spacing w:before="9"/>
              <w:ind w:right="183"/>
              <w:rPr>
                <w:i/>
                <w:sz w:val="16"/>
              </w:rPr>
            </w:pPr>
            <w:r>
              <w:rPr>
                <w:i/>
                <w:spacing w:val="-2"/>
                <w:sz w:val="16"/>
              </w:rPr>
              <w:t>183.8</w:t>
            </w:r>
          </w:p>
        </w:tc>
        <w:tc>
          <w:tcPr>
            <w:tcW w:w="753" w:type="dxa"/>
            <w:tcBorders>
              <w:top w:val="single" w:sz="4" w:space="0" w:color="000000"/>
              <w:bottom w:val="single" w:sz="4" w:space="0" w:color="000000"/>
            </w:tcBorders>
          </w:tcPr>
          <w:p>
            <w:pPr>
              <w:pStyle w:val="TableParagraph"/>
              <w:spacing w:before="9"/>
              <w:ind w:right="172"/>
              <w:rPr>
                <w:i/>
                <w:sz w:val="16"/>
              </w:rPr>
            </w:pPr>
            <w:r>
              <w:rPr>
                <w:i/>
                <w:spacing w:val="-4"/>
                <w:sz w:val="16"/>
              </w:rPr>
              <w:t>34.9</w:t>
            </w:r>
          </w:p>
        </w:tc>
        <w:tc>
          <w:tcPr>
            <w:tcW w:w="1053" w:type="dxa"/>
            <w:tcBorders>
              <w:top w:val="single" w:sz="4" w:space="0" w:color="000000"/>
              <w:bottom w:val="single" w:sz="4" w:space="0" w:color="000000"/>
            </w:tcBorders>
          </w:tcPr>
          <w:p>
            <w:pPr>
              <w:pStyle w:val="TableParagraph"/>
              <w:spacing w:before="9"/>
              <w:ind w:right="102"/>
              <w:rPr>
                <w:i/>
                <w:sz w:val="16"/>
              </w:rPr>
            </w:pPr>
            <w:r>
              <w:rPr>
                <w:i/>
                <w:spacing w:val="-2"/>
                <w:sz w:val="16"/>
              </w:rPr>
              <w:t>710.4</w:t>
            </w:r>
          </w:p>
        </w:tc>
      </w:tr>
      <w:tr>
        <w:trPr>
          <w:trHeight w:val="231" w:hRule="atLeast"/>
        </w:trPr>
        <w:tc>
          <w:tcPr>
            <w:tcW w:w="2461" w:type="dxa"/>
            <w:tcBorders>
              <w:top w:val="single" w:sz="4" w:space="0" w:color="000000"/>
            </w:tcBorders>
          </w:tcPr>
          <w:p>
            <w:pPr>
              <w:pStyle w:val="TableParagraph"/>
              <w:spacing w:before="14"/>
              <w:ind w:left="117"/>
              <w:jc w:val="left"/>
              <w:rPr>
                <w:sz w:val="16"/>
              </w:rPr>
            </w:pPr>
            <w:r>
              <w:rPr>
                <w:sz w:val="16"/>
              </w:rPr>
              <w:t>General</w:t>
            </w:r>
            <w:r>
              <w:rPr>
                <w:spacing w:val="-4"/>
                <w:sz w:val="16"/>
              </w:rPr>
              <w:t> </w:t>
            </w:r>
            <w:r>
              <w:rPr>
                <w:sz w:val="16"/>
              </w:rPr>
              <w:t>temporary</w:t>
            </w:r>
            <w:r>
              <w:rPr>
                <w:spacing w:val="-1"/>
                <w:sz w:val="16"/>
              </w:rPr>
              <w:t> </w:t>
            </w:r>
            <w:r>
              <w:rPr>
                <w:spacing w:val="-2"/>
                <w:sz w:val="16"/>
              </w:rPr>
              <w:t>assistance</w:t>
            </w:r>
          </w:p>
        </w:tc>
        <w:tc>
          <w:tcPr>
            <w:tcW w:w="1218" w:type="dxa"/>
            <w:tcBorders>
              <w:top w:val="single" w:sz="4" w:space="0" w:color="000000"/>
            </w:tcBorders>
          </w:tcPr>
          <w:p>
            <w:pPr>
              <w:pStyle w:val="TableParagraph"/>
              <w:spacing w:before="14"/>
              <w:ind w:right="191"/>
              <w:rPr>
                <w:sz w:val="16"/>
              </w:rPr>
            </w:pPr>
            <w:r>
              <w:rPr>
                <w:spacing w:val="-2"/>
                <w:sz w:val="16"/>
              </w:rPr>
              <w:t>258.3</w:t>
            </w:r>
          </w:p>
        </w:tc>
        <w:tc>
          <w:tcPr>
            <w:tcW w:w="827" w:type="dxa"/>
            <w:tcBorders>
              <w:top w:val="single" w:sz="4" w:space="0" w:color="000000"/>
            </w:tcBorders>
          </w:tcPr>
          <w:p>
            <w:pPr>
              <w:pStyle w:val="TableParagraph"/>
              <w:spacing w:before="14"/>
              <w:ind w:right="107"/>
              <w:rPr>
                <w:sz w:val="16"/>
              </w:rPr>
            </w:pPr>
            <w:r>
              <w:rPr>
                <w:w w:val="98"/>
                <w:sz w:val="16"/>
              </w:rPr>
              <w:t>-</w:t>
            </w:r>
          </w:p>
        </w:tc>
        <w:tc>
          <w:tcPr>
            <w:tcW w:w="1133" w:type="dxa"/>
            <w:tcBorders>
              <w:top w:val="single" w:sz="4" w:space="0" w:color="000000"/>
            </w:tcBorders>
          </w:tcPr>
          <w:p>
            <w:pPr>
              <w:pStyle w:val="TableParagraph"/>
              <w:spacing w:before="14"/>
              <w:ind w:right="106"/>
              <w:rPr>
                <w:sz w:val="16"/>
              </w:rPr>
            </w:pPr>
            <w:r>
              <w:rPr>
                <w:spacing w:val="-2"/>
                <w:sz w:val="16"/>
              </w:rPr>
              <w:t>258.3</w:t>
            </w:r>
          </w:p>
        </w:tc>
        <w:tc>
          <w:tcPr>
            <w:tcW w:w="1078" w:type="dxa"/>
            <w:tcBorders>
              <w:top w:val="single" w:sz="4" w:space="0" w:color="000000"/>
            </w:tcBorders>
          </w:tcPr>
          <w:p>
            <w:pPr>
              <w:pStyle w:val="TableParagraph"/>
              <w:spacing w:before="14"/>
              <w:ind w:right="50"/>
              <w:rPr>
                <w:sz w:val="16"/>
              </w:rPr>
            </w:pPr>
            <w:r>
              <w:rPr>
                <w:spacing w:val="-2"/>
                <w:sz w:val="16"/>
              </w:rPr>
              <w:t>225.6</w:t>
            </w:r>
          </w:p>
        </w:tc>
        <w:tc>
          <w:tcPr>
            <w:tcW w:w="1122" w:type="dxa"/>
            <w:tcBorders>
              <w:top w:val="single" w:sz="4" w:space="0" w:color="000000"/>
            </w:tcBorders>
          </w:tcPr>
          <w:p>
            <w:pPr>
              <w:pStyle w:val="TableParagraph"/>
              <w:spacing w:before="14"/>
              <w:ind w:right="187"/>
              <w:rPr>
                <w:sz w:val="16"/>
              </w:rPr>
            </w:pPr>
            <w:r>
              <w:rPr>
                <w:spacing w:val="-2"/>
                <w:sz w:val="16"/>
              </w:rPr>
              <w:t>(88.5)</w:t>
            </w:r>
          </w:p>
        </w:tc>
        <w:tc>
          <w:tcPr>
            <w:tcW w:w="753" w:type="dxa"/>
            <w:tcBorders>
              <w:top w:val="single" w:sz="4" w:space="0" w:color="000000"/>
            </w:tcBorders>
          </w:tcPr>
          <w:p>
            <w:pPr>
              <w:pStyle w:val="TableParagraph"/>
              <w:spacing w:before="14"/>
              <w:ind w:right="175"/>
              <w:rPr>
                <w:sz w:val="16"/>
              </w:rPr>
            </w:pPr>
            <w:r>
              <w:rPr>
                <w:spacing w:val="-2"/>
                <w:sz w:val="16"/>
              </w:rPr>
              <w:t>(39.2)</w:t>
            </w:r>
          </w:p>
        </w:tc>
        <w:tc>
          <w:tcPr>
            <w:tcW w:w="1053" w:type="dxa"/>
            <w:tcBorders>
              <w:top w:val="single" w:sz="4" w:space="0" w:color="000000"/>
            </w:tcBorders>
          </w:tcPr>
          <w:p>
            <w:pPr>
              <w:pStyle w:val="TableParagraph"/>
              <w:spacing w:before="14"/>
              <w:ind w:right="102"/>
              <w:rPr>
                <w:sz w:val="16"/>
              </w:rPr>
            </w:pPr>
            <w:r>
              <w:rPr>
                <w:spacing w:val="-2"/>
                <w:sz w:val="16"/>
              </w:rPr>
              <w:t>137.1</w:t>
            </w:r>
          </w:p>
        </w:tc>
      </w:tr>
      <w:tr>
        <w:trPr>
          <w:trHeight w:val="225" w:hRule="atLeast"/>
        </w:trPr>
        <w:tc>
          <w:tcPr>
            <w:tcW w:w="2461" w:type="dxa"/>
          </w:tcPr>
          <w:p>
            <w:pPr>
              <w:pStyle w:val="TableParagraph"/>
              <w:spacing w:before="7"/>
              <w:ind w:left="117"/>
              <w:jc w:val="left"/>
              <w:rPr>
                <w:sz w:val="16"/>
              </w:rPr>
            </w:pPr>
            <w:r>
              <w:rPr>
                <w:sz w:val="16"/>
              </w:rPr>
              <w:t>Temporary</w:t>
            </w:r>
            <w:r>
              <w:rPr>
                <w:spacing w:val="-3"/>
                <w:sz w:val="16"/>
              </w:rPr>
              <w:t> </w:t>
            </w:r>
            <w:r>
              <w:rPr>
                <w:sz w:val="16"/>
              </w:rPr>
              <w:t>assistance</w:t>
            </w:r>
            <w:r>
              <w:rPr>
                <w:spacing w:val="-4"/>
                <w:sz w:val="16"/>
              </w:rPr>
              <w:t> </w:t>
            </w:r>
            <w:r>
              <w:rPr>
                <w:sz w:val="16"/>
              </w:rPr>
              <w:t>for</w:t>
            </w:r>
            <w:r>
              <w:rPr>
                <w:spacing w:val="-5"/>
                <w:sz w:val="16"/>
              </w:rPr>
              <w:t> </w:t>
            </w:r>
            <w:r>
              <w:rPr>
                <w:spacing w:val="-2"/>
                <w:sz w:val="16"/>
              </w:rPr>
              <w:t>meetings</w:t>
            </w:r>
          </w:p>
        </w:tc>
        <w:tc>
          <w:tcPr>
            <w:tcW w:w="1218" w:type="dxa"/>
          </w:tcPr>
          <w:p>
            <w:pPr>
              <w:pStyle w:val="TableParagraph"/>
              <w:spacing w:before="7"/>
              <w:ind w:right="193"/>
              <w:rPr>
                <w:sz w:val="16"/>
              </w:rPr>
            </w:pPr>
            <w:r>
              <w:rPr>
                <w:w w:val="98"/>
                <w:sz w:val="16"/>
              </w:rPr>
              <w:t>-</w:t>
            </w:r>
          </w:p>
        </w:tc>
        <w:tc>
          <w:tcPr>
            <w:tcW w:w="827" w:type="dxa"/>
          </w:tcPr>
          <w:p>
            <w:pPr>
              <w:pStyle w:val="TableParagraph"/>
              <w:spacing w:before="7"/>
              <w:ind w:right="107"/>
              <w:rPr>
                <w:sz w:val="16"/>
              </w:rPr>
            </w:pPr>
            <w:r>
              <w:rPr>
                <w:w w:val="98"/>
                <w:sz w:val="16"/>
              </w:rPr>
              <w:t>-</w:t>
            </w:r>
          </w:p>
        </w:tc>
        <w:tc>
          <w:tcPr>
            <w:tcW w:w="1133" w:type="dxa"/>
          </w:tcPr>
          <w:p>
            <w:pPr>
              <w:pStyle w:val="TableParagraph"/>
              <w:spacing w:before="7"/>
              <w:ind w:right="107"/>
              <w:rPr>
                <w:sz w:val="16"/>
              </w:rPr>
            </w:pPr>
            <w:r>
              <w:rPr>
                <w:w w:val="98"/>
                <w:sz w:val="16"/>
              </w:rPr>
              <w:t>-</w:t>
            </w:r>
          </w:p>
        </w:tc>
        <w:tc>
          <w:tcPr>
            <w:tcW w:w="1078" w:type="dxa"/>
          </w:tcPr>
          <w:p>
            <w:pPr>
              <w:pStyle w:val="TableParagraph"/>
              <w:spacing w:before="7"/>
              <w:ind w:right="52"/>
              <w:rPr>
                <w:sz w:val="16"/>
              </w:rPr>
            </w:pPr>
            <w:r>
              <w:rPr>
                <w:w w:val="98"/>
                <w:sz w:val="16"/>
              </w:rPr>
              <w:t>-</w:t>
            </w:r>
          </w:p>
        </w:tc>
        <w:tc>
          <w:tcPr>
            <w:tcW w:w="1122" w:type="dxa"/>
          </w:tcPr>
          <w:p>
            <w:pPr>
              <w:pStyle w:val="TableParagraph"/>
              <w:spacing w:before="7"/>
              <w:ind w:right="185"/>
              <w:rPr>
                <w:sz w:val="16"/>
              </w:rPr>
            </w:pPr>
            <w:r>
              <w:rPr>
                <w:w w:val="98"/>
                <w:sz w:val="16"/>
              </w:rPr>
              <w:t>-</w:t>
            </w:r>
          </w:p>
        </w:tc>
        <w:tc>
          <w:tcPr>
            <w:tcW w:w="753" w:type="dxa"/>
          </w:tcPr>
          <w:p>
            <w:pPr>
              <w:pStyle w:val="TableParagraph"/>
              <w:spacing w:before="7"/>
              <w:ind w:right="174"/>
              <w:rPr>
                <w:sz w:val="16"/>
              </w:rPr>
            </w:pPr>
            <w:r>
              <w:rPr>
                <w:w w:val="98"/>
                <w:sz w:val="16"/>
              </w:rPr>
              <w:t>-</w:t>
            </w:r>
          </w:p>
        </w:tc>
        <w:tc>
          <w:tcPr>
            <w:tcW w:w="1053" w:type="dxa"/>
          </w:tcPr>
          <w:p>
            <w:pPr>
              <w:pStyle w:val="TableParagraph"/>
              <w:spacing w:before="7"/>
              <w:ind w:right="103"/>
              <w:rPr>
                <w:sz w:val="16"/>
              </w:rPr>
            </w:pPr>
            <w:r>
              <w:rPr>
                <w:w w:val="98"/>
                <w:sz w:val="16"/>
              </w:rPr>
              <w:t>-</w:t>
            </w:r>
          </w:p>
        </w:tc>
      </w:tr>
      <w:tr>
        <w:trPr>
          <w:trHeight w:val="223" w:hRule="atLeast"/>
        </w:trPr>
        <w:tc>
          <w:tcPr>
            <w:tcW w:w="2461" w:type="dxa"/>
            <w:tcBorders>
              <w:bottom w:val="single" w:sz="4" w:space="0" w:color="000000"/>
            </w:tcBorders>
          </w:tcPr>
          <w:p>
            <w:pPr>
              <w:pStyle w:val="TableParagraph"/>
              <w:spacing w:before="7"/>
              <w:ind w:left="117"/>
              <w:jc w:val="left"/>
              <w:rPr>
                <w:sz w:val="16"/>
              </w:rPr>
            </w:pPr>
            <w:r>
              <w:rPr>
                <w:spacing w:val="-2"/>
                <w:sz w:val="16"/>
              </w:rPr>
              <w:t>Overtime</w:t>
            </w:r>
          </w:p>
        </w:tc>
        <w:tc>
          <w:tcPr>
            <w:tcW w:w="1218" w:type="dxa"/>
            <w:tcBorders>
              <w:bottom w:val="single" w:sz="4" w:space="0" w:color="000000"/>
            </w:tcBorders>
          </w:tcPr>
          <w:p>
            <w:pPr>
              <w:pStyle w:val="TableParagraph"/>
              <w:spacing w:before="7"/>
              <w:ind w:right="193"/>
              <w:rPr>
                <w:sz w:val="16"/>
              </w:rPr>
            </w:pPr>
            <w:r>
              <w:rPr>
                <w:w w:val="98"/>
                <w:sz w:val="16"/>
              </w:rPr>
              <w:t>-</w:t>
            </w:r>
          </w:p>
        </w:tc>
        <w:tc>
          <w:tcPr>
            <w:tcW w:w="827" w:type="dxa"/>
            <w:tcBorders>
              <w:bottom w:val="single" w:sz="4" w:space="0" w:color="000000"/>
            </w:tcBorders>
          </w:tcPr>
          <w:p>
            <w:pPr>
              <w:pStyle w:val="TableParagraph"/>
              <w:spacing w:before="7"/>
              <w:ind w:right="107"/>
              <w:rPr>
                <w:sz w:val="16"/>
              </w:rPr>
            </w:pPr>
            <w:r>
              <w:rPr>
                <w:w w:val="98"/>
                <w:sz w:val="16"/>
              </w:rPr>
              <w:t>-</w:t>
            </w:r>
          </w:p>
        </w:tc>
        <w:tc>
          <w:tcPr>
            <w:tcW w:w="1133" w:type="dxa"/>
            <w:tcBorders>
              <w:bottom w:val="single" w:sz="4" w:space="0" w:color="000000"/>
            </w:tcBorders>
          </w:tcPr>
          <w:p>
            <w:pPr>
              <w:pStyle w:val="TableParagraph"/>
              <w:spacing w:before="7"/>
              <w:ind w:right="107"/>
              <w:rPr>
                <w:sz w:val="16"/>
              </w:rPr>
            </w:pPr>
            <w:r>
              <w:rPr>
                <w:w w:val="98"/>
                <w:sz w:val="16"/>
              </w:rPr>
              <w:t>-</w:t>
            </w:r>
          </w:p>
        </w:tc>
        <w:tc>
          <w:tcPr>
            <w:tcW w:w="1078" w:type="dxa"/>
            <w:tcBorders>
              <w:bottom w:val="single" w:sz="4" w:space="0" w:color="000000"/>
            </w:tcBorders>
          </w:tcPr>
          <w:p>
            <w:pPr>
              <w:pStyle w:val="TableParagraph"/>
              <w:spacing w:before="7"/>
              <w:ind w:right="52"/>
              <w:rPr>
                <w:sz w:val="16"/>
              </w:rPr>
            </w:pPr>
            <w:r>
              <w:rPr>
                <w:w w:val="98"/>
                <w:sz w:val="16"/>
              </w:rPr>
              <w:t>-</w:t>
            </w:r>
          </w:p>
        </w:tc>
        <w:tc>
          <w:tcPr>
            <w:tcW w:w="1122" w:type="dxa"/>
            <w:tcBorders>
              <w:bottom w:val="single" w:sz="4" w:space="0" w:color="000000"/>
            </w:tcBorders>
          </w:tcPr>
          <w:p>
            <w:pPr>
              <w:pStyle w:val="TableParagraph"/>
              <w:spacing w:before="7"/>
              <w:ind w:right="185"/>
              <w:rPr>
                <w:sz w:val="16"/>
              </w:rPr>
            </w:pPr>
            <w:r>
              <w:rPr>
                <w:w w:val="98"/>
                <w:sz w:val="16"/>
              </w:rPr>
              <w:t>-</w:t>
            </w:r>
          </w:p>
        </w:tc>
        <w:tc>
          <w:tcPr>
            <w:tcW w:w="753" w:type="dxa"/>
            <w:tcBorders>
              <w:bottom w:val="single" w:sz="4" w:space="0" w:color="000000"/>
            </w:tcBorders>
          </w:tcPr>
          <w:p>
            <w:pPr>
              <w:pStyle w:val="TableParagraph"/>
              <w:spacing w:before="7"/>
              <w:ind w:right="174"/>
              <w:rPr>
                <w:sz w:val="16"/>
              </w:rPr>
            </w:pPr>
            <w:r>
              <w:rPr>
                <w:w w:val="98"/>
                <w:sz w:val="16"/>
              </w:rPr>
              <w:t>-</w:t>
            </w:r>
          </w:p>
        </w:tc>
        <w:tc>
          <w:tcPr>
            <w:tcW w:w="1053" w:type="dxa"/>
            <w:tcBorders>
              <w:bottom w:val="single" w:sz="4" w:space="0" w:color="000000"/>
            </w:tcBorders>
          </w:tcPr>
          <w:p>
            <w:pPr>
              <w:pStyle w:val="TableParagraph"/>
              <w:spacing w:before="7"/>
              <w:ind w:right="103"/>
              <w:rPr>
                <w:sz w:val="16"/>
              </w:rPr>
            </w:pPr>
            <w:r>
              <w:rPr>
                <w:w w:val="98"/>
                <w:sz w:val="16"/>
              </w:rPr>
              <w:t>-</w:t>
            </w:r>
          </w:p>
        </w:tc>
      </w:tr>
      <w:tr>
        <w:trPr>
          <w:trHeight w:val="230" w:hRule="atLeast"/>
        </w:trPr>
        <w:tc>
          <w:tcPr>
            <w:tcW w:w="2461" w:type="dxa"/>
            <w:tcBorders>
              <w:top w:val="single" w:sz="4" w:space="0" w:color="000000"/>
              <w:bottom w:val="single" w:sz="4" w:space="0" w:color="000000"/>
            </w:tcBorders>
          </w:tcPr>
          <w:p>
            <w:pPr>
              <w:pStyle w:val="TableParagraph"/>
              <w:spacing w:before="14"/>
              <w:ind w:right="105"/>
              <w:rPr>
                <w:i/>
                <w:sz w:val="16"/>
              </w:rPr>
            </w:pPr>
            <w:r>
              <w:rPr>
                <w:i/>
                <w:sz w:val="16"/>
              </w:rPr>
              <w:t>Subtotal</w:t>
            </w:r>
            <w:r>
              <w:rPr>
                <w:i/>
                <w:spacing w:val="-2"/>
                <w:sz w:val="16"/>
              </w:rPr>
              <w:t> </w:t>
            </w:r>
            <w:r>
              <w:rPr>
                <w:i/>
                <w:sz w:val="16"/>
              </w:rPr>
              <w:t>other</w:t>
            </w:r>
            <w:r>
              <w:rPr>
                <w:i/>
                <w:spacing w:val="-1"/>
                <w:sz w:val="16"/>
              </w:rPr>
              <w:t> </w:t>
            </w:r>
            <w:r>
              <w:rPr>
                <w:i/>
                <w:spacing w:val="-2"/>
                <w:sz w:val="16"/>
              </w:rPr>
              <w:t>staff</w:t>
            </w:r>
          </w:p>
        </w:tc>
        <w:tc>
          <w:tcPr>
            <w:tcW w:w="1218" w:type="dxa"/>
            <w:tcBorders>
              <w:top w:val="single" w:sz="4" w:space="0" w:color="000000"/>
              <w:bottom w:val="single" w:sz="4" w:space="0" w:color="000000"/>
            </w:tcBorders>
          </w:tcPr>
          <w:p>
            <w:pPr>
              <w:pStyle w:val="TableParagraph"/>
              <w:spacing w:before="14"/>
              <w:ind w:right="191"/>
              <w:rPr>
                <w:i/>
                <w:sz w:val="16"/>
              </w:rPr>
            </w:pPr>
            <w:r>
              <w:rPr>
                <w:i/>
                <w:spacing w:val="-2"/>
                <w:sz w:val="16"/>
              </w:rPr>
              <w:t>258.3</w:t>
            </w:r>
          </w:p>
        </w:tc>
        <w:tc>
          <w:tcPr>
            <w:tcW w:w="827" w:type="dxa"/>
            <w:tcBorders>
              <w:top w:val="single" w:sz="4" w:space="0" w:color="000000"/>
              <w:bottom w:val="single" w:sz="4" w:space="0" w:color="000000"/>
            </w:tcBorders>
          </w:tcPr>
          <w:p>
            <w:pPr>
              <w:pStyle w:val="TableParagraph"/>
              <w:spacing w:before="14"/>
              <w:ind w:right="107"/>
              <w:rPr>
                <w:i/>
                <w:sz w:val="16"/>
              </w:rPr>
            </w:pPr>
            <w:r>
              <w:rPr>
                <w:i/>
                <w:w w:val="98"/>
                <w:sz w:val="16"/>
              </w:rPr>
              <w:t>-</w:t>
            </w:r>
          </w:p>
        </w:tc>
        <w:tc>
          <w:tcPr>
            <w:tcW w:w="1133" w:type="dxa"/>
            <w:tcBorders>
              <w:top w:val="single" w:sz="4" w:space="0" w:color="000000"/>
              <w:bottom w:val="single" w:sz="4" w:space="0" w:color="000000"/>
            </w:tcBorders>
          </w:tcPr>
          <w:p>
            <w:pPr>
              <w:pStyle w:val="TableParagraph"/>
              <w:spacing w:before="14"/>
              <w:ind w:right="106"/>
              <w:rPr>
                <w:i/>
                <w:sz w:val="16"/>
              </w:rPr>
            </w:pPr>
            <w:r>
              <w:rPr>
                <w:i/>
                <w:spacing w:val="-2"/>
                <w:sz w:val="16"/>
              </w:rPr>
              <w:t>258.3</w:t>
            </w:r>
          </w:p>
        </w:tc>
        <w:tc>
          <w:tcPr>
            <w:tcW w:w="1078" w:type="dxa"/>
            <w:tcBorders>
              <w:top w:val="single" w:sz="4" w:space="0" w:color="000000"/>
              <w:bottom w:val="single" w:sz="4" w:space="0" w:color="000000"/>
            </w:tcBorders>
          </w:tcPr>
          <w:p>
            <w:pPr>
              <w:pStyle w:val="TableParagraph"/>
              <w:spacing w:before="14"/>
              <w:ind w:right="50"/>
              <w:rPr>
                <w:i/>
                <w:sz w:val="16"/>
              </w:rPr>
            </w:pPr>
            <w:r>
              <w:rPr>
                <w:i/>
                <w:spacing w:val="-2"/>
                <w:sz w:val="16"/>
              </w:rPr>
              <w:t>225.6</w:t>
            </w:r>
          </w:p>
        </w:tc>
        <w:tc>
          <w:tcPr>
            <w:tcW w:w="1122" w:type="dxa"/>
            <w:tcBorders>
              <w:top w:val="single" w:sz="4" w:space="0" w:color="000000"/>
              <w:bottom w:val="single" w:sz="4" w:space="0" w:color="000000"/>
            </w:tcBorders>
          </w:tcPr>
          <w:p>
            <w:pPr>
              <w:pStyle w:val="TableParagraph"/>
              <w:spacing w:before="14"/>
              <w:ind w:right="187"/>
              <w:rPr>
                <w:i/>
                <w:sz w:val="16"/>
              </w:rPr>
            </w:pPr>
            <w:r>
              <w:rPr>
                <w:i/>
                <w:spacing w:val="-2"/>
                <w:sz w:val="16"/>
              </w:rPr>
              <w:t>(88.5)</w:t>
            </w:r>
          </w:p>
        </w:tc>
        <w:tc>
          <w:tcPr>
            <w:tcW w:w="753" w:type="dxa"/>
            <w:tcBorders>
              <w:top w:val="single" w:sz="4" w:space="0" w:color="000000"/>
              <w:bottom w:val="single" w:sz="4" w:space="0" w:color="000000"/>
            </w:tcBorders>
          </w:tcPr>
          <w:p>
            <w:pPr>
              <w:pStyle w:val="TableParagraph"/>
              <w:spacing w:before="14"/>
              <w:ind w:right="175"/>
              <w:rPr>
                <w:i/>
                <w:sz w:val="16"/>
              </w:rPr>
            </w:pPr>
            <w:r>
              <w:rPr>
                <w:i/>
                <w:spacing w:val="-2"/>
                <w:sz w:val="16"/>
              </w:rPr>
              <w:t>(39.2)</w:t>
            </w:r>
          </w:p>
        </w:tc>
        <w:tc>
          <w:tcPr>
            <w:tcW w:w="1053" w:type="dxa"/>
            <w:tcBorders>
              <w:top w:val="single" w:sz="4" w:space="0" w:color="000000"/>
              <w:bottom w:val="single" w:sz="4" w:space="0" w:color="000000"/>
            </w:tcBorders>
          </w:tcPr>
          <w:p>
            <w:pPr>
              <w:pStyle w:val="TableParagraph"/>
              <w:spacing w:before="14"/>
              <w:ind w:right="102"/>
              <w:rPr>
                <w:i/>
                <w:sz w:val="16"/>
              </w:rPr>
            </w:pPr>
            <w:r>
              <w:rPr>
                <w:i/>
                <w:spacing w:val="-2"/>
                <w:sz w:val="16"/>
              </w:rPr>
              <w:t>137.1</w:t>
            </w:r>
          </w:p>
        </w:tc>
      </w:tr>
      <w:tr>
        <w:trPr>
          <w:trHeight w:val="227" w:hRule="atLeast"/>
        </w:trPr>
        <w:tc>
          <w:tcPr>
            <w:tcW w:w="2461" w:type="dxa"/>
            <w:tcBorders>
              <w:top w:val="single" w:sz="4" w:space="0" w:color="000000"/>
            </w:tcBorders>
          </w:tcPr>
          <w:p>
            <w:pPr>
              <w:pStyle w:val="TableParagraph"/>
              <w:spacing w:before="9"/>
              <w:ind w:left="117"/>
              <w:jc w:val="left"/>
              <w:rPr>
                <w:sz w:val="16"/>
              </w:rPr>
            </w:pPr>
            <w:r>
              <w:rPr>
                <w:spacing w:val="-2"/>
                <w:sz w:val="16"/>
              </w:rPr>
              <w:t>Travel</w:t>
            </w:r>
          </w:p>
        </w:tc>
        <w:tc>
          <w:tcPr>
            <w:tcW w:w="1218" w:type="dxa"/>
            <w:tcBorders>
              <w:top w:val="single" w:sz="4" w:space="0" w:color="000000"/>
            </w:tcBorders>
          </w:tcPr>
          <w:p>
            <w:pPr>
              <w:pStyle w:val="TableParagraph"/>
              <w:spacing w:before="9"/>
              <w:ind w:right="195"/>
              <w:rPr>
                <w:sz w:val="16"/>
              </w:rPr>
            </w:pPr>
            <w:r>
              <w:rPr>
                <w:spacing w:val="-5"/>
                <w:sz w:val="16"/>
              </w:rPr>
              <w:t>7.0</w:t>
            </w:r>
          </w:p>
        </w:tc>
        <w:tc>
          <w:tcPr>
            <w:tcW w:w="827" w:type="dxa"/>
            <w:tcBorders>
              <w:top w:val="single" w:sz="4" w:space="0" w:color="000000"/>
            </w:tcBorders>
          </w:tcPr>
          <w:p>
            <w:pPr>
              <w:pStyle w:val="TableParagraph"/>
              <w:spacing w:before="9"/>
              <w:ind w:right="107"/>
              <w:rPr>
                <w:sz w:val="16"/>
              </w:rPr>
            </w:pPr>
            <w:r>
              <w:rPr>
                <w:w w:val="98"/>
                <w:sz w:val="16"/>
              </w:rPr>
              <w:t>-</w:t>
            </w:r>
          </w:p>
        </w:tc>
        <w:tc>
          <w:tcPr>
            <w:tcW w:w="1133" w:type="dxa"/>
            <w:tcBorders>
              <w:top w:val="single" w:sz="4" w:space="0" w:color="000000"/>
            </w:tcBorders>
          </w:tcPr>
          <w:p>
            <w:pPr>
              <w:pStyle w:val="TableParagraph"/>
              <w:spacing w:before="9"/>
              <w:ind w:right="110"/>
              <w:rPr>
                <w:sz w:val="16"/>
              </w:rPr>
            </w:pPr>
            <w:r>
              <w:rPr>
                <w:spacing w:val="-5"/>
                <w:sz w:val="16"/>
              </w:rPr>
              <w:t>7.0</w:t>
            </w:r>
          </w:p>
        </w:tc>
        <w:tc>
          <w:tcPr>
            <w:tcW w:w="1078" w:type="dxa"/>
            <w:tcBorders>
              <w:top w:val="single" w:sz="4" w:space="0" w:color="000000"/>
            </w:tcBorders>
          </w:tcPr>
          <w:p>
            <w:pPr>
              <w:pStyle w:val="TableParagraph"/>
              <w:spacing w:before="9"/>
              <w:ind w:right="50"/>
              <w:rPr>
                <w:sz w:val="16"/>
              </w:rPr>
            </w:pPr>
            <w:r>
              <w:rPr>
                <w:spacing w:val="-4"/>
                <w:sz w:val="16"/>
              </w:rPr>
              <w:t>16.2</w:t>
            </w:r>
          </w:p>
        </w:tc>
        <w:tc>
          <w:tcPr>
            <w:tcW w:w="1122" w:type="dxa"/>
            <w:tcBorders>
              <w:top w:val="single" w:sz="4" w:space="0" w:color="000000"/>
            </w:tcBorders>
          </w:tcPr>
          <w:p>
            <w:pPr>
              <w:pStyle w:val="TableParagraph"/>
              <w:spacing w:before="9"/>
              <w:ind w:right="183"/>
              <w:rPr>
                <w:sz w:val="16"/>
              </w:rPr>
            </w:pPr>
            <w:r>
              <w:rPr>
                <w:spacing w:val="-4"/>
                <w:sz w:val="16"/>
              </w:rPr>
              <w:t>22.7</w:t>
            </w:r>
          </w:p>
        </w:tc>
        <w:tc>
          <w:tcPr>
            <w:tcW w:w="753" w:type="dxa"/>
            <w:tcBorders>
              <w:top w:val="single" w:sz="4" w:space="0" w:color="000000"/>
            </w:tcBorders>
          </w:tcPr>
          <w:p>
            <w:pPr>
              <w:pStyle w:val="TableParagraph"/>
              <w:spacing w:before="9"/>
              <w:ind w:right="172"/>
              <w:rPr>
                <w:sz w:val="16"/>
              </w:rPr>
            </w:pPr>
            <w:r>
              <w:rPr>
                <w:spacing w:val="-2"/>
                <w:sz w:val="16"/>
              </w:rPr>
              <w:t>140.1</w:t>
            </w:r>
          </w:p>
        </w:tc>
        <w:tc>
          <w:tcPr>
            <w:tcW w:w="1053" w:type="dxa"/>
            <w:tcBorders>
              <w:top w:val="single" w:sz="4" w:space="0" w:color="000000"/>
            </w:tcBorders>
          </w:tcPr>
          <w:p>
            <w:pPr>
              <w:pStyle w:val="TableParagraph"/>
              <w:spacing w:before="9"/>
              <w:ind w:right="101"/>
              <w:rPr>
                <w:sz w:val="16"/>
              </w:rPr>
            </w:pPr>
            <w:r>
              <w:rPr>
                <w:spacing w:val="-4"/>
                <w:sz w:val="16"/>
              </w:rPr>
              <w:t>38.9</w:t>
            </w:r>
          </w:p>
        </w:tc>
      </w:tr>
      <w:tr>
        <w:trPr>
          <w:trHeight w:val="228" w:hRule="atLeast"/>
        </w:trPr>
        <w:tc>
          <w:tcPr>
            <w:tcW w:w="2461" w:type="dxa"/>
          </w:tcPr>
          <w:p>
            <w:pPr>
              <w:pStyle w:val="TableParagraph"/>
              <w:spacing w:before="7"/>
              <w:ind w:left="117"/>
              <w:jc w:val="left"/>
              <w:rPr>
                <w:sz w:val="16"/>
              </w:rPr>
            </w:pPr>
            <w:r>
              <w:rPr>
                <w:spacing w:val="-2"/>
                <w:sz w:val="16"/>
              </w:rPr>
              <w:t>Hospitality</w:t>
            </w:r>
          </w:p>
        </w:tc>
        <w:tc>
          <w:tcPr>
            <w:tcW w:w="1218" w:type="dxa"/>
          </w:tcPr>
          <w:p>
            <w:pPr>
              <w:pStyle w:val="TableParagraph"/>
              <w:spacing w:before="7"/>
              <w:ind w:right="193"/>
              <w:rPr>
                <w:sz w:val="16"/>
              </w:rPr>
            </w:pPr>
            <w:r>
              <w:rPr>
                <w:w w:val="98"/>
                <w:sz w:val="16"/>
              </w:rPr>
              <w:t>-</w:t>
            </w:r>
          </w:p>
        </w:tc>
        <w:tc>
          <w:tcPr>
            <w:tcW w:w="827" w:type="dxa"/>
          </w:tcPr>
          <w:p>
            <w:pPr>
              <w:pStyle w:val="TableParagraph"/>
              <w:spacing w:before="7"/>
              <w:ind w:right="107"/>
              <w:rPr>
                <w:sz w:val="16"/>
              </w:rPr>
            </w:pPr>
            <w:r>
              <w:rPr>
                <w:w w:val="98"/>
                <w:sz w:val="16"/>
              </w:rPr>
              <w:t>-</w:t>
            </w:r>
          </w:p>
        </w:tc>
        <w:tc>
          <w:tcPr>
            <w:tcW w:w="1133" w:type="dxa"/>
          </w:tcPr>
          <w:p>
            <w:pPr>
              <w:pStyle w:val="TableParagraph"/>
              <w:spacing w:before="7"/>
              <w:ind w:right="107"/>
              <w:rPr>
                <w:sz w:val="16"/>
              </w:rPr>
            </w:pPr>
            <w:r>
              <w:rPr>
                <w:w w:val="98"/>
                <w:sz w:val="16"/>
              </w:rPr>
              <w:t>-</w:t>
            </w:r>
          </w:p>
        </w:tc>
        <w:tc>
          <w:tcPr>
            <w:tcW w:w="1078" w:type="dxa"/>
          </w:tcPr>
          <w:p>
            <w:pPr>
              <w:pStyle w:val="TableParagraph"/>
              <w:spacing w:before="7"/>
              <w:ind w:right="52"/>
              <w:rPr>
                <w:sz w:val="16"/>
              </w:rPr>
            </w:pPr>
            <w:r>
              <w:rPr>
                <w:w w:val="98"/>
                <w:sz w:val="16"/>
              </w:rPr>
              <w:t>-</w:t>
            </w:r>
          </w:p>
        </w:tc>
        <w:tc>
          <w:tcPr>
            <w:tcW w:w="1122" w:type="dxa"/>
          </w:tcPr>
          <w:p>
            <w:pPr>
              <w:pStyle w:val="TableParagraph"/>
              <w:spacing w:before="7"/>
              <w:ind w:right="185"/>
              <w:rPr>
                <w:sz w:val="16"/>
              </w:rPr>
            </w:pPr>
            <w:r>
              <w:rPr>
                <w:w w:val="98"/>
                <w:sz w:val="16"/>
              </w:rPr>
              <w:t>-</w:t>
            </w:r>
          </w:p>
        </w:tc>
        <w:tc>
          <w:tcPr>
            <w:tcW w:w="753" w:type="dxa"/>
          </w:tcPr>
          <w:p>
            <w:pPr>
              <w:pStyle w:val="TableParagraph"/>
              <w:spacing w:before="7"/>
              <w:ind w:right="174"/>
              <w:rPr>
                <w:sz w:val="16"/>
              </w:rPr>
            </w:pPr>
            <w:r>
              <w:rPr>
                <w:w w:val="98"/>
                <w:sz w:val="16"/>
              </w:rPr>
              <w:t>-</w:t>
            </w:r>
          </w:p>
        </w:tc>
        <w:tc>
          <w:tcPr>
            <w:tcW w:w="1053" w:type="dxa"/>
          </w:tcPr>
          <w:p>
            <w:pPr>
              <w:pStyle w:val="TableParagraph"/>
              <w:spacing w:before="7"/>
              <w:ind w:right="103"/>
              <w:rPr>
                <w:sz w:val="16"/>
              </w:rPr>
            </w:pPr>
            <w:r>
              <w:rPr>
                <w:w w:val="98"/>
                <w:sz w:val="16"/>
              </w:rPr>
              <w:t>-</w:t>
            </w:r>
          </w:p>
        </w:tc>
      </w:tr>
      <w:tr>
        <w:trPr>
          <w:trHeight w:val="228" w:hRule="atLeast"/>
        </w:trPr>
        <w:tc>
          <w:tcPr>
            <w:tcW w:w="2461" w:type="dxa"/>
          </w:tcPr>
          <w:p>
            <w:pPr>
              <w:pStyle w:val="TableParagraph"/>
              <w:spacing w:before="10"/>
              <w:ind w:left="117"/>
              <w:jc w:val="left"/>
              <w:rPr>
                <w:sz w:val="16"/>
              </w:rPr>
            </w:pPr>
            <w:r>
              <w:rPr>
                <w:w w:val="95"/>
                <w:sz w:val="16"/>
              </w:rPr>
              <w:t>Contractual</w:t>
            </w:r>
            <w:r>
              <w:rPr>
                <w:spacing w:val="33"/>
                <w:sz w:val="16"/>
              </w:rPr>
              <w:t> </w:t>
            </w:r>
            <w:r>
              <w:rPr>
                <w:spacing w:val="-2"/>
                <w:sz w:val="16"/>
              </w:rPr>
              <w:t>services</w:t>
            </w:r>
          </w:p>
        </w:tc>
        <w:tc>
          <w:tcPr>
            <w:tcW w:w="1218" w:type="dxa"/>
          </w:tcPr>
          <w:p>
            <w:pPr>
              <w:pStyle w:val="TableParagraph"/>
              <w:spacing w:before="10"/>
              <w:ind w:right="195"/>
              <w:rPr>
                <w:sz w:val="16"/>
              </w:rPr>
            </w:pPr>
            <w:r>
              <w:rPr>
                <w:spacing w:val="-5"/>
                <w:sz w:val="16"/>
              </w:rPr>
              <w:t>4.5</w:t>
            </w:r>
          </w:p>
        </w:tc>
        <w:tc>
          <w:tcPr>
            <w:tcW w:w="827" w:type="dxa"/>
          </w:tcPr>
          <w:p>
            <w:pPr>
              <w:pStyle w:val="TableParagraph"/>
              <w:spacing w:before="10"/>
              <w:ind w:right="107"/>
              <w:rPr>
                <w:sz w:val="16"/>
              </w:rPr>
            </w:pPr>
            <w:r>
              <w:rPr>
                <w:w w:val="98"/>
                <w:sz w:val="16"/>
              </w:rPr>
              <w:t>-</w:t>
            </w:r>
          </w:p>
        </w:tc>
        <w:tc>
          <w:tcPr>
            <w:tcW w:w="1133" w:type="dxa"/>
          </w:tcPr>
          <w:p>
            <w:pPr>
              <w:pStyle w:val="TableParagraph"/>
              <w:spacing w:before="10"/>
              <w:ind w:right="110"/>
              <w:rPr>
                <w:sz w:val="16"/>
              </w:rPr>
            </w:pPr>
            <w:r>
              <w:rPr>
                <w:spacing w:val="-5"/>
                <w:sz w:val="16"/>
              </w:rPr>
              <w:t>4.5</w:t>
            </w:r>
          </w:p>
        </w:tc>
        <w:tc>
          <w:tcPr>
            <w:tcW w:w="1078" w:type="dxa"/>
          </w:tcPr>
          <w:p>
            <w:pPr>
              <w:pStyle w:val="TableParagraph"/>
              <w:spacing w:before="10"/>
              <w:ind w:right="52"/>
              <w:rPr>
                <w:sz w:val="16"/>
              </w:rPr>
            </w:pPr>
            <w:r>
              <w:rPr>
                <w:w w:val="98"/>
                <w:sz w:val="16"/>
              </w:rPr>
              <w:t>-</w:t>
            </w:r>
          </w:p>
        </w:tc>
        <w:tc>
          <w:tcPr>
            <w:tcW w:w="1122" w:type="dxa"/>
          </w:tcPr>
          <w:p>
            <w:pPr>
              <w:pStyle w:val="TableParagraph"/>
              <w:spacing w:before="10"/>
              <w:ind w:right="187"/>
              <w:rPr>
                <w:sz w:val="16"/>
              </w:rPr>
            </w:pPr>
            <w:r>
              <w:rPr>
                <w:spacing w:val="-5"/>
                <w:sz w:val="16"/>
              </w:rPr>
              <w:t>3.0</w:t>
            </w:r>
          </w:p>
        </w:tc>
        <w:tc>
          <w:tcPr>
            <w:tcW w:w="753" w:type="dxa"/>
          </w:tcPr>
          <w:p>
            <w:pPr>
              <w:pStyle w:val="TableParagraph"/>
              <w:spacing w:before="10"/>
              <w:ind w:right="174"/>
              <w:rPr>
                <w:sz w:val="16"/>
              </w:rPr>
            </w:pPr>
            <w:r>
              <w:rPr>
                <w:w w:val="98"/>
                <w:sz w:val="16"/>
              </w:rPr>
              <w:t>-</w:t>
            </w:r>
          </w:p>
        </w:tc>
        <w:tc>
          <w:tcPr>
            <w:tcW w:w="1053" w:type="dxa"/>
          </w:tcPr>
          <w:p>
            <w:pPr>
              <w:pStyle w:val="TableParagraph"/>
              <w:spacing w:before="10"/>
              <w:ind w:right="106"/>
              <w:rPr>
                <w:sz w:val="16"/>
              </w:rPr>
            </w:pPr>
            <w:r>
              <w:rPr>
                <w:spacing w:val="-5"/>
                <w:sz w:val="16"/>
              </w:rPr>
              <w:t>3.0</w:t>
            </w:r>
          </w:p>
        </w:tc>
      </w:tr>
      <w:tr>
        <w:trPr>
          <w:trHeight w:val="225" w:hRule="atLeast"/>
        </w:trPr>
        <w:tc>
          <w:tcPr>
            <w:tcW w:w="2461" w:type="dxa"/>
          </w:tcPr>
          <w:p>
            <w:pPr>
              <w:pStyle w:val="TableParagraph"/>
              <w:spacing w:before="7"/>
              <w:ind w:left="117"/>
              <w:jc w:val="left"/>
              <w:rPr>
                <w:sz w:val="16"/>
              </w:rPr>
            </w:pPr>
            <w:r>
              <w:rPr>
                <w:spacing w:val="-2"/>
                <w:sz w:val="16"/>
              </w:rPr>
              <w:t>Training</w:t>
            </w:r>
          </w:p>
        </w:tc>
        <w:tc>
          <w:tcPr>
            <w:tcW w:w="1218" w:type="dxa"/>
          </w:tcPr>
          <w:p>
            <w:pPr>
              <w:pStyle w:val="TableParagraph"/>
              <w:spacing w:before="7"/>
              <w:ind w:right="195"/>
              <w:rPr>
                <w:sz w:val="16"/>
              </w:rPr>
            </w:pPr>
            <w:r>
              <w:rPr>
                <w:spacing w:val="-5"/>
                <w:sz w:val="16"/>
              </w:rPr>
              <w:t>1.5</w:t>
            </w:r>
          </w:p>
        </w:tc>
        <w:tc>
          <w:tcPr>
            <w:tcW w:w="827" w:type="dxa"/>
          </w:tcPr>
          <w:p>
            <w:pPr>
              <w:pStyle w:val="TableParagraph"/>
              <w:spacing w:before="7"/>
              <w:ind w:right="107"/>
              <w:rPr>
                <w:sz w:val="16"/>
              </w:rPr>
            </w:pPr>
            <w:r>
              <w:rPr>
                <w:w w:val="98"/>
                <w:sz w:val="16"/>
              </w:rPr>
              <w:t>-</w:t>
            </w:r>
          </w:p>
        </w:tc>
        <w:tc>
          <w:tcPr>
            <w:tcW w:w="1133" w:type="dxa"/>
          </w:tcPr>
          <w:p>
            <w:pPr>
              <w:pStyle w:val="TableParagraph"/>
              <w:spacing w:before="7"/>
              <w:ind w:right="110"/>
              <w:rPr>
                <w:sz w:val="16"/>
              </w:rPr>
            </w:pPr>
            <w:r>
              <w:rPr>
                <w:spacing w:val="-5"/>
                <w:sz w:val="16"/>
              </w:rPr>
              <w:t>1.5</w:t>
            </w:r>
          </w:p>
        </w:tc>
        <w:tc>
          <w:tcPr>
            <w:tcW w:w="1078" w:type="dxa"/>
          </w:tcPr>
          <w:p>
            <w:pPr>
              <w:pStyle w:val="TableParagraph"/>
              <w:spacing w:before="7"/>
              <w:ind w:right="55"/>
              <w:rPr>
                <w:sz w:val="16"/>
              </w:rPr>
            </w:pPr>
            <w:r>
              <w:rPr>
                <w:spacing w:val="-5"/>
                <w:sz w:val="16"/>
              </w:rPr>
              <w:t>7.0</w:t>
            </w:r>
          </w:p>
        </w:tc>
        <w:tc>
          <w:tcPr>
            <w:tcW w:w="1122" w:type="dxa"/>
          </w:tcPr>
          <w:p>
            <w:pPr>
              <w:pStyle w:val="TableParagraph"/>
              <w:spacing w:before="7"/>
              <w:ind w:right="187"/>
              <w:rPr>
                <w:sz w:val="16"/>
              </w:rPr>
            </w:pPr>
            <w:r>
              <w:rPr>
                <w:spacing w:val="-5"/>
                <w:sz w:val="16"/>
              </w:rPr>
              <w:t>0.6</w:t>
            </w:r>
          </w:p>
        </w:tc>
        <w:tc>
          <w:tcPr>
            <w:tcW w:w="753" w:type="dxa"/>
          </w:tcPr>
          <w:p>
            <w:pPr>
              <w:pStyle w:val="TableParagraph"/>
              <w:spacing w:before="7"/>
              <w:ind w:right="177"/>
              <w:rPr>
                <w:sz w:val="16"/>
              </w:rPr>
            </w:pPr>
            <w:r>
              <w:rPr>
                <w:spacing w:val="-5"/>
                <w:sz w:val="16"/>
              </w:rPr>
              <w:t>8.6</w:t>
            </w:r>
          </w:p>
        </w:tc>
        <w:tc>
          <w:tcPr>
            <w:tcW w:w="1053" w:type="dxa"/>
          </w:tcPr>
          <w:p>
            <w:pPr>
              <w:pStyle w:val="TableParagraph"/>
              <w:spacing w:before="7"/>
              <w:ind w:right="106"/>
              <w:rPr>
                <w:sz w:val="16"/>
              </w:rPr>
            </w:pPr>
            <w:r>
              <w:rPr>
                <w:spacing w:val="-5"/>
                <w:sz w:val="16"/>
              </w:rPr>
              <w:t>7.6</w:t>
            </w:r>
          </w:p>
        </w:tc>
      </w:tr>
      <w:tr>
        <w:trPr>
          <w:trHeight w:val="228" w:hRule="atLeast"/>
        </w:trPr>
        <w:tc>
          <w:tcPr>
            <w:tcW w:w="2461" w:type="dxa"/>
          </w:tcPr>
          <w:p>
            <w:pPr>
              <w:pStyle w:val="TableParagraph"/>
              <w:spacing w:before="7"/>
              <w:ind w:left="117"/>
              <w:jc w:val="left"/>
              <w:rPr>
                <w:sz w:val="16"/>
              </w:rPr>
            </w:pPr>
            <w:r>
              <w:rPr>
                <w:spacing w:val="-2"/>
                <w:sz w:val="16"/>
              </w:rPr>
              <w:t>Consultants</w:t>
            </w:r>
          </w:p>
        </w:tc>
        <w:tc>
          <w:tcPr>
            <w:tcW w:w="1218" w:type="dxa"/>
          </w:tcPr>
          <w:p>
            <w:pPr>
              <w:pStyle w:val="TableParagraph"/>
              <w:spacing w:before="7"/>
              <w:ind w:right="191"/>
              <w:rPr>
                <w:sz w:val="16"/>
              </w:rPr>
            </w:pPr>
            <w:r>
              <w:rPr>
                <w:spacing w:val="-4"/>
                <w:sz w:val="16"/>
              </w:rPr>
              <w:t>14.8</w:t>
            </w:r>
          </w:p>
        </w:tc>
        <w:tc>
          <w:tcPr>
            <w:tcW w:w="827" w:type="dxa"/>
          </w:tcPr>
          <w:p>
            <w:pPr>
              <w:pStyle w:val="TableParagraph"/>
              <w:spacing w:before="7"/>
              <w:ind w:right="107"/>
              <w:rPr>
                <w:sz w:val="16"/>
              </w:rPr>
            </w:pPr>
            <w:r>
              <w:rPr>
                <w:w w:val="98"/>
                <w:sz w:val="16"/>
              </w:rPr>
              <w:t>-</w:t>
            </w:r>
          </w:p>
        </w:tc>
        <w:tc>
          <w:tcPr>
            <w:tcW w:w="1133" w:type="dxa"/>
          </w:tcPr>
          <w:p>
            <w:pPr>
              <w:pStyle w:val="TableParagraph"/>
              <w:spacing w:before="7"/>
              <w:ind w:right="105"/>
              <w:rPr>
                <w:sz w:val="16"/>
              </w:rPr>
            </w:pPr>
            <w:r>
              <w:rPr>
                <w:spacing w:val="-4"/>
                <w:sz w:val="16"/>
              </w:rPr>
              <w:t>14.8</w:t>
            </w:r>
          </w:p>
        </w:tc>
        <w:tc>
          <w:tcPr>
            <w:tcW w:w="1078" w:type="dxa"/>
          </w:tcPr>
          <w:p>
            <w:pPr>
              <w:pStyle w:val="TableParagraph"/>
              <w:spacing w:before="7"/>
              <w:ind w:right="50"/>
              <w:rPr>
                <w:sz w:val="16"/>
              </w:rPr>
            </w:pPr>
            <w:r>
              <w:rPr>
                <w:spacing w:val="-4"/>
                <w:sz w:val="16"/>
              </w:rPr>
              <w:t>37.0</w:t>
            </w:r>
          </w:p>
        </w:tc>
        <w:tc>
          <w:tcPr>
            <w:tcW w:w="1122" w:type="dxa"/>
          </w:tcPr>
          <w:p>
            <w:pPr>
              <w:pStyle w:val="TableParagraph"/>
              <w:spacing w:before="7"/>
              <w:ind w:right="187"/>
              <w:rPr>
                <w:sz w:val="16"/>
              </w:rPr>
            </w:pPr>
            <w:r>
              <w:rPr>
                <w:spacing w:val="-5"/>
                <w:sz w:val="16"/>
              </w:rPr>
              <w:t>3.0</w:t>
            </w:r>
          </w:p>
        </w:tc>
        <w:tc>
          <w:tcPr>
            <w:tcW w:w="753" w:type="dxa"/>
          </w:tcPr>
          <w:p>
            <w:pPr>
              <w:pStyle w:val="TableParagraph"/>
              <w:spacing w:before="7"/>
              <w:ind w:right="177"/>
              <w:rPr>
                <w:sz w:val="16"/>
              </w:rPr>
            </w:pPr>
            <w:r>
              <w:rPr>
                <w:spacing w:val="-5"/>
                <w:sz w:val="16"/>
              </w:rPr>
              <w:t>8.1</w:t>
            </w:r>
          </w:p>
        </w:tc>
        <w:tc>
          <w:tcPr>
            <w:tcW w:w="1053" w:type="dxa"/>
          </w:tcPr>
          <w:p>
            <w:pPr>
              <w:pStyle w:val="TableParagraph"/>
              <w:spacing w:before="7"/>
              <w:ind w:right="101"/>
              <w:rPr>
                <w:sz w:val="16"/>
              </w:rPr>
            </w:pPr>
            <w:r>
              <w:rPr>
                <w:spacing w:val="-4"/>
                <w:sz w:val="16"/>
              </w:rPr>
              <w:t>40.0</w:t>
            </w:r>
          </w:p>
        </w:tc>
      </w:tr>
      <w:tr>
        <w:trPr>
          <w:trHeight w:val="227" w:hRule="atLeast"/>
        </w:trPr>
        <w:tc>
          <w:tcPr>
            <w:tcW w:w="2461" w:type="dxa"/>
          </w:tcPr>
          <w:p>
            <w:pPr>
              <w:pStyle w:val="TableParagraph"/>
              <w:spacing w:before="10"/>
              <w:ind w:left="117"/>
              <w:jc w:val="left"/>
              <w:rPr>
                <w:sz w:val="16"/>
              </w:rPr>
            </w:pPr>
            <w:r>
              <w:rPr>
                <w:sz w:val="16"/>
              </w:rPr>
              <w:t>General</w:t>
            </w:r>
            <w:r>
              <w:rPr>
                <w:spacing w:val="-4"/>
                <w:sz w:val="16"/>
              </w:rPr>
              <w:t> </w:t>
            </w:r>
            <w:r>
              <w:rPr>
                <w:sz w:val="16"/>
              </w:rPr>
              <w:t>operating</w:t>
            </w:r>
            <w:r>
              <w:rPr>
                <w:spacing w:val="-1"/>
                <w:sz w:val="16"/>
              </w:rPr>
              <w:t> </w:t>
            </w:r>
            <w:r>
              <w:rPr>
                <w:spacing w:val="-2"/>
                <w:sz w:val="16"/>
              </w:rPr>
              <w:t>expenses</w:t>
            </w:r>
          </w:p>
        </w:tc>
        <w:tc>
          <w:tcPr>
            <w:tcW w:w="1218" w:type="dxa"/>
          </w:tcPr>
          <w:p>
            <w:pPr>
              <w:pStyle w:val="TableParagraph"/>
              <w:spacing w:before="10"/>
              <w:ind w:right="193"/>
              <w:rPr>
                <w:sz w:val="16"/>
              </w:rPr>
            </w:pPr>
            <w:r>
              <w:rPr>
                <w:w w:val="98"/>
                <w:sz w:val="16"/>
              </w:rPr>
              <w:t>-</w:t>
            </w:r>
          </w:p>
        </w:tc>
        <w:tc>
          <w:tcPr>
            <w:tcW w:w="827" w:type="dxa"/>
          </w:tcPr>
          <w:p>
            <w:pPr>
              <w:pStyle w:val="TableParagraph"/>
              <w:spacing w:before="10"/>
              <w:ind w:right="107"/>
              <w:rPr>
                <w:sz w:val="16"/>
              </w:rPr>
            </w:pPr>
            <w:r>
              <w:rPr>
                <w:w w:val="98"/>
                <w:sz w:val="16"/>
              </w:rPr>
              <w:t>-</w:t>
            </w:r>
          </w:p>
        </w:tc>
        <w:tc>
          <w:tcPr>
            <w:tcW w:w="1133" w:type="dxa"/>
          </w:tcPr>
          <w:p>
            <w:pPr>
              <w:pStyle w:val="TableParagraph"/>
              <w:spacing w:before="10"/>
              <w:ind w:right="107"/>
              <w:rPr>
                <w:sz w:val="16"/>
              </w:rPr>
            </w:pPr>
            <w:r>
              <w:rPr>
                <w:w w:val="98"/>
                <w:sz w:val="16"/>
              </w:rPr>
              <w:t>-</w:t>
            </w:r>
          </w:p>
        </w:tc>
        <w:tc>
          <w:tcPr>
            <w:tcW w:w="1078" w:type="dxa"/>
          </w:tcPr>
          <w:p>
            <w:pPr>
              <w:pStyle w:val="TableParagraph"/>
              <w:spacing w:before="10"/>
              <w:ind w:right="52"/>
              <w:rPr>
                <w:sz w:val="16"/>
              </w:rPr>
            </w:pPr>
            <w:r>
              <w:rPr>
                <w:w w:val="98"/>
                <w:sz w:val="16"/>
              </w:rPr>
              <w:t>-</w:t>
            </w:r>
          </w:p>
        </w:tc>
        <w:tc>
          <w:tcPr>
            <w:tcW w:w="1122" w:type="dxa"/>
          </w:tcPr>
          <w:p>
            <w:pPr>
              <w:pStyle w:val="TableParagraph"/>
              <w:spacing w:before="10"/>
              <w:ind w:right="185"/>
              <w:rPr>
                <w:sz w:val="16"/>
              </w:rPr>
            </w:pPr>
            <w:r>
              <w:rPr>
                <w:w w:val="98"/>
                <w:sz w:val="16"/>
              </w:rPr>
              <w:t>-</w:t>
            </w:r>
          </w:p>
        </w:tc>
        <w:tc>
          <w:tcPr>
            <w:tcW w:w="753" w:type="dxa"/>
          </w:tcPr>
          <w:p>
            <w:pPr>
              <w:pStyle w:val="TableParagraph"/>
              <w:spacing w:before="10"/>
              <w:ind w:right="174"/>
              <w:rPr>
                <w:sz w:val="16"/>
              </w:rPr>
            </w:pPr>
            <w:r>
              <w:rPr>
                <w:w w:val="98"/>
                <w:sz w:val="16"/>
              </w:rPr>
              <w:t>-</w:t>
            </w:r>
          </w:p>
        </w:tc>
        <w:tc>
          <w:tcPr>
            <w:tcW w:w="1053" w:type="dxa"/>
          </w:tcPr>
          <w:p>
            <w:pPr>
              <w:pStyle w:val="TableParagraph"/>
              <w:spacing w:before="10"/>
              <w:ind w:right="103"/>
              <w:rPr>
                <w:sz w:val="16"/>
              </w:rPr>
            </w:pPr>
            <w:r>
              <w:rPr>
                <w:w w:val="98"/>
                <w:sz w:val="16"/>
              </w:rPr>
              <w:t>-</w:t>
            </w:r>
          </w:p>
        </w:tc>
      </w:tr>
      <w:tr>
        <w:trPr>
          <w:trHeight w:val="225" w:hRule="atLeast"/>
        </w:trPr>
        <w:tc>
          <w:tcPr>
            <w:tcW w:w="2461" w:type="dxa"/>
          </w:tcPr>
          <w:p>
            <w:pPr>
              <w:pStyle w:val="TableParagraph"/>
              <w:spacing w:before="7"/>
              <w:ind w:left="117"/>
              <w:jc w:val="left"/>
              <w:rPr>
                <w:sz w:val="16"/>
              </w:rPr>
            </w:pPr>
            <w:r>
              <w:rPr>
                <w:sz w:val="16"/>
              </w:rPr>
              <w:t>Supplies</w:t>
            </w:r>
            <w:r>
              <w:rPr>
                <w:spacing w:val="-4"/>
                <w:sz w:val="16"/>
              </w:rPr>
              <w:t> </w:t>
            </w:r>
            <w:r>
              <w:rPr>
                <w:sz w:val="16"/>
              </w:rPr>
              <w:t>and</w:t>
            </w:r>
            <w:r>
              <w:rPr>
                <w:spacing w:val="-2"/>
                <w:sz w:val="16"/>
              </w:rPr>
              <w:t> materials</w:t>
            </w:r>
          </w:p>
        </w:tc>
        <w:tc>
          <w:tcPr>
            <w:tcW w:w="1218" w:type="dxa"/>
          </w:tcPr>
          <w:p>
            <w:pPr>
              <w:pStyle w:val="TableParagraph"/>
              <w:spacing w:before="7"/>
              <w:ind w:right="193"/>
              <w:rPr>
                <w:sz w:val="16"/>
              </w:rPr>
            </w:pPr>
            <w:r>
              <w:rPr>
                <w:w w:val="98"/>
                <w:sz w:val="16"/>
              </w:rPr>
              <w:t>-</w:t>
            </w:r>
          </w:p>
        </w:tc>
        <w:tc>
          <w:tcPr>
            <w:tcW w:w="827" w:type="dxa"/>
          </w:tcPr>
          <w:p>
            <w:pPr>
              <w:pStyle w:val="TableParagraph"/>
              <w:spacing w:before="7"/>
              <w:ind w:right="107"/>
              <w:rPr>
                <w:sz w:val="16"/>
              </w:rPr>
            </w:pPr>
            <w:r>
              <w:rPr>
                <w:w w:val="98"/>
                <w:sz w:val="16"/>
              </w:rPr>
              <w:t>-</w:t>
            </w:r>
          </w:p>
        </w:tc>
        <w:tc>
          <w:tcPr>
            <w:tcW w:w="1133" w:type="dxa"/>
          </w:tcPr>
          <w:p>
            <w:pPr>
              <w:pStyle w:val="TableParagraph"/>
              <w:spacing w:before="7"/>
              <w:ind w:right="107"/>
              <w:rPr>
                <w:sz w:val="16"/>
              </w:rPr>
            </w:pPr>
            <w:r>
              <w:rPr>
                <w:w w:val="98"/>
                <w:sz w:val="16"/>
              </w:rPr>
              <w:t>-</w:t>
            </w:r>
          </w:p>
        </w:tc>
        <w:tc>
          <w:tcPr>
            <w:tcW w:w="1078" w:type="dxa"/>
          </w:tcPr>
          <w:p>
            <w:pPr>
              <w:pStyle w:val="TableParagraph"/>
              <w:spacing w:before="7"/>
              <w:ind w:right="52"/>
              <w:rPr>
                <w:sz w:val="16"/>
              </w:rPr>
            </w:pPr>
            <w:r>
              <w:rPr>
                <w:w w:val="98"/>
                <w:sz w:val="16"/>
              </w:rPr>
              <w:t>-</w:t>
            </w:r>
          </w:p>
        </w:tc>
        <w:tc>
          <w:tcPr>
            <w:tcW w:w="1122" w:type="dxa"/>
          </w:tcPr>
          <w:p>
            <w:pPr>
              <w:pStyle w:val="TableParagraph"/>
              <w:spacing w:before="7"/>
              <w:ind w:right="185"/>
              <w:rPr>
                <w:sz w:val="16"/>
              </w:rPr>
            </w:pPr>
            <w:r>
              <w:rPr>
                <w:w w:val="98"/>
                <w:sz w:val="16"/>
              </w:rPr>
              <w:t>-</w:t>
            </w:r>
          </w:p>
        </w:tc>
        <w:tc>
          <w:tcPr>
            <w:tcW w:w="753" w:type="dxa"/>
          </w:tcPr>
          <w:p>
            <w:pPr>
              <w:pStyle w:val="TableParagraph"/>
              <w:spacing w:before="7"/>
              <w:ind w:right="174"/>
              <w:rPr>
                <w:sz w:val="16"/>
              </w:rPr>
            </w:pPr>
            <w:r>
              <w:rPr>
                <w:w w:val="98"/>
                <w:sz w:val="16"/>
              </w:rPr>
              <w:t>-</w:t>
            </w:r>
          </w:p>
        </w:tc>
        <w:tc>
          <w:tcPr>
            <w:tcW w:w="1053" w:type="dxa"/>
          </w:tcPr>
          <w:p>
            <w:pPr>
              <w:pStyle w:val="TableParagraph"/>
              <w:spacing w:before="7"/>
              <w:ind w:right="103"/>
              <w:rPr>
                <w:sz w:val="16"/>
              </w:rPr>
            </w:pPr>
            <w:r>
              <w:rPr>
                <w:w w:val="98"/>
                <w:sz w:val="16"/>
              </w:rPr>
              <w:t>-</w:t>
            </w:r>
          </w:p>
        </w:tc>
      </w:tr>
      <w:tr>
        <w:trPr>
          <w:trHeight w:val="223" w:hRule="atLeast"/>
        </w:trPr>
        <w:tc>
          <w:tcPr>
            <w:tcW w:w="2461" w:type="dxa"/>
            <w:tcBorders>
              <w:bottom w:val="single" w:sz="4" w:space="0" w:color="000000"/>
            </w:tcBorders>
          </w:tcPr>
          <w:p>
            <w:pPr>
              <w:pStyle w:val="TableParagraph"/>
              <w:spacing w:before="7"/>
              <w:ind w:left="117"/>
              <w:jc w:val="left"/>
              <w:rPr>
                <w:sz w:val="16"/>
              </w:rPr>
            </w:pPr>
            <w:r>
              <w:rPr>
                <w:sz w:val="16"/>
              </w:rPr>
              <w:t>Furniture</w:t>
            </w:r>
            <w:r>
              <w:rPr>
                <w:spacing w:val="-4"/>
                <w:sz w:val="16"/>
              </w:rPr>
              <w:t> </w:t>
            </w:r>
            <w:r>
              <w:rPr>
                <w:sz w:val="16"/>
              </w:rPr>
              <w:t>and</w:t>
            </w:r>
            <w:r>
              <w:rPr>
                <w:spacing w:val="-2"/>
                <w:sz w:val="16"/>
              </w:rPr>
              <w:t> equipment</w:t>
            </w:r>
          </w:p>
        </w:tc>
        <w:tc>
          <w:tcPr>
            <w:tcW w:w="1218" w:type="dxa"/>
            <w:tcBorders>
              <w:bottom w:val="single" w:sz="4" w:space="0" w:color="000000"/>
            </w:tcBorders>
          </w:tcPr>
          <w:p>
            <w:pPr>
              <w:pStyle w:val="TableParagraph"/>
              <w:spacing w:before="7"/>
              <w:ind w:right="195"/>
              <w:rPr>
                <w:sz w:val="16"/>
              </w:rPr>
            </w:pPr>
            <w:r>
              <w:rPr>
                <w:spacing w:val="-5"/>
                <w:sz w:val="16"/>
              </w:rPr>
              <w:t>0.4</w:t>
            </w:r>
          </w:p>
        </w:tc>
        <w:tc>
          <w:tcPr>
            <w:tcW w:w="827" w:type="dxa"/>
            <w:tcBorders>
              <w:bottom w:val="single" w:sz="4" w:space="0" w:color="000000"/>
            </w:tcBorders>
          </w:tcPr>
          <w:p>
            <w:pPr>
              <w:pStyle w:val="TableParagraph"/>
              <w:spacing w:before="7"/>
              <w:ind w:right="107"/>
              <w:rPr>
                <w:sz w:val="16"/>
              </w:rPr>
            </w:pPr>
            <w:r>
              <w:rPr>
                <w:w w:val="98"/>
                <w:sz w:val="16"/>
              </w:rPr>
              <w:t>-</w:t>
            </w:r>
          </w:p>
        </w:tc>
        <w:tc>
          <w:tcPr>
            <w:tcW w:w="1133" w:type="dxa"/>
            <w:tcBorders>
              <w:bottom w:val="single" w:sz="4" w:space="0" w:color="000000"/>
            </w:tcBorders>
          </w:tcPr>
          <w:p>
            <w:pPr>
              <w:pStyle w:val="TableParagraph"/>
              <w:spacing w:before="7"/>
              <w:ind w:right="110"/>
              <w:rPr>
                <w:sz w:val="16"/>
              </w:rPr>
            </w:pPr>
            <w:r>
              <w:rPr>
                <w:spacing w:val="-5"/>
                <w:sz w:val="16"/>
              </w:rPr>
              <w:t>0.4</w:t>
            </w:r>
          </w:p>
        </w:tc>
        <w:tc>
          <w:tcPr>
            <w:tcW w:w="1078" w:type="dxa"/>
            <w:tcBorders>
              <w:bottom w:val="single" w:sz="4" w:space="0" w:color="000000"/>
            </w:tcBorders>
          </w:tcPr>
          <w:p>
            <w:pPr>
              <w:pStyle w:val="TableParagraph"/>
              <w:spacing w:before="7"/>
              <w:ind w:right="55"/>
              <w:rPr>
                <w:sz w:val="16"/>
              </w:rPr>
            </w:pPr>
            <w:r>
              <w:rPr>
                <w:spacing w:val="-5"/>
                <w:sz w:val="16"/>
              </w:rPr>
              <w:t>8.4</w:t>
            </w:r>
          </w:p>
        </w:tc>
        <w:tc>
          <w:tcPr>
            <w:tcW w:w="1122" w:type="dxa"/>
            <w:tcBorders>
              <w:bottom w:val="single" w:sz="4" w:space="0" w:color="000000"/>
            </w:tcBorders>
          </w:tcPr>
          <w:p>
            <w:pPr>
              <w:pStyle w:val="TableParagraph"/>
              <w:spacing w:before="7"/>
              <w:ind w:right="185"/>
              <w:rPr>
                <w:sz w:val="16"/>
              </w:rPr>
            </w:pPr>
            <w:r>
              <w:rPr>
                <w:spacing w:val="-2"/>
                <w:sz w:val="16"/>
              </w:rPr>
              <w:t>(7.4)</w:t>
            </w:r>
          </w:p>
        </w:tc>
        <w:tc>
          <w:tcPr>
            <w:tcW w:w="753" w:type="dxa"/>
            <w:tcBorders>
              <w:bottom w:val="single" w:sz="4" w:space="0" w:color="000000"/>
            </w:tcBorders>
          </w:tcPr>
          <w:p>
            <w:pPr>
              <w:pStyle w:val="TableParagraph"/>
              <w:spacing w:before="7"/>
              <w:ind w:right="175"/>
              <w:rPr>
                <w:sz w:val="16"/>
              </w:rPr>
            </w:pPr>
            <w:r>
              <w:rPr>
                <w:spacing w:val="-2"/>
                <w:sz w:val="16"/>
              </w:rPr>
              <w:t>(88.1)</w:t>
            </w:r>
          </w:p>
        </w:tc>
        <w:tc>
          <w:tcPr>
            <w:tcW w:w="1053" w:type="dxa"/>
            <w:tcBorders>
              <w:bottom w:val="single" w:sz="4" w:space="0" w:color="000000"/>
            </w:tcBorders>
          </w:tcPr>
          <w:p>
            <w:pPr>
              <w:pStyle w:val="TableParagraph"/>
              <w:spacing w:before="7"/>
              <w:ind w:right="106"/>
              <w:rPr>
                <w:sz w:val="16"/>
              </w:rPr>
            </w:pPr>
            <w:r>
              <w:rPr>
                <w:spacing w:val="-5"/>
                <w:sz w:val="16"/>
              </w:rPr>
              <w:t>1.0</w:t>
            </w:r>
          </w:p>
        </w:tc>
      </w:tr>
      <w:tr>
        <w:trPr>
          <w:trHeight w:val="225" w:hRule="atLeast"/>
        </w:trPr>
        <w:tc>
          <w:tcPr>
            <w:tcW w:w="2461" w:type="dxa"/>
            <w:tcBorders>
              <w:top w:val="single" w:sz="4" w:space="0" w:color="000000"/>
              <w:bottom w:val="single" w:sz="4" w:space="0" w:color="000000"/>
            </w:tcBorders>
          </w:tcPr>
          <w:p>
            <w:pPr>
              <w:pStyle w:val="TableParagraph"/>
              <w:spacing w:before="14"/>
              <w:ind w:right="103"/>
              <w:rPr>
                <w:i/>
                <w:sz w:val="16"/>
              </w:rPr>
            </w:pPr>
            <w:r>
              <w:rPr>
                <w:i/>
                <w:w w:val="95"/>
                <w:sz w:val="16"/>
              </w:rPr>
              <w:t>Subtotal</w:t>
            </w:r>
            <w:r>
              <w:rPr>
                <w:i/>
                <w:spacing w:val="40"/>
                <w:sz w:val="16"/>
              </w:rPr>
              <w:t> </w:t>
            </w:r>
            <w:r>
              <w:rPr>
                <w:i/>
                <w:w w:val="95"/>
                <w:sz w:val="16"/>
              </w:rPr>
              <w:t>non-</w:t>
            </w:r>
            <w:r>
              <w:rPr>
                <w:i/>
                <w:spacing w:val="-4"/>
                <w:w w:val="95"/>
                <w:sz w:val="16"/>
              </w:rPr>
              <w:t>staff</w:t>
            </w:r>
          </w:p>
        </w:tc>
        <w:tc>
          <w:tcPr>
            <w:tcW w:w="1218" w:type="dxa"/>
            <w:tcBorders>
              <w:top w:val="single" w:sz="4" w:space="0" w:color="000000"/>
              <w:bottom w:val="single" w:sz="4" w:space="0" w:color="000000"/>
            </w:tcBorders>
          </w:tcPr>
          <w:p>
            <w:pPr>
              <w:pStyle w:val="TableParagraph"/>
              <w:spacing w:before="14"/>
              <w:ind w:right="191"/>
              <w:rPr>
                <w:i/>
                <w:sz w:val="16"/>
              </w:rPr>
            </w:pPr>
            <w:r>
              <w:rPr>
                <w:i/>
                <w:spacing w:val="-4"/>
                <w:sz w:val="16"/>
              </w:rPr>
              <w:t>28.2</w:t>
            </w:r>
          </w:p>
        </w:tc>
        <w:tc>
          <w:tcPr>
            <w:tcW w:w="827" w:type="dxa"/>
            <w:tcBorders>
              <w:top w:val="single" w:sz="4" w:space="0" w:color="000000"/>
              <w:bottom w:val="single" w:sz="4" w:space="0" w:color="000000"/>
            </w:tcBorders>
          </w:tcPr>
          <w:p>
            <w:pPr>
              <w:pStyle w:val="TableParagraph"/>
              <w:spacing w:before="14"/>
              <w:ind w:right="107"/>
              <w:rPr>
                <w:i/>
                <w:sz w:val="16"/>
              </w:rPr>
            </w:pPr>
            <w:r>
              <w:rPr>
                <w:i/>
                <w:w w:val="98"/>
                <w:sz w:val="16"/>
              </w:rPr>
              <w:t>-</w:t>
            </w:r>
          </w:p>
        </w:tc>
        <w:tc>
          <w:tcPr>
            <w:tcW w:w="1133" w:type="dxa"/>
            <w:tcBorders>
              <w:top w:val="single" w:sz="4" w:space="0" w:color="000000"/>
              <w:bottom w:val="single" w:sz="4" w:space="0" w:color="000000"/>
            </w:tcBorders>
          </w:tcPr>
          <w:p>
            <w:pPr>
              <w:pStyle w:val="TableParagraph"/>
              <w:spacing w:before="14"/>
              <w:ind w:right="105"/>
              <w:rPr>
                <w:i/>
                <w:sz w:val="16"/>
              </w:rPr>
            </w:pPr>
            <w:r>
              <w:rPr>
                <w:i/>
                <w:spacing w:val="-4"/>
                <w:sz w:val="16"/>
              </w:rPr>
              <w:t>28.2</w:t>
            </w:r>
          </w:p>
        </w:tc>
        <w:tc>
          <w:tcPr>
            <w:tcW w:w="1078" w:type="dxa"/>
            <w:tcBorders>
              <w:top w:val="single" w:sz="4" w:space="0" w:color="000000"/>
              <w:bottom w:val="single" w:sz="4" w:space="0" w:color="000000"/>
            </w:tcBorders>
          </w:tcPr>
          <w:p>
            <w:pPr>
              <w:pStyle w:val="TableParagraph"/>
              <w:spacing w:before="14"/>
              <w:ind w:right="50"/>
              <w:rPr>
                <w:i/>
                <w:sz w:val="16"/>
              </w:rPr>
            </w:pPr>
            <w:r>
              <w:rPr>
                <w:i/>
                <w:spacing w:val="-4"/>
                <w:sz w:val="16"/>
              </w:rPr>
              <w:t>68.6</w:t>
            </w:r>
          </w:p>
        </w:tc>
        <w:tc>
          <w:tcPr>
            <w:tcW w:w="1122" w:type="dxa"/>
            <w:tcBorders>
              <w:top w:val="single" w:sz="4" w:space="0" w:color="000000"/>
              <w:bottom w:val="single" w:sz="4" w:space="0" w:color="000000"/>
            </w:tcBorders>
          </w:tcPr>
          <w:p>
            <w:pPr>
              <w:pStyle w:val="TableParagraph"/>
              <w:spacing w:before="14"/>
              <w:ind w:right="183"/>
              <w:rPr>
                <w:i/>
                <w:sz w:val="16"/>
              </w:rPr>
            </w:pPr>
            <w:r>
              <w:rPr>
                <w:i/>
                <w:spacing w:val="-4"/>
                <w:sz w:val="16"/>
              </w:rPr>
              <w:t>21.9</w:t>
            </w:r>
          </w:p>
        </w:tc>
        <w:tc>
          <w:tcPr>
            <w:tcW w:w="753" w:type="dxa"/>
            <w:tcBorders>
              <w:top w:val="single" w:sz="4" w:space="0" w:color="000000"/>
              <w:bottom w:val="single" w:sz="4" w:space="0" w:color="000000"/>
            </w:tcBorders>
          </w:tcPr>
          <w:p>
            <w:pPr>
              <w:pStyle w:val="TableParagraph"/>
              <w:spacing w:before="14"/>
              <w:ind w:right="172"/>
              <w:rPr>
                <w:i/>
                <w:sz w:val="16"/>
              </w:rPr>
            </w:pPr>
            <w:r>
              <w:rPr>
                <w:i/>
                <w:spacing w:val="-4"/>
                <w:sz w:val="16"/>
              </w:rPr>
              <w:t>31.9</w:t>
            </w:r>
          </w:p>
        </w:tc>
        <w:tc>
          <w:tcPr>
            <w:tcW w:w="1053" w:type="dxa"/>
            <w:tcBorders>
              <w:top w:val="single" w:sz="4" w:space="0" w:color="000000"/>
              <w:bottom w:val="single" w:sz="4" w:space="0" w:color="000000"/>
            </w:tcBorders>
          </w:tcPr>
          <w:p>
            <w:pPr>
              <w:pStyle w:val="TableParagraph"/>
              <w:spacing w:before="14"/>
              <w:ind w:right="101"/>
              <w:rPr>
                <w:i/>
                <w:sz w:val="16"/>
              </w:rPr>
            </w:pPr>
            <w:r>
              <w:rPr>
                <w:i/>
                <w:spacing w:val="-4"/>
                <w:sz w:val="16"/>
              </w:rPr>
              <w:t>90.5</w:t>
            </w:r>
          </w:p>
        </w:tc>
      </w:tr>
      <w:tr>
        <w:trPr>
          <w:trHeight w:val="230" w:hRule="atLeast"/>
        </w:trPr>
        <w:tc>
          <w:tcPr>
            <w:tcW w:w="2461" w:type="dxa"/>
            <w:tcBorders>
              <w:top w:val="single" w:sz="4" w:space="0" w:color="000000"/>
              <w:bottom w:val="single" w:sz="12" w:space="0" w:color="000000"/>
            </w:tcBorders>
          </w:tcPr>
          <w:p>
            <w:pPr>
              <w:pStyle w:val="TableParagraph"/>
              <w:spacing w:before="14"/>
              <w:ind w:left="117"/>
              <w:jc w:val="left"/>
              <w:rPr>
                <w:b/>
                <w:sz w:val="16"/>
              </w:rPr>
            </w:pPr>
            <w:r>
              <w:rPr>
                <w:b/>
                <w:spacing w:val="-2"/>
                <w:sz w:val="16"/>
              </w:rPr>
              <w:t>Total</w:t>
            </w:r>
          </w:p>
        </w:tc>
        <w:tc>
          <w:tcPr>
            <w:tcW w:w="1218" w:type="dxa"/>
            <w:tcBorders>
              <w:top w:val="single" w:sz="4" w:space="0" w:color="000000"/>
              <w:bottom w:val="single" w:sz="12" w:space="0" w:color="000000"/>
            </w:tcBorders>
          </w:tcPr>
          <w:p>
            <w:pPr>
              <w:pStyle w:val="TableParagraph"/>
              <w:spacing w:before="14"/>
              <w:ind w:right="191"/>
              <w:rPr>
                <w:b/>
                <w:sz w:val="16"/>
              </w:rPr>
            </w:pPr>
            <w:r>
              <w:rPr>
                <w:b/>
                <w:spacing w:val="-2"/>
                <w:sz w:val="16"/>
              </w:rPr>
              <w:t>664.7</w:t>
            </w:r>
          </w:p>
        </w:tc>
        <w:tc>
          <w:tcPr>
            <w:tcW w:w="827" w:type="dxa"/>
            <w:tcBorders>
              <w:top w:val="single" w:sz="4" w:space="0" w:color="000000"/>
              <w:bottom w:val="single" w:sz="12" w:space="0" w:color="000000"/>
            </w:tcBorders>
          </w:tcPr>
          <w:p>
            <w:pPr>
              <w:pStyle w:val="TableParagraph"/>
              <w:spacing w:before="14"/>
              <w:ind w:right="107"/>
              <w:rPr>
                <w:b/>
                <w:sz w:val="16"/>
              </w:rPr>
            </w:pPr>
            <w:r>
              <w:rPr>
                <w:b/>
                <w:w w:val="98"/>
                <w:sz w:val="16"/>
              </w:rPr>
              <w:t>-</w:t>
            </w:r>
          </w:p>
        </w:tc>
        <w:tc>
          <w:tcPr>
            <w:tcW w:w="1133" w:type="dxa"/>
            <w:tcBorders>
              <w:top w:val="single" w:sz="4" w:space="0" w:color="000000"/>
              <w:bottom w:val="single" w:sz="12" w:space="0" w:color="000000"/>
            </w:tcBorders>
          </w:tcPr>
          <w:p>
            <w:pPr>
              <w:pStyle w:val="TableParagraph"/>
              <w:spacing w:before="14"/>
              <w:ind w:right="106"/>
              <w:rPr>
                <w:b/>
                <w:sz w:val="16"/>
              </w:rPr>
            </w:pPr>
            <w:r>
              <w:rPr>
                <w:b/>
                <w:spacing w:val="-2"/>
                <w:sz w:val="16"/>
              </w:rPr>
              <w:t>664.7</w:t>
            </w:r>
          </w:p>
        </w:tc>
        <w:tc>
          <w:tcPr>
            <w:tcW w:w="1078" w:type="dxa"/>
            <w:tcBorders>
              <w:top w:val="single" w:sz="4" w:space="0" w:color="000000"/>
              <w:bottom w:val="single" w:sz="12" w:space="0" w:color="000000"/>
            </w:tcBorders>
          </w:tcPr>
          <w:p>
            <w:pPr>
              <w:pStyle w:val="TableParagraph"/>
              <w:spacing w:before="14"/>
              <w:ind w:right="50"/>
              <w:rPr>
                <w:b/>
                <w:sz w:val="16"/>
              </w:rPr>
            </w:pPr>
            <w:r>
              <w:rPr>
                <w:b/>
                <w:spacing w:val="-2"/>
                <w:sz w:val="16"/>
              </w:rPr>
              <w:t>820.8</w:t>
            </w:r>
          </w:p>
        </w:tc>
        <w:tc>
          <w:tcPr>
            <w:tcW w:w="1122" w:type="dxa"/>
            <w:tcBorders>
              <w:top w:val="single" w:sz="4" w:space="0" w:color="000000"/>
              <w:bottom w:val="single" w:sz="12" w:space="0" w:color="000000"/>
            </w:tcBorders>
          </w:tcPr>
          <w:p>
            <w:pPr>
              <w:pStyle w:val="TableParagraph"/>
              <w:spacing w:before="14"/>
              <w:ind w:right="183"/>
              <w:rPr>
                <w:b/>
                <w:sz w:val="16"/>
              </w:rPr>
            </w:pPr>
            <w:r>
              <w:rPr>
                <w:b/>
                <w:spacing w:val="-2"/>
                <w:sz w:val="16"/>
              </w:rPr>
              <w:t>117.2</w:t>
            </w:r>
          </w:p>
        </w:tc>
        <w:tc>
          <w:tcPr>
            <w:tcW w:w="753" w:type="dxa"/>
            <w:tcBorders>
              <w:top w:val="single" w:sz="4" w:space="0" w:color="000000"/>
              <w:bottom w:val="single" w:sz="12" w:space="0" w:color="000000"/>
            </w:tcBorders>
          </w:tcPr>
          <w:p>
            <w:pPr>
              <w:pStyle w:val="TableParagraph"/>
              <w:spacing w:before="14"/>
              <w:ind w:right="172"/>
              <w:rPr>
                <w:b/>
                <w:sz w:val="16"/>
              </w:rPr>
            </w:pPr>
            <w:r>
              <w:rPr>
                <w:b/>
                <w:spacing w:val="-4"/>
                <w:sz w:val="16"/>
              </w:rPr>
              <w:t>14.3</w:t>
            </w:r>
          </w:p>
        </w:tc>
        <w:tc>
          <w:tcPr>
            <w:tcW w:w="1053" w:type="dxa"/>
            <w:tcBorders>
              <w:top w:val="single" w:sz="4" w:space="0" w:color="000000"/>
              <w:bottom w:val="single" w:sz="12" w:space="0" w:color="000000"/>
            </w:tcBorders>
          </w:tcPr>
          <w:p>
            <w:pPr>
              <w:pStyle w:val="TableParagraph"/>
              <w:spacing w:before="14"/>
              <w:ind w:right="102"/>
              <w:rPr>
                <w:b/>
                <w:sz w:val="16"/>
              </w:rPr>
            </w:pPr>
            <w:r>
              <w:rPr>
                <w:b/>
                <w:spacing w:val="-2"/>
                <w:sz w:val="16"/>
              </w:rPr>
              <w:t>938.0</w:t>
            </w:r>
          </w:p>
        </w:tc>
      </w:tr>
    </w:tbl>
    <w:p>
      <w:pPr>
        <w:pStyle w:val="BodyText"/>
        <w:spacing w:before="8"/>
        <w:rPr>
          <w:b/>
          <w:sz w:val="21"/>
        </w:rPr>
      </w:pPr>
    </w:p>
    <w:p>
      <w:pPr>
        <w:spacing w:before="0"/>
        <w:ind w:left="2246" w:right="0" w:firstLine="0"/>
        <w:jc w:val="left"/>
        <w:rPr>
          <w:b/>
          <w:sz w:val="20"/>
        </w:rPr>
      </w:pPr>
      <w:r>
        <w:rPr>
          <w:b/>
          <w:sz w:val="20"/>
        </w:rPr>
        <w:t>Table</w:t>
      </w:r>
      <w:r>
        <w:rPr>
          <w:b/>
          <w:spacing w:val="-5"/>
          <w:sz w:val="20"/>
        </w:rPr>
        <w:t> </w:t>
      </w:r>
      <w:r>
        <w:rPr>
          <w:b/>
          <w:sz w:val="20"/>
        </w:rPr>
        <w:t>48:</w:t>
      </w:r>
      <w:r>
        <w:rPr>
          <w:b/>
          <w:spacing w:val="-7"/>
          <w:sz w:val="20"/>
        </w:rPr>
        <w:t> </w:t>
      </w:r>
      <w:r>
        <w:rPr>
          <w:b/>
          <w:sz w:val="20"/>
        </w:rPr>
        <w:t>Major</w:t>
      </w:r>
      <w:r>
        <w:rPr>
          <w:b/>
          <w:spacing w:val="-9"/>
          <w:sz w:val="20"/>
        </w:rPr>
        <w:t> </w:t>
      </w:r>
      <w:r>
        <w:rPr>
          <w:b/>
          <w:sz w:val="20"/>
        </w:rPr>
        <w:t>Programme</w:t>
      </w:r>
      <w:r>
        <w:rPr>
          <w:b/>
          <w:spacing w:val="-3"/>
          <w:sz w:val="20"/>
        </w:rPr>
        <w:t> </w:t>
      </w:r>
      <w:r>
        <w:rPr>
          <w:b/>
          <w:sz w:val="20"/>
        </w:rPr>
        <w:t>VII-5:</w:t>
      </w:r>
      <w:r>
        <w:rPr>
          <w:b/>
          <w:spacing w:val="-7"/>
          <w:sz w:val="20"/>
        </w:rPr>
        <w:t> </w:t>
      </w:r>
      <w:r>
        <w:rPr>
          <w:b/>
          <w:sz w:val="20"/>
        </w:rPr>
        <w:t>Proposed</w:t>
      </w:r>
      <w:r>
        <w:rPr>
          <w:b/>
          <w:spacing w:val="-3"/>
          <w:sz w:val="20"/>
        </w:rPr>
        <w:t> </w:t>
      </w:r>
      <w:r>
        <w:rPr>
          <w:b/>
          <w:sz w:val="20"/>
        </w:rPr>
        <w:t>staffing</w:t>
      </w:r>
      <w:r>
        <w:rPr>
          <w:b/>
          <w:spacing w:val="-7"/>
          <w:sz w:val="20"/>
        </w:rPr>
        <w:t> </w:t>
      </w:r>
      <w:r>
        <w:rPr>
          <w:b/>
          <w:sz w:val="20"/>
        </w:rPr>
        <w:t>for</w:t>
      </w:r>
      <w:r>
        <w:rPr>
          <w:b/>
          <w:spacing w:val="-4"/>
          <w:sz w:val="20"/>
        </w:rPr>
        <w:t> 2023</w:t>
      </w:r>
    </w:p>
    <w:tbl>
      <w:tblPr>
        <w:tblW w:w="0" w:type="auto"/>
        <w:jc w:val="left"/>
        <w:tblInd w:w="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6"/>
        <w:gridCol w:w="678"/>
        <w:gridCol w:w="607"/>
        <w:gridCol w:w="563"/>
        <w:gridCol w:w="581"/>
        <w:gridCol w:w="512"/>
        <w:gridCol w:w="638"/>
        <w:gridCol w:w="691"/>
        <w:gridCol w:w="666"/>
        <w:gridCol w:w="466"/>
        <w:gridCol w:w="795"/>
        <w:gridCol w:w="569"/>
        <w:gridCol w:w="578"/>
        <w:gridCol w:w="563"/>
        <w:gridCol w:w="813"/>
        <w:gridCol w:w="526"/>
      </w:tblGrid>
      <w:tr>
        <w:trPr>
          <w:trHeight w:val="484" w:hRule="atLeast"/>
        </w:trPr>
        <w:tc>
          <w:tcPr>
            <w:tcW w:w="1186"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left="67"/>
              <w:jc w:val="left"/>
              <w:rPr>
                <w:sz w:val="14"/>
              </w:rPr>
            </w:pPr>
            <w:r>
              <w:rPr>
                <w:w w:val="95"/>
                <w:sz w:val="14"/>
              </w:rPr>
              <w:t>VII-</w:t>
            </w:r>
            <w:r>
              <w:rPr>
                <w:spacing w:val="-10"/>
                <w:sz w:val="14"/>
              </w:rPr>
              <w:t>5</w:t>
            </w:r>
          </w:p>
        </w:tc>
        <w:tc>
          <w:tcPr>
            <w:tcW w:w="678"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152"/>
              <w:rPr>
                <w:sz w:val="14"/>
              </w:rPr>
            </w:pPr>
            <w:r>
              <w:rPr>
                <w:spacing w:val="-5"/>
                <w:sz w:val="14"/>
              </w:rPr>
              <w:t>USG</w:t>
            </w:r>
          </w:p>
        </w:tc>
        <w:tc>
          <w:tcPr>
            <w:tcW w:w="607"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169"/>
              <w:rPr>
                <w:sz w:val="14"/>
              </w:rPr>
            </w:pPr>
            <w:r>
              <w:rPr>
                <w:spacing w:val="-5"/>
                <w:sz w:val="14"/>
              </w:rPr>
              <w:t>ASG</w:t>
            </w:r>
          </w:p>
        </w:tc>
        <w:tc>
          <w:tcPr>
            <w:tcW w:w="563"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167"/>
              <w:rPr>
                <w:sz w:val="14"/>
              </w:rPr>
            </w:pPr>
            <w:r>
              <w:rPr>
                <w:w w:val="95"/>
                <w:sz w:val="14"/>
              </w:rPr>
              <w:t>D-</w:t>
            </w:r>
            <w:r>
              <w:rPr>
                <w:spacing w:val="-10"/>
                <w:sz w:val="14"/>
              </w:rPr>
              <w:t>2</w:t>
            </w:r>
          </w:p>
        </w:tc>
        <w:tc>
          <w:tcPr>
            <w:tcW w:w="581"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187"/>
              <w:rPr>
                <w:sz w:val="14"/>
              </w:rPr>
            </w:pPr>
            <w:r>
              <w:rPr>
                <w:w w:val="95"/>
                <w:sz w:val="14"/>
              </w:rPr>
              <w:t>D-</w:t>
            </w:r>
            <w:r>
              <w:rPr>
                <w:spacing w:val="-10"/>
                <w:sz w:val="14"/>
              </w:rPr>
              <w:t>1</w:t>
            </w:r>
          </w:p>
        </w:tc>
        <w:tc>
          <w:tcPr>
            <w:tcW w:w="512"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122"/>
              <w:rPr>
                <w:sz w:val="14"/>
              </w:rPr>
            </w:pPr>
            <w:r>
              <w:rPr>
                <w:w w:val="95"/>
                <w:sz w:val="14"/>
              </w:rPr>
              <w:t>P-</w:t>
            </w:r>
            <w:r>
              <w:rPr>
                <w:spacing w:val="-10"/>
                <w:sz w:val="14"/>
              </w:rPr>
              <w:t>5</w:t>
            </w:r>
          </w:p>
        </w:tc>
        <w:tc>
          <w:tcPr>
            <w:tcW w:w="638"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175"/>
              <w:rPr>
                <w:sz w:val="14"/>
              </w:rPr>
            </w:pPr>
            <w:r>
              <w:rPr>
                <w:w w:val="95"/>
                <w:sz w:val="14"/>
              </w:rPr>
              <w:t>P-</w:t>
            </w:r>
            <w:r>
              <w:rPr>
                <w:spacing w:val="-10"/>
                <w:sz w:val="14"/>
              </w:rPr>
              <w:t>4</w:t>
            </w:r>
          </w:p>
        </w:tc>
        <w:tc>
          <w:tcPr>
            <w:tcW w:w="691"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270"/>
              <w:rPr>
                <w:sz w:val="14"/>
              </w:rPr>
            </w:pPr>
            <w:r>
              <w:rPr>
                <w:w w:val="95"/>
                <w:sz w:val="14"/>
              </w:rPr>
              <w:t>P-</w:t>
            </w:r>
            <w:r>
              <w:rPr>
                <w:spacing w:val="-10"/>
                <w:sz w:val="14"/>
              </w:rPr>
              <w:t>3</w:t>
            </w:r>
          </w:p>
        </w:tc>
        <w:tc>
          <w:tcPr>
            <w:tcW w:w="666"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196"/>
              <w:rPr>
                <w:sz w:val="14"/>
              </w:rPr>
            </w:pPr>
            <w:r>
              <w:rPr>
                <w:w w:val="95"/>
                <w:sz w:val="14"/>
              </w:rPr>
              <w:t>P-</w:t>
            </w:r>
            <w:r>
              <w:rPr>
                <w:spacing w:val="-10"/>
                <w:sz w:val="14"/>
              </w:rPr>
              <w:t>2</w:t>
            </w:r>
          </w:p>
        </w:tc>
        <w:tc>
          <w:tcPr>
            <w:tcW w:w="466"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67"/>
              <w:rPr>
                <w:sz w:val="14"/>
              </w:rPr>
            </w:pPr>
            <w:r>
              <w:rPr>
                <w:w w:val="95"/>
                <w:sz w:val="14"/>
              </w:rPr>
              <w:t>P-</w:t>
            </w:r>
            <w:r>
              <w:rPr>
                <w:spacing w:val="-10"/>
                <w:sz w:val="14"/>
              </w:rPr>
              <w:t>1</w:t>
            </w:r>
          </w:p>
        </w:tc>
        <w:tc>
          <w:tcPr>
            <w:tcW w:w="795" w:type="dxa"/>
            <w:tcBorders>
              <w:top w:val="single" w:sz="4" w:space="0" w:color="000000"/>
              <w:bottom w:val="single" w:sz="4" w:space="0" w:color="000000"/>
            </w:tcBorders>
          </w:tcPr>
          <w:p>
            <w:pPr>
              <w:pStyle w:val="TableParagraph"/>
              <w:spacing w:line="150" w:lineRule="exact"/>
              <w:ind w:left="370"/>
              <w:jc w:val="left"/>
              <w:rPr>
                <w:i/>
                <w:sz w:val="14"/>
              </w:rPr>
            </w:pPr>
            <w:r>
              <w:rPr>
                <w:i/>
                <w:spacing w:val="-2"/>
                <w:sz w:val="14"/>
              </w:rPr>
              <w:t>Total</w:t>
            </w:r>
          </w:p>
          <w:p>
            <w:pPr>
              <w:pStyle w:val="TableParagraph"/>
              <w:spacing w:line="160" w:lineRule="atLeast"/>
              <w:ind w:left="71" w:right="118" w:firstLine="201"/>
              <w:jc w:val="left"/>
              <w:rPr>
                <w:i/>
                <w:sz w:val="14"/>
              </w:rPr>
            </w:pPr>
            <w:r>
              <w:rPr>
                <w:i/>
                <w:spacing w:val="-2"/>
                <w:sz w:val="14"/>
              </w:rPr>
              <w:t>P-Staff</w:t>
            </w:r>
            <w:r>
              <w:rPr>
                <w:i/>
                <w:spacing w:val="40"/>
                <w:sz w:val="14"/>
              </w:rPr>
              <w:t> </w:t>
            </w:r>
            <w:r>
              <w:rPr>
                <w:i/>
                <w:sz w:val="14"/>
              </w:rPr>
              <w:t>and</w:t>
            </w:r>
            <w:r>
              <w:rPr>
                <w:i/>
                <w:spacing w:val="1"/>
                <w:sz w:val="14"/>
              </w:rPr>
              <w:t> </w:t>
            </w:r>
            <w:r>
              <w:rPr>
                <w:i/>
                <w:spacing w:val="-2"/>
                <w:sz w:val="14"/>
              </w:rPr>
              <w:t>Above</w:t>
            </w:r>
          </w:p>
        </w:tc>
        <w:tc>
          <w:tcPr>
            <w:tcW w:w="569"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97"/>
              <w:rPr>
                <w:sz w:val="14"/>
              </w:rPr>
            </w:pPr>
            <w:r>
              <w:rPr>
                <w:w w:val="95"/>
                <w:sz w:val="14"/>
              </w:rPr>
              <w:t>NO-</w:t>
            </w:r>
            <w:r>
              <w:rPr>
                <w:spacing w:val="-10"/>
                <w:sz w:val="14"/>
              </w:rPr>
              <w:t>C</w:t>
            </w:r>
          </w:p>
        </w:tc>
        <w:tc>
          <w:tcPr>
            <w:tcW w:w="578"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88"/>
              <w:rPr>
                <w:sz w:val="14"/>
              </w:rPr>
            </w:pPr>
            <w:r>
              <w:rPr>
                <w:w w:val="95"/>
                <w:sz w:val="14"/>
              </w:rPr>
              <w:t>GS-</w:t>
            </w:r>
            <w:r>
              <w:rPr>
                <w:spacing w:val="-5"/>
                <w:sz w:val="14"/>
              </w:rPr>
              <w:t>PL</w:t>
            </w:r>
          </w:p>
        </w:tc>
        <w:tc>
          <w:tcPr>
            <w:tcW w:w="563" w:type="dxa"/>
            <w:tcBorders>
              <w:top w:val="single" w:sz="4" w:space="0" w:color="000000"/>
              <w:bottom w:val="single" w:sz="4" w:space="0" w:color="000000"/>
            </w:tcBorders>
          </w:tcPr>
          <w:p>
            <w:pPr>
              <w:pStyle w:val="TableParagraph"/>
              <w:jc w:val="left"/>
              <w:rPr>
                <w:b/>
                <w:sz w:val="14"/>
              </w:rPr>
            </w:pPr>
          </w:p>
          <w:p>
            <w:pPr>
              <w:pStyle w:val="TableParagraph"/>
              <w:spacing w:before="4"/>
              <w:jc w:val="left"/>
              <w:rPr>
                <w:b/>
                <w:sz w:val="13"/>
              </w:rPr>
            </w:pPr>
          </w:p>
          <w:p>
            <w:pPr>
              <w:pStyle w:val="TableParagraph"/>
              <w:spacing w:line="149" w:lineRule="exact" w:before="1"/>
              <w:ind w:right="59"/>
              <w:rPr>
                <w:sz w:val="14"/>
              </w:rPr>
            </w:pPr>
            <w:r>
              <w:rPr>
                <w:w w:val="95"/>
                <w:sz w:val="14"/>
              </w:rPr>
              <w:t>GS-</w:t>
            </w:r>
            <w:r>
              <w:rPr>
                <w:spacing w:val="-5"/>
                <w:sz w:val="14"/>
              </w:rPr>
              <w:t>OL</w:t>
            </w:r>
          </w:p>
        </w:tc>
        <w:tc>
          <w:tcPr>
            <w:tcW w:w="813" w:type="dxa"/>
            <w:tcBorders>
              <w:top w:val="single" w:sz="4" w:space="0" w:color="000000"/>
              <w:bottom w:val="single" w:sz="4" w:space="0" w:color="000000"/>
            </w:tcBorders>
          </w:tcPr>
          <w:p>
            <w:pPr>
              <w:pStyle w:val="TableParagraph"/>
              <w:spacing w:line="150" w:lineRule="exact"/>
              <w:ind w:left="381"/>
              <w:jc w:val="left"/>
              <w:rPr>
                <w:i/>
                <w:sz w:val="14"/>
              </w:rPr>
            </w:pPr>
            <w:r>
              <w:rPr>
                <w:i/>
                <w:spacing w:val="-2"/>
                <w:sz w:val="14"/>
              </w:rPr>
              <w:t>Total</w:t>
            </w:r>
          </w:p>
          <w:p>
            <w:pPr>
              <w:pStyle w:val="TableParagraph"/>
              <w:spacing w:line="160" w:lineRule="atLeast"/>
              <w:ind w:left="59" w:right="129" w:firstLine="197"/>
              <w:jc w:val="left"/>
              <w:rPr>
                <w:i/>
                <w:sz w:val="14"/>
              </w:rPr>
            </w:pPr>
            <w:r>
              <w:rPr>
                <w:i/>
                <w:sz w:val="14"/>
              </w:rPr>
              <w:t>GS</w:t>
            </w:r>
            <w:r>
              <w:rPr>
                <w:i/>
                <w:spacing w:val="-9"/>
                <w:sz w:val="14"/>
              </w:rPr>
              <w:t> </w:t>
            </w:r>
            <w:r>
              <w:rPr>
                <w:i/>
                <w:sz w:val="14"/>
              </w:rPr>
              <w:t>and</w:t>
            </w:r>
            <w:r>
              <w:rPr>
                <w:i/>
                <w:spacing w:val="40"/>
                <w:sz w:val="14"/>
              </w:rPr>
              <w:t> </w:t>
            </w:r>
            <w:r>
              <w:rPr>
                <w:i/>
                <w:sz w:val="14"/>
              </w:rPr>
              <w:t>Other</w:t>
            </w:r>
            <w:r>
              <w:rPr>
                <w:i/>
                <w:spacing w:val="-5"/>
                <w:sz w:val="14"/>
              </w:rPr>
              <w:t> </w:t>
            </w:r>
            <w:r>
              <w:rPr>
                <w:i/>
                <w:spacing w:val="-2"/>
                <w:sz w:val="14"/>
              </w:rPr>
              <w:t>Staff</w:t>
            </w:r>
          </w:p>
        </w:tc>
        <w:tc>
          <w:tcPr>
            <w:tcW w:w="526" w:type="dxa"/>
            <w:tcBorders>
              <w:top w:val="single" w:sz="4" w:space="0" w:color="000000"/>
              <w:bottom w:val="single" w:sz="4" w:space="0" w:color="000000"/>
            </w:tcBorders>
          </w:tcPr>
          <w:p>
            <w:pPr>
              <w:pStyle w:val="TableParagraph"/>
              <w:spacing w:before="4"/>
              <w:jc w:val="left"/>
              <w:rPr>
                <w:b/>
                <w:sz w:val="12"/>
              </w:rPr>
            </w:pPr>
          </w:p>
          <w:p>
            <w:pPr>
              <w:pStyle w:val="TableParagraph"/>
              <w:spacing w:line="160" w:lineRule="atLeast"/>
              <w:ind w:left="177" w:hanging="34"/>
              <w:jc w:val="left"/>
              <w:rPr>
                <w:b/>
                <w:sz w:val="14"/>
              </w:rPr>
            </w:pPr>
            <w:r>
              <w:rPr>
                <w:b/>
                <w:spacing w:val="-4"/>
                <w:sz w:val="14"/>
              </w:rPr>
              <w:t>Total</w:t>
            </w:r>
            <w:r>
              <w:rPr>
                <w:b/>
                <w:spacing w:val="40"/>
                <w:sz w:val="14"/>
              </w:rPr>
              <w:t> </w:t>
            </w:r>
            <w:r>
              <w:rPr>
                <w:b/>
                <w:spacing w:val="-4"/>
                <w:sz w:val="14"/>
              </w:rPr>
              <w:t>Staff</w:t>
            </w:r>
          </w:p>
        </w:tc>
      </w:tr>
      <w:tr>
        <w:trPr>
          <w:trHeight w:val="228" w:hRule="atLeast"/>
        </w:trPr>
        <w:tc>
          <w:tcPr>
            <w:tcW w:w="1186" w:type="dxa"/>
            <w:tcBorders>
              <w:top w:val="single" w:sz="4" w:space="0" w:color="000000"/>
            </w:tcBorders>
          </w:tcPr>
          <w:p>
            <w:pPr>
              <w:pStyle w:val="TableParagraph"/>
              <w:spacing w:before="22"/>
              <w:ind w:left="67"/>
              <w:jc w:val="left"/>
              <w:rPr>
                <w:b/>
                <w:sz w:val="14"/>
              </w:rPr>
            </w:pPr>
            <w:r>
              <w:rPr>
                <w:b/>
                <w:spacing w:val="-2"/>
                <w:sz w:val="14"/>
              </w:rPr>
              <w:t>Established</w:t>
            </w:r>
            <w:r>
              <w:rPr>
                <w:b/>
                <w:spacing w:val="11"/>
                <w:sz w:val="14"/>
              </w:rPr>
              <w:t> </w:t>
            </w:r>
            <w:r>
              <w:rPr>
                <w:b/>
                <w:spacing w:val="-2"/>
                <w:sz w:val="14"/>
              </w:rPr>
              <w:t>Posts</w:t>
            </w:r>
          </w:p>
        </w:tc>
        <w:tc>
          <w:tcPr>
            <w:tcW w:w="678" w:type="dxa"/>
            <w:tcBorders>
              <w:top w:val="single" w:sz="4" w:space="0" w:color="000000"/>
            </w:tcBorders>
          </w:tcPr>
          <w:p>
            <w:pPr>
              <w:pStyle w:val="TableParagraph"/>
              <w:jc w:val="left"/>
              <w:rPr>
                <w:sz w:val="14"/>
              </w:rPr>
            </w:pPr>
          </w:p>
        </w:tc>
        <w:tc>
          <w:tcPr>
            <w:tcW w:w="607" w:type="dxa"/>
            <w:tcBorders>
              <w:top w:val="single" w:sz="4" w:space="0" w:color="000000"/>
            </w:tcBorders>
          </w:tcPr>
          <w:p>
            <w:pPr>
              <w:pStyle w:val="TableParagraph"/>
              <w:jc w:val="left"/>
              <w:rPr>
                <w:sz w:val="14"/>
              </w:rPr>
            </w:pPr>
          </w:p>
        </w:tc>
        <w:tc>
          <w:tcPr>
            <w:tcW w:w="563" w:type="dxa"/>
            <w:tcBorders>
              <w:top w:val="single" w:sz="4" w:space="0" w:color="000000"/>
            </w:tcBorders>
          </w:tcPr>
          <w:p>
            <w:pPr>
              <w:pStyle w:val="TableParagraph"/>
              <w:jc w:val="left"/>
              <w:rPr>
                <w:sz w:val="14"/>
              </w:rPr>
            </w:pPr>
          </w:p>
        </w:tc>
        <w:tc>
          <w:tcPr>
            <w:tcW w:w="581" w:type="dxa"/>
            <w:tcBorders>
              <w:top w:val="single" w:sz="4" w:space="0" w:color="000000"/>
            </w:tcBorders>
          </w:tcPr>
          <w:p>
            <w:pPr>
              <w:pStyle w:val="TableParagraph"/>
              <w:jc w:val="left"/>
              <w:rPr>
                <w:sz w:val="14"/>
              </w:rPr>
            </w:pPr>
          </w:p>
        </w:tc>
        <w:tc>
          <w:tcPr>
            <w:tcW w:w="512" w:type="dxa"/>
            <w:tcBorders>
              <w:top w:val="single" w:sz="4" w:space="0" w:color="000000"/>
            </w:tcBorders>
          </w:tcPr>
          <w:p>
            <w:pPr>
              <w:pStyle w:val="TableParagraph"/>
              <w:jc w:val="left"/>
              <w:rPr>
                <w:sz w:val="14"/>
              </w:rPr>
            </w:pPr>
          </w:p>
        </w:tc>
        <w:tc>
          <w:tcPr>
            <w:tcW w:w="638" w:type="dxa"/>
            <w:tcBorders>
              <w:top w:val="single" w:sz="4" w:space="0" w:color="000000"/>
            </w:tcBorders>
          </w:tcPr>
          <w:p>
            <w:pPr>
              <w:pStyle w:val="TableParagraph"/>
              <w:jc w:val="left"/>
              <w:rPr>
                <w:sz w:val="14"/>
              </w:rPr>
            </w:pPr>
          </w:p>
        </w:tc>
        <w:tc>
          <w:tcPr>
            <w:tcW w:w="691" w:type="dxa"/>
            <w:tcBorders>
              <w:top w:val="single" w:sz="4" w:space="0" w:color="000000"/>
            </w:tcBorders>
          </w:tcPr>
          <w:p>
            <w:pPr>
              <w:pStyle w:val="TableParagraph"/>
              <w:jc w:val="left"/>
              <w:rPr>
                <w:sz w:val="14"/>
              </w:rPr>
            </w:pPr>
          </w:p>
        </w:tc>
        <w:tc>
          <w:tcPr>
            <w:tcW w:w="666" w:type="dxa"/>
            <w:tcBorders>
              <w:top w:val="single" w:sz="4" w:space="0" w:color="000000"/>
            </w:tcBorders>
          </w:tcPr>
          <w:p>
            <w:pPr>
              <w:pStyle w:val="TableParagraph"/>
              <w:jc w:val="left"/>
              <w:rPr>
                <w:sz w:val="14"/>
              </w:rPr>
            </w:pPr>
          </w:p>
        </w:tc>
        <w:tc>
          <w:tcPr>
            <w:tcW w:w="466" w:type="dxa"/>
            <w:tcBorders>
              <w:top w:val="single" w:sz="4" w:space="0" w:color="000000"/>
            </w:tcBorders>
          </w:tcPr>
          <w:p>
            <w:pPr>
              <w:pStyle w:val="TableParagraph"/>
              <w:jc w:val="left"/>
              <w:rPr>
                <w:sz w:val="14"/>
              </w:rPr>
            </w:pPr>
          </w:p>
        </w:tc>
        <w:tc>
          <w:tcPr>
            <w:tcW w:w="795" w:type="dxa"/>
            <w:tcBorders>
              <w:top w:val="single" w:sz="4" w:space="0" w:color="000000"/>
            </w:tcBorders>
          </w:tcPr>
          <w:p>
            <w:pPr>
              <w:pStyle w:val="TableParagraph"/>
              <w:jc w:val="left"/>
              <w:rPr>
                <w:sz w:val="14"/>
              </w:rPr>
            </w:pPr>
          </w:p>
        </w:tc>
        <w:tc>
          <w:tcPr>
            <w:tcW w:w="569" w:type="dxa"/>
            <w:tcBorders>
              <w:top w:val="single" w:sz="4" w:space="0" w:color="000000"/>
            </w:tcBorders>
          </w:tcPr>
          <w:p>
            <w:pPr>
              <w:pStyle w:val="TableParagraph"/>
              <w:jc w:val="left"/>
              <w:rPr>
                <w:sz w:val="14"/>
              </w:rPr>
            </w:pPr>
          </w:p>
        </w:tc>
        <w:tc>
          <w:tcPr>
            <w:tcW w:w="578" w:type="dxa"/>
            <w:tcBorders>
              <w:top w:val="single" w:sz="4" w:space="0" w:color="000000"/>
            </w:tcBorders>
          </w:tcPr>
          <w:p>
            <w:pPr>
              <w:pStyle w:val="TableParagraph"/>
              <w:jc w:val="left"/>
              <w:rPr>
                <w:sz w:val="14"/>
              </w:rPr>
            </w:pPr>
          </w:p>
        </w:tc>
        <w:tc>
          <w:tcPr>
            <w:tcW w:w="563" w:type="dxa"/>
            <w:tcBorders>
              <w:top w:val="single" w:sz="4" w:space="0" w:color="000000"/>
            </w:tcBorders>
          </w:tcPr>
          <w:p>
            <w:pPr>
              <w:pStyle w:val="TableParagraph"/>
              <w:jc w:val="left"/>
              <w:rPr>
                <w:sz w:val="14"/>
              </w:rPr>
            </w:pPr>
          </w:p>
        </w:tc>
        <w:tc>
          <w:tcPr>
            <w:tcW w:w="813" w:type="dxa"/>
            <w:tcBorders>
              <w:top w:val="single" w:sz="4" w:space="0" w:color="000000"/>
            </w:tcBorders>
          </w:tcPr>
          <w:p>
            <w:pPr>
              <w:pStyle w:val="TableParagraph"/>
              <w:jc w:val="left"/>
              <w:rPr>
                <w:sz w:val="14"/>
              </w:rPr>
            </w:pPr>
          </w:p>
        </w:tc>
        <w:tc>
          <w:tcPr>
            <w:tcW w:w="526" w:type="dxa"/>
            <w:tcBorders>
              <w:top w:val="single" w:sz="4" w:space="0" w:color="000000"/>
            </w:tcBorders>
          </w:tcPr>
          <w:p>
            <w:pPr>
              <w:pStyle w:val="TableParagraph"/>
              <w:jc w:val="left"/>
              <w:rPr>
                <w:sz w:val="14"/>
              </w:rPr>
            </w:pPr>
          </w:p>
        </w:tc>
      </w:tr>
      <w:tr>
        <w:trPr>
          <w:trHeight w:val="221" w:hRule="atLeast"/>
        </w:trPr>
        <w:tc>
          <w:tcPr>
            <w:tcW w:w="1186" w:type="dxa"/>
            <w:tcBorders>
              <w:bottom w:val="single" w:sz="12" w:space="0" w:color="000000"/>
            </w:tcBorders>
          </w:tcPr>
          <w:p>
            <w:pPr>
              <w:pStyle w:val="TableParagraph"/>
              <w:spacing w:before="19"/>
              <w:ind w:left="67"/>
              <w:jc w:val="left"/>
              <w:rPr>
                <w:sz w:val="14"/>
              </w:rPr>
            </w:pPr>
            <w:r>
              <w:rPr>
                <w:w w:val="95"/>
                <w:sz w:val="14"/>
              </w:rPr>
              <w:t>Approved</w:t>
            </w:r>
            <w:r>
              <w:rPr>
                <w:spacing w:val="22"/>
                <w:sz w:val="14"/>
              </w:rPr>
              <w:t> </w:t>
            </w:r>
            <w:r>
              <w:rPr>
                <w:spacing w:val="-4"/>
                <w:sz w:val="14"/>
              </w:rPr>
              <w:t>2022</w:t>
            </w:r>
          </w:p>
        </w:tc>
        <w:tc>
          <w:tcPr>
            <w:tcW w:w="678" w:type="dxa"/>
            <w:tcBorders>
              <w:bottom w:val="single" w:sz="12" w:space="0" w:color="000000"/>
            </w:tcBorders>
          </w:tcPr>
          <w:p>
            <w:pPr>
              <w:pStyle w:val="TableParagraph"/>
              <w:spacing w:before="19"/>
              <w:ind w:right="154"/>
              <w:rPr>
                <w:sz w:val="14"/>
              </w:rPr>
            </w:pPr>
            <w:r>
              <w:rPr>
                <w:w w:val="99"/>
                <w:sz w:val="14"/>
              </w:rPr>
              <w:t>-</w:t>
            </w:r>
          </w:p>
        </w:tc>
        <w:tc>
          <w:tcPr>
            <w:tcW w:w="607" w:type="dxa"/>
            <w:tcBorders>
              <w:bottom w:val="single" w:sz="12" w:space="0" w:color="000000"/>
            </w:tcBorders>
          </w:tcPr>
          <w:p>
            <w:pPr>
              <w:pStyle w:val="TableParagraph"/>
              <w:spacing w:before="19"/>
              <w:ind w:right="170"/>
              <w:rPr>
                <w:sz w:val="14"/>
              </w:rPr>
            </w:pPr>
            <w:r>
              <w:rPr>
                <w:w w:val="99"/>
                <w:sz w:val="14"/>
              </w:rPr>
              <w:t>-</w:t>
            </w:r>
          </w:p>
        </w:tc>
        <w:tc>
          <w:tcPr>
            <w:tcW w:w="563" w:type="dxa"/>
            <w:tcBorders>
              <w:bottom w:val="single" w:sz="12" w:space="0" w:color="000000"/>
            </w:tcBorders>
          </w:tcPr>
          <w:p>
            <w:pPr>
              <w:pStyle w:val="TableParagraph"/>
              <w:spacing w:before="19"/>
              <w:ind w:right="171"/>
              <w:rPr>
                <w:sz w:val="14"/>
              </w:rPr>
            </w:pPr>
            <w:r>
              <w:rPr>
                <w:w w:val="99"/>
                <w:sz w:val="14"/>
              </w:rPr>
              <w:t>-</w:t>
            </w:r>
          </w:p>
        </w:tc>
        <w:tc>
          <w:tcPr>
            <w:tcW w:w="581" w:type="dxa"/>
            <w:tcBorders>
              <w:bottom w:val="single" w:sz="12" w:space="0" w:color="000000"/>
            </w:tcBorders>
          </w:tcPr>
          <w:p>
            <w:pPr>
              <w:pStyle w:val="TableParagraph"/>
              <w:spacing w:before="19"/>
              <w:ind w:right="191"/>
              <w:rPr>
                <w:sz w:val="14"/>
              </w:rPr>
            </w:pPr>
            <w:r>
              <w:rPr>
                <w:w w:val="99"/>
                <w:sz w:val="14"/>
              </w:rPr>
              <w:t>-</w:t>
            </w:r>
          </w:p>
        </w:tc>
        <w:tc>
          <w:tcPr>
            <w:tcW w:w="512" w:type="dxa"/>
            <w:tcBorders>
              <w:bottom w:val="single" w:sz="12" w:space="0" w:color="000000"/>
            </w:tcBorders>
          </w:tcPr>
          <w:p>
            <w:pPr>
              <w:pStyle w:val="TableParagraph"/>
              <w:spacing w:before="19"/>
              <w:ind w:right="122"/>
              <w:rPr>
                <w:sz w:val="14"/>
              </w:rPr>
            </w:pPr>
            <w:r>
              <w:rPr>
                <w:w w:val="99"/>
                <w:sz w:val="14"/>
              </w:rPr>
              <w:t>1</w:t>
            </w:r>
          </w:p>
        </w:tc>
        <w:tc>
          <w:tcPr>
            <w:tcW w:w="638" w:type="dxa"/>
            <w:tcBorders>
              <w:bottom w:val="single" w:sz="12" w:space="0" w:color="000000"/>
            </w:tcBorders>
          </w:tcPr>
          <w:p>
            <w:pPr>
              <w:pStyle w:val="TableParagraph"/>
              <w:spacing w:before="19"/>
              <w:ind w:right="175"/>
              <w:rPr>
                <w:sz w:val="14"/>
              </w:rPr>
            </w:pPr>
            <w:r>
              <w:rPr>
                <w:w w:val="99"/>
                <w:sz w:val="14"/>
              </w:rPr>
              <w:t>1</w:t>
            </w:r>
          </w:p>
        </w:tc>
        <w:tc>
          <w:tcPr>
            <w:tcW w:w="691" w:type="dxa"/>
            <w:tcBorders>
              <w:bottom w:val="single" w:sz="12" w:space="0" w:color="000000"/>
            </w:tcBorders>
          </w:tcPr>
          <w:p>
            <w:pPr>
              <w:pStyle w:val="TableParagraph"/>
              <w:spacing w:before="19"/>
              <w:ind w:right="269"/>
              <w:rPr>
                <w:sz w:val="14"/>
              </w:rPr>
            </w:pPr>
            <w:r>
              <w:rPr>
                <w:w w:val="99"/>
                <w:sz w:val="14"/>
              </w:rPr>
              <w:t>-</w:t>
            </w:r>
          </w:p>
        </w:tc>
        <w:tc>
          <w:tcPr>
            <w:tcW w:w="666" w:type="dxa"/>
            <w:tcBorders>
              <w:bottom w:val="single" w:sz="12" w:space="0" w:color="000000"/>
            </w:tcBorders>
          </w:tcPr>
          <w:p>
            <w:pPr>
              <w:pStyle w:val="TableParagraph"/>
              <w:spacing w:before="19"/>
              <w:ind w:right="196"/>
              <w:rPr>
                <w:sz w:val="14"/>
              </w:rPr>
            </w:pPr>
            <w:r>
              <w:rPr>
                <w:w w:val="99"/>
                <w:sz w:val="14"/>
              </w:rPr>
              <w:t>1</w:t>
            </w:r>
          </w:p>
        </w:tc>
        <w:tc>
          <w:tcPr>
            <w:tcW w:w="466" w:type="dxa"/>
            <w:tcBorders>
              <w:bottom w:val="single" w:sz="12" w:space="0" w:color="000000"/>
            </w:tcBorders>
          </w:tcPr>
          <w:p>
            <w:pPr>
              <w:pStyle w:val="TableParagraph"/>
              <w:spacing w:before="19"/>
              <w:ind w:right="66"/>
              <w:rPr>
                <w:sz w:val="14"/>
              </w:rPr>
            </w:pPr>
            <w:r>
              <w:rPr>
                <w:w w:val="99"/>
                <w:sz w:val="14"/>
              </w:rPr>
              <w:t>-</w:t>
            </w:r>
          </w:p>
        </w:tc>
        <w:tc>
          <w:tcPr>
            <w:tcW w:w="795" w:type="dxa"/>
            <w:tcBorders>
              <w:bottom w:val="single" w:sz="12" w:space="0" w:color="000000"/>
            </w:tcBorders>
          </w:tcPr>
          <w:p>
            <w:pPr>
              <w:pStyle w:val="TableParagraph"/>
              <w:spacing w:before="19"/>
              <w:ind w:right="127"/>
              <w:rPr>
                <w:i/>
                <w:sz w:val="14"/>
              </w:rPr>
            </w:pPr>
            <w:r>
              <w:rPr>
                <w:i/>
                <w:w w:val="99"/>
                <w:sz w:val="14"/>
              </w:rPr>
              <w:t>3</w:t>
            </w:r>
          </w:p>
        </w:tc>
        <w:tc>
          <w:tcPr>
            <w:tcW w:w="569" w:type="dxa"/>
            <w:tcBorders>
              <w:bottom w:val="single" w:sz="12" w:space="0" w:color="000000"/>
            </w:tcBorders>
          </w:tcPr>
          <w:p>
            <w:pPr>
              <w:pStyle w:val="TableParagraph"/>
              <w:spacing w:before="19"/>
              <w:ind w:right="100"/>
              <w:rPr>
                <w:sz w:val="14"/>
              </w:rPr>
            </w:pPr>
            <w:r>
              <w:rPr>
                <w:w w:val="99"/>
                <w:sz w:val="14"/>
              </w:rPr>
              <w:t>-</w:t>
            </w:r>
          </w:p>
        </w:tc>
        <w:tc>
          <w:tcPr>
            <w:tcW w:w="578" w:type="dxa"/>
            <w:tcBorders>
              <w:bottom w:val="single" w:sz="12" w:space="0" w:color="000000"/>
            </w:tcBorders>
          </w:tcPr>
          <w:p>
            <w:pPr>
              <w:pStyle w:val="TableParagraph"/>
              <w:spacing w:before="19"/>
              <w:ind w:right="87"/>
              <w:rPr>
                <w:sz w:val="14"/>
              </w:rPr>
            </w:pPr>
            <w:r>
              <w:rPr>
                <w:w w:val="99"/>
                <w:sz w:val="14"/>
              </w:rPr>
              <w:t>-</w:t>
            </w:r>
          </w:p>
        </w:tc>
        <w:tc>
          <w:tcPr>
            <w:tcW w:w="563" w:type="dxa"/>
            <w:tcBorders>
              <w:bottom w:val="single" w:sz="12" w:space="0" w:color="000000"/>
            </w:tcBorders>
          </w:tcPr>
          <w:p>
            <w:pPr>
              <w:pStyle w:val="TableParagraph"/>
              <w:spacing w:before="19"/>
              <w:ind w:right="61"/>
              <w:rPr>
                <w:sz w:val="14"/>
              </w:rPr>
            </w:pPr>
            <w:r>
              <w:rPr>
                <w:w w:val="99"/>
                <w:sz w:val="14"/>
              </w:rPr>
              <w:t>1</w:t>
            </w:r>
          </w:p>
        </w:tc>
        <w:tc>
          <w:tcPr>
            <w:tcW w:w="813" w:type="dxa"/>
            <w:tcBorders>
              <w:bottom w:val="single" w:sz="12" w:space="0" w:color="000000"/>
            </w:tcBorders>
          </w:tcPr>
          <w:p>
            <w:pPr>
              <w:pStyle w:val="TableParagraph"/>
              <w:spacing w:before="19"/>
              <w:ind w:right="134"/>
              <w:rPr>
                <w:i/>
                <w:sz w:val="14"/>
              </w:rPr>
            </w:pPr>
            <w:r>
              <w:rPr>
                <w:i/>
                <w:w w:val="99"/>
                <w:sz w:val="14"/>
              </w:rPr>
              <w:t>1</w:t>
            </w:r>
          </w:p>
        </w:tc>
        <w:tc>
          <w:tcPr>
            <w:tcW w:w="526" w:type="dxa"/>
            <w:tcBorders>
              <w:bottom w:val="single" w:sz="12" w:space="0" w:color="000000"/>
            </w:tcBorders>
          </w:tcPr>
          <w:p>
            <w:pPr>
              <w:pStyle w:val="TableParagraph"/>
              <w:spacing w:before="19"/>
              <w:ind w:right="60"/>
              <w:rPr>
                <w:b/>
                <w:sz w:val="14"/>
              </w:rPr>
            </w:pPr>
            <w:r>
              <w:rPr>
                <w:b/>
                <w:w w:val="99"/>
                <w:sz w:val="14"/>
              </w:rPr>
              <w:t>4</w:t>
            </w:r>
          </w:p>
        </w:tc>
      </w:tr>
      <w:tr>
        <w:trPr>
          <w:trHeight w:val="230" w:hRule="atLeast"/>
        </w:trPr>
        <w:tc>
          <w:tcPr>
            <w:tcW w:w="1186" w:type="dxa"/>
            <w:tcBorders>
              <w:top w:val="single" w:sz="12" w:space="0" w:color="000000"/>
              <w:bottom w:val="single" w:sz="4" w:space="0" w:color="000000"/>
            </w:tcBorders>
          </w:tcPr>
          <w:p>
            <w:pPr>
              <w:pStyle w:val="TableParagraph"/>
              <w:spacing w:before="27"/>
              <w:ind w:left="67"/>
              <w:jc w:val="left"/>
              <w:rPr>
                <w:sz w:val="14"/>
              </w:rPr>
            </w:pPr>
            <w:r>
              <w:rPr>
                <w:spacing w:val="-5"/>
                <w:sz w:val="14"/>
              </w:rPr>
              <w:t>New</w:t>
            </w:r>
          </w:p>
        </w:tc>
        <w:tc>
          <w:tcPr>
            <w:tcW w:w="678" w:type="dxa"/>
            <w:tcBorders>
              <w:top w:val="single" w:sz="12" w:space="0" w:color="000000"/>
              <w:bottom w:val="single" w:sz="4" w:space="0" w:color="000000"/>
            </w:tcBorders>
          </w:tcPr>
          <w:p>
            <w:pPr>
              <w:pStyle w:val="TableParagraph"/>
              <w:spacing w:before="27"/>
              <w:ind w:right="154"/>
              <w:rPr>
                <w:sz w:val="14"/>
              </w:rPr>
            </w:pPr>
            <w:r>
              <w:rPr>
                <w:w w:val="99"/>
                <w:sz w:val="14"/>
              </w:rPr>
              <w:t>-</w:t>
            </w:r>
          </w:p>
        </w:tc>
        <w:tc>
          <w:tcPr>
            <w:tcW w:w="607" w:type="dxa"/>
            <w:tcBorders>
              <w:top w:val="single" w:sz="12" w:space="0" w:color="000000"/>
              <w:bottom w:val="single" w:sz="4" w:space="0" w:color="000000"/>
            </w:tcBorders>
          </w:tcPr>
          <w:p>
            <w:pPr>
              <w:pStyle w:val="TableParagraph"/>
              <w:spacing w:before="27"/>
              <w:ind w:right="170"/>
              <w:rPr>
                <w:sz w:val="14"/>
              </w:rPr>
            </w:pPr>
            <w:r>
              <w:rPr>
                <w:w w:val="99"/>
                <w:sz w:val="14"/>
              </w:rPr>
              <w:t>-</w:t>
            </w:r>
          </w:p>
        </w:tc>
        <w:tc>
          <w:tcPr>
            <w:tcW w:w="563" w:type="dxa"/>
            <w:tcBorders>
              <w:top w:val="single" w:sz="12" w:space="0" w:color="000000"/>
              <w:bottom w:val="single" w:sz="4" w:space="0" w:color="000000"/>
            </w:tcBorders>
          </w:tcPr>
          <w:p>
            <w:pPr>
              <w:pStyle w:val="TableParagraph"/>
              <w:spacing w:before="27"/>
              <w:ind w:right="171"/>
              <w:rPr>
                <w:sz w:val="14"/>
              </w:rPr>
            </w:pPr>
            <w:r>
              <w:rPr>
                <w:w w:val="99"/>
                <w:sz w:val="14"/>
              </w:rPr>
              <w:t>-</w:t>
            </w:r>
          </w:p>
        </w:tc>
        <w:tc>
          <w:tcPr>
            <w:tcW w:w="581" w:type="dxa"/>
            <w:tcBorders>
              <w:top w:val="single" w:sz="12" w:space="0" w:color="000000"/>
              <w:bottom w:val="single" w:sz="4" w:space="0" w:color="000000"/>
            </w:tcBorders>
          </w:tcPr>
          <w:p>
            <w:pPr>
              <w:pStyle w:val="TableParagraph"/>
              <w:spacing w:before="27"/>
              <w:ind w:right="191"/>
              <w:rPr>
                <w:sz w:val="14"/>
              </w:rPr>
            </w:pPr>
            <w:r>
              <w:rPr>
                <w:w w:val="99"/>
                <w:sz w:val="14"/>
              </w:rPr>
              <w:t>-</w:t>
            </w:r>
          </w:p>
        </w:tc>
        <w:tc>
          <w:tcPr>
            <w:tcW w:w="512" w:type="dxa"/>
            <w:tcBorders>
              <w:top w:val="single" w:sz="12" w:space="0" w:color="000000"/>
              <w:bottom w:val="single" w:sz="4" w:space="0" w:color="000000"/>
            </w:tcBorders>
          </w:tcPr>
          <w:p>
            <w:pPr>
              <w:pStyle w:val="TableParagraph"/>
              <w:spacing w:before="27"/>
              <w:ind w:right="121"/>
              <w:rPr>
                <w:sz w:val="14"/>
              </w:rPr>
            </w:pPr>
            <w:r>
              <w:rPr>
                <w:w w:val="99"/>
                <w:sz w:val="14"/>
              </w:rPr>
              <w:t>-</w:t>
            </w:r>
          </w:p>
        </w:tc>
        <w:tc>
          <w:tcPr>
            <w:tcW w:w="638" w:type="dxa"/>
            <w:tcBorders>
              <w:top w:val="single" w:sz="12" w:space="0" w:color="000000"/>
              <w:bottom w:val="single" w:sz="4" w:space="0" w:color="000000"/>
            </w:tcBorders>
          </w:tcPr>
          <w:p>
            <w:pPr>
              <w:pStyle w:val="TableParagraph"/>
              <w:spacing w:before="27"/>
              <w:ind w:right="175"/>
              <w:rPr>
                <w:sz w:val="14"/>
              </w:rPr>
            </w:pPr>
            <w:r>
              <w:rPr>
                <w:w w:val="99"/>
                <w:sz w:val="14"/>
              </w:rPr>
              <w:t>1</w:t>
            </w:r>
          </w:p>
        </w:tc>
        <w:tc>
          <w:tcPr>
            <w:tcW w:w="691" w:type="dxa"/>
            <w:tcBorders>
              <w:top w:val="single" w:sz="12" w:space="0" w:color="000000"/>
              <w:bottom w:val="single" w:sz="4" w:space="0" w:color="000000"/>
            </w:tcBorders>
          </w:tcPr>
          <w:p>
            <w:pPr>
              <w:pStyle w:val="TableParagraph"/>
              <w:spacing w:before="27"/>
              <w:ind w:right="269"/>
              <w:rPr>
                <w:sz w:val="14"/>
              </w:rPr>
            </w:pPr>
            <w:r>
              <w:rPr>
                <w:w w:val="99"/>
                <w:sz w:val="14"/>
              </w:rPr>
              <w:t>-</w:t>
            </w:r>
          </w:p>
        </w:tc>
        <w:tc>
          <w:tcPr>
            <w:tcW w:w="666" w:type="dxa"/>
            <w:tcBorders>
              <w:top w:val="single" w:sz="12" w:space="0" w:color="000000"/>
              <w:bottom w:val="single" w:sz="4" w:space="0" w:color="000000"/>
            </w:tcBorders>
          </w:tcPr>
          <w:p>
            <w:pPr>
              <w:pStyle w:val="TableParagraph"/>
              <w:spacing w:before="27"/>
              <w:ind w:right="196"/>
              <w:rPr>
                <w:sz w:val="14"/>
              </w:rPr>
            </w:pPr>
            <w:r>
              <w:rPr>
                <w:w w:val="99"/>
                <w:sz w:val="14"/>
              </w:rPr>
              <w:t>-</w:t>
            </w:r>
          </w:p>
        </w:tc>
        <w:tc>
          <w:tcPr>
            <w:tcW w:w="466" w:type="dxa"/>
            <w:tcBorders>
              <w:top w:val="single" w:sz="12" w:space="0" w:color="000000"/>
              <w:bottom w:val="single" w:sz="4" w:space="0" w:color="000000"/>
            </w:tcBorders>
          </w:tcPr>
          <w:p>
            <w:pPr>
              <w:pStyle w:val="TableParagraph"/>
              <w:spacing w:before="27"/>
              <w:ind w:right="66"/>
              <w:rPr>
                <w:sz w:val="14"/>
              </w:rPr>
            </w:pPr>
            <w:r>
              <w:rPr>
                <w:w w:val="99"/>
                <w:sz w:val="14"/>
              </w:rPr>
              <w:t>-</w:t>
            </w:r>
          </w:p>
        </w:tc>
        <w:tc>
          <w:tcPr>
            <w:tcW w:w="795" w:type="dxa"/>
            <w:tcBorders>
              <w:top w:val="single" w:sz="12" w:space="0" w:color="000000"/>
              <w:bottom w:val="single" w:sz="4" w:space="0" w:color="000000"/>
            </w:tcBorders>
          </w:tcPr>
          <w:p>
            <w:pPr>
              <w:pStyle w:val="TableParagraph"/>
              <w:spacing w:before="27"/>
              <w:ind w:right="127"/>
              <w:rPr>
                <w:i/>
                <w:sz w:val="14"/>
              </w:rPr>
            </w:pPr>
            <w:r>
              <w:rPr>
                <w:i/>
                <w:w w:val="99"/>
                <w:sz w:val="14"/>
              </w:rPr>
              <w:t>1</w:t>
            </w:r>
          </w:p>
        </w:tc>
        <w:tc>
          <w:tcPr>
            <w:tcW w:w="569" w:type="dxa"/>
            <w:tcBorders>
              <w:top w:val="single" w:sz="12" w:space="0" w:color="000000"/>
              <w:bottom w:val="single" w:sz="4" w:space="0" w:color="000000"/>
            </w:tcBorders>
          </w:tcPr>
          <w:p>
            <w:pPr>
              <w:pStyle w:val="TableParagraph"/>
              <w:spacing w:before="27"/>
              <w:ind w:right="100"/>
              <w:rPr>
                <w:sz w:val="14"/>
              </w:rPr>
            </w:pPr>
            <w:r>
              <w:rPr>
                <w:w w:val="99"/>
                <w:sz w:val="14"/>
              </w:rPr>
              <w:t>-</w:t>
            </w:r>
          </w:p>
        </w:tc>
        <w:tc>
          <w:tcPr>
            <w:tcW w:w="578" w:type="dxa"/>
            <w:tcBorders>
              <w:top w:val="single" w:sz="12" w:space="0" w:color="000000"/>
              <w:bottom w:val="single" w:sz="4" w:space="0" w:color="000000"/>
            </w:tcBorders>
          </w:tcPr>
          <w:p>
            <w:pPr>
              <w:pStyle w:val="TableParagraph"/>
              <w:spacing w:before="27"/>
              <w:ind w:right="87"/>
              <w:rPr>
                <w:sz w:val="14"/>
              </w:rPr>
            </w:pPr>
            <w:r>
              <w:rPr>
                <w:w w:val="99"/>
                <w:sz w:val="14"/>
              </w:rPr>
              <w:t>-</w:t>
            </w:r>
          </w:p>
        </w:tc>
        <w:tc>
          <w:tcPr>
            <w:tcW w:w="563" w:type="dxa"/>
            <w:tcBorders>
              <w:top w:val="single" w:sz="12" w:space="0" w:color="000000"/>
              <w:bottom w:val="single" w:sz="4" w:space="0" w:color="000000"/>
            </w:tcBorders>
          </w:tcPr>
          <w:p>
            <w:pPr>
              <w:pStyle w:val="TableParagraph"/>
              <w:spacing w:before="27"/>
              <w:ind w:right="60"/>
              <w:rPr>
                <w:sz w:val="14"/>
              </w:rPr>
            </w:pPr>
            <w:r>
              <w:rPr>
                <w:w w:val="99"/>
                <w:sz w:val="14"/>
              </w:rPr>
              <w:t>-</w:t>
            </w:r>
          </w:p>
        </w:tc>
        <w:tc>
          <w:tcPr>
            <w:tcW w:w="813" w:type="dxa"/>
            <w:tcBorders>
              <w:top w:val="single" w:sz="12" w:space="0" w:color="000000"/>
              <w:bottom w:val="single" w:sz="4" w:space="0" w:color="000000"/>
            </w:tcBorders>
          </w:tcPr>
          <w:p>
            <w:pPr>
              <w:pStyle w:val="TableParagraph"/>
              <w:spacing w:before="27"/>
              <w:ind w:right="133"/>
              <w:rPr>
                <w:i/>
                <w:sz w:val="14"/>
              </w:rPr>
            </w:pPr>
            <w:r>
              <w:rPr>
                <w:i/>
                <w:w w:val="99"/>
                <w:sz w:val="14"/>
              </w:rPr>
              <w:t>-</w:t>
            </w:r>
          </w:p>
        </w:tc>
        <w:tc>
          <w:tcPr>
            <w:tcW w:w="526" w:type="dxa"/>
            <w:tcBorders>
              <w:top w:val="single" w:sz="12" w:space="0" w:color="000000"/>
              <w:bottom w:val="single" w:sz="4" w:space="0" w:color="000000"/>
            </w:tcBorders>
          </w:tcPr>
          <w:p>
            <w:pPr>
              <w:pStyle w:val="TableParagraph"/>
              <w:spacing w:before="27"/>
              <w:ind w:right="60"/>
              <w:rPr>
                <w:b/>
                <w:sz w:val="14"/>
              </w:rPr>
            </w:pPr>
            <w:r>
              <w:rPr>
                <w:b/>
                <w:w w:val="99"/>
                <w:sz w:val="14"/>
              </w:rPr>
              <w:t>1</w:t>
            </w:r>
          </w:p>
        </w:tc>
      </w:tr>
      <w:tr>
        <w:trPr>
          <w:trHeight w:val="225" w:hRule="atLeast"/>
        </w:trPr>
        <w:tc>
          <w:tcPr>
            <w:tcW w:w="1186" w:type="dxa"/>
            <w:tcBorders>
              <w:top w:val="single" w:sz="4" w:space="0" w:color="000000"/>
              <w:bottom w:val="single" w:sz="4" w:space="0" w:color="000000"/>
            </w:tcBorders>
          </w:tcPr>
          <w:p>
            <w:pPr>
              <w:pStyle w:val="TableParagraph"/>
              <w:spacing w:before="22"/>
              <w:ind w:left="67"/>
              <w:jc w:val="left"/>
              <w:rPr>
                <w:sz w:val="14"/>
              </w:rPr>
            </w:pPr>
            <w:r>
              <w:rPr>
                <w:spacing w:val="-2"/>
                <w:sz w:val="14"/>
              </w:rPr>
              <w:t>Redeployed</w:t>
            </w:r>
          </w:p>
        </w:tc>
        <w:tc>
          <w:tcPr>
            <w:tcW w:w="678" w:type="dxa"/>
            <w:tcBorders>
              <w:top w:val="single" w:sz="4" w:space="0" w:color="000000"/>
              <w:bottom w:val="single" w:sz="4" w:space="0" w:color="000000"/>
            </w:tcBorders>
          </w:tcPr>
          <w:p>
            <w:pPr>
              <w:pStyle w:val="TableParagraph"/>
              <w:spacing w:before="22"/>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2"/>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2"/>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2"/>
              <w:ind w:right="191"/>
              <w:rPr>
                <w:sz w:val="14"/>
              </w:rPr>
            </w:pPr>
            <w:r>
              <w:rPr>
                <w:w w:val="99"/>
                <w:sz w:val="14"/>
              </w:rPr>
              <w:t>-</w:t>
            </w:r>
          </w:p>
        </w:tc>
        <w:tc>
          <w:tcPr>
            <w:tcW w:w="512" w:type="dxa"/>
            <w:tcBorders>
              <w:top w:val="single" w:sz="4" w:space="0" w:color="000000"/>
              <w:bottom w:val="single" w:sz="4" w:space="0" w:color="000000"/>
            </w:tcBorders>
          </w:tcPr>
          <w:p>
            <w:pPr>
              <w:pStyle w:val="TableParagraph"/>
              <w:spacing w:before="22"/>
              <w:ind w:right="121"/>
              <w:rPr>
                <w:sz w:val="14"/>
              </w:rPr>
            </w:pPr>
            <w:r>
              <w:rPr>
                <w:w w:val="99"/>
                <w:sz w:val="14"/>
              </w:rPr>
              <w:t>-</w:t>
            </w:r>
          </w:p>
        </w:tc>
        <w:tc>
          <w:tcPr>
            <w:tcW w:w="638" w:type="dxa"/>
            <w:tcBorders>
              <w:top w:val="single" w:sz="4" w:space="0" w:color="000000"/>
              <w:bottom w:val="single" w:sz="4" w:space="0" w:color="000000"/>
            </w:tcBorders>
          </w:tcPr>
          <w:p>
            <w:pPr>
              <w:pStyle w:val="TableParagraph"/>
              <w:spacing w:before="22"/>
              <w:ind w:right="174"/>
              <w:rPr>
                <w:sz w:val="14"/>
              </w:rPr>
            </w:pPr>
            <w:r>
              <w:rPr>
                <w:w w:val="99"/>
                <w:sz w:val="14"/>
              </w:rPr>
              <w:t>-</w:t>
            </w:r>
          </w:p>
        </w:tc>
        <w:tc>
          <w:tcPr>
            <w:tcW w:w="691" w:type="dxa"/>
            <w:tcBorders>
              <w:top w:val="single" w:sz="4" w:space="0" w:color="000000"/>
              <w:bottom w:val="single" w:sz="4" w:space="0" w:color="000000"/>
            </w:tcBorders>
          </w:tcPr>
          <w:p>
            <w:pPr>
              <w:pStyle w:val="TableParagraph"/>
              <w:spacing w:before="22"/>
              <w:ind w:right="269"/>
              <w:rPr>
                <w:sz w:val="14"/>
              </w:rPr>
            </w:pPr>
            <w:r>
              <w:rPr>
                <w:w w:val="99"/>
                <w:sz w:val="14"/>
              </w:rPr>
              <w:t>-</w:t>
            </w:r>
          </w:p>
        </w:tc>
        <w:tc>
          <w:tcPr>
            <w:tcW w:w="666" w:type="dxa"/>
            <w:tcBorders>
              <w:top w:val="single" w:sz="4" w:space="0" w:color="000000"/>
              <w:bottom w:val="single" w:sz="4" w:space="0" w:color="000000"/>
            </w:tcBorders>
          </w:tcPr>
          <w:p>
            <w:pPr>
              <w:pStyle w:val="TableParagraph"/>
              <w:spacing w:before="22"/>
              <w:ind w:right="196"/>
              <w:rPr>
                <w:sz w:val="14"/>
              </w:rPr>
            </w:pPr>
            <w:r>
              <w:rPr>
                <w:w w:val="99"/>
                <w:sz w:val="14"/>
              </w:rPr>
              <w:t>-</w:t>
            </w:r>
          </w:p>
        </w:tc>
        <w:tc>
          <w:tcPr>
            <w:tcW w:w="466" w:type="dxa"/>
            <w:tcBorders>
              <w:top w:val="single" w:sz="4" w:space="0" w:color="000000"/>
              <w:bottom w:val="single" w:sz="4" w:space="0" w:color="000000"/>
            </w:tcBorders>
          </w:tcPr>
          <w:p>
            <w:pPr>
              <w:pStyle w:val="TableParagraph"/>
              <w:spacing w:before="22"/>
              <w:ind w:right="66"/>
              <w:rPr>
                <w:sz w:val="14"/>
              </w:rPr>
            </w:pPr>
            <w:r>
              <w:rPr>
                <w:w w:val="99"/>
                <w:sz w:val="14"/>
              </w:rPr>
              <w:t>-</w:t>
            </w:r>
          </w:p>
        </w:tc>
        <w:tc>
          <w:tcPr>
            <w:tcW w:w="795" w:type="dxa"/>
            <w:tcBorders>
              <w:top w:val="single" w:sz="4" w:space="0" w:color="000000"/>
              <w:bottom w:val="single" w:sz="4" w:space="0" w:color="000000"/>
            </w:tcBorders>
          </w:tcPr>
          <w:p>
            <w:pPr>
              <w:pStyle w:val="TableParagraph"/>
              <w:spacing w:before="22"/>
              <w:ind w:right="126"/>
              <w:rPr>
                <w:i/>
                <w:sz w:val="14"/>
              </w:rPr>
            </w:pPr>
            <w:r>
              <w:rPr>
                <w:i/>
                <w:w w:val="99"/>
                <w:sz w:val="14"/>
              </w:rPr>
              <w:t>-</w:t>
            </w:r>
          </w:p>
        </w:tc>
        <w:tc>
          <w:tcPr>
            <w:tcW w:w="569" w:type="dxa"/>
            <w:tcBorders>
              <w:top w:val="single" w:sz="4" w:space="0" w:color="000000"/>
              <w:bottom w:val="single" w:sz="4" w:space="0" w:color="000000"/>
            </w:tcBorders>
          </w:tcPr>
          <w:p>
            <w:pPr>
              <w:pStyle w:val="TableParagraph"/>
              <w:spacing w:before="22"/>
              <w:ind w:right="100"/>
              <w:rPr>
                <w:sz w:val="14"/>
              </w:rPr>
            </w:pPr>
            <w:r>
              <w:rPr>
                <w:w w:val="99"/>
                <w:sz w:val="14"/>
              </w:rPr>
              <w:t>-</w:t>
            </w:r>
          </w:p>
        </w:tc>
        <w:tc>
          <w:tcPr>
            <w:tcW w:w="578" w:type="dxa"/>
            <w:tcBorders>
              <w:top w:val="single" w:sz="4" w:space="0" w:color="000000"/>
              <w:bottom w:val="single" w:sz="4" w:space="0" w:color="000000"/>
            </w:tcBorders>
          </w:tcPr>
          <w:p>
            <w:pPr>
              <w:pStyle w:val="TableParagraph"/>
              <w:spacing w:before="22"/>
              <w:ind w:right="87"/>
              <w:rPr>
                <w:sz w:val="14"/>
              </w:rPr>
            </w:pPr>
            <w:r>
              <w:rPr>
                <w:w w:val="99"/>
                <w:sz w:val="14"/>
              </w:rPr>
              <w:t>-</w:t>
            </w:r>
          </w:p>
        </w:tc>
        <w:tc>
          <w:tcPr>
            <w:tcW w:w="563" w:type="dxa"/>
            <w:tcBorders>
              <w:top w:val="single" w:sz="4" w:space="0" w:color="000000"/>
              <w:bottom w:val="single" w:sz="4" w:space="0" w:color="000000"/>
            </w:tcBorders>
          </w:tcPr>
          <w:p>
            <w:pPr>
              <w:pStyle w:val="TableParagraph"/>
              <w:spacing w:before="22"/>
              <w:ind w:right="60"/>
              <w:rPr>
                <w:sz w:val="14"/>
              </w:rPr>
            </w:pPr>
            <w:r>
              <w:rPr>
                <w:w w:val="99"/>
                <w:sz w:val="14"/>
              </w:rPr>
              <w:t>-</w:t>
            </w:r>
          </w:p>
        </w:tc>
        <w:tc>
          <w:tcPr>
            <w:tcW w:w="813" w:type="dxa"/>
            <w:tcBorders>
              <w:top w:val="single" w:sz="4" w:space="0" w:color="000000"/>
              <w:bottom w:val="single" w:sz="4" w:space="0" w:color="000000"/>
            </w:tcBorders>
          </w:tcPr>
          <w:p>
            <w:pPr>
              <w:pStyle w:val="TableParagraph"/>
              <w:spacing w:before="22"/>
              <w:ind w:right="133"/>
              <w:rPr>
                <w:i/>
                <w:sz w:val="14"/>
              </w:rPr>
            </w:pPr>
            <w:r>
              <w:rPr>
                <w:i/>
                <w:w w:val="99"/>
                <w:sz w:val="14"/>
              </w:rPr>
              <w:t>-</w:t>
            </w:r>
          </w:p>
        </w:tc>
        <w:tc>
          <w:tcPr>
            <w:tcW w:w="526" w:type="dxa"/>
            <w:tcBorders>
              <w:top w:val="single" w:sz="4" w:space="0" w:color="000000"/>
              <w:bottom w:val="single" w:sz="4" w:space="0" w:color="000000"/>
            </w:tcBorders>
          </w:tcPr>
          <w:p>
            <w:pPr>
              <w:pStyle w:val="TableParagraph"/>
              <w:spacing w:before="22"/>
              <w:ind w:right="59"/>
              <w:rPr>
                <w:b/>
                <w:sz w:val="14"/>
              </w:rPr>
            </w:pPr>
            <w:r>
              <w:rPr>
                <w:b/>
                <w:w w:val="99"/>
                <w:sz w:val="14"/>
              </w:rPr>
              <w:t>-</w:t>
            </w:r>
          </w:p>
        </w:tc>
      </w:tr>
      <w:tr>
        <w:trPr>
          <w:trHeight w:val="230" w:hRule="atLeast"/>
        </w:trPr>
        <w:tc>
          <w:tcPr>
            <w:tcW w:w="1186" w:type="dxa"/>
            <w:tcBorders>
              <w:top w:val="single" w:sz="4" w:space="0" w:color="000000"/>
              <w:bottom w:val="single" w:sz="4" w:space="0" w:color="000000"/>
            </w:tcBorders>
          </w:tcPr>
          <w:p>
            <w:pPr>
              <w:pStyle w:val="TableParagraph"/>
              <w:spacing w:before="27"/>
              <w:ind w:left="67"/>
              <w:jc w:val="left"/>
              <w:rPr>
                <w:sz w:val="14"/>
              </w:rPr>
            </w:pPr>
            <w:r>
              <w:rPr>
                <w:spacing w:val="-2"/>
                <w:sz w:val="14"/>
              </w:rPr>
              <w:t>Reclassified</w:t>
            </w:r>
          </w:p>
        </w:tc>
        <w:tc>
          <w:tcPr>
            <w:tcW w:w="678" w:type="dxa"/>
            <w:tcBorders>
              <w:top w:val="single" w:sz="4" w:space="0" w:color="000000"/>
              <w:bottom w:val="single" w:sz="4" w:space="0" w:color="000000"/>
            </w:tcBorders>
          </w:tcPr>
          <w:p>
            <w:pPr>
              <w:pStyle w:val="TableParagraph"/>
              <w:spacing w:before="27"/>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7"/>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7"/>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7"/>
              <w:ind w:right="191"/>
              <w:rPr>
                <w:sz w:val="14"/>
              </w:rPr>
            </w:pPr>
            <w:r>
              <w:rPr>
                <w:w w:val="99"/>
                <w:sz w:val="14"/>
              </w:rPr>
              <w:t>-</w:t>
            </w:r>
          </w:p>
        </w:tc>
        <w:tc>
          <w:tcPr>
            <w:tcW w:w="512" w:type="dxa"/>
            <w:tcBorders>
              <w:top w:val="single" w:sz="4" w:space="0" w:color="000000"/>
              <w:bottom w:val="single" w:sz="4" w:space="0" w:color="000000"/>
            </w:tcBorders>
          </w:tcPr>
          <w:p>
            <w:pPr>
              <w:pStyle w:val="TableParagraph"/>
              <w:spacing w:before="27"/>
              <w:ind w:right="121"/>
              <w:rPr>
                <w:sz w:val="14"/>
              </w:rPr>
            </w:pPr>
            <w:r>
              <w:rPr>
                <w:w w:val="99"/>
                <w:sz w:val="14"/>
              </w:rPr>
              <w:t>-</w:t>
            </w:r>
          </w:p>
        </w:tc>
        <w:tc>
          <w:tcPr>
            <w:tcW w:w="638" w:type="dxa"/>
            <w:tcBorders>
              <w:top w:val="single" w:sz="4" w:space="0" w:color="000000"/>
              <w:bottom w:val="single" w:sz="4" w:space="0" w:color="000000"/>
            </w:tcBorders>
          </w:tcPr>
          <w:p>
            <w:pPr>
              <w:pStyle w:val="TableParagraph"/>
              <w:spacing w:before="27"/>
              <w:ind w:right="174"/>
              <w:rPr>
                <w:sz w:val="14"/>
              </w:rPr>
            </w:pPr>
            <w:r>
              <w:rPr>
                <w:w w:val="99"/>
                <w:sz w:val="14"/>
              </w:rPr>
              <w:t>-</w:t>
            </w:r>
          </w:p>
        </w:tc>
        <w:tc>
          <w:tcPr>
            <w:tcW w:w="691" w:type="dxa"/>
            <w:tcBorders>
              <w:top w:val="single" w:sz="4" w:space="0" w:color="000000"/>
              <w:bottom w:val="single" w:sz="4" w:space="0" w:color="000000"/>
            </w:tcBorders>
          </w:tcPr>
          <w:p>
            <w:pPr>
              <w:pStyle w:val="TableParagraph"/>
              <w:spacing w:before="27"/>
              <w:ind w:right="269"/>
              <w:rPr>
                <w:sz w:val="14"/>
              </w:rPr>
            </w:pPr>
            <w:r>
              <w:rPr>
                <w:w w:val="99"/>
                <w:sz w:val="14"/>
              </w:rPr>
              <w:t>-</w:t>
            </w:r>
          </w:p>
        </w:tc>
        <w:tc>
          <w:tcPr>
            <w:tcW w:w="666" w:type="dxa"/>
            <w:tcBorders>
              <w:top w:val="single" w:sz="4" w:space="0" w:color="000000"/>
              <w:bottom w:val="single" w:sz="4" w:space="0" w:color="000000"/>
            </w:tcBorders>
          </w:tcPr>
          <w:p>
            <w:pPr>
              <w:pStyle w:val="TableParagraph"/>
              <w:spacing w:before="27"/>
              <w:ind w:right="196"/>
              <w:rPr>
                <w:sz w:val="14"/>
              </w:rPr>
            </w:pPr>
            <w:r>
              <w:rPr>
                <w:w w:val="99"/>
                <w:sz w:val="14"/>
              </w:rPr>
              <w:t>-</w:t>
            </w:r>
          </w:p>
        </w:tc>
        <w:tc>
          <w:tcPr>
            <w:tcW w:w="466" w:type="dxa"/>
            <w:tcBorders>
              <w:top w:val="single" w:sz="4" w:space="0" w:color="000000"/>
              <w:bottom w:val="single" w:sz="4" w:space="0" w:color="000000"/>
            </w:tcBorders>
          </w:tcPr>
          <w:p>
            <w:pPr>
              <w:pStyle w:val="TableParagraph"/>
              <w:spacing w:before="27"/>
              <w:ind w:right="66"/>
              <w:rPr>
                <w:sz w:val="14"/>
              </w:rPr>
            </w:pPr>
            <w:r>
              <w:rPr>
                <w:w w:val="99"/>
                <w:sz w:val="14"/>
              </w:rPr>
              <w:t>-</w:t>
            </w:r>
          </w:p>
        </w:tc>
        <w:tc>
          <w:tcPr>
            <w:tcW w:w="795" w:type="dxa"/>
            <w:tcBorders>
              <w:top w:val="single" w:sz="4" w:space="0" w:color="000000"/>
              <w:bottom w:val="single" w:sz="4" w:space="0" w:color="000000"/>
            </w:tcBorders>
          </w:tcPr>
          <w:p>
            <w:pPr>
              <w:pStyle w:val="TableParagraph"/>
              <w:spacing w:before="27"/>
              <w:ind w:right="126"/>
              <w:rPr>
                <w:i/>
                <w:sz w:val="14"/>
              </w:rPr>
            </w:pPr>
            <w:r>
              <w:rPr>
                <w:i/>
                <w:w w:val="99"/>
                <w:sz w:val="14"/>
              </w:rPr>
              <w:t>-</w:t>
            </w:r>
          </w:p>
        </w:tc>
        <w:tc>
          <w:tcPr>
            <w:tcW w:w="569" w:type="dxa"/>
            <w:tcBorders>
              <w:top w:val="single" w:sz="4" w:space="0" w:color="000000"/>
              <w:bottom w:val="single" w:sz="4" w:space="0" w:color="000000"/>
            </w:tcBorders>
          </w:tcPr>
          <w:p>
            <w:pPr>
              <w:pStyle w:val="TableParagraph"/>
              <w:spacing w:before="27"/>
              <w:ind w:right="100"/>
              <w:rPr>
                <w:sz w:val="14"/>
              </w:rPr>
            </w:pPr>
            <w:r>
              <w:rPr>
                <w:w w:val="99"/>
                <w:sz w:val="14"/>
              </w:rPr>
              <w:t>-</w:t>
            </w:r>
          </w:p>
        </w:tc>
        <w:tc>
          <w:tcPr>
            <w:tcW w:w="578" w:type="dxa"/>
            <w:tcBorders>
              <w:top w:val="single" w:sz="4" w:space="0" w:color="000000"/>
              <w:bottom w:val="single" w:sz="4" w:space="0" w:color="000000"/>
            </w:tcBorders>
          </w:tcPr>
          <w:p>
            <w:pPr>
              <w:pStyle w:val="TableParagraph"/>
              <w:spacing w:before="27"/>
              <w:ind w:right="87"/>
              <w:rPr>
                <w:sz w:val="14"/>
              </w:rPr>
            </w:pPr>
            <w:r>
              <w:rPr>
                <w:w w:val="99"/>
                <w:sz w:val="14"/>
              </w:rPr>
              <w:t>-</w:t>
            </w:r>
          </w:p>
        </w:tc>
        <w:tc>
          <w:tcPr>
            <w:tcW w:w="563" w:type="dxa"/>
            <w:tcBorders>
              <w:top w:val="single" w:sz="4" w:space="0" w:color="000000"/>
              <w:bottom w:val="single" w:sz="4" w:space="0" w:color="000000"/>
            </w:tcBorders>
          </w:tcPr>
          <w:p>
            <w:pPr>
              <w:pStyle w:val="TableParagraph"/>
              <w:spacing w:before="27"/>
              <w:ind w:right="60"/>
              <w:rPr>
                <w:sz w:val="14"/>
              </w:rPr>
            </w:pPr>
            <w:r>
              <w:rPr>
                <w:w w:val="99"/>
                <w:sz w:val="14"/>
              </w:rPr>
              <w:t>-</w:t>
            </w:r>
          </w:p>
        </w:tc>
        <w:tc>
          <w:tcPr>
            <w:tcW w:w="813" w:type="dxa"/>
            <w:tcBorders>
              <w:top w:val="single" w:sz="4" w:space="0" w:color="000000"/>
              <w:bottom w:val="single" w:sz="4" w:space="0" w:color="000000"/>
            </w:tcBorders>
          </w:tcPr>
          <w:p>
            <w:pPr>
              <w:pStyle w:val="TableParagraph"/>
              <w:spacing w:before="27"/>
              <w:ind w:right="133"/>
              <w:rPr>
                <w:i/>
                <w:sz w:val="14"/>
              </w:rPr>
            </w:pPr>
            <w:r>
              <w:rPr>
                <w:i/>
                <w:w w:val="99"/>
                <w:sz w:val="14"/>
              </w:rPr>
              <w:t>-</w:t>
            </w:r>
          </w:p>
        </w:tc>
        <w:tc>
          <w:tcPr>
            <w:tcW w:w="526" w:type="dxa"/>
            <w:tcBorders>
              <w:top w:val="single" w:sz="4" w:space="0" w:color="000000"/>
              <w:bottom w:val="single" w:sz="4" w:space="0" w:color="000000"/>
            </w:tcBorders>
          </w:tcPr>
          <w:p>
            <w:pPr>
              <w:pStyle w:val="TableParagraph"/>
              <w:spacing w:before="27"/>
              <w:ind w:right="59"/>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2"/>
              <w:ind w:left="67"/>
              <w:jc w:val="left"/>
              <w:rPr>
                <w:sz w:val="14"/>
              </w:rPr>
            </w:pPr>
            <w:r>
              <w:rPr>
                <w:spacing w:val="-2"/>
                <w:sz w:val="14"/>
              </w:rPr>
              <w:t>Returned</w:t>
            </w:r>
          </w:p>
        </w:tc>
        <w:tc>
          <w:tcPr>
            <w:tcW w:w="678" w:type="dxa"/>
            <w:tcBorders>
              <w:top w:val="single" w:sz="4" w:space="0" w:color="000000"/>
              <w:bottom w:val="single" w:sz="4" w:space="0" w:color="000000"/>
            </w:tcBorders>
          </w:tcPr>
          <w:p>
            <w:pPr>
              <w:pStyle w:val="TableParagraph"/>
              <w:spacing w:before="22"/>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2"/>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2"/>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2"/>
              <w:ind w:right="191"/>
              <w:rPr>
                <w:sz w:val="14"/>
              </w:rPr>
            </w:pPr>
            <w:r>
              <w:rPr>
                <w:w w:val="99"/>
                <w:sz w:val="14"/>
              </w:rPr>
              <w:t>-</w:t>
            </w:r>
          </w:p>
        </w:tc>
        <w:tc>
          <w:tcPr>
            <w:tcW w:w="512" w:type="dxa"/>
            <w:tcBorders>
              <w:top w:val="single" w:sz="4" w:space="0" w:color="000000"/>
              <w:bottom w:val="single" w:sz="4" w:space="0" w:color="000000"/>
            </w:tcBorders>
          </w:tcPr>
          <w:p>
            <w:pPr>
              <w:pStyle w:val="TableParagraph"/>
              <w:spacing w:before="22"/>
              <w:ind w:right="121"/>
              <w:rPr>
                <w:sz w:val="14"/>
              </w:rPr>
            </w:pPr>
            <w:r>
              <w:rPr>
                <w:w w:val="99"/>
                <w:sz w:val="14"/>
              </w:rPr>
              <w:t>-</w:t>
            </w:r>
          </w:p>
        </w:tc>
        <w:tc>
          <w:tcPr>
            <w:tcW w:w="638" w:type="dxa"/>
            <w:tcBorders>
              <w:top w:val="single" w:sz="4" w:space="0" w:color="000000"/>
              <w:bottom w:val="single" w:sz="4" w:space="0" w:color="000000"/>
            </w:tcBorders>
          </w:tcPr>
          <w:p>
            <w:pPr>
              <w:pStyle w:val="TableParagraph"/>
              <w:spacing w:before="22"/>
              <w:ind w:right="174"/>
              <w:rPr>
                <w:sz w:val="14"/>
              </w:rPr>
            </w:pPr>
            <w:r>
              <w:rPr>
                <w:w w:val="99"/>
                <w:sz w:val="14"/>
              </w:rPr>
              <w:t>-</w:t>
            </w:r>
          </w:p>
        </w:tc>
        <w:tc>
          <w:tcPr>
            <w:tcW w:w="691" w:type="dxa"/>
            <w:tcBorders>
              <w:top w:val="single" w:sz="4" w:space="0" w:color="000000"/>
              <w:bottom w:val="single" w:sz="4" w:space="0" w:color="000000"/>
            </w:tcBorders>
          </w:tcPr>
          <w:p>
            <w:pPr>
              <w:pStyle w:val="TableParagraph"/>
              <w:spacing w:before="22"/>
              <w:ind w:right="269"/>
              <w:rPr>
                <w:sz w:val="14"/>
              </w:rPr>
            </w:pPr>
            <w:r>
              <w:rPr>
                <w:w w:val="99"/>
                <w:sz w:val="14"/>
              </w:rPr>
              <w:t>-</w:t>
            </w:r>
          </w:p>
        </w:tc>
        <w:tc>
          <w:tcPr>
            <w:tcW w:w="666" w:type="dxa"/>
            <w:tcBorders>
              <w:top w:val="single" w:sz="4" w:space="0" w:color="000000"/>
              <w:bottom w:val="single" w:sz="4" w:space="0" w:color="000000"/>
            </w:tcBorders>
          </w:tcPr>
          <w:p>
            <w:pPr>
              <w:pStyle w:val="TableParagraph"/>
              <w:spacing w:before="22"/>
              <w:ind w:right="196"/>
              <w:rPr>
                <w:sz w:val="14"/>
              </w:rPr>
            </w:pPr>
            <w:r>
              <w:rPr>
                <w:w w:val="99"/>
                <w:sz w:val="14"/>
              </w:rPr>
              <w:t>-</w:t>
            </w:r>
          </w:p>
        </w:tc>
        <w:tc>
          <w:tcPr>
            <w:tcW w:w="466" w:type="dxa"/>
            <w:tcBorders>
              <w:top w:val="single" w:sz="4" w:space="0" w:color="000000"/>
              <w:bottom w:val="single" w:sz="4" w:space="0" w:color="000000"/>
            </w:tcBorders>
          </w:tcPr>
          <w:p>
            <w:pPr>
              <w:pStyle w:val="TableParagraph"/>
              <w:spacing w:before="22"/>
              <w:ind w:right="66"/>
              <w:rPr>
                <w:sz w:val="14"/>
              </w:rPr>
            </w:pPr>
            <w:r>
              <w:rPr>
                <w:w w:val="99"/>
                <w:sz w:val="14"/>
              </w:rPr>
              <w:t>-</w:t>
            </w:r>
          </w:p>
        </w:tc>
        <w:tc>
          <w:tcPr>
            <w:tcW w:w="795" w:type="dxa"/>
            <w:tcBorders>
              <w:top w:val="single" w:sz="4" w:space="0" w:color="000000"/>
              <w:bottom w:val="single" w:sz="4" w:space="0" w:color="000000"/>
            </w:tcBorders>
          </w:tcPr>
          <w:p>
            <w:pPr>
              <w:pStyle w:val="TableParagraph"/>
              <w:spacing w:before="22"/>
              <w:ind w:right="126"/>
              <w:rPr>
                <w:i/>
                <w:sz w:val="14"/>
              </w:rPr>
            </w:pPr>
            <w:r>
              <w:rPr>
                <w:i/>
                <w:w w:val="99"/>
                <w:sz w:val="14"/>
              </w:rPr>
              <w:t>-</w:t>
            </w:r>
          </w:p>
        </w:tc>
        <w:tc>
          <w:tcPr>
            <w:tcW w:w="569" w:type="dxa"/>
            <w:tcBorders>
              <w:top w:val="single" w:sz="4" w:space="0" w:color="000000"/>
              <w:bottom w:val="single" w:sz="4" w:space="0" w:color="000000"/>
            </w:tcBorders>
          </w:tcPr>
          <w:p>
            <w:pPr>
              <w:pStyle w:val="TableParagraph"/>
              <w:spacing w:before="22"/>
              <w:ind w:right="100"/>
              <w:rPr>
                <w:sz w:val="14"/>
              </w:rPr>
            </w:pPr>
            <w:r>
              <w:rPr>
                <w:w w:val="99"/>
                <w:sz w:val="14"/>
              </w:rPr>
              <w:t>-</w:t>
            </w:r>
          </w:p>
        </w:tc>
        <w:tc>
          <w:tcPr>
            <w:tcW w:w="578" w:type="dxa"/>
            <w:tcBorders>
              <w:top w:val="single" w:sz="4" w:space="0" w:color="000000"/>
              <w:bottom w:val="single" w:sz="4" w:space="0" w:color="000000"/>
            </w:tcBorders>
          </w:tcPr>
          <w:p>
            <w:pPr>
              <w:pStyle w:val="TableParagraph"/>
              <w:spacing w:before="22"/>
              <w:ind w:right="87"/>
              <w:rPr>
                <w:sz w:val="14"/>
              </w:rPr>
            </w:pPr>
            <w:r>
              <w:rPr>
                <w:w w:val="99"/>
                <w:sz w:val="14"/>
              </w:rPr>
              <w:t>-</w:t>
            </w:r>
          </w:p>
        </w:tc>
        <w:tc>
          <w:tcPr>
            <w:tcW w:w="563" w:type="dxa"/>
            <w:tcBorders>
              <w:top w:val="single" w:sz="4" w:space="0" w:color="000000"/>
              <w:bottom w:val="single" w:sz="4" w:space="0" w:color="000000"/>
            </w:tcBorders>
          </w:tcPr>
          <w:p>
            <w:pPr>
              <w:pStyle w:val="TableParagraph"/>
              <w:spacing w:before="22"/>
              <w:ind w:right="60"/>
              <w:rPr>
                <w:sz w:val="14"/>
              </w:rPr>
            </w:pPr>
            <w:r>
              <w:rPr>
                <w:w w:val="99"/>
                <w:sz w:val="14"/>
              </w:rPr>
              <w:t>-</w:t>
            </w:r>
          </w:p>
        </w:tc>
        <w:tc>
          <w:tcPr>
            <w:tcW w:w="813" w:type="dxa"/>
            <w:tcBorders>
              <w:top w:val="single" w:sz="4" w:space="0" w:color="000000"/>
              <w:bottom w:val="single" w:sz="4" w:space="0" w:color="000000"/>
            </w:tcBorders>
          </w:tcPr>
          <w:p>
            <w:pPr>
              <w:pStyle w:val="TableParagraph"/>
              <w:spacing w:before="22"/>
              <w:ind w:right="133"/>
              <w:rPr>
                <w:i/>
                <w:sz w:val="14"/>
              </w:rPr>
            </w:pPr>
            <w:r>
              <w:rPr>
                <w:i/>
                <w:w w:val="99"/>
                <w:sz w:val="14"/>
              </w:rPr>
              <w:t>-</w:t>
            </w:r>
          </w:p>
        </w:tc>
        <w:tc>
          <w:tcPr>
            <w:tcW w:w="526" w:type="dxa"/>
            <w:tcBorders>
              <w:top w:val="single" w:sz="4" w:space="0" w:color="000000"/>
              <w:bottom w:val="single" w:sz="4" w:space="0" w:color="000000"/>
            </w:tcBorders>
          </w:tcPr>
          <w:p>
            <w:pPr>
              <w:pStyle w:val="TableParagraph"/>
              <w:spacing w:before="22"/>
              <w:ind w:right="59"/>
              <w:rPr>
                <w:b/>
                <w:sz w:val="14"/>
              </w:rPr>
            </w:pPr>
            <w:r>
              <w:rPr>
                <w:b/>
                <w:w w:val="99"/>
                <w:sz w:val="14"/>
              </w:rPr>
              <w:t>-</w:t>
            </w:r>
          </w:p>
        </w:tc>
      </w:tr>
      <w:tr>
        <w:trPr>
          <w:trHeight w:val="224" w:hRule="atLeast"/>
        </w:trPr>
        <w:tc>
          <w:tcPr>
            <w:tcW w:w="1186" w:type="dxa"/>
            <w:tcBorders>
              <w:top w:val="single" w:sz="4" w:space="0" w:color="000000"/>
              <w:bottom w:val="single" w:sz="12" w:space="0" w:color="000000"/>
            </w:tcBorders>
          </w:tcPr>
          <w:p>
            <w:pPr>
              <w:pStyle w:val="TableParagraph"/>
              <w:spacing w:before="22"/>
              <w:ind w:left="67"/>
              <w:jc w:val="left"/>
              <w:rPr>
                <w:b/>
                <w:sz w:val="14"/>
              </w:rPr>
            </w:pPr>
            <w:r>
              <w:rPr>
                <w:b/>
                <w:sz w:val="14"/>
              </w:rPr>
              <w:t>Proposed</w:t>
            </w:r>
            <w:r>
              <w:rPr>
                <w:b/>
                <w:spacing w:val="-6"/>
                <w:sz w:val="14"/>
              </w:rPr>
              <w:t> </w:t>
            </w:r>
            <w:r>
              <w:rPr>
                <w:b/>
                <w:spacing w:val="-4"/>
                <w:sz w:val="14"/>
              </w:rPr>
              <w:t>2023</w:t>
            </w:r>
          </w:p>
        </w:tc>
        <w:tc>
          <w:tcPr>
            <w:tcW w:w="678" w:type="dxa"/>
            <w:tcBorders>
              <w:top w:val="single" w:sz="4" w:space="0" w:color="000000"/>
              <w:bottom w:val="single" w:sz="12" w:space="0" w:color="000000"/>
            </w:tcBorders>
          </w:tcPr>
          <w:p>
            <w:pPr>
              <w:pStyle w:val="TableParagraph"/>
              <w:spacing w:before="22"/>
              <w:ind w:right="154"/>
              <w:rPr>
                <w:b/>
                <w:sz w:val="14"/>
              </w:rPr>
            </w:pPr>
            <w:r>
              <w:rPr>
                <w:b/>
                <w:w w:val="99"/>
                <w:sz w:val="14"/>
              </w:rPr>
              <w:t>-</w:t>
            </w:r>
          </w:p>
        </w:tc>
        <w:tc>
          <w:tcPr>
            <w:tcW w:w="607" w:type="dxa"/>
            <w:tcBorders>
              <w:top w:val="single" w:sz="4" w:space="0" w:color="000000"/>
              <w:bottom w:val="single" w:sz="12" w:space="0" w:color="000000"/>
            </w:tcBorders>
          </w:tcPr>
          <w:p>
            <w:pPr>
              <w:pStyle w:val="TableParagraph"/>
              <w:spacing w:before="22"/>
              <w:ind w:right="170"/>
              <w:rPr>
                <w:b/>
                <w:sz w:val="14"/>
              </w:rPr>
            </w:pPr>
            <w:r>
              <w:rPr>
                <w:b/>
                <w:w w:val="99"/>
                <w:sz w:val="14"/>
              </w:rPr>
              <w:t>-</w:t>
            </w:r>
          </w:p>
        </w:tc>
        <w:tc>
          <w:tcPr>
            <w:tcW w:w="563" w:type="dxa"/>
            <w:tcBorders>
              <w:top w:val="single" w:sz="4" w:space="0" w:color="000000"/>
              <w:bottom w:val="single" w:sz="12" w:space="0" w:color="000000"/>
            </w:tcBorders>
          </w:tcPr>
          <w:p>
            <w:pPr>
              <w:pStyle w:val="TableParagraph"/>
              <w:spacing w:before="22"/>
              <w:ind w:right="171"/>
              <w:rPr>
                <w:b/>
                <w:sz w:val="14"/>
              </w:rPr>
            </w:pPr>
            <w:r>
              <w:rPr>
                <w:b/>
                <w:w w:val="99"/>
                <w:sz w:val="14"/>
              </w:rPr>
              <w:t>-</w:t>
            </w:r>
          </w:p>
        </w:tc>
        <w:tc>
          <w:tcPr>
            <w:tcW w:w="581" w:type="dxa"/>
            <w:tcBorders>
              <w:top w:val="single" w:sz="4" w:space="0" w:color="000000"/>
              <w:bottom w:val="single" w:sz="12" w:space="0" w:color="000000"/>
            </w:tcBorders>
          </w:tcPr>
          <w:p>
            <w:pPr>
              <w:pStyle w:val="TableParagraph"/>
              <w:spacing w:before="22"/>
              <w:ind w:right="191"/>
              <w:rPr>
                <w:b/>
                <w:sz w:val="14"/>
              </w:rPr>
            </w:pPr>
            <w:r>
              <w:rPr>
                <w:b/>
                <w:w w:val="99"/>
                <w:sz w:val="14"/>
              </w:rPr>
              <w:t>-</w:t>
            </w:r>
          </w:p>
        </w:tc>
        <w:tc>
          <w:tcPr>
            <w:tcW w:w="512" w:type="dxa"/>
            <w:tcBorders>
              <w:top w:val="single" w:sz="4" w:space="0" w:color="000000"/>
              <w:bottom w:val="single" w:sz="12" w:space="0" w:color="000000"/>
            </w:tcBorders>
          </w:tcPr>
          <w:p>
            <w:pPr>
              <w:pStyle w:val="TableParagraph"/>
              <w:spacing w:before="22"/>
              <w:ind w:right="122"/>
              <w:rPr>
                <w:b/>
                <w:sz w:val="14"/>
              </w:rPr>
            </w:pPr>
            <w:r>
              <w:rPr>
                <w:b/>
                <w:w w:val="99"/>
                <w:sz w:val="14"/>
              </w:rPr>
              <w:t>1</w:t>
            </w:r>
          </w:p>
        </w:tc>
        <w:tc>
          <w:tcPr>
            <w:tcW w:w="638" w:type="dxa"/>
            <w:tcBorders>
              <w:top w:val="single" w:sz="4" w:space="0" w:color="000000"/>
              <w:bottom w:val="single" w:sz="12" w:space="0" w:color="000000"/>
            </w:tcBorders>
          </w:tcPr>
          <w:p>
            <w:pPr>
              <w:pStyle w:val="TableParagraph"/>
              <w:spacing w:before="22"/>
              <w:ind w:right="175"/>
              <w:rPr>
                <w:b/>
                <w:sz w:val="14"/>
              </w:rPr>
            </w:pPr>
            <w:r>
              <w:rPr>
                <w:b/>
                <w:w w:val="99"/>
                <w:sz w:val="14"/>
              </w:rPr>
              <w:t>2</w:t>
            </w:r>
          </w:p>
        </w:tc>
        <w:tc>
          <w:tcPr>
            <w:tcW w:w="691" w:type="dxa"/>
            <w:tcBorders>
              <w:top w:val="single" w:sz="4" w:space="0" w:color="000000"/>
              <w:bottom w:val="single" w:sz="12" w:space="0" w:color="000000"/>
            </w:tcBorders>
          </w:tcPr>
          <w:p>
            <w:pPr>
              <w:pStyle w:val="TableParagraph"/>
              <w:spacing w:before="22"/>
              <w:ind w:right="269"/>
              <w:rPr>
                <w:b/>
                <w:sz w:val="14"/>
              </w:rPr>
            </w:pPr>
            <w:r>
              <w:rPr>
                <w:b/>
                <w:w w:val="99"/>
                <w:sz w:val="14"/>
              </w:rPr>
              <w:t>-</w:t>
            </w:r>
          </w:p>
        </w:tc>
        <w:tc>
          <w:tcPr>
            <w:tcW w:w="666" w:type="dxa"/>
            <w:tcBorders>
              <w:top w:val="single" w:sz="4" w:space="0" w:color="000000"/>
              <w:bottom w:val="single" w:sz="12" w:space="0" w:color="000000"/>
            </w:tcBorders>
          </w:tcPr>
          <w:p>
            <w:pPr>
              <w:pStyle w:val="TableParagraph"/>
              <w:spacing w:before="22"/>
              <w:ind w:right="196"/>
              <w:rPr>
                <w:b/>
                <w:sz w:val="14"/>
              </w:rPr>
            </w:pPr>
            <w:r>
              <w:rPr>
                <w:b/>
                <w:w w:val="99"/>
                <w:sz w:val="14"/>
              </w:rPr>
              <w:t>1</w:t>
            </w:r>
          </w:p>
        </w:tc>
        <w:tc>
          <w:tcPr>
            <w:tcW w:w="466" w:type="dxa"/>
            <w:tcBorders>
              <w:top w:val="single" w:sz="4" w:space="0" w:color="000000"/>
              <w:bottom w:val="single" w:sz="12" w:space="0" w:color="000000"/>
            </w:tcBorders>
          </w:tcPr>
          <w:p>
            <w:pPr>
              <w:pStyle w:val="TableParagraph"/>
              <w:spacing w:before="22"/>
              <w:ind w:right="66"/>
              <w:rPr>
                <w:b/>
                <w:sz w:val="14"/>
              </w:rPr>
            </w:pPr>
            <w:r>
              <w:rPr>
                <w:b/>
                <w:w w:val="99"/>
                <w:sz w:val="14"/>
              </w:rPr>
              <w:t>-</w:t>
            </w:r>
          </w:p>
        </w:tc>
        <w:tc>
          <w:tcPr>
            <w:tcW w:w="795" w:type="dxa"/>
            <w:tcBorders>
              <w:top w:val="single" w:sz="4" w:space="0" w:color="000000"/>
              <w:bottom w:val="single" w:sz="12" w:space="0" w:color="000000"/>
            </w:tcBorders>
          </w:tcPr>
          <w:p>
            <w:pPr>
              <w:pStyle w:val="TableParagraph"/>
              <w:spacing w:before="22"/>
              <w:ind w:right="127"/>
              <w:rPr>
                <w:b/>
                <w:i/>
                <w:sz w:val="14"/>
              </w:rPr>
            </w:pPr>
            <w:r>
              <w:rPr>
                <w:b/>
                <w:i/>
                <w:w w:val="99"/>
                <w:sz w:val="14"/>
              </w:rPr>
              <w:t>4</w:t>
            </w:r>
          </w:p>
        </w:tc>
        <w:tc>
          <w:tcPr>
            <w:tcW w:w="569" w:type="dxa"/>
            <w:tcBorders>
              <w:top w:val="single" w:sz="4" w:space="0" w:color="000000"/>
              <w:bottom w:val="single" w:sz="12" w:space="0" w:color="000000"/>
            </w:tcBorders>
          </w:tcPr>
          <w:p>
            <w:pPr>
              <w:pStyle w:val="TableParagraph"/>
              <w:spacing w:before="22"/>
              <w:ind w:right="100"/>
              <w:rPr>
                <w:b/>
                <w:sz w:val="14"/>
              </w:rPr>
            </w:pPr>
            <w:r>
              <w:rPr>
                <w:b/>
                <w:w w:val="99"/>
                <w:sz w:val="14"/>
              </w:rPr>
              <w:t>-</w:t>
            </w:r>
          </w:p>
        </w:tc>
        <w:tc>
          <w:tcPr>
            <w:tcW w:w="578" w:type="dxa"/>
            <w:tcBorders>
              <w:top w:val="single" w:sz="4" w:space="0" w:color="000000"/>
              <w:bottom w:val="single" w:sz="12" w:space="0" w:color="000000"/>
            </w:tcBorders>
          </w:tcPr>
          <w:p>
            <w:pPr>
              <w:pStyle w:val="TableParagraph"/>
              <w:spacing w:before="22"/>
              <w:ind w:right="87"/>
              <w:rPr>
                <w:b/>
                <w:sz w:val="14"/>
              </w:rPr>
            </w:pPr>
            <w:r>
              <w:rPr>
                <w:b/>
                <w:w w:val="99"/>
                <w:sz w:val="14"/>
              </w:rPr>
              <w:t>-</w:t>
            </w:r>
          </w:p>
        </w:tc>
        <w:tc>
          <w:tcPr>
            <w:tcW w:w="563" w:type="dxa"/>
            <w:tcBorders>
              <w:top w:val="single" w:sz="4" w:space="0" w:color="000000"/>
              <w:bottom w:val="single" w:sz="12" w:space="0" w:color="000000"/>
            </w:tcBorders>
          </w:tcPr>
          <w:p>
            <w:pPr>
              <w:pStyle w:val="TableParagraph"/>
              <w:spacing w:before="22"/>
              <w:ind w:right="61"/>
              <w:rPr>
                <w:b/>
                <w:sz w:val="14"/>
              </w:rPr>
            </w:pPr>
            <w:r>
              <w:rPr>
                <w:b/>
                <w:w w:val="99"/>
                <w:sz w:val="14"/>
              </w:rPr>
              <w:t>1</w:t>
            </w:r>
          </w:p>
        </w:tc>
        <w:tc>
          <w:tcPr>
            <w:tcW w:w="813" w:type="dxa"/>
            <w:tcBorders>
              <w:top w:val="single" w:sz="4" w:space="0" w:color="000000"/>
              <w:bottom w:val="single" w:sz="12" w:space="0" w:color="000000"/>
            </w:tcBorders>
          </w:tcPr>
          <w:p>
            <w:pPr>
              <w:pStyle w:val="TableParagraph"/>
              <w:spacing w:before="22"/>
              <w:ind w:right="134"/>
              <w:rPr>
                <w:b/>
                <w:i/>
                <w:sz w:val="14"/>
              </w:rPr>
            </w:pPr>
            <w:r>
              <w:rPr>
                <w:b/>
                <w:i/>
                <w:w w:val="99"/>
                <w:sz w:val="14"/>
              </w:rPr>
              <w:t>1</w:t>
            </w:r>
          </w:p>
        </w:tc>
        <w:tc>
          <w:tcPr>
            <w:tcW w:w="526" w:type="dxa"/>
            <w:tcBorders>
              <w:top w:val="single" w:sz="4" w:space="0" w:color="000000"/>
              <w:bottom w:val="single" w:sz="12" w:space="0" w:color="000000"/>
            </w:tcBorders>
          </w:tcPr>
          <w:p>
            <w:pPr>
              <w:pStyle w:val="TableParagraph"/>
              <w:spacing w:before="22"/>
              <w:ind w:right="60"/>
              <w:rPr>
                <w:b/>
                <w:sz w:val="14"/>
              </w:rPr>
            </w:pPr>
            <w:r>
              <w:rPr>
                <w:b/>
                <w:w w:val="99"/>
                <w:sz w:val="14"/>
              </w:rPr>
              <w:t>5</w:t>
            </w:r>
          </w:p>
        </w:tc>
      </w:tr>
      <w:tr>
        <w:trPr>
          <w:trHeight w:val="571" w:hRule="atLeast"/>
        </w:trPr>
        <w:tc>
          <w:tcPr>
            <w:tcW w:w="1186" w:type="dxa"/>
            <w:tcBorders>
              <w:top w:val="single" w:sz="12" w:space="0" w:color="000000"/>
            </w:tcBorders>
          </w:tcPr>
          <w:p>
            <w:pPr>
              <w:pStyle w:val="TableParagraph"/>
              <w:jc w:val="left"/>
              <w:rPr>
                <w:b/>
                <w:sz w:val="19"/>
              </w:rPr>
            </w:pPr>
          </w:p>
          <w:p>
            <w:pPr>
              <w:pStyle w:val="TableParagraph"/>
              <w:spacing w:line="242" w:lineRule="auto"/>
              <w:ind w:left="67" w:right="232"/>
              <w:jc w:val="left"/>
              <w:rPr>
                <w:b/>
                <w:sz w:val="14"/>
              </w:rPr>
            </w:pPr>
            <w:r>
              <w:rPr>
                <w:b/>
                <w:sz w:val="14"/>
              </w:rPr>
              <w:t>GTA</w:t>
            </w:r>
            <w:r>
              <w:rPr>
                <w:b/>
                <w:spacing w:val="-9"/>
                <w:sz w:val="14"/>
              </w:rPr>
              <w:t> </w:t>
            </w:r>
            <w:r>
              <w:rPr>
                <w:b/>
                <w:sz w:val="14"/>
              </w:rPr>
              <w:t>Positions</w:t>
            </w:r>
            <w:r>
              <w:rPr>
                <w:b/>
                <w:spacing w:val="40"/>
                <w:sz w:val="14"/>
              </w:rPr>
              <w:t> </w:t>
            </w:r>
            <w:r>
              <w:rPr>
                <w:b/>
                <w:spacing w:val="-2"/>
                <w:sz w:val="14"/>
              </w:rPr>
              <w:t>(FTE)</w:t>
            </w:r>
          </w:p>
        </w:tc>
        <w:tc>
          <w:tcPr>
            <w:tcW w:w="678" w:type="dxa"/>
            <w:tcBorders>
              <w:top w:val="single" w:sz="12" w:space="0" w:color="000000"/>
            </w:tcBorders>
          </w:tcPr>
          <w:p>
            <w:pPr>
              <w:pStyle w:val="TableParagraph"/>
              <w:jc w:val="left"/>
              <w:rPr>
                <w:sz w:val="14"/>
              </w:rPr>
            </w:pPr>
          </w:p>
        </w:tc>
        <w:tc>
          <w:tcPr>
            <w:tcW w:w="607" w:type="dxa"/>
            <w:tcBorders>
              <w:top w:val="single" w:sz="12" w:space="0" w:color="000000"/>
            </w:tcBorders>
          </w:tcPr>
          <w:p>
            <w:pPr>
              <w:pStyle w:val="TableParagraph"/>
              <w:jc w:val="left"/>
              <w:rPr>
                <w:sz w:val="14"/>
              </w:rPr>
            </w:pPr>
          </w:p>
        </w:tc>
        <w:tc>
          <w:tcPr>
            <w:tcW w:w="563" w:type="dxa"/>
            <w:tcBorders>
              <w:top w:val="single" w:sz="12" w:space="0" w:color="000000"/>
            </w:tcBorders>
          </w:tcPr>
          <w:p>
            <w:pPr>
              <w:pStyle w:val="TableParagraph"/>
              <w:jc w:val="left"/>
              <w:rPr>
                <w:sz w:val="14"/>
              </w:rPr>
            </w:pPr>
          </w:p>
        </w:tc>
        <w:tc>
          <w:tcPr>
            <w:tcW w:w="581" w:type="dxa"/>
            <w:tcBorders>
              <w:top w:val="single" w:sz="12" w:space="0" w:color="000000"/>
            </w:tcBorders>
          </w:tcPr>
          <w:p>
            <w:pPr>
              <w:pStyle w:val="TableParagraph"/>
              <w:jc w:val="left"/>
              <w:rPr>
                <w:sz w:val="14"/>
              </w:rPr>
            </w:pPr>
          </w:p>
        </w:tc>
        <w:tc>
          <w:tcPr>
            <w:tcW w:w="512" w:type="dxa"/>
            <w:tcBorders>
              <w:top w:val="single" w:sz="12" w:space="0" w:color="000000"/>
            </w:tcBorders>
          </w:tcPr>
          <w:p>
            <w:pPr>
              <w:pStyle w:val="TableParagraph"/>
              <w:jc w:val="left"/>
              <w:rPr>
                <w:sz w:val="14"/>
              </w:rPr>
            </w:pPr>
          </w:p>
        </w:tc>
        <w:tc>
          <w:tcPr>
            <w:tcW w:w="638" w:type="dxa"/>
            <w:tcBorders>
              <w:top w:val="single" w:sz="12" w:space="0" w:color="000000"/>
            </w:tcBorders>
          </w:tcPr>
          <w:p>
            <w:pPr>
              <w:pStyle w:val="TableParagraph"/>
              <w:jc w:val="left"/>
              <w:rPr>
                <w:sz w:val="14"/>
              </w:rPr>
            </w:pPr>
          </w:p>
        </w:tc>
        <w:tc>
          <w:tcPr>
            <w:tcW w:w="691" w:type="dxa"/>
            <w:tcBorders>
              <w:top w:val="single" w:sz="12" w:space="0" w:color="000000"/>
            </w:tcBorders>
          </w:tcPr>
          <w:p>
            <w:pPr>
              <w:pStyle w:val="TableParagraph"/>
              <w:jc w:val="left"/>
              <w:rPr>
                <w:sz w:val="14"/>
              </w:rPr>
            </w:pPr>
          </w:p>
        </w:tc>
        <w:tc>
          <w:tcPr>
            <w:tcW w:w="666" w:type="dxa"/>
            <w:tcBorders>
              <w:top w:val="single" w:sz="12" w:space="0" w:color="000000"/>
            </w:tcBorders>
          </w:tcPr>
          <w:p>
            <w:pPr>
              <w:pStyle w:val="TableParagraph"/>
              <w:jc w:val="left"/>
              <w:rPr>
                <w:sz w:val="14"/>
              </w:rPr>
            </w:pPr>
          </w:p>
        </w:tc>
        <w:tc>
          <w:tcPr>
            <w:tcW w:w="466" w:type="dxa"/>
            <w:tcBorders>
              <w:top w:val="single" w:sz="12" w:space="0" w:color="000000"/>
            </w:tcBorders>
          </w:tcPr>
          <w:p>
            <w:pPr>
              <w:pStyle w:val="TableParagraph"/>
              <w:jc w:val="left"/>
              <w:rPr>
                <w:sz w:val="14"/>
              </w:rPr>
            </w:pPr>
          </w:p>
        </w:tc>
        <w:tc>
          <w:tcPr>
            <w:tcW w:w="795" w:type="dxa"/>
            <w:tcBorders>
              <w:top w:val="single" w:sz="12" w:space="0" w:color="000000"/>
            </w:tcBorders>
          </w:tcPr>
          <w:p>
            <w:pPr>
              <w:pStyle w:val="TableParagraph"/>
              <w:jc w:val="left"/>
              <w:rPr>
                <w:sz w:val="14"/>
              </w:rPr>
            </w:pPr>
          </w:p>
        </w:tc>
        <w:tc>
          <w:tcPr>
            <w:tcW w:w="569" w:type="dxa"/>
            <w:tcBorders>
              <w:top w:val="single" w:sz="12" w:space="0" w:color="000000"/>
            </w:tcBorders>
          </w:tcPr>
          <w:p>
            <w:pPr>
              <w:pStyle w:val="TableParagraph"/>
              <w:jc w:val="left"/>
              <w:rPr>
                <w:sz w:val="14"/>
              </w:rPr>
            </w:pPr>
          </w:p>
        </w:tc>
        <w:tc>
          <w:tcPr>
            <w:tcW w:w="578" w:type="dxa"/>
            <w:tcBorders>
              <w:top w:val="single" w:sz="12" w:space="0" w:color="000000"/>
            </w:tcBorders>
          </w:tcPr>
          <w:p>
            <w:pPr>
              <w:pStyle w:val="TableParagraph"/>
              <w:jc w:val="left"/>
              <w:rPr>
                <w:sz w:val="14"/>
              </w:rPr>
            </w:pPr>
          </w:p>
        </w:tc>
        <w:tc>
          <w:tcPr>
            <w:tcW w:w="563" w:type="dxa"/>
            <w:tcBorders>
              <w:top w:val="single" w:sz="12" w:space="0" w:color="000000"/>
            </w:tcBorders>
          </w:tcPr>
          <w:p>
            <w:pPr>
              <w:pStyle w:val="TableParagraph"/>
              <w:jc w:val="left"/>
              <w:rPr>
                <w:sz w:val="14"/>
              </w:rPr>
            </w:pPr>
          </w:p>
        </w:tc>
        <w:tc>
          <w:tcPr>
            <w:tcW w:w="813" w:type="dxa"/>
            <w:tcBorders>
              <w:top w:val="single" w:sz="12" w:space="0" w:color="000000"/>
            </w:tcBorders>
          </w:tcPr>
          <w:p>
            <w:pPr>
              <w:pStyle w:val="TableParagraph"/>
              <w:jc w:val="left"/>
              <w:rPr>
                <w:sz w:val="14"/>
              </w:rPr>
            </w:pPr>
          </w:p>
        </w:tc>
        <w:tc>
          <w:tcPr>
            <w:tcW w:w="526" w:type="dxa"/>
            <w:tcBorders>
              <w:top w:val="single" w:sz="12" w:space="0" w:color="000000"/>
            </w:tcBorders>
          </w:tcPr>
          <w:p>
            <w:pPr>
              <w:pStyle w:val="TableParagraph"/>
              <w:jc w:val="left"/>
              <w:rPr>
                <w:sz w:val="14"/>
              </w:rPr>
            </w:pPr>
          </w:p>
        </w:tc>
      </w:tr>
      <w:tr>
        <w:trPr>
          <w:trHeight w:val="205" w:hRule="atLeast"/>
        </w:trPr>
        <w:tc>
          <w:tcPr>
            <w:tcW w:w="1186" w:type="dxa"/>
            <w:tcBorders>
              <w:bottom w:val="single" w:sz="12" w:space="0" w:color="000000"/>
            </w:tcBorders>
          </w:tcPr>
          <w:p>
            <w:pPr>
              <w:pStyle w:val="TableParagraph"/>
              <w:spacing w:before="2"/>
              <w:ind w:left="67"/>
              <w:jc w:val="left"/>
              <w:rPr>
                <w:sz w:val="14"/>
              </w:rPr>
            </w:pPr>
            <w:r>
              <w:rPr>
                <w:w w:val="95"/>
                <w:sz w:val="14"/>
              </w:rPr>
              <w:t>Approved</w:t>
            </w:r>
            <w:r>
              <w:rPr>
                <w:spacing w:val="22"/>
                <w:sz w:val="14"/>
              </w:rPr>
              <w:t> </w:t>
            </w:r>
            <w:r>
              <w:rPr>
                <w:spacing w:val="-4"/>
                <w:sz w:val="14"/>
              </w:rPr>
              <w:t>2022</w:t>
            </w:r>
          </w:p>
        </w:tc>
        <w:tc>
          <w:tcPr>
            <w:tcW w:w="678" w:type="dxa"/>
            <w:tcBorders>
              <w:bottom w:val="single" w:sz="12" w:space="0" w:color="000000"/>
            </w:tcBorders>
          </w:tcPr>
          <w:p>
            <w:pPr>
              <w:pStyle w:val="TableParagraph"/>
              <w:spacing w:before="2"/>
              <w:ind w:right="154"/>
              <w:rPr>
                <w:sz w:val="14"/>
              </w:rPr>
            </w:pPr>
            <w:r>
              <w:rPr>
                <w:w w:val="99"/>
                <w:sz w:val="14"/>
              </w:rPr>
              <w:t>-</w:t>
            </w:r>
          </w:p>
        </w:tc>
        <w:tc>
          <w:tcPr>
            <w:tcW w:w="607" w:type="dxa"/>
            <w:tcBorders>
              <w:bottom w:val="single" w:sz="12" w:space="0" w:color="000000"/>
            </w:tcBorders>
          </w:tcPr>
          <w:p>
            <w:pPr>
              <w:pStyle w:val="TableParagraph"/>
              <w:spacing w:before="2"/>
              <w:ind w:right="170"/>
              <w:rPr>
                <w:sz w:val="14"/>
              </w:rPr>
            </w:pPr>
            <w:r>
              <w:rPr>
                <w:w w:val="99"/>
                <w:sz w:val="14"/>
              </w:rPr>
              <w:t>-</w:t>
            </w:r>
          </w:p>
        </w:tc>
        <w:tc>
          <w:tcPr>
            <w:tcW w:w="563" w:type="dxa"/>
            <w:tcBorders>
              <w:bottom w:val="single" w:sz="12" w:space="0" w:color="000000"/>
            </w:tcBorders>
          </w:tcPr>
          <w:p>
            <w:pPr>
              <w:pStyle w:val="TableParagraph"/>
              <w:spacing w:before="2"/>
              <w:ind w:right="171"/>
              <w:rPr>
                <w:sz w:val="14"/>
              </w:rPr>
            </w:pPr>
            <w:r>
              <w:rPr>
                <w:w w:val="99"/>
                <w:sz w:val="14"/>
              </w:rPr>
              <w:t>-</w:t>
            </w:r>
          </w:p>
        </w:tc>
        <w:tc>
          <w:tcPr>
            <w:tcW w:w="581" w:type="dxa"/>
            <w:tcBorders>
              <w:bottom w:val="single" w:sz="12" w:space="0" w:color="000000"/>
            </w:tcBorders>
          </w:tcPr>
          <w:p>
            <w:pPr>
              <w:pStyle w:val="TableParagraph"/>
              <w:spacing w:before="2"/>
              <w:ind w:right="191"/>
              <w:rPr>
                <w:sz w:val="14"/>
              </w:rPr>
            </w:pPr>
            <w:r>
              <w:rPr>
                <w:w w:val="99"/>
                <w:sz w:val="14"/>
              </w:rPr>
              <w:t>-</w:t>
            </w:r>
          </w:p>
        </w:tc>
        <w:tc>
          <w:tcPr>
            <w:tcW w:w="512" w:type="dxa"/>
            <w:tcBorders>
              <w:bottom w:val="single" w:sz="12" w:space="0" w:color="000000"/>
            </w:tcBorders>
          </w:tcPr>
          <w:p>
            <w:pPr>
              <w:pStyle w:val="TableParagraph"/>
              <w:spacing w:before="2"/>
              <w:ind w:right="121"/>
              <w:rPr>
                <w:sz w:val="14"/>
              </w:rPr>
            </w:pPr>
            <w:r>
              <w:rPr>
                <w:w w:val="99"/>
                <w:sz w:val="14"/>
              </w:rPr>
              <w:t>-</w:t>
            </w:r>
          </w:p>
        </w:tc>
        <w:tc>
          <w:tcPr>
            <w:tcW w:w="638" w:type="dxa"/>
            <w:tcBorders>
              <w:bottom w:val="single" w:sz="12" w:space="0" w:color="000000"/>
            </w:tcBorders>
          </w:tcPr>
          <w:p>
            <w:pPr>
              <w:pStyle w:val="TableParagraph"/>
              <w:spacing w:before="2"/>
              <w:ind w:right="170"/>
              <w:rPr>
                <w:sz w:val="14"/>
              </w:rPr>
            </w:pPr>
            <w:r>
              <w:rPr>
                <w:spacing w:val="-4"/>
                <w:sz w:val="14"/>
              </w:rPr>
              <w:t>1.00</w:t>
            </w:r>
          </w:p>
        </w:tc>
        <w:tc>
          <w:tcPr>
            <w:tcW w:w="691" w:type="dxa"/>
            <w:tcBorders>
              <w:bottom w:val="single" w:sz="12" w:space="0" w:color="000000"/>
            </w:tcBorders>
          </w:tcPr>
          <w:p>
            <w:pPr>
              <w:pStyle w:val="TableParagraph"/>
              <w:spacing w:before="2"/>
              <w:ind w:right="266"/>
              <w:rPr>
                <w:sz w:val="14"/>
              </w:rPr>
            </w:pPr>
            <w:r>
              <w:rPr>
                <w:spacing w:val="-4"/>
                <w:sz w:val="14"/>
              </w:rPr>
              <w:t>0.50</w:t>
            </w:r>
          </w:p>
        </w:tc>
        <w:tc>
          <w:tcPr>
            <w:tcW w:w="666" w:type="dxa"/>
            <w:tcBorders>
              <w:bottom w:val="single" w:sz="12" w:space="0" w:color="000000"/>
            </w:tcBorders>
          </w:tcPr>
          <w:p>
            <w:pPr>
              <w:pStyle w:val="TableParagraph"/>
              <w:spacing w:before="2"/>
              <w:ind w:right="196"/>
              <w:rPr>
                <w:sz w:val="14"/>
              </w:rPr>
            </w:pPr>
            <w:r>
              <w:rPr>
                <w:w w:val="99"/>
                <w:sz w:val="14"/>
              </w:rPr>
              <w:t>-</w:t>
            </w:r>
          </w:p>
        </w:tc>
        <w:tc>
          <w:tcPr>
            <w:tcW w:w="466" w:type="dxa"/>
            <w:tcBorders>
              <w:bottom w:val="single" w:sz="12" w:space="0" w:color="000000"/>
            </w:tcBorders>
          </w:tcPr>
          <w:p>
            <w:pPr>
              <w:pStyle w:val="TableParagraph"/>
              <w:spacing w:before="2"/>
              <w:ind w:right="66"/>
              <w:rPr>
                <w:sz w:val="14"/>
              </w:rPr>
            </w:pPr>
            <w:r>
              <w:rPr>
                <w:w w:val="99"/>
                <w:sz w:val="14"/>
              </w:rPr>
              <w:t>-</w:t>
            </w:r>
          </w:p>
        </w:tc>
        <w:tc>
          <w:tcPr>
            <w:tcW w:w="795" w:type="dxa"/>
            <w:tcBorders>
              <w:bottom w:val="single" w:sz="12" w:space="0" w:color="000000"/>
            </w:tcBorders>
          </w:tcPr>
          <w:p>
            <w:pPr>
              <w:pStyle w:val="TableParagraph"/>
              <w:spacing w:before="2"/>
              <w:ind w:right="123"/>
              <w:rPr>
                <w:i/>
                <w:sz w:val="14"/>
              </w:rPr>
            </w:pPr>
            <w:r>
              <w:rPr>
                <w:i/>
                <w:spacing w:val="-4"/>
                <w:sz w:val="14"/>
              </w:rPr>
              <w:t>1.50</w:t>
            </w:r>
          </w:p>
        </w:tc>
        <w:tc>
          <w:tcPr>
            <w:tcW w:w="569" w:type="dxa"/>
            <w:tcBorders>
              <w:bottom w:val="single" w:sz="12" w:space="0" w:color="000000"/>
            </w:tcBorders>
          </w:tcPr>
          <w:p>
            <w:pPr>
              <w:pStyle w:val="TableParagraph"/>
              <w:spacing w:before="2"/>
              <w:ind w:right="100"/>
              <w:rPr>
                <w:sz w:val="14"/>
              </w:rPr>
            </w:pPr>
            <w:r>
              <w:rPr>
                <w:w w:val="99"/>
                <w:sz w:val="14"/>
              </w:rPr>
              <w:t>-</w:t>
            </w:r>
          </w:p>
        </w:tc>
        <w:tc>
          <w:tcPr>
            <w:tcW w:w="578" w:type="dxa"/>
            <w:tcBorders>
              <w:bottom w:val="single" w:sz="12" w:space="0" w:color="000000"/>
            </w:tcBorders>
          </w:tcPr>
          <w:p>
            <w:pPr>
              <w:pStyle w:val="TableParagraph"/>
              <w:spacing w:before="2"/>
              <w:ind w:right="87"/>
              <w:rPr>
                <w:sz w:val="14"/>
              </w:rPr>
            </w:pPr>
            <w:r>
              <w:rPr>
                <w:w w:val="99"/>
                <w:sz w:val="14"/>
              </w:rPr>
              <w:t>-</w:t>
            </w:r>
          </w:p>
        </w:tc>
        <w:tc>
          <w:tcPr>
            <w:tcW w:w="563" w:type="dxa"/>
            <w:tcBorders>
              <w:bottom w:val="single" w:sz="12" w:space="0" w:color="000000"/>
            </w:tcBorders>
          </w:tcPr>
          <w:p>
            <w:pPr>
              <w:pStyle w:val="TableParagraph"/>
              <w:spacing w:before="2"/>
              <w:ind w:right="60"/>
              <w:rPr>
                <w:sz w:val="14"/>
              </w:rPr>
            </w:pPr>
            <w:r>
              <w:rPr>
                <w:w w:val="99"/>
                <w:sz w:val="14"/>
              </w:rPr>
              <w:t>-</w:t>
            </w:r>
          </w:p>
        </w:tc>
        <w:tc>
          <w:tcPr>
            <w:tcW w:w="813" w:type="dxa"/>
            <w:tcBorders>
              <w:bottom w:val="single" w:sz="12" w:space="0" w:color="000000"/>
            </w:tcBorders>
          </w:tcPr>
          <w:p>
            <w:pPr>
              <w:pStyle w:val="TableParagraph"/>
              <w:spacing w:before="2"/>
              <w:ind w:right="133"/>
              <w:rPr>
                <w:i/>
                <w:sz w:val="14"/>
              </w:rPr>
            </w:pPr>
            <w:r>
              <w:rPr>
                <w:i/>
                <w:w w:val="99"/>
                <w:sz w:val="14"/>
              </w:rPr>
              <w:t>-</w:t>
            </w:r>
          </w:p>
        </w:tc>
        <w:tc>
          <w:tcPr>
            <w:tcW w:w="526" w:type="dxa"/>
            <w:tcBorders>
              <w:bottom w:val="single" w:sz="12" w:space="0" w:color="000000"/>
            </w:tcBorders>
          </w:tcPr>
          <w:p>
            <w:pPr>
              <w:pStyle w:val="TableParagraph"/>
              <w:spacing w:before="2"/>
              <w:ind w:right="56"/>
              <w:rPr>
                <w:b/>
                <w:sz w:val="14"/>
              </w:rPr>
            </w:pPr>
            <w:r>
              <w:rPr>
                <w:b/>
                <w:spacing w:val="-4"/>
                <w:sz w:val="14"/>
              </w:rPr>
              <w:t>1.50</w:t>
            </w:r>
          </w:p>
        </w:tc>
      </w:tr>
      <w:tr>
        <w:trPr>
          <w:trHeight w:val="229" w:hRule="atLeast"/>
        </w:trPr>
        <w:tc>
          <w:tcPr>
            <w:tcW w:w="1186" w:type="dxa"/>
            <w:tcBorders>
              <w:top w:val="single" w:sz="12" w:space="0" w:color="000000"/>
              <w:bottom w:val="single" w:sz="4" w:space="0" w:color="000000"/>
            </w:tcBorders>
          </w:tcPr>
          <w:p>
            <w:pPr>
              <w:pStyle w:val="TableParagraph"/>
              <w:spacing w:before="27"/>
              <w:ind w:left="67"/>
              <w:jc w:val="left"/>
              <w:rPr>
                <w:sz w:val="14"/>
              </w:rPr>
            </w:pPr>
            <w:r>
              <w:rPr>
                <w:spacing w:val="-2"/>
                <w:sz w:val="14"/>
              </w:rPr>
              <w:t>Continued</w:t>
            </w:r>
          </w:p>
        </w:tc>
        <w:tc>
          <w:tcPr>
            <w:tcW w:w="678" w:type="dxa"/>
            <w:tcBorders>
              <w:top w:val="single" w:sz="12" w:space="0" w:color="000000"/>
              <w:bottom w:val="single" w:sz="4" w:space="0" w:color="000000"/>
            </w:tcBorders>
          </w:tcPr>
          <w:p>
            <w:pPr>
              <w:pStyle w:val="TableParagraph"/>
              <w:spacing w:before="27"/>
              <w:ind w:right="154"/>
              <w:rPr>
                <w:sz w:val="14"/>
              </w:rPr>
            </w:pPr>
            <w:r>
              <w:rPr>
                <w:w w:val="99"/>
                <w:sz w:val="14"/>
              </w:rPr>
              <w:t>-</w:t>
            </w:r>
          </w:p>
        </w:tc>
        <w:tc>
          <w:tcPr>
            <w:tcW w:w="607" w:type="dxa"/>
            <w:tcBorders>
              <w:top w:val="single" w:sz="12" w:space="0" w:color="000000"/>
              <w:bottom w:val="single" w:sz="4" w:space="0" w:color="000000"/>
            </w:tcBorders>
          </w:tcPr>
          <w:p>
            <w:pPr>
              <w:pStyle w:val="TableParagraph"/>
              <w:spacing w:before="27"/>
              <w:ind w:right="170"/>
              <w:rPr>
                <w:sz w:val="14"/>
              </w:rPr>
            </w:pPr>
            <w:r>
              <w:rPr>
                <w:w w:val="99"/>
                <w:sz w:val="14"/>
              </w:rPr>
              <w:t>-</w:t>
            </w:r>
          </w:p>
        </w:tc>
        <w:tc>
          <w:tcPr>
            <w:tcW w:w="563" w:type="dxa"/>
            <w:tcBorders>
              <w:top w:val="single" w:sz="12" w:space="0" w:color="000000"/>
              <w:bottom w:val="single" w:sz="4" w:space="0" w:color="000000"/>
            </w:tcBorders>
          </w:tcPr>
          <w:p>
            <w:pPr>
              <w:pStyle w:val="TableParagraph"/>
              <w:spacing w:before="27"/>
              <w:ind w:right="171"/>
              <w:rPr>
                <w:sz w:val="14"/>
              </w:rPr>
            </w:pPr>
            <w:r>
              <w:rPr>
                <w:w w:val="99"/>
                <w:sz w:val="14"/>
              </w:rPr>
              <w:t>-</w:t>
            </w:r>
          </w:p>
        </w:tc>
        <w:tc>
          <w:tcPr>
            <w:tcW w:w="581" w:type="dxa"/>
            <w:tcBorders>
              <w:top w:val="single" w:sz="12" w:space="0" w:color="000000"/>
              <w:bottom w:val="single" w:sz="4" w:space="0" w:color="000000"/>
            </w:tcBorders>
          </w:tcPr>
          <w:p>
            <w:pPr>
              <w:pStyle w:val="TableParagraph"/>
              <w:spacing w:before="27"/>
              <w:ind w:right="191"/>
              <w:rPr>
                <w:sz w:val="14"/>
              </w:rPr>
            </w:pPr>
            <w:r>
              <w:rPr>
                <w:w w:val="99"/>
                <w:sz w:val="14"/>
              </w:rPr>
              <w:t>-</w:t>
            </w:r>
          </w:p>
        </w:tc>
        <w:tc>
          <w:tcPr>
            <w:tcW w:w="512" w:type="dxa"/>
            <w:tcBorders>
              <w:top w:val="single" w:sz="12" w:space="0" w:color="000000"/>
              <w:bottom w:val="single" w:sz="4" w:space="0" w:color="000000"/>
            </w:tcBorders>
          </w:tcPr>
          <w:p>
            <w:pPr>
              <w:pStyle w:val="TableParagraph"/>
              <w:spacing w:before="27"/>
              <w:ind w:right="121"/>
              <w:rPr>
                <w:sz w:val="14"/>
              </w:rPr>
            </w:pPr>
            <w:r>
              <w:rPr>
                <w:w w:val="99"/>
                <w:sz w:val="14"/>
              </w:rPr>
              <w:t>-</w:t>
            </w:r>
          </w:p>
        </w:tc>
        <w:tc>
          <w:tcPr>
            <w:tcW w:w="638" w:type="dxa"/>
            <w:tcBorders>
              <w:top w:val="single" w:sz="12" w:space="0" w:color="000000"/>
              <w:bottom w:val="single" w:sz="4" w:space="0" w:color="000000"/>
            </w:tcBorders>
          </w:tcPr>
          <w:p>
            <w:pPr>
              <w:pStyle w:val="TableParagraph"/>
              <w:spacing w:before="27"/>
              <w:ind w:right="170"/>
              <w:rPr>
                <w:sz w:val="14"/>
              </w:rPr>
            </w:pPr>
            <w:r>
              <w:rPr>
                <w:spacing w:val="-4"/>
                <w:sz w:val="14"/>
              </w:rPr>
              <w:t>1.00</w:t>
            </w:r>
          </w:p>
        </w:tc>
        <w:tc>
          <w:tcPr>
            <w:tcW w:w="691" w:type="dxa"/>
            <w:tcBorders>
              <w:top w:val="single" w:sz="12" w:space="0" w:color="000000"/>
              <w:bottom w:val="single" w:sz="4" w:space="0" w:color="000000"/>
            </w:tcBorders>
          </w:tcPr>
          <w:p>
            <w:pPr>
              <w:pStyle w:val="TableParagraph"/>
              <w:spacing w:before="27"/>
              <w:ind w:right="266"/>
              <w:rPr>
                <w:sz w:val="14"/>
              </w:rPr>
            </w:pPr>
            <w:r>
              <w:rPr>
                <w:spacing w:val="-4"/>
                <w:sz w:val="14"/>
              </w:rPr>
              <w:t>1.00</w:t>
            </w:r>
          </w:p>
        </w:tc>
        <w:tc>
          <w:tcPr>
            <w:tcW w:w="666" w:type="dxa"/>
            <w:tcBorders>
              <w:top w:val="single" w:sz="12" w:space="0" w:color="000000"/>
              <w:bottom w:val="single" w:sz="4" w:space="0" w:color="000000"/>
            </w:tcBorders>
          </w:tcPr>
          <w:p>
            <w:pPr>
              <w:pStyle w:val="TableParagraph"/>
              <w:spacing w:before="27"/>
              <w:ind w:right="196"/>
              <w:rPr>
                <w:sz w:val="14"/>
              </w:rPr>
            </w:pPr>
            <w:r>
              <w:rPr>
                <w:w w:val="99"/>
                <w:sz w:val="14"/>
              </w:rPr>
              <w:t>-</w:t>
            </w:r>
          </w:p>
        </w:tc>
        <w:tc>
          <w:tcPr>
            <w:tcW w:w="466" w:type="dxa"/>
            <w:tcBorders>
              <w:top w:val="single" w:sz="12" w:space="0" w:color="000000"/>
              <w:bottom w:val="single" w:sz="4" w:space="0" w:color="000000"/>
            </w:tcBorders>
          </w:tcPr>
          <w:p>
            <w:pPr>
              <w:pStyle w:val="TableParagraph"/>
              <w:spacing w:before="27"/>
              <w:ind w:right="66"/>
              <w:rPr>
                <w:sz w:val="14"/>
              </w:rPr>
            </w:pPr>
            <w:r>
              <w:rPr>
                <w:w w:val="99"/>
                <w:sz w:val="14"/>
              </w:rPr>
              <w:t>-</w:t>
            </w:r>
          </w:p>
        </w:tc>
        <w:tc>
          <w:tcPr>
            <w:tcW w:w="795" w:type="dxa"/>
            <w:tcBorders>
              <w:top w:val="single" w:sz="12" w:space="0" w:color="000000"/>
              <w:bottom w:val="single" w:sz="4" w:space="0" w:color="000000"/>
            </w:tcBorders>
          </w:tcPr>
          <w:p>
            <w:pPr>
              <w:pStyle w:val="TableParagraph"/>
              <w:spacing w:before="27"/>
              <w:ind w:right="123"/>
              <w:rPr>
                <w:i/>
                <w:sz w:val="14"/>
              </w:rPr>
            </w:pPr>
            <w:r>
              <w:rPr>
                <w:i/>
                <w:spacing w:val="-4"/>
                <w:sz w:val="14"/>
              </w:rPr>
              <w:t>2.00</w:t>
            </w:r>
          </w:p>
        </w:tc>
        <w:tc>
          <w:tcPr>
            <w:tcW w:w="569" w:type="dxa"/>
            <w:tcBorders>
              <w:top w:val="single" w:sz="12" w:space="0" w:color="000000"/>
              <w:bottom w:val="single" w:sz="4" w:space="0" w:color="000000"/>
            </w:tcBorders>
          </w:tcPr>
          <w:p>
            <w:pPr>
              <w:pStyle w:val="TableParagraph"/>
              <w:spacing w:before="27"/>
              <w:ind w:right="100"/>
              <w:rPr>
                <w:sz w:val="14"/>
              </w:rPr>
            </w:pPr>
            <w:r>
              <w:rPr>
                <w:w w:val="99"/>
                <w:sz w:val="14"/>
              </w:rPr>
              <w:t>-</w:t>
            </w:r>
          </w:p>
        </w:tc>
        <w:tc>
          <w:tcPr>
            <w:tcW w:w="578" w:type="dxa"/>
            <w:tcBorders>
              <w:top w:val="single" w:sz="12" w:space="0" w:color="000000"/>
              <w:bottom w:val="single" w:sz="4" w:space="0" w:color="000000"/>
            </w:tcBorders>
          </w:tcPr>
          <w:p>
            <w:pPr>
              <w:pStyle w:val="TableParagraph"/>
              <w:spacing w:before="27"/>
              <w:ind w:right="87"/>
              <w:rPr>
                <w:sz w:val="14"/>
              </w:rPr>
            </w:pPr>
            <w:r>
              <w:rPr>
                <w:w w:val="99"/>
                <w:sz w:val="14"/>
              </w:rPr>
              <w:t>-</w:t>
            </w:r>
          </w:p>
        </w:tc>
        <w:tc>
          <w:tcPr>
            <w:tcW w:w="563" w:type="dxa"/>
            <w:tcBorders>
              <w:top w:val="single" w:sz="12" w:space="0" w:color="000000"/>
              <w:bottom w:val="single" w:sz="4" w:space="0" w:color="000000"/>
            </w:tcBorders>
          </w:tcPr>
          <w:p>
            <w:pPr>
              <w:pStyle w:val="TableParagraph"/>
              <w:spacing w:before="27"/>
              <w:ind w:right="60"/>
              <w:rPr>
                <w:sz w:val="14"/>
              </w:rPr>
            </w:pPr>
            <w:r>
              <w:rPr>
                <w:w w:val="99"/>
                <w:sz w:val="14"/>
              </w:rPr>
              <w:t>-</w:t>
            </w:r>
          </w:p>
        </w:tc>
        <w:tc>
          <w:tcPr>
            <w:tcW w:w="813" w:type="dxa"/>
            <w:tcBorders>
              <w:top w:val="single" w:sz="12" w:space="0" w:color="000000"/>
              <w:bottom w:val="single" w:sz="4" w:space="0" w:color="000000"/>
            </w:tcBorders>
          </w:tcPr>
          <w:p>
            <w:pPr>
              <w:pStyle w:val="TableParagraph"/>
              <w:spacing w:before="27"/>
              <w:ind w:right="133"/>
              <w:rPr>
                <w:i/>
                <w:sz w:val="14"/>
              </w:rPr>
            </w:pPr>
            <w:r>
              <w:rPr>
                <w:i/>
                <w:w w:val="99"/>
                <w:sz w:val="14"/>
              </w:rPr>
              <w:t>-</w:t>
            </w:r>
          </w:p>
        </w:tc>
        <w:tc>
          <w:tcPr>
            <w:tcW w:w="526" w:type="dxa"/>
            <w:tcBorders>
              <w:top w:val="single" w:sz="12" w:space="0" w:color="000000"/>
              <w:bottom w:val="single" w:sz="4" w:space="0" w:color="000000"/>
            </w:tcBorders>
          </w:tcPr>
          <w:p>
            <w:pPr>
              <w:pStyle w:val="TableParagraph"/>
              <w:spacing w:before="27"/>
              <w:ind w:right="56"/>
              <w:rPr>
                <w:b/>
                <w:sz w:val="14"/>
              </w:rPr>
            </w:pPr>
            <w:r>
              <w:rPr>
                <w:b/>
                <w:spacing w:val="-4"/>
                <w:sz w:val="14"/>
              </w:rPr>
              <w:t>2.00</w:t>
            </w:r>
          </w:p>
        </w:tc>
      </w:tr>
      <w:tr>
        <w:trPr>
          <w:trHeight w:val="225" w:hRule="atLeast"/>
        </w:trPr>
        <w:tc>
          <w:tcPr>
            <w:tcW w:w="1186" w:type="dxa"/>
            <w:tcBorders>
              <w:top w:val="single" w:sz="4" w:space="0" w:color="000000"/>
              <w:bottom w:val="single" w:sz="4" w:space="0" w:color="000000"/>
            </w:tcBorders>
          </w:tcPr>
          <w:p>
            <w:pPr>
              <w:pStyle w:val="TableParagraph"/>
              <w:spacing w:before="22"/>
              <w:ind w:left="67"/>
              <w:jc w:val="left"/>
              <w:rPr>
                <w:sz w:val="14"/>
              </w:rPr>
            </w:pPr>
            <w:r>
              <w:rPr>
                <w:spacing w:val="-5"/>
                <w:sz w:val="14"/>
              </w:rPr>
              <w:t>New</w:t>
            </w:r>
          </w:p>
        </w:tc>
        <w:tc>
          <w:tcPr>
            <w:tcW w:w="678" w:type="dxa"/>
            <w:tcBorders>
              <w:top w:val="single" w:sz="4" w:space="0" w:color="000000"/>
              <w:bottom w:val="single" w:sz="4" w:space="0" w:color="000000"/>
            </w:tcBorders>
          </w:tcPr>
          <w:p>
            <w:pPr>
              <w:pStyle w:val="TableParagraph"/>
              <w:spacing w:before="22"/>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2"/>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2"/>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2"/>
              <w:ind w:right="191"/>
              <w:rPr>
                <w:sz w:val="14"/>
              </w:rPr>
            </w:pPr>
            <w:r>
              <w:rPr>
                <w:w w:val="99"/>
                <w:sz w:val="14"/>
              </w:rPr>
              <w:t>-</w:t>
            </w:r>
          </w:p>
        </w:tc>
        <w:tc>
          <w:tcPr>
            <w:tcW w:w="512" w:type="dxa"/>
            <w:tcBorders>
              <w:top w:val="single" w:sz="4" w:space="0" w:color="000000"/>
              <w:bottom w:val="single" w:sz="4" w:space="0" w:color="000000"/>
            </w:tcBorders>
          </w:tcPr>
          <w:p>
            <w:pPr>
              <w:pStyle w:val="TableParagraph"/>
              <w:spacing w:before="22"/>
              <w:ind w:right="121"/>
              <w:rPr>
                <w:sz w:val="14"/>
              </w:rPr>
            </w:pPr>
            <w:r>
              <w:rPr>
                <w:w w:val="99"/>
                <w:sz w:val="14"/>
              </w:rPr>
              <w:t>-</w:t>
            </w:r>
          </w:p>
        </w:tc>
        <w:tc>
          <w:tcPr>
            <w:tcW w:w="638" w:type="dxa"/>
            <w:tcBorders>
              <w:top w:val="single" w:sz="4" w:space="0" w:color="000000"/>
              <w:bottom w:val="single" w:sz="4" w:space="0" w:color="000000"/>
            </w:tcBorders>
          </w:tcPr>
          <w:p>
            <w:pPr>
              <w:pStyle w:val="TableParagraph"/>
              <w:spacing w:before="22"/>
              <w:ind w:right="174"/>
              <w:rPr>
                <w:sz w:val="14"/>
              </w:rPr>
            </w:pPr>
            <w:r>
              <w:rPr>
                <w:w w:val="99"/>
                <w:sz w:val="14"/>
              </w:rPr>
              <w:t>-</w:t>
            </w:r>
          </w:p>
        </w:tc>
        <w:tc>
          <w:tcPr>
            <w:tcW w:w="691" w:type="dxa"/>
            <w:tcBorders>
              <w:top w:val="single" w:sz="4" w:space="0" w:color="000000"/>
              <w:bottom w:val="single" w:sz="4" w:space="0" w:color="000000"/>
            </w:tcBorders>
          </w:tcPr>
          <w:p>
            <w:pPr>
              <w:pStyle w:val="TableParagraph"/>
              <w:spacing w:before="22"/>
              <w:ind w:right="269"/>
              <w:rPr>
                <w:sz w:val="14"/>
              </w:rPr>
            </w:pPr>
            <w:r>
              <w:rPr>
                <w:w w:val="99"/>
                <w:sz w:val="14"/>
              </w:rPr>
              <w:t>-</w:t>
            </w:r>
          </w:p>
        </w:tc>
        <w:tc>
          <w:tcPr>
            <w:tcW w:w="666" w:type="dxa"/>
            <w:tcBorders>
              <w:top w:val="single" w:sz="4" w:space="0" w:color="000000"/>
              <w:bottom w:val="single" w:sz="4" w:space="0" w:color="000000"/>
            </w:tcBorders>
          </w:tcPr>
          <w:p>
            <w:pPr>
              <w:pStyle w:val="TableParagraph"/>
              <w:spacing w:before="22"/>
              <w:ind w:right="196"/>
              <w:rPr>
                <w:sz w:val="14"/>
              </w:rPr>
            </w:pPr>
            <w:r>
              <w:rPr>
                <w:w w:val="99"/>
                <w:sz w:val="14"/>
              </w:rPr>
              <w:t>-</w:t>
            </w:r>
          </w:p>
        </w:tc>
        <w:tc>
          <w:tcPr>
            <w:tcW w:w="466" w:type="dxa"/>
            <w:tcBorders>
              <w:top w:val="single" w:sz="4" w:space="0" w:color="000000"/>
              <w:bottom w:val="single" w:sz="4" w:space="0" w:color="000000"/>
            </w:tcBorders>
          </w:tcPr>
          <w:p>
            <w:pPr>
              <w:pStyle w:val="TableParagraph"/>
              <w:spacing w:before="22"/>
              <w:ind w:right="66"/>
              <w:rPr>
                <w:sz w:val="14"/>
              </w:rPr>
            </w:pPr>
            <w:r>
              <w:rPr>
                <w:w w:val="99"/>
                <w:sz w:val="14"/>
              </w:rPr>
              <w:t>-</w:t>
            </w:r>
          </w:p>
        </w:tc>
        <w:tc>
          <w:tcPr>
            <w:tcW w:w="795" w:type="dxa"/>
            <w:tcBorders>
              <w:top w:val="single" w:sz="4" w:space="0" w:color="000000"/>
              <w:bottom w:val="single" w:sz="4" w:space="0" w:color="000000"/>
            </w:tcBorders>
          </w:tcPr>
          <w:p>
            <w:pPr>
              <w:pStyle w:val="TableParagraph"/>
              <w:spacing w:before="22"/>
              <w:ind w:right="126"/>
              <w:rPr>
                <w:i/>
                <w:sz w:val="14"/>
              </w:rPr>
            </w:pPr>
            <w:r>
              <w:rPr>
                <w:i/>
                <w:w w:val="99"/>
                <w:sz w:val="14"/>
              </w:rPr>
              <w:t>-</w:t>
            </w:r>
          </w:p>
        </w:tc>
        <w:tc>
          <w:tcPr>
            <w:tcW w:w="569" w:type="dxa"/>
            <w:tcBorders>
              <w:top w:val="single" w:sz="4" w:space="0" w:color="000000"/>
              <w:bottom w:val="single" w:sz="4" w:space="0" w:color="000000"/>
            </w:tcBorders>
          </w:tcPr>
          <w:p>
            <w:pPr>
              <w:pStyle w:val="TableParagraph"/>
              <w:spacing w:before="22"/>
              <w:ind w:right="100"/>
              <w:rPr>
                <w:sz w:val="14"/>
              </w:rPr>
            </w:pPr>
            <w:r>
              <w:rPr>
                <w:w w:val="99"/>
                <w:sz w:val="14"/>
              </w:rPr>
              <w:t>-</w:t>
            </w:r>
          </w:p>
        </w:tc>
        <w:tc>
          <w:tcPr>
            <w:tcW w:w="578" w:type="dxa"/>
            <w:tcBorders>
              <w:top w:val="single" w:sz="4" w:space="0" w:color="000000"/>
              <w:bottom w:val="single" w:sz="4" w:space="0" w:color="000000"/>
            </w:tcBorders>
          </w:tcPr>
          <w:p>
            <w:pPr>
              <w:pStyle w:val="TableParagraph"/>
              <w:spacing w:before="22"/>
              <w:ind w:right="87"/>
              <w:rPr>
                <w:sz w:val="14"/>
              </w:rPr>
            </w:pPr>
            <w:r>
              <w:rPr>
                <w:w w:val="99"/>
                <w:sz w:val="14"/>
              </w:rPr>
              <w:t>-</w:t>
            </w:r>
          </w:p>
        </w:tc>
        <w:tc>
          <w:tcPr>
            <w:tcW w:w="563" w:type="dxa"/>
            <w:tcBorders>
              <w:top w:val="single" w:sz="4" w:space="0" w:color="000000"/>
              <w:bottom w:val="single" w:sz="4" w:space="0" w:color="000000"/>
            </w:tcBorders>
          </w:tcPr>
          <w:p>
            <w:pPr>
              <w:pStyle w:val="TableParagraph"/>
              <w:spacing w:before="22"/>
              <w:ind w:right="60"/>
              <w:rPr>
                <w:sz w:val="14"/>
              </w:rPr>
            </w:pPr>
            <w:r>
              <w:rPr>
                <w:w w:val="99"/>
                <w:sz w:val="14"/>
              </w:rPr>
              <w:t>-</w:t>
            </w:r>
          </w:p>
        </w:tc>
        <w:tc>
          <w:tcPr>
            <w:tcW w:w="813" w:type="dxa"/>
            <w:tcBorders>
              <w:top w:val="single" w:sz="4" w:space="0" w:color="000000"/>
              <w:bottom w:val="single" w:sz="4" w:space="0" w:color="000000"/>
            </w:tcBorders>
          </w:tcPr>
          <w:p>
            <w:pPr>
              <w:pStyle w:val="TableParagraph"/>
              <w:spacing w:before="22"/>
              <w:ind w:right="133"/>
              <w:rPr>
                <w:i/>
                <w:sz w:val="14"/>
              </w:rPr>
            </w:pPr>
            <w:r>
              <w:rPr>
                <w:i/>
                <w:w w:val="99"/>
                <w:sz w:val="14"/>
              </w:rPr>
              <w:t>-</w:t>
            </w:r>
          </w:p>
        </w:tc>
        <w:tc>
          <w:tcPr>
            <w:tcW w:w="526" w:type="dxa"/>
            <w:tcBorders>
              <w:top w:val="single" w:sz="4" w:space="0" w:color="000000"/>
              <w:bottom w:val="single" w:sz="4" w:space="0" w:color="000000"/>
            </w:tcBorders>
          </w:tcPr>
          <w:p>
            <w:pPr>
              <w:pStyle w:val="TableParagraph"/>
              <w:spacing w:before="22"/>
              <w:ind w:right="59"/>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7"/>
              <w:ind w:left="67"/>
              <w:jc w:val="left"/>
              <w:rPr>
                <w:sz w:val="14"/>
              </w:rPr>
            </w:pPr>
            <w:r>
              <w:rPr>
                <w:spacing w:val="-2"/>
                <w:sz w:val="14"/>
              </w:rPr>
              <w:t>Redeployed</w:t>
            </w:r>
          </w:p>
        </w:tc>
        <w:tc>
          <w:tcPr>
            <w:tcW w:w="678" w:type="dxa"/>
            <w:tcBorders>
              <w:top w:val="single" w:sz="4" w:space="0" w:color="000000"/>
              <w:bottom w:val="single" w:sz="4" w:space="0" w:color="000000"/>
            </w:tcBorders>
          </w:tcPr>
          <w:p>
            <w:pPr>
              <w:pStyle w:val="TableParagraph"/>
              <w:spacing w:before="27"/>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7"/>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7"/>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7"/>
              <w:ind w:right="191"/>
              <w:rPr>
                <w:sz w:val="14"/>
              </w:rPr>
            </w:pPr>
            <w:r>
              <w:rPr>
                <w:w w:val="99"/>
                <w:sz w:val="14"/>
              </w:rPr>
              <w:t>-</w:t>
            </w:r>
          </w:p>
        </w:tc>
        <w:tc>
          <w:tcPr>
            <w:tcW w:w="512" w:type="dxa"/>
            <w:tcBorders>
              <w:top w:val="single" w:sz="4" w:space="0" w:color="000000"/>
              <w:bottom w:val="single" w:sz="4" w:space="0" w:color="000000"/>
            </w:tcBorders>
          </w:tcPr>
          <w:p>
            <w:pPr>
              <w:pStyle w:val="TableParagraph"/>
              <w:spacing w:before="27"/>
              <w:ind w:right="121"/>
              <w:rPr>
                <w:sz w:val="14"/>
              </w:rPr>
            </w:pPr>
            <w:r>
              <w:rPr>
                <w:w w:val="99"/>
                <w:sz w:val="14"/>
              </w:rPr>
              <w:t>-</w:t>
            </w:r>
          </w:p>
        </w:tc>
        <w:tc>
          <w:tcPr>
            <w:tcW w:w="638" w:type="dxa"/>
            <w:tcBorders>
              <w:top w:val="single" w:sz="4" w:space="0" w:color="000000"/>
              <w:bottom w:val="single" w:sz="4" w:space="0" w:color="000000"/>
            </w:tcBorders>
          </w:tcPr>
          <w:p>
            <w:pPr>
              <w:pStyle w:val="TableParagraph"/>
              <w:spacing w:before="27"/>
              <w:ind w:right="174"/>
              <w:rPr>
                <w:sz w:val="14"/>
              </w:rPr>
            </w:pPr>
            <w:r>
              <w:rPr>
                <w:w w:val="99"/>
                <w:sz w:val="14"/>
              </w:rPr>
              <w:t>-</w:t>
            </w:r>
          </w:p>
        </w:tc>
        <w:tc>
          <w:tcPr>
            <w:tcW w:w="691" w:type="dxa"/>
            <w:tcBorders>
              <w:top w:val="single" w:sz="4" w:space="0" w:color="000000"/>
              <w:bottom w:val="single" w:sz="4" w:space="0" w:color="000000"/>
            </w:tcBorders>
          </w:tcPr>
          <w:p>
            <w:pPr>
              <w:pStyle w:val="TableParagraph"/>
              <w:spacing w:before="27"/>
              <w:ind w:right="269"/>
              <w:rPr>
                <w:sz w:val="14"/>
              </w:rPr>
            </w:pPr>
            <w:r>
              <w:rPr>
                <w:w w:val="99"/>
                <w:sz w:val="14"/>
              </w:rPr>
              <w:t>-</w:t>
            </w:r>
          </w:p>
        </w:tc>
        <w:tc>
          <w:tcPr>
            <w:tcW w:w="666" w:type="dxa"/>
            <w:tcBorders>
              <w:top w:val="single" w:sz="4" w:space="0" w:color="000000"/>
              <w:bottom w:val="single" w:sz="4" w:space="0" w:color="000000"/>
            </w:tcBorders>
          </w:tcPr>
          <w:p>
            <w:pPr>
              <w:pStyle w:val="TableParagraph"/>
              <w:spacing w:before="27"/>
              <w:ind w:right="196"/>
              <w:rPr>
                <w:sz w:val="14"/>
              </w:rPr>
            </w:pPr>
            <w:r>
              <w:rPr>
                <w:w w:val="99"/>
                <w:sz w:val="14"/>
              </w:rPr>
              <w:t>-</w:t>
            </w:r>
          </w:p>
        </w:tc>
        <w:tc>
          <w:tcPr>
            <w:tcW w:w="466" w:type="dxa"/>
            <w:tcBorders>
              <w:top w:val="single" w:sz="4" w:space="0" w:color="000000"/>
              <w:bottom w:val="single" w:sz="4" w:space="0" w:color="000000"/>
            </w:tcBorders>
          </w:tcPr>
          <w:p>
            <w:pPr>
              <w:pStyle w:val="TableParagraph"/>
              <w:spacing w:before="27"/>
              <w:ind w:right="66"/>
              <w:rPr>
                <w:sz w:val="14"/>
              </w:rPr>
            </w:pPr>
            <w:r>
              <w:rPr>
                <w:w w:val="99"/>
                <w:sz w:val="14"/>
              </w:rPr>
              <w:t>-</w:t>
            </w:r>
          </w:p>
        </w:tc>
        <w:tc>
          <w:tcPr>
            <w:tcW w:w="795" w:type="dxa"/>
            <w:tcBorders>
              <w:top w:val="single" w:sz="4" w:space="0" w:color="000000"/>
              <w:bottom w:val="single" w:sz="4" w:space="0" w:color="000000"/>
            </w:tcBorders>
          </w:tcPr>
          <w:p>
            <w:pPr>
              <w:pStyle w:val="TableParagraph"/>
              <w:spacing w:before="27"/>
              <w:ind w:right="126"/>
              <w:rPr>
                <w:i/>
                <w:sz w:val="14"/>
              </w:rPr>
            </w:pPr>
            <w:r>
              <w:rPr>
                <w:i/>
                <w:w w:val="99"/>
                <w:sz w:val="14"/>
              </w:rPr>
              <w:t>-</w:t>
            </w:r>
          </w:p>
        </w:tc>
        <w:tc>
          <w:tcPr>
            <w:tcW w:w="569" w:type="dxa"/>
            <w:tcBorders>
              <w:top w:val="single" w:sz="4" w:space="0" w:color="000000"/>
              <w:bottom w:val="single" w:sz="4" w:space="0" w:color="000000"/>
            </w:tcBorders>
          </w:tcPr>
          <w:p>
            <w:pPr>
              <w:pStyle w:val="TableParagraph"/>
              <w:spacing w:before="27"/>
              <w:ind w:right="100"/>
              <w:rPr>
                <w:sz w:val="14"/>
              </w:rPr>
            </w:pPr>
            <w:r>
              <w:rPr>
                <w:w w:val="99"/>
                <w:sz w:val="14"/>
              </w:rPr>
              <w:t>-</w:t>
            </w:r>
          </w:p>
        </w:tc>
        <w:tc>
          <w:tcPr>
            <w:tcW w:w="578" w:type="dxa"/>
            <w:tcBorders>
              <w:top w:val="single" w:sz="4" w:space="0" w:color="000000"/>
              <w:bottom w:val="single" w:sz="4" w:space="0" w:color="000000"/>
            </w:tcBorders>
          </w:tcPr>
          <w:p>
            <w:pPr>
              <w:pStyle w:val="TableParagraph"/>
              <w:spacing w:before="27"/>
              <w:ind w:right="87"/>
              <w:rPr>
                <w:sz w:val="14"/>
              </w:rPr>
            </w:pPr>
            <w:r>
              <w:rPr>
                <w:w w:val="99"/>
                <w:sz w:val="14"/>
              </w:rPr>
              <w:t>-</w:t>
            </w:r>
          </w:p>
        </w:tc>
        <w:tc>
          <w:tcPr>
            <w:tcW w:w="563" w:type="dxa"/>
            <w:tcBorders>
              <w:top w:val="single" w:sz="4" w:space="0" w:color="000000"/>
              <w:bottom w:val="single" w:sz="4" w:space="0" w:color="000000"/>
            </w:tcBorders>
          </w:tcPr>
          <w:p>
            <w:pPr>
              <w:pStyle w:val="TableParagraph"/>
              <w:spacing w:before="27"/>
              <w:ind w:right="60"/>
              <w:rPr>
                <w:sz w:val="14"/>
              </w:rPr>
            </w:pPr>
            <w:r>
              <w:rPr>
                <w:w w:val="99"/>
                <w:sz w:val="14"/>
              </w:rPr>
              <w:t>-</w:t>
            </w:r>
          </w:p>
        </w:tc>
        <w:tc>
          <w:tcPr>
            <w:tcW w:w="813" w:type="dxa"/>
            <w:tcBorders>
              <w:top w:val="single" w:sz="4" w:space="0" w:color="000000"/>
              <w:bottom w:val="single" w:sz="4" w:space="0" w:color="000000"/>
            </w:tcBorders>
          </w:tcPr>
          <w:p>
            <w:pPr>
              <w:pStyle w:val="TableParagraph"/>
              <w:spacing w:before="27"/>
              <w:ind w:right="133"/>
              <w:rPr>
                <w:i/>
                <w:sz w:val="14"/>
              </w:rPr>
            </w:pPr>
            <w:r>
              <w:rPr>
                <w:i/>
                <w:w w:val="99"/>
                <w:sz w:val="14"/>
              </w:rPr>
              <w:t>-</w:t>
            </w:r>
          </w:p>
        </w:tc>
        <w:tc>
          <w:tcPr>
            <w:tcW w:w="526" w:type="dxa"/>
            <w:tcBorders>
              <w:top w:val="single" w:sz="4" w:space="0" w:color="000000"/>
              <w:bottom w:val="single" w:sz="4" w:space="0" w:color="000000"/>
            </w:tcBorders>
          </w:tcPr>
          <w:p>
            <w:pPr>
              <w:pStyle w:val="TableParagraph"/>
              <w:spacing w:before="27"/>
              <w:ind w:right="59"/>
              <w:rPr>
                <w:b/>
                <w:sz w:val="14"/>
              </w:rPr>
            </w:pPr>
            <w:r>
              <w:rPr>
                <w:b/>
                <w:w w:val="99"/>
                <w:sz w:val="14"/>
              </w:rPr>
              <w:t>-</w:t>
            </w:r>
          </w:p>
        </w:tc>
      </w:tr>
      <w:tr>
        <w:trPr>
          <w:trHeight w:val="230" w:hRule="atLeast"/>
        </w:trPr>
        <w:tc>
          <w:tcPr>
            <w:tcW w:w="1186" w:type="dxa"/>
            <w:tcBorders>
              <w:top w:val="single" w:sz="4" w:space="0" w:color="000000"/>
              <w:bottom w:val="single" w:sz="4" w:space="0" w:color="000000"/>
            </w:tcBorders>
          </w:tcPr>
          <w:p>
            <w:pPr>
              <w:pStyle w:val="TableParagraph"/>
              <w:spacing w:before="27"/>
              <w:ind w:left="67"/>
              <w:jc w:val="left"/>
              <w:rPr>
                <w:sz w:val="14"/>
              </w:rPr>
            </w:pPr>
            <w:r>
              <w:rPr>
                <w:spacing w:val="-2"/>
                <w:sz w:val="14"/>
              </w:rPr>
              <w:t>Reclassified</w:t>
            </w:r>
          </w:p>
        </w:tc>
        <w:tc>
          <w:tcPr>
            <w:tcW w:w="678" w:type="dxa"/>
            <w:tcBorders>
              <w:top w:val="single" w:sz="4" w:space="0" w:color="000000"/>
              <w:bottom w:val="single" w:sz="4" w:space="0" w:color="000000"/>
            </w:tcBorders>
          </w:tcPr>
          <w:p>
            <w:pPr>
              <w:pStyle w:val="TableParagraph"/>
              <w:spacing w:before="27"/>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7"/>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7"/>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7"/>
              <w:ind w:right="191"/>
              <w:rPr>
                <w:sz w:val="14"/>
              </w:rPr>
            </w:pPr>
            <w:r>
              <w:rPr>
                <w:w w:val="99"/>
                <w:sz w:val="14"/>
              </w:rPr>
              <w:t>-</w:t>
            </w:r>
          </w:p>
        </w:tc>
        <w:tc>
          <w:tcPr>
            <w:tcW w:w="512" w:type="dxa"/>
            <w:tcBorders>
              <w:top w:val="single" w:sz="4" w:space="0" w:color="000000"/>
              <w:bottom w:val="single" w:sz="4" w:space="0" w:color="000000"/>
            </w:tcBorders>
          </w:tcPr>
          <w:p>
            <w:pPr>
              <w:pStyle w:val="TableParagraph"/>
              <w:spacing w:before="27"/>
              <w:ind w:right="121"/>
              <w:rPr>
                <w:sz w:val="14"/>
              </w:rPr>
            </w:pPr>
            <w:r>
              <w:rPr>
                <w:w w:val="99"/>
                <w:sz w:val="14"/>
              </w:rPr>
              <w:t>-</w:t>
            </w:r>
          </w:p>
        </w:tc>
        <w:tc>
          <w:tcPr>
            <w:tcW w:w="638" w:type="dxa"/>
            <w:tcBorders>
              <w:top w:val="single" w:sz="4" w:space="0" w:color="000000"/>
              <w:bottom w:val="single" w:sz="4" w:space="0" w:color="000000"/>
            </w:tcBorders>
          </w:tcPr>
          <w:p>
            <w:pPr>
              <w:pStyle w:val="TableParagraph"/>
              <w:spacing w:before="27"/>
              <w:ind w:right="174"/>
              <w:rPr>
                <w:sz w:val="14"/>
              </w:rPr>
            </w:pPr>
            <w:r>
              <w:rPr>
                <w:w w:val="99"/>
                <w:sz w:val="14"/>
              </w:rPr>
              <w:t>-</w:t>
            </w:r>
          </w:p>
        </w:tc>
        <w:tc>
          <w:tcPr>
            <w:tcW w:w="691" w:type="dxa"/>
            <w:tcBorders>
              <w:top w:val="single" w:sz="4" w:space="0" w:color="000000"/>
              <w:bottom w:val="single" w:sz="4" w:space="0" w:color="000000"/>
            </w:tcBorders>
          </w:tcPr>
          <w:p>
            <w:pPr>
              <w:pStyle w:val="TableParagraph"/>
              <w:spacing w:before="27"/>
              <w:ind w:right="269"/>
              <w:rPr>
                <w:sz w:val="14"/>
              </w:rPr>
            </w:pPr>
            <w:r>
              <w:rPr>
                <w:w w:val="99"/>
                <w:sz w:val="14"/>
              </w:rPr>
              <w:t>-</w:t>
            </w:r>
          </w:p>
        </w:tc>
        <w:tc>
          <w:tcPr>
            <w:tcW w:w="666" w:type="dxa"/>
            <w:tcBorders>
              <w:top w:val="single" w:sz="4" w:space="0" w:color="000000"/>
              <w:bottom w:val="single" w:sz="4" w:space="0" w:color="000000"/>
            </w:tcBorders>
          </w:tcPr>
          <w:p>
            <w:pPr>
              <w:pStyle w:val="TableParagraph"/>
              <w:spacing w:before="27"/>
              <w:ind w:right="196"/>
              <w:rPr>
                <w:sz w:val="14"/>
              </w:rPr>
            </w:pPr>
            <w:r>
              <w:rPr>
                <w:w w:val="99"/>
                <w:sz w:val="14"/>
              </w:rPr>
              <w:t>-</w:t>
            </w:r>
          </w:p>
        </w:tc>
        <w:tc>
          <w:tcPr>
            <w:tcW w:w="466" w:type="dxa"/>
            <w:tcBorders>
              <w:top w:val="single" w:sz="4" w:space="0" w:color="000000"/>
              <w:bottom w:val="single" w:sz="4" w:space="0" w:color="000000"/>
            </w:tcBorders>
          </w:tcPr>
          <w:p>
            <w:pPr>
              <w:pStyle w:val="TableParagraph"/>
              <w:spacing w:before="27"/>
              <w:ind w:right="66"/>
              <w:rPr>
                <w:sz w:val="14"/>
              </w:rPr>
            </w:pPr>
            <w:r>
              <w:rPr>
                <w:w w:val="99"/>
                <w:sz w:val="14"/>
              </w:rPr>
              <w:t>-</w:t>
            </w:r>
          </w:p>
        </w:tc>
        <w:tc>
          <w:tcPr>
            <w:tcW w:w="795" w:type="dxa"/>
            <w:tcBorders>
              <w:top w:val="single" w:sz="4" w:space="0" w:color="000000"/>
              <w:bottom w:val="single" w:sz="4" w:space="0" w:color="000000"/>
            </w:tcBorders>
          </w:tcPr>
          <w:p>
            <w:pPr>
              <w:pStyle w:val="TableParagraph"/>
              <w:spacing w:before="27"/>
              <w:ind w:right="126"/>
              <w:rPr>
                <w:i/>
                <w:sz w:val="14"/>
              </w:rPr>
            </w:pPr>
            <w:r>
              <w:rPr>
                <w:i/>
                <w:w w:val="99"/>
                <w:sz w:val="14"/>
              </w:rPr>
              <w:t>-</w:t>
            </w:r>
          </w:p>
        </w:tc>
        <w:tc>
          <w:tcPr>
            <w:tcW w:w="569" w:type="dxa"/>
            <w:tcBorders>
              <w:top w:val="single" w:sz="4" w:space="0" w:color="000000"/>
              <w:bottom w:val="single" w:sz="4" w:space="0" w:color="000000"/>
            </w:tcBorders>
          </w:tcPr>
          <w:p>
            <w:pPr>
              <w:pStyle w:val="TableParagraph"/>
              <w:spacing w:before="27"/>
              <w:ind w:right="100"/>
              <w:rPr>
                <w:sz w:val="14"/>
              </w:rPr>
            </w:pPr>
            <w:r>
              <w:rPr>
                <w:w w:val="99"/>
                <w:sz w:val="14"/>
              </w:rPr>
              <w:t>-</w:t>
            </w:r>
          </w:p>
        </w:tc>
        <w:tc>
          <w:tcPr>
            <w:tcW w:w="578" w:type="dxa"/>
            <w:tcBorders>
              <w:top w:val="single" w:sz="4" w:space="0" w:color="000000"/>
              <w:bottom w:val="single" w:sz="4" w:space="0" w:color="000000"/>
            </w:tcBorders>
          </w:tcPr>
          <w:p>
            <w:pPr>
              <w:pStyle w:val="TableParagraph"/>
              <w:spacing w:before="27"/>
              <w:ind w:right="87"/>
              <w:rPr>
                <w:sz w:val="14"/>
              </w:rPr>
            </w:pPr>
            <w:r>
              <w:rPr>
                <w:w w:val="99"/>
                <w:sz w:val="14"/>
              </w:rPr>
              <w:t>-</w:t>
            </w:r>
          </w:p>
        </w:tc>
        <w:tc>
          <w:tcPr>
            <w:tcW w:w="563" w:type="dxa"/>
            <w:tcBorders>
              <w:top w:val="single" w:sz="4" w:space="0" w:color="000000"/>
              <w:bottom w:val="single" w:sz="4" w:space="0" w:color="000000"/>
            </w:tcBorders>
          </w:tcPr>
          <w:p>
            <w:pPr>
              <w:pStyle w:val="TableParagraph"/>
              <w:spacing w:before="27"/>
              <w:ind w:right="60"/>
              <w:rPr>
                <w:sz w:val="14"/>
              </w:rPr>
            </w:pPr>
            <w:r>
              <w:rPr>
                <w:w w:val="99"/>
                <w:sz w:val="14"/>
              </w:rPr>
              <w:t>-</w:t>
            </w:r>
          </w:p>
        </w:tc>
        <w:tc>
          <w:tcPr>
            <w:tcW w:w="813" w:type="dxa"/>
            <w:tcBorders>
              <w:top w:val="single" w:sz="4" w:space="0" w:color="000000"/>
              <w:bottom w:val="single" w:sz="4" w:space="0" w:color="000000"/>
            </w:tcBorders>
          </w:tcPr>
          <w:p>
            <w:pPr>
              <w:pStyle w:val="TableParagraph"/>
              <w:spacing w:before="27"/>
              <w:ind w:right="133"/>
              <w:rPr>
                <w:i/>
                <w:sz w:val="14"/>
              </w:rPr>
            </w:pPr>
            <w:r>
              <w:rPr>
                <w:i/>
                <w:w w:val="99"/>
                <w:sz w:val="14"/>
              </w:rPr>
              <w:t>-</w:t>
            </w:r>
          </w:p>
        </w:tc>
        <w:tc>
          <w:tcPr>
            <w:tcW w:w="526" w:type="dxa"/>
            <w:tcBorders>
              <w:top w:val="single" w:sz="4" w:space="0" w:color="000000"/>
              <w:bottom w:val="single" w:sz="4" w:space="0" w:color="000000"/>
            </w:tcBorders>
          </w:tcPr>
          <w:p>
            <w:pPr>
              <w:pStyle w:val="TableParagraph"/>
              <w:spacing w:before="27"/>
              <w:ind w:right="59"/>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2"/>
              <w:ind w:left="67"/>
              <w:jc w:val="left"/>
              <w:rPr>
                <w:sz w:val="14"/>
              </w:rPr>
            </w:pPr>
            <w:r>
              <w:rPr>
                <w:spacing w:val="-2"/>
                <w:sz w:val="14"/>
              </w:rPr>
              <w:t>Converted</w:t>
            </w:r>
          </w:p>
        </w:tc>
        <w:tc>
          <w:tcPr>
            <w:tcW w:w="678" w:type="dxa"/>
            <w:tcBorders>
              <w:top w:val="single" w:sz="4" w:space="0" w:color="000000"/>
              <w:bottom w:val="single" w:sz="4" w:space="0" w:color="000000"/>
            </w:tcBorders>
          </w:tcPr>
          <w:p>
            <w:pPr>
              <w:pStyle w:val="TableParagraph"/>
              <w:spacing w:before="22"/>
              <w:ind w:right="154"/>
              <w:rPr>
                <w:sz w:val="14"/>
              </w:rPr>
            </w:pPr>
            <w:r>
              <w:rPr>
                <w:w w:val="99"/>
                <w:sz w:val="14"/>
              </w:rPr>
              <w:t>-</w:t>
            </w:r>
          </w:p>
        </w:tc>
        <w:tc>
          <w:tcPr>
            <w:tcW w:w="607" w:type="dxa"/>
            <w:tcBorders>
              <w:top w:val="single" w:sz="4" w:space="0" w:color="000000"/>
              <w:bottom w:val="single" w:sz="4" w:space="0" w:color="000000"/>
            </w:tcBorders>
          </w:tcPr>
          <w:p>
            <w:pPr>
              <w:pStyle w:val="TableParagraph"/>
              <w:spacing w:before="22"/>
              <w:ind w:right="170"/>
              <w:rPr>
                <w:sz w:val="14"/>
              </w:rPr>
            </w:pPr>
            <w:r>
              <w:rPr>
                <w:w w:val="99"/>
                <w:sz w:val="14"/>
              </w:rPr>
              <w:t>-</w:t>
            </w:r>
          </w:p>
        </w:tc>
        <w:tc>
          <w:tcPr>
            <w:tcW w:w="563" w:type="dxa"/>
            <w:tcBorders>
              <w:top w:val="single" w:sz="4" w:space="0" w:color="000000"/>
              <w:bottom w:val="single" w:sz="4" w:space="0" w:color="000000"/>
            </w:tcBorders>
          </w:tcPr>
          <w:p>
            <w:pPr>
              <w:pStyle w:val="TableParagraph"/>
              <w:spacing w:before="22"/>
              <w:ind w:right="171"/>
              <w:rPr>
                <w:sz w:val="14"/>
              </w:rPr>
            </w:pPr>
            <w:r>
              <w:rPr>
                <w:w w:val="99"/>
                <w:sz w:val="14"/>
              </w:rPr>
              <w:t>-</w:t>
            </w:r>
          </w:p>
        </w:tc>
        <w:tc>
          <w:tcPr>
            <w:tcW w:w="581" w:type="dxa"/>
            <w:tcBorders>
              <w:top w:val="single" w:sz="4" w:space="0" w:color="000000"/>
              <w:bottom w:val="single" w:sz="4" w:space="0" w:color="000000"/>
            </w:tcBorders>
          </w:tcPr>
          <w:p>
            <w:pPr>
              <w:pStyle w:val="TableParagraph"/>
              <w:spacing w:before="22"/>
              <w:ind w:right="191"/>
              <w:rPr>
                <w:sz w:val="14"/>
              </w:rPr>
            </w:pPr>
            <w:r>
              <w:rPr>
                <w:w w:val="99"/>
                <w:sz w:val="14"/>
              </w:rPr>
              <w:t>-</w:t>
            </w:r>
          </w:p>
        </w:tc>
        <w:tc>
          <w:tcPr>
            <w:tcW w:w="512" w:type="dxa"/>
            <w:tcBorders>
              <w:top w:val="single" w:sz="4" w:space="0" w:color="000000"/>
              <w:bottom w:val="single" w:sz="4" w:space="0" w:color="000000"/>
            </w:tcBorders>
          </w:tcPr>
          <w:p>
            <w:pPr>
              <w:pStyle w:val="TableParagraph"/>
              <w:spacing w:before="22"/>
              <w:ind w:right="121"/>
              <w:rPr>
                <w:sz w:val="14"/>
              </w:rPr>
            </w:pPr>
            <w:r>
              <w:rPr>
                <w:w w:val="99"/>
                <w:sz w:val="14"/>
              </w:rPr>
              <w:t>-</w:t>
            </w:r>
          </w:p>
        </w:tc>
        <w:tc>
          <w:tcPr>
            <w:tcW w:w="638" w:type="dxa"/>
            <w:tcBorders>
              <w:top w:val="single" w:sz="4" w:space="0" w:color="000000"/>
              <w:bottom w:val="single" w:sz="4" w:space="0" w:color="000000"/>
            </w:tcBorders>
          </w:tcPr>
          <w:p>
            <w:pPr>
              <w:pStyle w:val="TableParagraph"/>
              <w:spacing w:before="22"/>
              <w:ind w:right="170"/>
              <w:rPr>
                <w:sz w:val="14"/>
              </w:rPr>
            </w:pPr>
            <w:r>
              <w:rPr>
                <w:spacing w:val="-2"/>
                <w:sz w:val="14"/>
              </w:rPr>
              <w:t>(1.00)</w:t>
            </w:r>
          </w:p>
        </w:tc>
        <w:tc>
          <w:tcPr>
            <w:tcW w:w="691" w:type="dxa"/>
            <w:tcBorders>
              <w:top w:val="single" w:sz="4" w:space="0" w:color="000000"/>
              <w:bottom w:val="single" w:sz="4" w:space="0" w:color="000000"/>
            </w:tcBorders>
          </w:tcPr>
          <w:p>
            <w:pPr>
              <w:pStyle w:val="TableParagraph"/>
              <w:spacing w:before="22"/>
              <w:ind w:right="269"/>
              <w:rPr>
                <w:sz w:val="14"/>
              </w:rPr>
            </w:pPr>
            <w:r>
              <w:rPr>
                <w:w w:val="99"/>
                <w:sz w:val="14"/>
              </w:rPr>
              <w:t>-</w:t>
            </w:r>
          </w:p>
        </w:tc>
        <w:tc>
          <w:tcPr>
            <w:tcW w:w="666" w:type="dxa"/>
            <w:tcBorders>
              <w:top w:val="single" w:sz="4" w:space="0" w:color="000000"/>
              <w:bottom w:val="single" w:sz="4" w:space="0" w:color="000000"/>
            </w:tcBorders>
          </w:tcPr>
          <w:p>
            <w:pPr>
              <w:pStyle w:val="TableParagraph"/>
              <w:spacing w:before="22"/>
              <w:ind w:right="196"/>
              <w:rPr>
                <w:sz w:val="14"/>
              </w:rPr>
            </w:pPr>
            <w:r>
              <w:rPr>
                <w:w w:val="99"/>
                <w:sz w:val="14"/>
              </w:rPr>
              <w:t>-</w:t>
            </w:r>
          </w:p>
        </w:tc>
        <w:tc>
          <w:tcPr>
            <w:tcW w:w="466" w:type="dxa"/>
            <w:tcBorders>
              <w:top w:val="single" w:sz="4" w:space="0" w:color="000000"/>
              <w:bottom w:val="single" w:sz="4" w:space="0" w:color="000000"/>
            </w:tcBorders>
          </w:tcPr>
          <w:p>
            <w:pPr>
              <w:pStyle w:val="TableParagraph"/>
              <w:spacing w:before="22"/>
              <w:ind w:right="66"/>
              <w:rPr>
                <w:sz w:val="14"/>
              </w:rPr>
            </w:pPr>
            <w:r>
              <w:rPr>
                <w:w w:val="99"/>
                <w:sz w:val="14"/>
              </w:rPr>
              <w:t>-</w:t>
            </w:r>
          </w:p>
        </w:tc>
        <w:tc>
          <w:tcPr>
            <w:tcW w:w="795" w:type="dxa"/>
            <w:tcBorders>
              <w:top w:val="single" w:sz="4" w:space="0" w:color="000000"/>
              <w:bottom w:val="single" w:sz="4" w:space="0" w:color="000000"/>
            </w:tcBorders>
          </w:tcPr>
          <w:p>
            <w:pPr>
              <w:pStyle w:val="TableParagraph"/>
              <w:spacing w:before="22"/>
              <w:ind w:right="123"/>
              <w:rPr>
                <w:i/>
                <w:sz w:val="14"/>
              </w:rPr>
            </w:pPr>
            <w:r>
              <w:rPr>
                <w:i/>
                <w:spacing w:val="-2"/>
                <w:sz w:val="14"/>
              </w:rPr>
              <w:t>(1.00)</w:t>
            </w:r>
          </w:p>
        </w:tc>
        <w:tc>
          <w:tcPr>
            <w:tcW w:w="569" w:type="dxa"/>
            <w:tcBorders>
              <w:top w:val="single" w:sz="4" w:space="0" w:color="000000"/>
              <w:bottom w:val="single" w:sz="4" w:space="0" w:color="000000"/>
            </w:tcBorders>
          </w:tcPr>
          <w:p>
            <w:pPr>
              <w:pStyle w:val="TableParagraph"/>
              <w:spacing w:before="22"/>
              <w:ind w:right="100"/>
              <w:rPr>
                <w:sz w:val="14"/>
              </w:rPr>
            </w:pPr>
            <w:r>
              <w:rPr>
                <w:w w:val="99"/>
                <w:sz w:val="14"/>
              </w:rPr>
              <w:t>-</w:t>
            </w:r>
          </w:p>
        </w:tc>
        <w:tc>
          <w:tcPr>
            <w:tcW w:w="578" w:type="dxa"/>
            <w:tcBorders>
              <w:top w:val="single" w:sz="4" w:space="0" w:color="000000"/>
              <w:bottom w:val="single" w:sz="4" w:space="0" w:color="000000"/>
            </w:tcBorders>
          </w:tcPr>
          <w:p>
            <w:pPr>
              <w:pStyle w:val="TableParagraph"/>
              <w:spacing w:before="22"/>
              <w:ind w:right="87"/>
              <w:rPr>
                <w:sz w:val="14"/>
              </w:rPr>
            </w:pPr>
            <w:r>
              <w:rPr>
                <w:w w:val="99"/>
                <w:sz w:val="14"/>
              </w:rPr>
              <w:t>-</w:t>
            </w:r>
          </w:p>
        </w:tc>
        <w:tc>
          <w:tcPr>
            <w:tcW w:w="563" w:type="dxa"/>
            <w:tcBorders>
              <w:top w:val="single" w:sz="4" w:space="0" w:color="000000"/>
              <w:bottom w:val="single" w:sz="4" w:space="0" w:color="000000"/>
            </w:tcBorders>
          </w:tcPr>
          <w:p>
            <w:pPr>
              <w:pStyle w:val="TableParagraph"/>
              <w:spacing w:before="22"/>
              <w:ind w:right="60"/>
              <w:rPr>
                <w:sz w:val="14"/>
              </w:rPr>
            </w:pPr>
            <w:r>
              <w:rPr>
                <w:w w:val="99"/>
                <w:sz w:val="14"/>
              </w:rPr>
              <w:t>-</w:t>
            </w:r>
          </w:p>
        </w:tc>
        <w:tc>
          <w:tcPr>
            <w:tcW w:w="813" w:type="dxa"/>
            <w:tcBorders>
              <w:top w:val="single" w:sz="4" w:space="0" w:color="000000"/>
              <w:bottom w:val="single" w:sz="4" w:space="0" w:color="000000"/>
            </w:tcBorders>
          </w:tcPr>
          <w:p>
            <w:pPr>
              <w:pStyle w:val="TableParagraph"/>
              <w:spacing w:before="22"/>
              <w:ind w:right="133"/>
              <w:rPr>
                <w:i/>
                <w:sz w:val="14"/>
              </w:rPr>
            </w:pPr>
            <w:r>
              <w:rPr>
                <w:i/>
                <w:w w:val="99"/>
                <w:sz w:val="14"/>
              </w:rPr>
              <w:t>-</w:t>
            </w:r>
          </w:p>
        </w:tc>
        <w:tc>
          <w:tcPr>
            <w:tcW w:w="526" w:type="dxa"/>
            <w:tcBorders>
              <w:top w:val="single" w:sz="4" w:space="0" w:color="000000"/>
              <w:bottom w:val="single" w:sz="4" w:space="0" w:color="000000"/>
            </w:tcBorders>
          </w:tcPr>
          <w:p>
            <w:pPr>
              <w:pStyle w:val="TableParagraph"/>
              <w:spacing w:before="22"/>
              <w:ind w:right="55"/>
              <w:rPr>
                <w:b/>
                <w:sz w:val="14"/>
              </w:rPr>
            </w:pPr>
            <w:r>
              <w:rPr>
                <w:b/>
                <w:spacing w:val="-2"/>
                <w:sz w:val="14"/>
              </w:rPr>
              <w:t>(1.00)</w:t>
            </w:r>
          </w:p>
        </w:tc>
      </w:tr>
      <w:tr>
        <w:trPr>
          <w:trHeight w:val="229" w:hRule="atLeast"/>
        </w:trPr>
        <w:tc>
          <w:tcPr>
            <w:tcW w:w="1186" w:type="dxa"/>
            <w:tcBorders>
              <w:top w:val="single" w:sz="4" w:space="0" w:color="000000"/>
              <w:bottom w:val="single" w:sz="12" w:space="0" w:color="000000"/>
            </w:tcBorders>
          </w:tcPr>
          <w:p>
            <w:pPr>
              <w:pStyle w:val="TableParagraph"/>
              <w:spacing w:before="27"/>
              <w:ind w:left="67"/>
              <w:jc w:val="left"/>
              <w:rPr>
                <w:b/>
                <w:sz w:val="14"/>
              </w:rPr>
            </w:pPr>
            <w:r>
              <w:rPr>
                <w:b/>
                <w:sz w:val="14"/>
              </w:rPr>
              <w:t>Proposed</w:t>
            </w:r>
            <w:r>
              <w:rPr>
                <w:b/>
                <w:spacing w:val="-6"/>
                <w:sz w:val="14"/>
              </w:rPr>
              <w:t> </w:t>
            </w:r>
            <w:r>
              <w:rPr>
                <w:b/>
                <w:spacing w:val="-4"/>
                <w:sz w:val="14"/>
              </w:rPr>
              <w:t>2023</w:t>
            </w:r>
          </w:p>
        </w:tc>
        <w:tc>
          <w:tcPr>
            <w:tcW w:w="678" w:type="dxa"/>
            <w:tcBorders>
              <w:top w:val="single" w:sz="4" w:space="0" w:color="000000"/>
              <w:bottom w:val="single" w:sz="12" w:space="0" w:color="000000"/>
            </w:tcBorders>
          </w:tcPr>
          <w:p>
            <w:pPr>
              <w:pStyle w:val="TableParagraph"/>
              <w:spacing w:before="27"/>
              <w:ind w:right="154"/>
              <w:rPr>
                <w:b/>
                <w:sz w:val="14"/>
              </w:rPr>
            </w:pPr>
            <w:r>
              <w:rPr>
                <w:b/>
                <w:w w:val="99"/>
                <w:sz w:val="14"/>
              </w:rPr>
              <w:t>-</w:t>
            </w:r>
          </w:p>
        </w:tc>
        <w:tc>
          <w:tcPr>
            <w:tcW w:w="607" w:type="dxa"/>
            <w:tcBorders>
              <w:top w:val="single" w:sz="4" w:space="0" w:color="000000"/>
              <w:bottom w:val="single" w:sz="12" w:space="0" w:color="000000"/>
            </w:tcBorders>
          </w:tcPr>
          <w:p>
            <w:pPr>
              <w:pStyle w:val="TableParagraph"/>
              <w:spacing w:before="27"/>
              <w:ind w:right="170"/>
              <w:rPr>
                <w:b/>
                <w:sz w:val="14"/>
              </w:rPr>
            </w:pPr>
            <w:r>
              <w:rPr>
                <w:b/>
                <w:w w:val="99"/>
                <w:sz w:val="14"/>
              </w:rPr>
              <w:t>-</w:t>
            </w:r>
          </w:p>
        </w:tc>
        <w:tc>
          <w:tcPr>
            <w:tcW w:w="563" w:type="dxa"/>
            <w:tcBorders>
              <w:top w:val="single" w:sz="4" w:space="0" w:color="000000"/>
              <w:bottom w:val="single" w:sz="12" w:space="0" w:color="000000"/>
            </w:tcBorders>
          </w:tcPr>
          <w:p>
            <w:pPr>
              <w:pStyle w:val="TableParagraph"/>
              <w:spacing w:before="27"/>
              <w:ind w:right="171"/>
              <w:rPr>
                <w:b/>
                <w:sz w:val="14"/>
              </w:rPr>
            </w:pPr>
            <w:r>
              <w:rPr>
                <w:b/>
                <w:w w:val="99"/>
                <w:sz w:val="14"/>
              </w:rPr>
              <w:t>-</w:t>
            </w:r>
          </w:p>
        </w:tc>
        <w:tc>
          <w:tcPr>
            <w:tcW w:w="581" w:type="dxa"/>
            <w:tcBorders>
              <w:top w:val="single" w:sz="4" w:space="0" w:color="000000"/>
              <w:bottom w:val="single" w:sz="12" w:space="0" w:color="000000"/>
            </w:tcBorders>
          </w:tcPr>
          <w:p>
            <w:pPr>
              <w:pStyle w:val="TableParagraph"/>
              <w:spacing w:before="27"/>
              <w:ind w:right="191"/>
              <w:rPr>
                <w:b/>
                <w:sz w:val="14"/>
              </w:rPr>
            </w:pPr>
            <w:r>
              <w:rPr>
                <w:b/>
                <w:w w:val="99"/>
                <w:sz w:val="14"/>
              </w:rPr>
              <w:t>-</w:t>
            </w:r>
          </w:p>
        </w:tc>
        <w:tc>
          <w:tcPr>
            <w:tcW w:w="512" w:type="dxa"/>
            <w:tcBorders>
              <w:top w:val="single" w:sz="4" w:space="0" w:color="000000"/>
              <w:bottom w:val="single" w:sz="12" w:space="0" w:color="000000"/>
            </w:tcBorders>
          </w:tcPr>
          <w:p>
            <w:pPr>
              <w:pStyle w:val="TableParagraph"/>
              <w:spacing w:before="27"/>
              <w:ind w:right="121"/>
              <w:rPr>
                <w:b/>
                <w:sz w:val="14"/>
              </w:rPr>
            </w:pPr>
            <w:r>
              <w:rPr>
                <w:b/>
                <w:w w:val="99"/>
                <w:sz w:val="14"/>
              </w:rPr>
              <w:t>-</w:t>
            </w:r>
          </w:p>
        </w:tc>
        <w:tc>
          <w:tcPr>
            <w:tcW w:w="638" w:type="dxa"/>
            <w:tcBorders>
              <w:top w:val="single" w:sz="4" w:space="0" w:color="000000"/>
              <w:bottom w:val="single" w:sz="12" w:space="0" w:color="000000"/>
            </w:tcBorders>
          </w:tcPr>
          <w:p>
            <w:pPr>
              <w:pStyle w:val="TableParagraph"/>
              <w:spacing w:before="27"/>
              <w:ind w:right="174"/>
              <w:rPr>
                <w:b/>
                <w:sz w:val="14"/>
              </w:rPr>
            </w:pPr>
            <w:r>
              <w:rPr>
                <w:b/>
                <w:w w:val="99"/>
                <w:sz w:val="14"/>
              </w:rPr>
              <w:t>-</w:t>
            </w:r>
          </w:p>
        </w:tc>
        <w:tc>
          <w:tcPr>
            <w:tcW w:w="691" w:type="dxa"/>
            <w:tcBorders>
              <w:top w:val="single" w:sz="4" w:space="0" w:color="000000"/>
              <w:bottom w:val="single" w:sz="12" w:space="0" w:color="000000"/>
            </w:tcBorders>
          </w:tcPr>
          <w:p>
            <w:pPr>
              <w:pStyle w:val="TableParagraph"/>
              <w:spacing w:before="27"/>
              <w:ind w:right="266"/>
              <w:rPr>
                <w:b/>
                <w:sz w:val="14"/>
              </w:rPr>
            </w:pPr>
            <w:r>
              <w:rPr>
                <w:b/>
                <w:spacing w:val="-4"/>
                <w:sz w:val="14"/>
              </w:rPr>
              <w:t>1.00</w:t>
            </w:r>
          </w:p>
        </w:tc>
        <w:tc>
          <w:tcPr>
            <w:tcW w:w="666" w:type="dxa"/>
            <w:tcBorders>
              <w:top w:val="single" w:sz="4" w:space="0" w:color="000000"/>
              <w:bottom w:val="single" w:sz="12" w:space="0" w:color="000000"/>
            </w:tcBorders>
          </w:tcPr>
          <w:p>
            <w:pPr>
              <w:pStyle w:val="TableParagraph"/>
              <w:spacing w:before="27"/>
              <w:ind w:right="196"/>
              <w:rPr>
                <w:b/>
                <w:sz w:val="14"/>
              </w:rPr>
            </w:pPr>
            <w:r>
              <w:rPr>
                <w:b/>
                <w:w w:val="99"/>
                <w:sz w:val="14"/>
              </w:rPr>
              <w:t>-</w:t>
            </w:r>
          </w:p>
        </w:tc>
        <w:tc>
          <w:tcPr>
            <w:tcW w:w="466" w:type="dxa"/>
            <w:tcBorders>
              <w:top w:val="single" w:sz="4" w:space="0" w:color="000000"/>
              <w:bottom w:val="single" w:sz="12" w:space="0" w:color="000000"/>
            </w:tcBorders>
          </w:tcPr>
          <w:p>
            <w:pPr>
              <w:pStyle w:val="TableParagraph"/>
              <w:spacing w:before="27"/>
              <w:ind w:right="66"/>
              <w:rPr>
                <w:b/>
                <w:sz w:val="14"/>
              </w:rPr>
            </w:pPr>
            <w:r>
              <w:rPr>
                <w:b/>
                <w:w w:val="99"/>
                <w:sz w:val="14"/>
              </w:rPr>
              <w:t>-</w:t>
            </w:r>
          </w:p>
        </w:tc>
        <w:tc>
          <w:tcPr>
            <w:tcW w:w="795" w:type="dxa"/>
            <w:tcBorders>
              <w:top w:val="single" w:sz="4" w:space="0" w:color="000000"/>
              <w:bottom w:val="single" w:sz="12" w:space="0" w:color="000000"/>
            </w:tcBorders>
          </w:tcPr>
          <w:p>
            <w:pPr>
              <w:pStyle w:val="TableParagraph"/>
              <w:spacing w:before="27"/>
              <w:ind w:right="123"/>
              <w:rPr>
                <w:b/>
                <w:i/>
                <w:sz w:val="14"/>
              </w:rPr>
            </w:pPr>
            <w:r>
              <w:rPr>
                <w:b/>
                <w:i/>
                <w:spacing w:val="-4"/>
                <w:sz w:val="14"/>
              </w:rPr>
              <w:t>1.00</w:t>
            </w:r>
          </w:p>
        </w:tc>
        <w:tc>
          <w:tcPr>
            <w:tcW w:w="569" w:type="dxa"/>
            <w:tcBorders>
              <w:top w:val="single" w:sz="4" w:space="0" w:color="000000"/>
              <w:bottom w:val="single" w:sz="12" w:space="0" w:color="000000"/>
            </w:tcBorders>
          </w:tcPr>
          <w:p>
            <w:pPr>
              <w:pStyle w:val="TableParagraph"/>
              <w:spacing w:before="27"/>
              <w:ind w:right="100"/>
              <w:rPr>
                <w:b/>
                <w:sz w:val="14"/>
              </w:rPr>
            </w:pPr>
            <w:r>
              <w:rPr>
                <w:b/>
                <w:w w:val="99"/>
                <w:sz w:val="14"/>
              </w:rPr>
              <w:t>-</w:t>
            </w:r>
          </w:p>
        </w:tc>
        <w:tc>
          <w:tcPr>
            <w:tcW w:w="578" w:type="dxa"/>
            <w:tcBorders>
              <w:top w:val="single" w:sz="4" w:space="0" w:color="000000"/>
              <w:bottom w:val="single" w:sz="12" w:space="0" w:color="000000"/>
            </w:tcBorders>
          </w:tcPr>
          <w:p>
            <w:pPr>
              <w:pStyle w:val="TableParagraph"/>
              <w:spacing w:before="27"/>
              <w:ind w:right="87"/>
              <w:rPr>
                <w:b/>
                <w:sz w:val="14"/>
              </w:rPr>
            </w:pPr>
            <w:r>
              <w:rPr>
                <w:b/>
                <w:w w:val="99"/>
                <w:sz w:val="14"/>
              </w:rPr>
              <w:t>-</w:t>
            </w:r>
          </w:p>
        </w:tc>
        <w:tc>
          <w:tcPr>
            <w:tcW w:w="563" w:type="dxa"/>
            <w:tcBorders>
              <w:top w:val="single" w:sz="4" w:space="0" w:color="000000"/>
              <w:bottom w:val="single" w:sz="12" w:space="0" w:color="000000"/>
            </w:tcBorders>
          </w:tcPr>
          <w:p>
            <w:pPr>
              <w:pStyle w:val="TableParagraph"/>
              <w:spacing w:before="27"/>
              <w:ind w:right="60"/>
              <w:rPr>
                <w:b/>
                <w:sz w:val="14"/>
              </w:rPr>
            </w:pPr>
            <w:r>
              <w:rPr>
                <w:b/>
                <w:w w:val="99"/>
                <w:sz w:val="14"/>
              </w:rPr>
              <w:t>-</w:t>
            </w:r>
          </w:p>
        </w:tc>
        <w:tc>
          <w:tcPr>
            <w:tcW w:w="813" w:type="dxa"/>
            <w:tcBorders>
              <w:top w:val="single" w:sz="4" w:space="0" w:color="000000"/>
              <w:bottom w:val="single" w:sz="12" w:space="0" w:color="000000"/>
            </w:tcBorders>
          </w:tcPr>
          <w:p>
            <w:pPr>
              <w:pStyle w:val="TableParagraph"/>
              <w:spacing w:before="27"/>
              <w:ind w:right="133"/>
              <w:rPr>
                <w:b/>
                <w:i/>
                <w:sz w:val="14"/>
              </w:rPr>
            </w:pPr>
            <w:r>
              <w:rPr>
                <w:b/>
                <w:i/>
                <w:w w:val="99"/>
                <w:sz w:val="14"/>
              </w:rPr>
              <w:t>-</w:t>
            </w:r>
          </w:p>
        </w:tc>
        <w:tc>
          <w:tcPr>
            <w:tcW w:w="526" w:type="dxa"/>
            <w:tcBorders>
              <w:top w:val="single" w:sz="4" w:space="0" w:color="000000"/>
              <w:bottom w:val="single" w:sz="12" w:space="0" w:color="000000"/>
            </w:tcBorders>
          </w:tcPr>
          <w:p>
            <w:pPr>
              <w:pStyle w:val="TableParagraph"/>
              <w:spacing w:before="27"/>
              <w:ind w:right="56"/>
              <w:rPr>
                <w:b/>
                <w:sz w:val="14"/>
              </w:rPr>
            </w:pPr>
            <w:r>
              <w:rPr>
                <w:b/>
                <w:spacing w:val="-4"/>
                <w:sz w:val="14"/>
              </w:rPr>
              <w:t>1.00</w:t>
            </w:r>
          </w:p>
        </w:tc>
      </w:tr>
    </w:tbl>
    <w:p>
      <w:pPr>
        <w:spacing w:after="0"/>
        <w:rPr>
          <w:sz w:val="14"/>
        </w:rPr>
        <w:sectPr>
          <w:pgSz w:w="11910" w:h="16840"/>
          <w:pgMar w:header="957" w:footer="940" w:top="1140" w:bottom="1140" w:left="20" w:right="20"/>
        </w:sectPr>
      </w:pPr>
    </w:p>
    <w:p>
      <w:pPr>
        <w:pStyle w:val="Heading2"/>
        <w:numPr>
          <w:ilvl w:val="1"/>
          <w:numId w:val="3"/>
        </w:numPr>
        <w:tabs>
          <w:tab w:pos="2246" w:val="left" w:leader="none"/>
          <w:tab w:pos="2247" w:val="left" w:leader="none"/>
        </w:tabs>
        <w:spacing w:line="240" w:lineRule="auto" w:before="125" w:after="0"/>
        <w:ind w:left="2246" w:right="0" w:hanging="568"/>
        <w:jc w:val="left"/>
      </w:pPr>
      <w:bookmarkStart w:name="_bookmark59" w:id="60"/>
      <w:bookmarkEnd w:id="60"/>
      <w:r>
        <w:rPr/>
        <w:t>M</w:t>
      </w:r>
      <w:r>
        <w:rPr/>
        <w:t>ajor</w:t>
      </w:r>
      <w:r>
        <w:rPr>
          <w:spacing w:val="-4"/>
        </w:rPr>
        <w:t> </w:t>
      </w:r>
      <w:r>
        <w:rPr/>
        <w:t>Programme</w:t>
      </w:r>
      <w:r>
        <w:rPr>
          <w:spacing w:val="-8"/>
        </w:rPr>
        <w:t> </w:t>
      </w:r>
      <w:r>
        <w:rPr/>
        <w:t>VII-6:</w:t>
      </w:r>
      <w:r>
        <w:rPr>
          <w:spacing w:val="-3"/>
        </w:rPr>
        <w:t> </w:t>
      </w:r>
      <w:r>
        <w:rPr/>
        <w:t>Office</w:t>
      </w:r>
      <w:r>
        <w:rPr>
          <w:spacing w:val="-5"/>
        </w:rPr>
        <w:t> </w:t>
      </w:r>
      <w:r>
        <w:rPr/>
        <w:t>of</w:t>
      </w:r>
      <w:r>
        <w:rPr>
          <w:spacing w:val="-6"/>
        </w:rPr>
        <w:t> </w:t>
      </w:r>
      <w:r>
        <w:rPr/>
        <w:t>Internal</w:t>
      </w:r>
      <w:r>
        <w:rPr>
          <w:spacing w:val="-3"/>
        </w:rPr>
        <w:t> </w:t>
      </w:r>
      <w:r>
        <w:rPr>
          <w:spacing w:val="-4"/>
        </w:rPr>
        <w:t>Audit</w:t>
      </w:r>
    </w:p>
    <w:p>
      <w:pPr>
        <w:pStyle w:val="BodyText"/>
        <w:rPr>
          <w:b/>
          <w:sz w:val="21"/>
        </w:rPr>
      </w:pPr>
    </w:p>
    <w:p>
      <w:pPr>
        <w:pStyle w:val="Heading3"/>
      </w:pPr>
      <w:r>
        <w:rPr>
          <w:spacing w:val="-2"/>
        </w:rPr>
        <w:t>Introduction</w:t>
      </w:r>
    </w:p>
    <w:p>
      <w:pPr>
        <w:pStyle w:val="BodyText"/>
        <w:spacing w:before="11"/>
        <w:rPr>
          <w:b/>
        </w:rPr>
      </w:pPr>
    </w:p>
    <w:p>
      <w:pPr>
        <w:pStyle w:val="ListParagraph"/>
        <w:numPr>
          <w:ilvl w:val="0"/>
          <w:numId w:val="4"/>
        </w:numPr>
        <w:tabs>
          <w:tab w:pos="2967" w:val="left" w:leader="none"/>
        </w:tabs>
        <w:spacing w:line="240" w:lineRule="auto" w:before="0" w:after="0"/>
        <w:ind w:left="2246" w:right="2247" w:firstLine="0"/>
        <w:jc w:val="both"/>
        <w:rPr>
          <w:sz w:val="20"/>
        </w:rPr>
      </w:pPr>
      <w:bookmarkStart w:name="_bookmark60" w:id="61"/>
      <w:bookmarkEnd w:id="61"/>
      <w:r>
        <w:rPr>
          <w:sz w:val="20"/>
        </w:rPr>
        <w:t>T</w:t>
      </w:r>
      <w:r>
        <w:rPr>
          <w:sz w:val="20"/>
        </w:rPr>
        <w:t>he Office of Internal Audit (OIA) assists the Court in achieving its strategic and operational</w:t>
      </w:r>
      <w:r>
        <w:rPr>
          <w:spacing w:val="-3"/>
          <w:sz w:val="20"/>
        </w:rPr>
        <w:t> </w:t>
      </w:r>
      <w:r>
        <w:rPr>
          <w:sz w:val="20"/>
        </w:rPr>
        <w:t>objectives</w:t>
      </w:r>
      <w:r>
        <w:rPr>
          <w:spacing w:val="-6"/>
          <w:sz w:val="20"/>
        </w:rPr>
        <w:t> </w:t>
      </w:r>
      <w:r>
        <w:rPr>
          <w:sz w:val="20"/>
        </w:rPr>
        <w:t>by</w:t>
      </w:r>
      <w:r>
        <w:rPr>
          <w:spacing w:val="-5"/>
          <w:sz w:val="20"/>
        </w:rPr>
        <w:t> </w:t>
      </w:r>
      <w:r>
        <w:rPr>
          <w:sz w:val="20"/>
        </w:rPr>
        <w:t>rigorously</w:t>
      </w:r>
      <w:r>
        <w:rPr>
          <w:spacing w:val="-5"/>
          <w:sz w:val="20"/>
        </w:rPr>
        <w:t> </w:t>
      </w:r>
      <w:r>
        <w:rPr>
          <w:sz w:val="20"/>
        </w:rPr>
        <w:t>reviewing</w:t>
      </w:r>
      <w:r>
        <w:rPr>
          <w:spacing w:val="-9"/>
          <w:sz w:val="20"/>
        </w:rPr>
        <w:t> </w:t>
      </w:r>
      <w:r>
        <w:rPr>
          <w:sz w:val="20"/>
        </w:rPr>
        <w:t>systems</w:t>
      </w:r>
      <w:r>
        <w:rPr>
          <w:spacing w:val="-6"/>
          <w:sz w:val="20"/>
        </w:rPr>
        <w:t> </w:t>
      </w:r>
      <w:r>
        <w:rPr>
          <w:sz w:val="20"/>
        </w:rPr>
        <w:t>and</w:t>
      </w:r>
      <w:r>
        <w:rPr>
          <w:spacing w:val="-5"/>
          <w:sz w:val="20"/>
        </w:rPr>
        <w:t> </w:t>
      </w:r>
      <w:r>
        <w:rPr>
          <w:sz w:val="20"/>
        </w:rPr>
        <w:t>operations</w:t>
      </w:r>
      <w:r>
        <w:rPr>
          <w:spacing w:val="-6"/>
          <w:sz w:val="20"/>
        </w:rPr>
        <w:t> </w:t>
      </w:r>
      <w:r>
        <w:rPr>
          <w:sz w:val="20"/>
        </w:rPr>
        <w:t>across</w:t>
      </w:r>
      <w:r>
        <w:rPr>
          <w:spacing w:val="-6"/>
          <w:sz w:val="20"/>
        </w:rPr>
        <w:t> </w:t>
      </w:r>
      <w:r>
        <w:rPr>
          <w:sz w:val="20"/>
        </w:rPr>
        <w:t>all</w:t>
      </w:r>
      <w:r>
        <w:rPr>
          <w:spacing w:val="-8"/>
          <w:sz w:val="20"/>
        </w:rPr>
        <w:t> </w:t>
      </w:r>
      <w:r>
        <w:rPr>
          <w:sz w:val="20"/>
        </w:rPr>
        <w:t>areas</w:t>
      </w:r>
      <w:r>
        <w:rPr>
          <w:spacing w:val="-6"/>
          <w:sz w:val="20"/>
        </w:rPr>
        <w:t> </w:t>
      </w:r>
      <w:r>
        <w:rPr>
          <w:sz w:val="20"/>
        </w:rPr>
        <w:t>of</w:t>
      </w:r>
      <w:r>
        <w:rPr>
          <w:spacing w:val="-9"/>
          <w:sz w:val="20"/>
        </w:rPr>
        <w:t> </w:t>
      </w:r>
      <w:r>
        <w:rPr>
          <w:sz w:val="20"/>
        </w:rPr>
        <w:t>the Court. These reviews (audits) are aimed at identifying how well potential threats and opportunities (risks) are managed, including whether the most effective structures, policies and processes are in place, and whether agreed procedures are being adhered to. The OIA also provides advisory services at the request of Court’s management.</w:t>
      </w:r>
    </w:p>
    <w:p>
      <w:pPr>
        <w:pStyle w:val="ListParagraph"/>
        <w:numPr>
          <w:ilvl w:val="0"/>
          <w:numId w:val="4"/>
        </w:numPr>
        <w:tabs>
          <w:tab w:pos="2966" w:val="left" w:leader="none"/>
          <w:tab w:pos="2967" w:val="left" w:leader="none"/>
        </w:tabs>
        <w:spacing w:line="240" w:lineRule="auto" w:before="118" w:after="0"/>
        <w:ind w:left="2967" w:right="0" w:hanging="721"/>
        <w:jc w:val="left"/>
        <w:rPr>
          <w:sz w:val="20"/>
        </w:rPr>
      </w:pPr>
      <w:r>
        <w:rPr>
          <w:sz w:val="20"/>
        </w:rPr>
        <w:t>In</w:t>
      </w:r>
      <w:r>
        <w:rPr>
          <w:spacing w:val="-3"/>
          <w:sz w:val="20"/>
        </w:rPr>
        <w:t> </w:t>
      </w:r>
      <w:r>
        <w:rPr>
          <w:sz w:val="20"/>
        </w:rPr>
        <w:t>2023,</w:t>
      </w:r>
      <w:r>
        <w:rPr>
          <w:spacing w:val="-4"/>
          <w:sz w:val="20"/>
        </w:rPr>
        <w:t> </w:t>
      </w:r>
      <w:r>
        <w:rPr>
          <w:sz w:val="20"/>
        </w:rPr>
        <w:t>the OIA</w:t>
      </w:r>
      <w:r>
        <w:rPr>
          <w:spacing w:val="-8"/>
          <w:sz w:val="20"/>
        </w:rPr>
        <w:t> </w:t>
      </w:r>
      <w:r>
        <w:rPr>
          <w:sz w:val="20"/>
        </w:rPr>
        <w:t>will</w:t>
      </w:r>
      <w:r>
        <w:rPr>
          <w:spacing w:val="-5"/>
          <w:sz w:val="20"/>
        </w:rPr>
        <w:t> </w:t>
      </w:r>
      <w:r>
        <w:rPr>
          <w:sz w:val="20"/>
        </w:rPr>
        <w:t>perform</w:t>
      </w:r>
      <w:r>
        <w:rPr>
          <w:spacing w:val="-5"/>
          <w:sz w:val="20"/>
        </w:rPr>
        <w:t> </w:t>
      </w:r>
      <w:r>
        <w:rPr>
          <w:sz w:val="20"/>
        </w:rPr>
        <w:t>the</w:t>
      </w:r>
      <w:r>
        <w:rPr>
          <w:spacing w:val="-6"/>
          <w:sz w:val="20"/>
        </w:rPr>
        <w:t> </w:t>
      </w:r>
      <w:r>
        <w:rPr>
          <w:sz w:val="20"/>
        </w:rPr>
        <w:t>following</w:t>
      </w:r>
      <w:r>
        <w:rPr>
          <w:spacing w:val="-6"/>
          <w:sz w:val="20"/>
        </w:rPr>
        <w:t> </w:t>
      </w:r>
      <w:r>
        <w:rPr>
          <w:spacing w:val="-2"/>
          <w:sz w:val="20"/>
        </w:rPr>
        <w:t>activities:</w:t>
      </w:r>
    </w:p>
    <w:p>
      <w:pPr>
        <w:pStyle w:val="ListParagraph"/>
        <w:numPr>
          <w:ilvl w:val="1"/>
          <w:numId w:val="4"/>
        </w:numPr>
        <w:tabs>
          <w:tab w:pos="3686" w:val="left" w:leader="none"/>
          <w:tab w:pos="3687" w:val="left" w:leader="none"/>
        </w:tabs>
        <w:spacing w:line="240" w:lineRule="auto" w:before="120" w:after="0"/>
        <w:ind w:left="2967" w:right="2239" w:firstLine="0"/>
        <w:jc w:val="both"/>
        <w:rPr>
          <w:sz w:val="20"/>
        </w:rPr>
      </w:pPr>
      <w:r>
        <w:rPr>
          <w:sz w:val="20"/>
        </w:rPr>
        <w:t>Prepare</w:t>
      </w:r>
      <w:r>
        <w:rPr>
          <w:spacing w:val="-13"/>
          <w:sz w:val="20"/>
        </w:rPr>
        <w:t> </w:t>
      </w:r>
      <w:r>
        <w:rPr>
          <w:sz w:val="20"/>
        </w:rPr>
        <w:t>the</w:t>
      </w:r>
      <w:r>
        <w:rPr>
          <w:spacing w:val="-11"/>
          <w:sz w:val="20"/>
        </w:rPr>
        <w:t> </w:t>
      </w:r>
      <w:r>
        <w:rPr>
          <w:sz w:val="20"/>
        </w:rPr>
        <w:t>general</w:t>
      </w:r>
      <w:r>
        <w:rPr>
          <w:spacing w:val="-12"/>
          <w:sz w:val="20"/>
        </w:rPr>
        <w:t> </w:t>
      </w:r>
      <w:r>
        <w:rPr>
          <w:sz w:val="20"/>
        </w:rPr>
        <w:t>OIA</w:t>
      </w:r>
      <w:r>
        <w:rPr>
          <w:spacing w:val="-13"/>
          <w:sz w:val="20"/>
        </w:rPr>
        <w:t> </w:t>
      </w:r>
      <w:r>
        <w:rPr>
          <w:sz w:val="20"/>
        </w:rPr>
        <w:t>work</w:t>
      </w:r>
      <w:r>
        <w:rPr>
          <w:spacing w:val="-12"/>
          <w:sz w:val="20"/>
        </w:rPr>
        <w:t> </w:t>
      </w:r>
      <w:r>
        <w:rPr>
          <w:sz w:val="20"/>
        </w:rPr>
        <w:t>plan</w:t>
      </w:r>
      <w:r>
        <w:rPr>
          <w:spacing w:val="-13"/>
          <w:sz w:val="20"/>
        </w:rPr>
        <w:t> </w:t>
      </w:r>
      <w:r>
        <w:rPr>
          <w:sz w:val="20"/>
        </w:rPr>
        <w:t>and</w:t>
      </w:r>
      <w:r>
        <w:rPr>
          <w:spacing w:val="-12"/>
          <w:sz w:val="20"/>
        </w:rPr>
        <w:t> </w:t>
      </w:r>
      <w:r>
        <w:rPr>
          <w:sz w:val="20"/>
        </w:rPr>
        <w:t>the</w:t>
      </w:r>
      <w:r>
        <w:rPr>
          <w:spacing w:val="-11"/>
          <w:sz w:val="20"/>
        </w:rPr>
        <w:t> </w:t>
      </w:r>
      <w:r>
        <w:rPr>
          <w:sz w:val="20"/>
        </w:rPr>
        <w:t>OIA</w:t>
      </w:r>
      <w:r>
        <w:rPr>
          <w:spacing w:val="-10"/>
          <w:sz w:val="20"/>
        </w:rPr>
        <w:t> </w:t>
      </w:r>
      <w:r>
        <w:rPr>
          <w:sz w:val="20"/>
        </w:rPr>
        <w:t>ICT</w:t>
      </w:r>
      <w:r>
        <w:rPr>
          <w:spacing w:val="-12"/>
          <w:sz w:val="20"/>
        </w:rPr>
        <w:t> </w:t>
      </w:r>
      <w:r>
        <w:rPr>
          <w:sz w:val="20"/>
        </w:rPr>
        <w:t>work</w:t>
      </w:r>
      <w:r>
        <w:rPr>
          <w:spacing w:val="-13"/>
          <w:sz w:val="20"/>
        </w:rPr>
        <w:t> </w:t>
      </w:r>
      <w:r>
        <w:rPr>
          <w:sz w:val="20"/>
        </w:rPr>
        <w:t>plan</w:t>
      </w:r>
      <w:r>
        <w:rPr>
          <w:spacing w:val="-7"/>
          <w:sz w:val="20"/>
        </w:rPr>
        <w:t> </w:t>
      </w:r>
      <w:r>
        <w:rPr>
          <w:sz w:val="20"/>
        </w:rPr>
        <w:t>on</w:t>
      </w:r>
      <w:r>
        <w:rPr>
          <w:spacing w:val="-13"/>
          <w:sz w:val="20"/>
        </w:rPr>
        <w:t> </w:t>
      </w:r>
      <w:r>
        <w:rPr>
          <w:sz w:val="20"/>
        </w:rPr>
        <w:t>the</w:t>
      </w:r>
      <w:r>
        <w:rPr>
          <w:spacing w:val="-11"/>
          <w:sz w:val="20"/>
        </w:rPr>
        <w:t> </w:t>
      </w:r>
      <w:r>
        <w:rPr>
          <w:sz w:val="20"/>
        </w:rPr>
        <w:t>basis of the Court’s strategic plans and an analysis of the risks that may affect the achievement of the Court’s objectives;</w:t>
      </w:r>
    </w:p>
    <w:p>
      <w:pPr>
        <w:pStyle w:val="ListParagraph"/>
        <w:numPr>
          <w:ilvl w:val="1"/>
          <w:numId w:val="4"/>
        </w:numPr>
        <w:tabs>
          <w:tab w:pos="3686" w:val="left" w:leader="none"/>
          <w:tab w:pos="3687" w:val="left" w:leader="none"/>
        </w:tabs>
        <w:spacing w:line="240" w:lineRule="auto" w:before="122" w:after="0"/>
        <w:ind w:left="3687" w:right="0" w:hanging="720"/>
        <w:jc w:val="both"/>
        <w:rPr>
          <w:sz w:val="20"/>
        </w:rPr>
      </w:pPr>
      <w:r>
        <w:rPr>
          <w:sz w:val="20"/>
        </w:rPr>
        <w:t>Perform</w:t>
      </w:r>
      <w:r>
        <w:rPr>
          <w:spacing w:val="-8"/>
          <w:sz w:val="20"/>
        </w:rPr>
        <w:t> </w:t>
      </w:r>
      <w:r>
        <w:rPr>
          <w:sz w:val="20"/>
        </w:rPr>
        <w:t>at</w:t>
      </w:r>
      <w:r>
        <w:rPr>
          <w:spacing w:val="-3"/>
          <w:sz w:val="20"/>
        </w:rPr>
        <w:t> </w:t>
      </w:r>
      <w:r>
        <w:rPr>
          <w:sz w:val="20"/>
        </w:rPr>
        <w:t>least</w:t>
      </w:r>
      <w:r>
        <w:rPr>
          <w:spacing w:val="-3"/>
          <w:sz w:val="20"/>
        </w:rPr>
        <w:t> </w:t>
      </w:r>
      <w:r>
        <w:rPr>
          <w:sz w:val="20"/>
        </w:rPr>
        <w:t>nine</w:t>
      </w:r>
      <w:r>
        <w:rPr>
          <w:spacing w:val="-3"/>
          <w:sz w:val="20"/>
        </w:rPr>
        <w:t> </w:t>
      </w:r>
      <w:r>
        <w:rPr>
          <w:spacing w:val="-2"/>
          <w:sz w:val="20"/>
        </w:rPr>
        <w:t>engagements;</w:t>
      </w:r>
    </w:p>
    <w:p>
      <w:pPr>
        <w:pStyle w:val="ListParagraph"/>
        <w:numPr>
          <w:ilvl w:val="1"/>
          <w:numId w:val="4"/>
        </w:numPr>
        <w:tabs>
          <w:tab w:pos="3686" w:val="left" w:leader="none"/>
          <w:tab w:pos="3687" w:val="left" w:leader="none"/>
        </w:tabs>
        <w:spacing w:line="240" w:lineRule="auto" w:before="121" w:after="0"/>
        <w:ind w:left="2967" w:right="2243" w:firstLine="0"/>
        <w:jc w:val="both"/>
        <w:rPr>
          <w:sz w:val="20"/>
        </w:rPr>
      </w:pPr>
      <w:r>
        <w:rPr>
          <w:sz w:val="20"/>
        </w:rPr>
        <w:t>Review</w:t>
      </w:r>
      <w:r>
        <w:rPr>
          <w:spacing w:val="-10"/>
          <w:sz w:val="20"/>
        </w:rPr>
        <w:t> </w:t>
      </w:r>
      <w:r>
        <w:rPr>
          <w:sz w:val="20"/>
        </w:rPr>
        <w:t>the</w:t>
      </w:r>
      <w:r>
        <w:rPr>
          <w:spacing w:val="-7"/>
          <w:sz w:val="20"/>
        </w:rPr>
        <w:t> </w:t>
      </w:r>
      <w:r>
        <w:rPr>
          <w:sz w:val="20"/>
        </w:rPr>
        <w:t>status</w:t>
      </w:r>
      <w:r>
        <w:rPr>
          <w:spacing w:val="-10"/>
          <w:sz w:val="20"/>
        </w:rPr>
        <w:t> </w:t>
      </w:r>
      <w:r>
        <w:rPr>
          <w:sz w:val="20"/>
        </w:rPr>
        <w:t>of</w:t>
      </w:r>
      <w:r>
        <w:rPr>
          <w:spacing w:val="-8"/>
          <w:sz w:val="20"/>
        </w:rPr>
        <w:t> </w:t>
      </w:r>
      <w:r>
        <w:rPr>
          <w:sz w:val="20"/>
        </w:rPr>
        <w:t>implementation</w:t>
      </w:r>
      <w:r>
        <w:rPr>
          <w:spacing w:val="-8"/>
          <w:sz w:val="20"/>
        </w:rPr>
        <w:t> </w:t>
      </w:r>
      <w:r>
        <w:rPr>
          <w:sz w:val="20"/>
        </w:rPr>
        <w:t>of</w:t>
      </w:r>
      <w:r>
        <w:rPr>
          <w:spacing w:val="-4"/>
          <w:sz w:val="20"/>
        </w:rPr>
        <w:t> </w:t>
      </w:r>
      <w:r>
        <w:rPr>
          <w:sz w:val="20"/>
        </w:rPr>
        <w:t>recommendations</w:t>
      </w:r>
      <w:r>
        <w:rPr>
          <w:spacing w:val="-10"/>
          <w:sz w:val="20"/>
        </w:rPr>
        <w:t> </w:t>
      </w:r>
      <w:r>
        <w:rPr>
          <w:sz w:val="20"/>
        </w:rPr>
        <w:t>twice</w:t>
      </w:r>
      <w:r>
        <w:rPr>
          <w:spacing w:val="-7"/>
          <w:sz w:val="20"/>
        </w:rPr>
        <w:t> </w:t>
      </w:r>
      <w:r>
        <w:rPr>
          <w:sz w:val="20"/>
        </w:rPr>
        <w:t>during</w:t>
      </w:r>
      <w:r>
        <w:rPr>
          <w:spacing w:val="-8"/>
          <w:sz w:val="20"/>
        </w:rPr>
        <w:t> </w:t>
      </w:r>
      <w:r>
        <w:rPr>
          <w:sz w:val="20"/>
        </w:rPr>
        <w:t>the year, in consultation with the operational managers of the Court, and report on the progress made;</w:t>
      </w:r>
    </w:p>
    <w:p>
      <w:pPr>
        <w:pStyle w:val="ListParagraph"/>
        <w:numPr>
          <w:ilvl w:val="1"/>
          <w:numId w:val="4"/>
        </w:numPr>
        <w:tabs>
          <w:tab w:pos="3686" w:val="left" w:leader="none"/>
          <w:tab w:pos="3687" w:val="left" w:leader="none"/>
        </w:tabs>
        <w:spacing w:line="240" w:lineRule="auto" w:before="121" w:after="0"/>
        <w:ind w:left="3687" w:right="0" w:hanging="720"/>
        <w:jc w:val="both"/>
        <w:rPr>
          <w:sz w:val="20"/>
        </w:rPr>
      </w:pPr>
      <w:r>
        <w:rPr>
          <w:sz w:val="20"/>
        </w:rPr>
        <w:t>Provide</w:t>
      </w:r>
      <w:r>
        <w:rPr>
          <w:spacing w:val="-6"/>
          <w:sz w:val="20"/>
        </w:rPr>
        <w:t> </w:t>
      </w:r>
      <w:r>
        <w:rPr>
          <w:sz w:val="20"/>
        </w:rPr>
        <w:t>advisory</w:t>
      </w:r>
      <w:r>
        <w:rPr>
          <w:spacing w:val="-3"/>
          <w:sz w:val="20"/>
        </w:rPr>
        <w:t> </w:t>
      </w:r>
      <w:r>
        <w:rPr>
          <w:sz w:val="20"/>
        </w:rPr>
        <w:t>services</w:t>
      </w:r>
      <w:r>
        <w:rPr>
          <w:spacing w:val="-8"/>
          <w:sz w:val="20"/>
        </w:rPr>
        <w:t> </w:t>
      </w:r>
      <w:r>
        <w:rPr>
          <w:sz w:val="20"/>
        </w:rPr>
        <w:t>when</w:t>
      </w:r>
      <w:r>
        <w:rPr>
          <w:spacing w:val="-7"/>
          <w:sz w:val="20"/>
        </w:rPr>
        <w:t> </w:t>
      </w:r>
      <w:r>
        <w:rPr>
          <w:sz w:val="20"/>
        </w:rPr>
        <w:t>requested</w:t>
      </w:r>
      <w:r>
        <w:rPr>
          <w:spacing w:val="-8"/>
          <w:sz w:val="20"/>
        </w:rPr>
        <w:t> </w:t>
      </w:r>
      <w:r>
        <w:rPr>
          <w:sz w:val="20"/>
        </w:rPr>
        <w:t>by</w:t>
      </w:r>
      <w:r>
        <w:rPr>
          <w:spacing w:val="-7"/>
          <w:sz w:val="20"/>
        </w:rPr>
        <w:t> </w:t>
      </w:r>
      <w:r>
        <w:rPr>
          <w:sz w:val="20"/>
        </w:rPr>
        <w:t>Court</w:t>
      </w:r>
      <w:r>
        <w:rPr>
          <w:spacing w:val="-5"/>
          <w:sz w:val="20"/>
        </w:rPr>
        <w:t> </w:t>
      </w:r>
      <w:r>
        <w:rPr>
          <w:spacing w:val="-2"/>
          <w:sz w:val="20"/>
        </w:rPr>
        <w:t>managers;</w:t>
      </w:r>
    </w:p>
    <w:p>
      <w:pPr>
        <w:pStyle w:val="ListParagraph"/>
        <w:numPr>
          <w:ilvl w:val="1"/>
          <w:numId w:val="4"/>
        </w:numPr>
        <w:tabs>
          <w:tab w:pos="3686" w:val="left" w:leader="none"/>
          <w:tab w:pos="3687" w:val="left" w:leader="none"/>
        </w:tabs>
        <w:spacing w:line="240" w:lineRule="auto" w:before="116" w:after="0"/>
        <w:ind w:left="2967" w:right="2248" w:firstLine="0"/>
        <w:jc w:val="both"/>
        <w:rPr>
          <w:sz w:val="20"/>
        </w:rPr>
      </w:pPr>
      <w:r>
        <w:rPr>
          <w:sz w:val="20"/>
        </w:rPr>
        <w:t>Implement and update the quality assurance and improvement programme; and,</w:t>
      </w:r>
    </w:p>
    <w:p>
      <w:pPr>
        <w:pStyle w:val="ListParagraph"/>
        <w:numPr>
          <w:ilvl w:val="1"/>
          <w:numId w:val="4"/>
        </w:numPr>
        <w:tabs>
          <w:tab w:pos="3686" w:val="left" w:leader="none"/>
          <w:tab w:pos="3687" w:val="left" w:leader="none"/>
        </w:tabs>
        <w:spacing w:line="240" w:lineRule="auto" w:before="121" w:after="0"/>
        <w:ind w:left="3687" w:right="0" w:hanging="720"/>
        <w:jc w:val="both"/>
        <w:rPr>
          <w:sz w:val="20"/>
        </w:rPr>
      </w:pPr>
      <w:r>
        <w:rPr>
          <w:sz w:val="20"/>
        </w:rPr>
        <w:t>Prepare</w:t>
      </w:r>
      <w:r>
        <w:rPr>
          <w:spacing w:val="-8"/>
          <w:sz w:val="20"/>
        </w:rPr>
        <w:t> </w:t>
      </w:r>
      <w:r>
        <w:rPr>
          <w:sz w:val="20"/>
        </w:rPr>
        <w:t>various</w:t>
      </w:r>
      <w:r>
        <w:rPr>
          <w:spacing w:val="-3"/>
          <w:sz w:val="20"/>
        </w:rPr>
        <w:t> </w:t>
      </w:r>
      <w:r>
        <w:rPr>
          <w:sz w:val="20"/>
        </w:rPr>
        <w:t>reports</w:t>
      </w:r>
      <w:r>
        <w:rPr>
          <w:spacing w:val="-4"/>
          <w:sz w:val="20"/>
        </w:rPr>
        <w:t> </w:t>
      </w:r>
      <w:r>
        <w:rPr>
          <w:sz w:val="20"/>
        </w:rPr>
        <w:t>for</w:t>
      </w:r>
      <w:r>
        <w:rPr>
          <w:spacing w:val="-7"/>
          <w:sz w:val="20"/>
        </w:rPr>
        <w:t> </w:t>
      </w:r>
      <w:r>
        <w:rPr>
          <w:sz w:val="20"/>
        </w:rPr>
        <w:t>the</w:t>
      </w:r>
      <w:r>
        <w:rPr>
          <w:spacing w:val="-5"/>
          <w:sz w:val="20"/>
        </w:rPr>
        <w:t> </w:t>
      </w:r>
      <w:r>
        <w:rPr>
          <w:sz w:val="20"/>
        </w:rPr>
        <w:t>Audit</w:t>
      </w:r>
      <w:r>
        <w:rPr>
          <w:spacing w:val="-5"/>
          <w:sz w:val="20"/>
        </w:rPr>
        <w:t> </w:t>
      </w:r>
      <w:r>
        <w:rPr>
          <w:sz w:val="20"/>
        </w:rPr>
        <w:t>Committee</w:t>
      </w:r>
      <w:r>
        <w:rPr>
          <w:spacing w:val="-10"/>
          <w:sz w:val="20"/>
        </w:rPr>
        <w:t> </w:t>
      </w:r>
      <w:r>
        <w:rPr>
          <w:sz w:val="20"/>
        </w:rPr>
        <w:t>and</w:t>
      </w:r>
      <w:r>
        <w:rPr>
          <w:spacing w:val="-7"/>
          <w:sz w:val="20"/>
        </w:rPr>
        <w:t> </w:t>
      </w:r>
      <w:r>
        <w:rPr>
          <w:sz w:val="20"/>
        </w:rPr>
        <w:t>attend</w:t>
      </w:r>
      <w:r>
        <w:rPr>
          <w:spacing w:val="-7"/>
          <w:sz w:val="20"/>
        </w:rPr>
        <w:t> </w:t>
      </w:r>
      <w:r>
        <w:rPr>
          <w:sz w:val="20"/>
        </w:rPr>
        <w:t>its</w:t>
      </w:r>
      <w:r>
        <w:rPr>
          <w:spacing w:val="-3"/>
          <w:sz w:val="20"/>
        </w:rPr>
        <w:t> </w:t>
      </w:r>
      <w:r>
        <w:rPr>
          <w:spacing w:val="-2"/>
          <w:sz w:val="20"/>
        </w:rPr>
        <w:t>meetings.</w:t>
      </w:r>
    </w:p>
    <w:p>
      <w:pPr>
        <w:pStyle w:val="BodyText"/>
        <w:spacing w:before="10"/>
      </w:pPr>
    </w:p>
    <w:p>
      <w:pPr>
        <w:pStyle w:val="Heading3"/>
        <w:tabs>
          <w:tab w:pos="8229" w:val="left" w:leader="none"/>
        </w:tabs>
      </w:pPr>
      <w:r>
        <w:rPr/>
        <w:t>Budget</w:t>
      </w:r>
      <w:r>
        <w:rPr>
          <w:spacing w:val="-6"/>
        </w:rPr>
        <w:t> </w:t>
      </w:r>
      <w:r>
        <w:rPr>
          <w:spacing w:val="-2"/>
        </w:rPr>
        <w:t>resources</w:t>
      </w:r>
      <w:r>
        <w:rPr/>
        <w:tab/>
        <w:t>€794.9</w:t>
      </w:r>
      <w:r>
        <w:rPr>
          <w:spacing w:val="-8"/>
        </w:rPr>
        <w:t> </w:t>
      </w:r>
      <w:r>
        <w:rPr>
          <w:spacing w:val="-2"/>
        </w:rPr>
        <w:t>thousand</w:t>
      </w:r>
    </w:p>
    <w:p>
      <w:pPr>
        <w:pStyle w:val="BodyText"/>
        <w:spacing w:before="11"/>
        <w:rPr>
          <w:b/>
        </w:rPr>
      </w:pPr>
    </w:p>
    <w:p>
      <w:pPr>
        <w:pStyle w:val="ListParagraph"/>
        <w:numPr>
          <w:ilvl w:val="0"/>
          <w:numId w:val="4"/>
        </w:numPr>
        <w:tabs>
          <w:tab w:pos="2966" w:val="left" w:leader="none"/>
          <w:tab w:pos="2967" w:val="left" w:leader="none"/>
        </w:tabs>
        <w:spacing w:line="240" w:lineRule="auto" w:before="0" w:after="0"/>
        <w:ind w:left="2967" w:right="0" w:hanging="721"/>
        <w:jc w:val="left"/>
        <w:rPr>
          <w:sz w:val="20"/>
        </w:rPr>
      </w:pPr>
      <w:r>
        <w:rPr>
          <w:sz w:val="20"/>
        </w:rPr>
        <w:t>The</w:t>
      </w:r>
      <w:r>
        <w:rPr>
          <w:spacing w:val="-5"/>
          <w:sz w:val="20"/>
        </w:rPr>
        <w:t> </w:t>
      </w:r>
      <w:r>
        <w:rPr>
          <w:sz w:val="20"/>
        </w:rPr>
        <w:t>requested</w:t>
      </w:r>
      <w:r>
        <w:rPr>
          <w:spacing w:val="-6"/>
          <w:sz w:val="20"/>
        </w:rPr>
        <w:t> </w:t>
      </w:r>
      <w:r>
        <w:rPr>
          <w:sz w:val="20"/>
        </w:rPr>
        <w:t>amount</w:t>
      </w:r>
      <w:r>
        <w:rPr>
          <w:spacing w:val="-4"/>
          <w:sz w:val="20"/>
        </w:rPr>
        <w:t> </w:t>
      </w:r>
      <w:r>
        <w:rPr>
          <w:sz w:val="20"/>
        </w:rPr>
        <w:t>has</w:t>
      </w:r>
      <w:r>
        <w:rPr>
          <w:spacing w:val="-7"/>
          <w:sz w:val="20"/>
        </w:rPr>
        <w:t> </w:t>
      </w:r>
      <w:r>
        <w:rPr>
          <w:sz w:val="20"/>
        </w:rPr>
        <w:t>increased</w:t>
      </w:r>
      <w:r>
        <w:rPr>
          <w:spacing w:val="-6"/>
          <w:sz w:val="20"/>
        </w:rPr>
        <w:t> </w:t>
      </w:r>
      <w:r>
        <w:rPr>
          <w:sz w:val="20"/>
        </w:rPr>
        <w:t>by</w:t>
      </w:r>
      <w:r>
        <w:rPr>
          <w:spacing w:val="-6"/>
          <w:sz w:val="20"/>
        </w:rPr>
        <w:t> </w:t>
      </w:r>
      <w:r>
        <w:rPr>
          <w:sz w:val="20"/>
        </w:rPr>
        <w:t>€19.9</w:t>
      </w:r>
      <w:r>
        <w:rPr>
          <w:spacing w:val="-6"/>
          <w:sz w:val="20"/>
        </w:rPr>
        <w:t> </w:t>
      </w:r>
      <w:r>
        <w:rPr>
          <w:sz w:val="20"/>
        </w:rPr>
        <w:t>thousand</w:t>
      </w:r>
      <w:r>
        <w:rPr>
          <w:spacing w:val="-6"/>
          <w:sz w:val="20"/>
        </w:rPr>
        <w:t> </w:t>
      </w:r>
      <w:r>
        <w:rPr>
          <w:sz w:val="20"/>
        </w:rPr>
        <w:t>(2.6</w:t>
      </w:r>
      <w:r>
        <w:rPr>
          <w:spacing w:val="-6"/>
          <w:sz w:val="20"/>
        </w:rPr>
        <w:t> </w:t>
      </w:r>
      <w:r>
        <w:rPr>
          <w:sz w:val="20"/>
        </w:rPr>
        <w:t>per</w:t>
      </w:r>
      <w:r>
        <w:rPr>
          <w:spacing w:val="-5"/>
          <w:sz w:val="20"/>
        </w:rPr>
        <w:t> </w:t>
      </w:r>
      <w:r>
        <w:rPr>
          <w:spacing w:val="-2"/>
          <w:sz w:val="20"/>
        </w:rPr>
        <w:t>cent).</w:t>
      </w:r>
    </w:p>
    <w:p>
      <w:pPr>
        <w:pStyle w:val="BodyText"/>
        <w:spacing w:before="10"/>
      </w:pPr>
    </w:p>
    <w:p>
      <w:pPr>
        <w:pStyle w:val="Heading3"/>
        <w:tabs>
          <w:tab w:pos="8229" w:val="left" w:leader="none"/>
        </w:tabs>
        <w:spacing w:before="1"/>
      </w:pPr>
      <w:r>
        <w:rPr/>
        <w:t>Staff</w:t>
      </w:r>
      <w:r>
        <w:rPr>
          <w:spacing w:val="-2"/>
        </w:rPr>
        <w:t> resources</w:t>
      </w:r>
      <w:r>
        <w:rPr/>
        <w:tab/>
        <w:t>€743.7</w:t>
      </w:r>
      <w:r>
        <w:rPr>
          <w:spacing w:val="-3"/>
        </w:rPr>
        <w:t> </w:t>
      </w:r>
      <w:r>
        <w:rPr>
          <w:spacing w:val="-2"/>
        </w:rPr>
        <w:t>thousand</w:t>
      </w:r>
    </w:p>
    <w:p>
      <w:pPr>
        <w:pStyle w:val="BodyText"/>
        <w:spacing w:before="10"/>
        <w:rPr>
          <w:b/>
        </w:rPr>
      </w:pPr>
    </w:p>
    <w:p>
      <w:pPr>
        <w:pStyle w:val="ListParagraph"/>
        <w:numPr>
          <w:ilvl w:val="0"/>
          <w:numId w:val="4"/>
        </w:numPr>
        <w:tabs>
          <w:tab w:pos="2967" w:val="left" w:leader="none"/>
        </w:tabs>
        <w:spacing w:line="240" w:lineRule="auto" w:before="0" w:after="0"/>
        <w:ind w:left="2246" w:right="2237" w:firstLine="0"/>
        <w:jc w:val="both"/>
        <w:rPr>
          <w:sz w:val="20"/>
        </w:rPr>
      </w:pPr>
      <w:r>
        <w:rPr>
          <w:sz w:val="20"/>
        </w:rPr>
        <w:t>The OIA comprises four established posts and one GTA position (1.0 FTE). The OIA is not requesting any additional established posts, but requires that the current GTA position be continued.</w:t>
      </w:r>
    </w:p>
    <w:p>
      <w:pPr>
        <w:pStyle w:val="BodyText"/>
        <w:rPr>
          <w:sz w:val="21"/>
        </w:rPr>
      </w:pPr>
    </w:p>
    <w:p>
      <w:pPr>
        <w:tabs>
          <w:tab w:pos="8282" w:val="left" w:leader="none"/>
        </w:tabs>
        <w:spacing w:before="0"/>
        <w:ind w:left="2246" w:right="0" w:firstLine="0"/>
        <w:jc w:val="both"/>
        <w:rPr>
          <w:i/>
          <w:sz w:val="20"/>
        </w:rPr>
      </w:pPr>
      <w:r>
        <w:rPr>
          <w:i/>
          <w:sz w:val="20"/>
        </w:rPr>
        <w:t>Established</w:t>
      </w:r>
      <w:r>
        <w:rPr>
          <w:i/>
          <w:spacing w:val="-8"/>
          <w:sz w:val="20"/>
        </w:rPr>
        <w:t> </w:t>
      </w:r>
      <w:r>
        <w:rPr>
          <w:i/>
          <w:sz w:val="20"/>
        </w:rPr>
        <w:t>posts:</w:t>
      </w:r>
      <w:r>
        <w:rPr>
          <w:i/>
          <w:spacing w:val="-11"/>
          <w:sz w:val="20"/>
        </w:rPr>
        <w:t> </w:t>
      </w:r>
      <w:r>
        <w:rPr>
          <w:i/>
          <w:sz w:val="20"/>
        </w:rPr>
        <w:t>Professional</w:t>
      </w:r>
      <w:r>
        <w:rPr>
          <w:i/>
          <w:spacing w:val="-6"/>
          <w:sz w:val="20"/>
        </w:rPr>
        <w:t> </w:t>
      </w:r>
      <w:r>
        <w:rPr>
          <w:i/>
          <w:sz w:val="20"/>
        </w:rPr>
        <w:t>and</w:t>
      </w:r>
      <w:r>
        <w:rPr>
          <w:i/>
          <w:spacing w:val="-8"/>
          <w:sz w:val="20"/>
        </w:rPr>
        <w:t> </w:t>
      </w:r>
      <w:r>
        <w:rPr>
          <w:i/>
          <w:sz w:val="20"/>
        </w:rPr>
        <w:t>General</w:t>
      </w:r>
      <w:r>
        <w:rPr>
          <w:i/>
          <w:spacing w:val="-9"/>
          <w:sz w:val="20"/>
        </w:rPr>
        <w:t> </w:t>
      </w:r>
      <w:r>
        <w:rPr>
          <w:i/>
          <w:spacing w:val="-2"/>
          <w:sz w:val="20"/>
        </w:rPr>
        <w:t>Service</w:t>
      </w:r>
      <w:r>
        <w:rPr>
          <w:i/>
          <w:sz w:val="20"/>
        </w:rPr>
        <w:tab/>
        <w:t>€606.6</w:t>
      </w:r>
      <w:r>
        <w:rPr>
          <w:i/>
          <w:spacing w:val="-3"/>
          <w:sz w:val="20"/>
        </w:rPr>
        <w:t> </w:t>
      </w:r>
      <w:r>
        <w:rPr>
          <w:i/>
          <w:spacing w:val="-2"/>
          <w:sz w:val="20"/>
        </w:rPr>
        <w:t>thousand</w:t>
      </w:r>
    </w:p>
    <w:p>
      <w:pPr>
        <w:pStyle w:val="BodyText"/>
        <w:spacing w:before="10"/>
        <w:rPr>
          <w:i/>
        </w:rPr>
      </w:pPr>
    </w:p>
    <w:p>
      <w:pPr>
        <w:pStyle w:val="ListParagraph"/>
        <w:numPr>
          <w:ilvl w:val="0"/>
          <w:numId w:val="4"/>
        </w:numPr>
        <w:tabs>
          <w:tab w:pos="2967" w:val="left" w:leader="none"/>
        </w:tabs>
        <w:spacing w:line="240" w:lineRule="auto" w:before="1" w:after="0"/>
        <w:ind w:left="2246" w:right="2239" w:firstLine="0"/>
        <w:jc w:val="both"/>
        <w:rPr>
          <w:sz w:val="20"/>
        </w:rPr>
      </w:pPr>
      <w:r>
        <w:rPr>
          <w:sz w:val="20"/>
        </w:rPr>
        <w:t>One Director, Office of Internal Audit (D-1), who is responsible for the administrative management of the OIA, the formulation of a risk-based audit plan, the supervision of the audit work of auditors and the maintenance of a quality assurance and improvement</w:t>
      </w:r>
      <w:r>
        <w:rPr>
          <w:spacing w:val="-3"/>
          <w:sz w:val="20"/>
        </w:rPr>
        <w:t> </w:t>
      </w:r>
      <w:r>
        <w:rPr>
          <w:sz w:val="20"/>
        </w:rPr>
        <w:t>programme.</w:t>
      </w:r>
      <w:r>
        <w:rPr>
          <w:spacing w:val="-2"/>
          <w:sz w:val="20"/>
        </w:rPr>
        <w:t> </w:t>
      </w:r>
      <w:r>
        <w:rPr>
          <w:sz w:val="20"/>
        </w:rPr>
        <w:t>The</w:t>
      </w:r>
      <w:r>
        <w:rPr>
          <w:spacing w:val="-3"/>
          <w:sz w:val="20"/>
        </w:rPr>
        <w:t> </w:t>
      </w:r>
      <w:r>
        <w:rPr>
          <w:sz w:val="20"/>
        </w:rPr>
        <w:t>Director</w:t>
      </w:r>
      <w:r>
        <w:rPr>
          <w:spacing w:val="-9"/>
          <w:sz w:val="20"/>
        </w:rPr>
        <w:t> </w:t>
      </w:r>
      <w:r>
        <w:rPr>
          <w:sz w:val="20"/>
        </w:rPr>
        <w:t>provides</w:t>
      </w:r>
      <w:r>
        <w:rPr>
          <w:spacing w:val="-6"/>
          <w:sz w:val="20"/>
        </w:rPr>
        <w:t> </w:t>
      </w:r>
      <w:r>
        <w:rPr>
          <w:sz w:val="20"/>
        </w:rPr>
        <w:t>guarantees</w:t>
      </w:r>
      <w:r>
        <w:rPr>
          <w:spacing w:val="-11"/>
          <w:sz w:val="20"/>
        </w:rPr>
        <w:t> </w:t>
      </w:r>
      <w:r>
        <w:rPr>
          <w:sz w:val="20"/>
        </w:rPr>
        <w:t>to</w:t>
      </w:r>
      <w:r>
        <w:rPr>
          <w:spacing w:val="-5"/>
          <w:sz w:val="20"/>
        </w:rPr>
        <w:t> </w:t>
      </w:r>
      <w:r>
        <w:rPr>
          <w:sz w:val="20"/>
        </w:rPr>
        <w:t>the</w:t>
      </w:r>
      <w:r>
        <w:rPr>
          <w:spacing w:val="-8"/>
          <w:sz w:val="20"/>
        </w:rPr>
        <w:t> </w:t>
      </w:r>
      <w:r>
        <w:rPr>
          <w:sz w:val="20"/>
        </w:rPr>
        <w:t>three</w:t>
      </w:r>
      <w:r>
        <w:rPr>
          <w:spacing w:val="-3"/>
          <w:sz w:val="20"/>
        </w:rPr>
        <w:t> </w:t>
      </w:r>
      <w:r>
        <w:rPr>
          <w:sz w:val="20"/>
        </w:rPr>
        <w:t>Heads</w:t>
      </w:r>
      <w:r>
        <w:rPr>
          <w:spacing w:val="-6"/>
          <w:sz w:val="20"/>
        </w:rPr>
        <w:t> </w:t>
      </w:r>
      <w:r>
        <w:rPr>
          <w:sz w:val="20"/>
        </w:rPr>
        <w:t>of</w:t>
      </w:r>
      <w:r>
        <w:rPr>
          <w:spacing w:val="-5"/>
          <w:sz w:val="20"/>
        </w:rPr>
        <w:t> </w:t>
      </w:r>
      <w:r>
        <w:rPr>
          <w:sz w:val="20"/>
        </w:rPr>
        <w:t>Organs</w:t>
      </w:r>
      <w:r>
        <w:rPr>
          <w:spacing w:val="-6"/>
          <w:sz w:val="20"/>
        </w:rPr>
        <w:t> </w:t>
      </w:r>
      <w:r>
        <w:rPr>
          <w:sz w:val="20"/>
        </w:rPr>
        <w:t>on the effectiveness and efficiency of governance, risk management and internal controls. In addition, the Director prepares reports for the information of the Audit Committee.</w:t>
      </w:r>
    </w:p>
    <w:p>
      <w:pPr>
        <w:pStyle w:val="ListParagraph"/>
        <w:numPr>
          <w:ilvl w:val="0"/>
          <w:numId w:val="4"/>
        </w:numPr>
        <w:tabs>
          <w:tab w:pos="2967" w:val="left" w:leader="none"/>
        </w:tabs>
        <w:spacing w:line="240" w:lineRule="auto" w:before="118" w:after="0"/>
        <w:ind w:left="2246" w:right="2244" w:firstLine="0"/>
        <w:jc w:val="both"/>
        <w:rPr>
          <w:sz w:val="20"/>
        </w:rPr>
      </w:pPr>
      <w:r>
        <w:rPr>
          <w:sz w:val="20"/>
        </w:rPr>
        <w:t>One Senior Auditor (P-4) and one Internal Auditor (P-3) who perform audits, provide advisory services, review the implementation of recommendations and carry out additional tasks at the request of the Director.</w:t>
      </w:r>
    </w:p>
    <w:p>
      <w:pPr>
        <w:pStyle w:val="ListParagraph"/>
        <w:numPr>
          <w:ilvl w:val="0"/>
          <w:numId w:val="4"/>
        </w:numPr>
        <w:tabs>
          <w:tab w:pos="2967" w:val="left" w:leader="none"/>
        </w:tabs>
        <w:spacing w:line="240" w:lineRule="auto" w:before="121" w:after="0"/>
        <w:ind w:left="2246" w:right="2245" w:firstLine="0"/>
        <w:jc w:val="both"/>
        <w:rPr>
          <w:sz w:val="20"/>
        </w:rPr>
      </w:pPr>
      <w:r>
        <w:rPr>
          <w:sz w:val="20"/>
        </w:rPr>
        <w:t>One Internal Audit Assistant (GS-OL) who provides administrative support to the OIA and contributes to the performance of audits. The Audit Assistant also supports the Director in the management of the quality assurance and improvement programme, and the drafting of reports for the Audit Committee.</w:t>
      </w:r>
    </w:p>
    <w:p>
      <w:pPr>
        <w:pStyle w:val="BodyText"/>
        <w:spacing w:before="1"/>
        <w:rPr>
          <w:sz w:val="21"/>
        </w:rPr>
      </w:pPr>
    </w:p>
    <w:p>
      <w:pPr>
        <w:tabs>
          <w:tab w:pos="8287" w:val="left" w:leader="none"/>
        </w:tabs>
        <w:spacing w:before="0"/>
        <w:ind w:left="2246" w:right="0" w:firstLine="0"/>
        <w:jc w:val="both"/>
        <w:rPr>
          <w:i/>
          <w:sz w:val="20"/>
        </w:rPr>
      </w:pPr>
      <w:r>
        <w:rPr>
          <w:i/>
          <w:sz w:val="20"/>
        </w:rPr>
        <w:t>General</w:t>
      </w:r>
      <w:r>
        <w:rPr>
          <w:i/>
          <w:spacing w:val="-9"/>
          <w:sz w:val="20"/>
        </w:rPr>
        <w:t> </w:t>
      </w:r>
      <w:r>
        <w:rPr>
          <w:i/>
          <w:sz w:val="20"/>
        </w:rPr>
        <w:t>temporary</w:t>
      </w:r>
      <w:r>
        <w:rPr>
          <w:i/>
          <w:spacing w:val="-4"/>
          <w:sz w:val="20"/>
        </w:rPr>
        <w:t> </w:t>
      </w:r>
      <w:r>
        <w:rPr>
          <w:i/>
          <w:spacing w:val="-2"/>
          <w:sz w:val="20"/>
        </w:rPr>
        <w:t>assistance</w:t>
      </w:r>
      <w:r>
        <w:rPr>
          <w:i/>
          <w:sz w:val="20"/>
        </w:rPr>
        <w:tab/>
        <w:t>€137.1</w:t>
      </w:r>
      <w:r>
        <w:rPr>
          <w:i/>
          <w:spacing w:val="-8"/>
          <w:sz w:val="20"/>
        </w:rPr>
        <w:t> </w:t>
      </w:r>
      <w:r>
        <w:rPr>
          <w:i/>
          <w:spacing w:val="-2"/>
          <w:sz w:val="20"/>
        </w:rPr>
        <w:t>thousand</w:t>
      </w:r>
    </w:p>
    <w:p>
      <w:pPr>
        <w:pStyle w:val="BodyText"/>
        <w:spacing w:before="5"/>
        <w:rPr>
          <w:i/>
        </w:rPr>
      </w:pPr>
    </w:p>
    <w:p>
      <w:pPr>
        <w:pStyle w:val="ListParagraph"/>
        <w:numPr>
          <w:ilvl w:val="0"/>
          <w:numId w:val="4"/>
        </w:numPr>
        <w:tabs>
          <w:tab w:pos="2967" w:val="left" w:leader="none"/>
        </w:tabs>
        <w:spacing w:line="240" w:lineRule="auto" w:before="0" w:after="0"/>
        <w:ind w:left="2246" w:right="2238" w:firstLine="0"/>
        <w:jc w:val="both"/>
        <w:rPr>
          <w:sz w:val="20"/>
        </w:rPr>
      </w:pPr>
      <w:r>
        <w:rPr>
          <w:sz w:val="20"/>
        </w:rPr>
        <w:t>One </w:t>
      </w:r>
      <w:r>
        <w:rPr>
          <w:i/>
          <w:sz w:val="20"/>
        </w:rPr>
        <w:t>Auditor (Information Technology), (P-3), 12 months, Continued. Multi-year</w:t>
      </w:r>
      <w:r>
        <w:rPr>
          <w:sz w:val="20"/>
        </w:rPr>
        <w:t>. The OIA has one Auditor (Information Technology) (P-3) who is an expert in information and communication technologies (ICT) and auditing. The incumbent prepares and updates the yearly work plan for ICT activities and performs ICT audits and advisory services. The Auditor</w:t>
      </w:r>
      <w:r>
        <w:rPr>
          <w:spacing w:val="36"/>
          <w:sz w:val="20"/>
        </w:rPr>
        <w:t> </w:t>
      </w:r>
      <w:r>
        <w:rPr>
          <w:sz w:val="20"/>
        </w:rPr>
        <w:t>(Information</w:t>
      </w:r>
      <w:r>
        <w:rPr>
          <w:spacing w:val="40"/>
          <w:sz w:val="20"/>
        </w:rPr>
        <w:t> </w:t>
      </w:r>
      <w:r>
        <w:rPr>
          <w:sz w:val="20"/>
        </w:rPr>
        <w:t>Technology)</w:t>
      </w:r>
      <w:r>
        <w:rPr>
          <w:spacing w:val="36"/>
          <w:sz w:val="20"/>
        </w:rPr>
        <w:t> </w:t>
      </w:r>
      <w:r>
        <w:rPr>
          <w:sz w:val="20"/>
        </w:rPr>
        <w:t>also</w:t>
      </w:r>
      <w:r>
        <w:rPr>
          <w:spacing w:val="40"/>
          <w:sz w:val="20"/>
        </w:rPr>
        <w:t> </w:t>
      </w:r>
      <w:r>
        <w:rPr>
          <w:sz w:val="20"/>
        </w:rPr>
        <w:t>follows</w:t>
      </w:r>
      <w:r>
        <w:rPr>
          <w:spacing w:val="39"/>
          <w:sz w:val="20"/>
        </w:rPr>
        <w:t> </w:t>
      </w:r>
      <w:r>
        <w:rPr>
          <w:sz w:val="20"/>
        </w:rPr>
        <w:t>up</w:t>
      </w:r>
      <w:r>
        <w:rPr>
          <w:spacing w:val="40"/>
          <w:sz w:val="20"/>
        </w:rPr>
        <w:t> </w:t>
      </w:r>
      <w:r>
        <w:rPr>
          <w:sz w:val="20"/>
        </w:rPr>
        <w:t>on</w:t>
      </w:r>
      <w:r>
        <w:rPr>
          <w:spacing w:val="36"/>
          <w:sz w:val="20"/>
        </w:rPr>
        <w:t> </w:t>
      </w:r>
      <w:r>
        <w:rPr>
          <w:sz w:val="20"/>
        </w:rPr>
        <w:t>the</w:t>
      </w:r>
      <w:r>
        <w:rPr>
          <w:spacing w:val="37"/>
          <w:sz w:val="20"/>
        </w:rPr>
        <w:t> </w:t>
      </w:r>
      <w:r>
        <w:rPr>
          <w:sz w:val="20"/>
        </w:rPr>
        <w:t>implementation</w:t>
      </w:r>
      <w:r>
        <w:rPr>
          <w:spacing w:val="40"/>
          <w:sz w:val="20"/>
        </w:rPr>
        <w:t> </w:t>
      </w:r>
      <w:r>
        <w:rPr>
          <w:sz w:val="20"/>
        </w:rPr>
        <w:t>of</w:t>
      </w:r>
      <w:r>
        <w:rPr>
          <w:spacing w:val="36"/>
          <w:sz w:val="20"/>
        </w:rPr>
        <w:t> </w:t>
      </w:r>
      <w:r>
        <w:rPr>
          <w:sz w:val="20"/>
        </w:rPr>
        <w:t>ICT</w:t>
      </w:r>
      <w:r>
        <w:rPr>
          <w:spacing w:val="37"/>
          <w:sz w:val="20"/>
        </w:rPr>
        <w:t> </w:t>
      </w:r>
      <w:r>
        <w:rPr>
          <w:sz w:val="20"/>
        </w:rPr>
        <w:t>audit</w:t>
      </w:r>
    </w:p>
    <w:p>
      <w:pPr>
        <w:spacing w:after="0" w:line="240" w:lineRule="auto"/>
        <w:jc w:val="both"/>
        <w:rPr>
          <w:sz w:val="20"/>
        </w:rPr>
        <w:sectPr>
          <w:pgSz w:w="11910" w:h="16840"/>
          <w:pgMar w:header="953" w:footer="940" w:top="1140" w:bottom="1140" w:left="20" w:right="20"/>
        </w:sectPr>
      </w:pPr>
    </w:p>
    <w:p>
      <w:pPr>
        <w:pStyle w:val="BodyText"/>
        <w:spacing w:before="120"/>
        <w:ind w:left="2246" w:right="2240"/>
        <w:jc w:val="both"/>
      </w:pPr>
      <w:r>
        <w:rPr/>
        <w:t>recommendations,</w:t>
      </w:r>
      <w:r>
        <w:rPr>
          <w:spacing w:val="-13"/>
        </w:rPr>
        <w:t> </w:t>
      </w:r>
      <w:r>
        <w:rPr/>
        <w:t>which</w:t>
      </w:r>
      <w:r>
        <w:rPr>
          <w:spacing w:val="-12"/>
        </w:rPr>
        <w:t> </w:t>
      </w:r>
      <w:r>
        <w:rPr/>
        <w:t>cannot</w:t>
      </w:r>
      <w:r>
        <w:rPr>
          <w:spacing w:val="-13"/>
        </w:rPr>
        <w:t> </w:t>
      </w:r>
      <w:r>
        <w:rPr/>
        <w:t>effectively</w:t>
      </w:r>
      <w:r>
        <w:rPr>
          <w:spacing w:val="-12"/>
        </w:rPr>
        <w:t> </w:t>
      </w:r>
      <w:r>
        <w:rPr/>
        <w:t>be</w:t>
      </w:r>
      <w:r>
        <w:rPr>
          <w:spacing w:val="-12"/>
        </w:rPr>
        <w:t> </w:t>
      </w:r>
      <w:r>
        <w:rPr/>
        <w:t>done</w:t>
      </w:r>
      <w:r>
        <w:rPr>
          <w:spacing w:val="-7"/>
        </w:rPr>
        <w:t> </w:t>
      </w:r>
      <w:r>
        <w:rPr/>
        <w:t>by</w:t>
      </w:r>
      <w:r>
        <w:rPr>
          <w:spacing w:val="-13"/>
        </w:rPr>
        <w:t> </w:t>
      </w:r>
      <w:r>
        <w:rPr/>
        <w:t>the</w:t>
      </w:r>
      <w:r>
        <w:rPr>
          <w:spacing w:val="-11"/>
        </w:rPr>
        <w:t> </w:t>
      </w:r>
      <w:r>
        <w:rPr/>
        <w:t>other</w:t>
      </w:r>
      <w:r>
        <w:rPr>
          <w:spacing w:val="-13"/>
        </w:rPr>
        <w:t> </w:t>
      </w:r>
      <w:r>
        <w:rPr/>
        <w:t>auditors</w:t>
      </w:r>
      <w:r>
        <w:rPr>
          <w:spacing w:val="-12"/>
        </w:rPr>
        <w:t> </w:t>
      </w:r>
      <w:r>
        <w:rPr/>
        <w:t>in</w:t>
      </w:r>
      <w:r>
        <w:rPr>
          <w:spacing w:val="-13"/>
        </w:rPr>
        <w:t> </w:t>
      </w:r>
      <w:r>
        <w:rPr/>
        <w:t>established</w:t>
      </w:r>
      <w:r>
        <w:rPr>
          <w:spacing w:val="-8"/>
        </w:rPr>
        <w:t> </w:t>
      </w:r>
      <w:r>
        <w:rPr/>
        <w:t>posts on</w:t>
      </w:r>
      <w:r>
        <w:rPr>
          <w:spacing w:val="-4"/>
        </w:rPr>
        <w:t> </w:t>
      </w:r>
      <w:r>
        <w:rPr/>
        <w:t>account of</w:t>
      </w:r>
      <w:r>
        <w:rPr>
          <w:spacing w:val="-4"/>
        </w:rPr>
        <w:t> </w:t>
      </w:r>
      <w:r>
        <w:rPr/>
        <w:t>their</w:t>
      </w:r>
      <w:r>
        <w:rPr>
          <w:spacing w:val="-4"/>
        </w:rPr>
        <w:t> </w:t>
      </w:r>
      <w:r>
        <w:rPr/>
        <w:t>lack</w:t>
      </w:r>
      <w:r>
        <w:rPr>
          <w:spacing w:val="-4"/>
        </w:rPr>
        <w:t> </w:t>
      </w:r>
      <w:r>
        <w:rPr/>
        <w:t>of</w:t>
      </w:r>
      <w:r>
        <w:rPr>
          <w:spacing w:val="-8"/>
        </w:rPr>
        <w:t> </w:t>
      </w:r>
      <w:r>
        <w:rPr/>
        <w:t>technical</w:t>
      </w:r>
      <w:r>
        <w:rPr>
          <w:spacing w:val="-2"/>
        </w:rPr>
        <w:t> </w:t>
      </w:r>
      <w:r>
        <w:rPr/>
        <w:t>knowledge</w:t>
      </w:r>
      <w:r>
        <w:rPr>
          <w:spacing w:val="-2"/>
        </w:rPr>
        <w:t> </w:t>
      </w:r>
      <w:r>
        <w:rPr/>
        <w:t>in</w:t>
      </w:r>
      <w:r>
        <w:rPr>
          <w:spacing w:val="-4"/>
        </w:rPr>
        <w:t> </w:t>
      </w:r>
      <w:r>
        <w:rPr/>
        <w:t>this</w:t>
      </w:r>
      <w:r>
        <w:rPr>
          <w:spacing w:val="-5"/>
        </w:rPr>
        <w:t> </w:t>
      </w:r>
      <w:r>
        <w:rPr/>
        <w:t>field.</w:t>
      </w:r>
      <w:r>
        <w:rPr>
          <w:spacing w:val="-1"/>
        </w:rPr>
        <w:t> </w:t>
      </w:r>
      <w:r>
        <w:rPr/>
        <w:t>The</w:t>
      </w:r>
      <w:r>
        <w:rPr>
          <w:spacing w:val="-2"/>
        </w:rPr>
        <w:t> </w:t>
      </w:r>
      <w:r>
        <w:rPr/>
        <w:t>incumbent</w:t>
      </w:r>
      <w:r>
        <w:rPr>
          <w:spacing w:val="-2"/>
        </w:rPr>
        <w:t> </w:t>
      </w:r>
      <w:r>
        <w:rPr/>
        <w:t>also</w:t>
      </w:r>
      <w:r>
        <w:rPr>
          <w:spacing w:val="-4"/>
        </w:rPr>
        <w:t> </w:t>
      </w:r>
      <w:r>
        <w:rPr/>
        <w:t>contributes to the audits performed by the other auditors when these engagements include ICT-related </w:t>
      </w:r>
      <w:r>
        <w:rPr>
          <w:spacing w:val="-2"/>
        </w:rPr>
        <w:t>activities.</w:t>
      </w:r>
    </w:p>
    <w:p>
      <w:pPr>
        <w:pStyle w:val="BodyText"/>
        <w:rPr>
          <w:sz w:val="21"/>
        </w:rPr>
      </w:pPr>
    </w:p>
    <w:p>
      <w:pPr>
        <w:pStyle w:val="Heading3"/>
        <w:tabs>
          <w:tab w:pos="8325" w:val="left" w:leader="none"/>
        </w:tabs>
        <w:jc w:val="both"/>
      </w:pPr>
      <w:r>
        <w:rPr/>
        <w:t>Non-staff</w:t>
      </w:r>
      <w:r>
        <w:rPr>
          <w:spacing w:val="-4"/>
        </w:rPr>
        <w:t> </w:t>
      </w:r>
      <w:r>
        <w:rPr>
          <w:spacing w:val="-2"/>
        </w:rPr>
        <w:t>resources</w:t>
      </w:r>
      <w:r>
        <w:rPr/>
        <w:tab/>
        <w:t>€51.2</w:t>
      </w:r>
      <w:r>
        <w:rPr>
          <w:spacing w:val="-3"/>
        </w:rPr>
        <w:t> </w:t>
      </w:r>
      <w:r>
        <w:rPr>
          <w:spacing w:val="-2"/>
        </w:rPr>
        <w:t>thousand</w:t>
      </w:r>
    </w:p>
    <w:p>
      <w:pPr>
        <w:pStyle w:val="BodyText"/>
        <w:rPr>
          <w:b/>
          <w:sz w:val="21"/>
        </w:rPr>
      </w:pPr>
    </w:p>
    <w:p>
      <w:pPr>
        <w:pStyle w:val="ListParagraph"/>
        <w:numPr>
          <w:ilvl w:val="0"/>
          <w:numId w:val="4"/>
        </w:numPr>
        <w:tabs>
          <w:tab w:pos="2967" w:val="left" w:leader="none"/>
        </w:tabs>
        <w:spacing w:line="240" w:lineRule="auto" w:before="0" w:after="0"/>
        <w:ind w:left="2246" w:right="2244" w:firstLine="0"/>
        <w:jc w:val="both"/>
        <w:rPr>
          <w:sz w:val="20"/>
        </w:rPr>
      </w:pPr>
      <w:r>
        <w:rPr>
          <w:sz w:val="20"/>
        </w:rPr>
        <w:t>Non-staff resources are required for travel (recurrent), training (recurrent), and contractual services (not recurrent). The requested amount has decreased by €5.0 thousand (8.9 per cent). This decrease relates to the fact that more online training programmes have been made available, resulting in a decreased need for staff to travel to attend training.</w:t>
      </w:r>
    </w:p>
    <w:p>
      <w:pPr>
        <w:pStyle w:val="BodyText"/>
        <w:rPr>
          <w:sz w:val="21"/>
        </w:rPr>
      </w:pPr>
    </w:p>
    <w:p>
      <w:pPr>
        <w:tabs>
          <w:tab w:pos="8383" w:val="left" w:leader="none"/>
        </w:tabs>
        <w:spacing w:before="0"/>
        <w:ind w:left="2246" w:right="0" w:firstLine="0"/>
        <w:jc w:val="both"/>
        <w:rPr>
          <w:i/>
          <w:sz w:val="20"/>
        </w:rPr>
      </w:pPr>
      <w:r>
        <w:rPr>
          <w:i/>
          <w:spacing w:val="-2"/>
          <w:sz w:val="20"/>
        </w:rPr>
        <w:t>Travel</w:t>
      </w:r>
      <w:r>
        <w:rPr>
          <w:i/>
          <w:sz w:val="20"/>
        </w:rPr>
        <w:tab/>
        <w:t>€10.4</w:t>
      </w:r>
      <w:r>
        <w:rPr>
          <w:i/>
          <w:spacing w:val="-3"/>
          <w:sz w:val="20"/>
        </w:rPr>
        <w:t> </w:t>
      </w:r>
      <w:r>
        <w:rPr>
          <w:i/>
          <w:spacing w:val="-2"/>
          <w:sz w:val="20"/>
        </w:rPr>
        <w:t>thousand</w:t>
      </w:r>
    </w:p>
    <w:p>
      <w:pPr>
        <w:pStyle w:val="BodyText"/>
        <w:spacing w:before="6"/>
        <w:rPr>
          <w:i/>
        </w:rPr>
      </w:pPr>
    </w:p>
    <w:p>
      <w:pPr>
        <w:pStyle w:val="ListParagraph"/>
        <w:numPr>
          <w:ilvl w:val="0"/>
          <w:numId w:val="4"/>
        </w:numPr>
        <w:tabs>
          <w:tab w:pos="2967" w:val="left" w:leader="none"/>
        </w:tabs>
        <w:spacing w:line="240" w:lineRule="auto" w:before="0" w:after="0"/>
        <w:ind w:left="2246" w:right="2241" w:firstLine="0"/>
        <w:jc w:val="both"/>
        <w:rPr>
          <w:sz w:val="20"/>
        </w:rPr>
      </w:pPr>
      <w:r>
        <w:rPr>
          <w:sz w:val="20"/>
        </w:rPr>
        <w:t>The</w:t>
      </w:r>
      <w:r>
        <w:rPr>
          <w:spacing w:val="-3"/>
          <w:sz w:val="20"/>
        </w:rPr>
        <w:t> </w:t>
      </w:r>
      <w:r>
        <w:rPr>
          <w:sz w:val="20"/>
        </w:rPr>
        <w:t>requested</w:t>
      </w:r>
      <w:r>
        <w:rPr>
          <w:spacing w:val="-5"/>
          <w:sz w:val="20"/>
        </w:rPr>
        <w:t> </w:t>
      </w:r>
      <w:r>
        <w:rPr>
          <w:sz w:val="20"/>
        </w:rPr>
        <w:t>amount</w:t>
      </w:r>
      <w:r>
        <w:rPr>
          <w:spacing w:val="-1"/>
          <w:sz w:val="20"/>
        </w:rPr>
        <w:t> </w:t>
      </w:r>
      <w:r>
        <w:rPr>
          <w:sz w:val="20"/>
        </w:rPr>
        <w:t>has</w:t>
      </w:r>
      <w:r>
        <w:rPr>
          <w:spacing w:val="-1"/>
          <w:sz w:val="20"/>
        </w:rPr>
        <w:t> </w:t>
      </w:r>
      <w:r>
        <w:rPr>
          <w:sz w:val="20"/>
        </w:rPr>
        <w:t>decreased by €0.1</w:t>
      </w:r>
      <w:r>
        <w:rPr>
          <w:spacing w:val="-5"/>
          <w:sz w:val="20"/>
        </w:rPr>
        <w:t> </w:t>
      </w:r>
      <w:r>
        <w:rPr>
          <w:sz w:val="20"/>
        </w:rPr>
        <w:t>thousand (1.0</w:t>
      </w:r>
      <w:r>
        <w:rPr>
          <w:spacing w:val="-4"/>
          <w:sz w:val="20"/>
        </w:rPr>
        <w:t> </w:t>
      </w:r>
      <w:r>
        <w:rPr>
          <w:sz w:val="20"/>
        </w:rPr>
        <w:t>per cent).</w:t>
      </w:r>
      <w:r>
        <w:rPr>
          <w:spacing w:val="-2"/>
          <w:sz w:val="20"/>
        </w:rPr>
        <w:t> </w:t>
      </w:r>
      <w:r>
        <w:rPr>
          <w:sz w:val="20"/>
        </w:rPr>
        <w:t>It will enable the OIA to conduct audits in the country offices according to the 2023 Audit Plan.</w:t>
      </w:r>
    </w:p>
    <w:p>
      <w:pPr>
        <w:pStyle w:val="BodyText"/>
        <w:spacing w:before="11"/>
      </w:pPr>
    </w:p>
    <w:p>
      <w:pPr>
        <w:tabs>
          <w:tab w:pos="8383" w:val="left" w:leader="none"/>
        </w:tabs>
        <w:spacing w:before="0"/>
        <w:ind w:left="2246" w:right="0" w:firstLine="0"/>
        <w:jc w:val="both"/>
        <w:rPr>
          <w:i/>
          <w:sz w:val="20"/>
        </w:rPr>
      </w:pPr>
      <w:r>
        <w:rPr>
          <w:i/>
          <w:sz w:val="20"/>
        </w:rPr>
        <w:t>Contractual</w:t>
      </w:r>
      <w:r>
        <w:rPr>
          <w:i/>
          <w:spacing w:val="-4"/>
          <w:sz w:val="20"/>
        </w:rPr>
        <w:t> </w:t>
      </w:r>
      <w:r>
        <w:rPr>
          <w:i/>
          <w:spacing w:val="-2"/>
          <w:sz w:val="20"/>
        </w:rPr>
        <w:t>Services</w:t>
      </w:r>
      <w:r>
        <w:rPr>
          <w:i/>
          <w:sz w:val="20"/>
        </w:rPr>
        <w:tab/>
        <w:t>€20.7</w:t>
      </w:r>
      <w:r>
        <w:rPr>
          <w:i/>
          <w:spacing w:val="-3"/>
          <w:sz w:val="20"/>
        </w:rPr>
        <w:t> </w:t>
      </w:r>
      <w:r>
        <w:rPr>
          <w:i/>
          <w:spacing w:val="-2"/>
          <w:sz w:val="20"/>
        </w:rPr>
        <w:t>thousand</w:t>
      </w:r>
    </w:p>
    <w:p>
      <w:pPr>
        <w:pStyle w:val="BodyText"/>
        <w:spacing w:before="10"/>
        <w:rPr>
          <w:i/>
        </w:rPr>
      </w:pPr>
    </w:p>
    <w:p>
      <w:pPr>
        <w:pStyle w:val="ListParagraph"/>
        <w:numPr>
          <w:ilvl w:val="0"/>
          <w:numId w:val="4"/>
        </w:numPr>
        <w:tabs>
          <w:tab w:pos="2967" w:val="left" w:leader="none"/>
        </w:tabs>
        <w:spacing w:line="240" w:lineRule="auto" w:before="0" w:after="0"/>
        <w:ind w:left="2967" w:right="0" w:hanging="721"/>
        <w:jc w:val="both"/>
        <w:rPr>
          <w:sz w:val="20"/>
        </w:rPr>
      </w:pPr>
      <w:r>
        <w:rPr>
          <w:sz w:val="20"/>
        </w:rPr>
        <w:t>The</w:t>
      </w:r>
      <w:r>
        <w:rPr>
          <w:spacing w:val="-5"/>
          <w:sz w:val="20"/>
        </w:rPr>
        <w:t> </w:t>
      </w:r>
      <w:r>
        <w:rPr>
          <w:sz w:val="20"/>
        </w:rPr>
        <w:t>requested</w:t>
      </w:r>
      <w:r>
        <w:rPr>
          <w:spacing w:val="-6"/>
          <w:sz w:val="20"/>
        </w:rPr>
        <w:t> </w:t>
      </w:r>
      <w:r>
        <w:rPr>
          <w:sz w:val="20"/>
        </w:rPr>
        <w:t>amount</w:t>
      </w:r>
      <w:r>
        <w:rPr>
          <w:spacing w:val="-3"/>
          <w:sz w:val="20"/>
        </w:rPr>
        <w:t> </w:t>
      </w:r>
      <w:r>
        <w:rPr>
          <w:sz w:val="20"/>
        </w:rPr>
        <w:t>has</w:t>
      </w:r>
      <w:r>
        <w:rPr>
          <w:spacing w:val="-8"/>
          <w:sz w:val="20"/>
        </w:rPr>
        <w:t> </w:t>
      </w:r>
      <w:r>
        <w:rPr>
          <w:sz w:val="20"/>
        </w:rPr>
        <w:t>remained</w:t>
      </w:r>
      <w:r>
        <w:rPr>
          <w:spacing w:val="-6"/>
          <w:sz w:val="20"/>
        </w:rPr>
        <w:t> </w:t>
      </w:r>
      <w:r>
        <w:rPr>
          <w:sz w:val="20"/>
        </w:rPr>
        <w:t>the</w:t>
      </w:r>
      <w:r>
        <w:rPr>
          <w:spacing w:val="-4"/>
          <w:sz w:val="20"/>
        </w:rPr>
        <w:t> </w:t>
      </w:r>
      <w:r>
        <w:rPr>
          <w:sz w:val="20"/>
        </w:rPr>
        <w:t>same</w:t>
      </w:r>
      <w:r>
        <w:rPr>
          <w:spacing w:val="-5"/>
          <w:sz w:val="20"/>
        </w:rPr>
        <w:t> </w:t>
      </w:r>
      <w:r>
        <w:rPr>
          <w:sz w:val="20"/>
        </w:rPr>
        <w:t>as</w:t>
      </w:r>
      <w:r>
        <w:rPr>
          <w:spacing w:val="-7"/>
          <w:sz w:val="20"/>
        </w:rPr>
        <w:t> </w:t>
      </w:r>
      <w:r>
        <w:rPr>
          <w:sz w:val="20"/>
        </w:rPr>
        <w:t>that</w:t>
      </w:r>
      <w:r>
        <w:rPr>
          <w:spacing w:val="-5"/>
          <w:sz w:val="20"/>
        </w:rPr>
        <w:t> </w:t>
      </w:r>
      <w:r>
        <w:rPr>
          <w:sz w:val="20"/>
        </w:rPr>
        <w:t>approved</w:t>
      </w:r>
      <w:r>
        <w:rPr>
          <w:spacing w:val="-2"/>
          <w:sz w:val="20"/>
        </w:rPr>
        <w:t> </w:t>
      </w:r>
      <w:r>
        <w:rPr>
          <w:sz w:val="20"/>
        </w:rPr>
        <w:t>for</w:t>
      </w:r>
      <w:r>
        <w:rPr>
          <w:spacing w:val="-1"/>
          <w:sz w:val="20"/>
        </w:rPr>
        <w:t> </w:t>
      </w:r>
      <w:r>
        <w:rPr>
          <w:spacing w:val="-2"/>
          <w:sz w:val="20"/>
        </w:rPr>
        <w:t>2022.</w:t>
      </w:r>
    </w:p>
    <w:p>
      <w:pPr>
        <w:pStyle w:val="ListParagraph"/>
        <w:numPr>
          <w:ilvl w:val="0"/>
          <w:numId w:val="4"/>
        </w:numPr>
        <w:tabs>
          <w:tab w:pos="2967" w:val="left" w:leader="none"/>
        </w:tabs>
        <w:spacing w:line="240" w:lineRule="auto" w:before="121" w:after="0"/>
        <w:ind w:left="2246" w:right="2239" w:firstLine="0"/>
        <w:jc w:val="both"/>
        <w:rPr>
          <w:sz w:val="20"/>
        </w:rPr>
      </w:pPr>
      <w:r>
        <w:rPr>
          <w:sz w:val="20"/>
        </w:rPr>
        <w:t>The €20.7 thousand requested by the OIA to cover its share of the costs for the upgrade to TeamMate+ has not been fully used. In this co-funded project, the OIA’s costs are</w:t>
      </w:r>
      <w:r>
        <w:rPr>
          <w:spacing w:val="-13"/>
          <w:sz w:val="20"/>
        </w:rPr>
        <w:t> </w:t>
      </w:r>
      <w:r>
        <w:rPr>
          <w:sz w:val="20"/>
        </w:rPr>
        <w:t>for</w:t>
      </w:r>
      <w:r>
        <w:rPr>
          <w:spacing w:val="-12"/>
          <w:sz w:val="20"/>
        </w:rPr>
        <w:t> </w:t>
      </w:r>
      <w:r>
        <w:rPr>
          <w:sz w:val="20"/>
        </w:rPr>
        <w:t>the</w:t>
      </w:r>
      <w:r>
        <w:rPr>
          <w:spacing w:val="-12"/>
          <w:sz w:val="20"/>
        </w:rPr>
        <w:t> </w:t>
      </w:r>
      <w:r>
        <w:rPr>
          <w:sz w:val="20"/>
        </w:rPr>
        <w:t>business-side</w:t>
      </w:r>
      <w:r>
        <w:rPr>
          <w:spacing w:val="-13"/>
          <w:sz w:val="20"/>
        </w:rPr>
        <w:t> </w:t>
      </w:r>
      <w:r>
        <w:rPr>
          <w:sz w:val="20"/>
        </w:rPr>
        <w:t>preparation</w:t>
      </w:r>
      <w:r>
        <w:rPr>
          <w:spacing w:val="-8"/>
          <w:sz w:val="20"/>
        </w:rPr>
        <w:t> </w:t>
      </w:r>
      <w:r>
        <w:rPr>
          <w:sz w:val="20"/>
        </w:rPr>
        <w:t>of</w:t>
      </w:r>
      <w:r>
        <w:rPr>
          <w:spacing w:val="-9"/>
          <w:sz w:val="20"/>
        </w:rPr>
        <w:t> </w:t>
      </w:r>
      <w:r>
        <w:rPr>
          <w:sz w:val="20"/>
        </w:rPr>
        <w:t>the</w:t>
      </w:r>
      <w:r>
        <w:rPr>
          <w:spacing w:val="-12"/>
          <w:sz w:val="20"/>
        </w:rPr>
        <w:t> </w:t>
      </w:r>
      <w:r>
        <w:rPr>
          <w:sz w:val="20"/>
        </w:rPr>
        <w:t>upgrade</w:t>
      </w:r>
      <w:r>
        <w:rPr>
          <w:spacing w:val="-12"/>
          <w:sz w:val="20"/>
        </w:rPr>
        <w:t> </w:t>
      </w:r>
      <w:r>
        <w:rPr>
          <w:sz w:val="20"/>
        </w:rPr>
        <w:t>and</w:t>
      </w:r>
      <w:r>
        <w:rPr>
          <w:spacing w:val="-9"/>
          <w:sz w:val="20"/>
        </w:rPr>
        <w:t> </w:t>
      </w:r>
      <w:r>
        <w:rPr>
          <w:sz w:val="20"/>
        </w:rPr>
        <w:t>IMSS’s</w:t>
      </w:r>
      <w:r>
        <w:rPr>
          <w:spacing w:val="-11"/>
          <w:sz w:val="20"/>
        </w:rPr>
        <w:t> </w:t>
      </w:r>
      <w:r>
        <w:rPr>
          <w:sz w:val="20"/>
        </w:rPr>
        <w:t>costs</w:t>
      </w:r>
      <w:r>
        <w:rPr>
          <w:spacing w:val="-13"/>
          <w:sz w:val="20"/>
        </w:rPr>
        <w:t> </w:t>
      </w:r>
      <w:r>
        <w:rPr>
          <w:sz w:val="20"/>
        </w:rPr>
        <w:t>are</w:t>
      </w:r>
      <w:r>
        <w:rPr>
          <w:spacing w:val="-8"/>
          <w:sz w:val="20"/>
        </w:rPr>
        <w:t> </w:t>
      </w:r>
      <w:r>
        <w:rPr>
          <w:sz w:val="20"/>
        </w:rPr>
        <w:t>for</w:t>
      </w:r>
      <w:r>
        <w:rPr>
          <w:spacing w:val="-13"/>
          <w:sz w:val="20"/>
        </w:rPr>
        <w:t> </w:t>
      </w:r>
      <w:r>
        <w:rPr>
          <w:sz w:val="20"/>
        </w:rPr>
        <w:t>the</w:t>
      </w:r>
      <w:r>
        <w:rPr>
          <w:spacing w:val="-12"/>
          <w:sz w:val="20"/>
        </w:rPr>
        <w:t> </w:t>
      </w:r>
      <w:r>
        <w:rPr>
          <w:sz w:val="20"/>
        </w:rPr>
        <w:t>expenditures associated with licences and the technical part of the upgrade. The project can only be executed</w:t>
      </w:r>
      <w:r>
        <w:rPr>
          <w:spacing w:val="-7"/>
          <w:sz w:val="20"/>
        </w:rPr>
        <w:t> </w:t>
      </w:r>
      <w:r>
        <w:rPr>
          <w:sz w:val="20"/>
        </w:rPr>
        <w:t>if</w:t>
      </w:r>
      <w:r>
        <w:rPr>
          <w:spacing w:val="-12"/>
          <w:sz w:val="20"/>
        </w:rPr>
        <w:t> </w:t>
      </w:r>
      <w:r>
        <w:rPr>
          <w:sz w:val="20"/>
        </w:rPr>
        <w:t>the</w:t>
      </w:r>
      <w:r>
        <w:rPr>
          <w:spacing w:val="-6"/>
          <w:sz w:val="20"/>
        </w:rPr>
        <w:t> </w:t>
      </w:r>
      <w:r>
        <w:rPr>
          <w:sz w:val="20"/>
        </w:rPr>
        <w:t>funds</w:t>
      </w:r>
      <w:r>
        <w:rPr>
          <w:spacing w:val="-9"/>
          <w:sz w:val="20"/>
        </w:rPr>
        <w:t> </w:t>
      </w:r>
      <w:r>
        <w:rPr>
          <w:sz w:val="20"/>
        </w:rPr>
        <w:t>requested</w:t>
      </w:r>
      <w:r>
        <w:rPr>
          <w:spacing w:val="-7"/>
          <w:sz w:val="20"/>
        </w:rPr>
        <w:t> </w:t>
      </w:r>
      <w:r>
        <w:rPr>
          <w:sz w:val="20"/>
        </w:rPr>
        <w:t>by</w:t>
      </w:r>
      <w:r>
        <w:rPr>
          <w:spacing w:val="-12"/>
          <w:sz w:val="20"/>
        </w:rPr>
        <w:t> </w:t>
      </w:r>
      <w:r>
        <w:rPr>
          <w:sz w:val="20"/>
        </w:rPr>
        <w:t>the</w:t>
      </w:r>
      <w:r>
        <w:rPr>
          <w:spacing w:val="-6"/>
          <w:sz w:val="20"/>
        </w:rPr>
        <w:t> </w:t>
      </w:r>
      <w:r>
        <w:rPr>
          <w:sz w:val="20"/>
        </w:rPr>
        <w:t>OIA</w:t>
      </w:r>
      <w:r>
        <w:rPr>
          <w:spacing w:val="-14"/>
          <w:sz w:val="20"/>
        </w:rPr>
        <w:t> </w:t>
      </w:r>
      <w:r>
        <w:rPr>
          <w:sz w:val="20"/>
        </w:rPr>
        <w:t>and</w:t>
      </w:r>
      <w:r>
        <w:rPr>
          <w:spacing w:val="-7"/>
          <w:sz w:val="20"/>
        </w:rPr>
        <w:t> </w:t>
      </w:r>
      <w:r>
        <w:rPr>
          <w:sz w:val="20"/>
        </w:rPr>
        <w:t>IMSS</w:t>
      </w:r>
      <w:r>
        <w:rPr>
          <w:spacing w:val="-9"/>
          <w:sz w:val="20"/>
        </w:rPr>
        <w:t> </w:t>
      </w:r>
      <w:r>
        <w:rPr>
          <w:sz w:val="20"/>
        </w:rPr>
        <w:t>in</w:t>
      </w:r>
      <w:r>
        <w:rPr>
          <w:spacing w:val="-7"/>
          <w:sz w:val="20"/>
        </w:rPr>
        <w:t> </w:t>
      </w:r>
      <w:r>
        <w:rPr>
          <w:sz w:val="20"/>
        </w:rPr>
        <w:t>their</w:t>
      </w:r>
      <w:r>
        <w:rPr>
          <w:spacing w:val="-7"/>
          <w:sz w:val="20"/>
        </w:rPr>
        <w:t> </w:t>
      </w:r>
      <w:r>
        <w:rPr>
          <w:sz w:val="20"/>
        </w:rPr>
        <w:t>budget</w:t>
      </w:r>
      <w:r>
        <w:rPr>
          <w:spacing w:val="-6"/>
          <w:sz w:val="20"/>
        </w:rPr>
        <w:t> </w:t>
      </w:r>
      <w:r>
        <w:rPr>
          <w:sz w:val="20"/>
        </w:rPr>
        <w:t>proposals</w:t>
      </w:r>
      <w:r>
        <w:rPr>
          <w:spacing w:val="-9"/>
          <w:sz w:val="20"/>
        </w:rPr>
        <w:t> </w:t>
      </w:r>
      <w:r>
        <w:rPr>
          <w:sz w:val="20"/>
        </w:rPr>
        <w:t>are</w:t>
      </w:r>
      <w:r>
        <w:rPr>
          <w:spacing w:val="-6"/>
          <w:sz w:val="20"/>
        </w:rPr>
        <w:t> </w:t>
      </w:r>
      <w:r>
        <w:rPr>
          <w:sz w:val="20"/>
        </w:rPr>
        <w:t>approved.</w:t>
      </w:r>
    </w:p>
    <w:p>
      <w:pPr>
        <w:pStyle w:val="ListParagraph"/>
        <w:numPr>
          <w:ilvl w:val="0"/>
          <w:numId w:val="4"/>
        </w:numPr>
        <w:tabs>
          <w:tab w:pos="2967" w:val="left" w:leader="none"/>
        </w:tabs>
        <w:spacing w:line="240" w:lineRule="auto" w:before="123" w:after="0"/>
        <w:ind w:left="2246" w:right="2240" w:firstLine="0"/>
        <w:jc w:val="both"/>
        <w:rPr>
          <w:sz w:val="20"/>
        </w:rPr>
      </w:pPr>
      <w:r>
        <w:rPr>
          <w:sz w:val="20"/>
        </w:rPr>
        <w:t>Although the OIA budget request for this project was approved, IMSS’s budget request</w:t>
      </w:r>
      <w:r>
        <w:rPr>
          <w:spacing w:val="-13"/>
          <w:sz w:val="20"/>
        </w:rPr>
        <w:t> </w:t>
      </w:r>
      <w:r>
        <w:rPr>
          <w:sz w:val="20"/>
        </w:rPr>
        <w:t>was</w:t>
      </w:r>
      <w:r>
        <w:rPr>
          <w:spacing w:val="-11"/>
          <w:sz w:val="20"/>
        </w:rPr>
        <w:t> </w:t>
      </w:r>
      <w:r>
        <w:rPr>
          <w:sz w:val="20"/>
        </w:rPr>
        <w:t>rejected</w:t>
      </w:r>
      <w:r>
        <w:rPr>
          <w:spacing w:val="-9"/>
          <w:sz w:val="20"/>
        </w:rPr>
        <w:t> </w:t>
      </w:r>
      <w:r>
        <w:rPr>
          <w:sz w:val="20"/>
        </w:rPr>
        <w:t>by</w:t>
      </w:r>
      <w:r>
        <w:rPr>
          <w:spacing w:val="-9"/>
          <w:sz w:val="20"/>
        </w:rPr>
        <w:t> </w:t>
      </w:r>
      <w:r>
        <w:rPr>
          <w:sz w:val="20"/>
        </w:rPr>
        <w:t>the</w:t>
      </w:r>
      <w:r>
        <w:rPr>
          <w:spacing w:val="-12"/>
          <w:sz w:val="20"/>
        </w:rPr>
        <w:t> </w:t>
      </w:r>
      <w:r>
        <w:rPr>
          <w:sz w:val="20"/>
        </w:rPr>
        <w:t>Assembly</w:t>
      </w:r>
      <w:r>
        <w:rPr>
          <w:spacing w:val="-13"/>
          <w:sz w:val="20"/>
        </w:rPr>
        <w:t> </w:t>
      </w:r>
      <w:r>
        <w:rPr>
          <w:sz w:val="20"/>
        </w:rPr>
        <w:t>of</w:t>
      </w:r>
      <w:r>
        <w:rPr>
          <w:spacing w:val="-9"/>
          <w:sz w:val="20"/>
        </w:rPr>
        <w:t> </w:t>
      </w:r>
      <w:r>
        <w:rPr>
          <w:sz w:val="20"/>
        </w:rPr>
        <w:t>States</w:t>
      </w:r>
      <w:r>
        <w:rPr>
          <w:spacing w:val="-11"/>
          <w:sz w:val="20"/>
        </w:rPr>
        <w:t> </w:t>
      </w:r>
      <w:r>
        <w:rPr>
          <w:sz w:val="20"/>
        </w:rPr>
        <w:t>Parties.</w:t>
      </w:r>
      <w:r>
        <w:rPr>
          <w:spacing w:val="-12"/>
          <w:sz w:val="20"/>
        </w:rPr>
        <w:t> </w:t>
      </w:r>
      <w:r>
        <w:rPr>
          <w:sz w:val="20"/>
        </w:rPr>
        <w:t>IMSS</w:t>
      </w:r>
      <w:r>
        <w:rPr>
          <w:spacing w:val="-13"/>
          <w:sz w:val="20"/>
        </w:rPr>
        <w:t> </w:t>
      </w:r>
      <w:r>
        <w:rPr>
          <w:sz w:val="20"/>
        </w:rPr>
        <w:t>was</w:t>
      </w:r>
      <w:r>
        <w:rPr>
          <w:spacing w:val="-11"/>
          <w:sz w:val="20"/>
        </w:rPr>
        <w:t> </w:t>
      </w:r>
      <w:r>
        <w:rPr>
          <w:sz w:val="20"/>
        </w:rPr>
        <w:t>therefore</w:t>
      </w:r>
      <w:r>
        <w:rPr>
          <w:spacing w:val="-12"/>
          <w:sz w:val="20"/>
        </w:rPr>
        <w:t> </w:t>
      </w:r>
      <w:r>
        <w:rPr>
          <w:sz w:val="20"/>
        </w:rPr>
        <w:t>unable</w:t>
      </w:r>
      <w:r>
        <w:rPr>
          <w:spacing w:val="-8"/>
          <w:sz w:val="20"/>
        </w:rPr>
        <w:t> </w:t>
      </w:r>
      <w:r>
        <w:rPr>
          <w:sz w:val="20"/>
        </w:rPr>
        <w:t>to</w:t>
      </w:r>
      <w:r>
        <w:rPr>
          <w:spacing w:val="-9"/>
          <w:sz w:val="20"/>
        </w:rPr>
        <w:t> </w:t>
      </w:r>
      <w:r>
        <w:rPr>
          <w:sz w:val="20"/>
        </w:rPr>
        <w:t>support the</w:t>
      </w:r>
      <w:r>
        <w:rPr>
          <w:spacing w:val="-7"/>
          <w:sz w:val="20"/>
        </w:rPr>
        <w:t> </w:t>
      </w:r>
      <w:r>
        <w:rPr>
          <w:sz w:val="20"/>
        </w:rPr>
        <w:t>OIA</w:t>
      </w:r>
      <w:r>
        <w:rPr>
          <w:spacing w:val="-5"/>
          <w:sz w:val="20"/>
        </w:rPr>
        <w:t> </w:t>
      </w:r>
      <w:r>
        <w:rPr>
          <w:sz w:val="20"/>
        </w:rPr>
        <w:t>in</w:t>
      </w:r>
      <w:r>
        <w:rPr>
          <w:spacing w:val="-4"/>
          <w:sz w:val="20"/>
        </w:rPr>
        <w:t> </w:t>
      </w:r>
      <w:r>
        <w:rPr>
          <w:sz w:val="20"/>
        </w:rPr>
        <w:t>the</w:t>
      </w:r>
      <w:r>
        <w:rPr>
          <w:spacing w:val="-7"/>
          <w:sz w:val="20"/>
        </w:rPr>
        <w:t> </w:t>
      </w:r>
      <w:r>
        <w:rPr>
          <w:sz w:val="20"/>
        </w:rPr>
        <w:t>upgrade</w:t>
      </w:r>
      <w:r>
        <w:rPr>
          <w:spacing w:val="-7"/>
          <w:sz w:val="20"/>
        </w:rPr>
        <w:t> </w:t>
      </w:r>
      <w:r>
        <w:rPr>
          <w:sz w:val="20"/>
        </w:rPr>
        <w:t>to</w:t>
      </w:r>
      <w:r>
        <w:rPr>
          <w:spacing w:val="-13"/>
          <w:sz w:val="20"/>
        </w:rPr>
        <w:t> </w:t>
      </w:r>
      <w:r>
        <w:rPr>
          <w:sz w:val="20"/>
        </w:rPr>
        <w:t>TeamMate+</w:t>
      </w:r>
      <w:r>
        <w:rPr>
          <w:spacing w:val="-6"/>
          <w:sz w:val="20"/>
        </w:rPr>
        <w:t> </w:t>
      </w:r>
      <w:r>
        <w:rPr>
          <w:sz w:val="20"/>
        </w:rPr>
        <w:t>in</w:t>
      </w:r>
      <w:r>
        <w:rPr>
          <w:spacing w:val="-8"/>
          <w:sz w:val="20"/>
        </w:rPr>
        <w:t> </w:t>
      </w:r>
      <w:r>
        <w:rPr>
          <w:sz w:val="20"/>
        </w:rPr>
        <w:t>2022,</w:t>
      </w:r>
      <w:r>
        <w:rPr>
          <w:spacing w:val="-1"/>
          <w:sz w:val="20"/>
        </w:rPr>
        <w:t> </w:t>
      </w:r>
      <w:r>
        <w:rPr>
          <w:sz w:val="20"/>
        </w:rPr>
        <w:t>resulting</w:t>
      </w:r>
      <w:r>
        <w:rPr>
          <w:spacing w:val="-8"/>
          <w:sz w:val="20"/>
        </w:rPr>
        <w:t> </w:t>
      </w:r>
      <w:r>
        <w:rPr>
          <w:sz w:val="20"/>
        </w:rPr>
        <w:t>in</w:t>
      </w:r>
      <w:r>
        <w:rPr>
          <w:spacing w:val="-4"/>
          <w:sz w:val="20"/>
        </w:rPr>
        <w:t> </w:t>
      </w:r>
      <w:r>
        <w:rPr>
          <w:sz w:val="20"/>
        </w:rPr>
        <w:t>its</w:t>
      </w:r>
      <w:r>
        <w:rPr>
          <w:spacing w:val="-5"/>
          <w:sz w:val="20"/>
        </w:rPr>
        <w:t> </w:t>
      </w:r>
      <w:r>
        <w:rPr>
          <w:sz w:val="20"/>
        </w:rPr>
        <w:t>cancellation.</w:t>
      </w:r>
      <w:r>
        <w:rPr>
          <w:spacing w:val="-1"/>
          <w:sz w:val="20"/>
        </w:rPr>
        <w:t> </w:t>
      </w:r>
      <w:r>
        <w:rPr>
          <w:sz w:val="20"/>
        </w:rPr>
        <w:t>In</w:t>
      </w:r>
      <w:r>
        <w:rPr>
          <w:spacing w:val="-13"/>
          <w:sz w:val="20"/>
        </w:rPr>
        <w:t> </w:t>
      </w:r>
      <w:r>
        <w:rPr>
          <w:sz w:val="20"/>
        </w:rPr>
        <w:t>January</w:t>
      </w:r>
      <w:r>
        <w:rPr>
          <w:spacing w:val="-7"/>
          <w:sz w:val="20"/>
        </w:rPr>
        <w:t> </w:t>
      </w:r>
      <w:r>
        <w:rPr>
          <w:sz w:val="20"/>
        </w:rPr>
        <w:t>2022, the OIA informed the Budget Section about the cancellation of the project and sought clarification</w:t>
      </w:r>
      <w:r>
        <w:rPr>
          <w:spacing w:val="-5"/>
          <w:sz w:val="20"/>
        </w:rPr>
        <w:t> </w:t>
      </w:r>
      <w:r>
        <w:rPr>
          <w:sz w:val="20"/>
        </w:rPr>
        <w:t>on</w:t>
      </w:r>
      <w:r>
        <w:rPr>
          <w:spacing w:val="-5"/>
          <w:sz w:val="20"/>
        </w:rPr>
        <w:t> </w:t>
      </w:r>
      <w:r>
        <w:rPr>
          <w:sz w:val="20"/>
        </w:rPr>
        <w:t>how</w:t>
      </w:r>
      <w:r>
        <w:rPr>
          <w:spacing w:val="-11"/>
          <w:sz w:val="20"/>
        </w:rPr>
        <w:t> </w:t>
      </w:r>
      <w:r>
        <w:rPr>
          <w:sz w:val="20"/>
        </w:rPr>
        <w:t>to</w:t>
      </w:r>
      <w:r>
        <w:rPr>
          <w:spacing w:val="-9"/>
          <w:sz w:val="20"/>
        </w:rPr>
        <w:t> </w:t>
      </w:r>
      <w:r>
        <w:rPr>
          <w:sz w:val="20"/>
        </w:rPr>
        <w:t>return</w:t>
      </w:r>
      <w:r>
        <w:rPr>
          <w:spacing w:val="-5"/>
          <w:sz w:val="20"/>
        </w:rPr>
        <w:t> </w:t>
      </w:r>
      <w:r>
        <w:rPr>
          <w:sz w:val="20"/>
        </w:rPr>
        <w:t>the</w:t>
      </w:r>
      <w:r>
        <w:rPr>
          <w:spacing w:val="-8"/>
          <w:sz w:val="20"/>
        </w:rPr>
        <w:t> </w:t>
      </w:r>
      <w:r>
        <w:rPr>
          <w:sz w:val="20"/>
        </w:rPr>
        <w:t>approved</w:t>
      </w:r>
      <w:r>
        <w:rPr>
          <w:spacing w:val="-5"/>
          <w:sz w:val="20"/>
        </w:rPr>
        <w:t> </w:t>
      </w:r>
      <w:r>
        <w:rPr>
          <w:sz w:val="20"/>
        </w:rPr>
        <w:t>funds.</w:t>
      </w:r>
      <w:r>
        <w:rPr>
          <w:spacing w:val="-7"/>
          <w:sz w:val="20"/>
        </w:rPr>
        <w:t> </w:t>
      </w:r>
      <w:r>
        <w:rPr>
          <w:sz w:val="20"/>
        </w:rPr>
        <w:t>In</w:t>
      </w:r>
      <w:r>
        <w:rPr>
          <w:spacing w:val="-9"/>
          <w:sz w:val="20"/>
        </w:rPr>
        <w:t> </w:t>
      </w:r>
      <w:r>
        <w:rPr>
          <w:sz w:val="20"/>
        </w:rPr>
        <w:t>April</w:t>
      </w:r>
      <w:r>
        <w:rPr>
          <w:spacing w:val="-3"/>
          <w:sz w:val="20"/>
        </w:rPr>
        <w:t> </w:t>
      </w:r>
      <w:r>
        <w:rPr>
          <w:sz w:val="20"/>
        </w:rPr>
        <w:t>2022,</w:t>
      </w:r>
      <w:r>
        <w:rPr>
          <w:spacing w:val="-7"/>
          <w:sz w:val="20"/>
        </w:rPr>
        <w:t> </w:t>
      </w:r>
      <w:r>
        <w:rPr>
          <w:sz w:val="20"/>
        </w:rPr>
        <w:t>the</w:t>
      </w:r>
      <w:r>
        <w:rPr>
          <w:spacing w:val="-3"/>
          <w:sz w:val="20"/>
        </w:rPr>
        <w:t> </w:t>
      </w:r>
      <w:r>
        <w:rPr>
          <w:sz w:val="20"/>
        </w:rPr>
        <w:t>OIA</w:t>
      </w:r>
      <w:r>
        <w:rPr>
          <w:spacing w:val="-11"/>
          <w:sz w:val="20"/>
        </w:rPr>
        <w:t> </w:t>
      </w:r>
      <w:r>
        <w:rPr>
          <w:sz w:val="20"/>
        </w:rPr>
        <w:t>updated</w:t>
      </w:r>
      <w:r>
        <w:rPr>
          <w:spacing w:val="-9"/>
          <w:sz w:val="20"/>
        </w:rPr>
        <w:t> </w:t>
      </w:r>
      <w:r>
        <w:rPr>
          <w:sz w:val="20"/>
        </w:rPr>
        <w:t>the</w:t>
      </w:r>
      <w:r>
        <w:rPr>
          <w:spacing w:val="-8"/>
          <w:sz w:val="20"/>
        </w:rPr>
        <w:t> </w:t>
      </w:r>
      <w:r>
        <w:rPr>
          <w:sz w:val="20"/>
        </w:rPr>
        <w:t>Report on Budget Performance as at 31 March 2022 referring again to this issue.</w:t>
      </w:r>
    </w:p>
    <w:p>
      <w:pPr>
        <w:pStyle w:val="ListParagraph"/>
        <w:numPr>
          <w:ilvl w:val="0"/>
          <w:numId w:val="4"/>
        </w:numPr>
        <w:tabs>
          <w:tab w:pos="2967" w:val="left" w:leader="none"/>
        </w:tabs>
        <w:spacing w:line="240" w:lineRule="auto" w:before="118" w:after="0"/>
        <w:ind w:left="2246" w:right="2241" w:firstLine="0"/>
        <w:jc w:val="both"/>
        <w:rPr>
          <w:sz w:val="20"/>
        </w:rPr>
      </w:pPr>
      <w:r>
        <w:rPr>
          <w:sz w:val="20"/>
        </w:rPr>
        <w:t>The OIA hereby submits a new request for the €20.7 thousand as previously approved, and emphasizes that the execution of this co-funded project depends entirely on the approval of funds requested by both the OIA and IMSS in their budget proposals.</w:t>
      </w:r>
    </w:p>
    <w:p>
      <w:pPr>
        <w:pStyle w:val="ListParagraph"/>
        <w:numPr>
          <w:ilvl w:val="0"/>
          <w:numId w:val="4"/>
        </w:numPr>
        <w:tabs>
          <w:tab w:pos="2967" w:val="left" w:leader="none"/>
        </w:tabs>
        <w:spacing w:line="240" w:lineRule="auto" w:before="121" w:after="0"/>
        <w:ind w:left="2967" w:right="0" w:hanging="721"/>
        <w:jc w:val="both"/>
        <w:rPr>
          <w:sz w:val="20"/>
        </w:rPr>
      </w:pPr>
      <w:r>
        <w:rPr>
          <w:sz w:val="20"/>
        </w:rPr>
        <w:t>The</w:t>
      </w:r>
      <w:r>
        <w:rPr>
          <w:spacing w:val="-5"/>
          <w:sz w:val="20"/>
        </w:rPr>
        <w:t> </w:t>
      </w:r>
      <w:r>
        <w:rPr>
          <w:sz w:val="20"/>
        </w:rPr>
        <w:t>total</w:t>
      </w:r>
      <w:r>
        <w:rPr>
          <w:spacing w:val="-4"/>
          <w:sz w:val="20"/>
        </w:rPr>
        <w:t> </w:t>
      </w:r>
      <w:r>
        <w:rPr>
          <w:sz w:val="20"/>
        </w:rPr>
        <w:t>cost</w:t>
      </w:r>
      <w:r>
        <w:rPr>
          <w:spacing w:val="-4"/>
          <w:sz w:val="20"/>
        </w:rPr>
        <w:t> </w:t>
      </w:r>
      <w:r>
        <w:rPr>
          <w:sz w:val="20"/>
        </w:rPr>
        <w:t>to</w:t>
      </w:r>
      <w:r>
        <w:rPr>
          <w:spacing w:val="-7"/>
          <w:sz w:val="20"/>
        </w:rPr>
        <w:t> </w:t>
      </w:r>
      <w:r>
        <w:rPr>
          <w:sz w:val="20"/>
        </w:rPr>
        <w:t>upgrade</w:t>
      </w:r>
      <w:r>
        <w:rPr>
          <w:spacing w:val="-4"/>
          <w:sz w:val="20"/>
        </w:rPr>
        <w:t> </w:t>
      </w:r>
      <w:r>
        <w:rPr>
          <w:sz w:val="20"/>
        </w:rPr>
        <w:t>TeamMate+</w:t>
      </w:r>
      <w:r>
        <w:rPr>
          <w:spacing w:val="-9"/>
          <w:sz w:val="20"/>
        </w:rPr>
        <w:t> </w:t>
      </w:r>
      <w:r>
        <w:rPr>
          <w:sz w:val="20"/>
        </w:rPr>
        <w:t>in</w:t>
      </w:r>
      <w:r>
        <w:rPr>
          <w:spacing w:val="-1"/>
          <w:sz w:val="20"/>
        </w:rPr>
        <w:t> </w:t>
      </w:r>
      <w:r>
        <w:rPr>
          <w:sz w:val="20"/>
        </w:rPr>
        <w:t>2023</w:t>
      </w:r>
      <w:r>
        <w:rPr>
          <w:spacing w:val="-6"/>
          <w:sz w:val="20"/>
        </w:rPr>
        <w:t> </w:t>
      </w:r>
      <w:r>
        <w:rPr>
          <w:spacing w:val="-5"/>
          <w:sz w:val="20"/>
        </w:rPr>
        <w:t>is:</w:t>
      </w:r>
    </w:p>
    <w:p>
      <w:pPr>
        <w:pStyle w:val="ListParagraph"/>
        <w:numPr>
          <w:ilvl w:val="1"/>
          <w:numId w:val="4"/>
        </w:numPr>
        <w:tabs>
          <w:tab w:pos="3686" w:val="left" w:leader="none"/>
          <w:tab w:pos="3687" w:val="left" w:leader="none"/>
        </w:tabs>
        <w:spacing w:line="240" w:lineRule="auto" w:before="121" w:after="0"/>
        <w:ind w:left="2967" w:right="2236" w:firstLine="0"/>
        <w:jc w:val="both"/>
        <w:rPr>
          <w:sz w:val="20"/>
        </w:rPr>
      </w:pPr>
      <w:r>
        <w:rPr>
          <w:sz w:val="20"/>
        </w:rPr>
        <w:t>€20.7 thousand – to be paid by the OIA for the business-side preparation for the upgrade, including the planning, configuration, training, testing and deployment of TeamMate+; and</w:t>
      </w:r>
    </w:p>
    <w:p>
      <w:pPr>
        <w:pStyle w:val="ListParagraph"/>
        <w:numPr>
          <w:ilvl w:val="1"/>
          <w:numId w:val="4"/>
        </w:numPr>
        <w:tabs>
          <w:tab w:pos="3686" w:val="left" w:leader="none"/>
          <w:tab w:pos="3687" w:val="left" w:leader="none"/>
        </w:tabs>
        <w:spacing w:line="240" w:lineRule="auto" w:before="121" w:after="0"/>
        <w:ind w:left="2967" w:right="2243" w:firstLine="0"/>
        <w:jc w:val="both"/>
        <w:rPr>
          <w:sz w:val="20"/>
        </w:rPr>
      </w:pPr>
      <w:r>
        <w:rPr>
          <w:sz w:val="20"/>
        </w:rPr>
        <w:t>€30.4</w:t>
      </w:r>
      <w:r>
        <w:rPr>
          <w:spacing w:val="-4"/>
          <w:sz w:val="20"/>
        </w:rPr>
        <w:t> </w:t>
      </w:r>
      <w:r>
        <w:rPr>
          <w:sz w:val="20"/>
        </w:rPr>
        <w:t>thousand –</w:t>
      </w:r>
      <w:r>
        <w:rPr>
          <w:spacing w:val="-3"/>
          <w:sz w:val="20"/>
        </w:rPr>
        <w:t> </w:t>
      </w:r>
      <w:r>
        <w:rPr>
          <w:sz w:val="20"/>
        </w:rPr>
        <w:t>to be paid</w:t>
      </w:r>
      <w:r>
        <w:rPr>
          <w:spacing w:val="-4"/>
          <w:sz w:val="20"/>
        </w:rPr>
        <w:t> </w:t>
      </w:r>
      <w:r>
        <w:rPr>
          <w:sz w:val="20"/>
        </w:rPr>
        <w:t>by IMSS for</w:t>
      </w:r>
      <w:r>
        <w:rPr>
          <w:spacing w:val="-1"/>
          <w:sz w:val="20"/>
        </w:rPr>
        <w:t> </w:t>
      </w:r>
      <w:r>
        <w:rPr>
          <w:sz w:val="20"/>
        </w:rPr>
        <w:t>the</w:t>
      </w:r>
      <w:r>
        <w:rPr>
          <w:spacing w:val="-2"/>
          <w:sz w:val="20"/>
        </w:rPr>
        <w:t> </w:t>
      </w:r>
      <w:r>
        <w:rPr>
          <w:sz w:val="20"/>
        </w:rPr>
        <w:t>expenditures associated with licences and the technical aspect of the upgrade, i.e., a one-time set-up fee.</w:t>
      </w:r>
    </w:p>
    <w:p>
      <w:pPr>
        <w:pStyle w:val="ListParagraph"/>
        <w:numPr>
          <w:ilvl w:val="0"/>
          <w:numId w:val="4"/>
        </w:numPr>
        <w:tabs>
          <w:tab w:pos="2967" w:val="left" w:leader="none"/>
        </w:tabs>
        <w:spacing w:line="240" w:lineRule="auto" w:before="117" w:after="0"/>
        <w:ind w:left="2246" w:right="2242" w:firstLine="0"/>
        <w:jc w:val="both"/>
        <w:rPr>
          <w:sz w:val="20"/>
        </w:rPr>
      </w:pPr>
      <w:r>
        <w:rPr>
          <w:sz w:val="20"/>
        </w:rPr>
        <w:t>The OIA has been using TeamMate AM as the internal audit software for the last eleven years and has five software licences. The annual maintenance expenses for this software</w:t>
      </w:r>
      <w:r>
        <w:rPr>
          <w:spacing w:val="-4"/>
          <w:sz w:val="20"/>
        </w:rPr>
        <w:t> </w:t>
      </w:r>
      <w:r>
        <w:rPr>
          <w:sz w:val="20"/>
        </w:rPr>
        <w:t>tool have</w:t>
      </w:r>
      <w:r>
        <w:rPr>
          <w:spacing w:val="-4"/>
          <w:sz w:val="20"/>
        </w:rPr>
        <w:t> </w:t>
      </w:r>
      <w:r>
        <w:rPr>
          <w:sz w:val="20"/>
        </w:rPr>
        <w:t>been</w:t>
      </w:r>
      <w:r>
        <w:rPr>
          <w:spacing w:val="-6"/>
          <w:sz w:val="20"/>
        </w:rPr>
        <w:t> </w:t>
      </w:r>
      <w:r>
        <w:rPr>
          <w:sz w:val="20"/>
        </w:rPr>
        <w:t>covered</w:t>
      </w:r>
      <w:r>
        <w:rPr>
          <w:spacing w:val="-6"/>
          <w:sz w:val="20"/>
        </w:rPr>
        <w:t> </w:t>
      </w:r>
      <w:r>
        <w:rPr>
          <w:sz w:val="20"/>
        </w:rPr>
        <w:t>by</w:t>
      </w:r>
      <w:r>
        <w:rPr>
          <w:spacing w:val="-6"/>
          <w:sz w:val="20"/>
        </w:rPr>
        <w:t> </w:t>
      </w:r>
      <w:r>
        <w:rPr>
          <w:sz w:val="20"/>
        </w:rPr>
        <w:t>the</w:t>
      </w:r>
      <w:r>
        <w:rPr>
          <w:spacing w:val="-4"/>
          <w:sz w:val="20"/>
        </w:rPr>
        <w:t> </w:t>
      </w:r>
      <w:r>
        <w:rPr>
          <w:sz w:val="20"/>
        </w:rPr>
        <w:t>IMSS</w:t>
      </w:r>
      <w:r>
        <w:rPr>
          <w:spacing w:val="-2"/>
          <w:sz w:val="20"/>
        </w:rPr>
        <w:t> </w:t>
      </w:r>
      <w:r>
        <w:rPr>
          <w:sz w:val="20"/>
        </w:rPr>
        <w:t>software</w:t>
      </w:r>
      <w:r>
        <w:rPr>
          <w:spacing w:val="-4"/>
          <w:sz w:val="20"/>
        </w:rPr>
        <w:t> </w:t>
      </w:r>
      <w:r>
        <w:rPr>
          <w:sz w:val="20"/>
        </w:rPr>
        <w:t>maintenance</w:t>
      </w:r>
      <w:r>
        <w:rPr>
          <w:spacing w:val="-4"/>
          <w:sz w:val="20"/>
        </w:rPr>
        <w:t> </w:t>
      </w:r>
      <w:r>
        <w:rPr>
          <w:sz w:val="20"/>
        </w:rPr>
        <w:t>budget.</w:t>
      </w:r>
      <w:r>
        <w:rPr>
          <w:spacing w:val="-8"/>
          <w:sz w:val="20"/>
        </w:rPr>
        <w:t> </w:t>
      </w:r>
      <w:r>
        <w:rPr>
          <w:sz w:val="20"/>
        </w:rPr>
        <w:t>TeamMate AM consists of several modules. The OIA mainly uses the Electronic Working Papers (EWP) module for the documentation of audit work. The OIA had also planned to use the TeamCentral module for the follow-up of internal audit recommendations, currently conducted through a manual process based on data maintained in SharePoint. During discussions</w:t>
      </w:r>
      <w:r>
        <w:rPr>
          <w:spacing w:val="-10"/>
          <w:sz w:val="20"/>
        </w:rPr>
        <w:t> </w:t>
      </w:r>
      <w:r>
        <w:rPr>
          <w:sz w:val="20"/>
        </w:rPr>
        <w:t>with</w:t>
      </w:r>
      <w:r>
        <w:rPr>
          <w:spacing w:val="-5"/>
          <w:sz w:val="20"/>
        </w:rPr>
        <w:t> </w:t>
      </w:r>
      <w:r>
        <w:rPr>
          <w:sz w:val="20"/>
        </w:rPr>
        <w:t>the</w:t>
      </w:r>
      <w:r>
        <w:rPr>
          <w:spacing w:val="-7"/>
          <w:sz w:val="20"/>
        </w:rPr>
        <w:t> </w:t>
      </w:r>
      <w:r>
        <w:rPr>
          <w:sz w:val="20"/>
        </w:rPr>
        <w:t>vendor</w:t>
      </w:r>
      <w:r>
        <w:rPr>
          <w:spacing w:val="-5"/>
          <w:sz w:val="20"/>
        </w:rPr>
        <w:t> </w:t>
      </w:r>
      <w:r>
        <w:rPr>
          <w:sz w:val="20"/>
        </w:rPr>
        <w:t>of</w:t>
      </w:r>
      <w:r>
        <w:rPr>
          <w:spacing w:val="-8"/>
          <w:sz w:val="20"/>
        </w:rPr>
        <w:t> </w:t>
      </w:r>
      <w:r>
        <w:rPr>
          <w:sz w:val="20"/>
        </w:rPr>
        <w:t>TeamMate</w:t>
      </w:r>
      <w:r>
        <w:rPr>
          <w:spacing w:val="-3"/>
          <w:sz w:val="20"/>
        </w:rPr>
        <w:t> </w:t>
      </w:r>
      <w:r>
        <w:rPr>
          <w:sz w:val="20"/>
        </w:rPr>
        <w:t>two</w:t>
      </w:r>
      <w:r>
        <w:rPr>
          <w:spacing w:val="-5"/>
          <w:sz w:val="20"/>
        </w:rPr>
        <w:t> </w:t>
      </w:r>
      <w:r>
        <w:rPr>
          <w:sz w:val="20"/>
        </w:rPr>
        <w:t>years</w:t>
      </w:r>
      <w:r>
        <w:rPr>
          <w:spacing w:val="-10"/>
          <w:sz w:val="20"/>
        </w:rPr>
        <w:t> </w:t>
      </w:r>
      <w:r>
        <w:rPr>
          <w:sz w:val="20"/>
        </w:rPr>
        <w:t>ago</w:t>
      </w:r>
      <w:r>
        <w:rPr>
          <w:spacing w:val="-8"/>
          <w:sz w:val="20"/>
        </w:rPr>
        <w:t> </w:t>
      </w:r>
      <w:r>
        <w:rPr>
          <w:sz w:val="20"/>
        </w:rPr>
        <w:t>on</w:t>
      </w:r>
      <w:r>
        <w:rPr>
          <w:spacing w:val="-8"/>
          <w:sz w:val="20"/>
        </w:rPr>
        <w:t> </w:t>
      </w:r>
      <w:r>
        <w:rPr>
          <w:sz w:val="20"/>
        </w:rPr>
        <w:t>the</w:t>
      </w:r>
      <w:r>
        <w:rPr>
          <w:spacing w:val="-3"/>
          <w:sz w:val="20"/>
        </w:rPr>
        <w:t> </w:t>
      </w:r>
      <w:r>
        <w:rPr>
          <w:sz w:val="20"/>
        </w:rPr>
        <w:t>use</w:t>
      </w:r>
      <w:r>
        <w:rPr>
          <w:spacing w:val="-3"/>
          <w:sz w:val="20"/>
        </w:rPr>
        <w:t> </w:t>
      </w:r>
      <w:r>
        <w:rPr>
          <w:sz w:val="20"/>
        </w:rPr>
        <w:t>of</w:t>
      </w:r>
      <w:r>
        <w:rPr>
          <w:spacing w:val="-8"/>
          <w:sz w:val="20"/>
        </w:rPr>
        <w:t> </w:t>
      </w:r>
      <w:r>
        <w:rPr>
          <w:sz w:val="20"/>
        </w:rPr>
        <w:t>TeamCentral,</w:t>
      </w:r>
      <w:r>
        <w:rPr>
          <w:spacing w:val="-6"/>
          <w:sz w:val="20"/>
        </w:rPr>
        <w:t> </w:t>
      </w:r>
      <w:r>
        <w:rPr>
          <w:sz w:val="20"/>
        </w:rPr>
        <w:t>the</w:t>
      </w:r>
      <w:r>
        <w:rPr>
          <w:spacing w:val="-7"/>
          <w:sz w:val="20"/>
        </w:rPr>
        <w:t> </w:t>
      </w:r>
      <w:r>
        <w:rPr>
          <w:sz w:val="20"/>
        </w:rPr>
        <w:t>OIA learned</w:t>
      </w:r>
      <w:r>
        <w:rPr>
          <w:spacing w:val="-8"/>
          <w:sz w:val="20"/>
        </w:rPr>
        <w:t> </w:t>
      </w:r>
      <w:r>
        <w:rPr>
          <w:sz w:val="20"/>
        </w:rPr>
        <w:t>that</w:t>
      </w:r>
      <w:r>
        <w:rPr>
          <w:spacing w:val="-7"/>
          <w:sz w:val="20"/>
        </w:rPr>
        <w:t> </w:t>
      </w:r>
      <w:r>
        <w:rPr>
          <w:sz w:val="20"/>
        </w:rPr>
        <w:t>TeamMate</w:t>
      </w:r>
      <w:r>
        <w:rPr>
          <w:spacing w:val="-7"/>
          <w:sz w:val="20"/>
        </w:rPr>
        <w:t> </w:t>
      </w:r>
      <w:r>
        <w:rPr>
          <w:sz w:val="20"/>
        </w:rPr>
        <w:t>AM</w:t>
      </w:r>
      <w:r>
        <w:rPr>
          <w:spacing w:val="-5"/>
          <w:sz w:val="20"/>
        </w:rPr>
        <w:t> </w:t>
      </w:r>
      <w:r>
        <w:rPr>
          <w:sz w:val="20"/>
        </w:rPr>
        <w:t>will</w:t>
      </w:r>
      <w:r>
        <w:rPr>
          <w:spacing w:val="-7"/>
          <w:sz w:val="20"/>
        </w:rPr>
        <w:t> </w:t>
      </w:r>
      <w:r>
        <w:rPr>
          <w:sz w:val="20"/>
        </w:rPr>
        <w:t>reach</w:t>
      </w:r>
      <w:r>
        <w:rPr>
          <w:spacing w:val="-8"/>
          <w:sz w:val="20"/>
        </w:rPr>
        <w:t> </w:t>
      </w:r>
      <w:r>
        <w:rPr>
          <w:sz w:val="20"/>
        </w:rPr>
        <w:t>end</w:t>
      </w:r>
      <w:r>
        <w:rPr>
          <w:spacing w:val="-4"/>
          <w:sz w:val="20"/>
        </w:rPr>
        <w:t> </w:t>
      </w:r>
      <w:r>
        <w:rPr>
          <w:sz w:val="20"/>
        </w:rPr>
        <w:t>of</w:t>
      </w:r>
      <w:r>
        <w:rPr>
          <w:spacing w:val="-8"/>
          <w:sz w:val="20"/>
        </w:rPr>
        <w:t> </w:t>
      </w:r>
      <w:r>
        <w:rPr>
          <w:sz w:val="20"/>
        </w:rPr>
        <w:t>life</w:t>
      </w:r>
      <w:r>
        <w:rPr>
          <w:spacing w:val="-7"/>
          <w:sz w:val="20"/>
        </w:rPr>
        <w:t> </w:t>
      </w:r>
      <w:r>
        <w:rPr>
          <w:sz w:val="20"/>
        </w:rPr>
        <w:t>by</w:t>
      </w:r>
      <w:r>
        <w:rPr>
          <w:spacing w:val="-8"/>
          <w:sz w:val="20"/>
        </w:rPr>
        <w:t> </w:t>
      </w:r>
      <w:r>
        <w:rPr>
          <w:sz w:val="20"/>
        </w:rPr>
        <w:t>the</w:t>
      </w:r>
      <w:r>
        <w:rPr>
          <w:spacing w:val="-7"/>
          <w:sz w:val="20"/>
        </w:rPr>
        <w:t> </w:t>
      </w:r>
      <w:r>
        <w:rPr>
          <w:sz w:val="20"/>
        </w:rPr>
        <w:t>end</w:t>
      </w:r>
      <w:r>
        <w:rPr>
          <w:spacing w:val="-8"/>
          <w:sz w:val="20"/>
        </w:rPr>
        <w:t> </w:t>
      </w:r>
      <w:r>
        <w:rPr>
          <w:sz w:val="20"/>
        </w:rPr>
        <w:t>of</w:t>
      </w:r>
      <w:r>
        <w:rPr>
          <w:spacing w:val="-4"/>
          <w:sz w:val="20"/>
        </w:rPr>
        <w:t> </w:t>
      </w:r>
      <w:r>
        <w:rPr>
          <w:sz w:val="20"/>
        </w:rPr>
        <w:t>2023.</w:t>
      </w:r>
      <w:r>
        <w:rPr>
          <w:spacing w:val="-1"/>
          <w:sz w:val="20"/>
        </w:rPr>
        <w:t> </w:t>
      </w:r>
      <w:r>
        <w:rPr>
          <w:sz w:val="20"/>
        </w:rPr>
        <w:t>After</w:t>
      </w:r>
      <w:r>
        <w:rPr>
          <w:spacing w:val="-4"/>
          <w:sz w:val="20"/>
        </w:rPr>
        <w:t> </w:t>
      </w:r>
      <w:r>
        <w:rPr>
          <w:sz w:val="20"/>
        </w:rPr>
        <w:t>this</w:t>
      </w:r>
      <w:r>
        <w:rPr>
          <w:spacing w:val="-5"/>
          <w:sz w:val="20"/>
        </w:rPr>
        <w:t> </w:t>
      </w:r>
      <w:r>
        <w:rPr>
          <w:sz w:val="20"/>
        </w:rPr>
        <w:t>date,</w:t>
      </w:r>
      <w:r>
        <w:rPr>
          <w:spacing w:val="-6"/>
          <w:sz w:val="20"/>
        </w:rPr>
        <w:t> </w:t>
      </w:r>
      <w:r>
        <w:rPr>
          <w:sz w:val="20"/>
        </w:rPr>
        <w:t>the</w:t>
      </w:r>
      <w:r>
        <w:rPr>
          <w:spacing w:val="-7"/>
          <w:sz w:val="20"/>
        </w:rPr>
        <w:t> </w:t>
      </w:r>
      <w:r>
        <w:rPr>
          <w:sz w:val="20"/>
        </w:rPr>
        <w:t>tool will no longer be supported by the vendor and no upgrades will be provided as it is being replaced by TeamMate+, a</w:t>
      </w:r>
      <w:r>
        <w:rPr>
          <w:spacing w:val="-3"/>
          <w:sz w:val="20"/>
        </w:rPr>
        <w:t> </w:t>
      </w:r>
      <w:r>
        <w:rPr>
          <w:sz w:val="20"/>
        </w:rPr>
        <w:t>tool</w:t>
      </w:r>
      <w:r>
        <w:rPr>
          <w:spacing w:val="-3"/>
          <w:sz w:val="20"/>
        </w:rPr>
        <w:t> </w:t>
      </w:r>
      <w:r>
        <w:rPr>
          <w:sz w:val="20"/>
        </w:rPr>
        <w:t>that</w:t>
      </w:r>
      <w:r>
        <w:rPr>
          <w:spacing w:val="-3"/>
          <w:sz w:val="20"/>
        </w:rPr>
        <w:t> </w:t>
      </w:r>
      <w:r>
        <w:rPr>
          <w:sz w:val="20"/>
        </w:rPr>
        <w:t>is</w:t>
      </w:r>
      <w:r>
        <w:rPr>
          <w:spacing w:val="-1"/>
          <w:sz w:val="20"/>
        </w:rPr>
        <w:t> </w:t>
      </w:r>
      <w:r>
        <w:rPr>
          <w:sz w:val="20"/>
        </w:rPr>
        <w:t>a</w:t>
      </w:r>
      <w:r>
        <w:rPr>
          <w:spacing w:val="-3"/>
          <w:sz w:val="20"/>
        </w:rPr>
        <w:t> </w:t>
      </w:r>
      <w:r>
        <w:rPr>
          <w:sz w:val="20"/>
        </w:rPr>
        <w:t>configurable, web-based</w:t>
      </w:r>
      <w:r>
        <w:rPr>
          <w:spacing w:val="-5"/>
          <w:sz w:val="20"/>
        </w:rPr>
        <w:t> </w:t>
      </w:r>
      <w:r>
        <w:rPr>
          <w:sz w:val="20"/>
        </w:rPr>
        <w:t>audit, risk</w:t>
      </w:r>
      <w:r>
        <w:rPr>
          <w:spacing w:val="-5"/>
          <w:sz w:val="20"/>
        </w:rPr>
        <w:t> </w:t>
      </w:r>
      <w:r>
        <w:rPr>
          <w:sz w:val="20"/>
        </w:rPr>
        <w:t>and compliance platform. The migration to TeamMate+ will mean additional costs for the Court.</w:t>
      </w:r>
    </w:p>
    <w:p>
      <w:pPr>
        <w:pStyle w:val="ListParagraph"/>
        <w:numPr>
          <w:ilvl w:val="0"/>
          <w:numId w:val="4"/>
        </w:numPr>
        <w:tabs>
          <w:tab w:pos="2967" w:val="left" w:leader="none"/>
        </w:tabs>
        <w:spacing w:line="240" w:lineRule="auto" w:before="120" w:after="0"/>
        <w:ind w:left="2246" w:right="2247" w:firstLine="0"/>
        <w:jc w:val="both"/>
        <w:rPr>
          <w:sz w:val="20"/>
        </w:rPr>
      </w:pPr>
      <w:r>
        <w:rPr>
          <w:sz w:val="20"/>
        </w:rPr>
        <w:t>Subsequently, the OIA issued a business initiative for IMSS to review the OIA’s requirements</w:t>
      </w:r>
      <w:r>
        <w:rPr>
          <w:spacing w:val="-6"/>
          <w:sz w:val="20"/>
        </w:rPr>
        <w:t> </w:t>
      </w:r>
      <w:r>
        <w:rPr>
          <w:sz w:val="20"/>
        </w:rPr>
        <w:t>and</w:t>
      </w:r>
      <w:r>
        <w:rPr>
          <w:spacing w:val="-5"/>
          <w:sz w:val="20"/>
        </w:rPr>
        <w:t> </w:t>
      </w:r>
      <w:r>
        <w:rPr>
          <w:sz w:val="20"/>
        </w:rPr>
        <w:t>possible</w:t>
      </w:r>
      <w:r>
        <w:rPr>
          <w:spacing w:val="-3"/>
          <w:sz w:val="20"/>
        </w:rPr>
        <w:t> </w:t>
      </w:r>
      <w:r>
        <w:rPr>
          <w:sz w:val="20"/>
        </w:rPr>
        <w:t>solutions.</w:t>
      </w:r>
      <w:r>
        <w:rPr>
          <w:spacing w:val="-2"/>
          <w:sz w:val="20"/>
        </w:rPr>
        <w:t> </w:t>
      </w:r>
      <w:r>
        <w:rPr>
          <w:sz w:val="20"/>
        </w:rPr>
        <w:t>The</w:t>
      </w:r>
      <w:r>
        <w:rPr>
          <w:spacing w:val="-3"/>
          <w:sz w:val="20"/>
        </w:rPr>
        <w:t> </w:t>
      </w:r>
      <w:r>
        <w:rPr>
          <w:sz w:val="20"/>
        </w:rPr>
        <w:t>OIA</w:t>
      </w:r>
      <w:r>
        <w:rPr>
          <w:spacing w:val="-1"/>
          <w:sz w:val="20"/>
        </w:rPr>
        <w:t> </w:t>
      </w:r>
      <w:r>
        <w:rPr>
          <w:sz w:val="20"/>
        </w:rPr>
        <w:t>requested</w:t>
      </w:r>
      <w:r>
        <w:rPr>
          <w:spacing w:val="-5"/>
          <w:sz w:val="20"/>
        </w:rPr>
        <w:t> </w:t>
      </w:r>
      <w:r>
        <w:rPr>
          <w:sz w:val="20"/>
        </w:rPr>
        <w:t>IMSS</w:t>
      </w:r>
      <w:r>
        <w:rPr>
          <w:spacing w:val="-1"/>
          <w:sz w:val="20"/>
        </w:rPr>
        <w:t> </w:t>
      </w:r>
      <w:r>
        <w:rPr>
          <w:sz w:val="20"/>
        </w:rPr>
        <w:t>to</w:t>
      </w:r>
      <w:r>
        <w:rPr>
          <w:spacing w:val="-5"/>
          <w:sz w:val="20"/>
        </w:rPr>
        <w:t> </w:t>
      </w:r>
      <w:r>
        <w:rPr>
          <w:sz w:val="20"/>
        </w:rPr>
        <w:t>look</w:t>
      </w:r>
      <w:r>
        <w:rPr>
          <w:spacing w:val="-5"/>
          <w:sz w:val="20"/>
        </w:rPr>
        <w:t> </w:t>
      </w:r>
      <w:r>
        <w:rPr>
          <w:sz w:val="20"/>
        </w:rPr>
        <w:t>into</w:t>
      </w:r>
      <w:r>
        <w:rPr>
          <w:spacing w:val="-5"/>
          <w:sz w:val="20"/>
        </w:rPr>
        <w:t> </w:t>
      </w:r>
      <w:r>
        <w:rPr>
          <w:sz w:val="20"/>
        </w:rPr>
        <w:t>the</w:t>
      </w:r>
      <w:r>
        <w:rPr>
          <w:spacing w:val="-3"/>
          <w:sz w:val="20"/>
        </w:rPr>
        <w:t> </w:t>
      </w:r>
      <w:r>
        <w:rPr>
          <w:sz w:val="20"/>
        </w:rPr>
        <w:t>possibility of developing an audit tool in house. Together with IMSS, the OIA had various consultations with</w:t>
      </w:r>
      <w:r>
        <w:rPr>
          <w:spacing w:val="15"/>
          <w:sz w:val="20"/>
        </w:rPr>
        <w:t> </w:t>
      </w:r>
      <w:r>
        <w:rPr>
          <w:sz w:val="20"/>
        </w:rPr>
        <w:t>the</w:t>
      </w:r>
      <w:r>
        <w:rPr>
          <w:spacing w:val="17"/>
          <w:sz w:val="20"/>
        </w:rPr>
        <w:t> </w:t>
      </w:r>
      <w:r>
        <w:rPr>
          <w:sz w:val="20"/>
        </w:rPr>
        <w:t>vendor</w:t>
      </w:r>
      <w:r>
        <w:rPr>
          <w:spacing w:val="16"/>
          <w:sz w:val="20"/>
        </w:rPr>
        <w:t> </w:t>
      </w:r>
      <w:r>
        <w:rPr>
          <w:sz w:val="20"/>
        </w:rPr>
        <w:t>to</w:t>
      </w:r>
      <w:r>
        <w:rPr>
          <w:spacing w:val="20"/>
          <w:sz w:val="20"/>
        </w:rPr>
        <w:t> </w:t>
      </w:r>
      <w:r>
        <w:rPr>
          <w:sz w:val="20"/>
        </w:rPr>
        <w:t>discuss</w:t>
      </w:r>
      <w:r>
        <w:rPr>
          <w:spacing w:val="17"/>
          <w:sz w:val="20"/>
        </w:rPr>
        <w:t> </w:t>
      </w:r>
      <w:r>
        <w:rPr>
          <w:sz w:val="20"/>
        </w:rPr>
        <w:t>the</w:t>
      </w:r>
      <w:r>
        <w:rPr>
          <w:spacing w:val="17"/>
          <w:sz w:val="20"/>
        </w:rPr>
        <w:t> </w:t>
      </w:r>
      <w:r>
        <w:rPr>
          <w:sz w:val="20"/>
        </w:rPr>
        <w:t>options:</w:t>
      </w:r>
      <w:r>
        <w:rPr>
          <w:spacing w:val="17"/>
          <w:sz w:val="20"/>
        </w:rPr>
        <w:t> </w:t>
      </w:r>
      <w:r>
        <w:rPr>
          <w:sz w:val="20"/>
        </w:rPr>
        <w:t>(1)</w:t>
      </w:r>
      <w:r>
        <w:rPr>
          <w:spacing w:val="16"/>
          <w:sz w:val="20"/>
        </w:rPr>
        <w:t> </w:t>
      </w:r>
      <w:r>
        <w:rPr>
          <w:sz w:val="20"/>
        </w:rPr>
        <w:t>continuing</w:t>
      </w:r>
      <w:r>
        <w:rPr>
          <w:spacing w:val="15"/>
          <w:sz w:val="20"/>
        </w:rPr>
        <w:t> </w:t>
      </w:r>
      <w:r>
        <w:rPr>
          <w:sz w:val="20"/>
        </w:rPr>
        <w:t>with</w:t>
      </w:r>
      <w:r>
        <w:rPr>
          <w:spacing w:val="15"/>
          <w:sz w:val="20"/>
        </w:rPr>
        <w:t> </w:t>
      </w:r>
      <w:r>
        <w:rPr>
          <w:sz w:val="20"/>
        </w:rPr>
        <w:t>TeamMate</w:t>
      </w:r>
      <w:r>
        <w:rPr>
          <w:spacing w:val="22"/>
          <w:sz w:val="20"/>
        </w:rPr>
        <w:t> </w:t>
      </w:r>
      <w:r>
        <w:rPr>
          <w:sz w:val="20"/>
        </w:rPr>
        <w:t>AM</w:t>
      </w:r>
      <w:r>
        <w:rPr>
          <w:spacing w:val="14"/>
          <w:sz w:val="20"/>
        </w:rPr>
        <w:t> </w:t>
      </w:r>
      <w:r>
        <w:rPr>
          <w:sz w:val="20"/>
        </w:rPr>
        <w:t>beyond</w:t>
      </w:r>
      <w:r>
        <w:rPr>
          <w:spacing w:val="20"/>
          <w:sz w:val="20"/>
        </w:rPr>
        <w:t> </w:t>
      </w:r>
      <w:r>
        <w:rPr>
          <w:sz w:val="20"/>
        </w:rPr>
        <w:t>2023;</w:t>
      </w:r>
    </w:p>
    <w:p>
      <w:pPr>
        <w:spacing w:after="0" w:line="240" w:lineRule="auto"/>
        <w:jc w:val="both"/>
        <w:rPr>
          <w:sz w:val="20"/>
        </w:rPr>
        <w:sectPr>
          <w:pgSz w:w="11910" w:h="16840"/>
          <w:pgMar w:header="957" w:footer="940" w:top="1140" w:bottom="1140" w:left="20" w:right="20"/>
        </w:sectPr>
      </w:pPr>
    </w:p>
    <w:p>
      <w:pPr>
        <w:pStyle w:val="BodyText"/>
        <w:spacing w:before="124"/>
        <w:ind w:left="2246" w:right="2195"/>
      </w:pPr>
      <w:r>
        <w:rPr/>
        <w:t>(2) upgrading to TeamMate+ on the premises; or (3) upgrading to TeamMate+ in</w:t>
      </w:r>
      <w:r>
        <w:rPr>
          <w:spacing w:val="-5"/>
        </w:rPr>
        <w:t> </w:t>
      </w:r>
      <w:r>
        <w:rPr/>
        <w:t>the</w:t>
      </w:r>
      <w:r>
        <w:rPr>
          <w:spacing w:val="-3"/>
        </w:rPr>
        <w:t> </w:t>
      </w:r>
      <w:r>
        <w:rPr/>
        <w:t>cloud. The vendor provided a migration quote, which was assessed by IMSS.</w:t>
      </w:r>
    </w:p>
    <w:p>
      <w:pPr>
        <w:pStyle w:val="ListParagraph"/>
        <w:numPr>
          <w:ilvl w:val="0"/>
          <w:numId w:val="4"/>
        </w:numPr>
        <w:tabs>
          <w:tab w:pos="2967" w:val="left" w:leader="none"/>
        </w:tabs>
        <w:spacing w:line="240" w:lineRule="auto" w:before="121" w:after="0"/>
        <w:ind w:left="2246" w:right="2237" w:firstLine="0"/>
        <w:jc w:val="both"/>
        <w:rPr>
          <w:sz w:val="20"/>
        </w:rPr>
      </w:pPr>
      <w:r>
        <w:rPr>
          <w:sz w:val="20"/>
        </w:rPr>
        <w:t>Developing an in-house tool is not a preferred option as IMSS cannot dedicate internal resources to this project. Purchasing another off-the-shelf product is not a desirable option</w:t>
      </w:r>
      <w:r>
        <w:rPr>
          <w:spacing w:val="-13"/>
          <w:sz w:val="20"/>
        </w:rPr>
        <w:t> </w:t>
      </w:r>
      <w:r>
        <w:rPr>
          <w:sz w:val="20"/>
        </w:rPr>
        <w:t>either,</w:t>
      </w:r>
      <w:r>
        <w:rPr>
          <w:spacing w:val="-12"/>
          <w:sz w:val="20"/>
        </w:rPr>
        <w:t> </w:t>
      </w:r>
      <w:r>
        <w:rPr>
          <w:sz w:val="20"/>
        </w:rPr>
        <w:t>as</w:t>
      </w:r>
      <w:r>
        <w:rPr>
          <w:spacing w:val="-13"/>
          <w:sz w:val="20"/>
        </w:rPr>
        <w:t> </w:t>
      </w:r>
      <w:r>
        <w:rPr>
          <w:sz w:val="20"/>
        </w:rPr>
        <w:t>most</w:t>
      </w:r>
      <w:r>
        <w:rPr>
          <w:spacing w:val="-12"/>
          <w:sz w:val="20"/>
        </w:rPr>
        <w:t> </w:t>
      </w:r>
      <w:r>
        <w:rPr>
          <w:sz w:val="20"/>
        </w:rPr>
        <w:t>of</w:t>
      </w:r>
      <w:r>
        <w:rPr>
          <w:spacing w:val="-13"/>
          <w:sz w:val="20"/>
        </w:rPr>
        <w:t> </w:t>
      </w:r>
      <w:r>
        <w:rPr>
          <w:sz w:val="20"/>
        </w:rPr>
        <w:t>the</w:t>
      </w:r>
      <w:r>
        <w:rPr>
          <w:spacing w:val="-12"/>
          <w:sz w:val="20"/>
        </w:rPr>
        <w:t> </w:t>
      </w:r>
      <w:r>
        <w:rPr>
          <w:sz w:val="20"/>
        </w:rPr>
        <w:t>organizations</w:t>
      </w:r>
      <w:r>
        <w:rPr>
          <w:spacing w:val="-13"/>
          <w:sz w:val="20"/>
        </w:rPr>
        <w:t> </w:t>
      </w:r>
      <w:r>
        <w:rPr>
          <w:sz w:val="20"/>
        </w:rPr>
        <w:t>that</w:t>
      </w:r>
      <w:r>
        <w:rPr>
          <w:spacing w:val="-12"/>
          <w:sz w:val="20"/>
        </w:rPr>
        <w:t> </w:t>
      </w:r>
      <w:r>
        <w:rPr>
          <w:sz w:val="20"/>
        </w:rPr>
        <w:t>were</w:t>
      </w:r>
      <w:r>
        <w:rPr>
          <w:spacing w:val="-13"/>
          <w:sz w:val="20"/>
        </w:rPr>
        <w:t> </w:t>
      </w:r>
      <w:r>
        <w:rPr>
          <w:sz w:val="20"/>
        </w:rPr>
        <w:t>benchmarked</w:t>
      </w:r>
      <w:r>
        <w:rPr>
          <w:spacing w:val="-12"/>
          <w:sz w:val="20"/>
        </w:rPr>
        <w:t> </w:t>
      </w:r>
      <w:r>
        <w:rPr>
          <w:sz w:val="20"/>
        </w:rPr>
        <w:t>use</w:t>
      </w:r>
      <w:r>
        <w:rPr>
          <w:spacing w:val="-13"/>
          <w:sz w:val="20"/>
        </w:rPr>
        <w:t> </w:t>
      </w:r>
      <w:r>
        <w:rPr>
          <w:sz w:val="20"/>
        </w:rPr>
        <w:t>TeamMate+</w:t>
      </w:r>
      <w:r>
        <w:rPr>
          <w:spacing w:val="-12"/>
          <w:sz w:val="20"/>
        </w:rPr>
        <w:t> </w:t>
      </w:r>
      <w:r>
        <w:rPr>
          <w:sz w:val="20"/>
        </w:rPr>
        <w:t>as</w:t>
      </w:r>
      <w:r>
        <w:rPr>
          <w:spacing w:val="-13"/>
          <w:sz w:val="20"/>
        </w:rPr>
        <w:t> </w:t>
      </w:r>
      <w:r>
        <w:rPr>
          <w:sz w:val="20"/>
        </w:rPr>
        <w:t>an</w:t>
      </w:r>
      <w:r>
        <w:rPr>
          <w:spacing w:val="-12"/>
          <w:sz w:val="20"/>
        </w:rPr>
        <w:t> </w:t>
      </w:r>
      <w:r>
        <w:rPr>
          <w:sz w:val="20"/>
        </w:rPr>
        <w:t>audit solution and the migration to new software would require additional resources and entail a lengthy procurement process with no guarantee that a new solution will be any better or cheaper</w:t>
      </w:r>
      <w:r>
        <w:rPr>
          <w:spacing w:val="29"/>
          <w:sz w:val="20"/>
        </w:rPr>
        <w:t> </w:t>
      </w:r>
      <w:r>
        <w:rPr>
          <w:sz w:val="20"/>
        </w:rPr>
        <w:t>than</w:t>
      </w:r>
      <w:r>
        <w:rPr>
          <w:spacing w:val="25"/>
          <w:sz w:val="20"/>
        </w:rPr>
        <w:t> </w:t>
      </w:r>
      <w:r>
        <w:rPr>
          <w:sz w:val="20"/>
        </w:rPr>
        <w:t>TeamMate+.</w:t>
      </w:r>
      <w:r>
        <w:rPr>
          <w:spacing w:val="27"/>
          <w:sz w:val="20"/>
        </w:rPr>
        <w:t> </w:t>
      </w:r>
      <w:r>
        <w:rPr>
          <w:sz w:val="20"/>
        </w:rPr>
        <w:t>Continued</w:t>
      </w:r>
      <w:r>
        <w:rPr>
          <w:spacing w:val="25"/>
          <w:sz w:val="20"/>
        </w:rPr>
        <w:t> </w:t>
      </w:r>
      <w:r>
        <w:rPr>
          <w:sz w:val="20"/>
        </w:rPr>
        <w:t>use</w:t>
      </w:r>
      <w:r>
        <w:rPr>
          <w:spacing w:val="27"/>
          <w:sz w:val="20"/>
        </w:rPr>
        <w:t> </w:t>
      </w:r>
      <w:r>
        <w:rPr>
          <w:sz w:val="20"/>
        </w:rPr>
        <w:t>of</w:t>
      </w:r>
      <w:r>
        <w:rPr>
          <w:spacing w:val="25"/>
          <w:sz w:val="20"/>
        </w:rPr>
        <w:t> </w:t>
      </w:r>
      <w:r>
        <w:rPr>
          <w:sz w:val="20"/>
        </w:rPr>
        <w:t>the</w:t>
      </w:r>
      <w:r>
        <w:rPr>
          <w:spacing w:val="27"/>
          <w:sz w:val="20"/>
        </w:rPr>
        <w:t> </w:t>
      </w:r>
      <w:r>
        <w:rPr>
          <w:sz w:val="20"/>
        </w:rPr>
        <w:t>existing</w:t>
      </w:r>
      <w:r>
        <w:rPr>
          <w:spacing w:val="25"/>
          <w:sz w:val="20"/>
        </w:rPr>
        <w:t> </w:t>
      </w:r>
      <w:r>
        <w:rPr>
          <w:sz w:val="20"/>
        </w:rPr>
        <w:t>TeamMate AM</w:t>
      </w:r>
      <w:r>
        <w:rPr>
          <w:spacing w:val="27"/>
          <w:sz w:val="20"/>
        </w:rPr>
        <w:t> </w:t>
      </w:r>
      <w:r>
        <w:rPr>
          <w:sz w:val="20"/>
        </w:rPr>
        <w:t>beyond</w:t>
      </w:r>
      <w:r>
        <w:rPr>
          <w:spacing w:val="25"/>
          <w:sz w:val="20"/>
        </w:rPr>
        <w:t> </w:t>
      </w:r>
      <w:r>
        <w:rPr>
          <w:sz w:val="20"/>
        </w:rPr>
        <w:t>the</w:t>
      </w:r>
      <w:r>
        <w:rPr>
          <w:spacing w:val="27"/>
          <w:sz w:val="20"/>
        </w:rPr>
        <w:t> </w:t>
      </w:r>
      <w:r>
        <w:rPr>
          <w:sz w:val="20"/>
        </w:rPr>
        <w:t>end of 2024 could not be guaranteed by the vendor and should therefore be avoided.</w:t>
      </w:r>
    </w:p>
    <w:p>
      <w:pPr>
        <w:pStyle w:val="ListParagraph"/>
        <w:numPr>
          <w:ilvl w:val="0"/>
          <w:numId w:val="4"/>
        </w:numPr>
        <w:tabs>
          <w:tab w:pos="2967" w:val="left" w:leader="none"/>
        </w:tabs>
        <w:spacing w:line="237" w:lineRule="auto" w:before="126" w:after="0"/>
        <w:ind w:left="2246" w:right="2242" w:firstLine="0"/>
        <w:jc w:val="both"/>
        <w:rPr>
          <w:sz w:val="20"/>
        </w:rPr>
      </w:pPr>
      <w:r>
        <w:rPr>
          <w:sz w:val="20"/>
        </w:rPr>
        <w:t>Based on its assessment of the vendor’s quote and the considerations of either developing</w:t>
      </w:r>
      <w:r>
        <w:rPr>
          <w:spacing w:val="-13"/>
          <w:sz w:val="20"/>
        </w:rPr>
        <w:t> </w:t>
      </w:r>
      <w:r>
        <w:rPr>
          <w:sz w:val="20"/>
        </w:rPr>
        <w:t>an</w:t>
      </w:r>
      <w:r>
        <w:rPr>
          <w:spacing w:val="-12"/>
          <w:sz w:val="20"/>
        </w:rPr>
        <w:t> </w:t>
      </w:r>
      <w:r>
        <w:rPr>
          <w:sz w:val="20"/>
        </w:rPr>
        <w:t>in-house</w:t>
      </w:r>
      <w:r>
        <w:rPr>
          <w:spacing w:val="-13"/>
          <w:sz w:val="20"/>
        </w:rPr>
        <w:t> </w:t>
      </w:r>
      <w:r>
        <w:rPr>
          <w:sz w:val="20"/>
        </w:rPr>
        <w:t>tool</w:t>
      </w:r>
      <w:r>
        <w:rPr>
          <w:spacing w:val="-12"/>
          <w:sz w:val="20"/>
        </w:rPr>
        <w:t> </w:t>
      </w:r>
      <w:r>
        <w:rPr>
          <w:sz w:val="20"/>
        </w:rPr>
        <w:t>or</w:t>
      </w:r>
      <w:r>
        <w:rPr>
          <w:spacing w:val="-13"/>
          <w:sz w:val="20"/>
        </w:rPr>
        <w:t> </w:t>
      </w:r>
      <w:r>
        <w:rPr>
          <w:sz w:val="20"/>
        </w:rPr>
        <w:t>buying</w:t>
      </w:r>
      <w:r>
        <w:rPr>
          <w:spacing w:val="-12"/>
          <w:sz w:val="20"/>
        </w:rPr>
        <w:t> </w:t>
      </w:r>
      <w:r>
        <w:rPr>
          <w:sz w:val="20"/>
        </w:rPr>
        <w:t>another</w:t>
      </w:r>
      <w:r>
        <w:rPr>
          <w:spacing w:val="-13"/>
          <w:sz w:val="20"/>
        </w:rPr>
        <w:t> </w:t>
      </w:r>
      <w:r>
        <w:rPr>
          <w:sz w:val="20"/>
        </w:rPr>
        <w:t>off-the-shelf</w:t>
      </w:r>
      <w:r>
        <w:rPr>
          <w:spacing w:val="-12"/>
          <w:sz w:val="20"/>
        </w:rPr>
        <w:t> </w:t>
      </w:r>
      <w:r>
        <w:rPr>
          <w:sz w:val="20"/>
        </w:rPr>
        <w:t>product,</w:t>
      </w:r>
      <w:r>
        <w:rPr>
          <w:spacing w:val="-13"/>
          <w:sz w:val="20"/>
        </w:rPr>
        <w:t> </w:t>
      </w:r>
      <w:r>
        <w:rPr>
          <w:sz w:val="20"/>
        </w:rPr>
        <w:t>IMSS</w:t>
      </w:r>
      <w:r>
        <w:rPr>
          <w:spacing w:val="-11"/>
          <w:sz w:val="20"/>
        </w:rPr>
        <w:t> </w:t>
      </w:r>
      <w:r>
        <w:rPr>
          <w:sz w:val="20"/>
        </w:rPr>
        <w:t>has</w:t>
      </w:r>
      <w:r>
        <w:rPr>
          <w:spacing w:val="-11"/>
          <w:sz w:val="20"/>
        </w:rPr>
        <w:t> </w:t>
      </w:r>
      <w:r>
        <w:rPr>
          <w:sz w:val="20"/>
        </w:rPr>
        <w:t>recommended that the OIA upgrade to TeamMate+, preferably through cloud hosting.</w:t>
      </w:r>
    </w:p>
    <w:p>
      <w:pPr>
        <w:pStyle w:val="BodyText"/>
        <w:rPr>
          <w:sz w:val="21"/>
        </w:rPr>
      </w:pPr>
    </w:p>
    <w:p>
      <w:pPr>
        <w:tabs>
          <w:tab w:pos="8388" w:val="left" w:leader="none"/>
        </w:tabs>
        <w:spacing w:before="0"/>
        <w:ind w:left="2246" w:right="0" w:firstLine="0"/>
        <w:jc w:val="both"/>
        <w:rPr>
          <w:i/>
          <w:sz w:val="20"/>
        </w:rPr>
      </w:pPr>
      <w:r>
        <w:rPr>
          <w:i/>
          <w:spacing w:val="-2"/>
          <w:sz w:val="20"/>
        </w:rPr>
        <w:t>Training</w:t>
      </w:r>
      <w:r>
        <w:rPr>
          <w:i/>
          <w:sz w:val="20"/>
        </w:rPr>
        <w:tab/>
        <w:t>€20.1</w:t>
      </w:r>
      <w:r>
        <w:rPr>
          <w:i/>
          <w:spacing w:val="-8"/>
          <w:sz w:val="20"/>
        </w:rPr>
        <w:t> </w:t>
      </w:r>
      <w:r>
        <w:rPr>
          <w:i/>
          <w:spacing w:val="-2"/>
          <w:sz w:val="20"/>
        </w:rPr>
        <w:t>thousand</w:t>
      </w:r>
    </w:p>
    <w:p>
      <w:pPr>
        <w:pStyle w:val="BodyText"/>
        <w:spacing w:before="11"/>
        <w:rPr>
          <w:i/>
        </w:rPr>
      </w:pPr>
    </w:p>
    <w:p>
      <w:pPr>
        <w:pStyle w:val="ListParagraph"/>
        <w:numPr>
          <w:ilvl w:val="0"/>
          <w:numId w:val="4"/>
        </w:numPr>
        <w:tabs>
          <w:tab w:pos="2967" w:val="left" w:leader="none"/>
        </w:tabs>
        <w:spacing w:line="240" w:lineRule="auto" w:before="0" w:after="0"/>
        <w:ind w:left="2246" w:right="2241" w:firstLine="0"/>
        <w:jc w:val="both"/>
        <w:rPr>
          <w:sz w:val="20"/>
        </w:rPr>
      </w:pPr>
      <w:r>
        <w:rPr>
          <w:sz w:val="20"/>
        </w:rPr>
        <w:t>The</w:t>
      </w:r>
      <w:r>
        <w:rPr>
          <w:spacing w:val="-3"/>
          <w:sz w:val="20"/>
        </w:rPr>
        <w:t> </w:t>
      </w:r>
      <w:r>
        <w:rPr>
          <w:sz w:val="20"/>
        </w:rPr>
        <w:t>requested</w:t>
      </w:r>
      <w:r>
        <w:rPr>
          <w:spacing w:val="-5"/>
          <w:sz w:val="20"/>
        </w:rPr>
        <w:t> </w:t>
      </w:r>
      <w:r>
        <w:rPr>
          <w:sz w:val="20"/>
        </w:rPr>
        <w:t>amount</w:t>
      </w:r>
      <w:r>
        <w:rPr>
          <w:spacing w:val="-1"/>
          <w:sz w:val="20"/>
        </w:rPr>
        <w:t> </w:t>
      </w:r>
      <w:r>
        <w:rPr>
          <w:sz w:val="20"/>
        </w:rPr>
        <w:t>has</w:t>
      </w:r>
      <w:r>
        <w:rPr>
          <w:spacing w:val="-6"/>
          <w:sz w:val="20"/>
        </w:rPr>
        <w:t> </w:t>
      </w:r>
      <w:r>
        <w:rPr>
          <w:sz w:val="20"/>
        </w:rPr>
        <w:t>decreased</w:t>
      </w:r>
      <w:r>
        <w:rPr>
          <w:spacing w:val="-9"/>
          <w:sz w:val="20"/>
        </w:rPr>
        <w:t> </w:t>
      </w:r>
      <w:r>
        <w:rPr>
          <w:sz w:val="20"/>
        </w:rPr>
        <w:t>by</w:t>
      </w:r>
      <w:r>
        <w:rPr>
          <w:spacing w:val="-5"/>
          <w:sz w:val="20"/>
        </w:rPr>
        <w:t> </w:t>
      </w:r>
      <w:r>
        <w:rPr>
          <w:sz w:val="20"/>
        </w:rPr>
        <w:t>€4.9</w:t>
      </w:r>
      <w:r>
        <w:rPr>
          <w:spacing w:val="-5"/>
          <w:sz w:val="20"/>
        </w:rPr>
        <w:t> </w:t>
      </w:r>
      <w:r>
        <w:rPr>
          <w:sz w:val="20"/>
        </w:rPr>
        <w:t>thousand</w:t>
      </w:r>
      <w:r>
        <w:rPr>
          <w:spacing w:val="-5"/>
          <w:sz w:val="20"/>
        </w:rPr>
        <w:t> </w:t>
      </w:r>
      <w:r>
        <w:rPr>
          <w:sz w:val="20"/>
        </w:rPr>
        <w:t>(19.6</w:t>
      </w:r>
      <w:r>
        <w:rPr>
          <w:spacing w:val="-9"/>
          <w:sz w:val="20"/>
        </w:rPr>
        <w:t> </w:t>
      </w:r>
      <w:r>
        <w:rPr>
          <w:sz w:val="20"/>
        </w:rPr>
        <w:t>per</w:t>
      </w:r>
      <w:r>
        <w:rPr>
          <w:spacing w:val="-5"/>
          <w:sz w:val="20"/>
        </w:rPr>
        <w:t> </w:t>
      </w:r>
      <w:r>
        <w:rPr>
          <w:sz w:val="20"/>
        </w:rPr>
        <w:t>cent)</w:t>
      </w:r>
      <w:r>
        <w:rPr>
          <w:sz w:val="22"/>
        </w:rPr>
        <w:t>.</w:t>
      </w:r>
      <w:r>
        <w:rPr>
          <w:spacing w:val="-3"/>
          <w:sz w:val="22"/>
        </w:rPr>
        <w:t> </w:t>
      </w:r>
      <w:r>
        <w:rPr>
          <w:sz w:val="20"/>
        </w:rPr>
        <w:t>Auditors</w:t>
      </w:r>
      <w:r>
        <w:rPr>
          <w:spacing w:val="-6"/>
          <w:sz w:val="20"/>
        </w:rPr>
        <w:t> </w:t>
      </w:r>
      <w:r>
        <w:rPr>
          <w:sz w:val="20"/>
        </w:rPr>
        <w:t>are required to undertake regular training so as to maintain their professional competence. All four auditors of the OIA are certified in internal auditing or IT auditing. The Institute of Internal</w:t>
      </w:r>
      <w:r>
        <w:rPr>
          <w:spacing w:val="-13"/>
          <w:sz w:val="20"/>
        </w:rPr>
        <w:t> </w:t>
      </w:r>
      <w:r>
        <w:rPr>
          <w:sz w:val="20"/>
        </w:rPr>
        <w:t>Auditors</w:t>
      </w:r>
      <w:r>
        <w:rPr>
          <w:spacing w:val="-12"/>
          <w:sz w:val="20"/>
        </w:rPr>
        <w:t> </w:t>
      </w:r>
      <w:r>
        <w:rPr>
          <w:sz w:val="20"/>
        </w:rPr>
        <w:t>(IIA)</w:t>
      </w:r>
      <w:r>
        <w:rPr>
          <w:spacing w:val="-13"/>
          <w:sz w:val="20"/>
        </w:rPr>
        <w:t> </w:t>
      </w:r>
      <w:r>
        <w:rPr>
          <w:sz w:val="20"/>
        </w:rPr>
        <w:t>and</w:t>
      </w:r>
      <w:r>
        <w:rPr>
          <w:spacing w:val="-12"/>
          <w:sz w:val="20"/>
        </w:rPr>
        <w:t> </w:t>
      </w:r>
      <w:r>
        <w:rPr>
          <w:sz w:val="20"/>
        </w:rPr>
        <w:t>the</w:t>
      </w:r>
      <w:r>
        <w:rPr>
          <w:spacing w:val="-13"/>
          <w:sz w:val="20"/>
        </w:rPr>
        <w:t> </w:t>
      </w:r>
      <w:r>
        <w:rPr>
          <w:sz w:val="20"/>
        </w:rPr>
        <w:t>Information</w:t>
      </w:r>
      <w:r>
        <w:rPr>
          <w:spacing w:val="-12"/>
          <w:sz w:val="20"/>
        </w:rPr>
        <w:t> </w:t>
      </w:r>
      <w:r>
        <w:rPr>
          <w:sz w:val="20"/>
        </w:rPr>
        <w:t>Systems</w:t>
      </w:r>
      <w:r>
        <w:rPr>
          <w:spacing w:val="-13"/>
          <w:sz w:val="20"/>
        </w:rPr>
        <w:t> </w:t>
      </w:r>
      <w:r>
        <w:rPr>
          <w:sz w:val="20"/>
        </w:rPr>
        <w:t>Audit</w:t>
      </w:r>
      <w:r>
        <w:rPr>
          <w:spacing w:val="-8"/>
          <w:sz w:val="20"/>
        </w:rPr>
        <w:t> </w:t>
      </w:r>
      <w:r>
        <w:rPr>
          <w:sz w:val="20"/>
        </w:rPr>
        <w:t>and</w:t>
      </w:r>
      <w:r>
        <w:rPr>
          <w:spacing w:val="-8"/>
          <w:sz w:val="20"/>
        </w:rPr>
        <w:t> </w:t>
      </w:r>
      <w:r>
        <w:rPr>
          <w:sz w:val="20"/>
        </w:rPr>
        <w:t>Control</w:t>
      </w:r>
      <w:r>
        <w:rPr>
          <w:spacing w:val="-13"/>
          <w:sz w:val="20"/>
        </w:rPr>
        <w:t> </w:t>
      </w:r>
      <w:r>
        <w:rPr>
          <w:sz w:val="20"/>
        </w:rPr>
        <w:t>Association</w:t>
      </w:r>
      <w:r>
        <w:rPr>
          <w:spacing w:val="-12"/>
          <w:sz w:val="20"/>
        </w:rPr>
        <w:t> </w:t>
      </w:r>
      <w:r>
        <w:rPr>
          <w:sz w:val="20"/>
        </w:rPr>
        <w:t>(ISACA) require</w:t>
      </w:r>
      <w:r>
        <w:rPr>
          <w:spacing w:val="-6"/>
          <w:sz w:val="20"/>
        </w:rPr>
        <w:t> </w:t>
      </w:r>
      <w:r>
        <w:rPr>
          <w:sz w:val="20"/>
        </w:rPr>
        <w:t>certified</w:t>
      </w:r>
      <w:r>
        <w:rPr>
          <w:spacing w:val="-3"/>
          <w:sz w:val="20"/>
        </w:rPr>
        <w:t> </w:t>
      </w:r>
      <w:r>
        <w:rPr>
          <w:sz w:val="20"/>
        </w:rPr>
        <w:t>auditors</w:t>
      </w:r>
      <w:r>
        <w:rPr>
          <w:spacing w:val="-4"/>
          <w:sz w:val="20"/>
        </w:rPr>
        <w:t> </w:t>
      </w:r>
      <w:r>
        <w:rPr>
          <w:sz w:val="20"/>
        </w:rPr>
        <w:t>to</w:t>
      </w:r>
      <w:r>
        <w:rPr>
          <w:spacing w:val="-7"/>
          <w:sz w:val="20"/>
        </w:rPr>
        <w:t> </w:t>
      </w:r>
      <w:r>
        <w:rPr>
          <w:sz w:val="20"/>
        </w:rPr>
        <w:t>attend</w:t>
      </w:r>
      <w:r>
        <w:rPr>
          <w:spacing w:val="-3"/>
          <w:sz w:val="20"/>
        </w:rPr>
        <w:t> </w:t>
      </w:r>
      <w:r>
        <w:rPr>
          <w:sz w:val="20"/>
        </w:rPr>
        <w:t>40</w:t>
      </w:r>
      <w:r>
        <w:rPr>
          <w:spacing w:val="-7"/>
          <w:sz w:val="20"/>
        </w:rPr>
        <w:t> </w:t>
      </w:r>
      <w:r>
        <w:rPr>
          <w:sz w:val="20"/>
        </w:rPr>
        <w:t>hours</w:t>
      </w:r>
      <w:r>
        <w:rPr>
          <w:spacing w:val="-9"/>
          <w:sz w:val="20"/>
        </w:rPr>
        <w:t> </w:t>
      </w:r>
      <w:r>
        <w:rPr>
          <w:sz w:val="20"/>
        </w:rPr>
        <w:t>of</w:t>
      </w:r>
      <w:r>
        <w:rPr>
          <w:spacing w:val="-7"/>
          <w:sz w:val="20"/>
        </w:rPr>
        <w:t> </w:t>
      </w:r>
      <w:r>
        <w:rPr>
          <w:sz w:val="20"/>
        </w:rPr>
        <w:t>continuing</w:t>
      </w:r>
      <w:r>
        <w:rPr>
          <w:spacing w:val="-3"/>
          <w:sz w:val="20"/>
        </w:rPr>
        <w:t> </w:t>
      </w:r>
      <w:r>
        <w:rPr>
          <w:sz w:val="20"/>
        </w:rPr>
        <w:t>professional</w:t>
      </w:r>
      <w:r>
        <w:rPr>
          <w:spacing w:val="-6"/>
          <w:sz w:val="20"/>
        </w:rPr>
        <w:t> </w:t>
      </w:r>
      <w:r>
        <w:rPr>
          <w:sz w:val="20"/>
        </w:rPr>
        <w:t>education</w:t>
      </w:r>
      <w:r>
        <w:rPr>
          <w:spacing w:val="-7"/>
          <w:sz w:val="20"/>
        </w:rPr>
        <w:t> </w:t>
      </w:r>
      <w:r>
        <w:rPr>
          <w:sz w:val="20"/>
        </w:rPr>
        <w:t>(CPE)</w:t>
      </w:r>
      <w:r>
        <w:rPr>
          <w:spacing w:val="-7"/>
          <w:sz w:val="20"/>
        </w:rPr>
        <w:t> </w:t>
      </w:r>
      <w:r>
        <w:rPr>
          <w:sz w:val="20"/>
        </w:rPr>
        <w:t>each year to keep their certifications active. Training courses must be specifically related to the work of auditors and to their skills and experience. Currently, the Court does not offer training</w:t>
      </w:r>
      <w:r>
        <w:rPr>
          <w:spacing w:val="-9"/>
          <w:sz w:val="20"/>
        </w:rPr>
        <w:t> </w:t>
      </w:r>
      <w:r>
        <w:rPr>
          <w:sz w:val="20"/>
        </w:rPr>
        <w:t>courses</w:t>
      </w:r>
      <w:r>
        <w:rPr>
          <w:spacing w:val="-6"/>
          <w:sz w:val="20"/>
        </w:rPr>
        <w:t> </w:t>
      </w:r>
      <w:r>
        <w:rPr>
          <w:sz w:val="20"/>
        </w:rPr>
        <w:t>in</w:t>
      </w:r>
      <w:r>
        <w:rPr>
          <w:spacing w:val="-9"/>
          <w:sz w:val="20"/>
        </w:rPr>
        <w:t> </w:t>
      </w:r>
      <w:r>
        <w:rPr>
          <w:sz w:val="20"/>
        </w:rPr>
        <w:t>the</w:t>
      </w:r>
      <w:r>
        <w:rPr>
          <w:spacing w:val="-3"/>
          <w:sz w:val="20"/>
        </w:rPr>
        <w:t> </w:t>
      </w:r>
      <w:r>
        <w:rPr>
          <w:sz w:val="20"/>
        </w:rPr>
        <w:t>fields</w:t>
      </w:r>
      <w:r>
        <w:rPr>
          <w:spacing w:val="-6"/>
          <w:sz w:val="20"/>
        </w:rPr>
        <w:t> </w:t>
      </w:r>
      <w:r>
        <w:rPr>
          <w:sz w:val="20"/>
        </w:rPr>
        <w:t>of</w:t>
      </w:r>
      <w:r>
        <w:rPr>
          <w:spacing w:val="-5"/>
          <w:sz w:val="20"/>
        </w:rPr>
        <w:t> </w:t>
      </w:r>
      <w:r>
        <w:rPr>
          <w:sz w:val="20"/>
        </w:rPr>
        <w:t>governance,</w:t>
      </w:r>
      <w:r>
        <w:rPr>
          <w:spacing w:val="-2"/>
          <w:sz w:val="20"/>
        </w:rPr>
        <w:t> </w:t>
      </w:r>
      <w:r>
        <w:rPr>
          <w:sz w:val="20"/>
        </w:rPr>
        <w:t>risk</w:t>
      </w:r>
      <w:r>
        <w:rPr>
          <w:spacing w:val="-9"/>
          <w:sz w:val="20"/>
        </w:rPr>
        <w:t> </w:t>
      </w:r>
      <w:r>
        <w:rPr>
          <w:sz w:val="20"/>
        </w:rPr>
        <w:t>management,</w:t>
      </w:r>
      <w:r>
        <w:rPr>
          <w:spacing w:val="-2"/>
          <w:sz w:val="20"/>
        </w:rPr>
        <w:t> </w:t>
      </w:r>
      <w:r>
        <w:rPr>
          <w:sz w:val="20"/>
        </w:rPr>
        <w:t>compliance,</w:t>
      </w:r>
      <w:r>
        <w:rPr>
          <w:spacing w:val="-2"/>
          <w:sz w:val="20"/>
        </w:rPr>
        <w:t> </w:t>
      </w:r>
      <w:r>
        <w:rPr>
          <w:sz w:val="20"/>
        </w:rPr>
        <w:t>general</w:t>
      </w:r>
      <w:r>
        <w:rPr>
          <w:spacing w:val="-3"/>
          <w:sz w:val="20"/>
        </w:rPr>
        <w:t> </w:t>
      </w:r>
      <w:r>
        <w:rPr>
          <w:sz w:val="20"/>
        </w:rPr>
        <w:t>auditing, IT auditing, internal control management or other areas of interest to OIA auditors.</w:t>
      </w:r>
    </w:p>
    <w:p>
      <w:pPr>
        <w:pStyle w:val="ListParagraph"/>
        <w:numPr>
          <w:ilvl w:val="0"/>
          <w:numId w:val="4"/>
        </w:numPr>
        <w:tabs>
          <w:tab w:pos="2967" w:val="left" w:leader="none"/>
        </w:tabs>
        <w:spacing w:line="240" w:lineRule="auto" w:before="120" w:after="0"/>
        <w:ind w:left="2246" w:right="2236" w:firstLine="0"/>
        <w:jc w:val="both"/>
        <w:rPr>
          <w:sz w:val="20"/>
        </w:rPr>
      </w:pPr>
      <w:bookmarkStart w:name="_bookmark61" w:id="62"/>
      <w:bookmarkEnd w:id="62"/>
      <w:r>
        <w:rPr>
          <w:sz w:val="20"/>
        </w:rPr>
        <w:t>T</w:t>
      </w:r>
      <w:r>
        <w:rPr>
          <w:sz w:val="20"/>
        </w:rPr>
        <w:t>he</w:t>
      </w:r>
      <w:r>
        <w:rPr>
          <w:spacing w:val="-6"/>
          <w:sz w:val="20"/>
        </w:rPr>
        <w:t> </w:t>
      </w:r>
      <w:r>
        <w:rPr>
          <w:sz w:val="20"/>
        </w:rPr>
        <w:t>cost</w:t>
      </w:r>
      <w:r>
        <w:rPr>
          <w:spacing w:val="-6"/>
          <w:sz w:val="20"/>
        </w:rPr>
        <w:t> </w:t>
      </w:r>
      <w:r>
        <w:rPr>
          <w:sz w:val="20"/>
        </w:rPr>
        <w:t>of</w:t>
      </w:r>
      <w:r>
        <w:rPr>
          <w:spacing w:val="-3"/>
          <w:sz w:val="20"/>
        </w:rPr>
        <w:t> </w:t>
      </w:r>
      <w:r>
        <w:rPr>
          <w:sz w:val="20"/>
        </w:rPr>
        <w:t>a</w:t>
      </w:r>
      <w:r>
        <w:rPr>
          <w:spacing w:val="-6"/>
          <w:sz w:val="20"/>
        </w:rPr>
        <w:t> </w:t>
      </w:r>
      <w:r>
        <w:rPr>
          <w:sz w:val="20"/>
        </w:rPr>
        <w:t>course</w:t>
      </w:r>
      <w:r>
        <w:rPr>
          <w:spacing w:val="-1"/>
          <w:sz w:val="20"/>
        </w:rPr>
        <w:t> </w:t>
      </w:r>
      <w:r>
        <w:rPr>
          <w:sz w:val="20"/>
        </w:rPr>
        <w:t>that</w:t>
      </w:r>
      <w:r>
        <w:rPr>
          <w:spacing w:val="-6"/>
          <w:sz w:val="20"/>
        </w:rPr>
        <w:t> </w:t>
      </w:r>
      <w:r>
        <w:rPr>
          <w:sz w:val="20"/>
        </w:rPr>
        <w:t>provides</w:t>
      </w:r>
      <w:r>
        <w:rPr>
          <w:spacing w:val="-4"/>
          <w:sz w:val="20"/>
        </w:rPr>
        <w:t> </w:t>
      </w:r>
      <w:r>
        <w:rPr>
          <w:sz w:val="20"/>
        </w:rPr>
        <w:t>25</w:t>
      </w:r>
      <w:r>
        <w:rPr>
          <w:spacing w:val="-3"/>
          <w:sz w:val="20"/>
        </w:rPr>
        <w:t> </w:t>
      </w:r>
      <w:r>
        <w:rPr>
          <w:sz w:val="20"/>
        </w:rPr>
        <w:t>hours</w:t>
      </w:r>
      <w:r>
        <w:rPr>
          <w:spacing w:val="-9"/>
          <w:sz w:val="20"/>
        </w:rPr>
        <w:t> </w:t>
      </w:r>
      <w:r>
        <w:rPr>
          <w:sz w:val="20"/>
        </w:rPr>
        <w:t>of</w:t>
      </w:r>
      <w:r>
        <w:rPr>
          <w:spacing w:val="-3"/>
          <w:sz w:val="20"/>
        </w:rPr>
        <w:t> </w:t>
      </w:r>
      <w:r>
        <w:rPr>
          <w:sz w:val="20"/>
        </w:rPr>
        <w:t>CPE</w:t>
      </w:r>
      <w:r>
        <w:rPr>
          <w:spacing w:val="-6"/>
          <w:sz w:val="20"/>
        </w:rPr>
        <w:t> </w:t>
      </w:r>
      <w:r>
        <w:rPr>
          <w:sz w:val="20"/>
        </w:rPr>
        <w:t>is</w:t>
      </w:r>
      <w:r>
        <w:rPr>
          <w:spacing w:val="-4"/>
          <w:sz w:val="20"/>
        </w:rPr>
        <w:t> </w:t>
      </w:r>
      <w:r>
        <w:rPr>
          <w:sz w:val="20"/>
        </w:rPr>
        <w:t>approximately</w:t>
      </w:r>
      <w:r>
        <w:rPr>
          <w:spacing w:val="-3"/>
          <w:sz w:val="20"/>
        </w:rPr>
        <w:t> </w:t>
      </w:r>
      <w:r>
        <w:rPr>
          <w:sz w:val="20"/>
        </w:rPr>
        <w:t>€3.0</w:t>
      </w:r>
      <w:r>
        <w:rPr>
          <w:spacing w:val="-3"/>
          <w:sz w:val="20"/>
        </w:rPr>
        <w:t> </w:t>
      </w:r>
      <w:r>
        <w:rPr>
          <w:sz w:val="20"/>
        </w:rPr>
        <w:t>thousand. The</w:t>
      </w:r>
      <w:r>
        <w:rPr>
          <w:spacing w:val="19"/>
          <w:sz w:val="20"/>
        </w:rPr>
        <w:t> </w:t>
      </w:r>
      <w:r>
        <w:rPr>
          <w:sz w:val="20"/>
        </w:rPr>
        <w:t>OIA has contemplated all of the options available</w:t>
      </w:r>
      <w:r>
        <w:rPr>
          <w:spacing w:val="19"/>
          <w:sz w:val="20"/>
        </w:rPr>
        <w:t> </w:t>
      </w:r>
      <w:r>
        <w:rPr>
          <w:sz w:val="20"/>
        </w:rPr>
        <w:t>to efficiently meet the</w:t>
      </w:r>
      <w:r>
        <w:rPr>
          <w:spacing w:val="19"/>
          <w:sz w:val="20"/>
        </w:rPr>
        <w:t> </w:t>
      </w:r>
      <w:r>
        <w:rPr>
          <w:sz w:val="20"/>
        </w:rPr>
        <w:t>requirement of 40 hours of CPE. In-house training</w:t>
      </w:r>
      <w:r>
        <w:rPr>
          <w:spacing w:val="-4"/>
          <w:sz w:val="20"/>
        </w:rPr>
        <w:t> </w:t>
      </w:r>
      <w:r>
        <w:rPr>
          <w:sz w:val="20"/>
        </w:rPr>
        <w:t>courses</w:t>
      </w:r>
      <w:r>
        <w:rPr>
          <w:spacing w:val="-5"/>
          <w:sz w:val="20"/>
        </w:rPr>
        <w:t> </w:t>
      </w:r>
      <w:r>
        <w:rPr>
          <w:sz w:val="20"/>
        </w:rPr>
        <w:t>at the Court,</w:t>
      </w:r>
      <w:r>
        <w:rPr>
          <w:spacing w:val="-1"/>
          <w:sz w:val="20"/>
        </w:rPr>
        <w:t> </w:t>
      </w:r>
      <w:r>
        <w:rPr>
          <w:sz w:val="20"/>
        </w:rPr>
        <w:t>conferences, online training</w:t>
      </w:r>
      <w:r>
        <w:rPr>
          <w:spacing w:val="-4"/>
          <w:sz w:val="20"/>
        </w:rPr>
        <w:t> </w:t>
      </w:r>
      <w:r>
        <w:rPr>
          <w:sz w:val="20"/>
        </w:rPr>
        <w:t>and courses given only in the Netherlands were considered. There are, however, limitations to these alternatives, e.g. courses are only offered in Dutch and deal with a limited range of topics. However, since restrictions were imposed as a result of COVID-19 in 2020, several international training institutions have adjusted their training programs by offering more online</w:t>
      </w:r>
      <w:r>
        <w:rPr>
          <w:spacing w:val="-1"/>
          <w:sz w:val="20"/>
        </w:rPr>
        <w:t> </w:t>
      </w:r>
      <w:r>
        <w:rPr>
          <w:sz w:val="20"/>
        </w:rPr>
        <w:t>courses, which</w:t>
      </w:r>
      <w:r>
        <w:rPr>
          <w:spacing w:val="-3"/>
          <w:sz w:val="20"/>
        </w:rPr>
        <w:t> </w:t>
      </w:r>
      <w:r>
        <w:rPr>
          <w:sz w:val="20"/>
        </w:rPr>
        <w:t>has</w:t>
      </w:r>
      <w:r>
        <w:rPr>
          <w:spacing w:val="-4"/>
          <w:sz w:val="20"/>
        </w:rPr>
        <w:t> </w:t>
      </w:r>
      <w:r>
        <w:rPr>
          <w:sz w:val="20"/>
        </w:rPr>
        <w:t>reduced</w:t>
      </w:r>
      <w:r>
        <w:rPr>
          <w:spacing w:val="-3"/>
          <w:sz w:val="20"/>
        </w:rPr>
        <w:t> </w:t>
      </w:r>
      <w:r>
        <w:rPr>
          <w:sz w:val="20"/>
        </w:rPr>
        <w:t>the</w:t>
      </w:r>
      <w:r>
        <w:rPr>
          <w:spacing w:val="-1"/>
          <w:sz w:val="20"/>
        </w:rPr>
        <w:t> </w:t>
      </w:r>
      <w:r>
        <w:rPr>
          <w:sz w:val="20"/>
        </w:rPr>
        <w:t>need</w:t>
      </w:r>
      <w:r>
        <w:rPr>
          <w:spacing w:val="-3"/>
          <w:sz w:val="20"/>
        </w:rPr>
        <w:t> </w:t>
      </w:r>
      <w:r>
        <w:rPr>
          <w:sz w:val="20"/>
        </w:rPr>
        <w:t>to</w:t>
      </w:r>
      <w:r>
        <w:rPr>
          <w:spacing w:val="-3"/>
          <w:sz w:val="20"/>
        </w:rPr>
        <w:t> </w:t>
      </w:r>
      <w:r>
        <w:rPr>
          <w:sz w:val="20"/>
        </w:rPr>
        <w:t>travel</w:t>
      </w:r>
      <w:r>
        <w:rPr>
          <w:spacing w:val="-1"/>
          <w:sz w:val="20"/>
        </w:rPr>
        <w:t> </w:t>
      </w:r>
      <w:r>
        <w:rPr>
          <w:sz w:val="20"/>
        </w:rPr>
        <w:t>to</w:t>
      </w:r>
      <w:r>
        <w:rPr>
          <w:spacing w:val="-7"/>
          <w:sz w:val="20"/>
        </w:rPr>
        <w:t> </w:t>
      </w:r>
      <w:r>
        <w:rPr>
          <w:sz w:val="20"/>
        </w:rPr>
        <w:t>attend</w:t>
      </w:r>
      <w:r>
        <w:rPr>
          <w:spacing w:val="-3"/>
          <w:sz w:val="20"/>
        </w:rPr>
        <w:t> </w:t>
      </w:r>
      <w:r>
        <w:rPr>
          <w:sz w:val="20"/>
        </w:rPr>
        <w:t>training. This</w:t>
      </w:r>
      <w:r>
        <w:rPr>
          <w:spacing w:val="-4"/>
          <w:sz w:val="20"/>
        </w:rPr>
        <w:t> </w:t>
      </w:r>
      <w:r>
        <w:rPr>
          <w:sz w:val="20"/>
        </w:rPr>
        <w:t>has</w:t>
      </w:r>
      <w:r>
        <w:rPr>
          <w:spacing w:val="-4"/>
          <w:sz w:val="20"/>
        </w:rPr>
        <w:t> </w:t>
      </w:r>
      <w:r>
        <w:rPr>
          <w:sz w:val="20"/>
        </w:rPr>
        <w:t>resulted</w:t>
      </w:r>
      <w:r>
        <w:rPr>
          <w:spacing w:val="-3"/>
          <w:sz w:val="20"/>
        </w:rPr>
        <w:t> </w:t>
      </w:r>
      <w:r>
        <w:rPr>
          <w:sz w:val="20"/>
        </w:rPr>
        <w:t>in</w:t>
      </w:r>
      <w:r>
        <w:rPr>
          <w:spacing w:val="-3"/>
          <w:sz w:val="20"/>
        </w:rPr>
        <w:t> </w:t>
      </w:r>
      <w:r>
        <w:rPr>
          <w:sz w:val="20"/>
        </w:rPr>
        <w:t>a decrease in the amount requested for training. While the Court has an online training platform, it only offers non-audit related</w:t>
      </w:r>
      <w:r>
        <w:rPr>
          <w:spacing w:val="-4"/>
          <w:sz w:val="20"/>
        </w:rPr>
        <w:t> </w:t>
      </w:r>
      <w:r>
        <w:rPr>
          <w:sz w:val="20"/>
        </w:rPr>
        <w:t>training courses that do not provide a</w:t>
      </w:r>
      <w:r>
        <w:rPr>
          <w:spacing w:val="-2"/>
          <w:sz w:val="20"/>
        </w:rPr>
        <w:t> </w:t>
      </w:r>
      <w:r>
        <w:rPr>
          <w:sz w:val="20"/>
        </w:rPr>
        <w:t>certificate of </w:t>
      </w:r>
      <w:r>
        <w:rPr>
          <w:spacing w:val="-2"/>
          <w:sz w:val="20"/>
        </w:rPr>
        <w:t>attendance.</w:t>
      </w:r>
    </w:p>
    <w:p>
      <w:pPr>
        <w:spacing w:after="0" w:line="240" w:lineRule="auto"/>
        <w:jc w:val="both"/>
        <w:rPr>
          <w:sz w:val="20"/>
        </w:rPr>
        <w:sectPr>
          <w:pgSz w:w="11910" w:h="16840"/>
          <w:pgMar w:header="953" w:footer="940" w:top="1140" w:bottom="1140" w:left="20" w:right="20"/>
        </w:sectPr>
      </w:pPr>
    </w:p>
    <w:p>
      <w:pPr>
        <w:spacing w:before="120"/>
        <w:ind w:left="2246" w:right="0" w:firstLine="0"/>
        <w:jc w:val="left"/>
        <w:rPr>
          <w:b/>
          <w:sz w:val="20"/>
        </w:rPr>
      </w:pPr>
      <w:r>
        <w:rPr>
          <w:b/>
          <w:sz w:val="20"/>
        </w:rPr>
        <w:t>Table</w:t>
      </w:r>
      <w:r>
        <w:rPr>
          <w:b/>
          <w:spacing w:val="-6"/>
          <w:sz w:val="20"/>
        </w:rPr>
        <w:t> </w:t>
      </w:r>
      <w:r>
        <w:rPr>
          <w:b/>
          <w:sz w:val="20"/>
        </w:rPr>
        <w:t>49:</w:t>
      </w:r>
      <w:r>
        <w:rPr>
          <w:b/>
          <w:spacing w:val="-8"/>
          <w:sz w:val="20"/>
        </w:rPr>
        <w:t> </w:t>
      </w:r>
      <w:r>
        <w:rPr>
          <w:b/>
          <w:sz w:val="20"/>
        </w:rPr>
        <w:t>Major</w:t>
      </w:r>
      <w:r>
        <w:rPr>
          <w:b/>
          <w:spacing w:val="-10"/>
          <w:sz w:val="20"/>
        </w:rPr>
        <w:t> </w:t>
      </w:r>
      <w:r>
        <w:rPr>
          <w:b/>
          <w:sz w:val="20"/>
        </w:rPr>
        <w:t>Programme</w:t>
      </w:r>
      <w:r>
        <w:rPr>
          <w:b/>
          <w:spacing w:val="-4"/>
          <w:sz w:val="20"/>
        </w:rPr>
        <w:t> </w:t>
      </w:r>
      <w:r>
        <w:rPr>
          <w:b/>
          <w:sz w:val="20"/>
        </w:rPr>
        <w:t>VII-6:</w:t>
      </w:r>
      <w:r>
        <w:rPr>
          <w:b/>
          <w:spacing w:val="-7"/>
          <w:sz w:val="20"/>
        </w:rPr>
        <w:t> </w:t>
      </w:r>
      <w:r>
        <w:rPr>
          <w:b/>
          <w:sz w:val="20"/>
        </w:rPr>
        <w:t>Proposed</w:t>
      </w:r>
      <w:r>
        <w:rPr>
          <w:b/>
          <w:spacing w:val="-4"/>
          <w:sz w:val="20"/>
        </w:rPr>
        <w:t> </w:t>
      </w:r>
      <w:r>
        <w:rPr>
          <w:b/>
          <w:sz w:val="20"/>
        </w:rPr>
        <w:t>budget</w:t>
      </w:r>
      <w:r>
        <w:rPr>
          <w:b/>
          <w:spacing w:val="-3"/>
          <w:sz w:val="20"/>
        </w:rPr>
        <w:t> </w:t>
      </w:r>
      <w:r>
        <w:rPr>
          <w:b/>
          <w:sz w:val="20"/>
        </w:rPr>
        <w:t>for</w:t>
      </w:r>
      <w:r>
        <w:rPr>
          <w:b/>
          <w:spacing w:val="-10"/>
          <w:sz w:val="20"/>
        </w:rPr>
        <w:t> </w:t>
      </w:r>
      <w:r>
        <w:rPr>
          <w:b/>
          <w:spacing w:val="-4"/>
          <w:sz w:val="20"/>
        </w:rPr>
        <w:t>2023</w:t>
      </w:r>
    </w:p>
    <w:tbl>
      <w:tblPr>
        <w:tblW w:w="0" w:type="auto"/>
        <w:jc w:val="left"/>
        <w:tblInd w:w="1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61"/>
        <w:gridCol w:w="1218"/>
        <w:gridCol w:w="827"/>
        <w:gridCol w:w="1133"/>
        <w:gridCol w:w="1078"/>
        <w:gridCol w:w="1122"/>
        <w:gridCol w:w="753"/>
        <w:gridCol w:w="1053"/>
      </w:tblGrid>
      <w:tr>
        <w:trPr>
          <w:trHeight w:val="324" w:hRule="atLeast"/>
        </w:trPr>
        <w:tc>
          <w:tcPr>
            <w:tcW w:w="2461" w:type="dxa"/>
            <w:tcBorders>
              <w:top w:val="single" w:sz="4" w:space="0" w:color="000000"/>
            </w:tcBorders>
          </w:tcPr>
          <w:p>
            <w:pPr>
              <w:pStyle w:val="TableParagraph"/>
              <w:jc w:val="left"/>
              <w:rPr>
                <w:sz w:val="14"/>
              </w:rPr>
            </w:pPr>
          </w:p>
        </w:tc>
        <w:tc>
          <w:tcPr>
            <w:tcW w:w="3178" w:type="dxa"/>
            <w:gridSpan w:val="3"/>
            <w:tcBorders>
              <w:top w:val="single" w:sz="4" w:space="0" w:color="000000"/>
            </w:tcBorders>
          </w:tcPr>
          <w:p>
            <w:pPr>
              <w:pStyle w:val="TableParagraph"/>
              <w:tabs>
                <w:tab w:pos="311" w:val="left" w:leader="none"/>
                <w:tab w:pos="3178" w:val="left" w:leader="none"/>
              </w:tabs>
              <w:spacing w:line="180" w:lineRule="exact" w:before="124"/>
              <w:ind w:left="-1" w:right="-15"/>
              <w:jc w:val="left"/>
              <w:rPr>
                <w:sz w:val="16"/>
              </w:rPr>
            </w:pPr>
            <w:r>
              <w:rPr>
                <w:sz w:val="16"/>
                <w:u w:val="single"/>
              </w:rPr>
              <w:tab/>
              <w:t>2021</w:t>
            </w:r>
            <w:r>
              <w:rPr>
                <w:spacing w:val="-3"/>
                <w:sz w:val="16"/>
                <w:u w:val="single"/>
              </w:rPr>
              <w:t> </w:t>
            </w:r>
            <w:r>
              <w:rPr>
                <w:sz w:val="16"/>
                <w:u w:val="single"/>
              </w:rPr>
              <w:t>Expenditures</w:t>
            </w:r>
            <w:r>
              <w:rPr>
                <w:spacing w:val="-4"/>
                <w:sz w:val="16"/>
                <w:u w:val="single"/>
              </w:rPr>
              <w:t> </w:t>
            </w:r>
            <w:r>
              <w:rPr>
                <w:sz w:val="16"/>
                <w:u w:val="single"/>
              </w:rPr>
              <w:t>(thousands</w:t>
            </w:r>
            <w:r>
              <w:rPr>
                <w:spacing w:val="-4"/>
                <w:sz w:val="16"/>
                <w:u w:val="single"/>
              </w:rPr>
              <w:t> </w:t>
            </w:r>
            <w:r>
              <w:rPr>
                <w:sz w:val="16"/>
                <w:u w:val="single"/>
              </w:rPr>
              <w:t>of</w:t>
            </w:r>
            <w:r>
              <w:rPr>
                <w:spacing w:val="-4"/>
                <w:sz w:val="16"/>
                <w:u w:val="single"/>
              </w:rPr>
              <w:t> </w:t>
            </w:r>
            <w:r>
              <w:rPr>
                <w:spacing w:val="-2"/>
                <w:sz w:val="16"/>
                <w:u w:val="single"/>
              </w:rPr>
              <w:t>euros)</w:t>
            </w:r>
            <w:r>
              <w:rPr>
                <w:sz w:val="16"/>
                <w:u w:val="single"/>
              </w:rPr>
              <w:tab/>
            </w:r>
          </w:p>
        </w:tc>
        <w:tc>
          <w:tcPr>
            <w:tcW w:w="1078" w:type="dxa"/>
            <w:vMerge w:val="restart"/>
            <w:tcBorders>
              <w:top w:val="single" w:sz="4" w:space="0" w:color="000000"/>
              <w:bottom w:val="single" w:sz="12" w:space="0" w:color="000000"/>
            </w:tcBorders>
          </w:tcPr>
          <w:p>
            <w:pPr>
              <w:pStyle w:val="TableParagraph"/>
              <w:spacing w:line="183" w:lineRule="exact" w:before="153"/>
              <w:ind w:left="228" w:right="181"/>
              <w:jc w:val="center"/>
              <w:rPr>
                <w:sz w:val="16"/>
              </w:rPr>
            </w:pPr>
            <w:r>
              <w:rPr>
                <w:spacing w:val="-4"/>
                <w:sz w:val="16"/>
              </w:rPr>
              <w:t>2022</w:t>
            </w:r>
          </w:p>
          <w:p>
            <w:pPr>
              <w:pStyle w:val="TableParagraph"/>
              <w:spacing w:line="183" w:lineRule="exact"/>
              <w:ind w:left="227" w:right="184"/>
              <w:jc w:val="center"/>
              <w:rPr>
                <w:sz w:val="16"/>
              </w:rPr>
            </w:pPr>
            <w:r>
              <w:rPr>
                <w:spacing w:val="-2"/>
                <w:sz w:val="16"/>
              </w:rPr>
              <w:t>Approved</w:t>
            </w:r>
          </w:p>
          <w:p>
            <w:pPr>
              <w:pStyle w:val="TableParagraph"/>
              <w:spacing w:line="172" w:lineRule="exact" w:before="3"/>
              <w:ind w:left="228" w:right="176"/>
              <w:jc w:val="center"/>
              <w:rPr>
                <w:sz w:val="16"/>
              </w:rPr>
            </w:pPr>
            <w:r>
              <w:rPr>
                <w:spacing w:val="-2"/>
                <w:sz w:val="16"/>
              </w:rPr>
              <w:t>Budget</w:t>
            </w:r>
          </w:p>
        </w:tc>
        <w:tc>
          <w:tcPr>
            <w:tcW w:w="1875" w:type="dxa"/>
            <w:gridSpan w:val="2"/>
            <w:tcBorders>
              <w:top w:val="single" w:sz="4" w:space="0" w:color="000000"/>
            </w:tcBorders>
          </w:tcPr>
          <w:p>
            <w:pPr>
              <w:pStyle w:val="TableParagraph"/>
              <w:tabs>
                <w:tab w:pos="339" w:val="left" w:leader="none"/>
                <w:tab w:pos="1803" w:val="left" w:leader="none"/>
              </w:tabs>
              <w:spacing w:line="180" w:lineRule="exact" w:before="124"/>
              <w:ind w:left="56"/>
              <w:jc w:val="left"/>
              <w:rPr>
                <w:sz w:val="16"/>
              </w:rPr>
            </w:pPr>
            <w:r>
              <w:rPr>
                <w:sz w:val="16"/>
                <w:u w:val="single"/>
              </w:rPr>
              <w:tab/>
              <w:t>Resource</w:t>
            </w:r>
            <w:r>
              <w:rPr>
                <w:spacing w:val="-2"/>
                <w:sz w:val="16"/>
                <w:u w:val="single"/>
              </w:rPr>
              <w:t> Changes</w:t>
            </w:r>
            <w:r>
              <w:rPr>
                <w:sz w:val="16"/>
                <w:u w:val="single"/>
              </w:rPr>
              <w:tab/>
            </w:r>
          </w:p>
        </w:tc>
        <w:tc>
          <w:tcPr>
            <w:tcW w:w="1053" w:type="dxa"/>
            <w:tcBorders>
              <w:top w:val="single" w:sz="4" w:space="0" w:color="000000"/>
            </w:tcBorders>
          </w:tcPr>
          <w:p>
            <w:pPr>
              <w:pStyle w:val="TableParagraph"/>
              <w:jc w:val="left"/>
              <w:rPr>
                <w:sz w:val="14"/>
              </w:rPr>
            </w:pPr>
          </w:p>
        </w:tc>
      </w:tr>
      <w:tr>
        <w:trPr>
          <w:trHeight w:val="359" w:hRule="atLeast"/>
        </w:trPr>
        <w:tc>
          <w:tcPr>
            <w:tcW w:w="2461" w:type="dxa"/>
            <w:tcBorders>
              <w:bottom w:val="single" w:sz="12" w:space="0" w:color="000000"/>
            </w:tcBorders>
          </w:tcPr>
          <w:p>
            <w:pPr>
              <w:pStyle w:val="TableParagraph"/>
              <w:spacing w:line="165" w:lineRule="exact"/>
              <w:ind w:left="117"/>
              <w:jc w:val="left"/>
              <w:rPr>
                <w:b/>
                <w:sz w:val="16"/>
              </w:rPr>
            </w:pPr>
            <w:r>
              <w:rPr>
                <w:b/>
                <w:w w:val="95"/>
                <w:sz w:val="16"/>
              </w:rPr>
              <w:t>Major</w:t>
            </w:r>
            <w:r>
              <w:rPr>
                <w:b/>
                <w:spacing w:val="34"/>
                <w:sz w:val="16"/>
              </w:rPr>
              <w:t> </w:t>
            </w:r>
            <w:r>
              <w:rPr>
                <w:b/>
                <w:w w:val="95"/>
                <w:sz w:val="16"/>
              </w:rPr>
              <w:t>Programme</w:t>
            </w:r>
            <w:r>
              <w:rPr>
                <w:b/>
                <w:spacing w:val="34"/>
                <w:sz w:val="16"/>
              </w:rPr>
              <w:t> </w:t>
            </w:r>
            <w:r>
              <w:rPr>
                <w:b/>
                <w:w w:val="95"/>
                <w:sz w:val="16"/>
              </w:rPr>
              <w:t>VII-</w:t>
            </w:r>
            <w:r>
              <w:rPr>
                <w:b/>
                <w:spacing w:val="-10"/>
                <w:w w:val="95"/>
                <w:sz w:val="16"/>
              </w:rPr>
              <w:t>6</w:t>
            </w:r>
          </w:p>
          <w:p>
            <w:pPr>
              <w:pStyle w:val="TableParagraph"/>
              <w:spacing w:line="172" w:lineRule="exact" w:before="3"/>
              <w:ind w:left="117"/>
              <w:jc w:val="left"/>
              <w:rPr>
                <w:b/>
                <w:sz w:val="16"/>
              </w:rPr>
            </w:pPr>
            <w:r>
              <w:rPr>
                <w:b/>
                <w:sz w:val="16"/>
              </w:rPr>
              <w:t>Office</w:t>
            </w:r>
            <w:r>
              <w:rPr>
                <w:b/>
                <w:spacing w:val="-6"/>
                <w:sz w:val="16"/>
              </w:rPr>
              <w:t> </w:t>
            </w:r>
            <w:r>
              <w:rPr>
                <w:b/>
                <w:sz w:val="16"/>
              </w:rPr>
              <w:t>of</w:t>
            </w:r>
            <w:r>
              <w:rPr>
                <w:b/>
                <w:spacing w:val="-6"/>
                <w:sz w:val="16"/>
              </w:rPr>
              <w:t> </w:t>
            </w:r>
            <w:r>
              <w:rPr>
                <w:b/>
                <w:sz w:val="16"/>
              </w:rPr>
              <w:t>Internal</w:t>
            </w:r>
            <w:r>
              <w:rPr>
                <w:b/>
                <w:spacing w:val="-7"/>
                <w:sz w:val="16"/>
              </w:rPr>
              <w:t> </w:t>
            </w:r>
            <w:r>
              <w:rPr>
                <w:b/>
                <w:spacing w:val="-4"/>
                <w:sz w:val="16"/>
              </w:rPr>
              <w:t>Audit</w:t>
            </w:r>
          </w:p>
        </w:tc>
        <w:tc>
          <w:tcPr>
            <w:tcW w:w="1218" w:type="dxa"/>
            <w:tcBorders>
              <w:bottom w:val="single" w:sz="12" w:space="0" w:color="000000"/>
            </w:tcBorders>
          </w:tcPr>
          <w:p>
            <w:pPr>
              <w:pStyle w:val="TableParagraph"/>
              <w:spacing w:before="7"/>
              <w:jc w:val="left"/>
              <w:rPr>
                <w:b/>
                <w:sz w:val="14"/>
              </w:rPr>
            </w:pPr>
          </w:p>
          <w:p>
            <w:pPr>
              <w:pStyle w:val="TableParagraph"/>
              <w:spacing w:line="172" w:lineRule="exact"/>
              <w:ind w:left="393"/>
              <w:jc w:val="left"/>
              <w:rPr>
                <w:sz w:val="16"/>
              </w:rPr>
            </w:pPr>
            <w:r>
              <w:rPr>
                <w:spacing w:val="-2"/>
                <w:sz w:val="16"/>
              </w:rPr>
              <w:t>Total</w:t>
            </w:r>
          </w:p>
        </w:tc>
        <w:tc>
          <w:tcPr>
            <w:tcW w:w="827" w:type="dxa"/>
            <w:tcBorders>
              <w:bottom w:val="single" w:sz="12" w:space="0" w:color="000000"/>
            </w:tcBorders>
          </w:tcPr>
          <w:p>
            <w:pPr>
              <w:pStyle w:val="TableParagraph"/>
              <w:spacing w:line="165" w:lineRule="exact"/>
              <w:ind w:left="193"/>
              <w:jc w:val="left"/>
              <w:rPr>
                <w:sz w:val="16"/>
              </w:rPr>
            </w:pPr>
            <w:r>
              <w:rPr>
                <w:spacing w:val="-2"/>
                <w:sz w:val="16"/>
              </w:rPr>
              <w:t>Cont.</w:t>
            </w:r>
          </w:p>
          <w:p>
            <w:pPr>
              <w:pStyle w:val="TableParagraph"/>
              <w:spacing w:line="172" w:lineRule="exact" w:before="3"/>
              <w:ind w:left="203"/>
              <w:jc w:val="left"/>
              <w:rPr>
                <w:sz w:val="16"/>
              </w:rPr>
            </w:pPr>
            <w:r>
              <w:rPr>
                <w:spacing w:val="-4"/>
                <w:sz w:val="16"/>
              </w:rPr>
              <w:t>Fund</w:t>
            </w:r>
          </w:p>
        </w:tc>
        <w:tc>
          <w:tcPr>
            <w:tcW w:w="1133" w:type="dxa"/>
            <w:tcBorders>
              <w:bottom w:val="single" w:sz="12" w:space="0" w:color="000000"/>
            </w:tcBorders>
          </w:tcPr>
          <w:p>
            <w:pPr>
              <w:pStyle w:val="TableParagraph"/>
              <w:spacing w:before="7"/>
              <w:jc w:val="left"/>
              <w:rPr>
                <w:b/>
                <w:sz w:val="14"/>
              </w:rPr>
            </w:pPr>
          </w:p>
          <w:p>
            <w:pPr>
              <w:pStyle w:val="TableParagraph"/>
              <w:spacing w:line="172" w:lineRule="exact"/>
              <w:ind w:right="121"/>
              <w:rPr>
                <w:sz w:val="16"/>
              </w:rPr>
            </w:pPr>
            <w:r>
              <w:rPr>
                <w:sz w:val="16"/>
              </w:rPr>
              <w:t>Total</w:t>
            </w:r>
            <w:r>
              <w:rPr>
                <w:spacing w:val="-7"/>
                <w:sz w:val="16"/>
              </w:rPr>
              <w:t> </w:t>
            </w:r>
            <w:r>
              <w:rPr>
                <w:sz w:val="16"/>
              </w:rPr>
              <w:t>Incl.</w:t>
            </w:r>
            <w:r>
              <w:rPr>
                <w:spacing w:val="-6"/>
                <w:sz w:val="16"/>
              </w:rPr>
              <w:t> </w:t>
            </w:r>
            <w:r>
              <w:rPr>
                <w:spacing w:val="-5"/>
                <w:sz w:val="16"/>
              </w:rPr>
              <w:t>CF</w:t>
            </w:r>
          </w:p>
        </w:tc>
        <w:tc>
          <w:tcPr>
            <w:tcW w:w="1078" w:type="dxa"/>
            <w:vMerge/>
            <w:tcBorders>
              <w:top w:val="nil"/>
              <w:bottom w:val="single" w:sz="12" w:space="0" w:color="000000"/>
            </w:tcBorders>
          </w:tcPr>
          <w:p>
            <w:pPr>
              <w:rPr>
                <w:sz w:val="2"/>
                <w:szCs w:val="2"/>
              </w:rPr>
            </w:pPr>
          </w:p>
        </w:tc>
        <w:tc>
          <w:tcPr>
            <w:tcW w:w="1122" w:type="dxa"/>
            <w:tcBorders>
              <w:bottom w:val="single" w:sz="12" w:space="0" w:color="000000"/>
            </w:tcBorders>
          </w:tcPr>
          <w:p>
            <w:pPr>
              <w:pStyle w:val="TableParagraph"/>
              <w:spacing w:before="7"/>
              <w:jc w:val="left"/>
              <w:rPr>
                <w:b/>
                <w:sz w:val="14"/>
              </w:rPr>
            </w:pPr>
          </w:p>
          <w:p>
            <w:pPr>
              <w:pStyle w:val="TableParagraph"/>
              <w:spacing w:line="172" w:lineRule="exact"/>
              <w:ind w:right="180"/>
              <w:rPr>
                <w:sz w:val="16"/>
              </w:rPr>
            </w:pPr>
            <w:r>
              <w:rPr>
                <w:spacing w:val="-2"/>
                <w:sz w:val="16"/>
              </w:rPr>
              <w:t>Amount</w:t>
            </w:r>
          </w:p>
        </w:tc>
        <w:tc>
          <w:tcPr>
            <w:tcW w:w="753" w:type="dxa"/>
            <w:tcBorders>
              <w:bottom w:val="single" w:sz="12" w:space="0" w:color="000000"/>
            </w:tcBorders>
          </w:tcPr>
          <w:p>
            <w:pPr>
              <w:pStyle w:val="TableParagraph"/>
              <w:spacing w:before="7"/>
              <w:jc w:val="left"/>
              <w:rPr>
                <w:b/>
                <w:sz w:val="14"/>
              </w:rPr>
            </w:pPr>
          </w:p>
          <w:p>
            <w:pPr>
              <w:pStyle w:val="TableParagraph"/>
              <w:spacing w:line="172" w:lineRule="exact"/>
              <w:ind w:right="177"/>
              <w:rPr>
                <w:sz w:val="16"/>
              </w:rPr>
            </w:pPr>
            <w:r>
              <w:rPr>
                <w:w w:val="98"/>
                <w:sz w:val="16"/>
              </w:rPr>
              <w:t>%</w:t>
            </w:r>
          </w:p>
        </w:tc>
        <w:tc>
          <w:tcPr>
            <w:tcW w:w="1053" w:type="dxa"/>
            <w:tcBorders>
              <w:bottom w:val="single" w:sz="12" w:space="0" w:color="000000"/>
            </w:tcBorders>
          </w:tcPr>
          <w:p>
            <w:pPr>
              <w:pStyle w:val="TableParagraph"/>
              <w:spacing w:line="165" w:lineRule="exact"/>
              <w:ind w:left="56" w:right="134"/>
              <w:jc w:val="center"/>
              <w:rPr>
                <w:sz w:val="16"/>
              </w:rPr>
            </w:pPr>
            <w:r>
              <w:rPr>
                <w:spacing w:val="-2"/>
                <w:sz w:val="16"/>
              </w:rPr>
              <w:t>Proposed</w:t>
            </w:r>
          </w:p>
          <w:p>
            <w:pPr>
              <w:pStyle w:val="TableParagraph"/>
              <w:spacing w:line="172" w:lineRule="exact" w:before="3"/>
              <w:ind w:left="64" w:right="134"/>
              <w:jc w:val="center"/>
              <w:rPr>
                <w:sz w:val="16"/>
              </w:rPr>
            </w:pPr>
            <w:r>
              <w:rPr>
                <w:sz w:val="16"/>
              </w:rPr>
              <w:t>2023</w:t>
            </w:r>
            <w:r>
              <w:rPr>
                <w:spacing w:val="2"/>
                <w:sz w:val="16"/>
              </w:rPr>
              <w:t> </w:t>
            </w:r>
            <w:r>
              <w:rPr>
                <w:spacing w:val="-2"/>
                <w:sz w:val="16"/>
              </w:rPr>
              <w:t>Budget</w:t>
            </w:r>
          </w:p>
        </w:tc>
      </w:tr>
      <w:tr>
        <w:trPr>
          <w:trHeight w:val="231" w:hRule="atLeast"/>
        </w:trPr>
        <w:tc>
          <w:tcPr>
            <w:tcW w:w="2461" w:type="dxa"/>
            <w:tcBorders>
              <w:top w:val="single" w:sz="12" w:space="0" w:color="000000"/>
            </w:tcBorders>
          </w:tcPr>
          <w:p>
            <w:pPr>
              <w:pStyle w:val="TableParagraph"/>
              <w:spacing w:before="13"/>
              <w:ind w:left="117"/>
              <w:jc w:val="left"/>
              <w:rPr>
                <w:sz w:val="16"/>
              </w:rPr>
            </w:pPr>
            <w:r>
              <w:rPr>
                <w:w w:val="95"/>
                <w:sz w:val="16"/>
              </w:rPr>
              <w:t>Professional</w:t>
            </w:r>
            <w:r>
              <w:rPr>
                <w:spacing w:val="28"/>
                <w:sz w:val="16"/>
              </w:rPr>
              <w:t> </w:t>
            </w:r>
            <w:r>
              <w:rPr>
                <w:spacing w:val="-2"/>
                <w:sz w:val="16"/>
              </w:rPr>
              <w:t>staff</w:t>
            </w:r>
          </w:p>
        </w:tc>
        <w:tc>
          <w:tcPr>
            <w:tcW w:w="1218" w:type="dxa"/>
            <w:tcBorders>
              <w:top w:val="single" w:sz="12" w:space="0" w:color="000000"/>
            </w:tcBorders>
            <w:shd w:val="clear" w:color="auto" w:fill="D9D9D9"/>
          </w:tcPr>
          <w:p>
            <w:pPr>
              <w:pStyle w:val="TableParagraph"/>
              <w:jc w:val="left"/>
              <w:rPr>
                <w:sz w:val="14"/>
              </w:rPr>
            </w:pPr>
          </w:p>
        </w:tc>
        <w:tc>
          <w:tcPr>
            <w:tcW w:w="827" w:type="dxa"/>
            <w:tcBorders>
              <w:top w:val="single" w:sz="12" w:space="0" w:color="000000"/>
            </w:tcBorders>
            <w:shd w:val="clear" w:color="auto" w:fill="D9D9D9"/>
          </w:tcPr>
          <w:p>
            <w:pPr>
              <w:pStyle w:val="TableParagraph"/>
              <w:jc w:val="left"/>
              <w:rPr>
                <w:sz w:val="14"/>
              </w:rPr>
            </w:pPr>
          </w:p>
        </w:tc>
        <w:tc>
          <w:tcPr>
            <w:tcW w:w="1133" w:type="dxa"/>
            <w:tcBorders>
              <w:top w:val="single" w:sz="12" w:space="0" w:color="000000"/>
            </w:tcBorders>
            <w:shd w:val="clear" w:color="auto" w:fill="D9D9D9"/>
          </w:tcPr>
          <w:p>
            <w:pPr>
              <w:pStyle w:val="TableParagraph"/>
              <w:jc w:val="left"/>
              <w:rPr>
                <w:sz w:val="14"/>
              </w:rPr>
            </w:pPr>
          </w:p>
        </w:tc>
        <w:tc>
          <w:tcPr>
            <w:tcW w:w="1078" w:type="dxa"/>
            <w:tcBorders>
              <w:top w:val="single" w:sz="12" w:space="0" w:color="000000"/>
            </w:tcBorders>
          </w:tcPr>
          <w:p>
            <w:pPr>
              <w:pStyle w:val="TableParagraph"/>
              <w:spacing w:before="13"/>
              <w:ind w:right="50"/>
              <w:rPr>
                <w:sz w:val="16"/>
              </w:rPr>
            </w:pPr>
            <w:r>
              <w:rPr>
                <w:spacing w:val="-2"/>
                <w:sz w:val="16"/>
              </w:rPr>
              <w:t>509.3</w:t>
            </w:r>
          </w:p>
        </w:tc>
        <w:tc>
          <w:tcPr>
            <w:tcW w:w="1122" w:type="dxa"/>
            <w:tcBorders>
              <w:top w:val="single" w:sz="12" w:space="0" w:color="000000"/>
            </w:tcBorders>
          </w:tcPr>
          <w:p>
            <w:pPr>
              <w:pStyle w:val="TableParagraph"/>
              <w:spacing w:before="13"/>
              <w:ind w:right="183"/>
              <w:rPr>
                <w:sz w:val="16"/>
              </w:rPr>
            </w:pPr>
            <w:r>
              <w:rPr>
                <w:spacing w:val="-4"/>
                <w:sz w:val="16"/>
              </w:rPr>
              <w:t>18.5</w:t>
            </w:r>
          </w:p>
        </w:tc>
        <w:tc>
          <w:tcPr>
            <w:tcW w:w="753" w:type="dxa"/>
            <w:tcBorders>
              <w:top w:val="single" w:sz="12" w:space="0" w:color="000000"/>
            </w:tcBorders>
          </w:tcPr>
          <w:p>
            <w:pPr>
              <w:pStyle w:val="TableParagraph"/>
              <w:spacing w:before="13"/>
              <w:ind w:right="177"/>
              <w:rPr>
                <w:sz w:val="16"/>
              </w:rPr>
            </w:pPr>
            <w:r>
              <w:rPr>
                <w:spacing w:val="-5"/>
                <w:sz w:val="16"/>
              </w:rPr>
              <w:t>3.6</w:t>
            </w:r>
          </w:p>
        </w:tc>
        <w:tc>
          <w:tcPr>
            <w:tcW w:w="1053" w:type="dxa"/>
            <w:tcBorders>
              <w:top w:val="single" w:sz="12" w:space="0" w:color="000000"/>
            </w:tcBorders>
          </w:tcPr>
          <w:p>
            <w:pPr>
              <w:pStyle w:val="TableParagraph"/>
              <w:spacing w:before="13"/>
              <w:ind w:right="102"/>
              <w:rPr>
                <w:sz w:val="16"/>
              </w:rPr>
            </w:pPr>
            <w:r>
              <w:rPr>
                <w:spacing w:val="-2"/>
                <w:sz w:val="16"/>
              </w:rPr>
              <w:t>527.8</w:t>
            </w:r>
          </w:p>
        </w:tc>
      </w:tr>
      <w:tr>
        <w:trPr>
          <w:trHeight w:val="223" w:hRule="atLeast"/>
        </w:trPr>
        <w:tc>
          <w:tcPr>
            <w:tcW w:w="2461" w:type="dxa"/>
            <w:tcBorders>
              <w:bottom w:val="single" w:sz="4" w:space="0" w:color="000000"/>
            </w:tcBorders>
          </w:tcPr>
          <w:p>
            <w:pPr>
              <w:pStyle w:val="TableParagraph"/>
              <w:spacing w:before="8"/>
              <w:ind w:left="117"/>
              <w:jc w:val="left"/>
              <w:rPr>
                <w:sz w:val="16"/>
              </w:rPr>
            </w:pPr>
            <w:r>
              <w:rPr>
                <w:sz w:val="16"/>
              </w:rPr>
              <w:t>General</w:t>
            </w:r>
            <w:r>
              <w:rPr>
                <w:spacing w:val="-6"/>
                <w:sz w:val="16"/>
              </w:rPr>
              <w:t> </w:t>
            </w:r>
            <w:r>
              <w:rPr>
                <w:sz w:val="16"/>
              </w:rPr>
              <w:t>Service</w:t>
            </w:r>
            <w:r>
              <w:rPr>
                <w:spacing w:val="-4"/>
                <w:sz w:val="16"/>
              </w:rPr>
              <w:t> staff</w:t>
            </w:r>
          </w:p>
        </w:tc>
        <w:tc>
          <w:tcPr>
            <w:tcW w:w="1218" w:type="dxa"/>
            <w:tcBorders>
              <w:bottom w:val="single" w:sz="4" w:space="0" w:color="000000"/>
            </w:tcBorders>
            <w:shd w:val="clear" w:color="auto" w:fill="D9D9D9"/>
          </w:tcPr>
          <w:p>
            <w:pPr>
              <w:pStyle w:val="TableParagraph"/>
              <w:jc w:val="left"/>
              <w:rPr>
                <w:sz w:val="14"/>
              </w:rPr>
            </w:pPr>
          </w:p>
        </w:tc>
        <w:tc>
          <w:tcPr>
            <w:tcW w:w="827" w:type="dxa"/>
            <w:tcBorders>
              <w:bottom w:val="single" w:sz="4" w:space="0" w:color="000000"/>
            </w:tcBorders>
            <w:shd w:val="clear" w:color="auto" w:fill="D9D9D9"/>
          </w:tcPr>
          <w:p>
            <w:pPr>
              <w:pStyle w:val="TableParagraph"/>
              <w:jc w:val="left"/>
              <w:rPr>
                <w:sz w:val="14"/>
              </w:rPr>
            </w:pPr>
          </w:p>
        </w:tc>
        <w:tc>
          <w:tcPr>
            <w:tcW w:w="1133" w:type="dxa"/>
            <w:tcBorders>
              <w:bottom w:val="single" w:sz="4" w:space="0" w:color="000000"/>
            </w:tcBorders>
            <w:shd w:val="clear" w:color="auto" w:fill="D9D9D9"/>
          </w:tcPr>
          <w:p>
            <w:pPr>
              <w:pStyle w:val="TableParagraph"/>
              <w:jc w:val="left"/>
              <w:rPr>
                <w:sz w:val="14"/>
              </w:rPr>
            </w:pPr>
          </w:p>
        </w:tc>
        <w:tc>
          <w:tcPr>
            <w:tcW w:w="1078" w:type="dxa"/>
            <w:tcBorders>
              <w:bottom w:val="single" w:sz="4" w:space="0" w:color="000000"/>
            </w:tcBorders>
          </w:tcPr>
          <w:p>
            <w:pPr>
              <w:pStyle w:val="TableParagraph"/>
              <w:spacing w:before="8"/>
              <w:ind w:right="50"/>
              <w:rPr>
                <w:sz w:val="16"/>
              </w:rPr>
            </w:pPr>
            <w:r>
              <w:rPr>
                <w:spacing w:val="-4"/>
                <w:sz w:val="16"/>
              </w:rPr>
              <w:t>77.2</w:t>
            </w:r>
          </w:p>
        </w:tc>
        <w:tc>
          <w:tcPr>
            <w:tcW w:w="1122" w:type="dxa"/>
            <w:tcBorders>
              <w:bottom w:val="single" w:sz="4" w:space="0" w:color="000000"/>
            </w:tcBorders>
          </w:tcPr>
          <w:p>
            <w:pPr>
              <w:pStyle w:val="TableParagraph"/>
              <w:spacing w:before="8"/>
              <w:ind w:right="187"/>
              <w:rPr>
                <w:sz w:val="16"/>
              </w:rPr>
            </w:pPr>
            <w:r>
              <w:rPr>
                <w:spacing w:val="-5"/>
                <w:sz w:val="16"/>
              </w:rPr>
              <w:t>1.6</w:t>
            </w:r>
          </w:p>
        </w:tc>
        <w:tc>
          <w:tcPr>
            <w:tcW w:w="753" w:type="dxa"/>
            <w:tcBorders>
              <w:bottom w:val="single" w:sz="4" w:space="0" w:color="000000"/>
            </w:tcBorders>
          </w:tcPr>
          <w:p>
            <w:pPr>
              <w:pStyle w:val="TableParagraph"/>
              <w:spacing w:before="8"/>
              <w:ind w:right="177"/>
              <w:rPr>
                <w:sz w:val="16"/>
              </w:rPr>
            </w:pPr>
            <w:r>
              <w:rPr>
                <w:spacing w:val="-5"/>
                <w:sz w:val="16"/>
              </w:rPr>
              <w:t>2.1</w:t>
            </w:r>
          </w:p>
        </w:tc>
        <w:tc>
          <w:tcPr>
            <w:tcW w:w="1053" w:type="dxa"/>
            <w:tcBorders>
              <w:bottom w:val="single" w:sz="4" w:space="0" w:color="000000"/>
            </w:tcBorders>
          </w:tcPr>
          <w:p>
            <w:pPr>
              <w:pStyle w:val="TableParagraph"/>
              <w:spacing w:before="8"/>
              <w:ind w:right="101"/>
              <w:rPr>
                <w:sz w:val="16"/>
              </w:rPr>
            </w:pPr>
            <w:r>
              <w:rPr>
                <w:spacing w:val="-4"/>
                <w:sz w:val="16"/>
              </w:rPr>
              <w:t>78.8</w:t>
            </w:r>
          </w:p>
        </w:tc>
      </w:tr>
      <w:tr>
        <w:trPr>
          <w:trHeight w:val="225" w:hRule="atLeast"/>
        </w:trPr>
        <w:tc>
          <w:tcPr>
            <w:tcW w:w="2461" w:type="dxa"/>
            <w:tcBorders>
              <w:top w:val="single" w:sz="4" w:space="0" w:color="000000"/>
              <w:bottom w:val="single" w:sz="4" w:space="0" w:color="000000"/>
            </w:tcBorders>
          </w:tcPr>
          <w:p>
            <w:pPr>
              <w:pStyle w:val="TableParagraph"/>
              <w:spacing w:before="9"/>
              <w:ind w:right="104"/>
              <w:rPr>
                <w:i/>
                <w:sz w:val="16"/>
              </w:rPr>
            </w:pPr>
            <w:r>
              <w:rPr>
                <w:i/>
                <w:sz w:val="16"/>
              </w:rPr>
              <w:t>Subtotal</w:t>
            </w:r>
            <w:r>
              <w:rPr>
                <w:i/>
                <w:spacing w:val="-1"/>
                <w:sz w:val="16"/>
              </w:rPr>
              <w:t> </w:t>
            </w:r>
            <w:r>
              <w:rPr>
                <w:i/>
                <w:spacing w:val="-2"/>
                <w:sz w:val="16"/>
              </w:rPr>
              <w:t>staff</w:t>
            </w:r>
          </w:p>
        </w:tc>
        <w:tc>
          <w:tcPr>
            <w:tcW w:w="1218" w:type="dxa"/>
            <w:tcBorders>
              <w:top w:val="single" w:sz="4" w:space="0" w:color="000000"/>
              <w:bottom w:val="single" w:sz="4" w:space="0" w:color="000000"/>
            </w:tcBorders>
          </w:tcPr>
          <w:p>
            <w:pPr>
              <w:pStyle w:val="TableParagraph"/>
              <w:spacing w:before="9"/>
              <w:ind w:right="191"/>
              <w:rPr>
                <w:i/>
                <w:sz w:val="16"/>
              </w:rPr>
            </w:pPr>
            <w:r>
              <w:rPr>
                <w:i/>
                <w:spacing w:val="-2"/>
                <w:sz w:val="16"/>
              </w:rPr>
              <w:t>584.6</w:t>
            </w:r>
          </w:p>
        </w:tc>
        <w:tc>
          <w:tcPr>
            <w:tcW w:w="827" w:type="dxa"/>
            <w:tcBorders>
              <w:top w:val="single" w:sz="4" w:space="0" w:color="000000"/>
              <w:bottom w:val="single" w:sz="4" w:space="0" w:color="000000"/>
            </w:tcBorders>
          </w:tcPr>
          <w:p>
            <w:pPr>
              <w:pStyle w:val="TableParagraph"/>
              <w:spacing w:before="9"/>
              <w:ind w:right="107"/>
              <w:rPr>
                <w:i/>
                <w:sz w:val="16"/>
              </w:rPr>
            </w:pPr>
            <w:r>
              <w:rPr>
                <w:i/>
                <w:w w:val="98"/>
                <w:sz w:val="16"/>
              </w:rPr>
              <w:t>-</w:t>
            </w:r>
          </w:p>
        </w:tc>
        <w:tc>
          <w:tcPr>
            <w:tcW w:w="1133" w:type="dxa"/>
            <w:tcBorders>
              <w:top w:val="single" w:sz="4" w:space="0" w:color="000000"/>
              <w:bottom w:val="single" w:sz="4" w:space="0" w:color="000000"/>
            </w:tcBorders>
          </w:tcPr>
          <w:p>
            <w:pPr>
              <w:pStyle w:val="TableParagraph"/>
              <w:spacing w:before="9"/>
              <w:ind w:right="106"/>
              <w:rPr>
                <w:i/>
                <w:sz w:val="16"/>
              </w:rPr>
            </w:pPr>
            <w:r>
              <w:rPr>
                <w:i/>
                <w:spacing w:val="-2"/>
                <w:sz w:val="16"/>
              </w:rPr>
              <w:t>584.6</w:t>
            </w:r>
          </w:p>
        </w:tc>
        <w:tc>
          <w:tcPr>
            <w:tcW w:w="1078" w:type="dxa"/>
            <w:tcBorders>
              <w:top w:val="single" w:sz="4" w:space="0" w:color="000000"/>
              <w:bottom w:val="single" w:sz="4" w:space="0" w:color="000000"/>
            </w:tcBorders>
          </w:tcPr>
          <w:p>
            <w:pPr>
              <w:pStyle w:val="TableParagraph"/>
              <w:spacing w:before="9"/>
              <w:ind w:right="50"/>
              <w:rPr>
                <w:i/>
                <w:sz w:val="16"/>
              </w:rPr>
            </w:pPr>
            <w:r>
              <w:rPr>
                <w:i/>
                <w:spacing w:val="-2"/>
                <w:sz w:val="16"/>
              </w:rPr>
              <w:t>586.5</w:t>
            </w:r>
          </w:p>
        </w:tc>
        <w:tc>
          <w:tcPr>
            <w:tcW w:w="1122" w:type="dxa"/>
            <w:tcBorders>
              <w:top w:val="single" w:sz="4" w:space="0" w:color="000000"/>
              <w:bottom w:val="single" w:sz="4" w:space="0" w:color="000000"/>
            </w:tcBorders>
          </w:tcPr>
          <w:p>
            <w:pPr>
              <w:pStyle w:val="TableParagraph"/>
              <w:spacing w:before="9"/>
              <w:ind w:right="183"/>
              <w:rPr>
                <w:i/>
                <w:sz w:val="16"/>
              </w:rPr>
            </w:pPr>
            <w:r>
              <w:rPr>
                <w:i/>
                <w:spacing w:val="-4"/>
                <w:sz w:val="16"/>
              </w:rPr>
              <w:t>20.1</w:t>
            </w:r>
          </w:p>
        </w:tc>
        <w:tc>
          <w:tcPr>
            <w:tcW w:w="753" w:type="dxa"/>
            <w:tcBorders>
              <w:top w:val="single" w:sz="4" w:space="0" w:color="000000"/>
              <w:bottom w:val="single" w:sz="4" w:space="0" w:color="000000"/>
            </w:tcBorders>
          </w:tcPr>
          <w:p>
            <w:pPr>
              <w:pStyle w:val="TableParagraph"/>
              <w:spacing w:before="9"/>
              <w:ind w:right="177"/>
              <w:rPr>
                <w:i/>
                <w:sz w:val="16"/>
              </w:rPr>
            </w:pPr>
            <w:r>
              <w:rPr>
                <w:i/>
                <w:spacing w:val="-5"/>
                <w:sz w:val="16"/>
              </w:rPr>
              <w:t>3.4</w:t>
            </w:r>
          </w:p>
        </w:tc>
        <w:tc>
          <w:tcPr>
            <w:tcW w:w="1053" w:type="dxa"/>
            <w:tcBorders>
              <w:top w:val="single" w:sz="4" w:space="0" w:color="000000"/>
              <w:bottom w:val="single" w:sz="4" w:space="0" w:color="000000"/>
            </w:tcBorders>
          </w:tcPr>
          <w:p>
            <w:pPr>
              <w:pStyle w:val="TableParagraph"/>
              <w:spacing w:before="9"/>
              <w:ind w:right="102"/>
              <w:rPr>
                <w:i/>
                <w:sz w:val="16"/>
              </w:rPr>
            </w:pPr>
            <w:r>
              <w:rPr>
                <w:i/>
                <w:spacing w:val="-2"/>
                <w:sz w:val="16"/>
              </w:rPr>
              <w:t>606.6</w:t>
            </w:r>
          </w:p>
        </w:tc>
      </w:tr>
      <w:tr>
        <w:trPr>
          <w:trHeight w:val="231" w:hRule="atLeast"/>
        </w:trPr>
        <w:tc>
          <w:tcPr>
            <w:tcW w:w="2461" w:type="dxa"/>
            <w:tcBorders>
              <w:top w:val="single" w:sz="4" w:space="0" w:color="000000"/>
            </w:tcBorders>
          </w:tcPr>
          <w:p>
            <w:pPr>
              <w:pStyle w:val="TableParagraph"/>
              <w:spacing w:before="14"/>
              <w:ind w:left="117"/>
              <w:jc w:val="left"/>
              <w:rPr>
                <w:sz w:val="16"/>
              </w:rPr>
            </w:pPr>
            <w:r>
              <w:rPr>
                <w:sz w:val="16"/>
              </w:rPr>
              <w:t>General</w:t>
            </w:r>
            <w:r>
              <w:rPr>
                <w:spacing w:val="-4"/>
                <w:sz w:val="16"/>
              </w:rPr>
              <w:t> </w:t>
            </w:r>
            <w:r>
              <w:rPr>
                <w:sz w:val="16"/>
              </w:rPr>
              <w:t>temporary</w:t>
            </w:r>
            <w:r>
              <w:rPr>
                <w:spacing w:val="-1"/>
                <w:sz w:val="16"/>
              </w:rPr>
              <w:t> </w:t>
            </w:r>
            <w:r>
              <w:rPr>
                <w:spacing w:val="-2"/>
                <w:sz w:val="16"/>
              </w:rPr>
              <w:t>assistance</w:t>
            </w:r>
          </w:p>
        </w:tc>
        <w:tc>
          <w:tcPr>
            <w:tcW w:w="1218" w:type="dxa"/>
            <w:tcBorders>
              <w:top w:val="single" w:sz="4" w:space="0" w:color="000000"/>
            </w:tcBorders>
          </w:tcPr>
          <w:p>
            <w:pPr>
              <w:pStyle w:val="TableParagraph"/>
              <w:spacing w:before="14"/>
              <w:ind w:right="191"/>
              <w:rPr>
                <w:sz w:val="16"/>
              </w:rPr>
            </w:pPr>
            <w:r>
              <w:rPr>
                <w:spacing w:val="-2"/>
                <w:sz w:val="16"/>
              </w:rPr>
              <w:t>111.8</w:t>
            </w:r>
          </w:p>
        </w:tc>
        <w:tc>
          <w:tcPr>
            <w:tcW w:w="827" w:type="dxa"/>
            <w:tcBorders>
              <w:top w:val="single" w:sz="4" w:space="0" w:color="000000"/>
            </w:tcBorders>
          </w:tcPr>
          <w:p>
            <w:pPr>
              <w:pStyle w:val="TableParagraph"/>
              <w:spacing w:before="14"/>
              <w:ind w:right="107"/>
              <w:rPr>
                <w:sz w:val="16"/>
              </w:rPr>
            </w:pPr>
            <w:r>
              <w:rPr>
                <w:w w:val="98"/>
                <w:sz w:val="16"/>
              </w:rPr>
              <w:t>-</w:t>
            </w:r>
          </w:p>
        </w:tc>
        <w:tc>
          <w:tcPr>
            <w:tcW w:w="1133" w:type="dxa"/>
            <w:tcBorders>
              <w:top w:val="single" w:sz="4" w:space="0" w:color="000000"/>
            </w:tcBorders>
          </w:tcPr>
          <w:p>
            <w:pPr>
              <w:pStyle w:val="TableParagraph"/>
              <w:spacing w:before="14"/>
              <w:ind w:right="106"/>
              <w:rPr>
                <w:sz w:val="16"/>
              </w:rPr>
            </w:pPr>
            <w:r>
              <w:rPr>
                <w:spacing w:val="-2"/>
                <w:sz w:val="16"/>
              </w:rPr>
              <w:t>111.8</w:t>
            </w:r>
          </w:p>
        </w:tc>
        <w:tc>
          <w:tcPr>
            <w:tcW w:w="1078" w:type="dxa"/>
            <w:tcBorders>
              <w:top w:val="single" w:sz="4" w:space="0" w:color="000000"/>
            </w:tcBorders>
          </w:tcPr>
          <w:p>
            <w:pPr>
              <w:pStyle w:val="TableParagraph"/>
              <w:spacing w:before="14"/>
              <w:ind w:right="50"/>
              <w:rPr>
                <w:sz w:val="16"/>
              </w:rPr>
            </w:pPr>
            <w:r>
              <w:rPr>
                <w:spacing w:val="-2"/>
                <w:sz w:val="16"/>
              </w:rPr>
              <w:t>132.3</w:t>
            </w:r>
          </w:p>
        </w:tc>
        <w:tc>
          <w:tcPr>
            <w:tcW w:w="1122" w:type="dxa"/>
            <w:tcBorders>
              <w:top w:val="single" w:sz="4" w:space="0" w:color="000000"/>
            </w:tcBorders>
          </w:tcPr>
          <w:p>
            <w:pPr>
              <w:pStyle w:val="TableParagraph"/>
              <w:spacing w:before="14"/>
              <w:ind w:right="187"/>
              <w:rPr>
                <w:sz w:val="16"/>
              </w:rPr>
            </w:pPr>
            <w:r>
              <w:rPr>
                <w:spacing w:val="-5"/>
                <w:sz w:val="16"/>
              </w:rPr>
              <w:t>4.8</w:t>
            </w:r>
          </w:p>
        </w:tc>
        <w:tc>
          <w:tcPr>
            <w:tcW w:w="753" w:type="dxa"/>
            <w:tcBorders>
              <w:top w:val="single" w:sz="4" w:space="0" w:color="000000"/>
            </w:tcBorders>
          </w:tcPr>
          <w:p>
            <w:pPr>
              <w:pStyle w:val="TableParagraph"/>
              <w:spacing w:before="14"/>
              <w:ind w:right="177"/>
              <w:rPr>
                <w:sz w:val="16"/>
              </w:rPr>
            </w:pPr>
            <w:r>
              <w:rPr>
                <w:spacing w:val="-5"/>
                <w:sz w:val="16"/>
              </w:rPr>
              <w:t>3.6</w:t>
            </w:r>
          </w:p>
        </w:tc>
        <w:tc>
          <w:tcPr>
            <w:tcW w:w="1053" w:type="dxa"/>
            <w:tcBorders>
              <w:top w:val="single" w:sz="4" w:space="0" w:color="000000"/>
            </w:tcBorders>
          </w:tcPr>
          <w:p>
            <w:pPr>
              <w:pStyle w:val="TableParagraph"/>
              <w:spacing w:before="14"/>
              <w:ind w:right="102"/>
              <w:rPr>
                <w:sz w:val="16"/>
              </w:rPr>
            </w:pPr>
            <w:r>
              <w:rPr>
                <w:spacing w:val="-2"/>
                <w:sz w:val="16"/>
              </w:rPr>
              <w:t>137.1</w:t>
            </w:r>
          </w:p>
        </w:tc>
      </w:tr>
      <w:tr>
        <w:trPr>
          <w:trHeight w:val="225" w:hRule="atLeast"/>
        </w:trPr>
        <w:tc>
          <w:tcPr>
            <w:tcW w:w="2461" w:type="dxa"/>
          </w:tcPr>
          <w:p>
            <w:pPr>
              <w:pStyle w:val="TableParagraph"/>
              <w:spacing w:before="7"/>
              <w:ind w:left="117"/>
              <w:jc w:val="left"/>
              <w:rPr>
                <w:sz w:val="16"/>
              </w:rPr>
            </w:pPr>
            <w:r>
              <w:rPr>
                <w:sz w:val="16"/>
              </w:rPr>
              <w:t>Temporary</w:t>
            </w:r>
            <w:r>
              <w:rPr>
                <w:spacing w:val="-3"/>
                <w:sz w:val="16"/>
              </w:rPr>
              <w:t> </w:t>
            </w:r>
            <w:r>
              <w:rPr>
                <w:sz w:val="16"/>
              </w:rPr>
              <w:t>assistance</w:t>
            </w:r>
            <w:r>
              <w:rPr>
                <w:spacing w:val="-4"/>
                <w:sz w:val="16"/>
              </w:rPr>
              <w:t> </w:t>
            </w:r>
            <w:r>
              <w:rPr>
                <w:sz w:val="16"/>
              </w:rPr>
              <w:t>for</w:t>
            </w:r>
            <w:r>
              <w:rPr>
                <w:spacing w:val="-5"/>
                <w:sz w:val="16"/>
              </w:rPr>
              <w:t> </w:t>
            </w:r>
            <w:r>
              <w:rPr>
                <w:spacing w:val="-2"/>
                <w:sz w:val="16"/>
              </w:rPr>
              <w:t>meetings</w:t>
            </w:r>
          </w:p>
        </w:tc>
        <w:tc>
          <w:tcPr>
            <w:tcW w:w="1218" w:type="dxa"/>
          </w:tcPr>
          <w:p>
            <w:pPr>
              <w:pStyle w:val="TableParagraph"/>
              <w:spacing w:before="7"/>
              <w:ind w:right="193"/>
              <w:rPr>
                <w:sz w:val="16"/>
              </w:rPr>
            </w:pPr>
            <w:r>
              <w:rPr>
                <w:w w:val="98"/>
                <w:sz w:val="16"/>
              </w:rPr>
              <w:t>-</w:t>
            </w:r>
          </w:p>
        </w:tc>
        <w:tc>
          <w:tcPr>
            <w:tcW w:w="827" w:type="dxa"/>
          </w:tcPr>
          <w:p>
            <w:pPr>
              <w:pStyle w:val="TableParagraph"/>
              <w:spacing w:before="7"/>
              <w:ind w:right="107"/>
              <w:rPr>
                <w:sz w:val="16"/>
              </w:rPr>
            </w:pPr>
            <w:r>
              <w:rPr>
                <w:w w:val="98"/>
                <w:sz w:val="16"/>
              </w:rPr>
              <w:t>-</w:t>
            </w:r>
          </w:p>
        </w:tc>
        <w:tc>
          <w:tcPr>
            <w:tcW w:w="1133" w:type="dxa"/>
          </w:tcPr>
          <w:p>
            <w:pPr>
              <w:pStyle w:val="TableParagraph"/>
              <w:spacing w:before="7"/>
              <w:ind w:right="107"/>
              <w:rPr>
                <w:sz w:val="16"/>
              </w:rPr>
            </w:pPr>
            <w:r>
              <w:rPr>
                <w:w w:val="98"/>
                <w:sz w:val="16"/>
              </w:rPr>
              <w:t>-</w:t>
            </w:r>
          </w:p>
        </w:tc>
        <w:tc>
          <w:tcPr>
            <w:tcW w:w="1078" w:type="dxa"/>
          </w:tcPr>
          <w:p>
            <w:pPr>
              <w:pStyle w:val="TableParagraph"/>
              <w:spacing w:before="7"/>
              <w:ind w:right="52"/>
              <w:rPr>
                <w:sz w:val="16"/>
              </w:rPr>
            </w:pPr>
            <w:r>
              <w:rPr>
                <w:w w:val="98"/>
                <w:sz w:val="16"/>
              </w:rPr>
              <w:t>-</w:t>
            </w:r>
          </w:p>
        </w:tc>
        <w:tc>
          <w:tcPr>
            <w:tcW w:w="1122" w:type="dxa"/>
          </w:tcPr>
          <w:p>
            <w:pPr>
              <w:pStyle w:val="TableParagraph"/>
              <w:spacing w:before="7"/>
              <w:ind w:right="185"/>
              <w:rPr>
                <w:sz w:val="16"/>
              </w:rPr>
            </w:pPr>
            <w:r>
              <w:rPr>
                <w:w w:val="98"/>
                <w:sz w:val="16"/>
              </w:rPr>
              <w:t>-</w:t>
            </w:r>
          </w:p>
        </w:tc>
        <w:tc>
          <w:tcPr>
            <w:tcW w:w="753" w:type="dxa"/>
          </w:tcPr>
          <w:p>
            <w:pPr>
              <w:pStyle w:val="TableParagraph"/>
              <w:spacing w:before="7"/>
              <w:ind w:right="174"/>
              <w:rPr>
                <w:sz w:val="16"/>
              </w:rPr>
            </w:pPr>
            <w:r>
              <w:rPr>
                <w:w w:val="98"/>
                <w:sz w:val="16"/>
              </w:rPr>
              <w:t>-</w:t>
            </w:r>
          </w:p>
        </w:tc>
        <w:tc>
          <w:tcPr>
            <w:tcW w:w="1053" w:type="dxa"/>
          </w:tcPr>
          <w:p>
            <w:pPr>
              <w:pStyle w:val="TableParagraph"/>
              <w:spacing w:before="7"/>
              <w:ind w:right="103"/>
              <w:rPr>
                <w:sz w:val="16"/>
              </w:rPr>
            </w:pPr>
            <w:r>
              <w:rPr>
                <w:w w:val="98"/>
                <w:sz w:val="16"/>
              </w:rPr>
              <w:t>-</w:t>
            </w:r>
          </w:p>
        </w:tc>
      </w:tr>
      <w:tr>
        <w:trPr>
          <w:trHeight w:val="223" w:hRule="atLeast"/>
        </w:trPr>
        <w:tc>
          <w:tcPr>
            <w:tcW w:w="2461" w:type="dxa"/>
            <w:tcBorders>
              <w:bottom w:val="single" w:sz="4" w:space="0" w:color="000000"/>
            </w:tcBorders>
          </w:tcPr>
          <w:p>
            <w:pPr>
              <w:pStyle w:val="TableParagraph"/>
              <w:spacing w:before="7"/>
              <w:ind w:left="117"/>
              <w:jc w:val="left"/>
              <w:rPr>
                <w:sz w:val="16"/>
              </w:rPr>
            </w:pPr>
            <w:r>
              <w:rPr>
                <w:spacing w:val="-2"/>
                <w:sz w:val="16"/>
              </w:rPr>
              <w:t>Overtime</w:t>
            </w:r>
          </w:p>
        </w:tc>
        <w:tc>
          <w:tcPr>
            <w:tcW w:w="1218" w:type="dxa"/>
            <w:tcBorders>
              <w:bottom w:val="single" w:sz="4" w:space="0" w:color="000000"/>
            </w:tcBorders>
          </w:tcPr>
          <w:p>
            <w:pPr>
              <w:pStyle w:val="TableParagraph"/>
              <w:spacing w:before="7"/>
              <w:ind w:right="193"/>
              <w:rPr>
                <w:sz w:val="16"/>
              </w:rPr>
            </w:pPr>
            <w:r>
              <w:rPr>
                <w:w w:val="98"/>
                <w:sz w:val="16"/>
              </w:rPr>
              <w:t>-</w:t>
            </w:r>
          </w:p>
        </w:tc>
        <w:tc>
          <w:tcPr>
            <w:tcW w:w="827" w:type="dxa"/>
            <w:tcBorders>
              <w:bottom w:val="single" w:sz="4" w:space="0" w:color="000000"/>
            </w:tcBorders>
          </w:tcPr>
          <w:p>
            <w:pPr>
              <w:pStyle w:val="TableParagraph"/>
              <w:spacing w:before="7"/>
              <w:ind w:right="107"/>
              <w:rPr>
                <w:sz w:val="16"/>
              </w:rPr>
            </w:pPr>
            <w:r>
              <w:rPr>
                <w:w w:val="98"/>
                <w:sz w:val="16"/>
              </w:rPr>
              <w:t>-</w:t>
            </w:r>
          </w:p>
        </w:tc>
        <w:tc>
          <w:tcPr>
            <w:tcW w:w="1133" w:type="dxa"/>
            <w:tcBorders>
              <w:bottom w:val="single" w:sz="4" w:space="0" w:color="000000"/>
            </w:tcBorders>
          </w:tcPr>
          <w:p>
            <w:pPr>
              <w:pStyle w:val="TableParagraph"/>
              <w:spacing w:before="7"/>
              <w:ind w:right="107"/>
              <w:rPr>
                <w:sz w:val="16"/>
              </w:rPr>
            </w:pPr>
            <w:r>
              <w:rPr>
                <w:w w:val="98"/>
                <w:sz w:val="16"/>
              </w:rPr>
              <w:t>-</w:t>
            </w:r>
          </w:p>
        </w:tc>
        <w:tc>
          <w:tcPr>
            <w:tcW w:w="1078" w:type="dxa"/>
            <w:tcBorders>
              <w:bottom w:val="single" w:sz="4" w:space="0" w:color="000000"/>
            </w:tcBorders>
          </w:tcPr>
          <w:p>
            <w:pPr>
              <w:pStyle w:val="TableParagraph"/>
              <w:spacing w:before="7"/>
              <w:ind w:right="52"/>
              <w:rPr>
                <w:sz w:val="16"/>
              </w:rPr>
            </w:pPr>
            <w:r>
              <w:rPr>
                <w:w w:val="98"/>
                <w:sz w:val="16"/>
              </w:rPr>
              <w:t>-</w:t>
            </w:r>
          </w:p>
        </w:tc>
        <w:tc>
          <w:tcPr>
            <w:tcW w:w="1122" w:type="dxa"/>
            <w:tcBorders>
              <w:bottom w:val="single" w:sz="4" w:space="0" w:color="000000"/>
            </w:tcBorders>
          </w:tcPr>
          <w:p>
            <w:pPr>
              <w:pStyle w:val="TableParagraph"/>
              <w:spacing w:before="7"/>
              <w:ind w:right="185"/>
              <w:rPr>
                <w:sz w:val="16"/>
              </w:rPr>
            </w:pPr>
            <w:r>
              <w:rPr>
                <w:w w:val="98"/>
                <w:sz w:val="16"/>
              </w:rPr>
              <w:t>-</w:t>
            </w:r>
          </w:p>
        </w:tc>
        <w:tc>
          <w:tcPr>
            <w:tcW w:w="753" w:type="dxa"/>
            <w:tcBorders>
              <w:bottom w:val="single" w:sz="4" w:space="0" w:color="000000"/>
            </w:tcBorders>
          </w:tcPr>
          <w:p>
            <w:pPr>
              <w:pStyle w:val="TableParagraph"/>
              <w:spacing w:before="7"/>
              <w:ind w:right="174"/>
              <w:rPr>
                <w:sz w:val="16"/>
              </w:rPr>
            </w:pPr>
            <w:r>
              <w:rPr>
                <w:w w:val="98"/>
                <w:sz w:val="16"/>
              </w:rPr>
              <w:t>-</w:t>
            </w:r>
          </w:p>
        </w:tc>
        <w:tc>
          <w:tcPr>
            <w:tcW w:w="1053" w:type="dxa"/>
            <w:tcBorders>
              <w:bottom w:val="single" w:sz="4" w:space="0" w:color="000000"/>
            </w:tcBorders>
          </w:tcPr>
          <w:p>
            <w:pPr>
              <w:pStyle w:val="TableParagraph"/>
              <w:spacing w:before="7"/>
              <w:ind w:right="103"/>
              <w:rPr>
                <w:sz w:val="16"/>
              </w:rPr>
            </w:pPr>
            <w:r>
              <w:rPr>
                <w:w w:val="98"/>
                <w:sz w:val="16"/>
              </w:rPr>
              <w:t>-</w:t>
            </w:r>
          </w:p>
        </w:tc>
      </w:tr>
      <w:tr>
        <w:trPr>
          <w:trHeight w:val="230" w:hRule="atLeast"/>
        </w:trPr>
        <w:tc>
          <w:tcPr>
            <w:tcW w:w="2461" w:type="dxa"/>
            <w:tcBorders>
              <w:top w:val="single" w:sz="4" w:space="0" w:color="000000"/>
              <w:bottom w:val="single" w:sz="4" w:space="0" w:color="000000"/>
            </w:tcBorders>
          </w:tcPr>
          <w:p>
            <w:pPr>
              <w:pStyle w:val="TableParagraph"/>
              <w:spacing w:before="14"/>
              <w:ind w:right="105"/>
              <w:rPr>
                <w:i/>
                <w:sz w:val="16"/>
              </w:rPr>
            </w:pPr>
            <w:r>
              <w:rPr>
                <w:i/>
                <w:sz w:val="16"/>
              </w:rPr>
              <w:t>Subtotal</w:t>
            </w:r>
            <w:r>
              <w:rPr>
                <w:i/>
                <w:spacing w:val="-2"/>
                <w:sz w:val="16"/>
              </w:rPr>
              <w:t> </w:t>
            </w:r>
            <w:r>
              <w:rPr>
                <w:i/>
                <w:sz w:val="16"/>
              </w:rPr>
              <w:t>other</w:t>
            </w:r>
            <w:r>
              <w:rPr>
                <w:i/>
                <w:spacing w:val="-1"/>
                <w:sz w:val="16"/>
              </w:rPr>
              <w:t> </w:t>
            </w:r>
            <w:r>
              <w:rPr>
                <w:i/>
                <w:spacing w:val="-2"/>
                <w:sz w:val="16"/>
              </w:rPr>
              <w:t>staff</w:t>
            </w:r>
          </w:p>
        </w:tc>
        <w:tc>
          <w:tcPr>
            <w:tcW w:w="1218" w:type="dxa"/>
            <w:tcBorders>
              <w:top w:val="single" w:sz="4" w:space="0" w:color="000000"/>
              <w:bottom w:val="single" w:sz="4" w:space="0" w:color="000000"/>
            </w:tcBorders>
          </w:tcPr>
          <w:p>
            <w:pPr>
              <w:pStyle w:val="TableParagraph"/>
              <w:spacing w:before="14"/>
              <w:ind w:right="191"/>
              <w:rPr>
                <w:i/>
                <w:sz w:val="16"/>
              </w:rPr>
            </w:pPr>
            <w:r>
              <w:rPr>
                <w:i/>
                <w:spacing w:val="-2"/>
                <w:sz w:val="16"/>
              </w:rPr>
              <w:t>111.8</w:t>
            </w:r>
          </w:p>
        </w:tc>
        <w:tc>
          <w:tcPr>
            <w:tcW w:w="827" w:type="dxa"/>
            <w:tcBorders>
              <w:top w:val="single" w:sz="4" w:space="0" w:color="000000"/>
              <w:bottom w:val="single" w:sz="4" w:space="0" w:color="000000"/>
            </w:tcBorders>
          </w:tcPr>
          <w:p>
            <w:pPr>
              <w:pStyle w:val="TableParagraph"/>
              <w:spacing w:before="14"/>
              <w:ind w:right="107"/>
              <w:rPr>
                <w:i/>
                <w:sz w:val="16"/>
              </w:rPr>
            </w:pPr>
            <w:r>
              <w:rPr>
                <w:i/>
                <w:w w:val="98"/>
                <w:sz w:val="16"/>
              </w:rPr>
              <w:t>-</w:t>
            </w:r>
          </w:p>
        </w:tc>
        <w:tc>
          <w:tcPr>
            <w:tcW w:w="1133" w:type="dxa"/>
            <w:tcBorders>
              <w:top w:val="single" w:sz="4" w:space="0" w:color="000000"/>
              <w:bottom w:val="single" w:sz="4" w:space="0" w:color="000000"/>
            </w:tcBorders>
          </w:tcPr>
          <w:p>
            <w:pPr>
              <w:pStyle w:val="TableParagraph"/>
              <w:spacing w:before="14"/>
              <w:ind w:right="106"/>
              <w:rPr>
                <w:i/>
                <w:sz w:val="16"/>
              </w:rPr>
            </w:pPr>
            <w:r>
              <w:rPr>
                <w:i/>
                <w:spacing w:val="-2"/>
                <w:sz w:val="16"/>
              </w:rPr>
              <w:t>111.8</w:t>
            </w:r>
          </w:p>
        </w:tc>
        <w:tc>
          <w:tcPr>
            <w:tcW w:w="1078" w:type="dxa"/>
            <w:tcBorders>
              <w:top w:val="single" w:sz="4" w:space="0" w:color="000000"/>
              <w:bottom w:val="single" w:sz="4" w:space="0" w:color="000000"/>
            </w:tcBorders>
          </w:tcPr>
          <w:p>
            <w:pPr>
              <w:pStyle w:val="TableParagraph"/>
              <w:spacing w:before="14"/>
              <w:ind w:right="50"/>
              <w:rPr>
                <w:i/>
                <w:sz w:val="16"/>
              </w:rPr>
            </w:pPr>
            <w:r>
              <w:rPr>
                <w:i/>
                <w:spacing w:val="-2"/>
                <w:sz w:val="16"/>
              </w:rPr>
              <w:t>132.3</w:t>
            </w:r>
          </w:p>
        </w:tc>
        <w:tc>
          <w:tcPr>
            <w:tcW w:w="1122" w:type="dxa"/>
            <w:tcBorders>
              <w:top w:val="single" w:sz="4" w:space="0" w:color="000000"/>
              <w:bottom w:val="single" w:sz="4" w:space="0" w:color="000000"/>
            </w:tcBorders>
          </w:tcPr>
          <w:p>
            <w:pPr>
              <w:pStyle w:val="TableParagraph"/>
              <w:spacing w:before="14"/>
              <w:ind w:right="187"/>
              <w:rPr>
                <w:i/>
                <w:sz w:val="16"/>
              </w:rPr>
            </w:pPr>
            <w:r>
              <w:rPr>
                <w:i/>
                <w:spacing w:val="-5"/>
                <w:sz w:val="16"/>
              </w:rPr>
              <w:t>4.8</w:t>
            </w:r>
          </w:p>
        </w:tc>
        <w:tc>
          <w:tcPr>
            <w:tcW w:w="753" w:type="dxa"/>
            <w:tcBorders>
              <w:top w:val="single" w:sz="4" w:space="0" w:color="000000"/>
              <w:bottom w:val="single" w:sz="4" w:space="0" w:color="000000"/>
            </w:tcBorders>
          </w:tcPr>
          <w:p>
            <w:pPr>
              <w:pStyle w:val="TableParagraph"/>
              <w:spacing w:before="14"/>
              <w:ind w:right="177"/>
              <w:rPr>
                <w:i/>
                <w:sz w:val="16"/>
              </w:rPr>
            </w:pPr>
            <w:r>
              <w:rPr>
                <w:i/>
                <w:spacing w:val="-5"/>
                <w:sz w:val="16"/>
              </w:rPr>
              <w:t>3.6</w:t>
            </w:r>
          </w:p>
        </w:tc>
        <w:tc>
          <w:tcPr>
            <w:tcW w:w="1053" w:type="dxa"/>
            <w:tcBorders>
              <w:top w:val="single" w:sz="4" w:space="0" w:color="000000"/>
              <w:bottom w:val="single" w:sz="4" w:space="0" w:color="000000"/>
            </w:tcBorders>
          </w:tcPr>
          <w:p>
            <w:pPr>
              <w:pStyle w:val="TableParagraph"/>
              <w:spacing w:before="14"/>
              <w:ind w:right="102"/>
              <w:rPr>
                <w:i/>
                <w:sz w:val="16"/>
              </w:rPr>
            </w:pPr>
            <w:r>
              <w:rPr>
                <w:i/>
                <w:spacing w:val="-2"/>
                <w:sz w:val="16"/>
              </w:rPr>
              <w:t>137.1</w:t>
            </w:r>
          </w:p>
        </w:tc>
      </w:tr>
      <w:tr>
        <w:trPr>
          <w:trHeight w:val="227" w:hRule="atLeast"/>
        </w:trPr>
        <w:tc>
          <w:tcPr>
            <w:tcW w:w="2461" w:type="dxa"/>
            <w:tcBorders>
              <w:top w:val="single" w:sz="4" w:space="0" w:color="000000"/>
            </w:tcBorders>
          </w:tcPr>
          <w:p>
            <w:pPr>
              <w:pStyle w:val="TableParagraph"/>
              <w:spacing w:before="9"/>
              <w:ind w:left="117"/>
              <w:jc w:val="left"/>
              <w:rPr>
                <w:sz w:val="16"/>
              </w:rPr>
            </w:pPr>
            <w:r>
              <w:rPr>
                <w:spacing w:val="-2"/>
                <w:sz w:val="16"/>
              </w:rPr>
              <w:t>Travel</w:t>
            </w:r>
          </w:p>
        </w:tc>
        <w:tc>
          <w:tcPr>
            <w:tcW w:w="1218" w:type="dxa"/>
            <w:tcBorders>
              <w:top w:val="single" w:sz="4" w:space="0" w:color="000000"/>
            </w:tcBorders>
          </w:tcPr>
          <w:p>
            <w:pPr>
              <w:pStyle w:val="TableParagraph"/>
              <w:spacing w:before="9"/>
              <w:ind w:right="193"/>
              <w:rPr>
                <w:sz w:val="16"/>
              </w:rPr>
            </w:pPr>
            <w:r>
              <w:rPr>
                <w:w w:val="98"/>
                <w:sz w:val="16"/>
              </w:rPr>
              <w:t>-</w:t>
            </w:r>
          </w:p>
        </w:tc>
        <w:tc>
          <w:tcPr>
            <w:tcW w:w="827" w:type="dxa"/>
            <w:tcBorders>
              <w:top w:val="single" w:sz="4" w:space="0" w:color="000000"/>
            </w:tcBorders>
          </w:tcPr>
          <w:p>
            <w:pPr>
              <w:pStyle w:val="TableParagraph"/>
              <w:spacing w:before="9"/>
              <w:ind w:right="107"/>
              <w:rPr>
                <w:sz w:val="16"/>
              </w:rPr>
            </w:pPr>
            <w:r>
              <w:rPr>
                <w:w w:val="98"/>
                <w:sz w:val="16"/>
              </w:rPr>
              <w:t>-</w:t>
            </w:r>
          </w:p>
        </w:tc>
        <w:tc>
          <w:tcPr>
            <w:tcW w:w="1133" w:type="dxa"/>
            <w:tcBorders>
              <w:top w:val="single" w:sz="4" w:space="0" w:color="000000"/>
            </w:tcBorders>
          </w:tcPr>
          <w:p>
            <w:pPr>
              <w:pStyle w:val="TableParagraph"/>
              <w:spacing w:before="9"/>
              <w:ind w:right="107"/>
              <w:rPr>
                <w:sz w:val="16"/>
              </w:rPr>
            </w:pPr>
            <w:r>
              <w:rPr>
                <w:w w:val="98"/>
                <w:sz w:val="16"/>
              </w:rPr>
              <w:t>-</w:t>
            </w:r>
          </w:p>
        </w:tc>
        <w:tc>
          <w:tcPr>
            <w:tcW w:w="1078" w:type="dxa"/>
            <w:tcBorders>
              <w:top w:val="single" w:sz="4" w:space="0" w:color="000000"/>
            </w:tcBorders>
          </w:tcPr>
          <w:p>
            <w:pPr>
              <w:pStyle w:val="TableParagraph"/>
              <w:spacing w:before="9"/>
              <w:ind w:right="50"/>
              <w:rPr>
                <w:sz w:val="16"/>
              </w:rPr>
            </w:pPr>
            <w:r>
              <w:rPr>
                <w:spacing w:val="-4"/>
                <w:sz w:val="16"/>
              </w:rPr>
              <w:t>10.5</w:t>
            </w:r>
          </w:p>
        </w:tc>
        <w:tc>
          <w:tcPr>
            <w:tcW w:w="1122" w:type="dxa"/>
            <w:tcBorders>
              <w:top w:val="single" w:sz="4" w:space="0" w:color="000000"/>
            </w:tcBorders>
          </w:tcPr>
          <w:p>
            <w:pPr>
              <w:pStyle w:val="TableParagraph"/>
              <w:spacing w:before="9"/>
              <w:ind w:right="185"/>
              <w:rPr>
                <w:sz w:val="16"/>
              </w:rPr>
            </w:pPr>
            <w:r>
              <w:rPr>
                <w:spacing w:val="-2"/>
                <w:sz w:val="16"/>
              </w:rPr>
              <w:t>(0.1)</w:t>
            </w:r>
          </w:p>
        </w:tc>
        <w:tc>
          <w:tcPr>
            <w:tcW w:w="753" w:type="dxa"/>
            <w:tcBorders>
              <w:top w:val="single" w:sz="4" w:space="0" w:color="000000"/>
            </w:tcBorders>
          </w:tcPr>
          <w:p>
            <w:pPr>
              <w:pStyle w:val="TableParagraph"/>
              <w:spacing w:before="9"/>
              <w:ind w:right="175"/>
              <w:rPr>
                <w:sz w:val="16"/>
              </w:rPr>
            </w:pPr>
            <w:r>
              <w:rPr>
                <w:spacing w:val="-2"/>
                <w:sz w:val="16"/>
              </w:rPr>
              <w:t>(1.0)</w:t>
            </w:r>
          </w:p>
        </w:tc>
        <w:tc>
          <w:tcPr>
            <w:tcW w:w="1053" w:type="dxa"/>
            <w:tcBorders>
              <w:top w:val="single" w:sz="4" w:space="0" w:color="000000"/>
            </w:tcBorders>
          </w:tcPr>
          <w:p>
            <w:pPr>
              <w:pStyle w:val="TableParagraph"/>
              <w:spacing w:before="9"/>
              <w:ind w:right="101"/>
              <w:rPr>
                <w:sz w:val="16"/>
              </w:rPr>
            </w:pPr>
            <w:r>
              <w:rPr>
                <w:spacing w:val="-4"/>
                <w:sz w:val="16"/>
              </w:rPr>
              <w:t>10.4</w:t>
            </w:r>
          </w:p>
        </w:tc>
      </w:tr>
      <w:tr>
        <w:trPr>
          <w:trHeight w:val="228" w:hRule="atLeast"/>
        </w:trPr>
        <w:tc>
          <w:tcPr>
            <w:tcW w:w="2461" w:type="dxa"/>
          </w:tcPr>
          <w:p>
            <w:pPr>
              <w:pStyle w:val="TableParagraph"/>
              <w:spacing w:before="7"/>
              <w:ind w:left="117"/>
              <w:jc w:val="left"/>
              <w:rPr>
                <w:sz w:val="16"/>
              </w:rPr>
            </w:pPr>
            <w:r>
              <w:rPr>
                <w:spacing w:val="-2"/>
                <w:sz w:val="16"/>
              </w:rPr>
              <w:t>Hospitality</w:t>
            </w:r>
          </w:p>
        </w:tc>
        <w:tc>
          <w:tcPr>
            <w:tcW w:w="1218" w:type="dxa"/>
          </w:tcPr>
          <w:p>
            <w:pPr>
              <w:pStyle w:val="TableParagraph"/>
              <w:spacing w:before="7"/>
              <w:ind w:right="193"/>
              <w:rPr>
                <w:sz w:val="16"/>
              </w:rPr>
            </w:pPr>
            <w:r>
              <w:rPr>
                <w:w w:val="98"/>
                <w:sz w:val="16"/>
              </w:rPr>
              <w:t>-</w:t>
            </w:r>
          </w:p>
        </w:tc>
        <w:tc>
          <w:tcPr>
            <w:tcW w:w="827" w:type="dxa"/>
          </w:tcPr>
          <w:p>
            <w:pPr>
              <w:pStyle w:val="TableParagraph"/>
              <w:spacing w:before="7"/>
              <w:ind w:right="107"/>
              <w:rPr>
                <w:sz w:val="16"/>
              </w:rPr>
            </w:pPr>
            <w:r>
              <w:rPr>
                <w:w w:val="98"/>
                <w:sz w:val="16"/>
              </w:rPr>
              <w:t>-</w:t>
            </w:r>
          </w:p>
        </w:tc>
        <w:tc>
          <w:tcPr>
            <w:tcW w:w="1133" w:type="dxa"/>
          </w:tcPr>
          <w:p>
            <w:pPr>
              <w:pStyle w:val="TableParagraph"/>
              <w:spacing w:before="7"/>
              <w:ind w:right="107"/>
              <w:rPr>
                <w:sz w:val="16"/>
              </w:rPr>
            </w:pPr>
            <w:r>
              <w:rPr>
                <w:w w:val="98"/>
                <w:sz w:val="16"/>
              </w:rPr>
              <w:t>-</w:t>
            </w:r>
          </w:p>
        </w:tc>
        <w:tc>
          <w:tcPr>
            <w:tcW w:w="1078" w:type="dxa"/>
          </w:tcPr>
          <w:p>
            <w:pPr>
              <w:pStyle w:val="TableParagraph"/>
              <w:spacing w:before="7"/>
              <w:ind w:right="52"/>
              <w:rPr>
                <w:sz w:val="16"/>
              </w:rPr>
            </w:pPr>
            <w:r>
              <w:rPr>
                <w:w w:val="98"/>
                <w:sz w:val="16"/>
              </w:rPr>
              <w:t>-</w:t>
            </w:r>
          </w:p>
        </w:tc>
        <w:tc>
          <w:tcPr>
            <w:tcW w:w="1122" w:type="dxa"/>
          </w:tcPr>
          <w:p>
            <w:pPr>
              <w:pStyle w:val="TableParagraph"/>
              <w:spacing w:before="7"/>
              <w:ind w:right="185"/>
              <w:rPr>
                <w:sz w:val="16"/>
              </w:rPr>
            </w:pPr>
            <w:r>
              <w:rPr>
                <w:w w:val="98"/>
                <w:sz w:val="16"/>
              </w:rPr>
              <w:t>-</w:t>
            </w:r>
          </w:p>
        </w:tc>
        <w:tc>
          <w:tcPr>
            <w:tcW w:w="753" w:type="dxa"/>
          </w:tcPr>
          <w:p>
            <w:pPr>
              <w:pStyle w:val="TableParagraph"/>
              <w:spacing w:before="7"/>
              <w:ind w:right="174"/>
              <w:rPr>
                <w:sz w:val="16"/>
              </w:rPr>
            </w:pPr>
            <w:r>
              <w:rPr>
                <w:w w:val="98"/>
                <w:sz w:val="16"/>
              </w:rPr>
              <w:t>-</w:t>
            </w:r>
          </w:p>
        </w:tc>
        <w:tc>
          <w:tcPr>
            <w:tcW w:w="1053" w:type="dxa"/>
          </w:tcPr>
          <w:p>
            <w:pPr>
              <w:pStyle w:val="TableParagraph"/>
              <w:spacing w:before="7"/>
              <w:ind w:right="103"/>
              <w:rPr>
                <w:sz w:val="16"/>
              </w:rPr>
            </w:pPr>
            <w:r>
              <w:rPr>
                <w:w w:val="98"/>
                <w:sz w:val="16"/>
              </w:rPr>
              <w:t>-</w:t>
            </w:r>
          </w:p>
        </w:tc>
      </w:tr>
      <w:tr>
        <w:trPr>
          <w:trHeight w:val="228" w:hRule="atLeast"/>
        </w:trPr>
        <w:tc>
          <w:tcPr>
            <w:tcW w:w="2461" w:type="dxa"/>
          </w:tcPr>
          <w:p>
            <w:pPr>
              <w:pStyle w:val="TableParagraph"/>
              <w:spacing w:before="10"/>
              <w:ind w:left="117"/>
              <w:jc w:val="left"/>
              <w:rPr>
                <w:sz w:val="16"/>
              </w:rPr>
            </w:pPr>
            <w:r>
              <w:rPr>
                <w:w w:val="95"/>
                <w:sz w:val="16"/>
              </w:rPr>
              <w:t>Contractual</w:t>
            </w:r>
            <w:r>
              <w:rPr>
                <w:spacing w:val="33"/>
                <w:sz w:val="16"/>
              </w:rPr>
              <w:t> </w:t>
            </w:r>
            <w:r>
              <w:rPr>
                <w:spacing w:val="-2"/>
                <w:sz w:val="16"/>
              </w:rPr>
              <w:t>services</w:t>
            </w:r>
          </w:p>
        </w:tc>
        <w:tc>
          <w:tcPr>
            <w:tcW w:w="1218" w:type="dxa"/>
          </w:tcPr>
          <w:p>
            <w:pPr>
              <w:pStyle w:val="TableParagraph"/>
              <w:spacing w:before="10"/>
              <w:ind w:right="193"/>
              <w:rPr>
                <w:sz w:val="16"/>
              </w:rPr>
            </w:pPr>
            <w:r>
              <w:rPr>
                <w:w w:val="98"/>
                <w:sz w:val="16"/>
              </w:rPr>
              <w:t>-</w:t>
            </w:r>
          </w:p>
        </w:tc>
        <w:tc>
          <w:tcPr>
            <w:tcW w:w="827" w:type="dxa"/>
          </w:tcPr>
          <w:p>
            <w:pPr>
              <w:pStyle w:val="TableParagraph"/>
              <w:spacing w:before="10"/>
              <w:ind w:right="107"/>
              <w:rPr>
                <w:sz w:val="16"/>
              </w:rPr>
            </w:pPr>
            <w:r>
              <w:rPr>
                <w:w w:val="98"/>
                <w:sz w:val="16"/>
              </w:rPr>
              <w:t>-</w:t>
            </w:r>
          </w:p>
        </w:tc>
        <w:tc>
          <w:tcPr>
            <w:tcW w:w="1133" w:type="dxa"/>
          </w:tcPr>
          <w:p>
            <w:pPr>
              <w:pStyle w:val="TableParagraph"/>
              <w:spacing w:before="10"/>
              <w:ind w:right="107"/>
              <w:rPr>
                <w:sz w:val="16"/>
              </w:rPr>
            </w:pPr>
            <w:r>
              <w:rPr>
                <w:w w:val="98"/>
                <w:sz w:val="16"/>
              </w:rPr>
              <w:t>-</w:t>
            </w:r>
          </w:p>
        </w:tc>
        <w:tc>
          <w:tcPr>
            <w:tcW w:w="1078" w:type="dxa"/>
          </w:tcPr>
          <w:p>
            <w:pPr>
              <w:pStyle w:val="TableParagraph"/>
              <w:spacing w:before="10"/>
              <w:ind w:right="50"/>
              <w:rPr>
                <w:sz w:val="16"/>
              </w:rPr>
            </w:pPr>
            <w:r>
              <w:rPr>
                <w:spacing w:val="-4"/>
                <w:sz w:val="16"/>
              </w:rPr>
              <w:t>20.7</w:t>
            </w:r>
          </w:p>
        </w:tc>
        <w:tc>
          <w:tcPr>
            <w:tcW w:w="1122" w:type="dxa"/>
          </w:tcPr>
          <w:p>
            <w:pPr>
              <w:pStyle w:val="TableParagraph"/>
              <w:spacing w:before="10"/>
              <w:ind w:right="185"/>
              <w:rPr>
                <w:sz w:val="16"/>
              </w:rPr>
            </w:pPr>
            <w:r>
              <w:rPr>
                <w:w w:val="98"/>
                <w:sz w:val="16"/>
              </w:rPr>
              <w:t>-</w:t>
            </w:r>
          </w:p>
        </w:tc>
        <w:tc>
          <w:tcPr>
            <w:tcW w:w="753" w:type="dxa"/>
          </w:tcPr>
          <w:p>
            <w:pPr>
              <w:pStyle w:val="TableParagraph"/>
              <w:spacing w:before="10"/>
              <w:ind w:right="174"/>
              <w:rPr>
                <w:sz w:val="16"/>
              </w:rPr>
            </w:pPr>
            <w:r>
              <w:rPr>
                <w:w w:val="98"/>
                <w:sz w:val="16"/>
              </w:rPr>
              <w:t>-</w:t>
            </w:r>
          </w:p>
        </w:tc>
        <w:tc>
          <w:tcPr>
            <w:tcW w:w="1053" w:type="dxa"/>
          </w:tcPr>
          <w:p>
            <w:pPr>
              <w:pStyle w:val="TableParagraph"/>
              <w:spacing w:before="10"/>
              <w:ind w:right="101"/>
              <w:rPr>
                <w:sz w:val="16"/>
              </w:rPr>
            </w:pPr>
            <w:r>
              <w:rPr>
                <w:spacing w:val="-4"/>
                <w:sz w:val="16"/>
              </w:rPr>
              <w:t>20.7</w:t>
            </w:r>
          </w:p>
        </w:tc>
      </w:tr>
      <w:tr>
        <w:trPr>
          <w:trHeight w:val="225" w:hRule="atLeast"/>
        </w:trPr>
        <w:tc>
          <w:tcPr>
            <w:tcW w:w="2461" w:type="dxa"/>
          </w:tcPr>
          <w:p>
            <w:pPr>
              <w:pStyle w:val="TableParagraph"/>
              <w:spacing w:before="7"/>
              <w:ind w:left="117"/>
              <w:jc w:val="left"/>
              <w:rPr>
                <w:sz w:val="16"/>
              </w:rPr>
            </w:pPr>
            <w:r>
              <w:rPr>
                <w:spacing w:val="-2"/>
                <w:sz w:val="16"/>
              </w:rPr>
              <w:t>Training</w:t>
            </w:r>
          </w:p>
        </w:tc>
        <w:tc>
          <w:tcPr>
            <w:tcW w:w="1218" w:type="dxa"/>
          </w:tcPr>
          <w:p>
            <w:pPr>
              <w:pStyle w:val="TableParagraph"/>
              <w:spacing w:before="7"/>
              <w:ind w:right="191"/>
              <w:rPr>
                <w:sz w:val="16"/>
              </w:rPr>
            </w:pPr>
            <w:r>
              <w:rPr>
                <w:spacing w:val="-4"/>
                <w:sz w:val="16"/>
              </w:rPr>
              <w:t>35.7</w:t>
            </w:r>
          </w:p>
        </w:tc>
        <w:tc>
          <w:tcPr>
            <w:tcW w:w="827" w:type="dxa"/>
          </w:tcPr>
          <w:p>
            <w:pPr>
              <w:pStyle w:val="TableParagraph"/>
              <w:spacing w:before="7"/>
              <w:ind w:right="107"/>
              <w:rPr>
                <w:sz w:val="16"/>
              </w:rPr>
            </w:pPr>
            <w:r>
              <w:rPr>
                <w:w w:val="98"/>
                <w:sz w:val="16"/>
              </w:rPr>
              <w:t>-</w:t>
            </w:r>
          </w:p>
        </w:tc>
        <w:tc>
          <w:tcPr>
            <w:tcW w:w="1133" w:type="dxa"/>
          </w:tcPr>
          <w:p>
            <w:pPr>
              <w:pStyle w:val="TableParagraph"/>
              <w:spacing w:before="7"/>
              <w:ind w:right="105"/>
              <w:rPr>
                <w:sz w:val="16"/>
              </w:rPr>
            </w:pPr>
            <w:r>
              <w:rPr>
                <w:spacing w:val="-4"/>
                <w:sz w:val="16"/>
              </w:rPr>
              <w:t>35.7</w:t>
            </w:r>
          </w:p>
        </w:tc>
        <w:tc>
          <w:tcPr>
            <w:tcW w:w="1078" w:type="dxa"/>
          </w:tcPr>
          <w:p>
            <w:pPr>
              <w:pStyle w:val="TableParagraph"/>
              <w:spacing w:before="7"/>
              <w:ind w:right="50"/>
              <w:rPr>
                <w:sz w:val="16"/>
              </w:rPr>
            </w:pPr>
            <w:r>
              <w:rPr>
                <w:spacing w:val="-4"/>
                <w:sz w:val="16"/>
              </w:rPr>
              <w:t>25.0</w:t>
            </w:r>
          </w:p>
        </w:tc>
        <w:tc>
          <w:tcPr>
            <w:tcW w:w="1122" w:type="dxa"/>
          </w:tcPr>
          <w:p>
            <w:pPr>
              <w:pStyle w:val="TableParagraph"/>
              <w:spacing w:before="7"/>
              <w:ind w:right="185"/>
              <w:rPr>
                <w:sz w:val="16"/>
              </w:rPr>
            </w:pPr>
            <w:r>
              <w:rPr>
                <w:spacing w:val="-2"/>
                <w:sz w:val="16"/>
              </w:rPr>
              <w:t>(4.9)</w:t>
            </w:r>
          </w:p>
        </w:tc>
        <w:tc>
          <w:tcPr>
            <w:tcW w:w="753" w:type="dxa"/>
          </w:tcPr>
          <w:p>
            <w:pPr>
              <w:pStyle w:val="TableParagraph"/>
              <w:spacing w:before="7"/>
              <w:ind w:right="175"/>
              <w:rPr>
                <w:sz w:val="16"/>
              </w:rPr>
            </w:pPr>
            <w:r>
              <w:rPr>
                <w:spacing w:val="-2"/>
                <w:sz w:val="16"/>
              </w:rPr>
              <w:t>(19.6)</w:t>
            </w:r>
          </w:p>
        </w:tc>
        <w:tc>
          <w:tcPr>
            <w:tcW w:w="1053" w:type="dxa"/>
          </w:tcPr>
          <w:p>
            <w:pPr>
              <w:pStyle w:val="TableParagraph"/>
              <w:spacing w:before="7"/>
              <w:ind w:right="101"/>
              <w:rPr>
                <w:sz w:val="16"/>
              </w:rPr>
            </w:pPr>
            <w:r>
              <w:rPr>
                <w:spacing w:val="-4"/>
                <w:sz w:val="16"/>
              </w:rPr>
              <w:t>20.1</w:t>
            </w:r>
          </w:p>
        </w:tc>
      </w:tr>
      <w:tr>
        <w:trPr>
          <w:trHeight w:val="228" w:hRule="atLeast"/>
        </w:trPr>
        <w:tc>
          <w:tcPr>
            <w:tcW w:w="2461" w:type="dxa"/>
          </w:tcPr>
          <w:p>
            <w:pPr>
              <w:pStyle w:val="TableParagraph"/>
              <w:spacing w:before="7"/>
              <w:ind w:left="117"/>
              <w:jc w:val="left"/>
              <w:rPr>
                <w:sz w:val="16"/>
              </w:rPr>
            </w:pPr>
            <w:r>
              <w:rPr>
                <w:spacing w:val="-2"/>
                <w:sz w:val="16"/>
              </w:rPr>
              <w:t>Consultants</w:t>
            </w:r>
          </w:p>
        </w:tc>
        <w:tc>
          <w:tcPr>
            <w:tcW w:w="1218" w:type="dxa"/>
          </w:tcPr>
          <w:p>
            <w:pPr>
              <w:pStyle w:val="TableParagraph"/>
              <w:spacing w:before="7"/>
              <w:ind w:right="193"/>
              <w:rPr>
                <w:sz w:val="16"/>
              </w:rPr>
            </w:pPr>
            <w:r>
              <w:rPr>
                <w:w w:val="98"/>
                <w:sz w:val="16"/>
              </w:rPr>
              <w:t>-</w:t>
            </w:r>
          </w:p>
        </w:tc>
        <w:tc>
          <w:tcPr>
            <w:tcW w:w="827" w:type="dxa"/>
          </w:tcPr>
          <w:p>
            <w:pPr>
              <w:pStyle w:val="TableParagraph"/>
              <w:spacing w:before="7"/>
              <w:ind w:right="107"/>
              <w:rPr>
                <w:sz w:val="16"/>
              </w:rPr>
            </w:pPr>
            <w:r>
              <w:rPr>
                <w:w w:val="98"/>
                <w:sz w:val="16"/>
              </w:rPr>
              <w:t>-</w:t>
            </w:r>
          </w:p>
        </w:tc>
        <w:tc>
          <w:tcPr>
            <w:tcW w:w="1133" w:type="dxa"/>
          </w:tcPr>
          <w:p>
            <w:pPr>
              <w:pStyle w:val="TableParagraph"/>
              <w:spacing w:before="7"/>
              <w:ind w:right="107"/>
              <w:rPr>
                <w:sz w:val="16"/>
              </w:rPr>
            </w:pPr>
            <w:r>
              <w:rPr>
                <w:w w:val="98"/>
                <w:sz w:val="16"/>
              </w:rPr>
              <w:t>-</w:t>
            </w:r>
          </w:p>
        </w:tc>
        <w:tc>
          <w:tcPr>
            <w:tcW w:w="1078" w:type="dxa"/>
          </w:tcPr>
          <w:p>
            <w:pPr>
              <w:pStyle w:val="TableParagraph"/>
              <w:spacing w:before="7"/>
              <w:ind w:right="52"/>
              <w:rPr>
                <w:sz w:val="16"/>
              </w:rPr>
            </w:pPr>
            <w:r>
              <w:rPr>
                <w:w w:val="98"/>
                <w:sz w:val="16"/>
              </w:rPr>
              <w:t>-</w:t>
            </w:r>
          </w:p>
        </w:tc>
        <w:tc>
          <w:tcPr>
            <w:tcW w:w="1122" w:type="dxa"/>
          </w:tcPr>
          <w:p>
            <w:pPr>
              <w:pStyle w:val="TableParagraph"/>
              <w:spacing w:before="7"/>
              <w:ind w:right="185"/>
              <w:rPr>
                <w:sz w:val="16"/>
              </w:rPr>
            </w:pPr>
            <w:r>
              <w:rPr>
                <w:w w:val="98"/>
                <w:sz w:val="16"/>
              </w:rPr>
              <w:t>-</w:t>
            </w:r>
          </w:p>
        </w:tc>
        <w:tc>
          <w:tcPr>
            <w:tcW w:w="753" w:type="dxa"/>
          </w:tcPr>
          <w:p>
            <w:pPr>
              <w:pStyle w:val="TableParagraph"/>
              <w:spacing w:before="7"/>
              <w:ind w:right="174"/>
              <w:rPr>
                <w:sz w:val="16"/>
              </w:rPr>
            </w:pPr>
            <w:r>
              <w:rPr>
                <w:w w:val="98"/>
                <w:sz w:val="16"/>
              </w:rPr>
              <w:t>-</w:t>
            </w:r>
          </w:p>
        </w:tc>
        <w:tc>
          <w:tcPr>
            <w:tcW w:w="1053" w:type="dxa"/>
          </w:tcPr>
          <w:p>
            <w:pPr>
              <w:pStyle w:val="TableParagraph"/>
              <w:spacing w:before="7"/>
              <w:ind w:right="103"/>
              <w:rPr>
                <w:sz w:val="16"/>
              </w:rPr>
            </w:pPr>
            <w:r>
              <w:rPr>
                <w:w w:val="98"/>
                <w:sz w:val="16"/>
              </w:rPr>
              <w:t>-</w:t>
            </w:r>
          </w:p>
        </w:tc>
      </w:tr>
      <w:tr>
        <w:trPr>
          <w:trHeight w:val="227" w:hRule="atLeast"/>
        </w:trPr>
        <w:tc>
          <w:tcPr>
            <w:tcW w:w="2461" w:type="dxa"/>
          </w:tcPr>
          <w:p>
            <w:pPr>
              <w:pStyle w:val="TableParagraph"/>
              <w:spacing w:before="10"/>
              <w:ind w:left="117"/>
              <w:jc w:val="left"/>
              <w:rPr>
                <w:sz w:val="16"/>
              </w:rPr>
            </w:pPr>
            <w:r>
              <w:rPr>
                <w:sz w:val="16"/>
              </w:rPr>
              <w:t>General</w:t>
            </w:r>
            <w:r>
              <w:rPr>
                <w:spacing w:val="-4"/>
                <w:sz w:val="16"/>
              </w:rPr>
              <w:t> </w:t>
            </w:r>
            <w:r>
              <w:rPr>
                <w:sz w:val="16"/>
              </w:rPr>
              <w:t>operating</w:t>
            </w:r>
            <w:r>
              <w:rPr>
                <w:spacing w:val="-1"/>
                <w:sz w:val="16"/>
              </w:rPr>
              <w:t> </w:t>
            </w:r>
            <w:r>
              <w:rPr>
                <w:spacing w:val="-2"/>
                <w:sz w:val="16"/>
              </w:rPr>
              <w:t>expenses</w:t>
            </w:r>
          </w:p>
        </w:tc>
        <w:tc>
          <w:tcPr>
            <w:tcW w:w="1218" w:type="dxa"/>
          </w:tcPr>
          <w:p>
            <w:pPr>
              <w:pStyle w:val="TableParagraph"/>
              <w:spacing w:before="10"/>
              <w:ind w:right="193"/>
              <w:rPr>
                <w:sz w:val="16"/>
              </w:rPr>
            </w:pPr>
            <w:r>
              <w:rPr>
                <w:w w:val="98"/>
                <w:sz w:val="16"/>
              </w:rPr>
              <w:t>-</w:t>
            </w:r>
          </w:p>
        </w:tc>
        <w:tc>
          <w:tcPr>
            <w:tcW w:w="827" w:type="dxa"/>
          </w:tcPr>
          <w:p>
            <w:pPr>
              <w:pStyle w:val="TableParagraph"/>
              <w:spacing w:before="10"/>
              <w:ind w:right="107"/>
              <w:rPr>
                <w:sz w:val="16"/>
              </w:rPr>
            </w:pPr>
            <w:r>
              <w:rPr>
                <w:w w:val="98"/>
                <w:sz w:val="16"/>
              </w:rPr>
              <w:t>-</w:t>
            </w:r>
          </w:p>
        </w:tc>
        <w:tc>
          <w:tcPr>
            <w:tcW w:w="1133" w:type="dxa"/>
          </w:tcPr>
          <w:p>
            <w:pPr>
              <w:pStyle w:val="TableParagraph"/>
              <w:spacing w:before="10"/>
              <w:ind w:right="107"/>
              <w:rPr>
                <w:sz w:val="16"/>
              </w:rPr>
            </w:pPr>
            <w:r>
              <w:rPr>
                <w:w w:val="98"/>
                <w:sz w:val="16"/>
              </w:rPr>
              <w:t>-</w:t>
            </w:r>
          </w:p>
        </w:tc>
        <w:tc>
          <w:tcPr>
            <w:tcW w:w="1078" w:type="dxa"/>
          </w:tcPr>
          <w:p>
            <w:pPr>
              <w:pStyle w:val="TableParagraph"/>
              <w:spacing w:before="10"/>
              <w:ind w:right="52"/>
              <w:rPr>
                <w:sz w:val="16"/>
              </w:rPr>
            </w:pPr>
            <w:r>
              <w:rPr>
                <w:w w:val="98"/>
                <w:sz w:val="16"/>
              </w:rPr>
              <w:t>-</w:t>
            </w:r>
          </w:p>
        </w:tc>
        <w:tc>
          <w:tcPr>
            <w:tcW w:w="1122" w:type="dxa"/>
          </w:tcPr>
          <w:p>
            <w:pPr>
              <w:pStyle w:val="TableParagraph"/>
              <w:spacing w:before="10"/>
              <w:ind w:right="185"/>
              <w:rPr>
                <w:sz w:val="16"/>
              </w:rPr>
            </w:pPr>
            <w:r>
              <w:rPr>
                <w:w w:val="98"/>
                <w:sz w:val="16"/>
              </w:rPr>
              <w:t>-</w:t>
            </w:r>
          </w:p>
        </w:tc>
        <w:tc>
          <w:tcPr>
            <w:tcW w:w="753" w:type="dxa"/>
          </w:tcPr>
          <w:p>
            <w:pPr>
              <w:pStyle w:val="TableParagraph"/>
              <w:spacing w:before="10"/>
              <w:ind w:right="174"/>
              <w:rPr>
                <w:sz w:val="16"/>
              </w:rPr>
            </w:pPr>
            <w:r>
              <w:rPr>
                <w:w w:val="98"/>
                <w:sz w:val="16"/>
              </w:rPr>
              <w:t>-</w:t>
            </w:r>
          </w:p>
        </w:tc>
        <w:tc>
          <w:tcPr>
            <w:tcW w:w="1053" w:type="dxa"/>
          </w:tcPr>
          <w:p>
            <w:pPr>
              <w:pStyle w:val="TableParagraph"/>
              <w:spacing w:before="10"/>
              <w:ind w:right="103"/>
              <w:rPr>
                <w:sz w:val="16"/>
              </w:rPr>
            </w:pPr>
            <w:r>
              <w:rPr>
                <w:w w:val="98"/>
                <w:sz w:val="16"/>
              </w:rPr>
              <w:t>-</w:t>
            </w:r>
          </w:p>
        </w:tc>
      </w:tr>
      <w:tr>
        <w:trPr>
          <w:trHeight w:val="225" w:hRule="atLeast"/>
        </w:trPr>
        <w:tc>
          <w:tcPr>
            <w:tcW w:w="2461" w:type="dxa"/>
          </w:tcPr>
          <w:p>
            <w:pPr>
              <w:pStyle w:val="TableParagraph"/>
              <w:spacing w:before="7"/>
              <w:ind w:left="117"/>
              <w:jc w:val="left"/>
              <w:rPr>
                <w:sz w:val="16"/>
              </w:rPr>
            </w:pPr>
            <w:r>
              <w:rPr>
                <w:sz w:val="16"/>
              </w:rPr>
              <w:t>Supplies</w:t>
            </w:r>
            <w:r>
              <w:rPr>
                <w:spacing w:val="-4"/>
                <w:sz w:val="16"/>
              </w:rPr>
              <w:t> </w:t>
            </w:r>
            <w:r>
              <w:rPr>
                <w:sz w:val="16"/>
              </w:rPr>
              <w:t>and</w:t>
            </w:r>
            <w:r>
              <w:rPr>
                <w:spacing w:val="-2"/>
                <w:sz w:val="16"/>
              </w:rPr>
              <w:t> materials</w:t>
            </w:r>
          </w:p>
        </w:tc>
        <w:tc>
          <w:tcPr>
            <w:tcW w:w="1218" w:type="dxa"/>
          </w:tcPr>
          <w:p>
            <w:pPr>
              <w:pStyle w:val="TableParagraph"/>
              <w:spacing w:before="7"/>
              <w:ind w:right="193"/>
              <w:rPr>
                <w:sz w:val="16"/>
              </w:rPr>
            </w:pPr>
            <w:r>
              <w:rPr>
                <w:w w:val="98"/>
                <w:sz w:val="16"/>
              </w:rPr>
              <w:t>-</w:t>
            </w:r>
          </w:p>
        </w:tc>
        <w:tc>
          <w:tcPr>
            <w:tcW w:w="827" w:type="dxa"/>
          </w:tcPr>
          <w:p>
            <w:pPr>
              <w:pStyle w:val="TableParagraph"/>
              <w:spacing w:before="7"/>
              <w:ind w:right="107"/>
              <w:rPr>
                <w:sz w:val="16"/>
              </w:rPr>
            </w:pPr>
            <w:r>
              <w:rPr>
                <w:w w:val="98"/>
                <w:sz w:val="16"/>
              </w:rPr>
              <w:t>-</w:t>
            </w:r>
          </w:p>
        </w:tc>
        <w:tc>
          <w:tcPr>
            <w:tcW w:w="1133" w:type="dxa"/>
          </w:tcPr>
          <w:p>
            <w:pPr>
              <w:pStyle w:val="TableParagraph"/>
              <w:spacing w:before="7"/>
              <w:ind w:right="107"/>
              <w:rPr>
                <w:sz w:val="16"/>
              </w:rPr>
            </w:pPr>
            <w:r>
              <w:rPr>
                <w:w w:val="98"/>
                <w:sz w:val="16"/>
              </w:rPr>
              <w:t>-</w:t>
            </w:r>
          </w:p>
        </w:tc>
        <w:tc>
          <w:tcPr>
            <w:tcW w:w="1078" w:type="dxa"/>
          </w:tcPr>
          <w:p>
            <w:pPr>
              <w:pStyle w:val="TableParagraph"/>
              <w:spacing w:before="7"/>
              <w:ind w:right="52"/>
              <w:rPr>
                <w:sz w:val="16"/>
              </w:rPr>
            </w:pPr>
            <w:r>
              <w:rPr>
                <w:w w:val="98"/>
                <w:sz w:val="16"/>
              </w:rPr>
              <w:t>-</w:t>
            </w:r>
          </w:p>
        </w:tc>
        <w:tc>
          <w:tcPr>
            <w:tcW w:w="1122" w:type="dxa"/>
          </w:tcPr>
          <w:p>
            <w:pPr>
              <w:pStyle w:val="TableParagraph"/>
              <w:spacing w:before="7"/>
              <w:ind w:right="185"/>
              <w:rPr>
                <w:sz w:val="16"/>
              </w:rPr>
            </w:pPr>
            <w:r>
              <w:rPr>
                <w:w w:val="98"/>
                <w:sz w:val="16"/>
              </w:rPr>
              <w:t>-</w:t>
            </w:r>
          </w:p>
        </w:tc>
        <w:tc>
          <w:tcPr>
            <w:tcW w:w="753" w:type="dxa"/>
          </w:tcPr>
          <w:p>
            <w:pPr>
              <w:pStyle w:val="TableParagraph"/>
              <w:spacing w:before="7"/>
              <w:ind w:right="174"/>
              <w:rPr>
                <w:sz w:val="16"/>
              </w:rPr>
            </w:pPr>
            <w:r>
              <w:rPr>
                <w:w w:val="98"/>
                <w:sz w:val="16"/>
              </w:rPr>
              <w:t>-</w:t>
            </w:r>
          </w:p>
        </w:tc>
        <w:tc>
          <w:tcPr>
            <w:tcW w:w="1053" w:type="dxa"/>
          </w:tcPr>
          <w:p>
            <w:pPr>
              <w:pStyle w:val="TableParagraph"/>
              <w:spacing w:before="7"/>
              <w:ind w:right="103"/>
              <w:rPr>
                <w:sz w:val="16"/>
              </w:rPr>
            </w:pPr>
            <w:r>
              <w:rPr>
                <w:w w:val="98"/>
                <w:sz w:val="16"/>
              </w:rPr>
              <w:t>-</w:t>
            </w:r>
          </w:p>
        </w:tc>
      </w:tr>
      <w:tr>
        <w:trPr>
          <w:trHeight w:val="223" w:hRule="atLeast"/>
        </w:trPr>
        <w:tc>
          <w:tcPr>
            <w:tcW w:w="2461" w:type="dxa"/>
            <w:tcBorders>
              <w:bottom w:val="single" w:sz="4" w:space="0" w:color="000000"/>
            </w:tcBorders>
          </w:tcPr>
          <w:p>
            <w:pPr>
              <w:pStyle w:val="TableParagraph"/>
              <w:spacing w:before="7"/>
              <w:ind w:left="117"/>
              <w:jc w:val="left"/>
              <w:rPr>
                <w:sz w:val="16"/>
              </w:rPr>
            </w:pPr>
            <w:r>
              <w:rPr>
                <w:sz w:val="16"/>
              </w:rPr>
              <w:t>Furniture</w:t>
            </w:r>
            <w:r>
              <w:rPr>
                <w:spacing w:val="-4"/>
                <w:sz w:val="16"/>
              </w:rPr>
              <w:t> </w:t>
            </w:r>
            <w:r>
              <w:rPr>
                <w:sz w:val="16"/>
              </w:rPr>
              <w:t>and</w:t>
            </w:r>
            <w:r>
              <w:rPr>
                <w:spacing w:val="-2"/>
                <w:sz w:val="16"/>
              </w:rPr>
              <w:t> equipment</w:t>
            </w:r>
          </w:p>
        </w:tc>
        <w:tc>
          <w:tcPr>
            <w:tcW w:w="1218" w:type="dxa"/>
            <w:tcBorders>
              <w:bottom w:val="single" w:sz="4" w:space="0" w:color="000000"/>
            </w:tcBorders>
          </w:tcPr>
          <w:p>
            <w:pPr>
              <w:pStyle w:val="TableParagraph"/>
              <w:spacing w:before="7"/>
              <w:ind w:right="193"/>
              <w:rPr>
                <w:sz w:val="16"/>
              </w:rPr>
            </w:pPr>
            <w:r>
              <w:rPr>
                <w:w w:val="98"/>
                <w:sz w:val="16"/>
              </w:rPr>
              <w:t>-</w:t>
            </w:r>
          </w:p>
        </w:tc>
        <w:tc>
          <w:tcPr>
            <w:tcW w:w="827" w:type="dxa"/>
            <w:tcBorders>
              <w:bottom w:val="single" w:sz="4" w:space="0" w:color="000000"/>
            </w:tcBorders>
          </w:tcPr>
          <w:p>
            <w:pPr>
              <w:pStyle w:val="TableParagraph"/>
              <w:spacing w:before="7"/>
              <w:ind w:right="107"/>
              <w:rPr>
                <w:sz w:val="16"/>
              </w:rPr>
            </w:pPr>
            <w:r>
              <w:rPr>
                <w:w w:val="98"/>
                <w:sz w:val="16"/>
              </w:rPr>
              <w:t>-</w:t>
            </w:r>
          </w:p>
        </w:tc>
        <w:tc>
          <w:tcPr>
            <w:tcW w:w="1133" w:type="dxa"/>
            <w:tcBorders>
              <w:bottom w:val="single" w:sz="4" w:space="0" w:color="000000"/>
            </w:tcBorders>
          </w:tcPr>
          <w:p>
            <w:pPr>
              <w:pStyle w:val="TableParagraph"/>
              <w:spacing w:before="7"/>
              <w:ind w:right="107"/>
              <w:rPr>
                <w:sz w:val="16"/>
              </w:rPr>
            </w:pPr>
            <w:r>
              <w:rPr>
                <w:w w:val="98"/>
                <w:sz w:val="16"/>
              </w:rPr>
              <w:t>-</w:t>
            </w:r>
          </w:p>
        </w:tc>
        <w:tc>
          <w:tcPr>
            <w:tcW w:w="1078" w:type="dxa"/>
            <w:tcBorders>
              <w:bottom w:val="single" w:sz="4" w:space="0" w:color="000000"/>
            </w:tcBorders>
          </w:tcPr>
          <w:p>
            <w:pPr>
              <w:pStyle w:val="TableParagraph"/>
              <w:spacing w:before="7"/>
              <w:ind w:right="52"/>
              <w:rPr>
                <w:sz w:val="16"/>
              </w:rPr>
            </w:pPr>
            <w:r>
              <w:rPr>
                <w:w w:val="98"/>
                <w:sz w:val="16"/>
              </w:rPr>
              <w:t>-</w:t>
            </w:r>
          </w:p>
        </w:tc>
        <w:tc>
          <w:tcPr>
            <w:tcW w:w="1122" w:type="dxa"/>
            <w:tcBorders>
              <w:bottom w:val="single" w:sz="4" w:space="0" w:color="000000"/>
            </w:tcBorders>
          </w:tcPr>
          <w:p>
            <w:pPr>
              <w:pStyle w:val="TableParagraph"/>
              <w:spacing w:before="7"/>
              <w:ind w:right="185"/>
              <w:rPr>
                <w:sz w:val="16"/>
              </w:rPr>
            </w:pPr>
            <w:r>
              <w:rPr>
                <w:w w:val="98"/>
                <w:sz w:val="16"/>
              </w:rPr>
              <w:t>-</w:t>
            </w:r>
          </w:p>
        </w:tc>
        <w:tc>
          <w:tcPr>
            <w:tcW w:w="753" w:type="dxa"/>
            <w:tcBorders>
              <w:bottom w:val="single" w:sz="4" w:space="0" w:color="000000"/>
            </w:tcBorders>
          </w:tcPr>
          <w:p>
            <w:pPr>
              <w:pStyle w:val="TableParagraph"/>
              <w:spacing w:before="7"/>
              <w:ind w:right="174"/>
              <w:rPr>
                <w:sz w:val="16"/>
              </w:rPr>
            </w:pPr>
            <w:r>
              <w:rPr>
                <w:w w:val="98"/>
                <w:sz w:val="16"/>
              </w:rPr>
              <w:t>-</w:t>
            </w:r>
          </w:p>
        </w:tc>
        <w:tc>
          <w:tcPr>
            <w:tcW w:w="1053" w:type="dxa"/>
            <w:tcBorders>
              <w:bottom w:val="single" w:sz="4" w:space="0" w:color="000000"/>
            </w:tcBorders>
          </w:tcPr>
          <w:p>
            <w:pPr>
              <w:pStyle w:val="TableParagraph"/>
              <w:spacing w:before="7"/>
              <w:ind w:right="103"/>
              <w:rPr>
                <w:sz w:val="16"/>
              </w:rPr>
            </w:pPr>
            <w:r>
              <w:rPr>
                <w:w w:val="98"/>
                <w:sz w:val="16"/>
              </w:rPr>
              <w:t>-</w:t>
            </w:r>
          </w:p>
        </w:tc>
      </w:tr>
      <w:tr>
        <w:trPr>
          <w:trHeight w:val="225" w:hRule="atLeast"/>
        </w:trPr>
        <w:tc>
          <w:tcPr>
            <w:tcW w:w="2461" w:type="dxa"/>
            <w:tcBorders>
              <w:top w:val="single" w:sz="4" w:space="0" w:color="000000"/>
              <w:bottom w:val="single" w:sz="4" w:space="0" w:color="000000"/>
            </w:tcBorders>
          </w:tcPr>
          <w:p>
            <w:pPr>
              <w:pStyle w:val="TableParagraph"/>
              <w:spacing w:before="14"/>
              <w:ind w:right="103"/>
              <w:rPr>
                <w:i/>
                <w:sz w:val="16"/>
              </w:rPr>
            </w:pPr>
            <w:r>
              <w:rPr>
                <w:i/>
                <w:w w:val="95"/>
                <w:sz w:val="16"/>
              </w:rPr>
              <w:t>Subtotal</w:t>
            </w:r>
            <w:r>
              <w:rPr>
                <w:i/>
                <w:spacing w:val="40"/>
                <w:sz w:val="16"/>
              </w:rPr>
              <w:t> </w:t>
            </w:r>
            <w:r>
              <w:rPr>
                <w:i/>
                <w:w w:val="95"/>
                <w:sz w:val="16"/>
              </w:rPr>
              <w:t>non-</w:t>
            </w:r>
            <w:r>
              <w:rPr>
                <w:i/>
                <w:spacing w:val="-4"/>
                <w:w w:val="95"/>
                <w:sz w:val="16"/>
              </w:rPr>
              <w:t>staff</w:t>
            </w:r>
          </w:p>
        </w:tc>
        <w:tc>
          <w:tcPr>
            <w:tcW w:w="1218" w:type="dxa"/>
            <w:tcBorders>
              <w:top w:val="single" w:sz="4" w:space="0" w:color="000000"/>
              <w:bottom w:val="single" w:sz="4" w:space="0" w:color="000000"/>
            </w:tcBorders>
          </w:tcPr>
          <w:p>
            <w:pPr>
              <w:pStyle w:val="TableParagraph"/>
              <w:spacing w:before="14"/>
              <w:ind w:right="191"/>
              <w:rPr>
                <w:i/>
                <w:sz w:val="16"/>
              </w:rPr>
            </w:pPr>
            <w:r>
              <w:rPr>
                <w:i/>
                <w:spacing w:val="-4"/>
                <w:sz w:val="16"/>
              </w:rPr>
              <w:t>35.7</w:t>
            </w:r>
          </w:p>
        </w:tc>
        <w:tc>
          <w:tcPr>
            <w:tcW w:w="827" w:type="dxa"/>
            <w:tcBorders>
              <w:top w:val="single" w:sz="4" w:space="0" w:color="000000"/>
              <w:bottom w:val="single" w:sz="4" w:space="0" w:color="000000"/>
            </w:tcBorders>
          </w:tcPr>
          <w:p>
            <w:pPr>
              <w:pStyle w:val="TableParagraph"/>
              <w:spacing w:before="14"/>
              <w:ind w:right="107"/>
              <w:rPr>
                <w:i/>
                <w:sz w:val="16"/>
              </w:rPr>
            </w:pPr>
            <w:r>
              <w:rPr>
                <w:i/>
                <w:w w:val="98"/>
                <w:sz w:val="16"/>
              </w:rPr>
              <w:t>-</w:t>
            </w:r>
          </w:p>
        </w:tc>
        <w:tc>
          <w:tcPr>
            <w:tcW w:w="1133" w:type="dxa"/>
            <w:tcBorders>
              <w:top w:val="single" w:sz="4" w:space="0" w:color="000000"/>
              <w:bottom w:val="single" w:sz="4" w:space="0" w:color="000000"/>
            </w:tcBorders>
          </w:tcPr>
          <w:p>
            <w:pPr>
              <w:pStyle w:val="TableParagraph"/>
              <w:spacing w:before="14"/>
              <w:ind w:right="105"/>
              <w:rPr>
                <w:i/>
                <w:sz w:val="16"/>
              </w:rPr>
            </w:pPr>
            <w:r>
              <w:rPr>
                <w:i/>
                <w:spacing w:val="-4"/>
                <w:sz w:val="16"/>
              </w:rPr>
              <w:t>35.7</w:t>
            </w:r>
          </w:p>
        </w:tc>
        <w:tc>
          <w:tcPr>
            <w:tcW w:w="1078" w:type="dxa"/>
            <w:tcBorders>
              <w:top w:val="single" w:sz="4" w:space="0" w:color="000000"/>
              <w:bottom w:val="single" w:sz="4" w:space="0" w:color="000000"/>
            </w:tcBorders>
          </w:tcPr>
          <w:p>
            <w:pPr>
              <w:pStyle w:val="TableParagraph"/>
              <w:spacing w:before="14"/>
              <w:ind w:right="50"/>
              <w:rPr>
                <w:i/>
                <w:sz w:val="16"/>
              </w:rPr>
            </w:pPr>
            <w:r>
              <w:rPr>
                <w:i/>
                <w:spacing w:val="-4"/>
                <w:sz w:val="16"/>
              </w:rPr>
              <w:t>56.2</w:t>
            </w:r>
          </w:p>
        </w:tc>
        <w:tc>
          <w:tcPr>
            <w:tcW w:w="1122" w:type="dxa"/>
            <w:tcBorders>
              <w:top w:val="single" w:sz="4" w:space="0" w:color="000000"/>
              <w:bottom w:val="single" w:sz="4" w:space="0" w:color="000000"/>
            </w:tcBorders>
          </w:tcPr>
          <w:p>
            <w:pPr>
              <w:pStyle w:val="TableParagraph"/>
              <w:spacing w:before="14"/>
              <w:ind w:right="185"/>
              <w:rPr>
                <w:i/>
                <w:sz w:val="16"/>
              </w:rPr>
            </w:pPr>
            <w:r>
              <w:rPr>
                <w:i/>
                <w:spacing w:val="-2"/>
                <w:sz w:val="16"/>
              </w:rPr>
              <w:t>(5.0)</w:t>
            </w:r>
          </w:p>
        </w:tc>
        <w:tc>
          <w:tcPr>
            <w:tcW w:w="753" w:type="dxa"/>
            <w:tcBorders>
              <w:top w:val="single" w:sz="4" w:space="0" w:color="000000"/>
              <w:bottom w:val="single" w:sz="4" w:space="0" w:color="000000"/>
            </w:tcBorders>
          </w:tcPr>
          <w:p>
            <w:pPr>
              <w:pStyle w:val="TableParagraph"/>
              <w:spacing w:before="14"/>
              <w:ind w:right="175"/>
              <w:rPr>
                <w:i/>
                <w:sz w:val="16"/>
              </w:rPr>
            </w:pPr>
            <w:r>
              <w:rPr>
                <w:i/>
                <w:spacing w:val="-2"/>
                <w:sz w:val="16"/>
              </w:rPr>
              <w:t>(8.9)</w:t>
            </w:r>
          </w:p>
        </w:tc>
        <w:tc>
          <w:tcPr>
            <w:tcW w:w="1053" w:type="dxa"/>
            <w:tcBorders>
              <w:top w:val="single" w:sz="4" w:space="0" w:color="000000"/>
              <w:bottom w:val="single" w:sz="4" w:space="0" w:color="000000"/>
            </w:tcBorders>
          </w:tcPr>
          <w:p>
            <w:pPr>
              <w:pStyle w:val="TableParagraph"/>
              <w:spacing w:before="14"/>
              <w:ind w:right="101"/>
              <w:rPr>
                <w:i/>
                <w:sz w:val="16"/>
              </w:rPr>
            </w:pPr>
            <w:r>
              <w:rPr>
                <w:i/>
                <w:spacing w:val="-4"/>
                <w:sz w:val="16"/>
              </w:rPr>
              <w:t>51.2</w:t>
            </w:r>
          </w:p>
        </w:tc>
      </w:tr>
      <w:tr>
        <w:trPr>
          <w:trHeight w:val="230" w:hRule="atLeast"/>
        </w:trPr>
        <w:tc>
          <w:tcPr>
            <w:tcW w:w="2461" w:type="dxa"/>
            <w:tcBorders>
              <w:top w:val="single" w:sz="4" w:space="0" w:color="000000"/>
              <w:bottom w:val="single" w:sz="12" w:space="0" w:color="000000"/>
            </w:tcBorders>
          </w:tcPr>
          <w:p>
            <w:pPr>
              <w:pStyle w:val="TableParagraph"/>
              <w:spacing w:before="14"/>
              <w:ind w:left="117"/>
              <w:jc w:val="left"/>
              <w:rPr>
                <w:b/>
                <w:sz w:val="16"/>
              </w:rPr>
            </w:pPr>
            <w:r>
              <w:rPr>
                <w:b/>
                <w:spacing w:val="-2"/>
                <w:sz w:val="16"/>
              </w:rPr>
              <w:t>Total</w:t>
            </w:r>
          </w:p>
        </w:tc>
        <w:tc>
          <w:tcPr>
            <w:tcW w:w="1218" w:type="dxa"/>
            <w:tcBorders>
              <w:top w:val="single" w:sz="4" w:space="0" w:color="000000"/>
              <w:bottom w:val="single" w:sz="12" w:space="0" w:color="000000"/>
            </w:tcBorders>
          </w:tcPr>
          <w:p>
            <w:pPr>
              <w:pStyle w:val="TableParagraph"/>
              <w:spacing w:before="14"/>
              <w:ind w:right="191"/>
              <w:rPr>
                <w:b/>
                <w:sz w:val="16"/>
              </w:rPr>
            </w:pPr>
            <w:r>
              <w:rPr>
                <w:b/>
                <w:spacing w:val="-2"/>
                <w:sz w:val="16"/>
              </w:rPr>
              <w:t>732.2</w:t>
            </w:r>
          </w:p>
        </w:tc>
        <w:tc>
          <w:tcPr>
            <w:tcW w:w="827" w:type="dxa"/>
            <w:tcBorders>
              <w:top w:val="single" w:sz="4" w:space="0" w:color="000000"/>
              <w:bottom w:val="single" w:sz="12" w:space="0" w:color="000000"/>
            </w:tcBorders>
          </w:tcPr>
          <w:p>
            <w:pPr>
              <w:pStyle w:val="TableParagraph"/>
              <w:spacing w:before="14"/>
              <w:ind w:right="107"/>
              <w:rPr>
                <w:b/>
                <w:sz w:val="16"/>
              </w:rPr>
            </w:pPr>
            <w:r>
              <w:rPr>
                <w:b/>
                <w:w w:val="98"/>
                <w:sz w:val="16"/>
              </w:rPr>
              <w:t>-</w:t>
            </w:r>
          </w:p>
        </w:tc>
        <w:tc>
          <w:tcPr>
            <w:tcW w:w="1133" w:type="dxa"/>
            <w:tcBorders>
              <w:top w:val="single" w:sz="4" w:space="0" w:color="000000"/>
              <w:bottom w:val="single" w:sz="12" w:space="0" w:color="000000"/>
            </w:tcBorders>
          </w:tcPr>
          <w:p>
            <w:pPr>
              <w:pStyle w:val="TableParagraph"/>
              <w:spacing w:before="14"/>
              <w:ind w:right="106"/>
              <w:rPr>
                <w:b/>
                <w:sz w:val="16"/>
              </w:rPr>
            </w:pPr>
            <w:r>
              <w:rPr>
                <w:b/>
                <w:spacing w:val="-2"/>
                <w:sz w:val="16"/>
              </w:rPr>
              <w:t>732.2</w:t>
            </w:r>
          </w:p>
        </w:tc>
        <w:tc>
          <w:tcPr>
            <w:tcW w:w="1078" w:type="dxa"/>
            <w:tcBorders>
              <w:top w:val="single" w:sz="4" w:space="0" w:color="000000"/>
              <w:bottom w:val="single" w:sz="12" w:space="0" w:color="000000"/>
            </w:tcBorders>
          </w:tcPr>
          <w:p>
            <w:pPr>
              <w:pStyle w:val="TableParagraph"/>
              <w:spacing w:before="14"/>
              <w:ind w:right="50"/>
              <w:rPr>
                <w:b/>
                <w:sz w:val="16"/>
              </w:rPr>
            </w:pPr>
            <w:r>
              <w:rPr>
                <w:b/>
                <w:spacing w:val="-2"/>
                <w:sz w:val="16"/>
              </w:rPr>
              <w:t>775.0</w:t>
            </w:r>
          </w:p>
        </w:tc>
        <w:tc>
          <w:tcPr>
            <w:tcW w:w="1122" w:type="dxa"/>
            <w:tcBorders>
              <w:top w:val="single" w:sz="4" w:space="0" w:color="000000"/>
              <w:bottom w:val="single" w:sz="12" w:space="0" w:color="000000"/>
            </w:tcBorders>
          </w:tcPr>
          <w:p>
            <w:pPr>
              <w:pStyle w:val="TableParagraph"/>
              <w:spacing w:before="14"/>
              <w:ind w:right="183"/>
              <w:rPr>
                <w:b/>
                <w:sz w:val="16"/>
              </w:rPr>
            </w:pPr>
            <w:r>
              <w:rPr>
                <w:b/>
                <w:spacing w:val="-4"/>
                <w:sz w:val="16"/>
              </w:rPr>
              <w:t>19.9</w:t>
            </w:r>
          </w:p>
        </w:tc>
        <w:tc>
          <w:tcPr>
            <w:tcW w:w="753" w:type="dxa"/>
            <w:tcBorders>
              <w:top w:val="single" w:sz="4" w:space="0" w:color="000000"/>
              <w:bottom w:val="single" w:sz="12" w:space="0" w:color="000000"/>
            </w:tcBorders>
          </w:tcPr>
          <w:p>
            <w:pPr>
              <w:pStyle w:val="TableParagraph"/>
              <w:spacing w:before="14"/>
              <w:ind w:right="177"/>
              <w:rPr>
                <w:b/>
                <w:sz w:val="16"/>
              </w:rPr>
            </w:pPr>
            <w:r>
              <w:rPr>
                <w:b/>
                <w:spacing w:val="-5"/>
                <w:sz w:val="16"/>
              </w:rPr>
              <w:t>2.6</w:t>
            </w:r>
          </w:p>
        </w:tc>
        <w:tc>
          <w:tcPr>
            <w:tcW w:w="1053" w:type="dxa"/>
            <w:tcBorders>
              <w:top w:val="single" w:sz="4" w:space="0" w:color="000000"/>
              <w:bottom w:val="single" w:sz="12" w:space="0" w:color="000000"/>
            </w:tcBorders>
          </w:tcPr>
          <w:p>
            <w:pPr>
              <w:pStyle w:val="TableParagraph"/>
              <w:spacing w:before="14"/>
              <w:ind w:right="102"/>
              <w:rPr>
                <w:b/>
                <w:sz w:val="16"/>
              </w:rPr>
            </w:pPr>
            <w:r>
              <w:rPr>
                <w:b/>
                <w:spacing w:val="-2"/>
                <w:sz w:val="16"/>
              </w:rPr>
              <w:t>794.9</w:t>
            </w:r>
          </w:p>
        </w:tc>
      </w:tr>
    </w:tbl>
    <w:p>
      <w:pPr>
        <w:pStyle w:val="BodyText"/>
        <w:spacing w:before="8"/>
        <w:rPr>
          <w:b/>
          <w:sz w:val="21"/>
        </w:rPr>
      </w:pPr>
    </w:p>
    <w:p>
      <w:pPr>
        <w:spacing w:before="0"/>
        <w:ind w:left="2246" w:right="0" w:firstLine="0"/>
        <w:jc w:val="left"/>
        <w:rPr>
          <w:b/>
          <w:sz w:val="20"/>
        </w:rPr>
      </w:pPr>
      <w:r>
        <w:rPr>
          <w:b/>
          <w:sz w:val="20"/>
        </w:rPr>
        <w:t>Table</w:t>
      </w:r>
      <w:r>
        <w:rPr>
          <w:b/>
          <w:spacing w:val="-5"/>
          <w:sz w:val="20"/>
        </w:rPr>
        <w:t> </w:t>
      </w:r>
      <w:r>
        <w:rPr>
          <w:b/>
          <w:sz w:val="20"/>
        </w:rPr>
        <w:t>50:</w:t>
      </w:r>
      <w:r>
        <w:rPr>
          <w:b/>
          <w:spacing w:val="-7"/>
          <w:sz w:val="20"/>
        </w:rPr>
        <w:t> </w:t>
      </w:r>
      <w:r>
        <w:rPr>
          <w:b/>
          <w:sz w:val="20"/>
        </w:rPr>
        <w:t>Major</w:t>
      </w:r>
      <w:r>
        <w:rPr>
          <w:b/>
          <w:spacing w:val="-9"/>
          <w:sz w:val="20"/>
        </w:rPr>
        <w:t> </w:t>
      </w:r>
      <w:r>
        <w:rPr>
          <w:b/>
          <w:sz w:val="20"/>
        </w:rPr>
        <w:t>Programme</w:t>
      </w:r>
      <w:r>
        <w:rPr>
          <w:b/>
          <w:spacing w:val="-3"/>
          <w:sz w:val="20"/>
        </w:rPr>
        <w:t> </w:t>
      </w:r>
      <w:r>
        <w:rPr>
          <w:b/>
          <w:sz w:val="20"/>
        </w:rPr>
        <w:t>VII-6:</w:t>
      </w:r>
      <w:r>
        <w:rPr>
          <w:b/>
          <w:spacing w:val="-7"/>
          <w:sz w:val="20"/>
        </w:rPr>
        <w:t> </w:t>
      </w:r>
      <w:r>
        <w:rPr>
          <w:b/>
          <w:sz w:val="20"/>
        </w:rPr>
        <w:t>Proposed</w:t>
      </w:r>
      <w:r>
        <w:rPr>
          <w:b/>
          <w:spacing w:val="-3"/>
          <w:sz w:val="20"/>
        </w:rPr>
        <w:t> </w:t>
      </w:r>
      <w:r>
        <w:rPr>
          <w:b/>
          <w:sz w:val="20"/>
        </w:rPr>
        <w:t>staffing</w:t>
      </w:r>
      <w:r>
        <w:rPr>
          <w:b/>
          <w:spacing w:val="-7"/>
          <w:sz w:val="20"/>
        </w:rPr>
        <w:t> </w:t>
      </w:r>
      <w:r>
        <w:rPr>
          <w:b/>
          <w:sz w:val="20"/>
        </w:rPr>
        <w:t>for</w:t>
      </w:r>
      <w:r>
        <w:rPr>
          <w:b/>
          <w:spacing w:val="-4"/>
          <w:sz w:val="20"/>
        </w:rPr>
        <w:t> 2023</w:t>
      </w:r>
    </w:p>
    <w:tbl>
      <w:tblPr>
        <w:tblW w:w="0" w:type="auto"/>
        <w:jc w:val="left"/>
        <w:tblInd w:w="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6"/>
        <w:gridCol w:w="669"/>
        <w:gridCol w:w="593"/>
        <w:gridCol w:w="553"/>
        <w:gridCol w:w="569"/>
        <w:gridCol w:w="572"/>
        <w:gridCol w:w="555"/>
        <w:gridCol w:w="682"/>
        <w:gridCol w:w="653"/>
        <w:gridCol w:w="453"/>
        <w:gridCol w:w="784"/>
        <w:gridCol w:w="558"/>
        <w:gridCol w:w="567"/>
        <w:gridCol w:w="648"/>
        <w:gridCol w:w="793"/>
        <w:gridCol w:w="590"/>
      </w:tblGrid>
      <w:tr>
        <w:trPr>
          <w:trHeight w:val="642" w:hRule="atLeast"/>
        </w:trPr>
        <w:tc>
          <w:tcPr>
            <w:tcW w:w="1186" w:type="dxa"/>
            <w:tcBorders>
              <w:top w:val="single" w:sz="4" w:space="0" w:color="000000"/>
              <w:bottom w:val="single" w:sz="4" w:space="0" w:color="000000"/>
            </w:tcBorders>
          </w:tcPr>
          <w:p>
            <w:pPr>
              <w:pStyle w:val="TableParagraph"/>
              <w:jc w:val="left"/>
              <w:rPr>
                <w:b/>
                <w:sz w:val="14"/>
              </w:rPr>
            </w:pPr>
          </w:p>
          <w:p>
            <w:pPr>
              <w:pStyle w:val="TableParagraph"/>
              <w:jc w:val="left"/>
              <w:rPr>
                <w:b/>
                <w:sz w:val="14"/>
              </w:rPr>
            </w:pPr>
          </w:p>
          <w:p>
            <w:pPr>
              <w:pStyle w:val="TableParagraph"/>
              <w:spacing w:before="2"/>
              <w:jc w:val="left"/>
              <w:rPr>
                <w:b/>
                <w:sz w:val="13"/>
              </w:rPr>
            </w:pPr>
          </w:p>
          <w:p>
            <w:pPr>
              <w:pStyle w:val="TableParagraph"/>
              <w:spacing w:line="149" w:lineRule="exact"/>
              <w:ind w:left="67"/>
              <w:jc w:val="left"/>
              <w:rPr>
                <w:sz w:val="14"/>
              </w:rPr>
            </w:pPr>
            <w:r>
              <w:rPr>
                <w:w w:val="95"/>
                <w:sz w:val="14"/>
              </w:rPr>
              <w:t>VII-</w:t>
            </w:r>
            <w:r>
              <w:rPr>
                <w:spacing w:val="-10"/>
                <w:sz w:val="14"/>
              </w:rPr>
              <w:t>6</w:t>
            </w:r>
          </w:p>
        </w:tc>
        <w:tc>
          <w:tcPr>
            <w:tcW w:w="669" w:type="dxa"/>
            <w:tcBorders>
              <w:top w:val="single" w:sz="4" w:space="0" w:color="000000"/>
              <w:bottom w:val="single" w:sz="4" w:space="0" w:color="000000"/>
            </w:tcBorders>
          </w:tcPr>
          <w:p>
            <w:pPr>
              <w:pStyle w:val="TableParagraph"/>
              <w:jc w:val="left"/>
              <w:rPr>
                <w:b/>
                <w:sz w:val="14"/>
              </w:rPr>
            </w:pPr>
          </w:p>
          <w:p>
            <w:pPr>
              <w:pStyle w:val="TableParagraph"/>
              <w:jc w:val="left"/>
              <w:rPr>
                <w:b/>
                <w:sz w:val="14"/>
              </w:rPr>
            </w:pPr>
          </w:p>
          <w:p>
            <w:pPr>
              <w:pStyle w:val="TableParagraph"/>
              <w:spacing w:before="2"/>
              <w:jc w:val="left"/>
              <w:rPr>
                <w:b/>
                <w:sz w:val="13"/>
              </w:rPr>
            </w:pPr>
          </w:p>
          <w:p>
            <w:pPr>
              <w:pStyle w:val="TableParagraph"/>
              <w:spacing w:line="149" w:lineRule="exact"/>
              <w:ind w:right="143"/>
              <w:rPr>
                <w:sz w:val="14"/>
              </w:rPr>
            </w:pPr>
            <w:r>
              <w:rPr>
                <w:spacing w:val="-5"/>
                <w:sz w:val="14"/>
              </w:rPr>
              <w:t>USG</w:t>
            </w:r>
          </w:p>
        </w:tc>
        <w:tc>
          <w:tcPr>
            <w:tcW w:w="593" w:type="dxa"/>
            <w:tcBorders>
              <w:top w:val="single" w:sz="4" w:space="0" w:color="000000"/>
              <w:bottom w:val="single" w:sz="4" w:space="0" w:color="000000"/>
            </w:tcBorders>
          </w:tcPr>
          <w:p>
            <w:pPr>
              <w:pStyle w:val="TableParagraph"/>
              <w:jc w:val="left"/>
              <w:rPr>
                <w:b/>
                <w:sz w:val="14"/>
              </w:rPr>
            </w:pPr>
          </w:p>
          <w:p>
            <w:pPr>
              <w:pStyle w:val="TableParagraph"/>
              <w:jc w:val="left"/>
              <w:rPr>
                <w:b/>
                <w:sz w:val="14"/>
              </w:rPr>
            </w:pPr>
          </w:p>
          <w:p>
            <w:pPr>
              <w:pStyle w:val="TableParagraph"/>
              <w:spacing w:before="2"/>
              <w:jc w:val="left"/>
              <w:rPr>
                <w:b/>
                <w:sz w:val="13"/>
              </w:rPr>
            </w:pPr>
          </w:p>
          <w:p>
            <w:pPr>
              <w:pStyle w:val="TableParagraph"/>
              <w:spacing w:line="149" w:lineRule="exact"/>
              <w:ind w:right="165"/>
              <w:rPr>
                <w:sz w:val="14"/>
              </w:rPr>
            </w:pPr>
            <w:r>
              <w:rPr>
                <w:spacing w:val="-5"/>
                <w:sz w:val="14"/>
              </w:rPr>
              <w:t>ASG</w:t>
            </w:r>
          </w:p>
        </w:tc>
        <w:tc>
          <w:tcPr>
            <w:tcW w:w="553" w:type="dxa"/>
            <w:tcBorders>
              <w:top w:val="single" w:sz="4" w:space="0" w:color="000000"/>
              <w:bottom w:val="single" w:sz="4" w:space="0" w:color="000000"/>
            </w:tcBorders>
          </w:tcPr>
          <w:p>
            <w:pPr>
              <w:pStyle w:val="TableParagraph"/>
              <w:jc w:val="left"/>
              <w:rPr>
                <w:b/>
                <w:sz w:val="14"/>
              </w:rPr>
            </w:pPr>
          </w:p>
          <w:p>
            <w:pPr>
              <w:pStyle w:val="TableParagraph"/>
              <w:jc w:val="left"/>
              <w:rPr>
                <w:b/>
                <w:sz w:val="14"/>
              </w:rPr>
            </w:pPr>
          </w:p>
          <w:p>
            <w:pPr>
              <w:pStyle w:val="TableParagraph"/>
              <w:spacing w:before="2"/>
              <w:jc w:val="left"/>
              <w:rPr>
                <w:b/>
                <w:sz w:val="13"/>
              </w:rPr>
            </w:pPr>
          </w:p>
          <w:p>
            <w:pPr>
              <w:pStyle w:val="TableParagraph"/>
              <w:spacing w:line="149" w:lineRule="exact"/>
              <w:ind w:right="163"/>
              <w:rPr>
                <w:sz w:val="14"/>
              </w:rPr>
            </w:pPr>
            <w:r>
              <w:rPr>
                <w:w w:val="95"/>
                <w:sz w:val="14"/>
              </w:rPr>
              <w:t>D-</w:t>
            </w:r>
            <w:r>
              <w:rPr>
                <w:spacing w:val="-10"/>
                <w:sz w:val="14"/>
              </w:rPr>
              <w:t>2</w:t>
            </w:r>
          </w:p>
        </w:tc>
        <w:tc>
          <w:tcPr>
            <w:tcW w:w="569" w:type="dxa"/>
            <w:tcBorders>
              <w:top w:val="single" w:sz="4" w:space="0" w:color="000000"/>
              <w:bottom w:val="single" w:sz="4" w:space="0" w:color="000000"/>
            </w:tcBorders>
          </w:tcPr>
          <w:p>
            <w:pPr>
              <w:pStyle w:val="TableParagraph"/>
              <w:jc w:val="left"/>
              <w:rPr>
                <w:b/>
                <w:sz w:val="14"/>
              </w:rPr>
            </w:pPr>
          </w:p>
          <w:p>
            <w:pPr>
              <w:pStyle w:val="TableParagraph"/>
              <w:jc w:val="left"/>
              <w:rPr>
                <w:b/>
                <w:sz w:val="14"/>
              </w:rPr>
            </w:pPr>
          </w:p>
          <w:p>
            <w:pPr>
              <w:pStyle w:val="TableParagraph"/>
              <w:spacing w:before="2"/>
              <w:jc w:val="left"/>
              <w:rPr>
                <w:b/>
                <w:sz w:val="13"/>
              </w:rPr>
            </w:pPr>
          </w:p>
          <w:p>
            <w:pPr>
              <w:pStyle w:val="TableParagraph"/>
              <w:spacing w:line="149" w:lineRule="exact"/>
              <w:ind w:right="180"/>
              <w:rPr>
                <w:sz w:val="14"/>
              </w:rPr>
            </w:pPr>
            <w:r>
              <w:rPr>
                <w:w w:val="95"/>
                <w:sz w:val="14"/>
              </w:rPr>
              <w:t>D-</w:t>
            </w:r>
            <w:r>
              <w:rPr>
                <w:spacing w:val="-10"/>
                <w:sz w:val="14"/>
              </w:rPr>
              <w:t>1</w:t>
            </w:r>
          </w:p>
        </w:tc>
        <w:tc>
          <w:tcPr>
            <w:tcW w:w="572" w:type="dxa"/>
            <w:tcBorders>
              <w:top w:val="single" w:sz="4" w:space="0" w:color="000000"/>
              <w:bottom w:val="single" w:sz="4" w:space="0" w:color="000000"/>
            </w:tcBorders>
          </w:tcPr>
          <w:p>
            <w:pPr>
              <w:pStyle w:val="TableParagraph"/>
              <w:jc w:val="left"/>
              <w:rPr>
                <w:b/>
                <w:sz w:val="14"/>
              </w:rPr>
            </w:pPr>
          </w:p>
          <w:p>
            <w:pPr>
              <w:pStyle w:val="TableParagraph"/>
              <w:jc w:val="left"/>
              <w:rPr>
                <w:b/>
                <w:sz w:val="14"/>
              </w:rPr>
            </w:pPr>
          </w:p>
          <w:p>
            <w:pPr>
              <w:pStyle w:val="TableParagraph"/>
              <w:spacing w:before="2"/>
              <w:jc w:val="left"/>
              <w:rPr>
                <w:b/>
                <w:sz w:val="13"/>
              </w:rPr>
            </w:pPr>
          </w:p>
          <w:p>
            <w:pPr>
              <w:pStyle w:val="TableParagraph"/>
              <w:spacing w:line="149" w:lineRule="exact"/>
              <w:ind w:right="190"/>
              <w:rPr>
                <w:sz w:val="14"/>
              </w:rPr>
            </w:pPr>
            <w:r>
              <w:rPr>
                <w:w w:val="95"/>
                <w:sz w:val="14"/>
              </w:rPr>
              <w:t>P-</w:t>
            </w:r>
            <w:r>
              <w:rPr>
                <w:spacing w:val="-10"/>
                <w:sz w:val="14"/>
              </w:rPr>
              <w:t>5</w:t>
            </w:r>
          </w:p>
        </w:tc>
        <w:tc>
          <w:tcPr>
            <w:tcW w:w="555" w:type="dxa"/>
            <w:tcBorders>
              <w:top w:val="single" w:sz="4" w:space="0" w:color="000000"/>
              <w:bottom w:val="single" w:sz="4" w:space="0" w:color="000000"/>
            </w:tcBorders>
          </w:tcPr>
          <w:p>
            <w:pPr>
              <w:pStyle w:val="TableParagraph"/>
              <w:jc w:val="left"/>
              <w:rPr>
                <w:b/>
                <w:sz w:val="14"/>
              </w:rPr>
            </w:pPr>
          </w:p>
          <w:p>
            <w:pPr>
              <w:pStyle w:val="TableParagraph"/>
              <w:jc w:val="left"/>
              <w:rPr>
                <w:b/>
                <w:sz w:val="14"/>
              </w:rPr>
            </w:pPr>
          </w:p>
          <w:p>
            <w:pPr>
              <w:pStyle w:val="TableParagraph"/>
              <w:spacing w:before="2"/>
              <w:jc w:val="left"/>
              <w:rPr>
                <w:b/>
                <w:sz w:val="13"/>
              </w:rPr>
            </w:pPr>
          </w:p>
          <w:p>
            <w:pPr>
              <w:pStyle w:val="TableParagraph"/>
              <w:spacing w:line="149" w:lineRule="exact"/>
              <w:ind w:left="181" w:right="154"/>
              <w:jc w:val="center"/>
              <w:rPr>
                <w:sz w:val="14"/>
              </w:rPr>
            </w:pPr>
            <w:r>
              <w:rPr>
                <w:w w:val="95"/>
                <w:sz w:val="14"/>
              </w:rPr>
              <w:t>P-</w:t>
            </w:r>
            <w:r>
              <w:rPr>
                <w:spacing w:val="-10"/>
                <w:sz w:val="14"/>
              </w:rPr>
              <w:t>4</w:t>
            </w:r>
          </w:p>
        </w:tc>
        <w:tc>
          <w:tcPr>
            <w:tcW w:w="682" w:type="dxa"/>
            <w:tcBorders>
              <w:top w:val="single" w:sz="4" w:space="0" w:color="000000"/>
              <w:bottom w:val="single" w:sz="4" w:space="0" w:color="000000"/>
            </w:tcBorders>
          </w:tcPr>
          <w:p>
            <w:pPr>
              <w:pStyle w:val="TableParagraph"/>
              <w:jc w:val="left"/>
              <w:rPr>
                <w:b/>
                <w:sz w:val="14"/>
              </w:rPr>
            </w:pPr>
          </w:p>
          <w:p>
            <w:pPr>
              <w:pStyle w:val="TableParagraph"/>
              <w:jc w:val="left"/>
              <w:rPr>
                <w:b/>
                <w:sz w:val="14"/>
              </w:rPr>
            </w:pPr>
          </w:p>
          <w:p>
            <w:pPr>
              <w:pStyle w:val="TableParagraph"/>
              <w:spacing w:before="2"/>
              <w:jc w:val="left"/>
              <w:rPr>
                <w:b/>
                <w:sz w:val="13"/>
              </w:rPr>
            </w:pPr>
          </w:p>
          <w:p>
            <w:pPr>
              <w:pStyle w:val="TableParagraph"/>
              <w:spacing w:line="149" w:lineRule="exact"/>
              <w:ind w:right="265"/>
              <w:rPr>
                <w:sz w:val="14"/>
              </w:rPr>
            </w:pPr>
            <w:r>
              <w:rPr>
                <w:w w:val="95"/>
                <w:sz w:val="14"/>
              </w:rPr>
              <w:t>P-</w:t>
            </w:r>
            <w:r>
              <w:rPr>
                <w:spacing w:val="-10"/>
                <w:sz w:val="14"/>
              </w:rPr>
              <w:t>3</w:t>
            </w:r>
          </w:p>
        </w:tc>
        <w:tc>
          <w:tcPr>
            <w:tcW w:w="653" w:type="dxa"/>
            <w:tcBorders>
              <w:top w:val="single" w:sz="4" w:space="0" w:color="000000"/>
              <w:bottom w:val="single" w:sz="4" w:space="0" w:color="000000"/>
            </w:tcBorders>
          </w:tcPr>
          <w:p>
            <w:pPr>
              <w:pStyle w:val="TableParagraph"/>
              <w:jc w:val="left"/>
              <w:rPr>
                <w:b/>
                <w:sz w:val="14"/>
              </w:rPr>
            </w:pPr>
          </w:p>
          <w:p>
            <w:pPr>
              <w:pStyle w:val="TableParagraph"/>
              <w:jc w:val="left"/>
              <w:rPr>
                <w:b/>
                <w:sz w:val="14"/>
              </w:rPr>
            </w:pPr>
          </w:p>
          <w:p>
            <w:pPr>
              <w:pStyle w:val="TableParagraph"/>
              <w:spacing w:before="2"/>
              <w:jc w:val="left"/>
              <w:rPr>
                <w:b/>
                <w:sz w:val="13"/>
              </w:rPr>
            </w:pPr>
          </w:p>
          <w:p>
            <w:pPr>
              <w:pStyle w:val="TableParagraph"/>
              <w:spacing w:line="149" w:lineRule="exact"/>
              <w:ind w:right="188"/>
              <w:rPr>
                <w:sz w:val="14"/>
              </w:rPr>
            </w:pPr>
            <w:r>
              <w:rPr>
                <w:w w:val="95"/>
                <w:sz w:val="14"/>
              </w:rPr>
              <w:t>P-</w:t>
            </w:r>
            <w:r>
              <w:rPr>
                <w:spacing w:val="-10"/>
                <w:sz w:val="14"/>
              </w:rPr>
              <w:t>2</w:t>
            </w:r>
          </w:p>
        </w:tc>
        <w:tc>
          <w:tcPr>
            <w:tcW w:w="453" w:type="dxa"/>
            <w:tcBorders>
              <w:top w:val="single" w:sz="4" w:space="0" w:color="000000"/>
              <w:bottom w:val="single" w:sz="4" w:space="0" w:color="000000"/>
            </w:tcBorders>
          </w:tcPr>
          <w:p>
            <w:pPr>
              <w:pStyle w:val="TableParagraph"/>
              <w:jc w:val="left"/>
              <w:rPr>
                <w:b/>
                <w:sz w:val="14"/>
              </w:rPr>
            </w:pPr>
          </w:p>
          <w:p>
            <w:pPr>
              <w:pStyle w:val="TableParagraph"/>
              <w:jc w:val="left"/>
              <w:rPr>
                <w:b/>
                <w:sz w:val="14"/>
              </w:rPr>
            </w:pPr>
          </w:p>
          <w:p>
            <w:pPr>
              <w:pStyle w:val="TableParagraph"/>
              <w:spacing w:before="2"/>
              <w:jc w:val="left"/>
              <w:rPr>
                <w:b/>
                <w:sz w:val="13"/>
              </w:rPr>
            </w:pPr>
          </w:p>
          <w:p>
            <w:pPr>
              <w:pStyle w:val="TableParagraph"/>
              <w:spacing w:line="149" w:lineRule="exact"/>
              <w:ind w:right="65"/>
              <w:rPr>
                <w:sz w:val="14"/>
              </w:rPr>
            </w:pPr>
            <w:r>
              <w:rPr>
                <w:w w:val="95"/>
                <w:sz w:val="14"/>
              </w:rPr>
              <w:t>P-</w:t>
            </w:r>
            <w:r>
              <w:rPr>
                <w:spacing w:val="-10"/>
                <w:sz w:val="14"/>
              </w:rPr>
              <w:t>1</w:t>
            </w:r>
          </w:p>
        </w:tc>
        <w:tc>
          <w:tcPr>
            <w:tcW w:w="784" w:type="dxa"/>
            <w:tcBorders>
              <w:top w:val="single" w:sz="4" w:space="0" w:color="000000"/>
              <w:bottom w:val="single" w:sz="4" w:space="0" w:color="000000"/>
            </w:tcBorders>
          </w:tcPr>
          <w:p>
            <w:pPr>
              <w:pStyle w:val="TableParagraph"/>
              <w:spacing w:before="2"/>
              <w:jc w:val="left"/>
              <w:rPr>
                <w:b/>
                <w:sz w:val="13"/>
              </w:rPr>
            </w:pPr>
          </w:p>
          <w:p>
            <w:pPr>
              <w:pStyle w:val="TableParagraph"/>
              <w:ind w:left="270" w:firstLine="96"/>
              <w:jc w:val="left"/>
              <w:rPr>
                <w:i/>
                <w:sz w:val="14"/>
              </w:rPr>
            </w:pPr>
            <w:r>
              <w:rPr>
                <w:i/>
                <w:spacing w:val="-2"/>
                <w:sz w:val="14"/>
              </w:rPr>
              <w:t>Total</w:t>
            </w:r>
          </w:p>
          <w:p>
            <w:pPr>
              <w:pStyle w:val="TableParagraph"/>
              <w:spacing w:line="158" w:lineRule="exact"/>
              <w:ind w:left="69" w:right="109" w:firstLine="201"/>
              <w:jc w:val="left"/>
              <w:rPr>
                <w:i/>
                <w:sz w:val="14"/>
              </w:rPr>
            </w:pPr>
            <w:r>
              <w:rPr>
                <w:i/>
                <w:spacing w:val="-2"/>
                <w:sz w:val="14"/>
              </w:rPr>
              <w:t>P-Staff</w:t>
            </w:r>
            <w:r>
              <w:rPr>
                <w:i/>
                <w:spacing w:val="40"/>
                <w:sz w:val="14"/>
              </w:rPr>
              <w:t> </w:t>
            </w:r>
            <w:r>
              <w:rPr>
                <w:i/>
                <w:sz w:val="14"/>
              </w:rPr>
              <w:t>and</w:t>
            </w:r>
            <w:r>
              <w:rPr>
                <w:i/>
                <w:spacing w:val="1"/>
                <w:sz w:val="14"/>
              </w:rPr>
              <w:t> </w:t>
            </w:r>
            <w:r>
              <w:rPr>
                <w:i/>
                <w:spacing w:val="-2"/>
                <w:sz w:val="14"/>
              </w:rPr>
              <w:t>Above</w:t>
            </w:r>
          </w:p>
        </w:tc>
        <w:tc>
          <w:tcPr>
            <w:tcW w:w="558" w:type="dxa"/>
            <w:tcBorders>
              <w:top w:val="single" w:sz="4" w:space="0" w:color="000000"/>
              <w:bottom w:val="single" w:sz="4" w:space="0" w:color="000000"/>
            </w:tcBorders>
          </w:tcPr>
          <w:p>
            <w:pPr>
              <w:pStyle w:val="TableParagraph"/>
              <w:jc w:val="left"/>
              <w:rPr>
                <w:b/>
                <w:sz w:val="14"/>
              </w:rPr>
            </w:pPr>
          </w:p>
          <w:p>
            <w:pPr>
              <w:pStyle w:val="TableParagraph"/>
              <w:jc w:val="left"/>
              <w:rPr>
                <w:b/>
                <w:sz w:val="14"/>
              </w:rPr>
            </w:pPr>
          </w:p>
          <w:p>
            <w:pPr>
              <w:pStyle w:val="TableParagraph"/>
              <w:spacing w:before="2"/>
              <w:jc w:val="left"/>
              <w:rPr>
                <w:b/>
                <w:sz w:val="13"/>
              </w:rPr>
            </w:pPr>
          </w:p>
          <w:p>
            <w:pPr>
              <w:pStyle w:val="TableParagraph"/>
              <w:spacing w:line="149" w:lineRule="exact"/>
              <w:ind w:right="92"/>
              <w:rPr>
                <w:sz w:val="14"/>
              </w:rPr>
            </w:pPr>
            <w:r>
              <w:rPr>
                <w:w w:val="95"/>
                <w:sz w:val="14"/>
              </w:rPr>
              <w:t>NO-</w:t>
            </w:r>
            <w:r>
              <w:rPr>
                <w:spacing w:val="-10"/>
                <w:sz w:val="14"/>
              </w:rPr>
              <w:t>C</w:t>
            </w:r>
          </w:p>
        </w:tc>
        <w:tc>
          <w:tcPr>
            <w:tcW w:w="567" w:type="dxa"/>
            <w:tcBorders>
              <w:top w:val="single" w:sz="4" w:space="0" w:color="000000"/>
              <w:bottom w:val="single" w:sz="4" w:space="0" w:color="000000"/>
            </w:tcBorders>
          </w:tcPr>
          <w:p>
            <w:pPr>
              <w:pStyle w:val="TableParagraph"/>
              <w:jc w:val="left"/>
              <w:rPr>
                <w:b/>
                <w:sz w:val="14"/>
              </w:rPr>
            </w:pPr>
          </w:p>
          <w:p>
            <w:pPr>
              <w:pStyle w:val="TableParagraph"/>
              <w:jc w:val="left"/>
              <w:rPr>
                <w:b/>
                <w:sz w:val="14"/>
              </w:rPr>
            </w:pPr>
          </w:p>
          <w:p>
            <w:pPr>
              <w:pStyle w:val="TableParagraph"/>
              <w:spacing w:before="2"/>
              <w:jc w:val="left"/>
              <w:rPr>
                <w:b/>
                <w:sz w:val="13"/>
              </w:rPr>
            </w:pPr>
          </w:p>
          <w:p>
            <w:pPr>
              <w:pStyle w:val="TableParagraph"/>
              <w:spacing w:line="149" w:lineRule="exact"/>
              <w:ind w:right="77"/>
              <w:rPr>
                <w:sz w:val="14"/>
              </w:rPr>
            </w:pPr>
            <w:r>
              <w:rPr>
                <w:w w:val="95"/>
                <w:sz w:val="14"/>
              </w:rPr>
              <w:t>GS-</w:t>
            </w:r>
            <w:r>
              <w:rPr>
                <w:spacing w:val="-5"/>
                <w:sz w:val="14"/>
              </w:rPr>
              <w:t>PL</w:t>
            </w:r>
          </w:p>
        </w:tc>
        <w:tc>
          <w:tcPr>
            <w:tcW w:w="648" w:type="dxa"/>
            <w:tcBorders>
              <w:top w:val="single" w:sz="4" w:space="0" w:color="000000"/>
              <w:bottom w:val="single" w:sz="4" w:space="0" w:color="000000"/>
            </w:tcBorders>
          </w:tcPr>
          <w:p>
            <w:pPr>
              <w:pStyle w:val="TableParagraph"/>
              <w:jc w:val="left"/>
              <w:rPr>
                <w:b/>
                <w:sz w:val="14"/>
              </w:rPr>
            </w:pPr>
          </w:p>
          <w:p>
            <w:pPr>
              <w:pStyle w:val="TableParagraph"/>
              <w:jc w:val="left"/>
              <w:rPr>
                <w:b/>
                <w:sz w:val="14"/>
              </w:rPr>
            </w:pPr>
          </w:p>
          <w:p>
            <w:pPr>
              <w:pStyle w:val="TableParagraph"/>
              <w:spacing w:before="2"/>
              <w:jc w:val="left"/>
              <w:rPr>
                <w:b/>
                <w:sz w:val="13"/>
              </w:rPr>
            </w:pPr>
          </w:p>
          <w:p>
            <w:pPr>
              <w:pStyle w:val="TableParagraph"/>
              <w:spacing w:line="149" w:lineRule="exact"/>
              <w:ind w:right="148"/>
              <w:rPr>
                <w:sz w:val="14"/>
              </w:rPr>
            </w:pPr>
            <w:r>
              <w:rPr>
                <w:w w:val="95"/>
                <w:sz w:val="14"/>
              </w:rPr>
              <w:t>GS-</w:t>
            </w:r>
            <w:r>
              <w:rPr>
                <w:spacing w:val="-5"/>
                <w:sz w:val="14"/>
              </w:rPr>
              <w:t>OL</w:t>
            </w:r>
          </w:p>
        </w:tc>
        <w:tc>
          <w:tcPr>
            <w:tcW w:w="793" w:type="dxa"/>
            <w:tcBorders>
              <w:top w:val="single" w:sz="4" w:space="0" w:color="000000"/>
              <w:bottom w:val="single" w:sz="4" w:space="0" w:color="000000"/>
            </w:tcBorders>
          </w:tcPr>
          <w:p>
            <w:pPr>
              <w:pStyle w:val="TableParagraph"/>
              <w:spacing w:line="150" w:lineRule="exact"/>
              <w:ind w:left="283"/>
              <w:jc w:val="left"/>
              <w:rPr>
                <w:i/>
                <w:sz w:val="14"/>
              </w:rPr>
            </w:pPr>
            <w:r>
              <w:rPr>
                <w:i/>
                <w:spacing w:val="-2"/>
                <w:sz w:val="14"/>
              </w:rPr>
              <w:t>Total</w:t>
            </w:r>
          </w:p>
          <w:p>
            <w:pPr>
              <w:pStyle w:val="TableParagraph"/>
              <w:spacing w:before="2"/>
              <w:ind w:left="254" w:hanging="96"/>
              <w:jc w:val="left"/>
              <w:rPr>
                <w:i/>
                <w:sz w:val="14"/>
              </w:rPr>
            </w:pPr>
            <w:r>
              <w:rPr>
                <w:i/>
                <w:sz w:val="14"/>
              </w:rPr>
              <w:t>GS</w:t>
            </w:r>
            <w:r>
              <w:rPr>
                <w:i/>
                <w:spacing w:val="-1"/>
                <w:sz w:val="14"/>
              </w:rPr>
              <w:t> </w:t>
            </w:r>
            <w:r>
              <w:rPr>
                <w:i/>
                <w:spacing w:val="-5"/>
                <w:sz w:val="14"/>
              </w:rPr>
              <w:t>and</w:t>
            </w:r>
          </w:p>
          <w:p>
            <w:pPr>
              <w:pStyle w:val="TableParagraph"/>
              <w:spacing w:line="158" w:lineRule="exact"/>
              <w:ind w:left="326" w:right="200" w:hanging="73"/>
              <w:jc w:val="left"/>
              <w:rPr>
                <w:i/>
                <w:sz w:val="14"/>
              </w:rPr>
            </w:pPr>
            <w:r>
              <w:rPr>
                <w:i/>
                <w:spacing w:val="-4"/>
                <w:sz w:val="14"/>
              </w:rPr>
              <w:t>Other</w:t>
            </w:r>
            <w:r>
              <w:rPr>
                <w:i/>
                <w:spacing w:val="40"/>
                <w:sz w:val="14"/>
              </w:rPr>
              <w:t> </w:t>
            </w:r>
            <w:r>
              <w:rPr>
                <w:i/>
                <w:spacing w:val="-2"/>
                <w:sz w:val="14"/>
              </w:rPr>
              <w:t>Staff</w:t>
            </w:r>
          </w:p>
        </w:tc>
        <w:tc>
          <w:tcPr>
            <w:tcW w:w="590" w:type="dxa"/>
            <w:tcBorders>
              <w:top w:val="single" w:sz="4" w:space="0" w:color="000000"/>
              <w:bottom w:val="single" w:sz="4" w:space="0" w:color="000000"/>
            </w:tcBorders>
          </w:tcPr>
          <w:p>
            <w:pPr>
              <w:pStyle w:val="TableParagraph"/>
              <w:jc w:val="left"/>
              <w:rPr>
                <w:b/>
                <w:sz w:val="14"/>
              </w:rPr>
            </w:pPr>
          </w:p>
          <w:p>
            <w:pPr>
              <w:pStyle w:val="TableParagraph"/>
              <w:spacing w:before="7"/>
              <w:jc w:val="left"/>
              <w:rPr>
                <w:b/>
                <w:sz w:val="12"/>
              </w:rPr>
            </w:pPr>
          </w:p>
          <w:p>
            <w:pPr>
              <w:pStyle w:val="TableParagraph"/>
              <w:spacing w:line="158" w:lineRule="exact" w:before="1"/>
              <w:ind w:left="248" w:hanging="34"/>
              <w:jc w:val="left"/>
              <w:rPr>
                <w:b/>
                <w:sz w:val="14"/>
              </w:rPr>
            </w:pPr>
            <w:r>
              <w:rPr>
                <w:b/>
                <w:spacing w:val="-4"/>
                <w:sz w:val="14"/>
              </w:rPr>
              <w:t>Total</w:t>
            </w:r>
            <w:r>
              <w:rPr>
                <w:b/>
                <w:spacing w:val="40"/>
                <w:sz w:val="14"/>
              </w:rPr>
              <w:t> </w:t>
            </w:r>
            <w:r>
              <w:rPr>
                <w:b/>
                <w:spacing w:val="-4"/>
                <w:sz w:val="14"/>
              </w:rPr>
              <w:t>Staff</w:t>
            </w:r>
          </w:p>
        </w:tc>
      </w:tr>
      <w:tr>
        <w:trPr>
          <w:trHeight w:val="233" w:hRule="atLeast"/>
        </w:trPr>
        <w:tc>
          <w:tcPr>
            <w:tcW w:w="1186" w:type="dxa"/>
            <w:tcBorders>
              <w:top w:val="single" w:sz="4" w:space="0" w:color="000000"/>
            </w:tcBorders>
          </w:tcPr>
          <w:p>
            <w:pPr>
              <w:pStyle w:val="TableParagraph"/>
              <w:spacing w:before="27"/>
              <w:ind w:left="67"/>
              <w:jc w:val="left"/>
              <w:rPr>
                <w:b/>
                <w:sz w:val="14"/>
              </w:rPr>
            </w:pPr>
            <w:r>
              <w:rPr>
                <w:b/>
                <w:spacing w:val="-2"/>
                <w:sz w:val="14"/>
              </w:rPr>
              <w:t>Established</w:t>
            </w:r>
            <w:r>
              <w:rPr>
                <w:b/>
                <w:spacing w:val="11"/>
                <w:sz w:val="14"/>
              </w:rPr>
              <w:t> </w:t>
            </w:r>
            <w:r>
              <w:rPr>
                <w:b/>
                <w:spacing w:val="-2"/>
                <w:sz w:val="14"/>
              </w:rPr>
              <w:t>Posts</w:t>
            </w:r>
          </w:p>
        </w:tc>
        <w:tc>
          <w:tcPr>
            <w:tcW w:w="669" w:type="dxa"/>
            <w:tcBorders>
              <w:top w:val="single" w:sz="4" w:space="0" w:color="000000"/>
            </w:tcBorders>
          </w:tcPr>
          <w:p>
            <w:pPr>
              <w:pStyle w:val="TableParagraph"/>
              <w:jc w:val="left"/>
              <w:rPr>
                <w:sz w:val="14"/>
              </w:rPr>
            </w:pPr>
          </w:p>
        </w:tc>
        <w:tc>
          <w:tcPr>
            <w:tcW w:w="593" w:type="dxa"/>
            <w:tcBorders>
              <w:top w:val="single" w:sz="4" w:space="0" w:color="000000"/>
            </w:tcBorders>
          </w:tcPr>
          <w:p>
            <w:pPr>
              <w:pStyle w:val="TableParagraph"/>
              <w:jc w:val="left"/>
              <w:rPr>
                <w:sz w:val="14"/>
              </w:rPr>
            </w:pPr>
          </w:p>
        </w:tc>
        <w:tc>
          <w:tcPr>
            <w:tcW w:w="553" w:type="dxa"/>
            <w:tcBorders>
              <w:top w:val="single" w:sz="4" w:space="0" w:color="000000"/>
            </w:tcBorders>
          </w:tcPr>
          <w:p>
            <w:pPr>
              <w:pStyle w:val="TableParagraph"/>
              <w:jc w:val="left"/>
              <w:rPr>
                <w:sz w:val="14"/>
              </w:rPr>
            </w:pPr>
          </w:p>
        </w:tc>
        <w:tc>
          <w:tcPr>
            <w:tcW w:w="569" w:type="dxa"/>
            <w:tcBorders>
              <w:top w:val="single" w:sz="4" w:space="0" w:color="000000"/>
            </w:tcBorders>
          </w:tcPr>
          <w:p>
            <w:pPr>
              <w:pStyle w:val="TableParagraph"/>
              <w:jc w:val="left"/>
              <w:rPr>
                <w:sz w:val="14"/>
              </w:rPr>
            </w:pPr>
          </w:p>
        </w:tc>
        <w:tc>
          <w:tcPr>
            <w:tcW w:w="572" w:type="dxa"/>
            <w:tcBorders>
              <w:top w:val="single" w:sz="4" w:space="0" w:color="000000"/>
            </w:tcBorders>
          </w:tcPr>
          <w:p>
            <w:pPr>
              <w:pStyle w:val="TableParagraph"/>
              <w:jc w:val="left"/>
              <w:rPr>
                <w:sz w:val="14"/>
              </w:rPr>
            </w:pPr>
          </w:p>
        </w:tc>
        <w:tc>
          <w:tcPr>
            <w:tcW w:w="555" w:type="dxa"/>
            <w:tcBorders>
              <w:top w:val="single" w:sz="4" w:space="0" w:color="000000"/>
            </w:tcBorders>
          </w:tcPr>
          <w:p>
            <w:pPr>
              <w:pStyle w:val="TableParagraph"/>
              <w:jc w:val="left"/>
              <w:rPr>
                <w:sz w:val="14"/>
              </w:rPr>
            </w:pPr>
          </w:p>
        </w:tc>
        <w:tc>
          <w:tcPr>
            <w:tcW w:w="682" w:type="dxa"/>
            <w:tcBorders>
              <w:top w:val="single" w:sz="4" w:space="0" w:color="000000"/>
            </w:tcBorders>
          </w:tcPr>
          <w:p>
            <w:pPr>
              <w:pStyle w:val="TableParagraph"/>
              <w:jc w:val="left"/>
              <w:rPr>
                <w:sz w:val="14"/>
              </w:rPr>
            </w:pPr>
          </w:p>
        </w:tc>
        <w:tc>
          <w:tcPr>
            <w:tcW w:w="653" w:type="dxa"/>
            <w:tcBorders>
              <w:top w:val="single" w:sz="4" w:space="0" w:color="000000"/>
            </w:tcBorders>
          </w:tcPr>
          <w:p>
            <w:pPr>
              <w:pStyle w:val="TableParagraph"/>
              <w:jc w:val="left"/>
              <w:rPr>
                <w:sz w:val="14"/>
              </w:rPr>
            </w:pPr>
          </w:p>
        </w:tc>
        <w:tc>
          <w:tcPr>
            <w:tcW w:w="453" w:type="dxa"/>
            <w:tcBorders>
              <w:top w:val="single" w:sz="4" w:space="0" w:color="000000"/>
            </w:tcBorders>
          </w:tcPr>
          <w:p>
            <w:pPr>
              <w:pStyle w:val="TableParagraph"/>
              <w:jc w:val="left"/>
              <w:rPr>
                <w:sz w:val="14"/>
              </w:rPr>
            </w:pPr>
          </w:p>
        </w:tc>
        <w:tc>
          <w:tcPr>
            <w:tcW w:w="784" w:type="dxa"/>
            <w:tcBorders>
              <w:top w:val="single" w:sz="4" w:space="0" w:color="000000"/>
            </w:tcBorders>
          </w:tcPr>
          <w:p>
            <w:pPr>
              <w:pStyle w:val="TableParagraph"/>
              <w:jc w:val="left"/>
              <w:rPr>
                <w:sz w:val="14"/>
              </w:rPr>
            </w:pPr>
          </w:p>
        </w:tc>
        <w:tc>
          <w:tcPr>
            <w:tcW w:w="558" w:type="dxa"/>
            <w:tcBorders>
              <w:top w:val="single" w:sz="4" w:space="0" w:color="000000"/>
            </w:tcBorders>
          </w:tcPr>
          <w:p>
            <w:pPr>
              <w:pStyle w:val="TableParagraph"/>
              <w:jc w:val="left"/>
              <w:rPr>
                <w:sz w:val="14"/>
              </w:rPr>
            </w:pPr>
          </w:p>
        </w:tc>
        <w:tc>
          <w:tcPr>
            <w:tcW w:w="567" w:type="dxa"/>
            <w:tcBorders>
              <w:top w:val="single" w:sz="4" w:space="0" w:color="000000"/>
            </w:tcBorders>
          </w:tcPr>
          <w:p>
            <w:pPr>
              <w:pStyle w:val="TableParagraph"/>
              <w:jc w:val="left"/>
              <w:rPr>
                <w:sz w:val="14"/>
              </w:rPr>
            </w:pPr>
          </w:p>
        </w:tc>
        <w:tc>
          <w:tcPr>
            <w:tcW w:w="648" w:type="dxa"/>
            <w:tcBorders>
              <w:top w:val="single" w:sz="4" w:space="0" w:color="000000"/>
            </w:tcBorders>
          </w:tcPr>
          <w:p>
            <w:pPr>
              <w:pStyle w:val="TableParagraph"/>
              <w:jc w:val="left"/>
              <w:rPr>
                <w:sz w:val="14"/>
              </w:rPr>
            </w:pPr>
          </w:p>
        </w:tc>
        <w:tc>
          <w:tcPr>
            <w:tcW w:w="793" w:type="dxa"/>
            <w:tcBorders>
              <w:top w:val="single" w:sz="4" w:space="0" w:color="000000"/>
            </w:tcBorders>
          </w:tcPr>
          <w:p>
            <w:pPr>
              <w:pStyle w:val="TableParagraph"/>
              <w:jc w:val="left"/>
              <w:rPr>
                <w:sz w:val="14"/>
              </w:rPr>
            </w:pPr>
          </w:p>
        </w:tc>
        <w:tc>
          <w:tcPr>
            <w:tcW w:w="590" w:type="dxa"/>
            <w:tcBorders>
              <w:top w:val="single" w:sz="4" w:space="0" w:color="000000"/>
            </w:tcBorders>
          </w:tcPr>
          <w:p>
            <w:pPr>
              <w:pStyle w:val="TableParagraph"/>
              <w:jc w:val="left"/>
              <w:rPr>
                <w:sz w:val="14"/>
              </w:rPr>
            </w:pPr>
          </w:p>
        </w:tc>
      </w:tr>
      <w:tr>
        <w:trPr>
          <w:trHeight w:val="221" w:hRule="atLeast"/>
        </w:trPr>
        <w:tc>
          <w:tcPr>
            <w:tcW w:w="1186" w:type="dxa"/>
            <w:tcBorders>
              <w:bottom w:val="single" w:sz="12" w:space="0" w:color="000000"/>
            </w:tcBorders>
          </w:tcPr>
          <w:p>
            <w:pPr>
              <w:pStyle w:val="TableParagraph"/>
              <w:spacing w:before="19"/>
              <w:ind w:left="67"/>
              <w:jc w:val="left"/>
              <w:rPr>
                <w:sz w:val="14"/>
              </w:rPr>
            </w:pPr>
            <w:r>
              <w:rPr>
                <w:w w:val="95"/>
                <w:sz w:val="14"/>
              </w:rPr>
              <w:t>Approved</w:t>
            </w:r>
            <w:r>
              <w:rPr>
                <w:spacing w:val="22"/>
                <w:sz w:val="14"/>
              </w:rPr>
              <w:t> </w:t>
            </w:r>
            <w:r>
              <w:rPr>
                <w:spacing w:val="-4"/>
                <w:sz w:val="14"/>
              </w:rPr>
              <w:t>2022</w:t>
            </w:r>
          </w:p>
        </w:tc>
        <w:tc>
          <w:tcPr>
            <w:tcW w:w="669" w:type="dxa"/>
            <w:tcBorders>
              <w:bottom w:val="single" w:sz="12" w:space="0" w:color="000000"/>
            </w:tcBorders>
          </w:tcPr>
          <w:p>
            <w:pPr>
              <w:pStyle w:val="TableParagraph"/>
              <w:spacing w:before="19"/>
              <w:ind w:right="145"/>
              <w:rPr>
                <w:b/>
                <w:sz w:val="14"/>
              </w:rPr>
            </w:pPr>
            <w:r>
              <w:rPr>
                <w:b/>
                <w:w w:val="99"/>
                <w:sz w:val="14"/>
              </w:rPr>
              <w:t>-</w:t>
            </w:r>
          </w:p>
        </w:tc>
        <w:tc>
          <w:tcPr>
            <w:tcW w:w="593" w:type="dxa"/>
            <w:tcBorders>
              <w:bottom w:val="single" w:sz="12" w:space="0" w:color="000000"/>
            </w:tcBorders>
          </w:tcPr>
          <w:p>
            <w:pPr>
              <w:pStyle w:val="TableParagraph"/>
              <w:spacing w:before="19"/>
              <w:ind w:right="166"/>
              <w:rPr>
                <w:b/>
                <w:sz w:val="14"/>
              </w:rPr>
            </w:pPr>
            <w:r>
              <w:rPr>
                <w:b/>
                <w:w w:val="99"/>
                <w:sz w:val="14"/>
              </w:rPr>
              <w:t>-</w:t>
            </w:r>
          </w:p>
        </w:tc>
        <w:tc>
          <w:tcPr>
            <w:tcW w:w="553" w:type="dxa"/>
            <w:tcBorders>
              <w:bottom w:val="single" w:sz="12" w:space="0" w:color="000000"/>
            </w:tcBorders>
          </w:tcPr>
          <w:p>
            <w:pPr>
              <w:pStyle w:val="TableParagraph"/>
              <w:spacing w:before="19"/>
              <w:ind w:right="167"/>
              <w:rPr>
                <w:b/>
                <w:sz w:val="14"/>
              </w:rPr>
            </w:pPr>
            <w:r>
              <w:rPr>
                <w:b/>
                <w:w w:val="99"/>
                <w:sz w:val="14"/>
              </w:rPr>
              <w:t>-</w:t>
            </w:r>
          </w:p>
        </w:tc>
        <w:tc>
          <w:tcPr>
            <w:tcW w:w="569" w:type="dxa"/>
            <w:tcBorders>
              <w:bottom w:val="single" w:sz="12" w:space="0" w:color="000000"/>
            </w:tcBorders>
          </w:tcPr>
          <w:p>
            <w:pPr>
              <w:pStyle w:val="TableParagraph"/>
              <w:spacing w:before="19"/>
              <w:ind w:right="185"/>
              <w:rPr>
                <w:sz w:val="14"/>
              </w:rPr>
            </w:pPr>
            <w:r>
              <w:rPr>
                <w:w w:val="99"/>
                <w:sz w:val="14"/>
              </w:rPr>
              <w:t>1</w:t>
            </w:r>
          </w:p>
        </w:tc>
        <w:tc>
          <w:tcPr>
            <w:tcW w:w="572" w:type="dxa"/>
            <w:tcBorders>
              <w:bottom w:val="single" w:sz="12" w:space="0" w:color="000000"/>
            </w:tcBorders>
          </w:tcPr>
          <w:p>
            <w:pPr>
              <w:pStyle w:val="TableParagraph"/>
              <w:spacing w:before="19"/>
              <w:ind w:right="189"/>
              <w:rPr>
                <w:sz w:val="14"/>
              </w:rPr>
            </w:pPr>
            <w:r>
              <w:rPr>
                <w:w w:val="99"/>
                <w:sz w:val="14"/>
              </w:rPr>
              <w:t>-</w:t>
            </w:r>
          </w:p>
        </w:tc>
        <w:tc>
          <w:tcPr>
            <w:tcW w:w="555" w:type="dxa"/>
            <w:tcBorders>
              <w:bottom w:val="single" w:sz="12" w:space="0" w:color="000000"/>
            </w:tcBorders>
          </w:tcPr>
          <w:p>
            <w:pPr>
              <w:pStyle w:val="TableParagraph"/>
              <w:spacing w:before="19"/>
              <w:ind w:left="152"/>
              <w:jc w:val="center"/>
              <w:rPr>
                <w:sz w:val="14"/>
              </w:rPr>
            </w:pPr>
            <w:r>
              <w:rPr>
                <w:w w:val="99"/>
                <w:sz w:val="14"/>
              </w:rPr>
              <w:t>1</w:t>
            </w:r>
          </w:p>
        </w:tc>
        <w:tc>
          <w:tcPr>
            <w:tcW w:w="682" w:type="dxa"/>
            <w:tcBorders>
              <w:bottom w:val="single" w:sz="12" w:space="0" w:color="000000"/>
            </w:tcBorders>
          </w:tcPr>
          <w:p>
            <w:pPr>
              <w:pStyle w:val="TableParagraph"/>
              <w:spacing w:before="19"/>
              <w:ind w:right="265"/>
              <w:rPr>
                <w:sz w:val="14"/>
              </w:rPr>
            </w:pPr>
            <w:r>
              <w:rPr>
                <w:w w:val="99"/>
                <w:sz w:val="14"/>
              </w:rPr>
              <w:t>1</w:t>
            </w:r>
          </w:p>
        </w:tc>
        <w:tc>
          <w:tcPr>
            <w:tcW w:w="653" w:type="dxa"/>
            <w:tcBorders>
              <w:bottom w:val="single" w:sz="12" w:space="0" w:color="000000"/>
            </w:tcBorders>
          </w:tcPr>
          <w:p>
            <w:pPr>
              <w:pStyle w:val="TableParagraph"/>
              <w:spacing w:before="19"/>
              <w:ind w:right="187"/>
              <w:rPr>
                <w:sz w:val="14"/>
              </w:rPr>
            </w:pPr>
            <w:r>
              <w:rPr>
                <w:w w:val="99"/>
                <w:sz w:val="14"/>
              </w:rPr>
              <w:t>-</w:t>
            </w:r>
          </w:p>
        </w:tc>
        <w:tc>
          <w:tcPr>
            <w:tcW w:w="453" w:type="dxa"/>
            <w:tcBorders>
              <w:bottom w:val="single" w:sz="12" w:space="0" w:color="000000"/>
            </w:tcBorders>
          </w:tcPr>
          <w:p>
            <w:pPr>
              <w:pStyle w:val="TableParagraph"/>
              <w:spacing w:before="19"/>
              <w:ind w:right="64"/>
              <w:rPr>
                <w:sz w:val="14"/>
              </w:rPr>
            </w:pPr>
            <w:r>
              <w:rPr>
                <w:w w:val="99"/>
                <w:sz w:val="14"/>
              </w:rPr>
              <w:t>-</w:t>
            </w:r>
          </w:p>
        </w:tc>
        <w:tc>
          <w:tcPr>
            <w:tcW w:w="784" w:type="dxa"/>
            <w:tcBorders>
              <w:bottom w:val="single" w:sz="12" w:space="0" w:color="000000"/>
            </w:tcBorders>
          </w:tcPr>
          <w:p>
            <w:pPr>
              <w:pStyle w:val="TableParagraph"/>
              <w:spacing w:before="19"/>
              <w:ind w:right="119"/>
              <w:rPr>
                <w:i/>
                <w:sz w:val="14"/>
              </w:rPr>
            </w:pPr>
            <w:r>
              <w:rPr>
                <w:i/>
                <w:w w:val="99"/>
                <w:sz w:val="14"/>
              </w:rPr>
              <w:t>3</w:t>
            </w:r>
          </w:p>
        </w:tc>
        <w:tc>
          <w:tcPr>
            <w:tcW w:w="558" w:type="dxa"/>
            <w:tcBorders>
              <w:bottom w:val="single" w:sz="12" w:space="0" w:color="000000"/>
            </w:tcBorders>
          </w:tcPr>
          <w:p>
            <w:pPr>
              <w:pStyle w:val="TableParagraph"/>
              <w:spacing w:before="19"/>
              <w:ind w:right="95"/>
              <w:rPr>
                <w:sz w:val="14"/>
              </w:rPr>
            </w:pPr>
            <w:r>
              <w:rPr>
                <w:w w:val="99"/>
                <w:sz w:val="14"/>
              </w:rPr>
              <w:t>-</w:t>
            </w:r>
          </w:p>
        </w:tc>
        <w:tc>
          <w:tcPr>
            <w:tcW w:w="567" w:type="dxa"/>
            <w:tcBorders>
              <w:bottom w:val="single" w:sz="12" w:space="0" w:color="000000"/>
            </w:tcBorders>
          </w:tcPr>
          <w:p>
            <w:pPr>
              <w:pStyle w:val="TableParagraph"/>
              <w:spacing w:before="19"/>
              <w:ind w:right="76"/>
              <w:rPr>
                <w:sz w:val="14"/>
              </w:rPr>
            </w:pPr>
            <w:r>
              <w:rPr>
                <w:w w:val="99"/>
                <w:sz w:val="14"/>
              </w:rPr>
              <w:t>-</w:t>
            </w:r>
          </w:p>
        </w:tc>
        <w:tc>
          <w:tcPr>
            <w:tcW w:w="648" w:type="dxa"/>
            <w:tcBorders>
              <w:bottom w:val="single" w:sz="12" w:space="0" w:color="000000"/>
            </w:tcBorders>
          </w:tcPr>
          <w:p>
            <w:pPr>
              <w:pStyle w:val="TableParagraph"/>
              <w:spacing w:before="19"/>
              <w:ind w:right="149"/>
              <w:rPr>
                <w:sz w:val="14"/>
              </w:rPr>
            </w:pPr>
            <w:r>
              <w:rPr>
                <w:w w:val="99"/>
                <w:sz w:val="14"/>
              </w:rPr>
              <w:t>1</w:t>
            </w:r>
          </w:p>
        </w:tc>
        <w:tc>
          <w:tcPr>
            <w:tcW w:w="793" w:type="dxa"/>
            <w:tcBorders>
              <w:bottom w:val="single" w:sz="12" w:space="0" w:color="000000"/>
            </w:tcBorders>
          </w:tcPr>
          <w:p>
            <w:pPr>
              <w:pStyle w:val="TableParagraph"/>
              <w:spacing w:before="19"/>
              <w:ind w:right="212"/>
              <w:rPr>
                <w:i/>
                <w:sz w:val="14"/>
              </w:rPr>
            </w:pPr>
            <w:r>
              <w:rPr>
                <w:i/>
                <w:w w:val="99"/>
                <w:sz w:val="14"/>
              </w:rPr>
              <w:t>1</w:t>
            </w:r>
          </w:p>
        </w:tc>
        <w:tc>
          <w:tcPr>
            <w:tcW w:w="590" w:type="dxa"/>
            <w:tcBorders>
              <w:bottom w:val="single" w:sz="12" w:space="0" w:color="000000"/>
            </w:tcBorders>
          </w:tcPr>
          <w:p>
            <w:pPr>
              <w:pStyle w:val="TableParagraph"/>
              <w:spacing w:before="19"/>
              <w:ind w:right="53"/>
              <w:rPr>
                <w:b/>
                <w:sz w:val="14"/>
              </w:rPr>
            </w:pPr>
            <w:r>
              <w:rPr>
                <w:b/>
                <w:w w:val="99"/>
                <w:sz w:val="14"/>
              </w:rPr>
              <w:t>4</w:t>
            </w:r>
          </w:p>
        </w:tc>
      </w:tr>
      <w:tr>
        <w:trPr>
          <w:trHeight w:val="225" w:hRule="atLeast"/>
        </w:trPr>
        <w:tc>
          <w:tcPr>
            <w:tcW w:w="1186" w:type="dxa"/>
            <w:tcBorders>
              <w:top w:val="single" w:sz="12" w:space="0" w:color="000000"/>
              <w:bottom w:val="single" w:sz="4" w:space="0" w:color="000000"/>
            </w:tcBorders>
          </w:tcPr>
          <w:p>
            <w:pPr>
              <w:pStyle w:val="TableParagraph"/>
              <w:spacing w:before="22"/>
              <w:ind w:left="67"/>
              <w:jc w:val="left"/>
              <w:rPr>
                <w:sz w:val="14"/>
              </w:rPr>
            </w:pPr>
            <w:r>
              <w:rPr>
                <w:spacing w:val="-5"/>
                <w:sz w:val="14"/>
              </w:rPr>
              <w:t>New</w:t>
            </w:r>
          </w:p>
        </w:tc>
        <w:tc>
          <w:tcPr>
            <w:tcW w:w="669" w:type="dxa"/>
            <w:tcBorders>
              <w:top w:val="single" w:sz="12" w:space="0" w:color="000000"/>
              <w:bottom w:val="single" w:sz="4" w:space="0" w:color="000000"/>
            </w:tcBorders>
          </w:tcPr>
          <w:p>
            <w:pPr>
              <w:pStyle w:val="TableParagraph"/>
              <w:spacing w:before="22"/>
              <w:ind w:right="145"/>
              <w:rPr>
                <w:sz w:val="14"/>
              </w:rPr>
            </w:pPr>
            <w:r>
              <w:rPr>
                <w:w w:val="99"/>
                <w:sz w:val="14"/>
              </w:rPr>
              <w:t>-</w:t>
            </w:r>
          </w:p>
        </w:tc>
        <w:tc>
          <w:tcPr>
            <w:tcW w:w="593" w:type="dxa"/>
            <w:tcBorders>
              <w:top w:val="single" w:sz="12" w:space="0" w:color="000000"/>
              <w:bottom w:val="single" w:sz="4" w:space="0" w:color="000000"/>
            </w:tcBorders>
          </w:tcPr>
          <w:p>
            <w:pPr>
              <w:pStyle w:val="TableParagraph"/>
              <w:spacing w:before="22"/>
              <w:ind w:right="166"/>
              <w:rPr>
                <w:sz w:val="14"/>
              </w:rPr>
            </w:pPr>
            <w:r>
              <w:rPr>
                <w:w w:val="99"/>
                <w:sz w:val="14"/>
              </w:rPr>
              <w:t>-</w:t>
            </w:r>
          </w:p>
        </w:tc>
        <w:tc>
          <w:tcPr>
            <w:tcW w:w="553" w:type="dxa"/>
            <w:tcBorders>
              <w:top w:val="single" w:sz="12" w:space="0" w:color="000000"/>
              <w:bottom w:val="single" w:sz="4" w:space="0" w:color="000000"/>
            </w:tcBorders>
          </w:tcPr>
          <w:p>
            <w:pPr>
              <w:pStyle w:val="TableParagraph"/>
              <w:spacing w:before="22"/>
              <w:ind w:right="167"/>
              <w:rPr>
                <w:sz w:val="14"/>
              </w:rPr>
            </w:pPr>
            <w:r>
              <w:rPr>
                <w:w w:val="99"/>
                <w:sz w:val="14"/>
              </w:rPr>
              <w:t>-</w:t>
            </w:r>
          </w:p>
        </w:tc>
        <w:tc>
          <w:tcPr>
            <w:tcW w:w="569" w:type="dxa"/>
            <w:tcBorders>
              <w:top w:val="single" w:sz="12" w:space="0" w:color="000000"/>
              <w:bottom w:val="single" w:sz="4" w:space="0" w:color="000000"/>
            </w:tcBorders>
          </w:tcPr>
          <w:p>
            <w:pPr>
              <w:pStyle w:val="TableParagraph"/>
              <w:spacing w:before="22"/>
              <w:ind w:right="184"/>
              <w:rPr>
                <w:sz w:val="14"/>
              </w:rPr>
            </w:pPr>
            <w:r>
              <w:rPr>
                <w:w w:val="99"/>
                <w:sz w:val="14"/>
              </w:rPr>
              <w:t>-</w:t>
            </w:r>
          </w:p>
        </w:tc>
        <w:tc>
          <w:tcPr>
            <w:tcW w:w="572" w:type="dxa"/>
            <w:tcBorders>
              <w:top w:val="single" w:sz="12" w:space="0" w:color="000000"/>
              <w:bottom w:val="single" w:sz="4" w:space="0" w:color="000000"/>
            </w:tcBorders>
          </w:tcPr>
          <w:p>
            <w:pPr>
              <w:pStyle w:val="TableParagraph"/>
              <w:spacing w:before="22"/>
              <w:ind w:right="189"/>
              <w:rPr>
                <w:sz w:val="14"/>
              </w:rPr>
            </w:pPr>
            <w:r>
              <w:rPr>
                <w:w w:val="99"/>
                <w:sz w:val="14"/>
              </w:rPr>
              <w:t>-</w:t>
            </w:r>
          </w:p>
        </w:tc>
        <w:tc>
          <w:tcPr>
            <w:tcW w:w="555" w:type="dxa"/>
            <w:tcBorders>
              <w:top w:val="single" w:sz="12" w:space="0" w:color="000000"/>
              <w:bottom w:val="single" w:sz="4" w:space="0" w:color="000000"/>
            </w:tcBorders>
          </w:tcPr>
          <w:p>
            <w:pPr>
              <w:pStyle w:val="TableParagraph"/>
              <w:spacing w:before="22"/>
              <w:ind w:left="176"/>
              <w:jc w:val="center"/>
              <w:rPr>
                <w:sz w:val="14"/>
              </w:rPr>
            </w:pPr>
            <w:r>
              <w:rPr>
                <w:w w:val="99"/>
                <w:sz w:val="14"/>
              </w:rPr>
              <w:t>-</w:t>
            </w:r>
          </w:p>
        </w:tc>
        <w:tc>
          <w:tcPr>
            <w:tcW w:w="682" w:type="dxa"/>
            <w:tcBorders>
              <w:top w:val="single" w:sz="12" w:space="0" w:color="000000"/>
              <w:bottom w:val="single" w:sz="4" w:space="0" w:color="000000"/>
            </w:tcBorders>
          </w:tcPr>
          <w:p>
            <w:pPr>
              <w:pStyle w:val="TableParagraph"/>
              <w:spacing w:before="22"/>
              <w:ind w:right="264"/>
              <w:rPr>
                <w:sz w:val="14"/>
              </w:rPr>
            </w:pPr>
            <w:r>
              <w:rPr>
                <w:w w:val="99"/>
                <w:sz w:val="14"/>
              </w:rPr>
              <w:t>-</w:t>
            </w:r>
          </w:p>
        </w:tc>
        <w:tc>
          <w:tcPr>
            <w:tcW w:w="653" w:type="dxa"/>
            <w:tcBorders>
              <w:top w:val="single" w:sz="12" w:space="0" w:color="000000"/>
              <w:bottom w:val="single" w:sz="4" w:space="0" w:color="000000"/>
            </w:tcBorders>
          </w:tcPr>
          <w:p>
            <w:pPr>
              <w:pStyle w:val="TableParagraph"/>
              <w:spacing w:before="22"/>
              <w:ind w:right="187"/>
              <w:rPr>
                <w:sz w:val="14"/>
              </w:rPr>
            </w:pPr>
            <w:r>
              <w:rPr>
                <w:w w:val="99"/>
                <w:sz w:val="14"/>
              </w:rPr>
              <w:t>-</w:t>
            </w:r>
          </w:p>
        </w:tc>
        <w:tc>
          <w:tcPr>
            <w:tcW w:w="453" w:type="dxa"/>
            <w:tcBorders>
              <w:top w:val="single" w:sz="12" w:space="0" w:color="000000"/>
              <w:bottom w:val="single" w:sz="4" w:space="0" w:color="000000"/>
            </w:tcBorders>
          </w:tcPr>
          <w:p>
            <w:pPr>
              <w:pStyle w:val="TableParagraph"/>
              <w:spacing w:before="22"/>
              <w:ind w:right="64"/>
              <w:rPr>
                <w:sz w:val="14"/>
              </w:rPr>
            </w:pPr>
            <w:r>
              <w:rPr>
                <w:w w:val="99"/>
                <w:sz w:val="14"/>
              </w:rPr>
              <w:t>-</w:t>
            </w:r>
          </w:p>
        </w:tc>
        <w:tc>
          <w:tcPr>
            <w:tcW w:w="784" w:type="dxa"/>
            <w:tcBorders>
              <w:top w:val="single" w:sz="12" w:space="0" w:color="000000"/>
              <w:bottom w:val="single" w:sz="4" w:space="0" w:color="000000"/>
            </w:tcBorders>
          </w:tcPr>
          <w:p>
            <w:pPr>
              <w:pStyle w:val="TableParagraph"/>
              <w:spacing w:before="22"/>
              <w:ind w:right="118"/>
              <w:rPr>
                <w:i/>
                <w:sz w:val="14"/>
              </w:rPr>
            </w:pPr>
            <w:r>
              <w:rPr>
                <w:i/>
                <w:w w:val="99"/>
                <w:sz w:val="14"/>
              </w:rPr>
              <w:t>-</w:t>
            </w:r>
          </w:p>
        </w:tc>
        <w:tc>
          <w:tcPr>
            <w:tcW w:w="558" w:type="dxa"/>
            <w:tcBorders>
              <w:top w:val="single" w:sz="12" w:space="0" w:color="000000"/>
              <w:bottom w:val="single" w:sz="4" w:space="0" w:color="000000"/>
            </w:tcBorders>
          </w:tcPr>
          <w:p>
            <w:pPr>
              <w:pStyle w:val="TableParagraph"/>
              <w:spacing w:before="22"/>
              <w:ind w:right="95"/>
              <w:rPr>
                <w:sz w:val="14"/>
              </w:rPr>
            </w:pPr>
            <w:r>
              <w:rPr>
                <w:w w:val="99"/>
                <w:sz w:val="14"/>
              </w:rPr>
              <w:t>-</w:t>
            </w:r>
          </w:p>
        </w:tc>
        <w:tc>
          <w:tcPr>
            <w:tcW w:w="567" w:type="dxa"/>
            <w:tcBorders>
              <w:top w:val="single" w:sz="12" w:space="0" w:color="000000"/>
              <w:bottom w:val="single" w:sz="4" w:space="0" w:color="000000"/>
            </w:tcBorders>
          </w:tcPr>
          <w:p>
            <w:pPr>
              <w:pStyle w:val="TableParagraph"/>
              <w:spacing w:before="22"/>
              <w:ind w:right="76"/>
              <w:rPr>
                <w:sz w:val="14"/>
              </w:rPr>
            </w:pPr>
            <w:r>
              <w:rPr>
                <w:w w:val="99"/>
                <w:sz w:val="14"/>
              </w:rPr>
              <w:t>-</w:t>
            </w:r>
          </w:p>
        </w:tc>
        <w:tc>
          <w:tcPr>
            <w:tcW w:w="648" w:type="dxa"/>
            <w:tcBorders>
              <w:top w:val="single" w:sz="12" w:space="0" w:color="000000"/>
              <w:bottom w:val="single" w:sz="4" w:space="0" w:color="000000"/>
            </w:tcBorders>
          </w:tcPr>
          <w:p>
            <w:pPr>
              <w:pStyle w:val="TableParagraph"/>
              <w:spacing w:before="22"/>
              <w:ind w:right="148"/>
              <w:rPr>
                <w:sz w:val="14"/>
              </w:rPr>
            </w:pPr>
            <w:r>
              <w:rPr>
                <w:w w:val="99"/>
                <w:sz w:val="14"/>
              </w:rPr>
              <w:t>-</w:t>
            </w:r>
          </w:p>
        </w:tc>
        <w:tc>
          <w:tcPr>
            <w:tcW w:w="793" w:type="dxa"/>
            <w:tcBorders>
              <w:top w:val="single" w:sz="12" w:space="0" w:color="000000"/>
              <w:bottom w:val="single" w:sz="4" w:space="0" w:color="000000"/>
            </w:tcBorders>
          </w:tcPr>
          <w:p>
            <w:pPr>
              <w:pStyle w:val="TableParagraph"/>
              <w:spacing w:before="22"/>
              <w:ind w:right="211"/>
              <w:rPr>
                <w:i/>
                <w:sz w:val="14"/>
              </w:rPr>
            </w:pPr>
            <w:r>
              <w:rPr>
                <w:i/>
                <w:w w:val="99"/>
                <w:sz w:val="14"/>
              </w:rPr>
              <w:t>-</w:t>
            </w:r>
          </w:p>
        </w:tc>
        <w:tc>
          <w:tcPr>
            <w:tcW w:w="590" w:type="dxa"/>
            <w:tcBorders>
              <w:top w:val="single" w:sz="12" w:space="0" w:color="000000"/>
              <w:bottom w:val="single" w:sz="4" w:space="0" w:color="000000"/>
            </w:tcBorders>
          </w:tcPr>
          <w:p>
            <w:pPr>
              <w:pStyle w:val="TableParagraph"/>
              <w:spacing w:before="22"/>
              <w:ind w:right="52"/>
              <w:rPr>
                <w:b/>
                <w:sz w:val="14"/>
              </w:rPr>
            </w:pPr>
            <w:r>
              <w:rPr>
                <w:b/>
                <w:w w:val="99"/>
                <w:sz w:val="14"/>
              </w:rPr>
              <w:t>-</w:t>
            </w:r>
          </w:p>
        </w:tc>
      </w:tr>
      <w:tr>
        <w:trPr>
          <w:trHeight w:val="230" w:hRule="atLeast"/>
        </w:trPr>
        <w:tc>
          <w:tcPr>
            <w:tcW w:w="1186" w:type="dxa"/>
            <w:tcBorders>
              <w:top w:val="single" w:sz="4" w:space="0" w:color="000000"/>
              <w:bottom w:val="single" w:sz="4" w:space="0" w:color="000000"/>
            </w:tcBorders>
          </w:tcPr>
          <w:p>
            <w:pPr>
              <w:pStyle w:val="TableParagraph"/>
              <w:spacing w:before="27"/>
              <w:ind w:left="67"/>
              <w:jc w:val="left"/>
              <w:rPr>
                <w:sz w:val="14"/>
              </w:rPr>
            </w:pPr>
            <w:r>
              <w:rPr>
                <w:spacing w:val="-2"/>
                <w:sz w:val="14"/>
              </w:rPr>
              <w:t>Redeployed</w:t>
            </w:r>
          </w:p>
        </w:tc>
        <w:tc>
          <w:tcPr>
            <w:tcW w:w="669" w:type="dxa"/>
            <w:tcBorders>
              <w:top w:val="single" w:sz="4" w:space="0" w:color="000000"/>
              <w:bottom w:val="single" w:sz="4" w:space="0" w:color="000000"/>
            </w:tcBorders>
          </w:tcPr>
          <w:p>
            <w:pPr>
              <w:pStyle w:val="TableParagraph"/>
              <w:spacing w:before="27"/>
              <w:ind w:right="145"/>
              <w:rPr>
                <w:sz w:val="14"/>
              </w:rPr>
            </w:pPr>
            <w:r>
              <w:rPr>
                <w:w w:val="99"/>
                <w:sz w:val="14"/>
              </w:rPr>
              <w:t>-</w:t>
            </w:r>
          </w:p>
        </w:tc>
        <w:tc>
          <w:tcPr>
            <w:tcW w:w="593" w:type="dxa"/>
            <w:tcBorders>
              <w:top w:val="single" w:sz="4" w:space="0" w:color="000000"/>
              <w:bottom w:val="single" w:sz="4" w:space="0" w:color="000000"/>
            </w:tcBorders>
          </w:tcPr>
          <w:p>
            <w:pPr>
              <w:pStyle w:val="TableParagraph"/>
              <w:spacing w:before="27"/>
              <w:ind w:right="166"/>
              <w:rPr>
                <w:sz w:val="14"/>
              </w:rPr>
            </w:pPr>
            <w:r>
              <w:rPr>
                <w:w w:val="99"/>
                <w:sz w:val="14"/>
              </w:rPr>
              <w:t>-</w:t>
            </w:r>
          </w:p>
        </w:tc>
        <w:tc>
          <w:tcPr>
            <w:tcW w:w="553" w:type="dxa"/>
            <w:tcBorders>
              <w:top w:val="single" w:sz="4" w:space="0" w:color="000000"/>
              <w:bottom w:val="single" w:sz="4" w:space="0" w:color="000000"/>
            </w:tcBorders>
          </w:tcPr>
          <w:p>
            <w:pPr>
              <w:pStyle w:val="TableParagraph"/>
              <w:spacing w:before="27"/>
              <w:ind w:right="167"/>
              <w:rPr>
                <w:sz w:val="14"/>
              </w:rPr>
            </w:pPr>
            <w:r>
              <w:rPr>
                <w:w w:val="99"/>
                <w:sz w:val="14"/>
              </w:rPr>
              <w:t>-</w:t>
            </w:r>
          </w:p>
        </w:tc>
        <w:tc>
          <w:tcPr>
            <w:tcW w:w="569" w:type="dxa"/>
            <w:tcBorders>
              <w:top w:val="single" w:sz="4" w:space="0" w:color="000000"/>
              <w:bottom w:val="single" w:sz="4" w:space="0" w:color="000000"/>
            </w:tcBorders>
          </w:tcPr>
          <w:p>
            <w:pPr>
              <w:pStyle w:val="TableParagraph"/>
              <w:spacing w:before="27"/>
              <w:ind w:right="184"/>
              <w:rPr>
                <w:sz w:val="14"/>
              </w:rPr>
            </w:pPr>
            <w:r>
              <w:rPr>
                <w:w w:val="99"/>
                <w:sz w:val="14"/>
              </w:rPr>
              <w:t>-</w:t>
            </w:r>
          </w:p>
        </w:tc>
        <w:tc>
          <w:tcPr>
            <w:tcW w:w="572" w:type="dxa"/>
            <w:tcBorders>
              <w:top w:val="single" w:sz="4" w:space="0" w:color="000000"/>
              <w:bottom w:val="single" w:sz="4" w:space="0" w:color="000000"/>
            </w:tcBorders>
          </w:tcPr>
          <w:p>
            <w:pPr>
              <w:pStyle w:val="TableParagraph"/>
              <w:spacing w:before="27"/>
              <w:ind w:right="189"/>
              <w:rPr>
                <w:sz w:val="14"/>
              </w:rPr>
            </w:pPr>
            <w:r>
              <w:rPr>
                <w:w w:val="99"/>
                <w:sz w:val="14"/>
              </w:rPr>
              <w:t>-</w:t>
            </w:r>
          </w:p>
        </w:tc>
        <w:tc>
          <w:tcPr>
            <w:tcW w:w="555" w:type="dxa"/>
            <w:tcBorders>
              <w:top w:val="single" w:sz="4" w:space="0" w:color="000000"/>
              <w:bottom w:val="single" w:sz="4" w:space="0" w:color="000000"/>
            </w:tcBorders>
          </w:tcPr>
          <w:p>
            <w:pPr>
              <w:pStyle w:val="TableParagraph"/>
              <w:spacing w:before="27"/>
              <w:ind w:left="176"/>
              <w:jc w:val="center"/>
              <w:rPr>
                <w:sz w:val="14"/>
              </w:rPr>
            </w:pPr>
            <w:r>
              <w:rPr>
                <w:w w:val="99"/>
                <w:sz w:val="14"/>
              </w:rPr>
              <w:t>-</w:t>
            </w:r>
          </w:p>
        </w:tc>
        <w:tc>
          <w:tcPr>
            <w:tcW w:w="682" w:type="dxa"/>
            <w:tcBorders>
              <w:top w:val="single" w:sz="4" w:space="0" w:color="000000"/>
              <w:bottom w:val="single" w:sz="4" w:space="0" w:color="000000"/>
            </w:tcBorders>
          </w:tcPr>
          <w:p>
            <w:pPr>
              <w:pStyle w:val="TableParagraph"/>
              <w:spacing w:before="27"/>
              <w:ind w:right="264"/>
              <w:rPr>
                <w:sz w:val="14"/>
              </w:rPr>
            </w:pPr>
            <w:r>
              <w:rPr>
                <w:w w:val="99"/>
                <w:sz w:val="14"/>
              </w:rPr>
              <w:t>-</w:t>
            </w:r>
          </w:p>
        </w:tc>
        <w:tc>
          <w:tcPr>
            <w:tcW w:w="653" w:type="dxa"/>
            <w:tcBorders>
              <w:top w:val="single" w:sz="4" w:space="0" w:color="000000"/>
              <w:bottom w:val="single" w:sz="4" w:space="0" w:color="000000"/>
            </w:tcBorders>
          </w:tcPr>
          <w:p>
            <w:pPr>
              <w:pStyle w:val="TableParagraph"/>
              <w:spacing w:before="27"/>
              <w:ind w:right="187"/>
              <w:rPr>
                <w:sz w:val="14"/>
              </w:rPr>
            </w:pPr>
            <w:r>
              <w:rPr>
                <w:w w:val="99"/>
                <w:sz w:val="14"/>
              </w:rPr>
              <w:t>-</w:t>
            </w:r>
          </w:p>
        </w:tc>
        <w:tc>
          <w:tcPr>
            <w:tcW w:w="453" w:type="dxa"/>
            <w:tcBorders>
              <w:top w:val="single" w:sz="4" w:space="0" w:color="000000"/>
              <w:bottom w:val="single" w:sz="4" w:space="0" w:color="000000"/>
            </w:tcBorders>
          </w:tcPr>
          <w:p>
            <w:pPr>
              <w:pStyle w:val="TableParagraph"/>
              <w:spacing w:before="27"/>
              <w:ind w:right="64"/>
              <w:rPr>
                <w:sz w:val="14"/>
              </w:rPr>
            </w:pPr>
            <w:r>
              <w:rPr>
                <w:w w:val="99"/>
                <w:sz w:val="14"/>
              </w:rPr>
              <w:t>-</w:t>
            </w:r>
          </w:p>
        </w:tc>
        <w:tc>
          <w:tcPr>
            <w:tcW w:w="784" w:type="dxa"/>
            <w:tcBorders>
              <w:top w:val="single" w:sz="4" w:space="0" w:color="000000"/>
              <w:bottom w:val="single" w:sz="4" w:space="0" w:color="000000"/>
            </w:tcBorders>
          </w:tcPr>
          <w:p>
            <w:pPr>
              <w:pStyle w:val="TableParagraph"/>
              <w:spacing w:before="27"/>
              <w:ind w:right="118"/>
              <w:rPr>
                <w:i/>
                <w:sz w:val="14"/>
              </w:rPr>
            </w:pPr>
            <w:r>
              <w:rPr>
                <w:i/>
                <w:w w:val="99"/>
                <w:sz w:val="14"/>
              </w:rPr>
              <w:t>-</w:t>
            </w:r>
          </w:p>
        </w:tc>
        <w:tc>
          <w:tcPr>
            <w:tcW w:w="558" w:type="dxa"/>
            <w:tcBorders>
              <w:top w:val="single" w:sz="4" w:space="0" w:color="000000"/>
              <w:bottom w:val="single" w:sz="4" w:space="0" w:color="000000"/>
            </w:tcBorders>
          </w:tcPr>
          <w:p>
            <w:pPr>
              <w:pStyle w:val="TableParagraph"/>
              <w:spacing w:before="27"/>
              <w:ind w:right="95"/>
              <w:rPr>
                <w:sz w:val="14"/>
              </w:rPr>
            </w:pPr>
            <w:r>
              <w:rPr>
                <w:w w:val="99"/>
                <w:sz w:val="14"/>
              </w:rPr>
              <w:t>-</w:t>
            </w:r>
          </w:p>
        </w:tc>
        <w:tc>
          <w:tcPr>
            <w:tcW w:w="567" w:type="dxa"/>
            <w:tcBorders>
              <w:top w:val="single" w:sz="4" w:space="0" w:color="000000"/>
              <w:bottom w:val="single" w:sz="4" w:space="0" w:color="000000"/>
            </w:tcBorders>
          </w:tcPr>
          <w:p>
            <w:pPr>
              <w:pStyle w:val="TableParagraph"/>
              <w:spacing w:before="27"/>
              <w:ind w:right="76"/>
              <w:rPr>
                <w:sz w:val="14"/>
              </w:rPr>
            </w:pPr>
            <w:r>
              <w:rPr>
                <w:w w:val="99"/>
                <w:sz w:val="14"/>
              </w:rPr>
              <w:t>-</w:t>
            </w:r>
          </w:p>
        </w:tc>
        <w:tc>
          <w:tcPr>
            <w:tcW w:w="648" w:type="dxa"/>
            <w:tcBorders>
              <w:top w:val="single" w:sz="4" w:space="0" w:color="000000"/>
              <w:bottom w:val="single" w:sz="4" w:space="0" w:color="000000"/>
            </w:tcBorders>
          </w:tcPr>
          <w:p>
            <w:pPr>
              <w:pStyle w:val="TableParagraph"/>
              <w:spacing w:before="27"/>
              <w:ind w:right="148"/>
              <w:rPr>
                <w:sz w:val="14"/>
              </w:rPr>
            </w:pPr>
            <w:r>
              <w:rPr>
                <w:w w:val="99"/>
                <w:sz w:val="14"/>
              </w:rPr>
              <w:t>-</w:t>
            </w:r>
          </w:p>
        </w:tc>
        <w:tc>
          <w:tcPr>
            <w:tcW w:w="793" w:type="dxa"/>
            <w:tcBorders>
              <w:top w:val="single" w:sz="4" w:space="0" w:color="000000"/>
              <w:bottom w:val="single" w:sz="4" w:space="0" w:color="000000"/>
            </w:tcBorders>
          </w:tcPr>
          <w:p>
            <w:pPr>
              <w:pStyle w:val="TableParagraph"/>
              <w:spacing w:before="27"/>
              <w:ind w:right="211"/>
              <w:rPr>
                <w:i/>
                <w:sz w:val="14"/>
              </w:rPr>
            </w:pPr>
            <w:r>
              <w:rPr>
                <w:i/>
                <w:w w:val="99"/>
                <w:sz w:val="14"/>
              </w:rPr>
              <w:t>-</w:t>
            </w:r>
          </w:p>
        </w:tc>
        <w:tc>
          <w:tcPr>
            <w:tcW w:w="590" w:type="dxa"/>
            <w:tcBorders>
              <w:top w:val="single" w:sz="4" w:space="0" w:color="000000"/>
              <w:bottom w:val="single" w:sz="4" w:space="0" w:color="000000"/>
            </w:tcBorders>
          </w:tcPr>
          <w:p>
            <w:pPr>
              <w:pStyle w:val="TableParagraph"/>
              <w:spacing w:before="27"/>
              <w:ind w:right="52"/>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2"/>
              <w:ind w:left="67"/>
              <w:jc w:val="left"/>
              <w:rPr>
                <w:sz w:val="14"/>
              </w:rPr>
            </w:pPr>
            <w:r>
              <w:rPr>
                <w:spacing w:val="-2"/>
                <w:sz w:val="14"/>
              </w:rPr>
              <w:t>Reclassified</w:t>
            </w:r>
          </w:p>
        </w:tc>
        <w:tc>
          <w:tcPr>
            <w:tcW w:w="669" w:type="dxa"/>
            <w:tcBorders>
              <w:top w:val="single" w:sz="4" w:space="0" w:color="000000"/>
              <w:bottom w:val="single" w:sz="4" w:space="0" w:color="000000"/>
            </w:tcBorders>
          </w:tcPr>
          <w:p>
            <w:pPr>
              <w:pStyle w:val="TableParagraph"/>
              <w:spacing w:before="22"/>
              <w:ind w:right="145"/>
              <w:rPr>
                <w:sz w:val="14"/>
              </w:rPr>
            </w:pPr>
            <w:r>
              <w:rPr>
                <w:w w:val="99"/>
                <w:sz w:val="14"/>
              </w:rPr>
              <w:t>-</w:t>
            </w:r>
          </w:p>
        </w:tc>
        <w:tc>
          <w:tcPr>
            <w:tcW w:w="593" w:type="dxa"/>
            <w:tcBorders>
              <w:top w:val="single" w:sz="4" w:space="0" w:color="000000"/>
              <w:bottom w:val="single" w:sz="4" w:space="0" w:color="000000"/>
            </w:tcBorders>
          </w:tcPr>
          <w:p>
            <w:pPr>
              <w:pStyle w:val="TableParagraph"/>
              <w:spacing w:before="22"/>
              <w:ind w:right="166"/>
              <w:rPr>
                <w:sz w:val="14"/>
              </w:rPr>
            </w:pPr>
            <w:r>
              <w:rPr>
                <w:w w:val="99"/>
                <w:sz w:val="14"/>
              </w:rPr>
              <w:t>-</w:t>
            </w:r>
          </w:p>
        </w:tc>
        <w:tc>
          <w:tcPr>
            <w:tcW w:w="553" w:type="dxa"/>
            <w:tcBorders>
              <w:top w:val="single" w:sz="4" w:space="0" w:color="000000"/>
              <w:bottom w:val="single" w:sz="4" w:space="0" w:color="000000"/>
            </w:tcBorders>
          </w:tcPr>
          <w:p>
            <w:pPr>
              <w:pStyle w:val="TableParagraph"/>
              <w:spacing w:before="22"/>
              <w:ind w:right="167"/>
              <w:rPr>
                <w:sz w:val="14"/>
              </w:rPr>
            </w:pPr>
            <w:r>
              <w:rPr>
                <w:w w:val="99"/>
                <w:sz w:val="14"/>
              </w:rPr>
              <w:t>-</w:t>
            </w:r>
          </w:p>
        </w:tc>
        <w:tc>
          <w:tcPr>
            <w:tcW w:w="569" w:type="dxa"/>
            <w:tcBorders>
              <w:top w:val="single" w:sz="4" w:space="0" w:color="000000"/>
              <w:bottom w:val="single" w:sz="4" w:space="0" w:color="000000"/>
            </w:tcBorders>
          </w:tcPr>
          <w:p>
            <w:pPr>
              <w:pStyle w:val="TableParagraph"/>
              <w:spacing w:before="22"/>
              <w:ind w:right="184"/>
              <w:rPr>
                <w:sz w:val="14"/>
              </w:rPr>
            </w:pPr>
            <w:r>
              <w:rPr>
                <w:w w:val="99"/>
                <w:sz w:val="14"/>
              </w:rPr>
              <w:t>-</w:t>
            </w:r>
          </w:p>
        </w:tc>
        <w:tc>
          <w:tcPr>
            <w:tcW w:w="572" w:type="dxa"/>
            <w:tcBorders>
              <w:top w:val="single" w:sz="4" w:space="0" w:color="000000"/>
              <w:bottom w:val="single" w:sz="4" w:space="0" w:color="000000"/>
            </w:tcBorders>
          </w:tcPr>
          <w:p>
            <w:pPr>
              <w:pStyle w:val="TableParagraph"/>
              <w:spacing w:before="22"/>
              <w:ind w:right="189"/>
              <w:rPr>
                <w:sz w:val="14"/>
              </w:rPr>
            </w:pPr>
            <w:r>
              <w:rPr>
                <w:w w:val="99"/>
                <w:sz w:val="14"/>
              </w:rPr>
              <w:t>-</w:t>
            </w:r>
          </w:p>
        </w:tc>
        <w:tc>
          <w:tcPr>
            <w:tcW w:w="555" w:type="dxa"/>
            <w:tcBorders>
              <w:top w:val="single" w:sz="4" w:space="0" w:color="000000"/>
              <w:bottom w:val="single" w:sz="4" w:space="0" w:color="000000"/>
            </w:tcBorders>
          </w:tcPr>
          <w:p>
            <w:pPr>
              <w:pStyle w:val="TableParagraph"/>
              <w:spacing w:before="22"/>
              <w:ind w:left="176"/>
              <w:jc w:val="center"/>
              <w:rPr>
                <w:sz w:val="14"/>
              </w:rPr>
            </w:pPr>
            <w:r>
              <w:rPr>
                <w:w w:val="99"/>
                <w:sz w:val="14"/>
              </w:rPr>
              <w:t>-</w:t>
            </w:r>
          </w:p>
        </w:tc>
        <w:tc>
          <w:tcPr>
            <w:tcW w:w="682" w:type="dxa"/>
            <w:tcBorders>
              <w:top w:val="single" w:sz="4" w:space="0" w:color="000000"/>
              <w:bottom w:val="single" w:sz="4" w:space="0" w:color="000000"/>
            </w:tcBorders>
          </w:tcPr>
          <w:p>
            <w:pPr>
              <w:pStyle w:val="TableParagraph"/>
              <w:spacing w:before="22"/>
              <w:ind w:right="264"/>
              <w:rPr>
                <w:sz w:val="14"/>
              </w:rPr>
            </w:pPr>
            <w:r>
              <w:rPr>
                <w:w w:val="99"/>
                <w:sz w:val="14"/>
              </w:rPr>
              <w:t>-</w:t>
            </w:r>
          </w:p>
        </w:tc>
        <w:tc>
          <w:tcPr>
            <w:tcW w:w="653" w:type="dxa"/>
            <w:tcBorders>
              <w:top w:val="single" w:sz="4" w:space="0" w:color="000000"/>
              <w:bottom w:val="single" w:sz="4" w:space="0" w:color="000000"/>
            </w:tcBorders>
          </w:tcPr>
          <w:p>
            <w:pPr>
              <w:pStyle w:val="TableParagraph"/>
              <w:spacing w:before="22"/>
              <w:ind w:right="187"/>
              <w:rPr>
                <w:sz w:val="14"/>
              </w:rPr>
            </w:pPr>
            <w:r>
              <w:rPr>
                <w:w w:val="99"/>
                <w:sz w:val="14"/>
              </w:rPr>
              <w:t>-</w:t>
            </w:r>
          </w:p>
        </w:tc>
        <w:tc>
          <w:tcPr>
            <w:tcW w:w="453" w:type="dxa"/>
            <w:tcBorders>
              <w:top w:val="single" w:sz="4" w:space="0" w:color="000000"/>
              <w:bottom w:val="single" w:sz="4" w:space="0" w:color="000000"/>
            </w:tcBorders>
          </w:tcPr>
          <w:p>
            <w:pPr>
              <w:pStyle w:val="TableParagraph"/>
              <w:spacing w:before="22"/>
              <w:ind w:right="64"/>
              <w:rPr>
                <w:sz w:val="14"/>
              </w:rPr>
            </w:pPr>
            <w:r>
              <w:rPr>
                <w:w w:val="99"/>
                <w:sz w:val="14"/>
              </w:rPr>
              <w:t>-</w:t>
            </w:r>
          </w:p>
        </w:tc>
        <w:tc>
          <w:tcPr>
            <w:tcW w:w="784" w:type="dxa"/>
            <w:tcBorders>
              <w:top w:val="single" w:sz="4" w:space="0" w:color="000000"/>
              <w:bottom w:val="single" w:sz="4" w:space="0" w:color="000000"/>
            </w:tcBorders>
          </w:tcPr>
          <w:p>
            <w:pPr>
              <w:pStyle w:val="TableParagraph"/>
              <w:spacing w:before="22"/>
              <w:ind w:right="118"/>
              <w:rPr>
                <w:i/>
                <w:sz w:val="14"/>
              </w:rPr>
            </w:pPr>
            <w:r>
              <w:rPr>
                <w:i/>
                <w:w w:val="99"/>
                <w:sz w:val="14"/>
              </w:rPr>
              <w:t>-</w:t>
            </w:r>
          </w:p>
        </w:tc>
        <w:tc>
          <w:tcPr>
            <w:tcW w:w="558" w:type="dxa"/>
            <w:tcBorders>
              <w:top w:val="single" w:sz="4" w:space="0" w:color="000000"/>
              <w:bottom w:val="single" w:sz="4" w:space="0" w:color="000000"/>
            </w:tcBorders>
          </w:tcPr>
          <w:p>
            <w:pPr>
              <w:pStyle w:val="TableParagraph"/>
              <w:spacing w:before="22"/>
              <w:ind w:right="95"/>
              <w:rPr>
                <w:sz w:val="14"/>
              </w:rPr>
            </w:pPr>
            <w:r>
              <w:rPr>
                <w:w w:val="99"/>
                <w:sz w:val="14"/>
              </w:rPr>
              <w:t>-</w:t>
            </w:r>
          </w:p>
        </w:tc>
        <w:tc>
          <w:tcPr>
            <w:tcW w:w="567" w:type="dxa"/>
            <w:tcBorders>
              <w:top w:val="single" w:sz="4" w:space="0" w:color="000000"/>
              <w:bottom w:val="single" w:sz="4" w:space="0" w:color="000000"/>
            </w:tcBorders>
          </w:tcPr>
          <w:p>
            <w:pPr>
              <w:pStyle w:val="TableParagraph"/>
              <w:spacing w:before="22"/>
              <w:ind w:right="76"/>
              <w:rPr>
                <w:sz w:val="14"/>
              </w:rPr>
            </w:pPr>
            <w:r>
              <w:rPr>
                <w:w w:val="99"/>
                <w:sz w:val="14"/>
              </w:rPr>
              <w:t>-</w:t>
            </w:r>
          </w:p>
        </w:tc>
        <w:tc>
          <w:tcPr>
            <w:tcW w:w="648" w:type="dxa"/>
            <w:tcBorders>
              <w:top w:val="single" w:sz="4" w:space="0" w:color="000000"/>
              <w:bottom w:val="single" w:sz="4" w:space="0" w:color="000000"/>
            </w:tcBorders>
          </w:tcPr>
          <w:p>
            <w:pPr>
              <w:pStyle w:val="TableParagraph"/>
              <w:spacing w:before="22"/>
              <w:ind w:right="148"/>
              <w:rPr>
                <w:sz w:val="14"/>
              </w:rPr>
            </w:pPr>
            <w:r>
              <w:rPr>
                <w:w w:val="99"/>
                <w:sz w:val="14"/>
              </w:rPr>
              <w:t>-</w:t>
            </w:r>
          </w:p>
        </w:tc>
        <w:tc>
          <w:tcPr>
            <w:tcW w:w="793" w:type="dxa"/>
            <w:tcBorders>
              <w:top w:val="single" w:sz="4" w:space="0" w:color="000000"/>
              <w:bottom w:val="single" w:sz="4" w:space="0" w:color="000000"/>
            </w:tcBorders>
          </w:tcPr>
          <w:p>
            <w:pPr>
              <w:pStyle w:val="TableParagraph"/>
              <w:spacing w:before="22"/>
              <w:ind w:right="211"/>
              <w:rPr>
                <w:i/>
                <w:sz w:val="14"/>
              </w:rPr>
            </w:pPr>
            <w:r>
              <w:rPr>
                <w:i/>
                <w:w w:val="99"/>
                <w:sz w:val="14"/>
              </w:rPr>
              <w:t>-</w:t>
            </w:r>
          </w:p>
        </w:tc>
        <w:tc>
          <w:tcPr>
            <w:tcW w:w="590" w:type="dxa"/>
            <w:tcBorders>
              <w:top w:val="single" w:sz="4" w:space="0" w:color="000000"/>
              <w:bottom w:val="single" w:sz="4" w:space="0" w:color="000000"/>
            </w:tcBorders>
          </w:tcPr>
          <w:p>
            <w:pPr>
              <w:pStyle w:val="TableParagraph"/>
              <w:spacing w:before="22"/>
              <w:ind w:right="52"/>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7"/>
              <w:ind w:left="67"/>
              <w:jc w:val="left"/>
              <w:rPr>
                <w:sz w:val="14"/>
              </w:rPr>
            </w:pPr>
            <w:r>
              <w:rPr>
                <w:spacing w:val="-2"/>
                <w:sz w:val="14"/>
              </w:rPr>
              <w:t>Returned</w:t>
            </w:r>
          </w:p>
        </w:tc>
        <w:tc>
          <w:tcPr>
            <w:tcW w:w="669" w:type="dxa"/>
            <w:tcBorders>
              <w:top w:val="single" w:sz="4" w:space="0" w:color="000000"/>
              <w:bottom w:val="single" w:sz="4" w:space="0" w:color="000000"/>
            </w:tcBorders>
          </w:tcPr>
          <w:p>
            <w:pPr>
              <w:pStyle w:val="TableParagraph"/>
              <w:spacing w:before="27"/>
              <w:ind w:right="145"/>
              <w:rPr>
                <w:sz w:val="14"/>
              </w:rPr>
            </w:pPr>
            <w:r>
              <w:rPr>
                <w:w w:val="99"/>
                <w:sz w:val="14"/>
              </w:rPr>
              <w:t>-</w:t>
            </w:r>
          </w:p>
        </w:tc>
        <w:tc>
          <w:tcPr>
            <w:tcW w:w="593" w:type="dxa"/>
            <w:tcBorders>
              <w:top w:val="single" w:sz="4" w:space="0" w:color="000000"/>
              <w:bottom w:val="single" w:sz="4" w:space="0" w:color="000000"/>
            </w:tcBorders>
          </w:tcPr>
          <w:p>
            <w:pPr>
              <w:pStyle w:val="TableParagraph"/>
              <w:spacing w:before="27"/>
              <w:ind w:right="166"/>
              <w:rPr>
                <w:sz w:val="14"/>
              </w:rPr>
            </w:pPr>
            <w:r>
              <w:rPr>
                <w:w w:val="99"/>
                <w:sz w:val="14"/>
              </w:rPr>
              <w:t>-</w:t>
            </w:r>
          </w:p>
        </w:tc>
        <w:tc>
          <w:tcPr>
            <w:tcW w:w="553" w:type="dxa"/>
            <w:tcBorders>
              <w:top w:val="single" w:sz="4" w:space="0" w:color="000000"/>
              <w:bottom w:val="single" w:sz="4" w:space="0" w:color="000000"/>
            </w:tcBorders>
          </w:tcPr>
          <w:p>
            <w:pPr>
              <w:pStyle w:val="TableParagraph"/>
              <w:spacing w:before="27"/>
              <w:ind w:right="167"/>
              <w:rPr>
                <w:sz w:val="14"/>
              </w:rPr>
            </w:pPr>
            <w:r>
              <w:rPr>
                <w:w w:val="99"/>
                <w:sz w:val="14"/>
              </w:rPr>
              <w:t>-</w:t>
            </w:r>
          </w:p>
        </w:tc>
        <w:tc>
          <w:tcPr>
            <w:tcW w:w="569" w:type="dxa"/>
            <w:tcBorders>
              <w:top w:val="single" w:sz="4" w:space="0" w:color="000000"/>
              <w:bottom w:val="single" w:sz="4" w:space="0" w:color="000000"/>
            </w:tcBorders>
          </w:tcPr>
          <w:p>
            <w:pPr>
              <w:pStyle w:val="TableParagraph"/>
              <w:spacing w:before="27"/>
              <w:ind w:right="184"/>
              <w:rPr>
                <w:sz w:val="14"/>
              </w:rPr>
            </w:pPr>
            <w:r>
              <w:rPr>
                <w:w w:val="99"/>
                <w:sz w:val="14"/>
              </w:rPr>
              <w:t>-</w:t>
            </w:r>
          </w:p>
        </w:tc>
        <w:tc>
          <w:tcPr>
            <w:tcW w:w="572" w:type="dxa"/>
            <w:tcBorders>
              <w:top w:val="single" w:sz="4" w:space="0" w:color="000000"/>
              <w:bottom w:val="single" w:sz="4" w:space="0" w:color="000000"/>
            </w:tcBorders>
          </w:tcPr>
          <w:p>
            <w:pPr>
              <w:pStyle w:val="TableParagraph"/>
              <w:spacing w:before="27"/>
              <w:ind w:right="189"/>
              <w:rPr>
                <w:sz w:val="14"/>
              </w:rPr>
            </w:pPr>
            <w:r>
              <w:rPr>
                <w:w w:val="99"/>
                <w:sz w:val="14"/>
              </w:rPr>
              <w:t>-</w:t>
            </w:r>
          </w:p>
        </w:tc>
        <w:tc>
          <w:tcPr>
            <w:tcW w:w="555" w:type="dxa"/>
            <w:tcBorders>
              <w:top w:val="single" w:sz="4" w:space="0" w:color="000000"/>
              <w:bottom w:val="single" w:sz="4" w:space="0" w:color="000000"/>
            </w:tcBorders>
          </w:tcPr>
          <w:p>
            <w:pPr>
              <w:pStyle w:val="TableParagraph"/>
              <w:spacing w:before="27"/>
              <w:ind w:left="176"/>
              <w:jc w:val="center"/>
              <w:rPr>
                <w:sz w:val="14"/>
              </w:rPr>
            </w:pPr>
            <w:r>
              <w:rPr>
                <w:w w:val="99"/>
                <w:sz w:val="14"/>
              </w:rPr>
              <w:t>-</w:t>
            </w:r>
          </w:p>
        </w:tc>
        <w:tc>
          <w:tcPr>
            <w:tcW w:w="682" w:type="dxa"/>
            <w:tcBorders>
              <w:top w:val="single" w:sz="4" w:space="0" w:color="000000"/>
              <w:bottom w:val="single" w:sz="4" w:space="0" w:color="000000"/>
            </w:tcBorders>
          </w:tcPr>
          <w:p>
            <w:pPr>
              <w:pStyle w:val="TableParagraph"/>
              <w:spacing w:before="27"/>
              <w:ind w:right="264"/>
              <w:rPr>
                <w:sz w:val="14"/>
              </w:rPr>
            </w:pPr>
            <w:r>
              <w:rPr>
                <w:w w:val="99"/>
                <w:sz w:val="14"/>
              </w:rPr>
              <w:t>-</w:t>
            </w:r>
          </w:p>
        </w:tc>
        <w:tc>
          <w:tcPr>
            <w:tcW w:w="653" w:type="dxa"/>
            <w:tcBorders>
              <w:top w:val="single" w:sz="4" w:space="0" w:color="000000"/>
              <w:bottom w:val="single" w:sz="4" w:space="0" w:color="000000"/>
            </w:tcBorders>
          </w:tcPr>
          <w:p>
            <w:pPr>
              <w:pStyle w:val="TableParagraph"/>
              <w:spacing w:before="27"/>
              <w:ind w:right="187"/>
              <w:rPr>
                <w:sz w:val="14"/>
              </w:rPr>
            </w:pPr>
            <w:r>
              <w:rPr>
                <w:w w:val="99"/>
                <w:sz w:val="14"/>
              </w:rPr>
              <w:t>-</w:t>
            </w:r>
          </w:p>
        </w:tc>
        <w:tc>
          <w:tcPr>
            <w:tcW w:w="453" w:type="dxa"/>
            <w:tcBorders>
              <w:top w:val="single" w:sz="4" w:space="0" w:color="000000"/>
              <w:bottom w:val="single" w:sz="4" w:space="0" w:color="000000"/>
            </w:tcBorders>
          </w:tcPr>
          <w:p>
            <w:pPr>
              <w:pStyle w:val="TableParagraph"/>
              <w:spacing w:before="27"/>
              <w:ind w:right="64"/>
              <w:rPr>
                <w:sz w:val="14"/>
              </w:rPr>
            </w:pPr>
            <w:r>
              <w:rPr>
                <w:w w:val="99"/>
                <w:sz w:val="14"/>
              </w:rPr>
              <w:t>-</w:t>
            </w:r>
          </w:p>
        </w:tc>
        <w:tc>
          <w:tcPr>
            <w:tcW w:w="784" w:type="dxa"/>
            <w:tcBorders>
              <w:top w:val="single" w:sz="4" w:space="0" w:color="000000"/>
              <w:bottom w:val="single" w:sz="4" w:space="0" w:color="000000"/>
            </w:tcBorders>
          </w:tcPr>
          <w:p>
            <w:pPr>
              <w:pStyle w:val="TableParagraph"/>
              <w:spacing w:before="27"/>
              <w:ind w:right="118"/>
              <w:rPr>
                <w:i/>
                <w:sz w:val="14"/>
              </w:rPr>
            </w:pPr>
            <w:r>
              <w:rPr>
                <w:i/>
                <w:w w:val="99"/>
                <w:sz w:val="14"/>
              </w:rPr>
              <w:t>-</w:t>
            </w:r>
          </w:p>
        </w:tc>
        <w:tc>
          <w:tcPr>
            <w:tcW w:w="558" w:type="dxa"/>
            <w:tcBorders>
              <w:top w:val="single" w:sz="4" w:space="0" w:color="000000"/>
              <w:bottom w:val="single" w:sz="4" w:space="0" w:color="000000"/>
            </w:tcBorders>
          </w:tcPr>
          <w:p>
            <w:pPr>
              <w:pStyle w:val="TableParagraph"/>
              <w:spacing w:before="27"/>
              <w:ind w:right="95"/>
              <w:rPr>
                <w:sz w:val="14"/>
              </w:rPr>
            </w:pPr>
            <w:r>
              <w:rPr>
                <w:w w:val="99"/>
                <w:sz w:val="14"/>
              </w:rPr>
              <w:t>-</w:t>
            </w:r>
          </w:p>
        </w:tc>
        <w:tc>
          <w:tcPr>
            <w:tcW w:w="567" w:type="dxa"/>
            <w:tcBorders>
              <w:top w:val="single" w:sz="4" w:space="0" w:color="000000"/>
              <w:bottom w:val="single" w:sz="4" w:space="0" w:color="000000"/>
            </w:tcBorders>
          </w:tcPr>
          <w:p>
            <w:pPr>
              <w:pStyle w:val="TableParagraph"/>
              <w:spacing w:before="27"/>
              <w:ind w:right="76"/>
              <w:rPr>
                <w:sz w:val="14"/>
              </w:rPr>
            </w:pPr>
            <w:r>
              <w:rPr>
                <w:w w:val="99"/>
                <w:sz w:val="14"/>
              </w:rPr>
              <w:t>-</w:t>
            </w:r>
          </w:p>
        </w:tc>
        <w:tc>
          <w:tcPr>
            <w:tcW w:w="648" w:type="dxa"/>
            <w:tcBorders>
              <w:top w:val="single" w:sz="4" w:space="0" w:color="000000"/>
              <w:bottom w:val="single" w:sz="4" w:space="0" w:color="000000"/>
            </w:tcBorders>
          </w:tcPr>
          <w:p>
            <w:pPr>
              <w:pStyle w:val="TableParagraph"/>
              <w:spacing w:before="27"/>
              <w:ind w:right="148"/>
              <w:rPr>
                <w:sz w:val="14"/>
              </w:rPr>
            </w:pPr>
            <w:r>
              <w:rPr>
                <w:w w:val="99"/>
                <w:sz w:val="14"/>
              </w:rPr>
              <w:t>-</w:t>
            </w:r>
          </w:p>
        </w:tc>
        <w:tc>
          <w:tcPr>
            <w:tcW w:w="793" w:type="dxa"/>
            <w:tcBorders>
              <w:top w:val="single" w:sz="4" w:space="0" w:color="000000"/>
              <w:bottom w:val="single" w:sz="4" w:space="0" w:color="000000"/>
            </w:tcBorders>
          </w:tcPr>
          <w:p>
            <w:pPr>
              <w:pStyle w:val="TableParagraph"/>
              <w:spacing w:before="27"/>
              <w:ind w:right="211"/>
              <w:rPr>
                <w:i/>
                <w:sz w:val="14"/>
              </w:rPr>
            </w:pPr>
            <w:r>
              <w:rPr>
                <w:i/>
                <w:w w:val="99"/>
                <w:sz w:val="14"/>
              </w:rPr>
              <w:t>-</w:t>
            </w:r>
          </w:p>
        </w:tc>
        <w:tc>
          <w:tcPr>
            <w:tcW w:w="590" w:type="dxa"/>
            <w:tcBorders>
              <w:top w:val="single" w:sz="4" w:space="0" w:color="000000"/>
              <w:bottom w:val="single" w:sz="4" w:space="0" w:color="000000"/>
            </w:tcBorders>
          </w:tcPr>
          <w:p>
            <w:pPr>
              <w:pStyle w:val="TableParagraph"/>
              <w:spacing w:before="27"/>
              <w:ind w:right="52"/>
              <w:rPr>
                <w:b/>
                <w:sz w:val="14"/>
              </w:rPr>
            </w:pPr>
            <w:r>
              <w:rPr>
                <w:b/>
                <w:w w:val="99"/>
                <w:sz w:val="14"/>
              </w:rPr>
              <w:t>-</w:t>
            </w:r>
          </w:p>
        </w:tc>
      </w:tr>
      <w:tr>
        <w:trPr>
          <w:trHeight w:val="229" w:hRule="atLeast"/>
        </w:trPr>
        <w:tc>
          <w:tcPr>
            <w:tcW w:w="1186" w:type="dxa"/>
            <w:tcBorders>
              <w:top w:val="single" w:sz="4" w:space="0" w:color="000000"/>
              <w:bottom w:val="single" w:sz="12" w:space="0" w:color="000000"/>
            </w:tcBorders>
          </w:tcPr>
          <w:p>
            <w:pPr>
              <w:pStyle w:val="TableParagraph"/>
              <w:spacing w:before="27"/>
              <w:ind w:left="67"/>
              <w:jc w:val="left"/>
              <w:rPr>
                <w:b/>
                <w:sz w:val="14"/>
              </w:rPr>
            </w:pPr>
            <w:r>
              <w:rPr>
                <w:b/>
                <w:sz w:val="14"/>
              </w:rPr>
              <w:t>Proposed</w:t>
            </w:r>
            <w:r>
              <w:rPr>
                <w:b/>
                <w:spacing w:val="-6"/>
                <w:sz w:val="14"/>
              </w:rPr>
              <w:t> </w:t>
            </w:r>
            <w:r>
              <w:rPr>
                <w:b/>
                <w:spacing w:val="-4"/>
                <w:sz w:val="14"/>
              </w:rPr>
              <w:t>2023</w:t>
            </w:r>
          </w:p>
        </w:tc>
        <w:tc>
          <w:tcPr>
            <w:tcW w:w="669" w:type="dxa"/>
            <w:tcBorders>
              <w:top w:val="single" w:sz="4" w:space="0" w:color="000000"/>
              <w:bottom w:val="single" w:sz="12" w:space="0" w:color="000000"/>
            </w:tcBorders>
          </w:tcPr>
          <w:p>
            <w:pPr>
              <w:pStyle w:val="TableParagraph"/>
              <w:spacing w:before="27"/>
              <w:ind w:right="145"/>
              <w:rPr>
                <w:b/>
                <w:sz w:val="14"/>
              </w:rPr>
            </w:pPr>
            <w:r>
              <w:rPr>
                <w:b/>
                <w:w w:val="99"/>
                <w:sz w:val="14"/>
              </w:rPr>
              <w:t>-</w:t>
            </w:r>
          </w:p>
        </w:tc>
        <w:tc>
          <w:tcPr>
            <w:tcW w:w="593" w:type="dxa"/>
            <w:tcBorders>
              <w:top w:val="single" w:sz="4" w:space="0" w:color="000000"/>
              <w:bottom w:val="single" w:sz="12" w:space="0" w:color="000000"/>
            </w:tcBorders>
          </w:tcPr>
          <w:p>
            <w:pPr>
              <w:pStyle w:val="TableParagraph"/>
              <w:spacing w:before="27"/>
              <w:ind w:right="166"/>
              <w:rPr>
                <w:b/>
                <w:sz w:val="14"/>
              </w:rPr>
            </w:pPr>
            <w:r>
              <w:rPr>
                <w:b/>
                <w:w w:val="99"/>
                <w:sz w:val="14"/>
              </w:rPr>
              <w:t>-</w:t>
            </w:r>
          </w:p>
        </w:tc>
        <w:tc>
          <w:tcPr>
            <w:tcW w:w="553" w:type="dxa"/>
            <w:tcBorders>
              <w:top w:val="single" w:sz="4" w:space="0" w:color="000000"/>
              <w:bottom w:val="single" w:sz="12" w:space="0" w:color="000000"/>
            </w:tcBorders>
          </w:tcPr>
          <w:p>
            <w:pPr>
              <w:pStyle w:val="TableParagraph"/>
              <w:spacing w:before="27"/>
              <w:ind w:right="167"/>
              <w:rPr>
                <w:b/>
                <w:sz w:val="14"/>
              </w:rPr>
            </w:pPr>
            <w:r>
              <w:rPr>
                <w:b/>
                <w:w w:val="99"/>
                <w:sz w:val="14"/>
              </w:rPr>
              <w:t>-</w:t>
            </w:r>
          </w:p>
        </w:tc>
        <w:tc>
          <w:tcPr>
            <w:tcW w:w="569" w:type="dxa"/>
            <w:tcBorders>
              <w:top w:val="single" w:sz="4" w:space="0" w:color="000000"/>
              <w:bottom w:val="single" w:sz="12" w:space="0" w:color="000000"/>
            </w:tcBorders>
          </w:tcPr>
          <w:p>
            <w:pPr>
              <w:pStyle w:val="TableParagraph"/>
              <w:spacing w:before="27"/>
              <w:ind w:right="185"/>
              <w:rPr>
                <w:b/>
                <w:sz w:val="14"/>
              </w:rPr>
            </w:pPr>
            <w:r>
              <w:rPr>
                <w:b/>
                <w:w w:val="99"/>
                <w:sz w:val="14"/>
              </w:rPr>
              <w:t>1</w:t>
            </w:r>
          </w:p>
        </w:tc>
        <w:tc>
          <w:tcPr>
            <w:tcW w:w="572" w:type="dxa"/>
            <w:tcBorders>
              <w:top w:val="single" w:sz="4" w:space="0" w:color="000000"/>
              <w:bottom w:val="single" w:sz="12" w:space="0" w:color="000000"/>
            </w:tcBorders>
          </w:tcPr>
          <w:p>
            <w:pPr>
              <w:pStyle w:val="TableParagraph"/>
              <w:spacing w:before="27"/>
              <w:ind w:right="189"/>
              <w:rPr>
                <w:b/>
                <w:sz w:val="14"/>
              </w:rPr>
            </w:pPr>
            <w:r>
              <w:rPr>
                <w:b/>
                <w:w w:val="99"/>
                <w:sz w:val="14"/>
              </w:rPr>
              <w:t>-</w:t>
            </w:r>
          </w:p>
        </w:tc>
        <w:tc>
          <w:tcPr>
            <w:tcW w:w="555" w:type="dxa"/>
            <w:tcBorders>
              <w:top w:val="single" w:sz="4" w:space="0" w:color="000000"/>
              <w:bottom w:val="single" w:sz="12" w:space="0" w:color="000000"/>
            </w:tcBorders>
          </w:tcPr>
          <w:p>
            <w:pPr>
              <w:pStyle w:val="TableParagraph"/>
              <w:spacing w:before="27"/>
              <w:ind w:left="152"/>
              <w:jc w:val="center"/>
              <w:rPr>
                <w:b/>
                <w:sz w:val="14"/>
              </w:rPr>
            </w:pPr>
            <w:r>
              <w:rPr>
                <w:b/>
                <w:w w:val="99"/>
                <w:sz w:val="14"/>
              </w:rPr>
              <w:t>1</w:t>
            </w:r>
          </w:p>
        </w:tc>
        <w:tc>
          <w:tcPr>
            <w:tcW w:w="682" w:type="dxa"/>
            <w:tcBorders>
              <w:top w:val="single" w:sz="4" w:space="0" w:color="000000"/>
              <w:bottom w:val="single" w:sz="12" w:space="0" w:color="000000"/>
            </w:tcBorders>
          </w:tcPr>
          <w:p>
            <w:pPr>
              <w:pStyle w:val="TableParagraph"/>
              <w:spacing w:before="27"/>
              <w:ind w:right="265"/>
              <w:rPr>
                <w:b/>
                <w:sz w:val="14"/>
              </w:rPr>
            </w:pPr>
            <w:r>
              <w:rPr>
                <w:b/>
                <w:w w:val="99"/>
                <w:sz w:val="14"/>
              </w:rPr>
              <w:t>1</w:t>
            </w:r>
          </w:p>
        </w:tc>
        <w:tc>
          <w:tcPr>
            <w:tcW w:w="653" w:type="dxa"/>
            <w:tcBorders>
              <w:top w:val="single" w:sz="4" w:space="0" w:color="000000"/>
              <w:bottom w:val="single" w:sz="12" w:space="0" w:color="000000"/>
            </w:tcBorders>
          </w:tcPr>
          <w:p>
            <w:pPr>
              <w:pStyle w:val="TableParagraph"/>
              <w:spacing w:before="27"/>
              <w:ind w:right="187"/>
              <w:rPr>
                <w:b/>
                <w:sz w:val="14"/>
              </w:rPr>
            </w:pPr>
            <w:r>
              <w:rPr>
                <w:b/>
                <w:w w:val="99"/>
                <w:sz w:val="14"/>
              </w:rPr>
              <w:t>-</w:t>
            </w:r>
          </w:p>
        </w:tc>
        <w:tc>
          <w:tcPr>
            <w:tcW w:w="453" w:type="dxa"/>
            <w:tcBorders>
              <w:top w:val="single" w:sz="4" w:space="0" w:color="000000"/>
              <w:bottom w:val="single" w:sz="12" w:space="0" w:color="000000"/>
            </w:tcBorders>
          </w:tcPr>
          <w:p>
            <w:pPr>
              <w:pStyle w:val="TableParagraph"/>
              <w:spacing w:before="27"/>
              <w:ind w:right="64"/>
              <w:rPr>
                <w:b/>
                <w:sz w:val="14"/>
              </w:rPr>
            </w:pPr>
            <w:r>
              <w:rPr>
                <w:b/>
                <w:w w:val="99"/>
                <w:sz w:val="14"/>
              </w:rPr>
              <w:t>-</w:t>
            </w:r>
          </w:p>
        </w:tc>
        <w:tc>
          <w:tcPr>
            <w:tcW w:w="784" w:type="dxa"/>
            <w:tcBorders>
              <w:top w:val="single" w:sz="4" w:space="0" w:color="000000"/>
              <w:bottom w:val="single" w:sz="12" w:space="0" w:color="000000"/>
            </w:tcBorders>
          </w:tcPr>
          <w:p>
            <w:pPr>
              <w:pStyle w:val="TableParagraph"/>
              <w:spacing w:before="27"/>
              <w:ind w:right="119"/>
              <w:rPr>
                <w:b/>
                <w:i/>
                <w:sz w:val="14"/>
              </w:rPr>
            </w:pPr>
            <w:r>
              <w:rPr>
                <w:b/>
                <w:i/>
                <w:w w:val="99"/>
                <w:sz w:val="14"/>
              </w:rPr>
              <w:t>3</w:t>
            </w:r>
          </w:p>
        </w:tc>
        <w:tc>
          <w:tcPr>
            <w:tcW w:w="558" w:type="dxa"/>
            <w:tcBorders>
              <w:top w:val="single" w:sz="4" w:space="0" w:color="000000"/>
              <w:bottom w:val="single" w:sz="12" w:space="0" w:color="000000"/>
            </w:tcBorders>
          </w:tcPr>
          <w:p>
            <w:pPr>
              <w:pStyle w:val="TableParagraph"/>
              <w:spacing w:before="27"/>
              <w:ind w:right="95"/>
              <w:rPr>
                <w:b/>
                <w:sz w:val="14"/>
              </w:rPr>
            </w:pPr>
            <w:r>
              <w:rPr>
                <w:b/>
                <w:w w:val="99"/>
                <w:sz w:val="14"/>
              </w:rPr>
              <w:t>-</w:t>
            </w:r>
          </w:p>
        </w:tc>
        <w:tc>
          <w:tcPr>
            <w:tcW w:w="567" w:type="dxa"/>
            <w:tcBorders>
              <w:top w:val="single" w:sz="4" w:space="0" w:color="000000"/>
              <w:bottom w:val="single" w:sz="12" w:space="0" w:color="000000"/>
            </w:tcBorders>
          </w:tcPr>
          <w:p>
            <w:pPr>
              <w:pStyle w:val="TableParagraph"/>
              <w:spacing w:before="27"/>
              <w:ind w:right="76"/>
              <w:rPr>
                <w:b/>
                <w:sz w:val="14"/>
              </w:rPr>
            </w:pPr>
            <w:r>
              <w:rPr>
                <w:b/>
                <w:w w:val="99"/>
                <w:sz w:val="14"/>
              </w:rPr>
              <w:t>-</w:t>
            </w:r>
          </w:p>
        </w:tc>
        <w:tc>
          <w:tcPr>
            <w:tcW w:w="648" w:type="dxa"/>
            <w:tcBorders>
              <w:top w:val="single" w:sz="4" w:space="0" w:color="000000"/>
              <w:bottom w:val="single" w:sz="12" w:space="0" w:color="000000"/>
            </w:tcBorders>
          </w:tcPr>
          <w:p>
            <w:pPr>
              <w:pStyle w:val="TableParagraph"/>
              <w:spacing w:before="27"/>
              <w:ind w:right="149"/>
              <w:rPr>
                <w:b/>
                <w:sz w:val="14"/>
              </w:rPr>
            </w:pPr>
            <w:r>
              <w:rPr>
                <w:b/>
                <w:w w:val="99"/>
                <w:sz w:val="14"/>
              </w:rPr>
              <w:t>1</w:t>
            </w:r>
          </w:p>
        </w:tc>
        <w:tc>
          <w:tcPr>
            <w:tcW w:w="793" w:type="dxa"/>
            <w:tcBorders>
              <w:top w:val="single" w:sz="4" w:space="0" w:color="000000"/>
              <w:bottom w:val="single" w:sz="12" w:space="0" w:color="000000"/>
            </w:tcBorders>
          </w:tcPr>
          <w:p>
            <w:pPr>
              <w:pStyle w:val="TableParagraph"/>
              <w:spacing w:before="27"/>
              <w:ind w:right="212"/>
              <w:rPr>
                <w:b/>
                <w:i/>
                <w:sz w:val="14"/>
              </w:rPr>
            </w:pPr>
            <w:r>
              <w:rPr>
                <w:b/>
                <w:i/>
                <w:w w:val="99"/>
                <w:sz w:val="14"/>
              </w:rPr>
              <w:t>1</w:t>
            </w:r>
          </w:p>
        </w:tc>
        <w:tc>
          <w:tcPr>
            <w:tcW w:w="590" w:type="dxa"/>
            <w:tcBorders>
              <w:top w:val="single" w:sz="4" w:space="0" w:color="000000"/>
              <w:bottom w:val="single" w:sz="12" w:space="0" w:color="000000"/>
            </w:tcBorders>
          </w:tcPr>
          <w:p>
            <w:pPr>
              <w:pStyle w:val="TableParagraph"/>
              <w:spacing w:before="27"/>
              <w:ind w:right="53"/>
              <w:rPr>
                <w:b/>
                <w:sz w:val="14"/>
              </w:rPr>
            </w:pPr>
            <w:r>
              <w:rPr>
                <w:b/>
                <w:w w:val="99"/>
                <w:sz w:val="14"/>
              </w:rPr>
              <w:t>4</w:t>
            </w:r>
          </w:p>
        </w:tc>
      </w:tr>
      <w:tr>
        <w:trPr>
          <w:trHeight w:val="569" w:hRule="atLeast"/>
        </w:trPr>
        <w:tc>
          <w:tcPr>
            <w:tcW w:w="1186" w:type="dxa"/>
            <w:tcBorders>
              <w:top w:val="single" w:sz="12" w:space="0" w:color="000000"/>
            </w:tcBorders>
          </w:tcPr>
          <w:p>
            <w:pPr>
              <w:pStyle w:val="TableParagraph"/>
              <w:spacing w:before="3"/>
              <w:jc w:val="left"/>
              <w:rPr>
                <w:b/>
                <w:sz w:val="19"/>
              </w:rPr>
            </w:pPr>
          </w:p>
          <w:p>
            <w:pPr>
              <w:pStyle w:val="TableParagraph"/>
              <w:spacing w:line="235" w:lineRule="auto"/>
              <w:ind w:left="67" w:right="232"/>
              <w:jc w:val="left"/>
              <w:rPr>
                <w:b/>
                <w:sz w:val="14"/>
              </w:rPr>
            </w:pPr>
            <w:r>
              <w:rPr>
                <w:b/>
                <w:sz w:val="14"/>
              </w:rPr>
              <w:t>GTA</w:t>
            </w:r>
            <w:r>
              <w:rPr>
                <w:b/>
                <w:spacing w:val="-9"/>
                <w:sz w:val="14"/>
              </w:rPr>
              <w:t> </w:t>
            </w:r>
            <w:r>
              <w:rPr>
                <w:b/>
                <w:sz w:val="14"/>
              </w:rPr>
              <w:t>Positions</w:t>
            </w:r>
            <w:r>
              <w:rPr>
                <w:b/>
                <w:spacing w:val="40"/>
                <w:sz w:val="14"/>
              </w:rPr>
              <w:t> </w:t>
            </w:r>
            <w:r>
              <w:rPr>
                <w:b/>
                <w:spacing w:val="-2"/>
                <w:sz w:val="14"/>
              </w:rPr>
              <w:t>(FTE)</w:t>
            </w:r>
          </w:p>
        </w:tc>
        <w:tc>
          <w:tcPr>
            <w:tcW w:w="669" w:type="dxa"/>
            <w:tcBorders>
              <w:top w:val="single" w:sz="12" w:space="0" w:color="000000"/>
            </w:tcBorders>
          </w:tcPr>
          <w:p>
            <w:pPr>
              <w:pStyle w:val="TableParagraph"/>
              <w:jc w:val="left"/>
              <w:rPr>
                <w:sz w:val="14"/>
              </w:rPr>
            </w:pPr>
          </w:p>
        </w:tc>
        <w:tc>
          <w:tcPr>
            <w:tcW w:w="593" w:type="dxa"/>
            <w:tcBorders>
              <w:top w:val="single" w:sz="12" w:space="0" w:color="000000"/>
            </w:tcBorders>
          </w:tcPr>
          <w:p>
            <w:pPr>
              <w:pStyle w:val="TableParagraph"/>
              <w:jc w:val="left"/>
              <w:rPr>
                <w:sz w:val="14"/>
              </w:rPr>
            </w:pPr>
          </w:p>
        </w:tc>
        <w:tc>
          <w:tcPr>
            <w:tcW w:w="553" w:type="dxa"/>
            <w:tcBorders>
              <w:top w:val="single" w:sz="12" w:space="0" w:color="000000"/>
            </w:tcBorders>
          </w:tcPr>
          <w:p>
            <w:pPr>
              <w:pStyle w:val="TableParagraph"/>
              <w:jc w:val="left"/>
              <w:rPr>
                <w:sz w:val="14"/>
              </w:rPr>
            </w:pPr>
          </w:p>
        </w:tc>
        <w:tc>
          <w:tcPr>
            <w:tcW w:w="569" w:type="dxa"/>
            <w:tcBorders>
              <w:top w:val="single" w:sz="12" w:space="0" w:color="000000"/>
            </w:tcBorders>
          </w:tcPr>
          <w:p>
            <w:pPr>
              <w:pStyle w:val="TableParagraph"/>
              <w:jc w:val="left"/>
              <w:rPr>
                <w:sz w:val="14"/>
              </w:rPr>
            </w:pPr>
          </w:p>
        </w:tc>
        <w:tc>
          <w:tcPr>
            <w:tcW w:w="572" w:type="dxa"/>
            <w:tcBorders>
              <w:top w:val="single" w:sz="12" w:space="0" w:color="000000"/>
            </w:tcBorders>
          </w:tcPr>
          <w:p>
            <w:pPr>
              <w:pStyle w:val="TableParagraph"/>
              <w:jc w:val="left"/>
              <w:rPr>
                <w:sz w:val="14"/>
              </w:rPr>
            </w:pPr>
          </w:p>
        </w:tc>
        <w:tc>
          <w:tcPr>
            <w:tcW w:w="555" w:type="dxa"/>
            <w:tcBorders>
              <w:top w:val="single" w:sz="12" w:space="0" w:color="000000"/>
            </w:tcBorders>
          </w:tcPr>
          <w:p>
            <w:pPr>
              <w:pStyle w:val="TableParagraph"/>
              <w:jc w:val="left"/>
              <w:rPr>
                <w:sz w:val="14"/>
              </w:rPr>
            </w:pPr>
          </w:p>
        </w:tc>
        <w:tc>
          <w:tcPr>
            <w:tcW w:w="682" w:type="dxa"/>
            <w:tcBorders>
              <w:top w:val="single" w:sz="12" w:space="0" w:color="000000"/>
            </w:tcBorders>
          </w:tcPr>
          <w:p>
            <w:pPr>
              <w:pStyle w:val="TableParagraph"/>
              <w:jc w:val="left"/>
              <w:rPr>
                <w:sz w:val="14"/>
              </w:rPr>
            </w:pPr>
          </w:p>
        </w:tc>
        <w:tc>
          <w:tcPr>
            <w:tcW w:w="653" w:type="dxa"/>
            <w:tcBorders>
              <w:top w:val="single" w:sz="12" w:space="0" w:color="000000"/>
            </w:tcBorders>
          </w:tcPr>
          <w:p>
            <w:pPr>
              <w:pStyle w:val="TableParagraph"/>
              <w:jc w:val="left"/>
              <w:rPr>
                <w:sz w:val="14"/>
              </w:rPr>
            </w:pPr>
          </w:p>
        </w:tc>
        <w:tc>
          <w:tcPr>
            <w:tcW w:w="453" w:type="dxa"/>
            <w:tcBorders>
              <w:top w:val="single" w:sz="12" w:space="0" w:color="000000"/>
            </w:tcBorders>
          </w:tcPr>
          <w:p>
            <w:pPr>
              <w:pStyle w:val="TableParagraph"/>
              <w:jc w:val="left"/>
              <w:rPr>
                <w:sz w:val="14"/>
              </w:rPr>
            </w:pPr>
          </w:p>
        </w:tc>
        <w:tc>
          <w:tcPr>
            <w:tcW w:w="784" w:type="dxa"/>
            <w:tcBorders>
              <w:top w:val="single" w:sz="12" w:space="0" w:color="000000"/>
            </w:tcBorders>
          </w:tcPr>
          <w:p>
            <w:pPr>
              <w:pStyle w:val="TableParagraph"/>
              <w:jc w:val="left"/>
              <w:rPr>
                <w:sz w:val="14"/>
              </w:rPr>
            </w:pPr>
          </w:p>
        </w:tc>
        <w:tc>
          <w:tcPr>
            <w:tcW w:w="558" w:type="dxa"/>
            <w:tcBorders>
              <w:top w:val="single" w:sz="12" w:space="0" w:color="000000"/>
            </w:tcBorders>
          </w:tcPr>
          <w:p>
            <w:pPr>
              <w:pStyle w:val="TableParagraph"/>
              <w:jc w:val="left"/>
              <w:rPr>
                <w:sz w:val="14"/>
              </w:rPr>
            </w:pPr>
          </w:p>
        </w:tc>
        <w:tc>
          <w:tcPr>
            <w:tcW w:w="567" w:type="dxa"/>
            <w:tcBorders>
              <w:top w:val="single" w:sz="12" w:space="0" w:color="000000"/>
            </w:tcBorders>
          </w:tcPr>
          <w:p>
            <w:pPr>
              <w:pStyle w:val="TableParagraph"/>
              <w:jc w:val="left"/>
              <w:rPr>
                <w:sz w:val="14"/>
              </w:rPr>
            </w:pPr>
          </w:p>
        </w:tc>
        <w:tc>
          <w:tcPr>
            <w:tcW w:w="648" w:type="dxa"/>
            <w:tcBorders>
              <w:top w:val="single" w:sz="12" w:space="0" w:color="000000"/>
            </w:tcBorders>
          </w:tcPr>
          <w:p>
            <w:pPr>
              <w:pStyle w:val="TableParagraph"/>
              <w:jc w:val="left"/>
              <w:rPr>
                <w:sz w:val="14"/>
              </w:rPr>
            </w:pPr>
          </w:p>
        </w:tc>
        <w:tc>
          <w:tcPr>
            <w:tcW w:w="793" w:type="dxa"/>
            <w:tcBorders>
              <w:top w:val="single" w:sz="12" w:space="0" w:color="000000"/>
            </w:tcBorders>
          </w:tcPr>
          <w:p>
            <w:pPr>
              <w:pStyle w:val="TableParagraph"/>
              <w:jc w:val="left"/>
              <w:rPr>
                <w:sz w:val="14"/>
              </w:rPr>
            </w:pPr>
          </w:p>
        </w:tc>
        <w:tc>
          <w:tcPr>
            <w:tcW w:w="590" w:type="dxa"/>
            <w:tcBorders>
              <w:top w:val="single" w:sz="12" w:space="0" w:color="000000"/>
            </w:tcBorders>
          </w:tcPr>
          <w:p>
            <w:pPr>
              <w:pStyle w:val="TableParagraph"/>
              <w:jc w:val="left"/>
              <w:rPr>
                <w:sz w:val="14"/>
              </w:rPr>
            </w:pPr>
          </w:p>
        </w:tc>
      </w:tr>
      <w:tr>
        <w:trPr>
          <w:trHeight w:val="207" w:hRule="atLeast"/>
        </w:trPr>
        <w:tc>
          <w:tcPr>
            <w:tcW w:w="1186" w:type="dxa"/>
            <w:tcBorders>
              <w:bottom w:val="single" w:sz="12" w:space="0" w:color="000000"/>
            </w:tcBorders>
          </w:tcPr>
          <w:p>
            <w:pPr>
              <w:pStyle w:val="TableParagraph"/>
              <w:spacing w:before="5"/>
              <w:ind w:left="67"/>
              <w:jc w:val="left"/>
              <w:rPr>
                <w:sz w:val="14"/>
              </w:rPr>
            </w:pPr>
            <w:r>
              <w:rPr>
                <w:w w:val="95"/>
                <w:sz w:val="14"/>
              </w:rPr>
              <w:t>Approved</w:t>
            </w:r>
            <w:r>
              <w:rPr>
                <w:spacing w:val="22"/>
                <w:sz w:val="14"/>
              </w:rPr>
              <w:t> </w:t>
            </w:r>
            <w:r>
              <w:rPr>
                <w:spacing w:val="-4"/>
                <w:sz w:val="14"/>
              </w:rPr>
              <w:t>2022</w:t>
            </w:r>
          </w:p>
        </w:tc>
        <w:tc>
          <w:tcPr>
            <w:tcW w:w="669" w:type="dxa"/>
            <w:tcBorders>
              <w:bottom w:val="single" w:sz="12" w:space="0" w:color="000000"/>
            </w:tcBorders>
          </w:tcPr>
          <w:p>
            <w:pPr>
              <w:pStyle w:val="TableParagraph"/>
              <w:spacing w:before="5"/>
              <w:ind w:right="145"/>
              <w:rPr>
                <w:b/>
                <w:sz w:val="14"/>
              </w:rPr>
            </w:pPr>
            <w:r>
              <w:rPr>
                <w:b/>
                <w:w w:val="99"/>
                <w:sz w:val="14"/>
              </w:rPr>
              <w:t>-</w:t>
            </w:r>
          </w:p>
        </w:tc>
        <w:tc>
          <w:tcPr>
            <w:tcW w:w="593" w:type="dxa"/>
            <w:tcBorders>
              <w:bottom w:val="single" w:sz="12" w:space="0" w:color="000000"/>
            </w:tcBorders>
          </w:tcPr>
          <w:p>
            <w:pPr>
              <w:pStyle w:val="TableParagraph"/>
              <w:spacing w:before="5"/>
              <w:ind w:right="166"/>
              <w:rPr>
                <w:b/>
                <w:sz w:val="14"/>
              </w:rPr>
            </w:pPr>
            <w:r>
              <w:rPr>
                <w:b/>
                <w:w w:val="99"/>
                <w:sz w:val="14"/>
              </w:rPr>
              <w:t>-</w:t>
            </w:r>
          </w:p>
        </w:tc>
        <w:tc>
          <w:tcPr>
            <w:tcW w:w="553" w:type="dxa"/>
            <w:tcBorders>
              <w:bottom w:val="single" w:sz="12" w:space="0" w:color="000000"/>
            </w:tcBorders>
          </w:tcPr>
          <w:p>
            <w:pPr>
              <w:pStyle w:val="TableParagraph"/>
              <w:spacing w:before="5"/>
              <w:ind w:right="167"/>
              <w:rPr>
                <w:b/>
                <w:sz w:val="14"/>
              </w:rPr>
            </w:pPr>
            <w:r>
              <w:rPr>
                <w:b/>
                <w:w w:val="99"/>
                <w:sz w:val="14"/>
              </w:rPr>
              <w:t>-</w:t>
            </w:r>
          </w:p>
        </w:tc>
        <w:tc>
          <w:tcPr>
            <w:tcW w:w="569" w:type="dxa"/>
            <w:tcBorders>
              <w:bottom w:val="single" w:sz="12" w:space="0" w:color="000000"/>
            </w:tcBorders>
          </w:tcPr>
          <w:p>
            <w:pPr>
              <w:pStyle w:val="TableParagraph"/>
              <w:spacing w:before="5"/>
              <w:ind w:right="184"/>
              <w:rPr>
                <w:b/>
                <w:sz w:val="14"/>
              </w:rPr>
            </w:pPr>
            <w:r>
              <w:rPr>
                <w:b/>
                <w:w w:val="99"/>
                <w:sz w:val="14"/>
              </w:rPr>
              <w:t>-</w:t>
            </w:r>
          </w:p>
        </w:tc>
        <w:tc>
          <w:tcPr>
            <w:tcW w:w="572" w:type="dxa"/>
            <w:tcBorders>
              <w:bottom w:val="single" w:sz="12" w:space="0" w:color="000000"/>
            </w:tcBorders>
          </w:tcPr>
          <w:p>
            <w:pPr>
              <w:pStyle w:val="TableParagraph"/>
              <w:spacing w:before="5"/>
              <w:ind w:right="189"/>
              <w:rPr>
                <w:b/>
                <w:sz w:val="14"/>
              </w:rPr>
            </w:pPr>
            <w:r>
              <w:rPr>
                <w:b/>
                <w:w w:val="99"/>
                <w:sz w:val="14"/>
              </w:rPr>
              <w:t>-</w:t>
            </w:r>
          </w:p>
        </w:tc>
        <w:tc>
          <w:tcPr>
            <w:tcW w:w="555" w:type="dxa"/>
            <w:tcBorders>
              <w:bottom w:val="single" w:sz="12" w:space="0" w:color="000000"/>
            </w:tcBorders>
          </w:tcPr>
          <w:p>
            <w:pPr>
              <w:pStyle w:val="TableParagraph"/>
              <w:spacing w:before="5"/>
              <w:ind w:left="176"/>
              <w:jc w:val="center"/>
              <w:rPr>
                <w:b/>
                <w:sz w:val="14"/>
              </w:rPr>
            </w:pPr>
            <w:r>
              <w:rPr>
                <w:b/>
                <w:w w:val="99"/>
                <w:sz w:val="14"/>
              </w:rPr>
              <w:t>-</w:t>
            </w:r>
          </w:p>
        </w:tc>
        <w:tc>
          <w:tcPr>
            <w:tcW w:w="682" w:type="dxa"/>
            <w:tcBorders>
              <w:bottom w:val="single" w:sz="12" w:space="0" w:color="000000"/>
            </w:tcBorders>
          </w:tcPr>
          <w:p>
            <w:pPr>
              <w:pStyle w:val="TableParagraph"/>
              <w:spacing w:before="5"/>
              <w:ind w:right="265"/>
              <w:rPr>
                <w:sz w:val="14"/>
              </w:rPr>
            </w:pPr>
            <w:r>
              <w:rPr>
                <w:spacing w:val="-4"/>
                <w:sz w:val="14"/>
              </w:rPr>
              <w:t>1.00</w:t>
            </w:r>
          </w:p>
        </w:tc>
        <w:tc>
          <w:tcPr>
            <w:tcW w:w="653" w:type="dxa"/>
            <w:tcBorders>
              <w:bottom w:val="single" w:sz="12" w:space="0" w:color="000000"/>
            </w:tcBorders>
          </w:tcPr>
          <w:p>
            <w:pPr>
              <w:pStyle w:val="TableParagraph"/>
              <w:spacing w:before="5"/>
              <w:ind w:right="187"/>
              <w:rPr>
                <w:sz w:val="14"/>
              </w:rPr>
            </w:pPr>
            <w:r>
              <w:rPr>
                <w:w w:val="99"/>
                <w:sz w:val="14"/>
              </w:rPr>
              <w:t>-</w:t>
            </w:r>
          </w:p>
        </w:tc>
        <w:tc>
          <w:tcPr>
            <w:tcW w:w="453" w:type="dxa"/>
            <w:tcBorders>
              <w:bottom w:val="single" w:sz="12" w:space="0" w:color="000000"/>
            </w:tcBorders>
          </w:tcPr>
          <w:p>
            <w:pPr>
              <w:pStyle w:val="TableParagraph"/>
              <w:spacing w:before="5"/>
              <w:ind w:right="64"/>
              <w:rPr>
                <w:sz w:val="14"/>
              </w:rPr>
            </w:pPr>
            <w:r>
              <w:rPr>
                <w:w w:val="99"/>
                <w:sz w:val="14"/>
              </w:rPr>
              <w:t>-</w:t>
            </w:r>
          </w:p>
        </w:tc>
        <w:tc>
          <w:tcPr>
            <w:tcW w:w="784" w:type="dxa"/>
            <w:tcBorders>
              <w:bottom w:val="single" w:sz="12" w:space="0" w:color="000000"/>
            </w:tcBorders>
          </w:tcPr>
          <w:p>
            <w:pPr>
              <w:pStyle w:val="TableParagraph"/>
              <w:spacing w:before="5"/>
              <w:ind w:right="120"/>
              <w:rPr>
                <w:i/>
                <w:sz w:val="14"/>
              </w:rPr>
            </w:pPr>
            <w:r>
              <w:rPr>
                <w:i/>
                <w:spacing w:val="-4"/>
                <w:sz w:val="14"/>
              </w:rPr>
              <w:t>1.00</w:t>
            </w:r>
          </w:p>
        </w:tc>
        <w:tc>
          <w:tcPr>
            <w:tcW w:w="558" w:type="dxa"/>
            <w:tcBorders>
              <w:bottom w:val="single" w:sz="12" w:space="0" w:color="000000"/>
            </w:tcBorders>
          </w:tcPr>
          <w:p>
            <w:pPr>
              <w:pStyle w:val="TableParagraph"/>
              <w:spacing w:before="5"/>
              <w:ind w:right="95"/>
              <w:rPr>
                <w:sz w:val="14"/>
              </w:rPr>
            </w:pPr>
            <w:r>
              <w:rPr>
                <w:w w:val="99"/>
                <w:sz w:val="14"/>
              </w:rPr>
              <w:t>-</w:t>
            </w:r>
          </w:p>
        </w:tc>
        <w:tc>
          <w:tcPr>
            <w:tcW w:w="567" w:type="dxa"/>
            <w:tcBorders>
              <w:bottom w:val="single" w:sz="12" w:space="0" w:color="000000"/>
            </w:tcBorders>
          </w:tcPr>
          <w:p>
            <w:pPr>
              <w:pStyle w:val="TableParagraph"/>
              <w:spacing w:before="5"/>
              <w:ind w:right="76"/>
              <w:rPr>
                <w:b/>
                <w:sz w:val="14"/>
              </w:rPr>
            </w:pPr>
            <w:r>
              <w:rPr>
                <w:b/>
                <w:w w:val="99"/>
                <w:sz w:val="14"/>
              </w:rPr>
              <w:t>-</w:t>
            </w:r>
          </w:p>
        </w:tc>
        <w:tc>
          <w:tcPr>
            <w:tcW w:w="648" w:type="dxa"/>
            <w:tcBorders>
              <w:bottom w:val="single" w:sz="12" w:space="0" w:color="000000"/>
            </w:tcBorders>
          </w:tcPr>
          <w:p>
            <w:pPr>
              <w:pStyle w:val="TableParagraph"/>
              <w:spacing w:before="5"/>
              <w:ind w:right="148"/>
              <w:rPr>
                <w:b/>
                <w:sz w:val="14"/>
              </w:rPr>
            </w:pPr>
            <w:r>
              <w:rPr>
                <w:b/>
                <w:w w:val="99"/>
                <w:sz w:val="14"/>
              </w:rPr>
              <w:t>-</w:t>
            </w:r>
          </w:p>
        </w:tc>
        <w:tc>
          <w:tcPr>
            <w:tcW w:w="793" w:type="dxa"/>
            <w:tcBorders>
              <w:bottom w:val="single" w:sz="12" w:space="0" w:color="000000"/>
            </w:tcBorders>
          </w:tcPr>
          <w:p>
            <w:pPr>
              <w:pStyle w:val="TableParagraph"/>
              <w:spacing w:before="5"/>
              <w:ind w:right="211"/>
              <w:rPr>
                <w:b/>
                <w:i/>
                <w:sz w:val="14"/>
              </w:rPr>
            </w:pPr>
            <w:r>
              <w:rPr>
                <w:b/>
                <w:i/>
                <w:w w:val="99"/>
                <w:sz w:val="14"/>
              </w:rPr>
              <w:t>-</w:t>
            </w:r>
          </w:p>
        </w:tc>
        <w:tc>
          <w:tcPr>
            <w:tcW w:w="590" w:type="dxa"/>
            <w:tcBorders>
              <w:bottom w:val="single" w:sz="12" w:space="0" w:color="000000"/>
            </w:tcBorders>
          </w:tcPr>
          <w:p>
            <w:pPr>
              <w:pStyle w:val="TableParagraph"/>
              <w:spacing w:before="5"/>
              <w:ind w:right="53"/>
              <w:rPr>
                <w:b/>
                <w:sz w:val="14"/>
              </w:rPr>
            </w:pPr>
            <w:r>
              <w:rPr>
                <w:b/>
                <w:spacing w:val="-4"/>
                <w:sz w:val="14"/>
              </w:rPr>
              <w:t>1.00</w:t>
            </w:r>
          </w:p>
        </w:tc>
      </w:tr>
      <w:tr>
        <w:trPr>
          <w:trHeight w:val="224" w:hRule="atLeast"/>
        </w:trPr>
        <w:tc>
          <w:tcPr>
            <w:tcW w:w="1186" w:type="dxa"/>
            <w:tcBorders>
              <w:top w:val="single" w:sz="12" w:space="0" w:color="000000"/>
              <w:bottom w:val="single" w:sz="4" w:space="0" w:color="000000"/>
            </w:tcBorders>
          </w:tcPr>
          <w:p>
            <w:pPr>
              <w:pStyle w:val="TableParagraph"/>
              <w:spacing w:before="22"/>
              <w:ind w:left="67"/>
              <w:jc w:val="left"/>
              <w:rPr>
                <w:sz w:val="14"/>
              </w:rPr>
            </w:pPr>
            <w:r>
              <w:rPr>
                <w:spacing w:val="-2"/>
                <w:sz w:val="14"/>
              </w:rPr>
              <w:t>Continued</w:t>
            </w:r>
          </w:p>
        </w:tc>
        <w:tc>
          <w:tcPr>
            <w:tcW w:w="669" w:type="dxa"/>
            <w:tcBorders>
              <w:top w:val="single" w:sz="12" w:space="0" w:color="000000"/>
              <w:bottom w:val="single" w:sz="4" w:space="0" w:color="000000"/>
            </w:tcBorders>
          </w:tcPr>
          <w:p>
            <w:pPr>
              <w:pStyle w:val="TableParagraph"/>
              <w:spacing w:before="22"/>
              <w:ind w:right="145"/>
              <w:rPr>
                <w:b/>
                <w:sz w:val="14"/>
              </w:rPr>
            </w:pPr>
            <w:r>
              <w:rPr>
                <w:b/>
                <w:w w:val="99"/>
                <w:sz w:val="14"/>
              </w:rPr>
              <w:t>-</w:t>
            </w:r>
          </w:p>
        </w:tc>
        <w:tc>
          <w:tcPr>
            <w:tcW w:w="593" w:type="dxa"/>
            <w:tcBorders>
              <w:top w:val="single" w:sz="12" w:space="0" w:color="000000"/>
              <w:bottom w:val="single" w:sz="4" w:space="0" w:color="000000"/>
            </w:tcBorders>
          </w:tcPr>
          <w:p>
            <w:pPr>
              <w:pStyle w:val="TableParagraph"/>
              <w:spacing w:before="22"/>
              <w:ind w:right="166"/>
              <w:rPr>
                <w:b/>
                <w:sz w:val="14"/>
              </w:rPr>
            </w:pPr>
            <w:r>
              <w:rPr>
                <w:b/>
                <w:w w:val="99"/>
                <w:sz w:val="14"/>
              </w:rPr>
              <w:t>-</w:t>
            </w:r>
          </w:p>
        </w:tc>
        <w:tc>
          <w:tcPr>
            <w:tcW w:w="553" w:type="dxa"/>
            <w:tcBorders>
              <w:top w:val="single" w:sz="12" w:space="0" w:color="000000"/>
              <w:bottom w:val="single" w:sz="4" w:space="0" w:color="000000"/>
            </w:tcBorders>
          </w:tcPr>
          <w:p>
            <w:pPr>
              <w:pStyle w:val="TableParagraph"/>
              <w:spacing w:before="22"/>
              <w:ind w:right="167"/>
              <w:rPr>
                <w:b/>
                <w:sz w:val="14"/>
              </w:rPr>
            </w:pPr>
            <w:r>
              <w:rPr>
                <w:b/>
                <w:w w:val="99"/>
                <w:sz w:val="14"/>
              </w:rPr>
              <w:t>-</w:t>
            </w:r>
          </w:p>
        </w:tc>
        <w:tc>
          <w:tcPr>
            <w:tcW w:w="569" w:type="dxa"/>
            <w:tcBorders>
              <w:top w:val="single" w:sz="12" w:space="0" w:color="000000"/>
              <w:bottom w:val="single" w:sz="4" w:space="0" w:color="000000"/>
            </w:tcBorders>
          </w:tcPr>
          <w:p>
            <w:pPr>
              <w:pStyle w:val="TableParagraph"/>
              <w:spacing w:before="22"/>
              <w:ind w:right="184"/>
              <w:rPr>
                <w:b/>
                <w:sz w:val="14"/>
              </w:rPr>
            </w:pPr>
            <w:r>
              <w:rPr>
                <w:b/>
                <w:w w:val="99"/>
                <w:sz w:val="14"/>
              </w:rPr>
              <w:t>-</w:t>
            </w:r>
          </w:p>
        </w:tc>
        <w:tc>
          <w:tcPr>
            <w:tcW w:w="572" w:type="dxa"/>
            <w:tcBorders>
              <w:top w:val="single" w:sz="12" w:space="0" w:color="000000"/>
              <w:bottom w:val="single" w:sz="4" w:space="0" w:color="000000"/>
            </w:tcBorders>
          </w:tcPr>
          <w:p>
            <w:pPr>
              <w:pStyle w:val="TableParagraph"/>
              <w:spacing w:before="22"/>
              <w:ind w:right="189"/>
              <w:rPr>
                <w:b/>
                <w:sz w:val="14"/>
              </w:rPr>
            </w:pPr>
            <w:r>
              <w:rPr>
                <w:b/>
                <w:w w:val="99"/>
                <w:sz w:val="14"/>
              </w:rPr>
              <w:t>-</w:t>
            </w:r>
          </w:p>
        </w:tc>
        <w:tc>
          <w:tcPr>
            <w:tcW w:w="555" w:type="dxa"/>
            <w:tcBorders>
              <w:top w:val="single" w:sz="12" w:space="0" w:color="000000"/>
              <w:bottom w:val="single" w:sz="4" w:space="0" w:color="000000"/>
            </w:tcBorders>
          </w:tcPr>
          <w:p>
            <w:pPr>
              <w:pStyle w:val="TableParagraph"/>
              <w:spacing w:before="22"/>
              <w:ind w:left="176"/>
              <w:jc w:val="center"/>
              <w:rPr>
                <w:b/>
                <w:sz w:val="14"/>
              </w:rPr>
            </w:pPr>
            <w:r>
              <w:rPr>
                <w:b/>
                <w:w w:val="99"/>
                <w:sz w:val="14"/>
              </w:rPr>
              <w:t>-</w:t>
            </w:r>
          </w:p>
        </w:tc>
        <w:tc>
          <w:tcPr>
            <w:tcW w:w="682" w:type="dxa"/>
            <w:tcBorders>
              <w:top w:val="single" w:sz="12" w:space="0" w:color="000000"/>
              <w:bottom w:val="single" w:sz="4" w:space="0" w:color="000000"/>
            </w:tcBorders>
          </w:tcPr>
          <w:p>
            <w:pPr>
              <w:pStyle w:val="TableParagraph"/>
              <w:spacing w:before="22"/>
              <w:ind w:right="265"/>
              <w:rPr>
                <w:sz w:val="14"/>
              </w:rPr>
            </w:pPr>
            <w:r>
              <w:rPr>
                <w:spacing w:val="-4"/>
                <w:sz w:val="14"/>
              </w:rPr>
              <w:t>1.00</w:t>
            </w:r>
          </w:p>
        </w:tc>
        <w:tc>
          <w:tcPr>
            <w:tcW w:w="653" w:type="dxa"/>
            <w:tcBorders>
              <w:top w:val="single" w:sz="12" w:space="0" w:color="000000"/>
              <w:bottom w:val="single" w:sz="4" w:space="0" w:color="000000"/>
            </w:tcBorders>
          </w:tcPr>
          <w:p>
            <w:pPr>
              <w:pStyle w:val="TableParagraph"/>
              <w:spacing w:before="22"/>
              <w:ind w:right="187"/>
              <w:rPr>
                <w:sz w:val="14"/>
              </w:rPr>
            </w:pPr>
            <w:r>
              <w:rPr>
                <w:w w:val="99"/>
                <w:sz w:val="14"/>
              </w:rPr>
              <w:t>-</w:t>
            </w:r>
          </w:p>
        </w:tc>
        <w:tc>
          <w:tcPr>
            <w:tcW w:w="453" w:type="dxa"/>
            <w:tcBorders>
              <w:top w:val="single" w:sz="12" w:space="0" w:color="000000"/>
              <w:bottom w:val="single" w:sz="4" w:space="0" w:color="000000"/>
            </w:tcBorders>
          </w:tcPr>
          <w:p>
            <w:pPr>
              <w:pStyle w:val="TableParagraph"/>
              <w:spacing w:before="22"/>
              <w:ind w:right="64"/>
              <w:rPr>
                <w:sz w:val="14"/>
              </w:rPr>
            </w:pPr>
            <w:r>
              <w:rPr>
                <w:w w:val="99"/>
                <w:sz w:val="14"/>
              </w:rPr>
              <w:t>-</w:t>
            </w:r>
          </w:p>
        </w:tc>
        <w:tc>
          <w:tcPr>
            <w:tcW w:w="784" w:type="dxa"/>
            <w:tcBorders>
              <w:top w:val="single" w:sz="12" w:space="0" w:color="000000"/>
              <w:bottom w:val="single" w:sz="4" w:space="0" w:color="000000"/>
            </w:tcBorders>
          </w:tcPr>
          <w:p>
            <w:pPr>
              <w:pStyle w:val="TableParagraph"/>
              <w:spacing w:before="22"/>
              <w:ind w:right="120"/>
              <w:rPr>
                <w:i/>
                <w:sz w:val="14"/>
              </w:rPr>
            </w:pPr>
            <w:r>
              <w:rPr>
                <w:i/>
                <w:spacing w:val="-4"/>
                <w:sz w:val="14"/>
              </w:rPr>
              <w:t>1.00</w:t>
            </w:r>
          </w:p>
        </w:tc>
        <w:tc>
          <w:tcPr>
            <w:tcW w:w="558" w:type="dxa"/>
            <w:tcBorders>
              <w:top w:val="single" w:sz="12" w:space="0" w:color="000000"/>
              <w:bottom w:val="single" w:sz="4" w:space="0" w:color="000000"/>
            </w:tcBorders>
          </w:tcPr>
          <w:p>
            <w:pPr>
              <w:pStyle w:val="TableParagraph"/>
              <w:spacing w:before="22"/>
              <w:ind w:right="95"/>
              <w:rPr>
                <w:sz w:val="14"/>
              </w:rPr>
            </w:pPr>
            <w:r>
              <w:rPr>
                <w:w w:val="99"/>
                <w:sz w:val="14"/>
              </w:rPr>
              <w:t>-</w:t>
            </w:r>
          </w:p>
        </w:tc>
        <w:tc>
          <w:tcPr>
            <w:tcW w:w="567" w:type="dxa"/>
            <w:tcBorders>
              <w:top w:val="single" w:sz="12" w:space="0" w:color="000000"/>
              <w:bottom w:val="single" w:sz="4" w:space="0" w:color="000000"/>
            </w:tcBorders>
          </w:tcPr>
          <w:p>
            <w:pPr>
              <w:pStyle w:val="TableParagraph"/>
              <w:spacing w:before="22"/>
              <w:ind w:right="76"/>
              <w:rPr>
                <w:b/>
                <w:sz w:val="14"/>
              </w:rPr>
            </w:pPr>
            <w:r>
              <w:rPr>
                <w:b/>
                <w:w w:val="99"/>
                <w:sz w:val="14"/>
              </w:rPr>
              <w:t>-</w:t>
            </w:r>
          </w:p>
        </w:tc>
        <w:tc>
          <w:tcPr>
            <w:tcW w:w="648" w:type="dxa"/>
            <w:tcBorders>
              <w:top w:val="single" w:sz="12" w:space="0" w:color="000000"/>
              <w:bottom w:val="single" w:sz="4" w:space="0" w:color="000000"/>
            </w:tcBorders>
          </w:tcPr>
          <w:p>
            <w:pPr>
              <w:pStyle w:val="TableParagraph"/>
              <w:spacing w:before="22"/>
              <w:ind w:right="148"/>
              <w:rPr>
                <w:b/>
                <w:sz w:val="14"/>
              </w:rPr>
            </w:pPr>
            <w:r>
              <w:rPr>
                <w:b/>
                <w:w w:val="99"/>
                <w:sz w:val="14"/>
              </w:rPr>
              <w:t>-</w:t>
            </w:r>
          </w:p>
        </w:tc>
        <w:tc>
          <w:tcPr>
            <w:tcW w:w="793" w:type="dxa"/>
            <w:tcBorders>
              <w:top w:val="single" w:sz="12" w:space="0" w:color="000000"/>
              <w:bottom w:val="single" w:sz="4" w:space="0" w:color="000000"/>
            </w:tcBorders>
          </w:tcPr>
          <w:p>
            <w:pPr>
              <w:pStyle w:val="TableParagraph"/>
              <w:spacing w:before="22"/>
              <w:ind w:right="211"/>
              <w:rPr>
                <w:b/>
                <w:i/>
                <w:sz w:val="14"/>
              </w:rPr>
            </w:pPr>
            <w:r>
              <w:rPr>
                <w:b/>
                <w:i/>
                <w:w w:val="99"/>
                <w:sz w:val="14"/>
              </w:rPr>
              <w:t>-</w:t>
            </w:r>
          </w:p>
        </w:tc>
        <w:tc>
          <w:tcPr>
            <w:tcW w:w="590" w:type="dxa"/>
            <w:tcBorders>
              <w:top w:val="single" w:sz="12" w:space="0" w:color="000000"/>
              <w:bottom w:val="single" w:sz="4" w:space="0" w:color="000000"/>
            </w:tcBorders>
          </w:tcPr>
          <w:p>
            <w:pPr>
              <w:pStyle w:val="TableParagraph"/>
              <w:spacing w:before="22"/>
              <w:ind w:right="53"/>
              <w:rPr>
                <w:b/>
                <w:sz w:val="14"/>
              </w:rPr>
            </w:pPr>
            <w:r>
              <w:rPr>
                <w:b/>
                <w:spacing w:val="-4"/>
                <w:sz w:val="14"/>
              </w:rPr>
              <w:t>1.00</w:t>
            </w:r>
          </w:p>
        </w:tc>
      </w:tr>
      <w:tr>
        <w:trPr>
          <w:trHeight w:val="230" w:hRule="atLeast"/>
        </w:trPr>
        <w:tc>
          <w:tcPr>
            <w:tcW w:w="1186" w:type="dxa"/>
            <w:tcBorders>
              <w:top w:val="single" w:sz="4" w:space="0" w:color="000000"/>
              <w:bottom w:val="single" w:sz="4" w:space="0" w:color="000000"/>
            </w:tcBorders>
          </w:tcPr>
          <w:p>
            <w:pPr>
              <w:pStyle w:val="TableParagraph"/>
              <w:spacing w:before="27"/>
              <w:ind w:left="67"/>
              <w:jc w:val="left"/>
              <w:rPr>
                <w:sz w:val="14"/>
              </w:rPr>
            </w:pPr>
            <w:r>
              <w:rPr>
                <w:spacing w:val="-5"/>
                <w:sz w:val="14"/>
              </w:rPr>
              <w:t>New</w:t>
            </w:r>
          </w:p>
        </w:tc>
        <w:tc>
          <w:tcPr>
            <w:tcW w:w="669" w:type="dxa"/>
            <w:tcBorders>
              <w:top w:val="single" w:sz="4" w:space="0" w:color="000000"/>
              <w:bottom w:val="single" w:sz="4" w:space="0" w:color="000000"/>
            </w:tcBorders>
          </w:tcPr>
          <w:p>
            <w:pPr>
              <w:pStyle w:val="TableParagraph"/>
              <w:spacing w:before="27"/>
              <w:ind w:right="145"/>
              <w:rPr>
                <w:sz w:val="14"/>
              </w:rPr>
            </w:pPr>
            <w:r>
              <w:rPr>
                <w:w w:val="99"/>
                <w:sz w:val="14"/>
              </w:rPr>
              <w:t>-</w:t>
            </w:r>
          </w:p>
        </w:tc>
        <w:tc>
          <w:tcPr>
            <w:tcW w:w="593" w:type="dxa"/>
            <w:tcBorders>
              <w:top w:val="single" w:sz="4" w:space="0" w:color="000000"/>
              <w:bottom w:val="single" w:sz="4" w:space="0" w:color="000000"/>
            </w:tcBorders>
          </w:tcPr>
          <w:p>
            <w:pPr>
              <w:pStyle w:val="TableParagraph"/>
              <w:spacing w:before="27"/>
              <w:ind w:right="166"/>
              <w:rPr>
                <w:sz w:val="14"/>
              </w:rPr>
            </w:pPr>
            <w:r>
              <w:rPr>
                <w:w w:val="99"/>
                <w:sz w:val="14"/>
              </w:rPr>
              <w:t>-</w:t>
            </w:r>
          </w:p>
        </w:tc>
        <w:tc>
          <w:tcPr>
            <w:tcW w:w="553" w:type="dxa"/>
            <w:tcBorders>
              <w:top w:val="single" w:sz="4" w:space="0" w:color="000000"/>
              <w:bottom w:val="single" w:sz="4" w:space="0" w:color="000000"/>
            </w:tcBorders>
          </w:tcPr>
          <w:p>
            <w:pPr>
              <w:pStyle w:val="TableParagraph"/>
              <w:spacing w:before="27"/>
              <w:ind w:right="167"/>
              <w:rPr>
                <w:sz w:val="14"/>
              </w:rPr>
            </w:pPr>
            <w:r>
              <w:rPr>
                <w:w w:val="99"/>
                <w:sz w:val="14"/>
              </w:rPr>
              <w:t>-</w:t>
            </w:r>
          </w:p>
        </w:tc>
        <w:tc>
          <w:tcPr>
            <w:tcW w:w="569" w:type="dxa"/>
            <w:tcBorders>
              <w:top w:val="single" w:sz="4" w:space="0" w:color="000000"/>
              <w:bottom w:val="single" w:sz="4" w:space="0" w:color="000000"/>
            </w:tcBorders>
          </w:tcPr>
          <w:p>
            <w:pPr>
              <w:pStyle w:val="TableParagraph"/>
              <w:spacing w:before="27"/>
              <w:ind w:right="184"/>
              <w:rPr>
                <w:sz w:val="14"/>
              </w:rPr>
            </w:pPr>
            <w:r>
              <w:rPr>
                <w:w w:val="99"/>
                <w:sz w:val="14"/>
              </w:rPr>
              <w:t>-</w:t>
            </w:r>
          </w:p>
        </w:tc>
        <w:tc>
          <w:tcPr>
            <w:tcW w:w="572" w:type="dxa"/>
            <w:tcBorders>
              <w:top w:val="single" w:sz="4" w:space="0" w:color="000000"/>
              <w:bottom w:val="single" w:sz="4" w:space="0" w:color="000000"/>
            </w:tcBorders>
          </w:tcPr>
          <w:p>
            <w:pPr>
              <w:pStyle w:val="TableParagraph"/>
              <w:spacing w:before="27"/>
              <w:ind w:right="189"/>
              <w:rPr>
                <w:sz w:val="14"/>
              </w:rPr>
            </w:pPr>
            <w:r>
              <w:rPr>
                <w:w w:val="99"/>
                <w:sz w:val="14"/>
              </w:rPr>
              <w:t>-</w:t>
            </w:r>
          </w:p>
        </w:tc>
        <w:tc>
          <w:tcPr>
            <w:tcW w:w="555" w:type="dxa"/>
            <w:tcBorders>
              <w:top w:val="single" w:sz="4" w:space="0" w:color="000000"/>
              <w:bottom w:val="single" w:sz="4" w:space="0" w:color="000000"/>
            </w:tcBorders>
          </w:tcPr>
          <w:p>
            <w:pPr>
              <w:pStyle w:val="TableParagraph"/>
              <w:spacing w:before="27"/>
              <w:ind w:left="176"/>
              <w:jc w:val="center"/>
              <w:rPr>
                <w:sz w:val="14"/>
              </w:rPr>
            </w:pPr>
            <w:r>
              <w:rPr>
                <w:w w:val="99"/>
                <w:sz w:val="14"/>
              </w:rPr>
              <w:t>-</w:t>
            </w:r>
          </w:p>
        </w:tc>
        <w:tc>
          <w:tcPr>
            <w:tcW w:w="682" w:type="dxa"/>
            <w:tcBorders>
              <w:top w:val="single" w:sz="4" w:space="0" w:color="000000"/>
              <w:bottom w:val="single" w:sz="4" w:space="0" w:color="000000"/>
            </w:tcBorders>
          </w:tcPr>
          <w:p>
            <w:pPr>
              <w:pStyle w:val="TableParagraph"/>
              <w:spacing w:before="27"/>
              <w:ind w:right="264"/>
              <w:rPr>
                <w:sz w:val="14"/>
              </w:rPr>
            </w:pPr>
            <w:r>
              <w:rPr>
                <w:w w:val="99"/>
                <w:sz w:val="14"/>
              </w:rPr>
              <w:t>-</w:t>
            </w:r>
          </w:p>
        </w:tc>
        <w:tc>
          <w:tcPr>
            <w:tcW w:w="653" w:type="dxa"/>
            <w:tcBorders>
              <w:top w:val="single" w:sz="4" w:space="0" w:color="000000"/>
              <w:bottom w:val="single" w:sz="4" w:space="0" w:color="000000"/>
            </w:tcBorders>
          </w:tcPr>
          <w:p>
            <w:pPr>
              <w:pStyle w:val="TableParagraph"/>
              <w:spacing w:before="27"/>
              <w:ind w:right="187"/>
              <w:rPr>
                <w:sz w:val="14"/>
              </w:rPr>
            </w:pPr>
            <w:r>
              <w:rPr>
                <w:w w:val="99"/>
                <w:sz w:val="14"/>
              </w:rPr>
              <w:t>-</w:t>
            </w:r>
          </w:p>
        </w:tc>
        <w:tc>
          <w:tcPr>
            <w:tcW w:w="453" w:type="dxa"/>
            <w:tcBorders>
              <w:top w:val="single" w:sz="4" w:space="0" w:color="000000"/>
              <w:bottom w:val="single" w:sz="4" w:space="0" w:color="000000"/>
            </w:tcBorders>
          </w:tcPr>
          <w:p>
            <w:pPr>
              <w:pStyle w:val="TableParagraph"/>
              <w:spacing w:before="27"/>
              <w:ind w:right="64"/>
              <w:rPr>
                <w:sz w:val="14"/>
              </w:rPr>
            </w:pPr>
            <w:r>
              <w:rPr>
                <w:w w:val="99"/>
                <w:sz w:val="14"/>
              </w:rPr>
              <w:t>-</w:t>
            </w:r>
          </w:p>
        </w:tc>
        <w:tc>
          <w:tcPr>
            <w:tcW w:w="784" w:type="dxa"/>
            <w:tcBorders>
              <w:top w:val="single" w:sz="4" w:space="0" w:color="000000"/>
              <w:bottom w:val="single" w:sz="4" w:space="0" w:color="000000"/>
            </w:tcBorders>
          </w:tcPr>
          <w:p>
            <w:pPr>
              <w:pStyle w:val="TableParagraph"/>
              <w:spacing w:before="27"/>
              <w:ind w:right="118"/>
              <w:rPr>
                <w:i/>
                <w:sz w:val="14"/>
              </w:rPr>
            </w:pPr>
            <w:r>
              <w:rPr>
                <w:i/>
                <w:w w:val="99"/>
                <w:sz w:val="14"/>
              </w:rPr>
              <w:t>-</w:t>
            </w:r>
          </w:p>
        </w:tc>
        <w:tc>
          <w:tcPr>
            <w:tcW w:w="558" w:type="dxa"/>
            <w:tcBorders>
              <w:top w:val="single" w:sz="4" w:space="0" w:color="000000"/>
              <w:bottom w:val="single" w:sz="4" w:space="0" w:color="000000"/>
            </w:tcBorders>
          </w:tcPr>
          <w:p>
            <w:pPr>
              <w:pStyle w:val="TableParagraph"/>
              <w:spacing w:before="27"/>
              <w:ind w:right="95"/>
              <w:rPr>
                <w:sz w:val="14"/>
              </w:rPr>
            </w:pPr>
            <w:r>
              <w:rPr>
                <w:w w:val="99"/>
                <w:sz w:val="14"/>
              </w:rPr>
              <w:t>-</w:t>
            </w:r>
          </w:p>
        </w:tc>
        <w:tc>
          <w:tcPr>
            <w:tcW w:w="567" w:type="dxa"/>
            <w:tcBorders>
              <w:top w:val="single" w:sz="4" w:space="0" w:color="000000"/>
              <w:bottom w:val="single" w:sz="4" w:space="0" w:color="000000"/>
            </w:tcBorders>
          </w:tcPr>
          <w:p>
            <w:pPr>
              <w:pStyle w:val="TableParagraph"/>
              <w:spacing w:before="27"/>
              <w:ind w:right="76"/>
              <w:rPr>
                <w:sz w:val="14"/>
              </w:rPr>
            </w:pPr>
            <w:r>
              <w:rPr>
                <w:w w:val="99"/>
                <w:sz w:val="14"/>
              </w:rPr>
              <w:t>-</w:t>
            </w:r>
          </w:p>
        </w:tc>
        <w:tc>
          <w:tcPr>
            <w:tcW w:w="648" w:type="dxa"/>
            <w:tcBorders>
              <w:top w:val="single" w:sz="4" w:space="0" w:color="000000"/>
              <w:bottom w:val="single" w:sz="4" w:space="0" w:color="000000"/>
            </w:tcBorders>
          </w:tcPr>
          <w:p>
            <w:pPr>
              <w:pStyle w:val="TableParagraph"/>
              <w:spacing w:before="27"/>
              <w:ind w:right="148"/>
              <w:rPr>
                <w:sz w:val="14"/>
              </w:rPr>
            </w:pPr>
            <w:r>
              <w:rPr>
                <w:w w:val="99"/>
                <w:sz w:val="14"/>
              </w:rPr>
              <w:t>-</w:t>
            </w:r>
          </w:p>
        </w:tc>
        <w:tc>
          <w:tcPr>
            <w:tcW w:w="793" w:type="dxa"/>
            <w:tcBorders>
              <w:top w:val="single" w:sz="4" w:space="0" w:color="000000"/>
              <w:bottom w:val="single" w:sz="4" w:space="0" w:color="000000"/>
            </w:tcBorders>
          </w:tcPr>
          <w:p>
            <w:pPr>
              <w:pStyle w:val="TableParagraph"/>
              <w:spacing w:before="27"/>
              <w:ind w:right="211"/>
              <w:rPr>
                <w:i/>
                <w:sz w:val="14"/>
              </w:rPr>
            </w:pPr>
            <w:r>
              <w:rPr>
                <w:i/>
                <w:w w:val="99"/>
                <w:sz w:val="14"/>
              </w:rPr>
              <w:t>-</w:t>
            </w:r>
          </w:p>
        </w:tc>
        <w:tc>
          <w:tcPr>
            <w:tcW w:w="590" w:type="dxa"/>
            <w:tcBorders>
              <w:top w:val="single" w:sz="4" w:space="0" w:color="000000"/>
              <w:bottom w:val="single" w:sz="4" w:space="0" w:color="000000"/>
            </w:tcBorders>
          </w:tcPr>
          <w:p>
            <w:pPr>
              <w:pStyle w:val="TableParagraph"/>
              <w:spacing w:before="27"/>
              <w:ind w:right="52"/>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2"/>
              <w:ind w:left="67"/>
              <w:jc w:val="left"/>
              <w:rPr>
                <w:sz w:val="14"/>
              </w:rPr>
            </w:pPr>
            <w:r>
              <w:rPr>
                <w:spacing w:val="-2"/>
                <w:sz w:val="14"/>
              </w:rPr>
              <w:t>Redeployed</w:t>
            </w:r>
          </w:p>
        </w:tc>
        <w:tc>
          <w:tcPr>
            <w:tcW w:w="669" w:type="dxa"/>
            <w:tcBorders>
              <w:top w:val="single" w:sz="4" w:space="0" w:color="000000"/>
              <w:bottom w:val="single" w:sz="4" w:space="0" w:color="000000"/>
            </w:tcBorders>
          </w:tcPr>
          <w:p>
            <w:pPr>
              <w:pStyle w:val="TableParagraph"/>
              <w:spacing w:before="22"/>
              <w:ind w:right="145"/>
              <w:rPr>
                <w:sz w:val="14"/>
              </w:rPr>
            </w:pPr>
            <w:r>
              <w:rPr>
                <w:w w:val="99"/>
                <w:sz w:val="14"/>
              </w:rPr>
              <w:t>-</w:t>
            </w:r>
          </w:p>
        </w:tc>
        <w:tc>
          <w:tcPr>
            <w:tcW w:w="593" w:type="dxa"/>
            <w:tcBorders>
              <w:top w:val="single" w:sz="4" w:space="0" w:color="000000"/>
              <w:bottom w:val="single" w:sz="4" w:space="0" w:color="000000"/>
            </w:tcBorders>
          </w:tcPr>
          <w:p>
            <w:pPr>
              <w:pStyle w:val="TableParagraph"/>
              <w:spacing w:before="22"/>
              <w:ind w:right="166"/>
              <w:rPr>
                <w:sz w:val="14"/>
              </w:rPr>
            </w:pPr>
            <w:r>
              <w:rPr>
                <w:w w:val="99"/>
                <w:sz w:val="14"/>
              </w:rPr>
              <w:t>-</w:t>
            </w:r>
          </w:p>
        </w:tc>
        <w:tc>
          <w:tcPr>
            <w:tcW w:w="553" w:type="dxa"/>
            <w:tcBorders>
              <w:top w:val="single" w:sz="4" w:space="0" w:color="000000"/>
              <w:bottom w:val="single" w:sz="4" w:space="0" w:color="000000"/>
            </w:tcBorders>
          </w:tcPr>
          <w:p>
            <w:pPr>
              <w:pStyle w:val="TableParagraph"/>
              <w:spacing w:before="22"/>
              <w:ind w:right="167"/>
              <w:rPr>
                <w:sz w:val="14"/>
              </w:rPr>
            </w:pPr>
            <w:r>
              <w:rPr>
                <w:w w:val="99"/>
                <w:sz w:val="14"/>
              </w:rPr>
              <w:t>-</w:t>
            </w:r>
          </w:p>
        </w:tc>
        <w:tc>
          <w:tcPr>
            <w:tcW w:w="569" w:type="dxa"/>
            <w:tcBorders>
              <w:top w:val="single" w:sz="4" w:space="0" w:color="000000"/>
              <w:bottom w:val="single" w:sz="4" w:space="0" w:color="000000"/>
            </w:tcBorders>
          </w:tcPr>
          <w:p>
            <w:pPr>
              <w:pStyle w:val="TableParagraph"/>
              <w:spacing w:before="22"/>
              <w:ind w:right="184"/>
              <w:rPr>
                <w:sz w:val="14"/>
              </w:rPr>
            </w:pPr>
            <w:r>
              <w:rPr>
                <w:w w:val="99"/>
                <w:sz w:val="14"/>
              </w:rPr>
              <w:t>-</w:t>
            </w:r>
          </w:p>
        </w:tc>
        <w:tc>
          <w:tcPr>
            <w:tcW w:w="572" w:type="dxa"/>
            <w:tcBorders>
              <w:top w:val="single" w:sz="4" w:space="0" w:color="000000"/>
              <w:bottom w:val="single" w:sz="4" w:space="0" w:color="000000"/>
            </w:tcBorders>
          </w:tcPr>
          <w:p>
            <w:pPr>
              <w:pStyle w:val="TableParagraph"/>
              <w:spacing w:before="22"/>
              <w:ind w:right="189"/>
              <w:rPr>
                <w:sz w:val="14"/>
              </w:rPr>
            </w:pPr>
            <w:r>
              <w:rPr>
                <w:w w:val="99"/>
                <w:sz w:val="14"/>
              </w:rPr>
              <w:t>-</w:t>
            </w:r>
          </w:p>
        </w:tc>
        <w:tc>
          <w:tcPr>
            <w:tcW w:w="555" w:type="dxa"/>
            <w:tcBorders>
              <w:top w:val="single" w:sz="4" w:space="0" w:color="000000"/>
              <w:bottom w:val="single" w:sz="4" w:space="0" w:color="000000"/>
            </w:tcBorders>
          </w:tcPr>
          <w:p>
            <w:pPr>
              <w:pStyle w:val="TableParagraph"/>
              <w:spacing w:before="22"/>
              <w:ind w:left="176"/>
              <w:jc w:val="center"/>
              <w:rPr>
                <w:sz w:val="14"/>
              </w:rPr>
            </w:pPr>
            <w:r>
              <w:rPr>
                <w:w w:val="99"/>
                <w:sz w:val="14"/>
              </w:rPr>
              <w:t>-</w:t>
            </w:r>
          </w:p>
        </w:tc>
        <w:tc>
          <w:tcPr>
            <w:tcW w:w="682" w:type="dxa"/>
            <w:tcBorders>
              <w:top w:val="single" w:sz="4" w:space="0" w:color="000000"/>
              <w:bottom w:val="single" w:sz="4" w:space="0" w:color="000000"/>
            </w:tcBorders>
          </w:tcPr>
          <w:p>
            <w:pPr>
              <w:pStyle w:val="TableParagraph"/>
              <w:spacing w:before="22"/>
              <w:ind w:right="264"/>
              <w:rPr>
                <w:sz w:val="14"/>
              </w:rPr>
            </w:pPr>
            <w:r>
              <w:rPr>
                <w:w w:val="99"/>
                <w:sz w:val="14"/>
              </w:rPr>
              <w:t>-</w:t>
            </w:r>
          </w:p>
        </w:tc>
        <w:tc>
          <w:tcPr>
            <w:tcW w:w="653" w:type="dxa"/>
            <w:tcBorders>
              <w:top w:val="single" w:sz="4" w:space="0" w:color="000000"/>
              <w:bottom w:val="single" w:sz="4" w:space="0" w:color="000000"/>
            </w:tcBorders>
          </w:tcPr>
          <w:p>
            <w:pPr>
              <w:pStyle w:val="TableParagraph"/>
              <w:spacing w:before="22"/>
              <w:ind w:right="187"/>
              <w:rPr>
                <w:sz w:val="14"/>
              </w:rPr>
            </w:pPr>
            <w:r>
              <w:rPr>
                <w:w w:val="99"/>
                <w:sz w:val="14"/>
              </w:rPr>
              <w:t>-</w:t>
            </w:r>
          </w:p>
        </w:tc>
        <w:tc>
          <w:tcPr>
            <w:tcW w:w="453" w:type="dxa"/>
            <w:tcBorders>
              <w:top w:val="single" w:sz="4" w:space="0" w:color="000000"/>
              <w:bottom w:val="single" w:sz="4" w:space="0" w:color="000000"/>
            </w:tcBorders>
          </w:tcPr>
          <w:p>
            <w:pPr>
              <w:pStyle w:val="TableParagraph"/>
              <w:spacing w:before="22"/>
              <w:ind w:right="64"/>
              <w:rPr>
                <w:sz w:val="14"/>
              </w:rPr>
            </w:pPr>
            <w:r>
              <w:rPr>
                <w:w w:val="99"/>
                <w:sz w:val="14"/>
              </w:rPr>
              <w:t>-</w:t>
            </w:r>
          </w:p>
        </w:tc>
        <w:tc>
          <w:tcPr>
            <w:tcW w:w="784" w:type="dxa"/>
            <w:tcBorders>
              <w:top w:val="single" w:sz="4" w:space="0" w:color="000000"/>
              <w:bottom w:val="single" w:sz="4" w:space="0" w:color="000000"/>
            </w:tcBorders>
          </w:tcPr>
          <w:p>
            <w:pPr>
              <w:pStyle w:val="TableParagraph"/>
              <w:spacing w:before="22"/>
              <w:ind w:right="118"/>
              <w:rPr>
                <w:i/>
                <w:sz w:val="14"/>
              </w:rPr>
            </w:pPr>
            <w:r>
              <w:rPr>
                <w:i/>
                <w:w w:val="99"/>
                <w:sz w:val="14"/>
              </w:rPr>
              <w:t>-</w:t>
            </w:r>
          </w:p>
        </w:tc>
        <w:tc>
          <w:tcPr>
            <w:tcW w:w="558" w:type="dxa"/>
            <w:tcBorders>
              <w:top w:val="single" w:sz="4" w:space="0" w:color="000000"/>
              <w:bottom w:val="single" w:sz="4" w:space="0" w:color="000000"/>
            </w:tcBorders>
          </w:tcPr>
          <w:p>
            <w:pPr>
              <w:pStyle w:val="TableParagraph"/>
              <w:spacing w:before="22"/>
              <w:ind w:right="95"/>
              <w:rPr>
                <w:sz w:val="14"/>
              </w:rPr>
            </w:pPr>
            <w:r>
              <w:rPr>
                <w:w w:val="99"/>
                <w:sz w:val="14"/>
              </w:rPr>
              <w:t>-</w:t>
            </w:r>
          </w:p>
        </w:tc>
        <w:tc>
          <w:tcPr>
            <w:tcW w:w="567" w:type="dxa"/>
            <w:tcBorders>
              <w:top w:val="single" w:sz="4" w:space="0" w:color="000000"/>
              <w:bottom w:val="single" w:sz="4" w:space="0" w:color="000000"/>
            </w:tcBorders>
          </w:tcPr>
          <w:p>
            <w:pPr>
              <w:pStyle w:val="TableParagraph"/>
              <w:spacing w:before="22"/>
              <w:ind w:right="76"/>
              <w:rPr>
                <w:sz w:val="14"/>
              </w:rPr>
            </w:pPr>
            <w:r>
              <w:rPr>
                <w:w w:val="99"/>
                <w:sz w:val="14"/>
              </w:rPr>
              <w:t>-</w:t>
            </w:r>
          </w:p>
        </w:tc>
        <w:tc>
          <w:tcPr>
            <w:tcW w:w="648" w:type="dxa"/>
            <w:tcBorders>
              <w:top w:val="single" w:sz="4" w:space="0" w:color="000000"/>
              <w:bottom w:val="single" w:sz="4" w:space="0" w:color="000000"/>
            </w:tcBorders>
          </w:tcPr>
          <w:p>
            <w:pPr>
              <w:pStyle w:val="TableParagraph"/>
              <w:spacing w:before="22"/>
              <w:ind w:right="148"/>
              <w:rPr>
                <w:sz w:val="14"/>
              </w:rPr>
            </w:pPr>
            <w:r>
              <w:rPr>
                <w:w w:val="99"/>
                <w:sz w:val="14"/>
              </w:rPr>
              <w:t>-</w:t>
            </w:r>
          </w:p>
        </w:tc>
        <w:tc>
          <w:tcPr>
            <w:tcW w:w="793" w:type="dxa"/>
            <w:tcBorders>
              <w:top w:val="single" w:sz="4" w:space="0" w:color="000000"/>
              <w:bottom w:val="single" w:sz="4" w:space="0" w:color="000000"/>
            </w:tcBorders>
          </w:tcPr>
          <w:p>
            <w:pPr>
              <w:pStyle w:val="TableParagraph"/>
              <w:spacing w:before="22"/>
              <w:ind w:right="211"/>
              <w:rPr>
                <w:i/>
                <w:sz w:val="14"/>
              </w:rPr>
            </w:pPr>
            <w:r>
              <w:rPr>
                <w:i/>
                <w:w w:val="99"/>
                <w:sz w:val="14"/>
              </w:rPr>
              <w:t>-</w:t>
            </w:r>
          </w:p>
        </w:tc>
        <w:tc>
          <w:tcPr>
            <w:tcW w:w="590" w:type="dxa"/>
            <w:tcBorders>
              <w:top w:val="single" w:sz="4" w:space="0" w:color="000000"/>
              <w:bottom w:val="single" w:sz="4" w:space="0" w:color="000000"/>
            </w:tcBorders>
          </w:tcPr>
          <w:p>
            <w:pPr>
              <w:pStyle w:val="TableParagraph"/>
              <w:spacing w:before="22"/>
              <w:ind w:right="52"/>
              <w:rPr>
                <w:b/>
                <w:sz w:val="14"/>
              </w:rPr>
            </w:pPr>
            <w:r>
              <w:rPr>
                <w:b/>
                <w:w w:val="99"/>
                <w:sz w:val="14"/>
              </w:rPr>
              <w:t>-</w:t>
            </w:r>
          </w:p>
        </w:tc>
      </w:tr>
      <w:tr>
        <w:trPr>
          <w:trHeight w:val="225" w:hRule="atLeast"/>
        </w:trPr>
        <w:tc>
          <w:tcPr>
            <w:tcW w:w="1186" w:type="dxa"/>
            <w:tcBorders>
              <w:top w:val="single" w:sz="4" w:space="0" w:color="000000"/>
              <w:bottom w:val="single" w:sz="4" w:space="0" w:color="000000"/>
            </w:tcBorders>
          </w:tcPr>
          <w:p>
            <w:pPr>
              <w:pStyle w:val="TableParagraph"/>
              <w:spacing w:before="27"/>
              <w:ind w:left="67"/>
              <w:jc w:val="left"/>
              <w:rPr>
                <w:sz w:val="14"/>
              </w:rPr>
            </w:pPr>
            <w:r>
              <w:rPr>
                <w:spacing w:val="-2"/>
                <w:sz w:val="14"/>
              </w:rPr>
              <w:t>Reclassified</w:t>
            </w:r>
          </w:p>
        </w:tc>
        <w:tc>
          <w:tcPr>
            <w:tcW w:w="669" w:type="dxa"/>
            <w:tcBorders>
              <w:top w:val="single" w:sz="4" w:space="0" w:color="000000"/>
              <w:bottom w:val="single" w:sz="4" w:space="0" w:color="000000"/>
            </w:tcBorders>
          </w:tcPr>
          <w:p>
            <w:pPr>
              <w:pStyle w:val="TableParagraph"/>
              <w:spacing w:before="27"/>
              <w:ind w:right="145"/>
              <w:rPr>
                <w:sz w:val="14"/>
              </w:rPr>
            </w:pPr>
            <w:r>
              <w:rPr>
                <w:w w:val="99"/>
                <w:sz w:val="14"/>
              </w:rPr>
              <w:t>-</w:t>
            </w:r>
          </w:p>
        </w:tc>
        <w:tc>
          <w:tcPr>
            <w:tcW w:w="593" w:type="dxa"/>
            <w:tcBorders>
              <w:top w:val="single" w:sz="4" w:space="0" w:color="000000"/>
              <w:bottom w:val="single" w:sz="4" w:space="0" w:color="000000"/>
            </w:tcBorders>
          </w:tcPr>
          <w:p>
            <w:pPr>
              <w:pStyle w:val="TableParagraph"/>
              <w:spacing w:before="27"/>
              <w:ind w:right="166"/>
              <w:rPr>
                <w:sz w:val="14"/>
              </w:rPr>
            </w:pPr>
            <w:r>
              <w:rPr>
                <w:w w:val="99"/>
                <w:sz w:val="14"/>
              </w:rPr>
              <w:t>-</w:t>
            </w:r>
          </w:p>
        </w:tc>
        <w:tc>
          <w:tcPr>
            <w:tcW w:w="553" w:type="dxa"/>
            <w:tcBorders>
              <w:top w:val="single" w:sz="4" w:space="0" w:color="000000"/>
              <w:bottom w:val="single" w:sz="4" w:space="0" w:color="000000"/>
            </w:tcBorders>
          </w:tcPr>
          <w:p>
            <w:pPr>
              <w:pStyle w:val="TableParagraph"/>
              <w:spacing w:before="27"/>
              <w:ind w:right="167"/>
              <w:rPr>
                <w:sz w:val="14"/>
              </w:rPr>
            </w:pPr>
            <w:r>
              <w:rPr>
                <w:w w:val="99"/>
                <w:sz w:val="14"/>
              </w:rPr>
              <w:t>-</w:t>
            </w:r>
          </w:p>
        </w:tc>
        <w:tc>
          <w:tcPr>
            <w:tcW w:w="569" w:type="dxa"/>
            <w:tcBorders>
              <w:top w:val="single" w:sz="4" w:space="0" w:color="000000"/>
              <w:bottom w:val="single" w:sz="4" w:space="0" w:color="000000"/>
            </w:tcBorders>
          </w:tcPr>
          <w:p>
            <w:pPr>
              <w:pStyle w:val="TableParagraph"/>
              <w:spacing w:before="27"/>
              <w:ind w:right="184"/>
              <w:rPr>
                <w:sz w:val="14"/>
              </w:rPr>
            </w:pPr>
            <w:r>
              <w:rPr>
                <w:w w:val="99"/>
                <w:sz w:val="14"/>
              </w:rPr>
              <w:t>-</w:t>
            </w:r>
          </w:p>
        </w:tc>
        <w:tc>
          <w:tcPr>
            <w:tcW w:w="572" w:type="dxa"/>
            <w:tcBorders>
              <w:top w:val="single" w:sz="4" w:space="0" w:color="000000"/>
              <w:bottom w:val="single" w:sz="4" w:space="0" w:color="000000"/>
            </w:tcBorders>
          </w:tcPr>
          <w:p>
            <w:pPr>
              <w:pStyle w:val="TableParagraph"/>
              <w:spacing w:before="27"/>
              <w:ind w:right="189"/>
              <w:rPr>
                <w:sz w:val="14"/>
              </w:rPr>
            </w:pPr>
            <w:r>
              <w:rPr>
                <w:w w:val="99"/>
                <w:sz w:val="14"/>
              </w:rPr>
              <w:t>-</w:t>
            </w:r>
          </w:p>
        </w:tc>
        <w:tc>
          <w:tcPr>
            <w:tcW w:w="555" w:type="dxa"/>
            <w:tcBorders>
              <w:top w:val="single" w:sz="4" w:space="0" w:color="000000"/>
              <w:bottom w:val="single" w:sz="4" w:space="0" w:color="000000"/>
            </w:tcBorders>
          </w:tcPr>
          <w:p>
            <w:pPr>
              <w:pStyle w:val="TableParagraph"/>
              <w:spacing w:before="27"/>
              <w:ind w:left="176"/>
              <w:jc w:val="center"/>
              <w:rPr>
                <w:sz w:val="14"/>
              </w:rPr>
            </w:pPr>
            <w:r>
              <w:rPr>
                <w:w w:val="99"/>
                <w:sz w:val="14"/>
              </w:rPr>
              <w:t>-</w:t>
            </w:r>
          </w:p>
        </w:tc>
        <w:tc>
          <w:tcPr>
            <w:tcW w:w="682" w:type="dxa"/>
            <w:tcBorders>
              <w:top w:val="single" w:sz="4" w:space="0" w:color="000000"/>
              <w:bottom w:val="single" w:sz="4" w:space="0" w:color="000000"/>
            </w:tcBorders>
          </w:tcPr>
          <w:p>
            <w:pPr>
              <w:pStyle w:val="TableParagraph"/>
              <w:spacing w:before="27"/>
              <w:ind w:right="264"/>
              <w:rPr>
                <w:sz w:val="14"/>
              </w:rPr>
            </w:pPr>
            <w:r>
              <w:rPr>
                <w:w w:val="99"/>
                <w:sz w:val="14"/>
              </w:rPr>
              <w:t>-</w:t>
            </w:r>
          </w:p>
        </w:tc>
        <w:tc>
          <w:tcPr>
            <w:tcW w:w="653" w:type="dxa"/>
            <w:tcBorders>
              <w:top w:val="single" w:sz="4" w:space="0" w:color="000000"/>
              <w:bottom w:val="single" w:sz="4" w:space="0" w:color="000000"/>
            </w:tcBorders>
          </w:tcPr>
          <w:p>
            <w:pPr>
              <w:pStyle w:val="TableParagraph"/>
              <w:spacing w:before="27"/>
              <w:ind w:right="187"/>
              <w:rPr>
                <w:sz w:val="14"/>
              </w:rPr>
            </w:pPr>
            <w:r>
              <w:rPr>
                <w:w w:val="99"/>
                <w:sz w:val="14"/>
              </w:rPr>
              <w:t>-</w:t>
            </w:r>
          </w:p>
        </w:tc>
        <w:tc>
          <w:tcPr>
            <w:tcW w:w="453" w:type="dxa"/>
            <w:tcBorders>
              <w:top w:val="single" w:sz="4" w:space="0" w:color="000000"/>
              <w:bottom w:val="single" w:sz="4" w:space="0" w:color="000000"/>
            </w:tcBorders>
          </w:tcPr>
          <w:p>
            <w:pPr>
              <w:pStyle w:val="TableParagraph"/>
              <w:spacing w:before="27"/>
              <w:ind w:right="64"/>
              <w:rPr>
                <w:sz w:val="14"/>
              </w:rPr>
            </w:pPr>
            <w:r>
              <w:rPr>
                <w:w w:val="99"/>
                <w:sz w:val="14"/>
              </w:rPr>
              <w:t>-</w:t>
            </w:r>
          </w:p>
        </w:tc>
        <w:tc>
          <w:tcPr>
            <w:tcW w:w="784" w:type="dxa"/>
            <w:tcBorders>
              <w:top w:val="single" w:sz="4" w:space="0" w:color="000000"/>
              <w:bottom w:val="single" w:sz="4" w:space="0" w:color="000000"/>
            </w:tcBorders>
          </w:tcPr>
          <w:p>
            <w:pPr>
              <w:pStyle w:val="TableParagraph"/>
              <w:spacing w:before="27"/>
              <w:ind w:right="118"/>
              <w:rPr>
                <w:i/>
                <w:sz w:val="14"/>
              </w:rPr>
            </w:pPr>
            <w:r>
              <w:rPr>
                <w:i/>
                <w:w w:val="99"/>
                <w:sz w:val="14"/>
              </w:rPr>
              <w:t>-</w:t>
            </w:r>
          </w:p>
        </w:tc>
        <w:tc>
          <w:tcPr>
            <w:tcW w:w="558" w:type="dxa"/>
            <w:tcBorders>
              <w:top w:val="single" w:sz="4" w:space="0" w:color="000000"/>
              <w:bottom w:val="single" w:sz="4" w:space="0" w:color="000000"/>
            </w:tcBorders>
          </w:tcPr>
          <w:p>
            <w:pPr>
              <w:pStyle w:val="TableParagraph"/>
              <w:spacing w:before="27"/>
              <w:ind w:right="95"/>
              <w:rPr>
                <w:sz w:val="14"/>
              </w:rPr>
            </w:pPr>
            <w:r>
              <w:rPr>
                <w:w w:val="99"/>
                <w:sz w:val="14"/>
              </w:rPr>
              <w:t>-</w:t>
            </w:r>
          </w:p>
        </w:tc>
        <w:tc>
          <w:tcPr>
            <w:tcW w:w="567" w:type="dxa"/>
            <w:tcBorders>
              <w:top w:val="single" w:sz="4" w:space="0" w:color="000000"/>
              <w:bottom w:val="single" w:sz="4" w:space="0" w:color="000000"/>
            </w:tcBorders>
          </w:tcPr>
          <w:p>
            <w:pPr>
              <w:pStyle w:val="TableParagraph"/>
              <w:spacing w:before="27"/>
              <w:ind w:right="76"/>
              <w:rPr>
                <w:sz w:val="14"/>
              </w:rPr>
            </w:pPr>
            <w:r>
              <w:rPr>
                <w:w w:val="99"/>
                <w:sz w:val="14"/>
              </w:rPr>
              <w:t>-</w:t>
            </w:r>
          </w:p>
        </w:tc>
        <w:tc>
          <w:tcPr>
            <w:tcW w:w="648" w:type="dxa"/>
            <w:tcBorders>
              <w:top w:val="single" w:sz="4" w:space="0" w:color="000000"/>
              <w:bottom w:val="single" w:sz="4" w:space="0" w:color="000000"/>
            </w:tcBorders>
          </w:tcPr>
          <w:p>
            <w:pPr>
              <w:pStyle w:val="TableParagraph"/>
              <w:spacing w:before="27"/>
              <w:ind w:right="148"/>
              <w:rPr>
                <w:sz w:val="14"/>
              </w:rPr>
            </w:pPr>
            <w:r>
              <w:rPr>
                <w:w w:val="99"/>
                <w:sz w:val="14"/>
              </w:rPr>
              <w:t>-</w:t>
            </w:r>
          </w:p>
        </w:tc>
        <w:tc>
          <w:tcPr>
            <w:tcW w:w="793" w:type="dxa"/>
            <w:tcBorders>
              <w:top w:val="single" w:sz="4" w:space="0" w:color="000000"/>
              <w:bottom w:val="single" w:sz="4" w:space="0" w:color="000000"/>
            </w:tcBorders>
          </w:tcPr>
          <w:p>
            <w:pPr>
              <w:pStyle w:val="TableParagraph"/>
              <w:spacing w:before="27"/>
              <w:ind w:right="211"/>
              <w:rPr>
                <w:i/>
                <w:sz w:val="14"/>
              </w:rPr>
            </w:pPr>
            <w:r>
              <w:rPr>
                <w:i/>
                <w:w w:val="99"/>
                <w:sz w:val="14"/>
              </w:rPr>
              <w:t>-</w:t>
            </w:r>
          </w:p>
        </w:tc>
        <w:tc>
          <w:tcPr>
            <w:tcW w:w="590" w:type="dxa"/>
            <w:tcBorders>
              <w:top w:val="single" w:sz="4" w:space="0" w:color="000000"/>
              <w:bottom w:val="single" w:sz="4" w:space="0" w:color="000000"/>
            </w:tcBorders>
          </w:tcPr>
          <w:p>
            <w:pPr>
              <w:pStyle w:val="TableParagraph"/>
              <w:spacing w:before="27"/>
              <w:ind w:right="52"/>
              <w:rPr>
                <w:b/>
                <w:sz w:val="14"/>
              </w:rPr>
            </w:pPr>
            <w:r>
              <w:rPr>
                <w:b/>
                <w:w w:val="99"/>
                <w:sz w:val="14"/>
              </w:rPr>
              <w:t>-</w:t>
            </w:r>
          </w:p>
        </w:tc>
      </w:tr>
      <w:tr>
        <w:trPr>
          <w:trHeight w:val="230" w:hRule="atLeast"/>
        </w:trPr>
        <w:tc>
          <w:tcPr>
            <w:tcW w:w="1186" w:type="dxa"/>
            <w:tcBorders>
              <w:top w:val="single" w:sz="4" w:space="0" w:color="000000"/>
              <w:bottom w:val="single" w:sz="4" w:space="0" w:color="000000"/>
            </w:tcBorders>
          </w:tcPr>
          <w:p>
            <w:pPr>
              <w:pStyle w:val="TableParagraph"/>
              <w:spacing w:before="27"/>
              <w:ind w:left="67"/>
              <w:jc w:val="left"/>
              <w:rPr>
                <w:sz w:val="14"/>
              </w:rPr>
            </w:pPr>
            <w:r>
              <w:rPr>
                <w:spacing w:val="-2"/>
                <w:sz w:val="14"/>
              </w:rPr>
              <w:t>Converted</w:t>
            </w:r>
          </w:p>
        </w:tc>
        <w:tc>
          <w:tcPr>
            <w:tcW w:w="669" w:type="dxa"/>
            <w:tcBorders>
              <w:top w:val="single" w:sz="4" w:space="0" w:color="000000"/>
              <w:bottom w:val="single" w:sz="4" w:space="0" w:color="000000"/>
            </w:tcBorders>
          </w:tcPr>
          <w:p>
            <w:pPr>
              <w:pStyle w:val="TableParagraph"/>
              <w:spacing w:before="27"/>
              <w:ind w:right="145"/>
              <w:rPr>
                <w:sz w:val="14"/>
              </w:rPr>
            </w:pPr>
            <w:r>
              <w:rPr>
                <w:w w:val="99"/>
                <w:sz w:val="14"/>
              </w:rPr>
              <w:t>-</w:t>
            </w:r>
          </w:p>
        </w:tc>
        <w:tc>
          <w:tcPr>
            <w:tcW w:w="593" w:type="dxa"/>
            <w:tcBorders>
              <w:top w:val="single" w:sz="4" w:space="0" w:color="000000"/>
              <w:bottom w:val="single" w:sz="4" w:space="0" w:color="000000"/>
            </w:tcBorders>
          </w:tcPr>
          <w:p>
            <w:pPr>
              <w:pStyle w:val="TableParagraph"/>
              <w:spacing w:before="27"/>
              <w:ind w:right="166"/>
              <w:rPr>
                <w:sz w:val="14"/>
              </w:rPr>
            </w:pPr>
            <w:r>
              <w:rPr>
                <w:w w:val="99"/>
                <w:sz w:val="14"/>
              </w:rPr>
              <w:t>-</w:t>
            </w:r>
          </w:p>
        </w:tc>
        <w:tc>
          <w:tcPr>
            <w:tcW w:w="553" w:type="dxa"/>
            <w:tcBorders>
              <w:top w:val="single" w:sz="4" w:space="0" w:color="000000"/>
              <w:bottom w:val="single" w:sz="4" w:space="0" w:color="000000"/>
            </w:tcBorders>
          </w:tcPr>
          <w:p>
            <w:pPr>
              <w:pStyle w:val="TableParagraph"/>
              <w:spacing w:before="27"/>
              <w:ind w:right="167"/>
              <w:rPr>
                <w:sz w:val="14"/>
              </w:rPr>
            </w:pPr>
            <w:r>
              <w:rPr>
                <w:w w:val="99"/>
                <w:sz w:val="14"/>
              </w:rPr>
              <w:t>-</w:t>
            </w:r>
          </w:p>
        </w:tc>
        <w:tc>
          <w:tcPr>
            <w:tcW w:w="569" w:type="dxa"/>
            <w:tcBorders>
              <w:top w:val="single" w:sz="4" w:space="0" w:color="000000"/>
              <w:bottom w:val="single" w:sz="4" w:space="0" w:color="000000"/>
            </w:tcBorders>
          </w:tcPr>
          <w:p>
            <w:pPr>
              <w:pStyle w:val="TableParagraph"/>
              <w:spacing w:before="27"/>
              <w:ind w:right="184"/>
              <w:rPr>
                <w:sz w:val="14"/>
              </w:rPr>
            </w:pPr>
            <w:r>
              <w:rPr>
                <w:w w:val="99"/>
                <w:sz w:val="14"/>
              </w:rPr>
              <w:t>-</w:t>
            </w:r>
          </w:p>
        </w:tc>
        <w:tc>
          <w:tcPr>
            <w:tcW w:w="572" w:type="dxa"/>
            <w:tcBorders>
              <w:top w:val="single" w:sz="4" w:space="0" w:color="000000"/>
              <w:bottom w:val="single" w:sz="4" w:space="0" w:color="000000"/>
            </w:tcBorders>
          </w:tcPr>
          <w:p>
            <w:pPr>
              <w:pStyle w:val="TableParagraph"/>
              <w:spacing w:before="27"/>
              <w:ind w:right="189"/>
              <w:rPr>
                <w:sz w:val="14"/>
              </w:rPr>
            </w:pPr>
            <w:r>
              <w:rPr>
                <w:w w:val="99"/>
                <w:sz w:val="14"/>
              </w:rPr>
              <w:t>-</w:t>
            </w:r>
          </w:p>
        </w:tc>
        <w:tc>
          <w:tcPr>
            <w:tcW w:w="555" w:type="dxa"/>
            <w:tcBorders>
              <w:top w:val="single" w:sz="4" w:space="0" w:color="000000"/>
              <w:bottom w:val="single" w:sz="4" w:space="0" w:color="000000"/>
            </w:tcBorders>
          </w:tcPr>
          <w:p>
            <w:pPr>
              <w:pStyle w:val="TableParagraph"/>
              <w:spacing w:before="27"/>
              <w:ind w:left="176"/>
              <w:jc w:val="center"/>
              <w:rPr>
                <w:sz w:val="14"/>
              </w:rPr>
            </w:pPr>
            <w:r>
              <w:rPr>
                <w:w w:val="99"/>
                <w:sz w:val="14"/>
              </w:rPr>
              <w:t>-</w:t>
            </w:r>
          </w:p>
        </w:tc>
        <w:tc>
          <w:tcPr>
            <w:tcW w:w="682" w:type="dxa"/>
            <w:tcBorders>
              <w:top w:val="single" w:sz="4" w:space="0" w:color="000000"/>
              <w:bottom w:val="single" w:sz="4" w:space="0" w:color="000000"/>
            </w:tcBorders>
          </w:tcPr>
          <w:p>
            <w:pPr>
              <w:pStyle w:val="TableParagraph"/>
              <w:spacing w:before="27"/>
              <w:ind w:right="264"/>
              <w:rPr>
                <w:sz w:val="14"/>
              </w:rPr>
            </w:pPr>
            <w:r>
              <w:rPr>
                <w:w w:val="99"/>
                <w:sz w:val="14"/>
              </w:rPr>
              <w:t>-</w:t>
            </w:r>
          </w:p>
        </w:tc>
        <w:tc>
          <w:tcPr>
            <w:tcW w:w="653" w:type="dxa"/>
            <w:tcBorders>
              <w:top w:val="single" w:sz="4" w:space="0" w:color="000000"/>
              <w:bottom w:val="single" w:sz="4" w:space="0" w:color="000000"/>
            </w:tcBorders>
          </w:tcPr>
          <w:p>
            <w:pPr>
              <w:pStyle w:val="TableParagraph"/>
              <w:spacing w:before="27"/>
              <w:ind w:right="187"/>
              <w:rPr>
                <w:sz w:val="14"/>
              </w:rPr>
            </w:pPr>
            <w:r>
              <w:rPr>
                <w:w w:val="99"/>
                <w:sz w:val="14"/>
              </w:rPr>
              <w:t>-</w:t>
            </w:r>
          </w:p>
        </w:tc>
        <w:tc>
          <w:tcPr>
            <w:tcW w:w="453" w:type="dxa"/>
            <w:tcBorders>
              <w:top w:val="single" w:sz="4" w:space="0" w:color="000000"/>
              <w:bottom w:val="single" w:sz="4" w:space="0" w:color="000000"/>
            </w:tcBorders>
          </w:tcPr>
          <w:p>
            <w:pPr>
              <w:pStyle w:val="TableParagraph"/>
              <w:spacing w:before="27"/>
              <w:ind w:right="64"/>
              <w:rPr>
                <w:sz w:val="14"/>
              </w:rPr>
            </w:pPr>
            <w:r>
              <w:rPr>
                <w:w w:val="99"/>
                <w:sz w:val="14"/>
              </w:rPr>
              <w:t>-</w:t>
            </w:r>
          </w:p>
        </w:tc>
        <w:tc>
          <w:tcPr>
            <w:tcW w:w="784" w:type="dxa"/>
            <w:tcBorders>
              <w:top w:val="single" w:sz="4" w:space="0" w:color="000000"/>
              <w:bottom w:val="single" w:sz="4" w:space="0" w:color="000000"/>
            </w:tcBorders>
          </w:tcPr>
          <w:p>
            <w:pPr>
              <w:pStyle w:val="TableParagraph"/>
              <w:spacing w:before="27"/>
              <w:ind w:right="118"/>
              <w:rPr>
                <w:i/>
                <w:sz w:val="14"/>
              </w:rPr>
            </w:pPr>
            <w:r>
              <w:rPr>
                <w:i/>
                <w:w w:val="99"/>
                <w:sz w:val="14"/>
              </w:rPr>
              <w:t>-</w:t>
            </w:r>
          </w:p>
        </w:tc>
        <w:tc>
          <w:tcPr>
            <w:tcW w:w="558" w:type="dxa"/>
            <w:tcBorders>
              <w:top w:val="single" w:sz="4" w:space="0" w:color="000000"/>
              <w:bottom w:val="single" w:sz="4" w:space="0" w:color="000000"/>
            </w:tcBorders>
          </w:tcPr>
          <w:p>
            <w:pPr>
              <w:pStyle w:val="TableParagraph"/>
              <w:spacing w:before="27"/>
              <w:ind w:right="95"/>
              <w:rPr>
                <w:sz w:val="14"/>
              </w:rPr>
            </w:pPr>
            <w:r>
              <w:rPr>
                <w:w w:val="99"/>
                <w:sz w:val="14"/>
              </w:rPr>
              <w:t>-</w:t>
            </w:r>
          </w:p>
        </w:tc>
        <w:tc>
          <w:tcPr>
            <w:tcW w:w="567" w:type="dxa"/>
            <w:tcBorders>
              <w:top w:val="single" w:sz="4" w:space="0" w:color="000000"/>
              <w:bottom w:val="single" w:sz="4" w:space="0" w:color="000000"/>
            </w:tcBorders>
          </w:tcPr>
          <w:p>
            <w:pPr>
              <w:pStyle w:val="TableParagraph"/>
              <w:spacing w:before="27"/>
              <w:ind w:right="76"/>
              <w:rPr>
                <w:sz w:val="14"/>
              </w:rPr>
            </w:pPr>
            <w:r>
              <w:rPr>
                <w:w w:val="99"/>
                <w:sz w:val="14"/>
              </w:rPr>
              <w:t>-</w:t>
            </w:r>
          </w:p>
        </w:tc>
        <w:tc>
          <w:tcPr>
            <w:tcW w:w="648" w:type="dxa"/>
            <w:tcBorders>
              <w:top w:val="single" w:sz="4" w:space="0" w:color="000000"/>
              <w:bottom w:val="single" w:sz="4" w:space="0" w:color="000000"/>
            </w:tcBorders>
          </w:tcPr>
          <w:p>
            <w:pPr>
              <w:pStyle w:val="TableParagraph"/>
              <w:spacing w:before="27"/>
              <w:ind w:right="148"/>
              <w:rPr>
                <w:sz w:val="14"/>
              </w:rPr>
            </w:pPr>
            <w:r>
              <w:rPr>
                <w:w w:val="99"/>
                <w:sz w:val="14"/>
              </w:rPr>
              <w:t>-</w:t>
            </w:r>
          </w:p>
        </w:tc>
        <w:tc>
          <w:tcPr>
            <w:tcW w:w="793" w:type="dxa"/>
            <w:tcBorders>
              <w:top w:val="single" w:sz="4" w:space="0" w:color="000000"/>
              <w:bottom w:val="single" w:sz="4" w:space="0" w:color="000000"/>
            </w:tcBorders>
          </w:tcPr>
          <w:p>
            <w:pPr>
              <w:pStyle w:val="TableParagraph"/>
              <w:spacing w:before="27"/>
              <w:ind w:right="211"/>
              <w:rPr>
                <w:i/>
                <w:sz w:val="14"/>
              </w:rPr>
            </w:pPr>
            <w:r>
              <w:rPr>
                <w:i/>
                <w:w w:val="99"/>
                <w:sz w:val="14"/>
              </w:rPr>
              <w:t>-</w:t>
            </w:r>
          </w:p>
        </w:tc>
        <w:tc>
          <w:tcPr>
            <w:tcW w:w="590" w:type="dxa"/>
            <w:tcBorders>
              <w:top w:val="single" w:sz="4" w:space="0" w:color="000000"/>
              <w:bottom w:val="single" w:sz="4" w:space="0" w:color="000000"/>
            </w:tcBorders>
          </w:tcPr>
          <w:p>
            <w:pPr>
              <w:pStyle w:val="TableParagraph"/>
              <w:spacing w:before="27"/>
              <w:ind w:right="52"/>
              <w:rPr>
                <w:b/>
                <w:sz w:val="14"/>
              </w:rPr>
            </w:pPr>
            <w:r>
              <w:rPr>
                <w:b/>
                <w:w w:val="99"/>
                <w:sz w:val="14"/>
              </w:rPr>
              <w:t>-</w:t>
            </w:r>
          </w:p>
        </w:tc>
      </w:tr>
      <w:tr>
        <w:trPr>
          <w:trHeight w:val="224" w:hRule="atLeast"/>
        </w:trPr>
        <w:tc>
          <w:tcPr>
            <w:tcW w:w="1186" w:type="dxa"/>
            <w:tcBorders>
              <w:top w:val="single" w:sz="4" w:space="0" w:color="000000"/>
              <w:bottom w:val="single" w:sz="12" w:space="0" w:color="000000"/>
            </w:tcBorders>
          </w:tcPr>
          <w:p>
            <w:pPr>
              <w:pStyle w:val="TableParagraph"/>
              <w:spacing w:before="22"/>
              <w:ind w:left="67"/>
              <w:jc w:val="left"/>
              <w:rPr>
                <w:b/>
                <w:sz w:val="14"/>
              </w:rPr>
            </w:pPr>
            <w:r>
              <w:rPr>
                <w:b/>
                <w:sz w:val="14"/>
              </w:rPr>
              <w:t>Proposed</w:t>
            </w:r>
            <w:r>
              <w:rPr>
                <w:b/>
                <w:spacing w:val="-6"/>
                <w:sz w:val="14"/>
              </w:rPr>
              <w:t> </w:t>
            </w:r>
            <w:r>
              <w:rPr>
                <w:b/>
                <w:spacing w:val="-4"/>
                <w:sz w:val="14"/>
              </w:rPr>
              <w:t>2023</w:t>
            </w:r>
          </w:p>
        </w:tc>
        <w:tc>
          <w:tcPr>
            <w:tcW w:w="669" w:type="dxa"/>
            <w:tcBorders>
              <w:top w:val="single" w:sz="4" w:space="0" w:color="000000"/>
              <w:bottom w:val="single" w:sz="12" w:space="0" w:color="000000"/>
            </w:tcBorders>
          </w:tcPr>
          <w:p>
            <w:pPr>
              <w:pStyle w:val="TableParagraph"/>
              <w:spacing w:before="22"/>
              <w:ind w:right="145"/>
              <w:rPr>
                <w:b/>
                <w:sz w:val="14"/>
              </w:rPr>
            </w:pPr>
            <w:r>
              <w:rPr>
                <w:b/>
                <w:w w:val="99"/>
                <w:sz w:val="14"/>
              </w:rPr>
              <w:t>-</w:t>
            </w:r>
          </w:p>
        </w:tc>
        <w:tc>
          <w:tcPr>
            <w:tcW w:w="593" w:type="dxa"/>
            <w:tcBorders>
              <w:top w:val="single" w:sz="4" w:space="0" w:color="000000"/>
              <w:bottom w:val="single" w:sz="12" w:space="0" w:color="000000"/>
            </w:tcBorders>
          </w:tcPr>
          <w:p>
            <w:pPr>
              <w:pStyle w:val="TableParagraph"/>
              <w:spacing w:before="22"/>
              <w:ind w:right="166"/>
              <w:rPr>
                <w:b/>
                <w:sz w:val="14"/>
              </w:rPr>
            </w:pPr>
            <w:r>
              <w:rPr>
                <w:b/>
                <w:w w:val="99"/>
                <w:sz w:val="14"/>
              </w:rPr>
              <w:t>-</w:t>
            </w:r>
          </w:p>
        </w:tc>
        <w:tc>
          <w:tcPr>
            <w:tcW w:w="553" w:type="dxa"/>
            <w:tcBorders>
              <w:top w:val="single" w:sz="4" w:space="0" w:color="000000"/>
              <w:bottom w:val="single" w:sz="12" w:space="0" w:color="000000"/>
            </w:tcBorders>
          </w:tcPr>
          <w:p>
            <w:pPr>
              <w:pStyle w:val="TableParagraph"/>
              <w:spacing w:before="22"/>
              <w:ind w:right="167"/>
              <w:rPr>
                <w:b/>
                <w:sz w:val="14"/>
              </w:rPr>
            </w:pPr>
            <w:r>
              <w:rPr>
                <w:b/>
                <w:w w:val="99"/>
                <w:sz w:val="14"/>
              </w:rPr>
              <w:t>-</w:t>
            </w:r>
          </w:p>
        </w:tc>
        <w:tc>
          <w:tcPr>
            <w:tcW w:w="569" w:type="dxa"/>
            <w:tcBorders>
              <w:top w:val="single" w:sz="4" w:space="0" w:color="000000"/>
              <w:bottom w:val="single" w:sz="12" w:space="0" w:color="000000"/>
            </w:tcBorders>
          </w:tcPr>
          <w:p>
            <w:pPr>
              <w:pStyle w:val="TableParagraph"/>
              <w:spacing w:before="22"/>
              <w:ind w:right="184"/>
              <w:rPr>
                <w:b/>
                <w:sz w:val="14"/>
              </w:rPr>
            </w:pPr>
            <w:r>
              <w:rPr>
                <w:b/>
                <w:w w:val="99"/>
                <w:sz w:val="14"/>
              </w:rPr>
              <w:t>-</w:t>
            </w:r>
          </w:p>
        </w:tc>
        <w:tc>
          <w:tcPr>
            <w:tcW w:w="572" w:type="dxa"/>
            <w:tcBorders>
              <w:top w:val="single" w:sz="4" w:space="0" w:color="000000"/>
              <w:bottom w:val="single" w:sz="12" w:space="0" w:color="000000"/>
            </w:tcBorders>
          </w:tcPr>
          <w:p>
            <w:pPr>
              <w:pStyle w:val="TableParagraph"/>
              <w:spacing w:before="22"/>
              <w:ind w:right="189"/>
              <w:rPr>
                <w:b/>
                <w:sz w:val="14"/>
              </w:rPr>
            </w:pPr>
            <w:r>
              <w:rPr>
                <w:b/>
                <w:w w:val="99"/>
                <w:sz w:val="14"/>
              </w:rPr>
              <w:t>-</w:t>
            </w:r>
          </w:p>
        </w:tc>
        <w:tc>
          <w:tcPr>
            <w:tcW w:w="555" w:type="dxa"/>
            <w:tcBorders>
              <w:top w:val="single" w:sz="4" w:space="0" w:color="000000"/>
              <w:bottom w:val="single" w:sz="12" w:space="0" w:color="000000"/>
            </w:tcBorders>
          </w:tcPr>
          <w:p>
            <w:pPr>
              <w:pStyle w:val="TableParagraph"/>
              <w:spacing w:before="22"/>
              <w:ind w:left="176"/>
              <w:jc w:val="center"/>
              <w:rPr>
                <w:b/>
                <w:sz w:val="14"/>
              </w:rPr>
            </w:pPr>
            <w:r>
              <w:rPr>
                <w:b/>
                <w:w w:val="99"/>
                <w:sz w:val="14"/>
              </w:rPr>
              <w:t>-</w:t>
            </w:r>
          </w:p>
        </w:tc>
        <w:tc>
          <w:tcPr>
            <w:tcW w:w="682" w:type="dxa"/>
            <w:tcBorders>
              <w:top w:val="single" w:sz="4" w:space="0" w:color="000000"/>
              <w:bottom w:val="single" w:sz="12" w:space="0" w:color="000000"/>
            </w:tcBorders>
          </w:tcPr>
          <w:p>
            <w:pPr>
              <w:pStyle w:val="TableParagraph"/>
              <w:spacing w:before="22"/>
              <w:ind w:right="265"/>
              <w:rPr>
                <w:b/>
                <w:sz w:val="14"/>
              </w:rPr>
            </w:pPr>
            <w:r>
              <w:rPr>
                <w:b/>
                <w:spacing w:val="-4"/>
                <w:sz w:val="14"/>
              </w:rPr>
              <w:t>1.00</w:t>
            </w:r>
          </w:p>
        </w:tc>
        <w:tc>
          <w:tcPr>
            <w:tcW w:w="653" w:type="dxa"/>
            <w:tcBorders>
              <w:top w:val="single" w:sz="4" w:space="0" w:color="000000"/>
              <w:bottom w:val="single" w:sz="12" w:space="0" w:color="000000"/>
            </w:tcBorders>
          </w:tcPr>
          <w:p>
            <w:pPr>
              <w:pStyle w:val="TableParagraph"/>
              <w:spacing w:before="22"/>
              <w:ind w:right="187"/>
              <w:rPr>
                <w:b/>
                <w:sz w:val="14"/>
              </w:rPr>
            </w:pPr>
            <w:r>
              <w:rPr>
                <w:b/>
                <w:w w:val="99"/>
                <w:sz w:val="14"/>
              </w:rPr>
              <w:t>-</w:t>
            </w:r>
          </w:p>
        </w:tc>
        <w:tc>
          <w:tcPr>
            <w:tcW w:w="453" w:type="dxa"/>
            <w:tcBorders>
              <w:top w:val="single" w:sz="4" w:space="0" w:color="000000"/>
              <w:bottom w:val="single" w:sz="12" w:space="0" w:color="000000"/>
            </w:tcBorders>
          </w:tcPr>
          <w:p>
            <w:pPr>
              <w:pStyle w:val="TableParagraph"/>
              <w:spacing w:before="22"/>
              <w:ind w:right="64"/>
              <w:rPr>
                <w:b/>
                <w:sz w:val="14"/>
              </w:rPr>
            </w:pPr>
            <w:r>
              <w:rPr>
                <w:b/>
                <w:w w:val="99"/>
                <w:sz w:val="14"/>
              </w:rPr>
              <w:t>-</w:t>
            </w:r>
          </w:p>
        </w:tc>
        <w:tc>
          <w:tcPr>
            <w:tcW w:w="784" w:type="dxa"/>
            <w:tcBorders>
              <w:top w:val="single" w:sz="4" w:space="0" w:color="000000"/>
              <w:bottom w:val="single" w:sz="12" w:space="0" w:color="000000"/>
            </w:tcBorders>
          </w:tcPr>
          <w:p>
            <w:pPr>
              <w:pStyle w:val="TableParagraph"/>
              <w:spacing w:before="22"/>
              <w:ind w:right="120"/>
              <w:rPr>
                <w:b/>
                <w:i/>
                <w:sz w:val="14"/>
              </w:rPr>
            </w:pPr>
            <w:r>
              <w:rPr>
                <w:b/>
                <w:i/>
                <w:spacing w:val="-4"/>
                <w:sz w:val="14"/>
              </w:rPr>
              <w:t>1.00</w:t>
            </w:r>
          </w:p>
        </w:tc>
        <w:tc>
          <w:tcPr>
            <w:tcW w:w="558" w:type="dxa"/>
            <w:tcBorders>
              <w:top w:val="single" w:sz="4" w:space="0" w:color="000000"/>
              <w:bottom w:val="single" w:sz="12" w:space="0" w:color="000000"/>
            </w:tcBorders>
          </w:tcPr>
          <w:p>
            <w:pPr>
              <w:pStyle w:val="TableParagraph"/>
              <w:spacing w:before="22"/>
              <w:ind w:right="95"/>
              <w:rPr>
                <w:b/>
                <w:sz w:val="14"/>
              </w:rPr>
            </w:pPr>
            <w:r>
              <w:rPr>
                <w:b/>
                <w:w w:val="99"/>
                <w:sz w:val="14"/>
              </w:rPr>
              <w:t>-</w:t>
            </w:r>
          </w:p>
        </w:tc>
        <w:tc>
          <w:tcPr>
            <w:tcW w:w="567" w:type="dxa"/>
            <w:tcBorders>
              <w:top w:val="single" w:sz="4" w:space="0" w:color="000000"/>
              <w:bottom w:val="single" w:sz="12" w:space="0" w:color="000000"/>
            </w:tcBorders>
          </w:tcPr>
          <w:p>
            <w:pPr>
              <w:pStyle w:val="TableParagraph"/>
              <w:spacing w:before="22"/>
              <w:ind w:right="76"/>
              <w:rPr>
                <w:b/>
                <w:sz w:val="14"/>
              </w:rPr>
            </w:pPr>
            <w:r>
              <w:rPr>
                <w:b/>
                <w:w w:val="99"/>
                <w:sz w:val="14"/>
              </w:rPr>
              <w:t>-</w:t>
            </w:r>
          </w:p>
        </w:tc>
        <w:tc>
          <w:tcPr>
            <w:tcW w:w="648" w:type="dxa"/>
            <w:tcBorders>
              <w:top w:val="single" w:sz="4" w:space="0" w:color="000000"/>
              <w:bottom w:val="single" w:sz="12" w:space="0" w:color="000000"/>
            </w:tcBorders>
          </w:tcPr>
          <w:p>
            <w:pPr>
              <w:pStyle w:val="TableParagraph"/>
              <w:spacing w:before="22"/>
              <w:ind w:right="148"/>
              <w:rPr>
                <w:b/>
                <w:sz w:val="14"/>
              </w:rPr>
            </w:pPr>
            <w:r>
              <w:rPr>
                <w:b/>
                <w:w w:val="99"/>
                <w:sz w:val="14"/>
              </w:rPr>
              <w:t>-</w:t>
            </w:r>
          </w:p>
        </w:tc>
        <w:tc>
          <w:tcPr>
            <w:tcW w:w="793" w:type="dxa"/>
            <w:tcBorders>
              <w:top w:val="single" w:sz="4" w:space="0" w:color="000000"/>
              <w:bottom w:val="single" w:sz="12" w:space="0" w:color="000000"/>
            </w:tcBorders>
          </w:tcPr>
          <w:p>
            <w:pPr>
              <w:pStyle w:val="TableParagraph"/>
              <w:spacing w:before="22"/>
              <w:ind w:right="211"/>
              <w:rPr>
                <w:b/>
                <w:i/>
                <w:sz w:val="14"/>
              </w:rPr>
            </w:pPr>
            <w:r>
              <w:rPr>
                <w:b/>
                <w:i/>
                <w:w w:val="99"/>
                <w:sz w:val="14"/>
              </w:rPr>
              <w:t>-</w:t>
            </w:r>
          </w:p>
        </w:tc>
        <w:tc>
          <w:tcPr>
            <w:tcW w:w="590" w:type="dxa"/>
            <w:tcBorders>
              <w:top w:val="single" w:sz="4" w:space="0" w:color="000000"/>
              <w:bottom w:val="single" w:sz="12" w:space="0" w:color="000000"/>
            </w:tcBorders>
          </w:tcPr>
          <w:p>
            <w:pPr>
              <w:pStyle w:val="TableParagraph"/>
              <w:spacing w:before="22"/>
              <w:ind w:right="49"/>
              <w:rPr>
                <w:b/>
                <w:sz w:val="14"/>
              </w:rPr>
            </w:pPr>
            <w:r>
              <w:rPr>
                <w:b/>
                <w:spacing w:val="-4"/>
                <w:sz w:val="14"/>
              </w:rPr>
              <w:t>1.00</w:t>
            </w:r>
          </w:p>
        </w:tc>
      </w:tr>
    </w:tbl>
    <w:p>
      <w:pPr>
        <w:spacing w:after="0"/>
        <w:rPr>
          <w:sz w:val="14"/>
        </w:rPr>
        <w:sectPr>
          <w:pgSz w:w="11910" w:h="16840"/>
          <w:pgMar w:header="957" w:footer="940" w:top="1140" w:bottom="1140" w:left="20" w:right="20"/>
        </w:sectPr>
      </w:pPr>
    </w:p>
    <w:p>
      <w:pPr>
        <w:pStyle w:val="Heading1"/>
        <w:spacing w:line="422" w:lineRule="auto"/>
      </w:pPr>
      <w:bookmarkStart w:name="_bookmark62" w:id="63"/>
      <w:bookmarkEnd w:id="63"/>
      <w:r>
        <w:rPr>
          <w:b w:val="0"/>
        </w:rPr>
      </w:r>
      <w:r>
        <w:rPr>
          <w:spacing w:val="-2"/>
          <w:w w:val="95"/>
        </w:rPr>
        <w:t>Annexes </w:t>
      </w:r>
      <w:r>
        <w:rPr/>
        <w:t>Annex I</w:t>
      </w:r>
    </w:p>
    <w:p>
      <w:pPr>
        <w:spacing w:line="240" w:lineRule="auto" w:before="0"/>
        <w:rPr>
          <w:b/>
          <w:sz w:val="30"/>
        </w:rPr>
      </w:pPr>
      <w:r>
        <w:rPr/>
        <w:br w:type="column"/>
      </w:r>
      <w:r>
        <w:rPr>
          <w:b/>
          <w:sz w:val="30"/>
        </w:rPr>
      </w:r>
    </w:p>
    <w:p>
      <w:pPr>
        <w:pStyle w:val="BodyText"/>
        <w:rPr>
          <w:b/>
          <w:sz w:val="30"/>
        </w:rPr>
      </w:pPr>
    </w:p>
    <w:p>
      <w:pPr>
        <w:pStyle w:val="BodyText"/>
        <w:spacing w:before="9"/>
        <w:rPr>
          <w:b/>
          <w:sz w:val="27"/>
        </w:rPr>
      </w:pPr>
    </w:p>
    <w:p>
      <w:pPr>
        <w:pStyle w:val="Heading1"/>
        <w:spacing w:before="0"/>
        <w:ind w:left="242"/>
      </w:pPr>
      <w:bookmarkStart w:name="_bookmark63" w:id="64"/>
      <w:bookmarkEnd w:id="64"/>
      <w:r>
        <w:rPr>
          <w:b w:val="0"/>
        </w:rPr>
      </w:r>
      <w:r>
        <w:rPr/>
        <w:t>Organizational</w:t>
      </w:r>
      <w:r>
        <w:rPr>
          <w:spacing w:val="-9"/>
        </w:rPr>
        <w:t> </w:t>
      </w:r>
      <w:r>
        <w:rPr/>
        <w:t>structure</w:t>
      </w:r>
      <w:r>
        <w:rPr>
          <w:spacing w:val="-8"/>
        </w:rPr>
        <w:t> </w:t>
      </w:r>
      <w:r>
        <w:rPr/>
        <w:t>of</w:t>
      </w:r>
      <w:r>
        <w:rPr>
          <w:spacing w:val="-10"/>
        </w:rPr>
        <w:t> </w:t>
      </w:r>
      <w:r>
        <w:rPr/>
        <w:t>the</w:t>
      </w:r>
      <w:r>
        <w:rPr>
          <w:spacing w:val="-8"/>
        </w:rPr>
        <w:t> </w:t>
      </w:r>
      <w:r>
        <w:rPr>
          <w:spacing w:val="-2"/>
        </w:rPr>
        <w:t>Court</w:t>
      </w:r>
    </w:p>
    <w:p>
      <w:pPr>
        <w:spacing w:after="0"/>
        <w:sectPr>
          <w:pgSz w:w="11910" w:h="16840"/>
          <w:pgMar w:header="953" w:footer="940" w:top="1140" w:bottom="1140" w:left="20" w:right="20"/>
          <w:cols w:num="2" w:equalWidth="0">
            <w:col w:w="2685" w:space="40"/>
            <w:col w:w="9145"/>
          </w:cols>
        </w:sectPr>
      </w:pPr>
    </w:p>
    <w:p>
      <w:pPr>
        <w:pStyle w:val="BodyText"/>
        <w:rPr>
          <w:b/>
        </w:rPr>
      </w:pPr>
    </w:p>
    <w:p>
      <w:pPr>
        <w:pStyle w:val="BodyText"/>
        <w:rPr>
          <w:b/>
        </w:rPr>
      </w:pPr>
    </w:p>
    <w:p>
      <w:pPr>
        <w:pStyle w:val="BodyText"/>
        <w:spacing w:before="1"/>
        <w:rPr>
          <w:b/>
          <w:sz w:val="26"/>
        </w:rPr>
      </w:pPr>
    </w:p>
    <w:p>
      <w:pPr>
        <w:spacing w:after="0"/>
        <w:rPr>
          <w:sz w:val="26"/>
        </w:rPr>
        <w:sectPr>
          <w:type w:val="continuous"/>
          <w:pgSz w:w="11910" w:h="16840"/>
          <w:pgMar w:header="957" w:footer="940" w:top="1240" w:bottom="1140" w:left="20" w:right="20"/>
        </w:sectPr>
      </w:pPr>
    </w:p>
    <w:p>
      <w:pPr>
        <w:spacing w:before="96"/>
        <w:ind w:left="0" w:right="0" w:firstLine="0"/>
        <w:jc w:val="right"/>
        <w:rPr>
          <w:sz w:val="13"/>
        </w:rPr>
      </w:pPr>
      <w:r>
        <w:rPr/>
        <w:pict>
          <v:group style="position:absolute;margin-left:53.271576pt;margin-top:-9.086193pt;width:485.8pt;height:496.3pt;mso-position-horizontal-relative:page;mso-position-vertical-relative:paragraph;z-index:-43794432" id="docshapegroup349" coordorigin="1065,-182" coordsize="9716,9926">
            <v:shape style="position:absolute;left:1579;top:962;width:3619;height:3786" id="docshape350" coordorigin="1579,963" coordsize="3619,3786" path="m3054,1356l3798,1356,3798,963,3054,963,3054,1356xm3899,2464l4579,2464,4579,2019,3899,2019,3899,2464xm3432,2260l3899,2260m2418,3168l3098,3168,3098,2723,2418,2723,2418,3168xm3899,3168l4579,3168,4579,2723,3899,2723,3899,3168xm3098,2919l3899,2919m2418,3898l3098,3898,3098,3453,2418,3453,2418,3898xm3899,3915l4579,3915,4579,3470,3899,3470,3899,3915xm3098,3743l3899,3743m1579,4748l2259,4748,2259,4303,1579,4303,1579,4748xm3056,4748l3735,4748,3735,4303,3056,4303,3056,4748xm3487,4303l3735,4303m4518,4748l5198,4748,5198,4303,4518,4303,4518,4748xe" filled="false" stroked="true" strokeweight=".378562pt" strokecolor="#000000">
              <v:path arrowok="t"/>
              <v:stroke dashstyle="solid"/>
            </v:shape>
            <v:line style="position:absolute" from="4858,4303" to="4858,4073" stroked="true" strokeweight=".321193pt" strokecolor="#000000">
              <v:stroke dashstyle="solid"/>
            </v:line>
            <v:shape style="position:absolute;left:1919;top:4072;width:2939;height:231" id="docshape351" coordorigin="1919,4073" coordsize="2939,231" path="m1919,4303l1919,4081,4858,4073e" filled="false" stroked="true" strokeweight=".435228pt" strokecolor="#000000">
              <v:path arrowok="t"/>
              <v:stroke dashstyle="solid"/>
            </v:shape>
            <v:shape style="position:absolute;left:1919;top:1355;width:1507;height:4295" id="docshape352" coordorigin="1919,1356" coordsize="1507,4295" path="m3426,1356l3426,4303m1919,4748l1919,5651e" filled="false" stroked="true" strokeweight=".378562pt" strokecolor="#000000">
              <v:path arrowok="t"/>
              <v:stroke dashstyle="solid"/>
            </v:shape>
            <v:shape style="position:absolute;left:1069;top:4994;width:4712;height:561" id="docshape353" coordorigin="1070,4995" coordsize="4712,561" path="m1070,5439l1749,5439,1749,4995,1070,4995,1070,5439xm2260,5555l2940,5555,2940,5111,2260,5111,2260,5555xm1751,5278l2256,5278m3808,5555l4488,5555,4488,5111,3808,5111,3808,5555xm5101,5475l5781,5475,5781,5030,5101,5030,5101,5475xm4489,5343l5106,5343e" filled="false" stroked="true" strokeweight=".378562pt" strokecolor="#000000">
              <v:path arrowok="t"/>
              <v:stroke dashstyle="solid"/>
            </v:shape>
            <v:line style="position:absolute" from="4858,4748" to="4858,5686" stroked="true" strokeweight=".321193pt" strokecolor="#000000">
              <v:stroke dashstyle="solid"/>
            </v:line>
            <v:rect style="position:absolute;left:1640;top:5760;width:680;height:445" id="docshape354" filled="false" stroked="true" strokeweight=".401529pt" strokecolor="#000000">
              <v:stroke dashstyle="solid"/>
            </v:rect>
            <v:shape style="position:absolute;left:1431;top:5686;width:3964;height:2637" id="docshape355" coordorigin="1431,5686" coordsize="3964,2637" path="m1431,8322l2529,8322,2529,5686,1431,5686,1431,8322xm4297,8322l5395,8322,5395,5686,4297,5686,4297,8322xe" filled="false" stroked="true" strokeweight=".378562pt" strokecolor="#000000">
              <v:path arrowok="t"/>
              <v:stroke dashstyle="longdash"/>
            </v:shape>
            <v:shape style="position:absolute;left:2753;top:5835;width:1401;height:544" id="docshape356" coordorigin="2753,5836" coordsize="1401,544" path="m3474,6379l4154,6379,4154,5934,3474,5934,3474,6379xm3851,5934l3851,5836,2753,5836e" filled="false" stroked="true" strokeweight=".378562pt" strokecolor="#000000">
              <v:path arrowok="t"/>
              <v:stroke dashstyle="solid"/>
            </v:shape>
            <v:line style="position:absolute" from="2758,8340" to="2758,5836" stroked="true" strokeweight=".321193pt" strokecolor="#000000">
              <v:stroke dashstyle="solid"/>
            </v:line>
            <v:shape style="position:absolute;left:2758;top:4748;width:790;height:3856" id="docshape357" coordorigin="2758,4748" coordsize="790,3856" path="m2867,8604l3547,8604,3547,8159,2867,8159,2867,8604xm2867,8340l2758,8340m2867,8038l3547,8038,3547,7593,2867,7593,2867,8038xm2867,7846l2758,7846m2867,7472l3547,7472,3547,7027,2867,7027,2867,7472xm2867,7187l2758,7187m2867,6906l3547,6906,3547,6461,2867,6461,2867,6906xm2867,6693l2758,6693m3426,4748l3426,5836e" filled="false" stroked="true" strokeweight=".378562pt" strokecolor="#000000">
              <v:path arrowok="t"/>
              <v:stroke dashstyle="solid"/>
            </v:shape>
            <v:shape style="position:absolute;left:2272;top:4868;width:1876;height:242" id="docshape358" coordorigin="2273,4869" coordsize="1876,242" path="m2273,4896l3406,4896,3406,4881,3415,4869,3426,4869,3437,4869,3446,4881,3446,4896,4148,4896,4148,5110e" filled="false" stroked="true" strokeweight=".434058pt" strokecolor="#000000">
              <v:path arrowok="t"/>
              <v:stroke dashstyle="shortdash"/>
            </v:shape>
            <v:shape style="position:absolute;left:2600;top:4986;width:2258;height:124" id="docshape359" coordorigin="2600,4987" coordsize="2258,124" path="m2600,5110l2600,5014,3406,5014,3406,4999,3415,4987,3426,4987,3437,4987,3446,4999,3446,5014,4128,5014,4128,4999,4137,4987,4148,4987,4159,4987,4168,4999,4168,5014,4858,5014e" filled="false" stroked="true" strokeweight=".435586pt" strokecolor="#000000">
              <v:path arrowok="t"/>
              <v:stroke dashstyle="shortdashdotdot"/>
            </v:shape>
            <v:line style="position:absolute" from="2405,4896" to="1919,4896" stroked="true" strokeweight=".435931pt" strokecolor="#000000">
              <v:stroke dashstyle="shortdash"/>
            </v:line>
            <v:shape style="position:absolute;left:2862;top:743;width:1128;height:612" id="docshape360" coordorigin="2862,744" coordsize="1128,612" path="m2862,1356l2862,744,3990,744,3990,1356,2862,1356xm2878,1335l2878,765,3974,765,3974,1335,2878,1335xe" filled="false" stroked="true" strokeweight=".126187pt" strokecolor="#000000">
              <v:path arrowok="t"/>
              <v:stroke dashstyle="solid"/>
            </v:shape>
            <v:shape style="position:absolute;left:6658;top:-181;width:1353;height:1537" id="docshape361" coordorigin="6659,-180" coordsize="1353,1537" path="m6659,508l6659,-180,8012,-180,8012,508,6659,508xm6674,487l6674,-159,7996,-159,7996,487,6674,487xm6772,1356l6772,744,7899,744,7899,1356,6772,1356xm6787,1335l6787,765,7884,765,7884,1335,6787,1335xe" filled="false" stroked="true" strokeweight=".126187pt" strokecolor="#000000">
              <v:path arrowok="t"/>
              <v:stroke dashstyle="solid"/>
            </v:shape>
            <v:line style="position:absolute" from="7335,508" to="7335,744" stroked="true" strokeweight=".428257pt" strokecolor="#000000">
              <v:stroke dashstyle="solid"/>
            </v:line>
            <v:shape style="position:absolute;left:8349;top:30;width:1240;height:498" id="docshape362" coordorigin="8350,30" coordsize="1240,498" path="m8350,527l8350,30,9590,30,9590,527,8350,527xm8365,506l8365,51,9574,51,9574,506,8365,506xe" filled="false" stroked="true" strokeweight=".126187pt" strokecolor="#000000">
              <v:path arrowok="t"/>
              <v:stroke dashstyle="solid"/>
            </v:shape>
            <v:line style="position:absolute" from="8012,279" to="8350,279" stroked="true" strokeweight=".581241pt" strokecolor="#000000">
              <v:stroke dashstyle="solid"/>
            </v:line>
            <v:shape style="position:absolute;left:6884;top:1598;width:902;height:635" id="docshape363" coordorigin="6884,1598" coordsize="902,635" path="m6884,2233l6884,1598,7786,1598,7786,2233,6884,2233xm6900,2212l6900,1619,7771,1619,7771,2212,6900,2212xe" filled="false" stroked="true" strokeweight=".126187pt" strokecolor="#000000">
              <v:path arrowok="t"/>
              <v:stroke dashstyle="solid"/>
            </v:shape>
            <v:line style="position:absolute" from="7335,1356" to="7335,1598" stroked="true" strokeweight=".428257pt" strokecolor="#000000">
              <v:stroke dashstyle="solid"/>
            </v:line>
            <v:shape style="position:absolute;left:6260;top:3711;width:902;height:612" id="docshape364" coordorigin="6261,3711" coordsize="902,612" path="m6261,4323l6261,3711,7162,3711,7162,4323,6261,4323xm6276,4302l6276,3732,7147,3732,7147,4302,6276,4302xe" filled="false" stroked="true" strokeweight=".126187pt" strokecolor="#000000">
              <v:path arrowok="t"/>
              <v:stroke dashstyle="solid"/>
            </v:shape>
            <v:shape style="position:absolute;left:6711;top:2232;width:624;height:1479" id="docshape365" coordorigin="6712,2233" coordsize="624,1479" path="m7335,2233l7335,3543,6712,3543,6712,3711e" filled="false" stroked="true" strokeweight=".451374pt" strokecolor="#000000">
              <v:path arrowok="t"/>
              <v:stroke dashstyle="solid"/>
            </v:shape>
            <v:shape style="position:absolute;left:7335;top:3699;width:1978;height:619" id="docshape366" coordorigin="7335,3700" coordsize="1978,619" path="m7335,4312l7335,3700,8237,3700,8237,4312,7335,4312xm7351,4291l7351,3721,8222,3721,8222,4291,7351,4291xm8411,4318l8411,3706,9313,3706,9313,4318,8411,4318xm8426,4297l8426,3727,9297,3727,9297,4297,8426,4297xe" filled="false" stroked="true" strokeweight=".126187pt" strokecolor="#000000">
              <v:path arrowok="t"/>
              <v:stroke dashstyle="solid"/>
            </v:shape>
            <v:shape style="position:absolute;left:8976;top:889;width:1804;height:1873" id="docshape367" coordorigin="8976,889" coordsize="1804,1873" path="m8976,1322l8976,889,10780,889,10780,1322,8976,1322xm8991,1301l8991,910,10764,910,10764,1301,8991,1301xm8976,1802l8976,1370,10780,1370,10780,1802,8976,1802xm8991,1781l8991,1391,10764,1391,10764,1781,8991,1781xm8976,2275l8976,1842,10780,1842,10780,2275,8976,2275xm8991,2254l8991,1863,10764,1863,10764,2254,8991,2254xm8976,2762l8976,2329,10780,2329,10780,2762,8976,2762xm8991,2741l8991,2350,10764,2350,10764,2741,8991,2741xe" filled="false" stroked="true" strokeweight=".126187pt" strokecolor="#000000">
              <v:path arrowok="t"/>
              <v:stroke dashstyle="solid"/>
            </v:shape>
            <v:line style="position:absolute" from="7899,1050" to="8913,1050" stroked="true" strokeweight=".435931pt" strokecolor="#000000">
              <v:stroke dashstyle="shortdash"/>
            </v:line>
            <v:line style="position:absolute" from="8913,1050" to="8913,2547" stroked="true" strokeweight=".321193pt" strokecolor="#000000">
              <v:stroke dashstyle="shortdash"/>
            </v:line>
            <v:line style="position:absolute" from="9026,1050" to="8913,1050" stroked="true" strokeweight=".435931pt" strokecolor="#000000">
              <v:stroke dashstyle="shortdash"/>
            </v:line>
            <v:shape style="position:absolute;left:8913;top:1584;width:63;height:474" id="docshape368" coordorigin="8913,1585" coordsize="63,474" path="m8976,1586l8913,1585m8976,2059l8913,2057e" filled="false" stroked="true" strokeweight=".378562pt" strokecolor="#000000">
              <v:path arrowok="t"/>
              <v:stroke dashstyle="shortdash"/>
            </v:shape>
            <v:shape style="position:absolute;left:7335;top:4464;width:902;height:5278" id="docshape369" coordorigin="7335,4465" coordsize="902,5278" path="m7335,5077l8237,5077,8237,4465,7335,4465,7335,5077xm7335,5747l8237,5747,8237,5135,7335,5135,7335,5747xm7335,6418l8237,6418,8237,5806,7335,5806,7335,6418xm7335,7066l8237,7066,8237,6495,7335,6495,7335,7066xm7335,7734l8237,7734,8237,7158,7335,7158,7335,7734xm7335,8407l8237,8407,8237,7831,7335,7831,7335,8407xm7335,9073l8237,9073,8237,8496,7335,8496,7335,9073xm7335,9742l8237,9742,8237,9166,7335,9166,7335,9742xe" filled="false" stroked="true" strokeweight=".126187pt" strokecolor="#000000">
              <v:path arrowok="t"/>
              <v:stroke dashstyle="solid"/>
            </v:shape>
            <v:shape style="position:absolute;left:7224;top:4311;width:562;height:5143" id="docshape370" coordorigin="7224,4312" coordsize="562,5143" path="m7335,9454l7224,9454,7224,4374,7786,4374,7786,4312e" filled="false" stroked="true" strokeweight=".430062pt" strokecolor="#000000">
              <v:path arrowok="t"/>
              <v:stroke dashstyle="solid"/>
            </v:shape>
            <v:shape style="position:absolute;left:6151;top:4464;width:902;height:3683" id="docshape371" coordorigin="6152,4465" coordsize="902,3683" path="m6152,5077l7054,5077,7054,4465,6152,4465,6152,5077xm6152,5842l7054,5842,7054,5230,6152,5230,6152,5842xm6152,6607l7054,6607,7054,5995,6152,5995,6152,6607xm6152,7372l7054,7372,7054,6760,6152,6760,6152,7372xm6152,8148l7054,8148,7054,7536,6152,7536,6152,8148xe" filled="false" stroked="true" strokeweight=".126187pt" strokecolor="#000000">
              <v:path arrowok="t"/>
              <v:stroke dashstyle="solid"/>
            </v:shape>
            <v:shape style="position:absolute;left:6106;top:4323;width:606;height:3519" id="docshape372" coordorigin="6106,4323" coordsize="606,3519" path="m6712,4323l6712,4385,6106,4385,6106,7842,6152,7842e" filled="false" stroked="true" strokeweight=".432655pt" strokecolor="#000000">
              <v:path arrowok="t"/>
              <v:stroke dashstyle="solid"/>
            </v:shape>
            <v:shape style="position:absolute;left:6095;top:3529;width:2767;height:3957" id="docshape373" coordorigin="6095,3529" coordsize="2767,3957" path="m6152,4771l6095,4771m6152,5536l6095,5536m6152,6301l6095,6301m6152,7066l6095,7066m7335,5441l7234,5441m7335,6112l7239,6112m7335,6826l7224,6826m7335,7485l7224,7485m7335,3541l8858,3541,8862,3529,8862,3628e" filled="false" stroked="true" strokeweight=".378562pt" strokecolor="#000000">
              <v:path arrowok="t"/>
              <v:stroke dashstyle="solid"/>
            </v:shape>
            <v:shape style="position:absolute;left:7786;top:3547;width:1076;height:159" id="docshape374" coordorigin="7786,3548" coordsize="1076,159" path="m7786,3700l7786,3548m8862,3706l8862,3623e" filled="false" stroked="true" strokeweight=".378562pt" strokecolor="#000000">
              <v:path arrowok="t"/>
              <v:stroke dashstyle="solid"/>
            </v:shape>
            <v:line style="position:absolute" from="8976,2546" to="8913,2543" stroked="true" strokeweight=".435803pt" strokecolor="#000000">
              <v:stroke dashstyle="shortdash"/>
            </v:line>
            <v:line style="position:absolute" from="7335,4812" to="7229,4812" stroked="true" strokeweight=".435931pt" strokecolor="#000000">
              <v:stroke dashstyle="solid"/>
            </v:line>
            <v:shape style="position:absolute;left:8410;top:4470;width:902;height:4733" id="docshape375" coordorigin="8411,4470" coordsize="902,4733" path="m8411,5082l9313,5082,9313,4470,8411,4470,8411,5082xm8411,5770l9313,5770,9313,5158,8411,5158,8411,5770xm8411,6479l9313,6479,9313,5867,8411,5867,8411,6479xm8411,9202l9313,9202,9313,6566,8411,6566,8411,9202xe" filled="false" stroked="true" strokeweight=".126187pt" strokecolor="#000000">
              <v:path arrowok="t"/>
              <v:stroke dashstyle="solid"/>
            </v:shape>
            <v:shape style="position:absolute;left:8861;top:4317;width:597;height:3035" id="docshape376" coordorigin="8862,4318" coordsize="597,3035" path="m8862,4318l8862,4379,9458,4379,9458,7273m9313,7352l9313,7273,9458,7273,9458,7150e" filled="false" stroked="true" strokeweight=".363419pt" strokecolor="#000000">
              <v:path arrowok="t"/>
              <v:stroke dashstyle="solid"/>
            </v:shape>
            <v:shape style="position:absolute;left:9312;top:4861;width:146;height:1334" id="docshape377" coordorigin="9313,4861" coordsize="146,1334" path="m9458,6195l9313,6195m9458,5453l9313,5453m9458,4861l9313,4861e" filled="false" stroked="true" strokeweight=".378562pt" strokecolor="#000000">
              <v:path arrowok="t"/>
              <v:stroke dashstyle="solid"/>
            </v:shape>
            <v:shape style="position:absolute;left:7214;top:8121;width:124;height:643" id="docshape378" coordorigin="7215,8121" coordsize="124,643" path="m7328,8121l7234,8121m7338,8763l7215,8763e" filled="false" stroked="true" strokeweight=".378562pt" strokecolor="#000000">
              <v:path arrowok="t"/>
              <v:stroke dashstyle="dot"/>
            </v:shape>
            <v:rect style="position:absolute;left:6133;top:2694;width:902;height:612" id="docshape379" filled="false" stroked="true" strokeweight=".133252pt" strokecolor="#000000">
              <v:stroke dashstyle="solid"/>
            </v:rect>
            <v:rect style="position:absolute;left:7605;top:2403;width:744;height:394" id="docshape380" filled="false" stroked="true" strokeweight=".136956pt" strokecolor="#000000">
              <v:stroke dashstyle="solid"/>
            </v:rect>
            <v:shape style="position:absolute;left:7035;top:2232;width:571;height:768" id="docshape381" coordorigin="7035,2233" coordsize="571,768" path="m7606,2601l7335,2601,7335,2233m7035,3000l7335,3000,7335,2233e" filled="false" stroked="true" strokeweight=".363419pt" strokecolor="#000000">
              <v:path arrowok="t"/>
              <v:stroke dashstyle="solid"/>
            </v:shape>
            <v:line style="position:absolute" from="3990,1050" to="6772,1050" stroked="true" strokeweight=".435931pt" strokecolor="#000000">
              <v:stroke dashstyle="shortdash"/>
            </v:line>
            <v:rect style="position:absolute;left:7605;top:2913;width:1256;height:394" id="docshape382" filled="false" stroked="true" strokeweight=".141894pt" strokecolor="#000000">
              <v:stroke dashstyle="solid"/>
            </v:rect>
            <v:shape style="position:absolute;left:2846;top:2232;width:4760;height:3603" id="docshape383" coordorigin="2847,2233" coordsize="4760,3603" path="m7606,3110l7335,3110,7335,2233m2847,5836l2847,5555e" filled="false" stroked="true" strokeweight=".378562pt" strokecolor="#000000">
              <v:path arrowok="t"/>
              <v:stroke dashstyle="solid"/>
            </v:shape>
            <w10:wrap type="none"/>
          </v:group>
        </w:pict>
      </w:r>
      <w:r>
        <w:rPr>
          <w:w w:val="70"/>
          <w:sz w:val="13"/>
        </w:rPr>
        <w:t>THE</w:t>
      </w:r>
      <w:r>
        <w:rPr>
          <w:spacing w:val="-1"/>
          <w:w w:val="85"/>
          <w:sz w:val="13"/>
        </w:rPr>
        <w:t> </w:t>
      </w:r>
      <w:r>
        <w:rPr>
          <w:spacing w:val="-2"/>
          <w:w w:val="85"/>
          <w:sz w:val="13"/>
        </w:rPr>
        <w:t>PRESIDENCY</w:t>
      </w:r>
    </w:p>
    <w:p>
      <w:pPr>
        <w:spacing w:line="240" w:lineRule="auto" w:before="9"/>
        <w:rPr>
          <w:sz w:val="17"/>
        </w:rPr>
      </w:pPr>
      <w:r>
        <w:rPr/>
        <w:br w:type="column"/>
      </w:r>
      <w:r>
        <w:rPr>
          <w:sz w:val="17"/>
        </w:rPr>
      </w:r>
    </w:p>
    <w:p>
      <w:pPr>
        <w:spacing w:before="0"/>
        <w:ind w:left="946" w:right="0" w:firstLine="0"/>
        <w:jc w:val="left"/>
        <w:rPr>
          <w:sz w:val="13"/>
        </w:rPr>
      </w:pPr>
      <w:r>
        <w:rPr>
          <w:spacing w:val="-2"/>
          <w:w w:val="85"/>
          <w:sz w:val="13"/>
        </w:rPr>
        <w:t>CHAMBERS</w:t>
      </w:r>
    </w:p>
    <w:p>
      <w:pPr>
        <w:spacing w:after="0"/>
        <w:jc w:val="left"/>
        <w:rPr>
          <w:sz w:val="13"/>
        </w:rPr>
        <w:sectPr>
          <w:type w:val="continuous"/>
          <w:pgSz w:w="11910" w:h="16840"/>
          <w:pgMar w:header="957" w:footer="940" w:top="1240" w:bottom="1140" w:left="20" w:right="20"/>
          <w:cols w:num="2" w:equalWidth="0">
            <w:col w:w="7714" w:space="40"/>
            <w:col w:w="4116"/>
          </w:cols>
        </w:sectPr>
      </w:pPr>
    </w:p>
    <w:p>
      <w:pPr>
        <w:pStyle w:val="BodyText"/>
      </w:pPr>
    </w:p>
    <w:p>
      <w:pPr>
        <w:spacing w:after="0"/>
        <w:sectPr>
          <w:type w:val="continuous"/>
          <w:pgSz w:w="11910" w:h="16840"/>
          <w:pgMar w:header="957" w:footer="940" w:top="1240" w:bottom="1140" w:left="20" w:right="20"/>
        </w:sect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8"/>
        <w:rPr>
          <w:sz w:val="16"/>
        </w:rPr>
      </w:pPr>
    </w:p>
    <w:p>
      <w:pPr>
        <w:spacing w:line="247" w:lineRule="auto" w:before="0"/>
        <w:ind w:left="2488" w:right="-8" w:firstLine="72"/>
        <w:jc w:val="left"/>
        <w:rPr>
          <w:sz w:val="13"/>
        </w:rPr>
      </w:pPr>
      <w:r>
        <w:rPr>
          <w:spacing w:val="-2"/>
          <w:w w:val="85"/>
          <w:sz w:val="13"/>
        </w:rPr>
        <w:t>Financial</w:t>
      </w:r>
      <w:r>
        <w:rPr>
          <w:spacing w:val="40"/>
          <w:sz w:val="13"/>
        </w:rPr>
        <w:t> </w:t>
      </w:r>
      <w:r>
        <w:rPr>
          <w:spacing w:val="-2"/>
          <w:w w:val="75"/>
          <w:sz w:val="13"/>
        </w:rPr>
        <w:t>Planning</w:t>
      </w:r>
      <w:r>
        <w:rPr>
          <w:spacing w:val="-3"/>
          <w:w w:val="75"/>
          <w:sz w:val="13"/>
        </w:rPr>
        <w:t> </w:t>
      </w:r>
      <w:r>
        <w:rPr>
          <w:spacing w:val="-2"/>
          <w:w w:val="75"/>
          <w:sz w:val="13"/>
        </w:rPr>
        <w:t>and</w:t>
      </w:r>
      <w:r>
        <w:rPr>
          <w:spacing w:val="40"/>
          <w:sz w:val="13"/>
        </w:rPr>
        <w:t> </w:t>
      </w:r>
      <w:r>
        <w:rPr>
          <w:w w:val="70"/>
          <w:sz w:val="13"/>
        </w:rPr>
        <w:t>Control</w:t>
      </w:r>
      <w:r>
        <w:rPr>
          <w:spacing w:val="-7"/>
          <w:sz w:val="13"/>
        </w:rPr>
        <w:t> </w:t>
      </w:r>
      <w:r>
        <w:rPr>
          <w:spacing w:val="-4"/>
          <w:w w:val="80"/>
          <w:sz w:val="13"/>
        </w:rPr>
        <w:t>Unit</w:t>
      </w:r>
    </w:p>
    <w:p>
      <w:pPr>
        <w:spacing w:line="240" w:lineRule="auto" w:before="1"/>
        <w:rPr>
          <w:sz w:val="19"/>
        </w:rPr>
      </w:pPr>
      <w:r>
        <w:rPr/>
        <w:br w:type="column"/>
      </w:r>
      <w:r>
        <w:rPr>
          <w:sz w:val="19"/>
        </w:rPr>
      </w:r>
    </w:p>
    <w:p>
      <w:pPr>
        <w:spacing w:before="0"/>
        <w:ind w:left="71" w:right="0" w:firstLine="0"/>
        <w:jc w:val="left"/>
        <w:rPr>
          <w:sz w:val="13"/>
        </w:rPr>
      </w:pPr>
      <w:r>
        <w:rPr>
          <w:spacing w:val="-2"/>
          <w:w w:val="75"/>
          <w:sz w:val="13"/>
        </w:rPr>
        <w:t>PROSECUTOR</w:t>
      </w:r>
    </w:p>
    <w:p>
      <w:pPr>
        <w:spacing w:line="247" w:lineRule="auto" w:before="44"/>
        <w:ind w:left="55" w:right="-10" w:hanging="12"/>
        <w:jc w:val="left"/>
        <w:rPr>
          <w:sz w:val="13"/>
        </w:rPr>
      </w:pPr>
      <w:r>
        <w:rPr>
          <w:spacing w:val="-2"/>
          <w:w w:val="75"/>
          <w:sz w:val="13"/>
        </w:rPr>
        <w:t>Immediate</w:t>
      </w:r>
      <w:r>
        <w:rPr>
          <w:spacing w:val="-4"/>
          <w:w w:val="75"/>
          <w:sz w:val="13"/>
        </w:rPr>
        <w:t> </w:t>
      </w:r>
      <w:r>
        <w:rPr>
          <w:spacing w:val="-2"/>
          <w:w w:val="75"/>
          <w:sz w:val="13"/>
        </w:rPr>
        <w:t>Office</w:t>
      </w:r>
      <w:r>
        <w:rPr>
          <w:spacing w:val="40"/>
          <w:sz w:val="13"/>
        </w:rPr>
        <w:t> </w:t>
      </w:r>
      <w:r>
        <w:rPr>
          <w:w w:val="70"/>
          <w:sz w:val="13"/>
        </w:rPr>
        <w:t>of</w:t>
      </w:r>
      <w:r>
        <w:rPr>
          <w:spacing w:val="-7"/>
          <w:sz w:val="13"/>
        </w:rPr>
        <w:t> </w:t>
      </w:r>
      <w:r>
        <w:rPr>
          <w:w w:val="70"/>
          <w:sz w:val="13"/>
        </w:rPr>
        <w:t>the</w:t>
      </w:r>
      <w:r>
        <w:rPr>
          <w:spacing w:val="-2"/>
          <w:w w:val="70"/>
          <w:sz w:val="13"/>
        </w:rPr>
        <w:t> Prosecutor</w:t>
      </w:r>
    </w:p>
    <w:p>
      <w:pPr>
        <w:spacing w:line="240" w:lineRule="auto" w:before="0"/>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
        <w:rPr>
          <w:sz w:val="18"/>
        </w:rPr>
      </w:pPr>
    </w:p>
    <w:p>
      <w:pPr>
        <w:spacing w:line="247" w:lineRule="auto" w:before="0"/>
        <w:ind w:left="137" w:right="0" w:hanging="2"/>
        <w:jc w:val="center"/>
        <w:rPr>
          <w:sz w:val="13"/>
        </w:rPr>
      </w:pPr>
      <w:r>
        <w:rPr>
          <w:w w:val="85"/>
          <w:sz w:val="13"/>
        </w:rPr>
        <w:t>Office</w:t>
      </w:r>
      <w:r>
        <w:rPr>
          <w:spacing w:val="-8"/>
          <w:w w:val="85"/>
          <w:sz w:val="13"/>
        </w:rPr>
        <w:t> </w:t>
      </w:r>
      <w:r>
        <w:rPr>
          <w:w w:val="85"/>
          <w:sz w:val="13"/>
        </w:rPr>
        <w:t>of</w:t>
      </w:r>
      <w:r>
        <w:rPr>
          <w:spacing w:val="40"/>
          <w:sz w:val="13"/>
        </w:rPr>
        <w:t> </w:t>
      </w:r>
      <w:r>
        <w:rPr>
          <w:spacing w:val="-2"/>
          <w:w w:val="75"/>
          <w:sz w:val="13"/>
        </w:rPr>
        <w:t>External</w:t>
      </w:r>
      <w:r>
        <w:rPr>
          <w:spacing w:val="-7"/>
          <w:w w:val="75"/>
          <w:sz w:val="13"/>
        </w:rPr>
        <w:t> </w:t>
      </w:r>
      <w:r>
        <w:rPr>
          <w:spacing w:val="-2"/>
          <w:w w:val="75"/>
          <w:sz w:val="13"/>
        </w:rPr>
        <w:t>Affairs</w:t>
      </w:r>
    </w:p>
    <w:p>
      <w:pPr>
        <w:pStyle w:val="BodyText"/>
        <w:rPr>
          <w:sz w:val="14"/>
        </w:rPr>
      </w:pPr>
    </w:p>
    <w:p>
      <w:pPr>
        <w:pStyle w:val="BodyText"/>
        <w:spacing w:before="9"/>
        <w:rPr>
          <w:sz w:val="13"/>
        </w:rPr>
      </w:pPr>
    </w:p>
    <w:p>
      <w:pPr>
        <w:spacing w:line="247" w:lineRule="auto" w:before="0"/>
        <w:ind w:left="217" w:right="74" w:hanging="2"/>
        <w:jc w:val="center"/>
        <w:rPr>
          <w:sz w:val="13"/>
        </w:rPr>
      </w:pPr>
      <w:r>
        <w:rPr>
          <w:spacing w:val="-2"/>
          <w:w w:val="85"/>
          <w:sz w:val="13"/>
        </w:rPr>
        <w:t>Public</w:t>
      </w:r>
      <w:r>
        <w:rPr>
          <w:spacing w:val="40"/>
          <w:sz w:val="13"/>
        </w:rPr>
        <w:t> </w:t>
      </w:r>
      <w:r>
        <w:rPr>
          <w:spacing w:val="-2"/>
          <w:w w:val="75"/>
          <w:sz w:val="13"/>
        </w:rPr>
        <w:t>Information</w:t>
      </w:r>
      <w:r>
        <w:rPr>
          <w:spacing w:val="40"/>
          <w:sz w:val="13"/>
        </w:rPr>
        <w:t> </w:t>
      </w:r>
      <w:r>
        <w:rPr>
          <w:spacing w:val="-4"/>
          <w:w w:val="85"/>
          <w:sz w:val="13"/>
        </w:rPr>
        <w:t>Unit</w:t>
      </w:r>
    </w:p>
    <w:p>
      <w:pPr>
        <w:spacing w:line="240" w:lineRule="auto" w:before="0"/>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3"/>
        <w:rPr>
          <w:sz w:val="16"/>
        </w:rPr>
      </w:pPr>
    </w:p>
    <w:p>
      <w:pPr>
        <w:spacing w:before="1"/>
        <w:ind w:left="1670" w:right="0" w:firstLine="0"/>
        <w:jc w:val="left"/>
        <w:rPr>
          <w:sz w:val="13"/>
        </w:rPr>
      </w:pPr>
      <w:r>
        <w:rPr>
          <w:w w:val="70"/>
          <w:sz w:val="13"/>
        </w:rPr>
        <w:t>Immediate</w:t>
      </w:r>
      <w:r>
        <w:rPr>
          <w:spacing w:val="-3"/>
          <w:sz w:val="13"/>
        </w:rPr>
        <w:t> </w:t>
      </w:r>
      <w:r>
        <w:rPr>
          <w:spacing w:val="-6"/>
          <w:w w:val="80"/>
          <w:sz w:val="13"/>
        </w:rPr>
        <w:t>Office</w:t>
      </w:r>
    </w:p>
    <w:p>
      <w:pPr>
        <w:spacing w:before="1"/>
        <w:ind w:left="1707" w:right="0" w:firstLine="0"/>
        <w:jc w:val="left"/>
        <w:rPr>
          <w:rFonts w:ascii="Calibri"/>
          <w:sz w:val="13"/>
        </w:rPr>
      </w:pPr>
      <w:r>
        <w:rPr>
          <w:rFonts w:ascii="Calibri"/>
          <w:w w:val="70"/>
          <w:sz w:val="13"/>
        </w:rPr>
        <w:t>of</w:t>
      </w:r>
      <w:r>
        <w:rPr>
          <w:rFonts w:ascii="Calibri"/>
          <w:spacing w:val="-6"/>
          <w:sz w:val="13"/>
        </w:rPr>
        <w:t> </w:t>
      </w:r>
      <w:r>
        <w:rPr>
          <w:rFonts w:ascii="Calibri"/>
          <w:w w:val="70"/>
          <w:sz w:val="13"/>
        </w:rPr>
        <w:t>the</w:t>
      </w:r>
      <w:r>
        <w:rPr>
          <w:rFonts w:ascii="Calibri"/>
          <w:spacing w:val="-5"/>
          <w:sz w:val="13"/>
        </w:rPr>
        <w:t> </w:t>
      </w:r>
      <w:r>
        <w:rPr>
          <w:rFonts w:ascii="Calibri"/>
          <w:spacing w:val="-2"/>
          <w:w w:val="70"/>
          <w:sz w:val="13"/>
        </w:rPr>
        <w:t>Registrar</w:t>
      </w:r>
    </w:p>
    <w:p>
      <w:pPr>
        <w:spacing w:line="240" w:lineRule="auto" w:before="0"/>
        <w:rPr>
          <w:rFonts w:ascii="Calibri"/>
          <w:sz w:val="14"/>
        </w:rPr>
      </w:pPr>
      <w:r>
        <w:rPr/>
        <w:br w:type="column"/>
      </w:r>
      <w:r>
        <w:rPr>
          <w:rFonts w:ascii="Calibri"/>
          <w:sz w:val="14"/>
        </w:rPr>
      </w:r>
    </w:p>
    <w:p>
      <w:pPr>
        <w:pStyle w:val="BodyText"/>
        <w:spacing w:before="7"/>
        <w:rPr>
          <w:rFonts w:ascii="Calibri"/>
          <w:sz w:val="16"/>
        </w:rPr>
      </w:pPr>
    </w:p>
    <w:p>
      <w:pPr>
        <w:spacing w:before="0"/>
        <w:ind w:left="146" w:right="0" w:firstLine="0"/>
        <w:jc w:val="left"/>
        <w:rPr>
          <w:sz w:val="13"/>
        </w:rPr>
      </w:pPr>
      <w:r>
        <w:rPr>
          <w:spacing w:val="-2"/>
          <w:w w:val="75"/>
          <w:sz w:val="13"/>
        </w:rPr>
        <w:t>REGISTRY</w:t>
      </w:r>
    </w:p>
    <w:p>
      <w:pPr>
        <w:pStyle w:val="BodyText"/>
        <w:rPr>
          <w:sz w:val="14"/>
        </w:rPr>
      </w:pPr>
    </w:p>
    <w:p>
      <w:pPr>
        <w:pStyle w:val="BodyText"/>
        <w:rPr>
          <w:sz w:val="14"/>
        </w:rPr>
      </w:pPr>
    </w:p>
    <w:p>
      <w:pPr>
        <w:pStyle w:val="BodyText"/>
        <w:rPr>
          <w:sz w:val="14"/>
        </w:rPr>
      </w:pPr>
    </w:p>
    <w:p>
      <w:pPr>
        <w:pStyle w:val="BodyText"/>
        <w:spacing w:before="8"/>
      </w:pPr>
    </w:p>
    <w:p>
      <w:pPr>
        <w:spacing w:before="0"/>
        <w:ind w:left="119" w:right="0" w:firstLine="0"/>
        <w:jc w:val="left"/>
        <w:rPr>
          <w:sz w:val="13"/>
        </w:rPr>
      </w:pPr>
      <w:r>
        <w:rPr>
          <w:w w:val="70"/>
          <w:sz w:val="13"/>
        </w:rPr>
        <w:t>The</w:t>
      </w:r>
      <w:r>
        <w:rPr>
          <w:spacing w:val="-1"/>
          <w:w w:val="70"/>
          <w:sz w:val="13"/>
        </w:rPr>
        <w:t> </w:t>
      </w:r>
      <w:r>
        <w:rPr>
          <w:spacing w:val="-2"/>
          <w:w w:val="75"/>
          <w:sz w:val="13"/>
        </w:rPr>
        <w:t>Registrar</w:t>
      </w:r>
    </w:p>
    <w:p>
      <w:pPr>
        <w:spacing w:line="240" w:lineRule="auto" w:before="0"/>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3"/>
        </w:rPr>
      </w:pPr>
    </w:p>
    <w:p>
      <w:pPr>
        <w:spacing w:before="0"/>
        <w:ind w:left="108" w:right="0" w:firstLine="0"/>
        <w:jc w:val="left"/>
        <w:rPr>
          <w:sz w:val="13"/>
        </w:rPr>
      </w:pPr>
      <w:r>
        <w:rPr>
          <w:w w:val="70"/>
          <w:sz w:val="13"/>
        </w:rPr>
        <w:t>Legal</w:t>
      </w:r>
      <w:r>
        <w:rPr>
          <w:spacing w:val="-5"/>
          <w:sz w:val="13"/>
        </w:rPr>
        <w:t> </w:t>
      </w:r>
      <w:r>
        <w:rPr>
          <w:spacing w:val="-2"/>
          <w:w w:val="85"/>
          <w:sz w:val="13"/>
        </w:rPr>
        <w:t>Office</w:t>
      </w:r>
    </w:p>
    <w:p>
      <w:pPr>
        <w:pStyle w:val="BodyText"/>
        <w:rPr>
          <w:sz w:val="14"/>
        </w:rPr>
      </w:pPr>
    </w:p>
    <w:p>
      <w:pPr>
        <w:pStyle w:val="BodyText"/>
        <w:spacing w:before="6"/>
        <w:rPr>
          <w:sz w:val="12"/>
        </w:rPr>
      </w:pPr>
    </w:p>
    <w:p>
      <w:pPr>
        <w:spacing w:before="0"/>
        <w:ind w:left="70" w:right="0" w:firstLine="0"/>
        <w:jc w:val="center"/>
        <w:rPr>
          <w:sz w:val="13"/>
        </w:rPr>
      </w:pPr>
      <w:r>
        <w:rPr>
          <w:w w:val="70"/>
          <w:sz w:val="13"/>
        </w:rPr>
        <w:t>Office</w:t>
      </w:r>
      <w:r>
        <w:rPr>
          <w:spacing w:val="-10"/>
          <w:sz w:val="13"/>
        </w:rPr>
        <w:t> </w:t>
      </w:r>
      <w:r>
        <w:rPr>
          <w:w w:val="70"/>
          <w:sz w:val="13"/>
        </w:rPr>
        <w:t>of</w:t>
      </w:r>
      <w:r>
        <w:rPr>
          <w:spacing w:val="-4"/>
          <w:sz w:val="13"/>
        </w:rPr>
        <w:t> </w:t>
      </w:r>
      <w:r>
        <w:rPr>
          <w:w w:val="70"/>
          <w:sz w:val="13"/>
        </w:rPr>
        <w:t>the</w:t>
      </w:r>
      <w:r>
        <w:rPr>
          <w:spacing w:val="-2"/>
          <w:sz w:val="13"/>
        </w:rPr>
        <w:t> </w:t>
      </w:r>
      <w:r>
        <w:rPr>
          <w:w w:val="70"/>
          <w:sz w:val="13"/>
        </w:rPr>
        <w:t>Focal</w:t>
      </w:r>
      <w:r>
        <w:rPr>
          <w:spacing w:val="-5"/>
          <w:sz w:val="13"/>
        </w:rPr>
        <w:t> </w:t>
      </w:r>
      <w:r>
        <w:rPr>
          <w:w w:val="70"/>
          <w:sz w:val="13"/>
        </w:rPr>
        <w:t>Point</w:t>
      </w:r>
      <w:r>
        <w:rPr>
          <w:spacing w:val="-3"/>
          <w:w w:val="70"/>
          <w:sz w:val="13"/>
        </w:rPr>
        <w:t> </w:t>
      </w:r>
      <w:r>
        <w:rPr>
          <w:spacing w:val="-5"/>
          <w:w w:val="70"/>
          <w:sz w:val="13"/>
        </w:rPr>
        <w:t>for</w:t>
      </w:r>
    </w:p>
    <w:p>
      <w:pPr>
        <w:spacing w:before="4"/>
        <w:ind w:left="69" w:right="0" w:firstLine="0"/>
        <w:jc w:val="center"/>
        <w:rPr>
          <w:sz w:val="13"/>
        </w:rPr>
      </w:pPr>
      <w:r>
        <w:rPr>
          <w:w w:val="70"/>
          <w:sz w:val="13"/>
        </w:rPr>
        <w:t>Gender</w:t>
      </w:r>
      <w:r>
        <w:rPr>
          <w:spacing w:val="-2"/>
          <w:sz w:val="13"/>
        </w:rPr>
        <w:t> </w:t>
      </w:r>
      <w:r>
        <w:rPr>
          <w:spacing w:val="-2"/>
          <w:w w:val="85"/>
          <w:sz w:val="13"/>
        </w:rPr>
        <w:t>Equality</w:t>
      </w:r>
    </w:p>
    <w:p>
      <w:pPr>
        <w:spacing w:line="240" w:lineRule="auto" w:before="0"/>
        <w:rPr>
          <w:sz w:val="14"/>
        </w:rPr>
      </w:pPr>
      <w:r>
        <w:rPr/>
        <w:br w:type="column"/>
      </w:r>
      <w:r>
        <w:rPr>
          <w:sz w:val="14"/>
        </w:rPr>
      </w:r>
    </w:p>
    <w:p>
      <w:pPr>
        <w:pStyle w:val="BodyText"/>
        <w:spacing w:before="1"/>
        <w:rPr>
          <w:sz w:val="16"/>
        </w:rPr>
      </w:pPr>
    </w:p>
    <w:p>
      <w:pPr>
        <w:spacing w:line="247" w:lineRule="auto" w:before="0"/>
        <w:ind w:left="230" w:right="1167" w:firstLine="0"/>
        <w:jc w:val="center"/>
        <w:rPr>
          <w:sz w:val="13"/>
        </w:rPr>
      </w:pPr>
      <w:r>
        <w:rPr>
          <w:spacing w:val="-2"/>
          <w:w w:val="75"/>
          <w:sz w:val="13"/>
        </w:rPr>
        <w:t>Secretariat</w:t>
      </w:r>
      <w:r>
        <w:rPr>
          <w:spacing w:val="-6"/>
          <w:w w:val="75"/>
          <w:sz w:val="13"/>
        </w:rPr>
        <w:t> </w:t>
      </w:r>
      <w:r>
        <w:rPr>
          <w:spacing w:val="-2"/>
          <w:w w:val="75"/>
          <w:sz w:val="13"/>
        </w:rPr>
        <w:t>of</w:t>
      </w:r>
      <w:r>
        <w:rPr>
          <w:spacing w:val="-5"/>
          <w:w w:val="75"/>
          <w:sz w:val="13"/>
        </w:rPr>
        <w:t> </w:t>
      </w:r>
      <w:r>
        <w:rPr>
          <w:spacing w:val="-2"/>
          <w:w w:val="75"/>
          <w:sz w:val="13"/>
        </w:rPr>
        <w:t>the</w:t>
      </w:r>
      <w:r>
        <w:rPr>
          <w:spacing w:val="-3"/>
          <w:w w:val="75"/>
          <w:sz w:val="13"/>
        </w:rPr>
        <w:t> </w:t>
      </w:r>
      <w:r>
        <w:rPr>
          <w:spacing w:val="-2"/>
          <w:w w:val="75"/>
          <w:sz w:val="13"/>
        </w:rPr>
        <w:t>Assembly of</w:t>
      </w:r>
      <w:r>
        <w:rPr>
          <w:spacing w:val="-5"/>
          <w:w w:val="75"/>
          <w:sz w:val="13"/>
        </w:rPr>
        <w:t> </w:t>
      </w:r>
      <w:r>
        <w:rPr>
          <w:spacing w:val="-2"/>
          <w:w w:val="75"/>
          <w:sz w:val="13"/>
        </w:rPr>
        <w:t>States</w:t>
      </w:r>
      <w:r>
        <w:rPr>
          <w:spacing w:val="-4"/>
          <w:sz w:val="13"/>
        </w:rPr>
        <w:t> </w:t>
      </w:r>
      <w:r>
        <w:rPr>
          <w:spacing w:val="-2"/>
          <w:w w:val="75"/>
          <w:sz w:val="13"/>
        </w:rPr>
        <w:t>Parties</w:t>
      </w:r>
      <w:r>
        <w:rPr>
          <w:spacing w:val="40"/>
          <w:sz w:val="13"/>
        </w:rPr>
        <w:t> </w:t>
      </w:r>
      <w:r>
        <w:rPr>
          <w:spacing w:val="-4"/>
          <w:w w:val="85"/>
          <w:sz w:val="13"/>
        </w:rPr>
        <w:t>(*)</w:t>
      </w:r>
    </w:p>
    <w:p>
      <w:pPr>
        <w:pStyle w:val="BodyText"/>
        <w:spacing w:before="3"/>
        <w:rPr>
          <w:sz w:val="17"/>
        </w:rPr>
      </w:pPr>
    </w:p>
    <w:p>
      <w:pPr>
        <w:spacing w:line="247" w:lineRule="auto" w:before="0"/>
        <w:ind w:left="298" w:right="1233" w:firstLine="0"/>
        <w:jc w:val="center"/>
        <w:rPr>
          <w:sz w:val="13"/>
        </w:rPr>
      </w:pPr>
      <w:r>
        <w:rPr>
          <w:spacing w:val="-2"/>
          <w:w w:val="75"/>
          <w:sz w:val="13"/>
        </w:rPr>
        <w:t>Secretariat</w:t>
      </w:r>
      <w:r>
        <w:rPr>
          <w:spacing w:val="-5"/>
          <w:w w:val="75"/>
          <w:sz w:val="13"/>
        </w:rPr>
        <w:t> </w:t>
      </w:r>
      <w:r>
        <w:rPr>
          <w:spacing w:val="-2"/>
          <w:w w:val="75"/>
          <w:sz w:val="13"/>
        </w:rPr>
        <w:t>of</w:t>
      </w:r>
      <w:r>
        <w:rPr>
          <w:spacing w:val="-3"/>
          <w:w w:val="75"/>
          <w:sz w:val="13"/>
        </w:rPr>
        <w:t> </w:t>
      </w:r>
      <w:r>
        <w:rPr>
          <w:spacing w:val="-2"/>
          <w:w w:val="75"/>
          <w:sz w:val="13"/>
        </w:rPr>
        <w:t>the Trust</w:t>
      </w:r>
      <w:r>
        <w:rPr>
          <w:spacing w:val="-5"/>
          <w:w w:val="75"/>
          <w:sz w:val="13"/>
        </w:rPr>
        <w:t> </w:t>
      </w:r>
      <w:r>
        <w:rPr>
          <w:spacing w:val="-2"/>
          <w:w w:val="75"/>
          <w:sz w:val="13"/>
        </w:rPr>
        <w:t>Fund for</w:t>
      </w:r>
      <w:r>
        <w:rPr>
          <w:spacing w:val="-3"/>
          <w:w w:val="75"/>
          <w:sz w:val="13"/>
        </w:rPr>
        <w:t> </w:t>
      </w:r>
      <w:r>
        <w:rPr>
          <w:spacing w:val="-2"/>
          <w:w w:val="75"/>
          <w:sz w:val="13"/>
        </w:rPr>
        <w:t>Victims</w:t>
      </w:r>
      <w:r>
        <w:rPr>
          <w:spacing w:val="40"/>
          <w:sz w:val="13"/>
        </w:rPr>
        <w:t> </w:t>
      </w:r>
      <w:r>
        <w:rPr>
          <w:spacing w:val="-4"/>
          <w:w w:val="85"/>
          <w:sz w:val="13"/>
        </w:rPr>
        <w:t>(**)</w:t>
      </w:r>
    </w:p>
    <w:p>
      <w:pPr>
        <w:pStyle w:val="BodyText"/>
        <w:spacing w:before="1"/>
        <w:rPr>
          <w:sz w:val="19"/>
        </w:rPr>
      </w:pPr>
    </w:p>
    <w:p>
      <w:pPr>
        <w:spacing w:before="0"/>
        <w:ind w:left="230" w:right="1163" w:firstLine="0"/>
        <w:jc w:val="center"/>
        <w:rPr>
          <w:sz w:val="13"/>
        </w:rPr>
      </w:pPr>
      <w:r>
        <w:rPr>
          <w:w w:val="70"/>
          <w:sz w:val="13"/>
        </w:rPr>
        <w:t>Independent</w:t>
      </w:r>
      <w:r>
        <w:rPr>
          <w:sz w:val="13"/>
        </w:rPr>
        <w:t> </w:t>
      </w:r>
      <w:r>
        <w:rPr>
          <w:w w:val="70"/>
          <w:sz w:val="13"/>
        </w:rPr>
        <w:t>Oversight</w:t>
      </w:r>
      <w:r>
        <w:rPr>
          <w:sz w:val="13"/>
        </w:rPr>
        <w:t> </w:t>
      </w:r>
      <w:r>
        <w:rPr>
          <w:spacing w:val="-2"/>
          <w:w w:val="70"/>
          <w:sz w:val="13"/>
        </w:rPr>
        <w:t>Mechanism</w:t>
      </w:r>
    </w:p>
    <w:p>
      <w:pPr>
        <w:spacing w:before="4"/>
        <w:ind w:left="935" w:right="1869" w:firstLine="0"/>
        <w:jc w:val="center"/>
        <w:rPr>
          <w:sz w:val="13"/>
        </w:rPr>
      </w:pPr>
      <w:r>
        <w:rPr>
          <w:spacing w:val="-2"/>
          <w:w w:val="85"/>
          <w:sz w:val="13"/>
        </w:rPr>
        <w:t>(***)</w:t>
      </w:r>
    </w:p>
    <w:p>
      <w:pPr>
        <w:pStyle w:val="BodyText"/>
        <w:spacing w:before="8"/>
        <w:rPr>
          <w:sz w:val="15"/>
        </w:rPr>
      </w:pPr>
    </w:p>
    <w:p>
      <w:pPr>
        <w:spacing w:before="0"/>
        <w:ind w:left="230" w:right="1163" w:firstLine="0"/>
        <w:jc w:val="center"/>
        <w:rPr>
          <w:sz w:val="13"/>
        </w:rPr>
      </w:pPr>
      <w:r>
        <w:rPr>
          <w:w w:val="70"/>
          <w:sz w:val="13"/>
        </w:rPr>
        <w:t>Office</w:t>
      </w:r>
      <w:r>
        <w:rPr>
          <w:spacing w:val="-7"/>
          <w:sz w:val="13"/>
        </w:rPr>
        <w:t> </w:t>
      </w:r>
      <w:r>
        <w:rPr>
          <w:w w:val="70"/>
          <w:sz w:val="13"/>
        </w:rPr>
        <w:t>of</w:t>
      </w:r>
      <w:r>
        <w:rPr>
          <w:sz w:val="13"/>
        </w:rPr>
        <w:t> </w:t>
      </w:r>
      <w:r>
        <w:rPr>
          <w:w w:val="70"/>
          <w:sz w:val="13"/>
        </w:rPr>
        <w:t>Internal</w:t>
      </w:r>
      <w:r>
        <w:rPr>
          <w:spacing w:val="-1"/>
          <w:w w:val="70"/>
          <w:sz w:val="13"/>
        </w:rPr>
        <w:t> </w:t>
      </w:r>
      <w:r>
        <w:rPr>
          <w:spacing w:val="-2"/>
          <w:w w:val="70"/>
          <w:sz w:val="13"/>
        </w:rPr>
        <w:t>Audit</w:t>
      </w:r>
    </w:p>
    <w:p>
      <w:pPr>
        <w:spacing w:after="0"/>
        <w:jc w:val="center"/>
        <w:rPr>
          <w:sz w:val="13"/>
        </w:rPr>
        <w:sectPr>
          <w:type w:val="continuous"/>
          <w:pgSz w:w="11910" w:h="16840"/>
          <w:pgMar w:header="957" w:footer="940" w:top="1240" w:bottom="1140" w:left="20" w:right="20"/>
          <w:cols w:num="7" w:equalWidth="0">
            <w:col w:w="2987" w:space="40"/>
            <w:col w:w="710" w:space="39"/>
            <w:col w:w="747" w:space="40"/>
            <w:col w:w="2337" w:space="39"/>
            <w:col w:w="634" w:space="40"/>
            <w:col w:w="1143" w:space="39"/>
            <w:col w:w="3075"/>
          </w:cols>
        </w:sectPr>
      </w:pPr>
    </w:p>
    <w:p>
      <w:pPr>
        <w:pStyle w:val="BodyText"/>
        <w:spacing w:before="3"/>
        <w:rPr>
          <w:sz w:val="15"/>
        </w:rPr>
      </w:pPr>
    </w:p>
    <w:p>
      <w:pPr>
        <w:spacing w:after="0"/>
        <w:rPr>
          <w:sz w:val="15"/>
        </w:rPr>
        <w:sectPr>
          <w:type w:val="continuous"/>
          <w:pgSz w:w="11910" w:h="16840"/>
          <w:pgMar w:header="957" w:footer="940" w:top="1240" w:bottom="1140" w:left="20" w:right="20"/>
        </w:sectPr>
      </w:pPr>
    </w:p>
    <w:p>
      <w:pPr>
        <w:pStyle w:val="BodyText"/>
        <w:spacing w:before="5"/>
        <w:rPr>
          <w:sz w:val="13"/>
        </w:rPr>
      </w:pPr>
    </w:p>
    <w:p>
      <w:pPr>
        <w:spacing w:before="0"/>
        <w:ind w:left="0" w:right="0" w:firstLine="0"/>
        <w:jc w:val="right"/>
        <w:rPr>
          <w:sz w:val="13"/>
        </w:rPr>
      </w:pPr>
      <w:r>
        <w:rPr>
          <w:w w:val="70"/>
          <w:sz w:val="13"/>
        </w:rPr>
        <w:t>OTP-HR</w:t>
      </w:r>
      <w:r>
        <w:rPr>
          <w:spacing w:val="-2"/>
          <w:sz w:val="13"/>
        </w:rPr>
        <w:t> </w:t>
      </w:r>
      <w:r>
        <w:rPr>
          <w:spacing w:val="-2"/>
          <w:w w:val="70"/>
          <w:sz w:val="13"/>
        </w:rPr>
        <w:t>Office</w:t>
      </w:r>
    </w:p>
    <w:p>
      <w:pPr>
        <w:spacing w:line="247" w:lineRule="auto" w:before="95"/>
        <w:ind w:left="997" w:right="0" w:hanging="154"/>
        <w:jc w:val="left"/>
        <w:rPr>
          <w:sz w:val="13"/>
        </w:rPr>
      </w:pPr>
      <w:r>
        <w:rPr/>
        <w:br w:type="column"/>
      </w:r>
      <w:r>
        <w:rPr>
          <w:spacing w:val="-4"/>
          <w:w w:val="75"/>
          <w:sz w:val="13"/>
        </w:rPr>
        <w:t>Legal</w:t>
      </w:r>
      <w:r>
        <w:rPr>
          <w:spacing w:val="-8"/>
          <w:sz w:val="13"/>
        </w:rPr>
        <w:t> </w:t>
      </w:r>
      <w:r>
        <w:rPr>
          <w:spacing w:val="-4"/>
          <w:w w:val="75"/>
          <w:sz w:val="13"/>
        </w:rPr>
        <w:t>Advisory</w:t>
      </w:r>
      <w:r>
        <w:rPr>
          <w:spacing w:val="40"/>
          <w:sz w:val="13"/>
        </w:rPr>
        <w:t> </w:t>
      </w:r>
      <w:r>
        <w:rPr>
          <w:spacing w:val="-2"/>
          <w:w w:val="85"/>
          <w:sz w:val="13"/>
        </w:rPr>
        <w:t>Section</w:t>
      </w:r>
    </w:p>
    <w:p>
      <w:pPr>
        <w:spacing w:line="240" w:lineRule="auto" w:before="0"/>
        <w:rPr>
          <w:sz w:val="14"/>
        </w:rPr>
      </w:pPr>
      <w:r>
        <w:rPr/>
        <w:br w:type="column"/>
      </w:r>
      <w:r>
        <w:rPr>
          <w:sz w:val="14"/>
        </w:rPr>
      </w:r>
    </w:p>
    <w:p>
      <w:pPr>
        <w:pStyle w:val="BodyText"/>
        <w:rPr>
          <w:sz w:val="14"/>
        </w:rPr>
      </w:pPr>
    </w:p>
    <w:p>
      <w:pPr>
        <w:pStyle w:val="BodyText"/>
        <w:spacing w:before="5"/>
        <w:rPr>
          <w:sz w:val="11"/>
        </w:rPr>
      </w:pPr>
    </w:p>
    <w:p>
      <w:pPr>
        <w:spacing w:before="0"/>
        <w:ind w:left="1728" w:right="0" w:firstLine="0"/>
        <w:jc w:val="center"/>
        <w:rPr>
          <w:sz w:val="13"/>
        </w:rPr>
      </w:pPr>
      <w:r>
        <w:rPr>
          <w:w w:val="70"/>
          <w:sz w:val="13"/>
        </w:rPr>
        <w:t>Division</w:t>
      </w:r>
      <w:r>
        <w:rPr>
          <w:spacing w:val="-3"/>
          <w:w w:val="85"/>
          <w:sz w:val="13"/>
        </w:rPr>
        <w:t> </w:t>
      </w:r>
      <w:r>
        <w:rPr>
          <w:spacing w:val="-5"/>
          <w:w w:val="85"/>
          <w:sz w:val="13"/>
        </w:rPr>
        <w:t>of</w:t>
      </w:r>
    </w:p>
    <w:p>
      <w:pPr>
        <w:spacing w:before="5"/>
        <w:ind w:left="1723" w:right="0" w:firstLine="0"/>
        <w:jc w:val="center"/>
        <w:rPr>
          <w:sz w:val="13"/>
        </w:rPr>
      </w:pPr>
      <w:r>
        <w:rPr>
          <w:w w:val="70"/>
          <w:sz w:val="13"/>
        </w:rPr>
        <w:t>Management</w:t>
      </w:r>
      <w:r>
        <w:rPr>
          <w:sz w:val="13"/>
        </w:rPr>
        <w:t> </w:t>
      </w:r>
      <w:r>
        <w:rPr>
          <w:spacing w:val="-6"/>
          <w:w w:val="80"/>
          <w:sz w:val="13"/>
        </w:rPr>
        <w:t>Services</w:t>
      </w:r>
    </w:p>
    <w:p>
      <w:pPr>
        <w:spacing w:line="240" w:lineRule="auto" w:before="0"/>
        <w:rPr>
          <w:sz w:val="14"/>
        </w:rPr>
      </w:pPr>
      <w:r>
        <w:rPr/>
        <w:br w:type="column"/>
      </w:r>
      <w:r>
        <w:rPr>
          <w:sz w:val="14"/>
        </w:rPr>
      </w:r>
    </w:p>
    <w:p>
      <w:pPr>
        <w:pStyle w:val="BodyText"/>
        <w:rPr>
          <w:sz w:val="14"/>
        </w:rPr>
      </w:pPr>
    </w:p>
    <w:p>
      <w:pPr>
        <w:spacing w:line="247" w:lineRule="auto" w:before="121"/>
        <w:ind w:left="459" w:right="0" w:hanging="213"/>
        <w:jc w:val="left"/>
        <w:rPr>
          <w:sz w:val="13"/>
        </w:rPr>
      </w:pPr>
      <w:r>
        <w:rPr>
          <w:spacing w:val="-2"/>
          <w:w w:val="75"/>
          <w:sz w:val="13"/>
        </w:rPr>
        <w:t>Division</w:t>
      </w:r>
      <w:r>
        <w:rPr>
          <w:spacing w:val="-3"/>
          <w:w w:val="75"/>
          <w:sz w:val="13"/>
        </w:rPr>
        <w:t> </w:t>
      </w:r>
      <w:r>
        <w:rPr>
          <w:spacing w:val="-2"/>
          <w:w w:val="75"/>
          <w:sz w:val="13"/>
        </w:rPr>
        <w:t>of</w:t>
      </w:r>
      <w:r>
        <w:rPr>
          <w:spacing w:val="-6"/>
          <w:w w:val="75"/>
          <w:sz w:val="13"/>
        </w:rPr>
        <w:t> </w:t>
      </w:r>
      <w:r>
        <w:rPr>
          <w:spacing w:val="-2"/>
          <w:w w:val="75"/>
          <w:sz w:val="13"/>
        </w:rPr>
        <w:t>Judicial</w:t>
      </w:r>
      <w:r>
        <w:rPr>
          <w:spacing w:val="40"/>
          <w:sz w:val="13"/>
        </w:rPr>
        <w:t> </w:t>
      </w:r>
      <w:r>
        <w:rPr>
          <w:spacing w:val="-2"/>
          <w:w w:val="85"/>
          <w:sz w:val="13"/>
        </w:rPr>
        <w:t>Services</w:t>
      </w:r>
    </w:p>
    <w:p>
      <w:pPr>
        <w:spacing w:line="240" w:lineRule="auto" w:before="0"/>
        <w:rPr>
          <w:sz w:val="14"/>
        </w:rPr>
      </w:pPr>
      <w:r>
        <w:rPr/>
        <w:br w:type="column"/>
      </w:r>
      <w:r>
        <w:rPr>
          <w:sz w:val="14"/>
        </w:rPr>
      </w:r>
    </w:p>
    <w:p>
      <w:pPr>
        <w:pStyle w:val="BodyText"/>
        <w:rPr>
          <w:sz w:val="14"/>
        </w:rPr>
      </w:pPr>
    </w:p>
    <w:p>
      <w:pPr>
        <w:spacing w:line="247" w:lineRule="auto" w:before="121"/>
        <w:ind w:left="455" w:right="2217" w:hanging="179"/>
        <w:jc w:val="left"/>
        <w:rPr>
          <w:sz w:val="13"/>
        </w:rPr>
      </w:pPr>
      <w:r>
        <w:rPr>
          <w:spacing w:val="-2"/>
          <w:w w:val="75"/>
          <w:sz w:val="13"/>
        </w:rPr>
        <w:t>Division</w:t>
      </w:r>
      <w:r>
        <w:rPr>
          <w:spacing w:val="-3"/>
          <w:w w:val="75"/>
          <w:sz w:val="13"/>
        </w:rPr>
        <w:t> </w:t>
      </w:r>
      <w:r>
        <w:rPr>
          <w:spacing w:val="-2"/>
          <w:w w:val="75"/>
          <w:sz w:val="13"/>
        </w:rPr>
        <w:t>of</w:t>
      </w:r>
      <w:r>
        <w:rPr>
          <w:spacing w:val="-6"/>
          <w:w w:val="75"/>
          <w:sz w:val="13"/>
        </w:rPr>
        <w:t> </w:t>
      </w:r>
      <w:r>
        <w:rPr>
          <w:spacing w:val="-2"/>
          <w:w w:val="75"/>
          <w:sz w:val="13"/>
        </w:rPr>
        <w:t>External</w:t>
      </w:r>
      <w:r>
        <w:rPr>
          <w:spacing w:val="40"/>
          <w:sz w:val="13"/>
        </w:rPr>
        <w:t> </w:t>
      </w:r>
      <w:r>
        <w:rPr>
          <w:spacing w:val="-2"/>
          <w:w w:val="85"/>
          <w:sz w:val="13"/>
        </w:rPr>
        <w:t>Operations</w:t>
      </w:r>
    </w:p>
    <w:p>
      <w:pPr>
        <w:spacing w:after="0" w:line="247" w:lineRule="auto"/>
        <w:jc w:val="left"/>
        <w:rPr>
          <w:sz w:val="13"/>
        </w:rPr>
        <w:sectPr>
          <w:type w:val="continuous"/>
          <w:pgSz w:w="11910" w:h="16840"/>
          <w:pgMar w:header="957" w:footer="940" w:top="1240" w:bottom="1140" w:left="20" w:right="20"/>
          <w:cols w:num="5" w:equalWidth="0">
            <w:col w:w="3040" w:space="40"/>
            <w:col w:w="1433" w:space="39"/>
            <w:col w:w="2558" w:space="39"/>
            <w:col w:w="993" w:space="39"/>
            <w:col w:w="3689"/>
          </w:cols>
        </w:sect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4"/>
        <w:rPr>
          <w:sz w:val="12"/>
        </w:rPr>
      </w:pPr>
    </w:p>
    <w:p>
      <w:pPr>
        <w:spacing w:line="247" w:lineRule="auto" w:before="0"/>
        <w:ind w:left="1140" w:right="0" w:hanging="4"/>
        <w:jc w:val="center"/>
        <w:rPr>
          <w:sz w:val="13"/>
        </w:rPr>
      </w:pPr>
      <w:r>
        <w:rPr>
          <w:spacing w:val="-2"/>
          <w:w w:val="85"/>
          <w:sz w:val="13"/>
        </w:rPr>
        <w:t>Senior</w:t>
      </w:r>
      <w:r>
        <w:rPr>
          <w:spacing w:val="40"/>
          <w:sz w:val="13"/>
        </w:rPr>
        <w:t> </w:t>
      </w:r>
      <w:r>
        <w:rPr>
          <w:spacing w:val="-4"/>
          <w:w w:val="75"/>
          <w:sz w:val="13"/>
        </w:rPr>
        <w:t>Coordinators</w:t>
      </w:r>
      <w:r>
        <w:rPr>
          <w:spacing w:val="40"/>
          <w:sz w:val="13"/>
        </w:rPr>
        <w:t> </w:t>
      </w:r>
      <w:r>
        <w:rPr>
          <w:spacing w:val="-2"/>
          <w:w w:val="85"/>
          <w:sz w:val="13"/>
        </w:rPr>
        <w:t>(****)</w:t>
      </w:r>
    </w:p>
    <w:p>
      <w:pPr>
        <w:spacing w:line="240" w:lineRule="auto" w:before="10"/>
        <w:rPr>
          <w:sz w:val="14"/>
        </w:rPr>
      </w:pPr>
      <w:r>
        <w:rPr/>
        <w:br w:type="column"/>
      </w:r>
      <w:r>
        <w:rPr>
          <w:sz w:val="14"/>
        </w:rPr>
      </w:r>
    </w:p>
    <w:p>
      <w:pPr>
        <w:spacing w:before="0"/>
        <w:ind w:left="84" w:right="0" w:firstLine="0"/>
        <w:jc w:val="left"/>
        <w:rPr>
          <w:sz w:val="13"/>
        </w:rPr>
      </w:pPr>
      <w:r>
        <w:rPr>
          <w:spacing w:val="-2"/>
          <w:w w:val="85"/>
          <w:sz w:val="13"/>
        </w:rPr>
        <w:t>Deputy</w:t>
      </w:r>
    </w:p>
    <w:p>
      <w:pPr>
        <w:spacing w:before="4"/>
        <w:ind w:left="-15" w:right="0" w:firstLine="0"/>
        <w:jc w:val="left"/>
        <w:rPr>
          <w:sz w:val="13"/>
        </w:rPr>
      </w:pPr>
      <w:r>
        <w:rPr>
          <w:w w:val="70"/>
          <w:sz w:val="13"/>
        </w:rPr>
        <w:t>Prosecutor</w:t>
      </w:r>
      <w:r>
        <w:rPr>
          <w:spacing w:val="-2"/>
          <w:sz w:val="13"/>
        </w:rPr>
        <w:t> </w:t>
      </w:r>
      <w:r>
        <w:rPr>
          <w:spacing w:val="-10"/>
          <w:w w:val="85"/>
          <w:sz w:val="13"/>
        </w:rPr>
        <w:t>1</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spacing w:line="247" w:lineRule="auto" w:before="109"/>
        <w:ind w:left="42" w:right="0" w:hanging="4"/>
        <w:jc w:val="center"/>
        <w:rPr>
          <w:sz w:val="13"/>
        </w:rPr>
      </w:pPr>
      <w:r>
        <w:rPr>
          <w:spacing w:val="-2"/>
          <w:w w:val="80"/>
          <w:sz w:val="13"/>
        </w:rPr>
        <w:t>Preliminary</w:t>
      </w:r>
      <w:r>
        <w:rPr>
          <w:spacing w:val="40"/>
          <w:sz w:val="13"/>
        </w:rPr>
        <w:t> </w:t>
      </w:r>
      <w:r>
        <w:rPr>
          <w:spacing w:val="-2"/>
          <w:w w:val="70"/>
          <w:sz w:val="13"/>
        </w:rPr>
        <w:t>Examination</w:t>
      </w:r>
      <w:r>
        <w:rPr>
          <w:spacing w:val="40"/>
          <w:sz w:val="13"/>
        </w:rPr>
        <w:t> </w:t>
      </w:r>
      <w:r>
        <w:rPr>
          <w:spacing w:val="-2"/>
          <w:w w:val="85"/>
          <w:sz w:val="13"/>
        </w:rPr>
        <w:t>Section</w:t>
      </w:r>
    </w:p>
    <w:p>
      <w:pPr>
        <w:spacing w:line="240" w:lineRule="auto" w:before="0"/>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2"/>
        <w:rPr>
          <w:sz w:val="15"/>
        </w:rPr>
      </w:pPr>
    </w:p>
    <w:p>
      <w:pPr>
        <w:spacing w:line="247" w:lineRule="auto" w:before="0"/>
        <w:ind w:left="62" w:right="-7" w:firstLine="53"/>
        <w:jc w:val="left"/>
        <w:rPr>
          <w:sz w:val="13"/>
        </w:rPr>
      </w:pPr>
      <w:r>
        <w:rPr>
          <w:w w:val="80"/>
          <w:sz w:val="13"/>
        </w:rPr>
        <w:t>Gender</w:t>
      </w:r>
      <w:r>
        <w:rPr>
          <w:spacing w:val="-3"/>
          <w:w w:val="80"/>
          <w:sz w:val="13"/>
        </w:rPr>
        <w:t> </w:t>
      </w:r>
      <w:r>
        <w:rPr>
          <w:w w:val="80"/>
          <w:sz w:val="13"/>
        </w:rPr>
        <w:t>and</w:t>
      </w:r>
      <w:r>
        <w:rPr>
          <w:spacing w:val="40"/>
          <w:sz w:val="13"/>
        </w:rPr>
        <w:t> </w:t>
      </w:r>
      <w:r>
        <w:rPr>
          <w:spacing w:val="-2"/>
          <w:w w:val="75"/>
          <w:sz w:val="13"/>
        </w:rPr>
        <w:t>Children</w:t>
      </w:r>
      <w:r>
        <w:rPr>
          <w:spacing w:val="-4"/>
          <w:sz w:val="13"/>
        </w:rPr>
        <w:t> </w:t>
      </w:r>
      <w:r>
        <w:rPr>
          <w:spacing w:val="-2"/>
          <w:w w:val="75"/>
          <w:sz w:val="13"/>
        </w:rPr>
        <w:t>Unit</w:t>
      </w:r>
    </w:p>
    <w:p>
      <w:pPr>
        <w:spacing w:line="240" w:lineRule="auto" w:before="10"/>
        <w:rPr>
          <w:sz w:val="14"/>
        </w:rPr>
      </w:pPr>
      <w:r>
        <w:rPr/>
        <w:br w:type="column"/>
      </w:r>
      <w:r>
        <w:rPr>
          <w:sz w:val="14"/>
        </w:rPr>
      </w:r>
    </w:p>
    <w:p>
      <w:pPr>
        <w:spacing w:before="0"/>
        <w:ind w:left="291" w:right="0" w:firstLine="0"/>
        <w:jc w:val="left"/>
        <w:rPr>
          <w:sz w:val="13"/>
        </w:rPr>
      </w:pPr>
      <w:r>
        <w:rPr>
          <w:spacing w:val="-4"/>
          <w:w w:val="75"/>
          <w:sz w:val="13"/>
        </w:rPr>
        <w:t>Integrated</w:t>
      </w:r>
    </w:p>
    <w:p>
      <w:pPr>
        <w:spacing w:before="4"/>
        <w:ind w:left="322" w:right="0" w:firstLine="0"/>
        <w:jc w:val="left"/>
        <w:rPr>
          <w:sz w:val="13"/>
        </w:rPr>
      </w:pPr>
      <w:r>
        <w:rPr>
          <w:spacing w:val="-2"/>
          <w:w w:val="80"/>
          <w:sz w:val="13"/>
        </w:rPr>
        <w:t>Services</w:t>
      </w:r>
    </w:p>
    <w:p>
      <w:pPr>
        <w:spacing w:line="240" w:lineRule="auto" w:before="0"/>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2"/>
        <w:rPr>
          <w:sz w:val="15"/>
        </w:rPr>
      </w:pPr>
    </w:p>
    <w:p>
      <w:pPr>
        <w:spacing w:line="247" w:lineRule="auto" w:before="0"/>
        <w:ind w:left="380" w:right="-4" w:hanging="14"/>
        <w:jc w:val="left"/>
        <w:rPr>
          <w:sz w:val="13"/>
        </w:rPr>
      </w:pPr>
      <w:r>
        <w:rPr>
          <w:spacing w:val="-4"/>
          <w:w w:val="75"/>
          <w:sz w:val="13"/>
        </w:rPr>
        <w:t>Appeals</w:t>
      </w:r>
      <w:r>
        <w:rPr>
          <w:spacing w:val="40"/>
          <w:sz w:val="13"/>
        </w:rPr>
        <w:t> </w:t>
      </w:r>
      <w:r>
        <w:rPr>
          <w:spacing w:val="-2"/>
          <w:w w:val="75"/>
          <w:sz w:val="13"/>
        </w:rPr>
        <w:t>Section</w:t>
      </w:r>
    </w:p>
    <w:p>
      <w:pPr>
        <w:pStyle w:val="BodyText"/>
        <w:rPr>
          <w:sz w:val="14"/>
        </w:rPr>
      </w:pPr>
    </w:p>
    <w:p>
      <w:pPr>
        <w:pStyle w:val="BodyText"/>
        <w:rPr>
          <w:sz w:val="14"/>
        </w:rPr>
      </w:pPr>
    </w:p>
    <w:p>
      <w:pPr>
        <w:spacing w:before="117"/>
        <w:ind w:left="-4" w:right="0" w:firstLine="0"/>
        <w:jc w:val="left"/>
        <w:rPr>
          <w:sz w:val="13"/>
        </w:rPr>
      </w:pPr>
      <w:r>
        <w:rPr>
          <w:spacing w:val="-2"/>
          <w:w w:val="85"/>
          <w:sz w:val="13"/>
        </w:rPr>
        <w:t>Integrated</w:t>
      </w:r>
    </w:p>
    <w:p>
      <w:pPr>
        <w:spacing w:line="107" w:lineRule="exact" w:before="5"/>
        <w:ind w:left="28" w:right="0" w:firstLine="0"/>
        <w:jc w:val="left"/>
        <w:rPr>
          <w:sz w:val="13"/>
        </w:rPr>
      </w:pPr>
      <w:r>
        <w:rPr>
          <w:spacing w:val="-2"/>
          <w:w w:val="85"/>
          <w:sz w:val="13"/>
        </w:rPr>
        <w:t>Services</w:t>
      </w:r>
    </w:p>
    <w:p>
      <w:pPr>
        <w:spacing w:line="240" w:lineRule="auto" w:before="10"/>
        <w:rPr>
          <w:sz w:val="14"/>
        </w:rPr>
      </w:pPr>
      <w:r>
        <w:rPr/>
        <w:br w:type="column"/>
      </w:r>
      <w:r>
        <w:rPr>
          <w:sz w:val="14"/>
        </w:rPr>
      </w:r>
    </w:p>
    <w:p>
      <w:pPr>
        <w:spacing w:before="0"/>
        <w:ind w:left="379" w:right="0" w:firstLine="0"/>
        <w:jc w:val="left"/>
        <w:rPr>
          <w:sz w:val="13"/>
        </w:rPr>
      </w:pPr>
      <w:r>
        <w:rPr>
          <w:spacing w:val="-2"/>
          <w:w w:val="85"/>
          <w:sz w:val="13"/>
        </w:rPr>
        <w:t>Deputy</w:t>
      </w:r>
    </w:p>
    <w:p>
      <w:pPr>
        <w:spacing w:before="4"/>
        <w:ind w:left="280" w:right="0" w:firstLine="0"/>
        <w:jc w:val="left"/>
        <w:rPr>
          <w:sz w:val="13"/>
        </w:rPr>
      </w:pPr>
      <w:r>
        <w:rPr>
          <w:w w:val="70"/>
          <w:sz w:val="13"/>
        </w:rPr>
        <w:t>Prosecutor</w:t>
      </w:r>
      <w:r>
        <w:rPr>
          <w:spacing w:val="-2"/>
          <w:sz w:val="13"/>
        </w:rPr>
        <w:t> </w:t>
      </w:r>
      <w:r>
        <w:rPr>
          <w:spacing w:val="-10"/>
          <w:w w:val="85"/>
          <w:sz w:val="13"/>
        </w:rPr>
        <w:t>2</w:t>
      </w:r>
    </w:p>
    <w:p>
      <w:pPr>
        <w:spacing w:line="240" w:lineRule="auto" w:before="0"/>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spacing w:before="6"/>
        <w:rPr>
          <w:sz w:val="15"/>
        </w:rPr>
      </w:pPr>
    </w:p>
    <w:p>
      <w:pPr>
        <w:spacing w:line="247" w:lineRule="auto" w:before="0"/>
        <w:ind w:left="58" w:right="0" w:hanging="5"/>
        <w:jc w:val="center"/>
        <w:rPr>
          <w:sz w:val="13"/>
        </w:rPr>
      </w:pPr>
      <w:r>
        <w:rPr>
          <w:spacing w:val="-2"/>
          <w:w w:val="85"/>
          <w:sz w:val="13"/>
        </w:rPr>
        <w:t>Senior</w:t>
      </w:r>
      <w:r>
        <w:rPr>
          <w:spacing w:val="40"/>
          <w:sz w:val="13"/>
        </w:rPr>
        <w:t> </w:t>
      </w:r>
      <w:r>
        <w:rPr>
          <w:spacing w:val="-2"/>
          <w:w w:val="70"/>
          <w:sz w:val="13"/>
        </w:rPr>
        <w:t>Coordinators</w:t>
      </w:r>
      <w:r>
        <w:rPr>
          <w:spacing w:val="40"/>
          <w:sz w:val="13"/>
        </w:rPr>
        <w:t> </w:t>
      </w:r>
      <w:r>
        <w:rPr>
          <w:spacing w:val="-2"/>
          <w:w w:val="85"/>
          <w:sz w:val="13"/>
        </w:rPr>
        <w:t>(****)</w:t>
      </w:r>
    </w:p>
    <w:p>
      <w:pPr>
        <w:spacing w:line="240" w:lineRule="auto" w:before="0"/>
        <w:rPr>
          <w:sz w:val="14"/>
        </w:rPr>
      </w:pPr>
      <w:r>
        <w:rPr/>
        <w:br w:type="column"/>
      </w:r>
      <w:r>
        <w:rPr>
          <w:sz w:val="14"/>
        </w:rPr>
      </w:r>
    </w:p>
    <w:p>
      <w:pPr>
        <w:pStyle w:val="BodyText"/>
        <w:rPr>
          <w:sz w:val="14"/>
        </w:rPr>
      </w:pPr>
    </w:p>
    <w:p>
      <w:pPr>
        <w:pStyle w:val="BodyText"/>
        <w:spacing w:before="2"/>
        <w:rPr>
          <w:sz w:val="11"/>
        </w:rPr>
      </w:pPr>
    </w:p>
    <w:p>
      <w:pPr>
        <w:spacing w:before="0"/>
        <w:ind w:left="529" w:right="0" w:firstLine="0"/>
        <w:jc w:val="center"/>
        <w:rPr>
          <w:sz w:val="13"/>
        </w:rPr>
      </w:pPr>
      <w:r>
        <w:rPr>
          <w:w w:val="70"/>
          <w:sz w:val="13"/>
        </w:rPr>
        <w:t>Human</w:t>
      </w:r>
      <w:r>
        <w:rPr>
          <w:spacing w:val="-3"/>
          <w:sz w:val="13"/>
        </w:rPr>
        <w:t> </w:t>
      </w:r>
      <w:r>
        <w:rPr>
          <w:spacing w:val="-4"/>
          <w:w w:val="75"/>
          <w:sz w:val="13"/>
        </w:rPr>
        <w:t>Resources</w:t>
      </w:r>
    </w:p>
    <w:p>
      <w:pPr>
        <w:spacing w:before="4"/>
        <w:ind w:left="535" w:right="0" w:firstLine="0"/>
        <w:jc w:val="center"/>
        <w:rPr>
          <w:sz w:val="13"/>
        </w:rPr>
      </w:pPr>
      <w:r>
        <w:rPr>
          <w:spacing w:val="-2"/>
          <w:w w:val="85"/>
          <w:sz w:val="13"/>
        </w:rPr>
        <w:t>Section</w:t>
      </w:r>
    </w:p>
    <w:p>
      <w:pPr>
        <w:pStyle w:val="BodyText"/>
        <w:rPr>
          <w:sz w:val="14"/>
        </w:rPr>
      </w:pPr>
    </w:p>
    <w:p>
      <w:pPr>
        <w:pStyle w:val="BodyText"/>
        <w:rPr>
          <w:sz w:val="14"/>
        </w:rPr>
      </w:pPr>
    </w:p>
    <w:p>
      <w:pPr>
        <w:pStyle w:val="BodyText"/>
        <w:spacing w:before="6"/>
        <w:rPr>
          <w:sz w:val="14"/>
        </w:rPr>
      </w:pPr>
    </w:p>
    <w:p>
      <w:pPr>
        <w:spacing w:before="0"/>
        <w:ind w:left="543" w:right="0" w:firstLine="0"/>
        <w:jc w:val="center"/>
        <w:rPr>
          <w:sz w:val="13"/>
        </w:rPr>
      </w:pPr>
      <w:r>
        <w:rPr/>
        <w:pict>
          <v:shape style="position:absolute;margin-left:225.313416pt;margin-top:15.50306pt;width:34pt;height:22.25pt;mso-position-horizontal-relative:page;mso-position-vertical-relative:paragraph;z-index:15780864" type="#_x0000_t202" id="docshape384" filled="false" stroked="true" strokeweight=".414289pt" strokecolor="#000000">
            <v:textbox inset="0,0,0,0">
              <w:txbxContent>
                <w:p>
                  <w:pPr>
                    <w:spacing w:line="132" w:lineRule="exact" w:before="0"/>
                    <w:ind w:left="112" w:right="0" w:firstLine="0"/>
                    <w:jc w:val="left"/>
                    <w:rPr>
                      <w:sz w:val="13"/>
                    </w:rPr>
                  </w:pPr>
                  <w:r>
                    <w:rPr>
                      <w:spacing w:val="-2"/>
                      <w:w w:val="85"/>
                      <w:sz w:val="13"/>
                    </w:rPr>
                    <w:t>Preliminary</w:t>
                  </w:r>
                </w:p>
                <w:p>
                  <w:pPr>
                    <w:spacing w:before="4"/>
                    <w:ind w:left="94" w:right="0" w:firstLine="0"/>
                    <w:jc w:val="left"/>
                    <w:rPr>
                      <w:sz w:val="13"/>
                    </w:rPr>
                  </w:pPr>
                  <w:r>
                    <w:rPr>
                      <w:spacing w:val="-2"/>
                      <w:w w:val="85"/>
                      <w:sz w:val="13"/>
                    </w:rPr>
                    <w:t>Examination</w:t>
                  </w:r>
                </w:p>
                <w:p>
                  <w:pPr>
                    <w:spacing w:line="147" w:lineRule="exact" w:before="4"/>
                    <w:ind w:left="193" w:right="0" w:firstLine="0"/>
                    <w:jc w:val="left"/>
                    <w:rPr>
                      <w:sz w:val="13"/>
                    </w:rPr>
                  </w:pPr>
                  <w:r>
                    <w:rPr>
                      <w:spacing w:val="-2"/>
                      <w:w w:val="85"/>
                      <w:sz w:val="13"/>
                    </w:rPr>
                    <w:t>Section</w:t>
                  </w:r>
                </w:p>
              </w:txbxContent>
            </v:textbox>
            <v:stroke dashstyle="solid"/>
            <w10:wrap type="none"/>
          </v:shape>
        </w:pict>
      </w:r>
      <w:r>
        <w:rPr>
          <w:w w:val="70"/>
          <w:sz w:val="13"/>
        </w:rPr>
        <w:t>Budget</w:t>
      </w:r>
      <w:r>
        <w:rPr>
          <w:spacing w:val="-3"/>
          <w:sz w:val="13"/>
        </w:rPr>
        <w:t> </w:t>
      </w:r>
      <w:r>
        <w:rPr>
          <w:spacing w:val="-2"/>
          <w:w w:val="85"/>
          <w:sz w:val="13"/>
        </w:rPr>
        <w:t>Section</w:t>
      </w:r>
    </w:p>
    <w:p>
      <w:pPr>
        <w:spacing w:line="240" w:lineRule="auto" w:before="0"/>
        <w:rPr>
          <w:sz w:val="14"/>
        </w:rPr>
      </w:pPr>
      <w:r>
        <w:rPr/>
        <w:br w:type="column"/>
      </w:r>
      <w:r>
        <w:rPr>
          <w:sz w:val="14"/>
        </w:rPr>
      </w:r>
    </w:p>
    <w:p>
      <w:pPr>
        <w:pStyle w:val="BodyText"/>
        <w:rPr>
          <w:sz w:val="14"/>
        </w:rPr>
      </w:pPr>
    </w:p>
    <w:p>
      <w:pPr>
        <w:pStyle w:val="BodyText"/>
        <w:spacing w:before="2"/>
        <w:rPr>
          <w:sz w:val="11"/>
        </w:rPr>
      </w:pPr>
    </w:p>
    <w:p>
      <w:pPr>
        <w:spacing w:before="0"/>
        <w:ind w:left="389" w:right="0" w:firstLine="0"/>
        <w:jc w:val="center"/>
        <w:rPr>
          <w:sz w:val="13"/>
        </w:rPr>
      </w:pPr>
      <w:r>
        <w:rPr>
          <w:w w:val="70"/>
          <w:sz w:val="13"/>
        </w:rPr>
        <w:t>Court</w:t>
      </w:r>
      <w:r>
        <w:rPr>
          <w:spacing w:val="-5"/>
          <w:sz w:val="13"/>
        </w:rPr>
        <w:t> </w:t>
      </w:r>
      <w:r>
        <w:rPr>
          <w:spacing w:val="-2"/>
          <w:w w:val="85"/>
          <w:sz w:val="13"/>
        </w:rPr>
        <w:t>Management</w:t>
      </w:r>
    </w:p>
    <w:p>
      <w:pPr>
        <w:spacing w:before="4"/>
        <w:ind w:left="389" w:right="0" w:firstLine="0"/>
        <w:jc w:val="center"/>
        <w:rPr>
          <w:sz w:val="13"/>
        </w:rPr>
      </w:pPr>
      <w:r>
        <w:rPr>
          <w:spacing w:val="-2"/>
          <w:w w:val="85"/>
          <w:sz w:val="13"/>
        </w:rPr>
        <w:t>Section</w:t>
      </w:r>
    </w:p>
    <w:p>
      <w:pPr>
        <w:pStyle w:val="BodyText"/>
        <w:rPr>
          <w:sz w:val="14"/>
        </w:rPr>
      </w:pPr>
    </w:p>
    <w:p>
      <w:pPr>
        <w:spacing w:line="247" w:lineRule="auto" w:before="121"/>
        <w:ind w:left="385" w:right="0" w:firstLine="4"/>
        <w:jc w:val="center"/>
        <w:rPr>
          <w:sz w:val="13"/>
        </w:rPr>
      </w:pPr>
      <w:r>
        <w:rPr>
          <w:spacing w:val="-2"/>
          <w:w w:val="85"/>
          <w:sz w:val="13"/>
        </w:rPr>
        <w:t>Information</w:t>
      </w:r>
      <w:r>
        <w:rPr>
          <w:spacing w:val="40"/>
          <w:sz w:val="13"/>
        </w:rPr>
        <w:t> </w:t>
      </w:r>
      <w:r>
        <w:rPr>
          <w:spacing w:val="-4"/>
          <w:w w:val="75"/>
          <w:sz w:val="13"/>
        </w:rPr>
        <w:t>Management</w:t>
      </w:r>
      <w:r>
        <w:rPr>
          <w:spacing w:val="-11"/>
          <w:sz w:val="13"/>
        </w:rPr>
        <w:t> </w:t>
      </w:r>
      <w:r>
        <w:rPr>
          <w:spacing w:val="-4"/>
          <w:w w:val="75"/>
          <w:sz w:val="13"/>
        </w:rPr>
        <w:t>Services</w:t>
      </w:r>
      <w:r>
        <w:rPr>
          <w:spacing w:val="40"/>
          <w:sz w:val="13"/>
        </w:rPr>
        <w:t> </w:t>
      </w:r>
      <w:r>
        <w:rPr>
          <w:spacing w:val="-2"/>
          <w:w w:val="85"/>
          <w:sz w:val="13"/>
        </w:rPr>
        <w:t>Section</w:t>
      </w:r>
    </w:p>
    <w:p>
      <w:pPr>
        <w:pStyle w:val="BodyText"/>
        <w:rPr>
          <w:sz w:val="14"/>
        </w:rPr>
      </w:pPr>
    </w:p>
    <w:p>
      <w:pPr>
        <w:pStyle w:val="BodyText"/>
        <w:spacing w:before="4"/>
        <w:rPr>
          <w:sz w:val="15"/>
        </w:rPr>
      </w:pPr>
    </w:p>
    <w:p>
      <w:pPr>
        <w:spacing w:before="0"/>
        <w:ind w:left="389" w:right="0" w:firstLine="0"/>
        <w:jc w:val="center"/>
        <w:rPr>
          <w:sz w:val="13"/>
        </w:rPr>
      </w:pPr>
      <w:r>
        <w:rPr>
          <w:w w:val="70"/>
          <w:sz w:val="13"/>
        </w:rPr>
        <w:t>Detention</w:t>
      </w:r>
      <w:r>
        <w:rPr>
          <w:spacing w:val="-1"/>
          <w:sz w:val="13"/>
        </w:rPr>
        <w:t> </w:t>
      </w:r>
      <w:r>
        <w:rPr>
          <w:spacing w:val="-2"/>
          <w:w w:val="85"/>
          <w:sz w:val="13"/>
        </w:rPr>
        <w:t>Section</w:t>
      </w:r>
    </w:p>
    <w:p>
      <w:pPr>
        <w:spacing w:line="240" w:lineRule="auto" w:before="0"/>
        <w:rPr>
          <w:sz w:val="14"/>
        </w:rPr>
      </w:pPr>
      <w:r>
        <w:rPr/>
        <w:br w:type="column"/>
      </w:r>
      <w:r>
        <w:rPr>
          <w:sz w:val="14"/>
        </w:rPr>
      </w:r>
    </w:p>
    <w:p>
      <w:pPr>
        <w:pStyle w:val="BodyText"/>
        <w:rPr>
          <w:sz w:val="14"/>
        </w:rPr>
      </w:pPr>
    </w:p>
    <w:p>
      <w:pPr>
        <w:pStyle w:val="BodyText"/>
        <w:spacing w:before="2"/>
        <w:rPr>
          <w:sz w:val="11"/>
        </w:rPr>
      </w:pPr>
    </w:p>
    <w:p>
      <w:pPr>
        <w:spacing w:before="0"/>
        <w:ind w:left="163" w:right="2579" w:firstLine="0"/>
        <w:jc w:val="center"/>
        <w:rPr>
          <w:sz w:val="13"/>
        </w:rPr>
      </w:pPr>
      <w:r>
        <w:rPr>
          <w:w w:val="70"/>
          <w:sz w:val="13"/>
        </w:rPr>
        <w:t>External</w:t>
      </w:r>
      <w:r>
        <w:rPr>
          <w:spacing w:val="-1"/>
          <w:w w:val="85"/>
          <w:sz w:val="13"/>
        </w:rPr>
        <w:t> </w:t>
      </w:r>
      <w:r>
        <w:rPr>
          <w:spacing w:val="-2"/>
          <w:w w:val="85"/>
          <w:sz w:val="13"/>
        </w:rPr>
        <w:t>Operations</w:t>
      </w:r>
    </w:p>
    <w:p>
      <w:pPr>
        <w:spacing w:before="4"/>
        <w:ind w:left="165" w:right="2579" w:firstLine="0"/>
        <w:jc w:val="center"/>
        <w:rPr>
          <w:sz w:val="13"/>
        </w:rPr>
      </w:pPr>
      <w:r>
        <w:rPr>
          <w:w w:val="70"/>
          <w:sz w:val="13"/>
        </w:rPr>
        <w:t>Support</w:t>
      </w:r>
      <w:r>
        <w:rPr>
          <w:spacing w:val="-5"/>
          <w:sz w:val="13"/>
        </w:rPr>
        <w:t> </w:t>
      </w:r>
      <w:r>
        <w:rPr>
          <w:spacing w:val="-2"/>
          <w:w w:val="85"/>
          <w:sz w:val="13"/>
        </w:rPr>
        <w:t>Section</w:t>
      </w:r>
    </w:p>
    <w:p>
      <w:pPr>
        <w:pStyle w:val="BodyText"/>
        <w:rPr>
          <w:sz w:val="14"/>
        </w:rPr>
      </w:pPr>
    </w:p>
    <w:p>
      <w:pPr>
        <w:pStyle w:val="BodyText"/>
        <w:spacing w:before="5"/>
        <w:rPr>
          <w:sz w:val="16"/>
        </w:rPr>
      </w:pPr>
    </w:p>
    <w:p>
      <w:pPr>
        <w:spacing w:before="1"/>
        <w:ind w:left="183" w:right="2579" w:firstLine="0"/>
        <w:jc w:val="center"/>
        <w:rPr>
          <w:sz w:val="13"/>
        </w:rPr>
      </w:pPr>
      <w:r>
        <w:rPr>
          <w:w w:val="70"/>
          <w:sz w:val="13"/>
        </w:rPr>
        <w:t>Victims</w:t>
      </w:r>
      <w:r>
        <w:rPr>
          <w:spacing w:val="-7"/>
          <w:sz w:val="13"/>
        </w:rPr>
        <w:t> </w:t>
      </w:r>
      <w:r>
        <w:rPr>
          <w:w w:val="70"/>
          <w:sz w:val="13"/>
        </w:rPr>
        <w:t>and</w:t>
      </w:r>
      <w:r>
        <w:rPr>
          <w:spacing w:val="-5"/>
          <w:sz w:val="13"/>
        </w:rPr>
        <w:t> </w:t>
      </w:r>
      <w:r>
        <w:rPr>
          <w:spacing w:val="-2"/>
          <w:w w:val="70"/>
          <w:sz w:val="13"/>
        </w:rPr>
        <w:t>Witnesses</w:t>
      </w:r>
    </w:p>
    <w:p>
      <w:pPr>
        <w:spacing w:before="4"/>
        <w:ind w:left="183" w:right="2579" w:firstLine="0"/>
        <w:jc w:val="center"/>
        <w:rPr>
          <w:sz w:val="13"/>
        </w:rPr>
      </w:pPr>
      <w:r>
        <w:rPr>
          <w:spacing w:val="-2"/>
          <w:w w:val="85"/>
          <w:sz w:val="13"/>
        </w:rPr>
        <w:t>Section</w:t>
      </w:r>
    </w:p>
    <w:p>
      <w:pPr>
        <w:pStyle w:val="BodyText"/>
        <w:rPr>
          <w:sz w:val="14"/>
        </w:rPr>
      </w:pPr>
    </w:p>
    <w:p>
      <w:pPr>
        <w:pStyle w:val="BodyText"/>
        <w:rPr>
          <w:sz w:val="14"/>
        </w:rPr>
      </w:pPr>
    </w:p>
    <w:p>
      <w:pPr>
        <w:spacing w:before="100"/>
        <w:ind w:left="184" w:right="2579" w:firstLine="0"/>
        <w:jc w:val="center"/>
        <w:rPr>
          <w:sz w:val="13"/>
        </w:rPr>
      </w:pPr>
      <w:r>
        <w:rPr>
          <w:w w:val="70"/>
          <w:sz w:val="13"/>
        </w:rPr>
        <w:t>Public</w:t>
      </w:r>
      <w:r>
        <w:rPr>
          <w:spacing w:val="-4"/>
          <w:sz w:val="13"/>
        </w:rPr>
        <w:t> </w:t>
      </w:r>
      <w:r>
        <w:rPr>
          <w:w w:val="70"/>
          <w:sz w:val="13"/>
        </w:rPr>
        <w:t>Information</w:t>
      </w:r>
      <w:r>
        <w:rPr>
          <w:spacing w:val="-1"/>
          <w:sz w:val="13"/>
        </w:rPr>
        <w:t> </w:t>
      </w:r>
      <w:r>
        <w:rPr>
          <w:spacing w:val="-5"/>
          <w:w w:val="70"/>
          <w:sz w:val="13"/>
        </w:rPr>
        <w:t>and</w:t>
      </w:r>
    </w:p>
    <w:p>
      <w:pPr>
        <w:spacing w:after="0"/>
        <w:jc w:val="center"/>
        <w:rPr>
          <w:sz w:val="13"/>
        </w:rPr>
        <w:sectPr>
          <w:type w:val="continuous"/>
          <w:pgSz w:w="11910" w:h="16840"/>
          <w:pgMar w:header="957" w:footer="940" w:top="1240" w:bottom="1140" w:left="20" w:right="20"/>
          <w:cols w:num="10" w:equalWidth="0">
            <w:col w:w="1635" w:space="40"/>
            <w:col w:w="530" w:space="39"/>
            <w:col w:w="608" w:space="39"/>
            <w:col w:w="674" w:space="40"/>
            <w:col w:w="675" w:space="40"/>
            <w:col w:w="757" w:space="39"/>
            <w:col w:w="554" w:space="39"/>
            <w:col w:w="1216" w:space="40"/>
            <w:col w:w="1219" w:space="39"/>
            <w:col w:w="3647"/>
          </w:cols>
        </w:sectPr>
      </w:pPr>
    </w:p>
    <w:p>
      <w:pPr>
        <w:pStyle w:val="BodyText"/>
        <w:rPr>
          <w:sz w:val="14"/>
        </w:rPr>
      </w:pPr>
    </w:p>
    <w:p>
      <w:pPr>
        <w:spacing w:line="247" w:lineRule="auto" w:before="82"/>
        <w:ind w:left="2890" w:right="0" w:firstLine="0"/>
        <w:jc w:val="center"/>
        <w:rPr>
          <w:sz w:val="13"/>
        </w:rPr>
      </w:pPr>
      <w:r>
        <w:rPr/>
        <w:pict>
          <v:shape style="position:absolute;margin-left:82.006920pt;margin-top:-2.700304pt;width:34pt;height:85.7pt;mso-position-horizontal-relative:page;mso-position-vertical-relative:paragraph;z-index:15780352" type="#_x0000_t202" id="docshape385" filled="false" stroked="true" strokeweight=".346983pt" strokecolor="#000000">
            <v:textbox inset="0,0,0,0">
              <w:txbxContent>
                <w:p>
                  <w:pPr>
                    <w:spacing w:line="247" w:lineRule="auto" w:before="4"/>
                    <w:ind w:left="50" w:right="52" w:firstLine="0"/>
                    <w:jc w:val="center"/>
                    <w:rPr>
                      <w:sz w:val="13"/>
                    </w:rPr>
                  </w:pPr>
                  <w:r>
                    <w:rPr>
                      <w:spacing w:val="-2"/>
                      <w:w w:val="75"/>
                      <w:sz w:val="13"/>
                    </w:rPr>
                    <w:t>Unified</w:t>
                  </w:r>
                  <w:r>
                    <w:rPr>
                      <w:spacing w:val="-3"/>
                      <w:w w:val="75"/>
                      <w:sz w:val="13"/>
                    </w:rPr>
                    <w:t> </w:t>
                  </w:r>
                  <w:r>
                    <w:rPr>
                      <w:spacing w:val="-2"/>
                      <w:w w:val="75"/>
                      <w:sz w:val="13"/>
                    </w:rPr>
                    <w:t>Teams</w:t>
                  </w:r>
                  <w:r>
                    <w:rPr>
                      <w:spacing w:val="40"/>
                      <w:sz w:val="13"/>
                    </w:rPr>
                    <w:t> </w:t>
                  </w:r>
                  <w:r>
                    <w:rPr>
                      <w:spacing w:val="-2"/>
                      <w:w w:val="85"/>
                      <w:sz w:val="13"/>
                    </w:rPr>
                    <w:t>(*****)</w:t>
                  </w:r>
                  <w:r>
                    <w:rPr>
                      <w:spacing w:val="40"/>
                      <w:sz w:val="13"/>
                    </w:rPr>
                    <w:t> </w:t>
                  </w:r>
                  <w:r>
                    <w:rPr>
                      <w:spacing w:val="-2"/>
                      <w:w w:val="85"/>
                      <w:sz w:val="13"/>
                    </w:rPr>
                    <w:t>Investigators</w:t>
                  </w:r>
                </w:p>
                <w:p>
                  <w:pPr>
                    <w:pStyle w:val="BodyText"/>
                    <w:spacing w:before="3"/>
                    <w:rPr>
                      <w:sz w:val="13"/>
                    </w:rPr>
                  </w:pPr>
                </w:p>
                <w:p>
                  <w:pPr>
                    <w:spacing w:line="494" w:lineRule="auto" w:before="0"/>
                    <w:ind w:left="93" w:right="94" w:firstLine="1"/>
                    <w:jc w:val="center"/>
                    <w:rPr>
                      <w:sz w:val="13"/>
                    </w:rPr>
                  </w:pPr>
                  <w:r>
                    <w:rPr>
                      <w:spacing w:val="-2"/>
                      <w:w w:val="85"/>
                      <w:sz w:val="13"/>
                    </w:rPr>
                    <w:t>Analysts</w:t>
                  </w:r>
                  <w:r>
                    <w:rPr>
                      <w:spacing w:val="40"/>
                      <w:sz w:val="13"/>
                    </w:rPr>
                    <w:t> </w:t>
                  </w:r>
                  <w:r>
                    <w:rPr>
                      <w:spacing w:val="-2"/>
                      <w:w w:val="85"/>
                      <w:sz w:val="13"/>
                    </w:rPr>
                    <w:t>Lawyers</w:t>
                  </w:r>
                </w:p>
                <w:p>
                  <w:pPr>
                    <w:spacing w:line="247" w:lineRule="auto" w:before="0"/>
                    <w:ind w:left="100" w:right="94" w:hanging="8"/>
                    <w:jc w:val="both"/>
                    <w:rPr>
                      <w:sz w:val="13"/>
                    </w:rPr>
                  </w:pPr>
                  <w:r>
                    <w:rPr>
                      <w:spacing w:val="-2"/>
                      <w:w w:val="75"/>
                      <w:sz w:val="13"/>
                    </w:rPr>
                    <w:t>International</w:t>
                  </w:r>
                  <w:r>
                    <w:rPr>
                      <w:spacing w:val="40"/>
                      <w:sz w:val="13"/>
                    </w:rPr>
                    <w:t> </w:t>
                  </w:r>
                  <w:r>
                    <w:rPr>
                      <w:spacing w:val="-2"/>
                      <w:w w:val="75"/>
                      <w:sz w:val="13"/>
                    </w:rPr>
                    <w:t>Cooperation</w:t>
                  </w:r>
                  <w:r>
                    <w:rPr>
                      <w:spacing w:val="40"/>
                      <w:sz w:val="13"/>
                    </w:rPr>
                    <w:t> </w:t>
                  </w:r>
                  <w:r>
                    <w:rPr>
                      <w:spacing w:val="-2"/>
                      <w:w w:val="85"/>
                      <w:sz w:val="13"/>
                    </w:rPr>
                    <w:t>Advisors</w:t>
                  </w:r>
                </w:p>
              </w:txbxContent>
            </v:textbox>
            <v:stroke dashstyle="solid"/>
            <w10:wrap type="none"/>
          </v:shape>
        </w:pict>
      </w:r>
      <w:r>
        <w:rPr>
          <w:spacing w:val="-2"/>
          <w:w w:val="75"/>
          <w:sz w:val="13"/>
        </w:rPr>
        <w:t>Planning</w:t>
      </w:r>
      <w:r>
        <w:rPr>
          <w:spacing w:val="-3"/>
          <w:w w:val="75"/>
          <w:sz w:val="13"/>
        </w:rPr>
        <w:t> </w:t>
      </w:r>
      <w:r>
        <w:rPr>
          <w:spacing w:val="-2"/>
          <w:w w:val="75"/>
          <w:sz w:val="13"/>
        </w:rPr>
        <w:t>and</w:t>
      </w:r>
      <w:r>
        <w:rPr>
          <w:spacing w:val="40"/>
          <w:sz w:val="13"/>
        </w:rPr>
        <w:t> </w:t>
      </w:r>
      <w:r>
        <w:rPr>
          <w:spacing w:val="-2"/>
          <w:w w:val="85"/>
          <w:sz w:val="13"/>
        </w:rPr>
        <w:t>Operations</w:t>
      </w:r>
      <w:r>
        <w:rPr>
          <w:spacing w:val="40"/>
          <w:sz w:val="13"/>
        </w:rPr>
        <w:t> </w:t>
      </w:r>
      <w:r>
        <w:rPr>
          <w:spacing w:val="-2"/>
          <w:w w:val="85"/>
          <w:sz w:val="13"/>
        </w:rPr>
        <w:t>Section</w:t>
      </w:r>
    </w:p>
    <w:p>
      <w:pPr>
        <w:pStyle w:val="BodyText"/>
        <w:spacing w:before="9"/>
        <w:rPr>
          <w:sz w:val="15"/>
        </w:rPr>
      </w:pPr>
    </w:p>
    <w:p>
      <w:pPr>
        <w:spacing w:before="0"/>
        <w:ind w:left="2885" w:right="0" w:firstLine="0"/>
        <w:jc w:val="center"/>
        <w:rPr>
          <w:sz w:val="13"/>
        </w:rPr>
      </w:pPr>
      <w:r>
        <w:rPr>
          <w:spacing w:val="-2"/>
          <w:w w:val="85"/>
          <w:sz w:val="13"/>
        </w:rPr>
        <w:t>Forensic</w:t>
      </w:r>
    </w:p>
    <w:p>
      <w:pPr>
        <w:spacing w:before="4"/>
        <w:ind w:left="2886" w:right="0" w:firstLine="0"/>
        <w:jc w:val="center"/>
        <w:rPr>
          <w:sz w:val="13"/>
        </w:rPr>
      </w:pPr>
      <w:r>
        <w:rPr>
          <w:w w:val="70"/>
          <w:sz w:val="13"/>
        </w:rPr>
        <w:t>Science</w:t>
      </w:r>
      <w:r>
        <w:rPr>
          <w:spacing w:val="-6"/>
          <w:sz w:val="13"/>
        </w:rPr>
        <w:t> </w:t>
      </w:r>
      <w:r>
        <w:rPr>
          <w:spacing w:val="-6"/>
          <w:w w:val="80"/>
          <w:sz w:val="13"/>
        </w:rPr>
        <w:t>Section</w:t>
      </w:r>
    </w:p>
    <w:p>
      <w:pPr>
        <w:pStyle w:val="BodyText"/>
        <w:rPr>
          <w:sz w:val="14"/>
        </w:rPr>
      </w:pPr>
    </w:p>
    <w:p>
      <w:pPr>
        <w:pStyle w:val="BodyText"/>
        <w:spacing w:before="7"/>
        <w:rPr>
          <w:sz w:val="15"/>
        </w:rPr>
      </w:pPr>
    </w:p>
    <w:p>
      <w:pPr>
        <w:spacing w:before="0"/>
        <w:ind w:left="2883" w:right="0" w:firstLine="0"/>
        <w:jc w:val="center"/>
        <w:rPr>
          <w:sz w:val="13"/>
        </w:rPr>
      </w:pPr>
      <w:r>
        <w:rPr>
          <w:spacing w:val="-2"/>
          <w:w w:val="85"/>
          <w:sz w:val="13"/>
        </w:rPr>
        <w:t>IKEMS</w:t>
      </w:r>
    </w:p>
    <w:p>
      <w:pPr>
        <w:pStyle w:val="BodyText"/>
        <w:rPr>
          <w:sz w:val="14"/>
        </w:rPr>
      </w:pPr>
    </w:p>
    <w:p>
      <w:pPr>
        <w:pStyle w:val="BodyText"/>
        <w:spacing w:before="6"/>
        <w:rPr>
          <w:sz w:val="15"/>
        </w:rPr>
      </w:pPr>
    </w:p>
    <w:p>
      <w:pPr>
        <w:spacing w:line="247" w:lineRule="auto" w:before="0"/>
        <w:ind w:left="2885" w:right="0" w:firstLine="0"/>
        <w:jc w:val="center"/>
        <w:rPr>
          <w:sz w:val="13"/>
        </w:rPr>
      </w:pPr>
      <w:r>
        <w:rPr>
          <w:spacing w:val="-2"/>
          <w:w w:val="85"/>
          <w:sz w:val="13"/>
        </w:rPr>
        <w:t>Language</w:t>
      </w:r>
      <w:r>
        <w:rPr>
          <w:spacing w:val="40"/>
          <w:sz w:val="13"/>
        </w:rPr>
        <w:t> </w:t>
      </w:r>
      <w:r>
        <w:rPr>
          <w:spacing w:val="-2"/>
          <w:w w:val="75"/>
          <w:sz w:val="13"/>
        </w:rPr>
        <w:t>Services</w:t>
      </w:r>
      <w:r>
        <w:rPr>
          <w:spacing w:val="-5"/>
          <w:w w:val="75"/>
          <w:sz w:val="13"/>
        </w:rPr>
        <w:t> </w:t>
      </w:r>
      <w:r>
        <w:rPr>
          <w:spacing w:val="-2"/>
          <w:w w:val="75"/>
          <w:sz w:val="13"/>
        </w:rPr>
        <w:t>Unit</w:t>
      </w:r>
    </w:p>
    <w:p>
      <w:pPr>
        <w:spacing w:before="23"/>
        <w:ind w:left="-28" w:right="0" w:firstLine="0"/>
        <w:jc w:val="left"/>
        <w:rPr>
          <w:sz w:val="13"/>
        </w:rPr>
      </w:pPr>
      <w:r>
        <w:rPr/>
        <w:br w:type="column"/>
      </w:r>
      <w:r>
        <w:rPr>
          <w:spacing w:val="-2"/>
          <w:w w:val="75"/>
          <w:sz w:val="13"/>
        </w:rPr>
        <w:t>Director</w:t>
      </w:r>
      <w:r>
        <w:rPr>
          <w:spacing w:val="-1"/>
          <w:sz w:val="13"/>
        </w:rPr>
        <w:t> </w:t>
      </w:r>
      <w:r>
        <w:rPr>
          <w:spacing w:val="-2"/>
          <w:w w:val="75"/>
          <w:sz w:val="13"/>
        </w:rPr>
        <w:t>s</w:t>
      </w:r>
      <w:r>
        <w:rPr>
          <w:spacing w:val="-5"/>
          <w:w w:val="75"/>
          <w:sz w:val="13"/>
        </w:rPr>
        <w:t> </w:t>
      </w:r>
      <w:r>
        <w:rPr>
          <w:spacing w:val="-2"/>
          <w:w w:val="75"/>
          <w:sz w:val="13"/>
        </w:rPr>
        <w:t>Staff</w:t>
      </w:r>
    </w:p>
    <w:p>
      <w:pPr>
        <w:spacing w:before="1"/>
        <w:ind w:left="2119" w:right="30" w:firstLine="0"/>
        <w:jc w:val="center"/>
        <w:rPr>
          <w:sz w:val="13"/>
        </w:rPr>
      </w:pPr>
      <w:r>
        <w:rPr/>
        <w:br w:type="column"/>
      </w:r>
      <w:r>
        <w:rPr>
          <w:w w:val="70"/>
          <w:sz w:val="13"/>
        </w:rPr>
        <w:t>Finance</w:t>
      </w:r>
      <w:r>
        <w:rPr>
          <w:spacing w:val="-5"/>
          <w:sz w:val="13"/>
        </w:rPr>
        <w:t> </w:t>
      </w:r>
      <w:r>
        <w:rPr>
          <w:spacing w:val="-2"/>
          <w:w w:val="85"/>
          <w:sz w:val="13"/>
        </w:rPr>
        <w:t>Section</w:t>
      </w:r>
    </w:p>
    <w:p>
      <w:pPr>
        <w:pStyle w:val="BodyText"/>
        <w:rPr>
          <w:sz w:val="14"/>
        </w:rPr>
      </w:pPr>
    </w:p>
    <w:p>
      <w:pPr>
        <w:pStyle w:val="BodyText"/>
        <w:rPr>
          <w:sz w:val="14"/>
        </w:rPr>
      </w:pPr>
    </w:p>
    <w:p>
      <w:pPr>
        <w:pStyle w:val="BodyText"/>
        <w:spacing w:before="7"/>
        <w:rPr>
          <w:sz w:val="19"/>
        </w:rPr>
      </w:pPr>
    </w:p>
    <w:p>
      <w:pPr>
        <w:spacing w:before="1"/>
        <w:ind w:left="2087" w:right="0" w:firstLine="0"/>
        <w:jc w:val="center"/>
        <w:rPr>
          <w:sz w:val="13"/>
        </w:rPr>
      </w:pPr>
      <w:r>
        <w:rPr/>
        <w:pict>
          <v:shape style="position:absolute;margin-left:225.313416pt;margin-top:-30.197578pt;width:34pt;height:85.7pt;mso-position-horizontal-relative:page;mso-position-vertical-relative:paragraph;z-index:15779840" type="#_x0000_t202" id="docshape386" filled="false" stroked="true" strokeweight=".346983pt" strokecolor="#000000">
            <v:textbox inset="0,0,0,0">
              <w:txbxContent>
                <w:p>
                  <w:pPr>
                    <w:spacing w:line="247" w:lineRule="auto" w:before="4"/>
                    <w:ind w:left="52" w:right="50" w:firstLine="0"/>
                    <w:jc w:val="center"/>
                    <w:rPr>
                      <w:sz w:val="13"/>
                    </w:rPr>
                  </w:pPr>
                  <w:r>
                    <w:rPr>
                      <w:spacing w:val="-2"/>
                      <w:w w:val="75"/>
                      <w:sz w:val="13"/>
                    </w:rPr>
                    <w:t>Unified</w:t>
                  </w:r>
                  <w:r>
                    <w:rPr>
                      <w:spacing w:val="-3"/>
                      <w:w w:val="75"/>
                      <w:sz w:val="13"/>
                    </w:rPr>
                    <w:t> </w:t>
                  </w:r>
                  <w:r>
                    <w:rPr>
                      <w:spacing w:val="-2"/>
                      <w:w w:val="75"/>
                      <w:sz w:val="13"/>
                    </w:rPr>
                    <w:t>Teams</w:t>
                  </w:r>
                  <w:r>
                    <w:rPr>
                      <w:spacing w:val="40"/>
                      <w:sz w:val="13"/>
                    </w:rPr>
                    <w:t> </w:t>
                  </w:r>
                  <w:r>
                    <w:rPr>
                      <w:spacing w:val="-2"/>
                      <w:w w:val="85"/>
                      <w:sz w:val="13"/>
                    </w:rPr>
                    <w:t>(*****)</w:t>
                  </w:r>
                  <w:r>
                    <w:rPr>
                      <w:spacing w:val="40"/>
                      <w:sz w:val="13"/>
                    </w:rPr>
                    <w:t> </w:t>
                  </w:r>
                  <w:r>
                    <w:rPr>
                      <w:spacing w:val="-2"/>
                      <w:w w:val="85"/>
                      <w:sz w:val="13"/>
                    </w:rPr>
                    <w:t>Investigators</w:t>
                  </w:r>
                </w:p>
                <w:p>
                  <w:pPr>
                    <w:spacing w:line="308" w:lineRule="exact" w:before="27"/>
                    <w:ind w:left="95" w:right="92" w:firstLine="1"/>
                    <w:jc w:val="center"/>
                    <w:rPr>
                      <w:sz w:val="13"/>
                    </w:rPr>
                  </w:pPr>
                  <w:r>
                    <w:rPr>
                      <w:spacing w:val="-2"/>
                      <w:w w:val="85"/>
                      <w:sz w:val="13"/>
                    </w:rPr>
                    <w:t>Analysts</w:t>
                  </w:r>
                  <w:r>
                    <w:rPr>
                      <w:spacing w:val="40"/>
                      <w:sz w:val="13"/>
                    </w:rPr>
                    <w:t> </w:t>
                  </w:r>
                  <w:r>
                    <w:rPr>
                      <w:spacing w:val="-2"/>
                      <w:w w:val="85"/>
                      <w:sz w:val="13"/>
                    </w:rPr>
                    <w:t>Lawyers</w:t>
                  </w:r>
                  <w:r>
                    <w:rPr>
                      <w:spacing w:val="40"/>
                      <w:sz w:val="13"/>
                    </w:rPr>
                    <w:t> </w:t>
                  </w:r>
                  <w:r>
                    <w:rPr>
                      <w:spacing w:val="-2"/>
                      <w:w w:val="75"/>
                      <w:sz w:val="13"/>
                    </w:rPr>
                    <w:t>International</w:t>
                  </w:r>
                </w:p>
                <w:p>
                  <w:pPr>
                    <w:spacing w:line="118" w:lineRule="exact" w:before="0"/>
                    <w:ind w:left="51" w:right="52" w:firstLine="0"/>
                    <w:jc w:val="center"/>
                    <w:rPr>
                      <w:sz w:val="13"/>
                    </w:rPr>
                  </w:pPr>
                  <w:r>
                    <w:rPr>
                      <w:spacing w:val="-2"/>
                      <w:w w:val="85"/>
                      <w:sz w:val="13"/>
                    </w:rPr>
                    <w:t>Cooperation</w:t>
                  </w:r>
                </w:p>
                <w:p>
                  <w:pPr>
                    <w:spacing w:before="5"/>
                    <w:ind w:left="52" w:right="52" w:firstLine="0"/>
                    <w:jc w:val="center"/>
                    <w:rPr>
                      <w:sz w:val="13"/>
                    </w:rPr>
                  </w:pPr>
                  <w:r>
                    <w:rPr>
                      <w:spacing w:val="-2"/>
                      <w:w w:val="85"/>
                      <w:sz w:val="13"/>
                    </w:rPr>
                    <w:t>Advisors</w:t>
                  </w:r>
                </w:p>
              </w:txbxContent>
            </v:textbox>
            <v:stroke dashstyle="solid"/>
            <w10:wrap type="none"/>
          </v:shape>
        </w:pict>
      </w:r>
      <w:r>
        <w:rPr>
          <w:w w:val="70"/>
          <w:sz w:val="13"/>
        </w:rPr>
        <w:t>General</w:t>
      </w:r>
      <w:r>
        <w:rPr>
          <w:spacing w:val="-4"/>
          <w:sz w:val="13"/>
        </w:rPr>
        <w:t> </w:t>
      </w:r>
      <w:r>
        <w:rPr>
          <w:spacing w:val="-2"/>
          <w:w w:val="85"/>
          <w:sz w:val="13"/>
        </w:rPr>
        <w:t>Services</w:t>
      </w:r>
    </w:p>
    <w:p>
      <w:pPr>
        <w:spacing w:before="3"/>
        <w:ind w:left="2090" w:right="0" w:firstLine="0"/>
        <w:jc w:val="center"/>
        <w:rPr>
          <w:sz w:val="13"/>
        </w:rPr>
      </w:pPr>
      <w:r>
        <w:rPr>
          <w:spacing w:val="-2"/>
          <w:w w:val="85"/>
          <w:sz w:val="13"/>
        </w:rPr>
        <w:t>Section</w:t>
      </w:r>
    </w:p>
    <w:p>
      <w:pPr>
        <w:pStyle w:val="BodyText"/>
        <w:rPr>
          <w:sz w:val="14"/>
        </w:rPr>
      </w:pPr>
    </w:p>
    <w:p>
      <w:pPr>
        <w:pStyle w:val="BodyText"/>
        <w:rPr>
          <w:sz w:val="14"/>
        </w:rPr>
      </w:pPr>
    </w:p>
    <w:p>
      <w:pPr>
        <w:pStyle w:val="BodyText"/>
        <w:rPr>
          <w:sz w:val="13"/>
        </w:rPr>
      </w:pPr>
    </w:p>
    <w:p>
      <w:pPr>
        <w:spacing w:before="0"/>
        <w:ind w:left="2081" w:right="0" w:firstLine="0"/>
        <w:jc w:val="center"/>
        <w:rPr>
          <w:sz w:val="13"/>
        </w:rPr>
      </w:pPr>
      <w:r>
        <w:rPr>
          <w:w w:val="70"/>
          <w:sz w:val="13"/>
        </w:rPr>
        <w:t>Security</w:t>
      </w:r>
      <w:r>
        <w:rPr>
          <w:spacing w:val="-7"/>
          <w:sz w:val="13"/>
        </w:rPr>
        <w:t> </w:t>
      </w:r>
      <w:r>
        <w:rPr>
          <w:w w:val="70"/>
          <w:sz w:val="13"/>
        </w:rPr>
        <w:t>and</w:t>
      </w:r>
      <w:r>
        <w:rPr>
          <w:spacing w:val="-7"/>
          <w:sz w:val="13"/>
        </w:rPr>
        <w:t> </w:t>
      </w:r>
      <w:r>
        <w:rPr>
          <w:spacing w:val="-2"/>
          <w:w w:val="70"/>
          <w:sz w:val="13"/>
        </w:rPr>
        <w:t>Safety</w:t>
      </w:r>
    </w:p>
    <w:p>
      <w:pPr>
        <w:spacing w:before="4"/>
        <w:ind w:left="2081" w:right="0" w:firstLine="0"/>
        <w:jc w:val="center"/>
        <w:rPr>
          <w:sz w:val="13"/>
        </w:rPr>
      </w:pPr>
      <w:r>
        <w:rPr>
          <w:spacing w:val="-2"/>
          <w:w w:val="85"/>
          <w:sz w:val="13"/>
        </w:rPr>
        <w:t>Section</w:t>
      </w:r>
    </w:p>
    <w:p>
      <w:pPr>
        <w:spacing w:line="240" w:lineRule="auto" w:before="0"/>
        <w:rPr>
          <w:sz w:val="14"/>
        </w:rPr>
      </w:pPr>
      <w:r>
        <w:rPr/>
        <w:br w:type="column"/>
      </w:r>
      <w:r>
        <w:rPr>
          <w:sz w:val="14"/>
        </w:rPr>
      </w:r>
    </w:p>
    <w:p>
      <w:pPr>
        <w:pStyle w:val="BodyText"/>
        <w:rPr>
          <w:sz w:val="14"/>
        </w:rPr>
      </w:pPr>
    </w:p>
    <w:p>
      <w:pPr>
        <w:spacing w:line="247" w:lineRule="auto" w:before="84"/>
        <w:ind w:left="372" w:right="0" w:firstLine="0"/>
        <w:jc w:val="center"/>
        <w:rPr>
          <w:sz w:val="13"/>
        </w:rPr>
      </w:pPr>
      <w:r>
        <w:rPr>
          <w:spacing w:val="-2"/>
          <w:w w:val="75"/>
          <w:sz w:val="13"/>
        </w:rPr>
        <w:t>Language</w:t>
      </w:r>
      <w:r>
        <w:rPr>
          <w:spacing w:val="-4"/>
          <w:w w:val="75"/>
          <w:sz w:val="13"/>
        </w:rPr>
        <w:t> </w:t>
      </w:r>
      <w:r>
        <w:rPr>
          <w:spacing w:val="-2"/>
          <w:w w:val="75"/>
          <w:sz w:val="13"/>
        </w:rPr>
        <w:t>Services</w:t>
      </w:r>
      <w:r>
        <w:rPr>
          <w:spacing w:val="40"/>
          <w:sz w:val="13"/>
        </w:rPr>
        <w:t> </w:t>
      </w:r>
      <w:r>
        <w:rPr>
          <w:spacing w:val="-2"/>
          <w:w w:val="85"/>
          <w:sz w:val="13"/>
        </w:rPr>
        <w:t>Section</w:t>
      </w:r>
    </w:p>
    <w:p>
      <w:pPr>
        <w:pStyle w:val="BodyText"/>
        <w:rPr>
          <w:sz w:val="14"/>
        </w:rPr>
      </w:pPr>
    </w:p>
    <w:p>
      <w:pPr>
        <w:pStyle w:val="BodyText"/>
        <w:spacing w:before="1"/>
        <w:rPr>
          <w:sz w:val="14"/>
        </w:rPr>
      </w:pPr>
    </w:p>
    <w:p>
      <w:pPr>
        <w:spacing w:line="247" w:lineRule="auto" w:before="1"/>
        <w:ind w:left="374" w:right="0" w:firstLine="0"/>
        <w:jc w:val="center"/>
        <w:rPr>
          <w:sz w:val="13"/>
        </w:rPr>
      </w:pPr>
      <w:r>
        <w:rPr>
          <w:spacing w:val="-2"/>
          <w:w w:val="75"/>
          <w:sz w:val="13"/>
        </w:rPr>
        <w:t>Victims</w:t>
      </w:r>
      <w:r>
        <w:rPr>
          <w:spacing w:val="-5"/>
          <w:w w:val="75"/>
          <w:sz w:val="13"/>
        </w:rPr>
        <w:t> </w:t>
      </w:r>
      <w:r>
        <w:rPr>
          <w:spacing w:val="-2"/>
          <w:w w:val="75"/>
          <w:sz w:val="13"/>
        </w:rPr>
        <w:t>Participation</w:t>
      </w:r>
      <w:r>
        <w:rPr>
          <w:spacing w:val="40"/>
          <w:sz w:val="13"/>
        </w:rPr>
        <w:t> </w:t>
      </w:r>
      <w:r>
        <w:rPr>
          <w:w w:val="85"/>
          <w:sz w:val="13"/>
        </w:rPr>
        <w:t>and</w:t>
      </w:r>
      <w:r>
        <w:rPr>
          <w:spacing w:val="-7"/>
          <w:w w:val="85"/>
          <w:sz w:val="13"/>
        </w:rPr>
        <w:t> </w:t>
      </w:r>
      <w:r>
        <w:rPr>
          <w:w w:val="85"/>
          <w:sz w:val="13"/>
        </w:rPr>
        <w:t>Reparations</w:t>
      </w:r>
      <w:r>
        <w:rPr>
          <w:spacing w:val="40"/>
          <w:sz w:val="13"/>
        </w:rPr>
        <w:t> </w:t>
      </w:r>
      <w:r>
        <w:rPr>
          <w:spacing w:val="-2"/>
          <w:w w:val="85"/>
          <w:sz w:val="13"/>
        </w:rPr>
        <w:t>Section</w:t>
      </w:r>
    </w:p>
    <w:p>
      <w:pPr>
        <w:pStyle w:val="BodyText"/>
        <w:spacing w:before="8"/>
        <w:rPr>
          <w:sz w:val="13"/>
        </w:rPr>
      </w:pPr>
    </w:p>
    <w:p>
      <w:pPr>
        <w:spacing w:line="247" w:lineRule="auto" w:before="0"/>
        <w:ind w:left="376" w:right="0" w:firstLine="0"/>
        <w:jc w:val="center"/>
        <w:rPr>
          <w:sz w:val="13"/>
        </w:rPr>
      </w:pPr>
      <w:r>
        <w:rPr>
          <w:spacing w:val="-2"/>
          <w:w w:val="75"/>
          <w:sz w:val="13"/>
        </w:rPr>
        <w:t>Office</w:t>
      </w:r>
      <w:r>
        <w:rPr>
          <w:spacing w:val="-4"/>
          <w:w w:val="75"/>
          <w:sz w:val="13"/>
        </w:rPr>
        <w:t> </w:t>
      </w:r>
      <w:r>
        <w:rPr>
          <w:spacing w:val="-2"/>
          <w:w w:val="75"/>
          <w:sz w:val="13"/>
        </w:rPr>
        <w:t>of</w:t>
      </w:r>
      <w:r>
        <w:rPr>
          <w:spacing w:val="-7"/>
          <w:sz w:val="13"/>
        </w:rPr>
        <w:t> </w:t>
      </w:r>
      <w:r>
        <w:rPr>
          <w:spacing w:val="-2"/>
          <w:w w:val="75"/>
          <w:sz w:val="13"/>
        </w:rPr>
        <w:t>Public</w:t>
      </w:r>
      <w:r>
        <w:rPr>
          <w:spacing w:val="40"/>
          <w:sz w:val="13"/>
        </w:rPr>
        <w:t> </w:t>
      </w:r>
      <w:r>
        <w:rPr>
          <w:w w:val="75"/>
          <w:sz w:val="13"/>
        </w:rPr>
        <w:t>Counsel</w:t>
      </w:r>
      <w:r>
        <w:rPr>
          <w:spacing w:val="-1"/>
          <w:w w:val="75"/>
          <w:sz w:val="13"/>
        </w:rPr>
        <w:t> </w:t>
      </w:r>
      <w:r>
        <w:rPr>
          <w:w w:val="75"/>
          <w:sz w:val="13"/>
        </w:rPr>
        <w:t>for</w:t>
      </w:r>
      <w:r>
        <w:rPr>
          <w:spacing w:val="-8"/>
          <w:sz w:val="13"/>
        </w:rPr>
        <w:t> </w:t>
      </w:r>
      <w:r>
        <w:rPr>
          <w:w w:val="75"/>
          <w:sz w:val="13"/>
        </w:rPr>
        <w:t>the</w:t>
      </w:r>
      <w:r>
        <w:rPr>
          <w:spacing w:val="40"/>
          <w:sz w:val="13"/>
        </w:rPr>
        <w:t> </w:t>
      </w:r>
      <w:r>
        <w:rPr>
          <w:spacing w:val="-2"/>
          <w:w w:val="85"/>
          <w:sz w:val="13"/>
        </w:rPr>
        <w:t>Defence</w:t>
      </w:r>
    </w:p>
    <w:p>
      <w:pPr>
        <w:pStyle w:val="BodyText"/>
        <w:rPr>
          <w:sz w:val="14"/>
        </w:rPr>
      </w:pPr>
    </w:p>
    <w:p>
      <w:pPr>
        <w:spacing w:before="120"/>
        <w:ind w:left="373" w:right="0" w:firstLine="0"/>
        <w:jc w:val="center"/>
        <w:rPr>
          <w:sz w:val="13"/>
        </w:rPr>
      </w:pPr>
      <w:r>
        <w:rPr>
          <w:w w:val="70"/>
          <w:sz w:val="13"/>
        </w:rPr>
        <w:t>Office</w:t>
      </w:r>
      <w:r>
        <w:rPr>
          <w:spacing w:val="-10"/>
          <w:sz w:val="13"/>
        </w:rPr>
        <w:t> </w:t>
      </w:r>
      <w:r>
        <w:rPr>
          <w:w w:val="70"/>
          <w:sz w:val="13"/>
        </w:rPr>
        <w:t>of</w:t>
      </w:r>
      <w:r>
        <w:rPr>
          <w:spacing w:val="-3"/>
          <w:sz w:val="13"/>
        </w:rPr>
        <w:t> </w:t>
      </w:r>
      <w:r>
        <w:rPr>
          <w:spacing w:val="-2"/>
          <w:w w:val="70"/>
          <w:sz w:val="13"/>
        </w:rPr>
        <w:t>Public</w:t>
      </w:r>
    </w:p>
    <w:p>
      <w:pPr>
        <w:spacing w:before="4"/>
        <w:ind w:left="371" w:right="0" w:firstLine="0"/>
        <w:jc w:val="center"/>
        <w:rPr>
          <w:sz w:val="13"/>
        </w:rPr>
      </w:pPr>
      <w:r>
        <w:rPr>
          <w:w w:val="70"/>
          <w:sz w:val="13"/>
        </w:rPr>
        <w:t>Counsel</w:t>
      </w:r>
      <w:r>
        <w:rPr>
          <w:spacing w:val="-5"/>
          <w:sz w:val="13"/>
        </w:rPr>
        <w:t> </w:t>
      </w:r>
      <w:r>
        <w:rPr>
          <w:w w:val="70"/>
          <w:sz w:val="13"/>
        </w:rPr>
        <w:t>for</w:t>
      </w:r>
      <w:r>
        <w:rPr>
          <w:spacing w:val="-1"/>
          <w:sz w:val="13"/>
        </w:rPr>
        <w:t> </w:t>
      </w:r>
      <w:r>
        <w:rPr>
          <w:spacing w:val="-2"/>
          <w:w w:val="70"/>
          <w:sz w:val="13"/>
        </w:rPr>
        <w:t>Victims</w:t>
      </w:r>
    </w:p>
    <w:p>
      <w:pPr>
        <w:spacing w:line="121" w:lineRule="exact" w:before="0"/>
        <w:ind w:left="306" w:right="0" w:firstLine="0"/>
        <w:jc w:val="left"/>
        <w:rPr>
          <w:sz w:val="13"/>
        </w:rPr>
      </w:pPr>
      <w:r>
        <w:rPr/>
        <w:br w:type="column"/>
      </w:r>
      <w:r>
        <w:rPr>
          <w:w w:val="70"/>
          <w:sz w:val="13"/>
        </w:rPr>
        <w:t>Outreach</w:t>
      </w:r>
      <w:r>
        <w:rPr>
          <w:spacing w:val="-2"/>
          <w:w w:val="85"/>
          <w:sz w:val="13"/>
        </w:rPr>
        <w:t> Section</w:t>
      </w:r>
    </w:p>
    <w:p>
      <w:pPr>
        <w:pStyle w:val="BodyText"/>
        <w:rPr>
          <w:sz w:val="14"/>
        </w:rPr>
      </w:pPr>
    </w:p>
    <w:p>
      <w:pPr>
        <w:pStyle w:val="BodyText"/>
        <w:spacing w:before="4"/>
      </w:pPr>
    </w:p>
    <w:p>
      <w:pPr>
        <w:spacing w:line="247" w:lineRule="auto" w:before="0"/>
        <w:ind w:left="190" w:right="2609" w:firstLine="0"/>
        <w:jc w:val="left"/>
        <w:rPr>
          <w:sz w:val="13"/>
        </w:rPr>
      </w:pPr>
      <w:r>
        <w:rPr>
          <w:w w:val="85"/>
          <w:sz w:val="13"/>
          <w:u w:val="single"/>
        </w:rPr>
        <w:t>External</w:t>
      </w:r>
      <w:r>
        <w:rPr>
          <w:spacing w:val="-11"/>
          <w:w w:val="85"/>
          <w:sz w:val="13"/>
          <w:u w:val="single"/>
        </w:rPr>
        <w:t> </w:t>
      </w:r>
      <w:r>
        <w:rPr>
          <w:w w:val="85"/>
          <w:sz w:val="13"/>
          <w:u w:val="single"/>
        </w:rPr>
        <w:t>Office</w:t>
      </w:r>
      <w:r>
        <w:rPr>
          <w:w w:val="85"/>
          <w:sz w:val="13"/>
        </w:rPr>
        <w:t>s</w:t>
      </w:r>
      <w:r>
        <w:rPr>
          <w:spacing w:val="40"/>
          <w:sz w:val="13"/>
        </w:rPr>
        <w:t> </w:t>
      </w:r>
      <w:r>
        <w:rPr>
          <w:spacing w:val="-2"/>
          <w:w w:val="80"/>
          <w:sz w:val="13"/>
        </w:rPr>
        <w:t>Liaison</w:t>
      </w:r>
      <w:r>
        <w:rPr>
          <w:spacing w:val="-5"/>
          <w:w w:val="80"/>
          <w:sz w:val="13"/>
        </w:rPr>
        <w:t> </w:t>
      </w:r>
      <w:r>
        <w:rPr>
          <w:spacing w:val="-2"/>
          <w:w w:val="80"/>
          <w:sz w:val="13"/>
        </w:rPr>
        <w:t>Office</w:t>
      </w:r>
      <w:r>
        <w:rPr>
          <w:spacing w:val="-5"/>
          <w:w w:val="80"/>
          <w:sz w:val="13"/>
        </w:rPr>
        <w:t> </w:t>
      </w:r>
      <w:r>
        <w:rPr>
          <w:spacing w:val="-2"/>
          <w:w w:val="80"/>
          <w:sz w:val="13"/>
        </w:rPr>
        <w:t>of</w:t>
      </w:r>
      <w:r>
        <w:rPr>
          <w:spacing w:val="-7"/>
          <w:sz w:val="13"/>
        </w:rPr>
        <w:t> </w:t>
      </w:r>
      <w:r>
        <w:rPr>
          <w:spacing w:val="-2"/>
          <w:w w:val="80"/>
          <w:sz w:val="13"/>
        </w:rPr>
        <w:t>the</w:t>
      </w:r>
      <w:r>
        <w:rPr>
          <w:spacing w:val="40"/>
          <w:sz w:val="13"/>
        </w:rPr>
        <w:t> </w:t>
      </w:r>
      <w:r>
        <w:rPr>
          <w:spacing w:val="-2"/>
          <w:w w:val="75"/>
          <w:sz w:val="13"/>
        </w:rPr>
        <w:t>International</w:t>
      </w:r>
      <w:r>
        <w:rPr>
          <w:spacing w:val="-11"/>
          <w:sz w:val="13"/>
        </w:rPr>
        <w:t> </w:t>
      </w:r>
      <w:r>
        <w:rPr>
          <w:spacing w:val="-2"/>
          <w:w w:val="75"/>
          <w:sz w:val="13"/>
        </w:rPr>
        <w:t>Criminal</w:t>
      </w:r>
      <w:r>
        <w:rPr>
          <w:spacing w:val="40"/>
          <w:sz w:val="13"/>
        </w:rPr>
        <w:t> </w:t>
      </w:r>
      <w:r>
        <w:rPr>
          <w:w w:val="85"/>
          <w:sz w:val="13"/>
        </w:rPr>
        <w:t>Court</w:t>
      </w:r>
      <w:r>
        <w:rPr>
          <w:spacing w:val="-4"/>
          <w:w w:val="85"/>
          <w:sz w:val="13"/>
        </w:rPr>
        <w:t> </w:t>
      </w:r>
      <w:r>
        <w:rPr>
          <w:w w:val="85"/>
          <w:sz w:val="13"/>
        </w:rPr>
        <w:t>to</w:t>
      </w:r>
      <w:r>
        <w:rPr>
          <w:spacing w:val="-6"/>
          <w:w w:val="85"/>
          <w:sz w:val="13"/>
        </w:rPr>
        <w:t> </w:t>
      </w:r>
      <w:r>
        <w:rPr>
          <w:w w:val="85"/>
          <w:sz w:val="13"/>
        </w:rPr>
        <w:t>the</w:t>
      </w:r>
      <w:r>
        <w:rPr>
          <w:spacing w:val="-7"/>
          <w:w w:val="85"/>
          <w:sz w:val="13"/>
        </w:rPr>
        <w:t> </w:t>
      </w:r>
      <w:r>
        <w:rPr>
          <w:w w:val="85"/>
          <w:sz w:val="13"/>
        </w:rPr>
        <w:t>United</w:t>
      </w:r>
      <w:r>
        <w:rPr>
          <w:spacing w:val="40"/>
          <w:sz w:val="13"/>
        </w:rPr>
        <w:t> </w:t>
      </w:r>
      <w:r>
        <w:rPr>
          <w:spacing w:val="-2"/>
          <w:w w:val="80"/>
          <w:sz w:val="13"/>
        </w:rPr>
        <w:t>Nations</w:t>
      </w:r>
      <w:r>
        <w:rPr>
          <w:spacing w:val="-4"/>
          <w:w w:val="80"/>
          <w:sz w:val="13"/>
        </w:rPr>
        <w:t> </w:t>
      </w:r>
      <w:r>
        <w:rPr>
          <w:spacing w:val="-2"/>
          <w:w w:val="80"/>
          <w:sz w:val="13"/>
        </w:rPr>
        <w:t>(New</w:t>
      </w:r>
      <w:r>
        <w:rPr>
          <w:spacing w:val="-6"/>
          <w:w w:val="80"/>
          <w:sz w:val="13"/>
        </w:rPr>
        <w:t> </w:t>
      </w:r>
      <w:r>
        <w:rPr>
          <w:spacing w:val="-2"/>
          <w:w w:val="80"/>
          <w:sz w:val="13"/>
        </w:rPr>
        <w:t>York)</w:t>
      </w:r>
    </w:p>
    <w:p>
      <w:pPr>
        <w:pStyle w:val="BodyText"/>
        <w:spacing w:before="2"/>
        <w:rPr>
          <w:sz w:val="13"/>
        </w:rPr>
      </w:pPr>
    </w:p>
    <w:p>
      <w:pPr>
        <w:spacing w:line="247" w:lineRule="auto" w:before="0"/>
        <w:ind w:left="355" w:right="2826" w:hanging="142"/>
        <w:jc w:val="left"/>
        <w:rPr>
          <w:sz w:val="13"/>
        </w:rPr>
      </w:pPr>
      <w:r>
        <w:rPr>
          <w:spacing w:val="-2"/>
          <w:w w:val="75"/>
          <w:sz w:val="13"/>
          <w:u w:val="single"/>
        </w:rPr>
        <w:t>Country</w:t>
      </w:r>
      <w:r>
        <w:rPr>
          <w:spacing w:val="-3"/>
          <w:w w:val="75"/>
          <w:sz w:val="13"/>
          <w:u w:val="single"/>
        </w:rPr>
        <w:t> </w:t>
      </w:r>
      <w:r>
        <w:rPr>
          <w:spacing w:val="-2"/>
          <w:w w:val="75"/>
          <w:sz w:val="13"/>
          <w:u w:val="single"/>
        </w:rPr>
        <w:t>Office</w:t>
      </w:r>
      <w:r>
        <w:rPr>
          <w:spacing w:val="-2"/>
          <w:w w:val="75"/>
          <w:sz w:val="13"/>
        </w:rPr>
        <w:t>s</w:t>
      </w:r>
      <w:r>
        <w:rPr>
          <w:spacing w:val="40"/>
          <w:sz w:val="13"/>
        </w:rPr>
        <w:t> </w:t>
      </w:r>
      <w:r>
        <w:rPr>
          <w:spacing w:val="-2"/>
          <w:w w:val="85"/>
          <w:sz w:val="13"/>
        </w:rPr>
        <w:t>Uganda</w:t>
      </w:r>
      <w:r>
        <w:rPr>
          <w:spacing w:val="40"/>
          <w:sz w:val="13"/>
        </w:rPr>
        <w:t> </w:t>
      </w:r>
      <w:r>
        <w:rPr>
          <w:w w:val="85"/>
          <w:sz w:val="13"/>
        </w:rPr>
        <w:t>DRC</w:t>
      </w:r>
      <w:r>
        <w:rPr>
          <w:spacing w:val="-4"/>
          <w:w w:val="85"/>
          <w:sz w:val="13"/>
        </w:rPr>
        <w:t> </w:t>
      </w:r>
      <w:r>
        <w:rPr>
          <w:w w:val="85"/>
          <w:sz w:val="13"/>
        </w:rPr>
        <w:t>(2)</w:t>
      </w:r>
    </w:p>
    <w:p>
      <w:pPr>
        <w:spacing w:line="148" w:lineRule="exact" w:before="0"/>
        <w:ind w:left="355" w:right="0" w:firstLine="0"/>
        <w:jc w:val="left"/>
        <w:rPr>
          <w:sz w:val="13"/>
        </w:rPr>
      </w:pPr>
      <w:r>
        <w:rPr>
          <w:spacing w:val="-2"/>
          <w:w w:val="85"/>
          <w:sz w:val="13"/>
        </w:rPr>
        <w:t>Sudan</w:t>
      </w:r>
    </w:p>
    <w:p>
      <w:pPr>
        <w:spacing w:before="4"/>
        <w:ind w:left="355" w:right="0" w:firstLine="0"/>
        <w:jc w:val="left"/>
        <w:rPr>
          <w:sz w:val="13"/>
        </w:rPr>
      </w:pPr>
      <w:r>
        <w:rPr>
          <w:spacing w:val="-5"/>
          <w:w w:val="85"/>
          <w:sz w:val="13"/>
        </w:rPr>
        <w:t>CAR</w:t>
      </w:r>
    </w:p>
    <w:p>
      <w:pPr>
        <w:spacing w:line="247" w:lineRule="auto" w:before="4"/>
        <w:ind w:left="355" w:right="2781" w:firstLine="0"/>
        <w:jc w:val="left"/>
        <w:rPr>
          <w:sz w:val="13"/>
        </w:rPr>
      </w:pPr>
      <w:r>
        <w:rPr>
          <w:spacing w:val="-4"/>
          <w:w w:val="80"/>
          <w:sz w:val="13"/>
        </w:rPr>
        <w:t>Côte</w:t>
      </w:r>
      <w:r>
        <w:rPr>
          <w:spacing w:val="-5"/>
          <w:w w:val="80"/>
          <w:sz w:val="13"/>
        </w:rPr>
        <w:t> </w:t>
      </w:r>
      <w:r>
        <w:rPr>
          <w:spacing w:val="-4"/>
          <w:w w:val="80"/>
          <w:sz w:val="13"/>
        </w:rPr>
        <w:t>d</w:t>
      </w:r>
      <w:r>
        <w:rPr>
          <w:spacing w:val="-4"/>
          <w:sz w:val="13"/>
        </w:rPr>
        <w:t> </w:t>
      </w:r>
      <w:r>
        <w:rPr>
          <w:spacing w:val="-4"/>
          <w:w w:val="80"/>
          <w:sz w:val="13"/>
        </w:rPr>
        <w:t>Ivoire</w:t>
      </w:r>
      <w:r>
        <w:rPr>
          <w:spacing w:val="40"/>
          <w:sz w:val="13"/>
        </w:rPr>
        <w:t> </w:t>
      </w:r>
      <w:r>
        <w:rPr>
          <w:spacing w:val="-4"/>
          <w:w w:val="85"/>
          <w:sz w:val="13"/>
        </w:rPr>
        <w:t>Mali</w:t>
      </w:r>
      <w:r>
        <w:rPr>
          <w:spacing w:val="40"/>
          <w:sz w:val="13"/>
        </w:rPr>
        <w:t> </w:t>
      </w:r>
      <w:r>
        <w:rPr>
          <w:spacing w:val="-2"/>
          <w:w w:val="85"/>
          <w:sz w:val="13"/>
        </w:rPr>
        <w:t>Georgia</w:t>
      </w:r>
      <w:r>
        <w:rPr>
          <w:spacing w:val="40"/>
          <w:sz w:val="13"/>
        </w:rPr>
        <w:t> </w:t>
      </w:r>
      <w:r>
        <w:rPr>
          <w:spacing w:val="-2"/>
          <w:w w:val="85"/>
          <w:sz w:val="13"/>
        </w:rPr>
        <w:t>Ukraine</w:t>
      </w:r>
    </w:p>
    <w:p>
      <w:pPr>
        <w:spacing w:after="0" w:line="247" w:lineRule="auto"/>
        <w:jc w:val="left"/>
        <w:rPr>
          <w:sz w:val="13"/>
        </w:rPr>
        <w:sectPr>
          <w:type w:val="continuous"/>
          <w:pgSz w:w="11910" w:h="16840"/>
          <w:pgMar w:header="957" w:footer="940" w:top="1240" w:bottom="1140" w:left="20" w:right="20"/>
          <w:cols w:num="5" w:equalWidth="0">
            <w:col w:w="3487" w:space="40"/>
            <w:col w:w="562" w:space="39"/>
            <w:col w:w="2823" w:space="40"/>
            <w:col w:w="1181" w:space="39"/>
            <w:col w:w="3659"/>
          </w:cols>
        </w:sectPr>
      </w:pPr>
    </w:p>
    <w:p>
      <w:pPr>
        <w:spacing w:line="247" w:lineRule="auto" w:before="17"/>
        <w:ind w:left="1466" w:right="130" w:firstLine="47"/>
        <w:jc w:val="left"/>
        <w:rPr>
          <w:sz w:val="13"/>
        </w:rPr>
      </w:pPr>
      <w:r>
        <w:rPr>
          <w:spacing w:val="-2"/>
          <w:w w:val="75"/>
          <w:sz w:val="13"/>
        </w:rPr>
        <w:t>(*)</w:t>
      </w:r>
      <w:r>
        <w:rPr>
          <w:spacing w:val="24"/>
          <w:sz w:val="13"/>
        </w:rPr>
        <w:t> </w:t>
      </w:r>
      <w:r>
        <w:rPr>
          <w:spacing w:val="-2"/>
          <w:w w:val="75"/>
          <w:sz w:val="13"/>
        </w:rPr>
        <w:t>The Secretariat</w:t>
      </w:r>
      <w:r>
        <w:rPr>
          <w:spacing w:val="-4"/>
          <w:sz w:val="13"/>
        </w:rPr>
        <w:t> </w:t>
      </w:r>
      <w:r>
        <w:rPr>
          <w:spacing w:val="-2"/>
          <w:w w:val="75"/>
          <w:sz w:val="13"/>
        </w:rPr>
        <w:t>of</w:t>
      </w:r>
      <w:r>
        <w:rPr>
          <w:spacing w:val="-3"/>
          <w:sz w:val="13"/>
        </w:rPr>
        <w:t> </w:t>
      </w:r>
      <w:r>
        <w:rPr>
          <w:spacing w:val="-2"/>
          <w:w w:val="75"/>
          <w:sz w:val="13"/>
        </w:rPr>
        <w:t>the Assembly of</w:t>
      </w:r>
      <w:r>
        <w:rPr>
          <w:spacing w:val="-3"/>
          <w:sz w:val="13"/>
        </w:rPr>
        <w:t> </w:t>
      </w:r>
      <w:r>
        <w:rPr>
          <w:spacing w:val="-2"/>
          <w:w w:val="75"/>
          <w:sz w:val="13"/>
        </w:rPr>
        <w:t>States Parties</w:t>
      </w:r>
      <w:r>
        <w:rPr>
          <w:spacing w:val="-1"/>
          <w:sz w:val="13"/>
        </w:rPr>
        <w:t> </w:t>
      </w:r>
      <w:r>
        <w:rPr>
          <w:spacing w:val="-2"/>
          <w:w w:val="75"/>
          <w:sz w:val="13"/>
        </w:rPr>
        <w:t>operates under</w:t>
      </w:r>
      <w:r>
        <w:rPr>
          <w:spacing w:val="-3"/>
          <w:w w:val="75"/>
          <w:sz w:val="13"/>
        </w:rPr>
        <w:t> </w:t>
      </w:r>
      <w:r>
        <w:rPr>
          <w:spacing w:val="-2"/>
          <w:w w:val="75"/>
          <w:sz w:val="13"/>
        </w:rPr>
        <w:t>the full</w:t>
      </w:r>
      <w:r>
        <w:rPr>
          <w:spacing w:val="-4"/>
          <w:sz w:val="13"/>
        </w:rPr>
        <w:t> </w:t>
      </w:r>
      <w:r>
        <w:rPr>
          <w:spacing w:val="-2"/>
          <w:w w:val="75"/>
          <w:sz w:val="13"/>
        </w:rPr>
        <w:t>authority of</w:t>
      </w:r>
      <w:r>
        <w:rPr>
          <w:spacing w:val="-3"/>
          <w:sz w:val="13"/>
        </w:rPr>
        <w:t> </w:t>
      </w:r>
      <w:r>
        <w:rPr>
          <w:spacing w:val="-2"/>
          <w:w w:val="75"/>
          <w:sz w:val="13"/>
        </w:rPr>
        <w:t>the Assembly and reports</w:t>
      </w:r>
      <w:r>
        <w:rPr>
          <w:spacing w:val="-1"/>
          <w:sz w:val="13"/>
        </w:rPr>
        <w:t> </w:t>
      </w:r>
      <w:r>
        <w:rPr>
          <w:spacing w:val="-2"/>
          <w:w w:val="75"/>
          <w:sz w:val="13"/>
        </w:rPr>
        <w:t>directly to the</w:t>
      </w:r>
      <w:r>
        <w:rPr>
          <w:sz w:val="13"/>
        </w:rPr>
        <w:t> </w:t>
      </w:r>
      <w:r>
        <w:rPr>
          <w:spacing w:val="-2"/>
          <w:w w:val="75"/>
          <w:sz w:val="13"/>
        </w:rPr>
        <w:t>Assembly.</w:t>
      </w:r>
      <w:r>
        <w:rPr>
          <w:spacing w:val="40"/>
          <w:sz w:val="13"/>
        </w:rPr>
        <w:t> </w:t>
      </w:r>
      <w:r>
        <w:rPr>
          <w:w w:val="70"/>
          <w:sz w:val="13"/>
        </w:rPr>
        <w:t>The</w:t>
      </w:r>
      <w:r>
        <w:rPr>
          <w:sz w:val="13"/>
        </w:rPr>
        <w:t> </w:t>
      </w:r>
      <w:r>
        <w:rPr>
          <w:w w:val="70"/>
          <w:sz w:val="13"/>
        </w:rPr>
        <w:t>Secretariat of the Assemblyy is an integral</w:t>
      </w:r>
      <w:r>
        <w:rPr>
          <w:sz w:val="13"/>
        </w:rPr>
        <w:t> </w:t>
      </w:r>
      <w:r>
        <w:rPr>
          <w:w w:val="70"/>
          <w:sz w:val="13"/>
        </w:rPr>
        <w:t>part of the International</w:t>
      </w:r>
      <w:r>
        <w:rPr>
          <w:sz w:val="13"/>
        </w:rPr>
        <w:t> </w:t>
      </w:r>
      <w:r>
        <w:rPr>
          <w:w w:val="70"/>
          <w:sz w:val="13"/>
        </w:rPr>
        <w:t>Criminal Court and, for</w:t>
      </w:r>
      <w:r>
        <w:rPr>
          <w:sz w:val="13"/>
        </w:rPr>
        <w:t> </w:t>
      </w:r>
      <w:r>
        <w:rPr>
          <w:w w:val="70"/>
          <w:sz w:val="13"/>
        </w:rPr>
        <w:t>administrative purposes, the</w:t>
      </w:r>
      <w:r>
        <w:rPr>
          <w:sz w:val="13"/>
        </w:rPr>
        <w:t> </w:t>
      </w:r>
      <w:r>
        <w:rPr>
          <w:w w:val="70"/>
          <w:sz w:val="13"/>
        </w:rPr>
        <w:t>Secretariat</w:t>
      </w:r>
      <w:r>
        <w:rPr>
          <w:sz w:val="13"/>
        </w:rPr>
        <w:t> </w:t>
      </w:r>
      <w:r>
        <w:rPr>
          <w:w w:val="70"/>
          <w:sz w:val="13"/>
        </w:rPr>
        <w:t>and its</w:t>
      </w:r>
      <w:r>
        <w:rPr>
          <w:spacing w:val="40"/>
          <w:sz w:val="13"/>
        </w:rPr>
        <w:t> </w:t>
      </w:r>
      <w:r>
        <w:rPr>
          <w:spacing w:val="-2"/>
          <w:w w:val="80"/>
          <w:sz w:val="13"/>
        </w:rPr>
        <w:t>staff</w:t>
      </w:r>
      <w:r>
        <w:rPr>
          <w:spacing w:val="-5"/>
          <w:sz w:val="13"/>
        </w:rPr>
        <w:t> </w:t>
      </w:r>
      <w:r>
        <w:rPr>
          <w:spacing w:val="-2"/>
          <w:w w:val="80"/>
          <w:sz w:val="13"/>
        </w:rPr>
        <w:t>are</w:t>
      </w:r>
      <w:r>
        <w:rPr>
          <w:spacing w:val="-4"/>
          <w:w w:val="80"/>
          <w:sz w:val="13"/>
        </w:rPr>
        <w:t> </w:t>
      </w:r>
      <w:r>
        <w:rPr>
          <w:spacing w:val="-2"/>
          <w:w w:val="80"/>
          <w:sz w:val="13"/>
        </w:rPr>
        <w:t>attached</w:t>
      </w:r>
      <w:r>
        <w:rPr>
          <w:spacing w:val="-3"/>
          <w:w w:val="80"/>
          <w:sz w:val="13"/>
        </w:rPr>
        <w:t> </w:t>
      </w:r>
      <w:r>
        <w:rPr>
          <w:spacing w:val="-2"/>
          <w:w w:val="80"/>
          <w:sz w:val="13"/>
        </w:rPr>
        <w:t>to</w:t>
      </w:r>
      <w:r>
        <w:rPr>
          <w:spacing w:val="-3"/>
          <w:w w:val="80"/>
          <w:sz w:val="13"/>
        </w:rPr>
        <w:t> </w:t>
      </w:r>
      <w:r>
        <w:rPr>
          <w:spacing w:val="-2"/>
          <w:w w:val="80"/>
          <w:sz w:val="13"/>
        </w:rPr>
        <w:t>the</w:t>
      </w:r>
      <w:r>
        <w:rPr>
          <w:spacing w:val="-4"/>
          <w:w w:val="80"/>
          <w:sz w:val="13"/>
        </w:rPr>
        <w:t> </w:t>
      </w:r>
      <w:r>
        <w:rPr>
          <w:spacing w:val="-2"/>
          <w:w w:val="80"/>
          <w:sz w:val="13"/>
        </w:rPr>
        <w:t>Registry</w:t>
      </w:r>
      <w:r>
        <w:rPr>
          <w:spacing w:val="-3"/>
          <w:w w:val="80"/>
          <w:sz w:val="13"/>
        </w:rPr>
        <w:t> </w:t>
      </w:r>
      <w:r>
        <w:rPr>
          <w:spacing w:val="-2"/>
          <w:w w:val="80"/>
          <w:sz w:val="13"/>
        </w:rPr>
        <w:t>of</w:t>
      </w:r>
      <w:r>
        <w:rPr>
          <w:spacing w:val="-5"/>
          <w:sz w:val="13"/>
        </w:rPr>
        <w:t> </w:t>
      </w:r>
      <w:r>
        <w:rPr>
          <w:spacing w:val="-2"/>
          <w:w w:val="80"/>
          <w:sz w:val="13"/>
        </w:rPr>
        <w:t>the</w:t>
      </w:r>
      <w:r>
        <w:rPr>
          <w:spacing w:val="-7"/>
          <w:sz w:val="13"/>
        </w:rPr>
        <w:t> </w:t>
      </w:r>
      <w:r>
        <w:rPr>
          <w:spacing w:val="-2"/>
          <w:w w:val="80"/>
          <w:sz w:val="13"/>
        </w:rPr>
        <w:t>Court.</w:t>
      </w:r>
    </w:p>
    <w:p>
      <w:pPr>
        <w:spacing w:line="247" w:lineRule="auto" w:before="1"/>
        <w:ind w:left="1466" w:right="0" w:firstLine="0"/>
        <w:jc w:val="left"/>
        <w:rPr>
          <w:sz w:val="13"/>
        </w:rPr>
      </w:pPr>
      <w:r>
        <w:rPr>
          <w:spacing w:val="-2"/>
          <w:w w:val="75"/>
          <w:sz w:val="13"/>
        </w:rPr>
        <w:t>(**) The</w:t>
      </w:r>
      <w:r>
        <w:rPr>
          <w:spacing w:val="-2"/>
          <w:sz w:val="13"/>
        </w:rPr>
        <w:t> </w:t>
      </w:r>
      <w:r>
        <w:rPr>
          <w:spacing w:val="-2"/>
          <w:w w:val="75"/>
          <w:sz w:val="13"/>
        </w:rPr>
        <w:t>Secretariat</w:t>
      </w:r>
      <w:r>
        <w:rPr>
          <w:spacing w:val="-6"/>
          <w:sz w:val="13"/>
        </w:rPr>
        <w:t> </w:t>
      </w:r>
      <w:r>
        <w:rPr>
          <w:spacing w:val="-2"/>
          <w:w w:val="75"/>
          <w:sz w:val="13"/>
        </w:rPr>
        <w:t>of</w:t>
      </w:r>
      <w:r>
        <w:rPr>
          <w:spacing w:val="-5"/>
          <w:sz w:val="13"/>
        </w:rPr>
        <w:t> </w:t>
      </w:r>
      <w:r>
        <w:rPr>
          <w:spacing w:val="-2"/>
          <w:w w:val="75"/>
          <w:sz w:val="13"/>
        </w:rPr>
        <w:t>the Trust</w:t>
      </w:r>
      <w:r>
        <w:rPr>
          <w:spacing w:val="-6"/>
          <w:sz w:val="13"/>
        </w:rPr>
        <w:t> </w:t>
      </w:r>
      <w:r>
        <w:rPr>
          <w:spacing w:val="-2"/>
          <w:w w:val="75"/>
          <w:sz w:val="13"/>
        </w:rPr>
        <w:t>Fund for</w:t>
      </w:r>
      <w:r>
        <w:rPr>
          <w:spacing w:val="-4"/>
          <w:w w:val="75"/>
          <w:sz w:val="13"/>
        </w:rPr>
        <w:t> </w:t>
      </w:r>
      <w:r>
        <w:rPr>
          <w:spacing w:val="-2"/>
          <w:w w:val="75"/>
          <w:sz w:val="13"/>
        </w:rPr>
        <w:t>Victims</w:t>
      </w:r>
      <w:r>
        <w:rPr>
          <w:spacing w:val="-3"/>
          <w:sz w:val="13"/>
        </w:rPr>
        <w:t> </w:t>
      </w:r>
      <w:r>
        <w:rPr>
          <w:spacing w:val="-2"/>
          <w:w w:val="75"/>
          <w:sz w:val="13"/>
        </w:rPr>
        <w:t>(STFV)</w:t>
      </w:r>
      <w:r>
        <w:rPr>
          <w:spacing w:val="-6"/>
          <w:sz w:val="13"/>
        </w:rPr>
        <w:t> </w:t>
      </w:r>
      <w:r>
        <w:rPr>
          <w:spacing w:val="-2"/>
          <w:w w:val="75"/>
          <w:sz w:val="13"/>
        </w:rPr>
        <w:t>reports</w:t>
      </w:r>
      <w:r>
        <w:rPr>
          <w:spacing w:val="-3"/>
          <w:sz w:val="13"/>
        </w:rPr>
        <w:t> </w:t>
      </w:r>
      <w:r>
        <w:rPr>
          <w:spacing w:val="-2"/>
          <w:w w:val="75"/>
          <w:sz w:val="13"/>
        </w:rPr>
        <w:t>functionally to the</w:t>
      </w:r>
      <w:r>
        <w:rPr>
          <w:spacing w:val="-2"/>
          <w:sz w:val="13"/>
        </w:rPr>
        <w:t> </w:t>
      </w:r>
      <w:r>
        <w:rPr>
          <w:spacing w:val="-2"/>
          <w:w w:val="75"/>
          <w:sz w:val="13"/>
        </w:rPr>
        <w:t>Board of</w:t>
      </w:r>
      <w:r>
        <w:rPr>
          <w:spacing w:val="-5"/>
          <w:sz w:val="13"/>
        </w:rPr>
        <w:t> </w:t>
      </w:r>
      <w:r>
        <w:rPr>
          <w:spacing w:val="-2"/>
          <w:w w:val="75"/>
          <w:sz w:val="13"/>
        </w:rPr>
        <w:t>Directors</w:t>
      </w:r>
      <w:r>
        <w:rPr>
          <w:spacing w:val="-3"/>
          <w:sz w:val="13"/>
        </w:rPr>
        <w:t> </w:t>
      </w:r>
      <w:r>
        <w:rPr>
          <w:spacing w:val="-2"/>
          <w:w w:val="75"/>
          <w:sz w:val="13"/>
        </w:rPr>
        <w:t>of</w:t>
      </w:r>
      <w:r>
        <w:rPr>
          <w:spacing w:val="-5"/>
          <w:sz w:val="13"/>
        </w:rPr>
        <w:t> </w:t>
      </w:r>
      <w:r>
        <w:rPr>
          <w:spacing w:val="-2"/>
          <w:w w:val="75"/>
          <w:sz w:val="13"/>
        </w:rPr>
        <w:t>the Trust</w:t>
      </w:r>
      <w:r>
        <w:rPr>
          <w:spacing w:val="-6"/>
          <w:sz w:val="13"/>
        </w:rPr>
        <w:t> </w:t>
      </w:r>
      <w:r>
        <w:rPr>
          <w:spacing w:val="-2"/>
          <w:w w:val="75"/>
          <w:sz w:val="13"/>
        </w:rPr>
        <w:t>Fund for</w:t>
      </w:r>
      <w:r>
        <w:rPr>
          <w:spacing w:val="-5"/>
          <w:sz w:val="13"/>
        </w:rPr>
        <w:t> </w:t>
      </w:r>
      <w:r>
        <w:rPr>
          <w:spacing w:val="-2"/>
          <w:w w:val="75"/>
          <w:sz w:val="13"/>
        </w:rPr>
        <w:t>Victims</w:t>
      </w:r>
      <w:r>
        <w:rPr>
          <w:spacing w:val="-3"/>
          <w:sz w:val="13"/>
        </w:rPr>
        <w:t> </w:t>
      </w:r>
      <w:r>
        <w:rPr>
          <w:spacing w:val="-2"/>
          <w:w w:val="75"/>
          <w:sz w:val="13"/>
        </w:rPr>
        <w:t>(TFV)</w:t>
      </w:r>
      <w:r>
        <w:rPr>
          <w:spacing w:val="-6"/>
          <w:sz w:val="13"/>
        </w:rPr>
        <w:t> </w:t>
      </w:r>
      <w:r>
        <w:rPr>
          <w:spacing w:val="-2"/>
          <w:w w:val="75"/>
          <w:sz w:val="13"/>
        </w:rPr>
        <w:t>and</w:t>
      </w:r>
      <w:r>
        <w:rPr>
          <w:spacing w:val="40"/>
          <w:sz w:val="13"/>
        </w:rPr>
        <w:t> </w:t>
      </w:r>
      <w:r>
        <w:rPr>
          <w:spacing w:val="-2"/>
          <w:w w:val="75"/>
          <w:sz w:val="13"/>
        </w:rPr>
        <w:t>administratively</w:t>
      </w:r>
      <w:r>
        <w:rPr>
          <w:spacing w:val="-3"/>
          <w:sz w:val="13"/>
        </w:rPr>
        <w:t> </w:t>
      </w:r>
      <w:r>
        <w:rPr>
          <w:spacing w:val="-2"/>
          <w:w w:val="75"/>
          <w:sz w:val="13"/>
        </w:rPr>
        <w:t>(regulatory compliance)</w:t>
      </w:r>
      <w:r>
        <w:rPr>
          <w:spacing w:val="-3"/>
          <w:sz w:val="13"/>
        </w:rPr>
        <w:t> </w:t>
      </w:r>
      <w:r>
        <w:rPr>
          <w:spacing w:val="-2"/>
          <w:w w:val="75"/>
          <w:sz w:val="13"/>
        </w:rPr>
        <w:t>to</w:t>
      </w:r>
      <w:r>
        <w:rPr>
          <w:spacing w:val="-3"/>
          <w:sz w:val="13"/>
        </w:rPr>
        <w:t> </w:t>
      </w:r>
      <w:r>
        <w:rPr>
          <w:spacing w:val="-2"/>
          <w:w w:val="75"/>
          <w:sz w:val="13"/>
        </w:rPr>
        <w:t>the</w:t>
      </w:r>
      <w:r>
        <w:rPr>
          <w:sz w:val="13"/>
        </w:rPr>
        <w:t> </w:t>
      </w:r>
      <w:r>
        <w:rPr>
          <w:spacing w:val="-2"/>
          <w:w w:val="75"/>
          <w:sz w:val="13"/>
        </w:rPr>
        <w:t>Registry.</w:t>
      </w:r>
      <w:r>
        <w:rPr>
          <w:spacing w:val="-3"/>
          <w:sz w:val="13"/>
        </w:rPr>
        <w:t> </w:t>
      </w:r>
      <w:r>
        <w:rPr>
          <w:spacing w:val="-2"/>
          <w:w w:val="75"/>
          <w:sz w:val="13"/>
        </w:rPr>
        <w:t>The Board of</w:t>
      </w:r>
      <w:r>
        <w:rPr>
          <w:sz w:val="13"/>
        </w:rPr>
        <w:t> </w:t>
      </w:r>
      <w:r>
        <w:rPr>
          <w:spacing w:val="-2"/>
          <w:w w:val="75"/>
          <w:sz w:val="13"/>
        </w:rPr>
        <w:t>Directors of</w:t>
      </w:r>
      <w:r>
        <w:rPr>
          <w:sz w:val="13"/>
        </w:rPr>
        <w:t> </w:t>
      </w:r>
      <w:r>
        <w:rPr>
          <w:spacing w:val="-2"/>
          <w:w w:val="75"/>
          <w:sz w:val="13"/>
        </w:rPr>
        <w:t>the</w:t>
      </w:r>
      <w:r>
        <w:rPr>
          <w:sz w:val="13"/>
        </w:rPr>
        <w:t> </w:t>
      </w:r>
      <w:r>
        <w:rPr>
          <w:spacing w:val="-2"/>
          <w:w w:val="75"/>
          <w:sz w:val="13"/>
        </w:rPr>
        <w:t>TFV reports directly to the Assembly of</w:t>
      </w:r>
      <w:r>
        <w:rPr>
          <w:sz w:val="13"/>
        </w:rPr>
        <w:t> </w:t>
      </w:r>
      <w:r>
        <w:rPr>
          <w:spacing w:val="-2"/>
          <w:w w:val="75"/>
          <w:sz w:val="13"/>
        </w:rPr>
        <w:t>States Parties.</w:t>
      </w:r>
      <w:r>
        <w:rPr>
          <w:spacing w:val="40"/>
          <w:sz w:val="13"/>
        </w:rPr>
        <w:t> </w:t>
      </w:r>
      <w:r>
        <w:rPr>
          <w:spacing w:val="-2"/>
          <w:w w:val="75"/>
          <w:sz w:val="13"/>
        </w:rPr>
        <w:t>(***)</w:t>
      </w:r>
      <w:r>
        <w:rPr>
          <w:spacing w:val="-7"/>
          <w:sz w:val="13"/>
        </w:rPr>
        <w:t> </w:t>
      </w:r>
      <w:r>
        <w:rPr>
          <w:spacing w:val="-2"/>
          <w:w w:val="75"/>
          <w:sz w:val="13"/>
        </w:rPr>
        <w:t>The</w:t>
      </w:r>
      <w:r>
        <w:rPr>
          <w:spacing w:val="-2"/>
          <w:sz w:val="13"/>
        </w:rPr>
        <w:t> </w:t>
      </w:r>
      <w:r>
        <w:rPr>
          <w:spacing w:val="-2"/>
          <w:w w:val="75"/>
          <w:sz w:val="13"/>
        </w:rPr>
        <w:t>Independent</w:t>
      </w:r>
      <w:r>
        <w:rPr>
          <w:spacing w:val="-7"/>
          <w:sz w:val="13"/>
        </w:rPr>
        <w:t> </w:t>
      </w:r>
      <w:r>
        <w:rPr>
          <w:spacing w:val="-2"/>
          <w:w w:val="75"/>
          <w:sz w:val="13"/>
        </w:rPr>
        <w:t>Oversight</w:t>
      </w:r>
      <w:r>
        <w:rPr>
          <w:spacing w:val="-7"/>
          <w:sz w:val="13"/>
        </w:rPr>
        <w:t> </w:t>
      </w:r>
      <w:r>
        <w:rPr>
          <w:spacing w:val="-2"/>
          <w:w w:val="75"/>
          <w:sz w:val="13"/>
        </w:rPr>
        <w:t>Mechanism</w:t>
      </w:r>
      <w:r>
        <w:rPr>
          <w:spacing w:val="-5"/>
          <w:sz w:val="13"/>
        </w:rPr>
        <w:t> </w:t>
      </w:r>
      <w:r>
        <w:rPr>
          <w:spacing w:val="-2"/>
          <w:w w:val="75"/>
          <w:sz w:val="13"/>
        </w:rPr>
        <w:t>(IOM)</w:t>
      </w:r>
      <w:r>
        <w:rPr>
          <w:spacing w:val="-6"/>
          <w:sz w:val="13"/>
        </w:rPr>
        <w:t> </w:t>
      </w:r>
      <w:r>
        <w:rPr>
          <w:spacing w:val="-2"/>
          <w:w w:val="75"/>
          <w:sz w:val="13"/>
        </w:rPr>
        <w:t>is</w:t>
      </w:r>
      <w:r>
        <w:rPr>
          <w:spacing w:val="-5"/>
          <w:sz w:val="13"/>
        </w:rPr>
        <w:t> </w:t>
      </w:r>
      <w:r>
        <w:rPr>
          <w:spacing w:val="-2"/>
          <w:w w:val="75"/>
          <w:sz w:val="13"/>
        </w:rPr>
        <w:t>a subsidiary</w:t>
      </w:r>
      <w:r>
        <w:rPr>
          <w:spacing w:val="-8"/>
          <w:sz w:val="13"/>
        </w:rPr>
        <w:t> </w:t>
      </w:r>
      <w:r>
        <w:rPr>
          <w:spacing w:val="-2"/>
          <w:w w:val="75"/>
          <w:sz w:val="13"/>
        </w:rPr>
        <w:t>body</w:t>
      </w:r>
      <w:r>
        <w:rPr>
          <w:spacing w:val="-1"/>
          <w:sz w:val="13"/>
        </w:rPr>
        <w:t> </w:t>
      </w:r>
      <w:r>
        <w:rPr>
          <w:spacing w:val="-2"/>
          <w:w w:val="75"/>
          <w:sz w:val="13"/>
        </w:rPr>
        <w:t>of</w:t>
      </w:r>
      <w:r>
        <w:rPr>
          <w:spacing w:val="-5"/>
          <w:sz w:val="13"/>
        </w:rPr>
        <w:t> </w:t>
      </w:r>
      <w:r>
        <w:rPr>
          <w:spacing w:val="-2"/>
          <w:w w:val="75"/>
          <w:sz w:val="13"/>
        </w:rPr>
        <w:t>the</w:t>
      </w:r>
      <w:r>
        <w:rPr>
          <w:spacing w:val="-2"/>
          <w:sz w:val="13"/>
        </w:rPr>
        <w:t> </w:t>
      </w:r>
      <w:r>
        <w:rPr>
          <w:spacing w:val="-2"/>
          <w:w w:val="75"/>
          <w:sz w:val="13"/>
        </w:rPr>
        <w:t>Assembly</w:t>
      </w:r>
      <w:r>
        <w:rPr>
          <w:spacing w:val="-8"/>
          <w:sz w:val="13"/>
        </w:rPr>
        <w:t> </w:t>
      </w:r>
      <w:r>
        <w:rPr>
          <w:spacing w:val="-2"/>
          <w:w w:val="75"/>
          <w:sz w:val="13"/>
        </w:rPr>
        <w:t>of</w:t>
      </w:r>
      <w:r>
        <w:rPr>
          <w:spacing w:val="-5"/>
          <w:sz w:val="13"/>
        </w:rPr>
        <w:t> </w:t>
      </w:r>
      <w:r>
        <w:rPr>
          <w:spacing w:val="-2"/>
          <w:w w:val="75"/>
          <w:sz w:val="13"/>
        </w:rPr>
        <w:t>States</w:t>
      </w:r>
      <w:r>
        <w:rPr>
          <w:spacing w:val="-5"/>
          <w:sz w:val="13"/>
        </w:rPr>
        <w:t> </w:t>
      </w:r>
      <w:r>
        <w:rPr>
          <w:spacing w:val="-2"/>
          <w:w w:val="75"/>
          <w:sz w:val="13"/>
        </w:rPr>
        <w:t>Parties,</w:t>
      </w:r>
      <w:r>
        <w:rPr>
          <w:spacing w:val="-6"/>
          <w:sz w:val="13"/>
        </w:rPr>
        <w:t> </w:t>
      </w:r>
      <w:r>
        <w:rPr>
          <w:spacing w:val="-2"/>
          <w:w w:val="75"/>
          <w:sz w:val="13"/>
        </w:rPr>
        <w:t>established in</w:t>
      </w:r>
      <w:r>
        <w:rPr>
          <w:spacing w:val="-1"/>
          <w:sz w:val="13"/>
        </w:rPr>
        <w:t> </w:t>
      </w:r>
      <w:r>
        <w:rPr>
          <w:spacing w:val="-2"/>
          <w:w w:val="75"/>
          <w:sz w:val="13"/>
        </w:rPr>
        <w:t>accordance with article</w:t>
      </w:r>
      <w:r>
        <w:rPr>
          <w:spacing w:val="40"/>
          <w:sz w:val="13"/>
        </w:rPr>
        <w:t> </w:t>
      </w:r>
      <w:r>
        <w:rPr>
          <w:w w:val="75"/>
          <w:sz w:val="13"/>
        </w:rPr>
        <w:t>112(4)</w:t>
      </w:r>
      <w:r>
        <w:rPr>
          <w:spacing w:val="-1"/>
          <w:w w:val="75"/>
          <w:sz w:val="13"/>
        </w:rPr>
        <w:t> </w:t>
      </w:r>
      <w:r>
        <w:rPr>
          <w:w w:val="75"/>
          <w:sz w:val="13"/>
        </w:rPr>
        <w:t>of</w:t>
      </w:r>
      <w:r>
        <w:rPr>
          <w:spacing w:val="-6"/>
          <w:sz w:val="13"/>
        </w:rPr>
        <w:t> </w:t>
      </w:r>
      <w:r>
        <w:rPr>
          <w:w w:val="75"/>
          <w:sz w:val="13"/>
        </w:rPr>
        <w:t>the</w:t>
      </w:r>
      <w:r>
        <w:rPr>
          <w:spacing w:val="-3"/>
          <w:w w:val="75"/>
          <w:sz w:val="13"/>
        </w:rPr>
        <w:t> </w:t>
      </w:r>
      <w:r>
        <w:rPr>
          <w:w w:val="75"/>
          <w:sz w:val="13"/>
        </w:rPr>
        <w:t>Rome</w:t>
      </w:r>
      <w:r>
        <w:rPr>
          <w:spacing w:val="-3"/>
          <w:w w:val="75"/>
          <w:sz w:val="13"/>
        </w:rPr>
        <w:t> </w:t>
      </w:r>
      <w:r>
        <w:rPr>
          <w:w w:val="75"/>
          <w:sz w:val="13"/>
        </w:rPr>
        <w:t>Statute.</w:t>
      </w:r>
      <w:r>
        <w:rPr>
          <w:spacing w:val="-1"/>
          <w:w w:val="75"/>
          <w:sz w:val="13"/>
        </w:rPr>
        <w:t> </w:t>
      </w:r>
      <w:r>
        <w:rPr>
          <w:w w:val="75"/>
          <w:sz w:val="13"/>
        </w:rPr>
        <w:t>The</w:t>
      </w:r>
      <w:r>
        <w:rPr>
          <w:spacing w:val="-3"/>
          <w:w w:val="75"/>
          <w:sz w:val="13"/>
        </w:rPr>
        <w:t> </w:t>
      </w:r>
      <w:r>
        <w:rPr>
          <w:w w:val="75"/>
          <w:sz w:val="13"/>
        </w:rPr>
        <w:t>IOM reports</w:t>
      </w:r>
      <w:r>
        <w:rPr>
          <w:spacing w:val="-4"/>
          <w:w w:val="75"/>
          <w:sz w:val="13"/>
        </w:rPr>
        <w:t> </w:t>
      </w:r>
      <w:r>
        <w:rPr>
          <w:w w:val="75"/>
          <w:sz w:val="13"/>
        </w:rPr>
        <w:t>directly</w:t>
      </w:r>
      <w:r>
        <w:rPr>
          <w:spacing w:val="-2"/>
          <w:w w:val="75"/>
          <w:sz w:val="13"/>
        </w:rPr>
        <w:t> </w:t>
      </w:r>
      <w:r>
        <w:rPr>
          <w:w w:val="75"/>
          <w:sz w:val="13"/>
        </w:rPr>
        <w:t>to</w:t>
      </w:r>
      <w:r>
        <w:rPr>
          <w:spacing w:val="-2"/>
          <w:w w:val="75"/>
          <w:sz w:val="13"/>
        </w:rPr>
        <w:t> </w:t>
      </w:r>
      <w:r>
        <w:rPr>
          <w:w w:val="75"/>
          <w:sz w:val="13"/>
        </w:rPr>
        <w:t>the</w:t>
      </w:r>
      <w:r>
        <w:rPr>
          <w:spacing w:val="-3"/>
          <w:w w:val="75"/>
          <w:sz w:val="13"/>
        </w:rPr>
        <w:t> </w:t>
      </w:r>
      <w:r>
        <w:rPr>
          <w:w w:val="75"/>
          <w:sz w:val="13"/>
        </w:rPr>
        <w:t>Assembly.</w:t>
      </w:r>
    </w:p>
    <w:p>
      <w:pPr>
        <w:spacing w:line="148" w:lineRule="exact" w:before="0"/>
        <w:ind w:left="1466" w:right="0" w:firstLine="0"/>
        <w:jc w:val="left"/>
        <w:rPr>
          <w:sz w:val="13"/>
        </w:rPr>
      </w:pPr>
      <w:r>
        <w:rPr>
          <w:w w:val="70"/>
          <w:sz w:val="13"/>
        </w:rPr>
        <w:t>(****)</w:t>
      </w:r>
      <w:r>
        <w:rPr>
          <w:spacing w:val="-3"/>
          <w:sz w:val="13"/>
        </w:rPr>
        <w:t> </w:t>
      </w:r>
      <w:r>
        <w:rPr>
          <w:w w:val="70"/>
          <w:sz w:val="13"/>
        </w:rPr>
        <w:t>One</w:t>
      </w:r>
      <w:r>
        <w:rPr>
          <w:spacing w:val="-7"/>
          <w:sz w:val="13"/>
        </w:rPr>
        <w:t> </w:t>
      </w:r>
      <w:r>
        <w:rPr>
          <w:w w:val="70"/>
          <w:sz w:val="13"/>
        </w:rPr>
        <w:t>Legal</w:t>
      </w:r>
      <w:r>
        <w:rPr>
          <w:spacing w:val="-3"/>
          <w:sz w:val="13"/>
        </w:rPr>
        <w:t> </w:t>
      </w:r>
      <w:r>
        <w:rPr>
          <w:w w:val="70"/>
          <w:sz w:val="13"/>
        </w:rPr>
        <w:t>Coordinator</w:t>
      </w:r>
      <w:r>
        <w:rPr>
          <w:sz w:val="13"/>
        </w:rPr>
        <w:t> </w:t>
      </w:r>
      <w:r>
        <w:rPr>
          <w:w w:val="70"/>
          <w:sz w:val="13"/>
        </w:rPr>
        <w:t>and</w:t>
      </w:r>
      <w:r>
        <w:rPr>
          <w:spacing w:val="-5"/>
          <w:sz w:val="13"/>
        </w:rPr>
        <w:t> </w:t>
      </w:r>
      <w:r>
        <w:rPr>
          <w:w w:val="70"/>
          <w:sz w:val="13"/>
        </w:rPr>
        <w:t>one</w:t>
      </w:r>
      <w:r>
        <w:rPr>
          <w:spacing w:val="-7"/>
          <w:sz w:val="13"/>
        </w:rPr>
        <w:t> </w:t>
      </w:r>
      <w:r>
        <w:rPr>
          <w:w w:val="70"/>
          <w:sz w:val="13"/>
        </w:rPr>
        <w:t>Investigative</w:t>
      </w:r>
      <w:r>
        <w:rPr>
          <w:spacing w:val="-6"/>
          <w:sz w:val="13"/>
        </w:rPr>
        <w:t> </w:t>
      </w:r>
      <w:r>
        <w:rPr>
          <w:spacing w:val="-2"/>
          <w:w w:val="70"/>
          <w:sz w:val="13"/>
        </w:rPr>
        <w:t>Coordinator.</w:t>
      </w:r>
    </w:p>
    <w:p>
      <w:pPr>
        <w:spacing w:before="4"/>
        <w:ind w:left="1466" w:right="0" w:firstLine="0"/>
        <w:jc w:val="left"/>
        <w:rPr>
          <w:sz w:val="13"/>
        </w:rPr>
      </w:pPr>
      <w:r>
        <w:rPr>
          <w:w w:val="70"/>
          <w:sz w:val="13"/>
        </w:rPr>
        <w:t>(*****)</w:t>
      </w:r>
      <w:r>
        <w:rPr>
          <w:spacing w:val="-8"/>
          <w:sz w:val="13"/>
        </w:rPr>
        <w:t> </w:t>
      </w:r>
      <w:r>
        <w:rPr>
          <w:w w:val="70"/>
          <w:sz w:val="13"/>
        </w:rPr>
        <w:t>There</w:t>
      </w:r>
      <w:r>
        <w:rPr>
          <w:spacing w:val="-6"/>
          <w:sz w:val="13"/>
        </w:rPr>
        <w:t> </w:t>
      </w:r>
      <w:r>
        <w:rPr>
          <w:w w:val="70"/>
          <w:sz w:val="13"/>
        </w:rPr>
        <w:t>will</w:t>
      </w:r>
      <w:r>
        <w:rPr>
          <w:spacing w:val="-9"/>
          <w:sz w:val="13"/>
        </w:rPr>
        <w:t> </w:t>
      </w:r>
      <w:r>
        <w:rPr>
          <w:w w:val="70"/>
          <w:sz w:val="13"/>
        </w:rPr>
        <w:t>be</w:t>
      </w:r>
      <w:r>
        <w:rPr>
          <w:spacing w:val="-6"/>
          <w:sz w:val="13"/>
        </w:rPr>
        <w:t> </w:t>
      </w:r>
      <w:r>
        <w:rPr>
          <w:w w:val="70"/>
          <w:sz w:val="13"/>
        </w:rPr>
        <w:t>multiple</w:t>
      </w:r>
      <w:r>
        <w:rPr>
          <w:spacing w:val="-6"/>
          <w:sz w:val="13"/>
        </w:rPr>
        <w:t> </w:t>
      </w:r>
      <w:r>
        <w:rPr>
          <w:w w:val="70"/>
          <w:sz w:val="13"/>
        </w:rPr>
        <w:t>unified</w:t>
      </w:r>
      <w:r>
        <w:rPr>
          <w:spacing w:val="-5"/>
          <w:sz w:val="13"/>
        </w:rPr>
        <w:t> </w:t>
      </w:r>
      <w:r>
        <w:rPr>
          <w:w w:val="70"/>
          <w:sz w:val="13"/>
        </w:rPr>
        <w:t>teams</w:t>
      </w:r>
      <w:r>
        <w:rPr>
          <w:spacing w:val="-7"/>
          <w:sz w:val="13"/>
        </w:rPr>
        <w:t> </w:t>
      </w:r>
      <w:r>
        <w:rPr>
          <w:w w:val="70"/>
          <w:sz w:val="13"/>
        </w:rPr>
        <w:t>assigned</w:t>
      </w:r>
      <w:r>
        <w:rPr>
          <w:spacing w:val="-4"/>
          <w:sz w:val="13"/>
        </w:rPr>
        <w:t> </w:t>
      </w:r>
      <w:r>
        <w:rPr>
          <w:w w:val="70"/>
          <w:sz w:val="13"/>
        </w:rPr>
        <w:t>to</w:t>
      </w:r>
      <w:r>
        <w:rPr>
          <w:spacing w:val="-5"/>
          <w:sz w:val="13"/>
        </w:rPr>
        <w:t> </w:t>
      </w:r>
      <w:r>
        <w:rPr>
          <w:w w:val="70"/>
          <w:sz w:val="13"/>
        </w:rPr>
        <w:t>different</w:t>
      </w:r>
      <w:r>
        <w:rPr>
          <w:spacing w:val="-1"/>
          <w:sz w:val="13"/>
        </w:rPr>
        <w:t> </w:t>
      </w:r>
      <w:r>
        <w:rPr>
          <w:w w:val="70"/>
          <w:sz w:val="13"/>
        </w:rPr>
        <w:t>situations</w:t>
      </w:r>
      <w:r>
        <w:rPr>
          <w:spacing w:val="2"/>
          <w:sz w:val="13"/>
        </w:rPr>
        <w:t> </w:t>
      </w:r>
      <w:r>
        <w:rPr>
          <w:w w:val="70"/>
          <w:sz w:val="13"/>
        </w:rPr>
        <w:t>and</w:t>
      </w:r>
      <w:r>
        <w:rPr>
          <w:spacing w:val="-4"/>
          <w:sz w:val="13"/>
        </w:rPr>
        <w:t> </w:t>
      </w:r>
      <w:r>
        <w:rPr>
          <w:spacing w:val="-2"/>
          <w:w w:val="70"/>
          <w:sz w:val="13"/>
        </w:rPr>
        <w:t>cases.</w:t>
      </w:r>
    </w:p>
    <w:p>
      <w:pPr>
        <w:spacing w:line="240" w:lineRule="auto" w:before="0"/>
        <w:rPr>
          <w:sz w:val="14"/>
        </w:rPr>
      </w:pPr>
      <w:r>
        <w:rPr/>
        <w:br w:type="column"/>
      </w:r>
      <w:r>
        <w:rPr>
          <w:sz w:val="14"/>
        </w:rPr>
      </w:r>
    </w:p>
    <w:p>
      <w:pPr>
        <w:spacing w:before="100"/>
        <w:ind w:left="372" w:right="3743" w:firstLine="0"/>
        <w:jc w:val="center"/>
        <w:rPr>
          <w:sz w:val="13"/>
        </w:rPr>
      </w:pPr>
      <w:r>
        <w:rPr>
          <w:w w:val="70"/>
          <w:sz w:val="13"/>
        </w:rPr>
        <w:t>Counsel</w:t>
      </w:r>
      <w:r>
        <w:rPr>
          <w:spacing w:val="-1"/>
          <w:sz w:val="13"/>
        </w:rPr>
        <w:t> </w:t>
      </w:r>
      <w:r>
        <w:rPr>
          <w:spacing w:val="-2"/>
          <w:w w:val="85"/>
          <w:sz w:val="13"/>
        </w:rPr>
        <w:t>Support</w:t>
      </w:r>
    </w:p>
    <w:p>
      <w:pPr>
        <w:spacing w:before="4"/>
        <w:ind w:left="372" w:right="3741" w:firstLine="0"/>
        <w:jc w:val="center"/>
        <w:rPr>
          <w:sz w:val="13"/>
        </w:rPr>
      </w:pPr>
      <w:r>
        <w:rPr>
          <w:spacing w:val="-2"/>
          <w:w w:val="85"/>
          <w:sz w:val="13"/>
        </w:rPr>
        <w:t>Section</w:t>
      </w:r>
    </w:p>
    <w:p>
      <w:pPr>
        <w:spacing w:after="0"/>
        <w:jc w:val="center"/>
        <w:rPr>
          <w:sz w:val="13"/>
        </w:rPr>
        <w:sectPr>
          <w:type w:val="continuous"/>
          <w:pgSz w:w="11910" w:h="16840"/>
          <w:pgMar w:header="957" w:footer="940" w:top="1240" w:bottom="1140" w:left="20" w:right="20"/>
          <w:cols w:num="2" w:equalWidth="0">
            <w:col w:w="7008" w:space="40"/>
            <w:col w:w="4822"/>
          </w:cols>
        </w:sectPr>
      </w:pPr>
    </w:p>
    <w:p>
      <w:pPr>
        <w:pStyle w:val="Heading1"/>
        <w:spacing w:before="117"/>
        <w:ind w:left="2246"/>
      </w:pPr>
      <w:r>
        <w:rPr/>
        <w:t>Annex</w:t>
      </w:r>
      <w:r>
        <w:rPr>
          <w:spacing w:val="-9"/>
        </w:rPr>
        <w:t> </w:t>
      </w:r>
      <w:r>
        <w:rPr>
          <w:spacing w:val="-5"/>
        </w:rPr>
        <w:t>II</w:t>
      </w:r>
    </w:p>
    <w:p>
      <w:pPr>
        <w:spacing w:line="261" w:lineRule="auto" w:before="187"/>
        <w:ind w:left="2967" w:right="2195" w:firstLine="0"/>
        <w:jc w:val="left"/>
        <w:rPr>
          <w:b/>
          <w:sz w:val="28"/>
        </w:rPr>
      </w:pPr>
      <w:bookmarkStart w:name="_bookmark64" w:id="65"/>
      <w:bookmarkEnd w:id="65"/>
      <w:r>
        <w:rPr/>
      </w:r>
      <w:r>
        <w:rPr>
          <w:b/>
          <w:sz w:val="28"/>
        </w:rPr>
        <w:t>Assumptions</w:t>
      </w:r>
      <w:r>
        <w:rPr>
          <w:b/>
          <w:spacing w:val="40"/>
          <w:sz w:val="28"/>
        </w:rPr>
        <w:t> </w:t>
      </w:r>
      <w:r>
        <w:rPr>
          <w:b/>
          <w:sz w:val="28"/>
        </w:rPr>
        <w:t>and</w:t>
      </w:r>
      <w:r>
        <w:rPr>
          <w:b/>
          <w:spacing w:val="40"/>
          <w:sz w:val="28"/>
        </w:rPr>
        <w:t> </w:t>
      </w:r>
      <w:r>
        <w:rPr>
          <w:b/>
          <w:sz w:val="28"/>
        </w:rPr>
        <w:t>parameters</w:t>
      </w:r>
      <w:r>
        <w:rPr>
          <w:b/>
          <w:spacing w:val="40"/>
          <w:sz w:val="28"/>
        </w:rPr>
        <w:t> </w:t>
      </w:r>
      <w:r>
        <w:rPr>
          <w:b/>
          <w:sz w:val="28"/>
        </w:rPr>
        <w:t>for</w:t>
      </w:r>
      <w:r>
        <w:rPr>
          <w:b/>
          <w:spacing w:val="40"/>
          <w:sz w:val="28"/>
        </w:rPr>
        <w:t> </w:t>
      </w:r>
      <w:r>
        <w:rPr>
          <w:b/>
          <w:sz w:val="28"/>
        </w:rPr>
        <w:t>the</w:t>
      </w:r>
      <w:r>
        <w:rPr>
          <w:b/>
          <w:spacing w:val="40"/>
          <w:sz w:val="28"/>
        </w:rPr>
        <w:t> </w:t>
      </w:r>
      <w:r>
        <w:rPr>
          <w:b/>
          <w:sz w:val="28"/>
        </w:rPr>
        <w:t>2023</w:t>
      </w:r>
      <w:r>
        <w:rPr>
          <w:b/>
          <w:spacing w:val="40"/>
          <w:sz w:val="28"/>
        </w:rPr>
        <w:t> </w:t>
      </w:r>
      <w:r>
        <w:rPr>
          <w:b/>
          <w:sz w:val="28"/>
        </w:rPr>
        <w:t>Proposed Programme Budget</w:t>
      </w:r>
    </w:p>
    <w:p>
      <w:pPr>
        <w:pStyle w:val="BodyText"/>
        <w:rPr>
          <w:b/>
        </w:rPr>
      </w:pPr>
    </w:p>
    <w:p>
      <w:pPr>
        <w:pStyle w:val="BodyText"/>
        <w:spacing w:before="7" w:after="1"/>
        <w:rPr>
          <w:b/>
        </w:rPr>
      </w:pPr>
    </w:p>
    <w:tbl>
      <w:tblPr>
        <w:tblW w:w="0" w:type="auto"/>
        <w:jc w:val="left"/>
        <w:tblInd w:w="1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1"/>
        <w:gridCol w:w="2559"/>
        <w:gridCol w:w="1097"/>
        <w:gridCol w:w="4040"/>
      </w:tblGrid>
      <w:tr>
        <w:trPr>
          <w:trHeight w:val="417" w:hRule="atLeast"/>
        </w:trPr>
        <w:tc>
          <w:tcPr>
            <w:tcW w:w="551" w:type="dxa"/>
            <w:tcBorders>
              <w:top w:val="single" w:sz="4" w:space="0" w:color="000000"/>
              <w:bottom w:val="single" w:sz="4" w:space="0" w:color="000000"/>
            </w:tcBorders>
          </w:tcPr>
          <w:p>
            <w:pPr>
              <w:pStyle w:val="TableParagraph"/>
              <w:jc w:val="left"/>
              <w:rPr>
                <w:sz w:val="16"/>
              </w:rPr>
            </w:pPr>
          </w:p>
        </w:tc>
        <w:tc>
          <w:tcPr>
            <w:tcW w:w="2559" w:type="dxa"/>
            <w:tcBorders>
              <w:top w:val="single" w:sz="4" w:space="0" w:color="000000"/>
              <w:bottom w:val="single" w:sz="4" w:space="0" w:color="000000"/>
            </w:tcBorders>
          </w:tcPr>
          <w:p>
            <w:pPr>
              <w:pStyle w:val="TableParagraph"/>
              <w:spacing w:before="110"/>
              <w:ind w:left="135" w:right="115"/>
              <w:jc w:val="center"/>
              <w:rPr>
                <w:i/>
                <w:sz w:val="18"/>
              </w:rPr>
            </w:pPr>
            <w:r>
              <w:rPr>
                <w:i/>
                <w:spacing w:val="-2"/>
                <w:sz w:val="18"/>
              </w:rPr>
              <w:t>Parameter</w:t>
            </w:r>
          </w:p>
        </w:tc>
        <w:tc>
          <w:tcPr>
            <w:tcW w:w="1097" w:type="dxa"/>
            <w:tcBorders>
              <w:top w:val="single" w:sz="4" w:space="0" w:color="000000"/>
              <w:bottom w:val="single" w:sz="4" w:space="0" w:color="000000"/>
            </w:tcBorders>
          </w:tcPr>
          <w:p>
            <w:pPr>
              <w:pStyle w:val="TableParagraph"/>
              <w:spacing w:before="110"/>
              <w:ind w:left="81" w:right="81"/>
              <w:jc w:val="center"/>
              <w:rPr>
                <w:i/>
                <w:sz w:val="18"/>
              </w:rPr>
            </w:pPr>
            <w:r>
              <w:rPr>
                <w:i/>
                <w:spacing w:val="-2"/>
                <w:sz w:val="18"/>
              </w:rPr>
              <w:t>Assumption</w:t>
            </w:r>
          </w:p>
        </w:tc>
        <w:tc>
          <w:tcPr>
            <w:tcW w:w="4040" w:type="dxa"/>
            <w:tcBorders>
              <w:top w:val="single" w:sz="4" w:space="0" w:color="000000"/>
              <w:bottom w:val="single" w:sz="4" w:space="0" w:color="000000"/>
            </w:tcBorders>
          </w:tcPr>
          <w:p>
            <w:pPr>
              <w:pStyle w:val="TableParagraph"/>
              <w:spacing w:before="110"/>
              <w:ind w:left="1575" w:right="1566"/>
              <w:jc w:val="center"/>
              <w:rPr>
                <w:i/>
                <w:sz w:val="18"/>
              </w:rPr>
            </w:pPr>
            <w:r>
              <w:rPr>
                <w:i/>
                <w:spacing w:val="-2"/>
                <w:sz w:val="18"/>
              </w:rPr>
              <w:t>Explanation</w:t>
            </w:r>
          </w:p>
        </w:tc>
      </w:tr>
      <w:tr>
        <w:trPr>
          <w:trHeight w:val="676" w:hRule="atLeast"/>
        </w:trPr>
        <w:tc>
          <w:tcPr>
            <w:tcW w:w="551" w:type="dxa"/>
            <w:tcBorders>
              <w:top w:val="single" w:sz="4" w:space="0" w:color="000000"/>
              <w:bottom w:val="single" w:sz="4" w:space="0" w:color="000000"/>
            </w:tcBorders>
          </w:tcPr>
          <w:p>
            <w:pPr>
              <w:pStyle w:val="TableParagraph"/>
              <w:spacing w:before="4"/>
              <w:jc w:val="left"/>
              <w:rPr>
                <w:b/>
                <w:sz w:val="20"/>
              </w:rPr>
            </w:pPr>
          </w:p>
          <w:p>
            <w:pPr>
              <w:pStyle w:val="TableParagraph"/>
              <w:spacing w:before="1"/>
              <w:ind w:left="230"/>
              <w:jc w:val="left"/>
              <w:rPr>
                <w:sz w:val="18"/>
              </w:rPr>
            </w:pPr>
            <w:r>
              <w:rPr>
                <w:spacing w:val="-5"/>
                <w:sz w:val="18"/>
              </w:rPr>
              <w:t>1.</w:t>
            </w:r>
          </w:p>
        </w:tc>
        <w:tc>
          <w:tcPr>
            <w:tcW w:w="2559" w:type="dxa"/>
            <w:tcBorders>
              <w:top w:val="single" w:sz="4" w:space="0" w:color="000000"/>
              <w:bottom w:val="single" w:sz="4" w:space="0" w:color="000000"/>
            </w:tcBorders>
          </w:tcPr>
          <w:p>
            <w:pPr>
              <w:pStyle w:val="TableParagraph"/>
              <w:spacing w:before="4"/>
              <w:jc w:val="left"/>
              <w:rPr>
                <w:b/>
                <w:sz w:val="20"/>
              </w:rPr>
            </w:pPr>
          </w:p>
          <w:p>
            <w:pPr>
              <w:pStyle w:val="TableParagraph"/>
              <w:spacing w:before="1"/>
              <w:ind w:left="126" w:right="202"/>
              <w:jc w:val="center"/>
              <w:rPr>
                <w:sz w:val="18"/>
              </w:rPr>
            </w:pPr>
            <w:r>
              <w:rPr>
                <w:sz w:val="18"/>
              </w:rPr>
              <w:t>Number</w:t>
            </w:r>
            <w:r>
              <w:rPr>
                <w:spacing w:val="-4"/>
                <w:sz w:val="18"/>
              </w:rPr>
              <w:t> </w:t>
            </w:r>
            <w:r>
              <w:rPr>
                <w:sz w:val="18"/>
              </w:rPr>
              <w:t>of Court</w:t>
            </w:r>
            <w:r>
              <w:rPr>
                <w:spacing w:val="-3"/>
                <w:sz w:val="18"/>
              </w:rPr>
              <w:t> </w:t>
            </w:r>
            <w:r>
              <w:rPr>
                <w:sz w:val="18"/>
              </w:rPr>
              <w:t>hearing</w:t>
            </w:r>
            <w:r>
              <w:rPr>
                <w:spacing w:val="-5"/>
                <w:sz w:val="18"/>
              </w:rPr>
              <w:t> </w:t>
            </w:r>
            <w:r>
              <w:rPr>
                <w:spacing w:val="-4"/>
                <w:sz w:val="18"/>
              </w:rPr>
              <w:t>days</w:t>
            </w:r>
          </w:p>
        </w:tc>
        <w:tc>
          <w:tcPr>
            <w:tcW w:w="1097" w:type="dxa"/>
            <w:tcBorders>
              <w:top w:val="single" w:sz="4" w:space="0" w:color="000000"/>
              <w:bottom w:val="single" w:sz="4" w:space="0" w:color="000000"/>
            </w:tcBorders>
          </w:tcPr>
          <w:p>
            <w:pPr>
              <w:pStyle w:val="TableParagraph"/>
              <w:spacing w:before="10"/>
              <w:jc w:val="left"/>
              <w:rPr>
                <w:b/>
                <w:sz w:val="19"/>
              </w:rPr>
            </w:pPr>
          </w:p>
          <w:p>
            <w:pPr>
              <w:pStyle w:val="TableParagraph"/>
              <w:ind w:left="81" w:right="83"/>
              <w:jc w:val="center"/>
              <w:rPr>
                <w:sz w:val="12"/>
              </w:rPr>
            </w:pPr>
            <w:r>
              <w:rPr>
                <w:spacing w:val="-2"/>
                <w:position w:val="-5"/>
                <w:sz w:val="18"/>
              </w:rPr>
              <w:t>400</w:t>
            </w:r>
            <w:r>
              <w:rPr>
                <w:spacing w:val="-2"/>
                <w:sz w:val="12"/>
              </w:rPr>
              <w:t>146</w:t>
            </w:r>
          </w:p>
        </w:tc>
        <w:tc>
          <w:tcPr>
            <w:tcW w:w="4040" w:type="dxa"/>
            <w:tcBorders>
              <w:top w:val="single" w:sz="4" w:space="0" w:color="000000"/>
              <w:bottom w:val="single" w:sz="4" w:space="0" w:color="000000"/>
            </w:tcBorders>
          </w:tcPr>
          <w:p>
            <w:pPr>
              <w:pStyle w:val="TableParagraph"/>
              <w:spacing w:before="61"/>
              <w:ind w:left="124" w:right="352"/>
              <w:jc w:val="both"/>
              <w:rPr>
                <w:sz w:val="16"/>
              </w:rPr>
            </w:pPr>
            <w:r>
              <w:rPr>
                <w:sz w:val="16"/>
              </w:rPr>
              <w:t>130</w:t>
            </w:r>
            <w:r>
              <w:rPr>
                <w:spacing w:val="-3"/>
                <w:sz w:val="16"/>
              </w:rPr>
              <w:t> </w:t>
            </w:r>
            <w:r>
              <w:rPr>
                <w:sz w:val="16"/>
              </w:rPr>
              <w:t>days</w:t>
            </w:r>
            <w:r>
              <w:rPr>
                <w:spacing w:val="-5"/>
                <w:sz w:val="16"/>
              </w:rPr>
              <w:t> </w:t>
            </w:r>
            <w:r>
              <w:rPr>
                <w:sz w:val="16"/>
              </w:rPr>
              <w:t>CAR</w:t>
            </w:r>
            <w:r>
              <w:rPr>
                <w:spacing w:val="-5"/>
                <w:sz w:val="16"/>
              </w:rPr>
              <w:t> </w:t>
            </w:r>
            <w:r>
              <w:rPr>
                <w:sz w:val="16"/>
              </w:rPr>
              <w:t>II.b</w:t>
            </w:r>
            <w:r>
              <w:rPr>
                <w:spacing w:val="-3"/>
                <w:sz w:val="16"/>
              </w:rPr>
              <w:t> </w:t>
            </w:r>
            <w:r>
              <w:rPr>
                <w:sz w:val="16"/>
              </w:rPr>
              <w:t>(</w:t>
            </w:r>
            <w:r>
              <w:rPr>
                <w:i/>
                <w:sz w:val="16"/>
              </w:rPr>
              <w:t>Yekatom</w:t>
            </w:r>
            <w:r>
              <w:rPr>
                <w:i/>
                <w:spacing w:val="-5"/>
                <w:sz w:val="16"/>
              </w:rPr>
              <w:t> </w:t>
            </w:r>
            <w:r>
              <w:rPr>
                <w:i/>
                <w:sz w:val="16"/>
              </w:rPr>
              <w:t>and</w:t>
            </w:r>
            <w:r>
              <w:rPr>
                <w:i/>
                <w:spacing w:val="-3"/>
                <w:sz w:val="16"/>
              </w:rPr>
              <w:t> </w:t>
            </w:r>
            <w:r>
              <w:rPr>
                <w:i/>
                <w:sz w:val="16"/>
              </w:rPr>
              <w:t>Ngaïssona</w:t>
            </w:r>
            <w:r>
              <w:rPr>
                <w:sz w:val="16"/>
              </w:rPr>
              <w:t>),</w:t>
            </w:r>
            <w:r>
              <w:rPr>
                <w:spacing w:val="-6"/>
                <w:sz w:val="16"/>
              </w:rPr>
              <w:t> </w:t>
            </w:r>
            <w:r>
              <w:rPr>
                <w:sz w:val="16"/>
              </w:rPr>
              <w:t>130</w:t>
            </w:r>
            <w:r>
              <w:rPr>
                <w:spacing w:val="-3"/>
                <w:sz w:val="16"/>
              </w:rPr>
              <w:t> </w:t>
            </w:r>
            <w:r>
              <w:rPr>
                <w:sz w:val="16"/>
              </w:rPr>
              <w:t>days</w:t>
            </w:r>
            <w:r>
              <w:rPr>
                <w:spacing w:val="40"/>
                <w:sz w:val="16"/>
              </w:rPr>
              <w:t> </w:t>
            </w:r>
            <w:r>
              <w:rPr>
                <w:sz w:val="16"/>
              </w:rPr>
              <w:t>Darfur</w:t>
            </w:r>
            <w:r>
              <w:rPr>
                <w:spacing w:val="-6"/>
                <w:sz w:val="16"/>
              </w:rPr>
              <w:t> </w:t>
            </w:r>
            <w:r>
              <w:rPr>
                <w:sz w:val="16"/>
              </w:rPr>
              <w:t>(</w:t>
            </w:r>
            <w:r>
              <w:rPr>
                <w:i/>
                <w:sz w:val="16"/>
              </w:rPr>
              <w:t>Abd-Al-Rahman</w:t>
            </w:r>
            <w:r>
              <w:rPr>
                <w:sz w:val="16"/>
              </w:rPr>
              <w:t>),</w:t>
            </w:r>
            <w:r>
              <w:rPr>
                <w:spacing w:val="-7"/>
                <w:sz w:val="16"/>
              </w:rPr>
              <w:t> </w:t>
            </w:r>
            <w:r>
              <w:rPr>
                <w:sz w:val="16"/>
              </w:rPr>
              <w:t>130</w:t>
            </w:r>
            <w:r>
              <w:rPr>
                <w:spacing w:val="-5"/>
                <w:sz w:val="16"/>
              </w:rPr>
              <w:t> </w:t>
            </w:r>
            <w:r>
              <w:rPr>
                <w:sz w:val="16"/>
              </w:rPr>
              <w:t>days</w:t>
            </w:r>
            <w:r>
              <w:rPr>
                <w:spacing w:val="-6"/>
                <w:sz w:val="16"/>
              </w:rPr>
              <w:t> </w:t>
            </w:r>
            <w:r>
              <w:rPr>
                <w:sz w:val="16"/>
              </w:rPr>
              <w:t>CAR</w:t>
            </w:r>
            <w:r>
              <w:rPr>
                <w:spacing w:val="-6"/>
                <w:sz w:val="16"/>
              </w:rPr>
              <w:t> </w:t>
            </w:r>
            <w:r>
              <w:rPr>
                <w:sz w:val="16"/>
              </w:rPr>
              <w:t>II.a</w:t>
            </w:r>
            <w:r>
              <w:rPr>
                <w:spacing w:val="-5"/>
                <w:sz w:val="16"/>
              </w:rPr>
              <w:t> </w:t>
            </w:r>
            <w:r>
              <w:rPr>
                <w:sz w:val="16"/>
              </w:rPr>
              <w:t>(</w:t>
            </w:r>
            <w:r>
              <w:rPr>
                <w:i/>
                <w:sz w:val="16"/>
              </w:rPr>
              <w:t>Said</w:t>
            </w:r>
            <w:r>
              <w:rPr>
                <w:sz w:val="16"/>
              </w:rPr>
              <w:t>),</w:t>
            </w:r>
            <w:r>
              <w:rPr>
                <w:spacing w:val="-7"/>
                <w:sz w:val="16"/>
              </w:rPr>
              <w:t> </w:t>
            </w:r>
            <w:r>
              <w:rPr>
                <w:sz w:val="16"/>
              </w:rPr>
              <w:t>10</w:t>
            </w:r>
            <w:r>
              <w:rPr>
                <w:spacing w:val="40"/>
                <w:sz w:val="16"/>
              </w:rPr>
              <w:t> </w:t>
            </w:r>
            <w:r>
              <w:rPr>
                <w:sz w:val="16"/>
              </w:rPr>
              <w:t>days CAR II.b (</w:t>
            </w:r>
            <w:r>
              <w:rPr>
                <w:i/>
                <w:sz w:val="16"/>
              </w:rPr>
              <w:t>Mokom</w:t>
            </w:r>
            <w:r>
              <w:rPr>
                <w:sz w:val="16"/>
              </w:rPr>
              <w:t>)</w:t>
            </w:r>
          </w:p>
        </w:tc>
      </w:tr>
      <w:tr>
        <w:trPr>
          <w:trHeight w:val="1036" w:hRule="atLeast"/>
        </w:trPr>
        <w:tc>
          <w:tcPr>
            <w:tcW w:w="551" w:type="dxa"/>
            <w:tcBorders>
              <w:top w:val="single" w:sz="4" w:space="0" w:color="000000"/>
              <w:bottom w:val="single" w:sz="4" w:space="0" w:color="000000"/>
            </w:tcBorders>
          </w:tcPr>
          <w:p>
            <w:pPr>
              <w:pStyle w:val="TableParagraph"/>
              <w:jc w:val="left"/>
              <w:rPr>
                <w:b/>
                <w:sz w:val="20"/>
              </w:rPr>
            </w:pPr>
          </w:p>
          <w:p>
            <w:pPr>
              <w:pStyle w:val="TableParagraph"/>
              <w:spacing w:before="3"/>
              <w:jc w:val="left"/>
              <w:rPr>
                <w:b/>
                <w:sz w:val="16"/>
              </w:rPr>
            </w:pPr>
          </w:p>
          <w:p>
            <w:pPr>
              <w:pStyle w:val="TableParagraph"/>
              <w:ind w:left="230"/>
              <w:jc w:val="left"/>
              <w:rPr>
                <w:sz w:val="18"/>
              </w:rPr>
            </w:pPr>
            <w:r>
              <w:rPr>
                <w:spacing w:val="-5"/>
                <w:sz w:val="18"/>
              </w:rPr>
              <w:t>2.</w:t>
            </w:r>
          </w:p>
        </w:tc>
        <w:tc>
          <w:tcPr>
            <w:tcW w:w="2559" w:type="dxa"/>
            <w:tcBorders>
              <w:top w:val="single" w:sz="4" w:space="0" w:color="000000"/>
              <w:bottom w:val="single" w:sz="4" w:space="0" w:color="000000"/>
            </w:tcBorders>
          </w:tcPr>
          <w:p>
            <w:pPr>
              <w:pStyle w:val="TableParagraph"/>
              <w:spacing w:before="1"/>
              <w:jc w:val="left"/>
              <w:rPr>
                <w:b/>
                <w:sz w:val="27"/>
              </w:rPr>
            </w:pPr>
          </w:p>
          <w:p>
            <w:pPr>
              <w:pStyle w:val="TableParagraph"/>
              <w:ind w:left="140" w:right="95"/>
              <w:jc w:val="left"/>
              <w:rPr>
                <w:sz w:val="18"/>
              </w:rPr>
            </w:pPr>
            <w:r>
              <w:rPr>
                <w:sz w:val="18"/>
              </w:rPr>
              <w:t>Number</w:t>
            </w:r>
            <w:r>
              <w:rPr>
                <w:spacing w:val="-9"/>
                <w:sz w:val="18"/>
              </w:rPr>
              <w:t> </w:t>
            </w:r>
            <w:r>
              <w:rPr>
                <w:sz w:val="18"/>
              </w:rPr>
              <w:t>of</w:t>
            </w:r>
            <w:r>
              <w:rPr>
                <w:spacing w:val="-8"/>
                <w:sz w:val="18"/>
              </w:rPr>
              <w:t> </w:t>
            </w:r>
            <w:r>
              <w:rPr>
                <w:sz w:val="18"/>
              </w:rPr>
              <w:t>situations</w:t>
            </w:r>
            <w:r>
              <w:rPr>
                <w:spacing w:val="-9"/>
                <w:sz w:val="18"/>
              </w:rPr>
              <w:t> </w:t>
            </w:r>
            <w:r>
              <w:rPr>
                <w:sz w:val="18"/>
              </w:rPr>
              <w:t>before</w:t>
            </w:r>
            <w:r>
              <w:rPr>
                <w:spacing w:val="-12"/>
                <w:sz w:val="18"/>
              </w:rPr>
              <w:t> </w:t>
            </w:r>
            <w:r>
              <w:rPr>
                <w:sz w:val="18"/>
              </w:rPr>
              <w:t>the </w:t>
            </w:r>
            <w:r>
              <w:rPr>
                <w:spacing w:val="-2"/>
                <w:sz w:val="18"/>
              </w:rPr>
              <w:t>Chambers</w:t>
            </w:r>
          </w:p>
        </w:tc>
        <w:tc>
          <w:tcPr>
            <w:tcW w:w="1097" w:type="dxa"/>
            <w:tcBorders>
              <w:top w:val="single" w:sz="4" w:space="0" w:color="000000"/>
              <w:bottom w:val="single" w:sz="4" w:space="0" w:color="000000"/>
            </w:tcBorders>
          </w:tcPr>
          <w:p>
            <w:pPr>
              <w:pStyle w:val="TableParagraph"/>
              <w:jc w:val="left"/>
              <w:rPr>
                <w:b/>
                <w:sz w:val="20"/>
              </w:rPr>
            </w:pPr>
          </w:p>
          <w:p>
            <w:pPr>
              <w:pStyle w:val="TableParagraph"/>
              <w:spacing w:before="10"/>
              <w:jc w:val="left"/>
              <w:rPr>
                <w:b/>
                <w:sz w:val="15"/>
              </w:rPr>
            </w:pPr>
          </w:p>
          <w:p>
            <w:pPr>
              <w:pStyle w:val="TableParagraph"/>
              <w:ind w:left="81" w:right="80"/>
              <w:jc w:val="center"/>
              <w:rPr>
                <w:sz w:val="18"/>
              </w:rPr>
            </w:pPr>
            <w:r>
              <w:rPr>
                <w:spacing w:val="-5"/>
                <w:sz w:val="18"/>
              </w:rPr>
              <w:t>21</w:t>
            </w:r>
          </w:p>
        </w:tc>
        <w:tc>
          <w:tcPr>
            <w:tcW w:w="4040" w:type="dxa"/>
            <w:tcBorders>
              <w:top w:val="single" w:sz="4" w:space="0" w:color="000000"/>
              <w:bottom w:val="single" w:sz="4" w:space="0" w:color="000000"/>
            </w:tcBorders>
          </w:tcPr>
          <w:p>
            <w:pPr>
              <w:pStyle w:val="TableParagraph"/>
              <w:spacing w:before="57"/>
              <w:ind w:left="124" w:right="163"/>
              <w:jc w:val="left"/>
              <w:rPr>
                <w:sz w:val="16"/>
              </w:rPr>
            </w:pPr>
            <w:r>
              <w:rPr>
                <w:sz w:val="16"/>
              </w:rPr>
              <w:t>Afghanistan, Bangladesh/Myanmar, Bolivia, Burundi,</w:t>
            </w:r>
            <w:r>
              <w:rPr>
                <w:spacing w:val="40"/>
                <w:sz w:val="16"/>
              </w:rPr>
              <w:t> </w:t>
            </w:r>
            <w:r>
              <w:rPr>
                <w:sz w:val="16"/>
              </w:rPr>
              <w:t>CAR I, CAR II, Côte d’Ivoire, Darfur, DRC, Gabon,</w:t>
            </w:r>
            <w:r>
              <w:rPr>
                <w:spacing w:val="40"/>
                <w:sz w:val="16"/>
              </w:rPr>
              <w:t> </w:t>
            </w:r>
            <w:r>
              <w:rPr>
                <w:sz w:val="16"/>
              </w:rPr>
              <w:t>Georgia, Kenya, Libya, Mali, Palestine, Philippines,</w:t>
            </w:r>
            <w:r>
              <w:rPr>
                <w:spacing w:val="40"/>
                <w:sz w:val="16"/>
              </w:rPr>
              <w:t> </w:t>
            </w:r>
            <w:r>
              <w:rPr>
                <w:sz w:val="16"/>
              </w:rPr>
              <w:t>Uganda, Ukraine, Venezuela I, Venezuela II, and the</w:t>
            </w:r>
            <w:r>
              <w:rPr>
                <w:spacing w:val="40"/>
                <w:sz w:val="16"/>
              </w:rPr>
              <w:t> </w:t>
            </w:r>
            <w:r>
              <w:rPr>
                <w:sz w:val="16"/>
              </w:rPr>
              <w:t>Registered</w:t>
            </w:r>
            <w:r>
              <w:rPr>
                <w:spacing w:val="-5"/>
                <w:sz w:val="16"/>
              </w:rPr>
              <w:t> </w:t>
            </w:r>
            <w:r>
              <w:rPr>
                <w:sz w:val="16"/>
              </w:rPr>
              <w:t>Vessels</w:t>
            </w:r>
            <w:r>
              <w:rPr>
                <w:spacing w:val="-7"/>
                <w:sz w:val="16"/>
              </w:rPr>
              <w:t> </w:t>
            </w:r>
            <w:r>
              <w:rPr>
                <w:sz w:val="16"/>
              </w:rPr>
              <w:t>of</w:t>
            </w:r>
            <w:r>
              <w:rPr>
                <w:spacing w:val="-7"/>
                <w:sz w:val="16"/>
              </w:rPr>
              <w:t> </w:t>
            </w:r>
            <w:r>
              <w:rPr>
                <w:sz w:val="16"/>
              </w:rPr>
              <w:t>the</w:t>
            </w:r>
            <w:r>
              <w:rPr>
                <w:spacing w:val="-6"/>
                <w:sz w:val="16"/>
              </w:rPr>
              <w:t> </w:t>
            </w:r>
            <w:r>
              <w:rPr>
                <w:sz w:val="16"/>
              </w:rPr>
              <w:t>Comoros,</w:t>
            </w:r>
            <w:r>
              <w:rPr>
                <w:spacing w:val="-8"/>
                <w:sz w:val="16"/>
              </w:rPr>
              <w:t> </w:t>
            </w:r>
            <w:r>
              <w:rPr>
                <w:sz w:val="16"/>
              </w:rPr>
              <w:t>Greece</w:t>
            </w:r>
            <w:r>
              <w:rPr>
                <w:spacing w:val="-6"/>
                <w:sz w:val="16"/>
              </w:rPr>
              <w:t> </w:t>
            </w:r>
            <w:r>
              <w:rPr>
                <w:sz w:val="16"/>
              </w:rPr>
              <w:t>and</w:t>
            </w:r>
            <w:r>
              <w:rPr>
                <w:spacing w:val="-5"/>
                <w:sz w:val="16"/>
              </w:rPr>
              <w:t> </w:t>
            </w:r>
            <w:r>
              <w:rPr>
                <w:sz w:val="16"/>
              </w:rPr>
              <w:t>Cambodia</w:t>
            </w:r>
          </w:p>
        </w:tc>
      </w:tr>
      <w:tr>
        <w:trPr>
          <w:trHeight w:val="671" w:hRule="atLeast"/>
        </w:trPr>
        <w:tc>
          <w:tcPr>
            <w:tcW w:w="551" w:type="dxa"/>
            <w:tcBorders>
              <w:top w:val="single" w:sz="4" w:space="0" w:color="000000"/>
              <w:bottom w:val="single" w:sz="4" w:space="0" w:color="000000"/>
            </w:tcBorders>
          </w:tcPr>
          <w:p>
            <w:pPr>
              <w:pStyle w:val="TableParagraph"/>
              <w:spacing w:before="4"/>
              <w:jc w:val="left"/>
              <w:rPr>
                <w:b/>
                <w:sz w:val="20"/>
              </w:rPr>
            </w:pPr>
          </w:p>
          <w:p>
            <w:pPr>
              <w:pStyle w:val="TableParagraph"/>
              <w:spacing w:before="1"/>
              <w:ind w:left="230"/>
              <w:jc w:val="left"/>
              <w:rPr>
                <w:sz w:val="18"/>
              </w:rPr>
            </w:pPr>
            <w:r>
              <w:rPr>
                <w:spacing w:val="-5"/>
                <w:sz w:val="18"/>
              </w:rPr>
              <w:t>3.</w:t>
            </w:r>
          </w:p>
        </w:tc>
        <w:tc>
          <w:tcPr>
            <w:tcW w:w="2559" w:type="dxa"/>
            <w:tcBorders>
              <w:top w:val="single" w:sz="4" w:space="0" w:color="000000"/>
              <w:bottom w:val="single" w:sz="4" w:space="0" w:color="000000"/>
            </w:tcBorders>
          </w:tcPr>
          <w:p>
            <w:pPr>
              <w:pStyle w:val="TableParagraph"/>
              <w:spacing w:before="4"/>
              <w:jc w:val="left"/>
              <w:rPr>
                <w:b/>
                <w:sz w:val="20"/>
              </w:rPr>
            </w:pPr>
          </w:p>
          <w:p>
            <w:pPr>
              <w:pStyle w:val="TableParagraph"/>
              <w:spacing w:before="1"/>
              <w:ind w:left="135" w:right="197"/>
              <w:jc w:val="center"/>
              <w:rPr>
                <w:sz w:val="18"/>
              </w:rPr>
            </w:pPr>
            <w:r>
              <w:rPr>
                <w:sz w:val="18"/>
              </w:rPr>
              <w:t>Number</w:t>
            </w:r>
            <w:r>
              <w:rPr>
                <w:spacing w:val="-3"/>
                <w:sz w:val="18"/>
              </w:rPr>
              <w:t> </w:t>
            </w:r>
            <w:r>
              <w:rPr>
                <w:sz w:val="18"/>
              </w:rPr>
              <w:t>of</w:t>
            </w:r>
            <w:r>
              <w:rPr>
                <w:spacing w:val="3"/>
                <w:sz w:val="18"/>
              </w:rPr>
              <w:t> </w:t>
            </w:r>
            <w:r>
              <w:rPr>
                <w:sz w:val="18"/>
              </w:rPr>
              <w:t>OTP</w:t>
            </w:r>
            <w:r>
              <w:rPr>
                <w:spacing w:val="-10"/>
                <w:sz w:val="18"/>
              </w:rPr>
              <w:t> </w:t>
            </w:r>
            <w:r>
              <w:rPr>
                <w:spacing w:val="-2"/>
                <w:sz w:val="18"/>
              </w:rPr>
              <w:t>investigations</w:t>
            </w:r>
          </w:p>
        </w:tc>
        <w:tc>
          <w:tcPr>
            <w:tcW w:w="1097" w:type="dxa"/>
            <w:tcBorders>
              <w:top w:val="single" w:sz="4" w:space="0" w:color="000000"/>
              <w:bottom w:val="single" w:sz="4" w:space="0" w:color="000000"/>
            </w:tcBorders>
          </w:tcPr>
          <w:p>
            <w:pPr>
              <w:pStyle w:val="TableParagraph"/>
              <w:spacing w:before="4"/>
              <w:jc w:val="left"/>
              <w:rPr>
                <w:b/>
                <w:sz w:val="20"/>
              </w:rPr>
            </w:pPr>
          </w:p>
          <w:p>
            <w:pPr>
              <w:pStyle w:val="TableParagraph"/>
              <w:spacing w:before="1"/>
              <w:ind w:left="81" w:right="80"/>
              <w:jc w:val="center"/>
              <w:rPr>
                <w:sz w:val="18"/>
              </w:rPr>
            </w:pPr>
            <w:r>
              <w:rPr>
                <w:spacing w:val="-5"/>
                <w:sz w:val="18"/>
              </w:rPr>
              <w:t>10</w:t>
            </w:r>
          </w:p>
        </w:tc>
        <w:tc>
          <w:tcPr>
            <w:tcW w:w="4040" w:type="dxa"/>
            <w:tcBorders>
              <w:top w:val="single" w:sz="4" w:space="0" w:color="000000"/>
              <w:bottom w:val="single" w:sz="4" w:space="0" w:color="000000"/>
            </w:tcBorders>
          </w:tcPr>
          <w:p>
            <w:pPr>
              <w:pStyle w:val="TableParagraph"/>
              <w:spacing w:before="61"/>
              <w:ind w:left="124" w:right="163"/>
              <w:jc w:val="left"/>
              <w:rPr>
                <w:sz w:val="16"/>
              </w:rPr>
            </w:pPr>
            <w:r>
              <w:rPr>
                <w:sz w:val="16"/>
              </w:rPr>
              <w:t>Afghanistan, Bangladesh/Myanmar, Burundi, Côte</w:t>
            </w:r>
            <w:r>
              <w:rPr>
                <w:spacing w:val="40"/>
                <w:sz w:val="16"/>
              </w:rPr>
              <w:t> </w:t>
            </w:r>
            <w:r>
              <w:rPr>
                <w:sz w:val="16"/>
              </w:rPr>
              <w:t>d’Ivoire</w:t>
            </w:r>
            <w:r>
              <w:rPr>
                <w:spacing w:val="-7"/>
                <w:sz w:val="16"/>
              </w:rPr>
              <w:t> </w:t>
            </w:r>
            <w:r>
              <w:rPr>
                <w:sz w:val="16"/>
              </w:rPr>
              <w:t>II,</w:t>
            </w:r>
            <w:r>
              <w:rPr>
                <w:spacing w:val="-9"/>
                <w:sz w:val="16"/>
              </w:rPr>
              <w:t> </w:t>
            </w:r>
            <w:r>
              <w:rPr>
                <w:sz w:val="16"/>
              </w:rPr>
              <w:t>Darfur,</w:t>
            </w:r>
            <w:r>
              <w:rPr>
                <w:spacing w:val="-9"/>
                <w:sz w:val="16"/>
              </w:rPr>
              <w:t> </w:t>
            </w:r>
            <w:r>
              <w:rPr>
                <w:sz w:val="16"/>
              </w:rPr>
              <w:t>Libya,</w:t>
            </w:r>
            <w:r>
              <w:rPr>
                <w:spacing w:val="-9"/>
                <w:sz w:val="16"/>
              </w:rPr>
              <w:t> </w:t>
            </w:r>
            <w:r>
              <w:rPr>
                <w:sz w:val="16"/>
              </w:rPr>
              <w:t>Palestine,</w:t>
            </w:r>
            <w:r>
              <w:rPr>
                <w:spacing w:val="-5"/>
                <w:sz w:val="16"/>
              </w:rPr>
              <w:t> </w:t>
            </w:r>
            <w:r>
              <w:rPr>
                <w:sz w:val="16"/>
              </w:rPr>
              <w:t>Philippines,</w:t>
            </w:r>
            <w:r>
              <w:rPr>
                <w:spacing w:val="-9"/>
                <w:sz w:val="16"/>
              </w:rPr>
              <w:t> </w:t>
            </w:r>
            <w:r>
              <w:rPr>
                <w:sz w:val="16"/>
              </w:rPr>
              <w:t>Ukraine,</w:t>
            </w:r>
            <w:r>
              <w:rPr>
                <w:spacing w:val="40"/>
                <w:sz w:val="16"/>
              </w:rPr>
              <w:t> </w:t>
            </w:r>
            <w:r>
              <w:rPr>
                <w:sz w:val="16"/>
              </w:rPr>
              <w:t>Venezuela</w:t>
            </w:r>
            <w:r>
              <w:rPr>
                <w:spacing w:val="-3"/>
                <w:sz w:val="16"/>
              </w:rPr>
              <w:t> </w:t>
            </w:r>
            <w:r>
              <w:rPr>
                <w:sz w:val="16"/>
              </w:rPr>
              <w:t>I</w:t>
            </w:r>
          </w:p>
        </w:tc>
      </w:tr>
      <w:tr>
        <w:trPr>
          <w:trHeight w:val="672" w:hRule="atLeast"/>
        </w:trPr>
        <w:tc>
          <w:tcPr>
            <w:tcW w:w="551" w:type="dxa"/>
            <w:tcBorders>
              <w:top w:val="single" w:sz="4" w:space="0" w:color="000000"/>
              <w:bottom w:val="single" w:sz="4" w:space="0" w:color="000000"/>
            </w:tcBorders>
          </w:tcPr>
          <w:p>
            <w:pPr>
              <w:pStyle w:val="TableParagraph"/>
              <w:spacing w:before="5"/>
              <w:jc w:val="left"/>
              <w:rPr>
                <w:b/>
                <w:sz w:val="20"/>
              </w:rPr>
            </w:pPr>
          </w:p>
          <w:p>
            <w:pPr>
              <w:pStyle w:val="TableParagraph"/>
              <w:ind w:left="230"/>
              <w:jc w:val="left"/>
              <w:rPr>
                <w:sz w:val="18"/>
              </w:rPr>
            </w:pPr>
            <w:r>
              <w:rPr>
                <w:spacing w:val="-5"/>
                <w:sz w:val="18"/>
              </w:rPr>
              <w:t>4.</w:t>
            </w:r>
          </w:p>
        </w:tc>
        <w:tc>
          <w:tcPr>
            <w:tcW w:w="2559" w:type="dxa"/>
            <w:tcBorders>
              <w:top w:val="single" w:sz="4" w:space="0" w:color="000000"/>
              <w:bottom w:val="single" w:sz="4" w:space="0" w:color="000000"/>
            </w:tcBorders>
          </w:tcPr>
          <w:p>
            <w:pPr>
              <w:pStyle w:val="TableParagraph"/>
              <w:spacing w:before="129"/>
              <w:ind w:left="140" w:right="95"/>
              <w:jc w:val="left"/>
              <w:rPr>
                <w:sz w:val="18"/>
              </w:rPr>
            </w:pPr>
            <w:r>
              <w:rPr>
                <w:sz w:val="18"/>
              </w:rPr>
              <w:t>Unsealed</w:t>
            </w:r>
            <w:r>
              <w:rPr>
                <w:spacing w:val="-12"/>
                <w:sz w:val="18"/>
              </w:rPr>
              <w:t> </w:t>
            </w:r>
            <w:r>
              <w:rPr>
                <w:sz w:val="18"/>
              </w:rPr>
              <w:t>warrants</w:t>
            </w:r>
            <w:r>
              <w:rPr>
                <w:spacing w:val="-11"/>
                <w:sz w:val="18"/>
              </w:rPr>
              <w:t> </w:t>
            </w:r>
            <w:r>
              <w:rPr>
                <w:sz w:val="18"/>
              </w:rPr>
              <w:t>of</w:t>
            </w:r>
            <w:r>
              <w:rPr>
                <w:spacing w:val="-11"/>
                <w:sz w:val="18"/>
              </w:rPr>
              <w:t> </w:t>
            </w:r>
            <w:r>
              <w:rPr>
                <w:sz w:val="18"/>
              </w:rPr>
              <w:t>arrest pending execution</w:t>
            </w:r>
          </w:p>
        </w:tc>
        <w:tc>
          <w:tcPr>
            <w:tcW w:w="1097" w:type="dxa"/>
            <w:tcBorders>
              <w:top w:val="single" w:sz="4" w:space="0" w:color="000000"/>
              <w:bottom w:val="single" w:sz="4" w:space="0" w:color="000000"/>
            </w:tcBorders>
          </w:tcPr>
          <w:p>
            <w:pPr>
              <w:pStyle w:val="TableParagraph"/>
              <w:spacing w:before="5"/>
              <w:jc w:val="left"/>
              <w:rPr>
                <w:b/>
                <w:sz w:val="20"/>
              </w:rPr>
            </w:pPr>
          </w:p>
          <w:p>
            <w:pPr>
              <w:pStyle w:val="TableParagraph"/>
              <w:ind w:left="81" w:right="80"/>
              <w:jc w:val="center"/>
              <w:rPr>
                <w:sz w:val="18"/>
              </w:rPr>
            </w:pPr>
            <w:r>
              <w:rPr>
                <w:spacing w:val="-5"/>
                <w:sz w:val="18"/>
              </w:rPr>
              <w:t>17</w:t>
            </w:r>
          </w:p>
        </w:tc>
        <w:tc>
          <w:tcPr>
            <w:tcW w:w="4040" w:type="dxa"/>
            <w:tcBorders>
              <w:top w:val="single" w:sz="4" w:space="0" w:color="000000"/>
              <w:bottom w:val="single" w:sz="4" w:space="0" w:color="000000"/>
            </w:tcBorders>
          </w:tcPr>
          <w:p>
            <w:pPr>
              <w:pStyle w:val="TableParagraph"/>
              <w:spacing w:line="183" w:lineRule="exact" w:before="61"/>
              <w:ind w:left="124"/>
              <w:jc w:val="left"/>
              <w:rPr>
                <w:sz w:val="16"/>
              </w:rPr>
            </w:pPr>
            <w:r>
              <w:rPr>
                <w:sz w:val="16"/>
              </w:rPr>
              <w:t>CAR</w:t>
            </w:r>
            <w:r>
              <w:rPr>
                <w:spacing w:val="-4"/>
                <w:sz w:val="16"/>
              </w:rPr>
              <w:t> </w:t>
            </w:r>
            <w:r>
              <w:rPr>
                <w:sz w:val="16"/>
              </w:rPr>
              <w:t>II</w:t>
            </w:r>
            <w:r>
              <w:rPr>
                <w:spacing w:val="-4"/>
                <w:sz w:val="16"/>
              </w:rPr>
              <w:t> </w:t>
            </w:r>
            <w:r>
              <w:rPr>
                <w:sz w:val="16"/>
              </w:rPr>
              <w:t>(1);</w:t>
            </w:r>
            <w:r>
              <w:rPr>
                <w:spacing w:val="-4"/>
                <w:sz w:val="16"/>
              </w:rPr>
              <w:t> </w:t>
            </w:r>
            <w:r>
              <w:rPr>
                <w:sz w:val="16"/>
              </w:rPr>
              <w:t>CIV</w:t>
            </w:r>
            <w:r>
              <w:rPr>
                <w:spacing w:val="1"/>
                <w:sz w:val="16"/>
              </w:rPr>
              <w:t> </w:t>
            </w:r>
            <w:r>
              <w:rPr>
                <w:sz w:val="16"/>
              </w:rPr>
              <w:t>I</w:t>
            </w:r>
            <w:r>
              <w:rPr>
                <w:spacing w:val="-4"/>
                <w:sz w:val="16"/>
              </w:rPr>
              <w:t> </w:t>
            </w:r>
            <w:r>
              <w:rPr>
                <w:i/>
                <w:sz w:val="16"/>
              </w:rPr>
              <w:t>bis</w:t>
            </w:r>
            <w:r>
              <w:rPr>
                <w:i/>
                <w:spacing w:val="-3"/>
                <w:sz w:val="16"/>
              </w:rPr>
              <w:t> </w:t>
            </w:r>
            <w:r>
              <w:rPr>
                <w:sz w:val="16"/>
              </w:rPr>
              <w:t>(1); Darfur</w:t>
            </w:r>
            <w:r>
              <w:rPr>
                <w:spacing w:val="-3"/>
                <w:sz w:val="16"/>
              </w:rPr>
              <w:t> </w:t>
            </w:r>
            <w:r>
              <w:rPr>
                <w:sz w:val="16"/>
              </w:rPr>
              <w:t>I</w:t>
            </w:r>
            <w:r>
              <w:rPr>
                <w:spacing w:val="-4"/>
                <w:sz w:val="16"/>
              </w:rPr>
              <w:t> </w:t>
            </w:r>
            <w:r>
              <w:rPr>
                <w:sz w:val="16"/>
              </w:rPr>
              <w:t>(1),</w:t>
            </w:r>
            <w:r>
              <w:rPr>
                <w:spacing w:val="-1"/>
                <w:sz w:val="16"/>
              </w:rPr>
              <w:t> </w:t>
            </w:r>
            <w:r>
              <w:rPr>
                <w:sz w:val="16"/>
              </w:rPr>
              <w:t>II</w:t>
            </w:r>
            <w:r>
              <w:rPr>
                <w:spacing w:val="-4"/>
                <w:sz w:val="16"/>
              </w:rPr>
              <w:t> </w:t>
            </w:r>
            <w:r>
              <w:rPr>
                <w:sz w:val="16"/>
              </w:rPr>
              <w:t>(2),</w:t>
            </w:r>
            <w:r>
              <w:rPr>
                <w:spacing w:val="-5"/>
                <w:sz w:val="16"/>
              </w:rPr>
              <w:t> </w:t>
            </w:r>
            <w:r>
              <w:rPr>
                <w:sz w:val="16"/>
              </w:rPr>
              <w:t>IV</w:t>
            </w:r>
            <w:r>
              <w:rPr>
                <w:spacing w:val="-3"/>
                <w:sz w:val="16"/>
              </w:rPr>
              <w:t> </w:t>
            </w:r>
            <w:r>
              <w:rPr>
                <w:sz w:val="16"/>
              </w:rPr>
              <w:t>(1)</w:t>
            </w:r>
            <w:r>
              <w:rPr>
                <w:spacing w:val="1"/>
                <w:sz w:val="16"/>
              </w:rPr>
              <w:t> </w:t>
            </w:r>
            <w:r>
              <w:rPr>
                <w:sz w:val="16"/>
              </w:rPr>
              <w:t>and</w:t>
            </w:r>
            <w:r>
              <w:rPr>
                <w:spacing w:val="-2"/>
                <w:sz w:val="16"/>
              </w:rPr>
              <w:t> </w:t>
            </w:r>
            <w:r>
              <w:rPr>
                <w:spacing w:val="-10"/>
                <w:sz w:val="16"/>
              </w:rPr>
              <w:t>V</w:t>
            </w:r>
          </w:p>
          <w:p>
            <w:pPr>
              <w:pStyle w:val="TableParagraph"/>
              <w:spacing w:line="183" w:lineRule="exact"/>
              <w:ind w:left="124"/>
              <w:jc w:val="left"/>
              <w:rPr>
                <w:sz w:val="16"/>
              </w:rPr>
            </w:pPr>
            <w:r>
              <w:rPr>
                <w:sz w:val="16"/>
              </w:rPr>
              <w:t>(1);</w:t>
            </w:r>
            <w:r>
              <w:rPr>
                <w:spacing w:val="-6"/>
                <w:sz w:val="16"/>
              </w:rPr>
              <w:t> </w:t>
            </w:r>
            <w:r>
              <w:rPr>
                <w:sz w:val="16"/>
              </w:rPr>
              <w:t>DRC</w:t>
            </w:r>
            <w:r>
              <w:rPr>
                <w:spacing w:val="-4"/>
                <w:sz w:val="16"/>
              </w:rPr>
              <w:t> </w:t>
            </w:r>
            <w:r>
              <w:rPr>
                <w:sz w:val="16"/>
              </w:rPr>
              <w:t>IV</w:t>
            </w:r>
            <w:r>
              <w:rPr>
                <w:spacing w:val="1"/>
                <w:sz w:val="16"/>
              </w:rPr>
              <w:t> </w:t>
            </w:r>
            <w:r>
              <w:rPr>
                <w:sz w:val="16"/>
              </w:rPr>
              <w:t>(1);</w:t>
            </w:r>
            <w:r>
              <w:rPr>
                <w:spacing w:val="-5"/>
                <w:sz w:val="16"/>
              </w:rPr>
              <w:t> </w:t>
            </w:r>
            <w:r>
              <w:rPr>
                <w:sz w:val="16"/>
              </w:rPr>
              <w:t>Georgia</w:t>
            </w:r>
            <w:r>
              <w:rPr>
                <w:spacing w:val="-3"/>
                <w:sz w:val="16"/>
              </w:rPr>
              <w:t> </w:t>
            </w:r>
            <w:r>
              <w:rPr>
                <w:sz w:val="16"/>
              </w:rPr>
              <w:t>(3),</w:t>
            </w:r>
            <w:r>
              <w:rPr>
                <w:spacing w:val="-2"/>
                <w:sz w:val="16"/>
              </w:rPr>
              <w:t> </w:t>
            </w:r>
            <w:r>
              <w:rPr>
                <w:sz w:val="16"/>
              </w:rPr>
              <w:t>Kenya</w:t>
            </w:r>
            <w:r>
              <w:rPr>
                <w:spacing w:val="-3"/>
                <w:sz w:val="16"/>
              </w:rPr>
              <w:t> </w:t>
            </w:r>
            <w:r>
              <w:rPr>
                <w:sz w:val="16"/>
              </w:rPr>
              <w:t>Art.</w:t>
            </w:r>
            <w:r>
              <w:rPr>
                <w:spacing w:val="-1"/>
                <w:sz w:val="16"/>
              </w:rPr>
              <w:t> </w:t>
            </w:r>
            <w:r>
              <w:rPr>
                <w:sz w:val="16"/>
              </w:rPr>
              <w:t>70</w:t>
            </w:r>
            <w:r>
              <w:rPr>
                <w:spacing w:val="-1"/>
                <w:sz w:val="16"/>
              </w:rPr>
              <w:t> </w:t>
            </w:r>
            <w:r>
              <w:rPr>
                <w:sz w:val="16"/>
              </w:rPr>
              <w:t>(3);</w:t>
            </w:r>
            <w:r>
              <w:rPr>
                <w:spacing w:val="-6"/>
                <w:sz w:val="16"/>
              </w:rPr>
              <w:t> </w:t>
            </w:r>
            <w:r>
              <w:rPr>
                <w:sz w:val="16"/>
              </w:rPr>
              <w:t>Libya</w:t>
            </w:r>
            <w:r>
              <w:rPr>
                <w:spacing w:val="-3"/>
                <w:sz w:val="16"/>
              </w:rPr>
              <w:t> </w:t>
            </w:r>
            <w:r>
              <w:rPr>
                <w:spacing w:val="-10"/>
                <w:sz w:val="16"/>
              </w:rPr>
              <w:t>I</w:t>
            </w:r>
          </w:p>
          <w:p>
            <w:pPr>
              <w:pStyle w:val="TableParagraph"/>
              <w:spacing w:before="4"/>
              <w:ind w:left="124"/>
              <w:jc w:val="left"/>
              <w:rPr>
                <w:sz w:val="16"/>
              </w:rPr>
            </w:pPr>
            <w:r>
              <w:rPr>
                <w:sz w:val="16"/>
              </w:rPr>
              <w:t>(1);</w:t>
            </w:r>
            <w:r>
              <w:rPr>
                <w:spacing w:val="-4"/>
                <w:sz w:val="16"/>
              </w:rPr>
              <w:t> </w:t>
            </w:r>
            <w:r>
              <w:rPr>
                <w:sz w:val="16"/>
              </w:rPr>
              <w:t>and Uganda</w:t>
            </w:r>
            <w:r>
              <w:rPr>
                <w:spacing w:val="1"/>
                <w:sz w:val="16"/>
              </w:rPr>
              <w:t> </w:t>
            </w:r>
            <w:r>
              <w:rPr>
                <w:spacing w:val="-5"/>
                <w:sz w:val="16"/>
              </w:rPr>
              <w:t>(2)</w:t>
            </w:r>
          </w:p>
        </w:tc>
      </w:tr>
      <w:tr>
        <w:trPr>
          <w:trHeight w:val="537" w:hRule="atLeast"/>
        </w:trPr>
        <w:tc>
          <w:tcPr>
            <w:tcW w:w="551" w:type="dxa"/>
            <w:tcBorders>
              <w:top w:val="single" w:sz="4" w:space="0" w:color="000000"/>
              <w:bottom w:val="single" w:sz="4" w:space="0" w:color="000000"/>
            </w:tcBorders>
          </w:tcPr>
          <w:p>
            <w:pPr>
              <w:pStyle w:val="TableParagraph"/>
              <w:spacing w:before="167"/>
              <w:ind w:left="230"/>
              <w:jc w:val="left"/>
              <w:rPr>
                <w:sz w:val="18"/>
              </w:rPr>
            </w:pPr>
            <w:r>
              <w:rPr>
                <w:spacing w:val="-5"/>
                <w:sz w:val="18"/>
              </w:rPr>
              <w:t>5.</w:t>
            </w:r>
          </w:p>
        </w:tc>
        <w:tc>
          <w:tcPr>
            <w:tcW w:w="2559" w:type="dxa"/>
            <w:tcBorders>
              <w:top w:val="single" w:sz="4" w:space="0" w:color="000000"/>
              <w:bottom w:val="single" w:sz="4" w:space="0" w:color="000000"/>
            </w:tcBorders>
          </w:tcPr>
          <w:p>
            <w:pPr>
              <w:pStyle w:val="TableParagraph"/>
              <w:spacing w:before="62"/>
              <w:ind w:left="140" w:right="95"/>
              <w:jc w:val="left"/>
              <w:rPr>
                <w:sz w:val="18"/>
              </w:rPr>
            </w:pPr>
            <w:r>
              <w:rPr>
                <w:sz w:val="18"/>
              </w:rPr>
              <w:t>Number</w:t>
            </w:r>
            <w:r>
              <w:rPr>
                <w:spacing w:val="-12"/>
                <w:sz w:val="18"/>
              </w:rPr>
              <w:t> </w:t>
            </w:r>
            <w:r>
              <w:rPr>
                <w:sz w:val="18"/>
              </w:rPr>
              <w:t>of</w:t>
            </w:r>
            <w:r>
              <w:rPr>
                <w:spacing w:val="-11"/>
                <w:sz w:val="18"/>
              </w:rPr>
              <w:t> </w:t>
            </w:r>
            <w:r>
              <w:rPr>
                <w:sz w:val="18"/>
              </w:rPr>
              <w:t>preliminary </w:t>
            </w:r>
            <w:r>
              <w:rPr>
                <w:spacing w:val="-2"/>
                <w:sz w:val="18"/>
              </w:rPr>
              <w:t>examinations</w:t>
            </w:r>
          </w:p>
        </w:tc>
        <w:tc>
          <w:tcPr>
            <w:tcW w:w="1097" w:type="dxa"/>
            <w:tcBorders>
              <w:top w:val="single" w:sz="4" w:space="0" w:color="000000"/>
              <w:bottom w:val="single" w:sz="4" w:space="0" w:color="000000"/>
            </w:tcBorders>
          </w:tcPr>
          <w:p>
            <w:pPr>
              <w:pStyle w:val="TableParagraph"/>
              <w:spacing w:before="167"/>
              <w:ind w:right="1"/>
              <w:jc w:val="center"/>
              <w:rPr>
                <w:sz w:val="18"/>
              </w:rPr>
            </w:pPr>
            <w:r>
              <w:rPr>
                <w:w w:val="101"/>
                <w:sz w:val="18"/>
              </w:rPr>
              <w:t>3</w:t>
            </w:r>
          </w:p>
        </w:tc>
        <w:tc>
          <w:tcPr>
            <w:tcW w:w="4040" w:type="dxa"/>
            <w:tcBorders>
              <w:top w:val="single" w:sz="4" w:space="0" w:color="000000"/>
              <w:bottom w:val="single" w:sz="4" w:space="0" w:color="000000"/>
            </w:tcBorders>
          </w:tcPr>
          <w:p>
            <w:pPr>
              <w:pStyle w:val="TableParagraph"/>
              <w:spacing w:before="4"/>
              <w:jc w:val="left"/>
              <w:rPr>
                <w:b/>
                <w:sz w:val="15"/>
              </w:rPr>
            </w:pPr>
          </w:p>
          <w:p>
            <w:pPr>
              <w:pStyle w:val="TableParagraph"/>
              <w:ind w:left="124"/>
              <w:jc w:val="left"/>
              <w:rPr>
                <w:sz w:val="16"/>
              </w:rPr>
            </w:pPr>
            <w:r>
              <w:rPr>
                <w:sz w:val="16"/>
              </w:rPr>
              <w:t>Guinea,</w:t>
            </w:r>
            <w:r>
              <w:rPr>
                <w:spacing w:val="-6"/>
                <w:sz w:val="16"/>
              </w:rPr>
              <w:t> </w:t>
            </w:r>
            <w:r>
              <w:rPr>
                <w:sz w:val="16"/>
              </w:rPr>
              <w:t>Nigeria</w:t>
            </w:r>
            <w:r>
              <w:rPr>
                <w:spacing w:val="-4"/>
                <w:sz w:val="16"/>
              </w:rPr>
              <w:t> </w:t>
            </w:r>
            <w:r>
              <w:rPr>
                <w:sz w:val="16"/>
              </w:rPr>
              <w:t>and</w:t>
            </w:r>
            <w:r>
              <w:rPr>
                <w:spacing w:val="-3"/>
                <w:sz w:val="16"/>
              </w:rPr>
              <w:t> </w:t>
            </w:r>
            <w:r>
              <w:rPr>
                <w:sz w:val="16"/>
              </w:rPr>
              <w:t>Venezuela</w:t>
            </w:r>
            <w:r>
              <w:rPr>
                <w:spacing w:val="-4"/>
                <w:sz w:val="16"/>
              </w:rPr>
              <w:t> </w:t>
            </w:r>
            <w:r>
              <w:rPr>
                <w:spacing w:val="-5"/>
                <w:sz w:val="16"/>
              </w:rPr>
              <w:t>II</w:t>
            </w:r>
          </w:p>
        </w:tc>
      </w:tr>
      <w:tr>
        <w:trPr>
          <w:trHeight w:val="1406" w:hRule="atLeast"/>
        </w:trPr>
        <w:tc>
          <w:tcPr>
            <w:tcW w:w="551" w:type="dxa"/>
            <w:tcBorders>
              <w:top w:val="single" w:sz="4" w:space="0" w:color="000000"/>
              <w:bottom w:val="single" w:sz="4" w:space="0" w:color="000000"/>
            </w:tcBorders>
          </w:tcPr>
          <w:p>
            <w:pPr>
              <w:pStyle w:val="TableParagraph"/>
              <w:jc w:val="left"/>
              <w:rPr>
                <w:b/>
                <w:sz w:val="20"/>
              </w:rPr>
            </w:pPr>
          </w:p>
          <w:p>
            <w:pPr>
              <w:pStyle w:val="TableParagraph"/>
              <w:jc w:val="left"/>
              <w:rPr>
                <w:b/>
                <w:sz w:val="20"/>
              </w:rPr>
            </w:pPr>
          </w:p>
          <w:p>
            <w:pPr>
              <w:pStyle w:val="TableParagraph"/>
              <w:spacing w:before="139"/>
              <w:ind w:left="230"/>
              <w:jc w:val="left"/>
              <w:rPr>
                <w:sz w:val="18"/>
              </w:rPr>
            </w:pPr>
            <w:r>
              <w:rPr>
                <w:spacing w:val="-5"/>
                <w:sz w:val="18"/>
              </w:rPr>
              <w:t>6.</w:t>
            </w:r>
          </w:p>
        </w:tc>
        <w:tc>
          <w:tcPr>
            <w:tcW w:w="2559" w:type="dxa"/>
            <w:tcBorders>
              <w:top w:val="single" w:sz="4" w:space="0" w:color="000000"/>
              <w:bottom w:val="single" w:sz="4" w:space="0" w:color="000000"/>
            </w:tcBorders>
          </w:tcPr>
          <w:p>
            <w:pPr>
              <w:pStyle w:val="TableParagraph"/>
              <w:jc w:val="left"/>
              <w:rPr>
                <w:b/>
                <w:sz w:val="20"/>
              </w:rPr>
            </w:pPr>
          </w:p>
          <w:p>
            <w:pPr>
              <w:pStyle w:val="TableParagraph"/>
              <w:spacing w:before="4"/>
              <w:jc w:val="left"/>
              <w:rPr>
                <w:b/>
                <w:sz w:val="23"/>
              </w:rPr>
            </w:pPr>
          </w:p>
          <w:p>
            <w:pPr>
              <w:pStyle w:val="TableParagraph"/>
              <w:spacing w:line="252" w:lineRule="auto"/>
              <w:ind w:left="140" w:right="95"/>
              <w:jc w:val="left"/>
              <w:rPr>
                <w:sz w:val="18"/>
              </w:rPr>
            </w:pPr>
            <w:r>
              <w:rPr>
                <w:sz w:val="18"/>
              </w:rPr>
              <w:t>Number</w:t>
            </w:r>
            <w:r>
              <w:rPr>
                <w:spacing w:val="-6"/>
                <w:sz w:val="18"/>
              </w:rPr>
              <w:t> </w:t>
            </w:r>
            <w:r>
              <w:rPr>
                <w:sz w:val="18"/>
              </w:rPr>
              <w:t>of</w:t>
            </w:r>
            <w:r>
              <w:rPr>
                <w:spacing w:val="-6"/>
                <w:sz w:val="18"/>
              </w:rPr>
              <w:t> </w:t>
            </w:r>
            <w:r>
              <w:rPr>
                <w:sz w:val="18"/>
              </w:rPr>
              <w:t>trial</w:t>
            </w:r>
            <w:r>
              <w:rPr>
                <w:spacing w:val="-5"/>
                <w:sz w:val="18"/>
              </w:rPr>
              <w:t> </w:t>
            </w:r>
            <w:r>
              <w:rPr>
                <w:sz w:val="18"/>
              </w:rPr>
              <w:t>teams</w:t>
            </w:r>
            <w:r>
              <w:rPr>
                <w:sz w:val="18"/>
                <w:vertAlign w:val="superscript"/>
              </w:rPr>
              <w:t>147</w:t>
            </w:r>
            <w:r>
              <w:rPr>
                <w:sz w:val="18"/>
                <w:vertAlign w:val="baseline"/>
              </w:rPr>
              <w:t> </w:t>
            </w:r>
            <w:r>
              <w:rPr>
                <w:spacing w:val="-2"/>
                <w:sz w:val="18"/>
                <w:vertAlign w:val="baseline"/>
              </w:rPr>
              <w:t>(Chambers)</w:t>
            </w:r>
          </w:p>
        </w:tc>
        <w:tc>
          <w:tcPr>
            <w:tcW w:w="1097" w:type="dxa"/>
            <w:tcBorders>
              <w:top w:val="single" w:sz="4" w:space="0" w:color="000000"/>
              <w:bottom w:val="single" w:sz="4" w:space="0" w:color="000000"/>
            </w:tcBorders>
          </w:tcPr>
          <w:p>
            <w:pPr>
              <w:pStyle w:val="TableParagraph"/>
              <w:jc w:val="left"/>
              <w:rPr>
                <w:b/>
                <w:sz w:val="22"/>
              </w:rPr>
            </w:pPr>
          </w:p>
          <w:p>
            <w:pPr>
              <w:pStyle w:val="TableParagraph"/>
              <w:spacing w:before="10"/>
              <w:jc w:val="left"/>
              <w:rPr>
                <w:b/>
                <w:sz w:val="28"/>
              </w:rPr>
            </w:pPr>
          </w:p>
          <w:p>
            <w:pPr>
              <w:pStyle w:val="TableParagraph"/>
              <w:spacing w:before="1"/>
              <w:ind w:right="1"/>
              <w:jc w:val="center"/>
              <w:rPr>
                <w:sz w:val="20"/>
              </w:rPr>
            </w:pPr>
            <w:r>
              <w:rPr>
                <w:w w:val="100"/>
                <w:sz w:val="20"/>
              </w:rPr>
              <w:t>8</w:t>
            </w:r>
          </w:p>
        </w:tc>
        <w:tc>
          <w:tcPr>
            <w:tcW w:w="4040" w:type="dxa"/>
            <w:tcBorders>
              <w:top w:val="single" w:sz="4" w:space="0" w:color="000000"/>
              <w:bottom w:val="single" w:sz="4" w:space="0" w:color="000000"/>
            </w:tcBorders>
          </w:tcPr>
          <w:p>
            <w:pPr>
              <w:pStyle w:val="TableParagraph"/>
              <w:spacing w:before="61"/>
              <w:ind w:left="124" w:right="163"/>
              <w:jc w:val="left"/>
              <w:rPr>
                <w:sz w:val="16"/>
              </w:rPr>
            </w:pPr>
            <w:r>
              <w:rPr>
                <w:sz w:val="16"/>
              </w:rPr>
              <w:t>Trial Chamber VI (reparations in </w:t>
            </w:r>
            <w:r>
              <w:rPr>
                <w:i/>
                <w:sz w:val="16"/>
              </w:rPr>
              <w:t>Ntaganda</w:t>
            </w:r>
            <w:r>
              <w:rPr>
                <w:sz w:val="16"/>
              </w:rPr>
              <w:t>), Trial</w:t>
            </w:r>
            <w:r>
              <w:rPr>
                <w:spacing w:val="40"/>
                <w:sz w:val="16"/>
              </w:rPr>
              <w:t> </w:t>
            </w:r>
            <w:r>
              <w:rPr>
                <w:sz w:val="16"/>
              </w:rPr>
              <w:t>Chamber IX (reparations in </w:t>
            </w:r>
            <w:r>
              <w:rPr>
                <w:i/>
                <w:sz w:val="16"/>
              </w:rPr>
              <w:t>Ongwen</w:t>
            </w:r>
            <w:r>
              <w:rPr>
                <w:sz w:val="16"/>
              </w:rPr>
              <w:t>), Trial Chamber II</w:t>
            </w:r>
            <w:r>
              <w:rPr>
                <w:spacing w:val="40"/>
                <w:sz w:val="16"/>
              </w:rPr>
              <w:t> </w:t>
            </w:r>
            <w:r>
              <w:rPr>
                <w:sz w:val="16"/>
              </w:rPr>
              <w:t>(reparations</w:t>
            </w:r>
            <w:r>
              <w:rPr>
                <w:spacing w:val="-6"/>
                <w:sz w:val="16"/>
              </w:rPr>
              <w:t> </w:t>
            </w:r>
            <w:r>
              <w:rPr>
                <w:sz w:val="16"/>
              </w:rPr>
              <w:t>in</w:t>
            </w:r>
            <w:r>
              <w:rPr>
                <w:spacing w:val="-3"/>
                <w:sz w:val="16"/>
              </w:rPr>
              <w:t> </w:t>
            </w:r>
            <w:r>
              <w:rPr>
                <w:i/>
                <w:sz w:val="16"/>
              </w:rPr>
              <w:t>Lubanga</w:t>
            </w:r>
            <w:r>
              <w:rPr>
                <w:i/>
                <w:spacing w:val="-3"/>
                <w:sz w:val="16"/>
              </w:rPr>
              <w:t> </w:t>
            </w:r>
            <w:r>
              <w:rPr>
                <w:sz w:val="16"/>
              </w:rPr>
              <w:t>and</w:t>
            </w:r>
            <w:r>
              <w:rPr>
                <w:spacing w:val="-5"/>
                <w:sz w:val="16"/>
              </w:rPr>
              <w:t> </w:t>
            </w:r>
            <w:r>
              <w:rPr>
                <w:sz w:val="16"/>
              </w:rPr>
              <w:t>in</w:t>
            </w:r>
            <w:r>
              <w:rPr>
                <w:spacing w:val="-4"/>
                <w:sz w:val="16"/>
              </w:rPr>
              <w:t> </w:t>
            </w:r>
            <w:r>
              <w:rPr>
                <w:i/>
                <w:sz w:val="16"/>
              </w:rPr>
              <w:t>Katanga</w:t>
            </w:r>
            <w:r>
              <w:rPr>
                <w:i/>
                <w:spacing w:val="-4"/>
                <w:sz w:val="16"/>
              </w:rPr>
              <w:t> </w:t>
            </w:r>
            <w:r>
              <w:rPr>
                <w:sz w:val="16"/>
              </w:rPr>
              <w:t>-</w:t>
            </w:r>
            <w:r>
              <w:rPr>
                <w:spacing w:val="-6"/>
                <w:sz w:val="16"/>
              </w:rPr>
              <w:t> </w:t>
            </w:r>
            <w:r>
              <w:rPr>
                <w:sz w:val="16"/>
              </w:rPr>
              <w:t>2</w:t>
            </w:r>
            <w:r>
              <w:rPr>
                <w:spacing w:val="-5"/>
                <w:sz w:val="16"/>
              </w:rPr>
              <w:t> </w:t>
            </w:r>
            <w:r>
              <w:rPr>
                <w:sz w:val="16"/>
              </w:rPr>
              <w:t>months),</w:t>
            </w:r>
            <w:r>
              <w:rPr>
                <w:spacing w:val="-7"/>
                <w:sz w:val="16"/>
              </w:rPr>
              <w:t> </w:t>
            </w:r>
            <w:r>
              <w:rPr>
                <w:sz w:val="16"/>
              </w:rPr>
              <w:t>Trial</w:t>
            </w:r>
            <w:r>
              <w:rPr>
                <w:spacing w:val="40"/>
                <w:sz w:val="16"/>
              </w:rPr>
              <w:t> </w:t>
            </w:r>
            <w:r>
              <w:rPr>
                <w:sz w:val="16"/>
              </w:rPr>
              <w:t>Chamber</w:t>
            </w:r>
            <w:r>
              <w:rPr>
                <w:spacing w:val="-6"/>
                <w:sz w:val="16"/>
              </w:rPr>
              <w:t> </w:t>
            </w:r>
            <w:r>
              <w:rPr>
                <w:sz w:val="16"/>
              </w:rPr>
              <w:t>VIII</w:t>
            </w:r>
            <w:r>
              <w:rPr>
                <w:spacing w:val="-6"/>
                <w:sz w:val="16"/>
              </w:rPr>
              <w:t> </w:t>
            </w:r>
            <w:r>
              <w:rPr>
                <w:sz w:val="16"/>
              </w:rPr>
              <w:t>(reparations</w:t>
            </w:r>
            <w:r>
              <w:rPr>
                <w:spacing w:val="-6"/>
                <w:sz w:val="16"/>
              </w:rPr>
              <w:t> </w:t>
            </w:r>
            <w:r>
              <w:rPr>
                <w:sz w:val="16"/>
              </w:rPr>
              <w:t>in</w:t>
            </w:r>
            <w:r>
              <w:rPr>
                <w:spacing w:val="-2"/>
                <w:sz w:val="16"/>
              </w:rPr>
              <w:t> </w:t>
            </w:r>
            <w:r>
              <w:rPr>
                <w:i/>
                <w:sz w:val="16"/>
              </w:rPr>
              <w:t>Al</w:t>
            </w:r>
            <w:r>
              <w:rPr>
                <w:i/>
                <w:spacing w:val="-7"/>
                <w:sz w:val="16"/>
              </w:rPr>
              <w:t> </w:t>
            </w:r>
            <w:r>
              <w:rPr>
                <w:i/>
                <w:sz w:val="16"/>
              </w:rPr>
              <w:t>Mahdi</w:t>
            </w:r>
            <w:r>
              <w:rPr>
                <w:sz w:val="16"/>
              </w:rPr>
              <w:t>),</w:t>
            </w:r>
            <w:r>
              <w:rPr>
                <w:spacing w:val="-7"/>
                <w:sz w:val="16"/>
              </w:rPr>
              <w:t> </w:t>
            </w:r>
            <w:r>
              <w:rPr>
                <w:sz w:val="16"/>
              </w:rPr>
              <w:t>Trial</w:t>
            </w:r>
            <w:r>
              <w:rPr>
                <w:spacing w:val="-3"/>
                <w:sz w:val="16"/>
              </w:rPr>
              <w:t> </w:t>
            </w:r>
            <w:r>
              <w:rPr>
                <w:sz w:val="16"/>
              </w:rPr>
              <w:t>Chamber</w:t>
            </w:r>
            <w:r>
              <w:rPr>
                <w:spacing w:val="-6"/>
                <w:sz w:val="16"/>
              </w:rPr>
              <w:t> </w:t>
            </w:r>
            <w:r>
              <w:rPr>
                <w:sz w:val="16"/>
              </w:rPr>
              <w:t>X</w:t>
            </w:r>
            <w:r>
              <w:rPr>
                <w:spacing w:val="40"/>
                <w:sz w:val="16"/>
              </w:rPr>
              <w:t> </w:t>
            </w:r>
            <w:r>
              <w:rPr>
                <w:sz w:val="16"/>
              </w:rPr>
              <w:t>(</w:t>
            </w:r>
            <w:r>
              <w:rPr>
                <w:i/>
                <w:sz w:val="16"/>
              </w:rPr>
              <w:t>Al Hassan</w:t>
            </w:r>
            <w:r>
              <w:rPr>
                <w:sz w:val="16"/>
              </w:rPr>
              <w:t>), Trial Chamber V (</w:t>
            </w:r>
            <w:r>
              <w:rPr>
                <w:i/>
                <w:sz w:val="16"/>
              </w:rPr>
              <w:t>Yekatom and Ngaïssona</w:t>
            </w:r>
            <w:r>
              <w:rPr>
                <w:sz w:val="16"/>
              </w:rPr>
              <w:t>),</w:t>
            </w:r>
            <w:r>
              <w:rPr>
                <w:spacing w:val="40"/>
                <w:sz w:val="16"/>
              </w:rPr>
              <w:t> </w:t>
            </w:r>
            <w:r>
              <w:rPr>
                <w:sz w:val="16"/>
              </w:rPr>
              <w:t>Trial Chamber I (</w:t>
            </w:r>
            <w:r>
              <w:rPr>
                <w:i/>
                <w:sz w:val="16"/>
              </w:rPr>
              <w:t>Abd-Al-Rahman</w:t>
            </w:r>
            <w:r>
              <w:rPr>
                <w:sz w:val="16"/>
              </w:rPr>
              <w:t>), Trial Chamber III</w:t>
            </w:r>
            <w:r>
              <w:rPr>
                <w:spacing w:val="40"/>
                <w:sz w:val="16"/>
              </w:rPr>
              <w:t> </w:t>
            </w:r>
            <w:r>
              <w:rPr>
                <w:spacing w:val="-2"/>
                <w:sz w:val="16"/>
              </w:rPr>
              <w:t>(</w:t>
            </w:r>
            <w:r>
              <w:rPr>
                <w:i/>
                <w:spacing w:val="-2"/>
                <w:sz w:val="16"/>
              </w:rPr>
              <w:t>Gicheru</w:t>
            </w:r>
            <w:r>
              <w:rPr>
                <w:spacing w:val="-2"/>
                <w:sz w:val="16"/>
              </w:rPr>
              <w:t>)</w:t>
            </w:r>
          </w:p>
        </w:tc>
      </w:tr>
      <w:tr>
        <w:trPr>
          <w:trHeight w:val="853" w:hRule="atLeast"/>
        </w:trPr>
        <w:tc>
          <w:tcPr>
            <w:tcW w:w="551" w:type="dxa"/>
            <w:tcBorders>
              <w:top w:val="single" w:sz="4" w:space="0" w:color="000000"/>
              <w:bottom w:val="single" w:sz="4" w:space="0" w:color="000000"/>
            </w:tcBorders>
          </w:tcPr>
          <w:p>
            <w:pPr>
              <w:pStyle w:val="TableParagraph"/>
              <w:spacing w:before="4"/>
              <w:jc w:val="left"/>
              <w:rPr>
                <w:b/>
                <w:sz w:val="28"/>
              </w:rPr>
            </w:pPr>
          </w:p>
          <w:p>
            <w:pPr>
              <w:pStyle w:val="TableParagraph"/>
              <w:ind w:left="230"/>
              <w:jc w:val="left"/>
              <w:rPr>
                <w:sz w:val="18"/>
              </w:rPr>
            </w:pPr>
            <w:r>
              <w:rPr>
                <w:spacing w:val="-5"/>
                <w:sz w:val="18"/>
              </w:rPr>
              <w:t>7.</w:t>
            </w:r>
          </w:p>
        </w:tc>
        <w:tc>
          <w:tcPr>
            <w:tcW w:w="2559" w:type="dxa"/>
            <w:tcBorders>
              <w:top w:val="single" w:sz="4" w:space="0" w:color="000000"/>
              <w:bottom w:val="single" w:sz="4" w:space="0" w:color="000000"/>
            </w:tcBorders>
          </w:tcPr>
          <w:p>
            <w:pPr>
              <w:pStyle w:val="TableParagraph"/>
              <w:spacing w:before="2"/>
              <w:jc w:val="left"/>
              <w:rPr>
                <w:b/>
                <w:sz w:val="19"/>
              </w:rPr>
            </w:pPr>
          </w:p>
          <w:p>
            <w:pPr>
              <w:pStyle w:val="TableParagraph"/>
              <w:ind w:left="140" w:right="179"/>
              <w:jc w:val="left"/>
              <w:rPr>
                <w:sz w:val="18"/>
              </w:rPr>
            </w:pPr>
            <w:r>
              <w:rPr>
                <w:sz w:val="18"/>
              </w:rPr>
              <w:t>Number</w:t>
            </w:r>
            <w:r>
              <w:rPr>
                <w:spacing w:val="-12"/>
                <w:sz w:val="18"/>
              </w:rPr>
              <w:t> </w:t>
            </w:r>
            <w:r>
              <w:rPr>
                <w:sz w:val="18"/>
              </w:rPr>
              <w:t>of</w:t>
            </w:r>
            <w:r>
              <w:rPr>
                <w:spacing w:val="-11"/>
                <w:sz w:val="18"/>
              </w:rPr>
              <w:t> </w:t>
            </w:r>
            <w:r>
              <w:rPr>
                <w:sz w:val="18"/>
              </w:rPr>
              <w:t>pre/trial</w:t>
            </w:r>
            <w:r>
              <w:rPr>
                <w:spacing w:val="-11"/>
                <w:sz w:val="18"/>
              </w:rPr>
              <w:t> </w:t>
            </w:r>
            <w:r>
              <w:rPr>
                <w:sz w:val="18"/>
              </w:rPr>
              <w:t>teams </w:t>
            </w:r>
            <w:r>
              <w:rPr>
                <w:spacing w:val="-2"/>
                <w:sz w:val="18"/>
              </w:rPr>
              <w:t>(OTP)</w:t>
            </w:r>
          </w:p>
        </w:tc>
        <w:tc>
          <w:tcPr>
            <w:tcW w:w="1097" w:type="dxa"/>
            <w:tcBorders>
              <w:top w:val="single" w:sz="4" w:space="0" w:color="000000"/>
              <w:bottom w:val="single" w:sz="4" w:space="0" w:color="000000"/>
            </w:tcBorders>
          </w:tcPr>
          <w:p>
            <w:pPr>
              <w:pStyle w:val="TableParagraph"/>
              <w:spacing w:before="10"/>
              <w:jc w:val="left"/>
              <w:rPr>
                <w:b/>
                <w:sz w:val="27"/>
              </w:rPr>
            </w:pPr>
          </w:p>
          <w:p>
            <w:pPr>
              <w:pStyle w:val="TableParagraph"/>
              <w:spacing w:before="1"/>
              <w:ind w:right="1"/>
              <w:jc w:val="center"/>
              <w:rPr>
                <w:sz w:val="18"/>
              </w:rPr>
            </w:pPr>
            <w:r>
              <w:rPr>
                <w:w w:val="101"/>
                <w:sz w:val="18"/>
              </w:rPr>
              <w:t>6</w:t>
            </w:r>
          </w:p>
        </w:tc>
        <w:tc>
          <w:tcPr>
            <w:tcW w:w="4040" w:type="dxa"/>
            <w:tcBorders>
              <w:top w:val="single" w:sz="4" w:space="0" w:color="000000"/>
              <w:bottom w:val="single" w:sz="4" w:space="0" w:color="000000"/>
            </w:tcBorders>
          </w:tcPr>
          <w:p>
            <w:pPr>
              <w:pStyle w:val="TableParagraph"/>
              <w:spacing w:before="9"/>
              <w:jc w:val="left"/>
              <w:rPr>
                <w:b/>
                <w:sz w:val="20"/>
              </w:rPr>
            </w:pPr>
          </w:p>
          <w:p>
            <w:pPr>
              <w:pStyle w:val="TableParagraph"/>
              <w:ind w:left="124" w:right="163"/>
              <w:jc w:val="left"/>
              <w:rPr>
                <w:sz w:val="16"/>
              </w:rPr>
            </w:pPr>
            <w:r>
              <w:rPr>
                <w:sz w:val="16"/>
              </w:rPr>
              <w:t>CAR</w:t>
            </w:r>
            <w:r>
              <w:rPr>
                <w:spacing w:val="-6"/>
                <w:sz w:val="16"/>
              </w:rPr>
              <w:t> </w:t>
            </w:r>
            <w:r>
              <w:rPr>
                <w:sz w:val="16"/>
              </w:rPr>
              <w:t>II.b</w:t>
            </w:r>
            <w:r>
              <w:rPr>
                <w:spacing w:val="-4"/>
                <w:sz w:val="16"/>
              </w:rPr>
              <w:t> </w:t>
            </w:r>
            <w:r>
              <w:rPr>
                <w:sz w:val="16"/>
              </w:rPr>
              <w:t>(</w:t>
            </w:r>
            <w:r>
              <w:rPr>
                <w:i/>
                <w:sz w:val="16"/>
              </w:rPr>
              <w:t>Yekatom</w:t>
            </w:r>
            <w:r>
              <w:rPr>
                <w:i/>
                <w:spacing w:val="-5"/>
                <w:sz w:val="16"/>
              </w:rPr>
              <w:t> </w:t>
            </w:r>
            <w:r>
              <w:rPr>
                <w:i/>
                <w:sz w:val="16"/>
              </w:rPr>
              <w:t>and</w:t>
            </w:r>
            <w:r>
              <w:rPr>
                <w:i/>
                <w:spacing w:val="-3"/>
                <w:sz w:val="16"/>
              </w:rPr>
              <w:t> </w:t>
            </w:r>
            <w:r>
              <w:rPr>
                <w:i/>
                <w:sz w:val="16"/>
              </w:rPr>
              <w:t>Ngaïssona</w:t>
            </w:r>
            <w:r>
              <w:rPr>
                <w:sz w:val="16"/>
              </w:rPr>
              <w:t>),</w:t>
            </w:r>
            <w:r>
              <w:rPr>
                <w:spacing w:val="-7"/>
                <w:sz w:val="16"/>
              </w:rPr>
              <w:t> </w:t>
            </w:r>
            <w:r>
              <w:rPr>
                <w:sz w:val="16"/>
              </w:rPr>
              <w:t>Mali</w:t>
            </w:r>
            <w:r>
              <w:rPr>
                <w:spacing w:val="-7"/>
                <w:sz w:val="16"/>
              </w:rPr>
              <w:t> </w:t>
            </w:r>
            <w:r>
              <w:rPr>
                <w:sz w:val="16"/>
              </w:rPr>
              <w:t>II</w:t>
            </w:r>
            <w:r>
              <w:rPr>
                <w:spacing w:val="-6"/>
                <w:sz w:val="16"/>
              </w:rPr>
              <w:t> </w:t>
            </w:r>
            <w:r>
              <w:rPr>
                <w:sz w:val="16"/>
              </w:rPr>
              <w:t>(</w:t>
            </w:r>
            <w:r>
              <w:rPr>
                <w:i/>
                <w:sz w:val="16"/>
              </w:rPr>
              <w:t>Al</w:t>
            </w:r>
            <w:r>
              <w:rPr>
                <w:i/>
                <w:spacing w:val="-7"/>
                <w:sz w:val="16"/>
              </w:rPr>
              <w:t> </w:t>
            </w:r>
            <w:r>
              <w:rPr>
                <w:i/>
                <w:sz w:val="16"/>
              </w:rPr>
              <w:t>Hassan</w:t>
            </w:r>
            <w:r>
              <w:rPr>
                <w:sz w:val="16"/>
              </w:rPr>
              <w:t>),</w:t>
            </w:r>
            <w:r>
              <w:rPr>
                <w:spacing w:val="40"/>
                <w:sz w:val="16"/>
              </w:rPr>
              <w:t> </w:t>
            </w:r>
            <w:r>
              <w:rPr>
                <w:sz w:val="16"/>
              </w:rPr>
              <w:t>CAR II.a (</w:t>
            </w:r>
            <w:r>
              <w:rPr>
                <w:i/>
                <w:sz w:val="16"/>
              </w:rPr>
              <w:t>Said</w:t>
            </w:r>
            <w:r>
              <w:rPr>
                <w:sz w:val="16"/>
              </w:rPr>
              <w:t>), Darfur (</w:t>
            </w:r>
            <w:r>
              <w:rPr>
                <w:i/>
                <w:sz w:val="16"/>
              </w:rPr>
              <w:t>Abd-Al-Rahman</w:t>
            </w:r>
            <w:r>
              <w:rPr>
                <w:sz w:val="16"/>
              </w:rPr>
              <w:t>), Kenya</w:t>
            </w:r>
            <w:r>
              <w:rPr>
                <w:spacing w:val="40"/>
                <w:sz w:val="16"/>
              </w:rPr>
              <w:t> </w:t>
            </w:r>
            <w:r>
              <w:rPr>
                <w:sz w:val="16"/>
              </w:rPr>
              <w:t>(</w:t>
            </w:r>
            <w:r>
              <w:rPr>
                <w:i/>
                <w:sz w:val="16"/>
              </w:rPr>
              <w:t>Gicheru</w:t>
            </w:r>
            <w:r>
              <w:rPr>
                <w:sz w:val="16"/>
              </w:rPr>
              <w:t>), CAR II.b (</w:t>
            </w:r>
            <w:r>
              <w:rPr>
                <w:i/>
                <w:sz w:val="16"/>
              </w:rPr>
              <w:t>Mokom</w:t>
            </w:r>
            <w:r>
              <w:rPr>
                <w:sz w:val="16"/>
              </w:rPr>
              <w:t>)</w:t>
            </w:r>
          </w:p>
        </w:tc>
      </w:tr>
      <w:tr>
        <w:trPr>
          <w:trHeight w:val="532" w:hRule="atLeast"/>
        </w:trPr>
        <w:tc>
          <w:tcPr>
            <w:tcW w:w="551" w:type="dxa"/>
            <w:tcBorders>
              <w:top w:val="single" w:sz="4" w:space="0" w:color="000000"/>
              <w:bottom w:val="single" w:sz="4" w:space="0" w:color="000000"/>
            </w:tcBorders>
          </w:tcPr>
          <w:p>
            <w:pPr>
              <w:pStyle w:val="TableParagraph"/>
              <w:spacing w:before="163"/>
              <w:ind w:left="230"/>
              <w:jc w:val="left"/>
              <w:rPr>
                <w:sz w:val="18"/>
              </w:rPr>
            </w:pPr>
            <w:r>
              <w:rPr>
                <w:spacing w:val="-5"/>
                <w:sz w:val="18"/>
              </w:rPr>
              <w:t>8.</w:t>
            </w:r>
          </w:p>
        </w:tc>
        <w:tc>
          <w:tcPr>
            <w:tcW w:w="2559" w:type="dxa"/>
            <w:tcBorders>
              <w:top w:val="single" w:sz="4" w:space="0" w:color="000000"/>
              <w:bottom w:val="single" w:sz="4" w:space="0" w:color="000000"/>
            </w:tcBorders>
          </w:tcPr>
          <w:p>
            <w:pPr>
              <w:pStyle w:val="TableParagraph"/>
              <w:spacing w:before="57"/>
              <w:ind w:left="140" w:right="95"/>
              <w:jc w:val="left"/>
              <w:rPr>
                <w:sz w:val="18"/>
              </w:rPr>
            </w:pPr>
            <w:r>
              <w:rPr>
                <w:sz w:val="18"/>
              </w:rPr>
              <w:t>Number</w:t>
            </w:r>
            <w:r>
              <w:rPr>
                <w:spacing w:val="-12"/>
                <w:sz w:val="18"/>
              </w:rPr>
              <w:t> </w:t>
            </w:r>
            <w:r>
              <w:rPr>
                <w:sz w:val="18"/>
              </w:rPr>
              <w:t>of</w:t>
            </w:r>
            <w:r>
              <w:rPr>
                <w:spacing w:val="-11"/>
                <w:sz w:val="18"/>
              </w:rPr>
              <w:t> </w:t>
            </w:r>
            <w:r>
              <w:rPr>
                <w:sz w:val="18"/>
              </w:rPr>
              <w:t>Registry</w:t>
            </w:r>
            <w:r>
              <w:rPr>
                <w:spacing w:val="-11"/>
                <w:sz w:val="18"/>
              </w:rPr>
              <w:t> </w:t>
            </w:r>
            <w:r>
              <w:rPr>
                <w:sz w:val="18"/>
              </w:rPr>
              <w:t>courtroom support teams</w:t>
            </w:r>
          </w:p>
        </w:tc>
        <w:tc>
          <w:tcPr>
            <w:tcW w:w="1097" w:type="dxa"/>
            <w:tcBorders>
              <w:top w:val="single" w:sz="4" w:space="0" w:color="000000"/>
              <w:bottom w:val="single" w:sz="4" w:space="0" w:color="000000"/>
            </w:tcBorders>
          </w:tcPr>
          <w:p>
            <w:pPr>
              <w:pStyle w:val="TableParagraph"/>
              <w:spacing w:before="163"/>
              <w:ind w:right="1"/>
              <w:jc w:val="center"/>
              <w:rPr>
                <w:sz w:val="18"/>
              </w:rPr>
            </w:pPr>
            <w:r>
              <w:rPr>
                <w:w w:val="101"/>
                <w:sz w:val="18"/>
              </w:rPr>
              <w:t>3</w:t>
            </w:r>
          </w:p>
        </w:tc>
        <w:tc>
          <w:tcPr>
            <w:tcW w:w="4040" w:type="dxa"/>
            <w:tcBorders>
              <w:top w:val="single" w:sz="4" w:space="0" w:color="000000"/>
              <w:bottom w:val="single" w:sz="4" w:space="0" w:color="000000"/>
            </w:tcBorders>
          </w:tcPr>
          <w:p>
            <w:pPr>
              <w:pStyle w:val="TableParagraph"/>
              <w:jc w:val="left"/>
              <w:rPr>
                <w:sz w:val="16"/>
              </w:rPr>
            </w:pPr>
          </w:p>
        </w:tc>
      </w:tr>
      <w:tr>
        <w:trPr>
          <w:trHeight w:val="978" w:hRule="atLeast"/>
        </w:trPr>
        <w:tc>
          <w:tcPr>
            <w:tcW w:w="551" w:type="dxa"/>
            <w:tcBorders>
              <w:top w:val="single" w:sz="4" w:space="0" w:color="000000"/>
              <w:bottom w:val="single" w:sz="4" w:space="0" w:color="000000"/>
            </w:tcBorders>
          </w:tcPr>
          <w:p>
            <w:pPr>
              <w:pStyle w:val="TableParagraph"/>
              <w:jc w:val="left"/>
              <w:rPr>
                <w:b/>
                <w:sz w:val="20"/>
              </w:rPr>
            </w:pPr>
          </w:p>
          <w:p>
            <w:pPr>
              <w:pStyle w:val="TableParagraph"/>
              <w:spacing w:before="158"/>
              <w:ind w:left="230"/>
              <w:jc w:val="left"/>
              <w:rPr>
                <w:sz w:val="18"/>
              </w:rPr>
            </w:pPr>
            <w:r>
              <w:rPr>
                <w:spacing w:val="-5"/>
                <w:sz w:val="18"/>
              </w:rPr>
              <w:t>9.</w:t>
            </w:r>
          </w:p>
        </w:tc>
        <w:tc>
          <w:tcPr>
            <w:tcW w:w="2559" w:type="dxa"/>
            <w:tcBorders>
              <w:top w:val="single" w:sz="4" w:space="0" w:color="000000"/>
              <w:bottom w:val="single" w:sz="4" w:space="0" w:color="000000"/>
            </w:tcBorders>
          </w:tcPr>
          <w:p>
            <w:pPr>
              <w:pStyle w:val="TableParagraph"/>
              <w:spacing w:before="6"/>
              <w:jc w:val="left"/>
              <w:rPr>
                <w:b/>
                <w:sz w:val="24"/>
              </w:rPr>
            </w:pPr>
          </w:p>
          <w:p>
            <w:pPr>
              <w:pStyle w:val="TableParagraph"/>
              <w:spacing w:before="1"/>
              <w:ind w:left="140" w:right="143"/>
              <w:jc w:val="left"/>
              <w:rPr>
                <w:sz w:val="18"/>
              </w:rPr>
            </w:pPr>
            <w:r>
              <w:rPr>
                <w:sz w:val="18"/>
              </w:rPr>
              <w:t>Number</w:t>
            </w:r>
            <w:r>
              <w:rPr>
                <w:spacing w:val="-12"/>
                <w:sz w:val="18"/>
              </w:rPr>
              <w:t> </w:t>
            </w:r>
            <w:r>
              <w:rPr>
                <w:sz w:val="18"/>
              </w:rPr>
              <w:t>of</w:t>
            </w:r>
            <w:r>
              <w:rPr>
                <w:spacing w:val="-11"/>
                <w:sz w:val="18"/>
              </w:rPr>
              <w:t> </w:t>
            </w:r>
            <w:r>
              <w:rPr>
                <w:sz w:val="18"/>
              </w:rPr>
              <w:t>defence</w:t>
            </w:r>
            <w:r>
              <w:rPr>
                <w:spacing w:val="-11"/>
                <w:sz w:val="18"/>
              </w:rPr>
              <w:t> </w:t>
            </w:r>
            <w:r>
              <w:rPr>
                <w:sz w:val="18"/>
              </w:rPr>
              <w:t>teams financed by legal aid</w:t>
            </w:r>
          </w:p>
        </w:tc>
        <w:tc>
          <w:tcPr>
            <w:tcW w:w="1097" w:type="dxa"/>
            <w:tcBorders>
              <w:top w:val="single" w:sz="4" w:space="0" w:color="000000"/>
              <w:bottom w:val="single" w:sz="4" w:space="0" w:color="000000"/>
            </w:tcBorders>
          </w:tcPr>
          <w:p>
            <w:pPr>
              <w:pStyle w:val="TableParagraph"/>
              <w:jc w:val="left"/>
              <w:rPr>
                <w:b/>
                <w:sz w:val="20"/>
              </w:rPr>
            </w:pPr>
          </w:p>
          <w:p>
            <w:pPr>
              <w:pStyle w:val="TableParagraph"/>
              <w:spacing w:before="158"/>
              <w:ind w:left="81" w:right="80"/>
              <w:jc w:val="center"/>
              <w:rPr>
                <w:sz w:val="18"/>
              </w:rPr>
            </w:pPr>
            <w:r>
              <w:rPr>
                <w:spacing w:val="-5"/>
                <w:sz w:val="18"/>
              </w:rPr>
              <w:t>11</w:t>
            </w:r>
          </w:p>
        </w:tc>
        <w:tc>
          <w:tcPr>
            <w:tcW w:w="4040" w:type="dxa"/>
            <w:tcBorders>
              <w:top w:val="single" w:sz="4" w:space="0" w:color="000000"/>
              <w:bottom w:val="single" w:sz="4" w:space="0" w:color="000000"/>
            </w:tcBorders>
          </w:tcPr>
          <w:p>
            <w:pPr>
              <w:pStyle w:val="TableParagraph"/>
              <w:spacing w:line="182" w:lineRule="exact"/>
              <w:ind w:left="124"/>
              <w:jc w:val="left"/>
              <w:rPr>
                <w:i/>
                <w:sz w:val="16"/>
              </w:rPr>
            </w:pPr>
            <w:r>
              <w:rPr>
                <w:sz w:val="16"/>
              </w:rPr>
              <w:t>Pre-trial:</w:t>
            </w:r>
            <w:r>
              <w:rPr>
                <w:spacing w:val="-5"/>
                <w:sz w:val="16"/>
              </w:rPr>
              <w:t> </w:t>
            </w:r>
            <w:r>
              <w:rPr>
                <w:i/>
                <w:sz w:val="16"/>
              </w:rPr>
              <w:t>Banda</w:t>
            </w:r>
            <w:r>
              <w:rPr>
                <w:i/>
                <w:spacing w:val="-5"/>
                <w:sz w:val="16"/>
              </w:rPr>
              <w:t> </w:t>
            </w:r>
            <w:r>
              <w:rPr>
                <w:sz w:val="16"/>
              </w:rPr>
              <w:t>(reduced),</w:t>
            </w:r>
            <w:r>
              <w:rPr>
                <w:spacing w:val="-7"/>
                <w:sz w:val="16"/>
              </w:rPr>
              <w:t> </w:t>
            </w:r>
            <w:r>
              <w:rPr>
                <w:i/>
                <w:spacing w:val="-4"/>
                <w:sz w:val="16"/>
              </w:rPr>
              <w:t>Mokom</w:t>
            </w:r>
          </w:p>
          <w:p>
            <w:pPr>
              <w:pStyle w:val="TableParagraph"/>
              <w:spacing w:line="244" w:lineRule="auto"/>
              <w:ind w:left="124" w:right="820"/>
              <w:jc w:val="left"/>
              <w:rPr>
                <w:i/>
                <w:sz w:val="16"/>
              </w:rPr>
            </w:pPr>
            <w:r>
              <w:rPr>
                <w:sz w:val="16"/>
              </w:rPr>
              <w:t>Trial:</w:t>
            </w:r>
            <w:r>
              <w:rPr>
                <w:spacing w:val="-4"/>
                <w:sz w:val="16"/>
              </w:rPr>
              <w:t> </w:t>
            </w:r>
            <w:r>
              <w:rPr>
                <w:i/>
                <w:sz w:val="16"/>
              </w:rPr>
              <w:t>Al</w:t>
            </w:r>
            <w:r>
              <w:rPr>
                <w:i/>
                <w:spacing w:val="-9"/>
                <w:sz w:val="16"/>
              </w:rPr>
              <w:t> </w:t>
            </w:r>
            <w:r>
              <w:rPr>
                <w:i/>
                <w:sz w:val="16"/>
              </w:rPr>
              <w:t>Hassan</w:t>
            </w:r>
            <w:r>
              <w:rPr>
                <w:sz w:val="16"/>
              </w:rPr>
              <w:t>,</w:t>
            </w:r>
            <w:r>
              <w:rPr>
                <w:spacing w:val="-4"/>
                <w:sz w:val="16"/>
              </w:rPr>
              <w:t> </w:t>
            </w:r>
            <w:r>
              <w:rPr>
                <w:i/>
                <w:sz w:val="16"/>
              </w:rPr>
              <w:t>Yekatom</w:t>
            </w:r>
            <w:r>
              <w:rPr>
                <w:sz w:val="16"/>
              </w:rPr>
              <w:t>,</w:t>
            </w:r>
            <w:r>
              <w:rPr>
                <w:spacing w:val="-9"/>
                <w:sz w:val="16"/>
              </w:rPr>
              <w:t> </w:t>
            </w:r>
            <w:r>
              <w:rPr>
                <w:i/>
                <w:sz w:val="16"/>
              </w:rPr>
              <w:t>Ngaïssona</w:t>
            </w:r>
            <w:r>
              <w:rPr>
                <w:sz w:val="16"/>
              </w:rPr>
              <w:t>,</w:t>
            </w:r>
            <w:r>
              <w:rPr>
                <w:spacing w:val="-9"/>
                <w:sz w:val="16"/>
              </w:rPr>
              <w:t> </w:t>
            </w:r>
            <w:r>
              <w:rPr>
                <w:i/>
                <w:sz w:val="16"/>
              </w:rPr>
              <w:t>Gicheru</w:t>
            </w:r>
            <w:r>
              <w:rPr>
                <w:sz w:val="16"/>
              </w:rPr>
              <w:t>,</w:t>
            </w:r>
            <w:r>
              <w:rPr>
                <w:spacing w:val="40"/>
                <w:sz w:val="16"/>
              </w:rPr>
              <w:t> </w:t>
            </w:r>
            <w:r>
              <w:rPr>
                <w:i/>
                <w:sz w:val="16"/>
              </w:rPr>
              <w:t>Abd-Al-Rahman</w:t>
            </w:r>
            <w:r>
              <w:rPr>
                <w:sz w:val="16"/>
              </w:rPr>
              <w:t>,</w:t>
            </w:r>
            <w:r>
              <w:rPr>
                <w:spacing w:val="-7"/>
                <w:sz w:val="16"/>
              </w:rPr>
              <w:t> </w:t>
            </w:r>
            <w:r>
              <w:rPr>
                <w:i/>
                <w:sz w:val="16"/>
              </w:rPr>
              <w:t>Said</w:t>
            </w:r>
          </w:p>
          <w:p>
            <w:pPr>
              <w:pStyle w:val="TableParagraph"/>
              <w:spacing w:line="177" w:lineRule="exact"/>
              <w:ind w:left="124"/>
              <w:jc w:val="left"/>
              <w:rPr>
                <w:i/>
                <w:sz w:val="16"/>
              </w:rPr>
            </w:pPr>
            <w:r>
              <w:rPr>
                <w:w w:val="95"/>
                <w:sz w:val="16"/>
              </w:rPr>
              <w:t>Appeals:</w:t>
            </w:r>
            <w:r>
              <w:rPr>
                <w:spacing w:val="23"/>
                <w:sz w:val="16"/>
              </w:rPr>
              <w:t> </w:t>
            </w:r>
            <w:r>
              <w:rPr>
                <w:i/>
                <w:spacing w:val="-2"/>
                <w:sz w:val="16"/>
              </w:rPr>
              <w:t>Ongwen</w:t>
            </w:r>
          </w:p>
          <w:p>
            <w:pPr>
              <w:pStyle w:val="TableParagraph"/>
              <w:spacing w:line="183" w:lineRule="exact"/>
              <w:ind w:left="124"/>
              <w:jc w:val="left"/>
              <w:rPr>
                <w:i/>
                <w:sz w:val="16"/>
              </w:rPr>
            </w:pPr>
            <w:r>
              <w:rPr>
                <w:sz w:val="16"/>
              </w:rPr>
              <w:t>Reparations:</w:t>
            </w:r>
            <w:r>
              <w:rPr>
                <w:spacing w:val="-3"/>
                <w:sz w:val="16"/>
              </w:rPr>
              <w:t> </w:t>
            </w:r>
            <w:r>
              <w:rPr>
                <w:i/>
                <w:sz w:val="16"/>
              </w:rPr>
              <w:t>Ntaganda</w:t>
            </w:r>
            <w:r>
              <w:rPr>
                <w:sz w:val="16"/>
              </w:rPr>
              <w:t>,</w:t>
            </w:r>
            <w:r>
              <w:rPr>
                <w:spacing w:val="-4"/>
                <w:sz w:val="16"/>
              </w:rPr>
              <w:t> </w:t>
            </w:r>
            <w:r>
              <w:rPr>
                <w:i/>
                <w:sz w:val="16"/>
              </w:rPr>
              <w:t>Al</w:t>
            </w:r>
            <w:r>
              <w:rPr>
                <w:i/>
                <w:spacing w:val="-4"/>
                <w:sz w:val="16"/>
              </w:rPr>
              <w:t> </w:t>
            </w:r>
            <w:r>
              <w:rPr>
                <w:i/>
                <w:spacing w:val="-2"/>
                <w:sz w:val="16"/>
              </w:rPr>
              <w:t>Mahdi</w:t>
            </w:r>
          </w:p>
        </w:tc>
      </w:tr>
      <w:tr>
        <w:trPr>
          <w:trHeight w:val="797" w:hRule="atLeast"/>
        </w:trPr>
        <w:tc>
          <w:tcPr>
            <w:tcW w:w="551" w:type="dxa"/>
            <w:tcBorders>
              <w:top w:val="single" w:sz="4" w:space="0" w:color="000000"/>
              <w:bottom w:val="single" w:sz="4" w:space="0" w:color="000000"/>
            </w:tcBorders>
          </w:tcPr>
          <w:p>
            <w:pPr>
              <w:pStyle w:val="TableParagraph"/>
              <w:spacing w:before="9"/>
              <w:jc w:val="left"/>
              <w:rPr>
                <w:b/>
                <w:sz w:val="25"/>
              </w:rPr>
            </w:pPr>
          </w:p>
          <w:p>
            <w:pPr>
              <w:pStyle w:val="TableParagraph"/>
              <w:spacing w:before="1"/>
              <w:ind w:left="182"/>
              <w:jc w:val="left"/>
              <w:rPr>
                <w:sz w:val="18"/>
              </w:rPr>
            </w:pPr>
            <w:r>
              <w:rPr>
                <w:spacing w:val="-5"/>
                <w:sz w:val="18"/>
              </w:rPr>
              <w:t>10.</w:t>
            </w:r>
          </w:p>
        </w:tc>
        <w:tc>
          <w:tcPr>
            <w:tcW w:w="2559" w:type="dxa"/>
            <w:tcBorders>
              <w:top w:val="single" w:sz="4" w:space="0" w:color="000000"/>
              <w:bottom w:val="single" w:sz="4" w:space="0" w:color="000000"/>
            </w:tcBorders>
          </w:tcPr>
          <w:p>
            <w:pPr>
              <w:pStyle w:val="TableParagraph"/>
              <w:spacing w:before="91"/>
              <w:ind w:left="140" w:right="143"/>
              <w:jc w:val="left"/>
              <w:rPr>
                <w:sz w:val="18"/>
              </w:rPr>
            </w:pPr>
            <w:r>
              <w:rPr>
                <w:sz w:val="18"/>
              </w:rPr>
              <w:t>Number of victims’ representatives</w:t>
            </w:r>
            <w:r>
              <w:rPr>
                <w:spacing w:val="-12"/>
                <w:sz w:val="18"/>
              </w:rPr>
              <w:t> </w:t>
            </w:r>
            <w:r>
              <w:rPr>
                <w:sz w:val="18"/>
              </w:rPr>
              <w:t>financed</w:t>
            </w:r>
            <w:r>
              <w:rPr>
                <w:spacing w:val="-11"/>
                <w:sz w:val="18"/>
              </w:rPr>
              <w:t> </w:t>
            </w:r>
            <w:r>
              <w:rPr>
                <w:sz w:val="18"/>
              </w:rPr>
              <w:t>by legal aid</w:t>
            </w:r>
          </w:p>
        </w:tc>
        <w:tc>
          <w:tcPr>
            <w:tcW w:w="1097" w:type="dxa"/>
            <w:tcBorders>
              <w:top w:val="single" w:sz="4" w:space="0" w:color="000000"/>
              <w:bottom w:val="single" w:sz="4" w:space="0" w:color="000000"/>
            </w:tcBorders>
          </w:tcPr>
          <w:p>
            <w:pPr>
              <w:pStyle w:val="TableParagraph"/>
              <w:spacing w:before="9"/>
              <w:jc w:val="left"/>
              <w:rPr>
                <w:b/>
                <w:sz w:val="25"/>
              </w:rPr>
            </w:pPr>
          </w:p>
          <w:p>
            <w:pPr>
              <w:pStyle w:val="TableParagraph"/>
              <w:spacing w:before="1"/>
              <w:ind w:right="1"/>
              <w:jc w:val="center"/>
              <w:rPr>
                <w:sz w:val="18"/>
              </w:rPr>
            </w:pPr>
            <w:r>
              <w:rPr>
                <w:w w:val="101"/>
                <w:sz w:val="18"/>
              </w:rPr>
              <w:t>8</w:t>
            </w:r>
          </w:p>
        </w:tc>
        <w:tc>
          <w:tcPr>
            <w:tcW w:w="4040" w:type="dxa"/>
            <w:tcBorders>
              <w:top w:val="single" w:sz="4" w:space="0" w:color="000000"/>
              <w:bottom w:val="single" w:sz="4" w:space="0" w:color="000000"/>
            </w:tcBorders>
          </w:tcPr>
          <w:p>
            <w:pPr>
              <w:pStyle w:val="TableParagraph"/>
              <w:spacing w:line="244" w:lineRule="auto"/>
              <w:ind w:left="124" w:right="1185"/>
              <w:jc w:val="left"/>
              <w:rPr>
                <w:i/>
                <w:sz w:val="16"/>
              </w:rPr>
            </w:pPr>
            <w:r>
              <w:rPr>
                <w:sz w:val="16"/>
              </w:rPr>
              <w:t>Trial:</w:t>
            </w:r>
            <w:r>
              <w:rPr>
                <w:spacing w:val="-5"/>
                <w:sz w:val="16"/>
              </w:rPr>
              <w:t> </w:t>
            </w:r>
            <w:r>
              <w:rPr>
                <w:i/>
                <w:sz w:val="16"/>
              </w:rPr>
              <w:t>Al</w:t>
            </w:r>
            <w:r>
              <w:rPr>
                <w:i/>
                <w:spacing w:val="-10"/>
                <w:sz w:val="16"/>
              </w:rPr>
              <w:t> </w:t>
            </w:r>
            <w:r>
              <w:rPr>
                <w:i/>
                <w:sz w:val="16"/>
              </w:rPr>
              <w:t>Hassan</w:t>
            </w:r>
            <w:r>
              <w:rPr>
                <w:sz w:val="16"/>
              </w:rPr>
              <w:t>,</w:t>
            </w:r>
            <w:r>
              <w:rPr>
                <w:spacing w:val="-5"/>
                <w:sz w:val="16"/>
              </w:rPr>
              <w:t> </w:t>
            </w:r>
            <w:r>
              <w:rPr>
                <w:i/>
                <w:sz w:val="16"/>
              </w:rPr>
              <w:t>Yekatom</w:t>
            </w:r>
            <w:r>
              <w:rPr>
                <w:i/>
                <w:spacing w:val="-9"/>
                <w:sz w:val="16"/>
              </w:rPr>
              <w:t> </w:t>
            </w:r>
            <w:r>
              <w:rPr>
                <w:i/>
                <w:sz w:val="16"/>
              </w:rPr>
              <w:t>and</w:t>
            </w:r>
            <w:r>
              <w:rPr>
                <w:i/>
                <w:spacing w:val="-7"/>
                <w:sz w:val="16"/>
              </w:rPr>
              <w:t> </w:t>
            </w:r>
            <w:r>
              <w:rPr>
                <w:i/>
                <w:sz w:val="16"/>
              </w:rPr>
              <w:t>Ngaïssona</w:t>
            </w:r>
            <w:r>
              <w:rPr>
                <w:sz w:val="16"/>
              </w:rPr>
              <w:t>,</w:t>
            </w:r>
            <w:r>
              <w:rPr>
                <w:spacing w:val="40"/>
                <w:sz w:val="16"/>
              </w:rPr>
              <w:t> </w:t>
            </w:r>
            <w:r>
              <w:rPr>
                <w:i/>
                <w:spacing w:val="-2"/>
                <w:sz w:val="16"/>
              </w:rPr>
              <w:t>Abd-Al-Rahman</w:t>
            </w:r>
          </w:p>
          <w:p>
            <w:pPr>
              <w:pStyle w:val="TableParagraph"/>
              <w:spacing w:line="178" w:lineRule="exact"/>
              <w:ind w:left="124"/>
              <w:jc w:val="left"/>
              <w:rPr>
                <w:i/>
                <w:sz w:val="16"/>
              </w:rPr>
            </w:pPr>
            <w:r>
              <w:rPr>
                <w:sz w:val="16"/>
              </w:rPr>
              <w:t>Appeals:</w:t>
            </w:r>
            <w:r>
              <w:rPr>
                <w:spacing w:val="-5"/>
                <w:sz w:val="16"/>
              </w:rPr>
              <w:t> </w:t>
            </w:r>
            <w:r>
              <w:rPr>
                <w:i/>
                <w:spacing w:val="-2"/>
                <w:sz w:val="16"/>
              </w:rPr>
              <w:t>Ongwen</w:t>
            </w:r>
          </w:p>
          <w:p>
            <w:pPr>
              <w:pStyle w:val="TableParagraph"/>
              <w:spacing w:line="183" w:lineRule="exact"/>
              <w:ind w:left="124"/>
              <w:jc w:val="left"/>
              <w:rPr>
                <w:i/>
                <w:sz w:val="16"/>
              </w:rPr>
            </w:pPr>
            <w:r>
              <w:rPr>
                <w:sz w:val="16"/>
              </w:rPr>
              <w:t>Reparations:</w:t>
            </w:r>
            <w:r>
              <w:rPr>
                <w:spacing w:val="-3"/>
                <w:sz w:val="16"/>
              </w:rPr>
              <w:t> </w:t>
            </w:r>
            <w:r>
              <w:rPr>
                <w:i/>
                <w:sz w:val="16"/>
              </w:rPr>
              <w:t>Katanga</w:t>
            </w:r>
            <w:r>
              <w:rPr>
                <w:sz w:val="16"/>
              </w:rPr>
              <w:t>,</w:t>
            </w:r>
            <w:r>
              <w:rPr>
                <w:spacing w:val="-4"/>
                <w:sz w:val="16"/>
              </w:rPr>
              <w:t> </w:t>
            </w:r>
            <w:r>
              <w:rPr>
                <w:i/>
                <w:sz w:val="16"/>
              </w:rPr>
              <w:t>Lubanga</w:t>
            </w:r>
            <w:r>
              <w:rPr>
                <w:i/>
                <w:spacing w:val="-2"/>
                <w:sz w:val="16"/>
              </w:rPr>
              <w:t> </w:t>
            </w:r>
            <w:r>
              <w:rPr>
                <w:i/>
                <w:sz w:val="16"/>
              </w:rPr>
              <w:t>I</w:t>
            </w:r>
            <w:r>
              <w:rPr>
                <w:sz w:val="16"/>
              </w:rPr>
              <w:t>,</w:t>
            </w:r>
            <w:r>
              <w:rPr>
                <w:spacing w:val="-4"/>
                <w:sz w:val="16"/>
              </w:rPr>
              <w:t> </w:t>
            </w:r>
            <w:r>
              <w:rPr>
                <w:i/>
                <w:sz w:val="16"/>
              </w:rPr>
              <w:t>Lubanga</w:t>
            </w:r>
            <w:r>
              <w:rPr>
                <w:i/>
                <w:spacing w:val="-2"/>
                <w:sz w:val="16"/>
              </w:rPr>
              <w:t> </w:t>
            </w:r>
            <w:r>
              <w:rPr>
                <w:i/>
                <w:sz w:val="16"/>
              </w:rPr>
              <w:t>II</w:t>
            </w:r>
            <w:r>
              <w:rPr>
                <w:sz w:val="16"/>
              </w:rPr>
              <w:t>,</w:t>
            </w:r>
            <w:r>
              <w:rPr>
                <w:spacing w:val="-4"/>
                <w:sz w:val="16"/>
              </w:rPr>
              <w:t> </w:t>
            </w:r>
            <w:r>
              <w:rPr>
                <w:i/>
                <w:sz w:val="16"/>
              </w:rPr>
              <w:t>Al</w:t>
            </w:r>
            <w:r>
              <w:rPr>
                <w:i/>
                <w:spacing w:val="1"/>
                <w:sz w:val="16"/>
              </w:rPr>
              <w:t> </w:t>
            </w:r>
            <w:r>
              <w:rPr>
                <w:i/>
                <w:spacing w:val="-2"/>
                <w:sz w:val="16"/>
              </w:rPr>
              <w:t>Mahdi</w:t>
            </w:r>
          </w:p>
        </w:tc>
      </w:tr>
      <w:tr>
        <w:trPr>
          <w:trHeight w:val="671" w:hRule="atLeast"/>
        </w:trPr>
        <w:tc>
          <w:tcPr>
            <w:tcW w:w="551" w:type="dxa"/>
            <w:tcBorders>
              <w:top w:val="single" w:sz="4" w:space="0" w:color="000000"/>
              <w:bottom w:val="single" w:sz="4" w:space="0" w:color="000000"/>
            </w:tcBorders>
          </w:tcPr>
          <w:p>
            <w:pPr>
              <w:pStyle w:val="TableParagraph"/>
              <w:spacing w:before="4"/>
              <w:jc w:val="left"/>
              <w:rPr>
                <w:b/>
                <w:sz w:val="20"/>
              </w:rPr>
            </w:pPr>
          </w:p>
          <w:p>
            <w:pPr>
              <w:pStyle w:val="TableParagraph"/>
              <w:spacing w:before="1"/>
              <w:ind w:left="182"/>
              <w:jc w:val="left"/>
              <w:rPr>
                <w:sz w:val="18"/>
              </w:rPr>
            </w:pPr>
            <w:r>
              <w:rPr>
                <w:spacing w:val="-5"/>
                <w:sz w:val="18"/>
              </w:rPr>
              <w:t>11.</w:t>
            </w:r>
          </w:p>
        </w:tc>
        <w:tc>
          <w:tcPr>
            <w:tcW w:w="2559" w:type="dxa"/>
            <w:tcBorders>
              <w:top w:val="single" w:sz="4" w:space="0" w:color="000000"/>
              <w:bottom w:val="single" w:sz="4" w:space="0" w:color="000000"/>
            </w:tcBorders>
          </w:tcPr>
          <w:p>
            <w:pPr>
              <w:pStyle w:val="TableParagraph"/>
              <w:spacing w:before="129"/>
              <w:ind w:left="140" w:right="95"/>
              <w:jc w:val="left"/>
              <w:rPr>
                <w:sz w:val="18"/>
              </w:rPr>
            </w:pPr>
            <w:r>
              <w:rPr>
                <w:sz w:val="18"/>
              </w:rPr>
              <w:t>Number</w:t>
            </w:r>
            <w:r>
              <w:rPr>
                <w:spacing w:val="-10"/>
                <w:sz w:val="18"/>
              </w:rPr>
              <w:t> </w:t>
            </w:r>
            <w:r>
              <w:rPr>
                <w:sz w:val="18"/>
              </w:rPr>
              <w:t>of</w:t>
            </w:r>
            <w:r>
              <w:rPr>
                <w:spacing w:val="-5"/>
                <w:sz w:val="18"/>
              </w:rPr>
              <w:t> </w:t>
            </w:r>
            <w:r>
              <w:rPr>
                <w:sz w:val="18"/>
              </w:rPr>
              <w:t>LRV</w:t>
            </w:r>
            <w:r>
              <w:rPr>
                <w:spacing w:val="-12"/>
                <w:sz w:val="18"/>
              </w:rPr>
              <w:t> </w:t>
            </w:r>
            <w:r>
              <w:rPr>
                <w:sz w:val="18"/>
              </w:rPr>
              <w:t>teams</w:t>
            </w:r>
            <w:r>
              <w:rPr>
                <w:spacing w:val="-9"/>
                <w:sz w:val="18"/>
              </w:rPr>
              <w:t> </w:t>
            </w:r>
            <w:r>
              <w:rPr>
                <w:sz w:val="18"/>
              </w:rPr>
              <w:t>within the OPCV</w:t>
            </w:r>
          </w:p>
        </w:tc>
        <w:tc>
          <w:tcPr>
            <w:tcW w:w="1097" w:type="dxa"/>
            <w:tcBorders>
              <w:top w:val="single" w:sz="4" w:space="0" w:color="000000"/>
              <w:bottom w:val="single" w:sz="4" w:space="0" w:color="000000"/>
            </w:tcBorders>
          </w:tcPr>
          <w:p>
            <w:pPr>
              <w:pStyle w:val="TableParagraph"/>
              <w:spacing w:before="4"/>
              <w:jc w:val="left"/>
              <w:rPr>
                <w:b/>
                <w:sz w:val="20"/>
              </w:rPr>
            </w:pPr>
          </w:p>
          <w:p>
            <w:pPr>
              <w:pStyle w:val="TableParagraph"/>
              <w:spacing w:before="1"/>
              <w:ind w:left="81" w:right="80"/>
              <w:jc w:val="center"/>
              <w:rPr>
                <w:sz w:val="18"/>
              </w:rPr>
            </w:pPr>
            <w:r>
              <w:rPr>
                <w:spacing w:val="-5"/>
                <w:sz w:val="18"/>
              </w:rPr>
              <w:t>10</w:t>
            </w:r>
          </w:p>
        </w:tc>
        <w:tc>
          <w:tcPr>
            <w:tcW w:w="4040" w:type="dxa"/>
            <w:tcBorders>
              <w:top w:val="single" w:sz="4" w:space="0" w:color="000000"/>
              <w:bottom w:val="single" w:sz="4" w:space="0" w:color="000000"/>
            </w:tcBorders>
          </w:tcPr>
          <w:p>
            <w:pPr>
              <w:pStyle w:val="TableParagraph"/>
              <w:spacing w:before="61"/>
              <w:ind w:left="124" w:right="163"/>
              <w:jc w:val="left"/>
              <w:rPr>
                <w:sz w:val="10"/>
              </w:rPr>
            </w:pPr>
            <w:r>
              <w:rPr>
                <w:i/>
                <w:sz w:val="16"/>
              </w:rPr>
              <w:t>Ongwen </w:t>
            </w:r>
            <w:r>
              <w:rPr>
                <w:sz w:val="16"/>
              </w:rPr>
              <w:t>(1), </w:t>
            </w:r>
            <w:r>
              <w:rPr>
                <w:i/>
                <w:sz w:val="16"/>
              </w:rPr>
              <w:t>Katanga </w:t>
            </w:r>
            <w:r>
              <w:rPr>
                <w:sz w:val="16"/>
              </w:rPr>
              <w:t>(1), </w:t>
            </w:r>
            <w:r>
              <w:rPr>
                <w:i/>
                <w:sz w:val="16"/>
              </w:rPr>
              <w:t>Lubanga </w:t>
            </w:r>
            <w:r>
              <w:rPr>
                <w:sz w:val="16"/>
              </w:rPr>
              <w:t>(1), </w:t>
            </w:r>
            <w:r>
              <w:rPr>
                <w:i/>
                <w:sz w:val="16"/>
              </w:rPr>
              <w:t>Ntaganda </w:t>
            </w:r>
            <w:r>
              <w:rPr>
                <w:sz w:val="16"/>
              </w:rPr>
              <w:t>(2),</w:t>
            </w:r>
            <w:r>
              <w:rPr>
                <w:spacing w:val="40"/>
                <w:sz w:val="16"/>
              </w:rPr>
              <w:t> </w:t>
            </w:r>
            <w:r>
              <w:rPr>
                <w:i/>
                <w:sz w:val="16"/>
              </w:rPr>
              <w:t>Yekatom</w:t>
            </w:r>
            <w:r>
              <w:rPr>
                <w:i/>
                <w:spacing w:val="-7"/>
                <w:sz w:val="16"/>
              </w:rPr>
              <w:t> </w:t>
            </w:r>
            <w:r>
              <w:rPr>
                <w:i/>
                <w:sz w:val="16"/>
              </w:rPr>
              <w:t>and</w:t>
            </w:r>
            <w:r>
              <w:rPr>
                <w:i/>
                <w:spacing w:val="-5"/>
                <w:sz w:val="16"/>
              </w:rPr>
              <w:t> </w:t>
            </w:r>
            <w:r>
              <w:rPr>
                <w:i/>
                <w:sz w:val="16"/>
              </w:rPr>
              <w:t>Ngaïssona</w:t>
            </w:r>
            <w:r>
              <w:rPr>
                <w:i/>
                <w:spacing w:val="-2"/>
                <w:sz w:val="16"/>
              </w:rPr>
              <w:t> </w:t>
            </w:r>
            <w:r>
              <w:rPr>
                <w:sz w:val="16"/>
              </w:rPr>
              <w:t>(2),</w:t>
            </w:r>
            <w:r>
              <w:rPr>
                <w:spacing w:val="-8"/>
                <w:sz w:val="16"/>
              </w:rPr>
              <w:t> </w:t>
            </w:r>
            <w:r>
              <w:rPr>
                <w:i/>
                <w:sz w:val="16"/>
              </w:rPr>
              <w:t>Said</w:t>
            </w:r>
            <w:r>
              <w:rPr>
                <w:i/>
                <w:spacing w:val="-5"/>
                <w:sz w:val="16"/>
              </w:rPr>
              <w:t> </w:t>
            </w:r>
            <w:r>
              <w:rPr>
                <w:sz w:val="16"/>
              </w:rPr>
              <w:t>(1),</w:t>
            </w:r>
            <w:r>
              <w:rPr>
                <w:spacing w:val="-8"/>
                <w:sz w:val="16"/>
              </w:rPr>
              <w:t> </w:t>
            </w:r>
            <w:r>
              <w:rPr>
                <w:i/>
                <w:sz w:val="16"/>
              </w:rPr>
              <w:t>Mokom</w:t>
            </w:r>
            <w:r>
              <w:rPr>
                <w:i/>
                <w:spacing w:val="-5"/>
                <w:sz w:val="16"/>
              </w:rPr>
              <w:t> </w:t>
            </w:r>
            <w:r>
              <w:rPr>
                <w:sz w:val="16"/>
              </w:rPr>
              <w:t>(pre-trial)</w:t>
            </w:r>
            <w:r>
              <w:rPr>
                <w:spacing w:val="40"/>
                <w:sz w:val="16"/>
              </w:rPr>
              <w:t> </w:t>
            </w:r>
            <w:r>
              <w:rPr>
                <w:sz w:val="16"/>
              </w:rPr>
              <w:t>(1), and other proceedings (1)</w:t>
            </w:r>
            <w:r>
              <w:rPr>
                <w:position w:val="5"/>
                <w:sz w:val="10"/>
              </w:rPr>
              <w:t>148</w:t>
            </w:r>
          </w:p>
        </w:tc>
      </w:tr>
      <w:tr>
        <w:trPr>
          <w:trHeight w:val="537" w:hRule="atLeast"/>
        </w:trPr>
        <w:tc>
          <w:tcPr>
            <w:tcW w:w="551" w:type="dxa"/>
            <w:tcBorders>
              <w:top w:val="single" w:sz="4" w:space="0" w:color="000000"/>
              <w:bottom w:val="single" w:sz="4" w:space="0" w:color="000000"/>
            </w:tcBorders>
          </w:tcPr>
          <w:p>
            <w:pPr>
              <w:pStyle w:val="TableParagraph"/>
              <w:spacing w:before="167"/>
              <w:ind w:left="182"/>
              <w:jc w:val="left"/>
              <w:rPr>
                <w:sz w:val="18"/>
              </w:rPr>
            </w:pPr>
            <w:r>
              <w:rPr>
                <w:spacing w:val="-5"/>
                <w:sz w:val="18"/>
              </w:rPr>
              <w:t>12.</w:t>
            </w:r>
          </w:p>
        </w:tc>
        <w:tc>
          <w:tcPr>
            <w:tcW w:w="2559" w:type="dxa"/>
            <w:tcBorders>
              <w:top w:val="single" w:sz="4" w:space="0" w:color="000000"/>
              <w:bottom w:val="single" w:sz="4" w:space="0" w:color="000000"/>
            </w:tcBorders>
          </w:tcPr>
          <w:p>
            <w:pPr>
              <w:pStyle w:val="TableParagraph"/>
              <w:spacing w:before="62"/>
              <w:ind w:left="140" w:right="179"/>
              <w:jc w:val="left"/>
              <w:rPr>
                <w:sz w:val="18"/>
              </w:rPr>
            </w:pPr>
            <w:r>
              <w:rPr>
                <w:sz w:val="18"/>
              </w:rPr>
              <w:t>Number of languages supported</w:t>
            </w:r>
            <w:r>
              <w:rPr>
                <w:spacing w:val="-12"/>
                <w:sz w:val="18"/>
              </w:rPr>
              <w:t> </w:t>
            </w:r>
            <w:r>
              <w:rPr>
                <w:sz w:val="18"/>
              </w:rPr>
              <w:t>in</w:t>
            </w:r>
            <w:r>
              <w:rPr>
                <w:spacing w:val="-11"/>
                <w:sz w:val="18"/>
              </w:rPr>
              <w:t> </w:t>
            </w:r>
            <w:r>
              <w:rPr>
                <w:sz w:val="18"/>
              </w:rPr>
              <w:t>the</w:t>
            </w:r>
            <w:r>
              <w:rPr>
                <w:spacing w:val="-11"/>
                <w:sz w:val="18"/>
              </w:rPr>
              <w:t> </w:t>
            </w:r>
            <w:r>
              <w:rPr>
                <w:sz w:val="18"/>
              </w:rPr>
              <w:t>courtroom</w:t>
            </w:r>
          </w:p>
        </w:tc>
        <w:tc>
          <w:tcPr>
            <w:tcW w:w="1097" w:type="dxa"/>
            <w:tcBorders>
              <w:top w:val="single" w:sz="4" w:space="0" w:color="000000"/>
              <w:bottom w:val="single" w:sz="4" w:space="0" w:color="000000"/>
            </w:tcBorders>
          </w:tcPr>
          <w:p>
            <w:pPr>
              <w:pStyle w:val="TableParagraph"/>
              <w:spacing w:before="163"/>
              <w:ind w:right="1"/>
              <w:jc w:val="center"/>
              <w:rPr>
                <w:sz w:val="18"/>
              </w:rPr>
            </w:pPr>
            <w:r>
              <w:rPr>
                <w:w w:val="101"/>
                <w:sz w:val="18"/>
              </w:rPr>
              <w:t>6</w:t>
            </w:r>
          </w:p>
        </w:tc>
        <w:tc>
          <w:tcPr>
            <w:tcW w:w="4040" w:type="dxa"/>
            <w:tcBorders>
              <w:top w:val="single" w:sz="4" w:space="0" w:color="000000"/>
              <w:bottom w:val="single" w:sz="4" w:space="0" w:color="000000"/>
            </w:tcBorders>
          </w:tcPr>
          <w:p>
            <w:pPr>
              <w:pStyle w:val="TableParagraph"/>
              <w:spacing w:before="85"/>
              <w:ind w:left="124" w:right="287"/>
              <w:jc w:val="left"/>
              <w:rPr>
                <w:sz w:val="16"/>
              </w:rPr>
            </w:pPr>
            <w:r>
              <w:rPr>
                <w:sz w:val="16"/>
              </w:rPr>
              <w:t>1-English,</w:t>
            </w:r>
            <w:r>
              <w:rPr>
                <w:spacing w:val="-8"/>
                <w:sz w:val="16"/>
              </w:rPr>
              <w:t> </w:t>
            </w:r>
            <w:r>
              <w:rPr>
                <w:sz w:val="16"/>
              </w:rPr>
              <w:t>2-French,</w:t>
            </w:r>
            <w:r>
              <w:rPr>
                <w:spacing w:val="-8"/>
                <w:sz w:val="16"/>
              </w:rPr>
              <w:t> </w:t>
            </w:r>
            <w:r>
              <w:rPr>
                <w:sz w:val="16"/>
              </w:rPr>
              <w:t>3-Standard</w:t>
            </w:r>
            <w:r>
              <w:rPr>
                <w:spacing w:val="-6"/>
                <w:sz w:val="16"/>
              </w:rPr>
              <w:t> </w:t>
            </w:r>
            <w:r>
              <w:rPr>
                <w:sz w:val="16"/>
              </w:rPr>
              <w:t>Arabic,</w:t>
            </w:r>
            <w:r>
              <w:rPr>
                <w:spacing w:val="-8"/>
                <w:sz w:val="16"/>
              </w:rPr>
              <w:t> </w:t>
            </w:r>
            <w:r>
              <w:rPr>
                <w:sz w:val="16"/>
              </w:rPr>
              <w:t>4-Sango,</w:t>
            </w:r>
            <w:r>
              <w:rPr>
                <w:spacing w:val="-8"/>
                <w:sz w:val="16"/>
              </w:rPr>
              <w:t> </w:t>
            </w:r>
            <w:r>
              <w:rPr>
                <w:sz w:val="16"/>
              </w:rPr>
              <w:t>5-Fur,</w:t>
            </w:r>
            <w:r>
              <w:rPr>
                <w:spacing w:val="40"/>
                <w:sz w:val="16"/>
              </w:rPr>
              <w:t> </w:t>
            </w:r>
            <w:r>
              <w:rPr>
                <w:sz w:val="16"/>
              </w:rPr>
              <w:t>6-Sudanese</w:t>
            </w:r>
            <w:r>
              <w:rPr>
                <w:spacing w:val="-3"/>
                <w:sz w:val="16"/>
              </w:rPr>
              <w:t> </w:t>
            </w:r>
            <w:r>
              <w:rPr>
                <w:sz w:val="16"/>
              </w:rPr>
              <w:t>Arabic</w:t>
            </w: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23"/>
        </w:rPr>
      </w:pPr>
      <w:r>
        <w:rPr/>
        <w:pict>
          <v:rect style="position:absolute;margin-left:113.330002pt;margin-top:14.83589pt;width:144.050pt;height:.47998pt;mso-position-horizontal-relative:page;mso-position-vertical-relative:paragraph;z-index:-15675904;mso-wrap-distance-left:0;mso-wrap-distance-right:0" id="docshape387" filled="true" fillcolor="#000000" stroked="false">
            <v:fill type="solid"/>
            <w10:wrap type="topAndBottom"/>
          </v:rect>
        </w:pict>
      </w:r>
    </w:p>
    <w:p>
      <w:pPr>
        <w:spacing w:line="183" w:lineRule="exact" w:before="86"/>
        <w:ind w:left="2246" w:right="0" w:firstLine="0"/>
        <w:jc w:val="left"/>
        <w:rPr>
          <w:sz w:val="16"/>
        </w:rPr>
      </w:pPr>
      <w:r>
        <w:rPr>
          <w:position w:val="5"/>
          <w:sz w:val="10"/>
        </w:rPr>
        <w:t>146</w:t>
      </w:r>
      <w:r>
        <w:rPr>
          <w:spacing w:val="13"/>
          <w:position w:val="5"/>
          <w:sz w:val="10"/>
        </w:rPr>
        <w:t> </w:t>
      </w:r>
      <w:r>
        <w:rPr>
          <w:sz w:val="16"/>
        </w:rPr>
        <w:t>This</w:t>
      </w:r>
      <w:r>
        <w:rPr>
          <w:spacing w:val="-3"/>
          <w:sz w:val="16"/>
        </w:rPr>
        <w:t> </w:t>
      </w:r>
      <w:r>
        <w:rPr>
          <w:sz w:val="16"/>
        </w:rPr>
        <w:t>is</w:t>
      </w:r>
      <w:r>
        <w:rPr>
          <w:spacing w:val="-3"/>
          <w:sz w:val="16"/>
        </w:rPr>
        <w:t> </w:t>
      </w:r>
      <w:r>
        <w:rPr>
          <w:sz w:val="16"/>
        </w:rPr>
        <w:t>a</w:t>
      </w:r>
      <w:r>
        <w:rPr>
          <w:spacing w:val="2"/>
          <w:sz w:val="16"/>
        </w:rPr>
        <w:t> </w:t>
      </w:r>
      <w:r>
        <w:rPr>
          <w:sz w:val="16"/>
        </w:rPr>
        <w:t>preliminary</w:t>
      </w:r>
      <w:r>
        <w:rPr>
          <w:spacing w:val="-1"/>
          <w:sz w:val="16"/>
        </w:rPr>
        <w:t> </w:t>
      </w:r>
      <w:r>
        <w:rPr>
          <w:sz w:val="16"/>
        </w:rPr>
        <w:t>tentative</w:t>
      </w:r>
      <w:r>
        <w:rPr>
          <w:spacing w:val="-2"/>
          <w:sz w:val="16"/>
        </w:rPr>
        <w:t> </w:t>
      </w:r>
      <w:r>
        <w:rPr>
          <w:sz w:val="16"/>
        </w:rPr>
        <w:t>estimate;</w:t>
      </w:r>
      <w:r>
        <w:rPr>
          <w:spacing w:val="-4"/>
          <w:sz w:val="16"/>
        </w:rPr>
        <w:t> </w:t>
      </w:r>
      <w:r>
        <w:rPr>
          <w:sz w:val="16"/>
        </w:rPr>
        <w:t>a</w:t>
      </w:r>
      <w:r>
        <w:rPr>
          <w:spacing w:val="-2"/>
          <w:sz w:val="16"/>
        </w:rPr>
        <w:t> </w:t>
      </w:r>
      <w:r>
        <w:rPr>
          <w:sz w:val="16"/>
        </w:rPr>
        <w:t>more</w:t>
      </w:r>
      <w:r>
        <w:rPr>
          <w:spacing w:val="-3"/>
          <w:sz w:val="16"/>
        </w:rPr>
        <w:t> </w:t>
      </w:r>
      <w:r>
        <w:rPr>
          <w:sz w:val="16"/>
        </w:rPr>
        <w:t>accurate</w:t>
      </w:r>
      <w:r>
        <w:rPr>
          <w:spacing w:val="-2"/>
          <w:sz w:val="16"/>
        </w:rPr>
        <w:t> </w:t>
      </w:r>
      <w:r>
        <w:rPr>
          <w:sz w:val="16"/>
        </w:rPr>
        <w:t>estimate</w:t>
      </w:r>
      <w:r>
        <w:rPr>
          <w:spacing w:val="-2"/>
          <w:sz w:val="16"/>
        </w:rPr>
        <w:t> </w:t>
      </w:r>
      <w:r>
        <w:rPr>
          <w:sz w:val="16"/>
        </w:rPr>
        <w:t>will</w:t>
      </w:r>
      <w:r>
        <w:rPr>
          <w:spacing w:val="-1"/>
          <w:sz w:val="16"/>
        </w:rPr>
        <w:t> </w:t>
      </w:r>
      <w:r>
        <w:rPr>
          <w:sz w:val="16"/>
        </w:rPr>
        <w:t>be</w:t>
      </w:r>
      <w:r>
        <w:rPr>
          <w:spacing w:val="-3"/>
          <w:sz w:val="16"/>
        </w:rPr>
        <w:t> </w:t>
      </w:r>
      <w:r>
        <w:rPr>
          <w:sz w:val="16"/>
        </w:rPr>
        <w:t>provided</w:t>
      </w:r>
      <w:r>
        <w:rPr>
          <w:spacing w:val="1"/>
          <w:sz w:val="16"/>
        </w:rPr>
        <w:t> </w:t>
      </w:r>
      <w:r>
        <w:rPr>
          <w:spacing w:val="-2"/>
          <w:sz w:val="16"/>
        </w:rPr>
        <w:t>shortly.</w:t>
      </w:r>
    </w:p>
    <w:p>
      <w:pPr>
        <w:spacing w:line="244" w:lineRule="auto" w:before="0"/>
        <w:ind w:left="2246" w:right="2195" w:firstLine="0"/>
        <w:jc w:val="left"/>
        <w:rPr>
          <w:sz w:val="16"/>
        </w:rPr>
      </w:pPr>
      <w:r>
        <w:rPr>
          <w:position w:val="5"/>
          <w:sz w:val="10"/>
        </w:rPr>
        <w:t>147</w:t>
      </w:r>
      <w:r>
        <w:rPr>
          <w:spacing w:val="8"/>
          <w:position w:val="5"/>
          <w:sz w:val="10"/>
        </w:rPr>
        <w:t> </w:t>
      </w:r>
      <w:r>
        <w:rPr>
          <w:sz w:val="16"/>
        </w:rPr>
        <w:t>Trial</w:t>
      </w:r>
      <w:r>
        <w:rPr>
          <w:spacing w:val="-10"/>
          <w:sz w:val="16"/>
        </w:rPr>
        <w:t> </w:t>
      </w:r>
      <w:r>
        <w:rPr>
          <w:sz w:val="16"/>
        </w:rPr>
        <w:t>teams</w:t>
      </w:r>
      <w:r>
        <w:rPr>
          <w:spacing w:val="-9"/>
          <w:sz w:val="16"/>
        </w:rPr>
        <w:t> </w:t>
      </w:r>
      <w:r>
        <w:rPr>
          <w:sz w:val="16"/>
        </w:rPr>
        <w:t>are</w:t>
      </w:r>
      <w:r>
        <w:rPr>
          <w:spacing w:val="-8"/>
          <w:sz w:val="16"/>
        </w:rPr>
        <w:t> </w:t>
      </w:r>
      <w:r>
        <w:rPr>
          <w:sz w:val="16"/>
        </w:rPr>
        <w:t>Chambers</w:t>
      </w:r>
      <w:r>
        <w:rPr>
          <w:spacing w:val="-9"/>
          <w:sz w:val="16"/>
        </w:rPr>
        <w:t> </w:t>
      </w:r>
      <w:r>
        <w:rPr>
          <w:sz w:val="16"/>
        </w:rPr>
        <w:t>teams</w:t>
      </w:r>
      <w:r>
        <w:rPr>
          <w:spacing w:val="-9"/>
          <w:sz w:val="16"/>
        </w:rPr>
        <w:t> </w:t>
      </w:r>
      <w:r>
        <w:rPr>
          <w:sz w:val="16"/>
        </w:rPr>
        <w:t>which</w:t>
      </w:r>
      <w:r>
        <w:rPr>
          <w:spacing w:val="-8"/>
          <w:sz w:val="16"/>
        </w:rPr>
        <w:t> </w:t>
      </w:r>
      <w:r>
        <w:rPr>
          <w:sz w:val="16"/>
        </w:rPr>
        <w:t>may</w:t>
      </w:r>
      <w:r>
        <w:rPr>
          <w:spacing w:val="-8"/>
          <w:sz w:val="16"/>
        </w:rPr>
        <w:t> </w:t>
      </w:r>
      <w:r>
        <w:rPr>
          <w:sz w:val="16"/>
        </w:rPr>
        <w:t>be</w:t>
      </w:r>
      <w:r>
        <w:rPr>
          <w:spacing w:val="-8"/>
          <w:sz w:val="16"/>
        </w:rPr>
        <w:t> </w:t>
      </w:r>
      <w:r>
        <w:rPr>
          <w:sz w:val="16"/>
        </w:rPr>
        <w:t>assigned</w:t>
      </w:r>
      <w:r>
        <w:rPr>
          <w:spacing w:val="-8"/>
          <w:sz w:val="16"/>
        </w:rPr>
        <w:t> </w:t>
      </w:r>
      <w:r>
        <w:rPr>
          <w:sz w:val="16"/>
        </w:rPr>
        <w:t>to</w:t>
      </w:r>
      <w:r>
        <w:rPr>
          <w:spacing w:val="-8"/>
          <w:sz w:val="16"/>
        </w:rPr>
        <w:t> </w:t>
      </w:r>
      <w:r>
        <w:rPr>
          <w:sz w:val="16"/>
        </w:rPr>
        <w:t>handle</w:t>
      </w:r>
      <w:r>
        <w:rPr>
          <w:spacing w:val="-8"/>
          <w:sz w:val="16"/>
        </w:rPr>
        <w:t> </w:t>
      </w:r>
      <w:r>
        <w:rPr>
          <w:sz w:val="16"/>
        </w:rPr>
        <w:t>preparations</w:t>
      </w:r>
      <w:r>
        <w:rPr>
          <w:spacing w:val="-9"/>
          <w:sz w:val="16"/>
        </w:rPr>
        <w:t> </w:t>
      </w:r>
      <w:r>
        <w:rPr>
          <w:sz w:val="16"/>
        </w:rPr>
        <w:t>for</w:t>
      </w:r>
      <w:r>
        <w:rPr>
          <w:spacing w:val="-9"/>
          <w:sz w:val="16"/>
        </w:rPr>
        <w:t> </w:t>
      </w:r>
      <w:r>
        <w:rPr>
          <w:sz w:val="16"/>
        </w:rPr>
        <w:t>upcoming</w:t>
      </w:r>
      <w:r>
        <w:rPr>
          <w:spacing w:val="-8"/>
          <w:sz w:val="16"/>
        </w:rPr>
        <w:t> </w:t>
      </w:r>
      <w:r>
        <w:rPr>
          <w:sz w:val="16"/>
        </w:rPr>
        <w:t>trials,</w:t>
      </w:r>
      <w:r>
        <w:rPr>
          <w:spacing w:val="-10"/>
          <w:sz w:val="16"/>
        </w:rPr>
        <w:t> </w:t>
      </w:r>
      <w:r>
        <w:rPr>
          <w:sz w:val="16"/>
        </w:rPr>
        <w:t>trial</w:t>
      </w:r>
      <w:r>
        <w:rPr>
          <w:spacing w:val="-10"/>
          <w:sz w:val="16"/>
        </w:rPr>
        <w:t> </w:t>
      </w:r>
      <w:r>
        <w:rPr>
          <w:sz w:val="16"/>
        </w:rPr>
        <w:t>hearings,</w:t>
      </w:r>
      <w:r>
        <w:rPr>
          <w:spacing w:val="40"/>
          <w:sz w:val="16"/>
        </w:rPr>
        <w:t> </w:t>
      </w:r>
      <w:r>
        <w:rPr>
          <w:sz w:val="16"/>
        </w:rPr>
        <w:t>sentencing hearings and reparations hearings.</w:t>
      </w:r>
    </w:p>
    <w:p>
      <w:pPr>
        <w:spacing w:line="177" w:lineRule="exact" w:before="0"/>
        <w:ind w:left="2246" w:right="0" w:firstLine="0"/>
        <w:jc w:val="left"/>
        <w:rPr>
          <w:i/>
          <w:sz w:val="16"/>
        </w:rPr>
      </w:pPr>
      <w:r>
        <w:rPr>
          <w:position w:val="5"/>
          <w:sz w:val="10"/>
        </w:rPr>
        <w:t>148</w:t>
      </w:r>
      <w:r>
        <w:rPr>
          <w:spacing w:val="33"/>
          <w:position w:val="5"/>
          <w:sz w:val="10"/>
        </w:rPr>
        <w:t> </w:t>
      </w:r>
      <w:r>
        <w:rPr>
          <w:sz w:val="16"/>
        </w:rPr>
        <w:t>This</w:t>
      </w:r>
      <w:r>
        <w:rPr>
          <w:spacing w:val="17"/>
          <w:sz w:val="16"/>
        </w:rPr>
        <w:t> </w:t>
      </w:r>
      <w:r>
        <w:rPr>
          <w:sz w:val="16"/>
        </w:rPr>
        <w:t>team</w:t>
      </w:r>
      <w:r>
        <w:rPr>
          <w:spacing w:val="17"/>
          <w:sz w:val="16"/>
        </w:rPr>
        <w:t> </w:t>
      </w:r>
      <w:r>
        <w:rPr>
          <w:sz w:val="16"/>
        </w:rPr>
        <w:t>covers</w:t>
      </w:r>
      <w:r>
        <w:rPr>
          <w:spacing w:val="17"/>
          <w:sz w:val="16"/>
        </w:rPr>
        <w:t> </w:t>
      </w:r>
      <w:r>
        <w:rPr>
          <w:sz w:val="16"/>
        </w:rPr>
        <w:t>the</w:t>
      </w:r>
      <w:r>
        <w:rPr>
          <w:spacing w:val="18"/>
          <w:sz w:val="16"/>
        </w:rPr>
        <w:t> </w:t>
      </w:r>
      <w:r>
        <w:rPr>
          <w:sz w:val="16"/>
        </w:rPr>
        <w:t>residual</w:t>
      </w:r>
      <w:r>
        <w:rPr>
          <w:spacing w:val="15"/>
          <w:sz w:val="16"/>
        </w:rPr>
        <w:t> </w:t>
      </w:r>
      <w:r>
        <w:rPr>
          <w:sz w:val="16"/>
        </w:rPr>
        <w:t>proceedings</w:t>
      </w:r>
      <w:r>
        <w:rPr>
          <w:spacing w:val="16"/>
          <w:sz w:val="16"/>
        </w:rPr>
        <w:t> </w:t>
      </w:r>
      <w:r>
        <w:rPr>
          <w:sz w:val="16"/>
        </w:rPr>
        <w:t>in</w:t>
      </w:r>
      <w:r>
        <w:rPr>
          <w:spacing w:val="18"/>
          <w:sz w:val="16"/>
        </w:rPr>
        <w:t> </w:t>
      </w:r>
      <w:r>
        <w:rPr>
          <w:sz w:val="16"/>
        </w:rPr>
        <w:t>which</w:t>
      </w:r>
      <w:r>
        <w:rPr>
          <w:spacing w:val="18"/>
          <w:sz w:val="16"/>
        </w:rPr>
        <w:t> </w:t>
      </w:r>
      <w:r>
        <w:rPr>
          <w:sz w:val="16"/>
        </w:rPr>
        <w:t>the</w:t>
      </w:r>
      <w:r>
        <w:rPr>
          <w:spacing w:val="18"/>
          <w:sz w:val="16"/>
        </w:rPr>
        <w:t> </w:t>
      </w:r>
      <w:r>
        <w:rPr>
          <w:sz w:val="16"/>
        </w:rPr>
        <w:t>OPCV</w:t>
      </w:r>
      <w:r>
        <w:rPr>
          <w:spacing w:val="17"/>
          <w:sz w:val="16"/>
        </w:rPr>
        <w:t> </w:t>
      </w:r>
      <w:r>
        <w:rPr>
          <w:sz w:val="16"/>
        </w:rPr>
        <w:t>is</w:t>
      </w:r>
      <w:r>
        <w:rPr>
          <w:spacing w:val="20"/>
          <w:sz w:val="16"/>
        </w:rPr>
        <w:t> </w:t>
      </w:r>
      <w:r>
        <w:rPr>
          <w:sz w:val="16"/>
        </w:rPr>
        <w:t>involved</w:t>
      </w:r>
      <w:r>
        <w:rPr>
          <w:spacing w:val="18"/>
          <w:sz w:val="16"/>
        </w:rPr>
        <w:t> </w:t>
      </w:r>
      <w:r>
        <w:rPr>
          <w:sz w:val="16"/>
        </w:rPr>
        <w:t>(</w:t>
      </w:r>
      <w:r>
        <w:rPr>
          <w:i/>
          <w:sz w:val="16"/>
        </w:rPr>
        <w:t>Gaddafi</w:t>
      </w:r>
      <w:r>
        <w:rPr>
          <w:i/>
          <w:spacing w:val="17"/>
          <w:sz w:val="16"/>
        </w:rPr>
        <w:t> </w:t>
      </w:r>
      <w:r>
        <w:rPr>
          <w:sz w:val="16"/>
        </w:rPr>
        <w:t>admissibility,</w:t>
      </w:r>
      <w:r>
        <w:rPr>
          <w:spacing w:val="16"/>
          <w:sz w:val="16"/>
        </w:rPr>
        <w:t> </w:t>
      </w:r>
      <w:r>
        <w:rPr>
          <w:i/>
          <w:spacing w:val="-2"/>
          <w:sz w:val="16"/>
        </w:rPr>
        <w:t>Comoros</w:t>
      </w:r>
    </w:p>
    <w:p>
      <w:pPr>
        <w:spacing w:line="183" w:lineRule="exact" w:before="0"/>
        <w:ind w:left="2246" w:right="0" w:firstLine="0"/>
        <w:jc w:val="left"/>
        <w:rPr>
          <w:sz w:val="16"/>
        </w:rPr>
      </w:pPr>
      <w:r>
        <w:rPr>
          <w:sz w:val="16"/>
        </w:rPr>
        <w:t>appeal,</w:t>
      </w:r>
      <w:r>
        <w:rPr>
          <w:spacing w:val="-2"/>
          <w:sz w:val="16"/>
        </w:rPr>
        <w:t> etc.).</w:t>
      </w:r>
    </w:p>
    <w:p>
      <w:pPr>
        <w:spacing w:after="0" w:line="183" w:lineRule="exact"/>
        <w:jc w:val="left"/>
        <w:rPr>
          <w:sz w:val="16"/>
        </w:rPr>
        <w:sectPr>
          <w:pgSz w:w="11910" w:h="16840"/>
          <w:pgMar w:header="957" w:footer="940" w:top="1140" w:bottom="1140" w:left="20" w:right="20"/>
        </w:sectPr>
      </w:pPr>
    </w:p>
    <w:p>
      <w:pPr>
        <w:pStyle w:val="BodyText"/>
        <w:spacing w:before="9"/>
        <w:rPr>
          <w:sz w:val="10"/>
        </w:rPr>
      </w:pPr>
    </w:p>
    <w:tbl>
      <w:tblPr>
        <w:tblW w:w="0" w:type="auto"/>
        <w:jc w:val="left"/>
        <w:tblInd w:w="18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6"/>
        <w:gridCol w:w="2558"/>
        <w:gridCol w:w="1097"/>
        <w:gridCol w:w="4039"/>
      </w:tblGrid>
      <w:tr>
        <w:trPr>
          <w:trHeight w:val="422" w:hRule="atLeast"/>
        </w:trPr>
        <w:tc>
          <w:tcPr>
            <w:tcW w:w="536" w:type="dxa"/>
            <w:tcBorders>
              <w:top w:val="single" w:sz="4" w:space="0" w:color="000000"/>
              <w:bottom w:val="single" w:sz="4" w:space="0" w:color="000000"/>
            </w:tcBorders>
          </w:tcPr>
          <w:p>
            <w:pPr>
              <w:pStyle w:val="TableParagraph"/>
              <w:jc w:val="left"/>
              <w:rPr>
                <w:sz w:val="16"/>
              </w:rPr>
            </w:pPr>
          </w:p>
        </w:tc>
        <w:tc>
          <w:tcPr>
            <w:tcW w:w="2558" w:type="dxa"/>
            <w:tcBorders>
              <w:top w:val="single" w:sz="4" w:space="0" w:color="000000"/>
              <w:bottom w:val="single" w:sz="4" w:space="0" w:color="000000"/>
            </w:tcBorders>
          </w:tcPr>
          <w:p>
            <w:pPr>
              <w:pStyle w:val="TableParagraph"/>
              <w:spacing w:before="110"/>
              <w:ind w:left="22"/>
              <w:jc w:val="center"/>
              <w:rPr>
                <w:i/>
                <w:sz w:val="18"/>
              </w:rPr>
            </w:pPr>
            <w:r>
              <w:rPr>
                <w:i/>
                <w:spacing w:val="-2"/>
                <w:sz w:val="18"/>
              </w:rPr>
              <w:t>Parameter</w:t>
            </w:r>
          </w:p>
        </w:tc>
        <w:tc>
          <w:tcPr>
            <w:tcW w:w="1097" w:type="dxa"/>
            <w:tcBorders>
              <w:top w:val="single" w:sz="4" w:space="0" w:color="000000"/>
              <w:bottom w:val="single" w:sz="4" w:space="0" w:color="000000"/>
            </w:tcBorders>
          </w:tcPr>
          <w:p>
            <w:pPr>
              <w:pStyle w:val="TableParagraph"/>
              <w:spacing w:before="110"/>
              <w:ind w:left="81" w:right="79"/>
              <w:jc w:val="center"/>
              <w:rPr>
                <w:i/>
                <w:sz w:val="18"/>
              </w:rPr>
            </w:pPr>
            <w:r>
              <w:rPr>
                <w:i/>
                <w:spacing w:val="-2"/>
                <w:sz w:val="18"/>
              </w:rPr>
              <w:t>Assumption</w:t>
            </w:r>
          </w:p>
        </w:tc>
        <w:tc>
          <w:tcPr>
            <w:tcW w:w="4039" w:type="dxa"/>
            <w:tcBorders>
              <w:top w:val="single" w:sz="4" w:space="0" w:color="000000"/>
              <w:bottom w:val="single" w:sz="4" w:space="0" w:color="000000"/>
            </w:tcBorders>
          </w:tcPr>
          <w:p>
            <w:pPr>
              <w:pStyle w:val="TableParagraph"/>
              <w:spacing w:before="110"/>
              <w:ind w:left="1577" w:right="1564"/>
              <w:jc w:val="center"/>
              <w:rPr>
                <w:i/>
                <w:sz w:val="18"/>
              </w:rPr>
            </w:pPr>
            <w:r>
              <w:rPr>
                <w:i/>
                <w:spacing w:val="-2"/>
                <w:sz w:val="18"/>
              </w:rPr>
              <w:t>Explanation</w:t>
            </w:r>
          </w:p>
        </w:tc>
      </w:tr>
      <w:tr>
        <w:trPr>
          <w:trHeight w:val="1776" w:hRule="atLeast"/>
        </w:trPr>
        <w:tc>
          <w:tcPr>
            <w:tcW w:w="536" w:type="dxa"/>
            <w:tcBorders>
              <w:top w:val="single" w:sz="4" w:space="0" w:color="000000"/>
              <w:bottom w:val="single" w:sz="4" w:space="0" w:color="000000"/>
            </w:tcBorders>
          </w:tcPr>
          <w:p>
            <w:pPr>
              <w:pStyle w:val="TableParagraph"/>
              <w:jc w:val="left"/>
              <w:rPr>
                <w:sz w:val="20"/>
              </w:rPr>
            </w:pPr>
          </w:p>
          <w:p>
            <w:pPr>
              <w:pStyle w:val="TableParagraph"/>
              <w:jc w:val="left"/>
              <w:rPr>
                <w:sz w:val="20"/>
              </w:rPr>
            </w:pPr>
          </w:p>
          <w:p>
            <w:pPr>
              <w:pStyle w:val="TableParagraph"/>
              <w:spacing w:before="5"/>
              <w:jc w:val="left"/>
              <w:rPr>
                <w:sz w:val="28"/>
              </w:rPr>
            </w:pPr>
          </w:p>
          <w:p>
            <w:pPr>
              <w:pStyle w:val="TableParagraph"/>
              <w:ind w:left="157" w:right="129"/>
              <w:jc w:val="center"/>
              <w:rPr>
                <w:sz w:val="18"/>
              </w:rPr>
            </w:pPr>
            <w:r>
              <w:rPr>
                <w:spacing w:val="-5"/>
                <w:sz w:val="18"/>
              </w:rPr>
              <w:t>13.</w:t>
            </w:r>
          </w:p>
        </w:tc>
        <w:tc>
          <w:tcPr>
            <w:tcW w:w="2558" w:type="dxa"/>
            <w:tcBorders>
              <w:top w:val="single" w:sz="4" w:space="0" w:color="000000"/>
              <w:bottom w:val="single" w:sz="4" w:space="0" w:color="000000"/>
            </w:tcBorders>
          </w:tcPr>
          <w:p>
            <w:pPr>
              <w:pStyle w:val="TableParagraph"/>
              <w:jc w:val="left"/>
              <w:rPr>
                <w:sz w:val="20"/>
              </w:rPr>
            </w:pPr>
          </w:p>
          <w:p>
            <w:pPr>
              <w:pStyle w:val="TableParagraph"/>
              <w:jc w:val="left"/>
              <w:rPr>
                <w:sz w:val="20"/>
              </w:rPr>
            </w:pPr>
          </w:p>
          <w:p>
            <w:pPr>
              <w:pStyle w:val="TableParagraph"/>
              <w:spacing w:before="2"/>
              <w:jc w:val="left"/>
              <w:rPr>
                <w:sz w:val="19"/>
              </w:rPr>
            </w:pPr>
          </w:p>
          <w:p>
            <w:pPr>
              <w:pStyle w:val="TableParagraph"/>
              <w:spacing w:before="1"/>
              <w:ind w:left="140" w:right="178"/>
              <w:jc w:val="left"/>
              <w:rPr>
                <w:sz w:val="18"/>
              </w:rPr>
            </w:pPr>
            <w:r>
              <w:rPr>
                <w:sz w:val="18"/>
              </w:rPr>
              <w:t>Number</w:t>
            </w:r>
            <w:r>
              <w:rPr>
                <w:spacing w:val="-12"/>
                <w:sz w:val="18"/>
              </w:rPr>
              <w:t> </w:t>
            </w:r>
            <w:r>
              <w:rPr>
                <w:sz w:val="18"/>
              </w:rPr>
              <w:t>of</w:t>
            </w:r>
            <w:r>
              <w:rPr>
                <w:spacing w:val="-11"/>
                <w:sz w:val="18"/>
              </w:rPr>
              <w:t> </w:t>
            </w:r>
            <w:r>
              <w:rPr>
                <w:sz w:val="18"/>
              </w:rPr>
              <w:t>case-related languages supported</w:t>
            </w:r>
          </w:p>
        </w:tc>
        <w:tc>
          <w:tcPr>
            <w:tcW w:w="1097" w:type="dxa"/>
            <w:tcBorders>
              <w:top w:val="single" w:sz="4" w:space="0" w:color="000000"/>
              <w:bottom w:val="single" w:sz="4" w:space="0" w:color="000000"/>
            </w:tcBorders>
          </w:tcPr>
          <w:p>
            <w:pPr>
              <w:pStyle w:val="TableParagraph"/>
              <w:jc w:val="left"/>
              <w:rPr>
                <w:sz w:val="20"/>
              </w:rPr>
            </w:pPr>
          </w:p>
          <w:p>
            <w:pPr>
              <w:pStyle w:val="TableParagraph"/>
              <w:jc w:val="left"/>
              <w:rPr>
                <w:sz w:val="20"/>
              </w:rPr>
            </w:pPr>
          </w:p>
          <w:p>
            <w:pPr>
              <w:pStyle w:val="TableParagraph"/>
              <w:spacing w:before="5"/>
              <w:jc w:val="left"/>
              <w:rPr>
                <w:sz w:val="28"/>
              </w:rPr>
            </w:pPr>
          </w:p>
          <w:p>
            <w:pPr>
              <w:pStyle w:val="TableParagraph"/>
              <w:ind w:left="81" w:right="77"/>
              <w:jc w:val="center"/>
              <w:rPr>
                <w:sz w:val="18"/>
              </w:rPr>
            </w:pPr>
            <w:r>
              <w:rPr>
                <w:spacing w:val="-5"/>
                <w:sz w:val="18"/>
              </w:rPr>
              <w:t>36</w:t>
            </w:r>
          </w:p>
        </w:tc>
        <w:tc>
          <w:tcPr>
            <w:tcW w:w="4039" w:type="dxa"/>
            <w:tcBorders>
              <w:top w:val="single" w:sz="4" w:space="0" w:color="000000"/>
              <w:bottom w:val="single" w:sz="4" w:space="0" w:color="000000"/>
            </w:tcBorders>
          </w:tcPr>
          <w:p>
            <w:pPr>
              <w:pStyle w:val="TableParagraph"/>
              <w:spacing w:before="61"/>
              <w:ind w:left="125" w:right="376"/>
              <w:jc w:val="left"/>
              <w:rPr>
                <w:sz w:val="16"/>
              </w:rPr>
            </w:pPr>
            <w:r>
              <w:rPr>
                <w:sz w:val="16"/>
              </w:rPr>
              <w:t>1-English, 2-French, 3-Acholi, 4-Arabic, 5-Sudanese</w:t>
            </w:r>
            <w:r>
              <w:rPr>
                <w:spacing w:val="40"/>
                <w:sz w:val="16"/>
              </w:rPr>
              <w:t> </w:t>
            </w:r>
            <w:r>
              <w:rPr>
                <w:sz w:val="16"/>
              </w:rPr>
              <w:t>Arabic, 6-Congo Swahili, 7-Kinyarwanda, 8-Lingala,</w:t>
            </w:r>
            <w:r>
              <w:rPr>
                <w:spacing w:val="40"/>
                <w:sz w:val="16"/>
              </w:rPr>
              <w:t> </w:t>
            </w:r>
            <w:r>
              <w:rPr>
                <w:sz w:val="16"/>
              </w:rPr>
              <w:t>9-Dioula,</w:t>
            </w:r>
            <w:r>
              <w:rPr>
                <w:spacing w:val="-7"/>
                <w:sz w:val="16"/>
              </w:rPr>
              <w:t> </w:t>
            </w:r>
            <w:r>
              <w:rPr>
                <w:sz w:val="16"/>
              </w:rPr>
              <w:t>10-Bambara,</w:t>
            </w:r>
            <w:r>
              <w:rPr>
                <w:spacing w:val="-7"/>
                <w:sz w:val="16"/>
              </w:rPr>
              <w:t> </w:t>
            </w:r>
            <w:r>
              <w:rPr>
                <w:sz w:val="16"/>
              </w:rPr>
              <w:t>11-</w:t>
            </w:r>
            <w:r>
              <w:rPr>
                <w:spacing w:val="-6"/>
                <w:sz w:val="16"/>
              </w:rPr>
              <w:t> </w:t>
            </w:r>
            <w:r>
              <w:rPr>
                <w:sz w:val="16"/>
              </w:rPr>
              <w:t>Mòoré</w:t>
            </w:r>
            <w:r>
              <w:rPr>
                <w:spacing w:val="-4"/>
                <w:sz w:val="16"/>
              </w:rPr>
              <w:t> </w:t>
            </w:r>
            <w:r>
              <w:rPr>
                <w:sz w:val="16"/>
              </w:rPr>
              <w:t>,</w:t>
            </w:r>
            <w:r>
              <w:rPr>
                <w:spacing w:val="-7"/>
                <w:sz w:val="16"/>
              </w:rPr>
              <w:t> </w:t>
            </w:r>
            <w:r>
              <w:rPr>
                <w:sz w:val="16"/>
              </w:rPr>
              <w:t>12-Ateso,</w:t>
            </w:r>
            <w:r>
              <w:rPr>
                <w:spacing w:val="-7"/>
                <w:sz w:val="16"/>
              </w:rPr>
              <w:t> </w:t>
            </w:r>
            <w:r>
              <w:rPr>
                <w:sz w:val="16"/>
              </w:rPr>
              <w:t>13-Alur,</w:t>
            </w:r>
            <w:r>
              <w:rPr>
                <w:spacing w:val="40"/>
                <w:sz w:val="16"/>
              </w:rPr>
              <w:t> </w:t>
            </w:r>
            <w:r>
              <w:rPr>
                <w:sz w:val="16"/>
              </w:rPr>
              <w:t>14-Sango, 15-Zaghawa, 16-Fur, 17-Tamasheq,</w:t>
            </w:r>
          </w:p>
          <w:p>
            <w:pPr>
              <w:pStyle w:val="TableParagraph"/>
              <w:spacing w:line="182" w:lineRule="exact"/>
              <w:ind w:left="125"/>
              <w:jc w:val="left"/>
              <w:rPr>
                <w:sz w:val="16"/>
              </w:rPr>
            </w:pPr>
            <w:r>
              <w:rPr>
                <w:w w:val="95"/>
                <w:sz w:val="16"/>
              </w:rPr>
              <w:t>18-Georgian,</w:t>
            </w:r>
            <w:r>
              <w:rPr>
                <w:spacing w:val="39"/>
                <w:sz w:val="16"/>
              </w:rPr>
              <w:t> </w:t>
            </w:r>
            <w:r>
              <w:rPr>
                <w:w w:val="95"/>
                <w:sz w:val="16"/>
              </w:rPr>
              <w:t>19-Russian,</w:t>
            </w:r>
            <w:r>
              <w:rPr>
                <w:spacing w:val="40"/>
                <w:sz w:val="16"/>
              </w:rPr>
              <w:t> </w:t>
            </w:r>
            <w:r>
              <w:rPr>
                <w:w w:val="95"/>
                <w:sz w:val="16"/>
              </w:rPr>
              <w:t>20-Songhai,</w:t>
            </w:r>
            <w:r>
              <w:rPr>
                <w:spacing w:val="40"/>
                <w:sz w:val="16"/>
              </w:rPr>
              <w:t> </w:t>
            </w:r>
            <w:r>
              <w:rPr>
                <w:w w:val="95"/>
                <w:sz w:val="16"/>
              </w:rPr>
              <w:t>21-</w:t>
            </w:r>
            <w:r>
              <w:rPr>
                <w:spacing w:val="-2"/>
                <w:w w:val="95"/>
                <w:sz w:val="16"/>
              </w:rPr>
              <w:t>Lendu,</w:t>
            </w:r>
          </w:p>
          <w:p>
            <w:pPr>
              <w:pStyle w:val="TableParagraph"/>
              <w:spacing w:line="244" w:lineRule="auto"/>
              <w:ind w:left="125" w:right="304"/>
              <w:jc w:val="left"/>
              <w:rPr>
                <w:sz w:val="16"/>
              </w:rPr>
            </w:pPr>
            <w:r>
              <w:rPr>
                <w:sz w:val="16"/>
              </w:rPr>
              <w:t>22-Guéré,</w:t>
            </w:r>
            <w:r>
              <w:rPr>
                <w:spacing w:val="-9"/>
                <w:sz w:val="16"/>
              </w:rPr>
              <w:t> </w:t>
            </w:r>
            <w:r>
              <w:rPr>
                <w:sz w:val="16"/>
              </w:rPr>
              <w:t>23-Lango,</w:t>
            </w:r>
            <w:r>
              <w:rPr>
                <w:spacing w:val="-9"/>
                <w:sz w:val="16"/>
              </w:rPr>
              <w:t> </w:t>
            </w:r>
            <w:r>
              <w:rPr>
                <w:sz w:val="16"/>
              </w:rPr>
              <w:t>24-Tigrinya,</w:t>
            </w:r>
            <w:r>
              <w:rPr>
                <w:spacing w:val="-9"/>
                <w:sz w:val="16"/>
              </w:rPr>
              <w:t> </w:t>
            </w:r>
            <w:r>
              <w:rPr>
                <w:sz w:val="16"/>
              </w:rPr>
              <w:t>25-Fulfulde,</w:t>
            </w:r>
            <w:r>
              <w:rPr>
                <w:spacing w:val="-9"/>
                <w:sz w:val="16"/>
              </w:rPr>
              <w:t> </w:t>
            </w:r>
            <w:r>
              <w:rPr>
                <w:sz w:val="16"/>
              </w:rPr>
              <w:t>26-Dari,</w:t>
            </w:r>
            <w:r>
              <w:rPr>
                <w:spacing w:val="40"/>
                <w:sz w:val="16"/>
              </w:rPr>
              <w:t> </w:t>
            </w:r>
            <w:r>
              <w:rPr>
                <w:sz w:val="16"/>
              </w:rPr>
              <w:t>27-Pashto, 28-Kirundi, 29-Amharic, 30-Hebrew,</w:t>
            </w:r>
          </w:p>
          <w:p>
            <w:pPr>
              <w:pStyle w:val="TableParagraph"/>
              <w:spacing w:line="237" w:lineRule="auto"/>
              <w:ind w:left="125" w:right="444"/>
              <w:jc w:val="left"/>
              <w:rPr>
                <w:sz w:val="16"/>
              </w:rPr>
            </w:pPr>
            <w:r>
              <w:rPr>
                <w:sz w:val="16"/>
              </w:rPr>
              <w:t>31-Ukrainian,</w:t>
            </w:r>
            <w:r>
              <w:rPr>
                <w:spacing w:val="-10"/>
                <w:sz w:val="16"/>
              </w:rPr>
              <w:t> </w:t>
            </w:r>
            <w:r>
              <w:rPr>
                <w:sz w:val="16"/>
              </w:rPr>
              <w:t>32-Burmese,</w:t>
            </w:r>
            <w:r>
              <w:rPr>
                <w:spacing w:val="-10"/>
                <w:sz w:val="16"/>
              </w:rPr>
              <w:t> </w:t>
            </w:r>
            <w:r>
              <w:rPr>
                <w:sz w:val="16"/>
              </w:rPr>
              <w:t>33-Bengali,</w:t>
            </w:r>
            <w:r>
              <w:rPr>
                <w:spacing w:val="-10"/>
                <w:sz w:val="16"/>
              </w:rPr>
              <w:t> </w:t>
            </w:r>
            <w:r>
              <w:rPr>
                <w:sz w:val="16"/>
              </w:rPr>
              <w:t>34-Rohingya,</w:t>
            </w:r>
            <w:r>
              <w:rPr>
                <w:spacing w:val="40"/>
                <w:sz w:val="16"/>
              </w:rPr>
              <w:t> </w:t>
            </w:r>
            <w:r>
              <w:rPr>
                <w:sz w:val="16"/>
              </w:rPr>
              <w:t>35-Confidential (A), 36-Confidential (B)</w:t>
            </w:r>
          </w:p>
        </w:tc>
      </w:tr>
      <w:tr>
        <w:trPr>
          <w:trHeight w:val="743" w:hRule="atLeast"/>
        </w:trPr>
        <w:tc>
          <w:tcPr>
            <w:tcW w:w="536" w:type="dxa"/>
            <w:tcBorders>
              <w:top w:val="single" w:sz="4" w:space="0" w:color="000000"/>
              <w:bottom w:val="single" w:sz="4" w:space="0" w:color="000000"/>
            </w:tcBorders>
          </w:tcPr>
          <w:p>
            <w:pPr>
              <w:pStyle w:val="TableParagraph"/>
              <w:spacing w:before="4"/>
              <w:jc w:val="left"/>
              <w:rPr>
                <w:sz w:val="23"/>
              </w:rPr>
            </w:pPr>
          </w:p>
          <w:p>
            <w:pPr>
              <w:pStyle w:val="TableParagraph"/>
              <w:ind w:left="157" w:right="129"/>
              <w:jc w:val="center"/>
              <w:rPr>
                <w:sz w:val="18"/>
              </w:rPr>
            </w:pPr>
            <w:r>
              <w:rPr>
                <w:spacing w:val="-5"/>
                <w:sz w:val="18"/>
              </w:rPr>
              <w:t>14.</w:t>
            </w:r>
          </w:p>
        </w:tc>
        <w:tc>
          <w:tcPr>
            <w:tcW w:w="2558" w:type="dxa"/>
            <w:tcBorders>
              <w:top w:val="single" w:sz="4" w:space="0" w:color="000000"/>
              <w:bottom w:val="single" w:sz="4" w:space="0" w:color="000000"/>
            </w:tcBorders>
          </w:tcPr>
          <w:p>
            <w:pPr>
              <w:pStyle w:val="TableParagraph"/>
              <w:spacing w:before="62"/>
              <w:ind w:left="140" w:right="178"/>
              <w:jc w:val="left"/>
              <w:rPr>
                <w:sz w:val="18"/>
              </w:rPr>
            </w:pPr>
            <w:r>
              <w:rPr>
                <w:sz w:val="18"/>
              </w:rPr>
              <w:t>Number of languages supported</w:t>
            </w:r>
            <w:r>
              <w:rPr>
                <w:spacing w:val="-12"/>
                <w:sz w:val="18"/>
              </w:rPr>
              <w:t> </w:t>
            </w:r>
            <w:r>
              <w:rPr>
                <w:sz w:val="18"/>
              </w:rPr>
              <w:t>for</w:t>
            </w:r>
            <w:r>
              <w:rPr>
                <w:spacing w:val="-11"/>
                <w:sz w:val="18"/>
              </w:rPr>
              <w:t> </w:t>
            </w:r>
            <w:r>
              <w:rPr>
                <w:sz w:val="18"/>
              </w:rPr>
              <w:t>correspondence with States Parties</w:t>
            </w:r>
          </w:p>
        </w:tc>
        <w:tc>
          <w:tcPr>
            <w:tcW w:w="1097" w:type="dxa"/>
            <w:tcBorders>
              <w:top w:val="single" w:sz="4" w:space="0" w:color="000000"/>
              <w:bottom w:val="single" w:sz="4" w:space="0" w:color="000000"/>
            </w:tcBorders>
          </w:tcPr>
          <w:p>
            <w:pPr>
              <w:pStyle w:val="TableParagraph"/>
              <w:spacing w:before="4"/>
              <w:jc w:val="left"/>
              <w:rPr>
                <w:sz w:val="23"/>
              </w:rPr>
            </w:pPr>
          </w:p>
          <w:p>
            <w:pPr>
              <w:pStyle w:val="TableParagraph"/>
              <w:jc w:val="center"/>
              <w:rPr>
                <w:sz w:val="18"/>
              </w:rPr>
            </w:pPr>
            <w:r>
              <w:rPr>
                <w:w w:val="101"/>
                <w:sz w:val="18"/>
              </w:rPr>
              <w:t>8</w:t>
            </w:r>
          </w:p>
        </w:tc>
        <w:tc>
          <w:tcPr>
            <w:tcW w:w="4039" w:type="dxa"/>
            <w:tcBorders>
              <w:top w:val="single" w:sz="4" w:space="0" w:color="000000"/>
              <w:bottom w:val="single" w:sz="4" w:space="0" w:color="000000"/>
            </w:tcBorders>
          </w:tcPr>
          <w:p>
            <w:pPr>
              <w:pStyle w:val="TableParagraph"/>
              <w:spacing w:before="2"/>
              <w:jc w:val="left"/>
              <w:rPr>
                <w:sz w:val="16"/>
              </w:rPr>
            </w:pPr>
          </w:p>
          <w:p>
            <w:pPr>
              <w:pStyle w:val="TableParagraph"/>
              <w:ind w:left="125" w:right="616"/>
              <w:jc w:val="left"/>
              <w:rPr>
                <w:sz w:val="16"/>
              </w:rPr>
            </w:pPr>
            <w:r>
              <w:rPr>
                <w:sz w:val="16"/>
              </w:rPr>
              <w:t>1-English,</w:t>
            </w:r>
            <w:r>
              <w:rPr>
                <w:spacing w:val="-9"/>
                <w:sz w:val="16"/>
              </w:rPr>
              <w:t> </w:t>
            </w:r>
            <w:r>
              <w:rPr>
                <w:sz w:val="16"/>
              </w:rPr>
              <w:t>2-French,</w:t>
            </w:r>
            <w:r>
              <w:rPr>
                <w:spacing w:val="-9"/>
                <w:sz w:val="16"/>
              </w:rPr>
              <w:t> </w:t>
            </w:r>
            <w:r>
              <w:rPr>
                <w:sz w:val="16"/>
              </w:rPr>
              <w:t>3-Arabic,</w:t>
            </w:r>
            <w:r>
              <w:rPr>
                <w:spacing w:val="-9"/>
                <w:sz w:val="16"/>
              </w:rPr>
              <w:t> </w:t>
            </w:r>
            <w:r>
              <w:rPr>
                <w:sz w:val="16"/>
              </w:rPr>
              <w:t>4-Spanish,</w:t>
            </w:r>
            <w:r>
              <w:rPr>
                <w:spacing w:val="-9"/>
                <w:sz w:val="16"/>
              </w:rPr>
              <w:t> </w:t>
            </w:r>
            <w:r>
              <w:rPr>
                <w:sz w:val="16"/>
              </w:rPr>
              <w:t>5-Dutch,</w:t>
            </w:r>
            <w:r>
              <w:rPr>
                <w:spacing w:val="40"/>
                <w:sz w:val="16"/>
              </w:rPr>
              <w:t> </w:t>
            </w:r>
            <w:r>
              <w:rPr>
                <w:sz w:val="16"/>
              </w:rPr>
              <w:t>6-Sudanese Arabic, 7-Russian, 8-Ukrainian</w:t>
            </w:r>
          </w:p>
        </w:tc>
      </w:tr>
      <w:tr>
        <w:trPr>
          <w:trHeight w:val="484" w:hRule="atLeast"/>
        </w:trPr>
        <w:tc>
          <w:tcPr>
            <w:tcW w:w="536" w:type="dxa"/>
            <w:tcBorders>
              <w:top w:val="single" w:sz="4" w:space="0" w:color="000000"/>
              <w:bottom w:val="single" w:sz="4" w:space="0" w:color="000000"/>
            </w:tcBorders>
          </w:tcPr>
          <w:p>
            <w:pPr>
              <w:pStyle w:val="TableParagraph"/>
              <w:spacing w:before="139"/>
              <w:ind w:left="157" w:right="129"/>
              <w:jc w:val="center"/>
              <w:rPr>
                <w:sz w:val="18"/>
              </w:rPr>
            </w:pPr>
            <w:r>
              <w:rPr>
                <w:spacing w:val="-5"/>
                <w:sz w:val="18"/>
              </w:rPr>
              <w:t>15.</w:t>
            </w:r>
          </w:p>
        </w:tc>
        <w:tc>
          <w:tcPr>
            <w:tcW w:w="2558" w:type="dxa"/>
            <w:tcBorders>
              <w:top w:val="single" w:sz="4" w:space="0" w:color="000000"/>
              <w:bottom w:val="single" w:sz="4" w:space="0" w:color="000000"/>
            </w:tcBorders>
          </w:tcPr>
          <w:p>
            <w:pPr>
              <w:pStyle w:val="TableParagraph"/>
              <w:spacing w:before="139"/>
              <w:ind w:left="140"/>
              <w:jc w:val="left"/>
              <w:rPr>
                <w:sz w:val="18"/>
              </w:rPr>
            </w:pPr>
            <w:r>
              <w:rPr>
                <w:sz w:val="18"/>
              </w:rPr>
              <w:t>Number</w:t>
            </w:r>
            <w:r>
              <w:rPr>
                <w:spacing w:val="-2"/>
                <w:sz w:val="18"/>
              </w:rPr>
              <w:t> </w:t>
            </w:r>
            <w:r>
              <w:rPr>
                <w:sz w:val="18"/>
              </w:rPr>
              <w:t>of</w:t>
            </w:r>
            <w:r>
              <w:rPr>
                <w:spacing w:val="-2"/>
                <w:sz w:val="18"/>
              </w:rPr>
              <w:t> </w:t>
            </w:r>
            <w:r>
              <w:rPr>
                <w:sz w:val="18"/>
              </w:rPr>
              <w:t>final</w:t>
            </w:r>
            <w:r>
              <w:rPr>
                <w:spacing w:val="-1"/>
                <w:sz w:val="18"/>
              </w:rPr>
              <w:t> </w:t>
            </w:r>
            <w:r>
              <w:rPr>
                <w:spacing w:val="-2"/>
                <w:sz w:val="18"/>
              </w:rPr>
              <w:t>appeals</w:t>
            </w:r>
          </w:p>
        </w:tc>
        <w:tc>
          <w:tcPr>
            <w:tcW w:w="1097" w:type="dxa"/>
            <w:tcBorders>
              <w:top w:val="single" w:sz="4" w:space="0" w:color="000000"/>
              <w:bottom w:val="single" w:sz="4" w:space="0" w:color="000000"/>
            </w:tcBorders>
          </w:tcPr>
          <w:p>
            <w:pPr>
              <w:pStyle w:val="TableParagraph"/>
              <w:spacing w:before="148"/>
              <w:ind w:left="81" w:right="81"/>
              <w:jc w:val="center"/>
              <w:rPr>
                <w:sz w:val="16"/>
              </w:rPr>
            </w:pPr>
            <w:r>
              <w:rPr>
                <w:sz w:val="16"/>
              </w:rPr>
              <w:t>Up</w:t>
            </w:r>
            <w:r>
              <w:rPr>
                <w:spacing w:val="-3"/>
                <w:sz w:val="16"/>
              </w:rPr>
              <w:t> </w:t>
            </w:r>
            <w:r>
              <w:rPr>
                <w:sz w:val="16"/>
              </w:rPr>
              <w:t>to</w:t>
            </w:r>
            <w:r>
              <w:rPr>
                <w:spacing w:val="-3"/>
                <w:sz w:val="16"/>
              </w:rPr>
              <w:t> </w:t>
            </w:r>
            <w:r>
              <w:rPr>
                <w:spacing w:val="-10"/>
                <w:sz w:val="16"/>
              </w:rPr>
              <w:t>3</w:t>
            </w:r>
          </w:p>
        </w:tc>
        <w:tc>
          <w:tcPr>
            <w:tcW w:w="4039" w:type="dxa"/>
            <w:tcBorders>
              <w:top w:val="single" w:sz="4" w:space="0" w:color="000000"/>
              <w:bottom w:val="single" w:sz="4" w:space="0" w:color="000000"/>
            </w:tcBorders>
          </w:tcPr>
          <w:p>
            <w:pPr>
              <w:pStyle w:val="TableParagraph"/>
              <w:spacing w:line="183" w:lineRule="exact" w:before="57"/>
              <w:ind w:left="125"/>
              <w:jc w:val="left"/>
              <w:rPr>
                <w:i/>
                <w:sz w:val="16"/>
              </w:rPr>
            </w:pPr>
            <w:r>
              <w:rPr>
                <w:i/>
                <w:sz w:val="16"/>
              </w:rPr>
              <w:t>Ongwen</w:t>
            </w:r>
            <w:r>
              <w:rPr>
                <w:i/>
                <w:spacing w:val="-3"/>
                <w:sz w:val="16"/>
              </w:rPr>
              <w:t> </w:t>
            </w:r>
            <w:r>
              <w:rPr>
                <w:sz w:val="16"/>
              </w:rPr>
              <w:t>(Reparations</w:t>
            </w:r>
            <w:r>
              <w:rPr>
                <w:spacing w:val="-6"/>
                <w:sz w:val="16"/>
              </w:rPr>
              <w:t> </w:t>
            </w:r>
            <w:r>
              <w:rPr>
                <w:sz w:val="16"/>
              </w:rPr>
              <w:t>order),</w:t>
            </w:r>
            <w:r>
              <w:rPr>
                <w:spacing w:val="-5"/>
                <w:sz w:val="16"/>
              </w:rPr>
              <w:t> </w:t>
            </w:r>
            <w:r>
              <w:rPr>
                <w:i/>
                <w:sz w:val="16"/>
              </w:rPr>
              <w:t>Al</w:t>
            </w:r>
            <w:r>
              <w:rPr>
                <w:i/>
                <w:spacing w:val="-6"/>
                <w:sz w:val="16"/>
              </w:rPr>
              <w:t> </w:t>
            </w:r>
            <w:r>
              <w:rPr>
                <w:i/>
                <w:sz w:val="16"/>
              </w:rPr>
              <w:t>Hassan</w:t>
            </w:r>
            <w:r>
              <w:rPr>
                <w:i/>
                <w:spacing w:val="-3"/>
                <w:sz w:val="16"/>
              </w:rPr>
              <w:t> </w:t>
            </w:r>
            <w:r>
              <w:rPr>
                <w:sz w:val="16"/>
              </w:rPr>
              <w:t>(Art.</w:t>
            </w:r>
            <w:r>
              <w:rPr>
                <w:spacing w:val="-3"/>
                <w:sz w:val="16"/>
              </w:rPr>
              <w:t> </w:t>
            </w:r>
            <w:r>
              <w:rPr>
                <w:sz w:val="16"/>
              </w:rPr>
              <w:t>74),</w:t>
            </w:r>
            <w:r>
              <w:rPr>
                <w:spacing w:val="-6"/>
                <w:sz w:val="16"/>
              </w:rPr>
              <w:t> </w:t>
            </w:r>
            <w:r>
              <w:rPr>
                <w:i/>
                <w:spacing w:val="-2"/>
                <w:sz w:val="16"/>
              </w:rPr>
              <w:t>Gicheru</w:t>
            </w:r>
          </w:p>
          <w:p>
            <w:pPr>
              <w:pStyle w:val="TableParagraph"/>
              <w:spacing w:line="183" w:lineRule="exact"/>
              <w:ind w:left="125"/>
              <w:jc w:val="left"/>
              <w:rPr>
                <w:sz w:val="10"/>
              </w:rPr>
            </w:pPr>
            <w:r>
              <w:rPr>
                <w:spacing w:val="-2"/>
                <w:sz w:val="16"/>
              </w:rPr>
              <w:t>(Art.</w:t>
            </w:r>
            <w:r>
              <w:rPr>
                <w:spacing w:val="-1"/>
                <w:sz w:val="16"/>
              </w:rPr>
              <w:t> </w:t>
            </w:r>
            <w:r>
              <w:rPr>
                <w:spacing w:val="-2"/>
                <w:sz w:val="16"/>
              </w:rPr>
              <w:t>74)</w:t>
            </w:r>
            <w:r>
              <w:rPr>
                <w:spacing w:val="-2"/>
                <w:position w:val="5"/>
                <w:sz w:val="10"/>
              </w:rPr>
              <w:t>149</w:t>
            </w:r>
          </w:p>
        </w:tc>
      </w:tr>
      <w:tr>
        <w:trPr>
          <w:trHeight w:val="474" w:hRule="atLeast"/>
        </w:trPr>
        <w:tc>
          <w:tcPr>
            <w:tcW w:w="536" w:type="dxa"/>
            <w:tcBorders>
              <w:top w:val="single" w:sz="4" w:space="0" w:color="000000"/>
              <w:bottom w:val="single" w:sz="4" w:space="0" w:color="000000"/>
            </w:tcBorders>
          </w:tcPr>
          <w:p>
            <w:pPr>
              <w:pStyle w:val="TableParagraph"/>
              <w:spacing w:before="139"/>
              <w:ind w:left="157" w:right="129"/>
              <w:jc w:val="center"/>
              <w:rPr>
                <w:sz w:val="18"/>
              </w:rPr>
            </w:pPr>
            <w:r>
              <w:rPr>
                <w:spacing w:val="-5"/>
                <w:sz w:val="18"/>
              </w:rPr>
              <w:t>16.</w:t>
            </w:r>
          </w:p>
        </w:tc>
        <w:tc>
          <w:tcPr>
            <w:tcW w:w="2558" w:type="dxa"/>
            <w:tcBorders>
              <w:top w:val="single" w:sz="4" w:space="0" w:color="000000"/>
              <w:bottom w:val="single" w:sz="4" w:space="0" w:color="000000"/>
            </w:tcBorders>
          </w:tcPr>
          <w:p>
            <w:pPr>
              <w:pStyle w:val="TableParagraph"/>
              <w:ind w:left="140"/>
              <w:jc w:val="left"/>
              <w:rPr>
                <w:sz w:val="18"/>
              </w:rPr>
            </w:pPr>
            <w:r>
              <w:rPr>
                <w:sz w:val="18"/>
              </w:rPr>
              <w:t>Number</w:t>
            </w:r>
            <w:r>
              <w:rPr>
                <w:spacing w:val="-12"/>
                <w:sz w:val="18"/>
              </w:rPr>
              <w:t> </w:t>
            </w:r>
            <w:r>
              <w:rPr>
                <w:sz w:val="18"/>
              </w:rPr>
              <w:t>of</w:t>
            </w:r>
            <w:r>
              <w:rPr>
                <w:spacing w:val="-11"/>
                <w:sz w:val="18"/>
              </w:rPr>
              <w:t> </w:t>
            </w:r>
            <w:r>
              <w:rPr>
                <w:sz w:val="18"/>
              </w:rPr>
              <w:t>witnesses</w:t>
            </w:r>
            <w:r>
              <w:rPr>
                <w:spacing w:val="-11"/>
                <w:sz w:val="18"/>
              </w:rPr>
              <w:t> </w:t>
            </w:r>
            <w:r>
              <w:rPr>
                <w:sz w:val="18"/>
              </w:rPr>
              <w:t>appearing for testimony</w:t>
            </w:r>
          </w:p>
        </w:tc>
        <w:tc>
          <w:tcPr>
            <w:tcW w:w="1097" w:type="dxa"/>
            <w:tcBorders>
              <w:top w:val="single" w:sz="4" w:space="0" w:color="000000"/>
              <w:bottom w:val="single" w:sz="4" w:space="0" w:color="000000"/>
            </w:tcBorders>
          </w:tcPr>
          <w:p>
            <w:pPr>
              <w:pStyle w:val="TableParagraph"/>
              <w:spacing w:before="134"/>
              <w:ind w:left="81" w:right="72"/>
              <w:jc w:val="center"/>
              <w:rPr>
                <w:i/>
                <w:sz w:val="18"/>
              </w:rPr>
            </w:pPr>
            <w:r>
              <w:rPr>
                <w:i/>
                <w:spacing w:val="-5"/>
                <w:sz w:val="18"/>
              </w:rPr>
              <w:t>130</w:t>
            </w:r>
          </w:p>
        </w:tc>
        <w:tc>
          <w:tcPr>
            <w:tcW w:w="4039" w:type="dxa"/>
            <w:tcBorders>
              <w:top w:val="single" w:sz="4" w:space="0" w:color="000000"/>
              <w:bottom w:val="single" w:sz="4" w:space="0" w:color="000000"/>
            </w:tcBorders>
          </w:tcPr>
          <w:p>
            <w:pPr>
              <w:pStyle w:val="TableParagraph"/>
              <w:spacing w:before="52"/>
              <w:ind w:left="125"/>
              <w:jc w:val="left"/>
              <w:rPr>
                <w:sz w:val="16"/>
              </w:rPr>
            </w:pPr>
            <w:r>
              <w:rPr>
                <w:i/>
                <w:sz w:val="16"/>
              </w:rPr>
              <w:t>Yekatom</w:t>
            </w:r>
            <w:r>
              <w:rPr>
                <w:i/>
                <w:spacing w:val="-6"/>
                <w:sz w:val="16"/>
              </w:rPr>
              <w:t> </w:t>
            </w:r>
            <w:r>
              <w:rPr>
                <w:i/>
                <w:sz w:val="16"/>
              </w:rPr>
              <w:t>and</w:t>
            </w:r>
            <w:r>
              <w:rPr>
                <w:i/>
                <w:spacing w:val="-3"/>
                <w:sz w:val="16"/>
              </w:rPr>
              <w:t> </w:t>
            </w:r>
            <w:r>
              <w:rPr>
                <w:i/>
                <w:sz w:val="16"/>
              </w:rPr>
              <w:t>Ngaïssona </w:t>
            </w:r>
            <w:r>
              <w:rPr>
                <w:sz w:val="16"/>
              </w:rPr>
              <w:t>(45),</w:t>
            </w:r>
            <w:r>
              <w:rPr>
                <w:spacing w:val="-6"/>
                <w:sz w:val="16"/>
              </w:rPr>
              <w:t> </w:t>
            </w:r>
            <w:r>
              <w:rPr>
                <w:i/>
                <w:sz w:val="16"/>
              </w:rPr>
              <w:t>Abd-Al-Rahman</w:t>
            </w:r>
            <w:r>
              <w:rPr>
                <w:i/>
                <w:spacing w:val="-2"/>
                <w:sz w:val="16"/>
              </w:rPr>
              <w:t> </w:t>
            </w:r>
            <w:r>
              <w:rPr>
                <w:spacing w:val="-4"/>
                <w:sz w:val="16"/>
              </w:rPr>
              <w:t>(43),</w:t>
            </w:r>
          </w:p>
          <w:p>
            <w:pPr>
              <w:pStyle w:val="TableParagraph"/>
              <w:spacing w:before="3"/>
              <w:ind w:left="125"/>
              <w:jc w:val="left"/>
              <w:rPr>
                <w:sz w:val="16"/>
              </w:rPr>
            </w:pPr>
            <w:r>
              <w:rPr>
                <w:i/>
                <w:sz w:val="16"/>
              </w:rPr>
              <w:t>Said</w:t>
            </w:r>
            <w:r>
              <w:rPr>
                <w:i/>
                <w:spacing w:val="1"/>
                <w:sz w:val="16"/>
              </w:rPr>
              <w:t> </w:t>
            </w:r>
            <w:r>
              <w:rPr>
                <w:spacing w:val="-4"/>
                <w:sz w:val="16"/>
              </w:rPr>
              <w:t>(42)</w:t>
            </w:r>
          </w:p>
        </w:tc>
      </w:tr>
      <w:tr>
        <w:trPr>
          <w:trHeight w:val="613" w:hRule="atLeast"/>
        </w:trPr>
        <w:tc>
          <w:tcPr>
            <w:tcW w:w="536" w:type="dxa"/>
            <w:tcBorders>
              <w:top w:val="single" w:sz="4" w:space="0" w:color="000000"/>
              <w:bottom w:val="single" w:sz="4" w:space="0" w:color="000000"/>
            </w:tcBorders>
          </w:tcPr>
          <w:p>
            <w:pPr>
              <w:pStyle w:val="TableParagraph"/>
              <w:spacing w:before="10"/>
              <w:jc w:val="left"/>
              <w:rPr>
                <w:sz w:val="17"/>
              </w:rPr>
            </w:pPr>
          </w:p>
          <w:p>
            <w:pPr>
              <w:pStyle w:val="TableParagraph"/>
              <w:ind w:left="157" w:right="129"/>
              <w:jc w:val="center"/>
              <w:rPr>
                <w:sz w:val="18"/>
              </w:rPr>
            </w:pPr>
            <w:r>
              <w:rPr>
                <w:spacing w:val="-5"/>
                <w:sz w:val="18"/>
              </w:rPr>
              <w:t>17.</w:t>
            </w:r>
          </w:p>
        </w:tc>
        <w:tc>
          <w:tcPr>
            <w:tcW w:w="2558" w:type="dxa"/>
            <w:tcBorders>
              <w:top w:val="single" w:sz="4" w:space="0" w:color="000000"/>
              <w:bottom w:val="single" w:sz="4" w:space="0" w:color="000000"/>
            </w:tcBorders>
          </w:tcPr>
          <w:p>
            <w:pPr>
              <w:pStyle w:val="TableParagraph"/>
              <w:spacing w:before="100"/>
              <w:ind w:left="140"/>
              <w:jc w:val="left"/>
              <w:rPr>
                <w:sz w:val="18"/>
              </w:rPr>
            </w:pPr>
            <w:r>
              <w:rPr>
                <w:sz w:val="18"/>
              </w:rPr>
              <w:t>Expected</w:t>
            </w:r>
            <w:r>
              <w:rPr>
                <w:spacing w:val="-12"/>
                <w:sz w:val="18"/>
              </w:rPr>
              <w:t> </w:t>
            </w:r>
            <w:r>
              <w:rPr>
                <w:sz w:val="18"/>
              </w:rPr>
              <w:t>maximum</w:t>
            </w:r>
            <w:r>
              <w:rPr>
                <w:spacing w:val="-11"/>
                <w:sz w:val="18"/>
              </w:rPr>
              <w:t> </w:t>
            </w:r>
            <w:r>
              <w:rPr>
                <w:sz w:val="18"/>
              </w:rPr>
              <w:t>duration</w:t>
            </w:r>
            <w:r>
              <w:rPr>
                <w:spacing w:val="-11"/>
                <w:sz w:val="18"/>
              </w:rPr>
              <w:t> </w:t>
            </w:r>
            <w:r>
              <w:rPr>
                <w:sz w:val="18"/>
              </w:rPr>
              <w:t>of stay per witness</w:t>
            </w:r>
          </w:p>
        </w:tc>
        <w:tc>
          <w:tcPr>
            <w:tcW w:w="1097" w:type="dxa"/>
            <w:tcBorders>
              <w:top w:val="single" w:sz="4" w:space="0" w:color="000000"/>
              <w:bottom w:val="single" w:sz="4" w:space="0" w:color="000000"/>
            </w:tcBorders>
          </w:tcPr>
          <w:p>
            <w:pPr>
              <w:pStyle w:val="TableParagraph"/>
              <w:spacing w:before="8"/>
              <w:jc w:val="left"/>
              <w:rPr>
                <w:sz w:val="18"/>
              </w:rPr>
            </w:pPr>
          </w:p>
          <w:p>
            <w:pPr>
              <w:pStyle w:val="TableParagraph"/>
              <w:ind w:left="81" w:right="77"/>
              <w:jc w:val="center"/>
              <w:rPr>
                <w:sz w:val="16"/>
              </w:rPr>
            </w:pPr>
            <w:r>
              <w:rPr>
                <w:spacing w:val="-5"/>
                <w:sz w:val="16"/>
              </w:rPr>
              <w:t>10</w:t>
            </w:r>
          </w:p>
        </w:tc>
        <w:tc>
          <w:tcPr>
            <w:tcW w:w="4039" w:type="dxa"/>
            <w:tcBorders>
              <w:top w:val="single" w:sz="4" w:space="0" w:color="000000"/>
              <w:bottom w:val="single" w:sz="4" w:space="0" w:color="000000"/>
            </w:tcBorders>
          </w:tcPr>
          <w:p>
            <w:pPr>
              <w:pStyle w:val="TableParagraph"/>
              <w:ind w:left="125" w:right="376"/>
              <w:jc w:val="left"/>
              <w:rPr>
                <w:sz w:val="16"/>
              </w:rPr>
            </w:pPr>
            <w:r>
              <w:rPr>
                <w:sz w:val="16"/>
              </w:rPr>
              <w:t>3 days of preparation + 2 days of familiarization + 2</w:t>
            </w:r>
            <w:r>
              <w:rPr>
                <w:spacing w:val="40"/>
                <w:sz w:val="16"/>
              </w:rPr>
              <w:t> </w:t>
            </w:r>
            <w:r>
              <w:rPr>
                <w:sz w:val="16"/>
              </w:rPr>
              <w:t>hearing</w:t>
            </w:r>
            <w:r>
              <w:rPr>
                <w:spacing w:val="-4"/>
                <w:sz w:val="16"/>
              </w:rPr>
              <w:t> </w:t>
            </w:r>
            <w:r>
              <w:rPr>
                <w:sz w:val="16"/>
              </w:rPr>
              <w:t>days</w:t>
            </w:r>
            <w:r>
              <w:rPr>
                <w:spacing w:val="-6"/>
                <w:sz w:val="16"/>
              </w:rPr>
              <w:t> </w:t>
            </w:r>
            <w:r>
              <w:rPr>
                <w:sz w:val="16"/>
              </w:rPr>
              <w:t>+</w:t>
            </w:r>
            <w:r>
              <w:rPr>
                <w:spacing w:val="-4"/>
                <w:sz w:val="16"/>
              </w:rPr>
              <w:t> </w:t>
            </w:r>
            <w:r>
              <w:rPr>
                <w:sz w:val="16"/>
              </w:rPr>
              <w:t>3</w:t>
            </w:r>
            <w:r>
              <w:rPr>
                <w:spacing w:val="-4"/>
                <w:sz w:val="16"/>
              </w:rPr>
              <w:t> </w:t>
            </w:r>
            <w:r>
              <w:rPr>
                <w:sz w:val="16"/>
              </w:rPr>
              <w:t>days</w:t>
            </w:r>
            <w:r>
              <w:rPr>
                <w:spacing w:val="-6"/>
                <w:sz w:val="16"/>
              </w:rPr>
              <w:t> </w:t>
            </w:r>
            <w:r>
              <w:rPr>
                <w:sz w:val="16"/>
              </w:rPr>
              <w:t>for</w:t>
            </w:r>
            <w:r>
              <w:rPr>
                <w:spacing w:val="-6"/>
                <w:sz w:val="16"/>
              </w:rPr>
              <w:t> </w:t>
            </w:r>
            <w:r>
              <w:rPr>
                <w:sz w:val="16"/>
              </w:rPr>
              <w:t>weekends</w:t>
            </w:r>
            <w:r>
              <w:rPr>
                <w:spacing w:val="-6"/>
                <w:sz w:val="16"/>
              </w:rPr>
              <w:t> </w:t>
            </w:r>
            <w:r>
              <w:rPr>
                <w:sz w:val="16"/>
              </w:rPr>
              <w:t>and/or</w:t>
            </w:r>
            <w:r>
              <w:rPr>
                <w:spacing w:val="-6"/>
                <w:sz w:val="16"/>
              </w:rPr>
              <w:t> </w:t>
            </w:r>
            <w:r>
              <w:rPr>
                <w:sz w:val="16"/>
              </w:rPr>
              <w:t>breaks</w:t>
            </w:r>
            <w:r>
              <w:rPr>
                <w:spacing w:val="-6"/>
                <w:sz w:val="16"/>
              </w:rPr>
              <w:t> </w:t>
            </w:r>
            <w:r>
              <w:rPr>
                <w:sz w:val="16"/>
              </w:rPr>
              <w:t>=</w:t>
            </w:r>
            <w:r>
              <w:rPr>
                <w:spacing w:val="-4"/>
                <w:sz w:val="16"/>
              </w:rPr>
              <w:t> </w:t>
            </w:r>
            <w:r>
              <w:rPr>
                <w:sz w:val="16"/>
              </w:rPr>
              <w:t>10</w:t>
            </w:r>
            <w:r>
              <w:rPr>
                <w:spacing w:val="40"/>
                <w:sz w:val="16"/>
              </w:rPr>
              <w:t> </w:t>
            </w:r>
            <w:r>
              <w:rPr>
                <w:sz w:val="16"/>
              </w:rPr>
              <w:t>days on average per witness</w:t>
            </w:r>
          </w:p>
        </w:tc>
      </w:tr>
      <w:tr>
        <w:trPr>
          <w:trHeight w:val="532" w:hRule="atLeast"/>
        </w:trPr>
        <w:tc>
          <w:tcPr>
            <w:tcW w:w="536" w:type="dxa"/>
            <w:tcBorders>
              <w:top w:val="single" w:sz="4" w:space="0" w:color="000000"/>
              <w:bottom w:val="single" w:sz="4" w:space="0" w:color="000000"/>
            </w:tcBorders>
          </w:tcPr>
          <w:p>
            <w:pPr>
              <w:pStyle w:val="TableParagraph"/>
              <w:spacing w:before="163"/>
              <w:ind w:left="157" w:right="129"/>
              <w:jc w:val="center"/>
              <w:rPr>
                <w:sz w:val="18"/>
              </w:rPr>
            </w:pPr>
            <w:r>
              <w:rPr>
                <w:spacing w:val="-5"/>
                <w:sz w:val="18"/>
              </w:rPr>
              <w:t>18.</w:t>
            </w:r>
          </w:p>
        </w:tc>
        <w:tc>
          <w:tcPr>
            <w:tcW w:w="2558" w:type="dxa"/>
            <w:tcBorders>
              <w:top w:val="single" w:sz="4" w:space="0" w:color="000000"/>
              <w:bottom w:val="single" w:sz="4" w:space="0" w:color="000000"/>
            </w:tcBorders>
          </w:tcPr>
          <w:p>
            <w:pPr>
              <w:pStyle w:val="TableParagraph"/>
              <w:spacing w:before="57"/>
              <w:ind w:left="140"/>
              <w:jc w:val="left"/>
              <w:rPr>
                <w:sz w:val="18"/>
              </w:rPr>
            </w:pPr>
            <w:r>
              <w:rPr>
                <w:sz w:val="18"/>
              </w:rPr>
              <w:t>Number</w:t>
            </w:r>
            <w:r>
              <w:rPr>
                <w:spacing w:val="-10"/>
                <w:sz w:val="18"/>
              </w:rPr>
              <w:t> </w:t>
            </w:r>
            <w:r>
              <w:rPr>
                <w:sz w:val="18"/>
              </w:rPr>
              <w:t>of</w:t>
            </w:r>
            <w:r>
              <w:rPr>
                <w:spacing w:val="-6"/>
                <w:sz w:val="18"/>
              </w:rPr>
              <w:t> </w:t>
            </w:r>
            <w:r>
              <w:rPr>
                <w:sz w:val="18"/>
              </w:rPr>
              <w:t>victims</w:t>
            </w:r>
            <w:r>
              <w:rPr>
                <w:spacing w:val="-10"/>
                <w:sz w:val="18"/>
              </w:rPr>
              <w:t> </w:t>
            </w:r>
            <w:r>
              <w:rPr>
                <w:sz w:val="18"/>
              </w:rPr>
              <w:t>applying</w:t>
            </w:r>
            <w:r>
              <w:rPr>
                <w:spacing w:val="-11"/>
                <w:sz w:val="18"/>
              </w:rPr>
              <w:t> </w:t>
            </w:r>
            <w:r>
              <w:rPr>
                <w:sz w:val="18"/>
              </w:rPr>
              <w:t>for </w:t>
            </w:r>
            <w:r>
              <w:rPr>
                <w:spacing w:val="-2"/>
                <w:sz w:val="18"/>
              </w:rPr>
              <w:t>participation/reparations</w:t>
            </w:r>
          </w:p>
        </w:tc>
        <w:tc>
          <w:tcPr>
            <w:tcW w:w="1097" w:type="dxa"/>
            <w:tcBorders>
              <w:top w:val="single" w:sz="4" w:space="0" w:color="000000"/>
              <w:bottom w:val="single" w:sz="4" w:space="0" w:color="000000"/>
            </w:tcBorders>
          </w:tcPr>
          <w:p>
            <w:pPr>
              <w:pStyle w:val="TableParagraph"/>
              <w:spacing w:before="163"/>
              <w:ind w:left="81" w:right="81"/>
              <w:jc w:val="center"/>
              <w:rPr>
                <w:sz w:val="18"/>
              </w:rPr>
            </w:pPr>
            <w:r>
              <w:rPr>
                <w:spacing w:val="-2"/>
                <w:sz w:val="18"/>
              </w:rPr>
              <w:t>8,500</w:t>
            </w:r>
            <w:r>
              <w:rPr>
                <w:spacing w:val="-2"/>
                <w:sz w:val="18"/>
                <w:vertAlign w:val="superscript"/>
              </w:rPr>
              <w:t>150</w:t>
            </w:r>
          </w:p>
        </w:tc>
        <w:tc>
          <w:tcPr>
            <w:tcW w:w="4039" w:type="dxa"/>
            <w:tcBorders>
              <w:top w:val="single" w:sz="4" w:space="0" w:color="000000"/>
              <w:bottom w:val="single" w:sz="4" w:space="0" w:color="000000"/>
            </w:tcBorders>
          </w:tcPr>
          <w:p>
            <w:pPr>
              <w:pStyle w:val="TableParagraph"/>
              <w:spacing w:line="183" w:lineRule="exact" w:before="81"/>
              <w:ind w:left="125"/>
              <w:jc w:val="left"/>
              <w:rPr>
                <w:sz w:val="16"/>
              </w:rPr>
            </w:pPr>
            <w:r>
              <w:rPr>
                <w:sz w:val="16"/>
              </w:rPr>
              <w:t>CAR</w:t>
            </w:r>
            <w:r>
              <w:rPr>
                <w:spacing w:val="-7"/>
                <w:sz w:val="16"/>
              </w:rPr>
              <w:t> </w:t>
            </w:r>
            <w:r>
              <w:rPr>
                <w:sz w:val="16"/>
              </w:rPr>
              <w:t>II</w:t>
            </w:r>
            <w:r>
              <w:rPr>
                <w:spacing w:val="-6"/>
                <w:sz w:val="16"/>
              </w:rPr>
              <w:t> </w:t>
            </w:r>
            <w:r>
              <w:rPr>
                <w:sz w:val="16"/>
              </w:rPr>
              <w:t>(1,500),</w:t>
            </w:r>
            <w:r>
              <w:rPr>
                <w:spacing w:val="-4"/>
                <w:sz w:val="16"/>
              </w:rPr>
              <w:t> </w:t>
            </w:r>
            <w:r>
              <w:rPr>
                <w:sz w:val="16"/>
              </w:rPr>
              <w:t>Mali</w:t>
            </w:r>
            <w:r>
              <w:rPr>
                <w:spacing w:val="-3"/>
                <w:sz w:val="16"/>
              </w:rPr>
              <w:t> </w:t>
            </w:r>
            <w:r>
              <w:rPr>
                <w:sz w:val="16"/>
              </w:rPr>
              <w:t>(1,000),</w:t>
            </w:r>
            <w:r>
              <w:rPr>
                <w:spacing w:val="-8"/>
                <w:sz w:val="16"/>
              </w:rPr>
              <w:t> </w:t>
            </w:r>
            <w:r>
              <w:rPr>
                <w:sz w:val="16"/>
              </w:rPr>
              <w:t>DRC</w:t>
            </w:r>
            <w:r>
              <w:rPr>
                <w:spacing w:val="-6"/>
                <w:sz w:val="16"/>
              </w:rPr>
              <w:t> </w:t>
            </w:r>
            <w:r>
              <w:rPr>
                <w:sz w:val="16"/>
              </w:rPr>
              <w:t>(1,500),</w:t>
            </w:r>
            <w:r>
              <w:rPr>
                <w:spacing w:val="-8"/>
                <w:sz w:val="16"/>
              </w:rPr>
              <w:t> </w:t>
            </w:r>
            <w:r>
              <w:rPr>
                <w:sz w:val="16"/>
              </w:rPr>
              <w:t>UGA</w:t>
            </w:r>
            <w:r>
              <w:rPr>
                <w:spacing w:val="4"/>
                <w:sz w:val="16"/>
              </w:rPr>
              <w:t> </w:t>
            </w:r>
            <w:r>
              <w:rPr>
                <w:spacing w:val="-2"/>
                <w:sz w:val="16"/>
              </w:rPr>
              <w:t>(2,500),</w:t>
            </w:r>
          </w:p>
          <w:p>
            <w:pPr>
              <w:pStyle w:val="TableParagraph"/>
              <w:spacing w:line="183" w:lineRule="exact"/>
              <w:ind w:left="125"/>
              <w:jc w:val="left"/>
              <w:rPr>
                <w:sz w:val="16"/>
              </w:rPr>
            </w:pPr>
            <w:r>
              <w:rPr>
                <w:sz w:val="16"/>
              </w:rPr>
              <w:t>Darfur</w:t>
            </w:r>
            <w:r>
              <w:rPr>
                <w:spacing w:val="-5"/>
                <w:sz w:val="16"/>
              </w:rPr>
              <w:t> </w:t>
            </w:r>
            <w:r>
              <w:rPr>
                <w:spacing w:val="-2"/>
                <w:sz w:val="16"/>
              </w:rPr>
              <w:t>(2,000)</w:t>
            </w:r>
          </w:p>
        </w:tc>
      </w:tr>
      <w:tr>
        <w:trPr>
          <w:trHeight w:val="671" w:hRule="atLeast"/>
        </w:trPr>
        <w:tc>
          <w:tcPr>
            <w:tcW w:w="536" w:type="dxa"/>
            <w:tcBorders>
              <w:top w:val="single" w:sz="4" w:space="0" w:color="000000"/>
              <w:bottom w:val="single" w:sz="4" w:space="0" w:color="000000"/>
            </w:tcBorders>
          </w:tcPr>
          <w:p>
            <w:pPr>
              <w:pStyle w:val="TableParagraph"/>
              <w:spacing w:before="4"/>
              <w:jc w:val="left"/>
              <w:rPr>
                <w:sz w:val="20"/>
              </w:rPr>
            </w:pPr>
          </w:p>
          <w:p>
            <w:pPr>
              <w:pStyle w:val="TableParagraph"/>
              <w:spacing w:before="1"/>
              <w:ind w:left="157" w:right="129"/>
              <w:jc w:val="center"/>
              <w:rPr>
                <w:sz w:val="18"/>
              </w:rPr>
            </w:pPr>
            <w:r>
              <w:rPr>
                <w:spacing w:val="-5"/>
                <w:sz w:val="18"/>
              </w:rPr>
              <w:t>19.</w:t>
            </w:r>
          </w:p>
        </w:tc>
        <w:tc>
          <w:tcPr>
            <w:tcW w:w="2558" w:type="dxa"/>
            <w:tcBorders>
              <w:top w:val="single" w:sz="4" w:space="0" w:color="000000"/>
              <w:bottom w:val="single" w:sz="4" w:space="0" w:color="000000"/>
            </w:tcBorders>
          </w:tcPr>
          <w:p>
            <w:pPr>
              <w:pStyle w:val="TableParagraph"/>
              <w:spacing w:before="129"/>
              <w:ind w:left="140" w:right="178"/>
              <w:jc w:val="left"/>
              <w:rPr>
                <w:sz w:val="18"/>
              </w:rPr>
            </w:pPr>
            <w:r>
              <w:rPr>
                <w:sz w:val="18"/>
              </w:rPr>
              <w:t>Number</w:t>
            </w:r>
            <w:r>
              <w:rPr>
                <w:spacing w:val="-12"/>
                <w:sz w:val="18"/>
              </w:rPr>
              <w:t> </w:t>
            </w:r>
            <w:r>
              <w:rPr>
                <w:sz w:val="18"/>
              </w:rPr>
              <w:t>of</w:t>
            </w:r>
            <w:r>
              <w:rPr>
                <w:spacing w:val="-11"/>
                <w:sz w:val="18"/>
              </w:rPr>
              <w:t> </w:t>
            </w:r>
            <w:r>
              <w:rPr>
                <w:sz w:val="18"/>
              </w:rPr>
              <w:t>witnesses</w:t>
            </w:r>
            <w:r>
              <w:rPr>
                <w:spacing w:val="-11"/>
                <w:sz w:val="18"/>
              </w:rPr>
              <w:t> </w:t>
            </w:r>
            <w:r>
              <w:rPr>
                <w:sz w:val="18"/>
              </w:rPr>
              <w:t>and victims under protection</w:t>
            </w:r>
          </w:p>
        </w:tc>
        <w:tc>
          <w:tcPr>
            <w:tcW w:w="1097" w:type="dxa"/>
            <w:tcBorders>
              <w:top w:val="single" w:sz="4" w:space="0" w:color="000000"/>
              <w:bottom w:val="single" w:sz="4" w:space="0" w:color="000000"/>
            </w:tcBorders>
          </w:tcPr>
          <w:p>
            <w:pPr>
              <w:pStyle w:val="TableParagraph"/>
              <w:spacing w:before="4"/>
              <w:jc w:val="left"/>
              <w:rPr>
                <w:sz w:val="20"/>
              </w:rPr>
            </w:pPr>
          </w:p>
          <w:p>
            <w:pPr>
              <w:pStyle w:val="TableParagraph"/>
              <w:spacing w:before="1"/>
              <w:ind w:left="81" w:right="72"/>
              <w:jc w:val="center"/>
              <w:rPr>
                <w:sz w:val="18"/>
              </w:rPr>
            </w:pPr>
            <w:r>
              <w:rPr>
                <w:spacing w:val="-5"/>
                <w:sz w:val="18"/>
              </w:rPr>
              <w:t>130</w:t>
            </w:r>
          </w:p>
        </w:tc>
        <w:tc>
          <w:tcPr>
            <w:tcW w:w="4039" w:type="dxa"/>
            <w:tcBorders>
              <w:top w:val="single" w:sz="4" w:space="0" w:color="000000"/>
              <w:bottom w:val="single" w:sz="4" w:space="0" w:color="000000"/>
            </w:tcBorders>
          </w:tcPr>
          <w:p>
            <w:pPr>
              <w:pStyle w:val="TableParagraph"/>
              <w:spacing w:before="61"/>
              <w:ind w:left="125" w:right="304"/>
              <w:jc w:val="left"/>
              <w:rPr>
                <w:sz w:val="16"/>
              </w:rPr>
            </w:pPr>
            <w:r>
              <w:rPr>
                <w:sz w:val="16"/>
              </w:rPr>
              <w:t>Witnesses/victims and others at risk on account of</w:t>
            </w:r>
            <w:r>
              <w:rPr>
                <w:spacing w:val="40"/>
                <w:sz w:val="16"/>
              </w:rPr>
              <w:t> </w:t>
            </w:r>
            <w:r>
              <w:rPr>
                <w:sz w:val="16"/>
              </w:rPr>
              <w:t>testimony</w:t>
            </w:r>
            <w:r>
              <w:rPr>
                <w:spacing w:val="-6"/>
                <w:sz w:val="16"/>
              </w:rPr>
              <w:t> </w:t>
            </w:r>
            <w:r>
              <w:rPr>
                <w:sz w:val="16"/>
              </w:rPr>
              <w:t>under</w:t>
            </w:r>
            <w:r>
              <w:rPr>
                <w:spacing w:val="-8"/>
                <w:sz w:val="16"/>
              </w:rPr>
              <w:t> </w:t>
            </w:r>
            <w:r>
              <w:rPr>
                <w:sz w:val="16"/>
              </w:rPr>
              <w:t>VWS</w:t>
            </w:r>
            <w:r>
              <w:rPr>
                <w:spacing w:val="-10"/>
                <w:sz w:val="16"/>
              </w:rPr>
              <w:t> </w:t>
            </w:r>
            <w:r>
              <w:rPr>
                <w:sz w:val="16"/>
              </w:rPr>
              <w:t>protection,</w:t>
            </w:r>
            <w:r>
              <w:rPr>
                <w:spacing w:val="-9"/>
                <w:sz w:val="16"/>
              </w:rPr>
              <w:t> </w:t>
            </w:r>
            <w:r>
              <w:rPr>
                <w:sz w:val="16"/>
              </w:rPr>
              <w:t>including</w:t>
            </w:r>
            <w:r>
              <w:rPr>
                <w:spacing w:val="-6"/>
                <w:sz w:val="16"/>
              </w:rPr>
              <w:t> </w:t>
            </w:r>
            <w:r>
              <w:rPr>
                <w:sz w:val="16"/>
              </w:rPr>
              <w:t>ICCPP</w:t>
            </w:r>
            <w:r>
              <w:rPr>
                <w:spacing w:val="-10"/>
                <w:sz w:val="16"/>
              </w:rPr>
              <w:t> </w:t>
            </w:r>
            <w:r>
              <w:rPr>
                <w:sz w:val="16"/>
              </w:rPr>
              <w:t>and</w:t>
            </w:r>
            <w:r>
              <w:rPr>
                <w:spacing w:val="40"/>
                <w:sz w:val="16"/>
              </w:rPr>
              <w:t> </w:t>
            </w:r>
            <w:r>
              <w:rPr>
                <w:sz w:val="16"/>
              </w:rPr>
              <w:t>other forms of protection</w:t>
            </w:r>
          </w:p>
        </w:tc>
      </w:tr>
      <w:tr>
        <w:trPr>
          <w:trHeight w:val="532" w:hRule="atLeast"/>
        </w:trPr>
        <w:tc>
          <w:tcPr>
            <w:tcW w:w="536" w:type="dxa"/>
            <w:tcBorders>
              <w:top w:val="single" w:sz="4" w:space="0" w:color="000000"/>
              <w:bottom w:val="single" w:sz="4" w:space="0" w:color="000000"/>
            </w:tcBorders>
          </w:tcPr>
          <w:p>
            <w:pPr>
              <w:pStyle w:val="TableParagraph"/>
              <w:spacing w:before="167"/>
              <w:ind w:left="157" w:right="129"/>
              <w:jc w:val="center"/>
              <w:rPr>
                <w:sz w:val="18"/>
              </w:rPr>
            </w:pPr>
            <w:r>
              <w:rPr>
                <w:spacing w:val="-5"/>
                <w:sz w:val="18"/>
              </w:rPr>
              <w:t>20.</w:t>
            </w:r>
          </w:p>
        </w:tc>
        <w:tc>
          <w:tcPr>
            <w:tcW w:w="2558" w:type="dxa"/>
            <w:tcBorders>
              <w:top w:val="single" w:sz="4" w:space="0" w:color="000000"/>
              <w:bottom w:val="single" w:sz="4" w:space="0" w:color="000000"/>
            </w:tcBorders>
          </w:tcPr>
          <w:p>
            <w:pPr>
              <w:pStyle w:val="TableParagraph"/>
              <w:spacing w:before="62"/>
              <w:ind w:left="140" w:right="178"/>
              <w:jc w:val="left"/>
              <w:rPr>
                <w:sz w:val="18"/>
              </w:rPr>
            </w:pPr>
            <w:r>
              <w:rPr>
                <w:sz w:val="18"/>
              </w:rPr>
              <w:t>Number</w:t>
            </w:r>
            <w:r>
              <w:rPr>
                <w:spacing w:val="-12"/>
                <w:sz w:val="18"/>
              </w:rPr>
              <w:t> </w:t>
            </w:r>
            <w:r>
              <w:rPr>
                <w:sz w:val="18"/>
              </w:rPr>
              <w:t>of</w:t>
            </w:r>
            <w:r>
              <w:rPr>
                <w:spacing w:val="-11"/>
                <w:sz w:val="18"/>
              </w:rPr>
              <w:t> </w:t>
            </w:r>
            <w:r>
              <w:rPr>
                <w:sz w:val="18"/>
              </w:rPr>
              <w:t>persons</w:t>
            </w:r>
            <w:r>
              <w:rPr>
                <w:spacing w:val="-11"/>
                <w:sz w:val="18"/>
              </w:rPr>
              <w:t> </w:t>
            </w:r>
            <w:r>
              <w:rPr>
                <w:sz w:val="18"/>
              </w:rPr>
              <w:t>under </w:t>
            </w:r>
            <w:r>
              <w:rPr>
                <w:spacing w:val="-2"/>
                <w:sz w:val="18"/>
              </w:rPr>
              <w:t>protection</w:t>
            </w:r>
          </w:p>
        </w:tc>
        <w:tc>
          <w:tcPr>
            <w:tcW w:w="1097" w:type="dxa"/>
            <w:tcBorders>
              <w:top w:val="single" w:sz="4" w:space="0" w:color="000000"/>
              <w:bottom w:val="single" w:sz="4" w:space="0" w:color="000000"/>
            </w:tcBorders>
          </w:tcPr>
          <w:p>
            <w:pPr>
              <w:pStyle w:val="TableParagraph"/>
              <w:spacing w:before="163"/>
              <w:ind w:left="81" w:right="72"/>
              <w:jc w:val="center"/>
              <w:rPr>
                <w:sz w:val="18"/>
              </w:rPr>
            </w:pPr>
            <w:r>
              <w:rPr>
                <w:spacing w:val="-5"/>
                <w:sz w:val="18"/>
              </w:rPr>
              <w:t>620</w:t>
            </w:r>
          </w:p>
        </w:tc>
        <w:tc>
          <w:tcPr>
            <w:tcW w:w="4039" w:type="dxa"/>
            <w:tcBorders>
              <w:top w:val="single" w:sz="4" w:space="0" w:color="000000"/>
              <w:bottom w:val="single" w:sz="4" w:space="0" w:color="000000"/>
            </w:tcBorders>
          </w:tcPr>
          <w:p>
            <w:pPr>
              <w:pStyle w:val="TableParagraph"/>
              <w:spacing w:before="85"/>
              <w:ind w:left="125" w:right="376"/>
              <w:jc w:val="left"/>
              <w:rPr>
                <w:sz w:val="16"/>
              </w:rPr>
            </w:pPr>
            <w:r>
              <w:rPr>
                <w:sz w:val="16"/>
              </w:rPr>
              <w:t>Witnesses/victims</w:t>
            </w:r>
            <w:r>
              <w:rPr>
                <w:spacing w:val="-8"/>
                <w:sz w:val="16"/>
              </w:rPr>
              <w:t> </w:t>
            </w:r>
            <w:r>
              <w:rPr>
                <w:sz w:val="16"/>
              </w:rPr>
              <w:t>and</w:t>
            </w:r>
            <w:r>
              <w:rPr>
                <w:spacing w:val="-6"/>
                <w:sz w:val="16"/>
              </w:rPr>
              <w:t> </w:t>
            </w:r>
            <w:r>
              <w:rPr>
                <w:sz w:val="16"/>
              </w:rPr>
              <w:t>their</w:t>
            </w:r>
            <w:r>
              <w:rPr>
                <w:spacing w:val="-8"/>
                <w:sz w:val="16"/>
              </w:rPr>
              <w:t> </w:t>
            </w:r>
            <w:r>
              <w:rPr>
                <w:sz w:val="16"/>
              </w:rPr>
              <w:t>dependents</w:t>
            </w:r>
            <w:r>
              <w:rPr>
                <w:spacing w:val="-8"/>
                <w:sz w:val="16"/>
              </w:rPr>
              <w:t> </w:t>
            </w:r>
            <w:r>
              <w:rPr>
                <w:sz w:val="16"/>
              </w:rPr>
              <w:t>who</w:t>
            </w:r>
            <w:r>
              <w:rPr>
                <w:spacing w:val="-6"/>
                <w:sz w:val="16"/>
              </w:rPr>
              <w:t> </w:t>
            </w:r>
            <w:r>
              <w:rPr>
                <w:sz w:val="16"/>
              </w:rPr>
              <w:t>could</w:t>
            </w:r>
            <w:r>
              <w:rPr>
                <w:spacing w:val="-6"/>
                <w:sz w:val="16"/>
              </w:rPr>
              <w:t> </w:t>
            </w:r>
            <w:r>
              <w:rPr>
                <w:sz w:val="16"/>
              </w:rPr>
              <w:t>be</w:t>
            </w:r>
            <w:r>
              <w:rPr>
                <w:spacing w:val="40"/>
                <w:sz w:val="16"/>
              </w:rPr>
              <w:t> </w:t>
            </w:r>
            <w:r>
              <w:rPr>
                <w:sz w:val="16"/>
              </w:rPr>
              <w:t>under the protection and care of the VWS in 2023</w:t>
            </w:r>
          </w:p>
        </w:tc>
      </w:tr>
      <w:tr>
        <w:trPr>
          <w:trHeight w:val="561" w:hRule="atLeast"/>
        </w:trPr>
        <w:tc>
          <w:tcPr>
            <w:tcW w:w="536" w:type="dxa"/>
            <w:tcBorders>
              <w:top w:val="single" w:sz="4" w:space="0" w:color="000000"/>
              <w:bottom w:val="single" w:sz="4" w:space="0" w:color="000000"/>
            </w:tcBorders>
          </w:tcPr>
          <w:p>
            <w:pPr>
              <w:pStyle w:val="TableParagraph"/>
              <w:spacing w:before="177"/>
              <w:ind w:left="157" w:right="129"/>
              <w:jc w:val="center"/>
              <w:rPr>
                <w:sz w:val="18"/>
              </w:rPr>
            </w:pPr>
            <w:r>
              <w:rPr>
                <w:spacing w:val="-5"/>
                <w:sz w:val="18"/>
              </w:rPr>
              <w:t>21.</w:t>
            </w:r>
          </w:p>
        </w:tc>
        <w:tc>
          <w:tcPr>
            <w:tcW w:w="2558" w:type="dxa"/>
            <w:tcBorders>
              <w:top w:val="single" w:sz="4" w:space="0" w:color="000000"/>
              <w:bottom w:val="single" w:sz="4" w:space="0" w:color="000000"/>
            </w:tcBorders>
          </w:tcPr>
          <w:p>
            <w:pPr>
              <w:pStyle w:val="TableParagraph"/>
              <w:spacing w:line="261" w:lineRule="auto" w:before="62"/>
              <w:ind w:left="140" w:right="178"/>
              <w:jc w:val="left"/>
              <w:rPr>
                <w:sz w:val="18"/>
              </w:rPr>
            </w:pPr>
            <w:r>
              <w:rPr>
                <w:sz w:val="18"/>
              </w:rPr>
              <w:t>Number of suspects/accused appearing</w:t>
            </w:r>
            <w:r>
              <w:rPr>
                <w:spacing w:val="-5"/>
                <w:sz w:val="18"/>
              </w:rPr>
              <w:t> </w:t>
            </w:r>
            <w:r>
              <w:rPr>
                <w:sz w:val="18"/>
              </w:rPr>
              <w:t>before</w:t>
            </w:r>
            <w:r>
              <w:rPr>
                <w:spacing w:val="-5"/>
                <w:sz w:val="18"/>
              </w:rPr>
              <w:t> </w:t>
            </w:r>
            <w:r>
              <w:rPr>
                <w:sz w:val="18"/>
              </w:rPr>
              <w:t>the</w:t>
            </w:r>
            <w:r>
              <w:rPr>
                <w:spacing w:val="-5"/>
                <w:sz w:val="18"/>
              </w:rPr>
              <w:t> </w:t>
            </w:r>
            <w:r>
              <w:rPr>
                <w:sz w:val="18"/>
              </w:rPr>
              <w:t>Court</w:t>
            </w:r>
            <w:r>
              <w:rPr>
                <w:sz w:val="18"/>
                <w:vertAlign w:val="superscript"/>
              </w:rPr>
              <w:t>151</w:t>
            </w:r>
          </w:p>
        </w:tc>
        <w:tc>
          <w:tcPr>
            <w:tcW w:w="1097" w:type="dxa"/>
            <w:tcBorders>
              <w:top w:val="single" w:sz="4" w:space="0" w:color="000000"/>
              <w:bottom w:val="single" w:sz="4" w:space="0" w:color="000000"/>
            </w:tcBorders>
          </w:tcPr>
          <w:p>
            <w:pPr>
              <w:pStyle w:val="TableParagraph"/>
              <w:spacing w:before="177"/>
              <w:jc w:val="center"/>
              <w:rPr>
                <w:sz w:val="18"/>
              </w:rPr>
            </w:pPr>
            <w:r>
              <w:rPr>
                <w:w w:val="101"/>
                <w:sz w:val="18"/>
              </w:rPr>
              <w:t>8</w:t>
            </w:r>
          </w:p>
        </w:tc>
        <w:tc>
          <w:tcPr>
            <w:tcW w:w="4039" w:type="dxa"/>
            <w:tcBorders>
              <w:top w:val="single" w:sz="4" w:space="0" w:color="000000"/>
              <w:bottom w:val="single" w:sz="4" w:space="0" w:color="000000"/>
            </w:tcBorders>
          </w:tcPr>
          <w:p>
            <w:pPr>
              <w:pStyle w:val="TableParagraph"/>
              <w:spacing w:before="100"/>
              <w:ind w:left="125" w:right="1174"/>
              <w:jc w:val="left"/>
              <w:rPr>
                <w:sz w:val="16"/>
              </w:rPr>
            </w:pPr>
            <w:r>
              <w:rPr>
                <w:sz w:val="16"/>
              </w:rPr>
              <w:t>Al</w:t>
            </w:r>
            <w:r>
              <w:rPr>
                <w:spacing w:val="-10"/>
                <w:sz w:val="16"/>
              </w:rPr>
              <w:t> </w:t>
            </w:r>
            <w:r>
              <w:rPr>
                <w:sz w:val="16"/>
              </w:rPr>
              <w:t>Hassan,</w:t>
            </w:r>
            <w:r>
              <w:rPr>
                <w:spacing w:val="-10"/>
                <w:sz w:val="16"/>
              </w:rPr>
              <w:t> </w:t>
            </w:r>
            <w:r>
              <w:rPr>
                <w:sz w:val="16"/>
              </w:rPr>
              <w:t>Ongwen,</w:t>
            </w:r>
            <w:r>
              <w:rPr>
                <w:spacing w:val="-10"/>
                <w:sz w:val="16"/>
              </w:rPr>
              <w:t> </w:t>
            </w:r>
            <w:r>
              <w:rPr>
                <w:sz w:val="16"/>
              </w:rPr>
              <w:t>Yekatom,</w:t>
            </w:r>
            <w:r>
              <w:rPr>
                <w:spacing w:val="-10"/>
                <w:sz w:val="16"/>
              </w:rPr>
              <w:t> </w:t>
            </w:r>
            <w:r>
              <w:rPr>
                <w:sz w:val="16"/>
              </w:rPr>
              <w:t>Ngaïssona,</w:t>
            </w:r>
            <w:r>
              <w:rPr>
                <w:spacing w:val="40"/>
                <w:sz w:val="16"/>
              </w:rPr>
              <w:t> </w:t>
            </w:r>
            <w:r>
              <w:rPr>
                <w:sz w:val="16"/>
              </w:rPr>
              <w:t>Abd-Al-Rahman, Said, Mokom, Gicheru</w:t>
            </w:r>
          </w:p>
        </w:tc>
      </w:tr>
      <w:tr>
        <w:trPr>
          <w:trHeight w:val="532" w:hRule="atLeast"/>
        </w:trPr>
        <w:tc>
          <w:tcPr>
            <w:tcW w:w="536" w:type="dxa"/>
            <w:tcBorders>
              <w:top w:val="single" w:sz="4" w:space="0" w:color="000000"/>
              <w:bottom w:val="single" w:sz="4" w:space="0" w:color="000000"/>
            </w:tcBorders>
          </w:tcPr>
          <w:p>
            <w:pPr>
              <w:pStyle w:val="TableParagraph"/>
              <w:spacing w:before="163"/>
              <w:ind w:left="157" w:right="129"/>
              <w:jc w:val="center"/>
              <w:rPr>
                <w:sz w:val="18"/>
              </w:rPr>
            </w:pPr>
            <w:r>
              <w:rPr>
                <w:spacing w:val="-5"/>
                <w:sz w:val="18"/>
              </w:rPr>
              <w:t>22.</w:t>
            </w:r>
          </w:p>
        </w:tc>
        <w:tc>
          <w:tcPr>
            <w:tcW w:w="2558" w:type="dxa"/>
            <w:tcBorders>
              <w:top w:val="single" w:sz="4" w:space="0" w:color="000000"/>
              <w:bottom w:val="single" w:sz="4" w:space="0" w:color="000000"/>
            </w:tcBorders>
          </w:tcPr>
          <w:p>
            <w:pPr>
              <w:pStyle w:val="TableParagraph"/>
              <w:spacing w:before="57"/>
              <w:ind w:left="140"/>
              <w:jc w:val="left"/>
              <w:rPr>
                <w:sz w:val="18"/>
              </w:rPr>
            </w:pPr>
            <w:r>
              <w:rPr>
                <w:sz w:val="18"/>
              </w:rPr>
              <w:t>Number</w:t>
            </w:r>
            <w:r>
              <w:rPr>
                <w:spacing w:val="-9"/>
                <w:sz w:val="18"/>
              </w:rPr>
              <w:t> </w:t>
            </w:r>
            <w:r>
              <w:rPr>
                <w:sz w:val="18"/>
              </w:rPr>
              <w:t>of</w:t>
            </w:r>
            <w:r>
              <w:rPr>
                <w:spacing w:val="-9"/>
                <w:sz w:val="18"/>
              </w:rPr>
              <w:t> </w:t>
            </w:r>
            <w:r>
              <w:rPr>
                <w:sz w:val="18"/>
              </w:rPr>
              <w:t>suspects,</w:t>
            </w:r>
            <w:r>
              <w:rPr>
                <w:spacing w:val="-9"/>
                <w:sz w:val="18"/>
              </w:rPr>
              <w:t> </w:t>
            </w:r>
            <w:r>
              <w:rPr>
                <w:sz w:val="18"/>
              </w:rPr>
              <w:t>accused</w:t>
            </w:r>
            <w:r>
              <w:rPr>
                <w:spacing w:val="-10"/>
                <w:sz w:val="18"/>
              </w:rPr>
              <w:t> </w:t>
            </w:r>
            <w:r>
              <w:rPr>
                <w:sz w:val="18"/>
              </w:rPr>
              <w:t>or convicted persons in detention</w:t>
            </w:r>
          </w:p>
        </w:tc>
        <w:tc>
          <w:tcPr>
            <w:tcW w:w="1097" w:type="dxa"/>
            <w:tcBorders>
              <w:top w:val="single" w:sz="4" w:space="0" w:color="000000"/>
              <w:bottom w:val="single" w:sz="4" w:space="0" w:color="000000"/>
            </w:tcBorders>
          </w:tcPr>
          <w:p>
            <w:pPr>
              <w:pStyle w:val="TableParagraph"/>
              <w:spacing w:before="149"/>
              <w:jc w:val="center"/>
              <w:rPr>
                <w:sz w:val="20"/>
              </w:rPr>
            </w:pPr>
            <w:r>
              <w:rPr>
                <w:w w:val="100"/>
                <w:sz w:val="20"/>
              </w:rPr>
              <w:t>7</w:t>
            </w:r>
          </w:p>
        </w:tc>
        <w:tc>
          <w:tcPr>
            <w:tcW w:w="4039" w:type="dxa"/>
            <w:tcBorders>
              <w:top w:val="single" w:sz="4" w:space="0" w:color="000000"/>
              <w:bottom w:val="single" w:sz="4" w:space="0" w:color="000000"/>
            </w:tcBorders>
          </w:tcPr>
          <w:p>
            <w:pPr>
              <w:pStyle w:val="TableParagraph"/>
              <w:spacing w:before="81"/>
              <w:ind w:left="125" w:right="376"/>
              <w:jc w:val="left"/>
              <w:rPr>
                <w:sz w:val="16"/>
              </w:rPr>
            </w:pPr>
            <w:r>
              <w:rPr>
                <w:sz w:val="16"/>
              </w:rPr>
              <w:t>Ongwen,</w:t>
            </w:r>
            <w:r>
              <w:rPr>
                <w:spacing w:val="-7"/>
                <w:sz w:val="16"/>
              </w:rPr>
              <w:t> </w:t>
            </w:r>
            <w:r>
              <w:rPr>
                <w:sz w:val="16"/>
              </w:rPr>
              <w:t>Al</w:t>
            </w:r>
            <w:r>
              <w:rPr>
                <w:spacing w:val="-7"/>
                <w:sz w:val="16"/>
              </w:rPr>
              <w:t> </w:t>
            </w:r>
            <w:r>
              <w:rPr>
                <w:sz w:val="16"/>
              </w:rPr>
              <w:t>Hassan,</w:t>
            </w:r>
            <w:r>
              <w:rPr>
                <w:spacing w:val="-7"/>
                <w:sz w:val="16"/>
              </w:rPr>
              <w:t> </w:t>
            </w:r>
            <w:r>
              <w:rPr>
                <w:sz w:val="16"/>
              </w:rPr>
              <w:t>Yekatom,</w:t>
            </w:r>
            <w:r>
              <w:rPr>
                <w:spacing w:val="-7"/>
                <w:sz w:val="16"/>
              </w:rPr>
              <w:t> </w:t>
            </w:r>
            <w:r>
              <w:rPr>
                <w:sz w:val="16"/>
              </w:rPr>
              <w:t>Ngaïssona,</w:t>
            </w:r>
            <w:r>
              <w:rPr>
                <w:spacing w:val="-7"/>
                <w:sz w:val="16"/>
              </w:rPr>
              <w:t> </w:t>
            </w:r>
            <w:r>
              <w:rPr>
                <w:sz w:val="16"/>
              </w:rPr>
              <w:t>Abd-Al-</w:t>
            </w:r>
            <w:r>
              <w:rPr>
                <w:spacing w:val="40"/>
                <w:sz w:val="16"/>
              </w:rPr>
              <w:t> </w:t>
            </w:r>
            <w:r>
              <w:rPr>
                <w:sz w:val="16"/>
              </w:rPr>
              <w:t>Rahman, Said, Mokom,</w:t>
            </w:r>
          </w:p>
        </w:tc>
      </w:tr>
      <w:tr>
        <w:trPr>
          <w:trHeight w:val="417" w:hRule="atLeast"/>
        </w:trPr>
        <w:tc>
          <w:tcPr>
            <w:tcW w:w="536" w:type="dxa"/>
            <w:tcBorders>
              <w:top w:val="single" w:sz="4" w:space="0" w:color="000000"/>
              <w:bottom w:val="single" w:sz="4" w:space="0" w:color="000000"/>
            </w:tcBorders>
          </w:tcPr>
          <w:p>
            <w:pPr>
              <w:pStyle w:val="TableParagraph"/>
              <w:spacing w:before="110"/>
              <w:ind w:left="157" w:right="129"/>
              <w:jc w:val="center"/>
              <w:rPr>
                <w:sz w:val="18"/>
              </w:rPr>
            </w:pPr>
            <w:r>
              <w:rPr>
                <w:spacing w:val="-5"/>
                <w:sz w:val="18"/>
              </w:rPr>
              <w:t>23.</w:t>
            </w:r>
          </w:p>
        </w:tc>
        <w:tc>
          <w:tcPr>
            <w:tcW w:w="2558" w:type="dxa"/>
            <w:tcBorders>
              <w:top w:val="single" w:sz="4" w:space="0" w:color="000000"/>
              <w:bottom w:val="single" w:sz="4" w:space="0" w:color="000000"/>
            </w:tcBorders>
          </w:tcPr>
          <w:p>
            <w:pPr>
              <w:pStyle w:val="TableParagraph"/>
              <w:spacing w:before="110"/>
              <w:ind w:left="140"/>
              <w:jc w:val="left"/>
              <w:rPr>
                <w:sz w:val="18"/>
              </w:rPr>
            </w:pPr>
            <w:r>
              <w:rPr>
                <w:sz w:val="18"/>
              </w:rPr>
              <w:t>Number</w:t>
            </w:r>
            <w:r>
              <w:rPr>
                <w:spacing w:val="-2"/>
                <w:sz w:val="18"/>
              </w:rPr>
              <w:t> </w:t>
            </w:r>
            <w:r>
              <w:rPr>
                <w:sz w:val="18"/>
              </w:rPr>
              <w:t>of</w:t>
            </w:r>
            <w:r>
              <w:rPr>
                <w:spacing w:val="-2"/>
                <w:sz w:val="18"/>
              </w:rPr>
              <w:t> </w:t>
            </w:r>
            <w:r>
              <w:rPr>
                <w:sz w:val="18"/>
              </w:rPr>
              <w:t>cells</w:t>
            </w:r>
            <w:r>
              <w:rPr>
                <w:spacing w:val="-7"/>
                <w:sz w:val="18"/>
              </w:rPr>
              <w:t> </w:t>
            </w:r>
            <w:r>
              <w:rPr>
                <w:spacing w:val="-2"/>
                <w:sz w:val="18"/>
              </w:rPr>
              <w:t>required</w:t>
            </w:r>
          </w:p>
        </w:tc>
        <w:tc>
          <w:tcPr>
            <w:tcW w:w="1097" w:type="dxa"/>
            <w:tcBorders>
              <w:top w:val="single" w:sz="4" w:space="0" w:color="000000"/>
              <w:bottom w:val="single" w:sz="4" w:space="0" w:color="000000"/>
            </w:tcBorders>
          </w:tcPr>
          <w:p>
            <w:pPr>
              <w:pStyle w:val="TableParagraph"/>
              <w:spacing w:before="105"/>
              <w:ind w:left="81" w:right="77"/>
              <w:jc w:val="center"/>
              <w:rPr>
                <w:sz w:val="18"/>
              </w:rPr>
            </w:pPr>
            <w:r>
              <w:rPr>
                <w:spacing w:val="-5"/>
                <w:sz w:val="18"/>
              </w:rPr>
              <w:t>12</w:t>
            </w:r>
          </w:p>
        </w:tc>
        <w:tc>
          <w:tcPr>
            <w:tcW w:w="4039" w:type="dxa"/>
            <w:tcBorders>
              <w:top w:val="single" w:sz="4" w:space="0" w:color="000000"/>
              <w:bottom w:val="single" w:sz="4" w:space="0" w:color="000000"/>
            </w:tcBorders>
          </w:tcPr>
          <w:p>
            <w:pPr>
              <w:pStyle w:val="TableParagraph"/>
              <w:spacing w:line="180" w:lineRule="atLeast" w:before="23"/>
              <w:ind w:left="125" w:right="145"/>
              <w:jc w:val="left"/>
              <w:rPr>
                <w:sz w:val="16"/>
              </w:rPr>
            </w:pPr>
            <w:r>
              <w:rPr>
                <w:sz w:val="16"/>
              </w:rPr>
              <w:t>Renting</w:t>
            </w:r>
            <w:r>
              <w:rPr>
                <w:spacing w:val="-3"/>
                <w:sz w:val="16"/>
              </w:rPr>
              <w:t> </w:t>
            </w:r>
            <w:r>
              <w:rPr>
                <w:sz w:val="16"/>
              </w:rPr>
              <w:t>model</w:t>
            </w:r>
            <w:r>
              <w:rPr>
                <w:spacing w:val="-5"/>
                <w:sz w:val="16"/>
              </w:rPr>
              <w:t> </w:t>
            </w:r>
            <w:r>
              <w:rPr>
                <w:sz w:val="16"/>
              </w:rPr>
              <w:t>is</w:t>
            </w:r>
            <w:r>
              <w:rPr>
                <w:spacing w:val="-4"/>
                <w:sz w:val="16"/>
              </w:rPr>
              <w:t> </w:t>
            </w:r>
            <w:r>
              <w:rPr>
                <w:sz w:val="16"/>
              </w:rPr>
              <w:t>either</w:t>
            </w:r>
            <w:r>
              <w:rPr>
                <w:spacing w:val="-4"/>
                <w:sz w:val="16"/>
              </w:rPr>
              <w:t> </w:t>
            </w:r>
            <w:r>
              <w:rPr>
                <w:sz w:val="16"/>
              </w:rPr>
              <w:t>6</w:t>
            </w:r>
            <w:r>
              <w:rPr>
                <w:spacing w:val="-3"/>
                <w:sz w:val="16"/>
              </w:rPr>
              <w:t> </w:t>
            </w:r>
            <w:r>
              <w:rPr>
                <w:sz w:val="16"/>
              </w:rPr>
              <w:t>or</w:t>
            </w:r>
            <w:r>
              <w:rPr>
                <w:spacing w:val="-4"/>
                <w:sz w:val="16"/>
              </w:rPr>
              <w:t> </w:t>
            </w:r>
            <w:r>
              <w:rPr>
                <w:sz w:val="16"/>
              </w:rPr>
              <w:t>12</w:t>
            </w:r>
            <w:r>
              <w:rPr>
                <w:spacing w:val="-3"/>
                <w:sz w:val="16"/>
              </w:rPr>
              <w:t> </w:t>
            </w:r>
            <w:r>
              <w:rPr>
                <w:sz w:val="16"/>
              </w:rPr>
              <w:t>cells</w:t>
            </w:r>
            <w:r>
              <w:rPr>
                <w:spacing w:val="-4"/>
                <w:sz w:val="16"/>
              </w:rPr>
              <w:t> </w:t>
            </w:r>
            <w:r>
              <w:rPr>
                <w:sz w:val="16"/>
              </w:rPr>
              <w:t>(for</w:t>
            </w:r>
            <w:r>
              <w:rPr>
                <w:spacing w:val="-1"/>
                <w:sz w:val="16"/>
              </w:rPr>
              <w:t> </w:t>
            </w:r>
            <w:r>
              <w:rPr>
                <w:sz w:val="16"/>
              </w:rPr>
              <w:t>one</w:t>
            </w:r>
            <w:r>
              <w:rPr>
                <w:spacing w:val="-3"/>
                <w:sz w:val="16"/>
              </w:rPr>
              <w:t> </w:t>
            </w:r>
            <w:r>
              <w:rPr>
                <w:sz w:val="16"/>
              </w:rPr>
              <w:t>detainee:</w:t>
            </w:r>
            <w:r>
              <w:rPr>
                <w:spacing w:val="-5"/>
                <w:sz w:val="16"/>
              </w:rPr>
              <w:t> </w:t>
            </w:r>
            <w:r>
              <w:rPr>
                <w:sz w:val="16"/>
              </w:rPr>
              <w:t>one</w:t>
            </w:r>
            <w:r>
              <w:rPr>
                <w:spacing w:val="40"/>
                <w:sz w:val="16"/>
              </w:rPr>
              <w:t> </w:t>
            </w:r>
            <w:r>
              <w:rPr>
                <w:sz w:val="16"/>
              </w:rPr>
              <w:t>6-cell</w:t>
            </w:r>
            <w:r>
              <w:rPr>
                <w:spacing w:val="-7"/>
                <w:sz w:val="16"/>
              </w:rPr>
              <w:t> </w:t>
            </w:r>
            <w:r>
              <w:rPr>
                <w:sz w:val="16"/>
              </w:rPr>
              <w:t>block)</w:t>
            </w:r>
          </w:p>
        </w:tc>
      </w:tr>
      <w:tr>
        <w:trPr>
          <w:trHeight w:val="1224" w:hRule="atLeast"/>
        </w:trPr>
        <w:tc>
          <w:tcPr>
            <w:tcW w:w="536" w:type="dxa"/>
            <w:tcBorders>
              <w:top w:val="single" w:sz="4" w:space="0" w:color="000000"/>
              <w:bottom w:val="single" w:sz="4" w:space="0" w:color="000000"/>
            </w:tcBorders>
          </w:tcPr>
          <w:p>
            <w:pPr>
              <w:pStyle w:val="TableParagraph"/>
              <w:jc w:val="left"/>
              <w:rPr>
                <w:sz w:val="20"/>
              </w:rPr>
            </w:pPr>
          </w:p>
          <w:p>
            <w:pPr>
              <w:pStyle w:val="TableParagraph"/>
              <w:spacing w:before="7"/>
              <w:jc w:val="left"/>
              <w:rPr>
                <w:sz w:val="24"/>
              </w:rPr>
            </w:pPr>
          </w:p>
          <w:p>
            <w:pPr>
              <w:pStyle w:val="TableParagraph"/>
              <w:ind w:left="157" w:right="129"/>
              <w:jc w:val="center"/>
              <w:rPr>
                <w:sz w:val="18"/>
              </w:rPr>
            </w:pPr>
            <w:r>
              <w:rPr>
                <w:spacing w:val="-5"/>
                <w:sz w:val="18"/>
              </w:rPr>
              <w:t>24.</w:t>
            </w:r>
          </w:p>
        </w:tc>
        <w:tc>
          <w:tcPr>
            <w:tcW w:w="2558" w:type="dxa"/>
            <w:tcBorders>
              <w:top w:val="single" w:sz="4" w:space="0" w:color="000000"/>
              <w:bottom w:val="single" w:sz="4" w:space="0" w:color="000000"/>
            </w:tcBorders>
          </w:tcPr>
          <w:p>
            <w:pPr>
              <w:pStyle w:val="TableParagraph"/>
              <w:jc w:val="left"/>
              <w:rPr>
                <w:sz w:val="20"/>
              </w:rPr>
            </w:pPr>
          </w:p>
          <w:p>
            <w:pPr>
              <w:pStyle w:val="TableParagraph"/>
              <w:spacing w:before="178"/>
              <w:ind w:left="140" w:right="178"/>
              <w:jc w:val="left"/>
              <w:rPr>
                <w:sz w:val="18"/>
              </w:rPr>
            </w:pPr>
            <w:r>
              <w:rPr>
                <w:sz w:val="18"/>
              </w:rPr>
              <w:t>Number</w:t>
            </w:r>
            <w:r>
              <w:rPr>
                <w:spacing w:val="-12"/>
                <w:sz w:val="18"/>
              </w:rPr>
              <w:t> </w:t>
            </w:r>
            <w:r>
              <w:rPr>
                <w:sz w:val="18"/>
              </w:rPr>
              <w:t>of</w:t>
            </w:r>
            <w:r>
              <w:rPr>
                <w:spacing w:val="-11"/>
                <w:sz w:val="18"/>
              </w:rPr>
              <w:t> </w:t>
            </w:r>
            <w:r>
              <w:rPr>
                <w:sz w:val="18"/>
              </w:rPr>
              <w:t>country </w:t>
            </w:r>
            <w:r>
              <w:rPr>
                <w:spacing w:val="-2"/>
                <w:sz w:val="18"/>
              </w:rPr>
              <w:t>offices/presences</w:t>
            </w:r>
          </w:p>
        </w:tc>
        <w:tc>
          <w:tcPr>
            <w:tcW w:w="1097" w:type="dxa"/>
            <w:tcBorders>
              <w:top w:val="single" w:sz="4" w:space="0" w:color="000000"/>
              <w:bottom w:val="single" w:sz="4" w:space="0" w:color="000000"/>
            </w:tcBorders>
          </w:tcPr>
          <w:p>
            <w:pPr>
              <w:pStyle w:val="TableParagraph"/>
              <w:jc w:val="left"/>
              <w:rPr>
                <w:sz w:val="20"/>
              </w:rPr>
            </w:pPr>
          </w:p>
          <w:p>
            <w:pPr>
              <w:pStyle w:val="TableParagraph"/>
              <w:spacing w:before="7"/>
              <w:jc w:val="left"/>
              <w:rPr>
                <w:sz w:val="24"/>
              </w:rPr>
            </w:pPr>
          </w:p>
          <w:p>
            <w:pPr>
              <w:pStyle w:val="TableParagraph"/>
              <w:ind w:left="81" w:right="77"/>
              <w:jc w:val="center"/>
              <w:rPr>
                <w:sz w:val="18"/>
              </w:rPr>
            </w:pPr>
            <w:r>
              <w:rPr>
                <w:spacing w:val="-5"/>
                <w:sz w:val="18"/>
              </w:rPr>
              <w:t>12</w:t>
            </w:r>
          </w:p>
        </w:tc>
        <w:tc>
          <w:tcPr>
            <w:tcW w:w="4039" w:type="dxa"/>
            <w:tcBorders>
              <w:top w:val="single" w:sz="4" w:space="0" w:color="000000"/>
              <w:bottom w:val="single" w:sz="4" w:space="0" w:color="000000"/>
            </w:tcBorders>
          </w:tcPr>
          <w:p>
            <w:pPr>
              <w:pStyle w:val="TableParagraph"/>
              <w:spacing w:line="183" w:lineRule="exact" w:before="61"/>
              <w:ind w:left="125"/>
              <w:jc w:val="left"/>
              <w:rPr>
                <w:sz w:val="16"/>
              </w:rPr>
            </w:pPr>
            <w:r>
              <w:rPr>
                <w:sz w:val="16"/>
              </w:rPr>
              <w:t>1</w:t>
            </w:r>
            <w:r>
              <w:rPr>
                <w:spacing w:val="-2"/>
                <w:sz w:val="16"/>
              </w:rPr>
              <w:t> </w:t>
            </w:r>
            <w:r>
              <w:rPr>
                <w:sz w:val="16"/>
              </w:rPr>
              <w:t>in</w:t>
            </w:r>
            <w:r>
              <w:rPr>
                <w:spacing w:val="-1"/>
                <w:sz w:val="16"/>
              </w:rPr>
              <w:t> </w:t>
            </w:r>
            <w:r>
              <w:rPr>
                <w:sz w:val="16"/>
              </w:rPr>
              <w:t>the</w:t>
            </w:r>
            <w:r>
              <w:rPr>
                <w:spacing w:val="-3"/>
                <w:sz w:val="16"/>
              </w:rPr>
              <w:t> </w:t>
            </w:r>
            <w:r>
              <w:rPr>
                <w:sz w:val="16"/>
              </w:rPr>
              <w:t>CAR</w:t>
            </w:r>
            <w:r>
              <w:rPr>
                <w:spacing w:val="-3"/>
                <w:sz w:val="16"/>
              </w:rPr>
              <w:t> </w:t>
            </w:r>
            <w:r>
              <w:rPr>
                <w:sz w:val="16"/>
              </w:rPr>
              <w:t>(Bangui),</w:t>
            </w:r>
            <w:r>
              <w:rPr>
                <w:spacing w:val="-4"/>
                <w:sz w:val="16"/>
              </w:rPr>
              <w:t> </w:t>
            </w:r>
            <w:r>
              <w:rPr>
                <w:sz w:val="16"/>
              </w:rPr>
              <w:t>1</w:t>
            </w:r>
            <w:r>
              <w:rPr>
                <w:spacing w:val="3"/>
                <w:sz w:val="16"/>
              </w:rPr>
              <w:t> </w:t>
            </w:r>
            <w:r>
              <w:rPr>
                <w:sz w:val="16"/>
              </w:rPr>
              <w:t>in</w:t>
            </w:r>
            <w:r>
              <w:rPr>
                <w:spacing w:val="-1"/>
                <w:sz w:val="16"/>
              </w:rPr>
              <w:t> </w:t>
            </w:r>
            <w:r>
              <w:rPr>
                <w:sz w:val="16"/>
              </w:rPr>
              <w:t>Côte</w:t>
            </w:r>
            <w:r>
              <w:rPr>
                <w:spacing w:val="-3"/>
                <w:sz w:val="16"/>
              </w:rPr>
              <w:t> </w:t>
            </w:r>
            <w:r>
              <w:rPr>
                <w:sz w:val="16"/>
              </w:rPr>
              <w:t>d’Ivoire</w:t>
            </w:r>
            <w:r>
              <w:rPr>
                <w:spacing w:val="-2"/>
                <w:sz w:val="16"/>
              </w:rPr>
              <w:t> (Abidjan),</w:t>
            </w:r>
          </w:p>
          <w:p>
            <w:pPr>
              <w:pStyle w:val="TableParagraph"/>
              <w:ind w:left="125" w:right="145"/>
              <w:jc w:val="left"/>
              <w:rPr>
                <w:sz w:val="16"/>
              </w:rPr>
            </w:pPr>
            <w:r>
              <w:rPr>
                <w:sz w:val="16"/>
              </w:rPr>
              <w:t>2</w:t>
            </w:r>
            <w:r>
              <w:rPr>
                <w:spacing w:val="-3"/>
                <w:sz w:val="16"/>
              </w:rPr>
              <w:t> </w:t>
            </w:r>
            <w:r>
              <w:rPr>
                <w:sz w:val="16"/>
              </w:rPr>
              <w:t>in</w:t>
            </w:r>
            <w:r>
              <w:rPr>
                <w:spacing w:val="-3"/>
                <w:sz w:val="16"/>
              </w:rPr>
              <w:t> </w:t>
            </w:r>
            <w:r>
              <w:rPr>
                <w:sz w:val="16"/>
              </w:rPr>
              <w:t>the</w:t>
            </w:r>
            <w:r>
              <w:rPr>
                <w:spacing w:val="-4"/>
                <w:sz w:val="16"/>
              </w:rPr>
              <w:t> </w:t>
            </w:r>
            <w:r>
              <w:rPr>
                <w:sz w:val="16"/>
              </w:rPr>
              <w:t>DRC</w:t>
            </w:r>
            <w:r>
              <w:rPr>
                <w:spacing w:val="-5"/>
                <w:sz w:val="16"/>
              </w:rPr>
              <w:t> </w:t>
            </w:r>
            <w:r>
              <w:rPr>
                <w:sz w:val="16"/>
              </w:rPr>
              <w:t>(Kinshasa</w:t>
            </w:r>
            <w:r>
              <w:rPr>
                <w:spacing w:val="-4"/>
                <w:sz w:val="16"/>
              </w:rPr>
              <w:t> </w:t>
            </w:r>
            <w:r>
              <w:rPr>
                <w:sz w:val="16"/>
              </w:rPr>
              <w:t>and</w:t>
            </w:r>
            <w:r>
              <w:rPr>
                <w:spacing w:val="-3"/>
                <w:sz w:val="16"/>
              </w:rPr>
              <w:t> </w:t>
            </w:r>
            <w:r>
              <w:rPr>
                <w:sz w:val="16"/>
              </w:rPr>
              <w:t>Bunia),</w:t>
            </w:r>
            <w:r>
              <w:rPr>
                <w:spacing w:val="-6"/>
                <w:sz w:val="16"/>
              </w:rPr>
              <w:t> </w:t>
            </w:r>
            <w:r>
              <w:rPr>
                <w:sz w:val="16"/>
              </w:rPr>
              <w:t>1</w:t>
            </w:r>
            <w:r>
              <w:rPr>
                <w:spacing w:val="-3"/>
                <w:sz w:val="16"/>
              </w:rPr>
              <w:t> </w:t>
            </w:r>
            <w:r>
              <w:rPr>
                <w:sz w:val="16"/>
              </w:rPr>
              <w:t>in</w:t>
            </w:r>
            <w:r>
              <w:rPr>
                <w:spacing w:val="-3"/>
                <w:sz w:val="16"/>
              </w:rPr>
              <w:t> </w:t>
            </w:r>
            <w:r>
              <w:rPr>
                <w:sz w:val="16"/>
              </w:rPr>
              <w:t>Georgia</w:t>
            </w:r>
            <w:r>
              <w:rPr>
                <w:spacing w:val="-4"/>
                <w:sz w:val="16"/>
              </w:rPr>
              <w:t> </w:t>
            </w:r>
            <w:r>
              <w:rPr>
                <w:sz w:val="16"/>
              </w:rPr>
              <w:t>(Tbilisi),</w:t>
            </w:r>
            <w:r>
              <w:rPr>
                <w:spacing w:val="40"/>
                <w:sz w:val="16"/>
              </w:rPr>
              <w:t> </w:t>
            </w:r>
            <w:r>
              <w:rPr>
                <w:sz w:val="16"/>
              </w:rPr>
              <w:t>1 in Mali (Bamako), 1 in Uganda (Kampala), 1 in New</w:t>
            </w:r>
            <w:r>
              <w:rPr>
                <w:spacing w:val="40"/>
                <w:sz w:val="16"/>
              </w:rPr>
              <w:t> </w:t>
            </w:r>
            <w:r>
              <w:rPr>
                <w:sz w:val="16"/>
              </w:rPr>
              <w:t>York (Liaison Office to the United Nations), 1 in</w:t>
            </w:r>
            <w:r>
              <w:rPr>
                <w:spacing w:val="40"/>
                <w:sz w:val="16"/>
              </w:rPr>
              <w:t> </w:t>
            </w:r>
            <w:r>
              <w:rPr>
                <w:sz w:val="16"/>
              </w:rPr>
              <w:t>Venezuela</w:t>
            </w:r>
            <w:r>
              <w:rPr>
                <w:spacing w:val="-6"/>
                <w:sz w:val="16"/>
              </w:rPr>
              <w:t> </w:t>
            </w:r>
            <w:r>
              <w:rPr>
                <w:sz w:val="16"/>
              </w:rPr>
              <w:t>(Caracas),</w:t>
            </w:r>
            <w:r>
              <w:rPr>
                <w:spacing w:val="-8"/>
                <w:sz w:val="16"/>
              </w:rPr>
              <w:t> </w:t>
            </w:r>
            <w:r>
              <w:rPr>
                <w:sz w:val="16"/>
              </w:rPr>
              <w:t>1</w:t>
            </w:r>
            <w:r>
              <w:rPr>
                <w:spacing w:val="-5"/>
                <w:sz w:val="16"/>
              </w:rPr>
              <w:t> </w:t>
            </w:r>
            <w:r>
              <w:rPr>
                <w:sz w:val="16"/>
              </w:rPr>
              <w:t>in</w:t>
            </w:r>
            <w:r>
              <w:rPr>
                <w:spacing w:val="-5"/>
                <w:sz w:val="16"/>
              </w:rPr>
              <w:t> </w:t>
            </w:r>
            <w:r>
              <w:rPr>
                <w:sz w:val="16"/>
              </w:rPr>
              <w:t>Sudan</w:t>
            </w:r>
            <w:r>
              <w:rPr>
                <w:spacing w:val="-5"/>
                <w:sz w:val="16"/>
              </w:rPr>
              <w:t> </w:t>
            </w:r>
            <w:r>
              <w:rPr>
                <w:sz w:val="16"/>
              </w:rPr>
              <w:t>(Khartoum),</w:t>
            </w:r>
            <w:r>
              <w:rPr>
                <w:spacing w:val="-8"/>
                <w:sz w:val="16"/>
              </w:rPr>
              <w:t> </w:t>
            </w:r>
            <w:r>
              <w:rPr>
                <w:sz w:val="16"/>
              </w:rPr>
              <w:t>1</w:t>
            </w:r>
            <w:r>
              <w:rPr>
                <w:spacing w:val="-5"/>
                <w:sz w:val="16"/>
              </w:rPr>
              <w:t> </w:t>
            </w:r>
            <w:r>
              <w:rPr>
                <w:sz w:val="16"/>
              </w:rPr>
              <w:t>in</w:t>
            </w:r>
            <w:r>
              <w:rPr>
                <w:spacing w:val="-5"/>
                <w:sz w:val="16"/>
              </w:rPr>
              <w:t> </w:t>
            </w:r>
            <w:r>
              <w:rPr>
                <w:sz w:val="16"/>
              </w:rPr>
              <w:t>Ukraine</w:t>
            </w:r>
            <w:r>
              <w:rPr>
                <w:spacing w:val="40"/>
                <w:sz w:val="16"/>
              </w:rPr>
              <w:t> </w:t>
            </w:r>
            <w:r>
              <w:rPr>
                <w:sz w:val="16"/>
              </w:rPr>
              <w:t>(Kiev) and 1 in Bangladesh (Cox’s Bazar)</w:t>
            </w: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15"/>
        </w:rPr>
      </w:pPr>
      <w:r>
        <w:rPr/>
        <w:pict>
          <v:rect style="position:absolute;margin-left:113.330002pt;margin-top:10.013632pt;width:144.050pt;height:.48004pt;mso-position-horizontal-relative:page;mso-position-vertical-relative:paragraph;z-index:-15675392;mso-wrap-distance-left:0;mso-wrap-distance-right:0" id="docshape388" filled="true" fillcolor="#000000" stroked="false">
            <v:fill type="solid"/>
            <w10:wrap type="topAndBottom"/>
          </v:rect>
        </w:pict>
      </w:r>
    </w:p>
    <w:p>
      <w:pPr>
        <w:spacing w:before="86"/>
        <w:ind w:left="2246" w:right="2243" w:firstLine="0"/>
        <w:jc w:val="both"/>
        <w:rPr>
          <w:sz w:val="16"/>
        </w:rPr>
      </w:pPr>
      <w:r>
        <w:rPr>
          <w:position w:val="5"/>
          <w:sz w:val="10"/>
        </w:rPr>
        <w:t>149 </w:t>
      </w:r>
      <w:r>
        <w:rPr>
          <w:sz w:val="16"/>
        </w:rPr>
        <w:t>The</w:t>
      </w:r>
      <w:r>
        <w:rPr>
          <w:spacing w:val="-2"/>
          <w:sz w:val="16"/>
        </w:rPr>
        <w:t> </w:t>
      </w:r>
      <w:r>
        <w:rPr>
          <w:sz w:val="16"/>
        </w:rPr>
        <w:t>nature</w:t>
      </w:r>
      <w:r>
        <w:rPr>
          <w:spacing w:val="-2"/>
          <w:sz w:val="16"/>
        </w:rPr>
        <w:t> </w:t>
      </w:r>
      <w:r>
        <w:rPr>
          <w:sz w:val="16"/>
        </w:rPr>
        <w:t>of the</w:t>
      </w:r>
      <w:r>
        <w:rPr>
          <w:spacing w:val="-2"/>
          <w:sz w:val="16"/>
        </w:rPr>
        <w:t> </w:t>
      </w:r>
      <w:r>
        <w:rPr>
          <w:sz w:val="16"/>
        </w:rPr>
        <w:t>appeals</w:t>
      </w:r>
      <w:r>
        <w:rPr>
          <w:spacing w:val="-3"/>
          <w:sz w:val="16"/>
        </w:rPr>
        <w:t> </w:t>
      </w:r>
      <w:r>
        <w:rPr>
          <w:sz w:val="16"/>
        </w:rPr>
        <w:t>process</w:t>
      </w:r>
      <w:r>
        <w:rPr>
          <w:spacing w:val="-3"/>
          <w:sz w:val="16"/>
        </w:rPr>
        <w:t> </w:t>
      </w:r>
      <w:r>
        <w:rPr>
          <w:sz w:val="16"/>
        </w:rPr>
        <w:t>is</w:t>
      </w:r>
      <w:r>
        <w:rPr>
          <w:spacing w:val="-3"/>
          <w:sz w:val="16"/>
        </w:rPr>
        <w:t> </w:t>
      </w:r>
      <w:r>
        <w:rPr>
          <w:sz w:val="16"/>
        </w:rPr>
        <w:t>such</w:t>
      </w:r>
      <w:r>
        <w:rPr>
          <w:spacing w:val="-1"/>
          <w:sz w:val="16"/>
        </w:rPr>
        <w:t> </w:t>
      </w:r>
      <w:r>
        <w:rPr>
          <w:sz w:val="16"/>
        </w:rPr>
        <w:t>that, until decisions</w:t>
      </w:r>
      <w:r>
        <w:rPr>
          <w:spacing w:val="-3"/>
          <w:sz w:val="16"/>
        </w:rPr>
        <w:t> </w:t>
      </w:r>
      <w:r>
        <w:rPr>
          <w:sz w:val="16"/>
        </w:rPr>
        <w:t>are</w:t>
      </w:r>
      <w:r>
        <w:rPr>
          <w:spacing w:val="-1"/>
          <w:sz w:val="16"/>
        </w:rPr>
        <w:t> </w:t>
      </w:r>
      <w:r>
        <w:rPr>
          <w:sz w:val="16"/>
        </w:rPr>
        <w:t>issued</w:t>
      </w:r>
      <w:r>
        <w:rPr>
          <w:spacing w:val="-1"/>
          <w:sz w:val="16"/>
        </w:rPr>
        <w:t> </w:t>
      </w:r>
      <w:r>
        <w:rPr>
          <w:sz w:val="16"/>
        </w:rPr>
        <w:t>by the</w:t>
      </w:r>
      <w:r>
        <w:rPr>
          <w:spacing w:val="-2"/>
          <w:sz w:val="16"/>
        </w:rPr>
        <w:t> </w:t>
      </w:r>
      <w:r>
        <w:rPr>
          <w:sz w:val="16"/>
        </w:rPr>
        <w:t>Trial Chambers</w:t>
      </w:r>
      <w:r>
        <w:rPr>
          <w:spacing w:val="-2"/>
          <w:sz w:val="16"/>
        </w:rPr>
        <w:t> </w:t>
      </w:r>
      <w:r>
        <w:rPr>
          <w:sz w:val="16"/>
        </w:rPr>
        <w:t>in the</w:t>
      </w:r>
      <w:r>
        <w:rPr>
          <w:spacing w:val="-1"/>
          <w:sz w:val="16"/>
        </w:rPr>
        <w:t> </w:t>
      </w:r>
      <w:r>
        <w:rPr>
          <w:i/>
          <w:sz w:val="16"/>
        </w:rPr>
        <w:t>Al Hassan</w:t>
      </w:r>
      <w:r>
        <w:rPr>
          <w:i/>
          <w:spacing w:val="40"/>
          <w:sz w:val="16"/>
        </w:rPr>
        <w:t> </w:t>
      </w:r>
      <w:r>
        <w:rPr>
          <w:sz w:val="16"/>
        </w:rPr>
        <w:t>and </w:t>
      </w:r>
      <w:r>
        <w:rPr>
          <w:i/>
          <w:sz w:val="16"/>
        </w:rPr>
        <w:t>Gicheru </w:t>
      </w:r>
      <w:r>
        <w:rPr>
          <w:sz w:val="16"/>
        </w:rPr>
        <w:t>cases, it cannot be said that a final appeal is “certain” to be entered. However, it is highly likely that</w:t>
      </w:r>
      <w:r>
        <w:rPr>
          <w:spacing w:val="40"/>
          <w:sz w:val="16"/>
        </w:rPr>
        <w:t> </w:t>
      </w:r>
      <w:r>
        <w:rPr>
          <w:sz w:val="16"/>
        </w:rPr>
        <w:t>any decision of the Trial Chamber (either to convict or acquit) will be appealed.</w:t>
      </w:r>
    </w:p>
    <w:p>
      <w:pPr>
        <w:spacing w:line="240" w:lineRule="auto" w:before="0"/>
        <w:ind w:left="2246" w:right="2244" w:firstLine="0"/>
        <w:jc w:val="both"/>
        <w:rPr>
          <w:sz w:val="16"/>
        </w:rPr>
      </w:pPr>
      <w:r>
        <w:rPr>
          <w:position w:val="5"/>
          <w:sz w:val="10"/>
        </w:rPr>
        <w:t>150 </w:t>
      </w:r>
      <w:r>
        <w:rPr>
          <w:sz w:val="16"/>
        </w:rPr>
        <w:t>Figures represent the number of individual applications expected to be received. Applications for participation</w:t>
      </w:r>
      <w:r>
        <w:rPr>
          <w:spacing w:val="40"/>
          <w:sz w:val="16"/>
        </w:rPr>
        <w:t> </w:t>
      </w:r>
      <w:r>
        <w:rPr>
          <w:sz w:val="16"/>
        </w:rPr>
        <w:t>and applications for reparations are counted separately. Submissions of additional information are also counted</w:t>
      </w:r>
      <w:r>
        <w:rPr>
          <w:spacing w:val="40"/>
          <w:sz w:val="16"/>
        </w:rPr>
        <w:t> </w:t>
      </w:r>
      <w:r>
        <w:rPr>
          <w:sz w:val="16"/>
        </w:rPr>
        <w:t>separately</w:t>
      </w:r>
      <w:r>
        <w:rPr>
          <w:spacing w:val="-10"/>
          <w:sz w:val="16"/>
        </w:rPr>
        <w:t> </w:t>
      </w:r>
      <w:r>
        <w:rPr>
          <w:sz w:val="16"/>
        </w:rPr>
        <w:t>where</w:t>
      </w:r>
      <w:r>
        <w:rPr>
          <w:spacing w:val="-10"/>
          <w:sz w:val="16"/>
        </w:rPr>
        <w:t> </w:t>
      </w:r>
      <w:r>
        <w:rPr>
          <w:sz w:val="16"/>
        </w:rPr>
        <w:t>full</w:t>
      </w:r>
      <w:r>
        <w:rPr>
          <w:spacing w:val="-10"/>
          <w:sz w:val="16"/>
        </w:rPr>
        <w:t> </w:t>
      </w:r>
      <w:r>
        <w:rPr>
          <w:sz w:val="16"/>
        </w:rPr>
        <w:t>Registry</w:t>
      </w:r>
      <w:r>
        <w:rPr>
          <w:spacing w:val="-7"/>
          <w:sz w:val="16"/>
        </w:rPr>
        <w:t> </w:t>
      </w:r>
      <w:r>
        <w:rPr>
          <w:sz w:val="16"/>
        </w:rPr>
        <w:t>data</w:t>
      </w:r>
      <w:r>
        <w:rPr>
          <w:spacing w:val="-10"/>
          <w:sz w:val="16"/>
        </w:rPr>
        <w:t> </w:t>
      </w:r>
      <w:r>
        <w:rPr>
          <w:sz w:val="16"/>
        </w:rPr>
        <w:t>entry</w:t>
      </w:r>
      <w:r>
        <w:rPr>
          <w:spacing w:val="-8"/>
          <w:sz w:val="16"/>
        </w:rPr>
        <w:t> </w:t>
      </w:r>
      <w:r>
        <w:rPr>
          <w:sz w:val="16"/>
        </w:rPr>
        <w:t>and</w:t>
      </w:r>
      <w:r>
        <w:rPr>
          <w:spacing w:val="-8"/>
          <w:sz w:val="16"/>
        </w:rPr>
        <w:t> </w:t>
      </w:r>
      <w:r>
        <w:rPr>
          <w:sz w:val="16"/>
        </w:rPr>
        <w:t>legal</w:t>
      </w:r>
      <w:r>
        <w:rPr>
          <w:spacing w:val="-10"/>
          <w:sz w:val="16"/>
        </w:rPr>
        <w:t> </w:t>
      </w:r>
      <w:r>
        <w:rPr>
          <w:sz w:val="16"/>
        </w:rPr>
        <w:t>assessment</w:t>
      </w:r>
      <w:r>
        <w:rPr>
          <w:spacing w:val="-10"/>
          <w:sz w:val="16"/>
        </w:rPr>
        <w:t> </w:t>
      </w:r>
      <w:r>
        <w:rPr>
          <w:sz w:val="16"/>
        </w:rPr>
        <w:t>is</w:t>
      </w:r>
      <w:r>
        <w:rPr>
          <w:spacing w:val="-9"/>
          <w:sz w:val="16"/>
        </w:rPr>
        <w:t> </w:t>
      </w:r>
      <w:r>
        <w:rPr>
          <w:sz w:val="16"/>
        </w:rPr>
        <w:t>required</w:t>
      </w:r>
      <w:r>
        <w:rPr>
          <w:spacing w:val="-10"/>
          <w:sz w:val="16"/>
        </w:rPr>
        <w:t> </w:t>
      </w:r>
      <w:r>
        <w:rPr>
          <w:sz w:val="16"/>
        </w:rPr>
        <w:t>(e.g.</w:t>
      </w:r>
      <w:r>
        <w:rPr>
          <w:spacing w:val="-10"/>
          <w:sz w:val="16"/>
        </w:rPr>
        <w:t> </w:t>
      </w:r>
      <w:r>
        <w:rPr>
          <w:sz w:val="16"/>
        </w:rPr>
        <w:t>where</w:t>
      </w:r>
      <w:r>
        <w:rPr>
          <w:spacing w:val="-8"/>
          <w:sz w:val="16"/>
        </w:rPr>
        <w:t> </w:t>
      </w:r>
      <w:r>
        <w:rPr>
          <w:sz w:val="16"/>
        </w:rPr>
        <w:t>an</w:t>
      </w:r>
      <w:r>
        <w:rPr>
          <w:spacing w:val="-8"/>
          <w:sz w:val="16"/>
        </w:rPr>
        <w:t> </w:t>
      </w:r>
      <w:r>
        <w:rPr>
          <w:sz w:val="16"/>
        </w:rPr>
        <w:t>additional</w:t>
      </w:r>
      <w:r>
        <w:rPr>
          <w:spacing w:val="-10"/>
          <w:sz w:val="16"/>
        </w:rPr>
        <w:t> </w:t>
      </w:r>
      <w:r>
        <w:rPr>
          <w:sz w:val="16"/>
        </w:rPr>
        <w:t>form</w:t>
      </w:r>
      <w:r>
        <w:rPr>
          <w:spacing w:val="-8"/>
          <w:sz w:val="16"/>
        </w:rPr>
        <w:t> </w:t>
      </w:r>
      <w:r>
        <w:rPr>
          <w:sz w:val="16"/>
        </w:rPr>
        <w:t>is</w:t>
      </w:r>
      <w:r>
        <w:rPr>
          <w:spacing w:val="-9"/>
          <w:sz w:val="16"/>
        </w:rPr>
        <w:t> </w:t>
      </w:r>
      <w:r>
        <w:rPr>
          <w:sz w:val="16"/>
        </w:rPr>
        <w:t>received).</w:t>
      </w:r>
      <w:r>
        <w:rPr>
          <w:spacing w:val="40"/>
          <w:sz w:val="16"/>
        </w:rPr>
        <w:t> </w:t>
      </w:r>
      <w:r>
        <w:rPr>
          <w:w w:val="95"/>
          <w:position w:val="5"/>
          <w:sz w:val="10"/>
        </w:rPr>
        <w:t>151</w:t>
      </w:r>
      <w:r>
        <w:rPr>
          <w:spacing w:val="9"/>
          <w:position w:val="5"/>
          <w:sz w:val="10"/>
        </w:rPr>
        <w:t> </w:t>
      </w:r>
      <w:r>
        <w:rPr>
          <w:w w:val="95"/>
          <w:sz w:val="16"/>
        </w:rPr>
        <w:t>For the</w:t>
      </w:r>
      <w:r>
        <w:rPr>
          <w:sz w:val="16"/>
        </w:rPr>
        <w:t> </w:t>
      </w:r>
      <w:r>
        <w:rPr>
          <w:w w:val="95"/>
          <w:sz w:val="16"/>
        </w:rPr>
        <w:t>purposes</w:t>
      </w:r>
      <w:r>
        <w:rPr>
          <w:sz w:val="16"/>
        </w:rPr>
        <w:t> </w:t>
      </w:r>
      <w:r>
        <w:rPr>
          <w:w w:val="95"/>
          <w:sz w:val="16"/>
        </w:rPr>
        <w:t>of this</w:t>
      </w:r>
      <w:r>
        <w:rPr>
          <w:sz w:val="16"/>
        </w:rPr>
        <w:t> </w:t>
      </w:r>
      <w:r>
        <w:rPr>
          <w:w w:val="95"/>
          <w:sz w:val="16"/>
        </w:rPr>
        <w:t>document only, the</w:t>
      </w:r>
      <w:r>
        <w:rPr>
          <w:sz w:val="16"/>
        </w:rPr>
        <w:t> </w:t>
      </w:r>
      <w:r>
        <w:rPr>
          <w:w w:val="95"/>
          <w:sz w:val="16"/>
        </w:rPr>
        <w:t>term</w:t>
      </w:r>
      <w:r>
        <w:rPr>
          <w:sz w:val="16"/>
        </w:rPr>
        <w:t> </w:t>
      </w:r>
      <w:r>
        <w:rPr>
          <w:w w:val="95"/>
          <w:sz w:val="16"/>
        </w:rPr>
        <w:t>“accused”</w:t>
      </w:r>
      <w:r>
        <w:rPr>
          <w:sz w:val="16"/>
        </w:rPr>
        <w:t> </w:t>
      </w:r>
      <w:r>
        <w:rPr>
          <w:w w:val="95"/>
          <w:sz w:val="16"/>
        </w:rPr>
        <w:t>includes</w:t>
      </w:r>
      <w:r>
        <w:rPr>
          <w:sz w:val="16"/>
        </w:rPr>
        <w:t> </w:t>
      </w:r>
      <w:r>
        <w:rPr>
          <w:w w:val="95"/>
          <w:sz w:val="16"/>
        </w:rPr>
        <w:t>persons</w:t>
      </w:r>
      <w:r>
        <w:rPr>
          <w:sz w:val="16"/>
        </w:rPr>
        <w:t> </w:t>
      </w:r>
      <w:r>
        <w:rPr>
          <w:w w:val="95"/>
          <w:sz w:val="16"/>
        </w:rPr>
        <w:t>who</w:t>
      </w:r>
      <w:r>
        <w:rPr>
          <w:spacing w:val="10"/>
          <w:sz w:val="16"/>
        </w:rPr>
        <w:t> </w:t>
      </w:r>
      <w:r>
        <w:rPr>
          <w:w w:val="95"/>
          <w:sz w:val="16"/>
        </w:rPr>
        <w:t>have</w:t>
      </w:r>
      <w:r>
        <w:rPr>
          <w:sz w:val="16"/>
        </w:rPr>
        <w:t> </w:t>
      </w:r>
      <w:r>
        <w:rPr>
          <w:w w:val="95"/>
          <w:sz w:val="16"/>
        </w:rPr>
        <w:t>been</w:t>
      </w:r>
      <w:r>
        <w:rPr>
          <w:spacing w:val="10"/>
          <w:sz w:val="16"/>
        </w:rPr>
        <w:t> </w:t>
      </w:r>
      <w:r>
        <w:rPr>
          <w:w w:val="95"/>
          <w:sz w:val="16"/>
        </w:rPr>
        <w:t>acquitted</w:t>
      </w:r>
      <w:r>
        <w:rPr>
          <w:spacing w:val="10"/>
          <w:sz w:val="16"/>
        </w:rPr>
        <w:t> </w:t>
      </w:r>
      <w:r>
        <w:rPr>
          <w:w w:val="95"/>
          <w:sz w:val="16"/>
        </w:rPr>
        <w:t>or convicted</w:t>
      </w:r>
      <w:r>
        <w:rPr>
          <w:spacing w:val="40"/>
          <w:sz w:val="16"/>
        </w:rPr>
        <w:t> </w:t>
      </w:r>
      <w:r>
        <w:rPr>
          <w:sz w:val="16"/>
        </w:rPr>
        <w:t>at first instance and whose cases are awaiting the outcome of a final appeal. Persons appearing before the Court</w:t>
      </w:r>
      <w:r>
        <w:rPr>
          <w:spacing w:val="40"/>
          <w:sz w:val="16"/>
        </w:rPr>
        <w:t> </w:t>
      </w:r>
      <w:r>
        <w:rPr>
          <w:sz w:val="16"/>
        </w:rPr>
        <w:t>solely for reparations proceedings are outside the scope of this definition.</w:t>
      </w:r>
    </w:p>
    <w:p>
      <w:pPr>
        <w:spacing w:after="0" w:line="240" w:lineRule="auto"/>
        <w:jc w:val="both"/>
        <w:rPr>
          <w:sz w:val="16"/>
        </w:rPr>
        <w:sectPr>
          <w:pgSz w:w="11910" w:h="16840"/>
          <w:pgMar w:header="953" w:footer="940" w:top="1140" w:bottom="1140" w:left="20" w:right="20"/>
        </w:sectPr>
      </w:pPr>
    </w:p>
    <w:p>
      <w:pPr>
        <w:pStyle w:val="Heading1"/>
      </w:pPr>
      <w:r>
        <w:rPr/>
        <w:t>Annex</w:t>
      </w:r>
      <w:r>
        <w:rPr>
          <w:spacing w:val="-9"/>
        </w:rPr>
        <w:t> </w:t>
      </w:r>
      <w:r>
        <w:rPr>
          <w:spacing w:val="-5"/>
        </w:rPr>
        <w:t>III</w:t>
      </w:r>
    </w:p>
    <w:p>
      <w:pPr>
        <w:spacing w:line="240" w:lineRule="auto" w:before="0"/>
        <w:rPr>
          <w:b/>
          <w:sz w:val="30"/>
        </w:rPr>
      </w:pPr>
      <w:r>
        <w:rPr/>
        <w:br w:type="column"/>
      </w:r>
      <w:r>
        <w:rPr>
          <w:b/>
          <w:sz w:val="30"/>
        </w:rPr>
      </w:r>
    </w:p>
    <w:p>
      <w:pPr>
        <w:pStyle w:val="BodyText"/>
        <w:spacing w:before="5"/>
        <w:rPr>
          <w:b/>
          <w:sz w:val="29"/>
        </w:rPr>
      </w:pPr>
    </w:p>
    <w:p>
      <w:pPr>
        <w:pStyle w:val="Heading1"/>
        <w:spacing w:line="256" w:lineRule="auto" w:before="0"/>
        <w:ind w:left="74" w:right="1712"/>
      </w:pPr>
      <w:bookmarkStart w:name="_bookmark65" w:id="66"/>
      <w:bookmarkEnd w:id="66"/>
      <w:r>
        <w:rPr>
          <w:b w:val="0"/>
        </w:rPr>
      </w:r>
      <w:r>
        <w:rPr/>
        <w:t>List</w:t>
      </w:r>
      <w:r>
        <w:rPr>
          <w:spacing w:val="40"/>
        </w:rPr>
        <w:t> </w:t>
      </w:r>
      <w:r>
        <w:rPr/>
        <w:t>of</w:t>
      </w:r>
      <w:r>
        <w:rPr>
          <w:spacing w:val="40"/>
        </w:rPr>
        <w:t> </w:t>
      </w:r>
      <w:r>
        <w:rPr/>
        <w:t>potential</w:t>
      </w:r>
      <w:r>
        <w:rPr>
          <w:spacing w:val="40"/>
        </w:rPr>
        <w:t> </w:t>
      </w:r>
      <w:r>
        <w:rPr/>
        <w:t>developments</w:t>
      </w:r>
      <w:r>
        <w:rPr>
          <w:spacing w:val="40"/>
        </w:rPr>
        <w:t> </w:t>
      </w:r>
      <w:r>
        <w:rPr/>
        <w:t>which</w:t>
      </w:r>
      <w:r>
        <w:rPr>
          <w:spacing w:val="40"/>
        </w:rPr>
        <w:t> </w:t>
      </w:r>
      <w:r>
        <w:rPr/>
        <w:t>could</w:t>
      </w:r>
      <w:r>
        <w:rPr>
          <w:spacing w:val="40"/>
        </w:rPr>
        <w:t> </w:t>
      </w:r>
      <w:r>
        <w:rPr/>
        <w:t>have</w:t>
      </w:r>
      <w:r>
        <w:rPr>
          <w:spacing w:val="40"/>
        </w:rPr>
        <w:t> </w:t>
      </w:r>
      <w:r>
        <w:rPr/>
        <w:t>an</w:t>
      </w:r>
      <w:r>
        <w:rPr>
          <w:spacing w:val="40"/>
        </w:rPr>
        <w:t> </w:t>
      </w:r>
      <w:r>
        <w:rPr/>
        <w:t>impact on the 2023 Proposed Programme Budget</w:t>
      </w:r>
    </w:p>
    <w:p>
      <w:pPr>
        <w:spacing w:after="0" w:line="256" w:lineRule="auto"/>
        <w:sectPr>
          <w:pgSz w:w="11910" w:h="16840"/>
          <w:pgMar w:header="957" w:footer="940" w:top="1140" w:bottom="1140" w:left="20" w:right="20"/>
          <w:cols w:num="2" w:equalWidth="0">
            <w:col w:w="2853" w:space="40"/>
            <w:col w:w="8977"/>
          </w:cols>
        </w:sectPr>
      </w:pPr>
    </w:p>
    <w:p>
      <w:pPr>
        <w:pStyle w:val="BodyText"/>
        <w:spacing w:before="3"/>
        <w:rPr>
          <w:b/>
          <w:sz w:val="13"/>
        </w:rPr>
      </w:pPr>
    </w:p>
    <w:p>
      <w:pPr>
        <w:pStyle w:val="ListParagraph"/>
        <w:numPr>
          <w:ilvl w:val="0"/>
          <w:numId w:val="23"/>
        </w:numPr>
        <w:tabs>
          <w:tab w:pos="2966" w:val="left" w:leader="none"/>
          <w:tab w:pos="2967" w:val="left" w:leader="none"/>
        </w:tabs>
        <w:spacing w:line="240" w:lineRule="auto" w:before="93" w:after="0"/>
        <w:ind w:left="2967" w:right="0" w:hanging="361"/>
        <w:jc w:val="left"/>
        <w:rPr>
          <w:sz w:val="20"/>
        </w:rPr>
      </w:pPr>
      <w:r>
        <w:rPr>
          <w:sz w:val="20"/>
        </w:rPr>
        <w:t>Procedural</w:t>
      </w:r>
      <w:r>
        <w:rPr>
          <w:spacing w:val="-4"/>
          <w:sz w:val="20"/>
        </w:rPr>
        <w:t> </w:t>
      </w:r>
      <w:r>
        <w:rPr>
          <w:sz w:val="20"/>
        </w:rPr>
        <w:t>developments</w:t>
      </w:r>
      <w:r>
        <w:rPr>
          <w:spacing w:val="-10"/>
          <w:sz w:val="20"/>
        </w:rPr>
        <w:t> </w:t>
      </w:r>
      <w:r>
        <w:rPr>
          <w:sz w:val="20"/>
        </w:rPr>
        <w:t>leading</w:t>
      </w:r>
      <w:r>
        <w:rPr>
          <w:spacing w:val="-8"/>
          <w:sz w:val="20"/>
        </w:rPr>
        <w:t> </w:t>
      </w:r>
      <w:r>
        <w:rPr>
          <w:sz w:val="20"/>
        </w:rPr>
        <w:t>to</w:t>
      </w:r>
      <w:r>
        <w:rPr>
          <w:spacing w:val="-4"/>
          <w:sz w:val="20"/>
        </w:rPr>
        <w:t> </w:t>
      </w:r>
      <w:r>
        <w:rPr>
          <w:sz w:val="20"/>
        </w:rPr>
        <w:t>delays</w:t>
      </w:r>
      <w:r>
        <w:rPr>
          <w:spacing w:val="-10"/>
          <w:sz w:val="20"/>
        </w:rPr>
        <w:t> </w:t>
      </w:r>
      <w:r>
        <w:rPr>
          <w:sz w:val="20"/>
        </w:rPr>
        <w:t>in</w:t>
      </w:r>
      <w:r>
        <w:rPr>
          <w:spacing w:val="-8"/>
          <w:sz w:val="20"/>
        </w:rPr>
        <w:t> </w:t>
      </w:r>
      <w:r>
        <w:rPr>
          <w:sz w:val="20"/>
        </w:rPr>
        <w:t>ongoing</w:t>
      </w:r>
      <w:r>
        <w:rPr>
          <w:spacing w:val="-8"/>
          <w:sz w:val="20"/>
        </w:rPr>
        <w:t> </w:t>
      </w:r>
      <w:r>
        <w:rPr>
          <w:sz w:val="20"/>
        </w:rPr>
        <w:t>proceedings,</w:t>
      </w:r>
      <w:r>
        <w:rPr>
          <w:spacing w:val="-5"/>
          <w:sz w:val="20"/>
        </w:rPr>
        <w:t> </w:t>
      </w:r>
      <w:r>
        <w:rPr>
          <w:spacing w:val="-2"/>
          <w:sz w:val="20"/>
        </w:rPr>
        <w:t>including:</w:t>
      </w:r>
    </w:p>
    <w:p>
      <w:pPr>
        <w:pStyle w:val="ListParagraph"/>
        <w:numPr>
          <w:ilvl w:val="1"/>
          <w:numId w:val="23"/>
        </w:numPr>
        <w:tabs>
          <w:tab w:pos="3687" w:val="left" w:leader="none"/>
        </w:tabs>
        <w:spacing w:line="240" w:lineRule="auto" w:before="121" w:after="0"/>
        <w:ind w:left="2957" w:right="2248" w:firstLine="0"/>
        <w:jc w:val="both"/>
        <w:rPr>
          <w:sz w:val="20"/>
        </w:rPr>
      </w:pPr>
      <w:r>
        <w:rPr>
          <w:sz w:val="20"/>
        </w:rPr>
        <w:t>Delays in proceedings due to unexpected evidentiary obstacles (example: (temporary) unavailability of witnesses);</w:t>
      </w:r>
    </w:p>
    <w:p>
      <w:pPr>
        <w:pStyle w:val="ListParagraph"/>
        <w:numPr>
          <w:ilvl w:val="1"/>
          <w:numId w:val="23"/>
        </w:numPr>
        <w:tabs>
          <w:tab w:pos="3687" w:val="left" w:leader="none"/>
        </w:tabs>
        <w:spacing w:line="240" w:lineRule="auto" w:before="121" w:after="0"/>
        <w:ind w:left="2957" w:right="2236" w:firstLine="0"/>
        <w:jc w:val="both"/>
        <w:rPr>
          <w:sz w:val="20"/>
        </w:rPr>
      </w:pPr>
      <w:r>
        <w:rPr>
          <w:sz w:val="20"/>
        </w:rPr>
        <w:t>Issues subject to interlocutory appeals before the Appeals Chamber: any interlocutory appeals (requiring suspensive effect) in cases at (pre-)trial, delaying progress in proceedings on the merits; and</w:t>
      </w:r>
    </w:p>
    <w:p>
      <w:pPr>
        <w:pStyle w:val="ListParagraph"/>
        <w:numPr>
          <w:ilvl w:val="1"/>
          <w:numId w:val="23"/>
        </w:numPr>
        <w:tabs>
          <w:tab w:pos="3687" w:val="left" w:leader="none"/>
        </w:tabs>
        <w:spacing w:line="240" w:lineRule="auto" w:before="121" w:after="0"/>
        <w:ind w:left="2957" w:right="2237" w:firstLine="0"/>
        <w:jc w:val="both"/>
        <w:rPr>
          <w:sz w:val="20"/>
        </w:rPr>
      </w:pPr>
      <w:r>
        <w:rPr>
          <w:sz w:val="20"/>
        </w:rPr>
        <w:t>Abeyance</w:t>
      </w:r>
      <w:r>
        <w:rPr>
          <w:spacing w:val="-1"/>
          <w:sz w:val="20"/>
        </w:rPr>
        <w:t> </w:t>
      </w:r>
      <w:r>
        <w:rPr>
          <w:sz w:val="20"/>
        </w:rPr>
        <w:t>of proceedings due</w:t>
      </w:r>
      <w:r>
        <w:rPr>
          <w:spacing w:val="-1"/>
          <w:sz w:val="20"/>
        </w:rPr>
        <w:t> </w:t>
      </w:r>
      <w:r>
        <w:rPr>
          <w:sz w:val="20"/>
        </w:rPr>
        <w:t>to the unavailability of</w:t>
      </w:r>
      <w:r>
        <w:rPr>
          <w:spacing w:val="-3"/>
          <w:sz w:val="20"/>
        </w:rPr>
        <w:t> </w:t>
      </w:r>
      <w:r>
        <w:rPr>
          <w:sz w:val="20"/>
        </w:rPr>
        <w:t>a judge or</w:t>
      </w:r>
      <w:r>
        <w:rPr>
          <w:spacing w:val="-3"/>
          <w:sz w:val="20"/>
        </w:rPr>
        <w:t> </w:t>
      </w:r>
      <w:r>
        <w:rPr>
          <w:sz w:val="20"/>
        </w:rPr>
        <w:t>a party</w:t>
      </w:r>
      <w:r>
        <w:rPr>
          <w:spacing w:val="-3"/>
          <w:sz w:val="20"/>
        </w:rPr>
        <w:t> </w:t>
      </w:r>
      <w:r>
        <w:rPr>
          <w:sz w:val="20"/>
        </w:rPr>
        <w:t>to the proceedings (or the latter’s senior representative) owing to, </w:t>
      </w:r>
      <w:r>
        <w:rPr>
          <w:i/>
          <w:sz w:val="20"/>
        </w:rPr>
        <w:t>inter alia</w:t>
      </w:r>
      <w:r>
        <w:rPr>
          <w:sz w:val="20"/>
        </w:rPr>
        <w:t>, disqualification, withdrawal, serious illness or death.</w:t>
      </w:r>
    </w:p>
    <w:p>
      <w:pPr>
        <w:pStyle w:val="ListParagraph"/>
        <w:numPr>
          <w:ilvl w:val="0"/>
          <w:numId w:val="23"/>
        </w:numPr>
        <w:tabs>
          <w:tab w:pos="2966" w:val="left" w:leader="none"/>
          <w:tab w:pos="2967" w:val="left" w:leader="none"/>
        </w:tabs>
        <w:spacing w:line="240" w:lineRule="auto" w:before="122" w:after="0"/>
        <w:ind w:left="2967" w:right="0" w:hanging="361"/>
        <w:jc w:val="left"/>
        <w:rPr>
          <w:sz w:val="20"/>
        </w:rPr>
      </w:pPr>
      <w:r>
        <w:rPr>
          <w:sz w:val="20"/>
        </w:rPr>
        <w:t>Procedural</w:t>
      </w:r>
      <w:r>
        <w:rPr>
          <w:spacing w:val="-4"/>
          <w:sz w:val="20"/>
        </w:rPr>
        <w:t> </w:t>
      </w:r>
      <w:r>
        <w:rPr>
          <w:sz w:val="20"/>
        </w:rPr>
        <w:t>developments</w:t>
      </w:r>
      <w:r>
        <w:rPr>
          <w:spacing w:val="-9"/>
          <w:sz w:val="20"/>
        </w:rPr>
        <w:t> </w:t>
      </w:r>
      <w:r>
        <w:rPr>
          <w:sz w:val="20"/>
        </w:rPr>
        <w:t>leading</w:t>
      </w:r>
      <w:r>
        <w:rPr>
          <w:spacing w:val="-9"/>
          <w:sz w:val="20"/>
        </w:rPr>
        <w:t> </w:t>
      </w:r>
      <w:r>
        <w:rPr>
          <w:sz w:val="20"/>
        </w:rPr>
        <w:t>to</w:t>
      </w:r>
      <w:r>
        <w:rPr>
          <w:spacing w:val="-8"/>
          <w:sz w:val="20"/>
        </w:rPr>
        <w:t> </w:t>
      </w:r>
      <w:r>
        <w:rPr>
          <w:sz w:val="20"/>
        </w:rPr>
        <w:t>new</w:t>
      </w:r>
      <w:r>
        <w:rPr>
          <w:spacing w:val="-9"/>
          <w:sz w:val="20"/>
        </w:rPr>
        <w:t> </w:t>
      </w:r>
      <w:r>
        <w:rPr>
          <w:sz w:val="20"/>
        </w:rPr>
        <w:t>activities</w:t>
      </w:r>
      <w:r>
        <w:rPr>
          <w:spacing w:val="-9"/>
          <w:sz w:val="20"/>
        </w:rPr>
        <w:t> </w:t>
      </w:r>
      <w:r>
        <w:rPr>
          <w:sz w:val="20"/>
        </w:rPr>
        <w:t>currently</w:t>
      </w:r>
      <w:r>
        <w:rPr>
          <w:spacing w:val="-11"/>
          <w:sz w:val="20"/>
        </w:rPr>
        <w:t> </w:t>
      </w:r>
      <w:r>
        <w:rPr>
          <w:spacing w:val="-2"/>
          <w:sz w:val="20"/>
        </w:rPr>
        <w:t>unforeseeable:</w:t>
      </w:r>
    </w:p>
    <w:p>
      <w:pPr>
        <w:pStyle w:val="ListParagraph"/>
        <w:numPr>
          <w:ilvl w:val="1"/>
          <w:numId w:val="23"/>
        </w:numPr>
        <w:tabs>
          <w:tab w:pos="3687" w:val="left" w:leader="none"/>
        </w:tabs>
        <w:spacing w:line="240" w:lineRule="auto" w:before="115" w:after="0"/>
        <w:ind w:left="3687" w:right="0" w:hanging="730"/>
        <w:jc w:val="both"/>
        <w:rPr>
          <w:sz w:val="20"/>
        </w:rPr>
      </w:pPr>
      <w:r>
        <w:rPr>
          <w:sz w:val="20"/>
        </w:rPr>
        <w:t>Confirmation</w:t>
      </w:r>
      <w:r>
        <w:rPr>
          <w:spacing w:val="-2"/>
          <w:sz w:val="20"/>
        </w:rPr>
        <w:t> </w:t>
      </w:r>
      <w:r>
        <w:rPr>
          <w:sz w:val="20"/>
        </w:rPr>
        <w:t>of</w:t>
      </w:r>
      <w:r>
        <w:rPr>
          <w:spacing w:val="-10"/>
          <w:sz w:val="20"/>
        </w:rPr>
        <w:t> </w:t>
      </w:r>
      <w:r>
        <w:rPr>
          <w:sz w:val="20"/>
        </w:rPr>
        <w:t>charges</w:t>
      </w:r>
      <w:r>
        <w:rPr>
          <w:spacing w:val="-7"/>
          <w:sz w:val="20"/>
        </w:rPr>
        <w:t> </w:t>
      </w:r>
      <w:r>
        <w:rPr>
          <w:sz w:val="20"/>
        </w:rPr>
        <w:t>leading</w:t>
      </w:r>
      <w:r>
        <w:rPr>
          <w:spacing w:val="-7"/>
          <w:sz w:val="20"/>
        </w:rPr>
        <w:t> </w:t>
      </w:r>
      <w:r>
        <w:rPr>
          <w:sz w:val="20"/>
        </w:rPr>
        <w:t>to</w:t>
      </w:r>
      <w:r>
        <w:rPr>
          <w:spacing w:val="-6"/>
          <w:sz w:val="20"/>
        </w:rPr>
        <w:t> </w:t>
      </w:r>
      <w:r>
        <w:rPr>
          <w:sz w:val="20"/>
        </w:rPr>
        <w:t>the opening</w:t>
      </w:r>
      <w:r>
        <w:rPr>
          <w:spacing w:val="-6"/>
          <w:sz w:val="20"/>
        </w:rPr>
        <w:t> </w:t>
      </w:r>
      <w:r>
        <w:rPr>
          <w:sz w:val="20"/>
        </w:rPr>
        <w:t>of</w:t>
      </w:r>
      <w:r>
        <w:rPr>
          <w:spacing w:val="-6"/>
          <w:sz w:val="20"/>
        </w:rPr>
        <w:t> </w:t>
      </w:r>
      <w:r>
        <w:rPr>
          <w:spacing w:val="-2"/>
          <w:sz w:val="20"/>
        </w:rPr>
        <w:t>trials.</w:t>
      </w:r>
    </w:p>
    <w:p>
      <w:pPr>
        <w:pStyle w:val="ListParagraph"/>
        <w:numPr>
          <w:ilvl w:val="0"/>
          <w:numId w:val="23"/>
        </w:numPr>
        <w:tabs>
          <w:tab w:pos="2966" w:val="left" w:leader="none"/>
          <w:tab w:pos="2967" w:val="left" w:leader="none"/>
        </w:tabs>
        <w:spacing w:line="240" w:lineRule="auto" w:before="121" w:after="0"/>
        <w:ind w:left="2967" w:right="0" w:hanging="361"/>
        <w:jc w:val="left"/>
        <w:rPr>
          <w:sz w:val="20"/>
        </w:rPr>
      </w:pPr>
      <w:r>
        <w:rPr>
          <w:sz w:val="20"/>
        </w:rPr>
        <w:t>Developments</w:t>
      </w:r>
      <w:r>
        <w:rPr>
          <w:spacing w:val="-11"/>
          <w:sz w:val="20"/>
        </w:rPr>
        <w:t> </w:t>
      </w:r>
      <w:r>
        <w:rPr>
          <w:sz w:val="20"/>
        </w:rPr>
        <w:t>currently</w:t>
      </w:r>
      <w:r>
        <w:rPr>
          <w:spacing w:val="-11"/>
          <w:sz w:val="20"/>
        </w:rPr>
        <w:t> </w:t>
      </w:r>
      <w:r>
        <w:rPr>
          <w:sz w:val="20"/>
        </w:rPr>
        <w:t>unforeseeable,</w:t>
      </w:r>
      <w:r>
        <w:rPr>
          <w:spacing w:val="-11"/>
          <w:sz w:val="20"/>
        </w:rPr>
        <w:t> </w:t>
      </w:r>
      <w:r>
        <w:rPr>
          <w:spacing w:val="-2"/>
          <w:sz w:val="20"/>
        </w:rPr>
        <w:t>including:</w:t>
      </w:r>
    </w:p>
    <w:p>
      <w:pPr>
        <w:pStyle w:val="ListParagraph"/>
        <w:numPr>
          <w:ilvl w:val="1"/>
          <w:numId w:val="23"/>
        </w:numPr>
        <w:tabs>
          <w:tab w:pos="3687" w:val="left" w:leader="none"/>
        </w:tabs>
        <w:spacing w:line="240" w:lineRule="auto" w:before="121" w:after="0"/>
        <w:ind w:left="3687" w:right="0" w:hanging="730"/>
        <w:jc w:val="both"/>
        <w:rPr>
          <w:sz w:val="20"/>
        </w:rPr>
      </w:pPr>
      <w:r>
        <w:rPr>
          <w:spacing w:val="-2"/>
          <w:sz w:val="20"/>
        </w:rPr>
        <w:t>Arrest</w:t>
      </w:r>
      <w:r>
        <w:rPr>
          <w:spacing w:val="-8"/>
          <w:sz w:val="20"/>
        </w:rPr>
        <w:t> </w:t>
      </w:r>
      <w:r>
        <w:rPr>
          <w:spacing w:val="-2"/>
          <w:sz w:val="20"/>
        </w:rPr>
        <w:t>or</w:t>
      </w:r>
      <w:r>
        <w:rPr>
          <w:spacing w:val="-1"/>
          <w:sz w:val="20"/>
        </w:rPr>
        <w:t> </w:t>
      </w:r>
      <w:r>
        <w:rPr>
          <w:spacing w:val="-2"/>
          <w:sz w:val="20"/>
        </w:rPr>
        <w:t>surrender</w:t>
      </w:r>
      <w:r>
        <w:rPr>
          <w:spacing w:val="-7"/>
          <w:sz w:val="20"/>
        </w:rPr>
        <w:t> </w:t>
      </w:r>
      <w:r>
        <w:rPr>
          <w:spacing w:val="-2"/>
          <w:sz w:val="20"/>
        </w:rPr>
        <w:t>to</w:t>
      </w:r>
      <w:r>
        <w:rPr>
          <w:spacing w:val="-12"/>
          <w:sz w:val="20"/>
        </w:rPr>
        <w:t> </w:t>
      </w:r>
      <w:r>
        <w:rPr>
          <w:spacing w:val="-2"/>
          <w:sz w:val="20"/>
        </w:rPr>
        <w:t>the</w:t>
      </w:r>
      <w:r>
        <w:rPr>
          <w:spacing w:val="-4"/>
          <w:sz w:val="20"/>
        </w:rPr>
        <w:t> </w:t>
      </w:r>
      <w:r>
        <w:rPr>
          <w:spacing w:val="-2"/>
          <w:sz w:val="20"/>
        </w:rPr>
        <w:t>Court</w:t>
      </w:r>
      <w:r>
        <w:rPr>
          <w:spacing w:val="-6"/>
          <w:sz w:val="20"/>
        </w:rPr>
        <w:t> </w:t>
      </w:r>
      <w:r>
        <w:rPr>
          <w:spacing w:val="-2"/>
          <w:sz w:val="20"/>
        </w:rPr>
        <w:t>of</w:t>
      </w:r>
      <w:r>
        <w:rPr>
          <w:spacing w:val="-6"/>
          <w:sz w:val="20"/>
        </w:rPr>
        <w:t> </w:t>
      </w:r>
      <w:r>
        <w:rPr>
          <w:spacing w:val="-2"/>
          <w:sz w:val="20"/>
        </w:rPr>
        <w:t>persons</w:t>
      </w:r>
      <w:r>
        <w:rPr>
          <w:spacing w:val="-3"/>
          <w:sz w:val="20"/>
        </w:rPr>
        <w:t> </w:t>
      </w:r>
      <w:r>
        <w:rPr>
          <w:spacing w:val="-2"/>
          <w:sz w:val="20"/>
        </w:rPr>
        <w:t>sought</w:t>
      </w:r>
      <w:r>
        <w:rPr>
          <w:spacing w:val="-6"/>
          <w:sz w:val="20"/>
        </w:rPr>
        <w:t> </w:t>
      </w:r>
      <w:r>
        <w:rPr>
          <w:spacing w:val="-2"/>
          <w:sz w:val="20"/>
        </w:rPr>
        <w:t>under</w:t>
      </w:r>
      <w:r>
        <w:rPr>
          <w:spacing w:val="-7"/>
          <w:sz w:val="20"/>
        </w:rPr>
        <w:t> </w:t>
      </w:r>
      <w:r>
        <w:rPr>
          <w:spacing w:val="-2"/>
          <w:sz w:val="20"/>
        </w:rPr>
        <w:t>a</w:t>
      </w:r>
      <w:r>
        <w:rPr>
          <w:spacing w:val="1"/>
          <w:sz w:val="20"/>
        </w:rPr>
        <w:t> </w:t>
      </w:r>
      <w:r>
        <w:rPr>
          <w:spacing w:val="-2"/>
          <w:sz w:val="20"/>
        </w:rPr>
        <w:t>warrant</w:t>
      </w:r>
      <w:r>
        <w:rPr>
          <w:spacing w:val="-6"/>
          <w:sz w:val="20"/>
        </w:rPr>
        <w:t> </w:t>
      </w:r>
      <w:r>
        <w:rPr>
          <w:spacing w:val="-2"/>
          <w:sz w:val="20"/>
        </w:rPr>
        <w:t>of</w:t>
      </w:r>
      <w:r>
        <w:rPr>
          <w:spacing w:val="-6"/>
          <w:sz w:val="20"/>
        </w:rPr>
        <w:t> </w:t>
      </w:r>
      <w:r>
        <w:rPr>
          <w:spacing w:val="-2"/>
          <w:sz w:val="20"/>
        </w:rPr>
        <w:t>arrest;</w:t>
      </w:r>
    </w:p>
    <w:p>
      <w:pPr>
        <w:pStyle w:val="ListParagraph"/>
        <w:numPr>
          <w:ilvl w:val="1"/>
          <w:numId w:val="23"/>
        </w:numPr>
        <w:tabs>
          <w:tab w:pos="3687" w:val="left" w:leader="none"/>
        </w:tabs>
        <w:spacing w:line="240" w:lineRule="auto" w:before="120" w:after="0"/>
        <w:ind w:left="2957" w:right="2240" w:firstLine="0"/>
        <w:jc w:val="both"/>
        <w:rPr>
          <w:sz w:val="20"/>
        </w:rPr>
      </w:pPr>
      <w:r>
        <w:rPr>
          <w:sz w:val="20"/>
        </w:rPr>
        <w:t>Opening by the Prosecutor of a </w:t>
      </w:r>
      <w:r>
        <w:rPr>
          <w:i/>
          <w:sz w:val="20"/>
        </w:rPr>
        <w:t>proprio motu </w:t>
      </w:r>
      <w:r>
        <w:rPr>
          <w:sz w:val="20"/>
        </w:rPr>
        <w:t>investigation in a new situation (after having sought and obtained leave from the Pre-Trial Chamber);</w:t>
      </w:r>
    </w:p>
    <w:p>
      <w:pPr>
        <w:pStyle w:val="ListParagraph"/>
        <w:numPr>
          <w:ilvl w:val="1"/>
          <w:numId w:val="23"/>
        </w:numPr>
        <w:tabs>
          <w:tab w:pos="3687" w:val="left" w:leader="none"/>
        </w:tabs>
        <w:spacing w:line="240" w:lineRule="auto" w:before="121" w:after="0"/>
        <w:ind w:left="3687" w:right="0" w:hanging="730"/>
        <w:jc w:val="both"/>
        <w:rPr>
          <w:sz w:val="20"/>
        </w:rPr>
      </w:pPr>
      <w:r>
        <w:rPr>
          <w:sz w:val="20"/>
        </w:rPr>
        <w:t>United</w:t>
      </w:r>
      <w:r>
        <w:rPr>
          <w:spacing w:val="-3"/>
          <w:sz w:val="20"/>
        </w:rPr>
        <w:t> </w:t>
      </w:r>
      <w:r>
        <w:rPr>
          <w:sz w:val="20"/>
        </w:rPr>
        <w:t>Nations</w:t>
      </w:r>
      <w:r>
        <w:rPr>
          <w:spacing w:val="-4"/>
          <w:sz w:val="20"/>
        </w:rPr>
        <w:t> </w:t>
      </w:r>
      <w:r>
        <w:rPr>
          <w:sz w:val="20"/>
        </w:rPr>
        <w:t>Security</w:t>
      </w:r>
      <w:r>
        <w:rPr>
          <w:spacing w:val="-7"/>
          <w:sz w:val="20"/>
        </w:rPr>
        <w:t> </w:t>
      </w:r>
      <w:r>
        <w:rPr>
          <w:sz w:val="20"/>
        </w:rPr>
        <w:t>Council</w:t>
      </w:r>
      <w:r>
        <w:rPr>
          <w:spacing w:val="-6"/>
          <w:sz w:val="20"/>
        </w:rPr>
        <w:t> </w:t>
      </w:r>
      <w:r>
        <w:rPr>
          <w:sz w:val="20"/>
        </w:rPr>
        <w:t>referral</w:t>
      </w:r>
      <w:r>
        <w:rPr>
          <w:spacing w:val="-5"/>
          <w:sz w:val="20"/>
        </w:rPr>
        <w:t> </w:t>
      </w:r>
      <w:r>
        <w:rPr>
          <w:sz w:val="20"/>
        </w:rPr>
        <w:t>of</w:t>
      </w:r>
      <w:r>
        <w:rPr>
          <w:spacing w:val="-7"/>
          <w:sz w:val="20"/>
        </w:rPr>
        <w:t> </w:t>
      </w:r>
      <w:r>
        <w:rPr>
          <w:sz w:val="20"/>
        </w:rPr>
        <w:t>a</w:t>
      </w:r>
      <w:r>
        <w:rPr>
          <w:spacing w:val="-1"/>
          <w:sz w:val="20"/>
        </w:rPr>
        <w:t> </w:t>
      </w:r>
      <w:r>
        <w:rPr>
          <w:sz w:val="20"/>
        </w:rPr>
        <w:t>situation</w:t>
      </w:r>
      <w:r>
        <w:rPr>
          <w:spacing w:val="-8"/>
          <w:sz w:val="20"/>
        </w:rPr>
        <w:t> </w:t>
      </w:r>
      <w:r>
        <w:rPr>
          <w:sz w:val="20"/>
        </w:rPr>
        <w:t>to</w:t>
      </w:r>
      <w:r>
        <w:rPr>
          <w:spacing w:val="-7"/>
          <w:sz w:val="20"/>
        </w:rPr>
        <w:t> </w:t>
      </w:r>
      <w:r>
        <w:rPr>
          <w:sz w:val="20"/>
        </w:rPr>
        <w:t>the</w:t>
      </w:r>
      <w:r>
        <w:rPr>
          <w:spacing w:val="-10"/>
          <w:sz w:val="20"/>
        </w:rPr>
        <w:t> </w:t>
      </w:r>
      <w:r>
        <w:rPr>
          <w:sz w:val="20"/>
        </w:rPr>
        <w:t>Court;</w:t>
      </w:r>
      <w:r>
        <w:rPr>
          <w:spacing w:val="-5"/>
          <w:sz w:val="20"/>
        </w:rPr>
        <w:t> and</w:t>
      </w:r>
    </w:p>
    <w:p>
      <w:pPr>
        <w:pStyle w:val="ListParagraph"/>
        <w:numPr>
          <w:ilvl w:val="1"/>
          <w:numId w:val="23"/>
        </w:numPr>
        <w:tabs>
          <w:tab w:pos="3687" w:val="left" w:leader="none"/>
        </w:tabs>
        <w:spacing w:line="240" w:lineRule="auto" w:before="120" w:after="0"/>
        <w:ind w:left="3687" w:right="0" w:hanging="730"/>
        <w:jc w:val="both"/>
        <w:rPr>
          <w:sz w:val="20"/>
        </w:rPr>
      </w:pPr>
      <w:r>
        <w:rPr>
          <w:sz w:val="20"/>
        </w:rPr>
        <w:t>State</w:t>
      </w:r>
      <w:r>
        <w:rPr>
          <w:spacing w:val="-1"/>
          <w:sz w:val="20"/>
        </w:rPr>
        <w:t> </w:t>
      </w:r>
      <w:r>
        <w:rPr>
          <w:sz w:val="20"/>
        </w:rPr>
        <w:t>Party</w:t>
      </w:r>
      <w:r>
        <w:rPr>
          <w:spacing w:val="-7"/>
          <w:sz w:val="20"/>
        </w:rPr>
        <w:t> </w:t>
      </w:r>
      <w:r>
        <w:rPr>
          <w:spacing w:val="-2"/>
          <w:sz w:val="20"/>
        </w:rPr>
        <w:t>referral.</w:t>
      </w:r>
    </w:p>
    <w:p>
      <w:pPr>
        <w:spacing w:after="0" w:line="240" w:lineRule="auto"/>
        <w:jc w:val="both"/>
        <w:rPr>
          <w:sz w:val="20"/>
        </w:rPr>
        <w:sectPr>
          <w:type w:val="continuous"/>
          <w:pgSz w:w="11910" w:h="16840"/>
          <w:pgMar w:header="953" w:footer="940" w:top="1240" w:bottom="1140" w:left="20" w:right="20"/>
        </w:sectPr>
      </w:pPr>
    </w:p>
    <w:p>
      <w:pPr>
        <w:spacing w:before="122"/>
        <w:ind w:left="1679" w:right="0" w:firstLine="0"/>
        <w:jc w:val="left"/>
        <w:rPr>
          <w:b/>
          <w:sz w:val="28"/>
        </w:rPr>
      </w:pPr>
      <w:r>
        <w:rPr>
          <w:b/>
          <w:sz w:val="28"/>
        </w:rPr>
        <w:t>Annex</w:t>
      </w:r>
      <w:r>
        <w:rPr>
          <w:b/>
          <w:spacing w:val="-9"/>
          <w:sz w:val="28"/>
        </w:rPr>
        <w:t> </w:t>
      </w:r>
      <w:r>
        <w:rPr>
          <w:b/>
          <w:spacing w:val="-5"/>
          <w:sz w:val="28"/>
        </w:rPr>
        <w:t>IV</w:t>
      </w:r>
    </w:p>
    <w:p>
      <w:pPr>
        <w:spacing w:before="244"/>
        <w:ind w:left="2967" w:right="0" w:firstLine="0"/>
        <w:jc w:val="left"/>
        <w:rPr>
          <w:b/>
          <w:sz w:val="28"/>
        </w:rPr>
      </w:pPr>
      <w:bookmarkStart w:name="_bookmark66" w:id="67"/>
      <w:bookmarkEnd w:id="67"/>
      <w:r>
        <w:rPr/>
      </w:r>
      <w:r>
        <w:rPr>
          <w:b/>
          <w:sz w:val="28"/>
        </w:rPr>
        <w:t>Strategic</w:t>
      </w:r>
      <w:r>
        <w:rPr>
          <w:b/>
          <w:spacing w:val="-11"/>
          <w:sz w:val="28"/>
        </w:rPr>
        <w:t> </w:t>
      </w:r>
      <w:r>
        <w:rPr>
          <w:b/>
          <w:spacing w:val="-4"/>
          <w:sz w:val="28"/>
        </w:rPr>
        <w:t>Goals</w:t>
      </w:r>
    </w:p>
    <w:p>
      <w:pPr>
        <w:pStyle w:val="BodyText"/>
        <w:spacing w:before="5"/>
        <w:rPr>
          <w:b/>
          <w:sz w:val="15"/>
        </w:rPr>
      </w:pPr>
    </w:p>
    <w:p>
      <w:pPr>
        <w:spacing w:before="87"/>
        <w:ind w:left="1679" w:right="0" w:firstLine="0"/>
        <w:jc w:val="left"/>
        <w:rPr>
          <w:b/>
          <w:sz w:val="28"/>
        </w:rPr>
      </w:pPr>
      <w:r>
        <w:rPr>
          <w:b/>
          <w:sz w:val="28"/>
        </w:rPr>
        <w:t>Annex</w:t>
      </w:r>
      <w:r>
        <w:rPr>
          <w:b/>
          <w:spacing w:val="-5"/>
          <w:sz w:val="28"/>
        </w:rPr>
        <w:t> </w:t>
      </w:r>
      <w:r>
        <w:rPr>
          <w:b/>
          <w:sz w:val="28"/>
        </w:rPr>
        <w:t>IV</w:t>
      </w:r>
      <w:r>
        <w:rPr>
          <w:b/>
          <w:spacing w:val="-4"/>
          <w:sz w:val="28"/>
        </w:rPr>
        <w:t> </w:t>
      </w:r>
      <w:r>
        <w:rPr>
          <w:b/>
          <w:spacing w:val="-5"/>
          <w:sz w:val="28"/>
        </w:rPr>
        <w:t>(a)</w:t>
      </w:r>
    </w:p>
    <w:p>
      <w:pPr>
        <w:spacing w:line="261" w:lineRule="auto" w:before="263"/>
        <w:ind w:left="2246" w:right="2195" w:firstLine="0"/>
        <w:jc w:val="left"/>
        <w:rPr>
          <w:b/>
          <w:sz w:val="28"/>
        </w:rPr>
      </w:pPr>
      <w:bookmarkStart w:name="_bookmark67" w:id="68"/>
      <w:bookmarkEnd w:id="68"/>
      <w:r>
        <w:rPr/>
      </w:r>
      <w:r>
        <w:rPr>
          <w:b/>
          <w:sz w:val="28"/>
        </w:rPr>
        <w:t>List</w:t>
      </w:r>
      <w:r>
        <w:rPr>
          <w:b/>
          <w:spacing w:val="32"/>
          <w:sz w:val="28"/>
        </w:rPr>
        <w:t> </w:t>
      </w:r>
      <w:r>
        <w:rPr>
          <w:b/>
          <w:sz w:val="28"/>
        </w:rPr>
        <w:t>of</w:t>
      </w:r>
      <w:r>
        <w:rPr>
          <w:b/>
          <w:spacing w:val="32"/>
          <w:sz w:val="28"/>
        </w:rPr>
        <w:t> </w:t>
      </w:r>
      <w:r>
        <w:rPr>
          <w:b/>
          <w:sz w:val="28"/>
        </w:rPr>
        <w:t>strategic</w:t>
      </w:r>
      <w:r>
        <w:rPr>
          <w:b/>
          <w:spacing w:val="34"/>
          <w:sz w:val="28"/>
        </w:rPr>
        <w:t> </w:t>
      </w:r>
      <w:r>
        <w:rPr>
          <w:b/>
          <w:sz w:val="28"/>
        </w:rPr>
        <w:t>goals</w:t>
      </w:r>
      <w:r>
        <w:rPr>
          <w:b/>
          <w:spacing w:val="35"/>
          <w:sz w:val="28"/>
        </w:rPr>
        <w:t> </w:t>
      </w:r>
      <w:r>
        <w:rPr>
          <w:b/>
          <w:sz w:val="28"/>
        </w:rPr>
        <w:t>and</w:t>
      </w:r>
      <w:r>
        <w:rPr>
          <w:b/>
          <w:spacing w:val="37"/>
          <w:sz w:val="28"/>
        </w:rPr>
        <w:t> </w:t>
      </w:r>
      <w:r>
        <w:rPr>
          <w:b/>
          <w:sz w:val="28"/>
        </w:rPr>
        <w:t>performance</w:t>
      </w:r>
      <w:r>
        <w:rPr>
          <w:b/>
          <w:spacing w:val="39"/>
          <w:sz w:val="28"/>
        </w:rPr>
        <w:t> </w:t>
      </w:r>
      <w:r>
        <w:rPr>
          <w:b/>
          <w:sz w:val="28"/>
        </w:rPr>
        <w:t>indicators</w:t>
      </w:r>
      <w:r>
        <w:rPr>
          <w:b/>
          <w:spacing w:val="36"/>
          <w:sz w:val="28"/>
        </w:rPr>
        <w:t> </w:t>
      </w:r>
      <w:r>
        <w:rPr>
          <w:b/>
          <w:sz w:val="28"/>
        </w:rPr>
        <w:t>from</w:t>
      </w:r>
      <w:r>
        <w:rPr>
          <w:b/>
          <w:spacing w:val="37"/>
          <w:sz w:val="28"/>
        </w:rPr>
        <w:t> </w:t>
      </w:r>
      <w:r>
        <w:rPr>
          <w:b/>
          <w:sz w:val="28"/>
        </w:rPr>
        <w:t>the International Criminal Court Strategic Plan (2023-2025)</w:t>
      </w:r>
    </w:p>
    <w:p>
      <w:pPr>
        <w:pStyle w:val="Heading2"/>
        <w:numPr>
          <w:ilvl w:val="0"/>
          <w:numId w:val="24"/>
        </w:numPr>
        <w:tabs>
          <w:tab w:pos="2967" w:val="left" w:leader="none"/>
        </w:tabs>
        <w:spacing w:line="240" w:lineRule="auto" w:before="238" w:after="0"/>
        <w:ind w:left="2967" w:right="0" w:hanging="361"/>
        <w:jc w:val="left"/>
      </w:pPr>
      <w:r>
        <w:rPr/>
        <w:t>Judicial</w:t>
      </w:r>
      <w:r>
        <w:rPr>
          <w:spacing w:val="-7"/>
        </w:rPr>
        <w:t> </w:t>
      </w:r>
      <w:r>
        <w:rPr/>
        <w:t>and</w:t>
      </w:r>
      <w:r>
        <w:rPr>
          <w:spacing w:val="-11"/>
        </w:rPr>
        <w:t> </w:t>
      </w:r>
      <w:r>
        <w:rPr/>
        <w:t>prosecutorial</w:t>
      </w:r>
      <w:r>
        <w:rPr>
          <w:spacing w:val="-7"/>
        </w:rPr>
        <w:t> </w:t>
      </w:r>
      <w:r>
        <w:rPr/>
        <w:t>performance</w:t>
      </w:r>
      <w:r>
        <w:rPr>
          <w:spacing w:val="-8"/>
        </w:rPr>
        <w:t> </w:t>
      </w:r>
      <w:r>
        <w:rPr>
          <w:spacing w:val="-2"/>
        </w:rPr>
        <w:t>goals</w:t>
      </w:r>
    </w:p>
    <w:p>
      <w:pPr>
        <w:pStyle w:val="BodyText"/>
        <w:rPr>
          <w:b/>
          <w:sz w:val="21"/>
        </w:rPr>
      </w:pPr>
    </w:p>
    <w:tbl>
      <w:tblPr>
        <w:tblW w:w="0" w:type="auto"/>
        <w:jc w:val="left"/>
        <w:tblInd w:w="10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26"/>
        <w:gridCol w:w="3888"/>
        <w:gridCol w:w="1409"/>
        <w:gridCol w:w="1369"/>
      </w:tblGrid>
      <w:tr>
        <w:trPr>
          <w:trHeight w:val="590" w:hRule="atLeast"/>
        </w:trPr>
        <w:tc>
          <w:tcPr>
            <w:tcW w:w="3126" w:type="dxa"/>
            <w:tcBorders>
              <w:top w:val="single" w:sz="4" w:space="0" w:color="000000"/>
              <w:bottom w:val="single" w:sz="4" w:space="0" w:color="000000"/>
            </w:tcBorders>
          </w:tcPr>
          <w:p>
            <w:pPr>
              <w:pStyle w:val="TableParagraph"/>
              <w:spacing w:line="260" w:lineRule="atLeast" w:before="9"/>
              <w:ind w:left="866" w:right="917" w:firstLine="120"/>
              <w:jc w:val="left"/>
              <w:rPr>
                <w:b/>
                <w:i/>
                <w:sz w:val="18"/>
              </w:rPr>
            </w:pPr>
            <w:r>
              <w:rPr>
                <w:b/>
                <w:i/>
                <w:sz w:val="18"/>
              </w:rPr>
              <w:t>Strategic goals</w:t>
            </w:r>
            <w:r>
              <w:rPr>
                <w:b/>
                <w:i/>
                <w:sz w:val="18"/>
              </w:rPr>
              <w:t> (Expected</w:t>
            </w:r>
            <w:r>
              <w:rPr>
                <w:b/>
                <w:i/>
                <w:spacing w:val="-12"/>
                <w:sz w:val="18"/>
              </w:rPr>
              <w:t> </w:t>
            </w:r>
            <w:r>
              <w:rPr>
                <w:b/>
                <w:i/>
                <w:sz w:val="18"/>
              </w:rPr>
              <w:t>results)</w:t>
            </w:r>
          </w:p>
        </w:tc>
        <w:tc>
          <w:tcPr>
            <w:tcW w:w="3888" w:type="dxa"/>
            <w:tcBorders>
              <w:top w:val="single" w:sz="4" w:space="0" w:color="000000"/>
              <w:bottom w:val="single" w:sz="4" w:space="0" w:color="000000"/>
            </w:tcBorders>
          </w:tcPr>
          <w:p>
            <w:pPr>
              <w:pStyle w:val="TableParagraph"/>
              <w:spacing w:before="7"/>
              <w:jc w:val="left"/>
              <w:rPr>
                <w:b/>
                <w:sz w:val="16"/>
              </w:rPr>
            </w:pPr>
          </w:p>
          <w:p>
            <w:pPr>
              <w:pStyle w:val="TableParagraph"/>
              <w:ind w:left="665"/>
              <w:jc w:val="left"/>
              <w:rPr>
                <w:b/>
                <w:i/>
                <w:sz w:val="18"/>
              </w:rPr>
            </w:pPr>
            <w:r>
              <w:rPr>
                <w:b/>
                <w:i/>
                <w:sz w:val="18"/>
              </w:rPr>
              <w:t>Key</w:t>
            </w:r>
            <w:r>
              <w:rPr>
                <w:b/>
                <w:i/>
                <w:spacing w:val="-5"/>
                <w:sz w:val="18"/>
              </w:rPr>
              <w:t> </w:t>
            </w:r>
            <w:r>
              <w:rPr>
                <w:b/>
                <w:i/>
                <w:sz w:val="18"/>
              </w:rPr>
              <w:t>performance</w:t>
            </w:r>
            <w:r>
              <w:rPr>
                <w:b/>
                <w:i/>
                <w:spacing w:val="-8"/>
                <w:sz w:val="18"/>
              </w:rPr>
              <w:t> </w:t>
            </w:r>
            <w:r>
              <w:rPr>
                <w:b/>
                <w:i/>
                <w:sz w:val="18"/>
              </w:rPr>
              <w:t>indicators</w:t>
            </w:r>
            <w:r>
              <w:rPr>
                <w:b/>
                <w:i/>
                <w:spacing w:val="-5"/>
                <w:sz w:val="18"/>
              </w:rPr>
              <w:t> </w:t>
            </w:r>
            <w:r>
              <w:rPr>
                <w:b/>
                <w:i/>
                <w:spacing w:val="-2"/>
                <w:sz w:val="18"/>
              </w:rPr>
              <w:t>(KPIs)</w:t>
            </w:r>
          </w:p>
        </w:tc>
        <w:tc>
          <w:tcPr>
            <w:tcW w:w="1409" w:type="dxa"/>
            <w:tcBorders>
              <w:top w:val="single" w:sz="4" w:space="0" w:color="000000"/>
              <w:bottom w:val="single" w:sz="4" w:space="0" w:color="000000"/>
            </w:tcBorders>
          </w:tcPr>
          <w:p>
            <w:pPr>
              <w:pStyle w:val="TableParagraph"/>
              <w:spacing w:line="260" w:lineRule="atLeast" w:before="9"/>
              <w:ind w:left="488" w:hanging="82"/>
              <w:jc w:val="left"/>
              <w:rPr>
                <w:b/>
                <w:i/>
                <w:sz w:val="18"/>
              </w:rPr>
            </w:pPr>
            <w:r>
              <w:rPr>
                <w:b/>
                <w:i/>
                <w:spacing w:val="-2"/>
                <w:sz w:val="18"/>
              </w:rPr>
              <w:t>Baseline</w:t>
            </w:r>
            <w:r>
              <w:rPr>
                <w:b/>
                <w:i/>
                <w:spacing w:val="-2"/>
                <w:sz w:val="18"/>
              </w:rPr>
              <w:t> (2021)</w:t>
            </w:r>
          </w:p>
        </w:tc>
        <w:tc>
          <w:tcPr>
            <w:tcW w:w="1369" w:type="dxa"/>
            <w:tcBorders>
              <w:top w:val="single" w:sz="4" w:space="0" w:color="000000"/>
              <w:bottom w:val="single" w:sz="4" w:space="0" w:color="000000"/>
            </w:tcBorders>
          </w:tcPr>
          <w:p>
            <w:pPr>
              <w:pStyle w:val="TableParagraph"/>
              <w:spacing w:line="260" w:lineRule="atLeast" w:before="9"/>
              <w:ind w:left="419" w:hanging="53"/>
              <w:jc w:val="left"/>
              <w:rPr>
                <w:b/>
                <w:i/>
                <w:sz w:val="18"/>
              </w:rPr>
            </w:pPr>
            <w:r>
              <w:rPr>
                <w:b/>
                <w:i/>
                <w:spacing w:val="-2"/>
                <w:sz w:val="18"/>
              </w:rPr>
              <w:t>Target*</w:t>
            </w:r>
            <w:r>
              <w:rPr>
                <w:b/>
                <w:i/>
                <w:spacing w:val="-2"/>
                <w:sz w:val="18"/>
              </w:rPr>
              <w:t> (2023)</w:t>
            </w:r>
          </w:p>
        </w:tc>
      </w:tr>
      <w:tr>
        <w:trPr>
          <w:trHeight w:val="9069" w:hRule="atLeast"/>
        </w:trPr>
        <w:tc>
          <w:tcPr>
            <w:tcW w:w="3126" w:type="dxa"/>
            <w:tcBorders>
              <w:top w:val="single" w:sz="4" w:space="0" w:color="000000"/>
              <w:bottom w:val="single" w:sz="4" w:space="0" w:color="000000"/>
            </w:tcBorders>
          </w:tcPr>
          <w:p>
            <w:pPr>
              <w:pStyle w:val="TableParagraph"/>
              <w:spacing w:before="62"/>
              <w:ind w:left="7"/>
              <w:jc w:val="left"/>
              <w:rPr>
                <w:b/>
                <w:sz w:val="18"/>
              </w:rPr>
            </w:pPr>
            <w:r>
              <w:rPr>
                <w:b/>
                <w:sz w:val="18"/>
              </w:rPr>
              <w:t>ICC</w:t>
            </w:r>
            <w:r>
              <w:rPr>
                <w:b/>
                <w:spacing w:val="-2"/>
                <w:sz w:val="18"/>
              </w:rPr>
              <w:t> </w:t>
            </w:r>
            <w:r>
              <w:rPr>
                <w:b/>
                <w:sz w:val="18"/>
              </w:rPr>
              <w:t>Strategic</w:t>
            </w:r>
            <w:r>
              <w:rPr>
                <w:b/>
                <w:spacing w:val="-8"/>
                <w:sz w:val="18"/>
              </w:rPr>
              <w:t> </w:t>
            </w:r>
            <w:r>
              <w:rPr>
                <w:b/>
                <w:sz w:val="18"/>
              </w:rPr>
              <w:t>Goal</w:t>
            </w:r>
            <w:r>
              <w:rPr>
                <w:b/>
                <w:spacing w:val="-2"/>
                <w:sz w:val="18"/>
              </w:rPr>
              <w:t> </w:t>
            </w:r>
            <w:r>
              <w:rPr>
                <w:b/>
                <w:spacing w:val="-5"/>
                <w:sz w:val="18"/>
              </w:rPr>
              <w:t>1:</w:t>
            </w:r>
          </w:p>
          <w:p>
            <w:pPr>
              <w:pStyle w:val="TableParagraph"/>
              <w:spacing w:before="62"/>
              <w:ind w:left="7" w:right="77"/>
              <w:jc w:val="left"/>
              <w:rPr>
                <w:sz w:val="18"/>
              </w:rPr>
            </w:pPr>
            <w:r>
              <w:rPr>
                <w:sz w:val="18"/>
              </w:rPr>
              <w:t>Increase the expeditiousness and efficiency of the Court’s core activities (preliminary</w:t>
            </w:r>
            <w:r>
              <w:rPr>
                <w:spacing w:val="-12"/>
                <w:sz w:val="18"/>
              </w:rPr>
              <w:t> </w:t>
            </w:r>
            <w:r>
              <w:rPr>
                <w:sz w:val="18"/>
              </w:rPr>
              <w:t>examinations,</w:t>
            </w:r>
            <w:r>
              <w:rPr>
                <w:spacing w:val="-11"/>
                <w:sz w:val="18"/>
              </w:rPr>
              <w:t> </w:t>
            </w:r>
            <w:r>
              <w:rPr>
                <w:sz w:val="18"/>
              </w:rPr>
              <w:t>investigations, trials and reparations) while preserving the independence, fairness and highest legal standards and quality of its proceedings,</w:t>
            </w:r>
            <w:r>
              <w:rPr>
                <w:spacing w:val="-7"/>
                <w:sz w:val="18"/>
              </w:rPr>
              <w:t> </w:t>
            </w:r>
            <w:r>
              <w:rPr>
                <w:sz w:val="18"/>
              </w:rPr>
              <w:t>and</w:t>
            </w:r>
            <w:r>
              <w:rPr>
                <w:spacing w:val="-9"/>
                <w:sz w:val="18"/>
              </w:rPr>
              <w:t> </w:t>
            </w:r>
            <w:r>
              <w:rPr>
                <w:sz w:val="18"/>
              </w:rPr>
              <w:t>protecting</w:t>
            </w:r>
            <w:r>
              <w:rPr>
                <w:spacing w:val="-9"/>
                <w:sz w:val="18"/>
              </w:rPr>
              <w:t> </w:t>
            </w:r>
            <w:r>
              <w:rPr>
                <w:sz w:val="18"/>
              </w:rPr>
              <w:t>the</w:t>
            </w:r>
            <w:r>
              <w:rPr>
                <w:spacing w:val="-9"/>
                <w:sz w:val="18"/>
              </w:rPr>
              <w:t> </w:t>
            </w:r>
            <w:r>
              <w:rPr>
                <w:sz w:val="18"/>
              </w:rPr>
              <w:t>safety</w:t>
            </w:r>
            <w:r>
              <w:rPr>
                <w:spacing w:val="-6"/>
                <w:sz w:val="18"/>
              </w:rPr>
              <w:t> </w:t>
            </w:r>
            <w:r>
              <w:rPr>
                <w:sz w:val="18"/>
              </w:rPr>
              <w:t>and well-being of the persons involved, in particular victims and witnesses.</w:t>
            </w:r>
          </w:p>
        </w:tc>
        <w:tc>
          <w:tcPr>
            <w:tcW w:w="3888" w:type="dxa"/>
            <w:tcBorders>
              <w:top w:val="single" w:sz="4" w:space="0" w:color="000000"/>
              <w:bottom w:val="single" w:sz="4" w:space="0" w:color="000000"/>
            </w:tcBorders>
          </w:tcPr>
          <w:p>
            <w:pPr>
              <w:pStyle w:val="TableParagraph"/>
              <w:spacing w:line="237" w:lineRule="auto" w:before="65"/>
              <w:ind w:left="79"/>
              <w:jc w:val="left"/>
              <w:rPr>
                <w:sz w:val="18"/>
              </w:rPr>
            </w:pPr>
            <w:r>
              <w:rPr>
                <w:rFonts w:ascii="Palatino Linotype"/>
                <w:sz w:val="20"/>
              </w:rPr>
              <w:t>- </w:t>
            </w:r>
            <w:r>
              <w:rPr>
                <w:sz w:val="18"/>
              </w:rPr>
              <w:t>Time elapsed between key judicial decisions/activities</w:t>
            </w:r>
            <w:r>
              <w:rPr>
                <w:spacing w:val="-9"/>
                <w:sz w:val="18"/>
              </w:rPr>
              <w:t> </w:t>
            </w:r>
            <w:r>
              <w:rPr>
                <w:sz w:val="18"/>
              </w:rPr>
              <w:t>v.</w:t>
            </w:r>
            <w:r>
              <w:rPr>
                <w:spacing w:val="-8"/>
                <w:sz w:val="18"/>
              </w:rPr>
              <w:t> </w:t>
            </w:r>
            <w:r>
              <w:rPr>
                <w:sz w:val="18"/>
              </w:rPr>
              <w:t>target</w:t>
            </w:r>
            <w:r>
              <w:rPr>
                <w:spacing w:val="-8"/>
                <w:sz w:val="18"/>
              </w:rPr>
              <w:t> </w:t>
            </w:r>
            <w:r>
              <w:rPr>
                <w:sz w:val="18"/>
              </w:rPr>
              <w:t>deadlines</w:t>
            </w:r>
            <w:r>
              <w:rPr>
                <w:spacing w:val="-9"/>
                <w:sz w:val="18"/>
              </w:rPr>
              <w:t> </w:t>
            </w:r>
            <w:r>
              <w:rPr>
                <w:sz w:val="18"/>
              </w:rPr>
              <w:t>in</w:t>
            </w:r>
            <w:r>
              <w:rPr>
                <w:spacing w:val="-9"/>
                <w:sz w:val="18"/>
              </w:rPr>
              <w:t> </w:t>
            </w:r>
            <w:r>
              <w:rPr>
                <w:sz w:val="18"/>
              </w:rPr>
              <w:t>the Chambers Practice Manual (5th edition)</w:t>
            </w:r>
          </w:p>
          <w:p>
            <w:pPr>
              <w:pStyle w:val="TableParagraph"/>
              <w:numPr>
                <w:ilvl w:val="0"/>
                <w:numId w:val="25"/>
              </w:numPr>
              <w:tabs>
                <w:tab w:pos="248" w:val="left" w:leader="none"/>
              </w:tabs>
              <w:spacing w:line="240" w:lineRule="auto" w:before="64" w:after="0"/>
              <w:ind w:left="247" w:right="0" w:hanging="169"/>
              <w:jc w:val="left"/>
              <w:rPr>
                <w:sz w:val="18"/>
              </w:rPr>
            </w:pPr>
            <w:r>
              <w:rPr>
                <w:sz w:val="18"/>
              </w:rPr>
              <w:t>Matters</w:t>
            </w:r>
            <w:r>
              <w:rPr>
                <w:spacing w:val="-7"/>
                <w:sz w:val="18"/>
              </w:rPr>
              <w:t> </w:t>
            </w:r>
            <w:r>
              <w:rPr>
                <w:sz w:val="18"/>
              </w:rPr>
              <w:t>related</w:t>
            </w:r>
            <w:r>
              <w:rPr>
                <w:spacing w:val="-6"/>
                <w:sz w:val="18"/>
              </w:rPr>
              <w:t> </w:t>
            </w:r>
            <w:r>
              <w:rPr>
                <w:sz w:val="18"/>
              </w:rPr>
              <w:t>to</w:t>
            </w:r>
            <w:r>
              <w:rPr>
                <w:spacing w:val="-6"/>
                <w:sz w:val="18"/>
              </w:rPr>
              <w:t> </w:t>
            </w:r>
            <w:r>
              <w:rPr>
                <w:sz w:val="18"/>
              </w:rPr>
              <w:t>pre-trial</w:t>
            </w:r>
            <w:r>
              <w:rPr>
                <w:spacing w:val="-4"/>
                <w:sz w:val="18"/>
              </w:rPr>
              <w:t> </w:t>
            </w:r>
            <w:r>
              <w:rPr>
                <w:spacing w:val="-2"/>
                <w:sz w:val="18"/>
              </w:rPr>
              <w:t>proceedings:</w:t>
            </w:r>
          </w:p>
          <w:p>
            <w:pPr>
              <w:pStyle w:val="TableParagraph"/>
              <w:numPr>
                <w:ilvl w:val="1"/>
                <w:numId w:val="25"/>
              </w:numPr>
              <w:tabs>
                <w:tab w:pos="507" w:val="left" w:leader="none"/>
              </w:tabs>
              <w:spacing w:line="240" w:lineRule="auto" w:before="1" w:after="0"/>
              <w:ind w:left="573" w:right="383" w:hanging="284"/>
              <w:jc w:val="left"/>
              <w:rPr>
                <w:sz w:val="18"/>
              </w:rPr>
            </w:pPr>
            <w:r>
              <w:rPr>
                <w:sz w:val="18"/>
              </w:rPr>
              <w:t>authorization</w:t>
            </w:r>
            <w:r>
              <w:rPr>
                <w:spacing w:val="-9"/>
                <w:sz w:val="18"/>
              </w:rPr>
              <w:t> </w:t>
            </w:r>
            <w:r>
              <w:rPr>
                <w:sz w:val="18"/>
              </w:rPr>
              <w:t>of</w:t>
            </w:r>
            <w:r>
              <w:rPr>
                <w:spacing w:val="-8"/>
                <w:sz w:val="18"/>
              </w:rPr>
              <w:t> </w:t>
            </w:r>
            <w:r>
              <w:rPr>
                <w:sz w:val="18"/>
              </w:rPr>
              <w:t>an</w:t>
            </w:r>
            <w:r>
              <w:rPr>
                <w:spacing w:val="-9"/>
                <w:sz w:val="18"/>
              </w:rPr>
              <w:t> </w:t>
            </w:r>
            <w:r>
              <w:rPr>
                <w:sz w:val="18"/>
              </w:rPr>
              <w:t>investigation</w:t>
            </w:r>
            <w:r>
              <w:rPr>
                <w:spacing w:val="-5"/>
                <w:sz w:val="18"/>
              </w:rPr>
              <w:t> </w:t>
            </w:r>
            <w:r>
              <w:rPr>
                <w:sz w:val="18"/>
              </w:rPr>
              <w:t>-</w:t>
            </w:r>
            <w:r>
              <w:rPr>
                <w:spacing w:val="-8"/>
                <w:sz w:val="18"/>
              </w:rPr>
              <w:t> </w:t>
            </w:r>
            <w:r>
              <w:rPr>
                <w:sz w:val="18"/>
              </w:rPr>
              <w:t>written </w:t>
            </w:r>
            <w:r>
              <w:rPr>
                <w:spacing w:val="-2"/>
                <w:sz w:val="18"/>
              </w:rPr>
              <w:t>decision</w:t>
            </w:r>
          </w:p>
          <w:p>
            <w:pPr>
              <w:pStyle w:val="TableParagraph"/>
              <w:numPr>
                <w:ilvl w:val="1"/>
                <w:numId w:val="25"/>
              </w:numPr>
              <w:tabs>
                <w:tab w:pos="559" w:val="left" w:leader="none"/>
              </w:tabs>
              <w:spacing w:line="240" w:lineRule="auto" w:before="0" w:after="0"/>
              <w:ind w:left="573" w:right="771" w:hanging="284"/>
              <w:jc w:val="left"/>
              <w:rPr>
                <w:sz w:val="18"/>
              </w:rPr>
            </w:pPr>
            <w:r>
              <w:rPr>
                <w:sz w:val="18"/>
              </w:rPr>
              <w:t>first</w:t>
            </w:r>
            <w:r>
              <w:rPr>
                <w:spacing w:val="-6"/>
                <w:sz w:val="18"/>
              </w:rPr>
              <w:t> </w:t>
            </w:r>
            <w:r>
              <w:rPr>
                <w:sz w:val="18"/>
              </w:rPr>
              <w:t>appearance</w:t>
            </w:r>
            <w:r>
              <w:rPr>
                <w:spacing w:val="-9"/>
                <w:sz w:val="18"/>
              </w:rPr>
              <w:t> </w:t>
            </w:r>
            <w:r>
              <w:rPr>
                <w:sz w:val="18"/>
              </w:rPr>
              <w:t>-</w:t>
            </w:r>
            <w:r>
              <w:rPr>
                <w:spacing w:val="-7"/>
                <w:sz w:val="18"/>
              </w:rPr>
              <w:t> </w:t>
            </w:r>
            <w:r>
              <w:rPr>
                <w:sz w:val="18"/>
              </w:rPr>
              <w:t>timing</w:t>
            </w:r>
            <w:r>
              <w:rPr>
                <w:spacing w:val="-8"/>
                <w:sz w:val="18"/>
              </w:rPr>
              <w:t> </w:t>
            </w:r>
            <w:r>
              <w:rPr>
                <w:sz w:val="18"/>
              </w:rPr>
              <w:t>of</w:t>
            </w:r>
            <w:r>
              <w:rPr>
                <w:spacing w:val="-7"/>
                <w:sz w:val="18"/>
              </w:rPr>
              <w:t> </w:t>
            </w:r>
            <w:r>
              <w:rPr>
                <w:sz w:val="18"/>
              </w:rPr>
              <w:t>the</w:t>
            </w:r>
            <w:r>
              <w:rPr>
                <w:spacing w:val="-8"/>
                <w:sz w:val="18"/>
              </w:rPr>
              <w:t> </w:t>
            </w:r>
            <w:r>
              <w:rPr>
                <w:sz w:val="18"/>
              </w:rPr>
              <w:t>first </w:t>
            </w:r>
            <w:r>
              <w:rPr>
                <w:spacing w:val="-2"/>
                <w:sz w:val="18"/>
              </w:rPr>
              <w:t>appearance</w:t>
            </w:r>
          </w:p>
          <w:p>
            <w:pPr>
              <w:pStyle w:val="TableParagraph"/>
              <w:numPr>
                <w:ilvl w:val="1"/>
                <w:numId w:val="25"/>
              </w:numPr>
              <w:tabs>
                <w:tab w:pos="607" w:val="left" w:leader="none"/>
              </w:tabs>
              <w:spacing w:line="240" w:lineRule="auto" w:before="0" w:after="0"/>
              <w:ind w:left="573" w:right="196" w:hanging="284"/>
              <w:jc w:val="left"/>
              <w:rPr>
                <w:sz w:val="18"/>
              </w:rPr>
            </w:pPr>
            <w:r>
              <w:rPr>
                <w:sz w:val="18"/>
              </w:rPr>
              <w:t>first appearance -</w:t>
            </w:r>
            <w:r>
              <w:rPr>
                <w:spacing w:val="-1"/>
                <w:sz w:val="18"/>
              </w:rPr>
              <w:t> </w:t>
            </w:r>
            <w:r>
              <w:rPr>
                <w:sz w:val="18"/>
              </w:rPr>
              <w:t>right to</w:t>
            </w:r>
            <w:r>
              <w:rPr>
                <w:spacing w:val="-2"/>
                <w:sz w:val="18"/>
              </w:rPr>
              <w:t> </w:t>
            </w:r>
            <w:r>
              <w:rPr>
                <w:sz w:val="18"/>
              </w:rPr>
              <w:t>apply</w:t>
            </w:r>
            <w:r>
              <w:rPr>
                <w:spacing w:val="-3"/>
                <w:sz w:val="18"/>
              </w:rPr>
              <w:t> </w:t>
            </w:r>
            <w:r>
              <w:rPr>
                <w:sz w:val="18"/>
              </w:rPr>
              <w:t>for</w:t>
            </w:r>
            <w:r>
              <w:rPr>
                <w:spacing w:val="-1"/>
                <w:sz w:val="18"/>
              </w:rPr>
              <w:t> </w:t>
            </w:r>
            <w:r>
              <w:rPr>
                <w:sz w:val="18"/>
              </w:rPr>
              <w:t>interim </w:t>
            </w:r>
            <w:r>
              <w:rPr>
                <w:spacing w:val="-2"/>
                <w:sz w:val="18"/>
              </w:rPr>
              <w:t>release</w:t>
            </w:r>
          </w:p>
          <w:p>
            <w:pPr>
              <w:pStyle w:val="TableParagraph"/>
              <w:numPr>
                <w:ilvl w:val="1"/>
                <w:numId w:val="25"/>
              </w:numPr>
              <w:tabs>
                <w:tab w:pos="598" w:val="left" w:leader="none"/>
              </w:tabs>
              <w:spacing w:line="240" w:lineRule="auto" w:before="1" w:after="0"/>
              <w:ind w:left="573" w:right="261" w:hanging="284"/>
              <w:jc w:val="left"/>
              <w:rPr>
                <w:sz w:val="18"/>
              </w:rPr>
            </w:pPr>
            <w:r>
              <w:rPr>
                <w:sz w:val="18"/>
              </w:rPr>
              <w:t>first</w:t>
            </w:r>
            <w:r>
              <w:rPr>
                <w:spacing w:val="-2"/>
                <w:sz w:val="18"/>
              </w:rPr>
              <w:t> </w:t>
            </w:r>
            <w:r>
              <w:rPr>
                <w:sz w:val="18"/>
              </w:rPr>
              <w:t>appearance</w:t>
            </w:r>
            <w:r>
              <w:rPr>
                <w:spacing w:val="-1"/>
                <w:sz w:val="18"/>
              </w:rPr>
              <w:t> </w:t>
            </w:r>
            <w:r>
              <w:rPr>
                <w:sz w:val="18"/>
              </w:rPr>
              <w:t>-</w:t>
            </w:r>
            <w:r>
              <w:rPr>
                <w:spacing w:val="-3"/>
                <w:sz w:val="18"/>
              </w:rPr>
              <w:t> </w:t>
            </w:r>
            <w:r>
              <w:rPr>
                <w:sz w:val="18"/>
              </w:rPr>
              <w:t>date</w:t>
            </w:r>
            <w:r>
              <w:rPr>
                <w:spacing w:val="-4"/>
                <w:sz w:val="18"/>
              </w:rPr>
              <w:t> </w:t>
            </w:r>
            <w:r>
              <w:rPr>
                <w:sz w:val="18"/>
              </w:rPr>
              <w:t>of</w:t>
            </w:r>
            <w:r>
              <w:rPr>
                <w:spacing w:val="-3"/>
                <w:sz w:val="18"/>
              </w:rPr>
              <w:t> </w:t>
            </w:r>
            <w:r>
              <w:rPr>
                <w:sz w:val="18"/>
              </w:rPr>
              <w:t>the</w:t>
            </w:r>
            <w:r>
              <w:rPr>
                <w:spacing w:val="-4"/>
                <w:sz w:val="18"/>
              </w:rPr>
              <w:t> </w:t>
            </w:r>
            <w:r>
              <w:rPr>
                <w:sz w:val="18"/>
              </w:rPr>
              <w:t>confirmation </w:t>
            </w:r>
            <w:r>
              <w:rPr>
                <w:spacing w:val="-2"/>
                <w:sz w:val="18"/>
              </w:rPr>
              <w:t>hearing</w:t>
            </w:r>
          </w:p>
          <w:p>
            <w:pPr>
              <w:pStyle w:val="TableParagraph"/>
              <w:numPr>
                <w:ilvl w:val="1"/>
                <w:numId w:val="25"/>
              </w:numPr>
              <w:tabs>
                <w:tab w:pos="550" w:val="left" w:leader="none"/>
              </w:tabs>
              <w:spacing w:line="240" w:lineRule="auto" w:before="0" w:after="0"/>
              <w:ind w:left="573" w:right="77" w:hanging="284"/>
              <w:jc w:val="left"/>
              <w:rPr>
                <w:sz w:val="18"/>
              </w:rPr>
            </w:pPr>
            <w:r>
              <w:rPr>
                <w:sz w:val="18"/>
              </w:rPr>
              <w:t>proceedings leading to the confirmation hearing - time limit for responses under regulation</w:t>
            </w:r>
            <w:r>
              <w:rPr>
                <w:spacing w:val="-6"/>
                <w:sz w:val="18"/>
              </w:rPr>
              <w:t> </w:t>
            </w:r>
            <w:r>
              <w:rPr>
                <w:sz w:val="18"/>
              </w:rPr>
              <w:t>24</w:t>
            </w:r>
            <w:r>
              <w:rPr>
                <w:spacing w:val="-6"/>
                <w:sz w:val="18"/>
              </w:rPr>
              <w:t> </w:t>
            </w:r>
            <w:r>
              <w:rPr>
                <w:sz w:val="18"/>
              </w:rPr>
              <w:t>of</w:t>
            </w:r>
            <w:r>
              <w:rPr>
                <w:spacing w:val="-5"/>
                <w:sz w:val="18"/>
              </w:rPr>
              <w:t> </w:t>
            </w:r>
            <w:r>
              <w:rPr>
                <w:sz w:val="18"/>
              </w:rPr>
              <w:t>the</w:t>
            </w:r>
            <w:r>
              <w:rPr>
                <w:spacing w:val="-6"/>
                <w:sz w:val="18"/>
              </w:rPr>
              <w:t> </w:t>
            </w:r>
            <w:r>
              <w:rPr>
                <w:sz w:val="18"/>
              </w:rPr>
              <w:t>Regulations</w:t>
            </w:r>
            <w:r>
              <w:rPr>
                <w:spacing w:val="-5"/>
                <w:sz w:val="18"/>
              </w:rPr>
              <w:t> </w:t>
            </w:r>
            <w:r>
              <w:rPr>
                <w:sz w:val="18"/>
              </w:rPr>
              <w:t>of</w:t>
            </w:r>
            <w:r>
              <w:rPr>
                <w:spacing w:val="-5"/>
                <w:sz w:val="18"/>
              </w:rPr>
              <w:t> </w:t>
            </w:r>
            <w:r>
              <w:rPr>
                <w:sz w:val="18"/>
              </w:rPr>
              <w:t>the</w:t>
            </w:r>
            <w:r>
              <w:rPr>
                <w:spacing w:val="-6"/>
                <w:sz w:val="18"/>
              </w:rPr>
              <w:t> </w:t>
            </w:r>
            <w:r>
              <w:rPr>
                <w:sz w:val="18"/>
              </w:rPr>
              <w:t>Court</w:t>
            </w:r>
          </w:p>
          <w:p>
            <w:pPr>
              <w:pStyle w:val="TableParagraph"/>
              <w:numPr>
                <w:ilvl w:val="1"/>
                <w:numId w:val="25"/>
              </w:numPr>
              <w:tabs>
                <w:tab w:pos="598" w:val="left" w:leader="none"/>
              </w:tabs>
              <w:spacing w:line="205" w:lineRule="exact" w:before="0" w:after="0"/>
              <w:ind w:left="597" w:right="0" w:hanging="308"/>
              <w:jc w:val="left"/>
              <w:rPr>
                <w:sz w:val="18"/>
              </w:rPr>
            </w:pPr>
            <w:r>
              <w:rPr>
                <w:sz w:val="18"/>
              </w:rPr>
              <w:t>charges</w:t>
            </w:r>
            <w:r>
              <w:rPr>
                <w:spacing w:val="-3"/>
                <w:sz w:val="18"/>
              </w:rPr>
              <w:t> </w:t>
            </w:r>
            <w:r>
              <w:rPr>
                <w:sz w:val="18"/>
              </w:rPr>
              <w:t>-</w:t>
            </w:r>
            <w:r>
              <w:rPr>
                <w:spacing w:val="-4"/>
                <w:sz w:val="18"/>
              </w:rPr>
              <w:t> </w:t>
            </w:r>
            <w:r>
              <w:rPr>
                <w:sz w:val="18"/>
              </w:rPr>
              <w:t>factual</w:t>
            </w:r>
            <w:r>
              <w:rPr>
                <w:spacing w:val="-2"/>
                <w:sz w:val="18"/>
              </w:rPr>
              <w:t> </w:t>
            </w:r>
            <w:r>
              <w:rPr>
                <w:sz w:val="18"/>
              </w:rPr>
              <w:t>basis</w:t>
            </w:r>
            <w:r>
              <w:rPr>
                <w:spacing w:val="-5"/>
                <w:sz w:val="18"/>
              </w:rPr>
              <w:t> </w:t>
            </w:r>
            <w:r>
              <w:rPr>
                <w:sz w:val="18"/>
              </w:rPr>
              <w:t>of</w:t>
            </w:r>
            <w:r>
              <w:rPr>
                <w:spacing w:val="-4"/>
                <w:sz w:val="18"/>
              </w:rPr>
              <w:t> </w:t>
            </w:r>
            <w:r>
              <w:rPr>
                <w:sz w:val="18"/>
              </w:rPr>
              <w:t>the</w:t>
            </w:r>
            <w:r>
              <w:rPr>
                <w:spacing w:val="-4"/>
                <w:sz w:val="18"/>
              </w:rPr>
              <w:t> </w:t>
            </w:r>
            <w:r>
              <w:rPr>
                <w:spacing w:val="-2"/>
                <w:sz w:val="18"/>
              </w:rPr>
              <w:t>charges</w:t>
            </w:r>
          </w:p>
          <w:p>
            <w:pPr>
              <w:pStyle w:val="TableParagraph"/>
              <w:numPr>
                <w:ilvl w:val="1"/>
                <w:numId w:val="25"/>
              </w:numPr>
              <w:tabs>
                <w:tab w:pos="650" w:val="left" w:leader="none"/>
              </w:tabs>
              <w:spacing w:line="207" w:lineRule="exact" w:before="0" w:after="0"/>
              <w:ind w:left="650" w:right="0" w:hanging="360"/>
              <w:jc w:val="left"/>
              <w:rPr>
                <w:sz w:val="18"/>
              </w:rPr>
            </w:pPr>
            <w:r>
              <w:rPr>
                <w:sz w:val="18"/>
              </w:rPr>
              <w:t>decision</w:t>
            </w:r>
            <w:r>
              <w:rPr>
                <w:spacing w:val="-5"/>
                <w:sz w:val="18"/>
              </w:rPr>
              <w:t> </w:t>
            </w:r>
            <w:r>
              <w:rPr>
                <w:sz w:val="18"/>
              </w:rPr>
              <w:t>on</w:t>
            </w:r>
            <w:r>
              <w:rPr>
                <w:spacing w:val="-4"/>
                <w:sz w:val="18"/>
              </w:rPr>
              <w:t> </w:t>
            </w:r>
            <w:r>
              <w:rPr>
                <w:sz w:val="18"/>
              </w:rPr>
              <w:t>the</w:t>
            </w:r>
            <w:r>
              <w:rPr>
                <w:spacing w:val="-5"/>
                <w:sz w:val="18"/>
              </w:rPr>
              <w:t> </w:t>
            </w:r>
            <w:r>
              <w:rPr>
                <w:sz w:val="18"/>
              </w:rPr>
              <w:t>confirmation</w:t>
            </w:r>
            <w:r>
              <w:rPr>
                <w:spacing w:val="-4"/>
                <w:sz w:val="18"/>
              </w:rPr>
              <w:t> </w:t>
            </w:r>
            <w:r>
              <w:rPr>
                <w:sz w:val="18"/>
              </w:rPr>
              <w:t>of</w:t>
            </w:r>
            <w:r>
              <w:rPr>
                <w:spacing w:val="-4"/>
                <w:sz w:val="18"/>
              </w:rPr>
              <w:t> </w:t>
            </w:r>
            <w:r>
              <w:rPr>
                <w:spacing w:val="-2"/>
                <w:sz w:val="18"/>
              </w:rPr>
              <w:t>charges</w:t>
            </w:r>
          </w:p>
          <w:p>
            <w:pPr>
              <w:pStyle w:val="TableParagraph"/>
              <w:spacing w:before="10"/>
              <w:jc w:val="left"/>
              <w:rPr>
                <w:b/>
                <w:sz w:val="17"/>
              </w:rPr>
            </w:pPr>
          </w:p>
          <w:p>
            <w:pPr>
              <w:pStyle w:val="TableParagraph"/>
              <w:numPr>
                <w:ilvl w:val="0"/>
                <w:numId w:val="25"/>
              </w:numPr>
              <w:tabs>
                <w:tab w:pos="253" w:val="left" w:leader="none"/>
              </w:tabs>
              <w:spacing w:line="240" w:lineRule="auto" w:before="0" w:after="0"/>
              <w:ind w:left="290" w:right="620" w:hanging="212"/>
              <w:jc w:val="left"/>
              <w:rPr>
                <w:sz w:val="18"/>
              </w:rPr>
            </w:pPr>
            <w:r>
              <w:rPr>
                <w:sz w:val="18"/>
              </w:rPr>
              <w:t>Deadlines</w:t>
            </w:r>
            <w:r>
              <w:rPr>
                <w:spacing w:val="-11"/>
                <w:sz w:val="18"/>
              </w:rPr>
              <w:t> </w:t>
            </w:r>
            <w:r>
              <w:rPr>
                <w:sz w:val="18"/>
              </w:rPr>
              <w:t>regarding</w:t>
            </w:r>
            <w:r>
              <w:rPr>
                <w:spacing w:val="-11"/>
                <w:sz w:val="18"/>
              </w:rPr>
              <w:t> </w:t>
            </w:r>
            <w:r>
              <w:rPr>
                <w:sz w:val="18"/>
              </w:rPr>
              <w:t>decisions</w:t>
            </w:r>
            <w:r>
              <w:rPr>
                <w:spacing w:val="-7"/>
                <w:sz w:val="18"/>
              </w:rPr>
              <w:t> </w:t>
            </w:r>
            <w:r>
              <w:rPr>
                <w:sz w:val="18"/>
              </w:rPr>
              <w:t>of</w:t>
            </w:r>
            <w:r>
              <w:rPr>
                <w:spacing w:val="-11"/>
                <w:sz w:val="18"/>
              </w:rPr>
              <w:t> </w:t>
            </w:r>
            <w:r>
              <w:rPr>
                <w:sz w:val="18"/>
              </w:rPr>
              <w:t>the</w:t>
            </w:r>
            <w:r>
              <w:rPr>
                <w:spacing w:val="-11"/>
                <w:sz w:val="18"/>
              </w:rPr>
              <w:t> </w:t>
            </w:r>
            <w:r>
              <w:rPr>
                <w:sz w:val="18"/>
              </w:rPr>
              <w:t>Trial </w:t>
            </w:r>
            <w:r>
              <w:rPr>
                <w:spacing w:val="-2"/>
                <w:sz w:val="18"/>
              </w:rPr>
              <w:t>Chamber:</w:t>
            </w:r>
          </w:p>
          <w:p>
            <w:pPr>
              <w:pStyle w:val="TableParagraph"/>
              <w:numPr>
                <w:ilvl w:val="0"/>
                <w:numId w:val="26"/>
              </w:numPr>
              <w:tabs>
                <w:tab w:pos="578" w:val="left" w:leader="none"/>
              </w:tabs>
              <w:spacing w:line="240" w:lineRule="auto" w:before="4" w:after="0"/>
              <w:ind w:left="577" w:right="0" w:hanging="408"/>
              <w:jc w:val="left"/>
              <w:rPr>
                <w:sz w:val="18"/>
              </w:rPr>
            </w:pPr>
            <w:r>
              <w:rPr>
                <w:sz w:val="18"/>
              </w:rPr>
              <w:t>issuance</w:t>
            </w:r>
            <w:r>
              <w:rPr>
                <w:spacing w:val="-4"/>
                <w:sz w:val="18"/>
              </w:rPr>
              <w:t> </w:t>
            </w:r>
            <w:r>
              <w:rPr>
                <w:sz w:val="18"/>
              </w:rPr>
              <w:t>of</w:t>
            </w:r>
            <w:r>
              <w:rPr>
                <w:spacing w:val="-3"/>
                <w:sz w:val="18"/>
              </w:rPr>
              <w:t> </w:t>
            </w:r>
            <w:r>
              <w:rPr>
                <w:sz w:val="18"/>
              </w:rPr>
              <w:t>the</w:t>
            </w:r>
            <w:r>
              <w:rPr>
                <w:spacing w:val="-4"/>
                <w:sz w:val="18"/>
              </w:rPr>
              <w:t> </w:t>
            </w:r>
            <w:r>
              <w:rPr>
                <w:spacing w:val="-2"/>
                <w:sz w:val="18"/>
              </w:rPr>
              <w:t>judgment</w:t>
            </w:r>
          </w:p>
          <w:p>
            <w:pPr>
              <w:pStyle w:val="TableParagraph"/>
              <w:numPr>
                <w:ilvl w:val="0"/>
                <w:numId w:val="26"/>
              </w:numPr>
              <w:tabs>
                <w:tab w:pos="478" w:val="left" w:leader="none"/>
              </w:tabs>
              <w:spacing w:line="240" w:lineRule="auto" w:before="0" w:after="0"/>
              <w:ind w:left="477" w:right="0" w:hanging="308"/>
              <w:jc w:val="left"/>
              <w:rPr>
                <w:sz w:val="18"/>
              </w:rPr>
            </w:pPr>
            <w:r>
              <w:rPr>
                <w:sz w:val="18"/>
              </w:rPr>
              <w:t>issuance</w:t>
            </w:r>
            <w:r>
              <w:rPr>
                <w:spacing w:val="-5"/>
                <w:sz w:val="18"/>
              </w:rPr>
              <w:t> </w:t>
            </w:r>
            <w:r>
              <w:rPr>
                <w:sz w:val="18"/>
              </w:rPr>
              <w:t>of</w:t>
            </w:r>
            <w:r>
              <w:rPr>
                <w:spacing w:val="-4"/>
                <w:sz w:val="18"/>
              </w:rPr>
              <w:t> </w:t>
            </w:r>
            <w:r>
              <w:rPr>
                <w:sz w:val="18"/>
              </w:rPr>
              <w:t>the</w:t>
            </w:r>
            <w:r>
              <w:rPr>
                <w:spacing w:val="-4"/>
                <w:sz w:val="18"/>
              </w:rPr>
              <w:t> </w:t>
            </w:r>
            <w:r>
              <w:rPr>
                <w:sz w:val="18"/>
              </w:rPr>
              <w:t>sentencing</w:t>
            </w:r>
            <w:r>
              <w:rPr>
                <w:spacing w:val="-5"/>
                <w:sz w:val="18"/>
              </w:rPr>
              <w:t> </w:t>
            </w:r>
            <w:r>
              <w:rPr>
                <w:spacing w:val="-2"/>
                <w:sz w:val="18"/>
              </w:rPr>
              <w:t>decision</w:t>
            </w:r>
          </w:p>
          <w:p>
            <w:pPr>
              <w:pStyle w:val="TableParagraph"/>
              <w:jc w:val="left"/>
              <w:rPr>
                <w:b/>
                <w:sz w:val="20"/>
              </w:rPr>
            </w:pPr>
          </w:p>
          <w:p>
            <w:pPr>
              <w:pStyle w:val="TableParagraph"/>
              <w:spacing w:before="1"/>
              <w:jc w:val="left"/>
              <w:rPr>
                <w:b/>
                <w:sz w:val="20"/>
              </w:rPr>
            </w:pPr>
          </w:p>
          <w:p>
            <w:pPr>
              <w:pStyle w:val="TableParagraph"/>
              <w:numPr>
                <w:ilvl w:val="0"/>
                <w:numId w:val="27"/>
              </w:numPr>
              <w:tabs>
                <w:tab w:pos="253" w:val="left" w:leader="none"/>
              </w:tabs>
              <w:spacing w:line="240" w:lineRule="auto" w:before="0" w:after="0"/>
              <w:ind w:left="290" w:right="211" w:hanging="212"/>
              <w:jc w:val="left"/>
              <w:rPr>
                <w:sz w:val="18"/>
              </w:rPr>
            </w:pPr>
            <w:r>
              <w:rPr>
                <w:sz w:val="18"/>
              </w:rPr>
              <w:t>Deadlines</w:t>
            </w:r>
            <w:r>
              <w:rPr>
                <w:spacing w:val="-12"/>
                <w:sz w:val="18"/>
              </w:rPr>
              <w:t> </w:t>
            </w:r>
            <w:r>
              <w:rPr>
                <w:sz w:val="18"/>
              </w:rPr>
              <w:t>regarding</w:t>
            </w:r>
            <w:r>
              <w:rPr>
                <w:spacing w:val="-11"/>
                <w:sz w:val="18"/>
              </w:rPr>
              <w:t> </w:t>
            </w:r>
            <w:r>
              <w:rPr>
                <w:sz w:val="18"/>
              </w:rPr>
              <w:t>decisions/judgments</w:t>
            </w:r>
            <w:r>
              <w:rPr>
                <w:spacing w:val="-11"/>
                <w:sz w:val="18"/>
              </w:rPr>
              <w:t> </w:t>
            </w:r>
            <w:r>
              <w:rPr>
                <w:sz w:val="18"/>
              </w:rPr>
              <w:t>of</w:t>
            </w:r>
            <w:r>
              <w:rPr>
                <w:spacing w:val="-11"/>
                <w:sz w:val="18"/>
              </w:rPr>
              <w:t> </w:t>
            </w:r>
            <w:r>
              <w:rPr>
                <w:sz w:val="18"/>
              </w:rPr>
              <w:t>the Appeals Chamber:</w:t>
            </w:r>
          </w:p>
          <w:p>
            <w:pPr>
              <w:pStyle w:val="TableParagraph"/>
              <w:numPr>
                <w:ilvl w:val="1"/>
                <w:numId w:val="27"/>
              </w:numPr>
              <w:tabs>
                <w:tab w:pos="430" w:val="left" w:leader="none"/>
              </w:tabs>
              <w:spacing w:line="206" w:lineRule="exact" w:before="0" w:after="0"/>
              <w:ind w:left="429" w:right="0" w:hanging="260"/>
              <w:jc w:val="left"/>
              <w:rPr>
                <w:sz w:val="18"/>
              </w:rPr>
            </w:pPr>
            <w:r>
              <w:rPr>
                <w:sz w:val="18"/>
              </w:rPr>
              <w:t>decision</w:t>
            </w:r>
            <w:r>
              <w:rPr>
                <w:spacing w:val="-4"/>
                <w:sz w:val="18"/>
              </w:rPr>
              <w:t> </w:t>
            </w:r>
            <w:r>
              <w:rPr>
                <w:sz w:val="18"/>
              </w:rPr>
              <w:t>to</w:t>
            </w:r>
            <w:r>
              <w:rPr>
                <w:spacing w:val="-3"/>
                <w:sz w:val="18"/>
              </w:rPr>
              <w:t> </w:t>
            </w:r>
            <w:r>
              <w:rPr>
                <w:sz w:val="18"/>
              </w:rPr>
              <w:t>hold</w:t>
            </w:r>
            <w:r>
              <w:rPr>
                <w:spacing w:val="-4"/>
                <w:sz w:val="18"/>
              </w:rPr>
              <w:t> </w:t>
            </w:r>
            <w:r>
              <w:rPr>
                <w:sz w:val="18"/>
              </w:rPr>
              <w:t>an</w:t>
            </w:r>
            <w:r>
              <w:rPr>
                <w:spacing w:val="-3"/>
                <w:sz w:val="18"/>
              </w:rPr>
              <w:t> </w:t>
            </w:r>
            <w:r>
              <w:rPr>
                <w:sz w:val="18"/>
              </w:rPr>
              <w:t>oral</w:t>
            </w:r>
            <w:r>
              <w:rPr>
                <w:spacing w:val="-1"/>
                <w:sz w:val="18"/>
              </w:rPr>
              <w:t> </w:t>
            </w:r>
            <w:r>
              <w:rPr>
                <w:spacing w:val="-2"/>
                <w:sz w:val="18"/>
              </w:rPr>
              <w:t>hearing</w:t>
            </w:r>
          </w:p>
          <w:p>
            <w:pPr>
              <w:pStyle w:val="TableParagraph"/>
              <w:numPr>
                <w:ilvl w:val="1"/>
                <w:numId w:val="27"/>
              </w:numPr>
              <w:tabs>
                <w:tab w:pos="478" w:val="left" w:leader="none"/>
              </w:tabs>
              <w:spacing w:line="240" w:lineRule="auto" w:before="0" w:after="0"/>
              <w:ind w:left="434" w:right="182" w:hanging="264"/>
              <w:jc w:val="left"/>
              <w:rPr>
                <w:sz w:val="18"/>
              </w:rPr>
            </w:pPr>
            <w:r>
              <w:rPr>
                <w:sz w:val="18"/>
              </w:rPr>
              <w:t>issuance</w:t>
            </w:r>
            <w:r>
              <w:rPr>
                <w:spacing w:val="-2"/>
                <w:sz w:val="18"/>
              </w:rPr>
              <w:t> </w:t>
            </w:r>
            <w:r>
              <w:rPr>
                <w:sz w:val="18"/>
              </w:rPr>
              <w:t>of</w:t>
            </w:r>
            <w:r>
              <w:rPr>
                <w:spacing w:val="-1"/>
                <w:sz w:val="18"/>
              </w:rPr>
              <w:t> </w:t>
            </w:r>
            <w:r>
              <w:rPr>
                <w:sz w:val="18"/>
              </w:rPr>
              <w:t>judgments on</w:t>
            </w:r>
            <w:r>
              <w:rPr>
                <w:spacing w:val="-2"/>
                <w:sz w:val="18"/>
              </w:rPr>
              <w:t> </w:t>
            </w:r>
            <w:r>
              <w:rPr>
                <w:sz w:val="18"/>
              </w:rPr>
              <w:t>appeals</w:t>
            </w:r>
            <w:r>
              <w:rPr>
                <w:spacing w:val="-1"/>
                <w:sz w:val="18"/>
              </w:rPr>
              <w:t> </w:t>
            </w:r>
            <w:r>
              <w:rPr>
                <w:sz w:val="18"/>
              </w:rPr>
              <w:t>against the conviction, acquittal or reparations order</w:t>
            </w:r>
          </w:p>
          <w:p>
            <w:pPr>
              <w:pStyle w:val="TableParagraph"/>
              <w:numPr>
                <w:ilvl w:val="1"/>
                <w:numId w:val="27"/>
              </w:numPr>
              <w:tabs>
                <w:tab w:pos="526" w:val="left" w:leader="none"/>
              </w:tabs>
              <w:spacing w:line="240" w:lineRule="auto" w:before="0" w:after="0"/>
              <w:ind w:left="434" w:right="135" w:hanging="264"/>
              <w:jc w:val="left"/>
              <w:rPr>
                <w:sz w:val="18"/>
              </w:rPr>
            </w:pPr>
            <w:r>
              <w:rPr>
                <w:sz w:val="18"/>
              </w:rPr>
              <w:t>issuance</w:t>
            </w:r>
            <w:r>
              <w:rPr>
                <w:spacing w:val="-8"/>
                <w:sz w:val="18"/>
              </w:rPr>
              <w:t> </w:t>
            </w:r>
            <w:r>
              <w:rPr>
                <w:sz w:val="18"/>
              </w:rPr>
              <w:t>of</w:t>
            </w:r>
            <w:r>
              <w:rPr>
                <w:spacing w:val="-7"/>
                <w:sz w:val="18"/>
              </w:rPr>
              <w:t> </w:t>
            </w:r>
            <w:r>
              <w:rPr>
                <w:sz w:val="18"/>
              </w:rPr>
              <w:t>judgments</w:t>
            </w:r>
            <w:r>
              <w:rPr>
                <w:spacing w:val="-8"/>
                <w:sz w:val="18"/>
              </w:rPr>
              <w:t> </w:t>
            </w:r>
            <w:r>
              <w:rPr>
                <w:sz w:val="18"/>
              </w:rPr>
              <w:t>on</w:t>
            </w:r>
            <w:r>
              <w:rPr>
                <w:spacing w:val="-8"/>
                <w:sz w:val="18"/>
              </w:rPr>
              <w:t> </w:t>
            </w:r>
            <w:r>
              <w:rPr>
                <w:sz w:val="18"/>
              </w:rPr>
              <w:t>appeals</w:t>
            </w:r>
            <w:r>
              <w:rPr>
                <w:spacing w:val="-8"/>
                <w:sz w:val="18"/>
              </w:rPr>
              <w:t> </w:t>
            </w:r>
            <w:r>
              <w:rPr>
                <w:sz w:val="18"/>
              </w:rPr>
              <w:t>against</w:t>
            </w:r>
            <w:r>
              <w:rPr>
                <w:spacing w:val="-6"/>
                <w:sz w:val="18"/>
              </w:rPr>
              <w:t> </w:t>
            </w:r>
            <w:r>
              <w:rPr>
                <w:sz w:val="18"/>
              </w:rPr>
              <w:t>the sentencing decision</w:t>
            </w:r>
          </w:p>
          <w:p>
            <w:pPr>
              <w:pStyle w:val="TableParagraph"/>
              <w:numPr>
                <w:ilvl w:val="1"/>
                <w:numId w:val="27"/>
              </w:numPr>
              <w:tabs>
                <w:tab w:pos="578" w:val="left" w:leader="none"/>
              </w:tabs>
              <w:spacing w:line="240" w:lineRule="auto" w:before="0" w:after="0"/>
              <w:ind w:left="429" w:right="512" w:hanging="260"/>
              <w:jc w:val="left"/>
              <w:rPr>
                <w:sz w:val="18"/>
              </w:rPr>
            </w:pPr>
            <w:r>
              <w:rPr>
                <w:sz w:val="18"/>
              </w:rPr>
              <w:t>issuance</w:t>
            </w:r>
            <w:r>
              <w:rPr>
                <w:spacing w:val="-11"/>
                <w:sz w:val="18"/>
              </w:rPr>
              <w:t> </w:t>
            </w:r>
            <w:r>
              <w:rPr>
                <w:sz w:val="18"/>
              </w:rPr>
              <w:t>of</w:t>
            </w:r>
            <w:r>
              <w:rPr>
                <w:spacing w:val="-10"/>
                <w:sz w:val="18"/>
              </w:rPr>
              <w:t> </w:t>
            </w:r>
            <w:r>
              <w:rPr>
                <w:sz w:val="18"/>
              </w:rPr>
              <w:t>judgments</w:t>
            </w:r>
            <w:r>
              <w:rPr>
                <w:spacing w:val="-10"/>
                <w:sz w:val="18"/>
              </w:rPr>
              <w:t> </w:t>
            </w:r>
            <w:r>
              <w:rPr>
                <w:sz w:val="18"/>
              </w:rPr>
              <w:t>on</w:t>
            </w:r>
            <w:r>
              <w:rPr>
                <w:spacing w:val="-11"/>
                <w:sz w:val="18"/>
              </w:rPr>
              <w:t> </w:t>
            </w:r>
            <w:r>
              <w:rPr>
                <w:sz w:val="18"/>
              </w:rPr>
              <w:t>interlocutory </w:t>
            </w:r>
            <w:r>
              <w:rPr>
                <w:spacing w:val="-2"/>
                <w:sz w:val="18"/>
              </w:rPr>
              <w:t>appeals</w:t>
            </w:r>
          </w:p>
          <w:p>
            <w:pPr>
              <w:pStyle w:val="TableParagraph"/>
              <w:spacing w:before="9"/>
              <w:jc w:val="left"/>
              <w:rPr>
                <w:b/>
                <w:sz w:val="28"/>
              </w:rPr>
            </w:pPr>
          </w:p>
          <w:p>
            <w:pPr>
              <w:pStyle w:val="TableParagraph"/>
              <w:numPr>
                <w:ilvl w:val="0"/>
                <w:numId w:val="28"/>
              </w:numPr>
              <w:tabs>
                <w:tab w:pos="195" w:val="left" w:leader="none"/>
              </w:tabs>
              <w:spacing w:line="237" w:lineRule="auto" w:before="0" w:after="0"/>
              <w:ind w:left="79" w:right="467" w:firstLine="0"/>
              <w:jc w:val="left"/>
              <w:rPr>
                <w:sz w:val="18"/>
              </w:rPr>
            </w:pPr>
            <w:r>
              <w:rPr>
                <w:sz w:val="18"/>
              </w:rPr>
              <w:t>Percentage</w:t>
            </w:r>
            <w:r>
              <w:rPr>
                <w:spacing w:val="-8"/>
                <w:sz w:val="18"/>
              </w:rPr>
              <w:t> </w:t>
            </w:r>
            <w:r>
              <w:rPr>
                <w:sz w:val="18"/>
              </w:rPr>
              <w:t>of</w:t>
            </w:r>
            <w:r>
              <w:rPr>
                <w:spacing w:val="-7"/>
                <w:sz w:val="18"/>
              </w:rPr>
              <w:t> </w:t>
            </w:r>
            <w:r>
              <w:rPr>
                <w:sz w:val="18"/>
              </w:rPr>
              <w:t>cancelled</w:t>
            </w:r>
            <w:r>
              <w:rPr>
                <w:spacing w:val="-8"/>
                <w:sz w:val="18"/>
              </w:rPr>
              <w:t> </w:t>
            </w:r>
            <w:r>
              <w:rPr>
                <w:sz w:val="18"/>
              </w:rPr>
              <w:t>hearing</w:t>
            </w:r>
            <w:r>
              <w:rPr>
                <w:spacing w:val="-8"/>
                <w:sz w:val="18"/>
              </w:rPr>
              <w:t> </w:t>
            </w:r>
            <w:r>
              <w:rPr>
                <w:sz w:val="18"/>
              </w:rPr>
              <w:t>days</w:t>
            </w:r>
            <w:r>
              <w:rPr>
                <w:spacing w:val="-8"/>
                <w:sz w:val="18"/>
              </w:rPr>
              <w:t> </w:t>
            </w:r>
            <w:r>
              <w:rPr>
                <w:sz w:val="18"/>
              </w:rPr>
              <w:t>of</w:t>
            </w:r>
            <w:r>
              <w:rPr>
                <w:spacing w:val="-7"/>
                <w:sz w:val="18"/>
              </w:rPr>
              <w:t> </w:t>
            </w:r>
            <w:r>
              <w:rPr>
                <w:sz w:val="18"/>
              </w:rPr>
              <w:t>total scheduled hearing days</w:t>
            </w:r>
          </w:p>
          <w:p>
            <w:pPr>
              <w:pStyle w:val="TableParagraph"/>
              <w:spacing w:before="8"/>
              <w:jc w:val="left"/>
              <w:rPr>
                <w:b/>
                <w:sz w:val="28"/>
              </w:rPr>
            </w:pPr>
          </w:p>
          <w:p>
            <w:pPr>
              <w:pStyle w:val="TableParagraph"/>
              <w:numPr>
                <w:ilvl w:val="0"/>
                <w:numId w:val="28"/>
              </w:numPr>
              <w:tabs>
                <w:tab w:pos="195" w:val="left" w:leader="none"/>
              </w:tabs>
              <w:spacing w:line="237" w:lineRule="auto" w:before="0" w:after="0"/>
              <w:ind w:left="79" w:right="174" w:firstLine="0"/>
              <w:jc w:val="left"/>
              <w:rPr>
                <w:sz w:val="18"/>
              </w:rPr>
            </w:pPr>
            <w:r>
              <w:rPr>
                <w:sz w:val="18"/>
              </w:rPr>
              <w:t>Milestone</w:t>
            </w:r>
            <w:r>
              <w:rPr>
                <w:spacing w:val="-8"/>
                <w:sz w:val="18"/>
              </w:rPr>
              <w:t> </w:t>
            </w:r>
            <w:r>
              <w:rPr>
                <w:sz w:val="18"/>
              </w:rPr>
              <w:t>planning</w:t>
            </w:r>
            <w:r>
              <w:rPr>
                <w:spacing w:val="-8"/>
                <w:sz w:val="18"/>
              </w:rPr>
              <w:t> </w:t>
            </w:r>
            <w:r>
              <w:rPr>
                <w:sz w:val="18"/>
              </w:rPr>
              <w:t>(%</w:t>
            </w:r>
            <w:r>
              <w:rPr>
                <w:spacing w:val="-8"/>
                <w:sz w:val="18"/>
              </w:rPr>
              <w:t> </w:t>
            </w:r>
            <w:r>
              <w:rPr>
                <w:sz w:val="18"/>
              </w:rPr>
              <w:t>of</w:t>
            </w:r>
            <w:r>
              <w:rPr>
                <w:spacing w:val="-8"/>
                <w:sz w:val="18"/>
              </w:rPr>
              <w:t> </w:t>
            </w:r>
            <w:r>
              <w:rPr>
                <w:sz w:val="18"/>
              </w:rPr>
              <w:t>milestones</w:t>
            </w:r>
            <w:r>
              <w:rPr>
                <w:spacing w:val="-8"/>
                <w:sz w:val="18"/>
              </w:rPr>
              <w:t> </w:t>
            </w:r>
            <w:r>
              <w:rPr>
                <w:sz w:val="18"/>
              </w:rPr>
              <w:t>achieved</w:t>
            </w:r>
            <w:r>
              <w:rPr>
                <w:spacing w:val="-8"/>
                <w:sz w:val="18"/>
              </w:rPr>
              <w:t> </w:t>
            </w:r>
            <w:r>
              <w:rPr>
                <w:sz w:val="18"/>
              </w:rPr>
              <w:t>v. </w:t>
            </w:r>
            <w:r>
              <w:rPr>
                <w:spacing w:val="-2"/>
                <w:sz w:val="18"/>
              </w:rPr>
              <w:t>planned)</w:t>
            </w:r>
          </w:p>
        </w:tc>
        <w:tc>
          <w:tcPr>
            <w:tcW w:w="1409" w:type="dxa"/>
            <w:tcBorders>
              <w:top w:val="single" w:sz="4" w:space="0" w:color="000000"/>
              <w:bottom w:val="single" w:sz="4" w:space="0" w:color="000000"/>
            </w:tcBorders>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8"/>
              <w:jc w:val="left"/>
              <w:rPr>
                <w:b/>
                <w:sz w:val="29"/>
              </w:rPr>
            </w:pPr>
          </w:p>
          <w:p>
            <w:pPr>
              <w:pStyle w:val="TableParagraph"/>
              <w:numPr>
                <w:ilvl w:val="0"/>
                <w:numId w:val="29"/>
              </w:numPr>
              <w:tabs>
                <w:tab w:pos="316" w:val="left" w:leader="none"/>
              </w:tabs>
              <w:spacing w:line="240" w:lineRule="auto" w:before="1" w:after="0"/>
              <w:ind w:left="315" w:right="0" w:hanging="221"/>
              <w:jc w:val="left"/>
              <w:rPr>
                <w:sz w:val="18"/>
              </w:rPr>
            </w:pPr>
            <w:r>
              <w:rPr>
                <w:sz w:val="18"/>
              </w:rPr>
              <w:t>93</w:t>
            </w:r>
            <w:r>
              <w:rPr>
                <w:spacing w:val="-6"/>
                <w:sz w:val="18"/>
              </w:rPr>
              <w:t> </w:t>
            </w:r>
            <w:r>
              <w:rPr>
                <w:spacing w:val="-4"/>
                <w:sz w:val="18"/>
              </w:rPr>
              <w:t>days</w:t>
            </w:r>
          </w:p>
          <w:p>
            <w:pPr>
              <w:pStyle w:val="TableParagraph"/>
              <w:spacing w:before="3"/>
              <w:jc w:val="left"/>
              <w:rPr>
                <w:b/>
                <w:sz w:val="18"/>
              </w:rPr>
            </w:pPr>
          </w:p>
          <w:p>
            <w:pPr>
              <w:pStyle w:val="TableParagraph"/>
              <w:numPr>
                <w:ilvl w:val="0"/>
                <w:numId w:val="29"/>
              </w:numPr>
              <w:tabs>
                <w:tab w:pos="364" w:val="left" w:leader="none"/>
              </w:tabs>
              <w:spacing w:line="283" w:lineRule="auto" w:before="0" w:after="0"/>
              <w:ind w:left="95" w:right="55" w:firstLine="0"/>
              <w:jc w:val="left"/>
              <w:rPr>
                <w:sz w:val="18"/>
              </w:rPr>
            </w:pPr>
            <w:r>
              <w:rPr>
                <w:sz w:val="18"/>
              </w:rPr>
              <w:t>fewer</w:t>
            </w:r>
            <w:r>
              <w:rPr>
                <w:spacing w:val="-12"/>
                <w:sz w:val="18"/>
              </w:rPr>
              <w:t> </w:t>
            </w:r>
            <w:r>
              <w:rPr>
                <w:sz w:val="18"/>
              </w:rPr>
              <w:t>than</w:t>
            </w:r>
            <w:r>
              <w:rPr>
                <w:spacing w:val="-11"/>
                <w:sz w:val="18"/>
              </w:rPr>
              <w:t> </w:t>
            </w:r>
            <w:r>
              <w:rPr>
                <w:sz w:val="18"/>
              </w:rPr>
              <w:t>96</w:t>
            </w:r>
            <w:r>
              <w:rPr>
                <w:sz w:val="18"/>
              </w:rPr>
              <w:t> </w:t>
            </w:r>
            <w:r>
              <w:rPr>
                <w:spacing w:val="-2"/>
                <w:sz w:val="18"/>
              </w:rPr>
              <w:t>hours</w:t>
            </w:r>
          </w:p>
          <w:p>
            <w:pPr>
              <w:pStyle w:val="TableParagraph"/>
              <w:numPr>
                <w:ilvl w:val="0"/>
                <w:numId w:val="29"/>
              </w:numPr>
              <w:tabs>
                <w:tab w:pos="412" w:val="left" w:leader="none"/>
              </w:tabs>
              <w:spacing w:line="240" w:lineRule="auto" w:before="6" w:after="0"/>
              <w:ind w:left="411" w:right="0" w:hanging="317"/>
              <w:jc w:val="left"/>
              <w:rPr>
                <w:sz w:val="18"/>
              </w:rPr>
            </w:pPr>
            <w:r>
              <w:rPr>
                <w:sz w:val="18"/>
              </w:rPr>
              <w:t>81</w:t>
            </w:r>
            <w:r>
              <w:rPr>
                <w:spacing w:val="-1"/>
                <w:sz w:val="18"/>
              </w:rPr>
              <w:t> </w:t>
            </w:r>
            <w:r>
              <w:rPr>
                <w:spacing w:val="-4"/>
                <w:sz w:val="18"/>
              </w:rPr>
              <w:t>days</w:t>
            </w:r>
          </w:p>
          <w:p>
            <w:pPr>
              <w:pStyle w:val="TableParagraph"/>
              <w:numPr>
                <w:ilvl w:val="0"/>
                <w:numId w:val="29"/>
              </w:numPr>
              <w:tabs>
                <w:tab w:pos="388" w:val="left" w:leader="none"/>
              </w:tabs>
              <w:spacing w:line="290" w:lineRule="auto" w:before="124" w:after="0"/>
              <w:ind w:left="95" w:right="84" w:hanging="15"/>
              <w:jc w:val="left"/>
              <w:rPr>
                <w:sz w:val="18"/>
              </w:rPr>
            </w:pPr>
            <w:r>
              <w:rPr>
                <w:sz w:val="18"/>
              </w:rPr>
              <w:t>6</w:t>
            </w:r>
            <w:r>
              <w:rPr>
                <w:spacing w:val="-12"/>
                <w:sz w:val="18"/>
              </w:rPr>
              <w:t> </w:t>
            </w:r>
            <w:r>
              <w:rPr>
                <w:sz w:val="18"/>
              </w:rPr>
              <w:t>months,</w:t>
            </w:r>
            <w:r>
              <w:rPr>
                <w:spacing w:val="-11"/>
                <w:sz w:val="18"/>
              </w:rPr>
              <w:t> </w:t>
            </w:r>
            <w:r>
              <w:rPr>
                <w:sz w:val="18"/>
              </w:rPr>
              <w:t>29</w:t>
            </w:r>
            <w:r>
              <w:rPr>
                <w:sz w:val="18"/>
              </w:rPr>
              <w:t> </w:t>
            </w:r>
            <w:r>
              <w:rPr>
                <w:spacing w:val="-4"/>
                <w:sz w:val="18"/>
              </w:rPr>
              <w:t>days</w:t>
            </w:r>
          </w:p>
          <w:p>
            <w:pPr>
              <w:pStyle w:val="TableParagraph"/>
              <w:numPr>
                <w:ilvl w:val="0"/>
                <w:numId w:val="29"/>
              </w:numPr>
              <w:tabs>
                <w:tab w:pos="355" w:val="left" w:leader="none"/>
              </w:tabs>
              <w:spacing w:line="206" w:lineRule="exact" w:before="0" w:after="0"/>
              <w:ind w:left="354" w:right="0" w:hanging="260"/>
              <w:jc w:val="left"/>
              <w:rPr>
                <w:sz w:val="18"/>
              </w:rPr>
            </w:pPr>
            <w:r>
              <w:rPr>
                <w:sz w:val="18"/>
              </w:rPr>
              <w:t>6.67</w:t>
            </w:r>
            <w:r>
              <w:rPr>
                <w:spacing w:val="-2"/>
                <w:sz w:val="18"/>
              </w:rPr>
              <w:t> </w:t>
            </w:r>
            <w:r>
              <w:rPr>
                <w:spacing w:val="-4"/>
                <w:sz w:val="18"/>
              </w:rPr>
              <w:t>days</w:t>
            </w:r>
          </w:p>
          <w:p>
            <w:pPr>
              <w:pStyle w:val="TableParagraph"/>
              <w:spacing w:before="6"/>
              <w:jc w:val="left"/>
              <w:rPr>
                <w:b/>
                <w:sz w:val="27"/>
              </w:rPr>
            </w:pPr>
          </w:p>
          <w:p>
            <w:pPr>
              <w:pStyle w:val="TableParagraph"/>
              <w:numPr>
                <w:ilvl w:val="0"/>
                <w:numId w:val="29"/>
              </w:numPr>
              <w:tabs>
                <w:tab w:pos="403" w:val="left" w:leader="none"/>
              </w:tabs>
              <w:spacing w:line="240" w:lineRule="auto" w:before="0" w:after="0"/>
              <w:ind w:left="402" w:right="0" w:hanging="308"/>
              <w:jc w:val="left"/>
              <w:rPr>
                <w:sz w:val="18"/>
              </w:rPr>
            </w:pPr>
            <w:r>
              <w:rPr>
                <w:sz w:val="18"/>
              </w:rPr>
              <w:t>48.25</w:t>
            </w:r>
            <w:r>
              <w:rPr>
                <w:spacing w:val="-1"/>
                <w:sz w:val="18"/>
              </w:rPr>
              <w:t> </w:t>
            </w:r>
            <w:r>
              <w:rPr>
                <w:spacing w:val="-4"/>
                <w:sz w:val="18"/>
              </w:rPr>
              <w:t>days</w:t>
            </w:r>
          </w:p>
          <w:p>
            <w:pPr>
              <w:pStyle w:val="TableParagraph"/>
              <w:numPr>
                <w:ilvl w:val="0"/>
                <w:numId w:val="29"/>
              </w:numPr>
              <w:tabs>
                <w:tab w:pos="455" w:val="left" w:leader="none"/>
              </w:tabs>
              <w:spacing w:line="240" w:lineRule="auto" w:before="43" w:after="0"/>
              <w:ind w:left="454" w:right="0" w:hanging="360"/>
              <w:jc w:val="left"/>
              <w:rPr>
                <w:sz w:val="18"/>
              </w:rPr>
            </w:pPr>
            <w:r>
              <w:rPr>
                <w:sz w:val="18"/>
              </w:rPr>
              <w:t>52.67</w:t>
            </w:r>
            <w:r>
              <w:rPr>
                <w:spacing w:val="-6"/>
                <w:sz w:val="18"/>
              </w:rPr>
              <w:t> </w:t>
            </w:r>
            <w:r>
              <w:rPr>
                <w:spacing w:val="-4"/>
                <w:sz w:val="18"/>
              </w:rPr>
              <w:t>days</w:t>
            </w:r>
          </w:p>
          <w:p>
            <w:pPr>
              <w:pStyle w:val="TableParagraph"/>
              <w:jc w:val="left"/>
              <w:rPr>
                <w:b/>
                <w:sz w:val="20"/>
              </w:rPr>
            </w:pPr>
          </w:p>
          <w:p>
            <w:pPr>
              <w:pStyle w:val="TableParagraph"/>
              <w:jc w:val="left"/>
              <w:rPr>
                <w:b/>
                <w:sz w:val="20"/>
              </w:rPr>
            </w:pPr>
          </w:p>
          <w:p>
            <w:pPr>
              <w:pStyle w:val="TableParagraph"/>
              <w:numPr>
                <w:ilvl w:val="0"/>
                <w:numId w:val="29"/>
              </w:numPr>
              <w:tabs>
                <w:tab w:pos="503" w:val="left" w:leader="none"/>
              </w:tabs>
              <w:spacing w:line="240" w:lineRule="auto" w:before="130" w:after="0"/>
              <w:ind w:left="502" w:right="0" w:hanging="408"/>
              <w:jc w:val="left"/>
              <w:rPr>
                <w:sz w:val="18"/>
              </w:rPr>
            </w:pPr>
            <w:r>
              <w:rPr>
                <w:sz w:val="18"/>
              </w:rPr>
              <w:t>10</w:t>
            </w:r>
            <w:r>
              <w:rPr>
                <w:spacing w:val="-6"/>
                <w:sz w:val="18"/>
              </w:rPr>
              <w:t> </w:t>
            </w:r>
            <w:r>
              <w:rPr>
                <w:spacing w:val="-2"/>
                <w:sz w:val="18"/>
              </w:rPr>
              <w:t>months,</w:t>
            </w:r>
          </w:p>
          <w:p>
            <w:pPr>
              <w:pStyle w:val="TableParagraph"/>
              <w:spacing w:before="43"/>
              <w:ind w:left="95"/>
              <w:jc w:val="left"/>
              <w:rPr>
                <w:sz w:val="18"/>
              </w:rPr>
            </w:pPr>
            <w:r>
              <w:rPr>
                <w:sz w:val="18"/>
              </w:rPr>
              <w:t>23</w:t>
            </w:r>
            <w:r>
              <w:rPr>
                <w:spacing w:val="3"/>
                <w:sz w:val="18"/>
              </w:rPr>
              <w:t> </w:t>
            </w:r>
            <w:r>
              <w:rPr>
                <w:spacing w:val="-4"/>
                <w:sz w:val="18"/>
              </w:rPr>
              <w:t>days</w:t>
            </w:r>
          </w:p>
          <w:p>
            <w:pPr>
              <w:pStyle w:val="TableParagraph"/>
              <w:numPr>
                <w:ilvl w:val="0"/>
                <w:numId w:val="30"/>
              </w:numPr>
              <w:tabs>
                <w:tab w:pos="402" w:val="left" w:leader="none"/>
              </w:tabs>
              <w:spacing w:line="290" w:lineRule="auto" w:before="42" w:after="0"/>
              <w:ind w:left="95" w:right="156" w:firstLine="0"/>
              <w:jc w:val="left"/>
              <w:rPr>
                <w:sz w:val="18"/>
              </w:rPr>
            </w:pPr>
            <w:r>
              <w:rPr>
                <w:sz w:val="18"/>
              </w:rPr>
              <w:t>3</w:t>
            </w:r>
            <w:r>
              <w:rPr>
                <w:spacing w:val="-12"/>
                <w:sz w:val="18"/>
              </w:rPr>
              <w:t> </w:t>
            </w:r>
            <w:r>
              <w:rPr>
                <w:sz w:val="18"/>
              </w:rPr>
              <w:t>months,</w:t>
            </w:r>
            <w:r>
              <w:rPr>
                <w:spacing w:val="-11"/>
                <w:sz w:val="18"/>
              </w:rPr>
              <w:t> </w:t>
            </w:r>
            <w:r>
              <w:rPr>
                <w:sz w:val="18"/>
              </w:rPr>
              <w:t>2</w:t>
            </w:r>
            <w:r>
              <w:rPr>
                <w:sz w:val="18"/>
              </w:rPr>
              <w:t> </w:t>
            </w:r>
            <w:r>
              <w:rPr>
                <w:spacing w:val="-4"/>
                <w:sz w:val="18"/>
              </w:rPr>
              <w:t>days</w:t>
            </w:r>
          </w:p>
          <w:p>
            <w:pPr>
              <w:pStyle w:val="TableParagraph"/>
              <w:spacing w:before="3"/>
              <w:jc w:val="left"/>
              <w:rPr>
                <w:b/>
                <w:sz w:val="28"/>
              </w:rPr>
            </w:pPr>
          </w:p>
          <w:p>
            <w:pPr>
              <w:pStyle w:val="TableParagraph"/>
              <w:numPr>
                <w:ilvl w:val="0"/>
                <w:numId w:val="30"/>
              </w:numPr>
              <w:tabs>
                <w:tab w:pos="355" w:val="left" w:leader="none"/>
              </w:tabs>
              <w:spacing w:line="240" w:lineRule="auto" w:before="0" w:after="0"/>
              <w:ind w:left="354" w:right="0" w:hanging="260"/>
              <w:jc w:val="left"/>
              <w:rPr>
                <w:sz w:val="18"/>
              </w:rPr>
            </w:pPr>
            <w:r>
              <w:rPr>
                <w:sz w:val="18"/>
              </w:rPr>
              <w:t>1</w:t>
            </w:r>
            <w:r>
              <w:rPr>
                <w:spacing w:val="-7"/>
                <w:sz w:val="18"/>
              </w:rPr>
              <w:t> </w:t>
            </w:r>
            <w:r>
              <w:rPr>
                <w:spacing w:val="-2"/>
                <w:sz w:val="18"/>
              </w:rPr>
              <w:t>month</w:t>
            </w:r>
          </w:p>
          <w:p>
            <w:pPr>
              <w:pStyle w:val="TableParagraph"/>
              <w:numPr>
                <w:ilvl w:val="0"/>
                <w:numId w:val="30"/>
              </w:numPr>
              <w:tabs>
                <w:tab w:pos="403" w:val="left" w:leader="none"/>
              </w:tabs>
              <w:spacing w:line="290" w:lineRule="auto" w:before="43" w:after="0"/>
              <w:ind w:left="95" w:right="69" w:firstLine="0"/>
              <w:jc w:val="left"/>
              <w:rPr>
                <w:sz w:val="18"/>
              </w:rPr>
            </w:pPr>
            <w:r>
              <w:rPr>
                <w:sz w:val="18"/>
              </w:rPr>
              <w:t>7</w:t>
            </w:r>
            <w:r>
              <w:rPr>
                <w:spacing w:val="-12"/>
                <w:sz w:val="18"/>
              </w:rPr>
              <w:t> </w:t>
            </w:r>
            <w:r>
              <w:rPr>
                <w:sz w:val="18"/>
              </w:rPr>
              <w:t>months,</w:t>
            </w:r>
            <w:r>
              <w:rPr>
                <w:spacing w:val="-11"/>
                <w:sz w:val="18"/>
              </w:rPr>
              <w:t> </w:t>
            </w:r>
            <w:r>
              <w:rPr>
                <w:sz w:val="18"/>
              </w:rPr>
              <w:t>12</w:t>
            </w:r>
            <w:r>
              <w:rPr>
                <w:sz w:val="18"/>
              </w:rPr>
              <w:t> </w:t>
            </w:r>
            <w:r>
              <w:rPr>
                <w:spacing w:val="-4"/>
                <w:sz w:val="18"/>
              </w:rPr>
              <w:t>days</w:t>
            </w:r>
          </w:p>
          <w:p>
            <w:pPr>
              <w:pStyle w:val="TableParagraph"/>
              <w:numPr>
                <w:ilvl w:val="0"/>
                <w:numId w:val="30"/>
              </w:numPr>
              <w:tabs>
                <w:tab w:pos="455" w:val="left" w:leader="none"/>
              </w:tabs>
              <w:spacing w:line="206" w:lineRule="exact" w:before="0" w:after="0"/>
              <w:ind w:left="454" w:right="0" w:hanging="360"/>
              <w:jc w:val="left"/>
              <w:rPr>
                <w:sz w:val="18"/>
              </w:rPr>
            </w:pPr>
            <w:r>
              <w:rPr>
                <w:sz w:val="18"/>
              </w:rPr>
              <w:t>same</w:t>
            </w:r>
            <w:r>
              <w:rPr>
                <w:spacing w:val="-7"/>
                <w:sz w:val="18"/>
              </w:rPr>
              <w:t> </w:t>
            </w:r>
            <w:r>
              <w:rPr>
                <w:spacing w:val="-5"/>
                <w:sz w:val="18"/>
              </w:rPr>
              <w:t>day</w:t>
            </w:r>
          </w:p>
          <w:p>
            <w:pPr>
              <w:pStyle w:val="TableParagraph"/>
              <w:numPr>
                <w:ilvl w:val="0"/>
                <w:numId w:val="30"/>
              </w:numPr>
              <w:tabs>
                <w:tab w:pos="503" w:val="left" w:leader="none"/>
              </w:tabs>
              <w:spacing w:line="240" w:lineRule="auto" w:before="95" w:after="0"/>
              <w:ind w:left="502" w:right="0" w:hanging="408"/>
              <w:jc w:val="left"/>
              <w:rPr>
                <w:sz w:val="18"/>
              </w:rPr>
            </w:pPr>
            <w:r>
              <w:rPr>
                <w:sz w:val="18"/>
              </w:rPr>
              <w:t>1</w:t>
            </w:r>
            <w:r>
              <w:rPr>
                <w:spacing w:val="-2"/>
                <w:sz w:val="18"/>
              </w:rPr>
              <w:t> month,</w:t>
            </w:r>
          </w:p>
          <w:p>
            <w:pPr>
              <w:pStyle w:val="TableParagraph"/>
              <w:spacing w:before="43"/>
              <w:ind w:left="95"/>
              <w:jc w:val="left"/>
              <w:rPr>
                <w:sz w:val="18"/>
              </w:rPr>
            </w:pPr>
            <w:r>
              <w:rPr>
                <w:sz w:val="18"/>
              </w:rPr>
              <w:t>15</w:t>
            </w:r>
            <w:r>
              <w:rPr>
                <w:spacing w:val="3"/>
                <w:sz w:val="18"/>
              </w:rPr>
              <w:t> </w:t>
            </w:r>
            <w:r>
              <w:rPr>
                <w:spacing w:val="-4"/>
                <w:sz w:val="18"/>
              </w:rPr>
              <w:t>days</w:t>
            </w:r>
          </w:p>
          <w:p>
            <w:pPr>
              <w:pStyle w:val="TableParagraph"/>
              <w:spacing w:before="5"/>
              <w:jc w:val="left"/>
              <w:rPr>
                <w:b/>
                <w:sz w:val="27"/>
              </w:rPr>
            </w:pPr>
          </w:p>
          <w:p>
            <w:pPr>
              <w:pStyle w:val="TableParagraph"/>
              <w:ind w:left="119"/>
              <w:jc w:val="left"/>
              <w:rPr>
                <w:sz w:val="18"/>
              </w:rPr>
            </w:pPr>
            <w:r>
              <w:rPr>
                <w:sz w:val="18"/>
              </w:rPr>
              <w:t>˗</w:t>
            </w:r>
            <w:r>
              <w:rPr>
                <w:spacing w:val="38"/>
                <w:sz w:val="18"/>
              </w:rPr>
              <w:t> </w:t>
            </w:r>
            <w:r>
              <w:rPr>
                <w:spacing w:val="-4"/>
                <w:sz w:val="18"/>
              </w:rPr>
              <w:t>42.2%</w:t>
            </w:r>
          </w:p>
          <w:p>
            <w:pPr>
              <w:pStyle w:val="TableParagraph"/>
              <w:jc w:val="left"/>
              <w:rPr>
                <w:b/>
                <w:sz w:val="20"/>
              </w:rPr>
            </w:pPr>
          </w:p>
          <w:p>
            <w:pPr>
              <w:pStyle w:val="TableParagraph"/>
              <w:jc w:val="left"/>
              <w:rPr>
                <w:b/>
                <w:sz w:val="20"/>
              </w:rPr>
            </w:pPr>
          </w:p>
          <w:p>
            <w:pPr>
              <w:pStyle w:val="TableParagraph"/>
              <w:spacing w:before="140"/>
              <w:ind w:left="133"/>
              <w:jc w:val="left"/>
              <w:rPr>
                <w:sz w:val="18"/>
              </w:rPr>
            </w:pPr>
            <w:r>
              <w:rPr>
                <w:sz w:val="18"/>
              </w:rPr>
              <w:t>˗</w:t>
            </w:r>
            <w:r>
              <w:rPr>
                <w:spacing w:val="38"/>
                <w:sz w:val="18"/>
              </w:rPr>
              <w:t> </w:t>
            </w:r>
            <w:r>
              <w:rPr>
                <w:spacing w:val="-4"/>
                <w:sz w:val="18"/>
              </w:rPr>
              <w:t>(New)</w:t>
            </w:r>
          </w:p>
        </w:tc>
        <w:tc>
          <w:tcPr>
            <w:tcW w:w="1369" w:type="dxa"/>
            <w:tcBorders>
              <w:top w:val="single" w:sz="4" w:space="0" w:color="000000"/>
              <w:bottom w:val="single" w:sz="4" w:space="0" w:color="000000"/>
            </w:tcBorders>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8"/>
              <w:jc w:val="left"/>
              <w:rPr>
                <w:b/>
                <w:sz w:val="29"/>
              </w:rPr>
            </w:pPr>
          </w:p>
          <w:p>
            <w:pPr>
              <w:pStyle w:val="TableParagraph"/>
              <w:numPr>
                <w:ilvl w:val="0"/>
                <w:numId w:val="31"/>
              </w:numPr>
              <w:tabs>
                <w:tab w:pos="280" w:val="left" w:leader="none"/>
              </w:tabs>
              <w:spacing w:line="240" w:lineRule="auto" w:before="1" w:after="0"/>
              <w:ind w:left="279" w:right="0" w:hanging="221"/>
              <w:jc w:val="left"/>
              <w:rPr>
                <w:sz w:val="18"/>
              </w:rPr>
            </w:pPr>
            <w:r>
              <w:rPr>
                <w:sz w:val="18"/>
              </w:rPr>
              <w:t>120</w:t>
            </w:r>
            <w:r>
              <w:rPr>
                <w:spacing w:val="-5"/>
                <w:sz w:val="18"/>
              </w:rPr>
              <w:t> </w:t>
            </w:r>
            <w:r>
              <w:rPr>
                <w:spacing w:val="-4"/>
                <w:sz w:val="18"/>
              </w:rPr>
              <w:t>days</w:t>
            </w:r>
          </w:p>
          <w:p>
            <w:pPr>
              <w:pStyle w:val="TableParagraph"/>
              <w:spacing w:before="3"/>
              <w:jc w:val="left"/>
              <w:rPr>
                <w:b/>
                <w:sz w:val="18"/>
              </w:rPr>
            </w:pPr>
          </w:p>
          <w:p>
            <w:pPr>
              <w:pStyle w:val="TableParagraph"/>
              <w:numPr>
                <w:ilvl w:val="0"/>
                <w:numId w:val="31"/>
              </w:numPr>
              <w:tabs>
                <w:tab w:pos="328" w:val="left" w:leader="none"/>
              </w:tabs>
              <w:spacing w:line="283" w:lineRule="auto" w:before="0" w:after="0"/>
              <w:ind w:left="59" w:right="171" w:firstLine="0"/>
              <w:jc w:val="left"/>
              <w:rPr>
                <w:sz w:val="18"/>
              </w:rPr>
            </w:pPr>
            <w:r>
              <w:rPr>
                <w:sz w:val="18"/>
              </w:rPr>
              <w:t>within</w:t>
            </w:r>
            <w:r>
              <w:rPr>
                <w:spacing w:val="-12"/>
                <w:sz w:val="18"/>
              </w:rPr>
              <w:t> </w:t>
            </w:r>
            <w:r>
              <w:rPr>
                <w:sz w:val="18"/>
              </w:rPr>
              <w:t>48</w:t>
            </w:r>
            <w:r>
              <w:rPr>
                <w:spacing w:val="-11"/>
                <w:sz w:val="18"/>
              </w:rPr>
              <w:t> </w:t>
            </w:r>
            <w:r>
              <w:rPr>
                <w:sz w:val="18"/>
              </w:rPr>
              <w:t>to</w:t>
            </w:r>
            <w:r>
              <w:rPr>
                <w:sz w:val="18"/>
              </w:rPr>
              <w:t> 96 hours</w:t>
            </w:r>
          </w:p>
          <w:p>
            <w:pPr>
              <w:pStyle w:val="TableParagraph"/>
              <w:numPr>
                <w:ilvl w:val="0"/>
                <w:numId w:val="31"/>
              </w:numPr>
              <w:tabs>
                <w:tab w:pos="376" w:val="left" w:leader="none"/>
              </w:tabs>
              <w:spacing w:line="240" w:lineRule="auto" w:before="6" w:after="0"/>
              <w:ind w:left="375" w:right="0" w:hanging="317"/>
              <w:jc w:val="left"/>
              <w:rPr>
                <w:sz w:val="18"/>
              </w:rPr>
            </w:pPr>
            <w:r>
              <w:rPr>
                <w:sz w:val="18"/>
              </w:rPr>
              <w:t>≤</w:t>
            </w:r>
            <w:r>
              <w:rPr>
                <w:spacing w:val="-1"/>
                <w:sz w:val="18"/>
              </w:rPr>
              <w:t> </w:t>
            </w:r>
            <w:r>
              <w:rPr>
                <w:sz w:val="18"/>
              </w:rPr>
              <w:t>30</w:t>
            </w:r>
            <w:r>
              <w:rPr>
                <w:spacing w:val="-1"/>
                <w:sz w:val="18"/>
              </w:rPr>
              <w:t> </w:t>
            </w:r>
            <w:r>
              <w:rPr>
                <w:spacing w:val="-4"/>
                <w:sz w:val="18"/>
              </w:rPr>
              <w:t>days</w:t>
            </w:r>
          </w:p>
          <w:p>
            <w:pPr>
              <w:pStyle w:val="TableParagraph"/>
              <w:numPr>
                <w:ilvl w:val="0"/>
                <w:numId w:val="31"/>
              </w:numPr>
              <w:tabs>
                <w:tab w:pos="367" w:val="left" w:leader="none"/>
              </w:tabs>
              <w:spacing w:line="290" w:lineRule="auto" w:before="124" w:after="0"/>
              <w:ind w:left="59" w:right="588" w:firstLine="0"/>
              <w:jc w:val="left"/>
              <w:rPr>
                <w:sz w:val="18"/>
              </w:rPr>
            </w:pPr>
            <w:r>
              <w:rPr>
                <w:sz w:val="18"/>
              </w:rPr>
              <w:t>4</w:t>
            </w:r>
            <w:r>
              <w:rPr>
                <w:spacing w:val="-12"/>
                <w:sz w:val="18"/>
              </w:rPr>
              <w:t> </w:t>
            </w:r>
            <w:r>
              <w:rPr>
                <w:sz w:val="18"/>
              </w:rPr>
              <w:t>to</w:t>
            </w:r>
            <w:r>
              <w:rPr>
                <w:spacing w:val="-11"/>
                <w:sz w:val="18"/>
              </w:rPr>
              <w:t> </w:t>
            </w:r>
            <w:r>
              <w:rPr>
                <w:sz w:val="18"/>
              </w:rPr>
              <w:t>6</w:t>
            </w:r>
            <w:r>
              <w:rPr>
                <w:sz w:val="18"/>
              </w:rPr>
              <w:t> </w:t>
            </w:r>
            <w:r>
              <w:rPr>
                <w:spacing w:val="-2"/>
                <w:sz w:val="18"/>
              </w:rPr>
              <w:t>months</w:t>
            </w:r>
          </w:p>
          <w:p>
            <w:pPr>
              <w:pStyle w:val="TableParagraph"/>
              <w:numPr>
                <w:ilvl w:val="0"/>
                <w:numId w:val="31"/>
              </w:numPr>
              <w:tabs>
                <w:tab w:pos="319" w:val="left" w:leader="none"/>
              </w:tabs>
              <w:spacing w:line="206" w:lineRule="exact" w:before="0" w:after="0"/>
              <w:ind w:left="318" w:right="0" w:hanging="260"/>
              <w:jc w:val="left"/>
              <w:rPr>
                <w:sz w:val="18"/>
              </w:rPr>
            </w:pPr>
            <w:r>
              <w:rPr>
                <w:sz w:val="18"/>
              </w:rPr>
              <w:t>5</w:t>
            </w:r>
            <w:r>
              <w:rPr>
                <w:spacing w:val="-2"/>
                <w:sz w:val="18"/>
              </w:rPr>
              <w:t> </w:t>
            </w:r>
            <w:r>
              <w:rPr>
                <w:spacing w:val="-4"/>
                <w:sz w:val="18"/>
              </w:rPr>
              <w:t>days</w:t>
            </w:r>
          </w:p>
          <w:p>
            <w:pPr>
              <w:pStyle w:val="TableParagraph"/>
              <w:jc w:val="left"/>
              <w:rPr>
                <w:b/>
                <w:sz w:val="20"/>
              </w:rPr>
            </w:pPr>
          </w:p>
          <w:p>
            <w:pPr>
              <w:pStyle w:val="TableParagraph"/>
              <w:numPr>
                <w:ilvl w:val="0"/>
                <w:numId w:val="31"/>
              </w:numPr>
              <w:tabs>
                <w:tab w:pos="367" w:val="left" w:leader="none"/>
              </w:tabs>
              <w:spacing w:line="240" w:lineRule="auto" w:before="115" w:after="0"/>
              <w:ind w:left="366" w:right="0" w:hanging="308"/>
              <w:jc w:val="left"/>
              <w:rPr>
                <w:sz w:val="18"/>
              </w:rPr>
            </w:pPr>
            <w:r>
              <w:rPr>
                <w:sz w:val="18"/>
              </w:rPr>
              <w:t>30</w:t>
            </w:r>
            <w:r>
              <w:rPr>
                <w:spacing w:val="-1"/>
                <w:sz w:val="18"/>
              </w:rPr>
              <w:t> </w:t>
            </w:r>
            <w:r>
              <w:rPr>
                <w:spacing w:val="-4"/>
                <w:sz w:val="18"/>
              </w:rPr>
              <w:t>days</w:t>
            </w:r>
          </w:p>
          <w:p>
            <w:pPr>
              <w:pStyle w:val="TableParagraph"/>
              <w:numPr>
                <w:ilvl w:val="0"/>
                <w:numId w:val="31"/>
              </w:numPr>
              <w:tabs>
                <w:tab w:pos="419" w:val="left" w:leader="none"/>
              </w:tabs>
              <w:spacing w:line="240" w:lineRule="auto" w:before="38" w:after="0"/>
              <w:ind w:left="418" w:right="0" w:hanging="360"/>
              <w:jc w:val="left"/>
              <w:rPr>
                <w:sz w:val="18"/>
              </w:rPr>
            </w:pPr>
            <w:r>
              <w:rPr>
                <w:sz w:val="18"/>
              </w:rPr>
              <w:t>60</w:t>
            </w:r>
            <w:r>
              <w:rPr>
                <w:spacing w:val="-2"/>
                <w:sz w:val="18"/>
              </w:rPr>
              <w:t> </w:t>
            </w:r>
            <w:r>
              <w:rPr>
                <w:spacing w:val="-4"/>
                <w:sz w:val="18"/>
              </w:rPr>
              <w:t>days</w:t>
            </w:r>
          </w:p>
          <w:p>
            <w:pPr>
              <w:pStyle w:val="TableParagraph"/>
              <w:jc w:val="left"/>
              <w:rPr>
                <w:b/>
                <w:sz w:val="20"/>
              </w:rPr>
            </w:pPr>
          </w:p>
          <w:p>
            <w:pPr>
              <w:pStyle w:val="TableParagraph"/>
              <w:jc w:val="left"/>
              <w:rPr>
                <w:b/>
                <w:sz w:val="20"/>
              </w:rPr>
            </w:pPr>
          </w:p>
          <w:p>
            <w:pPr>
              <w:pStyle w:val="TableParagraph"/>
              <w:numPr>
                <w:ilvl w:val="0"/>
                <w:numId w:val="31"/>
              </w:numPr>
              <w:tabs>
                <w:tab w:pos="467" w:val="left" w:leader="none"/>
              </w:tabs>
              <w:spacing w:line="240" w:lineRule="auto" w:before="135" w:after="0"/>
              <w:ind w:left="466" w:right="0" w:hanging="408"/>
              <w:jc w:val="left"/>
              <w:rPr>
                <w:sz w:val="18"/>
              </w:rPr>
            </w:pPr>
            <w:r>
              <w:rPr>
                <w:sz w:val="18"/>
              </w:rPr>
              <w:t>10</w:t>
            </w:r>
            <w:r>
              <w:rPr>
                <w:spacing w:val="-6"/>
                <w:sz w:val="18"/>
              </w:rPr>
              <w:t> </w:t>
            </w:r>
            <w:r>
              <w:rPr>
                <w:spacing w:val="-2"/>
                <w:sz w:val="18"/>
              </w:rPr>
              <w:t>months</w:t>
            </w:r>
          </w:p>
          <w:p>
            <w:pPr>
              <w:pStyle w:val="TableParagraph"/>
              <w:numPr>
                <w:ilvl w:val="0"/>
                <w:numId w:val="31"/>
              </w:numPr>
              <w:tabs>
                <w:tab w:pos="367" w:val="left" w:leader="none"/>
              </w:tabs>
              <w:spacing w:line="240" w:lineRule="auto" w:before="43" w:after="0"/>
              <w:ind w:left="366" w:right="0" w:hanging="308"/>
              <w:jc w:val="left"/>
              <w:rPr>
                <w:sz w:val="18"/>
              </w:rPr>
            </w:pPr>
            <w:r>
              <w:rPr>
                <w:sz w:val="18"/>
              </w:rPr>
              <w:t>4</w:t>
            </w:r>
            <w:r>
              <w:rPr>
                <w:spacing w:val="-2"/>
                <w:sz w:val="18"/>
              </w:rPr>
              <w:t> months</w:t>
            </w: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numPr>
                <w:ilvl w:val="0"/>
                <w:numId w:val="31"/>
              </w:numPr>
              <w:tabs>
                <w:tab w:pos="319" w:val="left" w:leader="none"/>
              </w:tabs>
              <w:spacing w:line="240" w:lineRule="auto" w:before="149" w:after="0"/>
              <w:ind w:left="318" w:right="0" w:hanging="260"/>
              <w:jc w:val="left"/>
              <w:rPr>
                <w:sz w:val="18"/>
              </w:rPr>
            </w:pPr>
            <w:r>
              <w:rPr>
                <w:sz w:val="18"/>
              </w:rPr>
              <w:t>1</w:t>
            </w:r>
            <w:r>
              <w:rPr>
                <w:spacing w:val="-7"/>
                <w:sz w:val="18"/>
              </w:rPr>
              <w:t> </w:t>
            </w:r>
            <w:r>
              <w:rPr>
                <w:spacing w:val="-2"/>
                <w:sz w:val="18"/>
              </w:rPr>
              <w:t>month</w:t>
            </w:r>
          </w:p>
          <w:p>
            <w:pPr>
              <w:pStyle w:val="TableParagraph"/>
              <w:numPr>
                <w:ilvl w:val="0"/>
                <w:numId w:val="31"/>
              </w:numPr>
              <w:tabs>
                <w:tab w:pos="367" w:val="left" w:leader="none"/>
              </w:tabs>
              <w:spacing w:line="240" w:lineRule="auto" w:before="43" w:after="0"/>
              <w:ind w:left="366" w:right="0" w:hanging="308"/>
              <w:jc w:val="left"/>
              <w:rPr>
                <w:sz w:val="18"/>
              </w:rPr>
            </w:pPr>
            <w:r>
              <w:rPr>
                <w:sz w:val="18"/>
              </w:rPr>
              <w:t>10</w:t>
            </w:r>
            <w:r>
              <w:rPr>
                <w:spacing w:val="-1"/>
                <w:sz w:val="18"/>
              </w:rPr>
              <w:t> </w:t>
            </w:r>
            <w:r>
              <w:rPr>
                <w:spacing w:val="-2"/>
                <w:sz w:val="18"/>
              </w:rPr>
              <w:t>months</w:t>
            </w:r>
          </w:p>
          <w:p>
            <w:pPr>
              <w:pStyle w:val="TableParagraph"/>
              <w:spacing w:before="5"/>
              <w:jc w:val="left"/>
              <w:rPr>
                <w:b/>
                <w:sz w:val="25"/>
              </w:rPr>
            </w:pPr>
          </w:p>
          <w:p>
            <w:pPr>
              <w:pStyle w:val="TableParagraph"/>
              <w:numPr>
                <w:ilvl w:val="0"/>
                <w:numId w:val="31"/>
              </w:numPr>
              <w:tabs>
                <w:tab w:pos="419" w:val="left" w:leader="none"/>
              </w:tabs>
              <w:spacing w:line="240" w:lineRule="auto" w:before="0" w:after="0"/>
              <w:ind w:left="418" w:right="0" w:hanging="360"/>
              <w:jc w:val="left"/>
              <w:rPr>
                <w:sz w:val="18"/>
              </w:rPr>
            </w:pPr>
            <w:r>
              <w:rPr>
                <w:sz w:val="18"/>
              </w:rPr>
              <w:t>1</w:t>
            </w:r>
            <w:r>
              <w:rPr>
                <w:spacing w:val="-7"/>
                <w:sz w:val="18"/>
              </w:rPr>
              <w:t> </w:t>
            </w:r>
            <w:r>
              <w:rPr>
                <w:spacing w:val="-2"/>
                <w:sz w:val="18"/>
              </w:rPr>
              <w:t>month</w:t>
            </w:r>
          </w:p>
          <w:p>
            <w:pPr>
              <w:pStyle w:val="TableParagraph"/>
              <w:numPr>
                <w:ilvl w:val="0"/>
                <w:numId w:val="31"/>
              </w:numPr>
              <w:tabs>
                <w:tab w:pos="467" w:val="left" w:leader="none"/>
              </w:tabs>
              <w:spacing w:line="240" w:lineRule="auto" w:before="101" w:after="0"/>
              <w:ind w:left="466" w:right="0" w:hanging="408"/>
              <w:jc w:val="left"/>
              <w:rPr>
                <w:sz w:val="18"/>
              </w:rPr>
            </w:pPr>
            <w:r>
              <w:rPr>
                <w:sz w:val="18"/>
              </w:rPr>
              <w:t>4</w:t>
            </w:r>
            <w:r>
              <w:rPr>
                <w:spacing w:val="-2"/>
                <w:sz w:val="18"/>
              </w:rPr>
              <w:t> months</w:t>
            </w:r>
          </w:p>
          <w:p>
            <w:pPr>
              <w:pStyle w:val="TableParagraph"/>
              <w:jc w:val="left"/>
              <w:rPr>
                <w:b/>
                <w:sz w:val="20"/>
              </w:rPr>
            </w:pPr>
          </w:p>
          <w:p>
            <w:pPr>
              <w:pStyle w:val="TableParagraph"/>
              <w:spacing w:before="1"/>
              <w:jc w:val="left"/>
              <w:rPr>
                <w:b/>
                <w:sz w:val="27"/>
              </w:rPr>
            </w:pPr>
          </w:p>
          <w:p>
            <w:pPr>
              <w:pStyle w:val="TableParagraph"/>
              <w:ind w:left="59"/>
              <w:jc w:val="left"/>
              <w:rPr>
                <w:sz w:val="18"/>
              </w:rPr>
            </w:pPr>
            <w:r>
              <w:rPr>
                <w:sz w:val="18"/>
              </w:rPr>
              <w:t>˗</w:t>
            </w:r>
            <w:r>
              <w:rPr>
                <w:spacing w:val="52"/>
                <w:sz w:val="18"/>
              </w:rPr>
              <w:t> </w:t>
            </w:r>
            <w:r>
              <w:rPr>
                <w:spacing w:val="-5"/>
                <w:sz w:val="18"/>
              </w:rPr>
              <w:t>N/A</w:t>
            </w:r>
          </w:p>
          <w:p>
            <w:pPr>
              <w:pStyle w:val="TableParagraph"/>
              <w:jc w:val="left"/>
              <w:rPr>
                <w:b/>
                <w:sz w:val="20"/>
              </w:rPr>
            </w:pPr>
          </w:p>
          <w:p>
            <w:pPr>
              <w:pStyle w:val="TableParagraph"/>
              <w:jc w:val="left"/>
              <w:rPr>
                <w:b/>
                <w:sz w:val="20"/>
              </w:rPr>
            </w:pPr>
          </w:p>
          <w:p>
            <w:pPr>
              <w:pStyle w:val="TableParagraph"/>
              <w:spacing w:before="145"/>
              <w:ind w:left="59"/>
              <w:jc w:val="left"/>
              <w:rPr>
                <w:sz w:val="18"/>
              </w:rPr>
            </w:pPr>
            <w:r>
              <w:rPr>
                <w:sz w:val="18"/>
              </w:rPr>
              <w:t>˗</w:t>
            </w:r>
            <w:r>
              <w:rPr>
                <w:spacing w:val="57"/>
                <w:sz w:val="18"/>
              </w:rPr>
              <w:t> </w:t>
            </w:r>
            <w:r>
              <w:rPr>
                <w:spacing w:val="-5"/>
                <w:sz w:val="18"/>
              </w:rPr>
              <w:t>N/A</w:t>
            </w:r>
          </w:p>
        </w:tc>
      </w:tr>
    </w:tbl>
    <w:p>
      <w:pPr>
        <w:spacing w:after="0"/>
        <w:jc w:val="left"/>
        <w:rPr>
          <w:sz w:val="18"/>
        </w:rPr>
        <w:sectPr>
          <w:pgSz w:w="11910" w:h="16840"/>
          <w:pgMar w:header="953" w:footer="940" w:top="1140" w:bottom="1140" w:left="20" w:right="20"/>
        </w:sectPr>
      </w:pPr>
    </w:p>
    <w:tbl>
      <w:tblPr>
        <w:tblW w:w="0" w:type="auto"/>
        <w:jc w:val="left"/>
        <w:tblInd w:w="1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57"/>
        <w:gridCol w:w="3976"/>
        <w:gridCol w:w="1246"/>
        <w:gridCol w:w="1520"/>
      </w:tblGrid>
      <w:tr>
        <w:trPr>
          <w:trHeight w:val="119" w:hRule="atLeast"/>
        </w:trPr>
        <w:tc>
          <w:tcPr>
            <w:tcW w:w="3057" w:type="dxa"/>
            <w:tcBorders>
              <w:top w:val="single" w:sz="2" w:space="0" w:color="000000"/>
              <w:bottom w:val="single" w:sz="4" w:space="0" w:color="000000"/>
            </w:tcBorders>
          </w:tcPr>
          <w:p>
            <w:pPr>
              <w:pStyle w:val="TableParagraph"/>
              <w:jc w:val="left"/>
              <w:rPr>
                <w:sz w:val="6"/>
              </w:rPr>
            </w:pPr>
          </w:p>
        </w:tc>
        <w:tc>
          <w:tcPr>
            <w:tcW w:w="3976" w:type="dxa"/>
            <w:tcBorders>
              <w:top w:val="single" w:sz="2" w:space="0" w:color="000000"/>
              <w:bottom w:val="single" w:sz="4" w:space="0" w:color="000000"/>
            </w:tcBorders>
          </w:tcPr>
          <w:p>
            <w:pPr>
              <w:pStyle w:val="TableParagraph"/>
              <w:jc w:val="left"/>
              <w:rPr>
                <w:sz w:val="6"/>
              </w:rPr>
            </w:pPr>
          </w:p>
        </w:tc>
        <w:tc>
          <w:tcPr>
            <w:tcW w:w="1246" w:type="dxa"/>
            <w:tcBorders>
              <w:top w:val="single" w:sz="2" w:space="0" w:color="000000"/>
              <w:bottom w:val="single" w:sz="4" w:space="0" w:color="000000"/>
            </w:tcBorders>
          </w:tcPr>
          <w:p>
            <w:pPr>
              <w:pStyle w:val="TableParagraph"/>
              <w:jc w:val="left"/>
              <w:rPr>
                <w:sz w:val="6"/>
              </w:rPr>
            </w:pPr>
          </w:p>
        </w:tc>
        <w:tc>
          <w:tcPr>
            <w:tcW w:w="1520" w:type="dxa"/>
            <w:tcBorders>
              <w:top w:val="single" w:sz="2" w:space="0" w:color="000000"/>
              <w:bottom w:val="single" w:sz="4" w:space="0" w:color="000000"/>
            </w:tcBorders>
          </w:tcPr>
          <w:p>
            <w:pPr>
              <w:pStyle w:val="TableParagraph"/>
              <w:jc w:val="left"/>
              <w:rPr>
                <w:sz w:val="6"/>
              </w:rPr>
            </w:pPr>
          </w:p>
        </w:tc>
      </w:tr>
      <w:tr>
        <w:trPr>
          <w:trHeight w:val="594" w:hRule="atLeast"/>
        </w:trPr>
        <w:tc>
          <w:tcPr>
            <w:tcW w:w="3057" w:type="dxa"/>
            <w:tcBorders>
              <w:top w:val="single" w:sz="4" w:space="0" w:color="000000"/>
              <w:bottom w:val="single" w:sz="4" w:space="0" w:color="000000"/>
            </w:tcBorders>
          </w:tcPr>
          <w:p>
            <w:pPr>
              <w:pStyle w:val="TableParagraph"/>
              <w:spacing w:line="260" w:lineRule="atLeast" w:before="11"/>
              <w:ind w:left="874" w:right="840" w:firstLine="120"/>
              <w:jc w:val="left"/>
              <w:rPr>
                <w:b/>
                <w:i/>
                <w:sz w:val="18"/>
              </w:rPr>
            </w:pPr>
            <w:r>
              <w:rPr>
                <w:b/>
                <w:i/>
                <w:sz w:val="18"/>
              </w:rPr>
              <w:t>Strategic goals</w:t>
            </w:r>
            <w:r>
              <w:rPr>
                <w:b/>
                <w:i/>
                <w:sz w:val="18"/>
              </w:rPr>
              <w:t> (Expected</w:t>
            </w:r>
            <w:r>
              <w:rPr>
                <w:b/>
                <w:i/>
                <w:spacing w:val="-12"/>
                <w:sz w:val="18"/>
              </w:rPr>
              <w:t> </w:t>
            </w:r>
            <w:r>
              <w:rPr>
                <w:b/>
                <w:i/>
                <w:sz w:val="18"/>
              </w:rPr>
              <w:t>results)</w:t>
            </w:r>
          </w:p>
        </w:tc>
        <w:tc>
          <w:tcPr>
            <w:tcW w:w="3976" w:type="dxa"/>
            <w:tcBorders>
              <w:top w:val="single" w:sz="4" w:space="0" w:color="000000"/>
              <w:bottom w:val="single" w:sz="4" w:space="0" w:color="000000"/>
            </w:tcBorders>
          </w:tcPr>
          <w:p>
            <w:pPr>
              <w:pStyle w:val="TableParagraph"/>
              <w:spacing w:before="9"/>
              <w:jc w:val="left"/>
              <w:rPr>
                <w:b/>
                <w:sz w:val="16"/>
              </w:rPr>
            </w:pPr>
          </w:p>
          <w:p>
            <w:pPr>
              <w:pStyle w:val="TableParagraph"/>
              <w:ind w:left="741"/>
              <w:jc w:val="left"/>
              <w:rPr>
                <w:b/>
                <w:i/>
                <w:sz w:val="18"/>
              </w:rPr>
            </w:pPr>
            <w:r>
              <w:rPr>
                <w:b/>
                <w:i/>
                <w:sz w:val="18"/>
              </w:rPr>
              <w:t>Key</w:t>
            </w:r>
            <w:r>
              <w:rPr>
                <w:b/>
                <w:i/>
                <w:spacing w:val="-5"/>
                <w:sz w:val="18"/>
              </w:rPr>
              <w:t> </w:t>
            </w:r>
            <w:r>
              <w:rPr>
                <w:b/>
                <w:i/>
                <w:sz w:val="18"/>
              </w:rPr>
              <w:t>performance</w:t>
            </w:r>
            <w:r>
              <w:rPr>
                <w:b/>
                <w:i/>
                <w:spacing w:val="-8"/>
                <w:sz w:val="18"/>
              </w:rPr>
              <w:t> </w:t>
            </w:r>
            <w:r>
              <w:rPr>
                <w:b/>
                <w:i/>
                <w:sz w:val="18"/>
              </w:rPr>
              <w:t>indicators</w:t>
            </w:r>
            <w:r>
              <w:rPr>
                <w:b/>
                <w:i/>
                <w:spacing w:val="-5"/>
                <w:sz w:val="18"/>
              </w:rPr>
              <w:t> </w:t>
            </w:r>
            <w:r>
              <w:rPr>
                <w:b/>
                <w:i/>
                <w:spacing w:val="-2"/>
                <w:sz w:val="18"/>
              </w:rPr>
              <w:t>(KPIs)</w:t>
            </w:r>
          </w:p>
        </w:tc>
        <w:tc>
          <w:tcPr>
            <w:tcW w:w="1246" w:type="dxa"/>
            <w:tcBorders>
              <w:top w:val="single" w:sz="4" w:space="0" w:color="000000"/>
              <w:bottom w:val="single" w:sz="4" w:space="0" w:color="000000"/>
            </w:tcBorders>
          </w:tcPr>
          <w:p>
            <w:pPr>
              <w:pStyle w:val="TableParagraph"/>
              <w:spacing w:line="260" w:lineRule="atLeast" w:before="11"/>
              <w:ind w:left="477" w:hanging="82"/>
              <w:jc w:val="left"/>
              <w:rPr>
                <w:b/>
                <w:i/>
                <w:sz w:val="18"/>
              </w:rPr>
            </w:pPr>
            <w:r>
              <w:rPr>
                <w:b/>
                <w:i/>
                <w:spacing w:val="-2"/>
                <w:sz w:val="18"/>
              </w:rPr>
              <w:t>Baseline</w:t>
            </w:r>
            <w:r>
              <w:rPr>
                <w:b/>
                <w:i/>
                <w:spacing w:val="-2"/>
                <w:sz w:val="18"/>
              </w:rPr>
              <w:t> (2021)</w:t>
            </w:r>
          </w:p>
        </w:tc>
        <w:tc>
          <w:tcPr>
            <w:tcW w:w="1520" w:type="dxa"/>
            <w:tcBorders>
              <w:top w:val="single" w:sz="4" w:space="0" w:color="000000"/>
              <w:bottom w:val="single" w:sz="4" w:space="0" w:color="000000"/>
            </w:tcBorders>
          </w:tcPr>
          <w:p>
            <w:pPr>
              <w:pStyle w:val="TableParagraph"/>
              <w:spacing w:line="260" w:lineRule="atLeast" w:before="11"/>
              <w:ind w:left="570" w:hanging="53"/>
              <w:jc w:val="left"/>
              <w:rPr>
                <w:b/>
                <w:i/>
                <w:sz w:val="18"/>
              </w:rPr>
            </w:pPr>
            <w:r>
              <w:rPr>
                <w:b/>
                <w:i/>
                <w:spacing w:val="-2"/>
                <w:sz w:val="18"/>
              </w:rPr>
              <w:t>Target*</w:t>
            </w:r>
            <w:r>
              <w:rPr>
                <w:b/>
                <w:i/>
                <w:spacing w:val="-2"/>
                <w:sz w:val="18"/>
              </w:rPr>
              <w:t> (2023)</w:t>
            </w:r>
          </w:p>
        </w:tc>
      </w:tr>
      <w:tr>
        <w:trPr>
          <w:trHeight w:val="2121" w:hRule="atLeast"/>
        </w:trPr>
        <w:tc>
          <w:tcPr>
            <w:tcW w:w="3057" w:type="dxa"/>
            <w:tcBorders>
              <w:top w:val="single" w:sz="4" w:space="0" w:color="000000"/>
              <w:bottom w:val="single" w:sz="4" w:space="0" w:color="000000"/>
            </w:tcBorders>
          </w:tcPr>
          <w:p>
            <w:pPr>
              <w:pStyle w:val="TableParagraph"/>
              <w:spacing w:before="59"/>
              <w:ind w:left="14"/>
              <w:jc w:val="left"/>
              <w:rPr>
                <w:b/>
                <w:sz w:val="18"/>
              </w:rPr>
            </w:pPr>
            <w:r>
              <w:rPr>
                <w:b/>
                <w:sz w:val="18"/>
              </w:rPr>
              <w:t>ICC</w:t>
            </w:r>
            <w:r>
              <w:rPr>
                <w:b/>
                <w:spacing w:val="-2"/>
                <w:sz w:val="18"/>
              </w:rPr>
              <w:t> </w:t>
            </w:r>
            <w:r>
              <w:rPr>
                <w:b/>
                <w:sz w:val="18"/>
              </w:rPr>
              <w:t>Strategic</w:t>
            </w:r>
            <w:r>
              <w:rPr>
                <w:b/>
                <w:spacing w:val="-8"/>
                <w:sz w:val="18"/>
              </w:rPr>
              <w:t> </w:t>
            </w:r>
            <w:r>
              <w:rPr>
                <w:b/>
                <w:sz w:val="18"/>
              </w:rPr>
              <w:t>Goal</w:t>
            </w:r>
            <w:r>
              <w:rPr>
                <w:b/>
                <w:spacing w:val="-2"/>
                <w:sz w:val="18"/>
              </w:rPr>
              <w:t> </w:t>
            </w:r>
            <w:r>
              <w:rPr>
                <w:b/>
                <w:spacing w:val="-5"/>
                <w:sz w:val="18"/>
              </w:rPr>
              <w:t>2:</w:t>
            </w:r>
          </w:p>
          <w:p>
            <w:pPr>
              <w:pStyle w:val="TableParagraph"/>
              <w:spacing w:before="57"/>
              <w:ind w:left="14"/>
              <w:jc w:val="left"/>
              <w:rPr>
                <w:sz w:val="18"/>
              </w:rPr>
            </w:pPr>
            <w:r>
              <w:rPr>
                <w:sz w:val="18"/>
              </w:rPr>
              <w:t>Further</w:t>
            </w:r>
            <w:r>
              <w:rPr>
                <w:spacing w:val="-7"/>
                <w:sz w:val="18"/>
              </w:rPr>
              <w:t> </w:t>
            </w:r>
            <w:r>
              <w:rPr>
                <w:sz w:val="18"/>
              </w:rPr>
              <w:t>develop</w:t>
            </w:r>
            <w:r>
              <w:rPr>
                <w:spacing w:val="-8"/>
                <w:sz w:val="18"/>
              </w:rPr>
              <w:t> </w:t>
            </w:r>
            <w:r>
              <w:rPr>
                <w:sz w:val="18"/>
              </w:rPr>
              <w:t>the</w:t>
            </w:r>
            <w:r>
              <w:rPr>
                <w:spacing w:val="-8"/>
                <w:sz w:val="18"/>
              </w:rPr>
              <w:t> </w:t>
            </w:r>
            <w:r>
              <w:rPr>
                <w:sz w:val="18"/>
              </w:rPr>
              <w:t>Court’s</w:t>
            </w:r>
            <w:r>
              <w:rPr>
                <w:spacing w:val="-7"/>
                <w:sz w:val="18"/>
              </w:rPr>
              <w:t> </w:t>
            </w:r>
            <w:r>
              <w:rPr>
                <w:sz w:val="18"/>
              </w:rPr>
              <w:t>approach</w:t>
            </w:r>
            <w:r>
              <w:rPr>
                <w:spacing w:val="-8"/>
                <w:sz w:val="18"/>
              </w:rPr>
              <w:t> </w:t>
            </w:r>
            <w:r>
              <w:rPr>
                <w:sz w:val="18"/>
              </w:rPr>
              <w:t>to victims in all phases of the judicial proceedings, including (in cooperation with the Trust Fund for Victims) </w:t>
            </w:r>
            <w:r>
              <w:rPr>
                <w:spacing w:val="-2"/>
                <w:sz w:val="18"/>
              </w:rPr>
              <w:t>reparations.</w:t>
            </w:r>
          </w:p>
        </w:tc>
        <w:tc>
          <w:tcPr>
            <w:tcW w:w="3976" w:type="dxa"/>
            <w:tcBorders>
              <w:top w:val="single" w:sz="4" w:space="0" w:color="000000"/>
              <w:bottom w:val="single" w:sz="4" w:space="0" w:color="000000"/>
            </w:tcBorders>
          </w:tcPr>
          <w:p>
            <w:pPr>
              <w:pStyle w:val="TableParagraph"/>
              <w:numPr>
                <w:ilvl w:val="0"/>
                <w:numId w:val="32"/>
              </w:numPr>
              <w:tabs>
                <w:tab w:pos="271" w:val="left" w:leader="none"/>
              </w:tabs>
              <w:spacing w:line="237" w:lineRule="auto" w:before="62" w:after="0"/>
              <w:ind w:left="222" w:right="107" w:hanging="68"/>
              <w:jc w:val="left"/>
              <w:rPr>
                <w:sz w:val="18"/>
              </w:rPr>
            </w:pPr>
            <w:r>
              <w:rPr>
                <w:sz w:val="18"/>
              </w:rPr>
              <w:t>Implementation of enhanced outreach programme and in situ proceedings (requested v. granted)</w:t>
            </w:r>
          </w:p>
          <w:p>
            <w:pPr>
              <w:pStyle w:val="TableParagraph"/>
              <w:numPr>
                <w:ilvl w:val="0"/>
                <w:numId w:val="32"/>
              </w:numPr>
              <w:tabs>
                <w:tab w:pos="271" w:val="left" w:leader="none"/>
              </w:tabs>
              <w:spacing w:line="237" w:lineRule="auto" w:before="66" w:after="0"/>
              <w:ind w:left="222" w:right="80" w:hanging="68"/>
              <w:jc w:val="left"/>
              <w:rPr>
                <w:sz w:val="18"/>
              </w:rPr>
            </w:pPr>
            <w:r>
              <w:rPr>
                <w:sz w:val="18"/>
              </w:rPr>
              <w:t>Percentage of individual victim application assessments</w:t>
            </w:r>
            <w:r>
              <w:rPr>
                <w:spacing w:val="-6"/>
                <w:sz w:val="18"/>
              </w:rPr>
              <w:t> </w:t>
            </w:r>
            <w:r>
              <w:rPr>
                <w:sz w:val="18"/>
              </w:rPr>
              <w:t>that</w:t>
            </w:r>
            <w:r>
              <w:rPr>
                <w:spacing w:val="-5"/>
                <w:sz w:val="18"/>
              </w:rPr>
              <w:t> </w:t>
            </w:r>
            <w:r>
              <w:rPr>
                <w:sz w:val="18"/>
              </w:rPr>
              <w:t>are</w:t>
            </w:r>
            <w:r>
              <w:rPr>
                <w:spacing w:val="-7"/>
                <w:sz w:val="18"/>
              </w:rPr>
              <w:t> </w:t>
            </w:r>
            <w:r>
              <w:rPr>
                <w:sz w:val="18"/>
              </w:rPr>
              <w:t>corrected</w:t>
            </w:r>
            <w:r>
              <w:rPr>
                <w:spacing w:val="-7"/>
                <w:sz w:val="18"/>
              </w:rPr>
              <w:t> </w:t>
            </w:r>
            <w:r>
              <w:rPr>
                <w:sz w:val="18"/>
              </w:rPr>
              <w:t>or</w:t>
            </w:r>
            <w:r>
              <w:rPr>
                <w:spacing w:val="-6"/>
                <w:sz w:val="18"/>
              </w:rPr>
              <w:t> </w:t>
            </w:r>
            <w:r>
              <w:rPr>
                <w:sz w:val="18"/>
              </w:rPr>
              <w:t>overturned</w:t>
            </w:r>
            <w:r>
              <w:rPr>
                <w:spacing w:val="-7"/>
                <w:sz w:val="18"/>
              </w:rPr>
              <w:t> </w:t>
            </w:r>
            <w:r>
              <w:rPr>
                <w:sz w:val="18"/>
              </w:rPr>
              <w:t>by</w:t>
            </w:r>
            <w:r>
              <w:rPr>
                <w:spacing w:val="-7"/>
                <w:sz w:val="18"/>
              </w:rPr>
              <w:t> </w:t>
            </w:r>
            <w:r>
              <w:rPr>
                <w:sz w:val="18"/>
              </w:rPr>
              <w:t>the </w:t>
            </w:r>
            <w:r>
              <w:rPr>
                <w:spacing w:val="-2"/>
                <w:sz w:val="18"/>
              </w:rPr>
              <w:t>Chambers</w:t>
            </w:r>
          </w:p>
          <w:p>
            <w:pPr>
              <w:pStyle w:val="TableParagraph"/>
              <w:numPr>
                <w:ilvl w:val="0"/>
                <w:numId w:val="32"/>
              </w:numPr>
              <w:tabs>
                <w:tab w:pos="271" w:val="left" w:leader="none"/>
              </w:tabs>
              <w:spacing w:line="237" w:lineRule="auto" w:before="67" w:after="0"/>
              <w:ind w:left="222" w:right="109" w:hanging="68"/>
              <w:jc w:val="left"/>
              <w:rPr>
                <w:sz w:val="18"/>
              </w:rPr>
            </w:pPr>
            <w:r>
              <w:rPr>
                <w:sz w:val="18"/>
              </w:rPr>
              <w:t>Percentage of victims who feel a sense of recognition</w:t>
            </w:r>
            <w:r>
              <w:rPr>
                <w:spacing w:val="-5"/>
                <w:sz w:val="18"/>
              </w:rPr>
              <w:t> </w:t>
            </w:r>
            <w:r>
              <w:rPr>
                <w:sz w:val="18"/>
              </w:rPr>
              <w:t>of</w:t>
            </w:r>
            <w:r>
              <w:rPr>
                <w:spacing w:val="-4"/>
                <w:sz w:val="18"/>
              </w:rPr>
              <w:t> </w:t>
            </w:r>
            <w:r>
              <w:rPr>
                <w:sz w:val="18"/>
              </w:rPr>
              <w:t>the</w:t>
            </w:r>
            <w:r>
              <w:rPr>
                <w:spacing w:val="-5"/>
                <w:sz w:val="18"/>
              </w:rPr>
              <w:t> </w:t>
            </w:r>
            <w:r>
              <w:rPr>
                <w:sz w:val="18"/>
              </w:rPr>
              <w:t>harm</w:t>
            </w:r>
            <w:r>
              <w:rPr>
                <w:spacing w:val="-3"/>
                <w:sz w:val="18"/>
              </w:rPr>
              <w:t> </w:t>
            </w:r>
            <w:r>
              <w:rPr>
                <w:sz w:val="18"/>
              </w:rPr>
              <w:t>they</w:t>
            </w:r>
            <w:r>
              <w:rPr>
                <w:spacing w:val="-5"/>
                <w:sz w:val="18"/>
              </w:rPr>
              <w:t> </w:t>
            </w:r>
            <w:r>
              <w:rPr>
                <w:sz w:val="18"/>
              </w:rPr>
              <w:t>suffered</w:t>
            </w:r>
            <w:r>
              <w:rPr>
                <w:spacing w:val="-5"/>
                <w:sz w:val="18"/>
              </w:rPr>
              <w:t> </w:t>
            </w:r>
            <w:r>
              <w:rPr>
                <w:sz w:val="18"/>
              </w:rPr>
              <w:t>as</w:t>
            </w:r>
            <w:r>
              <w:rPr>
                <w:spacing w:val="-5"/>
                <w:sz w:val="18"/>
              </w:rPr>
              <w:t> </w:t>
            </w:r>
            <w:r>
              <w:rPr>
                <w:sz w:val="18"/>
              </w:rPr>
              <w:t>a</w:t>
            </w:r>
            <w:r>
              <w:rPr>
                <w:spacing w:val="-5"/>
                <w:sz w:val="18"/>
              </w:rPr>
              <w:t> </w:t>
            </w:r>
            <w:r>
              <w:rPr>
                <w:sz w:val="18"/>
              </w:rPr>
              <w:t>result</w:t>
            </w:r>
            <w:r>
              <w:rPr>
                <w:spacing w:val="-3"/>
                <w:sz w:val="18"/>
              </w:rPr>
              <w:t> </w:t>
            </w:r>
            <w:r>
              <w:rPr>
                <w:sz w:val="18"/>
              </w:rPr>
              <w:t>of receiving Court-ordered reparations</w:t>
            </w:r>
          </w:p>
        </w:tc>
        <w:tc>
          <w:tcPr>
            <w:tcW w:w="1246" w:type="dxa"/>
            <w:tcBorders>
              <w:top w:val="single" w:sz="4" w:space="0" w:color="000000"/>
              <w:bottom w:val="single" w:sz="4" w:space="0" w:color="000000"/>
            </w:tcBorders>
          </w:tcPr>
          <w:p>
            <w:pPr>
              <w:pStyle w:val="TableParagraph"/>
              <w:spacing w:before="116"/>
              <w:ind w:left="121"/>
              <w:jc w:val="left"/>
              <w:rPr>
                <w:sz w:val="18"/>
              </w:rPr>
            </w:pPr>
            <w:r>
              <w:rPr>
                <w:sz w:val="18"/>
              </w:rPr>
              <w:t>˗</w:t>
            </w:r>
            <w:r>
              <w:rPr>
                <w:spacing w:val="38"/>
                <w:sz w:val="18"/>
              </w:rPr>
              <w:t> </w:t>
            </w:r>
            <w:r>
              <w:rPr>
                <w:spacing w:val="-4"/>
                <w:sz w:val="18"/>
              </w:rPr>
              <w:t>(New)</w:t>
            </w:r>
          </w:p>
          <w:p>
            <w:pPr>
              <w:pStyle w:val="TableParagraph"/>
              <w:spacing w:before="2"/>
              <w:jc w:val="left"/>
              <w:rPr>
                <w:b/>
                <w:sz w:val="27"/>
              </w:rPr>
            </w:pPr>
          </w:p>
          <w:p>
            <w:pPr>
              <w:pStyle w:val="TableParagraph"/>
              <w:ind w:left="102"/>
              <w:jc w:val="left"/>
              <w:rPr>
                <w:sz w:val="18"/>
              </w:rPr>
            </w:pPr>
            <w:r>
              <w:rPr>
                <w:sz w:val="18"/>
              </w:rPr>
              <w:t>˗</w:t>
            </w:r>
            <w:r>
              <w:rPr>
                <w:spacing w:val="38"/>
                <w:sz w:val="18"/>
              </w:rPr>
              <w:t> </w:t>
            </w:r>
            <w:r>
              <w:rPr>
                <w:spacing w:val="-4"/>
                <w:sz w:val="18"/>
              </w:rPr>
              <w:t>100%</w:t>
            </w:r>
          </w:p>
          <w:p>
            <w:pPr>
              <w:pStyle w:val="TableParagraph"/>
              <w:jc w:val="left"/>
              <w:rPr>
                <w:b/>
                <w:sz w:val="20"/>
              </w:rPr>
            </w:pPr>
          </w:p>
          <w:p>
            <w:pPr>
              <w:pStyle w:val="TableParagraph"/>
              <w:spacing w:before="2"/>
              <w:jc w:val="left"/>
              <w:rPr>
                <w:b/>
                <w:sz w:val="24"/>
              </w:rPr>
            </w:pPr>
          </w:p>
          <w:p>
            <w:pPr>
              <w:pStyle w:val="TableParagraph"/>
              <w:ind w:left="102"/>
              <w:jc w:val="left"/>
              <w:rPr>
                <w:sz w:val="18"/>
              </w:rPr>
            </w:pPr>
            <w:r>
              <w:rPr>
                <w:sz w:val="18"/>
              </w:rPr>
              <w:t>˗</w:t>
            </w:r>
            <w:r>
              <w:rPr>
                <w:spacing w:val="38"/>
                <w:sz w:val="18"/>
              </w:rPr>
              <w:t> </w:t>
            </w:r>
            <w:r>
              <w:rPr>
                <w:spacing w:val="-4"/>
                <w:sz w:val="18"/>
              </w:rPr>
              <w:t>(New)</w:t>
            </w:r>
          </w:p>
        </w:tc>
        <w:tc>
          <w:tcPr>
            <w:tcW w:w="1520" w:type="dxa"/>
            <w:tcBorders>
              <w:top w:val="single" w:sz="4" w:space="0" w:color="000000"/>
              <w:bottom w:val="single" w:sz="4" w:space="0" w:color="000000"/>
            </w:tcBorders>
          </w:tcPr>
          <w:p>
            <w:pPr>
              <w:pStyle w:val="TableParagraph"/>
              <w:spacing w:before="116"/>
              <w:ind w:left="210"/>
              <w:jc w:val="left"/>
              <w:rPr>
                <w:sz w:val="18"/>
              </w:rPr>
            </w:pPr>
            <w:r>
              <w:rPr>
                <w:sz w:val="18"/>
              </w:rPr>
              <w:t>˗</w:t>
            </w:r>
            <w:r>
              <w:rPr>
                <w:spacing w:val="71"/>
                <w:sz w:val="18"/>
              </w:rPr>
              <w:t> </w:t>
            </w:r>
            <w:r>
              <w:rPr>
                <w:spacing w:val="-5"/>
                <w:sz w:val="18"/>
              </w:rPr>
              <w:t>N/A</w:t>
            </w:r>
          </w:p>
          <w:p>
            <w:pPr>
              <w:pStyle w:val="TableParagraph"/>
              <w:spacing w:before="2"/>
              <w:jc w:val="left"/>
              <w:rPr>
                <w:b/>
                <w:sz w:val="27"/>
              </w:rPr>
            </w:pPr>
          </w:p>
          <w:p>
            <w:pPr>
              <w:pStyle w:val="TableParagraph"/>
              <w:ind w:left="220"/>
              <w:jc w:val="left"/>
              <w:rPr>
                <w:sz w:val="18"/>
              </w:rPr>
            </w:pPr>
            <w:r>
              <w:rPr>
                <w:sz w:val="18"/>
              </w:rPr>
              <w:t>˗</w:t>
            </w:r>
            <w:r>
              <w:rPr>
                <w:spacing w:val="33"/>
                <w:sz w:val="18"/>
              </w:rPr>
              <w:t> </w:t>
            </w:r>
            <w:r>
              <w:rPr>
                <w:spacing w:val="-4"/>
                <w:sz w:val="18"/>
              </w:rPr>
              <w:t>100%</w:t>
            </w:r>
          </w:p>
          <w:p>
            <w:pPr>
              <w:pStyle w:val="TableParagraph"/>
              <w:jc w:val="left"/>
              <w:rPr>
                <w:b/>
                <w:sz w:val="20"/>
              </w:rPr>
            </w:pPr>
          </w:p>
          <w:p>
            <w:pPr>
              <w:pStyle w:val="TableParagraph"/>
              <w:spacing w:before="2"/>
              <w:jc w:val="left"/>
              <w:rPr>
                <w:b/>
                <w:sz w:val="24"/>
              </w:rPr>
            </w:pPr>
          </w:p>
          <w:p>
            <w:pPr>
              <w:pStyle w:val="TableParagraph"/>
              <w:ind w:left="210"/>
              <w:jc w:val="left"/>
              <w:rPr>
                <w:sz w:val="18"/>
              </w:rPr>
            </w:pPr>
            <w:r>
              <w:rPr>
                <w:sz w:val="18"/>
              </w:rPr>
              <w:t>˗</w:t>
            </w:r>
            <w:r>
              <w:rPr>
                <w:spacing w:val="38"/>
                <w:sz w:val="18"/>
              </w:rPr>
              <w:t> </w:t>
            </w:r>
            <w:r>
              <w:rPr>
                <w:spacing w:val="-5"/>
                <w:sz w:val="18"/>
              </w:rPr>
              <w:t>N/A</w:t>
            </w:r>
          </w:p>
        </w:tc>
      </w:tr>
      <w:tr>
        <w:trPr>
          <w:trHeight w:val="2203" w:hRule="atLeast"/>
        </w:trPr>
        <w:tc>
          <w:tcPr>
            <w:tcW w:w="3057" w:type="dxa"/>
            <w:tcBorders>
              <w:top w:val="single" w:sz="4" w:space="0" w:color="000000"/>
              <w:bottom w:val="single" w:sz="4" w:space="0" w:color="000000"/>
            </w:tcBorders>
          </w:tcPr>
          <w:p>
            <w:pPr>
              <w:pStyle w:val="TableParagraph"/>
              <w:spacing w:before="59"/>
              <w:ind w:left="14"/>
              <w:jc w:val="left"/>
              <w:rPr>
                <w:b/>
                <w:sz w:val="18"/>
              </w:rPr>
            </w:pPr>
            <w:r>
              <w:rPr>
                <w:b/>
                <w:sz w:val="18"/>
              </w:rPr>
              <w:t>ICC</w:t>
            </w:r>
            <w:r>
              <w:rPr>
                <w:b/>
                <w:spacing w:val="-2"/>
                <w:sz w:val="18"/>
              </w:rPr>
              <w:t> </w:t>
            </w:r>
            <w:r>
              <w:rPr>
                <w:b/>
                <w:sz w:val="18"/>
              </w:rPr>
              <w:t>Strategic</w:t>
            </w:r>
            <w:r>
              <w:rPr>
                <w:b/>
                <w:spacing w:val="-8"/>
                <w:sz w:val="18"/>
              </w:rPr>
              <w:t> </w:t>
            </w:r>
            <w:r>
              <w:rPr>
                <w:b/>
                <w:sz w:val="18"/>
              </w:rPr>
              <w:t>Goal</w:t>
            </w:r>
            <w:r>
              <w:rPr>
                <w:b/>
                <w:spacing w:val="-2"/>
                <w:sz w:val="18"/>
              </w:rPr>
              <w:t> </w:t>
            </w:r>
            <w:r>
              <w:rPr>
                <w:b/>
                <w:spacing w:val="-5"/>
                <w:sz w:val="18"/>
              </w:rPr>
              <w:t>3:</w:t>
            </w:r>
          </w:p>
          <w:p>
            <w:pPr>
              <w:pStyle w:val="TableParagraph"/>
              <w:spacing w:before="57"/>
              <w:ind w:left="14"/>
              <w:jc w:val="left"/>
              <w:rPr>
                <w:sz w:val="18"/>
              </w:rPr>
            </w:pPr>
            <w:r>
              <w:rPr>
                <w:sz w:val="18"/>
              </w:rPr>
              <w:t>Further develop mainstreaming of a gender</w:t>
            </w:r>
            <w:r>
              <w:rPr>
                <w:spacing w:val="-6"/>
                <w:sz w:val="18"/>
              </w:rPr>
              <w:t> </w:t>
            </w:r>
            <w:r>
              <w:rPr>
                <w:sz w:val="18"/>
              </w:rPr>
              <w:t>perspective</w:t>
            </w:r>
            <w:r>
              <w:rPr>
                <w:spacing w:val="-8"/>
                <w:sz w:val="18"/>
              </w:rPr>
              <w:t> </w:t>
            </w:r>
            <w:r>
              <w:rPr>
                <w:sz w:val="18"/>
              </w:rPr>
              <w:t>in</w:t>
            </w:r>
            <w:r>
              <w:rPr>
                <w:spacing w:val="-8"/>
                <w:sz w:val="18"/>
              </w:rPr>
              <w:t> </w:t>
            </w:r>
            <w:r>
              <w:rPr>
                <w:sz w:val="18"/>
              </w:rPr>
              <w:t>all</w:t>
            </w:r>
            <w:r>
              <w:rPr>
                <w:spacing w:val="-3"/>
                <w:sz w:val="18"/>
              </w:rPr>
              <w:t> </w:t>
            </w:r>
            <w:r>
              <w:rPr>
                <w:sz w:val="18"/>
              </w:rPr>
              <w:t>aspects</w:t>
            </w:r>
            <w:r>
              <w:rPr>
                <w:spacing w:val="-7"/>
                <w:sz w:val="18"/>
              </w:rPr>
              <w:t> </w:t>
            </w:r>
            <w:r>
              <w:rPr>
                <w:sz w:val="18"/>
              </w:rPr>
              <w:t>of</w:t>
            </w:r>
            <w:r>
              <w:rPr>
                <w:spacing w:val="-7"/>
                <w:sz w:val="18"/>
              </w:rPr>
              <w:t> </w:t>
            </w:r>
            <w:r>
              <w:rPr>
                <w:sz w:val="18"/>
              </w:rPr>
              <w:t>the Court’s work.</w:t>
            </w:r>
          </w:p>
        </w:tc>
        <w:tc>
          <w:tcPr>
            <w:tcW w:w="3976" w:type="dxa"/>
            <w:tcBorders>
              <w:top w:val="single" w:sz="4" w:space="0" w:color="000000"/>
              <w:bottom w:val="single" w:sz="4" w:space="0" w:color="000000"/>
            </w:tcBorders>
          </w:tcPr>
          <w:p>
            <w:pPr>
              <w:pStyle w:val="TableParagraph"/>
              <w:numPr>
                <w:ilvl w:val="0"/>
                <w:numId w:val="33"/>
              </w:numPr>
              <w:tabs>
                <w:tab w:pos="271" w:val="left" w:leader="none"/>
              </w:tabs>
              <w:spacing w:line="240" w:lineRule="auto" w:before="55" w:after="0"/>
              <w:ind w:left="222" w:right="611" w:hanging="68"/>
              <w:jc w:val="left"/>
              <w:rPr>
                <w:sz w:val="18"/>
              </w:rPr>
            </w:pPr>
            <w:r>
              <w:rPr>
                <w:sz w:val="18"/>
              </w:rPr>
              <w:t>Number of SGBC-related charges brought, confirmed and convicted</w:t>
            </w:r>
          </w:p>
          <w:p>
            <w:pPr>
              <w:pStyle w:val="TableParagraph"/>
              <w:numPr>
                <w:ilvl w:val="0"/>
                <w:numId w:val="33"/>
              </w:numPr>
              <w:tabs>
                <w:tab w:pos="271" w:val="left" w:leader="none"/>
              </w:tabs>
              <w:spacing w:line="237" w:lineRule="auto" w:before="64" w:after="0"/>
              <w:ind w:left="222" w:right="453" w:hanging="68"/>
              <w:jc w:val="left"/>
              <w:rPr>
                <w:sz w:val="18"/>
              </w:rPr>
            </w:pPr>
            <w:r>
              <w:rPr>
                <w:sz w:val="18"/>
              </w:rPr>
              <w:t>Percentage of female participants in outreach </w:t>
            </w:r>
            <w:r>
              <w:rPr>
                <w:spacing w:val="-2"/>
                <w:sz w:val="18"/>
              </w:rPr>
              <w:t>activities</w:t>
            </w:r>
          </w:p>
          <w:p>
            <w:pPr>
              <w:pStyle w:val="TableParagraph"/>
              <w:numPr>
                <w:ilvl w:val="0"/>
                <w:numId w:val="33"/>
              </w:numPr>
              <w:tabs>
                <w:tab w:pos="271" w:val="left" w:leader="none"/>
              </w:tabs>
              <w:spacing w:line="240" w:lineRule="auto" w:before="63" w:after="0"/>
              <w:ind w:left="270" w:right="0" w:hanging="116"/>
              <w:jc w:val="left"/>
              <w:rPr>
                <w:sz w:val="18"/>
              </w:rPr>
            </w:pPr>
            <w:r>
              <w:rPr>
                <w:sz w:val="18"/>
              </w:rPr>
              <w:t>Percentage</w:t>
            </w:r>
            <w:r>
              <w:rPr>
                <w:spacing w:val="-7"/>
                <w:sz w:val="18"/>
              </w:rPr>
              <w:t> </w:t>
            </w:r>
            <w:r>
              <w:rPr>
                <w:sz w:val="18"/>
              </w:rPr>
              <w:t>of</w:t>
            </w:r>
            <w:r>
              <w:rPr>
                <w:spacing w:val="-1"/>
                <w:sz w:val="18"/>
              </w:rPr>
              <w:t> </w:t>
            </w:r>
            <w:r>
              <w:rPr>
                <w:sz w:val="18"/>
              </w:rPr>
              <w:t>women</w:t>
            </w:r>
            <w:r>
              <w:rPr>
                <w:spacing w:val="-6"/>
                <w:sz w:val="18"/>
              </w:rPr>
              <w:t> </w:t>
            </w:r>
            <w:r>
              <w:rPr>
                <w:spacing w:val="-4"/>
                <w:sz w:val="18"/>
              </w:rPr>
              <w:t>who:</w:t>
            </w:r>
          </w:p>
          <w:p>
            <w:pPr>
              <w:pStyle w:val="TableParagraph"/>
              <w:numPr>
                <w:ilvl w:val="0"/>
                <w:numId w:val="34"/>
              </w:numPr>
              <w:tabs>
                <w:tab w:pos="376" w:val="left" w:leader="none"/>
              </w:tabs>
              <w:spacing w:line="240" w:lineRule="auto" w:before="60" w:after="0"/>
              <w:ind w:left="155" w:right="270" w:firstLine="0"/>
              <w:jc w:val="left"/>
              <w:rPr>
                <w:sz w:val="18"/>
              </w:rPr>
            </w:pPr>
            <w:r>
              <w:rPr>
                <w:sz w:val="18"/>
              </w:rPr>
              <w:t>were</w:t>
            </w:r>
            <w:r>
              <w:rPr>
                <w:spacing w:val="-7"/>
                <w:sz w:val="18"/>
              </w:rPr>
              <w:t> </w:t>
            </w:r>
            <w:r>
              <w:rPr>
                <w:sz w:val="18"/>
              </w:rPr>
              <w:t>consulted</w:t>
            </w:r>
            <w:r>
              <w:rPr>
                <w:spacing w:val="-7"/>
                <w:sz w:val="18"/>
              </w:rPr>
              <w:t> </w:t>
            </w:r>
            <w:r>
              <w:rPr>
                <w:sz w:val="18"/>
              </w:rPr>
              <w:t>and</w:t>
            </w:r>
            <w:r>
              <w:rPr>
                <w:spacing w:val="-7"/>
                <w:sz w:val="18"/>
              </w:rPr>
              <w:t> </w:t>
            </w:r>
            <w:r>
              <w:rPr>
                <w:sz w:val="18"/>
              </w:rPr>
              <w:t>involved</w:t>
            </w:r>
            <w:r>
              <w:rPr>
                <w:spacing w:val="-7"/>
                <w:sz w:val="18"/>
              </w:rPr>
              <w:t> </w:t>
            </w:r>
            <w:r>
              <w:rPr>
                <w:sz w:val="18"/>
              </w:rPr>
              <w:t>in</w:t>
            </w:r>
            <w:r>
              <w:rPr>
                <w:spacing w:val="-7"/>
                <w:sz w:val="18"/>
              </w:rPr>
              <w:t> </w:t>
            </w:r>
            <w:r>
              <w:rPr>
                <w:sz w:val="18"/>
              </w:rPr>
              <w:t>the</w:t>
            </w:r>
            <w:r>
              <w:rPr>
                <w:spacing w:val="-3"/>
                <w:sz w:val="18"/>
              </w:rPr>
              <w:t> </w:t>
            </w:r>
            <w:r>
              <w:rPr>
                <w:sz w:val="18"/>
              </w:rPr>
              <w:t>design</w:t>
            </w:r>
            <w:r>
              <w:rPr>
                <w:spacing w:val="-7"/>
                <w:sz w:val="18"/>
              </w:rPr>
              <w:t> </w:t>
            </w:r>
            <w:r>
              <w:rPr>
                <w:sz w:val="18"/>
              </w:rPr>
              <w:t>and implementation of reparations</w:t>
            </w:r>
          </w:p>
          <w:p>
            <w:pPr>
              <w:pStyle w:val="TableParagraph"/>
              <w:numPr>
                <w:ilvl w:val="0"/>
                <w:numId w:val="34"/>
              </w:numPr>
              <w:tabs>
                <w:tab w:pos="424" w:val="left" w:leader="none"/>
              </w:tabs>
              <w:spacing w:line="240" w:lineRule="auto" w:before="57" w:after="0"/>
              <w:ind w:left="423" w:right="0" w:hanging="269"/>
              <w:jc w:val="left"/>
              <w:rPr>
                <w:sz w:val="18"/>
              </w:rPr>
            </w:pPr>
            <w:r>
              <w:rPr>
                <w:sz w:val="18"/>
              </w:rPr>
              <w:t>received</w:t>
            </w:r>
            <w:r>
              <w:rPr>
                <w:spacing w:val="-9"/>
                <w:sz w:val="18"/>
              </w:rPr>
              <w:t> </w:t>
            </w:r>
            <w:r>
              <w:rPr>
                <w:spacing w:val="-2"/>
                <w:sz w:val="18"/>
              </w:rPr>
              <w:t>reparations</w:t>
            </w:r>
          </w:p>
        </w:tc>
        <w:tc>
          <w:tcPr>
            <w:tcW w:w="1246" w:type="dxa"/>
            <w:tcBorders>
              <w:top w:val="single" w:sz="4" w:space="0" w:color="000000"/>
              <w:bottom w:val="single" w:sz="4" w:space="0" w:color="000000"/>
            </w:tcBorders>
          </w:tcPr>
          <w:p>
            <w:pPr>
              <w:pStyle w:val="TableParagraph"/>
              <w:spacing w:before="116"/>
              <w:ind w:left="83"/>
              <w:jc w:val="left"/>
              <w:rPr>
                <w:sz w:val="18"/>
              </w:rPr>
            </w:pPr>
            <w:r>
              <w:rPr>
                <w:sz w:val="18"/>
              </w:rPr>
              <w:t>˗</w:t>
            </w:r>
            <w:r>
              <w:rPr>
                <w:spacing w:val="76"/>
                <w:sz w:val="18"/>
              </w:rPr>
              <w:t> </w:t>
            </w:r>
            <w:r>
              <w:rPr>
                <w:spacing w:val="-2"/>
                <w:sz w:val="18"/>
              </w:rPr>
              <w:t>(TBD)</w:t>
            </w:r>
          </w:p>
          <w:p>
            <w:pPr>
              <w:pStyle w:val="TableParagraph"/>
              <w:spacing w:before="4"/>
              <w:jc w:val="left"/>
              <w:rPr>
                <w:b/>
                <w:sz w:val="28"/>
              </w:rPr>
            </w:pPr>
          </w:p>
          <w:p>
            <w:pPr>
              <w:pStyle w:val="TableParagraph"/>
              <w:spacing w:before="1"/>
              <w:ind w:left="83"/>
              <w:jc w:val="left"/>
              <w:rPr>
                <w:sz w:val="18"/>
              </w:rPr>
            </w:pPr>
            <w:r>
              <w:rPr>
                <w:sz w:val="18"/>
              </w:rPr>
              <w:t>˗</w:t>
            </w:r>
            <w:r>
              <w:rPr>
                <w:spacing w:val="71"/>
                <w:sz w:val="18"/>
              </w:rPr>
              <w:t> </w:t>
            </w:r>
            <w:r>
              <w:rPr>
                <w:spacing w:val="-2"/>
                <w:sz w:val="18"/>
              </w:rPr>
              <w:t>54.9%</w:t>
            </w:r>
          </w:p>
          <w:p>
            <w:pPr>
              <w:pStyle w:val="TableParagraph"/>
              <w:jc w:val="left"/>
              <w:rPr>
                <w:b/>
                <w:sz w:val="20"/>
              </w:rPr>
            </w:pPr>
          </w:p>
          <w:p>
            <w:pPr>
              <w:pStyle w:val="TableParagraph"/>
              <w:spacing w:before="4"/>
              <w:jc w:val="left"/>
              <w:rPr>
                <w:b/>
                <w:sz w:val="28"/>
              </w:rPr>
            </w:pPr>
          </w:p>
          <w:p>
            <w:pPr>
              <w:pStyle w:val="TableParagraph"/>
              <w:numPr>
                <w:ilvl w:val="0"/>
                <w:numId w:val="35"/>
              </w:numPr>
              <w:tabs>
                <w:tab w:pos="300" w:val="left" w:leader="none"/>
              </w:tabs>
              <w:spacing w:line="240" w:lineRule="auto" w:before="0" w:after="0"/>
              <w:ind w:left="299" w:right="0" w:hanging="217"/>
              <w:jc w:val="left"/>
              <w:rPr>
                <w:sz w:val="18"/>
              </w:rPr>
            </w:pPr>
            <w:r>
              <w:rPr>
                <w:spacing w:val="-2"/>
                <w:sz w:val="18"/>
              </w:rPr>
              <w:t>(New)</w:t>
            </w:r>
          </w:p>
          <w:p>
            <w:pPr>
              <w:pStyle w:val="TableParagraph"/>
              <w:spacing w:before="6"/>
              <w:jc w:val="left"/>
              <w:rPr>
                <w:b/>
                <w:sz w:val="24"/>
              </w:rPr>
            </w:pPr>
          </w:p>
          <w:p>
            <w:pPr>
              <w:pStyle w:val="TableParagraph"/>
              <w:numPr>
                <w:ilvl w:val="0"/>
                <w:numId w:val="35"/>
              </w:numPr>
              <w:tabs>
                <w:tab w:pos="352" w:val="left" w:leader="none"/>
              </w:tabs>
              <w:spacing w:line="240" w:lineRule="auto" w:before="1" w:after="0"/>
              <w:ind w:left="351" w:right="0" w:hanging="269"/>
              <w:jc w:val="left"/>
              <w:rPr>
                <w:sz w:val="18"/>
              </w:rPr>
            </w:pPr>
            <w:r>
              <w:rPr>
                <w:spacing w:val="-2"/>
                <w:sz w:val="18"/>
              </w:rPr>
              <w:t>(New)</w:t>
            </w:r>
          </w:p>
        </w:tc>
        <w:tc>
          <w:tcPr>
            <w:tcW w:w="1520" w:type="dxa"/>
            <w:tcBorders>
              <w:top w:val="single" w:sz="4" w:space="0" w:color="000000"/>
              <w:bottom w:val="single" w:sz="4" w:space="0" w:color="000000"/>
            </w:tcBorders>
          </w:tcPr>
          <w:p>
            <w:pPr>
              <w:pStyle w:val="TableParagraph"/>
              <w:spacing w:before="116"/>
              <w:ind w:left="244"/>
              <w:jc w:val="left"/>
              <w:rPr>
                <w:sz w:val="18"/>
              </w:rPr>
            </w:pPr>
            <w:r>
              <w:rPr>
                <w:sz w:val="18"/>
              </w:rPr>
              <w:t>˗</w:t>
            </w:r>
            <w:r>
              <w:rPr>
                <w:spacing w:val="38"/>
                <w:sz w:val="18"/>
              </w:rPr>
              <w:t> </w:t>
            </w:r>
            <w:r>
              <w:rPr>
                <w:spacing w:val="-4"/>
                <w:sz w:val="18"/>
              </w:rPr>
              <w:t>(TBD)</w:t>
            </w:r>
          </w:p>
          <w:p>
            <w:pPr>
              <w:pStyle w:val="TableParagraph"/>
              <w:spacing w:before="4"/>
              <w:jc w:val="left"/>
              <w:rPr>
                <w:b/>
                <w:sz w:val="28"/>
              </w:rPr>
            </w:pPr>
          </w:p>
          <w:p>
            <w:pPr>
              <w:pStyle w:val="TableParagraph"/>
              <w:spacing w:before="1"/>
              <w:ind w:left="244"/>
              <w:jc w:val="left"/>
              <w:rPr>
                <w:sz w:val="18"/>
              </w:rPr>
            </w:pPr>
            <w:r>
              <w:rPr>
                <w:sz w:val="18"/>
              </w:rPr>
              <w:t>˗</w:t>
            </w:r>
            <w:r>
              <w:rPr>
                <w:spacing w:val="33"/>
                <w:sz w:val="18"/>
              </w:rPr>
              <w:t> </w:t>
            </w:r>
            <w:r>
              <w:rPr>
                <w:spacing w:val="-5"/>
                <w:sz w:val="18"/>
              </w:rPr>
              <w:t>50%</w:t>
            </w:r>
          </w:p>
          <w:p>
            <w:pPr>
              <w:pStyle w:val="TableParagraph"/>
              <w:jc w:val="left"/>
              <w:rPr>
                <w:b/>
                <w:sz w:val="20"/>
              </w:rPr>
            </w:pPr>
          </w:p>
          <w:p>
            <w:pPr>
              <w:pStyle w:val="TableParagraph"/>
              <w:spacing w:before="4"/>
              <w:jc w:val="left"/>
              <w:rPr>
                <w:b/>
                <w:sz w:val="28"/>
              </w:rPr>
            </w:pPr>
          </w:p>
          <w:p>
            <w:pPr>
              <w:pStyle w:val="TableParagraph"/>
              <w:numPr>
                <w:ilvl w:val="0"/>
                <w:numId w:val="36"/>
              </w:numPr>
              <w:tabs>
                <w:tab w:pos="431" w:val="left" w:leader="none"/>
              </w:tabs>
              <w:spacing w:line="240" w:lineRule="auto" w:before="0" w:after="0"/>
              <w:ind w:left="430" w:right="0" w:hanging="221"/>
              <w:jc w:val="left"/>
              <w:rPr>
                <w:sz w:val="18"/>
              </w:rPr>
            </w:pPr>
            <w:r>
              <w:rPr>
                <w:spacing w:val="-5"/>
                <w:sz w:val="18"/>
              </w:rPr>
              <w:t>N/A</w:t>
            </w:r>
          </w:p>
          <w:p>
            <w:pPr>
              <w:pStyle w:val="TableParagraph"/>
              <w:spacing w:before="5"/>
              <w:jc w:val="left"/>
              <w:rPr>
                <w:b/>
                <w:sz w:val="22"/>
              </w:rPr>
            </w:pPr>
          </w:p>
          <w:p>
            <w:pPr>
              <w:pStyle w:val="TableParagraph"/>
              <w:numPr>
                <w:ilvl w:val="0"/>
                <w:numId w:val="36"/>
              </w:numPr>
              <w:tabs>
                <w:tab w:pos="479" w:val="left" w:leader="none"/>
              </w:tabs>
              <w:spacing w:line="240" w:lineRule="auto" w:before="1" w:after="0"/>
              <w:ind w:left="478" w:right="0" w:hanging="269"/>
              <w:jc w:val="left"/>
              <w:rPr>
                <w:sz w:val="18"/>
              </w:rPr>
            </w:pPr>
            <w:r>
              <w:rPr>
                <w:spacing w:val="-5"/>
                <w:sz w:val="18"/>
              </w:rPr>
              <w:t>N/A</w:t>
            </w:r>
          </w:p>
        </w:tc>
      </w:tr>
    </w:tbl>
    <w:p>
      <w:pPr>
        <w:pStyle w:val="BodyText"/>
        <w:spacing w:before="122"/>
        <w:ind w:left="2246" w:right="2248"/>
        <w:jc w:val="both"/>
      </w:pPr>
      <w:r>
        <w:rPr/>
        <w:t>* Targets</w:t>
      </w:r>
      <w:r>
        <w:rPr>
          <w:spacing w:val="-5"/>
        </w:rPr>
        <w:t> </w:t>
      </w:r>
      <w:r>
        <w:rPr/>
        <w:t>indicated</w:t>
      </w:r>
      <w:r>
        <w:rPr>
          <w:spacing w:val="-4"/>
        </w:rPr>
        <w:t> </w:t>
      </w:r>
      <w:r>
        <w:rPr/>
        <w:t>as</w:t>
      </w:r>
      <w:r>
        <w:rPr>
          <w:spacing w:val="-5"/>
        </w:rPr>
        <w:t> </w:t>
      </w:r>
      <w:r>
        <w:rPr/>
        <w:t>“TBD”</w:t>
      </w:r>
      <w:r>
        <w:rPr>
          <w:spacing w:val="-2"/>
        </w:rPr>
        <w:t> </w:t>
      </w:r>
      <w:r>
        <w:rPr/>
        <w:t>will</w:t>
      </w:r>
      <w:r>
        <w:rPr>
          <w:spacing w:val="-2"/>
        </w:rPr>
        <w:t> </w:t>
      </w:r>
      <w:r>
        <w:rPr/>
        <w:t>be</w:t>
      </w:r>
      <w:r>
        <w:rPr>
          <w:spacing w:val="-2"/>
        </w:rPr>
        <w:t> </w:t>
      </w:r>
      <w:r>
        <w:rPr/>
        <w:t>determined</w:t>
      </w:r>
      <w:r>
        <w:rPr>
          <w:spacing w:val="-4"/>
        </w:rPr>
        <w:t> </w:t>
      </w:r>
      <w:r>
        <w:rPr/>
        <w:t>by</w:t>
      </w:r>
      <w:r>
        <w:rPr>
          <w:spacing w:val="-4"/>
        </w:rPr>
        <w:t> </w:t>
      </w:r>
      <w:r>
        <w:rPr/>
        <w:t>the end</w:t>
      </w:r>
      <w:r>
        <w:rPr>
          <w:spacing w:val="-4"/>
        </w:rPr>
        <w:t> </w:t>
      </w:r>
      <w:r>
        <w:rPr/>
        <w:t>of 2022</w:t>
      </w:r>
      <w:r>
        <w:rPr>
          <w:spacing w:val="-4"/>
        </w:rPr>
        <w:t> </w:t>
      </w:r>
      <w:r>
        <w:rPr/>
        <w:t>and will</w:t>
      </w:r>
      <w:r>
        <w:rPr>
          <w:spacing w:val="-2"/>
        </w:rPr>
        <w:t> </w:t>
      </w:r>
      <w:r>
        <w:rPr/>
        <w:t>be</w:t>
      </w:r>
      <w:r>
        <w:rPr>
          <w:spacing w:val="-2"/>
        </w:rPr>
        <w:t> </w:t>
      </w:r>
      <w:r>
        <w:rPr/>
        <w:t>included</w:t>
      </w:r>
      <w:r>
        <w:rPr>
          <w:spacing w:val="-4"/>
        </w:rPr>
        <w:t> </w:t>
      </w:r>
      <w:r>
        <w:rPr/>
        <w:t>in the ICC Strategic Plan 2023-2025.</w:t>
      </w:r>
    </w:p>
    <w:p>
      <w:pPr>
        <w:pStyle w:val="BodyText"/>
        <w:spacing w:before="1"/>
        <w:ind w:left="2246" w:right="2241"/>
        <w:jc w:val="both"/>
      </w:pPr>
      <w:r>
        <w:rPr/>
        <w:t>For newly developed KPIs, baselines</w:t>
      </w:r>
      <w:r>
        <w:rPr>
          <w:spacing w:val="-2"/>
        </w:rPr>
        <w:t> </w:t>
      </w:r>
      <w:r>
        <w:rPr/>
        <w:t>are</w:t>
      </w:r>
      <w:r>
        <w:rPr>
          <w:spacing w:val="-3"/>
        </w:rPr>
        <w:t> </w:t>
      </w:r>
      <w:r>
        <w:rPr/>
        <w:t>absent therefore indicated as</w:t>
      </w:r>
      <w:r>
        <w:rPr>
          <w:spacing w:val="-6"/>
        </w:rPr>
        <w:t> </w:t>
      </w:r>
      <w:r>
        <w:rPr/>
        <w:t>“New”.</w:t>
      </w:r>
      <w:r>
        <w:rPr>
          <w:spacing w:val="-2"/>
        </w:rPr>
        <w:t> </w:t>
      </w:r>
      <w:r>
        <w:rPr/>
        <w:t>Most of</w:t>
      </w:r>
      <w:r>
        <w:rPr>
          <w:spacing w:val="-5"/>
        </w:rPr>
        <w:t> </w:t>
      </w:r>
      <w:r>
        <w:rPr/>
        <w:t>their performance targets for 2023 are indicated as</w:t>
      </w:r>
      <w:r>
        <w:rPr>
          <w:spacing w:val="-1"/>
        </w:rPr>
        <w:t> </w:t>
      </w:r>
      <w:r>
        <w:rPr/>
        <w:t>“N/A” as meaningful and realistic targets are difficult to determine in the absence of a 2021 performance baseline.</w:t>
      </w:r>
    </w:p>
    <w:p>
      <w:pPr>
        <w:pStyle w:val="BodyText"/>
        <w:rPr>
          <w:sz w:val="22"/>
        </w:rPr>
      </w:pPr>
    </w:p>
    <w:p>
      <w:pPr>
        <w:pStyle w:val="BodyText"/>
        <w:spacing w:before="2"/>
        <w:rPr>
          <w:sz w:val="19"/>
        </w:rPr>
      </w:pPr>
    </w:p>
    <w:p>
      <w:pPr>
        <w:pStyle w:val="Heading2"/>
        <w:numPr>
          <w:ilvl w:val="0"/>
          <w:numId w:val="24"/>
        </w:numPr>
        <w:tabs>
          <w:tab w:pos="2967" w:val="left" w:leader="none"/>
        </w:tabs>
        <w:spacing w:line="240" w:lineRule="auto" w:before="0" w:after="0"/>
        <w:ind w:left="2967" w:right="0" w:hanging="361"/>
        <w:jc w:val="left"/>
      </w:pPr>
      <w:r>
        <w:rPr/>
        <w:t>Cooperation</w:t>
      </w:r>
      <w:r>
        <w:rPr>
          <w:spacing w:val="-7"/>
        </w:rPr>
        <w:t> </w:t>
      </w:r>
      <w:r>
        <w:rPr/>
        <w:t>and</w:t>
      </w:r>
      <w:r>
        <w:rPr>
          <w:spacing w:val="-11"/>
        </w:rPr>
        <w:t> </w:t>
      </w:r>
      <w:r>
        <w:rPr/>
        <w:t>complementarity</w:t>
      </w:r>
      <w:r>
        <w:rPr>
          <w:spacing w:val="-12"/>
        </w:rPr>
        <w:t> </w:t>
      </w:r>
      <w:r>
        <w:rPr/>
        <w:t>performance</w:t>
      </w:r>
      <w:r>
        <w:rPr>
          <w:spacing w:val="-13"/>
        </w:rPr>
        <w:t> </w:t>
      </w:r>
      <w:r>
        <w:rPr>
          <w:spacing w:val="-2"/>
        </w:rPr>
        <w:t>goals</w:t>
      </w:r>
    </w:p>
    <w:p>
      <w:pPr>
        <w:pStyle w:val="BodyText"/>
        <w:spacing w:before="6"/>
        <w:rPr>
          <w:b/>
        </w:rPr>
      </w:pPr>
    </w:p>
    <w:tbl>
      <w:tblPr>
        <w:tblW w:w="0" w:type="auto"/>
        <w:jc w:val="left"/>
        <w:tblInd w:w="1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41"/>
        <w:gridCol w:w="3885"/>
        <w:gridCol w:w="1233"/>
        <w:gridCol w:w="1542"/>
      </w:tblGrid>
      <w:tr>
        <w:trPr>
          <w:trHeight w:val="594" w:hRule="atLeast"/>
        </w:trPr>
        <w:tc>
          <w:tcPr>
            <w:tcW w:w="3141" w:type="dxa"/>
            <w:tcBorders>
              <w:top w:val="single" w:sz="4" w:space="0" w:color="000000"/>
              <w:bottom w:val="single" w:sz="4" w:space="0" w:color="000000"/>
            </w:tcBorders>
          </w:tcPr>
          <w:p>
            <w:pPr>
              <w:pStyle w:val="TableParagraph"/>
              <w:spacing w:line="260" w:lineRule="atLeast" w:before="9"/>
              <w:ind w:left="931" w:right="867" w:firstLine="120"/>
              <w:jc w:val="left"/>
              <w:rPr>
                <w:b/>
                <w:i/>
                <w:sz w:val="18"/>
              </w:rPr>
            </w:pPr>
            <w:r>
              <w:rPr>
                <w:b/>
                <w:i/>
                <w:sz w:val="18"/>
              </w:rPr>
              <w:t>Strategic goals</w:t>
            </w:r>
            <w:r>
              <w:rPr>
                <w:b/>
                <w:i/>
                <w:sz w:val="18"/>
              </w:rPr>
              <w:t> (Expected</w:t>
            </w:r>
            <w:r>
              <w:rPr>
                <w:b/>
                <w:i/>
                <w:spacing w:val="-12"/>
                <w:sz w:val="18"/>
              </w:rPr>
              <w:t> </w:t>
            </w:r>
            <w:r>
              <w:rPr>
                <w:b/>
                <w:i/>
                <w:sz w:val="18"/>
              </w:rPr>
              <w:t>results)</w:t>
            </w:r>
          </w:p>
        </w:tc>
        <w:tc>
          <w:tcPr>
            <w:tcW w:w="3885" w:type="dxa"/>
            <w:tcBorders>
              <w:top w:val="single" w:sz="4" w:space="0" w:color="000000"/>
              <w:bottom w:val="single" w:sz="4" w:space="0" w:color="000000"/>
            </w:tcBorders>
          </w:tcPr>
          <w:p>
            <w:pPr>
              <w:pStyle w:val="TableParagraph"/>
              <w:spacing w:before="1"/>
              <w:jc w:val="left"/>
              <w:rPr>
                <w:b/>
                <w:sz w:val="17"/>
              </w:rPr>
            </w:pPr>
          </w:p>
          <w:p>
            <w:pPr>
              <w:pStyle w:val="TableParagraph"/>
              <w:ind w:left="690"/>
              <w:jc w:val="left"/>
              <w:rPr>
                <w:b/>
                <w:i/>
                <w:sz w:val="18"/>
              </w:rPr>
            </w:pPr>
            <w:r>
              <w:rPr>
                <w:b/>
                <w:i/>
                <w:sz w:val="18"/>
              </w:rPr>
              <w:t>Key</w:t>
            </w:r>
            <w:r>
              <w:rPr>
                <w:b/>
                <w:i/>
                <w:spacing w:val="-5"/>
                <w:sz w:val="18"/>
              </w:rPr>
              <w:t> </w:t>
            </w:r>
            <w:r>
              <w:rPr>
                <w:b/>
                <w:i/>
                <w:sz w:val="18"/>
              </w:rPr>
              <w:t>performance</w:t>
            </w:r>
            <w:r>
              <w:rPr>
                <w:b/>
                <w:i/>
                <w:spacing w:val="-8"/>
                <w:sz w:val="18"/>
              </w:rPr>
              <w:t> </w:t>
            </w:r>
            <w:r>
              <w:rPr>
                <w:b/>
                <w:i/>
                <w:sz w:val="18"/>
              </w:rPr>
              <w:t>indicators</w:t>
            </w:r>
            <w:r>
              <w:rPr>
                <w:b/>
                <w:i/>
                <w:spacing w:val="-5"/>
                <w:sz w:val="18"/>
              </w:rPr>
              <w:t> </w:t>
            </w:r>
            <w:r>
              <w:rPr>
                <w:b/>
                <w:i/>
                <w:spacing w:val="-2"/>
                <w:sz w:val="18"/>
              </w:rPr>
              <w:t>(KPIs)</w:t>
            </w:r>
          </w:p>
        </w:tc>
        <w:tc>
          <w:tcPr>
            <w:tcW w:w="1233" w:type="dxa"/>
            <w:tcBorders>
              <w:top w:val="single" w:sz="4" w:space="0" w:color="000000"/>
              <w:bottom w:val="single" w:sz="4" w:space="0" w:color="000000"/>
            </w:tcBorders>
          </w:tcPr>
          <w:p>
            <w:pPr>
              <w:pStyle w:val="TableParagraph"/>
              <w:spacing w:line="260" w:lineRule="atLeast" w:before="9"/>
              <w:ind w:left="474" w:hanging="77"/>
              <w:jc w:val="left"/>
              <w:rPr>
                <w:b/>
                <w:i/>
                <w:sz w:val="18"/>
              </w:rPr>
            </w:pPr>
            <w:r>
              <w:rPr>
                <w:b/>
                <w:i/>
                <w:spacing w:val="-2"/>
                <w:sz w:val="18"/>
              </w:rPr>
              <w:t>Baseline</w:t>
            </w:r>
            <w:r>
              <w:rPr>
                <w:b/>
                <w:i/>
                <w:spacing w:val="-2"/>
                <w:sz w:val="18"/>
              </w:rPr>
              <w:t> (2021)</w:t>
            </w:r>
          </w:p>
        </w:tc>
        <w:tc>
          <w:tcPr>
            <w:tcW w:w="1542" w:type="dxa"/>
            <w:tcBorders>
              <w:top w:val="single" w:sz="4" w:space="0" w:color="000000"/>
              <w:bottom w:val="single" w:sz="4" w:space="0" w:color="000000"/>
            </w:tcBorders>
          </w:tcPr>
          <w:p>
            <w:pPr>
              <w:pStyle w:val="TableParagraph"/>
              <w:spacing w:line="260" w:lineRule="atLeast" w:before="9"/>
              <w:ind w:left="537" w:right="44" w:hanging="53"/>
              <w:jc w:val="left"/>
              <w:rPr>
                <w:b/>
                <w:i/>
                <w:sz w:val="18"/>
              </w:rPr>
            </w:pPr>
            <w:r>
              <w:rPr>
                <w:b/>
                <w:i/>
                <w:spacing w:val="-2"/>
                <w:sz w:val="18"/>
              </w:rPr>
              <w:t>Target*</w:t>
            </w:r>
            <w:r>
              <w:rPr>
                <w:b/>
                <w:i/>
                <w:spacing w:val="-2"/>
                <w:sz w:val="18"/>
              </w:rPr>
              <w:t> (2023)</w:t>
            </w:r>
          </w:p>
        </w:tc>
      </w:tr>
      <w:tr>
        <w:trPr>
          <w:trHeight w:val="5276" w:hRule="atLeast"/>
        </w:trPr>
        <w:tc>
          <w:tcPr>
            <w:tcW w:w="3141" w:type="dxa"/>
            <w:tcBorders>
              <w:top w:val="single" w:sz="4" w:space="0" w:color="000000"/>
              <w:bottom w:val="single" w:sz="4" w:space="0" w:color="000000"/>
            </w:tcBorders>
          </w:tcPr>
          <w:p>
            <w:pPr>
              <w:pStyle w:val="TableParagraph"/>
              <w:spacing w:before="62"/>
              <w:ind w:left="86"/>
              <w:jc w:val="left"/>
              <w:rPr>
                <w:b/>
                <w:sz w:val="18"/>
              </w:rPr>
            </w:pPr>
            <w:r>
              <w:rPr>
                <w:b/>
                <w:sz w:val="18"/>
              </w:rPr>
              <w:t>ICC</w:t>
            </w:r>
            <w:r>
              <w:rPr>
                <w:b/>
                <w:spacing w:val="-2"/>
                <w:sz w:val="18"/>
              </w:rPr>
              <w:t> </w:t>
            </w:r>
            <w:r>
              <w:rPr>
                <w:b/>
                <w:sz w:val="18"/>
              </w:rPr>
              <w:t>Strategic</w:t>
            </w:r>
            <w:r>
              <w:rPr>
                <w:b/>
                <w:spacing w:val="-8"/>
                <w:sz w:val="18"/>
              </w:rPr>
              <w:t> </w:t>
            </w:r>
            <w:r>
              <w:rPr>
                <w:b/>
                <w:sz w:val="18"/>
              </w:rPr>
              <w:t>Goal</w:t>
            </w:r>
            <w:r>
              <w:rPr>
                <w:b/>
                <w:spacing w:val="-2"/>
                <w:sz w:val="18"/>
              </w:rPr>
              <w:t> </w:t>
            </w:r>
            <w:r>
              <w:rPr>
                <w:b/>
                <w:spacing w:val="-5"/>
                <w:sz w:val="18"/>
              </w:rPr>
              <w:t>4:</w:t>
            </w:r>
          </w:p>
          <w:p>
            <w:pPr>
              <w:pStyle w:val="TableParagraph"/>
              <w:spacing w:before="57"/>
              <w:ind w:left="86"/>
              <w:jc w:val="left"/>
              <w:rPr>
                <w:sz w:val="18"/>
              </w:rPr>
            </w:pPr>
            <w:r>
              <w:rPr>
                <w:sz w:val="18"/>
              </w:rPr>
              <w:t>Further foster political support and develop modalities of cooperation and operational support for all parties as regards preliminary examinations, investigations, protection of witnesses, implementation</w:t>
            </w:r>
            <w:r>
              <w:rPr>
                <w:spacing w:val="-9"/>
                <w:sz w:val="18"/>
              </w:rPr>
              <w:t> </w:t>
            </w:r>
            <w:r>
              <w:rPr>
                <w:sz w:val="18"/>
              </w:rPr>
              <w:t>of</w:t>
            </w:r>
            <w:r>
              <w:rPr>
                <w:spacing w:val="-9"/>
                <w:sz w:val="18"/>
              </w:rPr>
              <w:t> </w:t>
            </w:r>
            <w:r>
              <w:rPr>
                <w:sz w:val="18"/>
              </w:rPr>
              <w:t>warrants</w:t>
            </w:r>
            <w:r>
              <w:rPr>
                <w:spacing w:val="-5"/>
                <w:sz w:val="18"/>
              </w:rPr>
              <w:t> </w:t>
            </w:r>
            <w:r>
              <w:rPr>
                <w:sz w:val="18"/>
              </w:rPr>
              <w:t>of</w:t>
            </w:r>
            <w:r>
              <w:rPr>
                <w:spacing w:val="-9"/>
                <w:sz w:val="18"/>
              </w:rPr>
              <w:t> </w:t>
            </w:r>
            <w:r>
              <w:rPr>
                <w:sz w:val="18"/>
              </w:rPr>
              <w:t>arrest</w:t>
            </w:r>
            <w:r>
              <w:rPr>
                <w:spacing w:val="-8"/>
                <w:sz w:val="18"/>
              </w:rPr>
              <w:t> </w:t>
            </w:r>
            <w:r>
              <w:rPr>
                <w:sz w:val="18"/>
              </w:rPr>
              <w:t>and judicial proceedings.</w:t>
            </w:r>
          </w:p>
        </w:tc>
        <w:tc>
          <w:tcPr>
            <w:tcW w:w="3885" w:type="dxa"/>
            <w:tcBorders>
              <w:top w:val="single" w:sz="4" w:space="0" w:color="000000"/>
              <w:bottom w:val="single" w:sz="4" w:space="0" w:color="000000"/>
            </w:tcBorders>
          </w:tcPr>
          <w:p>
            <w:pPr>
              <w:pStyle w:val="TableParagraph"/>
              <w:numPr>
                <w:ilvl w:val="0"/>
                <w:numId w:val="37"/>
              </w:numPr>
              <w:tabs>
                <w:tab w:pos="235" w:val="left" w:leader="none"/>
              </w:tabs>
              <w:spacing w:line="240" w:lineRule="auto" w:before="63" w:after="0"/>
              <w:ind w:left="234" w:right="0" w:hanging="116"/>
              <w:jc w:val="left"/>
              <w:rPr>
                <w:sz w:val="18"/>
              </w:rPr>
            </w:pPr>
            <w:r>
              <w:rPr>
                <w:sz w:val="18"/>
              </w:rPr>
              <w:t>Number</w:t>
            </w:r>
            <w:r>
              <w:rPr>
                <w:spacing w:val="-7"/>
                <w:sz w:val="18"/>
              </w:rPr>
              <w:t> </w:t>
            </w:r>
            <w:r>
              <w:rPr>
                <w:sz w:val="18"/>
              </w:rPr>
              <w:t>of</w:t>
            </w:r>
            <w:r>
              <w:rPr>
                <w:spacing w:val="-6"/>
                <w:sz w:val="18"/>
              </w:rPr>
              <w:t> </w:t>
            </w:r>
            <w:r>
              <w:rPr>
                <w:sz w:val="18"/>
              </w:rPr>
              <w:t>new</w:t>
            </w:r>
            <w:r>
              <w:rPr>
                <w:spacing w:val="-9"/>
                <w:sz w:val="18"/>
              </w:rPr>
              <w:t> </w:t>
            </w:r>
            <w:r>
              <w:rPr>
                <w:sz w:val="18"/>
              </w:rPr>
              <w:t>ratifications/signings</w:t>
            </w:r>
            <w:r>
              <w:rPr>
                <w:spacing w:val="-3"/>
                <w:sz w:val="18"/>
              </w:rPr>
              <w:t> </w:t>
            </w:r>
            <w:r>
              <w:rPr>
                <w:spacing w:val="-5"/>
                <w:sz w:val="18"/>
              </w:rPr>
              <w:t>of:</w:t>
            </w:r>
          </w:p>
          <w:p>
            <w:pPr>
              <w:pStyle w:val="TableParagraph"/>
              <w:numPr>
                <w:ilvl w:val="1"/>
                <w:numId w:val="37"/>
              </w:numPr>
              <w:tabs>
                <w:tab w:pos="432" w:val="left" w:leader="none"/>
              </w:tabs>
              <w:spacing w:line="240" w:lineRule="auto" w:before="56" w:after="0"/>
              <w:ind w:left="431" w:right="0" w:hanging="217"/>
              <w:jc w:val="left"/>
              <w:rPr>
                <w:sz w:val="18"/>
              </w:rPr>
            </w:pPr>
            <w:r>
              <w:rPr>
                <w:sz w:val="18"/>
              </w:rPr>
              <w:t>the</w:t>
            </w:r>
            <w:r>
              <w:rPr>
                <w:spacing w:val="-3"/>
                <w:sz w:val="18"/>
              </w:rPr>
              <w:t> </w:t>
            </w:r>
            <w:r>
              <w:rPr>
                <w:sz w:val="18"/>
              </w:rPr>
              <w:t>Rome</w:t>
            </w:r>
            <w:r>
              <w:rPr>
                <w:spacing w:val="-3"/>
                <w:sz w:val="18"/>
              </w:rPr>
              <w:t> </w:t>
            </w:r>
            <w:r>
              <w:rPr>
                <w:sz w:val="18"/>
              </w:rPr>
              <w:t>Statute</w:t>
            </w:r>
            <w:r>
              <w:rPr>
                <w:spacing w:val="-3"/>
                <w:sz w:val="18"/>
              </w:rPr>
              <w:t> </w:t>
            </w:r>
            <w:r>
              <w:rPr>
                <w:sz w:val="18"/>
              </w:rPr>
              <w:t>and</w:t>
            </w:r>
            <w:r>
              <w:rPr>
                <w:spacing w:val="-8"/>
                <w:sz w:val="18"/>
              </w:rPr>
              <w:t> </w:t>
            </w:r>
            <w:r>
              <w:rPr>
                <w:sz w:val="18"/>
              </w:rPr>
              <w:t>its</w:t>
            </w:r>
            <w:r>
              <w:rPr>
                <w:spacing w:val="-2"/>
                <w:sz w:val="18"/>
              </w:rPr>
              <w:t> amendments</w:t>
            </w:r>
          </w:p>
          <w:p>
            <w:pPr>
              <w:pStyle w:val="TableParagraph"/>
              <w:numPr>
                <w:ilvl w:val="1"/>
                <w:numId w:val="37"/>
              </w:numPr>
              <w:tabs>
                <w:tab w:pos="484" w:val="left" w:leader="none"/>
              </w:tabs>
              <w:spacing w:line="240" w:lineRule="auto" w:before="62" w:after="0"/>
              <w:ind w:left="498" w:right="178" w:hanging="284"/>
              <w:jc w:val="left"/>
              <w:rPr>
                <w:sz w:val="18"/>
              </w:rPr>
            </w:pPr>
            <w:r>
              <w:rPr>
                <w:sz w:val="18"/>
              </w:rPr>
              <w:t>the</w:t>
            </w:r>
            <w:r>
              <w:rPr>
                <w:spacing w:val="-9"/>
                <w:sz w:val="18"/>
              </w:rPr>
              <w:t> </w:t>
            </w:r>
            <w:r>
              <w:rPr>
                <w:sz w:val="18"/>
              </w:rPr>
              <w:t>Agreement</w:t>
            </w:r>
            <w:r>
              <w:rPr>
                <w:spacing w:val="-7"/>
                <w:sz w:val="18"/>
              </w:rPr>
              <w:t> </w:t>
            </w:r>
            <w:r>
              <w:rPr>
                <w:sz w:val="18"/>
              </w:rPr>
              <w:t>on</w:t>
            </w:r>
            <w:r>
              <w:rPr>
                <w:spacing w:val="-9"/>
                <w:sz w:val="18"/>
              </w:rPr>
              <w:t> </w:t>
            </w:r>
            <w:r>
              <w:rPr>
                <w:sz w:val="18"/>
              </w:rPr>
              <w:t>Privileges</w:t>
            </w:r>
            <w:r>
              <w:rPr>
                <w:spacing w:val="-9"/>
                <w:sz w:val="18"/>
              </w:rPr>
              <w:t> </w:t>
            </w:r>
            <w:r>
              <w:rPr>
                <w:sz w:val="18"/>
              </w:rPr>
              <w:t>and</w:t>
            </w:r>
            <w:r>
              <w:rPr>
                <w:spacing w:val="-9"/>
                <w:sz w:val="18"/>
              </w:rPr>
              <w:t> </w:t>
            </w:r>
            <w:r>
              <w:rPr>
                <w:sz w:val="18"/>
              </w:rPr>
              <w:t>Immunities </w:t>
            </w:r>
            <w:r>
              <w:rPr>
                <w:spacing w:val="-2"/>
                <w:sz w:val="18"/>
              </w:rPr>
              <w:t>(APIC)</w:t>
            </w:r>
          </w:p>
          <w:p>
            <w:pPr>
              <w:pStyle w:val="TableParagraph"/>
              <w:numPr>
                <w:ilvl w:val="1"/>
                <w:numId w:val="37"/>
              </w:numPr>
              <w:tabs>
                <w:tab w:pos="537" w:val="left" w:leader="none"/>
              </w:tabs>
              <w:spacing w:line="240" w:lineRule="auto" w:before="61" w:after="0"/>
              <w:ind w:left="498" w:right="113" w:hanging="284"/>
              <w:jc w:val="left"/>
              <w:rPr>
                <w:sz w:val="18"/>
              </w:rPr>
            </w:pPr>
            <w:r>
              <w:rPr>
                <w:sz w:val="18"/>
              </w:rPr>
              <w:t>Court-wide cooperation agreements on enforcement</w:t>
            </w:r>
            <w:r>
              <w:rPr>
                <w:spacing w:val="-10"/>
                <w:sz w:val="18"/>
              </w:rPr>
              <w:t> </w:t>
            </w:r>
            <w:r>
              <w:rPr>
                <w:sz w:val="18"/>
              </w:rPr>
              <w:t>of</w:t>
            </w:r>
            <w:r>
              <w:rPr>
                <w:spacing w:val="-11"/>
                <w:sz w:val="18"/>
              </w:rPr>
              <w:t> </w:t>
            </w:r>
            <w:r>
              <w:rPr>
                <w:sz w:val="18"/>
              </w:rPr>
              <w:t>sentences,</w:t>
            </w:r>
            <w:r>
              <w:rPr>
                <w:spacing w:val="-4"/>
                <w:sz w:val="18"/>
              </w:rPr>
              <w:t> </w:t>
            </w:r>
            <w:r>
              <w:rPr>
                <w:sz w:val="18"/>
              </w:rPr>
              <w:t>witness</w:t>
            </w:r>
            <w:r>
              <w:rPr>
                <w:spacing w:val="-11"/>
                <w:sz w:val="18"/>
              </w:rPr>
              <w:t> </w:t>
            </w:r>
            <w:r>
              <w:rPr>
                <w:sz w:val="18"/>
              </w:rPr>
              <w:t>relocation, and (interim) release</w:t>
            </w:r>
          </w:p>
          <w:p>
            <w:pPr>
              <w:pStyle w:val="TableParagraph"/>
              <w:spacing w:before="4"/>
              <w:jc w:val="left"/>
              <w:rPr>
                <w:b/>
                <w:sz w:val="28"/>
              </w:rPr>
            </w:pPr>
          </w:p>
          <w:p>
            <w:pPr>
              <w:pStyle w:val="TableParagraph"/>
              <w:numPr>
                <w:ilvl w:val="0"/>
                <w:numId w:val="37"/>
              </w:numPr>
              <w:tabs>
                <w:tab w:pos="235" w:val="left" w:leader="none"/>
              </w:tabs>
              <w:spacing w:line="240" w:lineRule="auto" w:before="0" w:after="0"/>
              <w:ind w:left="234" w:right="0" w:hanging="116"/>
              <w:jc w:val="left"/>
              <w:rPr>
                <w:sz w:val="18"/>
              </w:rPr>
            </w:pPr>
            <w:r>
              <w:rPr>
                <w:sz w:val="18"/>
              </w:rPr>
              <w:t>Requests</w:t>
            </w:r>
            <w:r>
              <w:rPr>
                <w:spacing w:val="-9"/>
                <w:sz w:val="18"/>
              </w:rPr>
              <w:t> </w:t>
            </w:r>
            <w:r>
              <w:rPr>
                <w:sz w:val="18"/>
              </w:rPr>
              <w:t>for</w:t>
            </w:r>
            <w:r>
              <w:rPr>
                <w:spacing w:val="-5"/>
                <w:sz w:val="18"/>
              </w:rPr>
              <w:t> </w:t>
            </w:r>
            <w:r>
              <w:rPr>
                <w:sz w:val="18"/>
              </w:rPr>
              <w:t>Cooperation</w:t>
            </w:r>
            <w:r>
              <w:rPr>
                <w:spacing w:val="-5"/>
                <w:sz w:val="18"/>
              </w:rPr>
              <w:t> </w:t>
            </w:r>
            <w:r>
              <w:rPr>
                <w:spacing w:val="-4"/>
                <w:sz w:val="18"/>
              </w:rPr>
              <w:t>(RFC)</w:t>
            </w:r>
          </w:p>
          <w:p>
            <w:pPr>
              <w:pStyle w:val="TableParagraph"/>
              <w:numPr>
                <w:ilvl w:val="1"/>
                <w:numId w:val="37"/>
              </w:numPr>
              <w:tabs>
                <w:tab w:pos="504" w:val="left" w:leader="none"/>
              </w:tabs>
              <w:spacing w:line="207" w:lineRule="exact" w:before="61" w:after="0"/>
              <w:ind w:left="503" w:right="0" w:hanging="222"/>
              <w:jc w:val="left"/>
              <w:rPr>
                <w:sz w:val="18"/>
              </w:rPr>
            </w:pPr>
            <w:r>
              <w:rPr>
                <w:sz w:val="18"/>
              </w:rPr>
              <w:t>percentage</w:t>
            </w:r>
            <w:r>
              <w:rPr>
                <w:spacing w:val="-7"/>
                <w:sz w:val="18"/>
              </w:rPr>
              <w:t> </w:t>
            </w:r>
            <w:r>
              <w:rPr>
                <w:sz w:val="18"/>
              </w:rPr>
              <w:t>of</w:t>
            </w:r>
            <w:r>
              <w:rPr>
                <w:spacing w:val="-7"/>
                <w:sz w:val="18"/>
              </w:rPr>
              <w:t> </w:t>
            </w:r>
            <w:r>
              <w:rPr>
                <w:sz w:val="18"/>
              </w:rPr>
              <w:t>positive</w:t>
            </w:r>
            <w:r>
              <w:rPr>
                <w:spacing w:val="-7"/>
                <w:sz w:val="18"/>
              </w:rPr>
              <w:t> </w:t>
            </w:r>
            <w:r>
              <w:rPr>
                <w:sz w:val="18"/>
              </w:rPr>
              <w:t>replies</w:t>
            </w:r>
            <w:r>
              <w:rPr>
                <w:spacing w:val="-6"/>
                <w:sz w:val="18"/>
              </w:rPr>
              <w:t> </w:t>
            </w:r>
            <w:r>
              <w:rPr>
                <w:spacing w:val="-2"/>
                <w:sz w:val="18"/>
              </w:rPr>
              <w:t>received</w:t>
            </w:r>
          </w:p>
          <w:p>
            <w:pPr>
              <w:pStyle w:val="TableParagraph"/>
              <w:numPr>
                <w:ilvl w:val="1"/>
                <w:numId w:val="37"/>
              </w:numPr>
              <w:tabs>
                <w:tab w:pos="552" w:val="left" w:leader="none"/>
              </w:tabs>
              <w:spacing w:line="207" w:lineRule="exact" w:before="0" w:after="0"/>
              <w:ind w:left="551" w:right="0" w:hanging="270"/>
              <w:jc w:val="left"/>
              <w:rPr>
                <w:sz w:val="18"/>
              </w:rPr>
            </w:pPr>
            <w:r>
              <w:rPr>
                <w:sz w:val="18"/>
              </w:rPr>
              <w:t>average</w:t>
            </w:r>
            <w:r>
              <w:rPr>
                <w:spacing w:val="-5"/>
                <w:sz w:val="18"/>
              </w:rPr>
              <w:t> </w:t>
            </w:r>
            <w:r>
              <w:rPr>
                <w:sz w:val="18"/>
              </w:rPr>
              <w:t>time</w:t>
            </w:r>
            <w:r>
              <w:rPr>
                <w:spacing w:val="-4"/>
                <w:sz w:val="18"/>
              </w:rPr>
              <w:t> </w:t>
            </w:r>
            <w:r>
              <w:rPr>
                <w:sz w:val="18"/>
              </w:rPr>
              <w:t>taken</w:t>
            </w:r>
            <w:r>
              <w:rPr>
                <w:spacing w:val="-4"/>
                <w:sz w:val="18"/>
              </w:rPr>
              <w:t> </w:t>
            </w:r>
            <w:r>
              <w:rPr>
                <w:sz w:val="18"/>
              </w:rPr>
              <w:t>to</w:t>
            </w:r>
            <w:r>
              <w:rPr>
                <w:spacing w:val="-5"/>
                <w:sz w:val="18"/>
              </w:rPr>
              <w:t> </w:t>
            </w:r>
            <w:r>
              <w:rPr>
                <w:sz w:val="18"/>
              </w:rPr>
              <w:t>receive</w:t>
            </w:r>
            <w:r>
              <w:rPr>
                <w:spacing w:val="-4"/>
                <w:sz w:val="18"/>
              </w:rPr>
              <w:t> </w:t>
            </w:r>
            <w:r>
              <w:rPr>
                <w:sz w:val="18"/>
              </w:rPr>
              <w:t>a</w:t>
            </w:r>
            <w:r>
              <w:rPr>
                <w:spacing w:val="-4"/>
                <w:sz w:val="18"/>
              </w:rPr>
              <w:t> reply</w:t>
            </w:r>
          </w:p>
          <w:p>
            <w:pPr>
              <w:pStyle w:val="TableParagraph"/>
              <w:spacing w:before="11"/>
              <w:jc w:val="left"/>
              <w:rPr>
                <w:b/>
                <w:sz w:val="17"/>
              </w:rPr>
            </w:pPr>
          </w:p>
          <w:p>
            <w:pPr>
              <w:pStyle w:val="TableParagraph"/>
              <w:numPr>
                <w:ilvl w:val="0"/>
                <w:numId w:val="37"/>
              </w:numPr>
              <w:tabs>
                <w:tab w:pos="235" w:val="left" w:leader="none"/>
              </w:tabs>
              <w:spacing w:line="240" w:lineRule="auto" w:before="0" w:after="0"/>
              <w:ind w:left="234" w:right="0" w:hanging="116"/>
              <w:jc w:val="left"/>
              <w:rPr>
                <w:sz w:val="18"/>
              </w:rPr>
            </w:pPr>
            <w:r>
              <w:rPr>
                <w:sz w:val="18"/>
              </w:rPr>
              <w:t>Requests</w:t>
            </w:r>
            <w:r>
              <w:rPr>
                <w:spacing w:val="-9"/>
                <w:sz w:val="18"/>
              </w:rPr>
              <w:t> </w:t>
            </w:r>
            <w:r>
              <w:rPr>
                <w:sz w:val="18"/>
              </w:rPr>
              <w:t>for</w:t>
            </w:r>
            <w:r>
              <w:rPr>
                <w:spacing w:val="-5"/>
                <w:sz w:val="18"/>
              </w:rPr>
              <w:t> </w:t>
            </w:r>
            <w:r>
              <w:rPr>
                <w:sz w:val="18"/>
              </w:rPr>
              <w:t>Assistance</w:t>
            </w:r>
            <w:r>
              <w:rPr>
                <w:spacing w:val="-5"/>
                <w:sz w:val="18"/>
              </w:rPr>
              <w:t> </w:t>
            </w:r>
            <w:r>
              <w:rPr>
                <w:spacing w:val="-4"/>
                <w:sz w:val="18"/>
              </w:rPr>
              <w:t>(RFA)</w:t>
            </w:r>
          </w:p>
          <w:p>
            <w:pPr>
              <w:pStyle w:val="TableParagraph"/>
              <w:numPr>
                <w:ilvl w:val="1"/>
                <w:numId w:val="37"/>
              </w:numPr>
              <w:tabs>
                <w:tab w:pos="504" w:val="left" w:leader="none"/>
              </w:tabs>
              <w:spacing w:line="207" w:lineRule="exact" w:before="60" w:after="0"/>
              <w:ind w:left="503" w:right="0" w:hanging="222"/>
              <w:jc w:val="left"/>
              <w:rPr>
                <w:sz w:val="18"/>
              </w:rPr>
            </w:pPr>
            <w:r>
              <w:rPr>
                <w:sz w:val="18"/>
              </w:rPr>
              <w:t>number</w:t>
            </w:r>
            <w:r>
              <w:rPr>
                <w:spacing w:val="-3"/>
                <w:sz w:val="18"/>
              </w:rPr>
              <w:t> </w:t>
            </w:r>
            <w:r>
              <w:rPr>
                <w:sz w:val="18"/>
              </w:rPr>
              <w:t>of</w:t>
            </w:r>
            <w:r>
              <w:rPr>
                <w:spacing w:val="-2"/>
                <w:sz w:val="18"/>
              </w:rPr>
              <w:t> </w:t>
            </w:r>
            <w:r>
              <w:rPr>
                <w:sz w:val="18"/>
              </w:rPr>
              <w:t>RFAs</w:t>
            </w:r>
            <w:r>
              <w:rPr>
                <w:spacing w:val="-4"/>
                <w:sz w:val="18"/>
              </w:rPr>
              <w:t> </w:t>
            </w:r>
            <w:r>
              <w:rPr>
                <w:sz w:val="18"/>
              </w:rPr>
              <w:t>sent</w:t>
            </w:r>
            <w:r>
              <w:rPr>
                <w:spacing w:val="-1"/>
                <w:sz w:val="18"/>
              </w:rPr>
              <w:t> </w:t>
            </w:r>
            <w:r>
              <w:rPr>
                <w:sz w:val="18"/>
              </w:rPr>
              <w:t>by</w:t>
            </w:r>
            <w:r>
              <w:rPr>
                <w:spacing w:val="-4"/>
                <w:sz w:val="18"/>
              </w:rPr>
              <w:t> </w:t>
            </w:r>
            <w:r>
              <w:rPr>
                <w:sz w:val="18"/>
              </w:rPr>
              <w:t>the</w:t>
            </w:r>
            <w:r>
              <w:rPr>
                <w:spacing w:val="-3"/>
                <w:sz w:val="18"/>
              </w:rPr>
              <w:t> </w:t>
            </w:r>
            <w:r>
              <w:rPr>
                <w:spacing w:val="-5"/>
                <w:sz w:val="18"/>
              </w:rPr>
              <w:t>OTP</w:t>
            </w:r>
          </w:p>
          <w:p>
            <w:pPr>
              <w:pStyle w:val="TableParagraph"/>
              <w:numPr>
                <w:ilvl w:val="1"/>
                <w:numId w:val="37"/>
              </w:numPr>
              <w:tabs>
                <w:tab w:pos="552" w:val="left" w:leader="none"/>
              </w:tabs>
              <w:spacing w:line="240" w:lineRule="auto" w:before="0" w:after="0"/>
              <w:ind w:left="282" w:right="1177" w:firstLine="0"/>
              <w:jc w:val="left"/>
              <w:rPr>
                <w:sz w:val="18"/>
              </w:rPr>
            </w:pPr>
            <w:r>
              <w:rPr>
                <w:sz w:val="18"/>
              </w:rPr>
              <w:t>percentage</w:t>
            </w:r>
            <w:r>
              <w:rPr>
                <w:spacing w:val="-12"/>
                <w:sz w:val="18"/>
              </w:rPr>
              <w:t> </w:t>
            </w:r>
            <w:r>
              <w:rPr>
                <w:sz w:val="18"/>
              </w:rPr>
              <w:t>of</w:t>
            </w:r>
            <w:r>
              <w:rPr>
                <w:spacing w:val="-11"/>
                <w:sz w:val="18"/>
              </w:rPr>
              <w:t> </w:t>
            </w:r>
            <w:r>
              <w:rPr>
                <w:sz w:val="18"/>
              </w:rPr>
              <w:t>replies</w:t>
            </w:r>
            <w:r>
              <w:rPr>
                <w:spacing w:val="-11"/>
                <w:sz w:val="18"/>
              </w:rPr>
              <w:t> </w:t>
            </w:r>
            <w:r>
              <w:rPr>
                <w:sz w:val="18"/>
              </w:rPr>
              <w:t>received </w:t>
            </w:r>
            <w:r>
              <w:rPr>
                <w:spacing w:val="-2"/>
                <w:sz w:val="18"/>
              </w:rPr>
              <w:t>(positive/negative)</w:t>
            </w:r>
          </w:p>
          <w:p>
            <w:pPr>
              <w:pStyle w:val="TableParagraph"/>
              <w:numPr>
                <w:ilvl w:val="1"/>
                <w:numId w:val="37"/>
              </w:numPr>
              <w:tabs>
                <w:tab w:pos="599" w:val="left" w:leader="none"/>
              </w:tabs>
              <w:spacing w:line="206" w:lineRule="exact" w:before="0" w:after="0"/>
              <w:ind w:left="598" w:right="0" w:hanging="317"/>
              <w:jc w:val="left"/>
              <w:rPr>
                <w:sz w:val="18"/>
              </w:rPr>
            </w:pPr>
            <w:r>
              <w:rPr>
                <w:sz w:val="18"/>
              </w:rPr>
              <w:t>average</w:t>
            </w:r>
            <w:r>
              <w:rPr>
                <w:spacing w:val="-4"/>
                <w:sz w:val="18"/>
              </w:rPr>
              <w:t> </w:t>
            </w:r>
            <w:r>
              <w:rPr>
                <w:sz w:val="18"/>
              </w:rPr>
              <w:t>time</w:t>
            </w:r>
            <w:r>
              <w:rPr>
                <w:spacing w:val="-4"/>
                <w:sz w:val="18"/>
              </w:rPr>
              <w:t> </w:t>
            </w:r>
            <w:r>
              <w:rPr>
                <w:sz w:val="18"/>
              </w:rPr>
              <w:t>taken</w:t>
            </w:r>
            <w:r>
              <w:rPr>
                <w:spacing w:val="-4"/>
                <w:sz w:val="18"/>
              </w:rPr>
              <w:t> </w:t>
            </w:r>
            <w:r>
              <w:rPr>
                <w:sz w:val="18"/>
              </w:rPr>
              <w:t>for</w:t>
            </w:r>
            <w:r>
              <w:rPr>
                <w:spacing w:val="-3"/>
                <w:sz w:val="18"/>
              </w:rPr>
              <w:t> </w:t>
            </w:r>
            <w:r>
              <w:rPr>
                <w:spacing w:val="-2"/>
                <w:sz w:val="18"/>
              </w:rPr>
              <w:t>execution</w:t>
            </w:r>
          </w:p>
          <w:p>
            <w:pPr>
              <w:pStyle w:val="TableParagraph"/>
              <w:jc w:val="left"/>
              <w:rPr>
                <w:b/>
                <w:sz w:val="18"/>
              </w:rPr>
            </w:pPr>
          </w:p>
          <w:p>
            <w:pPr>
              <w:pStyle w:val="TableParagraph"/>
              <w:numPr>
                <w:ilvl w:val="0"/>
                <w:numId w:val="37"/>
              </w:numPr>
              <w:tabs>
                <w:tab w:pos="235" w:val="left" w:leader="none"/>
              </w:tabs>
              <w:spacing w:line="240" w:lineRule="auto" w:before="0" w:after="0"/>
              <w:ind w:left="234" w:right="0" w:hanging="116"/>
              <w:jc w:val="left"/>
              <w:rPr>
                <w:sz w:val="18"/>
              </w:rPr>
            </w:pPr>
            <w:r>
              <w:rPr>
                <w:sz w:val="18"/>
              </w:rPr>
              <w:t>Requests</w:t>
            </w:r>
            <w:r>
              <w:rPr>
                <w:spacing w:val="-10"/>
                <w:sz w:val="18"/>
              </w:rPr>
              <w:t> </w:t>
            </w:r>
            <w:r>
              <w:rPr>
                <w:sz w:val="18"/>
              </w:rPr>
              <w:t>for</w:t>
            </w:r>
            <w:r>
              <w:rPr>
                <w:spacing w:val="-4"/>
                <w:sz w:val="18"/>
              </w:rPr>
              <w:t> </w:t>
            </w:r>
            <w:r>
              <w:rPr>
                <w:sz w:val="18"/>
              </w:rPr>
              <w:t>Information</w:t>
            </w:r>
            <w:r>
              <w:rPr>
                <w:spacing w:val="-5"/>
                <w:sz w:val="18"/>
              </w:rPr>
              <w:t> </w:t>
            </w:r>
            <w:r>
              <w:rPr>
                <w:spacing w:val="-4"/>
                <w:sz w:val="18"/>
              </w:rPr>
              <w:t>(RFI)</w:t>
            </w:r>
          </w:p>
          <w:p>
            <w:pPr>
              <w:pStyle w:val="TableParagraph"/>
              <w:numPr>
                <w:ilvl w:val="1"/>
                <w:numId w:val="37"/>
              </w:numPr>
              <w:tabs>
                <w:tab w:pos="504" w:val="left" w:leader="none"/>
              </w:tabs>
              <w:spacing w:line="240" w:lineRule="auto" w:before="60" w:after="0"/>
              <w:ind w:left="494" w:right="179" w:hanging="212"/>
              <w:jc w:val="left"/>
              <w:rPr>
                <w:sz w:val="18"/>
              </w:rPr>
            </w:pPr>
            <w:r>
              <w:rPr>
                <w:sz w:val="18"/>
              </w:rPr>
              <w:t>number</w:t>
            </w:r>
            <w:r>
              <w:rPr>
                <w:spacing w:val="-7"/>
                <w:sz w:val="18"/>
              </w:rPr>
              <w:t> </w:t>
            </w:r>
            <w:r>
              <w:rPr>
                <w:sz w:val="18"/>
              </w:rPr>
              <w:t>of</w:t>
            </w:r>
            <w:r>
              <w:rPr>
                <w:spacing w:val="-7"/>
                <w:sz w:val="18"/>
              </w:rPr>
              <w:t> </w:t>
            </w:r>
            <w:r>
              <w:rPr>
                <w:sz w:val="18"/>
              </w:rPr>
              <w:t>RFIs</w:t>
            </w:r>
            <w:r>
              <w:rPr>
                <w:spacing w:val="-7"/>
                <w:sz w:val="18"/>
              </w:rPr>
              <w:t> </w:t>
            </w:r>
            <w:r>
              <w:rPr>
                <w:sz w:val="18"/>
              </w:rPr>
              <w:t>sent</w:t>
            </w:r>
            <w:r>
              <w:rPr>
                <w:spacing w:val="-6"/>
                <w:sz w:val="18"/>
              </w:rPr>
              <w:t> </w:t>
            </w:r>
            <w:r>
              <w:rPr>
                <w:sz w:val="18"/>
              </w:rPr>
              <w:t>concerning</w:t>
            </w:r>
            <w:r>
              <w:rPr>
                <w:spacing w:val="-8"/>
                <w:sz w:val="18"/>
              </w:rPr>
              <w:t> </w:t>
            </w:r>
            <w:r>
              <w:rPr>
                <w:sz w:val="18"/>
              </w:rPr>
              <w:t>preliminary </w:t>
            </w:r>
            <w:r>
              <w:rPr>
                <w:spacing w:val="-2"/>
                <w:sz w:val="18"/>
              </w:rPr>
              <w:t>examinations</w:t>
            </w:r>
          </w:p>
        </w:tc>
        <w:tc>
          <w:tcPr>
            <w:tcW w:w="1233" w:type="dxa"/>
            <w:tcBorders>
              <w:top w:val="single" w:sz="4" w:space="0" w:color="000000"/>
              <w:bottom w:val="single" w:sz="4" w:space="0" w:color="000000"/>
            </w:tcBorders>
          </w:tcPr>
          <w:p>
            <w:pPr>
              <w:pStyle w:val="TableParagraph"/>
              <w:jc w:val="left"/>
              <w:rPr>
                <w:b/>
                <w:sz w:val="20"/>
              </w:rPr>
            </w:pPr>
          </w:p>
          <w:p>
            <w:pPr>
              <w:pStyle w:val="TableParagraph"/>
              <w:numPr>
                <w:ilvl w:val="0"/>
                <w:numId w:val="38"/>
              </w:numPr>
              <w:tabs>
                <w:tab w:pos="335" w:val="left" w:leader="none"/>
              </w:tabs>
              <w:spacing w:line="240" w:lineRule="auto" w:before="125" w:after="0"/>
              <w:ind w:left="334" w:right="0" w:hanging="221"/>
              <w:jc w:val="left"/>
              <w:rPr>
                <w:sz w:val="18"/>
              </w:rPr>
            </w:pPr>
            <w:r>
              <w:rPr>
                <w:spacing w:val="-5"/>
                <w:sz w:val="18"/>
              </w:rPr>
              <w:t>11</w:t>
            </w:r>
          </w:p>
          <w:p>
            <w:pPr>
              <w:pStyle w:val="TableParagraph"/>
              <w:numPr>
                <w:ilvl w:val="0"/>
                <w:numId w:val="38"/>
              </w:numPr>
              <w:tabs>
                <w:tab w:pos="383" w:val="left" w:leader="none"/>
              </w:tabs>
              <w:spacing w:line="240" w:lineRule="auto" w:before="119" w:after="0"/>
              <w:ind w:left="382" w:right="0" w:hanging="269"/>
              <w:jc w:val="left"/>
              <w:rPr>
                <w:sz w:val="18"/>
              </w:rPr>
            </w:pPr>
            <w:r>
              <w:rPr>
                <w:w w:val="101"/>
                <w:sz w:val="18"/>
              </w:rPr>
              <w:t>0</w:t>
            </w:r>
            <w:r>
              <w:rPr>
                <w:sz w:val="18"/>
              </w:rPr>
            </w:r>
          </w:p>
          <w:p>
            <w:pPr>
              <w:pStyle w:val="TableParagraph"/>
              <w:spacing w:before="9"/>
              <w:jc w:val="left"/>
              <w:rPr>
                <w:b/>
                <w:sz w:val="23"/>
              </w:rPr>
            </w:pPr>
          </w:p>
          <w:p>
            <w:pPr>
              <w:pStyle w:val="TableParagraph"/>
              <w:numPr>
                <w:ilvl w:val="0"/>
                <w:numId w:val="38"/>
              </w:numPr>
              <w:tabs>
                <w:tab w:pos="431" w:val="left" w:leader="none"/>
              </w:tabs>
              <w:spacing w:line="240" w:lineRule="auto" w:before="0" w:after="0"/>
              <w:ind w:left="430" w:right="0" w:hanging="317"/>
              <w:jc w:val="left"/>
              <w:rPr>
                <w:sz w:val="18"/>
              </w:rPr>
            </w:pPr>
            <w:r>
              <w:rPr>
                <w:w w:val="101"/>
                <w:sz w:val="18"/>
              </w:rPr>
              <w:t>5</w:t>
            </w:r>
            <w:r>
              <w:rPr>
                <w:sz w:val="18"/>
              </w:rPr>
            </w: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numPr>
                <w:ilvl w:val="0"/>
                <w:numId w:val="39"/>
              </w:numPr>
              <w:tabs>
                <w:tab w:pos="335" w:val="left" w:leader="none"/>
              </w:tabs>
              <w:spacing w:line="240" w:lineRule="auto" w:before="127" w:after="0"/>
              <w:ind w:left="334" w:right="0" w:hanging="221"/>
              <w:jc w:val="left"/>
              <w:rPr>
                <w:sz w:val="18"/>
              </w:rPr>
            </w:pPr>
            <w:r>
              <w:rPr>
                <w:spacing w:val="-5"/>
                <w:sz w:val="18"/>
              </w:rPr>
              <w:t>N/A</w:t>
            </w:r>
          </w:p>
          <w:p>
            <w:pPr>
              <w:pStyle w:val="TableParagraph"/>
              <w:numPr>
                <w:ilvl w:val="0"/>
                <w:numId w:val="39"/>
              </w:numPr>
              <w:tabs>
                <w:tab w:pos="383" w:val="left" w:leader="none"/>
              </w:tabs>
              <w:spacing w:line="240" w:lineRule="auto" w:before="61" w:after="0"/>
              <w:ind w:left="382" w:right="0" w:hanging="269"/>
              <w:jc w:val="left"/>
              <w:rPr>
                <w:sz w:val="18"/>
              </w:rPr>
            </w:pPr>
            <w:r>
              <w:rPr>
                <w:spacing w:val="-5"/>
                <w:sz w:val="18"/>
              </w:rPr>
              <w:t>N/A</w:t>
            </w:r>
          </w:p>
          <w:p>
            <w:pPr>
              <w:pStyle w:val="TableParagraph"/>
              <w:jc w:val="left"/>
              <w:rPr>
                <w:b/>
                <w:sz w:val="20"/>
              </w:rPr>
            </w:pPr>
          </w:p>
          <w:p>
            <w:pPr>
              <w:pStyle w:val="TableParagraph"/>
              <w:spacing w:before="7"/>
              <w:jc w:val="left"/>
              <w:rPr>
                <w:b/>
                <w:sz w:val="19"/>
              </w:rPr>
            </w:pPr>
          </w:p>
          <w:p>
            <w:pPr>
              <w:pStyle w:val="TableParagraph"/>
              <w:numPr>
                <w:ilvl w:val="0"/>
                <w:numId w:val="40"/>
              </w:numPr>
              <w:tabs>
                <w:tab w:pos="335" w:val="left" w:leader="none"/>
              </w:tabs>
              <w:spacing w:line="240" w:lineRule="auto" w:before="0" w:after="0"/>
              <w:ind w:left="334" w:right="0" w:hanging="221"/>
              <w:jc w:val="left"/>
              <w:rPr>
                <w:sz w:val="18"/>
              </w:rPr>
            </w:pPr>
            <w:r>
              <w:rPr>
                <w:spacing w:val="-5"/>
                <w:sz w:val="18"/>
              </w:rPr>
              <w:t>340</w:t>
            </w:r>
          </w:p>
          <w:p>
            <w:pPr>
              <w:pStyle w:val="TableParagraph"/>
              <w:numPr>
                <w:ilvl w:val="0"/>
                <w:numId w:val="40"/>
              </w:numPr>
              <w:tabs>
                <w:tab w:pos="383" w:val="left" w:leader="none"/>
              </w:tabs>
              <w:spacing w:line="240" w:lineRule="auto" w:before="62" w:after="0"/>
              <w:ind w:left="382" w:right="0" w:hanging="269"/>
              <w:jc w:val="left"/>
              <w:rPr>
                <w:sz w:val="18"/>
              </w:rPr>
            </w:pPr>
            <w:r>
              <w:rPr>
                <w:spacing w:val="-2"/>
                <w:sz w:val="18"/>
              </w:rPr>
              <w:t>53.8%</w:t>
            </w:r>
          </w:p>
          <w:p>
            <w:pPr>
              <w:pStyle w:val="TableParagraph"/>
              <w:numPr>
                <w:ilvl w:val="0"/>
                <w:numId w:val="40"/>
              </w:numPr>
              <w:tabs>
                <w:tab w:pos="431" w:val="left" w:leader="none"/>
              </w:tabs>
              <w:spacing w:line="240" w:lineRule="auto" w:before="168" w:after="0"/>
              <w:ind w:left="430" w:right="0" w:hanging="317"/>
              <w:jc w:val="left"/>
              <w:rPr>
                <w:sz w:val="18"/>
              </w:rPr>
            </w:pPr>
            <w:r>
              <w:rPr>
                <w:sz w:val="18"/>
              </w:rPr>
              <w:t>58</w:t>
            </w:r>
            <w:r>
              <w:rPr>
                <w:spacing w:val="-1"/>
                <w:sz w:val="18"/>
              </w:rPr>
              <w:t> </w:t>
            </w:r>
            <w:r>
              <w:rPr>
                <w:spacing w:val="-4"/>
                <w:sz w:val="18"/>
              </w:rPr>
              <w:t>days</w:t>
            </w:r>
          </w:p>
          <w:p>
            <w:pPr>
              <w:pStyle w:val="TableParagraph"/>
              <w:jc w:val="left"/>
              <w:rPr>
                <w:b/>
                <w:sz w:val="20"/>
              </w:rPr>
            </w:pPr>
          </w:p>
          <w:p>
            <w:pPr>
              <w:pStyle w:val="TableParagraph"/>
              <w:spacing w:before="8"/>
              <w:jc w:val="left"/>
              <w:rPr>
                <w:b/>
                <w:sz w:val="26"/>
              </w:rPr>
            </w:pPr>
          </w:p>
          <w:p>
            <w:pPr>
              <w:pStyle w:val="TableParagraph"/>
              <w:numPr>
                <w:ilvl w:val="0"/>
                <w:numId w:val="41"/>
              </w:numPr>
              <w:tabs>
                <w:tab w:pos="335" w:val="left" w:leader="none"/>
              </w:tabs>
              <w:spacing w:line="240" w:lineRule="auto" w:before="0" w:after="0"/>
              <w:ind w:left="334" w:right="0" w:hanging="221"/>
              <w:jc w:val="left"/>
              <w:rPr>
                <w:sz w:val="18"/>
              </w:rPr>
            </w:pPr>
            <w:r>
              <w:rPr>
                <w:spacing w:val="-5"/>
                <w:sz w:val="18"/>
              </w:rPr>
              <w:t>10</w:t>
            </w:r>
          </w:p>
        </w:tc>
        <w:tc>
          <w:tcPr>
            <w:tcW w:w="1542" w:type="dxa"/>
            <w:tcBorders>
              <w:top w:val="single" w:sz="4" w:space="0" w:color="000000"/>
              <w:bottom w:val="single" w:sz="4" w:space="0" w:color="000000"/>
            </w:tcBorders>
          </w:tcPr>
          <w:p>
            <w:pPr>
              <w:pStyle w:val="TableParagraph"/>
              <w:jc w:val="left"/>
              <w:rPr>
                <w:b/>
                <w:sz w:val="20"/>
              </w:rPr>
            </w:pPr>
          </w:p>
          <w:p>
            <w:pPr>
              <w:pStyle w:val="TableParagraph"/>
              <w:numPr>
                <w:ilvl w:val="0"/>
                <w:numId w:val="42"/>
              </w:numPr>
              <w:tabs>
                <w:tab w:pos="408" w:val="left" w:leader="none"/>
              </w:tabs>
              <w:spacing w:line="240" w:lineRule="auto" w:before="125" w:after="0"/>
              <w:ind w:left="407" w:right="0" w:hanging="216"/>
              <w:jc w:val="left"/>
              <w:rPr>
                <w:sz w:val="18"/>
              </w:rPr>
            </w:pPr>
            <w:r>
              <w:rPr>
                <w:spacing w:val="-2"/>
                <w:sz w:val="18"/>
              </w:rPr>
              <w:t>(TBD)</w:t>
            </w:r>
          </w:p>
          <w:p>
            <w:pPr>
              <w:pStyle w:val="TableParagraph"/>
              <w:numPr>
                <w:ilvl w:val="0"/>
                <w:numId w:val="42"/>
              </w:numPr>
              <w:tabs>
                <w:tab w:pos="461" w:val="left" w:leader="none"/>
              </w:tabs>
              <w:spacing w:line="240" w:lineRule="auto" w:before="119" w:after="0"/>
              <w:ind w:left="460" w:right="0" w:hanging="269"/>
              <w:jc w:val="left"/>
              <w:rPr>
                <w:sz w:val="18"/>
              </w:rPr>
            </w:pPr>
            <w:r>
              <w:rPr>
                <w:w w:val="101"/>
                <w:sz w:val="18"/>
              </w:rPr>
              <w:t>0</w:t>
            </w:r>
            <w:r>
              <w:rPr>
                <w:sz w:val="18"/>
              </w:rPr>
            </w:r>
          </w:p>
          <w:p>
            <w:pPr>
              <w:pStyle w:val="TableParagraph"/>
              <w:spacing w:before="9"/>
              <w:jc w:val="left"/>
              <w:rPr>
                <w:b/>
                <w:sz w:val="23"/>
              </w:rPr>
            </w:pPr>
          </w:p>
          <w:p>
            <w:pPr>
              <w:pStyle w:val="TableParagraph"/>
              <w:numPr>
                <w:ilvl w:val="0"/>
                <w:numId w:val="42"/>
              </w:numPr>
              <w:tabs>
                <w:tab w:pos="509" w:val="left" w:leader="none"/>
              </w:tabs>
              <w:spacing w:line="240" w:lineRule="auto" w:before="0" w:after="0"/>
              <w:ind w:left="508" w:right="0" w:hanging="317"/>
              <w:jc w:val="left"/>
              <w:rPr>
                <w:sz w:val="18"/>
              </w:rPr>
            </w:pPr>
            <w:r>
              <w:rPr>
                <w:w w:val="101"/>
                <w:sz w:val="18"/>
              </w:rPr>
              <w:t>5</w:t>
            </w:r>
            <w:r>
              <w:rPr>
                <w:sz w:val="18"/>
              </w:rPr>
            </w: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numPr>
                <w:ilvl w:val="0"/>
                <w:numId w:val="43"/>
              </w:numPr>
              <w:tabs>
                <w:tab w:pos="408" w:val="left" w:leader="none"/>
              </w:tabs>
              <w:spacing w:line="240" w:lineRule="auto" w:before="127" w:after="0"/>
              <w:ind w:left="407" w:right="0" w:hanging="216"/>
              <w:jc w:val="left"/>
              <w:rPr>
                <w:sz w:val="18"/>
              </w:rPr>
            </w:pPr>
            <w:r>
              <w:rPr>
                <w:spacing w:val="-2"/>
                <w:sz w:val="18"/>
              </w:rPr>
              <w:t>(TBD)</w:t>
            </w:r>
          </w:p>
          <w:p>
            <w:pPr>
              <w:pStyle w:val="TableParagraph"/>
              <w:numPr>
                <w:ilvl w:val="0"/>
                <w:numId w:val="43"/>
              </w:numPr>
              <w:tabs>
                <w:tab w:pos="461" w:val="left" w:leader="none"/>
              </w:tabs>
              <w:spacing w:line="240" w:lineRule="auto" w:before="61" w:after="0"/>
              <w:ind w:left="460" w:right="0" w:hanging="269"/>
              <w:jc w:val="left"/>
              <w:rPr>
                <w:sz w:val="18"/>
              </w:rPr>
            </w:pPr>
            <w:r>
              <w:rPr>
                <w:spacing w:val="-2"/>
                <w:sz w:val="18"/>
              </w:rPr>
              <w:t>(TBD)</w:t>
            </w:r>
          </w:p>
          <w:p>
            <w:pPr>
              <w:pStyle w:val="TableParagraph"/>
              <w:jc w:val="left"/>
              <w:rPr>
                <w:b/>
                <w:sz w:val="20"/>
              </w:rPr>
            </w:pPr>
          </w:p>
          <w:p>
            <w:pPr>
              <w:pStyle w:val="TableParagraph"/>
              <w:spacing w:before="4"/>
              <w:jc w:val="left"/>
              <w:rPr>
                <w:b/>
                <w:sz w:val="18"/>
              </w:rPr>
            </w:pPr>
          </w:p>
          <w:p>
            <w:pPr>
              <w:pStyle w:val="TableParagraph"/>
              <w:numPr>
                <w:ilvl w:val="0"/>
                <w:numId w:val="44"/>
              </w:numPr>
              <w:tabs>
                <w:tab w:pos="408" w:val="left" w:leader="none"/>
              </w:tabs>
              <w:spacing w:line="240" w:lineRule="auto" w:before="0" w:after="0"/>
              <w:ind w:left="407" w:right="0" w:hanging="216"/>
              <w:jc w:val="left"/>
              <w:rPr>
                <w:sz w:val="18"/>
              </w:rPr>
            </w:pPr>
            <w:r>
              <w:rPr>
                <w:spacing w:val="-2"/>
                <w:sz w:val="18"/>
              </w:rPr>
              <w:t>(TBD)</w:t>
            </w:r>
          </w:p>
          <w:p>
            <w:pPr>
              <w:pStyle w:val="TableParagraph"/>
              <w:numPr>
                <w:ilvl w:val="0"/>
                <w:numId w:val="44"/>
              </w:numPr>
              <w:tabs>
                <w:tab w:pos="461" w:val="left" w:leader="none"/>
              </w:tabs>
              <w:spacing w:line="240" w:lineRule="auto" w:before="62" w:after="0"/>
              <w:ind w:left="460" w:right="0" w:hanging="269"/>
              <w:jc w:val="left"/>
              <w:rPr>
                <w:sz w:val="18"/>
              </w:rPr>
            </w:pPr>
            <w:r>
              <w:rPr>
                <w:spacing w:val="-2"/>
                <w:sz w:val="18"/>
              </w:rPr>
              <w:t>(TBD)</w:t>
            </w:r>
          </w:p>
          <w:p>
            <w:pPr>
              <w:pStyle w:val="TableParagraph"/>
              <w:spacing w:before="3"/>
              <w:jc w:val="left"/>
              <w:rPr>
                <w:b/>
                <w:sz w:val="16"/>
              </w:rPr>
            </w:pPr>
          </w:p>
          <w:p>
            <w:pPr>
              <w:pStyle w:val="TableParagraph"/>
              <w:numPr>
                <w:ilvl w:val="0"/>
                <w:numId w:val="44"/>
              </w:numPr>
              <w:tabs>
                <w:tab w:pos="509" w:val="left" w:leader="none"/>
              </w:tabs>
              <w:spacing w:line="240" w:lineRule="auto" w:before="0" w:after="0"/>
              <w:ind w:left="508" w:right="0" w:hanging="317"/>
              <w:jc w:val="left"/>
              <w:rPr>
                <w:sz w:val="18"/>
              </w:rPr>
            </w:pPr>
            <w:r>
              <w:rPr>
                <w:spacing w:val="-2"/>
                <w:sz w:val="18"/>
              </w:rPr>
              <w:t>(TBD)</w:t>
            </w:r>
          </w:p>
          <w:p>
            <w:pPr>
              <w:pStyle w:val="TableParagraph"/>
              <w:jc w:val="left"/>
              <w:rPr>
                <w:b/>
                <w:sz w:val="20"/>
              </w:rPr>
            </w:pPr>
          </w:p>
          <w:p>
            <w:pPr>
              <w:pStyle w:val="TableParagraph"/>
              <w:spacing w:before="1"/>
              <w:jc w:val="left"/>
              <w:rPr>
                <w:b/>
                <w:sz w:val="27"/>
              </w:rPr>
            </w:pPr>
          </w:p>
          <w:p>
            <w:pPr>
              <w:pStyle w:val="TableParagraph"/>
              <w:numPr>
                <w:ilvl w:val="0"/>
                <w:numId w:val="45"/>
              </w:numPr>
              <w:tabs>
                <w:tab w:pos="408" w:val="left" w:leader="none"/>
              </w:tabs>
              <w:spacing w:line="240" w:lineRule="auto" w:before="1" w:after="0"/>
              <w:ind w:left="407" w:right="0" w:hanging="216"/>
              <w:jc w:val="left"/>
              <w:rPr>
                <w:sz w:val="18"/>
              </w:rPr>
            </w:pPr>
            <w:r>
              <w:rPr>
                <w:spacing w:val="-2"/>
                <w:sz w:val="18"/>
              </w:rPr>
              <w:t>(TBD)</w:t>
            </w:r>
          </w:p>
        </w:tc>
      </w:tr>
    </w:tbl>
    <w:p>
      <w:pPr>
        <w:spacing w:after="0" w:line="240" w:lineRule="auto"/>
        <w:jc w:val="left"/>
        <w:rPr>
          <w:sz w:val="18"/>
        </w:rPr>
        <w:sectPr>
          <w:headerReference w:type="default" r:id="rId133"/>
          <w:headerReference w:type="even" r:id="rId134"/>
          <w:footerReference w:type="default" r:id="rId135"/>
          <w:footerReference w:type="even" r:id="rId136"/>
          <w:pgSz w:w="11910" w:h="16840"/>
          <w:pgMar w:header="953" w:footer="940" w:top="1140" w:bottom="2400" w:left="20" w:right="20"/>
          <w:pgNumType w:start="197"/>
        </w:sectPr>
      </w:pPr>
    </w:p>
    <w:tbl>
      <w:tblPr>
        <w:tblW w:w="0" w:type="auto"/>
        <w:jc w:val="left"/>
        <w:tblInd w:w="1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99"/>
        <w:gridCol w:w="3757"/>
        <w:gridCol w:w="1344"/>
        <w:gridCol w:w="1499"/>
      </w:tblGrid>
      <w:tr>
        <w:trPr>
          <w:trHeight w:val="119" w:hRule="atLeast"/>
        </w:trPr>
        <w:tc>
          <w:tcPr>
            <w:tcW w:w="3099" w:type="dxa"/>
            <w:tcBorders>
              <w:top w:val="single" w:sz="2" w:space="0" w:color="000000"/>
              <w:bottom w:val="single" w:sz="4" w:space="0" w:color="000000"/>
            </w:tcBorders>
          </w:tcPr>
          <w:p>
            <w:pPr>
              <w:pStyle w:val="TableParagraph"/>
              <w:jc w:val="left"/>
              <w:rPr>
                <w:sz w:val="6"/>
              </w:rPr>
            </w:pPr>
          </w:p>
        </w:tc>
        <w:tc>
          <w:tcPr>
            <w:tcW w:w="3757" w:type="dxa"/>
            <w:tcBorders>
              <w:top w:val="single" w:sz="2" w:space="0" w:color="000000"/>
              <w:bottom w:val="single" w:sz="4" w:space="0" w:color="000000"/>
            </w:tcBorders>
          </w:tcPr>
          <w:p>
            <w:pPr>
              <w:pStyle w:val="TableParagraph"/>
              <w:jc w:val="left"/>
              <w:rPr>
                <w:sz w:val="6"/>
              </w:rPr>
            </w:pPr>
          </w:p>
        </w:tc>
        <w:tc>
          <w:tcPr>
            <w:tcW w:w="1344" w:type="dxa"/>
            <w:tcBorders>
              <w:top w:val="single" w:sz="2" w:space="0" w:color="000000"/>
              <w:bottom w:val="single" w:sz="4" w:space="0" w:color="000000"/>
            </w:tcBorders>
          </w:tcPr>
          <w:p>
            <w:pPr>
              <w:pStyle w:val="TableParagraph"/>
              <w:jc w:val="left"/>
              <w:rPr>
                <w:sz w:val="6"/>
              </w:rPr>
            </w:pPr>
          </w:p>
        </w:tc>
        <w:tc>
          <w:tcPr>
            <w:tcW w:w="1499" w:type="dxa"/>
            <w:tcBorders>
              <w:top w:val="single" w:sz="2" w:space="0" w:color="000000"/>
              <w:bottom w:val="single" w:sz="4" w:space="0" w:color="000000"/>
            </w:tcBorders>
          </w:tcPr>
          <w:p>
            <w:pPr>
              <w:pStyle w:val="TableParagraph"/>
              <w:jc w:val="left"/>
              <w:rPr>
                <w:sz w:val="6"/>
              </w:rPr>
            </w:pPr>
          </w:p>
        </w:tc>
      </w:tr>
      <w:tr>
        <w:trPr>
          <w:trHeight w:val="594" w:hRule="atLeast"/>
        </w:trPr>
        <w:tc>
          <w:tcPr>
            <w:tcW w:w="3099" w:type="dxa"/>
            <w:tcBorders>
              <w:top w:val="single" w:sz="4" w:space="0" w:color="000000"/>
              <w:bottom w:val="single" w:sz="4" w:space="0" w:color="000000"/>
            </w:tcBorders>
          </w:tcPr>
          <w:p>
            <w:pPr>
              <w:pStyle w:val="TableParagraph"/>
              <w:spacing w:line="260" w:lineRule="atLeast" w:before="11"/>
              <w:ind w:left="874" w:right="882" w:firstLine="120"/>
              <w:jc w:val="left"/>
              <w:rPr>
                <w:b/>
                <w:i/>
                <w:sz w:val="18"/>
              </w:rPr>
            </w:pPr>
            <w:r>
              <w:rPr>
                <w:b/>
                <w:i/>
                <w:sz w:val="18"/>
              </w:rPr>
              <w:t>Strategic goals</w:t>
            </w:r>
            <w:r>
              <w:rPr>
                <w:b/>
                <w:i/>
                <w:sz w:val="18"/>
              </w:rPr>
              <w:t> (Expected</w:t>
            </w:r>
            <w:r>
              <w:rPr>
                <w:b/>
                <w:i/>
                <w:spacing w:val="-12"/>
                <w:sz w:val="18"/>
              </w:rPr>
              <w:t> </w:t>
            </w:r>
            <w:r>
              <w:rPr>
                <w:b/>
                <w:i/>
                <w:sz w:val="18"/>
              </w:rPr>
              <w:t>results)</w:t>
            </w:r>
          </w:p>
        </w:tc>
        <w:tc>
          <w:tcPr>
            <w:tcW w:w="3757" w:type="dxa"/>
            <w:tcBorders>
              <w:top w:val="single" w:sz="4" w:space="0" w:color="000000"/>
              <w:bottom w:val="single" w:sz="4" w:space="0" w:color="000000"/>
            </w:tcBorders>
          </w:tcPr>
          <w:p>
            <w:pPr>
              <w:pStyle w:val="TableParagraph"/>
              <w:spacing w:before="9"/>
              <w:jc w:val="left"/>
              <w:rPr>
                <w:b/>
                <w:sz w:val="16"/>
              </w:rPr>
            </w:pPr>
          </w:p>
          <w:p>
            <w:pPr>
              <w:pStyle w:val="TableParagraph"/>
              <w:ind w:left="675"/>
              <w:jc w:val="left"/>
              <w:rPr>
                <w:b/>
                <w:i/>
                <w:sz w:val="18"/>
              </w:rPr>
            </w:pPr>
            <w:r>
              <w:rPr>
                <w:b/>
                <w:i/>
                <w:sz w:val="18"/>
              </w:rPr>
              <w:t>Key</w:t>
            </w:r>
            <w:r>
              <w:rPr>
                <w:b/>
                <w:i/>
                <w:spacing w:val="-5"/>
                <w:sz w:val="18"/>
              </w:rPr>
              <w:t> </w:t>
            </w:r>
            <w:r>
              <w:rPr>
                <w:b/>
                <w:i/>
                <w:sz w:val="18"/>
              </w:rPr>
              <w:t>performance</w:t>
            </w:r>
            <w:r>
              <w:rPr>
                <w:b/>
                <w:i/>
                <w:spacing w:val="-8"/>
                <w:sz w:val="18"/>
              </w:rPr>
              <w:t> </w:t>
            </w:r>
            <w:r>
              <w:rPr>
                <w:b/>
                <w:i/>
                <w:sz w:val="18"/>
              </w:rPr>
              <w:t>indicators</w:t>
            </w:r>
            <w:r>
              <w:rPr>
                <w:b/>
                <w:i/>
                <w:spacing w:val="-5"/>
                <w:sz w:val="18"/>
              </w:rPr>
              <w:t> </w:t>
            </w:r>
            <w:r>
              <w:rPr>
                <w:b/>
                <w:i/>
                <w:spacing w:val="-2"/>
                <w:sz w:val="18"/>
              </w:rPr>
              <w:t>(KPIs)</w:t>
            </w:r>
          </w:p>
        </w:tc>
        <w:tc>
          <w:tcPr>
            <w:tcW w:w="1344" w:type="dxa"/>
            <w:tcBorders>
              <w:top w:val="single" w:sz="4" w:space="0" w:color="000000"/>
              <w:bottom w:val="single" w:sz="4" w:space="0" w:color="000000"/>
            </w:tcBorders>
          </w:tcPr>
          <w:p>
            <w:pPr>
              <w:pStyle w:val="TableParagraph"/>
              <w:spacing w:line="260" w:lineRule="atLeast" w:before="11"/>
              <w:ind w:left="586" w:hanging="77"/>
              <w:jc w:val="left"/>
              <w:rPr>
                <w:b/>
                <w:i/>
                <w:sz w:val="18"/>
              </w:rPr>
            </w:pPr>
            <w:r>
              <w:rPr>
                <w:b/>
                <w:i/>
                <w:spacing w:val="-2"/>
                <w:sz w:val="18"/>
              </w:rPr>
              <w:t>Baseline</w:t>
            </w:r>
            <w:r>
              <w:rPr>
                <w:b/>
                <w:i/>
                <w:spacing w:val="-2"/>
                <w:sz w:val="18"/>
              </w:rPr>
              <w:t> (2021)</w:t>
            </w:r>
          </w:p>
        </w:tc>
        <w:tc>
          <w:tcPr>
            <w:tcW w:w="1499" w:type="dxa"/>
            <w:tcBorders>
              <w:top w:val="single" w:sz="4" w:space="0" w:color="000000"/>
              <w:bottom w:val="single" w:sz="4" w:space="0" w:color="000000"/>
            </w:tcBorders>
          </w:tcPr>
          <w:p>
            <w:pPr>
              <w:pStyle w:val="TableParagraph"/>
              <w:spacing w:line="260" w:lineRule="atLeast" w:before="11"/>
              <w:ind w:left="539" w:hanging="53"/>
              <w:jc w:val="left"/>
              <w:rPr>
                <w:b/>
                <w:i/>
                <w:sz w:val="18"/>
              </w:rPr>
            </w:pPr>
            <w:r>
              <w:rPr>
                <w:b/>
                <w:i/>
                <w:spacing w:val="-2"/>
                <w:sz w:val="18"/>
              </w:rPr>
              <w:t>Target*</w:t>
            </w:r>
            <w:r>
              <w:rPr>
                <w:b/>
                <w:i/>
                <w:spacing w:val="-2"/>
                <w:sz w:val="18"/>
              </w:rPr>
              <w:t> (2023)</w:t>
            </w:r>
          </w:p>
        </w:tc>
      </w:tr>
      <w:tr>
        <w:trPr>
          <w:trHeight w:val="2400" w:hRule="atLeast"/>
        </w:trPr>
        <w:tc>
          <w:tcPr>
            <w:tcW w:w="3099" w:type="dxa"/>
            <w:tcBorders>
              <w:top w:val="single" w:sz="4" w:space="0" w:color="000000"/>
              <w:bottom w:val="single" w:sz="4" w:space="0" w:color="000000"/>
            </w:tcBorders>
          </w:tcPr>
          <w:p>
            <w:pPr>
              <w:pStyle w:val="TableParagraph"/>
              <w:spacing w:line="204" w:lineRule="exact"/>
              <w:ind w:left="28"/>
              <w:jc w:val="left"/>
              <w:rPr>
                <w:b/>
                <w:sz w:val="18"/>
              </w:rPr>
            </w:pPr>
            <w:r>
              <w:rPr>
                <w:b/>
                <w:sz w:val="18"/>
              </w:rPr>
              <w:t>ICC</w:t>
            </w:r>
            <w:r>
              <w:rPr>
                <w:b/>
                <w:spacing w:val="-2"/>
                <w:sz w:val="18"/>
              </w:rPr>
              <w:t> </w:t>
            </w:r>
            <w:r>
              <w:rPr>
                <w:b/>
                <w:sz w:val="18"/>
              </w:rPr>
              <w:t>Strategic</w:t>
            </w:r>
            <w:r>
              <w:rPr>
                <w:b/>
                <w:spacing w:val="-8"/>
                <w:sz w:val="18"/>
              </w:rPr>
              <w:t> </w:t>
            </w:r>
            <w:r>
              <w:rPr>
                <w:b/>
                <w:sz w:val="18"/>
              </w:rPr>
              <w:t>Goal</w:t>
            </w:r>
            <w:r>
              <w:rPr>
                <w:b/>
                <w:spacing w:val="-2"/>
                <w:sz w:val="18"/>
              </w:rPr>
              <w:t> </w:t>
            </w:r>
            <w:r>
              <w:rPr>
                <w:b/>
                <w:spacing w:val="-5"/>
                <w:sz w:val="18"/>
              </w:rPr>
              <w:t>5:</w:t>
            </w:r>
          </w:p>
          <w:p>
            <w:pPr>
              <w:pStyle w:val="TableParagraph"/>
              <w:spacing w:before="62"/>
              <w:ind w:left="28" w:right="82"/>
              <w:jc w:val="left"/>
              <w:rPr>
                <w:sz w:val="18"/>
              </w:rPr>
            </w:pPr>
            <w:r>
              <w:rPr>
                <w:sz w:val="18"/>
              </w:rPr>
              <w:t>Discuss</w:t>
            </w:r>
            <w:r>
              <w:rPr>
                <w:spacing w:val="-2"/>
                <w:sz w:val="18"/>
              </w:rPr>
              <w:t> </w:t>
            </w:r>
            <w:r>
              <w:rPr>
                <w:sz w:val="18"/>
              </w:rPr>
              <w:t>and</w:t>
            </w:r>
            <w:r>
              <w:rPr>
                <w:spacing w:val="-2"/>
                <w:sz w:val="18"/>
              </w:rPr>
              <w:t> </w:t>
            </w:r>
            <w:r>
              <w:rPr>
                <w:sz w:val="18"/>
              </w:rPr>
              <w:t>devise with States</w:t>
            </w:r>
            <w:r>
              <w:rPr>
                <w:spacing w:val="-1"/>
                <w:sz w:val="18"/>
              </w:rPr>
              <w:t> </w:t>
            </w:r>
            <w:r>
              <w:rPr>
                <w:sz w:val="18"/>
              </w:rPr>
              <w:t>and</w:t>
            </w:r>
            <w:r>
              <w:rPr>
                <w:spacing w:val="-2"/>
                <w:sz w:val="18"/>
              </w:rPr>
              <w:t> </w:t>
            </w:r>
            <w:r>
              <w:rPr>
                <w:sz w:val="18"/>
              </w:rPr>
              <w:t>other stakeholders new strategies to increase the</w:t>
            </w:r>
            <w:r>
              <w:rPr>
                <w:spacing w:val="-5"/>
                <w:sz w:val="18"/>
              </w:rPr>
              <w:t> </w:t>
            </w:r>
            <w:r>
              <w:rPr>
                <w:sz w:val="18"/>
              </w:rPr>
              <w:t>ability</w:t>
            </w:r>
            <w:r>
              <w:rPr>
                <w:spacing w:val="-5"/>
                <w:sz w:val="18"/>
              </w:rPr>
              <w:t> </w:t>
            </w:r>
            <w:r>
              <w:rPr>
                <w:sz w:val="18"/>
              </w:rPr>
              <w:t>of</w:t>
            </w:r>
            <w:r>
              <w:rPr>
                <w:spacing w:val="-8"/>
                <w:sz w:val="18"/>
              </w:rPr>
              <w:t> </w:t>
            </w:r>
            <w:r>
              <w:rPr>
                <w:sz w:val="18"/>
              </w:rPr>
              <w:t>the</w:t>
            </w:r>
            <w:r>
              <w:rPr>
                <w:spacing w:val="-5"/>
                <w:sz w:val="18"/>
              </w:rPr>
              <w:t> </w:t>
            </w:r>
            <w:r>
              <w:rPr>
                <w:sz w:val="18"/>
              </w:rPr>
              <w:t>Rome</w:t>
            </w:r>
            <w:r>
              <w:rPr>
                <w:spacing w:val="-5"/>
                <w:sz w:val="18"/>
              </w:rPr>
              <w:t> </w:t>
            </w:r>
            <w:r>
              <w:rPr>
                <w:sz w:val="18"/>
              </w:rPr>
              <w:t>Statute</w:t>
            </w:r>
            <w:r>
              <w:rPr>
                <w:spacing w:val="-5"/>
                <w:sz w:val="18"/>
              </w:rPr>
              <w:t> </w:t>
            </w:r>
            <w:r>
              <w:rPr>
                <w:sz w:val="18"/>
              </w:rPr>
              <w:t>System</w:t>
            </w:r>
            <w:r>
              <w:rPr>
                <w:spacing w:val="-3"/>
                <w:sz w:val="18"/>
              </w:rPr>
              <w:t> </w:t>
            </w:r>
            <w:r>
              <w:rPr>
                <w:sz w:val="18"/>
              </w:rPr>
              <w:t>to address</w:t>
            </w:r>
            <w:r>
              <w:rPr>
                <w:spacing w:val="-3"/>
                <w:sz w:val="18"/>
              </w:rPr>
              <w:t> </w:t>
            </w:r>
            <w:r>
              <w:rPr>
                <w:sz w:val="18"/>
              </w:rPr>
              <w:t>the</w:t>
            </w:r>
            <w:r>
              <w:rPr>
                <w:spacing w:val="-4"/>
                <w:sz w:val="18"/>
              </w:rPr>
              <w:t> </w:t>
            </w:r>
            <w:r>
              <w:rPr>
                <w:sz w:val="18"/>
              </w:rPr>
              <w:t>shared</w:t>
            </w:r>
            <w:r>
              <w:rPr>
                <w:spacing w:val="-4"/>
                <w:sz w:val="18"/>
              </w:rPr>
              <w:t> </w:t>
            </w:r>
            <w:r>
              <w:rPr>
                <w:sz w:val="18"/>
              </w:rPr>
              <w:t>responsibility</w:t>
            </w:r>
            <w:r>
              <w:rPr>
                <w:spacing w:val="-4"/>
                <w:sz w:val="18"/>
              </w:rPr>
              <w:t> </w:t>
            </w:r>
            <w:r>
              <w:rPr>
                <w:sz w:val="18"/>
              </w:rPr>
              <w:t>to</w:t>
            </w:r>
            <w:r>
              <w:rPr>
                <w:spacing w:val="-4"/>
                <w:sz w:val="18"/>
              </w:rPr>
              <w:t> </w:t>
            </w:r>
            <w:r>
              <w:rPr>
                <w:sz w:val="18"/>
              </w:rPr>
              <w:t>close the impunity gap, including through encouraging</w:t>
            </w:r>
            <w:r>
              <w:rPr>
                <w:spacing w:val="-9"/>
                <w:sz w:val="18"/>
              </w:rPr>
              <w:t> </w:t>
            </w:r>
            <w:r>
              <w:rPr>
                <w:sz w:val="18"/>
              </w:rPr>
              <w:t>domestic</w:t>
            </w:r>
            <w:r>
              <w:rPr>
                <w:spacing w:val="-9"/>
                <w:sz w:val="18"/>
              </w:rPr>
              <w:t> </w:t>
            </w:r>
            <w:r>
              <w:rPr>
                <w:sz w:val="18"/>
              </w:rPr>
              <w:t>implementation</w:t>
            </w:r>
            <w:r>
              <w:rPr>
                <w:spacing w:val="-9"/>
                <w:sz w:val="18"/>
              </w:rPr>
              <w:t> </w:t>
            </w:r>
            <w:r>
              <w:rPr>
                <w:sz w:val="18"/>
              </w:rPr>
              <w:t>of the Rome Statute and other measures of complementarity by States Parties (including providing support and assistance to victims).</w:t>
            </w:r>
          </w:p>
        </w:tc>
        <w:tc>
          <w:tcPr>
            <w:tcW w:w="3757" w:type="dxa"/>
            <w:tcBorders>
              <w:top w:val="single" w:sz="4" w:space="0" w:color="000000"/>
              <w:bottom w:val="single" w:sz="4" w:space="0" w:color="000000"/>
            </w:tcBorders>
          </w:tcPr>
          <w:p>
            <w:pPr>
              <w:pStyle w:val="TableParagraph"/>
              <w:numPr>
                <w:ilvl w:val="0"/>
                <w:numId w:val="46"/>
              </w:numPr>
              <w:tabs>
                <w:tab w:pos="220" w:val="left" w:leader="none"/>
              </w:tabs>
              <w:spacing w:line="240" w:lineRule="auto" w:before="60" w:after="0"/>
              <w:ind w:left="219" w:right="0" w:hanging="116"/>
              <w:jc w:val="left"/>
              <w:rPr>
                <w:sz w:val="18"/>
              </w:rPr>
            </w:pPr>
            <w:r>
              <w:rPr>
                <w:sz w:val="18"/>
              </w:rPr>
              <w:t>Requests</w:t>
            </w:r>
            <w:r>
              <w:rPr>
                <w:spacing w:val="-9"/>
                <w:sz w:val="18"/>
              </w:rPr>
              <w:t> </w:t>
            </w:r>
            <w:r>
              <w:rPr>
                <w:sz w:val="18"/>
              </w:rPr>
              <w:t>for</w:t>
            </w:r>
            <w:r>
              <w:rPr>
                <w:spacing w:val="-5"/>
                <w:sz w:val="18"/>
              </w:rPr>
              <w:t> </w:t>
            </w:r>
            <w:r>
              <w:rPr>
                <w:sz w:val="18"/>
              </w:rPr>
              <w:t>Assistance</w:t>
            </w:r>
            <w:r>
              <w:rPr>
                <w:spacing w:val="-5"/>
                <w:sz w:val="18"/>
              </w:rPr>
              <w:t> </w:t>
            </w:r>
            <w:r>
              <w:rPr>
                <w:spacing w:val="-4"/>
                <w:sz w:val="18"/>
              </w:rPr>
              <w:t>(RFA)</w:t>
            </w:r>
          </w:p>
          <w:p>
            <w:pPr>
              <w:pStyle w:val="TableParagraph"/>
              <w:numPr>
                <w:ilvl w:val="1"/>
                <w:numId w:val="46"/>
              </w:numPr>
              <w:tabs>
                <w:tab w:pos="560" w:val="left" w:leader="none"/>
              </w:tabs>
              <w:spacing w:line="240" w:lineRule="auto" w:before="60" w:after="0"/>
              <w:ind w:left="559" w:right="0" w:hanging="221"/>
              <w:jc w:val="left"/>
              <w:rPr>
                <w:sz w:val="18"/>
              </w:rPr>
            </w:pPr>
            <w:r>
              <w:rPr>
                <w:sz w:val="18"/>
              </w:rPr>
              <w:t>number</w:t>
            </w:r>
            <w:r>
              <w:rPr>
                <w:spacing w:val="-7"/>
                <w:sz w:val="18"/>
              </w:rPr>
              <w:t> </w:t>
            </w:r>
            <w:r>
              <w:rPr>
                <w:sz w:val="18"/>
              </w:rPr>
              <w:t>of</w:t>
            </w:r>
            <w:r>
              <w:rPr>
                <w:spacing w:val="-5"/>
                <w:sz w:val="18"/>
              </w:rPr>
              <w:t> </w:t>
            </w:r>
            <w:r>
              <w:rPr>
                <w:sz w:val="18"/>
              </w:rPr>
              <w:t>States</w:t>
            </w:r>
            <w:r>
              <w:rPr>
                <w:spacing w:val="-6"/>
                <w:sz w:val="18"/>
              </w:rPr>
              <w:t> </w:t>
            </w:r>
            <w:r>
              <w:rPr>
                <w:sz w:val="18"/>
              </w:rPr>
              <w:t>submitting</w:t>
            </w:r>
            <w:r>
              <w:rPr>
                <w:spacing w:val="-5"/>
                <w:sz w:val="18"/>
              </w:rPr>
              <w:t> </w:t>
            </w:r>
            <w:r>
              <w:rPr>
                <w:spacing w:val="-4"/>
                <w:sz w:val="18"/>
              </w:rPr>
              <w:t>RFAs</w:t>
            </w:r>
          </w:p>
          <w:p>
            <w:pPr>
              <w:pStyle w:val="TableParagraph"/>
              <w:numPr>
                <w:ilvl w:val="1"/>
                <w:numId w:val="46"/>
              </w:numPr>
              <w:tabs>
                <w:tab w:pos="608" w:val="left" w:leader="none"/>
              </w:tabs>
              <w:spacing w:line="240" w:lineRule="auto" w:before="58" w:after="0"/>
              <w:ind w:left="607" w:right="0" w:hanging="269"/>
              <w:jc w:val="left"/>
              <w:rPr>
                <w:sz w:val="18"/>
              </w:rPr>
            </w:pPr>
            <w:r>
              <w:rPr>
                <w:sz w:val="18"/>
              </w:rPr>
              <w:t>number</w:t>
            </w:r>
            <w:r>
              <w:rPr>
                <w:spacing w:val="-4"/>
                <w:sz w:val="18"/>
              </w:rPr>
              <w:t> </w:t>
            </w:r>
            <w:r>
              <w:rPr>
                <w:sz w:val="18"/>
              </w:rPr>
              <w:t>of</w:t>
            </w:r>
            <w:r>
              <w:rPr>
                <w:spacing w:val="3"/>
                <w:sz w:val="18"/>
              </w:rPr>
              <w:t> </w:t>
            </w:r>
            <w:r>
              <w:rPr>
                <w:sz w:val="18"/>
              </w:rPr>
              <w:t>RFAs</w:t>
            </w:r>
            <w:r>
              <w:rPr>
                <w:spacing w:val="-3"/>
                <w:sz w:val="18"/>
              </w:rPr>
              <w:t> </w:t>
            </w:r>
            <w:r>
              <w:rPr>
                <w:sz w:val="18"/>
              </w:rPr>
              <w:t>received</w:t>
            </w:r>
            <w:r>
              <w:rPr>
                <w:spacing w:val="-4"/>
                <w:sz w:val="18"/>
              </w:rPr>
              <w:t> </w:t>
            </w:r>
            <w:r>
              <w:rPr>
                <w:sz w:val="18"/>
              </w:rPr>
              <w:t>by</w:t>
            </w:r>
            <w:r>
              <w:rPr>
                <w:spacing w:val="-5"/>
                <w:sz w:val="18"/>
              </w:rPr>
              <w:t> </w:t>
            </w:r>
            <w:r>
              <w:rPr>
                <w:sz w:val="18"/>
              </w:rPr>
              <w:t>the</w:t>
            </w:r>
            <w:r>
              <w:rPr>
                <w:spacing w:val="-4"/>
                <w:sz w:val="18"/>
              </w:rPr>
              <w:t> </w:t>
            </w:r>
            <w:r>
              <w:rPr>
                <w:spacing w:val="-5"/>
                <w:sz w:val="18"/>
              </w:rPr>
              <w:t>OTP</w:t>
            </w:r>
          </w:p>
          <w:p>
            <w:pPr>
              <w:pStyle w:val="TableParagraph"/>
              <w:numPr>
                <w:ilvl w:val="1"/>
                <w:numId w:val="46"/>
              </w:numPr>
              <w:tabs>
                <w:tab w:pos="657" w:val="left" w:leader="none"/>
              </w:tabs>
              <w:spacing w:line="240" w:lineRule="auto" w:before="62" w:after="0"/>
              <w:ind w:left="627" w:right="235" w:hanging="288"/>
              <w:jc w:val="left"/>
              <w:rPr>
                <w:sz w:val="18"/>
              </w:rPr>
            </w:pPr>
            <w:r>
              <w:rPr>
                <w:sz w:val="18"/>
              </w:rPr>
              <w:t>percentage</w:t>
            </w:r>
            <w:r>
              <w:rPr>
                <w:spacing w:val="-2"/>
                <w:sz w:val="18"/>
              </w:rPr>
              <w:t> </w:t>
            </w:r>
            <w:r>
              <w:rPr>
                <w:sz w:val="18"/>
              </w:rPr>
              <w:t>of</w:t>
            </w:r>
            <w:r>
              <w:rPr>
                <w:spacing w:val="-3"/>
                <w:sz w:val="18"/>
              </w:rPr>
              <w:t> </w:t>
            </w:r>
            <w:r>
              <w:rPr>
                <w:sz w:val="18"/>
              </w:rPr>
              <w:t>RFAs given</w:t>
            </w:r>
            <w:r>
              <w:rPr>
                <w:spacing w:val="-4"/>
                <w:sz w:val="18"/>
              </w:rPr>
              <w:t> </w:t>
            </w:r>
            <w:r>
              <w:rPr>
                <w:sz w:val="18"/>
              </w:rPr>
              <w:t>a</w:t>
            </w:r>
            <w:r>
              <w:rPr>
                <w:spacing w:val="-4"/>
                <w:sz w:val="18"/>
              </w:rPr>
              <w:t> </w:t>
            </w:r>
            <w:r>
              <w:rPr>
                <w:sz w:val="18"/>
              </w:rPr>
              <w:t>substantive response within target deadline (2 to 3 </w:t>
            </w:r>
            <w:r>
              <w:rPr>
                <w:spacing w:val="-2"/>
                <w:sz w:val="18"/>
              </w:rPr>
              <w:t>months)</w:t>
            </w:r>
          </w:p>
          <w:p>
            <w:pPr>
              <w:pStyle w:val="TableParagraph"/>
              <w:numPr>
                <w:ilvl w:val="1"/>
                <w:numId w:val="46"/>
              </w:numPr>
              <w:tabs>
                <w:tab w:pos="646" w:val="left" w:leader="none"/>
              </w:tabs>
              <w:spacing w:line="240" w:lineRule="auto" w:before="60" w:after="0"/>
              <w:ind w:left="645" w:right="0" w:hanging="307"/>
              <w:jc w:val="left"/>
              <w:rPr>
                <w:sz w:val="18"/>
              </w:rPr>
            </w:pPr>
            <w:r>
              <w:rPr>
                <w:sz w:val="18"/>
              </w:rPr>
              <w:t>average</w:t>
            </w:r>
            <w:r>
              <w:rPr>
                <w:spacing w:val="-5"/>
                <w:sz w:val="18"/>
              </w:rPr>
              <w:t> </w:t>
            </w:r>
            <w:r>
              <w:rPr>
                <w:sz w:val="18"/>
              </w:rPr>
              <w:t>time</w:t>
            </w:r>
            <w:r>
              <w:rPr>
                <w:spacing w:val="-5"/>
                <w:sz w:val="18"/>
              </w:rPr>
              <w:t> </w:t>
            </w:r>
            <w:r>
              <w:rPr>
                <w:sz w:val="18"/>
              </w:rPr>
              <w:t>to</w:t>
            </w:r>
            <w:r>
              <w:rPr>
                <w:spacing w:val="-5"/>
                <w:sz w:val="18"/>
              </w:rPr>
              <w:t> </w:t>
            </w:r>
            <w:r>
              <w:rPr>
                <w:sz w:val="18"/>
              </w:rPr>
              <w:t>address</w:t>
            </w:r>
            <w:r>
              <w:rPr>
                <w:spacing w:val="-4"/>
                <w:sz w:val="18"/>
              </w:rPr>
              <w:t> </w:t>
            </w:r>
            <w:r>
              <w:rPr>
                <w:sz w:val="18"/>
              </w:rPr>
              <w:t>incoming</w:t>
            </w:r>
            <w:r>
              <w:rPr>
                <w:spacing w:val="4"/>
                <w:sz w:val="18"/>
              </w:rPr>
              <w:t> </w:t>
            </w:r>
            <w:r>
              <w:rPr>
                <w:spacing w:val="-4"/>
                <w:sz w:val="18"/>
              </w:rPr>
              <w:t>RFAs</w:t>
            </w:r>
          </w:p>
        </w:tc>
        <w:tc>
          <w:tcPr>
            <w:tcW w:w="1344" w:type="dxa"/>
            <w:tcBorders>
              <w:top w:val="single" w:sz="4" w:space="0" w:color="000000"/>
              <w:bottom w:val="single" w:sz="4" w:space="0" w:color="000000"/>
            </w:tcBorders>
          </w:tcPr>
          <w:p>
            <w:pPr>
              <w:pStyle w:val="TableParagraph"/>
              <w:jc w:val="left"/>
              <w:rPr>
                <w:b/>
                <w:sz w:val="20"/>
              </w:rPr>
            </w:pPr>
          </w:p>
          <w:p>
            <w:pPr>
              <w:pStyle w:val="TableParagraph"/>
              <w:numPr>
                <w:ilvl w:val="0"/>
                <w:numId w:val="47"/>
              </w:numPr>
              <w:tabs>
                <w:tab w:pos="443" w:val="left" w:leader="none"/>
              </w:tabs>
              <w:spacing w:line="240" w:lineRule="auto" w:before="146" w:after="0"/>
              <w:ind w:left="442" w:right="0" w:hanging="217"/>
              <w:jc w:val="left"/>
              <w:rPr>
                <w:sz w:val="18"/>
              </w:rPr>
            </w:pPr>
            <w:r>
              <w:rPr>
                <w:spacing w:val="-2"/>
                <w:sz w:val="18"/>
              </w:rPr>
              <w:t>(TBD)</w:t>
            </w:r>
          </w:p>
          <w:p>
            <w:pPr>
              <w:pStyle w:val="TableParagraph"/>
              <w:numPr>
                <w:ilvl w:val="0"/>
                <w:numId w:val="47"/>
              </w:numPr>
              <w:tabs>
                <w:tab w:pos="496" w:val="left" w:leader="none"/>
              </w:tabs>
              <w:spacing w:line="240" w:lineRule="auto" w:before="91" w:after="0"/>
              <w:ind w:left="495" w:right="0" w:hanging="270"/>
              <w:jc w:val="left"/>
              <w:rPr>
                <w:sz w:val="18"/>
              </w:rPr>
            </w:pPr>
            <w:r>
              <w:rPr>
                <w:spacing w:val="-5"/>
                <w:sz w:val="18"/>
              </w:rPr>
              <w:t>24</w:t>
            </w:r>
          </w:p>
          <w:p>
            <w:pPr>
              <w:pStyle w:val="TableParagraph"/>
              <w:numPr>
                <w:ilvl w:val="0"/>
                <w:numId w:val="47"/>
              </w:numPr>
              <w:tabs>
                <w:tab w:pos="543" w:val="left" w:leader="none"/>
              </w:tabs>
              <w:spacing w:line="240" w:lineRule="auto" w:before="90" w:after="0"/>
              <w:ind w:left="542" w:right="0" w:hanging="317"/>
              <w:jc w:val="left"/>
              <w:rPr>
                <w:sz w:val="18"/>
              </w:rPr>
            </w:pPr>
            <w:r>
              <w:rPr>
                <w:spacing w:val="-4"/>
                <w:sz w:val="18"/>
              </w:rPr>
              <w:t>100%</w:t>
            </w:r>
          </w:p>
          <w:p>
            <w:pPr>
              <w:pStyle w:val="TableParagraph"/>
              <w:jc w:val="left"/>
              <w:rPr>
                <w:b/>
                <w:sz w:val="20"/>
              </w:rPr>
            </w:pPr>
          </w:p>
          <w:p>
            <w:pPr>
              <w:pStyle w:val="TableParagraph"/>
              <w:spacing w:before="3"/>
              <w:jc w:val="left"/>
              <w:rPr>
                <w:b/>
                <w:sz w:val="16"/>
              </w:rPr>
            </w:pPr>
          </w:p>
          <w:p>
            <w:pPr>
              <w:pStyle w:val="TableParagraph"/>
              <w:numPr>
                <w:ilvl w:val="0"/>
                <w:numId w:val="47"/>
              </w:numPr>
              <w:tabs>
                <w:tab w:pos="534" w:val="left" w:leader="none"/>
              </w:tabs>
              <w:spacing w:line="240" w:lineRule="auto" w:before="0" w:after="0"/>
              <w:ind w:left="533" w:right="0" w:hanging="308"/>
              <w:jc w:val="left"/>
              <w:rPr>
                <w:sz w:val="18"/>
              </w:rPr>
            </w:pPr>
            <w:r>
              <w:rPr>
                <w:sz w:val="18"/>
              </w:rPr>
              <w:t>34</w:t>
            </w:r>
            <w:r>
              <w:rPr>
                <w:spacing w:val="-1"/>
                <w:sz w:val="18"/>
              </w:rPr>
              <w:t> </w:t>
            </w:r>
            <w:r>
              <w:rPr>
                <w:spacing w:val="-4"/>
                <w:sz w:val="18"/>
              </w:rPr>
              <w:t>days</w:t>
            </w:r>
          </w:p>
        </w:tc>
        <w:tc>
          <w:tcPr>
            <w:tcW w:w="1499" w:type="dxa"/>
            <w:tcBorders>
              <w:top w:val="single" w:sz="4" w:space="0" w:color="000000"/>
              <w:bottom w:val="single" w:sz="4" w:space="0" w:color="000000"/>
            </w:tcBorders>
          </w:tcPr>
          <w:p>
            <w:pPr>
              <w:pStyle w:val="TableParagraph"/>
              <w:spacing w:before="1"/>
              <w:jc w:val="left"/>
              <w:rPr>
                <w:b/>
                <w:sz w:val="28"/>
              </w:rPr>
            </w:pPr>
          </w:p>
          <w:p>
            <w:pPr>
              <w:pStyle w:val="TableParagraph"/>
              <w:numPr>
                <w:ilvl w:val="0"/>
                <w:numId w:val="48"/>
              </w:numPr>
              <w:tabs>
                <w:tab w:pos="410" w:val="left" w:leader="none"/>
              </w:tabs>
              <w:spacing w:line="240" w:lineRule="auto" w:before="0" w:after="0"/>
              <w:ind w:left="409" w:right="0" w:hanging="217"/>
              <w:jc w:val="left"/>
              <w:rPr>
                <w:sz w:val="18"/>
              </w:rPr>
            </w:pPr>
            <w:r>
              <w:rPr>
                <w:spacing w:val="-2"/>
                <w:sz w:val="18"/>
              </w:rPr>
              <w:t>(TBD)</w:t>
            </w:r>
          </w:p>
          <w:p>
            <w:pPr>
              <w:pStyle w:val="TableParagraph"/>
              <w:numPr>
                <w:ilvl w:val="0"/>
                <w:numId w:val="48"/>
              </w:numPr>
              <w:tabs>
                <w:tab w:pos="462" w:val="left" w:leader="none"/>
              </w:tabs>
              <w:spacing w:line="240" w:lineRule="auto" w:before="91" w:after="0"/>
              <w:ind w:left="461" w:right="0" w:hanging="269"/>
              <w:jc w:val="left"/>
              <w:rPr>
                <w:sz w:val="18"/>
              </w:rPr>
            </w:pPr>
            <w:r>
              <w:rPr>
                <w:spacing w:val="-2"/>
                <w:sz w:val="18"/>
              </w:rPr>
              <w:t>(TBD)</w:t>
            </w:r>
          </w:p>
          <w:p>
            <w:pPr>
              <w:pStyle w:val="TableParagraph"/>
              <w:numPr>
                <w:ilvl w:val="0"/>
                <w:numId w:val="48"/>
              </w:numPr>
              <w:tabs>
                <w:tab w:pos="510" w:val="left" w:leader="none"/>
              </w:tabs>
              <w:spacing w:line="240" w:lineRule="auto" w:before="91" w:after="0"/>
              <w:ind w:left="509" w:right="0" w:hanging="317"/>
              <w:jc w:val="left"/>
              <w:rPr>
                <w:sz w:val="18"/>
              </w:rPr>
            </w:pPr>
            <w:r>
              <w:rPr>
                <w:spacing w:val="-2"/>
                <w:sz w:val="18"/>
              </w:rPr>
              <w:t>(TBD)</w:t>
            </w:r>
          </w:p>
          <w:p>
            <w:pPr>
              <w:pStyle w:val="TableParagraph"/>
              <w:jc w:val="left"/>
              <w:rPr>
                <w:b/>
                <w:sz w:val="20"/>
              </w:rPr>
            </w:pPr>
          </w:p>
          <w:p>
            <w:pPr>
              <w:pStyle w:val="TableParagraph"/>
              <w:spacing w:before="9"/>
              <w:jc w:val="left"/>
              <w:rPr>
                <w:b/>
                <w:sz w:val="20"/>
              </w:rPr>
            </w:pPr>
          </w:p>
          <w:p>
            <w:pPr>
              <w:pStyle w:val="TableParagraph"/>
              <w:numPr>
                <w:ilvl w:val="0"/>
                <w:numId w:val="48"/>
              </w:numPr>
              <w:tabs>
                <w:tab w:pos="501" w:val="left" w:leader="none"/>
              </w:tabs>
              <w:spacing w:line="240" w:lineRule="auto" w:before="1" w:after="0"/>
              <w:ind w:left="500" w:right="0" w:hanging="308"/>
              <w:jc w:val="left"/>
              <w:rPr>
                <w:sz w:val="18"/>
              </w:rPr>
            </w:pPr>
            <w:r>
              <w:rPr>
                <w:spacing w:val="-2"/>
                <w:sz w:val="18"/>
              </w:rPr>
              <w:t>(TBD)</w:t>
            </w:r>
          </w:p>
        </w:tc>
      </w:tr>
    </w:tbl>
    <w:p>
      <w:pPr>
        <w:pStyle w:val="ListParagraph"/>
        <w:numPr>
          <w:ilvl w:val="0"/>
          <w:numId w:val="49"/>
        </w:numPr>
        <w:tabs>
          <w:tab w:pos="2401" w:val="left" w:leader="none"/>
        </w:tabs>
        <w:spacing w:line="240" w:lineRule="auto" w:before="121" w:after="0"/>
        <w:ind w:left="2246" w:right="2248" w:firstLine="0"/>
        <w:jc w:val="both"/>
        <w:rPr>
          <w:sz w:val="20"/>
        </w:rPr>
      </w:pPr>
      <w:r>
        <w:rPr>
          <w:sz w:val="20"/>
        </w:rPr>
        <w:t>Targets</w:t>
      </w:r>
      <w:r>
        <w:rPr>
          <w:spacing w:val="-5"/>
          <w:sz w:val="20"/>
        </w:rPr>
        <w:t> </w:t>
      </w:r>
      <w:r>
        <w:rPr>
          <w:sz w:val="20"/>
        </w:rPr>
        <w:t>indicated</w:t>
      </w:r>
      <w:r>
        <w:rPr>
          <w:spacing w:val="-4"/>
          <w:sz w:val="20"/>
        </w:rPr>
        <w:t> </w:t>
      </w:r>
      <w:r>
        <w:rPr>
          <w:sz w:val="20"/>
        </w:rPr>
        <w:t>as</w:t>
      </w:r>
      <w:r>
        <w:rPr>
          <w:spacing w:val="-5"/>
          <w:sz w:val="20"/>
        </w:rPr>
        <w:t> </w:t>
      </w:r>
      <w:r>
        <w:rPr>
          <w:sz w:val="20"/>
        </w:rPr>
        <w:t>“TBD”</w:t>
      </w:r>
      <w:r>
        <w:rPr>
          <w:spacing w:val="-2"/>
          <w:sz w:val="20"/>
        </w:rPr>
        <w:t> </w:t>
      </w:r>
      <w:r>
        <w:rPr>
          <w:sz w:val="20"/>
        </w:rPr>
        <w:t>will</w:t>
      </w:r>
      <w:r>
        <w:rPr>
          <w:spacing w:val="-2"/>
          <w:sz w:val="20"/>
        </w:rPr>
        <w:t> </w:t>
      </w:r>
      <w:r>
        <w:rPr>
          <w:sz w:val="20"/>
        </w:rPr>
        <w:t>be</w:t>
      </w:r>
      <w:r>
        <w:rPr>
          <w:spacing w:val="-2"/>
          <w:sz w:val="20"/>
        </w:rPr>
        <w:t> </w:t>
      </w:r>
      <w:r>
        <w:rPr>
          <w:sz w:val="20"/>
        </w:rPr>
        <w:t>determined</w:t>
      </w:r>
      <w:r>
        <w:rPr>
          <w:spacing w:val="-4"/>
          <w:sz w:val="20"/>
        </w:rPr>
        <w:t> </w:t>
      </w:r>
      <w:r>
        <w:rPr>
          <w:sz w:val="20"/>
        </w:rPr>
        <w:t>by</w:t>
      </w:r>
      <w:r>
        <w:rPr>
          <w:spacing w:val="-4"/>
          <w:sz w:val="20"/>
        </w:rPr>
        <w:t> </w:t>
      </w:r>
      <w:r>
        <w:rPr>
          <w:sz w:val="20"/>
        </w:rPr>
        <w:t>the end</w:t>
      </w:r>
      <w:r>
        <w:rPr>
          <w:spacing w:val="-4"/>
          <w:sz w:val="20"/>
        </w:rPr>
        <w:t> </w:t>
      </w:r>
      <w:r>
        <w:rPr>
          <w:sz w:val="20"/>
        </w:rPr>
        <w:t>of 2022</w:t>
      </w:r>
      <w:r>
        <w:rPr>
          <w:spacing w:val="-4"/>
          <w:sz w:val="20"/>
        </w:rPr>
        <w:t> </w:t>
      </w:r>
      <w:r>
        <w:rPr>
          <w:sz w:val="20"/>
        </w:rPr>
        <w:t>and will</w:t>
      </w:r>
      <w:r>
        <w:rPr>
          <w:spacing w:val="-2"/>
          <w:sz w:val="20"/>
        </w:rPr>
        <w:t> </w:t>
      </w:r>
      <w:r>
        <w:rPr>
          <w:sz w:val="20"/>
        </w:rPr>
        <w:t>be</w:t>
      </w:r>
      <w:r>
        <w:rPr>
          <w:spacing w:val="-2"/>
          <w:sz w:val="20"/>
        </w:rPr>
        <w:t> </w:t>
      </w:r>
      <w:r>
        <w:rPr>
          <w:sz w:val="20"/>
        </w:rPr>
        <w:t>included</w:t>
      </w:r>
      <w:r>
        <w:rPr>
          <w:spacing w:val="-4"/>
          <w:sz w:val="20"/>
        </w:rPr>
        <w:t> </w:t>
      </w:r>
      <w:r>
        <w:rPr>
          <w:sz w:val="20"/>
        </w:rPr>
        <w:t>in the ICC Strategic Plan 2023-2025.</w:t>
      </w:r>
    </w:p>
    <w:p>
      <w:pPr>
        <w:pStyle w:val="BodyText"/>
        <w:spacing w:line="237" w:lineRule="auto" w:before="3"/>
        <w:ind w:left="2246" w:right="2241"/>
        <w:jc w:val="both"/>
      </w:pPr>
      <w:r>
        <w:rPr/>
        <w:t>For newly developed KPIs, baselines</w:t>
      </w:r>
      <w:r>
        <w:rPr>
          <w:spacing w:val="-2"/>
        </w:rPr>
        <w:t> </w:t>
      </w:r>
      <w:r>
        <w:rPr/>
        <w:t>are</w:t>
      </w:r>
      <w:r>
        <w:rPr>
          <w:spacing w:val="-3"/>
        </w:rPr>
        <w:t> </w:t>
      </w:r>
      <w:r>
        <w:rPr/>
        <w:t>absent therefore indicated as</w:t>
      </w:r>
      <w:r>
        <w:rPr>
          <w:spacing w:val="-6"/>
        </w:rPr>
        <w:t> </w:t>
      </w:r>
      <w:r>
        <w:rPr/>
        <w:t>“New”.</w:t>
      </w:r>
      <w:r>
        <w:rPr>
          <w:spacing w:val="-2"/>
        </w:rPr>
        <w:t> </w:t>
      </w:r>
      <w:r>
        <w:rPr/>
        <w:t>Most of</w:t>
      </w:r>
      <w:r>
        <w:rPr>
          <w:spacing w:val="-5"/>
        </w:rPr>
        <w:t> </w:t>
      </w:r>
      <w:r>
        <w:rPr/>
        <w:t>their performance targets for 2023 are indicated as</w:t>
      </w:r>
      <w:r>
        <w:rPr>
          <w:spacing w:val="-1"/>
        </w:rPr>
        <w:t> </w:t>
      </w:r>
      <w:r>
        <w:rPr/>
        <w:t>“N/A” as meaningful and realistic targets are difficult to determine in the absence of a 2021 performance baseline.</w:t>
      </w:r>
    </w:p>
    <w:p>
      <w:pPr>
        <w:pStyle w:val="BodyText"/>
        <w:spacing w:before="1"/>
        <w:rPr>
          <w:sz w:val="21"/>
        </w:rPr>
      </w:pPr>
    </w:p>
    <w:p>
      <w:pPr>
        <w:pStyle w:val="Heading2"/>
        <w:numPr>
          <w:ilvl w:val="0"/>
          <w:numId w:val="24"/>
        </w:numPr>
        <w:tabs>
          <w:tab w:pos="2967" w:val="left" w:leader="none"/>
        </w:tabs>
        <w:spacing w:line="240" w:lineRule="auto" w:before="0" w:after="0"/>
        <w:ind w:left="2967" w:right="0" w:hanging="361"/>
        <w:jc w:val="left"/>
      </w:pPr>
      <w:r>
        <w:rPr/>
        <w:t>Organizational</w:t>
      </w:r>
      <w:r>
        <w:rPr>
          <w:spacing w:val="-6"/>
        </w:rPr>
        <w:t> </w:t>
      </w:r>
      <w:r>
        <w:rPr/>
        <w:t>performance</w:t>
      </w:r>
      <w:r>
        <w:rPr>
          <w:spacing w:val="-4"/>
        </w:rPr>
        <w:t> </w:t>
      </w:r>
      <w:r>
        <w:rPr>
          <w:spacing w:val="-2"/>
        </w:rPr>
        <w:t>goals</w:t>
      </w:r>
    </w:p>
    <w:p>
      <w:pPr>
        <w:pStyle w:val="BodyText"/>
        <w:rPr>
          <w:b/>
          <w:sz w:val="21"/>
        </w:rPr>
      </w:pPr>
    </w:p>
    <w:tbl>
      <w:tblPr>
        <w:tblW w:w="0" w:type="auto"/>
        <w:jc w:val="left"/>
        <w:tblInd w:w="1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15"/>
        <w:gridCol w:w="4093"/>
        <w:gridCol w:w="1064"/>
        <w:gridCol w:w="1629"/>
      </w:tblGrid>
      <w:tr>
        <w:trPr>
          <w:trHeight w:val="594" w:hRule="atLeast"/>
        </w:trPr>
        <w:tc>
          <w:tcPr>
            <w:tcW w:w="2915" w:type="dxa"/>
            <w:tcBorders>
              <w:top w:val="single" w:sz="4" w:space="0" w:color="000000"/>
              <w:bottom w:val="single" w:sz="4" w:space="0" w:color="000000"/>
            </w:tcBorders>
          </w:tcPr>
          <w:p>
            <w:pPr>
              <w:pStyle w:val="TableParagraph"/>
              <w:spacing w:line="260" w:lineRule="atLeast" w:before="9"/>
              <w:ind w:left="792" w:right="780" w:firstLine="120"/>
              <w:jc w:val="left"/>
              <w:rPr>
                <w:b/>
                <w:i/>
                <w:sz w:val="18"/>
              </w:rPr>
            </w:pPr>
            <w:r>
              <w:rPr>
                <w:b/>
                <w:i/>
                <w:sz w:val="18"/>
              </w:rPr>
              <w:t>Strategic goals</w:t>
            </w:r>
            <w:r>
              <w:rPr>
                <w:b/>
                <w:i/>
                <w:sz w:val="18"/>
              </w:rPr>
              <w:t> (Expected</w:t>
            </w:r>
            <w:r>
              <w:rPr>
                <w:b/>
                <w:i/>
                <w:spacing w:val="-12"/>
                <w:sz w:val="18"/>
              </w:rPr>
              <w:t> </w:t>
            </w:r>
            <w:r>
              <w:rPr>
                <w:b/>
                <w:i/>
                <w:sz w:val="18"/>
              </w:rPr>
              <w:t>results)</w:t>
            </w:r>
          </w:p>
        </w:tc>
        <w:tc>
          <w:tcPr>
            <w:tcW w:w="4093" w:type="dxa"/>
            <w:tcBorders>
              <w:top w:val="single" w:sz="4" w:space="0" w:color="000000"/>
              <w:bottom w:val="single" w:sz="4" w:space="0" w:color="000000"/>
            </w:tcBorders>
          </w:tcPr>
          <w:p>
            <w:pPr>
              <w:pStyle w:val="TableParagraph"/>
              <w:spacing w:before="1"/>
              <w:jc w:val="left"/>
              <w:rPr>
                <w:b/>
                <w:sz w:val="17"/>
              </w:rPr>
            </w:pPr>
          </w:p>
          <w:p>
            <w:pPr>
              <w:pStyle w:val="TableParagraph"/>
              <w:ind w:left="777"/>
              <w:jc w:val="left"/>
              <w:rPr>
                <w:b/>
                <w:i/>
                <w:sz w:val="18"/>
              </w:rPr>
            </w:pPr>
            <w:r>
              <w:rPr>
                <w:b/>
                <w:i/>
                <w:sz w:val="18"/>
              </w:rPr>
              <w:t>Key</w:t>
            </w:r>
            <w:r>
              <w:rPr>
                <w:b/>
                <w:i/>
                <w:spacing w:val="-5"/>
                <w:sz w:val="18"/>
              </w:rPr>
              <w:t> </w:t>
            </w:r>
            <w:r>
              <w:rPr>
                <w:b/>
                <w:i/>
                <w:sz w:val="18"/>
              </w:rPr>
              <w:t>performance</w:t>
            </w:r>
            <w:r>
              <w:rPr>
                <w:b/>
                <w:i/>
                <w:spacing w:val="-8"/>
                <w:sz w:val="18"/>
              </w:rPr>
              <w:t> </w:t>
            </w:r>
            <w:r>
              <w:rPr>
                <w:b/>
                <w:i/>
                <w:sz w:val="18"/>
              </w:rPr>
              <w:t>indicators</w:t>
            </w:r>
            <w:r>
              <w:rPr>
                <w:b/>
                <w:i/>
                <w:spacing w:val="-5"/>
                <w:sz w:val="18"/>
              </w:rPr>
              <w:t> </w:t>
            </w:r>
            <w:r>
              <w:rPr>
                <w:b/>
                <w:i/>
                <w:spacing w:val="-2"/>
                <w:sz w:val="18"/>
              </w:rPr>
              <w:t>(KPIs)</w:t>
            </w:r>
          </w:p>
        </w:tc>
        <w:tc>
          <w:tcPr>
            <w:tcW w:w="1064" w:type="dxa"/>
            <w:tcBorders>
              <w:top w:val="single" w:sz="4" w:space="0" w:color="000000"/>
              <w:bottom w:val="single" w:sz="4" w:space="0" w:color="000000"/>
            </w:tcBorders>
          </w:tcPr>
          <w:p>
            <w:pPr>
              <w:pStyle w:val="TableParagraph"/>
              <w:spacing w:line="260" w:lineRule="atLeast" w:before="9"/>
              <w:ind w:left="348" w:hanging="77"/>
              <w:jc w:val="left"/>
              <w:rPr>
                <w:b/>
                <w:i/>
                <w:sz w:val="18"/>
              </w:rPr>
            </w:pPr>
            <w:r>
              <w:rPr>
                <w:b/>
                <w:i/>
                <w:spacing w:val="-2"/>
                <w:sz w:val="18"/>
              </w:rPr>
              <w:t>Baseline</w:t>
            </w:r>
            <w:r>
              <w:rPr>
                <w:b/>
                <w:i/>
                <w:spacing w:val="-2"/>
                <w:sz w:val="18"/>
              </w:rPr>
              <w:t> (2021)</w:t>
            </w:r>
          </w:p>
        </w:tc>
        <w:tc>
          <w:tcPr>
            <w:tcW w:w="1629" w:type="dxa"/>
            <w:tcBorders>
              <w:top w:val="single" w:sz="4" w:space="0" w:color="000000"/>
              <w:bottom w:val="single" w:sz="4" w:space="0" w:color="000000"/>
            </w:tcBorders>
          </w:tcPr>
          <w:p>
            <w:pPr>
              <w:pStyle w:val="TableParagraph"/>
              <w:spacing w:line="260" w:lineRule="atLeast" w:before="9"/>
              <w:ind w:left="580" w:right="88" w:hanging="53"/>
              <w:jc w:val="left"/>
              <w:rPr>
                <w:b/>
                <w:i/>
                <w:sz w:val="18"/>
              </w:rPr>
            </w:pPr>
            <w:r>
              <w:rPr>
                <w:b/>
                <w:i/>
                <w:spacing w:val="-2"/>
                <w:sz w:val="18"/>
              </w:rPr>
              <w:t>Target*</w:t>
            </w:r>
            <w:r>
              <w:rPr>
                <w:b/>
                <w:i/>
                <w:spacing w:val="-2"/>
                <w:sz w:val="18"/>
              </w:rPr>
              <w:t> (2023)</w:t>
            </w:r>
          </w:p>
        </w:tc>
      </w:tr>
      <w:tr>
        <w:trPr>
          <w:trHeight w:val="1339" w:hRule="atLeast"/>
        </w:trPr>
        <w:tc>
          <w:tcPr>
            <w:tcW w:w="2915" w:type="dxa"/>
            <w:tcBorders>
              <w:top w:val="single" w:sz="4" w:space="0" w:color="000000"/>
              <w:bottom w:val="single" w:sz="4" w:space="0" w:color="000000"/>
            </w:tcBorders>
          </w:tcPr>
          <w:p>
            <w:pPr>
              <w:pStyle w:val="TableParagraph"/>
              <w:spacing w:before="62"/>
              <w:ind w:left="28"/>
              <w:jc w:val="both"/>
              <w:rPr>
                <w:b/>
                <w:sz w:val="18"/>
              </w:rPr>
            </w:pPr>
            <w:r>
              <w:rPr>
                <w:b/>
                <w:sz w:val="18"/>
              </w:rPr>
              <w:t>ICC</w:t>
            </w:r>
            <w:r>
              <w:rPr>
                <w:b/>
                <w:spacing w:val="-2"/>
                <w:sz w:val="18"/>
              </w:rPr>
              <w:t> </w:t>
            </w:r>
            <w:r>
              <w:rPr>
                <w:b/>
                <w:sz w:val="18"/>
              </w:rPr>
              <w:t>Strategic</w:t>
            </w:r>
            <w:r>
              <w:rPr>
                <w:b/>
                <w:spacing w:val="-8"/>
                <w:sz w:val="18"/>
              </w:rPr>
              <w:t> </w:t>
            </w:r>
            <w:r>
              <w:rPr>
                <w:b/>
                <w:sz w:val="18"/>
              </w:rPr>
              <w:t>Goal</w:t>
            </w:r>
            <w:r>
              <w:rPr>
                <w:b/>
                <w:spacing w:val="-2"/>
                <w:sz w:val="18"/>
              </w:rPr>
              <w:t> </w:t>
            </w:r>
            <w:r>
              <w:rPr>
                <w:b/>
                <w:spacing w:val="-5"/>
                <w:sz w:val="18"/>
              </w:rPr>
              <w:t>6:</w:t>
            </w:r>
          </w:p>
          <w:p>
            <w:pPr>
              <w:pStyle w:val="TableParagraph"/>
              <w:spacing w:before="57"/>
              <w:ind w:left="28" w:right="305"/>
              <w:jc w:val="both"/>
              <w:rPr>
                <w:sz w:val="18"/>
              </w:rPr>
            </w:pPr>
            <w:r>
              <w:rPr>
                <w:sz w:val="18"/>
              </w:rPr>
              <w:t>Further</w:t>
            </w:r>
            <w:r>
              <w:rPr>
                <w:spacing w:val="-6"/>
                <w:sz w:val="18"/>
              </w:rPr>
              <w:t> </w:t>
            </w:r>
            <w:r>
              <w:rPr>
                <w:sz w:val="18"/>
              </w:rPr>
              <w:t>strengthen</w:t>
            </w:r>
            <w:r>
              <w:rPr>
                <w:spacing w:val="-7"/>
                <w:sz w:val="18"/>
              </w:rPr>
              <w:t> </w:t>
            </w:r>
            <w:r>
              <w:rPr>
                <w:sz w:val="18"/>
              </w:rPr>
              <w:t>professionalism, dedication</w:t>
            </w:r>
            <w:r>
              <w:rPr>
                <w:spacing w:val="-7"/>
                <w:sz w:val="18"/>
              </w:rPr>
              <w:t> </w:t>
            </w:r>
            <w:r>
              <w:rPr>
                <w:sz w:val="18"/>
              </w:rPr>
              <w:t>and</w:t>
            </w:r>
            <w:r>
              <w:rPr>
                <w:spacing w:val="-12"/>
                <w:sz w:val="18"/>
              </w:rPr>
              <w:t> </w:t>
            </w:r>
            <w:r>
              <w:rPr>
                <w:sz w:val="18"/>
              </w:rPr>
              <w:t>integrity</w:t>
            </w:r>
            <w:r>
              <w:rPr>
                <w:spacing w:val="-6"/>
                <w:sz w:val="18"/>
              </w:rPr>
              <w:t> </w:t>
            </w:r>
            <w:r>
              <w:rPr>
                <w:sz w:val="18"/>
              </w:rPr>
              <w:t>in</w:t>
            </w:r>
            <w:r>
              <w:rPr>
                <w:spacing w:val="-7"/>
                <w:sz w:val="18"/>
              </w:rPr>
              <w:t> </w:t>
            </w:r>
            <w:r>
              <w:rPr>
                <w:sz w:val="18"/>
              </w:rPr>
              <w:t>all</w:t>
            </w:r>
            <w:r>
              <w:rPr>
                <w:spacing w:val="-2"/>
                <w:sz w:val="18"/>
              </w:rPr>
              <w:t> </w:t>
            </w:r>
            <w:r>
              <w:rPr>
                <w:sz w:val="18"/>
              </w:rPr>
              <w:t>of</w:t>
            </w:r>
            <w:r>
              <w:rPr>
                <w:spacing w:val="-6"/>
                <w:sz w:val="18"/>
              </w:rPr>
              <w:t> </w:t>
            </w:r>
            <w:r>
              <w:rPr>
                <w:sz w:val="18"/>
              </w:rPr>
              <w:t>the Court’s operations.</w:t>
            </w:r>
          </w:p>
        </w:tc>
        <w:tc>
          <w:tcPr>
            <w:tcW w:w="4093" w:type="dxa"/>
            <w:tcBorders>
              <w:top w:val="single" w:sz="4" w:space="0" w:color="000000"/>
              <w:bottom w:val="single" w:sz="4" w:space="0" w:color="000000"/>
            </w:tcBorders>
          </w:tcPr>
          <w:p>
            <w:pPr>
              <w:pStyle w:val="TableParagraph"/>
              <w:numPr>
                <w:ilvl w:val="0"/>
                <w:numId w:val="50"/>
              </w:numPr>
              <w:tabs>
                <w:tab w:pos="236" w:val="left" w:leader="none"/>
              </w:tabs>
              <w:spacing w:line="237" w:lineRule="auto" w:before="60" w:after="0"/>
              <w:ind w:left="187" w:right="116" w:hanging="68"/>
              <w:jc w:val="left"/>
              <w:rPr>
                <w:sz w:val="18"/>
              </w:rPr>
            </w:pPr>
            <w:r>
              <w:rPr>
                <w:sz w:val="18"/>
              </w:rPr>
              <w:t>Percentage of positive responses</w:t>
            </w:r>
            <w:r>
              <w:rPr>
                <w:spacing w:val="-4"/>
                <w:sz w:val="18"/>
              </w:rPr>
              <w:t> </w:t>
            </w:r>
            <w:r>
              <w:rPr>
                <w:sz w:val="18"/>
              </w:rPr>
              <w:t>from Court staff</w:t>
            </w:r>
            <w:r>
              <w:rPr>
                <w:spacing w:val="-3"/>
                <w:sz w:val="18"/>
              </w:rPr>
              <w:t> </w:t>
            </w:r>
            <w:r>
              <w:rPr>
                <w:sz w:val="18"/>
              </w:rPr>
              <w:t>to survey questions on “ICC values”</w:t>
            </w:r>
          </w:p>
          <w:p>
            <w:pPr>
              <w:pStyle w:val="TableParagraph"/>
              <w:numPr>
                <w:ilvl w:val="0"/>
                <w:numId w:val="50"/>
              </w:numPr>
              <w:tabs>
                <w:tab w:pos="236" w:val="left" w:leader="none"/>
              </w:tabs>
              <w:spacing w:line="240" w:lineRule="auto" w:before="64" w:after="0"/>
              <w:ind w:left="187" w:right="116" w:hanging="68"/>
              <w:jc w:val="left"/>
              <w:rPr>
                <w:sz w:val="18"/>
              </w:rPr>
            </w:pPr>
            <w:r>
              <w:rPr>
                <w:sz w:val="18"/>
              </w:rPr>
              <w:t>Percentage of positive responses</w:t>
            </w:r>
            <w:r>
              <w:rPr>
                <w:spacing w:val="-4"/>
                <w:sz w:val="18"/>
              </w:rPr>
              <w:t> </w:t>
            </w:r>
            <w:r>
              <w:rPr>
                <w:sz w:val="18"/>
              </w:rPr>
              <w:t>from Court staff</w:t>
            </w:r>
            <w:r>
              <w:rPr>
                <w:spacing w:val="-3"/>
                <w:sz w:val="18"/>
              </w:rPr>
              <w:t> </w:t>
            </w:r>
            <w:r>
              <w:rPr>
                <w:sz w:val="18"/>
              </w:rPr>
              <w:t>to survey questions on “Ethics/Standards of Conduct- Personal Experience”</w:t>
            </w:r>
          </w:p>
        </w:tc>
        <w:tc>
          <w:tcPr>
            <w:tcW w:w="1064" w:type="dxa"/>
            <w:tcBorders>
              <w:top w:val="single" w:sz="4" w:space="0" w:color="000000"/>
              <w:bottom w:val="single" w:sz="4" w:space="0" w:color="000000"/>
            </w:tcBorders>
          </w:tcPr>
          <w:p>
            <w:pPr>
              <w:pStyle w:val="TableParagraph"/>
              <w:spacing w:before="63"/>
              <w:ind w:left="79"/>
              <w:jc w:val="left"/>
              <w:rPr>
                <w:sz w:val="18"/>
              </w:rPr>
            </w:pPr>
            <w:r>
              <w:rPr>
                <w:rFonts w:ascii="Palatino Linotype"/>
                <w:sz w:val="20"/>
              </w:rPr>
              <w:t>-</w:t>
            </w:r>
            <w:r>
              <w:rPr>
                <w:rFonts w:ascii="Palatino Linotype"/>
                <w:spacing w:val="2"/>
                <w:sz w:val="20"/>
              </w:rPr>
              <w:t> </w:t>
            </w:r>
            <w:r>
              <w:rPr>
                <w:spacing w:val="-5"/>
                <w:sz w:val="18"/>
              </w:rPr>
              <w:t>54%</w:t>
            </w:r>
          </w:p>
          <w:p>
            <w:pPr>
              <w:pStyle w:val="TableParagraph"/>
              <w:spacing w:before="1"/>
              <w:jc w:val="left"/>
              <w:rPr>
                <w:b/>
                <w:sz w:val="24"/>
              </w:rPr>
            </w:pPr>
          </w:p>
          <w:p>
            <w:pPr>
              <w:pStyle w:val="TableParagraph"/>
              <w:spacing w:before="1"/>
              <w:ind w:left="79"/>
              <w:jc w:val="left"/>
              <w:rPr>
                <w:sz w:val="18"/>
              </w:rPr>
            </w:pPr>
            <w:r>
              <w:rPr>
                <w:rFonts w:ascii="Palatino Linotype"/>
                <w:sz w:val="20"/>
              </w:rPr>
              <w:t>-</w:t>
            </w:r>
            <w:r>
              <w:rPr>
                <w:rFonts w:ascii="Palatino Linotype"/>
                <w:spacing w:val="-2"/>
                <w:sz w:val="20"/>
              </w:rPr>
              <w:t> </w:t>
            </w:r>
            <w:r>
              <w:rPr>
                <w:spacing w:val="-5"/>
                <w:sz w:val="18"/>
              </w:rPr>
              <w:t>72%</w:t>
            </w:r>
          </w:p>
        </w:tc>
        <w:tc>
          <w:tcPr>
            <w:tcW w:w="1629" w:type="dxa"/>
            <w:tcBorders>
              <w:top w:val="single" w:sz="4" w:space="0" w:color="000000"/>
              <w:bottom w:val="single" w:sz="4" w:space="0" w:color="000000"/>
            </w:tcBorders>
          </w:tcPr>
          <w:p>
            <w:pPr>
              <w:pStyle w:val="TableParagraph"/>
              <w:spacing w:before="63"/>
              <w:ind w:left="148"/>
              <w:jc w:val="left"/>
              <w:rPr>
                <w:sz w:val="18"/>
              </w:rPr>
            </w:pPr>
            <w:r>
              <w:rPr>
                <w:rFonts w:ascii="Palatino Linotype"/>
                <w:sz w:val="20"/>
              </w:rPr>
              <w:t>-</w:t>
            </w:r>
            <w:r>
              <w:rPr>
                <w:rFonts w:ascii="Palatino Linotype"/>
                <w:spacing w:val="-2"/>
                <w:sz w:val="20"/>
              </w:rPr>
              <w:t> </w:t>
            </w:r>
            <w:r>
              <w:rPr>
                <w:spacing w:val="-5"/>
                <w:sz w:val="18"/>
              </w:rPr>
              <w:t>76%</w:t>
            </w:r>
          </w:p>
          <w:p>
            <w:pPr>
              <w:pStyle w:val="TableParagraph"/>
              <w:spacing w:before="1"/>
              <w:jc w:val="left"/>
              <w:rPr>
                <w:b/>
                <w:sz w:val="24"/>
              </w:rPr>
            </w:pPr>
          </w:p>
          <w:p>
            <w:pPr>
              <w:pStyle w:val="TableParagraph"/>
              <w:spacing w:before="1"/>
              <w:ind w:left="148"/>
              <w:jc w:val="left"/>
              <w:rPr>
                <w:sz w:val="18"/>
              </w:rPr>
            </w:pPr>
            <w:r>
              <w:rPr>
                <w:rFonts w:ascii="Palatino Linotype"/>
                <w:sz w:val="20"/>
              </w:rPr>
              <w:t>-</w:t>
            </w:r>
            <w:r>
              <w:rPr>
                <w:rFonts w:ascii="Palatino Linotype"/>
                <w:spacing w:val="-2"/>
                <w:sz w:val="20"/>
              </w:rPr>
              <w:t> </w:t>
            </w:r>
            <w:r>
              <w:rPr>
                <w:spacing w:val="-4"/>
                <w:sz w:val="18"/>
              </w:rPr>
              <w:t>100%</w:t>
            </w:r>
          </w:p>
        </w:tc>
      </w:tr>
      <w:tr>
        <w:trPr>
          <w:trHeight w:val="1670" w:hRule="atLeast"/>
        </w:trPr>
        <w:tc>
          <w:tcPr>
            <w:tcW w:w="2915" w:type="dxa"/>
            <w:tcBorders>
              <w:top w:val="single" w:sz="4" w:space="0" w:color="000000"/>
              <w:bottom w:val="single" w:sz="4" w:space="0" w:color="000000"/>
            </w:tcBorders>
          </w:tcPr>
          <w:p>
            <w:pPr>
              <w:pStyle w:val="TableParagraph"/>
              <w:spacing w:before="62"/>
              <w:ind w:left="28"/>
              <w:jc w:val="left"/>
              <w:rPr>
                <w:b/>
                <w:sz w:val="18"/>
              </w:rPr>
            </w:pPr>
            <w:r>
              <w:rPr>
                <w:b/>
                <w:sz w:val="18"/>
              </w:rPr>
              <w:t>ICC</w:t>
            </w:r>
            <w:r>
              <w:rPr>
                <w:b/>
                <w:spacing w:val="-2"/>
                <w:sz w:val="18"/>
              </w:rPr>
              <w:t> </w:t>
            </w:r>
            <w:r>
              <w:rPr>
                <w:b/>
                <w:sz w:val="18"/>
              </w:rPr>
              <w:t>Strategic</w:t>
            </w:r>
            <w:r>
              <w:rPr>
                <w:b/>
                <w:spacing w:val="-8"/>
                <w:sz w:val="18"/>
              </w:rPr>
              <w:t> </w:t>
            </w:r>
            <w:r>
              <w:rPr>
                <w:b/>
                <w:sz w:val="18"/>
              </w:rPr>
              <w:t>Goal</w:t>
            </w:r>
            <w:r>
              <w:rPr>
                <w:b/>
                <w:spacing w:val="-2"/>
                <w:sz w:val="18"/>
              </w:rPr>
              <w:t> </w:t>
            </w:r>
            <w:r>
              <w:rPr>
                <w:b/>
                <w:spacing w:val="-5"/>
                <w:sz w:val="18"/>
              </w:rPr>
              <w:t>7:</w:t>
            </w:r>
          </w:p>
          <w:p>
            <w:pPr>
              <w:pStyle w:val="TableParagraph"/>
              <w:spacing w:before="57"/>
              <w:ind w:left="28" w:right="67"/>
              <w:jc w:val="left"/>
              <w:rPr>
                <w:sz w:val="18"/>
              </w:rPr>
            </w:pPr>
            <w:r>
              <w:rPr>
                <w:sz w:val="18"/>
              </w:rPr>
              <w:t>Ensure a safe and secure working environment</w:t>
            </w:r>
            <w:r>
              <w:rPr>
                <w:spacing w:val="-10"/>
                <w:sz w:val="18"/>
              </w:rPr>
              <w:t> </w:t>
            </w:r>
            <w:r>
              <w:rPr>
                <w:sz w:val="18"/>
              </w:rPr>
              <w:t>in</w:t>
            </w:r>
            <w:r>
              <w:rPr>
                <w:spacing w:val="-8"/>
                <w:sz w:val="18"/>
              </w:rPr>
              <w:t> </w:t>
            </w:r>
            <w:r>
              <w:rPr>
                <w:sz w:val="18"/>
              </w:rPr>
              <w:t>which</w:t>
            </w:r>
            <w:r>
              <w:rPr>
                <w:spacing w:val="-8"/>
                <w:sz w:val="18"/>
              </w:rPr>
              <w:t> </w:t>
            </w:r>
            <w:r>
              <w:rPr>
                <w:sz w:val="18"/>
              </w:rPr>
              <w:t>staff</w:t>
            </w:r>
            <w:r>
              <w:rPr>
                <w:spacing w:val="-7"/>
                <w:sz w:val="18"/>
              </w:rPr>
              <w:t> </w:t>
            </w:r>
            <w:r>
              <w:rPr>
                <w:sz w:val="18"/>
              </w:rPr>
              <w:t>well-being is at the centre.</w:t>
            </w:r>
          </w:p>
        </w:tc>
        <w:tc>
          <w:tcPr>
            <w:tcW w:w="4093" w:type="dxa"/>
            <w:tcBorders>
              <w:top w:val="single" w:sz="4" w:space="0" w:color="000000"/>
              <w:bottom w:val="single" w:sz="4" w:space="0" w:color="000000"/>
            </w:tcBorders>
          </w:tcPr>
          <w:p>
            <w:pPr>
              <w:pStyle w:val="TableParagraph"/>
              <w:numPr>
                <w:ilvl w:val="0"/>
                <w:numId w:val="51"/>
              </w:numPr>
              <w:tabs>
                <w:tab w:pos="236" w:val="left" w:leader="none"/>
              </w:tabs>
              <w:spacing w:line="237" w:lineRule="auto" w:before="65" w:after="0"/>
              <w:ind w:left="187" w:right="391" w:hanging="68"/>
              <w:jc w:val="left"/>
              <w:rPr>
                <w:sz w:val="18"/>
              </w:rPr>
            </w:pPr>
            <w:r>
              <w:rPr>
                <w:sz w:val="18"/>
              </w:rPr>
              <w:t>Number of security and safety incidents causing death or injury</w:t>
            </w:r>
          </w:p>
          <w:p>
            <w:pPr>
              <w:pStyle w:val="TableParagraph"/>
              <w:numPr>
                <w:ilvl w:val="0"/>
                <w:numId w:val="51"/>
              </w:numPr>
              <w:tabs>
                <w:tab w:pos="236" w:val="left" w:leader="none"/>
              </w:tabs>
              <w:spacing w:line="242" w:lineRule="auto" w:before="59" w:after="0"/>
              <w:ind w:left="187" w:right="116" w:hanging="68"/>
              <w:jc w:val="left"/>
              <w:rPr>
                <w:sz w:val="18"/>
              </w:rPr>
            </w:pPr>
            <w:r>
              <w:rPr>
                <w:sz w:val="18"/>
              </w:rPr>
              <w:t>Percentage of positive responses</w:t>
            </w:r>
            <w:r>
              <w:rPr>
                <w:spacing w:val="-4"/>
                <w:sz w:val="18"/>
              </w:rPr>
              <w:t> </w:t>
            </w:r>
            <w:r>
              <w:rPr>
                <w:sz w:val="18"/>
              </w:rPr>
              <w:t>from Court staff</w:t>
            </w:r>
            <w:r>
              <w:rPr>
                <w:spacing w:val="-3"/>
                <w:sz w:val="18"/>
              </w:rPr>
              <w:t> </w:t>
            </w:r>
            <w:r>
              <w:rPr>
                <w:sz w:val="18"/>
              </w:rPr>
              <w:t>to survey questions on “Employee engagement index”</w:t>
            </w:r>
          </w:p>
          <w:p>
            <w:pPr>
              <w:pStyle w:val="TableParagraph"/>
              <w:numPr>
                <w:ilvl w:val="0"/>
                <w:numId w:val="51"/>
              </w:numPr>
              <w:tabs>
                <w:tab w:pos="236" w:val="left" w:leader="none"/>
              </w:tabs>
              <w:spacing w:line="242" w:lineRule="auto" w:before="56" w:after="0"/>
              <w:ind w:left="187" w:right="332" w:hanging="68"/>
              <w:jc w:val="left"/>
              <w:rPr>
                <w:sz w:val="18"/>
              </w:rPr>
            </w:pPr>
            <w:r>
              <w:rPr>
                <w:sz w:val="18"/>
              </w:rPr>
              <w:t>Percentage</w:t>
            </w:r>
            <w:r>
              <w:rPr>
                <w:spacing w:val="-1"/>
                <w:sz w:val="18"/>
              </w:rPr>
              <w:t> </w:t>
            </w:r>
            <w:r>
              <w:rPr>
                <w:sz w:val="18"/>
              </w:rPr>
              <w:t>of missions</w:t>
            </w:r>
            <w:r>
              <w:rPr>
                <w:spacing w:val="-1"/>
                <w:sz w:val="18"/>
              </w:rPr>
              <w:t> </w:t>
            </w:r>
            <w:r>
              <w:rPr>
                <w:sz w:val="18"/>
              </w:rPr>
              <w:t>that comply with</w:t>
            </w:r>
            <w:r>
              <w:rPr>
                <w:spacing w:val="-1"/>
                <w:sz w:val="18"/>
              </w:rPr>
              <w:t> </w:t>
            </w:r>
            <w:r>
              <w:rPr>
                <w:sz w:val="18"/>
              </w:rPr>
              <w:t>mission planning procedures</w:t>
            </w:r>
          </w:p>
        </w:tc>
        <w:tc>
          <w:tcPr>
            <w:tcW w:w="1064" w:type="dxa"/>
            <w:tcBorders>
              <w:top w:val="single" w:sz="4" w:space="0" w:color="000000"/>
              <w:bottom w:val="single" w:sz="4" w:space="0" w:color="000000"/>
            </w:tcBorders>
          </w:tcPr>
          <w:p>
            <w:pPr>
              <w:pStyle w:val="TableParagraph"/>
              <w:spacing w:before="63"/>
              <w:ind w:left="79"/>
              <w:jc w:val="left"/>
              <w:rPr>
                <w:sz w:val="18"/>
              </w:rPr>
            </w:pPr>
            <w:r>
              <w:rPr>
                <w:rFonts w:ascii="Palatino Linotype"/>
                <w:sz w:val="20"/>
              </w:rPr>
              <w:t>-</w:t>
            </w:r>
            <w:r>
              <w:rPr>
                <w:rFonts w:ascii="Palatino Linotype"/>
                <w:spacing w:val="-2"/>
                <w:sz w:val="20"/>
              </w:rPr>
              <w:t> </w:t>
            </w:r>
            <w:r>
              <w:rPr>
                <w:spacing w:val="-10"/>
                <w:sz w:val="18"/>
              </w:rPr>
              <w:t>7</w:t>
            </w:r>
          </w:p>
          <w:p>
            <w:pPr>
              <w:pStyle w:val="TableParagraph"/>
              <w:spacing w:before="1"/>
              <w:jc w:val="left"/>
              <w:rPr>
                <w:b/>
                <w:sz w:val="24"/>
              </w:rPr>
            </w:pPr>
          </w:p>
          <w:p>
            <w:pPr>
              <w:pStyle w:val="TableParagraph"/>
              <w:spacing w:before="1"/>
              <w:ind w:left="79"/>
              <w:jc w:val="left"/>
              <w:rPr>
                <w:sz w:val="18"/>
              </w:rPr>
            </w:pPr>
            <w:r>
              <w:rPr>
                <w:rFonts w:ascii="Palatino Linotype"/>
                <w:sz w:val="20"/>
              </w:rPr>
              <w:t>-</w:t>
            </w:r>
            <w:r>
              <w:rPr>
                <w:rFonts w:ascii="Palatino Linotype"/>
                <w:spacing w:val="-2"/>
                <w:sz w:val="20"/>
              </w:rPr>
              <w:t> </w:t>
            </w:r>
            <w:r>
              <w:rPr>
                <w:spacing w:val="-5"/>
                <w:sz w:val="18"/>
              </w:rPr>
              <w:t>59%</w:t>
            </w:r>
          </w:p>
          <w:p>
            <w:pPr>
              <w:pStyle w:val="TableParagraph"/>
              <w:spacing w:before="5"/>
              <w:jc w:val="left"/>
              <w:rPr>
                <w:b/>
                <w:sz w:val="22"/>
              </w:rPr>
            </w:pPr>
          </w:p>
          <w:p>
            <w:pPr>
              <w:pStyle w:val="TableParagraph"/>
              <w:ind w:left="79"/>
              <w:jc w:val="left"/>
              <w:rPr>
                <w:sz w:val="18"/>
              </w:rPr>
            </w:pPr>
            <w:r>
              <w:rPr>
                <w:rFonts w:ascii="Palatino Linotype"/>
                <w:sz w:val="20"/>
              </w:rPr>
              <w:t>-</w:t>
            </w:r>
            <w:r>
              <w:rPr>
                <w:rFonts w:ascii="Palatino Linotype"/>
                <w:spacing w:val="-2"/>
                <w:sz w:val="20"/>
              </w:rPr>
              <w:t> </w:t>
            </w:r>
            <w:r>
              <w:rPr>
                <w:spacing w:val="-2"/>
                <w:sz w:val="18"/>
              </w:rPr>
              <w:t>93.1%</w:t>
            </w:r>
          </w:p>
        </w:tc>
        <w:tc>
          <w:tcPr>
            <w:tcW w:w="1629" w:type="dxa"/>
            <w:tcBorders>
              <w:top w:val="single" w:sz="4" w:space="0" w:color="000000"/>
              <w:bottom w:val="single" w:sz="4" w:space="0" w:color="000000"/>
            </w:tcBorders>
          </w:tcPr>
          <w:p>
            <w:pPr>
              <w:pStyle w:val="TableParagraph"/>
              <w:spacing w:before="63"/>
              <w:ind w:left="148"/>
              <w:jc w:val="left"/>
              <w:rPr>
                <w:sz w:val="18"/>
              </w:rPr>
            </w:pPr>
            <w:r>
              <w:rPr>
                <w:rFonts w:ascii="Palatino Linotype"/>
                <w:sz w:val="20"/>
              </w:rPr>
              <w:t>-</w:t>
            </w:r>
            <w:r>
              <w:rPr>
                <w:rFonts w:ascii="Palatino Linotype"/>
                <w:spacing w:val="-2"/>
                <w:sz w:val="20"/>
              </w:rPr>
              <w:t> </w:t>
            </w:r>
            <w:r>
              <w:rPr>
                <w:sz w:val="18"/>
              </w:rPr>
              <w:t>&lt;</w:t>
            </w:r>
            <w:r>
              <w:rPr>
                <w:spacing w:val="1"/>
                <w:sz w:val="18"/>
              </w:rPr>
              <w:t> </w:t>
            </w:r>
            <w:r>
              <w:rPr>
                <w:spacing w:val="-10"/>
                <w:sz w:val="18"/>
              </w:rPr>
              <w:t>5</w:t>
            </w:r>
          </w:p>
          <w:p>
            <w:pPr>
              <w:pStyle w:val="TableParagraph"/>
              <w:spacing w:before="1"/>
              <w:jc w:val="left"/>
              <w:rPr>
                <w:b/>
                <w:sz w:val="24"/>
              </w:rPr>
            </w:pPr>
          </w:p>
          <w:p>
            <w:pPr>
              <w:pStyle w:val="TableParagraph"/>
              <w:spacing w:before="1"/>
              <w:ind w:left="148"/>
              <w:jc w:val="left"/>
              <w:rPr>
                <w:sz w:val="18"/>
              </w:rPr>
            </w:pPr>
            <w:r>
              <w:rPr>
                <w:rFonts w:ascii="Palatino Linotype"/>
                <w:sz w:val="20"/>
              </w:rPr>
              <w:t>-</w:t>
            </w:r>
            <w:r>
              <w:rPr>
                <w:rFonts w:ascii="Palatino Linotype"/>
                <w:spacing w:val="-2"/>
                <w:sz w:val="20"/>
              </w:rPr>
              <w:t> </w:t>
            </w:r>
            <w:r>
              <w:rPr>
                <w:spacing w:val="-5"/>
                <w:sz w:val="18"/>
              </w:rPr>
              <w:t>77%</w:t>
            </w:r>
          </w:p>
          <w:p>
            <w:pPr>
              <w:pStyle w:val="TableParagraph"/>
              <w:spacing w:before="5"/>
              <w:jc w:val="left"/>
              <w:rPr>
                <w:b/>
                <w:sz w:val="22"/>
              </w:rPr>
            </w:pPr>
          </w:p>
          <w:p>
            <w:pPr>
              <w:pStyle w:val="TableParagraph"/>
              <w:ind w:left="148"/>
              <w:jc w:val="left"/>
              <w:rPr>
                <w:sz w:val="18"/>
              </w:rPr>
            </w:pPr>
            <w:r>
              <w:rPr>
                <w:rFonts w:ascii="Palatino Linotype"/>
                <w:sz w:val="20"/>
              </w:rPr>
              <w:t>-</w:t>
            </w:r>
            <w:r>
              <w:rPr>
                <w:rFonts w:ascii="Palatino Linotype"/>
                <w:spacing w:val="-2"/>
                <w:sz w:val="20"/>
              </w:rPr>
              <w:t> </w:t>
            </w:r>
            <w:r>
              <w:rPr>
                <w:spacing w:val="-5"/>
                <w:sz w:val="18"/>
              </w:rPr>
              <w:t>95%</w:t>
            </w:r>
          </w:p>
        </w:tc>
      </w:tr>
      <w:tr>
        <w:trPr>
          <w:trHeight w:val="1464" w:hRule="atLeast"/>
        </w:trPr>
        <w:tc>
          <w:tcPr>
            <w:tcW w:w="2915" w:type="dxa"/>
            <w:tcBorders>
              <w:top w:val="single" w:sz="4" w:space="0" w:color="000000"/>
              <w:bottom w:val="single" w:sz="4" w:space="0" w:color="000000"/>
            </w:tcBorders>
          </w:tcPr>
          <w:p>
            <w:pPr>
              <w:pStyle w:val="TableParagraph"/>
              <w:spacing w:line="207" w:lineRule="exact"/>
              <w:ind w:left="28"/>
              <w:jc w:val="left"/>
              <w:rPr>
                <w:b/>
                <w:sz w:val="18"/>
              </w:rPr>
            </w:pPr>
            <w:r>
              <w:rPr>
                <w:b/>
                <w:sz w:val="18"/>
              </w:rPr>
              <w:t>ICC</w:t>
            </w:r>
            <w:r>
              <w:rPr>
                <w:b/>
                <w:spacing w:val="-2"/>
                <w:sz w:val="18"/>
              </w:rPr>
              <w:t> </w:t>
            </w:r>
            <w:r>
              <w:rPr>
                <w:b/>
                <w:sz w:val="18"/>
              </w:rPr>
              <w:t>Strategic</w:t>
            </w:r>
            <w:r>
              <w:rPr>
                <w:b/>
                <w:spacing w:val="-8"/>
                <w:sz w:val="18"/>
              </w:rPr>
              <w:t> </w:t>
            </w:r>
            <w:r>
              <w:rPr>
                <w:b/>
                <w:sz w:val="18"/>
              </w:rPr>
              <w:t>Goal</w:t>
            </w:r>
            <w:r>
              <w:rPr>
                <w:b/>
                <w:spacing w:val="-2"/>
                <w:sz w:val="18"/>
              </w:rPr>
              <w:t> </w:t>
            </w:r>
            <w:r>
              <w:rPr>
                <w:b/>
                <w:spacing w:val="-5"/>
                <w:sz w:val="18"/>
              </w:rPr>
              <w:t>8:</w:t>
            </w:r>
          </w:p>
          <w:p>
            <w:pPr>
              <w:pStyle w:val="TableParagraph"/>
              <w:spacing w:before="62"/>
              <w:ind w:left="28"/>
              <w:jc w:val="left"/>
              <w:rPr>
                <w:sz w:val="18"/>
              </w:rPr>
            </w:pPr>
            <w:r>
              <w:rPr>
                <w:sz w:val="18"/>
              </w:rPr>
              <w:t>Achieve more equitable GRGB, particularly</w:t>
            </w:r>
            <w:r>
              <w:rPr>
                <w:spacing w:val="-12"/>
                <w:sz w:val="18"/>
              </w:rPr>
              <w:t> </w:t>
            </w:r>
            <w:r>
              <w:rPr>
                <w:sz w:val="18"/>
              </w:rPr>
              <w:t>at</w:t>
            </w:r>
            <w:r>
              <w:rPr>
                <w:spacing w:val="-9"/>
                <w:sz w:val="18"/>
              </w:rPr>
              <w:t> </w:t>
            </w:r>
            <w:r>
              <w:rPr>
                <w:sz w:val="18"/>
              </w:rPr>
              <w:t>higher</w:t>
            </w:r>
            <w:r>
              <w:rPr>
                <w:spacing w:val="-11"/>
                <w:sz w:val="18"/>
              </w:rPr>
              <w:t> </w:t>
            </w:r>
            <w:r>
              <w:rPr>
                <w:sz w:val="18"/>
              </w:rPr>
              <w:t>level</w:t>
            </w:r>
            <w:r>
              <w:rPr>
                <w:spacing w:val="-10"/>
                <w:sz w:val="18"/>
              </w:rPr>
              <w:t> </w:t>
            </w:r>
            <w:r>
              <w:rPr>
                <w:sz w:val="18"/>
              </w:rPr>
              <w:t>posts.</w:t>
            </w:r>
          </w:p>
        </w:tc>
        <w:tc>
          <w:tcPr>
            <w:tcW w:w="4093" w:type="dxa"/>
            <w:tcBorders>
              <w:top w:val="single" w:sz="4" w:space="0" w:color="000000"/>
              <w:bottom w:val="single" w:sz="4" w:space="0" w:color="000000"/>
            </w:tcBorders>
          </w:tcPr>
          <w:p>
            <w:pPr>
              <w:pStyle w:val="TableParagraph"/>
              <w:numPr>
                <w:ilvl w:val="0"/>
                <w:numId w:val="52"/>
              </w:numPr>
              <w:tabs>
                <w:tab w:pos="236" w:val="left" w:leader="none"/>
              </w:tabs>
              <w:spacing w:line="237" w:lineRule="auto" w:before="65" w:after="0"/>
              <w:ind w:left="187" w:right="172" w:hanging="68"/>
              <w:jc w:val="left"/>
              <w:rPr>
                <w:sz w:val="18"/>
              </w:rPr>
            </w:pPr>
            <w:r>
              <w:rPr>
                <w:sz w:val="18"/>
              </w:rPr>
              <w:t>Male/female</w:t>
            </w:r>
            <w:r>
              <w:rPr>
                <w:spacing w:val="-2"/>
                <w:sz w:val="18"/>
              </w:rPr>
              <w:t> </w:t>
            </w:r>
            <w:r>
              <w:rPr>
                <w:sz w:val="18"/>
              </w:rPr>
              <w:t>ratio</w:t>
            </w:r>
            <w:r>
              <w:rPr>
                <w:spacing w:val="-2"/>
                <w:sz w:val="18"/>
              </w:rPr>
              <w:t> </w:t>
            </w:r>
            <w:r>
              <w:rPr>
                <w:sz w:val="18"/>
              </w:rPr>
              <w:t>of newly hired</w:t>
            </w:r>
            <w:r>
              <w:rPr>
                <w:spacing w:val="-2"/>
                <w:sz w:val="18"/>
              </w:rPr>
              <w:t> </w:t>
            </w:r>
            <w:r>
              <w:rPr>
                <w:sz w:val="18"/>
              </w:rPr>
              <w:t>senior</w:t>
            </w:r>
            <w:r>
              <w:rPr>
                <w:spacing w:val="-1"/>
                <w:sz w:val="18"/>
              </w:rPr>
              <w:t> </w:t>
            </w:r>
            <w:r>
              <w:rPr>
                <w:sz w:val="18"/>
              </w:rPr>
              <w:t>Court staff (P-4 and above, established posts)</w:t>
            </w:r>
          </w:p>
          <w:p>
            <w:pPr>
              <w:pStyle w:val="TableParagraph"/>
              <w:numPr>
                <w:ilvl w:val="0"/>
                <w:numId w:val="52"/>
              </w:numPr>
              <w:tabs>
                <w:tab w:pos="236" w:val="left" w:leader="none"/>
              </w:tabs>
              <w:spacing w:line="240" w:lineRule="auto" w:before="64" w:after="0"/>
              <w:ind w:left="235" w:right="0" w:hanging="116"/>
              <w:jc w:val="left"/>
              <w:rPr>
                <w:sz w:val="18"/>
              </w:rPr>
            </w:pPr>
            <w:r>
              <w:rPr>
                <w:sz w:val="18"/>
              </w:rPr>
              <w:t>Percentage</w:t>
            </w:r>
            <w:r>
              <w:rPr>
                <w:spacing w:val="-8"/>
                <w:sz w:val="18"/>
              </w:rPr>
              <w:t> </w:t>
            </w:r>
            <w:r>
              <w:rPr>
                <w:sz w:val="18"/>
              </w:rPr>
              <w:t>of</w:t>
            </w:r>
            <w:r>
              <w:rPr>
                <w:spacing w:val="-7"/>
                <w:sz w:val="18"/>
              </w:rPr>
              <w:t> </w:t>
            </w:r>
            <w:r>
              <w:rPr>
                <w:sz w:val="18"/>
              </w:rPr>
              <w:t>staff</w:t>
            </w:r>
            <w:r>
              <w:rPr>
                <w:spacing w:val="-2"/>
                <w:sz w:val="18"/>
              </w:rPr>
              <w:t> </w:t>
            </w:r>
            <w:r>
              <w:rPr>
                <w:sz w:val="18"/>
              </w:rPr>
              <w:t>within</w:t>
            </w:r>
            <w:r>
              <w:rPr>
                <w:spacing w:val="-7"/>
                <w:sz w:val="18"/>
              </w:rPr>
              <w:t> </w:t>
            </w:r>
            <w:r>
              <w:rPr>
                <w:sz w:val="18"/>
              </w:rPr>
              <w:t>geographical</w:t>
            </w:r>
            <w:r>
              <w:rPr>
                <w:spacing w:val="-6"/>
                <w:sz w:val="18"/>
              </w:rPr>
              <w:t> </w:t>
            </w:r>
            <w:r>
              <w:rPr>
                <w:spacing w:val="-4"/>
                <w:sz w:val="18"/>
              </w:rPr>
              <w:t>range</w:t>
            </w:r>
          </w:p>
          <w:p>
            <w:pPr>
              <w:pStyle w:val="TableParagraph"/>
              <w:numPr>
                <w:ilvl w:val="0"/>
                <w:numId w:val="52"/>
              </w:numPr>
              <w:tabs>
                <w:tab w:pos="236" w:val="left" w:leader="none"/>
              </w:tabs>
              <w:spacing w:line="237" w:lineRule="auto" w:before="58" w:after="0"/>
              <w:ind w:left="187" w:right="275" w:hanging="68"/>
              <w:jc w:val="left"/>
              <w:rPr>
                <w:sz w:val="18"/>
              </w:rPr>
            </w:pPr>
            <w:r>
              <w:rPr>
                <w:sz w:val="18"/>
              </w:rPr>
              <w:t>Number of underrepresented and non-represented States Parties</w:t>
            </w:r>
          </w:p>
        </w:tc>
        <w:tc>
          <w:tcPr>
            <w:tcW w:w="1064" w:type="dxa"/>
            <w:tcBorders>
              <w:top w:val="single" w:sz="4" w:space="0" w:color="000000"/>
              <w:bottom w:val="single" w:sz="4" w:space="0" w:color="000000"/>
            </w:tcBorders>
          </w:tcPr>
          <w:p>
            <w:pPr>
              <w:pStyle w:val="TableParagraph"/>
              <w:spacing w:before="63"/>
              <w:ind w:left="79"/>
              <w:jc w:val="left"/>
              <w:rPr>
                <w:sz w:val="18"/>
              </w:rPr>
            </w:pPr>
            <w:r>
              <w:rPr>
                <w:rFonts w:ascii="Palatino Linotype"/>
                <w:sz w:val="20"/>
              </w:rPr>
              <w:t>-</w:t>
            </w:r>
            <w:r>
              <w:rPr>
                <w:rFonts w:ascii="Palatino Linotype"/>
                <w:spacing w:val="-2"/>
                <w:sz w:val="20"/>
              </w:rPr>
              <w:t> </w:t>
            </w:r>
            <w:r>
              <w:rPr>
                <w:spacing w:val="-2"/>
                <w:sz w:val="18"/>
              </w:rPr>
              <w:t>(New)</w:t>
            </w:r>
          </w:p>
          <w:p>
            <w:pPr>
              <w:pStyle w:val="TableParagraph"/>
              <w:spacing w:before="2"/>
              <w:jc w:val="left"/>
              <w:rPr>
                <w:b/>
                <w:sz w:val="28"/>
              </w:rPr>
            </w:pPr>
          </w:p>
          <w:p>
            <w:pPr>
              <w:pStyle w:val="TableParagraph"/>
              <w:ind w:left="79"/>
              <w:jc w:val="left"/>
              <w:rPr>
                <w:sz w:val="18"/>
              </w:rPr>
            </w:pPr>
            <w:r>
              <w:rPr>
                <w:sz w:val="18"/>
              </w:rPr>
              <w:t>-</w:t>
            </w:r>
            <w:r>
              <w:rPr>
                <w:spacing w:val="4"/>
                <w:sz w:val="18"/>
              </w:rPr>
              <w:t> </w:t>
            </w:r>
            <w:r>
              <w:rPr>
                <w:spacing w:val="-5"/>
                <w:sz w:val="18"/>
              </w:rPr>
              <w:t>58%</w:t>
            </w:r>
          </w:p>
          <w:p>
            <w:pPr>
              <w:pStyle w:val="TableParagraph"/>
              <w:spacing w:before="63"/>
              <w:ind w:left="79"/>
              <w:jc w:val="left"/>
              <w:rPr>
                <w:sz w:val="18"/>
              </w:rPr>
            </w:pPr>
            <w:r>
              <w:rPr>
                <w:rFonts w:ascii="Palatino Linotype"/>
                <w:sz w:val="20"/>
              </w:rPr>
              <w:t>-</w:t>
            </w:r>
            <w:r>
              <w:rPr>
                <w:rFonts w:ascii="Palatino Linotype"/>
                <w:spacing w:val="-2"/>
                <w:sz w:val="20"/>
              </w:rPr>
              <w:t> </w:t>
            </w:r>
            <w:r>
              <w:rPr>
                <w:spacing w:val="-2"/>
                <w:sz w:val="18"/>
              </w:rPr>
              <w:t>25/54</w:t>
            </w:r>
          </w:p>
        </w:tc>
        <w:tc>
          <w:tcPr>
            <w:tcW w:w="1629" w:type="dxa"/>
            <w:tcBorders>
              <w:top w:val="single" w:sz="4" w:space="0" w:color="000000"/>
              <w:bottom w:val="single" w:sz="4" w:space="0" w:color="000000"/>
            </w:tcBorders>
          </w:tcPr>
          <w:p>
            <w:pPr>
              <w:pStyle w:val="TableParagraph"/>
              <w:numPr>
                <w:ilvl w:val="0"/>
                <w:numId w:val="53"/>
              </w:numPr>
              <w:tabs>
                <w:tab w:pos="255" w:val="left" w:leader="none"/>
              </w:tabs>
              <w:spacing w:line="240" w:lineRule="auto" w:before="62" w:after="0"/>
              <w:ind w:left="148" w:right="275" w:firstLine="0"/>
              <w:jc w:val="left"/>
              <w:rPr>
                <w:sz w:val="18"/>
              </w:rPr>
            </w:pPr>
            <w:r>
              <w:rPr>
                <w:sz w:val="18"/>
              </w:rPr>
              <w:t>Minimum</w:t>
            </w:r>
            <w:r>
              <w:rPr>
                <w:spacing w:val="-12"/>
                <w:sz w:val="18"/>
              </w:rPr>
              <w:t> </w:t>
            </w:r>
            <w:r>
              <w:rPr>
                <w:sz w:val="18"/>
              </w:rPr>
              <w:t>50%</w:t>
            </w:r>
            <w:r>
              <w:rPr>
                <w:sz w:val="18"/>
              </w:rPr>
              <w:t> </w:t>
            </w:r>
            <w:r>
              <w:rPr>
                <w:spacing w:val="-2"/>
                <w:sz w:val="18"/>
              </w:rPr>
              <w:t>female</w:t>
            </w:r>
          </w:p>
          <w:p>
            <w:pPr>
              <w:pStyle w:val="TableParagraph"/>
              <w:numPr>
                <w:ilvl w:val="0"/>
                <w:numId w:val="53"/>
              </w:numPr>
              <w:tabs>
                <w:tab w:pos="265" w:val="left" w:leader="none"/>
              </w:tabs>
              <w:spacing w:line="240" w:lineRule="auto" w:before="144" w:after="0"/>
              <w:ind w:left="264" w:right="0" w:hanging="117"/>
              <w:jc w:val="left"/>
              <w:rPr>
                <w:rFonts w:ascii="Palatino Linotype" w:hAnsi="Palatino Linotype"/>
                <w:sz w:val="20"/>
              </w:rPr>
            </w:pPr>
            <w:r>
              <w:rPr>
                <w:spacing w:val="-2"/>
                <w:sz w:val="18"/>
              </w:rPr>
              <w:t>(TBD)</w:t>
            </w:r>
          </w:p>
          <w:p>
            <w:pPr>
              <w:pStyle w:val="TableParagraph"/>
              <w:spacing w:before="57"/>
              <w:ind w:left="148"/>
              <w:jc w:val="left"/>
              <w:rPr>
                <w:sz w:val="18"/>
              </w:rPr>
            </w:pPr>
            <w:r>
              <w:rPr>
                <w:rFonts w:ascii="Palatino Linotype"/>
                <w:sz w:val="20"/>
              </w:rPr>
              <w:t>-</w:t>
            </w:r>
            <w:r>
              <w:rPr>
                <w:rFonts w:ascii="Palatino Linotype"/>
                <w:spacing w:val="-2"/>
                <w:sz w:val="20"/>
              </w:rPr>
              <w:t> </w:t>
            </w:r>
            <w:r>
              <w:rPr>
                <w:spacing w:val="-2"/>
                <w:sz w:val="18"/>
              </w:rPr>
              <w:t>24/53</w:t>
            </w:r>
          </w:p>
        </w:tc>
      </w:tr>
      <w:tr>
        <w:trPr>
          <w:trHeight w:val="1737" w:hRule="atLeast"/>
        </w:trPr>
        <w:tc>
          <w:tcPr>
            <w:tcW w:w="2915" w:type="dxa"/>
            <w:tcBorders>
              <w:top w:val="single" w:sz="4" w:space="0" w:color="000000"/>
              <w:bottom w:val="single" w:sz="4" w:space="0" w:color="000000"/>
            </w:tcBorders>
          </w:tcPr>
          <w:p>
            <w:pPr>
              <w:pStyle w:val="TableParagraph"/>
              <w:spacing w:line="206" w:lineRule="exact"/>
              <w:ind w:left="28"/>
              <w:jc w:val="left"/>
              <w:rPr>
                <w:b/>
                <w:sz w:val="18"/>
              </w:rPr>
            </w:pPr>
            <w:r>
              <w:rPr>
                <w:b/>
                <w:sz w:val="18"/>
              </w:rPr>
              <w:t>ICC</w:t>
            </w:r>
            <w:r>
              <w:rPr>
                <w:b/>
                <w:spacing w:val="-2"/>
                <w:sz w:val="18"/>
              </w:rPr>
              <w:t> </w:t>
            </w:r>
            <w:r>
              <w:rPr>
                <w:b/>
                <w:sz w:val="18"/>
              </w:rPr>
              <w:t>Strategic</w:t>
            </w:r>
            <w:r>
              <w:rPr>
                <w:b/>
                <w:spacing w:val="-8"/>
                <w:sz w:val="18"/>
              </w:rPr>
              <w:t> </w:t>
            </w:r>
            <w:r>
              <w:rPr>
                <w:b/>
                <w:sz w:val="18"/>
              </w:rPr>
              <w:t>Goal </w:t>
            </w:r>
            <w:r>
              <w:rPr>
                <w:b/>
                <w:spacing w:val="-5"/>
                <w:sz w:val="18"/>
              </w:rPr>
              <w:t>9:</w:t>
            </w:r>
          </w:p>
          <w:p>
            <w:pPr>
              <w:pStyle w:val="TableParagraph"/>
              <w:ind w:left="28" w:right="67"/>
              <w:jc w:val="left"/>
              <w:rPr>
                <w:sz w:val="18"/>
              </w:rPr>
            </w:pPr>
            <w:r>
              <w:rPr>
                <w:sz w:val="18"/>
              </w:rPr>
              <w:t>Manage resources in an effective, coherent,</w:t>
            </w:r>
            <w:r>
              <w:rPr>
                <w:spacing w:val="-12"/>
                <w:sz w:val="18"/>
              </w:rPr>
              <w:t> </w:t>
            </w:r>
            <w:r>
              <w:rPr>
                <w:sz w:val="18"/>
              </w:rPr>
              <w:t>transparent,</w:t>
            </w:r>
            <w:r>
              <w:rPr>
                <w:spacing w:val="-11"/>
                <w:sz w:val="18"/>
              </w:rPr>
              <w:t> </w:t>
            </w:r>
            <w:r>
              <w:rPr>
                <w:sz w:val="18"/>
              </w:rPr>
              <w:t>responsible</w:t>
            </w:r>
            <w:r>
              <w:rPr>
                <w:spacing w:val="-11"/>
                <w:sz w:val="18"/>
              </w:rPr>
              <w:t> </w:t>
            </w:r>
            <w:r>
              <w:rPr>
                <w:sz w:val="18"/>
              </w:rPr>
              <w:t>and adaptable manner that reflects the culture of continuous improvement, and further develop</w:t>
            </w:r>
            <w:r>
              <w:rPr>
                <w:spacing w:val="-3"/>
                <w:sz w:val="18"/>
              </w:rPr>
              <w:t> </w:t>
            </w:r>
            <w:r>
              <w:rPr>
                <w:sz w:val="18"/>
              </w:rPr>
              <w:t>the sustainability and resilience of the Court against identified risks.</w:t>
            </w:r>
          </w:p>
        </w:tc>
        <w:tc>
          <w:tcPr>
            <w:tcW w:w="4093" w:type="dxa"/>
            <w:tcBorders>
              <w:top w:val="single" w:sz="4" w:space="0" w:color="000000"/>
              <w:bottom w:val="single" w:sz="4" w:space="0" w:color="000000"/>
            </w:tcBorders>
          </w:tcPr>
          <w:p>
            <w:pPr>
              <w:pStyle w:val="TableParagraph"/>
              <w:numPr>
                <w:ilvl w:val="0"/>
                <w:numId w:val="54"/>
              </w:numPr>
              <w:tabs>
                <w:tab w:pos="236" w:val="left" w:leader="none"/>
              </w:tabs>
              <w:spacing w:line="240" w:lineRule="auto" w:before="63" w:after="0"/>
              <w:ind w:left="235" w:right="0" w:hanging="116"/>
              <w:jc w:val="left"/>
              <w:rPr>
                <w:rFonts w:ascii="Palatino Linotype" w:hAnsi="Palatino Linotype"/>
                <w:sz w:val="20"/>
              </w:rPr>
            </w:pPr>
            <w:r>
              <w:rPr>
                <w:sz w:val="18"/>
              </w:rPr>
              <w:t>Budget</w:t>
            </w:r>
            <w:r>
              <w:rPr>
                <w:spacing w:val="-11"/>
                <w:sz w:val="18"/>
              </w:rPr>
              <w:t> </w:t>
            </w:r>
            <w:r>
              <w:rPr>
                <w:sz w:val="18"/>
              </w:rPr>
              <w:t>implementation</w:t>
            </w:r>
            <w:r>
              <w:rPr>
                <w:spacing w:val="-8"/>
                <w:sz w:val="18"/>
              </w:rPr>
              <w:t> </w:t>
            </w:r>
            <w:r>
              <w:rPr>
                <w:spacing w:val="-4"/>
                <w:sz w:val="18"/>
              </w:rPr>
              <w:t>rate</w:t>
            </w:r>
          </w:p>
          <w:p>
            <w:pPr>
              <w:pStyle w:val="TableParagraph"/>
              <w:numPr>
                <w:ilvl w:val="0"/>
                <w:numId w:val="54"/>
              </w:numPr>
              <w:tabs>
                <w:tab w:pos="236" w:val="left" w:leader="none"/>
              </w:tabs>
              <w:spacing w:line="240" w:lineRule="auto" w:before="57" w:after="0"/>
              <w:ind w:left="187" w:right="145" w:hanging="68"/>
              <w:jc w:val="left"/>
              <w:rPr>
                <w:rFonts w:ascii="Palatino Linotype" w:hAnsi="Palatino Linotype"/>
                <w:sz w:val="20"/>
              </w:rPr>
            </w:pPr>
            <w:r>
              <w:rPr>
                <w:sz w:val="18"/>
              </w:rPr>
              <w:t>Percentage</w:t>
            </w:r>
            <w:r>
              <w:rPr>
                <w:spacing w:val="-1"/>
                <w:sz w:val="18"/>
              </w:rPr>
              <w:t> </w:t>
            </w:r>
            <w:r>
              <w:rPr>
                <w:sz w:val="18"/>
              </w:rPr>
              <w:t>of Total assessed</w:t>
            </w:r>
            <w:r>
              <w:rPr>
                <w:spacing w:val="-1"/>
                <w:sz w:val="18"/>
              </w:rPr>
              <w:t> </w:t>
            </w:r>
            <w:r>
              <w:rPr>
                <w:sz w:val="18"/>
              </w:rPr>
              <w:t>contributions received from current and prior years, including host State loan, Contingency Fund and Working Capital Fund</w:t>
            </w:r>
          </w:p>
          <w:p>
            <w:pPr>
              <w:pStyle w:val="TableParagraph"/>
              <w:numPr>
                <w:ilvl w:val="0"/>
                <w:numId w:val="54"/>
              </w:numPr>
              <w:tabs>
                <w:tab w:pos="231" w:val="left" w:leader="none"/>
              </w:tabs>
              <w:spacing w:line="240" w:lineRule="auto" w:before="59" w:after="0"/>
              <w:ind w:left="187" w:right="284" w:hanging="68"/>
              <w:jc w:val="left"/>
              <w:rPr>
                <w:sz w:val="18"/>
              </w:rPr>
            </w:pPr>
            <w:r>
              <w:rPr>
                <w:sz w:val="18"/>
              </w:rPr>
              <w:t>Average</w:t>
            </w:r>
            <w:r>
              <w:rPr>
                <w:spacing w:val="-1"/>
                <w:sz w:val="18"/>
              </w:rPr>
              <w:t> </w:t>
            </w:r>
            <w:r>
              <w:rPr>
                <w:sz w:val="18"/>
              </w:rPr>
              <w:t>time</w:t>
            </w:r>
            <w:r>
              <w:rPr>
                <w:spacing w:val="-1"/>
                <w:sz w:val="18"/>
              </w:rPr>
              <w:t> </w:t>
            </w:r>
            <w:r>
              <w:rPr>
                <w:sz w:val="18"/>
              </w:rPr>
              <w:t>taken</w:t>
            </w:r>
            <w:r>
              <w:rPr>
                <w:spacing w:val="-1"/>
                <w:sz w:val="18"/>
              </w:rPr>
              <w:t> </w:t>
            </w:r>
            <w:r>
              <w:rPr>
                <w:sz w:val="18"/>
              </w:rPr>
              <w:t>to</w:t>
            </w:r>
            <w:r>
              <w:rPr>
                <w:spacing w:val="-1"/>
                <w:sz w:val="18"/>
              </w:rPr>
              <w:t> </w:t>
            </w:r>
            <w:r>
              <w:rPr>
                <w:sz w:val="18"/>
              </w:rPr>
              <w:t>promulgate</w:t>
            </w:r>
            <w:r>
              <w:rPr>
                <w:spacing w:val="-1"/>
                <w:sz w:val="18"/>
              </w:rPr>
              <w:t> </w:t>
            </w:r>
            <w:r>
              <w:rPr>
                <w:sz w:val="18"/>
              </w:rPr>
              <w:t>Administrative </w:t>
            </w:r>
            <w:r>
              <w:rPr>
                <w:spacing w:val="-2"/>
                <w:sz w:val="18"/>
              </w:rPr>
              <w:t>Issuances</w:t>
            </w:r>
          </w:p>
        </w:tc>
        <w:tc>
          <w:tcPr>
            <w:tcW w:w="1064" w:type="dxa"/>
            <w:tcBorders>
              <w:top w:val="single" w:sz="4" w:space="0" w:color="000000"/>
              <w:bottom w:val="single" w:sz="4" w:space="0" w:color="000000"/>
            </w:tcBorders>
          </w:tcPr>
          <w:p>
            <w:pPr>
              <w:pStyle w:val="TableParagraph"/>
              <w:spacing w:before="63"/>
              <w:ind w:left="79"/>
              <w:jc w:val="left"/>
              <w:rPr>
                <w:sz w:val="18"/>
              </w:rPr>
            </w:pPr>
            <w:r>
              <w:rPr>
                <w:rFonts w:ascii="Palatino Linotype"/>
                <w:sz w:val="20"/>
              </w:rPr>
              <w:t>-</w:t>
            </w:r>
            <w:r>
              <w:rPr>
                <w:rFonts w:ascii="Palatino Linotype"/>
                <w:spacing w:val="-2"/>
                <w:sz w:val="20"/>
              </w:rPr>
              <w:t> </w:t>
            </w:r>
            <w:r>
              <w:rPr>
                <w:spacing w:val="-2"/>
                <w:sz w:val="18"/>
              </w:rPr>
              <w:t>97.4%</w:t>
            </w:r>
          </w:p>
          <w:p>
            <w:pPr>
              <w:pStyle w:val="TableParagraph"/>
              <w:spacing w:before="57"/>
              <w:ind w:left="79"/>
              <w:jc w:val="left"/>
              <w:rPr>
                <w:sz w:val="18"/>
              </w:rPr>
            </w:pPr>
            <w:r>
              <w:rPr>
                <w:rFonts w:ascii="Palatino Linotype"/>
                <w:sz w:val="20"/>
              </w:rPr>
              <w:t>-</w:t>
            </w:r>
            <w:r>
              <w:rPr>
                <w:rFonts w:ascii="Palatino Linotype"/>
                <w:spacing w:val="-2"/>
                <w:sz w:val="20"/>
              </w:rPr>
              <w:t> </w:t>
            </w:r>
            <w:r>
              <w:rPr>
                <w:spacing w:val="-5"/>
                <w:sz w:val="18"/>
              </w:rPr>
              <w:t>81%</w:t>
            </w:r>
          </w:p>
          <w:p>
            <w:pPr>
              <w:pStyle w:val="TableParagraph"/>
              <w:jc w:val="left"/>
              <w:rPr>
                <w:b/>
                <w:sz w:val="22"/>
              </w:rPr>
            </w:pPr>
          </w:p>
          <w:p>
            <w:pPr>
              <w:pStyle w:val="TableParagraph"/>
              <w:spacing w:before="9"/>
              <w:jc w:val="left"/>
              <w:rPr>
                <w:b/>
                <w:sz w:val="18"/>
              </w:rPr>
            </w:pPr>
          </w:p>
          <w:p>
            <w:pPr>
              <w:pStyle w:val="TableParagraph"/>
              <w:ind w:left="79"/>
              <w:jc w:val="left"/>
              <w:rPr>
                <w:sz w:val="18"/>
              </w:rPr>
            </w:pPr>
            <w:r>
              <w:rPr>
                <w:rFonts w:ascii="Palatino Linotype"/>
                <w:sz w:val="20"/>
              </w:rPr>
              <w:t>-</w:t>
            </w:r>
            <w:r>
              <w:rPr>
                <w:rFonts w:ascii="Palatino Linotype"/>
                <w:spacing w:val="-2"/>
                <w:sz w:val="20"/>
              </w:rPr>
              <w:t> </w:t>
            </w:r>
            <w:r>
              <w:rPr>
                <w:spacing w:val="-2"/>
                <w:sz w:val="18"/>
              </w:rPr>
              <w:t>(New)</w:t>
            </w:r>
          </w:p>
        </w:tc>
        <w:tc>
          <w:tcPr>
            <w:tcW w:w="1629" w:type="dxa"/>
            <w:tcBorders>
              <w:top w:val="single" w:sz="4" w:space="0" w:color="000000"/>
              <w:bottom w:val="single" w:sz="4" w:space="0" w:color="000000"/>
            </w:tcBorders>
          </w:tcPr>
          <w:p>
            <w:pPr>
              <w:pStyle w:val="TableParagraph"/>
              <w:spacing w:before="63"/>
              <w:ind w:left="148"/>
              <w:jc w:val="left"/>
              <w:rPr>
                <w:sz w:val="18"/>
              </w:rPr>
            </w:pPr>
            <w:r>
              <w:rPr>
                <w:rFonts w:ascii="Palatino Linotype"/>
                <w:sz w:val="20"/>
              </w:rPr>
              <w:t>-</w:t>
            </w:r>
            <w:r>
              <w:rPr>
                <w:rFonts w:ascii="Palatino Linotype"/>
                <w:spacing w:val="-2"/>
                <w:sz w:val="20"/>
              </w:rPr>
              <w:t> </w:t>
            </w:r>
            <w:r>
              <w:rPr>
                <w:spacing w:val="-4"/>
                <w:sz w:val="18"/>
              </w:rPr>
              <w:t>100%</w:t>
            </w:r>
          </w:p>
          <w:p>
            <w:pPr>
              <w:pStyle w:val="TableParagraph"/>
              <w:spacing w:before="57"/>
              <w:ind w:left="148"/>
              <w:jc w:val="left"/>
              <w:rPr>
                <w:sz w:val="18"/>
              </w:rPr>
            </w:pPr>
            <w:r>
              <w:rPr>
                <w:rFonts w:ascii="Palatino Linotype"/>
                <w:sz w:val="20"/>
              </w:rPr>
              <w:t>-</w:t>
            </w:r>
            <w:r>
              <w:rPr>
                <w:rFonts w:ascii="Palatino Linotype"/>
                <w:spacing w:val="-2"/>
                <w:sz w:val="20"/>
              </w:rPr>
              <w:t> </w:t>
            </w:r>
            <w:r>
              <w:rPr>
                <w:spacing w:val="-5"/>
                <w:sz w:val="18"/>
              </w:rPr>
              <w:t>81%</w:t>
            </w:r>
          </w:p>
          <w:p>
            <w:pPr>
              <w:pStyle w:val="TableParagraph"/>
              <w:jc w:val="left"/>
              <w:rPr>
                <w:b/>
                <w:sz w:val="22"/>
              </w:rPr>
            </w:pPr>
          </w:p>
          <w:p>
            <w:pPr>
              <w:pStyle w:val="TableParagraph"/>
              <w:spacing w:before="7"/>
              <w:jc w:val="left"/>
              <w:rPr>
                <w:b/>
                <w:sz w:val="19"/>
              </w:rPr>
            </w:pPr>
          </w:p>
          <w:p>
            <w:pPr>
              <w:pStyle w:val="TableParagraph"/>
              <w:ind w:left="148"/>
              <w:jc w:val="left"/>
              <w:rPr>
                <w:sz w:val="18"/>
              </w:rPr>
            </w:pPr>
            <w:r>
              <w:rPr>
                <w:rFonts w:ascii="Palatino Linotype"/>
                <w:sz w:val="20"/>
              </w:rPr>
              <w:t>-</w:t>
            </w:r>
            <w:r>
              <w:rPr>
                <w:rFonts w:ascii="Palatino Linotype"/>
                <w:spacing w:val="-2"/>
                <w:sz w:val="20"/>
              </w:rPr>
              <w:t> </w:t>
            </w:r>
            <w:r>
              <w:rPr>
                <w:spacing w:val="-5"/>
                <w:sz w:val="18"/>
              </w:rPr>
              <w:t>N/A</w:t>
            </w:r>
          </w:p>
        </w:tc>
      </w:tr>
      <w:tr>
        <w:trPr>
          <w:trHeight w:val="1007" w:hRule="atLeast"/>
        </w:trPr>
        <w:tc>
          <w:tcPr>
            <w:tcW w:w="2915" w:type="dxa"/>
            <w:tcBorders>
              <w:top w:val="single" w:sz="4" w:space="0" w:color="000000"/>
              <w:bottom w:val="single" w:sz="4" w:space="0" w:color="000000"/>
            </w:tcBorders>
          </w:tcPr>
          <w:p>
            <w:pPr>
              <w:pStyle w:val="TableParagraph"/>
              <w:spacing w:before="62"/>
              <w:ind w:left="28"/>
              <w:jc w:val="left"/>
              <w:rPr>
                <w:b/>
                <w:sz w:val="18"/>
              </w:rPr>
            </w:pPr>
            <w:r>
              <w:rPr>
                <w:b/>
                <w:sz w:val="18"/>
              </w:rPr>
              <w:t>ICC</w:t>
            </w:r>
            <w:r>
              <w:rPr>
                <w:b/>
                <w:spacing w:val="-2"/>
                <w:sz w:val="18"/>
              </w:rPr>
              <w:t> </w:t>
            </w:r>
            <w:r>
              <w:rPr>
                <w:b/>
                <w:sz w:val="18"/>
              </w:rPr>
              <w:t>Strategic</w:t>
            </w:r>
            <w:r>
              <w:rPr>
                <w:b/>
                <w:spacing w:val="-8"/>
                <w:sz w:val="18"/>
              </w:rPr>
              <w:t> </w:t>
            </w:r>
            <w:r>
              <w:rPr>
                <w:b/>
                <w:sz w:val="18"/>
              </w:rPr>
              <w:t>Goal</w:t>
            </w:r>
            <w:r>
              <w:rPr>
                <w:b/>
                <w:spacing w:val="-2"/>
                <w:sz w:val="18"/>
              </w:rPr>
              <w:t> </w:t>
            </w:r>
            <w:r>
              <w:rPr>
                <w:b/>
                <w:spacing w:val="-5"/>
                <w:sz w:val="18"/>
              </w:rPr>
              <w:t>10:</w:t>
            </w:r>
          </w:p>
          <w:p>
            <w:pPr>
              <w:pStyle w:val="TableParagraph"/>
              <w:spacing w:before="57"/>
              <w:ind w:left="28" w:right="67"/>
              <w:jc w:val="left"/>
              <w:rPr>
                <w:sz w:val="18"/>
              </w:rPr>
            </w:pPr>
            <w:r>
              <w:rPr>
                <w:sz w:val="18"/>
              </w:rPr>
              <w:t>Build upon a strategy for the completion</w:t>
            </w:r>
            <w:r>
              <w:rPr>
                <w:spacing w:val="-12"/>
                <w:sz w:val="18"/>
              </w:rPr>
              <w:t> </w:t>
            </w:r>
            <w:r>
              <w:rPr>
                <w:sz w:val="18"/>
              </w:rPr>
              <w:t>of</w:t>
            </w:r>
            <w:r>
              <w:rPr>
                <w:spacing w:val="-11"/>
                <w:sz w:val="18"/>
              </w:rPr>
              <w:t> </w:t>
            </w:r>
            <w:r>
              <w:rPr>
                <w:sz w:val="18"/>
              </w:rPr>
              <w:t>situations</w:t>
            </w:r>
            <w:r>
              <w:rPr>
                <w:spacing w:val="-11"/>
                <w:sz w:val="18"/>
              </w:rPr>
              <w:t> </w:t>
            </w:r>
            <w:r>
              <w:rPr>
                <w:sz w:val="18"/>
              </w:rPr>
              <w:t>under </w:t>
            </w:r>
            <w:r>
              <w:rPr>
                <w:spacing w:val="-2"/>
                <w:sz w:val="18"/>
              </w:rPr>
              <w:t>investigation.</w:t>
            </w:r>
          </w:p>
        </w:tc>
        <w:tc>
          <w:tcPr>
            <w:tcW w:w="4093" w:type="dxa"/>
            <w:tcBorders>
              <w:top w:val="single" w:sz="4" w:space="0" w:color="000000"/>
              <w:bottom w:val="single" w:sz="4" w:space="0" w:color="000000"/>
            </w:tcBorders>
          </w:tcPr>
          <w:p>
            <w:pPr>
              <w:pStyle w:val="TableParagraph"/>
              <w:numPr>
                <w:ilvl w:val="0"/>
                <w:numId w:val="55"/>
              </w:numPr>
              <w:tabs>
                <w:tab w:pos="236" w:val="left" w:leader="none"/>
              </w:tabs>
              <w:spacing w:line="269" w:lineRule="exact" w:before="1" w:after="0"/>
              <w:ind w:left="235" w:right="0" w:hanging="116"/>
              <w:jc w:val="left"/>
              <w:rPr>
                <w:sz w:val="18"/>
              </w:rPr>
            </w:pPr>
            <w:r>
              <w:rPr>
                <w:sz w:val="18"/>
              </w:rPr>
              <w:t>Existence</w:t>
            </w:r>
            <w:r>
              <w:rPr>
                <w:spacing w:val="-6"/>
                <w:sz w:val="18"/>
              </w:rPr>
              <w:t> </w:t>
            </w:r>
            <w:r>
              <w:rPr>
                <w:sz w:val="18"/>
              </w:rPr>
              <w:t>and</w:t>
            </w:r>
            <w:r>
              <w:rPr>
                <w:spacing w:val="-9"/>
                <w:sz w:val="18"/>
              </w:rPr>
              <w:t> </w:t>
            </w:r>
            <w:r>
              <w:rPr>
                <w:sz w:val="18"/>
              </w:rPr>
              <w:t>implementation</w:t>
            </w:r>
            <w:r>
              <w:rPr>
                <w:spacing w:val="-5"/>
                <w:sz w:val="18"/>
              </w:rPr>
              <w:t> </w:t>
            </w:r>
            <w:r>
              <w:rPr>
                <w:sz w:val="18"/>
              </w:rPr>
              <w:t>of</w:t>
            </w:r>
            <w:r>
              <w:rPr>
                <w:spacing w:val="-5"/>
                <w:sz w:val="18"/>
              </w:rPr>
              <w:t> </w:t>
            </w:r>
            <w:r>
              <w:rPr>
                <w:sz w:val="18"/>
              </w:rPr>
              <w:t>a</w:t>
            </w:r>
            <w:r>
              <w:rPr>
                <w:spacing w:val="-1"/>
                <w:sz w:val="18"/>
              </w:rPr>
              <w:t> </w:t>
            </w:r>
            <w:r>
              <w:rPr>
                <w:sz w:val="18"/>
              </w:rPr>
              <w:t>situation</w:t>
            </w:r>
            <w:r>
              <w:rPr>
                <w:spacing w:val="-5"/>
                <w:sz w:val="18"/>
              </w:rPr>
              <w:t> </w:t>
            </w:r>
            <w:r>
              <w:rPr>
                <w:spacing w:val="-2"/>
                <w:sz w:val="18"/>
              </w:rPr>
              <w:t>strategy</w:t>
            </w:r>
          </w:p>
          <w:p>
            <w:pPr>
              <w:pStyle w:val="TableParagraph"/>
              <w:numPr>
                <w:ilvl w:val="0"/>
                <w:numId w:val="55"/>
              </w:numPr>
              <w:tabs>
                <w:tab w:pos="236" w:val="left" w:leader="none"/>
              </w:tabs>
              <w:spacing w:line="269" w:lineRule="exact" w:before="0" w:after="0"/>
              <w:ind w:left="235" w:right="0" w:hanging="116"/>
              <w:jc w:val="left"/>
              <w:rPr>
                <w:sz w:val="18"/>
              </w:rPr>
            </w:pPr>
            <w:r>
              <w:rPr>
                <w:sz w:val="18"/>
              </w:rPr>
              <w:t>Completion</w:t>
            </w:r>
            <w:r>
              <w:rPr>
                <w:spacing w:val="-6"/>
                <w:sz w:val="18"/>
              </w:rPr>
              <w:t> </w:t>
            </w:r>
            <w:r>
              <w:rPr>
                <w:sz w:val="18"/>
              </w:rPr>
              <w:t>of</w:t>
            </w:r>
            <w:r>
              <w:rPr>
                <w:spacing w:val="-4"/>
                <w:sz w:val="18"/>
              </w:rPr>
              <w:t> </w:t>
            </w:r>
            <w:r>
              <w:rPr>
                <w:sz w:val="18"/>
              </w:rPr>
              <w:t>situations</w:t>
            </w:r>
            <w:r>
              <w:rPr>
                <w:spacing w:val="-5"/>
                <w:sz w:val="18"/>
              </w:rPr>
              <w:t> </w:t>
            </w:r>
            <w:r>
              <w:rPr>
                <w:sz w:val="18"/>
              </w:rPr>
              <w:t>as</w:t>
            </w:r>
            <w:r>
              <w:rPr>
                <w:spacing w:val="-5"/>
                <w:sz w:val="18"/>
              </w:rPr>
              <w:t> </w:t>
            </w:r>
            <w:r>
              <w:rPr>
                <w:spacing w:val="-2"/>
                <w:sz w:val="18"/>
              </w:rPr>
              <w:t>planned</w:t>
            </w:r>
          </w:p>
        </w:tc>
        <w:tc>
          <w:tcPr>
            <w:tcW w:w="1064" w:type="dxa"/>
            <w:tcBorders>
              <w:top w:val="single" w:sz="4" w:space="0" w:color="000000"/>
              <w:bottom w:val="single" w:sz="4" w:space="0" w:color="000000"/>
            </w:tcBorders>
          </w:tcPr>
          <w:p>
            <w:pPr>
              <w:pStyle w:val="TableParagraph"/>
              <w:numPr>
                <w:ilvl w:val="0"/>
                <w:numId w:val="56"/>
              </w:numPr>
              <w:tabs>
                <w:tab w:pos="195" w:val="left" w:leader="none"/>
              </w:tabs>
              <w:spacing w:line="269" w:lineRule="exact" w:before="63" w:after="0"/>
              <w:ind w:left="194" w:right="0" w:hanging="116"/>
              <w:jc w:val="left"/>
              <w:rPr>
                <w:sz w:val="18"/>
              </w:rPr>
            </w:pPr>
            <w:r>
              <w:rPr>
                <w:spacing w:val="-2"/>
                <w:sz w:val="18"/>
              </w:rPr>
              <w:t>(New)</w:t>
            </w:r>
          </w:p>
          <w:p>
            <w:pPr>
              <w:pStyle w:val="TableParagraph"/>
              <w:numPr>
                <w:ilvl w:val="0"/>
                <w:numId w:val="56"/>
              </w:numPr>
              <w:tabs>
                <w:tab w:pos="195" w:val="left" w:leader="none"/>
              </w:tabs>
              <w:spacing w:line="269" w:lineRule="exact" w:before="0" w:after="0"/>
              <w:ind w:left="194" w:right="0" w:hanging="116"/>
              <w:jc w:val="left"/>
              <w:rPr>
                <w:sz w:val="18"/>
              </w:rPr>
            </w:pPr>
            <w:r>
              <w:rPr>
                <w:spacing w:val="-2"/>
                <w:sz w:val="18"/>
              </w:rPr>
              <w:t>(New)</w:t>
            </w:r>
          </w:p>
        </w:tc>
        <w:tc>
          <w:tcPr>
            <w:tcW w:w="1629" w:type="dxa"/>
            <w:tcBorders>
              <w:top w:val="single" w:sz="4" w:space="0" w:color="000000"/>
              <w:bottom w:val="single" w:sz="4" w:space="0" w:color="000000"/>
            </w:tcBorders>
          </w:tcPr>
          <w:p>
            <w:pPr>
              <w:pStyle w:val="TableParagraph"/>
              <w:numPr>
                <w:ilvl w:val="0"/>
                <w:numId w:val="57"/>
              </w:numPr>
              <w:tabs>
                <w:tab w:pos="265" w:val="left" w:leader="none"/>
              </w:tabs>
              <w:spacing w:line="269" w:lineRule="exact" w:before="63" w:after="0"/>
              <w:ind w:left="264" w:right="0" w:hanging="117"/>
              <w:jc w:val="left"/>
              <w:rPr>
                <w:sz w:val="18"/>
              </w:rPr>
            </w:pPr>
            <w:r>
              <w:rPr>
                <w:spacing w:val="-5"/>
                <w:sz w:val="18"/>
              </w:rPr>
              <w:t>N/A</w:t>
            </w:r>
          </w:p>
          <w:p>
            <w:pPr>
              <w:pStyle w:val="TableParagraph"/>
              <w:numPr>
                <w:ilvl w:val="0"/>
                <w:numId w:val="57"/>
              </w:numPr>
              <w:tabs>
                <w:tab w:pos="265" w:val="left" w:leader="none"/>
              </w:tabs>
              <w:spacing w:line="269" w:lineRule="exact" w:before="0" w:after="0"/>
              <w:ind w:left="264" w:right="0" w:hanging="117"/>
              <w:jc w:val="left"/>
              <w:rPr>
                <w:sz w:val="18"/>
              </w:rPr>
            </w:pPr>
            <w:r>
              <w:rPr>
                <w:spacing w:val="-5"/>
                <w:sz w:val="18"/>
              </w:rPr>
              <w:t>N/A</w:t>
            </w:r>
          </w:p>
        </w:tc>
      </w:tr>
    </w:tbl>
    <w:p>
      <w:pPr>
        <w:pStyle w:val="ListParagraph"/>
        <w:numPr>
          <w:ilvl w:val="0"/>
          <w:numId w:val="49"/>
        </w:numPr>
        <w:tabs>
          <w:tab w:pos="2401" w:val="left" w:leader="none"/>
        </w:tabs>
        <w:spacing w:line="240" w:lineRule="auto" w:before="123" w:after="0"/>
        <w:ind w:left="2246" w:right="2248" w:firstLine="0"/>
        <w:jc w:val="both"/>
        <w:rPr>
          <w:sz w:val="20"/>
        </w:rPr>
      </w:pPr>
      <w:r>
        <w:rPr>
          <w:sz w:val="20"/>
        </w:rPr>
        <w:t>Targets</w:t>
      </w:r>
      <w:r>
        <w:rPr>
          <w:spacing w:val="-5"/>
          <w:sz w:val="20"/>
        </w:rPr>
        <w:t> </w:t>
      </w:r>
      <w:r>
        <w:rPr>
          <w:sz w:val="20"/>
        </w:rPr>
        <w:t>indicated</w:t>
      </w:r>
      <w:r>
        <w:rPr>
          <w:spacing w:val="-4"/>
          <w:sz w:val="20"/>
        </w:rPr>
        <w:t> </w:t>
      </w:r>
      <w:r>
        <w:rPr>
          <w:sz w:val="20"/>
        </w:rPr>
        <w:t>as</w:t>
      </w:r>
      <w:r>
        <w:rPr>
          <w:spacing w:val="-5"/>
          <w:sz w:val="20"/>
        </w:rPr>
        <w:t> </w:t>
      </w:r>
      <w:r>
        <w:rPr>
          <w:sz w:val="20"/>
        </w:rPr>
        <w:t>“TBD”</w:t>
      </w:r>
      <w:r>
        <w:rPr>
          <w:spacing w:val="-2"/>
          <w:sz w:val="20"/>
        </w:rPr>
        <w:t> </w:t>
      </w:r>
      <w:r>
        <w:rPr>
          <w:sz w:val="20"/>
        </w:rPr>
        <w:t>will</w:t>
      </w:r>
      <w:r>
        <w:rPr>
          <w:spacing w:val="-2"/>
          <w:sz w:val="20"/>
        </w:rPr>
        <w:t> </w:t>
      </w:r>
      <w:r>
        <w:rPr>
          <w:sz w:val="20"/>
        </w:rPr>
        <w:t>be</w:t>
      </w:r>
      <w:r>
        <w:rPr>
          <w:spacing w:val="-2"/>
          <w:sz w:val="20"/>
        </w:rPr>
        <w:t> </w:t>
      </w:r>
      <w:r>
        <w:rPr>
          <w:sz w:val="20"/>
        </w:rPr>
        <w:t>determined</w:t>
      </w:r>
      <w:r>
        <w:rPr>
          <w:spacing w:val="-4"/>
          <w:sz w:val="20"/>
        </w:rPr>
        <w:t> </w:t>
      </w:r>
      <w:r>
        <w:rPr>
          <w:sz w:val="20"/>
        </w:rPr>
        <w:t>by</w:t>
      </w:r>
      <w:r>
        <w:rPr>
          <w:spacing w:val="-4"/>
          <w:sz w:val="20"/>
        </w:rPr>
        <w:t> </w:t>
      </w:r>
      <w:r>
        <w:rPr>
          <w:sz w:val="20"/>
        </w:rPr>
        <w:t>the end</w:t>
      </w:r>
      <w:r>
        <w:rPr>
          <w:spacing w:val="-4"/>
          <w:sz w:val="20"/>
        </w:rPr>
        <w:t> </w:t>
      </w:r>
      <w:r>
        <w:rPr>
          <w:sz w:val="20"/>
        </w:rPr>
        <w:t>of 2022</w:t>
      </w:r>
      <w:r>
        <w:rPr>
          <w:spacing w:val="-4"/>
          <w:sz w:val="20"/>
        </w:rPr>
        <w:t> </w:t>
      </w:r>
      <w:r>
        <w:rPr>
          <w:sz w:val="20"/>
        </w:rPr>
        <w:t>and will</w:t>
      </w:r>
      <w:r>
        <w:rPr>
          <w:spacing w:val="-2"/>
          <w:sz w:val="20"/>
        </w:rPr>
        <w:t> </w:t>
      </w:r>
      <w:r>
        <w:rPr>
          <w:sz w:val="20"/>
        </w:rPr>
        <w:t>be</w:t>
      </w:r>
      <w:r>
        <w:rPr>
          <w:spacing w:val="-2"/>
          <w:sz w:val="20"/>
        </w:rPr>
        <w:t> </w:t>
      </w:r>
      <w:r>
        <w:rPr>
          <w:sz w:val="20"/>
        </w:rPr>
        <w:t>included</w:t>
      </w:r>
      <w:r>
        <w:rPr>
          <w:spacing w:val="-4"/>
          <w:sz w:val="20"/>
        </w:rPr>
        <w:t> </w:t>
      </w:r>
      <w:r>
        <w:rPr>
          <w:sz w:val="20"/>
        </w:rPr>
        <w:t>in the ICC Strategic Plan 2023-2025.</w:t>
      </w:r>
    </w:p>
    <w:p>
      <w:pPr>
        <w:pStyle w:val="BodyText"/>
        <w:spacing w:line="237" w:lineRule="auto" w:before="3"/>
        <w:ind w:left="2246" w:right="2241"/>
        <w:jc w:val="both"/>
      </w:pPr>
      <w:r>
        <w:rPr/>
        <w:t>For newly developed KPIs, baselines</w:t>
      </w:r>
      <w:r>
        <w:rPr>
          <w:spacing w:val="-2"/>
        </w:rPr>
        <w:t> </w:t>
      </w:r>
      <w:r>
        <w:rPr/>
        <w:t>are</w:t>
      </w:r>
      <w:r>
        <w:rPr>
          <w:spacing w:val="-3"/>
        </w:rPr>
        <w:t> </w:t>
      </w:r>
      <w:r>
        <w:rPr/>
        <w:t>absent therefore indicated as</w:t>
      </w:r>
      <w:r>
        <w:rPr>
          <w:spacing w:val="-6"/>
        </w:rPr>
        <w:t> </w:t>
      </w:r>
      <w:r>
        <w:rPr/>
        <w:t>“New”.</w:t>
      </w:r>
      <w:r>
        <w:rPr>
          <w:spacing w:val="-2"/>
        </w:rPr>
        <w:t> </w:t>
      </w:r>
      <w:r>
        <w:rPr/>
        <w:t>Most of</w:t>
      </w:r>
      <w:r>
        <w:rPr>
          <w:spacing w:val="-5"/>
        </w:rPr>
        <w:t> </w:t>
      </w:r>
      <w:r>
        <w:rPr/>
        <w:t>their performance targets for 2023 are indicated as</w:t>
      </w:r>
      <w:r>
        <w:rPr>
          <w:spacing w:val="-1"/>
        </w:rPr>
        <w:t> </w:t>
      </w:r>
      <w:r>
        <w:rPr/>
        <w:t>“N/A” as meaningful and realistic targets are difficult to determine in the absence of a 2021 performance baseline.</w:t>
      </w:r>
    </w:p>
    <w:p>
      <w:pPr>
        <w:spacing w:after="0" w:line="237" w:lineRule="auto"/>
        <w:jc w:val="both"/>
        <w:sectPr>
          <w:type w:val="continuous"/>
          <w:pgSz w:w="11910" w:h="16840"/>
          <w:pgMar w:header="953" w:footer="940" w:top="1140" w:bottom="1140" w:left="20" w:right="20"/>
        </w:sectPr>
      </w:pPr>
    </w:p>
    <w:p>
      <w:pPr>
        <w:pStyle w:val="BodyText"/>
        <w:spacing w:line="20" w:lineRule="exact"/>
        <w:ind w:left="1084"/>
        <w:rPr>
          <w:sz w:val="2"/>
        </w:rPr>
      </w:pPr>
      <w:r>
        <w:rPr>
          <w:sz w:val="2"/>
        </w:rPr>
        <w:pict>
          <v:group style="width:485pt;height:.25pt;mso-position-horizontal-relative:char;mso-position-vertical-relative:line" id="docshapegroup395" coordorigin="0,0" coordsize="9700,5">
            <v:rect style="position:absolute;left:0;top:0;width:9700;height:5" id="docshape396" filled="true" fillcolor="#000000" stroked="false">
              <v:fill type="solid"/>
            </v:rect>
          </v:group>
        </w:pict>
      </w:r>
      <w:r>
        <w:rPr>
          <w:sz w:val="2"/>
        </w:rPr>
      </w:r>
    </w:p>
    <w:p>
      <w:pPr>
        <w:spacing w:before="102"/>
        <w:ind w:left="1679" w:right="0" w:firstLine="0"/>
        <w:jc w:val="left"/>
        <w:rPr>
          <w:b/>
          <w:sz w:val="28"/>
        </w:rPr>
      </w:pPr>
      <w:r>
        <w:rPr>
          <w:b/>
          <w:sz w:val="28"/>
        </w:rPr>
        <w:t>Annex</w:t>
      </w:r>
      <w:r>
        <w:rPr>
          <w:b/>
          <w:spacing w:val="-5"/>
          <w:sz w:val="28"/>
        </w:rPr>
        <w:t> </w:t>
      </w:r>
      <w:r>
        <w:rPr>
          <w:b/>
          <w:sz w:val="28"/>
        </w:rPr>
        <w:t>IV</w:t>
      </w:r>
      <w:r>
        <w:rPr>
          <w:b/>
          <w:spacing w:val="-4"/>
          <w:sz w:val="28"/>
        </w:rPr>
        <w:t> </w:t>
      </w:r>
      <w:r>
        <w:rPr>
          <w:b/>
          <w:spacing w:val="-5"/>
          <w:sz w:val="28"/>
        </w:rPr>
        <w:t>(b)</w:t>
      </w:r>
    </w:p>
    <w:p>
      <w:pPr>
        <w:spacing w:line="256" w:lineRule="auto" w:before="244"/>
        <w:ind w:left="2246" w:right="2195" w:firstLine="0"/>
        <w:jc w:val="left"/>
        <w:rPr>
          <w:b/>
          <w:sz w:val="28"/>
        </w:rPr>
      </w:pPr>
      <w:bookmarkStart w:name="_bookmark68" w:id="69"/>
      <w:bookmarkEnd w:id="69"/>
      <w:r>
        <w:rPr/>
      </w:r>
      <w:r>
        <w:rPr>
          <w:b/>
          <w:sz w:val="28"/>
        </w:rPr>
        <w:t>Major</w:t>
      </w:r>
      <w:r>
        <w:rPr>
          <w:b/>
          <w:spacing w:val="40"/>
          <w:sz w:val="28"/>
        </w:rPr>
        <w:t> </w:t>
      </w:r>
      <w:r>
        <w:rPr>
          <w:b/>
          <w:sz w:val="28"/>
        </w:rPr>
        <w:t>Programme</w:t>
      </w:r>
      <w:r>
        <w:rPr>
          <w:b/>
          <w:spacing w:val="40"/>
          <w:sz w:val="28"/>
        </w:rPr>
        <w:t> </w:t>
      </w:r>
      <w:r>
        <w:rPr>
          <w:b/>
          <w:sz w:val="28"/>
        </w:rPr>
        <w:t>II:</w:t>
      </w:r>
      <w:r>
        <w:rPr>
          <w:b/>
          <w:spacing w:val="40"/>
          <w:sz w:val="28"/>
        </w:rPr>
        <w:t> </w:t>
      </w:r>
      <w:r>
        <w:rPr>
          <w:b/>
          <w:sz w:val="28"/>
        </w:rPr>
        <w:t>Office</w:t>
      </w:r>
      <w:r>
        <w:rPr>
          <w:b/>
          <w:spacing w:val="40"/>
          <w:sz w:val="28"/>
        </w:rPr>
        <w:t> </w:t>
      </w:r>
      <w:r>
        <w:rPr>
          <w:b/>
          <w:sz w:val="28"/>
        </w:rPr>
        <w:t>of</w:t>
      </w:r>
      <w:r>
        <w:rPr>
          <w:b/>
          <w:spacing w:val="40"/>
          <w:sz w:val="28"/>
        </w:rPr>
        <w:t> </w:t>
      </w:r>
      <w:r>
        <w:rPr>
          <w:b/>
          <w:sz w:val="28"/>
        </w:rPr>
        <w:t>the</w:t>
      </w:r>
      <w:r>
        <w:rPr>
          <w:b/>
          <w:spacing w:val="40"/>
          <w:sz w:val="28"/>
        </w:rPr>
        <w:t> </w:t>
      </w:r>
      <w:r>
        <w:rPr>
          <w:b/>
          <w:sz w:val="28"/>
        </w:rPr>
        <w:t>Prosecutor</w:t>
      </w:r>
      <w:r>
        <w:rPr>
          <w:b/>
          <w:spacing w:val="40"/>
          <w:sz w:val="28"/>
        </w:rPr>
        <w:t> </w:t>
      </w:r>
      <w:r>
        <w:rPr>
          <w:b/>
          <w:sz w:val="28"/>
        </w:rPr>
        <w:t>-</w:t>
      </w:r>
      <w:r>
        <w:rPr>
          <w:b/>
          <w:spacing w:val="40"/>
          <w:sz w:val="28"/>
        </w:rPr>
        <w:t> </w:t>
      </w:r>
      <w:r>
        <w:rPr>
          <w:b/>
          <w:sz w:val="28"/>
        </w:rPr>
        <w:t>Expected results, performance indicators and targets for 2023</w:t>
      </w:r>
    </w:p>
    <w:p>
      <w:pPr>
        <w:pStyle w:val="BodyText"/>
        <w:spacing w:before="3" w:after="1"/>
        <w:rPr>
          <w:b/>
          <w:sz w:val="21"/>
        </w:rPr>
      </w:pPr>
    </w:p>
    <w:tbl>
      <w:tblPr>
        <w:tblW w:w="0" w:type="auto"/>
        <w:jc w:val="left"/>
        <w:tblInd w:w="1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14"/>
        <w:gridCol w:w="2843"/>
        <w:gridCol w:w="2547"/>
        <w:gridCol w:w="2696"/>
      </w:tblGrid>
      <w:tr>
        <w:trPr>
          <w:trHeight w:val="330" w:hRule="atLeast"/>
        </w:trPr>
        <w:tc>
          <w:tcPr>
            <w:tcW w:w="1614" w:type="dxa"/>
            <w:tcBorders>
              <w:top w:val="single" w:sz="4" w:space="0" w:color="000000"/>
              <w:bottom w:val="single" w:sz="4" w:space="0" w:color="000000"/>
            </w:tcBorders>
          </w:tcPr>
          <w:p>
            <w:pPr>
              <w:pStyle w:val="TableParagraph"/>
              <w:spacing w:before="62"/>
              <w:ind w:left="168"/>
              <w:jc w:val="left"/>
              <w:rPr>
                <w:i/>
                <w:sz w:val="18"/>
              </w:rPr>
            </w:pPr>
            <w:r>
              <w:rPr>
                <w:i/>
                <w:sz w:val="18"/>
              </w:rPr>
              <w:t>Strategic</w:t>
            </w:r>
            <w:r>
              <w:rPr>
                <w:i/>
                <w:spacing w:val="-2"/>
                <w:sz w:val="18"/>
              </w:rPr>
              <w:t> </w:t>
            </w:r>
            <w:r>
              <w:rPr>
                <w:i/>
                <w:spacing w:val="-4"/>
                <w:sz w:val="18"/>
              </w:rPr>
              <w:t>Goal</w:t>
            </w:r>
          </w:p>
        </w:tc>
        <w:tc>
          <w:tcPr>
            <w:tcW w:w="2843" w:type="dxa"/>
            <w:tcBorders>
              <w:top w:val="single" w:sz="4" w:space="0" w:color="000000"/>
              <w:bottom w:val="single" w:sz="4" w:space="0" w:color="000000"/>
            </w:tcBorders>
          </w:tcPr>
          <w:p>
            <w:pPr>
              <w:pStyle w:val="TableParagraph"/>
              <w:spacing w:before="62"/>
              <w:ind w:left="681"/>
              <w:jc w:val="left"/>
              <w:rPr>
                <w:i/>
                <w:sz w:val="18"/>
              </w:rPr>
            </w:pPr>
            <w:r>
              <w:rPr>
                <w:i/>
                <w:sz w:val="18"/>
              </w:rPr>
              <w:t>Expected</w:t>
            </w:r>
            <w:r>
              <w:rPr>
                <w:i/>
                <w:spacing w:val="-7"/>
                <w:sz w:val="18"/>
              </w:rPr>
              <w:t> </w:t>
            </w:r>
            <w:r>
              <w:rPr>
                <w:i/>
                <w:spacing w:val="-2"/>
                <w:sz w:val="18"/>
              </w:rPr>
              <w:t>results</w:t>
            </w:r>
          </w:p>
        </w:tc>
        <w:tc>
          <w:tcPr>
            <w:tcW w:w="2547" w:type="dxa"/>
            <w:tcBorders>
              <w:top w:val="single" w:sz="4" w:space="0" w:color="000000"/>
              <w:bottom w:val="single" w:sz="4" w:space="0" w:color="000000"/>
            </w:tcBorders>
          </w:tcPr>
          <w:p>
            <w:pPr>
              <w:pStyle w:val="TableParagraph"/>
              <w:spacing w:before="62"/>
              <w:ind w:left="272"/>
              <w:jc w:val="left"/>
              <w:rPr>
                <w:i/>
                <w:sz w:val="18"/>
              </w:rPr>
            </w:pPr>
            <w:r>
              <w:rPr>
                <w:i/>
                <w:sz w:val="18"/>
              </w:rPr>
              <w:t>Performance</w:t>
            </w:r>
            <w:r>
              <w:rPr>
                <w:i/>
                <w:spacing w:val="-5"/>
                <w:sz w:val="18"/>
              </w:rPr>
              <w:t> </w:t>
            </w:r>
            <w:r>
              <w:rPr>
                <w:i/>
                <w:spacing w:val="-2"/>
                <w:sz w:val="18"/>
              </w:rPr>
              <w:t>indicators</w:t>
            </w:r>
          </w:p>
        </w:tc>
        <w:tc>
          <w:tcPr>
            <w:tcW w:w="2696" w:type="dxa"/>
            <w:tcBorders>
              <w:top w:val="single" w:sz="4" w:space="0" w:color="000000"/>
              <w:bottom w:val="single" w:sz="4" w:space="0" w:color="000000"/>
            </w:tcBorders>
          </w:tcPr>
          <w:p>
            <w:pPr>
              <w:pStyle w:val="TableParagraph"/>
              <w:spacing w:before="62"/>
              <w:ind w:left="842"/>
              <w:jc w:val="left"/>
              <w:rPr>
                <w:i/>
                <w:sz w:val="18"/>
              </w:rPr>
            </w:pPr>
            <w:r>
              <w:rPr>
                <w:i/>
                <w:sz w:val="18"/>
              </w:rPr>
              <w:t>Target</w:t>
            </w:r>
            <w:r>
              <w:rPr>
                <w:i/>
                <w:spacing w:val="-2"/>
                <w:sz w:val="18"/>
              </w:rPr>
              <w:t> </w:t>
            </w:r>
            <w:r>
              <w:rPr>
                <w:i/>
                <w:spacing w:val="-4"/>
                <w:sz w:val="18"/>
              </w:rPr>
              <w:t>2023</w:t>
            </w:r>
          </w:p>
        </w:tc>
      </w:tr>
      <w:tr>
        <w:trPr>
          <w:trHeight w:val="532" w:hRule="atLeast"/>
        </w:trPr>
        <w:tc>
          <w:tcPr>
            <w:tcW w:w="1614" w:type="dxa"/>
            <w:tcBorders>
              <w:top w:val="single" w:sz="4" w:space="0" w:color="000000"/>
              <w:bottom w:val="single" w:sz="4" w:space="0" w:color="000000"/>
            </w:tcBorders>
          </w:tcPr>
          <w:p>
            <w:pPr>
              <w:pStyle w:val="TableParagraph"/>
              <w:spacing w:before="57"/>
              <w:ind w:left="28" w:right="376"/>
              <w:jc w:val="left"/>
              <w:rPr>
                <w:b/>
                <w:sz w:val="18"/>
              </w:rPr>
            </w:pPr>
            <w:r>
              <w:rPr>
                <w:b/>
                <w:spacing w:val="-2"/>
                <w:sz w:val="18"/>
              </w:rPr>
              <w:t>Court-wide </w:t>
            </w:r>
            <w:r>
              <w:rPr>
                <w:b/>
                <w:sz w:val="18"/>
              </w:rPr>
              <w:t>Goal 1</w:t>
            </w:r>
          </w:p>
        </w:tc>
        <w:tc>
          <w:tcPr>
            <w:tcW w:w="2843" w:type="dxa"/>
            <w:tcBorders>
              <w:top w:val="single" w:sz="4" w:space="0" w:color="000000"/>
              <w:bottom w:val="single" w:sz="4" w:space="0" w:color="000000"/>
            </w:tcBorders>
          </w:tcPr>
          <w:p>
            <w:pPr>
              <w:pStyle w:val="TableParagraph"/>
              <w:jc w:val="left"/>
              <w:rPr>
                <w:sz w:val="18"/>
              </w:rPr>
            </w:pPr>
          </w:p>
        </w:tc>
        <w:tc>
          <w:tcPr>
            <w:tcW w:w="2547" w:type="dxa"/>
            <w:tcBorders>
              <w:top w:val="single" w:sz="4" w:space="0" w:color="000000"/>
              <w:bottom w:val="single" w:sz="4" w:space="0" w:color="000000"/>
            </w:tcBorders>
          </w:tcPr>
          <w:p>
            <w:pPr>
              <w:pStyle w:val="TableParagraph"/>
              <w:jc w:val="left"/>
              <w:rPr>
                <w:sz w:val="18"/>
              </w:rPr>
            </w:pPr>
          </w:p>
        </w:tc>
        <w:tc>
          <w:tcPr>
            <w:tcW w:w="2696" w:type="dxa"/>
            <w:tcBorders>
              <w:top w:val="single" w:sz="4" w:space="0" w:color="000000"/>
              <w:bottom w:val="single" w:sz="4" w:space="0" w:color="000000"/>
            </w:tcBorders>
          </w:tcPr>
          <w:p>
            <w:pPr>
              <w:pStyle w:val="TableParagraph"/>
              <w:jc w:val="left"/>
              <w:rPr>
                <w:sz w:val="18"/>
              </w:rPr>
            </w:pPr>
          </w:p>
        </w:tc>
      </w:tr>
      <w:tr>
        <w:trPr>
          <w:trHeight w:val="8565" w:hRule="atLeast"/>
        </w:trPr>
        <w:tc>
          <w:tcPr>
            <w:tcW w:w="1614" w:type="dxa"/>
            <w:tcBorders>
              <w:top w:val="single" w:sz="4" w:space="0" w:color="000000"/>
              <w:bottom w:val="single" w:sz="4" w:space="0" w:color="000000"/>
            </w:tcBorders>
          </w:tcPr>
          <w:p>
            <w:pPr>
              <w:pStyle w:val="TableParagraph"/>
              <w:spacing w:before="62"/>
              <w:ind w:left="28" w:right="376"/>
              <w:jc w:val="left"/>
              <w:rPr>
                <w:sz w:val="18"/>
              </w:rPr>
            </w:pPr>
            <w:r>
              <w:rPr>
                <w:b/>
                <w:sz w:val="18"/>
              </w:rPr>
              <w:t>OTP</w:t>
            </w:r>
            <w:r>
              <w:rPr>
                <w:b/>
                <w:spacing w:val="-4"/>
                <w:sz w:val="18"/>
              </w:rPr>
              <w:t> </w:t>
            </w:r>
            <w:r>
              <w:rPr>
                <w:b/>
                <w:sz w:val="18"/>
              </w:rPr>
              <w:t>Strategic Goal</w:t>
            </w:r>
            <w:r>
              <w:rPr>
                <w:b/>
                <w:spacing w:val="-12"/>
                <w:sz w:val="18"/>
              </w:rPr>
              <w:t> </w:t>
            </w:r>
            <w:r>
              <w:rPr>
                <w:b/>
                <w:sz w:val="18"/>
              </w:rPr>
              <w:t>1</w:t>
            </w:r>
            <w:r>
              <w:rPr>
                <w:sz w:val="18"/>
              </w:rPr>
              <w:t>:</w:t>
            </w:r>
            <w:r>
              <w:rPr>
                <w:spacing w:val="-11"/>
                <w:sz w:val="18"/>
              </w:rPr>
              <w:t> </w:t>
            </w:r>
            <w:r>
              <w:rPr>
                <w:sz w:val="18"/>
              </w:rPr>
              <w:t>Deliver results in the </w:t>
            </w:r>
            <w:r>
              <w:rPr>
                <w:spacing w:val="-2"/>
                <w:sz w:val="18"/>
              </w:rPr>
              <w:t>courtroom</w:t>
            </w:r>
          </w:p>
        </w:tc>
        <w:tc>
          <w:tcPr>
            <w:tcW w:w="2843" w:type="dxa"/>
            <w:tcBorders>
              <w:top w:val="single" w:sz="4" w:space="0" w:color="000000"/>
              <w:bottom w:val="single" w:sz="4" w:space="0" w:color="000000"/>
            </w:tcBorders>
          </w:tcPr>
          <w:p>
            <w:pPr>
              <w:pStyle w:val="TableParagraph"/>
              <w:numPr>
                <w:ilvl w:val="0"/>
                <w:numId w:val="58"/>
              </w:numPr>
              <w:tabs>
                <w:tab w:pos="614" w:val="left" w:leader="none"/>
                <w:tab w:pos="615" w:val="left" w:leader="none"/>
              </w:tabs>
              <w:spacing w:line="240" w:lineRule="auto" w:before="1" w:after="0"/>
              <w:ind w:left="614" w:right="271" w:hanging="360"/>
              <w:jc w:val="left"/>
              <w:rPr>
                <w:sz w:val="18"/>
              </w:rPr>
            </w:pPr>
            <w:r>
              <w:rPr>
                <w:sz w:val="18"/>
              </w:rPr>
              <w:t>Justice</w:t>
            </w:r>
            <w:r>
              <w:rPr>
                <w:spacing w:val="-8"/>
                <w:sz w:val="18"/>
              </w:rPr>
              <w:t> </w:t>
            </w:r>
            <w:r>
              <w:rPr>
                <w:sz w:val="18"/>
              </w:rPr>
              <w:t>done</w:t>
            </w:r>
            <w:r>
              <w:rPr>
                <w:spacing w:val="-8"/>
                <w:sz w:val="18"/>
              </w:rPr>
              <w:t> </w:t>
            </w:r>
            <w:r>
              <w:rPr>
                <w:sz w:val="18"/>
              </w:rPr>
              <w:t>and</w:t>
            </w:r>
            <w:r>
              <w:rPr>
                <w:spacing w:val="-8"/>
                <w:sz w:val="18"/>
              </w:rPr>
              <w:t> </w:t>
            </w:r>
            <w:r>
              <w:rPr>
                <w:sz w:val="18"/>
              </w:rPr>
              <w:t>seen</w:t>
            </w:r>
            <w:r>
              <w:rPr>
                <w:spacing w:val="-8"/>
                <w:sz w:val="18"/>
              </w:rPr>
              <w:t> </w:t>
            </w:r>
            <w:r>
              <w:rPr>
                <w:sz w:val="18"/>
              </w:rPr>
              <w:t>to</w:t>
            </w:r>
            <w:r>
              <w:rPr>
                <w:spacing w:val="-8"/>
                <w:sz w:val="18"/>
              </w:rPr>
              <w:t> </w:t>
            </w:r>
            <w:r>
              <w:rPr>
                <w:sz w:val="18"/>
              </w:rPr>
              <w:t>be</w:t>
            </w:r>
            <w:r>
              <w:rPr>
                <w:sz w:val="18"/>
              </w:rPr>
              <w:t> </w:t>
            </w:r>
            <w:r>
              <w:rPr>
                <w:spacing w:val="-4"/>
                <w:sz w:val="18"/>
              </w:rPr>
              <w:t>done</w:t>
            </w:r>
          </w:p>
          <w:p>
            <w:pPr>
              <w:pStyle w:val="TableParagraph"/>
              <w:numPr>
                <w:ilvl w:val="0"/>
                <w:numId w:val="58"/>
              </w:numPr>
              <w:tabs>
                <w:tab w:pos="614" w:val="left" w:leader="none"/>
                <w:tab w:pos="615" w:val="left" w:leader="none"/>
              </w:tabs>
              <w:spacing w:line="240" w:lineRule="auto" w:before="0" w:after="0"/>
              <w:ind w:left="614" w:right="446" w:hanging="360"/>
              <w:jc w:val="left"/>
              <w:rPr>
                <w:sz w:val="18"/>
              </w:rPr>
            </w:pPr>
            <w:r>
              <w:rPr>
                <w:sz w:val="18"/>
              </w:rPr>
              <w:t>Longer term deterrent impact</w:t>
            </w:r>
            <w:r>
              <w:rPr>
                <w:spacing w:val="-12"/>
                <w:sz w:val="18"/>
              </w:rPr>
              <w:t> </w:t>
            </w:r>
            <w:r>
              <w:rPr>
                <w:sz w:val="18"/>
              </w:rPr>
              <w:t>towards</w:t>
            </w:r>
            <w:r>
              <w:rPr>
                <w:spacing w:val="-11"/>
                <w:sz w:val="18"/>
              </w:rPr>
              <w:t> </w:t>
            </w:r>
            <w:r>
              <w:rPr>
                <w:sz w:val="18"/>
              </w:rPr>
              <w:t>potential </w:t>
            </w:r>
            <w:r>
              <w:rPr>
                <w:spacing w:val="-2"/>
                <w:sz w:val="18"/>
              </w:rPr>
              <w:t>perpetrators</w:t>
            </w:r>
          </w:p>
          <w:p>
            <w:pPr>
              <w:pStyle w:val="TableParagraph"/>
              <w:numPr>
                <w:ilvl w:val="0"/>
                <w:numId w:val="58"/>
              </w:numPr>
              <w:tabs>
                <w:tab w:pos="614" w:val="left" w:leader="none"/>
                <w:tab w:pos="615" w:val="left" w:leader="none"/>
              </w:tabs>
              <w:spacing w:line="240" w:lineRule="auto" w:before="0" w:after="0"/>
              <w:ind w:left="614" w:right="313" w:hanging="360"/>
              <w:jc w:val="left"/>
              <w:rPr>
                <w:sz w:val="18"/>
              </w:rPr>
            </w:pPr>
            <w:r>
              <w:rPr>
                <w:sz w:val="18"/>
              </w:rPr>
              <w:t>Support</w:t>
            </w:r>
            <w:r>
              <w:rPr>
                <w:spacing w:val="-12"/>
                <w:sz w:val="18"/>
              </w:rPr>
              <w:t> </w:t>
            </w:r>
            <w:r>
              <w:rPr>
                <w:sz w:val="18"/>
              </w:rPr>
              <w:t>from</w:t>
            </w:r>
            <w:r>
              <w:rPr>
                <w:spacing w:val="-11"/>
                <w:sz w:val="18"/>
              </w:rPr>
              <w:t> </w:t>
            </w:r>
            <w:r>
              <w:rPr>
                <w:sz w:val="18"/>
              </w:rPr>
              <w:t>stakeholders by showing value for </w:t>
            </w:r>
            <w:r>
              <w:rPr>
                <w:spacing w:val="-2"/>
                <w:sz w:val="18"/>
              </w:rPr>
              <w:t>money</w:t>
            </w:r>
          </w:p>
        </w:tc>
        <w:tc>
          <w:tcPr>
            <w:tcW w:w="2547" w:type="dxa"/>
            <w:tcBorders>
              <w:top w:val="single" w:sz="4" w:space="0" w:color="000000"/>
              <w:bottom w:val="single" w:sz="4" w:space="0" w:color="000000"/>
            </w:tcBorders>
          </w:tcPr>
          <w:p>
            <w:pPr>
              <w:pStyle w:val="TableParagraph"/>
              <w:numPr>
                <w:ilvl w:val="0"/>
                <w:numId w:val="59"/>
              </w:numPr>
              <w:tabs>
                <w:tab w:pos="690" w:val="left" w:leader="none"/>
                <w:tab w:pos="691" w:val="left" w:leader="none"/>
              </w:tabs>
              <w:spacing w:line="240" w:lineRule="auto" w:before="1" w:after="0"/>
              <w:ind w:left="690" w:right="524" w:hanging="360"/>
              <w:jc w:val="left"/>
              <w:rPr>
                <w:sz w:val="18"/>
              </w:rPr>
            </w:pPr>
            <w:r>
              <w:rPr>
                <w:sz w:val="18"/>
              </w:rPr>
              <w:t>Compliance with internal planning </w:t>
            </w:r>
            <w:r>
              <w:rPr>
                <w:spacing w:val="-2"/>
                <w:sz w:val="18"/>
              </w:rPr>
              <w:t>requirements </w:t>
            </w:r>
            <w:r>
              <w:rPr>
                <w:sz w:val="18"/>
              </w:rPr>
              <w:t>(situation plan, investigation</w:t>
            </w:r>
            <w:r>
              <w:rPr>
                <w:spacing w:val="-12"/>
                <w:sz w:val="18"/>
              </w:rPr>
              <w:t> </w:t>
            </w:r>
            <w:r>
              <w:rPr>
                <w:sz w:val="18"/>
              </w:rPr>
              <w:t>plan, cooperation plan, evidence</w:t>
            </w:r>
            <w:r>
              <w:rPr>
                <w:spacing w:val="-12"/>
                <w:sz w:val="18"/>
              </w:rPr>
              <w:t> </w:t>
            </w:r>
            <w:r>
              <w:rPr>
                <w:sz w:val="18"/>
              </w:rPr>
              <w:t>reviews)</w:t>
            </w:r>
          </w:p>
          <w:p>
            <w:pPr>
              <w:pStyle w:val="TableParagraph"/>
              <w:numPr>
                <w:ilvl w:val="0"/>
                <w:numId w:val="59"/>
              </w:numPr>
              <w:tabs>
                <w:tab w:pos="690" w:val="left" w:leader="none"/>
                <w:tab w:pos="691" w:val="left" w:leader="none"/>
              </w:tabs>
              <w:spacing w:line="240" w:lineRule="auto" w:before="0" w:after="0"/>
              <w:ind w:left="690" w:right="416" w:hanging="360"/>
              <w:jc w:val="left"/>
              <w:rPr>
                <w:sz w:val="18"/>
              </w:rPr>
            </w:pPr>
            <w:r>
              <w:rPr>
                <w:sz w:val="18"/>
              </w:rPr>
              <w:t>Milestone planning (% of milestones achieved</w:t>
            </w:r>
            <w:r>
              <w:rPr>
                <w:spacing w:val="-12"/>
                <w:sz w:val="18"/>
              </w:rPr>
              <w:t> </w:t>
            </w:r>
            <w:r>
              <w:rPr>
                <w:sz w:val="18"/>
              </w:rPr>
              <w:t>v.</w:t>
            </w:r>
            <w:r>
              <w:rPr>
                <w:spacing w:val="-11"/>
                <w:sz w:val="18"/>
              </w:rPr>
              <w:t> </w:t>
            </w:r>
            <w:r>
              <w:rPr>
                <w:sz w:val="18"/>
              </w:rPr>
              <w:t>planned</w:t>
            </w:r>
            <w:r>
              <w:rPr>
                <w:sz w:val="18"/>
              </w:rPr>
              <w:t> per team)</w:t>
            </w:r>
          </w:p>
          <w:p>
            <w:pPr>
              <w:pStyle w:val="TableParagraph"/>
              <w:numPr>
                <w:ilvl w:val="0"/>
                <w:numId w:val="59"/>
              </w:numPr>
              <w:tabs>
                <w:tab w:pos="690" w:val="left" w:leader="none"/>
                <w:tab w:pos="691" w:val="left" w:leader="none"/>
              </w:tabs>
              <w:spacing w:line="240" w:lineRule="auto" w:before="0" w:after="0"/>
              <w:ind w:left="690" w:right="287" w:hanging="360"/>
              <w:jc w:val="left"/>
              <w:rPr>
                <w:sz w:val="18"/>
              </w:rPr>
            </w:pPr>
            <w:r>
              <w:rPr>
                <w:sz w:val="18"/>
              </w:rPr>
              <w:t>Percentage of applications for warrants</w:t>
            </w:r>
            <w:r>
              <w:rPr>
                <w:spacing w:val="-12"/>
                <w:sz w:val="18"/>
              </w:rPr>
              <w:t> </w:t>
            </w:r>
            <w:r>
              <w:rPr>
                <w:sz w:val="18"/>
              </w:rPr>
              <w:t>of</w:t>
            </w:r>
            <w:r>
              <w:rPr>
                <w:spacing w:val="-11"/>
                <w:sz w:val="18"/>
              </w:rPr>
              <w:t> </w:t>
            </w:r>
            <w:r>
              <w:rPr>
                <w:sz w:val="18"/>
              </w:rPr>
              <w:t>arrest</w:t>
            </w:r>
            <w:r>
              <w:rPr>
                <w:spacing w:val="-11"/>
                <w:sz w:val="18"/>
              </w:rPr>
              <w:t> </w:t>
            </w:r>
            <w:r>
              <w:rPr>
                <w:sz w:val="18"/>
              </w:rPr>
              <w:t>and summonses</w:t>
            </w:r>
            <w:r>
              <w:rPr>
                <w:spacing w:val="-10"/>
                <w:sz w:val="18"/>
              </w:rPr>
              <w:t> </w:t>
            </w:r>
            <w:r>
              <w:rPr>
                <w:sz w:val="18"/>
              </w:rPr>
              <w:t>to</w:t>
            </w:r>
            <w:r>
              <w:rPr>
                <w:spacing w:val="-10"/>
                <w:sz w:val="18"/>
              </w:rPr>
              <w:t> </w:t>
            </w:r>
            <w:r>
              <w:rPr>
                <w:sz w:val="18"/>
              </w:rPr>
              <w:t>appear publicly granted by Pre-Trial Chambers out of the total number of applications</w:t>
            </w:r>
            <w:r>
              <w:rPr>
                <w:spacing w:val="-10"/>
                <w:sz w:val="18"/>
              </w:rPr>
              <w:t> </w:t>
            </w:r>
            <w:r>
              <w:rPr>
                <w:sz w:val="18"/>
              </w:rPr>
              <w:t>filed</w:t>
            </w:r>
            <w:r>
              <w:rPr>
                <w:spacing w:val="-11"/>
                <w:sz w:val="18"/>
              </w:rPr>
              <w:t> </w:t>
            </w:r>
            <w:r>
              <w:rPr>
                <w:sz w:val="18"/>
              </w:rPr>
              <w:t>and made public</w:t>
            </w:r>
          </w:p>
          <w:p>
            <w:pPr>
              <w:pStyle w:val="TableParagraph"/>
              <w:numPr>
                <w:ilvl w:val="0"/>
                <w:numId w:val="59"/>
              </w:numPr>
              <w:tabs>
                <w:tab w:pos="690" w:val="left" w:leader="none"/>
                <w:tab w:pos="691" w:val="left" w:leader="none"/>
              </w:tabs>
              <w:spacing w:line="240" w:lineRule="auto" w:before="0" w:after="0"/>
              <w:ind w:left="690" w:right="259" w:hanging="360"/>
              <w:jc w:val="left"/>
              <w:rPr>
                <w:sz w:val="18"/>
              </w:rPr>
            </w:pPr>
            <w:r>
              <w:rPr>
                <w:sz w:val="18"/>
              </w:rPr>
              <w:t>Percentage</w:t>
            </w:r>
            <w:r>
              <w:rPr>
                <w:spacing w:val="-11"/>
                <w:sz w:val="18"/>
              </w:rPr>
              <w:t> </w:t>
            </w:r>
            <w:r>
              <w:rPr>
                <w:sz w:val="18"/>
              </w:rPr>
              <w:t>of</w:t>
            </w:r>
            <w:r>
              <w:rPr>
                <w:spacing w:val="-11"/>
                <w:sz w:val="18"/>
              </w:rPr>
              <w:t> </w:t>
            </w:r>
            <w:r>
              <w:rPr>
                <w:sz w:val="18"/>
              </w:rPr>
              <w:t>charges confirmed by Pre- Trial</w:t>
            </w:r>
            <w:r>
              <w:rPr>
                <w:spacing w:val="-12"/>
                <w:sz w:val="18"/>
              </w:rPr>
              <w:t> </w:t>
            </w:r>
            <w:r>
              <w:rPr>
                <w:sz w:val="18"/>
              </w:rPr>
              <w:t>Chambers</w:t>
            </w:r>
            <w:r>
              <w:rPr>
                <w:spacing w:val="-11"/>
                <w:sz w:val="18"/>
              </w:rPr>
              <w:t> </w:t>
            </w:r>
            <w:r>
              <w:rPr>
                <w:sz w:val="18"/>
              </w:rPr>
              <w:t>out</w:t>
            </w:r>
            <w:r>
              <w:rPr>
                <w:spacing w:val="-11"/>
                <w:sz w:val="18"/>
              </w:rPr>
              <w:t> </w:t>
            </w:r>
            <w:r>
              <w:rPr>
                <w:sz w:val="18"/>
              </w:rPr>
              <w:t>of</w:t>
            </w:r>
            <w:r>
              <w:rPr>
                <w:sz w:val="18"/>
              </w:rPr>
              <w:t> the total number of charges presented by the OTP at the confirmation of charges stage</w:t>
            </w:r>
          </w:p>
          <w:p>
            <w:pPr>
              <w:pStyle w:val="TableParagraph"/>
              <w:numPr>
                <w:ilvl w:val="0"/>
                <w:numId w:val="59"/>
              </w:numPr>
              <w:tabs>
                <w:tab w:pos="690" w:val="left" w:leader="none"/>
                <w:tab w:pos="691" w:val="left" w:leader="none"/>
              </w:tabs>
              <w:spacing w:line="240" w:lineRule="auto" w:before="0" w:after="0"/>
              <w:ind w:left="690" w:right="287" w:hanging="360"/>
              <w:jc w:val="left"/>
              <w:rPr>
                <w:sz w:val="18"/>
              </w:rPr>
            </w:pPr>
            <w:r>
              <w:rPr>
                <w:sz w:val="18"/>
              </w:rPr>
              <w:t>Percentage of convictions</w:t>
            </w:r>
            <w:r>
              <w:rPr>
                <w:spacing w:val="-12"/>
                <w:sz w:val="18"/>
              </w:rPr>
              <w:t> </w:t>
            </w:r>
            <w:r>
              <w:rPr>
                <w:sz w:val="18"/>
              </w:rPr>
              <w:t>out</w:t>
            </w:r>
            <w:r>
              <w:rPr>
                <w:spacing w:val="-11"/>
                <w:sz w:val="18"/>
              </w:rPr>
              <w:t> </w:t>
            </w:r>
            <w:r>
              <w:rPr>
                <w:sz w:val="18"/>
              </w:rPr>
              <w:t>of</w:t>
            </w:r>
            <w:r>
              <w:rPr>
                <w:spacing w:val="-11"/>
                <w:sz w:val="18"/>
              </w:rPr>
              <w:t> </w:t>
            </w:r>
            <w:r>
              <w:rPr>
                <w:sz w:val="18"/>
              </w:rPr>
              <w:t>the</w:t>
            </w:r>
            <w:r>
              <w:rPr>
                <w:sz w:val="18"/>
              </w:rPr>
              <w:t> total number of trial judgements</w:t>
            </w:r>
            <w:r>
              <w:rPr>
                <w:spacing w:val="-12"/>
                <w:sz w:val="18"/>
              </w:rPr>
              <w:t> </w:t>
            </w:r>
            <w:r>
              <w:rPr>
                <w:sz w:val="18"/>
              </w:rPr>
              <w:t>delivered by Trial Chambers</w:t>
            </w:r>
          </w:p>
          <w:p>
            <w:pPr>
              <w:pStyle w:val="TableParagraph"/>
              <w:numPr>
                <w:ilvl w:val="0"/>
                <w:numId w:val="59"/>
              </w:numPr>
              <w:tabs>
                <w:tab w:pos="690" w:val="left" w:leader="none"/>
                <w:tab w:pos="691" w:val="left" w:leader="none"/>
              </w:tabs>
              <w:spacing w:line="240" w:lineRule="auto" w:before="0" w:after="0"/>
              <w:ind w:left="690" w:right="311" w:hanging="360"/>
              <w:jc w:val="left"/>
              <w:rPr>
                <w:sz w:val="18"/>
              </w:rPr>
            </w:pPr>
            <w:r>
              <w:rPr>
                <w:sz w:val="18"/>
              </w:rPr>
              <w:t>Percentage of counts granted</w:t>
            </w:r>
            <w:r>
              <w:rPr>
                <w:spacing w:val="-12"/>
                <w:sz w:val="18"/>
              </w:rPr>
              <w:t> </w:t>
            </w:r>
            <w:r>
              <w:rPr>
                <w:sz w:val="18"/>
              </w:rPr>
              <w:t>by</w:t>
            </w:r>
            <w:r>
              <w:rPr>
                <w:spacing w:val="-11"/>
                <w:sz w:val="18"/>
              </w:rPr>
              <w:t> </w:t>
            </w:r>
            <w:r>
              <w:rPr>
                <w:sz w:val="18"/>
              </w:rPr>
              <w:t>Chambers out of the total number of counts brought by the OTP per phase in the</w:t>
            </w:r>
          </w:p>
          <w:p>
            <w:pPr>
              <w:pStyle w:val="TableParagraph"/>
              <w:spacing w:line="186" w:lineRule="exact"/>
              <w:ind w:left="690"/>
              <w:jc w:val="left"/>
              <w:rPr>
                <w:sz w:val="18"/>
              </w:rPr>
            </w:pPr>
            <w:r>
              <w:rPr>
                <w:spacing w:val="-2"/>
                <w:sz w:val="18"/>
              </w:rPr>
              <w:t>proceedings</w:t>
            </w:r>
          </w:p>
        </w:tc>
        <w:tc>
          <w:tcPr>
            <w:tcW w:w="2696" w:type="dxa"/>
            <w:tcBorders>
              <w:top w:val="single" w:sz="4" w:space="0" w:color="000000"/>
              <w:bottom w:val="single" w:sz="4" w:space="0" w:color="000000"/>
            </w:tcBorders>
          </w:tcPr>
          <w:p>
            <w:pPr>
              <w:pStyle w:val="TableParagraph"/>
              <w:numPr>
                <w:ilvl w:val="0"/>
                <w:numId w:val="60"/>
              </w:numPr>
              <w:tabs>
                <w:tab w:pos="621" w:val="left" w:leader="none"/>
                <w:tab w:pos="622" w:val="left" w:leader="none"/>
              </w:tabs>
              <w:spacing w:line="242" w:lineRule="auto" w:before="1" w:after="0"/>
              <w:ind w:left="621" w:right="30" w:hanging="360"/>
              <w:jc w:val="left"/>
              <w:rPr>
                <w:rFonts w:ascii="Symbol" w:hAnsi="Symbol"/>
                <w:sz w:val="18"/>
              </w:rPr>
            </w:pPr>
            <w:r>
              <w:rPr>
                <w:rFonts w:ascii="SimSun" w:hAnsi="SimSun"/>
                <w:sz w:val="18"/>
              </w:rPr>
              <w:t>≥</w:t>
            </w:r>
            <w:r>
              <w:rPr>
                <w:rFonts w:ascii="SimSun" w:hAnsi="SimSun"/>
                <w:spacing w:val="-42"/>
                <w:sz w:val="18"/>
              </w:rPr>
              <w:t> </w:t>
            </w:r>
            <w:r>
              <w:rPr>
                <w:sz w:val="18"/>
              </w:rPr>
              <w:t>90%</w:t>
            </w:r>
            <w:r>
              <w:rPr>
                <w:spacing w:val="-12"/>
                <w:sz w:val="18"/>
              </w:rPr>
              <w:t> </w:t>
            </w:r>
            <w:r>
              <w:rPr>
                <w:sz w:val="18"/>
              </w:rPr>
              <w:t>of</w:t>
            </w:r>
            <w:r>
              <w:rPr>
                <w:spacing w:val="-11"/>
                <w:sz w:val="18"/>
              </w:rPr>
              <w:t> </w:t>
            </w:r>
            <w:r>
              <w:rPr>
                <w:sz w:val="18"/>
              </w:rPr>
              <w:t>evidence</w:t>
            </w:r>
            <w:r>
              <w:rPr>
                <w:spacing w:val="-11"/>
                <w:sz w:val="18"/>
              </w:rPr>
              <w:t> </w:t>
            </w:r>
            <w:r>
              <w:rPr>
                <w:sz w:val="18"/>
              </w:rPr>
              <w:t>reviews </w:t>
            </w:r>
            <w:r>
              <w:rPr>
                <w:spacing w:val="-2"/>
                <w:sz w:val="18"/>
              </w:rPr>
              <w:t>completed</w:t>
            </w: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numPr>
                <w:ilvl w:val="0"/>
                <w:numId w:val="60"/>
              </w:numPr>
              <w:tabs>
                <w:tab w:pos="621" w:val="left" w:leader="none"/>
                <w:tab w:pos="622" w:val="left" w:leader="none"/>
              </w:tabs>
              <w:spacing w:line="240" w:lineRule="auto" w:before="159" w:after="0"/>
              <w:ind w:left="621" w:right="582" w:hanging="360"/>
              <w:jc w:val="left"/>
              <w:rPr>
                <w:rFonts w:ascii="Symbol" w:hAnsi="Symbol"/>
                <w:sz w:val="18"/>
              </w:rPr>
            </w:pPr>
            <w:r>
              <w:rPr>
                <w:sz w:val="18"/>
              </w:rPr>
              <w:t>&gt;</w:t>
            </w:r>
            <w:r>
              <w:rPr>
                <w:spacing w:val="-12"/>
                <w:sz w:val="18"/>
              </w:rPr>
              <w:t> </w:t>
            </w:r>
            <w:r>
              <w:rPr>
                <w:sz w:val="18"/>
              </w:rPr>
              <w:t>90%</w:t>
            </w:r>
            <w:r>
              <w:rPr>
                <w:spacing w:val="-11"/>
                <w:sz w:val="18"/>
              </w:rPr>
              <w:t> </w:t>
            </w:r>
            <w:r>
              <w:rPr>
                <w:sz w:val="18"/>
              </w:rPr>
              <w:t>of</w:t>
            </w:r>
            <w:r>
              <w:rPr>
                <w:spacing w:val="-11"/>
                <w:sz w:val="18"/>
              </w:rPr>
              <w:t> </w:t>
            </w:r>
            <w:r>
              <w:rPr>
                <w:sz w:val="18"/>
              </w:rPr>
              <w:t>milestones</w:t>
            </w:r>
            <w:r>
              <w:rPr>
                <w:sz w:val="18"/>
              </w:rPr>
              <w:t> </w:t>
            </w:r>
            <w:r>
              <w:rPr>
                <w:spacing w:val="-2"/>
                <w:sz w:val="18"/>
              </w:rPr>
              <w:t>completed</w:t>
            </w:r>
          </w:p>
          <w:p>
            <w:pPr>
              <w:pStyle w:val="TableParagraph"/>
              <w:spacing w:before="10"/>
              <w:jc w:val="left"/>
              <w:rPr>
                <w:b/>
                <w:sz w:val="17"/>
              </w:rPr>
            </w:pPr>
          </w:p>
          <w:p>
            <w:pPr>
              <w:pStyle w:val="TableParagraph"/>
              <w:numPr>
                <w:ilvl w:val="0"/>
                <w:numId w:val="60"/>
              </w:numPr>
              <w:tabs>
                <w:tab w:pos="669" w:val="left" w:leader="none"/>
                <w:tab w:pos="670" w:val="left" w:leader="none"/>
              </w:tabs>
              <w:spacing w:line="240" w:lineRule="auto" w:before="0" w:after="0"/>
              <w:ind w:left="669" w:right="0" w:hanging="409"/>
              <w:jc w:val="left"/>
              <w:rPr>
                <w:rFonts w:ascii="Symbol" w:hAnsi="Symbol"/>
                <w:sz w:val="18"/>
              </w:rPr>
            </w:pPr>
            <w:r>
              <w:rPr>
                <w:sz w:val="18"/>
              </w:rPr>
              <w:t>90%</w:t>
            </w:r>
            <w:r>
              <w:rPr>
                <w:spacing w:val="-4"/>
                <w:sz w:val="18"/>
              </w:rPr>
              <w:t> </w:t>
            </w:r>
            <w:r>
              <w:rPr>
                <w:sz w:val="18"/>
              </w:rPr>
              <w:t>of</w:t>
            </w:r>
            <w:r>
              <w:rPr>
                <w:spacing w:val="-3"/>
                <w:sz w:val="18"/>
              </w:rPr>
              <w:t> </w:t>
            </w:r>
            <w:r>
              <w:rPr>
                <w:sz w:val="18"/>
              </w:rPr>
              <w:t>requests</w:t>
            </w:r>
            <w:r>
              <w:rPr>
                <w:spacing w:val="-4"/>
                <w:sz w:val="18"/>
              </w:rPr>
              <w:t> </w:t>
            </w:r>
            <w:r>
              <w:rPr>
                <w:spacing w:val="-2"/>
                <w:sz w:val="18"/>
              </w:rPr>
              <w:t>granted</w:t>
            </w: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numPr>
                <w:ilvl w:val="0"/>
                <w:numId w:val="60"/>
              </w:numPr>
              <w:tabs>
                <w:tab w:pos="621" w:val="left" w:leader="none"/>
                <w:tab w:pos="622" w:val="left" w:leader="none"/>
              </w:tabs>
              <w:spacing w:line="242" w:lineRule="auto" w:before="181" w:after="0"/>
              <w:ind w:left="621" w:right="332" w:hanging="360"/>
              <w:jc w:val="left"/>
              <w:rPr>
                <w:rFonts w:ascii="Symbol" w:hAnsi="Symbol"/>
                <w:sz w:val="18"/>
              </w:rPr>
            </w:pPr>
            <w:r>
              <w:rPr>
                <w:rFonts w:ascii="SimSun" w:hAnsi="SimSun"/>
                <w:sz w:val="18"/>
              </w:rPr>
              <w:t>≥</w:t>
            </w:r>
            <w:r>
              <w:rPr>
                <w:rFonts w:ascii="SimSun" w:hAnsi="SimSun"/>
                <w:spacing w:val="-9"/>
                <w:sz w:val="18"/>
              </w:rPr>
              <w:t> </w:t>
            </w:r>
            <w:r>
              <w:rPr>
                <w:sz w:val="18"/>
              </w:rPr>
              <w:t>90% of charges confirmed</w:t>
            </w:r>
            <w:r>
              <w:rPr>
                <w:spacing w:val="-12"/>
                <w:sz w:val="18"/>
              </w:rPr>
              <w:t> </w:t>
            </w:r>
            <w:r>
              <w:rPr>
                <w:sz w:val="18"/>
              </w:rPr>
              <w:t>by</w:t>
            </w:r>
            <w:r>
              <w:rPr>
                <w:spacing w:val="-11"/>
                <w:sz w:val="18"/>
              </w:rPr>
              <w:t> </w:t>
            </w:r>
            <w:r>
              <w:rPr>
                <w:sz w:val="18"/>
              </w:rPr>
              <w:t>Chambers</w:t>
            </w: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numPr>
                <w:ilvl w:val="0"/>
                <w:numId w:val="60"/>
              </w:numPr>
              <w:tabs>
                <w:tab w:pos="621" w:val="left" w:leader="none"/>
                <w:tab w:pos="622" w:val="left" w:leader="none"/>
              </w:tabs>
              <w:spacing w:line="242" w:lineRule="auto" w:before="116" w:after="0"/>
              <w:ind w:left="621" w:right="725" w:hanging="360"/>
              <w:jc w:val="left"/>
              <w:rPr>
                <w:rFonts w:ascii="Symbol" w:hAnsi="Symbol"/>
                <w:sz w:val="18"/>
              </w:rPr>
            </w:pPr>
            <w:r>
              <w:rPr>
                <w:rFonts w:ascii="SimSun" w:hAnsi="SimSun"/>
                <w:sz w:val="18"/>
              </w:rPr>
              <w:t>≥</w:t>
            </w:r>
            <w:r>
              <w:rPr>
                <w:rFonts w:ascii="SimSun" w:hAnsi="SimSun"/>
                <w:spacing w:val="-42"/>
                <w:sz w:val="18"/>
              </w:rPr>
              <w:t> </w:t>
            </w:r>
            <w:r>
              <w:rPr>
                <w:sz w:val="18"/>
              </w:rPr>
              <w:t>90%</w:t>
            </w:r>
            <w:r>
              <w:rPr>
                <w:spacing w:val="-12"/>
                <w:sz w:val="18"/>
              </w:rPr>
              <w:t> </w:t>
            </w:r>
            <w:r>
              <w:rPr>
                <w:sz w:val="18"/>
              </w:rPr>
              <w:t>of</w:t>
            </w:r>
            <w:r>
              <w:rPr>
                <w:spacing w:val="-11"/>
                <w:sz w:val="18"/>
              </w:rPr>
              <w:t> </w:t>
            </w:r>
            <w:r>
              <w:rPr>
                <w:sz w:val="18"/>
              </w:rPr>
              <w:t>persons</w:t>
            </w:r>
            <w:r>
              <w:rPr>
                <w:sz w:val="18"/>
              </w:rPr>
              <w:t> </w:t>
            </w:r>
            <w:r>
              <w:rPr>
                <w:spacing w:val="-2"/>
                <w:sz w:val="18"/>
              </w:rPr>
              <w:t>convicted</w:t>
            </w: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9"/>
              <w:jc w:val="left"/>
              <w:rPr>
                <w:b/>
                <w:sz w:val="15"/>
              </w:rPr>
            </w:pPr>
          </w:p>
          <w:p>
            <w:pPr>
              <w:pStyle w:val="TableParagraph"/>
              <w:numPr>
                <w:ilvl w:val="0"/>
                <w:numId w:val="60"/>
              </w:numPr>
              <w:tabs>
                <w:tab w:pos="621" w:val="left" w:leader="none"/>
                <w:tab w:pos="622" w:val="left" w:leader="none"/>
              </w:tabs>
              <w:spacing w:line="242" w:lineRule="auto" w:before="0" w:after="0"/>
              <w:ind w:left="621" w:right="220" w:hanging="360"/>
              <w:jc w:val="left"/>
              <w:rPr>
                <w:rFonts w:ascii="Symbol" w:hAnsi="Symbol"/>
                <w:sz w:val="20"/>
              </w:rPr>
            </w:pPr>
            <w:r>
              <w:rPr>
                <w:rFonts w:ascii="SimSun" w:hAnsi="SimSun"/>
                <w:sz w:val="18"/>
              </w:rPr>
              <w:t>≥</w:t>
            </w:r>
            <w:r>
              <w:rPr>
                <w:rFonts w:ascii="SimSun" w:hAnsi="SimSun"/>
                <w:spacing w:val="-42"/>
                <w:sz w:val="18"/>
              </w:rPr>
              <w:t> </w:t>
            </w:r>
            <w:r>
              <w:rPr>
                <w:sz w:val="18"/>
              </w:rPr>
              <w:t>90%</w:t>
            </w:r>
            <w:r>
              <w:rPr>
                <w:spacing w:val="-12"/>
                <w:sz w:val="18"/>
              </w:rPr>
              <w:t> </w:t>
            </w:r>
            <w:r>
              <w:rPr>
                <w:sz w:val="18"/>
              </w:rPr>
              <w:t>of</w:t>
            </w:r>
            <w:r>
              <w:rPr>
                <w:spacing w:val="-11"/>
                <w:sz w:val="18"/>
              </w:rPr>
              <w:t> </w:t>
            </w:r>
            <w:r>
              <w:rPr>
                <w:sz w:val="18"/>
              </w:rPr>
              <w:t>counts</w:t>
            </w:r>
            <w:r>
              <w:rPr>
                <w:spacing w:val="-11"/>
                <w:sz w:val="18"/>
              </w:rPr>
              <w:t> </w:t>
            </w:r>
            <w:r>
              <w:rPr>
                <w:sz w:val="18"/>
              </w:rPr>
              <w:t>granted by Chambers</w:t>
            </w:r>
          </w:p>
        </w:tc>
      </w:tr>
      <w:tr>
        <w:trPr>
          <w:trHeight w:val="532" w:hRule="atLeast"/>
        </w:trPr>
        <w:tc>
          <w:tcPr>
            <w:tcW w:w="1614" w:type="dxa"/>
            <w:tcBorders>
              <w:top w:val="single" w:sz="4" w:space="0" w:color="000000"/>
              <w:bottom w:val="single" w:sz="4" w:space="0" w:color="000000"/>
            </w:tcBorders>
          </w:tcPr>
          <w:p>
            <w:pPr>
              <w:pStyle w:val="TableParagraph"/>
              <w:spacing w:before="62"/>
              <w:ind w:left="28" w:right="376"/>
              <w:jc w:val="left"/>
              <w:rPr>
                <w:b/>
                <w:sz w:val="18"/>
              </w:rPr>
            </w:pPr>
            <w:r>
              <w:rPr>
                <w:b/>
                <w:spacing w:val="-2"/>
                <w:sz w:val="18"/>
              </w:rPr>
              <w:t>Court-wide </w:t>
            </w:r>
            <w:r>
              <w:rPr>
                <w:b/>
                <w:sz w:val="18"/>
              </w:rPr>
              <w:t>Goals</w:t>
            </w:r>
            <w:r>
              <w:rPr>
                <w:b/>
                <w:spacing w:val="-11"/>
                <w:sz w:val="18"/>
              </w:rPr>
              <w:t> </w:t>
            </w:r>
            <w:r>
              <w:rPr>
                <w:b/>
                <w:sz w:val="18"/>
              </w:rPr>
              <w:t>4</w:t>
            </w:r>
            <w:r>
              <w:rPr>
                <w:b/>
                <w:spacing w:val="-11"/>
                <w:sz w:val="18"/>
              </w:rPr>
              <w:t> </w:t>
            </w:r>
            <w:r>
              <w:rPr>
                <w:b/>
                <w:sz w:val="18"/>
              </w:rPr>
              <w:t>and</w:t>
            </w:r>
            <w:r>
              <w:rPr>
                <w:b/>
                <w:spacing w:val="-12"/>
                <w:sz w:val="18"/>
              </w:rPr>
              <w:t> </w:t>
            </w:r>
            <w:r>
              <w:rPr>
                <w:b/>
                <w:sz w:val="18"/>
              </w:rPr>
              <w:t>5</w:t>
            </w:r>
          </w:p>
        </w:tc>
        <w:tc>
          <w:tcPr>
            <w:tcW w:w="2843" w:type="dxa"/>
            <w:tcBorders>
              <w:top w:val="single" w:sz="4" w:space="0" w:color="000000"/>
              <w:bottom w:val="single" w:sz="4" w:space="0" w:color="000000"/>
            </w:tcBorders>
          </w:tcPr>
          <w:p>
            <w:pPr>
              <w:pStyle w:val="TableParagraph"/>
              <w:jc w:val="left"/>
              <w:rPr>
                <w:sz w:val="18"/>
              </w:rPr>
            </w:pPr>
          </w:p>
        </w:tc>
        <w:tc>
          <w:tcPr>
            <w:tcW w:w="2547" w:type="dxa"/>
            <w:tcBorders>
              <w:top w:val="single" w:sz="4" w:space="0" w:color="000000"/>
              <w:bottom w:val="single" w:sz="4" w:space="0" w:color="000000"/>
            </w:tcBorders>
          </w:tcPr>
          <w:p>
            <w:pPr>
              <w:pStyle w:val="TableParagraph"/>
              <w:jc w:val="left"/>
              <w:rPr>
                <w:sz w:val="18"/>
              </w:rPr>
            </w:pPr>
          </w:p>
        </w:tc>
        <w:tc>
          <w:tcPr>
            <w:tcW w:w="2696" w:type="dxa"/>
            <w:tcBorders>
              <w:top w:val="single" w:sz="4" w:space="0" w:color="000000"/>
              <w:bottom w:val="single" w:sz="4" w:space="0" w:color="000000"/>
            </w:tcBorders>
          </w:tcPr>
          <w:p>
            <w:pPr>
              <w:pStyle w:val="TableParagraph"/>
              <w:jc w:val="left"/>
              <w:rPr>
                <w:sz w:val="18"/>
              </w:rPr>
            </w:pPr>
          </w:p>
        </w:tc>
      </w:tr>
      <w:tr>
        <w:trPr>
          <w:trHeight w:val="2501" w:hRule="atLeast"/>
        </w:trPr>
        <w:tc>
          <w:tcPr>
            <w:tcW w:w="1614" w:type="dxa"/>
            <w:tcBorders>
              <w:top w:val="single" w:sz="4" w:space="0" w:color="000000"/>
              <w:bottom w:val="single" w:sz="4" w:space="0" w:color="000000"/>
            </w:tcBorders>
          </w:tcPr>
          <w:p>
            <w:pPr>
              <w:pStyle w:val="TableParagraph"/>
              <w:spacing w:before="62"/>
              <w:ind w:left="28" w:right="133"/>
              <w:jc w:val="left"/>
              <w:rPr>
                <w:sz w:val="18"/>
              </w:rPr>
            </w:pPr>
            <w:r>
              <w:rPr>
                <w:b/>
                <w:sz w:val="18"/>
              </w:rPr>
              <w:t>OTP</w:t>
            </w:r>
            <w:r>
              <w:rPr>
                <w:b/>
                <w:spacing w:val="-2"/>
                <w:sz w:val="18"/>
              </w:rPr>
              <w:t> </w:t>
            </w:r>
            <w:r>
              <w:rPr>
                <w:b/>
                <w:sz w:val="18"/>
              </w:rPr>
              <w:t>Strategic Goal 2</w:t>
            </w:r>
            <w:r>
              <w:rPr>
                <w:sz w:val="18"/>
              </w:rPr>
              <w:t>: Enhance efforts</w:t>
            </w:r>
            <w:r>
              <w:rPr>
                <w:spacing w:val="-12"/>
                <w:sz w:val="18"/>
              </w:rPr>
              <w:t> </w:t>
            </w:r>
            <w:r>
              <w:rPr>
                <w:sz w:val="18"/>
              </w:rPr>
              <w:t>by</w:t>
            </w:r>
            <w:r>
              <w:rPr>
                <w:spacing w:val="-11"/>
                <w:sz w:val="18"/>
              </w:rPr>
              <w:t> </w:t>
            </w:r>
            <w:r>
              <w:rPr>
                <w:sz w:val="18"/>
              </w:rPr>
              <w:t>national authorities</w:t>
            </w:r>
            <w:r>
              <w:rPr>
                <w:spacing w:val="-12"/>
                <w:sz w:val="18"/>
              </w:rPr>
              <w:t> </w:t>
            </w:r>
            <w:r>
              <w:rPr>
                <w:sz w:val="18"/>
              </w:rPr>
              <w:t>to</w:t>
            </w:r>
            <w:r>
              <w:rPr>
                <w:spacing w:val="-11"/>
                <w:sz w:val="18"/>
              </w:rPr>
              <w:t> </w:t>
            </w:r>
            <w:r>
              <w:rPr>
                <w:sz w:val="18"/>
              </w:rPr>
              <w:t>fight </w:t>
            </w:r>
            <w:r>
              <w:rPr>
                <w:spacing w:val="-2"/>
                <w:sz w:val="18"/>
              </w:rPr>
              <w:t>impunity</w:t>
            </w:r>
          </w:p>
        </w:tc>
        <w:tc>
          <w:tcPr>
            <w:tcW w:w="2843" w:type="dxa"/>
            <w:tcBorders>
              <w:top w:val="single" w:sz="4" w:space="0" w:color="000000"/>
              <w:bottom w:val="single" w:sz="4" w:space="0" w:color="000000"/>
            </w:tcBorders>
          </w:tcPr>
          <w:p>
            <w:pPr>
              <w:pStyle w:val="TableParagraph"/>
              <w:numPr>
                <w:ilvl w:val="0"/>
                <w:numId w:val="61"/>
              </w:numPr>
              <w:tabs>
                <w:tab w:pos="614" w:val="left" w:leader="none"/>
                <w:tab w:pos="615" w:val="left" w:leader="none"/>
              </w:tabs>
              <w:spacing w:line="240" w:lineRule="auto" w:before="1" w:after="0"/>
              <w:ind w:left="614" w:right="425" w:hanging="360"/>
              <w:jc w:val="left"/>
              <w:rPr>
                <w:sz w:val="18"/>
              </w:rPr>
            </w:pPr>
            <w:r>
              <w:rPr>
                <w:sz w:val="18"/>
              </w:rPr>
              <w:t>Reduced</w:t>
            </w:r>
            <w:r>
              <w:rPr>
                <w:spacing w:val="-12"/>
                <w:sz w:val="18"/>
              </w:rPr>
              <w:t> </w:t>
            </w:r>
            <w:r>
              <w:rPr>
                <w:sz w:val="18"/>
              </w:rPr>
              <w:t>requirement</w:t>
            </w:r>
            <w:r>
              <w:rPr>
                <w:spacing w:val="-11"/>
                <w:sz w:val="18"/>
              </w:rPr>
              <w:t> </w:t>
            </w:r>
            <w:r>
              <w:rPr>
                <w:sz w:val="18"/>
              </w:rPr>
              <w:t>for the OTP’s intervention</w:t>
            </w:r>
          </w:p>
          <w:p>
            <w:pPr>
              <w:pStyle w:val="TableParagraph"/>
              <w:numPr>
                <w:ilvl w:val="0"/>
                <w:numId w:val="61"/>
              </w:numPr>
              <w:tabs>
                <w:tab w:pos="614" w:val="left" w:leader="none"/>
                <w:tab w:pos="615" w:val="left" w:leader="none"/>
              </w:tabs>
              <w:spacing w:line="240" w:lineRule="auto" w:before="0" w:after="0"/>
              <w:ind w:left="614" w:right="493" w:hanging="360"/>
              <w:jc w:val="left"/>
              <w:rPr>
                <w:sz w:val="18"/>
              </w:rPr>
            </w:pPr>
            <w:r>
              <w:rPr>
                <w:sz w:val="18"/>
              </w:rPr>
              <w:t>Increased</w:t>
            </w:r>
            <w:r>
              <w:rPr>
                <w:spacing w:val="-12"/>
                <w:sz w:val="18"/>
              </w:rPr>
              <w:t> </w:t>
            </w:r>
            <w:r>
              <w:rPr>
                <w:sz w:val="18"/>
              </w:rPr>
              <w:t>effectiveness, speed</w:t>
            </w:r>
            <w:r>
              <w:rPr>
                <w:spacing w:val="-12"/>
                <w:sz w:val="18"/>
              </w:rPr>
              <w:t> </w:t>
            </w:r>
            <w:r>
              <w:rPr>
                <w:sz w:val="18"/>
              </w:rPr>
              <w:t>and</w:t>
            </w:r>
            <w:r>
              <w:rPr>
                <w:spacing w:val="-11"/>
                <w:sz w:val="18"/>
              </w:rPr>
              <w:t> </w:t>
            </w:r>
            <w:r>
              <w:rPr>
                <w:sz w:val="18"/>
              </w:rPr>
              <w:t>efficiency</w:t>
            </w:r>
            <w:r>
              <w:rPr>
                <w:spacing w:val="-11"/>
                <w:sz w:val="18"/>
              </w:rPr>
              <w:t> </w:t>
            </w:r>
            <w:r>
              <w:rPr>
                <w:sz w:val="18"/>
              </w:rPr>
              <w:t>for efforts of national investigative and prosecutorial offices </w:t>
            </w:r>
            <w:r>
              <w:rPr>
                <w:spacing w:val="-2"/>
                <w:sz w:val="18"/>
              </w:rPr>
              <w:t>supported</w:t>
            </w:r>
          </w:p>
        </w:tc>
        <w:tc>
          <w:tcPr>
            <w:tcW w:w="2547" w:type="dxa"/>
            <w:tcBorders>
              <w:top w:val="single" w:sz="4" w:space="0" w:color="000000"/>
              <w:bottom w:val="single" w:sz="4" w:space="0" w:color="000000"/>
            </w:tcBorders>
          </w:tcPr>
          <w:p>
            <w:pPr>
              <w:pStyle w:val="TableParagraph"/>
              <w:numPr>
                <w:ilvl w:val="0"/>
                <w:numId w:val="62"/>
              </w:numPr>
              <w:tabs>
                <w:tab w:pos="676" w:val="left" w:leader="none"/>
                <w:tab w:pos="677" w:val="left" w:leader="none"/>
              </w:tabs>
              <w:spacing w:line="240" w:lineRule="auto" w:before="1" w:after="0"/>
              <w:ind w:left="676" w:right="292" w:hanging="360"/>
              <w:jc w:val="left"/>
              <w:rPr>
                <w:sz w:val="18"/>
              </w:rPr>
            </w:pPr>
            <w:r>
              <w:rPr>
                <w:sz w:val="18"/>
              </w:rPr>
              <w:t>Response of the OTP to incoming requests for assistance (RFA) (percentage of incoming RFAs provided with a substantive response within three months of receipt out of the total</w:t>
            </w:r>
            <w:r>
              <w:rPr>
                <w:spacing w:val="-12"/>
                <w:sz w:val="18"/>
              </w:rPr>
              <w:t> </w:t>
            </w:r>
            <w:r>
              <w:rPr>
                <w:sz w:val="18"/>
              </w:rPr>
              <w:t>number</w:t>
            </w:r>
            <w:r>
              <w:rPr>
                <w:spacing w:val="-11"/>
                <w:sz w:val="18"/>
              </w:rPr>
              <w:t> </w:t>
            </w:r>
            <w:r>
              <w:rPr>
                <w:sz w:val="18"/>
              </w:rPr>
              <w:t>of</w:t>
            </w:r>
            <w:r>
              <w:rPr>
                <w:spacing w:val="-11"/>
                <w:sz w:val="18"/>
              </w:rPr>
              <w:t> </w:t>
            </w:r>
            <w:r>
              <w:rPr>
                <w:sz w:val="18"/>
              </w:rPr>
              <w:t>RFAs</w:t>
            </w:r>
          </w:p>
          <w:p>
            <w:pPr>
              <w:pStyle w:val="TableParagraph"/>
              <w:spacing w:line="206" w:lineRule="exact"/>
              <w:ind w:left="676" w:right="638"/>
              <w:jc w:val="left"/>
              <w:rPr>
                <w:sz w:val="18"/>
              </w:rPr>
            </w:pPr>
            <w:r>
              <w:rPr>
                <w:sz w:val="18"/>
              </w:rPr>
              <w:t>received in the reporting</w:t>
            </w:r>
            <w:r>
              <w:rPr>
                <w:spacing w:val="-12"/>
                <w:sz w:val="18"/>
              </w:rPr>
              <w:t> </w:t>
            </w:r>
            <w:r>
              <w:rPr>
                <w:sz w:val="18"/>
              </w:rPr>
              <w:t>period)</w:t>
            </w:r>
          </w:p>
        </w:tc>
        <w:tc>
          <w:tcPr>
            <w:tcW w:w="2696" w:type="dxa"/>
            <w:tcBorders>
              <w:top w:val="single" w:sz="4" w:space="0" w:color="000000"/>
              <w:bottom w:val="single" w:sz="4" w:space="0" w:color="000000"/>
            </w:tcBorders>
          </w:tcPr>
          <w:p>
            <w:pPr>
              <w:pStyle w:val="TableParagraph"/>
              <w:numPr>
                <w:ilvl w:val="0"/>
                <w:numId w:val="63"/>
              </w:numPr>
              <w:tabs>
                <w:tab w:pos="621" w:val="left" w:leader="none"/>
                <w:tab w:pos="622" w:val="left" w:leader="none"/>
              </w:tabs>
              <w:spacing w:line="240" w:lineRule="auto" w:before="1" w:after="0"/>
              <w:ind w:left="621" w:right="245" w:hanging="360"/>
              <w:jc w:val="left"/>
              <w:rPr>
                <w:sz w:val="18"/>
              </w:rPr>
            </w:pPr>
            <w:r>
              <w:rPr>
                <w:sz w:val="18"/>
              </w:rPr>
              <w:t>Increase in information shared with States in comparison</w:t>
            </w:r>
            <w:r>
              <w:rPr>
                <w:spacing w:val="-12"/>
                <w:sz w:val="18"/>
              </w:rPr>
              <w:t> </w:t>
            </w:r>
            <w:r>
              <w:rPr>
                <w:sz w:val="18"/>
              </w:rPr>
              <w:t>to</w:t>
            </w:r>
            <w:r>
              <w:rPr>
                <w:spacing w:val="-11"/>
                <w:sz w:val="18"/>
              </w:rPr>
              <w:t> </w:t>
            </w:r>
            <w:r>
              <w:rPr>
                <w:sz w:val="18"/>
              </w:rPr>
              <w:t>previous</w:t>
            </w:r>
            <w:r>
              <w:rPr>
                <w:spacing w:val="-11"/>
                <w:sz w:val="18"/>
              </w:rPr>
              <w:t> </w:t>
            </w:r>
            <w:r>
              <w:rPr>
                <w:sz w:val="18"/>
              </w:rPr>
              <w:t>4 </w:t>
            </w:r>
            <w:r>
              <w:rPr>
                <w:spacing w:val="-2"/>
                <w:sz w:val="18"/>
              </w:rPr>
              <w:t>years</w:t>
            </w:r>
          </w:p>
          <w:p>
            <w:pPr>
              <w:pStyle w:val="TableParagraph"/>
              <w:numPr>
                <w:ilvl w:val="0"/>
                <w:numId w:val="63"/>
              </w:numPr>
              <w:tabs>
                <w:tab w:pos="621" w:val="left" w:leader="none"/>
                <w:tab w:pos="622" w:val="left" w:leader="none"/>
              </w:tabs>
              <w:spacing w:line="242" w:lineRule="auto" w:before="0" w:after="0"/>
              <w:ind w:left="621" w:right="98" w:hanging="360"/>
              <w:jc w:val="left"/>
              <w:rPr>
                <w:sz w:val="18"/>
              </w:rPr>
            </w:pPr>
            <w:r>
              <w:rPr>
                <w:rFonts w:ascii="SimSun" w:hAnsi="SimSun"/>
                <w:sz w:val="18"/>
              </w:rPr>
              <w:t>≥</w:t>
            </w:r>
            <w:r>
              <w:rPr>
                <w:rFonts w:ascii="SimSun" w:hAnsi="SimSun"/>
                <w:spacing w:val="-34"/>
                <w:sz w:val="18"/>
              </w:rPr>
              <w:t> </w:t>
            </w:r>
            <w:r>
              <w:rPr>
                <w:sz w:val="18"/>
              </w:rPr>
              <w:t>80% of RFAs provided with</w:t>
            </w:r>
            <w:r>
              <w:rPr>
                <w:spacing w:val="-12"/>
                <w:sz w:val="18"/>
              </w:rPr>
              <w:t> </w:t>
            </w:r>
            <w:r>
              <w:rPr>
                <w:sz w:val="18"/>
              </w:rPr>
              <w:t>a</w:t>
            </w:r>
            <w:r>
              <w:rPr>
                <w:spacing w:val="-11"/>
                <w:sz w:val="18"/>
              </w:rPr>
              <w:t> </w:t>
            </w:r>
            <w:r>
              <w:rPr>
                <w:sz w:val="18"/>
              </w:rPr>
              <w:t>substantive</w:t>
            </w:r>
            <w:r>
              <w:rPr>
                <w:spacing w:val="-11"/>
                <w:sz w:val="18"/>
              </w:rPr>
              <w:t> </w:t>
            </w:r>
            <w:r>
              <w:rPr>
                <w:sz w:val="18"/>
              </w:rPr>
              <w:t>response within three months of </w:t>
            </w:r>
            <w:r>
              <w:rPr>
                <w:spacing w:val="-2"/>
                <w:sz w:val="18"/>
              </w:rPr>
              <w:t>receipt</w:t>
            </w:r>
          </w:p>
        </w:tc>
      </w:tr>
    </w:tbl>
    <w:p>
      <w:pPr>
        <w:spacing w:after="0" w:line="242" w:lineRule="auto"/>
        <w:jc w:val="left"/>
        <w:rPr>
          <w:sz w:val="18"/>
        </w:rPr>
        <w:sectPr>
          <w:pgSz w:w="11910" w:h="16840"/>
          <w:pgMar w:header="953" w:footer="940" w:top="1140" w:bottom="1498" w:left="20" w:right="20"/>
        </w:sectPr>
      </w:pPr>
    </w:p>
    <w:tbl>
      <w:tblPr>
        <w:tblW w:w="0" w:type="auto"/>
        <w:jc w:val="left"/>
        <w:tblInd w:w="1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95"/>
        <w:gridCol w:w="2887"/>
        <w:gridCol w:w="2526"/>
        <w:gridCol w:w="2690"/>
      </w:tblGrid>
      <w:tr>
        <w:trPr>
          <w:trHeight w:val="119" w:hRule="atLeast"/>
        </w:trPr>
        <w:tc>
          <w:tcPr>
            <w:tcW w:w="1595" w:type="dxa"/>
            <w:tcBorders>
              <w:top w:val="single" w:sz="2" w:space="0" w:color="000000"/>
              <w:bottom w:val="single" w:sz="4" w:space="0" w:color="000000"/>
            </w:tcBorders>
          </w:tcPr>
          <w:p>
            <w:pPr>
              <w:pStyle w:val="TableParagraph"/>
              <w:jc w:val="left"/>
              <w:rPr>
                <w:sz w:val="6"/>
              </w:rPr>
            </w:pPr>
          </w:p>
        </w:tc>
        <w:tc>
          <w:tcPr>
            <w:tcW w:w="2887" w:type="dxa"/>
            <w:tcBorders>
              <w:top w:val="single" w:sz="2" w:space="0" w:color="000000"/>
              <w:bottom w:val="single" w:sz="4" w:space="0" w:color="000000"/>
            </w:tcBorders>
          </w:tcPr>
          <w:p>
            <w:pPr>
              <w:pStyle w:val="TableParagraph"/>
              <w:jc w:val="left"/>
              <w:rPr>
                <w:sz w:val="6"/>
              </w:rPr>
            </w:pPr>
          </w:p>
        </w:tc>
        <w:tc>
          <w:tcPr>
            <w:tcW w:w="2526" w:type="dxa"/>
            <w:tcBorders>
              <w:top w:val="single" w:sz="2" w:space="0" w:color="000000"/>
              <w:bottom w:val="single" w:sz="4" w:space="0" w:color="000000"/>
            </w:tcBorders>
          </w:tcPr>
          <w:p>
            <w:pPr>
              <w:pStyle w:val="TableParagraph"/>
              <w:jc w:val="left"/>
              <w:rPr>
                <w:sz w:val="6"/>
              </w:rPr>
            </w:pPr>
          </w:p>
        </w:tc>
        <w:tc>
          <w:tcPr>
            <w:tcW w:w="2690" w:type="dxa"/>
            <w:tcBorders>
              <w:top w:val="single" w:sz="2" w:space="0" w:color="000000"/>
              <w:bottom w:val="single" w:sz="4" w:space="0" w:color="000000"/>
            </w:tcBorders>
          </w:tcPr>
          <w:p>
            <w:pPr>
              <w:pStyle w:val="TableParagraph"/>
              <w:jc w:val="left"/>
              <w:rPr>
                <w:sz w:val="6"/>
              </w:rPr>
            </w:pPr>
          </w:p>
        </w:tc>
      </w:tr>
      <w:tr>
        <w:trPr>
          <w:trHeight w:val="330" w:hRule="atLeast"/>
        </w:trPr>
        <w:tc>
          <w:tcPr>
            <w:tcW w:w="1595" w:type="dxa"/>
            <w:tcBorders>
              <w:top w:val="single" w:sz="4" w:space="0" w:color="000000"/>
              <w:bottom w:val="single" w:sz="4" w:space="0" w:color="000000"/>
            </w:tcBorders>
          </w:tcPr>
          <w:p>
            <w:pPr>
              <w:pStyle w:val="TableParagraph"/>
              <w:spacing w:before="64"/>
              <w:ind w:left="168"/>
              <w:jc w:val="left"/>
              <w:rPr>
                <w:i/>
                <w:sz w:val="18"/>
              </w:rPr>
            </w:pPr>
            <w:r>
              <w:rPr>
                <w:i/>
                <w:sz w:val="18"/>
              </w:rPr>
              <w:t>Strategic</w:t>
            </w:r>
            <w:r>
              <w:rPr>
                <w:i/>
                <w:spacing w:val="-2"/>
                <w:sz w:val="18"/>
              </w:rPr>
              <w:t> </w:t>
            </w:r>
            <w:r>
              <w:rPr>
                <w:i/>
                <w:spacing w:val="-4"/>
                <w:sz w:val="18"/>
              </w:rPr>
              <w:t>Goal</w:t>
            </w:r>
          </w:p>
        </w:tc>
        <w:tc>
          <w:tcPr>
            <w:tcW w:w="2887" w:type="dxa"/>
            <w:tcBorders>
              <w:top w:val="single" w:sz="4" w:space="0" w:color="000000"/>
              <w:bottom w:val="single" w:sz="4" w:space="0" w:color="000000"/>
            </w:tcBorders>
          </w:tcPr>
          <w:p>
            <w:pPr>
              <w:pStyle w:val="TableParagraph"/>
              <w:spacing w:before="64"/>
              <w:ind w:left="700"/>
              <w:jc w:val="left"/>
              <w:rPr>
                <w:i/>
                <w:sz w:val="18"/>
              </w:rPr>
            </w:pPr>
            <w:r>
              <w:rPr>
                <w:i/>
                <w:sz w:val="18"/>
              </w:rPr>
              <w:t>Expected</w:t>
            </w:r>
            <w:r>
              <w:rPr>
                <w:i/>
                <w:spacing w:val="-7"/>
                <w:sz w:val="18"/>
              </w:rPr>
              <w:t> </w:t>
            </w:r>
            <w:r>
              <w:rPr>
                <w:i/>
                <w:spacing w:val="-2"/>
                <w:sz w:val="18"/>
              </w:rPr>
              <w:t>results</w:t>
            </w:r>
          </w:p>
        </w:tc>
        <w:tc>
          <w:tcPr>
            <w:tcW w:w="2526" w:type="dxa"/>
            <w:tcBorders>
              <w:top w:val="single" w:sz="4" w:space="0" w:color="000000"/>
              <w:bottom w:val="single" w:sz="4" w:space="0" w:color="000000"/>
            </w:tcBorders>
          </w:tcPr>
          <w:p>
            <w:pPr>
              <w:pStyle w:val="TableParagraph"/>
              <w:spacing w:before="64"/>
              <w:ind w:left="247"/>
              <w:jc w:val="left"/>
              <w:rPr>
                <w:i/>
                <w:sz w:val="18"/>
              </w:rPr>
            </w:pPr>
            <w:r>
              <w:rPr>
                <w:i/>
                <w:sz w:val="18"/>
              </w:rPr>
              <w:t>Performance</w:t>
            </w:r>
            <w:r>
              <w:rPr>
                <w:i/>
                <w:spacing w:val="-5"/>
                <w:sz w:val="18"/>
              </w:rPr>
              <w:t> </w:t>
            </w:r>
            <w:r>
              <w:rPr>
                <w:i/>
                <w:spacing w:val="-2"/>
                <w:sz w:val="18"/>
              </w:rPr>
              <w:t>indicators</w:t>
            </w:r>
          </w:p>
        </w:tc>
        <w:tc>
          <w:tcPr>
            <w:tcW w:w="2690" w:type="dxa"/>
            <w:tcBorders>
              <w:top w:val="single" w:sz="4" w:space="0" w:color="000000"/>
              <w:bottom w:val="single" w:sz="4" w:space="0" w:color="000000"/>
            </w:tcBorders>
          </w:tcPr>
          <w:p>
            <w:pPr>
              <w:pStyle w:val="TableParagraph"/>
              <w:spacing w:before="64"/>
              <w:ind w:left="838"/>
              <w:jc w:val="left"/>
              <w:rPr>
                <w:i/>
                <w:sz w:val="18"/>
              </w:rPr>
            </w:pPr>
            <w:r>
              <w:rPr>
                <w:i/>
                <w:sz w:val="18"/>
              </w:rPr>
              <w:t>Target</w:t>
            </w:r>
            <w:r>
              <w:rPr>
                <w:i/>
                <w:spacing w:val="-2"/>
                <w:sz w:val="18"/>
              </w:rPr>
              <w:t> </w:t>
            </w:r>
            <w:r>
              <w:rPr>
                <w:i/>
                <w:spacing w:val="-4"/>
                <w:sz w:val="18"/>
              </w:rPr>
              <w:t>2023</w:t>
            </w:r>
          </w:p>
        </w:tc>
      </w:tr>
      <w:tr>
        <w:trPr>
          <w:trHeight w:val="532" w:hRule="atLeast"/>
        </w:trPr>
        <w:tc>
          <w:tcPr>
            <w:tcW w:w="1595" w:type="dxa"/>
            <w:tcBorders>
              <w:top w:val="single" w:sz="4" w:space="0" w:color="000000"/>
              <w:bottom w:val="single" w:sz="4" w:space="0" w:color="000000"/>
            </w:tcBorders>
          </w:tcPr>
          <w:p>
            <w:pPr>
              <w:pStyle w:val="TableParagraph"/>
              <w:spacing w:before="54"/>
              <w:ind w:left="28" w:right="357"/>
              <w:jc w:val="left"/>
              <w:rPr>
                <w:b/>
                <w:sz w:val="18"/>
              </w:rPr>
            </w:pPr>
            <w:r>
              <w:rPr>
                <w:b/>
                <w:spacing w:val="-2"/>
                <w:sz w:val="18"/>
              </w:rPr>
              <w:t>Court-wide </w:t>
            </w:r>
            <w:r>
              <w:rPr>
                <w:b/>
                <w:sz w:val="18"/>
              </w:rPr>
              <w:t>Goal 2</w:t>
            </w:r>
          </w:p>
        </w:tc>
        <w:tc>
          <w:tcPr>
            <w:tcW w:w="2887" w:type="dxa"/>
            <w:tcBorders>
              <w:top w:val="single" w:sz="4" w:space="0" w:color="000000"/>
              <w:bottom w:val="single" w:sz="4" w:space="0" w:color="000000"/>
            </w:tcBorders>
          </w:tcPr>
          <w:p>
            <w:pPr>
              <w:pStyle w:val="TableParagraph"/>
              <w:jc w:val="left"/>
              <w:rPr>
                <w:sz w:val="18"/>
              </w:rPr>
            </w:pPr>
          </w:p>
        </w:tc>
        <w:tc>
          <w:tcPr>
            <w:tcW w:w="2526" w:type="dxa"/>
            <w:tcBorders>
              <w:top w:val="single" w:sz="4" w:space="0" w:color="000000"/>
              <w:bottom w:val="single" w:sz="4" w:space="0" w:color="000000"/>
            </w:tcBorders>
          </w:tcPr>
          <w:p>
            <w:pPr>
              <w:pStyle w:val="TableParagraph"/>
              <w:jc w:val="left"/>
              <w:rPr>
                <w:sz w:val="18"/>
              </w:rPr>
            </w:pPr>
          </w:p>
        </w:tc>
        <w:tc>
          <w:tcPr>
            <w:tcW w:w="2690" w:type="dxa"/>
            <w:tcBorders>
              <w:top w:val="single" w:sz="4" w:space="0" w:color="000000"/>
              <w:bottom w:val="single" w:sz="4" w:space="0" w:color="000000"/>
            </w:tcBorders>
          </w:tcPr>
          <w:p>
            <w:pPr>
              <w:pStyle w:val="TableParagraph"/>
              <w:jc w:val="left"/>
              <w:rPr>
                <w:sz w:val="18"/>
              </w:rPr>
            </w:pPr>
          </w:p>
        </w:tc>
      </w:tr>
      <w:tr>
        <w:trPr>
          <w:trHeight w:val="3778" w:hRule="atLeast"/>
        </w:trPr>
        <w:tc>
          <w:tcPr>
            <w:tcW w:w="1595" w:type="dxa"/>
            <w:tcBorders>
              <w:top w:val="single" w:sz="4" w:space="0" w:color="000000"/>
              <w:bottom w:val="single" w:sz="4" w:space="0" w:color="000000"/>
            </w:tcBorders>
          </w:tcPr>
          <w:p>
            <w:pPr>
              <w:pStyle w:val="TableParagraph"/>
              <w:spacing w:before="59"/>
              <w:ind w:left="28" w:right="357"/>
              <w:jc w:val="left"/>
              <w:rPr>
                <w:sz w:val="18"/>
              </w:rPr>
            </w:pPr>
            <w:r>
              <w:rPr>
                <w:b/>
                <w:sz w:val="18"/>
              </w:rPr>
              <w:t>OTP</w:t>
            </w:r>
            <w:r>
              <w:rPr>
                <w:b/>
                <w:spacing w:val="-11"/>
                <w:sz w:val="18"/>
              </w:rPr>
              <w:t> </w:t>
            </w:r>
            <w:r>
              <w:rPr>
                <w:b/>
                <w:sz w:val="18"/>
              </w:rPr>
              <w:t>Strategic Goal 3</w:t>
            </w:r>
            <w:r>
              <w:rPr>
                <w:sz w:val="18"/>
              </w:rPr>
              <w:t>: Bring justice</w:t>
            </w:r>
            <w:r>
              <w:rPr>
                <w:spacing w:val="-12"/>
                <w:sz w:val="18"/>
              </w:rPr>
              <w:t> </w:t>
            </w:r>
            <w:r>
              <w:rPr>
                <w:sz w:val="18"/>
              </w:rPr>
              <w:t>closer</w:t>
            </w:r>
            <w:r>
              <w:rPr>
                <w:spacing w:val="-11"/>
                <w:sz w:val="18"/>
              </w:rPr>
              <w:t> </w:t>
            </w:r>
            <w:r>
              <w:rPr>
                <w:sz w:val="18"/>
              </w:rPr>
              <w:t>to </w:t>
            </w:r>
            <w:r>
              <w:rPr>
                <w:spacing w:val="-2"/>
                <w:sz w:val="18"/>
              </w:rPr>
              <w:t>affected communities</w:t>
            </w:r>
          </w:p>
        </w:tc>
        <w:tc>
          <w:tcPr>
            <w:tcW w:w="2887" w:type="dxa"/>
            <w:tcBorders>
              <w:top w:val="single" w:sz="4" w:space="0" w:color="000000"/>
              <w:bottom w:val="single" w:sz="4" w:space="0" w:color="000000"/>
            </w:tcBorders>
          </w:tcPr>
          <w:p>
            <w:pPr>
              <w:pStyle w:val="TableParagraph"/>
              <w:numPr>
                <w:ilvl w:val="0"/>
                <w:numId w:val="64"/>
              </w:numPr>
              <w:tabs>
                <w:tab w:pos="633" w:val="left" w:leader="none"/>
                <w:tab w:pos="634" w:val="left" w:leader="none"/>
              </w:tabs>
              <w:spacing w:line="240" w:lineRule="auto" w:before="0" w:after="0"/>
              <w:ind w:left="633" w:right="367" w:hanging="360"/>
              <w:jc w:val="left"/>
              <w:rPr>
                <w:sz w:val="18"/>
              </w:rPr>
            </w:pPr>
            <w:r>
              <w:rPr>
                <w:sz w:val="18"/>
              </w:rPr>
              <w:t>Affected communities perceive</w:t>
            </w:r>
            <w:r>
              <w:rPr>
                <w:spacing w:val="-12"/>
                <w:sz w:val="18"/>
              </w:rPr>
              <w:t> </w:t>
            </w:r>
            <w:r>
              <w:rPr>
                <w:sz w:val="18"/>
              </w:rPr>
              <w:t>that</w:t>
            </w:r>
            <w:r>
              <w:rPr>
                <w:spacing w:val="-11"/>
                <w:sz w:val="18"/>
              </w:rPr>
              <w:t> </w:t>
            </w:r>
            <w:r>
              <w:rPr>
                <w:sz w:val="18"/>
              </w:rPr>
              <w:t>the</w:t>
            </w:r>
            <w:r>
              <w:rPr>
                <w:spacing w:val="-11"/>
                <w:sz w:val="18"/>
              </w:rPr>
              <w:t> </w:t>
            </w:r>
            <w:r>
              <w:rPr>
                <w:sz w:val="18"/>
              </w:rPr>
              <w:t>activities of</w:t>
            </w:r>
            <w:r>
              <w:rPr>
                <w:spacing w:val="-9"/>
                <w:sz w:val="18"/>
              </w:rPr>
              <w:t> </w:t>
            </w:r>
            <w:r>
              <w:rPr>
                <w:sz w:val="18"/>
              </w:rPr>
              <w:t>the</w:t>
            </w:r>
            <w:r>
              <w:rPr>
                <w:spacing w:val="-6"/>
                <w:sz w:val="18"/>
              </w:rPr>
              <w:t> </w:t>
            </w:r>
            <w:r>
              <w:rPr>
                <w:sz w:val="18"/>
              </w:rPr>
              <w:t>Office</w:t>
            </w:r>
            <w:r>
              <w:rPr>
                <w:spacing w:val="-10"/>
                <w:sz w:val="18"/>
              </w:rPr>
              <w:t> </w:t>
            </w:r>
            <w:r>
              <w:rPr>
                <w:sz w:val="18"/>
              </w:rPr>
              <w:t>contribute</w:t>
            </w:r>
            <w:r>
              <w:rPr>
                <w:spacing w:val="-10"/>
                <w:sz w:val="18"/>
              </w:rPr>
              <w:t> </w:t>
            </w:r>
            <w:r>
              <w:rPr>
                <w:sz w:val="18"/>
              </w:rPr>
              <w:t>to bringing justice closer to </w:t>
            </w:r>
            <w:r>
              <w:rPr>
                <w:spacing w:val="-4"/>
                <w:sz w:val="18"/>
              </w:rPr>
              <w:t>them</w:t>
            </w:r>
          </w:p>
          <w:p>
            <w:pPr>
              <w:pStyle w:val="TableParagraph"/>
              <w:numPr>
                <w:ilvl w:val="0"/>
                <w:numId w:val="64"/>
              </w:numPr>
              <w:tabs>
                <w:tab w:pos="633" w:val="left" w:leader="none"/>
                <w:tab w:pos="634" w:val="left" w:leader="none"/>
              </w:tabs>
              <w:spacing w:line="240" w:lineRule="auto" w:before="0" w:after="0"/>
              <w:ind w:left="633" w:right="292" w:hanging="360"/>
              <w:jc w:val="left"/>
              <w:rPr>
                <w:sz w:val="18"/>
              </w:rPr>
            </w:pPr>
            <w:r>
              <w:rPr>
                <w:sz w:val="18"/>
              </w:rPr>
              <w:t>Increased effectiveness, quality, speed and efficiency</w:t>
            </w:r>
            <w:r>
              <w:rPr>
                <w:spacing w:val="-12"/>
                <w:sz w:val="18"/>
              </w:rPr>
              <w:t> </w:t>
            </w:r>
            <w:r>
              <w:rPr>
                <w:sz w:val="18"/>
              </w:rPr>
              <w:t>of</w:t>
            </w:r>
            <w:r>
              <w:rPr>
                <w:spacing w:val="-11"/>
                <w:sz w:val="18"/>
              </w:rPr>
              <w:t> </w:t>
            </w:r>
            <w:r>
              <w:rPr>
                <w:sz w:val="18"/>
              </w:rPr>
              <w:t>investigations through</w:t>
            </w:r>
            <w:r>
              <w:rPr>
                <w:spacing w:val="-5"/>
                <w:sz w:val="18"/>
              </w:rPr>
              <w:t> </w:t>
            </w:r>
            <w:r>
              <w:rPr>
                <w:sz w:val="18"/>
              </w:rPr>
              <w:t>the increased field </w:t>
            </w:r>
            <w:r>
              <w:rPr>
                <w:spacing w:val="-2"/>
                <w:sz w:val="18"/>
              </w:rPr>
              <w:t>presence</w:t>
            </w:r>
          </w:p>
        </w:tc>
        <w:tc>
          <w:tcPr>
            <w:tcW w:w="2526" w:type="dxa"/>
            <w:tcBorders>
              <w:top w:val="single" w:sz="4" w:space="0" w:color="000000"/>
              <w:bottom w:val="single" w:sz="4" w:space="0" w:color="000000"/>
            </w:tcBorders>
          </w:tcPr>
          <w:p>
            <w:pPr>
              <w:pStyle w:val="TableParagraph"/>
              <w:numPr>
                <w:ilvl w:val="0"/>
                <w:numId w:val="65"/>
              </w:numPr>
              <w:tabs>
                <w:tab w:pos="652" w:val="left" w:leader="none"/>
              </w:tabs>
              <w:spacing w:line="240" w:lineRule="auto" w:before="0" w:after="0"/>
              <w:ind w:left="651" w:right="527" w:hanging="360"/>
              <w:jc w:val="both"/>
              <w:rPr>
                <w:sz w:val="18"/>
              </w:rPr>
            </w:pPr>
            <w:r>
              <w:rPr>
                <w:sz w:val="18"/>
              </w:rPr>
              <w:t>Implementation</w:t>
            </w:r>
            <w:r>
              <w:rPr>
                <w:spacing w:val="-12"/>
                <w:sz w:val="18"/>
              </w:rPr>
              <w:t> </w:t>
            </w:r>
            <w:r>
              <w:rPr>
                <w:sz w:val="18"/>
              </w:rPr>
              <w:t>of enhanced</w:t>
            </w:r>
            <w:r>
              <w:rPr>
                <w:spacing w:val="-12"/>
                <w:sz w:val="18"/>
              </w:rPr>
              <w:t> </w:t>
            </w:r>
            <w:r>
              <w:rPr>
                <w:sz w:val="18"/>
              </w:rPr>
              <w:t>outreach</w:t>
            </w:r>
            <w:r>
              <w:rPr>
                <w:sz w:val="18"/>
              </w:rPr>
              <w:t> </w:t>
            </w:r>
            <w:r>
              <w:rPr>
                <w:spacing w:val="-2"/>
                <w:sz w:val="18"/>
              </w:rPr>
              <w:t>programme</w:t>
            </w:r>
          </w:p>
          <w:p>
            <w:pPr>
              <w:pStyle w:val="TableParagraph"/>
              <w:numPr>
                <w:ilvl w:val="0"/>
                <w:numId w:val="65"/>
              </w:numPr>
              <w:tabs>
                <w:tab w:pos="651" w:val="left" w:leader="none"/>
                <w:tab w:pos="652" w:val="left" w:leader="none"/>
              </w:tabs>
              <w:spacing w:line="240" w:lineRule="auto" w:before="0" w:after="0"/>
              <w:ind w:left="651" w:right="401" w:hanging="360"/>
              <w:jc w:val="left"/>
              <w:rPr>
                <w:sz w:val="18"/>
              </w:rPr>
            </w:pPr>
            <w:r>
              <w:rPr>
                <w:sz w:val="18"/>
              </w:rPr>
              <w:t>Percentage of witnesses able to participate</w:t>
            </w:r>
            <w:r>
              <w:rPr>
                <w:spacing w:val="-12"/>
                <w:sz w:val="18"/>
              </w:rPr>
              <w:t> </w:t>
            </w:r>
            <w:r>
              <w:rPr>
                <w:sz w:val="18"/>
              </w:rPr>
              <w:t>in</w:t>
            </w:r>
            <w:r>
              <w:rPr>
                <w:spacing w:val="-11"/>
                <w:sz w:val="18"/>
              </w:rPr>
              <w:t> </w:t>
            </w:r>
            <w:r>
              <w:rPr>
                <w:sz w:val="18"/>
              </w:rPr>
              <w:t>person in proceedings</w:t>
            </w:r>
          </w:p>
          <w:p>
            <w:pPr>
              <w:pStyle w:val="TableParagraph"/>
              <w:numPr>
                <w:ilvl w:val="0"/>
                <w:numId w:val="65"/>
              </w:numPr>
              <w:tabs>
                <w:tab w:pos="651" w:val="left" w:leader="none"/>
                <w:tab w:pos="652" w:val="left" w:leader="none"/>
              </w:tabs>
              <w:spacing w:line="240" w:lineRule="auto" w:before="0" w:after="0"/>
              <w:ind w:left="651" w:right="261" w:hanging="360"/>
              <w:jc w:val="left"/>
              <w:rPr>
                <w:sz w:val="18"/>
              </w:rPr>
            </w:pPr>
            <w:r>
              <w:rPr>
                <w:sz w:val="18"/>
              </w:rPr>
              <w:t>Successful</w:t>
            </w:r>
            <w:r>
              <w:rPr>
                <w:spacing w:val="-5"/>
                <w:sz w:val="18"/>
              </w:rPr>
              <w:t> </w:t>
            </w:r>
            <w:r>
              <w:rPr>
                <w:sz w:val="18"/>
              </w:rPr>
              <w:t>conduct</w:t>
            </w:r>
            <w:r>
              <w:rPr>
                <w:spacing w:val="-2"/>
                <w:sz w:val="18"/>
              </w:rPr>
              <w:t> </w:t>
            </w:r>
            <w:r>
              <w:rPr>
                <w:sz w:val="18"/>
              </w:rPr>
              <w:t>of in situ proceedings, where</w:t>
            </w:r>
            <w:r>
              <w:rPr>
                <w:spacing w:val="-12"/>
                <w:sz w:val="18"/>
              </w:rPr>
              <w:t> </w:t>
            </w:r>
            <w:r>
              <w:rPr>
                <w:sz w:val="18"/>
              </w:rPr>
              <w:t>appropriate</w:t>
            </w:r>
            <w:r>
              <w:rPr>
                <w:spacing w:val="-11"/>
                <w:sz w:val="18"/>
              </w:rPr>
              <w:t> </w:t>
            </w:r>
            <w:r>
              <w:rPr>
                <w:sz w:val="18"/>
              </w:rPr>
              <w:t>and authorized by </w:t>
            </w:r>
            <w:r>
              <w:rPr>
                <w:spacing w:val="-2"/>
                <w:sz w:val="18"/>
              </w:rPr>
              <w:t>Chambers</w:t>
            </w:r>
          </w:p>
        </w:tc>
        <w:tc>
          <w:tcPr>
            <w:tcW w:w="2690" w:type="dxa"/>
            <w:tcBorders>
              <w:top w:val="single" w:sz="4" w:space="0" w:color="000000"/>
              <w:bottom w:val="single" w:sz="4" w:space="0" w:color="000000"/>
            </w:tcBorders>
          </w:tcPr>
          <w:p>
            <w:pPr>
              <w:pStyle w:val="TableParagraph"/>
              <w:numPr>
                <w:ilvl w:val="0"/>
                <w:numId w:val="66"/>
              </w:numPr>
              <w:tabs>
                <w:tab w:pos="617" w:val="left" w:leader="none"/>
                <w:tab w:pos="618" w:val="left" w:leader="none"/>
              </w:tabs>
              <w:spacing w:line="240" w:lineRule="auto" w:before="0" w:after="0"/>
              <w:ind w:left="617" w:right="81" w:hanging="360"/>
              <w:jc w:val="left"/>
              <w:rPr>
                <w:sz w:val="18"/>
              </w:rPr>
            </w:pPr>
            <w:r>
              <w:rPr>
                <w:sz w:val="18"/>
              </w:rPr>
              <w:t>Greater than 90% implementation</w:t>
            </w:r>
            <w:r>
              <w:rPr>
                <w:spacing w:val="-12"/>
                <w:sz w:val="18"/>
              </w:rPr>
              <w:t> </w:t>
            </w:r>
            <w:r>
              <w:rPr>
                <w:sz w:val="18"/>
              </w:rPr>
              <w:t>of</w:t>
            </w:r>
            <w:r>
              <w:rPr>
                <w:spacing w:val="-11"/>
                <w:sz w:val="18"/>
              </w:rPr>
              <w:t> </w:t>
            </w:r>
            <w:r>
              <w:rPr>
                <w:sz w:val="18"/>
              </w:rPr>
              <w:t>outreach </w:t>
            </w:r>
            <w:r>
              <w:rPr>
                <w:spacing w:val="-2"/>
                <w:sz w:val="18"/>
              </w:rPr>
              <w:t>programmes</w:t>
            </w:r>
          </w:p>
          <w:p>
            <w:pPr>
              <w:pStyle w:val="TableParagraph"/>
              <w:spacing w:before="8"/>
              <w:jc w:val="left"/>
              <w:rPr>
                <w:b/>
                <w:sz w:val="17"/>
              </w:rPr>
            </w:pPr>
          </w:p>
          <w:p>
            <w:pPr>
              <w:pStyle w:val="TableParagraph"/>
              <w:numPr>
                <w:ilvl w:val="0"/>
                <w:numId w:val="66"/>
              </w:numPr>
              <w:tabs>
                <w:tab w:pos="618" w:val="left" w:leader="none"/>
              </w:tabs>
              <w:spacing w:line="240" w:lineRule="auto" w:before="1" w:after="0"/>
              <w:ind w:left="617" w:right="201" w:hanging="360"/>
              <w:jc w:val="both"/>
              <w:rPr>
                <w:sz w:val="18"/>
              </w:rPr>
            </w:pPr>
            <w:r>
              <w:rPr>
                <w:sz w:val="18"/>
              </w:rPr>
              <w:t>75%</w:t>
            </w:r>
            <w:r>
              <w:rPr>
                <w:spacing w:val="-11"/>
                <w:sz w:val="18"/>
              </w:rPr>
              <w:t> </w:t>
            </w:r>
            <w:r>
              <w:rPr>
                <w:sz w:val="18"/>
              </w:rPr>
              <w:t>of</w:t>
            </w:r>
            <w:r>
              <w:rPr>
                <w:spacing w:val="-7"/>
                <w:sz w:val="18"/>
              </w:rPr>
              <w:t> </w:t>
            </w:r>
            <w:r>
              <w:rPr>
                <w:sz w:val="18"/>
              </w:rPr>
              <w:t>witnesses</w:t>
            </w:r>
            <w:r>
              <w:rPr>
                <w:spacing w:val="-11"/>
                <w:sz w:val="18"/>
              </w:rPr>
              <w:t> </w:t>
            </w:r>
            <w:r>
              <w:rPr>
                <w:sz w:val="18"/>
              </w:rPr>
              <w:t>are</w:t>
            </w:r>
            <w:r>
              <w:rPr>
                <w:spacing w:val="-11"/>
                <w:sz w:val="18"/>
              </w:rPr>
              <w:t> </w:t>
            </w:r>
            <w:r>
              <w:rPr>
                <w:sz w:val="18"/>
              </w:rPr>
              <w:t>able to</w:t>
            </w:r>
            <w:r>
              <w:rPr>
                <w:spacing w:val="-1"/>
                <w:sz w:val="18"/>
              </w:rPr>
              <w:t> </w:t>
            </w:r>
            <w:r>
              <w:rPr>
                <w:sz w:val="18"/>
              </w:rPr>
              <w:t>participate</w:t>
            </w:r>
            <w:r>
              <w:rPr>
                <w:spacing w:val="-1"/>
                <w:sz w:val="18"/>
              </w:rPr>
              <w:t> </w:t>
            </w:r>
            <w:r>
              <w:rPr>
                <w:sz w:val="18"/>
              </w:rPr>
              <w:t>in</w:t>
            </w:r>
            <w:r>
              <w:rPr>
                <w:spacing w:val="-1"/>
                <w:sz w:val="18"/>
              </w:rPr>
              <w:t> </w:t>
            </w:r>
            <w:r>
              <w:rPr>
                <w:sz w:val="18"/>
              </w:rPr>
              <w:t>person</w:t>
            </w:r>
            <w:r>
              <w:rPr>
                <w:spacing w:val="-6"/>
                <w:sz w:val="18"/>
              </w:rPr>
              <w:t> </w:t>
            </w:r>
            <w:r>
              <w:rPr>
                <w:sz w:val="18"/>
              </w:rPr>
              <w:t>in </w:t>
            </w:r>
            <w:r>
              <w:rPr>
                <w:spacing w:val="-2"/>
                <w:sz w:val="18"/>
              </w:rPr>
              <w:t>proceedings</w:t>
            </w:r>
          </w:p>
          <w:p>
            <w:pPr>
              <w:pStyle w:val="TableParagraph"/>
              <w:spacing w:before="9"/>
              <w:jc w:val="left"/>
              <w:rPr>
                <w:b/>
                <w:sz w:val="17"/>
              </w:rPr>
            </w:pPr>
          </w:p>
          <w:p>
            <w:pPr>
              <w:pStyle w:val="TableParagraph"/>
              <w:numPr>
                <w:ilvl w:val="0"/>
                <w:numId w:val="66"/>
              </w:numPr>
              <w:tabs>
                <w:tab w:pos="617" w:val="left" w:leader="none"/>
                <w:tab w:pos="618" w:val="left" w:leader="none"/>
              </w:tabs>
              <w:spacing w:line="240" w:lineRule="auto" w:before="1" w:after="0"/>
              <w:ind w:left="617" w:right="81" w:hanging="360"/>
              <w:jc w:val="left"/>
              <w:rPr>
                <w:sz w:val="18"/>
              </w:rPr>
            </w:pPr>
            <w:r>
              <w:rPr>
                <w:sz w:val="18"/>
              </w:rPr>
              <w:t>One</w:t>
            </w:r>
            <w:r>
              <w:rPr>
                <w:spacing w:val="-11"/>
                <w:sz w:val="18"/>
              </w:rPr>
              <w:t> </w:t>
            </w:r>
            <w:r>
              <w:rPr>
                <w:sz w:val="18"/>
              </w:rPr>
              <w:t>in</w:t>
            </w:r>
            <w:r>
              <w:rPr>
                <w:spacing w:val="-11"/>
                <w:sz w:val="18"/>
              </w:rPr>
              <w:t> </w:t>
            </w:r>
            <w:r>
              <w:rPr>
                <w:sz w:val="18"/>
              </w:rPr>
              <w:t>situ</w:t>
            </w:r>
            <w:r>
              <w:rPr>
                <w:spacing w:val="-11"/>
                <w:sz w:val="18"/>
              </w:rPr>
              <w:t> </w:t>
            </w:r>
            <w:r>
              <w:rPr>
                <w:sz w:val="18"/>
              </w:rPr>
              <w:t>proceeding</w:t>
            </w:r>
            <w:r>
              <w:rPr>
                <w:spacing w:val="-7"/>
                <w:sz w:val="18"/>
              </w:rPr>
              <w:t> </w:t>
            </w:r>
            <w:r>
              <w:rPr>
                <w:sz w:val="18"/>
              </w:rPr>
              <w:t>held in 2023</w:t>
            </w:r>
          </w:p>
          <w:p>
            <w:pPr>
              <w:pStyle w:val="TableParagraph"/>
              <w:spacing w:before="10"/>
              <w:jc w:val="left"/>
              <w:rPr>
                <w:b/>
                <w:sz w:val="17"/>
              </w:rPr>
            </w:pPr>
          </w:p>
          <w:p>
            <w:pPr>
              <w:pStyle w:val="TableParagraph"/>
              <w:numPr>
                <w:ilvl w:val="0"/>
                <w:numId w:val="66"/>
              </w:numPr>
              <w:tabs>
                <w:tab w:pos="617" w:val="left" w:leader="none"/>
                <w:tab w:pos="618" w:val="left" w:leader="none"/>
              </w:tabs>
              <w:spacing w:line="240" w:lineRule="auto" w:before="1" w:after="0"/>
              <w:ind w:left="617" w:right="88" w:hanging="360"/>
              <w:jc w:val="left"/>
              <w:rPr>
                <w:sz w:val="18"/>
              </w:rPr>
            </w:pPr>
            <w:r>
              <w:rPr>
                <w:sz w:val="18"/>
              </w:rPr>
              <w:t>Surveys conducted with affected</w:t>
            </w:r>
            <w:r>
              <w:rPr>
                <w:spacing w:val="-12"/>
                <w:sz w:val="18"/>
              </w:rPr>
              <w:t> </w:t>
            </w:r>
            <w:r>
              <w:rPr>
                <w:sz w:val="18"/>
              </w:rPr>
              <w:t>communities</w:t>
            </w:r>
            <w:r>
              <w:rPr>
                <w:spacing w:val="-11"/>
                <w:sz w:val="18"/>
              </w:rPr>
              <w:t> </w:t>
            </w:r>
            <w:r>
              <w:rPr>
                <w:sz w:val="18"/>
              </w:rPr>
              <w:t>show that the activities of the Office are perceived as contributing to bringing justice closer to them</w:t>
            </w:r>
          </w:p>
        </w:tc>
      </w:tr>
      <w:tr>
        <w:trPr>
          <w:trHeight w:val="532" w:hRule="atLeast"/>
        </w:trPr>
        <w:tc>
          <w:tcPr>
            <w:tcW w:w="1595" w:type="dxa"/>
            <w:tcBorders>
              <w:top w:val="single" w:sz="4" w:space="0" w:color="000000"/>
              <w:bottom w:val="single" w:sz="4" w:space="0" w:color="000000"/>
            </w:tcBorders>
          </w:tcPr>
          <w:p>
            <w:pPr>
              <w:pStyle w:val="TableParagraph"/>
              <w:spacing w:before="59"/>
              <w:ind w:left="28" w:right="357"/>
              <w:jc w:val="left"/>
              <w:rPr>
                <w:b/>
                <w:sz w:val="18"/>
              </w:rPr>
            </w:pPr>
            <w:r>
              <w:rPr>
                <w:b/>
                <w:spacing w:val="-2"/>
                <w:sz w:val="18"/>
              </w:rPr>
              <w:t>Court-wide </w:t>
            </w:r>
            <w:r>
              <w:rPr>
                <w:b/>
                <w:sz w:val="18"/>
              </w:rPr>
              <w:t>Goals</w:t>
            </w:r>
            <w:r>
              <w:rPr>
                <w:b/>
                <w:spacing w:val="-11"/>
                <w:sz w:val="18"/>
              </w:rPr>
              <w:t> </w:t>
            </w:r>
            <w:r>
              <w:rPr>
                <w:b/>
                <w:sz w:val="18"/>
              </w:rPr>
              <w:t>2</w:t>
            </w:r>
            <w:r>
              <w:rPr>
                <w:b/>
                <w:spacing w:val="-11"/>
                <w:sz w:val="18"/>
              </w:rPr>
              <w:t> </w:t>
            </w:r>
            <w:r>
              <w:rPr>
                <w:b/>
                <w:sz w:val="18"/>
              </w:rPr>
              <w:t>and</w:t>
            </w:r>
            <w:r>
              <w:rPr>
                <w:b/>
                <w:spacing w:val="-12"/>
                <w:sz w:val="18"/>
              </w:rPr>
              <w:t> </w:t>
            </w:r>
            <w:r>
              <w:rPr>
                <w:b/>
                <w:sz w:val="18"/>
              </w:rPr>
              <w:t>3</w:t>
            </w:r>
          </w:p>
        </w:tc>
        <w:tc>
          <w:tcPr>
            <w:tcW w:w="2887" w:type="dxa"/>
            <w:tcBorders>
              <w:top w:val="single" w:sz="4" w:space="0" w:color="000000"/>
              <w:bottom w:val="single" w:sz="4" w:space="0" w:color="000000"/>
            </w:tcBorders>
          </w:tcPr>
          <w:p>
            <w:pPr>
              <w:pStyle w:val="TableParagraph"/>
              <w:jc w:val="left"/>
              <w:rPr>
                <w:sz w:val="18"/>
              </w:rPr>
            </w:pPr>
          </w:p>
        </w:tc>
        <w:tc>
          <w:tcPr>
            <w:tcW w:w="2526" w:type="dxa"/>
            <w:tcBorders>
              <w:top w:val="single" w:sz="4" w:space="0" w:color="000000"/>
              <w:bottom w:val="single" w:sz="4" w:space="0" w:color="000000"/>
            </w:tcBorders>
          </w:tcPr>
          <w:p>
            <w:pPr>
              <w:pStyle w:val="TableParagraph"/>
              <w:jc w:val="left"/>
              <w:rPr>
                <w:sz w:val="18"/>
              </w:rPr>
            </w:pPr>
          </w:p>
        </w:tc>
        <w:tc>
          <w:tcPr>
            <w:tcW w:w="2690" w:type="dxa"/>
            <w:tcBorders>
              <w:top w:val="single" w:sz="4" w:space="0" w:color="000000"/>
              <w:bottom w:val="single" w:sz="4" w:space="0" w:color="000000"/>
            </w:tcBorders>
          </w:tcPr>
          <w:p>
            <w:pPr>
              <w:pStyle w:val="TableParagraph"/>
              <w:jc w:val="left"/>
              <w:rPr>
                <w:sz w:val="18"/>
              </w:rPr>
            </w:pPr>
          </w:p>
        </w:tc>
      </w:tr>
      <w:tr>
        <w:trPr>
          <w:trHeight w:val="4195" w:hRule="atLeast"/>
        </w:trPr>
        <w:tc>
          <w:tcPr>
            <w:tcW w:w="1595" w:type="dxa"/>
            <w:tcBorders>
              <w:top w:val="single" w:sz="4" w:space="0" w:color="000000"/>
              <w:bottom w:val="single" w:sz="4" w:space="0" w:color="000000"/>
            </w:tcBorders>
          </w:tcPr>
          <w:p>
            <w:pPr>
              <w:pStyle w:val="TableParagraph"/>
              <w:spacing w:before="59"/>
              <w:ind w:left="28" w:right="294"/>
              <w:jc w:val="left"/>
              <w:rPr>
                <w:sz w:val="18"/>
              </w:rPr>
            </w:pPr>
            <w:r>
              <w:rPr>
                <w:b/>
                <w:sz w:val="18"/>
              </w:rPr>
              <w:t>OTP</w:t>
            </w:r>
            <w:r>
              <w:rPr>
                <w:b/>
                <w:spacing w:val="-4"/>
                <w:sz w:val="18"/>
              </w:rPr>
              <w:t> </w:t>
            </w:r>
            <w:r>
              <w:rPr>
                <w:b/>
                <w:sz w:val="18"/>
              </w:rPr>
              <w:t>Strategic Goal 4</w:t>
            </w:r>
            <w:r>
              <w:rPr>
                <w:sz w:val="18"/>
              </w:rPr>
              <w:t>: Ensure </w:t>
            </w:r>
            <w:r>
              <w:rPr>
                <w:spacing w:val="-2"/>
                <w:sz w:val="18"/>
              </w:rPr>
              <w:t>effective </w:t>
            </w:r>
            <w:r>
              <w:rPr>
                <w:sz w:val="18"/>
              </w:rPr>
              <w:t>investigations of crimes of sexual and</w:t>
            </w:r>
            <w:r>
              <w:rPr>
                <w:spacing w:val="-12"/>
                <w:sz w:val="18"/>
              </w:rPr>
              <w:t> </w:t>
            </w:r>
            <w:r>
              <w:rPr>
                <w:sz w:val="18"/>
              </w:rPr>
              <w:t>gender-based </w:t>
            </w:r>
            <w:r>
              <w:rPr>
                <w:spacing w:val="-2"/>
                <w:sz w:val="18"/>
              </w:rPr>
              <w:t>violence</w:t>
            </w:r>
          </w:p>
        </w:tc>
        <w:tc>
          <w:tcPr>
            <w:tcW w:w="2887" w:type="dxa"/>
            <w:tcBorders>
              <w:top w:val="single" w:sz="4" w:space="0" w:color="000000"/>
              <w:bottom w:val="single" w:sz="4" w:space="0" w:color="000000"/>
            </w:tcBorders>
          </w:tcPr>
          <w:p>
            <w:pPr>
              <w:pStyle w:val="TableParagraph"/>
              <w:numPr>
                <w:ilvl w:val="0"/>
                <w:numId w:val="67"/>
              </w:numPr>
              <w:tabs>
                <w:tab w:pos="633" w:val="left" w:leader="none"/>
                <w:tab w:pos="634" w:val="left" w:leader="none"/>
              </w:tabs>
              <w:spacing w:line="240" w:lineRule="auto" w:before="0" w:after="0"/>
              <w:ind w:left="633" w:right="262" w:hanging="360"/>
              <w:jc w:val="left"/>
              <w:rPr>
                <w:sz w:val="18"/>
              </w:rPr>
            </w:pPr>
            <w:r>
              <w:rPr>
                <w:sz w:val="18"/>
              </w:rPr>
              <w:t>Systematic</w:t>
            </w:r>
            <w:r>
              <w:rPr>
                <w:spacing w:val="-8"/>
                <w:sz w:val="18"/>
              </w:rPr>
              <w:t> </w:t>
            </w:r>
            <w:r>
              <w:rPr>
                <w:sz w:val="18"/>
              </w:rPr>
              <w:t>identification and</w:t>
            </w:r>
            <w:r>
              <w:rPr>
                <w:spacing w:val="-10"/>
                <w:sz w:val="18"/>
              </w:rPr>
              <w:t> </w:t>
            </w:r>
            <w:r>
              <w:rPr>
                <w:sz w:val="18"/>
              </w:rPr>
              <w:t>review</w:t>
            </w:r>
            <w:r>
              <w:rPr>
                <w:spacing w:val="-9"/>
                <w:sz w:val="18"/>
              </w:rPr>
              <w:t> </w:t>
            </w:r>
            <w:r>
              <w:rPr>
                <w:sz w:val="18"/>
              </w:rPr>
              <w:t>of</w:t>
            </w:r>
            <w:r>
              <w:rPr>
                <w:spacing w:val="-10"/>
                <w:sz w:val="18"/>
              </w:rPr>
              <w:t> </w:t>
            </w:r>
            <w:r>
              <w:rPr>
                <w:sz w:val="18"/>
              </w:rPr>
              <w:t>these</w:t>
            </w:r>
            <w:r>
              <w:rPr>
                <w:spacing w:val="-10"/>
                <w:sz w:val="18"/>
              </w:rPr>
              <w:t> </w:t>
            </w:r>
            <w:r>
              <w:rPr>
                <w:sz w:val="18"/>
              </w:rPr>
              <w:t>priority crimes is done</w:t>
            </w:r>
          </w:p>
          <w:p>
            <w:pPr>
              <w:pStyle w:val="TableParagraph"/>
              <w:numPr>
                <w:ilvl w:val="0"/>
                <w:numId w:val="67"/>
              </w:numPr>
              <w:tabs>
                <w:tab w:pos="633" w:val="left" w:leader="none"/>
                <w:tab w:pos="634" w:val="left" w:leader="none"/>
              </w:tabs>
              <w:spacing w:line="240" w:lineRule="auto" w:before="0" w:after="0"/>
              <w:ind w:left="633" w:right="243" w:hanging="360"/>
              <w:jc w:val="left"/>
              <w:rPr>
                <w:sz w:val="18"/>
              </w:rPr>
            </w:pPr>
            <w:r>
              <w:rPr>
                <w:sz w:val="18"/>
              </w:rPr>
              <w:t>Increased integration of Gender</w:t>
            </w:r>
            <w:r>
              <w:rPr>
                <w:spacing w:val="-12"/>
                <w:sz w:val="18"/>
              </w:rPr>
              <w:t> </w:t>
            </w:r>
            <w:r>
              <w:rPr>
                <w:sz w:val="18"/>
              </w:rPr>
              <w:t>and</w:t>
            </w:r>
            <w:r>
              <w:rPr>
                <w:spacing w:val="-11"/>
                <w:sz w:val="18"/>
              </w:rPr>
              <w:t> </w:t>
            </w:r>
            <w:r>
              <w:rPr>
                <w:sz w:val="18"/>
              </w:rPr>
              <w:t>Children</w:t>
            </w:r>
            <w:r>
              <w:rPr>
                <w:spacing w:val="-11"/>
                <w:sz w:val="18"/>
              </w:rPr>
              <w:t> </w:t>
            </w:r>
            <w:r>
              <w:rPr>
                <w:sz w:val="18"/>
              </w:rPr>
              <w:t>Unit’s contribution into the work of the unified teams</w:t>
            </w:r>
          </w:p>
          <w:p>
            <w:pPr>
              <w:pStyle w:val="TableParagraph"/>
              <w:numPr>
                <w:ilvl w:val="0"/>
                <w:numId w:val="67"/>
              </w:numPr>
              <w:tabs>
                <w:tab w:pos="633" w:val="left" w:leader="none"/>
                <w:tab w:pos="634" w:val="left" w:leader="none"/>
              </w:tabs>
              <w:spacing w:line="240" w:lineRule="auto" w:before="0" w:after="0"/>
              <w:ind w:left="633" w:right="375" w:hanging="360"/>
              <w:jc w:val="left"/>
              <w:rPr>
                <w:sz w:val="18"/>
              </w:rPr>
            </w:pPr>
            <w:r>
              <w:rPr>
                <w:sz w:val="18"/>
              </w:rPr>
              <w:t>Analysis of evidence of sexual and gender-based crimes is included in the investigation</w:t>
            </w:r>
            <w:r>
              <w:rPr>
                <w:spacing w:val="-12"/>
                <w:sz w:val="18"/>
              </w:rPr>
              <w:t> </w:t>
            </w:r>
            <w:r>
              <w:rPr>
                <w:sz w:val="18"/>
              </w:rPr>
              <w:t>plans</w:t>
            </w:r>
            <w:r>
              <w:rPr>
                <w:spacing w:val="-11"/>
                <w:sz w:val="18"/>
              </w:rPr>
              <w:t> </w:t>
            </w:r>
            <w:r>
              <w:rPr>
                <w:sz w:val="18"/>
              </w:rPr>
              <w:t>so</w:t>
            </w:r>
            <w:r>
              <w:rPr>
                <w:spacing w:val="-11"/>
                <w:sz w:val="18"/>
              </w:rPr>
              <w:t> </w:t>
            </w:r>
            <w:r>
              <w:rPr>
                <w:sz w:val="18"/>
              </w:rPr>
              <w:t>that prosecution cases can eventually be built incorporating charges for these crimes whenever </w:t>
            </w:r>
            <w:r>
              <w:rPr>
                <w:spacing w:val="-2"/>
                <w:sz w:val="18"/>
              </w:rPr>
              <w:t>possible</w:t>
            </w:r>
          </w:p>
        </w:tc>
        <w:tc>
          <w:tcPr>
            <w:tcW w:w="2526" w:type="dxa"/>
            <w:tcBorders>
              <w:top w:val="single" w:sz="4" w:space="0" w:color="000000"/>
              <w:bottom w:val="single" w:sz="4" w:space="0" w:color="000000"/>
            </w:tcBorders>
          </w:tcPr>
          <w:p>
            <w:pPr>
              <w:pStyle w:val="TableParagraph"/>
              <w:numPr>
                <w:ilvl w:val="0"/>
                <w:numId w:val="68"/>
              </w:numPr>
              <w:tabs>
                <w:tab w:pos="651" w:val="left" w:leader="none"/>
                <w:tab w:pos="652" w:val="left" w:leader="none"/>
              </w:tabs>
              <w:spacing w:line="240" w:lineRule="auto" w:before="0" w:after="0"/>
              <w:ind w:left="651" w:right="252" w:hanging="360"/>
              <w:jc w:val="left"/>
              <w:rPr>
                <w:sz w:val="18"/>
              </w:rPr>
            </w:pPr>
            <w:r>
              <w:rPr>
                <w:sz w:val="18"/>
              </w:rPr>
              <w:t>Results in court- counts granted/ presented (document containing</w:t>
            </w:r>
            <w:r>
              <w:rPr>
                <w:spacing w:val="-12"/>
                <w:sz w:val="18"/>
              </w:rPr>
              <w:t> </w:t>
            </w:r>
            <w:r>
              <w:rPr>
                <w:sz w:val="18"/>
              </w:rPr>
              <w:t>the</w:t>
            </w:r>
            <w:r>
              <w:rPr>
                <w:spacing w:val="-11"/>
                <w:sz w:val="18"/>
              </w:rPr>
              <w:t> </w:t>
            </w:r>
            <w:r>
              <w:rPr>
                <w:sz w:val="18"/>
              </w:rPr>
              <w:t>charges</w:t>
            </w:r>
            <w:r>
              <w:rPr>
                <w:sz w:val="18"/>
              </w:rPr>
              <w:t> (DCC) and trial)</w:t>
            </w:r>
          </w:p>
          <w:p>
            <w:pPr>
              <w:pStyle w:val="TableParagraph"/>
              <w:numPr>
                <w:ilvl w:val="0"/>
                <w:numId w:val="68"/>
              </w:numPr>
              <w:tabs>
                <w:tab w:pos="651" w:val="left" w:leader="none"/>
                <w:tab w:pos="652" w:val="left" w:leader="none"/>
              </w:tabs>
              <w:spacing w:line="240" w:lineRule="auto" w:before="1" w:after="0"/>
              <w:ind w:left="651" w:right="282" w:hanging="360"/>
              <w:jc w:val="left"/>
              <w:rPr>
                <w:sz w:val="18"/>
              </w:rPr>
            </w:pPr>
            <w:r>
              <w:rPr>
                <w:sz w:val="18"/>
              </w:rPr>
              <w:t>Compliance with policies</w:t>
            </w:r>
            <w:r>
              <w:rPr>
                <w:spacing w:val="-12"/>
                <w:sz w:val="18"/>
              </w:rPr>
              <w:t> </w:t>
            </w:r>
            <w:r>
              <w:rPr>
                <w:sz w:val="18"/>
              </w:rPr>
              <w:t>and</w:t>
            </w:r>
            <w:r>
              <w:rPr>
                <w:spacing w:val="-11"/>
                <w:sz w:val="18"/>
              </w:rPr>
              <w:t> </w:t>
            </w:r>
            <w:r>
              <w:rPr>
                <w:sz w:val="18"/>
              </w:rPr>
              <w:t>standards ensured</w:t>
            </w:r>
            <w:r>
              <w:rPr>
                <w:spacing w:val="-10"/>
                <w:sz w:val="18"/>
              </w:rPr>
              <w:t> </w:t>
            </w:r>
            <w:r>
              <w:rPr>
                <w:sz w:val="18"/>
              </w:rPr>
              <w:t>through sexual and gender- based</w:t>
            </w:r>
            <w:r>
              <w:rPr>
                <w:spacing w:val="-9"/>
                <w:sz w:val="18"/>
              </w:rPr>
              <w:t> </w:t>
            </w:r>
            <w:r>
              <w:rPr>
                <w:sz w:val="18"/>
              </w:rPr>
              <w:t>crimes</w:t>
            </w:r>
            <w:r>
              <w:rPr>
                <w:spacing w:val="-9"/>
                <w:sz w:val="18"/>
              </w:rPr>
              <w:t> </w:t>
            </w:r>
            <w:r>
              <w:rPr>
                <w:sz w:val="18"/>
              </w:rPr>
              <w:t>(SGBC) training available for new staff members</w:t>
            </w:r>
          </w:p>
          <w:p>
            <w:pPr>
              <w:pStyle w:val="TableParagraph"/>
              <w:numPr>
                <w:ilvl w:val="0"/>
                <w:numId w:val="68"/>
              </w:numPr>
              <w:tabs>
                <w:tab w:pos="651" w:val="left" w:leader="none"/>
                <w:tab w:pos="652" w:val="left" w:leader="none"/>
              </w:tabs>
              <w:spacing w:line="240" w:lineRule="auto" w:before="0" w:after="0"/>
              <w:ind w:left="651" w:right="302" w:hanging="360"/>
              <w:jc w:val="left"/>
              <w:rPr>
                <w:sz w:val="18"/>
              </w:rPr>
            </w:pPr>
            <w:r>
              <w:rPr>
                <w:sz w:val="18"/>
              </w:rPr>
              <w:t>Number of cases including</w:t>
            </w:r>
            <w:r>
              <w:rPr>
                <w:spacing w:val="-12"/>
                <w:sz w:val="18"/>
              </w:rPr>
              <w:t> </w:t>
            </w:r>
            <w:r>
              <w:rPr>
                <w:sz w:val="18"/>
              </w:rPr>
              <w:t>evaluation</w:t>
            </w:r>
            <w:r>
              <w:rPr>
                <w:spacing w:val="-11"/>
                <w:sz w:val="18"/>
              </w:rPr>
              <w:t> </w:t>
            </w:r>
            <w:r>
              <w:rPr>
                <w:sz w:val="18"/>
              </w:rPr>
              <w:t>/ Number of case reviews performed</w:t>
            </w:r>
          </w:p>
          <w:p>
            <w:pPr>
              <w:pStyle w:val="TableParagraph"/>
              <w:numPr>
                <w:ilvl w:val="0"/>
                <w:numId w:val="68"/>
              </w:numPr>
              <w:tabs>
                <w:tab w:pos="651" w:val="left" w:leader="none"/>
                <w:tab w:pos="652" w:val="left" w:leader="none"/>
              </w:tabs>
              <w:spacing w:line="240" w:lineRule="auto" w:before="0" w:after="0"/>
              <w:ind w:left="651" w:right="295" w:hanging="360"/>
              <w:jc w:val="left"/>
              <w:rPr>
                <w:sz w:val="18"/>
              </w:rPr>
            </w:pPr>
            <w:r>
              <w:rPr>
                <w:sz w:val="18"/>
              </w:rPr>
              <w:t>Number of cases including charges / Number</w:t>
            </w:r>
            <w:r>
              <w:rPr>
                <w:spacing w:val="-12"/>
                <w:sz w:val="18"/>
              </w:rPr>
              <w:t> </w:t>
            </w:r>
            <w:r>
              <w:rPr>
                <w:sz w:val="18"/>
              </w:rPr>
              <w:t>of</w:t>
            </w:r>
            <w:r>
              <w:rPr>
                <w:spacing w:val="-11"/>
                <w:sz w:val="18"/>
              </w:rPr>
              <w:t> </w:t>
            </w:r>
            <w:r>
              <w:rPr>
                <w:sz w:val="18"/>
              </w:rPr>
              <w:t>cases</w:t>
            </w:r>
            <w:r>
              <w:rPr>
                <w:spacing w:val="-11"/>
                <w:sz w:val="18"/>
              </w:rPr>
              <w:t> </w:t>
            </w:r>
            <w:r>
              <w:rPr>
                <w:sz w:val="18"/>
              </w:rPr>
              <w:t>with</w:t>
            </w:r>
          </w:p>
          <w:p>
            <w:pPr>
              <w:pStyle w:val="TableParagraph"/>
              <w:spacing w:line="189" w:lineRule="exact"/>
              <w:ind w:left="651"/>
              <w:jc w:val="left"/>
              <w:rPr>
                <w:sz w:val="18"/>
              </w:rPr>
            </w:pPr>
            <w:r>
              <w:rPr>
                <w:sz w:val="18"/>
              </w:rPr>
              <w:t>positive</w:t>
            </w:r>
            <w:r>
              <w:rPr>
                <w:spacing w:val="-2"/>
                <w:sz w:val="18"/>
              </w:rPr>
              <w:t> evaluation</w:t>
            </w:r>
          </w:p>
        </w:tc>
        <w:tc>
          <w:tcPr>
            <w:tcW w:w="2690" w:type="dxa"/>
            <w:tcBorders>
              <w:top w:val="single" w:sz="4" w:space="0" w:color="000000"/>
              <w:bottom w:val="single" w:sz="4" w:space="0" w:color="000000"/>
            </w:tcBorders>
          </w:tcPr>
          <w:p>
            <w:pPr>
              <w:pStyle w:val="TableParagraph"/>
              <w:numPr>
                <w:ilvl w:val="0"/>
                <w:numId w:val="69"/>
              </w:numPr>
              <w:tabs>
                <w:tab w:pos="618" w:val="left" w:leader="none"/>
              </w:tabs>
              <w:spacing w:line="240" w:lineRule="auto" w:before="0" w:after="0"/>
              <w:ind w:left="617" w:right="302" w:hanging="360"/>
              <w:jc w:val="both"/>
              <w:rPr>
                <w:sz w:val="18"/>
              </w:rPr>
            </w:pPr>
            <w:r>
              <w:rPr>
                <w:sz w:val="18"/>
              </w:rPr>
              <w:t>All</w:t>
            </w:r>
            <w:r>
              <w:rPr>
                <w:spacing w:val="-12"/>
                <w:sz w:val="18"/>
              </w:rPr>
              <w:t> </w:t>
            </w:r>
            <w:r>
              <w:rPr>
                <w:sz w:val="18"/>
              </w:rPr>
              <w:t>case</w:t>
            </w:r>
            <w:r>
              <w:rPr>
                <w:spacing w:val="-11"/>
                <w:sz w:val="18"/>
              </w:rPr>
              <w:t> </w:t>
            </w:r>
            <w:r>
              <w:rPr>
                <w:sz w:val="18"/>
              </w:rPr>
              <w:t>reviews</w:t>
            </w:r>
            <w:r>
              <w:rPr>
                <w:spacing w:val="-11"/>
                <w:sz w:val="18"/>
              </w:rPr>
              <w:t> </w:t>
            </w:r>
            <w:r>
              <w:rPr>
                <w:sz w:val="18"/>
              </w:rPr>
              <w:t>include evaluation</w:t>
            </w:r>
            <w:r>
              <w:rPr>
                <w:spacing w:val="-9"/>
                <w:sz w:val="18"/>
              </w:rPr>
              <w:t> </w:t>
            </w:r>
            <w:r>
              <w:rPr>
                <w:sz w:val="18"/>
              </w:rPr>
              <w:t>of</w:t>
            </w:r>
            <w:r>
              <w:rPr>
                <w:spacing w:val="-8"/>
                <w:sz w:val="18"/>
              </w:rPr>
              <w:t> </w:t>
            </w:r>
            <w:r>
              <w:rPr>
                <w:sz w:val="18"/>
              </w:rPr>
              <w:t>sexual</w:t>
            </w:r>
            <w:r>
              <w:rPr>
                <w:spacing w:val="-8"/>
                <w:sz w:val="18"/>
              </w:rPr>
              <w:t> </w:t>
            </w:r>
            <w:r>
              <w:rPr>
                <w:sz w:val="18"/>
              </w:rPr>
              <w:t>and gender-based crimes</w:t>
            </w:r>
          </w:p>
          <w:p>
            <w:pPr>
              <w:pStyle w:val="TableParagraph"/>
              <w:numPr>
                <w:ilvl w:val="0"/>
                <w:numId w:val="69"/>
              </w:numPr>
              <w:tabs>
                <w:tab w:pos="617" w:val="left" w:leader="none"/>
                <w:tab w:pos="618" w:val="left" w:leader="none"/>
              </w:tabs>
              <w:spacing w:line="240" w:lineRule="auto" w:before="0" w:after="0"/>
              <w:ind w:left="617" w:right="105" w:hanging="360"/>
              <w:jc w:val="left"/>
              <w:rPr>
                <w:sz w:val="18"/>
              </w:rPr>
            </w:pPr>
            <w:r>
              <w:rPr>
                <w:sz w:val="18"/>
              </w:rPr>
              <w:t>Charges for sexual and gender-based crimes are included</w:t>
            </w:r>
            <w:r>
              <w:rPr>
                <w:spacing w:val="-12"/>
                <w:sz w:val="18"/>
              </w:rPr>
              <w:t> </w:t>
            </w:r>
            <w:r>
              <w:rPr>
                <w:sz w:val="18"/>
              </w:rPr>
              <w:t>in</w:t>
            </w:r>
            <w:r>
              <w:rPr>
                <w:spacing w:val="-11"/>
                <w:sz w:val="18"/>
              </w:rPr>
              <w:t> </w:t>
            </w:r>
            <w:r>
              <w:rPr>
                <w:sz w:val="18"/>
              </w:rPr>
              <w:t>the</w:t>
            </w:r>
            <w:r>
              <w:rPr>
                <w:spacing w:val="-11"/>
                <w:sz w:val="18"/>
              </w:rPr>
              <w:t> </w:t>
            </w:r>
            <w:r>
              <w:rPr>
                <w:sz w:val="18"/>
              </w:rPr>
              <w:t>Application for a warrant of arrest (AWA)</w:t>
            </w:r>
            <w:r>
              <w:rPr>
                <w:spacing w:val="-7"/>
                <w:sz w:val="18"/>
              </w:rPr>
              <w:t> </w:t>
            </w:r>
            <w:r>
              <w:rPr>
                <w:sz w:val="18"/>
              </w:rPr>
              <w:t>and</w:t>
            </w:r>
            <w:r>
              <w:rPr>
                <w:spacing w:val="-7"/>
                <w:sz w:val="18"/>
              </w:rPr>
              <w:t> </w:t>
            </w:r>
            <w:r>
              <w:rPr>
                <w:sz w:val="18"/>
              </w:rPr>
              <w:t>DCC</w:t>
            </w:r>
            <w:r>
              <w:rPr>
                <w:spacing w:val="-5"/>
                <w:sz w:val="18"/>
              </w:rPr>
              <w:t> </w:t>
            </w:r>
            <w:r>
              <w:rPr>
                <w:sz w:val="18"/>
              </w:rPr>
              <w:t>of</w:t>
            </w:r>
            <w:r>
              <w:rPr>
                <w:spacing w:val="-7"/>
                <w:sz w:val="18"/>
              </w:rPr>
              <w:t> </w:t>
            </w:r>
            <w:r>
              <w:rPr>
                <w:sz w:val="18"/>
              </w:rPr>
              <w:t>all</w:t>
            </w:r>
            <w:r>
              <w:rPr>
                <w:spacing w:val="-4"/>
                <w:sz w:val="18"/>
              </w:rPr>
              <w:t> </w:t>
            </w:r>
            <w:r>
              <w:rPr>
                <w:sz w:val="18"/>
              </w:rPr>
              <w:t>the cases presented by the unified teams to Pre-Trial Chambers when the evaluation was positive (i.e.: crimes were committed and can be linked to the suspects)</w:t>
            </w:r>
          </w:p>
          <w:p>
            <w:pPr>
              <w:pStyle w:val="TableParagraph"/>
              <w:numPr>
                <w:ilvl w:val="0"/>
                <w:numId w:val="69"/>
              </w:numPr>
              <w:tabs>
                <w:tab w:pos="617" w:val="left" w:leader="none"/>
                <w:tab w:pos="618" w:val="left" w:leader="none"/>
              </w:tabs>
              <w:spacing w:line="240" w:lineRule="auto" w:before="0" w:after="0"/>
              <w:ind w:left="617" w:right="353" w:hanging="360"/>
              <w:jc w:val="left"/>
              <w:rPr>
                <w:sz w:val="18"/>
              </w:rPr>
            </w:pPr>
            <w:r>
              <w:rPr>
                <w:sz w:val="18"/>
              </w:rPr>
              <w:t>End</w:t>
            </w:r>
            <w:r>
              <w:rPr>
                <w:spacing w:val="-12"/>
                <w:sz w:val="18"/>
              </w:rPr>
              <w:t> </w:t>
            </w:r>
            <w:r>
              <w:rPr>
                <w:sz w:val="18"/>
              </w:rPr>
              <w:t>target:</w:t>
            </w:r>
            <w:r>
              <w:rPr>
                <w:spacing w:val="-11"/>
                <w:sz w:val="18"/>
              </w:rPr>
              <w:t> </w:t>
            </w:r>
            <w:r>
              <w:rPr>
                <w:sz w:val="18"/>
              </w:rPr>
              <w:t>100%;</w:t>
            </w:r>
            <w:r>
              <w:rPr>
                <w:spacing w:val="-11"/>
                <w:sz w:val="18"/>
              </w:rPr>
              <w:t> </w:t>
            </w:r>
            <w:r>
              <w:rPr>
                <w:sz w:val="18"/>
              </w:rPr>
              <w:t>2023</w:t>
            </w:r>
            <w:r>
              <w:rPr>
                <w:sz w:val="18"/>
              </w:rPr>
              <w:t> target: TBD</w:t>
            </w:r>
          </w:p>
        </w:tc>
      </w:tr>
      <w:tr>
        <w:trPr>
          <w:trHeight w:val="532" w:hRule="atLeast"/>
        </w:trPr>
        <w:tc>
          <w:tcPr>
            <w:tcW w:w="1595" w:type="dxa"/>
            <w:tcBorders>
              <w:top w:val="single" w:sz="4" w:space="0" w:color="000000"/>
              <w:bottom w:val="single" w:sz="4" w:space="0" w:color="000000"/>
            </w:tcBorders>
          </w:tcPr>
          <w:p>
            <w:pPr>
              <w:pStyle w:val="TableParagraph"/>
              <w:spacing w:before="54"/>
              <w:ind w:left="28" w:right="357"/>
              <w:jc w:val="left"/>
              <w:rPr>
                <w:b/>
                <w:sz w:val="18"/>
              </w:rPr>
            </w:pPr>
            <w:r>
              <w:rPr>
                <w:b/>
                <w:spacing w:val="-2"/>
                <w:sz w:val="18"/>
              </w:rPr>
              <w:t>Court-wide </w:t>
            </w:r>
            <w:r>
              <w:rPr>
                <w:b/>
                <w:sz w:val="18"/>
              </w:rPr>
              <w:t>Goals</w:t>
            </w:r>
            <w:r>
              <w:rPr>
                <w:b/>
                <w:spacing w:val="-11"/>
                <w:sz w:val="18"/>
              </w:rPr>
              <w:t> </w:t>
            </w:r>
            <w:r>
              <w:rPr>
                <w:b/>
                <w:sz w:val="18"/>
              </w:rPr>
              <w:t>2</w:t>
            </w:r>
            <w:r>
              <w:rPr>
                <w:b/>
                <w:spacing w:val="-11"/>
                <w:sz w:val="18"/>
              </w:rPr>
              <w:t> </w:t>
            </w:r>
            <w:r>
              <w:rPr>
                <w:b/>
                <w:sz w:val="18"/>
              </w:rPr>
              <w:t>and</w:t>
            </w:r>
            <w:r>
              <w:rPr>
                <w:b/>
                <w:spacing w:val="-12"/>
                <w:sz w:val="18"/>
              </w:rPr>
              <w:t> </w:t>
            </w:r>
            <w:r>
              <w:rPr>
                <w:b/>
                <w:sz w:val="18"/>
              </w:rPr>
              <w:t>3</w:t>
            </w:r>
          </w:p>
        </w:tc>
        <w:tc>
          <w:tcPr>
            <w:tcW w:w="2887" w:type="dxa"/>
            <w:tcBorders>
              <w:top w:val="single" w:sz="4" w:space="0" w:color="000000"/>
              <w:bottom w:val="single" w:sz="4" w:space="0" w:color="000000"/>
            </w:tcBorders>
          </w:tcPr>
          <w:p>
            <w:pPr>
              <w:pStyle w:val="TableParagraph"/>
              <w:jc w:val="left"/>
              <w:rPr>
                <w:sz w:val="18"/>
              </w:rPr>
            </w:pPr>
          </w:p>
        </w:tc>
        <w:tc>
          <w:tcPr>
            <w:tcW w:w="2526" w:type="dxa"/>
            <w:tcBorders>
              <w:top w:val="single" w:sz="4" w:space="0" w:color="000000"/>
              <w:bottom w:val="single" w:sz="4" w:space="0" w:color="000000"/>
            </w:tcBorders>
          </w:tcPr>
          <w:p>
            <w:pPr>
              <w:pStyle w:val="TableParagraph"/>
              <w:jc w:val="left"/>
              <w:rPr>
                <w:sz w:val="18"/>
              </w:rPr>
            </w:pPr>
          </w:p>
        </w:tc>
        <w:tc>
          <w:tcPr>
            <w:tcW w:w="2690" w:type="dxa"/>
            <w:tcBorders>
              <w:top w:val="single" w:sz="4" w:space="0" w:color="000000"/>
              <w:bottom w:val="single" w:sz="4" w:space="0" w:color="000000"/>
            </w:tcBorders>
          </w:tcPr>
          <w:p>
            <w:pPr>
              <w:pStyle w:val="TableParagraph"/>
              <w:jc w:val="left"/>
              <w:rPr>
                <w:sz w:val="18"/>
              </w:rPr>
            </w:pPr>
          </w:p>
        </w:tc>
      </w:tr>
      <w:tr>
        <w:trPr>
          <w:trHeight w:val="3571" w:hRule="atLeast"/>
        </w:trPr>
        <w:tc>
          <w:tcPr>
            <w:tcW w:w="1595" w:type="dxa"/>
            <w:tcBorders>
              <w:top w:val="single" w:sz="4" w:space="0" w:color="000000"/>
              <w:bottom w:val="single" w:sz="4" w:space="0" w:color="000000"/>
            </w:tcBorders>
          </w:tcPr>
          <w:p>
            <w:pPr>
              <w:pStyle w:val="TableParagraph"/>
              <w:spacing w:before="59"/>
              <w:ind w:left="28" w:right="207"/>
              <w:jc w:val="left"/>
              <w:rPr>
                <w:sz w:val="18"/>
              </w:rPr>
            </w:pPr>
            <w:r>
              <w:rPr>
                <w:b/>
                <w:sz w:val="18"/>
              </w:rPr>
              <w:t>OTP</w:t>
            </w:r>
            <w:r>
              <w:rPr>
                <w:b/>
                <w:spacing w:val="-4"/>
                <w:sz w:val="18"/>
              </w:rPr>
              <w:t> </w:t>
            </w:r>
            <w:r>
              <w:rPr>
                <w:b/>
                <w:sz w:val="18"/>
              </w:rPr>
              <w:t>Strategic Goal 5</w:t>
            </w:r>
            <w:r>
              <w:rPr>
                <w:sz w:val="18"/>
              </w:rPr>
              <w:t>: Ensure crimes against children are </w:t>
            </w:r>
            <w:r>
              <w:rPr>
                <w:spacing w:val="-2"/>
                <w:sz w:val="18"/>
              </w:rPr>
              <w:t>effectively </w:t>
            </w:r>
            <w:r>
              <w:rPr>
                <w:sz w:val="18"/>
              </w:rPr>
              <w:t>addressed as part of</w:t>
            </w:r>
            <w:r>
              <w:rPr>
                <w:spacing w:val="-9"/>
                <w:sz w:val="18"/>
              </w:rPr>
              <w:t> </w:t>
            </w:r>
            <w:r>
              <w:rPr>
                <w:sz w:val="18"/>
              </w:rPr>
              <w:t>the</w:t>
            </w:r>
            <w:r>
              <w:rPr>
                <w:spacing w:val="-6"/>
                <w:sz w:val="18"/>
              </w:rPr>
              <w:t> </w:t>
            </w:r>
            <w:r>
              <w:rPr>
                <w:sz w:val="18"/>
              </w:rPr>
              <w:t>work</w:t>
            </w:r>
            <w:r>
              <w:rPr>
                <w:spacing w:val="-10"/>
                <w:sz w:val="18"/>
              </w:rPr>
              <w:t> </w:t>
            </w:r>
            <w:r>
              <w:rPr>
                <w:sz w:val="18"/>
              </w:rPr>
              <w:t>of</w:t>
            </w:r>
            <w:r>
              <w:rPr>
                <w:spacing w:val="-9"/>
                <w:sz w:val="18"/>
              </w:rPr>
              <w:t> </w:t>
            </w:r>
            <w:r>
              <w:rPr>
                <w:sz w:val="18"/>
              </w:rPr>
              <w:t>the </w:t>
            </w:r>
            <w:r>
              <w:rPr>
                <w:spacing w:val="-2"/>
                <w:sz w:val="18"/>
              </w:rPr>
              <w:t>Office</w:t>
            </w:r>
          </w:p>
        </w:tc>
        <w:tc>
          <w:tcPr>
            <w:tcW w:w="2887" w:type="dxa"/>
            <w:tcBorders>
              <w:top w:val="single" w:sz="4" w:space="0" w:color="000000"/>
              <w:bottom w:val="single" w:sz="4" w:space="0" w:color="000000"/>
            </w:tcBorders>
          </w:tcPr>
          <w:p>
            <w:pPr>
              <w:pStyle w:val="TableParagraph"/>
              <w:numPr>
                <w:ilvl w:val="0"/>
                <w:numId w:val="70"/>
              </w:numPr>
              <w:tabs>
                <w:tab w:pos="633" w:val="left" w:leader="none"/>
                <w:tab w:pos="634" w:val="left" w:leader="none"/>
              </w:tabs>
              <w:spacing w:line="240" w:lineRule="auto" w:before="0" w:after="0"/>
              <w:ind w:left="633" w:right="262" w:hanging="360"/>
              <w:jc w:val="left"/>
              <w:rPr>
                <w:sz w:val="18"/>
              </w:rPr>
            </w:pPr>
            <w:r>
              <w:rPr>
                <w:sz w:val="18"/>
              </w:rPr>
              <w:t>Systematic</w:t>
            </w:r>
            <w:r>
              <w:rPr>
                <w:spacing w:val="-8"/>
                <w:sz w:val="18"/>
              </w:rPr>
              <w:t> </w:t>
            </w:r>
            <w:r>
              <w:rPr>
                <w:sz w:val="18"/>
              </w:rPr>
              <w:t>identification and</w:t>
            </w:r>
            <w:r>
              <w:rPr>
                <w:spacing w:val="-10"/>
                <w:sz w:val="18"/>
              </w:rPr>
              <w:t> </w:t>
            </w:r>
            <w:r>
              <w:rPr>
                <w:sz w:val="18"/>
              </w:rPr>
              <w:t>review</w:t>
            </w:r>
            <w:r>
              <w:rPr>
                <w:spacing w:val="-9"/>
                <w:sz w:val="18"/>
              </w:rPr>
              <w:t> </w:t>
            </w:r>
            <w:r>
              <w:rPr>
                <w:sz w:val="18"/>
              </w:rPr>
              <w:t>of</w:t>
            </w:r>
            <w:r>
              <w:rPr>
                <w:spacing w:val="-10"/>
                <w:sz w:val="18"/>
              </w:rPr>
              <w:t> </w:t>
            </w:r>
            <w:r>
              <w:rPr>
                <w:sz w:val="18"/>
              </w:rPr>
              <w:t>these</w:t>
            </w:r>
            <w:r>
              <w:rPr>
                <w:spacing w:val="-10"/>
                <w:sz w:val="18"/>
              </w:rPr>
              <w:t> </w:t>
            </w:r>
            <w:r>
              <w:rPr>
                <w:sz w:val="18"/>
              </w:rPr>
              <w:t>priority crimes is done</w:t>
            </w:r>
          </w:p>
          <w:p>
            <w:pPr>
              <w:pStyle w:val="TableParagraph"/>
              <w:numPr>
                <w:ilvl w:val="0"/>
                <w:numId w:val="70"/>
              </w:numPr>
              <w:tabs>
                <w:tab w:pos="633" w:val="left" w:leader="none"/>
                <w:tab w:pos="634" w:val="left" w:leader="none"/>
              </w:tabs>
              <w:spacing w:line="240" w:lineRule="auto" w:before="0" w:after="0"/>
              <w:ind w:left="633" w:right="243" w:hanging="360"/>
              <w:jc w:val="left"/>
              <w:rPr>
                <w:sz w:val="18"/>
              </w:rPr>
            </w:pPr>
            <w:r>
              <w:rPr>
                <w:sz w:val="18"/>
              </w:rPr>
              <w:t>Increased integration of Gender</w:t>
            </w:r>
            <w:r>
              <w:rPr>
                <w:spacing w:val="-12"/>
                <w:sz w:val="18"/>
              </w:rPr>
              <w:t> </w:t>
            </w:r>
            <w:r>
              <w:rPr>
                <w:sz w:val="18"/>
              </w:rPr>
              <w:t>and</w:t>
            </w:r>
            <w:r>
              <w:rPr>
                <w:spacing w:val="-11"/>
                <w:sz w:val="18"/>
              </w:rPr>
              <w:t> </w:t>
            </w:r>
            <w:r>
              <w:rPr>
                <w:sz w:val="18"/>
              </w:rPr>
              <w:t>Children</w:t>
            </w:r>
            <w:r>
              <w:rPr>
                <w:spacing w:val="-11"/>
                <w:sz w:val="18"/>
              </w:rPr>
              <w:t> </w:t>
            </w:r>
            <w:r>
              <w:rPr>
                <w:sz w:val="18"/>
              </w:rPr>
              <w:t>Unit’s contribution into the work of the unified teams</w:t>
            </w:r>
          </w:p>
          <w:p>
            <w:pPr>
              <w:pStyle w:val="TableParagraph"/>
              <w:numPr>
                <w:ilvl w:val="0"/>
                <w:numId w:val="70"/>
              </w:numPr>
              <w:tabs>
                <w:tab w:pos="633" w:val="left" w:leader="none"/>
                <w:tab w:pos="634" w:val="left" w:leader="none"/>
              </w:tabs>
              <w:spacing w:line="240" w:lineRule="auto" w:before="0" w:after="0"/>
              <w:ind w:left="633" w:right="375" w:hanging="360"/>
              <w:jc w:val="left"/>
              <w:rPr>
                <w:sz w:val="18"/>
              </w:rPr>
            </w:pPr>
            <w:r>
              <w:rPr>
                <w:sz w:val="18"/>
              </w:rPr>
              <w:t>Analysis of evidence on crimes against children is included in the investigation</w:t>
            </w:r>
            <w:r>
              <w:rPr>
                <w:spacing w:val="-12"/>
                <w:sz w:val="18"/>
              </w:rPr>
              <w:t> </w:t>
            </w:r>
            <w:r>
              <w:rPr>
                <w:sz w:val="18"/>
              </w:rPr>
              <w:t>plans</w:t>
            </w:r>
            <w:r>
              <w:rPr>
                <w:spacing w:val="-11"/>
                <w:sz w:val="18"/>
              </w:rPr>
              <w:t> </w:t>
            </w:r>
            <w:r>
              <w:rPr>
                <w:sz w:val="18"/>
              </w:rPr>
              <w:t>so</w:t>
            </w:r>
            <w:r>
              <w:rPr>
                <w:spacing w:val="-11"/>
                <w:sz w:val="18"/>
              </w:rPr>
              <w:t> </w:t>
            </w:r>
            <w:r>
              <w:rPr>
                <w:sz w:val="18"/>
              </w:rPr>
              <w:t>that prosecution cases can eventually be built incorporating charges for these crimes whenever </w:t>
            </w:r>
            <w:r>
              <w:rPr>
                <w:spacing w:val="-2"/>
                <w:sz w:val="18"/>
              </w:rPr>
              <w:t>possible</w:t>
            </w:r>
          </w:p>
        </w:tc>
        <w:tc>
          <w:tcPr>
            <w:tcW w:w="2526" w:type="dxa"/>
            <w:tcBorders>
              <w:top w:val="single" w:sz="4" w:space="0" w:color="000000"/>
              <w:bottom w:val="single" w:sz="4" w:space="0" w:color="000000"/>
            </w:tcBorders>
          </w:tcPr>
          <w:p>
            <w:pPr>
              <w:pStyle w:val="TableParagraph"/>
              <w:numPr>
                <w:ilvl w:val="0"/>
                <w:numId w:val="71"/>
              </w:numPr>
              <w:tabs>
                <w:tab w:pos="651" w:val="left" w:leader="none"/>
                <w:tab w:pos="652" w:val="left" w:leader="none"/>
              </w:tabs>
              <w:spacing w:line="240" w:lineRule="auto" w:before="0" w:after="0"/>
              <w:ind w:left="651" w:right="400" w:hanging="360"/>
              <w:jc w:val="left"/>
              <w:rPr>
                <w:sz w:val="18"/>
              </w:rPr>
            </w:pPr>
            <w:r>
              <w:rPr>
                <w:sz w:val="18"/>
              </w:rPr>
              <w:t>Results in court- counts granted/ presented</w:t>
            </w:r>
            <w:r>
              <w:rPr>
                <w:spacing w:val="-12"/>
                <w:sz w:val="18"/>
              </w:rPr>
              <w:t> </w:t>
            </w:r>
            <w:r>
              <w:rPr>
                <w:sz w:val="18"/>
              </w:rPr>
              <w:t>(DCC</w:t>
            </w:r>
            <w:r>
              <w:rPr>
                <w:spacing w:val="-11"/>
                <w:sz w:val="18"/>
              </w:rPr>
              <w:t> </w:t>
            </w:r>
            <w:r>
              <w:rPr>
                <w:sz w:val="18"/>
              </w:rPr>
              <w:t>and</w:t>
            </w:r>
            <w:r>
              <w:rPr>
                <w:sz w:val="18"/>
              </w:rPr>
              <w:t> </w:t>
            </w:r>
            <w:r>
              <w:rPr>
                <w:spacing w:val="-2"/>
                <w:sz w:val="18"/>
              </w:rPr>
              <w:t>trial)</w:t>
            </w:r>
          </w:p>
          <w:p>
            <w:pPr>
              <w:pStyle w:val="TableParagraph"/>
              <w:numPr>
                <w:ilvl w:val="0"/>
                <w:numId w:val="71"/>
              </w:numPr>
              <w:tabs>
                <w:tab w:pos="651" w:val="left" w:leader="none"/>
                <w:tab w:pos="652" w:val="left" w:leader="none"/>
              </w:tabs>
              <w:spacing w:line="240" w:lineRule="auto" w:before="0" w:after="0"/>
              <w:ind w:left="651" w:right="282" w:hanging="360"/>
              <w:jc w:val="left"/>
              <w:rPr>
                <w:sz w:val="18"/>
              </w:rPr>
            </w:pPr>
            <w:r>
              <w:rPr>
                <w:sz w:val="18"/>
              </w:rPr>
              <w:t>Compliance with policies</w:t>
            </w:r>
            <w:r>
              <w:rPr>
                <w:spacing w:val="-12"/>
                <w:sz w:val="18"/>
              </w:rPr>
              <w:t> </w:t>
            </w:r>
            <w:r>
              <w:rPr>
                <w:sz w:val="18"/>
              </w:rPr>
              <w:t>and</w:t>
            </w:r>
            <w:r>
              <w:rPr>
                <w:spacing w:val="-11"/>
                <w:sz w:val="18"/>
              </w:rPr>
              <w:t> </w:t>
            </w:r>
            <w:r>
              <w:rPr>
                <w:sz w:val="18"/>
              </w:rPr>
              <w:t>standards relevant to crimes against children </w:t>
            </w:r>
            <w:r>
              <w:rPr>
                <w:spacing w:val="-2"/>
                <w:sz w:val="18"/>
              </w:rPr>
              <w:t>ensured</w:t>
            </w:r>
          </w:p>
          <w:p>
            <w:pPr>
              <w:pStyle w:val="TableParagraph"/>
              <w:numPr>
                <w:ilvl w:val="0"/>
                <w:numId w:val="71"/>
              </w:numPr>
              <w:tabs>
                <w:tab w:pos="651" w:val="left" w:leader="none"/>
                <w:tab w:pos="652" w:val="left" w:leader="none"/>
              </w:tabs>
              <w:spacing w:line="240" w:lineRule="auto" w:before="0" w:after="0"/>
              <w:ind w:left="651" w:right="302" w:hanging="360"/>
              <w:jc w:val="left"/>
              <w:rPr>
                <w:sz w:val="18"/>
              </w:rPr>
            </w:pPr>
            <w:r>
              <w:rPr>
                <w:sz w:val="18"/>
              </w:rPr>
              <w:t>Number of cases including</w:t>
            </w:r>
            <w:r>
              <w:rPr>
                <w:spacing w:val="-12"/>
                <w:sz w:val="18"/>
              </w:rPr>
              <w:t> </w:t>
            </w:r>
            <w:r>
              <w:rPr>
                <w:sz w:val="18"/>
              </w:rPr>
              <w:t>evaluation</w:t>
            </w:r>
            <w:r>
              <w:rPr>
                <w:spacing w:val="-11"/>
                <w:sz w:val="18"/>
              </w:rPr>
              <w:t> </w:t>
            </w:r>
            <w:r>
              <w:rPr>
                <w:sz w:val="18"/>
              </w:rPr>
              <w:t>/ Number of case reviews performed</w:t>
            </w:r>
          </w:p>
          <w:p>
            <w:pPr>
              <w:pStyle w:val="TableParagraph"/>
              <w:numPr>
                <w:ilvl w:val="0"/>
                <w:numId w:val="71"/>
              </w:numPr>
              <w:tabs>
                <w:tab w:pos="651" w:val="left" w:leader="none"/>
                <w:tab w:pos="652" w:val="left" w:leader="none"/>
              </w:tabs>
              <w:spacing w:line="242" w:lineRule="auto" w:before="0" w:after="0"/>
              <w:ind w:left="651" w:right="295" w:hanging="360"/>
              <w:jc w:val="left"/>
              <w:rPr>
                <w:sz w:val="18"/>
              </w:rPr>
            </w:pPr>
            <w:r>
              <w:rPr>
                <w:sz w:val="18"/>
              </w:rPr>
              <w:t>Number of cases including charges / Number</w:t>
            </w:r>
            <w:r>
              <w:rPr>
                <w:spacing w:val="-12"/>
                <w:sz w:val="18"/>
              </w:rPr>
              <w:t> </w:t>
            </w:r>
            <w:r>
              <w:rPr>
                <w:sz w:val="18"/>
              </w:rPr>
              <w:t>of</w:t>
            </w:r>
            <w:r>
              <w:rPr>
                <w:spacing w:val="-11"/>
                <w:sz w:val="18"/>
              </w:rPr>
              <w:t> </w:t>
            </w:r>
            <w:r>
              <w:rPr>
                <w:sz w:val="18"/>
              </w:rPr>
              <w:t>cases</w:t>
            </w:r>
            <w:r>
              <w:rPr>
                <w:spacing w:val="-11"/>
                <w:sz w:val="18"/>
              </w:rPr>
              <w:t> </w:t>
            </w:r>
            <w:r>
              <w:rPr>
                <w:sz w:val="18"/>
              </w:rPr>
              <w:t>with</w:t>
            </w:r>
          </w:p>
          <w:p>
            <w:pPr>
              <w:pStyle w:val="TableParagraph"/>
              <w:spacing w:line="185" w:lineRule="exact"/>
              <w:ind w:left="651"/>
              <w:jc w:val="left"/>
              <w:rPr>
                <w:sz w:val="18"/>
              </w:rPr>
            </w:pPr>
            <w:r>
              <w:rPr>
                <w:sz w:val="18"/>
              </w:rPr>
              <w:t>positive</w:t>
            </w:r>
            <w:r>
              <w:rPr>
                <w:spacing w:val="-2"/>
                <w:sz w:val="18"/>
              </w:rPr>
              <w:t> evaluation</w:t>
            </w:r>
          </w:p>
        </w:tc>
        <w:tc>
          <w:tcPr>
            <w:tcW w:w="2690" w:type="dxa"/>
            <w:tcBorders>
              <w:top w:val="single" w:sz="4" w:space="0" w:color="000000"/>
              <w:bottom w:val="single" w:sz="4" w:space="0" w:color="000000"/>
            </w:tcBorders>
          </w:tcPr>
          <w:p>
            <w:pPr>
              <w:pStyle w:val="TableParagraph"/>
              <w:numPr>
                <w:ilvl w:val="0"/>
                <w:numId w:val="72"/>
              </w:numPr>
              <w:tabs>
                <w:tab w:pos="617" w:val="left" w:leader="none"/>
                <w:tab w:pos="618" w:val="left" w:leader="none"/>
              </w:tabs>
              <w:spacing w:line="240" w:lineRule="auto" w:before="0" w:after="0"/>
              <w:ind w:left="617" w:right="45" w:hanging="360"/>
              <w:jc w:val="left"/>
              <w:rPr>
                <w:sz w:val="18"/>
              </w:rPr>
            </w:pPr>
            <w:r>
              <w:rPr>
                <w:sz w:val="18"/>
              </w:rPr>
              <w:t>All case reviews include evaluation</w:t>
            </w:r>
            <w:r>
              <w:rPr>
                <w:spacing w:val="-12"/>
                <w:sz w:val="18"/>
              </w:rPr>
              <w:t> </w:t>
            </w:r>
            <w:r>
              <w:rPr>
                <w:sz w:val="18"/>
              </w:rPr>
              <w:t>of</w:t>
            </w:r>
            <w:r>
              <w:rPr>
                <w:spacing w:val="-11"/>
                <w:sz w:val="18"/>
              </w:rPr>
              <w:t> </w:t>
            </w:r>
            <w:r>
              <w:rPr>
                <w:sz w:val="18"/>
              </w:rPr>
              <w:t>crimes</w:t>
            </w:r>
            <w:r>
              <w:rPr>
                <w:spacing w:val="-11"/>
                <w:sz w:val="18"/>
              </w:rPr>
              <w:t> </w:t>
            </w:r>
            <w:r>
              <w:rPr>
                <w:sz w:val="18"/>
              </w:rPr>
              <w:t>against </w:t>
            </w:r>
            <w:r>
              <w:rPr>
                <w:spacing w:val="-2"/>
                <w:sz w:val="18"/>
              </w:rPr>
              <w:t>children</w:t>
            </w:r>
          </w:p>
          <w:p>
            <w:pPr>
              <w:pStyle w:val="TableParagraph"/>
              <w:numPr>
                <w:ilvl w:val="0"/>
                <w:numId w:val="72"/>
              </w:numPr>
              <w:tabs>
                <w:tab w:pos="617" w:val="left" w:leader="none"/>
                <w:tab w:pos="618" w:val="left" w:leader="none"/>
              </w:tabs>
              <w:spacing w:line="240" w:lineRule="auto" w:before="0" w:after="0"/>
              <w:ind w:left="617" w:right="101" w:hanging="360"/>
              <w:jc w:val="left"/>
              <w:rPr>
                <w:sz w:val="18"/>
              </w:rPr>
            </w:pPr>
            <w:r>
              <w:rPr>
                <w:sz w:val="18"/>
              </w:rPr>
              <w:t>Charges for crimes against children</w:t>
            </w:r>
            <w:r>
              <w:rPr>
                <w:spacing w:val="-10"/>
                <w:sz w:val="18"/>
              </w:rPr>
              <w:t> </w:t>
            </w:r>
            <w:r>
              <w:rPr>
                <w:sz w:val="18"/>
              </w:rPr>
              <w:t>are</w:t>
            </w:r>
            <w:r>
              <w:rPr>
                <w:spacing w:val="-10"/>
                <w:sz w:val="18"/>
              </w:rPr>
              <w:t> </w:t>
            </w:r>
            <w:r>
              <w:rPr>
                <w:sz w:val="18"/>
              </w:rPr>
              <w:t>included</w:t>
            </w:r>
            <w:r>
              <w:rPr>
                <w:spacing w:val="-10"/>
                <w:sz w:val="18"/>
              </w:rPr>
              <w:t> </w:t>
            </w:r>
            <w:r>
              <w:rPr>
                <w:sz w:val="18"/>
              </w:rPr>
              <w:t>in</w:t>
            </w:r>
            <w:r>
              <w:rPr>
                <w:spacing w:val="-10"/>
                <w:sz w:val="18"/>
              </w:rPr>
              <w:t> </w:t>
            </w:r>
            <w:r>
              <w:rPr>
                <w:sz w:val="18"/>
              </w:rPr>
              <w:t>the DCC of all the cases presented by the unified teams to Pre-Trial Chambers when the evaluation was positive (i.e.: crimes were committed and can be linked to the suspects)</w:t>
            </w:r>
          </w:p>
          <w:p>
            <w:pPr>
              <w:pStyle w:val="TableParagraph"/>
              <w:numPr>
                <w:ilvl w:val="0"/>
                <w:numId w:val="72"/>
              </w:numPr>
              <w:tabs>
                <w:tab w:pos="617" w:val="left" w:leader="none"/>
                <w:tab w:pos="618" w:val="left" w:leader="none"/>
              </w:tabs>
              <w:spacing w:line="240" w:lineRule="auto" w:before="0" w:after="0"/>
              <w:ind w:left="617" w:right="353" w:hanging="360"/>
              <w:jc w:val="left"/>
              <w:rPr>
                <w:sz w:val="18"/>
              </w:rPr>
            </w:pPr>
            <w:r>
              <w:rPr>
                <w:sz w:val="18"/>
              </w:rPr>
              <w:t>End</w:t>
            </w:r>
            <w:r>
              <w:rPr>
                <w:spacing w:val="-12"/>
                <w:sz w:val="18"/>
              </w:rPr>
              <w:t> </w:t>
            </w:r>
            <w:r>
              <w:rPr>
                <w:sz w:val="18"/>
              </w:rPr>
              <w:t>target:</w:t>
            </w:r>
            <w:r>
              <w:rPr>
                <w:spacing w:val="-11"/>
                <w:sz w:val="18"/>
              </w:rPr>
              <w:t> </w:t>
            </w:r>
            <w:r>
              <w:rPr>
                <w:sz w:val="18"/>
              </w:rPr>
              <w:t>100%;</w:t>
            </w:r>
            <w:r>
              <w:rPr>
                <w:spacing w:val="-11"/>
                <w:sz w:val="18"/>
              </w:rPr>
              <w:t> </w:t>
            </w:r>
            <w:r>
              <w:rPr>
                <w:sz w:val="18"/>
              </w:rPr>
              <w:t>2023</w:t>
            </w:r>
            <w:r>
              <w:rPr>
                <w:sz w:val="18"/>
              </w:rPr>
              <w:t> target: TBD</w:t>
            </w:r>
          </w:p>
        </w:tc>
      </w:tr>
    </w:tbl>
    <w:p>
      <w:pPr>
        <w:spacing w:after="0" w:line="240" w:lineRule="auto"/>
        <w:jc w:val="left"/>
        <w:rPr>
          <w:sz w:val="18"/>
        </w:rPr>
        <w:sectPr>
          <w:type w:val="continuous"/>
          <w:pgSz w:w="11910" w:h="16840"/>
          <w:pgMar w:header="953" w:footer="940" w:top="1140" w:bottom="1966" w:left="20" w:right="20"/>
        </w:sectPr>
      </w:pPr>
    </w:p>
    <w:tbl>
      <w:tblPr>
        <w:tblW w:w="0" w:type="auto"/>
        <w:jc w:val="left"/>
        <w:tblInd w:w="1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15"/>
        <w:gridCol w:w="2885"/>
        <w:gridCol w:w="2505"/>
        <w:gridCol w:w="2696"/>
      </w:tblGrid>
      <w:tr>
        <w:trPr>
          <w:trHeight w:val="119" w:hRule="atLeast"/>
        </w:trPr>
        <w:tc>
          <w:tcPr>
            <w:tcW w:w="1615" w:type="dxa"/>
            <w:tcBorders>
              <w:top w:val="single" w:sz="2" w:space="0" w:color="000000"/>
              <w:bottom w:val="single" w:sz="4" w:space="0" w:color="000000"/>
            </w:tcBorders>
          </w:tcPr>
          <w:p>
            <w:pPr>
              <w:pStyle w:val="TableParagraph"/>
              <w:jc w:val="left"/>
              <w:rPr>
                <w:sz w:val="6"/>
              </w:rPr>
            </w:pPr>
          </w:p>
        </w:tc>
        <w:tc>
          <w:tcPr>
            <w:tcW w:w="2885" w:type="dxa"/>
            <w:tcBorders>
              <w:top w:val="single" w:sz="2" w:space="0" w:color="000000"/>
              <w:bottom w:val="single" w:sz="4" w:space="0" w:color="000000"/>
            </w:tcBorders>
          </w:tcPr>
          <w:p>
            <w:pPr>
              <w:pStyle w:val="TableParagraph"/>
              <w:jc w:val="left"/>
              <w:rPr>
                <w:sz w:val="6"/>
              </w:rPr>
            </w:pPr>
          </w:p>
        </w:tc>
        <w:tc>
          <w:tcPr>
            <w:tcW w:w="2505" w:type="dxa"/>
            <w:tcBorders>
              <w:top w:val="single" w:sz="2" w:space="0" w:color="000000"/>
              <w:bottom w:val="single" w:sz="4" w:space="0" w:color="000000"/>
            </w:tcBorders>
          </w:tcPr>
          <w:p>
            <w:pPr>
              <w:pStyle w:val="TableParagraph"/>
              <w:jc w:val="left"/>
              <w:rPr>
                <w:sz w:val="6"/>
              </w:rPr>
            </w:pPr>
          </w:p>
        </w:tc>
        <w:tc>
          <w:tcPr>
            <w:tcW w:w="2696" w:type="dxa"/>
            <w:tcBorders>
              <w:top w:val="single" w:sz="2" w:space="0" w:color="000000"/>
              <w:bottom w:val="single" w:sz="4" w:space="0" w:color="000000"/>
            </w:tcBorders>
          </w:tcPr>
          <w:p>
            <w:pPr>
              <w:pStyle w:val="TableParagraph"/>
              <w:jc w:val="left"/>
              <w:rPr>
                <w:sz w:val="6"/>
              </w:rPr>
            </w:pPr>
          </w:p>
        </w:tc>
      </w:tr>
      <w:tr>
        <w:trPr>
          <w:trHeight w:val="330" w:hRule="atLeast"/>
        </w:trPr>
        <w:tc>
          <w:tcPr>
            <w:tcW w:w="1615" w:type="dxa"/>
            <w:tcBorders>
              <w:top w:val="single" w:sz="4" w:space="0" w:color="000000"/>
              <w:bottom w:val="single" w:sz="4" w:space="0" w:color="000000"/>
            </w:tcBorders>
          </w:tcPr>
          <w:p>
            <w:pPr>
              <w:pStyle w:val="TableParagraph"/>
              <w:spacing w:before="64"/>
              <w:ind w:left="168"/>
              <w:jc w:val="left"/>
              <w:rPr>
                <w:i/>
                <w:sz w:val="18"/>
              </w:rPr>
            </w:pPr>
            <w:r>
              <w:rPr>
                <w:i/>
                <w:sz w:val="18"/>
              </w:rPr>
              <w:t>Strategic</w:t>
            </w:r>
            <w:r>
              <w:rPr>
                <w:i/>
                <w:spacing w:val="-2"/>
                <w:sz w:val="18"/>
              </w:rPr>
              <w:t> </w:t>
            </w:r>
            <w:r>
              <w:rPr>
                <w:i/>
                <w:spacing w:val="-4"/>
                <w:sz w:val="18"/>
              </w:rPr>
              <w:t>Goal</w:t>
            </w:r>
          </w:p>
        </w:tc>
        <w:tc>
          <w:tcPr>
            <w:tcW w:w="2885" w:type="dxa"/>
            <w:tcBorders>
              <w:top w:val="single" w:sz="4" w:space="0" w:color="000000"/>
              <w:bottom w:val="single" w:sz="4" w:space="0" w:color="000000"/>
            </w:tcBorders>
          </w:tcPr>
          <w:p>
            <w:pPr>
              <w:pStyle w:val="TableParagraph"/>
              <w:spacing w:before="64"/>
              <w:ind w:left="680"/>
              <w:jc w:val="left"/>
              <w:rPr>
                <w:i/>
                <w:sz w:val="18"/>
              </w:rPr>
            </w:pPr>
            <w:r>
              <w:rPr>
                <w:i/>
                <w:sz w:val="18"/>
              </w:rPr>
              <w:t>Expected</w:t>
            </w:r>
            <w:r>
              <w:rPr>
                <w:i/>
                <w:spacing w:val="-7"/>
                <w:sz w:val="18"/>
              </w:rPr>
              <w:t> </w:t>
            </w:r>
            <w:r>
              <w:rPr>
                <w:i/>
                <w:spacing w:val="-2"/>
                <w:sz w:val="18"/>
              </w:rPr>
              <w:t>results</w:t>
            </w:r>
          </w:p>
        </w:tc>
        <w:tc>
          <w:tcPr>
            <w:tcW w:w="2505" w:type="dxa"/>
            <w:tcBorders>
              <w:top w:val="single" w:sz="4" w:space="0" w:color="000000"/>
              <w:bottom w:val="single" w:sz="4" w:space="0" w:color="000000"/>
            </w:tcBorders>
          </w:tcPr>
          <w:p>
            <w:pPr>
              <w:pStyle w:val="TableParagraph"/>
              <w:spacing w:before="64"/>
              <w:ind w:left="229"/>
              <w:jc w:val="left"/>
              <w:rPr>
                <w:i/>
                <w:sz w:val="18"/>
              </w:rPr>
            </w:pPr>
            <w:r>
              <w:rPr>
                <w:i/>
                <w:sz w:val="18"/>
              </w:rPr>
              <w:t>Performance</w:t>
            </w:r>
            <w:r>
              <w:rPr>
                <w:i/>
                <w:spacing w:val="-5"/>
                <w:sz w:val="18"/>
              </w:rPr>
              <w:t> </w:t>
            </w:r>
            <w:r>
              <w:rPr>
                <w:i/>
                <w:spacing w:val="-2"/>
                <w:sz w:val="18"/>
              </w:rPr>
              <w:t>indicators</w:t>
            </w:r>
          </w:p>
        </w:tc>
        <w:tc>
          <w:tcPr>
            <w:tcW w:w="2696" w:type="dxa"/>
            <w:tcBorders>
              <w:top w:val="single" w:sz="4" w:space="0" w:color="000000"/>
              <w:bottom w:val="single" w:sz="4" w:space="0" w:color="000000"/>
            </w:tcBorders>
          </w:tcPr>
          <w:p>
            <w:pPr>
              <w:pStyle w:val="TableParagraph"/>
              <w:spacing w:before="64"/>
              <w:ind w:left="841"/>
              <w:jc w:val="left"/>
              <w:rPr>
                <w:i/>
                <w:sz w:val="18"/>
              </w:rPr>
            </w:pPr>
            <w:r>
              <w:rPr>
                <w:i/>
                <w:sz w:val="18"/>
              </w:rPr>
              <w:t>Target</w:t>
            </w:r>
            <w:r>
              <w:rPr>
                <w:i/>
                <w:spacing w:val="-2"/>
                <w:sz w:val="18"/>
              </w:rPr>
              <w:t> </w:t>
            </w:r>
            <w:r>
              <w:rPr>
                <w:i/>
                <w:spacing w:val="-4"/>
                <w:sz w:val="18"/>
              </w:rPr>
              <w:t>2023</w:t>
            </w:r>
          </w:p>
        </w:tc>
      </w:tr>
      <w:tr>
        <w:trPr>
          <w:trHeight w:val="532" w:hRule="atLeast"/>
        </w:trPr>
        <w:tc>
          <w:tcPr>
            <w:tcW w:w="1615" w:type="dxa"/>
            <w:tcBorders>
              <w:top w:val="single" w:sz="4" w:space="0" w:color="000000"/>
              <w:bottom w:val="single" w:sz="4" w:space="0" w:color="000000"/>
            </w:tcBorders>
          </w:tcPr>
          <w:p>
            <w:pPr>
              <w:pStyle w:val="TableParagraph"/>
              <w:spacing w:before="54"/>
              <w:ind w:left="28" w:right="377"/>
              <w:jc w:val="left"/>
              <w:rPr>
                <w:b/>
                <w:sz w:val="18"/>
              </w:rPr>
            </w:pPr>
            <w:r>
              <w:rPr>
                <w:b/>
                <w:spacing w:val="-2"/>
                <w:sz w:val="18"/>
              </w:rPr>
              <w:t>Court-wide </w:t>
            </w:r>
            <w:r>
              <w:rPr>
                <w:b/>
                <w:sz w:val="18"/>
              </w:rPr>
              <w:t>Goal 2</w:t>
            </w:r>
          </w:p>
        </w:tc>
        <w:tc>
          <w:tcPr>
            <w:tcW w:w="2885" w:type="dxa"/>
            <w:tcBorders>
              <w:top w:val="single" w:sz="4" w:space="0" w:color="000000"/>
              <w:bottom w:val="single" w:sz="4" w:space="0" w:color="000000"/>
            </w:tcBorders>
          </w:tcPr>
          <w:p>
            <w:pPr>
              <w:pStyle w:val="TableParagraph"/>
              <w:jc w:val="left"/>
              <w:rPr>
                <w:sz w:val="18"/>
              </w:rPr>
            </w:pPr>
          </w:p>
        </w:tc>
        <w:tc>
          <w:tcPr>
            <w:tcW w:w="2505" w:type="dxa"/>
            <w:tcBorders>
              <w:top w:val="single" w:sz="4" w:space="0" w:color="000000"/>
              <w:bottom w:val="single" w:sz="4" w:space="0" w:color="000000"/>
            </w:tcBorders>
          </w:tcPr>
          <w:p>
            <w:pPr>
              <w:pStyle w:val="TableParagraph"/>
              <w:jc w:val="left"/>
              <w:rPr>
                <w:sz w:val="18"/>
              </w:rPr>
            </w:pPr>
          </w:p>
        </w:tc>
        <w:tc>
          <w:tcPr>
            <w:tcW w:w="2696" w:type="dxa"/>
            <w:tcBorders>
              <w:top w:val="single" w:sz="4" w:space="0" w:color="000000"/>
              <w:bottom w:val="single" w:sz="4" w:space="0" w:color="000000"/>
            </w:tcBorders>
          </w:tcPr>
          <w:p>
            <w:pPr>
              <w:pStyle w:val="TableParagraph"/>
              <w:jc w:val="left"/>
              <w:rPr>
                <w:sz w:val="18"/>
              </w:rPr>
            </w:pPr>
          </w:p>
        </w:tc>
      </w:tr>
      <w:tr>
        <w:trPr>
          <w:trHeight w:val="3985" w:hRule="atLeast"/>
        </w:trPr>
        <w:tc>
          <w:tcPr>
            <w:tcW w:w="1615" w:type="dxa"/>
            <w:tcBorders>
              <w:top w:val="single" w:sz="4" w:space="0" w:color="000000"/>
              <w:bottom w:val="single" w:sz="4" w:space="0" w:color="000000"/>
            </w:tcBorders>
          </w:tcPr>
          <w:p>
            <w:pPr>
              <w:pStyle w:val="TableParagraph"/>
              <w:spacing w:before="59"/>
              <w:ind w:left="28" w:right="272"/>
              <w:jc w:val="left"/>
              <w:rPr>
                <w:sz w:val="18"/>
              </w:rPr>
            </w:pPr>
            <w:r>
              <w:rPr>
                <w:b/>
                <w:sz w:val="18"/>
              </w:rPr>
              <w:t>OTP</w:t>
            </w:r>
            <w:r>
              <w:rPr>
                <w:b/>
                <w:spacing w:val="-4"/>
                <w:sz w:val="18"/>
              </w:rPr>
              <w:t> </w:t>
            </w:r>
            <w:r>
              <w:rPr>
                <w:b/>
                <w:sz w:val="18"/>
              </w:rPr>
              <w:t>Strategic Goal 6</w:t>
            </w:r>
            <w:r>
              <w:rPr>
                <w:sz w:val="18"/>
              </w:rPr>
              <w:t>: Increase the</w:t>
            </w:r>
            <w:r>
              <w:rPr>
                <w:spacing w:val="-12"/>
                <w:sz w:val="18"/>
              </w:rPr>
              <w:t> </w:t>
            </w:r>
            <w:r>
              <w:rPr>
                <w:sz w:val="18"/>
              </w:rPr>
              <w:t>field</w:t>
            </w:r>
            <w:r>
              <w:rPr>
                <w:spacing w:val="-11"/>
                <w:sz w:val="18"/>
              </w:rPr>
              <w:t> </w:t>
            </w:r>
            <w:r>
              <w:rPr>
                <w:sz w:val="18"/>
              </w:rPr>
              <w:t>presence of the Office of the Prosecutor</w:t>
            </w:r>
          </w:p>
        </w:tc>
        <w:tc>
          <w:tcPr>
            <w:tcW w:w="2885" w:type="dxa"/>
            <w:tcBorders>
              <w:top w:val="single" w:sz="4" w:space="0" w:color="000000"/>
              <w:bottom w:val="single" w:sz="4" w:space="0" w:color="000000"/>
            </w:tcBorders>
          </w:tcPr>
          <w:p>
            <w:pPr>
              <w:pStyle w:val="TableParagraph"/>
              <w:numPr>
                <w:ilvl w:val="0"/>
                <w:numId w:val="73"/>
              </w:numPr>
              <w:tabs>
                <w:tab w:pos="613" w:val="left" w:leader="none"/>
                <w:tab w:pos="614" w:val="left" w:leader="none"/>
              </w:tabs>
              <w:spacing w:line="240" w:lineRule="auto" w:before="0" w:after="0"/>
              <w:ind w:left="613" w:right="254" w:hanging="360"/>
              <w:jc w:val="left"/>
              <w:rPr>
                <w:sz w:val="18"/>
              </w:rPr>
            </w:pPr>
            <w:r>
              <w:rPr>
                <w:sz w:val="18"/>
              </w:rPr>
              <w:t>Increased effectiveness, quality, speed, and efficiency</w:t>
            </w:r>
            <w:r>
              <w:rPr>
                <w:spacing w:val="-12"/>
                <w:sz w:val="18"/>
              </w:rPr>
              <w:t> </w:t>
            </w:r>
            <w:r>
              <w:rPr>
                <w:sz w:val="18"/>
              </w:rPr>
              <w:t>due</w:t>
            </w:r>
            <w:r>
              <w:rPr>
                <w:spacing w:val="-11"/>
                <w:sz w:val="18"/>
              </w:rPr>
              <w:t> </w:t>
            </w:r>
            <w:r>
              <w:rPr>
                <w:sz w:val="18"/>
              </w:rPr>
              <w:t>to</w:t>
            </w:r>
            <w:r>
              <w:rPr>
                <w:spacing w:val="-11"/>
                <w:sz w:val="18"/>
              </w:rPr>
              <w:t> </w:t>
            </w:r>
            <w:r>
              <w:rPr>
                <w:sz w:val="18"/>
              </w:rPr>
              <w:t>permanent presence and increased country knowledge and </w:t>
            </w:r>
            <w:r>
              <w:rPr>
                <w:spacing w:val="-2"/>
                <w:sz w:val="18"/>
              </w:rPr>
              <w:t>networks</w:t>
            </w:r>
          </w:p>
          <w:p>
            <w:pPr>
              <w:pStyle w:val="TableParagraph"/>
              <w:numPr>
                <w:ilvl w:val="0"/>
                <w:numId w:val="73"/>
              </w:numPr>
              <w:tabs>
                <w:tab w:pos="613" w:val="left" w:leader="none"/>
                <w:tab w:pos="614" w:val="left" w:leader="none"/>
              </w:tabs>
              <w:spacing w:line="240" w:lineRule="auto" w:before="0" w:after="0"/>
              <w:ind w:left="613" w:right="395" w:hanging="360"/>
              <w:jc w:val="left"/>
              <w:rPr>
                <w:sz w:val="18"/>
              </w:rPr>
            </w:pPr>
            <w:r>
              <w:rPr>
                <w:sz w:val="18"/>
              </w:rPr>
              <w:t>Cost optimization with higher</w:t>
            </w:r>
            <w:r>
              <w:rPr>
                <w:spacing w:val="-12"/>
                <w:sz w:val="18"/>
              </w:rPr>
              <w:t> </w:t>
            </w:r>
            <w:r>
              <w:rPr>
                <w:sz w:val="18"/>
              </w:rPr>
              <w:t>productivity</w:t>
            </w:r>
            <w:r>
              <w:rPr>
                <w:spacing w:val="-11"/>
                <w:sz w:val="18"/>
              </w:rPr>
              <w:t> </w:t>
            </w:r>
            <w:r>
              <w:rPr>
                <w:sz w:val="18"/>
              </w:rPr>
              <w:t>due</w:t>
            </w:r>
            <w:r>
              <w:rPr>
                <w:spacing w:val="-11"/>
                <w:sz w:val="18"/>
              </w:rPr>
              <w:t> </w:t>
            </w:r>
            <w:r>
              <w:rPr>
                <w:sz w:val="18"/>
              </w:rPr>
              <w:t>to use of NPO and reduced </w:t>
            </w:r>
            <w:r>
              <w:rPr>
                <w:spacing w:val="-2"/>
                <w:sz w:val="18"/>
              </w:rPr>
              <w:t>travel</w:t>
            </w:r>
          </w:p>
          <w:p>
            <w:pPr>
              <w:pStyle w:val="TableParagraph"/>
              <w:numPr>
                <w:ilvl w:val="0"/>
                <w:numId w:val="73"/>
              </w:numPr>
              <w:tabs>
                <w:tab w:pos="613" w:val="left" w:leader="none"/>
                <w:tab w:pos="614" w:val="left" w:leader="none"/>
              </w:tabs>
              <w:spacing w:line="242" w:lineRule="auto" w:before="0" w:after="0"/>
              <w:ind w:left="613" w:right="331" w:hanging="360"/>
              <w:jc w:val="left"/>
              <w:rPr>
                <w:sz w:val="18"/>
              </w:rPr>
            </w:pPr>
            <w:r>
              <w:rPr>
                <w:sz w:val="18"/>
              </w:rPr>
              <w:t>Shift</w:t>
            </w:r>
            <w:r>
              <w:rPr>
                <w:spacing w:val="-12"/>
                <w:sz w:val="18"/>
              </w:rPr>
              <w:t> </w:t>
            </w:r>
            <w:r>
              <w:rPr>
                <w:sz w:val="18"/>
              </w:rPr>
              <w:t>from</w:t>
            </w:r>
            <w:r>
              <w:rPr>
                <w:spacing w:val="-11"/>
                <w:sz w:val="18"/>
              </w:rPr>
              <w:t> </w:t>
            </w:r>
            <w:r>
              <w:rPr>
                <w:sz w:val="18"/>
              </w:rPr>
              <w:t>a</w:t>
            </w:r>
            <w:r>
              <w:rPr>
                <w:spacing w:val="-11"/>
                <w:sz w:val="18"/>
              </w:rPr>
              <w:t> </w:t>
            </w:r>
            <w:r>
              <w:rPr>
                <w:sz w:val="18"/>
              </w:rPr>
              <w:t>Headquarters- centric to a field-centric model for staffing</w:t>
            </w:r>
          </w:p>
          <w:p>
            <w:pPr>
              <w:pStyle w:val="TableParagraph"/>
              <w:numPr>
                <w:ilvl w:val="0"/>
                <w:numId w:val="73"/>
              </w:numPr>
              <w:tabs>
                <w:tab w:pos="613" w:val="left" w:leader="none"/>
                <w:tab w:pos="614" w:val="left" w:leader="none"/>
              </w:tabs>
              <w:spacing w:line="240" w:lineRule="auto" w:before="0" w:after="0"/>
              <w:ind w:left="613" w:right="527" w:hanging="360"/>
              <w:jc w:val="left"/>
              <w:rPr>
                <w:sz w:val="18"/>
              </w:rPr>
            </w:pPr>
            <w:r>
              <w:rPr>
                <w:sz w:val="18"/>
              </w:rPr>
              <w:t>Renewed</w:t>
            </w:r>
            <w:r>
              <w:rPr>
                <w:spacing w:val="-10"/>
                <w:sz w:val="18"/>
              </w:rPr>
              <w:t> </w:t>
            </w:r>
            <w:r>
              <w:rPr>
                <w:sz w:val="18"/>
              </w:rPr>
              <w:t>field</w:t>
            </w:r>
            <w:r>
              <w:rPr>
                <w:spacing w:val="-5"/>
                <w:sz w:val="18"/>
              </w:rPr>
              <w:t> </w:t>
            </w:r>
            <w:r>
              <w:rPr>
                <w:sz w:val="18"/>
              </w:rPr>
              <w:t>presence model with Registry allowing</w:t>
            </w:r>
            <w:r>
              <w:rPr>
                <w:spacing w:val="-12"/>
                <w:sz w:val="18"/>
              </w:rPr>
              <w:t> </w:t>
            </w:r>
            <w:r>
              <w:rPr>
                <w:sz w:val="18"/>
              </w:rPr>
              <w:t>for</w:t>
            </w:r>
            <w:r>
              <w:rPr>
                <w:spacing w:val="-11"/>
                <w:sz w:val="18"/>
              </w:rPr>
              <w:t> </w:t>
            </w:r>
            <w:r>
              <w:rPr>
                <w:sz w:val="18"/>
              </w:rPr>
              <w:t>an</w:t>
            </w:r>
            <w:r>
              <w:rPr>
                <w:spacing w:val="-11"/>
                <w:sz w:val="18"/>
              </w:rPr>
              <w:t> </w:t>
            </w:r>
            <w:r>
              <w:rPr>
                <w:sz w:val="18"/>
              </w:rPr>
              <w:t>efficient and flexible use of </w:t>
            </w:r>
            <w:r>
              <w:rPr>
                <w:spacing w:val="-2"/>
                <w:sz w:val="18"/>
              </w:rPr>
              <w:t>resources</w:t>
            </w:r>
          </w:p>
        </w:tc>
        <w:tc>
          <w:tcPr>
            <w:tcW w:w="2505" w:type="dxa"/>
            <w:tcBorders>
              <w:top w:val="single" w:sz="4" w:space="0" w:color="000000"/>
              <w:bottom w:val="single" w:sz="4" w:space="0" w:color="000000"/>
            </w:tcBorders>
          </w:tcPr>
          <w:p>
            <w:pPr>
              <w:pStyle w:val="TableParagraph"/>
              <w:numPr>
                <w:ilvl w:val="0"/>
                <w:numId w:val="74"/>
              </w:numPr>
              <w:tabs>
                <w:tab w:pos="633" w:val="left" w:leader="none"/>
                <w:tab w:pos="634" w:val="left" w:leader="none"/>
              </w:tabs>
              <w:spacing w:line="240" w:lineRule="auto" w:before="0" w:after="0"/>
              <w:ind w:left="633" w:right="294" w:hanging="360"/>
              <w:jc w:val="left"/>
              <w:rPr>
                <w:sz w:val="18"/>
              </w:rPr>
            </w:pPr>
            <w:r>
              <w:rPr>
                <w:sz w:val="18"/>
              </w:rPr>
              <w:t>Number of situations in which a field presence is established</w:t>
            </w:r>
            <w:r>
              <w:rPr>
                <w:spacing w:val="-12"/>
                <w:sz w:val="18"/>
              </w:rPr>
              <w:t> </w:t>
            </w:r>
            <w:r>
              <w:rPr>
                <w:sz w:val="18"/>
              </w:rPr>
              <w:t>v.</w:t>
            </w:r>
            <w:r>
              <w:rPr>
                <w:spacing w:val="-11"/>
                <w:sz w:val="18"/>
              </w:rPr>
              <w:t> </w:t>
            </w:r>
            <w:r>
              <w:rPr>
                <w:sz w:val="18"/>
              </w:rPr>
              <w:t>number</w:t>
            </w:r>
            <w:r>
              <w:rPr>
                <w:sz w:val="18"/>
              </w:rPr>
              <w:t> planned for establishment in the </w:t>
            </w:r>
            <w:r>
              <w:rPr>
                <w:spacing w:val="-2"/>
                <w:sz w:val="18"/>
              </w:rPr>
              <w:t>period</w:t>
            </w:r>
          </w:p>
          <w:p>
            <w:pPr>
              <w:pStyle w:val="TableParagraph"/>
              <w:numPr>
                <w:ilvl w:val="0"/>
                <w:numId w:val="74"/>
              </w:numPr>
              <w:tabs>
                <w:tab w:pos="634" w:val="left" w:leader="none"/>
              </w:tabs>
              <w:spacing w:line="242" w:lineRule="auto" w:before="0" w:after="0"/>
              <w:ind w:left="633" w:right="260" w:hanging="360"/>
              <w:jc w:val="both"/>
              <w:rPr>
                <w:sz w:val="18"/>
              </w:rPr>
            </w:pPr>
            <w:r>
              <w:rPr>
                <w:sz w:val="18"/>
              </w:rPr>
              <w:t>Increase</w:t>
            </w:r>
            <w:r>
              <w:rPr>
                <w:spacing w:val="-12"/>
                <w:sz w:val="18"/>
              </w:rPr>
              <w:t> </w:t>
            </w:r>
            <w:r>
              <w:rPr>
                <w:sz w:val="18"/>
              </w:rPr>
              <w:t>in</w:t>
            </w:r>
            <w:r>
              <w:rPr>
                <w:spacing w:val="-11"/>
                <w:sz w:val="18"/>
              </w:rPr>
              <w:t> </w:t>
            </w:r>
            <w:r>
              <w:rPr>
                <w:sz w:val="18"/>
              </w:rPr>
              <w:t>percentage of</w:t>
            </w:r>
            <w:r>
              <w:rPr>
                <w:spacing w:val="-11"/>
                <w:sz w:val="18"/>
              </w:rPr>
              <w:t> </w:t>
            </w:r>
            <w:r>
              <w:rPr>
                <w:sz w:val="18"/>
              </w:rPr>
              <w:t>members</w:t>
            </w:r>
            <w:r>
              <w:rPr>
                <w:spacing w:val="-12"/>
                <w:sz w:val="18"/>
              </w:rPr>
              <w:t> </w:t>
            </w:r>
            <w:r>
              <w:rPr>
                <w:sz w:val="18"/>
              </w:rPr>
              <w:t>of</w:t>
            </w:r>
            <w:r>
              <w:rPr>
                <w:spacing w:val="-10"/>
                <w:sz w:val="18"/>
              </w:rPr>
              <w:t> </w:t>
            </w:r>
            <w:r>
              <w:rPr>
                <w:sz w:val="18"/>
              </w:rPr>
              <w:t>unified team</w:t>
            </w:r>
            <w:r>
              <w:rPr>
                <w:spacing w:val="-2"/>
                <w:sz w:val="18"/>
              </w:rPr>
              <w:t> </w:t>
            </w:r>
            <w:r>
              <w:rPr>
                <w:sz w:val="18"/>
              </w:rPr>
              <w:t>in</w:t>
            </w:r>
            <w:r>
              <w:rPr>
                <w:spacing w:val="-3"/>
                <w:sz w:val="18"/>
              </w:rPr>
              <w:t> </w:t>
            </w:r>
            <w:r>
              <w:rPr>
                <w:sz w:val="18"/>
              </w:rPr>
              <w:t>field</w:t>
            </w:r>
            <w:r>
              <w:rPr>
                <w:spacing w:val="-3"/>
                <w:sz w:val="18"/>
              </w:rPr>
              <w:t> </w:t>
            </w:r>
            <w:r>
              <w:rPr>
                <w:spacing w:val="-2"/>
                <w:sz w:val="18"/>
              </w:rPr>
              <w:t>locations</w:t>
            </w:r>
          </w:p>
          <w:p>
            <w:pPr>
              <w:pStyle w:val="TableParagraph"/>
              <w:spacing w:line="203" w:lineRule="exact"/>
              <w:ind w:left="633"/>
              <w:jc w:val="both"/>
              <w:rPr>
                <w:sz w:val="18"/>
              </w:rPr>
            </w:pPr>
            <w:r>
              <w:rPr>
                <w:sz w:val="18"/>
              </w:rPr>
              <w:t>v.</w:t>
            </w:r>
            <w:r>
              <w:rPr>
                <w:spacing w:val="1"/>
                <w:sz w:val="18"/>
              </w:rPr>
              <w:t> </w:t>
            </w:r>
            <w:r>
              <w:rPr>
                <w:spacing w:val="-2"/>
                <w:sz w:val="18"/>
              </w:rPr>
              <w:t>Headquarters</w:t>
            </w:r>
          </w:p>
        </w:tc>
        <w:tc>
          <w:tcPr>
            <w:tcW w:w="2696" w:type="dxa"/>
            <w:tcBorders>
              <w:top w:val="single" w:sz="4" w:space="0" w:color="000000"/>
              <w:bottom w:val="single" w:sz="4" w:space="0" w:color="000000"/>
            </w:tcBorders>
          </w:tcPr>
          <w:p>
            <w:pPr>
              <w:pStyle w:val="TableParagraph"/>
              <w:numPr>
                <w:ilvl w:val="0"/>
                <w:numId w:val="75"/>
              </w:numPr>
              <w:tabs>
                <w:tab w:pos="620" w:val="left" w:leader="none"/>
                <w:tab w:pos="621" w:val="left" w:leader="none"/>
              </w:tabs>
              <w:spacing w:line="240" w:lineRule="auto" w:before="0" w:after="0"/>
              <w:ind w:left="620" w:right="176" w:hanging="360"/>
              <w:jc w:val="left"/>
              <w:rPr>
                <w:sz w:val="18"/>
              </w:rPr>
            </w:pPr>
            <w:r>
              <w:rPr>
                <w:sz w:val="18"/>
              </w:rPr>
              <w:t>Establish</w:t>
            </w:r>
            <w:r>
              <w:rPr>
                <w:spacing w:val="-12"/>
                <w:sz w:val="18"/>
              </w:rPr>
              <w:t> </w:t>
            </w:r>
            <w:r>
              <w:rPr>
                <w:sz w:val="18"/>
              </w:rPr>
              <w:t>field</w:t>
            </w:r>
            <w:r>
              <w:rPr>
                <w:spacing w:val="-11"/>
                <w:sz w:val="18"/>
              </w:rPr>
              <w:t> </w:t>
            </w:r>
            <w:r>
              <w:rPr>
                <w:sz w:val="18"/>
              </w:rPr>
              <w:t>presence</w:t>
            </w:r>
            <w:r>
              <w:rPr>
                <w:spacing w:val="-11"/>
                <w:sz w:val="18"/>
              </w:rPr>
              <w:t> </w:t>
            </w:r>
            <w:r>
              <w:rPr>
                <w:sz w:val="18"/>
              </w:rPr>
              <w:t>in Ukraine, Bangladesh and </w:t>
            </w:r>
            <w:r>
              <w:rPr>
                <w:spacing w:val="-2"/>
                <w:sz w:val="18"/>
              </w:rPr>
              <w:t>Venezuela</w:t>
            </w:r>
          </w:p>
          <w:p>
            <w:pPr>
              <w:pStyle w:val="TableParagraph"/>
              <w:numPr>
                <w:ilvl w:val="0"/>
                <w:numId w:val="75"/>
              </w:numPr>
              <w:tabs>
                <w:tab w:pos="620" w:val="left" w:leader="none"/>
                <w:tab w:pos="621" w:val="left" w:leader="none"/>
              </w:tabs>
              <w:spacing w:line="240" w:lineRule="auto" w:before="0" w:after="0"/>
              <w:ind w:left="620" w:right="390" w:hanging="360"/>
              <w:jc w:val="left"/>
              <w:rPr>
                <w:sz w:val="18"/>
              </w:rPr>
            </w:pPr>
            <w:r>
              <w:rPr>
                <w:sz w:val="18"/>
              </w:rPr>
              <w:t>At</w:t>
            </w:r>
            <w:r>
              <w:rPr>
                <w:spacing w:val="-9"/>
                <w:sz w:val="18"/>
              </w:rPr>
              <w:t> </w:t>
            </w:r>
            <w:r>
              <w:rPr>
                <w:sz w:val="18"/>
              </w:rPr>
              <w:t>least</w:t>
            </w:r>
            <w:r>
              <w:rPr>
                <w:spacing w:val="-9"/>
                <w:sz w:val="18"/>
              </w:rPr>
              <w:t> </w:t>
            </w:r>
            <w:r>
              <w:rPr>
                <w:sz w:val="18"/>
              </w:rPr>
              <w:t>12%</w:t>
            </w:r>
            <w:r>
              <w:rPr>
                <w:spacing w:val="-9"/>
                <w:sz w:val="18"/>
              </w:rPr>
              <w:t> </w:t>
            </w:r>
            <w:r>
              <w:rPr>
                <w:sz w:val="18"/>
              </w:rPr>
              <w:t>of</w:t>
            </w:r>
            <w:r>
              <w:rPr>
                <w:spacing w:val="-9"/>
                <w:sz w:val="18"/>
              </w:rPr>
              <w:t> </w:t>
            </w:r>
            <w:r>
              <w:rPr>
                <w:sz w:val="18"/>
              </w:rPr>
              <w:t>unified team staff located in country offices</w:t>
            </w:r>
          </w:p>
        </w:tc>
      </w:tr>
      <w:tr>
        <w:trPr>
          <w:trHeight w:val="532" w:hRule="atLeast"/>
        </w:trPr>
        <w:tc>
          <w:tcPr>
            <w:tcW w:w="1615" w:type="dxa"/>
            <w:tcBorders>
              <w:top w:val="single" w:sz="4" w:space="0" w:color="000000"/>
              <w:bottom w:val="single" w:sz="4" w:space="0" w:color="000000"/>
            </w:tcBorders>
          </w:tcPr>
          <w:p>
            <w:pPr>
              <w:pStyle w:val="TableParagraph"/>
              <w:spacing w:before="59"/>
              <w:ind w:left="28" w:right="267"/>
              <w:jc w:val="left"/>
              <w:rPr>
                <w:b/>
                <w:sz w:val="18"/>
              </w:rPr>
            </w:pPr>
            <w:r>
              <w:rPr>
                <w:b/>
                <w:spacing w:val="-2"/>
                <w:sz w:val="18"/>
              </w:rPr>
              <w:t>Court-wide</w:t>
            </w:r>
            <w:r>
              <w:rPr>
                <w:b/>
                <w:spacing w:val="40"/>
                <w:sz w:val="18"/>
              </w:rPr>
              <w:t> </w:t>
            </w:r>
            <w:r>
              <w:rPr>
                <w:b/>
                <w:sz w:val="18"/>
              </w:rPr>
              <w:t>Goals</w:t>
            </w:r>
            <w:r>
              <w:rPr>
                <w:b/>
                <w:spacing w:val="-9"/>
                <w:sz w:val="18"/>
              </w:rPr>
              <w:t> </w:t>
            </w:r>
            <w:r>
              <w:rPr>
                <w:b/>
                <w:sz w:val="18"/>
              </w:rPr>
              <w:t>6,</w:t>
            </w:r>
            <w:r>
              <w:rPr>
                <w:b/>
                <w:spacing w:val="-7"/>
                <w:sz w:val="18"/>
              </w:rPr>
              <w:t> </w:t>
            </w:r>
            <w:r>
              <w:rPr>
                <w:b/>
                <w:sz w:val="18"/>
              </w:rPr>
              <w:t>9</w:t>
            </w:r>
            <w:r>
              <w:rPr>
                <w:b/>
                <w:spacing w:val="-9"/>
                <w:sz w:val="18"/>
              </w:rPr>
              <w:t> </w:t>
            </w:r>
            <w:r>
              <w:rPr>
                <w:b/>
                <w:sz w:val="18"/>
              </w:rPr>
              <w:t>and</w:t>
            </w:r>
            <w:r>
              <w:rPr>
                <w:b/>
                <w:spacing w:val="-10"/>
                <w:sz w:val="18"/>
              </w:rPr>
              <w:t> </w:t>
            </w:r>
            <w:r>
              <w:rPr>
                <w:b/>
                <w:sz w:val="18"/>
              </w:rPr>
              <w:t>10</w:t>
            </w:r>
          </w:p>
        </w:tc>
        <w:tc>
          <w:tcPr>
            <w:tcW w:w="2885" w:type="dxa"/>
            <w:tcBorders>
              <w:top w:val="single" w:sz="4" w:space="0" w:color="000000"/>
              <w:bottom w:val="single" w:sz="4" w:space="0" w:color="000000"/>
            </w:tcBorders>
          </w:tcPr>
          <w:p>
            <w:pPr>
              <w:pStyle w:val="TableParagraph"/>
              <w:jc w:val="left"/>
              <w:rPr>
                <w:sz w:val="18"/>
              </w:rPr>
            </w:pPr>
          </w:p>
        </w:tc>
        <w:tc>
          <w:tcPr>
            <w:tcW w:w="2505" w:type="dxa"/>
            <w:tcBorders>
              <w:top w:val="single" w:sz="4" w:space="0" w:color="000000"/>
              <w:bottom w:val="single" w:sz="4" w:space="0" w:color="000000"/>
            </w:tcBorders>
          </w:tcPr>
          <w:p>
            <w:pPr>
              <w:pStyle w:val="TableParagraph"/>
              <w:jc w:val="left"/>
              <w:rPr>
                <w:sz w:val="18"/>
              </w:rPr>
            </w:pPr>
          </w:p>
        </w:tc>
        <w:tc>
          <w:tcPr>
            <w:tcW w:w="2696" w:type="dxa"/>
            <w:tcBorders>
              <w:top w:val="single" w:sz="4" w:space="0" w:color="000000"/>
              <w:bottom w:val="single" w:sz="4" w:space="0" w:color="000000"/>
            </w:tcBorders>
          </w:tcPr>
          <w:p>
            <w:pPr>
              <w:pStyle w:val="TableParagraph"/>
              <w:jc w:val="left"/>
              <w:rPr>
                <w:sz w:val="18"/>
              </w:rPr>
            </w:pPr>
          </w:p>
        </w:tc>
      </w:tr>
      <w:tr>
        <w:trPr>
          <w:trHeight w:val="8401" w:hRule="atLeast"/>
        </w:trPr>
        <w:tc>
          <w:tcPr>
            <w:tcW w:w="1615" w:type="dxa"/>
            <w:tcBorders>
              <w:top w:val="single" w:sz="4" w:space="0" w:color="000000"/>
              <w:bottom w:val="single" w:sz="4" w:space="0" w:color="000000"/>
            </w:tcBorders>
          </w:tcPr>
          <w:p>
            <w:pPr>
              <w:pStyle w:val="TableParagraph"/>
              <w:spacing w:before="59"/>
              <w:ind w:left="28" w:right="134"/>
              <w:jc w:val="left"/>
              <w:rPr>
                <w:sz w:val="18"/>
              </w:rPr>
            </w:pPr>
            <w:r>
              <w:rPr>
                <w:b/>
                <w:sz w:val="18"/>
              </w:rPr>
              <w:t>OTP</w:t>
            </w:r>
            <w:r>
              <w:rPr>
                <w:b/>
                <w:spacing w:val="-2"/>
                <w:sz w:val="18"/>
              </w:rPr>
              <w:t> </w:t>
            </w:r>
            <w:r>
              <w:rPr>
                <w:b/>
                <w:sz w:val="18"/>
              </w:rPr>
              <w:t>Strategic Goal 7</w:t>
            </w:r>
            <w:r>
              <w:rPr>
                <w:sz w:val="18"/>
              </w:rPr>
              <w:t>: Increase efficiency</w:t>
            </w:r>
            <w:r>
              <w:rPr>
                <w:spacing w:val="-12"/>
                <w:sz w:val="18"/>
              </w:rPr>
              <w:t> </w:t>
            </w:r>
            <w:r>
              <w:rPr>
                <w:sz w:val="18"/>
              </w:rPr>
              <w:t>of</w:t>
            </w:r>
            <w:r>
              <w:rPr>
                <w:spacing w:val="-11"/>
                <w:sz w:val="18"/>
              </w:rPr>
              <w:t> </w:t>
            </w:r>
            <w:r>
              <w:rPr>
                <w:sz w:val="18"/>
              </w:rPr>
              <w:t>work by focusing on </w:t>
            </w:r>
            <w:r>
              <w:rPr>
                <w:spacing w:val="-2"/>
                <w:sz w:val="18"/>
              </w:rPr>
              <w:t>delivery</w:t>
            </w:r>
          </w:p>
        </w:tc>
        <w:tc>
          <w:tcPr>
            <w:tcW w:w="2885" w:type="dxa"/>
            <w:tcBorders>
              <w:top w:val="single" w:sz="4" w:space="0" w:color="000000"/>
              <w:bottom w:val="single" w:sz="4" w:space="0" w:color="000000"/>
            </w:tcBorders>
          </w:tcPr>
          <w:p>
            <w:pPr>
              <w:pStyle w:val="TableParagraph"/>
              <w:numPr>
                <w:ilvl w:val="0"/>
                <w:numId w:val="76"/>
              </w:numPr>
              <w:tabs>
                <w:tab w:pos="613" w:val="left" w:leader="none"/>
                <w:tab w:pos="614" w:val="left" w:leader="none"/>
              </w:tabs>
              <w:spacing w:line="240" w:lineRule="auto" w:before="0" w:after="0"/>
              <w:ind w:left="613" w:right="248" w:hanging="360"/>
              <w:jc w:val="left"/>
              <w:rPr>
                <w:sz w:val="18"/>
              </w:rPr>
            </w:pPr>
            <w:r>
              <w:rPr>
                <w:sz w:val="18"/>
              </w:rPr>
              <w:t>Responsible and accountable</w:t>
            </w:r>
            <w:r>
              <w:rPr>
                <w:spacing w:val="-12"/>
                <w:sz w:val="18"/>
              </w:rPr>
              <w:t> </w:t>
            </w:r>
            <w:r>
              <w:rPr>
                <w:sz w:val="18"/>
              </w:rPr>
              <w:t>management</w:t>
            </w:r>
            <w:r>
              <w:rPr>
                <w:spacing w:val="-11"/>
                <w:sz w:val="18"/>
              </w:rPr>
              <w:t> </w:t>
            </w:r>
            <w:r>
              <w:rPr>
                <w:sz w:val="18"/>
              </w:rPr>
              <w:t>of available resources</w:t>
            </w:r>
          </w:p>
          <w:p>
            <w:pPr>
              <w:pStyle w:val="TableParagraph"/>
              <w:numPr>
                <w:ilvl w:val="0"/>
                <w:numId w:val="76"/>
              </w:numPr>
              <w:tabs>
                <w:tab w:pos="613" w:val="left" w:leader="none"/>
                <w:tab w:pos="614" w:val="left" w:leader="none"/>
              </w:tabs>
              <w:spacing w:line="242" w:lineRule="auto" w:before="0" w:after="0"/>
              <w:ind w:left="613" w:right="435" w:hanging="360"/>
              <w:jc w:val="left"/>
              <w:rPr>
                <w:sz w:val="18"/>
              </w:rPr>
            </w:pPr>
            <w:r>
              <w:rPr>
                <w:sz w:val="18"/>
              </w:rPr>
              <w:t>Continuous</w:t>
            </w:r>
            <w:r>
              <w:rPr>
                <w:spacing w:val="-12"/>
                <w:sz w:val="18"/>
              </w:rPr>
              <w:t> </w:t>
            </w:r>
            <w:r>
              <w:rPr>
                <w:sz w:val="18"/>
              </w:rPr>
              <w:t>improvement</w:t>
            </w:r>
            <w:r>
              <w:rPr>
                <w:sz w:val="18"/>
              </w:rPr>
              <w:t> approach further </w:t>
            </w:r>
            <w:r>
              <w:rPr>
                <w:spacing w:val="-2"/>
                <w:sz w:val="18"/>
              </w:rPr>
              <w:t>implemented</w:t>
            </w:r>
          </w:p>
          <w:p>
            <w:pPr>
              <w:pStyle w:val="TableParagraph"/>
              <w:numPr>
                <w:ilvl w:val="0"/>
                <w:numId w:val="76"/>
              </w:numPr>
              <w:tabs>
                <w:tab w:pos="613" w:val="left" w:leader="none"/>
                <w:tab w:pos="614" w:val="left" w:leader="none"/>
              </w:tabs>
              <w:spacing w:line="240" w:lineRule="auto" w:before="0" w:after="0"/>
              <w:ind w:left="613" w:right="348" w:hanging="360"/>
              <w:jc w:val="left"/>
              <w:rPr>
                <w:sz w:val="18"/>
              </w:rPr>
            </w:pPr>
            <w:r>
              <w:rPr>
                <w:sz w:val="18"/>
              </w:rPr>
              <w:t>Prosecution</w:t>
            </w:r>
            <w:r>
              <w:rPr>
                <w:spacing w:val="-12"/>
                <w:sz w:val="18"/>
              </w:rPr>
              <w:t> </w:t>
            </w:r>
            <w:r>
              <w:rPr>
                <w:sz w:val="18"/>
              </w:rPr>
              <w:t>Pillars</w:t>
            </w:r>
            <w:r>
              <w:rPr>
                <w:spacing w:val="-11"/>
                <w:sz w:val="18"/>
              </w:rPr>
              <w:t> </w:t>
            </w:r>
            <w:r>
              <w:rPr>
                <w:sz w:val="18"/>
              </w:rPr>
              <w:t>receive effective and efficient support to perform preliminary</w:t>
            </w:r>
            <w:r>
              <w:rPr>
                <w:spacing w:val="-6"/>
                <w:sz w:val="18"/>
              </w:rPr>
              <w:t> </w:t>
            </w:r>
            <w:r>
              <w:rPr>
                <w:sz w:val="18"/>
              </w:rPr>
              <w:t>examinations, investigations and trials</w:t>
            </w:r>
          </w:p>
          <w:p>
            <w:pPr>
              <w:pStyle w:val="TableParagraph"/>
              <w:numPr>
                <w:ilvl w:val="0"/>
                <w:numId w:val="76"/>
              </w:numPr>
              <w:tabs>
                <w:tab w:pos="613" w:val="left" w:leader="none"/>
                <w:tab w:pos="614" w:val="left" w:leader="none"/>
              </w:tabs>
              <w:spacing w:line="240" w:lineRule="auto" w:before="0" w:after="0"/>
              <w:ind w:left="613" w:right="359" w:hanging="360"/>
              <w:jc w:val="left"/>
              <w:rPr>
                <w:sz w:val="18"/>
              </w:rPr>
            </w:pPr>
            <w:r>
              <w:rPr>
                <w:sz w:val="18"/>
              </w:rPr>
              <w:t>Unified teams prepare </w:t>
            </w:r>
            <w:r>
              <w:rPr>
                <w:spacing w:val="-2"/>
                <w:sz w:val="18"/>
              </w:rPr>
              <w:t>investigative/prosecutorial </w:t>
            </w:r>
            <w:r>
              <w:rPr>
                <w:sz w:val="18"/>
              </w:rPr>
              <w:t>plans with details on missions and milestones</w:t>
            </w:r>
          </w:p>
          <w:p>
            <w:pPr>
              <w:pStyle w:val="TableParagraph"/>
              <w:numPr>
                <w:ilvl w:val="0"/>
                <w:numId w:val="76"/>
              </w:numPr>
              <w:tabs>
                <w:tab w:pos="613" w:val="left" w:leader="none"/>
                <w:tab w:pos="614" w:val="left" w:leader="none"/>
              </w:tabs>
              <w:spacing w:line="240" w:lineRule="auto" w:before="0" w:after="0"/>
              <w:ind w:left="613" w:right="673" w:hanging="360"/>
              <w:jc w:val="left"/>
              <w:rPr>
                <w:sz w:val="18"/>
              </w:rPr>
            </w:pPr>
            <w:r>
              <w:rPr>
                <w:sz w:val="18"/>
              </w:rPr>
              <w:t>Improved</w:t>
            </w:r>
            <w:r>
              <w:rPr>
                <w:spacing w:val="-12"/>
                <w:sz w:val="18"/>
              </w:rPr>
              <w:t> </w:t>
            </w:r>
            <w:r>
              <w:rPr>
                <w:sz w:val="18"/>
              </w:rPr>
              <w:t>information</w:t>
            </w:r>
            <w:r>
              <w:rPr>
                <w:sz w:val="18"/>
              </w:rPr>
              <w:t> </w:t>
            </w:r>
            <w:r>
              <w:rPr>
                <w:spacing w:val="-2"/>
                <w:sz w:val="18"/>
              </w:rPr>
              <w:t>management</w:t>
            </w:r>
          </w:p>
          <w:p>
            <w:pPr>
              <w:pStyle w:val="TableParagraph"/>
              <w:numPr>
                <w:ilvl w:val="0"/>
                <w:numId w:val="76"/>
              </w:numPr>
              <w:tabs>
                <w:tab w:pos="613" w:val="left" w:leader="none"/>
                <w:tab w:pos="614" w:val="left" w:leader="none"/>
              </w:tabs>
              <w:spacing w:line="240" w:lineRule="auto" w:before="0" w:after="0"/>
              <w:ind w:left="613" w:right="362" w:hanging="360"/>
              <w:jc w:val="left"/>
              <w:rPr>
                <w:sz w:val="18"/>
              </w:rPr>
            </w:pPr>
            <w:r>
              <w:rPr>
                <w:sz w:val="18"/>
              </w:rPr>
              <w:t>Staff</w:t>
            </w:r>
            <w:r>
              <w:rPr>
                <w:spacing w:val="-12"/>
                <w:sz w:val="18"/>
              </w:rPr>
              <w:t> </w:t>
            </w:r>
            <w:r>
              <w:rPr>
                <w:sz w:val="18"/>
              </w:rPr>
              <w:t>adequately</w:t>
            </w:r>
            <w:r>
              <w:rPr>
                <w:spacing w:val="-11"/>
                <w:sz w:val="18"/>
              </w:rPr>
              <w:t> </w:t>
            </w:r>
            <w:r>
              <w:rPr>
                <w:sz w:val="18"/>
              </w:rPr>
              <w:t>trained</w:t>
            </w:r>
            <w:r>
              <w:rPr>
                <w:spacing w:val="-11"/>
                <w:sz w:val="18"/>
              </w:rPr>
              <w:t> </w:t>
            </w:r>
            <w:r>
              <w:rPr>
                <w:sz w:val="18"/>
              </w:rPr>
              <w:t>to perform their duties</w:t>
            </w:r>
          </w:p>
          <w:p>
            <w:pPr>
              <w:pStyle w:val="TableParagraph"/>
              <w:numPr>
                <w:ilvl w:val="0"/>
                <w:numId w:val="76"/>
              </w:numPr>
              <w:tabs>
                <w:tab w:pos="613" w:val="left" w:leader="none"/>
                <w:tab w:pos="614" w:val="left" w:leader="none"/>
              </w:tabs>
              <w:spacing w:line="240" w:lineRule="auto" w:before="0" w:after="0"/>
              <w:ind w:left="613" w:right="340" w:hanging="360"/>
              <w:jc w:val="left"/>
              <w:rPr>
                <w:sz w:val="18"/>
              </w:rPr>
            </w:pPr>
            <w:r>
              <w:rPr>
                <w:sz w:val="18"/>
              </w:rPr>
              <w:t>Increased ability to locate and</w:t>
            </w:r>
            <w:r>
              <w:rPr>
                <w:spacing w:val="-10"/>
                <w:sz w:val="18"/>
              </w:rPr>
              <w:t> </w:t>
            </w:r>
            <w:r>
              <w:rPr>
                <w:sz w:val="18"/>
              </w:rPr>
              <w:t>arrest</w:t>
            </w:r>
            <w:r>
              <w:rPr>
                <w:spacing w:val="-8"/>
                <w:sz w:val="18"/>
              </w:rPr>
              <w:t> </w:t>
            </w:r>
            <w:r>
              <w:rPr>
                <w:sz w:val="18"/>
              </w:rPr>
              <w:t>suspects</w:t>
            </w:r>
            <w:r>
              <w:rPr>
                <w:spacing w:val="-10"/>
                <w:sz w:val="18"/>
              </w:rPr>
              <w:t> </w:t>
            </w:r>
            <w:r>
              <w:rPr>
                <w:sz w:val="18"/>
              </w:rPr>
              <w:t>at</w:t>
            </w:r>
            <w:r>
              <w:rPr>
                <w:spacing w:val="-12"/>
                <w:sz w:val="18"/>
              </w:rPr>
              <w:t> </w:t>
            </w:r>
            <w:r>
              <w:rPr>
                <w:sz w:val="18"/>
              </w:rPr>
              <w:t>large</w:t>
            </w:r>
          </w:p>
          <w:p>
            <w:pPr>
              <w:pStyle w:val="TableParagraph"/>
              <w:numPr>
                <w:ilvl w:val="0"/>
                <w:numId w:val="76"/>
              </w:numPr>
              <w:tabs>
                <w:tab w:pos="613" w:val="left" w:leader="none"/>
                <w:tab w:pos="614" w:val="left" w:leader="none"/>
              </w:tabs>
              <w:spacing w:line="240" w:lineRule="auto" w:before="0" w:after="0"/>
              <w:ind w:left="613" w:right="292" w:hanging="360"/>
              <w:jc w:val="left"/>
              <w:rPr>
                <w:sz w:val="18"/>
              </w:rPr>
            </w:pPr>
            <w:r>
              <w:rPr>
                <w:sz w:val="18"/>
              </w:rPr>
              <w:t>Further develop coordination with the Registry</w:t>
            </w:r>
            <w:r>
              <w:rPr>
                <w:spacing w:val="-12"/>
                <w:sz w:val="18"/>
              </w:rPr>
              <w:t> </w:t>
            </w:r>
            <w:r>
              <w:rPr>
                <w:sz w:val="18"/>
              </w:rPr>
              <w:t>Suspects</w:t>
            </w:r>
            <w:r>
              <w:rPr>
                <w:spacing w:val="-11"/>
                <w:sz w:val="18"/>
              </w:rPr>
              <w:t> </w:t>
            </w:r>
            <w:r>
              <w:rPr>
                <w:sz w:val="18"/>
              </w:rPr>
              <w:t>At</w:t>
            </w:r>
            <w:r>
              <w:rPr>
                <w:spacing w:val="-11"/>
                <w:sz w:val="18"/>
              </w:rPr>
              <w:t> </w:t>
            </w:r>
            <w:r>
              <w:rPr>
                <w:sz w:val="18"/>
              </w:rPr>
              <w:t>Large Tracking Team (SALTT) and Suspects At Large Working</w:t>
            </w:r>
            <w:r>
              <w:rPr>
                <w:spacing w:val="-4"/>
                <w:sz w:val="18"/>
              </w:rPr>
              <w:t> </w:t>
            </w:r>
            <w:r>
              <w:rPr>
                <w:sz w:val="18"/>
              </w:rPr>
              <w:t>Group</w:t>
            </w:r>
            <w:r>
              <w:rPr>
                <w:spacing w:val="-7"/>
                <w:sz w:val="18"/>
              </w:rPr>
              <w:t> </w:t>
            </w:r>
            <w:r>
              <w:rPr>
                <w:sz w:val="18"/>
              </w:rPr>
              <w:t>(SALWG)</w:t>
            </w:r>
          </w:p>
          <w:p>
            <w:pPr>
              <w:pStyle w:val="TableParagraph"/>
              <w:numPr>
                <w:ilvl w:val="0"/>
                <w:numId w:val="76"/>
              </w:numPr>
              <w:tabs>
                <w:tab w:pos="613" w:val="left" w:leader="none"/>
                <w:tab w:pos="614" w:val="left" w:leader="none"/>
              </w:tabs>
              <w:spacing w:line="240" w:lineRule="auto" w:before="0" w:after="0"/>
              <w:ind w:left="613" w:right="262" w:hanging="360"/>
              <w:jc w:val="left"/>
              <w:rPr>
                <w:sz w:val="18"/>
              </w:rPr>
            </w:pPr>
            <w:r>
              <w:rPr>
                <w:sz w:val="18"/>
              </w:rPr>
              <w:t>Development of new Key Performance Indicators (KPI)</w:t>
            </w:r>
            <w:r>
              <w:rPr>
                <w:spacing w:val="-12"/>
                <w:sz w:val="18"/>
              </w:rPr>
              <w:t> </w:t>
            </w:r>
            <w:r>
              <w:rPr>
                <w:sz w:val="18"/>
              </w:rPr>
              <w:t>to</w:t>
            </w:r>
            <w:r>
              <w:rPr>
                <w:spacing w:val="-11"/>
                <w:sz w:val="18"/>
              </w:rPr>
              <w:t> </w:t>
            </w:r>
            <w:r>
              <w:rPr>
                <w:sz w:val="18"/>
              </w:rPr>
              <w:t>track</w:t>
            </w:r>
            <w:r>
              <w:rPr>
                <w:spacing w:val="-11"/>
                <w:sz w:val="18"/>
              </w:rPr>
              <w:t> </w:t>
            </w:r>
            <w:r>
              <w:rPr>
                <w:sz w:val="18"/>
              </w:rPr>
              <w:t>improvement</w:t>
            </w:r>
          </w:p>
          <w:p>
            <w:pPr>
              <w:pStyle w:val="TableParagraph"/>
              <w:numPr>
                <w:ilvl w:val="0"/>
                <w:numId w:val="76"/>
              </w:numPr>
              <w:tabs>
                <w:tab w:pos="613" w:val="left" w:leader="none"/>
                <w:tab w:pos="614" w:val="left" w:leader="none"/>
              </w:tabs>
              <w:spacing w:line="240" w:lineRule="auto" w:before="0" w:after="0"/>
              <w:ind w:left="613" w:right="404" w:hanging="360"/>
              <w:jc w:val="left"/>
              <w:rPr>
                <w:sz w:val="18"/>
              </w:rPr>
            </w:pPr>
            <w:r>
              <w:rPr>
                <w:sz w:val="18"/>
              </w:rPr>
              <w:t>Improved</w:t>
            </w:r>
            <w:r>
              <w:rPr>
                <w:spacing w:val="-12"/>
                <w:sz w:val="18"/>
              </w:rPr>
              <w:t> </w:t>
            </w:r>
            <w:r>
              <w:rPr>
                <w:sz w:val="18"/>
              </w:rPr>
              <w:t>communication to and engagement with </w:t>
            </w:r>
            <w:r>
              <w:rPr>
                <w:spacing w:val="-2"/>
                <w:sz w:val="18"/>
              </w:rPr>
              <w:t>stakeholders</w:t>
            </w:r>
          </w:p>
          <w:p>
            <w:pPr>
              <w:pStyle w:val="TableParagraph"/>
              <w:numPr>
                <w:ilvl w:val="0"/>
                <w:numId w:val="76"/>
              </w:numPr>
              <w:tabs>
                <w:tab w:pos="613" w:val="left" w:leader="none"/>
                <w:tab w:pos="614" w:val="left" w:leader="none"/>
              </w:tabs>
              <w:spacing w:line="240" w:lineRule="auto" w:before="0" w:after="0"/>
              <w:ind w:left="613" w:right="692" w:hanging="360"/>
              <w:jc w:val="left"/>
              <w:rPr>
                <w:sz w:val="18"/>
              </w:rPr>
            </w:pPr>
            <w:r>
              <w:rPr>
                <w:sz w:val="18"/>
              </w:rPr>
              <w:t>Full compliance with regulatory</w:t>
            </w:r>
            <w:r>
              <w:rPr>
                <w:spacing w:val="-12"/>
                <w:sz w:val="18"/>
              </w:rPr>
              <w:t> </w:t>
            </w:r>
            <w:r>
              <w:rPr>
                <w:sz w:val="18"/>
              </w:rPr>
              <w:t>framework</w:t>
            </w:r>
          </w:p>
          <w:p>
            <w:pPr>
              <w:pStyle w:val="TableParagraph"/>
              <w:numPr>
                <w:ilvl w:val="0"/>
                <w:numId w:val="76"/>
              </w:numPr>
              <w:tabs>
                <w:tab w:pos="613" w:val="left" w:leader="none"/>
                <w:tab w:pos="614" w:val="left" w:leader="none"/>
              </w:tabs>
              <w:spacing w:line="240" w:lineRule="auto" w:before="0" w:after="0"/>
              <w:ind w:left="613" w:right="229" w:hanging="360"/>
              <w:jc w:val="left"/>
              <w:rPr>
                <w:sz w:val="18"/>
              </w:rPr>
            </w:pPr>
            <w:r>
              <w:rPr>
                <w:sz w:val="18"/>
              </w:rPr>
              <w:t>Optimize</w:t>
            </w:r>
            <w:r>
              <w:rPr>
                <w:spacing w:val="-12"/>
                <w:sz w:val="18"/>
              </w:rPr>
              <w:t> </w:t>
            </w:r>
            <w:r>
              <w:rPr>
                <w:sz w:val="18"/>
              </w:rPr>
              <w:t>implementation</w:t>
            </w:r>
            <w:r>
              <w:rPr>
                <w:spacing w:val="-11"/>
                <w:sz w:val="18"/>
              </w:rPr>
              <w:t> </w:t>
            </w:r>
            <w:r>
              <w:rPr>
                <w:sz w:val="18"/>
              </w:rPr>
              <w:t>of budget and Contingency Fund (CF) resources</w:t>
            </w:r>
          </w:p>
        </w:tc>
        <w:tc>
          <w:tcPr>
            <w:tcW w:w="2505" w:type="dxa"/>
            <w:tcBorders>
              <w:top w:val="single" w:sz="4" w:space="0" w:color="000000"/>
              <w:bottom w:val="single" w:sz="4" w:space="0" w:color="000000"/>
            </w:tcBorders>
          </w:tcPr>
          <w:p>
            <w:pPr>
              <w:pStyle w:val="TableParagraph"/>
              <w:numPr>
                <w:ilvl w:val="0"/>
                <w:numId w:val="77"/>
              </w:numPr>
              <w:tabs>
                <w:tab w:pos="633" w:val="left" w:leader="none"/>
                <w:tab w:pos="634" w:val="left" w:leader="none"/>
              </w:tabs>
              <w:spacing w:line="240" w:lineRule="auto" w:before="0" w:after="0"/>
              <w:ind w:left="633" w:right="529" w:hanging="360"/>
              <w:jc w:val="left"/>
              <w:rPr>
                <w:sz w:val="18"/>
              </w:rPr>
            </w:pPr>
            <w:r>
              <w:rPr>
                <w:sz w:val="18"/>
              </w:rPr>
              <w:t>Rolling</w:t>
            </w:r>
            <w:r>
              <w:rPr>
                <w:spacing w:val="-10"/>
                <w:sz w:val="18"/>
              </w:rPr>
              <w:t> </w:t>
            </w:r>
            <w:r>
              <w:rPr>
                <w:sz w:val="18"/>
              </w:rPr>
              <w:t>forecasts prepared per team (min.</w:t>
            </w:r>
            <w:r>
              <w:rPr>
                <w:spacing w:val="-12"/>
                <w:sz w:val="18"/>
              </w:rPr>
              <w:t> </w:t>
            </w:r>
            <w:r>
              <w:rPr>
                <w:sz w:val="18"/>
              </w:rPr>
              <w:t>6/team/year)</w:t>
            </w:r>
          </w:p>
          <w:p>
            <w:pPr>
              <w:pStyle w:val="TableParagraph"/>
              <w:numPr>
                <w:ilvl w:val="0"/>
                <w:numId w:val="77"/>
              </w:numPr>
              <w:tabs>
                <w:tab w:pos="633" w:val="left" w:leader="none"/>
                <w:tab w:pos="634" w:val="left" w:leader="none"/>
              </w:tabs>
              <w:spacing w:line="240" w:lineRule="auto" w:before="0" w:after="0"/>
              <w:ind w:left="633" w:right="280" w:hanging="360"/>
              <w:jc w:val="left"/>
              <w:rPr>
                <w:sz w:val="18"/>
              </w:rPr>
            </w:pPr>
            <w:r>
              <w:rPr>
                <w:sz w:val="18"/>
              </w:rPr>
              <w:t>Number of </w:t>
            </w:r>
            <w:r>
              <w:rPr>
                <w:spacing w:val="-2"/>
                <w:sz w:val="18"/>
              </w:rPr>
              <w:t>investigation/prosecut </w:t>
            </w:r>
            <w:r>
              <w:rPr>
                <w:sz w:val="18"/>
              </w:rPr>
              <w:t>ion plans prepared and presented (min. </w:t>
            </w:r>
            <w:r>
              <w:rPr>
                <w:spacing w:val="-2"/>
                <w:sz w:val="18"/>
              </w:rPr>
              <w:t>2/team/year)</w:t>
            </w:r>
          </w:p>
          <w:p>
            <w:pPr>
              <w:pStyle w:val="TableParagraph"/>
              <w:numPr>
                <w:ilvl w:val="0"/>
                <w:numId w:val="77"/>
              </w:numPr>
              <w:tabs>
                <w:tab w:pos="633" w:val="left" w:leader="none"/>
                <w:tab w:pos="634" w:val="left" w:leader="none"/>
              </w:tabs>
              <w:spacing w:line="240" w:lineRule="auto" w:before="0" w:after="0"/>
              <w:ind w:left="633" w:right="427" w:hanging="360"/>
              <w:jc w:val="left"/>
              <w:rPr>
                <w:sz w:val="18"/>
              </w:rPr>
            </w:pPr>
            <w:r>
              <w:rPr>
                <w:sz w:val="18"/>
              </w:rPr>
              <w:t>Number</w:t>
            </w:r>
            <w:r>
              <w:rPr>
                <w:spacing w:val="-12"/>
                <w:sz w:val="18"/>
              </w:rPr>
              <w:t> </w:t>
            </w:r>
            <w:r>
              <w:rPr>
                <w:sz w:val="18"/>
              </w:rPr>
              <w:t>of</w:t>
            </w:r>
            <w:r>
              <w:rPr>
                <w:spacing w:val="-11"/>
                <w:sz w:val="18"/>
              </w:rPr>
              <w:t> </w:t>
            </w:r>
            <w:r>
              <w:rPr>
                <w:sz w:val="18"/>
              </w:rPr>
              <w:t>progress</w:t>
            </w:r>
            <w:r>
              <w:rPr>
                <w:sz w:val="18"/>
              </w:rPr>
              <w:t> reports presented (min. 2/team/year)</w:t>
            </w:r>
          </w:p>
          <w:p>
            <w:pPr>
              <w:pStyle w:val="TableParagraph"/>
              <w:numPr>
                <w:ilvl w:val="0"/>
                <w:numId w:val="77"/>
              </w:numPr>
              <w:tabs>
                <w:tab w:pos="634" w:val="left" w:leader="none"/>
              </w:tabs>
              <w:spacing w:line="240" w:lineRule="auto" w:before="0" w:after="0"/>
              <w:ind w:left="633" w:right="653" w:hanging="360"/>
              <w:jc w:val="both"/>
              <w:rPr>
                <w:sz w:val="18"/>
              </w:rPr>
            </w:pPr>
            <w:r>
              <w:rPr>
                <w:sz w:val="18"/>
              </w:rPr>
              <w:t>KPIs updated or developed</w:t>
            </w:r>
            <w:r>
              <w:rPr>
                <w:spacing w:val="-9"/>
                <w:sz w:val="18"/>
              </w:rPr>
              <w:t> </w:t>
            </w:r>
            <w:r>
              <w:rPr>
                <w:sz w:val="18"/>
              </w:rPr>
              <w:t>(3</w:t>
            </w:r>
            <w:r>
              <w:rPr>
                <w:spacing w:val="-9"/>
                <w:sz w:val="18"/>
              </w:rPr>
              <w:t> </w:t>
            </w:r>
            <w:r>
              <w:rPr>
                <w:sz w:val="18"/>
              </w:rPr>
              <w:t>x</w:t>
            </w:r>
            <w:r>
              <w:rPr>
                <w:spacing w:val="-9"/>
                <w:sz w:val="18"/>
              </w:rPr>
              <w:t> </w:t>
            </w:r>
            <w:r>
              <w:rPr>
                <w:sz w:val="18"/>
              </w:rPr>
              <w:t>8 goals</w:t>
            </w:r>
            <w:r>
              <w:rPr>
                <w:spacing w:val="4"/>
                <w:sz w:val="18"/>
              </w:rPr>
              <w:t> </w:t>
            </w:r>
            <w:r>
              <w:rPr>
                <w:sz w:val="18"/>
              </w:rPr>
              <w:t>=</w:t>
            </w:r>
            <w:r>
              <w:rPr>
                <w:spacing w:val="-4"/>
                <w:sz w:val="18"/>
              </w:rPr>
              <w:t> </w:t>
            </w:r>
            <w:r>
              <w:rPr>
                <w:sz w:val="18"/>
              </w:rPr>
              <w:t>24</w:t>
            </w:r>
            <w:r>
              <w:rPr>
                <w:spacing w:val="-6"/>
                <w:sz w:val="18"/>
              </w:rPr>
              <w:t> </w:t>
            </w:r>
            <w:r>
              <w:rPr>
                <w:spacing w:val="-2"/>
                <w:sz w:val="18"/>
              </w:rPr>
              <w:t>KPIs)</w:t>
            </w:r>
          </w:p>
          <w:p>
            <w:pPr>
              <w:pStyle w:val="TableParagraph"/>
              <w:numPr>
                <w:ilvl w:val="0"/>
                <w:numId w:val="77"/>
              </w:numPr>
              <w:tabs>
                <w:tab w:pos="633" w:val="left" w:leader="none"/>
                <w:tab w:pos="634" w:val="left" w:leader="none"/>
              </w:tabs>
              <w:spacing w:line="240" w:lineRule="auto" w:before="0" w:after="0"/>
              <w:ind w:left="633" w:right="288" w:hanging="360"/>
              <w:jc w:val="left"/>
              <w:rPr>
                <w:sz w:val="18"/>
              </w:rPr>
            </w:pPr>
            <w:r>
              <w:rPr>
                <w:sz w:val="18"/>
              </w:rPr>
              <w:t>Number of Lessons Learned held during the period v. number of</w:t>
            </w:r>
            <w:r>
              <w:rPr>
                <w:spacing w:val="-12"/>
                <w:sz w:val="18"/>
              </w:rPr>
              <w:t> </w:t>
            </w:r>
            <w:r>
              <w:rPr>
                <w:sz w:val="18"/>
              </w:rPr>
              <w:t>major</w:t>
            </w:r>
            <w:r>
              <w:rPr>
                <w:spacing w:val="-11"/>
                <w:sz w:val="18"/>
              </w:rPr>
              <w:t> </w:t>
            </w:r>
            <w:r>
              <w:rPr>
                <w:sz w:val="18"/>
              </w:rPr>
              <w:t>investigative or prosecutorial </w:t>
            </w:r>
            <w:r>
              <w:rPr>
                <w:spacing w:val="-2"/>
                <w:sz w:val="18"/>
              </w:rPr>
              <w:t>events</w:t>
            </w:r>
          </w:p>
          <w:p>
            <w:pPr>
              <w:pStyle w:val="TableParagraph"/>
              <w:numPr>
                <w:ilvl w:val="0"/>
                <w:numId w:val="77"/>
              </w:numPr>
              <w:tabs>
                <w:tab w:pos="633" w:val="left" w:leader="none"/>
                <w:tab w:pos="634" w:val="left" w:leader="none"/>
              </w:tabs>
              <w:spacing w:line="240" w:lineRule="auto" w:before="0" w:after="0"/>
              <w:ind w:left="633" w:right="585" w:hanging="360"/>
              <w:jc w:val="left"/>
              <w:rPr>
                <w:sz w:val="18"/>
              </w:rPr>
            </w:pPr>
            <w:r>
              <w:rPr>
                <w:sz w:val="18"/>
              </w:rPr>
              <w:t>Zero (0) audit </w:t>
            </w:r>
            <w:r>
              <w:rPr>
                <w:spacing w:val="-2"/>
                <w:sz w:val="18"/>
              </w:rPr>
              <w:t>recommendations </w:t>
            </w:r>
            <w:r>
              <w:rPr>
                <w:sz w:val="18"/>
              </w:rPr>
              <w:t>rated above medium/low</w:t>
            </w:r>
            <w:r>
              <w:rPr>
                <w:spacing w:val="-4"/>
                <w:sz w:val="18"/>
              </w:rPr>
              <w:t> </w:t>
            </w:r>
            <w:r>
              <w:rPr>
                <w:sz w:val="18"/>
              </w:rPr>
              <w:t>risk</w:t>
            </w:r>
          </w:p>
          <w:p>
            <w:pPr>
              <w:pStyle w:val="TableParagraph"/>
              <w:numPr>
                <w:ilvl w:val="0"/>
                <w:numId w:val="77"/>
              </w:numPr>
              <w:tabs>
                <w:tab w:pos="633" w:val="left" w:leader="none"/>
                <w:tab w:pos="634" w:val="left" w:leader="none"/>
              </w:tabs>
              <w:spacing w:line="242" w:lineRule="auto" w:before="0" w:after="0"/>
              <w:ind w:left="633" w:right="738" w:hanging="360"/>
              <w:jc w:val="left"/>
              <w:rPr>
                <w:sz w:val="18"/>
              </w:rPr>
            </w:pPr>
            <w:r>
              <w:rPr>
                <w:spacing w:val="-2"/>
                <w:sz w:val="18"/>
              </w:rPr>
              <w:t>Budget implementation </w:t>
            </w:r>
            <w:r>
              <w:rPr>
                <w:sz w:val="18"/>
              </w:rPr>
              <w:t>rate &gt; 97%</w:t>
            </w:r>
          </w:p>
        </w:tc>
        <w:tc>
          <w:tcPr>
            <w:tcW w:w="2696" w:type="dxa"/>
            <w:tcBorders>
              <w:top w:val="single" w:sz="4" w:space="0" w:color="000000"/>
              <w:bottom w:val="single" w:sz="4" w:space="0" w:color="000000"/>
            </w:tcBorders>
          </w:tcPr>
          <w:p>
            <w:pPr>
              <w:pStyle w:val="TableParagraph"/>
              <w:numPr>
                <w:ilvl w:val="0"/>
                <w:numId w:val="78"/>
              </w:numPr>
              <w:tabs>
                <w:tab w:pos="620" w:val="left" w:leader="none"/>
                <w:tab w:pos="621" w:val="left" w:leader="none"/>
              </w:tabs>
              <w:spacing w:line="240" w:lineRule="auto" w:before="0" w:after="0"/>
              <w:ind w:left="620" w:right="87" w:hanging="360"/>
              <w:jc w:val="left"/>
              <w:rPr>
                <w:sz w:val="18"/>
              </w:rPr>
            </w:pPr>
            <w:r>
              <w:rPr>
                <w:sz w:val="18"/>
              </w:rPr>
              <w:t>Implement</w:t>
            </w:r>
            <w:r>
              <w:rPr>
                <w:spacing w:val="-12"/>
                <w:sz w:val="18"/>
              </w:rPr>
              <w:t> </w:t>
            </w:r>
            <w:r>
              <w:rPr>
                <w:sz w:val="18"/>
              </w:rPr>
              <w:t>a</w:t>
            </w:r>
            <w:r>
              <w:rPr>
                <w:spacing w:val="-11"/>
                <w:sz w:val="18"/>
              </w:rPr>
              <w:t> </w:t>
            </w:r>
            <w:r>
              <w:rPr>
                <w:sz w:val="18"/>
              </w:rPr>
              <w:t>unified</w:t>
            </w:r>
            <w:r>
              <w:rPr>
                <w:spacing w:val="-11"/>
                <w:sz w:val="18"/>
              </w:rPr>
              <w:t> </w:t>
            </w:r>
            <w:r>
              <w:rPr>
                <w:sz w:val="18"/>
              </w:rPr>
              <w:t>teams’ approach to planning that allows for rolling forecasts of the teams’ needs within the approved budget </w:t>
            </w:r>
            <w:r>
              <w:rPr>
                <w:spacing w:val="-2"/>
                <w:sz w:val="18"/>
              </w:rPr>
              <w:t>allocation</w:t>
            </w:r>
          </w:p>
          <w:p>
            <w:pPr>
              <w:pStyle w:val="TableParagraph"/>
              <w:numPr>
                <w:ilvl w:val="0"/>
                <w:numId w:val="78"/>
              </w:numPr>
              <w:tabs>
                <w:tab w:pos="620" w:val="left" w:leader="none"/>
                <w:tab w:pos="621" w:val="left" w:leader="none"/>
              </w:tabs>
              <w:spacing w:line="240" w:lineRule="auto" w:before="0" w:after="0"/>
              <w:ind w:left="620" w:right="153" w:hanging="360"/>
              <w:jc w:val="left"/>
              <w:rPr>
                <w:sz w:val="18"/>
              </w:rPr>
            </w:pPr>
            <w:r>
              <w:rPr>
                <w:spacing w:val="-2"/>
                <w:sz w:val="18"/>
              </w:rPr>
              <w:t>Investigative/prosecutorial </w:t>
            </w:r>
            <w:r>
              <w:rPr>
                <w:sz w:val="18"/>
              </w:rPr>
              <w:t>plans with details on missions and milestones prepared by each unified team and presented to Deputy Prosecutors</w:t>
            </w:r>
          </w:p>
          <w:p>
            <w:pPr>
              <w:pStyle w:val="TableParagraph"/>
              <w:numPr>
                <w:ilvl w:val="0"/>
                <w:numId w:val="78"/>
              </w:numPr>
              <w:tabs>
                <w:tab w:pos="620" w:val="left" w:leader="none"/>
                <w:tab w:pos="621" w:val="left" w:leader="none"/>
              </w:tabs>
              <w:spacing w:line="240" w:lineRule="auto" w:before="0" w:after="0"/>
              <w:ind w:left="620" w:right="98" w:hanging="360"/>
              <w:jc w:val="left"/>
              <w:rPr>
                <w:sz w:val="18"/>
              </w:rPr>
            </w:pPr>
            <w:r>
              <w:rPr>
                <w:sz w:val="18"/>
              </w:rPr>
              <w:t>Regular</w:t>
            </w:r>
            <w:r>
              <w:rPr>
                <w:spacing w:val="-12"/>
                <w:sz w:val="18"/>
              </w:rPr>
              <w:t> </w:t>
            </w:r>
            <w:r>
              <w:rPr>
                <w:sz w:val="18"/>
              </w:rPr>
              <w:t>periodic</w:t>
            </w:r>
            <w:r>
              <w:rPr>
                <w:spacing w:val="-11"/>
                <w:sz w:val="18"/>
              </w:rPr>
              <w:t> </w:t>
            </w:r>
            <w:r>
              <w:rPr>
                <w:sz w:val="18"/>
              </w:rPr>
              <w:t>reports</w:t>
            </w:r>
            <w:r>
              <w:rPr>
                <w:spacing w:val="-11"/>
                <w:sz w:val="18"/>
              </w:rPr>
              <w:t> </w:t>
            </w:r>
            <w:r>
              <w:rPr>
                <w:sz w:val="18"/>
              </w:rPr>
              <w:t>on investigation and prosecutorial case review presented to the Deputy Prosecutors and the </w:t>
            </w:r>
            <w:r>
              <w:rPr>
                <w:spacing w:val="-2"/>
                <w:sz w:val="18"/>
              </w:rPr>
              <w:t>Prosecutor</w:t>
            </w:r>
          </w:p>
          <w:p>
            <w:pPr>
              <w:pStyle w:val="TableParagraph"/>
              <w:numPr>
                <w:ilvl w:val="0"/>
                <w:numId w:val="78"/>
              </w:numPr>
              <w:tabs>
                <w:tab w:pos="620" w:val="left" w:leader="none"/>
                <w:tab w:pos="621" w:val="left" w:leader="none"/>
              </w:tabs>
              <w:spacing w:line="240" w:lineRule="auto" w:before="0" w:after="0"/>
              <w:ind w:left="620" w:right="175" w:hanging="360"/>
              <w:jc w:val="left"/>
              <w:rPr>
                <w:sz w:val="18"/>
              </w:rPr>
            </w:pPr>
            <w:r>
              <w:rPr>
                <w:sz w:val="18"/>
              </w:rPr>
              <w:t>Network of State and international organization partners</w:t>
            </w:r>
            <w:r>
              <w:rPr>
                <w:spacing w:val="-12"/>
                <w:sz w:val="18"/>
              </w:rPr>
              <w:t> </w:t>
            </w:r>
            <w:r>
              <w:rPr>
                <w:sz w:val="18"/>
              </w:rPr>
              <w:t>available</w:t>
            </w:r>
            <w:r>
              <w:rPr>
                <w:spacing w:val="-11"/>
                <w:sz w:val="18"/>
              </w:rPr>
              <w:t> </w:t>
            </w:r>
            <w:r>
              <w:rPr>
                <w:sz w:val="18"/>
              </w:rPr>
              <w:t>to</w:t>
            </w:r>
            <w:r>
              <w:rPr>
                <w:spacing w:val="-11"/>
                <w:sz w:val="18"/>
              </w:rPr>
              <w:t> </w:t>
            </w:r>
            <w:r>
              <w:rPr>
                <w:sz w:val="18"/>
              </w:rPr>
              <w:t>assist with tracking and facilitating surrender strengthened and new partners identified</w:t>
            </w:r>
          </w:p>
          <w:p>
            <w:pPr>
              <w:pStyle w:val="TableParagraph"/>
              <w:numPr>
                <w:ilvl w:val="0"/>
                <w:numId w:val="78"/>
              </w:numPr>
              <w:tabs>
                <w:tab w:pos="620" w:val="left" w:leader="none"/>
                <w:tab w:pos="621" w:val="left" w:leader="none"/>
              </w:tabs>
              <w:spacing w:line="237" w:lineRule="auto" w:before="0" w:after="0"/>
              <w:ind w:left="620" w:right="69" w:hanging="360"/>
              <w:jc w:val="left"/>
              <w:rPr>
                <w:sz w:val="18"/>
              </w:rPr>
            </w:pPr>
            <w:r>
              <w:rPr>
                <w:sz w:val="18"/>
              </w:rPr>
              <w:t>Arrest</w:t>
            </w:r>
            <w:r>
              <w:rPr>
                <w:spacing w:val="-12"/>
                <w:sz w:val="18"/>
              </w:rPr>
              <w:t> </w:t>
            </w:r>
            <w:r>
              <w:rPr>
                <w:sz w:val="18"/>
              </w:rPr>
              <w:t>and</w:t>
            </w:r>
            <w:r>
              <w:rPr>
                <w:spacing w:val="-11"/>
                <w:sz w:val="18"/>
              </w:rPr>
              <w:t> </w:t>
            </w:r>
            <w:r>
              <w:rPr>
                <w:sz w:val="18"/>
              </w:rPr>
              <w:t>tracking</w:t>
            </w:r>
            <w:r>
              <w:rPr>
                <w:spacing w:val="-11"/>
                <w:sz w:val="18"/>
              </w:rPr>
              <w:t> </w:t>
            </w:r>
            <w:r>
              <w:rPr>
                <w:sz w:val="18"/>
              </w:rPr>
              <w:t>strategy </w:t>
            </w:r>
            <w:r>
              <w:rPr>
                <w:spacing w:val="-2"/>
                <w:sz w:val="18"/>
              </w:rPr>
              <w:t>implemented</w:t>
            </w:r>
          </w:p>
          <w:p>
            <w:pPr>
              <w:pStyle w:val="TableParagraph"/>
              <w:numPr>
                <w:ilvl w:val="0"/>
                <w:numId w:val="78"/>
              </w:numPr>
              <w:tabs>
                <w:tab w:pos="620" w:val="left" w:leader="none"/>
                <w:tab w:pos="621" w:val="left" w:leader="none"/>
              </w:tabs>
              <w:spacing w:line="240" w:lineRule="auto" w:before="2" w:after="0"/>
              <w:ind w:left="620" w:right="392" w:hanging="360"/>
              <w:jc w:val="left"/>
              <w:rPr>
                <w:sz w:val="18"/>
              </w:rPr>
            </w:pPr>
            <w:r>
              <w:rPr>
                <w:sz w:val="18"/>
              </w:rPr>
              <w:t>Network</w:t>
            </w:r>
            <w:r>
              <w:rPr>
                <w:spacing w:val="-12"/>
                <w:sz w:val="18"/>
              </w:rPr>
              <w:t> </w:t>
            </w:r>
            <w:r>
              <w:rPr>
                <w:sz w:val="18"/>
              </w:rPr>
              <w:t>of</w:t>
            </w:r>
            <w:r>
              <w:rPr>
                <w:spacing w:val="-11"/>
                <w:sz w:val="18"/>
              </w:rPr>
              <w:t> </w:t>
            </w:r>
            <w:r>
              <w:rPr>
                <w:sz w:val="18"/>
              </w:rPr>
              <w:t>operational</w:t>
            </w:r>
            <w:r>
              <w:rPr>
                <w:sz w:val="18"/>
              </w:rPr>
              <w:t> focal points expanded</w:t>
            </w:r>
          </w:p>
          <w:p>
            <w:pPr>
              <w:pStyle w:val="TableParagraph"/>
              <w:numPr>
                <w:ilvl w:val="0"/>
                <w:numId w:val="78"/>
              </w:numPr>
              <w:tabs>
                <w:tab w:pos="620" w:val="left" w:leader="none"/>
                <w:tab w:pos="621" w:val="left" w:leader="none"/>
              </w:tabs>
              <w:spacing w:line="240" w:lineRule="auto" w:before="0" w:after="0"/>
              <w:ind w:left="620" w:right="151" w:hanging="360"/>
              <w:jc w:val="left"/>
              <w:rPr>
                <w:sz w:val="18"/>
              </w:rPr>
            </w:pPr>
            <w:r>
              <w:rPr>
                <w:sz w:val="18"/>
              </w:rPr>
              <w:t>KPIs</w:t>
            </w:r>
            <w:r>
              <w:rPr>
                <w:spacing w:val="-9"/>
                <w:sz w:val="18"/>
              </w:rPr>
              <w:t> </w:t>
            </w:r>
            <w:r>
              <w:rPr>
                <w:sz w:val="18"/>
              </w:rPr>
              <w:t>updated</w:t>
            </w:r>
            <w:r>
              <w:rPr>
                <w:spacing w:val="-9"/>
                <w:sz w:val="18"/>
              </w:rPr>
              <w:t> </w:t>
            </w:r>
            <w:r>
              <w:rPr>
                <w:sz w:val="18"/>
              </w:rPr>
              <w:t>or</w:t>
            </w:r>
            <w:r>
              <w:rPr>
                <w:spacing w:val="-8"/>
                <w:sz w:val="18"/>
              </w:rPr>
              <w:t> </w:t>
            </w:r>
            <w:r>
              <w:rPr>
                <w:sz w:val="18"/>
              </w:rPr>
              <w:t>new</w:t>
            </w:r>
            <w:r>
              <w:rPr>
                <w:spacing w:val="-11"/>
                <w:sz w:val="18"/>
              </w:rPr>
              <w:t> </w:t>
            </w:r>
            <w:r>
              <w:rPr>
                <w:sz w:val="18"/>
              </w:rPr>
              <w:t>KPIs identified to track improvements</w:t>
            </w:r>
            <w:r>
              <w:rPr>
                <w:spacing w:val="-11"/>
                <w:sz w:val="18"/>
              </w:rPr>
              <w:t> </w:t>
            </w:r>
            <w:r>
              <w:rPr>
                <w:sz w:val="18"/>
              </w:rPr>
              <w:t>(3</w:t>
            </w:r>
            <w:r>
              <w:rPr>
                <w:spacing w:val="-7"/>
                <w:sz w:val="18"/>
              </w:rPr>
              <w:t> </w:t>
            </w:r>
            <w:r>
              <w:rPr>
                <w:sz w:val="18"/>
              </w:rPr>
              <w:t>KPIs</w:t>
            </w:r>
            <w:r>
              <w:rPr>
                <w:spacing w:val="-3"/>
                <w:sz w:val="18"/>
              </w:rPr>
              <w:t> </w:t>
            </w:r>
            <w:r>
              <w:rPr>
                <w:sz w:val="18"/>
              </w:rPr>
              <w:t>per strategic goal)</w:t>
            </w:r>
          </w:p>
          <w:p>
            <w:pPr>
              <w:pStyle w:val="TableParagraph"/>
              <w:numPr>
                <w:ilvl w:val="0"/>
                <w:numId w:val="78"/>
              </w:numPr>
              <w:tabs>
                <w:tab w:pos="620" w:val="left" w:leader="none"/>
                <w:tab w:pos="621" w:val="left" w:leader="none"/>
              </w:tabs>
              <w:spacing w:line="240" w:lineRule="auto" w:before="0" w:after="0"/>
              <w:ind w:left="620" w:right="222" w:hanging="360"/>
              <w:jc w:val="left"/>
              <w:rPr>
                <w:sz w:val="18"/>
              </w:rPr>
            </w:pPr>
            <w:r>
              <w:rPr>
                <w:sz w:val="18"/>
              </w:rPr>
              <w:t>Conduct</w:t>
            </w:r>
            <w:r>
              <w:rPr>
                <w:spacing w:val="-9"/>
                <w:sz w:val="18"/>
              </w:rPr>
              <w:t> </w:t>
            </w:r>
            <w:r>
              <w:rPr>
                <w:sz w:val="18"/>
              </w:rPr>
              <w:t>at</w:t>
            </w:r>
            <w:r>
              <w:rPr>
                <w:spacing w:val="-9"/>
                <w:sz w:val="18"/>
              </w:rPr>
              <w:t> </w:t>
            </w:r>
            <w:r>
              <w:rPr>
                <w:sz w:val="18"/>
              </w:rPr>
              <w:t>least</w:t>
            </w:r>
            <w:r>
              <w:rPr>
                <w:spacing w:val="-9"/>
                <w:sz w:val="18"/>
              </w:rPr>
              <w:t> </w:t>
            </w:r>
            <w:r>
              <w:rPr>
                <w:sz w:val="18"/>
              </w:rPr>
              <w:t>1</w:t>
            </w:r>
            <w:r>
              <w:rPr>
                <w:spacing w:val="-11"/>
                <w:sz w:val="18"/>
              </w:rPr>
              <w:t> </w:t>
            </w:r>
            <w:r>
              <w:rPr>
                <w:sz w:val="18"/>
              </w:rPr>
              <w:t>Lesson Learned after any major investigative or prosecutorial event</w:t>
            </w:r>
          </w:p>
          <w:p>
            <w:pPr>
              <w:pStyle w:val="TableParagraph"/>
              <w:numPr>
                <w:ilvl w:val="0"/>
                <w:numId w:val="78"/>
              </w:numPr>
              <w:tabs>
                <w:tab w:pos="620" w:val="left" w:leader="none"/>
                <w:tab w:pos="621" w:val="left" w:leader="none"/>
              </w:tabs>
              <w:spacing w:line="240" w:lineRule="auto" w:before="0" w:after="0"/>
              <w:ind w:left="620" w:right="584" w:hanging="360"/>
              <w:jc w:val="left"/>
              <w:rPr>
                <w:sz w:val="18"/>
              </w:rPr>
            </w:pPr>
            <w:r>
              <w:rPr>
                <w:sz w:val="18"/>
              </w:rPr>
              <w:t>Transactional</w:t>
            </w:r>
            <w:r>
              <w:rPr>
                <w:spacing w:val="-3"/>
                <w:sz w:val="18"/>
              </w:rPr>
              <w:t> </w:t>
            </w:r>
            <w:r>
              <w:rPr>
                <w:sz w:val="18"/>
              </w:rPr>
              <w:t>audits confirm</w:t>
            </w:r>
            <w:r>
              <w:rPr>
                <w:spacing w:val="-3"/>
                <w:sz w:val="18"/>
              </w:rPr>
              <w:t> </w:t>
            </w:r>
            <w:r>
              <w:rPr>
                <w:sz w:val="18"/>
              </w:rPr>
              <w:t>adequacy</w:t>
            </w:r>
            <w:r>
              <w:rPr>
                <w:spacing w:val="-4"/>
                <w:sz w:val="18"/>
              </w:rPr>
              <w:t> </w:t>
            </w:r>
            <w:r>
              <w:rPr>
                <w:spacing w:val="-5"/>
                <w:sz w:val="18"/>
              </w:rPr>
              <w:t>of</w:t>
            </w:r>
          </w:p>
          <w:p>
            <w:pPr>
              <w:pStyle w:val="TableParagraph"/>
              <w:spacing w:line="189" w:lineRule="exact"/>
              <w:ind w:left="620"/>
              <w:jc w:val="left"/>
              <w:rPr>
                <w:sz w:val="18"/>
              </w:rPr>
            </w:pPr>
            <w:r>
              <w:rPr>
                <w:sz w:val="18"/>
              </w:rPr>
              <w:t>controls</w:t>
            </w:r>
            <w:r>
              <w:rPr>
                <w:spacing w:val="-3"/>
                <w:sz w:val="18"/>
              </w:rPr>
              <w:t> </w:t>
            </w:r>
            <w:r>
              <w:rPr>
                <w:sz w:val="18"/>
              </w:rPr>
              <w:t>in</w:t>
            </w:r>
            <w:r>
              <w:rPr>
                <w:spacing w:val="-3"/>
                <w:sz w:val="18"/>
              </w:rPr>
              <w:t> </w:t>
            </w:r>
            <w:r>
              <w:rPr>
                <w:spacing w:val="-2"/>
                <w:sz w:val="18"/>
              </w:rPr>
              <w:t>place</w:t>
            </w:r>
          </w:p>
        </w:tc>
      </w:tr>
    </w:tbl>
    <w:p>
      <w:pPr>
        <w:spacing w:after="0" w:line="189" w:lineRule="exact"/>
        <w:jc w:val="left"/>
        <w:rPr>
          <w:sz w:val="18"/>
        </w:rPr>
        <w:sectPr>
          <w:type w:val="continuous"/>
          <w:pgSz w:w="11910" w:h="16840"/>
          <w:pgMar w:header="953" w:footer="940" w:top="1140" w:bottom="1676" w:left="20" w:right="20"/>
        </w:sectPr>
      </w:pPr>
    </w:p>
    <w:tbl>
      <w:tblPr>
        <w:tblW w:w="0" w:type="auto"/>
        <w:jc w:val="left"/>
        <w:tblInd w:w="1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55"/>
        <w:gridCol w:w="2944"/>
        <w:gridCol w:w="2479"/>
        <w:gridCol w:w="2722"/>
      </w:tblGrid>
      <w:tr>
        <w:trPr>
          <w:trHeight w:val="119" w:hRule="atLeast"/>
        </w:trPr>
        <w:tc>
          <w:tcPr>
            <w:tcW w:w="1555" w:type="dxa"/>
            <w:tcBorders>
              <w:top w:val="single" w:sz="2" w:space="0" w:color="000000"/>
              <w:bottom w:val="single" w:sz="4" w:space="0" w:color="000000"/>
            </w:tcBorders>
          </w:tcPr>
          <w:p>
            <w:pPr>
              <w:pStyle w:val="TableParagraph"/>
              <w:jc w:val="left"/>
              <w:rPr>
                <w:sz w:val="6"/>
              </w:rPr>
            </w:pPr>
          </w:p>
        </w:tc>
        <w:tc>
          <w:tcPr>
            <w:tcW w:w="2944" w:type="dxa"/>
            <w:tcBorders>
              <w:top w:val="single" w:sz="2" w:space="0" w:color="000000"/>
              <w:bottom w:val="single" w:sz="4" w:space="0" w:color="000000"/>
            </w:tcBorders>
          </w:tcPr>
          <w:p>
            <w:pPr>
              <w:pStyle w:val="TableParagraph"/>
              <w:jc w:val="left"/>
              <w:rPr>
                <w:sz w:val="6"/>
              </w:rPr>
            </w:pPr>
          </w:p>
        </w:tc>
        <w:tc>
          <w:tcPr>
            <w:tcW w:w="2479" w:type="dxa"/>
            <w:tcBorders>
              <w:top w:val="single" w:sz="2" w:space="0" w:color="000000"/>
              <w:bottom w:val="single" w:sz="4" w:space="0" w:color="000000"/>
            </w:tcBorders>
          </w:tcPr>
          <w:p>
            <w:pPr>
              <w:pStyle w:val="TableParagraph"/>
              <w:jc w:val="left"/>
              <w:rPr>
                <w:sz w:val="6"/>
              </w:rPr>
            </w:pPr>
          </w:p>
        </w:tc>
        <w:tc>
          <w:tcPr>
            <w:tcW w:w="2722" w:type="dxa"/>
            <w:tcBorders>
              <w:top w:val="single" w:sz="2" w:space="0" w:color="000000"/>
              <w:bottom w:val="single" w:sz="4" w:space="0" w:color="000000"/>
            </w:tcBorders>
          </w:tcPr>
          <w:p>
            <w:pPr>
              <w:pStyle w:val="TableParagraph"/>
              <w:jc w:val="left"/>
              <w:rPr>
                <w:sz w:val="6"/>
              </w:rPr>
            </w:pPr>
          </w:p>
        </w:tc>
      </w:tr>
      <w:tr>
        <w:trPr>
          <w:trHeight w:val="330" w:hRule="atLeast"/>
        </w:trPr>
        <w:tc>
          <w:tcPr>
            <w:tcW w:w="1555" w:type="dxa"/>
            <w:tcBorders>
              <w:top w:val="single" w:sz="4" w:space="0" w:color="000000"/>
              <w:bottom w:val="single" w:sz="4" w:space="0" w:color="000000"/>
            </w:tcBorders>
          </w:tcPr>
          <w:p>
            <w:pPr>
              <w:pStyle w:val="TableParagraph"/>
              <w:spacing w:before="64"/>
              <w:ind w:left="168"/>
              <w:jc w:val="left"/>
              <w:rPr>
                <w:i/>
                <w:sz w:val="18"/>
              </w:rPr>
            </w:pPr>
            <w:r>
              <w:rPr>
                <w:i/>
                <w:sz w:val="18"/>
              </w:rPr>
              <w:t>Strategic</w:t>
            </w:r>
            <w:r>
              <w:rPr>
                <w:i/>
                <w:spacing w:val="-2"/>
                <w:sz w:val="18"/>
              </w:rPr>
              <w:t> </w:t>
            </w:r>
            <w:r>
              <w:rPr>
                <w:i/>
                <w:spacing w:val="-4"/>
                <w:sz w:val="18"/>
              </w:rPr>
              <w:t>Goal</w:t>
            </w:r>
          </w:p>
        </w:tc>
        <w:tc>
          <w:tcPr>
            <w:tcW w:w="2944" w:type="dxa"/>
            <w:tcBorders>
              <w:top w:val="single" w:sz="4" w:space="0" w:color="000000"/>
              <w:bottom w:val="single" w:sz="4" w:space="0" w:color="000000"/>
            </w:tcBorders>
          </w:tcPr>
          <w:p>
            <w:pPr>
              <w:pStyle w:val="TableParagraph"/>
              <w:spacing w:before="64"/>
              <w:ind w:left="740"/>
              <w:jc w:val="left"/>
              <w:rPr>
                <w:i/>
                <w:sz w:val="18"/>
              </w:rPr>
            </w:pPr>
            <w:r>
              <w:rPr>
                <w:i/>
                <w:sz w:val="18"/>
              </w:rPr>
              <w:t>Expected</w:t>
            </w:r>
            <w:r>
              <w:rPr>
                <w:i/>
                <w:spacing w:val="-7"/>
                <w:sz w:val="18"/>
              </w:rPr>
              <w:t> </w:t>
            </w:r>
            <w:r>
              <w:rPr>
                <w:i/>
                <w:spacing w:val="-2"/>
                <w:sz w:val="18"/>
              </w:rPr>
              <w:t>results</w:t>
            </w:r>
          </w:p>
        </w:tc>
        <w:tc>
          <w:tcPr>
            <w:tcW w:w="2479" w:type="dxa"/>
            <w:tcBorders>
              <w:top w:val="single" w:sz="4" w:space="0" w:color="000000"/>
              <w:bottom w:val="single" w:sz="4" w:space="0" w:color="000000"/>
            </w:tcBorders>
          </w:tcPr>
          <w:p>
            <w:pPr>
              <w:pStyle w:val="TableParagraph"/>
              <w:spacing w:before="64"/>
              <w:ind w:left="230"/>
              <w:jc w:val="left"/>
              <w:rPr>
                <w:i/>
                <w:sz w:val="18"/>
              </w:rPr>
            </w:pPr>
            <w:r>
              <w:rPr>
                <w:i/>
                <w:sz w:val="18"/>
              </w:rPr>
              <w:t>Performance</w:t>
            </w:r>
            <w:r>
              <w:rPr>
                <w:i/>
                <w:spacing w:val="-5"/>
                <w:sz w:val="18"/>
              </w:rPr>
              <w:t> </w:t>
            </w:r>
            <w:r>
              <w:rPr>
                <w:i/>
                <w:spacing w:val="-2"/>
                <w:sz w:val="18"/>
              </w:rPr>
              <w:t>indicators</w:t>
            </w:r>
          </w:p>
        </w:tc>
        <w:tc>
          <w:tcPr>
            <w:tcW w:w="2722" w:type="dxa"/>
            <w:tcBorders>
              <w:top w:val="single" w:sz="4" w:space="0" w:color="000000"/>
              <w:bottom w:val="single" w:sz="4" w:space="0" w:color="000000"/>
            </w:tcBorders>
          </w:tcPr>
          <w:p>
            <w:pPr>
              <w:pStyle w:val="TableParagraph"/>
              <w:spacing w:before="64"/>
              <w:ind w:left="868"/>
              <w:jc w:val="left"/>
              <w:rPr>
                <w:i/>
                <w:sz w:val="18"/>
              </w:rPr>
            </w:pPr>
            <w:r>
              <w:rPr>
                <w:i/>
                <w:sz w:val="18"/>
              </w:rPr>
              <w:t>Target</w:t>
            </w:r>
            <w:r>
              <w:rPr>
                <w:i/>
                <w:spacing w:val="-2"/>
                <w:sz w:val="18"/>
              </w:rPr>
              <w:t> </w:t>
            </w:r>
            <w:r>
              <w:rPr>
                <w:i/>
                <w:spacing w:val="-4"/>
                <w:sz w:val="18"/>
              </w:rPr>
              <w:t>2023</w:t>
            </w:r>
          </w:p>
        </w:tc>
      </w:tr>
      <w:tr>
        <w:trPr>
          <w:trHeight w:val="3144" w:hRule="atLeast"/>
        </w:trPr>
        <w:tc>
          <w:tcPr>
            <w:tcW w:w="1555" w:type="dxa"/>
            <w:tcBorders>
              <w:top w:val="single" w:sz="4" w:space="0" w:color="000000"/>
              <w:bottom w:val="single" w:sz="4" w:space="0" w:color="000000"/>
            </w:tcBorders>
          </w:tcPr>
          <w:p>
            <w:pPr>
              <w:pStyle w:val="TableParagraph"/>
              <w:jc w:val="left"/>
              <w:rPr>
                <w:sz w:val="18"/>
              </w:rPr>
            </w:pPr>
          </w:p>
        </w:tc>
        <w:tc>
          <w:tcPr>
            <w:tcW w:w="2944" w:type="dxa"/>
            <w:tcBorders>
              <w:top w:val="single" w:sz="4" w:space="0" w:color="000000"/>
              <w:bottom w:val="single" w:sz="4" w:space="0" w:color="000000"/>
            </w:tcBorders>
          </w:tcPr>
          <w:p>
            <w:pPr>
              <w:pStyle w:val="TableParagraph"/>
              <w:numPr>
                <w:ilvl w:val="0"/>
                <w:numId w:val="79"/>
              </w:numPr>
              <w:tabs>
                <w:tab w:pos="673" w:val="left" w:leader="none"/>
                <w:tab w:pos="674" w:val="left" w:leader="none"/>
              </w:tabs>
              <w:spacing w:line="240" w:lineRule="auto" w:before="0" w:after="0"/>
              <w:ind w:left="673" w:right="228" w:hanging="360"/>
              <w:jc w:val="left"/>
              <w:rPr>
                <w:sz w:val="18"/>
              </w:rPr>
            </w:pPr>
            <w:r>
              <w:rPr>
                <w:sz w:val="18"/>
              </w:rPr>
              <w:t>Optimize</w:t>
            </w:r>
            <w:r>
              <w:rPr>
                <w:spacing w:val="-12"/>
                <w:sz w:val="18"/>
              </w:rPr>
              <w:t> </w:t>
            </w:r>
            <w:r>
              <w:rPr>
                <w:sz w:val="18"/>
              </w:rPr>
              <w:t>implementation</w:t>
            </w:r>
            <w:r>
              <w:rPr>
                <w:spacing w:val="-11"/>
                <w:sz w:val="18"/>
              </w:rPr>
              <w:t> </w:t>
            </w:r>
            <w:r>
              <w:rPr>
                <w:sz w:val="18"/>
              </w:rPr>
              <w:t>of recruitment plans in coordination with hiring units</w:t>
            </w:r>
            <w:r>
              <w:rPr>
                <w:spacing w:val="-7"/>
                <w:sz w:val="18"/>
              </w:rPr>
              <w:t> </w:t>
            </w:r>
            <w:r>
              <w:rPr>
                <w:sz w:val="18"/>
              </w:rPr>
              <w:t>and</w:t>
            </w:r>
            <w:r>
              <w:rPr>
                <w:spacing w:val="-3"/>
                <w:sz w:val="18"/>
              </w:rPr>
              <w:t> </w:t>
            </w:r>
            <w:r>
              <w:rPr>
                <w:sz w:val="18"/>
              </w:rPr>
              <w:t>Human</w:t>
            </w:r>
            <w:r>
              <w:rPr>
                <w:spacing w:val="-3"/>
                <w:sz w:val="18"/>
              </w:rPr>
              <w:t> </w:t>
            </w:r>
            <w:r>
              <w:rPr>
                <w:sz w:val="18"/>
              </w:rPr>
              <w:t>Resources Section/Registry</w:t>
            </w:r>
            <w:r>
              <w:rPr>
                <w:spacing w:val="-6"/>
                <w:sz w:val="18"/>
              </w:rPr>
              <w:t> </w:t>
            </w:r>
            <w:r>
              <w:rPr>
                <w:sz w:val="18"/>
              </w:rPr>
              <w:t>and</w:t>
            </w:r>
            <w:r>
              <w:rPr>
                <w:spacing w:val="-2"/>
                <w:sz w:val="18"/>
              </w:rPr>
              <w:t> </w:t>
            </w:r>
            <w:r>
              <w:rPr>
                <w:sz w:val="18"/>
              </w:rPr>
              <w:t>within approved</w:t>
            </w:r>
            <w:r>
              <w:rPr>
                <w:spacing w:val="-10"/>
                <w:sz w:val="18"/>
              </w:rPr>
              <w:t> </w:t>
            </w:r>
            <w:r>
              <w:rPr>
                <w:sz w:val="18"/>
              </w:rPr>
              <w:t>funds</w:t>
            </w:r>
          </w:p>
        </w:tc>
        <w:tc>
          <w:tcPr>
            <w:tcW w:w="2479" w:type="dxa"/>
            <w:tcBorders>
              <w:top w:val="single" w:sz="4" w:space="0" w:color="000000"/>
              <w:bottom w:val="single" w:sz="4" w:space="0" w:color="000000"/>
            </w:tcBorders>
          </w:tcPr>
          <w:p>
            <w:pPr>
              <w:pStyle w:val="TableParagraph"/>
              <w:jc w:val="left"/>
              <w:rPr>
                <w:sz w:val="18"/>
              </w:rPr>
            </w:pPr>
          </w:p>
        </w:tc>
        <w:tc>
          <w:tcPr>
            <w:tcW w:w="2722" w:type="dxa"/>
            <w:tcBorders>
              <w:top w:val="single" w:sz="4" w:space="0" w:color="000000"/>
              <w:bottom w:val="single" w:sz="4" w:space="0" w:color="000000"/>
            </w:tcBorders>
          </w:tcPr>
          <w:p>
            <w:pPr>
              <w:pStyle w:val="TableParagraph"/>
              <w:numPr>
                <w:ilvl w:val="0"/>
                <w:numId w:val="80"/>
              </w:numPr>
              <w:tabs>
                <w:tab w:pos="647" w:val="left" w:leader="none"/>
                <w:tab w:pos="648" w:val="left" w:leader="none"/>
              </w:tabs>
              <w:spacing w:line="240" w:lineRule="auto" w:before="0" w:after="0"/>
              <w:ind w:left="647" w:right="175" w:hanging="360"/>
              <w:jc w:val="left"/>
              <w:rPr>
                <w:sz w:val="18"/>
              </w:rPr>
            </w:pPr>
            <w:r>
              <w:rPr>
                <w:sz w:val="18"/>
              </w:rPr>
              <w:t>Full compliance with Financial</w:t>
            </w:r>
            <w:r>
              <w:rPr>
                <w:spacing w:val="-10"/>
                <w:sz w:val="18"/>
              </w:rPr>
              <w:t> </w:t>
            </w:r>
            <w:r>
              <w:rPr>
                <w:sz w:val="18"/>
              </w:rPr>
              <w:t>Regulations</w:t>
            </w:r>
            <w:r>
              <w:rPr>
                <w:spacing w:val="-11"/>
                <w:sz w:val="18"/>
              </w:rPr>
              <w:t> </w:t>
            </w:r>
            <w:r>
              <w:rPr>
                <w:sz w:val="18"/>
              </w:rPr>
              <w:t>and Rules (FR&amp;R) and financially sound implementation of funds (approved</w:t>
            </w:r>
            <w:r>
              <w:rPr>
                <w:spacing w:val="-12"/>
                <w:sz w:val="18"/>
              </w:rPr>
              <w:t> </w:t>
            </w:r>
            <w:r>
              <w:rPr>
                <w:sz w:val="18"/>
              </w:rPr>
              <w:t>budget</w:t>
            </w:r>
            <w:r>
              <w:rPr>
                <w:spacing w:val="-11"/>
                <w:sz w:val="18"/>
              </w:rPr>
              <w:t> </w:t>
            </w:r>
            <w:r>
              <w:rPr>
                <w:sz w:val="18"/>
              </w:rPr>
              <w:t>and</w:t>
            </w:r>
            <w:r>
              <w:rPr>
                <w:spacing w:val="-11"/>
                <w:sz w:val="18"/>
              </w:rPr>
              <w:t> </w:t>
            </w:r>
            <w:r>
              <w:rPr>
                <w:sz w:val="18"/>
              </w:rPr>
              <w:t>CF)</w:t>
            </w:r>
            <w:r>
              <w:rPr>
                <w:sz w:val="18"/>
              </w:rPr>
              <w:t> within agreed target rates</w:t>
            </w:r>
          </w:p>
          <w:p>
            <w:pPr>
              <w:pStyle w:val="TableParagraph"/>
              <w:numPr>
                <w:ilvl w:val="0"/>
                <w:numId w:val="80"/>
              </w:numPr>
              <w:tabs>
                <w:tab w:pos="647" w:val="left" w:leader="none"/>
                <w:tab w:pos="648" w:val="left" w:leader="none"/>
              </w:tabs>
              <w:spacing w:line="240" w:lineRule="auto" w:before="0" w:after="0"/>
              <w:ind w:left="647" w:right="147" w:hanging="360"/>
              <w:jc w:val="left"/>
              <w:rPr>
                <w:sz w:val="18"/>
              </w:rPr>
            </w:pPr>
            <w:r>
              <w:rPr>
                <w:sz w:val="18"/>
              </w:rPr>
              <w:t>Full</w:t>
            </w:r>
            <w:r>
              <w:rPr>
                <w:spacing w:val="-12"/>
                <w:sz w:val="18"/>
              </w:rPr>
              <w:t> </w:t>
            </w:r>
            <w:r>
              <w:rPr>
                <w:sz w:val="18"/>
              </w:rPr>
              <w:t>compliance</w:t>
            </w:r>
            <w:r>
              <w:rPr>
                <w:spacing w:val="-11"/>
                <w:sz w:val="18"/>
              </w:rPr>
              <w:t> </w:t>
            </w:r>
            <w:r>
              <w:rPr>
                <w:sz w:val="18"/>
              </w:rPr>
              <w:t>with</w:t>
            </w:r>
            <w:r>
              <w:rPr>
                <w:spacing w:val="-11"/>
                <w:sz w:val="18"/>
              </w:rPr>
              <w:t> </w:t>
            </w:r>
            <w:r>
              <w:rPr>
                <w:sz w:val="18"/>
              </w:rPr>
              <w:t>Staff Regulations and Rules (SR&amp;R) and financially sound implementation of approved funds for Staff </w:t>
            </w:r>
            <w:r>
              <w:rPr>
                <w:spacing w:val="-2"/>
                <w:sz w:val="18"/>
              </w:rPr>
              <w:t>Costs</w:t>
            </w:r>
          </w:p>
          <w:p>
            <w:pPr>
              <w:pStyle w:val="TableParagraph"/>
              <w:numPr>
                <w:ilvl w:val="0"/>
                <w:numId w:val="80"/>
              </w:numPr>
              <w:tabs>
                <w:tab w:pos="647" w:val="left" w:leader="none"/>
                <w:tab w:pos="648" w:val="left" w:leader="none"/>
              </w:tabs>
              <w:spacing w:line="206" w:lineRule="exact" w:before="0" w:after="0"/>
              <w:ind w:left="647" w:right="549" w:hanging="360"/>
              <w:jc w:val="left"/>
              <w:rPr>
                <w:sz w:val="18"/>
              </w:rPr>
            </w:pPr>
            <w:r>
              <w:rPr>
                <w:sz w:val="18"/>
              </w:rPr>
              <w:t>Recruitment</w:t>
            </w:r>
            <w:r>
              <w:rPr>
                <w:spacing w:val="-12"/>
                <w:sz w:val="18"/>
              </w:rPr>
              <w:t> </w:t>
            </w:r>
            <w:r>
              <w:rPr>
                <w:sz w:val="18"/>
              </w:rPr>
              <w:t>lag</w:t>
            </w:r>
            <w:r>
              <w:rPr>
                <w:spacing w:val="-11"/>
                <w:sz w:val="18"/>
              </w:rPr>
              <w:t> </w:t>
            </w:r>
            <w:r>
              <w:rPr>
                <w:sz w:val="18"/>
              </w:rPr>
              <w:t>time </w:t>
            </w:r>
            <w:r>
              <w:rPr>
                <w:spacing w:val="-2"/>
                <w:sz w:val="18"/>
              </w:rPr>
              <w:t>reduced</w:t>
            </w:r>
          </w:p>
        </w:tc>
      </w:tr>
      <w:tr>
        <w:trPr>
          <w:trHeight w:val="532" w:hRule="atLeast"/>
        </w:trPr>
        <w:tc>
          <w:tcPr>
            <w:tcW w:w="1555" w:type="dxa"/>
            <w:tcBorders>
              <w:top w:val="single" w:sz="4" w:space="0" w:color="000000"/>
              <w:bottom w:val="single" w:sz="4" w:space="0" w:color="000000"/>
            </w:tcBorders>
          </w:tcPr>
          <w:p>
            <w:pPr>
              <w:pStyle w:val="TableParagraph"/>
              <w:spacing w:before="54"/>
              <w:ind w:left="28" w:right="262"/>
              <w:jc w:val="left"/>
              <w:rPr>
                <w:b/>
                <w:sz w:val="18"/>
              </w:rPr>
            </w:pPr>
            <w:r>
              <w:rPr>
                <w:b/>
                <w:spacing w:val="-2"/>
                <w:sz w:val="18"/>
              </w:rPr>
              <w:t>Court-wide </w:t>
            </w:r>
            <w:r>
              <w:rPr>
                <w:b/>
                <w:sz w:val="18"/>
              </w:rPr>
              <w:t>Goals</w:t>
            </w:r>
            <w:r>
              <w:rPr>
                <w:b/>
                <w:spacing w:val="-11"/>
                <w:sz w:val="18"/>
              </w:rPr>
              <w:t> </w:t>
            </w:r>
            <w:r>
              <w:rPr>
                <w:b/>
                <w:sz w:val="18"/>
              </w:rPr>
              <w:t>7</w:t>
            </w:r>
            <w:r>
              <w:rPr>
                <w:b/>
                <w:spacing w:val="-11"/>
                <w:sz w:val="18"/>
              </w:rPr>
              <w:t> </w:t>
            </w:r>
            <w:r>
              <w:rPr>
                <w:b/>
                <w:sz w:val="18"/>
              </w:rPr>
              <w:t>and</w:t>
            </w:r>
            <w:r>
              <w:rPr>
                <w:b/>
                <w:spacing w:val="-12"/>
                <w:sz w:val="18"/>
              </w:rPr>
              <w:t> </w:t>
            </w:r>
            <w:r>
              <w:rPr>
                <w:b/>
                <w:sz w:val="18"/>
              </w:rPr>
              <w:t>8</w:t>
            </w:r>
          </w:p>
        </w:tc>
        <w:tc>
          <w:tcPr>
            <w:tcW w:w="2944" w:type="dxa"/>
            <w:tcBorders>
              <w:top w:val="single" w:sz="4" w:space="0" w:color="000000"/>
              <w:bottom w:val="single" w:sz="4" w:space="0" w:color="000000"/>
            </w:tcBorders>
          </w:tcPr>
          <w:p>
            <w:pPr>
              <w:pStyle w:val="TableParagraph"/>
              <w:jc w:val="left"/>
              <w:rPr>
                <w:sz w:val="18"/>
              </w:rPr>
            </w:pPr>
          </w:p>
        </w:tc>
        <w:tc>
          <w:tcPr>
            <w:tcW w:w="2479" w:type="dxa"/>
            <w:tcBorders>
              <w:top w:val="single" w:sz="4" w:space="0" w:color="000000"/>
              <w:bottom w:val="single" w:sz="4" w:space="0" w:color="000000"/>
            </w:tcBorders>
          </w:tcPr>
          <w:p>
            <w:pPr>
              <w:pStyle w:val="TableParagraph"/>
              <w:jc w:val="left"/>
              <w:rPr>
                <w:sz w:val="18"/>
              </w:rPr>
            </w:pPr>
          </w:p>
        </w:tc>
        <w:tc>
          <w:tcPr>
            <w:tcW w:w="2722" w:type="dxa"/>
            <w:tcBorders>
              <w:top w:val="single" w:sz="4" w:space="0" w:color="000000"/>
              <w:bottom w:val="single" w:sz="4" w:space="0" w:color="000000"/>
            </w:tcBorders>
          </w:tcPr>
          <w:p>
            <w:pPr>
              <w:pStyle w:val="TableParagraph"/>
              <w:jc w:val="left"/>
              <w:rPr>
                <w:sz w:val="18"/>
              </w:rPr>
            </w:pPr>
          </w:p>
        </w:tc>
      </w:tr>
      <w:tr>
        <w:trPr>
          <w:trHeight w:val="7326" w:hRule="atLeast"/>
        </w:trPr>
        <w:tc>
          <w:tcPr>
            <w:tcW w:w="1555" w:type="dxa"/>
            <w:tcBorders>
              <w:top w:val="single" w:sz="4" w:space="0" w:color="000000"/>
              <w:bottom w:val="single" w:sz="4" w:space="0" w:color="000000"/>
            </w:tcBorders>
          </w:tcPr>
          <w:p>
            <w:pPr>
              <w:pStyle w:val="TableParagraph"/>
              <w:spacing w:before="59"/>
              <w:ind w:left="28" w:right="262"/>
              <w:jc w:val="left"/>
              <w:rPr>
                <w:sz w:val="18"/>
              </w:rPr>
            </w:pPr>
            <w:r>
              <w:rPr>
                <w:b/>
                <w:sz w:val="18"/>
              </w:rPr>
              <w:t>OTP</w:t>
            </w:r>
            <w:r>
              <w:rPr>
                <w:b/>
                <w:spacing w:val="-4"/>
                <w:sz w:val="18"/>
              </w:rPr>
              <w:t> </w:t>
            </w:r>
            <w:r>
              <w:rPr>
                <w:b/>
                <w:sz w:val="18"/>
              </w:rPr>
              <w:t>Strategic Goal</w:t>
            </w:r>
            <w:r>
              <w:rPr>
                <w:b/>
                <w:spacing w:val="-12"/>
                <w:sz w:val="18"/>
              </w:rPr>
              <w:t> </w:t>
            </w:r>
            <w:r>
              <w:rPr>
                <w:b/>
                <w:sz w:val="18"/>
              </w:rPr>
              <w:t>8</w:t>
            </w:r>
            <w:r>
              <w:rPr>
                <w:sz w:val="18"/>
              </w:rPr>
              <w:t>:</w:t>
            </w:r>
            <w:r>
              <w:rPr>
                <w:spacing w:val="-11"/>
                <w:sz w:val="18"/>
              </w:rPr>
              <w:t> </w:t>
            </w:r>
            <w:r>
              <w:rPr>
                <w:sz w:val="18"/>
              </w:rPr>
              <w:t>Improve the working environment of the Office and ensure a </w:t>
            </w:r>
            <w:r>
              <w:rPr>
                <w:spacing w:val="-2"/>
                <w:sz w:val="18"/>
              </w:rPr>
              <w:t>respectful </w:t>
            </w:r>
            <w:r>
              <w:rPr>
                <w:sz w:val="18"/>
              </w:rPr>
              <w:t>working culture</w:t>
            </w:r>
          </w:p>
        </w:tc>
        <w:tc>
          <w:tcPr>
            <w:tcW w:w="2944" w:type="dxa"/>
            <w:tcBorders>
              <w:top w:val="single" w:sz="4" w:space="0" w:color="000000"/>
              <w:bottom w:val="single" w:sz="4" w:space="0" w:color="000000"/>
            </w:tcBorders>
          </w:tcPr>
          <w:p>
            <w:pPr>
              <w:pStyle w:val="TableParagraph"/>
              <w:numPr>
                <w:ilvl w:val="0"/>
                <w:numId w:val="81"/>
              </w:numPr>
              <w:tabs>
                <w:tab w:pos="673" w:val="left" w:leader="none"/>
                <w:tab w:pos="674" w:val="left" w:leader="none"/>
              </w:tabs>
              <w:spacing w:line="240" w:lineRule="auto" w:before="0" w:after="0"/>
              <w:ind w:left="673" w:right="437" w:hanging="360"/>
              <w:jc w:val="left"/>
              <w:rPr>
                <w:sz w:val="18"/>
              </w:rPr>
            </w:pPr>
            <w:r>
              <w:rPr>
                <w:sz w:val="18"/>
              </w:rPr>
              <w:t>Improve</w:t>
            </w:r>
            <w:r>
              <w:rPr>
                <w:spacing w:val="-12"/>
                <w:sz w:val="18"/>
              </w:rPr>
              <w:t> </w:t>
            </w:r>
            <w:r>
              <w:rPr>
                <w:sz w:val="18"/>
              </w:rPr>
              <w:t>working</w:t>
            </w:r>
            <w:r>
              <w:rPr>
                <w:spacing w:val="-11"/>
                <w:sz w:val="18"/>
              </w:rPr>
              <w:t> </w:t>
            </w:r>
            <w:r>
              <w:rPr>
                <w:sz w:val="18"/>
              </w:rPr>
              <w:t>climate </w:t>
            </w:r>
            <w:r>
              <w:rPr>
                <w:spacing w:val="-2"/>
                <w:sz w:val="18"/>
              </w:rPr>
              <w:t>indicators</w:t>
            </w:r>
          </w:p>
          <w:p>
            <w:pPr>
              <w:pStyle w:val="TableParagraph"/>
              <w:numPr>
                <w:ilvl w:val="0"/>
                <w:numId w:val="81"/>
              </w:numPr>
              <w:tabs>
                <w:tab w:pos="673" w:val="left" w:leader="none"/>
                <w:tab w:pos="674" w:val="left" w:leader="none"/>
              </w:tabs>
              <w:spacing w:line="220" w:lineRule="exact" w:before="0" w:after="0"/>
              <w:ind w:left="673" w:right="0" w:hanging="361"/>
              <w:jc w:val="left"/>
              <w:rPr>
                <w:sz w:val="18"/>
              </w:rPr>
            </w:pPr>
            <w:r>
              <w:rPr>
                <w:sz w:val="18"/>
              </w:rPr>
              <w:t>Improve</w:t>
            </w:r>
            <w:r>
              <w:rPr>
                <w:spacing w:val="-6"/>
                <w:sz w:val="18"/>
              </w:rPr>
              <w:t> </w:t>
            </w:r>
            <w:r>
              <w:rPr>
                <w:sz w:val="18"/>
              </w:rPr>
              <w:t>well-</w:t>
            </w:r>
            <w:r>
              <w:rPr>
                <w:spacing w:val="-2"/>
                <w:sz w:val="18"/>
              </w:rPr>
              <w:t>being</w:t>
            </w:r>
          </w:p>
          <w:p>
            <w:pPr>
              <w:pStyle w:val="TableParagraph"/>
              <w:numPr>
                <w:ilvl w:val="0"/>
                <w:numId w:val="81"/>
              </w:numPr>
              <w:tabs>
                <w:tab w:pos="673" w:val="left" w:leader="none"/>
                <w:tab w:pos="674" w:val="left" w:leader="none"/>
              </w:tabs>
              <w:spacing w:line="240" w:lineRule="auto" w:before="0" w:after="0"/>
              <w:ind w:left="673" w:right="798" w:hanging="360"/>
              <w:jc w:val="left"/>
              <w:rPr>
                <w:sz w:val="18"/>
              </w:rPr>
            </w:pPr>
            <w:r>
              <w:rPr>
                <w:spacing w:val="-2"/>
                <w:sz w:val="18"/>
              </w:rPr>
              <w:t>Improve gender/geographical diversity</w:t>
            </w:r>
          </w:p>
        </w:tc>
        <w:tc>
          <w:tcPr>
            <w:tcW w:w="2479" w:type="dxa"/>
            <w:tcBorders>
              <w:top w:val="single" w:sz="4" w:space="0" w:color="000000"/>
              <w:bottom w:val="single" w:sz="4" w:space="0" w:color="000000"/>
            </w:tcBorders>
          </w:tcPr>
          <w:p>
            <w:pPr>
              <w:pStyle w:val="TableParagraph"/>
              <w:numPr>
                <w:ilvl w:val="0"/>
                <w:numId w:val="82"/>
              </w:numPr>
              <w:tabs>
                <w:tab w:pos="634" w:val="left" w:leader="none"/>
                <w:tab w:pos="635" w:val="left" w:leader="none"/>
              </w:tabs>
              <w:spacing w:line="240" w:lineRule="auto" w:before="0" w:after="0"/>
              <w:ind w:left="634" w:right="284" w:hanging="360"/>
              <w:jc w:val="left"/>
              <w:rPr>
                <w:sz w:val="18"/>
              </w:rPr>
            </w:pPr>
            <w:r>
              <w:rPr>
                <w:sz w:val="18"/>
              </w:rPr>
              <w:t>Percentage of staff who responded positively in the “Ethics/Standards of Conduct – Personal Experience”</w:t>
            </w:r>
            <w:r>
              <w:rPr>
                <w:spacing w:val="-12"/>
                <w:sz w:val="18"/>
              </w:rPr>
              <w:t> </w:t>
            </w:r>
            <w:r>
              <w:rPr>
                <w:sz w:val="18"/>
              </w:rPr>
              <w:t>category of staff survey (baseline: previous </w:t>
            </w:r>
            <w:r>
              <w:rPr>
                <w:spacing w:val="-2"/>
                <w:sz w:val="18"/>
              </w:rPr>
              <w:t>survey)</w:t>
            </w:r>
          </w:p>
          <w:p>
            <w:pPr>
              <w:pStyle w:val="TableParagraph"/>
              <w:numPr>
                <w:ilvl w:val="0"/>
                <w:numId w:val="82"/>
              </w:numPr>
              <w:tabs>
                <w:tab w:pos="634" w:val="left" w:leader="none"/>
                <w:tab w:pos="635" w:val="left" w:leader="none"/>
              </w:tabs>
              <w:spacing w:line="240" w:lineRule="auto" w:before="0" w:after="0"/>
              <w:ind w:left="634" w:right="370" w:hanging="360"/>
              <w:jc w:val="left"/>
              <w:rPr>
                <w:sz w:val="18"/>
              </w:rPr>
            </w:pPr>
            <w:r>
              <w:rPr>
                <w:sz w:val="18"/>
              </w:rPr>
              <w:t>Number of action plans</w:t>
            </w:r>
            <w:r>
              <w:rPr>
                <w:spacing w:val="-12"/>
                <w:sz w:val="18"/>
              </w:rPr>
              <w:t> </w:t>
            </w:r>
            <w:r>
              <w:rPr>
                <w:sz w:val="18"/>
              </w:rPr>
              <w:t>developed</w:t>
            </w:r>
            <w:r>
              <w:rPr>
                <w:spacing w:val="-11"/>
                <w:sz w:val="18"/>
              </w:rPr>
              <w:t> </w:t>
            </w:r>
            <w:r>
              <w:rPr>
                <w:sz w:val="18"/>
              </w:rPr>
              <w:t>and</w:t>
            </w:r>
            <w:r>
              <w:rPr>
                <w:sz w:val="18"/>
              </w:rPr>
              <w:t> </w:t>
            </w:r>
            <w:r>
              <w:rPr>
                <w:spacing w:val="-2"/>
                <w:sz w:val="18"/>
              </w:rPr>
              <w:t>implemented </w:t>
            </w:r>
            <w:r>
              <w:rPr>
                <w:sz w:val="18"/>
              </w:rPr>
              <w:t>(baseline to be </w:t>
            </w:r>
            <w:r>
              <w:rPr>
                <w:spacing w:val="-2"/>
                <w:sz w:val="18"/>
              </w:rPr>
              <w:t>created)</w:t>
            </w:r>
          </w:p>
          <w:p>
            <w:pPr>
              <w:pStyle w:val="TableParagraph"/>
              <w:numPr>
                <w:ilvl w:val="0"/>
                <w:numId w:val="82"/>
              </w:numPr>
              <w:tabs>
                <w:tab w:pos="634" w:val="left" w:leader="none"/>
                <w:tab w:pos="635" w:val="left" w:leader="none"/>
              </w:tabs>
              <w:spacing w:line="240" w:lineRule="auto" w:before="0" w:after="0"/>
              <w:ind w:left="634" w:right="457" w:hanging="360"/>
              <w:jc w:val="left"/>
              <w:rPr>
                <w:sz w:val="18"/>
              </w:rPr>
            </w:pPr>
            <w:r>
              <w:rPr>
                <w:spacing w:val="-2"/>
                <w:sz w:val="18"/>
              </w:rPr>
              <w:t>Geographical </w:t>
            </w:r>
            <w:r>
              <w:rPr>
                <w:sz w:val="18"/>
              </w:rPr>
              <w:t>Representation</w:t>
            </w:r>
            <w:r>
              <w:rPr>
                <w:spacing w:val="-12"/>
                <w:sz w:val="18"/>
              </w:rPr>
              <w:t> </w:t>
            </w:r>
            <w:r>
              <w:rPr>
                <w:sz w:val="18"/>
              </w:rPr>
              <w:t>and</w:t>
            </w:r>
            <w:r>
              <w:rPr>
                <w:sz w:val="18"/>
              </w:rPr>
              <w:t> Gender Balance (GRGB)</w:t>
            </w:r>
            <w:r>
              <w:rPr>
                <w:spacing w:val="-12"/>
                <w:sz w:val="18"/>
              </w:rPr>
              <w:t> </w:t>
            </w:r>
            <w:r>
              <w:rPr>
                <w:sz w:val="18"/>
              </w:rPr>
              <w:t>indicators (baseline:</w:t>
            </w:r>
            <w:r>
              <w:rPr>
                <w:spacing w:val="-12"/>
                <w:sz w:val="18"/>
              </w:rPr>
              <w:t> </w:t>
            </w:r>
            <w:r>
              <w:rPr>
                <w:sz w:val="18"/>
              </w:rPr>
              <w:t>previous year’s</w:t>
            </w:r>
            <w:r>
              <w:rPr>
                <w:spacing w:val="-8"/>
                <w:sz w:val="18"/>
              </w:rPr>
              <w:t> </w:t>
            </w:r>
            <w:r>
              <w:rPr>
                <w:sz w:val="18"/>
              </w:rPr>
              <w:t>ratios)</w:t>
            </w:r>
          </w:p>
          <w:p>
            <w:pPr>
              <w:pStyle w:val="TableParagraph"/>
              <w:numPr>
                <w:ilvl w:val="0"/>
                <w:numId w:val="82"/>
              </w:numPr>
              <w:tabs>
                <w:tab w:pos="634" w:val="left" w:leader="none"/>
                <w:tab w:pos="635" w:val="left" w:leader="none"/>
              </w:tabs>
              <w:spacing w:line="240" w:lineRule="auto" w:before="0" w:after="0"/>
              <w:ind w:left="634" w:right="288" w:hanging="360"/>
              <w:jc w:val="left"/>
              <w:rPr>
                <w:sz w:val="18"/>
              </w:rPr>
            </w:pPr>
            <w:r>
              <w:rPr>
                <w:sz w:val="18"/>
              </w:rPr>
              <w:t>Percentage of </w:t>
            </w:r>
            <w:r>
              <w:rPr>
                <w:spacing w:val="-2"/>
                <w:sz w:val="18"/>
              </w:rPr>
              <w:t>Electronic Performance </w:t>
            </w:r>
            <w:r>
              <w:rPr>
                <w:sz w:val="18"/>
              </w:rPr>
              <w:t>Appraisal System (ePAS)</w:t>
            </w:r>
            <w:r>
              <w:rPr>
                <w:spacing w:val="-12"/>
                <w:sz w:val="18"/>
              </w:rPr>
              <w:t> </w:t>
            </w:r>
            <w:r>
              <w:rPr>
                <w:sz w:val="18"/>
              </w:rPr>
              <w:t>completed</w:t>
            </w:r>
            <w:r>
              <w:rPr>
                <w:spacing w:val="-11"/>
                <w:sz w:val="18"/>
              </w:rPr>
              <w:t> </w:t>
            </w:r>
            <w:r>
              <w:rPr>
                <w:sz w:val="18"/>
              </w:rPr>
              <w:t>on</w:t>
            </w:r>
            <w:r>
              <w:rPr>
                <w:sz w:val="18"/>
              </w:rPr>
              <w:t> </w:t>
            </w:r>
            <w:r>
              <w:rPr>
                <w:spacing w:val="-4"/>
                <w:sz w:val="18"/>
              </w:rPr>
              <w:t>time</w:t>
            </w:r>
          </w:p>
          <w:p>
            <w:pPr>
              <w:pStyle w:val="TableParagraph"/>
              <w:numPr>
                <w:ilvl w:val="0"/>
                <w:numId w:val="82"/>
              </w:numPr>
              <w:tabs>
                <w:tab w:pos="634" w:val="left" w:leader="none"/>
                <w:tab w:pos="635" w:val="left" w:leader="none"/>
              </w:tabs>
              <w:spacing w:line="240" w:lineRule="auto" w:before="0" w:after="0"/>
              <w:ind w:left="634" w:right="300" w:hanging="360"/>
              <w:jc w:val="left"/>
              <w:rPr>
                <w:sz w:val="18"/>
              </w:rPr>
            </w:pPr>
            <w:r>
              <w:rPr>
                <w:sz w:val="18"/>
              </w:rPr>
              <w:t>Engagement</w:t>
            </w:r>
            <w:r>
              <w:rPr>
                <w:spacing w:val="-12"/>
                <w:sz w:val="18"/>
              </w:rPr>
              <w:t> </w:t>
            </w:r>
            <w:r>
              <w:rPr>
                <w:sz w:val="18"/>
              </w:rPr>
              <w:t>index</w:t>
            </w:r>
            <w:r>
              <w:rPr>
                <w:spacing w:val="-11"/>
                <w:sz w:val="18"/>
              </w:rPr>
              <w:t> </w:t>
            </w:r>
            <w:r>
              <w:rPr>
                <w:sz w:val="18"/>
              </w:rPr>
              <w:t>of</w:t>
            </w:r>
            <w:r>
              <w:rPr>
                <w:sz w:val="18"/>
              </w:rPr>
              <w:t> OTP Staff Members according to the Court’s Staff Survey</w:t>
            </w:r>
          </w:p>
          <w:p>
            <w:pPr>
              <w:pStyle w:val="TableParagraph"/>
              <w:numPr>
                <w:ilvl w:val="0"/>
                <w:numId w:val="82"/>
              </w:numPr>
              <w:tabs>
                <w:tab w:pos="634" w:val="left" w:leader="none"/>
                <w:tab w:pos="635" w:val="left" w:leader="none"/>
              </w:tabs>
              <w:spacing w:line="240" w:lineRule="auto" w:before="0" w:after="0"/>
              <w:ind w:left="634" w:right="333" w:hanging="360"/>
              <w:jc w:val="left"/>
              <w:rPr>
                <w:sz w:val="18"/>
              </w:rPr>
            </w:pPr>
            <w:r>
              <w:rPr>
                <w:sz w:val="18"/>
              </w:rPr>
              <w:t>Increase the percentage</w:t>
            </w:r>
            <w:r>
              <w:rPr>
                <w:spacing w:val="-12"/>
                <w:sz w:val="18"/>
              </w:rPr>
              <w:t> </w:t>
            </w:r>
            <w:r>
              <w:rPr>
                <w:sz w:val="18"/>
              </w:rPr>
              <w:t>of</w:t>
            </w:r>
            <w:r>
              <w:rPr>
                <w:spacing w:val="-11"/>
                <w:sz w:val="18"/>
              </w:rPr>
              <w:t> </w:t>
            </w:r>
            <w:r>
              <w:rPr>
                <w:sz w:val="18"/>
              </w:rPr>
              <w:t>female staff</w:t>
            </w:r>
            <w:r>
              <w:rPr>
                <w:spacing w:val="-4"/>
                <w:sz w:val="18"/>
              </w:rPr>
              <w:t> </w:t>
            </w:r>
            <w:r>
              <w:rPr>
                <w:sz w:val="18"/>
              </w:rPr>
              <w:t>at</w:t>
            </w:r>
            <w:r>
              <w:rPr>
                <w:spacing w:val="-3"/>
                <w:sz w:val="18"/>
              </w:rPr>
              <w:t> </w:t>
            </w:r>
            <w:r>
              <w:rPr>
                <w:sz w:val="18"/>
              </w:rPr>
              <w:t>P-4</w:t>
            </w:r>
            <w:r>
              <w:rPr>
                <w:spacing w:val="-10"/>
                <w:sz w:val="18"/>
              </w:rPr>
              <w:t> </w:t>
            </w:r>
            <w:r>
              <w:rPr>
                <w:sz w:val="18"/>
              </w:rPr>
              <w:t>level</w:t>
            </w:r>
            <w:r>
              <w:rPr>
                <w:spacing w:val="-3"/>
                <w:sz w:val="18"/>
              </w:rPr>
              <w:t> </w:t>
            </w:r>
            <w:r>
              <w:rPr>
                <w:sz w:val="18"/>
              </w:rPr>
              <w:t>and </w:t>
            </w:r>
            <w:r>
              <w:rPr>
                <w:spacing w:val="-2"/>
                <w:sz w:val="18"/>
              </w:rPr>
              <w:t>above</w:t>
            </w:r>
          </w:p>
        </w:tc>
        <w:tc>
          <w:tcPr>
            <w:tcW w:w="2722" w:type="dxa"/>
            <w:tcBorders>
              <w:top w:val="single" w:sz="4" w:space="0" w:color="000000"/>
              <w:bottom w:val="single" w:sz="4" w:space="0" w:color="000000"/>
            </w:tcBorders>
          </w:tcPr>
          <w:p>
            <w:pPr>
              <w:pStyle w:val="TableParagraph"/>
              <w:numPr>
                <w:ilvl w:val="0"/>
                <w:numId w:val="83"/>
              </w:numPr>
              <w:tabs>
                <w:tab w:pos="647" w:val="left" w:leader="none"/>
                <w:tab w:pos="648" w:val="left" w:leader="none"/>
              </w:tabs>
              <w:spacing w:line="240" w:lineRule="auto" w:before="0" w:after="0"/>
              <w:ind w:left="647" w:right="38" w:hanging="360"/>
              <w:jc w:val="left"/>
              <w:rPr>
                <w:sz w:val="18"/>
              </w:rPr>
            </w:pPr>
            <w:r>
              <w:rPr>
                <w:sz w:val="18"/>
              </w:rPr>
              <w:t>Staff</w:t>
            </w:r>
            <w:r>
              <w:rPr>
                <w:spacing w:val="-8"/>
                <w:sz w:val="18"/>
              </w:rPr>
              <w:t> </w:t>
            </w:r>
            <w:r>
              <w:rPr>
                <w:sz w:val="18"/>
              </w:rPr>
              <w:t>survey</w:t>
            </w:r>
            <w:r>
              <w:rPr>
                <w:spacing w:val="-8"/>
                <w:sz w:val="18"/>
              </w:rPr>
              <w:t> </w:t>
            </w:r>
            <w:r>
              <w:rPr>
                <w:sz w:val="18"/>
              </w:rPr>
              <w:t>results</w:t>
            </w:r>
            <w:r>
              <w:rPr>
                <w:spacing w:val="-8"/>
                <w:sz w:val="18"/>
              </w:rPr>
              <w:t> </w:t>
            </w:r>
            <w:r>
              <w:rPr>
                <w:sz w:val="18"/>
              </w:rPr>
              <w:t>show</w:t>
            </w:r>
            <w:r>
              <w:rPr>
                <w:spacing w:val="-11"/>
                <w:sz w:val="18"/>
              </w:rPr>
              <w:t> </w:t>
            </w:r>
            <w:r>
              <w:rPr>
                <w:sz w:val="18"/>
              </w:rPr>
              <w:t>an improvement in at least</w:t>
            </w:r>
            <w:r>
              <w:rPr>
                <w:spacing w:val="40"/>
                <w:sz w:val="18"/>
              </w:rPr>
              <w:t> </w:t>
            </w:r>
            <w:r>
              <w:rPr>
                <w:sz w:val="18"/>
              </w:rPr>
              <w:t>30% of the relevant </w:t>
            </w:r>
            <w:r>
              <w:rPr>
                <w:spacing w:val="-2"/>
                <w:sz w:val="18"/>
              </w:rPr>
              <w:t>indicators</w:t>
            </w:r>
          </w:p>
          <w:p>
            <w:pPr>
              <w:pStyle w:val="TableParagraph"/>
              <w:numPr>
                <w:ilvl w:val="0"/>
                <w:numId w:val="83"/>
              </w:numPr>
              <w:tabs>
                <w:tab w:pos="647" w:val="left" w:leader="none"/>
                <w:tab w:pos="648" w:val="left" w:leader="none"/>
              </w:tabs>
              <w:spacing w:line="240" w:lineRule="auto" w:before="0" w:after="0"/>
              <w:ind w:left="647" w:right="159" w:hanging="360"/>
              <w:jc w:val="left"/>
              <w:rPr>
                <w:sz w:val="18"/>
              </w:rPr>
            </w:pPr>
            <w:r>
              <w:rPr>
                <w:sz w:val="18"/>
              </w:rPr>
              <w:t>Action plans following surveys’</w:t>
            </w:r>
            <w:r>
              <w:rPr>
                <w:spacing w:val="-12"/>
                <w:sz w:val="18"/>
              </w:rPr>
              <w:t> </w:t>
            </w:r>
            <w:r>
              <w:rPr>
                <w:sz w:val="18"/>
              </w:rPr>
              <w:t>results</w:t>
            </w:r>
            <w:r>
              <w:rPr>
                <w:spacing w:val="-11"/>
                <w:sz w:val="18"/>
              </w:rPr>
              <w:t> </w:t>
            </w:r>
            <w:r>
              <w:rPr>
                <w:sz w:val="18"/>
              </w:rPr>
              <w:t>developed and implemented</w:t>
            </w:r>
          </w:p>
          <w:p>
            <w:pPr>
              <w:pStyle w:val="TableParagraph"/>
              <w:numPr>
                <w:ilvl w:val="0"/>
                <w:numId w:val="83"/>
              </w:numPr>
              <w:tabs>
                <w:tab w:pos="647" w:val="left" w:leader="none"/>
                <w:tab w:pos="648" w:val="left" w:leader="none"/>
              </w:tabs>
              <w:spacing w:line="240" w:lineRule="auto" w:before="0" w:after="0"/>
              <w:ind w:left="647" w:right="154" w:hanging="360"/>
              <w:jc w:val="left"/>
              <w:rPr>
                <w:sz w:val="18"/>
              </w:rPr>
            </w:pPr>
            <w:r>
              <w:rPr>
                <w:sz w:val="18"/>
              </w:rPr>
              <w:t>GRGB</w:t>
            </w:r>
            <w:r>
              <w:rPr>
                <w:spacing w:val="-12"/>
                <w:sz w:val="18"/>
              </w:rPr>
              <w:t> </w:t>
            </w:r>
            <w:r>
              <w:rPr>
                <w:sz w:val="18"/>
              </w:rPr>
              <w:t>indicators</w:t>
            </w:r>
            <w:r>
              <w:rPr>
                <w:spacing w:val="-11"/>
                <w:sz w:val="18"/>
              </w:rPr>
              <w:t> </w:t>
            </w:r>
            <w:r>
              <w:rPr>
                <w:sz w:val="18"/>
              </w:rPr>
              <w:t>closer</w:t>
            </w:r>
            <w:r>
              <w:rPr>
                <w:spacing w:val="-11"/>
                <w:sz w:val="18"/>
              </w:rPr>
              <w:t> </w:t>
            </w:r>
            <w:r>
              <w:rPr>
                <w:sz w:val="18"/>
              </w:rPr>
              <w:t>to Court’s target</w:t>
            </w:r>
          </w:p>
          <w:p>
            <w:pPr>
              <w:pStyle w:val="TableParagraph"/>
              <w:numPr>
                <w:ilvl w:val="0"/>
                <w:numId w:val="83"/>
              </w:numPr>
              <w:tabs>
                <w:tab w:pos="647" w:val="left" w:leader="none"/>
                <w:tab w:pos="648" w:val="left" w:leader="none"/>
              </w:tabs>
              <w:spacing w:line="240" w:lineRule="auto" w:before="0" w:after="0"/>
              <w:ind w:left="647" w:right="206" w:hanging="360"/>
              <w:jc w:val="left"/>
              <w:rPr>
                <w:sz w:val="18"/>
              </w:rPr>
            </w:pPr>
            <w:r>
              <w:rPr>
                <w:sz w:val="18"/>
              </w:rPr>
              <w:t>100%</w:t>
            </w:r>
            <w:r>
              <w:rPr>
                <w:spacing w:val="-12"/>
                <w:sz w:val="18"/>
              </w:rPr>
              <w:t> </w:t>
            </w:r>
            <w:r>
              <w:rPr>
                <w:sz w:val="18"/>
              </w:rPr>
              <w:t>of</w:t>
            </w:r>
            <w:r>
              <w:rPr>
                <w:spacing w:val="-11"/>
                <w:sz w:val="18"/>
              </w:rPr>
              <w:t> </w:t>
            </w:r>
            <w:r>
              <w:rPr>
                <w:sz w:val="18"/>
              </w:rPr>
              <w:t>ePAS</w:t>
            </w:r>
            <w:r>
              <w:rPr>
                <w:spacing w:val="-11"/>
                <w:sz w:val="18"/>
              </w:rPr>
              <w:t> </w:t>
            </w:r>
            <w:r>
              <w:rPr>
                <w:sz w:val="18"/>
              </w:rPr>
              <w:t>completed on time</w:t>
            </w:r>
          </w:p>
          <w:p>
            <w:pPr>
              <w:pStyle w:val="TableParagraph"/>
              <w:numPr>
                <w:ilvl w:val="0"/>
                <w:numId w:val="83"/>
              </w:numPr>
              <w:tabs>
                <w:tab w:pos="647" w:val="left" w:leader="none"/>
                <w:tab w:pos="648" w:val="left" w:leader="none"/>
              </w:tabs>
              <w:spacing w:line="240" w:lineRule="auto" w:before="0" w:after="0"/>
              <w:ind w:left="647" w:right="174" w:hanging="360"/>
              <w:jc w:val="left"/>
              <w:rPr>
                <w:sz w:val="18"/>
              </w:rPr>
            </w:pPr>
            <w:r>
              <w:rPr>
                <w:sz w:val="18"/>
              </w:rPr>
              <w:t>Positive evolution of the selected engagement indicators</w:t>
            </w:r>
            <w:r>
              <w:rPr>
                <w:spacing w:val="-12"/>
                <w:sz w:val="18"/>
              </w:rPr>
              <w:t> </w:t>
            </w:r>
            <w:r>
              <w:rPr>
                <w:sz w:val="18"/>
              </w:rPr>
              <w:t>from</w:t>
            </w:r>
            <w:r>
              <w:rPr>
                <w:spacing w:val="-11"/>
                <w:sz w:val="18"/>
              </w:rPr>
              <w:t> </w:t>
            </w:r>
            <w:r>
              <w:rPr>
                <w:sz w:val="18"/>
              </w:rPr>
              <w:t>the</w:t>
            </w:r>
            <w:r>
              <w:rPr>
                <w:spacing w:val="-11"/>
                <w:sz w:val="18"/>
              </w:rPr>
              <w:t> </w:t>
            </w:r>
            <w:r>
              <w:rPr>
                <w:sz w:val="18"/>
              </w:rPr>
              <w:t>survey</w:t>
            </w:r>
          </w:p>
          <w:p>
            <w:pPr>
              <w:pStyle w:val="TableParagraph"/>
              <w:numPr>
                <w:ilvl w:val="0"/>
                <w:numId w:val="83"/>
              </w:numPr>
              <w:tabs>
                <w:tab w:pos="647" w:val="left" w:leader="none"/>
                <w:tab w:pos="648" w:val="left" w:leader="none"/>
              </w:tabs>
              <w:spacing w:line="240" w:lineRule="auto" w:before="0" w:after="0"/>
              <w:ind w:left="647" w:right="190" w:hanging="360"/>
              <w:jc w:val="left"/>
              <w:rPr>
                <w:sz w:val="18"/>
              </w:rPr>
            </w:pPr>
            <w:r>
              <w:rPr>
                <w:sz w:val="18"/>
              </w:rPr>
              <w:t>Increase</w:t>
            </w:r>
            <w:r>
              <w:rPr>
                <w:spacing w:val="-12"/>
                <w:sz w:val="18"/>
              </w:rPr>
              <w:t> </w:t>
            </w:r>
            <w:r>
              <w:rPr>
                <w:sz w:val="18"/>
              </w:rPr>
              <w:t>the</w:t>
            </w:r>
            <w:r>
              <w:rPr>
                <w:spacing w:val="-11"/>
                <w:sz w:val="18"/>
              </w:rPr>
              <w:t> </w:t>
            </w:r>
            <w:r>
              <w:rPr>
                <w:sz w:val="18"/>
              </w:rPr>
              <w:t>percentage</w:t>
            </w:r>
            <w:r>
              <w:rPr>
                <w:spacing w:val="-11"/>
                <w:sz w:val="18"/>
              </w:rPr>
              <w:t> </w:t>
            </w:r>
            <w:r>
              <w:rPr>
                <w:sz w:val="18"/>
              </w:rPr>
              <w:t>of female staff at P-4 level. Target: TBD.</w:t>
            </w:r>
          </w:p>
        </w:tc>
      </w:tr>
    </w:tbl>
    <w:p>
      <w:pPr>
        <w:spacing w:after="0" w:line="240" w:lineRule="auto"/>
        <w:jc w:val="left"/>
        <w:rPr>
          <w:sz w:val="18"/>
        </w:rPr>
        <w:sectPr>
          <w:type w:val="continuous"/>
          <w:pgSz w:w="11910" w:h="16840"/>
          <w:pgMar w:header="953" w:footer="940" w:top="1140" w:bottom="1140" w:left="20" w:right="20"/>
        </w:sectPr>
      </w:pPr>
    </w:p>
    <w:p>
      <w:pPr>
        <w:spacing w:before="122"/>
        <w:ind w:left="1679" w:right="0" w:firstLine="0"/>
        <w:jc w:val="left"/>
        <w:rPr>
          <w:b/>
          <w:sz w:val="28"/>
        </w:rPr>
      </w:pPr>
      <w:r>
        <w:rPr>
          <w:b/>
          <w:sz w:val="28"/>
        </w:rPr>
        <w:t>Annex</w:t>
      </w:r>
      <w:r>
        <w:rPr>
          <w:b/>
          <w:spacing w:val="-5"/>
          <w:sz w:val="28"/>
        </w:rPr>
        <w:t> </w:t>
      </w:r>
      <w:r>
        <w:rPr>
          <w:b/>
          <w:sz w:val="28"/>
        </w:rPr>
        <w:t>IV</w:t>
      </w:r>
      <w:r>
        <w:rPr>
          <w:b/>
          <w:spacing w:val="-4"/>
          <w:sz w:val="28"/>
        </w:rPr>
        <w:t> </w:t>
      </w:r>
      <w:r>
        <w:rPr>
          <w:b/>
          <w:spacing w:val="-5"/>
          <w:sz w:val="28"/>
        </w:rPr>
        <w:t>(c)</w:t>
      </w:r>
    </w:p>
    <w:p>
      <w:pPr>
        <w:spacing w:line="256" w:lineRule="auto" w:before="240"/>
        <w:ind w:left="2246" w:right="2254" w:firstLine="0"/>
        <w:jc w:val="both"/>
        <w:rPr>
          <w:b/>
          <w:sz w:val="28"/>
        </w:rPr>
      </w:pPr>
      <w:bookmarkStart w:name="_bookmark69" w:id="70"/>
      <w:bookmarkEnd w:id="70"/>
      <w:r>
        <w:rPr/>
      </w:r>
      <w:r>
        <w:rPr>
          <w:b/>
          <w:sz w:val="28"/>
        </w:rPr>
        <w:t>Strategic</w:t>
      </w:r>
      <w:r>
        <w:rPr>
          <w:b/>
          <w:spacing w:val="-1"/>
          <w:sz w:val="28"/>
        </w:rPr>
        <w:t> </w:t>
      </w:r>
      <w:r>
        <w:rPr>
          <w:b/>
          <w:sz w:val="28"/>
        </w:rPr>
        <w:t>goals</w:t>
      </w:r>
      <w:r>
        <w:rPr>
          <w:b/>
          <w:spacing w:val="-1"/>
          <w:sz w:val="28"/>
        </w:rPr>
        <w:t> </w:t>
      </w:r>
      <w:r>
        <w:rPr>
          <w:b/>
          <w:sz w:val="28"/>
        </w:rPr>
        <w:t>and</w:t>
      </w:r>
      <w:r>
        <w:rPr>
          <w:b/>
          <w:spacing w:val="-3"/>
          <w:sz w:val="28"/>
        </w:rPr>
        <w:t> </w:t>
      </w:r>
      <w:r>
        <w:rPr>
          <w:b/>
          <w:sz w:val="28"/>
        </w:rPr>
        <w:t>performance</w:t>
      </w:r>
      <w:r>
        <w:rPr>
          <w:b/>
          <w:spacing w:val="-1"/>
          <w:sz w:val="28"/>
        </w:rPr>
        <w:t> </w:t>
      </w:r>
      <w:r>
        <w:rPr>
          <w:b/>
          <w:sz w:val="28"/>
        </w:rPr>
        <w:t>indicators from the</w:t>
      </w:r>
      <w:r>
        <w:rPr>
          <w:b/>
          <w:spacing w:val="-1"/>
          <w:sz w:val="28"/>
        </w:rPr>
        <w:t> </w:t>
      </w:r>
      <w:r>
        <w:rPr>
          <w:b/>
          <w:sz w:val="28"/>
        </w:rPr>
        <w:t>Registry Strategic Plan (2023-2025)</w:t>
      </w:r>
    </w:p>
    <w:p>
      <w:pPr>
        <w:pStyle w:val="Heading2"/>
        <w:spacing w:before="242"/>
        <w:ind w:right="2245" w:firstLine="0"/>
        <w:jc w:val="both"/>
      </w:pPr>
      <w:r>
        <w:rPr/>
        <w:t>Registry Strategic Goal 1: The Registry is more efficient and provides more</w:t>
      </w:r>
      <w:r>
        <w:rPr/>
        <w:t> effective</w:t>
      </w:r>
      <w:r>
        <w:rPr/>
        <w:t> services in all areas, reflecting a culture of continuous </w:t>
      </w:r>
      <w:r>
        <w:rPr>
          <w:spacing w:val="-2"/>
        </w:rPr>
        <w:t>improvement.</w:t>
      </w:r>
    </w:p>
    <w:p>
      <w:pPr>
        <w:pStyle w:val="BodyText"/>
        <w:spacing w:before="10" w:after="1"/>
        <w:rPr>
          <w:b/>
        </w:rPr>
      </w:pPr>
    </w:p>
    <w:tbl>
      <w:tblPr>
        <w:tblW w:w="0" w:type="auto"/>
        <w:jc w:val="left"/>
        <w:tblInd w:w="1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08"/>
        <w:gridCol w:w="2203"/>
        <w:gridCol w:w="3554"/>
        <w:gridCol w:w="1124"/>
        <w:gridCol w:w="1114"/>
      </w:tblGrid>
      <w:tr>
        <w:trPr>
          <w:trHeight w:val="571" w:hRule="atLeast"/>
        </w:trPr>
        <w:tc>
          <w:tcPr>
            <w:tcW w:w="1508" w:type="dxa"/>
            <w:tcBorders>
              <w:top w:val="single" w:sz="4" w:space="0" w:color="000000"/>
              <w:bottom w:val="single" w:sz="4" w:space="0" w:color="000000"/>
            </w:tcBorders>
          </w:tcPr>
          <w:p>
            <w:pPr>
              <w:pStyle w:val="TableParagraph"/>
              <w:spacing w:line="250" w:lineRule="atLeast" w:before="7"/>
              <w:ind w:left="119" w:right="119" w:firstLine="115"/>
              <w:jc w:val="left"/>
              <w:rPr>
                <w:b/>
                <w:i/>
                <w:sz w:val="17"/>
              </w:rPr>
            </w:pPr>
            <w:r>
              <w:rPr>
                <w:b/>
                <w:i/>
                <w:sz w:val="17"/>
              </w:rPr>
              <w:t>Strategic</w:t>
            </w:r>
            <w:r>
              <w:rPr>
                <w:b/>
                <w:i/>
                <w:spacing w:val="-2"/>
                <w:sz w:val="17"/>
              </w:rPr>
              <w:t> </w:t>
            </w:r>
            <w:r>
              <w:rPr>
                <w:b/>
                <w:i/>
                <w:sz w:val="17"/>
              </w:rPr>
              <w:t>goals</w:t>
            </w:r>
            <w:r>
              <w:rPr>
                <w:b/>
                <w:i/>
                <w:sz w:val="17"/>
              </w:rPr>
              <w:t> (Expected</w:t>
            </w:r>
            <w:r>
              <w:rPr>
                <w:b/>
                <w:i/>
                <w:spacing w:val="-11"/>
                <w:sz w:val="17"/>
              </w:rPr>
              <w:t> </w:t>
            </w:r>
            <w:r>
              <w:rPr>
                <w:b/>
                <w:i/>
                <w:sz w:val="17"/>
              </w:rPr>
              <w:t>results)</w:t>
            </w:r>
          </w:p>
        </w:tc>
        <w:tc>
          <w:tcPr>
            <w:tcW w:w="2203" w:type="dxa"/>
            <w:tcBorders>
              <w:top w:val="single" w:sz="4" w:space="0" w:color="000000"/>
              <w:bottom w:val="single" w:sz="4" w:space="0" w:color="000000"/>
            </w:tcBorders>
          </w:tcPr>
          <w:p>
            <w:pPr>
              <w:pStyle w:val="TableParagraph"/>
              <w:spacing w:before="2"/>
              <w:jc w:val="left"/>
              <w:rPr>
                <w:b/>
                <w:sz w:val="16"/>
              </w:rPr>
            </w:pPr>
          </w:p>
          <w:p>
            <w:pPr>
              <w:pStyle w:val="TableParagraph"/>
              <w:ind w:left="460"/>
              <w:jc w:val="left"/>
              <w:rPr>
                <w:b/>
                <w:i/>
                <w:sz w:val="17"/>
              </w:rPr>
            </w:pPr>
            <w:r>
              <w:rPr>
                <w:b/>
                <w:i/>
                <w:sz w:val="17"/>
              </w:rPr>
              <w:t>Priority</w:t>
            </w:r>
            <w:r>
              <w:rPr>
                <w:b/>
                <w:i/>
                <w:spacing w:val="-4"/>
                <w:sz w:val="17"/>
              </w:rPr>
              <w:t> </w:t>
            </w:r>
            <w:r>
              <w:rPr>
                <w:b/>
                <w:i/>
                <w:spacing w:val="-2"/>
                <w:sz w:val="17"/>
              </w:rPr>
              <w:t>objectives</w:t>
            </w:r>
          </w:p>
        </w:tc>
        <w:tc>
          <w:tcPr>
            <w:tcW w:w="3554" w:type="dxa"/>
            <w:tcBorders>
              <w:top w:val="single" w:sz="4" w:space="0" w:color="000000"/>
              <w:bottom w:val="single" w:sz="4" w:space="0" w:color="000000"/>
            </w:tcBorders>
          </w:tcPr>
          <w:p>
            <w:pPr>
              <w:pStyle w:val="TableParagraph"/>
              <w:spacing w:before="2"/>
              <w:jc w:val="left"/>
              <w:rPr>
                <w:b/>
                <w:sz w:val="16"/>
              </w:rPr>
            </w:pPr>
          </w:p>
          <w:p>
            <w:pPr>
              <w:pStyle w:val="TableParagraph"/>
              <w:ind w:left="596"/>
              <w:jc w:val="left"/>
              <w:rPr>
                <w:b/>
                <w:i/>
                <w:sz w:val="17"/>
              </w:rPr>
            </w:pPr>
            <w:r>
              <w:rPr>
                <w:b/>
                <w:i/>
                <w:w w:val="95"/>
                <w:sz w:val="17"/>
              </w:rPr>
              <w:t>Key</w:t>
            </w:r>
            <w:r>
              <w:rPr>
                <w:b/>
                <w:i/>
                <w:spacing w:val="25"/>
                <w:sz w:val="17"/>
              </w:rPr>
              <w:t> </w:t>
            </w:r>
            <w:r>
              <w:rPr>
                <w:b/>
                <w:i/>
                <w:w w:val="95"/>
                <w:sz w:val="17"/>
              </w:rPr>
              <w:t>performance</w:t>
            </w:r>
            <w:r>
              <w:rPr>
                <w:b/>
                <w:i/>
                <w:spacing w:val="19"/>
                <w:sz w:val="17"/>
              </w:rPr>
              <w:t> </w:t>
            </w:r>
            <w:r>
              <w:rPr>
                <w:b/>
                <w:i/>
                <w:w w:val="95"/>
                <w:sz w:val="17"/>
              </w:rPr>
              <w:t>indicators</w:t>
            </w:r>
            <w:r>
              <w:rPr>
                <w:b/>
                <w:i/>
                <w:spacing w:val="25"/>
                <w:sz w:val="17"/>
              </w:rPr>
              <w:t> </w:t>
            </w:r>
            <w:r>
              <w:rPr>
                <w:b/>
                <w:i/>
                <w:spacing w:val="-2"/>
                <w:w w:val="95"/>
                <w:sz w:val="17"/>
              </w:rPr>
              <w:t>(KPIs)</w:t>
            </w:r>
          </w:p>
        </w:tc>
        <w:tc>
          <w:tcPr>
            <w:tcW w:w="1124" w:type="dxa"/>
            <w:tcBorders>
              <w:top w:val="single" w:sz="4" w:space="0" w:color="000000"/>
              <w:bottom w:val="single" w:sz="4" w:space="0" w:color="000000"/>
            </w:tcBorders>
          </w:tcPr>
          <w:p>
            <w:pPr>
              <w:pStyle w:val="TableParagraph"/>
              <w:spacing w:line="250" w:lineRule="atLeast" w:before="7"/>
              <w:ind w:left="307" w:hanging="77"/>
              <w:jc w:val="left"/>
              <w:rPr>
                <w:b/>
                <w:i/>
                <w:sz w:val="17"/>
              </w:rPr>
            </w:pPr>
            <w:r>
              <w:rPr>
                <w:b/>
                <w:i/>
                <w:spacing w:val="-2"/>
                <w:w w:val="95"/>
                <w:sz w:val="17"/>
              </w:rPr>
              <w:t>Baseline</w:t>
            </w:r>
            <w:r>
              <w:rPr>
                <w:b/>
                <w:i/>
                <w:spacing w:val="-2"/>
                <w:sz w:val="17"/>
              </w:rPr>
              <w:t> (2021)</w:t>
            </w:r>
          </w:p>
        </w:tc>
        <w:tc>
          <w:tcPr>
            <w:tcW w:w="1114" w:type="dxa"/>
            <w:tcBorders>
              <w:top w:val="single" w:sz="4" w:space="0" w:color="000000"/>
              <w:bottom w:val="single" w:sz="4" w:space="0" w:color="000000"/>
            </w:tcBorders>
          </w:tcPr>
          <w:p>
            <w:pPr>
              <w:pStyle w:val="TableParagraph"/>
              <w:spacing w:line="250" w:lineRule="atLeast" w:before="7"/>
              <w:ind w:left="393" w:hanging="48"/>
              <w:jc w:val="left"/>
              <w:rPr>
                <w:b/>
                <w:i/>
                <w:sz w:val="17"/>
              </w:rPr>
            </w:pPr>
            <w:r>
              <w:rPr>
                <w:b/>
                <w:i/>
                <w:spacing w:val="-2"/>
                <w:w w:val="95"/>
                <w:sz w:val="17"/>
              </w:rPr>
              <w:t>Target*</w:t>
            </w:r>
            <w:r>
              <w:rPr>
                <w:b/>
                <w:i/>
                <w:spacing w:val="-2"/>
                <w:sz w:val="17"/>
              </w:rPr>
              <w:t> (2023)</w:t>
            </w:r>
          </w:p>
        </w:tc>
      </w:tr>
      <w:tr>
        <w:trPr>
          <w:trHeight w:val="1660" w:hRule="atLeast"/>
        </w:trPr>
        <w:tc>
          <w:tcPr>
            <w:tcW w:w="1508" w:type="dxa"/>
            <w:tcBorders>
              <w:top w:val="single" w:sz="4" w:space="0" w:color="000000"/>
            </w:tcBorders>
          </w:tcPr>
          <w:p>
            <w:pPr>
              <w:pStyle w:val="TableParagraph"/>
              <w:spacing w:before="57"/>
              <w:jc w:val="left"/>
              <w:rPr>
                <w:sz w:val="17"/>
              </w:rPr>
            </w:pPr>
            <w:r>
              <w:rPr>
                <w:b/>
                <w:sz w:val="17"/>
              </w:rPr>
              <w:t>Registry Strategic Goa1</w:t>
            </w:r>
            <w:r>
              <w:rPr>
                <w:b/>
                <w:spacing w:val="-11"/>
                <w:sz w:val="17"/>
              </w:rPr>
              <w:t> </w:t>
            </w:r>
            <w:r>
              <w:rPr>
                <w:b/>
                <w:sz w:val="17"/>
              </w:rPr>
              <w:t>1:</w:t>
            </w:r>
            <w:r>
              <w:rPr>
                <w:b/>
                <w:spacing w:val="-11"/>
                <w:sz w:val="17"/>
              </w:rPr>
              <w:t> </w:t>
            </w:r>
            <w:r>
              <w:rPr>
                <w:sz w:val="17"/>
              </w:rPr>
              <w:t>The</w:t>
            </w:r>
            <w:r>
              <w:rPr>
                <w:spacing w:val="-10"/>
                <w:sz w:val="17"/>
              </w:rPr>
              <w:t> </w:t>
            </w:r>
            <w:r>
              <w:rPr>
                <w:sz w:val="17"/>
              </w:rPr>
              <w:t>Registry is more efficient and provides more effective services in all areas, reflecting a culture of continuous </w:t>
            </w:r>
            <w:r>
              <w:rPr>
                <w:spacing w:val="-2"/>
                <w:sz w:val="17"/>
              </w:rPr>
              <w:t>improvement</w:t>
            </w:r>
          </w:p>
        </w:tc>
        <w:tc>
          <w:tcPr>
            <w:tcW w:w="2203" w:type="dxa"/>
            <w:tcBorders>
              <w:top w:val="single" w:sz="4" w:space="0" w:color="000000"/>
              <w:bottom w:val="single" w:sz="4" w:space="0" w:color="000000"/>
            </w:tcBorders>
          </w:tcPr>
          <w:p>
            <w:pPr>
              <w:pStyle w:val="TableParagraph"/>
              <w:spacing w:before="57"/>
              <w:ind w:left="105" w:right="182"/>
              <w:jc w:val="left"/>
              <w:rPr>
                <w:sz w:val="17"/>
              </w:rPr>
            </w:pPr>
            <w:r>
              <w:rPr>
                <w:b/>
                <w:sz w:val="17"/>
              </w:rPr>
              <w:t>Objective</w:t>
            </w:r>
            <w:r>
              <w:rPr>
                <w:b/>
                <w:spacing w:val="-6"/>
                <w:sz w:val="17"/>
              </w:rPr>
              <w:t> </w:t>
            </w:r>
            <w:r>
              <w:rPr>
                <w:b/>
                <w:sz w:val="17"/>
              </w:rPr>
              <w:t>1.1. </w:t>
            </w:r>
            <w:r>
              <w:rPr>
                <w:sz w:val="17"/>
              </w:rPr>
              <w:t>Increase</w:t>
            </w:r>
            <w:r>
              <w:rPr>
                <w:spacing w:val="-2"/>
                <w:sz w:val="17"/>
              </w:rPr>
              <w:t> </w:t>
            </w:r>
            <w:r>
              <w:rPr>
                <w:sz w:val="17"/>
              </w:rPr>
              <w:t>the effectiveness of Registry services, including management services, judicial services and external</w:t>
            </w:r>
            <w:r>
              <w:rPr>
                <w:spacing w:val="-11"/>
                <w:sz w:val="17"/>
              </w:rPr>
              <w:t> </w:t>
            </w:r>
            <w:r>
              <w:rPr>
                <w:sz w:val="17"/>
              </w:rPr>
              <w:t>operations</w:t>
            </w:r>
            <w:r>
              <w:rPr>
                <w:spacing w:val="-11"/>
                <w:sz w:val="17"/>
              </w:rPr>
              <w:t> </w:t>
            </w:r>
            <w:r>
              <w:rPr>
                <w:sz w:val="17"/>
              </w:rPr>
              <w:t>services</w:t>
            </w:r>
          </w:p>
        </w:tc>
        <w:tc>
          <w:tcPr>
            <w:tcW w:w="3554" w:type="dxa"/>
            <w:tcBorders>
              <w:top w:val="single" w:sz="4" w:space="0" w:color="000000"/>
              <w:bottom w:val="single" w:sz="4" w:space="0" w:color="000000"/>
            </w:tcBorders>
          </w:tcPr>
          <w:p>
            <w:pPr>
              <w:pStyle w:val="TableParagraph"/>
              <w:spacing w:before="57"/>
              <w:ind w:left="274" w:right="227" w:hanging="144"/>
              <w:jc w:val="both"/>
              <w:rPr>
                <w:sz w:val="17"/>
              </w:rPr>
            </w:pPr>
            <w:r>
              <w:rPr>
                <w:sz w:val="17"/>
              </w:rPr>
              <w:t>˗</w:t>
            </w:r>
            <w:r>
              <w:rPr>
                <w:spacing w:val="36"/>
                <w:sz w:val="17"/>
              </w:rPr>
              <w:t> </w:t>
            </w:r>
            <w:r>
              <w:rPr>
                <w:sz w:val="17"/>
              </w:rPr>
              <w:t>Percentage</w:t>
            </w:r>
            <w:r>
              <w:rPr>
                <w:spacing w:val="-3"/>
                <w:sz w:val="17"/>
              </w:rPr>
              <w:t> </w:t>
            </w:r>
            <w:r>
              <w:rPr>
                <w:sz w:val="17"/>
              </w:rPr>
              <w:t>of</w:t>
            </w:r>
            <w:r>
              <w:rPr>
                <w:spacing w:val="-7"/>
                <w:sz w:val="17"/>
              </w:rPr>
              <w:t> </w:t>
            </w:r>
            <w:r>
              <w:rPr>
                <w:sz w:val="17"/>
              </w:rPr>
              <w:t>planned</w:t>
            </w:r>
            <w:r>
              <w:rPr>
                <w:spacing w:val="-7"/>
                <w:sz w:val="17"/>
              </w:rPr>
              <w:t> </w:t>
            </w:r>
            <w:r>
              <w:rPr>
                <w:sz w:val="17"/>
              </w:rPr>
              <w:t>improvement</w:t>
            </w:r>
            <w:r>
              <w:rPr>
                <w:spacing w:val="-4"/>
                <w:sz w:val="17"/>
              </w:rPr>
              <w:t> </w:t>
            </w:r>
            <w:r>
              <w:rPr>
                <w:sz w:val="17"/>
              </w:rPr>
              <w:t>projects implemented</w:t>
            </w:r>
            <w:r>
              <w:rPr>
                <w:spacing w:val="-9"/>
                <w:sz w:val="17"/>
              </w:rPr>
              <w:t> </w:t>
            </w:r>
            <w:r>
              <w:rPr>
                <w:sz w:val="17"/>
              </w:rPr>
              <w:t>in</w:t>
            </w:r>
            <w:r>
              <w:rPr>
                <w:spacing w:val="-8"/>
                <w:sz w:val="17"/>
              </w:rPr>
              <w:t> </w:t>
            </w:r>
            <w:r>
              <w:rPr>
                <w:sz w:val="17"/>
              </w:rPr>
              <w:t>the</w:t>
            </w:r>
            <w:r>
              <w:rPr>
                <w:spacing w:val="-8"/>
                <w:sz w:val="17"/>
              </w:rPr>
              <w:t> </w:t>
            </w:r>
            <w:r>
              <w:rPr>
                <w:sz w:val="17"/>
              </w:rPr>
              <w:t>Division</w:t>
            </w:r>
            <w:r>
              <w:rPr>
                <w:spacing w:val="-8"/>
                <w:sz w:val="17"/>
              </w:rPr>
              <w:t> </w:t>
            </w:r>
            <w:r>
              <w:rPr>
                <w:sz w:val="17"/>
              </w:rPr>
              <w:t>of</w:t>
            </w:r>
            <w:r>
              <w:rPr>
                <w:spacing w:val="-11"/>
                <w:sz w:val="17"/>
              </w:rPr>
              <w:t> </w:t>
            </w:r>
            <w:r>
              <w:rPr>
                <w:sz w:val="17"/>
              </w:rPr>
              <w:t>Management </w:t>
            </w:r>
            <w:r>
              <w:rPr>
                <w:spacing w:val="-2"/>
                <w:sz w:val="17"/>
              </w:rPr>
              <w:t>Services</w:t>
            </w:r>
          </w:p>
          <w:p>
            <w:pPr>
              <w:pStyle w:val="TableParagraph"/>
              <w:spacing w:before="61"/>
              <w:ind w:left="274" w:hanging="144"/>
              <w:jc w:val="left"/>
              <w:rPr>
                <w:sz w:val="17"/>
              </w:rPr>
            </w:pPr>
            <w:r>
              <w:rPr>
                <w:sz w:val="17"/>
              </w:rPr>
              <w:t>˗</w:t>
            </w:r>
            <w:r>
              <w:rPr>
                <w:spacing w:val="35"/>
                <w:sz w:val="17"/>
              </w:rPr>
              <w:t> </w:t>
            </w:r>
            <w:r>
              <w:rPr>
                <w:sz w:val="17"/>
              </w:rPr>
              <w:t>Response</w:t>
            </w:r>
            <w:r>
              <w:rPr>
                <w:spacing w:val="-7"/>
                <w:sz w:val="17"/>
              </w:rPr>
              <w:t> </w:t>
            </w:r>
            <w:r>
              <w:rPr>
                <w:sz w:val="17"/>
              </w:rPr>
              <w:t>time</w:t>
            </w:r>
            <w:r>
              <w:rPr>
                <w:spacing w:val="-4"/>
                <w:sz w:val="17"/>
              </w:rPr>
              <w:t> </w:t>
            </w:r>
            <w:r>
              <w:rPr>
                <w:sz w:val="17"/>
              </w:rPr>
              <w:t>for</w:t>
            </w:r>
            <w:r>
              <w:rPr>
                <w:spacing w:val="-8"/>
                <w:sz w:val="17"/>
              </w:rPr>
              <w:t> </w:t>
            </w:r>
            <w:r>
              <w:rPr>
                <w:sz w:val="17"/>
              </w:rPr>
              <w:t>courtroom</w:t>
            </w:r>
            <w:r>
              <w:rPr>
                <w:spacing w:val="-6"/>
                <w:sz w:val="17"/>
              </w:rPr>
              <w:t> </w:t>
            </w:r>
            <w:r>
              <w:rPr>
                <w:sz w:val="17"/>
              </w:rPr>
              <w:t>incidents</w:t>
            </w:r>
            <w:r>
              <w:rPr>
                <w:spacing w:val="-8"/>
                <w:sz w:val="17"/>
              </w:rPr>
              <w:t> </w:t>
            </w:r>
            <w:r>
              <w:rPr>
                <w:sz w:val="17"/>
              </w:rPr>
              <w:t>causing early termination of or a delay in hearings</w:t>
            </w:r>
          </w:p>
          <w:p>
            <w:pPr>
              <w:pStyle w:val="TableParagraph"/>
              <w:spacing w:before="61"/>
              <w:ind w:left="274" w:hanging="144"/>
              <w:jc w:val="left"/>
              <w:rPr>
                <w:sz w:val="17"/>
              </w:rPr>
            </w:pPr>
            <w:r>
              <w:rPr>
                <w:sz w:val="17"/>
              </w:rPr>
              <w:t>˗</w:t>
            </w:r>
            <w:r>
              <w:rPr>
                <w:spacing w:val="30"/>
                <w:sz w:val="17"/>
              </w:rPr>
              <w:t> </w:t>
            </w:r>
            <w:r>
              <w:rPr>
                <w:sz w:val="17"/>
              </w:rPr>
              <w:t>Average</w:t>
            </w:r>
            <w:r>
              <w:rPr>
                <w:spacing w:val="-6"/>
                <w:sz w:val="17"/>
              </w:rPr>
              <w:t> </w:t>
            </w:r>
            <w:r>
              <w:rPr>
                <w:sz w:val="17"/>
              </w:rPr>
              <w:t>time</w:t>
            </w:r>
            <w:r>
              <w:rPr>
                <w:spacing w:val="-3"/>
                <w:sz w:val="17"/>
              </w:rPr>
              <w:t> </w:t>
            </w:r>
            <w:r>
              <w:rPr>
                <w:sz w:val="17"/>
              </w:rPr>
              <w:t>taken</w:t>
            </w:r>
            <w:r>
              <w:rPr>
                <w:spacing w:val="-6"/>
                <w:sz w:val="17"/>
              </w:rPr>
              <w:t> </w:t>
            </w:r>
            <w:r>
              <w:rPr>
                <w:sz w:val="17"/>
              </w:rPr>
              <w:t>to</w:t>
            </w:r>
            <w:r>
              <w:rPr>
                <w:spacing w:val="-9"/>
                <w:sz w:val="17"/>
              </w:rPr>
              <w:t> </w:t>
            </w:r>
            <w:r>
              <w:rPr>
                <w:sz w:val="17"/>
              </w:rPr>
              <w:t>promulgate Administrative Issuances</w:t>
            </w:r>
          </w:p>
        </w:tc>
        <w:tc>
          <w:tcPr>
            <w:tcW w:w="1124" w:type="dxa"/>
            <w:tcBorders>
              <w:top w:val="single" w:sz="4" w:space="0" w:color="000000"/>
              <w:bottom w:val="single" w:sz="4" w:space="0" w:color="000000"/>
            </w:tcBorders>
          </w:tcPr>
          <w:p>
            <w:pPr>
              <w:pStyle w:val="TableParagraph"/>
              <w:spacing w:before="62"/>
              <w:ind w:left="62"/>
              <w:jc w:val="left"/>
              <w:rPr>
                <w:sz w:val="17"/>
              </w:rPr>
            </w:pPr>
            <w:r>
              <w:rPr>
                <w:sz w:val="17"/>
              </w:rPr>
              <w:t>˗</w:t>
            </w:r>
            <w:r>
              <w:rPr>
                <w:spacing w:val="43"/>
                <w:sz w:val="17"/>
              </w:rPr>
              <w:t> </w:t>
            </w:r>
            <w:r>
              <w:rPr>
                <w:spacing w:val="-2"/>
                <w:sz w:val="17"/>
              </w:rPr>
              <w:t>(New)</w:t>
            </w:r>
          </w:p>
          <w:p>
            <w:pPr>
              <w:pStyle w:val="TableParagraph"/>
              <w:jc w:val="left"/>
              <w:rPr>
                <w:b/>
                <w:sz w:val="18"/>
              </w:rPr>
            </w:pPr>
          </w:p>
          <w:p>
            <w:pPr>
              <w:pStyle w:val="TableParagraph"/>
              <w:jc w:val="left"/>
              <w:rPr>
                <w:b/>
                <w:sz w:val="20"/>
              </w:rPr>
            </w:pPr>
          </w:p>
          <w:p>
            <w:pPr>
              <w:pStyle w:val="TableParagraph"/>
              <w:numPr>
                <w:ilvl w:val="0"/>
                <w:numId w:val="84"/>
              </w:numPr>
              <w:tabs>
                <w:tab w:pos="164" w:val="left" w:leader="none"/>
              </w:tabs>
              <w:spacing w:line="240" w:lineRule="auto" w:before="0" w:after="0"/>
              <w:ind w:left="163" w:right="0" w:hanging="102"/>
              <w:jc w:val="left"/>
              <w:rPr>
                <w:sz w:val="17"/>
              </w:rPr>
            </w:pPr>
            <w:r>
              <w:rPr>
                <w:spacing w:val="-2"/>
                <w:sz w:val="17"/>
              </w:rPr>
              <w:t>(New)</w:t>
            </w:r>
          </w:p>
          <w:p>
            <w:pPr>
              <w:pStyle w:val="TableParagraph"/>
              <w:spacing w:before="4"/>
              <w:jc w:val="left"/>
              <w:rPr>
                <w:b/>
                <w:sz w:val="16"/>
              </w:rPr>
            </w:pPr>
          </w:p>
          <w:p>
            <w:pPr>
              <w:pStyle w:val="TableParagraph"/>
              <w:numPr>
                <w:ilvl w:val="0"/>
                <w:numId w:val="84"/>
              </w:numPr>
              <w:tabs>
                <w:tab w:pos="164" w:val="left" w:leader="none"/>
              </w:tabs>
              <w:spacing w:line="240" w:lineRule="auto" w:before="0" w:after="0"/>
              <w:ind w:left="163" w:right="0" w:hanging="102"/>
              <w:jc w:val="left"/>
              <w:rPr>
                <w:sz w:val="17"/>
              </w:rPr>
            </w:pPr>
            <w:r>
              <w:rPr>
                <w:spacing w:val="-2"/>
                <w:sz w:val="17"/>
              </w:rPr>
              <w:t>(New)</w:t>
            </w:r>
          </w:p>
        </w:tc>
        <w:tc>
          <w:tcPr>
            <w:tcW w:w="1114" w:type="dxa"/>
            <w:tcBorders>
              <w:top w:val="single" w:sz="4" w:space="0" w:color="000000"/>
              <w:bottom w:val="single" w:sz="4" w:space="0" w:color="000000"/>
            </w:tcBorders>
          </w:tcPr>
          <w:p>
            <w:pPr>
              <w:pStyle w:val="TableParagraph"/>
              <w:spacing w:before="62"/>
              <w:ind w:left="129"/>
              <w:jc w:val="left"/>
              <w:rPr>
                <w:sz w:val="17"/>
              </w:rPr>
            </w:pPr>
            <w:r>
              <w:rPr>
                <w:sz w:val="17"/>
              </w:rPr>
              <w:t>˗</w:t>
            </w:r>
            <w:r>
              <w:rPr>
                <w:spacing w:val="43"/>
                <w:sz w:val="17"/>
              </w:rPr>
              <w:t> </w:t>
            </w:r>
            <w:r>
              <w:rPr>
                <w:spacing w:val="-5"/>
                <w:sz w:val="17"/>
              </w:rPr>
              <w:t>75%</w:t>
            </w:r>
          </w:p>
          <w:p>
            <w:pPr>
              <w:pStyle w:val="TableParagraph"/>
              <w:jc w:val="left"/>
              <w:rPr>
                <w:b/>
                <w:sz w:val="18"/>
              </w:rPr>
            </w:pPr>
          </w:p>
          <w:p>
            <w:pPr>
              <w:pStyle w:val="TableParagraph"/>
              <w:jc w:val="left"/>
              <w:rPr>
                <w:b/>
                <w:sz w:val="20"/>
              </w:rPr>
            </w:pPr>
          </w:p>
          <w:p>
            <w:pPr>
              <w:pStyle w:val="TableParagraph"/>
              <w:numPr>
                <w:ilvl w:val="0"/>
                <w:numId w:val="85"/>
              </w:numPr>
              <w:tabs>
                <w:tab w:pos="231" w:val="left" w:leader="none"/>
              </w:tabs>
              <w:spacing w:line="240" w:lineRule="auto" w:before="0" w:after="0"/>
              <w:ind w:left="230" w:right="0" w:hanging="102"/>
              <w:jc w:val="left"/>
              <w:rPr>
                <w:sz w:val="17"/>
              </w:rPr>
            </w:pPr>
            <w:r>
              <w:rPr>
                <w:spacing w:val="-5"/>
                <w:sz w:val="17"/>
              </w:rPr>
              <w:t>N/A</w:t>
            </w:r>
          </w:p>
          <w:p>
            <w:pPr>
              <w:pStyle w:val="TableParagraph"/>
              <w:spacing w:before="4"/>
              <w:jc w:val="left"/>
              <w:rPr>
                <w:b/>
                <w:sz w:val="16"/>
              </w:rPr>
            </w:pPr>
          </w:p>
          <w:p>
            <w:pPr>
              <w:pStyle w:val="TableParagraph"/>
              <w:numPr>
                <w:ilvl w:val="0"/>
                <w:numId w:val="85"/>
              </w:numPr>
              <w:tabs>
                <w:tab w:pos="231" w:val="left" w:leader="none"/>
              </w:tabs>
              <w:spacing w:line="240" w:lineRule="auto" w:before="0" w:after="0"/>
              <w:ind w:left="230" w:right="0" w:hanging="102"/>
              <w:jc w:val="left"/>
              <w:rPr>
                <w:sz w:val="17"/>
              </w:rPr>
            </w:pPr>
            <w:r>
              <w:rPr>
                <w:spacing w:val="-5"/>
                <w:sz w:val="17"/>
              </w:rPr>
              <w:t>N/A</w:t>
            </w:r>
          </w:p>
        </w:tc>
      </w:tr>
      <w:tr>
        <w:trPr>
          <w:trHeight w:val="1022" w:hRule="atLeast"/>
        </w:trPr>
        <w:tc>
          <w:tcPr>
            <w:tcW w:w="1508" w:type="dxa"/>
          </w:tcPr>
          <w:p>
            <w:pPr>
              <w:pStyle w:val="TableParagraph"/>
              <w:jc w:val="left"/>
              <w:rPr>
                <w:sz w:val="16"/>
              </w:rPr>
            </w:pPr>
          </w:p>
        </w:tc>
        <w:tc>
          <w:tcPr>
            <w:tcW w:w="2203" w:type="dxa"/>
            <w:tcBorders>
              <w:top w:val="single" w:sz="4" w:space="0" w:color="000000"/>
              <w:bottom w:val="single" w:sz="4" w:space="0" w:color="000000"/>
            </w:tcBorders>
          </w:tcPr>
          <w:p>
            <w:pPr>
              <w:pStyle w:val="TableParagraph"/>
              <w:spacing w:before="57"/>
              <w:ind w:left="105"/>
              <w:jc w:val="left"/>
              <w:rPr>
                <w:sz w:val="17"/>
              </w:rPr>
            </w:pPr>
            <w:r>
              <w:rPr>
                <w:b/>
                <w:sz w:val="17"/>
              </w:rPr>
              <w:t>Objective</w:t>
            </w:r>
            <w:r>
              <w:rPr>
                <w:b/>
                <w:spacing w:val="-11"/>
                <w:sz w:val="17"/>
              </w:rPr>
              <w:t> </w:t>
            </w:r>
            <w:r>
              <w:rPr>
                <w:b/>
                <w:sz w:val="17"/>
              </w:rPr>
              <w:t>1.2.</w:t>
            </w:r>
            <w:r>
              <w:rPr>
                <w:b/>
                <w:spacing w:val="-11"/>
                <w:sz w:val="17"/>
              </w:rPr>
              <w:t> </w:t>
            </w:r>
            <w:r>
              <w:rPr>
                <w:sz w:val="17"/>
              </w:rPr>
              <w:t>Increase efficiency in resource </w:t>
            </w:r>
            <w:r>
              <w:rPr>
                <w:spacing w:val="-2"/>
                <w:sz w:val="17"/>
              </w:rPr>
              <w:t>management</w:t>
            </w:r>
          </w:p>
        </w:tc>
        <w:tc>
          <w:tcPr>
            <w:tcW w:w="3554" w:type="dxa"/>
            <w:tcBorders>
              <w:top w:val="single" w:sz="4" w:space="0" w:color="000000"/>
              <w:bottom w:val="single" w:sz="4" w:space="0" w:color="000000"/>
            </w:tcBorders>
          </w:tcPr>
          <w:p>
            <w:pPr>
              <w:pStyle w:val="TableParagraph"/>
              <w:spacing w:before="62"/>
              <w:ind w:left="130"/>
              <w:jc w:val="left"/>
              <w:rPr>
                <w:sz w:val="17"/>
              </w:rPr>
            </w:pPr>
            <w:r>
              <w:rPr>
                <w:sz w:val="17"/>
              </w:rPr>
              <w:t>˗</w:t>
            </w:r>
            <w:r>
              <w:rPr>
                <w:spacing w:val="33"/>
                <w:sz w:val="17"/>
              </w:rPr>
              <w:t> </w:t>
            </w:r>
            <w:r>
              <w:rPr>
                <w:sz w:val="17"/>
              </w:rPr>
              <w:t>Budget</w:t>
            </w:r>
            <w:r>
              <w:rPr>
                <w:spacing w:val="-5"/>
                <w:sz w:val="17"/>
              </w:rPr>
              <w:t> </w:t>
            </w:r>
            <w:r>
              <w:rPr>
                <w:sz w:val="17"/>
              </w:rPr>
              <w:t>implementation</w:t>
            </w:r>
            <w:r>
              <w:rPr>
                <w:spacing w:val="-4"/>
                <w:sz w:val="17"/>
              </w:rPr>
              <w:t> </w:t>
            </w:r>
            <w:r>
              <w:rPr>
                <w:sz w:val="17"/>
              </w:rPr>
              <w:t>rate</w:t>
            </w:r>
            <w:r>
              <w:rPr>
                <w:spacing w:val="-4"/>
                <w:sz w:val="17"/>
              </w:rPr>
              <w:t> </w:t>
            </w:r>
            <w:r>
              <w:rPr>
                <w:spacing w:val="-2"/>
                <w:sz w:val="17"/>
              </w:rPr>
              <w:t>(Registry)</w:t>
            </w:r>
          </w:p>
          <w:p>
            <w:pPr>
              <w:pStyle w:val="TableParagraph"/>
              <w:spacing w:before="59"/>
              <w:ind w:left="130"/>
              <w:jc w:val="left"/>
              <w:rPr>
                <w:sz w:val="17"/>
              </w:rPr>
            </w:pPr>
            <w:r>
              <w:rPr>
                <w:sz w:val="17"/>
              </w:rPr>
              <w:t>˗</w:t>
            </w:r>
            <w:r>
              <w:rPr>
                <w:spacing w:val="36"/>
                <w:sz w:val="17"/>
              </w:rPr>
              <w:t> </w:t>
            </w:r>
            <w:r>
              <w:rPr>
                <w:sz w:val="17"/>
              </w:rPr>
              <w:t>Percentage of</w:t>
            </w:r>
            <w:r>
              <w:rPr>
                <w:spacing w:val="-7"/>
                <w:sz w:val="17"/>
              </w:rPr>
              <w:t> </w:t>
            </w:r>
            <w:r>
              <w:rPr>
                <w:sz w:val="17"/>
              </w:rPr>
              <w:t>competitive</w:t>
            </w:r>
            <w:r>
              <w:rPr>
                <w:spacing w:val="-5"/>
                <w:sz w:val="17"/>
              </w:rPr>
              <w:t> </w:t>
            </w:r>
            <w:r>
              <w:rPr>
                <w:spacing w:val="-2"/>
                <w:sz w:val="17"/>
              </w:rPr>
              <w:t>procurements</w:t>
            </w:r>
          </w:p>
          <w:p>
            <w:pPr>
              <w:pStyle w:val="TableParagraph"/>
              <w:spacing w:before="59"/>
              <w:ind w:left="274" w:hanging="144"/>
              <w:jc w:val="left"/>
              <w:rPr>
                <w:sz w:val="17"/>
              </w:rPr>
            </w:pPr>
            <w:r>
              <w:rPr>
                <w:sz w:val="17"/>
              </w:rPr>
              <w:t>˗</w:t>
            </w:r>
            <w:r>
              <w:rPr>
                <w:spacing w:val="36"/>
                <w:sz w:val="17"/>
              </w:rPr>
              <w:t> </w:t>
            </w:r>
            <w:r>
              <w:rPr>
                <w:sz w:val="17"/>
              </w:rPr>
              <w:t>Percentage</w:t>
            </w:r>
            <w:r>
              <w:rPr>
                <w:spacing w:val="-1"/>
                <w:sz w:val="17"/>
              </w:rPr>
              <w:t> </w:t>
            </w:r>
            <w:r>
              <w:rPr>
                <w:sz w:val="17"/>
              </w:rPr>
              <w:t>of</w:t>
            </w:r>
            <w:r>
              <w:rPr>
                <w:spacing w:val="-7"/>
                <w:sz w:val="17"/>
              </w:rPr>
              <w:t> </w:t>
            </w:r>
            <w:r>
              <w:rPr>
                <w:sz w:val="17"/>
              </w:rPr>
              <w:t>trip</w:t>
            </w:r>
            <w:r>
              <w:rPr>
                <w:spacing w:val="-6"/>
                <w:sz w:val="17"/>
              </w:rPr>
              <w:t> </w:t>
            </w:r>
            <w:r>
              <w:rPr>
                <w:sz w:val="17"/>
              </w:rPr>
              <w:t>requests</w:t>
            </w:r>
            <w:r>
              <w:rPr>
                <w:spacing w:val="-7"/>
                <w:sz w:val="17"/>
              </w:rPr>
              <w:t> </w:t>
            </w:r>
            <w:r>
              <w:rPr>
                <w:sz w:val="17"/>
              </w:rPr>
              <w:t>submitted</w:t>
            </w:r>
            <w:r>
              <w:rPr>
                <w:spacing w:val="-3"/>
                <w:sz w:val="17"/>
              </w:rPr>
              <w:t> </w:t>
            </w:r>
            <w:r>
              <w:rPr>
                <w:sz w:val="17"/>
              </w:rPr>
              <w:t>to</w:t>
            </w:r>
            <w:r>
              <w:rPr>
                <w:spacing w:val="-6"/>
                <w:sz w:val="17"/>
              </w:rPr>
              <w:t> </w:t>
            </w:r>
            <w:r>
              <w:rPr>
                <w:sz w:val="17"/>
              </w:rPr>
              <w:t>the Travel Unit 30 days in advance or earlier</w:t>
            </w:r>
          </w:p>
        </w:tc>
        <w:tc>
          <w:tcPr>
            <w:tcW w:w="1124" w:type="dxa"/>
            <w:tcBorders>
              <w:top w:val="single" w:sz="4" w:space="0" w:color="000000"/>
              <w:bottom w:val="single" w:sz="4" w:space="0" w:color="000000"/>
            </w:tcBorders>
          </w:tcPr>
          <w:p>
            <w:pPr>
              <w:pStyle w:val="TableParagraph"/>
              <w:spacing w:before="62"/>
              <w:ind w:left="62"/>
              <w:jc w:val="left"/>
              <w:rPr>
                <w:sz w:val="17"/>
              </w:rPr>
            </w:pPr>
            <w:r>
              <w:rPr>
                <w:rFonts w:ascii="Palatino Linotype"/>
                <w:sz w:val="17"/>
              </w:rPr>
              <w:t>- </w:t>
            </w:r>
            <w:r>
              <w:rPr>
                <w:spacing w:val="-2"/>
                <w:sz w:val="17"/>
              </w:rPr>
              <w:t>98.8%</w:t>
            </w:r>
          </w:p>
          <w:p>
            <w:pPr>
              <w:pStyle w:val="TableParagraph"/>
              <w:spacing w:before="58"/>
              <w:ind w:left="62"/>
              <w:jc w:val="left"/>
              <w:rPr>
                <w:sz w:val="17"/>
              </w:rPr>
            </w:pPr>
            <w:r>
              <w:rPr>
                <w:rFonts w:ascii="Palatino Linotype"/>
                <w:sz w:val="17"/>
              </w:rPr>
              <w:t>- </w:t>
            </w:r>
            <w:r>
              <w:rPr>
                <w:spacing w:val="-5"/>
                <w:sz w:val="17"/>
              </w:rPr>
              <w:t>64%</w:t>
            </w:r>
          </w:p>
          <w:p>
            <w:pPr>
              <w:pStyle w:val="TableParagraph"/>
              <w:spacing w:before="59"/>
              <w:ind w:left="62"/>
              <w:jc w:val="left"/>
              <w:rPr>
                <w:sz w:val="17"/>
              </w:rPr>
            </w:pPr>
            <w:r>
              <w:rPr>
                <w:rFonts w:ascii="Palatino Linotype"/>
                <w:sz w:val="17"/>
              </w:rPr>
              <w:t>- </w:t>
            </w:r>
            <w:r>
              <w:rPr>
                <w:spacing w:val="-2"/>
                <w:sz w:val="17"/>
              </w:rPr>
              <w:t>15.4%</w:t>
            </w:r>
          </w:p>
        </w:tc>
        <w:tc>
          <w:tcPr>
            <w:tcW w:w="1114" w:type="dxa"/>
            <w:tcBorders>
              <w:top w:val="single" w:sz="4" w:space="0" w:color="000000"/>
              <w:bottom w:val="single" w:sz="4" w:space="0" w:color="000000"/>
            </w:tcBorders>
          </w:tcPr>
          <w:p>
            <w:pPr>
              <w:pStyle w:val="TableParagraph"/>
              <w:spacing w:before="62"/>
              <w:ind w:left="129"/>
              <w:jc w:val="left"/>
              <w:rPr>
                <w:sz w:val="17"/>
              </w:rPr>
            </w:pPr>
            <w:r>
              <w:rPr>
                <w:sz w:val="17"/>
              </w:rPr>
              <w:t>- </w:t>
            </w:r>
            <w:r>
              <w:rPr>
                <w:spacing w:val="-5"/>
                <w:sz w:val="17"/>
              </w:rPr>
              <w:t>99%</w:t>
            </w:r>
          </w:p>
          <w:p>
            <w:pPr>
              <w:pStyle w:val="TableParagraph"/>
              <w:spacing w:before="59"/>
              <w:ind w:left="129"/>
              <w:jc w:val="left"/>
              <w:rPr>
                <w:sz w:val="17"/>
              </w:rPr>
            </w:pPr>
            <w:r>
              <w:rPr>
                <w:sz w:val="17"/>
              </w:rPr>
              <w:t>- </w:t>
            </w:r>
            <w:r>
              <w:rPr>
                <w:spacing w:val="-5"/>
                <w:sz w:val="17"/>
              </w:rPr>
              <w:t>65%</w:t>
            </w:r>
          </w:p>
          <w:p>
            <w:pPr>
              <w:pStyle w:val="TableParagraph"/>
              <w:spacing w:before="58"/>
              <w:ind w:left="129"/>
              <w:jc w:val="left"/>
              <w:rPr>
                <w:sz w:val="17"/>
              </w:rPr>
            </w:pPr>
            <w:r>
              <w:rPr>
                <w:rFonts w:ascii="Palatino Linotype"/>
                <w:sz w:val="17"/>
              </w:rPr>
              <w:t>- </w:t>
            </w:r>
            <w:r>
              <w:rPr>
                <w:spacing w:val="-5"/>
                <w:sz w:val="17"/>
              </w:rPr>
              <w:t>30%</w:t>
            </w:r>
          </w:p>
        </w:tc>
      </w:tr>
      <w:tr>
        <w:trPr>
          <w:trHeight w:val="1221" w:hRule="atLeast"/>
        </w:trPr>
        <w:tc>
          <w:tcPr>
            <w:tcW w:w="1508" w:type="dxa"/>
            <w:vMerge w:val="restart"/>
          </w:tcPr>
          <w:p>
            <w:pPr>
              <w:pStyle w:val="TableParagraph"/>
              <w:jc w:val="left"/>
              <w:rPr>
                <w:sz w:val="16"/>
              </w:rPr>
            </w:pPr>
          </w:p>
        </w:tc>
        <w:tc>
          <w:tcPr>
            <w:tcW w:w="2203" w:type="dxa"/>
            <w:tcBorders>
              <w:top w:val="single" w:sz="4" w:space="0" w:color="000000"/>
            </w:tcBorders>
          </w:tcPr>
          <w:p>
            <w:pPr>
              <w:pStyle w:val="TableParagraph"/>
              <w:spacing w:before="57"/>
              <w:ind w:left="105" w:right="78"/>
              <w:jc w:val="left"/>
              <w:rPr>
                <w:sz w:val="17"/>
              </w:rPr>
            </w:pPr>
            <w:r>
              <w:rPr>
                <w:b/>
                <w:sz w:val="17"/>
              </w:rPr>
              <w:t>Objective 1.3. </w:t>
            </w:r>
            <w:r>
              <w:rPr>
                <w:sz w:val="17"/>
              </w:rPr>
              <w:t>Embed continuous improvement as an operational principle in management and operations in</w:t>
            </w:r>
            <w:r>
              <w:rPr>
                <w:spacing w:val="-11"/>
                <w:sz w:val="17"/>
              </w:rPr>
              <w:t> </w:t>
            </w:r>
            <w:r>
              <w:rPr>
                <w:sz w:val="17"/>
              </w:rPr>
              <w:t>promoting</w:t>
            </w:r>
            <w:r>
              <w:rPr>
                <w:spacing w:val="-11"/>
                <w:sz w:val="17"/>
              </w:rPr>
              <w:t> </w:t>
            </w:r>
            <w:r>
              <w:rPr>
                <w:sz w:val="17"/>
              </w:rPr>
              <w:t>cultural</w:t>
            </w:r>
            <w:r>
              <w:rPr>
                <w:spacing w:val="-10"/>
                <w:sz w:val="17"/>
              </w:rPr>
              <w:t> </w:t>
            </w:r>
            <w:r>
              <w:rPr>
                <w:sz w:val="17"/>
              </w:rPr>
              <w:t>change</w:t>
            </w:r>
          </w:p>
        </w:tc>
        <w:tc>
          <w:tcPr>
            <w:tcW w:w="3554" w:type="dxa"/>
            <w:vMerge w:val="restart"/>
            <w:tcBorders>
              <w:top w:val="single" w:sz="4" w:space="0" w:color="000000"/>
              <w:bottom w:val="single" w:sz="4" w:space="0" w:color="000000"/>
            </w:tcBorders>
          </w:tcPr>
          <w:p>
            <w:pPr>
              <w:pStyle w:val="TableParagraph"/>
              <w:spacing w:before="57"/>
              <w:ind w:left="274" w:hanging="144"/>
              <w:jc w:val="left"/>
              <w:rPr>
                <w:sz w:val="17"/>
              </w:rPr>
            </w:pPr>
            <w:r>
              <w:rPr>
                <w:sz w:val="17"/>
              </w:rPr>
              <w:t>˗</w:t>
            </w:r>
            <w:r>
              <w:rPr>
                <w:spacing w:val="33"/>
                <w:sz w:val="17"/>
              </w:rPr>
              <w:t> </w:t>
            </w:r>
            <w:r>
              <w:rPr>
                <w:sz w:val="17"/>
              </w:rPr>
              <w:t>Percentage</w:t>
            </w:r>
            <w:r>
              <w:rPr>
                <w:spacing w:val="-3"/>
                <w:sz w:val="17"/>
              </w:rPr>
              <w:t> </w:t>
            </w:r>
            <w:r>
              <w:rPr>
                <w:sz w:val="17"/>
              </w:rPr>
              <w:t>of</w:t>
            </w:r>
            <w:r>
              <w:rPr>
                <w:spacing w:val="-9"/>
                <w:sz w:val="17"/>
              </w:rPr>
              <w:t> </w:t>
            </w:r>
            <w:r>
              <w:rPr>
                <w:sz w:val="17"/>
              </w:rPr>
              <w:t>positive</w:t>
            </w:r>
            <w:r>
              <w:rPr>
                <w:spacing w:val="-8"/>
                <w:sz w:val="17"/>
              </w:rPr>
              <w:t> </w:t>
            </w:r>
            <w:r>
              <w:rPr>
                <w:sz w:val="17"/>
              </w:rPr>
              <w:t>responses</w:t>
            </w:r>
            <w:r>
              <w:rPr>
                <w:spacing w:val="-4"/>
                <w:sz w:val="17"/>
              </w:rPr>
              <w:t> </w:t>
            </w:r>
            <w:r>
              <w:rPr>
                <w:sz w:val="17"/>
              </w:rPr>
              <w:t>from</w:t>
            </w:r>
            <w:r>
              <w:rPr>
                <w:spacing w:val="-7"/>
                <w:sz w:val="17"/>
              </w:rPr>
              <w:t> </w:t>
            </w:r>
            <w:r>
              <w:rPr>
                <w:sz w:val="17"/>
              </w:rPr>
              <w:t>Registry staff to the survey question, “I feel the ICC encourages</w:t>
            </w:r>
            <w:r>
              <w:rPr>
                <w:spacing w:val="-3"/>
                <w:sz w:val="17"/>
              </w:rPr>
              <w:t> </w:t>
            </w:r>
            <w:r>
              <w:rPr>
                <w:sz w:val="17"/>
              </w:rPr>
              <w:t>me</w:t>
            </w:r>
            <w:r>
              <w:rPr>
                <w:spacing w:val="-3"/>
                <w:sz w:val="17"/>
              </w:rPr>
              <w:t> </w:t>
            </w:r>
            <w:r>
              <w:rPr>
                <w:sz w:val="17"/>
              </w:rPr>
              <w:t>to</w:t>
            </w:r>
            <w:r>
              <w:rPr>
                <w:spacing w:val="-7"/>
                <w:sz w:val="17"/>
              </w:rPr>
              <w:t> </w:t>
            </w:r>
            <w:r>
              <w:rPr>
                <w:sz w:val="17"/>
              </w:rPr>
              <w:t>come</w:t>
            </w:r>
            <w:r>
              <w:rPr>
                <w:spacing w:val="-3"/>
                <w:sz w:val="17"/>
              </w:rPr>
              <w:t> </w:t>
            </w:r>
            <w:r>
              <w:rPr>
                <w:sz w:val="17"/>
              </w:rPr>
              <w:t>up</w:t>
            </w:r>
            <w:r>
              <w:rPr>
                <w:spacing w:val="-7"/>
                <w:sz w:val="17"/>
              </w:rPr>
              <w:t> </w:t>
            </w:r>
            <w:r>
              <w:rPr>
                <w:sz w:val="17"/>
              </w:rPr>
              <w:t>with</w:t>
            </w:r>
            <w:r>
              <w:rPr>
                <w:spacing w:val="-3"/>
                <w:sz w:val="17"/>
              </w:rPr>
              <w:t> </w:t>
            </w:r>
            <w:r>
              <w:rPr>
                <w:sz w:val="17"/>
              </w:rPr>
              <w:t>new</w:t>
            </w:r>
            <w:r>
              <w:rPr>
                <w:spacing w:val="-6"/>
                <w:sz w:val="17"/>
              </w:rPr>
              <w:t> </w:t>
            </w:r>
            <w:r>
              <w:rPr>
                <w:sz w:val="17"/>
              </w:rPr>
              <w:t>and</w:t>
            </w:r>
            <w:r>
              <w:rPr>
                <w:spacing w:val="-3"/>
                <w:sz w:val="17"/>
              </w:rPr>
              <w:t> </w:t>
            </w:r>
            <w:r>
              <w:rPr>
                <w:sz w:val="17"/>
              </w:rPr>
              <w:t>better ways of doing things”.</w:t>
            </w:r>
          </w:p>
          <w:p>
            <w:pPr>
              <w:pStyle w:val="TableParagraph"/>
              <w:spacing w:before="58"/>
              <w:ind w:left="274" w:hanging="144"/>
              <w:jc w:val="left"/>
              <w:rPr>
                <w:sz w:val="17"/>
              </w:rPr>
            </w:pPr>
            <w:r>
              <w:rPr>
                <w:sz w:val="17"/>
              </w:rPr>
              <w:t>˗</w:t>
            </w:r>
            <w:r>
              <w:rPr>
                <w:spacing w:val="32"/>
                <w:sz w:val="17"/>
              </w:rPr>
              <w:t> </w:t>
            </w:r>
            <w:r>
              <w:rPr>
                <w:sz w:val="17"/>
              </w:rPr>
              <w:t>Implementation</w:t>
            </w:r>
            <w:r>
              <w:rPr>
                <w:spacing w:val="-5"/>
                <w:sz w:val="17"/>
              </w:rPr>
              <w:t> </w:t>
            </w:r>
            <w:r>
              <w:rPr>
                <w:sz w:val="17"/>
              </w:rPr>
              <w:t>rate</w:t>
            </w:r>
            <w:r>
              <w:rPr>
                <w:spacing w:val="-5"/>
                <w:sz w:val="17"/>
              </w:rPr>
              <w:t> </w:t>
            </w:r>
            <w:r>
              <w:rPr>
                <w:sz w:val="17"/>
              </w:rPr>
              <w:t>of</w:t>
            </w:r>
            <w:r>
              <w:rPr>
                <w:spacing w:val="-5"/>
                <w:sz w:val="17"/>
              </w:rPr>
              <w:t> </w:t>
            </w:r>
            <w:r>
              <w:rPr>
                <w:sz w:val="17"/>
              </w:rPr>
              <w:t>the</w:t>
            </w:r>
            <w:r>
              <w:rPr>
                <w:spacing w:val="-8"/>
                <w:sz w:val="17"/>
              </w:rPr>
              <w:t> </w:t>
            </w:r>
            <w:r>
              <w:rPr>
                <w:sz w:val="17"/>
              </w:rPr>
              <w:t>Independent</w:t>
            </w:r>
            <w:r>
              <w:rPr>
                <w:spacing w:val="-6"/>
                <w:sz w:val="17"/>
              </w:rPr>
              <w:t> </w:t>
            </w:r>
            <w:r>
              <w:rPr>
                <w:sz w:val="17"/>
              </w:rPr>
              <w:t>Expert Review recommendations for the Registry</w:t>
            </w:r>
          </w:p>
          <w:p>
            <w:pPr>
              <w:pStyle w:val="TableParagraph"/>
              <w:spacing w:before="60"/>
              <w:ind w:left="274" w:right="67" w:hanging="144"/>
              <w:jc w:val="left"/>
              <w:rPr>
                <w:sz w:val="17"/>
              </w:rPr>
            </w:pPr>
            <w:r>
              <w:rPr>
                <w:sz w:val="17"/>
              </w:rPr>
              <w:t>˗</w:t>
            </w:r>
            <w:r>
              <w:rPr>
                <w:spacing w:val="40"/>
                <w:sz w:val="17"/>
              </w:rPr>
              <w:t> </w:t>
            </w:r>
            <w:r>
              <w:rPr>
                <w:sz w:val="17"/>
              </w:rPr>
              <w:t>Percentage of positive responses from customers</w:t>
            </w:r>
            <w:r>
              <w:rPr>
                <w:spacing w:val="-9"/>
                <w:sz w:val="17"/>
              </w:rPr>
              <w:t> </w:t>
            </w:r>
            <w:r>
              <w:rPr>
                <w:sz w:val="17"/>
              </w:rPr>
              <w:t>for</w:t>
            </w:r>
            <w:r>
              <w:rPr>
                <w:spacing w:val="-9"/>
                <w:sz w:val="17"/>
              </w:rPr>
              <w:t> </w:t>
            </w:r>
            <w:r>
              <w:rPr>
                <w:sz w:val="17"/>
              </w:rPr>
              <w:t>selected</w:t>
            </w:r>
            <w:r>
              <w:rPr>
                <w:spacing w:val="-8"/>
                <w:sz w:val="17"/>
              </w:rPr>
              <w:t> </w:t>
            </w:r>
            <w:r>
              <w:rPr>
                <w:sz w:val="17"/>
              </w:rPr>
              <w:t>key</w:t>
            </w:r>
            <w:r>
              <w:rPr>
                <w:spacing w:val="-8"/>
                <w:sz w:val="17"/>
              </w:rPr>
              <w:t> </w:t>
            </w:r>
            <w:r>
              <w:rPr>
                <w:sz w:val="17"/>
              </w:rPr>
              <w:t>services</w:t>
            </w:r>
            <w:r>
              <w:rPr>
                <w:spacing w:val="-5"/>
                <w:sz w:val="17"/>
              </w:rPr>
              <w:t> </w:t>
            </w:r>
            <w:r>
              <w:rPr>
                <w:sz w:val="17"/>
              </w:rPr>
              <w:t>in</w:t>
            </w:r>
            <w:r>
              <w:rPr>
                <w:spacing w:val="-5"/>
                <w:sz w:val="17"/>
              </w:rPr>
              <w:t> </w:t>
            </w:r>
            <w:r>
              <w:rPr>
                <w:sz w:val="17"/>
              </w:rPr>
              <w:t>the </w:t>
            </w:r>
            <w:r>
              <w:rPr>
                <w:spacing w:val="-2"/>
                <w:sz w:val="17"/>
              </w:rPr>
              <w:t>Registry</w:t>
            </w:r>
          </w:p>
          <w:p>
            <w:pPr>
              <w:pStyle w:val="TableParagraph"/>
              <w:numPr>
                <w:ilvl w:val="0"/>
                <w:numId w:val="86"/>
              </w:numPr>
              <w:tabs>
                <w:tab w:pos="376" w:val="left" w:leader="none"/>
              </w:tabs>
              <w:spacing w:line="240" w:lineRule="auto" w:before="62" w:after="0"/>
              <w:ind w:left="375" w:right="0" w:hanging="102"/>
              <w:jc w:val="left"/>
              <w:rPr>
                <w:sz w:val="17"/>
              </w:rPr>
            </w:pPr>
            <w:r>
              <w:rPr>
                <w:sz w:val="17"/>
              </w:rPr>
              <w:t>Country</w:t>
            </w:r>
            <w:r>
              <w:rPr>
                <w:spacing w:val="-4"/>
                <w:sz w:val="17"/>
              </w:rPr>
              <w:t> </w:t>
            </w:r>
            <w:r>
              <w:rPr>
                <w:spacing w:val="-2"/>
                <w:sz w:val="17"/>
              </w:rPr>
              <w:t>analysis</w:t>
            </w:r>
          </w:p>
          <w:p>
            <w:pPr>
              <w:pStyle w:val="TableParagraph"/>
              <w:numPr>
                <w:ilvl w:val="0"/>
                <w:numId w:val="86"/>
              </w:numPr>
              <w:tabs>
                <w:tab w:pos="376" w:val="left" w:leader="none"/>
              </w:tabs>
              <w:spacing w:line="240" w:lineRule="auto" w:before="64" w:after="0"/>
              <w:ind w:left="375" w:right="0" w:hanging="102"/>
              <w:jc w:val="left"/>
              <w:rPr>
                <w:sz w:val="17"/>
              </w:rPr>
            </w:pPr>
            <w:r>
              <w:rPr>
                <w:w w:val="95"/>
                <w:sz w:val="17"/>
              </w:rPr>
              <w:t>Victim</w:t>
            </w:r>
            <w:r>
              <w:rPr>
                <w:spacing w:val="24"/>
                <w:sz w:val="17"/>
              </w:rPr>
              <w:t> </w:t>
            </w:r>
            <w:r>
              <w:rPr>
                <w:w w:val="95"/>
                <w:sz w:val="17"/>
              </w:rPr>
              <w:t>application</w:t>
            </w:r>
            <w:r>
              <w:rPr>
                <w:spacing w:val="23"/>
                <w:sz w:val="17"/>
              </w:rPr>
              <w:t> </w:t>
            </w:r>
            <w:r>
              <w:rPr>
                <w:spacing w:val="-2"/>
                <w:w w:val="95"/>
                <w:sz w:val="17"/>
              </w:rPr>
              <w:t>process</w:t>
            </w:r>
          </w:p>
          <w:p>
            <w:pPr>
              <w:pStyle w:val="TableParagraph"/>
              <w:numPr>
                <w:ilvl w:val="0"/>
                <w:numId w:val="86"/>
              </w:numPr>
              <w:tabs>
                <w:tab w:pos="376" w:val="left" w:leader="none"/>
              </w:tabs>
              <w:spacing w:line="240" w:lineRule="auto" w:before="59" w:after="0"/>
              <w:ind w:left="375" w:right="0" w:hanging="102"/>
              <w:jc w:val="left"/>
              <w:rPr>
                <w:sz w:val="17"/>
              </w:rPr>
            </w:pPr>
            <w:r>
              <w:rPr>
                <w:w w:val="95"/>
                <w:sz w:val="17"/>
              </w:rPr>
              <w:t>Financial</w:t>
            </w:r>
            <w:r>
              <w:rPr>
                <w:spacing w:val="28"/>
                <w:sz w:val="17"/>
              </w:rPr>
              <w:t> </w:t>
            </w:r>
            <w:r>
              <w:rPr>
                <w:spacing w:val="-2"/>
                <w:sz w:val="17"/>
              </w:rPr>
              <w:t>services</w:t>
            </w:r>
          </w:p>
        </w:tc>
        <w:tc>
          <w:tcPr>
            <w:tcW w:w="1124" w:type="dxa"/>
            <w:tcBorders>
              <w:top w:val="single" w:sz="4" w:space="0" w:color="000000"/>
            </w:tcBorders>
          </w:tcPr>
          <w:p>
            <w:pPr>
              <w:pStyle w:val="TableParagraph"/>
              <w:spacing w:before="62"/>
              <w:ind w:left="62"/>
              <w:jc w:val="left"/>
              <w:rPr>
                <w:sz w:val="17"/>
              </w:rPr>
            </w:pPr>
            <w:r>
              <w:rPr>
                <w:sz w:val="17"/>
              </w:rPr>
              <w:t>˗</w:t>
            </w:r>
            <w:r>
              <w:rPr>
                <w:spacing w:val="43"/>
                <w:sz w:val="17"/>
              </w:rPr>
              <w:t> </w:t>
            </w:r>
            <w:r>
              <w:rPr>
                <w:spacing w:val="-5"/>
                <w:sz w:val="17"/>
              </w:rPr>
              <w:t>44%</w:t>
            </w:r>
          </w:p>
          <w:p>
            <w:pPr>
              <w:pStyle w:val="TableParagraph"/>
              <w:jc w:val="left"/>
              <w:rPr>
                <w:b/>
                <w:sz w:val="18"/>
              </w:rPr>
            </w:pPr>
          </w:p>
          <w:p>
            <w:pPr>
              <w:pStyle w:val="TableParagraph"/>
              <w:jc w:val="left"/>
              <w:rPr>
                <w:b/>
                <w:sz w:val="18"/>
              </w:rPr>
            </w:pPr>
          </w:p>
          <w:p>
            <w:pPr>
              <w:pStyle w:val="TableParagraph"/>
              <w:spacing w:before="153"/>
              <w:ind w:left="62"/>
              <w:jc w:val="left"/>
              <w:rPr>
                <w:sz w:val="17"/>
              </w:rPr>
            </w:pPr>
            <w:r>
              <w:rPr>
                <w:rFonts w:ascii="Palatino Linotype"/>
                <w:sz w:val="17"/>
              </w:rPr>
              <w:t>- </w:t>
            </w:r>
            <w:r>
              <w:rPr>
                <w:spacing w:val="-2"/>
                <w:sz w:val="17"/>
              </w:rPr>
              <w:t>(New)</w:t>
            </w:r>
          </w:p>
        </w:tc>
        <w:tc>
          <w:tcPr>
            <w:tcW w:w="1114" w:type="dxa"/>
            <w:tcBorders>
              <w:top w:val="single" w:sz="4" w:space="0" w:color="000000"/>
            </w:tcBorders>
          </w:tcPr>
          <w:p>
            <w:pPr>
              <w:pStyle w:val="TableParagraph"/>
              <w:spacing w:before="62"/>
              <w:ind w:left="129"/>
              <w:jc w:val="left"/>
              <w:rPr>
                <w:sz w:val="17"/>
              </w:rPr>
            </w:pPr>
            <w:r>
              <w:rPr>
                <w:sz w:val="17"/>
              </w:rPr>
              <w:t>˗</w:t>
            </w:r>
            <w:r>
              <w:rPr>
                <w:spacing w:val="43"/>
                <w:sz w:val="17"/>
              </w:rPr>
              <w:t> </w:t>
            </w:r>
            <w:r>
              <w:rPr>
                <w:spacing w:val="-5"/>
                <w:sz w:val="17"/>
              </w:rPr>
              <w:t>48%</w:t>
            </w:r>
          </w:p>
          <w:p>
            <w:pPr>
              <w:pStyle w:val="TableParagraph"/>
              <w:jc w:val="left"/>
              <w:rPr>
                <w:b/>
                <w:sz w:val="18"/>
              </w:rPr>
            </w:pPr>
          </w:p>
          <w:p>
            <w:pPr>
              <w:pStyle w:val="TableParagraph"/>
              <w:jc w:val="left"/>
              <w:rPr>
                <w:b/>
                <w:sz w:val="18"/>
              </w:rPr>
            </w:pPr>
          </w:p>
          <w:p>
            <w:pPr>
              <w:pStyle w:val="TableParagraph"/>
              <w:spacing w:before="154"/>
              <w:ind w:left="129"/>
              <w:jc w:val="left"/>
              <w:rPr>
                <w:sz w:val="17"/>
              </w:rPr>
            </w:pPr>
            <w:r>
              <w:rPr>
                <w:sz w:val="17"/>
              </w:rPr>
              <w:t>˗</w:t>
            </w:r>
            <w:r>
              <w:rPr>
                <w:spacing w:val="43"/>
                <w:sz w:val="17"/>
              </w:rPr>
              <w:t> </w:t>
            </w:r>
            <w:r>
              <w:rPr>
                <w:spacing w:val="-5"/>
                <w:sz w:val="17"/>
              </w:rPr>
              <w:t>N/A</w:t>
            </w:r>
          </w:p>
        </w:tc>
      </w:tr>
      <w:tr>
        <w:trPr>
          <w:trHeight w:val="1534" w:hRule="atLeast"/>
        </w:trPr>
        <w:tc>
          <w:tcPr>
            <w:tcW w:w="1508" w:type="dxa"/>
            <w:vMerge/>
            <w:tcBorders>
              <w:top w:val="nil"/>
            </w:tcBorders>
          </w:tcPr>
          <w:p>
            <w:pPr>
              <w:rPr>
                <w:sz w:val="2"/>
                <w:szCs w:val="2"/>
              </w:rPr>
            </w:pPr>
          </w:p>
        </w:tc>
        <w:tc>
          <w:tcPr>
            <w:tcW w:w="2203" w:type="dxa"/>
            <w:tcBorders>
              <w:bottom w:val="single" w:sz="4" w:space="0" w:color="000000"/>
            </w:tcBorders>
          </w:tcPr>
          <w:p>
            <w:pPr>
              <w:pStyle w:val="TableParagraph"/>
              <w:jc w:val="left"/>
              <w:rPr>
                <w:sz w:val="16"/>
              </w:rPr>
            </w:pPr>
          </w:p>
        </w:tc>
        <w:tc>
          <w:tcPr>
            <w:tcW w:w="3554" w:type="dxa"/>
            <w:vMerge/>
            <w:tcBorders>
              <w:top w:val="nil"/>
              <w:bottom w:val="single" w:sz="4" w:space="0" w:color="000000"/>
            </w:tcBorders>
          </w:tcPr>
          <w:p>
            <w:pPr>
              <w:rPr>
                <w:sz w:val="2"/>
                <w:szCs w:val="2"/>
              </w:rPr>
            </w:pPr>
          </w:p>
        </w:tc>
        <w:tc>
          <w:tcPr>
            <w:tcW w:w="1124" w:type="dxa"/>
            <w:tcBorders>
              <w:bottom w:val="single" w:sz="4" w:space="0" w:color="000000"/>
            </w:tcBorders>
          </w:tcPr>
          <w:p>
            <w:pPr>
              <w:pStyle w:val="TableParagraph"/>
              <w:spacing w:before="141"/>
              <w:ind w:left="62"/>
              <w:jc w:val="left"/>
              <w:rPr>
                <w:sz w:val="17"/>
              </w:rPr>
            </w:pPr>
            <w:r>
              <w:rPr>
                <w:rFonts w:ascii="Palatino Linotype"/>
                <w:sz w:val="17"/>
              </w:rPr>
              <w:t>- </w:t>
            </w:r>
            <w:r>
              <w:rPr>
                <w:spacing w:val="-2"/>
                <w:sz w:val="17"/>
              </w:rPr>
              <w:t>(New)</w:t>
            </w:r>
          </w:p>
        </w:tc>
        <w:tc>
          <w:tcPr>
            <w:tcW w:w="1114" w:type="dxa"/>
            <w:tcBorders>
              <w:bottom w:val="single" w:sz="4" w:space="0" w:color="000000"/>
            </w:tcBorders>
          </w:tcPr>
          <w:p>
            <w:pPr>
              <w:pStyle w:val="TableParagraph"/>
              <w:spacing w:before="9"/>
              <w:jc w:val="left"/>
              <w:rPr>
                <w:b/>
                <w:sz w:val="14"/>
              </w:rPr>
            </w:pPr>
          </w:p>
          <w:p>
            <w:pPr>
              <w:pStyle w:val="TableParagraph"/>
              <w:ind w:left="129"/>
              <w:jc w:val="left"/>
              <w:rPr>
                <w:sz w:val="17"/>
              </w:rPr>
            </w:pPr>
            <w:r>
              <w:rPr>
                <w:sz w:val="17"/>
              </w:rPr>
              <w:t>˗</w:t>
            </w:r>
            <w:r>
              <w:rPr>
                <w:spacing w:val="43"/>
                <w:sz w:val="17"/>
              </w:rPr>
              <w:t> </w:t>
            </w:r>
            <w:r>
              <w:rPr>
                <w:spacing w:val="-5"/>
                <w:sz w:val="17"/>
              </w:rPr>
              <w:t>N/A</w:t>
            </w:r>
          </w:p>
        </w:tc>
      </w:tr>
      <w:tr>
        <w:trPr>
          <w:trHeight w:val="449" w:hRule="atLeast"/>
        </w:trPr>
        <w:tc>
          <w:tcPr>
            <w:tcW w:w="1508" w:type="dxa"/>
            <w:vMerge w:val="restart"/>
          </w:tcPr>
          <w:p>
            <w:pPr>
              <w:pStyle w:val="TableParagraph"/>
              <w:jc w:val="left"/>
              <w:rPr>
                <w:sz w:val="16"/>
              </w:rPr>
            </w:pPr>
          </w:p>
        </w:tc>
        <w:tc>
          <w:tcPr>
            <w:tcW w:w="2203" w:type="dxa"/>
            <w:tcBorders>
              <w:top w:val="single" w:sz="4" w:space="0" w:color="000000"/>
            </w:tcBorders>
          </w:tcPr>
          <w:p>
            <w:pPr>
              <w:pStyle w:val="TableParagraph"/>
              <w:spacing w:line="190" w:lineRule="atLeast" w:before="38"/>
              <w:ind w:left="105"/>
              <w:jc w:val="left"/>
              <w:rPr>
                <w:sz w:val="17"/>
              </w:rPr>
            </w:pPr>
            <w:r>
              <w:rPr>
                <w:b/>
                <w:sz w:val="17"/>
              </w:rPr>
              <w:t>Objective</w:t>
            </w:r>
            <w:r>
              <w:rPr>
                <w:b/>
                <w:spacing w:val="-11"/>
                <w:sz w:val="17"/>
              </w:rPr>
              <w:t> </w:t>
            </w:r>
            <w:r>
              <w:rPr>
                <w:b/>
                <w:sz w:val="17"/>
              </w:rPr>
              <w:t>1.4.</w:t>
            </w:r>
            <w:r>
              <w:rPr>
                <w:b/>
                <w:spacing w:val="-7"/>
                <w:sz w:val="17"/>
              </w:rPr>
              <w:t> </w:t>
            </w:r>
            <w:r>
              <w:rPr>
                <w:sz w:val="17"/>
              </w:rPr>
              <w:t>Enhance</w:t>
            </w:r>
            <w:r>
              <w:rPr>
                <w:spacing w:val="-9"/>
                <w:sz w:val="17"/>
              </w:rPr>
              <w:t> </w:t>
            </w:r>
            <w:r>
              <w:rPr>
                <w:sz w:val="17"/>
              </w:rPr>
              <w:t>the environment</w:t>
            </w:r>
            <w:r>
              <w:rPr>
                <w:spacing w:val="-6"/>
                <w:sz w:val="17"/>
              </w:rPr>
              <w:t> </w:t>
            </w:r>
            <w:r>
              <w:rPr>
                <w:sz w:val="17"/>
              </w:rPr>
              <w:t>of</w:t>
            </w:r>
            <w:r>
              <w:rPr>
                <w:spacing w:val="-6"/>
                <w:sz w:val="17"/>
              </w:rPr>
              <w:t> </w:t>
            </w:r>
            <w:r>
              <w:rPr>
                <w:spacing w:val="-2"/>
                <w:sz w:val="17"/>
              </w:rPr>
              <w:t>cooperation</w:t>
            </w:r>
          </w:p>
        </w:tc>
        <w:tc>
          <w:tcPr>
            <w:tcW w:w="3554" w:type="dxa"/>
            <w:vMerge w:val="restart"/>
            <w:tcBorders>
              <w:top w:val="single" w:sz="4" w:space="0" w:color="000000"/>
              <w:bottom w:val="single" w:sz="4" w:space="0" w:color="000000"/>
            </w:tcBorders>
          </w:tcPr>
          <w:p>
            <w:pPr>
              <w:pStyle w:val="TableParagraph"/>
              <w:spacing w:before="57"/>
              <w:ind w:left="255" w:right="67" w:hanging="125"/>
              <w:jc w:val="left"/>
              <w:rPr>
                <w:sz w:val="17"/>
              </w:rPr>
            </w:pPr>
            <w:r>
              <w:rPr>
                <w:sz w:val="17"/>
              </w:rPr>
              <w:t>˗</w:t>
            </w:r>
            <w:r>
              <w:rPr>
                <w:spacing w:val="14"/>
                <w:sz w:val="17"/>
              </w:rPr>
              <w:t> </w:t>
            </w:r>
            <w:r>
              <w:rPr>
                <w:sz w:val="17"/>
              </w:rPr>
              <w:t>Number</w:t>
            </w:r>
            <w:r>
              <w:rPr>
                <w:spacing w:val="-6"/>
                <w:sz w:val="17"/>
              </w:rPr>
              <w:t> </w:t>
            </w:r>
            <w:r>
              <w:rPr>
                <w:sz w:val="17"/>
              </w:rPr>
              <w:t>of</w:t>
            </w:r>
            <w:r>
              <w:rPr>
                <w:spacing w:val="-6"/>
                <w:sz w:val="17"/>
              </w:rPr>
              <w:t> </w:t>
            </w:r>
            <w:r>
              <w:rPr>
                <w:sz w:val="17"/>
              </w:rPr>
              <w:t>people</w:t>
            </w:r>
            <w:r>
              <w:rPr>
                <w:spacing w:val="-9"/>
                <w:sz w:val="17"/>
              </w:rPr>
              <w:t> </w:t>
            </w:r>
            <w:r>
              <w:rPr>
                <w:sz w:val="17"/>
              </w:rPr>
              <w:t>attending</w:t>
            </w:r>
            <w:r>
              <w:rPr>
                <w:spacing w:val="-6"/>
                <w:sz w:val="17"/>
              </w:rPr>
              <w:t> </w:t>
            </w:r>
            <w:r>
              <w:rPr>
                <w:sz w:val="17"/>
              </w:rPr>
              <w:t>outreach</w:t>
            </w:r>
            <w:r>
              <w:rPr>
                <w:spacing w:val="-6"/>
                <w:sz w:val="17"/>
              </w:rPr>
              <w:t> </w:t>
            </w:r>
            <w:r>
              <w:rPr>
                <w:sz w:val="17"/>
              </w:rPr>
              <w:t>activities in situation countries</w:t>
            </w:r>
          </w:p>
          <w:p>
            <w:pPr>
              <w:pStyle w:val="TableParagraph"/>
              <w:spacing w:before="60"/>
              <w:ind w:left="274" w:hanging="144"/>
              <w:jc w:val="left"/>
              <w:rPr>
                <w:sz w:val="17"/>
              </w:rPr>
            </w:pPr>
            <w:r>
              <w:rPr>
                <w:sz w:val="17"/>
              </w:rPr>
              <w:t>˗</w:t>
            </w:r>
            <w:r>
              <w:rPr>
                <w:spacing w:val="34"/>
                <w:sz w:val="17"/>
              </w:rPr>
              <w:t> </w:t>
            </w:r>
            <w:r>
              <w:rPr>
                <w:sz w:val="17"/>
              </w:rPr>
              <w:t>Number</w:t>
            </w:r>
            <w:r>
              <w:rPr>
                <w:spacing w:val="-4"/>
                <w:sz w:val="17"/>
              </w:rPr>
              <w:t> </w:t>
            </w:r>
            <w:r>
              <w:rPr>
                <w:sz w:val="17"/>
              </w:rPr>
              <w:t>of</w:t>
            </w:r>
            <w:r>
              <w:rPr>
                <w:spacing w:val="-4"/>
                <w:sz w:val="17"/>
              </w:rPr>
              <w:t> </w:t>
            </w:r>
            <w:r>
              <w:rPr>
                <w:sz w:val="17"/>
              </w:rPr>
              <w:t>visits</w:t>
            </w:r>
            <w:r>
              <w:rPr>
                <w:spacing w:val="-4"/>
                <w:sz w:val="17"/>
              </w:rPr>
              <w:t> </w:t>
            </w:r>
            <w:r>
              <w:rPr>
                <w:sz w:val="17"/>
              </w:rPr>
              <w:t>to</w:t>
            </w:r>
            <w:r>
              <w:rPr>
                <w:spacing w:val="-4"/>
                <w:sz w:val="17"/>
              </w:rPr>
              <w:t> </w:t>
            </w:r>
            <w:r>
              <w:rPr>
                <w:sz w:val="17"/>
              </w:rPr>
              <w:t>and</w:t>
            </w:r>
            <w:r>
              <w:rPr>
                <w:spacing w:val="-4"/>
                <w:sz w:val="17"/>
              </w:rPr>
              <w:t> </w:t>
            </w:r>
            <w:r>
              <w:rPr>
                <w:sz w:val="17"/>
              </w:rPr>
              <w:t>views</w:t>
            </w:r>
            <w:r>
              <w:rPr>
                <w:spacing w:val="-8"/>
                <w:sz w:val="17"/>
              </w:rPr>
              <w:t> </w:t>
            </w:r>
            <w:r>
              <w:rPr>
                <w:sz w:val="17"/>
              </w:rPr>
              <w:t>on</w:t>
            </w:r>
            <w:r>
              <w:rPr>
                <w:spacing w:val="-4"/>
                <w:sz w:val="17"/>
              </w:rPr>
              <w:t> </w:t>
            </w:r>
            <w:r>
              <w:rPr>
                <w:sz w:val="17"/>
              </w:rPr>
              <w:t>key</w:t>
            </w:r>
            <w:r>
              <w:rPr>
                <w:spacing w:val="-4"/>
                <w:sz w:val="17"/>
              </w:rPr>
              <w:t> </w:t>
            </w:r>
            <w:r>
              <w:rPr>
                <w:sz w:val="17"/>
              </w:rPr>
              <w:t>online public information sources:</w:t>
            </w:r>
          </w:p>
          <w:p>
            <w:pPr>
              <w:pStyle w:val="TableParagraph"/>
              <w:numPr>
                <w:ilvl w:val="0"/>
                <w:numId w:val="87"/>
              </w:numPr>
              <w:tabs>
                <w:tab w:pos="481" w:val="left" w:leader="none"/>
              </w:tabs>
              <w:spacing w:line="240" w:lineRule="auto" w:before="65" w:after="0"/>
              <w:ind w:left="480" w:right="0" w:hanging="207"/>
              <w:jc w:val="left"/>
              <w:rPr>
                <w:sz w:val="17"/>
              </w:rPr>
            </w:pPr>
            <w:r>
              <w:rPr>
                <w:sz w:val="17"/>
              </w:rPr>
              <w:t>Internet</w:t>
            </w:r>
            <w:r>
              <w:rPr>
                <w:spacing w:val="-7"/>
                <w:sz w:val="17"/>
              </w:rPr>
              <w:t> </w:t>
            </w:r>
            <w:r>
              <w:rPr>
                <w:sz w:val="17"/>
              </w:rPr>
              <w:t>page</w:t>
            </w:r>
            <w:r>
              <w:rPr>
                <w:spacing w:val="-5"/>
                <w:sz w:val="17"/>
              </w:rPr>
              <w:t> </w:t>
            </w:r>
            <w:r>
              <w:rPr>
                <w:spacing w:val="-2"/>
                <w:sz w:val="17"/>
              </w:rPr>
              <w:t>views</w:t>
            </w:r>
          </w:p>
          <w:p>
            <w:pPr>
              <w:pStyle w:val="TableParagraph"/>
              <w:numPr>
                <w:ilvl w:val="0"/>
                <w:numId w:val="87"/>
              </w:numPr>
              <w:tabs>
                <w:tab w:pos="529" w:val="left" w:leader="none"/>
              </w:tabs>
              <w:spacing w:line="240" w:lineRule="auto" w:before="59" w:after="0"/>
              <w:ind w:left="528" w:right="0" w:hanging="255"/>
              <w:jc w:val="left"/>
              <w:rPr>
                <w:sz w:val="17"/>
              </w:rPr>
            </w:pPr>
            <w:r>
              <w:rPr>
                <w:sz w:val="17"/>
              </w:rPr>
              <w:t>website</w:t>
            </w:r>
            <w:r>
              <w:rPr>
                <w:spacing w:val="-9"/>
                <w:sz w:val="17"/>
              </w:rPr>
              <w:t> </w:t>
            </w:r>
            <w:r>
              <w:rPr>
                <w:spacing w:val="-2"/>
                <w:sz w:val="17"/>
              </w:rPr>
              <w:t>visits</w:t>
            </w:r>
          </w:p>
          <w:p>
            <w:pPr>
              <w:pStyle w:val="TableParagraph"/>
              <w:numPr>
                <w:ilvl w:val="0"/>
                <w:numId w:val="87"/>
              </w:numPr>
              <w:tabs>
                <w:tab w:pos="577" w:val="left" w:leader="none"/>
              </w:tabs>
              <w:spacing w:line="240" w:lineRule="auto" w:before="59" w:after="0"/>
              <w:ind w:left="576" w:right="0" w:hanging="303"/>
              <w:jc w:val="left"/>
              <w:rPr>
                <w:sz w:val="17"/>
              </w:rPr>
            </w:pPr>
            <w:r>
              <w:rPr>
                <w:w w:val="95"/>
                <w:sz w:val="17"/>
              </w:rPr>
              <w:t>livestreaming</w:t>
            </w:r>
            <w:r>
              <w:rPr>
                <w:spacing w:val="29"/>
                <w:sz w:val="17"/>
              </w:rPr>
              <w:t> </w:t>
            </w:r>
            <w:r>
              <w:rPr>
                <w:spacing w:val="-2"/>
                <w:sz w:val="17"/>
              </w:rPr>
              <w:t>views</w:t>
            </w:r>
          </w:p>
          <w:p>
            <w:pPr>
              <w:pStyle w:val="TableParagraph"/>
              <w:numPr>
                <w:ilvl w:val="0"/>
                <w:numId w:val="87"/>
              </w:numPr>
              <w:tabs>
                <w:tab w:pos="567" w:val="left" w:leader="none"/>
              </w:tabs>
              <w:spacing w:line="240" w:lineRule="auto" w:before="59" w:after="0"/>
              <w:ind w:left="566" w:right="0" w:hanging="293"/>
              <w:jc w:val="left"/>
              <w:rPr>
                <w:sz w:val="17"/>
              </w:rPr>
            </w:pPr>
            <w:r>
              <w:rPr>
                <w:sz w:val="17"/>
              </w:rPr>
              <w:t>social</w:t>
            </w:r>
            <w:r>
              <w:rPr>
                <w:spacing w:val="-8"/>
                <w:sz w:val="17"/>
              </w:rPr>
              <w:t> </w:t>
            </w:r>
            <w:r>
              <w:rPr>
                <w:sz w:val="17"/>
              </w:rPr>
              <w:t>media</w:t>
            </w:r>
            <w:r>
              <w:rPr>
                <w:spacing w:val="-4"/>
                <w:sz w:val="17"/>
              </w:rPr>
              <w:t> </w:t>
            </w:r>
            <w:r>
              <w:rPr>
                <w:spacing w:val="-2"/>
                <w:sz w:val="17"/>
              </w:rPr>
              <w:t>followers</w:t>
            </w:r>
          </w:p>
          <w:p>
            <w:pPr>
              <w:pStyle w:val="TableParagraph"/>
              <w:jc w:val="left"/>
              <w:rPr>
                <w:b/>
                <w:sz w:val="18"/>
              </w:rPr>
            </w:pPr>
          </w:p>
          <w:p>
            <w:pPr>
              <w:pStyle w:val="TableParagraph"/>
              <w:spacing w:before="107"/>
              <w:ind w:left="308" w:hanging="178"/>
              <w:jc w:val="left"/>
              <w:rPr>
                <w:sz w:val="17"/>
              </w:rPr>
            </w:pPr>
            <w:r>
              <w:rPr>
                <w:sz w:val="17"/>
              </w:rPr>
              <w:t>˗</w:t>
            </w:r>
            <w:r>
              <w:rPr>
                <w:spacing w:val="61"/>
                <w:sz w:val="17"/>
              </w:rPr>
              <w:t> </w:t>
            </w:r>
            <w:r>
              <w:rPr>
                <w:sz w:val="17"/>
              </w:rPr>
              <w:t>Number</w:t>
            </w:r>
            <w:r>
              <w:rPr>
                <w:spacing w:val="-5"/>
                <w:sz w:val="17"/>
              </w:rPr>
              <w:t> </w:t>
            </w:r>
            <w:r>
              <w:rPr>
                <w:sz w:val="17"/>
              </w:rPr>
              <w:t>of</w:t>
            </w:r>
            <w:r>
              <w:rPr>
                <w:spacing w:val="-5"/>
                <w:sz w:val="17"/>
              </w:rPr>
              <w:t> </w:t>
            </w:r>
            <w:r>
              <w:rPr>
                <w:sz w:val="17"/>
              </w:rPr>
              <w:t>cooperation</w:t>
            </w:r>
            <w:r>
              <w:rPr>
                <w:spacing w:val="-5"/>
                <w:sz w:val="17"/>
              </w:rPr>
              <w:t> </w:t>
            </w:r>
            <w:r>
              <w:rPr>
                <w:sz w:val="17"/>
              </w:rPr>
              <w:t>agreements</w:t>
            </w:r>
            <w:r>
              <w:rPr>
                <w:spacing w:val="-5"/>
                <w:sz w:val="17"/>
              </w:rPr>
              <w:t> </w:t>
            </w:r>
            <w:r>
              <w:rPr>
                <w:sz w:val="17"/>
              </w:rPr>
              <w:t>on</w:t>
            </w:r>
            <w:r>
              <w:rPr>
                <w:spacing w:val="-5"/>
                <w:sz w:val="17"/>
              </w:rPr>
              <w:t> </w:t>
            </w:r>
            <w:r>
              <w:rPr>
                <w:sz w:val="17"/>
              </w:rPr>
              <w:t>witness relocation and release</w:t>
            </w:r>
          </w:p>
          <w:p>
            <w:pPr>
              <w:pStyle w:val="TableParagraph"/>
              <w:spacing w:before="60"/>
              <w:ind w:left="130"/>
              <w:jc w:val="left"/>
              <w:rPr>
                <w:sz w:val="17"/>
              </w:rPr>
            </w:pPr>
            <w:r>
              <w:rPr>
                <w:sz w:val="17"/>
              </w:rPr>
              <w:t>˗</w:t>
            </w:r>
            <w:r>
              <w:rPr>
                <w:spacing w:val="70"/>
                <w:sz w:val="17"/>
              </w:rPr>
              <w:t> </w:t>
            </w:r>
            <w:r>
              <w:rPr>
                <w:sz w:val="17"/>
              </w:rPr>
              <w:t>Requests</w:t>
            </w:r>
            <w:r>
              <w:rPr>
                <w:spacing w:val="-2"/>
                <w:sz w:val="17"/>
              </w:rPr>
              <w:t> </w:t>
            </w:r>
            <w:r>
              <w:rPr>
                <w:sz w:val="17"/>
              </w:rPr>
              <w:t>for Cooperation</w:t>
            </w:r>
            <w:r>
              <w:rPr>
                <w:spacing w:val="-3"/>
                <w:sz w:val="17"/>
              </w:rPr>
              <w:t> </w:t>
            </w:r>
            <w:r>
              <w:rPr>
                <w:spacing w:val="-4"/>
                <w:sz w:val="17"/>
              </w:rPr>
              <w:t>(RFC)</w:t>
            </w:r>
          </w:p>
          <w:p>
            <w:pPr>
              <w:pStyle w:val="TableParagraph"/>
              <w:numPr>
                <w:ilvl w:val="0"/>
                <w:numId w:val="88"/>
              </w:numPr>
              <w:tabs>
                <w:tab w:pos="501" w:val="left" w:leader="none"/>
              </w:tabs>
              <w:spacing w:line="240" w:lineRule="auto" w:before="1" w:after="0"/>
              <w:ind w:left="500" w:right="0" w:hanging="208"/>
              <w:jc w:val="left"/>
              <w:rPr>
                <w:sz w:val="17"/>
              </w:rPr>
            </w:pPr>
            <w:r>
              <w:rPr>
                <w:sz w:val="17"/>
              </w:rPr>
              <w:t>percentage</w:t>
            </w:r>
            <w:r>
              <w:rPr>
                <w:spacing w:val="-9"/>
                <w:sz w:val="17"/>
              </w:rPr>
              <w:t> </w:t>
            </w:r>
            <w:r>
              <w:rPr>
                <w:sz w:val="17"/>
              </w:rPr>
              <w:t>of</w:t>
            </w:r>
            <w:r>
              <w:rPr>
                <w:spacing w:val="-5"/>
                <w:sz w:val="17"/>
              </w:rPr>
              <w:t> </w:t>
            </w:r>
            <w:r>
              <w:rPr>
                <w:sz w:val="17"/>
              </w:rPr>
              <w:t>positive</w:t>
            </w:r>
            <w:r>
              <w:rPr>
                <w:spacing w:val="-6"/>
                <w:sz w:val="17"/>
              </w:rPr>
              <w:t> </w:t>
            </w:r>
            <w:r>
              <w:rPr>
                <w:sz w:val="17"/>
              </w:rPr>
              <w:t>replies</w:t>
            </w:r>
            <w:r>
              <w:rPr>
                <w:spacing w:val="-6"/>
                <w:sz w:val="17"/>
              </w:rPr>
              <w:t> </w:t>
            </w:r>
            <w:r>
              <w:rPr>
                <w:spacing w:val="-2"/>
                <w:sz w:val="17"/>
              </w:rPr>
              <w:t>received</w:t>
            </w:r>
          </w:p>
          <w:p>
            <w:pPr>
              <w:pStyle w:val="TableParagraph"/>
              <w:numPr>
                <w:ilvl w:val="0"/>
                <w:numId w:val="88"/>
              </w:numPr>
              <w:tabs>
                <w:tab w:pos="549" w:val="left" w:leader="none"/>
              </w:tabs>
              <w:spacing w:line="240" w:lineRule="auto" w:before="2" w:after="0"/>
              <w:ind w:left="548" w:right="0" w:hanging="256"/>
              <w:jc w:val="left"/>
              <w:rPr>
                <w:sz w:val="17"/>
              </w:rPr>
            </w:pPr>
            <w:r>
              <w:rPr>
                <w:sz w:val="17"/>
              </w:rPr>
              <w:t>average</w:t>
            </w:r>
            <w:r>
              <w:rPr>
                <w:spacing w:val="-4"/>
                <w:sz w:val="17"/>
              </w:rPr>
              <w:t> </w:t>
            </w:r>
            <w:r>
              <w:rPr>
                <w:sz w:val="17"/>
              </w:rPr>
              <w:t>time</w:t>
            </w:r>
            <w:r>
              <w:rPr>
                <w:spacing w:val="-4"/>
                <w:sz w:val="17"/>
              </w:rPr>
              <w:t> </w:t>
            </w:r>
            <w:r>
              <w:rPr>
                <w:sz w:val="17"/>
              </w:rPr>
              <w:t>taken</w:t>
            </w:r>
            <w:r>
              <w:rPr>
                <w:spacing w:val="-7"/>
                <w:sz w:val="17"/>
              </w:rPr>
              <w:t> </w:t>
            </w:r>
            <w:r>
              <w:rPr>
                <w:sz w:val="17"/>
              </w:rPr>
              <w:t>to</w:t>
            </w:r>
            <w:r>
              <w:rPr>
                <w:spacing w:val="-4"/>
                <w:sz w:val="17"/>
              </w:rPr>
              <w:t> </w:t>
            </w:r>
            <w:r>
              <w:rPr>
                <w:sz w:val="17"/>
              </w:rPr>
              <w:t>receive</w:t>
            </w:r>
            <w:r>
              <w:rPr>
                <w:spacing w:val="-4"/>
                <w:sz w:val="17"/>
              </w:rPr>
              <w:t> </w:t>
            </w:r>
            <w:r>
              <w:rPr>
                <w:sz w:val="17"/>
              </w:rPr>
              <w:t>a</w:t>
            </w:r>
            <w:r>
              <w:rPr>
                <w:spacing w:val="-7"/>
                <w:sz w:val="17"/>
              </w:rPr>
              <w:t> </w:t>
            </w:r>
            <w:r>
              <w:rPr>
                <w:spacing w:val="-4"/>
                <w:sz w:val="17"/>
              </w:rPr>
              <w:t>reply</w:t>
            </w:r>
          </w:p>
        </w:tc>
        <w:tc>
          <w:tcPr>
            <w:tcW w:w="1124" w:type="dxa"/>
            <w:tcBorders>
              <w:top w:val="single" w:sz="4" w:space="0" w:color="000000"/>
            </w:tcBorders>
          </w:tcPr>
          <w:p>
            <w:pPr>
              <w:pStyle w:val="TableParagraph"/>
              <w:spacing w:before="61"/>
              <w:ind w:left="62"/>
              <w:jc w:val="left"/>
              <w:rPr>
                <w:sz w:val="17"/>
              </w:rPr>
            </w:pPr>
            <w:r>
              <w:rPr>
                <w:rFonts w:ascii="Palatino Linotype"/>
                <w:sz w:val="17"/>
              </w:rPr>
              <w:t>- </w:t>
            </w:r>
            <w:r>
              <w:rPr>
                <w:spacing w:val="-2"/>
                <w:sz w:val="17"/>
              </w:rPr>
              <w:t>57,412</w:t>
            </w:r>
          </w:p>
        </w:tc>
        <w:tc>
          <w:tcPr>
            <w:tcW w:w="1114" w:type="dxa"/>
            <w:tcBorders>
              <w:top w:val="single" w:sz="4" w:space="0" w:color="000000"/>
            </w:tcBorders>
          </w:tcPr>
          <w:p>
            <w:pPr>
              <w:pStyle w:val="TableParagraph"/>
              <w:spacing w:before="62"/>
              <w:ind w:left="129"/>
              <w:jc w:val="left"/>
              <w:rPr>
                <w:sz w:val="17"/>
              </w:rPr>
            </w:pPr>
            <w:r>
              <w:rPr>
                <w:sz w:val="17"/>
              </w:rPr>
              <w:t>˗</w:t>
            </w:r>
            <w:r>
              <w:rPr>
                <w:spacing w:val="43"/>
                <w:sz w:val="17"/>
              </w:rPr>
              <w:t> </w:t>
            </w:r>
            <w:r>
              <w:rPr>
                <w:spacing w:val="-2"/>
                <w:sz w:val="17"/>
              </w:rPr>
              <w:t>25,000</w:t>
            </w:r>
          </w:p>
        </w:tc>
      </w:tr>
      <w:tr>
        <w:trPr>
          <w:trHeight w:val="186" w:hRule="atLeast"/>
        </w:trPr>
        <w:tc>
          <w:tcPr>
            <w:tcW w:w="1508" w:type="dxa"/>
            <w:vMerge/>
            <w:tcBorders>
              <w:top w:val="nil"/>
            </w:tcBorders>
          </w:tcPr>
          <w:p>
            <w:pPr>
              <w:rPr>
                <w:sz w:val="2"/>
                <w:szCs w:val="2"/>
              </w:rPr>
            </w:pPr>
          </w:p>
        </w:tc>
        <w:tc>
          <w:tcPr>
            <w:tcW w:w="2203" w:type="dxa"/>
          </w:tcPr>
          <w:p>
            <w:pPr>
              <w:pStyle w:val="TableParagraph"/>
              <w:spacing w:line="167" w:lineRule="exact"/>
              <w:ind w:left="105"/>
              <w:jc w:val="left"/>
              <w:rPr>
                <w:sz w:val="17"/>
              </w:rPr>
            </w:pPr>
            <w:r>
              <w:rPr>
                <w:sz w:val="17"/>
              </w:rPr>
              <w:t>for States</w:t>
            </w:r>
            <w:r>
              <w:rPr>
                <w:spacing w:val="-6"/>
                <w:sz w:val="17"/>
              </w:rPr>
              <w:t> </w:t>
            </w:r>
            <w:r>
              <w:rPr>
                <w:sz w:val="17"/>
              </w:rPr>
              <w:t>as well</w:t>
            </w:r>
            <w:r>
              <w:rPr>
                <w:spacing w:val="-5"/>
                <w:sz w:val="17"/>
              </w:rPr>
              <w:t> </w:t>
            </w:r>
            <w:r>
              <w:rPr>
                <w:sz w:val="17"/>
              </w:rPr>
              <w:t>as</w:t>
            </w:r>
            <w:r>
              <w:rPr>
                <w:spacing w:val="-1"/>
                <w:sz w:val="17"/>
              </w:rPr>
              <w:t> </w:t>
            </w:r>
            <w:r>
              <w:rPr>
                <w:spacing w:val="-2"/>
                <w:sz w:val="17"/>
              </w:rPr>
              <w:t>general</w:t>
            </w:r>
          </w:p>
        </w:tc>
        <w:tc>
          <w:tcPr>
            <w:tcW w:w="3554" w:type="dxa"/>
            <w:vMerge/>
            <w:tcBorders>
              <w:top w:val="nil"/>
              <w:bottom w:val="single" w:sz="4" w:space="0" w:color="000000"/>
            </w:tcBorders>
          </w:tcPr>
          <w:p>
            <w:pPr>
              <w:rPr>
                <w:sz w:val="2"/>
                <w:szCs w:val="2"/>
              </w:rPr>
            </w:pPr>
          </w:p>
        </w:tc>
        <w:tc>
          <w:tcPr>
            <w:tcW w:w="1124" w:type="dxa"/>
          </w:tcPr>
          <w:p>
            <w:pPr>
              <w:pStyle w:val="TableParagraph"/>
              <w:jc w:val="left"/>
              <w:rPr>
                <w:sz w:val="12"/>
              </w:rPr>
            </w:pPr>
          </w:p>
        </w:tc>
        <w:tc>
          <w:tcPr>
            <w:tcW w:w="1114" w:type="dxa"/>
          </w:tcPr>
          <w:p>
            <w:pPr>
              <w:pStyle w:val="TableParagraph"/>
              <w:jc w:val="left"/>
              <w:rPr>
                <w:sz w:val="12"/>
              </w:rPr>
            </w:pPr>
          </w:p>
        </w:tc>
      </w:tr>
      <w:tr>
        <w:trPr>
          <w:trHeight w:val="177" w:hRule="atLeast"/>
        </w:trPr>
        <w:tc>
          <w:tcPr>
            <w:tcW w:w="1508" w:type="dxa"/>
            <w:vMerge/>
            <w:tcBorders>
              <w:top w:val="nil"/>
            </w:tcBorders>
          </w:tcPr>
          <w:p>
            <w:pPr>
              <w:rPr>
                <w:sz w:val="2"/>
                <w:szCs w:val="2"/>
              </w:rPr>
            </w:pPr>
          </w:p>
        </w:tc>
        <w:tc>
          <w:tcPr>
            <w:tcW w:w="2203" w:type="dxa"/>
          </w:tcPr>
          <w:p>
            <w:pPr>
              <w:pStyle w:val="TableParagraph"/>
              <w:spacing w:line="157" w:lineRule="exact"/>
              <w:ind w:left="105"/>
              <w:jc w:val="left"/>
              <w:rPr>
                <w:sz w:val="17"/>
              </w:rPr>
            </w:pPr>
            <w:r>
              <w:rPr>
                <w:sz w:val="17"/>
              </w:rPr>
              <w:t>awareness</w:t>
            </w:r>
            <w:r>
              <w:rPr>
                <w:spacing w:val="-6"/>
                <w:sz w:val="17"/>
              </w:rPr>
              <w:t> </w:t>
            </w:r>
            <w:r>
              <w:rPr>
                <w:sz w:val="17"/>
              </w:rPr>
              <w:t>of</w:t>
            </w:r>
            <w:r>
              <w:rPr>
                <w:spacing w:val="-6"/>
                <w:sz w:val="17"/>
              </w:rPr>
              <w:t> </w:t>
            </w:r>
            <w:r>
              <w:rPr>
                <w:sz w:val="17"/>
              </w:rPr>
              <w:t>and</w:t>
            </w:r>
            <w:r>
              <w:rPr>
                <w:spacing w:val="-4"/>
                <w:sz w:val="17"/>
              </w:rPr>
              <w:t> </w:t>
            </w:r>
            <w:r>
              <w:rPr>
                <w:sz w:val="17"/>
              </w:rPr>
              <w:t>support</w:t>
            </w:r>
            <w:r>
              <w:rPr>
                <w:spacing w:val="-2"/>
                <w:sz w:val="17"/>
              </w:rPr>
              <w:t> </w:t>
            </w:r>
            <w:r>
              <w:rPr>
                <w:spacing w:val="-5"/>
                <w:sz w:val="17"/>
              </w:rPr>
              <w:t>for</w:t>
            </w:r>
          </w:p>
        </w:tc>
        <w:tc>
          <w:tcPr>
            <w:tcW w:w="3554" w:type="dxa"/>
            <w:vMerge/>
            <w:tcBorders>
              <w:top w:val="nil"/>
              <w:bottom w:val="single" w:sz="4" w:space="0" w:color="000000"/>
            </w:tcBorders>
          </w:tcPr>
          <w:p>
            <w:pPr>
              <w:rPr>
                <w:sz w:val="2"/>
                <w:szCs w:val="2"/>
              </w:rPr>
            </w:pPr>
          </w:p>
        </w:tc>
        <w:tc>
          <w:tcPr>
            <w:tcW w:w="1124" w:type="dxa"/>
          </w:tcPr>
          <w:p>
            <w:pPr>
              <w:pStyle w:val="TableParagraph"/>
              <w:jc w:val="left"/>
              <w:rPr>
                <w:sz w:val="10"/>
              </w:rPr>
            </w:pPr>
          </w:p>
        </w:tc>
        <w:tc>
          <w:tcPr>
            <w:tcW w:w="1114" w:type="dxa"/>
          </w:tcPr>
          <w:p>
            <w:pPr>
              <w:pStyle w:val="TableParagraph"/>
              <w:jc w:val="left"/>
              <w:rPr>
                <w:sz w:val="10"/>
              </w:rPr>
            </w:pPr>
          </w:p>
        </w:tc>
      </w:tr>
      <w:tr>
        <w:trPr>
          <w:trHeight w:val="201" w:hRule="atLeast"/>
        </w:trPr>
        <w:tc>
          <w:tcPr>
            <w:tcW w:w="1508" w:type="dxa"/>
            <w:vMerge/>
            <w:tcBorders>
              <w:top w:val="nil"/>
            </w:tcBorders>
          </w:tcPr>
          <w:p>
            <w:pPr>
              <w:rPr>
                <w:sz w:val="2"/>
                <w:szCs w:val="2"/>
              </w:rPr>
            </w:pPr>
          </w:p>
        </w:tc>
        <w:tc>
          <w:tcPr>
            <w:tcW w:w="2203" w:type="dxa"/>
          </w:tcPr>
          <w:p>
            <w:pPr>
              <w:pStyle w:val="TableParagraph"/>
              <w:spacing w:line="181" w:lineRule="exact"/>
              <w:ind w:left="105"/>
              <w:jc w:val="left"/>
              <w:rPr>
                <w:sz w:val="17"/>
              </w:rPr>
            </w:pPr>
            <w:r>
              <w:rPr>
                <w:sz w:val="17"/>
              </w:rPr>
              <w:t>the</w:t>
            </w:r>
            <w:r>
              <w:rPr>
                <w:spacing w:val="-1"/>
                <w:sz w:val="17"/>
              </w:rPr>
              <w:t> </w:t>
            </w:r>
            <w:r>
              <w:rPr>
                <w:sz w:val="17"/>
              </w:rPr>
              <w:t>Court</w:t>
            </w:r>
            <w:r>
              <w:rPr>
                <w:spacing w:val="-5"/>
                <w:sz w:val="17"/>
              </w:rPr>
              <w:t> </w:t>
            </w:r>
            <w:r>
              <w:rPr>
                <w:sz w:val="17"/>
              </w:rPr>
              <w:t>and</w:t>
            </w:r>
            <w:r>
              <w:rPr>
                <w:spacing w:val="-4"/>
                <w:sz w:val="17"/>
              </w:rPr>
              <w:t> </w:t>
            </w:r>
            <w:r>
              <w:rPr>
                <w:spacing w:val="-5"/>
                <w:sz w:val="17"/>
              </w:rPr>
              <w:t>its</w:t>
            </w:r>
          </w:p>
        </w:tc>
        <w:tc>
          <w:tcPr>
            <w:tcW w:w="3554" w:type="dxa"/>
            <w:vMerge/>
            <w:tcBorders>
              <w:top w:val="nil"/>
              <w:bottom w:val="single" w:sz="4" w:space="0" w:color="000000"/>
            </w:tcBorders>
          </w:tcPr>
          <w:p>
            <w:pPr>
              <w:rPr>
                <w:sz w:val="2"/>
                <w:szCs w:val="2"/>
              </w:rPr>
            </w:pPr>
          </w:p>
        </w:tc>
        <w:tc>
          <w:tcPr>
            <w:tcW w:w="1124" w:type="dxa"/>
          </w:tcPr>
          <w:p>
            <w:pPr>
              <w:pStyle w:val="TableParagraph"/>
              <w:spacing w:line="166" w:lineRule="exact" w:before="15"/>
              <w:ind w:left="62"/>
              <w:jc w:val="left"/>
              <w:rPr>
                <w:sz w:val="17"/>
              </w:rPr>
            </w:pPr>
            <w:r>
              <w:rPr>
                <w:sz w:val="17"/>
              </w:rPr>
              <w:t>(i) </w:t>
            </w:r>
            <w:r>
              <w:rPr>
                <w:spacing w:val="-2"/>
                <w:sz w:val="17"/>
              </w:rPr>
              <w:t>6,316,224</w:t>
            </w:r>
          </w:p>
        </w:tc>
        <w:tc>
          <w:tcPr>
            <w:tcW w:w="1114" w:type="dxa"/>
          </w:tcPr>
          <w:p>
            <w:pPr>
              <w:pStyle w:val="TableParagraph"/>
              <w:spacing w:line="177" w:lineRule="exact"/>
              <w:ind w:left="129"/>
              <w:jc w:val="left"/>
              <w:rPr>
                <w:sz w:val="17"/>
              </w:rPr>
            </w:pPr>
            <w:r>
              <w:rPr>
                <w:sz w:val="17"/>
              </w:rPr>
              <w:t>(i) </w:t>
            </w:r>
            <w:r>
              <w:rPr>
                <w:spacing w:val="-2"/>
                <w:sz w:val="17"/>
              </w:rPr>
              <w:t>7,263,657</w:t>
            </w:r>
          </w:p>
        </w:tc>
      </w:tr>
      <w:tr>
        <w:trPr>
          <w:trHeight w:val="271" w:hRule="atLeast"/>
        </w:trPr>
        <w:tc>
          <w:tcPr>
            <w:tcW w:w="1508" w:type="dxa"/>
            <w:vMerge/>
            <w:tcBorders>
              <w:top w:val="nil"/>
            </w:tcBorders>
          </w:tcPr>
          <w:p>
            <w:pPr>
              <w:rPr>
                <w:sz w:val="2"/>
                <w:szCs w:val="2"/>
              </w:rPr>
            </w:pPr>
          </w:p>
        </w:tc>
        <w:tc>
          <w:tcPr>
            <w:tcW w:w="2203" w:type="dxa"/>
          </w:tcPr>
          <w:p>
            <w:pPr>
              <w:pStyle w:val="TableParagraph"/>
              <w:spacing w:line="177" w:lineRule="exact"/>
              <w:ind w:left="105"/>
              <w:jc w:val="left"/>
              <w:rPr>
                <w:sz w:val="17"/>
              </w:rPr>
            </w:pPr>
            <w:r>
              <w:rPr>
                <w:spacing w:val="-2"/>
                <w:sz w:val="17"/>
              </w:rPr>
              <w:t>proceedings</w:t>
            </w:r>
          </w:p>
        </w:tc>
        <w:tc>
          <w:tcPr>
            <w:tcW w:w="3554" w:type="dxa"/>
            <w:vMerge/>
            <w:tcBorders>
              <w:top w:val="nil"/>
              <w:bottom w:val="single" w:sz="4" w:space="0" w:color="000000"/>
            </w:tcBorders>
          </w:tcPr>
          <w:p>
            <w:pPr>
              <w:rPr>
                <w:sz w:val="2"/>
                <w:szCs w:val="2"/>
              </w:rPr>
            </w:pPr>
          </w:p>
        </w:tc>
        <w:tc>
          <w:tcPr>
            <w:tcW w:w="1124" w:type="dxa"/>
          </w:tcPr>
          <w:p>
            <w:pPr>
              <w:pStyle w:val="TableParagraph"/>
              <w:spacing w:line="188" w:lineRule="exact" w:before="63"/>
              <w:ind w:left="62"/>
              <w:jc w:val="left"/>
              <w:rPr>
                <w:sz w:val="17"/>
              </w:rPr>
            </w:pPr>
            <w:r>
              <w:rPr>
                <w:sz w:val="17"/>
              </w:rPr>
              <w:t>(ii) </w:t>
            </w:r>
            <w:r>
              <w:rPr>
                <w:spacing w:val="-2"/>
                <w:sz w:val="17"/>
              </w:rPr>
              <w:t>2,528,165</w:t>
            </w:r>
          </w:p>
        </w:tc>
        <w:tc>
          <w:tcPr>
            <w:tcW w:w="1114" w:type="dxa"/>
          </w:tcPr>
          <w:p>
            <w:pPr>
              <w:pStyle w:val="TableParagraph"/>
              <w:spacing w:before="29"/>
              <w:ind w:left="129"/>
              <w:jc w:val="left"/>
              <w:rPr>
                <w:sz w:val="17"/>
              </w:rPr>
            </w:pPr>
            <w:r>
              <w:rPr>
                <w:sz w:val="17"/>
              </w:rPr>
              <w:t>(ii)</w:t>
            </w:r>
            <w:r>
              <w:rPr>
                <w:spacing w:val="-5"/>
                <w:sz w:val="17"/>
              </w:rPr>
              <w:t> </w:t>
            </w:r>
            <w:r>
              <w:rPr>
                <w:spacing w:val="-2"/>
                <w:sz w:val="17"/>
              </w:rPr>
              <w:t>2,907,389</w:t>
            </w:r>
          </w:p>
        </w:tc>
      </w:tr>
      <w:tr>
        <w:trPr>
          <w:trHeight w:val="244" w:hRule="atLeast"/>
        </w:trPr>
        <w:tc>
          <w:tcPr>
            <w:tcW w:w="1508" w:type="dxa"/>
            <w:vMerge/>
            <w:tcBorders>
              <w:top w:val="nil"/>
            </w:tcBorders>
          </w:tcPr>
          <w:p>
            <w:pPr>
              <w:rPr>
                <w:sz w:val="2"/>
                <w:szCs w:val="2"/>
              </w:rPr>
            </w:pPr>
          </w:p>
        </w:tc>
        <w:tc>
          <w:tcPr>
            <w:tcW w:w="2203" w:type="dxa"/>
          </w:tcPr>
          <w:p>
            <w:pPr>
              <w:pStyle w:val="TableParagraph"/>
              <w:jc w:val="left"/>
              <w:rPr>
                <w:sz w:val="16"/>
              </w:rPr>
            </w:pPr>
          </w:p>
        </w:tc>
        <w:tc>
          <w:tcPr>
            <w:tcW w:w="3554" w:type="dxa"/>
            <w:vMerge/>
            <w:tcBorders>
              <w:top w:val="nil"/>
              <w:bottom w:val="single" w:sz="4" w:space="0" w:color="000000"/>
            </w:tcBorders>
          </w:tcPr>
          <w:p>
            <w:pPr>
              <w:rPr>
                <w:sz w:val="2"/>
                <w:szCs w:val="2"/>
              </w:rPr>
            </w:pPr>
          </w:p>
        </w:tc>
        <w:tc>
          <w:tcPr>
            <w:tcW w:w="1124" w:type="dxa"/>
          </w:tcPr>
          <w:p>
            <w:pPr>
              <w:pStyle w:val="TableParagraph"/>
              <w:spacing w:line="187" w:lineRule="exact" w:before="37"/>
              <w:ind w:left="62"/>
              <w:jc w:val="left"/>
              <w:rPr>
                <w:sz w:val="17"/>
              </w:rPr>
            </w:pPr>
            <w:r>
              <w:rPr>
                <w:sz w:val="17"/>
              </w:rPr>
              <w:t>(iii) </w:t>
            </w:r>
            <w:r>
              <w:rPr>
                <w:spacing w:val="-2"/>
                <w:sz w:val="17"/>
              </w:rPr>
              <w:t>(New)</w:t>
            </w:r>
          </w:p>
        </w:tc>
        <w:tc>
          <w:tcPr>
            <w:tcW w:w="1114" w:type="dxa"/>
          </w:tcPr>
          <w:p>
            <w:pPr>
              <w:pStyle w:val="TableParagraph"/>
              <w:spacing w:before="3"/>
              <w:ind w:left="129"/>
              <w:jc w:val="left"/>
              <w:rPr>
                <w:sz w:val="17"/>
              </w:rPr>
            </w:pPr>
            <w:r>
              <w:rPr>
                <w:sz w:val="17"/>
              </w:rPr>
              <w:t>(iii) </w:t>
            </w:r>
            <w:r>
              <w:rPr>
                <w:spacing w:val="-5"/>
                <w:sz w:val="17"/>
              </w:rPr>
              <w:t>N/A</w:t>
            </w:r>
          </w:p>
        </w:tc>
      </w:tr>
      <w:tr>
        <w:trPr>
          <w:trHeight w:val="244" w:hRule="atLeast"/>
        </w:trPr>
        <w:tc>
          <w:tcPr>
            <w:tcW w:w="1508" w:type="dxa"/>
            <w:vMerge/>
            <w:tcBorders>
              <w:top w:val="nil"/>
            </w:tcBorders>
          </w:tcPr>
          <w:p>
            <w:pPr>
              <w:rPr>
                <w:sz w:val="2"/>
                <w:szCs w:val="2"/>
              </w:rPr>
            </w:pPr>
          </w:p>
        </w:tc>
        <w:tc>
          <w:tcPr>
            <w:tcW w:w="2203" w:type="dxa"/>
          </w:tcPr>
          <w:p>
            <w:pPr>
              <w:pStyle w:val="TableParagraph"/>
              <w:jc w:val="left"/>
              <w:rPr>
                <w:sz w:val="16"/>
              </w:rPr>
            </w:pPr>
          </w:p>
        </w:tc>
        <w:tc>
          <w:tcPr>
            <w:tcW w:w="3554" w:type="dxa"/>
            <w:vMerge/>
            <w:tcBorders>
              <w:top w:val="nil"/>
              <w:bottom w:val="single" w:sz="4" w:space="0" w:color="000000"/>
            </w:tcBorders>
          </w:tcPr>
          <w:p>
            <w:pPr>
              <w:rPr>
                <w:sz w:val="2"/>
                <w:szCs w:val="2"/>
              </w:rPr>
            </w:pPr>
          </w:p>
        </w:tc>
        <w:tc>
          <w:tcPr>
            <w:tcW w:w="1124" w:type="dxa"/>
          </w:tcPr>
          <w:p>
            <w:pPr>
              <w:pStyle w:val="TableParagraph"/>
              <w:spacing w:line="187" w:lineRule="exact" w:before="37"/>
              <w:ind w:left="62"/>
              <w:jc w:val="left"/>
              <w:rPr>
                <w:sz w:val="17"/>
              </w:rPr>
            </w:pPr>
            <w:r>
              <w:rPr>
                <w:sz w:val="17"/>
              </w:rPr>
              <w:t>(iv)</w:t>
            </w:r>
            <w:r>
              <w:rPr>
                <w:spacing w:val="1"/>
                <w:sz w:val="17"/>
              </w:rPr>
              <w:t> </w:t>
            </w:r>
            <w:r>
              <w:rPr>
                <w:spacing w:val="-2"/>
                <w:sz w:val="17"/>
              </w:rPr>
              <w:t>965,568</w:t>
            </w:r>
          </w:p>
        </w:tc>
        <w:tc>
          <w:tcPr>
            <w:tcW w:w="1114" w:type="dxa"/>
          </w:tcPr>
          <w:p>
            <w:pPr>
              <w:pStyle w:val="TableParagraph"/>
              <w:spacing w:before="3"/>
              <w:ind w:left="129"/>
              <w:jc w:val="left"/>
              <w:rPr>
                <w:sz w:val="17"/>
              </w:rPr>
            </w:pPr>
            <w:r>
              <w:rPr>
                <w:sz w:val="17"/>
              </w:rPr>
              <w:t>(iv)</w:t>
            </w:r>
            <w:r>
              <w:rPr>
                <w:spacing w:val="-3"/>
                <w:sz w:val="17"/>
              </w:rPr>
              <w:t> </w:t>
            </w:r>
            <w:r>
              <w:rPr>
                <w:spacing w:val="-2"/>
                <w:sz w:val="17"/>
              </w:rPr>
              <w:t>1,110,403</w:t>
            </w:r>
          </w:p>
        </w:tc>
      </w:tr>
      <w:tr>
        <w:trPr>
          <w:trHeight w:val="198" w:hRule="atLeast"/>
        </w:trPr>
        <w:tc>
          <w:tcPr>
            <w:tcW w:w="1508" w:type="dxa"/>
            <w:vMerge/>
            <w:tcBorders>
              <w:top w:val="nil"/>
            </w:tcBorders>
          </w:tcPr>
          <w:p>
            <w:pPr>
              <w:rPr>
                <w:sz w:val="2"/>
                <w:szCs w:val="2"/>
              </w:rPr>
            </w:pPr>
          </w:p>
        </w:tc>
        <w:tc>
          <w:tcPr>
            <w:tcW w:w="2203" w:type="dxa"/>
          </w:tcPr>
          <w:p>
            <w:pPr>
              <w:pStyle w:val="TableParagraph"/>
              <w:jc w:val="left"/>
              <w:rPr>
                <w:sz w:val="12"/>
              </w:rPr>
            </w:pPr>
          </w:p>
        </w:tc>
        <w:tc>
          <w:tcPr>
            <w:tcW w:w="3554" w:type="dxa"/>
            <w:vMerge/>
            <w:tcBorders>
              <w:top w:val="nil"/>
              <w:bottom w:val="single" w:sz="4" w:space="0" w:color="000000"/>
            </w:tcBorders>
          </w:tcPr>
          <w:p>
            <w:pPr>
              <w:rPr>
                <w:sz w:val="2"/>
                <w:szCs w:val="2"/>
              </w:rPr>
            </w:pPr>
          </w:p>
        </w:tc>
        <w:tc>
          <w:tcPr>
            <w:tcW w:w="1124" w:type="dxa"/>
          </w:tcPr>
          <w:p>
            <w:pPr>
              <w:pStyle w:val="TableParagraph"/>
              <w:jc w:val="left"/>
              <w:rPr>
                <w:sz w:val="12"/>
              </w:rPr>
            </w:pPr>
          </w:p>
        </w:tc>
        <w:tc>
          <w:tcPr>
            <w:tcW w:w="1114" w:type="dxa"/>
          </w:tcPr>
          <w:p>
            <w:pPr>
              <w:pStyle w:val="TableParagraph"/>
              <w:spacing w:line="175" w:lineRule="exact" w:before="3"/>
              <w:ind w:left="129"/>
              <w:jc w:val="left"/>
              <w:rPr>
                <w:sz w:val="17"/>
              </w:rPr>
            </w:pPr>
            <w:r>
              <w:rPr>
                <w:spacing w:val="-4"/>
                <w:sz w:val="17"/>
              </w:rPr>
              <w:t>(15%</w:t>
            </w:r>
          </w:p>
        </w:tc>
      </w:tr>
      <w:tr>
        <w:trPr>
          <w:trHeight w:val="174" w:hRule="atLeast"/>
        </w:trPr>
        <w:tc>
          <w:tcPr>
            <w:tcW w:w="1508" w:type="dxa"/>
            <w:vMerge/>
            <w:tcBorders>
              <w:top w:val="nil"/>
            </w:tcBorders>
          </w:tcPr>
          <w:p>
            <w:pPr>
              <w:rPr>
                <w:sz w:val="2"/>
                <w:szCs w:val="2"/>
              </w:rPr>
            </w:pPr>
          </w:p>
        </w:tc>
        <w:tc>
          <w:tcPr>
            <w:tcW w:w="2203" w:type="dxa"/>
          </w:tcPr>
          <w:p>
            <w:pPr>
              <w:pStyle w:val="TableParagraph"/>
              <w:jc w:val="left"/>
              <w:rPr>
                <w:sz w:val="10"/>
              </w:rPr>
            </w:pPr>
          </w:p>
        </w:tc>
        <w:tc>
          <w:tcPr>
            <w:tcW w:w="3554" w:type="dxa"/>
            <w:vMerge/>
            <w:tcBorders>
              <w:top w:val="nil"/>
              <w:bottom w:val="single" w:sz="4" w:space="0" w:color="000000"/>
            </w:tcBorders>
          </w:tcPr>
          <w:p>
            <w:pPr>
              <w:rPr>
                <w:sz w:val="2"/>
                <w:szCs w:val="2"/>
              </w:rPr>
            </w:pPr>
          </w:p>
        </w:tc>
        <w:tc>
          <w:tcPr>
            <w:tcW w:w="1124" w:type="dxa"/>
          </w:tcPr>
          <w:p>
            <w:pPr>
              <w:pStyle w:val="TableParagraph"/>
              <w:jc w:val="left"/>
              <w:rPr>
                <w:sz w:val="10"/>
              </w:rPr>
            </w:pPr>
          </w:p>
        </w:tc>
        <w:tc>
          <w:tcPr>
            <w:tcW w:w="1114" w:type="dxa"/>
          </w:tcPr>
          <w:p>
            <w:pPr>
              <w:pStyle w:val="TableParagraph"/>
              <w:spacing w:line="155" w:lineRule="exact"/>
              <w:ind w:left="129"/>
              <w:jc w:val="left"/>
              <w:rPr>
                <w:sz w:val="17"/>
              </w:rPr>
            </w:pPr>
            <w:r>
              <w:rPr>
                <w:spacing w:val="-2"/>
                <w:sz w:val="17"/>
              </w:rPr>
              <w:t>increase)</w:t>
            </w:r>
          </w:p>
        </w:tc>
      </w:tr>
      <w:tr>
        <w:trPr>
          <w:trHeight w:val="450" w:hRule="atLeast"/>
        </w:trPr>
        <w:tc>
          <w:tcPr>
            <w:tcW w:w="1508" w:type="dxa"/>
            <w:vMerge/>
            <w:tcBorders>
              <w:top w:val="nil"/>
            </w:tcBorders>
          </w:tcPr>
          <w:p>
            <w:pPr>
              <w:rPr>
                <w:sz w:val="2"/>
                <w:szCs w:val="2"/>
              </w:rPr>
            </w:pPr>
          </w:p>
        </w:tc>
        <w:tc>
          <w:tcPr>
            <w:tcW w:w="2203" w:type="dxa"/>
          </w:tcPr>
          <w:p>
            <w:pPr>
              <w:pStyle w:val="TableParagraph"/>
              <w:jc w:val="left"/>
              <w:rPr>
                <w:sz w:val="16"/>
              </w:rPr>
            </w:pPr>
          </w:p>
        </w:tc>
        <w:tc>
          <w:tcPr>
            <w:tcW w:w="3554" w:type="dxa"/>
            <w:vMerge/>
            <w:tcBorders>
              <w:top w:val="nil"/>
              <w:bottom w:val="single" w:sz="4" w:space="0" w:color="000000"/>
            </w:tcBorders>
          </w:tcPr>
          <w:p>
            <w:pPr>
              <w:rPr>
                <w:sz w:val="2"/>
                <w:szCs w:val="2"/>
              </w:rPr>
            </w:pPr>
          </w:p>
        </w:tc>
        <w:tc>
          <w:tcPr>
            <w:tcW w:w="1124" w:type="dxa"/>
          </w:tcPr>
          <w:p>
            <w:pPr>
              <w:pStyle w:val="TableParagraph"/>
              <w:spacing w:line="175" w:lineRule="exact"/>
              <w:ind w:left="62"/>
              <w:jc w:val="left"/>
              <w:rPr>
                <w:sz w:val="17"/>
              </w:rPr>
            </w:pPr>
            <w:r>
              <w:rPr>
                <w:sz w:val="17"/>
              </w:rPr>
              <w:t>˗</w:t>
            </w:r>
            <w:r>
              <w:rPr>
                <w:spacing w:val="77"/>
                <w:sz w:val="17"/>
              </w:rPr>
              <w:t> </w:t>
            </w:r>
            <w:r>
              <w:rPr>
                <w:spacing w:val="-12"/>
                <w:sz w:val="17"/>
              </w:rPr>
              <w:t>4</w:t>
            </w:r>
          </w:p>
        </w:tc>
        <w:tc>
          <w:tcPr>
            <w:tcW w:w="1114" w:type="dxa"/>
          </w:tcPr>
          <w:p>
            <w:pPr>
              <w:pStyle w:val="TableParagraph"/>
              <w:spacing w:before="61"/>
              <w:ind w:left="129"/>
              <w:jc w:val="left"/>
              <w:rPr>
                <w:sz w:val="17"/>
              </w:rPr>
            </w:pPr>
            <w:r>
              <w:rPr>
                <w:sz w:val="17"/>
              </w:rPr>
              <w:t>˗</w:t>
            </w:r>
            <w:r>
              <w:rPr>
                <w:spacing w:val="65"/>
                <w:w w:val="150"/>
                <w:sz w:val="17"/>
              </w:rPr>
              <w:t> </w:t>
            </w:r>
            <w:r>
              <w:rPr>
                <w:spacing w:val="-10"/>
                <w:sz w:val="17"/>
              </w:rPr>
              <w:t>4</w:t>
            </w:r>
          </w:p>
        </w:tc>
      </w:tr>
      <w:tr>
        <w:trPr>
          <w:trHeight w:val="415" w:hRule="atLeast"/>
        </w:trPr>
        <w:tc>
          <w:tcPr>
            <w:tcW w:w="1508" w:type="dxa"/>
            <w:vMerge/>
            <w:tcBorders>
              <w:top w:val="nil"/>
            </w:tcBorders>
          </w:tcPr>
          <w:p>
            <w:pPr>
              <w:rPr>
                <w:sz w:val="2"/>
                <w:szCs w:val="2"/>
              </w:rPr>
            </w:pPr>
          </w:p>
        </w:tc>
        <w:tc>
          <w:tcPr>
            <w:tcW w:w="2203" w:type="dxa"/>
          </w:tcPr>
          <w:p>
            <w:pPr>
              <w:pStyle w:val="TableParagraph"/>
              <w:jc w:val="left"/>
              <w:rPr>
                <w:sz w:val="16"/>
              </w:rPr>
            </w:pPr>
          </w:p>
        </w:tc>
        <w:tc>
          <w:tcPr>
            <w:tcW w:w="3554" w:type="dxa"/>
            <w:vMerge/>
            <w:tcBorders>
              <w:top w:val="nil"/>
              <w:bottom w:val="single" w:sz="4" w:space="0" w:color="000000"/>
            </w:tcBorders>
          </w:tcPr>
          <w:p>
            <w:pPr>
              <w:rPr>
                <w:sz w:val="2"/>
                <w:szCs w:val="2"/>
              </w:rPr>
            </w:pPr>
          </w:p>
        </w:tc>
        <w:tc>
          <w:tcPr>
            <w:tcW w:w="1124" w:type="dxa"/>
          </w:tcPr>
          <w:p>
            <w:pPr>
              <w:pStyle w:val="TableParagraph"/>
              <w:spacing w:before="6"/>
              <w:jc w:val="left"/>
              <w:rPr>
                <w:b/>
                <w:sz w:val="16"/>
              </w:rPr>
            </w:pPr>
          </w:p>
          <w:p>
            <w:pPr>
              <w:pStyle w:val="TableParagraph"/>
              <w:ind w:left="62"/>
              <w:jc w:val="left"/>
              <w:rPr>
                <w:sz w:val="17"/>
              </w:rPr>
            </w:pPr>
            <w:r>
              <w:rPr>
                <w:sz w:val="17"/>
              </w:rPr>
              <w:t>(i) </w:t>
            </w:r>
            <w:r>
              <w:rPr>
                <w:spacing w:val="-2"/>
                <w:sz w:val="17"/>
              </w:rPr>
              <w:t>(New)</w:t>
            </w:r>
          </w:p>
        </w:tc>
        <w:tc>
          <w:tcPr>
            <w:tcW w:w="1114" w:type="dxa"/>
          </w:tcPr>
          <w:p>
            <w:pPr>
              <w:pStyle w:val="TableParagraph"/>
              <w:spacing w:before="1"/>
              <w:jc w:val="left"/>
              <w:rPr>
                <w:b/>
                <w:sz w:val="16"/>
              </w:rPr>
            </w:pPr>
          </w:p>
          <w:p>
            <w:pPr>
              <w:pStyle w:val="TableParagraph"/>
              <w:ind w:left="129"/>
              <w:jc w:val="left"/>
              <w:rPr>
                <w:sz w:val="17"/>
              </w:rPr>
            </w:pPr>
            <w:r>
              <w:rPr>
                <w:sz w:val="17"/>
              </w:rPr>
              <w:t>(i) </w:t>
            </w:r>
            <w:r>
              <w:rPr>
                <w:spacing w:val="-5"/>
                <w:sz w:val="17"/>
              </w:rPr>
              <w:t>TBD</w:t>
            </w:r>
          </w:p>
        </w:tc>
      </w:tr>
      <w:tr>
        <w:trPr>
          <w:trHeight w:val="279" w:hRule="atLeast"/>
        </w:trPr>
        <w:tc>
          <w:tcPr>
            <w:tcW w:w="1508" w:type="dxa"/>
            <w:vMerge/>
            <w:tcBorders>
              <w:top w:val="nil"/>
            </w:tcBorders>
          </w:tcPr>
          <w:p>
            <w:pPr>
              <w:rPr>
                <w:sz w:val="2"/>
                <w:szCs w:val="2"/>
              </w:rPr>
            </w:pPr>
          </w:p>
        </w:tc>
        <w:tc>
          <w:tcPr>
            <w:tcW w:w="2203" w:type="dxa"/>
            <w:tcBorders>
              <w:bottom w:val="single" w:sz="4" w:space="0" w:color="000000"/>
            </w:tcBorders>
          </w:tcPr>
          <w:p>
            <w:pPr>
              <w:pStyle w:val="TableParagraph"/>
              <w:jc w:val="left"/>
              <w:rPr>
                <w:sz w:val="16"/>
              </w:rPr>
            </w:pPr>
          </w:p>
        </w:tc>
        <w:tc>
          <w:tcPr>
            <w:tcW w:w="3554" w:type="dxa"/>
            <w:vMerge/>
            <w:tcBorders>
              <w:top w:val="nil"/>
              <w:bottom w:val="single" w:sz="4" w:space="0" w:color="000000"/>
            </w:tcBorders>
          </w:tcPr>
          <w:p>
            <w:pPr>
              <w:rPr>
                <w:sz w:val="2"/>
                <w:szCs w:val="2"/>
              </w:rPr>
            </w:pPr>
          </w:p>
        </w:tc>
        <w:tc>
          <w:tcPr>
            <w:tcW w:w="1124" w:type="dxa"/>
            <w:tcBorders>
              <w:bottom w:val="single" w:sz="4" w:space="0" w:color="000000"/>
            </w:tcBorders>
          </w:tcPr>
          <w:p>
            <w:pPr>
              <w:pStyle w:val="TableParagraph"/>
              <w:spacing w:before="20"/>
              <w:ind w:left="62"/>
              <w:jc w:val="left"/>
              <w:rPr>
                <w:sz w:val="17"/>
              </w:rPr>
            </w:pPr>
            <w:r>
              <w:rPr>
                <w:sz w:val="17"/>
              </w:rPr>
              <w:t>(ii) </w:t>
            </w:r>
            <w:r>
              <w:rPr>
                <w:spacing w:val="-2"/>
                <w:sz w:val="17"/>
              </w:rPr>
              <w:t>(New)</w:t>
            </w:r>
          </w:p>
        </w:tc>
        <w:tc>
          <w:tcPr>
            <w:tcW w:w="1114" w:type="dxa"/>
            <w:tcBorders>
              <w:bottom w:val="single" w:sz="4" w:space="0" w:color="000000"/>
            </w:tcBorders>
          </w:tcPr>
          <w:p>
            <w:pPr>
              <w:pStyle w:val="TableParagraph"/>
              <w:spacing w:before="20"/>
              <w:ind w:left="129"/>
              <w:jc w:val="left"/>
              <w:rPr>
                <w:sz w:val="17"/>
              </w:rPr>
            </w:pPr>
            <w:r>
              <w:rPr>
                <w:sz w:val="17"/>
              </w:rPr>
              <w:t>(ii) </w:t>
            </w:r>
            <w:r>
              <w:rPr>
                <w:spacing w:val="-5"/>
                <w:sz w:val="17"/>
              </w:rPr>
              <w:t>TBD</w:t>
            </w:r>
          </w:p>
        </w:tc>
      </w:tr>
      <w:tr>
        <w:trPr>
          <w:trHeight w:val="1156" w:hRule="atLeast"/>
        </w:trPr>
        <w:tc>
          <w:tcPr>
            <w:tcW w:w="1508" w:type="dxa"/>
            <w:tcBorders>
              <w:bottom w:val="single" w:sz="4" w:space="0" w:color="000000"/>
            </w:tcBorders>
          </w:tcPr>
          <w:p>
            <w:pPr>
              <w:pStyle w:val="TableParagraph"/>
              <w:jc w:val="left"/>
              <w:rPr>
                <w:sz w:val="16"/>
              </w:rPr>
            </w:pPr>
          </w:p>
        </w:tc>
        <w:tc>
          <w:tcPr>
            <w:tcW w:w="2203" w:type="dxa"/>
            <w:tcBorders>
              <w:top w:val="single" w:sz="4" w:space="0" w:color="000000"/>
              <w:bottom w:val="single" w:sz="4" w:space="0" w:color="000000"/>
            </w:tcBorders>
          </w:tcPr>
          <w:p>
            <w:pPr>
              <w:pStyle w:val="TableParagraph"/>
              <w:spacing w:before="57"/>
              <w:ind w:left="105" w:right="182"/>
              <w:jc w:val="left"/>
              <w:rPr>
                <w:sz w:val="17"/>
              </w:rPr>
            </w:pPr>
            <w:r>
              <w:rPr>
                <w:b/>
                <w:sz w:val="17"/>
              </w:rPr>
              <w:t>Objective 1.5. </w:t>
            </w:r>
            <w:r>
              <w:rPr>
                <w:sz w:val="17"/>
              </w:rPr>
              <w:t>Ensure effective</w:t>
            </w:r>
            <w:r>
              <w:rPr>
                <w:spacing w:val="-11"/>
                <w:sz w:val="17"/>
              </w:rPr>
              <w:t> </w:t>
            </w:r>
            <w:r>
              <w:rPr>
                <w:sz w:val="17"/>
              </w:rPr>
              <w:t>support</w:t>
            </w:r>
            <w:r>
              <w:rPr>
                <w:spacing w:val="-11"/>
                <w:sz w:val="17"/>
              </w:rPr>
              <w:t> </w:t>
            </w:r>
            <w:r>
              <w:rPr>
                <w:sz w:val="17"/>
              </w:rPr>
              <w:t>to</w:t>
            </w:r>
            <w:r>
              <w:rPr>
                <w:spacing w:val="-10"/>
                <w:sz w:val="17"/>
              </w:rPr>
              <w:t> </w:t>
            </w:r>
            <w:r>
              <w:rPr>
                <w:sz w:val="17"/>
              </w:rPr>
              <w:t>victims and witnesses as well as representation</w:t>
            </w:r>
            <w:r>
              <w:rPr>
                <w:spacing w:val="-11"/>
                <w:sz w:val="17"/>
              </w:rPr>
              <w:t> </w:t>
            </w:r>
            <w:r>
              <w:rPr>
                <w:sz w:val="17"/>
              </w:rPr>
              <w:t>of</w:t>
            </w:r>
            <w:r>
              <w:rPr>
                <w:spacing w:val="-11"/>
                <w:sz w:val="17"/>
              </w:rPr>
              <w:t> </w:t>
            </w:r>
            <w:r>
              <w:rPr>
                <w:sz w:val="17"/>
              </w:rPr>
              <w:t>victims</w:t>
            </w:r>
            <w:r>
              <w:rPr>
                <w:spacing w:val="-10"/>
                <w:sz w:val="17"/>
              </w:rPr>
              <w:t> </w:t>
            </w:r>
            <w:r>
              <w:rPr>
                <w:sz w:val="17"/>
              </w:rPr>
              <w:t>in judicial proceedings</w:t>
            </w:r>
          </w:p>
        </w:tc>
        <w:tc>
          <w:tcPr>
            <w:tcW w:w="3554" w:type="dxa"/>
            <w:tcBorders>
              <w:top w:val="single" w:sz="4" w:space="0" w:color="000000"/>
              <w:bottom w:val="single" w:sz="4" w:space="0" w:color="000000"/>
            </w:tcBorders>
          </w:tcPr>
          <w:p>
            <w:pPr>
              <w:pStyle w:val="TableParagraph"/>
              <w:spacing w:before="57"/>
              <w:ind w:left="274" w:right="67" w:hanging="144"/>
              <w:jc w:val="left"/>
              <w:rPr>
                <w:sz w:val="17"/>
              </w:rPr>
            </w:pPr>
            <w:r>
              <w:rPr>
                <w:sz w:val="17"/>
              </w:rPr>
              <w:t>˗</w:t>
            </w:r>
            <w:r>
              <w:rPr>
                <w:spacing w:val="32"/>
                <w:sz w:val="17"/>
              </w:rPr>
              <w:t> </w:t>
            </w:r>
            <w:r>
              <w:rPr>
                <w:sz w:val="17"/>
              </w:rPr>
              <w:t>Average</w:t>
            </w:r>
            <w:r>
              <w:rPr>
                <w:spacing w:val="-5"/>
                <w:sz w:val="17"/>
              </w:rPr>
              <w:t> </w:t>
            </w:r>
            <w:r>
              <w:rPr>
                <w:sz w:val="17"/>
              </w:rPr>
              <w:t>time</w:t>
            </w:r>
            <w:r>
              <w:rPr>
                <w:spacing w:val="-5"/>
                <w:sz w:val="17"/>
              </w:rPr>
              <w:t> </w:t>
            </w:r>
            <w:r>
              <w:rPr>
                <w:sz w:val="17"/>
              </w:rPr>
              <w:t>taken</w:t>
            </w:r>
            <w:r>
              <w:rPr>
                <w:spacing w:val="-5"/>
                <w:sz w:val="17"/>
              </w:rPr>
              <w:t> </w:t>
            </w:r>
            <w:r>
              <w:rPr>
                <w:sz w:val="17"/>
              </w:rPr>
              <w:t>for</w:t>
            </w:r>
            <w:r>
              <w:rPr>
                <w:spacing w:val="-5"/>
                <w:sz w:val="17"/>
              </w:rPr>
              <w:t> </w:t>
            </w:r>
            <w:r>
              <w:rPr>
                <w:sz w:val="17"/>
              </w:rPr>
              <w:t>a</w:t>
            </w:r>
            <w:r>
              <w:rPr>
                <w:spacing w:val="-5"/>
                <w:sz w:val="17"/>
              </w:rPr>
              <w:t> </w:t>
            </w:r>
            <w:r>
              <w:rPr>
                <w:sz w:val="17"/>
              </w:rPr>
              <w:t>witness</w:t>
            </w:r>
            <w:r>
              <w:rPr>
                <w:spacing w:val="-5"/>
                <w:sz w:val="17"/>
              </w:rPr>
              <w:t> </w:t>
            </w:r>
            <w:r>
              <w:rPr>
                <w:sz w:val="17"/>
              </w:rPr>
              <w:t>in</w:t>
            </w:r>
            <w:r>
              <w:rPr>
                <w:spacing w:val="-5"/>
                <w:sz w:val="17"/>
              </w:rPr>
              <w:t> </w:t>
            </w:r>
            <w:r>
              <w:rPr>
                <w:sz w:val="17"/>
              </w:rPr>
              <w:t>protection to</w:t>
            </w:r>
            <w:r>
              <w:rPr>
                <w:spacing w:val="-6"/>
                <w:sz w:val="17"/>
              </w:rPr>
              <w:t> </w:t>
            </w:r>
            <w:r>
              <w:rPr>
                <w:sz w:val="17"/>
              </w:rPr>
              <w:t>receive</w:t>
            </w:r>
            <w:r>
              <w:rPr>
                <w:spacing w:val="-9"/>
                <w:sz w:val="17"/>
              </w:rPr>
              <w:t> </w:t>
            </w:r>
            <w:r>
              <w:rPr>
                <w:sz w:val="17"/>
              </w:rPr>
              <w:t>assistance</w:t>
            </w:r>
            <w:r>
              <w:rPr>
                <w:spacing w:val="-5"/>
                <w:sz w:val="17"/>
              </w:rPr>
              <w:t> </w:t>
            </w:r>
            <w:r>
              <w:rPr>
                <w:sz w:val="17"/>
              </w:rPr>
              <w:t>for</w:t>
            </w:r>
            <w:r>
              <w:rPr>
                <w:spacing w:val="-6"/>
                <w:sz w:val="17"/>
              </w:rPr>
              <w:t> </w:t>
            </w:r>
            <w:r>
              <w:rPr>
                <w:sz w:val="17"/>
              </w:rPr>
              <w:t>permanent</w:t>
            </w:r>
            <w:r>
              <w:rPr>
                <w:spacing w:val="-6"/>
                <w:sz w:val="17"/>
              </w:rPr>
              <w:t> </w:t>
            </w:r>
            <w:r>
              <w:rPr>
                <w:spacing w:val="-2"/>
                <w:sz w:val="17"/>
              </w:rPr>
              <w:t>relocation</w:t>
            </w:r>
          </w:p>
          <w:p>
            <w:pPr>
              <w:pStyle w:val="TableParagraph"/>
              <w:spacing w:before="60"/>
              <w:ind w:left="274" w:hanging="144"/>
              <w:jc w:val="left"/>
              <w:rPr>
                <w:sz w:val="17"/>
              </w:rPr>
            </w:pPr>
            <w:r>
              <w:rPr>
                <w:sz w:val="17"/>
              </w:rPr>
              <w:t>˗</w:t>
            </w:r>
            <w:r>
              <w:rPr>
                <w:spacing w:val="40"/>
                <w:sz w:val="17"/>
              </w:rPr>
              <w:t> </w:t>
            </w:r>
            <w:r>
              <w:rPr>
                <w:sz w:val="17"/>
              </w:rPr>
              <w:t>Percentage of individual victim application assessments</w:t>
            </w:r>
            <w:r>
              <w:rPr>
                <w:spacing w:val="-6"/>
                <w:sz w:val="17"/>
              </w:rPr>
              <w:t> </w:t>
            </w:r>
            <w:r>
              <w:rPr>
                <w:sz w:val="17"/>
              </w:rPr>
              <w:t>that</w:t>
            </w:r>
            <w:r>
              <w:rPr>
                <w:spacing w:val="-7"/>
                <w:sz w:val="17"/>
              </w:rPr>
              <w:t> </w:t>
            </w:r>
            <w:r>
              <w:rPr>
                <w:sz w:val="17"/>
              </w:rPr>
              <w:t>are</w:t>
            </w:r>
            <w:r>
              <w:rPr>
                <w:spacing w:val="-6"/>
                <w:sz w:val="17"/>
              </w:rPr>
              <w:t> </w:t>
            </w:r>
            <w:r>
              <w:rPr>
                <w:sz w:val="17"/>
              </w:rPr>
              <w:t>corrected</w:t>
            </w:r>
            <w:r>
              <w:rPr>
                <w:spacing w:val="-10"/>
                <w:sz w:val="17"/>
              </w:rPr>
              <w:t> </w:t>
            </w:r>
            <w:r>
              <w:rPr>
                <w:sz w:val="17"/>
              </w:rPr>
              <w:t>or</w:t>
            </w:r>
            <w:r>
              <w:rPr>
                <w:spacing w:val="-6"/>
                <w:sz w:val="17"/>
              </w:rPr>
              <w:t> </w:t>
            </w:r>
            <w:r>
              <w:rPr>
                <w:sz w:val="17"/>
              </w:rPr>
              <w:t>overturned</w:t>
            </w:r>
            <w:r>
              <w:rPr>
                <w:spacing w:val="-6"/>
                <w:sz w:val="17"/>
              </w:rPr>
              <w:t> </w:t>
            </w:r>
            <w:r>
              <w:rPr>
                <w:sz w:val="17"/>
              </w:rPr>
              <w:t>by the Chambers</w:t>
            </w:r>
          </w:p>
        </w:tc>
        <w:tc>
          <w:tcPr>
            <w:tcW w:w="1124" w:type="dxa"/>
            <w:tcBorders>
              <w:top w:val="single" w:sz="4" w:space="0" w:color="000000"/>
              <w:bottom w:val="single" w:sz="4" w:space="0" w:color="000000"/>
            </w:tcBorders>
          </w:tcPr>
          <w:p>
            <w:pPr>
              <w:pStyle w:val="TableParagraph"/>
              <w:spacing w:before="62"/>
              <w:ind w:left="62"/>
              <w:jc w:val="left"/>
              <w:rPr>
                <w:sz w:val="17"/>
              </w:rPr>
            </w:pPr>
            <w:r>
              <w:rPr>
                <w:sz w:val="17"/>
              </w:rPr>
              <w:t>˗</w:t>
            </w:r>
            <w:r>
              <w:rPr>
                <w:spacing w:val="43"/>
                <w:sz w:val="17"/>
              </w:rPr>
              <w:t> </w:t>
            </w:r>
            <w:r>
              <w:rPr>
                <w:spacing w:val="-2"/>
                <w:sz w:val="17"/>
              </w:rPr>
              <w:t>(New)</w:t>
            </w:r>
          </w:p>
          <w:p>
            <w:pPr>
              <w:pStyle w:val="TableParagraph"/>
              <w:spacing w:before="2"/>
              <w:jc w:val="left"/>
              <w:rPr>
                <w:b/>
                <w:sz w:val="22"/>
              </w:rPr>
            </w:pPr>
          </w:p>
          <w:p>
            <w:pPr>
              <w:pStyle w:val="TableParagraph"/>
              <w:ind w:left="62"/>
              <w:jc w:val="left"/>
              <w:rPr>
                <w:sz w:val="17"/>
              </w:rPr>
            </w:pPr>
            <w:r>
              <w:rPr>
                <w:sz w:val="17"/>
              </w:rPr>
              <w:t>˗</w:t>
            </w:r>
            <w:r>
              <w:rPr>
                <w:spacing w:val="43"/>
                <w:sz w:val="17"/>
              </w:rPr>
              <w:t> </w:t>
            </w:r>
            <w:r>
              <w:rPr>
                <w:spacing w:val="-4"/>
                <w:sz w:val="17"/>
              </w:rPr>
              <w:t>100%</w:t>
            </w:r>
          </w:p>
        </w:tc>
        <w:tc>
          <w:tcPr>
            <w:tcW w:w="1114" w:type="dxa"/>
            <w:tcBorders>
              <w:top w:val="single" w:sz="4" w:space="0" w:color="000000"/>
              <w:bottom w:val="single" w:sz="4" w:space="0" w:color="000000"/>
            </w:tcBorders>
          </w:tcPr>
          <w:p>
            <w:pPr>
              <w:pStyle w:val="TableParagraph"/>
              <w:spacing w:before="62"/>
              <w:ind w:left="129"/>
              <w:jc w:val="left"/>
              <w:rPr>
                <w:sz w:val="17"/>
              </w:rPr>
            </w:pPr>
            <w:r>
              <w:rPr>
                <w:sz w:val="17"/>
              </w:rPr>
              <w:t>˗</w:t>
            </w:r>
            <w:r>
              <w:rPr>
                <w:spacing w:val="43"/>
                <w:sz w:val="17"/>
              </w:rPr>
              <w:t> </w:t>
            </w:r>
            <w:r>
              <w:rPr>
                <w:spacing w:val="-5"/>
                <w:sz w:val="17"/>
              </w:rPr>
              <w:t>N/A</w:t>
            </w:r>
          </w:p>
          <w:p>
            <w:pPr>
              <w:pStyle w:val="TableParagraph"/>
              <w:spacing w:before="1"/>
              <w:jc w:val="left"/>
              <w:rPr>
                <w:b/>
                <w:sz w:val="20"/>
              </w:rPr>
            </w:pPr>
          </w:p>
          <w:p>
            <w:pPr>
              <w:pStyle w:val="TableParagraph"/>
              <w:ind w:left="129"/>
              <w:jc w:val="left"/>
              <w:rPr>
                <w:sz w:val="17"/>
              </w:rPr>
            </w:pPr>
            <w:r>
              <w:rPr>
                <w:rFonts w:ascii="Palatino Linotype"/>
                <w:sz w:val="17"/>
              </w:rPr>
              <w:t>- </w:t>
            </w:r>
            <w:r>
              <w:rPr>
                <w:spacing w:val="-4"/>
                <w:sz w:val="17"/>
              </w:rPr>
              <w:t>100%</w:t>
            </w:r>
          </w:p>
        </w:tc>
      </w:tr>
    </w:tbl>
    <w:p>
      <w:pPr>
        <w:spacing w:after="0"/>
        <w:jc w:val="left"/>
        <w:rPr>
          <w:sz w:val="17"/>
        </w:rPr>
        <w:sectPr>
          <w:headerReference w:type="default" r:id="rId137"/>
          <w:headerReference w:type="even" r:id="rId138"/>
          <w:footerReference w:type="default" r:id="rId139"/>
          <w:footerReference w:type="even" r:id="rId140"/>
          <w:pgSz w:w="11910" w:h="16840"/>
          <w:pgMar w:header="957" w:footer="940" w:top="1140" w:bottom="2315" w:left="20" w:right="20"/>
          <w:pgNumType w:start="203"/>
        </w:sectPr>
      </w:pPr>
    </w:p>
    <w:tbl>
      <w:tblPr>
        <w:tblW w:w="0" w:type="auto"/>
        <w:jc w:val="left"/>
        <w:tblInd w:w="1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
        <w:gridCol w:w="1676"/>
        <w:gridCol w:w="1978"/>
        <w:gridCol w:w="3610"/>
        <w:gridCol w:w="1047"/>
        <w:gridCol w:w="1193"/>
        <w:gridCol w:w="96"/>
      </w:tblGrid>
      <w:tr>
        <w:trPr>
          <w:trHeight w:val="119" w:hRule="atLeast"/>
        </w:trPr>
        <w:tc>
          <w:tcPr>
            <w:tcW w:w="101" w:type="dxa"/>
            <w:tcBorders>
              <w:top w:val="single" w:sz="2" w:space="0" w:color="000000"/>
            </w:tcBorders>
          </w:tcPr>
          <w:p>
            <w:pPr>
              <w:pStyle w:val="TableParagraph"/>
              <w:jc w:val="left"/>
              <w:rPr>
                <w:sz w:val="6"/>
              </w:rPr>
            </w:pPr>
          </w:p>
        </w:tc>
        <w:tc>
          <w:tcPr>
            <w:tcW w:w="1676" w:type="dxa"/>
            <w:tcBorders>
              <w:top w:val="single" w:sz="2" w:space="0" w:color="000000"/>
              <w:bottom w:val="single" w:sz="4" w:space="0" w:color="000000"/>
            </w:tcBorders>
          </w:tcPr>
          <w:p>
            <w:pPr>
              <w:pStyle w:val="TableParagraph"/>
              <w:jc w:val="left"/>
              <w:rPr>
                <w:sz w:val="6"/>
              </w:rPr>
            </w:pPr>
          </w:p>
        </w:tc>
        <w:tc>
          <w:tcPr>
            <w:tcW w:w="1978" w:type="dxa"/>
            <w:tcBorders>
              <w:top w:val="single" w:sz="2" w:space="0" w:color="000000"/>
              <w:bottom w:val="single" w:sz="4" w:space="0" w:color="000000"/>
            </w:tcBorders>
          </w:tcPr>
          <w:p>
            <w:pPr>
              <w:pStyle w:val="TableParagraph"/>
              <w:jc w:val="left"/>
              <w:rPr>
                <w:sz w:val="6"/>
              </w:rPr>
            </w:pPr>
          </w:p>
        </w:tc>
        <w:tc>
          <w:tcPr>
            <w:tcW w:w="3610" w:type="dxa"/>
            <w:tcBorders>
              <w:top w:val="single" w:sz="2" w:space="0" w:color="000000"/>
              <w:bottom w:val="single" w:sz="4" w:space="0" w:color="000000"/>
            </w:tcBorders>
          </w:tcPr>
          <w:p>
            <w:pPr>
              <w:pStyle w:val="TableParagraph"/>
              <w:jc w:val="left"/>
              <w:rPr>
                <w:sz w:val="6"/>
              </w:rPr>
            </w:pPr>
          </w:p>
        </w:tc>
        <w:tc>
          <w:tcPr>
            <w:tcW w:w="1047" w:type="dxa"/>
            <w:tcBorders>
              <w:top w:val="single" w:sz="2" w:space="0" w:color="000000"/>
              <w:bottom w:val="single" w:sz="4" w:space="0" w:color="000000"/>
            </w:tcBorders>
          </w:tcPr>
          <w:p>
            <w:pPr>
              <w:pStyle w:val="TableParagraph"/>
              <w:jc w:val="left"/>
              <w:rPr>
                <w:sz w:val="6"/>
              </w:rPr>
            </w:pPr>
          </w:p>
        </w:tc>
        <w:tc>
          <w:tcPr>
            <w:tcW w:w="1193" w:type="dxa"/>
            <w:tcBorders>
              <w:top w:val="single" w:sz="2" w:space="0" w:color="000000"/>
              <w:bottom w:val="single" w:sz="4" w:space="0" w:color="000000"/>
            </w:tcBorders>
          </w:tcPr>
          <w:p>
            <w:pPr>
              <w:pStyle w:val="TableParagraph"/>
              <w:jc w:val="left"/>
              <w:rPr>
                <w:sz w:val="6"/>
              </w:rPr>
            </w:pPr>
          </w:p>
        </w:tc>
        <w:tc>
          <w:tcPr>
            <w:tcW w:w="96" w:type="dxa"/>
            <w:tcBorders>
              <w:top w:val="single" w:sz="2" w:space="0" w:color="000000"/>
            </w:tcBorders>
          </w:tcPr>
          <w:p>
            <w:pPr>
              <w:pStyle w:val="TableParagraph"/>
              <w:jc w:val="left"/>
              <w:rPr>
                <w:sz w:val="6"/>
              </w:rPr>
            </w:pPr>
          </w:p>
        </w:tc>
      </w:tr>
      <w:tr>
        <w:trPr>
          <w:trHeight w:val="570" w:hRule="atLeast"/>
        </w:trPr>
        <w:tc>
          <w:tcPr>
            <w:tcW w:w="101" w:type="dxa"/>
          </w:tcPr>
          <w:p>
            <w:pPr>
              <w:pStyle w:val="TableParagraph"/>
              <w:jc w:val="left"/>
              <w:rPr>
                <w:sz w:val="16"/>
              </w:rPr>
            </w:pPr>
          </w:p>
        </w:tc>
        <w:tc>
          <w:tcPr>
            <w:tcW w:w="1676" w:type="dxa"/>
            <w:tcBorders>
              <w:top w:val="single" w:sz="4" w:space="0" w:color="000000"/>
              <w:bottom w:val="single" w:sz="4" w:space="0" w:color="000000"/>
            </w:tcBorders>
          </w:tcPr>
          <w:p>
            <w:pPr>
              <w:pStyle w:val="TableParagraph"/>
              <w:spacing w:line="250" w:lineRule="atLeast" w:before="9"/>
              <w:ind w:left="119" w:right="287" w:firstLine="115"/>
              <w:jc w:val="left"/>
              <w:rPr>
                <w:b/>
                <w:i/>
                <w:sz w:val="17"/>
              </w:rPr>
            </w:pPr>
            <w:r>
              <w:rPr>
                <w:b/>
                <w:i/>
                <w:sz w:val="17"/>
              </w:rPr>
              <w:t>Strategic</w:t>
            </w:r>
            <w:r>
              <w:rPr>
                <w:b/>
                <w:i/>
                <w:spacing w:val="-2"/>
                <w:sz w:val="17"/>
              </w:rPr>
              <w:t> </w:t>
            </w:r>
            <w:r>
              <w:rPr>
                <w:b/>
                <w:i/>
                <w:sz w:val="17"/>
              </w:rPr>
              <w:t>goals</w:t>
            </w:r>
            <w:r>
              <w:rPr>
                <w:b/>
                <w:i/>
                <w:sz w:val="17"/>
              </w:rPr>
              <w:t> (Expected</w:t>
            </w:r>
            <w:r>
              <w:rPr>
                <w:b/>
                <w:i/>
                <w:spacing w:val="-11"/>
                <w:sz w:val="17"/>
              </w:rPr>
              <w:t> </w:t>
            </w:r>
            <w:r>
              <w:rPr>
                <w:b/>
                <w:i/>
                <w:sz w:val="17"/>
              </w:rPr>
              <w:t>results)</w:t>
            </w:r>
          </w:p>
        </w:tc>
        <w:tc>
          <w:tcPr>
            <w:tcW w:w="1978" w:type="dxa"/>
            <w:tcBorders>
              <w:top w:val="single" w:sz="4" w:space="0" w:color="000000"/>
              <w:bottom w:val="single" w:sz="4" w:space="0" w:color="000000"/>
            </w:tcBorders>
          </w:tcPr>
          <w:p>
            <w:pPr>
              <w:pStyle w:val="TableParagraph"/>
              <w:spacing w:before="4"/>
              <w:jc w:val="left"/>
              <w:rPr>
                <w:b/>
                <w:sz w:val="16"/>
              </w:rPr>
            </w:pPr>
          </w:p>
          <w:p>
            <w:pPr>
              <w:pStyle w:val="TableParagraph"/>
              <w:ind w:left="292"/>
              <w:jc w:val="left"/>
              <w:rPr>
                <w:b/>
                <w:i/>
                <w:sz w:val="17"/>
              </w:rPr>
            </w:pPr>
            <w:r>
              <w:rPr>
                <w:b/>
                <w:i/>
                <w:sz w:val="17"/>
              </w:rPr>
              <w:t>Priority</w:t>
            </w:r>
            <w:r>
              <w:rPr>
                <w:b/>
                <w:i/>
                <w:spacing w:val="-4"/>
                <w:sz w:val="17"/>
              </w:rPr>
              <w:t> </w:t>
            </w:r>
            <w:r>
              <w:rPr>
                <w:b/>
                <w:i/>
                <w:spacing w:val="-2"/>
                <w:sz w:val="17"/>
              </w:rPr>
              <w:t>objectives</w:t>
            </w:r>
          </w:p>
        </w:tc>
        <w:tc>
          <w:tcPr>
            <w:tcW w:w="3610" w:type="dxa"/>
            <w:tcBorders>
              <w:top w:val="single" w:sz="4" w:space="0" w:color="000000"/>
              <w:bottom w:val="single" w:sz="4" w:space="0" w:color="000000"/>
            </w:tcBorders>
          </w:tcPr>
          <w:p>
            <w:pPr>
              <w:pStyle w:val="TableParagraph"/>
              <w:spacing w:before="4"/>
              <w:jc w:val="left"/>
              <w:rPr>
                <w:b/>
                <w:sz w:val="16"/>
              </w:rPr>
            </w:pPr>
          </w:p>
          <w:p>
            <w:pPr>
              <w:pStyle w:val="TableParagraph"/>
              <w:ind w:left="653"/>
              <w:jc w:val="left"/>
              <w:rPr>
                <w:b/>
                <w:i/>
                <w:sz w:val="17"/>
              </w:rPr>
            </w:pPr>
            <w:r>
              <w:rPr>
                <w:b/>
                <w:i/>
                <w:w w:val="95"/>
                <w:sz w:val="17"/>
              </w:rPr>
              <w:t>Key</w:t>
            </w:r>
            <w:r>
              <w:rPr>
                <w:b/>
                <w:i/>
                <w:spacing w:val="25"/>
                <w:sz w:val="17"/>
              </w:rPr>
              <w:t> </w:t>
            </w:r>
            <w:r>
              <w:rPr>
                <w:b/>
                <w:i/>
                <w:w w:val="95"/>
                <w:sz w:val="17"/>
              </w:rPr>
              <w:t>performance</w:t>
            </w:r>
            <w:r>
              <w:rPr>
                <w:b/>
                <w:i/>
                <w:spacing w:val="19"/>
                <w:sz w:val="17"/>
              </w:rPr>
              <w:t> </w:t>
            </w:r>
            <w:r>
              <w:rPr>
                <w:b/>
                <w:i/>
                <w:w w:val="95"/>
                <w:sz w:val="17"/>
              </w:rPr>
              <w:t>indicators</w:t>
            </w:r>
            <w:r>
              <w:rPr>
                <w:b/>
                <w:i/>
                <w:spacing w:val="25"/>
                <w:sz w:val="17"/>
              </w:rPr>
              <w:t> </w:t>
            </w:r>
            <w:r>
              <w:rPr>
                <w:b/>
                <w:i/>
                <w:spacing w:val="-2"/>
                <w:w w:val="95"/>
                <w:sz w:val="17"/>
              </w:rPr>
              <w:t>(KPIs)</w:t>
            </w:r>
          </w:p>
        </w:tc>
        <w:tc>
          <w:tcPr>
            <w:tcW w:w="1047" w:type="dxa"/>
            <w:tcBorders>
              <w:top w:val="single" w:sz="4" w:space="0" w:color="000000"/>
              <w:bottom w:val="single" w:sz="4" w:space="0" w:color="000000"/>
            </w:tcBorders>
          </w:tcPr>
          <w:p>
            <w:pPr>
              <w:pStyle w:val="TableParagraph"/>
              <w:spacing w:line="250" w:lineRule="atLeast" w:before="9"/>
              <w:ind w:left="308" w:hanging="77"/>
              <w:jc w:val="left"/>
              <w:rPr>
                <w:b/>
                <w:i/>
                <w:sz w:val="17"/>
              </w:rPr>
            </w:pPr>
            <w:r>
              <w:rPr>
                <w:b/>
                <w:i/>
                <w:spacing w:val="-2"/>
                <w:w w:val="95"/>
                <w:sz w:val="17"/>
              </w:rPr>
              <w:t>Baseline</w:t>
            </w:r>
            <w:r>
              <w:rPr>
                <w:b/>
                <w:i/>
                <w:spacing w:val="-2"/>
                <w:sz w:val="17"/>
              </w:rPr>
              <w:t> (2021)</w:t>
            </w:r>
          </w:p>
        </w:tc>
        <w:tc>
          <w:tcPr>
            <w:tcW w:w="1193" w:type="dxa"/>
            <w:tcBorders>
              <w:top w:val="single" w:sz="4" w:space="0" w:color="000000"/>
              <w:bottom w:val="single" w:sz="4" w:space="0" w:color="000000"/>
            </w:tcBorders>
          </w:tcPr>
          <w:p>
            <w:pPr>
              <w:pStyle w:val="TableParagraph"/>
              <w:spacing w:line="250" w:lineRule="atLeast" w:before="9"/>
              <w:ind w:left="471" w:hanging="48"/>
              <w:jc w:val="left"/>
              <w:rPr>
                <w:b/>
                <w:i/>
                <w:sz w:val="17"/>
              </w:rPr>
            </w:pPr>
            <w:r>
              <w:rPr>
                <w:b/>
                <w:i/>
                <w:spacing w:val="-2"/>
                <w:w w:val="95"/>
                <w:sz w:val="17"/>
              </w:rPr>
              <w:t>Target*</w:t>
            </w:r>
            <w:r>
              <w:rPr>
                <w:b/>
                <w:i/>
                <w:spacing w:val="-2"/>
                <w:sz w:val="17"/>
              </w:rPr>
              <w:t> (2023)</w:t>
            </w:r>
          </w:p>
        </w:tc>
        <w:tc>
          <w:tcPr>
            <w:tcW w:w="96" w:type="dxa"/>
          </w:tcPr>
          <w:p>
            <w:pPr>
              <w:pStyle w:val="TableParagraph"/>
              <w:jc w:val="left"/>
              <w:rPr>
                <w:sz w:val="16"/>
              </w:rPr>
            </w:pPr>
          </w:p>
        </w:tc>
      </w:tr>
      <w:tr>
        <w:trPr>
          <w:trHeight w:val="1358" w:hRule="atLeast"/>
        </w:trPr>
        <w:tc>
          <w:tcPr>
            <w:tcW w:w="3755" w:type="dxa"/>
            <w:gridSpan w:val="3"/>
            <w:tcBorders>
              <w:top w:val="single" w:sz="4" w:space="0" w:color="000000"/>
              <w:bottom w:val="single" w:sz="4" w:space="0" w:color="000000"/>
            </w:tcBorders>
          </w:tcPr>
          <w:p>
            <w:pPr>
              <w:pStyle w:val="TableParagraph"/>
              <w:spacing w:before="59"/>
              <w:ind w:left="1714" w:right="176"/>
              <w:jc w:val="left"/>
              <w:rPr>
                <w:sz w:val="17"/>
              </w:rPr>
            </w:pPr>
            <w:r>
              <w:rPr>
                <w:b/>
                <w:sz w:val="17"/>
              </w:rPr>
              <w:t>Objective 1.6. </w:t>
            </w:r>
            <w:r>
              <w:rPr>
                <w:sz w:val="17"/>
              </w:rPr>
              <w:t>Strengthen the structure and organizational</w:t>
            </w:r>
            <w:r>
              <w:rPr>
                <w:spacing w:val="-11"/>
                <w:sz w:val="17"/>
              </w:rPr>
              <w:t> </w:t>
            </w:r>
            <w:r>
              <w:rPr>
                <w:sz w:val="17"/>
              </w:rPr>
              <w:t>mechanisms of defence teams</w:t>
            </w:r>
            <w:r>
              <w:rPr>
                <w:spacing w:val="-4"/>
                <w:sz w:val="17"/>
              </w:rPr>
              <w:t> </w:t>
            </w:r>
            <w:r>
              <w:rPr>
                <w:sz w:val="17"/>
              </w:rPr>
              <w:t>and legal representatives of victims</w:t>
            </w:r>
          </w:p>
        </w:tc>
        <w:tc>
          <w:tcPr>
            <w:tcW w:w="3610" w:type="dxa"/>
            <w:tcBorders>
              <w:top w:val="single" w:sz="4" w:space="0" w:color="000000"/>
              <w:bottom w:val="single" w:sz="4" w:space="0" w:color="000000"/>
            </w:tcBorders>
          </w:tcPr>
          <w:p>
            <w:pPr>
              <w:pStyle w:val="TableParagraph"/>
              <w:spacing w:before="59"/>
              <w:ind w:left="331" w:hanging="144"/>
              <w:jc w:val="left"/>
              <w:rPr>
                <w:sz w:val="17"/>
              </w:rPr>
            </w:pPr>
            <w:r>
              <w:rPr>
                <w:sz w:val="17"/>
              </w:rPr>
              <w:t>˗</w:t>
            </w:r>
            <w:r>
              <w:rPr>
                <w:spacing w:val="33"/>
                <w:sz w:val="17"/>
              </w:rPr>
              <w:t> </w:t>
            </w:r>
            <w:r>
              <w:rPr>
                <w:sz w:val="17"/>
              </w:rPr>
              <w:t>Percentage</w:t>
            </w:r>
            <w:r>
              <w:rPr>
                <w:spacing w:val="-2"/>
                <w:sz w:val="17"/>
              </w:rPr>
              <w:t> </w:t>
            </w:r>
            <w:r>
              <w:rPr>
                <w:sz w:val="17"/>
              </w:rPr>
              <w:t>of</w:t>
            </w:r>
            <w:r>
              <w:rPr>
                <w:spacing w:val="-9"/>
                <w:sz w:val="17"/>
              </w:rPr>
              <w:t> </w:t>
            </w:r>
            <w:r>
              <w:rPr>
                <w:sz w:val="17"/>
              </w:rPr>
              <w:t>favourable</w:t>
            </w:r>
            <w:r>
              <w:rPr>
                <w:spacing w:val="-4"/>
                <w:sz w:val="17"/>
              </w:rPr>
              <w:t> </w:t>
            </w:r>
            <w:r>
              <w:rPr>
                <w:sz w:val="17"/>
              </w:rPr>
              <w:t>judicial</w:t>
            </w:r>
            <w:r>
              <w:rPr>
                <w:spacing w:val="-5"/>
                <w:sz w:val="17"/>
              </w:rPr>
              <w:t> </w:t>
            </w:r>
            <w:r>
              <w:rPr>
                <w:sz w:val="17"/>
              </w:rPr>
              <w:t>decisions</w:t>
            </w:r>
            <w:r>
              <w:rPr>
                <w:spacing w:val="-9"/>
                <w:sz w:val="17"/>
              </w:rPr>
              <w:t> </w:t>
            </w:r>
            <w:r>
              <w:rPr>
                <w:sz w:val="17"/>
              </w:rPr>
              <w:t>and formal decisions made regarding support to defence and victim representation teams</w:t>
            </w:r>
          </w:p>
          <w:p>
            <w:pPr>
              <w:pStyle w:val="TableParagraph"/>
              <w:spacing w:before="57"/>
              <w:ind w:left="331" w:right="93" w:hanging="144"/>
              <w:jc w:val="left"/>
              <w:rPr>
                <w:sz w:val="17"/>
              </w:rPr>
            </w:pPr>
            <w:r>
              <w:rPr>
                <w:sz w:val="17"/>
              </w:rPr>
              <w:t>˗</w:t>
            </w:r>
            <w:r>
              <w:rPr>
                <w:spacing w:val="40"/>
                <w:sz w:val="17"/>
              </w:rPr>
              <w:t> </w:t>
            </w:r>
            <w:r>
              <w:rPr>
                <w:sz w:val="17"/>
              </w:rPr>
              <w:t>Percentage of clients who responded “satisfied”</w:t>
            </w:r>
            <w:r>
              <w:rPr>
                <w:spacing w:val="-6"/>
                <w:sz w:val="17"/>
              </w:rPr>
              <w:t> </w:t>
            </w:r>
            <w:r>
              <w:rPr>
                <w:sz w:val="17"/>
              </w:rPr>
              <w:t>in</w:t>
            </w:r>
            <w:r>
              <w:rPr>
                <w:spacing w:val="-10"/>
                <w:sz w:val="17"/>
              </w:rPr>
              <w:t> </w:t>
            </w:r>
            <w:r>
              <w:rPr>
                <w:sz w:val="17"/>
              </w:rPr>
              <w:t>service</w:t>
            </w:r>
            <w:r>
              <w:rPr>
                <w:spacing w:val="-6"/>
                <w:sz w:val="17"/>
              </w:rPr>
              <w:t> </w:t>
            </w:r>
            <w:r>
              <w:rPr>
                <w:sz w:val="17"/>
              </w:rPr>
              <w:t>areas</w:t>
            </w:r>
            <w:r>
              <w:rPr>
                <w:spacing w:val="-10"/>
                <w:sz w:val="17"/>
              </w:rPr>
              <w:t> </w:t>
            </w:r>
            <w:r>
              <w:rPr>
                <w:sz w:val="17"/>
              </w:rPr>
              <w:t>facilitated</w:t>
            </w:r>
            <w:r>
              <w:rPr>
                <w:spacing w:val="-6"/>
                <w:sz w:val="17"/>
              </w:rPr>
              <w:t> </w:t>
            </w:r>
            <w:r>
              <w:rPr>
                <w:sz w:val="17"/>
              </w:rPr>
              <w:t>by</w:t>
            </w:r>
            <w:r>
              <w:rPr>
                <w:spacing w:val="-6"/>
                <w:sz w:val="17"/>
              </w:rPr>
              <w:t> </w:t>
            </w:r>
            <w:r>
              <w:rPr>
                <w:sz w:val="17"/>
              </w:rPr>
              <w:t>the Counsel Support Section</w:t>
            </w:r>
          </w:p>
        </w:tc>
        <w:tc>
          <w:tcPr>
            <w:tcW w:w="1047" w:type="dxa"/>
            <w:tcBorders>
              <w:top w:val="single" w:sz="4" w:space="0" w:color="000000"/>
              <w:bottom w:val="single" w:sz="4" w:space="0" w:color="000000"/>
            </w:tcBorders>
          </w:tcPr>
          <w:p>
            <w:pPr>
              <w:pStyle w:val="TableParagraph"/>
              <w:spacing w:before="63"/>
              <w:ind w:left="63"/>
              <w:jc w:val="left"/>
              <w:rPr>
                <w:sz w:val="17"/>
              </w:rPr>
            </w:pPr>
            <w:r>
              <w:rPr>
                <w:sz w:val="17"/>
              </w:rPr>
              <w:t>˗</w:t>
            </w:r>
            <w:r>
              <w:rPr>
                <w:spacing w:val="43"/>
                <w:sz w:val="17"/>
              </w:rPr>
              <w:t> </w:t>
            </w:r>
            <w:r>
              <w:rPr>
                <w:spacing w:val="-2"/>
                <w:sz w:val="17"/>
              </w:rPr>
              <w:t>(New)</w:t>
            </w:r>
          </w:p>
          <w:p>
            <w:pPr>
              <w:pStyle w:val="TableParagraph"/>
              <w:jc w:val="left"/>
              <w:rPr>
                <w:b/>
                <w:sz w:val="18"/>
              </w:rPr>
            </w:pPr>
          </w:p>
          <w:p>
            <w:pPr>
              <w:pStyle w:val="TableParagraph"/>
              <w:spacing w:before="1"/>
              <w:jc w:val="left"/>
              <w:rPr>
                <w:b/>
                <w:sz w:val="20"/>
              </w:rPr>
            </w:pPr>
          </w:p>
          <w:p>
            <w:pPr>
              <w:pStyle w:val="TableParagraph"/>
              <w:spacing w:before="1"/>
              <w:ind w:left="63"/>
              <w:jc w:val="left"/>
              <w:rPr>
                <w:sz w:val="17"/>
              </w:rPr>
            </w:pPr>
            <w:r>
              <w:rPr>
                <w:rFonts w:ascii="Palatino Linotype"/>
                <w:sz w:val="17"/>
              </w:rPr>
              <w:t>- </w:t>
            </w:r>
            <w:r>
              <w:rPr>
                <w:spacing w:val="-2"/>
                <w:sz w:val="17"/>
              </w:rPr>
              <w:t>(New)</w:t>
            </w:r>
          </w:p>
        </w:tc>
        <w:tc>
          <w:tcPr>
            <w:tcW w:w="1193" w:type="dxa"/>
            <w:tcBorders>
              <w:top w:val="single" w:sz="4" w:space="0" w:color="000000"/>
              <w:bottom w:val="single" w:sz="4" w:space="0" w:color="000000"/>
            </w:tcBorders>
          </w:tcPr>
          <w:p>
            <w:pPr>
              <w:pStyle w:val="TableParagraph"/>
              <w:spacing w:before="63"/>
              <w:ind w:left="207"/>
              <w:jc w:val="left"/>
              <w:rPr>
                <w:sz w:val="17"/>
              </w:rPr>
            </w:pPr>
            <w:r>
              <w:rPr>
                <w:sz w:val="17"/>
              </w:rPr>
              <w:t>˗</w:t>
            </w:r>
            <w:r>
              <w:rPr>
                <w:spacing w:val="43"/>
                <w:sz w:val="17"/>
              </w:rPr>
              <w:t> </w:t>
            </w:r>
            <w:r>
              <w:rPr>
                <w:spacing w:val="-5"/>
                <w:sz w:val="17"/>
              </w:rPr>
              <w:t>70%</w:t>
            </w:r>
          </w:p>
          <w:p>
            <w:pPr>
              <w:pStyle w:val="TableParagraph"/>
              <w:jc w:val="left"/>
              <w:rPr>
                <w:b/>
                <w:sz w:val="18"/>
              </w:rPr>
            </w:pPr>
          </w:p>
          <w:p>
            <w:pPr>
              <w:pStyle w:val="TableParagraph"/>
              <w:spacing w:before="2"/>
              <w:jc w:val="left"/>
              <w:rPr>
                <w:b/>
                <w:sz w:val="20"/>
              </w:rPr>
            </w:pPr>
          </w:p>
          <w:p>
            <w:pPr>
              <w:pStyle w:val="TableParagraph"/>
              <w:ind w:left="207"/>
              <w:jc w:val="left"/>
              <w:rPr>
                <w:sz w:val="17"/>
              </w:rPr>
            </w:pPr>
            <w:r>
              <w:rPr>
                <w:sz w:val="17"/>
              </w:rPr>
              <w:t>˗</w:t>
            </w:r>
            <w:r>
              <w:rPr>
                <w:spacing w:val="60"/>
                <w:w w:val="150"/>
                <w:sz w:val="17"/>
              </w:rPr>
              <w:t> </w:t>
            </w:r>
            <w:r>
              <w:rPr>
                <w:spacing w:val="-5"/>
                <w:sz w:val="17"/>
              </w:rPr>
              <w:t>N/A</w:t>
            </w:r>
          </w:p>
        </w:tc>
        <w:tc>
          <w:tcPr>
            <w:tcW w:w="96" w:type="dxa"/>
          </w:tcPr>
          <w:p>
            <w:pPr>
              <w:pStyle w:val="TableParagraph"/>
              <w:jc w:val="left"/>
              <w:rPr>
                <w:sz w:val="16"/>
              </w:rPr>
            </w:pPr>
          </w:p>
        </w:tc>
      </w:tr>
    </w:tbl>
    <w:p>
      <w:pPr>
        <w:pStyle w:val="ListParagraph"/>
        <w:numPr>
          <w:ilvl w:val="0"/>
          <w:numId w:val="89"/>
        </w:numPr>
        <w:tabs>
          <w:tab w:pos="2401" w:val="left" w:leader="none"/>
        </w:tabs>
        <w:spacing w:line="240" w:lineRule="auto" w:before="117" w:after="0"/>
        <w:ind w:left="2246" w:right="2248" w:firstLine="0"/>
        <w:jc w:val="left"/>
        <w:rPr>
          <w:sz w:val="20"/>
        </w:rPr>
      </w:pPr>
      <w:r>
        <w:rPr>
          <w:sz w:val="20"/>
        </w:rPr>
        <w:t>Targets</w:t>
      </w:r>
      <w:r>
        <w:rPr>
          <w:spacing w:val="-5"/>
          <w:sz w:val="20"/>
        </w:rPr>
        <w:t> </w:t>
      </w:r>
      <w:r>
        <w:rPr>
          <w:sz w:val="20"/>
        </w:rPr>
        <w:t>indicated</w:t>
      </w:r>
      <w:r>
        <w:rPr>
          <w:spacing w:val="-4"/>
          <w:sz w:val="20"/>
        </w:rPr>
        <w:t> </w:t>
      </w:r>
      <w:r>
        <w:rPr>
          <w:sz w:val="20"/>
        </w:rPr>
        <w:t>as</w:t>
      </w:r>
      <w:r>
        <w:rPr>
          <w:spacing w:val="-5"/>
          <w:sz w:val="20"/>
        </w:rPr>
        <w:t> </w:t>
      </w:r>
      <w:r>
        <w:rPr>
          <w:sz w:val="20"/>
        </w:rPr>
        <w:t>“TBD”</w:t>
      </w:r>
      <w:r>
        <w:rPr>
          <w:spacing w:val="-2"/>
          <w:sz w:val="20"/>
        </w:rPr>
        <w:t> </w:t>
      </w:r>
      <w:r>
        <w:rPr>
          <w:sz w:val="20"/>
        </w:rPr>
        <w:t>will</w:t>
      </w:r>
      <w:r>
        <w:rPr>
          <w:spacing w:val="-2"/>
          <w:sz w:val="20"/>
        </w:rPr>
        <w:t> </w:t>
      </w:r>
      <w:r>
        <w:rPr>
          <w:sz w:val="20"/>
        </w:rPr>
        <w:t>be</w:t>
      </w:r>
      <w:r>
        <w:rPr>
          <w:spacing w:val="-2"/>
          <w:sz w:val="20"/>
        </w:rPr>
        <w:t> </w:t>
      </w:r>
      <w:r>
        <w:rPr>
          <w:sz w:val="20"/>
        </w:rPr>
        <w:t>determined</w:t>
      </w:r>
      <w:r>
        <w:rPr>
          <w:spacing w:val="-4"/>
          <w:sz w:val="20"/>
        </w:rPr>
        <w:t> </w:t>
      </w:r>
      <w:r>
        <w:rPr>
          <w:sz w:val="20"/>
        </w:rPr>
        <w:t>by</w:t>
      </w:r>
      <w:r>
        <w:rPr>
          <w:spacing w:val="-4"/>
          <w:sz w:val="20"/>
        </w:rPr>
        <w:t> </w:t>
      </w:r>
      <w:r>
        <w:rPr>
          <w:sz w:val="20"/>
        </w:rPr>
        <w:t>the end</w:t>
      </w:r>
      <w:r>
        <w:rPr>
          <w:spacing w:val="-4"/>
          <w:sz w:val="20"/>
        </w:rPr>
        <w:t> </w:t>
      </w:r>
      <w:r>
        <w:rPr>
          <w:sz w:val="20"/>
        </w:rPr>
        <w:t>of 2022</w:t>
      </w:r>
      <w:r>
        <w:rPr>
          <w:spacing w:val="-4"/>
          <w:sz w:val="20"/>
        </w:rPr>
        <w:t> </w:t>
      </w:r>
      <w:r>
        <w:rPr>
          <w:sz w:val="20"/>
        </w:rPr>
        <w:t>and will</w:t>
      </w:r>
      <w:r>
        <w:rPr>
          <w:spacing w:val="-2"/>
          <w:sz w:val="20"/>
        </w:rPr>
        <w:t> </w:t>
      </w:r>
      <w:r>
        <w:rPr>
          <w:sz w:val="20"/>
        </w:rPr>
        <w:t>be</w:t>
      </w:r>
      <w:r>
        <w:rPr>
          <w:spacing w:val="-2"/>
          <w:sz w:val="20"/>
        </w:rPr>
        <w:t> </w:t>
      </w:r>
      <w:r>
        <w:rPr>
          <w:sz w:val="20"/>
        </w:rPr>
        <w:t>included</w:t>
      </w:r>
      <w:r>
        <w:rPr>
          <w:spacing w:val="-4"/>
          <w:sz w:val="20"/>
        </w:rPr>
        <w:t> </w:t>
      </w:r>
      <w:r>
        <w:rPr>
          <w:sz w:val="20"/>
        </w:rPr>
        <w:t>in the Registry Strategic Plan (2023-2025).</w:t>
      </w:r>
    </w:p>
    <w:p>
      <w:pPr>
        <w:pStyle w:val="BodyText"/>
        <w:ind w:left="2246" w:right="2195"/>
      </w:pPr>
      <w:r>
        <w:rPr/>
        <w:t>For newly developed KPIs, meaningful and realistic targets</w:t>
      </w:r>
      <w:r>
        <w:rPr>
          <w:spacing w:val="-1"/>
        </w:rPr>
        <w:t> </w:t>
      </w:r>
      <w:r>
        <w:rPr/>
        <w:t>are difficult to determine in the absence of a 2021 performance baseline and are therefore indicated as “N/A”.</w:t>
      </w:r>
    </w:p>
    <w:p>
      <w:pPr>
        <w:pStyle w:val="BodyText"/>
        <w:rPr>
          <w:sz w:val="24"/>
        </w:rPr>
      </w:pPr>
    </w:p>
    <w:p>
      <w:pPr>
        <w:pStyle w:val="Heading2"/>
        <w:ind w:right="2247" w:firstLine="0"/>
        <w:jc w:val="both"/>
      </w:pPr>
      <w:r>
        <w:rPr/>
        <w:t>Registry</w:t>
      </w:r>
      <w:r>
        <w:rPr/>
        <w:t> Strategic</w:t>
      </w:r>
      <w:r>
        <w:rPr/>
        <w:t> Goal</w:t>
      </w:r>
      <w:r>
        <w:rPr/>
        <w:t> 2:</w:t>
      </w:r>
      <w:r>
        <w:rPr/>
        <w:t> Staff</w:t>
      </w:r>
      <w:r>
        <w:rPr/>
        <w:t> in the Registry</w:t>
      </w:r>
      <w:r>
        <w:rPr/>
        <w:t> are</w:t>
      </w:r>
      <w:r>
        <w:rPr/>
        <w:t> more</w:t>
      </w:r>
      <w:r>
        <w:rPr/>
        <w:t> engaged through</w:t>
      </w:r>
      <w:r>
        <w:rPr>
          <w:spacing w:val="-2"/>
        </w:rPr>
        <w:t> </w:t>
      </w:r>
      <w:r>
        <w:rPr/>
        <w:t>the</w:t>
      </w:r>
      <w:r>
        <w:rPr>
          <w:spacing w:val="-4"/>
        </w:rPr>
        <w:t> </w:t>
      </w:r>
      <w:r>
        <w:rPr/>
        <w:t>promotion</w:t>
      </w:r>
      <w:r>
        <w:rPr>
          <w:spacing w:val="-2"/>
        </w:rPr>
        <w:t> </w:t>
      </w:r>
      <w:r>
        <w:rPr/>
        <w:t>of</w:t>
      </w:r>
      <w:r>
        <w:rPr>
          <w:spacing w:val="-2"/>
        </w:rPr>
        <w:t> </w:t>
      </w:r>
      <w:r>
        <w:rPr/>
        <w:t>desired organizational culture and</w:t>
      </w:r>
      <w:r>
        <w:rPr>
          <w:spacing w:val="-2"/>
        </w:rPr>
        <w:t> </w:t>
      </w:r>
      <w:r>
        <w:rPr/>
        <w:t>values</w:t>
      </w:r>
      <w:r>
        <w:rPr>
          <w:spacing w:val="-1"/>
        </w:rPr>
        <w:t> </w:t>
      </w:r>
      <w:r>
        <w:rPr/>
        <w:t>and the improvement</w:t>
      </w:r>
      <w:r>
        <w:rPr/>
        <w:t> of</w:t>
      </w:r>
      <w:r>
        <w:rPr/>
        <w:t> geographical representation and gender balance </w:t>
      </w:r>
      <w:r>
        <w:rPr>
          <w:spacing w:val="-2"/>
        </w:rPr>
        <w:t>(GRGB).</w:t>
      </w:r>
    </w:p>
    <w:p>
      <w:pPr>
        <w:pStyle w:val="BodyText"/>
        <w:spacing w:before="3"/>
        <w:rPr>
          <w:b/>
          <w:sz w:val="18"/>
        </w:rPr>
      </w:pPr>
    </w:p>
    <w:tbl>
      <w:tblPr>
        <w:tblW w:w="0" w:type="auto"/>
        <w:jc w:val="left"/>
        <w:tblInd w:w="1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13"/>
        <w:gridCol w:w="2306"/>
        <w:gridCol w:w="3502"/>
        <w:gridCol w:w="1177"/>
        <w:gridCol w:w="1101"/>
      </w:tblGrid>
      <w:tr>
        <w:trPr>
          <w:trHeight w:val="571" w:hRule="atLeast"/>
        </w:trPr>
        <w:tc>
          <w:tcPr>
            <w:tcW w:w="1613" w:type="dxa"/>
            <w:tcBorders>
              <w:top w:val="single" w:sz="4" w:space="0" w:color="000000"/>
              <w:bottom w:val="single" w:sz="4" w:space="0" w:color="000000"/>
            </w:tcBorders>
          </w:tcPr>
          <w:p>
            <w:pPr>
              <w:pStyle w:val="TableParagraph"/>
              <w:spacing w:line="250" w:lineRule="atLeast" w:before="7"/>
              <w:ind w:left="187" w:right="156" w:firstLine="115"/>
              <w:jc w:val="left"/>
              <w:rPr>
                <w:b/>
                <w:i/>
                <w:sz w:val="17"/>
              </w:rPr>
            </w:pPr>
            <w:r>
              <w:rPr>
                <w:b/>
                <w:i/>
                <w:sz w:val="17"/>
              </w:rPr>
              <w:t>Strategic</w:t>
            </w:r>
            <w:r>
              <w:rPr>
                <w:b/>
                <w:i/>
                <w:spacing w:val="-2"/>
                <w:sz w:val="17"/>
              </w:rPr>
              <w:t> </w:t>
            </w:r>
            <w:r>
              <w:rPr>
                <w:b/>
                <w:i/>
                <w:sz w:val="17"/>
              </w:rPr>
              <w:t>goals</w:t>
            </w:r>
            <w:r>
              <w:rPr>
                <w:b/>
                <w:i/>
                <w:sz w:val="17"/>
              </w:rPr>
              <w:t> (Expected</w:t>
            </w:r>
            <w:r>
              <w:rPr>
                <w:b/>
                <w:i/>
                <w:spacing w:val="-11"/>
                <w:sz w:val="17"/>
              </w:rPr>
              <w:t> </w:t>
            </w:r>
            <w:r>
              <w:rPr>
                <w:b/>
                <w:i/>
                <w:sz w:val="17"/>
              </w:rPr>
              <w:t>results)</w:t>
            </w:r>
          </w:p>
        </w:tc>
        <w:tc>
          <w:tcPr>
            <w:tcW w:w="2306" w:type="dxa"/>
            <w:tcBorders>
              <w:top w:val="single" w:sz="4" w:space="0" w:color="000000"/>
              <w:bottom w:val="single" w:sz="4" w:space="0" w:color="000000"/>
            </w:tcBorders>
          </w:tcPr>
          <w:p>
            <w:pPr>
              <w:pStyle w:val="TableParagraph"/>
              <w:spacing w:before="3"/>
              <w:jc w:val="left"/>
              <w:rPr>
                <w:b/>
                <w:sz w:val="16"/>
              </w:rPr>
            </w:pPr>
          </w:p>
          <w:p>
            <w:pPr>
              <w:pStyle w:val="TableParagraph"/>
              <w:ind w:left="519"/>
              <w:jc w:val="left"/>
              <w:rPr>
                <w:b/>
                <w:i/>
                <w:sz w:val="17"/>
              </w:rPr>
            </w:pPr>
            <w:r>
              <w:rPr>
                <w:b/>
                <w:i/>
                <w:sz w:val="17"/>
              </w:rPr>
              <w:t>Priority</w:t>
            </w:r>
            <w:r>
              <w:rPr>
                <w:b/>
                <w:i/>
                <w:spacing w:val="-4"/>
                <w:sz w:val="17"/>
              </w:rPr>
              <w:t> </w:t>
            </w:r>
            <w:r>
              <w:rPr>
                <w:b/>
                <w:i/>
                <w:spacing w:val="-2"/>
                <w:sz w:val="17"/>
              </w:rPr>
              <w:t>objectives</w:t>
            </w:r>
          </w:p>
        </w:tc>
        <w:tc>
          <w:tcPr>
            <w:tcW w:w="3502" w:type="dxa"/>
            <w:tcBorders>
              <w:top w:val="single" w:sz="4" w:space="0" w:color="000000"/>
              <w:bottom w:val="single" w:sz="4" w:space="0" w:color="000000"/>
            </w:tcBorders>
          </w:tcPr>
          <w:p>
            <w:pPr>
              <w:pStyle w:val="TableParagraph"/>
              <w:spacing w:before="3"/>
              <w:jc w:val="left"/>
              <w:rPr>
                <w:b/>
                <w:sz w:val="16"/>
              </w:rPr>
            </w:pPr>
          </w:p>
          <w:p>
            <w:pPr>
              <w:pStyle w:val="TableParagraph"/>
              <w:ind w:left="498"/>
              <w:jc w:val="left"/>
              <w:rPr>
                <w:b/>
                <w:i/>
                <w:sz w:val="17"/>
              </w:rPr>
            </w:pPr>
            <w:r>
              <w:rPr>
                <w:sz w:val="17"/>
              </w:rPr>
              <w:t>˗</w:t>
            </w:r>
            <w:r>
              <w:rPr>
                <w:spacing w:val="34"/>
                <w:sz w:val="17"/>
              </w:rPr>
              <w:t> </w:t>
            </w:r>
            <w:r>
              <w:rPr>
                <w:b/>
                <w:i/>
                <w:sz w:val="17"/>
              </w:rPr>
              <w:t>Key</w:t>
            </w:r>
            <w:r>
              <w:rPr>
                <w:b/>
                <w:i/>
                <w:spacing w:val="-4"/>
                <w:sz w:val="17"/>
              </w:rPr>
              <w:t> </w:t>
            </w:r>
            <w:r>
              <w:rPr>
                <w:b/>
                <w:i/>
                <w:sz w:val="17"/>
              </w:rPr>
              <w:t>performance</w:t>
            </w:r>
            <w:r>
              <w:rPr>
                <w:b/>
                <w:i/>
                <w:spacing w:val="-6"/>
                <w:sz w:val="17"/>
              </w:rPr>
              <w:t> </w:t>
            </w:r>
            <w:r>
              <w:rPr>
                <w:b/>
                <w:i/>
                <w:sz w:val="17"/>
              </w:rPr>
              <w:t>indicators</w:t>
            </w:r>
            <w:r>
              <w:rPr>
                <w:b/>
                <w:i/>
                <w:spacing w:val="-4"/>
                <w:sz w:val="17"/>
              </w:rPr>
              <w:t> </w:t>
            </w:r>
            <w:r>
              <w:rPr>
                <w:b/>
                <w:i/>
                <w:spacing w:val="-2"/>
                <w:sz w:val="17"/>
              </w:rPr>
              <w:t>(KPIs)</w:t>
            </w:r>
          </w:p>
        </w:tc>
        <w:tc>
          <w:tcPr>
            <w:tcW w:w="1177" w:type="dxa"/>
            <w:tcBorders>
              <w:top w:val="single" w:sz="4" w:space="0" w:color="000000"/>
              <w:bottom w:val="single" w:sz="4" w:space="0" w:color="000000"/>
            </w:tcBorders>
          </w:tcPr>
          <w:p>
            <w:pPr>
              <w:pStyle w:val="TableParagraph"/>
              <w:spacing w:line="250" w:lineRule="atLeast" w:before="7"/>
              <w:ind w:left="439" w:hanging="77"/>
              <w:jc w:val="left"/>
              <w:rPr>
                <w:b/>
                <w:i/>
                <w:sz w:val="17"/>
              </w:rPr>
            </w:pPr>
            <w:r>
              <w:rPr>
                <w:b/>
                <w:i/>
                <w:spacing w:val="-2"/>
                <w:w w:val="95"/>
                <w:sz w:val="17"/>
              </w:rPr>
              <w:t>Baseline</w:t>
            </w:r>
            <w:r>
              <w:rPr>
                <w:b/>
                <w:i/>
                <w:spacing w:val="-2"/>
                <w:sz w:val="17"/>
              </w:rPr>
              <w:t> (2021)</w:t>
            </w:r>
          </w:p>
        </w:tc>
        <w:tc>
          <w:tcPr>
            <w:tcW w:w="1101" w:type="dxa"/>
            <w:tcBorders>
              <w:top w:val="single" w:sz="4" w:space="0" w:color="000000"/>
              <w:bottom w:val="single" w:sz="4" w:space="0" w:color="000000"/>
            </w:tcBorders>
          </w:tcPr>
          <w:p>
            <w:pPr>
              <w:pStyle w:val="TableParagraph"/>
              <w:spacing w:line="250" w:lineRule="atLeast" w:before="7"/>
              <w:ind w:left="415" w:hanging="48"/>
              <w:jc w:val="left"/>
              <w:rPr>
                <w:b/>
                <w:i/>
                <w:sz w:val="17"/>
              </w:rPr>
            </w:pPr>
            <w:r>
              <w:rPr>
                <w:b/>
                <w:i/>
                <w:spacing w:val="-2"/>
                <w:w w:val="95"/>
                <w:sz w:val="17"/>
              </w:rPr>
              <w:t>Target*</w:t>
            </w:r>
            <w:r>
              <w:rPr>
                <w:b/>
                <w:i/>
                <w:spacing w:val="-2"/>
                <w:sz w:val="17"/>
              </w:rPr>
              <w:t> (2023)</w:t>
            </w:r>
          </w:p>
        </w:tc>
      </w:tr>
      <w:tr>
        <w:trPr>
          <w:trHeight w:val="2256" w:hRule="atLeast"/>
        </w:trPr>
        <w:tc>
          <w:tcPr>
            <w:tcW w:w="1613" w:type="dxa"/>
            <w:vMerge w:val="restart"/>
            <w:tcBorders>
              <w:top w:val="single" w:sz="4" w:space="0" w:color="000000"/>
            </w:tcBorders>
          </w:tcPr>
          <w:p>
            <w:pPr>
              <w:pStyle w:val="TableParagraph"/>
              <w:spacing w:before="57"/>
              <w:ind w:left="28" w:right="89"/>
              <w:jc w:val="left"/>
              <w:rPr>
                <w:sz w:val="17"/>
              </w:rPr>
            </w:pPr>
            <w:r>
              <w:rPr>
                <w:b/>
                <w:sz w:val="17"/>
              </w:rPr>
              <w:t>Registry</w:t>
            </w:r>
            <w:r>
              <w:rPr>
                <w:b/>
                <w:spacing w:val="-2"/>
                <w:sz w:val="17"/>
              </w:rPr>
              <w:t> </w:t>
            </w:r>
            <w:r>
              <w:rPr>
                <w:b/>
                <w:sz w:val="17"/>
              </w:rPr>
              <w:t>Strategic Goa1 2. </w:t>
            </w:r>
            <w:r>
              <w:rPr>
                <w:sz w:val="17"/>
              </w:rPr>
              <w:t>Staff in the Registry are more engaged through the promotion of desired organizational</w:t>
            </w:r>
            <w:r>
              <w:rPr>
                <w:spacing w:val="-11"/>
                <w:sz w:val="17"/>
              </w:rPr>
              <w:t> </w:t>
            </w:r>
            <w:r>
              <w:rPr>
                <w:sz w:val="17"/>
              </w:rPr>
              <w:t>culture and values and the improvement</w:t>
            </w:r>
            <w:r>
              <w:rPr>
                <w:spacing w:val="-4"/>
                <w:sz w:val="17"/>
              </w:rPr>
              <w:t> </w:t>
            </w:r>
            <w:r>
              <w:rPr>
                <w:sz w:val="17"/>
              </w:rPr>
              <w:t>of </w:t>
            </w:r>
            <w:r>
              <w:rPr>
                <w:spacing w:val="-2"/>
                <w:sz w:val="17"/>
              </w:rPr>
              <w:t>geographical </w:t>
            </w:r>
            <w:r>
              <w:rPr>
                <w:sz w:val="17"/>
              </w:rPr>
              <w:t>representation</w:t>
            </w:r>
            <w:r>
              <w:rPr>
                <w:spacing w:val="-2"/>
                <w:sz w:val="17"/>
              </w:rPr>
              <w:t> </w:t>
            </w:r>
            <w:r>
              <w:rPr>
                <w:sz w:val="17"/>
              </w:rPr>
              <w:t>and gender balance</w:t>
            </w:r>
          </w:p>
          <w:p>
            <w:pPr>
              <w:pStyle w:val="TableParagraph"/>
              <w:spacing w:line="147" w:lineRule="exact"/>
              <w:ind w:left="28"/>
              <w:jc w:val="left"/>
              <w:rPr>
                <w:sz w:val="17"/>
              </w:rPr>
            </w:pPr>
            <w:r>
              <w:rPr>
                <w:spacing w:val="-2"/>
                <w:sz w:val="17"/>
              </w:rPr>
              <w:t>(GRGB)</w:t>
            </w:r>
          </w:p>
        </w:tc>
        <w:tc>
          <w:tcPr>
            <w:tcW w:w="2306" w:type="dxa"/>
            <w:tcBorders>
              <w:top w:val="single" w:sz="4" w:space="0" w:color="000000"/>
              <w:bottom w:val="single" w:sz="4" w:space="0" w:color="000000"/>
            </w:tcBorders>
          </w:tcPr>
          <w:p>
            <w:pPr>
              <w:pStyle w:val="TableParagraph"/>
              <w:ind w:left="105" w:right="92"/>
              <w:jc w:val="left"/>
              <w:rPr>
                <w:sz w:val="17"/>
              </w:rPr>
            </w:pPr>
            <w:r>
              <w:rPr>
                <w:b/>
                <w:sz w:val="17"/>
              </w:rPr>
              <w:t>Objective 2.1. </w:t>
            </w:r>
            <w:r>
              <w:rPr>
                <w:sz w:val="17"/>
              </w:rPr>
              <w:t>Improve geographical representation and gender balance as</w:t>
            </w:r>
            <w:r>
              <w:rPr>
                <w:spacing w:val="-3"/>
                <w:sz w:val="17"/>
              </w:rPr>
              <w:t> </w:t>
            </w:r>
            <w:r>
              <w:rPr>
                <w:sz w:val="17"/>
              </w:rPr>
              <w:t>well as diversity</w:t>
            </w:r>
            <w:r>
              <w:rPr>
                <w:spacing w:val="-11"/>
                <w:sz w:val="17"/>
              </w:rPr>
              <w:t> </w:t>
            </w:r>
            <w:r>
              <w:rPr>
                <w:sz w:val="17"/>
              </w:rPr>
              <w:t>and</w:t>
            </w:r>
            <w:r>
              <w:rPr>
                <w:spacing w:val="-10"/>
                <w:sz w:val="17"/>
              </w:rPr>
              <w:t> </w:t>
            </w:r>
            <w:r>
              <w:rPr>
                <w:sz w:val="17"/>
              </w:rPr>
              <w:t>inclusion,</w:t>
            </w:r>
            <w:r>
              <w:rPr>
                <w:spacing w:val="-9"/>
                <w:sz w:val="17"/>
              </w:rPr>
              <w:t> </w:t>
            </w:r>
            <w:r>
              <w:rPr>
                <w:sz w:val="17"/>
              </w:rPr>
              <w:t>in</w:t>
            </w:r>
            <w:r>
              <w:rPr>
                <w:spacing w:val="-9"/>
                <w:sz w:val="17"/>
              </w:rPr>
              <w:t> </w:t>
            </w:r>
            <w:r>
              <w:rPr>
                <w:sz w:val="17"/>
              </w:rPr>
              <w:t>line with the Strategy on Gender Equality and Workplace </w:t>
            </w:r>
            <w:r>
              <w:rPr>
                <w:spacing w:val="-2"/>
                <w:sz w:val="17"/>
              </w:rPr>
              <w:t>Culture</w:t>
            </w:r>
          </w:p>
        </w:tc>
        <w:tc>
          <w:tcPr>
            <w:tcW w:w="3502" w:type="dxa"/>
            <w:tcBorders>
              <w:top w:val="single" w:sz="4" w:space="0" w:color="000000"/>
              <w:bottom w:val="single" w:sz="4" w:space="0" w:color="000000"/>
            </w:tcBorders>
          </w:tcPr>
          <w:p>
            <w:pPr>
              <w:pStyle w:val="TableParagraph"/>
              <w:spacing w:before="57"/>
              <w:ind w:left="282" w:hanging="144"/>
              <w:jc w:val="left"/>
              <w:rPr>
                <w:sz w:val="17"/>
              </w:rPr>
            </w:pPr>
            <w:r>
              <w:rPr>
                <w:sz w:val="17"/>
              </w:rPr>
              <w:t>˗</w:t>
            </w:r>
            <w:r>
              <w:rPr>
                <w:spacing w:val="33"/>
                <w:sz w:val="17"/>
              </w:rPr>
              <w:t> </w:t>
            </w:r>
            <w:r>
              <w:rPr>
                <w:sz w:val="17"/>
              </w:rPr>
              <w:t>Percentage</w:t>
            </w:r>
            <w:r>
              <w:rPr>
                <w:spacing w:val="-3"/>
                <w:sz w:val="17"/>
              </w:rPr>
              <w:t> </w:t>
            </w:r>
            <w:r>
              <w:rPr>
                <w:sz w:val="17"/>
              </w:rPr>
              <w:t>of</w:t>
            </w:r>
            <w:r>
              <w:rPr>
                <w:spacing w:val="-5"/>
                <w:sz w:val="17"/>
              </w:rPr>
              <w:t> </w:t>
            </w:r>
            <w:r>
              <w:rPr>
                <w:sz w:val="17"/>
              </w:rPr>
              <w:t>Registry</w:t>
            </w:r>
            <w:r>
              <w:rPr>
                <w:spacing w:val="-8"/>
                <w:sz w:val="17"/>
              </w:rPr>
              <w:t> </w:t>
            </w:r>
            <w:r>
              <w:rPr>
                <w:sz w:val="17"/>
              </w:rPr>
              <w:t>staff</w:t>
            </w:r>
            <w:r>
              <w:rPr>
                <w:spacing w:val="-5"/>
                <w:sz w:val="17"/>
              </w:rPr>
              <w:t> </w:t>
            </w:r>
            <w:r>
              <w:rPr>
                <w:sz w:val="17"/>
              </w:rPr>
              <w:t>within</w:t>
            </w:r>
            <w:r>
              <w:rPr>
                <w:spacing w:val="-8"/>
                <w:sz w:val="17"/>
              </w:rPr>
              <w:t> </w:t>
            </w:r>
            <w:r>
              <w:rPr>
                <w:sz w:val="17"/>
              </w:rPr>
              <w:t>the geographical range</w:t>
            </w:r>
          </w:p>
          <w:p>
            <w:pPr>
              <w:pStyle w:val="TableParagraph"/>
              <w:spacing w:before="60"/>
              <w:ind w:left="282" w:right="123" w:hanging="144"/>
              <w:jc w:val="left"/>
              <w:rPr>
                <w:sz w:val="17"/>
              </w:rPr>
            </w:pPr>
            <w:r>
              <w:rPr>
                <w:sz w:val="17"/>
              </w:rPr>
              <w:t>˗</w:t>
            </w:r>
            <w:r>
              <w:rPr>
                <w:spacing w:val="40"/>
                <w:sz w:val="17"/>
              </w:rPr>
              <w:t> </w:t>
            </w:r>
            <w:r>
              <w:rPr>
                <w:sz w:val="17"/>
              </w:rPr>
              <w:t>Male/female ratio of newly hired senior Registry</w:t>
            </w:r>
            <w:r>
              <w:rPr>
                <w:spacing w:val="-6"/>
                <w:sz w:val="17"/>
              </w:rPr>
              <w:t> </w:t>
            </w:r>
            <w:r>
              <w:rPr>
                <w:sz w:val="17"/>
              </w:rPr>
              <w:t>staff</w:t>
            </w:r>
            <w:r>
              <w:rPr>
                <w:spacing w:val="-10"/>
                <w:sz w:val="17"/>
              </w:rPr>
              <w:t> </w:t>
            </w:r>
            <w:r>
              <w:rPr>
                <w:sz w:val="17"/>
              </w:rPr>
              <w:t>(P-4</w:t>
            </w:r>
            <w:r>
              <w:rPr>
                <w:spacing w:val="-6"/>
                <w:sz w:val="17"/>
              </w:rPr>
              <w:t> </w:t>
            </w:r>
            <w:r>
              <w:rPr>
                <w:sz w:val="17"/>
              </w:rPr>
              <w:t>and</w:t>
            </w:r>
            <w:r>
              <w:rPr>
                <w:spacing w:val="-9"/>
                <w:sz w:val="17"/>
              </w:rPr>
              <w:t> </w:t>
            </w:r>
            <w:r>
              <w:rPr>
                <w:sz w:val="17"/>
              </w:rPr>
              <w:t>above,</w:t>
            </w:r>
            <w:r>
              <w:rPr>
                <w:spacing w:val="-11"/>
                <w:sz w:val="17"/>
              </w:rPr>
              <w:t> </w:t>
            </w:r>
            <w:r>
              <w:rPr>
                <w:sz w:val="17"/>
              </w:rPr>
              <w:t>established </w:t>
            </w:r>
            <w:r>
              <w:rPr>
                <w:spacing w:val="-2"/>
                <w:sz w:val="17"/>
              </w:rPr>
              <w:t>posts)</w:t>
            </w:r>
          </w:p>
          <w:p>
            <w:pPr>
              <w:pStyle w:val="TableParagraph"/>
              <w:spacing w:before="62"/>
              <w:ind w:left="282" w:right="123" w:hanging="144"/>
              <w:jc w:val="left"/>
              <w:rPr>
                <w:sz w:val="17"/>
              </w:rPr>
            </w:pPr>
            <w:r>
              <w:rPr>
                <w:sz w:val="17"/>
              </w:rPr>
              <w:t>˗</w:t>
            </w:r>
            <w:r>
              <w:rPr>
                <w:spacing w:val="40"/>
                <w:sz w:val="17"/>
              </w:rPr>
              <w:t> </w:t>
            </w:r>
            <w:r>
              <w:rPr>
                <w:sz w:val="17"/>
              </w:rPr>
              <w:t>Percentage of positive responses from Registry</w:t>
            </w:r>
            <w:r>
              <w:rPr>
                <w:spacing w:val="-6"/>
                <w:sz w:val="17"/>
              </w:rPr>
              <w:t> </w:t>
            </w:r>
            <w:r>
              <w:rPr>
                <w:sz w:val="17"/>
              </w:rPr>
              <w:t>staff</w:t>
            </w:r>
            <w:r>
              <w:rPr>
                <w:spacing w:val="-8"/>
                <w:sz w:val="17"/>
              </w:rPr>
              <w:t> </w:t>
            </w:r>
            <w:r>
              <w:rPr>
                <w:sz w:val="17"/>
              </w:rPr>
              <w:t>to</w:t>
            </w:r>
            <w:r>
              <w:rPr>
                <w:spacing w:val="-6"/>
                <w:sz w:val="17"/>
              </w:rPr>
              <w:t> </w:t>
            </w:r>
            <w:r>
              <w:rPr>
                <w:sz w:val="17"/>
              </w:rPr>
              <w:t>survey</w:t>
            </w:r>
            <w:r>
              <w:rPr>
                <w:spacing w:val="-6"/>
                <w:sz w:val="17"/>
              </w:rPr>
              <w:t> </w:t>
            </w:r>
            <w:r>
              <w:rPr>
                <w:sz w:val="17"/>
              </w:rPr>
              <w:t>questions</w:t>
            </w:r>
            <w:r>
              <w:rPr>
                <w:spacing w:val="-3"/>
                <w:sz w:val="17"/>
              </w:rPr>
              <w:t> </w:t>
            </w:r>
            <w:r>
              <w:rPr>
                <w:sz w:val="17"/>
              </w:rPr>
              <w:t>on</w:t>
            </w:r>
            <w:r>
              <w:rPr>
                <w:spacing w:val="-6"/>
                <w:sz w:val="17"/>
              </w:rPr>
              <w:t> </w:t>
            </w:r>
            <w:r>
              <w:rPr>
                <w:sz w:val="17"/>
              </w:rPr>
              <w:t>gender </w:t>
            </w:r>
            <w:r>
              <w:rPr>
                <w:spacing w:val="-2"/>
                <w:sz w:val="17"/>
              </w:rPr>
              <w:t>equality</w:t>
            </w:r>
          </w:p>
          <w:p>
            <w:pPr>
              <w:pStyle w:val="TableParagraph"/>
              <w:spacing w:before="57"/>
              <w:ind w:left="282" w:right="123" w:hanging="144"/>
              <w:jc w:val="left"/>
              <w:rPr>
                <w:sz w:val="17"/>
              </w:rPr>
            </w:pPr>
            <w:r>
              <w:rPr>
                <w:sz w:val="17"/>
              </w:rPr>
              <w:t>˗</w:t>
            </w:r>
            <w:r>
              <w:rPr>
                <w:spacing w:val="28"/>
                <w:sz w:val="17"/>
              </w:rPr>
              <w:t> </w:t>
            </w:r>
            <w:r>
              <w:rPr>
                <w:sz w:val="17"/>
              </w:rPr>
              <w:t>Number</w:t>
            </w:r>
            <w:r>
              <w:rPr>
                <w:spacing w:val="-7"/>
                <w:sz w:val="17"/>
              </w:rPr>
              <w:t> </w:t>
            </w:r>
            <w:r>
              <w:rPr>
                <w:sz w:val="17"/>
              </w:rPr>
              <w:t>of</w:t>
            </w:r>
            <w:r>
              <w:rPr>
                <w:spacing w:val="-7"/>
                <w:sz w:val="17"/>
              </w:rPr>
              <w:t> </w:t>
            </w:r>
            <w:r>
              <w:rPr>
                <w:sz w:val="17"/>
              </w:rPr>
              <w:t>under/non-represented</w:t>
            </w:r>
            <w:r>
              <w:rPr>
                <w:spacing w:val="-10"/>
                <w:sz w:val="17"/>
              </w:rPr>
              <w:t> </w:t>
            </w:r>
            <w:r>
              <w:rPr>
                <w:sz w:val="17"/>
              </w:rPr>
              <w:t>States </w:t>
            </w:r>
            <w:r>
              <w:rPr>
                <w:spacing w:val="-2"/>
                <w:sz w:val="17"/>
              </w:rPr>
              <w:t>Parties</w:t>
            </w:r>
          </w:p>
        </w:tc>
        <w:tc>
          <w:tcPr>
            <w:tcW w:w="1177" w:type="dxa"/>
            <w:tcBorders>
              <w:top w:val="single" w:sz="4" w:space="0" w:color="000000"/>
              <w:bottom w:val="single" w:sz="4" w:space="0" w:color="000000"/>
            </w:tcBorders>
          </w:tcPr>
          <w:p>
            <w:pPr>
              <w:pStyle w:val="TableParagraph"/>
              <w:spacing w:before="62"/>
              <w:ind w:left="55"/>
              <w:jc w:val="left"/>
              <w:rPr>
                <w:sz w:val="17"/>
              </w:rPr>
            </w:pPr>
            <w:r>
              <w:rPr>
                <w:sz w:val="17"/>
              </w:rPr>
              <w:t>˗</w:t>
            </w:r>
            <w:r>
              <w:rPr>
                <w:spacing w:val="43"/>
                <w:sz w:val="17"/>
              </w:rPr>
              <w:t> </w:t>
            </w:r>
            <w:r>
              <w:rPr>
                <w:spacing w:val="-2"/>
                <w:sz w:val="17"/>
              </w:rPr>
              <w:t>(TBD)</w:t>
            </w:r>
          </w:p>
          <w:p>
            <w:pPr>
              <w:pStyle w:val="TableParagraph"/>
              <w:spacing w:before="1"/>
              <w:jc w:val="left"/>
              <w:rPr>
                <w:b/>
                <w:sz w:val="20"/>
              </w:rPr>
            </w:pPr>
          </w:p>
          <w:p>
            <w:pPr>
              <w:pStyle w:val="TableParagraph"/>
              <w:ind w:left="55"/>
              <w:jc w:val="left"/>
              <w:rPr>
                <w:sz w:val="17"/>
              </w:rPr>
            </w:pPr>
            <w:r>
              <w:rPr>
                <w:sz w:val="17"/>
              </w:rPr>
              <w:t>˗</w:t>
            </w:r>
            <w:r>
              <w:rPr>
                <w:spacing w:val="43"/>
                <w:sz w:val="17"/>
              </w:rPr>
              <w:t> </w:t>
            </w:r>
            <w:r>
              <w:rPr>
                <w:spacing w:val="-2"/>
                <w:sz w:val="17"/>
              </w:rPr>
              <w:t>(TBD)</w:t>
            </w:r>
          </w:p>
          <w:p>
            <w:pPr>
              <w:pStyle w:val="TableParagraph"/>
              <w:jc w:val="left"/>
              <w:rPr>
                <w:b/>
                <w:sz w:val="18"/>
              </w:rPr>
            </w:pPr>
          </w:p>
          <w:p>
            <w:pPr>
              <w:pStyle w:val="TableParagraph"/>
              <w:spacing w:before="6"/>
              <w:jc w:val="left"/>
              <w:rPr>
                <w:b/>
                <w:sz w:val="20"/>
              </w:rPr>
            </w:pPr>
          </w:p>
          <w:p>
            <w:pPr>
              <w:pStyle w:val="TableParagraph"/>
              <w:ind w:left="55"/>
              <w:jc w:val="left"/>
              <w:rPr>
                <w:sz w:val="17"/>
              </w:rPr>
            </w:pPr>
            <w:r>
              <w:rPr>
                <w:sz w:val="17"/>
              </w:rPr>
              <w:t>˗</w:t>
            </w:r>
            <w:r>
              <w:rPr>
                <w:spacing w:val="43"/>
                <w:sz w:val="17"/>
              </w:rPr>
              <w:t> </w:t>
            </w:r>
            <w:r>
              <w:rPr>
                <w:spacing w:val="-5"/>
                <w:sz w:val="17"/>
              </w:rPr>
              <w:t>61%</w:t>
            </w:r>
          </w:p>
          <w:p>
            <w:pPr>
              <w:pStyle w:val="TableParagraph"/>
              <w:jc w:val="left"/>
              <w:rPr>
                <w:b/>
                <w:sz w:val="18"/>
              </w:rPr>
            </w:pPr>
          </w:p>
          <w:p>
            <w:pPr>
              <w:pStyle w:val="TableParagraph"/>
              <w:spacing w:before="6"/>
              <w:jc w:val="left"/>
              <w:rPr>
                <w:b/>
                <w:sz w:val="20"/>
              </w:rPr>
            </w:pPr>
          </w:p>
          <w:p>
            <w:pPr>
              <w:pStyle w:val="TableParagraph"/>
              <w:ind w:left="55"/>
              <w:jc w:val="left"/>
              <w:rPr>
                <w:sz w:val="17"/>
              </w:rPr>
            </w:pPr>
            <w:r>
              <w:rPr>
                <w:rFonts w:ascii="Palatino Linotype"/>
                <w:sz w:val="17"/>
              </w:rPr>
              <w:t>- </w:t>
            </w:r>
            <w:r>
              <w:rPr>
                <w:spacing w:val="-2"/>
                <w:sz w:val="17"/>
              </w:rPr>
              <w:t>25/54</w:t>
            </w:r>
          </w:p>
        </w:tc>
        <w:tc>
          <w:tcPr>
            <w:tcW w:w="1101" w:type="dxa"/>
            <w:tcBorders>
              <w:top w:val="single" w:sz="4" w:space="0" w:color="000000"/>
              <w:bottom w:val="single" w:sz="4" w:space="0" w:color="000000"/>
            </w:tcBorders>
          </w:tcPr>
          <w:p>
            <w:pPr>
              <w:pStyle w:val="TableParagraph"/>
              <w:spacing w:before="62"/>
              <w:ind w:left="208"/>
              <w:jc w:val="left"/>
              <w:rPr>
                <w:sz w:val="17"/>
              </w:rPr>
            </w:pPr>
            <w:r>
              <w:rPr>
                <w:sz w:val="17"/>
              </w:rPr>
              <w:t>˗</w:t>
            </w:r>
            <w:r>
              <w:rPr>
                <w:spacing w:val="43"/>
                <w:sz w:val="17"/>
              </w:rPr>
              <w:t> </w:t>
            </w:r>
            <w:r>
              <w:rPr>
                <w:spacing w:val="-2"/>
                <w:sz w:val="17"/>
              </w:rPr>
              <w:t>(TBD)</w:t>
            </w:r>
          </w:p>
          <w:p>
            <w:pPr>
              <w:pStyle w:val="TableParagraph"/>
              <w:spacing w:before="1"/>
              <w:jc w:val="left"/>
              <w:rPr>
                <w:b/>
                <w:sz w:val="20"/>
              </w:rPr>
            </w:pPr>
          </w:p>
          <w:p>
            <w:pPr>
              <w:pStyle w:val="TableParagraph"/>
              <w:ind w:left="353" w:hanging="145"/>
              <w:jc w:val="left"/>
              <w:rPr>
                <w:sz w:val="17"/>
              </w:rPr>
            </w:pPr>
            <w:r>
              <w:rPr>
                <w:sz w:val="17"/>
              </w:rPr>
              <w:t>˗</w:t>
            </w:r>
            <w:r>
              <w:rPr>
                <w:spacing w:val="14"/>
                <w:sz w:val="17"/>
              </w:rPr>
              <w:t> </w:t>
            </w:r>
            <w:r>
              <w:rPr>
                <w:sz w:val="17"/>
              </w:rPr>
              <w:t>Minimum </w:t>
            </w:r>
            <w:r>
              <w:rPr>
                <w:spacing w:val="-4"/>
                <w:sz w:val="17"/>
              </w:rPr>
              <w:t>50%</w:t>
            </w:r>
          </w:p>
          <w:p>
            <w:pPr>
              <w:pStyle w:val="TableParagraph"/>
              <w:spacing w:before="3"/>
              <w:ind w:left="353"/>
              <w:jc w:val="left"/>
              <w:rPr>
                <w:sz w:val="17"/>
              </w:rPr>
            </w:pPr>
            <w:r>
              <w:rPr>
                <w:spacing w:val="-2"/>
                <w:sz w:val="17"/>
              </w:rPr>
              <w:t>female</w:t>
            </w:r>
          </w:p>
          <w:p>
            <w:pPr>
              <w:pStyle w:val="TableParagraph"/>
              <w:spacing w:before="59"/>
              <w:ind w:left="208"/>
              <w:jc w:val="left"/>
              <w:rPr>
                <w:sz w:val="17"/>
              </w:rPr>
            </w:pPr>
            <w:r>
              <w:rPr>
                <w:sz w:val="17"/>
              </w:rPr>
              <w:t>˗</w:t>
            </w:r>
            <w:r>
              <w:rPr>
                <w:spacing w:val="43"/>
                <w:sz w:val="17"/>
              </w:rPr>
              <w:t> </w:t>
            </w:r>
            <w:r>
              <w:rPr>
                <w:spacing w:val="-5"/>
                <w:sz w:val="17"/>
              </w:rPr>
              <w:t>65%</w:t>
            </w:r>
          </w:p>
          <w:p>
            <w:pPr>
              <w:pStyle w:val="TableParagraph"/>
              <w:jc w:val="left"/>
              <w:rPr>
                <w:b/>
                <w:sz w:val="18"/>
              </w:rPr>
            </w:pPr>
          </w:p>
          <w:p>
            <w:pPr>
              <w:pStyle w:val="TableParagraph"/>
              <w:spacing w:before="3"/>
              <w:jc w:val="left"/>
              <w:rPr>
                <w:b/>
                <w:sz w:val="16"/>
              </w:rPr>
            </w:pPr>
          </w:p>
          <w:p>
            <w:pPr>
              <w:pStyle w:val="TableParagraph"/>
              <w:spacing w:before="1"/>
              <w:ind w:left="208"/>
              <w:jc w:val="left"/>
              <w:rPr>
                <w:sz w:val="17"/>
              </w:rPr>
            </w:pPr>
            <w:r>
              <w:rPr>
                <w:rFonts w:ascii="Palatino Linotype"/>
                <w:sz w:val="17"/>
              </w:rPr>
              <w:t>- </w:t>
            </w:r>
            <w:r>
              <w:rPr>
                <w:spacing w:val="-2"/>
                <w:sz w:val="17"/>
              </w:rPr>
              <w:t>24/53</w:t>
            </w:r>
          </w:p>
        </w:tc>
      </w:tr>
      <w:tr>
        <w:trPr>
          <w:trHeight w:val="108" w:hRule="atLeast"/>
        </w:trPr>
        <w:tc>
          <w:tcPr>
            <w:tcW w:w="1613" w:type="dxa"/>
            <w:vMerge/>
            <w:tcBorders>
              <w:top w:val="nil"/>
            </w:tcBorders>
          </w:tcPr>
          <w:p>
            <w:pPr>
              <w:rPr>
                <w:sz w:val="2"/>
                <w:szCs w:val="2"/>
              </w:rPr>
            </w:pPr>
          </w:p>
        </w:tc>
        <w:tc>
          <w:tcPr>
            <w:tcW w:w="2306" w:type="dxa"/>
            <w:vMerge w:val="restart"/>
            <w:tcBorders>
              <w:top w:val="single" w:sz="4" w:space="0" w:color="000000"/>
              <w:bottom w:val="single" w:sz="4" w:space="0" w:color="000000"/>
            </w:tcBorders>
          </w:tcPr>
          <w:p>
            <w:pPr>
              <w:pStyle w:val="TableParagraph"/>
              <w:ind w:left="105" w:right="115"/>
              <w:jc w:val="left"/>
              <w:rPr>
                <w:sz w:val="17"/>
              </w:rPr>
            </w:pPr>
            <w:r>
              <w:rPr>
                <w:b/>
                <w:sz w:val="17"/>
              </w:rPr>
              <w:t>Objective</w:t>
            </w:r>
            <w:r>
              <w:rPr>
                <w:b/>
                <w:spacing w:val="-10"/>
                <w:sz w:val="17"/>
              </w:rPr>
              <w:t> </w:t>
            </w:r>
            <w:r>
              <w:rPr>
                <w:b/>
                <w:sz w:val="17"/>
              </w:rPr>
              <w:t>2.2.</w:t>
            </w:r>
            <w:r>
              <w:rPr>
                <w:b/>
                <w:spacing w:val="-5"/>
                <w:sz w:val="17"/>
              </w:rPr>
              <w:t> </w:t>
            </w:r>
            <w:r>
              <w:rPr>
                <w:sz w:val="17"/>
              </w:rPr>
              <w:t>Build</w:t>
            </w:r>
            <w:r>
              <w:rPr>
                <w:spacing w:val="-7"/>
                <w:sz w:val="17"/>
              </w:rPr>
              <w:t> </w:t>
            </w:r>
            <w:r>
              <w:rPr>
                <w:sz w:val="17"/>
              </w:rPr>
              <w:t>systems to enable and foster an environment where all Registry</w:t>
            </w:r>
            <w:r>
              <w:rPr>
                <w:spacing w:val="-4"/>
                <w:sz w:val="17"/>
              </w:rPr>
              <w:t> </w:t>
            </w:r>
            <w:r>
              <w:rPr>
                <w:sz w:val="17"/>
              </w:rPr>
              <w:t>staff</w:t>
            </w:r>
            <w:r>
              <w:rPr>
                <w:spacing w:val="-9"/>
                <w:sz w:val="17"/>
              </w:rPr>
              <w:t> </w:t>
            </w:r>
            <w:r>
              <w:rPr>
                <w:sz w:val="17"/>
              </w:rPr>
              <w:t>are</w:t>
            </w:r>
            <w:r>
              <w:rPr>
                <w:spacing w:val="-8"/>
                <w:sz w:val="17"/>
              </w:rPr>
              <w:t> </w:t>
            </w:r>
            <w:r>
              <w:rPr>
                <w:sz w:val="17"/>
              </w:rPr>
              <w:t>encouraged to</w:t>
            </w:r>
            <w:r>
              <w:rPr>
                <w:spacing w:val="-4"/>
                <w:sz w:val="17"/>
              </w:rPr>
              <w:t> </w:t>
            </w:r>
            <w:r>
              <w:rPr>
                <w:sz w:val="17"/>
              </w:rPr>
              <w:t>improve</w:t>
            </w:r>
            <w:r>
              <w:rPr>
                <w:spacing w:val="-4"/>
                <w:sz w:val="17"/>
              </w:rPr>
              <w:t> </w:t>
            </w:r>
            <w:r>
              <w:rPr>
                <w:sz w:val="17"/>
              </w:rPr>
              <w:t>their</w:t>
            </w:r>
            <w:r>
              <w:rPr>
                <w:spacing w:val="-4"/>
                <w:sz w:val="17"/>
              </w:rPr>
              <w:t> </w:t>
            </w:r>
            <w:r>
              <w:rPr>
                <w:sz w:val="17"/>
              </w:rPr>
              <w:t>capacity</w:t>
            </w:r>
            <w:r>
              <w:rPr>
                <w:spacing w:val="-4"/>
                <w:sz w:val="17"/>
              </w:rPr>
              <w:t> </w:t>
            </w:r>
            <w:r>
              <w:rPr>
                <w:sz w:val="17"/>
              </w:rPr>
              <w:t>and performance,</w:t>
            </w:r>
            <w:r>
              <w:rPr>
                <w:spacing w:val="-11"/>
                <w:sz w:val="17"/>
              </w:rPr>
              <w:t> </w:t>
            </w:r>
            <w:r>
              <w:rPr>
                <w:sz w:val="17"/>
              </w:rPr>
              <w:t>placing</w:t>
            </w:r>
            <w:r>
              <w:rPr>
                <w:spacing w:val="-11"/>
                <w:sz w:val="17"/>
              </w:rPr>
              <w:t> </w:t>
            </w:r>
            <w:r>
              <w:rPr>
                <w:sz w:val="17"/>
              </w:rPr>
              <w:t>the</w:t>
            </w:r>
            <w:r>
              <w:rPr>
                <w:spacing w:val="-10"/>
                <w:sz w:val="17"/>
              </w:rPr>
              <w:t> </w:t>
            </w:r>
            <w:r>
              <w:rPr>
                <w:sz w:val="17"/>
              </w:rPr>
              <w:t>ICC Leadership</w:t>
            </w:r>
            <w:r>
              <w:rPr>
                <w:spacing w:val="-7"/>
                <w:sz w:val="17"/>
              </w:rPr>
              <w:t> </w:t>
            </w:r>
            <w:r>
              <w:rPr>
                <w:sz w:val="17"/>
              </w:rPr>
              <w:t>Framework</w:t>
            </w:r>
            <w:r>
              <w:rPr>
                <w:spacing w:val="-7"/>
                <w:sz w:val="17"/>
              </w:rPr>
              <w:t> </w:t>
            </w:r>
            <w:r>
              <w:rPr>
                <w:sz w:val="17"/>
              </w:rPr>
              <w:t>at</w:t>
            </w:r>
            <w:r>
              <w:rPr>
                <w:spacing w:val="-8"/>
                <w:sz w:val="17"/>
              </w:rPr>
              <w:t> </w:t>
            </w:r>
            <w:r>
              <w:rPr>
                <w:sz w:val="17"/>
              </w:rPr>
              <w:t>the </w:t>
            </w:r>
            <w:r>
              <w:rPr>
                <w:spacing w:val="-4"/>
                <w:sz w:val="17"/>
              </w:rPr>
              <w:t>core</w:t>
            </w:r>
          </w:p>
        </w:tc>
        <w:tc>
          <w:tcPr>
            <w:tcW w:w="3502" w:type="dxa"/>
            <w:tcBorders>
              <w:top w:val="single" w:sz="4" w:space="0" w:color="000000"/>
            </w:tcBorders>
          </w:tcPr>
          <w:p>
            <w:pPr>
              <w:pStyle w:val="TableParagraph"/>
              <w:jc w:val="left"/>
              <w:rPr>
                <w:sz w:val="4"/>
              </w:rPr>
            </w:pPr>
          </w:p>
        </w:tc>
        <w:tc>
          <w:tcPr>
            <w:tcW w:w="1177" w:type="dxa"/>
            <w:tcBorders>
              <w:top w:val="single" w:sz="4" w:space="0" w:color="000000"/>
            </w:tcBorders>
          </w:tcPr>
          <w:p>
            <w:pPr>
              <w:pStyle w:val="TableParagraph"/>
              <w:jc w:val="left"/>
              <w:rPr>
                <w:sz w:val="4"/>
              </w:rPr>
            </w:pPr>
          </w:p>
        </w:tc>
        <w:tc>
          <w:tcPr>
            <w:tcW w:w="1101" w:type="dxa"/>
            <w:tcBorders>
              <w:top w:val="single" w:sz="4" w:space="0" w:color="000000"/>
            </w:tcBorders>
          </w:tcPr>
          <w:p>
            <w:pPr>
              <w:pStyle w:val="TableParagraph"/>
              <w:jc w:val="left"/>
              <w:rPr>
                <w:sz w:val="4"/>
              </w:rPr>
            </w:pPr>
          </w:p>
        </w:tc>
      </w:tr>
      <w:tr>
        <w:trPr>
          <w:trHeight w:val="2012" w:hRule="atLeast"/>
        </w:trPr>
        <w:tc>
          <w:tcPr>
            <w:tcW w:w="1613" w:type="dxa"/>
          </w:tcPr>
          <w:p>
            <w:pPr>
              <w:pStyle w:val="TableParagraph"/>
              <w:jc w:val="left"/>
              <w:rPr>
                <w:sz w:val="16"/>
              </w:rPr>
            </w:pPr>
          </w:p>
        </w:tc>
        <w:tc>
          <w:tcPr>
            <w:tcW w:w="2306" w:type="dxa"/>
            <w:vMerge/>
            <w:tcBorders>
              <w:top w:val="nil"/>
              <w:bottom w:val="single" w:sz="4" w:space="0" w:color="000000"/>
            </w:tcBorders>
          </w:tcPr>
          <w:p>
            <w:pPr>
              <w:rPr>
                <w:sz w:val="2"/>
                <w:szCs w:val="2"/>
              </w:rPr>
            </w:pPr>
          </w:p>
        </w:tc>
        <w:tc>
          <w:tcPr>
            <w:tcW w:w="3502" w:type="dxa"/>
            <w:tcBorders>
              <w:bottom w:val="single" w:sz="4" w:space="0" w:color="000000"/>
            </w:tcBorders>
          </w:tcPr>
          <w:p>
            <w:pPr>
              <w:pStyle w:val="TableParagraph"/>
              <w:spacing w:line="134" w:lineRule="exact"/>
              <w:ind w:left="138"/>
              <w:jc w:val="left"/>
              <w:rPr>
                <w:sz w:val="17"/>
              </w:rPr>
            </w:pPr>
            <w:r>
              <w:rPr>
                <w:sz w:val="17"/>
              </w:rPr>
              <w:t>˗</w:t>
            </w:r>
            <w:r>
              <w:rPr>
                <w:spacing w:val="36"/>
                <w:sz w:val="17"/>
              </w:rPr>
              <w:t> </w:t>
            </w:r>
            <w:r>
              <w:rPr>
                <w:sz w:val="17"/>
              </w:rPr>
              <w:t>Performance</w:t>
            </w:r>
            <w:r>
              <w:rPr>
                <w:spacing w:val="-6"/>
                <w:sz w:val="17"/>
              </w:rPr>
              <w:t> </w:t>
            </w:r>
            <w:r>
              <w:rPr>
                <w:sz w:val="17"/>
              </w:rPr>
              <w:t>appraisal</w:t>
            </w:r>
            <w:r>
              <w:rPr>
                <w:spacing w:val="-7"/>
                <w:sz w:val="17"/>
              </w:rPr>
              <w:t> </w:t>
            </w:r>
            <w:r>
              <w:rPr>
                <w:sz w:val="17"/>
              </w:rPr>
              <w:t>compliance</w:t>
            </w:r>
            <w:r>
              <w:rPr>
                <w:spacing w:val="-6"/>
                <w:sz w:val="17"/>
              </w:rPr>
              <w:t> </w:t>
            </w:r>
            <w:r>
              <w:rPr>
                <w:sz w:val="17"/>
              </w:rPr>
              <w:t>rate</w:t>
            </w:r>
            <w:r>
              <w:rPr>
                <w:spacing w:val="-6"/>
                <w:sz w:val="17"/>
              </w:rPr>
              <w:t> </w:t>
            </w:r>
            <w:r>
              <w:rPr>
                <w:spacing w:val="-5"/>
                <w:sz w:val="17"/>
              </w:rPr>
              <w:t>of</w:t>
            </w:r>
          </w:p>
          <w:p>
            <w:pPr>
              <w:pStyle w:val="TableParagraph"/>
              <w:spacing w:before="1"/>
              <w:ind w:left="282"/>
              <w:jc w:val="left"/>
              <w:rPr>
                <w:sz w:val="17"/>
              </w:rPr>
            </w:pPr>
            <w:r>
              <w:rPr>
                <w:sz w:val="17"/>
              </w:rPr>
              <w:t>Registry</w:t>
            </w:r>
            <w:r>
              <w:rPr>
                <w:spacing w:val="-4"/>
                <w:sz w:val="17"/>
              </w:rPr>
              <w:t> </w:t>
            </w:r>
            <w:r>
              <w:rPr>
                <w:spacing w:val="-2"/>
                <w:sz w:val="17"/>
              </w:rPr>
              <w:t>staff</w:t>
            </w:r>
          </w:p>
          <w:p>
            <w:pPr>
              <w:pStyle w:val="TableParagraph"/>
              <w:spacing w:before="59"/>
              <w:ind w:left="282" w:right="123" w:hanging="144"/>
              <w:jc w:val="left"/>
              <w:rPr>
                <w:sz w:val="17"/>
              </w:rPr>
            </w:pPr>
            <w:r>
              <w:rPr>
                <w:sz w:val="17"/>
              </w:rPr>
              <w:t>˗</w:t>
            </w:r>
            <w:r>
              <w:rPr>
                <w:spacing w:val="40"/>
                <w:sz w:val="17"/>
              </w:rPr>
              <w:t> </w:t>
            </w:r>
            <w:r>
              <w:rPr>
                <w:sz w:val="17"/>
              </w:rPr>
              <w:t>Number of performance conversations recorded</w:t>
            </w:r>
            <w:r>
              <w:rPr>
                <w:spacing w:val="-6"/>
                <w:sz w:val="17"/>
              </w:rPr>
              <w:t> </w:t>
            </w:r>
            <w:r>
              <w:rPr>
                <w:sz w:val="17"/>
              </w:rPr>
              <w:t>in</w:t>
            </w:r>
            <w:r>
              <w:rPr>
                <w:spacing w:val="-6"/>
                <w:sz w:val="17"/>
              </w:rPr>
              <w:t> </w:t>
            </w:r>
            <w:r>
              <w:rPr>
                <w:sz w:val="17"/>
              </w:rPr>
              <w:t>the</w:t>
            </w:r>
            <w:r>
              <w:rPr>
                <w:spacing w:val="-6"/>
                <w:sz w:val="17"/>
              </w:rPr>
              <w:t> </w:t>
            </w:r>
            <w:r>
              <w:rPr>
                <w:sz w:val="17"/>
              </w:rPr>
              <w:t>system</w:t>
            </w:r>
            <w:r>
              <w:rPr>
                <w:spacing w:val="-9"/>
                <w:sz w:val="17"/>
              </w:rPr>
              <w:t> </w:t>
            </w:r>
            <w:r>
              <w:rPr>
                <w:sz w:val="17"/>
              </w:rPr>
              <w:t>per</w:t>
            </w:r>
            <w:r>
              <w:rPr>
                <w:spacing w:val="-6"/>
                <w:sz w:val="17"/>
              </w:rPr>
              <w:t> </w:t>
            </w:r>
            <w:r>
              <w:rPr>
                <w:sz w:val="17"/>
              </w:rPr>
              <w:t>Registry</w:t>
            </w:r>
            <w:r>
              <w:rPr>
                <w:spacing w:val="-6"/>
                <w:sz w:val="17"/>
              </w:rPr>
              <w:t> </w:t>
            </w:r>
            <w:r>
              <w:rPr>
                <w:sz w:val="17"/>
              </w:rPr>
              <w:t>staff </w:t>
            </w:r>
            <w:r>
              <w:rPr>
                <w:spacing w:val="-2"/>
                <w:sz w:val="17"/>
              </w:rPr>
              <w:t>member</w:t>
            </w:r>
          </w:p>
          <w:p>
            <w:pPr>
              <w:pStyle w:val="TableParagraph"/>
              <w:spacing w:line="235" w:lineRule="auto" w:before="65"/>
              <w:ind w:left="277" w:hanging="140"/>
              <w:jc w:val="left"/>
              <w:rPr>
                <w:sz w:val="17"/>
              </w:rPr>
            </w:pPr>
            <w:r>
              <w:rPr>
                <w:sz w:val="17"/>
              </w:rPr>
              <w:t>˗</w:t>
            </w:r>
            <w:r>
              <w:rPr>
                <w:spacing w:val="27"/>
                <w:sz w:val="17"/>
              </w:rPr>
              <w:t> </w:t>
            </w:r>
            <w:r>
              <w:rPr>
                <w:sz w:val="17"/>
              </w:rPr>
              <w:t>Percentage</w:t>
            </w:r>
            <w:r>
              <w:rPr>
                <w:spacing w:val="-4"/>
                <w:sz w:val="17"/>
              </w:rPr>
              <w:t> </w:t>
            </w:r>
            <w:r>
              <w:rPr>
                <w:sz w:val="17"/>
              </w:rPr>
              <w:t>of</w:t>
            </w:r>
            <w:r>
              <w:rPr>
                <w:spacing w:val="-5"/>
                <w:sz w:val="17"/>
              </w:rPr>
              <w:t> </w:t>
            </w:r>
            <w:r>
              <w:rPr>
                <w:sz w:val="17"/>
              </w:rPr>
              <w:t>Court</w:t>
            </w:r>
            <w:r>
              <w:rPr>
                <w:spacing w:val="-6"/>
                <w:sz w:val="17"/>
              </w:rPr>
              <w:t> </w:t>
            </w:r>
            <w:r>
              <w:rPr>
                <w:sz w:val="17"/>
              </w:rPr>
              <w:t>staff</w:t>
            </w:r>
            <w:r>
              <w:rPr>
                <w:spacing w:val="-5"/>
                <w:sz w:val="17"/>
              </w:rPr>
              <w:t> </w:t>
            </w:r>
            <w:r>
              <w:rPr>
                <w:sz w:val="17"/>
              </w:rPr>
              <w:t>participation</w:t>
            </w:r>
            <w:r>
              <w:rPr>
                <w:spacing w:val="-9"/>
                <w:sz w:val="17"/>
              </w:rPr>
              <w:t> </w:t>
            </w:r>
            <w:r>
              <w:rPr>
                <w:sz w:val="17"/>
              </w:rPr>
              <w:t>in training/development</w:t>
            </w:r>
            <w:r>
              <w:rPr>
                <w:spacing w:val="-4"/>
                <w:sz w:val="17"/>
              </w:rPr>
              <w:t> </w:t>
            </w:r>
            <w:r>
              <w:rPr>
                <w:sz w:val="17"/>
              </w:rPr>
              <w:t>activities</w:t>
            </w:r>
          </w:p>
          <w:p>
            <w:pPr>
              <w:pStyle w:val="TableParagraph"/>
              <w:spacing w:before="3"/>
              <w:ind w:left="138"/>
              <w:jc w:val="left"/>
              <w:rPr>
                <w:sz w:val="17"/>
              </w:rPr>
            </w:pPr>
            <w:r>
              <w:rPr>
                <w:sz w:val="17"/>
              </w:rPr>
              <w:t>˗</w:t>
            </w:r>
            <w:r>
              <w:rPr>
                <w:spacing w:val="29"/>
                <w:sz w:val="17"/>
              </w:rPr>
              <w:t> </w:t>
            </w:r>
            <w:r>
              <w:rPr>
                <w:sz w:val="17"/>
              </w:rPr>
              <w:t>Percentage</w:t>
            </w:r>
            <w:r>
              <w:rPr>
                <w:spacing w:val="-1"/>
                <w:sz w:val="17"/>
              </w:rPr>
              <w:t> </w:t>
            </w:r>
            <w:r>
              <w:rPr>
                <w:sz w:val="17"/>
              </w:rPr>
              <w:t>of</w:t>
            </w:r>
            <w:r>
              <w:rPr>
                <w:spacing w:val="-4"/>
                <w:sz w:val="17"/>
              </w:rPr>
              <w:t> </w:t>
            </w:r>
            <w:r>
              <w:rPr>
                <w:sz w:val="17"/>
              </w:rPr>
              <w:t>Registry</w:t>
            </w:r>
            <w:r>
              <w:rPr>
                <w:spacing w:val="-7"/>
                <w:sz w:val="17"/>
              </w:rPr>
              <w:t> </w:t>
            </w:r>
            <w:r>
              <w:rPr>
                <w:sz w:val="17"/>
              </w:rPr>
              <w:t>staff</w:t>
            </w:r>
            <w:r>
              <w:rPr>
                <w:spacing w:val="-3"/>
                <w:sz w:val="17"/>
              </w:rPr>
              <w:t> </w:t>
            </w:r>
            <w:r>
              <w:rPr>
                <w:sz w:val="17"/>
              </w:rPr>
              <w:t>members</w:t>
            </w:r>
            <w:r>
              <w:rPr>
                <w:spacing w:val="-3"/>
                <w:sz w:val="17"/>
              </w:rPr>
              <w:t> </w:t>
            </w:r>
            <w:r>
              <w:rPr>
                <w:spacing w:val="-4"/>
                <w:sz w:val="17"/>
              </w:rPr>
              <w:t>with</w:t>
            </w:r>
          </w:p>
          <w:p>
            <w:pPr>
              <w:pStyle w:val="TableParagraph"/>
              <w:spacing w:line="192" w:lineRule="exact"/>
              <w:ind w:left="277"/>
              <w:jc w:val="left"/>
              <w:rPr>
                <w:sz w:val="17"/>
              </w:rPr>
            </w:pPr>
            <w:r>
              <w:rPr>
                <w:sz w:val="17"/>
              </w:rPr>
              <w:t>supervisory responsibilities who have completed</w:t>
            </w:r>
            <w:r>
              <w:rPr>
                <w:spacing w:val="-10"/>
                <w:sz w:val="17"/>
              </w:rPr>
              <w:t> </w:t>
            </w:r>
            <w:r>
              <w:rPr>
                <w:sz w:val="17"/>
              </w:rPr>
              <w:t>the</w:t>
            </w:r>
            <w:r>
              <w:rPr>
                <w:spacing w:val="-10"/>
                <w:sz w:val="17"/>
              </w:rPr>
              <w:t> </w:t>
            </w:r>
            <w:r>
              <w:rPr>
                <w:sz w:val="17"/>
              </w:rPr>
              <w:t>Developmental</w:t>
            </w:r>
            <w:r>
              <w:rPr>
                <w:spacing w:val="-11"/>
                <w:sz w:val="17"/>
              </w:rPr>
              <w:t> </w:t>
            </w:r>
            <w:r>
              <w:rPr>
                <w:sz w:val="17"/>
              </w:rPr>
              <w:t>360</w:t>
            </w:r>
            <w:r>
              <w:rPr>
                <w:spacing w:val="-10"/>
                <w:sz w:val="17"/>
              </w:rPr>
              <w:t> </w:t>
            </w:r>
            <w:r>
              <w:rPr>
                <w:sz w:val="17"/>
              </w:rPr>
              <w:t>review</w:t>
            </w:r>
          </w:p>
        </w:tc>
        <w:tc>
          <w:tcPr>
            <w:tcW w:w="1177" w:type="dxa"/>
            <w:tcBorders>
              <w:bottom w:val="single" w:sz="4" w:space="0" w:color="000000"/>
            </w:tcBorders>
          </w:tcPr>
          <w:p>
            <w:pPr>
              <w:pStyle w:val="TableParagraph"/>
              <w:spacing w:line="134" w:lineRule="exact"/>
              <w:ind w:left="55"/>
              <w:jc w:val="left"/>
              <w:rPr>
                <w:sz w:val="17"/>
              </w:rPr>
            </w:pPr>
            <w:r>
              <w:rPr>
                <w:sz w:val="17"/>
              </w:rPr>
              <w:t>˗</w:t>
            </w:r>
            <w:r>
              <w:rPr>
                <w:spacing w:val="43"/>
                <w:sz w:val="17"/>
              </w:rPr>
              <w:t> </w:t>
            </w:r>
            <w:r>
              <w:rPr>
                <w:spacing w:val="-5"/>
                <w:sz w:val="17"/>
              </w:rPr>
              <w:t>98%</w:t>
            </w:r>
          </w:p>
          <w:p>
            <w:pPr>
              <w:pStyle w:val="TableParagraph"/>
              <w:spacing w:before="1"/>
              <w:jc w:val="left"/>
              <w:rPr>
                <w:b/>
                <w:sz w:val="20"/>
              </w:rPr>
            </w:pPr>
          </w:p>
          <w:p>
            <w:pPr>
              <w:pStyle w:val="TableParagraph"/>
              <w:ind w:left="55"/>
              <w:jc w:val="left"/>
              <w:rPr>
                <w:sz w:val="17"/>
              </w:rPr>
            </w:pPr>
            <w:r>
              <w:rPr>
                <w:rFonts w:ascii="Palatino Linotype"/>
                <w:sz w:val="17"/>
              </w:rPr>
              <w:t>- </w:t>
            </w:r>
            <w:r>
              <w:rPr>
                <w:spacing w:val="-5"/>
                <w:sz w:val="17"/>
              </w:rPr>
              <w:t>1.4</w:t>
            </w:r>
          </w:p>
          <w:p>
            <w:pPr>
              <w:pStyle w:val="TableParagraph"/>
              <w:jc w:val="left"/>
              <w:rPr>
                <w:b/>
                <w:sz w:val="20"/>
              </w:rPr>
            </w:pPr>
          </w:p>
          <w:p>
            <w:pPr>
              <w:pStyle w:val="TableParagraph"/>
              <w:spacing w:before="170"/>
              <w:ind w:left="55"/>
              <w:jc w:val="left"/>
              <w:rPr>
                <w:sz w:val="17"/>
              </w:rPr>
            </w:pPr>
            <w:r>
              <w:rPr>
                <w:rFonts w:ascii="Palatino Linotype"/>
                <w:sz w:val="17"/>
              </w:rPr>
              <w:t>- </w:t>
            </w:r>
            <w:r>
              <w:rPr>
                <w:spacing w:val="-5"/>
                <w:sz w:val="17"/>
              </w:rPr>
              <w:t>77%</w:t>
            </w:r>
          </w:p>
          <w:p>
            <w:pPr>
              <w:pStyle w:val="TableParagraph"/>
              <w:spacing w:before="4"/>
              <w:jc w:val="left"/>
              <w:rPr>
                <w:b/>
                <w:sz w:val="16"/>
              </w:rPr>
            </w:pPr>
          </w:p>
          <w:p>
            <w:pPr>
              <w:pStyle w:val="TableParagraph"/>
              <w:ind w:left="55"/>
              <w:jc w:val="left"/>
              <w:rPr>
                <w:sz w:val="17"/>
              </w:rPr>
            </w:pPr>
            <w:r>
              <w:rPr>
                <w:rFonts w:ascii="Palatino Linotype"/>
                <w:sz w:val="17"/>
              </w:rPr>
              <w:t>- </w:t>
            </w:r>
            <w:r>
              <w:rPr>
                <w:spacing w:val="-2"/>
                <w:sz w:val="17"/>
              </w:rPr>
              <w:t>(TBD)</w:t>
            </w:r>
          </w:p>
        </w:tc>
        <w:tc>
          <w:tcPr>
            <w:tcW w:w="1101" w:type="dxa"/>
            <w:tcBorders>
              <w:bottom w:val="single" w:sz="4" w:space="0" w:color="000000"/>
            </w:tcBorders>
          </w:tcPr>
          <w:p>
            <w:pPr>
              <w:pStyle w:val="TableParagraph"/>
              <w:spacing w:line="172" w:lineRule="exact"/>
              <w:ind w:left="208"/>
              <w:jc w:val="left"/>
              <w:rPr>
                <w:sz w:val="17"/>
              </w:rPr>
            </w:pPr>
            <w:r>
              <w:rPr>
                <w:rFonts w:ascii="Palatino Linotype"/>
                <w:sz w:val="17"/>
              </w:rPr>
              <w:t>- </w:t>
            </w:r>
            <w:r>
              <w:rPr>
                <w:spacing w:val="-5"/>
                <w:sz w:val="17"/>
              </w:rPr>
              <w:t>98%</w:t>
            </w:r>
          </w:p>
          <w:p>
            <w:pPr>
              <w:pStyle w:val="TableParagraph"/>
              <w:spacing w:before="10"/>
              <w:jc w:val="left"/>
              <w:rPr>
                <w:b/>
                <w:sz w:val="15"/>
              </w:rPr>
            </w:pPr>
          </w:p>
          <w:p>
            <w:pPr>
              <w:pStyle w:val="TableParagraph"/>
              <w:spacing w:before="1"/>
              <w:ind w:left="208"/>
              <w:jc w:val="left"/>
              <w:rPr>
                <w:sz w:val="17"/>
              </w:rPr>
            </w:pPr>
            <w:r>
              <w:rPr>
                <w:rFonts w:ascii="Palatino Linotype"/>
                <w:sz w:val="17"/>
              </w:rPr>
              <w:t>- </w:t>
            </w:r>
            <w:r>
              <w:rPr>
                <w:spacing w:val="-4"/>
                <w:sz w:val="17"/>
              </w:rPr>
              <w:t>1.75</w:t>
            </w:r>
          </w:p>
          <w:p>
            <w:pPr>
              <w:pStyle w:val="TableParagraph"/>
              <w:jc w:val="left"/>
              <w:rPr>
                <w:b/>
                <w:sz w:val="20"/>
              </w:rPr>
            </w:pPr>
          </w:p>
          <w:p>
            <w:pPr>
              <w:pStyle w:val="TableParagraph"/>
              <w:spacing w:before="146"/>
              <w:ind w:left="208"/>
              <w:jc w:val="left"/>
              <w:rPr>
                <w:sz w:val="17"/>
              </w:rPr>
            </w:pPr>
            <w:r>
              <w:rPr>
                <w:rFonts w:ascii="Palatino Linotype"/>
                <w:sz w:val="17"/>
              </w:rPr>
              <w:t>- </w:t>
            </w:r>
            <w:r>
              <w:rPr>
                <w:spacing w:val="-4"/>
                <w:sz w:val="17"/>
              </w:rPr>
              <w:t>&gt;75%</w:t>
            </w:r>
          </w:p>
          <w:p>
            <w:pPr>
              <w:pStyle w:val="TableParagraph"/>
              <w:spacing w:before="5"/>
              <w:jc w:val="left"/>
              <w:rPr>
                <w:b/>
                <w:sz w:val="18"/>
              </w:rPr>
            </w:pPr>
          </w:p>
          <w:p>
            <w:pPr>
              <w:pStyle w:val="TableParagraph"/>
              <w:ind w:left="208"/>
              <w:jc w:val="left"/>
              <w:rPr>
                <w:sz w:val="17"/>
              </w:rPr>
            </w:pPr>
            <w:r>
              <w:rPr>
                <w:rFonts w:ascii="Palatino Linotype"/>
                <w:sz w:val="17"/>
              </w:rPr>
              <w:t>- </w:t>
            </w:r>
            <w:r>
              <w:rPr>
                <w:spacing w:val="-5"/>
                <w:sz w:val="17"/>
              </w:rPr>
              <w:t>85%</w:t>
            </w:r>
          </w:p>
        </w:tc>
      </w:tr>
      <w:tr>
        <w:trPr>
          <w:trHeight w:val="1612" w:hRule="atLeast"/>
        </w:trPr>
        <w:tc>
          <w:tcPr>
            <w:tcW w:w="1613" w:type="dxa"/>
          </w:tcPr>
          <w:p>
            <w:pPr>
              <w:pStyle w:val="TableParagraph"/>
              <w:jc w:val="left"/>
              <w:rPr>
                <w:sz w:val="16"/>
              </w:rPr>
            </w:pPr>
          </w:p>
        </w:tc>
        <w:tc>
          <w:tcPr>
            <w:tcW w:w="2306" w:type="dxa"/>
            <w:tcBorders>
              <w:top w:val="single" w:sz="4" w:space="0" w:color="000000"/>
              <w:bottom w:val="single" w:sz="4" w:space="0" w:color="000000"/>
            </w:tcBorders>
          </w:tcPr>
          <w:p>
            <w:pPr>
              <w:pStyle w:val="TableParagraph"/>
              <w:ind w:left="105"/>
              <w:jc w:val="left"/>
              <w:rPr>
                <w:sz w:val="17"/>
              </w:rPr>
            </w:pPr>
            <w:r>
              <w:rPr>
                <w:b/>
                <w:sz w:val="17"/>
              </w:rPr>
              <w:t>Objective 2.3. </w:t>
            </w:r>
            <w:r>
              <w:rPr>
                <w:sz w:val="17"/>
              </w:rPr>
              <w:t>Create a framework</w:t>
            </w:r>
            <w:r>
              <w:rPr>
                <w:spacing w:val="-10"/>
                <w:sz w:val="17"/>
              </w:rPr>
              <w:t> </w:t>
            </w:r>
            <w:r>
              <w:rPr>
                <w:sz w:val="17"/>
              </w:rPr>
              <w:t>for</w:t>
            </w:r>
            <w:r>
              <w:rPr>
                <w:spacing w:val="-9"/>
                <w:sz w:val="17"/>
              </w:rPr>
              <w:t> </w:t>
            </w:r>
            <w:r>
              <w:rPr>
                <w:sz w:val="17"/>
              </w:rPr>
              <w:t>a</w:t>
            </w:r>
            <w:r>
              <w:rPr>
                <w:spacing w:val="-9"/>
                <w:sz w:val="17"/>
              </w:rPr>
              <w:t> </w:t>
            </w:r>
            <w:r>
              <w:rPr>
                <w:sz w:val="17"/>
              </w:rPr>
              <w:t>more</w:t>
            </w:r>
            <w:r>
              <w:rPr>
                <w:spacing w:val="-11"/>
                <w:sz w:val="17"/>
              </w:rPr>
              <w:t> </w:t>
            </w:r>
            <w:r>
              <w:rPr>
                <w:sz w:val="17"/>
              </w:rPr>
              <w:t>flexible workforce as well as more efficient talent acquisition</w:t>
            </w:r>
          </w:p>
        </w:tc>
        <w:tc>
          <w:tcPr>
            <w:tcW w:w="3502" w:type="dxa"/>
            <w:tcBorders>
              <w:top w:val="single" w:sz="4" w:space="0" w:color="000000"/>
              <w:bottom w:val="single" w:sz="4" w:space="0" w:color="000000"/>
            </w:tcBorders>
          </w:tcPr>
          <w:p>
            <w:pPr>
              <w:pStyle w:val="TableParagraph"/>
              <w:spacing w:before="62"/>
              <w:ind w:left="282" w:right="123" w:hanging="144"/>
              <w:jc w:val="left"/>
              <w:rPr>
                <w:sz w:val="17"/>
              </w:rPr>
            </w:pPr>
            <w:r>
              <w:rPr>
                <w:sz w:val="17"/>
              </w:rPr>
              <w:t>˗</w:t>
            </w:r>
            <w:r>
              <w:rPr>
                <w:spacing w:val="40"/>
                <w:sz w:val="17"/>
              </w:rPr>
              <w:t> </w:t>
            </w:r>
            <w:r>
              <w:rPr>
                <w:sz w:val="17"/>
              </w:rPr>
              <w:t>Percentage of positive responses from Registry</w:t>
            </w:r>
            <w:r>
              <w:rPr>
                <w:spacing w:val="-7"/>
                <w:sz w:val="17"/>
              </w:rPr>
              <w:t> </w:t>
            </w:r>
            <w:r>
              <w:rPr>
                <w:sz w:val="17"/>
              </w:rPr>
              <w:t>staff</w:t>
            </w:r>
            <w:r>
              <w:rPr>
                <w:spacing w:val="-9"/>
                <w:sz w:val="17"/>
              </w:rPr>
              <w:t> </w:t>
            </w:r>
            <w:r>
              <w:rPr>
                <w:sz w:val="17"/>
              </w:rPr>
              <w:t>to</w:t>
            </w:r>
            <w:r>
              <w:rPr>
                <w:spacing w:val="-7"/>
                <w:sz w:val="17"/>
              </w:rPr>
              <w:t> </w:t>
            </w:r>
            <w:r>
              <w:rPr>
                <w:sz w:val="17"/>
              </w:rPr>
              <w:t>survey</w:t>
            </w:r>
            <w:r>
              <w:rPr>
                <w:spacing w:val="-7"/>
                <w:sz w:val="17"/>
              </w:rPr>
              <w:t> </w:t>
            </w:r>
            <w:r>
              <w:rPr>
                <w:sz w:val="17"/>
              </w:rPr>
              <w:t>questions</w:t>
            </w:r>
            <w:r>
              <w:rPr>
                <w:spacing w:val="-4"/>
                <w:sz w:val="17"/>
              </w:rPr>
              <w:t> </w:t>
            </w:r>
            <w:r>
              <w:rPr>
                <w:sz w:val="17"/>
              </w:rPr>
              <w:t>on</w:t>
            </w:r>
            <w:r>
              <w:rPr>
                <w:spacing w:val="-7"/>
                <w:sz w:val="17"/>
              </w:rPr>
              <w:t> </w:t>
            </w:r>
            <w:r>
              <w:rPr>
                <w:sz w:val="17"/>
              </w:rPr>
              <w:t>internal </w:t>
            </w:r>
            <w:r>
              <w:rPr>
                <w:spacing w:val="-2"/>
                <w:sz w:val="17"/>
              </w:rPr>
              <w:t>mobility</w:t>
            </w:r>
          </w:p>
          <w:p>
            <w:pPr>
              <w:pStyle w:val="TableParagraph"/>
              <w:spacing w:before="57"/>
              <w:ind w:left="282" w:hanging="144"/>
              <w:jc w:val="left"/>
              <w:rPr>
                <w:sz w:val="17"/>
              </w:rPr>
            </w:pPr>
            <w:r>
              <w:rPr>
                <w:sz w:val="17"/>
              </w:rPr>
              <w:t>˗</w:t>
            </w:r>
            <w:r>
              <w:rPr>
                <w:spacing w:val="36"/>
                <w:sz w:val="17"/>
              </w:rPr>
              <w:t> </w:t>
            </w:r>
            <w:r>
              <w:rPr>
                <w:sz w:val="17"/>
              </w:rPr>
              <w:t>Average</w:t>
            </w:r>
            <w:r>
              <w:rPr>
                <w:spacing w:val="-7"/>
                <w:sz w:val="17"/>
              </w:rPr>
              <w:t> </w:t>
            </w:r>
            <w:r>
              <w:rPr>
                <w:sz w:val="17"/>
              </w:rPr>
              <w:t>days</w:t>
            </w:r>
            <w:r>
              <w:rPr>
                <w:spacing w:val="-8"/>
                <w:sz w:val="17"/>
              </w:rPr>
              <w:t> </w:t>
            </w:r>
            <w:r>
              <w:rPr>
                <w:sz w:val="17"/>
              </w:rPr>
              <w:t>taken</w:t>
            </w:r>
            <w:r>
              <w:rPr>
                <w:spacing w:val="-3"/>
                <w:sz w:val="17"/>
              </w:rPr>
              <w:t> </w:t>
            </w:r>
            <w:r>
              <w:rPr>
                <w:sz w:val="17"/>
              </w:rPr>
              <w:t>for</w:t>
            </w:r>
            <w:r>
              <w:rPr>
                <w:spacing w:val="-3"/>
                <w:sz w:val="17"/>
              </w:rPr>
              <w:t> </w:t>
            </w:r>
            <w:r>
              <w:rPr>
                <w:sz w:val="17"/>
              </w:rPr>
              <w:t>staff</w:t>
            </w:r>
            <w:r>
              <w:rPr>
                <w:spacing w:val="-3"/>
                <w:sz w:val="17"/>
              </w:rPr>
              <w:t> </w:t>
            </w:r>
            <w:r>
              <w:rPr>
                <w:sz w:val="17"/>
              </w:rPr>
              <w:t>recruitment</w:t>
            </w:r>
            <w:r>
              <w:rPr>
                <w:spacing w:val="-4"/>
                <w:sz w:val="17"/>
              </w:rPr>
              <w:t> </w:t>
            </w:r>
            <w:r>
              <w:rPr>
                <w:sz w:val="17"/>
              </w:rPr>
              <w:t>at</w:t>
            </w:r>
            <w:r>
              <w:rPr>
                <w:spacing w:val="-8"/>
                <w:sz w:val="17"/>
              </w:rPr>
              <w:t> </w:t>
            </w:r>
            <w:r>
              <w:rPr>
                <w:sz w:val="17"/>
              </w:rPr>
              <w:t>the </w:t>
            </w:r>
            <w:r>
              <w:rPr>
                <w:spacing w:val="-2"/>
                <w:sz w:val="17"/>
              </w:rPr>
              <w:t>Court</w:t>
            </w:r>
          </w:p>
          <w:p>
            <w:pPr>
              <w:pStyle w:val="TableParagraph"/>
              <w:spacing w:before="60"/>
              <w:ind w:left="282" w:hanging="144"/>
              <w:jc w:val="left"/>
              <w:rPr>
                <w:sz w:val="17"/>
              </w:rPr>
            </w:pPr>
            <w:r>
              <w:rPr>
                <w:sz w:val="17"/>
              </w:rPr>
              <w:t>˗</w:t>
            </w:r>
            <w:r>
              <w:rPr>
                <w:spacing w:val="33"/>
                <w:sz w:val="17"/>
              </w:rPr>
              <w:t> </w:t>
            </w:r>
            <w:r>
              <w:rPr>
                <w:sz w:val="17"/>
              </w:rPr>
              <w:t>Percentage</w:t>
            </w:r>
            <w:r>
              <w:rPr>
                <w:spacing w:val="-5"/>
                <w:sz w:val="17"/>
              </w:rPr>
              <w:t> </w:t>
            </w:r>
            <w:r>
              <w:rPr>
                <w:sz w:val="17"/>
              </w:rPr>
              <w:t>of</w:t>
            </w:r>
            <w:r>
              <w:rPr>
                <w:spacing w:val="-5"/>
                <w:sz w:val="17"/>
              </w:rPr>
              <w:t> </w:t>
            </w:r>
            <w:r>
              <w:rPr>
                <w:sz w:val="17"/>
              </w:rPr>
              <w:t>Registry</w:t>
            </w:r>
            <w:r>
              <w:rPr>
                <w:spacing w:val="-8"/>
                <w:sz w:val="17"/>
              </w:rPr>
              <w:t> </w:t>
            </w:r>
            <w:r>
              <w:rPr>
                <w:sz w:val="17"/>
              </w:rPr>
              <w:t>staff</w:t>
            </w:r>
            <w:r>
              <w:rPr>
                <w:spacing w:val="-5"/>
                <w:sz w:val="17"/>
              </w:rPr>
              <w:t> </w:t>
            </w:r>
            <w:r>
              <w:rPr>
                <w:sz w:val="17"/>
              </w:rPr>
              <w:t>making</w:t>
            </w:r>
            <w:r>
              <w:rPr>
                <w:spacing w:val="-5"/>
                <w:sz w:val="17"/>
              </w:rPr>
              <w:t> </w:t>
            </w:r>
            <w:r>
              <w:rPr>
                <w:sz w:val="17"/>
              </w:rPr>
              <w:t>use</w:t>
            </w:r>
            <w:r>
              <w:rPr>
                <w:spacing w:val="-5"/>
                <w:sz w:val="17"/>
              </w:rPr>
              <w:t> </w:t>
            </w:r>
            <w:r>
              <w:rPr>
                <w:sz w:val="17"/>
              </w:rPr>
              <w:t>of flexible working arrangements</w:t>
            </w:r>
          </w:p>
        </w:tc>
        <w:tc>
          <w:tcPr>
            <w:tcW w:w="1177" w:type="dxa"/>
            <w:tcBorders>
              <w:top w:val="single" w:sz="4" w:space="0" w:color="000000"/>
              <w:bottom w:val="single" w:sz="4" w:space="0" w:color="000000"/>
            </w:tcBorders>
          </w:tcPr>
          <w:p>
            <w:pPr>
              <w:pStyle w:val="TableParagraph"/>
              <w:spacing w:before="66"/>
              <w:ind w:left="55"/>
              <w:jc w:val="left"/>
              <w:rPr>
                <w:sz w:val="17"/>
              </w:rPr>
            </w:pPr>
            <w:r>
              <w:rPr>
                <w:sz w:val="17"/>
              </w:rPr>
              <w:t>˗</w:t>
            </w:r>
            <w:r>
              <w:rPr>
                <w:spacing w:val="43"/>
                <w:sz w:val="17"/>
              </w:rPr>
              <w:t> </w:t>
            </w:r>
            <w:r>
              <w:rPr>
                <w:spacing w:val="-5"/>
                <w:sz w:val="17"/>
              </w:rPr>
              <w:t>26%</w:t>
            </w:r>
          </w:p>
          <w:p>
            <w:pPr>
              <w:pStyle w:val="TableParagraph"/>
              <w:jc w:val="left"/>
              <w:rPr>
                <w:b/>
                <w:sz w:val="18"/>
              </w:rPr>
            </w:pPr>
          </w:p>
          <w:p>
            <w:pPr>
              <w:pStyle w:val="TableParagraph"/>
              <w:spacing w:before="5"/>
              <w:jc w:val="left"/>
              <w:rPr>
                <w:b/>
                <w:sz w:val="18"/>
              </w:rPr>
            </w:pPr>
          </w:p>
          <w:p>
            <w:pPr>
              <w:pStyle w:val="TableParagraph"/>
              <w:ind w:left="55"/>
              <w:jc w:val="left"/>
              <w:rPr>
                <w:sz w:val="17"/>
              </w:rPr>
            </w:pPr>
            <w:r>
              <w:rPr>
                <w:rFonts w:ascii="Palatino Linotype"/>
                <w:sz w:val="17"/>
              </w:rPr>
              <w:t>- </w:t>
            </w:r>
            <w:r>
              <w:rPr>
                <w:sz w:val="17"/>
              </w:rPr>
              <w:t>209</w:t>
            </w:r>
            <w:r>
              <w:rPr>
                <w:spacing w:val="-3"/>
                <w:sz w:val="17"/>
              </w:rPr>
              <w:t> </w:t>
            </w:r>
            <w:r>
              <w:rPr>
                <w:spacing w:val="-4"/>
                <w:sz w:val="17"/>
              </w:rPr>
              <w:t>days</w:t>
            </w:r>
          </w:p>
          <w:p>
            <w:pPr>
              <w:pStyle w:val="TableParagraph"/>
              <w:spacing w:before="2"/>
              <w:jc w:val="left"/>
              <w:rPr>
                <w:b/>
                <w:sz w:val="20"/>
              </w:rPr>
            </w:pPr>
          </w:p>
          <w:p>
            <w:pPr>
              <w:pStyle w:val="TableParagraph"/>
              <w:ind w:left="55"/>
              <w:jc w:val="left"/>
              <w:rPr>
                <w:sz w:val="17"/>
              </w:rPr>
            </w:pPr>
            <w:r>
              <w:rPr>
                <w:rFonts w:ascii="Palatino Linotype"/>
                <w:w w:val="95"/>
                <w:sz w:val="17"/>
              </w:rPr>
              <w:t>-</w:t>
            </w:r>
            <w:r>
              <w:rPr>
                <w:spacing w:val="-5"/>
                <w:w w:val="95"/>
                <w:sz w:val="17"/>
              </w:rPr>
              <w:t>36%</w:t>
            </w:r>
          </w:p>
        </w:tc>
        <w:tc>
          <w:tcPr>
            <w:tcW w:w="1101" w:type="dxa"/>
            <w:tcBorders>
              <w:top w:val="single" w:sz="4" w:space="0" w:color="000000"/>
              <w:bottom w:val="single" w:sz="4" w:space="0" w:color="000000"/>
            </w:tcBorders>
          </w:tcPr>
          <w:p>
            <w:pPr>
              <w:pStyle w:val="TableParagraph"/>
              <w:spacing w:before="66"/>
              <w:ind w:left="208"/>
              <w:jc w:val="left"/>
              <w:rPr>
                <w:sz w:val="17"/>
              </w:rPr>
            </w:pPr>
            <w:r>
              <w:rPr>
                <w:sz w:val="17"/>
              </w:rPr>
              <w:t>˗</w:t>
            </w:r>
            <w:r>
              <w:rPr>
                <w:spacing w:val="43"/>
                <w:sz w:val="17"/>
              </w:rPr>
              <w:t> </w:t>
            </w:r>
            <w:r>
              <w:rPr>
                <w:spacing w:val="-5"/>
                <w:sz w:val="17"/>
              </w:rPr>
              <w:t>54%</w:t>
            </w:r>
          </w:p>
          <w:p>
            <w:pPr>
              <w:pStyle w:val="TableParagraph"/>
              <w:jc w:val="left"/>
              <w:rPr>
                <w:b/>
                <w:sz w:val="18"/>
              </w:rPr>
            </w:pPr>
          </w:p>
          <w:p>
            <w:pPr>
              <w:pStyle w:val="TableParagraph"/>
              <w:spacing w:before="6"/>
              <w:jc w:val="left"/>
              <w:rPr>
                <w:b/>
                <w:sz w:val="18"/>
              </w:rPr>
            </w:pPr>
          </w:p>
          <w:p>
            <w:pPr>
              <w:pStyle w:val="TableParagraph"/>
              <w:ind w:left="208"/>
              <w:jc w:val="left"/>
              <w:rPr>
                <w:sz w:val="17"/>
              </w:rPr>
            </w:pPr>
            <w:r>
              <w:rPr>
                <w:sz w:val="17"/>
              </w:rPr>
              <w:t>˗</w:t>
            </w:r>
            <w:r>
              <w:rPr>
                <w:spacing w:val="43"/>
                <w:sz w:val="17"/>
              </w:rPr>
              <w:t> </w:t>
            </w:r>
            <w:r>
              <w:rPr>
                <w:sz w:val="17"/>
              </w:rPr>
              <w:t>160</w:t>
            </w:r>
            <w:r>
              <w:rPr>
                <w:spacing w:val="1"/>
                <w:sz w:val="17"/>
              </w:rPr>
              <w:t> </w:t>
            </w:r>
            <w:r>
              <w:rPr>
                <w:spacing w:val="-4"/>
                <w:sz w:val="17"/>
              </w:rPr>
              <w:t>days</w:t>
            </w:r>
          </w:p>
          <w:p>
            <w:pPr>
              <w:pStyle w:val="TableParagraph"/>
              <w:spacing w:before="1"/>
              <w:jc w:val="left"/>
              <w:rPr>
                <w:b/>
                <w:sz w:val="20"/>
              </w:rPr>
            </w:pPr>
          </w:p>
          <w:p>
            <w:pPr>
              <w:pStyle w:val="TableParagraph"/>
              <w:ind w:left="208"/>
              <w:jc w:val="left"/>
              <w:rPr>
                <w:sz w:val="17"/>
              </w:rPr>
            </w:pPr>
            <w:r>
              <w:rPr>
                <w:rFonts w:ascii="Palatino Linotype"/>
                <w:sz w:val="17"/>
              </w:rPr>
              <w:t>- </w:t>
            </w:r>
            <w:r>
              <w:rPr>
                <w:spacing w:val="-5"/>
                <w:sz w:val="17"/>
              </w:rPr>
              <w:t>41%</w:t>
            </w:r>
          </w:p>
        </w:tc>
      </w:tr>
      <w:tr>
        <w:trPr>
          <w:trHeight w:val="1564" w:hRule="atLeast"/>
        </w:trPr>
        <w:tc>
          <w:tcPr>
            <w:tcW w:w="1613" w:type="dxa"/>
            <w:tcBorders>
              <w:bottom w:val="single" w:sz="4" w:space="0" w:color="000000"/>
            </w:tcBorders>
          </w:tcPr>
          <w:p>
            <w:pPr>
              <w:pStyle w:val="TableParagraph"/>
              <w:jc w:val="left"/>
              <w:rPr>
                <w:sz w:val="16"/>
              </w:rPr>
            </w:pPr>
          </w:p>
        </w:tc>
        <w:tc>
          <w:tcPr>
            <w:tcW w:w="2306" w:type="dxa"/>
            <w:tcBorders>
              <w:top w:val="single" w:sz="4" w:space="0" w:color="000000"/>
              <w:bottom w:val="single" w:sz="4" w:space="0" w:color="000000"/>
            </w:tcBorders>
          </w:tcPr>
          <w:p>
            <w:pPr>
              <w:pStyle w:val="TableParagraph"/>
              <w:ind w:left="105" w:right="167"/>
              <w:jc w:val="left"/>
              <w:rPr>
                <w:sz w:val="17"/>
              </w:rPr>
            </w:pPr>
            <w:r>
              <w:rPr>
                <w:b/>
                <w:sz w:val="17"/>
              </w:rPr>
              <w:t>Objective 2.4. </w:t>
            </w:r>
            <w:r>
              <w:rPr>
                <w:sz w:val="17"/>
              </w:rPr>
              <w:t>Strengthen mechanisms</w:t>
            </w:r>
            <w:r>
              <w:rPr>
                <w:spacing w:val="-11"/>
                <w:sz w:val="17"/>
              </w:rPr>
              <w:t> </w:t>
            </w:r>
            <w:r>
              <w:rPr>
                <w:sz w:val="17"/>
              </w:rPr>
              <w:t>to</w:t>
            </w:r>
            <w:r>
              <w:rPr>
                <w:spacing w:val="-11"/>
                <w:sz w:val="17"/>
              </w:rPr>
              <w:t> </w:t>
            </w:r>
            <w:r>
              <w:rPr>
                <w:sz w:val="17"/>
              </w:rPr>
              <w:t>promote</w:t>
            </w:r>
            <w:r>
              <w:rPr>
                <w:spacing w:val="-10"/>
                <w:sz w:val="17"/>
              </w:rPr>
              <w:t> </w:t>
            </w:r>
            <w:r>
              <w:rPr>
                <w:sz w:val="17"/>
              </w:rPr>
              <w:t>staff engagement and well-being, in addition to a culture of respect and accountability</w:t>
            </w:r>
          </w:p>
        </w:tc>
        <w:tc>
          <w:tcPr>
            <w:tcW w:w="3502" w:type="dxa"/>
            <w:tcBorders>
              <w:top w:val="single" w:sz="4" w:space="0" w:color="000000"/>
              <w:bottom w:val="single" w:sz="4" w:space="0" w:color="000000"/>
            </w:tcBorders>
          </w:tcPr>
          <w:p>
            <w:pPr>
              <w:pStyle w:val="TableParagraph"/>
              <w:spacing w:line="242" w:lineRule="auto"/>
              <w:ind w:left="277" w:right="123" w:hanging="140"/>
              <w:jc w:val="left"/>
              <w:rPr>
                <w:sz w:val="17"/>
              </w:rPr>
            </w:pPr>
            <w:r>
              <w:rPr>
                <w:sz w:val="17"/>
              </w:rPr>
              <w:t>˗</w:t>
            </w:r>
            <w:r>
              <w:rPr>
                <w:spacing w:val="40"/>
                <w:sz w:val="17"/>
              </w:rPr>
              <w:t> </w:t>
            </w:r>
            <w:r>
              <w:rPr>
                <w:sz w:val="17"/>
              </w:rPr>
              <w:t>Percentage of positive responses from Registry</w:t>
            </w:r>
            <w:r>
              <w:rPr>
                <w:spacing w:val="-6"/>
                <w:sz w:val="17"/>
              </w:rPr>
              <w:t> </w:t>
            </w:r>
            <w:r>
              <w:rPr>
                <w:sz w:val="17"/>
              </w:rPr>
              <w:t>staff</w:t>
            </w:r>
            <w:r>
              <w:rPr>
                <w:spacing w:val="-11"/>
                <w:sz w:val="17"/>
              </w:rPr>
              <w:t> </w:t>
            </w:r>
            <w:r>
              <w:rPr>
                <w:sz w:val="17"/>
              </w:rPr>
              <w:t>to</w:t>
            </w:r>
            <w:r>
              <w:rPr>
                <w:spacing w:val="-6"/>
                <w:sz w:val="17"/>
              </w:rPr>
              <w:t> </w:t>
            </w:r>
            <w:r>
              <w:rPr>
                <w:sz w:val="17"/>
              </w:rPr>
              <w:t>survey</w:t>
            </w:r>
            <w:r>
              <w:rPr>
                <w:spacing w:val="-6"/>
                <w:sz w:val="17"/>
              </w:rPr>
              <w:t> </w:t>
            </w:r>
            <w:r>
              <w:rPr>
                <w:sz w:val="17"/>
              </w:rPr>
              <w:t>questions</w:t>
            </w:r>
            <w:r>
              <w:rPr>
                <w:spacing w:val="-6"/>
                <w:sz w:val="17"/>
              </w:rPr>
              <w:t> </w:t>
            </w:r>
            <w:r>
              <w:rPr>
                <w:sz w:val="17"/>
              </w:rPr>
              <w:t>on</w:t>
            </w:r>
            <w:r>
              <w:rPr>
                <w:spacing w:val="-6"/>
                <w:sz w:val="17"/>
              </w:rPr>
              <w:t> </w:t>
            </w:r>
            <w:r>
              <w:rPr>
                <w:sz w:val="17"/>
              </w:rPr>
              <w:t>staff </w:t>
            </w:r>
            <w:r>
              <w:rPr>
                <w:spacing w:val="-2"/>
                <w:sz w:val="17"/>
              </w:rPr>
              <w:t>engagement</w:t>
            </w:r>
          </w:p>
          <w:p>
            <w:pPr>
              <w:pStyle w:val="TableParagraph"/>
              <w:spacing w:line="237" w:lineRule="auto"/>
              <w:ind w:left="277" w:right="123" w:hanging="140"/>
              <w:jc w:val="left"/>
              <w:rPr>
                <w:sz w:val="17"/>
              </w:rPr>
            </w:pPr>
            <w:r>
              <w:rPr>
                <w:sz w:val="17"/>
              </w:rPr>
              <w:t>˗</w:t>
            </w:r>
            <w:r>
              <w:rPr>
                <w:spacing w:val="27"/>
                <w:sz w:val="17"/>
              </w:rPr>
              <w:t> </w:t>
            </w:r>
            <w:r>
              <w:rPr>
                <w:sz w:val="17"/>
              </w:rPr>
              <w:t>Percentage</w:t>
            </w:r>
            <w:r>
              <w:rPr>
                <w:spacing w:val="-4"/>
                <w:sz w:val="17"/>
              </w:rPr>
              <w:t> </w:t>
            </w:r>
            <w:r>
              <w:rPr>
                <w:sz w:val="17"/>
              </w:rPr>
              <w:t>of</w:t>
            </w:r>
            <w:r>
              <w:rPr>
                <w:spacing w:val="-10"/>
                <w:sz w:val="17"/>
              </w:rPr>
              <w:t> </w:t>
            </w:r>
            <w:r>
              <w:rPr>
                <w:sz w:val="17"/>
              </w:rPr>
              <w:t>positive</w:t>
            </w:r>
            <w:r>
              <w:rPr>
                <w:spacing w:val="-9"/>
                <w:sz w:val="17"/>
              </w:rPr>
              <w:t> </w:t>
            </w:r>
            <w:r>
              <w:rPr>
                <w:sz w:val="17"/>
              </w:rPr>
              <w:t>responses</w:t>
            </w:r>
            <w:r>
              <w:rPr>
                <w:spacing w:val="-5"/>
                <w:sz w:val="17"/>
              </w:rPr>
              <w:t> </w:t>
            </w:r>
            <w:r>
              <w:rPr>
                <w:sz w:val="17"/>
              </w:rPr>
              <w:t>from Registry staff to survey questions on occupational</w:t>
            </w:r>
            <w:r>
              <w:rPr>
                <w:spacing w:val="-4"/>
                <w:sz w:val="17"/>
              </w:rPr>
              <w:t> </w:t>
            </w:r>
            <w:r>
              <w:rPr>
                <w:sz w:val="17"/>
              </w:rPr>
              <w:t>health</w:t>
            </w:r>
          </w:p>
          <w:p>
            <w:pPr>
              <w:pStyle w:val="TableParagraph"/>
              <w:spacing w:line="190" w:lineRule="atLeast"/>
              <w:ind w:left="277" w:hanging="140"/>
              <w:jc w:val="left"/>
              <w:rPr>
                <w:sz w:val="17"/>
              </w:rPr>
            </w:pPr>
            <w:r>
              <w:rPr>
                <w:sz w:val="17"/>
              </w:rPr>
              <w:t>˗</w:t>
            </w:r>
            <w:r>
              <w:rPr>
                <w:spacing w:val="40"/>
                <w:sz w:val="17"/>
              </w:rPr>
              <w:t> </w:t>
            </w:r>
            <w:r>
              <w:rPr>
                <w:sz w:val="17"/>
              </w:rPr>
              <w:t>Percentage of</w:t>
            </w:r>
            <w:r>
              <w:rPr>
                <w:spacing w:val="-2"/>
                <w:sz w:val="17"/>
              </w:rPr>
              <w:t> </w:t>
            </w:r>
            <w:r>
              <w:rPr>
                <w:sz w:val="17"/>
              </w:rPr>
              <w:t>cases brought to</w:t>
            </w:r>
            <w:r>
              <w:rPr>
                <w:spacing w:val="-1"/>
                <w:sz w:val="17"/>
              </w:rPr>
              <w:t> </w:t>
            </w:r>
            <w:r>
              <w:rPr>
                <w:sz w:val="17"/>
              </w:rPr>
              <w:t>the ombudsperson</w:t>
            </w:r>
            <w:r>
              <w:rPr>
                <w:spacing w:val="-11"/>
                <w:sz w:val="17"/>
              </w:rPr>
              <w:t> </w:t>
            </w:r>
            <w:r>
              <w:rPr>
                <w:sz w:val="17"/>
              </w:rPr>
              <w:t>effectively</w:t>
            </w:r>
            <w:r>
              <w:rPr>
                <w:spacing w:val="-11"/>
                <w:sz w:val="17"/>
              </w:rPr>
              <w:t> </w:t>
            </w:r>
            <w:r>
              <w:rPr>
                <w:sz w:val="17"/>
              </w:rPr>
              <w:t>resolved</w:t>
            </w:r>
          </w:p>
        </w:tc>
        <w:tc>
          <w:tcPr>
            <w:tcW w:w="1177" w:type="dxa"/>
            <w:tcBorders>
              <w:top w:val="single" w:sz="4" w:space="0" w:color="000000"/>
              <w:bottom w:val="single" w:sz="4" w:space="0" w:color="000000"/>
            </w:tcBorders>
          </w:tcPr>
          <w:p>
            <w:pPr>
              <w:pStyle w:val="TableParagraph"/>
              <w:spacing w:before="62"/>
              <w:ind w:left="55"/>
              <w:jc w:val="left"/>
              <w:rPr>
                <w:sz w:val="17"/>
              </w:rPr>
            </w:pPr>
            <w:r>
              <w:rPr>
                <w:sz w:val="17"/>
              </w:rPr>
              <w:t>˗</w:t>
            </w:r>
            <w:r>
              <w:rPr>
                <w:spacing w:val="43"/>
                <w:sz w:val="17"/>
              </w:rPr>
              <w:t> </w:t>
            </w:r>
            <w:r>
              <w:rPr>
                <w:spacing w:val="-5"/>
                <w:sz w:val="17"/>
              </w:rPr>
              <w:t>68%</w:t>
            </w:r>
          </w:p>
          <w:p>
            <w:pPr>
              <w:pStyle w:val="TableParagraph"/>
              <w:jc w:val="left"/>
              <w:rPr>
                <w:b/>
                <w:sz w:val="18"/>
              </w:rPr>
            </w:pPr>
          </w:p>
          <w:p>
            <w:pPr>
              <w:pStyle w:val="TableParagraph"/>
              <w:spacing w:before="106"/>
              <w:ind w:left="55"/>
              <w:jc w:val="left"/>
              <w:rPr>
                <w:sz w:val="17"/>
              </w:rPr>
            </w:pPr>
            <w:r>
              <w:rPr>
                <w:rFonts w:ascii="Palatino Linotype"/>
                <w:sz w:val="17"/>
              </w:rPr>
              <w:t>- </w:t>
            </w:r>
            <w:r>
              <w:rPr>
                <w:spacing w:val="-5"/>
                <w:sz w:val="17"/>
              </w:rPr>
              <w:t>52%</w:t>
            </w:r>
          </w:p>
          <w:p>
            <w:pPr>
              <w:pStyle w:val="TableParagraph"/>
              <w:spacing w:before="2"/>
              <w:jc w:val="left"/>
              <w:rPr>
                <w:b/>
                <w:sz w:val="27"/>
              </w:rPr>
            </w:pPr>
          </w:p>
          <w:p>
            <w:pPr>
              <w:pStyle w:val="TableParagraph"/>
              <w:ind w:left="55"/>
              <w:jc w:val="left"/>
              <w:rPr>
                <w:sz w:val="17"/>
              </w:rPr>
            </w:pPr>
            <w:r>
              <w:rPr>
                <w:rFonts w:ascii="Palatino Linotype"/>
                <w:sz w:val="17"/>
              </w:rPr>
              <w:t>- </w:t>
            </w:r>
            <w:r>
              <w:rPr>
                <w:spacing w:val="-2"/>
                <w:sz w:val="17"/>
              </w:rPr>
              <w:t>(New)</w:t>
            </w:r>
          </w:p>
        </w:tc>
        <w:tc>
          <w:tcPr>
            <w:tcW w:w="1101" w:type="dxa"/>
            <w:tcBorders>
              <w:top w:val="single" w:sz="4" w:space="0" w:color="000000"/>
              <w:bottom w:val="single" w:sz="4" w:space="0" w:color="000000"/>
            </w:tcBorders>
          </w:tcPr>
          <w:p>
            <w:pPr>
              <w:pStyle w:val="TableParagraph"/>
              <w:spacing w:before="62"/>
              <w:ind w:left="208"/>
              <w:jc w:val="left"/>
              <w:rPr>
                <w:sz w:val="17"/>
              </w:rPr>
            </w:pPr>
            <w:r>
              <w:rPr>
                <w:sz w:val="17"/>
              </w:rPr>
              <w:t>˗</w:t>
            </w:r>
            <w:r>
              <w:rPr>
                <w:spacing w:val="43"/>
                <w:sz w:val="17"/>
              </w:rPr>
              <w:t> </w:t>
            </w:r>
            <w:r>
              <w:rPr>
                <w:spacing w:val="-5"/>
                <w:sz w:val="17"/>
              </w:rPr>
              <w:t>77%</w:t>
            </w:r>
          </w:p>
          <w:p>
            <w:pPr>
              <w:pStyle w:val="TableParagraph"/>
              <w:spacing w:before="9"/>
              <w:jc w:val="left"/>
              <w:rPr>
                <w:b/>
                <w:sz w:val="26"/>
              </w:rPr>
            </w:pPr>
          </w:p>
          <w:p>
            <w:pPr>
              <w:pStyle w:val="TableParagraph"/>
              <w:spacing w:before="1"/>
              <w:ind w:left="208"/>
              <w:jc w:val="left"/>
              <w:rPr>
                <w:sz w:val="17"/>
              </w:rPr>
            </w:pPr>
            <w:r>
              <w:rPr>
                <w:sz w:val="17"/>
              </w:rPr>
              <w:t>˗</w:t>
            </w:r>
            <w:r>
              <w:rPr>
                <w:spacing w:val="53"/>
                <w:sz w:val="17"/>
              </w:rPr>
              <w:t> </w:t>
            </w:r>
            <w:r>
              <w:rPr>
                <w:spacing w:val="-5"/>
                <w:sz w:val="17"/>
              </w:rPr>
              <w:t>57%</w:t>
            </w:r>
          </w:p>
          <w:p>
            <w:pPr>
              <w:pStyle w:val="TableParagraph"/>
              <w:jc w:val="left"/>
              <w:rPr>
                <w:b/>
                <w:sz w:val="18"/>
              </w:rPr>
            </w:pPr>
          </w:p>
          <w:p>
            <w:pPr>
              <w:pStyle w:val="TableParagraph"/>
              <w:spacing w:before="129"/>
              <w:ind w:left="208"/>
              <w:jc w:val="left"/>
              <w:rPr>
                <w:sz w:val="17"/>
              </w:rPr>
            </w:pPr>
            <w:r>
              <w:rPr>
                <w:rFonts w:ascii="Palatino Linotype"/>
                <w:sz w:val="17"/>
              </w:rPr>
              <w:t>- </w:t>
            </w:r>
            <w:r>
              <w:rPr>
                <w:spacing w:val="-5"/>
                <w:sz w:val="17"/>
              </w:rPr>
              <w:t>N/A</w:t>
            </w:r>
          </w:p>
        </w:tc>
      </w:tr>
    </w:tbl>
    <w:p>
      <w:pPr>
        <w:pStyle w:val="ListParagraph"/>
        <w:numPr>
          <w:ilvl w:val="0"/>
          <w:numId w:val="89"/>
        </w:numPr>
        <w:tabs>
          <w:tab w:pos="2401" w:val="left" w:leader="none"/>
        </w:tabs>
        <w:spacing w:line="235" w:lineRule="auto" w:before="127" w:after="0"/>
        <w:ind w:left="2246" w:right="2248" w:firstLine="0"/>
        <w:jc w:val="left"/>
        <w:rPr>
          <w:sz w:val="20"/>
        </w:rPr>
      </w:pPr>
      <w:r>
        <w:rPr>
          <w:sz w:val="20"/>
        </w:rPr>
        <w:t>Targets</w:t>
      </w:r>
      <w:r>
        <w:rPr>
          <w:spacing w:val="-5"/>
          <w:sz w:val="20"/>
        </w:rPr>
        <w:t> </w:t>
      </w:r>
      <w:r>
        <w:rPr>
          <w:sz w:val="20"/>
        </w:rPr>
        <w:t>indicated</w:t>
      </w:r>
      <w:r>
        <w:rPr>
          <w:spacing w:val="-4"/>
          <w:sz w:val="20"/>
        </w:rPr>
        <w:t> </w:t>
      </w:r>
      <w:r>
        <w:rPr>
          <w:sz w:val="20"/>
        </w:rPr>
        <w:t>as</w:t>
      </w:r>
      <w:r>
        <w:rPr>
          <w:spacing w:val="-5"/>
          <w:sz w:val="20"/>
        </w:rPr>
        <w:t> </w:t>
      </w:r>
      <w:r>
        <w:rPr>
          <w:sz w:val="20"/>
        </w:rPr>
        <w:t>“TBD”</w:t>
      </w:r>
      <w:r>
        <w:rPr>
          <w:spacing w:val="-2"/>
          <w:sz w:val="20"/>
        </w:rPr>
        <w:t> </w:t>
      </w:r>
      <w:r>
        <w:rPr>
          <w:sz w:val="20"/>
        </w:rPr>
        <w:t>will</w:t>
      </w:r>
      <w:r>
        <w:rPr>
          <w:spacing w:val="-2"/>
          <w:sz w:val="20"/>
        </w:rPr>
        <w:t> </w:t>
      </w:r>
      <w:r>
        <w:rPr>
          <w:sz w:val="20"/>
        </w:rPr>
        <w:t>be</w:t>
      </w:r>
      <w:r>
        <w:rPr>
          <w:spacing w:val="-2"/>
          <w:sz w:val="20"/>
        </w:rPr>
        <w:t> </w:t>
      </w:r>
      <w:r>
        <w:rPr>
          <w:sz w:val="20"/>
        </w:rPr>
        <w:t>determined</w:t>
      </w:r>
      <w:r>
        <w:rPr>
          <w:spacing w:val="-4"/>
          <w:sz w:val="20"/>
        </w:rPr>
        <w:t> </w:t>
      </w:r>
      <w:r>
        <w:rPr>
          <w:sz w:val="20"/>
        </w:rPr>
        <w:t>by</w:t>
      </w:r>
      <w:r>
        <w:rPr>
          <w:spacing w:val="-4"/>
          <w:sz w:val="20"/>
        </w:rPr>
        <w:t> </w:t>
      </w:r>
      <w:r>
        <w:rPr>
          <w:sz w:val="20"/>
        </w:rPr>
        <w:t>the end</w:t>
      </w:r>
      <w:r>
        <w:rPr>
          <w:spacing w:val="-4"/>
          <w:sz w:val="20"/>
        </w:rPr>
        <w:t> </w:t>
      </w:r>
      <w:r>
        <w:rPr>
          <w:sz w:val="20"/>
        </w:rPr>
        <w:t>of 2022</w:t>
      </w:r>
      <w:r>
        <w:rPr>
          <w:spacing w:val="-4"/>
          <w:sz w:val="20"/>
        </w:rPr>
        <w:t> </w:t>
      </w:r>
      <w:r>
        <w:rPr>
          <w:sz w:val="20"/>
        </w:rPr>
        <w:t>and will</w:t>
      </w:r>
      <w:r>
        <w:rPr>
          <w:spacing w:val="-2"/>
          <w:sz w:val="20"/>
        </w:rPr>
        <w:t> </w:t>
      </w:r>
      <w:r>
        <w:rPr>
          <w:sz w:val="20"/>
        </w:rPr>
        <w:t>be</w:t>
      </w:r>
      <w:r>
        <w:rPr>
          <w:spacing w:val="-2"/>
          <w:sz w:val="20"/>
        </w:rPr>
        <w:t> </w:t>
      </w:r>
      <w:r>
        <w:rPr>
          <w:sz w:val="20"/>
        </w:rPr>
        <w:t>included</w:t>
      </w:r>
      <w:r>
        <w:rPr>
          <w:spacing w:val="-4"/>
          <w:sz w:val="20"/>
        </w:rPr>
        <w:t> </w:t>
      </w:r>
      <w:r>
        <w:rPr>
          <w:sz w:val="20"/>
        </w:rPr>
        <w:t>in the Registry Strategic Plan (2023-2025).</w:t>
      </w:r>
    </w:p>
    <w:p>
      <w:pPr>
        <w:pStyle w:val="BodyText"/>
        <w:spacing w:before="1"/>
        <w:ind w:left="2246" w:right="2195"/>
      </w:pPr>
      <w:r>
        <w:rPr/>
        <w:t>For newly developed KPIs, meaningful and realistic targets</w:t>
      </w:r>
      <w:r>
        <w:rPr>
          <w:spacing w:val="-1"/>
        </w:rPr>
        <w:t> </w:t>
      </w:r>
      <w:r>
        <w:rPr/>
        <w:t>are difficult to determine in the absence of a 2021 performance baseline and are therefore indicated as “N/A”.</w:t>
      </w:r>
    </w:p>
    <w:p>
      <w:pPr>
        <w:spacing w:after="0"/>
        <w:sectPr>
          <w:type w:val="continuous"/>
          <w:pgSz w:w="11910" w:h="16840"/>
          <w:pgMar w:header="953" w:footer="940" w:top="1140" w:bottom="1140" w:left="20" w:right="20"/>
        </w:sectPr>
      </w:pPr>
    </w:p>
    <w:p>
      <w:pPr>
        <w:pStyle w:val="Heading1"/>
        <w:spacing w:before="117"/>
      </w:pPr>
      <w:r>
        <w:rPr/>
        <w:t>Annex</w:t>
      </w:r>
      <w:r>
        <w:rPr>
          <w:spacing w:val="-5"/>
        </w:rPr>
        <w:t> </w:t>
      </w:r>
      <w:r>
        <w:rPr/>
        <w:t>IV</w:t>
      </w:r>
      <w:r>
        <w:rPr>
          <w:spacing w:val="-4"/>
        </w:rPr>
        <w:t> </w:t>
      </w:r>
      <w:r>
        <w:rPr>
          <w:spacing w:val="-5"/>
        </w:rPr>
        <w:t>(d)</w:t>
      </w:r>
    </w:p>
    <w:p>
      <w:pPr>
        <w:spacing w:before="245"/>
        <w:ind w:left="2246" w:right="0" w:firstLine="0"/>
        <w:jc w:val="left"/>
        <w:rPr>
          <w:b/>
          <w:sz w:val="28"/>
        </w:rPr>
      </w:pPr>
      <w:bookmarkStart w:name="_bookmark70" w:id="71"/>
      <w:bookmarkEnd w:id="71"/>
      <w:r>
        <w:rPr/>
      </w:r>
      <w:r>
        <w:rPr>
          <w:b/>
          <w:sz w:val="28"/>
        </w:rPr>
        <w:t>Major</w:t>
      </w:r>
      <w:r>
        <w:rPr>
          <w:b/>
          <w:spacing w:val="-6"/>
          <w:sz w:val="28"/>
        </w:rPr>
        <w:t> </w:t>
      </w:r>
      <w:r>
        <w:rPr>
          <w:b/>
          <w:sz w:val="28"/>
        </w:rPr>
        <w:t>Programme</w:t>
      </w:r>
      <w:r>
        <w:rPr>
          <w:b/>
          <w:spacing w:val="-5"/>
          <w:sz w:val="28"/>
        </w:rPr>
        <w:t> </w:t>
      </w:r>
      <w:r>
        <w:rPr>
          <w:b/>
          <w:sz w:val="28"/>
        </w:rPr>
        <w:t>I:</w:t>
      </w:r>
      <w:r>
        <w:rPr>
          <w:b/>
          <w:spacing w:val="-7"/>
          <w:sz w:val="28"/>
        </w:rPr>
        <w:t> </w:t>
      </w:r>
      <w:r>
        <w:rPr>
          <w:b/>
          <w:spacing w:val="-2"/>
          <w:sz w:val="28"/>
        </w:rPr>
        <w:t>Judiciary</w:t>
      </w:r>
    </w:p>
    <w:p>
      <w:pPr>
        <w:spacing w:before="268"/>
        <w:ind w:left="2246" w:right="0" w:firstLine="0"/>
        <w:jc w:val="left"/>
        <w:rPr>
          <w:b/>
          <w:sz w:val="24"/>
        </w:rPr>
      </w:pPr>
      <w:r>
        <w:rPr>
          <w:b/>
          <w:sz w:val="24"/>
        </w:rPr>
        <w:t>Expected</w:t>
      </w:r>
      <w:r>
        <w:rPr>
          <w:b/>
          <w:spacing w:val="-5"/>
          <w:sz w:val="24"/>
        </w:rPr>
        <w:t> </w:t>
      </w:r>
      <w:r>
        <w:rPr>
          <w:b/>
          <w:sz w:val="24"/>
        </w:rPr>
        <w:t>results,</w:t>
      </w:r>
      <w:r>
        <w:rPr>
          <w:b/>
          <w:spacing w:val="-2"/>
          <w:sz w:val="24"/>
        </w:rPr>
        <w:t> </w:t>
      </w:r>
      <w:r>
        <w:rPr>
          <w:b/>
          <w:sz w:val="24"/>
        </w:rPr>
        <w:t>performance</w:t>
      </w:r>
      <w:r>
        <w:rPr>
          <w:b/>
          <w:spacing w:val="-5"/>
          <w:sz w:val="24"/>
        </w:rPr>
        <w:t> </w:t>
      </w:r>
      <w:r>
        <w:rPr>
          <w:b/>
          <w:sz w:val="24"/>
        </w:rPr>
        <w:t>indicators</w:t>
      </w:r>
      <w:r>
        <w:rPr>
          <w:b/>
          <w:spacing w:val="-1"/>
          <w:sz w:val="24"/>
        </w:rPr>
        <w:t> </w:t>
      </w:r>
      <w:r>
        <w:rPr>
          <w:b/>
          <w:sz w:val="24"/>
        </w:rPr>
        <w:t>and</w:t>
      </w:r>
      <w:r>
        <w:rPr>
          <w:b/>
          <w:spacing w:val="-8"/>
          <w:sz w:val="24"/>
        </w:rPr>
        <w:t> </w:t>
      </w:r>
      <w:r>
        <w:rPr>
          <w:b/>
          <w:sz w:val="24"/>
        </w:rPr>
        <w:t>targets</w:t>
      </w:r>
      <w:r>
        <w:rPr>
          <w:b/>
          <w:spacing w:val="-6"/>
          <w:sz w:val="24"/>
        </w:rPr>
        <w:t> </w:t>
      </w:r>
      <w:r>
        <w:rPr>
          <w:b/>
          <w:sz w:val="24"/>
        </w:rPr>
        <w:t>for</w:t>
      </w:r>
      <w:r>
        <w:rPr>
          <w:b/>
          <w:spacing w:val="-5"/>
          <w:sz w:val="24"/>
        </w:rPr>
        <w:t> </w:t>
      </w:r>
      <w:r>
        <w:rPr>
          <w:b/>
          <w:spacing w:val="-4"/>
          <w:sz w:val="24"/>
        </w:rPr>
        <w:t>2023</w:t>
      </w:r>
    </w:p>
    <w:p>
      <w:pPr>
        <w:pStyle w:val="BodyText"/>
        <w:spacing w:before="6"/>
        <w:rPr>
          <w:b/>
        </w:rPr>
      </w:pPr>
    </w:p>
    <w:tbl>
      <w:tblPr>
        <w:tblW w:w="0" w:type="auto"/>
        <w:jc w:val="left"/>
        <w:tblInd w:w="1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70"/>
        <w:gridCol w:w="3227"/>
        <w:gridCol w:w="3204"/>
      </w:tblGrid>
      <w:tr>
        <w:trPr>
          <w:trHeight w:val="330" w:hRule="atLeast"/>
        </w:trPr>
        <w:tc>
          <w:tcPr>
            <w:tcW w:w="3270" w:type="dxa"/>
            <w:tcBorders>
              <w:top w:val="single" w:sz="4" w:space="0" w:color="000000"/>
              <w:bottom w:val="single" w:sz="4" w:space="0" w:color="000000"/>
            </w:tcBorders>
          </w:tcPr>
          <w:p>
            <w:pPr>
              <w:pStyle w:val="TableParagraph"/>
              <w:spacing w:before="62"/>
              <w:ind w:left="1022"/>
              <w:jc w:val="left"/>
              <w:rPr>
                <w:i/>
                <w:sz w:val="18"/>
              </w:rPr>
            </w:pPr>
            <w:r>
              <w:rPr>
                <w:i/>
                <w:sz w:val="18"/>
              </w:rPr>
              <w:t>Expected</w:t>
            </w:r>
            <w:r>
              <w:rPr>
                <w:i/>
                <w:spacing w:val="-7"/>
                <w:sz w:val="18"/>
              </w:rPr>
              <w:t> </w:t>
            </w:r>
            <w:r>
              <w:rPr>
                <w:i/>
                <w:spacing w:val="-2"/>
                <w:sz w:val="18"/>
              </w:rPr>
              <w:t>results</w:t>
            </w:r>
          </w:p>
        </w:tc>
        <w:tc>
          <w:tcPr>
            <w:tcW w:w="3227" w:type="dxa"/>
            <w:tcBorders>
              <w:top w:val="single" w:sz="4" w:space="0" w:color="000000"/>
              <w:bottom w:val="single" w:sz="4" w:space="0" w:color="000000"/>
            </w:tcBorders>
          </w:tcPr>
          <w:p>
            <w:pPr>
              <w:pStyle w:val="TableParagraph"/>
              <w:spacing w:before="62"/>
              <w:ind w:left="758"/>
              <w:jc w:val="left"/>
              <w:rPr>
                <w:i/>
                <w:sz w:val="18"/>
              </w:rPr>
            </w:pPr>
            <w:r>
              <w:rPr>
                <w:i/>
                <w:sz w:val="18"/>
              </w:rPr>
              <w:t>Performance</w:t>
            </w:r>
            <w:r>
              <w:rPr>
                <w:i/>
                <w:spacing w:val="-5"/>
                <w:sz w:val="18"/>
              </w:rPr>
              <w:t> </w:t>
            </w:r>
            <w:r>
              <w:rPr>
                <w:i/>
                <w:spacing w:val="-2"/>
                <w:sz w:val="18"/>
              </w:rPr>
              <w:t>indicators</w:t>
            </w:r>
          </w:p>
        </w:tc>
        <w:tc>
          <w:tcPr>
            <w:tcW w:w="3204" w:type="dxa"/>
            <w:tcBorders>
              <w:top w:val="single" w:sz="4" w:space="0" w:color="000000"/>
              <w:bottom w:val="single" w:sz="4" w:space="0" w:color="000000"/>
            </w:tcBorders>
          </w:tcPr>
          <w:p>
            <w:pPr>
              <w:pStyle w:val="TableParagraph"/>
              <w:spacing w:before="62"/>
              <w:ind w:left="1175" w:right="1120"/>
              <w:jc w:val="center"/>
              <w:rPr>
                <w:i/>
                <w:sz w:val="18"/>
              </w:rPr>
            </w:pPr>
            <w:r>
              <w:rPr>
                <w:i/>
                <w:sz w:val="18"/>
              </w:rPr>
              <w:t>Target</w:t>
            </w:r>
            <w:r>
              <w:rPr>
                <w:i/>
                <w:spacing w:val="-2"/>
                <w:sz w:val="18"/>
              </w:rPr>
              <w:t> </w:t>
            </w:r>
            <w:r>
              <w:rPr>
                <w:i/>
                <w:spacing w:val="-4"/>
                <w:sz w:val="18"/>
              </w:rPr>
              <w:t>2023</w:t>
            </w:r>
          </w:p>
        </w:tc>
      </w:tr>
      <w:tr>
        <w:trPr>
          <w:trHeight w:val="325" w:hRule="atLeast"/>
        </w:trPr>
        <w:tc>
          <w:tcPr>
            <w:tcW w:w="3270" w:type="dxa"/>
            <w:tcBorders>
              <w:top w:val="single" w:sz="4" w:space="0" w:color="000000"/>
              <w:bottom w:val="single" w:sz="4" w:space="0" w:color="000000"/>
            </w:tcBorders>
          </w:tcPr>
          <w:p>
            <w:pPr>
              <w:pStyle w:val="TableParagraph"/>
              <w:spacing w:before="62"/>
              <w:ind w:left="28"/>
              <w:jc w:val="left"/>
              <w:rPr>
                <w:b/>
                <w:sz w:val="18"/>
              </w:rPr>
            </w:pPr>
            <w:r>
              <w:rPr>
                <w:b/>
                <w:sz w:val="18"/>
              </w:rPr>
              <w:t>Objectives</w:t>
            </w:r>
            <w:r>
              <w:rPr>
                <w:b/>
                <w:spacing w:val="-4"/>
                <w:sz w:val="18"/>
              </w:rPr>
              <w:t> </w:t>
            </w:r>
            <w:r>
              <w:rPr>
                <w:b/>
                <w:sz w:val="18"/>
              </w:rPr>
              <w:t>1-4</w:t>
            </w:r>
            <w:r>
              <w:rPr>
                <w:b/>
                <w:spacing w:val="-4"/>
                <w:sz w:val="18"/>
              </w:rPr>
              <w:t> </w:t>
            </w:r>
            <w:r>
              <w:rPr>
                <w:b/>
                <w:sz w:val="18"/>
              </w:rPr>
              <w:t>(Strategic</w:t>
            </w:r>
            <w:r>
              <w:rPr>
                <w:b/>
                <w:spacing w:val="-7"/>
                <w:sz w:val="18"/>
              </w:rPr>
              <w:t> </w:t>
            </w:r>
            <w:r>
              <w:rPr>
                <w:b/>
                <w:sz w:val="18"/>
              </w:rPr>
              <w:t>Goals</w:t>
            </w:r>
            <w:r>
              <w:rPr>
                <w:b/>
                <w:spacing w:val="-4"/>
                <w:sz w:val="18"/>
              </w:rPr>
              <w:t> </w:t>
            </w:r>
            <w:r>
              <w:rPr>
                <w:b/>
                <w:sz w:val="18"/>
              </w:rPr>
              <w:t>1-</w:t>
            </w:r>
            <w:r>
              <w:rPr>
                <w:b/>
                <w:spacing w:val="-5"/>
                <w:sz w:val="18"/>
              </w:rPr>
              <w:t>3)</w:t>
            </w:r>
          </w:p>
        </w:tc>
        <w:tc>
          <w:tcPr>
            <w:tcW w:w="3227" w:type="dxa"/>
            <w:tcBorders>
              <w:top w:val="single" w:sz="4" w:space="0" w:color="000000"/>
              <w:bottom w:val="single" w:sz="4" w:space="0" w:color="000000"/>
            </w:tcBorders>
          </w:tcPr>
          <w:p>
            <w:pPr>
              <w:pStyle w:val="TableParagraph"/>
              <w:jc w:val="left"/>
              <w:rPr>
                <w:sz w:val="18"/>
              </w:rPr>
            </w:pPr>
          </w:p>
        </w:tc>
        <w:tc>
          <w:tcPr>
            <w:tcW w:w="3204" w:type="dxa"/>
            <w:tcBorders>
              <w:top w:val="single" w:sz="4" w:space="0" w:color="000000"/>
              <w:bottom w:val="single" w:sz="4" w:space="0" w:color="000000"/>
            </w:tcBorders>
          </w:tcPr>
          <w:p>
            <w:pPr>
              <w:pStyle w:val="TableParagraph"/>
              <w:jc w:val="left"/>
              <w:rPr>
                <w:sz w:val="18"/>
              </w:rPr>
            </w:pPr>
          </w:p>
        </w:tc>
      </w:tr>
      <w:tr>
        <w:trPr>
          <w:trHeight w:val="738" w:hRule="atLeast"/>
        </w:trPr>
        <w:tc>
          <w:tcPr>
            <w:tcW w:w="3270" w:type="dxa"/>
            <w:tcBorders>
              <w:top w:val="single" w:sz="4" w:space="0" w:color="000000"/>
              <w:bottom w:val="single" w:sz="4" w:space="0" w:color="000000"/>
            </w:tcBorders>
          </w:tcPr>
          <w:p>
            <w:pPr>
              <w:pStyle w:val="TableParagraph"/>
              <w:spacing w:before="62"/>
              <w:ind w:left="28" w:right="268"/>
              <w:jc w:val="both"/>
              <w:rPr>
                <w:sz w:val="18"/>
              </w:rPr>
            </w:pPr>
            <w:r>
              <w:rPr>
                <w:sz w:val="18"/>
              </w:rPr>
              <w:t>1. Provide effective Presidency planning and</w:t>
            </w:r>
            <w:r>
              <w:rPr>
                <w:spacing w:val="-9"/>
                <w:sz w:val="18"/>
              </w:rPr>
              <w:t> </w:t>
            </w:r>
            <w:r>
              <w:rPr>
                <w:sz w:val="18"/>
              </w:rPr>
              <w:t>support</w:t>
            </w:r>
            <w:r>
              <w:rPr>
                <w:spacing w:val="-7"/>
                <w:sz w:val="18"/>
              </w:rPr>
              <w:t> </w:t>
            </w:r>
            <w:r>
              <w:rPr>
                <w:sz w:val="18"/>
              </w:rPr>
              <w:t>for</w:t>
            </w:r>
            <w:r>
              <w:rPr>
                <w:spacing w:val="-8"/>
                <w:sz w:val="18"/>
              </w:rPr>
              <w:t> </w:t>
            </w:r>
            <w:r>
              <w:rPr>
                <w:sz w:val="18"/>
              </w:rPr>
              <w:t>the</w:t>
            </w:r>
            <w:r>
              <w:rPr>
                <w:spacing w:val="-9"/>
                <w:sz w:val="18"/>
              </w:rPr>
              <w:t> </w:t>
            </w:r>
            <w:r>
              <w:rPr>
                <w:sz w:val="18"/>
              </w:rPr>
              <w:t>efficient</w:t>
            </w:r>
            <w:r>
              <w:rPr>
                <w:spacing w:val="-11"/>
                <w:sz w:val="18"/>
              </w:rPr>
              <w:t> </w:t>
            </w:r>
            <w:r>
              <w:rPr>
                <w:sz w:val="18"/>
              </w:rPr>
              <w:t>management of judicial proceedings</w:t>
            </w:r>
          </w:p>
        </w:tc>
        <w:tc>
          <w:tcPr>
            <w:tcW w:w="3227" w:type="dxa"/>
            <w:tcBorders>
              <w:top w:val="single" w:sz="4" w:space="0" w:color="000000"/>
              <w:bottom w:val="single" w:sz="4" w:space="0" w:color="000000"/>
            </w:tcBorders>
          </w:tcPr>
          <w:p>
            <w:pPr>
              <w:pStyle w:val="TableParagraph"/>
              <w:numPr>
                <w:ilvl w:val="0"/>
                <w:numId w:val="90"/>
              </w:numPr>
              <w:tabs>
                <w:tab w:pos="217" w:val="left" w:leader="none"/>
              </w:tabs>
              <w:spacing w:line="240" w:lineRule="auto" w:before="59" w:after="0"/>
              <w:ind w:left="216" w:right="851" w:hanging="144"/>
              <w:jc w:val="left"/>
              <w:rPr>
                <w:sz w:val="18"/>
              </w:rPr>
            </w:pPr>
            <w:r>
              <w:rPr>
                <w:sz w:val="18"/>
              </w:rPr>
              <w:t>Potential</w:t>
            </w:r>
            <w:r>
              <w:rPr>
                <w:spacing w:val="-12"/>
                <w:sz w:val="18"/>
              </w:rPr>
              <w:t> </w:t>
            </w:r>
            <w:r>
              <w:rPr>
                <w:sz w:val="18"/>
              </w:rPr>
              <w:t>issues</w:t>
            </w:r>
            <w:r>
              <w:rPr>
                <w:spacing w:val="-11"/>
                <w:sz w:val="18"/>
              </w:rPr>
              <w:t> </w:t>
            </w:r>
            <w:r>
              <w:rPr>
                <w:sz w:val="18"/>
              </w:rPr>
              <w:t>identified</w:t>
            </w:r>
            <w:r>
              <w:rPr>
                <w:spacing w:val="-11"/>
                <w:sz w:val="18"/>
              </w:rPr>
              <w:t> </w:t>
            </w:r>
            <w:r>
              <w:rPr>
                <w:sz w:val="18"/>
              </w:rPr>
              <w:t>and effectively managed</w:t>
            </w:r>
          </w:p>
        </w:tc>
        <w:tc>
          <w:tcPr>
            <w:tcW w:w="3204" w:type="dxa"/>
            <w:tcBorders>
              <w:top w:val="single" w:sz="4" w:space="0" w:color="000000"/>
              <w:bottom w:val="single" w:sz="4" w:space="0" w:color="000000"/>
            </w:tcBorders>
          </w:tcPr>
          <w:p>
            <w:pPr>
              <w:pStyle w:val="TableParagraph"/>
              <w:numPr>
                <w:ilvl w:val="0"/>
                <w:numId w:val="91"/>
              </w:numPr>
              <w:tabs>
                <w:tab w:pos="226" w:val="left" w:leader="none"/>
              </w:tabs>
              <w:spacing w:line="240" w:lineRule="auto" w:before="63" w:after="0"/>
              <w:ind w:left="225" w:right="0" w:hanging="145"/>
              <w:jc w:val="left"/>
              <w:rPr>
                <w:sz w:val="18"/>
              </w:rPr>
            </w:pPr>
            <w:r>
              <w:rPr>
                <w:spacing w:val="-4"/>
                <w:sz w:val="18"/>
              </w:rPr>
              <w:t>100%</w:t>
            </w:r>
          </w:p>
        </w:tc>
      </w:tr>
      <w:tr>
        <w:trPr>
          <w:trHeight w:val="547" w:hRule="atLeast"/>
        </w:trPr>
        <w:tc>
          <w:tcPr>
            <w:tcW w:w="3270" w:type="dxa"/>
            <w:tcBorders>
              <w:top w:val="single" w:sz="4" w:space="0" w:color="000000"/>
              <w:bottom w:val="single" w:sz="4" w:space="0" w:color="000000"/>
            </w:tcBorders>
          </w:tcPr>
          <w:p>
            <w:pPr>
              <w:pStyle w:val="TableParagraph"/>
              <w:jc w:val="left"/>
              <w:rPr>
                <w:sz w:val="18"/>
              </w:rPr>
            </w:pPr>
          </w:p>
        </w:tc>
        <w:tc>
          <w:tcPr>
            <w:tcW w:w="3227" w:type="dxa"/>
            <w:tcBorders>
              <w:top w:val="single" w:sz="4" w:space="0" w:color="000000"/>
              <w:bottom w:val="single" w:sz="4" w:space="0" w:color="000000"/>
            </w:tcBorders>
          </w:tcPr>
          <w:p>
            <w:pPr>
              <w:pStyle w:val="TableParagraph"/>
              <w:numPr>
                <w:ilvl w:val="0"/>
                <w:numId w:val="92"/>
              </w:numPr>
              <w:tabs>
                <w:tab w:pos="217" w:val="left" w:leader="none"/>
              </w:tabs>
              <w:spacing w:line="244" w:lineRule="auto" w:before="59" w:after="0"/>
              <w:ind w:left="216" w:right="262" w:hanging="144"/>
              <w:jc w:val="left"/>
              <w:rPr>
                <w:sz w:val="18"/>
              </w:rPr>
            </w:pPr>
            <w:r>
              <w:rPr>
                <w:sz w:val="18"/>
              </w:rPr>
              <w:t>Quality</w:t>
            </w:r>
            <w:r>
              <w:rPr>
                <w:spacing w:val="-4"/>
                <w:sz w:val="18"/>
              </w:rPr>
              <w:t> </w:t>
            </w:r>
            <w:r>
              <w:rPr>
                <w:sz w:val="18"/>
              </w:rPr>
              <w:t>of</w:t>
            </w:r>
            <w:r>
              <w:rPr>
                <w:spacing w:val="-7"/>
                <w:sz w:val="18"/>
              </w:rPr>
              <w:t> </w:t>
            </w:r>
            <w:r>
              <w:rPr>
                <w:sz w:val="18"/>
              </w:rPr>
              <w:t>preparation</w:t>
            </w:r>
            <w:r>
              <w:rPr>
                <w:spacing w:val="-8"/>
                <w:sz w:val="18"/>
              </w:rPr>
              <w:t> </w:t>
            </w:r>
            <w:r>
              <w:rPr>
                <w:sz w:val="18"/>
              </w:rPr>
              <w:t>and</w:t>
            </w:r>
            <w:r>
              <w:rPr>
                <w:spacing w:val="-8"/>
                <w:sz w:val="18"/>
              </w:rPr>
              <w:t> </w:t>
            </w:r>
            <w:r>
              <w:rPr>
                <w:sz w:val="18"/>
              </w:rPr>
              <w:t>support</w:t>
            </w:r>
            <w:r>
              <w:rPr>
                <w:spacing w:val="-11"/>
                <w:sz w:val="18"/>
              </w:rPr>
              <w:t> </w:t>
            </w:r>
            <w:r>
              <w:rPr>
                <w:sz w:val="18"/>
              </w:rPr>
              <w:t>for Presidency and judges’ meetings</w:t>
            </w:r>
          </w:p>
        </w:tc>
        <w:tc>
          <w:tcPr>
            <w:tcW w:w="3204" w:type="dxa"/>
            <w:tcBorders>
              <w:top w:val="single" w:sz="4" w:space="0" w:color="000000"/>
              <w:bottom w:val="single" w:sz="4" w:space="0" w:color="000000"/>
            </w:tcBorders>
          </w:tcPr>
          <w:p>
            <w:pPr>
              <w:pStyle w:val="TableParagraph"/>
              <w:numPr>
                <w:ilvl w:val="0"/>
                <w:numId w:val="93"/>
              </w:numPr>
              <w:tabs>
                <w:tab w:pos="226" w:val="left" w:leader="none"/>
              </w:tabs>
              <w:spacing w:line="240" w:lineRule="auto" w:before="64" w:after="0"/>
              <w:ind w:left="225" w:right="0" w:hanging="145"/>
              <w:jc w:val="left"/>
              <w:rPr>
                <w:sz w:val="18"/>
              </w:rPr>
            </w:pPr>
            <w:r>
              <w:rPr>
                <w:sz w:val="18"/>
              </w:rPr>
              <w:t>Fully</w:t>
            </w:r>
            <w:r>
              <w:rPr>
                <w:spacing w:val="-2"/>
                <w:sz w:val="18"/>
              </w:rPr>
              <w:t> satisfactory</w:t>
            </w:r>
          </w:p>
        </w:tc>
      </w:tr>
      <w:tr>
        <w:trPr>
          <w:trHeight w:val="753" w:hRule="atLeast"/>
        </w:trPr>
        <w:tc>
          <w:tcPr>
            <w:tcW w:w="3270" w:type="dxa"/>
            <w:tcBorders>
              <w:top w:val="single" w:sz="4" w:space="0" w:color="000000"/>
              <w:bottom w:val="single" w:sz="4" w:space="0" w:color="000000"/>
            </w:tcBorders>
          </w:tcPr>
          <w:p>
            <w:pPr>
              <w:pStyle w:val="TableParagraph"/>
              <w:jc w:val="left"/>
              <w:rPr>
                <w:sz w:val="18"/>
              </w:rPr>
            </w:pPr>
          </w:p>
        </w:tc>
        <w:tc>
          <w:tcPr>
            <w:tcW w:w="3227" w:type="dxa"/>
            <w:tcBorders>
              <w:top w:val="single" w:sz="4" w:space="0" w:color="000000"/>
              <w:bottom w:val="single" w:sz="4" w:space="0" w:color="000000"/>
            </w:tcBorders>
          </w:tcPr>
          <w:p>
            <w:pPr>
              <w:pStyle w:val="TableParagraph"/>
              <w:numPr>
                <w:ilvl w:val="0"/>
                <w:numId w:val="94"/>
              </w:numPr>
              <w:tabs>
                <w:tab w:pos="217" w:val="left" w:leader="none"/>
              </w:tabs>
              <w:spacing w:line="242" w:lineRule="auto" w:before="59" w:after="0"/>
              <w:ind w:left="216" w:right="856" w:hanging="144"/>
              <w:jc w:val="left"/>
              <w:rPr>
                <w:sz w:val="18"/>
              </w:rPr>
            </w:pPr>
            <w:r>
              <w:rPr>
                <w:sz w:val="18"/>
              </w:rPr>
              <w:t>Efficient management of applications/filings</w:t>
            </w:r>
            <w:r>
              <w:rPr>
                <w:spacing w:val="-12"/>
                <w:sz w:val="18"/>
              </w:rPr>
              <w:t> </w:t>
            </w:r>
            <w:r>
              <w:rPr>
                <w:sz w:val="18"/>
              </w:rPr>
              <w:t>before</w:t>
            </w:r>
            <w:r>
              <w:rPr>
                <w:spacing w:val="-11"/>
                <w:sz w:val="18"/>
              </w:rPr>
              <w:t> </w:t>
            </w:r>
            <w:r>
              <w:rPr>
                <w:sz w:val="18"/>
              </w:rPr>
              <w:t>the </w:t>
            </w:r>
            <w:r>
              <w:rPr>
                <w:spacing w:val="-2"/>
                <w:sz w:val="18"/>
              </w:rPr>
              <w:t>Presidency</w:t>
            </w:r>
          </w:p>
        </w:tc>
        <w:tc>
          <w:tcPr>
            <w:tcW w:w="3204" w:type="dxa"/>
            <w:tcBorders>
              <w:top w:val="single" w:sz="4" w:space="0" w:color="000000"/>
              <w:bottom w:val="single" w:sz="4" w:space="0" w:color="000000"/>
            </w:tcBorders>
          </w:tcPr>
          <w:p>
            <w:pPr>
              <w:pStyle w:val="TableParagraph"/>
              <w:numPr>
                <w:ilvl w:val="0"/>
                <w:numId w:val="95"/>
              </w:numPr>
              <w:tabs>
                <w:tab w:pos="226" w:val="left" w:leader="none"/>
              </w:tabs>
              <w:spacing w:line="244" w:lineRule="auto" w:before="59" w:after="0"/>
              <w:ind w:left="225" w:right="507" w:hanging="144"/>
              <w:jc w:val="left"/>
              <w:rPr>
                <w:sz w:val="18"/>
              </w:rPr>
            </w:pPr>
            <w:r>
              <w:rPr>
                <w:sz w:val="18"/>
              </w:rPr>
              <w:t>All</w:t>
            </w:r>
            <w:r>
              <w:rPr>
                <w:spacing w:val="-9"/>
                <w:sz w:val="18"/>
              </w:rPr>
              <w:t> </w:t>
            </w:r>
            <w:r>
              <w:rPr>
                <w:sz w:val="18"/>
              </w:rPr>
              <w:t>decisions</w:t>
            </w:r>
            <w:r>
              <w:rPr>
                <w:spacing w:val="-10"/>
                <w:sz w:val="18"/>
              </w:rPr>
              <w:t> </w:t>
            </w:r>
            <w:r>
              <w:rPr>
                <w:sz w:val="18"/>
              </w:rPr>
              <w:t>issued</w:t>
            </w:r>
            <w:r>
              <w:rPr>
                <w:spacing w:val="-10"/>
                <w:sz w:val="18"/>
              </w:rPr>
              <w:t> </w:t>
            </w:r>
            <w:r>
              <w:rPr>
                <w:sz w:val="18"/>
              </w:rPr>
              <w:t>within</w:t>
            </w:r>
            <w:r>
              <w:rPr>
                <w:spacing w:val="-10"/>
                <w:sz w:val="18"/>
              </w:rPr>
              <w:t> </w:t>
            </w:r>
            <w:r>
              <w:rPr>
                <w:sz w:val="18"/>
              </w:rPr>
              <w:t>agreed </w:t>
            </w:r>
            <w:r>
              <w:rPr>
                <w:spacing w:val="-2"/>
                <w:sz w:val="18"/>
              </w:rPr>
              <w:t>timescales</w:t>
            </w:r>
          </w:p>
        </w:tc>
      </w:tr>
      <w:tr>
        <w:trPr>
          <w:trHeight w:val="758" w:hRule="atLeast"/>
        </w:trPr>
        <w:tc>
          <w:tcPr>
            <w:tcW w:w="3270" w:type="dxa"/>
            <w:tcBorders>
              <w:top w:val="single" w:sz="4" w:space="0" w:color="000000"/>
              <w:bottom w:val="single" w:sz="4" w:space="0" w:color="000000"/>
            </w:tcBorders>
          </w:tcPr>
          <w:p>
            <w:pPr>
              <w:pStyle w:val="TableParagraph"/>
              <w:jc w:val="left"/>
              <w:rPr>
                <w:sz w:val="18"/>
              </w:rPr>
            </w:pPr>
          </w:p>
        </w:tc>
        <w:tc>
          <w:tcPr>
            <w:tcW w:w="3227" w:type="dxa"/>
            <w:tcBorders>
              <w:top w:val="single" w:sz="4" w:space="0" w:color="000000"/>
              <w:bottom w:val="single" w:sz="4" w:space="0" w:color="000000"/>
            </w:tcBorders>
          </w:tcPr>
          <w:p>
            <w:pPr>
              <w:pStyle w:val="TableParagraph"/>
              <w:numPr>
                <w:ilvl w:val="0"/>
                <w:numId w:val="96"/>
              </w:numPr>
              <w:tabs>
                <w:tab w:pos="217" w:val="left" w:leader="none"/>
              </w:tabs>
              <w:spacing w:line="240" w:lineRule="auto" w:before="63" w:after="0"/>
              <w:ind w:left="216" w:right="210" w:hanging="144"/>
              <w:jc w:val="left"/>
              <w:rPr>
                <w:sz w:val="18"/>
              </w:rPr>
            </w:pPr>
            <w:r>
              <w:rPr>
                <w:sz w:val="18"/>
              </w:rPr>
              <w:t>Timeliness</w:t>
            </w:r>
            <w:r>
              <w:rPr>
                <w:spacing w:val="-7"/>
                <w:sz w:val="18"/>
              </w:rPr>
              <w:t> </w:t>
            </w:r>
            <w:r>
              <w:rPr>
                <w:sz w:val="18"/>
              </w:rPr>
              <w:t>and</w:t>
            </w:r>
            <w:r>
              <w:rPr>
                <w:spacing w:val="-7"/>
                <w:sz w:val="18"/>
              </w:rPr>
              <w:t> </w:t>
            </w:r>
            <w:r>
              <w:rPr>
                <w:sz w:val="18"/>
              </w:rPr>
              <w:t>quality</w:t>
            </w:r>
            <w:r>
              <w:rPr>
                <w:spacing w:val="-7"/>
                <w:sz w:val="18"/>
              </w:rPr>
              <w:t> </w:t>
            </w:r>
            <w:r>
              <w:rPr>
                <w:sz w:val="18"/>
              </w:rPr>
              <w:t>of</w:t>
            </w:r>
            <w:r>
              <w:rPr>
                <w:spacing w:val="-6"/>
                <w:sz w:val="18"/>
              </w:rPr>
              <w:t> </w:t>
            </w:r>
            <w:r>
              <w:rPr>
                <w:sz w:val="18"/>
              </w:rPr>
              <w:t>advice</w:t>
            </w:r>
            <w:r>
              <w:rPr>
                <w:spacing w:val="-7"/>
                <w:sz w:val="18"/>
              </w:rPr>
              <w:t> </w:t>
            </w:r>
            <w:r>
              <w:rPr>
                <w:sz w:val="18"/>
              </w:rPr>
              <w:t>to</w:t>
            </w:r>
            <w:r>
              <w:rPr>
                <w:spacing w:val="-7"/>
                <w:sz w:val="18"/>
              </w:rPr>
              <w:t> </w:t>
            </w:r>
            <w:r>
              <w:rPr>
                <w:sz w:val="18"/>
              </w:rPr>
              <w:t>the President and Vice-Presidents on administrative and managerial issues</w:t>
            </w:r>
          </w:p>
        </w:tc>
        <w:tc>
          <w:tcPr>
            <w:tcW w:w="3204" w:type="dxa"/>
            <w:tcBorders>
              <w:top w:val="single" w:sz="4" w:space="0" w:color="000000"/>
              <w:bottom w:val="single" w:sz="4" w:space="0" w:color="000000"/>
            </w:tcBorders>
          </w:tcPr>
          <w:p>
            <w:pPr>
              <w:pStyle w:val="TableParagraph"/>
              <w:numPr>
                <w:ilvl w:val="0"/>
                <w:numId w:val="97"/>
              </w:numPr>
              <w:tabs>
                <w:tab w:pos="226" w:val="left" w:leader="none"/>
              </w:tabs>
              <w:spacing w:line="240" w:lineRule="auto" w:before="68" w:after="0"/>
              <w:ind w:left="225" w:right="0" w:hanging="145"/>
              <w:jc w:val="left"/>
              <w:rPr>
                <w:sz w:val="18"/>
              </w:rPr>
            </w:pPr>
            <w:r>
              <w:rPr>
                <w:sz w:val="18"/>
              </w:rPr>
              <w:t>Fully</w:t>
            </w:r>
            <w:r>
              <w:rPr>
                <w:spacing w:val="-2"/>
                <w:sz w:val="18"/>
              </w:rPr>
              <w:t> satisfactory</w:t>
            </w:r>
          </w:p>
        </w:tc>
      </w:tr>
      <w:tr>
        <w:trPr>
          <w:trHeight w:val="959" w:hRule="atLeast"/>
        </w:trPr>
        <w:tc>
          <w:tcPr>
            <w:tcW w:w="3270" w:type="dxa"/>
            <w:tcBorders>
              <w:top w:val="single" w:sz="4" w:space="0" w:color="000000"/>
              <w:bottom w:val="single" w:sz="4" w:space="0" w:color="000000"/>
            </w:tcBorders>
          </w:tcPr>
          <w:p>
            <w:pPr>
              <w:pStyle w:val="TableParagraph"/>
              <w:spacing w:before="57"/>
              <w:ind w:left="28"/>
              <w:jc w:val="left"/>
              <w:rPr>
                <w:sz w:val="18"/>
              </w:rPr>
            </w:pPr>
            <w:r>
              <w:rPr>
                <w:sz w:val="18"/>
              </w:rPr>
              <w:t>2. Implement and operate in line with appropriate</w:t>
            </w:r>
            <w:r>
              <w:rPr>
                <w:spacing w:val="-12"/>
                <w:sz w:val="18"/>
              </w:rPr>
              <w:t> </w:t>
            </w:r>
            <w:r>
              <w:rPr>
                <w:sz w:val="18"/>
              </w:rPr>
              <w:t>performance</w:t>
            </w:r>
            <w:r>
              <w:rPr>
                <w:spacing w:val="-11"/>
                <w:sz w:val="18"/>
              </w:rPr>
              <w:t> </w:t>
            </w:r>
            <w:r>
              <w:rPr>
                <w:sz w:val="18"/>
              </w:rPr>
              <w:t>indicators</w:t>
            </w:r>
            <w:r>
              <w:rPr>
                <w:spacing w:val="-11"/>
                <w:sz w:val="18"/>
              </w:rPr>
              <w:t> </w:t>
            </w:r>
            <w:r>
              <w:rPr>
                <w:sz w:val="18"/>
              </w:rPr>
              <w:t>for judicial</w:t>
            </w:r>
            <w:r>
              <w:rPr>
                <w:spacing w:val="-9"/>
                <w:sz w:val="18"/>
              </w:rPr>
              <w:t> </w:t>
            </w:r>
            <w:r>
              <w:rPr>
                <w:sz w:val="18"/>
              </w:rPr>
              <w:t>processes</w:t>
            </w:r>
            <w:r>
              <w:rPr>
                <w:spacing w:val="-9"/>
                <w:sz w:val="18"/>
              </w:rPr>
              <w:t> </w:t>
            </w:r>
            <w:r>
              <w:rPr>
                <w:sz w:val="18"/>
              </w:rPr>
              <w:t>and</w:t>
            </w:r>
            <w:r>
              <w:rPr>
                <w:spacing w:val="-12"/>
                <w:sz w:val="18"/>
              </w:rPr>
              <w:t> </w:t>
            </w:r>
            <w:r>
              <w:rPr>
                <w:sz w:val="18"/>
              </w:rPr>
              <w:t>relevant</w:t>
            </w:r>
            <w:r>
              <w:rPr>
                <w:spacing w:val="-10"/>
                <w:sz w:val="18"/>
              </w:rPr>
              <w:t> </w:t>
            </w:r>
            <w:r>
              <w:rPr>
                <w:sz w:val="18"/>
              </w:rPr>
              <w:t>judicial </w:t>
            </w:r>
            <w:r>
              <w:rPr>
                <w:spacing w:val="-2"/>
                <w:sz w:val="18"/>
              </w:rPr>
              <w:t>support</w:t>
            </w:r>
          </w:p>
        </w:tc>
        <w:tc>
          <w:tcPr>
            <w:tcW w:w="3227" w:type="dxa"/>
            <w:tcBorders>
              <w:top w:val="single" w:sz="4" w:space="0" w:color="000000"/>
              <w:bottom w:val="single" w:sz="4" w:space="0" w:color="000000"/>
            </w:tcBorders>
          </w:tcPr>
          <w:p>
            <w:pPr>
              <w:pStyle w:val="TableParagraph"/>
              <w:numPr>
                <w:ilvl w:val="0"/>
                <w:numId w:val="98"/>
              </w:numPr>
              <w:tabs>
                <w:tab w:pos="217" w:val="left" w:leader="none"/>
              </w:tabs>
              <w:spacing w:line="240" w:lineRule="auto" w:before="59" w:after="0"/>
              <w:ind w:left="216" w:right="151" w:hanging="144"/>
              <w:jc w:val="left"/>
              <w:rPr>
                <w:sz w:val="18"/>
              </w:rPr>
            </w:pPr>
            <w:r>
              <w:rPr>
                <w:sz w:val="18"/>
              </w:rPr>
              <w:t>Continued</w:t>
            </w:r>
            <w:r>
              <w:rPr>
                <w:spacing w:val="-9"/>
                <w:sz w:val="18"/>
              </w:rPr>
              <w:t> </w:t>
            </w:r>
            <w:r>
              <w:rPr>
                <w:sz w:val="18"/>
              </w:rPr>
              <w:t>collection</w:t>
            </w:r>
            <w:r>
              <w:rPr>
                <w:spacing w:val="-5"/>
                <w:sz w:val="18"/>
              </w:rPr>
              <w:t> </w:t>
            </w:r>
            <w:r>
              <w:rPr>
                <w:sz w:val="18"/>
              </w:rPr>
              <w:t>of</w:t>
            </w:r>
            <w:r>
              <w:rPr>
                <w:spacing w:val="-8"/>
                <w:sz w:val="18"/>
              </w:rPr>
              <w:t> </w:t>
            </w:r>
            <w:r>
              <w:rPr>
                <w:sz w:val="18"/>
              </w:rPr>
              <w:t>relevant</w:t>
            </w:r>
            <w:r>
              <w:rPr>
                <w:spacing w:val="-7"/>
                <w:sz w:val="18"/>
              </w:rPr>
              <w:t> </w:t>
            </w:r>
            <w:r>
              <w:rPr>
                <w:sz w:val="18"/>
              </w:rPr>
              <w:t>data</w:t>
            </w:r>
            <w:r>
              <w:rPr>
                <w:spacing w:val="-9"/>
                <w:sz w:val="18"/>
              </w:rPr>
              <w:t> </w:t>
            </w:r>
            <w:r>
              <w:rPr>
                <w:sz w:val="18"/>
              </w:rPr>
              <w:t>in key areas for performance indicator initiative concerning both Court-wide and Judiciary processes</w:t>
            </w:r>
          </w:p>
        </w:tc>
        <w:tc>
          <w:tcPr>
            <w:tcW w:w="3204" w:type="dxa"/>
            <w:tcBorders>
              <w:top w:val="single" w:sz="4" w:space="0" w:color="000000"/>
              <w:bottom w:val="single" w:sz="4" w:space="0" w:color="000000"/>
            </w:tcBorders>
          </w:tcPr>
          <w:p>
            <w:pPr>
              <w:pStyle w:val="TableParagraph"/>
              <w:numPr>
                <w:ilvl w:val="0"/>
                <w:numId w:val="99"/>
              </w:numPr>
              <w:tabs>
                <w:tab w:pos="226" w:val="left" w:leader="none"/>
              </w:tabs>
              <w:spacing w:line="240" w:lineRule="auto" w:before="63" w:after="0"/>
              <w:ind w:left="225" w:right="0" w:hanging="145"/>
              <w:jc w:val="left"/>
              <w:rPr>
                <w:sz w:val="18"/>
              </w:rPr>
            </w:pPr>
            <w:r>
              <w:rPr>
                <w:spacing w:val="-4"/>
                <w:sz w:val="18"/>
              </w:rPr>
              <w:t>100%</w:t>
            </w:r>
          </w:p>
        </w:tc>
      </w:tr>
      <w:tr>
        <w:trPr>
          <w:trHeight w:val="547" w:hRule="atLeast"/>
        </w:trPr>
        <w:tc>
          <w:tcPr>
            <w:tcW w:w="3270" w:type="dxa"/>
            <w:tcBorders>
              <w:top w:val="single" w:sz="4" w:space="0" w:color="000000"/>
              <w:bottom w:val="single" w:sz="4" w:space="0" w:color="000000"/>
            </w:tcBorders>
          </w:tcPr>
          <w:p>
            <w:pPr>
              <w:pStyle w:val="TableParagraph"/>
              <w:jc w:val="left"/>
              <w:rPr>
                <w:sz w:val="18"/>
              </w:rPr>
            </w:pPr>
          </w:p>
        </w:tc>
        <w:tc>
          <w:tcPr>
            <w:tcW w:w="3227" w:type="dxa"/>
            <w:tcBorders>
              <w:top w:val="single" w:sz="4" w:space="0" w:color="000000"/>
              <w:bottom w:val="single" w:sz="4" w:space="0" w:color="000000"/>
            </w:tcBorders>
          </w:tcPr>
          <w:p>
            <w:pPr>
              <w:pStyle w:val="TableParagraph"/>
              <w:numPr>
                <w:ilvl w:val="0"/>
                <w:numId w:val="100"/>
              </w:numPr>
              <w:tabs>
                <w:tab w:pos="217" w:val="left" w:leader="none"/>
              </w:tabs>
              <w:spacing w:line="240" w:lineRule="auto" w:before="59" w:after="0"/>
              <w:ind w:left="216" w:right="444" w:hanging="144"/>
              <w:jc w:val="left"/>
              <w:rPr>
                <w:sz w:val="18"/>
              </w:rPr>
            </w:pPr>
            <w:r>
              <w:rPr>
                <w:sz w:val="18"/>
              </w:rPr>
              <w:t>Use of performance indicators in Court-wide</w:t>
            </w:r>
            <w:r>
              <w:rPr>
                <w:spacing w:val="-12"/>
                <w:sz w:val="18"/>
              </w:rPr>
              <w:t> </w:t>
            </w:r>
            <w:r>
              <w:rPr>
                <w:sz w:val="18"/>
              </w:rPr>
              <w:t>and</w:t>
            </w:r>
            <w:r>
              <w:rPr>
                <w:spacing w:val="-11"/>
                <w:sz w:val="18"/>
              </w:rPr>
              <w:t> </w:t>
            </w:r>
            <w:r>
              <w:rPr>
                <w:sz w:val="18"/>
              </w:rPr>
              <w:t>Judiciary</w:t>
            </w:r>
            <w:r>
              <w:rPr>
                <w:spacing w:val="-11"/>
                <w:sz w:val="18"/>
              </w:rPr>
              <w:t> </w:t>
            </w:r>
            <w:r>
              <w:rPr>
                <w:sz w:val="18"/>
              </w:rPr>
              <w:t>processes</w:t>
            </w:r>
          </w:p>
        </w:tc>
        <w:tc>
          <w:tcPr>
            <w:tcW w:w="3204" w:type="dxa"/>
            <w:tcBorders>
              <w:top w:val="single" w:sz="4" w:space="0" w:color="000000"/>
              <w:bottom w:val="single" w:sz="4" w:space="0" w:color="000000"/>
            </w:tcBorders>
          </w:tcPr>
          <w:p>
            <w:pPr>
              <w:pStyle w:val="TableParagraph"/>
              <w:numPr>
                <w:ilvl w:val="0"/>
                <w:numId w:val="101"/>
              </w:numPr>
              <w:tabs>
                <w:tab w:pos="226" w:val="left" w:leader="none"/>
              </w:tabs>
              <w:spacing w:line="240" w:lineRule="auto" w:before="63" w:after="0"/>
              <w:ind w:left="225" w:right="0" w:hanging="145"/>
              <w:jc w:val="left"/>
              <w:rPr>
                <w:sz w:val="18"/>
              </w:rPr>
            </w:pPr>
            <w:r>
              <w:rPr>
                <w:sz w:val="18"/>
              </w:rPr>
              <w:t>Fully</w:t>
            </w:r>
            <w:r>
              <w:rPr>
                <w:spacing w:val="-2"/>
                <w:sz w:val="18"/>
              </w:rPr>
              <w:t> satisfactory</w:t>
            </w:r>
          </w:p>
        </w:tc>
      </w:tr>
      <w:tr>
        <w:trPr>
          <w:trHeight w:val="1166" w:hRule="atLeast"/>
        </w:trPr>
        <w:tc>
          <w:tcPr>
            <w:tcW w:w="3270" w:type="dxa"/>
            <w:tcBorders>
              <w:top w:val="single" w:sz="4" w:space="0" w:color="000000"/>
              <w:bottom w:val="single" w:sz="4" w:space="0" w:color="000000"/>
            </w:tcBorders>
          </w:tcPr>
          <w:p>
            <w:pPr>
              <w:pStyle w:val="TableParagraph"/>
              <w:spacing w:before="62"/>
              <w:ind w:left="28"/>
              <w:jc w:val="left"/>
              <w:rPr>
                <w:sz w:val="18"/>
              </w:rPr>
            </w:pPr>
            <w:r>
              <w:rPr>
                <w:sz w:val="18"/>
              </w:rPr>
              <w:t>3. Conduct pre-trial, trial and appellate processes</w:t>
            </w:r>
            <w:r>
              <w:rPr>
                <w:spacing w:val="-4"/>
                <w:sz w:val="18"/>
              </w:rPr>
              <w:t> </w:t>
            </w:r>
            <w:r>
              <w:rPr>
                <w:sz w:val="18"/>
              </w:rPr>
              <w:t>fairly</w:t>
            </w:r>
            <w:r>
              <w:rPr>
                <w:spacing w:val="-4"/>
                <w:sz w:val="18"/>
              </w:rPr>
              <w:t> </w:t>
            </w:r>
            <w:r>
              <w:rPr>
                <w:sz w:val="18"/>
              </w:rPr>
              <w:t>and</w:t>
            </w:r>
            <w:r>
              <w:rPr>
                <w:spacing w:val="-4"/>
                <w:sz w:val="18"/>
              </w:rPr>
              <w:t> </w:t>
            </w:r>
            <w:r>
              <w:rPr>
                <w:sz w:val="18"/>
              </w:rPr>
              <w:t>expeditiously,</w:t>
            </w:r>
            <w:r>
              <w:rPr>
                <w:spacing w:val="-2"/>
                <w:sz w:val="18"/>
              </w:rPr>
              <w:t> </w:t>
            </w:r>
            <w:r>
              <w:rPr>
                <w:sz w:val="18"/>
              </w:rPr>
              <w:t>with</w:t>
            </w:r>
            <w:r>
              <w:rPr>
                <w:spacing w:val="-8"/>
                <w:sz w:val="18"/>
              </w:rPr>
              <w:t> </w:t>
            </w:r>
            <w:r>
              <w:rPr>
                <w:sz w:val="18"/>
              </w:rPr>
              <w:t>full respect</w:t>
            </w:r>
            <w:r>
              <w:rPr>
                <w:spacing w:val="-4"/>
                <w:sz w:val="18"/>
              </w:rPr>
              <w:t> </w:t>
            </w:r>
            <w:r>
              <w:rPr>
                <w:sz w:val="18"/>
              </w:rPr>
              <w:t>for</w:t>
            </w:r>
            <w:r>
              <w:rPr>
                <w:spacing w:val="-5"/>
                <w:sz w:val="18"/>
              </w:rPr>
              <w:t> </w:t>
            </w:r>
            <w:r>
              <w:rPr>
                <w:sz w:val="18"/>
              </w:rPr>
              <w:t>the</w:t>
            </w:r>
            <w:r>
              <w:rPr>
                <w:spacing w:val="-6"/>
                <w:sz w:val="18"/>
              </w:rPr>
              <w:t> </w:t>
            </w:r>
            <w:r>
              <w:rPr>
                <w:sz w:val="18"/>
              </w:rPr>
              <w:t>rights</w:t>
            </w:r>
            <w:r>
              <w:rPr>
                <w:spacing w:val="-5"/>
                <w:sz w:val="18"/>
              </w:rPr>
              <w:t> </w:t>
            </w:r>
            <w:r>
              <w:rPr>
                <w:sz w:val="18"/>
              </w:rPr>
              <w:t>of</w:t>
            </w:r>
            <w:r>
              <w:rPr>
                <w:spacing w:val="-5"/>
                <w:sz w:val="18"/>
              </w:rPr>
              <w:t> </w:t>
            </w:r>
            <w:r>
              <w:rPr>
                <w:sz w:val="18"/>
              </w:rPr>
              <w:t>the</w:t>
            </w:r>
            <w:r>
              <w:rPr>
                <w:spacing w:val="-6"/>
                <w:sz w:val="18"/>
              </w:rPr>
              <w:t> </w:t>
            </w:r>
            <w:r>
              <w:rPr>
                <w:sz w:val="18"/>
              </w:rPr>
              <w:t>accused</w:t>
            </w:r>
            <w:r>
              <w:rPr>
                <w:spacing w:val="-6"/>
                <w:sz w:val="18"/>
              </w:rPr>
              <w:t> </w:t>
            </w:r>
            <w:r>
              <w:rPr>
                <w:sz w:val="18"/>
              </w:rPr>
              <w:t>and</w:t>
            </w:r>
            <w:r>
              <w:rPr>
                <w:spacing w:val="-6"/>
                <w:sz w:val="18"/>
              </w:rPr>
              <w:t> </w:t>
            </w:r>
            <w:r>
              <w:rPr>
                <w:sz w:val="18"/>
              </w:rPr>
              <w:t>due regard for the protection of victims and </w:t>
            </w:r>
            <w:r>
              <w:rPr>
                <w:spacing w:val="-2"/>
                <w:sz w:val="18"/>
              </w:rPr>
              <w:t>witnesses</w:t>
            </w:r>
          </w:p>
        </w:tc>
        <w:tc>
          <w:tcPr>
            <w:tcW w:w="3227" w:type="dxa"/>
            <w:tcBorders>
              <w:top w:val="single" w:sz="4" w:space="0" w:color="000000"/>
              <w:bottom w:val="single" w:sz="4" w:space="0" w:color="000000"/>
            </w:tcBorders>
          </w:tcPr>
          <w:p>
            <w:pPr>
              <w:pStyle w:val="TableParagraph"/>
              <w:numPr>
                <w:ilvl w:val="0"/>
                <w:numId w:val="102"/>
              </w:numPr>
              <w:tabs>
                <w:tab w:pos="217" w:val="left" w:leader="none"/>
              </w:tabs>
              <w:spacing w:line="240" w:lineRule="auto" w:before="59" w:after="0"/>
              <w:ind w:left="216" w:right="119" w:hanging="144"/>
              <w:jc w:val="left"/>
              <w:rPr>
                <w:sz w:val="18"/>
              </w:rPr>
            </w:pPr>
            <w:r>
              <w:rPr>
                <w:sz w:val="18"/>
              </w:rPr>
              <w:t>Time between phases of proceedings shortened,</w:t>
            </w:r>
            <w:r>
              <w:rPr>
                <w:spacing w:val="-4"/>
                <w:sz w:val="18"/>
              </w:rPr>
              <w:t> </w:t>
            </w:r>
            <w:r>
              <w:rPr>
                <w:sz w:val="18"/>
              </w:rPr>
              <w:t>without</w:t>
            </w:r>
            <w:r>
              <w:rPr>
                <w:spacing w:val="-8"/>
                <w:sz w:val="18"/>
              </w:rPr>
              <w:t> </w:t>
            </w:r>
            <w:r>
              <w:rPr>
                <w:sz w:val="18"/>
              </w:rPr>
              <w:t>prejudice</w:t>
            </w:r>
            <w:r>
              <w:rPr>
                <w:spacing w:val="-9"/>
                <w:sz w:val="18"/>
              </w:rPr>
              <w:t> </w:t>
            </w:r>
            <w:r>
              <w:rPr>
                <w:sz w:val="18"/>
              </w:rPr>
              <w:t>to</w:t>
            </w:r>
            <w:r>
              <w:rPr>
                <w:spacing w:val="-9"/>
                <w:sz w:val="18"/>
              </w:rPr>
              <w:t> </w:t>
            </w:r>
            <w:r>
              <w:rPr>
                <w:sz w:val="18"/>
              </w:rPr>
              <w:t>the</w:t>
            </w:r>
            <w:r>
              <w:rPr>
                <w:spacing w:val="-9"/>
                <w:sz w:val="18"/>
              </w:rPr>
              <w:t> </w:t>
            </w:r>
            <w:r>
              <w:rPr>
                <w:sz w:val="18"/>
              </w:rPr>
              <w:t>right of parties, participants and victims to fairness and protection, where </w:t>
            </w:r>
            <w:r>
              <w:rPr>
                <w:spacing w:val="-2"/>
                <w:sz w:val="18"/>
              </w:rPr>
              <w:t>applicable</w:t>
            </w:r>
          </w:p>
        </w:tc>
        <w:tc>
          <w:tcPr>
            <w:tcW w:w="3204" w:type="dxa"/>
            <w:tcBorders>
              <w:top w:val="single" w:sz="4" w:space="0" w:color="000000"/>
              <w:bottom w:val="single" w:sz="4" w:space="0" w:color="000000"/>
            </w:tcBorders>
          </w:tcPr>
          <w:p>
            <w:pPr>
              <w:pStyle w:val="TableParagraph"/>
              <w:numPr>
                <w:ilvl w:val="0"/>
                <w:numId w:val="103"/>
              </w:numPr>
              <w:tabs>
                <w:tab w:pos="226" w:val="left" w:leader="none"/>
              </w:tabs>
              <w:spacing w:line="240" w:lineRule="auto" w:before="59" w:after="0"/>
              <w:ind w:left="225" w:right="61" w:hanging="144"/>
              <w:jc w:val="left"/>
              <w:rPr>
                <w:sz w:val="18"/>
              </w:rPr>
            </w:pPr>
            <w:r>
              <w:rPr>
                <w:sz w:val="18"/>
              </w:rPr>
              <w:t>Measurable</w:t>
            </w:r>
            <w:r>
              <w:rPr>
                <w:spacing w:val="-12"/>
                <w:sz w:val="18"/>
              </w:rPr>
              <w:t> </w:t>
            </w:r>
            <w:r>
              <w:rPr>
                <w:sz w:val="18"/>
              </w:rPr>
              <w:t>improvement</w:t>
            </w:r>
            <w:r>
              <w:rPr>
                <w:spacing w:val="-11"/>
                <w:sz w:val="18"/>
              </w:rPr>
              <w:t> </w:t>
            </w:r>
            <w:r>
              <w:rPr>
                <w:sz w:val="18"/>
              </w:rPr>
              <w:t>in</w:t>
            </w:r>
            <w:r>
              <w:rPr>
                <w:spacing w:val="-11"/>
                <w:sz w:val="18"/>
              </w:rPr>
              <w:t> </w:t>
            </w:r>
            <w:r>
              <w:rPr>
                <w:sz w:val="18"/>
              </w:rPr>
              <w:t>comparison with earlier cases</w:t>
            </w:r>
          </w:p>
        </w:tc>
      </w:tr>
      <w:tr>
        <w:trPr>
          <w:trHeight w:val="1156" w:hRule="atLeast"/>
        </w:trPr>
        <w:tc>
          <w:tcPr>
            <w:tcW w:w="3270" w:type="dxa"/>
            <w:tcBorders>
              <w:top w:val="single" w:sz="4" w:space="0" w:color="000000"/>
              <w:bottom w:val="single" w:sz="4" w:space="0" w:color="000000"/>
            </w:tcBorders>
          </w:tcPr>
          <w:p>
            <w:pPr>
              <w:pStyle w:val="TableParagraph"/>
              <w:spacing w:before="62"/>
              <w:ind w:left="28" w:right="123"/>
              <w:jc w:val="left"/>
              <w:rPr>
                <w:sz w:val="18"/>
              </w:rPr>
            </w:pPr>
            <w:r>
              <w:rPr>
                <w:sz w:val="18"/>
              </w:rPr>
              <w:t>4. Advance the lessons-learned review of judicial</w:t>
            </w:r>
            <w:r>
              <w:rPr>
                <w:spacing w:val="-12"/>
                <w:sz w:val="18"/>
              </w:rPr>
              <w:t> </w:t>
            </w:r>
            <w:r>
              <w:rPr>
                <w:sz w:val="18"/>
              </w:rPr>
              <w:t>processes,</w:t>
            </w:r>
            <w:r>
              <w:rPr>
                <w:spacing w:val="-11"/>
                <w:sz w:val="18"/>
              </w:rPr>
              <w:t> </w:t>
            </w:r>
            <w:r>
              <w:rPr>
                <w:sz w:val="18"/>
              </w:rPr>
              <w:t>consulting</w:t>
            </w:r>
            <w:r>
              <w:rPr>
                <w:spacing w:val="-11"/>
                <w:sz w:val="18"/>
              </w:rPr>
              <w:t> </w:t>
            </w:r>
            <w:r>
              <w:rPr>
                <w:sz w:val="18"/>
              </w:rPr>
              <w:t>stakeholders as appropriate, with emphasis on changes not requiring amendments</w:t>
            </w:r>
            <w:r>
              <w:rPr>
                <w:spacing w:val="-1"/>
                <w:sz w:val="18"/>
              </w:rPr>
              <w:t> </w:t>
            </w:r>
            <w:r>
              <w:rPr>
                <w:sz w:val="18"/>
              </w:rPr>
              <w:t>to the Rules of Procedure and Evidence</w:t>
            </w:r>
          </w:p>
        </w:tc>
        <w:tc>
          <w:tcPr>
            <w:tcW w:w="3227" w:type="dxa"/>
            <w:tcBorders>
              <w:top w:val="single" w:sz="4" w:space="0" w:color="000000"/>
              <w:bottom w:val="single" w:sz="4" w:space="0" w:color="000000"/>
            </w:tcBorders>
          </w:tcPr>
          <w:p>
            <w:pPr>
              <w:pStyle w:val="TableParagraph"/>
              <w:numPr>
                <w:ilvl w:val="0"/>
                <w:numId w:val="104"/>
              </w:numPr>
              <w:tabs>
                <w:tab w:pos="217" w:val="left" w:leader="none"/>
              </w:tabs>
              <w:spacing w:line="244" w:lineRule="auto" w:before="59" w:after="0"/>
              <w:ind w:left="216" w:right="392" w:hanging="144"/>
              <w:jc w:val="left"/>
              <w:rPr>
                <w:sz w:val="18"/>
              </w:rPr>
            </w:pPr>
            <w:r>
              <w:rPr>
                <w:sz w:val="18"/>
              </w:rPr>
              <w:t>Continued</w:t>
            </w:r>
            <w:r>
              <w:rPr>
                <w:spacing w:val="-12"/>
                <w:sz w:val="18"/>
              </w:rPr>
              <w:t> </w:t>
            </w:r>
            <w:r>
              <w:rPr>
                <w:sz w:val="18"/>
              </w:rPr>
              <w:t>harmonization</w:t>
            </w:r>
            <w:r>
              <w:rPr>
                <w:spacing w:val="-11"/>
                <w:sz w:val="18"/>
              </w:rPr>
              <w:t> </w:t>
            </w:r>
            <w:r>
              <w:rPr>
                <w:sz w:val="18"/>
              </w:rPr>
              <w:t>of</w:t>
            </w:r>
            <w:r>
              <w:rPr>
                <w:spacing w:val="-11"/>
                <w:sz w:val="18"/>
              </w:rPr>
              <w:t> </w:t>
            </w:r>
            <w:r>
              <w:rPr>
                <w:sz w:val="18"/>
              </w:rPr>
              <w:t>judicial </w:t>
            </w:r>
            <w:r>
              <w:rPr>
                <w:spacing w:val="-2"/>
                <w:sz w:val="18"/>
              </w:rPr>
              <w:t>practice</w:t>
            </w:r>
          </w:p>
        </w:tc>
        <w:tc>
          <w:tcPr>
            <w:tcW w:w="3204" w:type="dxa"/>
            <w:tcBorders>
              <w:top w:val="single" w:sz="4" w:space="0" w:color="000000"/>
              <w:bottom w:val="single" w:sz="4" w:space="0" w:color="000000"/>
            </w:tcBorders>
          </w:tcPr>
          <w:p>
            <w:pPr>
              <w:pStyle w:val="TableParagraph"/>
              <w:numPr>
                <w:ilvl w:val="0"/>
                <w:numId w:val="105"/>
              </w:numPr>
              <w:tabs>
                <w:tab w:pos="226" w:val="left" w:leader="none"/>
              </w:tabs>
              <w:spacing w:line="240" w:lineRule="auto" w:before="63" w:after="0"/>
              <w:ind w:left="225" w:right="0" w:hanging="145"/>
              <w:jc w:val="left"/>
              <w:rPr>
                <w:sz w:val="18"/>
              </w:rPr>
            </w:pPr>
            <w:r>
              <w:rPr>
                <w:sz w:val="18"/>
              </w:rPr>
              <w:t>By</w:t>
            </w:r>
            <w:r>
              <w:rPr>
                <w:spacing w:val="1"/>
                <w:sz w:val="18"/>
              </w:rPr>
              <w:t> </w:t>
            </w:r>
            <w:r>
              <w:rPr>
                <w:sz w:val="18"/>
              </w:rPr>
              <w:t>end</w:t>
            </w:r>
            <w:r>
              <w:rPr>
                <w:spacing w:val="-2"/>
                <w:sz w:val="18"/>
              </w:rPr>
              <w:t> </w:t>
            </w:r>
            <w:r>
              <w:rPr>
                <w:sz w:val="18"/>
              </w:rPr>
              <w:t>of</w:t>
            </w:r>
            <w:r>
              <w:rPr>
                <w:spacing w:val="-1"/>
                <w:sz w:val="18"/>
              </w:rPr>
              <w:t> </w:t>
            </w:r>
            <w:r>
              <w:rPr>
                <w:spacing w:val="-4"/>
                <w:sz w:val="18"/>
              </w:rPr>
              <w:t>2023</w:t>
            </w:r>
          </w:p>
        </w:tc>
      </w:tr>
      <w:tr>
        <w:trPr>
          <w:trHeight w:val="325" w:hRule="atLeast"/>
        </w:trPr>
        <w:tc>
          <w:tcPr>
            <w:tcW w:w="3270" w:type="dxa"/>
            <w:tcBorders>
              <w:top w:val="single" w:sz="4" w:space="0" w:color="000000"/>
              <w:bottom w:val="single" w:sz="4" w:space="0" w:color="000000"/>
            </w:tcBorders>
          </w:tcPr>
          <w:p>
            <w:pPr>
              <w:pStyle w:val="TableParagraph"/>
              <w:spacing w:before="62"/>
              <w:ind w:left="28"/>
              <w:jc w:val="left"/>
              <w:rPr>
                <w:b/>
                <w:sz w:val="18"/>
              </w:rPr>
            </w:pPr>
            <w:r>
              <w:rPr>
                <w:b/>
                <w:sz w:val="18"/>
              </w:rPr>
              <w:t>Objectives</w:t>
            </w:r>
            <w:r>
              <w:rPr>
                <w:b/>
                <w:spacing w:val="-4"/>
                <w:sz w:val="18"/>
              </w:rPr>
              <w:t> </w:t>
            </w:r>
            <w:r>
              <w:rPr>
                <w:b/>
                <w:sz w:val="18"/>
              </w:rPr>
              <w:t>5-8</w:t>
            </w:r>
            <w:r>
              <w:rPr>
                <w:b/>
                <w:spacing w:val="-4"/>
                <w:sz w:val="18"/>
              </w:rPr>
              <w:t> </w:t>
            </w:r>
            <w:r>
              <w:rPr>
                <w:b/>
                <w:sz w:val="18"/>
              </w:rPr>
              <w:t>(Strategic</w:t>
            </w:r>
            <w:r>
              <w:rPr>
                <w:b/>
                <w:spacing w:val="-7"/>
                <w:sz w:val="18"/>
              </w:rPr>
              <w:t> </w:t>
            </w:r>
            <w:r>
              <w:rPr>
                <w:b/>
                <w:sz w:val="18"/>
              </w:rPr>
              <w:t>Goals</w:t>
            </w:r>
            <w:r>
              <w:rPr>
                <w:b/>
                <w:spacing w:val="-4"/>
                <w:sz w:val="18"/>
              </w:rPr>
              <w:t> </w:t>
            </w:r>
            <w:r>
              <w:rPr>
                <w:b/>
                <w:sz w:val="18"/>
              </w:rPr>
              <w:t>4-</w:t>
            </w:r>
            <w:r>
              <w:rPr>
                <w:b/>
                <w:spacing w:val="-5"/>
                <w:sz w:val="18"/>
              </w:rPr>
              <w:t>5)</w:t>
            </w:r>
          </w:p>
        </w:tc>
        <w:tc>
          <w:tcPr>
            <w:tcW w:w="3227" w:type="dxa"/>
            <w:tcBorders>
              <w:top w:val="single" w:sz="4" w:space="0" w:color="000000"/>
              <w:bottom w:val="single" w:sz="4" w:space="0" w:color="000000"/>
            </w:tcBorders>
          </w:tcPr>
          <w:p>
            <w:pPr>
              <w:pStyle w:val="TableParagraph"/>
              <w:jc w:val="left"/>
              <w:rPr>
                <w:sz w:val="18"/>
              </w:rPr>
            </w:pPr>
          </w:p>
        </w:tc>
        <w:tc>
          <w:tcPr>
            <w:tcW w:w="3204" w:type="dxa"/>
            <w:tcBorders>
              <w:top w:val="single" w:sz="4" w:space="0" w:color="000000"/>
              <w:bottom w:val="single" w:sz="4" w:space="0" w:color="000000"/>
            </w:tcBorders>
          </w:tcPr>
          <w:p>
            <w:pPr>
              <w:pStyle w:val="TableParagraph"/>
              <w:jc w:val="left"/>
              <w:rPr>
                <w:sz w:val="18"/>
              </w:rPr>
            </w:pPr>
          </w:p>
        </w:tc>
      </w:tr>
      <w:tr>
        <w:trPr>
          <w:trHeight w:val="950" w:hRule="atLeast"/>
        </w:trPr>
        <w:tc>
          <w:tcPr>
            <w:tcW w:w="3270" w:type="dxa"/>
            <w:tcBorders>
              <w:top w:val="single" w:sz="4" w:space="0" w:color="000000"/>
              <w:bottom w:val="single" w:sz="4" w:space="0" w:color="000000"/>
            </w:tcBorders>
          </w:tcPr>
          <w:p>
            <w:pPr>
              <w:pStyle w:val="TableParagraph"/>
              <w:spacing w:before="62"/>
              <w:ind w:left="28" w:right="123"/>
              <w:jc w:val="left"/>
              <w:rPr>
                <w:sz w:val="18"/>
              </w:rPr>
            </w:pPr>
            <w:r>
              <w:rPr>
                <w:sz w:val="18"/>
              </w:rPr>
              <w:t>5. Transparent and effective communication</w:t>
            </w:r>
            <w:r>
              <w:rPr>
                <w:spacing w:val="-7"/>
                <w:sz w:val="18"/>
              </w:rPr>
              <w:t> </w:t>
            </w:r>
            <w:r>
              <w:rPr>
                <w:sz w:val="18"/>
              </w:rPr>
              <w:t>and</w:t>
            </w:r>
            <w:r>
              <w:rPr>
                <w:spacing w:val="-7"/>
                <w:sz w:val="18"/>
              </w:rPr>
              <w:t> </w:t>
            </w:r>
            <w:r>
              <w:rPr>
                <w:sz w:val="18"/>
              </w:rPr>
              <w:t>information</w:t>
            </w:r>
            <w:r>
              <w:rPr>
                <w:spacing w:val="-7"/>
                <w:sz w:val="18"/>
              </w:rPr>
              <w:t> </w:t>
            </w:r>
            <w:r>
              <w:rPr>
                <w:sz w:val="18"/>
              </w:rPr>
              <w:t>exchange between</w:t>
            </w:r>
            <w:r>
              <w:rPr>
                <w:spacing w:val="-8"/>
                <w:sz w:val="18"/>
              </w:rPr>
              <w:t> </w:t>
            </w:r>
            <w:r>
              <w:rPr>
                <w:sz w:val="18"/>
              </w:rPr>
              <w:t>Judiciary</w:t>
            </w:r>
            <w:r>
              <w:rPr>
                <w:spacing w:val="-8"/>
                <w:sz w:val="18"/>
              </w:rPr>
              <w:t> </w:t>
            </w:r>
            <w:r>
              <w:rPr>
                <w:sz w:val="18"/>
              </w:rPr>
              <w:t>and</w:t>
            </w:r>
            <w:r>
              <w:rPr>
                <w:spacing w:val="-8"/>
                <w:sz w:val="18"/>
              </w:rPr>
              <w:t> </w:t>
            </w:r>
            <w:r>
              <w:rPr>
                <w:sz w:val="18"/>
              </w:rPr>
              <w:t>Working</w:t>
            </w:r>
            <w:r>
              <w:rPr>
                <w:spacing w:val="-8"/>
                <w:sz w:val="18"/>
              </w:rPr>
              <w:t> </w:t>
            </w:r>
            <w:r>
              <w:rPr>
                <w:sz w:val="18"/>
              </w:rPr>
              <w:t>Groups</w:t>
            </w:r>
            <w:r>
              <w:rPr>
                <w:spacing w:val="-8"/>
                <w:sz w:val="18"/>
              </w:rPr>
              <w:t> </w:t>
            </w:r>
            <w:r>
              <w:rPr>
                <w:sz w:val="18"/>
              </w:rPr>
              <w:t>of the Assembly</w:t>
            </w:r>
          </w:p>
        </w:tc>
        <w:tc>
          <w:tcPr>
            <w:tcW w:w="3227" w:type="dxa"/>
            <w:tcBorders>
              <w:top w:val="single" w:sz="4" w:space="0" w:color="000000"/>
              <w:bottom w:val="single" w:sz="4" w:space="0" w:color="000000"/>
            </w:tcBorders>
          </w:tcPr>
          <w:p>
            <w:pPr>
              <w:pStyle w:val="TableParagraph"/>
              <w:numPr>
                <w:ilvl w:val="0"/>
                <w:numId w:val="106"/>
              </w:numPr>
              <w:tabs>
                <w:tab w:pos="217" w:val="left" w:leader="none"/>
              </w:tabs>
              <w:spacing w:line="242" w:lineRule="auto" w:before="59" w:after="0"/>
              <w:ind w:left="216" w:right="640" w:hanging="144"/>
              <w:jc w:val="left"/>
              <w:rPr>
                <w:sz w:val="18"/>
              </w:rPr>
            </w:pPr>
            <w:r>
              <w:rPr>
                <w:sz w:val="18"/>
              </w:rPr>
              <w:t>Number</w:t>
            </w:r>
            <w:r>
              <w:rPr>
                <w:spacing w:val="-12"/>
                <w:sz w:val="18"/>
              </w:rPr>
              <w:t> </w:t>
            </w:r>
            <w:r>
              <w:rPr>
                <w:sz w:val="18"/>
              </w:rPr>
              <w:t>of</w:t>
            </w:r>
            <w:r>
              <w:rPr>
                <w:spacing w:val="-11"/>
                <w:sz w:val="18"/>
              </w:rPr>
              <w:t> </w:t>
            </w:r>
            <w:r>
              <w:rPr>
                <w:sz w:val="18"/>
              </w:rPr>
              <w:t>HWG/SGG</w:t>
            </w:r>
            <w:r>
              <w:rPr>
                <w:spacing w:val="-11"/>
                <w:sz w:val="18"/>
              </w:rPr>
              <w:t> </w:t>
            </w:r>
            <w:r>
              <w:rPr>
                <w:sz w:val="18"/>
              </w:rPr>
              <w:t>meetings attended by a Presidency/Court representative, as appropriate</w:t>
            </w:r>
          </w:p>
        </w:tc>
        <w:tc>
          <w:tcPr>
            <w:tcW w:w="3204" w:type="dxa"/>
            <w:tcBorders>
              <w:top w:val="single" w:sz="4" w:space="0" w:color="000000"/>
              <w:bottom w:val="single" w:sz="4" w:space="0" w:color="000000"/>
            </w:tcBorders>
          </w:tcPr>
          <w:p>
            <w:pPr>
              <w:pStyle w:val="TableParagraph"/>
              <w:numPr>
                <w:ilvl w:val="0"/>
                <w:numId w:val="107"/>
              </w:numPr>
              <w:tabs>
                <w:tab w:pos="226" w:val="left" w:leader="none"/>
              </w:tabs>
              <w:spacing w:line="240" w:lineRule="auto" w:before="63" w:after="0"/>
              <w:ind w:left="225" w:right="0" w:hanging="145"/>
              <w:jc w:val="left"/>
              <w:rPr>
                <w:sz w:val="18"/>
              </w:rPr>
            </w:pPr>
            <w:r>
              <w:rPr>
                <w:sz w:val="18"/>
              </w:rPr>
              <w:t>Representation</w:t>
            </w:r>
            <w:r>
              <w:rPr>
                <w:spacing w:val="-6"/>
                <w:sz w:val="18"/>
              </w:rPr>
              <w:t> </w:t>
            </w:r>
            <w:r>
              <w:rPr>
                <w:sz w:val="18"/>
              </w:rPr>
              <w:t>where</w:t>
            </w:r>
            <w:r>
              <w:rPr>
                <w:spacing w:val="-6"/>
                <w:sz w:val="18"/>
              </w:rPr>
              <w:t> </w:t>
            </w:r>
            <w:r>
              <w:rPr>
                <w:spacing w:val="-2"/>
                <w:sz w:val="18"/>
              </w:rPr>
              <w:t>appropriate</w:t>
            </w:r>
          </w:p>
        </w:tc>
      </w:tr>
      <w:tr>
        <w:trPr>
          <w:trHeight w:val="1569" w:hRule="atLeast"/>
        </w:trPr>
        <w:tc>
          <w:tcPr>
            <w:tcW w:w="3270" w:type="dxa"/>
            <w:tcBorders>
              <w:top w:val="single" w:sz="4" w:space="0" w:color="000000"/>
              <w:bottom w:val="single" w:sz="4" w:space="0" w:color="000000"/>
            </w:tcBorders>
          </w:tcPr>
          <w:p>
            <w:pPr>
              <w:pStyle w:val="TableParagraph"/>
              <w:spacing w:before="57"/>
              <w:ind w:left="28" w:right="73"/>
              <w:jc w:val="left"/>
              <w:rPr>
                <w:sz w:val="18"/>
              </w:rPr>
            </w:pPr>
            <w:r>
              <w:rPr>
                <w:sz w:val="18"/>
              </w:rPr>
              <w:t>6. Strengthened trust, commitment and support among the Court’s external stakeholders</w:t>
            </w:r>
            <w:r>
              <w:rPr>
                <w:spacing w:val="-12"/>
                <w:sz w:val="18"/>
              </w:rPr>
              <w:t> </w:t>
            </w:r>
            <w:r>
              <w:rPr>
                <w:sz w:val="18"/>
              </w:rPr>
              <w:t>through</w:t>
            </w:r>
            <w:r>
              <w:rPr>
                <w:spacing w:val="-11"/>
                <w:sz w:val="18"/>
              </w:rPr>
              <w:t> </w:t>
            </w:r>
            <w:r>
              <w:rPr>
                <w:sz w:val="18"/>
              </w:rPr>
              <w:t>information-sharing</w:t>
            </w:r>
            <w:r>
              <w:rPr>
                <w:spacing w:val="-11"/>
                <w:sz w:val="18"/>
              </w:rPr>
              <w:t> </w:t>
            </w:r>
            <w:r>
              <w:rPr>
                <w:sz w:val="18"/>
              </w:rPr>
              <w:t>at meetings, conferences, etc. regarding the Court’s efforts and commitment to provide high-quality justice in an expeditious </w:t>
            </w:r>
            <w:r>
              <w:rPr>
                <w:spacing w:val="-2"/>
                <w:sz w:val="18"/>
              </w:rPr>
              <w:t>manner</w:t>
            </w:r>
          </w:p>
        </w:tc>
        <w:tc>
          <w:tcPr>
            <w:tcW w:w="3227" w:type="dxa"/>
            <w:tcBorders>
              <w:top w:val="single" w:sz="4" w:space="0" w:color="000000"/>
              <w:bottom w:val="single" w:sz="4" w:space="0" w:color="000000"/>
            </w:tcBorders>
          </w:tcPr>
          <w:p>
            <w:pPr>
              <w:pStyle w:val="TableParagraph"/>
              <w:numPr>
                <w:ilvl w:val="0"/>
                <w:numId w:val="108"/>
              </w:numPr>
              <w:tabs>
                <w:tab w:pos="217" w:val="left" w:leader="none"/>
              </w:tabs>
              <w:spacing w:line="240" w:lineRule="auto" w:before="59" w:after="0"/>
              <w:ind w:left="216" w:right="201" w:hanging="144"/>
              <w:jc w:val="left"/>
              <w:rPr>
                <w:sz w:val="18"/>
              </w:rPr>
            </w:pPr>
            <w:r>
              <w:rPr>
                <w:sz w:val="18"/>
              </w:rPr>
              <w:t>Number of high-level meetings held with</w:t>
            </w:r>
            <w:r>
              <w:rPr>
                <w:spacing w:val="-12"/>
                <w:sz w:val="18"/>
              </w:rPr>
              <w:t> </w:t>
            </w:r>
            <w:r>
              <w:rPr>
                <w:sz w:val="18"/>
              </w:rPr>
              <w:t>States,</w:t>
            </w:r>
            <w:r>
              <w:rPr>
                <w:spacing w:val="-11"/>
                <w:sz w:val="18"/>
              </w:rPr>
              <w:t> </w:t>
            </w:r>
            <w:r>
              <w:rPr>
                <w:sz w:val="18"/>
              </w:rPr>
              <w:t>international</w:t>
            </w:r>
            <w:r>
              <w:rPr>
                <w:spacing w:val="-11"/>
                <w:sz w:val="18"/>
              </w:rPr>
              <w:t> </w:t>
            </w:r>
            <w:r>
              <w:rPr>
                <w:sz w:val="18"/>
              </w:rPr>
              <w:t>organizations and civil society by the </w:t>
            </w:r>
            <w:r>
              <w:rPr>
                <w:spacing w:val="-2"/>
                <w:sz w:val="18"/>
              </w:rPr>
              <w:t>President/Presidency</w:t>
            </w:r>
          </w:p>
        </w:tc>
        <w:tc>
          <w:tcPr>
            <w:tcW w:w="3204" w:type="dxa"/>
            <w:tcBorders>
              <w:top w:val="single" w:sz="4" w:space="0" w:color="000000"/>
              <w:bottom w:val="single" w:sz="4" w:space="0" w:color="000000"/>
            </w:tcBorders>
          </w:tcPr>
          <w:p>
            <w:pPr>
              <w:pStyle w:val="TableParagraph"/>
              <w:numPr>
                <w:ilvl w:val="0"/>
                <w:numId w:val="109"/>
              </w:numPr>
              <w:tabs>
                <w:tab w:pos="226" w:val="left" w:leader="none"/>
              </w:tabs>
              <w:spacing w:line="240" w:lineRule="auto" w:before="63" w:after="0"/>
              <w:ind w:left="225" w:right="0" w:hanging="145"/>
              <w:jc w:val="left"/>
              <w:rPr>
                <w:sz w:val="18"/>
              </w:rPr>
            </w:pPr>
            <w:r>
              <w:rPr>
                <w:sz w:val="18"/>
              </w:rPr>
              <w:t>100+</w:t>
            </w:r>
            <w:r>
              <w:rPr>
                <w:spacing w:val="-1"/>
                <w:sz w:val="18"/>
              </w:rPr>
              <w:t> </w:t>
            </w:r>
            <w:r>
              <w:rPr>
                <w:spacing w:val="-2"/>
                <w:sz w:val="18"/>
              </w:rPr>
              <w:t>meetings</w:t>
            </w:r>
          </w:p>
        </w:tc>
      </w:tr>
      <w:tr>
        <w:trPr>
          <w:trHeight w:val="959" w:hRule="atLeast"/>
        </w:trPr>
        <w:tc>
          <w:tcPr>
            <w:tcW w:w="3270" w:type="dxa"/>
            <w:tcBorders>
              <w:top w:val="single" w:sz="4" w:space="0" w:color="000000"/>
              <w:bottom w:val="single" w:sz="4" w:space="0" w:color="000000"/>
            </w:tcBorders>
          </w:tcPr>
          <w:p>
            <w:pPr>
              <w:pStyle w:val="TableParagraph"/>
              <w:jc w:val="left"/>
              <w:rPr>
                <w:sz w:val="18"/>
              </w:rPr>
            </w:pPr>
          </w:p>
        </w:tc>
        <w:tc>
          <w:tcPr>
            <w:tcW w:w="3227" w:type="dxa"/>
            <w:tcBorders>
              <w:top w:val="single" w:sz="4" w:space="0" w:color="000000"/>
              <w:bottom w:val="single" w:sz="4" w:space="0" w:color="000000"/>
            </w:tcBorders>
          </w:tcPr>
          <w:p>
            <w:pPr>
              <w:pStyle w:val="TableParagraph"/>
              <w:numPr>
                <w:ilvl w:val="0"/>
                <w:numId w:val="110"/>
              </w:numPr>
              <w:tabs>
                <w:tab w:pos="217" w:val="left" w:leader="none"/>
              </w:tabs>
              <w:spacing w:line="240" w:lineRule="auto" w:before="59" w:after="0"/>
              <w:ind w:left="216" w:right="191" w:hanging="144"/>
              <w:jc w:val="left"/>
              <w:rPr>
                <w:sz w:val="18"/>
              </w:rPr>
            </w:pPr>
            <w:r>
              <w:rPr>
                <w:sz w:val="18"/>
              </w:rPr>
              <w:t>Presidency</w:t>
            </w:r>
            <w:r>
              <w:rPr>
                <w:spacing w:val="-11"/>
                <w:sz w:val="18"/>
              </w:rPr>
              <w:t> </w:t>
            </w:r>
            <w:r>
              <w:rPr>
                <w:sz w:val="18"/>
              </w:rPr>
              <w:t>participation</w:t>
            </w:r>
            <w:r>
              <w:rPr>
                <w:spacing w:val="-9"/>
                <w:sz w:val="18"/>
              </w:rPr>
              <w:t> </w:t>
            </w:r>
            <w:r>
              <w:rPr>
                <w:sz w:val="18"/>
              </w:rPr>
              <w:t>in</w:t>
            </w:r>
            <w:r>
              <w:rPr>
                <w:spacing w:val="-12"/>
                <w:sz w:val="18"/>
              </w:rPr>
              <w:t> </w:t>
            </w:r>
            <w:r>
              <w:rPr>
                <w:sz w:val="18"/>
              </w:rPr>
              <w:t>meetings</w:t>
            </w:r>
            <w:r>
              <w:rPr>
                <w:spacing w:val="-9"/>
                <w:sz w:val="18"/>
              </w:rPr>
              <w:t> </w:t>
            </w:r>
            <w:r>
              <w:rPr>
                <w:sz w:val="18"/>
              </w:rPr>
              <w:t>of the Assembly, HWG, SGG and the Committee on Budget and Finance, diplomatic and NGO briefings, etc.</w:t>
            </w:r>
          </w:p>
        </w:tc>
        <w:tc>
          <w:tcPr>
            <w:tcW w:w="3204" w:type="dxa"/>
            <w:tcBorders>
              <w:top w:val="single" w:sz="4" w:space="0" w:color="000000"/>
              <w:bottom w:val="single" w:sz="4" w:space="0" w:color="000000"/>
            </w:tcBorders>
          </w:tcPr>
          <w:p>
            <w:pPr>
              <w:pStyle w:val="TableParagraph"/>
              <w:numPr>
                <w:ilvl w:val="0"/>
                <w:numId w:val="111"/>
              </w:numPr>
              <w:tabs>
                <w:tab w:pos="226" w:val="left" w:leader="none"/>
              </w:tabs>
              <w:spacing w:line="240" w:lineRule="auto" w:before="63" w:after="0"/>
              <w:ind w:left="225" w:right="0" w:hanging="145"/>
              <w:jc w:val="left"/>
              <w:rPr>
                <w:sz w:val="18"/>
              </w:rPr>
            </w:pPr>
            <w:r>
              <w:rPr>
                <w:sz w:val="18"/>
              </w:rPr>
              <w:t>Whenever</w:t>
            </w:r>
            <w:r>
              <w:rPr>
                <w:spacing w:val="-4"/>
                <w:sz w:val="18"/>
              </w:rPr>
              <w:t> </w:t>
            </w:r>
            <w:r>
              <w:rPr>
                <w:spacing w:val="-2"/>
                <w:sz w:val="18"/>
              </w:rPr>
              <w:t>required</w:t>
            </w:r>
          </w:p>
        </w:tc>
      </w:tr>
      <w:tr>
        <w:trPr>
          <w:trHeight w:val="1372" w:hRule="atLeast"/>
        </w:trPr>
        <w:tc>
          <w:tcPr>
            <w:tcW w:w="3270" w:type="dxa"/>
            <w:tcBorders>
              <w:top w:val="single" w:sz="4" w:space="0" w:color="000000"/>
              <w:bottom w:val="single" w:sz="4" w:space="0" w:color="000000"/>
            </w:tcBorders>
          </w:tcPr>
          <w:p>
            <w:pPr>
              <w:pStyle w:val="TableParagraph"/>
              <w:spacing w:before="62"/>
              <w:ind w:left="28" w:right="123"/>
              <w:jc w:val="left"/>
              <w:rPr>
                <w:sz w:val="18"/>
              </w:rPr>
            </w:pPr>
            <w:r>
              <w:rPr>
                <w:sz w:val="18"/>
              </w:rPr>
              <w:t>7.</w:t>
            </w:r>
            <w:r>
              <w:rPr>
                <w:spacing w:val="-8"/>
                <w:sz w:val="18"/>
              </w:rPr>
              <w:t> </w:t>
            </w:r>
            <w:r>
              <w:rPr>
                <w:sz w:val="18"/>
              </w:rPr>
              <w:t>Further</w:t>
            </w:r>
            <w:r>
              <w:rPr>
                <w:spacing w:val="-8"/>
                <w:sz w:val="18"/>
              </w:rPr>
              <w:t> </w:t>
            </w:r>
            <w:r>
              <w:rPr>
                <w:sz w:val="18"/>
              </w:rPr>
              <w:t>accessions</w:t>
            </w:r>
            <w:r>
              <w:rPr>
                <w:spacing w:val="-8"/>
                <w:sz w:val="18"/>
              </w:rPr>
              <w:t> </w:t>
            </w:r>
            <w:r>
              <w:rPr>
                <w:sz w:val="18"/>
              </w:rPr>
              <w:t>to/ratifications</w:t>
            </w:r>
            <w:r>
              <w:rPr>
                <w:spacing w:val="-9"/>
                <w:sz w:val="18"/>
              </w:rPr>
              <w:t> </w:t>
            </w:r>
            <w:r>
              <w:rPr>
                <w:sz w:val="18"/>
              </w:rPr>
              <w:t>of</w:t>
            </w:r>
            <w:r>
              <w:rPr>
                <w:spacing w:val="-8"/>
                <w:sz w:val="18"/>
              </w:rPr>
              <w:t> </w:t>
            </w:r>
            <w:r>
              <w:rPr>
                <w:sz w:val="18"/>
              </w:rPr>
              <w:t>the Rome Statute and the Agreement on Privileges and Immunities (APIC) and enhanced</w:t>
            </w:r>
            <w:r>
              <w:rPr>
                <w:spacing w:val="-5"/>
                <w:sz w:val="18"/>
              </w:rPr>
              <w:t> </w:t>
            </w:r>
            <w:r>
              <w:rPr>
                <w:sz w:val="18"/>
              </w:rPr>
              <w:t>communication</w:t>
            </w:r>
            <w:r>
              <w:rPr>
                <w:spacing w:val="-5"/>
                <w:sz w:val="18"/>
              </w:rPr>
              <w:t> </w:t>
            </w:r>
            <w:r>
              <w:rPr>
                <w:sz w:val="18"/>
              </w:rPr>
              <w:t>and</w:t>
            </w:r>
            <w:r>
              <w:rPr>
                <w:spacing w:val="-5"/>
                <w:sz w:val="18"/>
              </w:rPr>
              <w:t> </w:t>
            </w:r>
            <w:r>
              <w:rPr>
                <w:sz w:val="18"/>
              </w:rPr>
              <w:t>cooperation of non-States Parties with the Court</w:t>
            </w:r>
          </w:p>
        </w:tc>
        <w:tc>
          <w:tcPr>
            <w:tcW w:w="3227" w:type="dxa"/>
            <w:tcBorders>
              <w:top w:val="single" w:sz="4" w:space="0" w:color="000000"/>
              <w:bottom w:val="single" w:sz="4" w:space="0" w:color="000000"/>
            </w:tcBorders>
          </w:tcPr>
          <w:p>
            <w:pPr>
              <w:pStyle w:val="TableParagraph"/>
              <w:numPr>
                <w:ilvl w:val="0"/>
                <w:numId w:val="112"/>
              </w:numPr>
              <w:tabs>
                <w:tab w:pos="217" w:val="left" w:leader="none"/>
              </w:tabs>
              <w:spacing w:line="240" w:lineRule="auto" w:before="59" w:after="0"/>
              <w:ind w:left="216" w:right="81" w:hanging="144"/>
              <w:jc w:val="left"/>
              <w:rPr>
                <w:sz w:val="18"/>
              </w:rPr>
            </w:pPr>
            <w:r>
              <w:rPr>
                <w:sz w:val="18"/>
              </w:rPr>
              <w:t>Coordinate efforts with other stakeholders to draw attention to the importance</w:t>
            </w:r>
            <w:r>
              <w:rPr>
                <w:spacing w:val="-8"/>
                <w:sz w:val="18"/>
              </w:rPr>
              <w:t> </w:t>
            </w:r>
            <w:r>
              <w:rPr>
                <w:sz w:val="18"/>
              </w:rPr>
              <w:t>of</w:t>
            </w:r>
            <w:r>
              <w:rPr>
                <w:spacing w:val="-8"/>
                <w:sz w:val="18"/>
              </w:rPr>
              <w:t> </w:t>
            </w:r>
            <w:r>
              <w:rPr>
                <w:sz w:val="18"/>
              </w:rPr>
              <w:t>universality</w:t>
            </w:r>
            <w:r>
              <w:rPr>
                <w:spacing w:val="-8"/>
                <w:sz w:val="18"/>
              </w:rPr>
              <w:t> </w:t>
            </w:r>
            <w:r>
              <w:rPr>
                <w:sz w:val="18"/>
              </w:rPr>
              <w:t>and</w:t>
            </w:r>
            <w:r>
              <w:rPr>
                <w:spacing w:val="-8"/>
                <w:sz w:val="18"/>
              </w:rPr>
              <w:t> </w:t>
            </w:r>
            <w:r>
              <w:rPr>
                <w:sz w:val="18"/>
              </w:rPr>
              <w:t>the</w:t>
            </w:r>
            <w:r>
              <w:rPr>
                <w:spacing w:val="-4"/>
                <w:sz w:val="18"/>
              </w:rPr>
              <w:t> </w:t>
            </w:r>
            <w:r>
              <w:rPr>
                <w:sz w:val="18"/>
              </w:rPr>
              <w:t>APIC and to encourage States that have not ratified the Rome Statute and APIC to do so</w:t>
            </w:r>
          </w:p>
        </w:tc>
        <w:tc>
          <w:tcPr>
            <w:tcW w:w="3204" w:type="dxa"/>
            <w:tcBorders>
              <w:top w:val="single" w:sz="4" w:space="0" w:color="000000"/>
              <w:bottom w:val="single" w:sz="4" w:space="0" w:color="000000"/>
            </w:tcBorders>
          </w:tcPr>
          <w:p>
            <w:pPr>
              <w:pStyle w:val="TableParagraph"/>
              <w:numPr>
                <w:ilvl w:val="0"/>
                <w:numId w:val="113"/>
              </w:numPr>
              <w:tabs>
                <w:tab w:pos="226" w:val="left" w:leader="none"/>
              </w:tabs>
              <w:spacing w:line="240" w:lineRule="auto" w:before="59" w:after="0"/>
              <w:ind w:left="225" w:right="335" w:hanging="144"/>
              <w:jc w:val="left"/>
              <w:rPr>
                <w:sz w:val="18"/>
              </w:rPr>
            </w:pPr>
            <w:r>
              <w:rPr>
                <w:sz w:val="18"/>
              </w:rPr>
              <w:t>1</w:t>
            </w:r>
            <w:r>
              <w:rPr>
                <w:spacing w:val="-3"/>
                <w:sz w:val="18"/>
              </w:rPr>
              <w:t> </w:t>
            </w:r>
            <w:r>
              <w:rPr>
                <w:sz w:val="18"/>
              </w:rPr>
              <w:t>new</w:t>
            </w:r>
            <w:r>
              <w:rPr>
                <w:spacing w:val="-9"/>
                <w:sz w:val="18"/>
              </w:rPr>
              <w:t> </w:t>
            </w:r>
            <w:r>
              <w:rPr>
                <w:sz w:val="18"/>
              </w:rPr>
              <w:t>accession</w:t>
            </w:r>
            <w:r>
              <w:rPr>
                <w:spacing w:val="-11"/>
                <w:sz w:val="18"/>
              </w:rPr>
              <w:t> </w:t>
            </w:r>
            <w:r>
              <w:rPr>
                <w:sz w:val="18"/>
              </w:rPr>
              <w:t>to</w:t>
            </w:r>
            <w:r>
              <w:rPr>
                <w:spacing w:val="-7"/>
                <w:sz w:val="18"/>
              </w:rPr>
              <w:t> </w:t>
            </w:r>
            <w:r>
              <w:rPr>
                <w:sz w:val="18"/>
              </w:rPr>
              <w:t>the</w:t>
            </w:r>
            <w:r>
              <w:rPr>
                <w:spacing w:val="-2"/>
                <w:sz w:val="18"/>
              </w:rPr>
              <w:t> </w:t>
            </w:r>
            <w:r>
              <w:rPr>
                <w:sz w:val="18"/>
              </w:rPr>
              <w:t>Rome</w:t>
            </w:r>
            <w:r>
              <w:rPr>
                <w:spacing w:val="-7"/>
                <w:sz w:val="18"/>
              </w:rPr>
              <w:t> </w:t>
            </w:r>
            <w:r>
              <w:rPr>
                <w:sz w:val="18"/>
              </w:rPr>
              <w:t>Statute and 1 to APIC</w:t>
            </w:r>
          </w:p>
        </w:tc>
      </w:tr>
    </w:tbl>
    <w:p>
      <w:pPr>
        <w:spacing w:after="0" w:line="240" w:lineRule="auto"/>
        <w:jc w:val="left"/>
        <w:rPr>
          <w:sz w:val="18"/>
        </w:rPr>
        <w:sectPr>
          <w:pgSz w:w="11910" w:h="16840"/>
          <w:pgMar w:header="953" w:footer="940" w:top="1140" w:bottom="1240" w:left="20" w:right="20"/>
        </w:sectPr>
      </w:pPr>
    </w:p>
    <w:tbl>
      <w:tblPr>
        <w:tblW w:w="0" w:type="auto"/>
        <w:jc w:val="left"/>
        <w:tblInd w:w="1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67"/>
        <w:gridCol w:w="3225"/>
        <w:gridCol w:w="3207"/>
      </w:tblGrid>
      <w:tr>
        <w:trPr>
          <w:trHeight w:val="119" w:hRule="atLeast"/>
        </w:trPr>
        <w:tc>
          <w:tcPr>
            <w:tcW w:w="3267" w:type="dxa"/>
            <w:tcBorders>
              <w:top w:val="single" w:sz="2" w:space="0" w:color="000000"/>
              <w:bottom w:val="single" w:sz="4" w:space="0" w:color="000000"/>
            </w:tcBorders>
          </w:tcPr>
          <w:p>
            <w:pPr>
              <w:pStyle w:val="TableParagraph"/>
              <w:jc w:val="left"/>
              <w:rPr>
                <w:sz w:val="6"/>
              </w:rPr>
            </w:pPr>
          </w:p>
        </w:tc>
        <w:tc>
          <w:tcPr>
            <w:tcW w:w="3225" w:type="dxa"/>
            <w:tcBorders>
              <w:top w:val="single" w:sz="2" w:space="0" w:color="000000"/>
              <w:bottom w:val="single" w:sz="4" w:space="0" w:color="000000"/>
            </w:tcBorders>
          </w:tcPr>
          <w:p>
            <w:pPr>
              <w:pStyle w:val="TableParagraph"/>
              <w:jc w:val="left"/>
              <w:rPr>
                <w:sz w:val="6"/>
              </w:rPr>
            </w:pPr>
          </w:p>
        </w:tc>
        <w:tc>
          <w:tcPr>
            <w:tcW w:w="3207" w:type="dxa"/>
            <w:tcBorders>
              <w:top w:val="single" w:sz="2" w:space="0" w:color="000000"/>
              <w:bottom w:val="single" w:sz="4" w:space="0" w:color="000000"/>
            </w:tcBorders>
          </w:tcPr>
          <w:p>
            <w:pPr>
              <w:pStyle w:val="TableParagraph"/>
              <w:jc w:val="left"/>
              <w:rPr>
                <w:sz w:val="6"/>
              </w:rPr>
            </w:pPr>
          </w:p>
        </w:tc>
      </w:tr>
      <w:tr>
        <w:trPr>
          <w:trHeight w:val="330" w:hRule="atLeast"/>
        </w:trPr>
        <w:tc>
          <w:tcPr>
            <w:tcW w:w="3267" w:type="dxa"/>
            <w:tcBorders>
              <w:top w:val="single" w:sz="4" w:space="0" w:color="000000"/>
              <w:bottom w:val="single" w:sz="4" w:space="0" w:color="000000"/>
            </w:tcBorders>
          </w:tcPr>
          <w:p>
            <w:pPr>
              <w:pStyle w:val="TableParagraph"/>
              <w:spacing w:before="64"/>
              <w:ind w:left="1022"/>
              <w:jc w:val="left"/>
              <w:rPr>
                <w:i/>
                <w:sz w:val="18"/>
              </w:rPr>
            </w:pPr>
            <w:r>
              <w:rPr>
                <w:i/>
                <w:sz w:val="18"/>
              </w:rPr>
              <w:t>Expected</w:t>
            </w:r>
            <w:r>
              <w:rPr>
                <w:i/>
                <w:spacing w:val="-7"/>
                <w:sz w:val="18"/>
              </w:rPr>
              <w:t> </w:t>
            </w:r>
            <w:r>
              <w:rPr>
                <w:i/>
                <w:spacing w:val="-2"/>
                <w:sz w:val="18"/>
              </w:rPr>
              <w:t>results</w:t>
            </w:r>
          </w:p>
        </w:tc>
        <w:tc>
          <w:tcPr>
            <w:tcW w:w="3225" w:type="dxa"/>
            <w:tcBorders>
              <w:top w:val="single" w:sz="4" w:space="0" w:color="000000"/>
              <w:bottom w:val="single" w:sz="4" w:space="0" w:color="000000"/>
            </w:tcBorders>
          </w:tcPr>
          <w:p>
            <w:pPr>
              <w:pStyle w:val="TableParagraph"/>
              <w:spacing w:before="64"/>
              <w:ind w:left="761"/>
              <w:jc w:val="left"/>
              <w:rPr>
                <w:i/>
                <w:sz w:val="18"/>
              </w:rPr>
            </w:pPr>
            <w:r>
              <w:rPr>
                <w:i/>
                <w:sz w:val="18"/>
              </w:rPr>
              <w:t>Performance</w:t>
            </w:r>
            <w:r>
              <w:rPr>
                <w:i/>
                <w:spacing w:val="-5"/>
                <w:sz w:val="18"/>
              </w:rPr>
              <w:t> </w:t>
            </w:r>
            <w:r>
              <w:rPr>
                <w:i/>
                <w:spacing w:val="-2"/>
                <w:sz w:val="18"/>
              </w:rPr>
              <w:t>indicators</w:t>
            </w:r>
          </w:p>
        </w:tc>
        <w:tc>
          <w:tcPr>
            <w:tcW w:w="3207" w:type="dxa"/>
            <w:tcBorders>
              <w:top w:val="single" w:sz="4" w:space="0" w:color="000000"/>
              <w:bottom w:val="single" w:sz="4" w:space="0" w:color="000000"/>
            </w:tcBorders>
          </w:tcPr>
          <w:p>
            <w:pPr>
              <w:pStyle w:val="TableParagraph"/>
              <w:spacing w:before="64"/>
              <w:ind w:left="1180" w:right="1118"/>
              <w:jc w:val="center"/>
              <w:rPr>
                <w:i/>
                <w:sz w:val="18"/>
              </w:rPr>
            </w:pPr>
            <w:r>
              <w:rPr>
                <w:i/>
                <w:sz w:val="18"/>
              </w:rPr>
              <w:t>Target</w:t>
            </w:r>
            <w:r>
              <w:rPr>
                <w:i/>
                <w:spacing w:val="-2"/>
                <w:sz w:val="18"/>
              </w:rPr>
              <w:t> </w:t>
            </w:r>
            <w:r>
              <w:rPr>
                <w:i/>
                <w:spacing w:val="-4"/>
                <w:sz w:val="18"/>
              </w:rPr>
              <w:t>2023</w:t>
            </w:r>
          </w:p>
        </w:tc>
      </w:tr>
      <w:tr>
        <w:trPr>
          <w:trHeight w:val="546" w:hRule="atLeast"/>
        </w:trPr>
        <w:tc>
          <w:tcPr>
            <w:tcW w:w="3267" w:type="dxa"/>
            <w:tcBorders>
              <w:top w:val="single" w:sz="4" w:space="0" w:color="000000"/>
              <w:bottom w:val="single" w:sz="4" w:space="0" w:color="000000"/>
            </w:tcBorders>
          </w:tcPr>
          <w:p>
            <w:pPr>
              <w:pStyle w:val="TableParagraph"/>
              <w:spacing w:before="54"/>
              <w:ind w:left="28"/>
              <w:jc w:val="left"/>
              <w:rPr>
                <w:sz w:val="18"/>
              </w:rPr>
            </w:pPr>
            <w:r>
              <w:rPr>
                <w:sz w:val="18"/>
              </w:rPr>
              <w:t>8. Conclusion of further sentence enforcement</w:t>
            </w:r>
            <w:r>
              <w:rPr>
                <w:spacing w:val="-12"/>
                <w:sz w:val="18"/>
              </w:rPr>
              <w:t> </w:t>
            </w:r>
            <w:r>
              <w:rPr>
                <w:sz w:val="18"/>
              </w:rPr>
              <w:t>agreements</w:t>
            </w:r>
            <w:r>
              <w:rPr>
                <w:spacing w:val="-11"/>
                <w:sz w:val="18"/>
              </w:rPr>
              <w:t> </w:t>
            </w:r>
            <w:r>
              <w:rPr>
                <w:sz w:val="18"/>
              </w:rPr>
              <w:t>with</w:t>
            </w:r>
            <w:r>
              <w:rPr>
                <w:spacing w:val="-11"/>
                <w:sz w:val="18"/>
              </w:rPr>
              <w:t> </w:t>
            </w:r>
            <w:r>
              <w:rPr>
                <w:sz w:val="18"/>
              </w:rPr>
              <w:t>States</w:t>
            </w:r>
          </w:p>
        </w:tc>
        <w:tc>
          <w:tcPr>
            <w:tcW w:w="3225" w:type="dxa"/>
            <w:tcBorders>
              <w:top w:val="single" w:sz="4" w:space="0" w:color="000000"/>
              <w:bottom w:val="single" w:sz="4" w:space="0" w:color="000000"/>
            </w:tcBorders>
          </w:tcPr>
          <w:p>
            <w:pPr>
              <w:pStyle w:val="TableParagraph"/>
              <w:numPr>
                <w:ilvl w:val="0"/>
                <w:numId w:val="114"/>
              </w:numPr>
              <w:tabs>
                <w:tab w:pos="220" w:val="left" w:leader="none"/>
              </w:tabs>
              <w:spacing w:line="240" w:lineRule="auto" w:before="55" w:after="0"/>
              <w:ind w:left="219" w:right="545" w:hanging="144"/>
              <w:jc w:val="left"/>
              <w:rPr>
                <w:sz w:val="18"/>
              </w:rPr>
            </w:pPr>
            <w:r>
              <w:rPr>
                <w:sz w:val="18"/>
              </w:rPr>
              <w:t>Sentence</w:t>
            </w:r>
            <w:r>
              <w:rPr>
                <w:spacing w:val="-12"/>
                <w:sz w:val="18"/>
              </w:rPr>
              <w:t> </w:t>
            </w:r>
            <w:r>
              <w:rPr>
                <w:sz w:val="18"/>
              </w:rPr>
              <w:t>enforcement</w:t>
            </w:r>
            <w:r>
              <w:rPr>
                <w:spacing w:val="-11"/>
                <w:sz w:val="18"/>
              </w:rPr>
              <w:t> </w:t>
            </w:r>
            <w:r>
              <w:rPr>
                <w:sz w:val="18"/>
              </w:rPr>
              <w:t>agreements </w:t>
            </w:r>
            <w:r>
              <w:rPr>
                <w:spacing w:val="-2"/>
                <w:sz w:val="18"/>
              </w:rPr>
              <w:t>concluded</w:t>
            </w:r>
          </w:p>
        </w:tc>
        <w:tc>
          <w:tcPr>
            <w:tcW w:w="3207" w:type="dxa"/>
            <w:tcBorders>
              <w:top w:val="single" w:sz="4" w:space="0" w:color="000000"/>
              <w:bottom w:val="single" w:sz="4" w:space="0" w:color="000000"/>
            </w:tcBorders>
          </w:tcPr>
          <w:p>
            <w:pPr>
              <w:pStyle w:val="TableParagraph"/>
              <w:numPr>
                <w:ilvl w:val="0"/>
                <w:numId w:val="115"/>
              </w:numPr>
              <w:tabs>
                <w:tab w:pos="231" w:val="left" w:leader="none"/>
              </w:tabs>
              <w:spacing w:line="240" w:lineRule="auto" w:before="60" w:after="0"/>
              <w:ind w:left="230" w:right="0" w:hanging="145"/>
              <w:jc w:val="left"/>
              <w:rPr>
                <w:sz w:val="18"/>
              </w:rPr>
            </w:pPr>
            <w:r>
              <w:rPr>
                <w:w w:val="101"/>
                <w:sz w:val="18"/>
              </w:rPr>
              <w:t>1</w:t>
            </w:r>
            <w:r>
              <w:rPr>
                <w:sz w:val="18"/>
              </w:rPr>
            </w:r>
          </w:p>
        </w:tc>
      </w:tr>
      <w:tr>
        <w:trPr>
          <w:trHeight w:val="326" w:hRule="atLeast"/>
        </w:trPr>
        <w:tc>
          <w:tcPr>
            <w:tcW w:w="3267" w:type="dxa"/>
            <w:tcBorders>
              <w:top w:val="single" w:sz="4" w:space="0" w:color="000000"/>
              <w:bottom w:val="single" w:sz="4" w:space="0" w:color="000000"/>
            </w:tcBorders>
          </w:tcPr>
          <w:p>
            <w:pPr>
              <w:pStyle w:val="TableParagraph"/>
              <w:spacing w:before="59"/>
              <w:ind w:left="28"/>
              <w:jc w:val="left"/>
              <w:rPr>
                <w:b/>
                <w:sz w:val="18"/>
              </w:rPr>
            </w:pPr>
            <w:r>
              <w:rPr>
                <w:b/>
                <w:sz w:val="18"/>
              </w:rPr>
              <w:t>Objectives</w:t>
            </w:r>
            <w:r>
              <w:rPr>
                <w:b/>
                <w:spacing w:val="-5"/>
                <w:sz w:val="18"/>
              </w:rPr>
              <w:t> </w:t>
            </w:r>
            <w:r>
              <w:rPr>
                <w:b/>
                <w:sz w:val="18"/>
              </w:rPr>
              <w:t>9-11</w:t>
            </w:r>
            <w:r>
              <w:rPr>
                <w:b/>
                <w:spacing w:val="-4"/>
                <w:sz w:val="18"/>
              </w:rPr>
              <w:t> </w:t>
            </w:r>
            <w:r>
              <w:rPr>
                <w:b/>
                <w:sz w:val="18"/>
              </w:rPr>
              <w:t>(Strategic</w:t>
            </w:r>
            <w:r>
              <w:rPr>
                <w:b/>
                <w:spacing w:val="-4"/>
                <w:sz w:val="18"/>
              </w:rPr>
              <w:t> </w:t>
            </w:r>
            <w:r>
              <w:rPr>
                <w:b/>
                <w:sz w:val="18"/>
              </w:rPr>
              <w:t>Goals</w:t>
            </w:r>
            <w:r>
              <w:rPr>
                <w:b/>
                <w:spacing w:val="-4"/>
                <w:sz w:val="18"/>
              </w:rPr>
              <w:t> </w:t>
            </w:r>
            <w:r>
              <w:rPr>
                <w:b/>
                <w:sz w:val="18"/>
              </w:rPr>
              <w:t>6-</w:t>
            </w:r>
            <w:r>
              <w:rPr>
                <w:b/>
                <w:spacing w:val="-5"/>
                <w:sz w:val="18"/>
              </w:rPr>
              <w:t>9)</w:t>
            </w:r>
          </w:p>
        </w:tc>
        <w:tc>
          <w:tcPr>
            <w:tcW w:w="3225" w:type="dxa"/>
            <w:tcBorders>
              <w:top w:val="single" w:sz="4" w:space="0" w:color="000000"/>
              <w:bottom w:val="single" w:sz="4" w:space="0" w:color="000000"/>
            </w:tcBorders>
          </w:tcPr>
          <w:p>
            <w:pPr>
              <w:pStyle w:val="TableParagraph"/>
              <w:jc w:val="left"/>
              <w:rPr>
                <w:sz w:val="18"/>
              </w:rPr>
            </w:pPr>
          </w:p>
        </w:tc>
        <w:tc>
          <w:tcPr>
            <w:tcW w:w="3207" w:type="dxa"/>
            <w:tcBorders>
              <w:top w:val="single" w:sz="4" w:space="0" w:color="000000"/>
              <w:bottom w:val="single" w:sz="4" w:space="0" w:color="000000"/>
            </w:tcBorders>
          </w:tcPr>
          <w:p>
            <w:pPr>
              <w:pStyle w:val="TableParagraph"/>
              <w:jc w:val="left"/>
              <w:rPr>
                <w:sz w:val="18"/>
              </w:rPr>
            </w:pPr>
          </w:p>
        </w:tc>
      </w:tr>
      <w:tr>
        <w:trPr>
          <w:trHeight w:val="960" w:hRule="atLeast"/>
        </w:trPr>
        <w:tc>
          <w:tcPr>
            <w:tcW w:w="3267" w:type="dxa"/>
            <w:tcBorders>
              <w:top w:val="single" w:sz="4" w:space="0" w:color="000000"/>
              <w:bottom w:val="single" w:sz="4" w:space="0" w:color="000000"/>
            </w:tcBorders>
          </w:tcPr>
          <w:p>
            <w:pPr>
              <w:pStyle w:val="TableParagraph"/>
              <w:spacing w:before="59"/>
              <w:ind w:left="28"/>
              <w:jc w:val="left"/>
              <w:rPr>
                <w:sz w:val="18"/>
              </w:rPr>
            </w:pPr>
            <w:r>
              <w:rPr>
                <w:sz w:val="18"/>
              </w:rPr>
              <w:t>9.</w:t>
            </w:r>
            <w:r>
              <w:rPr>
                <w:spacing w:val="-7"/>
                <w:sz w:val="18"/>
              </w:rPr>
              <w:t> </w:t>
            </w:r>
            <w:r>
              <w:rPr>
                <w:sz w:val="18"/>
              </w:rPr>
              <w:t>Further</w:t>
            </w:r>
            <w:r>
              <w:rPr>
                <w:spacing w:val="-8"/>
                <w:sz w:val="18"/>
              </w:rPr>
              <w:t> </w:t>
            </w:r>
            <w:r>
              <w:rPr>
                <w:sz w:val="18"/>
              </w:rPr>
              <w:t>improve</w:t>
            </w:r>
            <w:r>
              <w:rPr>
                <w:spacing w:val="-9"/>
                <w:sz w:val="18"/>
              </w:rPr>
              <w:t> </w:t>
            </w:r>
            <w:r>
              <w:rPr>
                <w:sz w:val="18"/>
              </w:rPr>
              <w:t>management</w:t>
            </w:r>
            <w:r>
              <w:rPr>
                <w:spacing w:val="-7"/>
                <w:sz w:val="18"/>
              </w:rPr>
              <w:t> </w:t>
            </w:r>
            <w:r>
              <w:rPr>
                <w:sz w:val="18"/>
              </w:rPr>
              <w:t>of</w:t>
            </w:r>
            <w:r>
              <w:rPr>
                <w:spacing w:val="-8"/>
                <w:sz w:val="18"/>
              </w:rPr>
              <w:t> </w:t>
            </w:r>
            <w:r>
              <w:rPr>
                <w:sz w:val="18"/>
              </w:rPr>
              <w:t>staff </w:t>
            </w:r>
            <w:r>
              <w:rPr>
                <w:spacing w:val="-2"/>
                <w:sz w:val="18"/>
              </w:rPr>
              <w:t>performance</w:t>
            </w:r>
          </w:p>
        </w:tc>
        <w:tc>
          <w:tcPr>
            <w:tcW w:w="3225" w:type="dxa"/>
            <w:tcBorders>
              <w:top w:val="single" w:sz="4" w:space="0" w:color="000000"/>
              <w:bottom w:val="single" w:sz="4" w:space="0" w:color="000000"/>
            </w:tcBorders>
          </w:tcPr>
          <w:p>
            <w:pPr>
              <w:pStyle w:val="TableParagraph"/>
              <w:numPr>
                <w:ilvl w:val="0"/>
                <w:numId w:val="116"/>
              </w:numPr>
              <w:tabs>
                <w:tab w:pos="220" w:val="left" w:leader="none"/>
              </w:tabs>
              <w:spacing w:line="240" w:lineRule="auto" w:before="56" w:after="0"/>
              <w:ind w:left="219" w:right="83" w:hanging="144"/>
              <w:jc w:val="left"/>
              <w:rPr>
                <w:sz w:val="18"/>
              </w:rPr>
            </w:pPr>
            <w:r>
              <w:rPr>
                <w:sz w:val="18"/>
              </w:rPr>
              <w:t>Full MP-I compliance with the Court’s performance</w:t>
            </w:r>
            <w:r>
              <w:rPr>
                <w:spacing w:val="-12"/>
                <w:sz w:val="18"/>
              </w:rPr>
              <w:t> </w:t>
            </w:r>
            <w:r>
              <w:rPr>
                <w:sz w:val="18"/>
              </w:rPr>
              <w:t>appraisal</w:t>
            </w:r>
            <w:r>
              <w:rPr>
                <w:spacing w:val="-11"/>
                <w:sz w:val="18"/>
              </w:rPr>
              <w:t> </w:t>
            </w:r>
            <w:r>
              <w:rPr>
                <w:sz w:val="18"/>
              </w:rPr>
              <w:t>system,</w:t>
            </w:r>
            <w:r>
              <w:rPr>
                <w:spacing w:val="-11"/>
                <w:sz w:val="18"/>
              </w:rPr>
              <w:t> </w:t>
            </w:r>
            <w:r>
              <w:rPr>
                <w:sz w:val="18"/>
              </w:rPr>
              <w:t>including appropriate input from line managers and judges</w:t>
            </w:r>
          </w:p>
        </w:tc>
        <w:tc>
          <w:tcPr>
            <w:tcW w:w="3207" w:type="dxa"/>
            <w:tcBorders>
              <w:top w:val="single" w:sz="4" w:space="0" w:color="000000"/>
              <w:bottom w:val="single" w:sz="4" w:space="0" w:color="000000"/>
            </w:tcBorders>
          </w:tcPr>
          <w:p>
            <w:pPr>
              <w:pStyle w:val="TableParagraph"/>
              <w:spacing w:before="3"/>
              <w:jc w:val="left"/>
              <w:rPr>
                <w:b/>
                <w:sz w:val="28"/>
              </w:rPr>
            </w:pPr>
          </w:p>
          <w:p>
            <w:pPr>
              <w:pStyle w:val="TableParagraph"/>
              <w:numPr>
                <w:ilvl w:val="0"/>
                <w:numId w:val="117"/>
              </w:numPr>
              <w:tabs>
                <w:tab w:pos="231" w:val="left" w:leader="none"/>
              </w:tabs>
              <w:spacing w:line="240" w:lineRule="auto" w:before="0" w:after="0"/>
              <w:ind w:left="230" w:right="0" w:hanging="145"/>
              <w:jc w:val="left"/>
              <w:rPr>
                <w:sz w:val="18"/>
              </w:rPr>
            </w:pPr>
            <w:r>
              <w:rPr>
                <w:spacing w:val="-4"/>
                <w:sz w:val="18"/>
              </w:rPr>
              <w:t>100%</w:t>
            </w:r>
          </w:p>
        </w:tc>
      </w:tr>
      <w:tr>
        <w:trPr>
          <w:trHeight w:val="753" w:hRule="atLeast"/>
        </w:trPr>
        <w:tc>
          <w:tcPr>
            <w:tcW w:w="3267" w:type="dxa"/>
            <w:tcBorders>
              <w:top w:val="single" w:sz="4" w:space="0" w:color="000000"/>
              <w:bottom w:val="single" w:sz="4" w:space="0" w:color="000000"/>
            </w:tcBorders>
          </w:tcPr>
          <w:p>
            <w:pPr>
              <w:pStyle w:val="TableParagraph"/>
              <w:jc w:val="left"/>
              <w:rPr>
                <w:sz w:val="18"/>
              </w:rPr>
            </w:pPr>
          </w:p>
        </w:tc>
        <w:tc>
          <w:tcPr>
            <w:tcW w:w="3225" w:type="dxa"/>
            <w:tcBorders>
              <w:top w:val="single" w:sz="4" w:space="0" w:color="000000"/>
              <w:bottom w:val="single" w:sz="4" w:space="0" w:color="000000"/>
            </w:tcBorders>
          </w:tcPr>
          <w:p>
            <w:pPr>
              <w:pStyle w:val="TableParagraph"/>
              <w:numPr>
                <w:ilvl w:val="0"/>
                <w:numId w:val="118"/>
              </w:numPr>
              <w:tabs>
                <w:tab w:pos="220" w:val="left" w:leader="none"/>
              </w:tabs>
              <w:spacing w:line="242" w:lineRule="auto" w:before="55" w:after="0"/>
              <w:ind w:left="219" w:right="191" w:hanging="144"/>
              <w:jc w:val="left"/>
              <w:rPr>
                <w:sz w:val="18"/>
              </w:rPr>
            </w:pPr>
            <w:r>
              <w:rPr>
                <w:sz w:val="18"/>
              </w:rPr>
              <w:t>Provision of requested reports and information</w:t>
            </w:r>
            <w:r>
              <w:rPr>
                <w:spacing w:val="-8"/>
                <w:sz w:val="18"/>
              </w:rPr>
              <w:t> </w:t>
            </w:r>
            <w:r>
              <w:rPr>
                <w:sz w:val="18"/>
              </w:rPr>
              <w:t>in</w:t>
            </w:r>
            <w:r>
              <w:rPr>
                <w:spacing w:val="-8"/>
                <w:sz w:val="18"/>
              </w:rPr>
              <w:t> </w:t>
            </w:r>
            <w:r>
              <w:rPr>
                <w:sz w:val="18"/>
              </w:rPr>
              <w:t>a</w:t>
            </w:r>
            <w:r>
              <w:rPr>
                <w:spacing w:val="-11"/>
                <w:sz w:val="18"/>
              </w:rPr>
              <w:t> </w:t>
            </w:r>
            <w:r>
              <w:rPr>
                <w:sz w:val="18"/>
              </w:rPr>
              <w:t>timely</w:t>
            </w:r>
            <w:r>
              <w:rPr>
                <w:spacing w:val="-8"/>
                <w:sz w:val="18"/>
              </w:rPr>
              <w:t> </w:t>
            </w:r>
            <w:r>
              <w:rPr>
                <w:sz w:val="18"/>
              </w:rPr>
              <w:t>and</w:t>
            </w:r>
            <w:r>
              <w:rPr>
                <w:spacing w:val="-8"/>
                <w:sz w:val="18"/>
              </w:rPr>
              <w:t> </w:t>
            </w:r>
            <w:r>
              <w:rPr>
                <w:sz w:val="18"/>
              </w:rPr>
              <w:t>transparent </w:t>
            </w:r>
            <w:r>
              <w:rPr>
                <w:spacing w:val="-2"/>
                <w:sz w:val="18"/>
              </w:rPr>
              <w:t>manner</w:t>
            </w:r>
          </w:p>
        </w:tc>
        <w:tc>
          <w:tcPr>
            <w:tcW w:w="3207" w:type="dxa"/>
            <w:tcBorders>
              <w:top w:val="single" w:sz="4" w:space="0" w:color="000000"/>
              <w:bottom w:val="single" w:sz="4" w:space="0" w:color="000000"/>
            </w:tcBorders>
          </w:tcPr>
          <w:p>
            <w:pPr>
              <w:pStyle w:val="TableParagraph"/>
              <w:numPr>
                <w:ilvl w:val="0"/>
                <w:numId w:val="119"/>
              </w:numPr>
              <w:tabs>
                <w:tab w:pos="231" w:val="left" w:leader="none"/>
              </w:tabs>
              <w:spacing w:line="240" w:lineRule="auto" w:before="60" w:after="0"/>
              <w:ind w:left="230" w:right="0" w:hanging="145"/>
              <w:jc w:val="left"/>
              <w:rPr>
                <w:sz w:val="18"/>
              </w:rPr>
            </w:pPr>
            <w:r>
              <w:rPr>
                <w:spacing w:val="-4"/>
                <w:sz w:val="18"/>
              </w:rPr>
              <w:t>100%</w:t>
            </w:r>
          </w:p>
        </w:tc>
      </w:tr>
      <w:tr>
        <w:trPr>
          <w:trHeight w:val="1243" w:hRule="atLeast"/>
        </w:trPr>
        <w:tc>
          <w:tcPr>
            <w:tcW w:w="3267" w:type="dxa"/>
            <w:tcBorders>
              <w:top w:val="single" w:sz="4" w:space="0" w:color="000000"/>
              <w:bottom w:val="single" w:sz="4" w:space="0" w:color="000000"/>
            </w:tcBorders>
          </w:tcPr>
          <w:p>
            <w:pPr>
              <w:pStyle w:val="TableParagraph"/>
              <w:spacing w:before="59"/>
              <w:ind w:left="28" w:right="431"/>
              <w:jc w:val="both"/>
              <w:rPr>
                <w:sz w:val="18"/>
              </w:rPr>
            </w:pPr>
            <w:r>
              <w:rPr>
                <w:sz w:val="18"/>
              </w:rPr>
              <w:t>10.</w:t>
            </w:r>
            <w:r>
              <w:rPr>
                <w:spacing w:val="-6"/>
                <w:sz w:val="18"/>
              </w:rPr>
              <w:t> </w:t>
            </w:r>
            <w:r>
              <w:rPr>
                <w:sz w:val="18"/>
              </w:rPr>
              <w:t>Support</w:t>
            </w:r>
            <w:r>
              <w:rPr>
                <w:spacing w:val="-6"/>
                <w:sz w:val="18"/>
              </w:rPr>
              <w:t> </w:t>
            </w:r>
            <w:r>
              <w:rPr>
                <w:sz w:val="18"/>
              </w:rPr>
              <w:t>the</w:t>
            </w:r>
            <w:r>
              <w:rPr>
                <w:spacing w:val="-8"/>
                <w:sz w:val="18"/>
              </w:rPr>
              <w:t> </w:t>
            </w:r>
            <w:r>
              <w:rPr>
                <w:sz w:val="18"/>
              </w:rPr>
              <w:t>arrival</w:t>
            </w:r>
            <w:r>
              <w:rPr>
                <w:spacing w:val="-6"/>
                <w:sz w:val="18"/>
              </w:rPr>
              <w:t> </w:t>
            </w:r>
            <w:r>
              <w:rPr>
                <w:sz w:val="18"/>
              </w:rPr>
              <w:t>of</w:t>
            </w:r>
            <w:r>
              <w:rPr>
                <w:spacing w:val="-7"/>
                <w:sz w:val="18"/>
              </w:rPr>
              <w:t> </w:t>
            </w:r>
            <w:r>
              <w:rPr>
                <w:sz w:val="18"/>
              </w:rPr>
              <w:t>the</w:t>
            </w:r>
            <w:r>
              <w:rPr>
                <w:spacing w:val="-8"/>
                <w:sz w:val="18"/>
              </w:rPr>
              <w:t> </w:t>
            </w:r>
            <w:r>
              <w:rPr>
                <w:sz w:val="18"/>
              </w:rPr>
              <w:t>incoming judges</w:t>
            </w:r>
            <w:r>
              <w:rPr>
                <w:spacing w:val="-1"/>
                <w:sz w:val="18"/>
              </w:rPr>
              <w:t> </w:t>
            </w:r>
            <w:r>
              <w:rPr>
                <w:sz w:val="18"/>
              </w:rPr>
              <w:t>and corresponding</w:t>
            </w:r>
            <w:r>
              <w:rPr>
                <w:spacing w:val="-1"/>
                <w:sz w:val="18"/>
              </w:rPr>
              <w:t> </w:t>
            </w:r>
            <w:r>
              <w:rPr>
                <w:sz w:val="18"/>
              </w:rPr>
              <w:t>departure</w:t>
            </w:r>
            <w:r>
              <w:rPr>
                <w:spacing w:val="-1"/>
                <w:sz w:val="18"/>
              </w:rPr>
              <w:t> </w:t>
            </w:r>
            <w:r>
              <w:rPr>
                <w:sz w:val="18"/>
              </w:rPr>
              <w:t>of outgoing judges.</w:t>
            </w:r>
          </w:p>
        </w:tc>
        <w:tc>
          <w:tcPr>
            <w:tcW w:w="3225" w:type="dxa"/>
            <w:tcBorders>
              <w:top w:val="single" w:sz="4" w:space="0" w:color="000000"/>
              <w:bottom w:val="single" w:sz="4" w:space="0" w:color="000000"/>
            </w:tcBorders>
          </w:tcPr>
          <w:p>
            <w:pPr>
              <w:pStyle w:val="TableParagraph"/>
              <w:numPr>
                <w:ilvl w:val="0"/>
                <w:numId w:val="120"/>
              </w:numPr>
              <w:tabs>
                <w:tab w:pos="220" w:val="left" w:leader="none"/>
              </w:tabs>
              <w:spacing w:line="242" w:lineRule="auto" w:before="56" w:after="0"/>
              <w:ind w:left="219" w:right="242" w:hanging="144"/>
              <w:jc w:val="left"/>
              <w:rPr>
                <w:sz w:val="18"/>
              </w:rPr>
            </w:pPr>
            <w:r>
              <w:rPr>
                <w:sz w:val="18"/>
              </w:rPr>
              <w:t>Organize induction of judges at the Court</w:t>
            </w:r>
            <w:r>
              <w:rPr>
                <w:spacing w:val="-5"/>
                <w:sz w:val="18"/>
              </w:rPr>
              <w:t> </w:t>
            </w:r>
            <w:r>
              <w:rPr>
                <w:sz w:val="18"/>
              </w:rPr>
              <w:t>to</w:t>
            </w:r>
            <w:r>
              <w:rPr>
                <w:spacing w:val="-7"/>
                <w:sz w:val="18"/>
              </w:rPr>
              <w:t> </w:t>
            </w:r>
            <w:r>
              <w:rPr>
                <w:sz w:val="18"/>
              </w:rPr>
              <w:t>introduce</w:t>
            </w:r>
            <w:r>
              <w:rPr>
                <w:spacing w:val="-7"/>
                <w:sz w:val="18"/>
              </w:rPr>
              <w:t> </w:t>
            </w:r>
            <w:r>
              <w:rPr>
                <w:sz w:val="18"/>
              </w:rPr>
              <w:t>them</w:t>
            </w:r>
            <w:r>
              <w:rPr>
                <w:spacing w:val="-5"/>
                <w:sz w:val="18"/>
              </w:rPr>
              <w:t> </w:t>
            </w:r>
            <w:r>
              <w:rPr>
                <w:sz w:val="18"/>
              </w:rPr>
              <w:t>to</w:t>
            </w:r>
            <w:r>
              <w:rPr>
                <w:spacing w:val="-7"/>
                <w:sz w:val="18"/>
              </w:rPr>
              <w:t> </w:t>
            </w:r>
            <w:r>
              <w:rPr>
                <w:sz w:val="18"/>
              </w:rPr>
              <w:t>the</w:t>
            </w:r>
            <w:r>
              <w:rPr>
                <w:spacing w:val="-7"/>
                <w:sz w:val="18"/>
              </w:rPr>
              <w:t> </w:t>
            </w:r>
            <w:r>
              <w:rPr>
                <w:sz w:val="18"/>
              </w:rPr>
              <w:t>Court’s procedures, staff and facilities</w:t>
            </w:r>
          </w:p>
          <w:p>
            <w:pPr>
              <w:pStyle w:val="TableParagraph"/>
              <w:numPr>
                <w:ilvl w:val="0"/>
                <w:numId w:val="120"/>
              </w:numPr>
              <w:tabs>
                <w:tab w:pos="220" w:val="left" w:leader="none"/>
              </w:tabs>
              <w:spacing w:line="240" w:lineRule="auto" w:before="55" w:after="0"/>
              <w:ind w:left="219" w:right="549" w:hanging="144"/>
              <w:jc w:val="left"/>
              <w:rPr>
                <w:sz w:val="18"/>
              </w:rPr>
            </w:pPr>
            <w:r>
              <w:rPr>
                <w:sz w:val="18"/>
              </w:rPr>
              <w:t>Ensure</w:t>
            </w:r>
            <w:r>
              <w:rPr>
                <w:spacing w:val="-12"/>
                <w:sz w:val="18"/>
              </w:rPr>
              <w:t> </w:t>
            </w:r>
            <w:r>
              <w:rPr>
                <w:sz w:val="18"/>
              </w:rPr>
              <w:t>appropriate</w:t>
            </w:r>
            <w:r>
              <w:rPr>
                <w:spacing w:val="-11"/>
                <w:sz w:val="18"/>
              </w:rPr>
              <w:t> </w:t>
            </w:r>
            <w:r>
              <w:rPr>
                <w:sz w:val="18"/>
              </w:rPr>
              <w:t>transition</w:t>
            </w:r>
            <w:r>
              <w:rPr>
                <w:spacing w:val="-11"/>
                <w:sz w:val="18"/>
              </w:rPr>
              <w:t> </w:t>
            </w:r>
            <w:r>
              <w:rPr>
                <w:sz w:val="18"/>
              </w:rPr>
              <w:t>with respect to departing judges</w:t>
            </w:r>
          </w:p>
        </w:tc>
        <w:tc>
          <w:tcPr>
            <w:tcW w:w="3207" w:type="dxa"/>
            <w:tcBorders>
              <w:top w:val="single" w:sz="4" w:space="0" w:color="000000"/>
              <w:bottom w:val="single" w:sz="4" w:space="0" w:color="000000"/>
            </w:tcBorders>
          </w:tcPr>
          <w:p>
            <w:pPr>
              <w:pStyle w:val="TableParagraph"/>
              <w:numPr>
                <w:ilvl w:val="0"/>
                <w:numId w:val="121"/>
              </w:numPr>
              <w:tabs>
                <w:tab w:pos="231" w:val="left" w:leader="none"/>
              </w:tabs>
              <w:spacing w:line="240" w:lineRule="auto" w:before="61" w:after="0"/>
              <w:ind w:left="230" w:right="0" w:hanging="145"/>
              <w:jc w:val="left"/>
              <w:rPr>
                <w:sz w:val="18"/>
              </w:rPr>
            </w:pPr>
            <w:r>
              <w:rPr>
                <w:sz w:val="18"/>
              </w:rPr>
              <w:t>Fully</w:t>
            </w:r>
            <w:r>
              <w:rPr>
                <w:spacing w:val="-2"/>
                <w:sz w:val="18"/>
              </w:rPr>
              <w:t> satisfactory</w:t>
            </w:r>
          </w:p>
        </w:tc>
      </w:tr>
      <w:tr>
        <w:trPr>
          <w:trHeight w:val="753" w:hRule="atLeast"/>
        </w:trPr>
        <w:tc>
          <w:tcPr>
            <w:tcW w:w="3267" w:type="dxa"/>
            <w:tcBorders>
              <w:top w:val="single" w:sz="4" w:space="0" w:color="000000"/>
              <w:bottom w:val="single" w:sz="4" w:space="0" w:color="000000"/>
            </w:tcBorders>
          </w:tcPr>
          <w:p>
            <w:pPr>
              <w:pStyle w:val="TableParagraph"/>
              <w:spacing w:before="59"/>
              <w:ind w:left="28" w:right="60"/>
              <w:jc w:val="left"/>
              <w:rPr>
                <w:sz w:val="18"/>
              </w:rPr>
            </w:pPr>
            <w:r>
              <w:rPr>
                <w:sz w:val="18"/>
              </w:rPr>
              <w:t>11. Effective resource management including</w:t>
            </w:r>
            <w:r>
              <w:rPr>
                <w:spacing w:val="-12"/>
                <w:sz w:val="18"/>
              </w:rPr>
              <w:t> </w:t>
            </w:r>
            <w:r>
              <w:rPr>
                <w:sz w:val="18"/>
              </w:rPr>
              <w:t>identification</w:t>
            </w:r>
            <w:r>
              <w:rPr>
                <w:spacing w:val="-11"/>
                <w:sz w:val="18"/>
              </w:rPr>
              <w:t> </w:t>
            </w:r>
            <w:r>
              <w:rPr>
                <w:sz w:val="18"/>
              </w:rPr>
              <w:t>and</w:t>
            </w:r>
            <w:r>
              <w:rPr>
                <w:spacing w:val="-11"/>
                <w:sz w:val="18"/>
              </w:rPr>
              <w:t> </w:t>
            </w:r>
            <w:r>
              <w:rPr>
                <w:sz w:val="18"/>
              </w:rPr>
              <w:t>implementation of possible further efficiency measures</w:t>
            </w:r>
          </w:p>
        </w:tc>
        <w:tc>
          <w:tcPr>
            <w:tcW w:w="3225" w:type="dxa"/>
            <w:tcBorders>
              <w:top w:val="single" w:sz="4" w:space="0" w:color="000000"/>
              <w:bottom w:val="single" w:sz="4" w:space="0" w:color="000000"/>
            </w:tcBorders>
          </w:tcPr>
          <w:p>
            <w:pPr>
              <w:pStyle w:val="TableParagraph"/>
              <w:numPr>
                <w:ilvl w:val="0"/>
                <w:numId w:val="122"/>
              </w:numPr>
              <w:tabs>
                <w:tab w:pos="220" w:val="left" w:leader="none"/>
              </w:tabs>
              <w:spacing w:line="240" w:lineRule="auto" w:before="55" w:after="0"/>
              <w:ind w:left="219" w:right="161" w:hanging="144"/>
              <w:jc w:val="both"/>
              <w:rPr>
                <w:sz w:val="18"/>
              </w:rPr>
            </w:pPr>
            <w:r>
              <w:rPr>
                <w:sz w:val="18"/>
              </w:rPr>
              <w:t>Improvements</w:t>
            </w:r>
            <w:r>
              <w:rPr>
                <w:spacing w:val="-3"/>
                <w:sz w:val="18"/>
              </w:rPr>
              <w:t> </w:t>
            </w:r>
            <w:r>
              <w:rPr>
                <w:sz w:val="18"/>
              </w:rPr>
              <w:t>in timescales of judicial proceedings</w:t>
            </w:r>
            <w:r>
              <w:rPr>
                <w:spacing w:val="-12"/>
                <w:sz w:val="18"/>
              </w:rPr>
              <w:t> </w:t>
            </w:r>
            <w:r>
              <w:rPr>
                <w:sz w:val="18"/>
              </w:rPr>
              <w:t>through</w:t>
            </w:r>
            <w:r>
              <w:rPr>
                <w:spacing w:val="-11"/>
                <w:sz w:val="18"/>
              </w:rPr>
              <w:t> </w:t>
            </w:r>
            <w:r>
              <w:rPr>
                <w:sz w:val="18"/>
              </w:rPr>
              <w:t>implementation</w:t>
            </w:r>
            <w:r>
              <w:rPr>
                <w:spacing w:val="-11"/>
                <w:sz w:val="18"/>
              </w:rPr>
              <w:t> </w:t>
            </w:r>
            <w:r>
              <w:rPr>
                <w:sz w:val="18"/>
              </w:rPr>
              <w:t>of lessons-learned changes</w:t>
            </w:r>
          </w:p>
        </w:tc>
        <w:tc>
          <w:tcPr>
            <w:tcW w:w="3207" w:type="dxa"/>
            <w:tcBorders>
              <w:top w:val="single" w:sz="4" w:space="0" w:color="000000"/>
              <w:bottom w:val="single" w:sz="4" w:space="0" w:color="000000"/>
            </w:tcBorders>
          </w:tcPr>
          <w:p>
            <w:pPr>
              <w:pStyle w:val="TableParagraph"/>
              <w:numPr>
                <w:ilvl w:val="0"/>
                <w:numId w:val="123"/>
              </w:numPr>
              <w:tabs>
                <w:tab w:pos="231" w:val="left" w:leader="none"/>
              </w:tabs>
              <w:spacing w:line="240" w:lineRule="auto" w:before="60" w:after="0"/>
              <w:ind w:left="230" w:right="0" w:hanging="145"/>
              <w:jc w:val="left"/>
              <w:rPr>
                <w:sz w:val="18"/>
              </w:rPr>
            </w:pPr>
            <w:r>
              <w:rPr>
                <w:sz w:val="18"/>
              </w:rPr>
              <w:t>Measurable</w:t>
            </w:r>
            <w:r>
              <w:rPr>
                <w:spacing w:val="-7"/>
                <w:sz w:val="18"/>
              </w:rPr>
              <w:t> </w:t>
            </w:r>
            <w:r>
              <w:rPr>
                <w:spacing w:val="-2"/>
                <w:sz w:val="18"/>
              </w:rPr>
              <w:t>improvements</w:t>
            </w:r>
          </w:p>
        </w:tc>
      </w:tr>
      <w:tr>
        <w:trPr>
          <w:trHeight w:val="950" w:hRule="atLeast"/>
        </w:trPr>
        <w:tc>
          <w:tcPr>
            <w:tcW w:w="3267" w:type="dxa"/>
            <w:tcBorders>
              <w:top w:val="single" w:sz="4" w:space="0" w:color="000000"/>
              <w:bottom w:val="single" w:sz="4" w:space="0" w:color="000000"/>
            </w:tcBorders>
          </w:tcPr>
          <w:p>
            <w:pPr>
              <w:pStyle w:val="TableParagraph"/>
              <w:spacing w:before="59"/>
              <w:ind w:left="28" w:right="60"/>
              <w:jc w:val="left"/>
              <w:rPr>
                <w:sz w:val="18"/>
              </w:rPr>
            </w:pPr>
            <w:r>
              <w:rPr>
                <w:sz w:val="18"/>
              </w:rPr>
              <w:t>12. Efficient use of Chambers staff resources</w:t>
            </w:r>
            <w:r>
              <w:rPr>
                <w:spacing w:val="-12"/>
                <w:sz w:val="18"/>
              </w:rPr>
              <w:t> </w:t>
            </w:r>
            <w:r>
              <w:rPr>
                <w:sz w:val="18"/>
              </w:rPr>
              <w:t>through</w:t>
            </w:r>
            <w:r>
              <w:rPr>
                <w:spacing w:val="-9"/>
                <w:sz w:val="18"/>
              </w:rPr>
              <w:t> </w:t>
            </w:r>
            <w:r>
              <w:rPr>
                <w:sz w:val="18"/>
              </w:rPr>
              <w:t>central</w:t>
            </w:r>
            <w:r>
              <w:rPr>
                <w:spacing w:val="-11"/>
                <w:sz w:val="18"/>
              </w:rPr>
              <w:t> </w:t>
            </w:r>
            <w:r>
              <w:rPr>
                <w:sz w:val="18"/>
              </w:rPr>
              <w:t>management</w:t>
            </w:r>
            <w:r>
              <w:rPr>
                <w:spacing w:val="-7"/>
                <w:sz w:val="18"/>
              </w:rPr>
              <w:t> </w:t>
            </w:r>
            <w:r>
              <w:rPr>
                <w:sz w:val="18"/>
              </w:rPr>
              <w:t>and flexible</w:t>
            </w:r>
            <w:r>
              <w:rPr>
                <w:spacing w:val="-8"/>
                <w:sz w:val="18"/>
              </w:rPr>
              <w:t> </w:t>
            </w:r>
            <w:r>
              <w:rPr>
                <w:sz w:val="18"/>
              </w:rPr>
              <w:t>deployment</w:t>
            </w:r>
            <w:r>
              <w:rPr>
                <w:spacing w:val="-7"/>
                <w:sz w:val="18"/>
              </w:rPr>
              <w:t> </w:t>
            </w:r>
            <w:r>
              <w:rPr>
                <w:sz w:val="18"/>
              </w:rPr>
              <w:t>to</w:t>
            </w:r>
            <w:r>
              <w:rPr>
                <w:spacing w:val="-8"/>
                <w:sz w:val="18"/>
              </w:rPr>
              <w:t> </w:t>
            </w:r>
            <w:r>
              <w:rPr>
                <w:sz w:val="18"/>
              </w:rPr>
              <w:t>meet</w:t>
            </w:r>
            <w:r>
              <w:rPr>
                <w:spacing w:val="-7"/>
                <w:sz w:val="18"/>
              </w:rPr>
              <w:t> </w:t>
            </w:r>
            <w:r>
              <w:rPr>
                <w:sz w:val="18"/>
              </w:rPr>
              <w:t>changing</w:t>
            </w:r>
            <w:r>
              <w:rPr>
                <w:spacing w:val="-5"/>
                <w:sz w:val="18"/>
              </w:rPr>
              <w:t> </w:t>
            </w:r>
            <w:r>
              <w:rPr>
                <w:sz w:val="18"/>
              </w:rPr>
              <w:t>case workload needs</w:t>
            </w:r>
          </w:p>
        </w:tc>
        <w:tc>
          <w:tcPr>
            <w:tcW w:w="3225" w:type="dxa"/>
            <w:tcBorders>
              <w:top w:val="single" w:sz="4" w:space="0" w:color="000000"/>
              <w:bottom w:val="single" w:sz="4" w:space="0" w:color="000000"/>
            </w:tcBorders>
          </w:tcPr>
          <w:p>
            <w:pPr>
              <w:pStyle w:val="TableParagraph"/>
              <w:numPr>
                <w:ilvl w:val="0"/>
                <w:numId w:val="124"/>
              </w:numPr>
              <w:tabs>
                <w:tab w:pos="220" w:val="left" w:leader="none"/>
              </w:tabs>
              <w:spacing w:line="242" w:lineRule="auto" w:before="55" w:after="0"/>
              <w:ind w:left="219" w:right="248" w:hanging="144"/>
              <w:jc w:val="both"/>
              <w:rPr>
                <w:sz w:val="18"/>
              </w:rPr>
            </w:pPr>
            <w:r>
              <w:rPr>
                <w:sz w:val="18"/>
              </w:rPr>
              <w:t>Effective</w:t>
            </w:r>
            <w:r>
              <w:rPr>
                <w:spacing w:val="-1"/>
                <w:sz w:val="18"/>
              </w:rPr>
              <w:t> </w:t>
            </w:r>
            <w:r>
              <w:rPr>
                <w:sz w:val="18"/>
              </w:rPr>
              <w:t>central</w:t>
            </w:r>
            <w:r>
              <w:rPr>
                <w:spacing w:val="-4"/>
                <w:sz w:val="18"/>
              </w:rPr>
              <w:t> </w:t>
            </w:r>
            <w:r>
              <w:rPr>
                <w:sz w:val="18"/>
              </w:rPr>
              <w:t>management of staff resources</w:t>
            </w:r>
            <w:r>
              <w:rPr>
                <w:spacing w:val="-10"/>
                <w:sz w:val="18"/>
              </w:rPr>
              <w:t> </w:t>
            </w:r>
            <w:r>
              <w:rPr>
                <w:sz w:val="18"/>
              </w:rPr>
              <w:t>by</w:t>
            </w:r>
            <w:r>
              <w:rPr>
                <w:spacing w:val="-6"/>
                <w:sz w:val="18"/>
              </w:rPr>
              <w:t> </w:t>
            </w:r>
            <w:r>
              <w:rPr>
                <w:sz w:val="18"/>
              </w:rPr>
              <w:t>Head</w:t>
            </w:r>
            <w:r>
              <w:rPr>
                <w:spacing w:val="-10"/>
                <w:sz w:val="18"/>
              </w:rPr>
              <w:t> </w:t>
            </w:r>
            <w:r>
              <w:rPr>
                <w:sz w:val="18"/>
              </w:rPr>
              <w:t>of</w:t>
            </w:r>
            <w:r>
              <w:rPr>
                <w:spacing w:val="-9"/>
                <w:sz w:val="18"/>
              </w:rPr>
              <w:t> </w:t>
            </w:r>
            <w:r>
              <w:rPr>
                <w:sz w:val="18"/>
              </w:rPr>
              <w:t>Chambers’</w:t>
            </w:r>
            <w:r>
              <w:rPr>
                <w:spacing w:val="-5"/>
                <w:sz w:val="18"/>
              </w:rPr>
              <w:t> </w:t>
            </w:r>
            <w:r>
              <w:rPr>
                <w:sz w:val="18"/>
              </w:rPr>
              <w:t>Staff </w:t>
            </w:r>
            <w:r>
              <w:rPr>
                <w:spacing w:val="-2"/>
                <w:sz w:val="18"/>
              </w:rPr>
              <w:t>(P-5)</w:t>
            </w:r>
          </w:p>
        </w:tc>
        <w:tc>
          <w:tcPr>
            <w:tcW w:w="3207" w:type="dxa"/>
            <w:tcBorders>
              <w:top w:val="single" w:sz="4" w:space="0" w:color="000000"/>
              <w:bottom w:val="single" w:sz="4" w:space="0" w:color="000000"/>
            </w:tcBorders>
          </w:tcPr>
          <w:p>
            <w:pPr>
              <w:pStyle w:val="TableParagraph"/>
              <w:numPr>
                <w:ilvl w:val="0"/>
                <w:numId w:val="125"/>
              </w:numPr>
              <w:tabs>
                <w:tab w:pos="231" w:val="left" w:leader="none"/>
              </w:tabs>
              <w:spacing w:line="240" w:lineRule="auto" w:before="60" w:after="0"/>
              <w:ind w:left="230" w:right="0" w:hanging="145"/>
              <w:jc w:val="left"/>
              <w:rPr>
                <w:sz w:val="18"/>
              </w:rPr>
            </w:pPr>
            <w:r>
              <w:rPr>
                <w:spacing w:val="-4"/>
                <w:sz w:val="18"/>
              </w:rPr>
              <w:t>100%</w:t>
            </w:r>
          </w:p>
        </w:tc>
      </w:tr>
    </w:tbl>
    <w:p>
      <w:pPr>
        <w:spacing w:after="0" w:line="240" w:lineRule="auto"/>
        <w:jc w:val="left"/>
        <w:rPr>
          <w:sz w:val="18"/>
        </w:rPr>
        <w:sectPr>
          <w:type w:val="continuous"/>
          <w:pgSz w:w="11910" w:h="16840"/>
          <w:pgMar w:header="957" w:footer="940" w:top="1140" w:bottom="1140" w:left="20" w:right="20"/>
        </w:sectPr>
      </w:pPr>
    </w:p>
    <w:p>
      <w:pPr>
        <w:pStyle w:val="Heading1"/>
        <w:spacing w:before="117"/>
      </w:pPr>
      <w:r>
        <w:rPr/>
        <w:t>Annex</w:t>
      </w:r>
      <w:r>
        <w:rPr>
          <w:spacing w:val="-5"/>
        </w:rPr>
        <w:t> </w:t>
      </w:r>
      <w:r>
        <w:rPr/>
        <w:t>IV</w:t>
      </w:r>
      <w:r>
        <w:rPr>
          <w:spacing w:val="-4"/>
        </w:rPr>
        <w:t> </w:t>
      </w:r>
      <w:r>
        <w:rPr>
          <w:spacing w:val="-5"/>
        </w:rPr>
        <w:t>(e)</w:t>
      </w:r>
    </w:p>
    <w:p>
      <w:pPr>
        <w:spacing w:line="256" w:lineRule="auto" w:before="245"/>
        <w:ind w:left="2246" w:right="2195" w:firstLine="0"/>
        <w:jc w:val="left"/>
        <w:rPr>
          <w:b/>
          <w:sz w:val="28"/>
        </w:rPr>
      </w:pPr>
      <w:bookmarkStart w:name="_bookmark71" w:id="72"/>
      <w:bookmarkEnd w:id="72"/>
      <w:r>
        <w:rPr/>
      </w:r>
      <w:r>
        <w:rPr>
          <w:b/>
          <w:sz w:val="28"/>
        </w:rPr>
        <w:t>Major Programme IV: Secretariat of the Assembly of States </w:t>
      </w:r>
      <w:r>
        <w:rPr>
          <w:b/>
          <w:spacing w:val="-2"/>
          <w:sz w:val="28"/>
        </w:rPr>
        <w:t>Parties</w:t>
      </w:r>
    </w:p>
    <w:p>
      <w:pPr>
        <w:pStyle w:val="Heading2"/>
        <w:spacing w:before="246"/>
        <w:ind w:firstLine="0"/>
      </w:pPr>
      <w:r>
        <w:rPr/>
        <w:t>Expected</w:t>
      </w:r>
      <w:r>
        <w:rPr>
          <w:spacing w:val="-5"/>
        </w:rPr>
        <w:t> </w:t>
      </w:r>
      <w:r>
        <w:rPr/>
        <w:t>results,</w:t>
      </w:r>
      <w:r>
        <w:rPr>
          <w:spacing w:val="-2"/>
        </w:rPr>
        <w:t> </w:t>
      </w:r>
      <w:r>
        <w:rPr/>
        <w:t>performance</w:t>
      </w:r>
      <w:r>
        <w:rPr>
          <w:spacing w:val="-6"/>
        </w:rPr>
        <w:t> </w:t>
      </w:r>
      <w:r>
        <w:rPr/>
        <w:t>indicators</w:t>
      </w:r>
      <w:r>
        <w:rPr>
          <w:spacing w:val="-6"/>
        </w:rPr>
        <w:t> </w:t>
      </w:r>
      <w:r>
        <w:rPr/>
        <w:t>and</w:t>
      </w:r>
      <w:r>
        <w:rPr>
          <w:spacing w:val="-8"/>
        </w:rPr>
        <w:t> </w:t>
      </w:r>
      <w:r>
        <w:rPr/>
        <w:t>targets</w:t>
      </w:r>
      <w:r>
        <w:rPr>
          <w:spacing w:val="-6"/>
        </w:rPr>
        <w:t> </w:t>
      </w:r>
      <w:r>
        <w:rPr/>
        <w:t>for</w:t>
      </w:r>
      <w:r>
        <w:rPr>
          <w:spacing w:val="-5"/>
        </w:rPr>
        <w:t> </w:t>
      </w:r>
      <w:r>
        <w:rPr>
          <w:spacing w:val="-4"/>
        </w:rPr>
        <w:t>2023</w:t>
      </w:r>
    </w:p>
    <w:p>
      <w:pPr>
        <w:pStyle w:val="BodyText"/>
        <w:rPr>
          <w:b/>
          <w:sz w:val="21"/>
        </w:rPr>
      </w:pPr>
    </w:p>
    <w:tbl>
      <w:tblPr>
        <w:tblW w:w="0" w:type="auto"/>
        <w:jc w:val="left"/>
        <w:tblInd w:w="1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62"/>
        <w:gridCol w:w="5842"/>
        <w:gridCol w:w="1094"/>
      </w:tblGrid>
      <w:tr>
        <w:trPr>
          <w:trHeight w:val="330" w:hRule="atLeast"/>
        </w:trPr>
        <w:tc>
          <w:tcPr>
            <w:tcW w:w="2762" w:type="dxa"/>
            <w:tcBorders>
              <w:top w:val="single" w:sz="4" w:space="0" w:color="000000"/>
              <w:bottom w:val="single" w:sz="4" w:space="0" w:color="000000"/>
            </w:tcBorders>
          </w:tcPr>
          <w:p>
            <w:pPr>
              <w:pStyle w:val="TableParagraph"/>
              <w:spacing w:before="47"/>
              <w:ind w:left="782"/>
              <w:jc w:val="left"/>
              <w:rPr>
                <w:i/>
                <w:sz w:val="18"/>
              </w:rPr>
            </w:pPr>
            <w:r>
              <w:rPr>
                <w:i/>
                <w:sz w:val="18"/>
              </w:rPr>
              <w:t>Expected</w:t>
            </w:r>
            <w:r>
              <w:rPr>
                <w:i/>
                <w:spacing w:val="-7"/>
                <w:sz w:val="18"/>
              </w:rPr>
              <w:t> </w:t>
            </w:r>
            <w:r>
              <w:rPr>
                <w:i/>
                <w:spacing w:val="-2"/>
                <w:sz w:val="18"/>
              </w:rPr>
              <w:t>results</w:t>
            </w:r>
          </w:p>
        </w:tc>
        <w:tc>
          <w:tcPr>
            <w:tcW w:w="5842" w:type="dxa"/>
            <w:tcBorders>
              <w:top w:val="single" w:sz="4" w:space="0" w:color="000000"/>
              <w:bottom w:val="single" w:sz="4" w:space="0" w:color="000000"/>
            </w:tcBorders>
          </w:tcPr>
          <w:p>
            <w:pPr>
              <w:pStyle w:val="TableParagraph"/>
              <w:spacing w:before="47"/>
              <w:ind w:left="2075" w:right="2036"/>
              <w:jc w:val="center"/>
              <w:rPr>
                <w:i/>
                <w:sz w:val="18"/>
              </w:rPr>
            </w:pPr>
            <w:r>
              <w:rPr>
                <w:i/>
                <w:sz w:val="18"/>
              </w:rPr>
              <w:t>Performance</w:t>
            </w:r>
            <w:r>
              <w:rPr>
                <w:i/>
                <w:spacing w:val="-5"/>
                <w:sz w:val="18"/>
              </w:rPr>
              <w:t> </w:t>
            </w:r>
            <w:r>
              <w:rPr>
                <w:i/>
                <w:spacing w:val="-2"/>
                <w:sz w:val="18"/>
              </w:rPr>
              <w:t>indicators</w:t>
            </w:r>
          </w:p>
        </w:tc>
        <w:tc>
          <w:tcPr>
            <w:tcW w:w="1094" w:type="dxa"/>
            <w:tcBorders>
              <w:top w:val="single" w:sz="4" w:space="0" w:color="000000"/>
              <w:bottom w:val="single" w:sz="4" w:space="0" w:color="000000"/>
            </w:tcBorders>
          </w:tcPr>
          <w:p>
            <w:pPr>
              <w:pStyle w:val="TableParagraph"/>
              <w:spacing w:before="47"/>
              <w:ind w:left="130"/>
              <w:jc w:val="left"/>
              <w:rPr>
                <w:i/>
                <w:sz w:val="18"/>
              </w:rPr>
            </w:pPr>
            <w:r>
              <w:rPr>
                <w:i/>
                <w:sz w:val="18"/>
              </w:rPr>
              <w:t>Target</w:t>
            </w:r>
            <w:r>
              <w:rPr>
                <w:i/>
                <w:spacing w:val="-2"/>
                <w:sz w:val="18"/>
              </w:rPr>
              <w:t> </w:t>
            </w:r>
            <w:r>
              <w:rPr>
                <w:i/>
                <w:spacing w:val="-4"/>
                <w:sz w:val="18"/>
              </w:rPr>
              <w:t>2023</w:t>
            </w:r>
          </w:p>
        </w:tc>
      </w:tr>
      <w:tr>
        <w:trPr>
          <w:trHeight w:val="1896" w:hRule="atLeast"/>
        </w:trPr>
        <w:tc>
          <w:tcPr>
            <w:tcW w:w="2762" w:type="dxa"/>
            <w:tcBorders>
              <w:top w:val="single" w:sz="4" w:space="0" w:color="000000"/>
              <w:bottom w:val="single" w:sz="4" w:space="0" w:color="000000"/>
            </w:tcBorders>
          </w:tcPr>
          <w:p>
            <w:pPr>
              <w:pStyle w:val="TableParagraph"/>
              <w:spacing w:before="47"/>
              <w:ind w:left="28"/>
              <w:jc w:val="left"/>
              <w:rPr>
                <w:b/>
                <w:sz w:val="18"/>
              </w:rPr>
            </w:pPr>
            <w:r>
              <w:rPr>
                <w:b/>
                <w:sz w:val="18"/>
              </w:rPr>
              <w:t>Objective</w:t>
            </w:r>
            <w:r>
              <w:rPr>
                <w:b/>
                <w:spacing w:val="-6"/>
                <w:sz w:val="18"/>
              </w:rPr>
              <w:t> </w:t>
            </w:r>
            <w:r>
              <w:rPr>
                <w:b/>
                <w:spacing w:val="-10"/>
                <w:sz w:val="18"/>
              </w:rPr>
              <w:t>1</w:t>
            </w:r>
          </w:p>
          <w:p>
            <w:pPr>
              <w:pStyle w:val="TableParagraph"/>
              <w:spacing w:before="72"/>
              <w:ind w:left="28"/>
              <w:jc w:val="left"/>
              <w:rPr>
                <w:sz w:val="18"/>
              </w:rPr>
            </w:pPr>
            <w:r>
              <w:rPr>
                <w:sz w:val="18"/>
              </w:rPr>
              <w:t>Conference</w:t>
            </w:r>
            <w:r>
              <w:rPr>
                <w:spacing w:val="-5"/>
                <w:sz w:val="18"/>
              </w:rPr>
              <w:t> </w:t>
            </w:r>
            <w:r>
              <w:rPr>
                <w:sz w:val="18"/>
              </w:rPr>
              <w:t>held</w:t>
            </w:r>
            <w:r>
              <w:rPr>
                <w:spacing w:val="-4"/>
                <w:sz w:val="18"/>
              </w:rPr>
              <w:t> </w:t>
            </w:r>
            <w:r>
              <w:rPr>
                <w:sz w:val="18"/>
              </w:rPr>
              <w:t>as</w:t>
            </w:r>
            <w:r>
              <w:rPr>
                <w:spacing w:val="-3"/>
                <w:sz w:val="18"/>
              </w:rPr>
              <w:t> </w:t>
            </w:r>
            <w:r>
              <w:rPr>
                <w:spacing w:val="-2"/>
                <w:sz w:val="18"/>
              </w:rPr>
              <w:t>planned</w:t>
            </w:r>
          </w:p>
        </w:tc>
        <w:tc>
          <w:tcPr>
            <w:tcW w:w="5842" w:type="dxa"/>
            <w:tcBorders>
              <w:top w:val="single" w:sz="4" w:space="0" w:color="000000"/>
              <w:bottom w:val="single" w:sz="4" w:space="0" w:color="000000"/>
            </w:tcBorders>
          </w:tcPr>
          <w:p>
            <w:pPr>
              <w:pStyle w:val="TableParagraph"/>
              <w:spacing w:before="47"/>
              <w:ind w:left="104"/>
              <w:jc w:val="left"/>
              <w:rPr>
                <w:sz w:val="18"/>
              </w:rPr>
            </w:pPr>
            <w:r>
              <w:rPr>
                <w:sz w:val="18"/>
              </w:rPr>
              <w:t>˗</w:t>
            </w:r>
            <w:r>
              <w:rPr>
                <w:spacing w:val="36"/>
                <w:sz w:val="18"/>
              </w:rPr>
              <w:t> </w:t>
            </w:r>
            <w:r>
              <w:rPr>
                <w:sz w:val="18"/>
              </w:rPr>
              <w:t>Meetings</w:t>
            </w:r>
            <w:r>
              <w:rPr>
                <w:spacing w:val="-7"/>
                <w:sz w:val="18"/>
              </w:rPr>
              <w:t> </w:t>
            </w:r>
            <w:r>
              <w:rPr>
                <w:sz w:val="18"/>
              </w:rPr>
              <w:t>run</w:t>
            </w:r>
            <w:r>
              <w:rPr>
                <w:spacing w:val="-3"/>
                <w:sz w:val="18"/>
              </w:rPr>
              <w:t> </w:t>
            </w:r>
            <w:r>
              <w:rPr>
                <w:sz w:val="18"/>
              </w:rPr>
              <w:t>smoothly</w:t>
            </w:r>
            <w:r>
              <w:rPr>
                <w:spacing w:val="-2"/>
                <w:sz w:val="18"/>
              </w:rPr>
              <w:t> </w:t>
            </w:r>
            <w:r>
              <w:rPr>
                <w:sz w:val="18"/>
              </w:rPr>
              <w:t>and</w:t>
            </w:r>
            <w:r>
              <w:rPr>
                <w:spacing w:val="-3"/>
                <w:sz w:val="18"/>
              </w:rPr>
              <w:t> </w:t>
            </w:r>
            <w:r>
              <w:rPr>
                <w:sz w:val="18"/>
              </w:rPr>
              <w:t>end</w:t>
            </w:r>
            <w:r>
              <w:rPr>
                <w:spacing w:val="-3"/>
                <w:sz w:val="18"/>
              </w:rPr>
              <w:t> </w:t>
            </w:r>
            <w:r>
              <w:rPr>
                <w:sz w:val="18"/>
              </w:rPr>
              <w:t>on</w:t>
            </w:r>
            <w:r>
              <w:rPr>
                <w:spacing w:val="-3"/>
                <w:sz w:val="18"/>
              </w:rPr>
              <w:t> </w:t>
            </w:r>
            <w:r>
              <w:rPr>
                <w:sz w:val="18"/>
              </w:rPr>
              <w:t>time; reports</w:t>
            </w:r>
            <w:r>
              <w:rPr>
                <w:spacing w:val="-3"/>
                <w:sz w:val="18"/>
              </w:rPr>
              <w:t> </w:t>
            </w:r>
            <w:r>
              <w:rPr>
                <w:sz w:val="18"/>
              </w:rPr>
              <w:t>are</w:t>
            </w:r>
            <w:r>
              <w:rPr>
                <w:spacing w:val="4"/>
                <w:sz w:val="18"/>
              </w:rPr>
              <w:t> </w:t>
            </w:r>
            <w:r>
              <w:rPr>
                <w:spacing w:val="-2"/>
                <w:sz w:val="18"/>
              </w:rPr>
              <w:t>adopted</w:t>
            </w:r>
          </w:p>
          <w:p>
            <w:pPr>
              <w:pStyle w:val="TableParagraph"/>
              <w:spacing w:before="72"/>
              <w:ind w:left="104"/>
              <w:jc w:val="left"/>
              <w:rPr>
                <w:sz w:val="18"/>
              </w:rPr>
            </w:pPr>
            <w:r>
              <w:rPr>
                <w:sz w:val="18"/>
              </w:rPr>
              <w:t>˗</w:t>
            </w:r>
            <w:r>
              <w:rPr>
                <w:spacing w:val="35"/>
                <w:sz w:val="18"/>
              </w:rPr>
              <w:t> </w:t>
            </w:r>
            <w:r>
              <w:rPr>
                <w:sz w:val="18"/>
              </w:rPr>
              <w:t>All</w:t>
            </w:r>
            <w:r>
              <w:rPr>
                <w:spacing w:val="-1"/>
                <w:sz w:val="18"/>
              </w:rPr>
              <w:t> </w:t>
            </w:r>
            <w:r>
              <w:rPr>
                <w:sz w:val="18"/>
              </w:rPr>
              <w:t>agenda</w:t>
            </w:r>
            <w:r>
              <w:rPr>
                <w:spacing w:val="-3"/>
                <w:sz w:val="18"/>
              </w:rPr>
              <w:t> </w:t>
            </w:r>
            <w:r>
              <w:rPr>
                <w:sz w:val="18"/>
              </w:rPr>
              <w:t>items</w:t>
            </w:r>
            <w:r>
              <w:rPr>
                <w:spacing w:val="-3"/>
                <w:sz w:val="18"/>
              </w:rPr>
              <w:t> </w:t>
            </w:r>
            <w:r>
              <w:rPr>
                <w:sz w:val="18"/>
              </w:rPr>
              <w:t>are</w:t>
            </w:r>
            <w:r>
              <w:rPr>
                <w:spacing w:val="-3"/>
                <w:sz w:val="18"/>
              </w:rPr>
              <w:t> </w:t>
            </w:r>
            <w:r>
              <w:rPr>
                <w:spacing w:val="-2"/>
                <w:sz w:val="18"/>
              </w:rPr>
              <w:t>considered</w:t>
            </w:r>
          </w:p>
          <w:p>
            <w:pPr>
              <w:pStyle w:val="TableParagraph"/>
              <w:spacing w:line="273" w:lineRule="auto" w:before="86"/>
              <w:ind w:left="248" w:hanging="144"/>
              <w:jc w:val="left"/>
              <w:rPr>
                <w:sz w:val="18"/>
              </w:rPr>
            </w:pPr>
            <w:r>
              <w:rPr>
                <w:sz w:val="18"/>
              </w:rPr>
              <w:t>˗</w:t>
            </w:r>
            <w:r>
              <w:rPr>
                <w:spacing w:val="31"/>
                <w:sz w:val="18"/>
              </w:rPr>
              <w:t> </w:t>
            </w:r>
            <w:r>
              <w:rPr>
                <w:sz w:val="18"/>
              </w:rPr>
              <w:t>Participants</w:t>
            </w:r>
            <w:r>
              <w:rPr>
                <w:spacing w:val="-6"/>
                <w:sz w:val="18"/>
              </w:rPr>
              <w:t> </w:t>
            </w:r>
            <w:r>
              <w:rPr>
                <w:sz w:val="18"/>
              </w:rPr>
              <w:t>receive</w:t>
            </w:r>
            <w:r>
              <w:rPr>
                <w:spacing w:val="-6"/>
                <w:sz w:val="18"/>
              </w:rPr>
              <w:t> </w:t>
            </w:r>
            <w:r>
              <w:rPr>
                <w:sz w:val="18"/>
              </w:rPr>
              <w:t>substantive</w:t>
            </w:r>
            <w:r>
              <w:rPr>
                <w:spacing w:val="-6"/>
                <w:sz w:val="18"/>
              </w:rPr>
              <w:t> </w:t>
            </w:r>
            <w:r>
              <w:rPr>
                <w:sz w:val="18"/>
              </w:rPr>
              <w:t>and</w:t>
            </w:r>
            <w:r>
              <w:rPr>
                <w:spacing w:val="-6"/>
                <w:sz w:val="18"/>
              </w:rPr>
              <w:t> </w:t>
            </w:r>
            <w:r>
              <w:rPr>
                <w:sz w:val="18"/>
              </w:rPr>
              <w:t>logistical</w:t>
            </w:r>
            <w:r>
              <w:rPr>
                <w:spacing w:val="-4"/>
                <w:sz w:val="18"/>
              </w:rPr>
              <w:t> </w:t>
            </w:r>
            <w:r>
              <w:rPr>
                <w:sz w:val="18"/>
              </w:rPr>
              <w:t>support</w:t>
            </w:r>
            <w:r>
              <w:rPr>
                <w:spacing w:val="-4"/>
                <w:sz w:val="18"/>
              </w:rPr>
              <w:t> </w:t>
            </w:r>
            <w:r>
              <w:rPr>
                <w:sz w:val="18"/>
              </w:rPr>
              <w:t>at</w:t>
            </w:r>
            <w:r>
              <w:rPr>
                <w:spacing w:val="-4"/>
                <w:sz w:val="18"/>
              </w:rPr>
              <w:t> </w:t>
            </w:r>
            <w:r>
              <w:rPr>
                <w:sz w:val="18"/>
              </w:rPr>
              <w:t>meetings,</w:t>
            </w:r>
            <w:r>
              <w:rPr>
                <w:spacing w:val="-4"/>
                <w:sz w:val="18"/>
              </w:rPr>
              <w:t> </w:t>
            </w:r>
            <w:r>
              <w:rPr>
                <w:sz w:val="18"/>
              </w:rPr>
              <w:t>including registration assistance and the provision of documentation and language </w:t>
            </w:r>
            <w:r>
              <w:rPr>
                <w:spacing w:val="-2"/>
                <w:sz w:val="18"/>
              </w:rPr>
              <w:t>services</w:t>
            </w:r>
          </w:p>
          <w:p>
            <w:pPr>
              <w:pStyle w:val="TableParagraph"/>
              <w:spacing w:line="273" w:lineRule="auto" w:before="51"/>
              <w:ind w:left="248" w:right="76" w:hanging="144"/>
              <w:jc w:val="left"/>
              <w:rPr>
                <w:sz w:val="18"/>
              </w:rPr>
            </w:pPr>
            <w:r>
              <w:rPr>
                <w:sz w:val="18"/>
              </w:rPr>
              <w:t>˗</w:t>
            </w:r>
            <w:r>
              <w:rPr>
                <w:spacing w:val="33"/>
                <w:sz w:val="18"/>
              </w:rPr>
              <w:t> </w:t>
            </w:r>
            <w:r>
              <w:rPr>
                <w:sz w:val="18"/>
              </w:rPr>
              <w:t>Session</w:t>
            </w:r>
            <w:r>
              <w:rPr>
                <w:spacing w:val="-5"/>
                <w:sz w:val="18"/>
              </w:rPr>
              <w:t> </w:t>
            </w:r>
            <w:r>
              <w:rPr>
                <w:sz w:val="18"/>
              </w:rPr>
              <w:t>participants</w:t>
            </w:r>
            <w:r>
              <w:rPr>
                <w:spacing w:val="-5"/>
                <w:sz w:val="18"/>
              </w:rPr>
              <w:t> </w:t>
            </w:r>
            <w:r>
              <w:rPr>
                <w:sz w:val="18"/>
              </w:rPr>
              <w:t>are</w:t>
            </w:r>
            <w:r>
              <w:rPr>
                <w:spacing w:val="-5"/>
                <w:sz w:val="18"/>
              </w:rPr>
              <w:t> </w:t>
            </w:r>
            <w:r>
              <w:rPr>
                <w:sz w:val="18"/>
              </w:rPr>
              <w:t>satisfied</w:t>
            </w:r>
            <w:r>
              <w:rPr>
                <w:spacing w:val="-1"/>
                <w:sz w:val="18"/>
              </w:rPr>
              <w:t> </w:t>
            </w:r>
            <w:r>
              <w:rPr>
                <w:sz w:val="18"/>
              </w:rPr>
              <w:t>with</w:t>
            </w:r>
            <w:r>
              <w:rPr>
                <w:spacing w:val="-5"/>
                <w:sz w:val="18"/>
              </w:rPr>
              <w:t> </w:t>
            </w:r>
            <w:r>
              <w:rPr>
                <w:sz w:val="18"/>
              </w:rPr>
              <w:t>the arrangements</w:t>
            </w:r>
            <w:r>
              <w:rPr>
                <w:spacing w:val="-9"/>
                <w:sz w:val="18"/>
              </w:rPr>
              <w:t> </w:t>
            </w:r>
            <w:r>
              <w:rPr>
                <w:sz w:val="18"/>
              </w:rPr>
              <w:t>made</w:t>
            </w:r>
            <w:r>
              <w:rPr>
                <w:spacing w:val="-5"/>
                <w:sz w:val="18"/>
              </w:rPr>
              <w:t> </w:t>
            </w:r>
            <w:r>
              <w:rPr>
                <w:sz w:val="18"/>
              </w:rPr>
              <w:t>and information provided</w:t>
            </w:r>
          </w:p>
        </w:tc>
        <w:tc>
          <w:tcPr>
            <w:tcW w:w="1094" w:type="dxa"/>
            <w:tcBorders>
              <w:top w:val="single" w:sz="4" w:space="0" w:color="000000"/>
              <w:bottom w:val="single" w:sz="4" w:space="0" w:color="000000"/>
            </w:tcBorders>
          </w:tcPr>
          <w:p>
            <w:pPr>
              <w:pStyle w:val="TableParagraph"/>
              <w:spacing w:before="62"/>
              <w:ind w:left="77"/>
              <w:jc w:val="left"/>
              <w:rPr>
                <w:sz w:val="18"/>
              </w:rPr>
            </w:pPr>
            <w:r>
              <w:rPr>
                <w:sz w:val="18"/>
              </w:rPr>
              <w:t>˗</w:t>
            </w:r>
            <w:r>
              <w:rPr>
                <w:spacing w:val="38"/>
                <w:sz w:val="18"/>
              </w:rPr>
              <w:t> </w:t>
            </w:r>
            <w:r>
              <w:rPr>
                <w:spacing w:val="-5"/>
                <w:sz w:val="18"/>
              </w:rPr>
              <w:t>n/a</w:t>
            </w:r>
          </w:p>
        </w:tc>
      </w:tr>
      <w:tr>
        <w:trPr>
          <w:trHeight w:val="1329" w:hRule="atLeast"/>
        </w:trPr>
        <w:tc>
          <w:tcPr>
            <w:tcW w:w="2762" w:type="dxa"/>
            <w:tcBorders>
              <w:top w:val="single" w:sz="4" w:space="0" w:color="000000"/>
              <w:bottom w:val="single" w:sz="4" w:space="0" w:color="000000"/>
            </w:tcBorders>
          </w:tcPr>
          <w:p>
            <w:pPr>
              <w:pStyle w:val="TableParagraph"/>
              <w:spacing w:before="47"/>
              <w:ind w:left="28"/>
              <w:jc w:val="left"/>
              <w:rPr>
                <w:b/>
                <w:sz w:val="18"/>
              </w:rPr>
            </w:pPr>
            <w:r>
              <w:rPr>
                <w:b/>
                <w:sz w:val="18"/>
              </w:rPr>
              <w:t>Objective</w:t>
            </w:r>
            <w:r>
              <w:rPr>
                <w:b/>
                <w:spacing w:val="-6"/>
                <w:sz w:val="18"/>
              </w:rPr>
              <w:t> </w:t>
            </w:r>
            <w:r>
              <w:rPr>
                <w:b/>
                <w:spacing w:val="-10"/>
                <w:sz w:val="18"/>
              </w:rPr>
              <w:t>2</w:t>
            </w:r>
          </w:p>
          <w:p>
            <w:pPr>
              <w:pStyle w:val="TableParagraph"/>
              <w:spacing w:line="273" w:lineRule="auto" w:before="81"/>
              <w:ind w:left="28" w:right="24"/>
              <w:jc w:val="left"/>
              <w:rPr>
                <w:sz w:val="18"/>
              </w:rPr>
            </w:pPr>
            <w:r>
              <w:rPr>
                <w:sz w:val="18"/>
              </w:rPr>
              <w:t>Quality edited and translated documents</w:t>
            </w:r>
            <w:r>
              <w:rPr>
                <w:spacing w:val="-12"/>
                <w:sz w:val="18"/>
              </w:rPr>
              <w:t> </w:t>
            </w:r>
            <w:r>
              <w:rPr>
                <w:sz w:val="18"/>
              </w:rPr>
              <w:t>released</w:t>
            </w:r>
            <w:r>
              <w:rPr>
                <w:spacing w:val="-11"/>
                <w:sz w:val="18"/>
              </w:rPr>
              <w:t> </w:t>
            </w:r>
            <w:r>
              <w:rPr>
                <w:sz w:val="18"/>
              </w:rPr>
              <w:t>for</w:t>
            </w:r>
            <w:r>
              <w:rPr>
                <w:spacing w:val="-11"/>
                <w:sz w:val="18"/>
              </w:rPr>
              <w:t> </w:t>
            </w:r>
            <w:r>
              <w:rPr>
                <w:sz w:val="18"/>
              </w:rPr>
              <w:t>processing, production and distribution in a timely</w:t>
            </w:r>
            <w:r>
              <w:rPr>
                <w:spacing w:val="-10"/>
                <w:sz w:val="18"/>
              </w:rPr>
              <w:t> </w:t>
            </w:r>
            <w:r>
              <w:rPr>
                <w:sz w:val="18"/>
              </w:rPr>
              <w:t>manner</w:t>
            </w:r>
          </w:p>
        </w:tc>
        <w:tc>
          <w:tcPr>
            <w:tcW w:w="5842" w:type="dxa"/>
            <w:tcBorders>
              <w:top w:val="single" w:sz="4" w:space="0" w:color="000000"/>
              <w:bottom w:val="single" w:sz="4" w:space="0" w:color="000000"/>
            </w:tcBorders>
          </w:tcPr>
          <w:p>
            <w:pPr>
              <w:pStyle w:val="TableParagraph"/>
              <w:spacing w:line="276" w:lineRule="auto" w:before="47"/>
              <w:ind w:left="248" w:hanging="144"/>
              <w:jc w:val="left"/>
              <w:rPr>
                <w:sz w:val="18"/>
              </w:rPr>
            </w:pPr>
            <w:r>
              <w:rPr>
                <w:sz w:val="18"/>
              </w:rPr>
              <w:t>˗</w:t>
            </w:r>
            <w:r>
              <w:rPr>
                <w:spacing w:val="40"/>
                <w:sz w:val="18"/>
              </w:rPr>
              <w:t> </w:t>
            </w:r>
            <w:r>
              <w:rPr>
                <w:sz w:val="18"/>
              </w:rPr>
              <w:t>States receive and are satisfied with the quality of conference services, including</w:t>
            </w:r>
            <w:r>
              <w:rPr>
                <w:spacing w:val="-9"/>
                <w:sz w:val="18"/>
              </w:rPr>
              <w:t> </w:t>
            </w:r>
            <w:r>
              <w:rPr>
                <w:sz w:val="18"/>
              </w:rPr>
              <w:t>the</w:t>
            </w:r>
            <w:r>
              <w:rPr>
                <w:spacing w:val="-4"/>
                <w:sz w:val="18"/>
              </w:rPr>
              <w:t> </w:t>
            </w:r>
            <w:r>
              <w:rPr>
                <w:sz w:val="18"/>
              </w:rPr>
              <w:t>editing,</w:t>
            </w:r>
            <w:r>
              <w:rPr>
                <w:spacing w:val="-7"/>
                <w:sz w:val="18"/>
              </w:rPr>
              <w:t> </w:t>
            </w:r>
            <w:r>
              <w:rPr>
                <w:sz w:val="18"/>
              </w:rPr>
              <w:t>translation</w:t>
            </w:r>
            <w:r>
              <w:rPr>
                <w:spacing w:val="-4"/>
                <w:sz w:val="18"/>
              </w:rPr>
              <w:t> </w:t>
            </w:r>
            <w:r>
              <w:rPr>
                <w:sz w:val="18"/>
              </w:rPr>
              <w:t>and</w:t>
            </w:r>
            <w:r>
              <w:rPr>
                <w:spacing w:val="-4"/>
                <w:sz w:val="18"/>
              </w:rPr>
              <w:t> </w:t>
            </w:r>
            <w:r>
              <w:rPr>
                <w:sz w:val="18"/>
              </w:rPr>
              <w:t>timely</w:t>
            </w:r>
            <w:r>
              <w:rPr>
                <w:spacing w:val="-4"/>
                <w:sz w:val="18"/>
              </w:rPr>
              <w:t> </w:t>
            </w:r>
            <w:r>
              <w:rPr>
                <w:sz w:val="18"/>
              </w:rPr>
              <w:t>issuance of</w:t>
            </w:r>
            <w:r>
              <w:rPr>
                <w:spacing w:val="-3"/>
                <w:sz w:val="18"/>
              </w:rPr>
              <w:t> </w:t>
            </w:r>
            <w:r>
              <w:rPr>
                <w:sz w:val="18"/>
              </w:rPr>
              <w:t>documents</w:t>
            </w:r>
            <w:r>
              <w:rPr>
                <w:spacing w:val="-8"/>
                <w:sz w:val="18"/>
              </w:rPr>
              <w:t> </w:t>
            </w:r>
            <w:r>
              <w:rPr>
                <w:sz w:val="18"/>
              </w:rPr>
              <w:t>in</w:t>
            </w:r>
            <w:r>
              <w:rPr>
                <w:spacing w:val="-4"/>
                <w:sz w:val="18"/>
              </w:rPr>
              <w:t> </w:t>
            </w:r>
            <w:r>
              <w:rPr>
                <w:sz w:val="18"/>
              </w:rPr>
              <w:t>four official languages,</w:t>
            </w:r>
            <w:r>
              <w:rPr>
                <w:sz w:val="18"/>
                <w:vertAlign w:val="superscript"/>
              </w:rPr>
              <w:t>152</w:t>
            </w:r>
            <w:r>
              <w:rPr>
                <w:sz w:val="18"/>
                <w:vertAlign w:val="baseline"/>
              </w:rPr>
              <w:t> which fully support them in their functions</w:t>
            </w:r>
          </w:p>
          <w:p>
            <w:pPr>
              <w:pStyle w:val="TableParagraph"/>
              <w:spacing w:line="266" w:lineRule="auto" w:before="50"/>
              <w:ind w:left="248" w:right="76" w:hanging="144"/>
              <w:jc w:val="left"/>
              <w:rPr>
                <w:sz w:val="18"/>
              </w:rPr>
            </w:pPr>
            <w:r>
              <w:rPr>
                <w:sz w:val="18"/>
              </w:rPr>
              <w:t>˗</w:t>
            </w:r>
            <w:r>
              <w:rPr>
                <w:spacing w:val="40"/>
                <w:sz w:val="18"/>
              </w:rPr>
              <w:t> </w:t>
            </w:r>
            <w:r>
              <w:rPr>
                <w:sz w:val="18"/>
              </w:rPr>
              <w:t>States</w:t>
            </w:r>
            <w:r>
              <w:rPr>
                <w:spacing w:val="-4"/>
                <w:sz w:val="18"/>
              </w:rPr>
              <w:t> </w:t>
            </w:r>
            <w:r>
              <w:rPr>
                <w:sz w:val="18"/>
              </w:rPr>
              <w:t>receive the required assistance, in particular with obtaining information</w:t>
            </w:r>
            <w:r>
              <w:rPr>
                <w:spacing w:val="-5"/>
                <w:sz w:val="18"/>
              </w:rPr>
              <w:t> </w:t>
            </w:r>
            <w:r>
              <w:rPr>
                <w:sz w:val="18"/>
              </w:rPr>
              <w:t>and</w:t>
            </w:r>
            <w:r>
              <w:rPr>
                <w:spacing w:val="-5"/>
                <w:sz w:val="18"/>
              </w:rPr>
              <w:t> </w:t>
            </w:r>
            <w:r>
              <w:rPr>
                <w:sz w:val="18"/>
              </w:rPr>
              <w:t>documentation</w:t>
            </w:r>
            <w:r>
              <w:rPr>
                <w:spacing w:val="-5"/>
                <w:sz w:val="18"/>
              </w:rPr>
              <w:t> </w:t>
            </w:r>
            <w:r>
              <w:rPr>
                <w:sz w:val="18"/>
              </w:rPr>
              <w:t>about</w:t>
            </w:r>
            <w:r>
              <w:rPr>
                <w:spacing w:val="-3"/>
                <w:sz w:val="18"/>
              </w:rPr>
              <w:t> </w:t>
            </w:r>
            <w:r>
              <w:rPr>
                <w:sz w:val="18"/>
              </w:rPr>
              <w:t>the</w:t>
            </w:r>
            <w:r>
              <w:rPr>
                <w:spacing w:val="-5"/>
                <w:sz w:val="18"/>
              </w:rPr>
              <w:t> </w:t>
            </w:r>
            <w:r>
              <w:rPr>
                <w:sz w:val="18"/>
              </w:rPr>
              <w:t>Assembly</w:t>
            </w:r>
            <w:r>
              <w:rPr>
                <w:spacing w:val="-5"/>
                <w:sz w:val="18"/>
              </w:rPr>
              <w:t> </w:t>
            </w:r>
            <w:r>
              <w:rPr>
                <w:sz w:val="18"/>
              </w:rPr>
              <w:t>and</w:t>
            </w:r>
            <w:r>
              <w:rPr>
                <w:spacing w:val="-5"/>
                <w:sz w:val="18"/>
              </w:rPr>
              <w:t> </w:t>
            </w:r>
            <w:r>
              <w:rPr>
                <w:sz w:val="18"/>
              </w:rPr>
              <w:t>the</w:t>
            </w:r>
            <w:r>
              <w:rPr>
                <w:spacing w:val="-5"/>
                <w:sz w:val="18"/>
              </w:rPr>
              <w:t> </w:t>
            </w:r>
            <w:r>
              <w:rPr>
                <w:sz w:val="18"/>
              </w:rPr>
              <w:t>Court</w:t>
            </w:r>
          </w:p>
        </w:tc>
        <w:tc>
          <w:tcPr>
            <w:tcW w:w="1094" w:type="dxa"/>
            <w:tcBorders>
              <w:top w:val="single" w:sz="4" w:space="0" w:color="000000"/>
              <w:bottom w:val="single" w:sz="4" w:space="0" w:color="000000"/>
            </w:tcBorders>
          </w:tcPr>
          <w:p>
            <w:pPr>
              <w:pStyle w:val="TableParagraph"/>
              <w:spacing w:before="62"/>
              <w:ind w:left="77"/>
              <w:jc w:val="left"/>
              <w:rPr>
                <w:sz w:val="18"/>
              </w:rPr>
            </w:pPr>
            <w:r>
              <w:rPr>
                <w:sz w:val="18"/>
              </w:rPr>
              <w:t>˗</w:t>
            </w:r>
            <w:r>
              <w:rPr>
                <w:spacing w:val="38"/>
                <w:sz w:val="18"/>
              </w:rPr>
              <w:t> </w:t>
            </w:r>
            <w:r>
              <w:rPr>
                <w:spacing w:val="-5"/>
                <w:sz w:val="18"/>
              </w:rPr>
              <w:t>n/a</w:t>
            </w:r>
          </w:p>
        </w:tc>
      </w:tr>
      <w:tr>
        <w:trPr>
          <w:trHeight w:val="849" w:hRule="atLeast"/>
        </w:trPr>
        <w:tc>
          <w:tcPr>
            <w:tcW w:w="2762" w:type="dxa"/>
            <w:tcBorders>
              <w:top w:val="single" w:sz="4" w:space="0" w:color="000000"/>
              <w:bottom w:val="single" w:sz="4" w:space="0" w:color="000000"/>
            </w:tcBorders>
          </w:tcPr>
          <w:p>
            <w:pPr>
              <w:pStyle w:val="TableParagraph"/>
              <w:spacing w:before="47"/>
              <w:ind w:left="28"/>
              <w:jc w:val="left"/>
              <w:rPr>
                <w:b/>
                <w:sz w:val="18"/>
              </w:rPr>
            </w:pPr>
            <w:r>
              <w:rPr>
                <w:b/>
                <w:sz w:val="18"/>
              </w:rPr>
              <w:t>Objective</w:t>
            </w:r>
            <w:r>
              <w:rPr>
                <w:b/>
                <w:spacing w:val="-6"/>
                <w:sz w:val="18"/>
              </w:rPr>
              <w:t> </w:t>
            </w:r>
            <w:r>
              <w:rPr>
                <w:b/>
                <w:spacing w:val="-10"/>
                <w:sz w:val="18"/>
              </w:rPr>
              <w:t>3</w:t>
            </w:r>
          </w:p>
          <w:p>
            <w:pPr>
              <w:pStyle w:val="TableParagraph"/>
              <w:spacing w:line="273" w:lineRule="auto" w:before="77"/>
              <w:ind w:left="28"/>
              <w:jc w:val="left"/>
              <w:rPr>
                <w:sz w:val="18"/>
              </w:rPr>
            </w:pPr>
            <w:r>
              <w:rPr>
                <w:sz w:val="18"/>
              </w:rPr>
              <w:t>Quality</w:t>
            </w:r>
            <w:r>
              <w:rPr>
                <w:spacing w:val="-8"/>
                <w:sz w:val="18"/>
              </w:rPr>
              <w:t> </w:t>
            </w:r>
            <w:r>
              <w:rPr>
                <w:sz w:val="18"/>
              </w:rPr>
              <w:t>legal</w:t>
            </w:r>
            <w:r>
              <w:rPr>
                <w:spacing w:val="-6"/>
                <w:sz w:val="18"/>
              </w:rPr>
              <w:t> </w:t>
            </w:r>
            <w:r>
              <w:rPr>
                <w:sz w:val="18"/>
              </w:rPr>
              <w:t>advice</w:t>
            </w:r>
            <w:r>
              <w:rPr>
                <w:spacing w:val="-7"/>
                <w:sz w:val="18"/>
              </w:rPr>
              <w:t> </w:t>
            </w:r>
            <w:r>
              <w:rPr>
                <w:sz w:val="18"/>
              </w:rPr>
              <w:t>provided</w:t>
            </w:r>
            <w:r>
              <w:rPr>
                <w:spacing w:val="-12"/>
                <w:sz w:val="18"/>
              </w:rPr>
              <w:t> </w:t>
            </w:r>
            <w:r>
              <w:rPr>
                <w:sz w:val="18"/>
              </w:rPr>
              <w:t>to</w:t>
            </w:r>
            <w:r>
              <w:rPr>
                <w:spacing w:val="-7"/>
                <w:sz w:val="18"/>
              </w:rPr>
              <w:t> </w:t>
            </w:r>
            <w:r>
              <w:rPr>
                <w:sz w:val="18"/>
              </w:rPr>
              <w:t>the Assembly and its subsidiary bodies</w:t>
            </w:r>
          </w:p>
        </w:tc>
        <w:tc>
          <w:tcPr>
            <w:tcW w:w="5842" w:type="dxa"/>
            <w:tcBorders>
              <w:top w:val="single" w:sz="4" w:space="0" w:color="000000"/>
              <w:bottom w:val="single" w:sz="4" w:space="0" w:color="000000"/>
            </w:tcBorders>
          </w:tcPr>
          <w:p>
            <w:pPr>
              <w:pStyle w:val="TableParagraph"/>
              <w:spacing w:line="273" w:lineRule="auto" w:before="47"/>
              <w:ind w:left="248" w:hanging="144"/>
              <w:jc w:val="left"/>
              <w:rPr>
                <w:sz w:val="18"/>
              </w:rPr>
            </w:pPr>
            <w:r>
              <w:rPr>
                <w:sz w:val="18"/>
              </w:rPr>
              <w:t>˗</w:t>
            </w:r>
            <w:r>
              <w:rPr>
                <w:spacing w:val="33"/>
                <w:sz w:val="18"/>
              </w:rPr>
              <w:t> </w:t>
            </w:r>
            <w:r>
              <w:rPr>
                <w:sz w:val="18"/>
              </w:rPr>
              <w:t>States</w:t>
            </w:r>
            <w:r>
              <w:rPr>
                <w:spacing w:val="-9"/>
                <w:sz w:val="18"/>
              </w:rPr>
              <w:t> </w:t>
            </w:r>
            <w:r>
              <w:rPr>
                <w:sz w:val="18"/>
              </w:rPr>
              <w:t>receive</w:t>
            </w:r>
            <w:r>
              <w:rPr>
                <w:spacing w:val="-5"/>
                <w:sz w:val="18"/>
              </w:rPr>
              <w:t> </w:t>
            </w:r>
            <w:r>
              <w:rPr>
                <w:sz w:val="18"/>
              </w:rPr>
              <w:t>substantive</w:t>
            </w:r>
            <w:r>
              <w:rPr>
                <w:spacing w:val="-5"/>
                <w:sz w:val="18"/>
              </w:rPr>
              <w:t> </w:t>
            </w:r>
            <w:r>
              <w:rPr>
                <w:sz w:val="18"/>
              </w:rPr>
              <w:t>legal</w:t>
            </w:r>
            <w:r>
              <w:rPr>
                <w:spacing w:val="-3"/>
                <w:sz w:val="18"/>
              </w:rPr>
              <w:t> </w:t>
            </w:r>
            <w:r>
              <w:rPr>
                <w:sz w:val="18"/>
              </w:rPr>
              <w:t>services,</w:t>
            </w:r>
            <w:r>
              <w:rPr>
                <w:spacing w:val="-3"/>
                <w:sz w:val="18"/>
              </w:rPr>
              <w:t> </w:t>
            </w:r>
            <w:r>
              <w:rPr>
                <w:sz w:val="18"/>
              </w:rPr>
              <w:t>including</w:t>
            </w:r>
            <w:r>
              <w:rPr>
                <w:spacing w:val="-5"/>
                <w:sz w:val="18"/>
              </w:rPr>
              <w:t> </w:t>
            </w:r>
            <w:r>
              <w:rPr>
                <w:sz w:val="18"/>
              </w:rPr>
              <w:t>the</w:t>
            </w:r>
            <w:r>
              <w:rPr>
                <w:spacing w:val="-5"/>
                <w:sz w:val="18"/>
              </w:rPr>
              <w:t> </w:t>
            </w:r>
            <w:r>
              <w:rPr>
                <w:sz w:val="18"/>
              </w:rPr>
              <w:t>provision</w:t>
            </w:r>
            <w:r>
              <w:rPr>
                <w:spacing w:val="-5"/>
                <w:sz w:val="18"/>
              </w:rPr>
              <w:t> </w:t>
            </w:r>
            <w:r>
              <w:rPr>
                <w:sz w:val="18"/>
              </w:rPr>
              <w:t>of documentation, which facilitate and support their work</w:t>
            </w:r>
          </w:p>
          <w:p>
            <w:pPr>
              <w:pStyle w:val="TableParagraph"/>
              <w:spacing w:before="47"/>
              <w:ind w:left="104"/>
              <w:jc w:val="left"/>
              <w:rPr>
                <w:sz w:val="18"/>
              </w:rPr>
            </w:pPr>
            <w:r>
              <w:rPr>
                <w:sz w:val="18"/>
              </w:rPr>
              <w:t>˗</w:t>
            </w:r>
            <w:r>
              <w:rPr>
                <w:spacing w:val="33"/>
                <w:sz w:val="18"/>
              </w:rPr>
              <w:t> </w:t>
            </w:r>
            <w:r>
              <w:rPr>
                <w:sz w:val="18"/>
              </w:rPr>
              <w:t>Members</w:t>
            </w:r>
            <w:r>
              <w:rPr>
                <w:spacing w:val="-5"/>
                <w:sz w:val="18"/>
              </w:rPr>
              <w:t> </w:t>
            </w:r>
            <w:r>
              <w:rPr>
                <w:sz w:val="18"/>
              </w:rPr>
              <w:t>of</w:t>
            </w:r>
            <w:r>
              <w:rPr>
                <w:spacing w:val="-3"/>
                <w:sz w:val="18"/>
              </w:rPr>
              <w:t> </w:t>
            </w:r>
            <w:r>
              <w:rPr>
                <w:sz w:val="18"/>
              </w:rPr>
              <w:t>the</w:t>
            </w:r>
            <w:r>
              <w:rPr>
                <w:spacing w:val="2"/>
                <w:sz w:val="18"/>
              </w:rPr>
              <w:t> </w:t>
            </w:r>
            <w:r>
              <w:rPr>
                <w:sz w:val="18"/>
              </w:rPr>
              <w:t>Assembly</w:t>
            </w:r>
            <w:r>
              <w:rPr>
                <w:spacing w:val="-5"/>
                <w:sz w:val="18"/>
              </w:rPr>
              <w:t> </w:t>
            </w:r>
            <w:r>
              <w:rPr>
                <w:sz w:val="18"/>
              </w:rPr>
              <w:t>and</w:t>
            </w:r>
            <w:r>
              <w:rPr>
                <w:spacing w:val="-4"/>
                <w:sz w:val="18"/>
              </w:rPr>
              <w:t> </w:t>
            </w:r>
            <w:r>
              <w:rPr>
                <w:sz w:val="18"/>
              </w:rPr>
              <w:t>relevant</w:t>
            </w:r>
            <w:r>
              <w:rPr>
                <w:spacing w:val="-3"/>
                <w:sz w:val="18"/>
              </w:rPr>
              <w:t> </w:t>
            </w:r>
            <w:r>
              <w:rPr>
                <w:sz w:val="18"/>
              </w:rPr>
              <w:t>bodies</w:t>
            </w:r>
            <w:r>
              <w:rPr>
                <w:spacing w:val="-4"/>
                <w:sz w:val="18"/>
              </w:rPr>
              <w:t> </w:t>
            </w:r>
            <w:r>
              <w:rPr>
                <w:sz w:val="18"/>
              </w:rPr>
              <w:t>are</w:t>
            </w:r>
            <w:r>
              <w:rPr>
                <w:spacing w:val="-5"/>
                <w:sz w:val="18"/>
              </w:rPr>
              <w:t> </w:t>
            </w:r>
            <w:r>
              <w:rPr>
                <w:sz w:val="18"/>
              </w:rPr>
              <w:t>satisfied</w:t>
            </w:r>
            <w:r>
              <w:rPr>
                <w:spacing w:val="-4"/>
                <w:sz w:val="18"/>
              </w:rPr>
              <w:t> </w:t>
            </w:r>
            <w:r>
              <w:rPr>
                <w:sz w:val="18"/>
              </w:rPr>
              <w:t>with</w:t>
            </w:r>
            <w:r>
              <w:rPr>
                <w:spacing w:val="-5"/>
                <w:sz w:val="18"/>
              </w:rPr>
              <w:t> </w:t>
            </w:r>
            <w:r>
              <w:rPr>
                <w:sz w:val="18"/>
              </w:rPr>
              <w:t>the</w:t>
            </w:r>
            <w:r>
              <w:rPr>
                <w:spacing w:val="-5"/>
                <w:sz w:val="18"/>
              </w:rPr>
              <w:t> </w:t>
            </w:r>
            <w:r>
              <w:rPr>
                <w:spacing w:val="-2"/>
                <w:sz w:val="18"/>
              </w:rPr>
              <w:t>sessions</w:t>
            </w:r>
          </w:p>
        </w:tc>
        <w:tc>
          <w:tcPr>
            <w:tcW w:w="1094" w:type="dxa"/>
            <w:tcBorders>
              <w:top w:val="single" w:sz="4" w:space="0" w:color="000000"/>
              <w:bottom w:val="single" w:sz="4" w:space="0" w:color="000000"/>
            </w:tcBorders>
          </w:tcPr>
          <w:p>
            <w:pPr>
              <w:pStyle w:val="TableParagraph"/>
              <w:spacing w:before="62"/>
              <w:ind w:left="77"/>
              <w:jc w:val="left"/>
              <w:rPr>
                <w:sz w:val="18"/>
              </w:rPr>
            </w:pPr>
            <w:r>
              <w:rPr>
                <w:sz w:val="18"/>
              </w:rPr>
              <w:t>˗</w:t>
            </w:r>
            <w:r>
              <w:rPr>
                <w:spacing w:val="38"/>
                <w:sz w:val="18"/>
              </w:rPr>
              <w:t> </w:t>
            </w:r>
            <w:r>
              <w:rPr>
                <w:spacing w:val="-5"/>
                <w:sz w:val="18"/>
              </w:rPr>
              <w:t>n/a</w:t>
            </w:r>
          </w:p>
        </w:tc>
      </w:tr>
      <w:tr>
        <w:trPr>
          <w:trHeight w:val="1089" w:hRule="atLeast"/>
        </w:trPr>
        <w:tc>
          <w:tcPr>
            <w:tcW w:w="2762" w:type="dxa"/>
            <w:tcBorders>
              <w:top w:val="single" w:sz="4" w:space="0" w:color="000000"/>
              <w:bottom w:val="single" w:sz="4" w:space="0" w:color="000000"/>
            </w:tcBorders>
          </w:tcPr>
          <w:p>
            <w:pPr>
              <w:pStyle w:val="TableParagraph"/>
              <w:spacing w:before="48"/>
              <w:ind w:left="28"/>
              <w:jc w:val="left"/>
              <w:rPr>
                <w:b/>
                <w:sz w:val="18"/>
              </w:rPr>
            </w:pPr>
            <w:r>
              <w:rPr>
                <w:b/>
                <w:sz w:val="18"/>
              </w:rPr>
              <w:t>Objective</w:t>
            </w:r>
            <w:r>
              <w:rPr>
                <w:b/>
                <w:spacing w:val="-6"/>
                <w:sz w:val="18"/>
              </w:rPr>
              <w:t> </w:t>
            </w:r>
            <w:r>
              <w:rPr>
                <w:b/>
                <w:spacing w:val="-10"/>
                <w:sz w:val="18"/>
              </w:rPr>
              <w:t>4</w:t>
            </w:r>
          </w:p>
          <w:p>
            <w:pPr>
              <w:pStyle w:val="TableParagraph"/>
              <w:spacing w:line="273" w:lineRule="auto" w:before="81"/>
              <w:ind w:left="28"/>
              <w:jc w:val="left"/>
              <w:rPr>
                <w:sz w:val="18"/>
              </w:rPr>
            </w:pPr>
            <w:r>
              <w:rPr>
                <w:sz w:val="18"/>
              </w:rPr>
              <w:t>Effective dissemination of documentation and information to States</w:t>
            </w:r>
            <w:r>
              <w:rPr>
                <w:spacing w:val="-10"/>
                <w:sz w:val="18"/>
              </w:rPr>
              <w:t> </w:t>
            </w:r>
            <w:r>
              <w:rPr>
                <w:sz w:val="18"/>
              </w:rPr>
              <w:t>Parties</w:t>
            </w:r>
            <w:r>
              <w:rPr>
                <w:spacing w:val="-10"/>
                <w:sz w:val="18"/>
              </w:rPr>
              <w:t> </w:t>
            </w:r>
            <w:r>
              <w:rPr>
                <w:sz w:val="18"/>
              </w:rPr>
              <w:t>(online</w:t>
            </w:r>
            <w:r>
              <w:rPr>
                <w:spacing w:val="-10"/>
                <w:sz w:val="18"/>
              </w:rPr>
              <w:t> </w:t>
            </w:r>
            <w:r>
              <w:rPr>
                <w:sz w:val="18"/>
              </w:rPr>
              <w:t>and</w:t>
            </w:r>
            <w:r>
              <w:rPr>
                <w:spacing w:val="-10"/>
                <w:sz w:val="18"/>
              </w:rPr>
              <w:t> </w:t>
            </w:r>
            <w:r>
              <w:rPr>
                <w:sz w:val="18"/>
              </w:rPr>
              <w:t>otherwise)</w:t>
            </w:r>
          </w:p>
        </w:tc>
        <w:tc>
          <w:tcPr>
            <w:tcW w:w="5842" w:type="dxa"/>
            <w:tcBorders>
              <w:top w:val="single" w:sz="4" w:space="0" w:color="000000"/>
              <w:bottom w:val="single" w:sz="4" w:space="0" w:color="000000"/>
            </w:tcBorders>
          </w:tcPr>
          <w:p>
            <w:pPr>
              <w:pStyle w:val="TableParagraph"/>
              <w:spacing w:line="273" w:lineRule="auto" w:before="48"/>
              <w:ind w:left="248" w:right="76" w:hanging="144"/>
              <w:jc w:val="left"/>
              <w:rPr>
                <w:sz w:val="18"/>
              </w:rPr>
            </w:pPr>
            <w:r>
              <w:rPr>
                <w:sz w:val="18"/>
              </w:rPr>
              <w:t>˗</w:t>
            </w:r>
            <w:r>
              <w:rPr>
                <w:spacing w:val="32"/>
                <w:sz w:val="18"/>
              </w:rPr>
              <w:t> </w:t>
            </w:r>
            <w:r>
              <w:rPr>
                <w:sz w:val="18"/>
              </w:rPr>
              <w:t>The</w:t>
            </w:r>
            <w:r>
              <w:rPr>
                <w:spacing w:val="-1"/>
                <w:sz w:val="18"/>
              </w:rPr>
              <w:t> </w:t>
            </w:r>
            <w:r>
              <w:rPr>
                <w:sz w:val="18"/>
              </w:rPr>
              <w:t>website</w:t>
            </w:r>
            <w:r>
              <w:rPr>
                <w:spacing w:val="-6"/>
                <w:sz w:val="18"/>
              </w:rPr>
              <w:t> </w:t>
            </w:r>
            <w:r>
              <w:rPr>
                <w:sz w:val="18"/>
              </w:rPr>
              <w:t>and</w:t>
            </w:r>
            <w:r>
              <w:rPr>
                <w:spacing w:val="-6"/>
                <w:sz w:val="18"/>
              </w:rPr>
              <w:t> </w:t>
            </w:r>
            <w:r>
              <w:rPr>
                <w:sz w:val="18"/>
              </w:rPr>
              <w:t>extranets</w:t>
            </w:r>
            <w:r>
              <w:rPr>
                <w:spacing w:val="-1"/>
                <w:sz w:val="18"/>
              </w:rPr>
              <w:t> </w:t>
            </w:r>
            <w:r>
              <w:rPr>
                <w:sz w:val="18"/>
              </w:rPr>
              <w:t>of</w:t>
            </w:r>
            <w:r>
              <w:rPr>
                <w:spacing w:val="-5"/>
                <w:sz w:val="18"/>
              </w:rPr>
              <w:t> </w:t>
            </w:r>
            <w:r>
              <w:rPr>
                <w:sz w:val="18"/>
              </w:rPr>
              <w:t>the</w:t>
            </w:r>
            <w:r>
              <w:rPr>
                <w:spacing w:val="-1"/>
                <w:sz w:val="18"/>
              </w:rPr>
              <w:t> </w:t>
            </w:r>
            <w:r>
              <w:rPr>
                <w:sz w:val="18"/>
              </w:rPr>
              <w:t>Assembly,</w:t>
            </w:r>
            <w:r>
              <w:rPr>
                <w:spacing w:val="-4"/>
                <w:sz w:val="18"/>
              </w:rPr>
              <w:t> </w:t>
            </w:r>
            <w:r>
              <w:rPr>
                <w:sz w:val="18"/>
              </w:rPr>
              <w:t>Bureau,</w:t>
            </w:r>
            <w:r>
              <w:rPr>
                <w:spacing w:val="-4"/>
                <w:sz w:val="18"/>
              </w:rPr>
              <w:t> </w:t>
            </w:r>
            <w:r>
              <w:rPr>
                <w:sz w:val="18"/>
              </w:rPr>
              <w:t>Committee</w:t>
            </w:r>
            <w:r>
              <w:rPr>
                <w:spacing w:val="-6"/>
                <w:sz w:val="18"/>
              </w:rPr>
              <w:t> </w:t>
            </w:r>
            <w:r>
              <w:rPr>
                <w:sz w:val="18"/>
              </w:rPr>
              <w:t>on</w:t>
            </w:r>
            <w:r>
              <w:rPr>
                <w:spacing w:val="-10"/>
                <w:sz w:val="18"/>
              </w:rPr>
              <w:t> </w:t>
            </w:r>
            <w:r>
              <w:rPr>
                <w:sz w:val="18"/>
              </w:rPr>
              <w:t>Budget and Finance, and Audit Committee are used frequently</w:t>
            </w:r>
          </w:p>
        </w:tc>
        <w:tc>
          <w:tcPr>
            <w:tcW w:w="1094" w:type="dxa"/>
            <w:tcBorders>
              <w:top w:val="single" w:sz="4" w:space="0" w:color="000000"/>
              <w:bottom w:val="single" w:sz="4" w:space="0" w:color="000000"/>
            </w:tcBorders>
          </w:tcPr>
          <w:p>
            <w:pPr>
              <w:pStyle w:val="TableParagraph"/>
              <w:spacing w:before="62"/>
              <w:ind w:left="77"/>
              <w:jc w:val="left"/>
              <w:rPr>
                <w:sz w:val="18"/>
              </w:rPr>
            </w:pPr>
            <w:r>
              <w:rPr>
                <w:sz w:val="18"/>
              </w:rPr>
              <w:t>˗</w:t>
            </w:r>
            <w:r>
              <w:rPr>
                <w:spacing w:val="38"/>
                <w:sz w:val="18"/>
              </w:rPr>
              <w:t> </w:t>
            </w:r>
            <w:r>
              <w:rPr>
                <w:spacing w:val="-5"/>
                <w:sz w:val="18"/>
              </w:rPr>
              <w:t>n/a</w:t>
            </w: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sz w:val="22"/>
        </w:rPr>
      </w:pPr>
      <w:r>
        <w:rPr/>
        <w:pict>
          <v:rect style="position:absolute;margin-left:113.330002pt;margin-top:13.941356pt;width:144.050pt;height:.48004pt;mso-position-horizontal-relative:page;mso-position-vertical-relative:paragraph;z-index:-15674368;mso-wrap-distance-left:0;mso-wrap-distance-right:0" id="docshape404" filled="true" fillcolor="#000000" stroked="false">
            <v:fill type="solid"/>
            <w10:wrap type="topAndBottom"/>
          </v:rect>
        </w:pict>
      </w:r>
    </w:p>
    <w:p>
      <w:pPr>
        <w:spacing w:before="86"/>
        <w:ind w:left="2246" w:right="2195" w:firstLine="0"/>
        <w:jc w:val="left"/>
        <w:rPr>
          <w:sz w:val="16"/>
        </w:rPr>
      </w:pPr>
      <w:r>
        <w:rPr>
          <w:position w:val="5"/>
          <w:sz w:val="10"/>
        </w:rPr>
        <w:t>152</w:t>
      </w:r>
      <w:r>
        <w:rPr>
          <w:spacing w:val="30"/>
          <w:position w:val="5"/>
          <w:sz w:val="10"/>
        </w:rPr>
        <w:t> </w:t>
      </w:r>
      <w:r>
        <w:rPr>
          <w:sz w:val="16"/>
        </w:rPr>
        <w:t>As of</w:t>
      </w:r>
      <w:r>
        <w:rPr>
          <w:spacing w:val="17"/>
          <w:sz w:val="16"/>
        </w:rPr>
        <w:t> </w:t>
      </w:r>
      <w:r>
        <w:rPr>
          <w:sz w:val="16"/>
        </w:rPr>
        <w:t>2009, official documents for the Assembly are</w:t>
      </w:r>
      <w:r>
        <w:rPr>
          <w:spacing w:val="19"/>
          <w:sz w:val="16"/>
        </w:rPr>
        <w:t> </w:t>
      </w:r>
      <w:r>
        <w:rPr>
          <w:sz w:val="16"/>
        </w:rPr>
        <w:t>issued in four official languages only: Arabic, English,</w:t>
      </w:r>
      <w:r>
        <w:rPr>
          <w:spacing w:val="40"/>
          <w:sz w:val="16"/>
        </w:rPr>
        <w:t> </w:t>
      </w:r>
      <w:r>
        <w:rPr>
          <w:sz w:val="16"/>
        </w:rPr>
        <w:t>French and Spanish.</w:t>
      </w:r>
    </w:p>
    <w:p>
      <w:pPr>
        <w:spacing w:after="0"/>
        <w:jc w:val="left"/>
        <w:rPr>
          <w:sz w:val="16"/>
        </w:rPr>
        <w:sectPr>
          <w:pgSz w:w="11910" w:h="16840"/>
          <w:pgMar w:header="957" w:footer="940" w:top="1140" w:bottom="1140" w:left="20" w:right="20"/>
        </w:sectPr>
      </w:pPr>
    </w:p>
    <w:p>
      <w:pPr>
        <w:pStyle w:val="BodyText"/>
        <w:spacing w:before="8"/>
        <w:rPr>
          <w:sz w:val="13"/>
        </w:rPr>
      </w:pPr>
    </w:p>
    <w:p>
      <w:pPr>
        <w:pStyle w:val="Heading1"/>
        <w:spacing w:before="87"/>
        <w:ind w:left="2246"/>
      </w:pPr>
      <w:bookmarkStart w:name="_bookmark72" w:id="73"/>
      <w:bookmarkEnd w:id="73"/>
      <w:r>
        <w:rPr>
          <w:b w:val="0"/>
        </w:rPr>
      </w:r>
      <w:r>
        <w:rPr/>
        <w:t>Major</w:t>
      </w:r>
      <w:r>
        <w:rPr>
          <w:spacing w:val="-10"/>
        </w:rPr>
        <w:t> </w:t>
      </w:r>
      <w:r>
        <w:rPr/>
        <w:t>Programme</w:t>
      </w:r>
      <w:r>
        <w:rPr>
          <w:spacing w:val="-9"/>
        </w:rPr>
        <w:t> </w:t>
      </w:r>
      <w:r>
        <w:rPr/>
        <w:t>VII-5:</w:t>
      </w:r>
      <w:r>
        <w:rPr>
          <w:spacing w:val="-10"/>
        </w:rPr>
        <w:t> </w:t>
      </w:r>
      <w:r>
        <w:rPr/>
        <w:t>Independent</w:t>
      </w:r>
      <w:r>
        <w:rPr>
          <w:spacing w:val="-7"/>
        </w:rPr>
        <w:t> </w:t>
      </w:r>
      <w:r>
        <w:rPr/>
        <w:t>Oversight</w:t>
      </w:r>
      <w:r>
        <w:rPr>
          <w:spacing w:val="-11"/>
        </w:rPr>
        <w:t> </w:t>
      </w:r>
      <w:r>
        <w:rPr>
          <w:spacing w:val="-2"/>
        </w:rPr>
        <w:t>Mechanism</w:t>
      </w:r>
    </w:p>
    <w:p>
      <w:pPr>
        <w:spacing w:before="268"/>
        <w:ind w:left="2246" w:right="0" w:firstLine="0"/>
        <w:jc w:val="left"/>
        <w:rPr>
          <w:b/>
          <w:sz w:val="24"/>
        </w:rPr>
      </w:pPr>
      <w:r>
        <w:rPr>
          <w:b/>
          <w:sz w:val="24"/>
        </w:rPr>
        <w:t>Expected</w:t>
      </w:r>
      <w:r>
        <w:rPr>
          <w:b/>
          <w:spacing w:val="-5"/>
          <w:sz w:val="24"/>
        </w:rPr>
        <w:t> </w:t>
      </w:r>
      <w:r>
        <w:rPr>
          <w:b/>
          <w:sz w:val="24"/>
        </w:rPr>
        <w:t>results,</w:t>
      </w:r>
      <w:r>
        <w:rPr>
          <w:b/>
          <w:spacing w:val="-2"/>
          <w:sz w:val="24"/>
        </w:rPr>
        <w:t> </w:t>
      </w:r>
      <w:r>
        <w:rPr>
          <w:b/>
          <w:sz w:val="24"/>
        </w:rPr>
        <w:t>performance</w:t>
      </w:r>
      <w:r>
        <w:rPr>
          <w:b/>
          <w:spacing w:val="-6"/>
          <w:sz w:val="24"/>
        </w:rPr>
        <w:t> </w:t>
      </w:r>
      <w:r>
        <w:rPr>
          <w:b/>
          <w:sz w:val="24"/>
        </w:rPr>
        <w:t>indicators</w:t>
      </w:r>
      <w:r>
        <w:rPr>
          <w:b/>
          <w:spacing w:val="-6"/>
          <w:sz w:val="24"/>
        </w:rPr>
        <w:t> </w:t>
      </w:r>
      <w:r>
        <w:rPr>
          <w:b/>
          <w:sz w:val="24"/>
        </w:rPr>
        <w:t>and</w:t>
      </w:r>
      <w:r>
        <w:rPr>
          <w:b/>
          <w:spacing w:val="-8"/>
          <w:sz w:val="24"/>
        </w:rPr>
        <w:t> </w:t>
      </w:r>
      <w:r>
        <w:rPr>
          <w:b/>
          <w:sz w:val="24"/>
        </w:rPr>
        <w:t>targets</w:t>
      </w:r>
      <w:r>
        <w:rPr>
          <w:b/>
          <w:spacing w:val="-6"/>
          <w:sz w:val="24"/>
        </w:rPr>
        <w:t> </w:t>
      </w:r>
      <w:r>
        <w:rPr>
          <w:b/>
          <w:sz w:val="24"/>
        </w:rPr>
        <w:t>for</w:t>
      </w:r>
      <w:r>
        <w:rPr>
          <w:b/>
          <w:spacing w:val="-5"/>
          <w:sz w:val="24"/>
        </w:rPr>
        <w:t> </w:t>
      </w:r>
      <w:r>
        <w:rPr>
          <w:b/>
          <w:spacing w:val="-4"/>
          <w:sz w:val="24"/>
        </w:rPr>
        <w:t>2023</w:t>
      </w:r>
    </w:p>
    <w:p>
      <w:pPr>
        <w:pStyle w:val="BodyText"/>
        <w:spacing w:before="6"/>
        <w:rPr>
          <w:b/>
        </w:rPr>
      </w:pPr>
    </w:p>
    <w:tbl>
      <w:tblPr>
        <w:tblW w:w="0" w:type="auto"/>
        <w:jc w:val="left"/>
        <w:tblInd w:w="1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69"/>
        <w:gridCol w:w="3024"/>
        <w:gridCol w:w="1715"/>
      </w:tblGrid>
      <w:tr>
        <w:trPr>
          <w:trHeight w:val="302" w:hRule="atLeast"/>
        </w:trPr>
        <w:tc>
          <w:tcPr>
            <w:tcW w:w="4769" w:type="dxa"/>
            <w:tcBorders>
              <w:top w:val="single" w:sz="4" w:space="0" w:color="000000"/>
              <w:bottom w:val="single" w:sz="4" w:space="0" w:color="000000"/>
            </w:tcBorders>
          </w:tcPr>
          <w:p>
            <w:pPr>
              <w:pStyle w:val="TableParagraph"/>
              <w:spacing w:before="47"/>
              <w:ind w:left="1782" w:right="1783"/>
              <w:jc w:val="center"/>
              <w:rPr>
                <w:i/>
                <w:sz w:val="18"/>
              </w:rPr>
            </w:pPr>
            <w:r>
              <w:rPr>
                <w:i/>
                <w:sz w:val="18"/>
              </w:rPr>
              <w:t>Expected</w:t>
            </w:r>
            <w:r>
              <w:rPr>
                <w:i/>
                <w:spacing w:val="-7"/>
                <w:sz w:val="18"/>
              </w:rPr>
              <w:t> </w:t>
            </w:r>
            <w:r>
              <w:rPr>
                <w:i/>
                <w:spacing w:val="-2"/>
                <w:sz w:val="18"/>
              </w:rPr>
              <w:t>results</w:t>
            </w:r>
          </w:p>
        </w:tc>
        <w:tc>
          <w:tcPr>
            <w:tcW w:w="3024" w:type="dxa"/>
            <w:tcBorders>
              <w:top w:val="single" w:sz="4" w:space="0" w:color="000000"/>
              <w:bottom w:val="single" w:sz="4" w:space="0" w:color="000000"/>
            </w:tcBorders>
          </w:tcPr>
          <w:p>
            <w:pPr>
              <w:pStyle w:val="TableParagraph"/>
              <w:spacing w:before="47"/>
              <w:ind w:left="693"/>
              <w:jc w:val="left"/>
              <w:rPr>
                <w:i/>
                <w:sz w:val="18"/>
              </w:rPr>
            </w:pPr>
            <w:r>
              <w:rPr>
                <w:i/>
                <w:sz w:val="18"/>
              </w:rPr>
              <w:t>Performance</w:t>
            </w:r>
            <w:r>
              <w:rPr>
                <w:i/>
                <w:spacing w:val="-5"/>
                <w:sz w:val="18"/>
              </w:rPr>
              <w:t> </w:t>
            </w:r>
            <w:r>
              <w:rPr>
                <w:i/>
                <w:spacing w:val="-2"/>
                <w:sz w:val="18"/>
              </w:rPr>
              <w:t>indicators</w:t>
            </w:r>
          </w:p>
        </w:tc>
        <w:tc>
          <w:tcPr>
            <w:tcW w:w="1715" w:type="dxa"/>
            <w:tcBorders>
              <w:top w:val="single" w:sz="4" w:space="0" w:color="000000"/>
              <w:bottom w:val="single" w:sz="4" w:space="0" w:color="000000"/>
            </w:tcBorders>
          </w:tcPr>
          <w:p>
            <w:pPr>
              <w:pStyle w:val="TableParagraph"/>
              <w:spacing w:before="47"/>
              <w:ind w:left="454"/>
              <w:jc w:val="left"/>
              <w:rPr>
                <w:i/>
                <w:sz w:val="18"/>
              </w:rPr>
            </w:pPr>
            <w:r>
              <w:rPr>
                <w:i/>
                <w:sz w:val="18"/>
              </w:rPr>
              <w:t>Target</w:t>
            </w:r>
            <w:r>
              <w:rPr>
                <w:i/>
                <w:spacing w:val="-2"/>
                <w:sz w:val="18"/>
              </w:rPr>
              <w:t> </w:t>
            </w:r>
            <w:r>
              <w:rPr>
                <w:i/>
                <w:spacing w:val="-4"/>
                <w:sz w:val="18"/>
              </w:rPr>
              <w:t>2023</w:t>
            </w:r>
          </w:p>
        </w:tc>
      </w:tr>
      <w:tr>
        <w:trPr>
          <w:trHeight w:val="757" w:hRule="atLeast"/>
        </w:trPr>
        <w:tc>
          <w:tcPr>
            <w:tcW w:w="4769" w:type="dxa"/>
            <w:tcBorders>
              <w:top w:val="single" w:sz="4" w:space="0" w:color="000000"/>
              <w:bottom w:val="single" w:sz="4" w:space="0" w:color="000000"/>
            </w:tcBorders>
          </w:tcPr>
          <w:p>
            <w:pPr>
              <w:pStyle w:val="TableParagraph"/>
              <w:spacing w:before="47"/>
              <w:ind w:left="7"/>
              <w:jc w:val="left"/>
              <w:rPr>
                <w:b/>
                <w:sz w:val="18"/>
              </w:rPr>
            </w:pPr>
            <w:r>
              <w:rPr>
                <w:b/>
                <w:sz w:val="18"/>
              </w:rPr>
              <w:t>Objective</w:t>
            </w:r>
            <w:r>
              <w:rPr>
                <w:b/>
                <w:spacing w:val="-6"/>
                <w:sz w:val="18"/>
              </w:rPr>
              <w:t> </w:t>
            </w:r>
            <w:r>
              <w:rPr>
                <w:b/>
                <w:spacing w:val="-10"/>
                <w:sz w:val="18"/>
              </w:rPr>
              <w:t>1</w:t>
            </w:r>
          </w:p>
          <w:p>
            <w:pPr>
              <w:pStyle w:val="TableParagraph"/>
              <w:spacing w:before="43"/>
              <w:ind w:left="7"/>
              <w:jc w:val="left"/>
              <w:rPr>
                <w:sz w:val="18"/>
              </w:rPr>
            </w:pPr>
            <w:r>
              <w:rPr>
                <w:sz w:val="18"/>
              </w:rPr>
              <w:t>Contribute</w:t>
            </w:r>
            <w:r>
              <w:rPr>
                <w:spacing w:val="-6"/>
                <w:sz w:val="18"/>
              </w:rPr>
              <w:t> </w:t>
            </w:r>
            <w:r>
              <w:rPr>
                <w:sz w:val="18"/>
              </w:rPr>
              <w:t>to</w:t>
            </w:r>
            <w:r>
              <w:rPr>
                <w:spacing w:val="-6"/>
                <w:sz w:val="18"/>
              </w:rPr>
              <w:t> </w:t>
            </w:r>
            <w:r>
              <w:rPr>
                <w:sz w:val="18"/>
              </w:rPr>
              <w:t>the</w:t>
            </w:r>
            <w:r>
              <w:rPr>
                <w:spacing w:val="-6"/>
                <w:sz w:val="18"/>
              </w:rPr>
              <w:t> </w:t>
            </w:r>
            <w:r>
              <w:rPr>
                <w:sz w:val="18"/>
              </w:rPr>
              <w:t>effective</w:t>
            </w:r>
            <w:r>
              <w:rPr>
                <w:spacing w:val="-6"/>
                <w:sz w:val="18"/>
              </w:rPr>
              <w:t> </w:t>
            </w:r>
            <w:r>
              <w:rPr>
                <w:sz w:val="18"/>
              </w:rPr>
              <w:t>oversight</w:t>
            </w:r>
            <w:r>
              <w:rPr>
                <w:spacing w:val="-4"/>
                <w:sz w:val="18"/>
              </w:rPr>
              <w:t> </w:t>
            </w:r>
            <w:r>
              <w:rPr>
                <w:sz w:val="18"/>
              </w:rPr>
              <w:t>of</w:t>
            </w:r>
            <w:r>
              <w:rPr>
                <w:spacing w:val="-5"/>
                <w:sz w:val="18"/>
              </w:rPr>
              <w:t> </w:t>
            </w:r>
            <w:r>
              <w:rPr>
                <w:sz w:val="18"/>
              </w:rPr>
              <w:t>the</w:t>
            </w:r>
            <w:r>
              <w:rPr>
                <w:spacing w:val="-1"/>
                <w:sz w:val="18"/>
              </w:rPr>
              <w:t> </w:t>
            </w:r>
            <w:r>
              <w:rPr>
                <w:sz w:val="18"/>
              </w:rPr>
              <w:t>Court</w:t>
            </w:r>
            <w:r>
              <w:rPr>
                <w:spacing w:val="-4"/>
                <w:sz w:val="18"/>
              </w:rPr>
              <w:t> </w:t>
            </w:r>
            <w:r>
              <w:rPr>
                <w:sz w:val="18"/>
              </w:rPr>
              <w:t>through</w:t>
            </w:r>
            <w:r>
              <w:rPr>
                <w:spacing w:val="-6"/>
                <w:sz w:val="18"/>
              </w:rPr>
              <w:t> </w:t>
            </w:r>
            <w:r>
              <w:rPr>
                <w:sz w:val="18"/>
              </w:rPr>
              <w:t>timely and professional investigations of allegations of misconduct.</w:t>
            </w:r>
          </w:p>
        </w:tc>
        <w:tc>
          <w:tcPr>
            <w:tcW w:w="3024" w:type="dxa"/>
            <w:tcBorders>
              <w:top w:val="single" w:sz="4" w:space="0" w:color="000000"/>
              <w:bottom w:val="single" w:sz="4" w:space="0" w:color="000000"/>
            </w:tcBorders>
          </w:tcPr>
          <w:p>
            <w:pPr>
              <w:pStyle w:val="TableParagraph"/>
              <w:spacing w:before="47"/>
              <w:ind w:left="275" w:hanging="144"/>
              <w:jc w:val="left"/>
              <w:rPr>
                <w:sz w:val="18"/>
              </w:rPr>
            </w:pPr>
            <w:r>
              <w:rPr>
                <w:sz w:val="18"/>
              </w:rPr>
              <w:t>˗</w:t>
            </w:r>
            <w:r>
              <w:rPr>
                <w:spacing w:val="29"/>
                <w:sz w:val="18"/>
              </w:rPr>
              <w:t> </w:t>
            </w:r>
            <w:r>
              <w:rPr>
                <w:sz w:val="18"/>
              </w:rPr>
              <w:t>Percentage</w:t>
            </w:r>
            <w:r>
              <w:rPr>
                <w:spacing w:val="-1"/>
                <w:sz w:val="18"/>
              </w:rPr>
              <w:t> </w:t>
            </w:r>
            <w:r>
              <w:rPr>
                <w:sz w:val="18"/>
              </w:rPr>
              <w:t>of</w:t>
            </w:r>
            <w:r>
              <w:rPr>
                <w:spacing w:val="-6"/>
                <w:sz w:val="18"/>
              </w:rPr>
              <w:t> </w:t>
            </w:r>
            <w:r>
              <w:rPr>
                <w:sz w:val="18"/>
              </w:rPr>
              <w:t>cases</w:t>
            </w:r>
            <w:r>
              <w:rPr>
                <w:spacing w:val="-7"/>
                <w:sz w:val="18"/>
              </w:rPr>
              <w:t> </w:t>
            </w:r>
            <w:r>
              <w:rPr>
                <w:sz w:val="18"/>
              </w:rPr>
              <w:t>handled</w:t>
            </w:r>
            <w:r>
              <w:rPr>
                <w:spacing w:val="-7"/>
                <w:sz w:val="18"/>
              </w:rPr>
              <w:t> </w:t>
            </w:r>
            <w:r>
              <w:rPr>
                <w:sz w:val="18"/>
              </w:rPr>
              <w:t>within</w:t>
            </w:r>
            <w:r>
              <w:rPr>
                <w:spacing w:val="-7"/>
                <w:sz w:val="18"/>
              </w:rPr>
              <w:t> </w:t>
            </w:r>
            <w:r>
              <w:rPr>
                <w:sz w:val="18"/>
              </w:rPr>
              <w:t>6 months of reporting</w:t>
            </w:r>
          </w:p>
        </w:tc>
        <w:tc>
          <w:tcPr>
            <w:tcW w:w="1715" w:type="dxa"/>
            <w:tcBorders>
              <w:top w:val="single" w:sz="4" w:space="0" w:color="000000"/>
              <w:bottom w:val="single" w:sz="4" w:space="0" w:color="000000"/>
            </w:tcBorders>
          </w:tcPr>
          <w:p>
            <w:pPr>
              <w:pStyle w:val="TableParagraph"/>
              <w:spacing w:line="207" w:lineRule="exact"/>
              <w:ind w:left="84"/>
              <w:jc w:val="left"/>
              <w:rPr>
                <w:sz w:val="18"/>
              </w:rPr>
            </w:pPr>
            <w:r>
              <w:rPr>
                <w:sz w:val="18"/>
              </w:rPr>
              <w:t>˗</w:t>
            </w:r>
            <w:r>
              <w:rPr>
                <w:spacing w:val="38"/>
                <w:sz w:val="18"/>
              </w:rPr>
              <w:t> </w:t>
            </w:r>
            <w:r>
              <w:rPr>
                <w:spacing w:val="-5"/>
                <w:sz w:val="18"/>
              </w:rPr>
              <w:t>60%</w:t>
            </w:r>
          </w:p>
        </w:tc>
      </w:tr>
    </w:tbl>
    <w:p>
      <w:pPr>
        <w:spacing w:after="0" w:line="207" w:lineRule="exact"/>
        <w:jc w:val="left"/>
        <w:rPr>
          <w:sz w:val="18"/>
        </w:rPr>
        <w:sectPr>
          <w:headerReference w:type="even" r:id="rId141"/>
          <w:headerReference w:type="default" r:id="rId142"/>
          <w:footerReference w:type="even" r:id="rId143"/>
          <w:footerReference w:type="default" r:id="rId144"/>
          <w:pgSz w:w="11910" w:h="16840"/>
          <w:pgMar w:header="978" w:footer="940" w:top="1580" w:bottom="1140" w:left="20" w:right="20"/>
          <w:pgNumType w:start="208"/>
        </w:sectPr>
      </w:pPr>
    </w:p>
    <w:p>
      <w:pPr>
        <w:pStyle w:val="Heading1"/>
      </w:pPr>
      <w:r>
        <w:rPr/>
        <w:t>Annex</w:t>
      </w:r>
      <w:r>
        <w:rPr>
          <w:spacing w:val="-5"/>
        </w:rPr>
        <w:t> </w:t>
      </w:r>
      <w:r>
        <w:rPr/>
        <w:t>IV</w:t>
      </w:r>
      <w:r>
        <w:rPr>
          <w:spacing w:val="-4"/>
        </w:rPr>
        <w:t> </w:t>
      </w:r>
      <w:r>
        <w:rPr>
          <w:spacing w:val="-5"/>
        </w:rPr>
        <w:t>(g)</w:t>
      </w:r>
    </w:p>
    <w:p>
      <w:pPr>
        <w:spacing w:before="240"/>
        <w:ind w:left="2246" w:right="0" w:firstLine="0"/>
        <w:jc w:val="left"/>
        <w:rPr>
          <w:b/>
          <w:sz w:val="28"/>
        </w:rPr>
      </w:pPr>
      <w:bookmarkStart w:name="_bookmark73" w:id="74"/>
      <w:bookmarkEnd w:id="74"/>
      <w:r>
        <w:rPr/>
      </w:r>
      <w:r>
        <w:rPr>
          <w:b/>
          <w:sz w:val="28"/>
        </w:rPr>
        <w:t>Major</w:t>
      </w:r>
      <w:r>
        <w:rPr>
          <w:b/>
          <w:spacing w:val="-6"/>
          <w:sz w:val="28"/>
        </w:rPr>
        <w:t> </w:t>
      </w:r>
      <w:r>
        <w:rPr>
          <w:b/>
          <w:sz w:val="28"/>
        </w:rPr>
        <w:t>Programme</w:t>
      </w:r>
      <w:r>
        <w:rPr>
          <w:b/>
          <w:spacing w:val="-6"/>
          <w:sz w:val="28"/>
        </w:rPr>
        <w:t> </w:t>
      </w:r>
      <w:r>
        <w:rPr>
          <w:b/>
          <w:sz w:val="28"/>
        </w:rPr>
        <w:t>VII-6:</w:t>
      </w:r>
      <w:r>
        <w:rPr>
          <w:b/>
          <w:spacing w:val="-8"/>
          <w:sz w:val="28"/>
        </w:rPr>
        <w:t> </w:t>
      </w:r>
      <w:r>
        <w:rPr>
          <w:b/>
          <w:sz w:val="28"/>
        </w:rPr>
        <w:t>Office</w:t>
      </w:r>
      <w:r>
        <w:rPr>
          <w:b/>
          <w:spacing w:val="-5"/>
          <w:sz w:val="28"/>
        </w:rPr>
        <w:t> </w:t>
      </w:r>
      <w:r>
        <w:rPr>
          <w:b/>
          <w:sz w:val="28"/>
        </w:rPr>
        <w:t>of</w:t>
      </w:r>
      <w:r>
        <w:rPr>
          <w:b/>
          <w:spacing w:val="-7"/>
          <w:sz w:val="28"/>
        </w:rPr>
        <w:t> </w:t>
      </w:r>
      <w:r>
        <w:rPr>
          <w:b/>
          <w:sz w:val="28"/>
        </w:rPr>
        <w:t>Internal</w:t>
      </w:r>
      <w:r>
        <w:rPr>
          <w:b/>
          <w:spacing w:val="-6"/>
          <w:sz w:val="28"/>
        </w:rPr>
        <w:t> </w:t>
      </w:r>
      <w:r>
        <w:rPr>
          <w:b/>
          <w:spacing w:val="-2"/>
          <w:sz w:val="28"/>
        </w:rPr>
        <w:t>Audit</w:t>
      </w:r>
    </w:p>
    <w:p>
      <w:pPr>
        <w:spacing w:before="268"/>
        <w:ind w:left="2246" w:right="0" w:firstLine="0"/>
        <w:jc w:val="left"/>
        <w:rPr>
          <w:b/>
          <w:sz w:val="24"/>
        </w:rPr>
      </w:pPr>
      <w:r>
        <w:rPr>
          <w:b/>
          <w:sz w:val="24"/>
        </w:rPr>
        <w:t>Expected</w:t>
      </w:r>
      <w:r>
        <w:rPr>
          <w:b/>
          <w:spacing w:val="-5"/>
          <w:sz w:val="24"/>
        </w:rPr>
        <w:t> </w:t>
      </w:r>
      <w:r>
        <w:rPr>
          <w:b/>
          <w:sz w:val="24"/>
        </w:rPr>
        <w:t>results,</w:t>
      </w:r>
      <w:r>
        <w:rPr>
          <w:b/>
          <w:spacing w:val="-2"/>
          <w:sz w:val="24"/>
        </w:rPr>
        <w:t> </w:t>
      </w:r>
      <w:r>
        <w:rPr>
          <w:b/>
          <w:sz w:val="24"/>
        </w:rPr>
        <w:t>performance</w:t>
      </w:r>
      <w:r>
        <w:rPr>
          <w:b/>
          <w:spacing w:val="-6"/>
          <w:sz w:val="24"/>
        </w:rPr>
        <w:t> </w:t>
      </w:r>
      <w:r>
        <w:rPr>
          <w:b/>
          <w:sz w:val="24"/>
        </w:rPr>
        <w:t>indicators</w:t>
      </w:r>
      <w:r>
        <w:rPr>
          <w:b/>
          <w:spacing w:val="-6"/>
          <w:sz w:val="24"/>
        </w:rPr>
        <w:t> </w:t>
      </w:r>
      <w:r>
        <w:rPr>
          <w:b/>
          <w:sz w:val="24"/>
        </w:rPr>
        <w:t>and</w:t>
      </w:r>
      <w:r>
        <w:rPr>
          <w:b/>
          <w:spacing w:val="-8"/>
          <w:sz w:val="24"/>
        </w:rPr>
        <w:t> </w:t>
      </w:r>
      <w:r>
        <w:rPr>
          <w:b/>
          <w:sz w:val="24"/>
        </w:rPr>
        <w:t>targets</w:t>
      </w:r>
      <w:r>
        <w:rPr>
          <w:b/>
          <w:spacing w:val="-6"/>
          <w:sz w:val="24"/>
        </w:rPr>
        <w:t> </w:t>
      </w:r>
      <w:r>
        <w:rPr>
          <w:b/>
          <w:sz w:val="24"/>
        </w:rPr>
        <w:t>for</w:t>
      </w:r>
      <w:r>
        <w:rPr>
          <w:b/>
          <w:spacing w:val="-5"/>
          <w:sz w:val="24"/>
        </w:rPr>
        <w:t> </w:t>
      </w:r>
      <w:r>
        <w:rPr>
          <w:b/>
          <w:spacing w:val="-4"/>
          <w:sz w:val="24"/>
        </w:rPr>
        <w:t>2023</w:t>
      </w:r>
    </w:p>
    <w:p>
      <w:pPr>
        <w:pStyle w:val="BodyText"/>
        <w:spacing w:before="3"/>
        <w:rPr>
          <w:b/>
          <w:sz w:val="24"/>
        </w:rPr>
      </w:pPr>
    </w:p>
    <w:tbl>
      <w:tblPr>
        <w:tblW w:w="0" w:type="auto"/>
        <w:jc w:val="left"/>
        <w:tblInd w:w="1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18"/>
        <w:gridCol w:w="1989"/>
        <w:gridCol w:w="1943"/>
      </w:tblGrid>
      <w:tr>
        <w:trPr>
          <w:trHeight w:val="330" w:hRule="atLeast"/>
        </w:trPr>
        <w:tc>
          <w:tcPr>
            <w:tcW w:w="5718" w:type="dxa"/>
            <w:tcBorders>
              <w:top w:val="single" w:sz="4" w:space="0" w:color="000000"/>
              <w:bottom w:val="single" w:sz="4" w:space="0" w:color="000000"/>
            </w:tcBorders>
          </w:tcPr>
          <w:p>
            <w:pPr>
              <w:pStyle w:val="TableParagraph"/>
              <w:spacing w:before="47"/>
              <w:ind w:left="2243" w:right="2271"/>
              <w:jc w:val="center"/>
              <w:rPr>
                <w:i/>
                <w:sz w:val="18"/>
              </w:rPr>
            </w:pPr>
            <w:r>
              <w:rPr>
                <w:i/>
                <w:sz w:val="18"/>
              </w:rPr>
              <w:t>Expected</w:t>
            </w:r>
            <w:r>
              <w:rPr>
                <w:i/>
                <w:spacing w:val="-7"/>
                <w:sz w:val="18"/>
              </w:rPr>
              <w:t> </w:t>
            </w:r>
            <w:r>
              <w:rPr>
                <w:i/>
                <w:spacing w:val="-2"/>
                <w:sz w:val="18"/>
              </w:rPr>
              <w:t>results</w:t>
            </w:r>
          </w:p>
        </w:tc>
        <w:tc>
          <w:tcPr>
            <w:tcW w:w="1989" w:type="dxa"/>
            <w:tcBorders>
              <w:top w:val="single" w:sz="4" w:space="0" w:color="000000"/>
              <w:bottom w:val="single" w:sz="4" w:space="0" w:color="000000"/>
            </w:tcBorders>
          </w:tcPr>
          <w:p>
            <w:pPr>
              <w:pStyle w:val="TableParagraph"/>
              <w:spacing w:before="47"/>
              <w:ind w:left="166"/>
              <w:jc w:val="left"/>
              <w:rPr>
                <w:i/>
                <w:sz w:val="18"/>
              </w:rPr>
            </w:pPr>
            <w:r>
              <w:rPr>
                <w:i/>
                <w:sz w:val="18"/>
              </w:rPr>
              <w:t>Performance</w:t>
            </w:r>
            <w:r>
              <w:rPr>
                <w:i/>
                <w:spacing w:val="-5"/>
                <w:sz w:val="18"/>
              </w:rPr>
              <w:t> </w:t>
            </w:r>
            <w:r>
              <w:rPr>
                <w:i/>
                <w:spacing w:val="-2"/>
                <w:sz w:val="18"/>
              </w:rPr>
              <w:t>indicators</w:t>
            </w:r>
          </w:p>
        </w:tc>
        <w:tc>
          <w:tcPr>
            <w:tcW w:w="1943" w:type="dxa"/>
            <w:tcBorders>
              <w:top w:val="single" w:sz="4" w:space="0" w:color="000000"/>
              <w:bottom w:val="single" w:sz="4" w:space="0" w:color="000000"/>
            </w:tcBorders>
          </w:tcPr>
          <w:p>
            <w:pPr>
              <w:pStyle w:val="TableParagraph"/>
              <w:spacing w:before="47"/>
              <w:ind w:left="583"/>
              <w:jc w:val="left"/>
              <w:rPr>
                <w:i/>
                <w:sz w:val="18"/>
              </w:rPr>
            </w:pPr>
            <w:r>
              <w:rPr>
                <w:i/>
                <w:sz w:val="18"/>
              </w:rPr>
              <w:t>Target</w:t>
            </w:r>
            <w:r>
              <w:rPr>
                <w:i/>
                <w:spacing w:val="-2"/>
                <w:sz w:val="18"/>
              </w:rPr>
              <w:t> </w:t>
            </w:r>
            <w:r>
              <w:rPr>
                <w:i/>
                <w:spacing w:val="-4"/>
                <w:sz w:val="18"/>
              </w:rPr>
              <w:t>2023</w:t>
            </w:r>
          </w:p>
        </w:tc>
      </w:tr>
      <w:tr>
        <w:trPr>
          <w:trHeight w:val="1281" w:hRule="atLeast"/>
        </w:trPr>
        <w:tc>
          <w:tcPr>
            <w:tcW w:w="5718" w:type="dxa"/>
            <w:tcBorders>
              <w:top w:val="single" w:sz="4" w:space="0" w:color="000000"/>
              <w:bottom w:val="single" w:sz="4" w:space="0" w:color="000000"/>
            </w:tcBorders>
          </w:tcPr>
          <w:p>
            <w:pPr>
              <w:pStyle w:val="TableParagraph"/>
              <w:spacing w:before="47"/>
              <w:ind w:left="7"/>
              <w:jc w:val="left"/>
              <w:rPr>
                <w:b/>
                <w:sz w:val="18"/>
              </w:rPr>
            </w:pPr>
            <w:r>
              <w:rPr>
                <w:b/>
                <w:sz w:val="18"/>
              </w:rPr>
              <w:t>Objective</w:t>
            </w:r>
            <w:r>
              <w:rPr>
                <w:b/>
                <w:spacing w:val="-6"/>
                <w:sz w:val="18"/>
              </w:rPr>
              <w:t> </w:t>
            </w:r>
            <w:r>
              <w:rPr>
                <w:b/>
                <w:spacing w:val="-10"/>
                <w:sz w:val="18"/>
              </w:rPr>
              <w:t>1</w:t>
            </w:r>
          </w:p>
          <w:p>
            <w:pPr>
              <w:pStyle w:val="TableParagraph"/>
              <w:spacing w:line="273" w:lineRule="auto" w:before="81"/>
              <w:ind w:left="7"/>
              <w:jc w:val="left"/>
              <w:rPr>
                <w:sz w:val="18"/>
              </w:rPr>
            </w:pPr>
            <w:r>
              <w:rPr>
                <w:spacing w:val="-6"/>
                <w:sz w:val="18"/>
              </w:rPr>
              <w:t>Contribute</w:t>
            </w:r>
            <w:r>
              <w:rPr>
                <w:spacing w:val="-13"/>
                <w:sz w:val="18"/>
              </w:rPr>
              <w:t> </w:t>
            </w:r>
            <w:r>
              <w:rPr>
                <w:spacing w:val="-6"/>
                <w:sz w:val="18"/>
              </w:rPr>
              <w:t>to</w:t>
            </w:r>
            <w:r>
              <w:rPr>
                <w:spacing w:val="-14"/>
                <w:sz w:val="18"/>
              </w:rPr>
              <w:t> </w:t>
            </w:r>
            <w:r>
              <w:rPr>
                <w:spacing w:val="-6"/>
                <w:sz w:val="18"/>
              </w:rPr>
              <w:t>achieving</w:t>
            </w:r>
            <w:r>
              <w:rPr>
                <w:spacing w:val="-8"/>
                <w:sz w:val="18"/>
              </w:rPr>
              <w:t> </w:t>
            </w:r>
            <w:r>
              <w:rPr>
                <w:spacing w:val="-6"/>
                <w:sz w:val="18"/>
              </w:rPr>
              <w:t>the</w:t>
            </w:r>
            <w:r>
              <w:rPr>
                <w:spacing w:val="-7"/>
                <w:sz w:val="18"/>
              </w:rPr>
              <w:t> </w:t>
            </w:r>
            <w:r>
              <w:rPr>
                <w:spacing w:val="-6"/>
                <w:sz w:val="18"/>
              </w:rPr>
              <w:t>Court’s</w:t>
            </w:r>
            <w:r>
              <w:rPr>
                <w:spacing w:val="-7"/>
                <w:sz w:val="18"/>
              </w:rPr>
              <w:t> </w:t>
            </w:r>
            <w:r>
              <w:rPr>
                <w:spacing w:val="-6"/>
                <w:sz w:val="18"/>
              </w:rPr>
              <w:t>strategic</w:t>
            </w:r>
            <w:r>
              <w:rPr>
                <w:spacing w:val="-7"/>
                <w:sz w:val="18"/>
              </w:rPr>
              <w:t> </w:t>
            </w:r>
            <w:r>
              <w:rPr>
                <w:spacing w:val="-6"/>
                <w:sz w:val="18"/>
              </w:rPr>
              <w:t>and</w:t>
            </w:r>
            <w:r>
              <w:rPr>
                <w:spacing w:val="-14"/>
                <w:sz w:val="18"/>
              </w:rPr>
              <w:t> </w:t>
            </w:r>
            <w:r>
              <w:rPr>
                <w:spacing w:val="-6"/>
                <w:sz w:val="18"/>
              </w:rPr>
              <w:t>operational</w:t>
            </w:r>
            <w:r>
              <w:rPr>
                <w:spacing w:val="-10"/>
                <w:sz w:val="18"/>
              </w:rPr>
              <w:t> </w:t>
            </w:r>
            <w:r>
              <w:rPr>
                <w:spacing w:val="-6"/>
                <w:sz w:val="18"/>
              </w:rPr>
              <w:t>objectives</w:t>
            </w:r>
            <w:r>
              <w:rPr>
                <w:spacing w:val="-7"/>
                <w:sz w:val="18"/>
              </w:rPr>
              <w:t> </w:t>
            </w:r>
            <w:r>
              <w:rPr>
                <w:spacing w:val="-6"/>
                <w:sz w:val="18"/>
              </w:rPr>
              <w:t>by</w:t>
            </w:r>
            <w:r>
              <w:rPr>
                <w:spacing w:val="-8"/>
                <w:sz w:val="18"/>
              </w:rPr>
              <w:t> </w:t>
            </w:r>
            <w:r>
              <w:rPr>
                <w:spacing w:val="-6"/>
                <w:sz w:val="18"/>
              </w:rPr>
              <w:t>providing</w:t>
            </w:r>
            <w:r>
              <w:rPr>
                <w:sz w:val="18"/>
              </w:rPr>
              <w:t> assurance to management on the effectiveness and efficiency of governance, </w:t>
            </w:r>
            <w:r>
              <w:rPr>
                <w:spacing w:val="-2"/>
                <w:sz w:val="18"/>
              </w:rPr>
              <w:t>internal</w:t>
            </w:r>
            <w:r>
              <w:rPr>
                <w:spacing w:val="-3"/>
                <w:sz w:val="18"/>
              </w:rPr>
              <w:t> </w:t>
            </w:r>
            <w:r>
              <w:rPr>
                <w:spacing w:val="-2"/>
                <w:sz w:val="18"/>
              </w:rPr>
              <w:t>control</w:t>
            </w:r>
            <w:r>
              <w:rPr>
                <w:spacing w:val="-3"/>
                <w:sz w:val="18"/>
              </w:rPr>
              <w:t> </w:t>
            </w:r>
            <w:r>
              <w:rPr>
                <w:spacing w:val="-2"/>
                <w:sz w:val="18"/>
              </w:rPr>
              <w:t>frameworks</w:t>
            </w:r>
            <w:r>
              <w:rPr>
                <w:spacing w:val="-4"/>
                <w:sz w:val="18"/>
              </w:rPr>
              <w:t> </w:t>
            </w:r>
            <w:r>
              <w:rPr>
                <w:spacing w:val="-2"/>
                <w:sz w:val="18"/>
              </w:rPr>
              <w:t>and</w:t>
            </w:r>
            <w:r>
              <w:rPr>
                <w:spacing w:val="-5"/>
                <w:sz w:val="18"/>
              </w:rPr>
              <w:t> </w:t>
            </w:r>
            <w:r>
              <w:rPr>
                <w:spacing w:val="-2"/>
                <w:sz w:val="18"/>
              </w:rPr>
              <w:t>risk</w:t>
            </w:r>
            <w:r>
              <w:rPr>
                <w:spacing w:val="-5"/>
                <w:sz w:val="18"/>
              </w:rPr>
              <w:t> </w:t>
            </w:r>
            <w:r>
              <w:rPr>
                <w:spacing w:val="-2"/>
                <w:sz w:val="18"/>
              </w:rPr>
              <w:t>management</w:t>
            </w:r>
            <w:r>
              <w:rPr>
                <w:spacing w:val="-3"/>
                <w:sz w:val="18"/>
              </w:rPr>
              <w:t> </w:t>
            </w:r>
            <w:r>
              <w:rPr>
                <w:spacing w:val="-2"/>
                <w:sz w:val="18"/>
              </w:rPr>
              <w:t>through</w:t>
            </w:r>
            <w:r>
              <w:rPr>
                <w:spacing w:val="-5"/>
                <w:sz w:val="18"/>
              </w:rPr>
              <w:t> </w:t>
            </w:r>
            <w:r>
              <w:rPr>
                <w:spacing w:val="-2"/>
                <w:sz w:val="18"/>
              </w:rPr>
              <w:t>audit/advisory</w:t>
            </w:r>
            <w:r>
              <w:rPr>
                <w:spacing w:val="-5"/>
                <w:sz w:val="18"/>
              </w:rPr>
              <w:t> </w:t>
            </w:r>
            <w:r>
              <w:rPr>
                <w:spacing w:val="-2"/>
                <w:sz w:val="18"/>
              </w:rPr>
              <w:t>work.</w:t>
            </w:r>
          </w:p>
        </w:tc>
        <w:tc>
          <w:tcPr>
            <w:tcW w:w="1989" w:type="dxa"/>
            <w:tcBorders>
              <w:top w:val="single" w:sz="4" w:space="0" w:color="000000"/>
              <w:bottom w:val="single" w:sz="4" w:space="0" w:color="000000"/>
            </w:tcBorders>
          </w:tcPr>
          <w:p>
            <w:pPr>
              <w:pStyle w:val="TableParagraph"/>
              <w:spacing w:line="276" w:lineRule="auto" w:before="47"/>
              <w:ind w:left="104" w:right="97"/>
              <w:jc w:val="left"/>
              <w:rPr>
                <w:sz w:val="18"/>
              </w:rPr>
            </w:pPr>
            <w:r>
              <w:rPr>
                <w:sz w:val="18"/>
              </w:rPr>
              <w:t>Number of audits and advisory services engagements</w:t>
            </w:r>
            <w:r>
              <w:rPr>
                <w:spacing w:val="-12"/>
                <w:sz w:val="18"/>
              </w:rPr>
              <w:t> </w:t>
            </w:r>
            <w:r>
              <w:rPr>
                <w:sz w:val="18"/>
              </w:rPr>
              <w:t>performed, as against the validated OIA workplan</w:t>
            </w:r>
          </w:p>
        </w:tc>
        <w:tc>
          <w:tcPr>
            <w:tcW w:w="1943" w:type="dxa"/>
            <w:tcBorders>
              <w:top w:val="single" w:sz="4" w:space="0" w:color="000000"/>
              <w:bottom w:val="single" w:sz="4" w:space="0" w:color="000000"/>
            </w:tcBorders>
          </w:tcPr>
          <w:p>
            <w:pPr>
              <w:pStyle w:val="TableParagraph"/>
              <w:spacing w:before="47"/>
              <w:ind w:left="103"/>
              <w:jc w:val="left"/>
              <w:rPr>
                <w:sz w:val="18"/>
              </w:rPr>
            </w:pPr>
            <w:r>
              <w:rPr>
                <w:sz w:val="18"/>
              </w:rPr>
              <w:t>Minimum</w:t>
            </w:r>
            <w:r>
              <w:rPr>
                <w:spacing w:val="-4"/>
                <w:sz w:val="18"/>
              </w:rPr>
              <w:t> </w:t>
            </w:r>
            <w:r>
              <w:rPr>
                <w:spacing w:val="-5"/>
                <w:sz w:val="18"/>
              </w:rPr>
              <w:t>of</w:t>
            </w:r>
          </w:p>
          <w:p>
            <w:pPr>
              <w:pStyle w:val="TableParagraph"/>
              <w:spacing w:line="273" w:lineRule="auto" w:before="33"/>
              <w:ind w:left="103" w:right="13"/>
              <w:jc w:val="left"/>
              <w:rPr>
                <w:sz w:val="18"/>
              </w:rPr>
            </w:pPr>
            <w:r>
              <w:rPr>
                <w:sz w:val="18"/>
              </w:rPr>
              <w:t>9</w:t>
            </w:r>
            <w:r>
              <w:rPr>
                <w:spacing w:val="-12"/>
                <w:sz w:val="18"/>
              </w:rPr>
              <w:t> </w:t>
            </w:r>
            <w:r>
              <w:rPr>
                <w:sz w:val="18"/>
              </w:rPr>
              <w:t>engagements</w:t>
            </w:r>
            <w:r>
              <w:rPr>
                <w:spacing w:val="-11"/>
                <w:sz w:val="18"/>
              </w:rPr>
              <w:t> </w:t>
            </w:r>
            <w:r>
              <w:rPr>
                <w:sz w:val="18"/>
              </w:rPr>
              <w:t>(audits and advisory services </w:t>
            </w:r>
            <w:r>
              <w:rPr>
                <w:spacing w:val="-2"/>
                <w:sz w:val="18"/>
              </w:rPr>
              <w:t>combined)</w:t>
            </w:r>
          </w:p>
        </w:tc>
      </w:tr>
    </w:tbl>
    <w:p>
      <w:pPr>
        <w:spacing w:after="0" w:line="273" w:lineRule="auto"/>
        <w:jc w:val="left"/>
        <w:rPr>
          <w:sz w:val="18"/>
        </w:rPr>
        <w:sectPr>
          <w:pgSz w:w="11910" w:h="16840"/>
          <w:pgMar w:header="957" w:footer="940" w:top="1140" w:bottom="1140" w:left="20" w:right="20"/>
        </w:sectPr>
      </w:pPr>
    </w:p>
    <w:p>
      <w:pPr>
        <w:pStyle w:val="BodyText"/>
        <w:spacing w:before="3"/>
        <w:rPr>
          <w:b/>
          <w:sz w:val="13"/>
        </w:rPr>
      </w:pPr>
    </w:p>
    <w:p>
      <w:pPr>
        <w:spacing w:line="436" w:lineRule="auto" w:before="87"/>
        <w:ind w:left="1679" w:right="6111" w:firstLine="1287"/>
        <w:jc w:val="left"/>
        <w:rPr>
          <w:b/>
          <w:sz w:val="28"/>
        </w:rPr>
      </w:pPr>
      <w:bookmarkStart w:name="_bookmark74" w:id="75"/>
      <w:bookmarkEnd w:id="75"/>
      <w:r>
        <w:rPr/>
      </w:r>
      <w:r>
        <w:rPr>
          <w:b/>
          <w:sz w:val="28"/>
        </w:rPr>
        <w:t>Staffing</w:t>
      </w:r>
      <w:r>
        <w:rPr>
          <w:b/>
          <w:spacing w:val="-18"/>
          <w:sz w:val="28"/>
        </w:rPr>
        <w:t> </w:t>
      </w:r>
      <w:r>
        <w:rPr>
          <w:b/>
          <w:sz w:val="28"/>
        </w:rPr>
        <w:t>information Annex V (a)</w:t>
      </w:r>
    </w:p>
    <w:p>
      <w:pPr>
        <w:spacing w:line="298" w:lineRule="exact" w:before="0"/>
        <w:ind w:left="2246" w:right="0" w:firstLine="0"/>
        <w:jc w:val="left"/>
        <w:rPr>
          <w:b/>
          <w:sz w:val="28"/>
        </w:rPr>
      </w:pPr>
      <w:bookmarkStart w:name="_bookmark75" w:id="76"/>
      <w:bookmarkEnd w:id="76"/>
      <w:r>
        <w:rPr/>
      </w:r>
      <w:r>
        <w:rPr>
          <w:b/>
          <w:sz w:val="28"/>
        </w:rPr>
        <w:t>Proposed</w:t>
      </w:r>
      <w:r>
        <w:rPr>
          <w:b/>
          <w:spacing w:val="-7"/>
          <w:sz w:val="28"/>
        </w:rPr>
        <w:t> </w:t>
      </w:r>
      <w:r>
        <w:rPr>
          <w:b/>
          <w:sz w:val="28"/>
        </w:rPr>
        <w:t>Court</w:t>
      </w:r>
      <w:r>
        <w:rPr>
          <w:b/>
          <w:spacing w:val="-6"/>
          <w:sz w:val="28"/>
        </w:rPr>
        <w:t> </w:t>
      </w:r>
      <w:r>
        <w:rPr>
          <w:b/>
          <w:sz w:val="28"/>
        </w:rPr>
        <w:t>staffing</w:t>
      </w:r>
      <w:r>
        <w:rPr>
          <w:b/>
          <w:spacing w:val="-6"/>
          <w:sz w:val="28"/>
        </w:rPr>
        <w:t> </w:t>
      </w:r>
      <w:r>
        <w:rPr>
          <w:b/>
          <w:sz w:val="28"/>
        </w:rPr>
        <w:t>in</w:t>
      </w:r>
      <w:r>
        <w:rPr>
          <w:b/>
          <w:spacing w:val="-6"/>
          <w:sz w:val="28"/>
        </w:rPr>
        <w:t> </w:t>
      </w:r>
      <w:r>
        <w:rPr>
          <w:b/>
          <w:sz w:val="28"/>
        </w:rPr>
        <w:t>2023</w:t>
      </w:r>
      <w:r>
        <w:rPr>
          <w:b/>
          <w:spacing w:val="-6"/>
          <w:sz w:val="28"/>
        </w:rPr>
        <w:t> </w:t>
      </w:r>
      <w:r>
        <w:rPr>
          <w:b/>
          <w:sz w:val="28"/>
        </w:rPr>
        <w:t>by</w:t>
      </w:r>
      <w:r>
        <w:rPr>
          <w:b/>
          <w:spacing w:val="-5"/>
          <w:sz w:val="28"/>
        </w:rPr>
        <w:t> </w:t>
      </w:r>
      <w:r>
        <w:rPr>
          <w:b/>
          <w:sz w:val="28"/>
        </w:rPr>
        <w:t>Major</w:t>
      </w:r>
      <w:r>
        <w:rPr>
          <w:b/>
          <w:spacing w:val="1"/>
          <w:sz w:val="28"/>
        </w:rPr>
        <w:t> </w:t>
      </w:r>
      <w:r>
        <w:rPr>
          <w:b/>
          <w:spacing w:val="-2"/>
          <w:sz w:val="28"/>
        </w:rPr>
        <w:t>Programme</w:t>
      </w:r>
    </w:p>
    <w:p>
      <w:pPr>
        <w:pStyle w:val="BodyText"/>
        <w:rPr>
          <w:b/>
        </w:rPr>
      </w:pPr>
    </w:p>
    <w:p>
      <w:pPr>
        <w:pStyle w:val="BodyText"/>
        <w:spacing w:before="2"/>
        <w:rPr>
          <w:b/>
          <w:sz w:val="23"/>
        </w:rPr>
      </w:pPr>
    </w:p>
    <w:tbl>
      <w:tblPr>
        <w:tblW w:w="0" w:type="auto"/>
        <w:jc w:val="left"/>
        <w:tblInd w:w="6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8"/>
        <w:gridCol w:w="539"/>
        <w:gridCol w:w="549"/>
        <w:gridCol w:w="509"/>
        <w:gridCol w:w="525"/>
        <w:gridCol w:w="511"/>
        <w:gridCol w:w="499"/>
        <w:gridCol w:w="508"/>
        <w:gridCol w:w="520"/>
        <w:gridCol w:w="404"/>
        <w:gridCol w:w="846"/>
        <w:gridCol w:w="569"/>
        <w:gridCol w:w="586"/>
        <w:gridCol w:w="587"/>
        <w:gridCol w:w="921"/>
        <w:gridCol w:w="539"/>
      </w:tblGrid>
      <w:tr>
        <w:trPr>
          <w:trHeight w:val="624" w:hRule="atLeast"/>
        </w:trPr>
        <w:tc>
          <w:tcPr>
            <w:tcW w:w="1918" w:type="dxa"/>
            <w:tcBorders>
              <w:top w:val="single" w:sz="4" w:space="0" w:color="000000"/>
              <w:bottom w:val="single" w:sz="4" w:space="0" w:color="000000"/>
            </w:tcBorders>
          </w:tcPr>
          <w:p>
            <w:pPr>
              <w:pStyle w:val="TableParagraph"/>
              <w:jc w:val="left"/>
              <w:rPr>
                <w:b/>
                <w:sz w:val="20"/>
              </w:rPr>
            </w:pPr>
          </w:p>
          <w:p>
            <w:pPr>
              <w:pStyle w:val="TableParagraph"/>
              <w:spacing w:before="3"/>
              <w:jc w:val="left"/>
              <w:rPr>
                <w:b/>
                <w:sz w:val="16"/>
              </w:rPr>
            </w:pPr>
          </w:p>
          <w:p>
            <w:pPr>
              <w:pStyle w:val="TableParagraph"/>
              <w:spacing w:line="186" w:lineRule="exact"/>
              <w:ind w:left="43"/>
              <w:jc w:val="left"/>
              <w:rPr>
                <w:i/>
                <w:sz w:val="18"/>
              </w:rPr>
            </w:pPr>
            <w:r>
              <w:rPr>
                <w:i/>
                <w:sz w:val="18"/>
              </w:rPr>
              <w:t>Total</w:t>
            </w:r>
            <w:r>
              <w:rPr>
                <w:i/>
                <w:spacing w:val="2"/>
                <w:sz w:val="18"/>
              </w:rPr>
              <w:t> </w:t>
            </w:r>
            <w:r>
              <w:rPr>
                <w:i/>
                <w:spacing w:val="-2"/>
                <w:sz w:val="18"/>
              </w:rPr>
              <w:t>Court</w:t>
            </w:r>
          </w:p>
        </w:tc>
        <w:tc>
          <w:tcPr>
            <w:tcW w:w="539" w:type="dxa"/>
            <w:tcBorders>
              <w:top w:val="single" w:sz="4" w:space="0" w:color="000000"/>
              <w:bottom w:val="single" w:sz="4" w:space="0" w:color="000000"/>
            </w:tcBorders>
          </w:tcPr>
          <w:p>
            <w:pPr>
              <w:pStyle w:val="TableParagraph"/>
              <w:jc w:val="left"/>
              <w:rPr>
                <w:b/>
                <w:sz w:val="20"/>
              </w:rPr>
            </w:pPr>
          </w:p>
          <w:p>
            <w:pPr>
              <w:pStyle w:val="TableParagraph"/>
              <w:spacing w:before="3"/>
              <w:jc w:val="left"/>
              <w:rPr>
                <w:b/>
                <w:sz w:val="16"/>
              </w:rPr>
            </w:pPr>
          </w:p>
          <w:p>
            <w:pPr>
              <w:pStyle w:val="TableParagraph"/>
              <w:spacing w:line="186" w:lineRule="exact"/>
              <w:ind w:right="71"/>
              <w:rPr>
                <w:sz w:val="18"/>
              </w:rPr>
            </w:pPr>
            <w:r>
              <w:rPr>
                <w:spacing w:val="-5"/>
                <w:sz w:val="18"/>
              </w:rPr>
              <w:t>USG</w:t>
            </w:r>
          </w:p>
        </w:tc>
        <w:tc>
          <w:tcPr>
            <w:tcW w:w="549" w:type="dxa"/>
            <w:tcBorders>
              <w:top w:val="single" w:sz="4" w:space="0" w:color="000000"/>
              <w:bottom w:val="single" w:sz="4" w:space="0" w:color="000000"/>
            </w:tcBorders>
          </w:tcPr>
          <w:p>
            <w:pPr>
              <w:pStyle w:val="TableParagraph"/>
              <w:jc w:val="left"/>
              <w:rPr>
                <w:b/>
                <w:sz w:val="20"/>
              </w:rPr>
            </w:pPr>
          </w:p>
          <w:p>
            <w:pPr>
              <w:pStyle w:val="TableParagraph"/>
              <w:spacing w:before="3"/>
              <w:jc w:val="left"/>
              <w:rPr>
                <w:b/>
                <w:sz w:val="16"/>
              </w:rPr>
            </w:pPr>
          </w:p>
          <w:p>
            <w:pPr>
              <w:pStyle w:val="TableParagraph"/>
              <w:spacing w:line="186" w:lineRule="exact"/>
              <w:ind w:right="111"/>
              <w:rPr>
                <w:sz w:val="18"/>
              </w:rPr>
            </w:pPr>
            <w:r>
              <w:rPr>
                <w:spacing w:val="-5"/>
                <w:sz w:val="18"/>
              </w:rPr>
              <w:t>ASG</w:t>
            </w:r>
          </w:p>
        </w:tc>
        <w:tc>
          <w:tcPr>
            <w:tcW w:w="509" w:type="dxa"/>
            <w:tcBorders>
              <w:top w:val="single" w:sz="4" w:space="0" w:color="000000"/>
              <w:bottom w:val="single" w:sz="4" w:space="0" w:color="000000"/>
            </w:tcBorders>
          </w:tcPr>
          <w:p>
            <w:pPr>
              <w:pStyle w:val="TableParagraph"/>
              <w:jc w:val="left"/>
              <w:rPr>
                <w:b/>
                <w:sz w:val="20"/>
              </w:rPr>
            </w:pPr>
          </w:p>
          <w:p>
            <w:pPr>
              <w:pStyle w:val="TableParagraph"/>
              <w:spacing w:before="3"/>
              <w:jc w:val="left"/>
              <w:rPr>
                <w:b/>
                <w:sz w:val="16"/>
              </w:rPr>
            </w:pPr>
          </w:p>
          <w:p>
            <w:pPr>
              <w:pStyle w:val="TableParagraph"/>
              <w:spacing w:line="186" w:lineRule="exact"/>
              <w:ind w:right="108"/>
              <w:rPr>
                <w:sz w:val="18"/>
              </w:rPr>
            </w:pPr>
            <w:r>
              <w:rPr>
                <w:spacing w:val="-2"/>
                <w:sz w:val="18"/>
              </w:rPr>
              <w:t>D-</w:t>
            </w:r>
            <w:r>
              <w:rPr>
                <w:spacing w:val="-10"/>
                <w:sz w:val="18"/>
              </w:rPr>
              <w:t>2</w:t>
            </w:r>
          </w:p>
        </w:tc>
        <w:tc>
          <w:tcPr>
            <w:tcW w:w="525" w:type="dxa"/>
            <w:tcBorders>
              <w:top w:val="single" w:sz="4" w:space="0" w:color="000000"/>
              <w:bottom w:val="single" w:sz="4" w:space="0" w:color="000000"/>
            </w:tcBorders>
          </w:tcPr>
          <w:p>
            <w:pPr>
              <w:pStyle w:val="TableParagraph"/>
              <w:jc w:val="left"/>
              <w:rPr>
                <w:b/>
                <w:sz w:val="20"/>
              </w:rPr>
            </w:pPr>
          </w:p>
          <w:p>
            <w:pPr>
              <w:pStyle w:val="TableParagraph"/>
              <w:spacing w:before="3"/>
              <w:jc w:val="left"/>
              <w:rPr>
                <w:b/>
                <w:sz w:val="16"/>
              </w:rPr>
            </w:pPr>
          </w:p>
          <w:p>
            <w:pPr>
              <w:pStyle w:val="TableParagraph"/>
              <w:spacing w:line="186" w:lineRule="exact"/>
              <w:ind w:right="124"/>
              <w:rPr>
                <w:sz w:val="18"/>
              </w:rPr>
            </w:pPr>
            <w:r>
              <w:rPr>
                <w:spacing w:val="-2"/>
                <w:sz w:val="18"/>
              </w:rPr>
              <w:t>D-</w:t>
            </w:r>
            <w:r>
              <w:rPr>
                <w:spacing w:val="-10"/>
                <w:sz w:val="18"/>
              </w:rPr>
              <w:t>1</w:t>
            </w:r>
          </w:p>
        </w:tc>
        <w:tc>
          <w:tcPr>
            <w:tcW w:w="511" w:type="dxa"/>
            <w:tcBorders>
              <w:top w:val="single" w:sz="4" w:space="0" w:color="000000"/>
              <w:bottom w:val="single" w:sz="4" w:space="0" w:color="000000"/>
            </w:tcBorders>
          </w:tcPr>
          <w:p>
            <w:pPr>
              <w:pStyle w:val="TableParagraph"/>
              <w:jc w:val="left"/>
              <w:rPr>
                <w:b/>
                <w:sz w:val="20"/>
              </w:rPr>
            </w:pPr>
          </w:p>
          <w:p>
            <w:pPr>
              <w:pStyle w:val="TableParagraph"/>
              <w:spacing w:before="3"/>
              <w:jc w:val="left"/>
              <w:rPr>
                <w:b/>
                <w:sz w:val="16"/>
              </w:rPr>
            </w:pPr>
          </w:p>
          <w:p>
            <w:pPr>
              <w:pStyle w:val="TableParagraph"/>
              <w:spacing w:line="186" w:lineRule="exact"/>
              <w:ind w:right="121"/>
              <w:rPr>
                <w:sz w:val="18"/>
              </w:rPr>
            </w:pPr>
            <w:r>
              <w:rPr>
                <w:sz w:val="18"/>
              </w:rPr>
              <w:t>P-</w:t>
            </w:r>
            <w:r>
              <w:rPr>
                <w:spacing w:val="-10"/>
                <w:sz w:val="18"/>
              </w:rPr>
              <w:t>5</w:t>
            </w:r>
          </w:p>
        </w:tc>
        <w:tc>
          <w:tcPr>
            <w:tcW w:w="499" w:type="dxa"/>
            <w:tcBorders>
              <w:top w:val="single" w:sz="4" w:space="0" w:color="000000"/>
              <w:bottom w:val="single" w:sz="4" w:space="0" w:color="000000"/>
            </w:tcBorders>
          </w:tcPr>
          <w:p>
            <w:pPr>
              <w:pStyle w:val="TableParagraph"/>
              <w:jc w:val="left"/>
              <w:rPr>
                <w:b/>
                <w:sz w:val="20"/>
              </w:rPr>
            </w:pPr>
          </w:p>
          <w:p>
            <w:pPr>
              <w:pStyle w:val="TableParagraph"/>
              <w:spacing w:before="3"/>
              <w:jc w:val="left"/>
              <w:rPr>
                <w:b/>
                <w:sz w:val="16"/>
              </w:rPr>
            </w:pPr>
          </w:p>
          <w:p>
            <w:pPr>
              <w:pStyle w:val="TableParagraph"/>
              <w:spacing w:line="186" w:lineRule="exact"/>
              <w:ind w:left="117" w:right="100"/>
              <w:jc w:val="center"/>
              <w:rPr>
                <w:sz w:val="18"/>
              </w:rPr>
            </w:pPr>
            <w:r>
              <w:rPr>
                <w:sz w:val="18"/>
              </w:rPr>
              <w:t>P-</w:t>
            </w:r>
            <w:r>
              <w:rPr>
                <w:spacing w:val="-10"/>
                <w:sz w:val="18"/>
              </w:rPr>
              <w:t>4</w:t>
            </w:r>
          </w:p>
        </w:tc>
        <w:tc>
          <w:tcPr>
            <w:tcW w:w="508" w:type="dxa"/>
            <w:tcBorders>
              <w:top w:val="single" w:sz="4" w:space="0" w:color="000000"/>
              <w:bottom w:val="single" w:sz="4" w:space="0" w:color="000000"/>
            </w:tcBorders>
          </w:tcPr>
          <w:p>
            <w:pPr>
              <w:pStyle w:val="TableParagraph"/>
              <w:jc w:val="left"/>
              <w:rPr>
                <w:b/>
                <w:sz w:val="20"/>
              </w:rPr>
            </w:pPr>
          </w:p>
          <w:p>
            <w:pPr>
              <w:pStyle w:val="TableParagraph"/>
              <w:spacing w:before="3"/>
              <w:jc w:val="left"/>
              <w:rPr>
                <w:b/>
                <w:sz w:val="16"/>
              </w:rPr>
            </w:pPr>
          </w:p>
          <w:p>
            <w:pPr>
              <w:pStyle w:val="TableParagraph"/>
              <w:spacing w:line="186" w:lineRule="exact"/>
              <w:ind w:right="110"/>
              <w:rPr>
                <w:sz w:val="18"/>
              </w:rPr>
            </w:pPr>
            <w:r>
              <w:rPr>
                <w:sz w:val="18"/>
              </w:rPr>
              <w:t>P-</w:t>
            </w:r>
            <w:r>
              <w:rPr>
                <w:spacing w:val="-10"/>
                <w:sz w:val="18"/>
              </w:rPr>
              <w:t>3</w:t>
            </w:r>
          </w:p>
        </w:tc>
        <w:tc>
          <w:tcPr>
            <w:tcW w:w="520" w:type="dxa"/>
            <w:tcBorders>
              <w:top w:val="single" w:sz="4" w:space="0" w:color="000000"/>
              <w:bottom w:val="single" w:sz="4" w:space="0" w:color="000000"/>
            </w:tcBorders>
          </w:tcPr>
          <w:p>
            <w:pPr>
              <w:pStyle w:val="TableParagraph"/>
              <w:jc w:val="left"/>
              <w:rPr>
                <w:b/>
                <w:sz w:val="20"/>
              </w:rPr>
            </w:pPr>
          </w:p>
          <w:p>
            <w:pPr>
              <w:pStyle w:val="TableParagraph"/>
              <w:spacing w:before="3"/>
              <w:jc w:val="left"/>
              <w:rPr>
                <w:b/>
                <w:sz w:val="16"/>
              </w:rPr>
            </w:pPr>
          </w:p>
          <w:p>
            <w:pPr>
              <w:pStyle w:val="TableParagraph"/>
              <w:spacing w:line="186" w:lineRule="exact"/>
              <w:ind w:right="121"/>
              <w:rPr>
                <w:sz w:val="18"/>
              </w:rPr>
            </w:pPr>
            <w:r>
              <w:rPr>
                <w:sz w:val="18"/>
              </w:rPr>
              <w:t>P-</w:t>
            </w:r>
            <w:r>
              <w:rPr>
                <w:spacing w:val="-10"/>
                <w:sz w:val="18"/>
              </w:rPr>
              <w:t>2</w:t>
            </w:r>
          </w:p>
        </w:tc>
        <w:tc>
          <w:tcPr>
            <w:tcW w:w="404" w:type="dxa"/>
            <w:tcBorders>
              <w:top w:val="single" w:sz="4" w:space="0" w:color="000000"/>
              <w:bottom w:val="single" w:sz="4" w:space="0" w:color="000000"/>
            </w:tcBorders>
          </w:tcPr>
          <w:p>
            <w:pPr>
              <w:pStyle w:val="TableParagraph"/>
              <w:jc w:val="left"/>
              <w:rPr>
                <w:b/>
                <w:sz w:val="20"/>
              </w:rPr>
            </w:pPr>
          </w:p>
          <w:p>
            <w:pPr>
              <w:pStyle w:val="TableParagraph"/>
              <w:spacing w:before="3"/>
              <w:jc w:val="left"/>
              <w:rPr>
                <w:b/>
                <w:sz w:val="16"/>
              </w:rPr>
            </w:pPr>
          </w:p>
          <w:p>
            <w:pPr>
              <w:pStyle w:val="TableParagraph"/>
              <w:spacing w:line="186" w:lineRule="exact"/>
              <w:ind w:left="121"/>
              <w:jc w:val="center"/>
              <w:rPr>
                <w:sz w:val="18"/>
              </w:rPr>
            </w:pPr>
            <w:r>
              <w:rPr>
                <w:sz w:val="18"/>
              </w:rPr>
              <w:t>P-</w:t>
            </w:r>
            <w:r>
              <w:rPr>
                <w:spacing w:val="-10"/>
                <w:sz w:val="18"/>
              </w:rPr>
              <w:t>1</w:t>
            </w:r>
          </w:p>
        </w:tc>
        <w:tc>
          <w:tcPr>
            <w:tcW w:w="846" w:type="dxa"/>
            <w:tcBorders>
              <w:top w:val="single" w:sz="4" w:space="0" w:color="000000"/>
              <w:bottom w:val="single" w:sz="4" w:space="0" w:color="000000"/>
            </w:tcBorders>
          </w:tcPr>
          <w:p>
            <w:pPr>
              <w:pStyle w:val="TableParagraph"/>
              <w:spacing w:line="207" w:lineRule="exact"/>
              <w:ind w:right="73"/>
              <w:rPr>
                <w:i/>
                <w:sz w:val="18"/>
              </w:rPr>
            </w:pPr>
            <w:r>
              <w:rPr>
                <w:i/>
                <w:spacing w:val="-2"/>
                <w:sz w:val="18"/>
              </w:rPr>
              <w:t>Total</w:t>
            </w:r>
          </w:p>
          <w:p>
            <w:pPr>
              <w:pStyle w:val="TableParagraph"/>
              <w:spacing w:line="200" w:lineRule="atLeast"/>
              <w:ind w:left="29" w:right="66" w:firstLine="240"/>
              <w:rPr>
                <w:i/>
                <w:sz w:val="18"/>
              </w:rPr>
            </w:pPr>
            <w:r>
              <w:rPr>
                <w:i/>
                <w:spacing w:val="-2"/>
                <w:sz w:val="18"/>
              </w:rPr>
              <w:t>P-Staff</w:t>
            </w:r>
            <w:r>
              <w:rPr>
                <w:i/>
                <w:spacing w:val="-2"/>
                <w:sz w:val="18"/>
              </w:rPr>
              <w:t> </w:t>
            </w:r>
            <w:r>
              <w:rPr>
                <w:i/>
                <w:sz w:val="18"/>
              </w:rPr>
              <w:t>and </w:t>
            </w:r>
            <w:r>
              <w:rPr>
                <w:i/>
                <w:spacing w:val="-2"/>
                <w:sz w:val="18"/>
              </w:rPr>
              <w:t>above</w:t>
            </w:r>
          </w:p>
        </w:tc>
        <w:tc>
          <w:tcPr>
            <w:tcW w:w="569" w:type="dxa"/>
            <w:tcBorders>
              <w:top w:val="single" w:sz="4" w:space="0" w:color="000000"/>
              <w:bottom w:val="single" w:sz="4" w:space="0" w:color="000000"/>
            </w:tcBorders>
          </w:tcPr>
          <w:p>
            <w:pPr>
              <w:pStyle w:val="TableParagraph"/>
              <w:jc w:val="left"/>
              <w:rPr>
                <w:b/>
                <w:sz w:val="20"/>
              </w:rPr>
            </w:pPr>
          </w:p>
          <w:p>
            <w:pPr>
              <w:pStyle w:val="TableParagraph"/>
              <w:spacing w:before="3"/>
              <w:jc w:val="left"/>
              <w:rPr>
                <w:b/>
                <w:sz w:val="16"/>
              </w:rPr>
            </w:pPr>
          </w:p>
          <w:p>
            <w:pPr>
              <w:pStyle w:val="TableParagraph"/>
              <w:spacing w:line="186" w:lineRule="exact"/>
              <w:ind w:right="37"/>
              <w:rPr>
                <w:sz w:val="18"/>
              </w:rPr>
            </w:pPr>
            <w:r>
              <w:rPr>
                <w:spacing w:val="-2"/>
                <w:sz w:val="18"/>
              </w:rPr>
              <w:t>NO-</w:t>
            </w:r>
            <w:r>
              <w:rPr>
                <w:spacing w:val="-12"/>
                <w:sz w:val="18"/>
              </w:rPr>
              <w:t>C</w:t>
            </w:r>
          </w:p>
        </w:tc>
        <w:tc>
          <w:tcPr>
            <w:tcW w:w="586" w:type="dxa"/>
            <w:tcBorders>
              <w:top w:val="single" w:sz="4" w:space="0" w:color="000000"/>
              <w:bottom w:val="single" w:sz="4" w:space="0" w:color="000000"/>
            </w:tcBorders>
          </w:tcPr>
          <w:p>
            <w:pPr>
              <w:pStyle w:val="TableParagraph"/>
              <w:jc w:val="left"/>
              <w:rPr>
                <w:b/>
                <w:sz w:val="20"/>
              </w:rPr>
            </w:pPr>
          </w:p>
          <w:p>
            <w:pPr>
              <w:pStyle w:val="TableParagraph"/>
              <w:spacing w:before="3"/>
              <w:jc w:val="left"/>
              <w:rPr>
                <w:b/>
                <w:sz w:val="16"/>
              </w:rPr>
            </w:pPr>
          </w:p>
          <w:p>
            <w:pPr>
              <w:pStyle w:val="TableParagraph"/>
              <w:spacing w:line="186" w:lineRule="exact"/>
              <w:ind w:right="19"/>
              <w:rPr>
                <w:sz w:val="18"/>
              </w:rPr>
            </w:pPr>
            <w:r>
              <w:rPr>
                <w:spacing w:val="-2"/>
                <w:sz w:val="18"/>
              </w:rPr>
              <w:t>GS-</w:t>
            </w:r>
            <w:r>
              <w:rPr>
                <w:spacing w:val="-5"/>
                <w:sz w:val="18"/>
              </w:rPr>
              <w:t>PL</w:t>
            </w:r>
          </w:p>
        </w:tc>
        <w:tc>
          <w:tcPr>
            <w:tcW w:w="587" w:type="dxa"/>
            <w:tcBorders>
              <w:top w:val="single" w:sz="4" w:space="0" w:color="000000"/>
              <w:bottom w:val="single" w:sz="4" w:space="0" w:color="000000"/>
            </w:tcBorders>
          </w:tcPr>
          <w:p>
            <w:pPr>
              <w:pStyle w:val="TableParagraph"/>
              <w:jc w:val="left"/>
              <w:rPr>
                <w:b/>
                <w:sz w:val="20"/>
              </w:rPr>
            </w:pPr>
          </w:p>
          <w:p>
            <w:pPr>
              <w:pStyle w:val="TableParagraph"/>
              <w:spacing w:before="3"/>
              <w:jc w:val="left"/>
              <w:rPr>
                <w:b/>
                <w:sz w:val="16"/>
              </w:rPr>
            </w:pPr>
          </w:p>
          <w:p>
            <w:pPr>
              <w:pStyle w:val="TableParagraph"/>
              <w:spacing w:line="186" w:lineRule="exact"/>
              <w:ind w:right="8"/>
              <w:rPr>
                <w:sz w:val="18"/>
              </w:rPr>
            </w:pPr>
            <w:r>
              <w:rPr>
                <w:spacing w:val="-2"/>
                <w:sz w:val="18"/>
              </w:rPr>
              <w:t>GS-</w:t>
            </w:r>
            <w:r>
              <w:rPr>
                <w:spacing w:val="-5"/>
                <w:sz w:val="18"/>
              </w:rPr>
              <w:t>OL</w:t>
            </w:r>
          </w:p>
        </w:tc>
        <w:tc>
          <w:tcPr>
            <w:tcW w:w="921" w:type="dxa"/>
            <w:tcBorders>
              <w:top w:val="single" w:sz="4" w:space="0" w:color="000000"/>
              <w:bottom w:val="single" w:sz="4" w:space="0" w:color="000000"/>
            </w:tcBorders>
          </w:tcPr>
          <w:p>
            <w:pPr>
              <w:pStyle w:val="TableParagraph"/>
              <w:spacing w:line="207" w:lineRule="exact"/>
              <w:ind w:left="293" w:firstLine="153"/>
              <w:jc w:val="left"/>
              <w:rPr>
                <w:i/>
                <w:sz w:val="18"/>
              </w:rPr>
            </w:pPr>
            <w:r>
              <w:rPr>
                <w:i/>
                <w:spacing w:val="-2"/>
                <w:sz w:val="18"/>
              </w:rPr>
              <w:t>Total</w:t>
            </w:r>
          </w:p>
          <w:p>
            <w:pPr>
              <w:pStyle w:val="TableParagraph"/>
              <w:spacing w:line="200" w:lineRule="atLeast"/>
              <w:ind w:left="34" w:right="81" w:firstLine="259"/>
              <w:jc w:val="left"/>
              <w:rPr>
                <w:i/>
                <w:sz w:val="18"/>
              </w:rPr>
            </w:pPr>
            <w:r>
              <w:rPr>
                <w:i/>
                <w:sz w:val="18"/>
              </w:rPr>
              <w:t>GS</w:t>
            </w:r>
            <w:r>
              <w:rPr>
                <w:i/>
                <w:spacing w:val="-12"/>
                <w:sz w:val="18"/>
              </w:rPr>
              <w:t> </w:t>
            </w:r>
            <w:r>
              <w:rPr>
                <w:i/>
                <w:sz w:val="18"/>
              </w:rPr>
              <w:t>and</w:t>
            </w:r>
            <w:r>
              <w:rPr>
                <w:i/>
                <w:sz w:val="18"/>
              </w:rPr>
              <w:t> Other</w:t>
            </w:r>
            <w:r>
              <w:rPr>
                <w:i/>
                <w:spacing w:val="1"/>
                <w:sz w:val="18"/>
              </w:rPr>
              <w:t> </w:t>
            </w:r>
            <w:r>
              <w:rPr>
                <w:i/>
                <w:spacing w:val="-2"/>
                <w:sz w:val="18"/>
              </w:rPr>
              <w:t>Staff</w:t>
            </w:r>
          </w:p>
        </w:tc>
        <w:tc>
          <w:tcPr>
            <w:tcW w:w="539" w:type="dxa"/>
            <w:tcBorders>
              <w:top w:val="single" w:sz="4" w:space="0" w:color="000000"/>
              <w:bottom w:val="single" w:sz="4" w:space="0" w:color="000000"/>
            </w:tcBorders>
          </w:tcPr>
          <w:p>
            <w:pPr>
              <w:pStyle w:val="TableParagraph"/>
              <w:spacing w:before="6"/>
              <w:jc w:val="left"/>
              <w:rPr>
                <w:b/>
                <w:sz w:val="16"/>
              </w:rPr>
            </w:pPr>
          </w:p>
          <w:p>
            <w:pPr>
              <w:pStyle w:val="TableParagraph"/>
              <w:spacing w:line="200" w:lineRule="atLeast" w:before="1"/>
              <w:ind w:left="155" w:right="4" w:hanging="44"/>
              <w:jc w:val="left"/>
              <w:rPr>
                <w:b/>
                <w:sz w:val="18"/>
              </w:rPr>
            </w:pPr>
            <w:r>
              <w:rPr>
                <w:b/>
                <w:spacing w:val="-2"/>
                <w:sz w:val="18"/>
              </w:rPr>
              <w:t>Total Staff</w:t>
            </w:r>
          </w:p>
        </w:tc>
      </w:tr>
      <w:tr>
        <w:trPr>
          <w:trHeight w:val="282" w:hRule="atLeast"/>
        </w:trPr>
        <w:tc>
          <w:tcPr>
            <w:tcW w:w="1918" w:type="dxa"/>
            <w:tcBorders>
              <w:top w:val="single" w:sz="4" w:space="0" w:color="000000"/>
              <w:bottom w:val="single" w:sz="4" w:space="0" w:color="000000"/>
            </w:tcBorders>
          </w:tcPr>
          <w:p>
            <w:pPr>
              <w:pStyle w:val="TableParagraph"/>
              <w:spacing w:before="38"/>
              <w:ind w:left="43"/>
              <w:jc w:val="left"/>
              <w:rPr>
                <w:sz w:val="18"/>
              </w:rPr>
            </w:pPr>
            <w:r>
              <w:rPr>
                <w:sz w:val="18"/>
              </w:rPr>
              <w:t>Major</w:t>
            </w:r>
            <w:r>
              <w:rPr>
                <w:spacing w:val="-5"/>
                <w:sz w:val="18"/>
              </w:rPr>
              <w:t> </w:t>
            </w:r>
            <w:r>
              <w:rPr>
                <w:sz w:val="18"/>
              </w:rPr>
              <w:t>Programme</w:t>
            </w:r>
            <w:r>
              <w:rPr>
                <w:spacing w:val="-6"/>
                <w:sz w:val="18"/>
              </w:rPr>
              <w:t> </w:t>
            </w:r>
            <w:r>
              <w:rPr>
                <w:spacing w:val="-10"/>
                <w:sz w:val="18"/>
              </w:rPr>
              <w:t>I</w:t>
            </w:r>
          </w:p>
        </w:tc>
        <w:tc>
          <w:tcPr>
            <w:tcW w:w="539" w:type="dxa"/>
            <w:tcBorders>
              <w:top w:val="single" w:sz="4" w:space="0" w:color="000000"/>
              <w:bottom w:val="single" w:sz="4" w:space="0" w:color="000000"/>
            </w:tcBorders>
          </w:tcPr>
          <w:p>
            <w:pPr>
              <w:pStyle w:val="TableParagraph"/>
              <w:spacing w:before="38"/>
              <w:ind w:right="70"/>
              <w:rPr>
                <w:sz w:val="18"/>
              </w:rPr>
            </w:pPr>
            <w:r>
              <w:rPr>
                <w:w w:val="101"/>
                <w:sz w:val="18"/>
              </w:rPr>
              <w:t>-</w:t>
            </w:r>
          </w:p>
        </w:tc>
        <w:tc>
          <w:tcPr>
            <w:tcW w:w="549" w:type="dxa"/>
            <w:tcBorders>
              <w:top w:val="single" w:sz="4" w:space="0" w:color="000000"/>
              <w:bottom w:val="single" w:sz="4" w:space="0" w:color="000000"/>
            </w:tcBorders>
          </w:tcPr>
          <w:p>
            <w:pPr>
              <w:pStyle w:val="TableParagraph"/>
              <w:spacing w:before="38"/>
              <w:ind w:right="110"/>
              <w:rPr>
                <w:sz w:val="18"/>
              </w:rPr>
            </w:pPr>
            <w:r>
              <w:rPr>
                <w:w w:val="101"/>
                <w:sz w:val="18"/>
              </w:rPr>
              <w:t>-</w:t>
            </w:r>
          </w:p>
        </w:tc>
        <w:tc>
          <w:tcPr>
            <w:tcW w:w="509" w:type="dxa"/>
            <w:tcBorders>
              <w:top w:val="single" w:sz="4" w:space="0" w:color="000000"/>
              <w:bottom w:val="single" w:sz="4" w:space="0" w:color="000000"/>
            </w:tcBorders>
          </w:tcPr>
          <w:p>
            <w:pPr>
              <w:pStyle w:val="TableParagraph"/>
              <w:spacing w:before="38"/>
              <w:ind w:right="110"/>
              <w:rPr>
                <w:sz w:val="18"/>
              </w:rPr>
            </w:pPr>
            <w:r>
              <w:rPr>
                <w:w w:val="101"/>
                <w:sz w:val="18"/>
              </w:rPr>
              <w:t>-</w:t>
            </w:r>
          </w:p>
        </w:tc>
        <w:tc>
          <w:tcPr>
            <w:tcW w:w="525" w:type="dxa"/>
            <w:tcBorders>
              <w:top w:val="single" w:sz="4" w:space="0" w:color="000000"/>
              <w:bottom w:val="single" w:sz="4" w:space="0" w:color="000000"/>
            </w:tcBorders>
          </w:tcPr>
          <w:p>
            <w:pPr>
              <w:pStyle w:val="TableParagraph"/>
              <w:spacing w:before="38"/>
              <w:ind w:right="126"/>
              <w:rPr>
                <w:sz w:val="18"/>
              </w:rPr>
            </w:pPr>
            <w:r>
              <w:rPr>
                <w:w w:val="101"/>
                <w:sz w:val="18"/>
              </w:rPr>
              <w:t>-</w:t>
            </w:r>
          </w:p>
        </w:tc>
        <w:tc>
          <w:tcPr>
            <w:tcW w:w="511" w:type="dxa"/>
            <w:tcBorders>
              <w:top w:val="single" w:sz="4" w:space="0" w:color="000000"/>
              <w:bottom w:val="single" w:sz="4" w:space="0" w:color="000000"/>
            </w:tcBorders>
          </w:tcPr>
          <w:p>
            <w:pPr>
              <w:pStyle w:val="TableParagraph"/>
              <w:spacing w:before="38"/>
              <w:ind w:right="126"/>
              <w:rPr>
                <w:sz w:val="18"/>
              </w:rPr>
            </w:pPr>
            <w:r>
              <w:rPr>
                <w:w w:val="101"/>
                <w:sz w:val="18"/>
              </w:rPr>
              <w:t>3</w:t>
            </w:r>
          </w:p>
        </w:tc>
        <w:tc>
          <w:tcPr>
            <w:tcW w:w="499" w:type="dxa"/>
            <w:tcBorders>
              <w:top w:val="single" w:sz="4" w:space="0" w:color="000000"/>
              <w:bottom w:val="single" w:sz="4" w:space="0" w:color="000000"/>
            </w:tcBorders>
          </w:tcPr>
          <w:p>
            <w:pPr>
              <w:pStyle w:val="TableParagraph"/>
              <w:spacing w:before="38"/>
              <w:ind w:left="170"/>
              <w:jc w:val="center"/>
              <w:rPr>
                <w:sz w:val="18"/>
              </w:rPr>
            </w:pPr>
            <w:r>
              <w:rPr>
                <w:w w:val="101"/>
                <w:sz w:val="18"/>
              </w:rPr>
              <w:t>3</w:t>
            </w:r>
          </w:p>
        </w:tc>
        <w:tc>
          <w:tcPr>
            <w:tcW w:w="508" w:type="dxa"/>
            <w:tcBorders>
              <w:top w:val="single" w:sz="4" w:space="0" w:color="000000"/>
              <w:bottom w:val="single" w:sz="4" w:space="0" w:color="000000"/>
            </w:tcBorders>
          </w:tcPr>
          <w:p>
            <w:pPr>
              <w:pStyle w:val="TableParagraph"/>
              <w:spacing w:before="38"/>
              <w:ind w:right="110"/>
              <w:rPr>
                <w:sz w:val="18"/>
              </w:rPr>
            </w:pPr>
            <w:r>
              <w:rPr>
                <w:spacing w:val="-5"/>
                <w:sz w:val="18"/>
              </w:rPr>
              <w:t>21</w:t>
            </w:r>
          </w:p>
        </w:tc>
        <w:tc>
          <w:tcPr>
            <w:tcW w:w="520" w:type="dxa"/>
            <w:tcBorders>
              <w:top w:val="single" w:sz="4" w:space="0" w:color="000000"/>
              <w:bottom w:val="single" w:sz="4" w:space="0" w:color="000000"/>
            </w:tcBorders>
          </w:tcPr>
          <w:p>
            <w:pPr>
              <w:pStyle w:val="TableParagraph"/>
              <w:spacing w:before="38"/>
              <w:ind w:right="122"/>
              <w:rPr>
                <w:sz w:val="18"/>
              </w:rPr>
            </w:pPr>
            <w:r>
              <w:rPr>
                <w:spacing w:val="-5"/>
                <w:sz w:val="18"/>
              </w:rPr>
              <w:t>12</w:t>
            </w:r>
          </w:p>
        </w:tc>
        <w:tc>
          <w:tcPr>
            <w:tcW w:w="404" w:type="dxa"/>
            <w:tcBorders>
              <w:top w:val="single" w:sz="4" w:space="0" w:color="000000"/>
              <w:bottom w:val="single" w:sz="4" w:space="0" w:color="000000"/>
            </w:tcBorders>
          </w:tcPr>
          <w:p>
            <w:pPr>
              <w:pStyle w:val="TableParagraph"/>
              <w:spacing w:before="38"/>
              <w:ind w:left="311"/>
              <w:jc w:val="center"/>
              <w:rPr>
                <w:sz w:val="18"/>
              </w:rPr>
            </w:pPr>
            <w:r>
              <w:rPr>
                <w:w w:val="101"/>
                <w:sz w:val="18"/>
              </w:rPr>
              <w:t>-</w:t>
            </w:r>
          </w:p>
        </w:tc>
        <w:tc>
          <w:tcPr>
            <w:tcW w:w="846" w:type="dxa"/>
            <w:tcBorders>
              <w:top w:val="single" w:sz="4" w:space="0" w:color="000000"/>
              <w:bottom w:val="single" w:sz="4" w:space="0" w:color="000000"/>
            </w:tcBorders>
          </w:tcPr>
          <w:p>
            <w:pPr>
              <w:pStyle w:val="TableParagraph"/>
              <w:spacing w:before="38"/>
              <w:ind w:right="65"/>
              <w:rPr>
                <w:i/>
                <w:sz w:val="18"/>
              </w:rPr>
            </w:pPr>
            <w:r>
              <w:rPr>
                <w:i/>
                <w:spacing w:val="-5"/>
                <w:sz w:val="18"/>
              </w:rPr>
              <w:t>39</w:t>
            </w:r>
          </w:p>
        </w:tc>
        <w:tc>
          <w:tcPr>
            <w:tcW w:w="569" w:type="dxa"/>
            <w:tcBorders>
              <w:top w:val="single" w:sz="4" w:space="0" w:color="000000"/>
              <w:bottom w:val="single" w:sz="4" w:space="0" w:color="000000"/>
            </w:tcBorders>
          </w:tcPr>
          <w:p>
            <w:pPr>
              <w:pStyle w:val="TableParagraph"/>
              <w:spacing w:before="38"/>
              <w:ind w:right="36"/>
              <w:rPr>
                <w:sz w:val="18"/>
              </w:rPr>
            </w:pPr>
            <w:r>
              <w:rPr>
                <w:w w:val="101"/>
                <w:sz w:val="18"/>
              </w:rPr>
              <w:t>-</w:t>
            </w:r>
          </w:p>
        </w:tc>
        <w:tc>
          <w:tcPr>
            <w:tcW w:w="586" w:type="dxa"/>
            <w:tcBorders>
              <w:top w:val="single" w:sz="4" w:space="0" w:color="000000"/>
              <w:bottom w:val="single" w:sz="4" w:space="0" w:color="000000"/>
            </w:tcBorders>
          </w:tcPr>
          <w:p>
            <w:pPr>
              <w:pStyle w:val="TableParagraph"/>
              <w:spacing w:before="38"/>
              <w:ind w:right="24"/>
              <w:rPr>
                <w:sz w:val="18"/>
              </w:rPr>
            </w:pPr>
            <w:r>
              <w:rPr>
                <w:w w:val="101"/>
                <w:sz w:val="18"/>
              </w:rPr>
              <w:t>1</w:t>
            </w:r>
          </w:p>
        </w:tc>
        <w:tc>
          <w:tcPr>
            <w:tcW w:w="587" w:type="dxa"/>
            <w:tcBorders>
              <w:top w:val="single" w:sz="4" w:space="0" w:color="000000"/>
              <w:bottom w:val="single" w:sz="4" w:space="0" w:color="000000"/>
            </w:tcBorders>
          </w:tcPr>
          <w:p>
            <w:pPr>
              <w:pStyle w:val="TableParagraph"/>
              <w:spacing w:before="38"/>
              <w:ind w:right="7"/>
              <w:rPr>
                <w:sz w:val="18"/>
              </w:rPr>
            </w:pPr>
            <w:r>
              <w:rPr>
                <w:spacing w:val="-5"/>
                <w:sz w:val="18"/>
              </w:rPr>
              <w:t>11</w:t>
            </w:r>
          </w:p>
        </w:tc>
        <w:tc>
          <w:tcPr>
            <w:tcW w:w="921" w:type="dxa"/>
            <w:tcBorders>
              <w:top w:val="single" w:sz="4" w:space="0" w:color="000000"/>
              <w:bottom w:val="single" w:sz="4" w:space="0" w:color="000000"/>
            </w:tcBorders>
          </w:tcPr>
          <w:p>
            <w:pPr>
              <w:pStyle w:val="TableParagraph"/>
              <w:spacing w:before="38"/>
              <w:ind w:right="82"/>
              <w:rPr>
                <w:i/>
                <w:sz w:val="18"/>
              </w:rPr>
            </w:pPr>
            <w:r>
              <w:rPr>
                <w:i/>
                <w:spacing w:val="-5"/>
                <w:sz w:val="18"/>
              </w:rPr>
              <w:t>12</w:t>
            </w:r>
          </w:p>
        </w:tc>
        <w:tc>
          <w:tcPr>
            <w:tcW w:w="539" w:type="dxa"/>
            <w:tcBorders>
              <w:top w:val="single" w:sz="4" w:space="0" w:color="000000"/>
              <w:bottom w:val="single" w:sz="4" w:space="0" w:color="000000"/>
            </w:tcBorders>
          </w:tcPr>
          <w:p>
            <w:pPr>
              <w:pStyle w:val="TableParagraph"/>
              <w:spacing w:before="38"/>
              <w:ind w:right="7"/>
              <w:rPr>
                <w:b/>
                <w:sz w:val="18"/>
              </w:rPr>
            </w:pPr>
            <w:r>
              <w:rPr>
                <w:b/>
                <w:spacing w:val="-5"/>
                <w:sz w:val="18"/>
              </w:rPr>
              <w:t>51</w:t>
            </w:r>
          </w:p>
        </w:tc>
      </w:tr>
      <w:tr>
        <w:trPr>
          <w:trHeight w:val="282" w:hRule="atLeast"/>
        </w:trPr>
        <w:tc>
          <w:tcPr>
            <w:tcW w:w="1918" w:type="dxa"/>
            <w:tcBorders>
              <w:top w:val="single" w:sz="4" w:space="0" w:color="000000"/>
              <w:bottom w:val="single" w:sz="4" w:space="0" w:color="000000"/>
            </w:tcBorders>
          </w:tcPr>
          <w:p>
            <w:pPr>
              <w:pStyle w:val="TableParagraph"/>
              <w:spacing w:before="38"/>
              <w:ind w:left="43"/>
              <w:jc w:val="left"/>
              <w:rPr>
                <w:sz w:val="18"/>
              </w:rPr>
            </w:pPr>
            <w:r>
              <w:rPr>
                <w:sz w:val="18"/>
              </w:rPr>
              <w:t>Major</w:t>
            </w:r>
            <w:r>
              <w:rPr>
                <w:spacing w:val="-5"/>
                <w:sz w:val="18"/>
              </w:rPr>
              <w:t> </w:t>
            </w:r>
            <w:r>
              <w:rPr>
                <w:sz w:val="18"/>
              </w:rPr>
              <w:t>Programme</w:t>
            </w:r>
            <w:r>
              <w:rPr>
                <w:spacing w:val="-6"/>
                <w:sz w:val="18"/>
              </w:rPr>
              <w:t> </w:t>
            </w:r>
            <w:r>
              <w:rPr>
                <w:spacing w:val="-5"/>
                <w:sz w:val="18"/>
              </w:rPr>
              <w:t>II</w:t>
            </w:r>
          </w:p>
        </w:tc>
        <w:tc>
          <w:tcPr>
            <w:tcW w:w="539" w:type="dxa"/>
            <w:tcBorders>
              <w:top w:val="single" w:sz="4" w:space="0" w:color="000000"/>
              <w:bottom w:val="single" w:sz="4" w:space="0" w:color="000000"/>
            </w:tcBorders>
          </w:tcPr>
          <w:p>
            <w:pPr>
              <w:pStyle w:val="TableParagraph"/>
              <w:spacing w:before="38"/>
              <w:ind w:right="73"/>
              <w:rPr>
                <w:sz w:val="18"/>
              </w:rPr>
            </w:pPr>
            <w:r>
              <w:rPr>
                <w:w w:val="101"/>
                <w:sz w:val="18"/>
              </w:rPr>
              <w:t>1</w:t>
            </w:r>
          </w:p>
        </w:tc>
        <w:tc>
          <w:tcPr>
            <w:tcW w:w="549" w:type="dxa"/>
            <w:tcBorders>
              <w:top w:val="single" w:sz="4" w:space="0" w:color="000000"/>
              <w:bottom w:val="single" w:sz="4" w:space="0" w:color="000000"/>
            </w:tcBorders>
          </w:tcPr>
          <w:p>
            <w:pPr>
              <w:pStyle w:val="TableParagraph"/>
              <w:spacing w:before="38"/>
              <w:ind w:right="113"/>
              <w:rPr>
                <w:sz w:val="18"/>
              </w:rPr>
            </w:pPr>
            <w:r>
              <w:rPr>
                <w:w w:val="101"/>
                <w:sz w:val="18"/>
              </w:rPr>
              <w:t>2</w:t>
            </w:r>
          </w:p>
        </w:tc>
        <w:tc>
          <w:tcPr>
            <w:tcW w:w="509" w:type="dxa"/>
            <w:tcBorders>
              <w:top w:val="single" w:sz="4" w:space="0" w:color="000000"/>
              <w:bottom w:val="single" w:sz="4" w:space="0" w:color="000000"/>
            </w:tcBorders>
          </w:tcPr>
          <w:p>
            <w:pPr>
              <w:pStyle w:val="TableParagraph"/>
              <w:spacing w:before="38"/>
              <w:ind w:right="110"/>
              <w:rPr>
                <w:sz w:val="18"/>
              </w:rPr>
            </w:pPr>
            <w:r>
              <w:rPr>
                <w:w w:val="101"/>
                <w:sz w:val="18"/>
              </w:rPr>
              <w:t>-</w:t>
            </w:r>
          </w:p>
        </w:tc>
        <w:tc>
          <w:tcPr>
            <w:tcW w:w="525" w:type="dxa"/>
            <w:tcBorders>
              <w:top w:val="single" w:sz="4" w:space="0" w:color="000000"/>
              <w:bottom w:val="single" w:sz="4" w:space="0" w:color="000000"/>
            </w:tcBorders>
          </w:tcPr>
          <w:p>
            <w:pPr>
              <w:pStyle w:val="TableParagraph"/>
              <w:spacing w:before="38"/>
              <w:ind w:right="129"/>
              <w:rPr>
                <w:sz w:val="18"/>
              </w:rPr>
            </w:pPr>
            <w:r>
              <w:rPr>
                <w:w w:val="101"/>
                <w:sz w:val="18"/>
              </w:rPr>
              <w:t>3</w:t>
            </w:r>
          </w:p>
        </w:tc>
        <w:tc>
          <w:tcPr>
            <w:tcW w:w="511" w:type="dxa"/>
            <w:tcBorders>
              <w:top w:val="single" w:sz="4" w:space="0" w:color="000000"/>
              <w:bottom w:val="single" w:sz="4" w:space="0" w:color="000000"/>
            </w:tcBorders>
          </w:tcPr>
          <w:p>
            <w:pPr>
              <w:pStyle w:val="TableParagraph"/>
              <w:spacing w:before="38"/>
              <w:ind w:right="121"/>
              <w:rPr>
                <w:sz w:val="18"/>
              </w:rPr>
            </w:pPr>
            <w:r>
              <w:rPr>
                <w:spacing w:val="-5"/>
                <w:sz w:val="18"/>
              </w:rPr>
              <w:t>18</w:t>
            </w:r>
          </w:p>
        </w:tc>
        <w:tc>
          <w:tcPr>
            <w:tcW w:w="499" w:type="dxa"/>
            <w:tcBorders>
              <w:top w:val="single" w:sz="4" w:space="0" w:color="000000"/>
              <w:bottom w:val="single" w:sz="4" w:space="0" w:color="000000"/>
            </w:tcBorders>
          </w:tcPr>
          <w:p>
            <w:pPr>
              <w:pStyle w:val="TableParagraph"/>
              <w:spacing w:before="38"/>
              <w:ind w:left="117" w:right="28"/>
              <w:jc w:val="center"/>
              <w:rPr>
                <w:sz w:val="18"/>
              </w:rPr>
            </w:pPr>
            <w:r>
              <w:rPr>
                <w:spacing w:val="-5"/>
                <w:sz w:val="18"/>
              </w:rPr>
              <w:t>38</w:t>
            </w:r>
          </w:p>
        </w:tc>
        <w:tc>
          <w:tcPr>
            <w:tcW w:w="508" w:type="dxa"/>
            <w:tcBorders>
              <w:top w:val="single" w:sz="4" w:space="0" w:color="000000"/>
              <w:bottom w:val="single" w:sz="4" w:space="0" w:color="000000"/>
            </w:tcBorders>
          </w:tcPr>
          <w:p>
            <w:pPr>
              <w:pStyle w:val="TableParagraph"/>
              <w:spacing w:before="38"/>
              <w:ind w:right="110"/>
              <w:rPr>
                <w:sz w:val="18"/>
              </w:rPr>
            </w:pPr>
            <w:r>
              <w:rPr>
                <w:spacing w:val="-5"/>
                <w:sz w:val="18"/>
              </w:rPr>
              <w:t>85</w:t>
            </w:r>
          </w:p>
        </w:tc>
        <w:tc>
          <w:tcPr>
            <w:tcW w:w="520" w:type="dxa"/>
            <w:tcBorders>
              <w:top w:val="single" w:sz="4" w:space="0" w:color="000000"/>
              <w:bottom w:val="single" w:sz="4" w:space="0" w:color="000000"/>
            </w:tcBorders>
          </w:tcPr>
          <w:p>
            <w:pPr>
              <w:pStyle w:val="TableParagraph"/>
              <w:spacing w:before="38"/>
              <w:ind w:right="122"/>
              <w:rPr>
                <w:sz w:val="18"/>
              </w:rPr>
            </w:pPr>
            <w:r>
              <w:rPr>
                <w:spacing w:val="-5"/>
                <w:sz w:val="18"/>
              </w:rPr>
              <w:t>87</w:t>
            </w:r>
          </w:p>
        </w:tc>
        <w:tc>
          <w:tcPr>
            <w:tcW w:w="404" w:type="dxa"/>
            <w:tcBorders>
              <w:top w:val="single" w:sz="4" w:space="0" w:color="000000"/>
              <w:bottom w:val="single" w:sz="4" w:space="0" w:color="000000"/>
            </w:tcBorders>
          </w:tcPr>
          <w:p>
            <w:pPr>
              <w:pStyle w:val="TableParagraph"/>
              <w:spacing w:before="38"/>
              <w:ind w:left="193"/>
              <w:jc w:val="center"/>
              <w:rPr>
                <w:sz w:val="18"/>
              </w:rPr>
            </w:pPr>
            <w:r>
              <w:rPr>
                <w:spacing w:val="-5"/>
                <w:sz w:val="18"/>
              </w:rPr>
              <w:t>25</w:t>
            </w:r>
          </w:p>
        </w:tc>
        <w:tc>
          <w:tcPr>
            <w:tcW w:w="846" w:type="dxa"/>
            <w:tcBorders>
              <w:top w:val="single" w:sz="4" w:space="0" w:color="000000"/>
              <w:bottom w:val="single" w:sz="4" w:space="0" w:color="000000"/>
            </w:tcBorders>
          </w:tcPr>
          <w:p>
            <w:pPr>
              <w:pStyle w:val="TableParagraph"/>
              <w:spacing w:before="38"/>
              <w:ind w:right="66"/>
              <w:rPr>
                <w:i/>
                <w:sz w:val="18"/>
              </w:rPr>
            </w:pPr>
            <w:r>
              <w:rPr>
                <w:i/>
                <w:spacing w:val="-5"/>
                <w:sz w:val="18"/>
              </w:rPr>
              <w:t>259</w:t>
            </w:r>
          </w:p>
        </w:tc>
        <w:tc>
          <w:tcPr>
            <w:tcW w:w="569" w:type="dxa"/>
            <w:tcBorders>
              <w:top w:val="single" w:sz="4" w:space="0" w:color="000000"/>
              <w:bottom w:val="single" w:sz="4" w:space="0" w:color="000000"/>
            </w:tcBorders>
          </w:tcPr>
          <w:p>
            <w:pPr>
              <w:pStyle w:val="TableParagraph"/>
              <w:spacing w:before="38"/>
              <w:ind w:right="36"/>
              <w:rPr>
                <w:sz w:val="18"/>
              </w:rPr>
            </w:pPr>
            <w:r>
              <w:rPr>
                <w:w w:val="101"/>
                <w:sz w:val="18"/>
              </w:rPr>
              <w:t>-</w:t>
            </w:r>
          </w:p>
        </w:tc>
        <w:tc>
          <w:tcPr>
            <w:tcW w:w="586" w:type="dxa"/>
            <w:tcBorders>
              <w:top w:val="single" w:sz="4" w:space="0" w:color="000000"/>
              <w:bottom w:val="single" w:sz="4" w:space="0" w:color="000000"/>
            </w:tcBorders>
          </w:tcPr>
          <w:p>
            <w:pPr>
              <w:pStyle w:val="TableParagraph"/>
              <w:spacing w:before="38"/>
              <w:ind w:right="24"/>
              <w:rPr>
                <w:sz w:val="18"/>
              </w:rPr>
            </w:pPr>
            <w:r>
              <w:rPr>
                <w:w w:val="101"/>
                <w:sz w:val="18"/>
              </w:rPr>
              <w:t>1</w:t>
            </w:r>
          </w:p>
        </w:tc>
        <w:tc>
          <w:tcPr>
            <w:tcW w:w="587" w:type="dxa"/>
            <w:tcBorders>
              <w:top w:val="single" w:sz="4" w:space="0" w:color="000000"/>
              <w:bottom w:val="single" w:sz="4" w:space="0" w:color="000000"/>
            </w:tcBorders>
          </w:tcPr>
          <w:p>
            <w:pPr>
              <w:pStyle w:val="TableParagraph"/>
              <w:spacing w:before="38"/>
              <w:ind w:right="7"/>
              <w:rPr>
                <w:sz w:val="18"/>
              </w:rPr>
            </w:pPr>
            <w:r>
              <w:rPr>
                <w:spacing w:val="-5"/>
                <w:sz w:val="18"/>
              </w:rPr>
              <w:t>83</w:t>
            </w:r>
          </w:p>
        </w:tc>
        <w:tc>
          <w:tcPr>
            <w:tcW w:w="921" w:type="dxa"/>
            <w:tcBorders>
              <w:top w:val="single" w:sz="4" w:space="0" w:color="000000"/>
              <w:bottom w:val="single" w:sz="4" w:space="0" w:color="000000"/>
            </w:tcBorders>
          </w:tcPr>
          <w:p>
            <w:pPr>
              <w:pStyle w:val="TableParagraph"/>
              <w:spacing w:before="38"/>
              <w:ind w:right="82"/>
              <w:rPr>
                <w:i/>
                <w:sz w:val="18"/>
              </w:rPr>
            </w:pPr>
            <w:r>
              <w:rPr>
                <w:i/>
                <w:spacing w:val="-5"/>
                <w:sz w:val="18"/>
              </w:rPr>
              <w:t>84</w:t>
            </w:r>
          </w:p>
        </w:tc>
        <w:tc>
          <w:tcPr>
            <w:tcW w:w="539" w:type="dxa"/>
            <w:tcBorders>
              <w:top w:val="single" w:sz="4" w:space="0" w:color="000000"/>
              <w:bottom w:val="single" w:sz="4" w:space="0" w:color="000000"/>
            </w:tcBorders>
          </w:tcPr>
          <w:p>
            <w:pPr>
              <w:pStyle w:val="TableParagraph"/>
              <w:spacing w:before="38"/>
              <w:ind w:right="7"/>
              <w:rPr>
                <w:b/>
                <w:sz w:val="18"/>
              </w:rPr>
            </w:pPr>
            <w:r>
              <w:rPr>
                <w:b/>
                <w:spacing w:val="-5"/>
                <w:sz w:val="18"/>
              </w:rPr>
              <w:t>343</w:t>
            </w:r>
          </w:p>
        </w:tc>
      </w:tr>
      <w:tr>
        <w:trPr>
          <w:trHeight w:val="282" w:hRule="atLeast"/>
        </w:trPr>
        <w:tc>
          <w:tcPr>
            <w:tcW w:w="1918" w:type="dxa"/>
            <w:tcBorders>
              <w:top w:val="single" w:sz="4" w:space="0" w:color="000000"/>
              <w:bottom w:val="single" w:sz="4" w:space="0" w:color="000000"/>
            </w:tcBorders>
          </w:tcPr>
          <w:p>
            <w:pPr>
              <w:pStyle w:val="TableParagraph"/>
              <w:spacing w:before="38"/>
              <w:ind w:left="43"/>
              <w:jc w:val="left"/>
              <w:rPr>
                <w:sz w:val="18"/>
              </w:rPr>
            </w:pPr>
            <w:r>
              <w:rPr>
                <w:sz w:val="18"/>
              </w:rPr>
              <w:t>Major</w:t>
            </w:r>
            <w:r>
              <w:rPr>
                <w:spacing w:val="-5"/>
                <w:sz w:val="18"/>
              </w:rPr>
              <w:t> </w:t>
            </w:r>
            <w:r>
              <w:rPr>
                <w:sz w:val="18"/>
              </w:rPr>
              <w:t>Programme</w:t>
            </w:r>
            <w:r>
              <w:rPr>
                <w:spacing w:val="-6"/>
                <w:sz w:val="18"/>
              </w:rPr>
              <w:t> </w:t>
            </w:r>
            <w:r>
              <w:rPr>
                <w:spacing w:val="-5"/>
                <w:sz w:val="18"/>
              </w:rPr>
              <w:t>III</w:t>
            </w:r>
          </w:p>
        </w:tc>
        <w:tc>
          <w:tcPr>
            <w:tcW w:w="539" w:type="dxa"/>
            <w:tcBorders>
              <w:top w:val="single" w:sz="4" w:space="0" w:color="000000"/>
              <w:bottom w:val="single" w:sz="4" w:space="0" w:color="000000"/>
            </w:tcBorders>
          </w:tcPr>
          <w:p>
            <w:pPr>
              <w:pStyle w:val="TableParagraph"/>
              <w:spacing w:before="38"/>
              <w:ind w:right="70"/>
              <w:rPr>
                <w:sz w:val="18"/>
              </w:rPr>
            </w:pPr>
            <w:r>
              <w:rPr>
                <w:w w:val="101"/>
                <w:sz w:val="18"/>
              </w:rPr>
              <w:t>-</w:t>
            </w:r>
          </w:p>
        </w:tc>
        <w:tc>
          <w:tcPr>
            <w:tcW w:w="549" w:type="dxa"/>
            <w:tcBorders>
              <w:top w:val="single" w:sz="4" w:space="0" w:color="000000"/>
              <w:bottom w:val="single" w:sz="4" w:space="0" w:color="000000"/>
            </w:tcBorders>
          </w:tcPr>
          <w:p>
            <w:pPr>
              <w:pStyle w:val="TableParagraph"/>
              <w:spacing w:before="38"/>
              <w:ind w:right="113"/>
              <w:rPr>
                <w:sz w:val="18"/>
              </w:rPr>
            </w:pPr>
            <w:r>
              <w:rPr>
                <w:w w:val="101"/>
                <w:sz w:val="18"/>
              </w:rPr>
              <w:t>1</w:t>
            </w:r>
          </w:p>
        </w:tc>
        <w:tc>
          <w:tcPr>
            <w:tcW w:w="509" w:type="dxa"/>
            <w:tcBorders>
              <w:top w:val="single" w:sz="4" w:space="0" w:color="000000"/>
              <w:bottom w:val="single" w:sz="4" w:space="0" w:color="000000"/>
            </w:tcBorders>
          </w:tcPr>
          <w:p>
            <w:pPr>
              <w:pStyle w:val="TableParagraph"/>
              <w:spacing w:before="38"/>
              <w:ind w:right="110"/>
              <w:rPr>
                <w:sz w:val="18"/>
              </w:rPr>
            </w:pPr>
            <w:r>
              <w:rPr>
                <w:w w:val="101"/>
                <w:sz w:val="18"/>
              </w:rPr>
              <w:t>-</w:t>
            </w:r>
          </w:p>
        </w:tc>
        <w:tc>
          <w:tcPr>
            <w:tcW w:w="525" w:type="dxa"/>
            <w:tcBorders>
              <w:top w:val="single" w:sz="4" w:space="0" w:color="000000"/>
              <w:bottom w:val="single" w:sz="4" w:space="0" w:color="000000"/>
            </w:tcBorders>
          </w:tcPr>
          <w:p>
            <w:pPr>
              <w:pStyle w:val="TableParagraph"/>
              <w:spacing w:before="38"/>
              <w:ind w:right="129"/>
              <w:rPr>
                <w:sz w:val="18"/>
              </w:rPr>
            </w:pPr>
            <w:r>
              <w:rPr>
                <w:w w:val="101"/>
                <w:sz w:val="18"/>
              </w:rPr>
              <w:t>3</w:t>
            </w:r>
          </w:p>
        </w:tc>
        <w:tc>
          <w:tcPr>
            <w:tcW w:w="511" w:type="dxa"/>
            <w:tcBorders>
              <w:top w:val="single" w:sz="4" w:space="0" w:color="000000"/>
              <w:bottom w:val="single" w:sz="4" w:space="0" w:color="000000"/>
            </w:tcBorders>
          </w:tcPr>
          <w:p>
            <w:pPr>
              <w:pStyle w:val="TableParagraph"/>
              <w:spacing w:before="38"/>
              <w:ind w:right="121"/>
              <w:rPr>
                <w:sz w:val="18"/>
              </w:rPr>
            </w:pPr>
            <w:r>
              <w:rPr>
                <w:spacing w:val="-5"/>
                <w:sz w:val="18"/>
              </w:rPr>
              <w:t>21</w:t>
            </w:r>
          </w:p>
        </w:tc>
        <w:tc>
          <w:tcPr>
            <w:tcW w:w="499" w:type="dxa"/>
            <w:tcBorders>
              <w:top w:val="single" w:sz="4" w:space="0" w:color="000000"/>
              <w:bottom w:val="single" w:sz="4" w:space="0" w:color="000000"/>
            </w:tcBorders>
          </w:tcPr>
          <w:p>
            <w:pPr>
              <w:pStyle w:val="TableParagraph"/>
              <w:spacing w:before="38"/>
              <w:ind w:left="117" w:right="28"/>
              <w:jc w:val="center"/>
              <w:rPr>
                <w:sz w:val="18"/>
              </w:rPr>
            </w:pPr>
            <w:r>
              <w:rPr>
                <w:spacing w:val="-5"/>
                <w:sz w:val="18"/>
              </w:rPr>
              <w:t>45</w:t>
            </w:r>
          </w:p>
        </w:tc>
        <w:tc>
          <w:tcPr>
            <w:tcW w:w="508" w:type="dxa"/>
            <w:tcBorders>
              <w:top w:val="single" w:sz="4" w:space="0" w:color="000000"/>
              <w:bottom w:val="single" w:sz="4" w:space="0" w:color="000000"/>
            </w:tcBorders>
          </w:tcPr>
          <w:p>
            <w:pPr>
              <w:pStyle w:val="TableParagraph"/>
              <w:spacing w:before="38"/>
              <w:ind w:right="110"/>
              <w:rPr>
                <w:sz w:val="18"/>
              </w:rPr>
            </w:pPr>
            <w:r>
              <w:rPr>
                <w:spacing w:val="-5"/>
                <w:sz w:val="18"/>
              </w:rPr>
              <w:t>83</w:t>
            </w:r>
          </w:p>
        </w:tc>
        <w:tc>
          <w:tcPr>
            <w:tcW w:w="520" w:type="dxa"/>
            <w:tcBorders>
              <w:top w:val="single" w:sz="4" w:space="0" w:color="000000"/>
              <w:bottom w:val="single" w:sz="4" w:space="0" w:color="000000"/>
            </w:tcBorders>
          </w:tcPr>
          <w:p>
            <w:pPr>
              <w:pStyle w:val="TableParagraph"/>
              <w:spacing w:before="38"/>
              <w:ind w:right="122"/>
              <w:rPr>
                <w:sz w:val="18"/>
              </w:rPr>
            </w:pPr>
            <w:r>
              <w:rPr>
                <w:spacing w:val="-5"/>
                <w:sz w:val="18"/>
              </w:rPr>
              <w:t>95</w:t>
            </w:r>
          </w:p>
        </w:tc>
        <w:tc>
          <w:tcPr>
            <w:tcW w:w="404" w:type="dxa"/>
            <w:tcBorders>
              <w:top w:val="single" w:sz="4" w:space="0" w:color="000000"/>
              <w:bottom w:val="single" w:sz="4" w:space="0" w:color="000000"/>
            </w:tcBorders>
          </w:tcPr>
          <w:p>
            <w:pPr>
              <w:pStyle w:val="TableParagraph"/>
              <w:spacing w:before="38"/>
              <w:ind w:left="275"/>
              <w:jc w:val="center"/>
              <w:rPr>
                <w:sz w:val="18"/>
              </w:rPr>
            </w:pPr>
            <w:r>
              <w:rPr>
                <w:w w:val="101"/>
                <w:sz w:val="18"/>
              </w:rPr>
              <w:t>6</w:t>
            </w:r>
          </w:p>
        </w:tc>
        <w:tc>
          <w:tcPr>
            <w:tcW w:w="846" w:type="dxa"/>
            <w:tcBorders>
              <w:top w:val="single" w:sz="4" w:space="0" w:color="000000"/>
              <w:bottom w:val="single" w:sz="4" w:space="0" w:color="000000"/>
            </w:tcBorders>
          </w:tcPr>
          <w:p>
            <w:pPr>
              <w:pStyle w:val="TableParagraph"/>
              <w:spacing w:before="38"/>
              <w:ind w:right="66"/>
              <w:rPr>
                <w:i/>
                <w:sz w:val="18"/>
              </w:rPr>
            </w:pPr>
            <w:r>
              <w:rPr>
                <w:i/>
                <w:spacing w:val="-5"/>
                <w:sz w:val="18"/>
              </w:rPr>
              <w:t>254</w:t>
            </w:r>
          </w:p>
        </w:tc>
        <w:tc>
          <w:tcPr>
            <w:tcW w:w="569" w:type="dxa"/>
            <w:tcBorders>
              <w:top w:val="single" w:sz="4" w:space="0" w:color="000000"/>
              <w:bottom w:val="single" w:sz="4" w:space="0" w:color="000000"/>
            </w:tcBorders>
          </w:tcPr>
          <w:p>
            <w:pPr>
              <w:pStyle w:val="TableParagraph"/>
              <w:spacing w:before="38"/>
              <w:ind w:right="36"/>
              <w:rPr>
                <w:sz w:val="18"/>
              </w:rPr>
            </w:pPr>
            <w:r>
              <w:rPr>
                <w:w w:val="101"/>
                <w:sz w:val="18"/>
              </w:rPr>
              <w:t>-</w:t>
            </w:r>
          </w:p>
        </w:tc>
        <w:tc>
          <w:tcPr>
            <w:tcW w:w="586" w:type="dxa"/>
            <w:tcBorders>
              <w:top w:val="single" w:sz="4" w:space="0" w:color="000000"/>
              <w:bottom w:val="single" w:sz="4" w:space="0" w:color="000000"/>
            </w:tcBorders>
          </w:tcPr>
          <w:p>
            <w:pPr>
              <w:pStyle w:val="TableParagraph"/>
              <w:spacing w:before="38"/>
              <w:ind w:right="20"/>
              <w:rPr>
                <w:sz w:val="18"/>
              </w:rPr>
            </w:pPr>
            <w:r>
              <w:rPr>
                <w:spacing w:val="-5"/>
                <w:sz w:val="18"/>
              </w:rPr>
              <w:t>15</w:t>
            </w:r>
          </w:p>
        </w:tc>
        <w:tc>
          <w:tcPr>
            <w:tcW w:w="587" w:type="dxa"/>
            <w:tcBorders>
              <w:top w:val="single" w:sz="4" w:space="0" w:color="000000"/>
              <w:bottom w:val="single" w:sz="4" w:space="0" w:color="000000"/>
            </w:tcBorders>
          </w:tcPr>
          <w:p>
            <w:pPr>
              <w:pStyle w:val="TableParagraph"/>
              <w:spacing w:before="38"/>
              <w:ind w:right="7"/>
              <w:rPr>
                <w:sz w:val="18"/>
              </w:rPr>
            </w:pPr>
            <w:r>
              <w:rPr>
                <w:spacing w:val="-5"/>
                <w:sz w:val="18"/>
              </w:rPr>
              <w:t>294</w:t>
            </w:r>
          </w:p>
        </w:tc>
        <w:tc>
          <w:tcPr>
            <w:tcW w:w="921" w:type="dxa"/>
            <w:tcBorders>
              <w:top w:val="single" w:sz="4" w:space="0" w:color="000000"/>
              <w:bottom w:val="single" w:sz="4" w:space="0" w:color="000000"/>
            </w:tcBorders>
          </w:tcPr>
          <w:p>
            <w:pPr>
              <w:pStyle w:val="TableParagraph"/>
              <w:spacing w:before="38"/>
              <w:ind w:right="82"/>
              <w:rPr>
                <w:i/>
                <w:sz w:val="18"/>
              </w:rPr>
            </w:pPr>
            <w:r>
              <w:rPr>
                <w:i/>
                <w:spacing w:val="-5"/>
                <w:sz w:val="18"/>
              </w:rPr>
              <w:t>309</w:t>
            </w:r>
          </w:p>
        </w:tc>
        <w:tc>
          <w:tcPr>
            <w:tcW w:w="539" w:type="dxa"/>
            <w:tcBorders>
              <w:top w:val="single" w:sz="4" w:space="0" w:color="000000"/>
              <w:bottom w:val="single" w:sz="4" w:space="0" w:color="000000"/>
            </w:tcBorders>
          </w:tcPr>
          <w:p>
            <w:pPr>
              <w:pStyle w:val="TableParagraph"/>
              <w:spacing w:before="38"/>
              <w:ind w:right="7"/>
              <w:rPr>
                <w:b/>
                <w:sz w:val="18"/>
              </w:rPr>
            </w:pPr>
            <w:r>
              <w:rPr>
                <w:b/>
                <w:spacing w:val="-5"/>
                <w:sz w:val="18"/>
              </w:rPr>
              <w:t>563</w:t>
            </w:r>
          </w:p>
        </w:tc>
      </w:tr>
      <w:tr>
        <w:trPr>
          <w:trHeight w:val="282" w:hRule="atLeast"/>
        </w:trPr>
        <w:tc>
          <w:tcPr>
            <w:tcW w:w="1918" w:type="dxa"/>
            <w:tcBorders>
              <w:top w:val="single" w:sz="4" w:space="0" w:color="000000"/>
              <w:bottom w:val="single" w:sz="4" w:space="0" w:color="000000"/>
            </w:tcBorders>
          </w:tcPr>
          <w:p>
            <w:pPr>
              <w:pStyle w:val="TableParagraph"/>
              <w:spacing w:before="38"/>
              <w:ind w:left="43"/>
              <w:jc w:val="left"/>
              <w:rPr>
                <w:sz w:val="18"/>
              </w:rPr>
            </w:pPr>
            <w:r>
              <w:rPr>
                <w:sz w:val="18"/>
              </w:rPr>
              <w:t>Major</w:t>
            </w:r>
            <w:r>
              <w:rPr>
                <w:spacing w:val="-5"/>
                <w:sz w:val="18"/>
              </w:rPr>
              <w:t> </w:t>
            </w:r>
            <w:r>
              <w:rPr>
                <w:sz w:val="18"/>
              </w:rPr>
              <w:t>Programme</w:t>
            </w:r>
            <w:r>
              <w:rPr>
                <w:spacing w:val="-6"/>
                <w:sz w:val="18"/>
              </w:rPr>
              <w:t> </w:t>
            </w:r>
            <w:r>
              <w:rPr>
                <w:spacing w:val="-5"/>
                <w:sz w:val="18"/>
              </w:rPr>
              <w:t>IV</w:t>
            </w:r>
          </w:p>
        </w:tc>
        <w:tc>
          <w:tcPr>
            <w:tcW w:w="539" w:type="dxa"/>
            <w:tcBorders>
              <w:top w:val="single" w:sz="4" w:space="0" w:color="000000"/>
              <w:bottom w:val="single" w:sz="4" w:space="0" w:color="000000"/>
            </w:tcBorders>
          </w:tcPr>
          <w:p>
            <w:pPr>
              <w:pStyle w:val="TableParagraph"/>
              <w:spacing w:before="38"/>
              <w:ind w:right="70"/>
              <w:rPr>
                <w:sz w:val="18"/>
              </w:rPr>
            </w:pPr>
            <w:r>
              <w:rPr>
                <w:w w:val="101"/>
                <w:sz w:val="18"/>
              </w:rPr>
              <w:t>-</w:t>
            </w:r>
          </w:p>
        </w:tc>
        <w:tc>
          <w:tcPr>
            <w:tcW w:w="549" w:type="dxa"/>
            <w:tcBorders>
              <w:top w:val="single" w:sz="4" w:space="0" w:color="000000"/>
              <w:bottom w:val="single" w:sz="4" w:space="0" w:color="000000"/>
            </w:tcBorders>
          </w:tcPr>
          <w:p>
            <w:pPr>
              <w:pStyle w:val="TableParagraph"/>
              <w:spacing w:before="38"/>
              <w:ind w:right="110"/>
              <w:rPr>
                <w:sz w:val="18"/>
              </w:rPr>
            </w:pPr>
            <w:r>
              <w:rPr>
                <w:w w:val="101"/>
                <w:sz w:val="18"/>
              </w:rPr>
              <w:t>-</w:t>
            </w:r>
          </w:p>
        </w:tc>
        <w:tc>
          <w:tcPr>
            <w:tcW w:w="509" w:type="dxa"/>
            <w:tcBorders>
              <w:top w:val="single" w:sz="4" w:space="0" w:color="000000"/>
              <w:bottom w:val="single" w:sz="4" w:space="0" w:color="000000"/>
            </w:tcBorders>
          </w:tcPr>
          <w:p>
            <w:pPr>
              <w:pStyle w:val="TableParagraph"/>
              <w:spacing w:before="38"/>
              <w:ind w:right="110"/>
              <w:rPr>
                <w:sz w:val="18"/>
              </w:rPr>
            </w:pPr>
            <w:r>
              <w:rPr>
                <w:w w:val="101"/>
                <w:sz w:val="18"/>
              </w:rPr>
              <w:t>-</w:t>
            </w:r>
          </w:p>
        </w:tc>
        <w:tc>
          <w:tcPr>
            <w:tcW w:w="525" w:type="dxa"/>
            <w:tcBorders>
              <w:top w:val="single" w:sz="4" w:space="0" w:color="000000"/>
              <w:bottom w:val="single" w:sz="4" w:space="0" w:color="000000"/>
            </w:tcBorders>
          </w:tcPr>
          <w:p>
            <w:pPr>
              <w:pStyle w:val="TableParagraph"/>
              <w:spacing w:before="38"/>
              <w:ind w:right="129"/>
              <w:rPr>
                <w:sz w:val="18"/>
              </w:rPr>
            </w:pPr>
            <w:r>
              <w:rPr>
                <w:w w:val="101"/>
                <w:sz w:val="18"/>
              </w:rPr>
              <w:t>1</w:t>
            </w:r>
          </w:p>
        </w:tc>
        <w:tc>
          <w:tcPr>
            <w:tcW w:w="511" w:type="dxa"/>
            <w:tcBorders>
              <w:top w:val="single" w:sz="4" w:space="0" w:color="000000"/>
              <w:bottom w:val="single" w:sz="4" w:space="0" w:color="000000"/>
            </w:tcBorders>
          </w:tcPr>
          <w:p>
            <w:pPr>
              <w:pStyle w:val="TableParagraph"/>
              <w:spacing w:before="38"/>
              <w:ind w:right="126"/>
              <w:rPr>
                <w:sz w:val="18"/>
              </w:rPr>
            </w:pPr>
            <w:r>
              <w:rPr>
                <w:w w:val="101"/>
                <w:sz w:val="18"/>
              </w:rPr>
              <w:t>1</w:t>
            </w:r>
          </w:p>
        </w:tc>
        <w:tc>
          <w:tcPr>
            <w:tcW w:w="499" w:type="dxa"/>
            <w:tcBorders>
              <w:top w:val="single" w:sz="4" w:space="0" w:color="000000"/>
              <w:bottom w:val="single" w:sz="4" w:space="0" w:color="000000"/>
            </w:tcBorders>
          </w:tcPr>
          <w:p>
            <w:pPr>
              <w:pStyle w:val="TableParagraph"/>
              <w:spacing w:before="38"/>
              <w:ind w:left="170"/>
              <w:jc w:val="center"/>
              <w:rPr>
                <w:sz w:val="18"/>
              </w:rPr>
            </w:pPr>
            <w:r>
              <w:rPr>
                <w:w w:val="101"/>
                <w:sz w:val="18"/>
              </w:rPr>
              <w:t>1</w:t>
            </w:r>
          </w:p>
        </w:tc>
        <w:tc>
          <w:tcPr>
            <w:tcW w:w="508" w:type="dxa"/>
            <w:tcBorders>
              <w:top w:val="single" w:sz="4" w:space="0" w:color="000000"/>
              <w:bottom w:val="single" w:sz="4" w:space="0" w:color="000000"/>
            </w:tcBorders>
          </w:tcPr>
          <w:p>
            <w:pPr>
              <w:pStyle w:val="TableParagraph"/>
              <w:spacing w:before="38"/>
              <w:ind w:right="115"/>
              <w:rPr>
                <w:sz w:val="18"/>
              </w:rPr>
            </w:pPr>
            <w:r>
              <w:rPr>
                <w:w w:val="101"/>
                <w:sz w:val="18"/>
              </w:rPr>
              <w:t>2</w:t>
            </w:r>
          </w:p>
        </w:tc>
        <w:tc>
          <w:tcPr>
            <w:tcW w:w="520" w:type="dxa"/>
            <w:tcBorders>
              <w:top w:val="single" w:sz="4" w:space="0" w:color="000000"/>
              <w:bottom w:val="single" w:sz="4" w:space="0" w:color="000000"/>
            </w:tcBorders>
          </w:tcPr>
          <w:p>
            <w:pPr>
              <w:pStyle w:val="TableParagraph"/>
              <w:spacing w:before="38"/>
              <w:ind w:right="126"/>
              <w:rPr>
                <w:sz w:val="18"/>
              </w:rPr>
            </w:pPr>
            <w:r>
              <w:rPr>
                <w:w w:val="101"/>
                <w:sz w:val="18"/>
              </w:rPr>
              <w:t>1</w:t>
            </w:r>
          </w:p>
        </w:tc>
        <w:tc>
          <w:tcPr>
            <w:tcW w:w="404" w:type="dxa"/>
            <w:tcBorders>
              <w:top w:val="single" w:sz="4" w:space="0" w:color="000000"/>
              <w:bottom w:val="single" w:sz="4" w:space="0" w:color="000000"/>
            </w:tcBorders>
          </w:tcPr>
          <w:p>
            <w:pPr>
              <w:pStyle w:val="TableParagraph"/>
              <w:spacing w:before="38"/>
              <w:ind w:left="311"/>
              <w:jc w:val="center"/>
              <w:rPr>
                <w:sz w:val="18"/>
              </w:rPr>
            </w:pPr>
            <w:r>
              <w:rPr>
                <w:w w:val="101"/>
                <w:sz w:val="18"/>
              </w:rPr>
              <w:t>-</w:t>
            </w:r>
          </w:p>
        </w:tc>
        <w:tc>
          <w:tcPr>
            <w:tcW w:w="846" w:type="dxa"/>
            <w:tcBorders>
              <w:top w:val="single" w:sz="4" w:space="0" w:color="000000"/>
              <w:bottom w:val="single" w:sz="4" w:space="0" w:color="000000"/>
            </w:tcBorders>
          </w:tcPr>
          <w:p>
            <w:pPr>
              <w:pStyle w:val="TableParagraph"/>
              <w:spacing w:before="38"/>
              <w:ind w:right="70"/>
              <w:rPr>
                <w:i/>
                <w:sz w:val="18"/>
              </w:rPr>
            </w:pPr>
            <w:r>
              <w:rPr>
                <w:i/>
                <w:w w:val="101"/>
                <w:sz w:val="18"/>
              </w:rPr>
              <w:t>6</w:t>
            </w:r>
          </w:p>
        </w:tc>
        <w:tc>
          <w:tcPr>
            <w:tcW w:w="569" w:type="dxa"/>
            <w:tcBorders>
              <w:top w:val="single" w:sz="4" w:space="0" w:color="000000"/>
              <w:bottom w:val="single" w:sz="4" w:space="0" w:color="000000"/>
            </w:tcBorders>
          </w:tcPr>
          <w:p>
            <w:pPr>
              <w:pStyle w:val="TableParagraph"/>
              <w:spacing w:before="38"/>
              <w:ind w:right="36"/>
              <w:rPr>
                <w:sz w:val="18"/>
              </w:rPr>
            </w:pPr>
            <w:r>
              <w:rPr>
                <w:w w:val="101"/>
                <w:sz w:val="18"/>
              </w:rPr>
              <w:t>-</w:t>
            </w:r>
          </w:p>
        </w:tc>
        <w:tc>
          <w:tcPr>
            <w:tcW w:w="586" w:type="dxa"/>
            <w:tcBorders>
              <w:top w:val="single" w:sz="4" w:space="0" w:color="000000"/>
              <w:bottom w:val="single" w:sz="4" w:space="0" w:color="000000"/>
            </w:tcBorders>
          </w:tcPr>
          <w:p>
            <w:pPr>
              <w:pStyle w:val="TableParagraph"/>
              <w:spacing w:before="38"/>
              <w:ind w:right="24"/>
              <w:rPr>
                <w:sz w:val="18"/>
              </w:rPr>
            </w:pPr>
            <w:r>
              <w:rPr>
                <w:w w:val="101"/>
                <w:sz w:val="18"/>
              </w:rPr>
              <w:t>1</w:t>
            </w:r>
          </w:p>
        </w:tc>
        <w:tc>
          <w:tcPr>
            <w:tcW w:w="587" w:type="dxa"/>
            <w:tcBorders>
              <w:top w:val="single" w:sz="4" w:space="0" w:color="000000"/>
              <w:bottom w:val="single" w:sz="4" w:space="0" w:color="000000"/>
            </w:tcBorders>
          </w:tcPr>
          <w:p>
            <w:pPr>
              <w:pStyle w:val="TableParagraph"/>
              <w:spacing w:before="38"/>
              <w:ind w:right="11"/>
              <w:rPr>
                <w:sz w:val="18"/>
              </w:rPr>
            </w:pPr>
            <w:r>
              <w:rPr>
                <w:w w:val="101"/>
                <w:sz w:val="18"/>
              </w:rPr>
              <w:t>3</w:t>
            </w:r>
          </w:p>
        </w:tc>
        <w:tc>
          <w:tcPr>
            <w:tcW w:w="921" w:type="dxa"/>
            <w:tcBorders>
              <w:top w:val="single" w:sz="4" w:space="0" w:color="000000"/>
              <w:bottom w:val="single" w:sz="4" w:space="0" w:color="000000"/>
            </w:tcBorders>
          </w:tcPr>
          <w:p>
            <w:pPr>
              <w:pStyle w:val="TableParagraph"/>
              <w:spacing w:before="38"/>
              <w:ind w:right="87"/>
              <w:rPr>
                <w:i/>
                <w:sz w:val="18"/>
              </w:rPr>
            </w:pPr>
            <w:r>
              <w:rPr>
                <w:i/>
                <w:w w:val="101"/>
                <w:sz w:val="18"/>
              </w:rPr>
              <w:t>4</w:t>
            </w:r>
          </w:p>
        </w:tc>
        <w:tc>
          <w:tcPr>
            <w:tcW w:w="539" w:type="dxa"/>
            <w:tcBorders>
              <w:top w:val="single" w:sz="4" w:space="0" w:color="000000"/>
              <w:bottom w:val="single" w:sz="4" w:space="0" w:color="000000"/>
            </w:tcBorders>
          </w:tcPr>
          <w:p>
            <w:pPr>
              <w:pStyle w:val="TableParagraph"/>
              <w:spacing w:before="38"/>
              <w:ind w:right="7"/>
              <w:rPr>
                <w:b/>
                <w:sz w:val="18"/>
              </w:rPr>
            </w:pPr>
            <w:r>
              <w:rPr>
                <w:b/>
                <w:spacing w:val="-5"/>
                <w:sz w:val="18"/>
              </w:rPr>
              <w:t>10</w:t>
            </w:r>
          </w:p>
        </w:tc>
      </w:tr>
      <w:tr>
        <w:trPr>
          <w:trHeight w:val="282" w:hRule="atLeast"/>
        </w:trPr>
        <w:tc>
          <w:tcPr>
            <w:tcW w:w="1918" w:type="dxa"/>
            <w:tcBorders>
              <w:top w:val="single" w:sz="4" w:space="0" w:color="000000"/>
              <w:bottom w:val="single" w:sz="4" w:space="0" w:color="000000"/>
            </w:tcBorders>
          </w:tcPr>
          <w:p>
            <w:pPr>
              <w:pStyle w:val="TableParagraph"/>
              <w:spacing w:before="38"/>
              <w:ind w:left="43"/>
              <w:jc w:val="left"/>
              <w:rPr>
                <w:sz w:val="18"/>
              </w:rPr>
            </w:pPr>
            <w:r>
              <w:rPr>
                <w:sz w:val="18"/>
              </w:rPr>
              <w:t>Major</w:t>
            </w:r>
            <w:r>
              <w:rPr>
                <w:spacing w:val="-5"/>
                <w:sz w:val="18"/>
              </w:rPr>
              <w:t> </w:t>
            </w:r>
            <w:r>
              <w:rPr>
                <w:sz w:val="18"/>
              </w:rPr>
              <w:t>Programme</w:t>
            </w:r>
            <w:r>
              <w:rPr>
                <w:spacing w:val="-6"/>
                <w:sz w:val="18"/>
              </w:rPr>
              <w:t> </w:t>
            </w:r>
            <w:r>
              <w:rPr>
                <w:spacing w:val="-5"/>
                <w:sz w:val="18"/>
              </w:rPr>
              <w:t>VI</w:t>
            </w:r>
          </w:p>
        </w:tc>
        <w:tc>
          <w:tcPr>
            <w:tcW w:w="539" w:type="dxa"/>
            <w:tcBorders>
              <w:top w:val="single" w:sz="4" w:space="0" w:color="000000"/>
              <w:bottom w:val="single" w:sz="4" w:space="0" w:color="000000"/>
            </w:tcBorders>
          </w:tcPr>
          <w:p>
            <w:pPr>
              <w:pStyle w:val="TableParagraph"/>
              <w:spacing w:before="38"/>
              <w:ind w:right="70"/>
              <w:rPr>
                <w:sz w:val="18"/>
              </w:rPr>
            </w:pPr>
            <w:r>
              <w:rPr>
                <w:w w:val="101"/>
                <w:sz w:val="18"/>
              </w:rPr>
              <w:t>-</w:t>
            </w:r>
          </w:p>
        </w:tc>
        <w:tc>
          <w:tcPr>
            <w:tcW w:w="549" w:type="dxa"/>
            <w:tcBorders>
              <w:top w:val="single" w:sz="4" w:space="0" w:color="000000"/>
              <w:bottom w:val="single" w:sz="4" w:space="0" w:color="000000"/>
            </w:tcBorders>
          </w:tcPr>
          <w:p>
            <w:pPr>
              <w:pStyle w:val="TableParagraph"/>
              <w:spacing w:before="38"/>
              <w:ind w:right="110"/>
              <w:rPr>
                <w:sz w:val="18"/>
              </w:rPr>
            </w:pPr>
            <w:r>
              <w:rPr>
                <w:w w:val="101"/>
                <w:sz w:val="18"/>
              </w:rPr>
              <w:t>-</w:t>
            </w:r>
          </w:p>
        </w:tc>
        <w:tc>
          <w:tcPr>
            <w:tcW w:w="509" w:type="dxa"/>
            <w:tcBorders>
              <w:top w:val="single" w:sz="4" w:space="0" w:color="000000"/>
              <w:bottom w:val="single" w:sz="4" w:space="0" w:color="000000"/>
            </w:tcBorders>
          </w:tcPr>
          <w:p>
            <w:pPr>
              <w:pStyle w:val="TableParagraph"/>
              <w:spacing w:before="38"/>
              <w:ind w:right="110"/>
              <w:rPr>
                <w:sz w:val="18"/>
              </w:rPr>
            </w:pPr>
            <w:r>
              <w:rPr>
                <w:w w:val="101"/>
                <w:sz w:val="18"/>
              </w:rPr>
              <w:t>-</w:t>
            </w:r>
          </w:p>
        </w:tc>
        <w:tc>
          <w:tcPr>
            <w:tcW w:w="525" w:type="dxa"/>
            <w:tcBorders>
              <w:top w:val="single" w:sz="4" w:space="0" w:color="000000"/>
              <w:bottom w:val="single" w:sz="4" w:space="0" w:color="000000"/>
            </w:tcBorders>
          </w:tcPr>
          <w:p>
            <w:pPr>
              <w:pStyle w:val="TableParagraph"/>
              <w:spacing w:before="38"/>
              <w:ind w:right="129"/>
              <w:rPr>
                <w:sz w:val="18"/>
              </w:rPr>
            </w:pPr>
            <w:r>
              <w:rPr>
                <w:w w:val="101"/>
                <w:sz w:val="18"/>
              </w:rPr>
              <w:t>1</w:t>
            </w:r>
          </w:p>
        </w:tc>
        <w:tc>
          <w:tcPr>
            <w:tcW w:w="511" w:type="dxa"/>
            <w:tcBorders>
              <w:top w:val="single" w:sz="4" w:space="0" w:color="000000"/>
              <w:bottom w:val="single" w:sz="4" w:space="0" w:color="000000"/>
            </w:tcBorders>
          </w:tcPr>
          <w:p>
            <w:pPr>
              <w:pStyle w:val="TableParagraph"/>
              <w:spacing w:before="38"/>
              <w:ind w:right="123"/>
              <w:rPr>
                <w:sz w:val="18"/>
              </w:rPr>
            </w:pPr>
            <w:r>
              <w:rPr>
                <w:w w:val="101"/>
                <w:sz w:val="18"/>
              </w:rPr>
              <w:t>-</w:t>
            </w:r>
          </w:p>
        </w:tc>
        <w:tc>
          <w:tcPr>
            <w:tcW w:w="499" w:type="dxa"/>
            <w:tcBorders>
              <w:top w:val="single" w:sz="4" w:space="0" w:color="000000"/>
              <w:bottom w:val="single" w:sz="4" w:space="0" w:color="000000"/>
            </w:tcBorders>
          </w:tcPr>
          <w:p>
            <w:pPr>
              <w:pStyle w:val="TableParagraph"/>
              <w:spacing w:before="38"/>
              <w:ind w:left="170"/>
              <w:jc w:val="center"/>
              <w:rPr>
                <w:sz w:val="18"/>
              </w:rPr>
            </w:pPr>
            <w:r>
              <w:rPr>
                <w:w w:val="101"/>
                <w:sz w:val="18"/>
              </w:rPr>
              <w:t>4</w:t>
            </w:r>
          </w:p>
        </w:tc>
        <w:tc>
          <w:tcPr>
            <w:tcW w:w="508" w:type="dxa"/>
            <w:tcBorders>
              <w:top w:val="single" w:sz="4" w:space="0" w:color="000000"/>
              <w:bottom w:val="single" w:sz="4" w:space="0" w:color="000000"/>
            </w:tcBorders>
          </w:tcPr>
          <w:p>
            <w:pPr>
              <w:pStyle w:val="TableParagraph"/>
              <w:spacing w:before="38"/>
              <w:ind w:right="115"/>
              <w:rPr>
                <w:sz w:val="18"/>
              </w:rPr>
            </w:pPr>
            <w:r>
              <w:rPr>
                <w:w w:val="101"/>
                <w:sz w:val="18"/>
              </w:rPr>
              <w:t>2</w:t>
            </w:r>
          </w:p>
        </w:tc>
        <w:tc>
          <w:tcPr>
            <w:tcW w:w="520" w:type="dxa"/>
            <w:tcBorders>
              <w:top w:val="single" w:sz="4" w:space="0" w:color="000000"/>
              <w:bottom w:val="single" w:sz="4" w:space="0" w:color="000000"/>
            </w:tcBorders>
          </w:tcPr>
          <w:p>
            <w:pPr>
              <w:pStyle w:val="TableParagraph"/>
              <w:spacing w:before="38"/>
              <w:ind w:right="126"/>
              <w:rPr>
                <w:sz w:val="18"/>
              </w:rPr>
            </w:pPr>
            <w:r>
              <w:rPr>
                <w:w w:val="101"/>
                <w:sz w:val="18"/>
              </w:rPr>
              <w:t>2</w:t>
            </w:r>
          </w:p>
        </w:tc>
        <w:tc>
          <w:tcPr>
            <w:tcW w:w="404" w:type="dxa"/>
            <w:tcBorders>
              <w:top w:val="single" w:sz="4" w:space="0" w:color="000000"/>
              <w:bottom w:val="single" w:sz="4" w:space="0" w:color="000000"/>
            </w:tcBorders>
          </w:tcPr>
          <w:p>
            <w:pPr>
              <w:pStyle w:val="TableParagraph"/>
              <w:spacing w:before="38"/>
              <w:ind w:left="311"/>
              <w:jc w:val="center"/>
              <w:rPr>
                <w:sz w:val="18"/>
              </w:rPr>
            </w:pPr>
            <w:r>
              <w:rPr>
                <w:w w:val="101"/>
                <w:sz w:val="18"/>
              </w:rPr>
              <w:t>-</w:t>
            </w:r>
          </w:p>
        </w:tc>
        <w:tc>
          <w:tcPr>
            <w:tcW w:w="846" w:type="dxa"/>
            <w:tcBorders>
              <w:top w:val="single" w:sz="4" w:space="0" w:color="000000"/>
              <w:bottom w:val="single" w:sz="4" w:space="0" w:color="000000"/>
            </w:tcBorders>
          </w:tcPr>
          <w:p>
            <w:pPr>
              <w:pStyle w:val="TableParagraph"/>
              <w:spacing w:before="38"/>
              <w:ind w:right="70"/>
              <w:rPr>
                <w:i/>
                <w:sz w:val="18"/>
              </w:rPr>
            </w:pPr>
            <w:r>
              <w:rPr>
                <w:i/>
                <w:w w:val="101"/>
                <w:sz w:val="18"/>
              </w:rPr>
              <w:t>9</w:t>
            </w:r>
          </w:p>
        </w:tc>
        <w:tc>
          <w:tcPr>
            <w:tcW w:w="569" w:type="dxa"/>
            <w:tcBorders>
              <w:top w:val="single" w:sz="4" w:space="0" w:color="000000"/>
              <w:bottom w:val="single" w:sz="4" w:space="0" w:color="000000"/>
            </w:tcBorders>
          </w:tcPr>
          <w:p>
            <w:pPr>
              <w:pStyle w:val="TableParagraph"/>
              <w:spacing w:before="38"/>
              <w:ind w:right="36"/>
              <w:rPr>
                <w:sz w:val="18"/>
              </w:rPr>
            </w:pPr>
            <w:r>
              <w:rPr>
                <w:w w:val="101"/>
                <w:sz w:val="18"/>
              </w:rPr>
              <w:t>-</w:t>
            </w:r>
          </w:p>
        </w:tc>
        <w:tc>
          <w:tcPr>
            <w:tcW w:w="586" w:type="dxa"/>
            <w:tcBorders>
              <w:top w:val="single" w:sz="4" w:space="0" w:color="000000"/>
              <w:bottom w:val="single" w:sz="4" w:space="0" w:color="000000"/>
            </w:tcBorders>
          </w:tcPr>
          <w:p>
            <w:pPr>
              <w:pStyle w:val="TableParagraph"/>
              <w:spacing w:before="38"/>
              <w:ind w:right="21"/>
              <w:rPr>
                <w:sz w:val="18"/>
              </w:rPr>
            </w:pPr>
            <w:r>
              <w:rPr>
                <w:w w:val="101"/>
                <w:sz w:val="18"/>
              </w:rPr>
              <w:t>-</w:t>
            </w:r>
          </w:p>
        </w:tc>
        <w:tc>
          <w:tcPr>
            <w:tcW w:w="587" w:type="dxa"/>
            <w:tcBorders>
              <w:top w:val="single" w:sz="4" w:space="0" w:color="000000"/>
              <w:bottom w:val="single" w:sz="4" w:space="0" w:color="000000"/>
            </w:tcBorders>
          </w:tcPr>
          <w:p>
            <w:pPr>
              <w:pStyle w:val="TableParagraph"/>
              <w:spacing w:before="38"/>
              <w:ind w:right="11"/>
              <w:rPr>
                <w:sz w:val="18"/>
              </w:rPr>
            </w:pPr>
            <w:r>
              <w:rPr>
                <w:w w:val="101"/>
                <w:sz w:val="18"/>
              </w:rPr>
              <w:t>3</w:t>
            </w:r>
          </w:p>
        </w:tc>
        <w:tc>
          <w:tcPr>
            <w:tcW w:w="921" w:type="dxa"/>
            <w:tcBorders>
              <w:top w:val="single" w:sz="4" w:space="0" w:color="000000"/>
              <w:bottom w:val="single" w:sz="4" w:space="0" w:color="000000"/>
            </w:tcBorders>
          </w:tcPr>
          <w:p>
            <w:pPr>
              <w:pStyle w:val="TableParagraph"/>
              <w:spacing w:before="38"/>
              <w:ind w:right="87"/>
              <w:rPr>
                <w:i/>
                <w:sz w:val="18"/>
              </w:rPr>
            </w:pPr>
            <w:r>
              <w:rPr>
                <w:i/>
                <w:w w:val="101"/>
                <w:sz w:val="18"/>
              </w:rPr>
              <w:t>3</w:t>
            </w:r>
          </w:p>
        </w:tc>
        <w:tc>
          <w:tcPr>
            <w:tcW w:w="539" w:type="dxa"/>
            <w:tcBorders>
              <w:top w:val="single" w:sz="4" w:space="0" w:color="000000"/>
              <w:bottom w:val="single" w:sz="4" w:space="0" w:color="000000"/>
            </w:tcBorders>
          </w:tcPr>
          <w:p>
            <w:pPr>
              <w:pStyle w:val="TableParagraph"/>
              <w:spacing w:before="38"/>
              <w:ind w:right="7"/>
              <w:rPr>
                <w:b/>
                <w:sz w:val="18"/>
              </w:rPr>
            </w:pPr>
            <w:r>
              <w:rPr>
                <w:b/>
                <w:spacing w:val="-5"/>
                <w:sz w:val="18"/>
              </w:rPr>
              <w:t>12</w:t>
            </w:r>
          </w:p>
        </w:tc>
      </w:tr>
      <w:tr>
        <w:trPr>
          <w:trHeight w:val="283" w:hRule="atLeast"/>
        </w:trPr>
        <w:tc>
          <w:tcPr>
            <w:tcW w:w="1918" w:type="dxa"/>
            <w:tcBorders>
              <w:top w:val="single" w:sz="4" w:space="0" w:color="000000"/>
              <w:bottom w:val="single" w:sz="4" w:space="0" w:color="000000"/>
            </w:tcBorders>
          </w:tcPr>
          <w:p>
            <w:pPr>
              <w:pStyle w:val="TableParagraph"/>
              <w:spacing w:before="38"/>
              <w:ind w:left="43"/>
              <w:jc w:val="left"/>
              <w:rPr>
                <w:sz w:val="18"/>
              </w:rPr>
            </w:pPr>
            <w:r>
              <w:rPr>
                <w:sz w:val="18"/>
              </w:rPr>
              <w:t>Major</w:t>
            </w:r>
            <w:r>
              <w:rPr>
                <w:spacing w:val="-7"/>
                <w:sz w:val="18"/>
              </w:rPr>
              <w:t> </w:t>
            </w:r>
            <w:r>
              <w:rPr>
                <w:sz w:val="18"/>
              </w:rPr>
              <w:t>Programme</w:t>
            </w:r>
            <w:r>
              <w:rPr>
                <w:spacing w:val="-8"/>
                <w:sz w:val="18"/>
              </w:rPr>
              <w:t> </w:t>
            </w:r>
            <w:r>
              <w:rPr>
                <w:sz w:val="18"/>
              </w:rPr>
              <w:t>VII-</w:t>
            </w:r>
            <w:r>
              <w:rPr>
                <w:spacing w:val="-10"/>
                <w:sz w:val="18"/>
              </w:rPr>
              <w:t>5</w:t>
            </w:r>
          </w:p>
        </w:tc>
        <w:tc>
          <w:tcPr>
            <w:tcW w:w="539" w:type="dxa"/>
            <w:tcBorders>
              <w:top w:val="single" w:sz="4" w:space="0" w:color="000000"/>
              <w:bottom w:val="single" w:sz="4" w:space="0" w:color="000000"/>
            </w:tcBorders>
          </w:tcPr>
          <w:p>
            <w:pPr>
              <w:pStyle w:val="TableParagraph"/>
              <w:spacing w:before="38"/>
              <w:ind w:right="70"/>
              <w:rPr>
                <w:sz w:val="18"/>
              </w:rPr>
            </w:pPr>
            <w:r>
              <w:rPr>
                <w:w w:val="101"/>
                <w:sz w:val="18"/>
              </w:rPr>
              <w:t>-</w:t>
            </w:r>
          </w:p>
        </w:tc>
        <w:tc>
          <w:tcPr>
            <w:tcW w:w="549" w:type="dxa"/>
            <w:tcBorders>
              <w:top w:val="single" w:sz="4" w:space="0" w:color="000000"/>
              <w:bottom w:val="single" w:sz="4" w:space="0" w:color="000000"/>
            </w:tcBorders>
          </w:tcPr>
          <w:p>
            <w:pPr>
              <w:pStyle w:val="TableParagraph"/>
              <w:spacing w:before="38"/>
              <w:ind w:right="110"/>
              <w:rPr>
                <w:sz w:val="18"/>
              </w:rPr>
            </w:pPr>
            <w:r>
              <w:rPr>
                <w:w w:val="101"/>
                <w:sz w:val="18"/>
              </w:rPr>
              <w:t>-</w:t>
            </w:r>
          </w:p>
        </w:tc>
        <w:tc>
          <w:tcPr>
            <w:tcW w:w="509" w:type="dxa"/>
            <w:tcBorders>
              <w:top w:val="single" w:sz="4" w:space="0" w:color="000000"/>
              <w:bottom w:val="single" w:sz="4" w:space="0" w:color="000000"/>
            </w:tcBorders>
          </w:tcPr>
          <w:p>
            <w:pPr>
              <w:pStyle w:val="TableParagraph"/>
              <w:spacing w:before="38"/>
              <w:ind w:right="110"/>
              <w:rPr>
                <w:sz w:val="18"/>
              </w:rPr>
            </w:pPr>
            <w:r>
              <w:rPr>
                <w:w w:val="101"/>
                <w:sz w:val="18"/>
              </w:rPr>
              <w:t>-</w:t>
            </w:r>
          </w:p>
        </w:tc>
        <w:tc>
          <w:tcPr>
            <w:tcW w:w="525" w:type="dxa"/>
            <w:tcBorders>
              <w:top w:val="single" w:sz="4" w:space="0" w:color="000000"/>
              <w:bottom w:val="single" w:sz="4" w:space="0" w:color="000000"/>
            </w:tcBorders>
          </w:tcPr>
          <w:p>
            <w:pPr>
              <w:pStyle w:val="TableParagraph"/>
              <w:spacing w:before="38"/>
              <w:ind w:right="126"/>
              <w:rPr>
                <w:sz w:val="18"/>
              </w:rPr>
            </w:pPr>
            <w:r>
              <w:rPr>
                <w:w w:val="101"/>
                <w:sz w:val="18"/>
              </w:rPr>
              <w:t>-</w:t>
            </w:r>
          </w:p>
        </w:tc>
        <w:tc>
          <w:tcPr>
            <w:tcW w:w="511" w:type="dxa"/>
            <w:tcBorders>
              <w:top w:val="single" w:sz="4" w:space="0" w:color="000000"/>
              <w:bottom w:val="single" w:sz="4" w:space="0" w:color="000000"/>
            </w:tcBorders>
          </w:tcPr>
          <w:p>
            <w:pPr>
              <w:pStyle w:val="TableParagraph"/>
              <w:spacing w:before="38"/>
              <w:ind w:right="126"/>
              <w:rPr>
                <w:sz w:val="18"/>
              </w:rPr>
            </w:pPr>
            <w:r>
              <w:rPr>
                <w:w w:val="101"/>
                <w:sz w:val="18"/>
              </w:rPr>
              <w:t>1</w:t>
            </w:r>
          </w:p>
        </w:tc>
        <w:tc>
          <w:tcPr>
            <w:tcW w:w="499" w:type="dxa"/>
            <w:tcBorders>
              <w:top w:val="single" w:sz="4" w:space="0" w:color="000000"/>
              <w:bottom w:val="single" w:sz="4" w:space="0" w:color="000000"/>
            </w:tcBorders>
          </w:tcPr>
          <w:p>
            <w:pPr>
              <w:pStyle w:val="TableParagraph"/>
              <w:spacing w:before="38"/>
              <w:ind w:left="170"/>
              <w:jc w:val="center"/>
              <w:rPr>
                <w:sz w:val="18"/>
              </w:rPr>
            </w:pPr>
            <w:r>
              <w:rPr>
                <w:w w:val="101"/>
                <w:sz w:val="18"/>
              </w:rPr>
              <w:t>2</w:t>
            </w:r>
          </w:p>
        </w:tc>
        <w:tc>
          <w:tcPr>
            <w:tcW w:w="508" w:type="dxa"/>
            <w:tcBorders>
              <w:top w:val="single" w:sz="4" w:space="0" w:color="000000"/>
              <w:bottom w:val="single" w:sz="4" w:space="0" w:color="000000"/>
            </w:tcBorders>
          </w:tcPr>
          <w:p>
            <w:pPr>
              <w:pStyle w:val="TableParagraph"/>
              <w:spacing w:before="38"/>
              <w:ind w:right="112"/>
              <w:rPr>
                <w:sz w:val="18"/>
              </w:rPr>
            </w:pPr>
            <w:r>
              <w:rPr>
                <w:w w:val="101"/>
                <w:sz w:val="18"/>
              </w:rPr>
              <w:t>-</w:t>
            </w:r>
          </w:p>
        </w:tc>
        <w:tc>
          <w:tcPr>
            <w:tcW w:w="520" w:type="dxa"/>
            <w:tcBorders>
              <w:top w:val="single" w:sz="4" w:space="0" w:color="000000"/>
              <w:bottom w:val="single" w:sz="4" w:space="0" w:color="000000"/>
            </w:tcBorders>
          </w:tcPr>
          <w:p>
            <w:pPr>
              <w:pStyle w:val="TableParagraph"/>
              <w:spacing w:before="38"/>
              <w:ind w:right="126"/>
              <w:rPr>
                <w:sz w:val="18"/>
              </w:rPr>
            </w:pPr>
            <w:r>
              <w:rPr>
                <w:w w:val="101"/>
                <w:sz w:val="18"/>
              </w:rPr>
              <w:t>1</w:t>
            </w:r>
          </w:p>
        </w:tc>
        <w:tc>
          <w:tcPr>
            <w:tcW w:w="404" w:type="dxa"/>
            <w:tcBorders>
              <w:top w:val="single" w:sz="4" w:space="0" w:color="000000"/>
              <w:bottom w:val="single" w:sz="4" w:space="0" w:color="000000"/>
            </w:tcBorders>
          </w:tcPr>
          <w:p>
            <w:pPr>
              <w:pStyle w:val="TableParagraph"/>
              <w:spacing w:before="38"/>
              <w:ind w:left="311"/>
              <w:jc w:val="center"/>
              <w:rPr>
                <w:sz w:val="18"/>
              </w:rPr>
            </w:pPr>
            <w:r>
              <w:rPr>
                <w:w w:val="101"/>
                <w:sz w:val="18"/>
              </w:rPr>
              <w:t>-</w:t>
            </w:r>
          </w:p>
        </w:tc>
        <w:tc>
          <w:tcPr>
            <w:tcW w:w="846" w:type="dxa"/>
            <w:tcBorders>
              <w:top w:val="single" w:sz="4" w:space="0" w:color="000000"/>
              <w:bottom w:val="single" w:sz="4" w:space="0" w:color="000000"/>
            </w:tcBorders>
          </w:tcPr>
          <w:p>
            <w:pPr>
              <w:pStyle w:val="TableParagraph"/>
              <w:spacing w:before="38"/>
              <w:ind w:right="70"/>
              <w:rPr>
                <w:i/>
                <w:sz w:val="18"/>
              </w:rPr>
            </w:pPr>
            <w:r>
              <w:rPr>
                <w:i/>
                <w:w w:val="101"/>
                <w:sz w:val="18"/>
              </w:rPr>
              <w:t>4</w:t>
            </w:r>
          </w:p>
        </w:tc>
        <w:tc>
          <w:tcPr>
            <w:tcW w:w="569" w:type="dxa"/>
            <w:tcBorders>
              <w:top w:val="single" w:sz="4" w:space="0" w:color="000000"/>
              <w:bottom w:val="single" w:sz="4" w:space="0" w:color="000000"/>
            </w:tcBorders>
          </w:tcPr>
          <w:p>
            <w:pPr>
              <w:pStyle w:val="TableParagraph"/>
              <w:spacing w:before="38"/>
              <w:ind w:right="36"/>
              <w:rPr>
                <w:sz w:val="18"/>
              </w:rPr>
            </w:pPr>
            <w:r>
              <w:rPr>
                <w:w w:val="101"/>
                <w:sz w:val="18"/>
              </w:rPr>
              <w:t>-</w:t>
            </w:r>
          </w:p>
        </w:tc>
        <w:tc>
          <w:tcPr>
            <w:tcW w:w="586" w:type="dxa"/>
            <w:tcBorders>
              <w:top w:val="single" w:sz="4" w:space="0" w:color="000000"/>
              <w:bottom w:val="single" w:sz="4" w:space="0" w:color="000000"/>
            </w:tcBorders>
          </w:tcPr>
          <w:p>
            <w:pPr>
              <w:pStyle w:val="TableParagraph"/>
              <w:spacing w:before="38"/>
              <w:ind w:right="21"/>
              <w:rPr>
                <w:sz w:val="18"/>
              </w:rPr>
            </w:pPr>
            <w:r>
              <w:rPr>
                <w:w w:val="101"/>
                <w:sz w:val="18"/>
              </w:rPr>
              <w:t>-</w:t>
            </w:r>
          </w:p>
        </w:tc>
        <w:tc>
          <w:tcPr>
            <w:tcW w:w="587" w:type="dxa"/>
            <w:tcBorders>
              <w:top w:val="single" w:sz="4" w:space="0" w:color="000000"/>
              <w:bottom w:val="single" w:sz="4" w:space="0" w:color="000000"/>
            </w:tcBorders>
          </w:tcPr>
          <w:p>
            <w:pPr>
              <w:pStyle w:val="TableParagraph"/>
              <w:spacing w:before="38"/>
              <w:ind w:right="11"/>
              <w:rPr>
                <w:sz w:val="18"/>
              </w:rPr>
            </w:pPr>
            <w:r>
              <w:rPr>
                <w:w w:val="101"/>
                <w:sz w:val="18"/>
              </w:rPr>
              <w:t>1</w:t>
            </w:r>
          </w:p>
        </w:tc>
        <w:tc>
          <w:tcPr>
            <w:tcW w:w="921" w:type="dxa"/>
            <w:tcBorders>
              <w:top w:val="single" w:sz="4" w:space="0" w:color="000000"/>
              <w:bottom w:val="single" w:sz="4" w:space="0" w:color="000000"/>
            </w:tcBorders>
          </w:tcPr>
          <w:p>
            <w:pPr>
              <w:pStyle w:val="TableParagraph"/>
              <w:spacing w:before="38"/>
              <w:ind w:right="87"/>
              <w:rPr>
                <w:i/>
                <w:sz w:val="18"/>
              </w:rPr>
            </w:pPr>
            <w:r>
              <w:rPr>
                <w:i/>
                <w:w w:val="101"/>
                <w:sz w:val="18"/>
              </w:rPr>
              <w:t>1</w:t>
            </w:r>
          </w:p>
        </w:tc>
        <w:tc>
          <w:tcPr>
            <w:tcW w:w="539" w:type="dxa"/>
            <w:tcBorders>
              <w:top w:val="single" w:sz="4" w:space="0" w:color="000000"/>
              <w:bottom w:val="single" w:sz="4" w:space="0" w:color="000000"/>
            </w:tcBorders>
          </w:tcPr>
          <w:p>
            <w:pPr>
              <w:pStyle w:val="TableParagraph"/>
              <w:spacing w:before="38"/>
              <w:ind w:right="12"/>
              <w:rPr>
                <w:b/>
                <w:sz w:val="18"/>
              </w:rPr>
            </w:pPr>
            <w:r>
              <w:rPr>
                <w:b/>
                <w:w w:val="101"/>
                <w:sz w:val="18"/>
              </w:rPr>
              <w:t>5</w:t>
            </w:r>
          </w:p>
        </w:tc>
      </w:tr>
      <w:tr>
        <w:trPr>
          <w:trHeight w:val="282" w:hRule="atLeast"/>
        </w:trPr>
        <w:tc>
          <w:tcPr>
            <w:tcW w:w="1918" w:type="dxa"/>
            <w:tcBorders>
              <w:top w:val="single" w:sz="4" w:space="0" w:color="000000"/>
              <w:bottom w:val="single" w:sz="4" w:space="0" w:color="000000"/>
            </w:tcBorders>
          </w:tcPr>
          <w:p>
            <w:pPr>
              <w:pStyle w:val="TableParagraph"/>
              <w:spacing w:before="38"/>
              <w:ind w:left="43"/>
              <w:jc w:val="left"/>
              <w:rPr>
                <w:sz w:val="18"/>
              </w:rPr>
            </w:pPr>
            <w:r>
              <w:rPr>
                <w:sz w:val="18"/>
              </w:rPr>
              <w:t>Major</w:t>
            </w:r>
            <w:r>
              <w:rPr>
                <w:spacing w:val="-7"/>
                <w:sz w:val="18"/>
              </w:rPr>
              <w:t> </w:t>
            </w:r>
            <w:r>
              <w:rPr>
                <w:sz w:val="18"/>
              </w:rPr>
              <w:t>Programme</w:t>
            </w:r>
            <w:r>
              <w:rPr>
                <w:spacing w:val="-8"/>
                <w:sz w:val="18"/>
              </w:rPr>
              <w:t> </w:t>
            </w:r>
            <w:r>
              <w:rPr>
                <w:sz w:val="18"/>
              </w:rPr>
              <w:t>VII-</w:t>
            </w:r>
            <w:r>
              <w:rPr>
                <w:spacing w:val="-10"/>
                <w:sz w:val="18"/>
              </w:rPr>
              <w:t>6</w:t>
            </w:r>
          </w:p>
        </w:tc>
        <w:tc>
          <w:tcPr>
            <w:tcW w:w="539" w:type="dxa"/>
            <w:tcBorders>
              <w:top w:val="single" w:sz="4" w:space="0" w:color="000000"/>
              <w:bottom w:val="single" w:sz="4" w:space="0" w:color="000000"/>
            </w:tcBorders>
          </w:tcPr>
          <w:p>
            <w:pPr>
              <w:pStyle w:val="TableParagraph"/>
              <w:spacing w:before="38"/>
              <w:ind w:right="70"/>
              <w:rPr>
                <w:sz w:val="18"/>
              </w:rPr>
            </w:pPr>
            <w:r>
              <w:rPr>
                <w:w w:val="101"/>
                <w:sz w:val="18"/>
              </w:rPr>
              <w:t>-</w:t>
            </w:r>
          </w:p>
        </w:tc>
        <w:tc>
          <w:tcPr>
            <w:tcW w:w="549" w:type="dxa"/>
            <w:tcBorders>
              <w:top w:val="single" w:sz="4" w:space="0" w:color="000000"/>
              <w:bottom w:val="single" w:sz="4" w:space="0" w:color="000000"/>
            </w:tcBorders>
          </w:tcPr>
          <w:p>
            <w:pPr>
              <w:pStyle w:val="TableParagraph"/>
              <w:spacing w:before="38"/>
              <w:ind w:right="110"/>
              <w:rPr>
                <w:sz w:val="18"/>
              </w:rPr>
            </w:pPr>
            <w:r>
              <w:rPr>
                <w:w w:val="101"/>
                <w:sz w:val="18"/>
              </w:rPr>
              <w:t>-</w:t>
            </w:r>
          </w:p>
        </w:tc>
        <w:tc>
          <w:tcPr>
            <w:tcW w:w="509" w:type="dxa"/>
            <w:tcBorders>
              <w:top w:val="single" w:sz="4" w:space="0" w:color="000000"/>
              <w:bottom w:val="single" w:sz="4" w:space="0" w:color="000000"/>
            </w:tcBorders>
          </w:tcPr>
          <w:p>
            <w:pPr>
              <w:pStyle w:val="TableParagraph"/>
              <w:spacing w:before="38"/>
              <w:ind w:right="110"/>
              <w:rPr>
                <w:sz w:val="18"/>
              </w:rPr>
            </w:pPr>
            <w:r>
              <w:rPr>
                <w:w w:val="101"/>
                <w:sz w:val="18"/>
              </w:rPr>
              <w:t>-</w:t>
            </w:r>
          </w:p>
        </w:tc>
        <w:tc>
          <w:tcPr>
            <w:tcW w:w="525" w:type="dxa"/>
            <w:tcBorders>
              <w:top w:val="single" w:sz="4" w:space="0" w:color="000000"/>
              <w:bottom w:val="single" w:sz="4" w:space="0" w:color="000000"/>
            </w:tcBorders>
          </w:tcPr>
          <w:p>
            <w:pPr>
              <w:pStyle w:val="TableParagraph"/>
              <w:spacing w:before="38"/>
              <w:ind w:right="129"/>
              <w:rPr>
                <w:sz w:val="18"/>
              </w:rPr>
            </w:pPr>
            <w:r>
              <w:rPr>
                <w:w w:val="101"/>
                <w:sz w:val="18"/>
              </w:rPr>
              <w:t>1</w:t>
            </w:r>
          </w:p>
        </w:tc>
        <w:tc>
          <w:tcPr>
            <w:tcW w:w="511" w:type="dxa"/>
            <w:tcBorders>
              <w:top w:val="single" w:sz="4" w:space="0" w:color="000000"/>
              <w:bottom w:val="single" w:sz="4" w:space="0" w:color="000000"/>
            </w:tcBorders>
          </w:tcPr>
          <w:p>
            <w:pPr>
              <w:pStyle w:val="TableParagraph"/>
              <w:spacing w:before="38"/>
              <w:ind w:right="123"/>
              <w:rPr>
                <w:sz w:val="18"/>
              </w:rPr>
            </w:pPr>
            <w:r>
              <w:rPr>
                <w:w w:val="101"/>
                <w:sz w:val="18"/>
              </w:rPr>
              <w:t>-</w:t>
            </w:r>
          </w:p>
        </w:tc>
        <w:tc>
          <w:tcPr>
            <w:tcW w:w="499" w:type="dxa"/>
            <w:tcBorders>
              <w:top w:val="single" w:sz="4" w:space="0" w:color="000000"/>
              <w:bottom w:val="single" w:sz="4" w:space="0" w:color="000000"/>
            </w:tcBorders>
          </w:tcPr>
          <w:p>
            <w:pPr>
              <w:pStyle w:val="TableParagraph"/>
              <w:spacing w:before="38"/>
              <w:ind w:left="170"/>
              <w:jc w:val="center"/>
              <w:rPr>
                <w:sz w:val="18"/>
              </w:rPr>
            </w:pPr>
            <w:r>
              <w:rPr>
                <w:w w:val="101"/>
                <w:sz w:val="18"/>
              </w:rPr>
              <w:t>1</w:t>
            </w:r>
          </w:p>
        </w:tc>
        <w:tc>
          <w:tcPr>
            <w:tcW w:w="508" w:type="dxa"/>
            <w:tcBorders>
              <w:top w:val="single" w:sz="4" w:space="0" w:color="000000"/>
              <w:bottom w:val="single" w:sz="4" w:space="0" w:color="000000"/>
            </w:tcBorders>
          </w:tcPr>
          <w:p>
            <w:pPr>
              <w:pStyle w:val="TableParagraph"/>
              <w:spacing w:before="38"/>
              <w:ind w:right="115"/>
              <w:rPr>
                <w:sz w:val="18"/>
              </w:rPr>
            </w:pPr>
            <w:r>
              <w:rPr>
                <w:w w:val="101"/>
                <w:sz w:val="18"/>
              </w:rPr>
              <w:t>1</w:t>
            </w:r>
          </w:p>
        </w:tc>
        <w:tc>
          <w:tcPr>
            <w:tcW w:w="520" w:type="dxa"/>
            <w:tcBorders>
              <w:top w:val="single" w:sz="4" w:space="0" w:color="000000"/>
              <w:bottom w:val="single" w:sz="4" w:space="0" w:color="000000"/>
            </w:tcBorders>
          </w:tcPr>
          <w:p>
            <w:pPr>
              <w:pStyle w:val="TableParagraph"/>
              <w:spacing w:before="38"/>
              <w:ind w:right="123"/>
              <w:rPr>
                <w:sz w:val="18"/>
              </w:rPr>
            </w:pPr>
            <w:r>
              <w:rPr>
                <w:w w:val="101"/>
                <w:sz w:val="18"/>
              </w:rPr>
              <w:t>-</w:t>
            </w:r>
          </w:p>
        </w:tc>
        <w:tc>
          <w:tcPr>
            <w:tcW w:w="404" w:type="dxa"/>
            <w:tcBorders>
              <w:top w:val="single" w:sz="4" w:space="0" w:color="000000"/>
              <w:bottom w:val="single" w:sz="4" w:space="0" w:color="000000"/>
            </w:tcBorders>
          </w:tcPr>
          <w:p>
            <w:pPr>
              <w:pStyle w:val="TableParagraph"/>
              <w:spacing w:before="38"/>
              <w:ind w:left="311"/>
              <w:jc w:val="center"/>
              <w:rPr>
                <w:sz w:val="18"/>
              </w:rPr>
            </w:pPr>
            <w:r>
              <w:rPr>
                <w:w w:val="101"/>
                <w:sz w:val="18"/>
              </w:rPr>
              <w:t>-</w:t>
            </w:r>
          </w:p>
        </w:tc>
        <w:tc>
          <w:tcPr>
            <w:tcW w:w="846" w:type="dxa"/>
            <w:tcBorders>
              <w:top w:val="single" w:sz="4" w:space="0" w:color="000000"/>
              <w:bottom w:val="single" w:sz="4" w:space="0" w:color="000000"/>
            </w:tcBorders>
          </w:tcPr>
          <w:p>
            <w:pPr>
              <w:pStyle w:val="TableParagraph"/>
              <w:spacing w:before="38"/>
              <w:ind w:right="70"/>
              <w:rPr>
                <w:i/>
                <w:sz w:val="18"/>
              </w:rPr>
            </w:pPr>
            <w:r>
              <w:rPr>
                <w:i/>
                <w:w w:val="101"/>
                <w:sz w:val="18"/>
              </w:rPr>
              <w:t>3</w:t>
            </w:r>
          </w:p>
        </w:tc>
        <w:tc>
          <w:tcPr>
            <w:tcW w:w="569" w:type="dxa"/>
            <w:tcBorders>
              <w:top w:val="single" w:sz="4" w:space="0" w:color="000000"/>
              <w:bottom w:val="single" w:sz="4" w:space="0" w:color="000000"/>
            </w:tcBorders>
          </w:tcPr>
          <w:p>
            <w:pPr>
              <w:pStyle w:val="TableParagraph"/>
              <w:spacing w:before="38"/>
              <w:ind w:right="36"/>
              <w:rPr>
                <w:sz w:val="18"/>
              </w:rPr>
            </w:pPr>
            <w:r>
              <w:rPr>
                <w:w w:val="101"/>
                <w:sz w:val="18"/>
              </w:rPr>
              <w:t>-</w:t>
            </w:r>
          </w:p>
        </w:tc>
        <w:tc>
          <w:tcPr>
            <w:tcW w:w="586" w:type="dxa"/>
            <w:tcBorders>
              <w:top w:val="single" w:sz="4" w:space="0" w:color="000000"/>
              <w:bottom w:val="single" w:sz="4" w:space="0" w:color="000000"/>
            </w:tcBorders>
          </w:tcPr>
          <w:p>
            <w:pPr>
              <w:pStyle w:val="TableParagraph"/>
              <w:spacing w:before="38"/>
              <w:ind w:right="21"/>
              <w:rPr>
                <w:sz w:val="18"/>
              </w:rPr>
            </w:pPr>
            <w:r>
              <w:rPr>
                <w:w w:val="101"/>
                <w:sz w:val="18"/>
              </w:rPr>
              <w:t>-</w:t>
            </w:r>
          </w:p>
        </w:tc>
        <w:tc>
          <w:tcPr>
            <w:tcW w:w="587" w:type="dxa"/>
            <w:tcBorders>
              <w:top w:val="single" w:sz="4" w:space="0" w:color="000000"/>
              <w:bottom w:val="single" w:sz="4" w:space="0" w:color="000000"/>
            </w:tcBorders>
          </w:tcPr>
          <w:p>
            <w:pPr>
              <w:pStyle w:val="TableParagraph"/>
              <w:spacing w:before="38"/>
              <w:ind w:right="11"/>
              <w:rPr>
                <w:sz w:val="18"/>
              </w:rPr>
            </w:pPr>
            <w:r>
              <w:rPr>
                <w:w w:val="101"/>
                <w:sz w:val="18"/>
              </w:rPr>
              <w:t>1</w:t>
            </w:r>
          </w:p>
        </w:tc>
        <w:tc>
          <w:tcPr>
            <w:tcW w:w="921" w:type="dxa"/>
            <w:tcBorders>
              <w:top w:val="single" w:sz="4" w:space="0" w:color="000000"/>
              <w:bottom w:val="single" w:sz="4" w:space="0" w:color="000000"/>
            </w:tcBorders>
          </w:tcPr>
          <w:p>
            <w:pPr>
              <w:pStyle w:val="TableParagraph"/>
              <w:spacing w:before="38"/>
              <w:ind w:right="87"/>
              <w:rPr>
                <w:i/>
                <w:sz w:val="18"/>
              </w:rPr>
            </w:pPr>
            <w:r>
              <w:rPr>
                <w:i/>
                <w:w w:val="101"/>
                <w:sz w:val="18"/>
              </w:rPr>
              <w:t>1</w:t>
            </w:r>
          </w:p>
        </w:tc>
        <w:tc>
          <w:tcPr>
            <w:tcW w:w="539" w:type="dxa"/>
            <w:tcBorders>
              <w:top w:val="single" w:sz="4" w:space="0" w:color="000000"/>
              <w:bottom w:val="single" w:sz="4" w:space="0" w:color="000000"/>
            </w:tcBorders>
          </w:tcPr>
          <w:p>
            <w:pPr>
              <w:pStyle w:val="TableParagraph"/>
              <w:spacing w:before="38"/>
              <w:ind w:right="12"/>
              <w:rPr>
                <w:b/>
                <w:sz w:val="18"/>
              </w:rPr>
            </w:pPr>
            <w:r>
              <w:rPr>
                <w:b/>
                <w:w w:val="101"/>
                <w:sz w:val="18"/>
              </w:rPr>
              <w:t>4</w:t>
            </w:r>
          </w:p>
        </w:tc>
      </w:tr>
      <w:tr>
        <w:trPr>
          <w:trHeight w:val="282" w:hRule="atLeast"/>
        </w:trPr>
        <w:tc>
          <w:tcPr>
            <w:tcW w:w="1918" w:type="dxa"/>
            <w:tcBorders>
              <w:top w:val="single" w:sz="4" w:space="0" w:color="000000"/>
              <w:bottom w:val="single" w:sz="4" w:space="0" w:color="000000"/>
            </w:tcBorders>
          </w:tcPr>
          <w:p>
            <w:pPr>
              <w:pStyle w:val="TableParagraph"/>
              <w:spacing w:before="38"/>
              <w:ind w:left="43"/>
              <w:jc w:val="left"/>
              <w:rPr>
                <w:b/>
                <w:sz w:val="18"/>
              </w:rPr>
            </w:pPr>
            <w:r>
              <w:rPr>
                <w:b/>
                <w:sz w:val="18"/>
              </w:rPr>
              <w:t>Grand</w:t>
            </w:r>
            <w:r>
              <w:rPr>
                <w:b/>
                <w:spacing w:val="-3"/>
                <w:sz w:val="18"/>
              </w:rPr>
              <w:t> </w:t>
            </w:r>
            <w:r>
              <w:rPr>
                <w:b/>
                <w:spacing w:val="-2"/>
                <w:sz w:val="18"/>
              </w:rPr>
              <w:t>total</w:t>
            </w:r>
          </w:p>
        </w:tc>
        <w:tc>
          <w:tcPr>
            <w:tcW w:w="539" w:type="dxa"/>
            <w:tcBorders>
              <w:top w:val="single" w:sz="4" w:space="0" w:color="000000"/>
              <w:bottom w:val="single" w:sz="4" w:space="0" w:color="000000"/>
            </w:tcBorders>
          </w:tcPr>
          <w:p>
            <w:pPr>
              <w:pStyle w:val="TableParagraph"/>
              <w:spacing w:before="38"/>
              <w:ind w:right="73"/>
              <w:rPr>
                <w:b/>
                <w:sz w:val="18"/>
              </w:rPr>
            </w:pPr>
            <w:r>
              <w:rPr>
                <w:b/>
                <w:w w:val="101"/>
                <w:sz w:val="18"/>
              </w:rPr>
              <w:t>1</w:t>
            </w:r>
          </w:p>
        </w:tc>
        <w:tc>
          <w:tcPr>
            <w:tcW w:w="549" w:type="dxa"/>
            <w:tcBorders>
              <w:top w:val="single" w:sz="4" w:space="0" w:color="000000"/>
              <w:bottom w:val="single" w:sz="4" w:space="0" w:color="000000"/>
            </w:tcBorders>
          </w:tcPr>
          <w:p>
            <w:pPr>
              <w:pStyle w:val="TableParagraph"/>
              <w:spacing w:before="38"/>
              <w:ind w:right="113"/>
              <w:rPr>
                <w:b/>
                <w:sz w:val="18"/>
              </w:rPr>
            </w:pPr>
            <w:r>
              <w:rPr>
                <w:b/>
                <w:w w:val="101"/>
                <w:sz w:val="18"/>
              </w:rPr>
              <w:t>3</w:t>
            </w:r>
          </w:p>
        </w:tc>
        <w:tc>
          <w:tcPr>
            <w:tcW w:w="509" w:type="dxa"/>
            <w:tcBorders>
              <w:top w:val="single" w:sz="4" w:space="0" w:color="000000"/>
              <w:bottom w:val="single" w:sz="4" w:space="0" w:color="000000"/>
            </w:tcBorders>
          </w:tcPr>
          <w:p>
            <w:pPr>
              <w:pStyle w:val="TableParagraph"/>
              <w:spacing w:before="38"/>
              <w:ind w:right="110"/>
              <w:rPr>
                <w:b/>
                <w:sz w:val="18"/>
              </w:rPr>
            </w:pPr>
            <w:r>
              <w:rPr>
                <w:b/>
                <w:w w:val="101"/>
                <w:sz w:val="18"/>
              </w:rPr>
              <w:t>-</w:t>
            </w:r>
          </w:p>
        </w:tc>
        <w:tc>
          <w:tcPr>
            <w:tcW w:w="525" w:type="dxa"/>
            <w:tcBorders>
              <w:top w:val="single" w:sz="4" w:space="0" w:color="000000"/>
              <w:bottom w:val="single" w:sz="4" w:space="0" w:color="000000"/>
            </w:tcBorders>
          </w:tcPr>
          <w:p>
            <w:pPr>
              <w:pStyle w:val="TableParagraph"/>
              <w:spacing w:before="38"/>
              <w:ind w:right="129"/>
              <w:rPr>
                <w:b/>
                <w:sz w:val="18"/>
              </w:rPr>
            </w:pPr>
            <w:r>
              <w:rPr>
                <w:b/>
                <w:w w:val="101"/>
                <w:sz w:val="18"/>
              </w:rPr>
              <w:t>9</w:t>
            </w:r>
          </w:p>
        </w:tc>
        <w:tc>
          <w:tcPr>
            <w:tcW w:w="511" w:type="dxa"/>
            <w:tcBorders>
              <w:top w:val="single" w:sz="4" w:space="0" w:color="000000"/>
              <w:bottom w:val="single" w:sz="4" w:space="0" w:color="000000"/>
            </w:tcBorders>
          </w:tcPr>
          <w:p>
            <w:pPr>
              <w:pStyle w:val="TableParagraph"/>
              <w:spacing w:before="38"/>
              <w:ind w:right="121"/>
              <w:rPr>
                <w:b/>
                <w:sz w:val="18"/>
              </w:rPr>
            </w:pPr>
            <w:r>
              <w:rPr>
                <w:b/>
                <w:spacing w:val="-5"/>
                <w:sz w:val="18"/>
              </w:rPr>
              <w:t>44</w:t>
            </w:r>
          </w:p>
        </w:tc>
        <w:tc>
          <w:tcPr>
            <w:tcW w:w="499" w:type="dxa"/>
            <w:tcBorders>
              <w:top w:val="single" w:sz="4" w:space="0" w:color="000000"/>
              <w:bottom w:val="single" w:sz="4" w:space="0" w:color="000000"/>
            </w:tcBorders>
          </w:tcPr>
          <w:p>
            <w:pPr>
              <w:pStyle w:val="TableParagraph"/>
              <w:spacing w:before="38"/>
              <w:ind w:left="117" w:right="28"/>
              <w:jc w:val="center"/>
              <w:rPr>
                <w:b/>
                <w:sz w:val="18"/>
              </w:rPr>
            </w:pPr>
            <w:r>
              <w:rPr>
                <w:b/>
                <w:spacing w:val="-5"/>
                <w:sz w:val="18"/>
              </w:rPr>
              <w:t>94</w:t>
            </w:r>
          </w:p>
        </w:tc>
        <w:tc>
          <w:tcPr>
            <w:tcW w:w="508" w:type="dxa"/>
            <w:tcBorders>
              <w:top w:val="single" w:sz="4" w:space="0" w:color="000000"/>
              <w:bottom w:val="single" w:sz="4" w:space="0" w:color="000000"/>
            </w:tcBorders>
          </w:tcPr>
          <w:p>
            <w:pPr>
              <w:pStyle w:val="TableParagraph"/>
              <w:spacing w:before="38"/>
              <w:ind w:right="110"/>
              <w:rPr>
                <w:b/>
                <w:sz w:val="18"/>
              </w:rPr>
            </w:pPr>
            <w:r>
              <w:rPr>
                <w:b/>
                <w:spacing w:val="-5"/>
                <w:sz w:val="18"/>
              </w:rPr>
              <w:t>194</w:t>
            </w:r>
          </w:p>
        </w:tc>
        <w:tc>
          <w:tcPr>
            <w:tcW w:w="520" w:type="dxa"/>
            <w:tcBorders>
              <w:top w:val="single" w:sz="4" w:space="0" w:color="000000"/>
              <w:bottom w:val="single" w:sz="4" w:space="0" w:color="000000"/>
            </w:tcBorders>
          </w:tcPr>
          <w:p>
            <w:pPr>
              <w:pStyle w:val="TableParagraph"/>
              <w:spacing w:before="38"/>
              <w:ind w:right="122"/>
              <w:rPr>
                <w:b/>
                <w:sz w:val="18"/>
              </w:rPr>
            </w:pPr>
            <w:r>
              <w:rPr>
                <w:b/>
                <w:spacing w:val="-5"/>
                <w:sz w:val="18"/>
              </w:rPr>
              <w:t>198</w:t>
            </w:r>
          </w:p>
        </w:tc>
        <w:tc>
          <w:tcPr>
            <w:tcW w:w="404" w:type="dxa"/>
            <w:tcBorders>
              <w:top w:val="single" w:sz="4" w:space="0" w:color="000000"/>
              <w:bottom w:val="single" w:sz="4" w:space="0" w:color="000000"/>
            </w:tcBorders>
          </w:tcPr>
          <w:p>
            <w:pPr>
              <w:pStyle w:val="TableParagraph"/>
              <w:spacing w:before="38"/>
              <w:ind w:left="193"/>
              <w:jc w:val="center"/>
              <w:rPr>
                <w:b/>
                <w:sz w:val="18"/>
              </w:rPr>
            </w:pPr>
            <w:r>
              <w:rPr>
                <w:b/>
                <w:spacing w:val="-5"/>
                <w:sz w:val="18"/>
              </w:rPr>
              <w:t>31</w:t>
            </w:r>
          </w:p>
        </w:tc>
        <w:tc>
          <w:tcPr>
            <w:tcW w:w="846" w:type="dxa"/>
            <w:tcBorders>
              <w:top w:val="single" w:sz="4" w:space="0" w:color="000000"/>
              <w:bottom w:val="single" w:sz="4" w:space="0" w:color="000000"/>
            </w:tcBorders>
          </w:tcPr>
          <w:p>
            <w:pPr>
              <w:pStyle w:val="TableParagraph"/>
              <w:spacing w:before="38"/>
              <w:ind w:right="66"/>
              <w:rPr>
                <w:b/>
                <w:i/>
                <w:sz w:val="18"/>
              </w:rPr>
            </w:pPr>
            <w:r>
              <w:rPr>
                <w:b/>
                <w:i/>
                <w:spacing w:val="-5"/>
                <w:sz w:val="18"/>
              </w:rPr>
              <w:t>574</w:t>
            </w:r>
          </w:p>
        </w:tc>
        <w:tc>
          <w:tcPr>
            <w:tcW w:w="569" w:type="dxa"/>
            <w:tcBorders>
              <w:top w:val="single" w:sz="4" w:space="0" w:color="000000"/>
              <w:bottom w:val="single" w:sz="4" w:space="0" w:color="000000"/>
            </w:tcBorders>
          </w:tcPr>
          <w:p>
            <w:pPr>
              <w:pStyle w:val="TableParagraph"/>
              <w:spacing w:before="38"/>
              <w:ind w:right="36"/>
              <w:rPr>
                <w:b/>
                <w:sz w:val="18"/>
              </w:rPr>
            </w:pPr>
            <w:r>
              <w:rPr>
                <w:b/>
                <w:w w:val="101"/>
                <w:sz w:val="18"/>
              </w:rPr>
              <w:t>-</w:t>
            </w:r>
          </w:p>
        </w:tc>
        <w:tc>
          <w:tcPr>
            <w:tcW w:w="586" w:type="dxa"/>
            <w:tcBorders>
              <w:top w:val="single" w:sz="4" w:space="0" w:color="000000"/>
              <w:bottom w:val="single" w:sz="4" w:space="0" w:color="000000"/>
            </w:tcBorders>
          </w:tcPr>
          <w:p>
            <w:pPr>
              <w:pStyle w:val="TableParagraph"/>
              <w:spacing w:before="38"/>
              <w:ind w:right="20"/>
              <w:rPr>
                <w:b/>
                <w:sz w:val="18"/>
              </w:rPr>
            </w:pPr>
            <w:r>
              <w:rPr>
                <w:b/>
                <w:spacing w:val="-5"/>
                <w:sz w:val="18"/>
              </w:rPr>
              <w:t>18</w:t>
            </w:r>
          </w:p>
        </w:tc>
        <w:tc>
          <w:tcPr>
            <w:tcW w:w="587" w:type="dxa"/>
            <w:tcBorders>
              <w:top w:val="single" w:sz="4" w:space="0" w:color="000000"/>
              <w:bottom w:val="single" w:sz="4" w:space="0" w:color="000000"/>
            </w:tcBorders>
          </w:tcPr>
          <w:p>
            <w:pPr>
              <w:pStyle w:val="TableParagraph"/>
              <w:spacing w:before="38"/>
              <w:ind w:right="7"/>
              <w:rPr>
                <w:b/>
                <w:sz w:val="18"/>
              </w:rPr>
            </w:pPr>
            <w:r>
              <w:rPr>
                <w:b/>
                <w:spacing w:val="-5"/>
                <w:sz w:val="18"/>
              </w:rPr>
              <w:t>396</w:t>
            </w:r>
          </w:p>
        </w:tc>
        <w:tc>
          <w:tcPr>
            <w:tcW w:w="921" w:type="dxa"/>
            <w:tcBorders>
              <w:top w:val="single" w:sz="4" w:space="0" w:color="000000"/>
              <w:bottom w:val="single" w:sz="4" w:space="0" w:color="000000"/>
            </w:tcBorders>
          </w:tcPr>
          <w:p>
            <w:pPr>
              <w:pStyle w:val="TableParagraph"/>
              <w:spacing w:before="38"/>
              <w:ind w:right="82"/>
              <w:rPr>
                <w:b/>
                <w:i/>
                <w:sz w:val="18"/>
              </w:rPr>
            </w:pPr>
            <w:r>
              <w:rPr>
                <w:b/>
                <w:i/>
                <w:spacing w:val="-5"/>
                <w:sz w:val="18"/>
              </w:rPr>
              <w:t>414</w:t>
            </w:r>
          </w:p>
        </w:tc>
        <w:tc>
          <w:tcPr>
            <w:tcW w:w="539" w:type="dxa"/>
            <w:tcBorders>
              <w:top w:val="single" w:sz="4" w:space="0" w:color="000000"/>
              <w:bottom w:val="single" w:sz="4" w:space="0" w:color="000000"/>
            </w:tcBorders>
          </w:tcPr>
          <w:p>
            <w:pPr>
              <w:pStyle w:val="TableParagraph"/>
              <w:spacing w:before="38"/>
              <w:ind w:right="7"/>
              <w:rPr>
                <w:b/>
                <w:sz w:val="18"/>
              </w:rPr>
            </w:pPr>
            <w:r>
              <w:rPr>
                <w:b/>
                <w:spacing w:val="-5"/>
                <w:sz w:val="18"/>
              </w:rPr>
              <w:t>988</w:t>
            </w:r>
          </w:p>
        </w:tc>
      </w:tr>
    </w:tbl>
    <w:p>
      <w:pPr>
        <w:spacing w:after="0"/>
        <w:rPr>
          <w:sz w:val="18"/>
        </w:rPr>
        <w:sectPr>
          <w:headerReference w:type="even" r:id="rId145"/>
          <w:headerReference w:type="default" r:id="rId146"/>
          <w:footerReference w:type="even" r:id="rId147"/>
          <w:footerReference w:type="default" r:id="rId148"/>
          <w:pgSz w:w="11910" w:h="16840"/>
          <w:pgMar w:header="978" w:footer="940" w:top="1600" w:bottom="1140" w:left="20" w:right="20"/>
          <w:pgNumType w:start="210"/>
        </w:sectPr>
      </w:pPr>
    </w:p>
    <w:p>
      <w:pPr>
        <w:spacing w:before="117"/>
        <w:ind w:left="1113" w:right="0" w:firstLine="0"/>
        <w:jc w:val="left"/>
        <w:rPr>
          <w:b/>
          <w:sz w:val="28"/>
        </w:rPr>
      </w:pPr>
      <w:r>
        <w:rPr>
          <w:b/>
          <w:sz w:val="28"/>
        </w:rPr>
        <w:t>Annex</w:t>
      </w:r>
      <w:r>
        <w:rPr>
          <w:b/>
          <w:spacing w:val="-5"/>
          <w:sz w:val="28"/>
        </w:rPr>
        <w:t> </w:t>
      </w:r>
      <w:r>
        <w:rPr>
          <w:b/>
          <w:sz w:val="28"/>
        </w:rPr>
        <w:t>V</w:t>
      </w:r>
      <w:r>
        <w:rPr>
          <w:b/>
          <w:spacing w:val="-4"/>
          <w:sz w:val="28"/>
        </w:rPr>
        <w:t> </w:t>
      </w:r>
      <w:r>
        <w:rPr>
          <w:b/>
          <w:spacing w:val="-5"/>
          <w:sz w:val="28"/>
        </w:rPr>
        <w:t>(b)</w:t>
      </w:r>
    </w:p>
    <w:p>
      <w:pPr>
        <w:spacing w:before="245"/>
        <w:ind w:left="2246" w:right="0" w:firstLine="0"/>
        <w:jc w:val="left"/>
        <w:rPr>
          <w:b/>
          <w:sz w:val="28"/>
        </w:rPr>
      </w:pPr>
      <w:bookmarkStart w:name="_bookmark76" w:id="77"/>
      <w:bookmarkEnd w:id="77"/>
      <w:r>
        <w:rPr/>
      </w:r>
      <w:r>
        <w:rPr>
          <w:b/>
          <w:sz w:val="28"/>
        </w:rPr>
        <w:t>Changes</w:t>
      </w:r>
      <w:r>
        <w:rPr>
          <w:b/>
          <w:spacing w:val="-6"/>
          <w:sz w:val="28"/>
        </w:rPr>
        <w:t> </w:t>
      </w:r>
      <w:r>
        <w:rPr>
          <w:b/>
          <w:sz w:val="28"/>
        </w:rPr>
        <w:t>to</w:t>
      </w:r>
      <w:r>
        <w:rPr>
          <w:b/>
          <w:spacing w:val="-7"/>
          <w:sz w:val="28"/>
        </w:rPr>
        <w:t> </w:t>
      </w:r>
      <w:r>
        <w:rPr>
          <w:b/>
          <w:sz w:val="28"/>
        </w:rPr>
        <w:t>the</w:t>
      </w:r>
      <w:r>
        <w:rPr>
          <w:b/>
          <w:spacing w:val="-6"/>
          <w:sz w:val="28"/>
        </w:rPr>
        <w:t> </w:t>
      </w:r>
      <w:r>
        <w:rPr>
          <w:b/>
          <w:sz w:val="28"/>
        </w:rPr>
        <w:t>staffing</w:t>
      </w:r>
      <w:r>
        <w:rPr>
          <w:b/>
          <w:spacing w:val="-7"/>
          <w:sz w:val="28"/>
        </w:rPr>
        <w:t> </w:t>
      </w:r>
      <w:r>
        <w:rPr>
          <w:b/>
          <w:spacing w:val="-4"/>
          <w:sz w:val="28"/>
        </w:rPr>
        <w:t>table</w:t>
      </w:r>
    </w:p>
    <w:p>
      <w:pPr>
        <w:pStyle w:val="BodyText"/>
        <w:spacing w:before="1"/>
        <w:rPr>
          <w:b/>
          <w:sz w:val="23"/>
        </w:rPr>
      </w:pPr>
    </w:p>
    <w:tbl>
      <w:tblPr>
        <w:tblW w:w="0" w:type="auto"/>
        <w:jc w:val="left"/>
        <w:tblInd w:w="1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58"/>
        <w:gridCol w:w="822"/>
        <w:gridCol w:w="2213"/>
        <w:gridCol w:w="2537"/>
        <w:gridCol w:w="2774"/>
      </w:tblGrid>
      <w:tr>
        <w:trPr>
          <w:trHeight w:val="326" w:hRule="atLeast"/>
        </w:trPr>
        <w:tc>
          <w:tcPr>
            <w:tcW w:w="1358" w:type="dxa"/>
            <w:tcBorders>
              <w:top w:val="single" w:sz="4" w:space="0" w:color="000000"/>
              <w:bottom w:val="single" w:sz="4" w:space="0" w:color="000000"/>
            </w:tcBorders>
          </w:tcPr>
          <w:p>
            <w:pPr>
              <w:pStyle w:val="TableParagraph"/>
              <w:spacing w:before="62"/>
              <w:ind w:left="28"/>
              <w:jc w:val="left"/>
              <w:rPr>
                <w:i/>
                <w:sz w:val="18"/>
              </w:rPr>
            </w:pPr>
            <w:r>
              <w:rPr>
                <w:i/>
                <w:sz w:val="18"/>
              </w:rPr>
              <w:t>Number</w:t>
            </w:r>
            <w:r>
              <w:rPr>
                <w:i/>
                <w:spacing w:val="-3"/>
                <w:sz w:val="18"/>
              </w:rPr>
              <w:t> </w:t>
            </w:r>
            <w:r>
              <w:rPr>
                <w:i/>
                <w:sz w:val="18"/>
              </w:rPr>
              <w:t>of</w:t>
            </w:r>
            <w:r>
              <w:rPr>
                <w:i/>
                <w:spacing w:val="-1"/>
                <w:sz w:val="18"/>
              </w:rPr>
              <w:t> </w:t>
            </w:r>
            <w:r>
              <w:rPr>
                <w:i/>
                <w:spacing w:val="-2"/>
                <w:sz w:val="18"/>
              </w:rPr>
              <w:t>posts</w:t>
            </w:r>
          </w:p>
        </w:tc>
        <w:tc>
          <w:tcPr>
            <w:tcW w:w="822" w:type="dxa"/>
            <w:tcBorders>
              <w:top w:val="single" w:sz="4" w:space="0" w:color="000000"/>
              <w:bottom w:val="single" w:sz="4" w:space="0" w:color="000000"/>
            </w:tcBorders>
          </w:tcPr>
          <w:p>
            <w:pPr>
              <w:pStyle w:val="TableParagraph"/>
              <w:spacing w:before="62"/>
              <w:ind w:left="144"/>
              <w:jc w:val="left"/>
              <w:rPr>
                <w:i/>
                <w:sz w:val="18"/>
              </w:rPr>
            </w:pPr>
            <w:r>
              <w:rPr>
                <w:i/>
                <w:spacing w:val="-2"/>
                <w:sz w:val="18"/>
              </w:rPr>
              <w:t>Level</w:t>
            </w:r>
          </w:p>
        </w:tc>
        <w:tc>
          <w:tcPr>
            <w:tcW w:w="2213" w:type="dxa"/>
            <w:tcBorders>
              <w:top w:val="single" w:sz="4" w:space="0" w:color="000000"/>
              <w:bottom w:val="single" w:sz="4" w:space="0" w:color="000000"/>
            </w:tcBorders>
          </w:tcPr>
          <w:p>
            <w:pPr>
              <w:pStyle w:val="TableParagraph"/>
              <w:spacing w:before="62"/>
              <w:ind w:left="144"/>
              <w:jc w:val="left"/>
              <w:rPr>
                <w:i/>
                <w:sz w:val="18"/>
              </w:rPr>
            </w:pPr>
            <w:r>
              <w:rPr>
                <w:i/>
                <w:sz w:val="18"/>
              </w:rPr>
              <w:t>Functional</w:t>
            </w:r>
            <w:r>
              <w:rPr>
                <w:i/>
                <w:spacing w:val="-8"/>
                <w:sz w:val="18"/>
              </w:rPr>
              <w:t> </w:t>
            </w:r>
            <w:r>
              <w:rPr>
                <w:i/>
                <w:spacing w:val="-2"/>
                <w:sz w:val="18"/>
              </w:rPr>
              <w:t>title</w:t>
            </w:r>
          </w:p>
        </w:tc>
        <w:tc>
          <w:tcPr>
            <w:tcW w:w="2537" w:type="dxa"/>
            <w:tcBorders>
              <w:top w:val="single" w:sz="4" w:space="0" w:color="000000"/>
              <w:bottom w:val="single" w:sz="4" w:space="0" w:color="000000"/>
            </w:tcBorders>
          </w:tcPr>
          <w:p>
            <w:pPr>
              <w:pStyle w:val="TableParagraph"/>
              <w:spacing w:before="62"/>
              <w:ind w:left="53"/>
              <w:jc w:val="left"/>
              <w:rPr>
                <w:i/>
                <w:sz w:val="18"/>
              </w:rPr>
            </w:pPr>
            <w:r>
              <w:rPr>
                <w:i/>
                <w:sz w:val="18"/>
              </w:rPr>
              <w:t>From</w:t>
            </w:r>
            <w:r>
              <w:rPr>
                <w:i/>
                <w:spacing w:val="-4"/>
                <w:sz w:val="18"/>
              </w:rPr>
              <w:t> </w:t>
            </w:r>
            <w:r>
              <w:rPr>
                <w:i/>
                <w:sz w:val="18"/>
              </w:rPr>
              <w:t>2022</w:t>
            </w:r>
            <w:r>
              <w:rPr>
                <w:i/>
                <w:spacing w:val="-2"/>
                <w:sz w:val="18"/>
              </w:rPr>
              <w:t> </w:t>
            </w:r>
            <w:r>
              <w:rPr>
                <w:i/>
                <w:sz w:val="18"/>
              </w:rPr>
              <w:t>Approved</w:t>
            </w:r>
            <w:r>
              <w:rPr>
                <w:i/>
                <w:spacing w:val="-2"/>
                <w:sz w:val="18"/>
              </w:rPr>
              <w:t> Budget</w:t>
            </w:r>
          </w:p>
        </w:tc>
        <w:tc>
          <w:tcPr>
            <w:tcW w:w="2774" w:type="dxa"/>
            <w:tcBorders>
              <w:top w:val="single" w:sz="4" w:space="0" w:color="000000"/>
              <w:bottom w:val="single" w:sz="4" w:space="0" w:color="000000"/>
            </w:tcBorders>
          </w:tcPr>
          <w:p>
            <w:pPr>
              <w:pStyle w:val="TableParagraph"/>
              <w:spacing w:before="62"/>
              <w:ind w:left="76"/>
              <w:jc w:val="left"/>
              <w:rPr>
                <w:i/>
                <w:sz w:val="18"/>
              </w:rPr>
            </w:pPr>
            <w:r>
              <w:rPr>
                <w:i/>
                <w:sz w:val="18"/>
              </w:rPr>
              <w:t>To 2023</w:t>
            </w:r>
            <w:r>
              <w:rPr>
                <w:i/>
                <w:spacing w:val="-4"/>
                <w:sz w:val="18"/>
              </w:rPr>
              <w:t> </w:t>
            </w:r>
            <w:r>
              <w:rPr>
                <w:i/>
                <w:sz w:val="18"/>
              </w:rPr>
              <w:t>Proposed</w:t>
            </w:r>
            <w:r>
              <w:rPr>
                <w:i/>
                <w:spacing w:val="-3"/>
                <w:sz w:val="18"/>
              </w:rPr>
              <w:t> </w:t>
            </w:r>
            <w:r>
              <w:rPr>
                <w:i/>
                <w:spacing w:val="-2"/>
                <w:sz w:val="18"/>
              </w:rPr>
              <w:t>Budget</w:t>
            </w:r>
          </w:p>
        </w:tc>
      </w:tr>
      <w:tr>
        <w:trPr>
          <w:trHeight w:val="532" w:hRule="atLeast"/>
        </w:trPr>
        <w:tc>
          <w:tcPr>
            <w:tcW w:w="1358" w:type="dxa"/>
            <w:tcBorders>
              <w:top w:val="single" w:sz="4" w:space="0" w:color="000000"/>
              <w:bottom w:val="single" w:sz="4" w:space="0" w:color="000000"/>
            </w:tcBorders>
          </w:tcPr>
          <w:p>
            <w:pPr>
              <w:pStyle w:val="TableParagraph"/>
              <w:spacing w:before="62"/>
              <w:ind w:left="174"/>
              <w:jc w:val="center"/>
              <w:rPr>
                <w:sz w:val="18"/>
              </w:rPr>
            </w:pPr>
            <w:r>
              <w:rPr>
                <w:w w:val="101"/>
                <w:sz w:val="18"/>
              </w:rPr>
              <w:t>1</w:t>
            </w:r>
          </w:p>
        </w:tc>
        <w:tc>
          <w:tcPr>
            <w:tcW w:w="822" w:type="dxa"/>
            <w:tcBorders>
              <w:top w:val="single" w:sz="4" w:space="0" w:color="000000"/>
              <w:bottom w:val="single" w:sz="4" w:space="0" w:color="000000"/>
            </w:tcBorders>
          </w:tcPr>
          <w:p>
            <w:pPr>
              <w:pStyle w:val="TableParagraph"/>
              <w:spacing w:before="62"/>
              <w:ind w:left="144"/>
              <w:jc w:val="left"/>
              <w:rPr>
                <w:sz w:val="18"/>
              </w:rPr>
            </w:pPr>
            <w:r>
              <w:rPr>
                <w:spacing w:val="-2"/>
                <w:sz w:val="18"/>
              </w:rPr>
              <w:t>D-</w:t>
            </w:r>
            <w:r>
              <w:rPr>
                <w:spacing w:val="-10"/>
                <w:sz w:val="18"/>
              </w:rPr>
              <w:t>1</w:t>
            </w:r>
          </w:p>
        </w:tc>
        <w:tc>
          <w:tcPr>
            <w:tcW w:w="2213" w:type="dxa"/>
            <w:tcBorders>
              <w:top w:val="single" w:sz="4" w:space="0" w:color="000000"/>
              <w:bottom w:val="single" w:sz="4" w:space="0" w:color="000000"/>
            </w:tcBorders>
          </w:tcPr>
          <w:p>
            <w:pPr>
              <w:pStyle w:val="TableParagraph"/>
              <w:spacing w:before="62"/>
              <w:ind w:left="144"/>
              <w:jc w:val="left"/>
              <w:rPr>
                <w:sz w:val="18"/>
              </w:rPr>
            </w:pPr>
            <w:r>
              <w:rPr>
                <w:sz w:val="18"/>
              </w:rPr>
              <w:t>Director,</w:t>
            </w:r>
            <w:r>
              <w:rPr>
                <w:spacing w:val="-12"/>
                <w:sz w:val="18"/>
              </w:rPr>
              <w:t> </w:t>
            </w:r>
            <w:r>
              <w:rPr>
                <w:sz w:val="18"/>
              </w:rPr>
              <w:t>Office</w:t>
            </w:r>
            <w:r>
              <w:rPr>
                <w:spacing w:val="-11"/>
                <w:sz w:val="18"/>
              </w:rPr>
              <w:t> </w:t>
            </w:r>
            <w:r>
              <w:rPr>
                <w:sz w:val="18"/>
              </w:rPr>
              <w:t>of</w:t>
            </w:r>
            <w:r>
              <w:rPr>
                <w:spacing w:val="-11"/>
                <w:sz w:val="18"/>
              </w:rPr>
              <w:t> </w:t>
            </w:r>
            <w:r>
              <w:rPr>
                <w:sz w:val="18"/>
              </w:rPr>
              <w:t>External </w:t>
            </w:r>
            <w:r>
              <w:rPr>
                <w:spacing w:val="-2"/>
                <w:sz w:val="18"/>
              </w:rPr>
              <w:t>Affairs</w:t>
            </w:r>
          </w:p>
        </w:tc>
        <w:tc>
          <w:tcPr>
            <w:tcW w:w="2537" w:type="dxa"/>
            <w:tcBorders>
              <w:top w:val="single" w:sz="4" w:space="0" w:color="000000"/>
              <w:bottom w:val="single" w:sz="4" w:space="0" w:color="000000"/>
            </w:tcBorders>
          </w:tcPr>
          <w:p>
            <w:pPr>
              <w:pStyle w:val="TableParagraph"/>
              <w:spacing w:before="62"/>
              <w:ind w:left="53"/>
              <w:jc w:val="left"/>
              <w:rPr>
                <w:sz w:val="18"/>
              </w:rPr>
            </w:pPr>
            <w:r>
              <w:rPr>
                <w:sz w:val="18"/>
              </w:rPr>
              <w:t>Office</w:t>
            </w:r>
            <w:r>
              <w:rPr>
                <w:spacing w:val="-6"/>
                <w:sz w:val="18"/>
              </w:rPr>
              <w:t> </w:t>
            </w:r>
            <w:r>
              <w:rPr>
                <w:sz w:val="18"/>
              </w:rPr>
              <w:t>of</w:t>
            </w:r>
            <w:r>
              <w:rPr>
                <w:spacing w:val="1"/>
                <w:sz w:val="18"/>
              </w:rPr>
              <w:t> </w:t>
            </w:r>
            <w:r>
              <w:rPr>
                <w:sz w:val="18"/>
              </w:rPr>
              <w:t>External</w:t>
            </w:r>
            <w:r>
              <w:rPr>
                <w:spacing w:val="-3"/>
                <w:sz w:val="18"/>
              </w:rPr>
              <w:t> </w:t>
            </w:r>
            <w:r>
              <w:rPr>
                <w:spacing w:val="-2"/>
                <w:sz w:val="18"/>
              </w:rPr>
              <w:t>Affairs</w:t>
            </w:r>
          </w:p>
        </w:tc>
        <w:tc>
          <w:tcPr>
            <w:tcW w:w="2774" w:type="dxa"/>
            <w:tcBorders>
              <w:top w:val="single" w:sz="4" w:space="0" w:color="000000"/>
              <w:bottom w:val="single" w:sz="4" w:space="0" w:color="000000"/>
            </w:tcBorders>
          </w:tcPr>
          <w:p>
            <w:pPr>
              <w:pStyle w:val="TableParagraph"/>
              <w:spacing w:before="62"/>
              <w:ind w:left="76"/>
              <w:jc w:val="left"/>
              <w:rPr>
                <w:sz w:val="18"/>
              </w:rPr>
            </w:pPr>
            <w:r>
              <w:rPr>
                <w:sz w:val="18"/>
              </w:rPr>
              <w:t>Unified</w:t>
            </w:r>
            <w:r>
              <w:rPr>
                <w:spacing w:val="-6"/>
                <w:sz w:val="18"/>
              </w:rPr>
              <w:t> </w:t>
            </w:r>
            <w:r>
              <w:rPr>
                <w:spacing w:val="-2"/>
                <w:sz w:val="18"/>
              </w:rPr>
              <w:t>teams</w:t>
            </w:r>
          </w:p>
        </w:tc>
      </w:tr>
      <w:tr>
        <w:trPr>
          <w:trHeight w:val="350" w:hRule="atLeast"/>
        </w:trPr>
        <w:tc>
          <w:tcPr>
            <w:tcW w:w="1358" w:type="dxa"/>
            <w:tcBorders>
              <w:top w:val="single" w:sz="4" w:space="0" w:color="000000"/>
              <w:bottom w:val="single" w:sz="4" w:space="0" w:color="000000"/>
            </w:tcBorders>
          </w:tcPr>
          <w:p>
            <w:pPr>
              <w:pStyle w:val="TableParagraph"/>
              <w:spacing w:before="67"/>
              <w:ind w:left="174"/>
              <w:jc w:val="center"/>
              <w:rPr>
                <w:sz w:val="18"/>
              </w:rPr>
            </w:pPr>
            <w:r>
              <w:rPr>
                <w:w w:val="101"/>
                <w:sz w:val="18"/>
              </w:rPr>
              <w:t>1</w:t>
            </w:r>
          </w:p>
        </w:tc>
        <w:tc>
          <w:tcPr>
            <w:tcW w:w="822" w:type="dxa"/>
            <w:tcBorders>
              <w:top w:val="single" w:sz="4" w:space="0" w:color="000000"/>
              <w:bottom w:val="single" w:sz="4" w:space="0" w:color="000000"/>
            </w:tcBorders>
          </w:tcPr>
          <w:p>
            <w:pPr>
              <w:pStyle w:val="TableParagraph"/>
              <w:spacing w:before="67"/>
              <w:ind w:left="144"/>
              <w:jc w:val="left"/>
              <w:rPr>
                <w:sz w:val="18"/>
              </w:rPr>
            </w:pPr>
            <w:r>
              <w:rPr>
                <w:spacing w:val="-2"/>
                <w:sz w:val="18"/>
              </w:rPr>
              <w:t>D-</w:t>
            </w:r>
            <w:r>
              <w:rPr>
                <w:spacing w:val="-10"/>
                <w:sz w:val="18"/>
              </w:rPr>
              <w:t>1</w:t>
            </w:r>
          </w:p>
        </w:tc>
        <w:tc>
          <w:tcPr>
            <w:tcW w:w="2213" w:type="dxa"/>
            <w:tcBorders>
              <w:top w:val="single" w:sz="4" w:space="0" w:color="000000"/>
              <w:bottom w:val="single" w:sz="4" w:space="0" w:color="000000"/>
            </w:tcBorders>
          </w:tcPr>
          <w:p>
            <w:pPr>
              <w:pStyle w:val="TableParagraph"/>
              <w:spacing w:before="67"/>
              <w:ind w:left="144"/>
              <w:jc w:val="left"/>
              <w:rPr>
                <w:sz w:val="18"/>
              </w:rPr>
            </w:pPr>
            <w:r>
              <w:rPr>
                <w:sz w:val="18"/>
              </w:rPr>
              <w:t>Principal</w:t>
            </w:r>
            <w:r>
              <w:rPr>
                <w:spacing w:val="-4"/>
                <w:sz w:val="18"/>
              </w:rPr>
              <w:t> </w:t>
            </w:r>
            <w:r>
              <w:rPr>
                <w:sz w:val="18"/>
              </w:rPr>
              <w:t>Trial</w:t>
            </w:r>
            <w:r>
              <w:rPr>
                <w:spacing w:val="-4"/>
                <w:sz w:val="18"/>
              </w:rPr>
              <w:t> </w:t>
            </w:r>
            <w:r>
              <w:rPr>
                <w:spacing w:val="-2"/>
                <w:sz w:val="18"/>
              </w:rPr>
              <w:t>Lawyer</w:t>
            </w:r>
          </w:p>
        </w:tc>
        <w:tc>
          <w:tcPr>
            <w:tcW w:w="2537" w:type="dxa"/>
            <w:tcBorders>
              <w:top w:val="single" w:sz="4" w:space="0" w:color="000000"/>
              <w:bottom w:val="single" w:sz="4" w:space="0" w:color="000000"/>
            </w:tcBorders>
          </w:tcPr>
          <w:p>
            <w:pPr>
              <w:pStyle w:val="TableParagraph"/>
              <w:spacing w:before="67"/>
              <w:ind w:left="53"/>
              <w:jc w:val="left"/>
              <w:rPr>
                <w:sz w:val="18"/>
              </w:rPr>
            </w:pPr>
            <w:r>
              <w:rPr>
                <w:sz w:val="18"/>
              </w:rPr>
              <w:t>Unified</w:t>
            </w:r>
            <w:r>
              <w:rPr>
                <w:spacing w:val="-6"/>
                <w:sz w:val="18"/>
              </w:rPr>
              <w:t> </w:t>
            </w:r>
            <w:r>
              <w:rPr>
                <w:spacing w:val="-2"/>
                <w:sz w:val="18"/>
              </w:rPr>
              <w:t>teams</w:t>
            </w:r>
          </w:p>
        </w:tc>
        <w:tc>
          <w:tcPr>
            <w:tcW w:w="2774" w:type="dxa"/>
            <w:tcBorders>
              <w:top w:val="single" w:sz="4" w:space="0" w:color="000000"/>
              <w:bottom w:val="single" w:sz="4" w:space="0" w:color="000000"/>
            </w:tcBorders>
          </w:tcPr>
          <w:p>
            <w:pPr>
              <w:pStyle w:val="TableParagraph"/>
              <w:spacing w:before="67"/>
              <w:ind w:left="76"/>
              <w:jc w:val="left"/>
              <w:rPr>
                <w:sz w:val="18"/>
              </w:rPr>
            </w:pPr>
            <w:r>
              <w:rPr>
                <w:sz w:val="18"/>
              </w:rPr>
              <w:t>Unified</w:t>
            </w:r>
            <w:r>
              <w:rPr>
                <w:spacing w:val="-4"/>
                <w:sz w:val="18"/>
              </w:rPr>
              <w:t> </w:t>
            </w:r>
            <w:r>
              <w:rPr>
                <w:sz w:val="18"/>
              </w:rPr>
              <w:t>Team</w:t>
            </w:r>
            <w:r>
              <w:rPr>
                <w:spacing w:val="-1"/>
                <w:sz w:val="18"/>
              </w:rPr>
              <w:t> </w:t>
            </w:r>
            <w:r>
              <w:rPr>
                <w:color w:val="1F487C"/>
                <w:sz w:val="20"/>
              </w:rPr>
              <w:t>–</w:t>
            </w:r>
            <w:r>
              <w:rPr>
                <w:color w:val="1F487C"/>
                <w:spacing w:val="-4"/>
                <w:sz w:val="20"/>
              </w:rPr>
              <w:t> </w:t>
            </w:r>
            <w:r>
              <w:rPr>
                <w:spacing w:val="-2"/>
                <w:sz w:val="18"/>
              </w:rPr>
              <w:t>Ukraine</w:t>
            </w:r>
          </w:p>
        </w:tc>
      </w:tr>
      <w:tr>
        <w:trPr>
          <w:trHeight w:val="537" w:hRule="atLeast"/>
        </w:trPr>
        <w:tc>
          <w:tcPr>
            <w:tcW w:w="1358" w:type="dxa"/>
            <w:tcBorders>
              <w:top w:val="single" w:sz="4" w:space="0" w:color="000000"/>
              <w:bottom w:val="single" w:sz="4" w:space="0" w:color="000000"/>
            </w:tcBorders>
          </w:tcPr>
          <w:p>
            <w:pPr>
              <w:pStyle w:val="TableParagraph"/>
              <w:spacing w:before="67"/>
              <w:ind w:left="174"/>
              <w:jc w:val="center"/>
              <w:rPr>
                <w:sz w:val="18"/>
              </w:rPr>
            </w:pPr>
            <w:r>
              <w:rPr>
                <w:w w:val="101"/>
                <w:sz w:val="18"/>
              </w:rPr>
              <w:t>1</w:t>
            </w:r>
          </w:p>
        </w:tc>
        <w:tc>
          <w:tcPr>
            <w:tcW w:w="822" w:type="dxa"/>
            <w:tcBorders>
              <w:top w:val="single" w:sz="4" w:space="0" w:color="000000"/>
              <w:bottom w:val="single" w:sz="4" w:space="0" w:color="000000"/>
            </w:tcBorders>
          </w:tcPr>
          <w:p>
            <w:pPr>
              <w:pStyle w:val="TableParagraph"/>
              <w:spacing w:before="67"/>
              <w:ind w:left="144"/>
              <w:jc w:val="left"/>
              <w:rPr>
                <w:sz w:val="18"/>
              </w:rPr>
            </w:pPr>
            <w:r>
              <w:rPr>
                <w:sz w:val="18"/>
              </w:rPr>
              <w:t>P-</w:t>
            </w:r>
            <w:r>
              <w:rPr>
                <w:spacing w:val="-10"/>
                <w:sz w:val="18"/>
              </w:rPr>
              <w:t>4</w:t>
            </w:r>
          </w:p>
        </w:tc>
        <w:tc>
          <w:tcPr>
            <w:tcW w:w="2213" w:type="dxa"/>
            <w:tcBorders>
              <w:top w:val="single" w:sz="4" w:space="0" w:color="000000"/>
              <w:bottom w:val="single" w:sz="4" w:space="0" w:color="000000"/>
            </w:tcBorders>
          </w:tcPr>
          <w:p>
            <w:pPr>
              <w:pStyle w:val="TableParagraph"/>
              <w:spacing w:before="62"/>
              <w:ind w:left="144" w:right="206"/>
              <w:jc w:val="left"/>
              <w:rPr>
                <w:sz w:val="18"/>
              </w:rPr>
            </w:pPr>
            <w:r>
              <w:rPr>
                <w:sz w:val="18"/>
              </w:rPr>
              <w:t>International</w:t>
            </w:r>
            <w:r>
              <w:rPr>
                <w:spacing w:val="-12"/>
                <w:sz w:val="18"/>
              </w:rPr>
              <w:t> </w:t>
            </w:r>
            <w:r>
              <w:rPr>
                <w:sz w:val="18"/>
              </w:rPr>
              <w:t>Cooperation </w:t>
            </w:r>
            <w:r>
              <w:rPr>
                <w:spacing w:val="-2"/>
                <w:sz w:val="18"/>
              </w:rPr>
              <w:t>Adviser</w:t>
            </w:r>
          </w:p>
        </w:tc>
        <w:tc>
          <w:tcPr>
            <w:tcW w:w="2537" w:type="dxa"/>
            <w:tcBorders>
              <w:top w:val="single" w:sz="4" w:space="0" w:color="000000"/>
              <w:bottom w:val="single" w:sz="4" w:space="0" w:color="000000"/>
            </w:tcBorders>
          </w:tcPr>
          <w:p>
            <w:pPr>
              <w:pStyle w:val="TableParagraph"/>
              <w:spacing w:before="67"/>
              <w:ind w:left="53"/>
              <w:jc w:val="left"/>
              <w:rPr>
                <w:sz w:val="18"/>
              </w:rPr>
            </w:pPr>
            <w:r>
              <w:rPr>
                <w:sz w:val="18"/>
              </w:rPr>
              <w:t>Office</w:t>
            </w:r>
            <w:r>
              <w:rPr>
                <w:spacing w:val="-6"/>
                <w:sz w:val="18"/>
              </w:rPr>
              <w:t> </w:t>
            </w:r>
            <w:r>
              <w:rPr>
                <w:sz w:val="18"/>
              </w:rPr>
              <w:t>of</w:t>
            </w:r>
            <w:r>
              <w:rPr>
                <w:spacing w:val="1"/>
                <w:sz w:val="18"/>
              </w:rPr>
              <w:t> </w:t>
            </w:r>
            <w:r>
              <w:rPr>
                <w:sz w:val="18"/>
              </w:rPr>
              <w:t>External</w:t>
            </w:r>
            <w:r>
              <w:rPr>
                <w:spacing w:val="-3"/>
                <w:sz w:val="18"/>
              </w:rPr>
              <w:t> </w:t>
            </w:r>
            <w:r>
              <w:rPr>
                <w:spacing w:val="-2"/>
                <w:sz w:val="18"/>
              </w:rPr>
              <w:t>Affairs</w:t>
            </w:r>
          </w:p>
        </w:tc>
        <w:tc>
          <w:tcPr>
            <w:tcW w:w="2774" w:type="dxa"/>
            <w:tcBorders>
              <w:top w:val="single" w:sz="4" w:space="0" w:color="000000"/>
              <w:bottom w:val="single" w:sz="4" w:space="0" w:color="000000"/>
            </w:tcBorders>
          </w:tcPr>
          <w:p>
            <w:pPr>
              <w:pStyle w:val="TableParagraph"/>
              <w:spacing w:before="67"/>
              <w:ind w:left="76"/>
              <w:jc w:val="left"/>
              <w:rPr>
                <w:sz w:val="18"/>
              </w:rPr>
            </w:pPr>
            <w:r>
              <w:rPr>
                <w:sz w:val="18"/>
              </w:rPr>
              <w:t>Unified</w:t>
            </w:r>
            <w:r>
              <w:rPr>
                <w:spacing w:val="-6"/>
                <w:sz w:val="18"/>
              </w:rPr>
              <w:t> </w:t>
            </w:r>
            <w:r>
              <w:rPr>
                <w:spacing w:val="-2"/>
                <w:sz w:val="18"/>
              </w:rPr>
              <w:t>teams</w:t>
            </w:r>
          </w:p>
        </w:tc>
      </w:tr>
      <w:tr>
        <w:trPr>
          <w:trHeight w:val="350" w:hRule="atLeast"/>
        </w:trPr>
        <w:tc>
          <w:tcPr>
            <w:tcW w:w="1358" w:type="dxa"/>
            <w:tcBorders>
              <w:top w:val="single" w:sz="4" w:space="0" w:color="000000"/>
              <w:bottom w:val="single" w:sz="4" w:space="0" w:color="000000"/>
            </w:tcBorders>
          </w:tcPr>
          <w:p>
            <w:pPr>
              <w:pStyle w:val="TableParagraph"/>
              <w:spacing w:before="62"/>
              <w:ind w:left="174"/>
              <w:jc w:val="center"/>
              <w:rPr>
                <w:sz w:val="18"/>
              </w:rPr>
            </w:pPr>
            <w:r>
              <w:rPr>
                <w:w w:val="101"/>
                <w:sz w:val="18"/>
              </w:rPr>
              <w:t>1</w:t>
            </w:r>
          </w:p>
        </w:tc>
        <w:tc>
          <w:tcPr>
            <w:tcW w:w="822" w:type="dxa"/>
            <w:tcBorders>
              <w:top w:val="single" w:sz="4" w:space="0" w:color="000000"/>
              <w:bottom w:val="single" w:sz="4" w:space="0" w:color="000000"/>
            </w:tcBorders>
          </w:tcPr>
          <w:p>
            <w:pPr>
              <w:pStyle w:val="TableParagraph"/>
              <w:spacing w:before="62"/>
              <w:ind w:left="144"/>
              <w:jc w:val="left"/>
              <w:rPr>
                <w:sz w:val="18"/>
              </w:rPr>
            </w:pPr>
            <w:r>
              <w:rPr>
                <w:sz w:val="18"/>
              </w:rPr>
              <w:t>P-</w:t>
            </w:r>
            <w:r>
              <w:rPr>
                <w:spacing w:val="-10"/>
                <w:sz w:val="18"/>
              </w:rPr>
              <w:t>4</w:t>
            </w:r>
          </w:p>
        </w:tc>
        <w:tc>
          <w:tcPr>
            <w:tcW w:w="2213" w:type="dxa"/>
            <w:tcBorders>
              <w:top w:val="single" w:sz="4" w:space="0" w:color="000000"/>
              <w:bottom w:val="single" w:sz="4" w:space="0" w:color="000000"/>
            </w:tcBorders>
          </w:tcPr>
          <w:p>
            <w:pPr>
              <w:pStyle w:val="TableParagraph"/>
              <w:spacing w:before="62"/>
              <w:ind w:left="144"/>
              <w:jc w:val="left"/>
              <w:rPr>
                <w:sz w:val="18"/>
              </w:rPr>
            </w:pPr>
            <w:r>
              <w:rPr>
                <w:sz w:val="18"/>
              </w:rPr>
              <w:t>Senior</w:t>
            </w:r>
            <w:r>
              <w:rPr>
                <w:spacing w:val="-1"/>
                <w:sz w:val="18"/>
              </w:rPr>
              <w:t> </w:t>
            </w:r>
            <w:r>
              <w:rPr>
                <w:spacing w:val="-2"/>
                <w:sz w:val="18"/>
              </w:rPr>
              <w:t>Investigator</w:t>
            </w:r>
          </w:p>
        </w:tc>
        <w:tc>
          <w:tcPr>
            <w:tcW w:w="2537" w:type="dxa"/>
            <w:tcBorders>
              <w:top w:val="single" w:sz="4" w:space="0" w:color="000000"/>
              <w:bottom w:val="single" w:sz="4" w:space="0" w:color="000000"/>
            </w:tcBorders>
          </w:tcPr>
          <w:p>
            <w:pPr>
              <w:pStyle w:val="TableParagraph"/>
              <w:spacing w:before="62"/>
              <w:ind w:left="53"/>
              <w:jc w:val="left"/>
              <w:rPr>
                <w:sz w:val="18"/>
              </w:rPr>
            </w:pPr>
            <w:r>
              <w:rPr>
                <w:sz w:val="18"/>
              </w:rPr>
              <w:t>Unified</w:t>
            </w:r>
            <w:r>
              <w:rPr>
                <w:spacing w:val="-6"/>
                <w:sz w:val="18"/>
              </w:rPr>
              <w:t> </w:t>
            </w:r>
            <w:r>
              <w:rPr>
                <w:spacing w:val="-2"/>
                <w:sz w:val="18"/>
              </w:rPr>
              <w:t>teams</w:t>
            </w:r>
          </w:p>
        </w:tc>
        <w:tc>
          <w:tcPr>
            <w:tcW w:w="2774" w:type="dxa"/>
            <w:tcBorders>
              <w:top w:val="single" w:sz="4" w:space="0" w:color="000000"/>
              <w:bottom w:val="single" w:sz="4" w:space="0" w:color="000000"/>
            </w:tcBorders>
          </w:tcPr>
          <w:p>
            <w:pPr>
              <w:pStyle w:val="TableParagraph"/>
              <w:spacing w:before="63"/>
              <w:ind w:left="76"/>
              <w:jc w:val="left"/>
              <w:rPr>
                <w:sz w:val="18"/>
              </w:rPr>
            </w:pPr>
            <w:r>
              <w:rPr>
                <w:sz w:val="18"/>
              </w:rPr>
              <w:t>Unified</w:t>
            </w:r>
            <w:r>
              <w:rPr>
                <w:spacing w:val="-4"/>
                <w:sz w:val="18"/>
              </w:rPr>
              <w:t> </w:t>
            </w:r>
            <w:r>
              <w:rPr>
                <w:sz w:val="18"/>
              </w:rPr>
              <w:t>Team</w:t>
            </w:r>
            <w:r>
              <w:rPr>
                <w:spacing w:val="-1"/>
                <w:sz w:val="18"/>
              </w:rPr>
              <w:t> </w:t>
            </w:r>
            <w:r>
              <w:rPr>
                <w:color w:val="1F487C"/>
                <w:sz w:val="20"/>
              </w:rPr>
              <w:t>–</w:t>
            </w:r>
            <w:r>
              <w:rPr>
                <w:color w:val="1F487C"/>
                <w:spacing w:val="-4"/>
                <w:sz w:val="20"/>
              </w:rPr>
              <w:t> </w:t>
            </w:r>
            <w:r>
              <w:rPr>
                <w:spacing w:val="-2"/>
                <w:sz w:val="18"/>
              </w:rPr>
              <w:t>Ukraine</w:t>
            </w:r>
          </w:p>
        </w:tc>
      </w:tr>
      <w:tr>
        <w:trPr>
          <w:trHeight w:val="325" w:hRule="atLeast"/>
        </w:trPr>
        <w:tc>
          <w:tcPr>
            <w:tcW w:w="1358" w:type="dxa"/>
            <w:tcBorders>
              <w:top w:val="single" w:sz="4" w:space="0" w:color="000000"/>
              <w:bottom w:val="single" w:sz="4" w:space="0" w:color="000000"/>
            </w:tcBorders>
          </w:tcPr>
          <w:p>
            <w:pPr>
              <w:pStyle w:val="TableParagraph"/>
              <w:spacing w:before="62"/>
              <w:ind w:left="174"/>
              <w:jc w:val="center"/>
              <w:rPr>
                <w:sz w:val="18"/>
              </w:rPr>
            </w:pPr>
            <w:r>
              <w:rPr>
                <w:w w:val="101"/>
                <w:sz w:val="18"/>
              </w:rPr>
              <w:t>1</w:t>
            </w:r>
          </w:p>
        </w:tc>
        <w:tc>
          <w:tcPr>
            <w:tcW w:w="822" w:type="dxa"/>
            <w:tcBorders>
              <w:top w:val="single" w:sz="4" w:space="0" w:color="000000"/>
              <w:bottom w:val="single" w:sz="4" w:space="0" w:color="000000"/>
            </w:tcBorders>
          </w:tcPr>
          <w:p>
            <w:pPr>
              <w:pStyle w:val="TableParagraph"/>
              <w:spacing w:before="62"/>
              <w:ind w:left="144"/>
              <w:jc w:val="left"/>
              <w:rPr>
                <w:sz w:val="18"/>
              </w:rPr>
            </w:pPr>
            <w:r>
              <w:rPr>
                <w:sz w:val="18"/>
              </w:rPr>
              <w:t>P-</w:t>
            </w:r>
            <w:r>
              <w:rPr>
                <w:spacing w:val="-10"/>
                <w:sz w:val="18"/>
              </w:rPr>
              <w:t>4</w:t>
            </w:r>
          </w:p>
        </w:tc>
        <w:tc>
          <w:tcPr>
            <w:tcW w:w="2213" w:type="dxa"/>
            <w:tcBorders>
              <w:top w:val="single" w:sz="4" w:space="0" w:color="000000"/>
              <w:bottom w:val="single" w:sz="4" w:space="0" w:color="000000"/>
            </w:tcBorders>
          </w:tcPr>
          <w:p>
            <w:pPr>
              <w:pStyle w:val="TableParagraph"/>
              <w:spacing w:before="62"/>
              <w:ind w:left="144"/>
              <w:jc w:val="left"/>
              <w:rPr>
                <w:sz w:val="18"/>
              </w:rPr>
            </w:pPr>
            <w:r>
              <w:rPr>
                <w:sz w:val="18"/>
              </w:rPr>
              <w:t>Team</w:t>
            </w:r>
            <w:r>
              <w:rPr>
                <w:spacing w:val="1"/>
                <w:sz w:val="18"/>
              </w:rPr>
              <w:t> </w:t>
            </w:r>
            <w:r>
              <w:rPr>
                <w:spacing w:val="-2"/>
                <w:sz w:val="18"/>
              </w:rPr>
              <w:t>Leader</w:t>
            </w:r>
          </w:p>
        </w:tc>
        <w:tc>
          <w:tcPr>
            <w:tcW w:w="2537" w:type="dxa"/>
            <w:tcBorders>
              <w:top w:val="single" w:sz="4" w:space="0" w:color="000000"/>
              <w:bottom w:val="single" w:sz="4" w:space="0" w:color="000000"/>
            </w:tcBorders>
          </w:tcPr>
          <w:p>
            <w:pPr>
              <w:pStyle w:val="TableParagraph"/>
              <w:spacing w:before="62"/>
              <w:ind w:left="53"/>
              <w:jc w:val="left"/>
              <w:rPr>
                <w:sz w:val="18"/>
              </w:rPr>
            </w:pPr>
            <w:r>
              <w:rPr>
                <w:sz w:val="18"/>
              </w:rPr>
              <w:t>Unified</w:t>
            </w:r>
            <w:r>
              <w:rPr>
                <w:spacing w:val="-6"/>
                <w:sz w:val="18"/>
              </w:rPr>
              <w:t> </w:t>
            </w:r>
            <w:r>
              <w:rPr>
                <w:spacing w:val="-2"/>
                <w:sz w:val="18"/>
              </w:rPr>
              <w:t>teams</w:t>
            </w:r>
          </w:p>
        </w:tc>
        <w:tc>
          <w:tcPr>
            <w:tcW w:w="2774" w:type="dxa"/>
            <w:tcBorders>
              <w:top w:val="single" w:sz="4" w:space="0" w:color="000000"/>
              <w:bottom w:val="single" w:sz="4" w:space="0" w:color="000000"/>
            </w:tcBorders>
          </w:tcPr>
          <w:p>
            <w:pPr>
              <w:pStyle w:val="TableParagraph"/>
              <w:spacing w:before="62"/>
              <w:ind w:left="76"/>
              <w:jc w:val="left"/>
              <w:rPr>
                <w:sz w:val="18"/>
              </w:rPr>
            </w:pPr>
            <w:r>
              <w:rPr>
                <w:sz w:val="18"/>
              </w:rPr>
              <w:t>Unified</w:t>
            </w:r>
            <w:r>
              <w:rPr>
                <w:spacing w:val="-6"/>
                <w:sz w:val="18"/>
              </w:rPr>
              <w:t> </w:t>
            </w:r>
            <w:r>
              <w:rPr>
                <w:spacing w:val="-2"/>
                <w:sz w:val="18"/>
              </w:rPr>
              <w:t>teams</w:t>
            </w:r>
          </w:p>
        </w:tc>
      </w:tr>
      <w:tr>
        <w:trPr>
          <w:trHeight w:val="350" w:hRule="atLeast"/>
        </w:trPr>
        <w:tc>
          <w:tcPr>
            <w:tcW w:w="1358" w:type="dxa"/>
            <w:tcBorders>
              <w:top w:val="single" w:sz="4" w:space="0" w:color="000000"/>
              <w:bottom w:val="single" w:sz="4" w:space="0" w:color="000000"/>
            </w:tcBorders>
          </w:tcPr>
          <w:p>
            <w:pPr>
              <w:pStyle w:val="TableParagraph"/>
              <w:spacing w:before="62"/>
              <w:ind w:left="174"/>
              <w:jc w:val="center"/>
              <w:rPr>
                <w:sz w:val="18"/>
              </w:rPr>
            </w:pPr>
            <w:r>
              <w:rPr>
                <w:w w:val="101"/>
                <w:sz w:val="18"/>
              </w:rPr>
              <w:t>1</w:t>
            </w:r>
          </w:p>
        </w:tc>
        <w:tc>
          <w:tcPr>
            <w:tcW w:w="822" w:type="dxa"/>
            <w:tcBorders>
              <w:top w:val="single" w:sz="4" w:space="0" w:color="000000"/>
              <w:bottom w:val="single" w:sz="4" w:space="0" w:color="000000"/>
            </w:tcBorders>
          </w:tcPr>
          <w:p>
            <w:pPr>
              <w:pStyle w:val="TableParagraph"/>
              <w:spacing w:before="62"/>
              <w:ind w:left="144"/>
              <w:jc w:val="left"/>
              <w:rPr>
                <w:sz w:val="18"/>
              </w:rPr>
            </w:pPr>
            <w:r>
              <w:rPr>
                <w:sz w:val="18"/>
              </w:rPr>
              <w:t>P-</w:t>
            </w:r>
            <w:r>
              <w:rPr>
                <w:spacing w:val="-10"/>
                <w:sz w:val="18"/>
              </w:rPr>
              <w:t>3</w:t>
            </w:r>
          </w:p>
        </w:tc>
        <w:tc>
          <w:tcPr>
            <w:tcW w:w="2213" w:type="dxa"/>
            <w:tcBorders>
              <w:top w:val="single" w:sz="4" w:space="0" w:color="000000"/>
              <w:bottom w:val="single" w:sz="4" w:space="0" w:color="000000"/>
            </w:tcBorders>
          </w:tcPr>
          <w:p>
            <w:pPr>
              <w:pStyle w:val="TableParagraph"/>
              <w:spacing w:before="62"/>
              <w:ind w:left="144"/>
              <w:jc w:val="left"/>
              <w:rPr>
                <w:sz w:val="18"/>
              </w:rPr>
            </w:pPr>
            <w:r>
              <w:rPr>
                <w:spacing w:val="-2"/>
                <w:sz w:val="18"/>
              </w:rPr>
              <w:t>Analyst</w:t>
            </w:r>
          </w:p>
        </w:tc>
        <w:tc>
          <w:tcPr>
            <w:tcW w:w="2537" w:type="dxa"/>
            <w:tcBorders>
              <w:top w:val="single" w:sz="4" w:space="0" w:color="000000"/>
              <w:bottom w:val="single" w:sz="4" w:space="0" w:color="000000"/>
            </w:tcBorders>
          </w:tcPr>
          <w:p>
            <w:pPr>
              <w:pStyle w:val="TableParagraph"/>
              <w:spacing w:before="62"/>
              <w:ind w:left="53"/>
              <w:jc w:val="left"/>
              <w:rPr>
                <w:sz w:val="18"/>
              </w:rPr>
            </w:pPr>
            <w:r>
              <w:rPr>
                <w:sz w:val="18"/>
              </w:rPr>
              <w:t>Preliminary</w:t>
            </w:r>
            <w:r>
              <w:rPr>
                <w:spacing w:val="-8"/>
                <w:sz w:val="18"/>
              </w:rPr>
              <w:t> </w:t>
            </w:r>
            <w:r>
              <w:rPr>
                <w:sz w:val="18"/>
              </w:rPr>
              <w:t>Examination</w:t>
            </w:r>
            <w:r>
              <w:rPr>
                <w:spacing w:val="-8"/>
                <w:sz w:val="18"/>
              </w:rPr>
              <w:t> </w:t>
            </w:r>
            <w:r>
              <w:rPr>
                <w:spacing w:val="-2"/>
                <w:sz w:val="18"/>
              </w:rPr>
              <w:t>Section</w:t>
            </w:r>
          </w:p>
        </w:tc>
        <w:tc>
          <w:tcPr>
            <w:tcW w:w="2774" w:type="dxa"/>
            <w:tcBorders>
              <w:top w:val="single" w:sz="4" w:space="0" w:color="000000"/>
              <w:bottom w:val="single" w:sz="4" w:space="0" w:color="000000"/>
            </w:tcBorders>
          </w:tcPr>
          <w:p>
            <w:pPr>
              <w:pStyle w:val="TableParagraph"/>
              <w:spacing w:before="62"/>
              <w:ind w:left="76"/>
              <w:jc w:val="left"/>
              <w:rPr>
                <w:sz w:val="18"/>
              </w:rPr>
            </w:pPr>
            <w:r>
              <w:rPr>
                <w:sz w:val="18"/>
              </w:rPr>
              <w:t>Unified</w:t>
            </w:r>
            <w:r>
              <w:rPr>
                <w:spacing w:val="-4"/>
                <w:sz w:val="18"/>
              </w:rPr>
              <w:t> </w:t>
            </w:r>
            <w:r>
              <w:rPr>
                <w:sz w:val="18"/>
              </w:rPr>
              <w:t>Team</w:t>
            </w:r>
            <w:r>
              <w:rPr>
                <w:spacing w:val="-1"/>
                <w:sz w:val="18"/>
              </w:rPr>
              <w:t> </w:t>
            </w:r>
            <w:r>
              <w:rPr>
                <w:color w:val="1F487C"/>
                <w:sz w:val="20"/>
              </w:rPr>
              <w:t>–</w:t>
            </w:r>
            <w:r>
              <w:rPr>
                <w:color w:val="1F487C"/>
                <w:spacing w:val="-4"/>
                <w:sz w:val="20"/>
              </w:rPr>
              <w:t> </w:t>
            </w:r>
            <w:r>
              <w:rPr>
                <w:spacing w:val="-2"/>
                <w:sz w:val="18"/>
              </w:rPr>
              <w:t>Ukraine</w:t>
            </w:r>
          </w:p>
        </w:tc>
      </w:tr>
      <w:tr>
        <w:trPr>
          <w:trHeight w:val="350" w:hRule="atLeast"/>
        </w:trPr>
        <w:tc>
          <w:tcPr>
            <w:tcW w:w="1358" w:type="dxa"/>
            <w:tcBorders>
              <w:top w:val="single" w:sz="4" w:space="0" w:color="000000"/>
              <w:bottom w:val="single" w:sz="4" w:space="0" w:color="000000"/>
            </w:tcBorders>
          </w:tcPr>
          <w:p>
            <w:pPr>
              <w:pStyle w:val="TableParagraph"/>
              <w:spacing w:before="62"/>
              <w:ind w:left="174"/>
              <w:jc w:val="center"/>
              <w:rPr>
                <w:sz w:val="18"/>
              </w:rPr>
            </w:pPr>
            <w:r>
              <w:rPr>
                <w:w w:val="101"/>
                <w:sz w:val="18"/>
              </w:rPr>
              <w:t>1</w:t>
            </w:r>
          </w:p>
        </w:tc>
        <w:tc>
          <w:tcPr>
            <w:tcW w:w="822" w:type="dxa"/>
            <w:tcBorders>
              <w:top w:val="single" w:sz="4" w:space="0" w:color="000000"/>
              <w:bottom w:val="single" w:sz="4" w:space="0" w:color="000000"/>
            </w:tcBorders>
          </w:tcPr>
          <w:p>
            <w:pPr>
              <w:pStyle w:val="TableParagraph"/>
              <w:spacing w:before="62"/>
              <w:ind w:left="144"/>
              <w:jc w:val="left"/>
              <w:rPr>
                <w:sz w:val="18"/>
              </w:rPr>
            </w:pPr>
            <w:r>
              <w:rPr>
                <w:sz w:val="18"/>
              </w:rPr>
              <w:t>P-</w:t>
            </w:r>
            <w:r>
              <w:rPr>
                <w:spacing w:val="-10"/>
                <w:sz w:val="18"/>
              </w:rPr>
              <w:t>3</w:t>
            </w:r>
          </w:p>
        </w:tc>
        <w:tc>
          <w:tcPr>
            <w:tcW w:w="2213" w:type="dxa"/>
            <w:tcBorders>
              <w:top w:val="single" w:sz="4" w:space="0" w:color="000000"/>
              <w:bottom w:val="single" w:sz="4" w:space="0" w:color="000000"/>
            </w:tcBorders>
          </w:tcPr>
          <w:p>
            <w:pPr>
              <w:pStyle w:val="TableParagraph"/>
              <w:spacing w:before="62"/>
              <w:ind w:left="144"/>
              <w:jc w:val="left"/>
              <w:rPr>
                <w:sz w:val="18"/>
              </w:rPr>
            </w:pPr>
            <w:r>
              <w:rPr>
                <w:spacing w:val="-2"/>
                <w:sz w:val="18"/>
              </w:rPr>
              <w:t>Analyst</w:t>
            </w:r>
          </w:p>
        </w:tc>
        <w:tc>
          <w:tcPr>
            <w:tcW w:w="2537" w:type="dxa"/>
            <w:tcBorders>
              <w:top w:val="single" w:sz="4" w:space="0" w:color="000000"/>
              <w:bottom w:val="single" w:sz="4" w:space="0" w:color="000000"/>
            </w:tcBorders>
          </w:tcPr>
          <w:p>
            <w:pPr>
              <w:pStyle w:val="TableParagraph"/>
              <w:spacing w:before="62"/>
              <w:ind w:left="53"/>
              <w:jc w:val="left"/>
              <w:rPr>
                <w:sz w:val="18"/>
              </w:rPr>
            </w:pPr>
            <w:r>
              <w:rPr>
                <w:sz w:val="18"/>
              </w:rPr>
              <w:t>Unified</w:t>
            </w:r>
            <w:r>
              <w:rPr>
                <w:spacing w:val="-6"/>
                <w:sz w:val="18"/>
              </w:rPr>
              <w:t> </w:t>
            </w:r>
            <w:r>
              <w:rPr>
                <w:spacing w:val="-2"/>
                <w:sz w:val="18"/>
              </w:rPr>
              <w:t>teams</w:t>
            </w:r>
          </w:p>
        </w:tc>
        <w:tc>
          <w:tcPr>
            <w:tcW w:w="2774" w:type="dxa"/>
            <w:tcBorders>
              <w:top w:val="single" w:sz="4" w:space="0" w:color="000000"/>
              <w:bottom w:val="single" w:sz="4" w:space="0" w:color="000000"/>
            </w:tcBorders>
          </w:tcPr>
          <w:p>
            <w:pPr>
              <w:pStyle w:val="TableParagraph"/>
              <w:spacing w:before="62"/>
              <w:ind w:left="76"/>
              <w:jc w:val="left"/>
              <w:rPr>
                <w:sz w:val="18"/>
              </w:rPr>
            </w:pPr>
            <w:r>
              <w:rPr>
                <w:sz w:val="18"/>
              </w:rPr>
              <w:t>Unified</w:t>
            </w:r>
            <w:r>
              <w:rPr>
                <w:spacing w:val="-4"/>
                <w:sz w:val="18"/>
              </w:rPr>
              <w:t> </w:t>
            </w:r>
            <w:r>
              <w:rPr>
                <w:sz w:val="18"/>
              </w:rPr>
              <w:t>Team</w:t>
            </w:r>
            <w:r>
              <w:rPr>
                <w:spacing w:val="-1"/>
                <w:sz w:val="18"/>
              </w:rPr>
              <w:t> </w:t>
            </w:r>
            <w:r>
              <w:rPr>
                <w:color w:val="1F487C"/>
                <w:sz w:val="20"/>
              </w:rPr>
              <w:t>–</w:t>
            </w:r>
            <w:r>
              <w:rPr>
                <w:color w:val="1F487C"/>
                <w:spacing w:val="-4"/>
                <w:sz w:val="20"/>
              </w:rPr>
              <w:t> </w:t>
            </w:r>
            <w:r>
              <w:rPr>
                <w:spacing w:val="-2"/>
                <w:sz w:val="18"/>
              </w:rPr>
              <w:t>Ukraine</w:t>
            </w:r>
          </w:p>
        </w:tc>
      </w:tr>
      <w:tr>
        <w:trPr>
          <w:trHeight w:val="325" w:hRule="atLeast"/>
        </w:trPr>
        <w:tc>
          <w:tcPr>
            <w:tcW w:w="1358" w:type="dxa"/>
            <w:tcBorders>
              <w:top w:val="single" w:sz="4" w:space="0" w:color="000000"/>
              <w:bottom w:val="single" w:sz="4" w:space="0" w:color="000000"/>
            </w:tcBorders>
          </w:tcPr>
          <w:p>
            <w:pPr>
              <w:pStyle w:val="TableParagraph"/>
              <w:spacing w:before="62"/>
              <w:ind w:left="174"/>
              <w:jc w:val="center"/>
              <w:rPr>
                <w:sz w:val="18"/>
              </w:rPr>
            </w:pPr>
            <w:r>
              <w:rPr>
                <w:w w:val="101"/>
                <w:sz w:val="18"/>
              </w:rPr>
              <w:t>1</w:t>
            </w:r>
          </w:p>
        </w:tc>
        <w:tc>
          <w:tcPr>
            <w:tcW w:w="822" w:type="dxa"/>
            <w:tcBorders>
              <w:top w:val="single" w:sz="4" w:space="0" w:color="000000"/>
              <w:bottom w:val="single" w:sz="4" w:space="0" w:color="000000"/>
            </w:tcBorders>
          </w:tcPr>
          <w:p>
            <w:pPr>
              <w:pStyle w:val="TableParagraph"/>
              <w:spacing w:before="62"/>
              <w:ind w:left="144"/>
              <w:jc w:val="left"/>
              <w:rPr>
                <w:sz w:val="18"/>
              </w:rPr>
            </w:pPr>
            <w:r>
              <w:rPr>
                <w:sz w:val="18"/>
              </w:rPr>
              <w:t>P-</w:t>
            </w:r>
            <w:r>
              <w:rPr>
                <w:spacing w:val="-10"/>
                <w:sz w:val="18"/>
              </w:rPr>
              <w:t>3</w:t>
            </w:r>
          </w:p>
        </w:tc>
        <w:tc>
          <w:tcPr>
            <w:tcW w:w="2213" w:type="dxa"/>
            <w:tcBorders>
              <w:top w:val="single" w:sz="4" w:space="0" w:color="000000"/>
              <w:bottom w:val="single" w:sz="4" w:space="0" w:color="000000"/>
            </w:tcBorders>
          </w:tcPr>
          <w:p>
            <w:pPr>
              <w:pStyle w:val="TableParagraph"/>
              <w:spacing w:before="62"/>
              <w:ind w:left="144"/>
              <w:jc w:val="left"/>
              <w:rPr>
                <w:sz w:val="18"/>
              </w:rPr>
            </w:pPr>
            <w:r>
              <w:rPr>
                <w:spacing w:val="-2"/>
                <w:sz w:val="18"/>
              </w:rPr>
              <w:t>Analyst</w:t>
            </w:r>
          </w:p>
        </w:tc>
        <w:tc>
          <w:tcPr>
            <w:tcW w:w="2537" w:type="dxa"/>
            <w:tcBorders>
              <w:top w:val="single" w:sz="4" w:space="0" w:color="000000"/>
              <w:bottom w:val="single" w:sz="4" w:space="0" w:color="000000"/>
            </w:tcBorders>
          </w:tcPr>
          <w:p>
            <w:pPr>
              <w:pStyle w:val="TableParagraph"/>
              <w:spacing w:before="62"/>
              <w:ind w:left="53"/>
              <w:jc w:val="left"/>
              <w:rPr>
                <w:sz w:val="18"/>
              </w:rPr>
            </w:pPr>
            <w:r>
              <w:rPr>
                <w:sz w:val="18"/>
              </w:rPr>
              <w:t>Unified</w:t>
            </w:r>
            <w:r>
              <w:rPr>
                <w:spacing w:val="-6"/>
                <w:sz w:val="18"/>
              </w:rPr>
              <w:t> </w:t>
            </w:r>
            <w:r>
              <w:rPr>
                <w:spacing w:val="-2"/>
                <w:sz w:val="18"/>
              </w:rPr>
              <w:t>teams</w:t>
            </w:r>
          </w:p>
        </w:tc>
        <w:tc>
          <w:tcPr>
            <w:tcW w:w="2774" w:type="dxa"/>
            <w:tcBorders>
              <w:top w:val="single" w:sz="4" w:space="0" w:color="000000"/>
              <w:bottom w:val="single" w:sz="4" w:space="0" w:color="000000"/>
            </w:tcBorders>
          </w:tcPr>
          <w:p>
            <w:pPr>
              <w:pStyle w:val="TableParagraph"/>
              <w:spacing w:before="62"/>
              <w:ind w:left="76"/>
              <w:jc w:val="left"/>
              <w:rPr>
                <w:sz w:val="18"/>
              </w:rPr>
            </w:pPr>
            <w:r>
              <w:rPr>
                <w:sz w:val="18"/>
              </w:rPr>
              <w:t>Unified</w:t>
            </w:r>
            <w:r>
              <w:rPr>
                <w:spacing w:val="-6"/>
                <w:sz w:val="18"/>
              </w:rPr>
              <w:t> </w:t>
            </w:r>
            <w:r>
              <w:rPr>
                <w:spacing w:val="-2"/>
                <w:sz w:val="18"/>
              </w:rPr>
              <w:t>teams</w:t>
            </w:r>
          </w:p>
        </w:tc>
      </w:tr>
      <w:tr>
        <w:trPr>
          <w:trHeight w:val="326" w:hRule="atLeast"/>
        </w:trPr>
        <w:tc>
          <w:tcPr>
            <w:tcW w:w="1358" w:type="dxa"/>
            <w:tcBorders>
              <w:top w:val="single" w:sz="4" w:space="0" w:color="000000"/>
              <w:bottom w:val="single" w:sz="4" w:space="0" w:color="000000"/>
            </w:tcBorders>
          </w:tcPr>
          <w:p>
            <w:pPr>
              <w:pStyle w:val="TableParagraph"/>
              <w:spacing w:before="62"/>
              <w:ind w:left="174"/>
              <w:jc w:val="center"/>
              <w:rPr>
                <w:sz w:val="18"/>
              </w:rPr>
            </w:pPr>
            <w:r>
              <w:rPr>
                <w:w w:val="101"/>
                <w:sz w:val="18"/>
              </w:rPr>
              <w:t>3</w:t>
            </w:r>
          </w:p>
        </w:tc>
        <w:tc>
          <w:tcPr>
            <w:tcW w:w="822" w:type="dxa"/>
            <w:tcBorders>
              <w:top w:val="single" w:sz="4" w:space="0" w:color="000000"/>
              <w:bottom w:val="single" w:sz="4" w:space="0" w:color="000000"/>
            </w:tcBorders>
          </w:tcPr>
          <w:p>
            <w:pPr>
              <w:pStyle w:val="TableParagraph"/>
              <w:spacing w:before="62"/>
              <w:ind w:left="144"/>
              <w:jc w:val="left"/>
              <w:rPr>
                <w:sz w:val="18"/>
              </w:rPr>
            </w:pPr>
            <w:r>
              <w:rPr>
                <w:sz w:val="18"/>
              </w:rPr>
              <w:t>P-</w:t>
            </w:r>
            <w:r>
              <w:rPr>
                <w:spacing w:val="-10"/>
                <w:sz w:val="18"/>
              </w:rPr>
              <w:t>3</w:t>
            </w:r>
          </w:p>
        </w:tc>
        <w:tc>
          <w:tcPr>
            <w:tcW w:w="2213" w:type="dxa"/>
            <w:tcBorders>
              <w:top w:val="single" w:sz="4" w:space="0" w:color="000000"/>
              <w:bottom w:val="single" w:sz="4" w:space="0" w:color="000000"/>
            </w:tcBorders>
          </w:tcPr>
          <w:p>
            <w:pPr>
              <w:pStyle w:val="TableParagraph"/>
              <w:spacing w:before="62"/>
              <w:ind w:left="144"/>
              <w:jc w:val="left"/>
              <w:rPr>
                <w:sz w:val="18"/>
              </w:rPr>
            </w:pPr>
            <w:r>
              <w:rPr>
                <w:sz w:val="18"/>
              </w:rPr>
              <w:t>Cyber</w:t>
            </w:r>
            <w:r>
              <w:rPr>
                <w:spacing w:val="-3"/>
                <w:sz w:val="18"/>
              </w:rPr>
              <w:t> </w:t>
            </w:r>
            <w:r>
              <w:rPr>
                <w:sz w:val="18"/>
              </w:rPr>
              <w:t>Forensic</w:t>
            </w:r>
            <w:r>
              <w:rPr>
                <w:spacing w:val="1"/>
                <w:sz w:val="18"/>
              </w:rPr>
              <w:t> </w:t>
            </w:r>
            <w:r>
              <w:rPr>
                <w:spacing w:val="-2"/>
                <w:sz w:val="18"/>
              </w:rPr>
              <w:t>Investigator</w:t>
            </w:r>
          </w:p>
        </w:tc>
        <w:tc>
          <w:tcPr>
            <w:tcW w:w="2537" w:type="dxa"/>
            <w:tcBorders>
              <w:top w:val="single" w:sz="4" w:space="0" w:color="000000"/>
              <w:bottom w:val="single" w:sz="4" w:space="0" w:color="000000"/>
            </w:tcBorders>
          </w:tcPr>
          <w:p>
            <w:pPr>
              <w:pStyle w:val="TableParagraph"/>
              <w:spacing w:before="62"/>
              <w:ind w:left="53"/>
              <w:jc w:val="left"/>
              <w:rPr>
                <w:sz w:val="18"/>
              </w:rPr>
            </w:pPr>
            <w:r>
              <w:rPr>
                <w:sz w:val="18"/>
              </w:rPr>
              <w:t>Forensic</w:t>
            </w:r>
            <w:r>
              <w:rPr>
                <w:spacing w:val="-6"/>
                <w:sz w:val="18"/>
              </w:rPr>
              <w:t> </w:t>
            </w:r>
            <w:r>
              <w:rPr>
                <w:sz w:val="18"/>
              </w:rPr>
              <w:t>Science</w:t>
            </w:r>
            <w:r>
              <w:rPr>
                <w:spacing w:val="-5"/>
                <w:sz w:val="18"/>
              </w:rPr>
              <w:t> </w:t>
            </w:r>
            <w:r>
              <w:rPr>
                <w:spacing w:val="-2"/>
                <w:sz w:val="18"/>
              </w:rPr>
              <w:t>Section</w:t>
            </w:r>
          </w:p>
        </w:tc>
        <w:tc>
          <w:tcPr>
            <w:tcW w:w="2774" w:type="dxa"/>
            <w:tcBorders>
              <w:top w:val="single" w:sz="4" w:space="0" w:color="000000"/>
              <w:bottom w:val="single" w:sz="4" w:space="0" w:color="000000"/>
            </w:tcBorders>
          </w:tcPr>
          <w:p>
            <w:pPr>
              <w:pStyle w:val="TableParagraph"/>
              <w:spacing w:before="62"/>
              <w:ind w:left="76"/>
              <w:jc w:val="left"/>
              <w:rPr>
                <w:sz w:val="18"/>
              </w:rPr>
            </w:pPr>
            <w:r>
              <w:rPr>
                <w:spacing w:val="-2"/>
                <w:sz w:val="18"/>
              </w:rPr>
              <w:t>IKEMS</w:t>
            </w:r>
          </w:p>
        </w:tc>
      </w:tr>
      <w:tr>
        <w:trPr>
          <w:trHeight w:val="537" w:hRule="atLeast"/>
        </w:trPr>
        <w:tc>
          <w:tcPr>
            <w:tcW w:w="1358" w:type="dxa"/>
            <w:tcBorders>
              <w:top w:val="single" w:sz="4" w:space="0" w:color="000000"/>
              <w:bottom w:val="single" w:sz="4" w:space="0" w:color="000000"/>
            </w:tcBorders>
          </w:tcPr>
          <w:p>
            <w:pPr>
              <w:pStyle w:val="TableParagraph"/>
              <w:spacing w:before="62"/>
              <w:ind w:left="174"/>
              <w:jc w:val="center"/>
              <w:rPr>
                <w:sz w:val="18"/>
              </w:rPr>
            </w:pPr>
            <w:r>
              <w:rPr>
                <w:w w:val="101"/>
                <w:sz w:val="18"/>
              </w:rPr>
              <w:t>1</w:t>
            </w:r>
          </w:p>
        </w:tc>
        <w:tc>
          <w:tcPr>
            <w:tcW w:w="822" w:type="dxa"/>
            <w:tcBorders>
              <w:top w:val="single" w:sz="4" w:space="0" w:color="000000"/>
              <w:bottom w:val="single" w:sz="4" w:space="0" w:color="000000"/>
            </w:tcBorders>
          </w:tcPr>
          <w:p>
            <w:pPr>
              <w:pStyle w:val="TableParagraph"/>
              <w:spacing w:before="62"/>
              <w:ind w:left="144"/>
              <w:jc w:val="left"/>
              <w:rPr>
                <w:sz w:val="18"/>
              </w:rPr>
            </w:pPr>
            <w:r>
              <w:rPr>
                <w:sz w:val="18"/>
              </w:rPr>
              <w:t>P-</w:t>
            </w:r>
            <w:r>
              <w:rPr>
                <w:spacing w:val="-10"/>
                <w:sz w:val="18"/>
              </w:rPr>
              <w:t>3</w:t>
            </w:r>
          </w:p>
        </w:tc>
        <w:tc>
          <w:tcPr>
            <w:tcW w:w="2213" w:type="dxa"/>
            <w:tcBorders>
              <w:top w:val="single" w:sz="4" w:space="0" w:color="000000"/>
              <w:bottom w:val="single" w:sz="4" w:space="0" w:color="000000"/>
            </w:tcBorders>
          </w:tcPr>
          <w:p>
            <w:pPr>
              <w:pStyle w:val="TableParagraph"/>
              <w:spacing w:before="62"/>
              <w:ind w:left="144" w:right="206"/>
              <w:jc w:val="left"/>
              <w:rPr>
                <w:sz w:val="18"/>
              </w:rPr>
            </w:pPr>
            <w:r>
              <w:rPr>
                <w:sz w:val="18"/>
              </w:rPr>
              <w:t>International</w:t>
            </w:r>
            <w:r>
              <w:rPr>
                <w:spacing w:val="-12"/>
                <w:sz w:val="18"/>
              </w:rPr>
              <w:t> </w:t>
            </w:r>
            <w:r>
              <w:rPr>
                <w:sz w:val="18"/>
              </w:rPr>
              <w:t>Cooperation </w:t>
            </w:r>
            <w:r>
              <w:rPr>
                <w:spacing w:val="-2"/>
                <w:sz w:val="18"/>
              </w:rPr>
              <w:t>Adviser</w:t>
            </w:r>
          </w:p>
        </w:tc>
        <w:tc>
          <w:tcPr>
            <w:tcW w:w="2537" w:type="dxa"/>
            <w:tcBorders>
              <w:top w:val="single" w:sz="4" w:space="0" w:color="000000"/>
              <w:bottom w:val="single" w:sz="4" w:space="0" w:color="000000"/>
            </w:tcBorders>
          </w:tcPr>
          <w:p>
            <w:pPr>
              <w:pStyle w:val="TableParagraph"/>
              <w:spacing w:before="62"/>
              <w:ind w:left="53"/>
              <w:jc w:val="left"/>
              <w:rPr>
                <w:sz w:val="18"/>
              </w:rPr>
            </w:pPr>
            <w:r>
              <w:rPr>
                <w:sz w:val="18"/>
              </w:rPr>
              <w:t>Unified</w:t>
            </w:r>
            <w:r>
              <w:rPr>
                <w:spacing w:val="-8"/>
                <w:sz w:val="18"/>
              </w:rPr>
              <w:t> </w:t>
            </w:r>
            <w:r>
              <w:rPr>
                <w:sz w:val="18"/>
              </w:rPr>
              <w:t>teams</w:t>
            </w:r>
            <w:r>
              <w:rPr>
                <w:spacing w:val="-2"/>
                <w:sz w:val="18"/>
              </w:rPr>
              <w:t> </w:t>
            </w:r>
            <w:r>
              <w:rPr>
                <w:spacing w:val="-4"/>
                <w:sz w:val="18"/>
              </w:rPr>
              <w:t>(B2)</w:t>
            </w:r>
          </w:p>
        </w:tc>
        <w:tc>
          <w:tcPr>
            <w:tcW w:w="2774" w:type="dxa"/>
            <w:tcBorders>
              <w:top w:val="single" w:sz="4" w:space="0" w:color="000000"/>
              <w:bottom w:val="single" w:sz="4" w:space="0" w:color="000000"/>
            </w:tcBorders>
          </w:tcPr>
          <w:p>
            <w:pPr>
              <w:pStyle w:val="TableParagraph"/>
              <w:spacing w:before="62"/>
              <w:ind w:left="76"/>
              <w:jc w:val="left"/>
              <w:rPr>
                <w:sz w:val="18"/>
              </w:rPr>
            </w:pPr>
            <w:r>
              <w:rPr>
                <w:sz w:val="18"/>
              </w:rPr>
              <w:t>Unified</w:t>
            </w:r>
            <w:r>
              <w:rPr>
                <w:spacing w:val="-8"/>
                <w:sz w:val="18"/>
              </w:rPr>
              <w:t> </w:t>
            </w:r>
            <w:r>
              <w:rPr>
                <w:sz w:val="18"/>
              </w:rPr>
              <w:t>teams</w:t>
            </w:r>
            <w:r>
              <w:rPr>
                <w:spacing w:val="-2"/>
                <w:sz w:val="18"/>
              </w:rPr>
              <w:t> </w:t>
            </w:r>
            <w:r>
              <w:rPr>
                <w:spacing w:val="-4"/>
                <w:sz w:val="18"/>
              </w:rPr>
              <w:t>(B1)</w:t>
            </w:r>
          </w:p>
        </w:tc>
      </w:tr>
      <w:tr>
        <w:trPr>
          <w:trHeight w:val="532" w:hRule="atLeast"/>
        </w:trPr>
        <w:tc>
          <w:tcPr>
            <w:tcW w:w="1358" w:type="dxa"/>
            <w:tcBorders>
              <w:top w:val="single" w:sz="4" w:space="0" w:color="000000"/>
              <w:bottom w:val="single" w:sz="4" w:space="0" w:color="000000"/>
            </w:tcBorders>
          </w:tcPr>
          <w:p>
            <w:pPr>
              <w:pStyle w:val="TableParagraph"/>
              <w:spacing w:before="62"/>
              <w:ind w:left="174"/>
              <w:jc w:val="center"/>
              <w:rPr>
                <w:sz w:val="18"/>
              </w:rPr>
            </w:pPr>
            <w:r>
              <w:rPr>
                <w:w w:val="101"/>
                <w:sz w:val="18"/>
              </w:rPr>
              <w:t>1</w:t>
            </w:r>
          </w:p>
        </w:tc>
        <w:tc>
          <w:tcPr>
            <w:tcW w:w="822" w:type="dxa"/>
            <w:tcBorders>
              <w:top w:val="single" w:sz="4" w:space="0" w:color="000000"/>
              <w:bottom w:val="single" w:sz="4" w:space="0" w:color="000000"/>
            </w:tcBorders>
          </w:tcPr>
          <w:p>
            <w:pPr>
              <w:pStyle w:val="TableParagraph"/>
              <w:spacing w:before="62"/>
              <w:ind w:left="144"/>
              <w:jc w:val="left"/>
              <w:rPr>
                <w:sz w:val="18"/>
              </w:rPr>
            </w:pPr>
            <w:r>
              <w:rPr>
                <w:sz w:val="18"/>
              </w:rPr>
              <w:t>P-</w:t>
            </w:r>
            <w:r>
              <w:rPr>
                <w:spacing w:val="-10"/>
                <w:sz w:val="18"/>
              </w:rPr>
              <w:t>3</w:t>
            </w:r>
          </w:p>
        </w:tc>
        <w:tc>
          <w:tcPr>
            <w:tcW w:w="2213" w:type="dxa"/>
            <w:tcBorders>
              <w:top w:val="single" w:sz="4" w:space="0" w:color="000000"/>
              <w:bottom w:val="single" w:sz="4" w:space="0" w:color="000000"/>
            </w:tcBorders>
          </w:tcPr>
          <w:p>
            <w:pPr>
              <w:pStyle w:val="TableParagraph"/>
              <w:spacing w:before="57"/>
              <w:ind w:left="144" w:right="206"/>
              <w:jc w:val="left"/>
              <w:rPr>
                <w:sz w:val="18"/>
              </w:rPr>
            </w:pPr>
            <w:r>
              <w:rPr>
                <w:sz w:val="18"/>
              </w:rPr>
              <w:t>International</w:t>
            </w:r>
            <w:r>
              <w:rPr>
                <w:spacing w:val="-12"/>
                <w:sz w:val="18"/>
              </w:rPr>
              <w:t> </w:t>
            </w:r>
            <w:r>
              <w:rPr>
                <w:sz w:val="18"/>
              </w:rPr>
              <w:t>Cooperation </w:t>
            </w:r>
            <w:r>
              <w:rPr>
                <w:spacing w:val="-2"/>
                <w:sz w:val="18"/>
              </w:rPr>
              <w:t>Adviser</w:t>
            </w:r>
          </w:p>
        </w:tc>
        <w:tc>
          <w:tcPr>
            <w:tcW w:w="2537" w:type="dxa"/>
            <w:tcBorders>
              <w:top w:val="single" w:sz="4" w:space="0" w:color="000000"/>
              <w:bottom w:val="single" w:sz="4" w:space="0" w:color="000000"/>
            </w:tcBorders>
          </w:tcPr>
          <w:p>
            <w:pPr>
              <w:pStyle w:val="TableParagraph"/>
              <w:spacing w:before="62"/>
              <w:ind w:left="53"/>
              <w:jc w:val="left"/>
              <w:rPr>
                <w:sz w:val="18"/>
              </w:rPr>
            </w:pPr>
            <w:r>
              <w:rPr>
                <w:sz w:val="18"/>
              </w:rPr>
              <w:t>Unified</w:t>
            </w:r>
            <w:r>
              <w:rPr>
                <w:spacing w:val="-6"/>
                <w:sz w:val="18"/>
              </w:rPr>
              <w:t> </w:t>
            </w:r>
            <w:r>
              <w:rPr>
                <w:spacing w:val="-2"/>
                <w:sz w:val="18"/>
              </w:rPr>
              <w:t>teams</w:t>
            </w:r>
          </w:p>
        </w:tc>
        <w:tc>
          <w:tcPr>
            <w:tcW w:w="2774" w:type="dxa"/>
            <w:tcBorders>
              <w:top w:val="single" w:sz="4" w:space="0" w:color="000000"/>
              <w:bottom w:val="single" w:sz="4" w:space="0" w:color="000000"/>
            </w:tcBorders>
          </w:tcPr>
          <w:p>
            <w:pPr>
              <w:pStyle w:val="TableParagraph"/>
              <w:spacing w:before="62"/>
              <w:ind w:left="76"/>
              <w:jc w:val="left"/>
              <w:rPr>
                <w:sz w:val="18"/>
              </w:rPr>
            </w:pPr>
            <w:r>
              <w:rPr>
                <w:sz w:val="18"/>
              </w:rPr>
              <w:t>Unified</w:t>
            </w:r>
            <w:r>
              <w:rPr>
                <w:spacing w:val="-4"/>
                <w:sz w:val="18"/>
              </w:rPr>
              <w:t> </w:t>
            </w:r>
            <w:r>
              <w:rPr>
                <w:sz w:val="18"/>
              </w:rPr>
              <w:t>Team</w:t>
            </w:r>
            <w:r>
              <w:rPr>
                <w:spacing w:val="-1"/>
                <w:sz w:val="18"/>
              </w:rPr>
              <w:t> </w:t>
            </w:r>
            <w:r>
              <w:rPr>
                <w:color w:val="1F487C"/>
                <w:sz w:val="20"/>
              </w:rPr>
              <w:t>–</w:t>
            </w:r>
            <w:r>
              <w:rPr>
                <w:color w:val="1F487C"/>
                <w:spacing w:val="-4"/>
                <w:sz w:val="20"/>
              </w:rPr>
              <w:t> </w:t>
            </w:r>
            <w:r>
              <w:rPr>
                <w:spacing w:val="-2"/>
                <w:sz w:val="18"/>
              </w:rPr>
              <w:t>Ukraine</w:t>
            </w:r>
          </w:p>
        </w:tc>
      </w:tr>
      <w:tr>
        <w:trPr>
          <w:trHeight w:val="325" w:hRule="atLeast"/>
        </w:trPr>
        <w:tc>
          <w:tcPr>
            <w:tcW w:w="1358" w:type="dxa"/>
            <w:tcBorders>
              <w:top w:val="single" w:sz="4" w:space="0" w:color="000000"/>
              <w:bottom w:val="single" w:sz="4" w:space="0" w:color="000000"/>
            </w:tcBorders>
          </w:tcPr>
          <w:p>
            <w:pPr>
              <w:pStyle w:val="TableParagraph"/>
              <w:spacing w:before="62"/>
              <w:ind w:left="174"/>
              <w:jc w:val="center"/>
              <w:rPr>
                <w:sz w:val="18"/>
              </w:rPr>
            </w:pPr>
            <w:r>
              <w:rPr>
                <w:w w:val="101"/>
                <w:sz w:val="18"/>
              </w:rPr>
              <w:t>2</w:t>
            </w:r>
          </w:p>
        </w:tc>
        <w:tc>
          <w:tcPr>
            <w:tcW w:w="822" w:type="dxa"/>
            <w:tcBorders>
              <w:top w:val="single" w:sz="4" w:space="0" w:color="000000"/>
              <w:bottom w:val="single" w:sz="4" w:space="0" w:color="000000"/>
            </w:tcBorders>
          </w:tcPr>
          <w:p>
            <w:pPr>
              <w:pStyle w:val="TableParagraph"/>
              <w:spacing w:before="62"/>
              <w:ind w:left="144"/>
              <w:jc w:val="left"/>
              <w:rPr>
                <w:sz w:val="18"/>
              </w:rPr>
            </w:pPr>
            <w:r>
              <w:rPr>
                <w:sz w:val="18"/>
              </w:rPr>
              <w:t>P-</w:t>
            </w:r>
            <w:r>
              <w:rPr>
                <w:spacing w:val="-10"/>
                <w:sz w:val="18"/>
              </w:rPr>
              <w:t>3</w:t>
            </w:r>
          </w:p>
        </w:tc>
        <w:tc>
          <w:tcPr>
            <w:tcW w:w="2213" w:type="dxa"/>
            <w:tcBorders>
              <w:top w:val="single" w:sz="4" w:space="0" w:color="000000"/>
              <w:bottom w:val="single" w:sz="4" w:space="0" w:color="000000"/>
            </w:tcBorders>
          </w:tcPr>
          <w:p>
            <w:pPr>
              <w:pStyle w:val="TableParagraph"/>
              <w:spacing w:before="62"/>
              <w:ind w:left="144"/>
              <w:jc w:val="left"/>
              <w:rPr>
                <w:sz w:val="18"/>
              </w:rPr>
            </w:pPr>
            <w:r>
              <w:rPr>
                <w:spacing w:val="-2"/>
                <w:sz w:val="18"/>
              </w:rPr>
              <w:t>Investigator</w:t>
            </w:r>
          </w:p>
        </w:tc>
        <w:tc>
          <w:tcPr>
            <w:tcW w:w="2537" w:type="dxa"/>
            <w:tcBorders>
              <w:top w:val="single" w:sz="4" w:space="0" w:color="000000"/>
              <w:bottom w:val="single" w:sz="4" w:space="0" w:color="000000"/>
            </w:tcBorders>
          </w:tcPr>
          <w:p>
            <w:pPr>
              <w:pStyle w:val="TableParagraph"/>
              <w:spacing w:before="62"/>
              <w:ind w:left="53"/>
              <w:jc w:val="left"/>
              <w:rPr>
                <w:sz w:val="18"/>
              </w:rPr>
            </w:pPr>
            <w:r>
              <w:rPr>
                <w:sz w:val="18"/>
              </w:rPr>
              <w:t>Unified</w:t>
            </w:r>
            <w:r>
              <w:rPr>
                <w:spacing w:val="-8"/>
                <w:sz w:val="18"/>
              </w:rPr>
              <w:t> </w:t>
            </w:r>
            <w:r>
              <w:rPr>
                <w:sz w:val="18"/>
              </w:rPr>
              <w:t>teams</w:t>
            </w:r>
            <w:r>
              <w:rPr>
                <w:spacing w:val="-2"/>
                <w:sz w:val="18"/>
              </w:rPr>
              <w:t> </w:t>
            </w:r>
            <w:r>
              <w:rPr>
                <w:spacing w:val="-4"/>
                <w:sz w:val="18"/>
              </w:rPr>
              <w:t>(B2)</w:t>
            </w:r>
          </w:p>
        </w:tc>
        <w:tc>
          <w:tcPr>
            <w:tcW w:w="2774" w:type="dxa"/>
            <w:tcBorders>
              <w:top w:val="single" w:sz="4" w:space="0" w:color="000000"/>
              <w:bottom w:val="single" w:sz="4" w:space="0" w:color="000000"/>
            </w:tcBorders>
          </w:tcPr>
          <w:p>
            <w:pPr>
              <w:pStyle w:val="TableParagraph"/>
              <w:spacing w:before="62"/>
              <w:ind w:left="76"/>
              <w:jc w:val="left"/>
              <w:rPr>
                <w:sz w:val="18"/>
              </w:rPr>
            </w:pPr>
            <w:r>
              <w:rPr>
                <w:sz w:val="18"/>
              </w:rPr>
              <w:t>Unified</w:t>
            </w:r>
            <w:r>
              <w:rPr>
                <w:spacing w:val="-8"/>
                <w:sz w:val="18"/>
              </w:rPr>
              <w:t> </w:t>
            </w:r>
            <w:r>
              <w:rPr>
                <w:sz w:val="18"/>
              </w:rPr>
              <w:t>teams</w:t>
            </w:r>
            <w:r>
              <w:rPr>
                <w:spacing w:val="-2"/>
                <w:sz w:val="18"/>
              </w:rPr>
              <w:t> </w:t>
            </w:r>
            <w:r>
              <w:rPr>
                <w:spacing w:val="-4"/>
                <w:sz w:val="18"/>
              </w:rPr>
              <w:t>(B1)</w:t>
            </w:r>
          </w:p>
        </w:tc>
      </w:tr>
      <w:tr>
        <w:trPr>
          <w:trHeight w:val="326" w:hRule="atLeast"/>
        </w:trPr>
        <w:tc>
          <w:tcPr>
            <w:tcW w:w="1358" w:type="dxa"/>
            <w:tcBorders>
              <w:top w:val="single" w:sz="4" w:space="0" w:color="000000"/>
              <w:bottom w:val="single" w:sz="4" w:space="0" w:color="000000"/>
            </w:tcBorders>
          </w:tcPr>
          <w:p>
            <w:pPr>
              <w:pStyle w:val="TableParagraph"/>
              <w:spacing w:before="62"/>
              <w:ind w:left="174"/>
              <w:jc w:val="center"/>
              <w:rPr>
                <w:sz w:val="18"/>
              </w:rPr>
            </w:pPr>
            <w:r>
              <w:rPr>
                <w:w w:val="101"/>
                <w:sz w:val="18"/>
              </w:rPr>
              <w:t>1</w:t>
            </w:r>
          </w:p>
        </w:tc>
        <w:tc>
          <w:tcPr>
            <w:tcW w:w="822" w:type="dxa"/>
            <w:tcBorders>
              <w:top w:val="single" w:sz="4" w:space="0" w:color="000000"/>
              <w:bottom w:val="single" w:sz="4" w:space="0" w:color="000000"/>
            </w:tcBorders>
          </w:tcPr>
          <w:p>
            <w:pPr>
              <w:pStyle w:val="TableParagraph"/>
              <w:spacing w:before="62"/>
              <w:ind w:left="144"/>
              <w:jc w:val="left"/>
              <w:rPr>
                <w:sz w:val="18"/>
              </w:rPr>
            </w:pPr>
            <w:r>
              <w:rPr>
                <w:sz w:val="18"/>
              </w:rPr>
              <w:t>P-</w:t>
            </w:r>
            <w:r>
              <w:rPr>
                <w:spacing w:val="-10"/>
                <w:sz w:val="18"/>
              </w:rPr>
              <w:t>3</w:t>
            </w:r>
          </w:p>
        </w:tc>
        <w:tc>
          <w:tcPr>
            <w:tcW w:w="2213" w:type="dxa"/>
            <w:tcBorders>
              <w:top w:val="single" w:sz="4" w:space="0" w:color="000000"/>
              <w:bottom w:val="single" w:sz="4" w:space="0" w:color="000000"/>
            </w:tcBorders>
          </w:tcPr>
          <w:p>
            <w:pPr>
              <w:pStyle w:val="TableParagraph"/>
              <w:spacing w:before="62"/>
              <w:ind w:left="144"/>
              <w:jc w:val="left"/>
              <w:rPr>
                <w:sz w:val="18"/>
              </w:rPr>
            </w:pPr>
            <w:r>
              <w:rPr>
                <w:sz w:val="18"/>
              </w:rPr>
              <w:t>Trial</w:t>
            </w:r>
            <w:r>
              <w:rPr>
                <w:spacing w:val="-1"/>
                <w:sz w:val="18"/>
              </w:rPr>
              <w:t> </w:t>
            </w:r>
            <w:r>
              <w:rPr>
                <w:spacing w:val="-2"/>
                <w:sz w:val="18"/>
              </w:rPr>
              <w:t>Lawyer</w:t>
            </w:r>
          </w:p>
        </w:tc>
        <w:tc>
          <w:tcPr>
            <w:tcW w:w="2537" w:type="dxa"/>
            <w:tcBorders>
              <w:top w:val="single" w:sz="4" w:space="0" w:color="000000"/>
              <w:bottom w:val="single" w:sz="4" w:space="0" w:color="000000"/>
            </w:tcBorders>
          </w:tcPr>
          <w:p>
            <w:pPr>
              <w:pStyle w:val="TableParagraph"/>
              <w:spacing w:before="62"/>
              <w:ind w:left="53"/>
              <w:jc w:val="left"/>
              <w:rPr>
                <w:sz w:val="18"/>
              </w:rPr>
            </w:pPr>
            <w:r>
              <w:rPr>
                <w:sz w:val="18"/>
              </w:rPr>
              <w:t>Unified</w:t>
            </w:r>
            <w:r>
              <w:rPr>
                <w:spacing w:val="-8"/>
                <w:sz w:val="18"/>
              </w:rPr>
              <w:t> </w:t>
            </w:r>
            <w:r>
              <w:rPr>
                <w:sz w:val="18"/>
              </w:rPr>
              <w:t>teams</w:t>
            </w:r>
            <w:r>
              <w:rPr>
                <w:spacing w:val="-2"/>
                <w:sz w:val="18"/>
              </w:rPr>
              <w:t> </w:t>
            </w:r>
            <w:r>
              <w:rPr>
                <w:spacing w:val="-4"/>
                <w:sz w:val="18"/>
              </w:rPr>
              <w:t>(B2)</w:t>
            </w:r>
          </w:p>
        </w:tc>
        <w:tc>
          <w:tcPr>
            <w:tcW w:w="2774" w:type="dxa"/>
            <w:tcBorders>
              <w:top w:val="single" w:sz="4" w:space="0" w:color="000000"/>
              <w:bottom w:val="single" w:sz="4" w:space="0" w:color="000000"/>
            </w:tcBorders>
          </w:tcPr>
          <w:p>
            <w:pPr>
              <w:pStyle w:val="TableParagraph"/>
              <w:spacing w:before="62"/>
              <w:ind w:left="76"/>
              <w:jc w:val="left"/>
              <w:rPr>
                <w:sz w:val="18"/>
              </w:rPr>
            </w:pPr>
            <w:r>
              <w:rPr>
                <w:sz w:val="18"/>
              </w:rPr>
              <w:t>Unified</w:t>
            </w:r>
            <w:r>
              <w:rPr>
                <w:spacing w:val="-8"/>
                <w:sz w:val="18"/>
              </w:rPr>
              <w:t> </w:t>
            </w:r>
            <w:r>
              <w:rPr>
                <w:sz w:val="18"/>
              </w:rPr>
              <w:t>teams</w:t>
            </w:r>
            <w:r>
              <w:rPr>
                <w:spacing w:val="-2"/>
                <w:sz w:val="18"/>
              </w:rPr>
              <w:t> </w:t>
            </w:r>
            <w:r>
              <w:rPr>
                <w:spacing w:val="-4"/>
                <w:sz w:val="18"/>
              </w:rPr>
              <w:t>(B1)</w:t>
            </w:r>
          </w:p>
        </w:tc>
      </w:tr>
      <w:tr>
        <w:trPr>
          <w:trHeight w:val="350" w:hRule="atLeast"/>
        </w:trPr>
        <w:tc>
          <w:tcPr>
            <w:tcW w:w="1358" w:type="dxa"/>
            <w:tcBorders>
              <w:top w:val="single" w:sz="4" w:space="0" w:color="000000"/>
              <w:bottom w:val="single" w:sz="4" w:space="0" w:color="000000"/>
            </w:tcBorders>
          </w:tcPr>
          <w:p>
            <w:pPr>
              <w:pStyle w:val="TableParagraph"/>
              <w:spacing w:before="67"/>
              <w:ind w:left="174"/>
              <w:jc w:val="center"/>
              <w:rPr>
                <w:sz w:val="18"/>
              </w:rPr>
            </w:pPr>
            <w:r>
              <w:rPr>
                <w:w w:val="101"/>
                <w:sz w:val="18"/>
              </w:rPr>
              <w:t>4</w:t>
            </w:r>
          </w:p>
        </w:tc>
        <w:tc>
          <w:tcPr>
            <w:tcW w:w="822" w:type="dxa"/>
            <w:tcBorders>
              <w:top w:val="single" w:sz="4" w:space="0" w:color="000000"/>
              <w:bottom w:val="single" w:sz="4" w:space="0" w:color="000000"/>
            </w:tcBorders>
          </w:tcPr>
          <w:p>
            <w:pPr>
              <w:pStyle w:val="TableParagraph"/>
              <w:spacing w:before="67"/>
              <w:ind w:left="144"/>
              <w:jc w:val="left"/>
              <w:rPr>
                <w:sz w:val="18"/>
              </w:rPr>
            </w:pPr>
            <w:r>
              <w:rPr>
                <w:sz w:val="18"/>
              </w:rPr>
              <w:t>P-</w:t>
            </w:r>
            <w:r>
              <w:rPr>
                <w:spacing w:val="-10"/>
                <w:sz w:val="18"/>
              </w:rPr>
              <w:t>2</w:t>
            </w:r>
          </w:p>
        </w:tc>
        <w:tc>
          <w:tcPr>
            <w:tcW w:w="2213" w:type="dxa"/>
            <w:tcBorders>
              <w:top w:val="single" w:sz="4" w:space="0" w:color="000000"/>
              <w:bottom w:val="single" w:sz="4" w:space="0" w:color="000000"/>
            </w:tcBorders>
          </w:tcPr>
          <w:p>
            <w:pPr>
              <w:pStyle w:val="TableParagraph"/>
              <w:spacing w:before="67"/>
              <w:ind w:left="144"/>
              <w:jc w:val="left"/>
              <w:rPr>
                <w:sz w:val="18"/>
              </w:rPr>
            </w:pPr>
            <w:r>
              <w:rPr>
                <w:sz w:val="18"/>
              </w:rPr>
              <w:t>Associate</w:t>
            </w:r>
            <w:r>
              <w:rPr>
                <w:spacing w:val="-7"/>
                <w:sz w:val="18"/>
              </w:rPr>
              <w:t> </w:t>
            </w:r>
            <w:r>
              <w:rPr>
                <w:spacing w:val="-2"/>
                <w:sz w:val="18"/>
              </w:rPr>
              <w:t>Investigator</w:t>
            </w:r>
          </w:p>
        </w:tc>
        <w:tc>
          <w:tcPr>
            <w:tcW w:w="2537" w:type="dxa"/>
            <w:tcBorders>
              <w:top w:val="single" w:sz="4" w:space="0" w:color="000000"/>
              <w:bottom w:val="single" w:sz="4" w:space="0" w:color="000000"/>
            </w:tcBorders>
          </w:tcPr>
          <w:p>
            <w:pPr>
              <w:pStyle w:val="TableParagraph"/>
              <w:spacing w:before="67"/>
              <w:ind w:left="53"/>
              <w:jc w:val="left"/>
              <w:rPr>
                <w:sz w:val="18"/>
              </w:rPr>
            </w:pPr>
            <w:r>
              <w:rPr>
                <w:sz w:val="18"/>
              </w:rPr>
              <w:t>Unified</w:t>
            </w:r>
            <w:r>
              <w:rPr>
                <w:spacing w:val="-6"/>
                <w:sz w:val="18"/>
              </w:rPr>
              <w:t> </w:t>
            </w:r>
            <w:r>
              <w:rPr>
                <w:spacing w:val="-2"/>
                <w:sz w:val="18"/>
              </w:rPr>
              <w:t>teams</w:t>
            </w:r>
          </w:p>
        </w:tc>
        <w:tc>
          <w:tcPr>
            <w:tcW w:w="2774" w:type="dxa"/>
            <w:tcBorders>
              <w:top w:val="single" w:sz="4" w:space="0" w:color="000000"/>
              <w:bottom w:val="single" w:sz="4" w:space="0" w:color="000000"/>
            </w:tcBorders>
          </w:tcPr>
          <w:p>
            <w:pPr>
              <w:pStyle w:val="TableParagraph"/>
              <w:spacing w:before="67"/>
              <w:ind w:left="76"/>
              <w:jc w:val="left"/>
              <w:rPr>
                <w:sz w:val="18"/>
              </w:rPr>
            </w:pPr>
            <w:r>
              <w:rPr>
                <w:sz w:val="18"/>
              </w:rPr>
              <w:t>Unified</w:t>
            </w:r>
            <w:r>
              <w:rPr>
                <w:spacing w:val="-4"/>
                <w:sz w:val="18"/>
              </w:rPr>
              <w:t> </w:t>
            </w:r>
            <w:r>
              <w:rPr>
                <w:sz w:val="18"/>
              </w:rPr>
              <w:t>Team</w:t>
            </w:r>
            <w:r>
              <w:rPr>
                <w:spacing w:val="-1"/>
                <w:sz w:val="18"/>
              </w:rPr>
              <w:t> </w:t>
            </w:r>
            <w:r>
              <w:rPr>
                <w:color w:val="1F487C"/>
                <w:sz w:val="20"/>
              </w:rPr>
              <w:t>–</w:t>
            </w:r>
            <w:r>
              <w:rPr>
                <w:color w:val="1F487C"/>
                <w:spacing w:val="-4"/>
                <w:sz w:val="20"/>
              </w:rPr>
              <w:t> </w:t>
            </w:r>
            <w:r>
              <w:rPr>
                <w:spacing w:val="-2"/>
                <w:sz w:val="18"/>
              </w:rPr>
              <w:t>Ukraine</w:t>
            </w:r>
          </w:p>
        </w:tc>
      </w:tr>
      <w:tr>
        <w:trPr>
          <w:trHeight w:val="330" w:hRule="atLeast"/>
        </w:trPr>
        <w:tc>
          <w:tcPr>
            <w:tcW w:w="1358" w:type="dxa"/>
            <w:tcBorders>
              <w:top w:val="single" w:sz="4" w:space="0" w:color="000000"/>
              <w:bottom w:val="single" w:sz="4" w:space="0" w:color="000000"/>
            </w:tcBorders>
          </w:tcPr>
          <w:p>
            <w:pPr>
              <w:pStyle w:val="TableParagraph"/>
              <w:spacing w:before="67"/>
              <w:ind w:left="174"/>
              <w:jc w:val="center"/>
              <w:rPr>
                <w:sz w:val="18"/>
              </w:rPr>
            </w:pPr>
            <w:r>
              <w:rPr>
                <w:w w:val="101"/>
                <w:sz w:val="18"/>
              </w:rPr>
              <w:t>3</w:t>
            </w:r>
          </w:p>
        </w:tc>
        <w:tc>
          <w:tcPr>
            <w:tcW w:w="822" w:type="dxa"/>
            <w:tcBorders>
              <w:top w:val="single" w:sz="4" w:space="0" w:color="000000"/>
              <w:bottom w:val="single" w:sz="4" w:space="0" w:color="000000"/>
            </w:tcBorders>
          </w:tcPr>
          <w:p>
            <w:pPr>
              <w:pStyle w:val="TableParagraph"/>
              <w:spacing w:before="67"/>
              <w:ind w:left="144"/>
              <w:jc w:val="left"/>
              <w:rPr>
                <w:sz w:val="18"/>
              </w:rPr>
            </w:pPr>
            <w:r>
              <w:rPr>
                <w:sz w:val="18"/>
              </w:rPr>
              <w:t>P-</w:t>
            </w:r>
            <w:r>
              <w:rPr>
                <w:spacing w:val="-10"/>
                <w:sz w:val="18"/>
              </w:rPr>
              <w:t>2</w:t>
            </w:r>
          </w:p>
        </w:tc>
        <w:tc>
          <w:tcPr>
            <w:tcW w:w="2213" w:type="dxa"/>
            <w:tcBorders>
              <w:top w:val="single" w:sz="4" w:space="0" w:color="000000"/>
              <w:bottom w:val="single" w:sz="4" w:space="0" w:color="000000"/>
            </w:tcBorders>
          </w:tcPr>
          <w:p>
            <w:pPr>
              <w:pStyle w:val="TableParagraph"/>
              <w:spacing w:before="67"/>
              <w:ind w:left="144"/>
              <w:jc w:val="left"/>
              <w:rPr>
                <w:sz w:val="18"/>
              </w:rPr>
            </w:pPr>
            <w:r>
              <w:rPr>
                <w:sz w:val="18"/>
              </w:rPr>
              <w:t>Associate</w:t>
            </w:r>
            <w:r>
              <w:rPr>
                <w:spacing w:val="-7"/>
                <w:sz w:val="18"/>
              </w:rPr>
              <w:t> </w:t>
            </w:r>
            <w:r>
              <w:rPr>
                <w:spacing w:val="-2"/>
                <w:sz w:val="18"/>
              </w:rPr>
              <w:t>Investigator</w:t>
            </w:r>
          </w:p>
        </w:tc>
        <w:tc>
          <w:tcPr>
            <w:tcW w:w="2537" w:type="dxa"/>
            <w:tcBorders>
              <w:top w:val="single" w:sz="4" w:space="0" w:color="000000"/>
              <w:bottom w:val="single" w:sz="4" w:space="0" w:color="000000"/>
            </w:tcBorders>
          </w:tcPr>
          <w:p>
            <w:pPr>
              <w:pStyle w:val="TableParagraph"/>
              <w:spacing w:before="67"/>
              <w:ind w:left="53"/>
              <w:jc w:val="left"/>
              <w:rPr>
                <w:sz w:val="18"/>
              </w:rPr>
            </w:pPr>
            <w:r>
              <w:rPr>
                <w:sz w:val="18"/>
              </w:rPr>
              <w:t>Unified</w:t>
            </w:r>
            <w:r>
              <w:rPr>
                <w:spacing w:val="-8"/>
                <w:sz w:val="18"/>
              </w:rPr>
              <w:t> </w:t>
            </w:r>
            <w:r>
              <w:rPr>
                <w:sz w:val="18"/>
              </w:rPr>
              <w:t>teams</w:t>
            </w:r>
            <w:r>
              <w:rPr>
                <w:spacing w:val="-2"/>
                <w:sz w:val="18"/>
              </w:rPr>
              <w:t> </w:t>
            </w:r>
            <w:r>
              <w:rPr>
                <w:spacing w:val="-4"/>
                <w:sz w:val="18"/>
              </w:rPr>
              <w:t>(B2)</w:t>
            </w:r>
          </w:p>
        </w:tc>
        <w:tc>
          <w:tcPr>
            <w:tcW w:w="2774" w:type="dxa"/>
            <w:tcBorders>
              <w:top w:val="single" w:sz="4" w:space="0" w:color="000000"/>
              <w:bottom w:val="single" w:sz="4" w:space="0" w:color="000000"/>
            </w:tcBorders>
          </w:tcPr>
          <w:p>
            <w:pPr>
              <w:pStyle w:val="TableParagraph"/>
              <w:spacing w:before="67"/>
              <w:ind w:left="76"/>
              <w:jc w:val="left"/>
              <w:rPr>
                <w:sz w:val="18"/>
              </w:rPr>
            </w:pPr>
            <w:r>
              <w:rPr>
                <w:sz w:val="18"/>
              </w:rPr>
              <w:t>Unified</w:t>
            </w:r>
            <w:r>
              <w:rPr>
                <w:spacing w:val="-8"/>
                <w:sz w:val="18"/>
              </w:rPr>
              <w:t> </w:t>
            </w:r>
            <w:r>
              <w:rPr>
                <w:sz w:val="18"/>
              </w:rPr>
              <w:t>teams</w:t>
            </w:r>
            <w:r>
              <w:rPr>
                <w:spacing w:val="-2"/>
                <w:sz w:val="18"/>
              </w:rPr>
              <w:t> </w:t>
            </w:r>
            <w:r>
              <w:rPr>
                <w:spacing w:val="-4"/>
                <w:sz w:val="18"/>
              </w:rPr>
              <w:t>(B1)</w:t>
            </w:r>
          </w:p>
        </w:tc>
      </w:tr>
      <w:tr>
        <w:trPr>
          <w:trHeight w:val="350" w:hRule="atLeast"/>
        </w:trPr>
        <w:tc>
          <w:tcPr>
            <w:tcW w:w="1358" w:type="dxa"/>
            <w:tcBorders>
              <w:top w:val="single" w:sz="4" w:space="0" w:color="000000"/>
              <w:bottom w:val="single" w:sz="4" w:space="0" w:color="000000"/>
            </w:tcBorders>
          </w:tcPr>
          <w:p>
            <w:pPr>
              <w:pStyle w:val="TableParagraph"/>
              <w:spacing w:before="62"/>
              <w:ind w:left="174"/>
              <w:jc w:val="center"/>
              <w:rPr>
                <w:sz w:val="18"/>
              </w:rPr>
            </w:pPr>
            <w:r>
              <w:rPr>
                <w:w w:val="101"/>
                <w:sz w:val="18"/>
              </w:rPr>
              <w:t>1</w:t>
            </w:r>
          </w:p>
        </w:tc>
        <w:tc>
          <w:tcPr>
            <w:tcW w:w="822" w:type="dxa"/>
            <w:tcBorders>
              <w:top w:val="single" w:sz="4" w:space="0" w:color="000000"/>
              <w:bottom w:val="single" w:sz="4" w:space="0" w:color="000000"/>
            </w:tcBorders>
          </w:tcPr>
          <w:p>
            <w:pPr>
              <w:pStyle w:val="TableParagraph"/>
              <w:spacing w:before="62"/>
              <w:ind w:left="144"/>
              <w:jc w:val="left"/>
              <w:rPr>
                <w:sz w:val="18"/>
              </w:rPr>
            </w:pPr>
            <w:r>
              <w:rPr>
                <w:sz w:val="18"/>
              </w:rPr>
              <w:t>P-</w:t>
            </w:r>
            <w:r>
              <w:rPr>
                <w:spacing w:val="-10"/>
                <w:sz w:val="18"/>
              </w:rPr>
              <w:t>2</w:t>
            </w:r>
          </w:p>
        </w:tc>
        <w:tc>
          <w:tcPr>
            <w:tcW w:w="2213" w:type="dxa"/>
            <w:tcBorders>
              <w:top w:val="single" w:sz="4" w:space="0" w:color="000000"/>
              <w:bottom w:val="single" w:sz="4" w:space="0" w:color="000000"/>
            </w:tcBorders>
          </w:tcPr>
          <w:p>
            <w:pPr>
              <w:pStyle w:val="TableParagraph"/>
              <w:spacing w:before="62"/>
              <w:ind w:left="144"/>
              <w:jc w:val="left"/>
              <w:rPr>
                <w:sz w:val="18"/>
              </w:rPr>
            </w:pPr>
            <w:r>
              <w:rPr>
                <w:sz w:val="18"/>
              </w:rPr>
              <w:t>Associate</w:t>
            </w:r>
            <w:r>
              <w:rPr>
                <w:spacing w:val="-8"/>
                <w:sz w:val="18"/>
              </w:rPr>
              <w:t> </w:t>
            </w:r>
            <w:r>
              <w:rPr>
                <w:sz w:val="18"/>
              </w:rPr>
              <w:t>Legal</w:t>
            </w:r>
            <w:r>
              <w:rPr>
                <w:spacing w:val="-1"/>
                <w:sz w:val="18"/>
              </w:rPr>
              <w:t> </w:t>
            </w:r>
            <w:r>
              <w:rPr>
                <w:spacing w:val="-2"/>
                <w:sz w:val="18"/>
              </w:rPr>
              <w:t>Officer</w:t>
            </w:r>
          </w:p>
        </w:tc>
        <w:tc>
          <w:tcPr>
            <w:tcW w:w="2537" w:type="dxa"/>
            <w:tcBorders>
              <w:top w:val="single" w:sz="4" w:space="0" w:color="000000"/>
              <w:bottom w:val="single" w:sz="4" w:space="0" w:color="000000"/>
            </w:tcBorders>
          </w:tcPr>
          <w:p>
            <w:pPr>
              <w:pStyle w:val="TableParagraph"/>
              <w:spacing w:before="62"/>
              <w:ind w:left="53"/>
              <w:jc w:val="left"/>
              <w:rPr>
                <w:sz w:val="18"/>
              </w:rPr>
            </w:pPr>
            <w:r>
              <w:rPr>
                <w:sz w:val="18"/>
              </w:rPr>
              <w:t>Preliminary</w:t>
            </w:r>
            <w:r>
              <w:rPr>
                <w:spacing w:val="-8"/>
                <w:sz w:val="18"/>
              </w:rPr>
              <w:t> </w:t>
            </w:r>
            <w:r>
              <w:rPr>
                <w:sz w:val="18"/>
              </w:rPr>
              <w:t>Examination</w:t>
            </w:r>
            <w:r>
              <w:rPr>
                <w:spacing w:val="-8"/>
                <w:sz w:val="18"/>
              </w:rPr>
              <w:t> </w:t>
            </w:r>
            <w:r>
              <w:rPr>
                <w:spacing w:val="-2"/>
                <w:sz w:val="18"/>
              </w:rPr>
              <w:t>Section</w:t>
            </w:r>
          </w:p>
        </w:tc>
        <w:tc>
          <w:tcPr>
            <w:tcW w:w="2774" w:type="dxa"/>
            <w:tcBorders>
              <w:top w:val="single" w:sz="4" w:space="0" w:color="000000"/>
              <w:bottom w:val="single" w:sz="4" w:space="0" w:color="000000"/>
            </w:tcBorders>
          </w:tcPr>
          <w:p>
            <w:pPr>
              <w:pStyle w:val="TableParagraph"/>
              <w:spacing w:before="62"/>
              <w:ind w:left="76"/>
              <w:jc w:val="left"/>
              <w:rPr>
                <w:sz w:val="18"/>
              </w:rPr>
            </w:pPr>
            <w:r>
              <w:rPr>
                <w:sz w:val="18"/>
              </w:rPr>
              <w:t>Unified</w:t>
            </w:r>
            <w:r>
              <w:rPr>
                <w:spacing w:val="-4"/>
                <w:sz w:val="18"/>
              </w:rPr>
              <w:t> </w:t>
            </w:r>
            <w:r>
              <w:rPr>
                <w:sz w:val="18"/>
              </w:rPr>
              <w:t>Team</w:t>
            </w:r>
            <w:r>
              <w:rPr>
                <w:spacing w:val="-1"/>
                <w:sz w:val="18"/>
              </w:rPr>
              <w:t> </w:t>
            </w:r>
            <w:r>
              <w:rPr>
                <w:color w:val="1F487C"/>
                <w:sz w:val="20"/>
              </w:rPr>
              <w:t>–</w:t>
            </w:r>
            <w:r>
              <w:rPr>
                <w:color w:val="1F487C"/>
                <w:spacing w:val="-4"/>
                <w:sz w:val="20"/>
              </w:rPr>
              <w:t> </w:t>
            </w:r>
            <w:r>
              <w:rPr>
                <w:spacing w:val="-2"/>
                <w:sz w:val="18"/>
              </w:rPr>
              <w:t>Ukraine</w:t>
            </w:r>
          </w:p>
        </w:tc>
      </w:tr>
      <w:tr>
        <w:trPr>
          <w:trHeight w:val="325" w:hRule="atLeast"/>
        </w:trPr>
        <w:tc>
          <w:tcPr>
            <w:tcW w:w="1358" w:type="dxa"/>
            <w:tcBorders>
              <w:top w:val="single" w:sz="4" w:space="0" w:color="000000"/>
              <w:bottom w:val="single" w:sz="4" w:space="0" w:color="000000"/>
            </w:tcBorders>
          </w:tcPr>
          <w:p>
            <w:pPr>
              <w:pStyle w:val="TableParagraph"/>
              <w:spacing w:before="62"/>
              <w:ind w:left="174"/>
              <w:jc w:val="center"/>
              <w:rPr>
                <w:sz w:val="18"/>
              </w:rPr>
            </w:pPr>
            <w:r>
              <w:rPr>
                <w:w w:val="101"/>
                <w:sz w:val="18"/>
              </w:rPr>
              <w:t>1</w:t>
            </w:r>
          </w:p>
        </w:tc>
        <w:tc>
          <w:tcPr>
            <w:tcW w:w="822" w:type="dxa"/>
            <w:tcBorders>
              <w:top w:val="single" w:sz="4" w:space="0" w:color="000000"/>
              <w:bottom w:val="single" w:sz="4" w:space="0" w:color="000000"/>
            </w:tcBorders>
          </w:tcPr>
          <w:p>
            <w:pPr>
              <w:pStyle w:val="TableParagraph"/>
              <w:spacing w:before="62"/>
              <w:ind w:left="144"/>
              <w:jc w:val="left"/>
              <w:rPr>
                <w:sz w:val="18"/>
              </w:rPr>
            </w:pPr>
            <w:r>
              <w:rPr>
                <w:sz w:val="18"/>
              </w:rPr>
              <w:t>P-</w:t>
            </w:r>
            <w:r>
              <w:rPr>
                <w:spacing w:val="-10"/>
                <w:sz w:val="18"/>
              </w:rPr>
              <w:t>2</w:t>
            </w:r>
          </w:p>
        </w:tc>
        <w:tc>
          <w:tcPr>
            <w:tcW w:w="2213" w:type="dxa"/>
            <w:tcBorders>
              <w:top w:val="single" w:sz="4" w:space="0" w:color="000000"/>
              <w:bottom w:val="single" w:sz="4" w:space="0" w:color="000000"/>
            </w:tcBorders>
          </w:tcPr>
          <w:p>
            <w:pPr>
              <w:pStyle w:val="TableParagraph"/>
              <w:spacing w:before="62"/>
              <w:ind w:left="144"/>
              <w:jc w:val="left"/>
              <w:rPr>
                <w:sz w:val="18"/>
              </w:rPr>
            </w:pPr>
            <w:r>
              <w:rPr>
                <w:sz w:val="18"/>
              </w:rPr>
              <w:t>Associate</w:t>
            </w:r>
            <w:r>
              <w:rPr>
                <w:spacing w:val="-7"/>
                <w:sz w:val="18"/>
              </w:rPr>
              <w:t> </w:t>
            </w:r>
            <w:r>
              <w:rPr>
                <w:sz w:val="18"/>
              </w:rPr>
              <w:t>Trial</w:t>
            </w:r>
            <w:r>
              <w:rPr>
                <w:spacing w:val="-5"/>
                <w:sz w:val="18"/>
              </w:rPr>
              <w:t> </w:t>
            </w:r>
            <w:r>
              <w:rPr>
                <w:spacing w:val="-2"/>
                <w:sz w:val="18"/>
              </w:rPr>
              <w:t>Lawyer</w:t>
            </w:r>
          </w:p>
        </w:tc>
        <w:tc>
          <w:tcPr>
            <w:tcW w:w="2537" w:type="dxa"/>
            <w:tcBorders>
              <w:top w:val="single" w:sz="4" w:space="0" w:color="000000"/>
              <w:bottom w:val="single" w:sz="4" w:space="0" w:color="000000"/>
            </w:tcBorders>
          </w:tcPr>
          <w:p>
            <w:pPr>
              <w:pStyle w:val="TableParagraph"/>
              <w:spacing w:before="62"/>
              <w:ind w:left="53"/>
              <w:jc w:val="left"/>
              <w:rPr>
                <w:sz w:val="18"/>
              </w:rPr>
            </w:pPr>
            <w:r>
              <w:rPr>
                <w:sz w:val="18"/>
              </w:rPr>
              <w:t>Unified</w:t>
            </w:r>
            <w:r>
              <w:rPr>
                <w:spacing w:val="-8"/>
                <w:sz w:val="18"/>
              </w:rPr>
              <w:t> </w:t>
            </w:r>
            <w:r>
              <w:rPr>
                <w:sz w:val="18"/>
              </w:rPr>
              <w:t>teams</w:t>
            </w:r>
            <w:r>
              <w:rPr>
                <w:spacing w:val="-2"/>
                <w:sz w:val="18"/>
              </w:rPr>
              <w:t> </w:t>
            </w:r>
            <w:r>
              <w:rPr>
                <w:spacing w:val="-4"/>
                <w:sz w:val="18"/>
              </w:rPr>
              <w:t>(B2)</w:t>
            </w:r>
          </w:p>
        </w:tc>
        <w:tc>
          <w:tcPr>
            <w:tcW w:w="2774" w:type="dxa"/>
            <w:tcBorders>
              <w:top w:val="single" w:sz="4" w:space="0" w:color="000000"/>
              <w:bottom w:val="single" w:sz="4" w:space="0" w:color="000000"/>
            </w:tcBorders>
          </w:tcPr>
          <w:p>
            <w:pPr>
              <w:pStyle w:val="TableParagraph"/>
              <w:spacing w:before="62"/>
              <w:ind w:left="76"/>
              <w:jc w:val="left"/>
              <w:rPr>
                <w:sz w:val="18"/>
              </w:rPr>
            </w:pPr>
            <w:r>
              <w:rPr>
                <w:sz w:val="18"/>
              </w:rPr>
              <w:t>Unified</w:t>
            </w:r>
            <w:r>
              <w:rPr>
                <w:spacing w:val="-8"/>
                <w:sz w:val="18"/>
              </w:rPr>
              <w:t> </w:t>
            </w:r>
            <w:r>
              <w:rPr>
                <w:sz w:val="18"/>
              </w:rPr>
              <w:t>teams</w:t>
            </w:r>
            <w:r>
              <w:rPr>
                <w:spacing w:val="-2"/>
                <w:sz w:val="18"/>
              </w:rPr>
              <w:t> </w:t>
            </w:r>
            <w:r>
              <w:rPr>
                <w:spacing w:val="-4"/>
                <w:sz w:val="18"/>
              </w:rPr>
              <w:t>(B1)</w:t>
            </w:r>
          </w:p>
        </w:tc>
      </w:tr>
      <w:tr>
        <w:trPr>
          <w:trHeight w:val="350" w:hRule="atLeast"/>
        </w:trPr>
        <w:tc>
          <w:tcPr>
            <w:tcW w:w="1358" w:type="dxa"/>
            <w:tcBorders>
              <w:top w:val="single" w:sz="4" w:space="0" w:color="000000"/>
              <w:bottom w:val="single" w:sz="4" w:space="0" w:color="000000"/>
            </w:tcBorders>
          </w:tcPr>
          <w:p>
            <w:pPr>
              <w:pStyle w:val="TableParagraph"/>
              <w:spacing w:before="62"/>
              <w:ind w:left="174"/>
              <w:jc w:val="center"/>
              <w:rPr>
                <w:sz w:val="18"/>
              </w:rPr>
            </w:pPr>
            <w:r>
              <w:rPr>
                <w:w w:val="101"/>
                <w:sz w:val="18"/>
              </w:rPr>
              <w:t>1</w:t>
            </w:r>
          </w:p>
        </w:tc>
        <w:tc>
          <w:tcPr>
            <w:tcW w:w="822" w:type="dxa"/>
            <w:tcBorders>
              <w:top w:val="single" w:sz="4" w:space="0" w:color="000000"/>
              <w:bottom w:val="single" w:sz="4" w:space="0" w:color="000000"/>
            </w:tcBorders>
          </w:tcPr>
          <w:p>
            <w:pPr>
              <w:pStyle w:val="TableParagraph"/>
              <w:spacing w:before="62"/>
              <w:ind w:left="144"/>
              <w:jc w:val="left"/>
              <w:rPr>
                <w:sz w:val="18"/>
              </w:rPr>
            </w:pPr>
            <w:r>
              <w:rPr>
                <w:sz w:val="18"/>
              </w:rPr>
              <w:t>P-</w:t>
            </w:r>
            <w:r>
              <w:rPr>
                <w:spacing w:val="-10"/>
                <w:sz w:val="18"/>
              </w:rPr>
              <w:t>2</w:t>
            </w:r>
          </w:p>
        </w:tc>
        <w:tc>
          <w:tcPr>
            <w:tcW w:w="2213" w:type="dxa"/>
            <w:tcBorders>
              <w:top w:val="single" w:sz="4" w:space="0" w:color="000000"/>
              <w:bottom w:val="single" w:sz="4" w:space="0" w:color="000000"/>
            </w:tcBorders>
          </w:tcPr>
          <w:p>
            <w:pPr>
              <w:pStyle w:val="TableParagraph"/>
              <w:spacing w:before="62"/>
              <w:ind w:left="144"/>
              <w:jc w:val="left"/>
              <w:rPr>
                <w:sz w:val="18"/>
              </w:rPr>
            </w:pPr>
            <w:r>
              <w:rPr>
                <w:sz w:val="18"/>
              </w:rPr>
              <w:t>Information</w:t>
            </w:r>
            <w:r>
              <w:rPr>
                <w:spacing w:val="-7"/>
                <w:sz w:val="18"/>
              </w:rPr>
              <w:t> </w:t>
            </w:r>
            <w:r>
              <w:rPr>
                <w:spacing w:val="-2"/>
                <w:sz w:val="18"/>
              </w:rPr>
              <w:t>Analyst</w:t>
            </w:r>
          </w:p>
        </w:tc>
        <w:tc>
          <w:tcPr>
            <w:tcW w:w="2537" w:type="dxa"/>
            <w:tcBorders>
              <w:top w:val="single" w:sz="4" w:space="0" w:color="000000"/>
              <w:bottom w:val="single" w:sz="4" w:space="0" w:color="000000"/>
            </w:tcBorders>
          </w:tcPr>
          <w:p>
            <w:pPr>
              <w:pStyle w:val="TableParagraph"/>
              <w:spacing w:before="62"/>
              <w:ind w:left="53"/>
              <w:jc w:val="left"/>
              <w:rPr>
                <w:sz w:val="18"/>
              </w:rPr>
            </w:pPr>
            <w:r>
              <w:rPr>
                <w:sz w:val="18"/>
              </w:rPr>
              <w:t>Planning</w:t>
            </w:r>
            <w:r>
              <w:rPr>
                <w:spacing w:val="-4"/>
                <w:sz w:val="18"/>
              </w:rPr>
              <w:t> </w:t>
            </w:r>
            <w:r>
              <w:rPr>
                <w:sz w:val="18"/>
              </w:rPr>
              <w:t>and</w:t>
            </w:r>
            <w:r>
              <w:rPr>
                <w:spacing w:val="-4"/>
                <w:sz w:val="18"/>
              </w:rPr>
              <w:t> </w:t>
            </w:r>
            <w:r>
              <w:rPr>
                <w:sz w:val="18"/>
              </w:rPr>
              <w:t>Operations</w:t>
            </w:r>
            <w:r>
              <w:rPr>
                <w:spacing w:val="-4"/>
                <w:sz w:val="18"/>
              </w:rPr>
              <w:t> </w:t>
            </w:r>
            <w:r>
              <w:rPr>
                <w:spacing w:val="-2"/>
                <w:sz w:val="18"/>
              </w:rPr>
              <w:t>Section</w:t>
            </w:r>
          </w:p>
        </w:tc>
        <w:tc>
          <w:tcPr>
            <w:tcW w:w="2774" w:type="dxa"/>
            <w:tcBorders>
              <w:top w:val="single" w:sz="4" w:space="0" w:color="000000"/>
              <w:bottom w:val="single" w:sz="4" w:space="0" w:color="000000"/>
            </w:tcBorders>
          </w:tcPr>
          <w:p>
            <w:pPr>
              <w:pStyle w:val="TableParagraph"/>
              <w:spacing w:before="63"/>
              <w:ind w:left="76"/>
              <w:jc w:val="left"/>
              <w:rPr>
                <w:sz w:val="18"/>
              </w:rPr>
            </w:pPr>
            <w:r>
              <w:rPr>
                <w:sz w:val="18"/>
              </w:rPr>
              <w:t>Unified</w:t>
            </w:r>
            <w:r>
              <w:rPr>
                <w:spacing w:val="-4"/>
                <w:sz w:val="18"/>
              </w:rPr>
              <w:t> </w:t>
            </w:r>
            <w:r>
              <w:rPr>
                <w:sz w:val="18"/>
              </w:rPr>
              <w:t>Team</w:t>
            </w:r>
            <w:r>
              <w:rPr>
                <w:spacing w:val="-1"/>
                <w:sz w:val="18"/>
              </w:rPr>
              <w:t> </w:t>
            </w:r>
            <w:r>
              <w:rPr>
                <w:color w:val="1F487C"/>
                <w:sz w:val="20"/>
              </w:rPr>
              <w:t>–</w:t>
            </w:r>
            <w:r>
              <w:rPr>
                <w:color w:val="1F487C"/>
                <w:spacing w:val="-4"/>
                <w:sz w:val="20"/>
              </w:rPr>
              <w:t> </w:t>
            </w:r>
            <w:r>
              <w:rPr>
                <w:spacing w:val="-2"/>
                <w:sz w:val="18"/>
              </w:rPr>
              <w:t>Ukraine</w:t>
            </w:r>
          </w:p>
        </w:tc>
      </w:tr>
      <w:tr>
        <w:trPr>
          <w:trHeight w:val="532" w:hRule="atLeast"/>
        </w:trPr>
        <w:tc>
          <w:tcPr>
            <w:tcW w:w="1358" w:type="dxa"/>
            <w:tcBorders>
              <w:top w:val="single" w:sz="4" w:space="0" w:color="000000"/>
              <w:bottom w:val="single" w:sz="4" w:space="0" w:color="000000"/>
            </w:tcBorders>
          </w:tcPr>
          <w:p>
            <w:pPr>
              <w:pStyle w:val="TableParagraph"/>
              <w:spacing w:before="62"/>
              <w:ind w:left="174"/>
              <w:jc w:val="center"/>
              <w:rPr>
                <w:sz w:val="18"/>
              </w:rPr>
            </w:pPr>
            <w:r>
              <w:rPr>
                <w:w w:val="101"/>
                <w:sz w:val="18"/>
              </w:rPr>
              <w:t>1</w:t>
            </w:r>
          </w:p>
        </w:tc>
        <w:tc>
          <w:tcPr>
            <w:tcW w:w="822" w:type="dxa"/>
            <w:tcBorders>
              <w:top w:val="single" w:sz="4" w:space="0" w:color="000000"/>
              <w:bottom w:val="single" w:sz="4" w:space="0" w:color="000000"/>
            </w:tcBorders>
          </w:tcPr>
          <w:p>
            <w:pPr>
              <w:pStyle w:val="TableParagraph"/>
              <w:spacing w:before="62"/>
              <w:ind w:left="144"/>
              <w:jc w:val="left"/>
              <w:rPr>
                <w:sz w:val="18"/>
              </w:rPr>
            </w:pPr>
            <w:r>
              <w:rPr>
                <w:sz w:val="18"/>
              </w:rPr>
              <w:t>P-</w:t>
            </w:r>
            <w:r>
              <w:rPr>
                <w:spacing w:val="-10"/>
                <w:sz w:val="18"/>
              </w:rPr>
              <w:t>2</w:t>
            </w:r>
          </w:p>
        </w:tc>
        <w:tc>
          <w:tcPr>
            <w:tcW w:w="2213" w:type="dxa"/>
            <w:tcBorders>
              <w:top w:val="single" w:sz="4" w:space="0" w:color="000000"/>
              <w:bottom w:val="single" w:sz="4" w:space="0" w:color="000000"/>
            </w:tcBorders>
          </w:tcPr>
          <w:p>
            <w:pPr>
              <w:pStyle w:val="TableParagraph"/>
              <w:spacing w:before="62"/>
              <w:ind w:left="144"/>
              <w:jc w:val="left"/>
              <w:rPr>
                <w:sz w:val="18"/>
              </w:rPr>
            </w:pPr>
            <w:r>
              <w:rPr>
                <w:sz w:val="18"/>
              </w:rPr>
              <w:t>Special</w:t>
            </w:r>
            <w:r>
              <w:rPr>
                <w:spacing w:val="-12"/>
                <w:sz w:val="18"/>
              </w:rPr>
              <w:t> </w:t>
            </w:r>
            <w:r>
              <w:rPr>
                <w:sz w:val="18"/>
              </w:rPr>
              <w:t>Assistant</w:t>
            </w:r>
            <w:r>
              <w:rPr>
                <w:spacing w:val="-11"/>
                <w:sz w:val="18"/>
              </w:rPr>
              <w:t> </w:t>
            </w:r>
            <w:r>
              <w:rPr>
                <w:sz w:val="18"/>
              </w:rPr>
              <w:t>to</w:t>
            </w:r>
            <w:r>
              <w:rPr>
                <w:spacing w:val="-11"/>
                <w:sz w:val="18"/>
              </w:rPr>
              <w:t> </w:t>
            </w:r>
            <w:r>
              <w:rPr>
                <w:sz w:val="18"/>
              </w:rPr>
              <w:t>the </w:t>
            </w:r>
            <w:r>
              <w:rPr>
                <w:spacing w:val="-2"/>
                <w:sz w:val="18"/>
              </w:rPr>
              <w:t>Prosecutor</w:t>
            </w:r>
          </w:p>
        </w:tc>
        <w:tc>
          <w:tcPr>
            <w:tcW w:w="2537" w:type="dxa"/>
            <w:tcBorders>
              <w:top w:val="single" w:sz="4" w:space="0" w:color="000000"/>
              <w:bottom w:val="single" w:sz="4" w:space="0" w:color="000000"/>
            </w:tcBorders>
          </w:tcPr>
          <w:p>
            <w:pPr>
              <w:pStyle w:val="TableParagraph"/>
              <w:spacing w:before="62"/>
              <w:ind w:left="53" w:right="54"/>
              <w:jc w:val="left"/>
              <w:rPr>
                <w:sz w:val="18"/>
              </w:rPr>
            </w:pPr>
            <w:r>
              <w:rPr>
                <w:sz w:val="18"/>
              </w:rPr>
              <w:t>Immediate</w:t>
            </w:r>
            <w:r>
              <w:rPr>
                <w:spacing w:val="-12"/>
                <w:sz w:val="18"/>
              </w:rPr>
              <w:t> </w:t>
            </w:r>
            <w:r>
              <w:rPr>
                <w:sz w:val="18"/>
              </w:rPr>
              <w:t>Office</w:t>
            </w:r>
            <w:r>
              <w:rPr>
                <w:spacing w:val="-11"/>
                <w:sz w:val="18"/>
              </w:rPr>
              <w:t> </w:t>
            </w:r>
            <w:r>
              <w:rPr>
                <w:sz w:val="18"/>
              </w:rPr>
              <w:t>of</w:t>
            </w:r>
            <w:r>
              <w:rPr>
                <w:spacing w:val="-11"/>
                <w:sz w:val="18"/>
              </w:rPr>
              <w:t> </w:t>
            </w:r>
            <w:r>
              <w:rPr>
                <w:sz w:val="18"/>
              </w:rPr>
              <w:t>the </w:t>
            </w:r>
            <w:r>
              <w:rPr>
                <w:spacing w:val="-2"/>
                <w:sz w:val="18"/>
              </w:rPr>
              <w:t>Prosecutor</w:t>
            </w:r>
          </w:p>
        </w:tc>
        <w:tc>
          <w:tcPr>
            <w:tcW w:w="2774" w:type="dxa"/>
            <w:tcBorders>
              <w:top w:val="single" w:sz="4" w:space="0" w:color="000000"/>
              <w:bottom w:val="single" w:sz="4" w:space="0" w:color="000000"/>
            </w:tcBorders>
          </w:tcPr>
          <w:p>
            <w:pPr>
              <w:pStyle w:val="TableParagraph"/>
              <w:spacing w:before="62"/>
              <w:ind w:left="76"/>
              <w:jc w:val="left"/>
              <w:rPr>
                <w:sz w:val="18"/>
              </w:rPr>
            </w:pPr>
            <w:r>
              <w:rPr>
                <w:sz w:val="18"/>
              </w:rPr>
              <w:t>Preliminary</w:t>
            </w:r>
            <w:r>
              <w:rPr>
                <w:spacing w:val="-8"/>
                <w:sz w:val="18"/>
              </w:rPr>
              <w:t> </w:t>
            </w:r>
            <w:r>
              <w:rPr>
                <w:sz w:val="18"/>
              </w:rPr>
              <w:t>Examination</w:t>
            </w:r>
            <w:r>
              <w:rPr>
                <w:spacing w:val="-8"/>
                <w:sz w:val="18"/>
              </w:rPr>
              <w:t> </w:t>
            </w:r>
            <w:r>
              <w:rPr>
                <w:spacing w:val="-2"/>
                <w:sz w:val="18"/>
              </w:rPr>
              <w:t>Section</w:t>
            </w:r>
          </w:p>
        </w:tc>
      </w:tr>
      <w:tr>
        <w:trPr>
          <w:trHeight w:val="326" w:hRule="atLeast"/>
        </w:trPr>
        <w:tc>
          <w:tcPr>
            <w:tcW w:w="1358" w:type="dxa"/>
            <w:tcBorders>
              <w:top w:val="single" w:sz="4" w:space="0" w:color="000000"/>
              <w:bottom w:val="single" w:sz="4" w:space="0" w:color="000000"/>
            </w:tcBorders>
          </w:tcPr>
          <w:p>
            <w:pPr>
              <w:pStyle w:val="TableParagraph"/>
              <w:spacing w:before="62"/>
              <w:ind w:left="174"/>
              <w:jc w:val="center"/>
              <w:rPr>
                <w:sz w:val="18"/>
              </w:rPr>
            </w:pPr>
            <w:r>
              <w:rPr>
                <w:w w:val="101"/>
                <w:sz w:val="18"/>
              </w:rPr>
              <w:t>3</w:t>
            </w:r>
          </w:p>
        </w:tc>
        <w:tc>
          <w:tcPr>
            <w:tcW w:w="822" w:type="dxa"/>
            <w:tcBorders>
              <w:top w:val="single" w:sz="4" w:space="0" w:color="000000"/>
              <w:bottom w:val="single" w:sz="4" w:space="0" w:color="000000"/>
            </w:tcBorders>
          </w:tcPr>
          <w:p>
            <w:pPr>
              <w:pStyle w:val="TableParagraph"/>
              <w:spacing w:before="62"/>
              <w:ind w:left="144"/>
              <w:jc w:val="left"/>
              <w:rPr>
                <w:sz w:val="18"/>
              </w:rPr>
            </w:pPr>
            <w:r>
              <w:rPr>
                <w:sz w:val="18"/>
              </w:rPr>
              <w:t>P-</w:t>
            </w:r>
            <w:r>
              <w:rPr>
                <w:spacing w:val="-10"/>
                <w:sz w:val="18"/>
              </w:rPr>
              <w:t>1</w:t>
            </w:r>
          </w:p>
        </w:tc>
        <w:tc>
          <w:tcPr>
            <w:tcW w:w="2213" w:type="dxa"/>
            <w:tcBorders>
              <w:top w:val="single" w:sz="4" w:space="0" w:color="000000"/>
              <w:bottom w:val="single" w:sz="4" w:space="0" w:color="000000"/>
            </w:tcBorders>
          </w:tcPr>
          <w:p>
            <w:pPr>
              <w:pStyle w:val="TableParagraph"/>
              <w:spacing w:before="62"/>
              <w:ind w:left="144"/>
              <w:jc w:val="left"/>
              <w:rPr>
                <w:sz w:val="18"/>
              </w:rPr>
            </w:pPr>
            <w:r>
              <w:rPr>
                <w:sz w:val="18"/>
              </w:rPr>
              <w:t>Case</w:t>
            </w:r>
            <w:r>
              <w:rPr>
                <w:spacing w:val="-1"/>
                <w:sz w:val="18"/>
              </w:rPr>
              <w:t> </w:t>
            </w:r>
            <w:r>
              <w:rPr>
                <w:spacing w:val="-2"/>
                <w:sz w:val="18"/>
              </w:rPr>
              <w:t>Manager</w:t>
            </w:r>
          </w:p>
        </w:tc>
        <w:tc>
          <w:tcPr>
            <w:tcW w:w="2537" w:type="dxa"/>
            <w:tcBorders>
              <w:top w:val="single" w:sz="4" w:space="0" w:color="000000"/>
              <w:bottom w:val="single" w:sz="4" w:space="0" w:color="000000"/>
            </w:tcBorders>
          </w:tcPr>
          <w:p>
            <w:pPr>
              <w:pStyle w:val="TableParagraph"/>
              <w:spacing w:before="62"/>
              <w:ind w:left="53"/>
              <w:jc w:val="left"/>
              <w:rPr>
                <w:sz w:val="18"/>
              </w:rPr>
            </w:pPr>
            <w:r>
              <w:rPr>
                <w:sz w:val="18"/>
              </w:rPr>
              <w:t>Unified</w:t>
            </w:r>
            <w:r>
              <w:rPr>
                <w:spacing w:val="-8"/>
                <w:sz w:val="18"/>
              </w:rPr>
              <w:t> </w:t>
            </w:r>
            <w:r>
              <w:rPr>
                <w:sz w:val="18"/>
              </w:rPr>
              <w:t>teams</w:t>
            </w:r>
            <w:r>
              <w:rPr>
                <w:spacing w:val="-2"/>
                <w:sz w:val="18"/>
              </w:rPr>
              <w:t> </w:t>
            </w:r>
            <w:r>
              <w:rPr>
                <w:spacing w:val="-4"/>
                <w:sz w:val="18"/>
              </w:rPr>
              <w:t>(B2)</w:t>
            </w:r>
          </w:p>
        </w:tc>
        <w:tc>
          <w:tcPr>
            <w:tcW w:w="2774" w:type="dxa"/>
            <w:tcBorders>
              <w:top w:val="single" w:sz="4" w:space="0" w:color="000000"/>
              <w:bottom w:val="single" w:sz="4" w:space="0" w:color="000000"/>
            </w:tcBorders>
          </w:tcPr>
          <w:p>
            <w:pPr>
              <w:pStyle w:val="TableParagraph"/>
              <w:spacing w:before="62"/>
              <w:ind w:left="76"/>
              <w:jc w:val="left"/>
              <w:rPr>
                <w:sz w:val="18"/>
              </w:rPr>
            </w:pPr>
            <w:r>
              <w:rPr>
                <w:sz w:val="18"/>
              </w:rPr>
              <w:t>Unified</w:t>
            </w:r>
            <w:r>
              <w:rPr>
                <w:spacing w:val="-8"/>
                <w:sz w:val="18"/>
              </w:rPr>
              <w:t> </w:t>
            </w:r>
            <w:r>
              <w:rPr>
                <w:sz w:val="18"/>
              </w:rPr>
              <w:t>teams</w:t>
            </w:r>
            <w:r>
              <w:rPr>
                <w:spacing w:val="-2"/>
                <w:sz w:val="18"/>
              </w:rPr>
              <w:t> </w:t>
            </w:r>
            <w:r>
              <w:rPr>
                <w:spacing w:val="-4"/>
                <w:sz w:val="18"/>
              </w:rPr>
              <w:t>(B1)</w:t>
            </w:r>
          </w:p>
        </w:tc>
      </w:tr>
      <w:tr>
        <w:trPr>
          <w:trHeight w:val="537" w:hRule="atLeast"/>
        </w:trPr>
        <w:tc>
          <w:tcPr>
            <w:tcW w:w="1358" w:type="dxa"/>
            <w:tcBorders>
              <w:top w:val="single" w:sz="4" w:space="0" w:color="000000"/>
              <w:bottom w:val="single" w:sz="4" w:space="0" w:color="000000"/>
            </w:tcBorders>
          </w:tcPr>
          <w:p>
            <w:pPr>
              <w:pStyle w:val="TableParagraph"/>
              <w:spacing w:before="62"/>
              <w:ind w:left="174"/>
              <w:jc w:val="center"/>
              <w:rPr>
                <w:sz w:val="18"/>
              </w:rPr>
            </w:pPr>
            <w:r>
              <w:rPr>
                <w:w w:val="101"/>
                <w:sz w:val="18"/>
              </w:rPr>
              <w:t>1</w:t>
            </w:r>
          </w:p>
        </w:tc>
        <w:tc>
          <w:tcPr>
            <w:tcW w:w="822" w:type="dxa"/>
            <w:tcBorders>
              <w:top w:val="single" w:sz="4" w:space="0" w:color="000000"/>
              <w:bottom w:val="single" w:sz="4" w:space="0" w:color="000000"/>
            </w:tcBorders>
          </w:tcPr>
          <w:p>
            <w:pPr>
              <w:pStyle w:val="TableParagraph"/>
              <w:spacing w:before="62"/>
              <w:ind w:left="144"/>
              <w:jc w:val="left"/>
              <w:rPr>
                <w:sz w:val="18"/>
              </w:rPr>
            </w:pPr>
            <w:r>
              <w:rPr>
                <w:spacing w:val="-2"/>
                <w:sz w:val="18"/>
              </w:rPr>
              <w:t>GS-</w:t>
            </w:r>
            <w:r>
              <w:rPr>
                <w:spacing w:val="-5"/>
                <w:sz w:val="18"/>
              </w:rPr>
              <w:t>PL</w:t>
            </w:r>
          </w:p>
        </w:tc>
        <w:tc>
          <w:tcPr>
            <w:tcW w:w="2213" w:type="dxa"/>
            <w:tcBorders>
              <w:top w:val="single" w:sz="4" w:space="0" w:color="000000"/>
              <w:bottom w:val="single" w:sz="4" w:space="0" w:color="000000"/>
            </w:tcBorders>
          </w:tcPr>
          <w:p>
            <w:pPr>
              <w:pStyle w:val="TableParagraph"/>
              <w:spacing w:before="62"/>
              <w:ind w:left="144"/>
              <w:jc w:val="left"/>
              <w:rPr>
                <w:sz w:val="18"/>
              </w:rPr>
            </w:pPr>
            <w:r>
              <w:rPr>
                <w:sz w:val="18"/>
              </w:rPr>
              <w:t>Personal</w:t>
            </w:r>
            <w:r>
              <w:rPr>
                <w:spacing w:val="-12"/>
                <w:sz w:val="18"/>
              </w:rPr>
              <w:t> </w:t>
            </w:r>
            <w:r>
              <w:rPr>
                <w:sz w:val="18"/>
              </w:rPr>
              <w:t>Assistant</w:t>
            </w:r>
            <w:r>
              <w:rPr>
                <w:spacing w:val="-11"/>
                <w:sz w:val="18"/>
              </w:rPr>
              <w:t> </w:t>
            </w:r>
            <w:r>
              <w:rPr>
                <w:sz w:val="18"/>
              </w:rPr>
              <w:t>to</w:t>
            </w:r>
            <w:r>
              <w:rPr>
                <w:spacing w:val="-11"/>
                <w:sz w:val="18"/>
              </w:rPr>
              <w:t> </w:t>
            </w:r>
            <w:r>
              <w:rPr>
                <w:sz w:val="18"/>
              </w:rPr>
              <w:t>the </w:t>
            </w:r>
            <w:r>
              <w:rPr>
                <w:spacing w:val="-2"/>
                <w:sz w:val="18"/>
              </w:rPr>
              <w:t>Prosecutor</w:t>
            </w:r>
          </w:p>
        </w:tc>
        <w:tc>
          <w:tcPr>
            <w:tcW w:w="2537" w:type="dxa"/>
            <w:tcBorders>
              <w:top w:val="single" w:sz="4" w:space="0" w:color="000000"/>
              <w:bottom w:val="single" w:sz="4" w:space="0" w:color="000000"/>
            </w:tcBorders>
          </w:tcPr>
          <w:p>
            <w:pPr>
              <w:pStyle w:val="TableParagraph"/>
              <w:spacing w:before="62"/>
              <w:ind w:left="53"/>
              <w:jc w:val="left"/>
              <w:rPr>
                <w:sz w:val="18"/>
              </w:rPr>
            </w:pPr>
            <w:r>
              <w:rPr>
                <w:sz w:val="18"/>
              </w:rPr>
              <w:t>Director,</w:t>
            </w:r>
            <w:r>
              <w:rPr>
                <w:spacing w:val="-4"/>
                <w:sz w:val="18"/>
              </w:rPr>
              <w:t> </w:t>
            </w:r>
            <w:r>
              <w:rPr>
                <w:sz w:val="18"/>
              </w:rPr>
              <w:t>Integrated</w:t>
            </w:r>
            <w:r>
              <w:rPr>
                <w:spacing w:val="-9"/>
                <w:sz w:val="18"/>
              </w:rPr>
              <w:t> </w:t>
            </w:r>
            <w:r>
              <w:rPr>
                <w:spacing w:val="-2"/>
                <w:sz w:val="18"/>
              </w:rPr>
              <w:t>Services</w:t>
            </w:r>
          </w:p>
        </w:tc>
        <w:tc>
          <w:tcPr>
            <w:tcW w:w="2774" w:type="dxa"/>
            <w:tcBorders>
              <w:top w:val="single" w:sz="4" w:space="0" w:color="000000"/>
              <w:bottom w:val="single" w:sz="4" w:space="0" w:color="000000"/>
            </w:tcBorders>
          </w:tcPr>
          <w:p>
            <w:pPr>
              <w:pStyle w:val="TableParagraph"/>
              <w:spacing w:before="62"/>
              <w:ind w:left="76"/>
              <w:jc w:val="left"/>
              <w:rPr>
                <w:sz w:val="18"/>
              </w:rPr>
            </w:pPr>
            <w:r>
              <w:rPr>
                <w:sz w:val="18"/>
              </w:rPr>
              <w:t>Immediate</w:t>
            </w:r>
            <w:r>
              <w:rPr>
                <w:spacing w:val="-4"/>
                <w:sz w:val="18"/>
              </w:rPr>
              <w:t> </w:t>
            </w:r>
            <w:r>
              <w:rPr>
                <w:sz w:val="18"/>
              </w:rPr>
              <w:t>Office</w:t>
            </w:r>
            <w:r>
              <w:rPr>
                <w:spacing w:val="-2"/>
                <w:sz w:val="18"/>
              </w:rPr>
              <w:t> </w:t>
            </w:r>
            <w:r>
              <w:rPr>
                <w:sz w:val="18"/>
              </w:rPr>
              <w:t>of</w:t>
            </w:r>
            <w:r>
              <w:rPr>
                <w:spacing w:val="-6"/>
                <w:sz w:val="18"/>
              </w:rPr>
              <w:t> </w:t>
            </w:r>
            <w:r>
              <w:rPr>
                <w:sz w:val="18"/>
              </w:rPr>
              <w:t>the</w:t>
            </w:r>
            <w:r>
              <w:rPr>
                <w:spacing w:val="-3"/>
                <w:sz w:val="18"/>
              </w:rPr>
              <w:t> </w:t>
            </w:r>
            <w:r>
              <w:rPr>
                <w:spacing w:val="-2"/>
                <w:sz w:val="18"/>
              </w:rPr>
              <w:t>Prosecutor</w:t>
            </w:r>
          </w:p>
        </w:tc>
      </w:tr>
      <w:tr>
        <w:trPr>
          <w:trHeight w:val="326" w:hRule="atLeast"/>
        </w:trPr>
        <w:tc>
          <w:tcPr>
            <w:tcW w:w="1358" w:type="dxa"/>
            <w:tcBorders>
              <w:top w:val="single" w:sz="4" w:space="0" w:color="000000"/>
              <w:bottom w:val="single" w:sz="4" w:space="0" w:color="000000"/>
            </w:tcBorders>
          </w:tcPr>
          <w:p>
            <w:pPr>
              <w:pStyle w:val="TableParagraph"/>
              <w:spacing w:before="62"/>
              <w:ind w:left="174"/>
              <w:jc w:val="center"/>
              <w:rPr>
                <w:sz w:val="18"/>
              </w:rPr>
            </w:pPr>
            <w:r>
              <w:rPr>
                <w:w w:val="101"/>
                <w:sz w:val="18"/>
              </w:rPr>
              <w:t>2</w:t>
            </w:r>
          </w:p>
        </w:tc>
        <w:tc>
          <w:tcPr>
            <w:tcW w:w="822" w:type="dxa"/>
            <w:tcBorders>
              <w:top w:val="single" w:sz="4" w:space="0" w:color="000000"/>
              <w:bottom w:val="single" w:sz="4" w:space="0" w:color="000000"/>
            </w:tcBorders>
          </w:tcPr>
          <w:p>
            <w:pPr>
              <w:pStyle w:val="TableParagraph"/>
              <w:spacing w:before="62"/>
              <w:ind w:left="144"/>
              <w:jc w:val="left"/>
              <w:rPr>
                <w:sz w:val="18"/>
              </w:rPr>
            </w:pPr>
            <w:r>
              <w:rPr>
                <w:spacing w:val="-2"/>
                <w:sz w:val="18"/>
              </w:rPr>
              <w:t>GS-</w:t>
            </w:r>
            <w:r>
              <w:rPr>
                <w:spacing w:val="-5"/>
                <w:sz w:val="18"/>
              </w:rPr>
              <w:t>OL</w:t>
            </w:r>
          </w:p>
        </w:tc>
        <w:tc>
          <w:tcPr>
            <w:tcW w:w="2213" w:type="dxa"/>
            <w:tcBorders>
              <w:top w:val="single" w:sz="4" w:space="0" w:color="000000"/>
              <w:bottom w:val="single" w:sz="4" w:space="0" w:color="000000"/>
            </w:tcBorders>
          </w:tcPr>
          <w:p>
            <w:pPr>
              <w:pStyle w:val="TableParagraph"/>
              <w:spacing w:before="62"/>
              <w:ind w:left="144"/>
              <w:jc w:val="left"/>
              <w:rPr>
                <w:sz w:val="18"/>
              </w:rPr>
            </w:pPr>
            <w:r>
              <w:rPr>
                <w:sz w:val="18"/>
              </w:rPr>
              <w:t>Administrative</w:t>
            </w:r>
            <w:r>
              <w:rPr>
                <w:spacing w:val="-8"/>
                <w:sz w:val="18"/>
              </w:rPr>
              <w:t> </w:t>
            </w:r>
            <w:r>
              <w:rPr>
                <w:spacing w:val="-2"/>
                <w:sz w:val="18"/>
              </w:rPr>
              <w:t>Assistant</w:t>
            </w:r>
          </w:p>
        </w:tc>
        <w:tc>
          <w:tcPr>
            <w:tcW w:w="2537" w:type="dxa"/>
            <w:tcBorders>
              <w:top w:val="single" w:sz="4" w:space="0" w:color="000000"/>
              <w:bottom w:val="single" w:sz="4" w:space="0" w:color="000000"/>
            </w:tcBorders>
          </w:tcPr>
          <w:p>
            <w:pPr>
              <w:pStyle w:val="TableParagraph"/>
              <w:spacing w:before="62"/>
              <w:ind w:left="53"/>
              <w:jc w:val="left"/>
              <w:rPr>
                <w:sz w:val="18"/>
              </w:rPr>
            </w:pPr>
            <w:r>
              <w:rPr>
                <w:sz w:val="18"/>
              </w:rPr>
              <w:t>Office</w:t>
            </w:r>
            <w:r>
              <w:rPr>
                <w:spacing w:val="-6"/>
                <w:sz w:val="18"/>
              </w:rPr>
              <w:t> </w:t>
            </w:r>
            <w:r>
              <w:rPr>
                <w:sz w:val="18"/>
              </w:rPr>
              <w:t>of</w:t>
            </w:r>
            <w:r>
              <w:rPr>
                <w:spacing w:val="1"/>
                <w:sz w:val="18"/>
              </w:rPr>
              <w:t> </w:t>
            </w:r>
            <w:r>
              <w:rPr>
                <w:sz w:val="18"/>
              </w:rPr>
              <w:t>External</w:t>
            </w:r>
            <w:r>
              <w:rPr>
                <w:spacing w:val="-3"/>
                <w:sz w:val="18"/>
              </w:rPr>
              <w:t> </w:t>
            </w:r>
            <w:r>
              <w:rPr>
                <w:spacing w:val="-2"/>
                <w:sz w:val="18"/>
              </w:rPr>
              <w:t>Affairs</w:t>
            </w:r>
          </w:p>
        </w:tc>
        <w:tc>
          <w:tcPr>
            <w:tcW w:w="2774" w:type="dxa"/>
            <w:tcBorders>
              <w:top w:val="single" w:sz="4" w:space="0" w:color="000000"/>
              <w:bottom w:val="single" w:sz="4" w:space="0" w:color="000000"/>
            </w:tcBorders>
          </w:tcPr>
          <w:p>
            <w:pPr>
              <w:pStyle w:val="TableParagraph"/>
              <w:spacing w:before="62"/>
              <w:ind w:left="76"/>
              <w:jc w:val="left"/>
              <w:rPr>
                <w:sz w:val="18"/>
              </w:rPr>
            </w:pPr>
            <w:r>
              <w:rPr>
                <w:sz w:val="18"/>
              </w:rPr>
              <w:t>Administration</w:t>
            </w:r>
            <w:r>
              <w:rPr>
                <w:spacing w:val="-8"/>
                <w:sz w:val="18"/>
              </w:rPr>
              <w:t> </w:t>
            </w:r>
            <w:r>
              <w:rPr>
                <w:spacing w:val="-4"/>
                <w:sz w:val="18"/>
              </w:rPr>
              <w:t>Unit</w:t>
            </w:r>
          </w:p>
        </w:tc>
      </w:tr>
      <w:tr>
        <w:trPr>
          <w:trHeight w:val="326" w:hRule="atLeast"/>
        </w:trPr>
        <w:tc>
          <w:tcPr>
            <w:tcW w:w="1358" w:type="dxa"/>
            <w:tcBorders>
              <w:top w:val="single" w:sz="4" w:space="0" w:color="000000"/>
              <w:bottom w:val="single" w:sz="4" w:space="0" w:color="000000"/>
            </w:tcBorders>
          </w:tcPr>
          <w:p>
            <w:pPr>
              <w:pStyle w:val="TableParagraph"/>
              <w:spacing w:before="62"/>
              <w:ind w:left="174"/>
              <w:jc w:val="center"/>
              <w:rPr>
                <w:sz w:val="18"/>
              </w:rPr>
            </w:pPr>
            <w:r>
              <w:rPr>
                <w:w w:val="101"/>
                <w:sz w:val="18"/>
              </w:rPr>
              <w:t>1</w:t>
            </w:r>
          </w:p>
        </w:tc>
        <w:tc>
          <w:tcPr>
            <w:tcW w:w="822" w:type="dxa"/>
            <w:tcBorders>
              <w:top w:val="single" w:sz="4" w:space="0" w:color="000000"/>
              <w:bottom w:val="single" w:sz="4" w:space="0" w:color="000000"/>
            </w:tcBorders>
          </w:tcPr>
          <w:p>
            <w:pPr>
              <w:pStyle w:val="TableParagraph"/>
              <w:spacing w:before="62"/>
              <w:ind w:left="144"/>
              <w:jc w:val="left"/>
              <w:rPr>
                <w:sz w:val="18"/>
              </w:rPr>
            </w:pPr>
            <w:r>
              <w:rPr>
                <w:spacing w:val="-2"/>
                <w:sz w:val="18"/>
              </w:rPr>
              <w:t>GS-</w:t>
            </w:r>
            <w:r>
              <w:rPr>
                <w:spacing w:val="-5"/>
                <w:sz w:val="18"/>
              </w:rPr>
              <w:t>OL</w:t>
            </w:r>
          </w:p>
        </w:tc>
        <w:tc>
          <w:tcPr>
            <w:tcW w:w="2213" w:type="dxa"/>
            <w:tcBorders>
              <w:top w:val="single" w:sz="4" w:space="0" w:color="000000"/>
              <w:bottom w:val="single" w:sz="4" w:space="0" w:color="000000"/>
            </w:tcBorders>
          </w:tcPr>
          <w:p>
            <w:pPr>
              <w:pStyle w:val="TableParagraph"/>
              <w:spacing w:before="62"/>
              <w:ind w:left="144"/>
              <w:jc w:val="left"/>
              <w:rPr>
                <w:sz w:val="18"/>
              </w:rPr>
            </w:pPr>
            <w:r>
              <w:rPr>
                <w:sz w:val="18"/>
              </w:rPr>
              <w:t>Administrative</w:t>
            </w:r>
            <w:r>
              <w:rPr>
                <w:spacing w:val="-8"/>
                <w:sz w:val="18"/>
              </w:rPr>
              <w:t> </w:t>
            </w:r>
            <w:r>
              <w:rPr>
                <w:spacing w:val="-2"/>
                <w:sz w:val="18"/>
              </w:rPr>
              <w:t>Assistant</w:t>
            </w:r>
          </w:p>
        </w:tc>
        <w:tc>
          <w:tcPr>
            <w:tcW w:w="2537" w:type="dxa"/>
            <w:tcBorders>
              <w:top w:val="single" w:sz="4" w:space="0" w:color="000000"/>
              <w:bottom w:val="single" w:sz="4" w:space="0" w:color="000000"/>
            </w:tcBorders>
          </w:tcPr>
          <w:p>
            <w:pPr>
              <w:pStyle w:val="TableParagraph"/>
              <w:spacing w:before="62"/>
              <w:ind w:left="53"/>
              <w:jc w:val="left"/>
              <w:rPr>
                <w:sz w:val="18"/>
              </w:rPr>
            </w:pPr>
            <w:r>
              <w:rPr>
                <w:sz w:val="18"/>
              </w:rPr>
              <w:t>Administration</w:t>
            </w:r>
            <w:r>
              <w:rPr>
                <w:spacing w:val="-8"/>
                <w:sz w:val="18"/>
              </w:rPr>
              <w:t> </w:t>
            </w:r>
            <w:r>
              <w:rPr>
                <w:spacing w:val="-4"/>
                <w:sz w:val="18"/>
              </w:rPr>
              <w:t>Unit</w:t>
            </w:r>
          </w:p>
        </w:tc>
        <w:tc>
          <w:tcPr>
            <w:tcW w:w="2774" w:type="dxa"/>
            <w:tcBorders>
              <w:top w:val="single" w:sz="4" w:space="0" w:color="000000"/>
              <w:bottom w:val="single" w:sz="4" w:space="0" w:color="000000"/>
            </w:tcBorders>
          </w:tcPr>
          <w:p>
            <w:pPr>
              <w:pStyle w:val="TableParagraph"/>
              <w:spacing w:before="62"/>
              <w:ind w:left="76"/>
              <w:jc w:val="left"/>
              <w:rPr>
                <w:sz w:val="18"/>
              </w:rPr>
            </w:pPr>
            <w:r>
              <w:rPr>
                <w:sz w:val="18"/>
              </w:rPr>
              <w:t>Deputy</w:t>
            </w:r>
            <w:r>
              <w:rPr>
                <w:spacing w:val="-6"/>
                <w:sz w:val="18"/>
              </w:rPr>
              <w:t> </w:t>
            </w:r>
            <w:r>
              <w:rPr>
                <w:sz w:val="18"/>
              </w:rPr>
              <w:t>Prosecutor</w:t>
            </w:r>
            <w:r>
              <w:rPr>
                <w:spacing w:val="-6"/>
                <w:sz w:val="18"/>
              </w:rPr>
              <w:t> </w:t>
            </w:r>
            <w:r>
              <w:rPr>
                <w:spacing w:val="-2"/>
                <w:sz w:val="18"/>
              </w:rPr>
              <w:t>Staffing</w:t>
            </w:r>
          </w:p>
        </w:tc>
      </w:tr>
      <w:tr>
        <w:trPr>
          <w:trHeight w:val="325" w:hRule="atLeast"/>
        </w:trPr>
        <w:tc>
          <w:tcPr>
            <w:tcW w:w="1358" w:type="dxa"/>
            <w:tcBorders>
              <w:top w:val="single" w:sz="4" w:space="0" w:color="000000"/>
              <w:bottom w:val="single" w:sz="4" w:space="0" w:color="000000"/>
            </w:tcBorders>
          </w:tcPr>
          <w:p>
            <w:pPr>
              <w:pStyle w:val="TableParagraph"/>
              <w:spacing w:before="62"/>
              <w:ind w:left="174"/>
              <w:jc w:val="center"/>
              <w:rPr>
                <w:sz w:val="18"/>
              </w:rPr>
            </w:pPr>
            <w:r>
              <w:rPr>
                <w:w w:val="101"/>
                <w:sz w:val="18"/>
              </w:rPr>
              <w:t>1</w:t>
            </w:r>
          </w:p>
        </w:tc>
        <w:tc>
          <w:tcPr>
            <w:tcW w:w="822" w:type="dxa"/>
            <w:tcBorders>
              <w:top w:val="single" w:sz="4" w:space="0" w:color="000000"/>
              <w:bottom w:val="single" w:sz="4" w:space="0" w:color="000000"/>
            </w:tcBorders>
          </w:tcPr>
          <w:p>
            <w:pPr>
              <w:pStyle w:val="TableParagraph"/>
              <w:spacing w:before="62"/>
              <w:ind w:left="144"/>
              <w:jc w:val="left"/>
              <w:rPr>
                <w:sz w:val="18"/>
              </w:rPr>
            </w:pPr>
            <w:r>
              <w:rPr>
                <w:spacing w:val="-2"/>
                <w:sz w:val="18"/>
              </w:rPr>
              <w:t>GS-</w:t>
            </w:r>
            <w:r>
              <w:rPr>
                <w:spacing w:val="-5"/>
                <w:sz w:val="18"/>
              </w:rPr>
              <w:t>OL</w:t>
            </w:r>
          </w:p>
        </w:tc>
        <w:tc>
          <w:tcPr>
            <w:tcW w:w="2213" w:type="dxa"/>
            <w:tcBorders>
              <w:top w:val="single" w:sz="4" w:space="0" w:color="000000"/>
              <w:bottom w:val="single" w:sz="4" w:space="0" w:color="000000"/>
            </w:tcBorders>
          </w:tcPr>
          <w:p>
            <w:pPr>
              <w:pStyle w:val="TableParagraph"/>
              <w:spacing w:before="62"/>
              <w:ind w:left="144"/>
              <w:jc w:val="left"/>
              <w:rPr>
                <w:sz w:val="18"/>
              </w:rPr>
            </w:pPr>
            <w:r>
              <w:rPr>
                <w:sz w:val="18"/>
              </w:rPr>
              <w:t>Trial</w:t>
            </w:r>
            <w:r>
              <w:rPr>
                <w:spacing w:val="-3"/>
                <w:sz w:val="18"/>
              </w:rPr>
              <w:t> </w:t>
            </w:r>
            <w:r>
              <w:rPr>
                <w:sz w:val="18"/>
              </w:rPr>
              <w:t>Support</w:t>
            </w:r>
            <w:r>
              <w:rPr>
                <w:spacing w:val="-2"/>
                <w:sz w:val="18"/>
              </w:rPr>
              <w:t> Assistant</w:t>
            </w:r>
          </w:p>
        </w:tc>
        <w:tc>
          <w:tcPr>
            <w:tcW w:w="2537" w:type="dxa"/>
            <w:tcBorders>
              <w:top w:val="single" w:sz="4" w:space="0" w:color="000000"/>
              <w:bottom w:val="single" w:sz="4" w:space="0" w:color="000000"/>
            </w:tcBorders>
          </w:tcPr>
          <w:p>
            <w:pPr>
              <w:pStyle w:val="TableParagraph"/>
              <w:spacing w:before="62"/>
              <w:ind w:left="53"/>
              <w:jc w:val="left"/>
              <w:rPr>
                <w:sz w:val="18"/>
              </w:rPr>
            </w:pPr>
            <w:r>
              <w:rPr>
                <w:sz w:val="18"/>
              </w:rPr>
              <w:t>Appeals</w:t>
            </w:r>
            <w:r>
              <w:rPr>
                <w:spacing w:val="-3"/>
                <w:sz w:val="18"/>
              </w:rPr>
              <w:t> </w:t>
            </w:r>
            <w:r>
              <w:rPr>
                <w:spacing w:val="-2"/>
                <w:sz w:val="18"/>
              </w:rPr>
              <w:t>Section</w:t>
            </w:r>
          </w:p>
        </w:tc>
        <w:tc>
          <w:tcPr>
            <w:tcW w:w="2774" w:type="dxa"/>
            <w:tcBorders>
              <w:top w:val="single" w:sz="4" w:space="0" w:color="000000"/>
              <w:bottom w:val="single" w:sz="4" w:space="0" w:color="000000"/>
            </w:tcBorders>
          </w:tcPr>
          <w:p>
            <w:pPr>
              <w:pStyle w:val="TableParagraph"/>
              <w:spacing w:before="62"/>
              <w:ind w:left="76"/>
              <w:jc w:val="left"/>
              <w:rPr>
                <w:sz w:val="18"/>
              </w:rPr>
            </w:pPr>
            <w:r>
              <w:rPr>
                <w:sz w:val="18"/>
              </w:rPr>
              <w:t>Unified</w:t>
            </w:r>
            <w:r>
              <w:rPr>
                <w:spacing w:val="-6"/>
                <w:sz w:val="18"/>
              </w:rPr>
              <w:t> </w:t>
            </w:r>
            <w:r>
              <w:rPr>
                <w:spacing w:val="-2"/>
                <w:sz w:val="18"/>
              </w:rPr>
              <w:t>teams</w:t>
            </w:r>
          </w:p>
        </w:tc>
      </w:tr>
      <w:tr>
        <w:trPr>
          <w:trHeight w:val="330" w:hRule="atLeast"/>
        </w:trPr>
        <w:tc>
          <w:tcPr>
            <w:tcW w:w="9704" w:type="dxa"/>
            <w:gridSpan w:val="5"/>
            <w:tcBorders>
              <w:top w:val="single" w:sz="4" w:space="0" w:color="000000"/>
              <w:bottom w:val="single" w:sz="4" w:space="0" w:color="000000"/>
            </w:tcBorders>
          </w:tcPr>
          <w:p>
            <w:pPr>
              <w:pStyle w:val="TableParagraph"/>
              <w:spacing w:before="62"/>
              <w:ind w:left="28"/>
              <w:jc w:val="left"/>
              <w:rPr>
                <w:b/>
                <w:sz w:val="18"/>
              </w:rPr>
            </w:pPr>
            <w:r>
              <w:rPr>
                <w:b/>
                <w:sz w:val="18"/>
              </w:rPr>
              <w:t>Total</w:t>
            </w:r>
            <w:r>
              <w:rPr>
                <w:b/>
                <w:spacing w:val="-4"/>
                <w:sz w:val="18"/>
              </w:rPr>
              <w:t> </w:t>
            </w:r>
            <w:r>
              <w:rPr>
                <w:b/>
                <w:sz w:val="18"/>
              </w:rPr>
              <w:t>Office</w:t>
            </w:r>
            <w:r>
              <w:rPr>
                <w:b/>
                <w:spacing w:val="-6"/>
                <w:sz w:val="18"/>
              </w:rPr>
              <w:t> </w:t>
            </w:r>
            <w:r>
              <w:rPr>
                <w:b/>
                <w:sz w:val="18"/>
              </w:rPr>
              <w:t>of</w:t>
            </w:r>
            <w:r>
              <w:rPr>
                <w:b/>
                <w:spacing w:val="-3"/>
                <w:sz w:val="18"/>
              </w:rPr>
              <w:t> </w:t>
            </w:r>
            <w:r>
              <w:rPr>
                <w:b/>
                <w:sz w:val="18"/>
              </w:rPr>
              <w:t>the</w:t>
            </w:r>
            <w:r>
              <w:rPr>
                <w:b/>
                <w:spacing w:val="-5"/>
                <w:sz w:val="18"/>
              </w:rPr>
              <w:t> </w:t>
            </w:r>
            <w:r>
              <w:rPr>
                <w:b/>
                <w:sz w:val="18"/>
              </w:rPr>
              <w:t>Prosecutor</w:t>
            </w:r>
            <w:r>
              <w:rPr>
                <w:b/>
                <w:spacing w:val="-6"/>
                <w:sz w:val="18"/>
              </w:rPr>
              <w:t> </w:t>
            </w:r>
            <w:r>
              <w:rPr>
                <w:b/>
                <w:sz w:val="18"/>
              </w:rPr>
              <w:t>redeployments:</w:t>
            </w:r>
            <w:r>
              <w:rPr>
                <w:b/>
                <w:spacing w:val="-5"/>
                <w:sz w:val="18"/>
              </w:rPr>
              <w:t> 35</w:t>
            </w:r>
          </w:p>
        </w:tc>
      </w:tr>
      <w:tr>
        <w:trPr>
          <w:trHeight w:val="326" w:hRule="atLeast"/>
        </w:trPr>
        <w:tc>
          <w:tcPr>
            <w:tcW w:w="1358" w:type="dxa"/>
            <w:tcBorders>
              <w:top w:val="single" w:sz="4" w:space="0" w:color="000000"/>
              <w:bottom w:val="single" w:sz="4" w:space="0" w:color="000000"/>
            </w:tcBorders>
          </w:tcPr>
          <w:p>
            <w:pPr>
              <w:pStyle w:val="TableParagraph"/>
              <w:spacing w:before="62"/>
              <w:ind w:left="174"/>
              <w:jc w:val="center"/>
              <w:rPr>
                <w:sz w:val="18"/>
              </w:rPr>
            </w:pPr>
            <w:r>
              <w:rPr>
                <w:w w:val="101"/>
                <w:sz w:val="18"/>
              </w:rPr>
              <w:t>1</w:t>
            </w:r>
          </w:p>
        </w:tc>
        <w:tc>
          <w:tcPr>
            <w:tcW w:w="822" w:type="dxa"/>
            <w:tcBorders>
              <w:top w:val="single" w:sz="4" w:space="0" w:color="000000"/>
              <w:bottom w:val="single" w:sz="4" w:space="0" w:color="000000"/>
            </w:tcBorders>
          </w:tcPr>
          <w:p>
            <w:pPr>
              <w:pStyle w:val="TableParagraph"/>
              <w:spacing w:before="62"/>
              <w:ind w:left="144"/>
              <w:jc w:val="left"/>
              <w:rPr>
                <w:sz w:val="18"/>
              </w:rPr>
            </w:pPr>
            <w:r>
              <w:rPr>
                <w:sz w:val="18"/>
              </w:rPr>
              <w:t>P-</w:t>
            </w:r>
            <w:r>
              <w:rPr>
                <w:spacing w:val="-10"/>
                <w:sz w:val="18"/>
              </w:rPr>
              <w:t>5</w:t>
            </w:r>
          </w:p>
        </w:tc>
        <w:tc>
          <w:tcPr>
            <w:tcW w:w="2213" w:type="dxa"/>
            <w:tcBorders>
              <w:top w:val="single" w:sz="4" w:space="0" w:color="000000"/>
              <w:bottom w:val="single" w:sz="4" w:space="0" w:color="000000"/>
            </w:tcBorders>
          </w:tcPr>
          <w:p>
            <w:pPr>
              <w:pStyle w:val="TableParagraph"/>
              <w:spacing w:before="62"/>
              <w:ind w:left="144"/>
              <w:jc w:val="left"/>
              <w:rPr>
                <w:sz w:val="18"/>
              </w:rPr>
            </w:pPr>
            <w:r>
              <w:rPr>
                <w:sz w:val="18"/>
              </w:rPr>
              <w:t>Chief</w:t>
            </w:r>
            <w:r>
              <w:rPr>
                <w:spacing w:val="-3"/>
                <w:sz w:val="18"/>
              </w:rPr>
              <w:t> </w:t>
            </w:r>
            <w:r>
              <w:rPr>
                <w:sz w:val="18"/>
              </w:rPr>
              <w:t>of</w:t>
            </w:r>
            <w:r>
              <w:rPr>
                <w:spacing w:val="-2"/>
                <w:sz w:val="18"/>
              </w:rPr>
              <w:t> </w:t>
            </w:r>
            <w:r>
              <w:rPr>
                <w:sz w:val="18"/>
              </w:rPr>
              <w:t>Country</w:t>
            </w:r>
            <w:r>
              <w:rPr>
                <w:spacing w:val="1"/>
                <w:sz w:val="18"/>
              </w:rPr>
              <w:t> </w:t>
            </w:r>
            <w:r>
              <w:rPr>
                <w:spacing w:val="-2"/>
                <w:sz w:val="18"/>
              </w:rPr>
              <w:t>Office</w:t>
            </w:r>
          </w:p>
        </w:tc>
        <w:tc>
          <w:tcPr>
            <w:tcW w:w="2537" w:type="dxa"/>
            <w:tcBorders>
              <w:top w:val="single" w:sz="4" w:space="0" w:color="000000"/>
              <w:bottom w:val="single" w:sz="4" w:space="0" w:color="000000"/>
            </w:tcBorders>
          </w:tcPr>
          <w:p>
            <w:pPr>
              <w:pStyle w:val="TableParagraph"/>
              <w:spacing w:before="62"/>
              <w:ind w:left="53"/>
              <w:jc w:val="left"/>
              <w:rPr>
                <w:sz w:val="18"/>
              </w:rPr>
            </w:pPr>
            <w:r>
              <w:rPr>
                <w:sz w:val="18"/>
              </w:rPr>
              <w:t>Country</w:t>
            </w:r>
            <w:r>
              <w:rPr>
                <w:spacing w:val="-3"/>
                <w:sz w:val="18"/>
              </w:rPr>
              <w:t> </w:t>
            </w:r>
            <w:r>
              <w:rPr>
                <w:sz w:val="18"/>
              </w:rPr>
              <w:t>Office</w:t>
            </w:r>
            <w:r>
              <w:rPr>
                <w:spacing w:val="-1"/>
                <w:sz w:val="18"/>
              </w:rPr>
              <w:t> </w:t>
            </w:r>
            <w:r>
              <w:rPr>
                <w:sz w:val="18"/>
              </w:rPr>
              <w:t>-</w:t>
            </w:r>
            <w:r>
              <w:rPr>
                <w:spacing w:val="-2"/>
                <w:sz w:val="18"/>
              </w:rPr>
              <w:t> </w:t>
            </w:r>
            <w:r>
              <w:rPr>
                <w:sz w:val="18"/>
              </w:rPr>
              <w:t>Cote</w:t>
            </w:r>
            <w:r>
              <w:rPr>
                <w:spacing w:val="-3"/>
                <w:sz w:val="18"/>
              </w:rPr>
              <w:t> </w:t>
            </w:r>
            <w:r>
              <w:rPr>
                <w:spacing w:val="-2"/>
                <w:sz w:val="18"/>
              </w:rPr>
              <w:t>d'Ivoire</w:t>
            </w:r>
          </w:p>
        </w:tc>
        <w:tc>
          <w:tcPr>
            <w:tcW w:w="2774" w:type="dxa"/>
            <w:tcBorders>
              <w:top w:val="single" w:sz="4" w:space="0" w:color="000000"/>
              <w:bottom w:val="single" w:sz="4" w:space="0" w:color="000000"/>
            </w:tcBorders>
          </w:tcPr>
          <w:p>
            <w:pPr>
              <w:pStyle w:val="TableParagraph"/>
              <w:spacing w:before="62"/>
              <w:ind w:left="76"/>
              <w:jc w:val="left"/>
              <w:rPr>
                <w:sz w:val="18"/>
              </w:rPr>
            </w:pPr>
            <w:r>
              <w:rPr>
                <w:sz w:val="18"/>
              </w:rPr>
              <w:t>Country</w:t>
            </w:r>
            <w:r>
              <w:rPr>
                <w:spacing w:val="-3"/>
                <w:sz w:val="18"/>
              </w:rPr>
              <w:t> </w:t>
            </w:r>
            <w:r>
              <w:rPr>
                <w:sz w:val="18"/>
              </w:rPr>
              <w:t>Office -</w:t>
            </w:r>
            <w:r>
              <w:rPr>
                <w:spacing w:val="-1"/>
                <w:sz w:val="18"/>
              </w:rPr>
              <w:t> </w:t>
            </w:r>
            <w:r>
              <w:rPr>
                <w:spacing w:val="-4"/>
                <w:sz w:val="18"/>
              </w:rPr>
              <w:t>Mali</w:t>
            </w:r>
          </w:p>
        </w:tc>
      </w:tr>
      <w:tr>
        <w:trPr>
          <w:trHeight w:val="532" w:hRule="atLeast"/>
        </w:trPr>
        <w:tc>
          <w:tcPr>
            <w:tcW w:w="1358" w:type="dxa"/>
            <w:tcBorders>
              <w:top w:val="single" w:sz="4" w:space="0" w:color="000000"/>
              <w:bottom w:val="single" w:sz="4" w:space="0" w:color="000000"/>
            </w:tcBorders>
          </w:tcPr>
          <w:p>
            <w:pPr>
              <w:pStyle w:val="TableParagraph"/>
              <w:spacing w:before="62"/>
              <w:ind w:left="174"/>
              <w:jc w:val="center"/>
              <w:rPr>
                <w:sz w:val="18"/>
              </w:rPr>
            </w:pPr>
            <w:r>
              <w:rPr>
                <w:w w:val="101"/>
                <w:sz w:val="18"/>
              </w:rPr>
              <w:t>1</w:t>
            </w:r>
          </w:p>
        </w:tc>
        <w:tc>
          <w:tcPr>
            <w:tcW w:w="822" w:type="dxa"/>
            <w:tcBorders>
              <w:top w:val="single" w:sz="4" w:space="0" w:color="000000"/>
              <w:bottom w:val="single" w:sz="4" w:space="0" w:color="000000"/>
            </w:tcBorders>
          </w:tcPr>
          <w:p>
            <w:pPr>
              <w:pStyle w:val="TableParagraph"/>
              <w:spacing w:before="62"/>
              <w:ind w:left="144"/>
              <w:jc w:val="left"/>
              <w:rPr>
                <w:sz w:val="18"/>
              </w:rPr>
            </w:pPr>
            <w:r>
              <w:rPr>
                <w:sz w:val="18"/>
              </w:rPr>
              <w:t>P-</w:t>
            </w:r>
            <w:r>
              <w:rPr>
                <w:spacing w:val="-10"/>
                <w:sz w:val="18"/>
              </w:rPr>
              <w:t>2</w:t>
            </w:r>
          </w:p>
        </w:tc>
        <w:tc>
          <w:tcPr>
            <w:tcW w:w="2213" w:type="dxa"/>
            <w:tcBorders>
              <w:top w:val="single" w:sz="4" w:space="0" w:color="000000"/>
              <w:bottom w:val="single" w:sz="4" w:space="0" w:color="000000"/>
            </w:tcBorders>
          </w:tcPr>
          <w:p>
            <w:pPr>
              <w:pStyle w:val="TableParagraph"/>
              <w:spacing w:before="57"/>
              <w:ind w:left="144"/>
              <w:jc w:val="left"/>
              <w:rPr>
                <w:sz w:val="18"/>
              </w:rPr>
            </w:pPr>
            <w:r>
              <w:rPr>
                <w:sz w:val="18"/>
              </w:rPr>
              <w:t>Associate</w:t>
            </w:r>
            <w:r>
              <w:rPr>
                <w:spacing w:val="-12"/>
                <w:sz w:val="18"/>
              </w:rPr>
              <w:t> </w:t>
            </w:r>
            <w:r>
              <w:rPr>
                <w:sz w:val="18"/>
              </w:rPr>
              <w:t>Field</w:t>
            </w:r>
            <w:r>
              <w:rPr>
                <w:spacing w:val="-11"/>
                <w:sz w:val="18"/>
              </w:rPr>
              <w:t> </w:t>
            </w:r>
            <w:r>
              <w:rPr>
                <w:sz w:val="18"/>
              </w:rPr>
              <w:t>Security </w:t>
            </w:r>
            <w:r>
              <w:rPr>
                <w:spacing w:val="-2"/>
                <w:sz w:val="18"/>
              </w:rPr>
              <w:t>Officer</w:t>
            </w:r>
          </w:p>
        </w:tc>
        <w:tc>
          <w:tcPr>
            <w:tcW w:w="2537" w:type="dxa"/>
            <w:tcBorders>
              <w:top w:val="single" w:sz="4" w:space="0" w:color="000000"/>
              <w:bottom w:val="single" w:sz="4" w:space="0" w:color="000000"/>
            </w:tcBorders>
          </w:tcPr>
          <w:p>
            <w:pPr>
              <w:pStyle w:val="TableParagraph"/>
              <w:spacing w:before="57"/>
              <w:ind w:left="53"/>
              <w:jc w:val="left"/>
              <w:rPr>
                <w:sz w:val="18"/>
              </w:rPr>
            </w:pPr>
            <w:r>
              <w:rPr>
                <w:sz w:val="18"/>
              </w:rPr>
              <w:t>Country</w:t>
            </w:r>
            <w:r>
              <w:rPr>
                <w:spacing w:val="-12"/>
                <w:sz w:val="18"/>
              </w:rPr>
              <w:t> </w:t>
            </w:r>
            <w:r>
              <w:rPr>
                <w:sz w:val="18"/>
              </w:rPr>
              <w:t>Office</w:t>
            </w:r>
            <w:r>
              <w:rPr>
                <w:spacing w:val="-11"/>
                <w:sz w:val="18"/>
              </w:rPr>
              <w:t> </w:t>
            </w:r>
            <w:r>
              <w:rPr>
                <w:sz w:val="18"/>
              </w:rPr>
              <w:t>-</w:t>
            </w:r>
            <w:r>
              <w:rPr>
                <w:spacing w:val="-11"/>
                <w:sz w:val="18"/>
              </w:rPr>
              <w:t> </w:t>
            </w:r>
            <w:r>
              <w:rPr>
                <w:sz w:val="18"/>
              </w:rPr>
              <w:t>Democratic Republic of the Congo</w:t>
            </w:r>
          </w:p>
        </w:tc>
        <w:tc>
          <w:tcPr>
            <w:tcW w:w="2774" w:type="dxa"/>
            <w:tcBorders>
              <w:top w:val="single" w:sz="4" w:space="0" w:color="000000"/>
              <w:bottom w:val="single" w:sz="4" w:space="0" w:color="000000"/>
            </w:tcBorders>
          </w:tcPr>
          <w:p>
            <w:pPr>
              <w:pStyle w:val="TableParagraph"/>
              <w:spacing w:before="62"/>
              <w:ind w:left="76"/>
              <w:jc w:val="left"/>
              <w:rPr>
                <w:sz w:val="18"/>
              </w:rPr>
            </w:pPr>
            <w:r>
              <w:rPr>
                <w:sz w:val="18"/>
              </w:rPr>
              <w:t>Country</w:t>
            </w:r>
            <w:r>
              <w:rPr>
                <w:spacing w:val="-3"/>
                <w:sz w:val="18"/>
              </w:rPr>
              <w:t> </w:t>
            </w:r>
            <w:r>
              <w:rPr>
                <w:sz w:val="18"/>
              </w:rPr>
              <w:t>Office -</w:t>
            </w:r>
            <w:r>
              <w:rPr>
                <w:spacing w:val="-1"/>
                <w:sz w:val="18"/>
              </w:rPr>
              <w:t> </w:t>
            </w:r>
            <w:r>
              <w:rPr>
                <w:spacing w:val="-2"/>
                <w:sz w:val="18"/>
              </w:rPr>
              <w:t>Uganda</w:t>
            </w:r>
          </w:p>
        </w:tc>
      </w:tr>
      <w:tr>
        <w:trPr>
          <w:trHeight w:val="325" w:hRule="atLeast"/>
        </w:trPr>
        <w:tc>
          <w:tcPr>
            <w:tcW w:w="4393" w:type="dxa"/>
            <w:gridSpan w:val="3"/>
            <w:tcBorders>
              <w:top w:val="single" w:sz="4" w:space="0" w:color="000000"/>
              <w:bottom w:val="single" w:sz="4" w:space="0" w:color="000000"/>
            </w:tcBorders>
          </w:tcPr>
          <w:p>
            <w:pPr>
              <w:pStyle w:val="TableParagraph"/>
              <w:spacing w:before="62"/>
              <w:ind w:left="28"/>
              <w:jc w:val="left"/>
              <w:rPr>
                <w:b/>
                <w:sz w:val="18"/>
              </w:rPr>
            </w:pPr>
            <w:r>
              <w:rPr>
                <w:b/>
                <w:sz w:val="18"/>
              </w:rPr>
              <w:t>Total</w:t>
            </w:r>
            <w:r>
              <w:rPr>
                <w:b/>
                <w:spacing w:val="-4"/>
                <w:sz w:val="18"/>
              </w:rPr>
              <w:t> </w:t>
            </w:r>
            <w:r>
              <w:rPr>
                <w:b/>
                <w:sz w:val="18"/>
              </w:rPr>
              <w:t>Registry</w:t>
            </w:r>
            <w:r>
              <w:rPr>
                <w:b/>
                <w:spacing w:val="-6"/>
                <w:sz w:val="18"/>
              </w:rPr>
              <w:t> </w:t>
            </w:r>
            <w:r>
              <w:rPr>
                <w:b/>
                <w:sz w:val="18"/>
              </w:rPr>
              <w:t>redeployments:</w:t>
            </w:r>
            <w:r>
              <w:rPr>
                <w:b/>
                <w:spacing w:val="-8"/>
                <w:sz w:val="18"/>
              </w:rPr>
              <w:t> </w:t>
            </w:r>
            <w:r>
              <w:rPr>
                <w:b/>
                <w:spacing w:val="-10"/>
                <w:sz w:val="18"/>
              </w:rPr>
              <w:t>2</w:t>
            </w:r>
          </w:p>
        </w:tc>
        <w:tc>
          <w:tcPr>
            <w:tcW w:w="2537" w:type="dxa"/>
            <w:tcBorders>
              <w:top w:val="single" w:sz="4" w:space="0" w:color="000000"/>
              <w:bottom w:val="single" w:sz="4" w:space="0" w:color="000000"/>
            </w:tcBorders>
          </w:tcPr>
          <w:p>
            <w:pPr>
              <w:pStyle w:val="TableParagraph"/>
              <w:jc w:val="left"/>
              <w:rPr>
                <w:sz w:val="18"/>
              </w:rPr>
            </w:pPr>
          </w:p>
        </w:tc>
        <w:tc>
          <w:tcPr>
            <w:tcW w:w="2774" w:type="dxa"/>
            <w:tcBorders>
              <w:top w:val="single" w:sz="4" w:space="0" w:color="000000"/>
              <w:bottom w:val="single" w:sz="4" w:space="0" w:color="000000"/>
            </w:tcBorders>
          </w:tcPr>
          <w:p>
            <w:pPr>
              <w:pStyle w:val="TableParagraph"/>
              <w:jc w:val="left"/>
              <w:rPr>
                <w:sz w:val="18"/>
              </w:rPr>
            </w:pPr>
          </w:p>
        </w:tc>
      </w:tr>
      <w:tr>
        <w:trPr>
          <w:trHeight w:val="330" w:hRule="atLeast"/>
        </w:trPr>
        <w:tc>
          <w:tcPr>
            <w:tcW w:w="4393" w:type="dxa"/>
            <w:gridSpan w:val="3"/>
            <w:tcBorders>
              <w:top w:val="single" w:sz="4" w:space="0" w:color="000000"/>
              <w:bottom w:val="single" w:sz="4" w:space="0" w:color="000000"/>
            </w:tcBorders>
          </w:tcPr>
          <w:p>
            <w:pPr>
              <w:pStyle w:val="TableParagraph"/>
              <w:spacing w:before="62"/>
              <w:ind w:left="28"/>
              <w:jc w:val="left"/>
              <w:rPr>
                <w:b/>
                <w:sz w:val="18"/>
              </w:rPr>
            </w:pPr>
            <w:r>
              <w:rPr>
                <w:b/>
                <w:sz w:val="18"/>
              </w:rPr>
              <w:t>Total</w:t>
            </w:r>
            <w:r>
              <w:rPr>
                <w:b/>
                <w:spacing w:val="-8"/>
                <w:sz w:val="18"/>
              </w:rPr>
              <w:t> </w:t>
            </w:r>
            <w:r>
              <w:rPr>
                <w:b/>
                <w:sz w:val="18"/>
              </w:rPr>
              <w:t>redeployments:</w:t>
            </w:r>
            <w:r>
              <w:rPr>
                <w:b/>
                <w:spacing w:val="-5"/>
                <w:sz w:val="18"/>
              </w:rPr>
              <w:t> 37</w:t>
            </w:r>
          </w:p>
        </w:tc>
        <w:tc>
          <w:tcPr>
            <w:tcW w:w="2537" w:type="dxa"/>
            <w:tcBorders>
              <w:top w:val="single" w:sz="4" w:space="0" w:color="000000"/>
              <w:bottom w:val="single" w:sz="4" w:space="0" w:color="000000"/>
            </w:tcBorders>
          </w:tcPr>
          <w:p>
            <w:pPr>
              <w:pStyle w:val="TableParagraph"/>
              <w:jc w:val="left"/>
              <w:rPr>
                <w:sz w:val="18"/>
              </w:rPr>
            </w:pPr>
          </w:p>
        </w:tc>
        <w:tc>
          <w:tcPr>
            <w:tcW w:w="2774" w:type="dxa"/>
            <w:tcBorders>
              <w:top w:val="single" w:sz="4" w:space="0" w:color="000000"/>
              <w:bottom w:val="single" w:sz="4" w:space="0" w:color="000000"/>
            </w:tcBorders>
          </w:tcPr>
          <w:p>
            <w:pPr>
              <w:pStyle w:val="TableParagraph"/>
              <w:jc w:val="left"/>
              <w:rPr>
                <w:sz w:val="18"/>
              </w:rPr>
            </w:pPr>
          </w:p>
        </w:tc>
      </w:tr>
    </w:tbl>
    <w:p>
      <w:pPr>
        <w:spacing w:after="0"/>
        <w:jc w:val="left"/>
        <w:rPr>
          <w:sz w:val="18"/>
        </w:rPr>
        <w:sectPr>
          <w:pgSz w:w="11910" w:h="16840"/>
          <w:pgMar w:header="957" w:footer="940" w:top="1140" w:bottom="1140" w:left="20" w:right="20"/>
        </w:sectPr>
      </w:pPr>
    </w:p>
    <w:p>
      <w:pPr>
        <w:pStyle w:val="BodyText"/>
        <w:spacing w:before="8"/>
        <w:rPr>
          <w:b/>
          <w:sz w:val="13"/>
        </w:rPr>
      </w:pPr>
      <w:r>
        <w:rPr/>
        <w:pict>
          <v:rect style="position:absolute;margin-left:55.223999pt;margin-top:57.619984pt;width:484.99pt;height:.24pt;mso-position-horizontal-relative:page;mso-position-vertical-relative:page;z-index:15783424" id="docshape426" filled="true" fillcolor="#000000" stroked="false">
            <v:fill type="solid"/>
            <w10:wrap type="none"/>
          </v:rect>
        </w:pict>
      </w:r>
    </w:p>
    <w:p>
      <w:pPr>
        <w:spacing w:before="87"/>
        <w:ind w:left="2246" w:right="0" w:firstLine="0"/>
        <w:jc w:val="left"/>
        <w:rPr>
          <w:b/>
          <w:sz w:val="28"/>
        </w:rPr>
      </w:pPr>
      <w:bookmarkStart w:name="_bookmark77" w:id="78"/>
      <w:bookmarkEnd w:id="78"/>
      <w:r>
        <w:rPr/>
      </w:r>
      <w:r>
        <w:rPr>
          <w:b/>
          <w:sz w:val="28"/>
        </w:rPr>
        <w:t>List</w:t>
      </w:r>
      <w:r>
        <w:rPr>
          <w:b/>
          <w:spacing w:val="-8"/>
          <w:sz w:val="28"/>
        </w:rPr>
        <w:t> </w:t>
      </w:r>
      <w:r>
        <w:rPr>
          <w:b/>
          <w:sz w:val="28"/>
        </w:rPr>
        <w:t>of</w:t>
      </w:r>
      <w:r>
        <w:rPr>
          <w:b/>
          <w:spacing w:val="-7"/>
          <w:sz w:val="28"/>
        </w:rPr>
        <w:t> </w:t>
      </w:r>
      <w:r>
        <w:rPr>
          <w:b/>
          <w:sz w:val="28"/>
        </w:rPr>
        <w:t>conversions</w:t>
      </w:r>
      <w:r>
        <w:rPr>
          <w:b/>
          <w:spacing w:val="-4"/>
          <w:sz w:val="28"/>
        </w:rPr>
        <w:t> </w:t>
      </w:r>
      <w:r>
        <w:rPr>
          <w:b/>
          <w:sz w:val="28"/>
        </w:rPr>
        <w:t>2023</w:t>
      </w:r>
      <w:r>
        <w:rPr>
          <w:b/>
          <w:spacing w:val="-7"/>
          <w:sz w:val="28"/>
        </w:rPr>
        <w:t> </w:t>
      </w:r>
      <w:r>
        <w:rPr>
          <w:b/>
          <w:sz w:val="28"/>
        </w:rPr>
        <w:t>(GTA</w:t>
      </w:r>
      <w:r>
        <w:rPr>
          <w:b/>
          <w:spacing w:val="-5"/>
          <w:sz w:val="28"/>
        </w:rPr>
        <w:t> </w:t>
      </w:r>
      <w:r>
        <w:rPr>
          <w:b/>
          <w:sz w:val="28"/>
        </w:rPr>
        <w:t>to</w:t>
      </w:r>
      <w:r>
        <w:rPr>
          <w:b/>
          <w:spacing w:val="-6"/>
          <w:sz w:val="28"/>
        </w:rPr>
        <w:t> </w:t>
      </w:r>
      <w:r>
        <w:rPr>
          <w:b/>
          <w:sz w:val="28"/>
        </w:rPr>
        <w:t>Established</w:t>
      </w:r>
      <w:r>
        <w:rPr>
          <w:b/>
          <w:spacing w:val="-7"/>
          <w:sz w:val="28"/>
        </w:rPr>
        <w:t> </w:t>
      </w:r>
      <w:r>
        <w:rPr>
          <w:b/>
          <w:spacing w:val="-2"/>
          <w:sz w:val="28"/>
        </w:rPr>
        <w:t>posts)</w:t>
      </w:r>
    </w:p>
    <w:p>
      <w:pPr>
        <w:pStyle w:val="BodyText"/>
        <w:spacing w:before="1"/>
        <w:rPr>
          <w:b/>
          <w:sz w:val="23"/>
        </w:rPr>
      </w:pPr>
    </w:p>
    <w:tbl>
      <w:tblPr>
        <w:tblW w:w="0" w:type="auto"/>
        <w:jc w:val="left"/>
        <w:tblInd w:w="1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59"/>
        <w:gridCol w:w="668"/>
        <w:gridCol w:w="989"/>
        <w:gridCol w:w="1492"/>
        <w:gridCol w:w="2677"/>
        <w:gridCol w:w="2614"/>
      </w:tblGrid>
      <w:tr>
        <w:trPr>
          <w:trHeight w:val="326" w:hRule="atLeast"/>
        </w:trPr>
        <w:tc>
          <w:tcPr>
            <w:tcW w:w="1259" w:type="dxa"/>
            <w:tcBorders>
              <w:top w:val="single" w:sz="4" w:space="0" w:color="000000"/>
              <w:bottom w:val="single" w:sz="4" w:space="0" w:color="000000"/>
            </w:tcBorders>
          </w:tcPr>
          <w:p>
            <w:pPr>
              <w:pStyle w:val="TableParagraph"/>
              <w:spacing w:before="62"/>
              <w:ind w:left="18" w:right="33"/>
              <w:jc w:val="center"/>
              <w:rPr>
                <w:i/>
                <w:sz w:val="18"/>
              </w:rPr>
            </w:pPr>
            <w:r>
              <w:rPr>
                <w:i/>
                <w:sz w:val="18"/>
              </w:rPr>
              <w:t>Number</w:t>
            </w:r>
            <w:r>
              <w:rPr>
                <w:i/>
                <w:spacing w:val="-3"/>
                <w:sz w:val="18"/>
              </w:rPr>
              <w:t> </w:t>
            </w:r>
            <w:r>
              <w:rPr>
                <w:i/>
                <w:sz w:val="18"/>
              </w:rPr>
              <w:t>of</w:t>
            </w:r>
            <w:r>
              <w:rPr>
                <w:i/>
                <w:spacing w:val="-1"/>
                <w:sz w:val="18"/>
              </w:rPr>
              <w:t> </w:t>
            </w:r>
            <w:r>
              <w:rPr>
                <w:i/>
                <w:spacing w:val="-2"/>
                <w:sz w:val="18"/>
              </w:rPr>
              <w:t>posts</w:t>
            </w:r>
          </w:p>
        </w:tc>
        <w:tc>
          <w:tcPr>
            <w:tcW w:w="668" w:type="dxa"/>
            <w:tcBorders>
              <w:top w:val="single" w:sz="4" w:space="0" w:color="000000"/>
              <w:bottom w:val="single" w:sz="4" w:space="0" w:color="000000"/>
            </w:tcBorders>
          </w:tcPr>
          <w:p>
            <w:pPr>
              <w:pStyle w:val="TableParagraph"/>
              <w:spacing w:before="62"/>
              <w:ind w:left="47"/>
              <w:jc w:val="left"/>
              <w:rPr>
                <w:i/>
                <w:sz w:val="18"/>
              </w:rPr>
            </w:pPr>
            <w:r>
              <w:rPr>
                <w:i/>
                <w:spacing w:val="-2"/>
                <w:sz w:val="18"/>
              </w:rPr>
              <w:t>Level</w:t>
            </w:r>
          </w:p>
        </w:tc>
        <w:tc>
          <w:tcPr>
            <w:tcW w:w="989" w:type="dxa"/>
            <w:tcBorders>
              <w:top w:val="single" w:sz="4" w:space="0" w:color="000000"/>
              <w:bottom w:val="single" w:sz="4" w:space="0" w:color="000000"/>
            </w:tcBorders>
          </w:tcPr>
          <w:p>
            <w:pPr>
              <w:pStyle w:val="TableParagraph"/>
              <w:spacing w:before="62"/>
              <w:ind w:left="89"/>
              <w:jc w:val="left"/>
              <w:rPr>
                <w:i/>
                <w:sz w:val="18"/>
              </w:rPr>
            </w:pPr>
            <w:r>
              <w:rPr>
                <w:i/>
                <w:sz w:val="18"/>
              </w:rPr>
              <w:t>From</w:t>
            </w:r>
            <w:r>
              <w:rPr>
                <w:i/>
                <w:spacing w:val="-4"/>
                <w:sz w:val="18"/>
              </w:rPr>
              <w:t> 2022</w:t>
            </w:r>
          </w:p>
        </w:tc>
        <w:tc>
          <w:tcPr>
            <w:tcW w:w="1492" w:type="dxa"/>
            <w:tcBorders>
              <w:top w:val="single" w:sz="4" w:space="0" w:color="000000"/>
              <w:bottom w:val="single" w:sz="4" w:space="0" w:color="000000"/>
            </w:tcBorders>
          </w:tcPr>
          <w:p>
            <w:pPr>
              <w:pStyle w:val="TableParagraph"/>
              <w:spacing w:before="62"/>
              <w:ind w:left="89"/>
              <w:jc w:val="left"/>
              <w:rPr>
                <w:i/>
                <w:sz w:val="18"/>
              </w:rPr>
            </w:pPr>
            <w:r>
              <w:rPr>
                <w:i/>
                <w:sz w:val="18"/>
              </w:rPr>
              <w:t>To</w:t>
            </w:r>
            <w:r>
              <w:rPr>
                <w:i/>
                <w:spacing w:val="2"/>
                <w:sz w:val="18"/>
              </w:rPr>
              <w:t> </w:t>
            </w:r>
            <w:r>
              <w:rPr>
                <w:i/>
                <w:spacing w:val="-4"/>
                <w:sz w:val="18"/>
              </w:rPr>
              <w:t>2023</w:t>
            </w:r>
          </w:p>
        </w:tc>
        <w:tc>
          <w:tcPr>
            <w:tcW w:w="2677" w:type="dxa"/>
            <w:tcBorders>
              <w:top w:val="single" w:sz="4" w:space="0" w:color="000000"/>
              <w:bottom w:val="single" w:sz="4" w:space="0" w:color="000000"/>
            </w:tcBorders>
          </w:tcPr>
          <w:p>
            <w:pPr>
              <w:pStyle w:val="TableParagraph"/>
              <w:spacing w:before="62"/>
              <w:ind w:left="158"/>
              <w:jc w:val="left"/>
              <w:rPr>
                <w:i/>
                <w:sz w:val="18"/>
              </w:rPr>
            </w:pPr>
            <w:r>
              <w:rPr>
                <w:i/>
                <w:sz w:val="18"/>
              </w:rPr>
              <w:t>Programme</w:t>
            </w:r>
            <w:r>
              <w:rPr>
                <w:i/>
                <w:spacing w:val="-3"/>
                <w:sz w:val="18"/>
              </w:rPr>
              <w:t> </w:t>
            </w:r>
            <w:r>
              <w:rPr>
                <w:i/>
                <w:sz w:val="18"/>
              </w:rPr>
              <w:t>/ </w:t>
            </w:r>
            <w:r>
              <w:rPr>
                <w:i/>
                <w:spacing w:val="-2"/>
                <w:sz w:val="18"/>
              </w:rPr>
              <w:t>Section</w:t>
            </w:r>
          </w:p>
        </w:tc>
        <w:tc>
          <w:tcPr>
            <w:tcW w:w="2614" w:type="dxa"/>
            <w:tcBorders>
              <w:top w:val="single" w:sz="4" w:space="0" w:color="000000"/>
              <w:bottom w:val="single" w:sz="4" w:space="0" w:color="000000"/>
            </w:tcBorders>
          </w:tcPr>
          <w:p>
            <w:pPr>
              <w:pStyle w:val="TableParagraph"/>
              <w:spacing w:before="62"/>
              <w:ind w:left="36"/>
              <w:jc w:val="left"/>
              <w:rPr>
                <w:i/>
                <w:sz w:val="18"/>
              </w:rPr>
            </w:pPr>
            <w:r>
              <w:rPr>
                <w:i/>
                <w:sz w:val="18"/>
              </w:rPr>
              <w:t>Functional</w:t>
            </w:r>
            <w:r>
              <w:rPr>
                <w:i/>
                <w:spacing w:val="-8"/>
                <w:sz w:val="18"/>
              </w:rPr>
              <w:t> </w:t>
            </w:r>
            <w:r>
              <w:rPr>
                <w:i/>
                <w:spacing w:val="-2"/>
                <w:sz w:val="18"/>
              </w:rPr>
              <w:t>title</w:t>
            </w:r>
          </w:p>
        </w:tc>
      </w:tr>
      <w:tr>
        <w:trPr>
          <w:trHeight w:val="325" w:hRule="atLeast"/>
        </w:trPr>
        <w:tc>
          <w:tcPr>
            <w:tcW w:w="1259" w:type="dxa"/>
            <w:tcBorders>
              <w:top w:val="single" w:sz="4" w:space="0" w:color="000000"/>
              <w:bottom w:val="single" w:sz="4" w:space="0" w:color="000000"/>
            </w:tcBorders>
          </w:tcPr>
          <w:p>
            <w:pPr>
              <w:pStyle w:val="TableParagraph"/>
              <w:spacing w:before="62"/>
              <w:ind w:left="70"/>
              <w:jc w:val="center"/>
              <w:rPr>
                <w:sz w:val="18"/>
              </w:rPr>
            </w:pPr>
            <w:r>
              <w:rPr>
                <w:w w:val="101"/>
                <w:sz w:val="18"/>
              </w:rPr>
              <w:t>1</w:t>
            </w:r>
          </w:p>
        </w:tc>
        <w:tc>
          <w:tcPr>
            <w:tcW w:w="668" w:type="dxa"/>
            <w:tcBorders>
              <w:top w:val="single" w:sz="4" w:space="0" w:color="000000"/>
              <w:bottom w:val="single" w:sz="4" w:space="0" w:color="000000"/>
            </w:tcBorders>
          </w:tcPr>
          <w:p>
            <w:pPr>
              <w:pStyle w:val="TableParagraph"/>
              <w:spacing w:before="62"/>
              <w:ind w:left="47"/>
              <w:jc w:val="left"/>
              <w:rPr>
                <w:sz w:val="18"/>
              </w:rPr>
            </w:pPr>
            <w:r>
              <w:rPr>
                <w:sz w:val="18"/>
              </w:rPr>
              <w:t>P-</w:t>
            </w:r>
            <w:r>
              <w:rPr>
                <w:spacing w:val="-10"/>
                <w:sz w:val="18"/>
              </w:rPr>
              <w:t>3</w:t>
            </w:r>
          </w:p>
        </w:tc>
        <w:tc>
          <w:tcPr>
            <w:tcW w:w="989" w:type="dxa"/>
            <w:tcBorders>
              <w:top w:val="single" w:sz="4" w:space="0" w:color="000000"/>
              <w:bottom w:val="single" w:sz="4" w:space="0" w:color="000000"/>
            </w:tcBorders>
          </w:tcPr>
          <w:p>
            <w:pPr>
              <w:pStyle w:val="TableParagraph"/>
              <w:spacing w:before="62"/>
              <w:ind w:left="89"/>
              <w:jc w:val="left"/>
              <w:rPr>
                <w:sz w:val="18"/>
              </w:rPr>
            </w:pPr>
            <w:r>
              <w:rPr>
                <w:spacing w:val="-5"/>
                <w:sz w:val="18"/>
              </w:rPr>
              <w:t>GTA</w:t>
            </w:r>
          </w:p>
        </w:tc>
        <w:tc>
          <w:tcPr>
            <w:tcW w:w="1492" w:type="dxa"/>
            <w:tcBorders>
              <w:top w:val="single" w:sz="4" w:space="0" w:color="000000"/>
              <w:bottom w:val="single" w:sz="4" w:space="0" w:color="000000"/>
            </w:tcBorders>
          </w:tcPr>
          <w:p>
            <w:pPr>
              <w:pStyle w:val="TableParagraph"/>
              <w:spacing w:before="62"/>
              <w:ind w:left="89"/>
              <w:jc w:val="left"/>
              <w:rPr>
                <w:sz w:val="18"/>
              </w:rPr>
            </w:pPr>
            <w:r>
              <w:rPr>
                <w:sz w:val="18"/>
              </w:rPr>
              <w:t>Established</w:t>
            </w:r>
            <w:r>
              <w:rPr>
                <w:spacing w:val="-6"/>
                <w:sz w:val="18"/>
              </w:rPr>
              <w:t> </w:t>
            </w:r>
            <w:r>
              <w:rPr>
                <w:spacing w:val="-2"/>
                <w:sz w:val="18"/>
              </w:rPr>
              <w:t>posts</w:t>
            </w:r>
          </w:p>
        </w:tc>
        <w:tc>
          <w:tcPr>
            <w:tcW w:w="2677" w:type="dxa"/>
            <w:tcBorders>
              <w:top w:val="single" w:sz="4" w:space="0" w:color="000000"/>
              <w:bottom w:val="single" w:sz="4" w:space="0" w:color="000000"/>
            </w:tcBorders>
          </w:tcPr>
          <w:p>
            <w:pPr>
              <w:pStyle w:val="TableParagraph"/>
              <w:spacing w:before="62"/>
              <w:ind w:left="158"/>
              <w:jc w:val="left"/>
              <w:rPr>
                <w:sz w:val="18"/>
              </w:rPr>
            </w:pPr>
            <w:r>
              <w:rPr>
                <w:spacing w:val="-2"/>
                <w:sz w:val="18"/>
              </w:rPr>
              <w:t>Immediate</w:t>
            </w:r>
            <w:r>
              <w:rPr>
                <w:spacing w:val="-8"/>
                <w:sz w:val="18"/>
              </w:rPr>
              <w:t> </w:t>
            </w:r>
            <w:r>
              <w:rPr>
                <w:spacing w:val="-2"/>
                <w:sz w:val="18"/>
              </w:rPr>
              <w:t>Office</w:t>
            </w:r>
            <w:r>
              <w:rPr>
                <w:spacing w:val="-6"/>
                <w:sz w:val="18"/>
              </w:rPr>
              <w:t> </w:t>
            </w:r>
            <w:r>
              <w:rPr>
                <w:spacing w:val="-2"/>
                <w:sz w:val="18"/>
              </w:rPr>
              <w:t>of</w:t>
            </w:r>
            <w:r>
              <w:rPr>
                <w:spacing w:val="-4"/>
                <w:sz w:val="18"/>
              </w:rPr>
              <w:t> </w:t>
            </w:r>
            <w:r>
              <w:rPr>
                <w:spacing w:val="-2"/>
                <w:sz w:val="18"/>
              </w:rPr>
              <w:t>the</w:t>
            </w:r>
            <w:r>
              <w:rPr>
                <w:spacing w:val="-5"/>
                <w:sz w:val="18"/>
              </w:rPr>
              <w:t> </w:t>
            </w:r>
            <w:r>
              <w:rPr>
                <w:spacing w:val="-2"/>
                <w:sz w:val="18"/>
              </w:rPr>
              <w:t>Prosecutor</w:t>
            </w:r>
          </w:p>
        </w:tc>
        <w:tc>
          <w:tcPr>
            <w:tcW w:w="2614" w:type="dxa"/>
            <w:tcBorders>
              <w:top w:val="single" w:sz="4" w:space="0" w:color="000000"/>
              <w:bottom w:val="single" w:sz="4" w:space="0" w:color="000000"/>
            </w:tcBorders>
          </w:tcPr>
          <w:p>
            <w:pPr>
              <w:pStyle w:val="TableParagraph"/>
              <w:spacing w:before="62"/>
              <w:ind w:left="36"/>
              <w:jc w:val="left"/>
              <w:rPr>
                <w:sz w:val="18"/>
              </w:rPr>
            </w:pPr>
            <w:r>
              <w:rPr>
                <w:sz w:val="18"/>
              </w:rPr>
              <w:t>Special Assistant</w:t>
            </w:r>
            <w:r>
              <w:rPr>
                <w:spacing w:val="-4"/>
                <w:sz w:val="18"/>
              </w:rPr>
              <w:t> </w:t>
            </w:r>
            <w:r>
              <w:rPr>
                <w:sz w:val="18"/>
              </w:rPr>
              <w:t>to</w:t>
            </w:r>
            <w:r>
              <w:rPr>
                <w:spacing w:val="-6"/>
                <w:sz w:val="18"/>
              </w:rPr>
              <w:t> </w:t>
            </w:r>
            <w:r>
              <w:rPr>
                <w:sz w:val="18"/>
              </w:rPr>
              <w:t>the</w:t>
            </w:r>
            <w:r>
              <w:rPr>
                <w:spacing w:val="-5"/>
                <w:sz w:val="18"/>
              </w:rPr>
              <w:t> </w:t>
            </w:r>
            <w:r>
              <w:rPr>
                <w:spacing w:val="-2"/>
                <w:sz w:val="18"/>
              </w:rPr>
              <w:t>Prosecutor</w:t>
            </w:r>
          </w:p>
        </w:tc>
      </w:tr>
      <w:tr>
        <w:trPr>
          <w:trHeight w:val="330" w:hRule="atLeast"/>
        </w:trPr>
        <w:tc>
          <w:tcPr>
            <w:tcW w:w="1259" w:type="dxa"/>
            <w:tcBorders>
              <w:top w:val="single" w:sz="4" w:space="0" w:color="000000"/>
              <w:bottom w:val="single" w:sz="4" w:space="0" w:color="000000"/>
            </w:tcBorders>
          </w:tcPr>
          <w:p>
            <w:pPr>
              <w:pStyle w:val="TableParagraph"/>
              <w:spacing w:before="62"/>
              <w:ind w:left="70"/>
              <w:jc w:val="center"/>
              <w:rPr>
                <w:sz w:val="18"/>
              </w:rPr>
            </w:pPr>
            <w:r>
              <w:rPr>
                <w:w w:val="101"/>
                <w:sz w:val="18"/>
              </w:rPr>
              <w:t>1</w:t>
            </w:r>
          </w:p>
        </w:tc>
        <w:tc>
          <w:tcPr>
            <w:tcW w:w="668" w:type="dxa"/>
            <w:tcBorders>
              <w:top w:val="single" w:sz="4" w:space="0" w:color="000000"/>
              <w:bottom w:val="single" w:sz="4" w:space="0" w:color="000000"/>
            </w:tcBorders>
          </w:tcPr>
          <w:p>
            <w:pPr>
              <w:pStyle w:val="TableParagraph"/>
              <w:spacing w:before="62"/>
              <w:ind w:left="47"/>
              <w:jc w:val="left"/>
              <w:rPr>
                <w:sz w:val="18"/>
              </w:rPr>
            </w:pPr>
            <w:r>
              <w:rPr>
                <w:sz w:val="18"/>
              </w:rPr>
              <w:t>P-</w:t>
            </w:r>
            <w:r>
              <w:rPr>
                <w:spacing w:val="-10"/>
                <w:sz w:val="18"/>
              </w:rPr>
              <w:t>3</w:t>
            </w:r>
          </w:p>
        </w:tc>
        <w:tc>
          <w:tcPr>
            <w:tcW w:w="989" w:type="dxa"/>
            <w:tcBorders>
              <w:top w:val="single" w:sz="4" w:space="0" w:color="000000"/>
              <w:bottom w:val="single" w:sz="4" w:space="0" w:color="000000"/>
            </w:tcBorders>
          </w:tcPr>
          <w:p>
            <w:pPr>
              <w:pStyle w:val="TableParagraph"/>
              <w:spacing w:before="62"/>
              <w:ind w:left="89"/>
              <w:jc w:val="left"/>
              <w:rPr>
                <w:sz w:val="18"/>
              </w:rPr>
            </w:pPr>
            <w:r>
              <w:rPr>
                <w:spacing w:val="-5"/>
                <w:sz w:val="18"/>
              </w:rPr>
              <w:t>GTA</w:t>
            </w:r>
          </w:p>
        </w:tc>
        <w:tc>
          <w:tcPr>
            <w:tcW w:w="1492" w:type="dxa"/>
            <w:tcBorders>
              <w:top w:val="single" w:sz="4" w:space="0" w:color="000000"/>
              <w:bottom w:val="single" w:sz="4" w:space="0" w:color="000000"/>
            </w:tcBorders>
          </w:tcPr>
          <w:p>
            <w:pPr>
              <w:pStyle w:val="TableParagraph"/>
              <w:spacing w:before="62"/>
              <w:ind w:left="89"/>
              <w:jc w:val="left"/>
              <w:rPr>
                <w:sz w:val="18"/>
              </w:rPr>
            </w:pPr>
            <w:r>
              <w:rPr>
                <w:sz w:val="18"/>
              </w:rPr>
              <w:t>Established</w:t>
            </w:r>
            <w:r>
              <w:rPr>
                <w:spacing w:val="-6"/>
                <w:sz w:val="18"/>
              </w:rPr>
              <w:t> </w:t>
            </w:r>
            <w:r>
              <w:rPr>
                <w:spacing w:val="-2"/>
                <w:sz w:val="18"/>
              </w:rPr>
              <w:t>posts</w:t>
            </w:r>
          </w:p>
        </w:tc>
        <w:tc>
          <w:tcPr>
            <w:tcW w:w="2677" w:type="dxa"/>
            <w:tcBorders>
              <w:top w:val="single" w:sz="4" w:space="0" w:color="000000"/>
              <w:bottom w:val="single" w:sz="4" w:space="0" w:color="000000"/>
            </w:tcBorders>
          </w:tcPr>
          <w:p>
            <w:pPr>
              <w:pStyle w:val="TableParagraph"/>
              <w:spacing w:before="62"/>
              <w:ind w:left="158"/>
              <w:jc w:val="left"/>
              <w:rPr>
                <w:sz w:val="18"/>
              </w:rPr>
            </w:pPr>
            <w:r>
              <w:rPr>
                <w:sz w:val="18"/>
              </w:rPr>
              <w:t>Administration</w:t>
            </w:r>
            <w:r>
              <w:rPr>
                <w:spacing w:val="-8"/>
                <w:sz w:val="18"/>
              </w:rPr>
              <w:t> </w:t>
            </w:r>
            <w:r>
              <w:rPr>
                <w:spacing w:val="-4"/>
                <w:sz w:val="18"/>
              </w:rPr>
              <w:t>Unit</w:t>
            </w:r>
          </w:p>
        </w:tc>
        <w:tc>
          <w:tcPr>
            <w:tcW w:w="2614" w:type="dxa"/>
            <w:tcBorders>
              <w:top w:val="single" w:sz="4" w:space="0" w:color="000000"/>
              <w:bottom w:val="single" w:sz="4" w:space="0" w:color="000000"/>
            </w:tcBorders>
          </w:tcPr>
          <w:p>
            <w:pPr>
              <w:pStyle w:val="TableParagraph"/>
              <w:spacing w:before="62"/>
              <w:ind w:left="36"/>
              <w:jc w:val="left"/>
              <w:rPr>
                <w:sz w:val="18"/>
              </w:rPr>
            </w:pPr>
            <w:r>
              <w:rPr>
                <w:sz w:val="18"/>
              </w:rPr>
              <w:t>Project</w:t>
            </w:r>
            <w:r>
              <w:rPr>
                <w:spacing w:val="1"/>
                <w:sz w:val="18"/>
              </w:rPr>
              <w:t> </w:t>
            </w:r>
            <w:r>
              <w:rPr>
                <w:spacing w:val="-2"/>
                <w:sz w:val="18"/>
              </w:rPr>
              <w:t>Officer</w:t>
            </w:r>
          </w:p>
        </w:tc>
      </w:tr>
      <w:tr>
        <w:trPr>
          <w:trHeight w:val="532" w:hRule="atLeast"/>
        </w:trPr>
        <w:tc>
          <w:tcPr>
            <w:tcW w:w="1259" w:type="dxa"/>
            <w:tcBorders>
              <w:top w:val="single" w:sz="4" w:space="0" w:color="000000"/>
              <w:bottom w:val="single" w:sz="4" w:space="0" w:color="000000"/>
            </w:tcBorders>
          </w:tcPr>
          <w:p>
            <w:pPr>
              <w:pStyle w:val="TableParagraph"/>
              <w:spacing w:before="62"/>
              <w:ind w:left="70"/>
              <w:jc w:val="center"/>
              <w:rPr>
                <w:sz w:val="18"/>
              </w:rPr>
            </w:pPr>
            <w:r>
              <w:rPr>
                <w:w w:val="101"/>
                <w:sz w:val="18"/>
              </w:rPr>
              <w:t>1</w:t>
            </w:r>
          </w:p>
        </w:tc>
        <w:tc>
          <w:tcPr>
            <w:tcW w:w="668" w:type="dxa"/>
            <w:tcBorders>
              <w:top w:val="single" w:sz="4" w:space="0" w:color="000000"/>
              <w:bottom w:val="single" w:sz="4" w:space="0" w:color="000000"/>
            </w:tcBorders>
          </w:tcPr>
          <w:p>
            <w:pPr>
              <w:pStyle w:val="TableParagraph"/>
              <w:spacing w:before="62"/>
              <w:ind w:left="47"/>
              <w:jc w:val="left"/>
              <w:rPr>
                <w:sz w:val="18"/>
              </w:rPr>
            </w:pPr>
            <w:r>
              <w:rPr>
                <w:sz w:val="18"/>
              </w:rPr>
              <w:t>P-</w:t>
            </w:r>
            <w:r>
              <w:rPr>
                <w:spacing w:val="-10"/>
                <w:sz w:val="18"/>
              </w:rPr>
              <w:t>2</w:t>
            </w:r>
          </w:p>
        </w:tc>
        <w:tc>
          <w:tcPr>
            <w:tcW w:w="989" w:type="dxa"/>
            <w:tcBorders>
              <w:top w:val="single" w:sz="4" w:space="0" w:color="000000"/>
              <w:bottom w:val="single" w:sz="4" w:space="0" w:color="000000"/>
            </w:tcBorders>
          </w:tcPr>
          <w:p>
            <w:pPr>
              <w:pStyle w:val="TableParagraph"/>
              <w:spacing w:before="62"/>
              <w:ind w:left="89"/>
              <w:jc w:val="left"/>
              <w:rPr>
                <w:sz w:val="18"/>
              </w:rPr>
            </w:pPr>
            <w:r>
              <w:rPr>
                <w:spacing w:val="-5"/>
                <w:sz w:val="18"/>
              </w:rPr>
              <w:t>GTA</w:t>
            </w:r>
          </w:p>
        </w:tc>
        <w:tc>
          <w:tcPr>
            <w:tcW w:w="1492" w:type="dxa"/>
            <w:tcBorders>
              <w:top w:val="single" w:sz="4" w:space="0" w:color="000000"/>
              <w:bottom w:val="single" w:sz="4" w:space="0" w:color="000000"/>
            </w:tcBorders>
          </w:tcPr>
          <w:p>
            <w:pPr>
              <w:pStyle w:val="TableParagraph"/>
              <w:spacing w:before="62"/>
              <w:ind w:left="89"/>
              <w:jc w:val="left"/>
              <w:rPr>
                <w:sz w:val="18"/>
              </w:rPr>
            </w:pPr>
            <w:r>
              <w:rPr>
                <w:sz w:val="18"/>
              </w:rPr>
              <w:t>Established</w:t>
            </w:r>
            <w:r>
              <w:rPr>
                <w:spacing w:val="-6"/>
                <w:sz w:val="18"/>
              </w:rPr>
              <w:t> </w:t>
            </w:r>
            <w:r>
              <w:rPr>
                <w:spacing w:val="-2"/>
                <w:sz w:val="18"/>
              </w:rPr>
              <w:t>posts</w:t>
            </w:r>
          </w:p>
        </w:tc>
        <w:tc>
          <w:tcPr>
            <w:tcW w:w="2677" w:type="dxa"/>
            <w:tcBorders>
              <w:top w:val="single" w:sz="4" w:space="0" w:color="000000"/>
              <w:bottom w:val="single" w:sz="4" w:space="0" w:color="000000"/>
            </w:tcBorders>
          </w:tcPr>
          <w:p>
            <w:pPr>
              <w:pStyle w:val="TableParagraph"/>
              <w:spacing w:before="57"/>
              <w:ind w:left="158" w:right="14"/>
              <w:jc w:val="left"/>
              <w:rPr>
                <w:sz w:val="18"/>
              </w:rPr>
            </w:pPr>
            <w:r>
              <w:rPr>
                <w:sz w:val="18"/>
              </w:rPr>
              <w:t>Financial</w:t>
            </w:r>
            <w:r>
              <w:rPr>
                <w:spacing w:val="-12"/>
                <w:sz w:val="18"/>
              </w:rPr>
              <w:t> </w:t>
            </w:r>
            <w:r>
              <w:rPr>
                <w:sz w:val="18"/>
              </w:rPr>
              <w:t>Planning</w:t>
            </w:r>
            <w:r>
              <w:rPr>
                <w:spacing w:val="-11"/>
                <w:sz w:val="18"/>
              </w:rPr>
              <w:t> </w:t>
            </w:r>
            <w:r>
              <w:rPr>
                <w:sz w:val="18"/>
              </w:rPr>
              <w:t>and</w:t>
            </w:r>
            <w:r>
              <w:rPr>
                <w:spacing w:val="-11"/>
                <w:sz w:val="18"/>
              </w:rPr>
              <w:t> </w:t>
            </w:r>
            <w:r>
              <w:rPr>
                <w:sz w:val="18"/>
              </w:rPr>
              <w:t>Control </w:t>
            </w:r>
            <w:r>
              <w:rPr>
                <w:spacing w:val="-4"/>
                <w:sz w:val="18"/>
              </w:rPr>
              <w:t>Unit</w:t>
            </w:r>
          </w:p>
        </w:tc>
        <w:tc>
          <w:tcPr>
            <w:tcW w:w="2614" w:type="dxa"/>
            <w:tcBorders>
              <w:top w:val="single" w:sz="4" w:space="0" w:color="000000"/>
              <w:bottom w:val="single" w:sz="4" w:space="0" w:color="000000"/>
            </w:tcBorders>
          </w:tcPr>
          <w:p>
            <w:pPr>
              <w:pStyle w:val="TableParagraph"/>
              <w:spacing w:before="62"/>
              <w:ind w:left="36"/>
              <w:jc w:val="left"/>
              <w:rPr>
                <w:sz w:val="18"/>
              </w:rPr>
            </w:pPr>
            <w:r>
              <w:rPr>
                <w:sz w:val="18"/>
              </w:rPr>
              <w:t>Associate</w:t>
            </w:r>
            <w:r>
              <w:rPr>
                <w:spacing w:val="-9"/>
                <w:sz w:val="18"/>
              </w:rPr>
              <w:t> </w:t>
            </w:r>
            <w:r>
              <w:rPr>
                <w:sz w:val="18"/>
              </w:rPr>
              <w:t>Administration</w:t>
            </w:r>
            <w:r>
              <w:rPr>
                <w:spacing w:val="-5"/>
                <w:sz w:val="18"/>
              </w:rPr>
              <w:t> </w:t>
            </w:r>
            <w:r>
              <w:rPr>
                <w:spacing w:val="-2"/>
                <w:sz w:val="18"/>
              </w:rPr>
              <w:t>Officer</w:t>
            </w:r>
          </w:p>
        </w:tc>
      </w:tr>
      <w:tr>
        <w:trPr>
          <w:trHeight w:val="532" w:hRule="atLeast"/>
        </w:trPr>
        <w:tc>
          <w:tcPr>
            <w:tcW w:w="1259" w:type="dxa"/>
            <w:tcBorders>
              <w:top w:val="single" w:sz="4" w:space="0" w:color="000000"/>
              <w:bottom w:val="single" w:sz="4" w:space="0" w:color="000000"/>
            </w:tcBorders>
          </w:tcPr>
          <w:p>
            <w:pPr>
              <w:pStyle w:val="TableParagraph"/>
              <w:spacing w:before="62"/>
              <w:ind w:left="70"/>
              <w:jc w:val="center"/>
              <w:rPr>
                <w:sz w:val="18"/>
              </w:rPr>
            </w:pPr>
            <w:r>
              <w:rPr>
                <w:w w:val="101"/>
                <w:sz w:val="18"/>
              </w:rPr>
              <w:t>1</w:t>
            </w:r>
          </w:p>
        </w:tc>
        <w:tc>
          <w:tcPr>
            <w:tcW w:w="668" w:type="dxa"/>
            <w:tcBorders>
              <w:top w:val="single" w:sz="4" w:space="0" w:color="000000"/>
              <w:bottom w:val="single" w:sz="4" w:space="0" w:color="000000"/>
            </w:tcBorders>
          </w:tcPr>
          <w:p>
            <w:pPr>
              <w:pStyle w:val="TableParagraph"/>
              <w:spacing w:before="62"/>
              <w:ind w:left="47"/>
              <w:jc w:val="left"/>
              <w:rPr>
                <w:sz w:val="18"/>
              </w:rPr>
            </w:pPr>
            <w:r>
              <w:rPr>
                <w:sz w:val="18"/>
              </w:rPr>
              <w:t>P-</w:t>
            </w:r>
            <w:r>
              <w:rPr>
                <w:spacing w:val="-10"/>
                <w:sz w:val="18"/>
              </w:rPr>
              <w:t>2</w:t>
            </w:r>
          </w:p>
        </w:tc>
        <w:tc>
          <w:tcPr>
            <w:tcW w:w="989" w:type="dxa"/>
            <w:tcBorders>
              <w:top w:val="single" w:sz="4" w:space="0" w:color="000000"/>
              <w:bottom w:val="single" w:sz="4" w:space="0" w:color="000000"/>
            </w:tcBorders>
          </w:tcPr>
          <w:p>
            <w:pPr>
              <w:pStyle w:val="TableParagraph"/>
              <w:spacing w:before="62"/>
              <w:ind w:left="89"/>
              <w:jc w:val="left"/>
              <w:rPr>
                <w:sz w:val="18"/>
              </w:rPr>
            </w:pPr>
            <w:r>
              <w:rPr>
                <w:spacing w:val="-5"/>
                <w:sz w:val="18"/>
              </w:rPr>
              <w:t>GTA</w:t>
            </w:r>
          </w:p>
        </w:tc>
        <w:tc>
          <w:tcPr>
            <w:tcW w:w="1492" w:type="dxa"/>
            <w:tcBorders>
              <w:top w:val="single" w:sz="4" w:space="0" w:color="000000"/>
              <w:bottom w:val="single" w:sz="4" w:space="0" w:color="000000"/>
            </w:tcBorders>
          </w:tcPr>
          <w:p>
            <w:pPr>
              <w:pStyle w:val="TableParagraph"/>
              <w:spacing w:before="62"/>
              <w:ind w:left="89"/>
              <w:jc w:val="left"/>
              <w:rPr>
                <w:sz w:val="18"/>
              </w:rPr>
            </w:pPr>
            <w:r>
              <w:rPr>
                <w:sz w:val="18"/>
              </w:rPr>
              <w:t>Established</w:t>
            </w:r>
            <w:r>
              <w:rPr>
                <w:spacing w:val="-6"/>
                <w:sz w:val="18"/>
              </w:rPr>
              <w:t> </w:t>
            </w:r>
            <w:r>
              <w:rPr>
                <w:spacing w:val="-2"/>
                <w:sz w:val="18"/>
              </w:rPr>
              <w:t>posts</w:t>
            </w:r>
          </w:p>
        </w:tc>
        <w:tc>
          <w:tcPr>
            <w:tcW w:w="2677" w:type="dxa"/>
            <w:tcBorders>
              <w:top w:val="single" w:sz="4" w:space="0" w:color="000000"/>
              <w:bottom w:val="single" w:sz="4" w:space="0" w:color="000000"/>
            </w:tcBorders>
          </w:tcPr>
          <w:p>
            <w:pPr>
              <w:pStyle w:val="TableParagraph"/>
              <w:spacing w:before="62"/>
              <w:ind w:left="158"/>
              <w:jc w:val="left"/>
              <w:rPr>
                <w:sz w:val="18"/>
              </w:rPr>
            </w:pPr>
            <w:r>
              <w:rPr>
                <w:spacing w:val="-2"/>
                <w:sz w:val="18"/>
              </w:rPr>
              <w:t>IKEMS</w:t>
            </w:r>
          </w:p>
        </w:tc>
        <w:tc>
          <w:tcPr>
            <w:tcW w:w="2614" w:type="dxa"/>
            <w:tcBorders>
              <w:top w:val="single" w:sz="4" w:space="0" w:color="000000"/>
              <w:bottom w:val="single" w:sz="4" w:space="0" w:color="000000"/>
            </w:tcBorders>
          </w:tcPr>
          <w:p>
            <w:pPr>
              <w:pStyle w:val="TableParagraph"/>
              <w:spacing w:before="62"/>
              <w:ind w:left="36"/>
              <w:jc w:val="left"/>
              <w:rPr>
                <w:sz w:val="18"/>
              </w:rPr>
            </w:pPr>
            <w:r>
              <w:rPr>
                <w:sz w:val="18"/>
              </w:rPr>
              <w:t>Associate</w:t>
            </w:r>
            <w:r>
              <w:rPr>
                <w:spacing w:val="-12"/>
                <w:sz w:val="18"/>
              </w:rPr>
              <w:t> </w:t>
            </w:r>
            <w:r>
              <w:rPr>
                <w:sz w:val="18"/>
              </w:rPr>
              <w:t>Electronic</w:t>
            </w:r>
            <w:r>
              <w:rPr>
                <w:spacing w:val="-11"/>
                <w:sz w:val="18"/>
              </w:rPr>
              <w:t> </w:t>
            </w:r>
            <w:r>
              <w:rPr>
                <w:sz w:val="18"/>
              </w:rPr>
              <w:t>Evidence </w:t>
            </w:r>
            <w:r>
              <w:rPr>
                <w:spacing w:val="-2"/>
                <w:sz w:val="18"/>
              </w:rPr>
              <w:t>Officer</w:t>
            </w:r>
          </w:p>
        </w:tc>
      </w:tr>
      <w:tr>
        <w:trPr>
          <w:trHeight w:val="537" w:hRule="atLeast"/>
        </w:trPr>
        <w:tc>
          <w:tcPr>
            <w:tcW w:w="1259" w:type="dxa"/>
            <w:tcBorders>
              <w:top w:val="single" w:sz="4" w:space="0" w:color="000000"/>
              <w:bottom w:val="single" w:sz="4" w:space="0" w:color="000000"/>
            </w:tcBorders>
          </w:tcPr>
          <w:p>
            <w:pPr>
              <w:pStyle w:val="TableParagraph"/>
              <w:spacing w:before="62"/>
              <w:ind w:left="70"/>
              <w:jc w:val="center"/>
              <w:rPr>
                <w:sz w:val="18"/>
              </w:rPr>
            </w:pPr>
            <w:r>
              <w:rPr>
                <w:w w:val="101"/>
                <w:sz w:val="18"/>
              </w:rPr>
              <w:t>1</w:t>
            </w:r>
          </w:p>
        </w:tc>
        <w:tc>
          <w:tcPr>
            <w:tcW w:w="668" w:type="dxa"/>
            <w:tcBorders>
              <w:top w:val="single" w:sz="4" w:space="0" w:color="000000"/>
              <w:bottom w:val="single" w:sz="4" w:space="0" w:color="000000"/>
            </w:tcBorders>
          </w:tcPr>
          <w:p>
            <w:pPr>
              <w:pStyle w:val="TableParagraph"/>
              <w:spacing w:before="62"/>
              <w:ind w:left="47"/>
              <w:jc w:val="left"/>
              <w:rPr>
                <w:sz w:val="18"/>
              </w:rPr>
            </w:pPr>
            <w:r>
              <w:rPr>
                <w:sz w:val="18"/>
              </w:rPr>
              <w:t>P-</w:t>
            </w:r>
            <w:r>
              <w:rPr>
                <w:spacing w:val="-10"/>
                <w:sz w:val="18"/>
              </w:rPr>
              <w:t>2</w:t>
            </w:r>
          </w:p>
        </w:tc>
        <w:tc>
          <w:tcPr>
            <w:tcW w:w="989" w:type="dxa"/>
            <w:tcBorders>
              <w:top w:val="single" w:sz="4" w:space="0" w:color="000000"/>
              <w:bottom w:val="single" w:sz="4" w:space="0" w:color="000000"/>
            </w:tcBorders>
          </w:tcPr>
          <w:p>
            <w:pPr>
              <w:pStyle w:val="TableParagraph"/>
              <w:spacing w:before="62"/>
              <w:ind w:left="89"/>
              <w:jc w:val="left"/>
              <w:rPr>
                <w:sz w:val="18"/>
              </w:rPr>
            </w:pPr>
            <w:r>
              <w:rPr>
                <w:spacing w:val="-5"/>
                <w:sz w:val="18"/>
              </w:rPr>
              <w:t>GTA</w:t>
            </w:r>
          </w:p>
        </w:tc>
        <w:tc>
          <w:tcPr>
            <w:tcW w:w="1492" w:type="dxa"/>
            <w:tcBorders>
              <w:top w:val="single" w:sz="4" w:space="0" w:color="000000"/>
              <w:bottom w:val="single" w:sz="4" w:space="0" w:color="000000"/>
            </w:tcBorders>
          </w:tcPr>
          <w:p>
            <w:pPr>
              <w:pStyle w:val="TableParagraph"/>
              <w:spacing w:before="62"/>
              <w:ind w:left="89"/>
              <w:jc w:val="left"/>
              <w:rPr>
                <w:sz w:val="18"/>
              </w:rPr>
            </w:pPr>
            <w:r>
              <w:rPr>
                <w:sz w:val="18"/>
              </w:rPr>
              <w:t>Established</w:t>
            </w:r>
            <w:r>
              <w:rPr>
                <w:spacing w:val="-6"/>
                <w:sz w:val="18"/>
              </w:rPr>
              <w:t> </w:t>
            </w:r>
            <w:r>
              <w:rPr>
                <w:spacing w:val="-2"/>
                <w:sz w:val="18"/>
              </w:rPr>
              <w:t>posts</w:t>
            </w:r>
          </w:p>
        </w:tc>
        <w:tc>
          <w:tcPr>
            <w:tcW w:w="2677" w:type="dxa"/>
            <w:tcBorders>
              <w:top w:val="single" w:sz="4" w:space="0" w:color="000000"/>
              <w:bottom w:val="single" w:sz="4" w:space="0" w:color="000000"/>
            </w:tcBorders>
          </w:tcPr>
          <w:p>
            <w:pPr>
              <w:pStyle w:val="TableParagraph"/>
              <w:spacing w:before="62"/>
              <w:ind w:left="158"/>
              <w:jc w:val="left"/>
              <w:rPr>
                <w:sz w:val="18"/>
              </w:rPr>
            </w:pPr>
            <w:r>
              <w:rPr>
                <w:spacing w:val="-2"/>
                <w:sz w:val="18"/>
              </w:rPr>
              <w:t>IKEMS</w:t>
            </w:r>
          </w:p>
        </w:tc>
        <w:tc>
          <w:tcPr>
            <w:tcW w:w="2614" w:type="dxa"/>
            <w:tcBorders>
              <w:top w:val="single" w:sz="4" w:space="0" w:color="000000"/>
              <w:bottom w:val="single" w:sz="4" w:space="0" w:color="000000"/>
            </w:tcBorders>
          </w:tcPr>
          <w:p>
            <w:pPr>
              <w:pStyle w:val="TableParagraph"/>
              <w:spacing w:before="62"/>
              <w:ind w:left="36"/>
              <w:jc w:val="left"/>
              <w:rPr>
                <w:sz w:val="18"/>
              </w:rPr>
            </w:pPr>
            <w:r>
              <w:rPr>
                <w:sz w:val="18"/>
              </w:rPr>
              <w:t>Associate</w:t>
            </w:r>
            <w:r>
              <w:rPr>
                <w:spacing w:val="-12"/>
                <w:sz w:val="18"/>
              </w:rPr>
              <w:t> </w:t>
            </w:r>
            <w:r>
              <w:rPr>
                <w:sz w:val="18"/>
              </w:rPr>
              <w:t>Electronic</w:t>
            </w:r>
            <w:r>
              <w:rPr>
                <w:spacing w:val="-11"/>
                <w:sz w:val="18"/>
              </w:rPr>
              <w:t> </w:t>
            </w:r>
            <w:r>
              <w:rPr>
                <w:sz w:val="18"/>
              </w:rPr>
              <w:t>Evidence </w:t>
            </w:r>
            <w:r>
              <w:rPr>
                <w:spacing w:val="-2"/>
                <w:sz w:val="18"/>
              </w:rPr>
              <w:t>Officer</w:t>
            </w:r>
          </w:p>
        </w:tc>
      </w:tr>
      <w:tr>
        <w:trPr>
          <w:trHeight w:val="325" w:hRule="atLeast"/>
        </w:trPr>
        <w:tc>
          <w:tcPr>
            <w:tcW w:w="1259" w:type="dxa"/>
            <w:tcBorders>
              <w:top w:val="single" w:sz="4" w:space="0" w:color="000000"/>
              <w:bottom w:val="single" w:sz="4" w:space="0" w:color="000000"/>
            </w:tcBorders>
          </w:tcPr>
          <w:p>
            <w:pPr>
              <w:pStyle w:val="TableParagraph"/>
              <w:spacing w:before="62"/>
              <w:ind w:left="70"/>
              <w:jc w:val="center"/>
              <w:rPr>
                <w:sz w:val="18"/>
              </w:rPr>
            </w:pPr>
            <w:r>
              <w:rPr>
                <w:w w:val="101"/>
                <w:sz w:val="18"/>
              </w:rPr>
              <w:t>1</w:t>
            </w:r>
          </w:p>
        </w:tc>
        <w:tc>
          <w:tcPr>
            <w:tcW w:w="668" w:type="dxa"/>
            <w:tcBorders>
              <w:top w:val="single" w:sz="4" w:space="0" w:color="000000"/>
              <w:bottom w:val="single" w:sz="4" w:space="0" w:color="000000"/>
            </w:tcBorders>
          </w:tcPr>
          <w:p>
            <w:pPr>
              <w:pStyle w:val="TableParagraph"/>
              <w:spacing w:before="62"/>
              <w:ind w:left="47"/>
              <w:jc w:val="left"/>
              <w:rPr>
                <w:sz w:val="18"/>
              </w:rPr>
            </w:pPr>
            <w:r>
              <w:rPr>
                <w:sz w:val="18"/>
              </w:rPr>
              <w:t>P-</w:t>
            </w:r>
            <w:r>
              <w:rPr>
                <w:spacing w:val="-10"/>
                <w:sz w:val="18"/>
              </w:rPr>
              <w:t>2</w:t>
            </w:r>
          </w:p>
        </w:tc>
        <w:tc>
          <w:tcPr>
            <w:tcW w:w="989" w:type="dxa"/>
            <w:tcBorders>
              <w:top w:val="single" w:sz="4" w:space="0" w:color="000000"/>
              <w:bottom w:val="single" w:sz="4" w:space="0" w:color="000000"/>
            </w:tcBorders>
          </w:tcPr>
          <w:p>
            <w:pPr>
              <w:pStyle w:val="TableParagraph"/>
              <w:spacing w:before="62"/>
              <w:ind w:left="89"/>
              <w:jc w:val="left"/>
              <w:rPr>
                <w:sz w:val="18"/>
              </w:rPr>
            </w:pPr>
            <w:r>
              <w:rPr>
                <w:spacing w:val="-5"/>
                <w:sz w:val="18"/>
              </w:rPr>
              <w:t>GTA</w:t>
            </w:r>
          </w:p>
        </w:tc>
        <w:tc>
          <w:tcPr>
            <w:tcW w:w="1492" w:type="dxa"/>
            <w:tcBorders>
              <w:top w:val="single" w:sz="4" w:space="0" w:color="000000"/>
              <w:bottom w:val="single" w:sz="4" w:space="0" w:color="000000"/>
            </w:tcBorders>
          </w:tcPr>
          <w:p>
            <w:pPr>
              <w:pStyle w:val="TableParagraph"/>
              <w:spacing w:before="62"/>
              <w:ind w:left="89"/>
              <w:jc w:val="left"/>
              <w:rPr>
                <w:sz w:val="18"/>
              </w:rPr>
            </w:pPr>
            <w:r>
              <w:rPr>
                <w:sz w:val="18"/>
              </w:rPr>
              <w:t>Established</w:t>
            </w:r>
            <w:r>
              <w:rPr>
                <w:spacing w:val="-6"/>
                <w:sz w:val="18"/>
              </w:rPr>
              <w:t> </w:t>
            </w:r>
            <w:r>
              <w:rPr>
                <w:spacing w:val="-2"/>
                <w:sz w:val="18"/>
              </w:rPr>
              <w:t>posts</w:t>
            </w:r>
          </w:p>
        </w:tc>
        <w:tc>
          <w:tcPr>
            <w:tcW w:w="2677" w:type="dxa"/>
            <w:tcBorders>
              <w:top w:val="single" w:sz="4" w:space="0" w:color="000000"/>
              <w:bottom w:val="single" w:sz="4" w:space="0" w:color="000000"/>
            </w:tcBorders>
          </w:tcPr>
          <w:p>
            <w:pPr>
              <w:pStyle w:val="TableParagraph"/>
              <w:spacing w:before="62"/>
              <w:ind w:left="158"/>
              <w:jc w:val="left"/>
              <w:rPr>
                <w:sz w:val="18"/>
              </w:rPr>
            </w:pPr>
            <w:r>
              <w:rPr>
                <w:spacing w:val="-2"/>
                <w:sz w:val="18"/>
              </w:rPr>
              <w:t>IKEMS</w:t>
            </w:r>
          </w:p>
        </w:tc>
        <w:tc>
          <w:tcPr>
            <w:tcW w:w="2614" w:type="dxa"/>
            <w:tcBorders>
              <w:top w:val="single" w:sz="4" w:space="0" w:color="000000"/>
              <w:bottom w:val="single" w:sz="4" w:space="0" w:color="000000"/>
            </w:tcBorders>
          </w:tcPr>
          <w:p>
            <w:pPr>
              <w:pStyle w:val="TableParagraph"/>
              <w:spacing w:before="62"/>
              <w:ind w:left="36"/>
              <w:jc w:val="left"/>
              <w:rPr>
                <w:sz w:val="18"/>
              </w:rPr>
            </w:pPr>
            <w:r>
              <w:rPr>
                <w:sz w:val="18"/>
              </w:rPr>
              <w:t>Information</w:t>
            </w:r>
            <w:r>
              <w:rPr>
                <w:spacing w:val="-7"/>
                <w:sz w:val="18"/>
              </w:rPr>
              <w:t> </w:t>
            </w:r>
            <w:r>
              <w:rPr>
                <w:spacing w:val="-2"/>
                <w:sz w:val="18"/>
              </w:rPr>
              <w:t>Officer</w:t>
            </w:r>
          </w:p>
        </w:tc>
      </w:tr>
      <w:tr>
        <w:trPr>
          <w:trHeight w:val="325" w:hRule="atLeast"/>
        </w:trPr>
        <w:tc>
          <w:tcPr>
            <w:tcW w:w="1259" w:type="dxa"/>
            <w:tcBorders>
              <w:top w:val="single" w:sz="4" w:space="0" w:color="000000"/>
              <w:bottom w:val="single" w:sz="4" w:space="0" w:color="000000"/>
            </w:tcBorders>
          </w:tcPr>
          <w:p>
            <w:pPr>
              <w:pStyle w:val="TableParagraph"/>
              <w:spacing w:before="62"/>
              <w:ind w:left="70"/>
              <w:jc w:val="center"/>
              <w:rPr>
                <w:sz w:val="18"/>
              </w:rPr>
            </w:pPr>
            <w:r>
              <w:rPr>
                <w:w w:val="101"/>
                <w:sz w:val="18"/>
              </w:rPr>
              <w:t>1</w:t>
            </w:r>
          </w:p>
        </w:tc>
        <w:tc>
          <w:tcPr>
            <w:tcW w:w="668" w:type="dxa"/>
            <w:tcBorders>
              <w:top w:val="single" w:sz="4" w:space="0" w:color="000000"/>
              <w:bottom w:val="single" w:sz="4" w:space="0" w:color="000000"/>
            </w:tcBorders>
          </w:tcPr>
          <w:p>
            <w:pPr>
              <w:pStyle w:val="TableParagraph"/>
              <w:spacing w:before="62"/>
              <w:ind w:left="47"/>
              <w:jc w:val="left"/>
              <w:rPr>
                <w:sz w:val="18"/>
              </w:rPr>
            </w:pPr>
            <w:r>
              <w:rPr>
                <w:sz w:val="18"/>
              </w:rPr>
              <w:t>P-</w:t>
            </w:r>
            <w:r>
              <w:rPr>
                <w:spacing w:val="-10"/>
                <w:sz w:val="18"/>
              </w:rPr>
              <w:t>2</w:t>
            </w:r>
          </w:p>
        </w:tc>
        <w:tc>
          <w:tcPr>
            <w:tcW w:w="989" w:type="dxa"/>
            <w:tcBorders>
              <w:top w:val="single" w:sz="4" w:space="0" w:color="000000"/>
              <w:bottom w:val="single" w:sz="4" w:space="0" w:color="000000"/>
            </w:tcBorders>
          </w:tcPr>
          <w:p>
            <w:pPr>
              <w:pStyle w:val="TableParagraph"/>
              <w:spacing w:before="62"/>
              <w:ind w:left="89"/>
              <w:jc w:val="left"/>
              <w:rPr>
                <w:sz w:val="18"/>
              </w:rPr>
            </w:pPr>
            <w:r>
              <w:rPr>
                <w:spacing w:val="-5"/>
                <w:sz w:val="18"/>
              </w:rPr>
              <w:t>GTA</w:t>
            </w:r>
          </w:p>
        </w:tc>
        <w:tc>
          <w:tcPr>
            <w:tcW w:w="1492" w:type="dxa"/>
            <w:tcBorders>
              <w:top w:val="single" w:sz="4" w:space="0" w:color="000000"/>
              <w:bottom w:val="single" w:sz="4" w:space="0" w:color="000000"/>
            </w:tcBorders>
          </w:tcPr>
          <w:p>
            <w:pPr>
              <w:pStyle w:val="TableParagraph"/>
              <w:spacing w:before="62"/>
              <w:ind w:left="89"/>
              <w:jc w:val="left"/>
              <w:rPr>
                <w:sz w:val="18"/>
              </w:rPr>
            </w:pPr>
            <w:r>
              <w:rPr>
                <w:sz w:val="18"/>
              </w:rPr>
              <w:t>Established</w:t>
            </w:r>
            <w:r>
              <w:rPr>
                <w:spacing w:val="-6"/>
                <w:sz w:val="18"/>
              </w:rPr>
              <w:t> </w:t>
            </w:r>
            <w:r>
              <w:rPr>
                <w:spacing w:val="-2"/>
                <w:sz w:val="18"/>
              </w:rPr>
              <w:t>posts</w:t>
            </w:r>
          </w:p>
        </w:tc>
        <w:tc>
          <w:tcPr>
            <w:tcW w:w="2677" w:type="dxa"/>
            <w:tcBorders>
              <w:top w:val="single" w:sz="4" w:space="0" w:color="000000"/>
              <w:bottom w:val="single" w:sz="4" w:space="0" w:color="000000"/>
            </w:tcBorders>
          </w:tcPr>
          <w:p>
            <w:pPr>
              <w:pStyle w:val="TableParagraph"/>
              <w:spacing w:before="62"/>
              <w:ind w:left="158"/>
              <w:jc w:val="left"/>
              <w:rPr>
                <w:sz w:val="18"/>
              </w:rPr>
            </w:pPr>
            <w:r>
              <w:rPr>
                <w:spacing w:val="-2"/>
                <w:sz w:val="18"/>
              </w:rPr>
              <w:t>IKEMS</w:t>
            </w:r>
          </w:p>
        </w:tc>
        <w:tc>
          <w:tcPr>
            <w:tcW w:w="2614" w:type="dxa"/>
            <w:tcBorders>
              <w:top w:val="single" w:sz="4" w:space="0" w:color="000000"/>
              <w:bottom w:val="single" w:sz="4" w:space="0" w:color="000000"/>
            </w:tcBorders>
          </w:tcPr>
          <w:p>
            <w:pPr>
              <w:pStyle w:val="TableParagraph"/>
              <w:spacing w:before="62"/>
              <w:ind w:left="36"/>
              <w:jc w:val="left"/>
              <w:rPr>
                <w:sz w:val="18"/>
              </w:rPr>
            </w:pPr>
            <w:r>
              <w:rPr>
                <w:sz w:val="18"/>
              </w:rPr>
              <w:t>Associate</w:t>
            </w:r>
            <w:r>
              <w:rPr>
                <w:spacing w:val="-6"/>
                <w:sz w:val="18"/>
              </w:rPr>
              <w:t> </w:t>
            </w:r>
            <w:r>
              <w:rPr>
                <w:sz w:val="18"/>
              </w:rPr>
              <w:t>Database</w:t>
            </w:r>
            <w:r>
              <w:rPr>
                <w:spacing w:val="-3"/>
                <w:sz w:val="18"/>
              </w:rPr>
              <w:t> </w:t>
            </w:r>
            <w:r>
              <w:rPr>
                <w:spacing w:val="-2"/>
                <w:sz w:val="18"/>
              </w:rPr>
              <w:t>Coordinator</w:t>
            </w:r>
          </w:p>
        </w:tc>
      </w:tr>
      <w:tr>
        <w:trPr>
          <w:trHeight w:val="326" w:hRule="atLeast"/>
        </w:trPr>
        <w:tc>
          <w:tcPr>
            <w:tcW w:w="9699" w:type="dxa"/>
            <w:gridSpan w:val="6"/>
            <w:tcBorders>
              <w:top w:val="single" w:sz="4" w:space="0" w:color="000000"/>
              <w:bottom w:val="single" w:sz="4" w:space="0" w:color="000000"/>
            </w:tcBorders>
          </w:tcPr>
          <w:p>
            <w:pPr>
              <w:pStyle w:val="TableParagraph"/>
              <w:spacing w:before="62"/>
              <w:ind w:left="28"/>
              <w:jc w:val="left"/>
              <w:rPr>
                <w:b/>
                <w:sz w:val="18"/>
              </w:rPr>
            </w:pPr>
            <w:r>
              <w:rPr>
                <w:b/>
                <w:sz w:val="18"/>
              </w:rPr>
              <w:t>Total</w:t>
            </w:r>
            <w:r>
              <w:rPr>
                <w:b/>
                <w:spacing w:val="-4"/>
                <w:sz w:val="18"/>
              </w:rPr>
              <w:t> </w:t>
            </w:r>
            <w:r>
              <w:rPr>
                <w:b/>
                <w:sz w:val="18"/>
              </w:rPr>
              <w:t>Office</w:t>
            </w:r>
            <w:r>
              <w:rPr>
                <w:b/>
                <w:spacing w:val="-5"/>
                <w:sz w:val="18"/>
              </w:rPr>
              <w:t> </w:t>
            </w:r>
            <w:r>
              <w:rPr>
                <w:b/>
                <w:sz w:val="18"/>
              </w:rPr>
              <w:t>of</w:t>
            </w:r>
            <w:r>
              <w:rPr>
                <w:b/>
                <w:spacing w:val="-4"/>
                <w:sz w:val="18"/>
              </w:rPr>
              <w:t> </w:t>
            </w:r>
            <w:r>
              <w:rPr>
                <w:b/>
                <w:sz w:val="18"/>
              </w:rPr>
              <w:t>the</w:t>
            </w:r>
            <w:r>
              <w:rPr>
                <w:b/>
                <w:spacing w:val="-5"/>
                <w:sz w:val="18"/>
              </w:rPr>
              <w:t> </w:t>
            </w:r>
            <w:r>
              <w:rPr>
                <w:b/>
                <w:sz w:val="18"/>
              </w:rPr>
              <w:t>Prosecutor</w:t>
            </w:r>
            <w:r>
              <w:rPr>
                <w:b/>
                <w:spacing w:val="-6"/>
                <w:sz w:val="18"/>
              </w:rPr>
              <w:t> </w:t>
            </w:r>
            <w:r>
              <w:rPr>
                <w:b/>
                <w:sz w:val="18"/>
              </w:rPr>
              <w:t>conversions:</w:t>
            </w:r>
            <w:r>
              <w:rPr>
                <w:b/>
                <w:spacing w:val="-4"/>
                <w:sz w:val="18"/>
              </w:rPr>
              <w:t> </w:t>
            </w:r>
            <w:r>
              <w:rPr>
                <w:b/>
                <w:spacing w:val="-10"/>
                <w:sz w:val="18"/>
              </w:rPr>
              <w:t>7</w:t>
            </w:r>
          </w:p>
        </w:tc>
      </w:tr>
      <w:tr>
        <w:trPr>
          <w:trHeight w:val="532" w:hRule="atLeast"/>
        </w:trPr>
        <w:tc>
          <w:tcPr>
            <w:tcW w:w="1259" w:type="dxa"/>
            <w:tcBorders>
              <w:top w:val="single" w:sz="4" w:space="0" w:color="000000"/>
              <w:bottom w:val="single" w:sz="4" w:space="0" w:color="000000"/>
            </w:tcBorders>
          </w:tcPr>
          <w:p>
            <w:pPr>
              <w:pStyle w:val="TableParagraph"/>
              <w:spacing w:before="62"/>
              <w:ind w:left="70"/>
              <w:jc w:val="center"/>
              <w:rPr>
                <w:sz w:val="18"/>
              </w:rPr>
            </w:pPr>
            <w:r>
              <w:rPr>
                <w:w w:val="101"/>
                <w:sz w:val="18"/>
              </w:rPr>
              <w:t>1</w:t>
            </w:r>
          </w:p>
        </w:tc>
        <w:tc>
          <w:tcPr>
            <w:tcW w:w="668" w:type="dxa"/>
            <w:tcBorders>
              <w:top w:val="single" w:sz="4" w:space="0" w:color="000000"/>
              <w:bottom w:val="single" w:sz="4" w:space="0" w:color="000000"/>
            </w:tcBorders>
          </w:tcPr>
          <w:p>
            <w:pPr>
              <w:pStyle w:val="TableParagraph"/>
              <w:spacing w:before="62"/>
              <w:ind w:left="47"/>
              <w:jc w:val="left"/>
              <w:rPr>
                <w:sz w:val="18"/>
              </w:rPr>
            </w:pPr>
            <w:r>
              <w:rPr>
                <w:sz w:val="18"/>
              </w:rPr>
              <w:t>P-</w:t>
            </w:r>
            <w:r>
              <w:rPr>
                <w:spacing w:val="-10"/>
                <w:sz w:val="18"/>
              </w:rPr>
              <w:t>4</w:t>
            </w:r>
          </w:p>
        </w:tc>
        <w:tc>
          <w:tcPr>
            <w:tcW w:w="989" w:type="dxa"/>
            <w:tcBorders>
              <w:top w:val="single" w:sz="4" w:space="0" w:color="000000"/>
              <w:bottom w:val="single" w:sz="4" w:space="0" w:color="000000"/>
            </w:tcBorders>
          </w:tcPr>
          <w:p>
            <w:pPr>
              <w:pStyle w:val="TableParagraph"/>
              <w:spacing w:before="62"/>
              <w:ind w:left="89"/>
              <w:jc w:val="left"/>
              <w:rPr>
                <w:sz w:val="18"/>
              </w:rPr>
            </w:pPr>
            <w:r>
              <w:rPr>
                <w:spacing w:val="-5"/>
                <w:sz w:val="18"/>
              </w:rPr>
              <w:t>GTA</w:t>
            </w:r>
          </w:p>
        </w:tc>
        <w:tc>
          <w:tcPr>
            <w:tcW w:w="1492" w:type="dxa"/>
            <w:tcBorders>
              <w:top w:val="single" w:sz="4" w:space="0" w:color="000000"/>
              <w:bottom w:val="single" w:sz="4" w:space="0" w:color="000000"/>
            </w:tcBorders>
          </w:tcPr>
          <w:p>
            <w:pPr>
              <w:pStyle w:val="TableParagraph"/>
              <w:spacing w:before="62"/>
              <w:ind w:left="89"/>
              <w:jc w:val="left"/>
              <w:rPr>
                <w:sz w:val="18"/>
              </w:rPr>
            </w:pPr>
            <w:r>
              <w:rPr>
                <w:sz w:val="18"/>
              </w:rPr>
              <w:t>Established</w:t>
            </w:r>
            <w:r>
              <w:rPr>
                <w:spacing w:val="-6"/>
                <w:sz w:val="18"/>
              </w:rPr>
              <w:t> </w:t>
            </w:r>
            <w:r>
              <w:rPr>
                <w:spacing w:val="-2"/>
                <w:sz w:val="18"/>
              </w:rPr>
              <w:t>posts</w:t>
            </w:r>
          </w:p>
        </w:tc>
        <w:tc>
          <w:tcPr>
            <w:tcW w:w="2677" w:type="dxa"/>
            <w:tcBorders>
              <w:top w:val="single" w:sz="4" w:space="0" w:color="000000"/>
              <w:bottom w:val="single" w:sz="4" w:space="0" w:color="000000"/>
            </w:tcBorders>
          </w:tcPr>
          <w:p>
            <w:pPr>
              <w:pStyle w:val="TableParagraph"/>
              <w:spacing w:before="62"/>
              <w:ind w:left="158" w:right="14"/>
              <w:jc w:val="left"/>
              <w:rPr>
                <w:sz w:val="18"/>
              </w:rPr>
            </w:pPr>
            <w:r>
              <w:rPr>
                <w:sz w:val="18"/>
              </w:rPr>
              <w:t>Office</w:t>
            </w:r>
            <w:r>
              <w:rPr>
                <w:spacing w:val="-8"/>
                <w:sz w:val="18"/>
              </w:rPr>
              <w:t> </w:t>
            </w:r>
            <w:r>
              <w:rPr>
                <w:sz w:val="18"/>
              </w:rPr>
              <w:t>of</w:t>
            </w:r>
            <w:r>
              <w:rPr>
                <w:spacing w:val="-8"/>
                <w:sz w:val="18"/>
              </w:rPr>
              <w:t> </w:t>
            </w:r>
            <w:r>
              <w:rPr>
                <w:sz w:val="18"/>
              </w:rPr>
              <w:t>the</w:t>
            </w:r>
            <w:r>
              <w:rPr>
                <w:spacing w:val="-8"/>
                <w:sz w:val="18"/>
              </w:rPr>
              <w:t> </w:t>
            </w:r>
            <w:r>
              <w:rPr>
                <w:sz w:val="18"/>
              </w:rPr>
              <w:t>Focal</w:t>
            </w:r>
            <w:r>
              <w:rPr>
                <w:spacing w:val="-7"/>
                <w:sz w:val="18"/>
              </w:rPr>
              <w:t> </w:t>
            </w:r>
            <w:r>
              <w:rPr>
                <w:sz w:val="18"/>
              </w:rPr>
              <w:t>Point</w:t>
            </w:r>
            <w:r>
              <w:rPr>
                <w:spacing w:val="-7"/>
                <w:sz w:val="18"/>
              </w:rPr>
              <w:t> </w:t>
            </w:r>
            <w:r>
              <w:rPr>
                <w:sz w:val="18"/>
              </w:rPr>
              <w:t>for Gender Equality</w:t>
            </w:r>
          </w:p>
        </w:tc>
        <w:tc>
          <w:tcPr>
            <w:tcW w:w="2614" w:type="dxa"/>
            <w:tcBorders>
              <w:top w:val="single" w:sz="4" w:space="0" w:color="000000"/>
              <w:bottom w:val="single" w:sz="4" w:space="0" w:color="000000"/>
            </w:tcBorders>
          </w:tcPr>
          <w:p>
            <w:pPr>
              <w:pStyle w:val="TableParagraph"/>
              <w:spacing w:before="62"/>
              <w:ind w:left="36"/>
              <w:jc w:val="left"/>
              <w:rPr>
                <w:sz w:val="18"/>
              </w:rPr>
            </w:pPr>
            <w:r>
              <w:rPr>
                <w:sz w:val="18"/>
              </w:rPr>
              <w:t>Gender</w:t>
            </w:r>
            <w:r>
              <w:rPr>
                <w:spacing w:val="-2"/>
                <w:sz w:val="18"/>
              </w:rPr>
              <w:t> </w:t>
            </w:r>
            <w:r>
              <w:rPr>
                <w:sz w:val="18"/>
              </w:rPr>
              <w:t>Equality</w:t>
            </w:r>
            <w:r>
              <w:rPr>
                <w:spacing w:val="-6"/>
                <w:sz w:val="18"/>
              </w:rPr>
              <w:t> </w:t>
            </w:r>
            <w:r>
              <w:rPr>
                <w:sz w:val="18"/>
              </w:rPr>
              <w:t>Focal</w:t>
            </w:r>
            <w:r>
              <w:rPr>
                <w:spacing w:val="-1"/>
                <w:sz w:val="18"/>
              </w:rPr>
              <w:t> </w:t>
            </w:r>
            <w:r>
              <w:rPr>
                <w:spacing w:val="-4"/>
                <w:sz w:val="18"/>
              </w:rPr>
              <w:t>Point</w:t>
            </w:r>
          </w:p>
        </w:tc>
      </w:tr>
      <w:tr>
        <w:trPr>
          <w:trHeight w:val="330" w:hRule="atLeast"/>
        </w:trPr>
        <w:tc>
          <w:tcPr>
            <w:tcW w:w="1259" w:type="dxa"/>
            <w:tcBorders>
              <w:top w:val="single" w:sz="4" w:space="0" w:color="000000"/>
              <w:bottom w:val="single" w:sz="4" w:space="0" w:color="000000"/>
            </w:tcBorders>
          </w:tcPr>
          <w:p>
            <w:pPr>
              <w:pStyle w:val="TableParagraph"/>
              <w:spacing w:before="67"/>
              <w:ind w:left="70"/>
              <w:jc w:val="center"/>
              <w:rPr>
                <w:sz w:val="18"/>
              </w:rPr>
            </w:pPr>
            <w:r>
              <w:rPr>
                <w:w w:val="101"/>
                <w:sz w:val="18"/>
              </w:rPr>
              <w:t>1</w:t>
            </w:r>
          </w:p>
        </w:tc>
        <w:tc>
          <w:tcPr>
            <w:tcW w:w="668" w:type="dxa"/>
            <w:tcBorders>
              <w:top w:val="single" w:sz="4" w:space="0" w:color="000000"/>
              <w:bottom w:val="single" w:sz="4" w:space="0" w:color="000000"/>
            </w:tcBorders>
          </w:tcPr>
          <w:p>
            <w:pPr>
              <w:pStyle w:val="TableParagraph"/>
              <w:spacing w:before="67"/>
              <w:ind w:left="47"/>
              <w:jc w:val="left"/>
              <w:rPr>
                <w:sz w:val="18"/>
              </w:rPr>
            </w:pPr>
            <w:r>
              <w:rPr>
                <w:sz w:val="18"/>
              </w:rPr>
              <w:t>P-</w:t>
            </w:r>
            <w:r>
              <w:rPr>
                <w:spacing w:val="-10"/>
                <w:sz w:val="18"/>
              </w:rPr>
              <w:t>2</w:t>
            </w:r>
          </w:p>
        </w:tc>
        <w:tc>
          <w:tcPr>
            <w:tcW w:w="989" w:type="dxa"/>
            <w:tcBorders>
              <w:top w:val="single" w:sz="4" w:space="0" w:color="000000"/>
              <w:bottom w:val="single" w:sz="4" w:space="0" w:color="000000"/>
            </w:tcBorders>
          </w:tcPr>
          <w:p>
            <w:pPr>
              <w:pStyle w:val="TableParagraph"/>
              <w:spacing w:before="67"/>
              <w:ind w:left="89"/>
              <w:jc w:val="left"/>
              <w:rPr>
                <w:sz w:val="18"/>
              </w:rPr>
            </w:pPr>
            <w:r>
              <w:rPr>
                <w:spacing w:val="-5"/>
                <w:sz w:val="18"/>
              </w:rPr>
              <w:t>GTA</w:t>
            </w:r>
          </w:p>
        </w:tc>
        <w:tc>
          <w:tcPr>
            <w:tcW w:w="1492" w:type="dxa"/>
            <w:tcBorders>
              <w:top w:val="single" w:sz="4" w:space="0" w:color="000000"/>
              <w:bottom w:val="single" w:sz="4" w:space="0" w:color="000000"/>
            </w:tcBorders>
          </w:tcPr>
          <w:p>
            <w:pPr>
              <w:pStyle w:val="TableParagraph"/>
              <w:spacing w:before="67"/>
              <w:ind w:left="89"/>
              <w:jc w:val="left"/>
              <w:rPr>
                <w:sz w:val="18"/>
              </w:rPr>
            </w:pPr>
            <w:r>
              <w:rPr>
                <w:sz w:val="18"/>
              </w:rPr>
              <w:t>Established</w:t>
            </w:r>
            <w:r>
              <w:rPr>
                <w:spacing w:val="-6"/>
                <w:sz w:val="18"/>
              </w:rPr>
              <w:t> </w:t>
            </w:r>
            <w:r>
              <w:rPr>
                <w:spacing w:val="-2"/>
                <w:sz w:val="18"/>
              </w:rPr>
              <w:t>posts</w:t>
            </w:r>
          </w:p>
        </w:tc>
        <w:tc>
          <w:tcPr>
            <w:tcW w:w="2677" w:type="dxa"/>
            <w:tcBorders>
              <w:top w:val="single" w:sz="4" w:space="0" w:color="000000"/>
              <w:bottom w:val="single" w:sz="4" w:space="0" w:color="000000"/>
            </w:tcBorders>
          </w:tcPr>
          <w:p>
            <w:pPr>
              <w:pStyle w:val="TableParagraph"/>
              <w:spacing w:before="67"/>
              <w:ind w:left="158"/>
              <w:jc w:val="left"/>
              <w:rPr>
                <w:sz w:val="18"/>
              </w:rPr>
            </w:pPr>
            <w:r>
              <w:rPr>
                <w:sz w:val="18"/>
              </w:rPr>
              <w:t>Office</w:t>
            </w:r>
            <w:r>
              <w:rPr>
                <w:spacing w:val="-5"/>
                <w:sz w:val="18"/>
              </w:rPr>
              <w:t> </w:t>
            </w:r>
            <w:r>
              <w:rPr>
                <w:sz w:val="18"/>
              </w:rPr>
              <w:t>of</w:t>
            </w:r>
            <w:r>
              <w:rPr>
                <w:spacing w:val="-3"/>
                <w:sz w:val="18"/>
              </w:rPr>
              <w:t> </w:t>
            </w:r>
            <w:r>
              <w:rPr>
                <w:sz w:val="18"/>
              </w:rPr>
              <w:t>the</w:t>
            </w:r>
            <w:r>
              <w:rPr>
                <w:spacing w:val="-5"/>
                <w:sz w:val="18"/>
              </w:rPr>
              <w:t> </w:t>
            </w:r>
            <w:r>
              <w:rPr>
                <w:sz w:val="18"/>
              </w:rPr>
              <w:t>Director,</w:t>
            </w:r>
            <w:r>
              <w:rPr>
                <w:spacing w:val="1"/>
                <w:sz w:val="18"/>
              </w:rPr>
              <w:t> </w:t>
            </w:r>
            <w:r>
              <w:rPr>
                <w:spacing w:val="-5"/>
                <w:sz w:val="18"/>
              </w:rPr>
              <w:t>DMS</w:t>
            </w:r>
          </w:p>
        </w:tc>
        <w:tc>
          <w:tcPr>
            <w:tcW w:w="2614" w:type="dxa"/>
            <w:tcBorders>
              <w:top w:val="single" w:sz="4" w:space="0" w:color="000000"/>
              <w:bottom w:val="single" w:sz="4" w:space="0" w:color="000000"/>
            </w:tcBorders>
          </w:tcPr>
          <w:p>
            <w:pPr>
              <w:pStyle w:val="TableParagraph"/>
              <w:spacing w:before="67"/>
              <w:ind w:left="36"/>
              <w:jc w:val="left"/>
              <w:rPr>
                <w:sz w:val="18"/>
              </w:rPr>
            </w:pPr>
            <w:r>
              <w:rPr>
                <w:sz w:val="18"/>
              </w:rPr>
              <w:t>Associate</w:t>
            </w:r>
            <w:r>
              <w:rPr>
                <w:spacing w:val="-7"/>
                <w:sz w:val="18"/>
              </w:rPr>
              <w:t> </w:t>
            </w:r>
            <w:r>
              <w:rPr>
                <w:sz w:val="18"/>
              </w:rPr>
              <w:t>Administrative</w:t>
            </w:r>
            <w:r>
              <w:rPr>
                <w:spacing w:val="-9"/>
                <w:sz w:val="18"/>
              </w:rPr>
              <w:t> </w:t>
            </w:r>
            <w:r>
              <w:rPr>
                <w:spacing w:val="-2"/>
                <w:sz w:val="18"/>
              </w:rPr>
              <w:t>Officer</w:t>
            </w:r>
          </w:p>
        </w:tc>
      </w:tr>
      <w:tr>
        <w:trPr>
          <w:trHeight w:val="532" w:hRule="atLeast"/>
        </w:trPr>
        <w:tc>
          <w:tcPr>
            <w:tcW w:w="1259" w:type="dxa"/>
            <w:tcBorders>
              <w:top w:val="single" w:sz="4" w:space="0" w:color="000000"/>
              <w:bottom w:val="single" w:sz="4" w:space="0" w:color="000000"/>
            </w:tcBorders>
          </w:tcPr>
          <w:p>
            <w:pPr>
              <w:pStyle w:val="TableParagraph"/>
              <w:spacing w:before="62"/>
              <w:ind w:left="70"/>
              <w:jc w:val="center"/>
              <w:rPr>
                <w:sz w:val="18"/>
              </w:rPr>
            </w:pPr>
            <w:r>
              <w:rPr>
                <w:w w:val="101"/>
                <w:sz w:val="18"/>
              </w:rPr>
              <w:t>1</w:t>
            </w:r>
          </w:p>
        </w:tc>
        <w:tc>
          <w:tcPr>
            <w:tcW w:w="668" w:type="dxa"/>
            <w:tcBorders>
              <w:top w:val="single" w:sz="4" w:space="0" w:color="000000"/>
              <w:bottom w:val="single" w:sz="4" w:space="0" w:color="000000"/>
            </w:tcBorders>
          </w:tcPr>
          <w:p>
            <w:pPr>
              <w:pStyle w:val="TableParagraph"/>
              <w:spacing w:before="62"/>
              <w:ind w:left="47"/>
              <w:jc w:val="left"/>
              <w:rPr>
                <w:sz w:val="18"/>
              </w:rPr>
            </w:pPr>
            <w:r>
              <w:rPr>
                <w:sz w:val="18"/>
              </w:rPr>
              <w:t>P-</w:t>
            </w:r>
            <w:r>
              <w:rPr>
                <w:spacing w:val="-10"/>
                <w:sz w:val="18"/>
              </w:rPr>
              <w:t>2</w:t>
            </w:r>
          </w:p>
        </w:tc>
        <w:tc>
          <w:tcPr>
            <w:tcW w:w="989" w:type="dxa"/>
            <w:tcBorders>
              <w:top w:val="single" w:sz="4" w:space="0" w:color="000000"/>
              <w:bottom w:val="single" w:sz="4" w:space="0" w:color="000000"/>
            </w:tcBorders>
          </w:tcPr>
          <w:p>
            <w:pPr>
              <w:pStyle w:val="TableParagraph"/>
              <w:spacing w:before="62"/>
              <w:ind w:left="89"/>
              <w:jc w:val="left"/>
              <w:rPr>
                <w:sz w:val="18"/>
              </w:rPr>
            </w:pPr>
            <w:r>
              <w:rPr>
                <w:spacing w:val="-5"/>
                <w:sz w:val="18"/>
              </w:rPr>
              <w:t>GTA</w:t>
            </w:r>
          </w:p>
        </w:tc>
        <w:tc>
          <w:tcPr>
            <w:tcW w:w="1492" w:type="dxa"/>
            <w:tcBorders>
              <w:top w:val="single" w:sz="4" w:space="0" w:color="000000"/>
              <w:bottom w:val="single" w:sz="4" w:space="0" w:color="000000"/>
            </w:tcBorders>
          </w:tcPr>
          <w:p>
            <w:pPr>
              <w:pStyle w:val="TableParagraph"/>
              <w:spacing w:before="62"/>
              <w:ind w:left="89"/>
              <w:jc w:val="left"/>
              <w:rPr>
                <w:sz w:val="18"/>
              </w:rPr>
            </w:pPr>
            <w:r>
              <w:rPr>
                <w:sz w:val="18"/>
              </w:rPr>
              <w:t>Established</w:t>
            </w:r>
            <w:r>
              <w:rPr>
                <w:spacing w:val="-6"/>
                <w:sz w:val="18"/>
              </w:rPr>
              <w:t> </w:t>
            </w:r>
            <w:r>
              <w:rPr>
                <w:spacing w:val="-2"/>
                <w:sz w:val="18"/>
              </w:rPr>
              <w:t>posts</w:t>
            </w:r>
          </w:p>
        </w:tc>
        <w:tc>
          <w:tcPr>
            <w:tcW w:w="2677" w:type="dxa"/>
            <w:tcBorders>
              <w:top w:val="single" w:sz="4" w:space="0" w:color="000000"/>
              <w:bottom w:val="single" w:sz="4" w:space="0" w:color="000000"/>
            </w:tcBorders>
          </w:tcPr>
          <w:p>
            <w:pPr>
              <w:pStyle w:val="TableParagraph"/>
              <w:spacing w:before="57"/>
              <w:ind w:left="158"/>
              <w:jc w:val="left"/>
              <w:rPr>
                <w:sz w:val="18"/>
              </w:rPr>
            </w:pPr>
            <w:r>
              <w:rPr>
                <w:sz w:val="18"/>
              </w:rPr>
              <w:t>Office</w:t>
            </w:r>
            <w:r>
              <w:rPr>
                <w:spacing w:val="-11"/>
                <w:sz w:val="18"/>
              </w:rPr>
              <w:t> </w:t>
            </w:r>
            <w:r>
              <w:rPr>
                <w:sz w:val="18"/>
              </w:rPr>
              <w:t>of</w:t>
            </w:r>
            <w:r>
              <w:rPr>
                <w:spacing w:val="-6"/>
                <w:sz w:val="18"/>
              </w:rPr>
              <w:t> </w:t>
            </w:r>
            <w:r>
              <w:rPr>
                <w:sz w:val="18"/>
              </w:rPr>
              <w:t>Public</w:t>
            </w:r>
            <w:r>
              <w:rPr>
                <w:spacing w:val="-11"/>
                <w:sz w:val="18"/>
              </w:rPr>
              <w:t> </w:t>
            </w:r>
            <w:r>
              <w:rPr>
                <w:sz w:val="18"/>
              </w:rPr>
              <w:t>Counsel</w:t>
            </w:r>
            <w:r>
              <w:rPr>
                <w:spacing w:val="-10"/>
                <w:sz w:val="18"/>
              </w:rPr>
              <w:t> </w:t>
            </w:r>
            <w:r>
              <w:rPr>
                <w:sz w:val="18"/>
              </w:rPr>
              <w:t>for </w:t>
            </w:r>
            <w:r>
              <w:rPr>
                <w:spacing w:val="-2"/>
                <w:sz w:val="18"/>
              </w:rPr>
              <w:t>Victims</w:t>
            </w:r>
          </w:p>
        </w:tc>
        <w:tc>
          <w:tcPr>
            <w:tcW w:w="2614" w:type="dxa"/>
            <w:tcBorders>
              <w:top w:val="single" w:sz="4" w:space="0" w:color="000000"/>
              <w:bottom w:val="single" w:sz="4" w:space="0" w:color="000000"/>
            </w:tcBorders>
          </w:tcPr>
          <w:p>
            <w:pPr>
              <w:pStyle w:val="TableParagraph"/>
              <w:spacing w:before="62"/>
              <w:ind w:left="36"/>
              <w:jc w:val="left"/>
              <w:rPr>
                <w:sz w:val="18"/>
              </w:rPr>
            </w:pPr>
            <w:r>
              <w:rPr>
                <w:sz w:val="18"/>
              </w:rPr>
              <w:t>Associate</w:t>
            </w:r>
            <w:r>
              <w:rPr>
                <w:spacing w:val="-8"/>
                <w:sz w:val="18"/>
              </w:rPr>
              <w:t> </w:t>
            </w:r>
            <w:r>
              <w:rPr>
                <w:sz w:val="18"/>
              </w:rPr>
              <w:t>Legal</w:t>
            </w:r>
            <w:r>
              <w:rPr>
                <w:spacing w:val="-1"/>
                <w:sz w:val="18"/>
              </w:rPr>
              <w:t> </w:t>
            </w:r>
            <w:r>
              <w:rPr>
                <w:spacing w:val="-2"/>
                <w:sz w:val="18"/>
              </w:rPr>
              <w:t>Officer</w:t>
            </w:r>
          </w:p>
        </w:tc>
      </w:tr>
      <w:tr>
        <w:trPr>
          <w:trHeight w:val="532" w:hRule="atLeast"/>
        </w:trPr>
        <w:tc>
          <w:tcPr>
            <w:tcW w:w="1259" w:type="dxa"/>
            <w:tcBorders>
              <w:top w:val="single" w:sz="4" w:space="0" w:color="000000"/>
              <w:bottom w:val="single" w:sz="4" w:space="0" w:color="000000"/>
            </w:tcBorders>
          </w:tcPr>
          <w:p>
            <w:pPr>
              <w:pStyle w:val="TableParagraph"/>
              <w:spacing w:before="62"/>
              <w:ind w:left="70"/>
              <w:jc w:val="center"/>
              <w:rPr>
                <w:sz w:val="18"/>
              </w:rPr>
            </w:pPr>
            <w:r>
              <w:rPr>
                <w:w w:val="101"/>
                <w:sz w:val="18"/>
              </w:rPr>
              <w:t>1</w:t>
            </w:r>
          </w:p>
        </w:tc>
        <w:tc>
          <w:tcPr>
            <w:tcW w:w="668" w:type="dxa"/>
            <w:tcBorders>
              <w:top w:val="single" w:sz="4" w:space="0" w:color="000000"/>
              <w:bottom w:val="single" w:sz="4" w:space="0" w:color="000000"/>
            </w:tcBorders>
          </w:tcPr>
          <w:p>
            <w:pPr>
              <w:pStyle w:val="TableParagraph"/>
              <w:spacing w:before="62"/>
              <w:ind w:left="47"/>
              <w:jc w:val="left"/>
              <w:rPr>
                <w:sz w:val="18"/>
              </w:rPr>
            </w:pPr>
            <w:r>
              <w:rPr>
                <w:sz w:val="18"/>
              </w:rPr>
              <w:t>P-</w:t>
            </w:r>
            <w:r>
              <w:rPr>
                <w:spacing w:val="-10"/>
                <w:sz w:val="18"/>
              </w:rPr>
              <w:t>1</w:t>
            </w:r>
          </w:p>
        </w:tc>
        <w:tc>
          <w:tcPr>
            <w:tcW w:w="989" w:type="dxa"/>
            <w:tcBorders>
              <w:top w:val="single" w:sz="4" w:space="0" w:color="000000"/>
              <w:bottom w:val="single" w:sz="4" w:space="0" w:color="000000"/>
            </w:tcBorders>
          </w:tcPr>
          <w:p>
            <w:pPr>
              <w:pStyle w:val="TableParagraph"/>
              <w:spacing w:before="62"/>
              <w:ind w:left="89"/>
              <w:jc w:val="left"/>
              <w:rPr>
                <w:sz w:val="18"/>
              </w:rPr>
            </w:pPr>
            <w:r>
              <w:rPr>
                <w:spacing w:val="-5"/>
                <w:sz w:val="18"/>
              </w:rPr>
              <w:t>GTA</w:t>
            </w:r>
          </w:p>
        </w:tc>
        <w:tc>
          <w:tcPr>
            <w:tcW w:w="1492" w:type="dxa"/>
            <w:tcBorders>
              <w:top w:val="single" w:sz="4" w:space="0" w:color="000000"/>
              <w:bottom w:val="single" w:sz="4" w:space="0" w:color="000000"/>
            </w:tcBorders>
          </w:tcPr>
          <w:p>
            <w:pPr>
              <w:pStyle w:val="TableParagraph"/>
              <w:spacing w:before="62"/>
              <w:ind w:left="89"/>
              <w:jc w:val="left"/>
              <w:rPr>
                <w:sz w:val="18"/>
              </w:rPr>
            </w:pPr>
            <w:r>
              <w:rPr>
                <w:sz w:val="18"/>
              </w:rPr>
              <w:t>Established</w:t>
            </w:r>
            <w:r>
              <w:rPr>
                <w:spacing w:val="-6"/>
                <w:sz w:val="18"/>
              </w:rPr>
              <w:t> </w:t>
            </w:r>
            <w:r>
              <w:rPr>
                <w:spacing w:val="-2"/>
                <w:sz w:val="18"/>
              </w:rPr>
              <w:t>posts</w:t>
            </w:r>
          </w:p>
        </w:tc>
        <w:tc>
          <w:tcPr>
            <w:tcW w:w="2677" w:type="dxa"/>
            <w:tcBorders>
              <w:top w:val="single" w:sz="4" w:space="0" w:color="000000"/>
              <w:bottom w:val="single" w:sz="4" w:space="0" w:color="000000"/>
            </w:tcBorders>
          </w:tcPr>
          <w:p>
            <w:pPr>
              <w:pStyle w:val="TableParagraph"/>
              <w:spacing w:before="62"/>
              <w:ind w:left="158"/>
              <w:jc w:val="left"/>
              <w:rPr>
                <w:sz w:val="18"/>
              </w:rPr>
            </w:pPr>
            <w:r>
              <w:rPr>
                <w:sz w:val="18"/>
              </w:rPr>
              <w:t>Victims</w:t>
            </w:r>
            <w:r>
              <w:rPr>
                <w:spacing w:val="-12"/>
                <w:sz w:val="18"/>
              </w:rPr>
              <w:t> </w:t>
            </w:r>
            <w:r>
              <w:rPr>
                <w:sz w:val="18"/>
              </w:rPr>
              <w:t>Participation</w:t>
            </w:r>
            <w:r>
              <w:rPr>
                <w:spacing w:val="-11"/>
                <w:sz w:val="18"/>
              </w:rPr>
              <w:t> </w:t>
            </w:r>
            <w:r>
              <w:rPr>
                <w:sz w:val="18"/>
              </w:rPr>
              <w:t>and Reparations Section</w:t>
            </w:r>
          </w:p>
        </w:tc>
        <w:tc>
          <w:tcPr>
            <w:tcW w:w="2614" w:type="dxa"/>
            <w:tcBorders>
              <w:top w:val="single" w:sz="4" w:space="0" w:color="000000"/>
              <w:bottom w:val="single" w:sz="4" w:space="0" w:color="000000"/>
            </w:tcBorders>
          </w:tcPr>
          <w:p>
            <w:pPr>
              <w:pStyle w:val="TableParagraph"/>
              <w:spacing w:before="62"/>
              <w:ind w:left="36"/>
              <w:jc w:val="left"/>
              <w:rPr>
                <w:sz w:val="18"/>
              </w:rPr>
            </w:pPr>
            <w:r>
              <w:rPr>
                <w:sz w:val="18"/>
              </w:rPr>
              <w:t>Assistant</w:t>
            </w:r>
            <w:r>
              <w:rPr>
                <w:spacing w:val="-3"/>
                <w:sz w:val="18"/>
              </w:rPr>
              <w:t> </w:t>
            </w:r>
            <w:r>
              <w:rPr>
                <w:sz w:val="18"/>
              </w:rPr>
              <w:t>Legal</w:t>
            </w:r>
            <w:r>
              <w:rPr>
                <w:spacing w:val="-3"/>
                <w:sz w:val="18"/>
              </w:rPr>
              <w:t> </w:t>
            </w:r>
            <w:r>
              <w:rPr>
                <w:spacing w:val="-2"/>
                <w:sz w:val="18"/>
              </w:rPr>
              <w:t>Officer</w:t>
            </w:r>
          </w:p>
        </w:tc>
      </w:tr>
      <w:tr>
        <w:trPr>
          <w:trHeight w:val="537" w:hRule="atLeast"/>
        </w:trPr>
        <w:tc>
          <w:tcPr>
            <w:tcW w:w="1259" w:type="dxa"/>
            <w:tcBorders>
              <w:top w:val="single" w:sz="4" w:space="0" w:color="000000"/>
              <w:bottom w:val="single" w:sz="4" w:space="0" w:color="000000"/>
            </w:tcBorders>
          </w:tcPr>
          <w:p>
            <w:pPr>
              <w:pStyle w:val="TableParagraph"/>
              <w:spacing w:before="62"/>
              <w:ind w:left="70"/>
              <w:jc w:val="center"/>
              <w:rPr>
                <w:sz w:val="18"/>
              </w:rPr>
            </w:pPr>
            <w:r>
              <w:rPr>
                <w:w w:val="101"/>
                <w:sz w:val="18"/>
              </w:rPr>
              <w:t>1</w:t>
            </w:r>
          </w:p>
        </w:tc>
        <w:tc>
          <w:tcPr>
            <w:tcW w:w="668" w:type="dxa"/>
            <w:tcBorders>
              <w:top w:val="single" w:sz="4" w:space="0" w:color="000000"/>
              <w:bottom w:val="single" w:sz="4" w:space="0" w:color="000000"/>
            </w:tcBorders>
          </w:tcPr>
          <w:p>
            <w:pPr>
              <w:pStyle w:val="TableParagraph"/>
              <w:spacing w:before="62"/>
              <w:ind w:left="47"/>
              <w:jc w:val="left"/>
              <w:rPr>
                <w:sz w:val="18"/>
              </w:rPr>
            </w:pPr>
            <w:r>
              <w:rPr>
                <w:spacing w:val="-2"/>
                <w:sz w:val="18"/>
              </w:rPr>
              <w:t>GS-</w:t>
            </w:r>
            <w:r>
              <w:rPr>
                <w:spacing w:val="-5"/>
                <w:sz w:val="18"/>
              </w:rPr>
              <w:t>OL</w:t>
            </w:r>
          </w:p>
        </w:tc>
        <w:tc>
          <w:tcPr>
            <w:tcW w:w="989" w:type="dxa"/>
            <w:tcBorders>
              <w:top w:val="single" w:sz="4" w:space="0" w:color="000000"/>
              <w:bottom w:val="single" w:sz="4" w:space="0" w:color="000000"/>
            </w:tcBorders>
          </w:tcPr>
          <w:p>
            <w:pPr>
              <w:pStyle w:val="TableParagraph"/>
              <w:spacing w:before="62"/>
              <w:ind w:left="89"/>
              <w:jc w:val="left"/>
              <w:rPr>
                <w:sz w:val="18"/>
              </w:rPr>
            </w:pPr>
            <w:r>
              <w:rPr>
                <w:spacing w:val="-5"/>
                <w:sz w:val="18"/>
              </w:rPr>
              <w:t>GTA</w:t>
            </w:r>
          </w:p>
        </w:tc>
        <w:tc>
          <w:tcPr>
            <w:tcW w:w="1492" w:type="dxa"/>
            <w:tcBorders>
              <w:top w:val="single" w:sz="4" w:space="0" w:color="000000"/>
              <w:bottom w:val="single" w:sz="4" w:space="0" w:color="000000"/>
            </w:tcBorders>
          </w:tcPr>
          <w:p>
            <w:pPr>
              <w:pStyle w:val="TableParagraph"/>
              <w:spacing w:before="62"/>
              <w:ind w:left="89"/>
              <w:jc w:val="left"/>
              <w:rPr>
                <w:sz w:val="18"/>
              </w:rPr>
            </w:pPr>
            <w:r>
              <w:rPr>
                <w:sz w:val="18"/>
              </w:rPr>
              <w:t>Established</w:t>
            </w:r>
            <w:r>
              <w:rPr>
                <w:spacing w:val="-6"/>
                <w:sz w:val="18"/>
              </w:rPr>
              <w:t> </w:t>
            </w:r>
            <w:r>
              <w:rPr>
                <w:spacing w:val="-2"/>
                <w:sz w:val="18"/>
              </w:rPr>
              <w:t>posts</w:t>
            </w:r>
          </w:p>
        </w:tc>
        <w:tc>
          <w:tcPr>
            <w:tcW w:w="2677" w:type="dxa"/>
            <w:tcBorders>
              <w:top w:val="single" w:sz="4" w:space="0" w:color="000000"/>
              <w:bottom w:val="single" w:sz="4" w:space="0" w:color="000000"/>
            </w:tcBorders>
          </w:tcPr>
          <w:p>
            <w:pPr>
              <w:pStyle w:val="TableParagraph"/>
              <w:spacing w:before="62"/>
              <w:ind w:left="158"/>
              <w:jc w:val="left"/>
              <w:rPr>
                <w:sz w:val="18"/>
              </w:rPr>
            </w:pPr>
            <w:r>
              <w:rPr>
                <w:sz w:val="18"/>
              </w:rPr>
              <w:t>Victims</w:t>
            </w:r>
            <w:r>
              <w:rPr>
                <w:spacing w:val="-12"/>
                <w:sz w:val="18"/>
              </w:rPr>
              <w:t> </w:t>
            </w:r>
            <w:r>
              <w:rPr>
                <w:sz w:val="18"/>
              </w:rPr>
              <w:t>Participation</w:t>
            </w:r>
            <w:r>
              <w:rPr>
                <w:spacing w:val="-11"/>
                <w:sz w:val="18"/>
              </w:rPr>
              <w:t> </w:t>
            </w:r>
            <w:r>
              <w:rPr>
                <w:sz w:val="18"/>
              </w:rPr>
              <w:t>and Reparations Section</w:t>
            </w:r>
          </w:p>
        </w:tc>
        <w:tc>
          <w:tcPr>
            <w:tcW w:w="2614" w:type="dxa"/>
            <w:tcBorders>
              <w:top w:val="single" w:sz="4" w:space="0" w:color="000000"/>
              <w:bottom w:val="single" w:sz="4" w:space="0" w:color="000000"/>
            </w:tcBorders>
          </w:tcPr>
          <w:p>
            <w:pPr>
              <w:pStyle w:val="TableParagraph"/>
              <w:spacing w:before="62"/>
              <w:ind w:left="36"/>
              <w:jc w:val="left"/>
              <w:rPr>
                <w:sz w:val="18"/>
              </w:rPr>
            </w:pPr>
            <w:r>
              <w:rPr>
                <w:sz w:val="18"/>
              </w:rPr>
              <w:t>Data</w:t>
            </w:r>
            <w:r>
              <w:rPr>
                <w:spacing w:val="-4"/>
                <w:sz w:val="18"/>
              </w:rPr>
              <w:t> </w:t>
            </w:r>
            <w:r>
              <w:rPr>
                <w:sz w:val="18"/>
              </w:rPr>
              <w:t>Processing</w:t>
            </w:r>
            <w:r>
              <w:rPr>
                <w:spacing w:val="-3"/>
                <w:sz w:val="18"/>
              </w:rPr>
              <w:t> </w:t>
            </w:r>
            <w:r>
              <w:rPr>
                <w:spacing w:val="-2"/>
                <w:sz w:val="18"/>
              </w:rPr>
              <w:t>Assistant</w:t>
            </w:r>
          </w:p>
        </w:tc>
      </w:tr>
      <w:tr>
        <w:trPr>
          <w:trHeight w:val="326" w:hRule="atLeast"/>
        </w:trPr>
        <w:tc>
          <w:tcPr>
            <w:tcW w:w="1259" w:type="dxa"/>
            <w:tcBorders>
              <w:top w:val="single" w:sz="4" w:space="0" w:color="000000"/>
              <w:bottom w:val="single" w:sz="4" w:space="0" w:color="000000"/>
            </w:tcBorders>
          </w:tcPr>
          <w:p>
            <w:pPr>
              <w:pStyle w:val="TableParagraph"/>
              <w:spacing w:before="62"/>
              <w:ind w:left="70"/>
              <w:jc w:val="center"/>
              <w:rPr>
                <w:sz w:val="18"/>
              </w:rPr>
            </w:pPr>
            <w:r>
              <w:rPr>
                <w:w w:val="101"/>
                <w:sz w:val="18"/>
              </w:rPr>
              <w:t>1</w:t>
            </w:r>
          </w:p>
        </w:tc>
        <w:tc>
          <w:tcPr>
            <w:tcW w:w="668" w:type="dxa"/>
            <w:tcBorders>
              <w:top w:val="single" w:sz="4" w:space="0" w:color="000000"/>
              <w:bottom w:val="single" w:sz="4" w:space="0" w:color="000000"/>
            </w:tcBorders>
          </w:tcPr>
          <w:p>
            <w:pPr>
              <w:pStyle w:val="TableParagraph"/>
              <w:spacing w:before="62"/>
              <w:ind w:left="47"/>
              <w:jc w:val="left"/>
              <w:rPr>
                <w:sz w:val="18"/>
              </w:rPr>
            </w:pPr>
            <w:r>
              <w:rPr>
                <w:spacing w:val="-2"/>
                <w:sz w:val="18"/>
              </w:rPr>
              <w:t>GS-</w:t>
            </w:r>
            <w:r>
              <w:rPr>
                <w:spacing w:val="-5"/>
                <w:sz w:val="18"/>
              </w:rPr>
              <w:t>OL</w:t>
            </w:r>
          </w:p>
        </w:tc>
        <w:tc>
          <w:tcPr>
            <w:tcW w:w="989" w:type="dxa"/>
            <w:tcBorders>
              <w:top w:val="single" w:sz="4" w:space="0" w:color="000000"/>
              <w:bottom w:val="single" w:sz="4" w:space="0" w:color="000000"/>
            </w:tcBorders>
          </w:tcPr>
          <w:p>
            <w:pPr>
              <w:pStyle w:val="TableParagraph"/>
              <w:spacing w:before="62"/>
              <w:ind w:left="89"/>
              <w:jc w:val="left"/>
              <w:rPr>
                <w:sz w:val="18"/>
              </w:rPr>
            </w:pPr>
            <w:r>
              <w:rPr>
                <w:spacing w:val="-5"/>
                <w:sz w:val="18"/>
              </w:rPr>
              <w:t>GTA</w:t>
            </w:r>
          </w:p>
        </w:tc>
        <w:tc>
          <w:tcPr>
            <w:tcW w:w="1492" w:type="dxa"/>
            <w:tcBorders>
              <w:top w:val="single" w:sz="4" w:space="0" w:color="000000"/>
              <w:bottom w:val="single" w:sz="4" w:space="0" w:color="000000"/>
            </w:tcBorders>
          </w:tcPr>
          <w:p>
            <w:pPr>
              <w:pStyle w:val="TableParagraph"/>
              <w:spacing w:before="62"/>
              <w:ind w:left="89"/>
              <w:jc w:val="left"/>
              <w:rPr>
                <w:sz w:val="18"/>
              </w:rPr>
            </w:pPr>
            <w:r>
              <w:rPr>
                <w:sz w:val="18"/>
              </w:rPr>
              <w:t>Established</w:t>
            </w:r>
            <w:r>
              <w:rPr>
                <w:spacing w:val="-6"/>
                <w:sz w:val="18"/>
              </w:rPr>
              <w:t> </w:t>
            </w:r>
            <w:r>
              <w:rPr>
                <w:spacing w:val="-2"/>
                <w:sz w:val="18"/>
              </w:rPr>
              <w:t>posts</w:t>
            </w:r>
          </w:p>
        </w:tc>
        <w:tc>
          <w:tcPr>
            <w:tcW w:w="2677" w:type="dxa"/>
            <w:tcBorders>
              <w:top w:val="single" w:sz="4" w:space="0" w:color="000000"/>
              <w:bottom w:val="single" w:sz="4" w:space="0" w:color="000000"/>
            </w:tcBorders>
          </w:tcPr>
          <w:p>
            <w:pPr>
              <w:pStyle w:val="TableParagraph"/>
              <w:spacing w:before="62"/>
              <w:ind w:left="158"/>
              <w:jc w:val="left"/>
              <w:rPr>
                <w:sz w:val="18"/>
              </w:rPr>
            </w:pPr>
            <w:r>
              <w:rPr>
                <w:sz w:val="18"/>
              </w:rPr>
              <w:t>Occupational</w:t>
            </w:r>
            <w:r>
              <w:rPr>
                <w:spacing w:val="-5"/>
                <w:sz w:val="18"/>
              </w:rPr>
              <w:t> </w:t>
            </w:r>
            <w:r>
              <w:rPr>
                <w:sz w:val="18"/>
              </w:rPr>
              <w:t>Health</w:t>
            </w:r>
            <w:r>
              <w:rPr>
                <w:spacing w:val="-2"/>
                <w:sz w:val="18"/>
              </w:rPr>
              <w:t> </w:t>
            </w:r>
            <w:r>
              <w:rPr>
                <w:spacing w:val="-4"/>
                <w:sz w:val="18"/>
              </w:rPr>
              <w:t>Unit</w:t>
            </w:r>
          </w:p>
        </w:tc>
        <w:tc>
          <w:tcPr>
            <w:tcW w:w="2614" w:type="dxa"/>
            <w:tcBorders>
              <w:top w:val="single" w:sz="4" w:space="0" w:color="000000"/>
              <w:bottom w:val="single" w:sz="4" w:space="0" w:color="000000"/>
            </w:tcBorders>
          </w:tcPr>
          <w:p>
            <w:pPr>
              <w:pStyle w:val="TableParagraph"/>
              <w:spacing w:before="62"/>
              <w:ind w:left="36"/>
              <w:jc w:val="left"/>
              <w:rPr>
                <w:sz w:val="18"/>
              </w:rPr>
            </w:pPr>
            <w:r>
              <w:rPr>
                <w:sz w:val="18"/>
              </w:rPr>
              <w:t>Occupational</w:t>
            </w:r>
            <w:r>
              <w:rPr>
                <w:spacing w:val="-5"/>
                <w:sz w:val="18"/>
              </w:rPr>
              <w:t> </w:t>
            </w:r>
            <w:r>
              <w:rPr>
                <w:sz w:val="18"/>
              </w:rPr>
              <w:t>Health</w:t>
            </w:r>
            <w:r>
              <w:rPr>
                <w:spacing w:val="-2"/>
                <w:sz w:val="18"/>
              </w:rPr>
              <w:t> </w:t>
            </w:r>
            <w:r>
              <w:rPr>
                <w:spacing w:val="-4"/>
                <w:sz w:val="18"/>
              </w:rPr>
              <w:t>Nurse</w:t>
            </w:r>
          </w:p>
        </w:tc>
      </w:tr>
      <w:tr>
        <w:trPr>
          <w:trHeight w:val="325" w:hRule="atLeast"/>
        </w:trPr>
        <w:tc>
          <w:tcPr>
            <w:tcW w:w="1259" w:type="dxa"/>
            <w:tcBorders>
              <w:top w:val="single" w:sz="4" w:space="0" w:color="000000"/>
              <w:bottom w:val="single" w:sz="4" w:space="0" w:color="000000"/>
            </w:tcBorders>
          </w:tcPr>
          <w:p>
            <w:pPr>
              <w:pStyle w:val="TableParagraph"/>
              <w:spacing w:before="62"/>
              <w:ind w:left="70"/>
              <w:jc w:val="center"/>
              <w:rPr>
                <w:sz w:val="18"/>
              </w:rPr>
            </w:pPr>
            <w:r>
              <w:rPr>
                <w:w w:val="101"/>
                <w:sz w:val="18"/>
              </w:rPr>
              <w:t>1</w:t>
            </w:r>
          </w:p>
        </w:tc>
        <w:tc>
          <w:tcPr>
            <w:tcW w:w="668" w:type="dxa"/>
            <w:tcBorders>
              <w:top w:val="single" w:sz="4" w:space="0" w:color="000000"/>
              <w:bottom w:val="single" w:sz="4" w:space="0" w:color="000000"/>
            </w:tcBorders>
          </w:tcPr>
          <w:p>
            <w:pPr>
              <w:pStyle w:val="TableParagraph"/>
              <w:spacing w:before="62"/>
              <w:ind w:left="47"/>
              <w:jc w:val="left"/>
              <w:rPr>
                <w:sz w:val="18"/>
              </w:rPr>
            </w:pPr>
            <w:r>
              <w:rPr>
                <w:spacing w:val="-2"/>
                <w:sz w:val="18"/>
              </w:rPr>
              <w:t>GS-</w:t>
            </w:r>
            <w:r>
              <w:rPr>
                <w:spacing w:val="-5"/>
                <w:sz w:val="18"/>
              </w:rPr>
              <w:t>OL</w:t>
            </w:r>
          </w:p>
        </w:tc>
        <w:tc>
          <w:tcPr>
            <w:tcW w:w="989" w:type="dxa"/>
            <w:tcBorders>
              <w:top w:val="single" w:sz="4" w:space="0" w:color="000000"/>
              <w:bottom w:val="single" w:sz="4" w:space="0" w:color="000000"/>
            </w:tcBorders>
          </w:tcPr>
          <w:p>
            <w:pPr>
              <w:pStyle w:val="TableParagraph"/>
              <w:spacing w:before="62"/>
              <w:ind w:left="89"/>
              <w:jc w:val="left"/>
              <w:rPr>
                <w:sz w:val="18"/>
              </w:rPr>
            </w:pPr>
            <w:r>
              <w:rPr>
                <w:spacing w:val="-5"/>
                <w:sz w:val="18"/>
              </w:rPr>
              <w:t>GTA</w:t>
            </w:r>
          </w:p>
        </w:tc>
        <w:tc>
          <w:tcPr>
            <w:tcW w:w="1492" w:type="dxa"/>
            <w:tcBorders>
              <w:top w:val="single" w:sz="4" w:space="0" w:color="000000"/>
              <w:bottom w:val="single" w:sz="4" w:space="0" w:color="000000"/>
            </w:tcBorders>
          </w:tcPr>
          <w:p>
            <w:pPr>
              <w:pStyle w:val="TableParagraph"/>
              <w:spacing w:before="62"/>
              <w:ind w:left="89"/>
              <w:jc w:val="left"/>
              <w:rPr>
                <w:sz w:val="18"/>
              </w:rPr>
            </w:pPr>
            <w:r>
              <w:rPr>
                <w:sz w:val="18"/>
              </w:rPr>
              <w:t>Established</w:t>
            </w:r>
            <w:r>
              <w:rPr>
                <w:spacing w:val="-6"/>
                <w:sz w:val="18"/>
              </w:rPr>
              <w:t> </w:t>
            </w:r>
            <w:r>
              <w:rPr>
                <w:spacing w:val="-2"/>
                <w:sz w:val="18"/>
              </w:rPr>
              <w:t>posts</w:t>
            </w:r>
          </w:p>
        </w:tc>
        <w:tc>
          <w:tcPr>
            <w:tcW w:w="2677" w:type="dxa"/>
            <w:tcBorders>
              <w:top w:val="single" w:sz="4" w:space="0" w:color="000000"/>
              <w:bottom w:val="single" w:sz="4" w:space="0" w:color="000000"/>
            </w:tcBorders>
          </w:tcPr>
          <w:p>
            <w:pPr>
              <w:pStyle w:val="TableParagraph"/>
              <w:spacing w:before="62"/>
              <w:ind w:left="158"/>
              <w:jc w:val="left"/>
              <w:rPr>
                <w:sz w:val="18"/>
              </w:rPr>
            </w:pPr>
            <w:r>
              <w:rPr>
                <w:sz w:val="18"/>
              </w:rPr>
              <w:t>Occupational</w:t>
            </w:r>
            <w:r>
              <w:rPr>
                <w:spacing w:val="-5"/>
                <w:sz w:val="18"/>
              </w:rPr>
              <w:t> </w:t>
            </w:r>
            <w:r>
              <w:rPr>
                <w:sz w:val="18"/>
              </w:rPr>
              <w:t>Health</w:t>
            </w:r>
            <w:r>
              <w:rPr>
                <w:spacing w:val="-2"/>
                <w:sz w:val="18"/>
              </w:rPr>
              <w:t> </w:t>
            </w:r>
            <w:r>
              <w:rPr>
                <w:spacing w:val="-4"/>
                <w:sz w:val="18"/>
              </w:rPr>
              <w:t>Unit</w:t>
            </w:r>
          </w:p>
        </w:tc>
        <w:tc>
          <w:tcPr>
            <w:tcW w:w="2614" w:type="dxa"/>
            <w:tcBorders>
              <w:top w:val="single" w:sz="4" w:space="0" w:color="000000"/>
              <w:bottom w:val="single" w:sz="4" w:space="0" w:color="000000"/>
            </w:tcBorders>
          </w:tcPr>
          <w:p>
            <w:pPr>
              <w:pStyle w:val="TableParagraph"/>
              <w:spacing w:before="62"/>
              <w:ind w:left="36"/>
              <w:jc w:val="left"/>
              <w:rPr>
                <w:sz w:val="18"/>
              </w:rPr>
            </w:pPr>
            <w:r>
              <w:rPr>
                <w:sz w:val="18"/>
              </w:rPr>
              <w:t>Field</w:t>
            </w:r>
            <w:r>
              <w:rPr>
                <w:spacing w:val="-3"/>
                <w:sz w:val="18"/>
              </w:rPr>
              <w:t> </w:t>
            </w:r>
            <w:r>
              <w:rPr>
                <w:spacing w:val="-2"/>
                <w:sz w:val="18"/>
              </w:rPr>
              <w:t>Paramedic</w:t>
            </w:r>
          </w:p>
        </w:tc>
      </w:tr>
      <w:tr>
        <w:trPr>
          <w:trHeight w:val="326" w:hRule="atLeast"/>
        </w:trPr>
        <w:tc>
          <w:tcPr>
            <w:tcW w:w="9699" w:type="dxa"/>
            <w:gridSpan w:val="6"/>
            <w:tcBorders>
              <w:top w:val="single" w:sz="4" w:space="0" w:color="000000"/>
              <w:bottom w:val="single" w:sz="4" w:space="0" w:color="000000"/>
            </w:tcBorders>
          </w:tcPr>
          <w:p>
            <w:pPr>
              <w:pStyle w:val="TableParagraph"/>
              <w:spacing w:before="62"/>
              <w:ind w:left="28"/>
              <w:jc w:val="left"/>
              <w:rPr>
                <w:b/>
                <w:sz w:val="18"/>
              </w:rPr>
            </w:pPr>
            <w:r>
              <w:rPr>
                <w:b/>
                <w:sz w:val="18"/>
              </w:rPr>
              <w:t>Total</w:t>
            </w:r>
            <w:r>
              <w:rPr>
                <w:b/>
                <w:spacing w:val="-3"/>
                <w:sz w:val="18"/>
              </w:rPr>
              <w:t> </w:t>
            </w:r>
            <w:r>
              <w:rPr>
                <w:b/>
                <w:sz w:val="18"/>
              </w:rPr>
              <w:t>Registry</w:t>
            </w:r>
            <w:r>
              <w:rPr>
                <w:b/>
                <w:spacing w:val="-7"/>
                <w:sz w:val="18"/>
              </w:rPr>
              <w:t> </w:t>
            </w:r>
            <w:r>
              <w:rPr>
                <w:b/>
                <w:sz w:val="18"/>
              </w:rPr>
              <w:t>conversions:</w:t>
            </w:r>
            <w:r>
              <w:rPr>
                <w:b/>
                <w:spacing w:val="-2"/>
                <w:sz w:val="18"/>
              </w:rPr>
              <w:t> </w:t>
            </w:r>
            <w:r>
              <w:rPr>
                <w:b/>
                <w:spacing w:val="-10"/>
                <w:sz w:val="18"/>
              </w:rPr>
              <w:t>7</w:t>
            </w:r>
          </w:p>
        </w:tc>
      </w:tr>
      <w:tr>
        <w:trPr>
          <w:trHeight w:val="326" w:hRule="atLeast"/>
        </w:trPr>
        <w:tc>
          <w:tcPr>
            <w:tcW w:w="1259" w:type="dxa"/>
            <w:tcBorders>
              <w:top w:val="single" w:sz="4" w:space="0" w:color="000000"/>
              <w:bottom w:val="single" w:sz="4" w:space="0" w:color="000000"/>
            </w:tcBorders>
          </w:tcPr>
          <w:p>
            <w:pPr>
              <w:pStyle w:val="TableParagraph"/>
              <w:spacing w:before="62"/>
              <w:ind w:left="70"/>
              <w:jc w:val="center"/>
              <w:rPr>
                <w:sz w:val="18"/>
              </w:rPr>
            </w:pPr>
            <w:r>
              <w:rPr>
                <w:w w:val="101"/>
                <w:sz w:val="18"/>
              </w:rPr>
              <w:t>1</w:t>
            </w:r>
          </w:p>
        </w:tc>
        <w:tc>
          <w:tcPr>
            <w:tcW w:w="668" w:type="dxa"/>
            <w:tcBorders>
              <w:top w:val="single" w:sz="4" w:space="0" w:color="000000"/>
              <w:bottom w:val="single" w:sz="4" w:space="0" w:color="000000"/>
            </w:tcBorders>
          </w:tcPr>
          <w:p>
            <w:pPr>
              <w:pStyle w:val="TableParagraph"/>
              <w:spacing w:before="62"/>
              <w:ind w:left="47"/>
              <w:jc w:val="left"/>
              <w:rPr>
                <w:sz w:val="18"/>
              </w:rPr>
            </w:pPr>
            <w:r>
              <w:rPr>
                <w:sz w:val="18"/>
              </w:rPr>
              <w:t>P-</w:t>
            </w:r>
            <w:r>
              <w:rPr>
                <w:spacing w:val="-10"/>
                <w:sz w:val="18"/>
              </w:rPr>
              <w:t>3</w:t>
            </w:r>
          </w:p>
        </w:tc>
        <w:tc>
          <w:tcPr>
            <w:tcW w:w="989" w:type="dxa"/>
            <w:tcBorders>
              <w:top w:val="single" w:sz="4" w:space="0" w:color="000000"/>
              <w:bottom w:val="single" w:sz="4" w:space="0" w:color="000000"/>
            </w:tcBorders>
          </w:tcPr>
          <w:p>
            <w:pPr>
              <w:pStyle w:val="TableParagraph"/>
              <w:spacing w:before="62"/>
              <w:ind w:left="89"/>
              <w:jc w:val="left"/>
              <w:rPr>
                <w:sz w:val="18"/>
              </w:rPr>
            </w:pPr>
            <w:r>
              <w:rPr>
                <w:spacing w:val="-5"/>
                <w:sz w:val="18"/>
              </w:rPr>
              <w:t>GTA</w:t>
            </w:r>
          </w:p>
        </w:tc>
        <w:tc>
          <w:tcPr>
            <w:tcW w:w="1492" w:type="dxa"/>
            <w:tcBorders>
              <w:top w:val="single" w:sz="4" w:space="0" w:color="000000"/>
              <w:bottom w:val="single" w:sz="4" w:space="0" w:color="000000"/>
            </w:tcBorders>
          </w:tcPr>
          <w:p>
            <w:pPr>
              <w:pStyle w:val="TableParagraph"/>
              <w:spacing w:before="62"/>
              <w:ind w:left="89"/>
              <w:jc w:val="left"/>
              <w:rPr>
                <w:sz w:val="18"/>
              </w:rPr>
            </w:pPr>
            <w:r>
              <w:rPr>
                <w:sz w:val="18"/>
              </w:rPr>
              <w:t>Established</w:t>
            </w:r>
            <w:r>
              <w:rPr>
                <w:spacing w:val="-6"/>
                <w:sz w:val="18"/>
              </w:rPr>
              <w:t> </w:t>
            </w:r>
            <w:r>
              <w:rPr>
                <w:spacing w:val="-2"/>
                <w:sz w:val="18"/>
              </w:rPr>
              <w:t>posts</w:t>
            </w:r>
          </w:p>
        </w:tc>
        <w:tc>
          <w:tcPr>
            <w:tcW w:w="2677" w:type="dxa"/>
            <w:tcBorders>
              <w:top w:val="single" w:sz="4" w:space="0" w:color="000000"/>
              <w:bottom w:val="single" w:sz="4" w:space="0" w:color="000000"/>
            </w:tcBorders>
          </w:tcPr>
          <w:p>
            <w:pPr>
              <w:pStyle w:val="TableParagraph"/>
              <w:spacing w:before="62"/>
              <w:ind w:left="158"/>
              <w:jc w:val="left"/>
              <w:rPr>
                <w:sz w:val="18"/>
              </w:rPr>
            </w:pPr>
            <w:r>
              <w:rPr>
                <w:spacing w:val="-2"/>
                <w:sz w:val="18"/>
              </w:rPr>
              <w:t>Conference</w:t>
            </w:r>
          </w:p>
        </w:tc>
        <w:tc>
          <w:tcPr>
            <w:tcW w:w="2614" w:type="dxa"/>
            <w:tcBorders>
              <w:top w:val="single" w:sz="4" w:space="0" w:color="000000"/>
              <w:bottom w:val="single" w:sz="4" w:space="0" w:color="000000"/>
            </w:tcBorders>
          </w:tcPr>
          <w:p>
            <w:pPr>
              <w:pStyle w:val="TableParagraph"/>
              <w:spacing w:before="62"/>
              <w:ind w:left="36"/>
              <w:jc w:val="left"/>
              <w:rPr>
                <w:sz w:val="18"/>
              </w:rPr>
            </w:pPr>
            <w:r>
              <w:rPr>
                <w:sz w:val="18"/>
              </w:rPr>
              <w:t>Legal</w:t>
            </w:r>
            <w:r>
              <w:rPr>
                <w:spacing w:val="1"/>
                <w:sz w:val="18"/>
              </w:rPr>
              <w:t> </w:t>
            </w:r>
            <w:r>
              <w:rPr>
                <w:spacing w:val="-2"/>
                <w:sz w:val="18"/>
              </w:rPr>
              <w:t>Officer</w:t>
            </w:r>
          </w:p>
        </w:tc>
      </w:tr>
      <w:tr>
        <w:trPr>
          <w:trHeight w:val="330" w:hRule="atLeast"/>
        </w:trPr>
        <w:tc>
          <w:tcPr>
            <w:tcW w:w="9699" w:type="dxa"/>
            <w:gridSpan w:val="6"/>
            <w:tcBorders>
              <w:top w:val="single" w:sz="4" w:space="0" w:color="000000"/>
              <w:bottom w:val="single" w:sz="4" w:space="0" w:color="000000"/>
            </w:tcBorders>
          </w:tcPr>
          <w:p>
            <w:pPr>
              <w:pStyle w:val="TableParagraph"/>
              <w:spacing w:before="67"/>
              <w:ind w:left="28"/>
              <w:jc w:val="left"/>
              <w:rPr>
                <w:b/>
                <w:sz w:val="18"/>
              </w:rPr>
            </w:pPr>
            <w:r>
              <w:rPr>
                <w:b/>
                <w:sz w:val="18"/>
              </w:rPr>
              <w:t>Total</w:t>
            </w:r>
            <w:r>
              <w:rPr>
                <w:b/>
                <w:spacing w:val="-1"/>
                <w:sz w:val="18"/>
              </w:rPr>
              <w:t> </w:t>
            </w:r>
            <w:r>
              <w:rPr>
                <w:b/>
                <w:sz w:val="18"/>
              </w:rPr>
              <w:t>Secretariat</w:t>
            </w:r>
            <w:r>
              <w:rPr>
                <w:b/>
                <w:spacing w:val="-4"/>
                <w:sz w:val="18"/>
              </w:rPr>
              <w:t> </w:t>
            </w:r>
            <w:r>
              <w:rPr>
                <w:b/>
                <w:sz w:val="18"/>
              </w:rPr>
              <w:t>of</w:t>
            </w:r>
            <w:r>
              <w:rPr>
                <w:b/>
                <w:spacing w:val="-5"/>
                <w:sz w:val="18"/>
              </w:rPr>
              <w:t> </w:t>
            </w:r>
            <w:r>
              <w:rPr>
                <w:b/>
                <w:sz w:val="18"/>
              </w:rPr>
              <w:t>the</w:t>
            </w:r>
            <w:r>
              <w:rPr>
                <w:b/>
                <w:spacing w:val="-6"/>
                <w:sz w:val="18"/>
              </w:rPr>
              <w:t> </w:t>
            </w:r>
            <w:r>
              <w:rPr>
                <w:b/>
                <w:sz w:val="18"/>
              </w:rPr>
              <w:t>ASP</w:t>
            </w:r>
            <w:r>
              <w:rPr>
                <w:b/>
                <w:spacing w:val="-7"/>
                <w:sz w:val="18"/>
              </w:rPr>
              <w:t> </w:t>
            </w:r>
            <w:r>
              <w:rPr>
                <w:b/>
                <w:sz w:val="18"/>
              </w:rPr>
              <w:t>conversions:</w:t>
            </w:r>
            <w:r>
              <w:rPr>
                <w:b/>
                <w:spacing w:val="-5"/>
                <w:sz w:val="18"/>
              </w:rPr>
              <w:t> </w:t>
            </w:r>
            <w:r>
              <w:rPr>
                <w:b/>
                <w:spacing w:val="-10"/>
                <w:sz w:val="18"/>
              </w:rPr>
              <w:t>1</w:t>
            </w:r>
          </w:p>
        </w:tc>
      </w:tr>
      <w:tr>
        <w:trPr>
          <w:trHeight w:val="325" w:hRule="atLeast"/>
        </w:trPr>
        <w:tc>
          <w:tcPr>
            <w:tcW w:w="1259" w:type="dxa"/>
            <w:tcBorders>
              <w:top w:val="single" w:sz="4" w:space="0" w:color="000000"/>
              <w:bottom w:val="single" w:sz="4" w:space="0" w:color="000000"/>
            </w:tcBorders>
          </w:tcPr>
          <w:p>
            <w:pPr>
              <w:pStyle w:val="TableParagraph"/>
              <w:spacing w:before="62"/>
              <w:ind w:left="70"/>
              <w:jc w:val="center"/>
              <w:rPr>
                <w:sz w:val="18"/>
              </w:rPr>
            </w:pPr>
            <w:r>
              <w:rPr>
                <w:w w:val="101"/>
                <w:sz w:val="18"/>
              </w:rPr>
              <w:t>1</w:t>
            </w:r>
          </w:p>
        </w:tc>
        <w:tc>
          <w:tcPr>
            <w:tcW w:w="668" w:type="dxa"/>
            <w:tcBorders>
              <w:top w:val="single" w:sz="4" w:space="0" w:color="000000"/>
              <w:bottom w:val="single" w:sz="4" w:space="0" w:color="000000"/>
            </w:tcBorders>
          </w:tcPr>
          <w:p>
            <w:pPr>
              <w:pStyle w:val="TableParagraph"/>
              <w:spacing w:before="62"/>
              <w:ind w:left="47"/>
              <w:jc w:val="left"/>
              <w:rPr>
                <w:sz w:val="18"/>
              </w:rPr>
            </w:pPr>
            <w:r>
              <w:rPr>
                <w:spacing w:val="-2"/>
                <w:sz w:val="18"/>
              </w:rPr>
              <w:t>GS-</w:t>
            </w:r>
            <w:r>
              <w:rPr>
                <w:spacing w:val="-5"/>
                <w:sz w:val="18"/>
              </w:rPr>
              <w:t>OL</w:t>
            </w:r>
          </w:p>
        </w:tc>
        <w:tc>
          <w:tcPr>
            <w:tcW w:w="989" w:type="dxa"/>
            <w:tcBorders>
              <w:top w:val="single" w:sz="4" w:space="0" w:color="000000"/>
              <w:bottom w:val="single" w:sz="4" w:space="0" w:color="000000"/>
            </w:tcBorders>
          </w:tcPr>
          <w:p>
            <w:pPr>
              <w:pStyle w:val="TableParagraph"/>
              <w:spacing w:before="62"/>
              <w:ind w:left="89"/>
              <w:jc w:val="left"/>
              <w:rPr>
                <w:sz w:val="18"/>
              </w:rPr>
            </w:pPr>
            <w:r>
              <w:rPr>
                <w:spacing w:val="-5"/>
                <w:sz w:val="18"/>
              </w:rPr>
              <w:t>GTA</w:t>
            </w:r>
          </w:p>
        </w:tc>
        <w:tc>
          <w:tcPr>
            <w:tcW w:w="1492" w:type="dxa"/>
            <w:tcBorders>
              <w:top w:val="single" w:sz="4" w:space="0" w:color="000000"/>
              <w:bottom w:val="single" w:sz="4" w:space="0" w:color="000000"/>
            </w:tcBorders>
          </w:tcPr>
          <w:p>
            <w:pPr>
              <w:pStyle w:val="TableParagraph"/>
              <w:spacing w:before="62"/>
              <w:ind w:left="89"/>
              <w:jc w:val="left"/>
              <w:rPr>
                <w:sz w:val="18"/>
              </w:rPr>
            </w:pPr>
            <w:r>
              <w:rPr>
                <w:sz w:val="18"/>
              </w:rPr>
              <w:t>Established</w:t>
            </w:r>
            <w:r>
              <w:rPr>
                <w:spacing w:val="-6"/>
                <w:sz w:val="18"/>
              </w:rPr>
              <w:t> </w:t>
            </w:r>
            <w:r>
              <w:rPr>
                <w:spacing w:val="-2"/>
                <w:sz w:val="18"/>
              </w:rPr>
              <w:t>posts</w:t>
            </w:r>
          </w:p>
        </w:tc>
        <w:tc>
          <w:tcPr>
            <w:tcW w:w="2677" w:type="dxa"/>
            <w:tcBorders>
              <w:top w:val="single" w:sz="4" w:space="0" w:color="000000"/>
              <w:bottom w:val="single" w:sz="4" w:space="0" w:color="000000"/>
            </w:tcBorders>
          </w:tcPr>
          <w:p>
            <w:pPr>
              <w:pStyle w:val="TableParagraph"/>
              <w:spacing w:before="62"/>
              <w:ind w:left="158"/>
              <w:jc w:val="left"/>
              <w:rPr>
                <w:sz w:val="18"/>
              </w:rPr>
            </w:pPr>
            <w:r>
              <w:rPr>
                <w:sz w:val="18"/>
              </w:rPr>
              <w:t>TFV </w:t>
            </w:r>
            <w:r>
              <w:rPr>
                <w:spacing w:val="-2"/>
                <w:sz w:val="18"/>
              </w:rPr>
              <w:t>Secretariat</w:t>
            </w:r>
          </w:p>
        </w:tc>
        <w:tc>
          <w:tcPr>
            <w:tcW w:w="2614" w:type="dxa"/>
            <w:tcBorders>
              <w:top w:val="single" w:sz="4" w:space="0" w:color="000000"/>
              <w:bottom w:val="single" w:sz="4" w:space="0" w:color="000000"/>
            </w:tcBorders>
          </w:tcPr>
          <w:p>
            <w:pPr>
              <w:pStyle w:val="TableParagraph"/>
              <w:spacing w:before="62"/>
              <w:ind w:left="36"/>
              <w:jc w:val="left"/>
              <w:rPr>
                <w:sz w:val="18"/>
              </w:rPr>
            </w:pPr>
            <w:r>
              <w:rPr>
                <w:sz w:val="18"/>
              </w:rPr>
              <w:t>Programme</w:t>
            </w:r>
            <w:r>
              <w:rPr>
                <w:spacing w:val="-5"/>
                <w:sz w:val="18"/>
              </w:rPr>
              <w:t> </w:t>
            </w:r>
            <w:r>
              <w:rPr>
                <w:spacing w:val="-2"/>
                <w:sz w:val="18"/>
              </w:rPr>
              <w:t>Assistant</w:t>
            </w:r>
          </w:p>
        </w:tc>
      </w:tr>
      <w:tr>
        <w:trPr>
          <w:trHeight w:val="326" w:hRule="atLeast"/>
        </w:trPr>
        <w:tc>
          <w:tcPr>
            <w:tcW w:w="9699" w:type="dxa"/>
            <w:gridSpan w:val="6"/>
            <w:tcBorders>
              <w:top w:val="single" w:sz="4" w:space="0" w:color="000000"/>
              <w:bottom w:val="single" w:sz="4" w:space="0" w:color="000000"/>
            </w:tcBorders>
          </w:tcPr>
          <w:p>
            <w:pPr>
              <w:pStyle w:val="TableParagraph"/>
              <w:spacing w:before="62"/>
              <w:ind w:left="28"/>
              <w:jc w:val="left"/>
              <w:rPr>
                <w:b/>
                <w:sz w:val="18"/>
              </w:rPr>
            </w:pPr>
            <w:r>
              <w:rPr>
                <w:b/>
                <w:sz w:val="18"/>
              </w:rPr>
              <w:t>Total</w:t>
            </w:r>
            <w:r>
              <w:rPr>
                <w:b/>
                <w:spacing w:val="-2"/>
                <w:sz w:val="18"/>
              </w:rPr>
              <w:t> </w:t>
            </w:r>
            <w:r>
              <w:rPr>
                <w:b/>
                <w:sz w:val="18"/>
              </w:rPr>
              <w:t>Trust</w:t>
            </w:r>
            <w:r>
              <w:rPr>
                <w:b/>
                <w:spacing w:val="-1"/>
                <w:sz w:val="18"/>
              </w:rPr>
              <w:t> </w:t>
            </w:r>
            <w:r>
              <w:rPr>
                <w:b/>
                <w:sz w:val="18"/>
              </w:rPr>
              <w:t>Fund</w:t>
            </w:r>
            <w:r>
              <w:rPr>
                <w:b/>
                <w:spacing w:val="-8"/>
                <w:sz w:val="18"/>
              </w:rPr>
              <w:t> </w:t>
            </w:r>
            <w:r>
              <w:rPr>
                <w:b/>
                <w:sz w:val="18"/>
              </w:rPr>
              <w:t>for</w:t>
            </w:r>
            <w:r>
              <w:rPr>
                <w:b/>
                <w:spacing w:val="-2"/>
                <w:sz w:val="18"/>
              </w:rPr>
              <w:t> </w:t>
            </w:r>
            <w:r>
              <w:rPr>
                <w:b/>
                <w:sz w:val="18"/>
              </w:rPr>
              <w:t>Victims</w:t>
            </w:r>
            <w:r>
              <w:rPr>
                <w:b/>
                <w:spacing w:val="-7"/>
                <w:sz w:val="18"/>
              </w:rPr>
              <w:t> </w:t>
            </w:r>
            <w:r>
              <w:rPr>
                <w:b/>
                <w:sz w:val="18"/>
              </w:rPr>
              <w:t>conversions:</w:t>
            </w:r>
            <w:r>
              <w:rPr>
                <w:b/>
                <w:spacing w:val="-6"/>
                <w:sz w:val="18"/>
              </w:rPr>
              <w:t> </w:t>
            </w:r>
            <w:r>
              <w:rPr>
                <w:b/>
                <w:spacing w:val="-10"/>
                <w:sz w:val="18"/>
              </w:rPr>
              <w:t>1</w:t>
            </w:r>
          </w:p>
        </w:tc>
      </w:tr>
      <w:tr>
        <w:trPr>
          <w:trHeight w:val="326" w:hRule="atLeast"/>
        </w:trPr>
        <w:tc>
          <w:tcPr>
            <w:tcW w:w="1259" w:type="dxa"/>
            <w:tcBorders>
              <w:top w:val="single" w:sz="4" w:space="0" w:color="000000"/>
              <w:bottom w:val="single" w:sz="4" w:space="0" w:color="000000"/>
            </w:tcBorders>
          </w:tcPr>
          <w:p>
            <w:pPr>
              <w:pStyle w:val="TableParagraph"/>
              <w:spacing w:before="62"/>
              <w:ind w:left="70"/>
              <w:jc w:val="center"/>
              <w:rPr>
                <w:sz w:val="18"/>
              </w:rPr>
            </w:pPr>
            <w:r>
              <w:rPr>
                <w:w w:val="101"/>
                <w:sz w:val="18"/>
              </w:rPr>
              <w:t>1</w:t>
            </w:r>
          </w:p>
        </w:tc>
        <w:tc>
          <w:tcPr>
            <w:tcW w:w="668" w:type="dxa"/>
            <w:tcBorders>
              <w:top w:val="single" w:sz="4" w:space="0" w:color="000000"/>
              <w:bottom w:val="single" w:sz="4" w:space="0" w:color="000000"/>
            </w:tcBorders>
          </w:tcPr>
          <w:p>
            <w:pPr>
              <w:pStyle w:val="TableParagraph"/>
              <w:spacing w:before="62"/>
              <w:ind w:left="47"/>
              <w:jc w:val="left"/>
              <w:rPr>
                <w:sz w:val="18"/>
              </w:rPr>
            </w:pPr>
            <w:r>
              <w:rPr>
                <w:sz w:val="18"/>
              </w:rPr>
              <w:t>P-</w:t>
            </w:r>
            <w:r>
              <w:rPr>
                <w:spacing w:val="-10"/>
                <w:sz w:val="18"/>
              </w:rPr>
              <w:t>4</w:t>
            </w:r>
          </w:p>
        </w:tc>
        <w:tc>
          <w:tcPr>
            <w:tcW w:w="989" w:type="dxa"/>
            <w:tcBorders>
              <w:top w:val="single" w:sz="4" w:space="0" w:color="000000"/>
              <w:bottom w:val="single" w:sz="4" w:space="0" w:color="000000"/>
            </w:tcBorders>
          </w:tcPr>
          <w:p>
            <w:pPr>
              <w:pStyle w:val="TableParagraph"/>
              <w:spacing w:before="62"/>
              <w:ind w:left="89"/>
              <w:jc w:val="left"/>
              <w:rPr>
                <w:sz w:val="18"/>
              </w:rPr>
            </w:pPr>
            <w:r>
              <w:rPr>
                <w:spacing w:val="-5"/>
                <w:sz w:val="18"/>
              </w:rPr>
              <w:t>GTA</w:t>
            </w:r>
          </w:p>
        </w:tc>
        <w:tc>
          <w:tcPr>
            <w:tcW w:w="1492" w:type="dxa"/>
            <w:tcBorders>
              <w:top w:val="single" w:sz="4" w:space="0" w:color="000000"/>
              <w:bottom w:val="single" w:sz="4" w:space="0" w:color="000000"/>
            </w:tcBorders>
          </w:tcPr>
          <w:p>
            <w:pPr>
              <w:pStyle w:val="TableParagraph"/>
              <w:spacing w:before="62"/>
              <w:ind w:left="89"/>
              <w:jc w:val="left"/>
              <w:rPr>
                <w:sz w:val="18"/>
              </w:rPr>
            </w:pPr>
            <w:r>
              <w:rPr>
                <w:sz w:val="18"/>
              </w:rPr>
              <w:t>Established</w:t>
            </w:r>
            <w:r>
              <w:rPr>
                <w:spacing w:val="-6"/>
                <w:sz w:val="18"/>
              </w:rPr>
              <w:t> </w:t>
            </w:r>
            <w:r>
              <w:rPr>
                <w:spacing w:val="-2"/>
                <w:sz w:val="18"/>
              </w:rPr>
              <w:t>posts</w:t>
            </w:r>
          </w:p>
        </w:tc>
        <w:tc>
          <w:tcPr>
            <w:tcW w:w="2677" w:type="dxa"/>
            <w:tcBorders>
              <w:top w:val="single" w:sz="4" w:space="0" w:color="000000"/>
              <w:bottom w:val="single" w:sz="4" w:space="0" w:color="000000"/>
            </w:tcBorders>
          </w:tcPr>
          <w:p>
            <w:pPr>
              <w:pStyle w:val="TableParagraph"/>
              <w:spacing w:before="62"/>
              <w:ind w:left="158"/>
              <w:jc w:val="left"/>
              <w:rPr>
                <w:sz w:val="18"/>
              </w:rPr>
            </w:pPr>
            <w:r>
              <w:rPr>
                <w:spacing w:val="-2"/>
                <w:sz w:val="18"/>
              </w:rPr>
              <w:t>Independent</w:t>
            </w:r>
            <w:r>
              <w:rPr>
                <w:spacing w:val="-10"/>
                <w:sz w:val="18"/>
              </w:rPr>
              <w:t> </w:t>
            </w:r>
            <w:r>
              <w:rPr>
                <w:spacing w:val="-2"/>
                <w:sz w:val="18"/>
              </w:rPr>
              <w:t>Oversight</w:t>
            </w:r>
            <w:r>
              <w:rPr>
                <w:spacing w:val="-8"/>
                <w:sz w:val="18"/>
              </w:rPr>
              <w:t> </w:t>
            </w:r>
            <w:r>
              <w:rPr>
                <w:spacing w:val="-2"/>
                <w:sz w:val="18"/>
              </w:rPr>
              <w:t>Mechanism</w:t>
            </w:r>
          </w:p>
        </w:tc>
        <w:tc>
          <w:tcPr>
            <w:tcW w:w="2614" w:type="dxa"/>
            <w:tcBorders>
              <w:top w:val="single" w:sz="4" w:space="0" w:color="000000"/>
              <w:bottom w:val="single" w:sz="4" w:space="0" w:color="000000"/>
            </w:tcBorders>
          </w:tcPr>
          <w:p>
            <w:pPr>
              <w:pStyle w:val="TableParagraph"/>
              <w:spacing w:before="62"/>
              <w:ind w:left="36"/>
              <w:jc w:val="left"/>
              <w:rPr>
                <w:sz w:val="18"/>
              </w:rPr>
            </w:pPr>
            <w:r>
              <w:rPr>
                <w:sz w:val="18"/>
              </w:rPr>
              <w:t>Senior</w:t>
            </w:r>
            <w:r>
              <w:rPr>
                <w:spacing w:val="-1"/>
                <w:sz w:val="18"/>
              </w:rPr>
              <w:t> </w:t>
            </w:r>
            <w:r>
              <w:rPr>
                <w:spacing w:val="-2"/>
                <w:sz w:val="18"/>
              </w:rPr>
              <w:t>Investigator</w:t>
            </w:r>
          </w:p>
        </w:tc>
      </w:tr>
      <w:tr>
        <w:trPr>
          <w:trHeight w:val="326" w:hRule="atLeast"/>
        </w:trPr>
        <w:tc>
          <w:tcPr>
            <w:tcW w:w="4408" w:type="dxa"/>
            <w:gridSpan w:val="4"/>
            <w:tcBorders>
              <w:top w:val="single" w:sz="4" w:space="0" w:color="000000"/>
              <w:bottom w:val="single" w:sz="4" w:space="0" w:color="000000"/>
            </w:tcBorders>
          </w:tcPr>
          <w:p>
            <w:pPr>
              <w:pStyle w:val="TableParagraph"/>
              <w:spacing w:before="62"/>
              <w:ind w:left="28"/>
              <w:jc w:val="left"/>
              <w:rPr>
                <w:b/>
                <w:sz w:val="18"/>
              </w:rPr>
            </w:pPr>
            <w:r>
              <w:rPr>
                <w:b/>
                <w:sz w:val="18"/>
              </w:rPr>
              <w:t>Total</w:t>
            </w:r>
            <w:r>
              <w:rPr>
                <w:b/>
                <w:spacing w:val="-5"/>
                <w:sz w:val="18"/>
              </w:rPr>
              <w:t> </w:t>
            </w:r>
            <w:r>
              <w:rPr>
                <w:b/>
                <w:sz w:val="18"/>
              </w:rPr>
              <w:t>Independent</w:t>
            </w:r>
            <w:r>
              <w:rPr>
                <w:b/>
                <w:spacing w:val="-9"/>
                <w:sz w:val="18"/>
              </w:rPr>
              <w:t> </w:t>
            </w:r>
            <w:r>
              <w:rPr>
                <w:b/>
                <w:sz w:val="18"/>
              </w:rPr>
              <w:t>Oversight</w:t>
            </w:r>
            <w:r>
              <w:rPr>
                <w:b/>
                <w:spacing w:val="-8"/>
                <w:sz w:val="18"/>
              </w:rPr>
              <w:t> </w:t>
            </w:r>
            <w:r>
              <w:rPr>
                <w:b/>
                <w:sz w:val="18"/>
              </w:rPr>
              <w:t>Mechanism</w:t>
            </w:r>
            <w:r>
              <w:rPr>
                <w:b/>
                <w:spacing w:val="-5"/>
                <w:sz w:val="18"/>
              </w:rPr>
              <w:t> </w:t>
            </w:r>
            <w:r>
              <w:rPr>
                <w:b/>
                <w:sz w:val="18"/>
              </w:rPr>
              <w:t>conversions:</w:t>
            </w:r>
            <w:r>
              <w:rPr>
                <w:b/>
                <w:spacing w:val="-6"/>
                <w:sz w:val="18"/>
              </w:rPr>
              <w:t> </w:t>
            </w:r>
            <w:r>
              <w:rPr>
                <w:b/>
                <w:spacing w:val="-10"/>
                <w:sz w:val="18"/>
              </w:rPr>
              <w:t>1</w:t>
            </w:r>
          </w:p>
        </w:tc>
        <w:tc>
          <w:tcPr>
            <w:tcW w:w="2677" w:type="dxa"/>
            <w:tcBorders>
              <w:top w:val="single" w:sz="4" w:space="0" w:color="000000"/>
              <w:bottom w:val="single" w:sz="4" w:space="0" w:color="000000"/>
            </w:tcBorders>
          </w:tcPr>
          <w:p>
            <w:pPr>
              <w:pStyle w:val="TableParagraph"/>
              <w:jc w:val="left"/>
              <w:rPr>
                <w:sz w:val="18"/>
              </w:rPr>
            </w:pPr>
          </w:p>
        </w:tc>
        <w:tc>
          <w:tcPr>
            <w:tcW w:w="2614" w:type="dxa"/>
            <w:tcBorders>
              <w:top w:val="single" w:sz="4" w:space="0" w:color="000000"/>
              <w:bottom w:val="single" w:sz="4" w:space="0" w:color="000000"/>
            </w:tcBorders>
          </w:tcPr>
          <w:p>
            <w:pPr>
              <w:pStyle w:val="TableParagraph"/>
              <w:jc w:val="left"/>
              <w:rPr>
                <w:sz w:val="18"/>
              </w:rPr>
            </w:pPr>
          </w:p>
        </w:tc>
      </w:tr>
      <w:tr>
        <w:trPr>
          <w:trHeight w:val="330" w:hRule="atLeast"/>
        </w:trPr>
        <w:tc>
          <w:tcPr>
            <w:tcW w:w="4408" w:type="dxa"/>
            <w:gridSpan w:val="4"/>
            <w:tcBorders>
              <w:top w:val="single" w:sz="4" w:space="0" w:color="000000"/>
              <w:bottom w:val="single" w:sz="4" w:space="0" w:color="000000"/>
            </w:tcBorders>
          </w:tcPr>
          <w:p>
            <w:pPr>
              <w:pStyle w:val="TableParagraph"/>
              <w:spacing w:before="67"/>
              <w:ind w:left="28"/>
              <w:jc w:val="left"/>
              <w:rPr>
                <w:b/>
                <w:sz w:val="18"/>
              </w:rPr>
            </w:pPr>
            <w:r>
              <w:rPr>
                <w:b/>
                <w:sz w:val="18"/>
              </w:rPr>
              <w:t>Total</w:t>
            </w:r>
            <w:r>
              <w:rPr>
                <w:b/>
                <w:spacing w:val="-4"/>
                <w:sz w:val="18"/>
              </w:rPr>
              <w:t> </w:t>
            </w:r>
            <w:r>
              <w:rPr>
                <w:b/>
                <w:sz w:val="18"/>
              </w:rPr>
              <w:t>conversions:</w:t>
            </w:r>
            <w:r>
              <w:rPr>
                <w:b/>
                <w:spacing w:val="-5"/>
                <w:sz w:val="18"/>
              </w:rPr>
              <w:t> 17</w:t>
            </w:r>
          </w:p>
        </w:tc>
        <w:tc>
          <w:tcPr>
            <w:tcW w:w="2677" w:type="dxa"/>
            <w:tcBorders>
              <w:top w:val="single" w:sz="4" w:space="0" w:color="000000"/>
              <w:bottom w:val="single" w:sz="4" w:space="0" w:color="000000"/>
            </w:tcBorders>
          </w:tcPr>
          <w:p>
            <w:pPr>
              <w:pStyle w:val="TableParagraph"/>
              <w:jc w:val="left"/>
              <w:rPr>
                <w:sz w:val="18"/>
              </w:rPr>
            </w:pPr>
          </w:p>
        </w:tc>
        <w:tc>
          <w:tcPr>
            <w:tcW w:w="2614" w:type="dxa"/>
            <w:tcBorders>
              <w:top w:val="single" w:sz="4" w:space="0" w:color="000000"/>
              <w:bottom w:val="single" w:sz="4" w:space="0" w:color="000000"/>
            </w:tcBorders>
          </w:tcPr>
          <w:p>
            <w:pPr>
              <w:pStyle w:val="TableParagraph"/>
              <w:jc w:val="left"/>
              <w:rPr>
                <w:sz w:val="18"/>
              </w:rPr>
            </w:pPr>
          </w:p>
        </w:tc>
      </w:tr>
    </w:tbl>
    <w:p>
      <w:pPr>
        <w:spacing w:after="0"/>
        <w:jc w:val="left"/>
        <w:rPr>
          <w:sz w:val="18"/>
        </w:rPr>
        <w:sectPr>
          <w:headerReference w:type="even" r:id="rId149"/>
          <w:headerReference w:type="default" r:id="rId150"/>
          <w:footerReference w:type="even" r:id="rId151"/>
          <w:footerReference w:type="default" r:id="rId152"/>
          <w:pgSz w:w="11910" w:h="16840"/>
          <w:pgMar w:header="978" w:footer="940" w:top="1580" w:bottom="1140" w:left="20" w:right="20"/>
          <w:pgNumType w:start="212"/>
        </w:sectPr>
      </w:pPr>
    </w:p>
    <w:p>
      <w:pPr>
        <w:spacing w:before="122"/>
        <w:ind w:left="1679" w:right="0" w:firstLine="0"/>
        <w:jc w:val="left"/>
        <w:rPr>
          <w:b/>
          <w:sz w:val="28"/>
        </w:rPr>
      </w:pPr>
      <w:r>
        <w:rPr>
          <w:b/>
          <w:sz w:val="28"/>
        </w:rPr>
        <w:t>Annex</w:t>
      </w:r>
      <w:r>
        <w:rPr>
          <w:b/>
          <w:spacing w:val="-9"/>
          <w:sz w:val="28"/>
        </w:rPr>
        <w:t> </w:t>
      </w:r>
      <w:r>
        <w:rPr>
          <w:b/>
          <w:spacing w:val="-5"/>
          <w:sz w:val="28"/>
        </w:rPr>
        <w:t>VI</w:t>
      </w:r>
    </w:p>
    <w:p>
      <w:pPr>
        <w:spacing w:before="240"/>
        <w:ind w:left="2246" w:right="0" w:firstLine="0"/>
        <w:jc w:val="left"/>
        <w:rPr>
          <w:b/>
          <w:sz w:val="28"/>
        </w:rPr>
      </w:pPr>
      <w:bookmarkStart w:name="_bookmark78" w:id="79"/>
      <w:bookmarkEnd w:id="79"/>
      <w:r>
        <w:rPr/>
      </w:r>
      <w:r>
        <w:rPr>
          <w:b/>
          <w:sz w:val="28"/>
        </w:rPr>
        <w:t>Salaries</w:t>
      </w:r>
      <w:r>
        <w:rPr>
          <w:b/>
          <w:spacing w:val="-6"/>
          <w:sz w:val="28"/>
        </w:rPr>
        <w:t> </w:t>
      </w:r>
      <w:r>
        <w:rPr>
          <w:b/>
          <w:sz w:val="28"/>
        </w:rPr>
        <w:t>and</w:t>
      </w:r>
      <w:r>
        <w:rPr>
          <w:b/>
          <w:spacing w:val="-7"/>
          <w:sz w:val="28"/>
        </w:rPr>
        <w:t> </w:t>
      </w:r>
      <w:r>
        <w:rPr>
          <w:b/>
          <w:sz w:val="28"/>
        </w:rPr>
        <w:t>entitlements</w:t>
      </w:r>
      <w:r>
        <w:rPr>
          <w:b/>
          <w:spacing w:val="-3"/>
          <w:sz w:val="28"/>
        </w:rPr>
        <w:t> </w:t>
      </w:r>
      <w:r>
        <w:rPr>
          <w:b/>
          <w:sz w:val="28"/>
        </w:rPr>
        <w:t>for</w:t>
      </w:r>
      <w:r>
        <w:rPr>
          <w:b/>
          <w:spacing w:val="-6"/>
          <w:sz w:val="28"/>
        </w:rPr>
        <w:t> </w:t>
      </w:r>
      <w:r>
        <w:rPr>
          <w:b/>
          <w:sz w:val="28"/>
        </w:rPr>
        <w:t>2023</w:t>
      </w:r>
      <w:r>
        <w:rPr>
          <w:b/>
          <w:spacing w:val="-6"/>
          <w:sz w:val="28"/>
        </w:rPr>
        <w:t> </w:t>
      </w:r>
      <w:r>
        <w:rPr>
          <w:b/>
          <w:sz w:val="28"/>
        </w:rPr>
        <w:t>(thousands</w:t>
      </w:r>
      <w:r>
        <w:rPr>
          <w:b/>
          <w:spacing w:val="-6"/>
          <w:sz w:val="28"/>
        </w:rPr>
        <w:t> </w:t>
      </w:r>
      <w:r>
        <w:rPr>
          <w:b/>
          <w:sz w:val="28"/>
        </w:rPr>
        <w:t>of</w:t>
      </w:r>
      <w:r>
        <w:rPr>
          <w:b/>
          <w:spacing w:val="-8"/>
          <w:sz w:val="28"/>
        </w:rPr>
        <w:t> </w:t>
      </w:r>
      <w:r>
        <w:rPr>
          <w:b/>
          <w:spacing w:val="-2"/>
          <w:sz w:val="28"/>
        </w:rPr>
        <w:t>euros)</w:t>
      </w:r>
    </w:p>
    <w:p>
      <w:pPr>
        <w:pStyle w:val="BodyText"/>
        <w:rPr>
          <w:b/>
          <w:sz w:val="30"/>
        </w:rPr>
      </w:pPr>
    </w:p>
    <w:p>
      <w:pPr>
        <w:pStyle w:val="BodyText"/>
        <w:spacing w:before="10"/>
        <w:rPr>
          <w:b/>
          <w:sz w:val="33"/>
        </w:rPr>
      </w:pPr>
    </w:p>
    <w:p>
      <w:pPr>
        <w:spacing w:before="0"/>
        <w:ind w:left="1679" w:right="0" w:firstLine="0"/>
        <w:jc w:val="left"/>
        <w:rPr>
          <w:b/>
          <w:sz w:val="28"/>
        </w:rPr>
      </w:pPr>
      <w:r>
        <w:rPr>
          <w:b/>
          <w:sz w:val="28"/>
        </w:rPr>
        <w:t>Annex</w:t>
      </w:r>
      <w:r>
        <w:rPr>
          <w:b/>
          <w:spacing w:val="-6"/>
          <w:sz w:val="28"/>
        </w:rPr>
        <w:t> </w:t>
      </w:r>
      <w:r>
        <w:rPr>
          <w:b/>
          <w:sz w:val="28"/>
        </w:rPr>
        <w:t>VI</w:t>
      </w:r>
      <w:r>
        <w:rPr>
          <w:b/>
          <w:spacing w:val="-2"/>
          <w:sz w:val="28"/>
        </w:rPr>
        <w:t> </w:t>
      </w:r>
      <w:r>
        <w:rPr>
          <w:b/>
          <w:spacing w:val="-5"/>
          <w:sz w:val="28"/>
        </w:rPr>
        <w:t>(a)</w:t>
      </w:r>
    </w:p>
    <w:p>
      <w:pPr>
        <w:spacing w:before="240"/>
        <w:ind w:left="2246" w:right="0" w:firstLine="0"/>
        <w:jc w:val="left"/>
        <w:rPr>
          <w:b/>
          <w:sz w:val="28"/>
        </w:rPr>
      </w:pPr>
      <w:bookmarkStart w:name="_bookmark79" w:id="80"/>
      <w:bookmarkEnd w:id="80"/>
      <w:r>
        <w:rPr/>
      </w:r>
      <w:r>
        <w:rPr>
          <w:b/>
          <w:w w:val="95"/>
          <w:sz w:val="28"/>
        </w:rPr>
        <w:t>Judges’</w:t>
      </w:r>
      <w:r>
        <w:rPr>
          <w:b/>
          <w:spacing w:val="14"/>
          <w:sz w:val="28"/>
        </w:rPr>
        <w:t> </w:t>
      </w:r>
      <w:r>
        <w:rPr>
          <w:b/>
          <w:w w:val="95"/>
          <w:sz w:val="28"/>
        </w:rPr>
        <w:t>salaries</w:t>
      </w:r>
      <w:r>
        <w:rPr>
          <w:b/>
          <w:spacing w:val="18"/>
          <w:sz w:val="28"/>
        </w:rPr>
        <w:t> </w:t>
      </w:r>
      <w:r>
        <w:rPr>
          <w:b/>
          <w:w w:val="95"/>
          <w:sz w:val="28"/>
        </w:rPr>
        <w:t>and</w:t>
      </w:r>
      <w:r>
        <w:rPr>
          <w:b/>
          <w:spacing w:val="17"/>
          <w:sz w:val="28"/>
        </w:rPr>
        <w:t> </w:t>
      </w:r>
      <w:r>
        <w:rPr>
          <w:b/>
          <w:w w:val="95"/>
          <w:sz w:val="28"/>
        </w:rPr>
        <w:t>entitlements</w:t>
      </w:r>
      <w:r>
        <w:rPr>
          <w:b/>
          <w:spacing w:val="19"/>
          <w:sz w:val="28"/>
        </w:rPr>
        <w:t> </w:t>
      </w:r>
      <w:r>
        <w:rPr>
          <w:b/>
          <w:w w:val="95"/>
          <w:sz w:val="28"/>
        </w:rPr>
        <w:t>for</w:t>
      </w:r>
      <w:r>
        <w:rPr>
          <w:b/>
          <w:spacing w:val="17"/>
          <w:sz w:val="28"/>
        </w:rPr>
        <w:t> </w:t>
      </w:r>
      <w:r>
        <w:rPr>
          <w:b/>
          <w:w w:val="95"/>
          <w:sz w:val="28"/>
        </w:rPr>
        <w:t>2023</w:t>
      </w:r>
      <w:r>
        <w:rPr>
          <w:b/>
          <w:spacing w:val="15"/>
          <w:sz w:val="28"/>
        </w:rPr>
        <w:t> </w:t>
      </w:r>
      <w:r>
        <w:rPr>
          <w:b/>
          <w:w w:val="95"/>
          <w:sz w:val="28"/>
        </w:rPr>
        <w:t>(thousands</w:t>
      </w:r>
      <w:r>
        <w:rPr>
          <w:b/>
          <w:spacing w:val="19"/>
          <w:sz w:val="28"/>
        </w:rPr>
        <w:t> </w:t>
      </w:r>
      <w:r>
        <w:rPr>
          <w:b/>
          <w:w w:val="95"/>
          <w:sz w:val="28"/>
        </w:rPr>
        <w:t>of</w:t>
      </w:r>
      <w:r>
        <w:rPr>
          <w:b/>
          <w:spacing w:val="14"/>
          <w:sz w:val="28"/>
        </w:rPr>
        <w:t> </w:t>
      </w:r>
      <w:r>
        <w:rPr>
          <w:b/>
          <w:spacing w:val="-2"/>
          <w:w w:val="95"/>
          <w:sz w:val="28"/>
        </w:rPr>
        <w:t>euros)</w:t>
      </w:r>
    </w:p>
    <w:p>
      <w:pPr>
        <w:pStyle w:val="BodyText"/>
        <w:spacing w:before="1"/>
        <w:rPr>
          <w:b/>
          <w:sz w:val="23"/>
        </w:rPr>
      </w:pPr>
    </w:p>
    <w:tbl>
      <w:tblPr>
        <w:tblW w:w="0" w:type="auto"/>
        <w:jc w:val="left"/>
        <w:tblInd w:w="18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18"/>
        <w:gridCol w:w="2036"/>
      </w:tblGrid>
      <w:tr>
        <w:trPr>
          <w:trHeight w:val="470" w:hRule="atLeast"/>
        </w:trPr>
        <w:tc>
          <w:tcPr>
            <w:tcW w:w="6218" w:type="dxa"/>
            <w:tcBorders>
              <w:top w:val="single" w:sz="4" w:space="0" w:color="000000"/>
              <w:bottom w:val="single" w:sz="4" w:space="0" w:color="000000"/>
            </w:tcBorders>
          </w:tcPr>
          <w:p>
            <w:pPr>
              <w:pStyle w:val="TableParagraph"/>
              <w:spacing w:before="120"/>
              <w:ind w:left="120"/>
              <w:jc w:val="left"/>
              <w:rPr>
                <w:i/>
                <w:sz w:val="20"/>
              </w:rPr>
            </w:pPr>
            <w:r>
              <w:rPr>
                <w:i/>
                <w:spacing w:val="-2"/>
                <w:sz w:val="20"/>
              </w:rPr>
              <w:t>Presidency:</w:t>
            </w:r>
          </w:p>
        </w:tc>
        <w:tc>
          <w:tcPr>
            <w:tcW w:w="2036" w:type="dxa"/>
            <w:tcBorders>
              <w:top w:val="single" w:sz="4" w:space="0" w:color="000000"/>
              <w:bottom w:val="single" w:sz="4" w:space="0" w:color="000000"/>
            </w:tcBorders>
          </w:tcPr>
          <w:p>
            <w:pPr>
              <w:pStyle w:val="TableParagraph"/>
              <w:spacing w:before="120"/>
              <w:ind w:right="102"/>
              <w:rPr>
                <w:i/>
                <w:sz w:val="20"/>
              </w:rPr>
            </w:pPr>
            <w:r>
              <w:rPr>
                <w:i/>
                <w:spacing w:val="-2"/>
                <w:sz w:val="20"/>
              </w:rPr>
              <w:t>Costs</w:t>
            </w:r>
          </w:p>
        </w:tc>
      </w:tr>
      <w:tr>
        <w:trPr>
          <w:trHeight w:val="470" w:hRule="atLeast"/>
        </w:trPr>
        <w:tc>
          <w:tcPr>
            <w:tcW w:w="6218" w:type="dxa"/>
            <w:tcBorders>
              <w:top w:val="single" w:sz="4" w:space="0" w:color="000000"/>
              <w:bottom w:val="single" w:sz="4" w:space="0" w:color="000000"/>
            </w:tcBorders>
          </w:tcPr>
          <w:p>
            <w:pPr>
              <w:pStyle w:val="TableParagraph"/>
              <w:spacing w:before="120"/>
              <w:ind w:left="120"/>
              <w:jc w:val="left"/>
              <w:rPr>
                <w:sz w:val="20"/>
              </w:rPr>
            </w:pPr>
            <w:r>
              <w:rPr>
                <w:sz w:val="20"/>
              </w:rPr>
              <w:t>Special</w:t>
            </w:r>
            <w:r>
              <w:rPr>
                <w:spacing w:val="-7"/>
                <w:sz w:val="20"/>
              </w:rPr>
              <w:t> </w:t>
            </w:r>
            <w:r>
              <w:rPr>
                <w:sz w:val="20"/>
              </w:rPr>
              <w:t>allowance</w:t>
            </w:r>
            <w:r>
              <w:rPr>
                <w:spacing w:val="-7"/>
                <w:sz w:val="20"/>
              </w:rPr>
              <w:t> </w:t>
            </w:r>
            <w:r>
              <w:rPr>
                <w:sz w:val="20"/>
              </w:rPr>
              <w:t>President</w:t>
            </w:r>
            <w:r>
              <w:rPr>
                <w:spacing w:val="-7"/>
                <w:sz w:val="20"/>
              </w:rPr>
              <w:t> </w:t>
            </w:r>
            <w:r>
              <w:rPr>
                <w:sz w:val="20"/>
              </w:rPr>
              <w:t>and</w:t>
            </w:r>
            <w:r>
              <w:rPr>
                <w:spacing w:val="-8"/>
                <w:sz w:val="20"/>
              </w:rPr>
              <w:t> </w:t>
            </w:r>
            <w:r>
              <w:rPr>
                <w:sz w:val="20"/>
              </w:rPr>
              <w:t>Vice-</w:t>
            </w:r>
            <w:r>
              <w:rPr>
                <w:spacing w:val="-2"/>
                <w:sz w:val="20"/>
              </w:rPr>
              <w:t>Presidents</w:t>
            </w:r>
          </w:p>
        </w:tc>
        <w:tc>
          <w:tcPr>
            <w:tcW w:w="2036" w:type="dxa"/>
            <w:tcBorders>
              <w:top w:val="single" w:sz="4" w:space="0" w:color="000000"/>
              <w:bottom w:val="single" w:sz="4" w:space="0" w:color="000000"/>
            </w:tcBorders>
          </w:tcPr>
          <w:p>
            <w:pPr>
              <w:pStyle w:val="TableParagraph"/>
              <w:spacing w:before="120"/>
              <w:ind w:right="98"/>
              <w:rPr>
                <w:sz w:val="20"/>
              </w:rPr>
            </w:pPr>
            <w:r>
              <w:rPr>
                <w:spacing w:val="-4"/>
                <w:sz w:val="20"/>
              </w:rPr>
              <w:t>28.0</w:t>
            </w:r>
          </w:p>
        </w:tc>
      </w:tr>
      <w:tr>
        <w:trPr>
          <w:trHeight w:val="470" w:hRule="atLeast"/>
        </w:trPr>
        <w:tc>
          <w:tcPr>
            <w:tcW w:w="6218" w:type="dxa"/>
            <w:tcBorders>
              <w:top w:val="single" w:sz="4" w:space="0" w:color="000000"/>
              <w:bottom w:val="single" w:sz="4" w:space="0" w:color="000000"/>
            </w:tcBorders>
          </w:tcPr>
          <w:p>
            <w:pPr>
              <w:pStyle w:val="TableParagraph"/>
              <w:spacing w:before="120"/>
              <w:ind w:left="120"/>
              <w:jc w:val="left"/>
              <w:rPr>
                <w:i/>
                <w:sz w:val="20"/>
              </w:rPr>
            </w:pPr>
            <w:r>
              <w:rPr>
                <w:i/>
                <w:sz w:val="20"/>
              </w:rPr>
              <w:t>Subtotal</w:t>
            </w:r>
            <w:r>
              <w:rPr>
                <w:i/>
                <w:spacing w:val="-4"/>
                <w:sz w:val="20"/>
              </w:rPr>
              <w:t> </w:t>
            </w:r>
            <w:r>
              <w:rPr>
                <w:i/>
                <w:spacing w:val="-2"/>
                <w:sz w:val="20"/>
              </w:rPr>
              <w:t>Presidency</w:t>
            </w:r>
          </w:p>
        </w:tc>
        <w:tc>
          <w:tcPr>
            <w:tcW w:w="2036" w:type="dxa"/>
            <w:tcBorders>
              <w:top w:val="single" w:sz="4" w:space="0" w:color="000000"/>
              <w:bottom w:val="single" w:sz="4" w:space="0" w:color="000000"/>
            </w:tcBorders>
          </w:tcPr>
          <w:p>
            <w:pPr>
              <w:pStyle w:val="TableParagraph"/>
              <w:spacing w:before="120"/>
              <w:ind w:right="98"/>
              <w:rPr>
                <w:i/>
                <w:sz w:val="20"/>
              </w:rPr>
            </w:pPr>
            <w:r>
              <w:rPr>
                <w:i/>
                <w:spacing w:val="-4"/>
                <w:sz w:val="20"/>
              </w:rPr>
              <w:t>28.0</w:t>
            </w:r>
          </w:p>
        </w:tc>
      </w:tr>
      <w:tr>
        <w:trPr>
          <w:trHeight w:val="470" w:hRule="atLeast"/>
        </w:trPr>
        <w:tc>
          <w:tcPr>
            <w:tcW w:w="6218" w:type="dxa"/>
            <w:tcBorders>
              <w:top w:val="single" w:sz="4" w:space="0" w:color="000000"/>
              <w:bottom w:val="single" w:sz="4" w:space="0" w:color="000000"/>
            </w:tcBorders>
          </w:tcPr>
          <w:p>
            <w:pPr>
              <w:pStyle w:val="TableParagraph"/>
              <w:spacing w:before="120"/>
              <w:ind w:left="120"/>
              <w:jc w:val="left"/>
              <w:rPr>
                <w:b/>
                <w:sz w:val="20"/>
              </w:rPr>
            </w:pPr>
            <w:r>
              <w:rPr>
                <w:b/>
                <w:spacing w:val="-2"/>
                <w:sz w:val="20"/>
              </w:rPr>
              <w:t>Chambers:</w:t>
            </w:r>
          </w:p>
        </w:tc>
        <w:tc>
          <w:tcPr>
            <w:tcW w:w="2036" w:type="dxa"/>
            <w:tcBorders>
              <w:top w:val="single" w:sz="4" w:space="0" w:color="000000"/>
              <w:bottom w:val="single" w:sz="4" w:space="0" w:color="000000"/>
            </w:tcBorders>
          </w:tcPr>
          <w:p>
            <w:pPr>
              <w:pStyle w:val="TableParagraph"/>
              <w:jc w:val="left"/>
              <w:rPr>
                <w:sz w:val="22"/>
              </w:rPr>
            </w:pPr>
          </w:p>
        </w:tc>
      </w:tr>
      <w:tr>
        <w:trPr>
          <w:trHeight w:val="470" w:hRule="atLeast"/>
        </w:trPr>
        <w:tc>
          <w:tcPr>
            <w:tcW w:w="6218" w:type="dxa"/>
            <w:tcBorders>
              <w:top w:val="single" w:sz="4" w:space="0" w:color="000000"/>
              <w:bottom w:val="single" w:sz="4" w:space="0" w:color="000000"/>
            </w:tcBorders>
          </w:tcPr>
          <w:p>
            <w:pPr>
              <w:pStyle w:val="TableParagraph"/>
              <w:spacing w:before="121"/>
              <w:ind w:left="120"/>
              <w:jc w:val="left"/>
              <w:rPr>
                <w:sz w:val="20"/>
              </w:rPr>
            </w:pPr>
            <w:r>
              <w:rPr>
                <w:sz w:val="20"/>
              </w:rPr>
              <w:t>Under-Secretary-General</w:t>
            </w:r>
            <w:r>
              <w:rPr>
                <w:spacing w:val="-13"/>
                <w:sz w:val="20"/>
              </w:rPr>
              <w:t> </w:t>
            </w:r>
            <w:r>
              <w:rPr>
                <w:sz w:val="20"/>
              </w:rPr>
              <w:t>remuneration:</w:t>
            </w:r>
            <w:r>
              <w:rPr>
                <w:spacing w:val="-9"/>
                <w:sz w:val="20"/>
              </w:rPr>
              <w:t> </w:t>
            </w:r>
            <w:r>
              <w:rPr>
                <w:sz w:val="20"/>
              </w:rPr>
              <w:t>18</w:t>
            </w:r>
            <w:r>
              <w:rPr>
                <w:spacing w:val="-13"/>
                <w:sz w:val="20"/>
              </w:rPr>
              <w:t> </w:t>
            </w:r>
            <w:r>
              <w:rPr>
                <w:sz w:val="20"/>
              </w:rPr>
              <w:t>full-time</w:t>
            </w:r>
            <w:r>
              <w:rPr>
                <w:spacing w:val="-11"/>
                <w:sz w:val="20"/>
              </w:rPr>
              <w:t> </w:t>
            </w:r>
            <w:r>
              <w:rPr>
                <w:spacing w:val="-2"/>
                <w:sz w:val="20"/>
              </w:rPr>
              <w:t>judges</w:t>
            </w:r>
          </w:p>
        </w:tc>
        <w:tc>
          <w:tcPr>
            <w:tcW w:w="2036" w:type="dxa"/>
            <w:tcBorders>
              <w:top w:val="single" w:sz="4" w:space="0" w:color="000000"/>
              <w:bottom w:val="single" w:sz="4" w:space="0" w:color="000000"/>
            </w:tcBorders>
          </w:tcPr>
          <w:p>
            <w:pPr>
              <w:pStyle w:val="TableParagraph"/>
              <w:spacing w:before="121"/>
              <w:ind w:right="99"/>
              <w:rPr>
                <w:sz w:val="20"/>
              </w:rPr>
            </w:pPr>
            <w:r>
              <w:rPr>
                <w:spacing w:val="-2"/>
                <w:sz w:val="20"/>
              </w:rPr>
              <w:t>4,993.2</w:t>
            </w:r>
          </w:p>
        </w:tc>
      </w:tr>
      <w:tr>
        <w:trPr>
          <w:trHeight w:val="470" w:hRule="atLeast"/>
        </w:trPr>
        <w:tc>
          <w:tcPr>
            <w:tcW w:w="6218" w:type="dxa"/>
            <w:tcBorders>
              <w:top w:val="single" w:sz="4" w:space="0" w:color="000000"/>
              <w:bottom w:val="single" w:sz="4" w:space="0" w:color="000000"/>
            </w:tcBorders>
          </w:tcPr>
          <w:p>
            <w:pPr>
              <w:pStyle w:val="TableParagraph"/>
              <w:spacing w:before="120"/>
              <w:ind w:left="120"/>
              <w:jc w:val="left"/>
              <w:rPr>
                <w:sz w:val="20"/>
              </w:rPr>
            </w:pPr>
            <w:r>
              <w:rPr>
                <w:sz w:val="20"/>
              </w:rPr>
              <w:t>Accruals</w:t>
            </w:r>
            <w:r>
              <w:rPr>
                <w:spacing w:val="-9"/>
                <w:sz w:val="20"/>
              </w:rPr>
              <w:t> </w:t>
            </w:r>
            <w:r>
              <w:rPr>
                <w:sz w:val="20"/>
              </w:rPr>
              <w:t>for</w:t>
            </w:r>
            <w:r>
              <w:rPr>
                <w:spacing w:val="-5"/>
                <w:sz w:val="20"/>
              </w:rPr>
              <w:t> </w:t>
            </w:r>
            <w:r>
              <w:rPr>
                <w:sz w:val="20"/>
              </w:rPr>
              <w:t>annual</w:t>
            </w:r>
            <w:r>
              <w:rPr>
                <w:spacing w:val="-7"/>
                <w:sz w:val="20"/>
              </w:rPr>
              <w:t> </w:t>
            </w:r>
            <w:r>
              <w:rPr>
                <w:spacing w:val="-4"/>
                <w:sz w:val="20"/>
              </w:rPr>
              <w:t>leave</w:t>
            </w:r>
          </w:p>
        </w:tc>
        <w:tc>
          <w:tcPr>
            <w:tcW w:w="2036" w:type="dxa"/>
            <w:tcBorders>
              <w:top w:val="single" w:sz="4" w:space="0" w:color="000000"/>
              <w:bottom w:val="single" w:sz="4" w:space="0" w:color="000000"/>
            </w:tcBorders>
          </w:tcPr>
          <w:p>
            <w:pPr>
              <w:pStyle w:val="TableParagraph"/>
              <w:spacing w:before="120"/>
              <w:ind w:right="98"/>
              <w:rPr>
                <w:sz w:val="20"/>
              </w:rPr>
            </w:pPr>
            <w:r>
              <w:rPr>
                <w:spacing w:val="-4"/>
                <w:sz w:val="20"/>
              </w:rPr>
              <w:t>98.0</w:t>
            </w:r>
          </w:p>
        </w:tc>
      </w:tr>
      <w:tr>
        <w:trPr>
          <w:trHeight w:val="470" w:hRule="atLeast"/>
        </w:trPr>
        <w:tc>
          <w:tcPr>
            <w:tcW w:w="6218" w:type="dxa"/>
            <w:tcBorders>
              <w:top w:val="single" w:sz="4" w:space="0" w:color="000000"/>
              <w:bottom w:val="single" w:sz="4" w:space="0" w:color="000000"/>
            </w:tcBorders>
          </w:tcPr>
          <w:p>
            <w:pPr>
              <w:pStyle w:val="TableParagraph"/>
              <w:spacing w:before="120"/>
              <w:ind w:left="120"/>
              <w:jc w:val="left"/>
              <w:rPr>
                <w:sz w:val="20"/>
              </w:rPr>
            </w:pPr>
            <w:r>
              <w:rPr>
                <w:sz w:val="20"/>
              </w:rPr>
              <w:t>Accruals</w:t>
            </w:r>
            <w:r>
              <w:rPr>
                <w:spacing w:val="-6"/>
                <w:sz w:val="20"/>
              </w:rPr>
              <w:t> </w:t>
            </w:r>
            <w:r>
              <w:rPr>
                <w:sz w:val="20"/>
              </w:rPr>
              <w:t>for</w:t>
            </w:r>
            <w:r>
              <w:rPr>
                <w:spacing w:val="-4"/>
                <w:sz w:val="20"/>
              </w:rPr>
              <w:t> </w:t>
            </w:r>
            <w:r>
              <w:rPr>
                <w:spacing w:val="-2"/>
                <w:sz w:val="20"/>
              </w:rPr>
              <w:t>relocation</w:t>
            </w:r>
          </w:p>
        </w:tc>
        <w:tc>
          <w:tcPr>
            <w:tcW w:w="2036" w:type="dxa"/>
            <w:tcBorders>
              <w:top w:val="single" w:sz="4" w:space="0" w:color="000000"/>
              <w:bottom w:val="single" w:sz="4" w:space="0" w:color="000000"/>
            </w:tcBorders>
          </w:tcPr>
          <w:p>
            <w:pPr>
              <w:pStyle w:val="TableParagraph"/>
              <w:spacing w:before="120"/>
              <w:ind w:right="98"/>
              <w:rPr>
                <w:sz w:val="20"/>
              </w:rPr>
            </w:pPr>
            <w:r>
              <w:rPr>
                <w:spacing w:val="-2"/>
                <w:sz w:val="20"/>
              </w:rPr>
              <w:t>120.0</w:t>
            </w:r>
          </w:p>
        </w:tc>
      </w:tr>
      <w:tr>
        <w:trPr>
          <w:trHeight w:val="470" w:hRule="atLeast"/>
        </w:trPr>
        <w:tc>
          <w:tcPr>
            <w:tcW w:w="6218" w:type="dxa"/>
            <w:tcBorders>
              <w:top w:val="single" w:sz="4" w:space="0" w:color="000000"/>
              <w:bottom w:val="single" w:sz="4" w:space="0" w:color="000000"/>
            </w:tcBorders>
          </w:tcPr>
          <w:p>
            <w:pPr>
              <w:pStyle w:val="TableParagraph"/>
              <w:spacing w:before="120"/>
              <w:ind w:left="120"/>
              <w:jc w:val="left"/>
              <w:rPr>
                <w:i/>
                <w:sz w:val="20"/>
              </w:rPr>
            </w:pPr>
            <w:r>
              <w:rPr>
                <w:i/>
                <w:sz w:val="20"/>
              </w:rPr>
              <w:t>Subtotal</w:t>
            </w:r>
            <w:r>
              <w:rPr>
                <w:i/>
                <w:spacing w:val="-4"/>
                <w:sz w:val="20"/>
              </w:rPr>
              <w:t> </w:t>
            </w:r>
            <w:r>
              <w:rPr>
                <w:i/>
                <w:spacing w:val="-2"/>
                <w:sz w:val="20"/>
              </w:rPr>
              <w:t>Chambers</w:t>
            </w:r>
          </w:p>
        </w:tc>
        <w:tc>
          <w:tcPr>
            <w:tcW w:w="2036" w:type="dxa"/>
            <w:tcBorders>
              <w:top w:val="single" w:sz="4" w:space="0" w:color="000000"/>
              <w:bottom w:val="single" w:sz="4" w:space="0" w:color="000000"/>
            </w:tcBorders>
          </w:tcPr>
          <w:p>
            <w:pPr>
              <w:pStyle w:val="TableParagraph"/>
              <w:spacing w:before="120"/>
              <w:ind w:right="99"/>
              <w:rPr>
                <w:i/>
                <w:sz w:val="20"/>
              </w:rPr>
            </w:pPr>
            <w:r>
              <w:rPr>
                <w:i/>
                <w:spacing w:val="-2"/>
                <w:sz w:val="20"/>
              </w:rPr>
              <w:t>5,211.2</w:t>
            </w:r>
          </w:p>
        </w:tc>
      </w:tr>
      <w:tr>
        <w:trPr>
          <w:trHeight w:val="470" w:hRule="atLeast"/>
        </w:trPr>
        <w:tc>
          <w:tcPr>
            <w:tcW w:w="6218" w:type="dxa"/>
            <w:tcBorders>
              <w:top w:val="single" w:sz="4" w:space="0" w:color="000000"/>
              <w:bottom w:val="single" w:sz="4" w:space="0" w:color="000000"/>
            </w:tcBorders>
          </w:tcPr>
          <w:p>
            <w:pPr>
              <w:pStyle w:val="TableParagraph"/>
              <w:spacing w:before="120"/>
              <w:ind w:left="120"/>
              <w:jc w:val="left"/>
              <w:rPr>
                <w:b/>
                <w:sz w:val="20"/>
              </w:rPr>
            </w:pPr>
            <w:r>
              <w:rPr>
                <w:b/>
                <w:sz w:val="20"/>
              </w:rPr>
              <w:t>Total</w:t>
            </w:r>
            <w:r>
              <w:rPr>
                <w:b/>
                <w:spacing w:val="-5"/>
                <w:sz w:val="20"/>
              </w:rPr>
              <w:t> </w:t>
            </w:r>
            <w:r>
              <w:rPr>
                <w:b/>
                <w:sz w:val="20"/>
              </w:rPr>
              <w:t>Judges’</w:t>
            </w:r>
            <w:r>
              <w:rPr>
                <w:b/>
                <w:spacing w:val="-7"/>
                <w:sz w:val="20"/>
              </w:rPr>
              <w:t> </w:t>
            </w:r>
            <w:r>
              <w:rPr>
                <w:b/>
                <w:sz w:val="20"/>
              </w:rPr>
              <w:t>salaries</w:t>
            </w:r>
            <w:r>
              <w:rPr>
                <w:b/>
                <w:spacing w:val="-4"/>
                <w:sz w:val="20"/>
              </w:rPr>
              <w:t> </w:t>
            </w:r>
            <w:r>
              <w:rPr>
                <w:b/>
                <w:sz w:val="20"/>
              </w:rPr>
              <w:t>and</w:t>
            </w:r>
            <w:r>
              <w:rPr>
                <w:b/>
                <w:spacing w:val="-8"/>
                <w:sz w:val="20"/>
              </w:rPr>
              <w:t> </w:t>
            </w:r>
            <w:r>
              <w:rPr>
                <w:b/>
                <w:sz w:val="20"/>
              </w:rPr>
              <w:t>entitlements</w:t>
            </w:r>
            <w:r>
              <w:rPr>
                <w:b/>
                <w:spacing w:val="-8"/>
                <w:sz w:val="20"/>
              </w:rPr>
              <w:t> </w:t>
            </w:r>
            <w:r>
              <w:rPr>
                <w:b/>
                <w:sz w:val="20"/>
              </w:rPr>
              <w:t>for</w:t>
            </w:r>
            <w:r>
              <w:rPr>
                <w:b/>
                <w:spacing w:val="-4"/>
                <w:sz w:val="20"/>
              </w:rPr>
              <w:t> 2023</w:t>
            </w:r>
          </w:p>
        </w:tc>
        <w:tc>
          <w:tcPr>
            <w:tcW w:w="2036" w:type="dxa"/>
            <w:tcBorders>
              <w:top w:val="single" w:sz="4" w:space="0" w:color="000000"/>
              <w:bottom w:val="single" w:sz="4" w:space="0" w:color="000000"/>
            </w:tcBorders>
          </w:tcPr>
          <w:p>
            <w:pPr>
              <w:pStyle w:val="TableParagraph"/>
              <w:spacing w:before="120"/>
              <w:ind w:right="99"/>
              <w:rPr>
                <w:b/>
                <w:sz w:val="20"/>
              </w:rPr>
            </w:pPr>
            <w:r>
              <w:rPr>
                <w:b/>
                <w:spacing w:val="-2"/>
                <w:sz w:val="20"/>
              </w:rPr>
              <w:t>5,239.2</w:t>
            </w:r>
          </w:p>
        </w:tc>
      </w:tr>
    </w:tbl>
    <w:p>
      <w:pPr>
        <w:spacing w:after="0"/>
        <w:rPr>
          <w:sz w:val="20"/>
        </w:rPr>
        <w:sectPr>
          <w:pgSz w:w="11910" w:h="16840"/>
          <w:pgMar w:header="957" w:footer="940" w:top="1140" w:bottom="1140" w:left="20" w:right="20"/>
        </w:sectPr>
      </w:pPr>
    </w:p>
    <w:p>
      <w:pPr>
        <w:pStyle w:val="BodyText"/>
        <w:spacing w:before="3"/>
        <w:rPr>
          <w:b/>
          <w:sz w:val="13"/>
        </w:rPr>
      </w:pPr>
    </w:p>
    <w:p>
      <w:pPr>
        <w:spacing w:line="256" w:lineRule="auto" w:before="87"/>
        <w:ind w:left="2246" w:right="2195" w:firstLine="0"/>
        <w:jc w:val="left"/>
        <w:rPr>
          <w:b/>
          <w:sz w:val="28"/>
        </w:rPr>
      </w:pPr>
      <w:bookmarkStart w:name="_bookmark80" w:id="81"/>
      <w:bookmarkEnd w:id="81"/>
      <w:r>
        <w:rPr/>
      </w:r>
      <w:r>
        <w:rPr>
          <w:b/>
          <w:sz w:val="28"/>
        </w:rPr>
        <w:t>Standard</w:t>
      </w:r>
      <w:r>
        <w:rPr>
          <w:b/>
          <w:spacing w:val="40"/>
          <w:sz w:val="28"/>
        </w:rPr>
        <w:t> </w:t>
      </w:r>
      <w:r>
        <w:rPr>
          <w:b/>
          <w:sz w:val="28"/>
        </w:rPr>
        <w:t>salary</w:t>
      </w:r>
      <w:r>
        <w:rPr>
          <w:b/>
          <w:spacing w:val="40"/>
          <w:sz w:val="28"/>
        </w:rPr>
        <w:t> </w:t>
      </w:r>
      <w:r>
        <w:rPr>
          <w:b/>
          <w:sz w:val="28"/>
        </w:rPr>
        <w:t>costs</w:t>
      </w:r>
      <w:r>
        <w:rPr>
          <w:b/>
          <w:spacing w:val="40"/>
          <w:sz w:val="28"/>
        </w:rPr>
        <w:t> </w:t>
      </w:r>
      <w:r>
        <w:rPr>
          <w:b/>
          <w:sz w:val="28"/>
        </w:rPr>
        <w:t>for</w:t>
      </w:r>
      <w:r>
        <w:rPr>
          <w:b/>
          <w:spacing w:val="40"/>
          <w:sz w:val="28"/>
        </w:rPr>
        <w:t> </w:t>
      </w:r>
      <w:r>
        <w:rPr>
          <w:b/>
          <w:sz w:val="28"/>
        </w:rPr>
        <w:t>2023</w:t>
      </w:r>
      <w:r>
        <w:rPr>
          <w:b/>
          <w:spacing w:val="40"/>
          <w:sz w:val="28"/>
        </w:rPr>
        <w:t> </w:t>
      </w:r>
      <w:r>
        <w:rPr>
          <w:b/>
          <w:sz w:val="28"/>
        </w:rPr>
        <w:t>-</w:t>
      </w:r>
      <w:r>
        <w:rPr>
          <w:b/>
          <w:spacing w:val="40"/>
          <w:sz w:val="28"/>
        </w:rPr>
        <w:t> </w:t>
      </w:r>
      <w:r>
        <w:rPr>
          <w:b/>
          <w:sz w:val="28"/>
        </w:rPr>
        <w:t>Professional</w:t>
      </w:r>
      <w:r>
        <w:rPr>
          <w:b/>
          <w:spacing w:val="40"/>
          <w:sz w:val="28"/>
        </w:rPr>
        <w:t> </w:t>
      </w:r>
      <w:r>
        <w:rPr>
          <w:b/>
          <w:sz w:val="28"/>
        </w:rPr>
        <w:t>and</w:t>
      </w:r>
      <w:r>
        <w:rPr>
          <w:b/>
          <w:spacing w:val="40"/>
          <w:sz w:val="28"/>
        </w:rPr>
        <w:t> </w:t>
      </w:r>
      <w:r>
        <w:rPr>
          <w:b/>
          <w:sz w:val="28"/>
        </w:rPr>
        <w:t>General Service staff at Headquarters (thousands of euros)</w:t>
      </w:r>
    </w:p>
    <w:p>
      <w:pPr>
        <w:pStyle w:val="BodyText"/>
        <w:spacing w:before="4"/>
        <w:rPr>
          <w:b/>
          <w:sz w:val="21"/>
        </w:rPr>
      </w:pPr>
    </w:p>
    <w:tbl>
      <w:tblPr>
        <w:tblW w:w="0" w:type="auto"/>
        <w:jc w:val="left"/>
        <w:tblInd w:w="2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90"/>
        <w:gridCol w:w="1159"/>
        <w:gridCol w:w="1683"/>
        <w:gridCol w:w="2179"/>
        <w:gridCol w:w="1386"/>
      </w:tblGrid>
      <w:tr>
        <w:trPr>
          <w:trHeight w:val="330" w:hRule="atLeast"/>
        </w:trPr>
        <w:tc>
          <w:tcPr>
            <w:tcW w:w="990" w:type="dxa"/>
            <w:tcBorders>
              <w:top w:val="single" w:sz="4" w:space="0" w:color="000000"/>
              <w:bottom w:val="single" w:sz="4" w:space="0" w:color="000000"/>
            </w:tcBorders>
          </w:tcPr>
          <w:p>
            <w:pPr>
              <w:pStyle w:val="TableParagraph"/>
              <w:spacing w:before="62"/>
              <w:ind w:left="14"/>
              <w:jc w:val="left"/>
              <w:rPr>
                <w:i/>
                <w:sz w:val="18"/>
              </w:rPr>
            </w:pPr>
            <w:r>
              <w:rPr>
                <w:i/>
                <w:sz w:val="18"/>
              </w:rPr>
              <w:t>Post</w:t>
            </w:r>
            <w:r>
              <w:rPr>
                <w:i/>
                <w:spacing w:val="-4"/>
                <w:sz w:val="18"/>
              </w:rPr>
              <w:t> </w:t>
            </w:r>
            <w:r>
              <w:rPr>
                <w:i/>
                <w:spacing w:val="-2"/>
                <w:sz w:val="18"/>
              </w:rPr>
              <w:t>level</w:t>
            </w:r>
          </w:p>
        </w:tc>
        <w:tc>
          <w:tcPr>
            <w:tcW w:w="1159" w:type="dxa"/>
            <w:tcBorders>
              <w:top w:val="single" w:sz="4" w:space="0" w:color="000000"/>
              <w:bottom w:val="single" w:sz="4" w:space="0" w:color="000000"/>
            </w:tcBorders>
          </w:tcPr>
          <w:p>
            <w:pPr>
              <w:pStyle w:val="TableParagraph"/>
              <w:spacing w:before="62"/>
              <w:ind w:right="141"/>
              <w:rPr>
                <w:i/>
                <w:sz w:val="18"/>
              </w:rPr>
            </w:pPr>
            <w:r>
              <w:rPr>
                <w:i/>
                <w:sz w:val="18"/>
              </w:rPr>
              <w:t>Net </w:t>
            </w:r>
            <w:r>
              <w:rPr>
                <w:i/>
                <w:spacing w:val="-2"/>
                <w:sz w:val="18"/>
              </w:rPr>
              <w:t>salary</w:t>
            </w:r>
          </w:p>
        </w:tc>
        <w:tc>
          <w:tcPr>
            <w:tcW w:w="1683" w:type="dxa"/>
            <w:tcBorders>
              <w:top w:val="single" w:sz="4" w:space="0" w:color="000000"/>
              <w:bottom w:val="single" w:sz="4" w:space="0" w:color="000000"/>
            </w:tcBorders>
          </w:tcPr>
          <w:p>
            <w:pPr>
              <w:pStyle w:val="TableParagraph"/>
              <w:spacing w:before="62"/>
              <w:ind w:right="125"/>
              <w:rPr>
                <w:i/>
                <w:sz w:val="18"/>
              </w:rPr>
            </w:pPr>
            <w:r>
              <w:rPr>
                <w:i/>
                <w:sz w:val="18"/>
              </w:rPr>
              <w:t>Common</w:t>
            </w:r>
            <w:r>
              <w:rPr>
                <w:i/>
                <w:spacing w:val="-4"/>
                <w:sz w:val="18"/>
              </w:rPr>
              <w:t> </w:t>
            </w:r>
            <w:r>
              <w:rPr>
                <w:i/>
                <w:sz w:val="18"/>
              </w:rPr>
              <w:t>staff</w:t>
            </w:r>
            <w:r>
              <w:rPr>
                <w:i/>
                <w:spacing w:val="-2"/>
                <w:sz w:val="18"/>
              </w:rPr>
              <w:t> costs</w:t>
            </w:r>
          </w:p>
        </w:tc>
        <w:tc>
          <w:tcPr>
            <w:tcW w:w="2179" w:type="dxa"/>
            <w:tcBorders>
              <w:top w:val="single" w:sz="4" w:space="0" w:color="000000"/>
              <w:bottom w:val="single" w:sz="4" w:space="0" w:color="000000"/>
            </w:tcBorders>
          </w:tcPr>
          <w:p>
            <w:pPr>
              <w:pStyle w:val="TableParagraph"/>
              <w:spacing w:before="62"/>
              <w:ind w:right="178"/>
              <w:rPr>
                <w:i/>
                <w:sz w:val="18"/>
              </w:rPr>
            </w:pPr>
            <w:r>
              <w:rPr>
                <w:i/>
                <w:sz w:val="18"/>
              </w:rPr>
              <w:t>Representation</w:t>
            </w:r>
            <w:r>
              <w:rPr>
                <w:i/>
                <w:spacing w:val="-10"/>
                <w:sz w:val="18"/>
              </w:rPr>
              <w:t> </w:t>
            </w:r>
            <w:r>
              <w:rPr>
                <w:i/>
                <w:spacing w:val="-2"/>
                <w:sz w:val="18"/>
              </w:rPr>
              <w:t>allowance</w:t>
            </w:r>
          </w:p>
        </w:tc>
        <w:tc>
          <w:tcPr>
            <w:tcW w:w="1386" w:type="dxa"/>
            <w:tcBorders>
              <w:top w:val="single" w:sz="4" w:space="0" w:color="000000"/>
              <w:bottom w:val="single" w:sz="4" w:space="0" w:color="000000"/>
            </w:tcBorders>
          </w:tcPr>
          <w:p>
            <w:pPr>
              <w:pStyle w:val="TableParagraph"/>
              <w:spacing w:before="62"/>
              <w:ind w:right="7"/>
              <w:rPr>
                <w:i/>
                <w:sz w:val="18"/>
              </w:rPr>
            </w:pPr>
            <w:r>
              <w:rPr>
                <w:i/>
                <w:spacing w:val="-2"/>
                <w:sz w:val="18"/>
              </w:rPr>
              <w:t>Total</w:t>
            </w:r>
          </w:p>
        </w:tc>
      </w:tr>
      <w:tr>
        <w:trPr>
          <w:trHeight w:val="325" w:hRule="atLeast"/>
        </w:trPr>
        <w:tc>
          <w:tcPr>
            <w:tcW w:w="990" w:type="dxa"/>
            <w:tcBorders>
              <w:top w:val="single" w:sz="4" w:space="0" w:color="000000"/>
              <w:bottom w:val="single" w:sz="4" w:space="0" w:color="000000"/>
            </w:tcBorders>
          </w:tcPr>
          <w:p>
            <w:pPr>
              <w:pStyle w:val="TableParagraph"/>
              <w:jc w:val="left"/>
              <w:rPr>
                <w:sz w:val="20"/>
              </w:rPr>
            </w:pPr>
          </w:p>
        </w:tc>
        <w:tc>
          <w:tcPr>
            <w:tcW w:w="1159" w:type="dxa"/>
            <w:tcBorders>
              <w:top w:val="single" w:sz="4" w:space="0" w:color="000000"/>
              <w:bottom w:val="single" w:sz="4" w:space="0" w:color="000000"/>
            </w:tcBorders>
          </w:tcPr>
          <w:p>
            <w:pPr>
              <w:pStyle w:val="TableParagraph"/>
              <w:spacing w:before="62"/>
              <w:ind w:right="141"/>
              <w:rPr>
                <w:i/>
                <w:sz w:val="18"/>
              </w:rPr>
            </w:pPr>
            <w:r>
              <w:rPr>
                <w:i/>
                <w:spacing w:val="-5"/>
                <w:sz w:val="18"/>
              </w:rPr>
              <w:t>(1)</w:t>
            </w:r>
          </w:p>
        </w:tc>
        <w:tc>
          <w:tcPr>
            <w:tcW w:w="1683" w:type="dxa"/>
            <w:tcBorders>
              <w:top w:val="single" w:sz="4" w:space="0" w:color="000000"/>
              <w:bottom w:val="single" w:sz="4" w:space="0" w:color="000000"/>
            </w:tcBorders>
          </w:tcPr>
          <w:p>
            <w:pPr>
              <w:pStyle w:val="TableParagraph"/>
              <w:spacing w:before="62"/>
              <w:ind w:right="124"/>
              <w:rPr>
                <w:i/>
                <w:sz w:val="18"/>
              </w:rPr>
            </w:pPr>
            <w:r>
              <w:rPr>
                <w:i/>
                <w:spacing w:val="-5"/>
                <w:sz w:val="18"/>
              </w:rPr>
              <w:t>(2)</w:t>
            </w:r>
          </w:p>
        </w:tc>
        <w:tc>
          <w:tcPr>
            <w:tcW w:w="2179" w:type="dxa"/>
            <w:tcBorders>
              <w:top w:val="single" w:sz="4" w:space="0" w:color="000000"/>
              <w:bottom w:val="single" w:sz="4" w:space="0" w:color="000000"/>
            </w:tcBorders>
          </w:tcPr>
          <w:p>
            <w:pPr>
              <w:pStyle w:val="TableParagraph"/>
              <w:spacing w:before="62"/>
              <w:ind w:right="176"/>
              <w:rPr>
                <w:i/>
                <w:sz w:val="18"/>
              </w:rPr>
            </w:pPr>
            <w:r>
              <w:rPr>
                <w:i/>
                <w:spacing w:val="-5"/>
                <w:sz w:val="18"/>
              </w:rPr>
              <w:t>(3)</w:t>
            </w:r>
          </w:p>
        </w:tc>
        <w:tc>
          <w:tcPr>
            <w:tcW w:w="1386" w:type="dxa"/>
            <w:tcBorders>
              <w:top w:val="single" w:sz="4" w:space="0" w:color="000000"/>
              <w:bottom w:val="single" w:sz="4" w:space="0" w:color="000000"/>
            </w:tcBorders>
          </w:tcPr>
          <w:p>
            <w:pPr>
              <w:pStyle w:val="TableParagraph"/>
              <w:spacing w:before="62"/>
              <w:ind w:right="2"/>
              <w:rPr>
                <w:i/>
                <w:sz w:val="18"/>
              </w:rPr>
            </w:pPr>
            <w:r>
              <w:rPr>
                <w:i/>
                <w:spacing w:val="-2"/>
                <w:sz w:val="18"/>
              </w:rPr>
              <w:t>(1)+(2)+(3)=(4)</w:t>
            </w:r>
          </w:p>
        </w:tc>
      </w:tr>
      <w:tr>
        <w:trPr>
          <w:trHeight w:val="326" w:hRule="atLeast"/>
        </w:trPr>
        <w:tc>
          <w:tcPr>
            <w:tcW w:w="990" w:type="dxa"/>
            <w:tcBorders>
              <w:top w:val="single" w:sz="4" w:space="0" w:color="000000"/>
              <w:bottom w:val="single" w:sz="4" w:space="0" w:color="000000"/>
            </w:tcBorders>
          </w:tcPr>
          <w:p>
            <w:pPr>
              <w:pStyle w:val="TableParagraph"/>
              <w:spacing w:before="62"/>
              <w:ind w:left="14"/>
              <w:jc w:val="left"/>
              <w:rPr>
                <w:sz w:val="18"/>
              </w:rPr>
            </w:pPr>
            <w:r>
              <w:rPr>
                <w:spacing w:val="-5"/>
                <w:sz w:val="18"/>
              </w:rPr>
              <w:t>USG</w:t>
            </w:r>
          </w:p>
        </w:tc>
        <w:tc>
          <w:tcPr>
            <w:tcW w:w="1159" w:type="dxa"/>
            <w:tcBorders>
              <w:top w:val="single" w:sz="4" w:space="0" w:color="000000"/>
              <w:bottom w:val="single" w:sz="4" w:space="0" w:color="000000"/>
            </w:tcBorders>
          </w:tcPr>
          <w:p>
            <w:pPr>
              <w:pStyle w:val="TableParagraph"/>
              <w:spacing w:before="48"/>
              <w:ind w:right="140"/>
              <w:rPr>
                <w:sz w:val="20"/>
              </w:rPr>
            </w:pPr>
            <w:r>
              <w:rPr>
                <w:spacing w:val="-2"/>
                <w:sz w:val="20"/>
              </w:rPr>
              <w:t>192.8</w:t>
            </w:r>
          </w:p>
        </w:tc>
        <w:tc>
          <w:tcPr>
            <w:tcW w:w="1683" w:type="dxa"/>
            <w:tcBorders>
              <w:top w:val="single" w:sz="4" w:space="0" w:color="000000"/>
              <w:bottom w:val="single" w:sz="4" w:space="0" w:color="000000"/>
            </w:tcBorders>
          </w:tcPr>
          <w:p>
            <w:pPr>
              <w:pStyle w:val="TableParagraph"/>
              <w:spacing w:before="48"/>
              <w:ind w:right="127"/>
              <w:rPr>
                <w:sz w:val="20"/>
              </w:rPr>
            </w:pPr>
            <w:r>
              <w:rPr>
                <w:spacing w:val="-4"/>
                <w:sz w:val="20"/>
              </w:rPr>
              <w:t>80.6</w:t>
            </w:r>
          </w:p>
        </w:tc>
        <w:tc>
          <w:tcPr>
            <w:tcW w:w="2179" w:type="dxa"/>
            <w:tcBorders>
              <w:top w:val="single" w:sz="4" w:space="0" w:color="000000"/>
              <w:bottom w:val="single" w:sz="4" w:space="0" w:color="000000"/>
            </w:tcBorders>
          </w:tcPr>
          <w:p>
            <w:pPr>
              <w:pStyle w:val="TableParagraph"/>
              <w:spacing w:before="48"/>
              <w:ind w:right="174"/>
              <w:rPr>
                <w:sz w:val="20"/>
              </w:rPr>
            </w:pPr>
            <w:r>
              <w:rPr>
                <w:spacing w:val="-5"/>
                <w:sz w:val="20"/>
              </w:rPr>
              <w:t>4.0</w:t>
            </w:r>
          </w:p>
        </w:tc>
        <w:tc>
          <w:tcPr>
            <w:tcW w:w="1386" w:type="dxa"/>
            <w:tcBorders>
              <w:top w:val="single" w:sz="4" w:space="0" w:color="000000"/>
              <w:bottom w:val="single" w:sz="4" w:space="0" w:color="000000"/>
            </w:tcBorders>
          </w:tcPr>
          <w:p>
            <w:pPr>
              <w:pStyle w:val="TableParagraph"/>
              <w:spacing w:before="48"/>
              <w:rPr>
                <w:sz w:val="20"/>
              </w:rPr>
            </w:pPr>
            <w:r>
              <w:rPr>
                <w:spacing w:val="-2"/>
                <w:sz w:val="20"/>
              </w:rPr>
              <w:t>277.4</w:t>
            </w:r>
          </w:p>
        </w:tc>
      </w:tr>
      <w:tr>
        <w:trPr>
          <w:trHeight w:val="325" w:hRule="atLeast"/>
        </w:trPr>
        <w:tc>
          <w:tcPr>
            <w:tcW w:w="990" w:type="dxa"/>
            <w:tcBorders>
              <w:top w:val="single" w:sz="4" w:space="0" w:color="000000"/>
              <w:bottom w:val="single" w:sz="4" w:space="0" w:color="000000"/>
            </w:tcBorders>
          </w:tcPr>
          <w:p>
            <w:pPr>
              <w:pStyle w:val="TableParagraph"/>
              <w:spacing w:before="62"/>
              <w:ind w:left="14"/>
              <w:jc w:val="left"/>
              <w:rPr>
                <w:sz w:val="18"/>
              </w:rPr>
            </w:pPr>
            <w:r>
              <w:rPr>
                <w:spacing w:val="-5"/>
                <w:sz w:val="18"/>
              </w:rPr>
              <w:t>ASG</w:t>
            </w:r>
          </w:p>
        </w:tc>
        <w:tc>
          <w:tcPr>
            <w:tcW w:w="1159" w:type="dxa"/>
            <w:tcBorders>
              <w:top w:val="single" w:sz="4" w:space="0" w:color="000000"/>
              <w:bottom w:val="single" w:sz="4" w:space="0" w:color="000000"/>
            </w:tcBorders>
          </w:tcPr>
          <w:p>
            <w:pPr>
              <w:pStyle w:val="TableParagraph"/>
              <w:spacing w:before="48"/>
              <w:ind w:right="140"/>
              <w:rPr>
                <w:sz w:val="20"/>
              </w:rPr>
            </w:pPr>
            <w:r>
              <w:rPr>
                <w:spacing w:val="-2"/>
                <w:sz w:val="20"/>
              </w:rPr>
              <w:t>176.9</w:t>
            </w:r>
          </w:p>
        </w:tc>
        <w:tc>
          <w:tcPr>
            <w:tcW w:w="1683" w:type="dxa"/>
            <w:tcBorders>
              <w:top w:val="single" w:sz="4" w:space="0" w:color="000000"/>
              <w:bottom w:val="single" w:sz="4" w:space="0" w:color="000000"/>
            </w:tcBorders>
          </w:tcPr>
          <w:p>
            <w:pPr>
              <w:pStyle w:val="TableParagraph"/>
              <w:spacing w:before="48"/>
              <w:ind w:right="127"/>
              <w:rPr>
                <w:sz w:val="20"/>
              </w:rPr>
            </w:pPr>
            <w:r>
              <w:rPr>
                <w:spacing w:val="-4"/>
                <w:sz w:val="20"/>
              </w:rPr>
              <w:t>73.9</w:t>
            </w:r>
          </w:p>
        </w:tc>
        <w:tc>
          <w:tcPr>
            <w:tcW w:w="2179" w:type="dxa"/>
            <w:tcBorders>
              <w:top w:val="single" w:sz="4" w:space="0" w:color="000000"/>
              <w:bottom w:val="single" w:sz="4" w:space="0" w:color="000000"/>
            </w:tcBorders>
          </w:tcPr>
          <w:p>
            <w:pPr>
              <w:pStyle w:val="TableParagraph"/>
              <w:spacing w:before="48"/>
              <w:ind w:right="174"/>
              <w:rPr>
                <w:sz w:val="20"/>
              </w:rPr>
            </w:pPr>
            <w:r>
              <w:rPr>
                <w:spacing w:val="-5"/>
                <w:sz w:val="20"/>
              </w:rPr>
              <w:t>3.0</w:t>
            </w:r>
          </w:p>
        </w:tc>
        <w:tc>
          <w:tcPr>
            <w:tcW w:w="1386" w:type="dxa"/>
            <w:tcBorders>
              <w:top w:val="single" w:sz="4" w:space="0" w:color="000000"/>
              <w:bottom w:val="single" w:sz="4" w:space="0" w:color="000000"/>
            </w:tcBorders>
          </w:tcPr>
          <w:p>
            <w:pPr>
              <w:pStyle w:val="TableParagraph"/>
              <w:spacing w:before="48"/>
              <w:rPr>
                <w:sz w:val="20"/>
              </w:rPr>
            </w:pPr>
            <w:r>
              <w:rPr>
                <w:spacing w:val="-2"/>
                <w:sz w:val="20"/>
              </w:rPr>
              <w:t>253.8</w:t>
            </w:r>
          </w:p>
        </w:tc>
      </w:tr>
      <w:tr>
        <w:trPr>
          <w:trHeight w:val="326" w:hRule="atLeast"/>
        </w:trPr>
        <w:tc>
          <w:tcPr>
            <w:tcW w:w="990" w:type="dxa"/>
            <w:tcBorders>
              <w:top w:val="single" w:sz="4" w:space="0" w:color="000000"/>
              <w:bottom w:val="single" w:sz="4" w:space="0" w:color="000000"/>
            </w:tcBorders>
          </w:tcPr>
          <w:p>
            <w:pPr>
              <w:pStyle w:val="TableParagraph"/>
              <w:spacing w:before="62"/>
              <w:ind w:left="14"/>
              <w:jc w:val="left"/>
              <w:rPr>
                <w:sz w:val="18"/>
              </w:rPr>
            </w:pPr>
            <w:r>
              <w:rPr>
                <w:spacing w:val="-2"/>
                <w:sz w:val="18"/>
              </w:rPr>
              <w:t>D-</w:t>
            </w:r>
            <w:r>
              <w:rPr>
                <w:spacing w:val="-10"/>
                <w:sz w:val="18"/>
              </w:rPr>
              <w:t>1</w:t>
            </w:r>
          </w:p>
        </w:tc>
        <w:tc>
          <w:tcPr>
            <w:tcW w:w="1159" w:type="dxa"/>
            <w:tcBorders>
              <w:top w:val="single" w:sz="4" w:space="0" w:color="000000"/>
              <w:bottom w:val="single" w:sz="4" w:space="0" w:color="000000"/>
            </w:tcBorders>
          </w:tcPr>
          <w:p>
            <w:pPr>
              <w:pStyle w:val="TableParagraph"/>
              <w:spacing w:before="48"/>
              <w:ind w:right="140"/>
              <w:rPr>
                <w:sz w:val="20"/>
              </w:rPr>
            </w:pPr>
            <w:r>
              <w:rPr>
                <w:spacing w:val="-2"/>
                <w:sz w:val="20"/>
              </w:rPr>
              <w:t>159.0</w:t>
            </w:r>
          </w:p>
        </w:tc>
        <w:tc>
          <w:tcPr>
            <w:tcW w:w="1683" w:type="dxa"/>
            <w:tcBorders>
              <w:top w:val="single" w:sz="4" w:space="0" w:color="000000"/>
              <w:bottom w:val="single" w:sz="4" w:space="0" w:color="000000"/>
            </w:tcBorders>
          </w:tcPr>
          <w:p>
            <w:pPr>
              <w:pStyle w:val="TableParagraph"/>
              <w:spacing w:before="48"/>
              <w:ind w:right="127"/>
              <w:rPr>
                <w:sz w:val="20"/>
              </w:rPr>
            </w:pPr>
            <w:r>
              <w:rPr>
                <w:spacing w:val="-4"/>
                <w:sz w:val="20"/>
              </w:rPr>
              <w:t>66.5</w:t>
            </w:r>
          </w:p>
        </w:tc>
        <w:tc>
          <w:tcPr>
            <w:tcW w:w="2179" w:type="dxa"/>
            <w:tcBorders>
              <w:top w:val="single" w:sz="4" w:space="0" w:color="000000"/>
              <w:bottom w:val="single" w:sz="4" w:space="0" w:color="000000"/>
            </w:tcBorders>
          </w:tcPr>
          <w:p>
            <w:pPr>
              <w:pStyle w:val="TableParagraph"/>
              <w:jc w:val="left"/>
              <w:rPr>
                <w:sz w:val="20"/>
              </w:rPr>
            </w:pPr>
          </w:p>
        </w:tc>
        <w:tc>
          <w:tcPr>
            <w:tcW w:w="1386" w:type="dxa"/>
            <w:tcBorders>
              <w:top w:val="single" w:sz="4" w:space="0" w:color="000000"/>
              <w:bottom w:val="single" w:sz="4" w:space="0" w:color="000000"/>
            </w:tcBorders>
          </w:tcPr>
          <w:p>
            <w:pPr>
              <w:pStyle w:val="TableParagraph"/>
              <w:spacing w:before="48"/>
              <w:rPr>
                <w:sz w:val="20"/>
              </w:rPr>
            </w:pPr>
            <w:r>
              <w:rPr>
                <w:spacing w:val="-2"/>
                <w:sz w:val="20"/>
              </w:rPr>
              <w:t>225.5</w:t>
            </w:r>
          </w:p>
        </w:tc>
      </w:tr>
      <w:tr>
        <w:trPr>
          <w:trHeight w:val="330" w:hRule="atLeast"/>
        </w:trPr>
        <w:tc>
          <w:tcPr>
            <w:tcW w:w="990" w:type="dxa"/>
            <w:tcBorders>
              <w:top w:val="single" w:sz="4" w:space="0" w:color="000000"/>
              <w:bottom w:val="single" w:sz="4" w:space="0" w:color="000000"/>
            </w:tcBorders>
          </w:tcPr>
          <w:p>
            <w:pPr>
              <w:pStyle w:val="TableParagraph"/>
              <w:spacing w:before="62"/>
              <w:ind w:left="14"/>
              <w:jc w:val="left"/>
              <w:rPr>
                <w:sz w:val="18"/>
              </w:rPr>
            </w:pPr>
            <w:r>
              <w:rPr>
                <w:sz w:val="18"/>
              </w:rPr>
              <w:t>P-</w:t>
            </w:r>
            <w:r>
              <w:rPr>
                <w:spacing w:val="-10"/>
                <w:sz w:val="18"/>
              </w:rPr>
              <w:t>5</w:t>
            </w:r>
          </w:p>
        </w:tc>
        <w:tc>
          <w:tcPr>
            <w:tcW w:w="1159" w:type="dxa"/>
            <w:tcBorders>
              <w:top w:val="single" w:sz="4" w:space="0" w:color="000000"/>
              <w:bottom w:val="single" w:sz="4" w:space="0" w:color="000000"/>
            </w:tcBorders>
          </w:tcPr>
          <w:p>
            <w:pPr>
              <w:pStyle w:val="TableParagraph"/>
              <w:spacing w:before="48"/>
              <w:ind w:right="140"/>
              <w:rPr>
                <w:sz w:val="20"/>
              </w:rPr>
            </w:pPr>
            <w:r>
              <w:rPr>
                <w:spacing w:val="-2"/>
                <w:sz w:val="20"/>
              </w:rPr>
              <w:t>136.3</w:t>
            </w:r>
          </w:p>
        </w:tc>
        <w:tc>
          <w:tcPr>
            <w:tcW w:w="1683" w:type="dxa"/>
            <w:tcBorders>
              <w:top w:val="single" w:sz="4" w:space="0" w:color="000000"/>
              <w:bottom w:val="single" w:sz="4" w:space="0" w:color="000000"/>
            </w:tcBorders>
          </w:tcPr>
          <w:p>
            <w:pPr>
              <w:pStyle w:val="TableParagraph"/>
              <w:spacing w:before="48"/>
              <w:ind w:right="127"/>
              <w:rPr>
                <w:sz w:val="20"/>
              </w:rPr>
            </w:pPr>
            <w:r>
              <w:rPr>
                <w:spacing w:val="-4"/>
                <w:sz w:val="20"/>
              </w:rPr>
              <w:t>57.0</w:t>
            </w:r>
          </w:p>
        </w:tc>
        <w:tc>
          <w:tcPr>
            <w:tcW w:w="2179" w:type="dxa"/>
            <w:tcBorders>
              <w:top w:val="single" w:sz="4" w:space="0" w:color="000000"/>
              <w:bottom w:val="single" w:sz="4" w:space="0" w:color="000000"/>
            </w:tcBorders>
          </w:tcPr>
          <w:p>
            <w:pPr>
              <w:pStyle w:val="TableParagraph"/>
              <w:jc w:val="left"/>
              <w:rPr>
                <w:sz w:val="20"/>
              </w:rPr>
            </w:pPr>
          </w:p>
        </w:tc>
        <w:tc>
          <w:tcPr>
            <w:tcW w:w="1386" w:type="dxa"/>
            <w:tcBorders>
              <w:top w:val="single" w:sz="4" w:space="0" w:color="000000"/>
              <w:bottom w:val="single" w:sz="4" w:space="0" w:color="000000"/>
            </w:tcBorders>
          </w:tcPr>
          <w:p>
            <w:pPr>
              <w:pStyle w:val="TableParagraph"/>
              <w:spacing w:before="48"/>
              <w:rPr>
                <w:sz w:val="20"/>
              </w:rPr>
            </w:pPr>
            <w:r>
              <w:rPr>
                <w:spacing w:val="-2"/>
                <w:sz w:val="20"/>
              </w:rPr>
              <w:t>193.3</w:t>
            </w:r>
          </w:p>
        </w:tc>
      </w:tr>
      <w:tr>
        <w:trPr>
          <w:trHeight w:val="326" w:hRule="atLeast"/>
        </w:trPr>
        <w:tc>
          <w:tcPr>
            <w:tcW w:w="990" w:type="dxa"/>
            <w:tcBorders>
              <w:top w:val="single" w:sz="4" w:space="0" w:color="000000"/>
              <w:bottom w:val="single" w:sz="4" w:space="0" w:color="000000"/>
            </w:tcBorders>
          </w:tcPr>
          <w:p>
            <w:pPr>
              <w:pStyle w:val="TableParagraph"/>
              <w:spacing w:before="62"/>
              <w:ind w:left="14"/>
              <w:jc w:val="left"/>
              <w:rPr>
                <w:sz w:val="18"/>
              </w:rPr>
            </w:pPr>
            <w:r>
              <w:rPr>
                <w:sz w:val="18"/>
              </w:rPr>
              <w:t>P-</w:t>
            </w:r>
            <w:r>
              <w:rPr>
                <w:spacing w:val="-10"/>
                <w:sz w:val="18"/>
              </w:rPr>
              <w:t>4</w:t>
            </w:r>
          </w:p>
        </w:tc>
        <w:tc>
          <w:tcPr>
            <w:tcW w:w="1159" w:type="dxa"/>
            <w:tcBorders>
              <w:top w:val="single" w:sz="4" w:space="0" w:color="000000"/>
              <w:bottom w:val="single" w:sz="4" w:space="0" w:color="000000"/>
            </w:tcBorders>
          </w:tcPr>
          <w:p>
            <w:pPr>
              <w:pStyle w:val="TableParagraph"/>
              <w:spacing w:before="48"/>
              <w:ind w:right="140"/>
              <w:rPr>
                <w:sz w:val="20"/>
              </w:rPr>
            </w:pPr>
            <w:r>
              <w:rPr>
                <w:spacing w:val="-2"/>
                <w:sz w:val="20"/>
              </w:rPr>
              <w:t>116.5</w:t>
            </w:r>
          </w:p>
        </w:tc>
        <w:tc>
          <w:tcPr>
            <w:tcW w:w="1683" w:type="dxa"/>
            <w:tcBorders>
              <w:top w:val="single" w:sz="4" w:space="0" w:color="000000"/>
              <w:bottom w:val="single" w:sz="4" w:space="0" w:color="000000"/>
            </w:tcBorders>
          </w:tcPr>
          <w:p>
            <w:pPr>
              <w:pStyle w:val="TableParagraph"/>
              <w:spacing w:before="48"/>
              <w:ind w:right="127"/>
              <w:rPr>
                <w:sz w:val="20"/>
              </w:rPr>
            </w:pPr>
            <w:r>
              <w:rPr>
                <w:spacing w:val="-4"/>
                <w:sz w:val="20"/>
              </w:rPr>
              <w:t>48.7</w:t>
            </w:r>
          </w:p>
        </w:tc>
        <w:tc>
          <w:tcPr>
            <w:tcW w:w="2179" w:type="dxa"/>
            <w:tcBorders>
              <w:top w:val="single" w:sz="4" w:space="0" w:color="000000"/>
              <w:bottom w:val="single" w:sz="4" w:space="0" w:color="000000"/>
            </w:tcBorders>
          </w:tcPr>
          <w:p>
            <w:pPr>
              <w:pStyle w:val="TableParagraph"/>
              <w:jc w:val="left"/>
              <w:rPr>
                <w:sz w:val="20"/>
              </w:rPr>
            </w:pPr>
          </w:p>
        </w:tc>
        <w:tc>
          <w:tcPr>
            <w:tcW w:w="1386" w:type="dxa"/>
            <w:tcBorders>
              <w:top w:val="single" w:sz="4" w:space="0" w:color="000000"/>
              <w:bottom w:val="single" w:sz="4" w:space="0" w:color="000000"/>
            </w:tcBorders>
          </w:tcPr>
          <w:p>
            <w:pPr>
              <w:pStyle w:val="TableParagraph"/>
              <w:spacing w:before="48"/>
              <w:rPr>
                <w:sz w:val="20"/>
              </w:rPr>
            </w:pPr>
            <w:r>
              <w:rPr>
                <w:spacing w:val="-2"/>
                <w:sz w:val="20"/>
              </w:rPr>
              <w:t>165.2</w:t>
            </w:r>
          </w:p>
        </w:tc>
      </w:tr>
      <w:tr>
        <w:trPr>
          <w:trHeight w:val="325" w:hRule="atLeast"/>
        </w:trPr>
        <w:tc>
          <w:tcPr>
            <w:tcW w:w="990" w:type="dxa"/>
            <w:tcBorders>
              <w:top w:val="single" w:sz="4" w:space="0" w:color="000000"/>
              <w:bottom w:val="single" w:sz="4" w:space="0" w:color="000000"/>
            </w:tcBorders>
          </w:tcPr>
          <w:p>
            <w:pPr>
              <w:pStyle w:val="TableParagraph"/>
              <w:spacing w:before="62"/>
              <w:ind w:left="14"/>
              <w:jc w:val="left"/>
              <w:rPr>
                <w:sz w:val="18"/>
              </w:rPr>
            </w:pPr>
            <w:r>
              <w:rPr>
                <w:sz w:val="18"/>
              </w:rPr>
              <w:t>P-</w:t>
            </w:r>
            <w:r>
              <w:rPr>
                <w:spacing w:val="-10"/>
                <w:sz w:val="18"/>
              </w:rPr>
              <w:t>3</w:t>
            </w:r>
          </w:p>
        </w:tc>
        <w:tc>
          <w:tcPr>
            <w:tcW w:w="1159" w:type="dxa"/>
            <w:tcBorders>
              <w:top w:val="single" w:sz="4" w:space="0" w:color="000000"/>
              <w:bottom w:val="single" w:sz="4" w:space="0" w:color="000000"/>
            </w:tcBorders>
          </w:tcPr>
          <w:p>
            <w:pPr>
              <w:pStyle w:val="TableParagraph"/>
              <w:spacing w:before="48"/>
              <w:ind w:right="140"/>
              <w:rPr>
                <w:sz w:val="20"/>
              </w:rPr>
            </w:pPr>
            <w:r>
              <w:rPr>
                <w:spacing w:val="-4"/>
                <w:sz w:val="20"/>
              </w:rPr>
              <w:t>96.7</w:t>
            </w:r>
          </w:p>
        </w:tc>
        <w:tc>
          <w:tcPr>
            <w:tcW w:w="1683" w:type="dxa"/>
            <w:tcBorders>
              <w:top w:val="single" w:sz="4" w:space="0" w:color="000000"/>
              <w:bottom w:val="single" w:sz="4" w:space="0" w:color="000000"/>
            </w:tcBorders>
          </w:tcPr>
          <w:p>
            <w:pPr>
              <w:pStyle w:val="TableParagraph"/>
              <w:spacing w:before="48"/>
              <w:ind w:right="127"/>
              <w:rPr>
                <w:sz w:val="20"/>
              </w:rPr>
            </w:pPr>
            <w:r>
              <w:rPr>
                <w:spacing w:val="-4"/>
                <w:sz w:val="20"/>
              </w:rPr>
              <w:t>40.4</w:t>
            </w:r>
          </w:p>
        </w:tc>
        <w:tc>
          <w:tcPr>
            <w:tcW w:w="2179" w:type="dxa"/>
            <w:tcBorders>
              <w:top w:val="single" w:sz="4" w:space="0" w:color="000000"/>
              <w:bottom w:val="single" w:sz="4" w:space="0" w:color="000000"/>
            </w:tcBorders>
          </w:tcPr>
          <w:p>
            <w:pPr>
              <w:pStyle w:val="TableParagraph"/>
              <w:jc w:val="left"/>
              <w:rPr>
                <w:sz w:val="20"/>
              </w:rPr>
            </w:pPr>
          </w:p>
        </w:tc>
        <w:tc>
          <w:tcPr>
            <w:tcW w:w="1386" w:type="dxa"/>
            <w:tcBorders>
              <w:top w:val="single" w:sz="4" w:space="0" w:color="000000"/>
              <w:bottom w:val="single" w:sz="4" w:space="0" w:color="000000"/>
            </w:tcBorders>
          </w:tcPr>
          <w:p>
            <w:pPr>
              <w:pStyle w:val="TableParagraph"/>
              <w:spacing w:before="48"/>
              <w:rPr>
                <w:sz w:val="20"/>
              </w:rPr>
            </w:pPr>
            <w:r>
              <w:rPr>
                <w:spacing w:val="-2"/>
                <w:sz w:val="20"/>
              </w:rPr>
              <w:t>137.1</w:t>
            </w:r>
          </w:p>
        </w:tc>
      </w:tr>
      <w:tr>
        <w:trPr>
          <w:trHeight w:val="326" w:hRule="atLeast"/>
        </w:trPr>
        <w:tc>
          <w:tcPr>
            <w:tcW w:w="990" w:type="dxa"/>
            <w:tcBorders>
              <w:top w:val="single" w:sz="4" w:space="0" w:color="000000"/>
              <w:bottom w:val="single" w:sz="4" w:space="0" w:color="000000"/>
            </w:tcBorders>
          </w:tcPr>
          <w:p>
            <w:pPr>
              <w:pStyle w:val="TableParagraph"/>
              <w:spacing w:before="62"/>
              <w:ind w:left="14"/>
              <w:jc w:val="left"/>
              <w:rPr>
                <w:sz w:val="18"/>
              </w:rPr>
            </w:pPr>
            <w:r>
              <w:rPr>
                <w:sz w:val="18"/>
              </w:rPr>
              <w:t>P-</w:t>
            </w:r>
            <w:r>
              <w:rPr>
                <w:spacing w:val="-10"/>
                <w:sz w:val="18"/>
              </w:rPr>
              <w:t>2</w:t>
            </w:r>
          </w:p>
        </w:tc>
        <w:tc>
          <w:tcPr>
            <w:tcW w:w="1159" w:type="dxa"/>
            <w:tcBorders>
              <w:top w:val="single" w:sz="4" w:space="0" w:color="000000"/>
              <w:bottom w:val="single" w:sz="4" w:space="0" w:color="000000"/>
            </w:tcBorders>
          </w:tcPr>
          <w:p>
            <w:pPr>
              <w:pStyle w:val="TableParagraph"/>
              <w:spacing w:before="48"/>
              <w:ind w:right="140"/>
              <w:rPr>
                <w:sz w:val="20"/>
              </w:rPr>
            </w:pPr>
            <w:r>
              <w:rPr>
                <w:spacing w:val="-4"/>
                <w:sz w:val="20"/>
              </w:rPr>
              <w:t>76.1</w:t>
            </w:r>
          </w:p>
        </w:tc>
        <w:tc>
          <w:tcPr>
            <w:tcW w:w="1683" w:type="dxa"/>
            <w:tcBorders>
              <w:top w:val="single" w:sz="4" w:space="0" w:color="000000"/>
              <w:bottom w:val="single" w:sz="4" w:space="0" w:color="000000"/>
            </w:tcBorders>
          </w:tcPr>
          <w:p>
            <w:pPr>
              <w:pStyle w:val="TableParagraph"/>
              <w:spacing w:before="48"/>
              <w:ind w:right="127"/>
              <w:rPr>
                <w:sz w:val="20"/>
              </w:rPr>
            </w:pPr>
            <w:r>
              <w:rPr>
                <w:spacing w:val="-4"/>
                <w:sz w:val="20"/>
              </w:rPr>
              <w:t>31.8</w:t>
            </w:r>
          </w:p>
        </w:tc>
        <w:tc>
          <w:tcPr>
            <w:tcW w:w="2179" w:type="dxa"/>
            <w:tcBorders>
              <w:top w:val="single" w:sz="4" w:space="0" w:color="000000"/>
              <w:bottom w:val="single" w:sz="4" w:space="0" w:color="000000"/>
            </w:tcBorders>
          </w:tcPr>
          <w:p>
            <w:pPr>
              <w:pStyle w:val="TableParagraph"/>
              <w:jc w:val="left"/>
              <w:rPr>
                <w:sz w:val="20"/>
              </w:rPr>
            </w:pPr>
          </w:p>
        </w:tc>
        <w:tc>
          <w:tcPr>
            <w:tcW w:w="1386" w:type="dxa"/>
            <w:tcBorders>
              <w:top w:val="single" w:sz="4" w:space="0" w:color="000000"/>
              <w:bottom w:val="single" w:sz="4" w:space="0" w:color="000000"/>
            </w:tcBorders>
          </w:tcPr>
          <w:p>
            <w:pPr>
              <w:pStyle w:val="TableParagraph"/>
              <w:spacing w:before="48"/>
              <w:rPr>
                <w:sz w:val="20"/>
              </w:rPr>
            </w:pPr>
            <w:r>
              <w:rPr>
                <w:spacing w:val="-2"/>
                <w:sz w:val="20"/>
              </w:rPr>
              <w:t>107.9</w:t>
            </w:r>
          </w:p>
        </w:tc>
      </w:tr>
      <w:tr>
        <w:trPr>
          <w:trHeight w:val="326" w:hRule="atLeast"/>
        </w:trPr>
        <w:tc>
          <w:tcPr>
            <w:tcW w:w="990" w:type="dxa"/>
            <w:tcBorders>
              <w:top w:val="single" w:sz="4" w:space="0" w:color="000000"/>
              <w:bottom w:val="single" w:sz="4" w:space="0" w:color="000000"/>
            </w:tcBorders>
          </w:tcPr>
          <w:p>
            <w:pPr>
              <w:pStyle w:val="TableParagraph"/>
              <w:spacing w:before="62"/>
              <w:ind w:left="14"/>
              <w:jc w:val="left"/>
              <w:rPr>
                <w:sz w:val="18"/>
              </w:rPr>
            </w:pPr>
            <w:r>
              <w:rPr>
                <w:sz w:val="18"/>
              </w:rPr>
              <w:t>P-</w:t>
            </w:r>
            <w:r>
              <w:rPr>
                <w:spacing w:val="-10"/>
                <w:sz w:val="18"/>
              </w:rPr>
              <w:t>1</w:t>
            </w:r>
          </w:p>
        </w:tc>
        <w:tc>
          <w:tcPr>
            <w:tcW w:w="1159" w:type="dxa"/>
            <w:tcBorders>
              <w:top w:val="single" w:sz="4" w:space="0" w:color="000000"/>
              <w:bottom w:val="single" w:sz="4" w:space="0" w:color="000000"/>
            </w:tcBorders>
          </w:tcPr>
          <w:p>
            <w:pPr>
              <w:pStyle w:val="TableParagraph"/>
              <w:spacing w:before="48"/>
              <w:ind w:right="140"/>
              <w:rPr>
                <w:sz w:val="20"/>
              </w:rPr>
            </w:pPr>
            <w:r>
              <w:rPr>
                <w:spacing w:val="-4"/>
                <w:sz w:val="20"/>
              </w:rPr>
              <w:t>76.1</w:t>
            </w:r>
          </w:p>
        </w:tc>
        <w:tc>
          <w:tcPr>
            <w:tcW w:w="1683" w:type="dxa"/>
            <w:tcBorders>
              <w:top w:val="single" w:sz="4" w:space="0" w:color="000000"/>
              <w:bottom w:val="single" w:sz="4" w:space="0" w:color="000000"/>
            </w:tcBorders>
          </w:tcPr>
          <w:p>
            <w:pPr>
              <w:pStyle w:val="TableParagraph"/>
              <w:spacing w:before="48"/>
              <w:ind w:right="127"/>
              <w:rPr>
                <w:sz w:val="20"/>
              </w:rPr>
            </w:pPr>
            <w:r>
              <w:rPr>
                <w:spacing w:val="-4"/>
                <w:sz w:val="20"/>
              </w:rPr>
              <w:t>31.8</w:t>
            </w:r>
          </w:p>
        </w:tc>
        <w:tc>
          <w:tcPr>
            <w:tcW w:w="2179" w:type="dxa"/>
            <w:tcBorders>
              <w:top w:val="single" w:sz="4" w:space="0" w:color="000000"/>
              <w:bottom w:val="single" w:sz="4" w:space="0" w:color="000000"/>
            </w:tcBorders>
          </w:tcPr>
          <w:p>
            <w:pPr>
              <w:pStyle w:val="TableParagraph"/>
              <w:jc w:val="left"/>
              <w:rPr>
                <w:sz w:val="20"/>
              </w:rPr>
            </w:pPr>
          </w:p>
        </w:tc>
        <w:tc>
          <w:tcPr>
            <w:tcW w:w="1386" w:type="dxa"/>
            <w:tcBorders>
              <w:top w:val="single" w:sz="4" w:space="0" w:color="000000"/>
              <w:bottom w:val="single" w:sz="4" w:space="0" w:color="000000"/>
            </w:tcBorders>
          </w:tcPr>
          <w:p>
            <w:pPr>
              <w:pStyle w:val="TableParagraph"/>
              <w:spacing w:before="48"/>
              <w:rPr>
                <w:sz w:val="20"/>
              </w:rPr>
            </w:pPr>
            <w:r>
              <w:rPr>
                <w:spacing w:val="-2"/>
                <w:sz w:val="20"/>
              </w:rPr>
              <w:t>107.9</w:t>
            </w:r>
          </w:p>
        </w:tc>
      </w:tr>
      <w:tr>
        <w:trPr>
          <w:trHeight w:val="330" w:hRule="atLeast"/>
        </w:trPr>
        <w:tc>
          <w:tcPr>
            <w:tcW w:w="990" w:type="dxa"/>
            <w:tcBorders>
              <w:top w:val="single" w:sz="4" w:space="0" w:color="000000"/>
              <w:bottom w:val="single" w:sz="4" w:space="0" w:color="000000"/>
            </w:tcBorders>
          </w:tcPr>
          <w:p>
            <w:pPr>
              <w:pStyle w:val="TableParagraph"/>
              <w:spacing w:before="62"/>
              <w:ind w:left="14"/>
              <w:jc w:val="left"/>
              <w:rPr>
                <w:sz w:val="18"/>
              </w:rPr>
            </w:pPr>
            <w:r>
              <w:rPr>
                <w:spacing w:val="-2"/>
                <w:sz w:val="18"/>
              </w:rPr>
              <w:t>GS-</w:t>
            </w:r>
            <w:r>
              <w:rPr>
                <w:spacing w:val="-5"/>
                <w:sz w:val="18"/>
              </w:rPr>
              <w:t>PL</w:t>
            </w:r>
          </w:p>
        </w:tc>
        <w:tc>
          <w:tcPr>
            <w:tcW w:w="1159" w:type="dxa"/>
            <w:tcBorders>
              <w:top w:val="single" w:sz="4" w:space="0" w:color="000000"/>
              <w:bottom w:val="single" w:sz="4" w:space="0" w:color="000000"/>
            </w:tcBorders>
          </w:tcPr>
          <w:p>
            <w:pPr>
              <w:pStyle w:val="TableParagraph"/>
              <w:spacing w:before="48"/>
              <w:ind w:right="140"/>
              <w:rPr>
                <w:sz w:val="20"/>
              </w:rPr>
            </w:pPr>
            <w:r>
              <w:rPr>
                <w:spacing w:val="-4"/>
                <w:sz w:val="20"/>
              </w:rPr>
              <w:t>71.8</w:t>
            </w:r>
          </w:p>
        </w:tc>
        <w:tc>
          <w:tcPr>
            <w:tcW w:w="1683" w:type="dxa"/>
            <w:tcBorders>
              <w:top w:val="single" w:sz="4" w:space="0" w:color="000000"/>
              <w:bottom w:val="single" w:sz="4" w:space="0" w:color="000000"/>
            </w:tcBorders>
          </w:tcPr>
          <w:p>
            <w:pPr>
              <w:pStyle w:val="TableParagraph"/>
              <w:spacing w:before="48"/>
              <w:ind w:right="127"/>
              <w:rPr>
                <w:sz w:val="20"/>
              </w:rPr>
            </w:pPr>
            <w:r>
              <w:rPr>
                <w:spacing w:val="-4"/>
                <w:sz w:val="20"/>
              </w:rPr>
              <w:t>30.0</w:t>
            </w:r>
          </w:p>
        </w:tc>
        <w:tc>
          <w:tcPr>
            <w:tcW w:w="2179" w:type="dxa"/>
            <w:tcBorders>
              <w:top w:val="single" w:sz="4" w:space="0" w:color="000000"/>
              <w:bottom w:val="single" w:sz="4" w:space="0" w:color="000000"/>
            </w:tcBorders>
          </w:tcPr>
          <w:p>
            <w:pPr>
              <w:pStyle w:val="TableParagraph"/>
              <w:jc w:val="left"/>
              <w:rPr>
                <w:sz w:val="20"/>
              </w:rPr>
            </w:pPr>
          </w:p>
        </w:tc>
        <w:tc>
          <w:tcPr>
            <w:tcW w:w="1386" w:type="dxa"/>
            <w:tcBorders>
              <w:top w:val="single" w:sz="4" w:space="0" w:color="000000"/>
              <w:bottom w:val="single" w:sz="4" w:space="0" w:color="000000"/>
            </w:tcBorders>
          </w:tcPr>
          <w:p>
            <w:pPr>
              <w:pStyle w:val="TableParagraph"/>
              <w:spacing w:before="48"/>
              <w:rPr>
                <w:sz w:val="20"/>
              </w:rPr>
            </w:pPr>
            <w:r>
              <w:rPr>
                <w:spacing w:val="-2"/>
                <w:sz w:val="20"/>
              </w:rPr>
              <w:t>101.8</w:t>
            </w:r>
          </w:p>
        </w:tc>
      </w:tr>
      <w:tr>
        <w:trPr>
          <w:trHeight w:val="326" w:hRule="atLeast"/>
        </w:trPr>
        <w:tc>
          <w:tcPr>
            <w:tcW w:w="990" w:type="dxa"/>
            <w:tcBorders>
              <w:top w:val="single" w:sz="4" w:space="0" w:color="000000"/>
              <w:bottom w:val="single" w:sz="4" w:space="0" w:color="000000"/>
            </w:tcBorders>
          </w:tcPr>
          <w:p>
            <w:pPr>
              <w:pStyle w:val="TableParagraph"/>
              <w:spacing w:before="62"/>
              <w:ind w:left="14"/>
              <w:jc w:val="left"/>
              <w:rPr>
                <w:sz w:val="18"/>
              </w:rPr>
            </w:pPr>
            <w:r>
              <w:rPr>
                <w:spacing w:val="-2"/>
                <w:sz w:val="18"/>
              </w:rPr>
              <w:t>GS-</w:t>
            </w:r>
            <w:r>
              <w:rPr>
                <w:spacing w:val="-5"/>
                <w:sz w:val="18"/>
              </w:rPr>
              <w:t>OL</w:t>
            </w:r>
          </w:p>
        </w:tc>
        <w:tc>
          <w:tcPr>
            <w:tcW w:w="1159" w:type="dxa"/>
            <w:tcBorders>
              <w:top w:val="single" w:sz="4" w:space="0" w:color="000000"/>
              <w:bottom w:val="single" w:sz="4" w:space="0" w:color="000000"/>
            </w:tcBorders>
          </w:tcPr>
          <w:p>
            <w:pPr>
              <w:pStyle w:val="TableParagraph"/>
              <w:spacing w:before="48"/>
              <w:ind w:right="140"/>
              <w:rPr>
                <w:sz w:val="20"/>
              </w:rPr>
            </w:pPr>
            <w:r>
              <w:rPr>
                <w:spacing w:val="-4"/>
                <w:sz w:val="20"/>
              </w:rPr>
              <w:t>55.6</w:t>
            </w:r>
          </w:p>
        </w:tc>
        <w:tc>
          <w:tcPr>
            <w:tcW w:w="1683" w:type="dxa"/>
            <w:tcBorders>
              <w:top w:val="single" w:sz="4" w:space="0" w:color="000000"/>
              <w:bottom w:val="single" w:sz="4" w:space="0" w:color="000000"/>
            </w:tcBorders>
          </w:tcPr>
          <w:p>
            <w:pPr>
              <w:pStyle w:val="TableParagraph"/>
              <w:spacing w:before="48"/>
              <w:ind w:right="127"/>
              <w:rPr>
                <w:sz w:val="20"/>
              </w:rPr>
            </w:pPr>
            <w:r>
              <w:rPr>
                <w:spacing w:val="-4"/>
                <w:sz w:val="20"/>
              </w:rPr>
              <w:t>23.2</w:t>
            </w:r>
          </w:p>
        </w:tc>
        <w:tc>
          <w:tcPr>
            <w:tcW w:w="2179" w:type="dxa"/>
            <w:tcBorders>
              <w:top w:val="single" w:sz="4" w:space="0" w:color="000000"/>
              <w:bottom w:val="single" w:sz="4" w:space="0" w:color="000000"/>
            </w:tcBorders>
          </w:tcPr>
          <w:p>
            <w:pPr>
              <w:pStyle w:val="TableParagraph"/>
              <w:jc w:val="left"/>
              <w:rPr>
                <w:sz w:val="20"/>
              </w:rPr>
            </w:pPr>
          </w:p>
        </w:tc>
        <w:tc>
          <w:tcPr>
            <w:tcW w:w="1386" w:type="dxa"/>
            <w:tcBorders>
              <w:top w:val="single" w:sz="4" w:space="0" w:color="000000"/>
              <w:bottom w:val="single" w:sz="4" w:space="0" w:color="000000"/>
            </w:tcBorders>
          </w:tcPr>
          <w:p>
            <w:pPr>
              <w:pStyle w:val="TableParagraph"/>
              <w:spacing w:before="48"/>
              <w:rPr>
                <w:sz w:val="20"/>
              </w:rPr>
            </w:pPr>
            <w:r>
              <w:rPr>
                <w:spacing w:val="-4"/>
                <w:sz w:val="20"/>
              </w:rPr>
              <w:t>78.8</w:t>
            </w:r>
          </w:p>
        </w:tc>
      </w:tr>
    </w:tbl>
    <w:p>
      <w:pPr>
        <w:pStyle w:val="BodyText"/>
        <w:spacing w:before="246"/>
        <w:ind w:left="2813"/>
      </w:pPr>
      <w:r>
        <w:rPr/>
        <w:t>Delayed</w:t>
      </w:r>
      <w:r>
        <w:rPr>
          <w:spacing w:val="-11"/>
        </w:rPr>
        <w:t> </w:t>
      </w:r>
      <w:r>
        <w:rPr/>
        <w:t>recruitment</w:t>
      </w:r>
      <w:r>
        <w:rPr>
          <w:spacing w:val="-4"/>
        </w:rPr>
        <w:t> </w:t>
      </w:r>
      <w:r>
        <w:rPr>
          <w:spacing w:val="-2"/>
        </w:rPr>
        <w:t>factors:</w:t>
      </w:r>
    </w:p>
    <w:p>
      <w:pPr>
        <w:pStyle w:val="ListParagraph"/>
        <w:numPr>
          <w:ilvl w:val="0"/>
          <w:numId w:val="126"/>
        </w:numPr>
        <w:tabs>
          <w:tab w:pos="2812" w:val="left" w:leader="none"/>
          <w:tab w:pos="2813" w:val="left" w:leader="none"/>
          <w:tab w:pos="8728" w:val="left" w:leader="none"/>
        </w:tabs>
        <w:spacing w:line="240" w:lineRule="auto" w:before="121" w:after="0"/>
        <w:ind w:left="2813" w:right="0" w:hanging="567"/>
        <w:jc w:val="left"/>
        <w:rPr>
          <w:sz w:val="20"/>
        </w:rPr>
      </w:pPr>
      <w:r>
        <w:rPr>
          <w:sz w:val="20"/>
        </w:rPr>
        <w:t>Existing</w:t>
      </w:r>
      <w:r>
        <w:rPr>
          <w:spacing w:val="-7"/>
          <w:sz w:val="20"/>
        </w:rPr>
        <w:t> </w:t>
      </w:r>
      <w:r>
        <w:rPr>
          <w:sz w:val="20"/>
        </w:rPr>
        <w:t>Professional</w:t>
      </w:r>
      <w:r>
        <w:rPr>
          <w:spacing w:val="-5"/>
          <w:sz w:val="20"/>
        </w:rPr>
        <w:t> </w:t>
      </w:r>
      <w:r>
        <w:rPr>
          <w:sz w:val="20"/>
        </w:rPr>
        <w:t>and</w:t>
      </w:r>
      <w:r>
        <w:rPr>
          <w:spacing w:val="-6"/>
          <w:sz w:val="20"/>
        </w:rPr>
        <w:t> </w:t>
      </w:r>
      <w:r>
        <w:rPr>
          <w:sz w:val="20"/>
        </w:rPr>
        <w:t>General</w:t>
      </w:r>
      <w:r>
        <w:rPr>
          <w:spacing w:val="-1"/>
          <w:sz w:val="20"/>
        </w:rPr>
        <w:t> </w:t>
      </w:r>
      <w:r>
        <w:rPr>
          <w:sz w:val="20"/>
        </w:rPr>
        <w:t>Service posts</w:t>
      </w:r>
      <w:r>
        <w:rPr>
          <w:spacing w:val="-8"/>
          <w:sz w:val="20"/>
        </w:rPr>
        <w:t> </w:t>
      </w:r>
      <w:r>
        <w:rPr>
          <w:sz w:val="20"/>
        </w:rPr>
        <w:t>in</w:t>
      </w:r>
      <w:r>
        <w:rPr>
          <w:spacing w:val="-1"/>
          <w:sz w:val="20"/>
        </w:rPr>
        <w:t> </w:t>
      </w:r>
      <w:r>
        <w:rPr>
          <w:sz w:val="20"/>
        </w:rPr>
        <w:t>MP</w:t>
      </w:r>
      <w:r>
        <w:rPr>
          <w:spacing w:val="-8"/>
          <w:sz w:val="20"/>
        </w:rPr>
        <w:t> </w:t>
      </w:r>
      <w:r>
        <w:rPr>
          <w:sz w:val="20"/>
        </w:rPr>
        <w:t>I</w:t>
      </w:r>
      <w:r>
        <w:rPr>
          <w:spacing w:val="-4"/>
          <w:sz w:val="20"/>
        </w:rPr>
        <w:t> </w:t>
      </w:r>
      <w:r>
        <w:rPr>
          <w:sz w:val="20"/>
        </w:rPr>
        <w:t>and</w:t>
      </w:r>
      <w:r>
        <w:rPr>
          <w:spacing w:val="-11"/>
          <w:sz w:val="20"/>
        </w:rPr>
        <w:t> </w:t>
      </w:r>
      <w:r>
        <w:rPr>
          <w:sz w:val="20"/>
        </w:rPr>
        <w:t>MP</w:t>
      </w:r>
      <w:r>
        <w:rPr>
          <w:spacing w:val="-2"/>
          <w:sz w:val="20"/>
        </w:rPr>
        <w:t> </w:t>
      </w:r>
      <w:r>
        <w:rPr>
          <w:spacing w:val="-5"/>
          <w:sz w:val="20"/>
        </w:rPr>
        <w:t>VI:</w:t>
      </w:r>
      <w:r>
        <w:rPr>
          <w:sz w:val="20"/>
        </w:rPr>
        <w:tab/>
        <w:t>5</w:t>
      </w:r>
      <w:r>
        <w:rPr>
          <w:spacing w:val="-1"/>
          <w:sz w:val="20"/>
        </w:rPr>
        <w:t> </w:t>
      </w:r>
      <w:r>
        <w:rPr>
          <w:sz w:val="20"/>
        </w:rPr>
        <w:t>per</w:t>
      </w:r>
      <w:r>
        <w:rPr>
          <w:spacing w:val="-4"/>
          <w:sz w:val="20"/>
        </w:rPr>
        <w:t> cent</w:t>
      </w:r>
    </w:p>
    <w:p>
      <w:pPr>
        <w:pStyle w:val="ListParagraph"/>
        <w:numPr>
          <w:ilvl w:val="0"/>
          <w:numId w:val="126"/>
        </w:numPr>
        <w:tabs>
          <w:tab w:pos="2812" w:val="left" w:leader="none"/>
          <w:tab w:pos="2813" w:val="left" w:leader="none"/>
          <w:tab w:pos="8728" w:val="left" w:leader="none"/>
        </w:tabs>
        <w:spacing w:line="240" w:lineRule="auto" w:before="120" w:after="0"/>
        <w:ind w:left="2813" w:right="0" w:hanging="567"/>
        <w:jc w:val="left"/>
        <w:rPr>
          <w:sz w:val="20"/>
        </w:rPr>
      </w:pPr>
      <w:r>
        <w:rPr>
          <w:sz w:val="20"/>
        </w:rPr>
        <w:t>Existing</w:t>
      </w:r>
      <w:r>
        <w:rPr>
          <w:spacing w:val="-8"/>
          <w:sz w:val="20"/>
        </w:rPr>
        <w:t> </w:t>
      </w:r>
      <w:r>
        <w:rPr>
          <w:sz w:val="20"/>
        </w:rPr>
        <w:t>Professional</w:t>
      </w:r>
      <w:r>
        <w:rPr>
          <w:spacing w:val="-6"/>
          <w:sz w:val="20"/>
        </w:rPr>
        <w:t> </w:t>
      </w:r>
      <w:r>
        <w:rPr>
          <w:sz w:val="20"/>
        </w:rPr>
        <w:t>and</w:t>
      </w:r>
      <w:r>
        <w:rPr>
          <w:spacing w:val="-8"/>
          <w:sz w:val="20"/>
        </w:rPr>
        <w:t> </w:t>
      </w:r>
      <w:r>
        <w:rPr>
          <w:sz w:val="20"/>
        </w:rPr>
        <w:t>General</w:t>
      </w:r>
      <w:r>
        <w:rPr>
          <w:spacing w:val="-6"/>
          <w:sz w:val="20"/>
        </w:rPr>
        <w:t> </w:t>
      </w:r>
      <w:r>
        <w:rPr>
          <w:sz w:val="20"/>
        </w:rPr>
        <w:t>Service</w:t>
      </w:r>
      <w:r>
        <w:rPr>
          <w:spacing w:val="-1"/>
          <w:sz w:val="20"/>
        </w:rPr>
        <w:t> </w:t>
      </w:r>
      <w:r>
        <w:rPr>
          <w:sz w:val="20"/>
        </w:rPr>
        <w:t>posts</w:t>
      </w:r>
      <w:r>
        <w:rPr>
          <w:spacing w:val="-9"/>
          <w:sz w:val="20"/>
        </w:rPr>
        <w:t> </w:t>
      </w:r>
      <w:r>
        <w:rPr>
          <w:sz w:val="20"/>
        </w:rPr>
        <w:t>in</w:t>
      </w:r>
      <w:r>
        <w:rPr>
          <w:spacing w:val="-3"/>
          <w:sz w:val="20"/>
        </w:rPr>
        <w:t> </w:t>
      </w:r>
      <w:r>
        <w:rPr>
          <w:sz w:val="20"/>
        </w:rPr>
        <w:t>MP</w:t>
      </w:r>
      <w:r>
        <w:rPr>
          <w:spacing w:val="-8"/>
          <w:sz w:val="20"/>
        </w:rPr>
        <w:t> </w:t>
      </w:r>
      <w:r>
        <w:rPr>
          <w:spacing w:val="-5"/>
          <w:sz w:val="20"/>
        </w:rPr>
        <w:t>II:</w:t>
      </w:r>
      <w:r>
        <w:rPr>
          <w:sz w:val="20"/>
        </w:rPr>
        <w:tab/>
        <w:t>8</w:t>
      </w:r>
      <w:r>
        <w:rPr>
          <w:spacing w:val="-1"/>
          <w:sz w:val="20"/>
        </w:rPr>
        <w:t> </w:t>
      </w:r>
      <w:r>
        <w:rPr>
          <w:sz w:val="20"/>
        </w:rPr>
        <w:t>per</w:t>
      </w:r>
      <w:r>
        <w:rPr>
          <w:spacing w:val="-4"/>
          <w:sz w:val="20"/>
        </w:rPr>
        <w:t> cent</w:t>
      </w:r>
    </w:p>
    <w:p>
      <w:pPr>
        <w:pStyle w:val="ListParagraph"/>
        <w:numPr>
          <w:ilvl w:val="0"/>
          <w:numId w:val="126"/>
        </w:numPr>
        <w:tabs>
          <w:tab w:pos="2812" w:val="left" w:leader="none"/>
          <w:tab w:pos="2813" w:val="left" w:leader="none"/>
          <w:tab w:pos="8728" w:val="left" w:leader="none"/>
        </w:tabs>
        <w:spacing w:line="240" w:lineRule="auto" w:before="121" w:after="0"/>
        <w:ind w:left="2813" w:right="0" w:hanging="567"/>
        <w:jc w:val="left"/>
        <w:rPr>
          <w:sz w:val="20"/>
        </w:rPr>
      </w:pPr>
      <w:r>
        <w:rPr>
          <w:sz w:val="20"/>
        </w:rPr>
        <w:t>Existing</w:t>
      </w:r>
      <w:r>
        <w:rPr>
          <w:spacing w:val="-8"/>
          <w:sz w:val="20"/>
        </w:rPr>
        <w:t> </w:t>
      </w:r>
      <w:r>
        <w:rPr>
          <w:sz w:val="20"/>
        </w:rPr>
        <w:t>Professional</w:t>
      </w:r>
      <w:r>
        <w:rPr>
          <w:spacing w:val="-6"/>
          <w:sz w:val="20"/>
        </w:rPr>
        <w:t> </w:t>
      </w:r>
      <w:r>
        <w:rPr>
          <w:sz w:val="20"/>
        </w:rPr>
        <w:t>and</w:t>
      </w:r>
      <w:r>
        <w:rPr>
          <w:spacing w:val="-8"/>
          <w:sz w:val="20"/>
        </w:rPr>
        <w:t> </w:t>
      </w:r>
      <w:r>
        <w:rPr>
          <w:sz w:val="20"/>
        </w:rPr>
        <w:t>General</w:t>
      </w:r>
      <w:r>
        <w:rPr>
          <w:spacing w:val="-6"/>
          <w:sz w:val="20"/>
        </w:rPr>
        <w:t> </w:t>
      </w:r>
      <w:r>
        <w:rPr>
          <w:sz w:val="20"/>
        </w:rPr>
        <w:t>Service</w:t>
      </w:r>
      <w:r>
        <w:rPr>
          <w:spacing w:val="-1"/>
          <w:sz w:val="20"/>
        </w:rPr>
        <w:t> </w:t>
      </w:r>
      <w:r>
        <w:rPr>
          <w:sz w:val="20"/>
        </w:rPr>
        <w:t>posts</w:t>
      </w:r>
      <w:r>
        <w:rPr>
          <w:spacing w:val="-9"/>
          <w:sz w:val="20"/>
        </w:rPr>
        <w:t> </w:t>
      </w:r>
      <w:r>
        <w:rPr>
          <w:sz w:val="20"/>
        </w:rPr>
        <w:t>in</w:t>
      </w:r>
      <w:r>
        <w:rPr>
          <w:spacing w:val="-3"/>
          <w:sz w:val="20"/>
        </w:rPr>
        <w:t> </w:t>
      </w:r>
      <w:r>
        <w:rPr>
          <w:sz w:val="20"/>
        </w:rPr>
        <w:t>MP</w:t>
      </w:r>
      <w:r>
        <w:rPr>
          <w:spacing w:val="-8"/>
          <w:sz w:val="20"/>
        </w:rPr>
        <w:t> </w:t>
      </w:r>
      <w:r>
        <w:rPr>
          <w:spacing w:val="-4"/>
          <w:sz w:val="20"/>
        </w:rPr>
        <w:t>III:</w:t>
      </w:r>
      <w:r>
        <w:rPr>
          <w:sz w:val="20"/>
        </w:rPr>
        <w:tab/>
        <w:t>12 per</w:t>
      </w:r>
      <w:r>
        <w:rPr>
          <w:spacing w:val="-4"/>
          <w:sz w:val="20"/>
        </w:rPr>
        <w:t> cent</w:t>
      </w:r>
    </w:p>
    <w:p>
      <w:pPr>
        <w:pStyle w:val="ListParagraph"/>
        <w:numPr>
          <w:ilvl w:val="0"/>
          <w:numId w:val="126"/>
        </w:numPr>
        <w:tabs>
          <w:tab w:pos="2812" w:val="left" w:leader="none"/>
          <w:tab w:pos="2813" w:val="left" w:leader="none"/>
        </w:tabs>
        <w:spacing w:line="240" w:lineRule="auto" w:before="115" w:after="0"/>
        <w:ind w:left="2813" w:right="0" w:hanging="567"/>
        <w:jc w:val="left"/>
        <w:rPr>
          <w:sz w:val="20"/>
        </w:rPr>
      </w:pPr>
      <w:r>
        <w:rPr>
          <w:spacing w:val="-4"/>
          <w:sz w:val="20"/>
        </w:rPr>
        <w:t>Existing</w:t>
      </w:r>
      <w:r>
        <w:rPr>
          <w:spacing w:val="-7"/>
          <w:sz w:val="20"/>
        </w:rPr>
        <w:t> </w:t>
      </w:r>
      <w:r>
        <w:rPr>
          <w:spacing w:val="-4"/>
          <w:sz w:val="20"/>
        </w:rPr>
        <w:t>Professional</w:t>
      </w:r>
      <w:r>
        <w:rPr>
          <w:spacing w:val="-11"/>
          <w:sz w:val="20"/>
        </w:rPr>
        <w:t> </w:t>
      </w:r>
      <w:r>
        <w:rPr>
          <w:spacing w:val="-4"/>
          <w:sz w:val="20"/>
        </w:rPr>
        <w:t>and</w:t>
      </w:r>
      <w:r>
        <w:rPr>
          <w:spacing w:val="-7"/>
          <w:sz w:val="20"/>
        </w:rPr>
        <w:t> </w:t>
      </w:r>
      <w:r>
        <w:rPr>
          <w:spacing w:val="-4"/>
          <w:sz w:val="20"/>
        </w:rPr>
        <w:t>General</w:t>
      </w:r>
      <w:r>
        <w:rPr>
          <w:spacing w:val="-11"/>
          <w:sz w:val="20"/>
        </w:rPr>
        <w:t> </w:t>
      </w:r>
      <w:r>
        <w:rPr>
          <w:spacing w:val="-4"/>
          <w:sz w:val="20"/>
        </w:rPr>
        <w:t>Service</w:t>
      </w:r>
      <w:r>
        <w:rPr>
          <w:spacing w:val="-6"/>
          <w:sz w:val="20"/>
        </w:rPr>
        <w:t> </w:t>
      </w:r>
      <w:r>
        <w:rPr>
          <w:spacing w:val="-4"/>
          <w:sz w:val="20"/>
        </w:rPr>
        <w:t>posts</w:t>
      </w:r>
      <w:r>
        <w:rPr>
          <w:spacing w:val="-9"/>
          <w:sz w:val="20"/>
        </w:rPr>
        <w:t> </w:t>
      </w:r>
      <w:r>
        <w:rPr>
          <w:spacing w:val="-4"/>
          <w:sz w:val="20"/>
        </w:rPr>
        <w:t>in</w:t>
      </w:r>
      <w:r>
        <w:rPr>
          <w:spacing w:val="-12"/>
          <w:sz w:val="20"/>
        </w:rPr>
        <w:t> </w:t>
      </w:r>
      <w:r>
        <w:rPr>
          <w:spacing w:val="-4"/>
          <w:sz w:val="20"/>
        </w:rPr>
        <w:t>MPs</w:t>
      </w:r>
      <w:r>
        <w:rPr>
          <w:spacing w:val="-8"/>
          <w:sz w:val="20"/>
        </w:rPr>
        <w:t> </w:t>
      </w:r>
      <w:r>
        <w:rPr>
          <w:spacing w:val="-4"/>
          <w:sz w:val="20"/>
        </w:rPr>
        <w:t>IV,</w:t>
      </w:r>
      <w:r>
        <w:rPr>
          <w:spacing w:val="-5"/>
          <w:sz w:val="20"/>
        </w:rPr>
        <w:t> </w:t>
      </w:r>
      <w:r>
        <w:rPr>
          <w:spacing w:val="-4"/>
          <w:sz w:val="20"/>
        </w:rPr>
        <w:t>VII-5</w:t>
      </w:r>
      <w:r>
        <w:rPr>
          <w:spacing w:val="-7"/>
          <w:sz w:val="20"/>
        </w:rPr>
        <w:t> </w:t>
      </w:r>
      <w:r>
        <w:rPr>
          <w:spacing w:val="-4"/>
          <w:sz w:val="20"/>
        </w:rPr>
        <w:t>and</w:t>
      </w:r>
      <w:r>
        <w:rPr>
          <w:spacing w:val="-7"/>
          <w:sz w:val="20"/>
        </w:rPr>
        <w:t> </w:t>
      </w:r>
      <w:r>
        <w:rPr>
          <w:spacing w:val="-4"/>
          <w:sz w:val="20"/>
        </w:rPr>
        <w:t>VII-6:</w:t>
      </w:r>
      <w:r>
        <w:rPr>
          <w:spacing w:val="-1"/>
          <w:sz w:val="20"/>
        </w:rPr>
        <w:t> </w:t>
      </w:r>
      <w:r>
        <w:rPr>
          <w:spacing w:val="-4"/>
          <w:sz w:val="20"/>
        </w:rPr>
        <w:t>0</w:t>
      </w:r>
      <w:r>
        <w:rPr>
          <w:spacing w:val="2"/>
          <w:sz w:val="20"/>
        </w:rPr>
        <w:t> </w:t>
      </w:r>
      <w:r>
        <w:rPr>
          <w:spacing w:val="-4"/>
          <w:sz w:val="20"/>
        </w:rPr>
        <w:t>per</w:t>
      </w:r>
      <w:r>
        <w:rPr>
          <w:spacing w:val="-2"/>
          <w:sz w:val="20"/>
        </w:rPr>
        <w:t> </w:t>
      </w:r>
      <w:r>
        <w:rPr>
          <w:spacing w:val="-4"/>
          <w:sz w:val="20"/>
        </w:rPr>
        <w:t>cent</w:t>
      </w:r>
    </w:p>
    <w:p>
      <w:pPr>
        <w:pStyle w:val="BodyText"/>
        <w:spacing w:before="10"/>
      </w:pPr>
    </w:p>
    <w:tbl>
      <w:tblPr>
        <w:tblW w:w="0" w:type="auto"/>
        <w:jc w:val="left"/>
        <w:tblInd w:w="2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08"/>
        <w:gridCol w:w="1535"/>
        <w:gridCol w:w="1382"/>
        <w:gridCol w:w="1435"/>
        <w:gridCol w:w="1622"/>
      </w:tblGrid>
      <w:tr>
        <w:trPr>
          <w:trHeight w:val="397" w:hRule="atLeast"/>
        </w:trPr>
        <w:tc>
          <w:tcPr>
            <w:tcW w:w="7382" w:type="dxa"/>
            <w:gridSpan w:val="5"/>
            <w:tcBorders>
              <w:top w:val="single" w:sz="4" w:space="0" w:color="000000"/>
              <w:bottom w:val="single" w:sz="4" w:space="0" w:color="000000"/>
            </w:tcBorders>
          </w:tcPr>
          <w:p>
            <w:pPr>
              <w:pStyle w:val="TableParagraph"/>
              <w:spacing w:before="67"/>
              <w:ind w:left="2564" w:right="2553"/>
              <w:jc w:val="center"/>
              <w:rPr>
                <w:i/>
                <w:sz w:val="20"/>
              </w:rPr>
            </w:pPr>
            <w:r>
              <w:rPr>
                <w:i/>
                <w:sz w:val="20"/>
              </w:rPr>
              <w:t>Delayed</w:t>
            </w:r>
            <w:r>
              <w:rPr>
                <w:i/>
                <w:spacing w:val="-10"/>
                <w:sz w:val="20"/>
              </w:rPr>
              <w:t> </w:t>
            </w:r>
            <w:r>
              <w:rPr>
                <w:i/>
                <w:sz w:val="20"/>
              </w:rPr>
              <w:t>recruitment</w:t>
            </w:r>
            <w:r>
              <w:rPr>
                <w:i/>
                <w:spacing w:val="-7"/>
                <w:sz w:val="20"/>
              </w:rPr>
              <w:t> </w:t>
            </w:r>
            <w:r>
              <w:rPr>
                <w:i/>
                <w:spacing w:val="-2"/>
                <w:sz w:val="20"/>
              </w:rPr>
              <w:t>factors</w:t>
            </w:r>
          </w:p>
        </w:tc>
      </w:tr>
      <w:tr>
        <w:trPr>
          <w:trHeight w:val="398" w:hRule="atLeast"/>
        </w:trPr>
        <w:tc>
          <w:tcPr>
            <w:tcW w:w="1408" w:type="dxa"/>
            <w:tcBorders>
              <w:top w:val="single" w:sz="4" w:space="0" w:color="000000"/>
              <w:bottom w:val="single" w:sz="4" w:space="0" w:color="000000"/>
            </w:tcBorders>
          </w:tcPr>
          <w:p>
            <w:pPr>
              <w:pStyle w:val="TableParagraph"/>
              <w:spacing w:before="86"/>
              <w:ind w:left="14"/>
              <w:jc w:val="left"/>
              <w:rPr>
                <w:i/>
                <w:sz w:val="20"/>
              </w:rPr>
            </w:pPr>
            <w:r>
              <w:rPr>
                <w:i/>
                <w:sz w:val="20"/>
              </w:rPr>
              <w:t>Post</w:t>
            </w:r>
            <w:r>
              <w:rPr>
                <w:i/>
                <w:spacing w:val="-4"/>
                <w:sz w:val="20"/>
              </w:rPr>
              <w:t> </w:t>
            </w:r>
            <w:r>
              <w:rPr>
                <w:i/>
                <w:spacing w:val="-2"/>
                <w:sz w:val="20"/>
              </w:rPr>
              <w:t>level</w:t>
            </w:r>
          </w:p>
        </w:tc>
        <w:tc>
          <w:tcPr>
            <w:tcW w:w="1535" w:type="dxa"/>
            <w:tcBorders>
              <w:top w:val="single" w:sz="4" w:space="0" w:color="000000"/>
              <w:bottom w:val="single" w:sz="4" w:space="0" w:color="000000"/>
            </w:tcBorders>
          </w:tcPr>
          <w:p>
            <w:pPr>
              <w:pStyle w:val="TableParagraph"/>
              <w:spacing w:before="86"/>
              <w:ind w:left="633"/>
              <w:jc w:val="left"/>
              <w:rPr>
                <w:i/>
                <w:sz w:val="20"/>
              </w:rPr>
            </w:pPr>
            <w:r>
              <w:rPr>
                <w:i/>
                <w:spacing w:val="-4"/>
                <w:sz w:val="20"/>
              </w:rPr>
              <w:t>(0%)</w:t>
            </w:r>
          </w:p>
        </w:tc>
        <w:tc>
          <w:tcPr>
            <w:tcW w:w="1382" w:type="dxa"/>
            <w:tcBorders>
              <w:top w:val="single" w:sz="4" w:space="0" w:color="000000"/>
              <w:bottom w:val="single" w:sz="4" w:space="0" w:color="000000"/>
            </w:tcBorders>
          </w:tcPr>
          <w:p>
            <w:pPr>
              <w:pStyle w:val="TableParagraph"/>
              <w:spacing w:before="86"/>
              <w:ind w:left="449" w:right="443"/>
              <w:jc w:val="center"/>
              <w:rPr>
                <w:i/>
                <w:sz w:val="20"/>
              </w:rPr>
            </w:pPr>
            <w:r>
              <w:rPr>
                <w:i/>
                <w:spacing w:val="-4"/>
                <w:sz w:val="20"/>
              </w:rPr>
              <w:t>(5%)</w:t>
            </w:r>
          </w:p>
        </w:tc>
        <w:tc>
          <w:tcPr>
            <w:tcW w:w="1435" w:type="dxa"/>
            <w:tcBorders>
              <w:top w:val="single" w:sz="4" w:space="0" w:color="000000"/>
              <w:bottom w:val="single" w:sz="4" w:space="0" w:color="000000"/>
            </w:tcBorders>
          </w:tcPr>
          <w:p>
            <w:pPr>
              <w:pStyle w:val="TableParagraph"/>
              <w:spacing w:before="86"/>
              <w:ind w:left="481"/>
              <w:jc w:val="left"/>
              <w:rPr>
                <w:i/>
                <w:sz w:val="20"/>
              </w:rPr>
            </w:pPr>
            <w:r>
              <w:rPr>
                <w:i/>
                <w:spacing w:val="-4"/>
                <w:sz w:val="20"/>
              </w:rPr>
              <w:t>(8%)</w:t>
            </w:r>
          </w:p>
        </w:tc>
        <w:tc>
          <w:tcPr>
            <w:tcW w:w="1622" w:type="dxa"/>
            <w:tcBorders>
              <w:top w:val="single" w:sz="4" w:space="0" w:color="000000"/>
              <w:bottom w:val="single" w:sz="4" w:space="0" w:color="000000"/>
            </w:tcBorders>
          </w:tcPr>
          <w:p>
            <w:pPr>
              <w:pStyle w:val="TableParagraph"/>
              <w:spacing w:before="86"/>
              <w:ind w:left="525"/>
              <w:jc w:val="left"/>
              <w:rPr>
                <w:i/>
                <w:sz w:val="20"/>
              </w:rPr>
            </w:pPr>
            <w:r>
              <w:rPr>
                <w:i/>
                <w:spacing w:val="-2"/>
                <w:sz w:val="20"/>
              </w:rPr>
              <w:t>(12%)</w:t>
            </w:r>
          </w:p>
        </w:tc>
      </w:tr>
      <w:tr>
        <w:trPr>
          <w:trHeight w:val="397" w:hRule="atLeast"/>
        </w:trPr>
        <w:tc>
          <w:tcPr>
            <w:tcW w:w="1408" w:type="dxa"/>
            <w:tcBorders>
              <w:top w:val="single" w:sz="4" w:space="0" w:color="000000"/>
              <w:bottom w:val="single" w:sz="4" w:space="0" w:color="000000"/>
            </w:tcBorders>
          </w:tcPr>
          <w:p>
            <w:pPr>
              <w:pStyle w:val="TableParagraph"/>
              <w:spacing w:before="82"/>
              <w:ind w:left="14"/>
              <w:jc w:val="left"/>
              <w:rPr>
                <w:sz w:val="20"/>
              </w:rPr>
            </w:pPr>
            <w:r>
              <w:rPr>
                <w:spacing w:val="-5"/>
                <w:sz w:val="20"/>
              </w:rPr>
              <w:t>USG</w:t>
            </w:r>
          </w:p>
        </w:tc>
        <w:tc>
          <w:tcPr>
            <w:tcW w:w="1535" w:type="dxa"/>
            <w:tcBorders>
              <w:top w:val="single" w:sz="4" w:space="0" w:color="000000"/>
              <w:bottom w:val="single" w:sz="4" w:space="0" w:color="000000"/>
            </w:tcBorders>
          </w:tcPr>
          <w:p>
            <w:pPr>
              <w:pStyle w:val="TableParagraph"/>
              <w:spacing w:before="82"/>
              <w:ind w:left="609"/>
              <w:jc w:val="left"/>
              <w:rPr>
                <w:sz w:val="20"/>
              </w:rPr>
            </w:pPr>
            <w:r>
              <w:rPr>
                <w:spacing w:val="-2"/>
                <w:sz w:val="20"/>
              </w:rPr>
              <w:t>277.4</w:t>
            </w:r>
          </w:p>
        </w:tc>
        <w:tc>
          <w:tcPr>
            <w:tcW w:w="1382" w:type="dxa"/>
            <w:tcBorders>
              <w:top w:val="single" w:sz="4" w:space="0" w:color="000000"/>
              <w:bottom w:val="single" w:sz="4" w:space="0" w:color="000000"/>
            </w:tcBorders>
          </w:tcPr>
          <w:p>
            <w:pPr>
              <w:pStyle w:val="TableParagraph"/>
              <w:spacing w:before="82"/>
              <w:ind w:left="459" w:right="443"/>
              <w:jc w:val="center"/>
              <w:rPr>
                <w:sz w:val="20"/>
              </w:rPr>
            </w:pPr>
            <w:r>
              <w:rPr>
                <w:spacing w:val="-2"/>
                <w:sz w:val="20"/>
              </w:rPr>
              <w:t>263.5</w:t>
            </w:r>
          </w:p>
        </w:tc>
        <w:tc>
          <w:tcPr>
            <w:tcW w:w="1435" w:type="dxa"/>
            <w:tcBorders>
              <w:top w:val="single" w:sz="4" w:space="0" w:color="000000"/>
              <w:bottom w:val="single" w:sz="4" w:space="0" w:color="000000"/>
            </w:tcBorders>
          </w:tcPr>
          <w:p>
            <w:pPr>
              <w:pStyle w:val="TableParagraph"/>
              <w:spacing w:before="82"/>
              <w:ind w:left="457"/>
              <w:jc w:val="left"/>
              <w:rPr>
                <w:sz w:val="20"/>
              </w:rPr>
            </w:pPr>
            <w:r>
              <w:rPr>
                <w:spacing w:val="-2"/>
                <w:sz w:val="20"/>
              </w:rPr>
              <w:t>255.2</w:t>
            </w:r>
          </w:p>
        </w:tc>
        <w:tc>
          <w:tcPr>
            <w:tcW w:w="1622" w:type="dxa"/>
            <w:tcBorders>
              <w:top w:val="single" w:sz="4" w:space="0" w:color="000000"/>
              <w:bottom w:val="single" w:sz="4" w:space="0" w:color="000000"/>
            </w:tcBorders>
          </w:tcPr>
          <w:p>
            <w:pPr>
              <w:pStyle w:val="TableParagraph"/>
              <w:spacing w:before="82"/>
              <w:ind w:left="549"/>
              <w:jc w:val="left"/>
              <w:rPr>
                <w:sz w:val="20"/>
              </w:rPr>
            </w:pPr>
            <w:r>
              <w:rPr>
                <w:spacing w:val="-2"/>
                <w:sz w:val="20"/>
              </w:rPr>
              <w:t>244.1</w:t>
            </w:r>
          </w:p>
        </w:tc>
      </w:tr>
      <w:tr>
        <w:trPr>
          <w:trHeight w:val="398" w:hRule="atLeast"/>
        </w:trPr>
        <w:tc>
          <w:tcPr>
            <w:tcW w:w="1408" w:type="dxa"/>
            <w:tcBorders>
              <w:top w:val="single" w:sz="4" w:space="0" w:color="000000"/>
              <w:bottom w:val="single" w:sz="4" w:space="0" w:color="000000"/>
            </w:tcBorders>
          </w:tcPr>
          <w:p>
            <w:pPr>
              <w:pStyle w:val="TableParagraph"/>
              <w:spacing w:before="82"/>
              <w:ind w:left="14"/>
              <w:jc w:val="left"/>
              <w:rPr>
                <w:sz w:val="20"/>
              </w:rPr>
            </w:pPr>
            <w:r>
              <w:rPr>
                <w:spacing w:val="-5"/>
                <w:sz w:val="20"/>
              </w:rPr>
              <w:t>ASG</w:t>
            </w:r>
          </w:p>
        </w:tc>
        <w:tc>
          <w:tcPr>
            <w:tcW w:w="1535" w:type="dxa"/>
            <w:tcBorders>
              <w:top w:val="single" w:sz="4" w:space="0" w:color="000000"/>
              <w:bottom w:val="single" w:sz="4" w:space="0" w:color="000000"/>
            </w:tcBorders>
          </w:tcPr>
          <w:p>
            <w:pPr>
              <w:pStyle w:val="TableParagraph"/>
              <w:spacing w:before="82"/>
              <w:ind w:left="609"/>
              <w:jc w:val="left"/>
              <w:rPr>
                <w:sz w:val="20"/>
              </w:rPr>
            </w:pPr>
            <w:r>
              <w:rPr>
                <w:spacing w:val="-2"/>
                <w:sz w:val="20"/>
              </w:rPr>
              <w:t>253.8</w:t>
            </w:r>
          </w:p>
        </w:tc>
        <w:tc>
          <w:tcPr>
            <w:tcW w:w="1382" w:type="dxa"/>
            <w:tcBorders>
              <w:top w:val="single" w:sz="4" w:space="0" w:color="000000"/>
              <w:bottom w:val="single" w:sz="4" w:space="0" w:color="000000"/>
            </w:tcBorders>
          </w:tcPr>
          <w:p>
            <w:pPr>
              <w:pStyle w:val="TableParagraph"/>
              <w:spacing w:before="82"/>
              <w:ind w:left="459" w:right="443"/>
              <w:jc w:val="center"/>
              <w:rPr>
                <w:sz w:val="20"/>
              </w:rPr>
            </w:pPr>
            <w:r>
              <w:rPr>
                <w:spacing w:val="-2"/>
                <w:sz w:val="20"/>
              </w:rPr>
              <w:t>241.1</w:t>
            </w:r>
          </w:p>
        </w:tc>
        <w:tc>
          <w:tcPr>
            <w:tcW w:w="1435" w:type="dxa"/>
            <w:tcBorders>
              <w:top w:val="single" w:sz="4" w:space="0" w:color="000000"/>
              <w:bottom w:val="single" w:sz="4" w:space="0" w:color="000000"/>
            </w:tcBorders>
          </w:tcPr>
          <w:p>
            <w:pPr>
              <w:pStyle w:val="TableParagraph"/>
              <w:spacing w:before="82"/>
              <w:ind w:left="457"/>
              <w:jc w:val="left"/>
              <w:rPr>
                <w:sz w:val="20"/>
              </w:rPr>
            </w:pPr>
            <w:r>
              <w:rPr>
                <w:spacing w:val="-2"/>
                <w:sz w:val="20"/>
              </w:rPr>
              <w:t>233.5</w:t>
            </w:r>
          </w:p>
        </w:tc>
        <w:tc>
          <w:tcPr>
            <w:tcW w:w="1622" w:type="dxa"/>
            <w:tcBorders>
              <w:top w:val="single" w:sz="4" w:space="0" w:color="000000"/>
              <w:bottom w:val="single" w:sz="4" w:space="0" w:color="000000"/>
            </w:tcBorders>
          </w:tcPr>
          <w:p>
            <w:pPr>
              <w:pStyle w:val="TableParagraph"/>
              <w:spacing w:before="82"/>
              <w:ind w:left="549"/>
              <w:jc w:val="left"/>
              <w:rPr>
                <w:sz w:val="20"/>
              </w:rPr>
            </w:pPr>
            <w:r>
              <w:rPr>
                <w:spacing w:val="-2"/>
                <w:sz w:val="20"/>
              </w:rPr>
              <w:t>223.3</w:t>
            </w:r>
          </w:p>
        </w:tc>
      </w:tr>
      <w:tr>
        <w:trPr>
          <w:trHeight w:val="393" w:hRule="atLeast"/>
        </w:trPr>
        <w:tc>
          <w:tcPr>
            <w:tcW w:w="1408" w:type="dxa"/>
            <w:tcBorders>
              <w:top w:val="single" w:sz="4" w:space="0" w:color="000000"/>
              <w:bottom w:val="single" w:sz="4" w:space="0" w:color="000000"/>
            </w:tcBorders>
          </w:tcPr>
          <w:p>
            <w:pPr>
              <w:pStyle w:val="TableParagraph"/>
              <w:spacing w:before="82"/>
              <w:ind w:left="14"/>
              <w:jc w:val="left"/>
              <w:rPr>
                <w:sz w:val="20"/>
              </w:rPr>
            </w:pPr>
            <w:r>
              <w:rPr>
                <w:spacing w:val="-2"/>
                <w:sz w:val="20"/>
              </w:rPr>
              <w:t>D-</w:t>
            </w:r>
            <w:r>
              <w:rPr>
                <w:spacing w:val="-10"/>
                <w:sz w:val="20"/>
              </w:rPr>
              <w:t>1</w:t>
            </w:r>
          </w:p>
        </w:tc>
        <w:tc>
          <w:tcPr>
            <w:tcW w:w="1535" w:type="dxa"/>
            <w:tcBorders>
              <w:top w:val="single" w:sz="4" w:space="0" w:color="000000"/>
              <w:bottom w:val="single" w:sz="4" w:space="0" w:color="000000"/>
            </w:tcBorders>
          </w:tcPr>
          <w:p>
            <w:pPr>
              <w:pStyle w:val="TableParagraph"/>
              <w:spacing w:before="82"/>
              <w:ind w:left="609"/>
              <w:jc w:val="left"/>
              <w:rPr>
                <w:sz w:val="20"/>
              </w:rPr>
            </w:pPr>
            <w:r>
              <w:rPr>
                <w:spacing w:val="-2"/>
                <w:sz w:val="20"/>
              </w:rPr>
              <w:t>225.5</w:t>
            </w:r>
          </w:p>
        </w:tc>
        <w:tc>
          <w:tcPr>
            <w:tcW w:w="1382" w:type="dxa"/>
            <w:tcBorders>
              <w:top w:val="single" w:sz="4" w:space="0" w:color="000000"/>
              <w:bottom w:val="single" w:sz="4" w:space="0" w:color="000000"/>
            </w:tcBorders>
          </w:tcPr>
          <w:p>
            <w:pPr>
              <w:pStyle w:val="TableParagraph"/>
              <w:spacing w:before="82"/>
              <w:ind w:left="459" w:right="443"/>
              <w:jc w:val="center"/>
              <w:rPr>
                <w:sz w:val="20"/>
              </w:rPr>
            </w:pPr>
            <w:r>
              <w:rPr>
                <w:spacing w:val="-2"/>
                <w:sz w:val="20"/>
              </w:rPr>
              <w:t>214.2</w:t>
            </w:r>
          </w:p>
        </w:tc>
        <w:tc>
          <w:tcPr>
            <w:tcW w:w="1435" w:type="dxa"/>
            <w:tcBorders>
              <w:top w:val="single" w:sz="4" w:space="0" w:color="000000"/>
              <w:bottom w:val="single" w:sz="4" w:space="0" w:color="000000"/>
            </w:tcBorders>
          </w:tcPr>
          <w:p>
            <w:pPr>
              <w:pStyle w:val="TableParagraph"/>
              <w:spacing w:before="82"/>
              <w:ind w:left="457"/>
              <w:jc w:val="left"/>
              <w:rPr>
                <w:sz w:val="20"/>
              </w:rPr>
            </w:pPr>
            <w:r>
              <w:rPr>
                <w:spacing w:val="-2"/>
                <w:sz w:val="20"/>
              </w:rPr>
              <w:t>207.5</w:t>
            </w:r>
          </w:p>
        </w:tc>
        <w:tc>
          <w:tcPr>
            <w:tcW w:w="1622" w:type="dxa"/>
            <w:tcBorders>
              <w:top w:val="single" w:sz="4" w:space="0" w:color="000000"/>
              <w:bottom w:val="single" w:sz="4" w:space="0" w:color="000000"/>
            </w:tcBorders>
          </w:tcPr>
          <w:p>
            <w:pPr>
              <w:pStyle w:val="TableParagraph"/>
              <w:spacing w:before="82"/>
              <w:ind w:left="549"/>
              <w:jc w:val="left"/>
              <w:rPr>
                <w:sz w:val="20"/>
              </w:rPr>
            </w:pPr>
            <w:r>
              <w:rPr>
                <w:spacing w:val="-2"/>
                <w:sz w:val="20"/>
              </w:rPr>
              <w:t>198.4</w:t>
            </w:r>
          </w:p>
        </w:tc>
      </w:tr>
      <w:tr>
        <w:trPr>
          <w:trHeight w:val="395" w:hRule="atLeast"/>
        </w:trPr>
        <w:tc>
          <w:tcPr>
            <w:tcW w:w="1408" w:type="dxa"/>
            <w:tcBorders>
              <w:top w:val="single" w:sz="4" w:space="0" w:color="000000"/>
              <w:bottom w:val="single" w:sz="6" w:space="0" w:color="000000"/>
            </w:tcBorders>
          </w:tcPr>
          <w:p>
            <w:pPr>
              <w:pStyle w:val="TableParagraph"/>
              <w:spacing w:before="86"/>
              <w:ind w:left="14"/>
              <w:jc w:val="left"/>
              <w:rPr>
                <w:sz w:val="20"/>
              </w:rPr>
            </w:pPr>
            <w:r>
              <w:rPr>
                <w:spacing w:val="-2"/>
                <w:sz w:val="20"/>
              </w:rPr>
              <w:t>P-</w:t>
            </w:r>
            <w:r>
              <w:rPr>
                <w:spacing w:val="-10"/>
                <w:sz w:val="20"/>
              </w:rPr>
              <w:t>5</w:t>
            </w:r>
          </w:p>
        </w:tc>
        <w:tc>
          <w:tcPr>
            <w:tcW w:w="1535" w:type="dxa"/>
            <w:tcBorders>
              <w:top w:val="single" w:sz="4" w:space="0" w:color="000000"/>
              <w:bottom w:val="single" w:sz="6" w:space="0" w:color="000000"/>
            </w:tcBorders>
          </w:tcPr>
          <w:p>
            <w:pPr>
              <w:pStyle w:val="TableParagraph"/>
              <w:spacing w:before="86"/>
              <w:ind w:left="609"/>
              <w:jc w:val="left"/>
              <w:rPr>
                <w:sz w:val="20"/>
              </w:rPr>
            </w:pPr>
            <w:r>
              <w:rPr>
                <w:spacing w:val="-2"/>
                <w:sz w:val="20"/>
              </w:rPr>
              <w:t>193.3</w:t>
            </w:r>
          </w:p>
        </w:tc>
        <w:tc>
          <w:tcPr>
            <w:tcW w:w="1382" w:type="dxa"/>
            <w:tcBorders>
              <w:top w:val="single" w:sz="4" w:space="0" w:color="000000"/>
              <w:bottom w:val="single" w:sz="6" w:space="0" w:color="000000"/>
            </w:tcBorders>
          </w:tcPr>
          <w:p>
            <w:pPr>
              <w:pStyle w:val="TableParagraph"/>
              <w:spacing w:before="86"/>
              <w:ind w:left="459" w:right="443"/>
              <w:jc w:val="center"/>
              <w:rPr>
                <w:sz w:val="20"/>
              </w:rPr>
            </w:pPr>
            <w:r>
              <w:rPr>
                <w:spacing w:val="-2"/>
                <w:sz w:val="20"/>
              </w:rPr>
              <w:t>183.6</w:t>
            </w:r>
          </w:p>
        </w:tc>
        <w:tc>
          <w:tcPr>
            <w:tcW w:w="1435" w:type="dxa"/>
            <w:tcBorders>
              <w:top w:val="single" w:sz="4" w:space="0" w:color="000000"/>
              <w:bottom w:val="single" w:sz="6" w:space="0" w:color="000000"/>
            </w:tcBorders>
          </w:tcPr>
          <w:p>
            <w:pPr>
              <w:pStyle w:val="TableParagraph"/>
              <w:spacing w:before="86"/>
              <w:ind w:left="457"/>
              <w:jc w:val="left"/>
              <w:rPr>
                <w:sz w:val="20"/>
              </w:rPr>
            </w:pPr>
            <w:r>
              <w:rPr>
                <w:spacing w:val="-2"/>
                <w:sz w:val="20"/>
              </w:rPr>
              <w:t>177.8</w:t>
            </w:r>
          </w:p>
        </w:tc>
        <w:tc>
          <w:tcPr>
            <w:tcW w:w="1622" w:type="dxa"/>
            <w:tcBorders>
              <w:top w:val="single" w:sz="4" w:space="0" w:color="000000"/>
              <w:bottom w:val="single" w:sz="6" w:space="0" w:color="000000"/>
            </w:tcBorders>
          </w:tcPr>
          <w:p>
            <w:pPr>
              <w:pStyle w:val="TableParagraph"/>
              <w:spacing w:before="86"/>
              <w:ind w:left="549"/>
              <w:jc w:val="left"/>
              <w:rPr>
                <w:sz w:val="20"/>
              </w:rPr>
            </w:pPr>
            <w:r>
              <w:rPr>
                <w:spacing w:val="-2"/>
                <w:sz w:val="20"/>
              </w:rPr>
              <w:t>170.1</w:t>
            </w:r>
          </w:p>
        </w:tc>
      </w:tr>
      <w:tr>
        <w:trPr>
          <w:trHeight w:val="395" w:hRule="atLeast"/>
        </w:trPr>
        <w:tc>
          <w:tcPr>
            <w:tcW w:w="1408" w:type="dxa"/>
            <w:tcBorders>
              <w:top w:val="single" w:sz="6" w:space="0" w:color="000000"/>
              <w:bottom w:val="single" w:sz="4" w:space="0" w:color="000000"/>
            </w:tcBorders>
          </w:tcPr>
          <w:p>
            <w:pPr>
              <w:pStyle w:val="TableParagraph"/>
              <w:spacing w:before="84"/>
              <w:ind w:left="14"/>
              <w:jc w:val="left"/>
              <w:rPr>
                <w:sz w:val="20"/>
              </w:rPr>
            </w:pPr>
            <w:r>
              <w:rPr>
                <w:spacing w:val="-2"/>
                <w:sz w:val="20"/>
              </w:rPr>
              <w:t>P-</w:t>
            </w:r>
            <w:r>
              <w:rPr>
                <w:spacing w:val="-10"/>
                <w:sz w:val="20"/>
              </w:rPr>
              <w:t>4</w:t>
            </w:r>
          </w:p>
        </w:tc>
        <w:tc>
          <w:tcPr>
            <w:tcW w:w="1535" w:type="dxa"/>
            <w:tcBorders>
              <w:top w:val="single" w:sz="6" w:space="0" w:color="000000"/>
              <w:bottom w:val="single" w:sz="4" w:space="0" w:color="000000"/>
            </w:tcBorders>
          </w:tcPr>
          <w:p>
            <w:pPr>
              <w:pStyle w:val="TableParagraph"/>
              <w:spacing w:before="84"/>
              <w:ind w:left="609"/>
              <w:jc w:val="left"/>
              <w:rPr>
                <w:sz w:val="20"/>
              </w:rPr>
            </w:pPr>
            <w:r>
              <w:rPr>
                <w:spacing w:val="-2"/>
                <w:sz w:val="20"/>
              </w:rPr>
              <w:t>165.2</w:t>
            </w:r>
          </w:p>
        </w:tc>
        <w:tc>
          <w:tcPr>
            <w:tcW w:w="1382" w:type="dxa"/>
            <w:tcBorders>
              <w:top w:val="single" w:sz="6" w:space="0" w:color="000000"/>
              <w:bottom w:val="single" w:sz="4" w:space="0" w:color="000000"/>
            </w:tcBorders>
          </w:tcPr>
          <w:p>
            <w:pPr>
              <w:pStyle w:val="TableParagraph"/>
              <w:spacing w:before="84"/>
              <w:ind w:left="459" w:right="443"/>
              <w:jc w:val="center"/>
              <w:rPr>
                <w:sz w:val="20"/>
              </w:rPr>
            </w:pPr>
            <w:r>
              <w:rPr>
                <w:spacing w:val="-2"/>
                <w:sz w:val="20"/>
              </w:rPr>
              <w:t>156.9</w:t>
            </w:r>
          </w:p>
        </w:tc>
        <w:tc>
          <w:tcPr>
            <w:tcW w:w="1435" w:type="dxa"/>
            <w:tcBorders>
              <w:top w:val="single" w:sz="6" w:space="0" w:color="000000"/>
              <w:bottom w:val="single" w:sz="4" w:space="0" w:color="000000"/>
            </w:tcBorders>
          </w:tcPr>
          <w:p>
            <w:pPr>
              <w:pStyle w:val="TableParagraph"/>
              <w:spacing w:before="84"/>
              <w:ind w:left="457"/>
              <w:jc w:val="left"/>
              <w:rPr>
                <w:sz w:val="20"/>
              </w:rPr>
            </w:pPr>
            <w:r>
              <w:rPr>
                <w:spacing w:val="-2"/>
                <w:sz w:val="20"/>
              </w:rPr>
              <w:t>152.0</w:t>
            </w:r>
          </w:p>
        </w:tc>
        <w:tc>
          <w:tcPr>
            <w:tcW w:w="1622" w:type="dxa"/>
            <w:tcBorders>
              <w:top w:val="single" w:sz="6" w:space="0" w:color="000000"/>
              <w:bottom w:val="single" w:sz="4" w:space="0" w:color="000000"/>
            </w:tcBorders>
          </w:tcPr>
          <w:p>
            <w:pPr>
              <w:pStyle w:val="TableParagraph"/>
              <w:spacing w:before="84"/>
              <w:ind w:left="549"/>
              <w:jc w:val="left"/>
              <w:rPr>
                <w:sz w:val="20"/>
              </w:rPr>
            </w:pPr>
            <w:r>
              <w:rPr>
                <w:spacing w:val="-2"/>
                <w:sz w:val="20"/>
              </w:rPr>
              <w:t>145.4</w:t>
            </w:r>
          </w:p>
        </w:tc>
      </w:tr>
      <w:tr>
        <w:trPr>
          <w:trHeight w:val="398" w:hRule="atLeast"/>
        </w:trPr>
        <w:tc>
          <w:tcPr>
            <w:tcW w:w="1408" w:type="dxa"/>
            <w:tcBorders>
              <w:top w:val="single" w:sz="4" w:space="0" w:color="000000"/>
              <w:bottom w:val="single" w:sz="4" w:space="0" w:color="000000"/>
            </w:tcBorders>
          </w:tcPr>
          <w:p>
            <w:pPr>
              <w:pStyle w:val="TableParagraph"/>
              <w:spacing w:before="82"/>
              <w:ind w:left="14"/>
              <w:jc w:val="left"/>
              <w:rPr>
                <w:sz w:val="20"/>
              </w:rPr>
            </w:pPr>
            <w:r>
              <w:rPr>
                <w:spacing w:val="-2"/>
                <w:sz w:val="20"/>
              </w:rPr>
              <w:t>P-</w:t>
            </w:r>
            <w:r>
              <w:rPr>
                <w:spacing w:val="-10"/>
                <w:sz w:val="20"/>
              </w:rPr>
              <w:t>3</w:t>
            </w:r>
          </w:p>
        </w:tc>
        <w:tc>
          <w:tcPr>
            <w:tcW w:w="1535" w:type="dxa"/>
            <w:tcBorders>
              <w:top w:val="single" w:sz="4" w:space="0" w:color="000000"/>
              <w:bottom w:val="single" w:sz="4" w:space="0" w:color="000000"/>
            </w:tcBorders>
          </w:tcPr>
          <w:p>
            <w:pPr>
              <w:pStyle w:val="TableParagraph"/>
              <w:spacing w:before="82"/>
              <w:ind w:left="609"/>
              <w:jc w:val="left"/>
              <w:rPr>
                <w:sz w:val="20"/>
              </w:rPr>
            </w:pPr>
            <w:r>
              <w:rPr>
                <w:spacing w:val="-2"/>
                <w:sz w:val="20"/>
              </w:rPr>
              <w:t>137.1</w:t>
            </w:r>
          </w:p>
        </w:tc>
        <w:tc>
          <w:tcPr>
            <w:tcW w:w="1382" w:type="dxa"/>
            <w:tcBorders>
              <w:top w:val="single" w:sz="4" w:space="0" w:color="000000"/>
              <w:bottom w:val="single" w:sz="4" w:space="0" w:color="000000"/>
            </w:tcBorders>
          </w:tcPr>
          <w:p>
            <w:pPr>
              <w:pStyle w:val="TableParagraph"/>
              <w:spacing w:before="82"/>
              <w:ind w:left="459" w:right="443"/>
              <w:jc w:val="center"/>
              <w:rPr>
                <w:sz w:val="20"/>
              </w:rPr>
            </w:pPr>
            <w:r>
              <w:rPr>
                <w:spacing w:val="-2"/>
                <w:sz w:val="20"/>
              </w:rPr>
              <w:t>130.2</w:t>
            </w:r>
          </w:p>
        </w:tc>
        <w:tc>
          <w:tcPr>
            <w:tcW w:w="1435" w:type="dxa"/>
            <w:tcBorders>
              <w:top w:val="single" w:sz="4" w:space="0" w:color="000000"/>
              <w:bottom w:val="single" w:sz="4" w:space="0" w:color="000000"/>
            </w:tcBorders>
          </w:tcPr>
          <w:p>
            <w:pPr>
              <w:pStyle w:val="TableParagraph"/>
              <w:spacing w:before="82"/>
              <w:ind w:left="457"/>
              <w:jc w:val="left"/>
              <w:rPr>
                <w:sz w:val="20"/>
              </w:rPr>
            </w:pPr>
            <w:r>
              <w:rPr>
                <w:spacing w:val="-2"/>
                <w:sz w:val="20"/>
              </w:rPr>
              <w:t>126.1</w:t>
            </w:r>
          </w:p>
        </w:tc>
        <w:tc>
          <w:tcPr>
            <w:tcW w:w="1622" w:type="dxa"/>
            <w:tcBorders>
              <w:top w:val="single" w:sz="4" w:space="0" w:color="000000"/>
              <w:bottom w:val="single" w:sz="4" w:space="0" w:color="000000"/>
            </w:tcBorders>
          </w:tcPr>
          <w:p>
            <w:pPr>
              <w:pStyle w:val="TableParagraph"/>
              <w:spacing w:before="82"/>
              <w:ind w:left="549"/>
              <w:jc w:val="left"/>
              <w:rPr>
                <w:sz w:val="20"/>
              </w:rPr>
            </w:pPr>
            <w:r>
              <w:rPr>
                <w:spacing w:val="-2"/>
                <w:sz w:val="20"/>
              </w:rPr>
              <w:t>120.6</w:t>
            </w:r>
          </w:p>
        </w:tc>
      </w:tr>
      <w:tr>
        <w:trPr>
          <w:trHeight w:val="398" w:hRule="atLeast"/>
        </w:trPr>
        <w:tc>
          <w:tcPr>
            <w:tcW w:w="1408" w:type="dxa"/>
            <w:tcBorders>
              <w:top w:val="single" w:sz="4" w:space="0" w:color="000000"/>
              <w:bottom w:val="single" w:sz="4" w:space="0" w:color="000000"/>
            </w:tcBorders>
          </w:tcPr>
          <w:p>
            <w:pPr>
              <w:pStyle w:val="TableParagraph"/>
              <w:spacing w:before="82"/>
              <w:ind w:left="14"/>
              <w:jc w:val="left"/>
              <w:rPr>
                <w:sz w:val="20"/>
              </w:rPr>
            </w:pPr>
            <w:r>
              <w:rPr>
                <w:spacing w:val="-2"/>
                <w:sz w:val="20"/>
              </w:rPr>
              <w:t>P-</w:t>
            </w:r>
            <w:r>
              <w:rPr>
                <w:spacing w:val="-10"/>
                <w:sz w:val="20"/>
              </w:rPr>
              <w:t>2</w:t>
            </w:r>
          </w:p>
        </w:tc>
        <w:tc>
          <w:tcPr>
            <w:tcW w:w="1535" w:type="dxa"/>
            <w:tcBorders>
              <w:top w:val="single" w:sz="4" w:space="0" w:color="000000"/>
              <w:bottom w:val="single" w:sz="4" w:space="0" w:color="000000"/>
            </w:tcBorders>
          </w:tcPr>
          <w:p>
            <w:pPr>
              <w:pStyle w:val="TableParagraph"/>
              <w:spacing w:before="82"/>
              <w:ind w:left="609"/>
              <w:jc w:val="left"/>
              <w:rPr>
                <w:sz w:val="20"/>
              </w:rPr>
            </w:pPr>
            <w:r>
              <w:rPr>
                <w:spacing w:val="-2"/>
                <w:sz w:val="20"/>
              </w:rPr>
              <w:t>107.9</w:t>
            </w:r>
          </w:p>
        </w:tc>
        <w:tc>
          <w:tcPr>
            <w:tcW w:w="1382" w:type="dxa"/>
            <w:tcBorders>
              <w:top w:val="single" w:sz="4" w:space="0" w:color="000000"/>
              <w:bottom w:val="single" w:sz="4" w:space="0" w:color="000000"/>
            </w:tcBorders>
          </w:tcPr>
          <w:p>
            <w:pPr>
              <w:pStyle w:val="TableParagraph"/>
              <w:spacing w:before="82"/>
              <w:ind w:left="459" w:right="443"/>
              <w:jc w:val="center"/>
              <w:rPr>
                <w:sz w:val="20"/>
              </w:rPr>
            </w:pPr>
            <w:r>
              <w:rPr>
                <w:spacing w:val="-2"/>
                <w:sz w:val="20"/>
              </w:rPr>
              <w:t>102.5</w:t>
            </w:r>
          </w:p>
        </w:tc>
        <w:tc>
          <w:tcPr>
            <w:tcW w:w="1435" w:type="dxa"/>
            <w:tcBorders>
              <w:top w:val="single" w:sz="4" w:space="0" w:color="000000"/>
              <w:bottom w:val="single" w:sz="4" w:space="0" w:color="000000"/>
            </w:tcBorders>
          </w:tcPr>
          <w:p>
            <w:pPr>
              <w:pStyle w:val="TableParagraph"/>
              <w:spacing w:before="82"/>
              <w:ind w:left="505"/>
              <w:jc w:val="left"/>
              <w:rPr>
                <w:sz w:val="20"/>
              </w:rPr>
            </w:pPr>
            <w:r>
              <w:rPr>
                <w:spacing w:val="-4"/>
                <w:sz w:val="20"/>
              </w:rPr>
              <w:t>99.3</w:t>
            </w:r>
          </w:p>
        </w:tc>
        <w:tc>
          <w:tcPr>
            <w:tcW w:w="1622" w:type="dxa"/>
            <w:tcBorders>
              <w:top w:val="single" w:sz="4" w:space="0" w:color="000000"/>
              <w:bottom w:val="single" w:sz="4" w:space="0" w:color="000000"/>
            </w:tcBorders>
          </w:tcPr>
          <w:p>
            <w:pPr>
              <w:pStyle w:val="TableParagraph"/>
              <w:spacing w:before="82"/>
              <w:ind w:left="602"/>
              <w:jc w:val="left"/>
              <w:rPr>
                <w:sz w:val="20"/>
              </w:rPr>
            </w:pPr>
            <w:r>
              <w:rPr>
                <w:spacing w:val="-4"/>
                <w:sz w:val="20"/>
              </w:rPr>
              <w:t>95.0</w:t>
            </w:r>
          </w:p>
        </w:tc>
      </w:tr>
      <w:tr>
        <w:trPr>
          <w:trHeight w:val="393" w:hRule="atLeast"/>
        </w:trPr>
        <w:tc>
          <w:tcPr>
            <w:tcW w:w="1408" w:type="dxa"/>
            <w:tcBorders>
              <w:top w:val="single" w:sz="4" w:space="0" w:color="000000"/>
              <w:bottom w:val="single" w:sz="4" w:space="0" w:color="000000"/>
            </w:tcBorders>
          </w:tcPr>
          <w:p>
            <w:pPr>
              <w:pStyle w:val="TableParagraph"/>
              <w:spacing w:before="82"/>
              <w:ind w:left="14"/>
              <w:jc w:val="left"/>
              <w:rPr>
                <w:sz w:val="20"/>
              </w:rPr>
            </w:pPr>
            <w:r>
              <w:rPr>
                <w:spacing w:val="-2"/>
                <w:sz w:val="20"/>
              </w:rPr>
              <w:t>P-</w:t>
            </w:r>
            <w:r>
              <w:rPr>
                <w:spacing w:val="-10"/>
                <w:sz w:val="20"/>
              </w:rPr>
              <w:t>1</w:t>
            </w:r>
          </w:p>
        </w:tc>
        <w:tc>
          <w:tcPr>
            <w:tcW w:w="1535" w:type="dxa"/>
            <w:tcBorders>
              <w:top w:val="single" w:sz="4" w:space="0" w:color="000000"/>
              <w:bottom w:val="single" w:sz="4" w:space="0" w:color="000000"/>
            </w:tcBorders>
          </w:tcPr>
          <w:p>
            <w:pPr>
              <w:pStyle w:val="TableParagraph"/>
              <w:spacing w:before="82"/>
              <w:ind w:left="609"/>
              <w:jc w:val="left"/>
              <w:rPr>
                <w:sz w:val="20"/>
              </w:rPr>
            </w:pPr>
            <w:r>
              <w:rPr>
                <w:spacing w:val="-2"/>
                <w:sz w:val="20"/>
              </w:rPr>
              <w:t>107.9</w:t>
            </w:r>
          </w:p>
        </w:tc>
        <w:tc>
          <w:tcPr>
            <w:tcW w:w="1382" w:type="dxa"/>
            <w:tcBorders>
              <w:top w:val="single" w:sz="4" w:space="0" w:color="000000"/>
              <w:bottom w:val="single" w:sz="4" w:space="0" w:color="000000"/>
            </w:tcBorders>
          </w:tcPr>
          <w:p>
            <w:pPr>
              <w:pStyle w:val="TableParagraph"/>
              <w:spacing w:before="82"/>
              <w:ind w:left="459" w:right="443"/>
              <w:jc w:val="center"/>
              <w:rPr>
                <w:sz w:val="20"/>
              </w:rPr>
            </w:pPr>
            <w:r>
              <w:rPr>
                <w:spacing w:val="-2"/>
                <w:sz w:val="20"/>
              </w:rPr>
              <w:t>102.5</w:t>
            </w:r>
          </w:p>
        </w:tc>
        <w:tc>
          <w:tcPr>
            <w:tcW w:w="1435" w:type="dxa"/>
            <w:tcBorders>
              <w:top w:val="single" w:sz="4" w:space="0" w:color="000000"/>
              <w:bottom w:val="single" w:sz="4" w:space="0" w:color="000000"/>
            </w:tcBorders>
          </w:tcPr>
          <w:p>
            <w:pPr>
              <w:pStyle w:val="TableParagraph"/>
              <w:spacing w:before="82"/>
              <w:ind w:left="505"/>
              <w:jc w:val="left"/>
              <w:rPr>
                <w:sz w:val="20"/>
              </w:rPr>
            </w:pPr>
            <w:r>
              <w:rPr>
                <w:spacing w:val="-4"/>
                <w:sz w:val="20"/>
              </w:rPr>
              <w:t>99.3</w:t>
            </w:r>
          </w:p>
        </w:tc>
        <w:tc>
          <w:tcPr>
            <w:tcW w:w="1622" w:type="dxa"/>
            <w:tcBorders>
              <w:top w:val="single" w:sz="4" w:space="0" w:color="000000"/>
              <w:bottom w:val="single" w:sz="4" w:space="0" w:color="000000"/>
            </w:tcBorders>
          </w:tcPr>
          <w:p>
            <w:pPr>
              <w:pStyle w:val="TableParagraph"/>
              <w:spacing w:before="82"/>
              <w:ind w:left="602"/>
              <w:jc w:val="left"/>
              <w:rPr>
                <w:sz w:val="20"/>
              </w:rPr>
            </w:pPr>
            <w:r>
              <w:rPr>
                <w:spacing w:val="-4"/>
                <w:sz w:val="20"/>
              </w:rPr>
              <w:t>95.0</w:t>
            </w:r>
          </w:p>
        </w:tc>
      </w:tr>
      <w:tr>
        <w:trPr>
          <w:trHeight w:val="398" w:hRule="atLeast"/>
        </w:trPr>
        <w:tc>
          <w:tcPr>
            <w:tcW w:w="1408" w:type="dxa"/>
            <w:tcBorders>
              <w:top w:val="single" w:sz="4" w:space="0" w:color="000000"/>
              <w:bottom w:val="single" w:sz="4" w:space="0" w:color="000000"/>
            </w:tcBorders>
          </w:tcPr>
          <w:p>
            <w:pPr>
              <w:pStyle w:val="TableParagraph"/>
              <w:spacing w:before="87"/>
              <w:ind w:left="14"/>
              <w:jc w:val="left"/>
              <w:rPr>
                <w:sz w:val="20"/>
              </w:rPr>
            </w:pPr>
            <w:r>
              <w:rPr>
                <w:spacing w:val="-2"/>
                <w:sz w:val="20"/>
              </w:rPr>
              <w:t>GS-</w:t>
            </w:r>
            <w:r>
              <w:rPr>
                <w:spacing w:val="-7"/>
                <w:sz w:val="20"/>
              </w:rPr>
              <w:t>PL</w:t>
            </w:r>
          </w:p>
        </w:tc>
        <w:tc>
          <w:tcPr>
            <w:tcW w:w="1535" w:type="dxa"/>
            <w:tcBorders>
              <w:top w:val="single" w:sz="4" w:space="0" w:color="000000"/>
              <w:bottom w:val="single" w:sz="4" w:space="0" w:color="000000"/>
            </w:tcBorders>
          </w:tcPr>
          <w:p>
            <w:pPr>
              <w:pStyle w:val="TableParagraph"/>
              <w:spacing w:before="87"/>
              <w:ind w:left="609"/>
              <w:jc w:val="left"/>
              <w:rPr>
                <w:sz w:val="20"/>
              </w:rPr>
            </w:pPr>
            <w:r>
              <w:rPr>
                <w:spacing w:val="-2"/>
                <w:sz w:val="20"/>
              </w:rPr>
              <w:t>101.8</w:t>
            </w:r>
          </w:p>
        </w:tc>
        <w:tc>
          <w:tcPr>
            <w:tcW w:w="1382" w:type="dxa"/>
            <w:tcBorders>
              <w:top w:val="single" w:sz="4" w:space="0" w:color="000000"/>
              <w:bottom w:val="single" w:sz="4" w:space="0" w:color="000000"/>
            </w:tcBorders>
          </w:tcPr>
          <w:p>
            <w:pPr>
              <w:pStyle w:val="TableParagraph"/>
              <w:spacing w:before="87"/>
              <w:ind w:left="454" w:right="443"/>
              <w:jc w:val="center"/>
              <w:rPr>
                <w:sz w:val="20"/>
              </w:rPr>
            </w:pPr>
            <w:r>
              <w:rPr>
                <w:spacing w:val="-4"/>
                <w:sz w:val="20"/>
              </w:rPr>
              <w:t>96.7</w:t>
            </w:r>
          </w:p>
        </w:tc>
        <w:tc>
          <w:tcPr>
            <w:tcW w:w="1435" w:type="dxa"/>
            <w:tcBorders>
              <w:top w:val="single" w:sz="4" w:space="0" w:color="000000"/>
              <w:bottom w:val="single" w:sz="4" w:space="0" w:color="000000"/>
            </w:tcBorders>
          </w:tcPr>
          <w:p>
            <w:pPr>
              <w:pStyle w:val="TableParagraph"/>
              <w:spacing w:before="87"/>
              <w:ind w:left="505"/>
              <w:jc w:val="left"/>
              <w:rPr>
                <w:sz w:val="20"/>
              </w:rPr>
            </w:pPr>
            <w:r>
              <w:rPr>
                <w:spacing w:val="-4"/>
                <w:sz w:val="20"/>
              </w:rPr>
              <w:t>93.7</w:t>
            </w:r>
          </w:p>
        </w:tc>
        <w:tc>
          <w:tcPr>
            <w:tcW w:w="1622" w:type="dxa"/>
            <w:tcBorders>
              <w:top w:val="single" w:sz="4" w:space="0" w:color="000000"/>
              <w:bottom w:val="single" w:sz="4" w:space="0" w:color="000000"/>
            </w:tcBorders>
          </w:tcPr>
          <w:p>
            <w:pPr>
              <w:pStyle w:val="TableParagraph"/>
              <w:spacing w:before="87"/>
              <w:ind w:left="602"/>
              <w:jc w:val="left"/>
              <w:rPr>
                <w:sz w:val="20"/>
              </w:rPr>
            </w:pPr>
            <w:r>
              <w:rPr>
                <w:spacing w:val="-4"/>
                <w:sz w:val="20"/>
              </w:rPr>
              <w:t>89.6</w:t>
            </w:r>
          </w:p>
        </w:tc>
      </w:tr>
      <w:tr>
        <w:trPr>
          <w:trHeight w:val="397" w:hRule="atLeast"/>
        </w:trPr>
        <w:tc>
          <w:tcPr>
            <w:tcW w:w="1408" w:type="dxa"/>
            <w:tcBorders>
              <w:top w:val="single" w:sz="4" w:space="0" w:color="000000"/>
              <w:bottom w:val="single" w:sz="4" w:space="0" w:color="000000"/>
            </w:tcBorders>
          </w:tcPr>
          <w:p>
            <w:pPr>
              <w:pStyle w:val="TableParagraph"/>
              <w:spacing w:before="86"/>
              <w:ind w:left="14"/>
              <w:jc w:val="left"/>
              <w:rPr>
                <w:sz w:val="20"/>
              </w:rPr>
            </w:pPr>
            <w:r>
              <w:rPr>
                <w:spacing w:val="-2"/>
                <w:sz w:val="20"/>
              </w:rPr>
              <w:t>GS-</w:t>
            </w:r>
            <w:r>
              <w:rPr>
                <w:spacing w:val="-7"/>
                <w:sz w:val="20"/>
              </w:rPr>
              <w:t>OL</w:t>
            </w:r>
          </w:p>
        </w:tc>
        <w:tc>
          <w:tcPr>
            <w:tcW w:w="1535" w:type="dxa"/>
            <w:tcBorders>
              <w:top w:val="single" w:sz="4" w:space="0" w:color="000000"/>
              <w:bottom w:val="single" w:sz="4" w:space="0" w:color="000000"/>
            </w:tcBorders>
          </w:tcPr>
          <w:p>
            <w:pPr>
              <w:pStyle w:val="TableParagraph"/>
              <w:spacing w:before="86"/>
              <w:ind w:left="657"/>
              <w:jc w:val="left"/>
              <w:rPr>
                <w:sz w:val="20"/>
              </w:rPr>
            </w:pPr>
            <w:r>
              <w:rPr>
                <w:spacing w:val="-4"/>
                <w:sz w:val="20"/>
              </w:rPr>
              <w:t>78.8</w:t>
            </w:r>
          </w:p>
        </w:tc>
        <w:tc>
          <w:tcPr>
            <w:tcW w:w="1382" w:type="dxa"/>
            <w:tcBorders>
              <w:top w:val="single" w:sz="4" w:space="0" w:color="000000"/>
              <w:bottom w:val="single" w:sz="4" w:space="0" w:color="000000"/>
            </w:tcBorders>
          </w:tcPr>
          <w:p>
            <w:pPr>
              <w:pStyle w:val="TableParagraph"/>
              <w:spacing w:before="86"/>
              <w:ind w:left="454" w:right="443"/>
              <w:jc w:val="center"/>
              <w:rPr>
                <w:sz w:val="20"/>
              </w:rPr>
            </w:pPr>
            <w:r>
              <w:rPr>
                <w:spacing w:val="-4"/>
                <w:sz w:val="20"/>
              </w:rPr>
              <w:t>74.9</w:t>
            </w:r>
          </w:p>
        </w:tc>
        <w:tc>
          <w:tcPr>
            <w:tcW w:w="1435" w:type="dxa"/>
            <w:tcBorders>
              <w:top w:val="single" w:sz="4" w:space="0" w:color="000000"/>
              <w:bottom w:val="single" w:sz="4" w:space="0" w:color="000000"/>
            </w:tcBorders>
          </w:tcPr>
          <w:p>
            <w:pPr>
              <w:pStyle w:val="TableParagraph"/>
              <w:spacing w:before="86"/>
              <w:ind w:left="505"/>
              <w:jc w:val="left"/>
              <w:rPr>
                <w:sz w:val="20"/>
              </w:rPr>
            </w:pPr>
            <w:r>
              <w:rPr>
                <w:spacing w:val="-4"/>
                <w:sz w:val="20"/>
              </w:rPr>
              <w:t>72.5</w:t>
            </w:r>
          </w:p>
        </w:tc>
        <w:tc>
          <w:tcPr>
            <w:tcW w:w="1622" w:type="dxa"/>
            <w:tcBorders>
              <w:top w:val="single" w:sz="4" w:space="0" w:color="000000"/>
              <w:bottom w:val="single" w:sz="4" w:space="0" w:color="000000"/>
            </w:tcBorders>
          </w:tcPr>
          <w:p>
            <w:pPr>
              <w:pStyle w:val="TableParagraph"/>
              <w:spacing w:before="86"/>
              <w:ind w:left="602"/>
              <w:jc w:val="left"/>
              <w:rPr>
                <w:sz w:val="20"/>
              </w:rPr>
            </w:pPr>
            <w:r>
              <w:rPr>
                <w:spacing w:val="-4"/>
                <w:sz w:val="20"/>
              </w:rPr>
              <w:t>69.3</w:t>
            </w:r>
          </w:p>
        </w:tc>
      </w:tr>
    </w:tbl>
    <w:p>
      <w:pPr>
        <w:spacing w:after="0"/>
        <w:jc w:val="left"/>
        <w:rPr>
          <w:sz w:val="20"/>
        </w:rPr>
        <w:sectPr>
          <w:headerReference w:type="even" r:id="rId153"/>
          <w:headerReference w:type="default" r:id="rId154"/>
          <w:footerReference w:type="even" r:id="rId155"/>
          <w:footerReference w:type="default" r:id="rId156"/>
          <w:pgSz w:w="11910" w:h="16840"/>
          <w:pgMar w:header="978" w:footer="940" w:top="1600" w:bottom="1140" w:left="20" w:right="20"/>
          <w:pgNumType w:start="214"/>
        </w:sectPr>
      </w:pPr>
    </w:p>
    <w:p>
      <w:pPr>
        <w:pStyle w:val="Heading1"/>
      </w:pPr>
      <w:r>
        <w:rPr/>
        <w:t>Annex</w:t>
      </w:r>
      <w:r>
        <w:rPr>
          <w:spacing w:val="-9"/>
        </w:rPr>
        <w:t> </w:t>
      </w:r>
      <w:r>
        <w:rPr>
          <w:spacing w:val="-5"/>
        </w:rPr>
        <w:t>VII</w:t>
      </w:r>
    </w:p>
    <w:p>
      <w:pPr>
        <w:spacing w:line="256" w:lineRule="auto" w:before="240"/>
        <w:ind w:left="2967" w:right="2195" w:firstLine="0"/>
        <w:jc w:val="left"/>
        <w:rPr>
          <w:b/>
          <w:sz w:val="28"/>
        </w:rPr>
      </w:pPr>
      <w:bookmarkStart w:name="_bookmark81" w:id="82"/>
      <w:bookmarkEnd w:id="82"/>
      <w:r>
        <w:rPr/>
      </w:r>
      <w:r>
        <w:rPr>
          <w:b/>
          <w:sz w:val="28"/>
        </w:rPr>
        <w:t>Proposed</w:t>
      </w:r>
      <w:r>
        <w:rPr>
          <w:b/>
          <w:spacing w:val="-12"/>
          <w:sz w:val="28"/>
        </w:rPr>
        <w:t> </w:t>
      </w:r>
      <w:r>
        <w:rPr>
          <w:b/>
          <w:sz w:val="28"/>
        </w:rPr>
        <w:t>budget</w:t>
      </w:r>
      <w:r>
        <w:rPr>
          <w:b/>
          <w:spacing w:val="-12"/>
          <w:sz w:val="28"/>
        </w:rPr>
        <w:t> </w:t>
      </w:r>
      <w:r>
        <w:rPr>
          <w:b/>
          <w:sz w:val="28"/>
        </w:rPr>
        <w:t>for</w:t>
      </w:r>
      <w:r>
        <w:rPr>
          <w:b/>
          <w:spacing w:val="-10"/>
          <w:sz w:val="28"/>
        </w:rPr>
        <w:t> </w:t>
      </w:r>
      <w:r>
        <w:rPr>
          <w:b/>
          <w:sz w:val="28"/>
        </w:rPr>
        <w:t>2023</w:t>
      </w:r>
      <w:r>
        <w:rPr>
          <w:b/>
          <w:spacing w:val="-10"/>
          <w:sz w:val="28"/>
        </w:rPr>
        <w:t> </w:t>
      </w:r>
      <w:r>
        <w:rPr>
          <w:b/>
          <w:sz w:val="28"/>
        </w:rPr>
        <w:t>for</w:t>
      </w:r>
      <w:r>
        <w:rPr>
          <w:b/>
          <w:spacing w:val="-10"/>
          <w:sz w:val="28"/>
        </w:rPr>
        <w:t> </w:t>
      </w:r>
      <w:r>
        <w:rPr>
          <w:b/>
          <w:sz w:val="28"/>
        </w:rPr>
        <w:t>the</w:t>
      </w:r>
      <w:r>
        <w:rPr>
          <w:b/>
          <w:spacing w:val="-10"/>
          <w:sz w:val="28"/>
        </w:rPr>
        <w:t> </w:t>
      </w:r>
      <w:r>
        <w:rPr>
          <w:b/>
          <w:sz w:val="28"/>
        </w:rPr>
        <w:t>African</w:t>
      </w:r>
      <w:r>
        <w:rPr>
          <w:b/>
          <w:spacing w:val="-7"/>
          <w:sz w:val="28"/>
        </w:rPr>
        <w:t> </w:t>
      </w:r>
      <w:r>
        <w:rPr>
          <w:b/>
          <w:sz w:val="28"/>
        </w:rPr>
        <w:t>Union</w:t>
      </w:r>
      <w:r>
        <w:rPr>
          <w:b/>
          <w:spacing w:val="-12"/>
          <w:sz w:val="28"/>
        </w:rPr>
        <w:t> </w:t>
      </w:r>
      <w:r>
        <w:rPr>
          <w:b/>
          <w:sz w:val="28"/>
        </w:rPr>
        <w:t>Liaison Office (AULO)</w:t>
      </w:r>
    </w:p>
    <w:p>
      <w:pPr>
        <w:pStyle w:val="BodyText"/>
        <w:spacing w:before="3"/>
        <w:rPr>
          <w:b/>
          <w:sz w:val="13"/>
        </w:rPr>
      </w:pPr>
    </w:p>
    <w:p>
      <w:pPr>
        <w:pStyle w:val="BodyText"/>
        <w:tabs>
          <w:tab w:pos="2966" w:val="left" w:leader="none"/>
        </w:tabs>
        <w:spacing w:line="244" w:lineRule="auto" w:before="93"/>
        <w:ind w:left="2246" w:right="2242"/>
        <w:jc w:val="both"/>
      </w:pPr>
      <w:r>
        <w:rPr/>
        <w:pict>
          <v:group style="position:absolute;margin-left:56.183998pt;margin-top:148.645905pt;width:483.35pt;height:29.8pt;mso-position-horizontal-relative:page;mso-position-vertical-relative:paragraph;z-index:-43789312" id="docshapegroup434" coordorigin="1124,2973" coordsize="9667,596">
            <v:shape style="position:absolute;left:3428;top:2987;width:3026;height:284" id="docshape435" coordorigin="3429,2987" coordsize="3026,284" path="m4240,2987l3429,2987,3429,3271,4240,3271,4240,2987xm6454,2987l5234,2987,4240,2987,4240,3271,5234,3271,6454,3271,6454,2987xe" filled="true" fillcolor="#bebebe" stroked="false">
              <v:path arrowok="t"/>
              <v:fill type="solid"/>
            </v:shape>
            <v:shape style="position:absolute;left:1123;top:2972;width:9667;height:10" id="docshape436" coordorigin="1124,2973" coordsize="9667,10" path="m4245,2973l3438,2973,3429,2973,3429,2973,1124,2973,1124,2983,3429,2983,3429,2983,3438,2983,4245,2983,4245,2973xm5244,2973l5234,2973,4255,2973,4245,2973,4245,2983,4255,2983,5234,2983,5244,2983,5244,2973xm8499,2973l7563,2973,7553,2973,7553,2973,6463,2973,6454,2973,6454,2973,5244,2973,5244,2983,6454,2983,6454,2983,6463,2983,7553,2983,7553,2983,7563,2983,8499,2983,8499,2973xm8509,2973l8499,2973,8499,2983,8509,2983,8509,2973xm10790,2973l9215,2973,9205,2973,9205,2973,8509,2973,8509,2983,9205,2983,9205,2983,9215,2983,10790,2983,10790,2973xe" filled="true" fillcolor="#000000" stroked="false">
              <v:path arrowok="t"/>
              <v:fill type="solid"/>
            </v:shape>
            <v:shape style="position:absolute;left:3428;top:3270;width:3026;height:289" id="docshape437" coordorigin="3429,3271" coordsize="3026,289" path="m4240,3271l3429,3271,3429,3559,4240,3559,4240,3271xm6454,3271l5234,3271,4240,3271,4240,3559,5234,3559,6454,3559,6454,3271xe" filled="true" fillcolor="#bebebe" stroked="false">
              <v:path arrowok="t"/>
              <v:fill type="solid"/>
            </v:shape>
            <v:shape style="position:absolute;left:1123;top:3559;width:9667;height:10" id="docshape438" coordorigin="1124,3559" coordsize="9667,10" path="m4245,3559l3438,3559,3429,3559,3429,3559,1124,3559,1124,3569,3429,3569,3429,3569,3438,3569,4245,3569,4245,3559xm5244,3559l5234,3559,4255,3559,4245,3559,4245,3569,4255,3569,5234,3569,5244,3569,5244,3559xm8499,3559l7563,3559,7553,3559,7553,3559,6463,3559,6454,3559,6454,3559,5244,3559,5244,3569,6454,3569,6454,3569,6463,3569,7553,3569,7553,3569,7563,3569,8499,3569,8499,3559xm8509,3559l8499,3559,8499,3569,8509,3569,8509,3559xm10790,3559l9215,3559,9205,3559,9205,3559,8509,3559,8509,3569,9205,3569,9205,3569,9215,3569,10790,3569,10790,3559xe" filled="true" fillcolor="#000000" stroked="false">
              <v:path arrowok="t"/>
              <v:fill type="solid"/>
            </v:shape>
            <w10:wrap type="none"/>
          </v:group>
        </w:pict>
      </w:r>
      <w:r>
        <w:rPr>
          <w:spacing w:val="-6"/>
        </w:rPr>
        <w:t>1.</w:t>
      </w:r>
      <w:r>
        <w:rPr/>
        <w:tab/>
        <w:t>In line with part IX of resolution ICC-ASP/9/Res.4 of the Assembly of States Parties,</w:t>
      </w:r>
      <w:r>
        <w:rPr>
          <w:vertAlign w:val="superscript"/>
        </w:rPr>
        <w:t>153</w:t>
      </w:r>
      <w:r>
        <w:rPr>
          <w:vertAlign w:val="baseline"/>
        </w:rPr>
        <w:t> no resources have been allocated to the African Union Liaison Office in the proposed programme budget for 2023. Should the African Union agree to</w:t>
      </w:r>
      <w:r>
        <w:rPr>
          <w:spacing w:val="-5"/>
          <w:vertAlign w:val="baseline"/>
        </w:rPr>
        <w:t> </w:t>
      </w:r>
      <w:r>
        <w:rPr>
          <w:vertAlign w:val="baseline"/>
        </w:rPr>
        <w:t>the request of the Court to open a Liaison Office in Addis Ababa, the Court will notify the Committee on Budget and Finance</w:t>
      </w:r>
      <w:r>
        <w:rPr>
          <w:spacing w:val="-2"/>
          <w:vertAlign w:val="baseline"/>
        </w:rPr>
        <w:t> </w:t>
      </w:r>
      <w:r>
        <w:rPr>
          <w:vertAlign w:val="baseline"/>
        </w:rPr>
        <w:t>of the need to</w:t>
      </w:r>
      <w:r>
        <w:rPr>
          <w:spacing w:val="-4"/>
          <w:vertAlign w:val="baseline"/>
        </w:rPr>
        <w:t> </w:t>
      </w:r>
      <w:r>
        <w:rPr>
          <w:vertAlign w:val="baseline"/>
        </w:rPr>
        <w:t>access the Contingency Fund for up to the amount in the Court’s</w:t>
      </w:r>
      <w:r>
        <w:rPr>
          <w:spacing w:val="-5"/>
          <w:vertAlign w:val="baseline"/>
        </w:rPr>
        <w:t> </w:t>
      </w:r>
      <w:r>
        <w:rPr>
          <w:vertAlign w:val="baseline"/>
        </w:rPr>
        <w:t>proposed budget for 2023 of</w:t>
      </w:r>
      <w:r>
        <w:rPr>
          <w:spacing w:val="-4"/>
          <w:vertAlign w:val="baseline"/>
        </w:rPr>
        <w:t> </w:t>
      </w:r>
      <w:r>
        <w:rPr>
          <w:vertAlign w:val="baseline"/>
        </w:rPr>
        <w:t>€408,000</w:t>
      </w:r>
      <w:r>
        <w:rPr>
          <w:spacing w:val="-4"/>
          <w:vertAlign w:val="baseline"/>
        </w:rPr>
        <w:t> </w:t>
      </w:r>
      <w:r>
        <w:rPr>
          <w:vertAlign w:val="baseline"/>
        </w:rPr>
        <w:t>in order</w:t>
      </w:r>
      <w:r>
        <w:rPr>
          <w:spacing w:val="-4"/>
          <w:vertAlign w:val="baseline"/>
        </w:rPr>
        <w:t> </w:t>
      </w:r>
      <w:r>
        <w:rPr>
          <w:vertAlign w:val="baseline"/>
        </w:rPr>
        <w:t>to</w:t>
      </w:r>
      <w:r>
        <w:rPr>
          <w:spacing w:val="-4"/>
          <w:vertAlign w:val="baseline"/>
        </w:rPr>
        <w:t> </w:t>
      </w:r>
      <w:r>
        <w:rPr>
          <w:vertAlign w:val="baseline"/>
        </w:rPr>
        <w:t>proceed with</w:t>
      </w:r>
      <w:r>
        <w:rPr>
          <w:spacing w:val="-4"/>
          <w:vertAlign w:val="baseline"/>
        </w:rPr>
        <w:t> </w:t>
      </w:r>
      <w:r>
        <w:rPr>
          <w:vertAlign w:val="baseline"/>
        </w:rPr>
        <w:t>the</w:t>
      </w:r>
      <w:r>
        <w:rPr>
          <w:spacing w:val="-2"/>
          <w:vertAlign w:val="baseline"/>
        </w:rPr>
        <w:t> </w:t>
      </w:r>
      <w:r>
        <w:rPr>
          <w:vertAlign w:val="baseline"/>
        </w:rPr>
        <w:t>establishment</w:t>
      </w:r>
      <w:r>
        <w:rPr>
          <w:spacing w:val="-2"/>
          <w:vertAlign w:val="baseline"/>
        </w:rPr>
        <w:t> </w:t>
      </w:r>
      <w:r>
        <w:rPr>
          <w:vertAlign w:val="baseline"/>
        </w:rPr>
        <w:t>of the said Liaison Office.</w:t>
      </w:r>
    </w:p>
    <w:p>
      <w:pPr>
        <w:pStyle w:val="BodyText"/>
      </w:pPr>
    </w:p>
    <w:tbl>
      <w:tblPr>
        <w:tblW w:w="0" w:type="auto"/>
        <w:jc w:val="left"/>
        <w:tblInd w:w="1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48"/>
        <w:gridCol w:w="578"/>
        <w:gridCol w:w="1010"/>
        <w:gridCol w:w="1117"/>
        <w:gridCol w:w="1103"/>
        <w:gridCol w:w="1498"/>
        <w:gridCol w:w="151"/>
        <w:gridCol w:w="1600"/>
      </w:tblGrid>
      <w:tr>
        <w:trPr>
          <w:trHeight w:val="250" w:hRule="atLeast"/>
        </w:trPr>
        <w:tc>
          <w:tcPr>
            <w:tcW w:w="5353" w:type="dxa"/>
            <w:gridSpan w:val="4"/>
            <w:tcBorders>
              <w:top w:val="single" w:sz="4" w:space="0" w:color="000000"/>
            </w:tcBorders>
          </w:tcPr>
          <w:p>
            <w:pPr>
              <w:pStyle w:val="TableParagraph"/>
              <w:spacing w:before="47"/>
              <w:ind w:left="2396"/>
              <w:jc w:val="left"/>
              <w:rPr>
                <w:i/>
                <w:sz w:val="18"/>
              </w:rPr>
            </w:pPr>
            <w:r>
              <w:rPr>
                <w:i/>
                <w:sz w:val="18"/>
              </w:rPr>
              <w:t>2021</w:t>
            </w:r>
            <w:r>
              <w:rPr>
                <w:i/>
                <w:spacing w:val="-5"/>
                <w:sz w:val="18"/>
              </w:rPr>
              <w:t> </w:t>
            </w:r>
            <w:r>
              <w:rPr>
                <w:i/>
                <w:sz w:val="18"/>
              </w:rPr>
              <w:t>Expenditures</w:t>
            </w:r>
            <w:r>
              <w:rPr>
                <w:i/>
                <w:spacing w:val="-3"/>
                <w:sz w:val="18"/>
              </w:rPr>
              <w:t> </w:t>
            </w:r>
            <w:r>
              <w:rPr>
                <w:i/>
                <w:sz w:val="18"/>
              </w:rPr>
              <w:t>(thousands</w:t>
            </w:r>
            <w:r>
              <w:rPr>
                <w:i/>
                <w:spacing w:val="-4"/>
                <w:sz w:val="18"/>
              </w:rPr>
              <w:t> </w:t>
            </w:r>
            <w:r>
              <w:rPr>
                <w:i/>
                <w:sz w:val="18"/>
              </w:rPr>
              <w:t>of</w:t>
            </w:r>
            <w:r>
              <w:rPr>
                <w:i/>
                <w:spacing w:val="-2"/>
                <w:sz w:val="18"/>
              </w:rPr>
              <w:t> euros)</w:t>
            </w:r>
          </w:p>
        </w:tc>
        <w:tc>
          <w:tcPr>
            <w:tcW w:w="1103" w:type="dxa"/>
            <w:vMerge w:val="restart"/>
            <w:tcBorders>
              <w:top w:val="single" w:sz="4" w:space="0" w:color="000000"/>
              <w:bottom w:val="single" w:sz="4" w:space="0" w:color="000000"/>
            </w:tcBorders>
          </w:tcPr>
          <w:p>
            <w:pPr>
              <w:pStyle w:val="TableParagraph"/>
              <w:spacing w:line="207" w:lineRule="exact" w:before="43"/>
              <w:rPr>
                <w:i/>
                <w:sz w:val="18"/>
              </w:rPr>
            </w:pPr>
            <w:r>
              <w:rPr>
                <w:i/>
                <w:spacing w:val="-4"/>
                <w:sz w:val="18"/>
              </w:rPr>
              <w:t>2022</w:t>
            </w:r>
          </w:p>
          <w:p>
            <w:pPr>
              <w:pStyle w:val="TableParagraph"/>
              <w:ind w:left="586" w:right="1" w:hanging="192"/>
              <w:rPr>
                <w:i/>
                <w:sz w:val="18"/>
              </w:rPr>
            </w:pPr>
            <w:r>
              <w:rPr>
                <w:i/>
                <w:spacing w:val="-2"/>
                <w:sz w:val="18"/>
              </w:rPr>
              <w:t>Approved</w:t>
            </w:r>
            <w:r>
              <w:rPr>
                <w:i/>
                <w:spacing w:val="-2"/>
                <w:sz w:val="18"/>
              </w:rPr>
              <w:t> Budget</w:t>
            </w:r>
          </w:p>
        </w:tc>
        <w:tc>
          <w:tcPr>
            <w:tcW w:w="1498" w:type="dxa"/>
            <w:tcBorders>
              <w:top w:val="single" w:sz="4" w:space="0" w:color="000000"/>
              <w:bottom w:val="single" w:sz="4" w:space="0" w:color="000000"/>
            </w:tcBorders>
          </w:tcPr>
          <w:p>
            <w:pPr>
              <w:pStyle w:val="TableParagraph"/>
              <w:spacing w:before="47"/>
              <w:ind w:left="146"/>
              <w:jc w:val="left"/>
              <w:rPr>
                <w:i/>
                <w:sz w:val="18"/>
              </w:rPr>
            </w:pPr>
            <w:r>
              <w:rPr>
                <w:i/>
                <w:sz w:val="18"/>
              </w:rPr>
              <w:t>Resource</w:t>
            </w:r>
            <w:r>
              <w:rPr>
                <w:i/>
                <w:spacing w:val="-3"/>
                <w:sz w:val="18"/>
              </w:rPr>
              <w:t> </w:t>
            </w:r>
            <w:r>
              <w:rPr>
                <w:i/>
                <w:spacing w:val="-2"/>
                <w:sz w:val="18"/>
              </w:rPr>
              <w:t>Changes</w:t>
            </w:r>
          </w:p>
        </w:tc>
        <w:tc>
          <w:tcPr>
            <w:tcW w:w="151" w:type="dxa"/>
            <w:tcBorders>
              <w:top w:val="single" w:sz="4" w:space="0" w:color="000000"/>
              <w:bottom w:val="single" w:sz="4" w:space="0" w:color="000000"/>
            </w:tcBorders>
          </w:tcPr>
          <w:p>
            <w:pPr>
              <w:pStyle w:val="TableParagraph"/>
              <w:jc w:val="left"/>
              <w:rPr>
                <w:sz w:val="18"/>
              </w:rPr>
            </w:pPr>
          </w:p>
        </w:tc>
        <w:tc>
          <w:tcPr>
            <w:tcW w:w="1600" w:type="dxa"/>
            <w:vMerge w:val="restart"/>
            <w:tcBorders>
              <w:top w:val="single" w:sz="4" w:space="0" w:color="000000"/>
              <w:bottom w:val="single" w:sz="4" w:space="0" w:color="000000"/>
            </w:tcBorders>
          </w:tcPr>
          <w:p>
            <w:pPr>
              <w:pStyle w:val="TableParagraph"/>
              <w:spacing w:before="43"/>
              <w:ind w:left="101" w:right="11" w:firstLine="787"/>
              <w:rPr>
                <w:i/>
                <w:sz w:val="18"/>
              </w:rPr>
            </w:pPr>
            <w:r>
              <w:rPr>
                <w:i/>
                <w:spacing w:val="-2"/>
                <w:sz w:val="18"/>
              </w:rPr>
              <w:t>Proposed</w:t>
            </w:r>
            <w:r>
              <w:rPr>
                <w:i/>
                <w:spacing w:val="-2"/>
                <w:sz w:val="18"/>
              </w:rPr>
              <w:t> </w:t>
            </w:r>
            <w:r>
              <w:rPr>
                <w:i/>
                <w:sz w:val="18"/>
              </w:rPr>
              <w:t>2023 Budget (thousands</w:t>
            </w:r>
            <w:r>
              <w:rPr>
                <w:i/>
                <w:spacing w:val="-4"/>
                <w:sz w:val="18"/>
              </w:rPr>
              <w:t> </w:t>
            </w:r>
            <w:r>
              <w:rPr>
                <w:i/>
                <w:sz w:val="18"/>
              </w:rPr>
              <w:t>of</w:t>
            </w:r>
            <w:r>
              <w:rPr>
                <w:i/>
                <w:spacing w:val="-1"/>
                <w:sz w:val="18"/>
              </w:rPr>
              <w:t> </w:t>
            </w:r>
            <w:r>
              <w:rPr>
                <w:i/>
                <w:spacing w:val="-2"/>
                <w:sz w:val="18"/>
              </w:rPr>
              <w:t>euros)</w:t>
            </w:r>
          </w:p>
        </w:tc>
      </w:tr>
      <w:tr>
        <w:trPr>
          <w:trHeight w:val="445" w:hRule="atLeast"/>
        </w:trPr>
        <w:tc>
          <w:tcPr>
            <w:tcW w:w="2648" w:type="dxa"/>
            <w:tcBorders>
              <w:bottom w:val="single" w:sz="4" w:space="0" w:color="000000"/>
            </w:tcBorders>
          </w:tcPr>
          <w:p>
            <w:pPr>
              <w:pStyle w:val="TableParagraph"/>
              <w:spacing w:line="158" w:lineRule="exact"/>
              <w:ind w:left="19"/>
              <w:jc w:val="left"/>
              <w:rPr>
                <w:b/>
                <w:sz w:val="18"/>
              </w:rPr>
            </w:pPr>
            <w:r>
              <w:rPr>
                <w:b/>
                <w:spacing w:val="-4"/>
                <w:sz w:val="18"/>
              </w:rPr>
              <w:t>1320</w:t>
            </w:r>
          </w:p>
          <w:p>
            <w:pPr>
              <w:pStyle w:val="TableParagraph"/>
              <w:spacing w:line="207" w:lineRule="exact"/>
              <w:ind w:left="19"/>
              <w:jc w:val="left"/>
              <w:rPr>
                <w:b/>
                <w:sz w:val="18"/>
              </w:rPr>
            </w:pPr>
            <w:r>
              <w:rPr>
                <w:b/>
                <w:sz w:val="18"/>
              </w:rPr>
              <w:t>African</w:t>
            </w:r>
            <w:r>
              <w:rPr>
                <w:b/>
                <w:spacing w:val="-6"/>
                <w:sz w:val="18"/>
              </w:rPr>
              <w:t> </w:t>
            </w:r>
            <w:r>
              <w:rPr>
                <w:b/>
                <w:sz w:val="18"/>
              </w:rPr>
              <w:t>Union</w:t>
            </w:r>
            <w:r>
              <w:rPr>
                <w:b/>
                <w:spacing w:val="-1"/>
                <w:sz w:val="18"/>
              </w:rPr>
              <w:t> </w:t>
            </w:r>
            <w:r>
              <w:rPr>
                <w:b/>
                <w:sz w:val="18"/>
              </w:rPr>
              <w:t>Liaison</w:t>
            </w:r>
            <w:r>
              <w:rPr>
                <w:b/>
                <w:spacing w:val="-6"/>
                <w:sz w:val="18"/>
              </w:rPr>
              <w:t> </w:t>
            </w:r>
            <w:r>
              <w:rPr>
                <w:b/>
                <w:spacing w:val="-2"/>
                <w:sz w:val="18"/>
              </w:rPr>
              <w:t>Office</w:t>
            </w:r>
          </w:p>
        </w:tc>
        <w:tc>
          <w:tcPr>
            <w:tcW w:w="578" w:type="dxa"/>
            <w:tcBorders>
              <w:top w:val="single" w:sz="4" w:space="0" w:color="000000"/>
              <w:bottom w:val="single" w:sz="4" w:space="0" w:color="000000"/>
            </w:tcBorders>
          </w:tcPr>
          <w:p>
            <w:pPr>
              <w:pStyle w:val="TableParagraph"/>
              <w:spacing w:before="163"/>
              <w:ind w:right="81"/>
              <w:rPr>
                <w:i/>
                <w:sz w:val="18"/>
              </w:rPr>
            </w:pPr>
            <w:r>
              <w:rPr>
                <w:i/>
                <w:spacing w:val="-2"/>
                <w:sz w:val="18"/>
              </w:rPr>
              <w:t>Total</w:t>
            </w:r>
          </w:p>
        </w:tc>
        <w:tc>
          <w:tcPr>
            <w:tcW w:w="1010" w:type="dxa"/>
            <w:tcBorders>
              <w:top w:val="single" w:sz="4" w:space="0" w:color="000000"/>
              <w:bottom w:val="single" w:sz="4" w:space="0" w:color="000000"/>
            </w:tcBorders>
          </w:tcPr>
          <w:p>
            <w:pPr>
              <w:pStyle w:val="TableParagraph"/>
              <w:spacing w:before="163"/>
              <w:ind w:right="100"/>
              <w:rPr>
                <w:i/>
                <w:sz w:val="18"/>
              </w:rPr>
            </w:pPr>
            <w:r>
              <w:rPr>
                <w:i/>
                <w:sz w:val="18"/>
              </w:rPr>
              <w:t>Cont.</w:t>
            </w:r>
            <w:r>
              <w:rPr>
                <w:i/>
                <w:spacing w:val="2"/>
                <w:sz w:val="18"/>
              </w:rPr>
              <w:t> </w:t>
            </w:r>
            <w:r>
              <w:rPr>
                <w:i/>
                <w:spacing w:val="-4"/>
                <w:sz w:val="18"/>
              </w:rPr>
              <w:t>Fund</w:t>
            </w:r>
          </w:p>
        </w:tc>
        <w:tc>
          <w:tcPr>
            <w:tcW w:w="1117" w:type="dxa"/>
            <w:tcBorders>
              <w:top w:val="single" w:sz="4" w:space="0" w:color="000000"/>
              <w:bottom w:val="single" w:sz="4" w:space="0" w:color="000000"/>
            </w:tcBorders>
          </w:tcPr>
          <w:p>
            <w:pPr>
              <w:pStyle w:val="TableParagraph"/>
              <w:spacing w:before="163"/>
              <w:ind w:right="-15"/>
              <w:rPr>
                <w:i/>
                <w:sz w:val="18"/>
              </w:rPr>
            </w:pPr>
            <w:r>
              <w:rPr>
                <w:i/>
                <w:sz w:val="18"/>
              </w:rPr>
              <w:t>Total</w:t>
            </w:r>
            <w:r>
              <w:rPr>
                <w:i/>
                <w:spacing w:val="-3"/>
                <w:sz w:val="18"/>
              </w:rPr>
              <w:t> </w:t>
            </w:r>
            <w:r>
              <w:rPr>
                <w:i/>
                <w:sz w:val="18"/>
              </w:rPr>
              <w:t>incl.</w:t>
            </w:r>
            <w:r>
              <w:rPr>
                <w:i/>
                <w:spacing w:val="1"/>
                <w:sz w:val="18"/>
              </w:rPr>
              <w:t> </w:t>
            </w:r>
            <w:r>
              <w:rPr>
                <w:i/>
                <w:spacing w:val="-5"/>
                <w:sz w:val="18"/>
              </w:rPr>
              <w:t>CF</w:t>
            </w:r>
          </w:p>
        </w:tc>
        <w:tc>
          <w:tcPr>
            <w:tcW w:w="1103" w:type="dxa"/>
            <w:vMerge/>
            <w:tcBorders>
              <w:top w:val="nil"/>
              <w:bottom w:val="single" w:sz="4" w:space="0" w:color="000000"/>
            </w:tcBorders>
          </w:tcPr>
          <w:p>
            <w:pPr>
              <w:rPr>
                <w:sz w:val="2"/>
                <w:szCs w:val="2"/>
              </w:rPr>
            </w:pPr>
          </w:p>
        </w:tc>
        <w:tc>
          <w:tcPr>
            <w:tcW w:w="1498" w:type="dxa"/>
            <w:tcBorders>
              <w:top w:val="single" w:sz="4" w:space="0" w:color="000000"/>
              <w:bottom w:val="single" w:sz="4" w:space="0" w:color="000000"/>
            </w:tcBorders>
          </w:tcPr>
          <w:p>
            <w:pPr>
              <w:pStyle w:val="TableParagraph"/>
              <w:spacing w:before="163"/>
              <w:ind w:left="372"/>
              <w:jc w:val="left"/>
              <w:rPr>
                <w:i/>
                <w:sz w:val="18"/>
              </w:rPr>
            </w:pPr>
            <w:r>
              <w:rPr>
                <w:i/>
                <w:spacing w:val="-2"/>
                <w:sz w:val="18"/>
              </w:rPr>
              <w:t>Amount</w:t>
            </w:r>
          </w:p>
        </w:tc>
        <w:tc>
          <w:tcPr>
            <w:tcW w:w="151" w:type="dxa"/>
            <w:tcBorders>
              <w:top w:val="single" w:sz="4" w:space="0" w:color="000000"/>
              <w:bottom w:val="single" w:sz="4" w:space="0" w:color="000000"/>
            </w:tcBorders>
          </w:tcPr>
          <w:p>
            <w:pPr>
              <w:pStyle w:val="TableParagraph"/>
              <w:spacing w:before="163"/>
              <w:ind w:left="-2"/>
              <w:jc w:val="center"/>
              <w:rPr>
                <w:i/>
                <w:sz w:val="18"/>
              </w:rPr>
            </w:pPr>
            <w:r>
              <w:rPr>
                <w:i/>
                <w:w w:val="101"/>
                <w:sz w:val="18"/>
              </w:rPr>
              <w:t>%</w:t>
            </w:r>
          </w:p>
        </w:tc>
        <w:tc>
          <w:tcPr>
            <w:tcW w:w="1600" w:type="dxa"/>
            <w:vMerge/>
            <w:tcBorders>
              <w:top w:val="nil"/>
              <w:bottom w:val="single" w:sz="4" w:space="0" w:color="000000"/>
            </w:tcBorders>
          </w:tcPr>
          <w:p>
            <w:pPr>
              <w:rPr>
                <w:sz w:val="2"/>
                <w:szCs w:val="2"/>
              </w:rPr>
            </w:pPr>
          </w:p>
        </w:tc>
      </w:tr>
      <w:tr>
        <w:trPr>
          <w:trHeight w:val="287" w:hRule="atLeast"/>
        </w:trPr>
        <w:tc>
          <w:tcPr>
            <w:tcW w:w="2648" w:type="dxa"/>
            <w:tcBorders>
              <w:top w:val="single" w:sz="4" w:space="0" w:color="000000"/>
            </w:tcBorders>
          </w:tcPr>
          <w:p>
            <w:pPr>
              <w:pStyle w:val="TableParagraph"/>
              <w:spacing w:before="43"/>
              <w:ind w:left="19"/>
              <w:jc w:val="left"/>
              <w:rPr>
                <w:i/>
                <w:sz w:val="18"/>
              </w:rPr>
            </w:pPr>
            <w:r>
              <w:rPr>
                <w:i/>
                <w:spacing w:val="-2"/>
                <w:sz w:val="18"/>
              </w:rPr>
              <w:t>Judges</w:t>
            </w:r>
          </w:p>
        </w:tc>
        <w:tc>
          <w:tcPr>
            <w:tcW w:w="578" w:type="dxa"/>
            <w:tcBorders>
              <w:top w:val="single" w:sz="4" w:space="0" w:color="000000"/>
            </w:tcBorders>
          </w:tcPr>
          <w:p>
            <w:pPr>
              <w:pStyle w:val="TableParagraph"/>
              <w:jc w:val="left"/>
              <w:rPr>
                <w:sz w:val="18"/>
              </w:rPr>
            </w:pPr>
          </w:p>
        </w:tc>
        <w:tc>
          <w:tcPr>
            <w:tcW w:w="1010" w:type="dxa"/>
            <w:tcBorders>
              <w:top w:val="single" w:sz="4" w:space="0" w:color="000000"/>
            </w:tcBorders>
          </w:tcPr>
          <w:p>
            <w:pPr>
              <w:pStyle w:val="TableParagraph"/>
              <w:jc w:val="left"/>
              <w:rPr>
                <w:sz w:val="18"/>
              </w:rPr>
            </w:pPr>
          </w:p>
        </w:tc>
        <w:tc>
          <w:tcPr>
            <w:tcW w:w="1117" w:type="dxa"/>
            <w:tcBorders>
              <w:top w:val="single" w:sz="4" w:space="0" w:color="000000"/>
            </w:tcBorders>
          </w:tcPr>
          <w:p>
            <w:pPr>
              <w:pStyle w:val="TableParagraph"/>
              <w:jc w:val="left"/>
              <w:rPr>
                <w:sz w:val="18"/>
              </w:rPr>
            </w:pPr>
          </w:p>
        </w:tc>
        <w:tc>
          <w:tcPr>
            <w:tcW w:w="1103" w:type="dxa"/>
            <w:tcBorders>
              <w:top w:val="single" w:sz="4" w:space="0" w:color="000000"/>
            </w:tcBorders>
          </w:tcPr>
          <w:p>
            <w:pPr>
              <w:pStyle w:val="TableParagraph"/>
              <w:jc w:val="left"/>
              <w:rPr>
                <w:sz w:val="18"/>
              </w:rPr>
            </w:pPr>
          </w:p>
        </w:tc>
        <w:tc>
          <w:tcPr>
            <w:tcW w:w="1498" w:type="dxa"/>
            <w:tcBorders>
              <w:top w:val="single" w:sz="4" w:space="0" w:color="000000"/>
            </w:tcBorders>
          </w:tcPr>
          <w:p>
            <w:pPr>
              <w:pStyle w:val="TableParagraph"/>
              <w:jc w:val="left"/>
              <w:rPr>
                <w:sz w:val="18"/>
              </w:rPr>
            </w:pPr>
          </w:p>
        </w:tc>
        <w:tc>
          <w:tcPr>
            <w:tcW w:w="151" w:type="dxa"/>
            <w:tcBorders>
              <w:top w:val="single" w:sz="4" w:space="0" w:color="000000"/>
            </w:tcBorders>
          </w:tcPr>
          <w:p>
            <w:pPr>
              <w:pStyle w:val="TableParagraph"/>
              <w:jc w:val="left"/>
              <w:rPr>
                <w:sz w:val="18"/>
              </w:rPr>
            </w:pPr>
          </w:p>
        </w:tc>
        <w:tc>
          <w:tcPr>
            <w:tcW w:w="1600" w:type="dxa"/>
            <w:tcBorders>
              <w:top w:val="single" w:sz="4" w:space="0" w:color="000000"/>
            </w:tcBorders>
          </w:tcPr>
          <w:p>
            <w:pPr>
              <w:pStyle w:val="TableParagraph"/>
              <w:jc w:val="left"/>
              <w:rPr>
                <w:sz w:val="18"/>
              </w:rPr>
            </w:pPr>
          </w:p>
        </w:tc>
      </w:tr>
      <w:tr>
        <w:trPr>
          <w:trHeight w:val="301" w:hRule="atLeast"/>
        </w:trPr>
        <w:tc>
          <w:tcPr>
            <w:tcW w:w="2648" w:type="dxa"/>
          </w:tcPr>
          <w:p>
            <w:pPr>
              <w:pStyle w:val="TableParagraph"/>
              <w:spacing w:before="52"/>
              <w:ind w:left="19"/>
              <w:jc w:val="left"/>
              <w:rPr>
                <w:sz w:val="18"/>
              </w:rPr>
            </w:pPr>
            <w:r>
              <w:rPr>
                <w:sz w:val="18"/>
              </w:rPr>
              <w:t>Professional</w:t>
            </w:r>
            <w:r>
              <w:rPr>
                <w:spacing w:val="-9"/>
                <w:sz w:val="18"/>
              </w:rPr>
              <w:t> </w:t>
            </w:r>
            <w:r>
              <w:rPr>
                <w:spacing w:val="-2"/>
                <w:sz w:val="18"/>
              </w:rPr>
              <w:t>staff</w:t>
            </w:r>
          </w:p>
        </w:tc>
        <w:tc>
          <w:tcPr>
            <w:tcW w:w="578" w:type="dxa"/>
            <w:shd w:val="clear" w:color="auto" w:fill="BEBEBE"/>
          </w:tcPr>
          <w:p>
            <w:pPr>
              <w:pStyle w:val="TableParagraph"/>
              <w:jc w:val="left"/>
              <w:rPr>
                <w:sz w:val="18"/>
              </w:rPr>
            </w:pPr>
          </w:p>
        </w:tc>
        <w:tc>
          <w:tcPr>
            <w:tcW w:w="1010" w:type="dxa"/>
          </w:tcPr>
          <w:p>
            <w:pPr>
              <w:pStyle w:val="TableParagraph"/>
              <w:jc w:val="left"/>
              <w:rPr>
                <w:sz w:val="18"/>
              </w:rPr>
            </w:pPr>
          </w:p>
        </w:tc>
        <w:tc>
          <w:tcPr>
            <w:tcW w:w="1117" w:type="dxa"/>
          </w:tcPr>
          <w:p>
            <w:pPr>
              <w:pStyle w:val="TableParagraph"/>
              <w:jc w:val="left"/>
              <w:rPr>
                <w:sz w:val="18"/>
              </w:rPr>
            </w:pPr>
          </w:p>
        </w:tc>
        <w:tc>
          <w:tcPr>
            <w:tcW w:w="1103" w:type="dxa"/>
          </w:tcPr>
          <w:p>
            <w:pPr>
              <w:pStyle w:val="TableParagraph"/>
              <w:jc w:val="left"/>
              <w:rPr>
                <w:sz w:val="18"/>
              </w:rPr>
            </w:pPr>
          </w:p>
        </w:tc>
        <w:tc>
          <w:tcPr>
            <w:tcW w:w="1498" w:type="dxa"/>
          </w:tcPr>
          <w:p>
            <w:pPr>
              <w:pStyle w:val="TableParagraph"/>
              <w:jc w:val="left"/>
              <w:rPr>
                <w:sz w:val="18"/>
              </w:rPr>
            </w:pPr>
          </w:p>
        </w:tc>
        <w:tc>
          <w:tcPr>
            <w:tcW w:w="151" w:type="dxa"/>
          </w:tcPr>
          <w:p>
            <w:pPr>
              <w:pStyle w:val="TableParagraph"/>
              <w:jc w:val="left"/>
              <w:rPr>
                <w:sz w:val="18"/>
              </w:rPr>
            </w:pPr>
          </w:p>
        </w:tc>
        <w:tc>
          <w:tcPr>
            <w:tcW w:w="1600" w:type="dxa"/>
          </w:tcPr>
          <w:p>
            <w:pPr>
              <w:pStyle w:val="TableParagraph"/>
              <w:spacing w:before="52"/>
              <w:ind w:right="12"/>
              <w:rPr>
                <w:sz w:val="18"/>
              </w:rPr>
            </w:pPr>
            <w:r>
              <w:rPr>
                <w:spacing w:val="-2"/>
                <w:sz w:val="18"/>
              </w:rPr>
              <w:t>203.0</w:t>
            </w:r>
          </w:p>
        </w:tc>
      </w:tr>
      <w:tr>
        <w:trPr>
          <w:trHeight w:val="285" w:hRule="atLeast"/>
        </w:trPr>
        <w:tc>
          <w:tcPr>
            <w:tcW w:w="2648" w:type="dxa"/>
          </w:tcPr>
          <w:p>
            <w:pPr>
              <w:pStyle w:val="TableParagraph"/>
              <w:spacing w:before="35"/>
              <w:ind w:left="19"/>
              <w:jc w:val="left"/>
              <w:rPr>
                <w:sz w:val="18"/>
              </w:rPr>
            </w:pPr>
            <w:r>
              <w:rPr>
                <w:sz w:val="18"/>
              </w:rPr>
              <w:t>General</w:t>
            </w:r>
            <w:r>
              <w:rPr>
                <w:spacing w:val="-5"/>
                <w:sz w:val="18"/>
              </w:rPr>
              <w:t> </w:t>
            </w:r>
            <w:r>
              <w:rPr>
                <w:sz w:val="18"/>
              </w:rPr>
              <w:t>Service</w:t>
            </w:r>
            <w:r>
              <w:rPr>
                <w:spacing w:val="-6"/>
                <w:sz w:val="18"/>
              </w:rPr>
              <w:t> </w:t>
            </w:r>
            <w:r>
              <w:rPr>
                <w:spacing w:val="-4"/>
                <w:sz w:val="18"/>
              </w:rPr>
              <w:t>staff</w:t>
            </w:r>
          </w:p>
        </w:tc>
        <w:tc>
          <w:tcPr>
            <w:tcW w:w="578" w:type="dxa"/>
            <w:shd w:val="clear" w:color="auto" w:fill="BEBEBE"/>
          </w:tcPr>
          <w:p>
            <w:pPr>
              <w:pStyle w:val="TableParagraph"/>
              <w:jc w:val="left"/>
              <w:rPr>
                <w:sz w:val="18"/>
              </w:rPr>
            </w:pPr>
          </w:p>
        </w:tc>
        <w:tc>
          <w:tcPr>
            <w:tcW w:w="1010" w:type="dxa"/>
          </w:tcPr>
          <w:p>
            <w:pPr>
              <w:pStyle w:val="TableParagraph"/>
              <w:jc w:val="left"/>
              <w:rPr>
                <w:sz w:val="18"/>
              </w:rPr>
            </w:pPr>
          </w:p>
        </w:tc>
        <w:tc>
          <w:tcPr>
            <w:tcW w:w="1117" w:type="dxa"/>
          </w:tcPr>
          <w:p>
            <w:pPr>
              <w:pStyle w:val="TableParagraph"/>
              <w:jc w:val="left"/>
              <w:rPr>
                <w:sz w:val="18"/>
              </w:rPr>
            </w:pPr>
          </w:p>
        </w:tc>
        <w:tc>
          <w:tcPr>
            <w:tcW w:w="1103" w:type="dxa"/>
          </w:tcPr>
          <w:p>
            <w:pPr>
              <w:pStyle w:val="TableParagraph"/>
              <w:jc w:val="left"/>
              <w:rPr>
                <w:sz w:val="18"/>
              </w:rPr>
            </w:pPr>
          </w:p>
        </w:tc>
        <w:tc>
          <w:tcPr>
            <w:tcW w:w="1498" w:type="dxa"/>
          </w:tcPr>
          <w:p>
            <w:pPr>
              <w:pStyle w:val="TableParagraph"/>
              <w:jc w:val="left"/>
              <w:rPr>
                <w:sz w:val="18"/>
              </w:rPr>
            </w:pPr>
          </w:p>
        </w:tc>
        <w:tc>
          <w:tcPr>
            <w:tcW w:w="151" w:type="dxa"/>
          </w:tcPr>
          <w:p>
            <w:pPr>
              <w:pStyle w:val="TableParagraph"/>
              <w:jc w:val="left"/>
              <w:rPr>
                <w:sz w:val="18"/>
              </w:rPr>
            </w:pPr>
          </w:p>
        </w:tc>
        <w:tc>
          <w:tcPr>
            <w:tcW w:w="1600" w:type="dxa"/>
          </w:tcPr>
          <w:p>
            <w:pPr>
              <w:pStyle w:val="TableParagraph"/>
              <w:spacing w:before="35"/>
              <w:ind w:right="12"/>
              <w:rPr>
                <w:sz w:val="18"/>
              </w:rPr>
            </w:pPr>
            <w:r>
              <w:rPr>
                <w:spacing w:val="-4"/>
                <w:sz w:val="18"/>
              </w:rPr>
              <w:t>70.9</w:t>
            </w:r>
          </w:p>
        </w:tc>
      </w:tr>
      <w:tr>
        <w:trPr>
          <w:trHeight w:val="292" w:hRule="atLeast"/>
        </w:trPr>
        <w:tc>
          <w:tcPr>
            <w:tcW w:w="2648" w:type="dxa"/>
            <w:tcBorders>
              <w:bottom w:val="single" w:sz="4" w:space="0" w:color="000000"/>
            </w:tcBorders>
          </w:tcPr>
          <w:p>
            <w:pPr>
              <w:pStyle w:val="TableParagraph"/>
              <w:spacing w:before="48"/>
              <w:ind w:left="19"/>
              <w:jc w:val="left"/>
              <w:rPr>
                <w:i/>
                <w:sz w:val="18"/>
              </w:rPr>
            </w:pPr>
            <w:r>
              <w:rPr>
                <w:i/>
                <w:sz w:val="18"/>
              </w:rPr>
              <w:t>Subtotal</w:t>
            </w:r>
            <w:r>
              <w:rPr>
                <w:i/>
                <w:spacing w:val="-1"/>
                <w:sz w:val="18"/>
              </w:rPr>
              <w:t> </w:t>
            </w:r>
            <w:r>
              <w:rPr>
                <w:i/>
                <w:spacing w:val="-2"/>
                <w:sz w:val="18"/>
              </w:rPr>
              <w:t>staff</w:t>
            </w:r>
          </w:p>
        </w:tc>
        <w:tc>
          <w:tcPr>
            <w:tcW w:w="578" w:type="dxa"/>
            <w:tcBorders>
              <w:bottom w:val="single" w:sz="4" w:space="0" w:color="000000"/>
            </w:tcBorders>
          </w:tcPr>
          <w:p>
            <w:pPr>
              <w:pStyle w:val="TableParagraph"/>
              <w:jc w:val="left"/>
              <w:rPr>
                <w:sz w:val="18"/>
              </w:rPr>
            </w:pPr>
          </w:p>
        </w:tc>
        <w:tc>
          <w:tcPr>
            <w:tcW w:w="1010" w:type="dxa"/>
            <w:tcBorders>
              <w:bottom w:val="single" w:sz="4" w:space="0" w:color="000000"/>
            </w:tcBorders>
          </w:tcPr>
          <w:p>
            <w:pPr>
              <w:pStyle w:val="TableParagraph"/>
              <w:jc w:val="left"/>
              <w:rPr>
                <w:sz w:val="18"/>
              </w:rPr>
            </w:pPr>
          </w:p>
        </w:tc>
        <w:tc>
          <w:tcPr>
            <w:tcW w:w="1117" w:type="dxa"/>
            <w:tcBorders>
              <w:bottom w:val="single" w:sz="4" w:space="0" w:color="000000"/>
            </w:tcBorders>
          </w:tcPr>
          <w:p>
            <w:pPr>
              <w:pStyle w:val="TableParagraph"/>
              <w:jc w:val="left"/>
              <w:rPr>
                <w:sz w:val="18"/>
              </w:rPr>
            </w:pPr>
          </w:p>
        </w:tc>
        <w:tc>
          <w:tcPr>
            <w:tcW w:w="1103" w:type="dxa"/>
            <w:tcBorders>
              <w:bottom w:val="single" w:sz="4" w:space="0" w:color="000000"/>
            </w:tcBorders>
          </w:tcPr>
          <w:p>
            <w:pPr>
              <w:pStyle w:val="TableParagraph"/>
              <w:jc w:val="left"/>
              <w:rPr>
                <w:sz w:val="18"/>
              </w:rPr>
            </w:pPr>
          </w:p>
        </w:tc>
        <w:tc>
          <w:tcPr>
            <w:tcW w:w="1498" w:type="dxa"/>
            <w:tcBorders>
              <w:bottom w:val="single" w:sz="4" w:space="0" w:color="000000"/>
            </w:tcBorders>
          </w:tcPr>
          <w:p>
            <w:pPr>
              <w:pStyle w:val="TableParagraph"/>
              <w:jc w:val="left"/>
              <w:rPr>
                <w:sz w:val="18"/>
              </w:rPr>
            </w:pPr>
          </w:p>
        </w:tc>
        <w:tc>
          <w:tcPr>
            <w:tcW w:w="151" w:type="dxa"/>
            <w:tcBorders>
              <w:bottom w:val="single" w:sz="4" w:space="0" w:color="000000"/>
            </w:tcBorders>
          </w:tcPr>
          <w:p>
            <w:pPr>
              <w:pStyle w:val="TableParagraph"/>
              <w:jc w:val="left"/>
              <w:rPr>
                <w:sz w:val="18"/>
              </w:rPr>
            </w:pPr>
          </w:p>
        </w:tc>
        <w:tc>
          <w:tcPr>
            <w:tcW w:w="1600" w:type="dxa"/>
            <w:tcBorders>
              <w:bottom w:val="single" w:sz="4" w:space="0" w:color="000000"/>
            </w:tcBorders>
          </w:tcPr>
          <w:p>
            <w:pPr>
              <w:pStyle w:val="TableParagraph"/>
              <w:spacing w:before="48"/>
              <w:ind w:right="12"/>
              <w:rPr>
                <w:i/>
                <w:sz w:val="18"/>
              </w:rPr>
            </w:pPr>
            <w:r>
              <w:rPr>
                <w:i/>
                <w:spacing w:val="-2"/>
                <w:sz w:val="18"/>
              </w:rPr>
              <w:t>273.9</w:t>
            </w:r>
          </w:p>
        </w:tc>
      </w:tr>
      <w:tr>
        <w:trPr>
          <w:trHeight w:val="293" w:hRule="atLeast"/>
        </w:trPr>
        <w:tc>
          <w:tcPr>
            <w:tcW w:w="2648" w:type="dxa"/>
            <w:tcBorders>
              <w:top w:val="single" w:sz="4" w:space="0" w:color="000000"/>
            </w:tcBorders>
          </w:tcPr>
          <w:p>
            <w:pPr>
              <w:pStyle w:val="TableParagraph"/>
              <w:spacing w:before="43"/>
              <w:ind w:left="19"/>
              <w:jc w:val="left"/>
              <w:rPr>
                <w:sz w:val="18"/>
              </w:rPr>
            </w:pPr>
            <w:r>
              <w:rPr>
                <w:sz w:val="18"/>
              </w:rPr>
              <w:t>General</w:t>
            </w:r>
            <w:r>
              <w:rPr>
                <w:spacing w:val="-7"/>
                <w:sz w:val="18"/>
              </w:rPr>
              <w:t> </w:t>
            </w:r>
            <w:r>
              <w:rPr>
                <w:sz w:val="18"/>
              </w:rPr>
              <w:t>temporary</w:t>
            </w:r>
            <w:r>
              <w:rPr>
                <w:spacing w:val="-4"/>
                <w:sz w:val="18"/>
              </w:rPr>
              <w:t> </w:t>
            </w:r>
            <w:r>
              <w:rPr>
                <w:spacing w:val="-2"/>
                <w:sz w:val="18"/>
              </w:rPr>
              <w:t>assistance</w:t>
            </w:r>
          </w:p>
        </w:tc>
        <w:tc>
          <w:tcPr>
            <w:tcW w:w="578" w:type="dxa"/>
            <w:tcBorders>
              <w:top w:val="single" w:sz="4" w:space="0" w:color="000000"/>
            </w:tcBorders>
          </w:tcPr>
          <w:p>
            <w:pPr>
              <w:pStyle w:val="TableParagraph"/>
              <w:spacing w:before="43"/>
              <w:ind w:right="128"/>
              <w:rPr>
                <w:sz w:val="18"/>
              </w:rPr>
            </w:pPr>
            <w:r>
              <w:rPr>
                <w:w w:val="101"/>
                <w:sz w:val="18"/>
              </w:rPr>
              <w:t>-</w:t>
            </w:r>
          </w:p>
        </w:tc>
        <w:tc>
          <w:tcPr>
            <w:tcW w:w="1010" w:type="dxa"/>
            <w:tcBorders>
              <w:top w:val="single" w:sz="4" w:space="0" w:color="000000"/>
            </w:tcBorders>
          </w:tcPr>
          <w:p>
            <w:pPr>
              <w:pStyle w:val="TableParagraph"/>
              <w:spacing w:before="43"/>
              <w:ind w:right="149"/>
              <w:rPr>
                <w:sz w:val="18"/>
              </w:rPr>
            </w:pPr>
            <w:r>
              <w:rPr>
                <w:w w:val="101"/>
                <w:sz w:val="18"/>
              </w:rPr>
              <w:t>-</w:t>
            </w:r>
          </w:p>
        </w:tc>
        <w:tc>
          <w:tcPr>
            <w:tcW w:w="1117" w:type="dxa"/>
            <w:tcBorders>
              <w:top w:val="single" w:sz="4" w:space="0" w:color="000000"/>
            </w:tcBorders>
          </w:tcPr>
          <w:p>
            <w:pPr>
              <w:pStyle w:val="TableParagraph"/>
              <w:spacing w:before="43"/>
              <w:ind w:right="46"/>
              <w:rPr>
                <w:sz w:val="18"/>
              </w:rPr>
            </w:pPr>
            <w:r>
              <w:rPr>
                <w:w w:val="101"/>
                <w:sz w:val="18"/>
              </w:rPr>
              <w:t>-</w:t>
            </w:r>
          </w:p>
        </w:tc>
        <w:tc>
          <w:tcPr>
            <w:tcW w:w="1103" w:type="dxa"/>
            <w:tcBorders>
              <w:top w:val="single" w:sz="4" w:space="0" w:color="000000"/>
            </w:tcBorders>
          </w:tcPr>
          <w:p>
            <w:pPr>
              <w:pStyle w:val="TableParagraph"/>
              <w:spacing w:before="43"/>
              <w:ind w:right="50"/>
              <w:rPr>
                <w:sz w:val="18"/>
              </w:rPr>
            </w:pPr>
            <w:r>
              <w:rPr>
                <w:w w:val="101"/>
                <w:sz w:val="18"/>
              </w:rPr>
              <w:t>-</w:t>
            </w:r>
          </w:p>
        </w:tc>
        <w:tc>
          <w:tcPr>
            <w:tcW w:w="1498" w:type="dxa"/>
            <w:tcBorders>
              <w:top w:val="single" w:sz="4" w:space="0" w:color="000000"/>
            </w:tcBorders>
          </w:tcPr>
          <w:p>
            <w:pPr>
              <w:pStyle w:val="TableParagraph"/>
              <w:spacing w:before="43"/>
              <w:ind w:left="219"/>
              <w:jc w:val="center"/>
              <w:rPr>
                <w:sz w:val="18"/>
              </w:rPr>
            </w:pPr>
            <w:r>
              <w:rPr>
                <w:w w:val="101"/>
                <w:sz w:val="18"/>
              </w:rPr>
              <w:t>-</w:t>
            </w:r>
          </w:p>
        </w:tc>
        <w:tc>
          <w:tcPr>
            <w:tcW w:w="151" w:type="dxa"/>
            <w:tcBorders>
              <w:top w:val="single" w:sz="4" w:space="0" w:color="000000"/>
            </w:tcBorders>
          </w:tcPr>
          <w:p>
            <w:pPr>
              <w:pStyle w:val="TableParagraph"/>
              <w:spacing w:before="43"/>
              <w:ind w:right="5"/>
              <w:jc w:val="center"/>
              <w:rPr>
                <w:sz w:val="18"/>
              </w:rPr>
            </w:pPr>
            <w:r>
              <w:rPr>
                <w:w w:val="101"/>
                <w:sz w:val="18"/>
              </w:rPr>
              <w:t>-</w:t>
            </w:r>
          </w:p>
        </w:tc>
        <w:tc>
          <w:tcPr>
            <w:tcW w:w="1600" w:type="dxa"/>
            <w:tcBorders>
              <w:top w:val="single" w:sz="4" w:space="0" w:color="000000"/>
            </w:tcBorders>
          </w:tcPr>
          <w:p>
            <w:pPr>
              <w:pStyle w:val="TableParagraph"/>
              <w:spacing w:before="43"/>
              <w:ind w:right="62"/>
              <w:rPr>
                <w:sz w:val="18"/>
              </w:rPr>
            </w:pPr>
            <w:r>
              <w:rPr>
                <w:w w:val="101"/>
                <w:sz w:val="18"/>
              </w:rPr>
              <w:t>-</w:t>
            </w:r>
          </w:p>
        </w:tc>
      </w:tr>
      <w:tr>
        <w:trPr>
          <w:trHeight w:val="287" w:hRule="atLeast"/>
        </w:trPr>
        <w:tc>
          <w:tcPr>
            <w:tcW w:w="2648" w:type="dxa"/>
          </w:tcPr>
          <w:p>
            <w:pPr>
              <w:pStyle w:val="TableParagraph"/>
              <w:spacing w:before="37"/>
              <w:ind w:left="19"/>
              <w:jc w:val="left"/>
              <w:rPr>
                <w:sz w:val="18"/>
              </w:rPr>
            </w:pPr>
            <w:r>
              <w:rPr>
                <w:sz w:val="18"/>
              </w:rPr>
              <w:t>Temporary</w:t>
            </w:r>
            <w:r>
              <w:rPr>
                <w:spacing w:val="-6"/>
                <w:sz w:val="18"/>
              </w:rPr>
              <w:t> </w:t>
            </w:r>
            <w:r>
              <w:rPr>
                <w:sz w:val="18"/>
              </w:rPr>
              <w:t>assistance</w:t>
            </w:r>
            <w:r>
              <w:rPr>
                <w:spacing w:val="-6"/>
                <w:sz w:val="18"/>
              </w:rPr>
              <w:t> </w:t>
            </w:r>
            <w:r>
              <w:rPr>
                <w:sz w:val="18"/>
              </w:rPr>
              <w:t>for</w:t>
            </w:r>
            <w:r>
              <w:rPr>
                <w:spacing w:val="-8"/>
                <w:sz w:val="18"/>
              </w:rPr>
              <w:t> </w:t>
            </w:r>
            <w:r>
              <w:rPr>
                <w:spacing w:val="-2"/>
                <w:sz w:val="18"/>
              </w:rPr>
              <w:t>meetings</w:t>
            </w:r>
          </w:p>
        </w:tc>
        <w:tc>
          <w:tcPr>
            <w:tcW w:w="578" w:type="dxa"/>
          </w:tcPr>
          <w:p>
            <w:pPr>
              <w:pStyle w:val="TableParagraph"/>
              <w:spacing w:before="37"/>
              <w:ind w:left="382"/>
              <w:jc w:val="left"/>
              <w:rPr>
                <w:sz w:val="18"/>
              </w:rPr>
            </w:pPr>
            <w:r>
              <w:rPr>
                <w:w w:val="101"/>
                <w:sz w:val="18"/>
              </w:rPr>
              <w:t>-</w:t>
            </w:r>
          </w:p>
        </w:tc>
        <w:tc>
          <w:tcPr>
            <w:tcW w:w="1010" w:type="dxa"/>
          </w:tcPr>
          <w:p>
            <w:pPr>
              <w:pStyle w:val="TableParagraph"/>
              <w:spacing w:before="37"/>
              <w:ind w:right="149"/>
              <w:rPr>
                <w:sz w:val="18"/>
              </w:rPr>
            </w:pPr>
            <w:r>
              <w:rPr>
                <w:w w:val="101"/>
                <w:sz w:val="18"/>
              </w:rPr>
              <w:t>-</w:t>
            </w:r>
          </w:p>
        </w:tc>
        <w:tc>
          <w:tcPr>
            <w:tcW w:w="1117" w:type="dxa"/>
          </w:tcPr>
          <w:p>
            <w:pPr>
              <w:pStyle w:val="TableParagraph"/>
              <w:spacing w:before="37"/>
              <w:ind w:right="46"/>
              <w:rPr>
                <w:sz w:val="18"/>
              </w:rPr>
            </w:pPr>
            <w:r>
              <w:rPr>
                <w:w w:val="101"/>
                <w:sz w:val="18"/>
              </w:rPr>
              <w:t>-</w:t>
            </w:r>
          </w:p>
        </w:tc>
        <w:tc>
          <w:tcPr>
            <w:tcW w:w="1103" w:type="dxa"/>
          </w:tcPr>
          <w:p>
            <w:pPr>
              <w:pStyle w:val="TableParagraph"/>
              <w:spacing w:before="37"/>
              <w:ind w:right="50"/>
              <w:rPr>
                <w:sz w:val="18"/>
              </w:rPr>
            </w:pPr>
            <w:r>
              <w:rPr>
                <w:w w:val="101"/>
                <w:sz w:val="18"/>
              </w:rPr>
              <w:t>-</w:t>
            </w:r>
          </w:p>
        </w:tc>
        <w:tc>
          <w:tcPr>
            <w:tcW w:w="1498" w:type="dxa"/>
          </w:tcPr>
          <w:p>
            <w:pPr>
              <w:pStyle w:val="TableParagraph"/>
              <w:spacing w:before="37"/>
              <w:ind w:left="219"/>
              <w:jc w:val="center"/>
              <w:rPr>
                <w:sz w:val="18"/>
              </w:rPr>
            </w:pPr>
            <w:r>
              <w:rPr>
                <w:w w:val="101"/>
                <w:sz w:val="18"/>
              </w:rPr>
              <w:t>-</w:t>
            </w:r>
          </w:p>
        </w:tc>
        <w:tc>
          <w:tcPr>
            <w:tcW w:w="151" w:type="dxa"/>
          </w:tcPr>
          <w:p>
            <w:pPr>
              <w:pStyle w:val="TableParagraph"/>
              <w:spacing w:before="37"/>
              <w:ind w:right="5"/>
              <w:jc w:val="center"/>
              <w:rPr>
                <w:sz w:val="18"/>
              </w:rPr>
            </w:pPr>
            <w:r>
              <w:rPr>
                <w:w w:val="101"/>
                <w:sz w:val="18"/>
              </w:rPr>
              <w:t>-</w:t>
            </w:r>
          </w:p>
        </w:tc>
        <w:tc>
          <w:tcPr>
            <w:tcW w:w="1600" w:type="dxa"/>
          </w:tcPr>
          <w:p>
            <w:pPr>
              <w:pStyle w:val="TableParagraph"/>
              <w:spacing w:before="37"/>
              <w:ind w:right="62"/>
              <w:rPr>
                <w:sz w:val="18"/>
              </w:rPr>
            </w:pPr>
            <w:r>
              <w:rPr>
                <w:w w:val="101"/>
                <w:sz w:val="18"/>
              </w:rPr>
              <w:t>-</w:t>
            </w:r>
          </w:p>
        </w:tc>
      </w:tr>
      <w:tr>
        <w:trPr>
          <w:trHeight w:val="277" w:hRule="atLeast"/>
        </w:trPr>
        <w:tc>
          <w:tcPr>
            <w:tcW w:w="2648" w:type="dxa"/>
            <w:tcBorders>
              <w:bottom w:val="single" w:sz="4" w:space="0" w:color="000000"/>
            </w:tcBorders>
          </w:tcPr>
          <w:p>
            <w:pPr>
              <w:pStyle w:val="TableParagraph"/>
              <w:spacing w:before="37"/>
              <w:ind w:left="19"/>
              <w:jc w:val="left"/>
              <w:rPr>
                <w:sz w:val="18"/>
              </w:rPr>
            </w:pPr>
            <w:r>
              <w:rPr>
                <w:spacing w:val="-2"/>
                <w:sz w:val="18"/>
              </w:rPr>
              <w:t>Overtime</w:t>
            </w:r>
          </w:p>
        </w:tc>
        <w:tc>
          <w:tcPr>
            <w:tcW w:w="578" w:type="dxa"/>
            <w:tcBorders>
              <w:bottom w:val="single" w:sz="4" w:space="0" w:color="000000"/>
            </w:tcBorders>
          </w:tcPr>
          <w:p>
            <w:pPr>
              <w:pStyle w:val="TableParagraph"/>
              <w:spacing w:before="37"/>
              <w:ind w:right="128"/>
              <w:rPr>
                <w:sz w:val="18"/>
              </w:rPr>
            </w:pPr>
            <w:r>
              <w:rPr>
                <w:w w:val="101"/>
                <w:sz w:val="18"/>
              </w:rPr>
              <w:t>-</w:t>
            </w:r>
          </w:p>
        </w:tc>
        <w:tc>
          <w:tcPr>
            <w:tcW w:w="1010" w:type="dxa"/>
            <w:tcBorders>
              <w:bottom w:val="single" w:sz="4" w:space="0" w:color="000000"/>
            </w:tcBorders>
          </w:tcPr>
          <w:p>
            <w:pPr>
              <w:pStyle w:val="TableParagraph"/>
              <w:spacing w:before="37"/>
              <w:ind w:right="149"/>
              <w:rPr>
                <w:sz w:val="18"/>
              </w:rPr>
            </w:pPr>
            <w:r>
              <w:rPr>
                <w:w w:val="101"/>
                <w:sz w:val="18"/>
              </w:rPr>
              <w:t>-</w:t>
            </w:r>
          </w:p>
        </w:tc>
        <w:tc>
          <w:tcPr>
            <w:tcW w:w="1117" w:type="dxa"/>
            <w:tcBorders>
              <w:bottom w:val="single" w:sz="4" w:space="0" w:color="000000"/>
            </w:tcBorders>
          </w:tcPr>
          <w:p>
            <w:pPr>
              <w:pStyle w:val="TableParagraph"/>
              <w:spacing w:before="37"/>
              <w:ind w:right="46"/>
              <w:rPr>
                <w:sz w:val="18"/>
              </w:rPr>
            </w:pPr>
            <w:r>
              <w:rPr>
                <w:w w:val="101"/>
                <w:sz w:val="18"/>
              </w:rPr>
              <w:t>-</w:t>
            </w:r>
          </w:p>
        </w:tc>
        <w:tc>
          <w:tcPr>
            <w:tcW w:w="1103" w:type="dxa"/>
            <w:tcBorders>
              <w:bottom w:val="single" w:sz="4" w:space="0" w:color="000000"/>
            </w:tcBorders>
          </w:tcPr>
          <w:p>
            <w:pPr>
              <w:pStyle w:val="TableParagraph"/>
              <w:spacing w:before="37"/>
              <w:ind w:right="50"/>
              <w:rPr>
                <w:sz w:val="18"/>
              </w:rPr>
            </w:pPr>
            <w:r>
              <w:rPr>
                <w:w w:val="101"/>
                <w:sz w:val="18"/>
              </w:rPr>
              <w:t>-</w:t>
            </w:r>
          </w:p>
        </w:tc>
        <w:tc>
          <w:tcPr>
            <w:tcW w:w="1498" w:type="dxa"/>
            <w:tcBorders>
              <w:bottom w:val="single" w:sz="4" w:space="0" w:color="000000"/>
            </w:tcBorders>
          </w:tcPr>
          <w:p>
            <w:pPr>
              <w:pStyle w:val="TableParagraph"/>
              <w:spacing w:before="37"/>
              <w:ind w:left="219"/>
              <w:jc w:val="center"/>
              <w:rPr>
                <w:sz w:val="18"/>
              </w:rPr>
            </w:pPr>
            <w:r>
              <w:rPr>
                <w:w w:val="101"/>
                <w:sz w:val="18"/>
              </w:rPr>
              <w:t>-</w:t>
            </w:r>
          </w:p>
        </w:tc>
        <w:tc>
          <w:tcPr>
            <w:tcW w:w="151" w:type="dxa"/>
            <w:tcBorders>
              <w:bottom w:val="single" w:sz="4" w:space="0" w:color="000000"/>
            </w:tcBorders>
          </w:tcPr>
          <w:p>
            <w:pPr>
              <w:pStyle w:val="TableParagraph"/>
              <w:spacing w:before="37"/>
              <w:ind w:right="5"/>
              <w:jc w:val="center"/>
              <w:rPr>
                <w:sz w:val="18"/>
              </w:rPr>
            </w:pPr>
            <w:r>
              <w:rPr>
                <w:w w:val="101"/>
                <w:sz w:val="18"/>
              </w:rPr>
              <w:t>-</w:t>
            </w:r>
          </w:p>
        </w:tc>
        <w:tc>
          <w:tcPr>
            <w:tcW w:w="1600" w:type="dxa"/>
            <w:tcBorders>
              <w:bottom w:val="single" w:sz="4" w:space="0" w:color="000000"/>
            </w:tcBorders>
          </w:tcPr>
          <w:p>
            <w:pPr>
              <w:pStyle w:val="TableParagraph"/>
              <w:spacing w:before="37"/>
              <w:ind w:right="62"/>
              <w:rPr>
                <w:sz w:val="18"/>
              </w:rPr>
            </w:pPr>
            <w:r>
              <w:rPr>
                <w:w w:val="101"/>
                <w:sz w:val="18"/>
              </w:rPr>
              <w:t>-</w:t>
            </w:r>
          </w:p>
        </w:tc>
      </w:tr>
      <w:tr>
        <w:trPr>
          <w:trHeight w:val="287" w:hRule="atLeast"/>
        </w:trPr>
        <w:tc>
          <w:tcPr>
            <w:tcW w:w="2648" w:type="dxa"/>
            <w:tcBorders>
              <w:top w:val="single" w:sz="4" w:space="0" w:color="000000"/>
              <w:bottom w:val="single" w:sz="4" w:space="0" w:color="000000"/>
            </w:tcBorders>
          </w:tcPr>
          <w:p>
            <w:pPr>
              <w:pStyle w:val="TableParagraph"/>
              <w:spacing w:before="47"/>
              <w:ind w:left="19"/>
              <w:jc w:val="left"/>
              <w:rPr>
                <w:i/>
                <w:sz w:val="18"/>
              </w:rPr>
            </w:pPr>
            <w:r>
              <w:rPr>
                <w:i/>
                <w:sz w:val="18"/>
              </w:rPr>
              <w:t>Subtotal</w:t>
            </w:r>
            <w:r>
              <w:rPr>
                <w:i/>
                <w:spacing w:val="-1"/>
                <w:sz w:val="18"/>
              </w:rPr>
              <w:t> </w:t>
            </w:r>
            <w:r>
              <w:rPr>
                <w:i/>
                <w:sz w:val="18"/>
              </w:rPr>
              <w:t>other</w:t>
            </w:r>
            <w:r>
              <w:rPr>
                <w:i/>
                <w:spacing w:val="-6"/>
                <w:sz w:val="18"/>
              </w:rPr>
              <w:t> </w:t>
            </w:r>
            <w:r>
              <w:rPr>
                <w:i/>
                <w:spacing w:val="-2"/>
                <w:sz w:val="18"/>
              </w:rPr>
              <w:t>staff</w:t>
            </w:r>
          </w:p>
        </w:tc>
        <w:tc>
          <w:tcPr>
            <w:tcW w:w="578" w:type="dxa"/>
            <w:tcBorders>
              <w:top w:val="single" w:sz="4" w:space="0" w:color="000000"/>
              <w:bottom w:val="single" w:sz="4" w:space="0" w:color="000000"/>
            </w:tcBorders>
          </w:tcPr>
          <w:p>
            <w:pPr>
              <w:pStyle w:val="TableParagraph"/>
              <w:spacing w:before="47"/>
              <w:ind w:right="128"/>
              <w:rPr>
                <w:sz w:val="18"/>
              </w:rPr>
            </w:pPr>
            <w:r>
              <w:rPr>
                <w:w w:val="101"/>
                <w:sz w:val="18"/>
              </w:rPr>
              <w:t>-</w:t>
            </w:r>
          </w:p>
        </w:tc>
        <w:tc>
          <w:tcPr>
            <w:tcW w:w="1010" w:type="dxa"/>
            <w:tcBorders>
              <w:top w:val="single" w:sz="4" w:space="0" w:color="000000"/>
              <w:bottom w:val="single" w:sz="4" w:space="0" w:color="000000"/>
            </w:tcBorders>
          </w:tcPr>
          <w:p>
            <w:pPr>
              <w:pStyle w:val="TableParagraph"/>
              <w:spacing w:before="47"/>
              <w:ind w:right="149"/>
              <w:rPr>
                <w:sz w:val="18"/>
              </w:rPr>
            </w:pPr>
            <w:r>
              <w:rPr>
                <w:w w:val="101"/>
                <w:sz w:val="18"/>
              </w:rPr>
              <w:t>-</w:t>
            </w:r>
          </w:p>
        </w:tc>
        <w:tc>
          <w:tcPr>
            <w:tcW w:w="1117" w:type="dxa"/>
            <w:tcBorders>
              <w:top w:val="single" w:sz="4" w:space="0" w:color="000000"/>
              <w:bottom w:val="single" w:sz="4" w:space="0" w:color="000000"/>
            </w:tcBorders>
          </w:tcPr>
          <w:p>
            <w:pPr>
              <w:pStyle w:val="TableParagraph"/>
              <w:spacing w:before="47"/>
              <w:ind w:right="46"/>
              <w:rPr>
                <w:sz w:val="18"/>
              </w:rPr>
            </w:pPr>
            <w:r>
              <w:rPr>
                <w:w w:val="101"/>
                <w:sz w:val="18"/>
              </w:rPr>
              <w:t>-</w:t>
            </w:r>
          </w:p>
        </w:tc>
        <w:tc>
          <w:tcPr>
            <w:tcW w:w="1103" w:type="dxa"/>
            <w:tcBorders>
              <w:top w:val="single" w:sz="4" w:space="0" w:color="000000"/>
              <w:bottom w:val="single" w:sz="4" w:space="0" w:color="000000"/>
            </w:tcBorders>
          </w:tcPr>
          <w:p>
            <w:pPr>
              <w:pStyle w:val="TableParagraph"/>
              <w:spacing w:before="47"/>
              <w:ind w:right="50"/>
              <w:rPr>
                <w:sz w:val="18"/>
              </w:rPr>
            </w:pPr>
            <w:r>
              <w:rPr>
                <w:w w:val="101"/>
                <w:sz w:val="18"/>
              </w:rPr>
              <w:t>-</w:t>
            </w:r>
          </w:p>
        </w:tc>
        <w:tc>
          <w:tcPr>
            <w:tcW w:w="1498" w:type="dxa"/>
            <w:tcBorders>
              <w:top w:val="single" w:sz="4" w:space="0" w:color="000000"/>
              <w:bottom w:val="single" w:sz="4" w:space="0" w:color="000000"/>
            </w:tcBorders>
          </w:tcPr>
          <w:p>
            <w:pPr>
              <w:pStyle w:val="TableParagraph"/>
              <w:spacing w:before="47"/>
              <w:ind w:left="219"/>
              <w:jc w:val="center"/>
              <w:rPr>
                <w:sz w:val="18"/>
              </w:rPr>
            </w:pPr>
            <w:r>
              <w:rPr>
                <w:w w:val="101"/>
                <w:sz w:val="18"/>
              </w:rPr>
              <w:t>-</w:t>
            </w:r>
          </w:p>
        </w:tc>
        <w:tc>
          <w:tcPr>
            <w:tcW w:w="151" w:type="dxa"/>
            <w:tcBorders>
              <w:top w:val="single" w:sz="4" w:space="0" w:color="000000"/>
              <w:bottom w:val="single" w:sz="4" w:space="0" w:color="000000"/>
            </w:tcBorders>
          </w:tcPr>
          <w:p>
            <w:pPr>
              <w:pStyle w:val="TableParagraph"/>
              <w:spacing w:before="47"/>
              <w:ind w:right="5"/>
              <w:jc w:val="center"/>
              <w:rPr>
                <w:sz w:val="18"/>
              </w:rPr>
            </w:pPr>
            <w:r>
              <w:rPr>
                <w:w w:val="101"/>
                <w:sz w:val="18"/>
              </w:rPr>
              <w:t>-</w:t>
            </w:r>
          </w:p>
        </w:tc>
        <w:tc>
          <w:tcPr>
            <w:tcW w:w="1600" w:type="dxa"/>
            <w:tcBorders>
              <w:top w:val="single" w:sz="4" w:space="0" w:color="000000"/>
              <w:bottom w:val="single" w:sz="4" w:space="0" w:color="000000"/>
            </w:tcBorders>
          </w:tcPr>
          <w:p>
            <w:pPr>
              <w:pStyle w:val="TableParagraph"/>
              <w:spacing w:before="47"/>
              <w:ind w:right="62"/>
              <w:rPr>
                <w:sz w:val="18"/>
              </w:rPr>
            </w:pPr>
            <w:r>
              <w:rPr>
                <w:w w:val="101"/>
                <w:sz w:val="18"/>
              </w:rPr>
              <w:t>-</w:t>
            </w:r>
          </w:p>
        </w:tc>
      </w:tr>
      <w:tr>
        <w:trPr>
          <w:trHeight w:val="293" w:hRule="atLeast"/>
        </w:trPr>
        <w:tc>
          <w:tcPr>
            <w:tcW w:w="2648" w:type="dxa"/>
            <w:tcBorders>
              <w:top w:val="single" w:sz="4" w:space="0" w:color="000000"/>
            </w:tcBorders>
          </w:tcPr>
          <w:p>
            <w:pPr>
              <w:pStyle w:val="TableParagraph"/>
              <w:spacing w:before="43"/>
              <w:ind w:left="19"/>
              <w:jc w:val="left"/>
              <w:rPr>
                <w:sz w:val="18"/>
              </w:rPr>
            </w:pPr>
            <w:r>
              <w:rPr>
                <w:spacing w:val="-2"/>
                <w:sz w:val="18"/>
              </w:rPr>
              <w:t>Travel</w:t>
            </w:r>
          </w:p>
        </w:tc>
        <w:tc>
          <w:tcPr>
            <w:tcW w:w="578" w:type="dxa"/>
            <w:tcBorders>
              <w:top w:val="single" w:sz="4" w:space="0" w:color="000000"/>
            </w:tcBorders>
          </w:tcPr>
          <w:p>
            <w:pPr>
              <w:pStyle w:val="TableParagraph"/>
              <w:spacing w:before="43"/>
              <w:ind w:right="128"/>
              <w:rPr>
                <w:sz w:val="18"/>
              </w:rPr>
            </w:pPr>
            <w:r>
              <w:rPr>
                <w:w w:val="101"/>
                <w:sz w:val="18"/>
              </w:rPr>
              <w:t>-</w:t>
            </w:r>
          </w:p>
        </w:tc>
        <w:tc>
          <w:tcPr>
            <w:tcW w:w="1010" w:type="dxa"/>
            <w:tcBorders>
              <w:top w:val="single" w:sz="4" w:space="0" w:color="000000"/>
            </w:tcBorders>
          </w:tcPr>
          <w:p>
            <w:pPr>
              <w:pStyle w:val="TableParagraph"/>
              <w:spacing w:before="43"/>
              <w:ind w:right="149"/>
              <w:rPr>
                <w:sz w:val="18"/>
              </w:rPr>
            </w:pPr>
            <w:r>
              <w:rPr>
                <w:w w:val="101"/>
                <w:sz w:val="18"/>
              </w:rPr>
              <w:t>-</w:t>
            </w:r>
          </w:p>
        </w:tc>
        <w:tc>
          <w:tcPr>
            <w:tcW w:w="1117" w:type="dxa"/>
            <w:tcBorders>
              <w:top w:val="single" w:sz="4" w:space="0" w:color="000000"/>
            </w:tcBorders>
          </w:tcPr>
          <w:p>
            <w:pPr>
              <w:pStyle w:val="TableParagraph"/>
              <w:spacing w:before="43"/>
              <w:ind w:right="46"/>
              <w:rPr>
                <w:sz w:val="18"/>
              </w:rPr>
            </w:pPr>
            <w:r>
              <w:rPr>
                <w:w w:val="101"/>
                <w:sz w:val="18"/>
              </w:rPr>
              <w:t>-</w:t>
            </w:r>
          </w:p>
        </w:tc>
        <w:tc>
          <w:tcPr>
            <w:tcW w:w="1103" w:type="dxa"/>
            <w:tcBorders>
              <w:top w:val="single" w:sz="4" w:space="0" w:color="000000"/>
            </w:tcBorders>
          </w:tcPr>
          <w:p>
            <w:pPr>
              <w:pStyle w:val="TableParagraph"/>
              <w:spacing w:before="43"/>
              <w:ind w:right="50"/>
              <w:rPr>
                <w:sz w:val="18"/>
              </w:rPr>
            </w:pPr>
            <w:r>
              <w:rPr>
                <w:w w:val="101"/>
                <w:sz w:val="18"/>
              </w:rPr>
              <w:t>-</w:t>
            </w:r>
          </w:p>
        </w:tc>
        <w:tc>
          <w:tcPr>
            <w:tcW w:w="1498" w:type="dxa"/>
            <w:tcBorders>
              <w:top w:val="single" w:sz="4" w:space="0" w:color="000000"/>
            </w:tcBorders>
          </w:tcPr>
          <w:p>
            <w:pPr>
              <w:pStyle w:val="TableParagraph"/>
              <w:spacing w:before="43"/>
              <w:ind w:left="219"/>
              <w:jc w:val="center"/>
              <w:rPr>
                <w:sz w:val="18"/>
              </w:rPr>
            </w:pPr>
            <w:r>
              <w:rPr>
                <w:w w:val="101"/>
                <w:sz w:val="18"/>
              </w:rPr>
              <w:t>-</w:t>
            </w:r>
          </w:p>
        </w:tc>
        <w:tc>
          <w:tcPr>
            <w:tcW w:w="151" w:type="dxa"/>
            <w:tcBorders>
              <w:top w:val="single" w:sz="4" w:space="0" w:color="000000"/>
            </w:tcBorders>
          </w:tcPr>
          <w:p>
            <w:pPr>
              <w:pStyle w:val="TableParagraph"/>
              <w:spacing w:before="43"/>
              <w:ind w:right="5"/>
              <w:jc w:val="center"/>
              <w:rPr>
                <w:sz w:val="18"/>
              </w:rPr>
            </w:pPr>
            <w:r>
              <w:rPr>
                <w:w w:val="101"/>
                <w:sz w:val="18"/>
              </w:rPr>
              <w:t>-</w:t>
            </w:r>
          </w:p>
        </w:tc>
        <w:tc>
          <w:tcPr>
            <w:tcW w:w="1600" w:type="dxa"/>
            <w:tcBorders>
              <w:top w:val="single" w:sz="4" w:space="0" w:color="000000"/>
            </w:tcBorders>
          </w:tcPr>
          <w:p>
            <w:pPr>
              <w:pStyle w:val="TableParagraph"/>
              <w:spacing w:before="43"/>
              <w:ind w:right="12"/>
              <w:rPr>
                <w:sz w:val="18"/>
              </w:rPr>
            </w:pPr>
            <w:r>
              <w:rPr>
                <w:spacing w:val="-4"/>
                <w:sz w:val="18"/>
              </w:rPr>
              <w:t>15.2</w:t>
            </w:r>
          </w:p>
        </w:tc>
      </w:tr>
      <w:tr>
        <w:trPr>
          <w:trHeight w:val="287" w:hRule="atLeast"/>
        </w:trPr>
        <w:tc>
          <w:tcPr>
            <w:tcW w:w="2648" w:type="dxa"/>
          </w:tcPr>
          <w:p>
            <w:pPr>
              <w:pStyle w:val="TableParagraph"/>
              <w:spacing w:before="37"/>
              <w:ind w:left="19"/>
              <w:jc w:val="left"/>
              <w:rPr>
                <w:sz w:val="18"/>
              </w:rPr>
            </w:pPr>
            <w:r>
              <w:rPr>
                <w:spacing w:val="-2"/>
                <w:sz w:val="18"/>
              </w:rPr>
              <w:t>Hospitality</w:t>
            </w:r>
          </w:p>
        </w:tc>
        <w:tc>
          <w:tcPr>
            <w:tcW w:w="578" w:type="dxa"/>
          </w:tcPr>
          <w:p>
            <w:pPr>
              <w:pStyle w:val="TableParagraph"/>
              <w:spacing w:before="37"/>
              <w:ind w:right="128"/>
              <w:rPr>
                <w:sz w:val="18"/>
              </w:rPr>
            </w:pPr>
            <w:r>
              <w:rPr>
                <w:w w:val="101"/>
                <w:sz w:val="18"/>
              </w:rPr>
              <w:t>-</w:t>
            </w:r>
          </w:p>
        </w:tc>
        <w:tc>
          <w:tcPr>
            <w:tcW w:w="1010" w:type="dxa"/>
          </w:tcPr>
          <w:p>
            <w:pPr>
              <w:pStyle w:val="TableParagraph"/>
              <w:spacing w:before="37"/>
              <w:ind w:right="149"/>
              <w:rPr>
                <w:sz w:val="18"/>
              </w:rPr>
            </w:pPr>
            <w:r>
              <w:rPr>
                <w:w w:val="101"/>
                <w:sz w:val="18"/>
              </w:rPr>
              <w:t>-</w:t>
            </w:r>
          </w:p>
        </w:tc>
        <w:tc>
          <w:tcPr>
            <w:tcW w:w="1117" w:type="dxa"/>
          </w:tcPr>
          <w:p>
            <w:pPr>
              <w:pStyle w:val="TableParagraph"/>
              <w:spacing w:before="37"/>
              <w:ind w:right="46"/>
              <w:rPr>
                <w:sz w:val="18"/>
              </w:rPr>
            </w:pPr>
            <w:r>
              <w:rPr>
                <w:w w:val="101"/>
                <w:sz w:val="18"/>
              </w:rPr>
              <w:t>-</w:t>
            </w:r>
          </w:p>
        </w:tc>
        <w:tc>
          <w:tcPr>
            <w:tcW w:w="1103" w:type="dxa"/>
          </w:tcPr>
          <w:p>
            <w:pPr>
              <w:pStyle w:val="TableParagraph"/>
              <w:spacing w:before="37"/>
              <w:ind w:right="50"/>
              <w:rPr>
                <w:sz w:val="18"/>
              </w:rPr>
            </w:pPr>
            <w:r>
              <w:rPr>
                <w:w w:val="101"/>
                <w:sz w:val="18"/>
              </w:rPr>
              <w:t>-</w:t>
            </w:r>
          </w:p>
        </w:tc>
        <w:tc>
          <w:tcPr>
            <w:tcW w:w="1498" w:type="dxa"/>
          </w:tcPr>
          <w:p>
            <w:pPr>
              <w:pStyle w:val="TableParagraph"/>
              <w:spacing w:before="37"/>
              <w:ind w:left="219"/>
              <w:jc w:val="center"/>
              <w:rPr>
                <w:sz w:val="18"/>
              </w:rPr>
            </w:pPr>
            <w:r>
              <w:rPr>
                <w:w w:val="101"/>
                <w:sz w:val="18"/>
              </w:rPr>
              <w:t>-</w:t>
            </w:r>
          </w:p>
        </w:tc>
        <w:tc>
          <w:tcPr>
            <w:tcW w:w="151" w:type="dxa"/>
          </w:tcPr>
          <w:p>
            <w:pPr>
              <w:pStyle w:val="TableParagraph"/>
              <w:spacing w:before="37"/>
              <w:ind w:right="5"/>
              <w:jc w:val="center"/>
              <w:rPr>
                <w:sz w:val="18"/>
              </w:rPr>
            </w:pPr>
            <w:r>
              <w:rPr>
                <w:w w:val="101"/>
                <w:sz w:val="18"/>
              </w:rPr>
              <w:t>-</w:t>
            </w:r>
          </w:p>
        </w:tc>
        <w:tc>
          <w:tcPr>
            <w:tcW w:w="1600" w:type="dxa"/>
          </w:tcPr>
          <w:p>
            <w:pPr>
              <w:pStyle w:val="TableParagraph"/>
              <w:spacing w:before="37"/>
              <w:ind w:right="12"/>
              <w:rPr>
                <w:sz w:val="18"/>
              </w:rPr>
            </w:pPr>
            <w:r>
              <w:rPr>
                <w:spacing w:val="-5"/>
                <w:sz w:val="18"/>
              </w:rPr>
              <w:t>1.0</w:t>
            </w:r>
          </w:p>
        </w:tc>
      </w:tr>
      <w:tr>
        <w:trPr>
          <w:trHeight w:val="287" w:hRule="atLeast"/>
        </w:trPr>
        <w:tc>
          <w:tcPr>
            <w:tcW w:w="2648" w:type="dxa"/>
          </w:tcPr>
          <w:p>
            <w:pPr>
              <w:pStyle w:val="TableParagraph"/>
              <w:spacing w:before="37"/>
              <w:ind w:left="19"/>
              <w:jc w:val="left"/>
              <w:rPr>
                <w:sz w:val="18"/>
              </w:rPr>
            </w:pPr>
            <w:r>
              <w:rPr>
                <w:sz w:val="18"/>
              </w:rPr>
              <w:t>Contractual</w:t>
            </w:r>
            <w:r>
              <w:rPr>
                <w:spacing w:val="-5"/>
                <w:sz w:val="18"/>
              </w:rPr>
              <w:t> </w:t>
            </w:r>
            <w:r>
              <w:rPr>
                <w:spacing w:val="-2"/>
                <w:sz w:val="18"/>
              </w:rPr>
              <w:t>services</w:t>
            </w:r>
          </w:p>
        </w:tc>
        <w:tc>
          <w:tcPr>
            <w:tcW w:w="578" w:type="dxa"/>
          </w:tcPr>
          <w:p>
            <w:pPr>
              <w:pStyle w:val="TableParagraph"/>
              <w:spacing w:before="37"/>
              <w:ind w:right="128"/>
              <w:rPr>
                <w:sz w:val="18"/>
              </w:rPr>
            </w:pPr>
            <w:r>
              <w:rPr>
                <w:w w:val="101"/>
                <w:sz w:val="18"/>
              </w:rPr>
              <w:t>-</w:t>
            </w:r>
          </w:p>
        </w:tc>
        <w:tc>
          <w:tcPr>
            <w:tcW w:w="1010" w:type="dxa"/>
          </w:tcPr>
          <w:p>
            <w:pPr>
              <w:pStyle w:val="TableParagraph"/>
              <w:spacing w:before="37"/>
              <w:ind w:right="149"/>
              <w:rPr>
                <w:sz w:val="18"/>
              </w:rPr>
            </w:pPr>
            <w:r>
              <w:rPr>
                <w:w w:val="101"/>
                <w:sz w:val="18"/>
              </w:rPr>
              <w:t>-</w:t>
            </w:r>
          </w:p>
        </w:tc>
        <w:tc>
          <w:tcPr>
            <w:tcW w:w="1117" w:type="dxa"/>
          </w:tcPr>
          <w:p>
            <w:pPr>
              <w:pStyle w:val="TableParagraph"/>
              <w:spacing w:before="37"/>
              <w:ind w:right="46"/>
              <w:rPr>
                <w:sz w:val="18"/>
              </w:rPr>
            </w:pPr>
            <w:r>
              <w:rPr>
                <w:w w:val="101"/>
                <w:sz w:val="18"/>
              </w:rPr>
              <w:t>-</w:t>
            </w:r>
          </w:p>
        </w:tc>
        <w:tc>
          <w:tcPr>
            <w:tcW w:w="1103" w:type="dxa"/>
          </w:tcPr>
          <w:p>
            <w:pPr>
              <w:pStyle w:val="TableParagraph"/>
              <w:spacing w:before="37"/>
              <w:ind w:right="50"/>
              <w:rPr>
                <w:sz w:val="18"/>
              </w:rPr>
            </w:pPr>
            <w:r>
              <w:rPr>
                <w:w w:val="101"/>
                <w:sz w:val="18"/>
              </w:rPr>
              <w:t>-</w:t>
            </w:r>
          </w:p>
        </w:tc>
        <w:tc>
          <w:tcPr>
            <w:tcW w:w="1498" w:type="dxa"/>
          </w:tcPr>
          <w:p>
            <w:pPr>
              <w:pStyle w:val="TableParagraph"/>
              <w:spacing w:before="37"/>
              <w:ind w:left="219"/>
              <w:jc w:val="center"/>
              <w:rPr>
                <w:sz w:val="18"/>
              </w:rPr>
            </w:pPr>
            <w:r>
              <w:rPr>
                <w:w w:val="101"/>
                <w:sz w:val="18"/>
              </w:rPr>
              <w:t>-</w:t>
            </w:r>
          </w:p>
        </w:tc>
        <w:tc>
          <w:tcPr>
            <w:tcW w:w="151" w:type="dxa"/>
          </w:tcPr>
          <w:p>
            <w:pPr>
              <w:pStyle w:val="TableParagraph"/>
              <w:spacing w:before="37"/>
              <w:ind w:right="5"/>
              <w:jc w:val="center"/>
              <w:rPr>
                <w:sz w:val="18"/>
              </w:rPr>
            </w:pPr>
            <w:r>
              <w:rPr>
                <w:w w:val="101"/>
                <w:sz w:val="18"/>
              </w:rPr>
              <w:t>-</w:t>
            </w:r>
          </w:p>
        </w:tc>
        <w:tc>
          <w:tcPr>
            <w:tcW w:w="1600" w:type="dxa"/>
          </w:tcPr>
          <w:p>
            <w:pPr>
              <w:pStyle w:val="TableParagraph"/>
              <w:spacing w:before="37"/>
              <w:ind w:right="12"/>
              <w:rPr>
                <w:sz w:val="18"/>
              </w:rPr>
            </w:pPr>
            <w:r>
              <w:rPr>
                <w:spacing w:val="-4"/>
                <w:sz w:val="18"/>
              </w:rPr>
              <w:t>15.6</w:t>
            </w:r>
          </w:p>
        </w:tc>
      </w:tr>
      <w:tr>
        <w:trPr>
          <w:trHeight w:val="288" w:hRule="atLeast"/>
        </w:trPr>
        <w:tc>
          <w:tcPr>
            <w:tcW w:w="2648" w:type="dxa"/>
          </w:tcPr>
          <w:p>
            <w:pPr>
              <w:pStyle w:val="TableParagraph"/>
              <w:spacing w:before="37"/>
              <w:ind w:left="19"/>
              <w:jc w:val="left"/>
              <w:rPr>
                <w:sz w:val="18"/>
              </w:rPr>
            </w:pPr>
            <w:r>
              <w:rPr>
                <w:spacing w:val="-2"/>
                <w:sz w:val="18"/>
              </w:rPr>
              <w:t>Training</w:t>
            </w:r>
          </w:p>
        </w:tc>
        <w:tc>
          <w:tcPr>
            <w:tcW w:w="578" w:type="dxa"/>
          </w:tcPr>
          <w:p>
            <w:pPr>
              <w:pStyle w:val="TableParagraph"/>
              <w:spacing w:before="37"/>
              <w:ind w:right="128"/>
              <w:rPr>
                <w:sz w:val="18"/>
              </w:rPr>
            </w:pPr>
            <w:r>
              <w:rPr>
                <w:w w:val="101"/>
                <w:sz w:val="18"/>
              </w:rPr>
              <w:t>-</w:t>
            </w:r>
          </w:p>
        </w:tc>
        <w:tc>
          <w:tcPr>
            <w:tcW w:w="1010" w:type="dxa"/>
          </w:tcPr>
          <w:p>
            <w:pPr>
              <w:pStyle w:val="TableParagraph"/>
              <w:spacing w:before="37"/>
              <w:ind w:right="149"/>
              <w:rPr>
                <w:sz w:val="18"/>
              </w:rPr>
            </w:pPr>
            <w:r>
              <w:rPr>
                <w:w w:val="101"/>
                <w:sz w:val="18"/>
              </w:rPr>
              <w:t>-</w:t>
            </w:r>
          </w:p>
        </w:tc>
        <w:tc>
          <w:tcPr>
            <w:tcW w:w="1117" w:type="dxa"/>
          </w:tcPr>
          <w:p>
            <w:pPr>
              <w:pStyle w:val="TableParagraph"/>
              <w:spacing w:before="37"/>
              <w:ind w:right="46"/>
              <w:rPr>
                <w:sz w:val="18"/>
              </w:rPr>
            </w:pPr>
            <w:r>
              <w:rPr>
                <w:w w:val="101"/>
                <w:sz w:val="18"/>
              </w:rPr>
              <w:t>-</w:t>
            </w:r>
          </w:p>
        </w:tc>
        <w:tc>
          <w:tcPr>
            <w:tcW w:w="1103" w:type="dxa"/>
          </w:tcPr>
          <w:p>
            <w:pPr>
              <w:pStyle w:val="TableParagraph"/>
              <w:spacing w:before="37"/>
              <w:ind w:right="50"/>
              <w:rPr>
                <w:sz w:val="18"/>
              </w:rPr>
            </w:pPr>
            <w:r>
              <w:rPr>
                <w:w w:val="101"/>
                <w:sz w:val="18"/>
              </w:rPr>
              <w:t>-</w:t>
            </w:r>
          </w:p>
        </w:tc>
        <w:tc>
          <w:tcPr>
            <w:tcW w:w="1498" w:type="dxa"/>
          </w:tcPr>
          <w:p>
            <w:pPr>
              <w:pStyle w:val="TableParagraph"/>
              <w:spacing w:before="37"/>
              <w:ind w:left="219"/>
              <w:jc w:val="center"/>
              <w:rPr>
                <w:sz w:val="18"/>
              </w:rPr>
            </w:pPr>
            <w:r>
              <w:rPr>
                <w:w w:val="101"/>
                <w:sz w:val="18"/>
              </w:rPr>
              <w:t>-</w:t>
            </w:r>
          </w:p>
        </w:tc>
        <w:tc>
          <w:tcPr>
            <w:tcW w:w="151" w:type="dxa"/>
          </w:tcPr>
          <w:p>
            <w:pPr>
              <w:pStyle w:val="TableParagraph"/>
              <w:spacing w:before="37"/>
              <w:ind w:right="5"/>
              <w:jc w:val="center"/>
              <w:rPr>
                <w:sz w:val="18"/>
              </w:rPr>
            </w:pPr>
            <w:r>
              <w:rPr>
                <w:w w:val="101"/>
                <w:sz w:val="18"/>
              </w:rPr>
              <w:t>-</w:t>
            </w:r>
          </w:p>
        </w:tc>
        <w:tc>
          <w:tcPr>
            <w:tcW w:w="1600" w:type="dxa"/>
          </w:tcPr>
          <w:p>
            <w:pPr>
              <w:pStyle w:val="TableParagraph"/>
              <w:spacing w:before="37"/>
              <w:ind w:right="14"/>
              <w:rPr>
                <w:sz w:val="18"/>
              </w:rPr>
            </w:pPr>
            <w:r>
              <w:rPr>
                <w:w w:val="101"/>
                <w:sz w:val="18"/>
              </w:rPr>
              <w:t>-</w:t>
            </w:r>
          </w:p>
        </w:tc>
      </w:tr>
      <w:tr>
        <w:trPr>
          <w:trHeight w:val="285" w:hRule="atLeast"/>
        </w:trPr>
        <w:tc>
          <w:tcPr>
            <w:tcW w:w="2648" w:type="dxa"/>
          </w:tcPr>
          <w:p>
            <w:pPr>
              <w:pStyle w:val="TableParagraph"/>
              <w:spacing w:before="37"/>
              <w:ind w:left="19"/>
              <w:jc w:val="left"/>
              <w:rPr>
                <w:sz w:val="18"/>
              </w:rPr>
            </w:pPr>
            <w:r>
              <w:rPr>
                <w:spacing w:val="-2"/>
                <w:sz w:val="18"/>
              </w:rPr>
              <w:t>Consultants</w:t>
            </w:r>
          </w:p>
        </w:tc>
        <w:tc>
          <w:tcPr>
            <w:tcW w:w="578" w:type="dxa"/>
          </w:tcPr>
          <w:p>
            <w:pPr>
              <w:pStyle w:val="TableParagraph"/>
              <w:spacing w:before="37"/>
              <w:ind w:right="128"/>
              <w:rPr>
                <w:sz w:val="18"/>
              </w:rPr>
            </w:pPr>
            <w:r>
              <w:rPr>
                <w:w w:val="101"/>
                <w:sz w:val="18"/>
              </w:rPr>
              <w:t>-</w:t>
            </w:r>
          </w:p>
        </w:tc>
        <w:tc>
          <w:tcPr>
            <w:tcW w:w="1010" w:type="dxa"/>
          </w:tcPr>
          <w:p>
            <w:pPr>
              <w:pStyle w:val="TableParagraph"/>
              <w:spacing w:before="37"/>
              <w:ind w:right="149"/>
              <w:rPr>
                <w:sz w:val="18"/>
              </w:rPr>
            </w:pPr>
            <w:r>
              <w:rPr>
                <w:w w:val="101"/>
                <w:sz w:val="18"/>
              </w:rPr>
              <w:t>-</w:t>
            </w:r>
          </w:p>
        </w:tc>
        <w:tc>
          <w:tcPr>
            <w:tcW w:w="1117" w:type="dxa"/>
          </w:tcPr>
          <w:p>
            <w:pPr>
              <w:pStyle w:val="TableParagraph"/>
              <w:spacing w:before="37"/>
              <w:ind w:right="46"/>
              <w:rPr>
                <w:sz w:val="18"/>
              </w:rPr>
            </w:pPr>
            <w:r>
              <w:rPr>
                <w:w w:val="101"/>
                <w:sz w:val="18"/>
              </w:rPr>
              <w:t>-</w:t>
            </w:r>
          </w:p>
        </w:tc>
        <w:tc>
          <w:tcPr>
            <w:tcW w:w="1103" w:type="dxa"/>
          </w:tcPr>
          <w:p>
            <w:pPr>
              <w:pStyle w:val="TableParagraph"/>
              <w:spacing w:before="37"/>
              <w:ind w:right="50"/>
              <w:rPr>
                <w:sz w:val="18"/>
              </w:rPr>
            </w:pPr>
            <w:r>
              <w:rPr>
                <w:w w:val="101"/>
                <w:sz w:val="18"/>
              </w:rPr>
              <w:t>-</w:t>
            </w:r>
          </w:p>
        </w:tc>
        <w:tc>
          <w:tcPr>
            <w:tcW w:w="1498" w:type="dxa"/>
          </w:tcPr>
          <w:p>
            <w:pPr>
              <w:pStyle w:val="TableParagraph"/>
              <w:spacing w:before="37"/>
              <w:ind w:left="219"/>
              <w:jc w:val="center"/>
              <w:rPr>
                <w:sz w:val="18"/>
              </w:rPr>
            </w:pPr>
            <w:r>
              <w:rPr>
                <w:w w:val="101"/>
                <w:sz w:val="18"/>
              </w:rPr>
              <w:t>-</w:t>
            </w:r>
          </w:p>
        </w:tc>
        <w:tc>
          <w:tcPr>
            <w:tcW w:w="151" w:type="dxa"/>
          </w:tcPr>
          <w:p>
            <w:pPr>
              <w:pStyle w:val="TableParagraph"/>
              <w:spacing w:before="37"/>
              <w:ind w:right="5"/>
              <w:jc w:val="center"/>
              <w:rPr>
                <w:sz w:val="18"/>
              </w:rPr>
            </w:pPr>
            <w:r>
              <w:rPr>
                <w:w w:val="101"/>
                <w:sz w:val="18"/>
              </w:rPr>
              <w:t>-</w:t>
            </w:r>
          </w:p>
        </w:tc>
        <w:tc>
          <w:tcPr>
            <w:tcW w:w="1600" w:type="dxa"/>
          </w:tcPr>
          <w:p>
            <w:pPr>
              <w:pStyle w:val="TableParagraph"/>
              <w:spacing w:before="37"/>
              <w:ind w:right="14"/>
              <w:rPr>
                <w:sz w:val="18"/>
              </w:rPr>
            </w:pPr>
            <w:r>
              <w:rPr>
                <w:w w:val="101"/>
                <w:sz w:val="18"/>
              </w:rPr>
              <w:t>-</w:t>
            </w:r>
          </w:p>
        </w:tc>
      </w:tr>
      <w:tr>
        <w:trPr>
          <w:trHeight w:val="285" w:hRule="atLeast"/>
        </w:trPr>
        <w:tc>
          <w:tcPr>
            <w:tcW w:w="2648" w:type="dxa"/>
          </w:tcPr>
          <w:p>
            <w:pPr>
              <w:pStyle w:val="TableParagraph"/>
              <w:spacing w:before="35"/>
              <w:ind w:left="19"/>
              <w:jc w:val="left"/>
              <w:rPr>
                <w:sz w:val="18"/>
              </w:rPr>
            </w:pPr>
            <w:r>
              <w:rPr>
                <w:sz w:val="18"/>
              </w:rPr>
              <w:t>General</w:t>
            </w:r>
            <w:r>
              <w:rPr>
                <w:spacing w:val="-3"/>
                <w:sz w:val="18"/>
              </w:rPr>
              <w:t> </w:t>
            </w:r>
            <w:r>
              <w:rPr>
                <w:sz w:val="18"/>
              </w:rPr>
              <w:t>operating</w:t>
            </w:r>
            <w:r>
              <w:rPr>
                <w:spacing w:val="-4"/>
                <w:sz w:val="18"/>
              </w:rPr>
              <w:t> </w:t>
            </w:r>
            <w:r>
              <w:rPr>
                <w:spacing w:val="-2"/>
                <w:sz w:val="18"/>
              </w:rPr>
              <w:t>expenses</w:t>
            </w:r>
          </w:p>
        </w:tc>
        <w:tc>
          <w:tcPr>
            <w:tcW w:w="578" w:type="dxa"/>
          </w:tcPr>
          <w:p>
            <w:pPr>
              <w:pStyle w:val="TableParagraph"/>
              <w:spacing w:before="35"/>
              <w:ind w:right="128"/>
              <w:rPr>
                <w:sz w:val="18"/>
              </w:rPr>
            </w:pPr>
            <w:r>
              <w:rPr>
                <w:w w:val="101"/>
                <w:sz w:val="18"/>
              </w:rPr>
              <w:t>-</w:t>
            </w:r>
          </w:p>
        </w:tc>
        <w:tc>
          <w:tcPr>
            <w:tcW w:w="1010" w:type="dxa"/>
          </w:tcPr>
          <w:p>
            <w:pPr>
              <w:pStyle w:val="TableParagraph"/>
              <w:spacing w:before="35"/>
              <w:ind w:right="149"/>
              <w:rPr>
                <w:sz w:val="18"/>
              </w:rPr>
            </w:pPr>
            <w:r>
              <w:rPr>
                <w:w w:val="101"/>
                <w:sz w:val="18"/>
              </w:rPr>
              <w:t>-</w:t>
            </w:r>
          </w:p>
        </w:tc>
        <w:tc>
          <w:tcPr>
            <w:tcW w:w="1117" w:type="dxa"/>
          </w:tcPr>
          <w:p>
            <w:pPr>
              <w:pStyle w:val="TableParagraph"/>
              <w:spacing w:before="35"/>
              <w:ind w:right="46"/>
              <w:rPr>
                <w:sz w:val="18"/>
              </w:rPr>
            </w:pPr>
            <w:r>
              <w:rPr>
                <w:w w:val="101"/>
                <w:sz w:val="18"/>
              </w:rPr>
              <w:t>-</w:t>
            </w:r>
          </w:p>
        </w:tc>
        <w:tc>
          <w:tcPr>
            <w:tcW w:w="1103" w:type="dxa"/>
          </w:tcPr>
          <w:p>
            <w:pPr>
              <w:pStyle w:val="TableParagraph"/>
              <w:spacing w:before="35"/>
              <w:ind w:right="50"/>
              <w:rPr>
                <w:sz w:val="18"/>
              </w:rPr>
            </w:pPr>
            <w:r>
              <w:rPr>
                <w:w w:val="101"/>
                <w:sz w:val="18"/>
              </w:rPr>
              <w:t>-</w:t>
            </w:r>
          </w:p>
        </w:tc>
        <w:tc>
          <w:tcPr>
            <w:tcW w:w="1498" w:type="dxa"/>
          </w:tcPr>
          <w:p>
            <w:pPr>
              <w:pStyle w:val="TableParagraph"/>
              <w:spacing w:before="35"/>
              <w:ind w:left="219"/>
              <w:jc w:val="center"/>
              <w:rPr>
                <w:sz w:val="18"/>
              </w:rPr>
            </w:pPr>
            <w:r>
              <w:rPr>
                <w:w w:val="101"/>
                <w:sz w:val="18"/>
              </w:rPr>
              <w:t>-</w:t>
            </w:r>
          </w:p>
        </w:tc>
        <w:tc>
          <w:tcPr>
            <w:tcW w:w="151" w:type="dxa"/>
          </w:tcPr>
          <w:p>
            <w:pPr>
              <w:pStyle w:val="TableParagraph"/>
              <w:spacing w:before="35"/>
              <w:ind w:right="5"/>
              <w:jc w:val="center"/>
              <w:rPr>
                <w:sz w:val="18"/>
              </w:rPr>
            </w:pPr>
            <w:r>
              <w:rPr>
                <w:w w:val="101"/>
                <w:sz w:val="18"/>
              </w:rPr>
              <w:t>-</w:t>
            </w:r>
          </w:p>
        </w:tc>
        <w:tc>
          <w:tcPr>
            <w:tcW w:w="1600" w:type="dxa"/>
          </w:tcPr>
          <w:p>
            <w:pPr>
              <w:pStyle w:val="TableParagraph"/>
              <w:spacing w:before="35"/>
              <w:ind w:right="12"/>
              <w:rPr>
                <w:sz w:val="18"/>
              </w:rPr>
            </w:pPr>
            <w:r>
              <w:rPr>
                <w:spacing w:val="-4"/>
                <w:sz w:val="18"/>
              </w:rPr>
              <w:t>49.6</w:t>
            </w:r>
          </w:p>
        </w:tc>
      </w:tr>
      <w:tr>
        <w:trPr>
          <w:trHeight w:val="288" w:hRule="atLeast"/>
        </w:trPr>
        <w:tc>
          <w:tcPr>
            <w:tcW w:w="2648" w:type="dxa"/>
          </w:tcPr>
          <w:p>
            <w:pPr>
              <w:pStyle w:val="TableParagraph"/>
              <w:spacing w:before="37"/>
              <w:ind w:left="19"/>
              <w:jc w:val="left"/>
              <w:rPr>
                <w:sz w:val="18"/>
              </w:rPr>
            </w:pPr>
            <w:r>
              <w:rPr>
                <w:sz w:val="18"/>
              </w:rPr>
              <w:t>Supplies</w:t>
            </w:r>
            <w:r>
              <w:rPr>
                <w:spacing w:val="-1"/>
                <w:sz w:val="18"/>
              </w:rPr>
              <w:t> </w:t>
            </w:r>
            <w:r>
              <w:rPr>
                <w:sz w:val="18"/>
              </w:rPr>
              <w:t>and</w:t>
            </w:r>
            <w:r>
              <w:rPr>
                <w:spacing w:val="-7"/>
                <w:sz w:val="18"/>
              </w:rPr>
              <w:t> </w:t>
            </w:r>
            <w:r>
              <w:rPr>
                <w:spacing w:val="-2"/>
                <w:sz w:val="18"/>
              </w:rPr>
              <w:t>materials</w:t>
            </w:r>
          </w:p>
        </w:tc>
        <w:tc>
          <w:tcPr>
            <w:tcW w:w="578" w:type="dxa"/>
          </w:tcPr>
          <w:p>
            <w:pPr>
              <w:pStyle w:val="TableParagraph"/>
              <w:spacing w:before="37"/>
              <w:ind w:right="128"/>
              <w:rPr>
                <w:sz w:val="18"/>
              </w:rPr>
            </w:pPr>
            <w:r>
              <w:rPr>
                <w:w w:val="101"/>
                <w:sz w:val="18"/>
              </w:rPr>
              <w:t>-</w:t>
            </w:r>
          </w:p>
        </w:tc>
        <w:tc>
          <w:tcPr>
            <w:tcW w:w="1010" w:type="dxa"/>
          </w:tcPr>
          <w:p>
            <w:pPr>
              <w:pStyle w:val="TableParagraph"/>
              <w:spacing w:before="37"/>
              <w:ind w:right="149"/>
              <w:rPr>
                <w:sz w:val="18"/>
              </w:rPr>
            </w:pPr>
            <w:r>
              <w:rPr>
                <w:w w:val="101"/>
                <w:sz w:val="18"/>
              </w:rPr>
              <w:t>-</w:t>
            </w:r>
          </w:p>
        </w:tc>
        <w:tc>
          <w:tcPr>
            <w:tcW w:w="1117" w:type="dxa"/>
          </w:tcPr>
          <w:p>
            <w:pPr>
              <w:pStyle w:val="TableParagraph"/>
              <w:spacing w:before="37"/>
              <w:ind w:right="46"/>
              <w:rPr>
                <w:sz w:val="18"/>
              </w:rPr>
            </w:pPr>
            <w:r>
              <w:rPr>
                <w:w w:val="101"/>
                <w:sz w:val="18"/>
              </w:rPr>
              <w:t>-</w:t>
            </w:r>
          </w:p>
        </w:tc>
        <w:tc>
          <w:tcPr>
            <w:tcW w:w="1103" w:type="dxa"/>
          </w:tcPr>
          <w:p>
            <w:pPr>
              <w:pStyle w:val="TableParagraph"/>
              <w:spacing w:before="37"/>
              <w:ind w:right="50"/>
              <w:rPr>
                <w:sz w:val="18"/>
              </w:rPr>
            </w:pPr>
            <w:r>
              <w:rPr>
                <w:w w:val="101"/>
                <w:sz w:val="18"/>
              </w:rPr>
              <w:t>-</w:t>
            </w:r>
          </w:p>
        </w:tc>
        <w:tc>
          <w:tcPr>
            <w:tcW w:w="1498" w:type="dxa"/>
          </w:tcPr>
          <w:p>
            <w:pPr>
              <w:pStyle w:val="TableParagraph"/>
              <w:spacing w:before="37"/>
              <w:ind w:left="219"/>
              <w:jc w:val="center"/>
              <w:rPr>
                <w:sz w:val="18"/>
              </w:rPr>
            </w:pPr>
            <w:r>
              <w:rPr>
                <w:w w:val="101"/>
                <w:sz w:val="18"/>
              </w:rPr>
              <w:t>-</w:t>
            </w:r>
          </w:p>
        </w:tc>
        <w:tc>
          <w:tcPr>
            <w:tcW w:w="151" w:type="dxa"/>
          </w:tcPr>
          <w:p>
            <w:pPr>
              <w:pStyle w:val="TableParagraph"/>
              <w:spacing w:before="37"/>
              <w:ind w:right="5"/>
              <w:jc w:val="center"/>
              <w:rPr>
                <w:sz w:val="18"/>
              </w:rPr>
            </w:pPr>
            <w:r>
              <w:rPr>
                <w:w w:val="101"/>
                <w:sz w:val="18"/>
              </w:rPr>
              <w:t>-</w:t>
            </w:r>
          </w:p>
        </w:tc>
        <w:tc>
          <w:tcPr>
            <w:tcW w:w="1600" w:type="dxa"/>
          </w:tcPr>
          <w:p>
            <w:pPr>
              <w:pStyle w:val="TableParagraph"/>
              <w:spacing w:before="37"/>
              <w:ind w:right="12"/>
              <w:rPr>
                <w:sz w:val="18"/>
              </w:rPr>
            </w:pPr>
            <w:r>
              <w:rPr>
                <w:spacing w:val="-5"/>
                <w:sz w:val="18"/>
              </w:rPr>
              <w:t>5.0</w:t>
            </w:r>
          </w:p>
        </w:tc>
      </w:tr>
      <w:tr>
        <w:trPr>
          <w:trHeight w:val="282" w:hRule="atLeast"/>
        </w:trPr>
        <w:tc>
          <w:tcPr>
            <w:tcW w:w="2648" w:type="dxa"/>
            <w:tcBorders>
              <w:bottom w:val="single" w:sz="4" w:space="0" w:color="000000"/>
            </w:tcBorders>
          </w:tcPr>
          <w:p>
            <w:pPr>
              <w:pStyle w:val="TableParagraph"/>
              <w:spacing w:before="37"/>
              <w:ind w:left="19"/>
              <w:jc w:val="left"/>
              <w:rPr>
                <w:sz w:val="18"/>
              </w:rPr>
            </w:pPr>
            <w:r>
              <w:rPr>
                <w:sz w:val="18"/>
              </w:rPr>
              <w:t>Furniture</w:t>
            </w:r>
            <w:r>
              <w:rPr>
                <w:spacing w:val="-3"/>
                <w:sz w:val="18"/>
              </w:rPr>
              <w:t> </w:t>
            </w:r>
            <w:r>
              <w:rPr>
                <w:sz w:val="18"/>
              </w:rPr>
              <w:t>and</w:t>
            </w:r>
            <w:r>
              <w:rPr>
                <w:spacing w:val="-3"/>
                <w:sz w:val="18"/>
              </w:rPr>
              <w:t> </w:t>
            </w:r>
            <w:r>
              <w:rPr>
                <w:spacing w:val="-2"/>
                <w:sz w:val="18"/>
              </w:rPr>
              <w:t>equipment</w:t>
            </w:r>
          </w:p>
        </w:tc>
        <w:tc>
          <w:tcPr>
            <w:tcW w:w="578" w:type="dxa"/>
            <w:tcBorders>
              <w:bottom w:val="single" w:sz="4" w:space="0" w:color="000000"/>
            </w:tcBorders>
          </w:tcPr>
          <w:p>
            <w:pPr>
              <w:pStyle w:val="TableParagraph"/>
              <w:spacing w:before="37"/>
              <w:ind w:right="128"/>
              <w:rPr>
                <w:sz w:val="18"/>
              </w:rPr>
            </w:pPr>
            <w:r>
              <w:rPr>
                <w:w w:val="101"/>
                <w:sz w:val="18"/>
              </w:rPr>
              <w:t>-</w:t>
            </w:r>
          </w:p>
        </w:tc>
        <w:tc>
          <w:tcPr>
            <w:tcW w:w="1010" w:type="dxa"/>
            <w:tcBorders>
              <w:bottom w:val="single" w:sz="4" w:space="0" w:color="000000"/>
            </w:tcBorders>
          </w:tcPr>
          <w:p>
            <w:pPr>
              <w:pStyle w:val="TableParagraph"/>
              <w:spacing w:before="37"/>
              <w:ind w:right="149"/>
              <w:rPr>
                <w:sz w:val="18"/>
              </w:rPr>
            </w:pPr>
            <w:r>
              <w:rPr>
                <w:w w:val="101"/>
                <w:sz w:val="18"/>
              </w:rPr>
              <w:t>-</w:t>
            </w:r>
          </w:p>
        </w:tc>
        <w:tc>
          <w:tcPr>
            <w:tcW w:w="1117" w:type="dxa"/>
            <w:tcBorders>
              <w:bottom w:val="single" w:sz="4" w:space="0" w:color="000000"/>
            </w:tcBorders>
          </w:tcPr>
          <w:p>
            <w:pPr>
              <w:pStyle w:val="TableParagraph"/>
              <w:spacing w:before="37"/>
              <w:ind w:right="46"/>
              <w:rPr>
                <w:sz w:val="18"/>
              </w:rPr>
            </w:pPr>
            <w:r>
              <w:rPr>
                <w:w w:val="101"/>
                <w:sz w:val="18"/>
              </w:rPr>
              <w:t>-</w:t>
            </w:r>
          </w:p>
        </w:tc>
        <w:tc>
          <w:tcPr>
            <w:tcW w:w="1103" w:type="dxa"/>
            <w:tcBorders>
              <w:bottom w:val="single" w:sz="4" w:space="0" w:color="000000"/>
            </w:tcBorders>
          </w:tcPr>
          <w:p>
            <w:pPr>
              <w:pStyle w:val="TableParagraph"/>
              <w:spacing w:before="37"/>
              <w:ind w:right="50"/>
              <w:rPr>
                <w:sz w:val="18"/>
              </w:rPr>
            </w:pPr>
            <w:r>
              <w:rPr>
                <w:w w:val="101"/>
                <w:sz w:val="18"/>
              </w:rPr>
              <w:t>-</w:t>
            </w:r>
          </w:p>
        </w:tc>
        <w:tc>
          <w:tcPr>
            <w:tcW w:w="1498" w:type="dxa"/>
            <w:tcBorders>
              <w:bottom w:val="single" w:sz="4" w:space="0" w:color="000000"/>
            </w:tcBorders>
          </w:tcPr>
          <w:p>
            <w:pPr>
              <w:pStyle w:val="TableParagraph"/>
              <w:spacing w:before="37"/>
              <w:ind w:left="219"/>
              <w:jc w:val="center"/>
              <w:rPr>
                <w:sz w:val="18"/>
              </w:rPr>
            </w:pPr>
            <w:r>
              <w:rPr>
                <w:w w:val="101"/>
                <w:sz w:val="18"/>
              </w:rPr>
              <w:t>-</w:t>
            </w:r>
          </w:p>
        </w:tc>
        <w:tc>
          <w:tcPr>
            <w:tcW w:w="151" w:type="dxa"/>
            <w:tcBorders>
              <w:bottom w:val="single" w:sz="4" w:space="0" w:color="000000"/>
            </w:tcBorders>
          </w:tcPr>
          <w:p>
            <w:pPr>
              <w:pStyle w:val="TableParagraph"/>
              <w:spacing w:before="37"/>
              <w:ind w:right="5"/>
              <w:jc w:val="center"/>
              <w:rPr>
                <w:sz w:val="18"/>
              </w:rPr>
            </w:pPr>
            <w:r>
              <w:rPr>
                <w:w w:val="101"/>
                <w:sz w:val="18"/>
              </w:rPr>
              <w:t>-</w:t>
            </w:r>
          </w:p>
        </w:tc>
        <w:tc>
          <w:tcPr>
            <w:tcW w:w="1600" w:type="dxa"/>
            <w:tcBorders>
              <w:bottom w:val="single" w:sz="4" w:space="0" w:color="000000"/>
            </w:tcBorders>
          </w:tcPr>
          <w:p>
            <w:pPr>
              <w:pStyle w:val="TableParagraph"/>
              <w:spacing w:before="37"/>
              <w:ind w:right="12"/>
              <w:rPr>
                <w:sz w:val="18"/>
              </w:rPr>
            </w:pPr>
            <w:r>
              <w:rPr>
                <w:spacing w:val="-4"/>
                <w:sz w:val="18"/>
              </w:rPr>
              <w:t>47.7</w:t>
            </w:r>
          </w:p>
        </w:tc>
      </w:tr>
      <w:tr>
        <w:trPr>
          <w:trHeight w:val="287" w:hRule="atLeast"/>
        </w:trPr>
        <w:tc>
          <w:tcPr>
            <w:tcW w:w="2648" w:type="dxa"/>
            <w:tcBorders>
              <w:top w:val="single" w:sz="4" w:space="0" w:color="000000"/>
              <w:bottom w:val="single" w:sz="4" w:space="0" w:color="000000"/>
            </w:tcBorders>
          </w:tcPr>
          <w:p>
            <w:pPr>
              <w:pStyle w:val="TableParagraph"/>
              <w:spacing w:before="43"/>
              <w:ind w:left="19"/>
              <w:jc w:val="left"/>
              <w:rPr>
                <w:i/>
                <w:sz w:val="18"/>
              </w:rPr>
            </w:pPr>
            <w:r>
              <w:rPr>
                <w:i/>
                <w:sz w:val="18"/>
              </w:rPr>
              <w:t>Subtotal</w:t>
            </w:r>
            <w:r>
              <w:rPr>
                <w:i/>
                <w:spacing w:val="-1"/>
                <w:sz w:val="18"/>
              </w:rPr>
              <w:t> </w:t>
            </w:r>
            <w:r>
              <w:rPr>
                <w:i/>
                <w:sz w:val="18"/>
              </w:rPr>
              <w:t>non-</w:t>
            </w:r>
            <w:r>
              <w:rPr>
                <w:i/>
                <w:spacing w:val="-2"/>
                <w:sz w:val="18"/>
              </w:rPr>
              <w:t>staff</w:t>
            </w:r>
          </w:p>
        </w:tc>
        <w:tc>
          <w:tcPr>
            <w:tcW w:w="578" w:type="dxa"/>
            <w:tcBorders>
              <w:top w:val="single" w:sz="4" w:space="0" w:color="000000"/>
              <w:bottom w:val="single" w:sz="4" w:space="0" w:color="000000"/>
            </w:tcBorders>
          </w:tcPr>
          <w:p>
            <w:pPr>
              <w:pStyle w:val="TableParagraph"/>
              <w:spacing w:before="43"/>
              <w:ind w:right="128"/>
              <w:rPr>
                <w:sz w:val="18"/>
              </w:rPr>
            </w:pPr>
            <w:r>
              <w:rPr>
                <w:w w:val="101"/>
                <w:sz w:val="18"/>
              </w:rPr>
              <w:t>-</w:t>
            </w:r>
          </w:p>
        </w:tc>
        <w:tc>
          <w:tcPr>
            <w:tcW w:w="1010" w:type="dxa"/>
            <w:tcBorders>
              <w:top w:val="single" w:sz="4" w:space="0" w:color="000000"/>
              <w:bottom w:val="single" w:sz="4" w:space="0" w:color="000000"/>
            </w:tcBorders>
          </w:tcPr>
          <w:p>
            <w:pPr>
              <w:pStyle w:val="TableParagraph"/>
              <w:spacing w:before="43"/>
              <w:ind w:right="149"/>
              <w:rPr>
                <w:sz w:val="18"/>
              </w:rPr>
            </w:pPr>
            <w:r>
              <w:rPr>
                <w:w w:val="101"/>
                <w:sz w:val="18"/>
              </w:rPr>
              <w:t>-</w:t>
            </w:r>
          </w:p>
        </w:tc>
        <w:tc>
          <w:tcPr>
            <w:tcW w:w="1117" w:type="dxa"/>
            <w:tcBorders>
              <w:top w:val="single" w:sz="4" w:space="0" w:color="000000"/>
              <w:bottom w:val="single" w:sz="4" w:space="0" w:color="000000"/>
            </w:tcBorders>
          </w:tcPr>
          <w:p>
            <w:pPr>
              <w:pStyle w:val="TableParagraph"/>
              <w:spacing w:before="43"/>
              <w:ind w:right="46"/>
              <w:rPr>
                <w:sz w:val="18"/>
              </w:rPr>
            </w:pPr>
            <w:r>
              <w:rPr>
                <w:w w:val="101"/>
                <w:sz w:val="18"/>
              </w:rPr>
              <w:t>-</w:t>
            </w:r>
          </w:p>
        </w:tc>
        <w:tc>
          <w:tcPr>
            <w:tcW w:w="1103" w:type="dxa"/>
            <w:tcBorders>
              <w:top w:val="single" w:sz="4" w:space="0" w:color="000000"/>
              <w:bottom w:val="single" w:sz="4" w:space="0" w:color="000000"/>
            </w:tcBorders>
          </w:tcPr>
          <w:p>
            <w:pPr>
              <w:pStyle w:val="TableParagraph"/>
              <w:spacing w:before="43"/>
              <w:ind w:right="50"/>
              <w:rPr>
                <w:sz w:val="18"/>
              </w:rPr>
            </w:pPr>
            <w:r>
              <w:rPr>
                <w:w w:val="101"/>
                <w:sz w:val="18"/>
              </w:rPr>
              <w:t>-</w:t>
            </w:r>
          </w:p>
        </w:tc>
        <w:tc>
          <w:tcPr>
            <w:tcW w:w="1498" w:type="dxa"/>
            <w:tcBorders>
              <w:top w:val="single" w:sz="4" w:space="0" w:color="000000"/>
              <w:bottom w:val="single" w:sz="4" w:space="0" w:color="000000"/>
            </w:tcBorders>
          </w:tcPr>
          <w:p>
            <w:pPr>
              <w:pStyle w:val="TableParagraph"/>
              <w:spacing w:before="43"/>
              <w:ind w:left="219"/>
              <w:jc w:val="center"/>
              <w:rPr>
                <w:sz w:val="18"/>
              </w:rPr>
            </w:pPr>
            <w:r>
              <w:rPr>
                <w:w w:val="101"/>
                <w:sz w:val="18"/>
              </w:rPr>
              <w:t>-</w:t>
            </w:r>
          </w:p>
        </w:tc>
        <w:tc>
          <w:tcPr>
            <w:tcW w:w="151" w:type="dxa"/>
            <w:tcBorders>
              <w:top w:val="single" w:sz="4" w:space="0" w:color="000000"/>
              <w:bottom w:val="single" w:sz="4" w:space="0" w:color="000000"/>
            </w:tcBorders>
          </w:tcPr>
          <w:p>
            <w:pPr>
              <w:pStyle w:val="TableParagraph"/>
              <w:spacing w:before="43"/>
              <w:ind w:right="5"/>
              <w:jc w:val="center"/>
              <w:rPr>
                <w:sz w:val="18"/>
              </w:rPr>
            </w:pPr>
            <w:r>
              <w:rPr>
                <w:w w:val="101"/>
                <w:sz w:val="18"/>
              </w:rPr>
              <w:t>-</w:t>
            </w:r>
          </w:p>
        </w:tc>
        <w:tc>
          <w:tcPr>
            <w:tcW w:w="1600" w:type="dxa"/>
            <w:tcBorders>
              <w:top w:val="single" w:sz="4" w:space="0" w:color="000000"/>
              <w:bottom w:val="single" w:sz="4" w:space="0" w:color="000000"/>
            </w:tcBorders>
          </w:tcPr>
          <w:p>
            <w:pPr>
              <w:pStyle w:val="TableParagraph"/>
              <w:spacing w:before="43"/>
              <w:ind w:right="12"/>
              <w:rPr>
                <w:i/>
                <w:sz w:val="18"/>
              </w:rPr>
            </w:pPr>
            <w:r>
              <w:rPr>
                <w:i/>
                <w:spacing w:val="-2"/>
                <w:sz w:val="18"/>
              </w:rPr>
              <w:t>134.1</w:t>
            </w:r>
          </w:p>
        </w:tc>
      </w:tr>
      <w:tr>
        <w:trPr>
          <w:trHeight w:val="287" w:hRule="atLeast"/>
        </w:trPr>
        <w:tc>
          <w:tcPr>
            <w:tcW w:w="2648" w:type="dxa"/>
            <w:tcBorders>
              <w:top w:val="single" w:sz="4" w:space="0" w:color="000000"/>
              <w:bottom w:val="single" w:sz="4" w:space="0" w:color="000000"/>
            </w:tcBorders>
          </w:tcPr>
          <w:p>
            <w:pPr>
              <w:pStyle w:val="TableParagraph"/>
              <w:spacing w:before="43"/>
              <w:ind w:left="19"/>
              <w:jc w:val="left"/>
              <w:rPr>
                <w:b/>
                <w:sz w:val="18"/>
              </w:rPr>
            </w:pPr>
            <w:r>
              <w:rPr>
                <w:b/>
                <w:spacing w:val="-2"/>
                <w:sz w:val="18"/>
              </w:rPr>
              <w:t>Total</w:t>
            </w:r>
          </w:p>
        </w:tc>
        <w:tc>
          <w:tcPr>
            <w:tcW w:w="578" w:type="dxa"/>
            <w:tcBorders>
              <w:top w:val="single" w:sz="4" w:space="0" w:color="000000"/>
              <w:bottom w:val="single" w:sz="4" w:space="0" w:color="000000"/>
            </w:tcBorders>
          </w:tcPr>
          <w:p>
            <w:pPr>
              <w:pStyle w:val="TableParagraph"/>
              <w:spacing w:before="43"/>
              <w:ind w:right="128"/>
              <w:rPr>
                <w:sz w:val="18"/>
              </w:rPr>
            </w:pPr>
            <w:r>
              <w:rPr>
                <w:w w:val="101"/>
                <w:sz w:val="18"/>
              </w:rPr>
              <w:t>-</w:t>
            </w:r>
          </w:p>
        </w:tc>
        <w:tc>
          <w:tcPr>
            <w:tcW w:w="1010" w:type="dxa"/>
            <w:tcBorders>
              <w:top w:val="single" w:sz="4" w:space="0" w:color="000000"/>
              <w:bottom w:val="single" w:sz="4" w:space="0" w:color="000000"/>
            </w:tcBorders>
          </w:tcPr>
          <w:p>
            <w:pPr>
              <w:pStyle w:val="TableParagraph"/>
              <w:spacing w:before="43"/>
              <w:ind w:right="149"/>
              <w:rPr>
                <w:sz w:val="18"/>
              </w:rPr>
            </w:pPr>
            <w:r>
              <w:rPr>
                <w:w w:val="101"/>
                <w:sz w:val="18"/>
              </w:rPr>
              <w:t>-</w:t>
            </w:r>
          </w:p>
        </w:tc>
        <w:tc>
          <w:tcPr>
            <w:tcW w:w="1117" w:type="dxa"/>
            <w:tcBorders>
              <w:top w:val="single" w:sz="4" w:space="0" w:color="000000"/>
              <w:bottom w:val="single" w:sz="4" w:space="0" w:color="000000"/>
            </w:tcBorders>
          </w:tcPr>
          <w:p>
            <w:pPr>
              <w:pStyle w:val="TableParagraph"/>
              <w:spacing w:before="43"/>
              <w:ind w:right="46"/>
              <w:rPr>
                <w:sz w:val="18"/>
              </w:rPr>
            </w:pPr>
            <w:r>
              <w:rPr>
                <w:w w:val="101"/>
                <w:sz w:val="18"/>
              </w:rPr>
              <w:t>-</w:t>
            </w:r>
          </w:p>
        </w:tc>
        <w:tc>
          <w:tcPr>
            <w:tcW w:w="1103" w:type="dxa"/>
            <w:tcBorders>
              <w:top w:val="single" w:sz="4" w:space="0" w:color="000000"/>
              <w:bottom w:val="single" w:sz="4" w:space="0" w:color="000000"/>
            </w:tcBorders>
          </w:tcPr>
          <w:p>
            <w:pPr>
              <w:pStyle w:val="TableParagraph"/>
              <w:spacing w:before="43"/>
              <w:ind w:right="50"/>
              <w:rPr>
                <w:sz w:val="18"/>
              </w:rPr>
            </w:pPr>
            <w:r>
              <w:rPr>
                <w:w w:val="101"/>
                <w:sz w:val="18"/>
              </w:rPr>
              <w:t>-</w:t>
            </w:r>
          </w:p>
        </w:tc>
        <w:tc>
          <w:tcPr>
            <w:tcW w:w="1498" w:type="dxa"/>
            <w:tcBorders>
              <w:top w:val="single" w:sz="4" w:space="0" w:color="000000"/>
              <w:bottom w:val="single" w:sz="4" w:space="0" w:color="000000"/>
            </w:tcBorders>
          </w:tcPr>
          <w:p>
            <w:pPr>
              <w:pStyle w:val="TableParagraph"/>
              <w:spacing w:before="43"/>
              <w:ind w:left="219"/>
              <w:jc w:val="center"/>
              <w:rPr>
                <w:sz w:val="18"/>
              </w:rPr>
            </w:pPr>
            <w:r>
              <w:rPr>
                <w:w w:val="101"/>
                <w:sz w:val="18"/>
              </w:rPr>
              <w:t>-</w:t>
            </w:r>
          </w:p>
        </w:tc>
        <w:tc>
          <w:tcPr>
            <w:tcW w:w="151" w:type="dxa"/>
            <w:tcBorders>
              <w:top w:val="single" w:sz="4" w:space="0" w:color="000000"/>
              <w:bottom w:val="single" w:sz="4" w:space="0" w:color="000000"/>
            </w:tcBorders>
          </w:tcPr>
          <w:p>
            <w:pPr>
              <w:pStyle w:val="TableParagraph"/>
              <w:spacing w:before="43"/>
              <w:ind w:right="5"/>
              <w:jc w:val="center"/>
              <w:rPr>
                <w:sz w:val="18"/>
              </w:rPr>
            </w:pPr>
            <w:r>
              <w:rPr>
                <w:w w:val="101"/>
                <w:sz w:val="18"/>
              </w:rPr>
              <w:t>-</w:t>
            </w:r>
          </w:p>
        </w:tc>
        <w:tc>
          <w:tcPr>
            <w:tcW w:w="1600" w:type="dxa"/>
            <w:tcBorders>
              <w:top w:val="single" w:sz="4" w:space="0" w:color="000000"/>
              <w:bottom w:val="single" w:sz="4" w:space="0" w:color="000000"/>
            </w:tcBorders>
          </w:tcPr>
          <w:p>
            <w:pPr>
              <w:pStyle w:val="TableParagraph"/>
              <w:spacing w:before="43"/>
              <w:ind w:right="12"/>
              <w:rPr>
                <w:b/>
                <w:sz w:val="18"/>
              </w:rPr>
            </w:pPr>
            <w:r>
              <w:rPr>
                <w:b/>
                <w:spacing w:val="-2"/>
                <w:sz w:val="18"/>
              </w:rPr>
              <w:t>408.0</w:t>
            </w: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4"/>
        </w:rPr>
      </w:pPr>
      <w:r>
        <w:rPr/>
        <w:pict>
          <v:rect style="position:absolute;margin-left:113.330002pt;margin-top:15.354525pt;width:144.050pt;height:.48004pt;mso-position-horizontal-relative:page;mso-position-vertical-relative:paragraph;z-index:-15673344;mso-wrap-distance-left:0;mso-wrap-distance-right:0" id="docshape439" filled="true" fillcolor="#000000" stroked="false">
            <v:fill type="solid"/>
            <w10:wrap type="topAndBottom"/>
          </v:rect>
        </w:pict>
      </w:r>
    </w:p>
    <w:p>
      <w:pPr>
        <w:spacing w:before="86"/>
        <w:ind w:left="2246" w:right="0" w:firstLine="0"/>
        <w:jc w:val="left"/>
        <w:rPr>
          <w:sz w:val="16"/>
        </w:rPr>
      </w:pPr>
      <w:r>
        <w:rPr>
          <w:position w:val="5"/>
          <w:sz w:val="10"/>
        </w:rPr>
        <w:t>153</w:t>
      </w:r>
      <w:r>
        <w:rPr>
          <w:spacing w:val="13"/>
          <w:position w:val="5"/>
          <w:sz w:val="10"/>
        </w:rPr>
        <w:t> </w:t>
      </w:r>
      <w:r>
        <w:rPr>
          <w:i/>
          <w:sz w:val="16"/>
        </w:rPr>
        <w:t>Official Records</w:t>
      </w:r>
      <w:r>
        <w:rPr>
          <w:i/>
          <w:spacing w:val="-1"/>
          <w:sz w:val="16"/>
        </w:rPr>
        <w:t> </w:t>
      </w:r>
      <w:r>
        <w:rPr>
          <w:i/>
          <w:sz w:val="16"/>
        </w:rPr>
        <w:t>…</w:t>
      </w:r>
      <w:r>
        <w:rPr>
          <w:i/>
          <w:spacing w:val="-5"/>
          <w:sz w:val="16"/>
        </w:rPr>
        <w:t> </w:t>
      </w:r>
      <w:r>
        <w:rPr>
          <w:i/>
          <w:sz w:val="16"/>
        </w:rPr>
        <w:t>Ninth</w:t>
      </w:r>
      <w:r>
        <w:rPr>
          <w:i/>
          <w:spacing w:val="-2"/>
          <w:sz w:val="16"/>
        </w:rPr>
        <w:t> </w:t>
      </w:r>
      <w:r>
        <w:rPr>
          <w:i/>
          <w:sz w:val="16"/>
        </w:rPr>
        <w:t>Session</w:t>
      </w:r>
      <w:r>
        <w:rPr>
          <w:i/>
          <w:spacing w:val="-1"/>
          <w:sz w:val="16"/>
        </w:rPr>
        <w:t> </w:t>
      </w:r>
      <w:r>
        <w:rPr>
          <w:i/>
          <w:sz w:val="16"/>
        </w:rPr>
        <w:t>…</w:t>
      </w:r>
      <w:r>
        <w:rPr>
          <w:i/>
          <w:spacing w:val="-1"/>
          <w:sz w:val="16"/>
        </w:rPr>
        <w:t> </w:t>
      </w:r>
      <w:r>
        <w:rPr>
          <w:i/>
          <w:sz w:val="16"/>
        </w:rPr>
        <w:t>2010</w:t>
      </w:r>
      <w:r>
        <w:rPr>
          <w:i/>
          <w:spacing w:val="2"/>
          <w:sz w:val="16"/>
        </w:rPr>
        <w:t> </w:t>
      </w:r>
      <w:r>
        <w:rPr>
          <w:sz w:val="16"/>
        </w:rPr>
        <w:t>(ICC-ASP/9/20),</w:t>
      </w:r>
      <w:r>
        <w:rPr>
          <w:spacing w:val="-5"/>
          <w:sz w:val="16"/>
        </w:rPr>
        <w:t> </w:t>
      </w:r>
      <w:r>
        <w:rPr>
          <w:sz w:val="16"/>
        </w:rPr>
        <w:t>vol.</w:t>
      </w:r>
      <w:r>
        <w:rPr>
          <w:spacing w:val="-4"/>
          <w:sz w:val="16"/>
        </w:rPr>
        <w:t> </w:t>
      </w:r>
      <w:r>
        <w:rPr>
          <w:sz w:val="16"/>
        </w:rPr>
        <w:t>I,</w:t>
      </w:r>
      <w:r>
        <w:rPr>
          <w:spacing w:val="-4"/>
          <w:sz w:val="16"/>
        </w:rPr>
        <w:t> </w:t>
      </w:r>
      <w:r>
        <w:rPr>
          <w:sz w:val="16"/>
        </w:rPr>
        <w:t>part</w:t>
      </w:r>
      <w:r>
        <w:rPr>
          <w:spacing w:val="-5"/>
          <w:sz w:val="16"/>
        </w:rPr>
        <w:t> </w:t>
      </w:r>
      <w:r>
        <w:rPr>
          <w:sz w:val="16"/>
        </w:rPr>
        <w:t>III,</w:t>
      </w:r>
      <w:r>
        <w:rPr>
          <w:spacing w:val="-4"/>
          <w:sz w:val="16"/>
        </w:rPr>
        <w:t> </w:t>
      </w:r>
      <w:r>
        <w:rPr>
          <w:sz w:val="16"/>
        </w:rPr>
        <w:t>ICC-</w:t>
      </w:r>
      <w:r>
        <w:rPr>
          <w:spacing w:val="-2"/>
          <w:sz w:val="16"/>
        </w:rPr>
        <w:t>ASP/9/Res.4.</w:t>
      </w:r>
    </w:p>
    <w:p>
      <w:pPr>
        <w:spacing w:after="0"/>
        <w:jc w:val="left"/>
        <w:rPr>
          <w:sz w:val="16"/>
        </w:rPr>
        <w:sectPr>
          <w:pgSz w:w="11910" w:h="16840"/>
          <w:pgMar w:header="957" w:footer="940" w:top="1140" w:bottom="1140" w:left="20" w:right="20"/>
        </w:sectPr>
      </w:pPr>
    </w:p>
    <w:p>
      <w:pPr>
        <w:pStyle w:val="Heading1"/>
        <w:spacing w:before="126"/>
      </w:pPr>
      <w:r>
        <w:rPr/>
        <w:t>Annex</w:t>
      </w:r>
      <w:r>
        <w:rPr>
          <w:spacing w:val="-9"/>
        </w:rPr>
        <w:t> </w:t>
      </w:r>
      <w:r>
        <w:rPr>
          <w:spacing w:val="-4"/>
        </w:rPr>
        <w:t>VIII</w:t>
      </w:r>
    </w:p>
    <w:p>
      <w:pPr>
        <w:spacing w:before="240"/>
        <w:ind w:left="2967" w:right="0" w:firstLine="0"/>
        <w:jc w:val="left"/>
        <w:rPr>
          <w:b/>
          <w:sz w:val="28"/>
        </w:rPr>
      </w:pPr>
      <w:bookmarkStart w:name="_bookmark82" w:id="83"/>
      <w:bookmarkEnd w:id="83"/>
      <w:r>
        <w:rPr/>
      </w:r>
      <w:r>
        <w:rPr>
          <w:b/>
          <w:sz w:val="28"/>
        </w:rPr>
        <w:t>2023</w:t>
      </w:r>
      <w:r>
        <w:rPr>
          <w:b/>
          <w:spacing w:val="-7"/>
          <w:sz w:val="28"/>
        </w:rPr>
        <w:t> </w:t>
      </w:r>
      <w:r>
        <w:rPr>
          <w:b/>
          <w:sz w:val="28"/>
        </w:rPr>
        <w:t>estimated</w:t>
      </w:r>
      <w:r>
        <w:rPr>
          <w:b/>
          <w:spacing w:val="-9"/>
          <w:sz w:val="28"/>
        </w:rPr>
        <w:t> </w:t>
      </w:r>
      <w:r>
        <w:rPr>
          <w:b/>
          <w:sz w:val="28"/>
        </w:rPr>
        <w:t>income</w:t>
      </w:r>
      <w:r>
        <w:rPr>
          <w:b/>
          <w:spacing w:val="-6"/>
          <w:sz w:val="28"/>
        </w:rPr>
        <w:t> </w:t>
      </w:r>
      <w:r>
        <w:rPr>
          <w:b/>
          <w:spacing w:val="-2"/>
          <w:sz w:val="28"/>
        </w:rPr>
        <w:t>statements</w:t>
      </w:r>
    </w:p>
    <w:p>
      <w:pPr>
        <w:spacing w:before="266"/>
        <w:ind w:left="2246" w:right="0" w:firstLine="0"/>
        <w:jc w:val="left"/>
        <w:rPr>
          <w:b/>
          <w:sz w:val="20"/>
        </w:rPr>
      </w:pPr>
      <w:r>
        <w:rPr>
          <w:b/>
          <w:sz w:val="20"/>
        </w:rPr>
        <w:t>Least-Developed</w:t>
      </w:r>
      <w:r>
        <w:rPr>
          <w:b/>
          <w:spacing w:val="-8"/>
          <w:sz w:val="20"/>
        </w:rPr>
        <w:t> </w:t>
      </w:r>
      <w:r>
        <w:rPr>
          <w:b/>
          <w:sz w:val="20"/>
        </w:rPr>
        <w:t>Countries</w:t>
      </w:r>
      <w:r>
        <w:rPr>
          <w:b/>
          <w:spacing w:val="-8"/>
          <w:sz w:val="20"/>
        </w:rPr>
        <w:t> </w:t>
      </w:r>
      <w:r>
        <w:rPr>
          <w:b/>
          <w:sz w:val="20"/>
        </w:rPr>
        <w:t>Trust</w:t>
      </w:r>
      <w:r>
        <w:rPr>
          <w:b/>
          <w:spacing w:val="-10"/>
          <w:sz w:val="20"/>
        </w:rPr>
        <w:t> </w:t>
      </w:r>
      <w:r>
        <w:rPr>
          <w:b/>
          <w:sz w:val="20"/>
        </w:rPr>
        <w:t>Fund</w:t>
      </w:r>
      <w:r>
        <w:rPr>
          <w:b/>
          <w:spacing w:val="-5"/>
          <w:sz w:val="20"/>
        </w:rPr>
        <w:t> </w:t>
      </w:r>
      <w:r>
        <w:rPr>
          <w:b/>
          <w:spacing w:val="-2"/>
          <w:sz w:val="20"/>
        </w:rPr>
        <w:t>(euros)</w:t>
      </w:r>
    </w:p>
    <w:p>
      <w:pPr>
        <w:pStyle w:val="BodyText"/>
        <w:spacing w:before="11"/>
        <w:rPr>
          <w:b/>
        </w:rPr>
      </w:pPr>
    </w:p>
    <w:tbl>
      <w:tblPr>
        <w:tblW w:w="0" w:type="auto"/>
        <w:jc w:val="left"/>
        <w:tblInd w:w="2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75"/>
        <w:gridCol w:w="3120"/>
      </w:tblGrid>
      <w:tr>
        <w:trPr>
          <w:trHeight w:val="287" w:hRule="atLeast"/>
        </w:trPr>
        <w:tc>
          <w:tcPr>
            <w:tcW w:w="4275" w:type="dxa"/>
            <w:tcBorders>
              <w:top w:val="single" w:sz="4" w:space="0" w:color="000000"/>
              <w:bottom w:val="single" w:sz="4" w:space="0" w:color="000000"/>
            </w:tcBorders>
          </w:tcPr>
          <w:p>
            <w:pPr>
              <w:pStyle w:val="TableParagraph"/>
              <w:spacing w:before="43"/>
              <w:ind w:left="14"/>
              <w:jc w:val="left"/>
              <w:rPr>
                <w:b/>
                <w:sz w:val="18"/>
              </w:rPr>
            </w:pPr>
            <w:r>
              <w:rPr>
                <w:b/>
                <w:sz w:val="18"/>
              </w:rPr>
              <w:t>Estimated</w:t>
            </w:r>
            <w:r>
              <w:rPr>
                <w:b/>
                <w:spacing w:val="-7"/>
                <w:sz w:val="18"/>
              </w:rPr>
              <w:t> </w:t>
            </w:r>
            <w:r>
              <w:rPr>
                <w:b/>
                <w:sz w:val="18"/>
              </w:rPr>
              <w:t>income</w:t>
            </w:r>
            <w:r>
              <w:rPr>
                <w:b/>
                <w:spacing w:val="-6"/>
                <w:sz w:val="18"/>
              </w:rPr>
              <w:t> </w:t>
            </w:r>
            <w:r>
              <w:rPr>
                <w:b/>
                <w:spacing w:val="-4"/>
                <w:sz w:val="18"/>
              </w:rPr>
              <w:t>2023</w:t>
            </w:r>
          </w:p>
        </w:tc>
        <w:tc>
          <w:tcPr>
            <w:tcW w:w="3120" w:type="dxa"/>
            <w:tcBorders>
              <w:top w:val="single" w:sz="4" w:space="0" w:color="000000"/>
              <w:bottom w:val="single" w:sz="4" w:space="0" w:color="000000"/>
            </w:tcBorders>
          </w:tcPr>
          <w:p>
            <w:pPr>
              <w:pStyle w:val="TableParagraph"/>
              <w:jc w:val="left"/>
              <w:rPr>
                <w:sz w:val="18"/>
              </w:rPr>
            </w:pPr>
          </w:p>
        </w:tc>
      </w:tr>
      <w:tr>
        <w:trPr>
          <w:trHeight w:val="287" w:hRule="atLeast"/>
        </w:trPr>
        <w:tc>
          <w:tcPr>
            <w:tcW w:w="4275" w:type="dxa"/>
            <w:tcBorders>
              <w:top w:val="single" w:sz="4" w:space="0" w:color="000000"/>
              <w:bottom w:val="single" w:sz="4" w:space="0" w:color="000000"/>
            </w:tcBorders>
          </w:tcPr>
          <w:p>
            <w:pPr>
              <w:pStyle w:val="TableParagraph"/>
              <w:spacing w:before="43"/>
              <w:ind w:left="163"/>
              <w:jc w:val="left"/>
              <w:rPr>
                <w:sz w:val="18"/>
              </w:rPr>
            </w:pPr>
            <w:r>
              <w:rPr>
                <w:sz w:val="18"/>
              </w:rPr>
              <w:t>Donor</w:t>
            </w:r>
            <w:r>
              <w:rPr>
                <w:spacing w:val="1"/>
                <w:sz w:val="18"/>
              </w:rPr>
              <w:t> </w:t>
            </w:r>
            <w:r>
              <w:rPr>
                <w:spacing w:val="-2"/>
                <w:sz w:val="18"/>
              </w:rPr>
              <w:t>contributions</w:t>
            </w:r>
          </w:p>
        </w:tc>
        <w:tc>
          <w:tcPr>
            <w:tcW w:w="3120" w:type="dxa"/>
            <w:tcBorders>
              <w:top w:val="single" w:sz="4" w:space="0" w:color="000000"/>
              <w:bottom w:val="single" w:sz="4" w:space="0" w:color="000000"/>
            </w:tcBorders>
          </w:tcPr>
          <w:p>
            <w:pPr>
              <w:pStyle w:val="TableParagraph"/>
              <w:spacing w:before="43"/>
              <w:rPr>
                <w:sz w:val="18"/>
              </w:rPr>
            </w:pPr>
            <w:r>
              <w:rPr>
                <w:spacing w:val="-2"/>
                <w:sz w:val="18"/>
              </w:rPr>
              <w:t>10,000</w:t>
            </w:r>
          </w:p>
        </w:tc>
      </w:tr>
      <w:tr>
        <w:trPr>
          <w:trHeight w:val="282" w:hRule="atLeast"/>
        </w:trPr>
        <w:tc>
          <w:tcPr>
            <w:tcW w:w="4275" w:type="dxa"/>
            <w:tcBorders>
              <w:top w:val="single" w:sz="4" w:space="0" w:color="000000"/>
              <w:bottom w:val="single" w:sz="4" w:space="0" w:color="000000"/>
            </w:tcBorders>
          </w:tcPr>
          <w:p>
            <w:pPr>
              <w:pStyle w:val="TableParagraph"/>
              <w:spacing w:before="43"/>
              <w:ind w:left="158"/>
              <w:jc w:val="left"/>
              <w:rPr>
                <w:i/>
                <w:sz w:val="18"/>
              </w:rPr>
            </w:pPr>
            <w:r>
              <w:rPr>
                <w:i/>
                <w:sz w:val="18"/>
              </w:rPr>
              <w:t>Subtotal</w:t>
            </w:r>
            <w:r>
              <w:rPr>
                <w:i/>
                <w:spacing w:val="-1"/>
                <w:sz w:val="18"/>
              </w:rPr>
              <w:t> </w:t>
            </w:r>
            <w:r>
              <w:rPr>
                <w:i/>
                <w:spacing w:val="-2"/>
                <w:sz w:val="18"/>
              </w:rPr>
              <w:t>income</w:t>
            </w:r>
          </w:p>
        </w:tc>
        <w:tc>
          <w:tcPr>
            <w:tcW w:w="3120" w:type="dxa"/>
            <w:tcBorders>
              <w:top w:val="single" w:sz="4" w:space="0" w:color="000000"/>
              <w:bottom w:val="single" w:sz="4" w:space="0" w:color="000000"/>
            </w:tcBorders>
          </w:tcPr>
          <w:p>
            <w:pPr>
              <w:pStyle w:val="TableParagraph"/>
              <w:spacing w:before="43"/>
              <w:rPr>
                <w:i/>
                <w:sz w:val="18"/>
              </w:rPr>
            </w:pPr>
            <w:r>
              <w:rPr>
                <w:i/>
                <w:spacing w:val="-2"/>
                <w:sz w:val="18"/>
              </w:rPr>
              <w:t>10,000</w:t>
            </w:r>
          </w:p>
        </w:tc>
      </w:tr>
      <w:tr>
        <w:trPr>
          <w:trHeight w:val="287" w:hRule="atLeast"/>
        </w:trPr>
        <w:tc>
          <w:tcPr>
            <w:tcW w:w="4275" w:type="dxa"/>
            <w:tcBorders>
              <w:top w:val="single" w:sz="4" w:space="0" w:color="000000"/>
              <w:bottom w:val="single" w:sz="4" w:space="0" w:color="000000"/>
            </w:tcBorders>
          </w:tcPr>
          <w:p>
            <w:pPr>
              <w:pStyle w:val="TableParagraph"/>
              <w:spacing w:before="47"/>
              <w:ind w:left="14"/>
              <w:jc w:val="left"/>
              <w:rPr>
                <w:b/>
                <w:sz w:val="18"/>
              </w:rPr>
            </w:pPr>
            <w:r>
              <w:rPr>
                <w:b/>
                <w:sz w:val="18"/>
              </w:rPr>
              <w:t>Estimated</w:t>
            </w:r>
            <w:r>
              <w:rPr>
                <w:b/>
                <w:spacing w:val="-11"/>
                <w:sz w:val="18"/>
              </w:rPr>
              <w:t> </w:t>
            </w:r>
            <w:r>
              <w:rPr>
                <w:b/>
                <w:sz w:val="18"/>
              </w:rPr>
              <w:t>expenditure</w:t>
            </w:r>
            <w:r>
              <w:rPr>
                <w:b/>
                <w:spacing w:val="-2"/>
                <w:sz w:val="18"/>
              </w:rPr>
              <w:t> </w:t>
            </w:r>
            <w:r>
              <w:rPr>
                <w:b/>
                <w:spacing w:val="-4"/>
                <w:sz w:val="18"/>
              </w:rPr>
              <w:t>2023</w:t>
            </w:r>
          </w:p>
        </w:tc>
        <w:tc>
          <w:tcPr>
            <w:tcW w:w="3120" w:type="dxa"/>
            <w:tcBorders>
              <w:top w:val="single" w:sz="4" w:space="0" w:color="000000"/>
              <w:bottom w:val="single" w:sz="4" w:space="0" w:color="000000"/>
            </w:tcBorders>
          </w:tcPr>
          <w:p>
            <w:pPr>
              <w:pStyle w:val="TableParagraph"/>
              <w:jc w:val="left"/>
              <w:rPr>
                <w:sz w:val="18"/>
              </w:rPr>
            </w:pPr>
          </w:p>
        </w:tc>
      </w:tr>
      <w:tr>
        <w:trPr>
          <w:trHeight w:val="293" w:hRule="atLeast"/>
        </w:trPr>
        <w:tc>
          <w:tcPr>
            <w:tcW w:w="4275" w:type="dxa"/>
            <w:tcBorders>
              <w:top w:val="single" w:sz="4" w:space="0" w:color="000000"/>
            </w:tcBorders>
          </w:tcPr>
          <w:p>
            <w:pPr>
              <w:pStyle w:val="TableParagraph"/>
              <w:spacing w:before="43"/>
              <w:ind w:left="158"/>
              <w:jc w:val="left"/>
              <w:rPr>
                <w:sz w:val="18"/>
              </w:rPr>
            </w:pPr>
            <w:r>
              <w:rPr>
                <w:spacing w:val="-2"/>
                <w:sz w:val="18"/>
              </w:rPr>
              <w:t>Travel</w:t>
            </w:r>
          </w:p>
        </w:tc>
        <w:tc>
          <w:tcPr>
            <w:tcW w:w="3120" w:type="dxa"/>
            <w:tcBorders>
              <w:top w:val="single" w:sz="4" w:space="0" w:color="000000"/>
            </w:tcBorders>
          </w:tcPr>
          <w:p>
            <w:pPr>
              <w:pStyle w:val="TableParagraph"/>
              <w:spacing w:before="43"/>
              <w:rPr>
                <w:sz w:val="18"/>
              </w:rPr>
            </w:pPr>
            <w:r>
              <w:rPr>
                <w:spacing w:val="-2"/>
                <w:sz w:val="18"/>
              </w:rPr>
              <w:t>8,700</w:t>
            </w:r>
          </w:p>
        </w:tc>
      </w:tr>
      <w:tr>
        <w:trPr>
          <w:trHeight w:val="282" w:hRule="atLeast"/>
        </w:trPr>
        <w:tc>
          <w:tcPr>
            <w:tcW w:w="4275" w:type="dxa"/>
            <w:tcBorders>
              <w:bottom w:val="single" w:sz="4" w:space="0" w:color="000000"/>
            </w:tcBorders>
          </w:tcPr>
          <w:p>
            <w:pPr>
              <w:pStyle w:val="TableParagraph"/>
              <w:spacing w:before="37"/>
              <w:ind w:left="158"/>
              <w:jc w:val="left"/>
              <w:rPr>
                <w:sz w:val="18"/>
              </w:rPr>
            </w:pPr>
            <w:r>
              <w:rPr>
                <w:sz w:val="18"/>
              </w:rPr>
              <w:t>Administration</w:t>
            </w:r>
            <w:r>
              <w:rPr>
                <w:spacing w:val="-8"/>
                <w:sz w:val="18"/>
              </w:rPr>
              <w:t> </w:t>
            </w:r>
            <w:r>
              <w:rPr>
                <w:spacing w:val="-2"/>
                <w:sz w:val="18"/>
              </w:rPr>
              <w:t>costs</w:t>
            </w:r>
          </w:p>
        </w:tc>
        <w:tc>
          <w:tcPr>
            <w:tcW w:w="3120" w:type="dxa"/>
            <w:tcBorders>
              <w:bottom w:val="single" w:sz="4" w:space="0" w:color="000000"/>
            </w:tcBorders>
          </w:tcPr>
          <w:p>
            <w:pPr>
              <w:pStyle w:val="TableParagraph"/>
              <w:spacing w:before="37"/>
              <w:rPr>
                <w:sz w:val="18"/>
              </w:rPr>
            </w:pPr>
            <w:r>
              <w:rPr>
                <w:spacing w:val="-2"/>
                <w:sz w:val="18"/>
              </w:rPr>
              <w:t>1,300</w:t>
            </w:r>
          </w:p>
        </w:tc>
      </w:tr>
      <w:tr>
        <w:trPr>
          <w:trHeight w:val="287" w:hRule="atLeast"/>
        </w:trPr>
        <w:tc>
          <w:tcPr>
            <w:tcW w:w="4275" w:type="dxa"/>
            <w:tcBorders>
              <w:top w:val="single" w:sz="4" w:space="0" w:color="000000"/>
              <w:bottom w:val="single" w:sz="4" w:space="0" w:color="000000"/>
            </w:tcBorders>
          </w:tcPr>
          <w:p>
            <w:pPr>
              <w:pStyle w:val="TableParagraph"/>
              <w:spacing w:before="43"/>
              <w:ind w:left="158"/>
              <w:jc w:val="left"/>
              <w:rPr>
                <w:i/>
                <w:sz w:val="18"/>
              </w:rPr>
            </w:pPr>
            <w:r>
              <w:rPr>
                <w:i/>
                <w:sz w:val="18"/>
              </w:rPr>
              <w:t>Subtotal</w:t>
            </w:r>
            <w:r>
              <w:rPr>
                <w:i/>
                <w:spacing w:val="-1"/>
                <w:sz w:val="18"/>
              </w:rPr>
              <w:t> </w:t>
            </w:r>
            <w:r>
              <w:rPr>
                <w:i/>
                <w:spacing w:val="-2"/>
                <w:sz w:val="18"/>
              </w:rPr>
              <w:t>expenditure</w:t>
            </w:r>
          </w:p>
        </w:tc>
        <w:tc>
          <w:tcPr>
            <w:tcW w:w="3120" w:type="dxa"/>
            <w:tcBorders>
              <w:top w:val="single" w:sz="4" w:space="0" w:color="000000"/>
              <w:bottom w:val="single" w:sz="4" w:space="0" w:color="000000"/>
            </w:tcBorders>
          </w:tcPr>
          <w:p>
            <w:pPr>
              <w:pStyle w:val="TableParagraph"/>
              <w:spacing w:before="43"/>
              <w:rPr>
                <w:i/>
                <w:sz w:val="18"/>
              </w:rPr>
            </w:pPr>
            <w:r>
              <w:rPr>
                <w:i/>
                <w:spacing w:val="-2"/>
                <w:sz w:val="18"/>
              </w:rPr>
              <w:t>10,000</w:t>
            </w:r>
          </w:p>
        </w:tc>
      </w:tr>
      <w:tr>
        <w:trPr>
          <w:trHeight w:val="287" w:hRule="atLeast"/>
        </w:trPr>
        <w:tc>
          <w:tcPr>
            <w:tcW w:w="4275" w:type="dxa"/>
            <w:tcBorders>
              <w:top w:val="single" w:sz="4" w:space="0" w:color="000000"/>
              <w:bottom w:val="single" w:sz="4" w:space="0" w:color="000000"/>
            </w:tcBorders>
          </w:tcPr>
          <w:p>
            <w:pPr>
              <w:pStyle w:val="TableParagraph"/>
              <w:spacing w:before="43"/>
              <w:ind w:left="14"/>
              <w:jc w:val="left"/>
              <w:rPr>
                <w:b/>
                <w:sz w:val="18"/>
              </w:rPr>
            </w:pPr>
            <w:r>
              <w:rPr>
                <w:b/>
                <w:sz w:val="18"/>
              </w:rPr>
              <w:t>Net</w:t>
            </w:r>
            <w:r>
              <w:rPr>
                <w:b/>
                <w:spacing w:val="-3"/>
                <w:sz w:val="18"/>
              </w:rPr>
              <w:t> </w:t>
            </w:r>
            <w:r>
              <w:rPr>
                <w:b/>
                <w:sz w:val="18"/>
              </w:rPr>
              <w:t>income</w:t>
            </w:r>
            <w:r>
              <w:rPr>
                <w:b/>
                <w:spacing w:val="-3"/>
                <w:sz w:val="18"/>
              </w:rPr>
              <w:t> </w:t>
            </w:r>
            <w:r>
              <w:rPr>
                <w:b/>
                <w:spacing w:val="-4"/>
                <w:sz w:val="18"/>
              </w:rPr>
              <w:t>2023</w:t>
            </w:r>
          </w:p>
        </w:tc>
        <w:tc>
          <w:tcPr>
            <w:tcW w:w="3120" w:type="dxa"/>
            <w:tcBorders>
              <w:top w:val="single" w:sz="4" w:space="0" w:color="000000"/>
              <w:bottom w:val="single" w:sz="4" w:space="0" w:color="000000"/>
            </w:tcBorders>
          </w:tcPr>
          <w:p>
            <w:pPr>
              <w:pStyle w:val="TableParagraph"/>
              <w:spacing w:before="43"/>
              <w:ind w:right="4"/>
              <w:rPr>
                <w:b/>
                <w:sz w:val="18"/>
              </w:rPr>
            </w:pPr>
            <w:r>
              <w:rPr>
                <w:b/>
                <w:w w:val="101"/>
                <w:sz w:val="18"/>
              </w:rPr>
              <w:t>0</w:t>
            </w:r>
          </w:p>
        </w:tc>
      </w:tr>
    </w:tbl>
    <w:p>
      <w:pPr>
        <w:spacing w:after="0"/>
        <w:rPr>
          <w:sz w:val="18"/>
        </w:rPr>
        <w:sectPr>
          <w:headerReference w:type="even" r:id="rId157"/>
          <w:headerReference w:type="default" r:id="rId158"/>
          <w:footerReference w:type="even" r:id="rId159"/>
          <w:footerReference w:type="default" r:id="rId160"/>
          <w:pgSz w:w="11910" w:h="16840"/>
          <w:pgMar w:header="953" w:footer="940" w:top="1140" w:bottom="1140" w:left="20" w:right="20"/>
          <w:pgNumType w:start="216"/>
        </w:sectPr>
      </w:pPr>
    </w:p>
    <w:p>
      <w:pPr>
        <w:spacing w:before="122"/>
        <w:ind w:left="1679" w:right="0" w:firstLine="0"/>
        <w:jc w:val="left"/>
        <w:rPr>
          <w:b/>
          <w:sz w:val="28"/>
        </w:rPr>
      </w:pPr>
      <w:r>
        <w:rPr>
          <w:b/>
          <w:sz w:val="28"/>
        </w:rPr>
        <w:t>Annex</w:t>
      </w:r>
      <w:r>
        <w:rPr>
          <w:b/>
          <w:spacing w:val="-9"/>
          <w:sz w:val="28"/>
        </w:rPr>
        <w:t> </w:t>
      </w:r>
      <w:r>
        <w:rPr>
          <w:b/>
          <w:spacing w:val="-5"/>
          <w:sz w:val="28"/>
        </w:rPr>
        <w:t>IX</w:t>
      </w:r>
    </w:p>
    <w:p>
      <w:pPr>
        <w:spacing w:before="240"/>
        <w:ind w:left="2967" w:right="0" w:firstLine="0"/>
        <w:jc w:val="left"/>
        <w:rPr>
          <w:b/>
          <w:sz w:val="28"/>
        </w:rPr>
      </w:pPr>
      <w:bookmarkStart w:name="_bookmark83" w:id="84"/>
      <w:bookmarkEnd w:id="84"/>
      <w:r>
        <w:rPr/>
      </w:r>
      <w:r>
        <w:rPr>
          <w:b/>
          <w:sz w:val="28"/>
        </w:rPr>
        <w:t>Information</w:t>
      </w:r>
      <w:r>
        <w:rPr>
          <w:b/>
          <w:spacing w:val="-14"/>
          <w:sz w:val="28"/>
        </w:rPr>
        <w:t> </w:t>
      </w:r>
      <w:r>
        <w:rPr>
          <w:b/>
          <w:spacing w:val="-2"/>
          <w:sz w:val="28"/>
        </w:rPr>
        <w:t>Technology</w:t>
      </w:r>
    </w:p>
    <w:p>
      <w:pPr>
        <w:pStyle w:val="BodyText"/>
        <w:spacing w:before="5"/>
        <w:rPr>
          <w:b/>
          <w:sz w:val="15"/>
        </w:rPr>
      </w:pPr>
    </w:p>
    <w:p>
      <w:pPr>
        <w:spacing w:before="87"/>
        <w:ind w:left="1679" w:right="0" w:firstLine="0"/>
        <w:jc w:val="left"/>
        <w:rPr>
          <w:b/>
          <w:sz w:val="28"/>
        </w:rPr>
      </w:pPr>
      <w:r>
        <w:rPr>
          <w:b/>
          <w:sz w:val="28"/>
        </w:rPr>
        <w:t>Annex</w:t>
      </w:r>
      <w:r>
        <w:rPr>
          <w:b/>
          <w:spacing w:val="-5"/>
          <w:sz w:val="28"/>
        </w:rPr>
        <w:t> </w:t>
      </w:r>
      <w:r>
        <w:rPr>
          <w:b/>
          <w:sz w:val="28"/>
        </w:rPr>
        <w:t>IX</w:t>
      </w:r>
      <w:r>
        <w:rPr>
          <w:b/>
          <w:spacing w:val="-4"/>
          <w:sz w:val="28"/>
        </w:rPr>
        <w:t> </w:t>
      </w:r>
      <w:r>
        <w:rPr>
          <w:b/>
          <w:spacing w:val="-5"/>
          <w:sz w:val="28"/>
        </w:rPr>
        <w:t>(a)</w:t>
      </w:r>
    </w:p>
    <w:p>
      <w:pPr>
        <w:spacing w:line="259" w:lineRule="auto" w:before="239"/>
        <w:ind w:left="2957" w:right="2249" w:firstLine="0"/>
        <w:jc w:val="both"/>
        <w:rPr>
          <w:b/>
          <w:sz w:val="28"/>
        </w:rPr>
      </w:pPr>
      <w:bookmarkStart w:name="_bookmark84" w:id="85"/>
      <w:bookmarkEnd w:id="85"/>
      <w:r>
        <w:rPr/>
      </w:r>
      <w:r>
        <w:rPr>
          <w:b/>
          <w:sz w:val="28"/>
        </w:rPr>
        <w:t>Information Technology and Information Management (IT/IM) Strategy for 2023-2025 of the International Criminal Court</w:t>
      </w:r>
    </w:p>
    <w:p>
      <w:pPr>
        <w:pStyle w:val="ListParagraph"/>
        <w:numPr>
          <w:ilvl w:val="0"/>
          <w:numId w:val="127"/>
        </w:numPr>
        <w:tabs>
          <w:tab w:pos="2966" w:val="left" w:leader="none"/>
          <w:tab w:pos="2967" w:val="left" w:leader="none"/>
        </w:tabs>
        <w:spacing w:line="240" w:lineRule="auto" w:before="242" w:after="0"/>
        <w:ind w:left="2246" w:right="2240" w:firstLine="0"/>
        <w:jc w:val="both"/>
        <w:rPr>
          <w:sz w:val="20"/>
        </w:rPr>
      </w:pPr>
      <w:r>
        <w:rPr>
          <w:sz w:val="20"/>
        </w:rPr>
        <w:t>The Proposed Programme Budget for 2023 of the Court includes investments for the</w:t>
      </w:r>
      <w:r>
        <w:rPr>
          <w:spacing w:val="-7"/>
          <w:sz w:val="20"/>
        </w:rPr>
        <w:t> </w:t>
      </w:r>
      <w:r>
        <w:rPr>
          <w:sz w:val="20"/>
        </w:rPr>
        <w:t>IT/IM</w:t>
      </w:r>
      <w:r>
        <w:rPr>
          <w:spacing w:val="-10"/>
          <w:sz w:val="20"/>
        </w:rPr>
        <w:t> </w:t>
      </w:r>
      <w:r>
        <w:rPr>
          <w:sz w:val="20"/>
        </w:rPr>
        <w:t>strategy</w:t>
      </w:r>
      <w:r>
        <w:rPr>
          <w:spacing w:val="-8"/>
          <w:sz w:val="20"/>
        </w:rPr>
        <w:t> </w:t>
      </w:r>
      <w:r>
        <w:rPr>
          <w:sz w:val="20"/>
        </w:rPr>
        <w:t>for</w:t>
      </w:r>
      <w:r>
        <w:rPr>
          <w:spacing w:val="-8"/>
          <w:sz w:val="20"/>
        </w:rPr>
        <w:t> </w:t>
      </w:r>
      <w:r>
        <w:rPr>
          <w:sz w:val="20"/>
        </w:rPr>
        <w:t>2023-2025.</w:t>
      </w:r>
      <w:r>
        <w:rPr>
          <w:spacing w:val="-11"/>
          <w:sz w:val="20"/>
        </w:rPr>
        <w:t> </w:t>
      </w:r>
      <w:r>
        <w:rPr>
          <w:sz w:val="20"/>
        </w:rPr>
        <w:t>The</w:t>
      </w:r>
      <w:r>
        <w:rPr>
          <w:spacing w:val="-7"/>
          <w:sz w:val="20"/>
        </w:rPr>
        <w:t> </w:t>
      </w:r>
      <w:r>
        <w:rPr>
          <w:sz w:val="20"/>
        </w:rPr>
        <w:t>Court</w:t>
      </w:r>
      <w:r>
        <w:rPr>
          <w:spacing w:val="-7"/>
          <w:sz w:val="20"/>
        </w:rPr>
        <w:t> </w:t>
      </w:r>
      <w:r>
        <w:rPr>
          <w:sz w:val="20"/>
        </w:rPr>
        <w:t>will</w:t>
      </w:r>
      <w:r>
        <w:rPr>
          <w:spacing w:val="-7"/>
          <w:sz w:val="20"/>
        </w:rPr>
        <w:t> </w:t>
      </w:r>
      <w:r>
        <w:rPr>
          <w:sz w:val="20"/>
        </w:rPr>
        <w:t>present</w:t>
      </w:r>
      <w:r>
        <w:rPr>
          <w:spacing w:val="-7"/>
          <w:sz w:val="20"/>
        </w:rPr>
        <w:t> </w:t>
      </w:r>
      <w:r>
        <w:rPr>
          <w:sz w:val="20"/>
        </w:rPr>
        <w:t>to</w:t>
      </w:r>
      <w:r>
        <w:rPr>
          <w:spacing w:val="-13"/>
          <w:sz w:val="20"/>
        </w:rPr>
        <w:t> </w:t>
      </w:r>
      <w:r>
        <w:rPr>
          <w:sz w:val="20"/>
        </w:rPr>
        <w:t>the</w:t>
      </w:r>
      <w:r>
        <w:rPr>
          <w:spacing w:val="-7"/>
          <w:sz w:val="20"/>
        </w:rPr>
        <w:t> </w:t>
      </w:r>
      <w:r>
        <w:rPr>
          <w:sz w:val="20"/>
        </w:rPr>
        <w:t>Committee,</w:t>
      </w:r>
      <w:r>
        <w:rPr>
          <w:spacing w:val="-6"/>
          <w:sz w:val="20"/>
        </w:rPr>
        <w:t> </w:t>
      </w:r>
      <w:r>
        <w:rPr>
          <w:sz w:val="20"/>
        </w:rPr>
        <w:t>at</w:t>
      </w:r>
      <w:r>
        <w:rPr>
          <w:spacing w:val="-7"/>
          <w:sz w:val="20"/>
        </w:rPr>
        <w:t> </w:t>
      </w:r>
      <w:r>
        <w:rPr>
          <w:sz w:val="20"/>
        </w:rPr>
        <w:t>its</w:t>
      </w:r>
      <w:r>
        <w:rPr>
          <w:spacing w:val="-10"/>
          <w:sz w:val="20"/>
        </w:rPr>
        <w:t> </w:t>
      </w:r>
      <w:r>
        <w:rPr>
          <w:sz w:val="20"/>
        </w:rPr>
        <w:t>thirty-ninth session,</w:t>
      </w:r>
      <w:r>
        <w:rPr>
          <w:spacing w:val="-7"/>
          <w:sz w:val="20"/>
        </w:rPr>
        <w:t> </w:t>
      </w:r>
      <w:r>
        <w:rPr>
          <w:sz w:val="20"/>
        </w:rPr>
        <w:t>a</w:t>
      </w:r>
      <w:r>
        <w:rPr>
          <w:spacing w:val="-8"/>
          <w:sz w:val="20"/>
        </w:rPr>
        <w:t> </w:t>
      </w:r>
      <w:r>
        <w:rPr>
          <w:sz w:val="20"/>
        </w:rPr>
        <w:t>report</w:t>
      </w:r>
      <w:r>
        <w:rPr>
          <w:spacing w:val="-8"/>
          <w:sz w:val="20"/>
        </w:rPr>
        <w:t> </w:t>
      </w:r>
      <w:r>
        <w:rPr>
          <w:sz w:val="20"/>
        </w:rPr>
        <w:t>on</w:t>
      </w:r>
      <w:r>
        <w:rPr>
          <w:spacing w:val="-9"/>
          <w:sz w:val="20"/>
        </w:rPr>
        <w:t> </w:t>
      </w:r>
      <w:r>
        <w:rPr>
          <w:sz w:val="20"/>
        </w:rPr>
        <w:t>the</w:t>
      </w:r>
      <w:r>
        <w:rPr>
          <w:spacing w:val="-8"/>
          <w:sz w:val="20"/>
        </w:rPr>
        <w:t> </w:t>
      </w:r>
      <w:r>
        <w:rPr>
          <w:sz w:val="20"/>
        </w:rPr>
        <w:t>execution</w:t>
      </w:r>
      <w:r>
        <w:rPr>
          <w:spacing w:val="-5"/>
          <w:sz w:val="20"/>
        </w:rPr>
        <w:t> </w:t>
      </w:r>
      <w:r>
        <w:rPr>
          <w:sz w:val="20"/>
        </w:rPr>
        <w:t>of</w:t>
      </w:r>
      <w:r>
        <w:rPr>
          <w:spacing w:val="-9"/>
          <w:sz w:val="20"/>
        </w:rPr>
        <w:t> </w:t>
      </w:r>
      <w:r>
        <w:rPr>
          <w:sz w:val="20"/>
        </w:rPr>
        <w:t>the</w:t>
      </w:r>
      <w:r>
        <w:rPr>
          <w:spacing w:val="-8"/>
          <w:sz w:val="20"/>
        </w:rPr>
        <w:t> </w:t>
      </w:r>
      <w:r>
        <w:rPr>
          <w:sz w:val="20"/>
        </w:rPr>
        <w:t>previous</w:t>
      </w:r>
      <w:r>
        <w:rPr>
          <w:spacing w:val="-6"/>
          <w:sz w:val="20"/>
        </w:rPr>
        <w:t> </w:t>
      </w:r>
      <w:r>
        <w:rPr>
          <w:sz w:val="20"/>
        </w:rPr>
        <w:t>strategy</w:t>
      </w:r>
      <w:r>
        <w:rPr>
          <w:spacing w:val="-5"/>
          <w:sz w:val="20"/>
        </w:rPr>
        <w:t> </w:t>
      </w:r>
      <w:r>
        <w:rPr>
          <w:sz w:val="20"/>
        </w:rPr>
        <w:t>from</w:t>
      </w:r>
      <w:r>
        <w:rPr>
          <w:spacing w:val="-8"/>
          <w:sz w:val="20"/>
        </w:rPr>
        <w:t> </w:t>
      </w:r>
      <w:r>
        <w:rPr>
          <w:sz w:val="20"/>
        </w:rPr>
        <w:t>2017</w:t>
      </w:r>
      <w:r>
        <w:rPr>
          <w:spacing w:val="-9"/>
          <w:sz w:val="20"/>
        </w:rPr>
        <w:t> </w:t>
      </w:r>
      <w:r>
        <w:rPr>
          <w:sz w:val="20"/>
        </w:rPr>
        <w:t>to</w:t>
      </w:r>
      <w:r>
        <w:rPr>
          <w:spacing w:val="-9"/>
          <w:sz w:val="20"/>
        </w:rPr>
        <w:t> </w:t>
      </w:r>
      <w:r>
        <w:rPr>
          <w:sz w:val="20"/>
        </w:rPr>
        <w:t>2022.</w:t>
      </w:r>
      <w:r>
        <w:rPr>
          <w:spacing w:val="-7"/>
          <w:sz w:val="20"/>
        </w:rPr>
        <w:t> </w:t>
      </w:r>
      <w:r>
        <w:rPr>
          <w:sz w:val="20"/>
        </w:rPr>
        <w:t>At</w:t>
      </w:r>
      <w:r>
        <w:rPr>
          <w:spacing w:val="-12"/>
          <w:sz w:val="20"/>
        </w:rPr>
        <w:t> </w:t>
      </w:r>
      <w:r>
        <w:rPr>
          <w:sz w:val="20"/>
        </w:rPr>
        <w:t>this</w:t>
      </w:r>
      <w:r>
        <w:rPr>
          <w:spacing w:val="-11"/>
          <w:sz w:val="20"/>
        </w:rPr>
        <w:t> </w:t>
      </w:r>
      <w:r>
        <w:rPr>
          <w:sz w:val="20"/>
        </w:rPr>
        <w:t>session, the Court will also provide the Committee with a more detailed overview of the Court’s IT/IM strategy for 2023-2025. This annex details the Court’s requested investment for the proposed 2023 budget. The Court will continue to report annually to the Committee on the execution of the strategy.</w:t>
      </w:r>
    </w:p>
    <w:p>
      <w:pPr>
        <w:pStyle w:val="ListParagraph"/>
        <w:numPr>
          <w:ilvl w:val="0"/>
          <w:numId w:val="127"/>
        </w:numPr>
        <w:tabs>
          <w:tab w:pos="2966" w:val="left" w:leader="none"/>
          <w:tab w:pos="2967" w:val="left" w:leader="none"/>
        </w:tabs>
        <w:spacing w:line="240" w:lineRule="auto" w:before="119" w:after="0"/>
        <w:ind w:left="2246" w:right="2240" w:firstLine="0"/>
        <w:jc w:val="both"/>
        <w:rPr>
          <w:sz w:val="20"/>
        </w:rPr>
      </w:pPr>
      <w:r>
        <w:rPr>
          <w:sz w:val="20"/>
        </w:rPr>
        <w:t>The</w:t>
      </w:r>
      <w:r>
        <w:rPr>
          <w:spacing w:val="-7"/>
          <w:sz w:val="20"/>
        </w:rPr>
        <w:t> </w:t>
      </w:r>
      <w:r>
        <w:rPr>
          <w:sz w:val="20"/>
        </w:rPr>
        <w:t>Court’s</w:t>
      </w:r>
      <w:r>
        <w:rPr>
          <w:spacing w:val="-10"/>
          <w:sz w:val="20"/>
        </w:rPr>
        <w:t> </w:t>
      </w:r>
      <w:r>
        <w:rPr>
          <w:sz w:val="20"/>
        </w:rPr>
        <w:t>IT/IM</w:t>
      </w:r>
      <w:r>
        <w:rPr>
          <w:spacing w:val="-5"/>
          <w:sz w:val="20"/>
        </w:rPr>
        <w:t> </w:t>
      </w:r>
      <w:r>
        <w:rPr>
          <w:sz w:val="20"/>
        </w:rPr>
        <w:t>strategy</w:t>
      </w:r>
      <w:r>
        <w:rPr>
          <w:spacing w:val="-8"/>
          <w:sz w:val="20"/>
        </w:rPr>
        <w:t> </w:t>
      </w:r>
      <w:r>
        <w:rPr>
          <w:sz w:val="20"/>
        </w:rPr>
        <w:t>for</w:t>
      </w:r>
      <w:r>
        <w:rPr>
          <w:spacing w:val="-8"/>
          <w:sz w:val="20"/>
        </w:rPr>
        <w:t> </w:t>
      </w:r>
      <w:r>
        <w:rPr>
          <w:sz w:val="20"/>
        </w:rPr>
        <w:t>2023-2025</w:t>
      </w:r>
      <w:r>
        <w:rPr>
          <w:spacing w:val="-8"/>
          <w:sz w:val="20"/>
        </w:rPr>
        <w:t> </w:t>
      </w:r>
      <w:r>
        <w:rPr>
          <w:sz w:val="20"/>
        </w:rPr>
        <w:t>prioritizes</w:t>
      </w:r>
      <w:r>
        <w:rPr>
          <w:spacing w:val="-10"/>
          <w:sz w:val="20"/>
        </w:rPr>
        <w:t> </w:t>
      </w:r>
      <w:r>
        <w:rPr>
          <w:sz w:val="20"/>
        </w:rPr>
        <w:t>IT</w:t>
      </w:r>
      <w:r>
        <w:rPr>
          <w:spacing w:val="-7"/>
          <w:sz w:val="20"/>
        </w:rPr>
        <w:t> </w:t>
      </w:r>
      <w:r>
        <w:rPr>
          <w:sz w:val="20"/>
        </w:rPr>
        <w:t>investment</w:t>
      </w:r>
      <w:r>
        <w:rPr>
          <w:spacing w:val="-7"/>
          <w:sz w:val="20"/>
        </w:rPr>
        <w:t> </w:t>
      </w:r>
      <w:r>
        <w:rPr>
          <w:sz w:val="20"/>
        </w:rPr>
        <w:t>around</w:t>
      </w:r>
      <w:r>
        <w:rPr>
          <w:spacing w:val="-8"/>
          <w:sz w:val="20"/>
        </w:rPr>
        <w:t> </w:t>
      </w:r>
      <w:r>
        <w:rPr>
          <w:sz w:val="20"/>
        </w:rPr>
        <w:t>the</w:t>
      </w:r>
      <w:r>
        <w:rPr>
          <w:spacing w:val="-7"/>
          <w:sz w:val="20"/>
        </w:rPr>
        <w:t> </w:t>
      </w:r>
      <w:r>
        <w:rPr>
          <w:sz w:val="20"/>
        </w:rPr>
        <w:t>core mission and the principles of simplicity and flexibility. The Court has a continuing need to invest</w:t>
      </w:r>
      <w:r>
        <w:rPr>
          <w:spacing w:val="-13"/>
          <w:sz w:val="20"/>
        </w:rPr>
        <w:t> </w:t>
      </w:r>
      <w:r>
        <w:rPr>
          <w:sz w:val="20"/>
        </w:rPr>
        <w:t>in</w:t>
      </w:r>
      <w:r>
        <w:rPr>
          <w:spacing w:val="-12"/>
          <w:sz w:val="20"/>
        </w:rPr>
        <w:t> </w:t>
      </w:r>
      <w:r>
        <w:rPr>
          <w:sz w:val="20"/>
        </w:rPr>
        <w:t>three</w:t>
      </w:r>
      <w:r>
        <w:rPr>
          <w:spacing w:val="-13"/>
          <w:sz w:val="20"/>
        </w:rPr>
        <w:t> </w:t>
      </w:r>
      <w:r>
        <w:rPr>
          <w:sz w:val="20"/>
        </w:rPr>
        <w:t>core</w:t>
      </w:r>
      <w:r>
        <w:rPr>
          <w:spacing w:val="-7"/>
          <w:sz w:val="20"/>
        </w:rPr>
        <w:t> </w:t>
      </w:r>
      <w:r>
        <w:rPr>
          <w:sz w:val="20"/>
        </w:rPr>
        <w:t>systems:</w:t>
      </w:r>
      <w:r>
        <w:rPr>
          <w:spacing w:val="-9"/>
          <w:sz w:val="20"/>
        </w:rPr>
        <w:t> </w:t>
      </w:r>
      <w:r>
        <w:rPr>
          <w:sz w:val="20"/>
        </w:rPr>
        <w:t>eDiscovery</w:t>
      </w:r>
      <w:r>
        <w:rPr>
          <w:spacing w:val="-8"/>
          <w:sz w:val="20"/>
        </w:rPr>
        <w:t> </w:t>
      </w:r>
      <w:r>
        <w:rPr>
          <w:sz w:val="20"/>
        </w:rPr>
        <w:t>for</w:t>
      </w:r>
      <w:r>
        <w:rPr>
          <w:spacing w:val="-13"/>
          <w:sz w:val="20"/>
        </w:rPr>
        <w:t> </w:t>
      </w:r>
      <w:r>
        <w:rPr>
          <w:sz w:val="20"/>
        </w:rPr>
        <w:t>evidence,</w:t>
      </w:r>
      <w:r>
        <w:rPr>
          <w:spacing w:val="-11"/>
          <w:sz w:val="20"/>
        </w:rPr>
        <w:t> </w:t>
      </w:r>
      <w:r>
        <w:rPr>
          <w:sz w:val="20"/>
        </w:rPr>
        <w:t>the</w:t>
      </w:r>
      <w:r>
        <w:rPr>
          <w:spacing w:val="-12"/>
          <w:sz w:val="20"/>
        </w:rPr>
        <w:t> </w:t>
      </w:r>
      <w:r>
        <w:rPr>
          <w:sz w:val="20"/>
        </w:rPr>
        <w:t>Judicial</w:t>
      </w:r>
      <w:r>
        <w:rPr>
          <w:spacing w:val="-12"/>
          <w:sz w:val="20"/>
        </w:rPr>
        <w:t> </w:t>
      </w:r>
      <w:r>
        <w:rPr>
          <w:sz w:val="20"/>
        </w:rPr>
        <w:t>Workflow</w:t>
      </w:r>
      <w:r>
        <w:rPr>
          <w:spacing w:val="-13"/>
          <w:sz w:val="20"/>
        </w:rPr>
        <w:t> </w:t>
      </w:r>
      <w:r>
        <w:rPr>
          <w:sz w:val="20"/>
        </w:rPr>
        <w:t>Platform</w:t>
      </w:r>
      <w:r>
        <w:rPr>
          <w:spacing w:val="-7"/>
          <w:sz w:val="20"/>
        </w:rPr>
        <w:t> </w:t>
      </w:r>
      <w:r>
        <w:rPr>
          <w:sz w:val="20"/>
        </w:rPr>
        <w:t>(JWP) and Enterprise Resource Planning (ERP). First, the investment for eDiscovery is driven by the cases and digital evidence requiring the Office of the Prosecutor (OTP) to have the necessary</w:t>
      </w:r>
      <w:r>
        <w:rPr>
          <w:spacing w:val="-4"/>
          <w:sz w:val="20"/>
        </w:rPr>
        <w:t> </w:t>
      </w:r>
      <w:r>
        <w:rPr>
          <w:sz w:val="20"/>
        </w:rPr>
        <w:t>tools</w:t>
      </w:r>
      <w:r>
        <w:rPr>
          <w:spacing w:val="-3"/>
          <w:sz w:val="20"/>
        </w:rPr>
        <w:t> </w:t>
      </w:r>
      <w:r>
        <w:rPr>
          <w:sz w:val="20"/>
        </w:rPr>
        <w:t>to</w:t>
      </w:r>
      <w:r>
        <w:rPr>
          <w:spacing w:val="-4"/>
          <w:sz w:val="20"/>
        </w:rPr>
        <w:t> </w:t>
      </w:r>
      <w:r>
        <w:rPr>
          <w:sz w:val="20"/>
        </w:rPr>
        <w:t>acquire,</w:t>
      </w:r>
      <w:r>
        <w:rPr>
          <w:spacing w:val="-6"/>
          <w:sz w:val="20"/>
        </w:rPr>
        <w:t> </w:t>
      </w:r>
      <w:r>
        <w:rPr>
          <w:sz w:val="20"/>
        </w:rPr>
        <w:t>analyse</w:t>
      </w:r>
      <w:r>
        <w:rPr>
          <w:spacing w:val="-2"/>
          <w:sz w:val="20"/>
        </w:rPr>
        <w:t> </w:t>
      </w:r>
      <w:r>
        <w:rPr>
          <w:sz w:val="20"/>
        </w:rPr>
        <w:t>and process evidence.</w:t>
      </w:r>
      <w:r>
        <w:rPr>
          <w:spacing w:val="-1"/>
          <w:sz w:val="20"/>
        </w:rPr>
        <w:t> </w:t>
      </w:r>
      <w:r>
        <w:rPr>
          <w:sz w:val="20"/>
        </w:rPr>
        <w:t>Second,</w:t>
      </w:r>
      <w:r>
        <w:rPr>
          <w:spacing w:val="-1"/>
          <w:sz w:val="20"/>
        </w:rPr>
        <w:t> </w:t>
      </w:r>
      <w:r>
        <w:rPr>
          <w:sz w:val="20"/>
        </w:rPr>
        <w:t>the</w:t>
      </w:r>
      <w:r>
        <w:rPr>
          <w:spacing w:val="-2"/>
          <w:sz w:val="20"/>
        </w:rPr>
        <w:t> </w:t>
      </w:r>
      <w:r>
        <w:rPr>
          <w:sz w:val="20"/>
        </w:rPr>
        <w:t>Registry</w:t>
      </w:r>
      <w:r>
        <w:rPr>
          <w:spacing w:val="-4"/>
          <w:sz w:val="20"/>
        </w:rPr>
        <w:t> </w:t>
      </w:r>
      <w:r>
        <w:rPr>
          <w:sz w:val="20"/>
        </w:rPr>
        <w:t>will</w:t>
      </w:r>
      <w:r>
        <w:rPr>
          <w:spacing w:val="-2"/>
          <w:sz w:val="20"/>
        </w:rPr>
        <w:t> </w:t>
      </w:r>
      <w:r>
        <w:rPr>
          <w:sz w:val="20"/>
        </w:rPr>
        <w:t>continue to focus</w:t>
      </w:r>
      <w:r>
        <w:rPr>
          <w:spacing w:val="-5"/>
          <w:sz w:val="20"/>
        </w:rPr>
        <w:t> </w:t>
      </w:r>
      <w:r>
        <w:rPr>
          <w:sz w:val="20"/>
        </w:rPr>
        <w:t>on</w:t>
      </w:r>
      <w:r>
        <w:rPr>
          <w:spacing w:val="-4"/>
          <w:sz w:val="20"/>
        </w:rPr>
        <w:t> </w:t>
      </w:r>
      <w:r>
        <w:rPr>
          <w:sz w:val="20"/>
        </w:rPr>
        <w:t>the</w:t>
      </w:r>
      <w:r>
        <w:rPr>
          <w:spacing w:val="-2"/>
          <w:sz w:val="20"/>
        </w:rPr>
        <w:t> </w:t>
      </w:r>
      <w:r>
        <w:rPr>
          <w:sz w:val="20"/>
        </w:rPr>
        <w:t>JWP</w:t>
      </w:r>
      <w:r>
        <w:rPr>
          <w:spacing w:val="-5"/>
          <w:sz w:val="20"/>
        </w:rPr>
        <w:t> </w:t>
      </w:r>
      <w:r>
        <w:rPr>
          <w:sz w:val="20"/>
        </w:rPr>
        <w:t>as the</w:t>
      </w:r>
      <w:r>
        <w:rPr>
          <w:spacing w:val="-2"/>
          <w:sz w:val="20"/>
        </w:rPr>
        <w:t> </w:t>
      </w:r>
      <w:r>
        <w:rPr>
          <w:sz w:val="20"/>
        </w:rPr>
        <w:t>core</w:t>
      </w:r>
      <w:r>
        <w:rPr>
          <w:spacing w:val="-2"/>
          <w:sz w:val="20"/>
        </w:rPr>
        <w:t> </w:t>
      </w:r>
      <w:r>
        <w:rPr>
          <w:sz w:val="20"/>
        </w:rPr>
        <w:t>judicial system</w:t>
      </w:r>
      <w:r>
        <w:rPr>
          <w:spacing w:val="-7"/>
          <w:sz w:val="20"/>
        </w:rPr>
        <w:t> </w:t>
      </w:r>
      <w:r>
        <w:rPr>
          <w:sz w:val="20"/>
        </w:rPr>
        <w:t>and</w:t>
      </w:r>
      <w:r>
        <w:rPr>
          <w:spacing w:val="-4"/>
          <w:sz w:val="20"/>
        </w:rPr>
        <w:t> </w:t>
      </w:r>
      <w:r>
        <w:rPr>
          <w:sz w:val="20"/>
        </w:rPr>
        <w:t>to</w:t>
      </w:r>
      <w:r>
        <w:rPr>
          <w:spacing w:val="-4"/>
          <w:sz w:val="20"/>
        </w:rPr>
        <w:t> </w:t>
      </w:r>
      <w:r>
        <w:rPr>
          <w:sz w:val="20"/>
        </w:rPr>
        <w:t>consolidate</w:t>
      </w:r>
      <w:r>
        <w:rPr>
          <w:spacing w:val="-2"/>
          <w:sz w:val="20"/>
        </w:rPr>
        <w:t> </w:t>
      </w:r>
      <w:r>
        <w:rPr>
          <w:sz w:val="20"/>
        </w:rPr>
        <w:t>judicial data.</w:t>
      </w:r>
      <w:r>
        <w:rPr>
          <w:spacing w:val="-6"/>
          <w:sz w:val="20"/>
        </w:rPr>
        <w:t> </w:t>
      </w:r>
      <w:r>
        <w:rPr>
          <w:sz w:val="20"/>
        </w:rPr>
        <w:t>Third,</w:t>
      </w:r>
      <w:r>
        <w:rPr>
          <w:spacing w:val="-1"/>
          <w:sz w:val="20"/>
        </w:rPr>
        <w:t> </w:t>
      </w:r>
      <w:r>
        <w:rPr>
          <w:sz w:val="20"/>
        </w:rPr>
        <w:t>SAP, the Court’s ERP which supports the Court’s core administrative processes, will be technologically obsolete by 2027 and the Court must take the appropriate steps to plan and execute a smooth transition. The Court’s IT/IM strategy will also prioritize efforts to make the</w:t>
      </w:r>
      <w:r>
        <w:rPr>
          <w:spacing w:val="-7"/>
          <w:sz w:val="20"/>
        </w:rPr>
        <w:t> </w:t>
      </w:r>
      <w:r>
        <w:rPr>
          <w:sz w:val="20"/>
        </w:rPr>
        <w:t>IT/IM</w:t>
      </w:r>
      <w:r>
        <w:rPr>
          <w:spacing w:val="-10"/>
          <w:sz w:val="20"/>
        </w:rPr>
        <w:t> </w:t>
      </w:r>
      <w:r>
        <w:rPr>
          <w:sz w:val="20"/>
        </w:rPr>
        <w:t>landscape</w:t>
      </w:r>
      <w:r>
        <w:rPr>
          <w:spacing w:val="-7"/>
          <w:sz w:val="20"/>
        </w:rPr>
        <w:t> </w:t>
      </w:r>
      <w:r>
        <w:rPr>
          <w:sz w:val="20"/>
        </w:rPr>
        <w:t>simpler</w:t>
      </w:r>
      <w:r>
        <w:rPr>
          <w:spacing w:val="-8"/>
          <w:sz w:val="20"/>
        </w:rPr>
        <w:t> </w:t>
      </w:r>
      <w:r>
        <w:rPr>
          <w:sz w:val="20"/>
        </w:rPr>
        <w:t>with</w:t>
      </w:r>
      <w:r>
        <w:rPr>
          <w:spacing w:val="-4"/>
          <w:sz w:val="20"/>
        </w:rPr>
        <w:t> </w:t>
      </w:r>
      <w:r>
        <w:rPr>
          <w:sz w:val="20"/>
        </w:rPr>
        <w:t>secure,</w:t>
      </w:r>
      <w:r>
        <w:rPr>
          <w:spacing w:val="-1"/>
          <w:sz w:val="20"/>
        </w:rPr>
        <w:t> </w:t>
      </w:r>
      <w:r>
        <w:rPr>
          <w:sz w:val="20"/>
        </w:rPr>
        <w:t>flexible</w:t>
      </w:r>
      <w:r>
        <w:rPr>
          <w:spacing w:val="-7"/>
          <w:sz w:val="20"/>
        </w:rPr>
        <w:t> </w:t>
      </w:r>
      <w:r>
        <w:rPr>
          <w:sz w:val="20"/>
        </w:rPr>
        <w:t>access</w:t>
      </w:r>
      <w:r>
        <w:rPr>
          <w:spacing w:val="-5"/>
          <w:sz w:val="20"/>
        </w:rPr>
        <w:t> </w:t>
      </w:r>
      <w:r>
        <w:rPr>
          <w:sz w:val="20"/>
        </w:rPr>
        <w:t>to</w:t>
      </w:r>
      <w:r>
        <w:rPr>
          <w:spacing w:val="-8"/>
          <w:sz w:val="20"/>
        </w:rPr>
        <w:t> </w:t>
      </w:r>
      <w:r>
        <w:rPr>
          <w:sz w:val="20"/>
        </w:rPr>
        <w:t>systems</w:t>
      </w:r>
      <w:r>
        <w:rPr>
          <w:spacing w:val="-10"/>
          <w:sz w:val="20"/>
        </w:rPr>
        <w:t> </w:t>
      </w:r>
      <w:r>
        <w:rPr>
          <w:sz w:val="20"/>
        </w:rPr>
        <w:t>and</w:t>
      </w:r>
      <w:r>
        <w:rPr>
          <w:spacing w:val="-4"/>
          <w:sz w:val="20"/>
        </w:rPr>
        <w:t> </w:t>
      </w:r>
      <w:r>
        <w:rPr>
          <w:sz w:val="20"/>
        </w:rPr>
        <w:t>data.</w:t>
      </w:r>
      <w:r>
        <w:rPr>
          <w:spacing w:val="-11"/>
          <w:sz w:val="20"/>
        </w:rPr>
        <w:t> </w:t>
      </w:r>
      <w:r>
        <w:rPr>
          <w:sz w:val="20"/>
        </w:rPr>
        <w:t>This</w:t>
      </w:r>
      <w:r>
        <w:rPr>
          <w:spacing w:val="-10"/>
          <w:sz w:val="20"/>
        </w:rPr>
        <w:t> </w:t>
      </w:r>
      <w:r>
        <w:rPr>
          <w:sz w:val="20"/>
        </w:rPr>
        <w:t>is</w:t>
      </w:r>
      <w:r>
        <w:rPr>
          <w:spacing w:val="-10"/>
          <w:sz w:val="20"/>
        </w:rPr>
        <w:t> </w:t>
      </w:r>
      <w:r>
        <w:rPr>
          <w:sz w:val="20"/>
        </w:rPr>
        <w:t>planned in stages primarily utilizing staff resources to migrate end-of-life systems within the operational baseline.</w:t>
      </w:r>
      <w:r>
        <w:rPr>
          <w:spacing w:val="-1"/>
          <w:sz w:val="20"/>
        </w:rPr>
        <w:t> </w:t>
      </w:r>
      <w:r>
        <w:rPr>
          <w:sz w:val="20"/>
        </w:rPr>
        <w:t>The</w:t>
      </w:r>
      <w:r>
        <w:rPr>
          <w:spacing w:val="-2"/>
          <w:sz w:val="20"/>
        </w:rPr>
        <w:t> </w:t>
      </w:r>
      <w:r>
        <w:rPr>
          <w:sz w:val="20"/>
        </w:rPr>
        <w:t>Court may require</w:t>
      </w:r>
      <w:r>
        <w:rPr>
          <w:spacing w:val="-2"/>
          <w:sz w:val="20"/>
        </w:rPr>
        <w:t> </w:t>
      </w:r>
      <w:r>
        <w:rPr>
          <w:sz w:val="20"/>
        </w:rPr>
        <w:t>additional</w:t>
      </w:r>
      <w:r>
        <w:rPr>
          <w:spacing w:val="-2"/>
          <w:sz w:val="20"/>
        </w:rPr>
        <w:t> </w:t>
      </w:r>
      <w:r>
        <w:rPr>
          <w:sz w:val="20"/>
        </w:rPr>
        <w:t>expertise</w:t>
      </w:r>
      <w:r>
        <w:rPr>
          <w:spacing w:val="-2"/>
          <w:sz w:val="20"/>
        </w:rPr>
        <w:t> </w:t>
      </w:r>
      <w:r>
        <w:rPr>
          <w:sz w:val="20"/>
        </w:rPr>
        <w:t>to</w:t>
      </w:r>
      <w:r>
        <w:rPr>
          <w:spacing w:val="-4"/>
          <w:sz w:val="20"/>
        </w:rPr>
        <w:t> </w:t>
      </w:r>
      <w:r>
        <w:rPr>
          <w:sz w:val="20"/>
        </w:rPr>
        <w:t>assist with</w:t>
      </w:r>
      <w:r>
        <w:rPr>
          <w:spacing w:val="-4"/>
          <w:sz w:val="20"/>
        </w:rPr>
        <w:t> </w:t>
      </w:r>
      <w:r>
        <w:rPr>
          <w:sz w:val="20"/>
        </w:rPr>
        <w:t>the</w:t>
      </w:r>
      <w:r>
        <w:rPr>
          <w:spacing w:val="-2"/>
          <w:sz w:val="20"/>
        </w:rPr>
        <w:t> </w:t>
      </w:r>
      <w:r>
        <w:rPr>
          <w:sz w:val="20"/>
        </w:rPr>
        <w:t>transition and consolidation of the IT/IM landscape.</w:t>
      </w:r>
    </w:p>
    <w:p>
      <w:pPr>
        <w:pStyle w:val="ListParagraph"/>
        <w:numPr>
          <w:ilvl w:val="0"/>
          <w:numId w:val="127"/>
        </w:numPr>
        <w:tabs>
          <w:tab w:pos="2966" w:val="left" w:leader="none"/>
          <w:tab w:pos="2967" w:val="left" w:leader="none"/>
        </w:tabs>
        <w:spacing w:line="240" w:lineRule="auto" w:before="121" w:after="0"/>
        <w:ind w:left="2246" w:right="2240" w:firstLine="0"/>
        <w:jc w:val="both"/>
        <w:rPr>
          <w:sz w:val="20"/>
        </w:rPr>
      </w:pPr>
      <w:r>
        <w:rPr>
          <w:sz w:val="20"/>
        </w:rPr>
        <w:t>The</w:t>
      </w:r>
      <w:r>
        <w:rPr>
          <w:spacing w:val="35"/>
          <w:sz w:val="20"/>
        </w:rPr>
        <w:t> </w:t>
      </w:r>
      <w:r>
        <w:rPr>
          <w:sz w:val="20"/>
        </w:rPr>
        <w:t>total</w:t>
      </w:r>
      <w:r>
        <w:rPr>
          <w:spacing w:val="40"/>
          <w:sz w:val="20"/>
        </w:rPr>
        <w:t> </w:t>
      </w:r>
      <w:r>
        <w:rPr>
          <w:sz w:val="20"/>
        </w:rPr>
        <w:t>Court-wide</w:t>
      </w:r>
      <w:r>
        <w:rPr>
          <w:spacing w:val="40"/>
          <w:sz w:val="20"/>
        </w:rPr>
        <w:t> </w:t>
      </w:r>
      <w:r>
        <w:rPr>
          <w:sz w:val="20"/>
        </w:rPr>
        <w:t>proposed</w:t>
      </w:r>
      <w:r>
        <w:rPr>
          <w:spacing w:val="34"/>
          <w:sz w:val="20"/>
        </w:rPr>
        <w:t> </w:t>
      </w:r>
      <w:r>
        <w:rPr>
          <w:sz w:val="20"/>
        </w:rPr>
        <w:t>investment</w:t>
      </w:r>
      <w:r>
        <w:rPr>
          <w:spacing w:val="35"/>
          <w:sz w:val="20"/>
        </w:rPr>
        <w:t> </w:t>
      </w:r>
      <w:r>
        <w:rPr>
          <w:sz w:val="20"/>
        </w:rPr>
        <w:t>in</w:t>
      </w:r>
      <w:r>
        <w:rPr>
          <w:spacing w:val="38"/>
          <w:sz w:val="20"/>
        </w:rPr>
        <w:t> </w:t>
      </w:r>
      <w:r>
        <w:rPr>
          <w:sz w:val="20"/>
        </w:rPr>
        <w:t>IT/IM</w:t>
      </w:r>
      <w:r>
        <w:rPr>
          <w:spacing w:val="37"/>
          <w:sz w:val="20"/>
        </w:rPr>
        <w:t> </w:t>
      </w:r>
      <w:r>
        <w:rPr>
          <w:sz w:val="20"/>
        </w:rPr>
        <w:t>strategy</w:t>
      </w:r>
      <w:r>
        <w:rPr>
          <w:spacing w:val="40"/>
          <w:sz w:val="20"/>
        </w:rPr>
        <w:t> </w:t>
      </w:r>
      <w:r>
        <w:rPr>
          <w:sz w:val="20"/>
        </w:rPr>
        <w:t>projects</w:t>
      </w:r>
      <w:r>
        <w:rPr>
          <w:spacing w:val="40"/>
          <w:sz w:val="20"/>
        </w:rPr>
        <w:t> </w:t>
      </w:r>
      <w:r>
        <w:rPr>
          <w:sz w:val="20"/>
        </w:rPr>
        <w:t>for</w:t>
      </w:r>
      <w:r>
        <w:rPr>
          <w:spacing w:val="39"/>
          <w:sz w:val="20"/>
        </w:rPr>
        <w:t> </w:t>
      </w:r>
      <w:r>
        <w:rPr>
          <w:sz w:val="20"/>
        </w:rPr>
        <w:t>2023 is €502.8 thousand across three initiatives: JWP data migration, ERP and Simplify IT. The Court is requesting a total of €382.5 thousand, including €300.0 thousand for non-staff contractual services for expertise to migrate legacy evidentiary material into the JWP and a further €82.5 thousand for a JWP Software Programming Officer to manage this transition. The Court is requesting €90.0 thousand for contractual services to engage external ERP experts. Considering that the SAP ERP in use at the Court will reach end of life in 2027, DMS</w:t>
      </w:r>
      <w:r>
        <w:rPr>
          <w:spacing w:val="-1"/>
          <w:sz w:val="20"/>
        </w:rPr>
        <w:t> </w:t>
      </w:r>
      <w:r>
        <w:rPr>
          <w:sz w:val="20"/>
        </w:rPr>
        <w:t>and</w:t>
      </w:r>
      <w:r>
        <w:rPr>
          <w:spacing w:val="-5"/>
          <w:sz w:val="20"/>
        </w:rPr>
        <w:t> </w:t>
      </w:r>
      <w:r>
        <w:rPr>
          <w:sz w:val="20"/>
        </w:rPr>
        <w:t>IMSS</w:t>
      </w:r>
      <w:r>
        <w:rPr>
          <w:spacing w:val="-1"/>
          <w:sz w:val="20"/>
        </w:rPr>
        <w:t> </w:t>
      </w:r>
      <w:r>
        <w:rPr>
          <w:sz w:val="20"/>
        </w:rPr>
        <w:t>will start work</w:t>
      </w:r>
      <w:r>
        <w:rPr>
          <w:spacing w:val="-5"/>
          <w:sz w:val="20"/>
        </w:rPr>
        <w:t> </w:t>
      </w:r>
      <w:r>
        <w:rPr>
          <w:sz w:val="20"/>
        </w:rPr>
        <w:t>on</w:t>
      </w:r>
      <w:r>
        <w:rPr>
          <w:spacing w:val="-5"/>
          <w:sz w:val="20"/>
        </w:rPr>
        <w:t> </w:t>
      </w:r>
      <w:r>
        <w:rPr>
          <w:sz w:val="20"/>
        </w:rPr>
        <w:t>the impact</w:t>
      </w:r>
      <w:r>
        <w:rPr>
          <w:spacing w:val="-3"/>
          <w:sz w:val="20"/>
        </w:rPr>
        <w:t> </w:t>
      </w:r>
      <w:r>
        <w:rPr>
          <w:sz w:val="20"/>
        </w:rPr>
        <w:t>assessment, high-level business</w:t>
      </w:r>
      <w:r>
        <w:rPr>
          <w:spacing w:val="-6"/>
          <w:sz w:val="20"/>
        </w:rPr>
        <w:t> </w:t>
      </w:r>
      <w:r>
        <w:rPr>
          <w:sz w:val="20"/>
        </w:rPr>
        <w:t>case</w:t>
      </w:r>
      <w:r>
        <w:rPr>
          <w:spacing w:val="-3"/>
          <w:sz w:val="20"/>
        </w:rPr>
        <w:t> </w:t>
      </w:r>
      <w:r>
        <w:rPr>
          <w:sz w:val="20"/>
        </w:rPr>
        <w:t>and road map</w:t>
      </w:r>
      <w:r>
        <w:rPr>
          <w:spacing w:val="-13"/>
          <w:sz w:val="20"/>
        </w:rPr>
        <w:t> </w:t>
      </w:r>
      <w:r>
        <w:rPr>
          <w:sz w:val="20"/>
        </w:rPr>
        <w:t>to</w:t>
      </w:r>
      <w:r>
        <w:rPr>
          <w:spacing w:val="-12"/>
          <w:sz w:val="20"/>
        </w:rPr>
        <w:t> </w:t>
      </w:r>
      <w:r>
        <w:rPr>
          <w:sz w:val="20"/>
        </w:rPr>
        <w:t>transition</w:t>
      </w:r>
      <w:r>
        <w:rPr>
          <w:spacing w:val="-13"/>
          <w:sz w:val="20"/>
        </w:rPr>
        <w:t> </w:t>
      </w:r>
      <w:r>
        <w:rPr>
          <w:sz w:val="20"/>
        </w:rPr>
        <w:t>into</w:t>
      </w:r>
      <w:r>
        <w:rPr>
          <w:spacing w:val="-12"/>
          <w:sz w:val="20"/>
        </w:rPr>
        <w:t> </w:t>
      </w:r>
      <w:r>
        <w:rPr>
          <w:sz w:val="20"/>
        </w:rPr>
        <w:t>the</w:t>
      </w:r>
      <w:r>
        <w:rPr>
          <w:spacing w:val="-13"/>
          <w:sz w:val="20"/>
        </w:rPr>
        <w:t> </w:t>
      </w:r>
      <w:r>
        <w:rPr>
          <w:sz w:val="20"/>
        </w:rPr>
        <w:t>next</w:t>
      </w:r>
      <w:r>
        <w:rPr>
          <w:spacing w:val="-11"/>
          <w:sz w:val="20"/>
        </w:rPr>
        <w:t> </w:t>
      </w:r>
      <w:r>
        <w:rPr>
          <w:sz w:val="20"/>
        </w:rPr>
        <w:t>generation</w:t>
      </w:r>
      <w:r>
        <w:rPr>
          <w:spacing w:val="-13"/>
          <w:sz w:val="20"/>
        </w:rPr>
        <w:t> </w:t>
      </w:r>
      <w:r>
        <w:rPr>
          <w:sz w:val="20"/>
        </w:rPr>
        <w:t>ERP.</w:t>
      </w:r>
      <w:r>
        <w:rPr>
          <w:spacing w:val="-11"/>
          <w:sz w:val="20"/>
        </w:rPr>
        <w:t> </w:t>
      </w:r>
      <w:r>
        <w:rPr>
          <w:sz w:val="20"/>
        </w:rPr>
        <w:t>Lastly,</w:t>
      </w:r>
      <w:r>
        <w:rPr>
          <w:spacing w:val="-11"/>
          <w:sz w:val="20"/>
        </w:rPr>
        <w:t> </w:t>
      </w:r>
      <w:r>
        <w:rPr>
          <w:sz w:val="20"/>
        </w:rPr>
        <w:t>the</w:t>
      </w:r>
      <w:r>
        <w:rPr>
          <w:spacing w:val="-11"/>
          <w:sz w:val="20"/>
        </w:rPr>
        <w:t> </w:t>
      </w:r>
      <w:r>
        <w:rPr>
          <w:sz w:val="20"/>
        </w:rPr>
        <w:t>Court</w:t>
      </w:r>
      <w:r>
        <w:rPr>
          <w:spacing w:val="-12"/>
          <w:sz w:val="20"/>
        </w:rPr>
        <w:t> </w:t>
      </w:r>
      <w:r>
        <w:rPr>
          <w:sz w:val="20"/>
        </w:rPr>
        <w:t>is</w:t>
      </w:r>
      <w:r>
        <w:rPr>
          <w:spacing w:val="-10"/>
          <w:sz w:val="20"/>
        </w:rPr>
        <w:t> </w:t>
      </w:r>
      <w:r>
        <w:rPr>
          <w:sz w:val="20"/>
        </w:rPr>
        <w:t>requesting</w:t>
      </w:r>
      <w:r>
        <w:rPr>
          <w:spacing w:val="-8"/>
          <w:sz w:val="20"/>
        </w:rPr>
        <w:t> </w:t>
      </w:r>
      <w:r>
        <w:rPr>
          <w:sz w:val="20"/>
        </w:rPr>
        <w:t>€30.3</w:t>
      </w:r>
      <w:r>
        <w:rPr>
          <w:spacing w:val="-13"/>
          <w:sz w:val="20"/>
        </w:rPr>
        <w:t> </w:t>
      </w:r>
      <w:r>
        <w:rPr>
          <w:sz w:val="20"/>
        </w:rPr>
        <w:t>thousand in</w:t>
      </w:r>
      <w:r>
        <w:rPr>
          <w:spacing w:val="-8"/>
          <w:sz w:val="20"/>
        </w:rPr>
        <w:t> </w:t>
      </w:r>
      <w:r>
        <w:rPr>
          <w:sz w:val="20"/>
        </w:rPr>
        <w:t>non-staff</w:t>
      </w:r>
      <w:r>
        <w:rPr>
          <w:spacing w:val="-8"/>
          <w:sz w:val="20"/>
        </w:rPr>
        <w:t> </w:t>
      </w:r>
      <w:r>
        <w:rPr>
          <w:sz w:val="20"/>
        </w:rPr>
        <w:t>costs</w:t>
      </w:r>
      <w:r>
        <w:rPr>
          <w:spacing w:val="-10"/>
          <w:sz w:val="20"/>
        </w:rPr>
        <w:t> </w:t>
      </w:r>
      <w:r>
        <w:rPr>
          <w:sz w:val="20"/>
        </w:rPr>
        <w:t>for</w:t>
      </w:r>
      <w:r>
        <w:rPr>
          <w:spacing w:val="-8"/>
          <w:sz w:val="20"/>
        </w:rPr>
        <w:t> </w:t>
      </w:r>
      <w:r>
        <w:rPr>
          <w:sz w:val="20"/>
        </w:rPr>
        <w:t>expertise</w:t>
      </w:r>
      <w:r>
        <w:rPr>
          <w:spacing w:val="-11"/>
          <w:sz w:val="20"/>
        </w:rPr>
        <w:t> </w:t>
      </w:r>
      <w:r>
        <w:rPr>
          <w:sz w:val="20"/>
        </w:rPr>
        <w:t>and</w:t>
      </w:r>
      <w:r>
        <w:rPr>
          <w:spacing w:val="-8"/>
          <w:sz w:val="20"/>
        </w:rPr>
        <w:t> </w:t>
      </w:r>
      <w:r>
        <w:rPr>
          <w:sz w:val="20"/>
        </w:rPr>
        <w:t>assistance</w:t>
      </w:r>
      <w:r>
        <w:rPr>
          <w:spacing w:val="-7"/>
          <w:sz w:val="20"/>
        </w:rPr>
        <w:t> </w:t>
      </w:r>
      <w:r>
        <w:rPr>
          <w:sz w:val="20"/>
        </w:rPr>
        <w:t>to</w:t>
      </w:r>
      <w:r>
        <w:rPr>
          <w:spacing w:val="-8"/>
          <w:sz w:val="20"/>
        </w:rPr>
        <w:t> </w:t>
      </w:r>
      <w:r>
        <w:rPr>
          <w:sz w:val="20"/>
        </w:rPr>
        <w:t>migrate</w:t>
      </w:r>
      <w:r>
        <w:rPr>
          <w:spacing w:val="-7"/>
          <w:sz w:val="20"/>
        </w:rPr>
        <w:t> </w:t>
      </w:r>
      <w:r>
        <w:rPr>
          <w:sz w:val="20"/>
        </w:rPr>
        <w:t>the</w:t>
      </w:r>
      <w:r>
        <w:rPr>
          <w:spacing w:val="-7"/>
          <w:sz w:val="20"/>
        </w:rPr>
        <w:t> </w:t>
      </w:r>
      <w:r>
        <w:rPr>
          <w:sz w:val="20"/>
        </w:rPr>
        <w:t>Court’s</w:t>
      </w:r>
      <w:r>
        <w:rPr>
          <w:spacing w:val="-10"/>
          <w:sz w:val="20"/>
        </w:rPr>
        <w:t> </w:t>
      </w:r>
      <w:r>
        <w:rPr>
          <w:sz w:val="20"/>
        </w:rPr>
        <w:t>end-of-life</w:t>
      </w:r>
      <w:r>
        <w:rPr>
          <w:spacing w:val="-7"/>
          <w:sz w:val="20"/>
        </w:rPr>
        <w:t> </w:t>
      </w:r>
      <w:r>
        <w:rPr>
          <w:sz w:val="20"/>
        </w:rPr>
        <w:t>internal</w:t>
      </w:r>
      <w:r>
        <w:rPr>
          <w:spacing w:val="-7"/>
          <w:sz w:val="20"/>
        </w:rPr>
        <w:t> </w:t>
      </w:r>
      <w:r>
        <w:rPr>
          <w:sz w:val="20"/>
        </w:rPr>
        <w:t>audit system</w:t>
      </w:r>
      <w:r>
        <w:rPr>
          <w:spacing w:val="40"/>
          <w:sz w:val="20"/>
        </w:rPr>
        <w:t> </w:t>
      </w:r>
      <w:r>
        <w:rPr>
          <w:sz w:val="20"/>
        </w:rPr>
        <w:t>to</w:t>
      </w:r>
      <w:r>
        <w:rPr>
          <w:spacing w:val="40"/>
          <w:sz w:val="20"/>
        </w:rPr>
        <w:t> </w:t>
      </w:r>
      <w:r>
        <w:rPr>
          <w:sz w:val="20"/>
        </w:rPr>
        <w:t>a</w:t>
      </w:r>
      <w:r>
        <w:rPr>
          <w:spacing w:val="40"/>
          <w:sz w:val="20"/>
        </w:rPr>
        <w:t> </w:t>
      </w:r>
      <w:r>
        <w:rPr>
          <w:sz w:val="20"/>
        </w:rPr>
        <w:t>managed</w:t>
      </w:r>
      <w:r>
        <w:rPr>
          <w:spacing w:val="40"/>
          <w:sz w:val="20"/>
        </w:rPr>
        <w:t> </w:t>
      </w:r>
      <w:r>
        <w:rPr>
          <w:sz w:val="20"/>
        </w:rPr>
        <w:t>software</w:t>
      </w:r>
      <w:r>
        <w:rPr>
          <w:spacing w:val="40"/>
          <w:sz w:val="20"/>
        </w:rPr>
        <w:t> </w:t>
      </w:r>
      <w:r>
        <w:rPr>
          <w:sz w:val="20"/>
        </w:rPr>
        <w:t>service</w:t>
      </w:r>
      <w:r>
        <w:rPr>
          <w:spacing w:val="40"/>
          <w:sz w:val="20"/>
        </w:rPr>
        <w:t> </w:t>
      </w:r>
      <w:r>
        <w:rPr>
          <w:sz w:val="20"/>
        </w:rPr>
        <w:t>in</w:t>
      </w:r>
      <w:r>
        <w:rPr>
          <w:spacing w:val="40"/>
          <w:sz w:val="20"/>
        </w:rPr>
        <w:t> </w:t>
      </w:r>
      <w:r>
        <w:rPr>
          <w:sz w:val="20"/>
        </w:rPr>
        <w:t>the</w:t>
      </w:r>
      <w:r>
        <w:rPr>
          <w:spacing w:val="40"/>
          <w:sz w:val="20"/>
        </w:rPr>
        <w:t> </w:t>
      </w:r>
      <w:r>
        <w:rPr>
          <w:sz w:val="20"/>
        </w:rPr>
        <w:t>cloud.</w:t>
      </w:r>
      <w:r>
        <w:rPr>
          <w:spacing w:val="40"/>
          <w:sz w:val="20"/>
        </w:rPr>
        <w:t> </w:t>
      </w:r>
      <w:r>
        <w:rPr>
          <w:sz w:val="20"/>
        </w:rPr>
        <w:t>The</w:t>
      </w:r>
      <w:r>
        <w:rPr>
          <w:spacing w:val="40"/>
          <w:sz w:val="20"/>
        </w:rPr>
        <w:t> </w:t>
      </w:r>
      <w:r>
        <w:rPr>
          <w:sz w:val="20"/>
        </w:rPr>
        <w:t>table</w:t>
      </w:r>
      <w:r>
        <w:rPr>
          <w:spacing w:val="40"/>
          <w:sz w:val="20"/>
        </w:rPr>
        <w:t> </w:t>
      </w:r>
      <w:r>
        <w:rPr>
          <w:sz w:val="20"/>
        </w:rPr>
        <w:t>below</w:t>
      </w:r>
      <w:r>
        <w:rPr>
          <w:spacing w:val="40"/>
          <w:sz w:val="20"/>
        </w:rPr>
        <w:t> </w:t>
      </w:r>
      <w:r>
        <w:rPr>
          <w:sz w:val="20"/>
        </w:rPr>
        <w:t>summarizes</w:t>
      </w:r>
      <w:r>
        <w:rPr>
          <w:spacing w:val="40"/>
          <w:sz w:val="20"/>
        </w:rPr>
        <w:t> </w:t>
      </w:r>
      <w:r>
        <w:rPr>
          <w:sz w:val="20"/>
        </w:rPr>
        <w:t>the Court-wide investment.</w:t>
      </w:r>
    </w:p>
    <w:p>
      <w:pPr>
        <w:pStyle w:val="BodyText"/>
        <w:rPr>
          <w:sz w:val="21"/>
        </w:rPr>
      </w:pPr>
    </w:p>
    <w:p>
      <w:pPr>
        <w:pStyle w:val="Heading3"/>
        <w:ind w:left="5065" w:right="2195" w:hanging="2584"/>
      </w:pPr>
      <w:r>
        <w:rPr/>
        <w:pict>
          <v:shape style="position:absolute;margin-left:113.330002pt;margin-top:26.135935pt;width:368.8pt;height:.5pt;mso-position-horizontal-relative:page;mso-position-vertical-relative:paragraph;z-index:-15672320;mso-wrap-distance-left:0;mso-wrap-distance-right:0" id="docshape447" coordorigin="2267,523" coordsize="7376,10" path="m4989,523l2267,523,2267,532,4989,532,4989,523xm8557,523l8547,523,6204,523,6194,523,6194,523,4999,523,4989,523,4989,532,4999,532,6194,532,6194,532,6204,532,8547,532,8557,532,8557,523xm9642,523l8557,523,8557,532,9642,532,9642,523xe" filled="true" fillcolor="#000000" stroked="false">
            <v:path arrowok="t"/>
            <v:fill type="solid"/>
            <w10:wrap type="topAndBottom"/>
          </v:shape>
        </w:pict>
      </w:r>
      <w:r>
        <w:rPr/>
        <w:pict>
          <v:shape style="position:absolute;margin-left:112.970001pt;margin-top:38.908989pt;width:369.45pt;height:110pt;mso-position-horizontal-relative:page;mso-position-vertical-relative:paragraph;z-index:15785984" type="#_x0000_t202" id="docshape448"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04"/>
                    <w:gridCol w:w="1454"/>
                    <w:gridCol w:w="1720"/>
                    <w:gridCol w:w="800"/>
                    <w:gridCol w:w="1009"/>
                  </w:tblGrid>
                  <w:tr>
                    <w:trPr>
                      <w:trHeight w:val="440" w:hRule="atLeast"/>
                    </w:trPr>
                    <w:tc>
                      <w:tcPr>
                        <w:tcW w:w="2404" w:type="dxa"/>
                        <w:tcBorders>
                          <w:bottom w:val="single" w:sz="4" w:space="0" w:color="000000"/>
                        </w:tcBorders>
                      </w:tcPr>
                      <w:p>
                        <w:pPr>
                          <w:pStyle w:val="TableParagraph"/>
                          <w:spacing w:line="201" w:lineRule="exact"/>
                          <w:ind w:left="7"/>
                          <w:jc w:val="left"/>
                          <w:rPr>
                            <w:i/>
                            <w:sz w:val="18"/>
                          </w:rPr>
                        </w:pPr>
                        <w:r>
                          <w:rPr>
                            <w:i/>
                            <w:sz w:val="18"/>
                          </w:rPr>
                          <w:t>2022</w:t>
                        </w:r>
                        <w:r>
                          <w:rPr>
                            <w:i/>
                            <w:spacing w:val="-2"/>
                            <w:sz w:val="18"/>
                          </w:rPr>
                          <w:t> </w:t>
                        </w:r>
                        <w:r>
                          <w:rPr>
                            <w:i/>
                            <w:sz w:val="18"/>
                          </w:rPr>
                          <w:t>funding</w:t>
                        </w:r>
                        <w:r>
                          <w:rPr>
                            <w:i/>
                            <w:spacing w:val="-2"/>
                            <w:sz w:val="18"/>
                          </w:rPr>
                          <w:t> </w:t>
                        </w:r>
                        <w:r>
                          <w:rPr>
                            <w:i/>
                            <w:sz w:val="18"/>
                          </w:rPr>
                          <w:t>for</w:t>
                        </w:r>
                        <w:r>
                          <w:rPr>
                            <w:i/>
                            <w:spacing w:val="-2"/>
                            <w:sz w:val="18"/>
                          </w:rPr>
                          <w:t> strategy</w:t>
                        </w:r>
                      </w:p>
                    </w:tc>
                    <w:tc>
                      <w:tcPr>
                        <w:tcW w:w="1454" w:type="dxa"/>
                        <w:tcBorders>
                          <w:bottom w:val="single" w:sz="4" w:space="0" w:color="000000"/>
                        </w:tcBorders>
                      </w:tcPr>
                      <w:p>
                        <w:pPr>
                          <w:pStyle w:val="TableParagraph"/>
                          <w:spacing w:line="201" w:lineRule="exact"/>
                          <w:ind w:left="561"/>
                          <w:jc w:val="left"/>
                          <w:rPr>
                            <w:i/>
                            <w:sz w:val="18"/>
                          </w:rPr>
                        </w:pPr>
                        <w:r>
                          <w:rPr>
                            <w:i/>
                            <w:sz w:val="18"/>
                          </w:rPr>
                          <w:t>MP</w:t>
                        </w:r>
                        <w:r>
                          <w:rPr>
                            <w:i/>
                            <w:spacing w:val="-2"/>
                            <w:sz w:val="18"/>
                          </w:rPr>
                          <w:t> </w:t>
                        </w:r>
                        <w:r>
                          <w:rPr>
                            <w:i/>
                            <w:sz w:val="18"/>
                          </w:rPr>
                          <w:t>II: </w:t>
                        </w:r>
                        <w:r>
                          <w:rPr>
                            <w:i/>
                            <w:spacing w:val="-5"/>
                            <w:sz w:val="18"/>
                          </w:rPr>
                          <w:t>OTP</w:t>
                        </w:r>
                      </w:p>
                    </w:tc>
                    <w:tc>
                      <w:tcPr>
                        <w:tcW w:w="1720" w:type="dxa"/>
                        <w:tcBorders>
                          <w:bottom w:val="single" w:sz="4" w:space="0" w:color="000000"/>
                        </w:tcBorders>
                      </w:tcPr>
                      <w:p>
                        <w:pPr>
                          <w:pStyle w:val="TableParagraph"/>
                          <w:spacing w:before="167"/>
                          <w:ind w:left="941"/>
                          <w:jc w:val="left"/>
                          <w:rPr>
                            <w:i/>
                            <w:sz w:val="18"/>
                          </w:rPr>
                        </w:pPr>
                        <w:r>
                          <w:rPr>
                            <w:i/>
                            <w:spacing w:val="-5"/>
                            <w:sz w:val="18"/>
                          </w:rPr>
                          <w:t>DMS</w:t>
                        </w:r>
                      </w:p>
                    </w:tc>
                    <w:tc>
                      <w:tcPr>
                        <w:tcW w:w="800" w:type="dxa"/>
                        <w:tcBorders>
                          <w:bottom w:val="single" w:sz="4" w:space="0" w:color="000000"/>
                        </w:tcBorders>
                      </w:tcPr>
                      <w:p>
                        <w:pPr>
                          <w:pStyle w:val="TableParagraph"/>
                          <w:spacing w:before="167"/>
                          <w:ind w:right="112"/>
                          <w:rPr>
                            <w:i/>
                            <w:sz w:val="18"/>
                          </w:rPr>
                        </w:pPr>
                        <w:r>
                          <w:rPr>
                            <w:i/>
                            <w:spacing w:val="-5"/>
                            <w:sz w:val="18"/>
                          </w:rPr>
                          <w:t>DJS</w:t>
                        </w:r>
                      </w:p>
                    </w:tc>
                    <w:tc>
                      <w:tcPr>
                        <w:tcW w:w="1009" w:type="dxa"/>
                        <w:tcBorders>
                          <w:bottom w:val="single" w:sz="4" w:space="0" w:color="000000"/>
                        </w:tcBorders>
                      </w:tcPr>
                      <w:p>
                        <w:pPr>
                          <w:pStyle w:val="TableParagraph"/>
                          <w:spacing w:line="201" w:lineRule="exact"/>
                          <w:ind w:right="-15"/>
                          <w:rPr>
                            <w:i/>
                            <w:sz w:val="18"/>
                          </w:rPr>
                        </w:pPr>
                        <w:r>
                          <w:rPr>
                            <w:i/>
                            <w:sz w:val="18"/>
                          </w:rPr>
                          <w:t>Total</w:t>
                        </w:r>
                        <w:r>
                          <w:rPr>
                            <w:i/>
                            <w:spacing w:val="-2"/>
                            <w:sz w:val="18"/>
                          </w:rPr>
                          <w:t> stream</w:t>
                        </w:r>
                      </w:p>
                    </w:tc>
                  </w:tr>
                  <w:tr>
                    <w:trPr>
                      <w:trHeight w:val="340" w:hRule="atLeast"/>
                    </w:trPr>
                    <w:tc>
                      <w:tcPr>
                        <w:tcW w:w="2404" w:type="dxa"/>
                        <w:tcBorders>
                          <w:top w:val="single" w:sz="4" w:space="0" w:color="000000"/>
                          <w:bottom w:val="single" w:sz="4" w:space="0" w:color="000000"/>
                        </w:tcBorders>
                      </w:tcPr>
                      <w:p>
                        <w:pPr>
                          <w:pStyle w:val="TableParagraph"/>
                          <w:spacing w:before="67"/>
                          <w:ind w:left="7"/>
                          <w:jc w:val="left"/>
                          <w:rPr>
                            <w:b/>
                            <w:sz w:val="18"/>
                          </w:rPr>
                        </w:pPr>
                        <w:r>
                          <w:rPr>
                            <w:b/>
                            <w:spacing w:val="-2"/>
                            <w:sz w:val="18"/>
                          </w:rPr>
                          <w:t>Staff</w:t>
                        </w:r>
                      </w:p>
                    </w:tc>
                    <w:tc>
                      <w:tcPr>
                        <w:tcW w:w="1454" w:type="dxa"/>
                        <w:tcBorders>
                          <w:top w:val="single" w:sz="4" w:space="0" w:color="000000"/>
                          <w:bottom w:val="single" w:sz="4" w:space="0" w:color="000000"/>
                        </w:tcBorders>
                      </w:tcPr>
                      <w:p>
                        <w:pPr>
                          <w:pStyle w:val="TableParagraph"/>
                          <w:jc w:val="left"/>
                          <w:rPr>
                            <w:sz w:val="20"/>
                          </w:rPr>
                        </w:pPr>
                      </w:p>
                    </w:tc>
                    <w:tc>
                      <w:tcPr>
                        <w:tcW w:w="1720" w:type="dxa"/>
                        <w:tcBorders>
                          <w:top w:val="single" w:sz="4" w:space="0" w:color="000000"/>
                          <w:bottom w:val="single" w:sz="4" w:space="0" w:color="000000"/>
                        </w:tcBorders>
                      </w:tcPr>
                      <w:p>
                        <w:pPr>
                          <w:pStyle w:val="TableParagraph"/>
                          <w:tabs>
                            <w:tab w:pos="1277" w:val="left" w:leader="none"/>
                          </w:tabs>
                          <w:spacing w:before="67"/>
                          <w:ind w:left="19"/>
                          <w:jc w:val="left"/>
                          <w:rPr>
                            <w:sz w:val="18"/>
                          </w:rPr>
                        </w:pPr>
                        <w:r>
                          <w:rPr>
                            <w:spacing w:val="-10"/>
                            <w:sz w:val="18"/>
                          </w:rPr>
                          <w:t>-</w:t>
                        </w:r>
                        <w:r>
                          <w:rPr>
                            <w:sz w:val="18"/>
                          </w:rPr>
                          <w:tab/>
                        </w:r>
                        <w:r>
                          <w:rPr>
                            <w:spacing w:val="-10"/>
                            <w:sz w:val="18"/>
                          </w:rPr>
                          <w:t>-</w:t>
                        </w:r>
                      </w:p>
                    </w:tc>
                    <w:tc>
                      <w:tcPr>
                        <w:tcW w:w="800" w:type="dxa"/>
                        <w:tcBorders>
                          <w:top w:val="single" w:sz="4" w:space="0" w:color="000000"/>
                          <w:bottom w:val="single" w:sz="4" w:space="0" w:color="000000"/>
                        </w:tcBorders>
                      </w:tcPr>
                      <w:p>
                        <w:pPr>
                          <w:pStyle w:val="TableParagraph"/>
                          <w:jc w:val="left"/>
                          <w:rPr>
                            <w:sz w:val="20"/>
                          </w:rPr>
                        </w:pPr>
                      </w:p>
                    </w:tc>
                    <w:tc>
                      <w:tcPr>
                        <w:tcW w:w="1009" w:type="dxa"/>
                        <w:tcBorders>
                          <w:top w:val="single" w:sz="4" w:space="0" w:color="000000"/>
                          <w:bottom w:val="single" w:sz="4" w:space="0" w:color="000000"/>
                        </w:tcBorders>
                      </w:tcPr>
                      <w:p>
                        <w:pPr>
                          <w:pStyle w:val="TableParagraph"/>
                          <w:spacing w:before="67"/>
                          <w:ind w:right="1"/>
                          <w:rPr>
                            <w:sz w:val="18"/>
                          </w:rPr>
                        </w:pPr>
                        <w:r>
                          <w:rPr>
                            <w:w w:val="101"/>
                            <w:sz w:val="18"/>
                          </w:rPr>
                          <w:t>-</w:t>
                        </w:r>
                      </w:p>
                    </w:tc>
                  </w:tr>
                  <w:tr>
                    <w:trPr>
                      <w:trHeight w:val="340" w:hRule="atLeast"/>
                    </w:trPr>
                    <w:tc>
                      <w:tcPr>
                        <w:tcW w:w="2404" w:type="dxa"/>
                        <w:tcBorders>
                          <w:top w:val="single" w:sz="4" w:space="0" w:color="000000"/>
                          <w:bottom w:val="single" w:sz="4" w:space="0" w:color="000000"/>
                        </w:tcBorders>
                      </w:tcPr>
                      <w:p>
                        <w:pPr>
                          <w:pStyle w:val="TableParagraph"/>
                          <w:spacing w:before="67"/>
                          <w:ind w:left="7"/>
                          <w:jc w:val="left"/>
                          <w:rPr>
                            <w:sz w:val="18"/>
                          </w:rPr>
                        </w:pPr>
                        <w:r>
                          <w:rPr>
                            <w:spacing w:val="-5"/>
                            <w:sz w:val="18"/>
                          </w:rPr>
                          <w:t>OTP</w:t>
                        </w:r>
                      </w:p>
                    </w:tc>
                    <w:tc>
                      <w:tcPr>
                        <w:tcW w:w="1454" w:type="dxa"/>
                        <w:tcBorders>
                          <w:top w:val="single" w:sz="4" w:space="0" w:color="000000"/>
                          <w:bottom w:val="single" w:sz="4" w:space="0" w:color="000000"/>
                        </w:tcBorders>
                      </w:tcPr>
                      <w:p>
                        <w:pPr>
                          <w:pStyle w:val="TableParagraph"/>
                          <w:jc w:val="left"/>
                          <w:rPr>
                            <w:sz w:val="20"/>
                          </w:rPr>
                        </w:pPr>
                      </w:p>
                    </w:tc>
                    <w:tc>
                      <w:tcPr>
                        <w:tcW w:w="1720" w:type="dxa"/>
                        <w:tcBorders>
                          <w:top w:val="single" w:sz="4" w:space="0" w:color="000000"/>
                          <w:bottom w:val="single" w:sz="4" w:space="0" w:color="000000"/>
                        </w:tcBorders>
                      </w:tcPr>
                      <w:p>
                        <w:pPr>
                          <w:pStyle w:val="TableParagraph"/>
                          <w:tabs>
                            <w:tab w:pos="1277" w:val="left" w:leader="none"/>
                          </w:tabs>
                          <w:spacing w:before="67"/>
                          <w:ind w:left="19"/>
                          <w:jc w:val="left"/>
                          <w:rPr>
                            <w:sz w:val="18"/>
                          </w:rPr>
                        </w:pPr>
                        <w:r>
                          <w:rPr>
                            <w:spacing w:val="-10"/>
                            <w:sz w:val="18"/>
                          </w:rPr>
                          <w:t>-</w:t>
                        </w:r>
                        <w:r>
                          <w:rPr>
                            <w:sz w:val="18"/>
                          </w:rPr>
                          <w:tab/>
                        </w:r>
                        <w:r>
                          <w:rPr>
                            <w:spacing w:val="-10"/>
                            <w:sz w:val="18"/>
                          </w:rPr>
                          <w:t>-</w:t>
                        </w:r>
                      </w:p>
                    </w:tc>
                    <w:tc>
                      <w:tcPr>
                        <w:tcW w:w="800" w:type="dxa"/>
                        <w:tcBorders>
                          <w:top w:val="single" w:sz="4" w:space="0" w:color="000000"/>
                          <w:bottom w:val="single" w:sz="4" w:space="0" w:color="000000"/>
                        </w:tcBorders>
                      </w:tcPr>
                      <w:p>
                        <w:pPr>
                          <w:pStyle w:val="TableParagraph"/>
                          <w:spacing w:before="67"/>
                          <w:ind w:right="84"/>
                          <w:rPr>
                            <w:sz w:val="18"/>
                          </w:rPr>
                        </w:pPr>
                        <w:r>
                          <w:rPr>
                            <w:w w:val="101"/>
                            <w:sz w:val="18"/>
                          </w:rPr>
                          <w:t>-</w:t>
                        </w:r>
                      </w:p>
                    </w:tc>
                    <w:tc>
                      <w:tcPr>
                        <w:tcW w:w="1009" w:type="dxa"/>
                        <w:tcBorders>
                          <w:top w:val="single" w:sz="4" w:space="0" w:color="000000"/>
                          <w:bottom w:val="single" w:sz="4" w:space="0" w:color="000000"/>
                        </w:tcBorders>
                      </w:tcPr>
                      <w:p>
                        <w:pPr>
                          <w:pStyle w:val="TableParagraph"/>
                          <w:spacing w:before="67"/>
                          <w:ind w:right="1"/>
                          <w:rPr>
                            <w:sz w:val="18"/>
                          </w:rPr>
                        </w:pPr>
                        <w:r>
                          <w:rPr>
                            <w:w w:val="101"/>
                            <w:sz w:val="18"/>
                          </w:rPr>
                          <w:t>-</w:t>
                        </w:r>
                      </w:p>
                    </w:tc>
                  </w:tr>
                  <w:tr>
                    <w:trPr>
                      <w:trHeight w:val="340" w:hRule="atLeast"/>
                    </w:trPr>
                    <w:tc>
                      <w:tcPr>
                        <w:tcW w:w="2404" w:type="dxa"/>
                        <w:tcBorders>
                          <w:top w:val="single" w:sz="4" w:space="0" w:color="000000"/>
                          <w:bottom w:val="single" w:sz="4" w:space="0" w:color="000000"/>
                        </w:tcBorders>
                      </w:tcPr>
                      <w:p>
                        <w:pPr>
                          <w:pStyle w:val="TableParagraph"/>
                          <w:spacing w:before="67"/>
                          <w:ind w:left="7"/>
                          <w:jc w:val="left"/>
                          <w:rPr>
                            <w:sz w:val="18"/>
                          </w:rPr>
                        </w:pPr>
                        <w:r>
                          <w:rPr>
                            <w:spacing w:val="-5"/>
                            <w:sz w:val="18"/>
                          </w:rPr>
                          <w:t>JWP</w:t>
                        </w:r>
                      </w:p>
                    </w:tc>
                    <w:tc>
                      <w:tcPr>
                        <w:tcW w:w="1454" w:type="dxa"/>
                        <w:tcBorders>
                          <w:top w:val="single" w:sz="4" w:space="0" w:color="000000"/>
                          <w:bottom w:val="single" w:sz="4" w:space="0" w:color="000000"/>
                        </w:tcBorders>
                      </w:tcPr>
                      <w:p>
                        <w:pPr>
                          <w:pStyle w:val="TableParagraph"/>
                          <w:jc w:val="left"/>
                          <w:rPr>
                            <w:sz w:val="20"/>
                          </w:rPr>
                        </w:pPr>
                      </w:p>
                    </w:tc>
                    <w:tc>
                      <w:tcPr>
                        <w:tcW w:w="1720" w:type="dxa"/>
                        <w:tcBorders>
                          <w:top w:val="single" w:sz="4" w:space="0" w:color="000000"/>
                          <w:bottom w:val="single" w:sz="4" w:space="0" w:color="000000"/>
                        </w:tcBorders>
                      </w:tcPr>
                      <w:p>
                        <w:pPr>
                          <w:pStyle w:val="TableParagraph"/>
                          <w:tabs>
                            <w:tab w:pos="1277" w:val="left" w:leader="none"/>
                          </w:tabs>
                          <w:spacing w:before="67"/>
                          <w:ind w:left="19"/>
                          <w:jc w:val="left"/>
                          <w:rPr>
                            <w:sz w:val="18"/>
                          </w:rPr>
                        </w:pPr>
                        <w:r>
                          <w:rPr>
                            <w:spacing w:val="-10"/>
                            <w:sz w:val="18"/>
                          </w:rPr>
                          <w:t>-</w:t>
                        </w:r>
                        <w:r>
                          <w:rPr>
                            <w:sz w:val="18"/>
                          </w:rPr>
                          <w:tab/>
                        </w:r>
                        <w:r>
                          <w:rPr>
                            <w:spacing w:val="-10"/>
                            <w:sz w:val="18"/>
                          </w:rPr>
                          <w:t>-</w:t>
                        </w:r>
                      </w:p>
                    </w:tc>
                    <w:tc>
                      <w:tcPr>
                        <w:tcW w:w="800" w:type="dxa"/>
                        <w:tcBorders>
                          <w:top w:val="single" w:sz="4" w:space="0" w:color="000000"/>
                          <w:bottom w:val="single" w:sz="4" w:space="0" w:color="000000"/>
                        </w:tcBorders>
                      </w:tcPr>
                      <w:p>
                        <w:pPr>
                          <w:pStyle w:val="TableParagraph"/>
                          <w:spacing w:before="67"/>
                          <w:ind w:right="83"/>
                          <w:rPr>
                            <w:sz w:val="18"/>
                          </w:rPr>
                        </w:pPr>
                        <w:r>
                          <w:rPr>
                            <w:spacing w:val="-4"/>
                            <w:sz w:val="18"/>
                          </w:rPr>
                          <w:t>82.5</w:t>
                        </w:r>
                      </w:p>
                    </w:tc>
                    <w:tc>
                      <w:tcPr>
                        <w:tcW w:w="1009" w:type="dxa"/>
                        <w:tcBorders>
                          <w:top w:val="single" w:sz="4" w:space="0" w:color="000000"/>
                          <w:bottom w:val="single" w:sz="4" w:space="0" w:color="000000"/>
                        </w:tcBorders>
                      </w:tcPr>
                      <w:p>
                        <w:pPr>
                          <w:pStyle w:val="TableParagraph"/>
                          <w:spacing w:before="67"/>
                          <w:ind w:right="-15"/>
                          <w:rPr>
                            <w:sz w:val="18"/>
                          </w:rPr>
                        </w:pPr>
                        <w:r>
                          <w:rPr>
                            <w:spacing w:val="-4"/>
                            <w:sz w:val="18"/>
                          </w:rPr>
                          <w:t>82.5</w:t>
                        </w:r>
                      </w:p>
                    </w:tc>
                  </w:tr>
                  <w:tr>
                    <w:trPr>
                      <w:trHeight w:val="340" w:hRule="atLeast"/>
                    </w:trPr>
                    <w:tc>
                      <w:tcPr>
                        <w:tcW w:w="2404" w:type="dxa"/>
                        <w:tcBorders>
                          <w:top w:val="single" w:sz="4" w:space="0" w:color="000000"/>
                          <w:bottom w:val="single" w:sz="4" w:space="0" w:color="000000"/>
                        </w:tcBorders>
                      </w:tcPr>
                      <w:p>
                        <w:pPr>
                          <w:pStyle w:val="TableParagraph"/>
                          <w:spacing w:before="67"/>
                          <w:ind w:left="7"/>
                          <w:jc w:val="left"/>
                          <w:rPr>
                            <w:sz w:val="18"/>
                          </w:rPr>
                        </w:pPr>
                        <w:r>
                          <w:rPr>
                            <w:spacing w:val="-5"/>
                            <w:sz w:val="18"/>
                          </w:rPr>
                          <w:t>ERP</w:t>
                        </w:r>
                      </w:p>
                    </w:tc>
                    <w:tc>
                      <w:tcPr>
                        <w:tcW w:w="1454" w:type="dxa"/>
                        <w:tcBorders>
                          <w:top w:val="single" w:sz="4" w:space="0" w:color="000000"/>
                          <w:bottom w:val="single" w:sz="4" w:space="0" w:color="000000"/>
                        </w:tcBorders>
                      </w:tcPr>
                      <w:p>
                        <w:pPr>
                          <w:pStyle w:val="TableParagraph"/>
                          <w:jc w:val="left"/>
                          <w:rPr>
                            <w:sz w:val="20"/>
                          </w:rPr>
                        </w:pPr>
                      </w:p>
                    </w:tc>
                    <w:tc>
                      <w:tcPr>
                        <w:tcW w:w="1720" w:type="dxa"/>
                        <w:tcBorders>
                          <w:top w:val="single" w:sz="4" w:space="0" w:color="000000"/>
                          <w:bottom w:val="single" w:sz="4" w:space="0" w:color="000000"/>
                        </w:tcBorders>
                      </w:tcPr>
                      <w:p>
                        <w:pPr>
                          <w:pStyle w:val="TableParagraph"/>
                          <w:spacing w:before="67"/>
                          <w:ind w:left="19"/>
                          <w:jc w:val="left"/>
                          <w:rPr>
                            <w:sz w:val="18"/>
                          </w:rPr>
                        </w:pPr>
                        <w:r>
                          <w:rPr>
                            <w:w w:val="101"/>
                            <w:sz w:val="18"/>
                          </w:rPr>
                          <w:t>-</w:t>
                        </w:r>
                      </w:p>
                    </w:tc>
                    <w:tc>
                      <w:tcPr>
                        <w:tcW w:w="800" w:type="dxa"/>
                        <w:tcBorders>
                          <w:top w:val="single" w:sz="4" w:space="0" w:color="000000"/>
                          <w:bottom w:val="single" w:sz="4" w:space="0" w:color="000000"/>
                        </w:tcBorders>
                      </w:tcPr>
                      <w:p>
                        <w:pPr>
                          <w:pStyle w:val="TableParagraph"/>
                          <w:spacing w:before="67"/>
                          <w:ind w:right="84"/>
                          <w:rPr>
                            <w:sz w:val="18"/>
                          </w:rPr>
                        </w:pPr>
                        <w:r>
                          <w:rPr>
                            <w:w w:val="101"/>
                            <w:sz w:val="18"/>
                          </w:rPr>
                          <w:t>-</w:t>
                        </w:r>
                      </w:p>
                    </w:tc>
                    <w:tc>
                      <w:tcPr>
                        <w:tcW w:w="1009" w:type="dxa"/>
                        <w:tcBorders>
                          <w:top w:val="single" w:sz="4" w:space="0" w:color="000000"/>
                          <w:bottom w:val="single" w:sz="4" w:space="0" w:color="000000"/>
                        </w:tcBorders>
                      </w:tcPr>
                      <w:p>
                        <w:pPr>
                          <w:pStyle w:val="TableParagraph"/>
                          <w:jc w:val="left"/>
                          <w:rPr>
                            <w:sz w:val="20"/>
                          </w:rPr>
                        </w:pPr>
                      </w:p>
                    </w:tc>
                  </w:tr>
                  <w:tr>
                    <w:trPr>
                      <w:trHeight w:val="340" w:hRule="atLeast"/>
                    </w:trPr>
                    <w:tc>
                      <w:tcPr>
                        <w:tcW w:w="2404" w:type="dxa"/>
                        <w:tcBorders>
                          <w:top w:val="single" w:sz="4" w:space="0" w:color="000000"/>
                          <w:bottom w:val="single" w:sz="4" w:space="0" w:color="000000"/>
                        </w:tcBorders>
                      </w:tcPr>
                      <w:p>
                        <w:pPr>
                          <w:pStyle w:val="TableParagraph"/>
                          <w:spacing w:before="67"/>
                          <w:ind w:left="7"/>
                          <w:jc w:val="left"/>
                          <w:rPr>
                            <w:sz w:val="18"/>
                          </w:rPr>
                        </w:pPr>
                        <w:r>
                          <w:rPr>
                            <w:sz w:val="18"/>
                          </w:rPr>
                          <w:t>Simplify</w:t>
                        </w:r>
                        <w:r>
                          <w:rPr>
                            <w:spacing w:val="-1"/>
                            <w:sz w:val="18"/>
                          </w:rPr>
                          <w:t> </w:t>
                        </w:r>
                        <w:r>
                          <w:rPr>
                            <w:spacing w:val="-5"/>
                            <w:sz w:val="18"/>
                          </w:rPr>
                          <w:t>IT</w:t>
                        </w:r>
                      </w:p>
                    </w:tc>
                    <w:tc>
                      <w:tcPr>
                        <w:tcW w:w="1454" w:type="dxa"/>
                        <w:tcBorders>
                          <w:top w:val="single" w:sz="4" w:space="0" w:color="000000"/>
                          <w:bottom w:val="single" w:sz="4" w:space="0" w:color="000000"/>
                        </w:tcBorders>
                      </w:tcPr>
                      <w:p>
                        <w:pPr>
                          <w:pStyle w:val="TableParagraph"/>
                          <w:jc w:val="left"/>
                          <w:rPr>
                            <w:sz w:val="20"/>
                          </w:rPr>
                        </w:pPr>
                      </w:p>
                    </w:tc>
                    <w:tc>
                      <w:tcPr>
                        <w:tcW w:w="1720" w:type="dxa"/>
                        <w:tcBorders>
                          <w:top w:val="single" w:sz="4" w:space="0" w:color="000000"/>
                          <w:bottom w:val="single" w:sz="4" w:space="0" w:color="000000"/>
                        </w:tcBorders>
                      </w:tcPr>
                      <w:p>
                        <w:pPr>
                          <w:pStyle w:val="TableParagraph"/>
                          <w:jc w:val="left"/>
                          <w:rPr>
                            <w:sz w:val="20"/>
                          </w:rPr>
                        </w:pPr>
                      </w:p>
                    </w:tc>
                    <w:tc>
                      <w:tcPr>
                        <w:tcW w:w="800" w:type="dxa"/>
                        <w:tcBorders>
                          <w:top w:val="single" w:sz="4" w:space="0" w:color="000000"/>
                          <w:bottom w:val="single" w:sz="4" w:space="0" w:color="000000"/>
                        </w:tcBorders>
                      </w:tcPr>
                      <w:p>
                        <w:pPr>
                          <w:pStyle w:val="TableParagraph"/>
                          <w:jc w:val="left"/>
                          <w:rPr>
                            <w:sz w:val="20"/>
                          </w:rPr>
                        </w:pPr>
                      </w:p>
                    </w:tc>
                    <w:tc>
                      <w:tcPr>
                        <w:tcW w:w="1009" w:type="dxa"/>
                        <w:tcBorders>
                          <w:top w:val="single" w:sz="4" w:space="0" w:color="000000"/>
                          <w:bottom w:val="single" w:sz="4" w:space="0" w:color="000000"/>
                        </w:tcBorders>
                      </w:tcPr>
                      <w:p>
                        <w:pPr>
                          <w:pStyle w:val="TableParagraph"/>
                          <w:jc w:val="left"/>
                          <w:rPr>
                            <w:sz w:val="20"/>
                          </w:rPr>
                        </w:pPr>
                      </w:p>
                    </w:tc>
                  </w:tr>
                </w:tbl>
                <w:p>
                  <w:pPr>
                    <w:pStyle w:val="BodyText"/>
                  </w:pPr>
                </w:p>
              </w:txbxContent>
            </v:textbox>
            <w10:wrap type="none"/>
          </v:shape>
        </w:pict>
      </w:r>
      <w:r>
        <w:rPr/>
        <w:t>Table</w:t>
      </w:r>
      <w:r>
        <w:rPr>
          <w:spacing w:val="-2"/>
        </w:rPr>
        <w:t> </w:t>
      </w:r>
      <w:r>
        <w:rPr/>
        <w:t>1:</w:t>
      </w:r>
      <w:r>
        <w:rPr>
          <w:spacing w:val="-4"/>
        </w:rPr>
        <w:t> </w:t>
      </w:r>
      <w:r>
        <w:rPr/>
        <w:t>Summary of</w:t>
      </w:r>
      <w:r>
        <w:rPr>
          <w:spacing w:val="-4"/>
        </w:rPr>
        <w:t> </w:t>
      </w:r>
      <w:r>
        <w:rPr/>
        <w:t>investment</w:t>
      </w:r>
      <w:r>
        <w:rPr>
          <w:spacing w:val="-4"/>
        </w:rPr>
        <w:t> </w:t>
      </w:r>
      <w:r>
        <w:rPr/>
        <w:t>for 2023</w:t>
      </w:r>
      <w:r>
        <w:rPr>
          <w:spacing w:val="-4"/>
        </w:rPr>
        <w:t> </w:t>
      </w:r>
      <w:r>
        <w:rPr/>
        <w:t>in</w:t>
      </w:r>
      <w:r>
        <w:rPr>
          <w:spacing w:val="-5"/>
        </w:rPr>
        <w:t> </w:t>
      </w:r>
      <w:r>
        <w:rPr/>
        <w:t>Court-wide</w:t>
      </w:r>
      <w:r>
        <w:rPr>
          <w:spacing w:val="-7"/>
        </w:rPr>
        <w:t> </w:t>
      </w:r>
      <w:r>
        <w:rPr/>
        <w:t>IT/IM Strategy</w:t>
      </w:r>
      <w:r>
        <w:rPr>
          <w:spacing w:val="-4"/>
        </w:rPr>
        <w:t> </w:t>
      </w:r>
      <w:r>
        <w:rPr/>
        <w:t>projects (thousands of euros)</w:t>
      </w:r>
    </w:p>
    <w:p>
      <w:pPr>
        <w:spacing w:before="67"/>
        <w:ind w:left="7341" w:right="0" w:firstLine="0"/>
        <w:jc w:val="left"/>
        <w:rPr>
          <w:i/>
          <w:sz w:val="18"/>
        </w:rPr>
      </w:pPr>
      <w:r>
        <w:rPr>
          <w:i/>
          <w:sz w:val="18"/>
        </w:rPr>
        <w:t>MP</w:t>
      </w:r>
      <w:r>
        <w:rPr>
          <w:i/>
          <w:spacing w:val="-6"/>
          <w:sz w:val="18"/>
        </w:rPr>
        <w:t> </w:t>
      </w:r>
      <w:r>
        <w:rPr>
          <w:i/>
          <w:sz w:val="18"/>
        </w:rPr>
        <w:t>III:</w:t>
      </w:r>
      <w:r>
        <w:rPr>
          <w:i/>
          <w:spacing w:val="4"/>
          <w:sz w:val="18"/>
        </w:rPr>
        <w:t> </w:t>
      </w:r>
      <w:r>
        <w:rPr>
          <w:i/>
          <w:spacing w:val="-2"/>
          <w:sz w:val="18"/>
        </w:rPr>
        <w:t>Registry</w:t>
      </w:r>
    </w:p>
    <w:p>
      <w:pPr>
        <w:pStyle w:val="BodyText"/>
        <w:spacing w:before="8"/>
        <w:rPr>
          <w:i/>
          <w:sz w:val="3"/>
        </w:rPr>
      </w:pPr>
      <w:r>
        <w:rPr/>
        <w:pict>
          <v:shape style="position:absolute;margin-left:309.720001pt;margin-top:3.324885pt;width:117.65pt;height:.5pt;mso-position-horizontal-relative:page;mso-position-vertical-relative:paragraph;z-index:-15671808;mso-wrap-distance-left:0;mso-wrap-distance-right:0" id="docshape449" coordorigin="6194,66" coordsize="2353,10" path="m8547,66l7462,66,7452,66,6194,66,6194,76,7452,76,7462,76,8547,76,8547,66xe" filled="true" fillcolor="#000000" stroked="false">
            <v:path arrowok="t"/>
            <v:fill type="solid"/>
            <w10:wrap type="topAndBottom"/>
          </v:shape>
        </w:pict>
      </w:r>
    </w:p>
    <w:p>
      <w:pPr>
        <w:spacing w:after="0"/>
        <w:rPr>
          <w:sz w:val="3"/>
        </w:rPr>
        <w:sectPr>
          <w:pgSz w:w="11910" w:h="16840"/>
          <w:pgMar w:header="957" w:footer="940" w:top="1140" w:bottom="1140" w:left="20" w:right="20"/>
        </w:sectPr>
      </w:pPr>
    </w:p>
    <w:p>
      <w:pPr>
        <w:pStyle w:val="BodyText"/>
        <w:spacing w:before="9"/>
        <w:rPr>
          <w:i/>
          <w:sz w:val="10"/>
        </w:rPr>
      </w:pPr>
      <w:r>
        <w:rPr/>
        <w:pict>
          <v:shape style="position:absolute;margin-left:309.720001pt;margin-top:81.379944pt;width:117.65pt;height:.5pt;mso-position-horizontal-relative:page;mso-position-vertical-relative:page;z-index:-43787264" id="docshape450" coordorigin="6194,1628" coordsize="2353,10" path="m8547,1628l7462,1628,7452,1628,6194,1628,6194,1637,7452,1637,7462,1637,8547,1637,8547,1628xe" filled="true" fillcolor="#000000" stroked="false">
            <v:path arrowok="t"/>
            <v:fill type="solid"/>
            <w10:wrap type="none"/>
          </v:shape>
        </w:pict>
      </w:r>
    </w:p>
    <w:tbl>
      <w:tblPr>
        <w:tblW w:w="0" w:type="auto"/>
        <w:jc w:val="left"/>
        <w:tblInd w:w="2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11"/>
        <w:gridCol w:w="3137"/>
        <w:gridCol w:w="1096"/>
        <w:gridCol w:w="751"/>
      </w:tblGrid>
      <w:tr>
        <w:trPr>
          <w:trHeight w:val="262" w:hRule="atLeast"/>
        </w:trPr>
        <w:tc>
          <w:tcPr>
            <w:tcW w:w="2411" w:type="dxa"/>
            <w:tcBorders>
              <w:top w:val="single" w:sz="4" w:space="0" w:color="000000"/>
            </w:tcBorders>
          </w:tcPr>
          <w:p>
            <w:pPr>
              <w:pStyle w:val="TableParagraph"/>
              <w:jc w:val="left"/>
              <w:rPr>
                <w:sz w:val="18"/>
              </w:rPr>
            </w:pPr>
          </w:p>
        </w:tc>
        <w:tc>
          <w:tcPr>
            <w:tcW w:w="4233" w:type="dxa"/>
            <w:gridSpan w:val="2"/>
            <w:tcBorders>
              <w:top w:val="single" w:sz="4" w:space="0" w:color="000000"/>
            </w:tcBorders>
          </w:tcPr>
          <w:p>
            <w:pPr>
              <w:pStyle w:val="TableParagraph"/>
              <w:spacing w:line="175" w:lineRule="exact" w:before="67"/>
              <w:ind w:left="2698"/>
              <w:jc w:val="left"/>
              <w:rPr>
                <w:i/>
                <w:sz w:val="18"/>
              </w:rPr>
            </w:pPr>
            <w:r>
              <w:rPr>
                <w:i/>
                <w:sz w:val="18"/>
              </w:rPr>
              <w:t>MP</w:t>
            </w:r>
            <w:r>
              <w:rPr>
                <w:i/>
                <w:spacing w:val="-6"/>
                <w:sz w:val="18"/>
              </w:rPr>
              <w:t> </w:t>
            </w:r>
            <w:r>
              <w:rPr>
                <w:i/>
                <w:sz w:val="18"/>
              </w:rPr>
              <w:t>III:</w:t>
            </w:r>
            <w:r>
              <w:rPr>
                <w:i/>
                <w:spacing w:val="4"/>
                <w:sz w:val="18"/>
              </w:rPr>
              <w:t> </w:t>
            </w:r>
            <w:r>
              <w:rPr>
                <w:i/>
                <w:spacing w:val="-2"/>
                <w:sz w:val="18"/>
              </w:rPr>
              <w:t>Registry</w:t>
            </w:r>
          </w:p>
        </w:tc>
        <w:tc>
          <w:tcPr>
            <w:tcW w:w="751" w:type="dxa"/>
            <w:tcBorders>
              <w:top w:val="single" w:sz="4" w:space="0" w:color="000000"/>
            </w:tcBorders>
          </w:tcPr>
          <w:p>
            <w:pPr>
              <w:pStyle w:val="TableParagraph"/>
              <w:jc w:val="left"/>
              <w:rPr>
                <w:sz w:val="18"/>
              </w:rPr>
            </w:pPr>
          </w:p>
        </w:tc>
      </w:tr>
      <w:tr>
        <w:trPr>
          <w:trHeight w:val="175" w:hRule="atLeast"/>
        </w:trPr>
        <w:tc>
          <w:tcPr>
            <w:tcW w:w="2411" w:type="dxa"/>
          </w:tcPr>
          <w:p>
            <w:pPr>
              <w:pStyle w:val="TableParagraph"/>
              <w:spacing w:line="155" w:lineRule="exact"/>
              <w:ind w:left="14"/>
              <w:jc w:val="left"/>
              <w:rPr>
                <w:i/>
                <w:sz w:val="18"/>
              </w:rPr>
            </w:pPr>
            <w:r>
              <w:rPr>
                <w:i/>
                <w:sz w:val="18"/>
              </w:rPr>
              <w:t>2022</w:t>
            </w:r>
            <w:r>
              <w:rPr>
                <w:i/>
                <w:spacing w:val="-2"/>
                <w:sz w:val="18"/>
              </w:rPr>
              <w:t> </w:t>
            </w:r>
            <w:r>
              <w:rPr>
                <w:i/>
                <w:sz w:val="18"/>
              </w:rPr>
              <w:t>funding</w:t>
            </w:r>
            <w:r>
              <w:rPr>
                <w:i/>
                <w:spacing w:val="-2"/>
                <w:sz w:val="18"/>
              </w:rPr>
              <w:t> </w:t>
            </w:r>
            <w:r>
              <w:rPr>
                <w:i/>
                <w:sz w:val="18"/>
              </w:rPr>
              <w:t>for</w:t>
            </w:r>
            <w:r>
              <w:rPr>
                <w:i/>
                <w:spacing w:val="-2"/>
                <w:sz w:val="18"/>
              </w:rPr>
              <w:t> strategy</w:t>
            </w:r>
          </w:p>
        </w:tc>
        <w:tc>
          <w:tcPr>
            <w:tcW w:w="3137" w:type="dxa"/>
          </w:tcPr>
          <w:p>
            <w:pPr>
              <w:pStyle w:val="TableParagraph"/>
              <w:spacing w:line="155" w:lineRule="exact"/>
              <w:ind w:left="561"/>
              <w:jc w:val="left"/>
              <w:rPr>
                <w:i/>
                <w:sz w:val="18"/>
              </w:rPr>
            </w:pPr>
            <w:r>
              <w:rPr>
                <w:i/>
                <w:sz w:val="18"/>
              </w:rPr>
              <w:t>MP</w:t>
            </w:r>
            <w:r>
              <w:rPr>
                <w:i/>
                <w:spacing w:val="-2"/>
                <w:sz w:val="18"/>
              </w:rPr>
              <w:t> </w:t>
            </w:r>
            <w:r>
              <w:rPr>
                <w:i/>
                <w:sz w:val="18"/>
              </w:rPr>
              <w:t>II: </w:t>
            </w:r>
            <w:r>
              <w:rPr>
                <w:i/>
                <w:spacing w:val="-5"/>
                <w:sz w:val="18"/>
              </w:rPr>
              <w:t>OTP</w:t>
            </w:r>
          </w:p>
        </w:tc>
        <w:tc>
          <w:tcPr>
            <w:tcW w:w="1847" w:type="dxa"/>
            <w:gridSpan w:val="2"/>
          </w:tcPr>
          <w:p>
            <w:pPr>
              <w:pStyle w:val="TableParagraph"/>
              <w:spacing w:line="155" w:lineRule="exact"/>
              <w:ind w:left="924" w:right="-15"/>
              <w:jc w:val="left"/>
              <w:rPr>
                <w:i/>
                <w:sz w:val="18"/>
              </w:rPr>
            </w:pPr>
            <w:r>
              <w:rPr>
                <w:i/>
                <w:sz w:val="18"/>
              </w:rPr>
              <w:t>Total</w:t>
            </w:r>
            <w:r>
              <w:rPr>
                <w:i/>
                <w:spacing w:val="-2"/>
                <w:sz w:val="18"/>
              </w:rPr>
              <w:t> stream</w:t>
            </w:r>
          </w:p>
        </w:tc>
      </w:tr>
      <w:tr>
        <w:trPr>
          <w:trHeight w:val="253" w:hRule="atLeast"/>
        </w:trPr>
        <w:tc>
          <w:tcPr>
            <w:tcW w:w="2411" w:type="dxa"/>
            <w:tcBorders>
              <w:bottom w:val="single" w:sz="4" w:space="0" w:color="000000"/>
            </w:tcBorders>
          </w:tcPr>
          <w:p>
            <w:pPr>
              <w:pStyle w:val="TableParagraph"/>
              <w:jc w:val="left"/>
              <w:rPr>
                <w:sz w:val="18"/>
              </w:rPr>
            </w:pPr>
          </w:p>
        </w:tc>
        <w:tc>
          <w:tcPr>
            <w:tcW w:w="3137" w:type="dxa"/>
            <w:tcBorders>
              <w:bottom w:val="single" w:sz="4" w:space="0" w:color="000000"/>
            </w:tcBorders>
          </w:tcPr>
          <w:p>
            <w:pPr>
              <w:pStyle w:val="TableParagraph"/>
              <w:spacing w:line="187" w:lineRule="exact"/>
              <w:ind w:right="365"/>
              <w:rPr>
                <w:i/>
                <w:sz w:val="18"/>
              </w:rPr>
            </w:pPr>
            <w:r>
              <w:rPr>
                <w:i/>
                <w:spacing w:val="-5"/>
                <w:sz w:val="18"/>
              </w:rPr>
              <w:t>DMS</w:t>
            </w:r>
          </w:p>
        </w:tc>
        <w:tc>
          <w:tcPr>
            <w:tcW w:w="1096" w:type="dxa"/>
            <w:tcBorders>
              <w:bottom w:val="single" w:sz="4" w:space="0" w:color="000000"/>
            </w:tcBorders>
          </w:tcPr>
          <w:p>
            <w:pPr>
              <w:pStyle w:val="TableParagraph"/>
              <w:spacing w:line="187" w:lineRule="exact"/>
              <w:ind w:right="370"/>
              <w:rPr>
                <w:i/>
                <w:sz w:val="18"/>
              </w:rPr>
            </w:pPr>
            <w:r>
              <w:rPr>
                <w:i/>
                <w:spacing w:val="-5"/>
                <w:sz w:val="18"/>
              </w:rPr>
              <w:t>DJS</w:t>
            </w:r>
          </w:p>
        </w:tc>
        <w:tc>
          <w:tcPr>
            <w:tcW w:w="751" w:type="dxa"/>
            <w:tcBorders>
              <w:bottom w:val="single" w:sz="4" w:space="0" w:color="000000"/>
            </w:tcBorders>
          </w:tcPr>
          <w:p>
            <w:pPr>
              <w:pStyle w:val="TableParagraph"/>
              <w:jc w:val="left"/>
              <w:rPr>
                <w:sz w:val="18"/>
              </w:rPr>
            </w:pPr>
          </w:p>
        </w:tc>
      </w:tr>
      <w:tr>
        <w:trPr>
          <w:trHeight w:val="340" w:hRule="atLeast"/>
        </w:trPr>
        <w:tc>
          <w:tcPr>
            <w:tcW w:w="2411" w:type="dxa"/>
            <w:tcBorders>
              <w:top w:val="single" w:sz="4" w:space="0" w:color="000000"/>
              <w:bottom w:val="single" w:sz="4" w:space="0" w:color="000000"/>
            </w:tcBorders>
          </w:tcPr>
          <w:p>
            <w:pPr>
              <w:pStyle w:val="TableParagraph"/>
              <w:spacing w:before="67"/>
              <w:ind w:left="14"/>
              <w:jc w:val="left"/>
              <w:rPr>
                <w:i/>
                <w:sz w:val="18"/>
              </w:rPr>
            </w:pPr>
            <w:r>
              <w:rPr>
                <w:i/>
                <w:sz w:val="18"/>
              </w:rPr>
              <w:t>Total</w:t>
            </w:r>
            <w:r>
              <w:rPr>
                <w:i/>
                <w:spacing w:val="-2"/>
                <w:sz w:val="18"/>
              </w:rPr>
              <w:t> staff</w:t>
            </w:r>
          </w:p>
        </w:tc>
        <w:tc>
          <w:tcPr>
            <w:tcW w:w="3137" w:type="dxa"/>
            <w:tcBorders>
              <w:top w:val="single" w:sz="4" w:space="0" w:color="000000"/>
              <w:bottom w:val="single" w:sz="4" w:space="0" w:color="000000"/>
            </w:tcBorders>
          </w:tcPr>
          <w:p>
            <w:pPr>
              <w:pStyle w:val="TableParagraph"/>
              <w:spacing w:before="67"/>
              <w:ind w:right="127"/>
              <w:jc w:val="center"/>
              <w:rPr>
                <w:i/>
                <w:sz w:val="18"/>
              </w:rPr>
            </w:pPr>
            <w:r>
              <w:rPr>
                <w:i/>
                <w:w w:val="101"/>
                <w:sz w:val="18"/>
              </w:rPr>
              <w:t>-</w:t>
            </w:r>
          </w:p>
        </w:tc>
        <w:tc>
          <w:tcPr>
            <w:tcW w:w="1096" w:type="dxa"/>
            <w:tcBorders>
              <w:top w:val="single" w:sz="4" w:space="0" w:color="000000"/>
              <w:bottom w:val="single" w:sz="4" w:space="0" w:color="000000"/>
            </w:tcBorders>
          </w:tcPr>
          <w:p>
            <w:pPr>
              <w:pStyle w:val="TableParagraph"/>
              <w:spacing w:before="67"/>
              <w:ind w:right="342"/>
              <w:rPr>
                <w:i/>
                <w:sz w:val="18"/>
              </w:rPr>
            </w:pPr>
            <w:r>
              <w:rPr>
                <w:i/>
                <w:spacing w:val="-4"/>
                <w:sz w:val="18"/>
              </w:rPr>
              <w:t>82.5</w:t>
            </w:r>
          </w:p>
        </w:tc>
        <w:tc>
          <w:tcPr>
            <w:tcW w:w="751" w:type="dxa"/>
            <w:tcBorders>
              <w:top w:val="single" w:sz="4" w:space="0" w:color="000000"/>
              <w:bottom w:val="single" w:sz="4" w:space="0" w:color="000000"/>
            </w:tcBorders>
          </w:tcPr>
          <w:p>
            <w:pPr>
              <w:pStyle w:val="TableParagraph"/>
              <w:spacing w:before="67"/>
              <w:rPr>
                <w:i/>
                <w:sz w:val="18"/>
              </w:rPr>
            </w:pPr>
            <w:r>
              <w:rPr>
                <w:i/>
                <w:spacing w:val="-4"/>
                <w:sz w:val="18"/>
              </w:rPr>
              <w:t>82.5</w:t>
            </w:r>
          </w:p>
        </w:tc>
      </w:tr>
      <w:tr>
        <w:trPr>
          <w:trHeight w:val="340" w:hRule="atLeast"/>
        </w:trPr>
        <w:tc>
          <w:tcPr>
            <w:tcW w:w="2411" w:type="dxa"/>
            <w:tcBorders>
              <w:top w:val="single" w:sz="4" w:space="0" w:color="000000"/>
              <w:bottom w:val="single" w:sz="4" w:space="0" w:color="000000"/>
            </w:tcBorders>
          </w:tcPr>
          <w:p>
            <w:pPr>
              <w:pStyle w:val="TableParagraph"/>
              <w:spacing w:before="67"/>
              <w:ind w:left="14"/>
              <w:jc w:val="left"/>
              <w:rPr>
                <w:b/>
                <w:sz w:val="18"/>
              </w:rPr>
            </w:pPr>
            <w:r>
              <w:rPr>
                <w:b/>
                <w:sz w:val="18"/>
              </w:rPr>
              <w:t>Non-</w:t>
            </w:r>
            <w:r>
              <w:rPr>
                <w:b/>
                <w:spacing w:val="-2"/>
                <w:sz w:val="18"/>
              </w:rPr>
              <w:t>staff</w:t>
            </w:r>
          </w:p>
        </w:tc>
        <w:tc>
          <w:tcPr>
            <w:tcW w:w="3137" w:type="dxa"/>
            <w:tcBorders>
              <w:top w:val="single" w:sz="4" w:space="0" w:color="000000"/>
              <w:bottom w:val="single" w:sz="4" w:space="0" w:color="000000"/>
            </w:tcBorders>
          </w:tcPr>
          <w:p>
            <w:pPr>
              <w:pStyle w:val="TableParagraph"/>
              <w:jc w:val="left"/>
              <w:rPr>
                <w:sz w:val="20"/>
              </w:rPr>
            </w:pPr>
          </w:p>
        </w:tc>
        <w:tc>
          <w:tcPr>
            <w:tcW w:w="1096" w:type="dxa"/>
            <w:tcBorders>
              <w:top w:val="single" w:sz="4" w:space="0" w:color="000000"/>
              <w:bottom w:val="single" w:sz="4" w:space="0" w:color="000000"/>
            </w:tcBorders>
          </w:tcPr>
          <w:p>
            <w:pPr>
              <w:pStyle w:val="TableParagraph"/>
              <w:jc w:val="left"/>
              <w:rPr>
                <w:sz w:val="20"/>
              </w:rPr>
            </w:pPr>
          </w:p>
        </w:tc>
        <w:tc>
          <w:tcPr>
            <w:tcW w:w="751" w:type="dxa"/>
            <w:tcBorders>
              <w:top w:val="single" w:sz="4" w:space="0" w:color="000000"/>
              <w:bottom w:val="single" w:sz="4" w:space="0" w:color="000000"/>
            </w:tcBorders>
          </w:tcPr>
          <w:p>
            <w:pPr>
              <w:pStyle w:val="TableParagraph"/>
              <w:jc w:val="left"/>
              <w:rPr>
                <w:sz w:val="20"/>
              </w:rPr>
            </w:pPr>
          </w:p>
        </w:tc>
      </w:tr>
      <w:tr>
        <w:trPr>
          <w:trHeight w:val="340" w:hRule="atLeast"/>
        </w:trPr>
        <w:tc>
          <w:tcPr>
            <w:tcW w:w="2411" w:type="dxa"/>
            <w:tcBorders>
              <w:top w:val="single" w:sz="4" w:space="0" w:color="000000"/>
              <w:bottom w:val="single" w:sz="4" w:space="0" w:color="000000"/>
            </w:tcBorders>
          </w:tcPr>
          <w:p>
            <w:pPr>
              <w:pStyle w:val="TableParagraph"/>
              <w:spacing w:before="67"/>
              <w:ind w:left="14"/>
              <w:jc w:val="left"/>
              <w:rPr>
                <w:sz w:val="18"/>
              </w:rPr>
            </w:pPr>
            <w:r>
              <w:rPr>
                <w:spacing w:val="-5"/>
                <w:sz w:val="18"/>
              </w:rPr>
              <w:t>OTP</w:t>
            </w:r>
          </w:p>
        </w:tc>
        <w:tc>
          <w:tcPr>
            <w:tcW w:w="3137" w:type="dxa"/>
            <w:tcBorders>
              <w:top w:val="single" w:sz="4" w:space="0" w:color="000000"/>
              <w:bottom w:val="single" w:sz="4" w:space="0" w:color="000000"/>
            </w:tcBorders>
          </w:tcPr>
          <w:p>
            <w:pPr>
              <w:pStyle w:val="TableParagraph"/>
              <w:spacing w:before="67"/>
              <w:ind w:right="342"/>
              <w:rPr>
                <w:sz w:val="18"/>
              </w:rPr>
            </w:pPr>
            <w:r>
              <w:rPr>
                <w:w w:val="101"/>
                <w:sz w:val="18"/>
              </w:rPr>
              <w:t>-</w:t>
            </w:r>
          </w:p>
        </w:tc>
        <w:tc>
          <w:tcPr>
            <w:tcW w:w="1096" w:type="dxa"/>
            <w:tcBorders>
              <w:top w:val="single" w:sz="4" w:space="0" w:color="000000"/>
              <w:bottom w:val="single" w:sz="4" w:space="0" w:color="000000"/>
            </w:tcBorders>
          </w:tcPr>
          <w:p>
            <w:pPr>
              <w:pStyle w:val="TableParagraph"/>
              <w:jc w:val="left"/>
              <w:rPr>
                <w:sz w:val="20"/>
              </w:rPr>
            </w:pPr>
          </w:p>
        </w:tc>
        <w:tc>
          <w:tcPr>
            <w:tcW w:w="751" w:type="dxa"/>
            <w:tcBorders>
              <w:top w:val="single" w:sz="4" w:space="0" w:color="000000"/>
              <w:bottom w:val="single" w:sz="4" w:space="0" w:color="000000"/>
            </w:tcBorders>
          </w:tcPr>
          <w:p>
            <w:pPr>
              <w:pStyle w:val="TableParagraph"/>
              <w:jc w:val="left"/>
              <w:rPr>
                <w:sz w:val="20"/>
              </w:rPr>
            </w:pPr>
          </w:p>
        </w:tc>
      </w:tr>
      <w:tr>
        <w:trPr>
          <w:trHeight w:val="340" w:hRule="atLeast"/>
        </w:trPr>
        <w:tc>
          <w:tcPr>
            <w:tcW w:w="2411" w:type="dxa"/>
            <w:tcBorders>
              <w:top w:val="single" w:sz="4" w:space="0" w:color="000000"/>
              <w:bottom w:val="single" w:sz="4" w:space="0" w:color="000000"/>
            </w:tcBorders>
          </w:tcPr>
          <w:p>
            <w:pPr>
              <w:pStyle w:val="TableParagraph"/>
              <w:spacing w:before="67"/>
              <w:ind w:left="14"/>
              <w:jc w:val="left"/>
              <w:rPr>
                <w:sz w:val="18"/>
              </w:rPr>
            </w:pPr>
            <w:r>
              <w:rPr>
                <w:spacing w:val="-5"/>
                <w:sz w:val="18"/>
              </w:rPr>
              <w:t>JWP</w:t>
            </w:r>
          </w:p>
        </w:tc>
        <w:tc>
          <w:tcPr>
            <w:tcW w:w="3137" w:type="dxa"/>
            <w:tcBorders>
              <w:top w:val="single" w:sz="4" w:space="0" w:color="000000"/>
              <w:bottom w:val="single" w:sz="4" w:space="0" w:color="000000"/>
            </w:tcBorders>
          </w:tcPr>
          <w:p>
            <w:pPr>
              <w:pStyle w:val="TableParagraph"/>
              <w:spacing w:before="67"/>
              <w:ind w:right="342"/>
              <w:rPr>
                <w:sz w:val="18"/>
              </w:rPr>
            </w:pPr>
            <w:r>
              <w:rPr>
                <w:w w:val="101"/>
                <w:sz w:val="18"/>
              </w:rPr>
              <w:t>-</w:t>
            </w:r>
          </w:p>
        </w:tc>
        <w:tc>
          <w:tcPr>
            <w:tcW w:w="1096" w:type="dxa"/>
            <w:tcBorders>
              <w:top w:val="single" w:sz="4" w:space="0" w:color="000000"/>
              <w:bottom w:val="single" w:sz="4" w:space="0" w:color="000000"/>
            </w:tcBorders>
          </w:tcPr>
          <w:p>
            <w:pPr>
              <w:pStyle w:val="TableParagraph"/>
              <w:spacing w:before="67"/>
              <w:ind w:right="341"/>
              <w:rPr>
                <w:sz w:val="18"/>
              </w:rPr>
            </w:pPr>
            <w:r>
              <w:rPr>
                <w:spacing w:val="-2"/>
                <w:sz w:val="18"/>
              </w:rPr>
              <w:t>300.0</w:t>
            </w:r>
          </w:p>
        </w:tc>
        <w:tc>
          <w:tcPr>
            <w:tcW w:w="751" w:type="dxa"/>
            <w:tcBorders>
              <w:top w:val="single" w:sz="4" w:space="0" w:color="000000"/>
              <w:bottom w:val="single" w:sz="4" w:space="0" w:color="000000"/>
            </w:tcBorders>
          </w:tcPr>
          <w:p>
            <w:pPr>
              <w:pStyle w:val="TableParagraph"/>
              <w:spacing w:before="67"/>
              <w:rPr>
                <w:sz w:val="18"/>
              </w:rPr>
            </w:pPr>
            <w:r>
              <w:rPr>
                <w:spacing w:val="-2"/>
                <w:sz w:val="18"/>
              </w:rPr>
              <w:t>300.0</w:t>
            </w:r>
          </w:p>
        </w:tc>
      </w:tr>
      <w:tr>
        <w:trPr>
          <w:trHeight w:val="340" w:hRule="atLeast"/>
        </w:trPr>
        <w:tc>
          <w:tcPr>
            <w:tcW w:w="2411" w:type="dxa"/>
            <w:tcBorders>
              <w:top w:val="single" w:sz="4" w:space="0" w:color="000000"/>
              <w:bottom w:val="single" w:sz="4" w:space="0" w:color="000000"/>
            </w:tcBorders>
          </w:tcPr>
          <w:p>
            <w:pPr>
              <w:pStyle w:val="TableParagraph"/>
              <w:spacing w:before="67"/>
              <w:ind w:left="14"/>
              <w:jc w:val="left"/>
              <w:rPr>
                <w:sz w:val="18"/>
              </w:rPr>
            </w:pPr>
            <w:r>
              <w:rPr>
                <w:spacing w:val="-5"/>
                <w:sz w:val="18"/>
              </w:rPr>
              <w:t>ERP</w:t>
            </w:r>
          </w:p>
        </w:tc>
        <w:tc>
          <w:tcPr>
            <w:tcW w:w="3137" w:type="dxa"/>
            <w:tcBorders>
              <w:top w:val="single" w:sz="4" w:space="0" w:color="000000"/>
              <w:bottom w:val="single" w:sz="4" w:space="0" w:color="000000"/>
            </w:tcBorders>
          </w:tcPr>
          <w:p>
            <w:pPr>
              <w:pStyle w:val="TableParagraph"/>
              <w:spacing w:before="67"/>
              <w:ind w:right="341"/>
              <w:rPr>
                <w:sz w:val="18"/>
              </w:rPr>
            </w:pPr>
            <w:r>
              <w:rPr>
                <w:spacing w:val="-4"/>
                <w:sz w:val="18"/>
              </w:rPr>
              <w:t>90.0</w:t>
            </w:r>
          </w:p>
        </w:tc>
        <w:tc>
          <w:tcPr>
            <w:tcW w:w="1096" w:type="dxa"/>
            <w:tcBorders>
              <w:top w:val="single" w:sz="4" w:space="0" w:color="000000"/>
              <w:bottom w:val="single" w:sz="4" w:space="0" w:color="000000"/>
            </w:tcBorders>
          </w:tcPr>
          <w:p>
            <w:pPr>
              <w:pStyle w:val="TableParagraph"/>
              <w:spacing w:before="67"/>
              <w:ind w:right="343"/>
              <w:rPr>
                <w:sz w:val="18"/>
              </w:rPr>
            </w:pPr>
            <w:r>
              <w:rPr>
                <w:w w:val="101"/>
                <w:sz w:val="18"/>
              </w:rPr>
              <w:t>-</w:t>
            </w:r>
          </w:p>
        </w:tc>
        <w:tc>
          <w:tcPr>
            <w:tcW w:w="751" w:type="dxa"/>
            <w:tcBorders>
              <w:top w:val="single" w:sz="4" w:space="0" w:color="000000"/>
              <w:bottom w:val="single" w:sz="4" w:space="0" w:color="000000"/>
            </w:tcBorders>
          </w:tcPr>
          <w:p>
            <w:pPr>
              <w:pStyle w:val="TableParagraph"/>
              <w:spacing w:before="67"/>
              <w:rPr>
                <w:sz w:val="18"/>
              </w:rPr>
            </w:pPr>
            <w:r>
              <w:rPr>
                <w:spacing w:val="-4"/>
                <w:sz w:val="18"/>
              </w:rPr>
              <w:t>90.0</w:t>
            </w:r>
          </w:p>
        </w:tc>
      </w:tr>
      <w:tr>
        <w:trPr>
          <w:trHeight w:val="340" w:hRule="atLeast"/>
        </w:trPr>
        <w:tc>
          <w:tcPr>
            <w:tcW w:w="2411" w:type="dxa"/>
            <w:tcBorders>
              <w:top w:val="single" w:sz="4" w:space="0" w:color="000000"/>
              <w:bottom w:val="single" w:sz="4" w:space="0" w:color="000000"/>
            </w:tcBorders>
          </w:tcPr>
          <w:p>
            <w:pPr>
              <w:pStyle w:val="TableParagraph"/>
              <w:spacing w:before="67"/>
              <w:ind w:left="14"/>
              <w:jc w:val="left"/>
              <w:rPr>
                <w:sz w:val="18"/>
              </w:rPr>
            </w:pPr>
            <w:r>
              <w:rPr>
                <w:sz w:val="18"/>
              </w:rPr>
              <w:t>Simplify</w:t>
            </w:r>
            <w:r>
              <w:rPr>
                <w:spacing w:val="-1"/>
                <w:sz w:val="18"/>
              </w:rPr>
              <w:t> </w:t>
            </w:r>
            <w:r>
              <w:rPr>
                <w:spacing w:val="-5"/>
                <w:sz w:val="18"/>
              </w:rPr>
              <w:t>IT</w:t>
            </w:r>
          </w:p>
        </w:tc>
        <w:tc>
          <w:tcPr>
            <w:tcW w:w="3137" w:type="dxa"/>
            <w:tcBorders>
              <w:top w:val="single" w:sz="4" w:space="0" w:color="000000"/>
              <w:bottom w:val="single" w:sz="4" w:space="0" w:color="000000"/>
            </w:tcBorders>
          </w:tcPr>
          <w:p>
            <w:pPr>
              <w:pStyle w:val="TableParagraph"/>
              <w:spacing w:before="67"/>
              <w:ind w:right="342"/>
              <w:rPr>
                <w:sz w:val="18"/>
              </w:rPr>
            </w:pPr>
            <w:r>
              <w:rPr>
                <w:w w:val="101"/>
                <w:sz w:val="18"/>
              </w:rPr>
              <w:t>-</w:t>
            </w:r>
          </w:p>
        </w:tc>
        <w:tc>
          <w:tcPr>
            <w:tcW w:w="1096" w:type="dxa"/>
            <w:tcBorders>
              <w:top w:val="single" w:sz="4" w:space="0" w:color="000000"/>
              <w:bottom w:val="single" w:sz="4" w:space="0" w:color="000000"/>
            </w:tcBorders>
          </w:tcPr>
          <w:p>
            <w:pPr>
              <w:pStyle w:val="TableParagraph"/>
              <w:spacing w:before="67"/>
              <w:ind w:right="342"/>
              <w:rPr>
                <w:sz w:val="18"/>
              </w:rPr>
            </w:pPr>
            <w:r>
              <w:rPr>
                <w:spacing w:val="-4"/>
                <w:sz w:val="18"/>
              </w:rPr>
              <w:t>30.3</w:t>
            </w:r>
          </w:p>
        </w:tc>
        <w:tc>
          <w:tcPr>
            <w:tcW w:w="751" w:type="dxa"/>
            <w:tcBorders>
              <w:top w:val="single" w:sz="4" w:space="0" w:color="000000"/>
              <w:bottom w:val="single" w:sz="4" w:space="0" w:color="000000"/>
            </w:tcBorders>
          </w:tcPr>
          <w:p>
            <w:pPr>
              <w:pStyle w:val="TableParagraph"/>
              <w:spacing w:before="67"/>
              <w:rPr>
                <w:sz w:val="18"/>
              </w:rPr>
            </w:pPr>
            <w:r>
              <w:rPr>
                <w:spacing w:val="-4"/>
                <w:sz w:val="18"/>
              </w:rPr>
              <w:t>30.3</w:t>
            </w:r>
          </w:p>
        </w:tc>
      </w:tr>
      <w:tr>
        <w:trPr>
          <w:trHeight w:val="340" w:hRule="atLeast"/>
        </w:trPr>
        <w:tc>
          <w:tcPr>
            <w:tcW w:w="2411" w:type="dxa"/>
            <w:tcBorders>
              <w:top w:val="single" w:sz="4" w:space="0" w:color="000000"/>
              <w:bottom w:val="single" w:sz="4" w:space="0" w:color="000000"/>
            </w:tcBorders>
          </w:tcPr>
          <w:p>
            <w:pPr>
              <w:pStyle w:val="TableParagraph"/>
              <w:spacing w:before="67"/>
              <w:ind w:left="14"/>
              <w:jc w:val="left"/>
              <w:rPr>
                <w:i/>
                <w:sz w:val="18"/>
              </w:rPr>
            </w:pPr>
            <w:r>
              <w:rPr>
                <w:i/>
                <w:sz w:val="18"/>
              </w:rPr>
              <w:t>Total</w:t>
            </w:r>
            <w:r>
              <w:rPr>
                <w:i/>
                <w:spacing w:val="-1"/>
                <w:sz w:val="18"/>
              </w:rPr>
              <w:t> </w:t>
            </w:r>
            <w:r>
              <w:rPr>
                <w:i/>
                <w:sz w:val="18"/>
              </w:rPr>
              <w:t>non-</w:t>
            </w:r>
            <w:r>
              <w:rPr>
                <w:i/>
                <w:spacing w:val="-2"/>
                <w:sz w:val="18"/>
              </w:rPr>
              <w:t>staff</w:t>
            </w:r>
          </w:p>
        </w:tc>
        <w:tc>
          <w:tcPr>
            <w:tcW w:w="3137" w:type="dxa"/>
            <w:tcBorders>
              <w:top w:val="single" w:sz="4" w:space="0" w:color="000000"/>
              <w:bottom w:val="single" w:sz="4" w:space="0" w:color="000000"/>
            </w:tcBorders>
          </w:tcPr>
          <w:p>
            <w:pPr>
              <w:pStyle w:val="TableParagraph"/>
              <w:spacing w:before="67"/>
              <w:ind w:right="341"/>
              <w:rPr>
                <w:i/>
                <w:sz w:val="18"/>
              </w:rPr>
            </w:pPr>
            <w:r>
              <w:rPr>
                <w:i/>
                <w:spacing w:val="-4"/>
                <w:sz w:val="18"/>
              </w:rPr>
              <w:t>90.0</w:t>
            </w:r>
          </w:p>
        </w:tc>
        <w:tc>
          <w:tcPr>
            <w:tcW w:w="1096" w:type="dxa"/>
            <w:tcBorders>
              <w:top w:val="single" w:sz="4" w:space="0" w:color="000000"/>
              <w:bottom w:val="single" w:sz="4" w:space="0" w:color="000000"/>
            </w:tcBorders>
          </w:tcPr>
          <w:p>
            <w:pPr>
              <w:pStyle w:val="TableParagraph"/>
              <w:spacing w:before="67"/>
              <w:ind w:right="341"/>
              <w:rPr>
                <w:i/>
                <w:sz w:val="18"/>
              </w:rPr>
            </w:pPr>
            <w:r>
              <w:rPr>
                <w:i/>
                <w:spacing w:val="-2"/>
                <w:sz w:val="18"/>
              </w:rPr>
              <w:t>330.3</w:t>
            </w:r>
          </w:p>
        </w:tc>
        <w:tc>
          <w:tcPr>
            <w:tcW w:w="751" w:type="dxa"/>
            <w:tcBorders>
              <w:top w:val="single" w:sz="4" w:space="0" w:color="000000"/>
              <w:bottom w:val="single" w:sz="4" w:space="0" w:color="000000"/>
            </w:tcBorders>
          </w:tcPr>
          <w:p>
            <w:pPr>
              <w:pStyle w:val="TableParagraph"/>
              <w:spacing w:before="67"/>
              <w:rPr>
                <w:i/>
                <w:sz w:val="18"/>
              </w:rPr>
            </w:pPr>
            <w:r>
              <w:rPr>
                <w:i/>
                <w:spacing w:val="-2"/>
                <w:sz w:val="18"/>
              </w:rPr>
              <w:t>420.3</w:t>
            </w:r>
          </w:p>
        </w:tc>
      </w:tr>
      <w:tr>
        <w:trPr>
          <w:trHeight w:val="340" w:hRule="atLeast"/>
        </w:trPr>
        <w:tc>
          <w:tcPr>
            <w:tcW w:w="2411" w:type="dxa"/>
            <w:tcBorders>
              <w:top w:val="single" w:sz="4" w:space="0" w:color="000000"/>
              <w:bottom w:val="single" w:sz="4" w:space="0" w:color="000000"/>
            </w:tcBorders>
          </w:tcPr>
          <w:p>
            <w:pPr>
              <w:pStyle w:val="TableParagraph"/>
              <w:spacing w:before="67"/>
              <w:ind w:left="14"/>
              <w:jc w:val="left"/>
              <w:rPr>
                <w:b/>
                <w:sz w:val="18"/>
              </w:rPr>
            </w:pPr>
            <w:r>
              <w:rPr>
                <w:b/>
                <w:spacing w:val="-2"/>
                <w:sz w:val="18"/>
              </w:rPr>
              <w:t>Total</w:t>
            </w:r>
          </w:p>
        </w:tc>
        <w:tc>
          <w:tcPr>
            <w:tcW w:w="3137" w:type="dxa"/>
            <w:tcBorders>
              <w:top w:val="single" w:sz="4" w:space="0" w:color="000000"/>
              <w:bottom w:val="single" w:sz="4" w:space="0" w:color="000000"/>
            </w:tcBorders>
          </w:tcPr>
          <w:p>
            <w:pPr>
              <w:pStyle w:val="TableParagraph"/>
              <w:spacing w:before="67"/>
              <w:ind w:right="341"/>
              <w:rPr>
                <w:b/>
                <w:sz w:val="18"/>
              </w:rPr>
            </w:pPr>
            <w:r>
              <w:rPr>
                <w:b/>
                <w:spacing w:val="-4"/>
                <w:sz w:val="18"/>
              </w:rPr>
              <w:t>90.0</w:t>
            </w:r>
          </w:p>
        </w:tc>
        <w:tc>
          <w:tcPr>
            <w:tcW w:w="1096" w:type="dxa"/>
            <w:tcBorders>
              <w:top w:val="single" w:sz="4" w:space="0" w:color="000000"/>
              <w:bottom w:val="single" w:sz="4" w:space="0" w:color="000000"/>
            </w:tcBorders>
          </w:tcPr>
          <w:p>
            <w:pPr>
              <w:pStyle w:val="TableParagraph"/>
              <w:spacing w:before="67"/>
              <w:ind w:right="341"/>
              <w:rPr>
                <w:b/>
                <w:sz w:val="18"/>
              </w:rPr>
            </w:pPr>
            <w:r>
              <w:rPr>
                <w:b/>
                <w:spacing w:val="-2"/>
                <w:sz w:val="18"/>
              </w:rPr>
              <w:t>412.8</w:t>
            </w:r>
          </w:p>
        </w:tc>
        <w:tc>
          <w:tcPr>
            <w:tcW w:w="751" w:type="dxa"/>
            <w:tcBorders>
              <w:top w:val="single" w:sz="4" w:space="0" w:color="000000"/>
              <w:bottom w:val="single" w:sz="4" w:space="0" w:color="000000"/>
            </w:tcBorders>
          </w:tcPr>
          <w:p>
            <w:pPr>
              <w:pStyle w:val="TableParagraph"/>
              <w:spacing w:before="67"/>
              <w:rPr>
                <w:b/>
                <w:sz w:val="18"/>
              </w:rPr>
            </w:pPr>
            <w:r>
              <w:rPr>
                <w:b/>
                <w:spacing w:val="-2"/>
                <w:sz w:val="18"/>
              </w:rPr>
              <w:t>502.8</w:t>
            </w:r>
          </w:p>
        </w:tc>
      </w:tr>
    </w:tbl>
    <w:p>
      <w:pPr>
        <w:pStyle w:val="BodyText"/>
        <w:spacing w:before="4"/>
        <w:rPr>
          <w:i/>
          <w:sz w:val="12"/>
        </w:rPr>
      </w:pPr>
    </w:p>
    <w:p>
      <w:pPr>
        <w:pStyle w:val="ListParagraph"/>
        <w:numPr>
          <w:ilvl w:val="0"/>
          <w:numId w:val="127"/>
        </w:numPr>
        <w:tabs>
          <w:tab w:pos="2966" w:val="left" w:leader="none"/>
          <w:tab w:pos="2967" w:val="left" w:leader="none"/>
        </w:tabs>
        <w:spacing w:line="237" w:lineRule="auto" w:before="95" w:after="0"/>
        <w:ind w:left="2246" w:right="2237" w:firstLine="0"/>
        <w:jc w:val="both"/>
        <w:rPr>
          <w:sz w:val="20"/>
        </w:rPr>
      </w:pPr>
      <w:r>
        <w:rPr>
          <w:sz w:val="20"/>
        </w:rPr>
        <w:t>The</w:t>
      </w:r>
      <w:r>
        <w:rPr>
          <w:spacing w:val="-2"/>
          <w:sz w:val="20"/>
        </w:rPr>
        <w:t> </w:t>
      </w:r>
      <w:r>
        <w:rPr>
          <w:sz w:val="20"/>
        </w:rPr>
        <w:t>OTP’s planned</w:t>
      </w:r>
      <w:r>
        <w:rPr>
          <w:spacing w:val="-4"/>
          <w:sz w:val="20"/>
        </w:rPr>
        <w:t> </w:t>
      </w:r>
      <w:r>
        <w:rPr>
          <w:sz w:val="20"/>
        </w:rPr>
        <w:t>IT</w:t>
      </w:r>
      <w:r>
        <w:rPr>
          <w:spacing w:val="-2"/>
          <w:sz w:val="20"/>
        </w:rPr>
        <w:t> </w:t>
      </w:r>
      <w:r>
        <w:rPr>
          <w:sz w:val="20"/>
        </w:rPr>
        <w:t>strategic</w:t>
      </w:r>
      <w:r>
        <w:rPr>
          <w:spacing w:val="-2"/>
          <w:sz w:val="20"/>
        </w:rPr>
        <w:t> </w:t>
      </w:r>
      <w:r>
        <w:rPr>
          <w:sz w:val="20"/>
        </w:rPr>
        <w:t>initiatives</w:t>
      </w:r>
      <w:r>
        <w:rPr>
          <w:spacing w:val="-1"/>
          <w:sz w:val="20"/>
        </w:rPr>
        <w:t> </w:t>
      </w:r>
      <w:r>
        <w:rPr>
          <w:sz w:val="20"/>
        </w:rPr>
        <w:t>for</w:t>
      </w:r>
      <w:r>
        <w:rPr>
          <w:spacing w:val="-4"/>
          <w:sz w:val="20"/>
        </w:rPr>
        <w:t> </w:t>
      </w:r>
      <w:r>
        <w:rPr>
          <w:sz w:val="20"/>
        </w:rPr>
        <w:t>broad scope</w:t>
      </w:r>
      <w:r>
        <w:rPr>
          <w:spacing w:val="-2"/>
          <w:sz w:val="20"/>
        </w:rPr>
        <w:t> </w:t>
      </w:r>
      <w:r>
        <w:rPr>
          <w:sz w:val="20"/>
        </w:rPr>
        <w:t>digital</w:t>
      </w:r>
      <w:r>
        <w:rPr>
          <w:spacing w:val="-2"/>
          <w:sz w:val="20"/>
        </w:rPr>
        <w:t> </w:t>
      </w:r>
      <w:r>
        <w:rPr>
          <w:sz w:val="20"/>
        </w:rPr>
        <w:t>modernization in evidence</w:t>
      </w:r>
      <w:r>
        <w:rPr>
          <w:spacing w:val="-1"/>
          <w:sz w:val="20"/>
        </w:rPr>
        <w:t> </w:t>
      </w:r>
      <w:r>
        <w:rPr>
          <w:sz w:val="20"/>
        </w:rPr>
        <w:t>processing</w:t>
      </w:r>
      <w:r>
        <w:rPr>
          <w:spacing w:val="-7"/>
          <w:sz w:val="20"/>
        </w:rPr>
        <w:t> </w:t>
      </w:r>
      <w:r>
        <w:rPr>
          <w:sz w:val="20"/>
        </w:rPr>
        <w:t>and</w:t>
      </w:r>
      <w:r>
        <w:rPr>
          <w:spacing w:val="-3"/>
          <w:sz w:val="20"/>
        </w:rPr>
        <w:t> </w:t>
      </w:r>
      <w:r>
        <w:rPr>
          <w:sz w:val="20"/>
        </w:rPr>
        <w:t>review</w:t>
      </w:r>
      <w:r>
        <w:rPr>
          <w:spacing w:val="-4"/>
          <w:sz w:val="20"/>
        </w:rPr>
        <w:t> </w:t>
      </w:r>
      <w:r>
        <w:rPr>
          <w:sz w:val="20"/>
        </w:rPr>
        <w:t>as</w:t>
      </w:r>
      <w:r>
        <w:rPr>
          <w:spacing w:val="-4"/>
          <w:sz w:val="20"/>
        </w:rPr>
        <w:t> </w:t>
      </w:r>
      <w:r>
        <w:rPr>
          <w:sz w:val="20"/>
        </w:rPr>
        <w:t>well</w:t>
      </w:r>
      <w:r>
        <w:rPr>
          <w:spacing w:val="-1"/>
          <w:sz w:val="20"/>
        </w:rPr>
        <w:t> </w:t>
      </w:r>
      <w:r>
        <w:rPr>
          <w:sz w:val="20"/>
        </w:rPr>
        <w:t>as</w:t>
      </w:r>
      <w:r>
        <w:rPr>
          <w:spacing w:val="-4"/>
          <w:sz w:val="20"/>
        </w:rPr>
        <w:t> </w:t>
      </w:r>
      <w:r>
        <w:rPr>
          <w:sz w:val="20"/>
        </w:rPr>
        <w:t>back</w:t>
      </w:r>
      <w:r>
        <w:rPr>
          <w:spacing w:val="-3"/>
          <w:sz w:val="20"/>
        </w:rPr>
        <w:t> </w:t>
      </w:r>
      <w:r>
        <w:rPr>
          <w:sz w:val="20"/>
        </w:rPr>
        <w:t>office</w:t>
      </w:r>
      <w:r>
        <w:rPr>
          <w:spacing w:val="-1"/>
          <w:sz w:val="20"/>
        </w:rPr>
        <w:t> </w:t>
      </w:r>
      <w:r>
        <w:rPr>
          <w:sz w:val="20"/>
        </w:rPr>
        <w:t>and</w:t>
      </w:r>
      <w:r>
        <w:rPr>
          <w:spacing w:val="-3"/>
          <w:sz w:val="20"/>
        </w:rPr>
        <w:t> </w:t>
      </w:r>
      <w:r>
        <w:rPr>
          <w:sz w:val="20"/>
        </w:rPr>
        <w:t>data</w:t>
      </w:r>
      <w:r>
        <w:rPr>
          <w:spacing w:val="-1"/>
          <w:sz w:val="20"/>
        </w:rPr>
        <w:t> </w:t>
      </w:r>
      <w:r>
        <w:rPr>
          <w:sz w:val="20"/>
        </w:rPr>
        <w:t>analytics</w:t>
      </w:r>
      <w:r>
        <w:rPr>
          <w:spacing w:val="-4"/>
          <w:sz w:val="20"/>
        </w:rPr>
        <w:t> </w:t>
      </w:r>
      <w:r>
        <w:rPr>
          <w:sz w:val="20"/>
        </w:rPr>
        <w:t>are</w:t>
      </w:r>
      <w:r>
        <w:rPr>
          <w:spacing w:val="-1"/>
          <w:sz w:val="20"/>
        </w:rPr>
        <w:t> </w:t>
      </w:r>
      <w:r>
        <w:rPr>
          <w:sz w:val="20"/>
        </w:rPr>
        <w:t>funded</w:t>
      </w:r>
      <w:r>
        <w:rPr>
          <w:spacing w:val="-3"/>
          <w:sz w:val="20"/>
        </w:rPr>
        <w:t> </w:t>
      </w:r>
      <w:r>
        <w:rPr>
          <w:sz w:val="20"/>
        </w:rPr>
        <w:t>through the </w:t>
      </w:r>
      <w:r>
        <w:rPr>
          <w:rFonts w:ascii="Georgia" w:hAnsi="Georgia"/>
          <w:color w:val="202429"/>
          <w:sz w:val="20"/>
        </w:rPr>
        <w:t>Trust </w:t>
      </w:r>
      <w:r>
        <w:rPr>
          <w:color w:val="202429"/>
          <w:sz w:val="20"/>
        </w:rPr>
        <w:t>Fund for Advanced</w:t>
      </w:r>
      <w:r>
        <w:rPr>
          <w:color w:val="202429"/>
          <w:spacing w:val="-4"/>
          <w:sz w:val="20"/>
        </w:rPr>
        <w:t> </w:t>
      </w:r>
      <w:r>
        <w:rPr>
          <w:color w:val="202429"/>
          <w:sz w:val="20"/>
        </w:rPr>
        <w:t>Technology and Specialized Capacity, </w:t>
      </w:r>
      <w:r>
        <w:rPr>
          <w:sz w:val="20"/>
        </w:rPr>
        <w:t>and thus no</w:t>
      </w:r>
      <w:r>
        <w:rPr>
          <w:spacing w:val="-4"/>
          <w:sz w:val="20"/>
        </w:rPr>
        <w:t> </w:t>
      </w:r>
      <w:r>
        <w:rPr>
          <w:sz w:val="20"/>
        </w:rPr>
        <w:t>additional investment under MP II or from its IT/IM strategy envelope is expected in 2023.</w:t>
      </w:r>
    </w:p>
    <w:p>
      <w:pPr>
        <w:pStyle w:val="BodyText"/>
        <w:rPr>
          <w:sz w:val="22"/>
        </w:rPr>
      </w:pPr>
    </w:p>
    <w:p>
      <w:pPr>
        <w:pStyle w:val="BodyText"/>
        <w:spacing w:before="5"/>
        <w:rPr>
          <w:sz w:val="29"/>
        </w:rPr>
      </w:pPr>
    </w:p>
    <w:p>
      <w:pPr>
        <w:pStyle w:val="Heading1"/>
        <w:spacing w:before="1"/>
      </w:pPr>
      <w:r>
        <w:rPr/>
        <w:t>Annex</w:t>
      </w:r>
      <w:r>
        <w:rPr>
          <w:spacing w:val="-5"/>
        </w:rPr>
        <w:t> </w:t>
      </w:r>
      <w:r>
        <w:rPr/>
        <w:t>IX</w:t>
      </w:r>
      <w:r>
        <w:rPr>
          <w:spacing w:val="-4"/>
        </w:rPr>
        <w:t> </w:t>
      </w:r>
      <w:r>
        <w:rPr>
          <w:spacing w:val="-5"/>
        </w:rPr>
        <w:t>(b)</w:t>
      </w:r>
    </w:p>
    <w:p>
      <w:pPr>
        <w:spacing w:line="261" w:lineRule="auto" w:before="239"/>
        <w:ind w:left="2957" w:right="2195" w:firstLine="0"/>
        <w:jc w:val="left"/>
        <w:rPr>
          <w:b/>
          <w:sz w:val="28"/>
        </w:rPr>
      </w:pPr>
      <w:bookmarkStart w:name="_bookmark85" w:id="86"/>
      <w:bookmarkEnd w:id="86"/>
      <w:r>
        <w:rPr/>
      </w:r>
      <w:r>
        <w:rPr>
          <w:b/>
          <w:sz w:val="28"/>
        </w:rPr>
        <w:t>Court-wide</w:t>
      </w:r>
      <w:r>
        <w:rPr>
          <w:b/>
          <w:spacing w:val="40"/>
          <w:sz w:val="28"/>
        </w:rPr>
        <w:t> </w:t>
      </w:r>
      <w:r>
        <w:rPr>
          <w:b/>
          <w:sz w:val="28"/>
        </w:rPr>
        <w:t>Information</w:t>
      </w:r>
      <w:r>
        <w:rPr>
          <w:b/>
          <w:spacing w:val="40"/>
          <w:sz w:val="28"/>
        </w:rPr>
        <w:t> </w:t>
      </w:r>
      <w:r>
        <w:rPr>
          <w:b/>
          <w:sz w:val="28"/>
        </w:rPr>
        <w:t>Technology</w:t>
      </w:r>
      <w:r>
        <w:rPr>
          <w:b/>
          <w:spacing w:val="40"/>
          <w:sz w:val="28"/>
        </w:rPr>
        <w:t> </w:t>
      </w:r>
      <w:r>
        <w:rPr>
          <w:b/>
          <w:sz w:val="28"/>
        </w:rPr>
        <w:t>and</w:t>
      </w:r>
      <w:r>
        <w:rPr>
          <w:b/>
          <w:spacing w:val="40"/>
          <w:sz w:val="28"/>
        </w:rPr>
        <w:t> </w:t>
      </w:r>
      <w:r>
        <w:rPr>
          <w:b/>
          <w:sz w:val="28"/>
        </w:rPr>
        <w:t>Information Management (IT/IM) costs</w:t>
      </w:r>
    </w:p>
    <w:p>
      <w:pPr>
        <w:pStyle w:val="ListParagraph"/>
        <w:numPr>
          <w:ilvl w:val="0"/>
          <w:numId w:val="128"/>
        </w:numPr>
        <w:tabs>
          <w:tab w:pos="2966" w:val="left" w:leader="none"/>
          <w:tab w:pos="2967" w:val="left" w:leader="none"/>
        </w:tabs>
        <w:spacing w:line="240" w:lineRule="auto" w:before="237" w:after="0"/>
        <w:ind w:left="2246" w:right="2243" w:firstLine="0"/>
        <w:jc w:val="both"/>
        <w:rPr>
          <w:sz w:val="20"/>
        </w:rPr>
      </w:pPr>
      <w:r>
        <w:rPr>
          <w:sz w:val="20"/>
        </w:rPr>
        <w:t>This annex provides a consolidated view of IT/IM staff and non-staff costs across all Major Programmes. The categories of IT/IM costs detailed in this annex include both recurrent and non-recurrent costs. For the purposes of transparency, the Court details both costs:</w:t>
      </w:r>
      <w:r>
        <w:rPr>
          <w:spacing w:val="-13"/>
          <w:sz w:val="20"/>
        </w:rPr>
        <w:t> </w:t>
      </w:r>
      <w:r>
        <w:rPr>
          <w:sz w:val="20"/>
        </w:rPr>
        <w:t>recurrent</w:t>
      </w:r>
      <w:r>
        <w:rPr>
          <w:spacing w:val="-12"/>
          <w:sz w:val="20"/>
        </w:rPr>
        <w:t> </w:t>
      </w:r>
      <w:r>
        <w:rPr>
          <w:sz w:val="20"/>
        </w:rPr>
        <w:t>costs,</w:t>
      </w:r>
      <w:r>
        <w:rPr>
          <w:spacing w:val="-11"/>
          <w:sz w:val="20"/>
        </w:rPr>
        <w:t> </w:t>
      </w:r>
      <w:r>
        <w:rPr>
          <w:sz w:val="20"/>
        </w:rPr>
        <w:t>i.e.</w:t>
      </w:r>
      <w:r>
        <w:rPr>
          <w:spacing w:val="-11"/>
          <w:sz w:val="20"/>
        </w:rPr>
        <w:t> </w:t>
      </w:r>
      <w:r>
        <w:rPr>
          <w:sz w:val="20"/>
        </w:rPr>
        <w:t>“lights-on</w:t>
      </w:r>
      <w:r>
        <w:rPr>
          <w:spacing w:val="-13"/>
          <w:sz w:val="20"/>
        </w:rPr>
        <w:t> </w:t>
      </w:r>
      <w:r>
        <w:rPr>
          <w:sz w:val="20"/>
        </w:rPr>
        <w:t>costs”,</w:t>
      </w:r>
      <w:r>
        <w:rPr>
          <w:spacing w:val="-6"/>
          <w:sz w:val="20"/>
        </w:rPr>
        <w:t> </w:t>
      </w:r>
      <w:r>
        <w:rPr>
          <w:sz w:val="20"/>
        </w:rPr>
        <w:t>which</w:t>
      </w:r>
      <w:r>
        <w:rPr>
          <w:spacing w:val="-13"/>
          <w:sz w:val="20"/>
        </w:rPr>
        <w:t> </w:t>
      </w:r>
      <w:r>
        <w:rPr>
          <w:sz w:val="20"/>
        </w:rPr>
        <w:t>continue</w:t>
      </w:r>
      <w:r>
        <w:rPr>
          <w:spacing w:val="-12"/>
          <w:sz w:val="20"/>
        </w:rPr>
        <w:t> </w:t>
      </w:r>
      <w:r>
        <w:rPr>
          <w:sz w:val="20"/>
        </w:rPr>
        <w:t>year</w:t>
      </w:r>
      <w:r>
        <w:rPr>
          <w:spacing w:val="-9"/>
          <w:sz w:val="20"/>
        </w:rPr>
        <w:t> </w:t>
      </w:r>
      <w:r>
        <w:rPr>
          <w:sz w:val="20"/>
        </w:rPr>
        <w:t>after</w:t>
      </w:r>
      <w:r>
        <w:rPr>
          <w:spacing w:val="-9"/>
          <w:sz w:val="20"/>
        </w:rPr>
        <w:t> </w:t>
      </w:r>
      <w:r>
        <w:rPr>
          <w:sz w:val="20"/>
        </w:rPr>
        <w:t>year,</w:t>
      </w:r>
      <w:r>
        <w:rPr>
          <w:spacing w:val="-12"/>
          <w:sz w:val="20"/>
        </w:rPr>
        <w:t> </w:t>
      </w:r>
      <w:r>
        <w:rPr>
          <w:sz w:val="20"/>
        </w:rPr>
        <w:t>and</w:t>
      </w:r>
      <w:r>
        <w:rPr>
          <w:spacing w:val="-9"/>
          <w:sz w:val="20"/>
        </w:rPr>
        <w:t> </w:t>
      </w:r>
      <w:r>
        <w:rPr>
          <w:sz w:val="20"/>
        </w:rPr>
        <w:t>non-recurrent costs, which are specific to a defined time, such as the calendar or budget year.</w:t>
      </w:r>
    </w:p>
    <w:p>
      <w:pPr>
        <w:pStyle w:val="ListParagraph"/>
        <w:numPr>
          <w:ilvl w:val="0"/>
          <w:numId w:val="128"/>
        </w:numPr>
        <w:tabs>
          <w:tab w:pos="2966" w:val="left" w:leader="none"/>
          <w:tab w:pos="2967" w:val="left" w:leader="none"/>
        </w:tabs>
        <w:spacing w:line="240" w:lineRule="auto" w:before="122" w:after="0"/>
        <w:ind w:left="2246" w:right="2241" w:firstLine="0"/>
        <w:jc w:val="both"/>
        <w:rPr>
          <w:sz w:val="20"/>
        </w:rPr>
      </w:pPr>
      <w:r>
        <w:rPr>
          <w:sz w:val="20"/>
        </w:rPr>
        <w:t>Recurrent costs include both staff</w:t>
      </w:r>
      <w:r>
        <w:rPr>
          <w:spacing w:val="-4"/>
          <w:sz w:val="20"/>
        </w:rPr>
        <w:t> </w:t>
      </w:r>
      <w:r>
        <w:rPr>
          <w:sz w:val="20"/>
        </w:rPr>
        <w:t>and non-staff</w:t>
      </w:r>
      <w:r>
        <w:rPr>
          <w:spacing w:val="-4"/>
          <w:sz w:val="20"/>
        </w:rPr>
        <w:t> </w:t>
      </w:r>
      <w:r>
        <w:rPr>
          <w:sz w:val="20"/>
        </w:rPr>
        <w:t>costs required to sustain the IT/IM services,</w:t>
      </w:r>
      <w:r>
        <w:rPr>
          <w:spacing w:val="-15"/>
          <w:sz w:val="20"/>
        </w:rPr>
        <w:t> </w:t>
      </w:r>
      <w:r>
        <w:rPr>
          <w:sz w:val="20"/>
        </w:rPr>
        <w:t>systems</w:t>
      </w:r>
      <w:r>
        <w:rPr>
          <w:spacing w:val="-12"/>
          <w:sz w:val="20"/>
        </w:rPr>
        <w:t> </w:t>
      </w:r>
      <w:r>
        <w:rPr>
          <w:sz w:val="20"/>
        </w:rPr>
        <w:t>and</w:t>
      </w:r>
      <w:r>
        <w:rPr>
          <w:spacing w:val="-13"/>
          <w:sz w:val="20"/>
        </w:rPr>
        <w:t> </w:t>
      </w:r>
      <w:r>
        <w:rPr>
          <w:sz w:val="20"/>
        </w:rPr>
        <w:t>infrastructure</w:t>
      </w:r>
      <w:r>
        <w:rPr>
          <w:spacing w:val="-12"/>
          <w:sz w:val="20"/>
        </w:rPr>
        <w:t> </w:t>
      </w:r>
      <w:r>
        <w:rPr>
          <w:sz w:val="20"/>
        </w:rPr>
        <w:t>currently</w:t>
      </w:r>
      <w:r>
        <w:rPr>
          <w:spacing w:val="-13"/>
          <w:sz w:val="20"/>
        </w:rPr>
        <w:t> </w:t>
      </w:r>
      <w:r>
        <w:rPr>
          <w:sz w:val="20"/>
        </w:rPr>
        <w:t>in</w:t>
      </w:r>
      <w:r>
        <w:rPr>
          <w:spacing w:val="-12"/>
          <w:sz w:val="20"/>
        </w:rPr>
        <w:t> </w:t>
      </w:r>
      <w:r>
        <w:rPr>
          <w:sz w:val="20"/>
        </w:rPr>
        <w:t>use</w:t>
      </w:r>
      <w:r>
        <w:rPr>
          <w:spacing w:val="-13"/>
          <w:sz w:val="20"/>
        </w:rPr>
        <w:t> </w:t>
      </w:r>
      <w:r>
        <w:rPr>
          <w:sz w:val="20"/>
        </w:rPr>
        <w:t>to</w:t>
      </w:r>
      <w:r>
        <w:rPr>
          <w:spacing w:val="-12"/>
          <w:sz w:val="20"/>
        </w:rPr>
        <w:t> </w:t>
      </w:r>
      <w:r>
        <w:rPr>
          <w:sz w:val="20"/>
        </w:rPr>
        <w:t>support</w:t>
      </w:r>
      <w:r>
        <w:rPr>
          <w:spacing w:val="-13"/>
          <w:sz w:val="20"/>
        </w:rPr>
        <w:t> </w:t>
      </w:r>
      <w:r>
        <w:rPr>
          <w:sz w:val="20"/>
        </w:rPr>
        <w:t>daily</w:t>
      </w:r>
      <w:r>
        <w:rPr>
          <w:spacing w:val="-12"/>
          <w:sz w:val="20"/>
        </w:rPr>
        <w:t> </w:t>
      </w:r>
      <w:r>
        <w:rPr>
          <w:sz w:val="20"/>
        </w:rPr>
        <w:t>Court</w:t>
      </w:r>
      <w:r>
        <w:rPr>
          <w:spacing w:val="-13"/>
          <w:sz w:val="20"/>
        </w:rPr>
        <w:t> </w:t>
      </w:r>
      <w:r>
        <w:rPr>
          <w:sz w:val="20"/>
        </w:rPr>
        <w:t>activities.</w:t>
      </w:r>
      <w:r>
        <w:rPr>
          <w:spacing w:val="-11"/>
          <w:sz w:val="20"/>
        </w:rPr>
        <w:t> </w:t>
      </w:r>
      <w:r>
        <w:rPr>
          <w:sz w:val="20"/>
        </w:rPr>
        <w:t>For</w:t>
      </w:r>
      <w:r>
        <w:rPr>
          <w:spacing w:val="-12"/>
          <w:sz w:val="20"/>
        </w:rPr>
        <w:t> </w:t>
      </w:r>
      <w:r>
        <w:rPr>
          <w:sz w:val="20"/>
        </w:rPr>
        <w:t>staff costs,</w:t>
      </w:r>
      <w:r>
        <w:rPr>
          <w:spacing w:val="-1"/>
          <w:sz w:val="20"/>
        </w:rPr>
        <w:t> </w:t>
      </w:r>
      <w:r>
        <w:rPr>
          <w:sz w:val="20"/>
        </w:rPr>
        <w:t>lights-on IT/IM spending includes established</w:t>
      </w:r>
      <w:r>
        <w:rPr>
          <w:spacing w:val="-4"/>
          <w:sz w:val="20"/>
        </w:rPr>
        <w:t> </w:t>
      </w:r>
      <w:r>
        <w:rPr>
          <w:sz w:val="20"/>
        </w:rPr>
        <w:t>posts and general</w:t>
      </w:r>
      <w:r>
        <w:rPr>
          <w:spacing w:val="-2"/>
          <w:sz w:val="20"/>
        </w:rPr>
        <w:t> </w:t>
      </w:r>
      <w:r>
        <w:rPr>
          <w:sz w:val="20"/>
        </w:rPr>
        <w:t>temporary</w:t>
      </w:r>
      <w:r>
        <w:rPr>
          <w:spacing w:val="-4"/>
          <w:sz w:val="20"/>
        </w:rPr>
        <w:t> </w:t>
      </w:r>
      <w:r>
        <w:rPr>
          <w:sz w:val="20"/>
        </w:rPr>
        <w:t>assistance (GTA)</w:t>
      </w:r>
      <w:r>
        <w:rPr>
          <w:spacing w:val="-10"/>
          <w:sz w:val="20"/>
        </w:rPr>
        <w:t> </w:t>
      </w:r>
      <w:r>
        <w:rPr>
          <w:sz w:val="20"/>
        </w:rPr>
        <w:t>positions</w:t>
      </w:r>
      <w:r>
        <w:rPr>
          <w:spacing w:val="-13"/>
          <w:sz w:val="20"/>
        </w:rPr>
        <w:t> </w:t>
      </w:r>
      <w:r>
        <w:rPr>
          <w:sz w:val="20"/>
        </w:rPr>
        <w:t>in</w:t>
      </w:r>
      <w:r>
        <w:rPr>
          <w:spacing w:val="-7"/>
          <w:sz w:val="20"/>
        </w:rPr>
        <w:t> </w:t>
      </w:r>
      <w:r>
        <w:rPr>
          <w:sz w:val="20"/>
        </w:rPr>
        <w:t>the</w:t>
      </w:r>
      <w:r>
        <w:rPr>
          <w:spacing w:val="-7"/>
          <w:sz w:val="20"/>
        </w:rPr>
        <w:t> </w:t>
      </w:r>
      <w:r>
        <w:rPr>
          <w:sz w:val="20"/>
        </w:rPr>
        <w:t>Registry</w:t>
      </w:r>
      <w:r>
        <w:rPr>
          <w:spacing w:val="-8"/>
          <w:sz w:val="20"/>
        </w:rPr>
        <w:t> </w:t>
      </w:r>
      <w:r>
        <w:rPr>
          <w:sz w:val="20"/>
        </w:rPr>
        <w:t>and</w:t>
      </w:r>
      <w:r>
        <w:rPr>
          <w:spacing w:val="-13"/>
          <w:sz w:val="20"/>
        </w:rPr>
        <w:t> </w:t>
      </w:r>
      <w:r>
        <w:rPr>
          <w:sz w:val="20"/>
        </w:rPr>
        <w:t>in</w:t>
      </w:r>
      <w:r>
        <w:rPr>
          <w:spacing w:val="-7"/>
          <w:sz w:val="20"/>
        </w:rPr>
        <w:t> </w:t>
      </w:r>
      <w:r>
        <w:rPr>
          <w:sz w:val="20"/>
        </w:rPr>
        <w:t>the</w:t>
      </w:r>
      <w:r>
        <w:rPr>
          <w:spacing w:val="-7"/>
          <w:sz w:val="20"/>
        </w:rPr>
        <w:t> </w:t>
      </w:r>
      <w:r>
        <w:rPr>
          <w:sz w:val="20"/>
        </w:rPr>
        <w:t>Office</w:t>
      </w:r>
      <w:r>
        <w:rPr>
          <w:spacing w:val="-7"/>
          <w:sz w:val="20"/>
        </w:rPr>
        <w:t> </w:t>
      </w:r>
      <w:r>
        <w:rPr>
          <w:sz w:val="20"/>
        </w:rPr>
        <w:t>of</w:t>
      </w:r>
      <w:r>
        <w:rPr>
          <w:spacing w:val="-8"/>
          <w:sz w:val="20"/>
        </w:rPr>
        <w:t> </w:t>
      </w:r>
      <w:r>
        <w:rPr>
          <w:sz w:val="20"/>
        </w:rPr>
        <w:t>the</w:t>
      </w:r>
      <w:r>
        <w:rPr>
          <w:spacing w:val="-7"/>
          <w:sz w:val="20"/>
        </w:rPr>
        <w:t> </w:t>
      </w:r>
      <w:r>
        <w:rPr>
          <w:sz w:val="20"/>
        </w:rPr>
        <w:t>Prosecutor</w:t>
      </w:r>
      <w:r>
        <w:rPr>
          <w:spacing w:val="-13"/>
          <w:sz w:val="20"/>
        </w:rPr>
        <w:t> </w:t>
      </w:r>
      <w:r>
        <w:rPr>
          <w:sz w:val="20"/>
        </w:rPr>
        <w:t>(OTP)</w:t>
      </w:r>
      <w:r>
        <w:rPr>
          <w:spacing w:val="-7"/>
          <w:sz w:val="20"/>
        </w:rPr>
        <w:t> </w:t>
      </w:r>
      <w:r>
        <w:rPr>
          <w:sz w:val="20"/>
        </w:rPr>
        <w:t>which</w:t>
      </w:r>
      <w:r>
        <w:rPr>
          <w:spacing w:val="-13"/>
          <w:sz w:val="20"/>
        </w:rPr>
        <w:t> </w:t>
      </w:r>
      <w:r>
        <w:rPr>
          <w:sz w:val="20"/>
        </w:rPr>
        <w:t>are</w:t>
      </w:r>
      <w:r>
        <w:rPr>
          <w:spacing w:val="-6"/>
          <w:sz w:val="20"/>
        </w:rPr>
        <w:t> </w:t>
      </w:r>
      <w:r>
        <w:rPr>
          <w:sz w:val="20"/>
        </w:rPr>
        <w:t>required to support the Court’s IT/IM systems and services. The Information Management Services Section (IMSS) budget also includes temporary assistance for meetings and overtime to conduct system maintenance that cannot be performed during regular operational hours. Non-staff lights-on IT/IM expenditure is defined as all expenditures required to support the current state of Court operations</w:t>
      </w:r>
      <w:r>
        <w:rPr>
          <w:spacing w:val="-5"/>
          <w:sz w:val="20"/>
        </w:rPr>
        <w:t> </w:t>
      </w:r>
      <w:r>
        <w:rPr>
          <w:sz w:val="20"/>
        </w:rPr>
        <w:t>and activities; this includes</w:t>
      </w:r>
      <w:r>
        <w:rPr>
          <w:spacing w:val="-5"/>
          <w:sz w:val="20"/>
        </w:rPr>
        <w:t> </w:t>
      </w:r>
      <w:r>
        <w:rPr>
          <w:sz w:val="20"/>
        </w:rPr>
        <w:t>expenditure for travel (specific to the maintenance of the Court’s IT/IM systems), contractual services, training, general operating</w:t>
      </w:r>
      <w:r>
        <w:rPr>
          <w:spacing w:val="-8"/>
          <w:sz w:val="20"/>
        </w:rPr>
        <w:t> </w:t>
      </w:r>
      <w:r>
        <w:rPr>
          <w:sz w:val="20"/>
        </w:rPr>
        <w:t>expenses</w:t>
      </w:r>
      <w:r>
        <w:rPr>
          <w:spacing w:val="-10"/>
          <w:sz w:val="20"/>
        </w:rPr>
        <w:t> </w:t>
      </w:r>
      <w:r>
        <w:rPr>
          <w:sz w:val="20"/>
        </w:rPr>
        <w:t>(on</w:t>
      </w:r>
      <w:r>
        <w:rPr>
          <w:spacing w:val="-8"/>
          <w:sz w:val="20"/>
        </w:rPr>
        <w:t> </w:t>
      </w:r>
      <w:r>
        <w:rPr>
          <w:sz w:val="20"/>
        </w:rPr>
        <w:t>communications,</w:t>
      </w:r>
      <w:r>
        <w:rPr>
          <w:spacing w:val="-6"/>
          <w:sz w:val="20"/>
        </w:rPr>
        <w:t> </w:t>
      </w:r>
      <w:r>
        <w:rPr>
          <w:sz w:val="20"/>
        </w:rPr>
        <w:t>rental</w:t>
      </w:r>
      <w:r>
        <w:rPr>
          <w:spacing w:val="-7"/>
          <w:sz w:val="20"/>
        </w:rPr>
        <w:t> </w:t>
      </w:r>
      <w:r>
        <w:rPr>
          <w:sz w:val="20"/>
        </w:rPr>
        <w:t>and</w:t>
      </w:r>
      <w:r>
        <w:rPr>
          <w:spacing w:val="-8"/>
          <w:sz w:val="20"/>
        </w:rPr>
        <w:t> </w:t>
      </w:r>
      <w:r>
        <w:rPr>
          <w:sz w:val="20"/>
        </w:rPr>
        <w:t>maintenance</w:t>
      </w:r>
      <w:r>
        <w:rPr>
          <w:spacing w:val="-7"/>
          <w:sz w:val="20"/>
        </w:rPr>
        <w:t> </w:t>
      </w:r>
      <w:r>
        <w:rPr>
          <w:sz w:val="20"/>
        </w:rPr>
        <w:t>of</w:t>
      </w:r>
      <w:r>
        <w:rPr>
          <w:spacing w:val="-8"/>
          <w:sz w:val="20"/>
        </w:rPr>
        <w:t> </w:t>
      </w:r>
      <w:r>
        <w:rPr>
          <w:sz w:val="20"/>
        </w:rPr>
        <w:t>furniture</w:t>
      </w:r>
      <w:r>
        <w:rPr>
          <w:spacing w:val="-7"/>
          <w:sz w:val="20"/>
        </w:rPr>
        <w:t> </w:t>
      </w:r>
      <w:r>
        <w:rPr>
          <w:sz w:val="20"/>
        </w:rPr>
        <w:t>and</w:t>
      </w:r>
      <w:r>
        <w:rPr>
          <w:spacing w:val="-13"/>
          <w:sz w:val="20"/>
        </w:rPr>
        <w:t> </w:t>
      </w:r>
      <w:r>
        <w:rPr>
          <w:sz w:val="20"/>
        </w:rPr>
        <w:t>equipment, cloud-based subscriptions for software and infrastructure solutions, etc.), supplies and materials, and furniture and equipment.</w:t>
      </w:r>
    </w:p>
    <w:p>
      <w:pPr>
        <w:pStyle w:val="ListParagraph"/>
        <w:numPr>
          <w:ilvl w:val="0"/>
          <w:numId w:val="128"/>
        </w:numPr>
        <w:tabs>
          <w:tab w:pos="2966" w:val="left" w:leader="none"/>
          <w:tab w:pos="2967" w:val="left" w:leader="none"/>
        </w:tabs>
        <w:spacing w:line="240" w:lineRule="auto" w:before="117" w:after="0"/>
        <w:ind w:left="2246" w:right="2239" w:firstLine="0"/>
        <w:jc w:val="both"/>
        <w:rPr>
          <w:sz w:val="20"/>
        </w:rPr>
      </w:pPr>
      <w:r>
        <w:rPr>
          <w:sz w:val="20"/>
        </w:rPr>
        <w:t>Non-recurrent</w:t>
      </w:r>
      <w:r>
        <w:rPr>
          <w:spacing w:val="-1"/>
          <w:sz w:val="20"/>
        </w:rPr>
        <w:t> </w:t>
      </w:r>
      <w:r>
        <w:rPr>
          <w:sz w:val="20"/>
        </w:rPr>
        <w:t>costs</w:t>
      </w:r>
      <w:r>
        <w:rPr>
          <w:spacing w:val="-4"/>
          <w:sz w:val="20"/>
        </w:rPr>
        <w:t> </w:t>
      </w:r>
      <w:r>
        <w:rPr>
          <w:sz w:val="20"/>
        </w:rPr>
        <w:t>are</w:t>
      </w:r>
      <w:r>
        <w:rPr>
          <w:spacing w:val="-1"/>
          <w:sz w:val="20"/>
        </w:rPr>
        <w:t> </w:t>
      </w:r>
      <w:r>
        <w:rPr>
          <w:sz w:val="20"/>
        </w:rPr>
        <w:t>costs</w:t>
      </w:r>
      <w:r>
        <w:rPr>
          <w:spacing w:val="-4"/>
          <w:sz w:val="20"/>
        </w:rPr>
        <w:t> </w:t>
      </w:r>
      <w:r>
        <w:rPr>
          <w:sz w:val="20"/>
        </w:rPr>
        <w:t>that</w:t>
      </w:r>
      <w:r>
        <w:rPr>
          <w:spacing w:val="-1"/>
          <w:sz w:val="20"/>
        </w:rPr>
        <w:t> </w:t>
      </w:r>
      <w:r>
        <w:rPr>
          <w:sz w:val="20"/>
        </w:rPr>
        <w:t>are</w:t>
      </w:r>
      <w:r>
        <w:rPr>
          <w:spacing w:val="-1"/>
          <w:sz w:val="20"/>
        </w:rPr>
        <w:t> </w:t>
      </w:r>
      <w:r>
        <w:rPr>
          <w:sz w:val="20"/>
        </w:rPr>
        <w:t>independent</w:t>
      </w:r>
      <w:r>
        <w:rPr>
          <w:spacing w:val="-1"/>
          <w:sz w:val="20"/>
        </w:rPr>
        <w:t> </w:t>
      </w:r>
      <w:r>
        <w:rPr>
          <w:sz w:val="20"/>
        </w:rPr>
        <w:t>of</w:t>
      </w:r>
      <w:r>
        <w:rPr>
          <w:spacing w:val="-3"/>
          <w:sz w:val="20"/>
        </w:rPr>
        <w:t> </w:t>
      </w:r>
      <w:r>
        <w:rPr>
          <w:sz w:val="20"/>
        </w:rPr>
        <w:t>the</w:t>
      </w:r>
      <w:r>
        <w:rPr>
          <w:spacing w:val="-1"/>
          <w:sz w:val="20"/>
        </w:rPr>
        <w:t> </w:t>
      </w:r>
      <w:r>
        <w:rPr>
          <w:sz w:val="20"/>
        </w:rPr>
        <w:t>lights-on or</w:t>
      </w:r>
      <w:r>
        <w:rPr>
          <w:spacing w:val="-3"/>
          <w:sz w:val="20"/>
        </w:rPr>
        <w:t> </w:t>
      </w:r>
      <w:r>
        <w:rPr>
          <w:sz w:val="20"/>
        </w:rPr>
        <w:t>baseline</w:t>
      </w:r>
      <w:r>
        <w:rPr>
          <w:spacing w:val="-1"/>
          <w:sz w:val="20"/>
        </w:rPr>
        <w:t> </w:t>
      </w:r>
      <w:r>
        <w:rPr>
          <w:sz w:val="20"/>
        </w:rPr>
        <w:t>costs and are typically asset-based investments. They are categorized as follows:</w:t>
      </w:r>
    </w:p>
    <w:p>
      <w:pPr>
        <w:pStyle w:val="ListParagraph"/>
        <w:numPr>
          <w:ilvl w:val="1"/>
          <w:numId w:val="128"/>
        </w:numPr>
        <w:tabs>
          <w:tab w:pos="3686" w:val="left" w:leader="none"/>
          <w:tab w:pos="3687" w:val="left" w:leader="none"/>
        </w:tabs>
        <w:spacing w:line="240" w:lineRule="auto" w:before="122" w:after="0"/>
        <w:ind w:left="2933" w:right="2244" w:firstLine="0"/>
        <w:jc w:val="both"/>
        <w:rPr>
          <w:sz w:val="20"/>
        </w:rPr>
      </w:pPr>
      <w:r>
        <w:rPr>
          <w:sz w:val="20"/>
        </w:rPr>
        <w:t>Strategic investment: staff and non-staff costs required to realize the strategic</w:t>
      </w:r>
      <w:r>
        <w:rPr>
          <w:spacing w:val="-13"/>
          <w:sz w:val="20"/>
        </w:rPr>
        <w:t> </w:t>
      </w:r>
      <w:r>
        <w:rPr>
          <w:sz w:val="20"/>
        </w:rPr>
        <w:t>objectives</w:t>
      </w:r>
      <w:r>
        <w:rPr>
          <w:spacing w:val="-12"/>
          <w:sz w:val="20"/>
        </w:rPr>
        <w:t> </w:t>
      </w:r>
      <w:r>
        <w:rPr>
          <w:sz w:val="20"/>
        </w:rPr>
        <w:t>and</w:t>
      </w:r>
      <w:r>
        <w:rPr>
          <w:spacing w:val="-13"/>
          <w:sz w:val="20"/>
        </w:rPr>
        <w:t> </w:t>
      </w:r>
      <w:r>
        <w:rPr>
          <w:sz w:val="20"/>
        </w:rPr>
        <w:t>complete</w:t>
      </w:r>
      <w:r>
        <w:rPr>
          <w:spacing w:val="-12"/>
          <w:sz w:val="20"/>
        </w:rPr>
        <w:t> </w:t>
      </w:r>
      <w:r>
        <w:rPr>
          <w:sz w:val="20"/>
        </w:rPr>
        <w:t>the</w:t>
      </w:r>
      <w:r>
        <w:rPr>
          <w:spacing w:val="-12"/>
          <w:sz w:val="20"/>
        </w:rPr>
        <w:t> </w:t>
      </w:r>
      <w:r>
        <w:rPr>
          <w:sz w:val="20"/>
        </w:rPr>
        <w:t>initiatives</w:t>
      </w:r>
      <w:r>
        <w:rPr>
          <w:spacing w:val="-11"/>
          <w:sz w:val="20"/>
        </w:rPr>
        <w:t> </w:t>
      </w:r>
      <w:r>
        <w:rPr>
          <w:sz w:val="20"/>
        </w:rPr>
        <w:t>endorsed</w:t>
      </w:r>
      <w:r>
        <w:rPr>
          <w:spacing w:val="-13"/>
          <w:sz w:val="20"/>
        </w:rPr>
        <w:t> </w:t>
      </w:r>
      <w:r>
        <w:rPr>
          <w:sz w:val="20"/>
        </w:rPr>
        <w:t>by</w:t>
      </w:r>
      <w:r>
        <w:rPr>
          <w:spacing w:val="-9"/>
          <w:sz w:val="20"/>
        </w:rPr>
        <w:t> </w:t>
      </w:r>
      <w:r>
        <w:rPr>
          <w:sz w:val="20"/>
        </w:rPr>
        <w:t>the</w:t>
      </w:r>
      <w:r>
        <w:rPr>
          <w:spacing w:val="-8"/>
          <w:sz w:val="20"/>
        </w:rPr>
        <w:t> </w:t>
      </w:r>
      <w:r>
        <w:rPr>
          <w:sz w:val="20"/>
        </w:rPr>
        <w:t>Court’s</w:t>
      </w:r>
      <w:r>
        <w:rPr>
          <w:spacing w:val="-11"/>
          <w:sz w:val="20"/>
        </w:rPr>
        <w:t> </w:t>
      </w:r>
      <w:r>
        <w:rPr>
          <w:sz w:val="20"/>
        </w:rPr>
        <w:t>Information Management Governance Board (IMGB). Costs for strategic investment include purchase of hardware, licensing of software and contractual services. Ongoing operational costs, such as licensing and support from year two, are included in the Court’s lights-on costs;</w:t>
      </w:r>
    </w:p>
    <w:p>
      <w:pPr>
        <w:pStyle w:val="ListParagraph"/>
        <w:numPr>
          <w:ilvl w:val="1"/>
          <w:numId w:val="128"/>
        </w:numPr>
        <w:tabs>
          <w:tab w:pos="3686" w:val="left" w:leader="none"/>
          <w:tab w:pos="3687" w:val="left" w:leader="none"/>
        </w:tabs>
        <w:spacing w:line="240" w:lineRule="auto" w:before="122" w:after="0"/>
        <w:ind w:left="2933" w:right="2238" w:firstLine="0"/>
        <w:jc w:val="both"/>
        <w:rPr>
          <w:sz w:val="20"/>
        </w:rPr>
      </w:pPr>
      <w:r>
        <w:rPr>
          <w:sz w:val="20"/>
        </w:rPr>
        <w:t>Capital replacement</w:t>
      </w:r>
      <w:r>
        <w:rPr>
          <w:spacing w:val="-4"/>
          <w:sz w:val="20"/>
        </w:rPr>
        <w:t> </w:t>
      </w:r>
      <w:r>
        <w:rPr>
          <w:sz w:val="20"/>
        </w:rPr>
        <w:t>investments: replacement</w:t>
      </w:r>
      <w:r>
        <w:rPr>
          <w:spacing w:val="-4"/>
          <w:sz w:val="20"/>
        </w:rPr>
        <w:t> </w:t>
      </w:r>
      <w:r>
        <w:rPr>
          <w:sz w:val="20"/>
        </w:rPr>
        <w:t>of</w:t>
      </w:r>
      <w:r>
        <w:rPr>
          <w:spacing w:val="-1"/>
          <w:sz w:val="20"/>
        </w:rPr>
        <w:t> </w:t>
      </w:r>
      <w:r>
        <w:rPr>
          <w:sz w:val="20"/>
        </w:rPr>
        <w:t>hardware</w:t>
      </w:r>
      <w:r>
        <w:rPr>
          <w:spacing w:val="-4"/>
          <w:sz w:val="20"/>
        </w:rPr>
        <w:t> </w:t>
      </w:r>
      <w:r>
        <w:rPr>
          <w:sz w:val="20"/>
        </w:rPr>
        <w:t>and</w:t>
      </w:r>
      <w:r>
        <w:rPr>
          <w:spacing w:val="-1"/>
          <w:sz w:val="20"/>
        </w:rPr>
        <w:t> </w:t>
      </w:r>
      <w:r>
        <w:rPr>
          <w:sz w:val="20"/>
        </w:rPr>
        <w:t>associated software assets due to physical expiry or technological obsolescence. Such expenditure is necessary for operational continuity and cybersecurity. For both, technological</w:t>
      </w:r>
      <w:r>
        <w:rPr>
          <w:spacing w:val="80"/>
          <w:sz w:val="20"/>
        </w:rPr>
        <w:t>  </w:t>
      </w:r>
      <w:r>
        <w:rPr>
          <w:sz w:val="20"/>
        </w:rPr>
        <w:t>obsolescence</w:t>
      </w:r>
      <w:r>
        <w:rPr>
          <w:spacing w:val="80"/>
          <w:sz w:val="20"/>
        </w:rPr>
        <w:t>  </w:t>
      </w:r>
      <w:r>
        <w:rPr>
          <w:sz w:val="20"/>
        </w:rPr>
        <w:t>is</w:t>
      </w:r>
      <w:r>
        <w:rPr>
          <w:spacing w:val="80"/>
          <w:sz w:val="20"/>
        </w:rPr>
        <w:t>  </w:t>
      </w:r>
      <w:r>
        <w:rPr>
          <w:sz w:val="20"/>
        </w:rPr>
        <w:t>the</w:t>
      </w:r>
      <w:r>
        <w:rPr>
          <w:spacing w:val="80"/>
          <w:sz w:val="20"/>
        </w:rPr>
        <w:t>  </w:t>
      </w:r>
      <w:r>
        <w:rPr>
          <w:sz w:val="20"/>
        </w:rPr>
        <w:t>primary</w:t>
      </w:r>
      <w:r>
        <w:rPr>
          <w:spacing w:val="80"/>
          <w:sz w:val="20"/>
        </w:rPr>
        <w:t>  </w:t>
      </w:r>
      <w:r>
        <w:rPr>
          <w:sz w:val="20"/>
        </w:rPr>
        <w:t>driver,</w:t>
      </w:r>
      <w:r>
        <w:rPr>
          <w:spacing w:val="80"/>
          <w:sz w:val="20"/>
        </w:rPr>
        <w:t>  </w:t>
      </w:r>
      <w:r>
        <w:rPr>
          <w:sz w:val="20"/>
        </w:rPr>
        <w:t>as</w:t>
      </w:r>
      <w:r>
        <w:rPr>
          <w:spacing w:val="80"/>
          <w:sz w:val="20"/>
        </w:rPr>
        <w:t>  </w:t>
      </w:r>
      <w:r>
        <w:rPr>
          <w:sz w:val="20"/>
        </w:rPr>
        <w:t>out-of-date,</w:t>
      </w:r>
    </w:p>
    <w:p>
      <w:pPr>
        <w:spacing w:after="0" w:line="240" w:lineRule="auto"/>
        <w:jc w:val="both"/>
        <w:rPr>
          <w:sz w:val="20"/>
        </w:rPr>
        <w:sectPr>
          <w:pgSz w:w="11910" w:h="16840"/>
          <w:pgMar w:header="953" w:footer="940" w:top="1140" w:bottom="1140" w:left="20" w:right="20"/>
        </w:sectPr>
      </w:pPr>
    </w:p>
    <w:p>
      <w:pPr>
        <w:pStyle w:val="BodyText"/>
        <w:spacing w:before="120"/>
        <w:ind w:left="2933" w:right="2236"/>
        <w:jc w:val="both"/>
      </w:pPr>
      <w:r>
        <w:rPr/>
        <w:t>vendor-unsupported hardware can only function using out-of-date, unsupported software; in other words, unsupported software is not updated to address vulnerabilities.</w:t>
      </w:r>
      <w:r>
        <w:rPr>
          <w:spacing w:val="40"/>
        </w:rPr>
        <w:t> </w:t>
      </w:r>
      <w:r>
        <w:rPr/>
        <w:t>The</w:t>
      </w:r>
      <w:r>
        <w:rPr>
          <w:spacing w:val="40"/>
        </w:rPr>
        <w:t> </w:t>
      </w:r>
      <w:r>
        <w:rPr/>
        <w:t>Court’s</w:t>
      </w:r>
      <w:r>
        <w:rPr>
          <w:spacing w:val="40"/>
        </w:rPr>
        <w:t> </w:t>
      </w:r>
      <w:r>
        <w:rPr/>
        <w:t>cybersecurity</w:t>
      </w:r>
      <w:r>
        <w:rPr>
          <w:spacing w:val="40"/>
        </w:rPr>
        <w:t> </w:t>
      </w:r>
      <w:r>
        <w:rPr/>
        <w:t>defences</w:t>
      </w:r>
      <w:r>
        <w:rPr>
          <w:spacing w:val="40"/>
        </w:rPr>
        <w:t> </w:t>
      </w:r>
      <w:r>
        <w:rPr/>
        <w:t>rely</w:t>
      </w:r>
      <w:r>
        <w:rPr>
          <w:spacing w:val="40"/>
        </w:rPr>
        <w:t> </w:t>
      </w:r>
      <w:r>
        <w:rPr/>
        <w:t>first</w:t>
      </w:r>
      <w:r>
        <w:rPr>
          <w:spacing w:val="40"/>
        </w:rPr>
        <w:t> </w:t>
      </w:r>
      <w:r>
        <w:rPr/>
        <w:t>and</w:t>
      </w:r>
      <w:r>
        <w:rPr>
          <w:spacing w:val="40"/>
        </w:rPr>
        <w:t> </w:t>
      </w:r>
      <w:r>
        <w:rPr/>
        <w:t>foremost</w:t>
      </w:r>
      <w:r>
        <w:rPr>
          <w:spacing w:val="40"/>
        </w:rPr>
        <w:t> </w:t>
      </w:r>
      <w:r>
        <w:rPr/>
        <w:t>on up-to-date software and hardware to mitigate vulnerabilities. For asset purchases, the Court maintains multi-year contracts for maintenance and support, included in the Court’s lights-on costs; and</w:t>
      </w:r>
    </w:p>
    <w:p>
      <w:pPr>
        <w:pStyle w:val="ListParagraph"/>
        <w:numPr>
          <w:ilvl w:val="1"/>
          <w:numId w:val="128"/>
        </w:numPr>
        <w:tabs>
          <w:tab w:pos="3686" w:val="left" w:leader="none"/>
          <w:tab w:pos="3687" w:val="left" w:leader="none"/>
        </w:tabs>
        <w:spacing w:line="240" w:lineRule="auto" w:before="123" w:after="0"/>
        <w:ind w:left="2933" w:right="2239" w:firstLine="0"/>
        <w:jc w:val="both"/>
        <w:rPr>
          <w:sz w:val="20"/>
        </w:rPr>
      </w:pPr>
      <w:r>
        <w:rPr>
          <w:sz w:val="20"/>
        </w:rPr>
        <w:t>Other tactical or operational needs: time-based actions that may require expenditures outside of the Court’s lights-on costs to address an operational or tactical need specific to a business area. Typically, larger, more complex and consequential</w:t>
      </w:r>
      <w:r>
        <w:rPr>
          <w:spacing w:val="-13"/>
          <w:sz w:val="20"/>
        </w:rPr>
        <w:t> </w:t>
      </w:r>
      <w:r>
        <w:rPr>
          <w:sz w:val="20"/>
        </w:rPr>
        <w:t>projects</w:t>
      </w:r>
      <w:r>
        <w:rPr>
          <w:spacing w:val="-12"/>
          <w:sz w:val="20"/>
        </w:rPr>
        <w:t> </w:t>
      </w:r>
      <w:r>
        <w:rPr>
          <w:sz w:val="20"/>
        </w:rPr>
        <w:t>are</w:t>
      </w:r>
      <w:r>
        <w:rPr>
          <w:spacing w:val="-13"/>
          <w:sz w:val="20"/>
        </w:rPr>
        <w:t> </w:t>
      </w:r>
      <w:r>
        <w:rPr>
          <w:sz w:val="20"/>
        </w:rPr>
        <w:t>included</w:t>
      </w:r>
      <w:r>
        <w:rPr>
          <w:spacing w:val="-12"/>
          <w:sz w:val="20"/>
        </w:rPr>
        <w:t> </w:t>
      </w:r>
      <w:r>
        <w:rPr>
          <w:sz w:val="20"/>
        </w:rPr>
        <w:t>in</w:t>
      </w:r>
      <w:r>
        <w:rPr>
          <w:spacing w:val="-13"/>
          <w:sz w:val="20"/>
        </w:rPr>
        <w:t> </w:t>
      </w:r>
      <w:r>
        <w:rPr>
          <w:sz w:val="20"/>
        </w:rPr>
        <w:t>the</w:t>
      </w:r>
      <w:r>
        <w:rPr>
          <w:spacing w:val="-12"/>
          <w:sz w:val="20"/>
        </w:rPr>
        <w:t> </w:t>
      </w:r>
      <w:r>
        <w:rPr>
          <w:sz w:val="20"/>
        </w:rPr>
        <w:t>strategy.</w:t>
      </w:r>
      <w:r>
        <w:rPr>
          <w:spacing w:val="-11"/>
          <w:sz w:val="20"/>
        </w:rPr>
        <w:t> </w:t>
      </w:r>
      <w:r>
        <w:rPr>
          <w:sz w:val="20"/>
        </w:rPr>
        <w:t>Non-recurrent</w:t>
      </w:r>
      <w:r>
        <w:rPr>
          <w:spacing w:val="-13"/>
          <w:sz w:val="20"/>
        </w:rPr>
        <w:t> </w:t>
      </w:r>
      <w:r>
        <w:rPr>
          <w:sz w:val="20"/>
        </w:rPr>
        <w:t>investments</w:t>
      </w:r>
      <w:r>
        <w:rPr>
          <w:spacing w:val="-12"/>
          <w:sz w:val="20"/>
        </w:rPr>
        <w:t> </w:t>
      </w:r>
      <w:r>
        <w:rPr>
          <w:sz w:val="20"/>
        </w:rPr>
        <w:t>in</w:t>
      </w:r>
      <w:r>
        <w:rPr>
          <w:spacing w:val="-13"/>
          <w:sz w:val="20"/>
        </w:rPr>
        <w:t> </w:t>
      </w:r>
      <w:r>
        <w:rPr>
          <w:sz w:val="20"/>
        </w:rPr>
        <w:t>this category</w:t>
      </w:r>
      <w:r>
        <w:rPr>
          <w:spacing w:val="-9"/>
          <w:sz w:val="20"/>
        </w:rPr>
        <w:t> </w:t>
      </w:r>
      <w:r>
        <w:rPr>
          <w:sz w:val="20"/>
        </w:rPr>
        <w:t>have</w:t>
      </w:r>
      <w:r>
        <w:rPr>
          <w:spacing w:val="-11"/>
          <w:sz w:val="20"/>
        </w:rPr>
        <w:t> </w:t>
      </w:r>
      <w:r>
        <w:rPr>
          <w:sz w:val="20"/>
        </w:rPr>
        <w:t>little</w:t>
      </w:r>
      <w:r>
        <w:rPr>
          <w:spacing w:val="-11"/>
          <w:sz w:val="20"/>
        </w:rPr>
        <w:t> </w:t>
      </w:r>
      <w:r>
        <w:rPr>
          <w:sz w:val="20"/>
        </w:rPr>
        <w:t>impact</w:t>
      </w:r>
      <w:r>
        <w:rPr>
          <w:spacing w:val="-12"/>
          <w:sz w:val="20"/>
        </w:rPr>
        <w:t> </w:t>
      </w:r>
      <w:r>
        <w:rPr>
          <w:sz w:val="20"/>
        </w:rPr>
        <w:t>on</w:t>
      </w:r>
      <w:r>
        <w:rPr>
          <w:spacing w:val="-13"/>
          <w:sz w:val="20"/>
        </w:rPr>
        <w:t> </w:t>
      </w:r>
      <w:r>
        <w:rPr>
          <w:sz w:val="20"/>
        </w:rPr>
        <w:t>the</w:t>
      </w:r>
      <w:r>
        <w:rPr>
          <w:spacing w:val="-11"/>
          <w:sz w:val="20"/>
        </w:rPr>
        <w:t> </w:t>
      </w:r>
      <w:r>
        <w:rPr>
          <w:sz w:val="20"/>
        </w:rPr>
        <w:t>Court’s</w:t>
      </w:r>
      <w:r>
        <w:rPr>
          <w:spacing w:val="-10"/>
          <w:sz w:val="20"/>
        </w:rPr>
        <w:t> </w:t>
      </w:r>
      <w:r>
        <w:rPr>
          <w:sz w:val="20"/>
        </w:rPr>
        <w:t>lights-on</w:t>
      </w:r>
      <w:r>
        <w:rPr>
          <w:spacing w:val="-13"/>
          <w:sz w:val="20"/>
        </w:rPr>
        <w:t> </w:t>
      </w:r>
      <w:r>
        <w:rPr>
          <w:sz w:val="20"/>
        </w:rPr>
        <w:t>costs.</w:t>
      </w:r>
      <w:r>
        <w:rPr>
          <w:spacing w:val="-11"/>
          <w:sz w:val="20"/>
        </w:rPr>
        <w:t> </w:t>
      </w:r>
      <w:r>
        <w:rPr>
          <w:sz w:val="20"/>
        </w:rPr>
        <w:t>Where</w:t>
      </w:r>
      <w:r>
        <w:rPr>
          <w:spacing w:val="-12"/>
          <w:sz w:val="20"/>
        </w:rPr>
        <w:t> </w:t>
      </w:r>
      <w:r>
        <w:rPr>
          <w:sz w:val="20"/>
        </w:rPr>
        <w:t>investment</w:t>
      </w:r>
      <w:r>
        <w:rPr>
          <w:spacing w:val="-7"/>
          <w:sz w:val="20"/>
        </w:rPr>
        <w:t> </w:t>
      </w:r>
      <w:r>
        <w:rPr>
          <w:sz w:val="20"/>
        </w:rPr>
        <w:t>exceeds a total cost (staff and non-staff) of €250.0 thousand over five years, endorsement from</w:t>
      </w:r>
      <w:r>
        <w:rPr>
          <w:spacing w:val="-7"/>
          <w:sz w:val="20"/>
        </w:rPr>
        <w:t> </w:t>
      </w:r>
      <w:r>
        <w:rPr>
          <w:sz w:val="20"/>
        </w:rPr>
        <w:t>the</w:t>
      </w:r>
      <w:r>
        <w:rPr>
          <w:spacing w:val="-7"/>
          <w:sz w:val="20"/>
        </w:rPr>
        <w:t> </w:t>
      </w:r>
      <w:r>
        <w:rPr>
          <w:sz w:val="20"/>
        </w:rPr>
        <w:t>IMGB</w:t>
      </w:r>
      <w:r>
        <w:rPr>
          <w:spacing w:val="-8"/>
          <w:sz w:val="20"/>
        </w:rPr>
        <w:t> </w:t>
      </w:r>
      <w:r>
        <w:rPr>
          <w:sz w:val="20"/>
        </w:rPr>
        <w:t>is</w:t>
      </w:r>
      <w:r>
        <w:rPr>
          <w:spacing w:val="-5"/>
          <w:sz w:val="20"/>
        </w:rPr>
        <w:t> </w:t>
      </w:r>
      <w:r>
        <w:rPr>
          <w:sz w:val="20"/>
        </w:rPr>
        <w:t>required</w:t>
      </w:r>
      <w:r>
        <w:rPr>
          <w:spacing w:val="-8"/>
          <w:sz w:val="20"/>
        </w:rPr>
        <w:t> </w:t>
      </w:r>
      <w:r>
        <w:rPr>
          <w:sz w:val="20"/>
        </w:rPr>
        <w:t>to</w:t>
      </w:r>
      <w:r>
        <w:rPr>
          <w:spacing w:val="-8"/>
          <w:sz w:val="20"/>
        </w:rPr>
        <w:t> </w:t>
      </w:r>
      <w:r>
        <w:rPr>
          <w:sz w:val="20"/>
        </w:rPr>
        <w:t>proceed.</w:t>
      </w:r>
      <w:r>
        <w:rPr>
          <w:spacing w:val="-11"/>
          <w:sz w:val="20"/>
        </w:rPr>
        <w:t> </w:t>
      </w:r>
      <w:r>
        <w:rPr>
          <w:sz w:val="20"/>
        </w:rPr>
        <w:t>The</w:t>
      </w:r>
      <w:r>
        <w:rPr>
          <w:spacing w:val="-7"/>
          <w:sz w:val="20"/>
        </w:rPr>
        <w:t> </w:t>
      </w:r>
      <w:r>
        <w:rPr>
          <w:sz w:val="20"/>
        </w:rPr>
        <w:t>board</w:t>
      </w:r>
      <w:r>
        <w:rPr>
          <w:spacing w:val="-8"/>
          <w:sz w:val="20"/>
        </w:rPr>
        <w:t> </w:t>
      </w:r>
      <w:r>
        <w:rPr>
          <w:sz w:val="20"/>
        </w:rPr>
        <w:t>manages</w:t>
      </w:r>
      <w:r>
        <w:rPr>
          <w:spacing w:val="-10"/>
          <w:sz w:val="20"/>
        </w:rPr>
        <w:t> </w:t>
      </w:r>
      <w:r>
        <w:rPr>
          <w:sz w:val="20"/>
        </w:rPr>
        <w:t>IT</w:t>
      </w:r>
      <w:r>
        <w:rPr>
          <w:spacing w:val="-7"/>
          <w:sz w:val="20"/>
        </w:rPr>
        <w:t> </w:t>
      </w:r>
      <w:r>
        <w:rPr>
          <w:sz w:val="20"/>
        </w:rPr>
        <w:t>investment</w:t>
      </w:r>
      <w:r>
        <w:rPr>
          <w:spacing w:val="-7"/>
          <w:sz w:val="20"/>
        </w:rPr>
        <w:t> </w:t>
      </w:r>
      <w:r>
        <w:rPr>
          <w:sz w:val="20"/>
        </w:rPr>
        <w:t>for</w:t>
      </w:r>
      <w:r>
        <w:rPr>
          <w:spacing w:val="-8"/>
          <w:sz w:val="20"/>
        </w:rPr>
        <w:t> </w:t>
      </w:r>
      <w:r>
        <w:rPr>
          <w:sz w:val="20"/>
        </w:rPr>
        <w:t>new</w:t>
      </w:r>
      <w:r>
        <w:rPr>
          <w:spacing w:val="-10"/>
          <w:sz w:val="20"/>
        </w:rPr>
        <w:t> </w:t>
      </w:r>
      <w:r>
        <w:rPr>
          <w:sz w:val="20"/>
        </w:rPr>
        <w:t>or enhanced services which may have an impact on the lights-on, or recurrent, costs.</w:t>
      </w:r>
    </w:p>
    <w:p>
      <w:pPr>
        <w:pStyle w:val="BodyText"/>
        <w:spacing w:before="9"/>
      </w:pPr>
    </w:p>
    <w:p>
      <w:pPr>
        <w:pStyle w:val="Heading3"/>
      </w:pPr>
      <w:r>
        <w:rPr/>
        <w:t>Court-wide</w:t>
      </w:r>
      <w:r>
        <w:rPr>
          <w:spacing w:val="-6"/>
        </w:rPr>
        <w:t> </w:t>
      </w:r>
      <w:r>
        <w:rPr/>
        <w:t>IT/IM</w:t>
      </w:r>
      <w:r>
        <w:rPr>
          <w:spacing w:val="-6"/>
        </w:rPr>
        <w:t> </w:t>
      </w:r>
      <w:r>
        <w:rPr/>
        <w:t>costs</w:t>
      </w:r>
      <w:r>
        <w:rPr>
          <w:spacing w:val="-8"/>
        </w:rPr>
        <w:t> </w:t>
      </w:r>
      <w:r>
        <w:rPr/>
        <w:t>for</w:t>
      </w:r>
      <w:r>
        <w:rPr>
          <w:spacing w:val="-5"/>
        </w:rPr>
        <w:t> </w:t>
      </w:r>
      <w:r>
        <w:rPr/>
        <w:t>2021-</w:t>
      </w:r>
      <w:r>
        <w:rPr>
          <w:spacing w:val="-4"/>
        </w:rPr>
        <w:t>2023</w:t>
      </w:r>
    </w:p>
    <w:p>
      <w:pPr>
        <w:pStyle w:val="BodyText"/>
        <w:spacing w:before="11"/>
        <w:rPr>
          <w:b/>
        </w:rPr>
      </w:pPr>
    </w:p>
    <w:p>
      <w:pPr>
        <w:pStyle w:val="ListParagraph"/>
        <w:numPr>
          <w:ilvl w:val="0"/>
          <w:numId w:val="128"/>
        </w:numPr>
        <w:tabs>
          <w:tab w:pos="2966" w:val="left" w:leader="none"/>
          <w:tab w:pos="2967" w:val="left" w:leader="none"/>
        </w:tabs>
        <w:spacing w:line="240" w:lineRule="auto" w:before="0" w:after="0"/>
        <w:ind w:left="2246" w:right="2238" w:firstLine="0"/>
        <w:jc w:val="both"/>
        <w:rPr>
          <w:sz w:val="20"/>
        </w:rPr>
      </w:pPr>
      <w:r>
        <w:rPr>
          <w:sz w:val="20"/>
        </w:rPr>
        <w:t>The Court-wide IT/IM reporting in previous years included</w:t>
      </w:r>
      <w:r>
        <w:rPr>
          <w:spacing w:val="-4"/>
          <w:sz w:val="20"/>
        </w:rPr>
        <w:t> </w:t>
      </w:r>
      <w:r>
        <w:rPr>
          <w:sz w:val="20"/>
        </w:rPr>
        <w:t>multi-year forecasts to address</w:t>
      </w:r>
      <w:r>
        <w:rPr>
          <w:spacing w:val="-13"/>
          <w:sz w:val="20"/>
        </w:rPr>
        <w:t> </w:t>
      </w:r>
      <w:r>
        <w:rPr>
          <w:sz w:val="20"/>
        </w:rPr>
        <w:t>the</w:t>
      </w:r>
      <w:r>
        <w:rPr>
          <w:spacing w:val="-12"/>
          <w:sz w:val="20"/>
        </w:rPr>
        <w:t> </w:t>
      </w:r>
      <w:r>
        <w:rPr>
          <w:sz w:val="20"/>
        </w:rPr>
        <w:t>request</w:t>
      </w:r>
      <w:r>
        <w:rPr>
          <w:spacing w:val="-13"/>
          <w:sz w:val="20"/>
        </w:rPr>
        <w:t> </w:t>
      </w:r>
      <w:r>
        <w:rPr>
          <w:sz w:val="20"/>
        </w:rPr>
        <w:t>of</w:t>
      </w:r>
      <w:r>
        <w:rPr>
          <w:spacing w:val="-12"/>
          <w:sz w:val="20"/>
        </w:rPr>
        <w:t> </w:t>
      </w:r>
      <w:r>
        <w:rPr>
          <w:sz w:val="20"/>
        </w:rPr>
        <w:t>States</w:t>
      </w:r>
      <w:r>
        <w:rPr>
          <w:spacing w:val="-13"/>
          <w:sz w:val="20"/>
        </w:rPr>
        <w:t> </w:t>
      </w:r>
      <w:r>
        <w:rPr>
          <w:sz w:val="20"/>
        </w:rPr>
        <w:t>Parties</w:t>
      </w:r>
      <w:r>
        <w:rPr>
          <w:spacing w:val="-12"/>
          <w:sz w:val="20"/>
        </w:rPr>
        <w:t> </w:t>
      </w:r>
      <w:r>
        <w:rPr>
          <w:sz w:val="20"/>
        </w:rPr>
        <w:t>for</w:t>
      </w:r>
      <w:r>
        <w:rPr>
          <w:spacing w:val="-13"/>
          <w:sz w:val="20"/>
        </w:rPr>
        <w:t> </w:t>
      </w:r>
      <w:r>
        <w:rPr>
          <w:sz w:val="20"/>
        </w:rPr>
        <w:t>a</w:t>
      </w:r>
      <w:r>
        <w:rPr>
          <w:spacing w:val="-12"/>
          <w:sz w:val="20"/>
        </w:rPr>
        <w:t> </w:t>
      </w:r>
      <w:r>
        <w:rPr>
          <w:sz w:val="20"/>
        </w:rPr>
        <w:t>forward-looking</w:t>
      </w:r>
      <w:r>
        <w:rPr>
          <w:spacing w:val="-13"/>
          <w:sz w:val="20"/>
        </w:rPr>
        <w:t> </w:t>
      </w:r>
      <w:r>
        <w:rPr>
          <w:sz w:val="20"/>
        </w:rPr>
        <w:t>view</w:t>
      </w:r>
      <w:r>
        <w:rPr>
          <w:spacing w:val="-12"/>
          <w:sz w:val="20"/>
        </w:rPr>
        <w:t> </w:t>
      </w:r>
      <w:r>
        <w:rPr>
          <w:sz w:val="20"/>
        </w:rPr>
        <w:t>on</w:t>
      </w:r>
      <w:r>
        <w:rPr>
          <w:spacing w:val="-13"/>
          <w:sz w:val="20"/>
        </w:rPr>
        <w:t> </w:t>
      </w:r>
      <w:r>
        <w:rPr>
          <w:sz w:val="20"/>
        </w:rPr>
        <w:t>the</w:t>
      </w:r>
      <w:r>
        <w:rPr>
          <w:spacing w:val="-12"/>
          <w:sz w:val="20"/>
        </w:rPr>
        <w:t> </w:t>
      </w:r>
      <w:r>
        <w:rPr>
          <w:sz w:val="20"/>
        </w:rPr>
        <w:t>impact</w:t>
      </w:r>
      <w:r>
        <w:rPr>
          <w:spacing w:val="-13"/>
          <w:sz w:val="20"/>
        </w:rPr>
        <w:t> </w:t>
      </w:r>
      <w:r>
        <w:rPr>
          <w:sz w:val="20"/>
        </w:rPr>
        <w:t>of</w:t>
      </w:r>
      <w:r>
        <w:rPr>
          <w:spacing w:val="-12"/>
          <w:sz w:val="20"/>
        </w:rPr>
        <w:t> </w:t>
      </w:r>
      <w:r>
        <w:rPr>
          <w:sz w:val="20"/>
        </w:rPr>
        <w:t>the</w:t>
      </w:r>
      <w:r>
        <w:rPr>
          <w:spacing w:val="-13"/>
          <w:sz w:val="20"/>
        </w:rPr>
        <w:t> </w:t>
      </w:r>
      <w:r>
        <w:rPr>
          <w:sz w:val="20"/>
        </w:rPr>
        <w:t>requested investment</w:t>
      </w:r>
      <w:r>
        <w:rPr>
          <w:spacing w:val="-2"/>
          <w:sz w:val="20"/>
        </w:rPr>
        <w:t> </w:t>
      </w:r>
      <w:r>
        <w:rPr>
          <w:sz w:val="20"/>
        </w:rPr>
        <w:t>for</w:t>
      </w:r>
      <w:r>
        <w:rPr>
          <w:spacing w:val="-3"/>
          <w:sz w:val="20"/>
        </w:rPr>
        <w:t> </w:t>
      </w:r>
      <w:r>
        <w:rPr>
          <w:sz w:val="20"/>
        </w:rPr>
        <w:t>the</w:t>
      </w:r>
      <w:r>
        <w:rPr>
          <w:spacing w:val="-2"/>
          <w:sz w:val="20"/>
        </w:rPr>
        <w:t> </w:t>
      </w:r>
      <w:r>
        <w:rPr>
          <w:sz w:val="20"/>
        </w:rPr>
        <w:t>Court’s five-year IT/IM</w:t>
      </w:r>
      <w:r>
        <w:rPr>
          <w:spacing w:val="-5"/>
          <w:sz w:val="20"/>
        </w:rPr>
        <w:t> </w:t>
      </w:r>
      <w:r>
        <w:rPr>
          <w:sz w:val="20"/>
        </w:rPr>
        <w:t>strategy on</w:t>
      </w:r>
      <w:r>
        <w:rPr>
          <w:spacing w:val="-4"/>
          <w:sz w:val="20"/>
        </w:rPr>
        <w:t> </w:t>
      </w:r>
      <w:r>
        <w:rPr>
          <w:sz w:val="20"/>
        </w:rPr>
        <w:t>the lights-on, or</w:t>
      </w:r>
      <w:r>
        <w:rPr>
          <w:spacing w:val="-4"/>
          <w:sz w:val="20"/>
        </w:rPr>
        <w:t> </w:t>
      </w:r>
      <w:r>
        <w:rPr>
          <w:sz w:val="20"/>
        </w:rPr>
        <w:t>recurrent,</w:t>
      </w:r>
      <w:r>
        <w:rPr>
          <w:spacing w:val="-1"/>
          <w:sz w:val="20"/>
        </w:rPr>
        <w:t> </w:t>
      </w:r>
      <w:r>
        <w:rPr>
          <w:sz w:val="20"/>
        </w:rPr>
        <w:t>costs.</w:t>
      </w:r>
      <w:r>
        <w:rPr>
          <w:spacing w:val="-1"/>
          <w:sz w:val="20"/>
        </w:rPr>
        <w:t> </w:t>
      </w:r>
      <w:r>
        <w:rPr>
          <w:sz w:val="20"/>
        </w:rPr>
        <w:t>The funding for this strategy from 2017 through 2022, which included additional</w:t>
      </w:r>
      <w:r>
        <w:rPr>
          <w:spacing w:val="-2"/>
          <w:sz w:val="20"/>
        </w:rPr>
        <w:t> </w:t>
      </w:r>
      <w:r>
        <w:rPr>
          <w:sz w:val="20"/>
        </w:rPr>
        <w:t>investment for the</w:t>
      </w:r>
      <w:r>
        <w:rPr>
          <w:spacing w:val="-13"/>
          <w:sz w:val="20"/>
        </w:rPr>
        <w:t> </w:t>
      </w:r>
      <w:r>
        <w:rPr>
          <w:sz w:val="20"/>
        </w:rPr>
        <w:t>Judicial</w:t>
      </w:r>
      <w:r>
        <w:rPr>
          <w:spacing w:val="-12"/>
          <w:sz w:val="20"/>
        </w:rPr>
        <w:t> </w:t>
      </w:r>
      <w:r>
        <w:rPr>
          <w:sz w:val="20"/>
        </w:rPr>
        <w:t>Workflow</w:t>
      </w:r>
      <w:r>
        <w:rPr>
          <w:spacing w:val="-13"/>
          <w:sz w:val="20"/>
        </w:rPr>
        <w:t> </w:t>
      </w:r>
      <w:r>
        <w:rPr>
          <w:sz w:val="20"/>
        </w:rPr>
        <w:t>Platform</w:t>
      </w:r>
      <w:r>
        <w:rPr>
          <w:spacing w:val="-12"/>
          <w:sz w:val="20"/>
        </w:rPr>
        <w:t> </w:t>
      </w:r>
      <w:r>
        <w:rPr>
          <w:sz w:val="20"/>
        </w:rPr>
        <w:t>(JWP),</w:t>
      </w:r>
      <w:r>
        <w:rPr>
          <w:spacing w:val="-13"/>
          <w:sz w:val="20"/>
        </w:rPr>
        <w:t> </w:t>
      </w:r>
      <w:r>
        <w:rPr>
          <w:sz w:val="20"/>
        </w:rPr>
        <w:t>was</w:t>
      </w:r>
      <w:r>
        <w:rPr>
          <w:spacing w:val="-12"/>
          <w:sz w:val="20"/>
        </w:rPr>
        <w:t> </w:t>
      </w:r>
      <w:r>
        <w:rPr>
          <w:sz w:val="20"/>
        </w:rPr>
        <w:t>approved</w:t>
      </w:r>
      <w:r>
        <w:rPr>
          <w:spacing w:val="-13"/>
          <w:sz w:val="20"/>
        </w:rPr>
        <w:t> </w:t>
      </w:r>
      <w:r>
        <w:rPr>
          <w:sz w:val="20"/>
        </w:rPr>
        <w:t>in</w:t>
      </w:r>
      <w:r>
        <w:rPr>
          <w:spacing w:val="-12"/>
          <w:sz w:val="20"/>
        </w:rPr>
        <w:t> </w:t>
      </w:r>
      <w:r>
        <w:rPr>
          <w:sz w:val="20"/>
        </w:rPr>
        <w:t>2022.</w:t>
      </w:r>
      <w:r>
        <w:rPr>
          <w:spacing w:val="-11"/>
          <w:sz w:val="20"/>
        </w:rPr>
        <w:t> </w:t>
      </w:r>
      <w:r>
        <w:rPr>
          <w:sz w:val="20"/>
        </w:rPr>
        <w:t>For</w:t>
      </w:r>
      <w:r>
        <w:rPr>
          <w:spacing w:val="-12"/>
          <w:sz w:val="20"/>
        </w:rPr>
        <w:t> </w:t>
      </w:r>
      <w:r>
        <w:rPr>
          <w:sz w:val="20"/>
        </w:rPr>
        <w:t>the</w:t>
      </w:r>
      <w:r>
        <w:rPr>
          <w:spacing w:val="-11"/>
          <w:sz w:val="20"/>
        </w:rPr>
        <w:t> </w:t>
      </w:r>
      <w:r>
        <w:rPr>
          <w:sz w:val="20"/>
        </w:rPr>
        <w:t>Court’s</w:t>
      </w:r>
      <w:r>
        <w:rPr>
          <w:spacing w:val="-13"/>
          <w:sz w:val="20"/>
        </w:rPr>
        <w:t> </w:t>
      </w:r>
      <w:r>
        <w:rPr>
          <w:sz w:val="20"/>
        </w:rPr>
        <w:t>IT/IM</w:t>
      </w:r>
      <w:r>
        <w:rPr>
          <w:spacing w:val="-12"/>
          <w:sz w:val="20"/>
        </w:rPr>
        <w:t> </w:t>
      </w:r>
      <w:r>
        <w:rPr>
          <w:sz w:val="20"/>
        </w:rPr>
        <w:t>strategy for 2023-2025, the Court is not seeking multi-year investment approval for the overall strategy; rather, the funding will be requested in the Court’s annual budgeting cycle. One project that may require multi-year capital investment is the replacement of the Enterprise Resource Planning (ERP) system. However, the potential costs are not yet known and the Court</w:t>
      </w:r>
      <w:r>
        <w:rPr>
          <w:spacing w:val="-7"/>
          <w:sz w:val="20"/>
        </w:rPr>
        <w:t> </w:t>
      </w:r>
      <w:r>
        <w:rPr>
          <w:sz w:val="20"/>
        </w:rPr>
        <w:t>plans</w:t>
      </w:r>
      <w:r>
        <w:rPr>
          <w:spacing w:val="-10"/>
          <w:sz w:val="20"/>
        </w:rPr>
        <w:t> </w:t>
      </w:r>
      <w:r>
        <w:rPr>
          <w:sz w:val="20"/>
        </w:rPr>
        <w:t>to</w:t>
      </w:r>
      <w:r>
        <w:rPr>
          <w:spacing w:val="-8"/>
          <w:sz w:val="20"/>
        </w:rPr>
        <w:t> </w:t>
      </w:r>
      <w:r>
        <w:rPr>
          <w:sz w:val="20"/>
        </w:rPr>
        <w:t>present</w:t>
      </w:r>
      <w:r>
        <w:rPr>
          <w:spacing w:val="-12"/>
          <w:sz w:val="20"/>
        </w:rPr>
        <w:t> </w:t>
      </w:r>
      <w:r>
        <w:rPr>
          <w:sz w:val="20"/>
        </w:rPr>
        <w:t>the</w:t>
      </w:r>
      <w:r>
        <w:rPr>
          <w:spacing w:val="-7"/>
          <w:sz w:val="20"/>
        </w:rPr>
        <w:t> </w:t>
      </w:r>
      <w:r>
        <w:rPr>
          <w:sz w:val="20"/>
        </w:rPr>
        <w:t>business</w:t>
      </w:r>
      <w:r>
        <w:rPr>
          <w:spacing w:val="-10"/>
          <w:sz w:val="20"/>
        </w:rPr>
        <w:t> </w:t>
      </w:r>
      <w:r>
        <w:rPr>
          <w:sz w:val="20"/>
        </w:rPr>
        <w:t>case</w:t>
      </w:r>
      <w:r>
        <w:rPr>
          <w:spacing w:val="-11"/>
          <w:sz w:val="20"/>
        </w:rPr>
        <w:t> </w:t>
      </w:r>
      <w:r>
        <w:rPr>
          <w:sz w:val="20"/>
        </w:rPr>
        <w:t>to</w:t>
      </w:r>
      <w:r>
        <w:rPr>
          <w:spacing w:val="-8"/>
          <w:sz w:val="20"/>
        </w:rPr>
        <w:t> </w:t>
      </w:r>
      <w:r>
        <w:rPr>
          <w:sz w:val="20"/>
        </w:rPr>
        <w:t>States</w:t>
      </w:r>
      <w:r>
        <w:rPr>
          <w:spacing w:val="-10"/>
          <w:sz w:val="20"/>
        </w:rPr>
        <w:t> </w:t>
      </w:r>
      <w:r>
        <w:rPr>
          <w:sz w:val="20"/>
        </w:rPr>
        <w:t>Parties</w:t>
      </w:r>
      <w:r>
        <w:rPr>
          <w:spacing w:val="-10"/>
          <w:sz w:val="20"/>
        </w:rPr>
        <w:t> </w:t>
      </w:r>
      <w:r>
        <w:rPr>
          <w:sz w:val="20"/>
        </w:rPr>
        <w:t>with</w:t>
      </w:r>
      <w:r>
        <w:rPr>
          <w:spacing w:val="-8"/>
          <w:sz w:val="20"/>
        </w:rPr>
        <w:t> </w:t>
      </w:r>
      <w:r>
        <w:rPr>
          <w:sz w:val="20"/>
        </w:rPr>
        <w:t>the</w:t>
      </w:r>
      <w:r>
        <w:rPr>
          <w:spacing w:val="-7"/>
          <w:sz w:val="20"/>
        </w:rPr>
        <w:t> </w:t>
      </w:r>
      <w:r>
        <w:rPr>
          <w:sz w:val="20"/>
        </w:rPr>
        <w:t>2024</w:t>
      </w:r>
      <w:r>
        <w:rPr>
          <w:spacing w:val="-8"/>
          <w:sz w:val="20"/>
        </w:rPr>
        <w:t> </w:t>
      </w:r>
      <w:r>
        <w:rPr>
          <w:sz w:val="20"/>
        </w:rPr>
        <w:t>budget.</w:t>
      </w:r>
      <w:r>
        <w:rPr>
          <w:sz w:val="20"/>
          <w:vertAlign w:val="superscript"/>
        </w:rPr>
        <w:t>154</w:t>
      </w:r>
      <w:r>
        <w:rPr>
          <w:spacing w:val="-1"/>
          <w:sz w:val="20"/>
          <w:vertAlign w:val="baseline"/>
        </w:rPr>
        <w:t> </w:t>
      </w:r>
      <w:r>
        <w:rPr>
          <w:sz w:val="20"/>
          <w:vertAlign w:val="baseline"/>
        </w:rPr>
        <w:t>In</w:t>
      </w:r>
      <w:r>
        <w:rPr>
          <w:spacing w:val="-8"/>
          <w:sz w:val="20"/>
          <w:vertAlign w:val="baseline"/>
        </w:rPr>
        <w:t> </w:t>
      </w:r>
      <w:r>
        <w:rPr>
          <w:sz w:val="20"/>
          <w:vertAlign w:val="baseline"/>
        </w:rPr>
        <w:t>addition, the</w:t>
      </w:r>
      <w:r>
        <w:rPr>
          <w:spacing w:val="-2"/>
          <w:sz w:val="20"/>
          <w:vertAlign w:val="baseline"/>
        </w:rPr>
        <w:t> </w:t>
      </w:r>
      <w:r>
        <w:rPr>
          <w:sz w:val="20"/>
          <w:vertAlign w:val="baseline"/>
        </w:rPr>
        <w:t>projected</w:t>
      </w:r>
      <w:r>
        <w:rPr>
          <w:spacing w:val="-4"/>
          <w:sz w:val="20"/>
          <w:vertAlign w:val="baseline"/>
        </w:rPr>
        <w:t> </w:t>
      </w:r>
      <w:r>
        <w:rPr>
          <w:sz w:val="20"/>
          <w:vertAlign w:val="baseline"/>
        </w:rPr>
        <w:t>multi-year</w:t>
      </w:r>
      <w:r>
        <w:rPr>
          <w:spacing w:val="-4"/>
          <w:sz w:val="20"/>
          <w:vertAlign w:val="baseline"/>
        </w:rPr>
        <w:t> </w:t>
      </w:r>
      <w:r>
        <w:rPr>
          <w:sz w:val="20"/>
          <w:vertAlign w:val="baseline"/>
        </w:rPr>
        <w:t>Court-wide</w:t>
      </w:r>
      <w:r>
        <w:rPr>
          <w:spacing w:val="-2"/>
          <w:sz w:val="20"/>
          <w:vertAlign w:val="baseline"/>
        </w:rPr>
        <w:t> </w:t>
      </w:r>
      <w:r>
        <w:rPr>
          <w:sz w:val="20"/>
          <w:vertAlign w:val="baseline"/>
        </w:rPr>
        <w:t>IT/IM</w:t>
      </w:r>
      <w:r>
        <w:rPr>
          <w:spacing w:val="-5"/>
          <w:sz w:val="20"/>
          <w:vertAlign w:val="baseline"/>
        </w:rPr>
        <w:t> </w:t>
      </w:r>
      <w:r>
        <w:rPr>
          <w:sz w:val="20"/>
          <w:vertAlign w:val="baseline"/>
        </w:rPr>
        <w:t>costs</w:t>
      </w:r>
      <w:r>
        <w:rPr>
          <w:spacing w:val="-5"/>
          <w:sz w:val="20"/>
          <w:vertAlign w:val="baseline"/>
        </w:rPr>
        <w:t> </w:t>
      </w:r>
      <w:r>
        <w:rPr>
          <w:sz w:val="20"/>
          <w:vertAlign w:val="baseline"/>
        </w:rPr>
        <w:t>will</w:t>
      </w:r>
      <w:r>
        <w:rPr>
          <w:spacing w:val="-2"/>
          <w:sz w:val="20"/>
          <w:vertAlign w:val="baseline"/>
        </w:rPr>
        <w:t> </w:t>
      </w:r>
      <w:r>
        <w:rPr>
          <w:sz w:val="20"/>
          <w:vertAlign w:val="baseline"/>
        </w:rPr>
        <w:t>be</w:t>
      </w:r>
      <w:r>
        <w:rPr>
          <w:spacing w:val="-2"/>
          <w:sz w:val="20"/>
          <w:vertAlign w:val="baseline"/>
        </w:rPr>
        <w:t> </w:t>
      </w:r>
      <w:r>
        <w:rPr>
          <w:sz w:val="20"/>
          <w:vertAlign w:val="baseline"/>
        </w:rPr>
        <w:t>in</w:t>
      </w:r>
      <w:r>
        <w:rPr>
          <w:spacing w:val="-4"/>
          <w:sz w:val="20"/>
          <w:vertAlign w:val="baseline"/>
        </w:rPr>
        <w:t> </w:t>
      </w:r>
      <w:r>
        <w:rPr>
          <w:sz w:val="20"/>
          <w:vertAlign w:val="baseline"/>
        </w:rPr>
        <w:t>the</w:t>
      </w:r>
      <w:r>
        <w:rPr>
          <w:spacing w:val="-2"/>
          <w:sz w:val="20"/>
          <w:vertAlign w:val="baseline"/>
        </w:rPr>
        <w:t> </w:t>
      </w:r>
      <w:r>
        <w:rPr>
          <w:sz w:val="20"/>
          <w:vertAlign w:val="baseline"/>
        </w:rPr>
        <w:t>context of</w:t>
      </w:r>
      <w:r>
        <w:rPr>
          <w:spacing w:val="-4"/>
          <w:sz w:val="20"/>
          <w:vertAlign w:val="baseline"/>
        </w:rPr>
        <w:t> </w:t>
      </w:r>
      <w:r>
        <w:rPr>
          <w:sz w:val="20"/>
          <w:vertAlign w:val="baseline"/>
        </w:rPr>
        <w:t>the</w:t>
      </w:r>
      <w:r>
        <w:rPr>
          <w:spacing w:val="-2"/>
          <w:sz w:val="20"/>
          <w:vertAlign w:val="baseline"/>
        </w:rPr>
        <w:t> </w:t>
      </w:r>
      <w:r>
        <w:rPr>
          <w:sz w:val="20"/>
          <w:vertAlign w:val="baseline"/>
        </w:rPr>
        <w:t>Court’s</w:t>
      </w:r>
      <w:r>
        <w:rPr>
          <w:spacing w:val="-5"/>
          <w:sz w:val="20"/>
          <w:vertAlign w:val="baseline"/>
        </w:rPr>
        <w:t> </w:t>
      </w:r>
      <w:r>
        <w:rPr>
          <w:sz w:val="20"/>
          <w:vertAlign w:val="baseline"/>
        </w:rPr>
        <w:t>overall approach to multi-year funding that has not yet been finalized.</w:t>
      </w:r>
    </w:p>
    <w:p>
      <w:pPr>
        <w:pStyle w:val="BodyText"/>
        <w:spacing w:before="11"/>
      </w:pPr>
    </w:p>
    <w:p>
      <w:pPr>
        <w:pStyle w:val="Heading3"/>
        <w:ind w:left="2227"/>
      </w:pPr>
      <w:r>
        <w:rPr/>
        <w:t>Table</w:t>
      </w:r>
      <w:r>
        <w:rPr>
          <w:spacing w:val="-8"/>
        </w:rPr>
        <w:t> </w:t>
      </w:r>
      <w:r>
        <w:rPr/>
        <w:t>1:</w:t>
      </w:r>
      <w:r>
        <w:rPr>
          <w:spacing w:val="-7"/>
        </w:rPr>
        <w:t> </w:t>
      </w:r>
      <w:r>
        <w:rPr/>
        <w:t>Total Court-wide</w:t>
      </w:r>
      <w:r>
        <w:rPr>
          <w:spacing w:val="-1"/>
        </w:rPr>
        <w:t> </w:t>
      </w:r>
      <w:r>
        <w:rPr/>
        <w:t>IT/IM</w:t>
      </w:r>
      <w:r>
        <w:rPr>
          <w:spacing w:val="-5"/>
        </w:rPr>
        <w:t> </w:t>
      </w:r>
      <w:r>
        <w:rPr/>
        <w:t>costs</w:t>
      </w:r>
      <w:r>
        <w:rPr>
          <w:spacing w:val="-8"/>
        </w:rPr>
        <w:t> </w:t>
      </w:r>
      <w:r>
        <w:rPr/>
        <w:t>by</w:t>
      </w:r>
      <w:r>
        <w:rPr>
          <w:spacing w:val="-3"/>
        </w:rPr>
        <w:t> </w:t>
      </w:r>
      <w:r>
        <w:rPr/>
        <w:t>staff</w:t>
      </w:r>
      <w:r>
        <w:rPr>
          <w:spacing w:val="-2"/>
        </w:rPr>
        <w:t> </w:t>
      </w:r>
      <w:r>
        <w:rPr/>
        <w:t>and</w:t>
      </w:r>
      <w:r>
        <w:rPr>
          <w:spacing w:val="-8"/>
        </w:rPr>
        <w:t> </w:t>
      </w:r>
      <w:r>
        <w:rPr/>
        <w:t>non-staff</w:t>
      </w:r>
      <w:r>
        <w:rPr>
          <w:spacing w:val="-6"/>
        </w:rPr>
        <w:t> </w:t>
      </w:r>
      <w:r>
        <w:rPr/>
        <w:t>costs</w:t>
      </w:r>
      <w:r>
        <w:rPr>
          <w:spacing w:val="-3"/>
        </w:rPr>
        <w:t> </w:t>
      </w:r>
      <w:r>
        <w:rPr/>
        <w:t>(thousands</w:t>
      </w:r>
      <w:r>
        <w:rPr>
          <w:spacing w:val="-4"/>
        </w:rPr>
        <w:t> </w:t>
      </w:r>
      <w:r>
        <w:rPr/>
        <w:t>of</w:t>
      </w:r>
      <w:r>
        <w:rPr>
          <w:spacing w:val="-10"/>
        </w:rPr>
        <w:t> </w:t>
      </w:r>
      <w:r>
        <w:rPr>
          <w:spacing w:val="-2"/>
        </w:rPr>
        <w:t>euros)</w:t>
      </w:r>
    </w:p>
    <w:p>
      <w:pPr>
        <w:pStyle w:val="BodyText"/>
        <w:spacing w:before="5"/>
        <w:rPr>
          <w:b/>
          <w:sz w:val="5"/>
        </w:rPr>
      </w:pPr>
    </w:p>
    <w:tbl>
      <w:tblPr>
        <w:tblW w:w="0" w:type="auto"/>
        <w:jc w:val="left"/>
        <w:tblInd w:w="2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80"/>
        <w:gridCol w:w="1587"/>
        <w:gridCol w:w="963"/>
        <w:gridCol w:w="1016"/>
        <w:gridCol w:w="879"/>
      </w:tblGrid>
      <w:tr>
        <w:trPr>
          <w:trHeight w:val="325" w:hRule="atLeast"/>
        </w:trPr>
        <w:tc>
          <w:tcPr>
            <w:tcW w:w="2980" w:type="dxa"/>
            <w:tcBorders>
              <w:top w:val="single" w:sz="4" w:space="0" w:color="000000"/>
              <w:bottom w:val="single" w:sz="4" w:space="0" w:color="000000"/>
            </w:tcBorders>
          </w:tcPr>
          <w:p>
            <w:pPr>
              <w:pStyle w:val="TableParagraph"/>
              <w:jc w:val="left"/>
              <w:rPr>
                <w:sz w:val="18"/>
              </w:rPr>
            </w:pPr>
          </w:p>
        </w:tc>
        <w:tc>
          <w:tcPr>
            <w:tcW w:w="1587" w:type="dxa"/>
            <w:tcBorders>
              <w:top w:val="single" w:sz="4" w:space="0" w:color="000000"/>
              <w:bottom w:val="single" w:sz="4" w:space="0" w:color="000000"/>
            </w:tcBorders>
          </w:tcPr>
          <w:p>
            <w:pPr>
              <w:pStyle w:val="TableParagraph"/>
              <w:spacing w:before="62"/>
              <w:ind w:right="187"/>
              <w:rPr>
                <w:i/>
                <w:sz w:val="18"/>
              </w:rPr>
            </w:pPr>
            <w:r>
              <w:rPr>
                <w:i/>
                <w:spacing w:val="-4"/>
                <w:sz w:val="18"/>
              </w:rPr>
              <w:t>2021</w:t>
            </w:r>
          </w:p>
        </w:tc>
        <w:tc>
          <w:tcPr>
            <w:tcW w:w="963" w:type="dxa"/>
            <w:tcBorders>
              <w:top w:val="single" w:sz="4" w:space="0" w:color="000000"/>
              <w:bottom w:val="single" w:sz="4" w:space="0" w:color="000000"/>
            </w:tcBorders>
          </w:tcPr>
          <w:p>
            <w:pPr>
              <w:pStyle w:val="TableParagraph"/>
              <w:spacing w:before="62"/>
              <w:ind w:right="135"/>
              <w:rPr>
                <w:i/>
                <w:sz w:val="18"/>
              </w:rPr>
            </w:pPr>
            <w:r>
              <w:rPr>
                <w:i/>
                <w:spacing w:val="-4"/>
                <w:sz w:val="18"/>
              </w:rPr>
              <w:t>2022</w:t>
            </w:r>
          </w:p>
        </w:tc>
        <w:tc>
          <w:tcPr>
            <w:tcW w:w="1016" w:type="dxa"/>
            <w:tcBorders>
              <w:top w:val="single" w:sz="4" w:space="0" w:color="000000"/>
              <w:bottom w:val="single" w:sz="4" w:space="0" w:color="000000"/>
            </w:tcBorders>
          </w:tcPr>
          <w:p>
            <w:pPr>
              <w:pStyle w:val="TableParagraph"/>
              <w:spacing w:before="62"/>
              <w:ind w:right="245"/>
              <w:rPr>
                <w:i/>
                <w:sz w:val="18"/>
              </w:rPr>
            </w:pPr>
            <w:r>
              <w:rPr>
                <w:i/>
                <w:spacing w:val="-4"/>
                <w:sz w:val="18"/>
              </w:rPr>
              <w:t>2023</w:t>
            </w:r>
          </w:p>
        </w:tc>
        <w:tc>
          <w:tcPr>
            <w:tcW w:w="879" w:type="dxa"/>
            <w:tcBorders>
              <w:top w:val="single" w:sz="4" w:space="0" w:color="000000"/>
              <w:bottom w:val="single" w:sz="4" w:space="0" w:color="000000"/>
            </w:tcBorders>
          </w:tcPr>
          <w:p>
            <w:pPr>
              <w:pStyle w:val="TableParagraph"/>
              <w:spacing w:before="62"/>
              <w:ind w:right="6"/>
              <w:rPr>
                <w:i/>
                <w:sz w:val="18"/>
              </w:rPr>
            </w:pPr>
            <w:r>
              <w:rPr>
                <w:i/>
                <w:spacing w:val="-2"/>
                <w:sz w:val="18"/>
              </w:rPr>
              <w:t>Total</w:t>
            </w:r>
          </w:p>
        </w:tc>
      </w:tr>
      <w:tr>
        <w:trPr>
          <w:trHeight w:val="326" w:hRule="atLeast"/>
        </w:trPr>
        <w:tc>
          <w:tcPr>
            <w:tcW w:w="2980" w:type="dxa"/>
            <w:tcBorders>
              <w:top w:val="single" w:sz="4" w:space="0" w:color="000000"/>
              <w:bottom w:val="single" w:sz="4" w:space="0" w:color="000000"/>
            </w:tcBorders>
          </w:tcPr>
          <w:p>
            <w:pPr>
              <w:pStyle w:val="TableParagraph"/>
              <w:spacing w:before="62"/>
              <w:ind w:left="14"/>
              <w:jc w:val="left"/>
              <w:rPr>
                <w:b/>
                <w:sz w:val="18"/>
              </w:rPr>
            </w:pPr>
            <w:r>
              <w:rPr>
                <w:b/>
                <w:sz w:val="18"/>
              </w:rPr>
              <w:t>Lights-on</w:t>
            </w:r>
            <w:r>
              <w:rPr>
                <w:b/>
                <w:spacing w:val="-5"/>
                <w:sz w:val="18"/>
              </w:rPr>
              <w:t> </w:t>
            </w:r>
            <w:r>
              <w:rPr>
                <w:b/>
                <w:spacing w:val="-2"/>
                <w:sz w:val="18"/>
              </w:rPr>
              <w:t>costs</w:t>
            </w:r>
          </w:p>
        </w:tc>
        <w:tc>
          <w:tcPr>
            <w:tcW w:w="1587" w:type="dxa"/>
            <w:tcBorders>
              <w:top w:val="single" w:sz="4" w:space="0" w:color="000000"/>
              <w:bottom w:val="single" w:sz="4" w:space="0" w:color="000000"/>
            </w:tcBorders>
          </w:tcPr>
          <w:p>
            <w:pPr>
              <w:pStyle w:val="TableParagraph"/>
              <w:jc w:val="left"/>
              <w:rPr>
                <w:sz w:val="18"/>
              </w:rPr>
            </w:pPr>
          </w:p>
        </w:tc>
        <w:tc>
          <w:tcPr>
            <w:tcW w:w="963" w:type="dxa"/>
            <w:tcBorders>
              <w:top w:val="single" w:sz="4" w:space="0" w:color="000000"/>
              <w:bottom w:val="single" w:sz="4" w:space="0" w:color="000000"/>
            </w:tcBorders>
          </w:tcPr>
          <w:p>
            <w:pPr>
              <w:pStyle w:val="TableParagraph"/>
              <w:jc w:val="left"/>
              <w:rPr>
                <w:sz w:val="18"/>
              </w:rPr>
            </w:pPr>
          </w:p>
        </w:tc>
        <w:tc>
          <w:tcPr>
            <w:tcW w:w="1016" w:type="dxa"/>
            <w:tcBorders>
              <w:top w:val="single" w:sz="4" w:space="0" w:color="000000"/>
              <w:bottom w:val="single" w:sz="4" w:space="0" w:color="000000"/>
            </w:tcBorders>
          </w:tcPr>
          <w:p>
            <w:pPr>
              <w:pStyle w:val="TableParagraph"/>
              <w:jc w:val="left"/>
              <w:rPr>
                <w:sz w:val="18"/>
              </w:rPr>
            </w:pPr>
          </w:p>
        </w:tc>
        <w:tc>
          <w:tcPr>
            <w:tcW w:w="879" w:type="dxa"/>
            <w:tcBorders>
              <w:top w:val="single" w:sz="4" w:space="0" w:color="000000"/>
              <w:bottom w:val="single" w:sz="4" w:space="0" w:color="000000"/>
            </w:tcBorders>
          </w:tcPr>
          <w:p>
            <w:pPr>
              <w:pStyle w:val="TableParagraph"/>
              <w:jc w:val="left"/>
              <w:rPr>
                <w:sz w:val="18"/>
              </w:rPr>
            </w:pPr>
          </w:p>
        </w:tc>
      </w:tr>
      <w:tr>
        <w:trPr>
          <w:trHeight w:val="323" w:hRule="atLeast"/>
        </w:trPr>
        <w:tc>
          <w:tcPr>
            <w:tcW w:w="2980" w:type="dxa"/>
            <w:tcBorders>
              <w:top w:val="single" w:sz="4" w:space="0" w:color="000000"/>
              <w:bottom w:val="single" w:sz="6" w:space="0" w:color="000000"/>
            </w:tcBorders>
          </w:tcPr>
          <w:p>
            <w:pPr>
              <w:pStyle w:val="TableParagraph"/>
              <w:spacing w:before="62"/>
              <w:ind w:left="14"/>
              <w:jc w:val="left"/>
              <w:rPr>
                <w:sz w:val="18"/>
              </w:rPr>
            </w:pPr>
            <w:r>
              <w:rPr>
                <w:sz w:val="18"/>
              </w:rPr>
              <w:t>Staff</w:t>
            </w:r>
            <w:r>
              <w:rPr>
                <w:spacing w:val="-2"/>
                <w:sz w:val="18"/>
              </w:rPr>
              <w:t> costs</w:t>
            </w:r>
          </w:p>
        </w:tc>
        <w:tc>
          <w:tcPr>
            <w:tcW w:w="1587" w:type="dxa"/>
            <w:tcBorders>
              <w:top w:val="single" w:sz="4" w:space="0" w:color="000000"/>
              <w:bottom w:val="single" w:sz="6" w:space="0" w:color="000000"/>
            </w:tcBorders>
          </w:tcPr>
          <w:p>
            <w:pPr>
              <w:pStyle w:val="TableParagraph"/>
              <w:spacing w:before="62"/>
              <w:ind w:right="186"/>
              <w:rPr>
                <w:sz w:val="18"/>
              </w:rPr>
            </w:pPr>
            <w:r>
              <w:rPr>
                <w:spacing w:val="-2"/>
                <w:sz w:val="18"/>
              </w:rPr>
              <w:t>6,013.7</w:t>
            </w:r>
          </w:p>
        </w:tc>
        <w:tc>
          <w:tcPr>
            <w:tcW w:w="963" w:type="dxa"/>
            <w:tcBorders>
              <w:top w:val="single" w:sz="4" w:space="0" w:color="000000"/>
              <w:bottom w:val="single" w:sz="6" w:space="0" w:color="000000"/>
            </w:tcBorders>
          </w:tcPr>
          <w:p>
            <w:pPr>
              <w:pStyle w:val="TableParagraph"/>
              <w:spacing w:before="62"/>
              <w:ind w:right="135"/>
              <w:rPr>
                <w:sz w:val="18"/>
              </w:rPr>
            </w:pPr>
            <w:r>
              <w:rPr>
                <w:spacing w:val="-2"/>
                <w:sz w:val="18"/>
              </w:rPr>
              <w:t>6,789.4</w:t>
            </w:r>
          </w:p>
        </w:tc>
        <w:tc>
          <w:tcPr>
            <w:tcW w:w="1016" w:type="dxa"/>
            <w:tcBorders>
              <w:top w:val="single" w:sz="4" w:space="0" w:color="000000"/>
              <w:bottom w:val="single" w:sz="6" w:space="0" w:color="000000"/>
            </w:tcBorders>
          </w:tcPr>
          <w:p>
            <w:pPr>
              <w:pStyle w:val="TableParagraph"/>
              <w:spacing w:before="62"/>
              <w:ind w:right="244"/>
              <w:rPr>
                <w:sz w:val="18"/>
              </w:rPr>
            </w:pPr>
            <w:r>
              <w:rPr>
                <w:spacing w:val="-2"/>
                <w:sz w:val="18"/>
              </w:rPr>
              <w:t>7,024.8</w:t>
            </w:r>
          </w:p>
        </w:tc>
        <w:tc>
          <w:tcPr>
            <w:tcW w:w="879" w:type="dxa"/>
            <w:tcBorders>
              <w:top w:val="single" w:sz="4" w:space="0" w:color="000000"/>
              <w:bottom w:val="single" w:sz="6" w:space="0" w:color="000000"/>
            </w:tcBorders>
          </w:tcPr>
          <w:p>
            <w:pPr>
              <w:pStyle w:val="TableParagraph"/>
              <w:spacing w:before="62"/>
              <w:ind w:right="1"/>
              <w:rPr>
                <w:sz w:val="18"/>
              </w:rPr>
            </w:pPr>
            <w:r>
              <w:rPr>
                <w:spacing w:val="-2"/>
                <w:sz w:val="18"/>
              </w:rPr>
              <w:t>19,827.9</w:t>
            </w:r>
          </w:p>
        </w:tc>
      </w:tr>
      <w:tr>
        <w:trPr>
          <w:trHeight w:val="323" w:hRule="atLeast"/>
        </w:trPr>
        <w:tc>
          <w:tcPr>
            <w:tcW w:w="2980" w:type="dxa"/>
            <w:tcBorders>
              <w:top w:val="single" w:sz="6" w:space="0" w:color="000000"/>
              <w:bottom w:val="single" w:sz="4" w:space="0" w:color="000000"/>
            </w:tcBorders>
          </w:tcPr>
          <w:p>
            <w:pPr>
              <w:pStyle w:val="TableParagraph"/>
              <w:spacing w:before="60"/>
              <w:ind w:left="14"/>
              <w:jc w:val="left"/>
              <w:rPr>
                <w:sz w:val="18"/>
              </w:rPr>
            </w:pPr>
            <w:r>
              <w:rPr>
                <w:sz w:val="18"/>
              </w:rPr>
              <w:t>Non-staff</w:t>
            </w:r>
            <w:r>
              <w:rPr>
                <w:spacing w:val="-4"/>
                <w:sz w:val="18"/>
              </w:rPr>
              <w:t> </w:t>
            </w:r>
            <w:r>
              <w:rPr>
                <w:spacing w:val="-2"/>
                <w:sz w:val="18"/>
              </w:rPr>
              <w:t>costs</w:t>
            </w:r>
          </w:p>
        </w:tc>
        <w:tc>
          <w:tcPr>
            <w:tcW w:w="1587" w:type="dxa"/>
            <w:tcBorders>
              <w:top w:val="single" w:sz="6" w:space="0" w:color="000000"/>
              <w:bottom w:val="single" w:sz="4" w:space="0" w:color="000000"/>
            </w:tcBorders>
          </w:tcPr>
          <w:p>
            <w:pPr>
              <w:pStyle w:val="TableParagraph"/>
              <w:spacing w:before="60"/>
              <w:ind w:right="186"/>
              <w:rPr>
                <w:sz w:val="18"/>
              </w:rPr>
            </w:pPr>
            <w:r>
              <w:rPr>
                <w:spacing w:val="-2"/>
                <w:sz w:val="18"/>
              </w:rPr>
              <w:t>6,031.2</w:t>
            </w:r>
          </w:p>
        </w:tc>
        <w:tc>
          <w:tcPr>
            <w:tcW w:w="963" w:type="dxa"/>
            <w:tcBorders>
              <w:top w:val="single" w:sz="6" w:space="0" w:color="000000"/>
              <w:bottom w:val="single" w:sz="4" w:space="0" w:color="000000"/>
            </w:tcBorders>
          </w:tcPr>
          <w:p>
            <w:pPr>
              <w:pStyle w:val="TableParagraph"/>
              <w:spacing w:before="60"/>
              <w:ind w:right="135"/>
              <w:rPr>
                <w:sz w:val="18"/>
              </w:rPr>
            </w:pPr>
            <w:r>
              <w:rPr>
                <w:spacing w:val="-2"/>
                <w:sz w:val="18"/>
              </w:rPr>
              <w:t>6,093.1</w:t>
            </w:r>
          </w:p>
        </w:tc>
        <w:tc>
          <w:tcPr>
            <w:tcW w:w="1016" w:type="dxa"/>
            <w:tcBorders>
              <w:top w:val="single" w:sz="6" w:space="0" w:color="000000"/>
              <w:bottom w:val="single" w:sz="4" w:space="0" w:color="000000"/>
            </w:tcBorders>
          </w:tcPr>
          <w:p>
            <w:pPr>
              <w:pStyle w:val="TableParagraph"/>
              <w:spacing w:before="60"/>
              <w:ind w:right="244"/>
              <w:rPr>
                <w:sz w:val="18"/>
              </w:rPr>
            </w:pPr>
            <w:r>
              <w:rPr>
                <w:spacing w:val="-2"/>
                <w:sz w:val="18"/>
              </w:rPr>
              <w:t>5,957.1</w:t>
            </w:r>
          </w:p>
        </w:tc>
        <w:tc>
          <w:tcPr>
            <w:tcW w:w="879" w:type="dxa"/>
            <w:tcBorders>
              <w:top w:val="single" w:sz="6" w:space="0" w:color="000000"/>
              <w:bottom w:val="single" w:sz="4" w:space="0" w:color="000000"/>
            </w:tcBorders>
          </w:tcPr>
          <w:p>
            <w:pPr>
              <w:pStyle w:val="TableParagraph"/>
              <w:spacing w:before="60"/>
              <w:ind w:right="1"/>
              <w:rPr>
                <w:sz w:val="18"/>
              </w:rPr>
            </w:pPr>
            <w:r>
              <w:rPr>
                <w:spacing w:val="-2"/>
                <w:sz w:val="18"/>
              </w:rPr>
              <w:t>18,051.4</w:t>
            </w:r>
          </w:p>
        </w:tc>
      </w:tr>
      <w:tr>
        <w:trPr>
          <w:trHeight w:val="330" w:hRule="atLeast"/>
        </w:trPr>
        <w:tc>
          <w:tcPr>
            <w:tcW w:w="2980" w:type="dxa"/>
            <w:tcBorders>
              <w:top w:val="single" w:sz="4" w:space="0" w:color="000000"/>
              <w:bottom w:val="single" w:sz="4" w:space="0" w:color="000000"/>
            </w:tcBorders>
          </w:tcPr>
          <w:p>
            <w:pPr>
              <w:pStyle w:val="TableParagraph"/>
              <w:spacing w:before="62"/>
              <w:ind w:left="14"/>
              <w:jc w:val="left"/>
              <w:rPr>
                <w:i/>
                <w:sz w:val="18"/>
              </w:rPr>
            </w:pPr>
            <w:r>
              <w:rPr>
                <w:i/>
                <w:sz w:val="18"/>
              </w:rPr>
              <w:t>Total</w:t>
            </w:r>
            <w:r>
              <w:rPr>
                <w:i/>
                <w:spacing w:val="-5"/>
                <w:sz w:val="18"/>
              </w:rPr>
              <w:t> </w:t>
            </w:r>
            <w:r>
              <w:rPr>
                <w:i/>
                <w:sz w:val="18"/>
              </w:rPr>
              <w:t>lights-</w:t>
            </w:r>
            <w:r>
              <w:rPr>
                <w:i/>
                <w:spacing w:val="-5"/>
                <w:sz w:val="18"/>
              </w:rPr>
              <w:t>on</w:t>
            </w:r>
          </w:p>
        </w:tc>
        <w:tc>
          <w:tcPr>
            <w:tcW w:w="1587" w:type="dxa"/>
            <w:tcBorders>
              <w:top w:val="single" w:sz="4" w:space="0" w:color="000000"/>
              <w:bottom w:val="single" w:sz="4" w:space="0" w:color="000000"/>
            </w:tcBorders>
          </w:tcPr>
          <w:p>
            <w:pPr>
              <w:pStyle w:val="TableParagraph"/>
              <w:spacing w:before="62"/>
              <w:ind w:right="186"/>
              <w:rPr>
                <w:i/>
                <w:sz w:val="18"/>
              </w:rPr>
            </w:pPr>
            <w:r>
              <w:rPr>
                <w:i/>
                <w:spacing w:val="-2"/>
                <w:sz w:val="18"/>
              </w:rPr>
              <w:t>12,044.9</w:t>
            </w:r>
          </w:p>
        </w:tc>
        <w:tc>
          <w:tcPr>
            <w:tcW w:w="963" w:type="dxa"/>
            <w:tcBorders>
              <w:top w:val="single" w:sz="4" w:space="0" w:color="000000"/>
              <w:bottom w:val="single" w:sz="4" w:space="0" w:color="000000"/>
            </w:tcBorders>
          </w:tcPr>
          <w:p>
            <w:pPr>
              <w:pStyle w:val="TableParagraph"/>
              <w:spacing w:before="62"/>
              <w:ind w:right="136"/>
              <w:rPr>
                <w:i/>
                <w:sz w:val="18"/>
              </w:rPr>
            </w:pPr>
            <w:r>
              <w:rPr>
                <w:i/>
                <w:spacing w:val="-2"/>
                <w:sz w:val="18"/>
              </w:rPr>
              <w:t>12,882.5</w:t>
            </w:r>
          </w:p>
        </w:tc>
        <w:tc>
          <w:tcPr>
            <w:tcW w:w="1016" w:type="dxa"/>
            <w:tcBorders>
              <w:top w:val="single" w:sz="4" w:space="0" w:color="000000"/>
              <w:bottom w:val="single" w:sz="4" w:space="0" w:color="000000"/>
            </w:tcBorders>
          </w:tcPr>
          <w:p>
            <w:pPr>
              <w:pStyle w:val="TableParagraph"/>
              <w:spacing w:before="62"/>
              <w:ind w:right="244"/>
              <w:rPr>
                <w:i/>
                <w:sz w:val="18"/>
              </w:rPr>
            </w:pPr>
            <w:r>
              <w:rPr>
                <w:i/>
                <w:spacing w:val="-2"/>
                <w:sz w:val="18"/>
              </w:rPr>
              <w:t>12,981.9</w:t>
            </w:r>
          </w:p>
        </w:tc>
        <w:tc>
          <w:tcPr>
            <w:tcW w:w="879" w:type="dxa"/>
            <w:tcBorders>
              <w:top w:val="single" w:sz="4" w:space="0" w:color="000000"/>
              <w:bottom w:val="single" w:sz="4" w:space="0" w:color="000000"/>
            </w:tcBorders>
          </w:tcPr>
          <w:p>
            <w:pPr>
              <w:pStyle w:val="TableParagraph"/>
              <w:spacing w:before="62"/>
              <w:ind w:right="1"/>
              <w:rPr>
                <w:i/>
                <w:sz w:val="18"/>
              </w:rPr>
            </w:pPr>
            <w:r>
              <w:rPr>
                <w:i/>
                <w:spacing w:val="-2"/>
                <w:sz w:val="18"/>
              </w:rPr>
              <w:t>37,909.3</w:t>
            </w:r>
          </w:p>
        </w:tc>
      </w:tr>
      <w:tr>
        <w:trPr>
          <w:trHeight w:val="325" w:hRule="atLeast"/>
        </w:trPr>
        <w:tc>
          <w:tcPr>
            <w:tcW w:w="2980" w:type="dxa"/>
            <w:tcBorders>
              <w:top w:val="single" w:sz="4" w:space="0" w:color="000000"/>
              <w:bottom w:val="single" w:sz="4" w:space="0" w:color="000000"/>
            </w:tcBorders>
          </w:tcPr>
          <w:p>
            <w:pPr>
              <w:pStyle w:val="TableParagraph"/>
              <w:spacing w:before="62"/>
              <w:ind w:left="14"/>
              <w:jc w:val="left"/>
              <w:rPr>
                <w:i/>
                <w:sz w:val="18"/>
              </w:rPr>
            </w:pPr>
            <w:r>
              <w:rPr>
                <w:i/>
                <w:sz w:val="18"/>
              </w:rPr>
              <w:t>Total</w:t>
            </w:r>
            <w:r>
              <w:rPr>
                <w:i/>
                <w:spacing w:val="-4"/>
                <w:sz w:val="18"/>
              </w:rPr>
              <w:t> </w:t>
            </w:r>
            <w:r>
              <w:rPr>
                <w:i/>
                <w:sz w:val="18"/>
              </w:rPr>
              <w:t>delta</w:t>
            </w:r>
            <w:r>
              <w:rPr>
                <w:i/>
                <w:spacing w:val="-7"/>
                <w:sz w:val="18"/>
              </w:rPr>
              <w:t> </w:t>
            </w:r>
            <w:r>
              <w:rPr>
                <w:i/>
                <w:sz w:val="18"/>
              </w:rPr>
              <w:t>from</w:t>
            </w:r>
            <w:r>
              <w:rPr>
                <w:i/>
                <w:spacing w:val="-6"/>
                <w:sz w:val="18"/>
              </w:rPr>
              <w:t> </w:t>
            </w:r>
            <w:r>
              <w:rPr>
                <w:i/>
                <w:sz w:val="18"/>
              </w:rPr>
              <w:t>previous</w:t>
            </w:r>
            <w:r>
              <w:rPr>
                <w:i/>
                <w:spacing w:val="-2"/>
                <w:sz w:val="18"/>
              </w:rPr>
              <w:t> </w:t>
            </w:r>
            <w:r>
              <w:rPr>
                <w:i/>
                <w:spacing w:val="-4"/>
                <w:sz w:val="18"/>
              </w:rPr>
              <w:t>year</w:t>
            </w:r>
          </w:p>
        </w:tc>
        <w:tc>
          <w:tcPr>
            <w:tcW w:w="1587" w:type="dxa"/>
            <w:tcBorders>
              <w:top w:val="single" w:sz="4" w:space="0" w:color="000000"/>
              <w:bottom w:val="single" w:sz="4" w:space="0" w:color="000000"/>
            </w:tcBorders>
          </w:tcPr>
          <w:p>
            <w:pPr>
              <w:pStyle w:val="TableParagraph"/>
              <w:spacing w:before="62"/>
              <w:ind w:right="186"/>
              <w:rPr>
                <w:i/>
                <w:sz w:val="18"/>
              </w:rPr>
            </w:pPr>
            <w:r>
              <w:rPr>
                <w:i/>
                <w:sz w:val="18"/>
              </w:rPr>
              <w:t>-</w:t>
            </w:r>
            <w:r>
              <w:rPr>
                <w:i/>
                <w:spacing w:val="-2"/>
                <w:sz w:val="18"/>
              </w:rPr>
              <w:t>579.9</w:t>
            </w:r>
          </w:p>
        </w:tc>
        <w:tc>
          <w:tcPr>
            <w:tcW w:w="963" w:type="dxa"/>
            <w:tcBorders>
              <w:top w:val="single" w:sz="4" w:space="0" w:color="000000"/>
              <w:bottom w:val="single" w:sz="4" w:space="0" w:color="000000"/>
            </w:tcBorders>
          </w:tcPr>
          <w:p>
            <w:pPr>
              <w:pStyle w:val="TableParagraph"/>
              <w:spacing w:before="62"/>
              <w:ind w:right="135"/>
              <w:rPr>
                <w:i/>
                <w:sz w:val="18"/>
              </w:rPr>
            </w:pPr>
            <w:r>
              <w:rPr>
                <w:i/>
                <w:spacing w:val="-2"/>
                <w:sz w:val="18"/>
              </w:rPr>
              <w:t>837.6</w:t>
            </w:r>
          </w:p>
        </w:tc>
        <w:tc>
          <w:tcPr>
            <w:tcW w:w="1016" w:type="dxa"/>
            <w:tcBorders>
              <w:top w:val="single" w:sz="4" w:space="0" w:color="000000"/>
              <w:bottom w:val="single" w:sz="4" w:space="0" w:color="000000"/>
            </w:tcBorders>
          </w:tcPr>
          <w:p>
            <w:pPr>
              <w:pStyle w:val="TableParagraph"/>
              <w:spacing w:before="62"/>
              <w:ind w:right="244"/>
              <w:rPr>
                <w:i/>
                <w:sz w:val="18"/>
              </w:rPr>
            </w:pPr>
            <w:r>
              <w:rPr>
                <w:i/>
                <w:spacing w:val="-4"/>
                <w:sz w:val="18"/>
              </w:rPr>
              <w:t>99.4</w:t>
            </w:r>
          </w:p>
        </w:tc>
        <w:tc>
          <w:tcPr>
            <w:tcW w:w="879" w:type="dxa"/>
            <w:tcBorders>
              <w:top w:val="single" w:sz="4" w:space="0" w:color="000000"/>
              <w:bottom w:val="single" w:sz="4" w:space="0" w:color="000000"/>
            </w:tcBorders>
          </w:tcPr>
          <w:p>
            <w:pPr>
              <w:pStyle w:val="TableParagraph"/>
              <w:jc w:val="left"/>
              <w:rPr>
                <w:sz w:val="18"/>
              </w:rPr>
            </w:pPr>
          </w:p>
        </w:tc>
      </w:tr>
      <w:tr>
        <w:trPr>
          <w:trHeight w:val="325" w:hRule="atLeast"/>
        </w:trPr>
        <w:tc>
          <w:tcPr>
            <w:tcW w:w="2980" w:type="dxa"/>
            <w:tcBorders>
              <w:top w:val="single" w:sz="4" w:space="0" w:color="000000"/>
              <w:bottom w:val="single" w:sz="4" w:space="0" w:color="000000"/>
            </w:tcBorders>
          </w:tcPr>
          <w:p>
            <w:pPr>
              <w:pStyle w:val="TableParagraph"/>
              <w:spacing w:before="62"/>
              <w:ind w:left="14"/>
              <w:jc w:val="left"/>
              <w:rPr>
                <w:b/>
                <w:sz w:val="18"/>
              </w:rPr>
            </w:pPr>
            <w:r>
              <w:rPr>
                <w:b/>
                <w:sz w:val="18"/>
              </w:rPr>
              <w:t>IT/IM</w:t>
            </w:r>
            <w:r>
              <w:rPr>
                <w:b/>
                <w:spacing w:val="-7"/>
                <w:sz w:val="18"/>
              </w:rPr>
              <w:t> </w:t>
            </w:r>
            <w:r>
              <w:rPr>
                <w:b/>
                <w:sz w:val="18"/>
              </w:rPr>
              <w:t>strategy</w:t>
            </w:r>
            <w:r>
              <w:rPr>
                <w:b/>
                <w:spacing w:val="-5"/>
                <w:sz w:val="18"/>
              </w:rPr>
              <w:t> </w:t>
            </w:r>
            <w:r>
              <w:rPr>
                <w:b/>
                <w:spacing w:val="-2"/>
                <w:sz w:val="18"/>
              </w:rPr>
              <w:t>costs</w:t>
            </w:r>
          </w:p>
        </w:tc>
        <w:tc>
          <w:tcPr>
            <w:tcW w:w="1587" w:type="dxa"/>
            <w:tcBorders>
              <w:top w:val="single" w:sz="4" w:space="0" w:color="000000"/>
              <w:bottom w:val="single" w:sz="4" w:space="0" w:color="000000"/>
            </w:tcBorders>
          </w:tcPr>
          <w:p>
            <w:pPr>
              <w:pStyle w:val="TableParagraph"/>
              <w:jc w:val="left"/>
              <w:rPr>
                <w:sz w:val="18"/>
              </w:rPr>
            </w:pPr>
          </w:p>
        </w:tc>
        <w:tc>
          <w:tcPr>
            <w:tcW w:w="963" w:type="dxa"/>
            <w:tcBorders>
              <w:top w:val="single" w:sz="4" w:space="0" w:color="000000"/>
              <w:bottom w:val="single" w:sz="4" w:space="0" w:color="000000"/>
            </w:tcBorders>
          </w:tcPr>
          <w:p>
            <w:pPr>
              <w:pStyle w:val="TableParagraph"/>
              <w:jc w:val="left"/>
              <w:rPr>
                <w:sz w:val="18"/>
              </w:rPr>
            </w:pPr>
          </w:p>
        </w:tc>
        <w:tc>
          <w:tcPr>
            <w:tcW w:w="1016" w:type="dxa"/>
            <w:tcBorders>
              <w:top w:val="single" w:sz="4" w:space="0" w:color="000000"/>
              <w:bottom w:val="single" w:sz="4" w:space="0" w:color="000000"/>
            </w:tcBorders>
          </w:tcPr>
          <w:p>
            <w:pPr>
              <w:pStyle w:val="TableParagraph"/>
              <w:jc w:val="left"/>
              <w:rPr>
                <w:sz w:val="18"/>
              </w:rPr>
            </w:pPr>
          </w:p>
        </w:tc>
        <w:tc>
          <w:tcPr>
            <w:tcW w:w="879" w:type="dxa"/>
            <w:tcBorders>
              <w:top w:val="single" w:sz="4" w:space="0" w:color="000000"/>
              <w:bottom w:val="single" w:sz="4" w:space="0" w:color="000000"/>
            </w:tcBorders>
          </w:tcPr>
          <w:p>
            <w:pPr>
              <w:pStyle w:val="TableParagraph"/>
              <w:jc w:val="left"/>
              <w:rPr>
                <w:sz w:val="18"/>
              </w:rPr>
            </w:pPr>
          </w:p>
        </w:tc>
      </w:tr>
      <w:tr>
        <w:trPr>
          <w:trHeight w:val="326" w:hRule="atLeast"/>
        </w:trPr>
        <w:tc>
          <w:tcPr>
            <w:tcW w:w="2980" w:type="dxa"/>
            <w:tcBorders>
              <w:top w:val="single" w:sz="4" w:space="0" w:color="000000"/>
              <w:bottom w:val="single" w:sz="4" w:space="0" w:color="000000"/>
            </w:tcBorders>
          </w:tcPr>
          <w:p>
            <w:pPr>
              <w:pStyle w:val="TableParagraph"/>
              <w:spacing w:before="62"/>
              <w:ind w:left="14"/>
              <w:jc w:val="left"/>
              <w:rPr>
                <w:sz w:val="18"/>
              </w:rPr>
            </w:pPr>
            <w:r>
              <w:rPr>
                <w:sz w:val="18"/>
              </w:rPr>
              <w:t>Staff</w:t>
            </w:r>
            <w:r>
              <w:rPr>
                <w:spacing w:val="-2"/>
                <w:sz w:val="18"/>
              </w:rPr>
              <w:t> costs</w:t>
            </w:r>
          </w:p>
        </w:tc>
        <w:tc>
          <w:tcPr>
            <w:tcW w:w="1587" w:type="dxa"/>
            <w:tcBorders>
              <w:top w:val="single" w:sz="4" w:space="0" w:color="000000"/>
              <w:bottom w:val="single" w:sz="4" w:space="0" w:color="000000"/>
            </w:tcBorders>
          </w:tcPr>
          <w:p>
            <w:pPr>
              <w:pStyle w:val="TableParagraph"/>
              <w:spacing w:before="62"/>
              <w:ind w:right="185"/>
              <w:rPr>
                <w:sz w:val="18"/>
              </w:rPr>
            </w:pPr>
            <w:r>
              <w:rPr>
                <w:spacing w:val="-2"/>
                <w:sz w:val="18"/>
              </w:rPr>
              <w:t>265.5</w:t>
            </w:r>
          </w:p>
        </w:tc>
        <w:tc>
          <w:tcPr>
            <w:tcW w:w="963" w:type="dxa"/>
            <w:tcBorders>
              <w:top w:val="single" w:sz="4" w:space="0" w:color="000000"/>
              <w:bottom w:val="single" w:sz="4" w:space="0" w:color="000000"/>
            </w:tcBorders>
          </w:tcPr>
          <w:p>
            <w:pPr>
              <w:pStyle w:val="TableParagraph"/>
              <w:spacing w:before="62"/>
              <w:ind w:right="135"/>
              <w:rPr>
                <w:sz w:val="18"/>
              </w:rPr>
            </w:pPr>
            <w:r>
              <w:rPr>
                <w:spacing w:val="-2"/>
                <w:sz w:val="18"/>
              </w:rPr>
              <w:t>158.0</w:t>
            </w:r>
          </w:p>
        </w:tc>
        <w:tc>
          <w:tcPr>
            <w:tcW w:w="1016" w:type="dxa"/>
            <w:tcBorders>
              <w:top w:val="single" w:sz="4" w:space="0" w:color="000000"/>
              <w:bottom w:val="single" w:sz="4" w:space="0" w:color="000000"/>
            </w:tcBorders>
          </w:tcPr>
          <w:p>
            <w:pPr>
              <w:pStyle w:val="TableParagraph"/>
              <w:spacing w:before="62"/>
              <w:ind w:right="244"/>
              <w:rPr>
                <w:sz w:val="18"/>
              </w:rPr>
            </w:pPr>
            <w:r>
              <w:rPr>
                <w:spacing w:val="-4"/>
                <w:sz w:val="18"/>
              </w:rPr>
              <w:t>82.5</w:t>
            </w:r>
          </w:p>
        </w:tc>
        <w:tc>
          <w:tcPr>
            <w:tcW w:w="879" w:type="dxa"/>
            <w:tcBorders>
              <w:top w:val="single" w:sz="4" w:space="0" w:color="000000"/>
              <w:bottom w:val="single" w:sz="4" w:space="0" w:color="000000"/>
            </w:tcBorders>
          </w:tcPr>
          <w:p>
            <w:pPr>
              <w:pStyle w:val="TableParagraph"/>
              <w:spacing w:before="62"/>
              <w:ind w:right="1"/>
              <w:rPr>
                <w:sz w:val="18"/>
              </w:rPr>
            </w:pPr>
            <w:r>
              <w:rPr>
                <w:spacing w:val="-2"/>
                <w:sz w:val="18"/>
              </w:rPr>
              <w:t>506.0</w:t>
            </w:r>
          </w:p>
        </w:tc>
      </w:tr>
      <w:tr>
        <w:trPr>
          <w:trHeight w:val="326" w:hRule="atLeast"/>
        </w:trPr>
        <w:tc>
          <w:tcPr>
            <w:tcW w:w="2980" w:type="dxa"/>
            <w:tcBorders>
              <w:top w:val="single" w:sz="4" w:space="0" w:color="000000"/>
              <w:bottom w:val="single" w:sz="4" w:space="0" w:color="000000"/>
            </w:tcBorders>
          </w:tcPr>
          <w:p>
            <w:pPr>
              <w:pStyle w:val="TableParagraph"/>
              <w:spacing w:before="62"/>
              <w:ind w:left="14"/>
              <w:jc w:val="left"/>
              <w:rPr>
                <w:sz w:val="18"/>
              </w:rPr>
            </w:pPr>
            <w:r>
              <w:rPr>
                <w:sz w:val="18"/>
              </w:rPr>
              <w:t>Non-staff</w:t>
            </w:r>
            <w:r>
              <w:rPr>
                <w:spacing w:val="-4"/>
                <w:sz w:val="18"/>
              </w:rPr>
              <w:t> </w:t>
            </w:r>
            <w:r>
              <w:rPr>
                <w:spacing w:val="-2"/>
                <w:sz w:val="18"/>
              </w:rPr>
              <w:t>costs</w:t>
            </w:r>
          </w:p>
        </w:tc>
        <w:tc>
          <w:tcPr>
            <w:tcW w:w="1587" w:type="dxa"/>
            <w:tcBorders>
              <w:top w:val="single" w:sz="4" w:space="0" w:color="000000"/>
              <w:bottom w:val="single" w:sz="4" w:space="0" w:color="000000"/>
            </w:tcBorders>
          </w:tcPr>
          <w:p>
            <w:pPr>
              <w:pStyle w:val="TableParagraph"/>
              <w:spacing w:before="62"/>
              <w:ind w:right="186"/>
              <w:rPr>
                <w:sz w:val="18"/>
              </w:rPr>
            </w:pPr>
            <w:r>
              <w:rPr>
                <w:spacing w:val="-2"/>
                <w:sz w:val="18"/>
              </w:rPr>
              <w:t>1,757.0</w:t>
            </w:r>
          </w:p>
        </w:tc>
        <w:tc>
          <w:tcPr>
            <w:tcW w:w="963" w:type="dxa"/>
            <w:tcBorders>
              <w:top w:val="single" w:sz="4" w:space="0" w:color="000000"/>
              <w:bottom w:val="single" w:sz="4" w:space="0" w:color="000000"/>
            </w:tcBorders>
          </w:tcPr>
          <w:p>
            <w:pPr>
              <w:pStyle w:val="TableParagraph"/>
              <w:spacing w:before="62"/>
              <w:ind w:right="135"/>
              <w:rPr>
                <w:sz w:val="18"/>
              </w:rPr>
            </w:pPr>
            <w:r>
              <w:rPr>
                <w:spacing w:val="-2"/>
                <w:sz w:val="18"/>
              </w:rPr>
              <w:t>183.7</w:t>
            </w:r>
          </w:p>
        </w:tc>
        <w:tc>
          <w:tcPr>
            <w:tcW w:w="1016" w:type="dxa"/>
            <w:tcBorders>
              <w:top w:val="single" w:sz="4" w:space="0" w:color="000000"/>
              <w:bottom w:val="single" w:sz="4" w:space="0" w:color="000000"/>
            </w:tcBorders>
          </w:tcPr>
          <w:p>
            <w:pPr>
              <w:pStyle w:val="TableParagraph"/>
              <w:spacing w:before="62"/>
              <w:ind w:right="243"/>
              <w:rPr>
                <w:sz w:val="18"/>
              </w:rPr>
            </w:pPr>
            <w:r>
              <w:rPr>
                <w:spacing w:val="-2"/>
                <w:sz w:val="18"/>
              </w:rPr>
              <w:t>420.3</w:t>
            </w:r>
          </w:p>
        </w:tc>
        <w:tc>
          <w:tcPr>
            <w:tcW w:w="879" w:type="dxa"/>
            <w:tcBorders>
              <w:top w:val="single" w:sz="4" w:space="0" w:color="000000"/>
              <w:bottom w:val="single" w:sz="4" w:space="0" w:color="000000"/>
            </w:tcBorders>
          </w:tcPr>
          <w:p>
            <w:pPr>
              <w:pStyle w:val="TableParagraph"/>
              <w:spacing w:before="62"/>
              <w:ind w:right="1"/>
              <w:rPr>
                <w:sz w:val="18"/>
              </w:rPr>
            </w:pPr>
            <w:r>
              <w:rPr>
                <w:spacing w:val="-2"/>
                <w:sz w:val="18"/>
              </w:rPr>
              <w:t>2,361.0</w:t>
            </w:r>
          </w:p>
        </w:tc>
      </w:tr>
      <w:tr>
        <w:trPr>
          <w:trHeight w:val="330" w:hRule="atLeast"/>
        </w:trPr>
        <w:tc>
          <w:tcPr>
            <w:tcW w:w="2980" w:type="dxa"/>
            <w:tcBorders>
              <w:top w:val="single" w:sz="4" w:space="0" w:color="000000"/>
              <w:bottom w:val="single" w:sz="4" w:space="0" w:color="000000"/>
            </w:tcBorders>
          </w:tcPr>
          <w:p>
            <w:pPr>
              <w:pStyle w:val="TableParagraph"/>
              <w:spacing w:before="62"/>
              <w:ind w:left="14"/>
              <w:jc w:val="left"/>
              <w:rPr>
                <w:i/>
                <w:sz w:val="18"/>
              </w:rPr>
            </w:pPr>
            <w:r>
              <w:rPr>
                <w:i/>
                <w:sz w:val="18"/>
              </w:rPr>
              <w:t>Total</w:t>
            </w:r>
            <w:r>
              <w:rPr>
                <w:i/>
                <w:spacing w:val="-2"/>
                <w:sz w:val="18"/>
              </w:rPr>
              <w:t> strategy</w:t>
            </w:r>
          </w:p>
        </w:tc>
        <w:tc>
          <w:tcPr>
            <w:tcW w:w="1587" w:type="dxa"/>
            <w:tcBorders>
              <w:top w:val="single" w:sz="4" w:space="0" w:color="000000"/>
              <w:bottom w:val="single" w:sz="4" w:space="0" w:color="000000"/>
            </w:tcBorders>
          </w:tcPr>
          <w:p>
            <w:pPr>
              <w:pStyle w:val="TableParagraph"/>
              <w:spacing w:before="62"/>
              <w:ind w:right="186"/>
              <w:rPr>
                <w:i/>
                <w:sz w:val="18"/>
              </w:rPr>
            </w:pPr>
            <w:r>
              <w:rPr>
                <w:i/>
                <w:spacing w:val="-2"/>
                <w:sz w:val="18"/>
              </w:rPr>
              <w:t>2,022.5</w:t>
            </w:r>
          </w:p>
        </w:tc>
        <w:tc>
          <w:tcPr>
            <w:tcW w:w="963" w:type="dxa"/>
            <w:tcBorders>
              <w:top w:val="single" w:sz="4" w:space="0" w:color="000000"/>
              <w:bottom w:val="single" w:sz="4" w:space="0" w:color="000000"/>
            </w:tcBorders>
          </w:tcPr>
          <w:p>
            <w:pPr>
              <w:pStyle w:val="TableParagraph"/>
              <w:spacing w:before="62"/>
              <w:ind w:right="135"/>
              <w:rPr>
                <w:i/>
                <w:sz w:val="18"/>
              </w:rPr>
            </w:pPr>
            <w:r>
              <w:rPr>
                <w:i/>
                <w:spacing w:val="-2"/>
                <w:sz w:val="18"/>
              </w:rPr>
              <w:t>341.7</w:t>
            </w:r>
          </w:p>
        </w:tc>
        <w:tc>
          <w:tcPr>
            <w:tcW w:w="1016" w:type="dxa"/>
            <w:tcBorders>
              <w:top w:val="single" w:sz="4" w:space="0" w:color="000000"/>
              <w:bottom w:val="single" w:sz="4" w:space="0" w:color="000000"/>
            </w:tcBorders>
          </w:tcPr>
          <w:p>
            <w:pPr>
              <w:pStyle w:val="TableParagraph"/>
              <w:spacing w:before="62"/>
              <w:ind w:right="243"/>
              <w:rPr>
                <w:i/>
                <w:sz w:val="18"/>
              </w:rPr>
            </w:pPr>
            <w:r>
              <w:rPr>
                <w:i/>
                <w:spacing w:val="-2"/>
                <w:sz w:val="18"/>
              </w:rPr>
              <w:t>502.8</w:t>
            </w:r>
          </w:p>
        </w:tc>
        <w:tc>
          <w:tcPr>
            <w:tcW w:w="879" w:type="dxa"/>
            <w:tcBorders>
              <w:top w:val="single" w:sz="4" w:space="0" w:color="000000"/>
              <w:bottom w:val="single" w:sz="4" w:space="0" w:color="000000"/>
            </w:tcBorders>
          </w:tcPr>
          <w:p>
            <w:pPr>
              <w:pStyle w:val="TableParagraph"/>
              <w:spacing w:before="62"/>
              <w:ind w:right="1"/>
              <w:rPr>
                <w:i/>
                <w:sz w:val="18"/>
              </w:rPr>
            </w:pPr>
            <w:r>
              <w:rPr>
                <w:i/>
                <w:spacing w:val="-2"/>
                <w:sz w:val="18"/>
              </w:rPr>
              <w:t>2,867.0</w:t>
            </w:r>
          </w:p>
        </w:tc>
      </w:tr>
      <w:tr>
        <w:trPr>
          <w:trHeight w:val="326" w:hRule="atLeast"/>
        </w:trPr>
        <w:tc>
          <w:tcPr>
            <w:tcW w:w="2980" w:type="dxa"/>
            <w:tcBorders>
              <w:top w:val="single" w:sz="4" w:space="0" w:color="000000"/>
              <w:bottom w:val="single" w:sz="4" w:space="0" w:color="000000"/>
            </w:tcBorders>
          </w:tcPr>
          <w:p>
            <w:pPr>
              <w:pStyle w:val="TableParagraph"/>
              <w:spacing w:before="62"/>
              <w:ind w:left="14"/>
              <w:jc w:val="left"/>
              <w:rPr>
                <w:b/>
                <w:sz w:val="18"/>
              </w:rPr>
            </w:pPr>
            <w:r>
              <w:rPr>
                <w:b/>
                <w:sz w:val="18"/>
              </w:rPr>
              <w:t>Other</w:t>
            </w:r>
            <w:r>
              <w:rPr>
                <w:b/>
                <w:spacing w:val="-6"/>
                <w:sz w:val="18"/>
              </w:rPr>
              <w:t> </w:t>
            </w:r>
            <w:r>
              <w:rPr>
                <w:b/>
                <w:sz w:val="18"/>
              </w:rPr>
              <w:t>non-recurrent</w:t>
            </w:r>
            <w:r>
              <w:rPr>
                <w:b/>
                <w:spacing w:val="-5"/>
                <w:sz w:val="18"/>
              </w:rPr>
              <w:t> </w:t>
            </w:r>
            <w:r>
              <w:rPr>
                <w:b/>
                <w:sz w:val="18"/>
              </w:rPr>
              <w:t>IT/IM</w:t>
            </w:r>
            <w:r>
              <w:rPr>
                <w:b/>
                <w:spacing w:val="-5"/>
                <w:sz w:val="18"/>
              </w:rPr>
              <w:t> </w:t>
            </w:r>
            <w:r>
              <w:rPr>
                <w:b/>
                <w:spacing w:val="-4"/>
                <w:sz w:val="18"/>
              </w:rPr>
              <w:t>costs</w:t>
            </w:r>
          </w:p>
        </w:tc>
        <w:tc>
          <w:tcPr>
            <w:tcW w:w="1587" w:type="dxa"/>
            <w:tcBorders>
              <w:top w:val="single" w:sz="4" w:space="0" w:color="000000"/>
              <w:bottom w:val="single" w:sz="4" w:space="0" w:color="000000"/>
            </w:tcBorders>
          </w:tcPr>
          <w:p>
            <w:pPr>
              <w:pStyle w:val="TableParagraph"/>
              <w:jc w:val="left"/>
              <w:rPr>
                <w:sz w:val="18"/>
              </w:rPr>
            </w:pPr>
          </w:p>
        </w:tc>
        <w:tc>
          <w:tcPr>
            <w:tcW w:w="963" w:type="dxa"/>
            <w:tcBorders>
              <w:top w:val="single" w:sz="4" w:space="0" w:color="000000"/>
              <w:bottom w:val="single" w:sz="4" w:space="0" w:color="000000"/>
            </w:tcBorders>
          </w:tcPr>
          <w:p>
            <w:pPr>
              <w:pStyle w:val="TableParagraph"/>
              <w:jc w:val="left"/>
              <w:rPr>
                <w:sz w:val="18"/>
              </w:rPr>
            </w:pPr>
          </w:p>
        </w:tc>
        <w:tc>
          <w:tcPr>
            <w:tcW w:w="1016" w:type="dxa"/>
            <w:tcBorders>
              <w:top w:val="single" w:sz="4" w:space="0" w:color="000000"/>
              <w:bottom w:val="single" w:sz="4" w:space="0" w:color="000000"/>
            </w:tcBorders>
          </w:tcPr>
          <w:p>
            <w:pPr>
              <w:pStyle w:val="TableParagraph"/>
              <w:jc w:val="left"/>
              <w:rPr>
                <w:sz w:val="18"/>
              </w:rPr>
            </w:pPr>
          </w:p>
        </w:tc>
        <w:tc>
          <w:tcPr>
            <w:tcW w:w="879" w:type="dxa"/>
            <w:tcBorders>
              <w:top w:val="single" w:sz="4" w:space="0" w:color="000000"/>
              <w:bottom w:val="single" w:sz="4" w:space="0" w:color="000000"/>
            </w:tcBorders>
          </w:tcPr>
          <w:p>
            <w:pPr>
              <w:pStyle w:val="TableParagraph"/>
              <w:jc w:val="left"/>
              <w:rPr>
                <w:sz w:val="18"/>
              </w:rPr>
            </w:pPr>
          </w:p>
        </w:tc>
      </w:tr>
      <w:tr>
        <w:trPr>
          <w:trHeight w:val="326" w:hRule="atLeast"/>
        </w:trPr>
        <w:tc>
          <w:tcPr>
            <w:tcW w:w="2980" w:type="dxa"/>
            <w:tcBorders>
              <w:top w:val="single" w:sz="4" w:space="0" w:color="000000"/>
              <w:bottom w:val="single" w:sz="4" w:space="0" w:color="000000"/>
            </w:tcBorders>
          </w:tcPr>
          <w:p>
            <w:pPr>
              <w:pStyle w:val="TableParagraph"/>
              <w:spacing w:before="62"/>
              <w:ind w:left="14"/>
              <w:jc w:val="left"/>
              <w:rPr>
                <w:i/>
                <w:sz w:val="18"/>
              </w:rPr>
            </w:pPr>
            <w:r>
              <w:rPr>
                <w:i/>
                <w:sz w:val="18"/>
              </w:rPr>
              <w:t>Non-staff</w:t>
            </w:r>
            <w:r>
              <w:rPr>
                <w:i/>
                <w:spacing w:val="-3"/>
                <w:sz w:val="18"/>
              </w:rPr>
              <w:t> </w:t>
            </w:r>
            <w:r>
              <w:rPr>
                <w:i/>
                <w:spacing w:val="-2"/>
                <w:sz w:val="18"/>
              </w:rPr>
              <w:t>costs</w:t>
            </w:r>
          </w:p>
        </w:tc>
        <w:tc>
          <w:tcPr>
            <w:tcW w:w="1587" w:type="dxa"/>
            <w:tcBorders>
              <w:top w:val="single" w:sz="4" w:space="0" w:color="000000"/>
              <w:bottom w:val="single" w:sz="4" w:space="0" w:color="000000"/>
            </w:tcBorders>
          </w:tcPr>
          <w:p>
            <w:pPr>
              <w:pStyle w:val="TableParagraph"/>
              <w:jc w:val="left"/>
              <w:rPr>
                <w:sz w:val="18"/>
              </w:rPr>
            </w:pPr>
          </w:p>
        </w:tc>
        <w:tc>
          <w:tcPr>
            <w:tcW w:w="963" w:type="dxa"/>
            <w:tcBorders>
              <w:top w:val="single" w:sz="4" w:space="0" w:color="000000"/>
              <w:bottom w:val="single" w:sz="4" w:space="0" w:color="000000"/>
            </w:tcBorders>
          </w:tcPr>
          <w:p>
            <w:pPr>
              <w:pStyle w:val="TableParagraph"/>
              <w:spacing w:before="62"/>
              <w:ind w:right="136"/>
              <w:rPr>
                <w:i/>
                <w:sz w:val="18"/>
              </w:rPr>
            </w:pPr>
            <w:r>
              <w:rPr>
                <w:i/>
                <w:spacing w:val="-4"/>
                <w:sz w:val="18"/>
              </w:rPr>
              <w:t>70.2</w:t>
            </w:r>
          </w:p>
        </w:tc>
        <w:tc>
          <w:tcPr>
            <w:tcW w:w="1016" w:type="dxa"/>
            <w:tcBorders>
              <w:top w:val="single" w:sz="4" w:space="0" w:color="000000"/>
              <w:bottom w:val="single" w:sz="4" w:space="0" w:color="000000"/>
            </w:tcBorders>
          </w:tcPr>
          <w:p>
            <w:pPr>
              <w:pStyle w:val="TableParagraph"/>
              <w:spacing w:before="62"/>
              <w:ind w:right="244"/>
              <w:rPr>
                <w:i/>
                <w:sz w:val="18"/>
              </w:rPr>
            </w:pPr>
            <w:r>
              <w:rPr>
                <w:i/>
                <w:spacing w:val="-2"/>
                <w:sz w:val="18"/>
              </w:rPr>
              <w:t>1040.7</w:t>
            </w:r>
          </w:p>
        </w:tc>
        <w:tc>
          <w:tcPr>
            <w:tcW w:w="879" w:type="dxa"/>
            <w:tcBorders>
              <w:top w:val="single" w:sz="4" w:space="0" w:color="000000"/>
              <w:bottom w:val="single" w:sz="4" w:space="0" w:color="000000"/>
            </w:tcBorders>
          </w:tcPr>
          <w:p>
            <w:pPr>
              <w:pStyle w:val="TableParagraph"/>
              <w:spacing w:before="62"/>
              <w:ind w:right="1"/>
              <w:rPr>
                <w:i/>
                <w:sz w:val="18"/>
              </w:rPr>
            </w:pPr>
            <w:r>
              <w:rPr>
                <w:i/>
                <w:spacing w:val="-2"/>
                <w:sz w:val="18"/>
              </w:rPr>
              <w:t>1110.9</w:t>
            </w:r>
          </w:p>
        </w:tc>
      </w:tr>
      <w:tr>
        <w:trPr>
          <w:trHeight w:val="326" w:hRule="atLeast"/>
        </w:trPr>
        <w:tc>
          <w:tcPr>
            <w:tcW w:w="2980" w:type="dxa"/>
            <w:tcBorders>
              <w:top w:val="single" w:sz="4" w:space="0" w:color="000000"/>
              <w:bottom w:val="single" w:sz="4" w:space="0" w:color="000000"/>
            </w:tcBorders>
          </w:tcPr>
          <w:p>
            <w:pPr>
              <w:pStyle w:val="TableParagraph"/>
              <w:spacing w:before="62"/>
              <w:ind w:left="14"/>
              <w:jc w:val="left"/>
              <w:rPr>
                <w:b/>
                <w:sz w:val="18"/>
              </w:rPr>
            </w:pPr>
            <w:r>
              <w:rPr>
                <w:b/>
                <w:sz w:val="18"/>
              </w:rPr>
              <w:t>Total</w:t>
            </w:r>
            <w:r>
              <w:rPr>
                <w:b/>
                <w:spacing w:val="-1"/>
                <w:sz w:val="18"/>
              </w:rPr>
              <w:t> </w:t>
            </w:r>
            <w:r>
              <w:rPr>
                <w:b/>
                <w:sz w:val="18"/>
              </w:rPr>
              <w:t>Court-wide</w:t>
            </w:r>
            <w:r>
              <w:rPr>
                <w:b/>
                <w:spacing w:val="-7"/>
                <w:sz w:val="18"/>
              </w:rPr>
              <w:t> </w:t>
            </w:r>
            <w:r>
              <w:rPr>
                <w:b/>
                <w:spacing w:val="-4"/>
                <w:sz w:val="18"/>
              </w:rPr>
              <w:t>IT/IM</w:t>
            </w:r>
          </w:p>
        </w:tc>
        <w:tc>
          <w:tcPr>
            <w:tcW w:w="1587" w:type="dxa"/>
            <w:tcBorders>
              <w:top w:val="single" w:sz="4" w:space="0" w:color="000000"/>
              <w:bottom w:val="single" w:sz="4" w:space="0" w:color="000000"/>
            </w:tcBorders>
          </w:tcPr>
          <w:p>
            <w:pPr>
              <w:pStyle w:val="TableParagraph"/>
              <w:spacing w:before="62"/>
              <w:ind w:right="186"/>
              <w:rPr>
                <w:b/>
                <w:sz w:val="18"/>
              </w:rPr>
            </w:pPr>
            <w:r>
              <w:rPr>
                <w:b/>
                <w:spacing w:val="-2"/>
                <w:sz w:val="18"/>
              </w:rPr>
              <w:t>14,067.4</w:t>
            </w:r>
          </w:p>
        </w:tc>
        <w:tc>
          <w:tcPr>
            <w:tcW w:w="963" w:type="dxa"/>
            <w:tcBorders>
              <w:top w:val="single" w:sz="4" w:space="0" w:color="000000"/>
              <w:bottom w:val="single" w:sz="4" w:space="0" w:color="000000"/>
            </w:tcBorders>
          </w:tcPr>
          <w:p>
            <w:pPr>
              <w:pStyle w:val="TableParagraph"/>
              <w:spacing w:before="62"/>
              <w:ind w:right="140"/>
              <w:rPr>
                <w:b/>
                <w:sz w:val="18"/>
              </w:rPr>
            </w:pPr>
            <w:r>
              <w:rPr>
                <w:b/>
                <w:spacing w:val="-2"/>
                <w:sz w:val="18"/>
              </w:rPr>
              <w:t>13,294.4</w:t>
            </w:r>
          </w:p>
        </w:tc>
        <w:tc>
          <w:tcPr>
            <w:tcW w:w="1016" w:type="dxa"/>
            <w:tcBorders>
              <w:top w:val="single" w:sz="4" w:space="0" w:color="000000"/>
              <w:bottom w:val="single" w:sz="4" w:space="0" w:color="000000"/>
            </w:tcBorders>
          </w:tcPr>
          <w:p>
            <w:pPr>
              <w:pStyle w:val="TableParagraph"/>
              <w:spacing w:before="62"/>
              <w:ind w:right="244"/>
              <w:rPr>
                <w:b/>
                <w:sz w:val="18"/>
              </w:rPr>
            </w:pPr>
            <w:r>
              <w:rPr>
                <w:b/>
                <w:spacing w:val="-2"/>
                <w:sz w:val="18"/>
              </w:rPr>
              <w:t>14,525.4</w:t>
            </w:r>
          </w:p>
        </w:tc>
        <w:tc>
          <w:tcPr>
            <w:tcW w:w="879" w:type="dxa"/>
            <w:tcBorders>
              <w:top w:val="single" w:sz="4" w:space="0" w:color="000000"/>
              <w:bottom w:val="single" w:sz="4" w:space="0" w:color="000000"/>
            </w:tcBorders>
          </w:tcPr>
          <w:p>
            <w:pPr>
              <w:pStyle w:val="TableParagraph"/>
              <w:spacing w:before="62"/>
              <w:ind w:right="1"/>
              <w:rPr>
                <w:b/>
                <w:sz w:val="18"/>
              </w:rPr>
            </w:pPr>
            <w:r>
              <w:rPr>
                <w:b/>
                <w:spacing w:val="-2"/>
                <w:sz w:val="18"/>
              </w:rPr>
              <w:t>41,887.2</w:t>
            </w:r>
          </w:p>
        </w:tc>
      </w:tr>
      <w:tr>
        <w:trPr>
          <w:trHeight w:val="537" w:hRule="atLeast"/>
        </w:trPr>
        <w:tc>
          <w:tcPr>
            <w:tcW w:w="2980" w:type="dxa"/>
            <w:tcBorders>
              <w:top w:val="single" w:sz="4" w:space="0" w:color="000000"/>
              <w:bottom w:val="single" w:sz="4" w:space="0" w:color="000000"/>
            </w:tcBorders>
          </w:tcPr>
          <w:p>
            <w:pPr>
              <w:pStyle w:val="TableParagraph"/>
              <w:spacing w:before="62"/>
              <w:ind w:left="14" w:right="84"/>
              <w:jc w:val="left"/>
              <w:rPr>
                <w:i/>
                <w:sz w:val="18"/>
              </w:rPr>
            </w:pPr>
            <w:r>
              <w:rPr>
                <w:i/>
                <w:sz w:val="18"/>
              </w:rPr>
              <w:t>Total</w:t>
            </w:r>
            <w:r>
              <w:rPr>
                <w:i/>
                <w:spacing w:val="-8"/>
                <w:sz w:val="18"/>
              </w:rPr>
              <w:t> </w:t>
            </w:r>
            <w:r>
              <w:rPr>
                <w:i/>
                <w:sz w:val="18"/>
              </w:rPr>
              <w:t>delta</w:t>
            </w:r>
            <w:r>
              <w:rPr>
                <w:i/>
                <w:spacing w:val="-12"/>
                <w:sz w:val="18"/>
              </w:rPr>
              <w:t> </w:t>
            </w:r>
            <w:r>
              <w:rPr>
                <w:i/>
                <w:sz w:val="18"/>
              </w:rPr>
              <w:t>from</w:t>
            </w:r>
            <w:r>
              <w:rPr>
                <w:i/>
                <w:spacing w:val="-10"/>
                <w:sz w:val="18"/>
              </w:rPr>
              <w:t> </w:t>
            </w:r>
            <w:r>
              <w:rPr>
                <w:i/>
                <w:sz w:val="18"/>
              </w:rPr>
              <w:t>previous</w:t>
            </w:r>
            <w:r>
              <w:rPr>
                <w:i/>
                <w:spacing w:val="-8"/>
                <w:sz w:val="18"/>
              </w:rPr>
              <w:t> </w:t>
            </w:r>
            <w:r>
              <w:rPr>
                <w:i/>
                <w:sz w:val="18"/>
              </w:rPr>
              <w:t>year</w:t>
            </w:r>
            <w:r>
              <w:rPr>
                <w:i/>
                <w:sz w:val="18"/>
              </w:rPr>
              <w:t> (including strategy)</w:t>
            </w:r>
          </w:p>
        </w:tc>
        <w:tc>
          <w:tcPr>
            <w:tcW w:w="1587" w:type="dxa"/>
            <w:tcBorders>
              <w:top w:val="single" w:sz="4" w:space="0" w:color="000000"/>
              <w:bottom w:val="single" w:sz="4" w:space="0" w:color="000000"/>
            </w:tcBorders>
          </w:tcPr>
          <w:p>
            <w:pPr>
              <w:pStyle w:val="TableParagraph"/>
              <w:spacing w:before="168"/>
              <w:ind w:right="186"/>
              <w:rPr>
                <w:i/>
                <w:sz w:val="18"/>
              </w:rPr>
            </w:pPr>
            <w:r>
              <w:rPr>
                <w:i/>
                <w:sz w:val="18"/>
              </w:rPr>
              <w:t>-</w:t>
            </w:r>
            <w:r>
              <w:rPr>
                <w:i/>
                <w:spacing w:val="-2"/>
                <w:sz w:val="18"/>
              </w:rPr>
              <w:t>558.8</w:t>
            </w:r>
          </w:p>
        </w:tc>
        <w:tc>
          <w:tcPr>
            <w:tcW w:w="963" w:type="dxa"/>
            <w:tcBorders>
              <w:top w:val="single" w:sz="4" w:space="0" w:color="000000"/>
              <w:bottom w:val="single" w:sz="4" w:space="0" w:color="000000"/>
            </w:tcBorders>
          </w:tcPr>
          <w:p>
            <w:pPr>
              <w:pStyle w:val="TableParagraph"/>
              <w:spacing w:before="168"/>
              <w:ind w:right="135"/>
              <w:rPr>
                <w:i/>
                <w:sz w:val="18"/>
              </w:rPr>
            </w:pPr>
            <w:r>
              <w:rPr>
                <w:i/>
                <w:sz w:val="18"/>
              </w:rPr>
              <w:t>-</w:t>
            </w:r>
            <w:r>
              <w:rPr>
                <w:i/>
                <w:spacing w:val="-2"/>
                <w:sz w:val="18"/>
              </w:rPr>
              <w:t>743.0</w:t>
            </w:r>
          </w:p>
        </w:tc>
        <w:tc>
          <w:tcPr>
            <w:tcW w:w="1016" w:type="dxa"/>
            <w:tcBorders>
              <w:top w:val="single" w:sz="4" w:space="0" w:color="000000"/>
              <w:bottom w:val="single" w:sz="4" w:space="0" w:color="000000"/>
            </w:tcBorders>
          </w:tcPr>
          <w:p>
            <w:pPr>
              <w:pStyle w:val="TableParagraph"/>
              <w:spacing w:before="168"/>
              <w:ind w:right="244"/>
              <w:rPr>
                <w:i/>
                <w:sz w:val="18"/>
              </w:rPr>
            </w:pPr>
            <w:r>
              <w:rPr>
                <w:i/>
                <w:spacing w:val="-2"/>
                <w:sz w:val="18"/>
              </w:rPr>
              <w:t>1231.2</w:t>
            </w:r>
          </w:p>
        </w:tc>
        <w:tc>
          <w:tcPr>
            <w:tcW w:w="879" w:type="dxa"/>
            <w:tcBorders>
              <w:top w:val="single" w:sz="4" w:space="0" w:color="000000"/>
              <w:bottom w:val="single" w:sz="4" w:space="0" w:color="000000"/>
            </w:tcBorders>
          </w:tcPr>
          <w:p>
            <w:pPr>
              <w:pStyle w:val="TableParagraph"/>
              <w:spacing w:before="168"/>
              <w:ind w:right="1"/>
              <w:rPr>
                <w:i/>
                <w:sz w:val="18"/>
              </w:rPr>
            </w:pPr>
            <w:r>
              <w:rPr>
                <w:i/>
                <w:w w:val="101"/>
                <w:sz w:val="18"/>
              </w:rPr>
              <w:t>-</w:t>
            </w:r>
          </w:p>
        </w:tc>
      </w:tr>
    </w:tbl>
    <w:p>
      <w:pPr>
        <w:pStyle w:val="ListParagraph"/>
        <w:numPr>
          <w:ilvl w:val="0"/>
          <w:numId w:val="128"/>
        </w:numPr>
        <w:tabs>
          <w:tab w:pos="2966" w:val="left" w:leader="none"/>
          <w:tab w:pos="2967" w:val="left" w:leader="none"/>
        </w:tabs>
        <w:spacing w:line="240" w:lineRule="auto" w:before="122" w:after="0"/>
        <w:ind w:left="2246" w:right="2238" w:firstLine="0"/>
        <w:jc w:val="both"/>
        <w:rPr>
          <w:sz w:val="20"/>
        </w:rPr>
      </w:pPr>
      <w:r>
        <w:rPr>
          <w:sz w:val="20"/>
        </w:rPr>
        <w:t>Table 1 provides a three-year, high-level overview of actual costs for 2021, approved</w:t>
      </w:r>
      <w:r>
        <w:rPr>
          <w:spacing w:val="-4"/>
          <w:sz w:val="20"/>
        </w:rPr>
        <w:t> </w:t>
      </w:r>
      <w:r>
        <w:rPr>
          <w:sz w:val="20"/>
        </w:rPr>
        <w:t>costs for</w:t>
      </w:r>
      <w:r>
        <w:rPr>
          <w:spacing w:val="-4"/>
          <w:sz w:val="20"/>
        </w:rPr>
        <w:t> </w:t>
      </w:r>
      <w:r>
        <w:rPr>
          <w:sz w:val="20"/>
        </w:rPr>
        <w:t>2022</w:t>
      </w:r>
      <w:r>
        <w:rPr>
          <w:spacing w:val="-4"/>
          <w:sz w:val="20"/>
        </w:rPr>
        <w:t> </w:t>
      </w:r>
      <w:r>
        <w:rPr>
          <w:sz w:val="20"/>
        </w:rPr>
        <w:t>and</w:t>
      </w:r>
      <w:r>
        <w:rPr>
          <w:spacing w:val="-4"/>
          <w:sz w:val="20"/>
        </w:rPr>
        <w:t> </w:t>
      </w:r>
      <w:r>
        <w:rPr>
          <w:sz w:val="20"/>
        </w:rPr>
        <w:t>requested</w:t>
      </w:r>
      <w:r>
        <w:rPr>
          <w:spacing w:val="-4"/>
          <w:sz w:val="20"/>
        </w:rPr>
        <w:t> </w:t>
      </w:r>
      <w:r>
        <w:rPr>
          <w:sz w:val="20"/>
        </w:rPr>
        <w:t>funds for</w:t>
      </w:r>
      <w:r>
        <w:rPr>
          <w:spacing w:val="-4"/>
          <w:sz w:val="20"/>
        </w:rPr>
        <w:t> </w:t>
      </w:r>
      <w:r>
        <w:rPr>
          <w:sz w:val="20"/>
        </w:rPr>
        <w:t>2023. Further</w:t>
      </w:r>
      <w:r>
        <w:rPr>
          <w:spacing w:val="-4"/>
          <w:sz w:val="20"/>
        </w:rPr>
        <w:t> </w:t>
      </w:r>
      <w:r>
        <w:rPr>
          <w:sz w:val="20"/>
        </w:rPr>
        <w:t>itemization</w:t>
      </w:r>
      <w:r>
        <w:rPr>
          <w:spacing w:val="-4"/>
          <w:sz w:val="20"/>
        </w:rPr>
        <w:t> </w:t>
      </w:r>
      <w:r>
        <w:rPr>
          <w:sz w:val="20"/>
        </w:rPr>
        <w:t>of</w:t>
      </w:r>
      <w:r>
        <w:rPr>
          <w:spacing w:val="-4"/>
          <w:sz w:val="20"/>
        </w:rPr>
        <w:t> </w:t>
      </w:r>
      <w:r>
        <w:rPr>
          <w:sz w:val="20"/>
        </w:rPr>
        <w:t>lights-on</w:t>
      </w:r>
      <w:r>
        <w:rPr>
          <w:spacing w:val="-8"/>
          <w:sz w:val="20"/>
        </w:rPr>
        <w:t> </w:t>
      </w:r>
      <w:r>
        <w:rPr>
          <w:sz w:val="20"/>
        </w:rPr>
        <w:t>costs per cost centre is provided in Table 2. Further details for non-recurrent costs are given in Annex IX (a) on the IT/IM strategy and in Annex XIV on Court-wide capital investments.</w:t>
      </w:r>
    </w:p>
    <w:p>
      <w:pPr>
        <w:pStyle w:val="BodyText"/>
      </w:pPr>
    </w:p>
    <w:p>
      <w:pPr>
        <w:pStyle w:val="BodyText"/>
      </w:pPr>
    </w:p>
    <w:p>
      <w:pPr>
        <w:pStyle w:val="BodyText"/>
        <w:spacing w:before="2"/>
        <w:rPr>
          <w:sz w:val="18"/>
        </w:rPr>
      </w:pPr>
      <w:r>
        <w:rPr/>
        <w:pict>
          <v:rect style="position:absolute;margin-left:113.330002pt;margin-top:11.677337pt;width:144.050pt;height:.48004pt;mso-position-horizontal-relative:page;mso-position-vertical-relative:paragraph;z-index:-15670272;mso-wrap-distance-left:0;mso-wrap-distance-right:0" id="docshape451" filled="true" fillcolor="#000000" stroked="false">
            <v:fill type="solid"/>
            <w10:wrap type="topAndBottom"/>
          </v:rect>
        </w:pict>
      </w:r>
    </w:p>
    <w:p>
      <w:pPr>
        <w:spacing w:before="86"/>
        <w:ind w:left="2246" w:right="0" w:firstLine="0"/>
        <w:jc w:val="left"/>
        <w:rPr>
          <w:sz w:val="16"/>
        </w:rPr>
      </w:pPr>
      <w:r>
        <w:rPr>
          <w:position w:val="5"/>
          <w:sz w:val="10"/>
        </w:rPr>
        <w:t>154</w:t>
      </w:r>
      <w:r>
        <w:rPr>
          <w:spacing w:val="12"/>
          <w:position w:val="5"/>
          <w:sz w:val="10"/>
        </w:rPr>
        <w:t> </w:t>
      </w:r>
      <w:r>
        <w:rPr>
          <w:sz w:val="16"/>
        </w:rPr>
        <w:t>Annex</w:t>
      </w:r>
      <w:r>
        <w:rPr>
          <w:spacing w:val="-2"/>
          <w:sz w:val="16"/>
        </w:rPr>
        <w:t> </w:t>
      </w:r>
      <w:r>
        <w:rPr>
          <w:sz w:val="16"/>
        </w:rPr>
        <w:t>X</w:t>
      </w:r>
      <w:r>
        <w:rPr>
          <w:spacing w:val="-4"/>
          <w:sz w:val="16"/>
        </w:rPr>
        <w:t> </w:t>
      </w:r>
      <w:r>
        <w:rPr>
          <w:sz w:val="16"/>
        </w:rPr>
        <w:t>contains</w:t>
      </w:r>
      <w:r>
        <w:rPr>
          <w:spacing w:val="-4"/>
          <w:sz w:val="16"/>
        </w:rPr>
        <w:t> </w:t>
      </w:r>
      <w:r>
        <w:rPr>
          <w:sz w:val="16"/>
        </w:rPr>
        <w:t>details</w:t>
      </w:r>
      <w:r>
        <w:rPr>
          <w:spacing w:val="-4"/>
          <w:sz w:val="16"/>
        </w:rPr>
        <w:t> </w:t>
      </w:r>
      <w:r>
        <w:rPr>
          <w:sz w:val="16"/>
        </w:rPr>
        <w:t>of</w:t>
      </w:r>
      <w:r>
        <w:rPr>
          <w:spacing w:val="-4"/>
          <w:sz w:val="16"/>
        </w:rPr>
        <w:t> </w:t>
      </w:r>
      <w:r>
        <w:rPr>
          <w:sz w:val="16"/>
        </w:rPr>
        <w:t>proposed</w:t>
      </w:r>
      <w:r>
        <w:rPr>
          <w:spacing w:val="-2"/>
          <w:sz w:val="16"/>
        </w:rPr>
        <w:t> </w:t>
      </w:r>
      <w:r>
        <w:rPr>
          <w:sz w:val="16"/>
        </w:rPr>
        <w:t>2023</w:t>
      </w:r>
      <w:r>
        <w:rPr>
          <w:spacing w:val="-2"/>
          <w:sz w:val="16"/>
        </w:rPr>
        <w:t> </w:t>
      </w:r>
      <w:r>
        <w:rPr>
          <w:sz w:val="16"/>
        </w:rPr>
        <w:t>IT/IM strategic</w:t>
      </w:r>
      <w:r>
        <w:rPr>
          <w:spacing w:val="1"/>
          <w:sz w:val="16"/>
        </w:rPr>
        <w:t> </w:t>
      </w:r>
      <w:r>
        <w:rPr>
          <w:spacing w:val="-2"/>
          <w:sz w:val="16"/>
        </w:rPr>
        <w:t>investments.</w:t>
      </w:r>
    </w:p>
    <w:p>
      <w:pPr>
        <w:spacing w:after="0"/>
        <w:jc w:val="left"/>
        <w:rPr>
          <w:sz w:val="16"/>
        </w:rPr>
        <w:sectPr>
          <w:pgSz w:w="11910" w:h="16840"/>
          <w:pgMar w:header="957" w:footer="940" w:top="1140" w:bottom="1140" w:left="20" w:right="20"/>
        </w:sectPr>
      </w:pPr>
    </w:p>
    <w:p>
      <w:pPr>
        <w:pStyle w:val="ListParagraph"/>
        <w:numPr>
          <w:ilvl w:val="0"/>
          <w:numId w:val="128"/>
        </w:numPr>
        <w:tabs>
          <w:tab w:pos="2966" w:val="left" w:leader="none"/>
          <w:tab w:pos="2967" w:val="left" w:leader="none"/>
        </w:tabs>
        <w:spacing w:line="240" w:lineRule="auto" w:before="124" w:after="0"/>
        <w:ind w:left="2246" w:right="2243" w:firstLine="0"/>
        <w:jc w:val="both"/>
        <w:rPr>
          <w:sz w:val="20"/>
        </w:rPr>
      </w:pPr>
      <w:r>
        <w:rPr>
          <w:sz w:val="20"/>
        </w:rPr>
        <w:t>Total Court-wide IT/IM costs in 2021 were €14,067.4 thousand, €336.3 thousand less</w:t>
      </w:r>
      <w:r>
        <w:rPr>
          <w:spacing w:val="-11"/>
          <w:sz w:val="20"/>
        </w:rPr>
        <w:t> </w:t>
      </w:r>
      <w:r>
        <w:rPr>
          <w:sz w:val="20"/>
        </w:rPr>
        <w:t>than</w:t>
      </w:r>
      <w:r>
        <w:rPr>
          <w:spacing w:val="-9"/>
          <w:sz w:val="20"/>
        </w:rPr>
        <w:t> </w:t>
      </w:r>
      <w:r>
        <w:rPr>
          <w:sz w:val="20"/>
        </w:rPr>
        <w:t>the</w:t>
      </w:r>
      <w:r>
        <w:rPr>
          <w:spacing w:val="-8"/>
          <w:sz w:val="20"/>
        </w:rPr>
        <w:t> </w:t>
      </w:r>
      <w:r>
        <w:rPr>
          <w:sz w:val="20"/>
        </w:rPr>
        <w:t>approved</w:t>
      </w:r>
      <w:r>
        <w:rPr>
          <w:spacing w:val="-9"/>
          <w:sz w:val="20"/>
        </w:rPr>
        <w:t> </w:t>
      </w:r>
      <w:r>
        <w:rPr>
          <w:sz w:val="20"/>
        </w:rPr>
        <w:t>amount</w:t>
      </w:r>
      <w:r>
        <w:rPr>
          <w:spacing w:val="-8"/>
          <w:sz w:val="20"/>
        </w:rPr>
        <w:t> </w:t>
      </w:r>
      <w:r>
        <w:rPr>
          <w:sz w:val="20"/>
        </w:rPr>
        <w:t>of</w:t>
      </w:r>
      <w:r>
        <w:rPr>
          <w:spacing w:val="-9"/>
          <w:sz w:val="20"/>
        </w:rPr>
        <w:t> </w:t>
      </w:r>
      <w:r>
        <w:rPr>
          <w:sz w:val="20"/>
        </w:rPr>
        <w:t>€14,433.7</w:t>
      </w:r>
      <w:r>
        <w:rPr>
          <w:spacing w:val="-13"/>
          <w:sz w:val="20"/>
        </w:rPr>
        <w:t> </w:t>
      </w:r>
      <w:r>
        <w:rPr>
          <w:sz w:val="20"/>
        </w:rPr>
        <w:t>thousand</w:t>
      </w:r>
      <w:r>
        <w:rPr>
          <w:spacing w:val="-8"/>
          <w:sz w:val="20"/>
        </w:rPr>
        <w:t> </w:t>
      </w:r>
      <w:r>
        <w:rPr>
          <w:sz w:val="20"/>
        </w:rPr>
        <w:t>owing</w:t>
      </w:r>
      <w:r>
        <w:rPr>
          <w:spacing w:val="-9"/>
          <w:sz w:val="20"/>
        </w:rPr>
        <w:t> </w:t>
      </w:r>
      <w:r>
        <w:rPr>
          <w:sz w:val="20"/>
        </w:rPr>
        <w:t>to</w:t>
      </w:r>
      <w:r>
        <w:rPr>
          <w:spacing w:val="-5"/>
          <w:sz w:val="20"/>
        </w:rPr>
        <w:t> </w:t>
      </w:r>
      <w:r>
        <w:rPr>
          <w:sz w:val="20"/>
        </w:rPr>
        <w:t>vacant</w:t>
      </w:r>
      <w:r>
        <w:rPr>
          <w:spacing w:val="-8"/>
          <w:sz w:val="20"/>
        </w:rPr>
        <w:t> </w:t>
      </w:r>
      <w:r>
        <w:rPr>
          <w:sz w:val="20"/>
        </w:rPr>
        <w:t>staff</w:t>
      </w:r>
      <w:r>
        <w:rPr>
          <w:spacing w:val="-13"/>
          <w:sz w:val="20"/>
        </w:rPr>
        <w:t> </w:t>
      </w:r>
      <w:r>
        <w:rPr>
          <w:sz w:val="20"/>
        </w:rPr>
        <w:t>posts</w:t>
      </w:r>
      <w:r>
        <w:rPr>
          <w:spacing w:val="-10"/>
          <w:sz w:val="20"/>
        </w:rPr>
        <w:t> </w:t>
      </w:r>
      <w:r>
        <w:rPr>
          <w:sz w:val="20"/>
        </w:rPr>
        <w:t>and</w:t>
      </w:r>
      <w:r>
        <w:rPr>
          <w:spacing w:val="-9"/>
          <w:sz w:val="20"/>
        </w:rPr>
        <w:t> </w:t>
      </w:r>
      <w:r>
        <w:rPr>
          <w:sz w:val="20"/>
        </w:rPr>
        <w:t>a</w:t>
      </w:r>
      <w:r>
        <w:rPr>
          <w:spacing w:val="-11"/>
          <w:sz w:val="20"/>
        </w:rPr>
        <w:t> </w:t>
      </w:r>
      <w:r>
        <w:rPr>
          <w:sz w:val="20"/>
        </w:rPr>
        <w:t>minor underspend</w:t>
      </w:r>
      <w:r>
        <w:rPr>
          <w:spacing w:val="-13"/>
          <w:sz w:val="20"/>
        </w:rPr>
        <w:t> </w:t>
      </w:r>
      <w:r>
        <w:rPr>
          <w:sz w:val="20"/>
        </w:rPr>
        <w:t>of</w:t>
      </w:r>
      <w:r>
        <w:rPr>
          <w:spacing w:val="-12"/>
          <w:sz w:val="20"/>
        </w:rPr>
        <w:t> </w:t>
      </w:r>
      <w:r>
        <w:rPr>
          <w:sz w:val="20"/>
        </w:rPr>
        <w:t>€30.0</w:t>
      </w:r>
      <w:r>
        <w:rPr>
          <w:spacing w:val="-13"/>
          <w:sz w:val="20"/>
        </w:rPr>
        <w:t> </w:t>
      </w:r>
      <w:r>
        <w:rPr>
          <w:sz w:val="20"/>
        </w:rPr>
        <w:t>thousand</w:t>
      </w:r>
      <w:r>
        <w:rPr>
          <w:spacing w:val="-12"/>
          <w:sz w:val="20"/>
        </w:rPr>
        <w:t> </w:t>
      </w:r>
      <w:r>
        <w:rPr>
          <w:sz w:val="20"/>
        </w:rPr>
        <w:t>of</w:t>
      </w:r>
      <w:r>
        <w:rPr>
          <w:spacing w:val="-13"/>
          <w:sz w:val="20"/>
        </w:rPr>
        <w:t> </w:t>
      </w:r>
      <w:r>
        <w:rPr>
          <w:sz w:val="20"/>
        </w:rPr>
        <w:t>the</w:t>
      </w:r>
      <w:r>
        <w:rPr>
          <w:spacing w:val="-12"/>
          <w:sz w:val="20"/>
        </w:rPr>
        <w:t> </w:t>
      </w:r>
      <w:r>
        <w:rPr>
          <w:sz w:val="20"/>
        </w:rPr>
        <w:t>approved</w:t>
      </w:r>
      <w:r>
        <w:rPr>
          <w:spacing w:val="-13"/>
          <w:sz w:val="20"/>
        </w:rPr>
        <w:t> </w:t>
      </w:r>
      <w:r>
        <w:rPr>
          <w:sz w:val="20"/>
        </w:rPr>
        <w:t>budget</w:t>
      </w:r>
      <w:r>
        <w:rPr>
          <w:spacing w:val="-12"/>
          <w:sz w:val="20"/>
        </w:rPr>
        <w:t> </w:t>
      </w:r>
      <w:r>
        <w:rPr>
          <w:sz w:val="20"/>
        </w:rPr>
        <w:t>for</w:t>
      </w:r>
      <w:r>
        <w:rPr>
          <w:spacing w:val="-13"/>
          <w:sz w:val="20"/>
        </w:rPr>
        <w:t> </w:t>
      </w:r>
      <w:r>
        <w:rPr>
          <w:sz w:val="20"/>
        </w:rPr>
        <w:t>the</w:t>
      </w:r>
      <w:r>
        <w:rPr>
          <w:spacing w:val="-12"/>
          <w:sz w:val="20"/>
        </w:rPr>
        <w:t> </w:t>
      </w:r>
      <w:r>
        <w:rPr>
          <w:sz w:val="20"/>
        </w:rPr>
        <w:t>five-year</w:t>
      </w:r>
      <w:r>
        <w:rPr>
          <w:spacing w:val="-13"/>
          <w:sz w:val="20"/>
        </w:rPr>
        <w:t> </w:t>
      </w:r>
      <w:r>
        <w:rPr>
          <w:sz w:val="20"/>
        </w:rPr>
        <w:t>IT/IM</w:t>
      </w:r>
      <w:r>
        <w:rPr>
          <w:spacing w:val="-12"/>
          <w:sz w:val="20"/>
        </w:rPr>
        <w:t> </w:t>
      </w:r>
      <w:r>
        <w:rPr>
          <w:sz w:val="20"/>
        </w:rPr>
        <w:t>strategy.</w:t>
      </w:r>
      <w:r>
        <w:rPr>
          <w:spacing w:val="-13"/>
          <w:sz w:val="20"/>
        </w:rPr>
        <w:t> </w:t>
      </w:r>
      <w:r>
        <w:rPr>
          <w:sz w:val="20"/>
        </w:rPr>
        <w:t>Actual lights-on</w:t>
      </w:r>
      <w:r>
        <w:rPr>
          <w:spacing w:val="-13"/>
          <w:sz w:val="20"/>
        </w:rPr>
        <w:t> </w:t>
      </w:r>
      <w:r>
        <w:rPr>
          <w:sz w:val="20"/>
        </w:rPr>
        <w:t>costs</w:t>
      </w:r>
      <w:r>
        <w:rPr>
          <w:spacing w:val="-12"/>
          <w:sz w:val="20"/>
        </w:rPr>
        <w:t> </w:t>
      </w:r>
      <w:r>
        <w:rPr>
          <w:sz w:val="20"/>
        </w:rPr>
        <w:t>were</w:t>
      </w:r>
      <w:r>
        <w:rPr>
          <w:spacing w:val="-9"/>
          <w:sz w:val="20"/>
        </w:rPr>
        <w:t> </w:t>
      </w:r>
      <w:r>
        <w:rPr>
          <w:sz w:val="20"/>
        </w:rPr>
        <w:t>€12,044.9</w:t>
      </w:r>
      <w:r>
        <w:rPr>
          <w:spacing w:val="-13"/>
          <w:sz w:val="20"/>
        </w:rPr>
        <w:t> </w:t>
      </w:r>
      <w:r>
        <w:rPr>
          <w:sz w:val="20"/>
        </w:rPr>
        <w:t>thousand,</w:t>
      </w:r>
      <w:r>
        <w:rPr>
          <w:spacing w:val="-11"/>
          <w:sz w:val="20"/>
        </w:rPr>
        <w:t> </w:t>
      </w:r>
      <w:r>
        <w:rPr>
          <w:sz w:val="20"/>
        </w:rPr>
        <w:t>including</w:t>
      </w:r>
      <w:r>
        <w:rPr>
          <w:spacing w:val="-13"/>
          <w:sz w:val="20"/>
        </w:rPr>
        <w:t> </w:t>
      </w:r>
      <w:r>
        <w:rPr>
          <w:sz w:val="20"/>
        </w:rPr>
        <w:t>€6,013.7</w:t>
      </w:r>
      <w:r>
        <w:rPr>
          <w:spacing w:val="-12"/>
          <w:sz w:val="20"/>
        </w:rPr>
        <w:t> </w:t>
      </w:r>
      <w:r>
        <w:rPr>
          <w:sz w:val="20"/>
        </w:rPr>
        <w:t>thousand</w:t>
      </w:r>
      <w:r>
        <w:rPr>
          <w:spacing w:val="-13"/>
          <w:sz w:val="20"/>
        </w:rPr>
        <w:t> </w:t>
      </w:r>
      <w:r>
        <w:rPr>
          <w:sz w:val="20"/>
        </w:rPr>
        <w:t>and</w:t>
      </w:r>
      <w:r>
        <w:rPr>
          <w:spacing w:val="-12"/>
          <w:sz w:val="20"/>
        </w:rPr>
        <w:t> </w:t>
      </w:r>
      <w:r>
        <w:rPr>
          <w:sz w:val="20"/>
        </w:rPr>
        <w:t>€6,031.2</w:t>
      </w:r>
      <w:r>
        <w:rPr>
          <w:spacing w:val="-13"/>
          <w:sz w:val="20"/>
        </w:rPr>
        <w:t> </w:t>
      </w:r>
      <w:r>
        <w:rPr>
          <w:sz w:val="20"/>
        </w:rPr>
        <w:t>thousand in</w:t>
      </w:r>
      <w:r>
        <w:rPr>
          <w:spacing w:val="40"/>
          <w:sz w:val="20"/>
        </w:rPr>
        <w:t> </w:t>
      </w:r>
      <w:r>
        <w:rPr>
          <w:sz w:val="20"/>
        </w:rPr>
        <w:t>staff</w:t>
      </w:r>
      <w:r>
        <w:rPr>
          <w:spacing w:val="35"/>
          <w:sz w:val="20"/>
        </w:rPr>
        <w:t> </w:t>
      </w:r>
      <w:r>
        <w:rPr>
          <w:sz w:val="20"/>
        </w:rPr>
        <w:t>and</w:t>
      </w:r>
      <w:r>
        <w:rPr>
          <w:spacing w:val="39"/>
          <w:sz w:val="20"/>
        </w:rPr>
        <w:t> </w:t>
      </w:r>
      <w:r>
        <w:rPr>
          <w:sz w:val="20"/>
        </w:rPr>
        <w:t>non-staff</w:t>
      </w:r>
      <w:r>
        <w:rPr>
          <w:spacing w:val="35"/>
          <w:sz w:val="20"/>
        </w:rPr>
        <w:t> </w:t>
      </w:r>
      <w:r>
        <w:rPr>
          <w:sz w:val="20"/>
        </w:rPr>
        <w:t>costs,</w:t>
      </w:r>
      <w:r>
        <w:rPr>
          <w:spacing w:val="40"/>
          <w:sz w:val="20"/>
        </w:rPr>
        <w:t> </w:t>
      </w:r>
      <w:r>
        <w:rPr>
          <w:sz w:val="20"/>
        </w:rPr>
        <w:t>respectively.</w:t>
      </w:r>
      <w:r>
        <w:rPr>
          <w:spacing w:val="40"/>
          <w:sz w:val="20"/>
        </w:rPr>
        <w:t> </w:t>
      </w:r>
      <w:r>
        <w:rPr>
          <w:sz w:val="20"/>
        </w:rPr>
        <w:t>Actual</w:t>
      </w:r>
      <w:r>
        <w:rPr>
          <w:spacing w:val="36"/>
          <w:sz w:val="20"/>
        </w:rPr>
        <w:t> </w:t>
      </w:r>
      <w:r>
        <w:rPr>
          <w:sz w:val="20"/>
        </w:rPr>
        <w:t>costs</w:t>
      </w:r>
      <w:r>
        <w:rPr>
          <w:spacing w:val="38"/>
          <w:sz w:val="20"/>
        </w:rPr>
        <w:t> </w:t>
      </w:r>
      <w:r>
        <w:rPr>
          <w:sz w:val="20"/>
        </w:rPr>
        <w:t>for</w:t>
      </w:r>
      <w:r>
        <w:rPr>
          <w:spacing w:val="40"/>
          <w:sz w:val="20"/>
        </w:rPr>
        <w:t> </w:t>
      </w:r>
      <w:r>
        <w:rPr>
          <w:sz w:val="20"/>
        </w:rPr>
        <w:t>the</w:t>
      </w:r>
      <w:r>
        <w:rPr>
          <w:spacing w:val="40"/>
          <w:sz w:val="20"/>
        </w:rPr>
        <w:t> </w:t>
      </w:r>
      <w:r>
        <w:rPr>
          <w:sz w:val="20"/>
        </w:rPr>
        <w:t>IT/IM</w:t>
      </w:r>
      <w:r>
        <w:rPr>
          <w:spacing w:val="38"/>
          <w:sz w:val="20"/>
        </w:rPr>
        <w:t> </w:t>
      </w:r>
      <w:r>
        <w:rPr>
          <w:sz w:val="20"/>
        </w:rPr>
        <w:t>strategy</w:t>
      </w:r>
      <w:r>
        <w:rPr>
          <w:spacing w:val="39"/>
          <w:sz w:val="20"/>
        </w:rPr>
        <w:t> </w:t>
      </w:r>
      <w:r>
        <w:rPr>
          <w:sz w:val="20"/>
        </w:rPr>
        <w:t>consisted of €265.0 thousand and €1,757.0 thousand in staff and non-staff costs, respectively.</w:t>
      </w:r>
    </w:p>
    <w:p>
      <w:pPr>
        <w:pStyle w:val="ListParagraph"/>
        <w:numPr>
          <w:ilvl w:val="0"/>
          <w:numId w:val="128"/>
        </w:numPr>
        <w:tabs>
          <w:tab w:pos="2966" w:val="left" w:leader="none"/>
          <w:tab w:pos="2967" w:val="left" w:leader="none"/>
        </w:tabs>
        <w:spacing w:line="240" w:lineRule="auto" w:before="123" w:after="0"/>
        <w:ind w:left="2246" w:right="2238" w:firstLine="0"/>
        <w:jc w:val="both"/>
        <w:rPr>
          <w:sz w:val="20"/>
        </w:rPr>
      </w:pPr>
      <w:r>
        <w:rPr>
          <w:sz w:val="20"/>
        </w:rPr>
        <w:t>The approved budget for 2022 includes total Court-wide IT/IM costs of €13,294.4 thousand.</w:t>
      </w:r>
      <w:r>
        <w:rPr>
          <w:spacing w:val="-2"/>
          <w:sz w:val="20"/>
        </w:rPr>
        <w:t> </w:t>
      </w:r>
      <w:r>
        <w:rPr>
          <w:sz w:val="20"/>
        </w:rPr>
        <w:t>The approved</w:t>
      </w:r>
      <w:r>
        <w:rPr>
          <w:spacing w:val="-1"/>
          <w:sz w:val="20"/>
        </w:rPr>
        <w:t> </w:t>
      </w:r>
      <w:r>
        <w:rPr>
          <w:sz w:val="20"/>
        </w:rPr>
        <w:t>Court-wide lights-on</w:t>
      </w:r>
      <w:r>
        <w:rPr>
          <w:spacing w:val="-1"/>
          <w:sz w:val="20"/>
        </w:rPr>
        <w:t> </w:t>
      </w:r>
      <w:r>
        <w:rPr>
          <w:sz w:val="20"/>
        </w:rPr>
        <w:t>budget consists</w:t>
      </w:r>
      <w:r>
        <w:rPr>
          <w:spacing w:val="-2"/>
          <w:sz w:val="20"/>
        </w:rPr>
        <w:t> </w:t>
      </w:r>
      <w:r>
        <w:rPr>
          <w:sz w:val="20"/>
        </w:rPr>
        <w:t>of</w:t>
      </w:r>
      <w:r>
        <w:rPr>
          <w:spacing w:val="-1"/>
          <w:sz w:val="20"/>
        </w:rPr>
        <w:t> </w:t>
      </w:r>
      <w:r>
        <w:rPr>
          <w:sz w:val="20"/>
        </w:rPr>
        <w:t>€6,784.4</w:t>
      </w:r>
      <w:r>
        <w:rPr>
          <w:spacing w:val="-5"/>
          <w:sz w:val="20"/>
        </w:rPr>
        <w:t> </w:t>
      </w:r>
      <w:r>
        <w:rPr>
          <w:sz w:val="20"/>
        </w:rPr>
        <w:t>thousand</w:t>
      </w:r>
      <w:r>
        <w:rPr>
          <w:spacing w:val="-1"/>
          <w:sz w:val="20"/>
        </w:rPr>
        <w:t> </w:t>
      </w:r>
      <w:r>
        <w:rPr>
          <w:sz w:val="20"/>
        </w:rPr>
        <w:t>for</w:t>
      </w:r>
      <w:r>
        <w:rPr>
          <w:spacing w:val="-5"/>
          <w:sz w:val="20"/>
        </w:rPr>
        <w:t> </w:t>
      </w:r>
      <w:r>
        <w:rPr>
          <w:sz w:val="20"/>
        </w:rPr>
        <w:t>staff costs</w:t>
      </w:r>
      <w:r>
        <w:rPr>
          <w:spacing w:val="-4"/>
          <w:sz w:val="20"/>
        </w:rPr>
        <w:t> </w:t>
      </w:r>
      <w:r>
        <w:rPr>
          <w:sz w:val="20"/>
        </w:rPr>
        <w:t>and</w:t>
      </w:r>
      <w:r>
        <w:rPr>
          <w:spacing w:val="-3"/>
          <w:sz w:val="20"/>
        </w:rPr>
        <w:t> </w:t>
      </w:r>
      <w:r>
        <w:rPr>
          <w:sz w:val="20"/>
        </w:rPr>
        <w:t>€6,093.1</w:t>
      </w:r>
      <w:r>
        <w:rPr>
          <w:spacing w:val="-7"/>
          <w:sz w:val="20"/>
        </w:rPr>
        <w:t> </w:t>
      </w:r>
      <w:r>
        <w:rPr>
          <w:sz w:val="20"/>
        </w:rPr>
        <w:t>thousand</w:t>
      </w:r>
      <w:r>
        <w:rPr>
          <w:spacing w:val="-7"/>
          <w:sz w:val="20"/>
        </w:rPr>
        <w:t> </w:t>
      </w:r>
      <w:r>
        <w:rPr>
          <w:sz w:val="20"/>
        </w:rPr>
        <w:t>for</w:t>
      </w:r>
      <w:r>
        <w:rPr>
          <w:spacing w:val="-2"/>
          <w:sz w:val="20"/>
        </w:rPr>
        <w:t> </w:t>
      </w:r>
      <w:r>
        <w:rPr>
          <w:sz w:val="20"/>
        </w:rPr>
        <w:t>non-staff</w:t>
      </w:r>
      <w:r>
        <w:rPr>
          <w:spacing w:val="-7"/>
          <w:sz w:val="20"/>
        </w:rPr>
        <w:t> </w:t>
      </w:r>
      <w:r>
        <w:rPr>
          <w:sz w:val="20"/>
        </w:rPr>
        <w:t>costs.</w:t>
      </w:r>
      <w:r>
        <w:rPr>
          <w:spacing w:val="-5"/>
          <w:sz w:val="20"/>
        </w:rPr>
        <w:t> </w:t>
      </w:r>
      <w:r>
        <w:rPr>
          <w:sz w:val="20"/>
        </w:rPr>
        <w:t>Although</w:t>
      </w:r>
      <w:r>
        <w:rPr>
          <w:spacing w:val="-7"/>
          <w:sz w:val="20"/>
        </w:rPr>
        <w:t> </w:t>
      </w:r>
      <w:r>
        <w:rPr>
          <w:sz w:val="20"/>
        </w:rPr>
        <w:t>2022</w:t>
      </w:r>
      <w:r>
        <w:rPr>
          <w:spacing w:val="-3"/>
          <w:sz w:val="20"/>
        </w:rPr>
        <w:t> </w:t>
      </w:r>
      <w:r>
        <w:rPr>
          <w:sz w:val="20"/>
        </w:rPr>
        <w:t>was</w:t>
      </w:r>
      <w:r>
        <w:rPr>
          <w:spacing w:val="-9"/>
          <w:sz w:val="20"/>
        </w:rPr>
        <w:t> </w:t>
      </w:r>
      <w:r>
        <w:rPr>
          <w:sz w:val="20"/>
        </w:rPr>
        <w:t>a</w:t>
      </w:r>
      <w:r>
        <w:rPr>
          <w:spacing w:val="-1"/>
          <w:sz w:val="20"/>
        </w:rPr>
        <w:t> </w:t>
      </w:r>
      <w:r>
        <w:rPr>
          <w:sz w:val="20"/>
        </w:rPr>
        <w:t>gap</w:t>
      </w:r>
      <w:r>
        <w:rPr>
          <w:spacing w:val="-3"/>
          <w:sz w:val="20"/>
        </w:rPr>
        <w:t> </w:t>
      </w:r>
      <w:r>
        <w:rPr>
          <w:sz w:val="20"/>
        </w:rPr>
        <w:t>year</w:t>
      </w:r>
      <w:r>
        <w:rPr>
          <w:spacing w:val="-7"/>
          <w:sz w:val="20"/>
        </w:rPr>
        <w:t> </w:t>
      </w:r>
      <w:r>
        <w:rPr>
          <w:sz w:val="20"/>
        </w:rPr>
        <w:t>for</w:t>
      </w:r>
      <w:r>
        <w:rPr>
          <w:spacing w:val="-7"/>
          <w:sz w:val="20"/>
        </w:rPr>
        <w:t> </w:t>
      </w:r>
      <w:r>
        <w:rPr>
          <w:sz w:val="20"/>
        </w:rPr>
        <w:t>the</w:t>
      </w:r>
      <w:r>
        <w:rPr>
          <w:spacing w:val="-6"/>
          <w:sz w:val="20"/>
        </w:rPr>
        <w:t> </w:t>
      </w:r>
      <w:r>
        <w:rPr>
          <w:sz w:val="20"/>
        </w:rPr>
        <w:t>IT/IM strategy,</w:t>
      </w:r>
      <w:r>
        <w:rPr>
          <w:spacing w:val="-6"/>
          <w:sz w:val="20"/>
        </w:rPr>
        <w:t> </w:t>
      </w:r>
      <w:r>
        <w:rPr>
          <w:sz w:val="20"/>
        </w:rPr>
        <w:t>it</w:t>
      </w:r>
      <w:r>
        <w:rPr>
          <w:spacing w:val="-7"/>
          <w:sz w:val="20"/>
        </w:rPr>
        <w:t> </w:t>
      </w:r>
      <w:r>
        <w:rPr>
          <w:sz w:val="20"/>
        </w:rPr>
        <w:t>did</w:t>
      </w:r>
      <w:r>
        <w:rPr>
          <w:spacing w:val="-8"/>
          <w:sz w:val="20"/>
        </w:rPr>
        <w:t> </w:t>
      </w:r>
      <w:r>
        <w:rPr>
          <w:sz w:val="20"/>
        </w:rPr>
        <w:t>include</w:t>
      </w:r>
      <w:r>
        <w:rPr>
          <w:spacing w:val="-7"/>
          <w:sz w:val="20"/>
        </w:rPr>
        <w:t> </w:t>
      </w:r>
      <w:r>
        <w:rPr>
          <w:sz w:val="20"/>
        </w:rPr>
        <w:t>an</w:t>
      </w:r>
      <w:r>
        <w:rPr>
          <w:spacing w:val="-8"/>
          <w:sz w:val="20"/>
        </w:rPr>
        <w:t> </w:t>
      </w:r>
      <w:r>
        <w:rPr>
          <w:sz w:val="20"/>
        </w:rPr>
        <w:t>approved</w:t>
      </w:r>
      <w:r>
        <w:rPr>
          <w:spacing w:val="-8"/>
          <w:sz w:val="20"/>
        </w:rPr>
        <w:t> </w:t>
      </w:r>
      <w:r>
        <w:rPr>
          <w:sz w:val="20"/>
        </w:rPr>
        <w:t>€341.7</w:t>
      </w:r>
      <w:r>
        <w:rPr>
          <w:spacing w:val="-8"/>
          <w:sz w:val="20"/>
        </w:rPr>
        <w:t> </w:t>
      </w:r>
      <w:r>
        <w:rPr>
          <w:sz w:val="20"/>
        </w:rPr>
        <w:t>thousand</w:t>
      </w:r>
      <w:r>
        <w:rPr>
          <w:spacing w:val="-8"/>
          <w:sz w:val="20"/>
        </w:rPr>
        <w:t> </w:t>
      </w:r>
      <w:r>
        <w:rPr>
          <w:sz w:val="20"/>
        </w:rPr>
        <w:t>for</w:t>
      </w:r>
      <w:r>
        <w:rPr>
          <w:spacing w:val="-8"/>
          <w:sz w:val="20"/>
        </w:rPr>
        <w:t> </w:t>
      </w:r>
      <w:r>
        <w:rPr>
          <w:sz w:val="20"/>
        </w:rPr>
        <w:t>the</w:t>
      </w:r>
      <w:r>
        <w:rPr>
          <w:spacing w:val="-7"/>
          <w:sz w:val="20"/>
        </w:rPr>
        <w:t> </w:t>
      </w:r>
      <w:r>
        <w:rPr>
          <w:sz w:val="20"/>
        </w:rPr>
        <w:t>JWP</w:t>
      </w:r>
      <w:r>
        <w:rPr>
          <w:spacing w:val="-5"/>
          <w:sz w:val="20"/>
        </w:rPr>
        <w:t> </w:t>
      </w:r>
      <w:r>
        <w:rPr>
          <w:sz w:val="20"/>
        </w:rPr>
        <w:t>project,</w:t>
      </w:r>
      <w:r>
        <w:rPr>
          <w:spacing w:val="-6"/>
          <w:sz w:val="20"/>
        </w:rPr>
        <w:t> </w:t>
      </w:r>
      <w:r>
        <w:rPr>
          <w:sz w:val="20"/>
        </w:rPr>
        <w:t>€158.0</w:t>
      </w:r>
      <w:r>
        <w:rPr>
          <w:spacing w:val="-8"/>
          <w:sz w:val="20"/>
        </w:rPr>
        <w:t> </w:t>
      </w:r>
      <w:r>
        <w:rPr>
          <w:sz w:val="20"/>
        </w:rPr>
        <w:t>thousand</w:t>
      </w:r>
      <w:r>
        <w:rPr>
          <w:spacing w:val="-8"/>
          <w:sz w:val="20"/>
        </w:rPr>
        <w:t> </w:t>
      </w:r>
      <w:r>
        <w:rPr>
          <w:sz w:val="20"/>
        </w:rPr>
        <w:t>of which was to extend the position of eCourt Project Manager and the remaining €183.7 thousand</w:t>
      </w:r>
      <w:r>
        <w:rPr>
          <w:spacing w:val="-13"/>
          <w:sz w:val="20"/>
        </w:rPr>
        <w:t> </w:t>
      </w:r>
      <w:r>
        <w:rPr>
          <w:sz w:val="20"/>
        </w:rPr>
        <w:t>to</w:t>
      </w:r>
      <w:r>
        <w:rPr>
          <w:spacing w:val="-12"/>
          <w:sz w:val="20"/>
        </w:rPr>
        <w:t> </w:t>
      </w:r>
      <w:r>
        <w:rPr>
          <w:sz w:val="20"/>
        </w:rPr>
        <w:t>fund</w:t>
      </w:r>
      <w:r>
        <w:rPr>
          <w:spacing w:val="-13"/>
          <w:sz w:val="20"/>
        </w:rPr>
        <w:t> </w:t>
      </w:r>
      <w:r>
        <w:rPr>
          <w:sz w:val="20"/>
        </w:rPr>
        <w:t>short-term</w:t>
      </w:r>
      <w:r>
        <w:rPr>
          <w:spacing w:val="-12"/>
          <w:sz w:val="20"/>
        </w:rPr>
        <w:t> </w:t>
      </w:r>
      <w:r>
        <w:rPr>
          <w:sz w:val="20"/>
        </w:rPr>
        <w:t>contracts</w:t>
      </w:r>
      <w:r>
        <w:rPr>
          <w:spacing w:val="-13"/>
          <w:sz w:val="20"/>
        </w:rPr>
        <w:t> </w:t>
      </w:r>
      <w:r>
        <w:rPr>
          <w:sz w:val="20"/>
        </w:rPr>
        <w:t>for</w:t>
      </w:r>
      <w:r>
        <w:rPr>
          <w:spacing w:val="-12"/>
          <w:sz w:val="20"/>
        </w:rPr>
        <w:t> </w:t>
      </w:r>
      <w:r>
        <w:rPr>
          <w:sz w:val="20"/>
        </w:rPr>
        <w:t>two</w:t>
      </w:r>
      <w:r>
        <w:rPr>
          <w:spacing w:val="-10"/>
          <w:sz w:val="20"/>
        </w:rPr>
        <w:t> </w:t>
      </w:r>
      <w:r>
        <w:rPr>
          <w:sz w:val="20"/>
        </w:rPr>
        <w:t>key</w:t>
      </w:r>
      <w:r>
        <w:rPr>
          <w:spacing w:val="-9"/>
          <w:sz w:val="20"/>
        </w:rPr>
        <w:t> </w:t>
      </w:r>
      <w:r>
        <w:rPr>
          <w:sz w:val="20"/>
        </w:rPr>
        <w:t>project</w:t>
      </w:r>
      <w:r>
        <w:rPr>
          <w:spacing w:val="-8"/>
          <w:sz w:val="20"/>
        </w:rPr>
        <w:t> </w:t>
      </w:r>
      <w:r>
        <w:rPr>
          <w:sz w:val="20"/>
        </w:rPr>
        <w:t>roles.</w:t>
      </w:r>
      <w:r>
        <w:rPr>
          <w:spacing w:val="-7"/>
          <w:sz w:val="20"/>
        </w:rPr>
        <w:t> </w:t>
      </w:r>
      <w:r>
        <w:rPr>
          <w:sz w:val="20"/>
        </w:rPr>
        <w:t>A</w:t>
      </w:r>
      <w:r>
        <w:rPr>
          <w:spacing w:val="-11"/>
          <w:sz w:val="20"/>
        </w:rPr>
        <w:t> </w:t>
      </w:r>
      <w:r>
        <w:rPr>
          <w:sz w:val="20"/>
        </w:rPr>
        <w:t>further</w:t>
      </w:r>
      <w:r>
        <w:rPr>
          <w:spacing w:val="-9"/>
          <w:sz w:val="20"/>
        </w:rPr>
        <w:t> </w:t>
      </w:r>
      <w:r>
        <w:rPr>
          <w:sz w:val="20"/>
        </w:rPr>
        <w:t>€70.2</w:t>
      </w:r>
      <w:r>
        <w:rPr>
          <w:spacing w:val="-13"/>
          <w:sz w:val="20"/>
        </w:rPr>
        <w:t> </w:t>
      </w:r>
      <w:r>
        <w:rPr>
          <w:sz w:val="20"/>
        </w:rPr>
        <w:t>thousand</w:t>
      </w:r>
      <w:r>
        <w:rPr>
          <w:spacing w:val="-3"/>
          <w:sz w:val="20"/>
        </w:rPr>
        <w:t> </w:t>
      </w:r>
      <w:r>
        <w:rPr>
          <w:sz w:val="20"/>
        </w:rPr>
        <w:t>was approved for non-recurrent IT/IM investments for the Registry and the Trust Fund for Victims (TFV).</w:t>
      </w:r>
    </w:p>
    <w:p>
      <w:pPr>
        <w:pStyle w:val="ListParagraph"/>
        <w:numPr>
          <w:ilvl w:val="0"/>
          <w:numId w:val="128"/>
        </w:numPr>
        <w:tabs>
          <w:tab w:pos="2966" w:val="left" w:leader="none"/>
          <w:tab w:pos="2967" w:val="left" w:leader="none"/>
        </w:tabs>
        <w:spacing w:line="240" w:lineRule="auto" w:before="119" w:after="0"/>
        <w:ind w:left="2246" w:right="2241" w:firstLine="0"/>
        <w:jc w:val="both"/>
        <w:rPr>
          <w:sz w:val="20"/>
        </w:rPr>
      </w:pPr>
      <w:r>
        <w:rPr>
          <w:sz w:val="20"/>
        </w:rPr>
        <w:t>The</w:t>
      </w:r>
      <w:r>
        <w:rPr>
          <w:spacing w:val="27"/>
          <w:sz w:val="20"/>
        </w:rPr>
        <w:t> </w:t>
      </w:r>
      <w:r>
        <w:rPr>
          <w:sz w:val="20"/>
        </w:rPr>
        <w:t>proposed</w:t>
      </w:r>
      <w:r>
        <w:rPr>
          <w:spacing w:val="25"/>
          <w:sz w:val="20"/>
        </w:rPr>
        <w:t> </w:t>
      </w:r>
      <w:r>
        <w:rPr>
          <w:sz w:val="20"/>
        </w:rPr>
        <w:t>budget</w:t>
      </w:r>
      <w:r>
        <w:rPr>
          <w:spacing w:val="27"/>
          <w:sz w:val="20"/>
        </w:rPr>
        <w:t> </w:t>
      </w:r>
      <w:r>
        <w:rPr>
          <w:sz w:val="20"/>
        </w:rPr>
        <w:t>for</w:t>
      </w:r>
      <w:r>
        <w:rPr>
          <w:spacing w:val="25"/>
          <w:sz w:val="20"/>
        </w:rPr>
        <w:t> </w:t>
      </w:r>
      <w:r>
        <w:rPr>
          <w:sz w:val="20"/>
        </w:rPr>
        <w:t>2023</w:t>
      </w:r>
      <w:r>
        <w:rPr>
          <w:spacing w:val="25"/>
          <w:sz w:val="20"/>
        </w:rPr>
        <w:t> </w:t>
      </w:r>
      <w:r>
        <w:rPr>
          <w:sz w:val="20"/>
        </w:rPr>
        <w:t>for</w:t>
      </w:r>
      <w:r>
        <w:rPr>
          <w:spacing w:val="30"/>
          <w:sz w:val="20"/>
        </w:rPr>
        <w:t> </w:t>
      </w:r>
      <w:r>
        <w:rPr>
          <w:sz w:val="20"/>
        </w:rPr>
        <w:t>IT/IM</w:t>
      </w:r>
      <w:r>
        <w:rPr>
          <w:spacing w:val="24"/>
          <w:sz w:val="20"/>
        </w:rPr>
        <w:t> </w:t>
      </w:r>
      <w:r>
        <w:rPr>
          <w:sz w:val="20"/>
        </w:rPr>
        <w:t>totals</w:t>
      </w:r>
      <w:r>
        <w:rPr>
          <w:spacing w:val="23"/>
          <w:sz w:val="20"/>
        </w:rPr>
        <w:t> </w:t>
      </w:r>
      <w:r>
        <w:rPr>
          <w:sz w:val="20"/>
        </w:rPr>
        <w:t>€14,525.6</w:t>
      </w:r>
      <w:r>
        <w:rPr>
          <w:spacing w:val="20"/>
          <w:sz w:val="20"/>
        </w:rPr>
        <w:t> </w:t>
      </w:r>
      <w:r>
        <w:rPr>
          <w:sz w:val="20"/>
        </w:rPr>
        <w:t>thousand,</w:t>
      </w:r>
      <w:r>
        <w:rPr>
          <w:spacing w:val="28"/>
          <w:sz w:val="20"/>
        </w:rPr>
        <w:t> </w:t>
      </w:r>
      <w:r>
        <w:rPr>
          <w:sz w:val="20"/>
        </w:rPr>
        <w:t>an</w:t>
      </w:r>
      <w:r>
        <w:rPr>
          <w:spacing w:val="25"/>
          <w:sz w:val="20"/>
        </w:rPr>
        <w:t> </w:t>
      </w:r>
      <w:r>
        <w:rPr>
          <w:sz w:val="20"/>
        </w:rPr>
        <w:t>increase of €1,231.3 from the approved budget for 2022, and includes three components: lights-on, IT/IM</w:t>
      </w:r>
      <w:r>
        <w:rPr>
          <w:spacing w:val="40"/>
          <w:sz w:val="20"/>
        </w:rPr>
        <w:t> </w:t>
      </w:r>
      <w:r>
        <w:rPr>
          <w:sz w:val="20"/>
        </w:rPr>
        <w:t>strategy</w:t>
      </w:r>
      <w:r>
        <w:rPr>
          <w:spacing w:val="40"/>
          <w:sz w:val="20"/>
        </w:rPr>
        <w:t> </w:t>
      </w:r>
      <w:r>
        <w:rPr>
          <w:sz w:val="20"/>
        </w:rPr>
        <w:t>and</w:t>
      </w:r>
      <w:r>
        <w:rPr>
          <w:spacing w:val="40"/>
          <w:sz w:val="20"/>
        </w:rPr>
        <w:t> </w:t>
      </w:r>
      <w:r>
        <w:rPr>
          <w:sz w:val="20"/>
        </w:rPr>
        <w:t>other</w:t>
      </w:r>
      <w:r>
        <w:rPr>
          <w:spacing w:val="40"/>
          <w:sz w:val="20"/>
        </w:rPr>
        <w:t> </w:t>
      </w:r>
      <w:r>
        <w:rPr>
          <w:sz w:val="20"/>
        </w:rPr>
        <w:t>capital</w:t>
      </w:r>
      <w:r>
        <w:rPr>
          <w:spacing w:val="40"/>
          <w:sz w:val="20"/>
        </w:rPr>
        <w:t> </w:t>
      </w:r>
      <w:r>
        <w:rPr>
          <w:sz w:val="20"/>
        </w:rPr>
        <w:t>expenditures.</w:t>
      </w:r>
      <w:r>
        <w:rPr>
          <w:spacing w:val="40"/>
          <w:sz w:val="20"/>
        </w:rPr>
        <w:t> </w:t>
      </w:r>
      <w:r>
        <w:rPr>
          <w:sz w:val="20"/>
        </w:rPr>
        <w:t>The</w:t>
      </w:r>
      <w:r>
        <w:rPr>
          <w:spacing w:val="40"/>
          <w:sz w:val="20"/>
        </w:rPr>
        <w:t> </w:t>
      </w:r>
      <w:r>
        <w:rPr>
          <w:sz w:val="20"/>
        </w:rPr>
        <w:t>significant</w:t>
      </w:r>
      <w:r>
        <w:rPr>
          <w:spacing w:val="40"/>
          <w:sz w:val="20"/>
        </w:rPr>
        <w:t> </w:t>
      </w:r>
      <w:r>
        <w:rPr>
          <w:sz w:val="20"/>
        </w:rPr>
        <w:t>increase</w:t>
      </w:r>
      <w:r>
        <w:rPr>
          <w:spacing w:val="40"/>
          <w:sz w:val="20"/>
        </w:rPr>
        <w:t> </w:t>
      </w:r>
      <w:r>
        <w:rPr>
          <w:sz w:val="20"/>
        </w:rPr>
        <w:t>over</w:t>
      </w:r>
      <w:r>
        <w:rPr>
          <w:spacing w:val="40"/>
          <w:sz w:val="20"/>
        </w:rPr>
        <w:t> </w:t>
      </w:r>
      <w:r>
        <w:rPr>
          <w:sz w:val="20"/>
        </w:rPr>
        <w:t>the approved</w:t>
      </w:r>
      <w:r>
        <w:rPr>
          <w:spacing w:val="-3"/>
          <w:sz w:val="20"/>
        </w:rPr>
        <w:t> </w:t>
      </w:r>
      <w:r>
        <w:rPr>
          <w:sz w:val="20"/>
        </w:rPr>
        <w:t>2022</w:t>
      </w:r>
      <w:r>
        <w:rPr>
          <w:spacing w:val="-4"/>
          <w:sz w:val="20"/>
        </w:rPr>
        <w:t> </w:t>
      </w:r>
      <w:r>
        <w:rPr>
          <w:sz w:val="20"/>
        </w:rPr>
        <w:t>budget</w:t>
      </w:r>
      <w:r>
        <w:rPr>
          <w:spacing w:val="-2"/>
          <w:sz w:val="20"/>
        </w:rPr>
        <w:t> </w:t>
      </w:r>
      <w:r>
        <w:rPr>
          <w:sz w:val="20"/>
        </w:rPr>
        <w:t>is</w:t>
      </w:r>
      <w:r>
        <w:rPr>
          <w:spacing w:val="-5"/>
          <w:sz w:val="20"/>
        </w:rPr>
        <w:t> </w:t>
      </w:r>
      <w:r>
        <w:rPr>
          <w:sz w:val="20"/>
        </w:rPr>
        <w:t>due</w:t>
      </w:r>
      <w:r>
        <w:rPr>
          <w:spacing w:val="-2"/>
          <w:sz w:val="20"/>
        </w:rPr>
        <w:t> </w:t>
      </w:r>
      <w:r>
        <w:rPr>
          <w:sz w:val="20"/>
        </w:rPr>
        <w:t>to</w:t>
      </w:r>
      <w:r>
        <w:rPr>
          <w:spacing w:val="-8"/>
          <w:sz w:val="20"/>
        </w:rPr>
        <w:t> </w:t>
      </w:r>
      <w:r>
        <w:rPr>
          <w:sz w:val="20"/>
        </w:rPr>
        <w:t>three</w:t>
      </w:r>
      <w:r>
        <w:rPr>
          <w:spacing w:val="-2"/>
          <w:sz w:val="20"/>
        </w:rPr>
        <w:t> </w:t>
      </w:r>
      <w:r>
        <w:rPr>
          <w:sz w:val="20"/>
        </w:rPr>
        <w:t>factors:</w:t>
      </w:r>
      <w:r>
        <w:rPr>
          <w:spacing w:val="-2"/>
          <w:sz w:val="20"/>
        </w:rPr>
        <w:t> </w:t>
      </w:r>
      <w:r>
        <w:rPr>
          <w:sz w:val="20"/>
        </w:rPr>
        <w:t>the</w:t>
      </w:r>
      <w:r>
        <w:rPr>
          <w:spacing w:val="-2"/>
          <w:sz w:val="20"/>
        </w:rPr>
        <w:t> </w:t>
      </w:r>
      <w:r>
        <w:rPr>
          <w:sz w:val="20"/>
        </w:rPr>
        <w:t>continued</w:t>
      </w:r>
      <w:r>
        <w:rPr>
          <w:spacing w:val="-8"/>
          <w:sz w:val="20"/>
        </w:rPr>
        <w:t> </w:t>
      </w:r>
      <w:r>
        <w:rPr>
          <w:sz w:val="20"/>
        </w:rPr>
        <w:t>need</w:t>
      </w:r>
      <w:r>
        <w:rPr>
          <w:spacing w:val="-4"/>
          <w:sz w:val="20"/>
        </w:rPr>
        <w:t> </w:t>
      </w:r>
      <w:r>
        <w:rPr>
          <w:sz w:val="20"/>
        </w:rPr>
        <w:t>for</w:t>
      </w:r>
      <w:r>
        <w:rPr>
          <w:spacing w:val="-4"/>
          <w:sz w:val="20"/>
        </w:rPr>
        <w:t> </w:t>
      </w:r>
      <w:r>
        <w:rPr>
          <w:sz w:val="20"/>
        </w:rPr>
        <w:t>funds</w:t>
      </w:r>
      <w:r>
        <w:rPr>
          <w:spacing w:val="-5"/>
          <w:sz w:val="20"/>
        </w:rPr>
        <w:t> </w:t>
      </w:r>
      <w:r>
        <w:rPr>
          <w:sz w:val="20"/>
        </w:rPr>
        <w:t>to</w:t>
      </w:r>
      <w:r>
        <w:rPr>
          <w:spacing w:val="-4"/>
          <w:sz w:val="20"/>
        </w:rPr>
        <w:t> </w:t>
      </w:r>
      <w:r>
        <w:rPr>
          <w:sz w:val="20"/>
        </w:rPr>
        <w:t>replace</w:t>
      </w:r>
      <w:r>
        <w:rPr>
          <w:spacing w:val="-2"/>
          <w:sz w:val="20"/>
        </w:rPr>
        <w:t> </w:t>
      </w:r>
      <w:r>
        <w:rPr>
          <w:sz w:val="20"/>
        </w:rPr>
        <w:t>critical end-of-life infrastructure, requested in 2022 but not approved, and whose replacement can no</w:t>
      </w:r>
      <w:r>
        <w:rPr>
          <w:spacing w:val="-13"/>
          <w:sz w:val="20"/>
        </w:rPr>
        <w:t> </w:t>
      </w:r>
      <w:r>
        <w:rPr>
          <w:sz w:val="20"/>
        </w:rPr>
        <w:t>longer</w:t>
      </w:r>
      <w:r>
        <w:rPr>
          <w:spacing w:val="-12"/>
          <w:sz w:val="20"/>
        </w:rPr>
        <w:t> </w:t>
      </w:r>
      <w:r>
        <w:rPr>
          <w:sz w:val="20"/>
        </w:rPr>
        <w:t>be</w:t>
      </w:r>
      <w:r>
        <w:rPr>
          <w:spacing w:val="-13"/>
          <w:sz w:val="20"/>
        </w:rPr>
        <w:t> </w:t>
      </w:r>
      <w:r>
        <w:rPr>
          <w:sz w:val="20"/>
        </w:rPr>
        <w:t>deferred</w:t>
      </w:r>
      <w:r>
        <w:rPr>
          <w:spacing w:val="-12"/>
          <w:sz w:val="20"/>
        </w:rPr>
        <w:t> </w:t>
      </w:r>
      <w:r>
        <w:rPr>
          <w:sz w:val="20"/>
        </w:rPr>
        <w:t>without</w:t>
      </w:r>
      <w:r>
        <w:rPr>
          <w:spacing w:val="-9"/>
          <w:sz w:val="20"/>
        </w:rPr>
        <w:t> </w:t>
      </w:r>
      <w:r>
        <w:rPr>
          <w:sz w:val="20"/>
        </w:rPr>
        <w:t>serious</w:t>
      </w:r>
      <w:r>
        <w:rPr>
          <w:spacing w:val="-13"/>
          <w:sz w:val="20"/>
        </w:rPr>
        <w:t> </w:t>
      </w:r>
      <w:r>
        <w:rPr>
          <w:sz w:val="20"/>
        </w:rPr>
        <w:t>operational</w:t>
      </w:r>
      <w:r>
        <w:rPr>
          <w:spacing w:val="-12"/>
          <w:sz w:val="20"/>
        </w:rPr>
        <w:t> </w:t>
      </w:r>
      <w:r>
        <w:rPr>
          <w:sz w:val="20"/>
        </w:rPr>
        <w:t>and</w:t>
      </w:r>
      <w:r>
        <w:rPr>
          <w:spacing w:val="-13"/>
          <w:sz w:val="20"/>
        </w:rPr>
        <w:t> </w:t>
      </w:r>
      <w:r>
        <w:rPr>
          <w:sz w:val="20"/>
        </w:rPr>
        <w:t>cybersecurity</w:t>
      </w:r>
      <w:r>
        <w:rPr>
          <w:spacing w:val="-12"/>
          <w:sz w:val="20"/>
        </w:rPr>
        <w:t> </w:t>
      </w:r>
      <w:r>
        <w:rPr>
          <w:sz w:val="20"/>
        </w:rPr>
        <w:t>consequences;</w:t>
      </w:r>
      <w:r>
        <w:rPr>
          <w:spacing w:val="-13"/>
          <w:sz w:val="20"/>
        </w:rPr>
        <w:t> </w:t>
      </w:r>
      <w:r>
        <w:rPr>
          <w:sz w:val="20"/>
        </w:rPr>
        <w:t>additional investment for the IT/IM strategy (2023-2025); and marginal increases in the Court’s</w:t>
      </w:r>
      <w:r>
        <w:rPr>
          <w:spacing w:val="80"/>
          <w:sz w:val="20"/>
        </w:rPr>
        <w:t> </w:t>
      </w:r>
      <w:r>
        <w:rPr>
          <w:sz w:val="20"/>
        </w:rPr>
        <w:t>lights-on costs, primarily due to step increases for staff. The proposed Court-wide expenditure for 2023 is summarized as follows:</w:t>
      </w:r>
    </w:p>
    <w:p>
      <w:pPr>
        <w:pStyle w:val="ListParagraph"/>
        <w:numPr>
          <w:ilvl w:val="1"/>
          <w:numId w:val="128"/>
        </w:numPr>
        <w:tabs>
          <w:tab w:pos="3686" w:val="left" w:leader="none"/>
          <w:tab w:pos="3687" w:val="left" w:leader="none"/>
        </w:tabs>
        <w:spacing w:line="240" w:lineRule="auto" w:before="120" w:after="0"/>
        <w:ind w:left="2957" w:right="2243" w:firstLine="0"/>
        <w:jc w:val="both"/>
        <w:rPr>
          <w:sz w:val="20"/>
        </w:rPr>
      </w:pPr>
      <w:r>
        <w:rPr>
          <w:sz w:val="20"/>
        </w:rPr>
        <w:t>The requested budget for lights-on costs is €12,981.9 thousand, which includes</w:t>
      </w:r>
      <w:r>
        <w:rPr>
          <w:spacing w:val="-13"/>
          <w:sz w:val="20"/>
        </w:rPr>
        <w:t> </w:t>
      </w:r>
      <w:r>
        <w:rPr>
          <w:sz w:val="20"/>
        </w:rPr>
        <w:t>€7,024.8</w:t>
      </w:r>
      <w:r>
        <w:rPr>
          <w:spacing w:val="-8"/>
          <w:sz w:val="20"/>
        </w:rPr>
        <w:t> </w:t>
      </w:r>
      <w:r>
        <w:rPr>
          <w:sz w:val="20"/>
        </w:rPr>
        <w:t>thousand</w:t>
      </w:r>
      <w:r>
        <w:rPr>
          <w:spacing w:val="-9"/>
          <w:sz w:val="20"/>
        </w:rPr>
        <w:t> </w:t>
      </w:r>
      <w:r>
        <w:rPr>
          <w:sz w:val="20"/>
        </w:rPr>
        <w:t>for</w:t>
      </w:r>
      <w:r>
        <w:rPr>
          <w:spacing w:val="-9"/>
          <w:sz w:val="20"/>
        </w:rPr>
        <w:t> </w:t>
      </w:r>
      <w:r>
        <w:rPr>
          <w:sz w:val="20"/>
        </w:rPr>
        <w:t>staff</w:t>
      </w:r>
      <w:r>
        <w:rPr>
          <w:spacing w:val="-13"/>
          <w:sz w:val="20"/>
        </w:rPr>
        <w:t> </w:t>
      </w:r>
      <w:r>
        <w:rPr>
          <w:sz w:val="20"/>
        </w:rPr>
        <w:t>costs</w:t>
      </w:r>
      <w:r>
        <w:rPr>
          <w:spacing w:val="-10"/>
          <w:sz w:val="20"/>
        </w:rPr>
        <w:t> </w:t>
      </w:r>
      <w:r>
        <w:rPr>
          <w:sz w:val="20"/>
        </w:rPr>
        <w:t>and</w:t>
      </w:r>
      <w:r>
        <w:rPr>
          <w:spacing w:val="-9"/>
          <w:sz w:val="20"/>
        </w:rPr>
        <w:t> </w:t>
      </w:r>
      <w:r>
        <w:rPr>
          <w:sz w:val="20"/>
        </w:rPr>
        <w:t>€5,957.1</w:t>
      </w:r>
      <w:r>
        <w:rPr>
          <w:spacing w:val="-13"/>
          <w:sz w:val="20"/>
        </w:rPr>
        <w:t> </w:t>
      </w:r>
      <w:r>
        <w:rPr>
          <w:sz w:val="20"/>
        </w:rPr>
        <w:t>thousand</w:t>
      </w:r>
      <w:r>
        <w:rPr>
          <w:spacing w:val="-8"/>
          <w:sz w:val="20"/>
        </w:rPr>
        <w:t> </w:t>
      </w:r>
      <w:r>
        <w:rPr>
          <w:sz w:val="20"/>
        </w:rPr>
        <w:t>for</w:t>
      </w:r>
      <w:r>
        <w:rPr>
          <w:spacing w:val="-13"/>
          <w:sz w:val="20"/>
        </w:rPr>
        <w:t> </w:t>
      </w:r>
      <w:r>
        <w:rPr>
          <w:sz w:val="20"/>
        </w:rPr>
        <w:t>non-staff</w:t>
      </w:r>
      <w:r>
        <w:rPr>
          <w:spacing w:val="-12"/>
          <w:sz w:val="20"/>
        </w:rPr>
        <w:t> </w:t>
      </w:r>
      <w:r>
        <w:rPr>
          <w:sz w:val="20"/>
        </w:rPr>
        <w:t>costs. </w:t>
      </w:r>
      <w:r>
        <w:rPr>
          <w:spacing w:val="-2"/>
          <w:sz w:val="20"/>
        </w:rPr>
        <w:t>Lights-on</w:t>
      </w:r>
      <w:r>
        <w:rPr>
          <w:spacing w:val="-5"/>
          <w:sz w:val="20"/>
        </w:rPr>
        <w:t> </w:t>
      </w:r>
      <w:r>
        <w:rPr>
          <w:spacing w:val="-2"/>
          <w:sz w:val="20"/>
        </w:rPr>
        <w:t>costs have increased</w:t>
      </w:r>
      <w:r>
        <w:rPr>
          <w:spacing w:val="-5"/>
          <w:sz w:val="20"/>
        </w:rPr>
        <w:t> </w:t>
      </w:r>
      <w:r>
        <w:rPr>
          <w:spacing w:val="-2"/>
          <w:sz w:val="20"/>
        </w:rPr>
        <w:t>marginally by</w:t>
      </w:r>
      <w:r>
        <w:rPr>
          <w:spacing w:val="-5"/>
          <w:sz w:val="20"/>
        </w:rPr>
        <w:t> </w:t>
      </w:r>
      <w:r>
        <w:rPr>
          <w:spacing w:val="-2"/>
          <w:sz w:val="20"/>
        </w:rPr>
        <w:t>€99.4</w:t>
      </w:r>
      <w:r>
        <w:rPr>
          <w:spacing w:val="-5"/>
          <w:sz w:val="20"/>
        </w:rPr>
        <w:t> </w:t>
      </w:r>
      <w:r>
        <w:rPr>
          <w:spacing w:val="-2"/>
          <w:sz w:val="20"/>
        </w:rPr>
        <w:t>thousand</w:t>
      </w:r>
      <w:r>
        <w:rPr>
          <w:spacing w:val="-5"/>
          <w:sz w:val="20"/>
        </w:rPr>
        <w:t> </w:t>
      </w:r>
      <w:r>
        <w:rPr>
          <w:spacing w:val="-2"/>
          <w:sz w:val="20"/>
        </w:rPr>
        <w:t>and reflect the</w:t>
      </w:r>
      <w:r>
        <w:rPr>
          <w:spacing w:val="-3"/>
          <w:sz w:val="20"/>
        </w:rPr>
        <w:t> </w:t>
      </w:r>
      <w:r>
        <w:rPr>
          <w:spacing w:val="-2"/>
          <w:sz w:val="20"/>
        </w:rPr>
        <w:t>increase </w:t>
      </w:r>
      <w:r>
        <w:rPr>
          <w:sz w:val="20"/>
        </w:rPr>
        <w:t>in Court activities, which in turn increases consumption costs, for example communications and subscription-based licensing;</w:t>
      </w:r>
    </w:p>
    <w:p>
      <w:pPr>
        <w:pStyle w:val="ListParagraph"/>
        <w:numPr>
          <w:ilvl w:val="1"/>
          <w:numId w:val="128"/>
        </w:numPr>
        <w:tabs>
          <w:tab w:pos="3686" w:val="left" w:leader="none"/>
          <w:tab w:pos="3687" w:val="left" w:leader="none"/>
        </w:tabs>
        <w:spacing w:line="240" w:lineRule="auto" w:before="122" w:after="0"/>
        <w:ind w:left="2957" w:right="2234" w:firstLine="0"/>
        <w:jc w:val="both"/>
        <w:rPr>
          <w:sz w:val="20"/>
        </w:rPr>
      </w:pPr>
      <w:r>
        <w:rPr>
          <w:sz w:val="20"/>
        </w:rPr>
        <w:t>Investments</w:t>
      </w:r>
      <w:r>
        <w:rPr>
          <w:spacing w:val="40"/>
          <w:sz w:val="20"/>
        </w:rPr>
        <w:t> </w:t>
      </w:r>
      <w:r>
        <w:rPr>
          <w:sz w:val="20"/>
        </w:rPr>
        <w:t>related</w:t>
      </w:r>
      <w:r>
        <w:rPr>
          <w:spacing w:val="40"/>
          <w:sz w:val="20"/>
        </w:rPr>
        <w:t> </w:t>
      </w:r>
      <w:r>
        <w:rPr>
          <w:sz w:val="20"/>
        </w:rPr>
        <w:t>to</w:t>
      </w:r>
      <w:r>
        <w:rPr>
          <w:spacing w:val="40"/>
          <w:sz w:val="20"/>
        </w:rPr>
        <w:t> </w:t>
      </w:r>
      <w:r>
        <w:rPr>
          <w:sz w:val="20"/>
        </w:rPr>
        <w:t>the</w:t>
      </w:r>
      <w:r>
        <w:rPr>
          <w:spacing w:val="40"/>
          <w:sz w:val="20"/>
        </w:rPr>
        <w:t> </w:t>
      </w:r>
      <w:r>
        <w:rPr>
          <w:sz w:val="20"/>
        </w:rPr>
        <w:t>IT/IM</w:t>
      </w:r>
      <w:r>
        <w:rPr>
          <w:spacing w:val="40"/>
          <w:sz w:val="20"/>
        </w:rPr>
        <w:t> </w:t>
      </w:r>
      <w:r>
        <w:rPr>
          <w:sz w:val="20"/>
        </w:rPr>
        <w:t>strategy</w:t>
      </w:r>
      <w:r>
        <w:rPr>
          <w:spacing w:val="40"/>
          <w:sz w:val="20"/>
        </w:rPr>
        <w:t> </w:t>
      </w:r>
      <w:r>
        <w:rPr>
          <w:sz w:val="20"/>
        </w:rPr>
        <w:t>proposed</w:t>
      </w:r>
      <w:r>
        <w:rPr>
          <w:spacing w:val="40"/>
          <w:sz w:val="20"/>
        </w:rPr>
        <w:t> </w:t>
      </w:r>
      <w:r>
        <w:rPr>
          <w:sz w:val="20"/>
        </w:rPr>
        <w:t>for</w:t>
      </w:r>
      <w:r>
        <w:rPr>
          <w:spacing w:val="40"/>
          <w:sz w:val="20"/>
        </w:rPr>
        <w:t> </w:t>
      </w:r>
      <w:r>
        <w:rPr>
          <w:sz w:val="20"/>
        </w:rPr>
        <w:t>2023</w:t>
      </w:r>
      <w:r>
        <w:rPr>
          <w:spacing w:val="40"/>
          <w:sz w:val="20"/>
        </w:rPr>
        <w:t> </w:t>
      </w:r>
      <w:r>
        <w:rPr>
          <w:sz w:val="20"/>
        </w:rPr>
        <w:t>amount to €520.8 thousand. The proposed expenditure is limited to the Registry and includes €82.5 thousand for staff costs to continue the position of JWP Software Programming Officer whose expertise is required to migrate the Court’s legacy judicial records to the JWP. The remaining €420.3 thousand for non-staff costs includes contractual services and general operating expenses to migrate judicial records, assess options for the end-of-life ERP and migrate audit software to the cloud. Further details are provided in Annex IX (a); and</w:t>
      </w:r>
    </w:p>
    <w:p>
      <w:pPr>
        <w:pStyle w:val="ListParagraph"/>
        <w:numPr>
          <w:ilvl w:val="1"/>
          <w:numId w:val="128"/>
        </w:numPr>
        <w:tabs>
          <w:tab w:pos="3686" w:val="left" w:leader="none"/>
          <w:tab w:pos="3687" w:val="left" w:leader="none"/>
        </w:tabs>
        <w:spacing w:line="240" w:lineRule="auto" w:before="119" w:after="0"/>
        <w:ind w:left="2957" w:right="2236" w:firstLine="0"/>
        <w:jc w:val="both"/>
        <w:rPr>
          <w:sz w:val="20"/>
        </w:rPr>
      </w:pPr>
      <w:r>
        <w:rPr>
          <w:sz w:val="20"/>
        </w:rPr>
        <w:t>Other</w:t>
      </w:r>
      <w:r>
        <w:rPr>
          <w:spacing w:val="-4"/>
          <w:sz w:val="20"/>
        </w:rPr>
        <w:t> </w:t>
      </w:r>
      <w:r>
        <w:rPr>
          <w:sz w:val="20"/>
        </w:rPr>
        <w:t>non-recurrent</w:t>
      </w:r>
      <w:r>
        <w:rPr>
          <w:spacing w:val="-2"/>
          <w:sz w:val="20"/>
        </w:rPr>
        <w:t> </w:t>
      </w:r>
      <w:r>
        <w:rPr>
          <w:sz w:val="20"/>
        </w:rPr>
        <w:t>IT/IM</w:t>
      </w:r>
      <w:r>
        <w:rPr>
          <w:spacing w:val="-5"/>
          <w:sz w:val="20"/>
        </w:rPr>
        <w:t> </w:t>
      </w:r>
      <w:r>
        <w:rPr>
          <w:sz w:val="20"/>
        </w:rPr>
        <w:t>costs</w:t>
      </w:r>
      <w:r>
        <w:rPr>
          <w:spacing w:val="-10"/>
          <w:sz w:val="20"/>
        </w:rPr>
        <w:t> </w:t>
      </w:r>
      <w:r>
        <w:rPr>
          <w:sz w:val="20"/>
        </w:rPr>
        <w:t>comprise</w:t>
      </w:r>
      <w:r>
        <w:rPr>
          <w:spacing w:val="-2"/>
          <w:sz w:val="20"/>
        </w:rPr>
        <w:t> </w:t>
      </w:r>
      <w:r>
        <w:rPr>
          <w:sz w:val="20"/>
        </w:rPr>
        <w:t>€1,040.7</w:t>
      </w:r>
      <w:r>
        <w:rPr>
          <w:spacing w:val="-8"/>
          <w:sz w:val="20"/>
        </w:rPr>
        <w:t> </w:t>
      </w:r>
      <w:r>
        <w:rPr>
          <w:sz w:val="20"/>
        </w:rPr>
        <w:t>thousand</w:t>
      </w:r>
      <w:r>
        <w:rPr>
          <w:spacing w:val="-4"/>
          <w:sz w:val="20"/>
        </w:rPr>
        <w:t> </w:t>
      </w:r>
      <w:r>
        <w:rPr>
          <w:sz w:val="20"/>
        </w:rPr>
        <w:t>for</w:t>
      </w:r>
      <w:r>
        <w:rPr>
          <w:spacing w:val="-4"/>
          <w:sz w:val="20"/>
        </w:rPr>
        <w:t> </w:t>
      </w:r>
      <w:r>
        <w:rPr>
          <w:sz w:val="20"/>
        </w:rPr>
        <w:t>non-staff costs. Of this figure, €980.0</w:t>
      </w:r>
      <w:r>
        <w:rPr>
          <w:spacing w:val="-4"/>
          <w:sz w:val="20"/>
        </w:rPr>
        <w:t> </w:t>
      </w:r>
      <w:r>
        <w:rPr>
          <w:sz w:val="20"/>
        </w:rPr>
        <w:t>thousand is for capital replacements</w:t>
      </w:r>
      <w:r>
        <w:rPr>
          <w:spacing w:val="-1"/>
          <w:sz w:val="20"/>
        </w:rPr>
        <w:t> </w:t>
      </w:r>
      <w:r>
        <w:rPr>
          <w:sz w:val="20"/>
        </w:rPr>
        <w:t>in IMSS, detailed in Annex XIV. The remaining non-recurrent IT/IM investment is for other Major Programmes: the Office of Internal Audit and the TFV.</w:t>
      </w:r>
    </w:p>
    <w:p>
      <w:pPr>
        <w:pStyle w:val="BodyText"/>
        <w:spacing w:before="1"/>
        <w:rPr>
          <w:sz w:val="21"/>
        </w:rPr>
      </w:pPr>
    </w:p>
    <w:p>
      <w:pPr>
        <w:pStyle w:val="Heading3"/>
        <w:spacing w:after="58"/>
        <w:ind w:left="4"/>
        <w:jc w:val="center"/>
      </w:pPr>
      <w:r>
        <w:rPr/>
        <w:t>Table</w:t>
      </w:r>
      <w:r>
        <w:rPr>
          <w:spacing w:val="-8"/>
        </w:rPr>
        <w:t> </w:t>
      </w:r>
      <w:r>
        <w:rPr/>
        <w:t>2:</w:t>
      </w:r>
      <w:r>
        <w:rPr>
          <w:spacing w:val="-6"/>
        </w:rPr>
        <w:t> </w:t>
      </w:r>
      <w:r>
        <w:rPr/>
        <w:t>Total</w:t>
      </w:r>
      <w:r>
        <w:rPr>
          <w:spacing w:val="-1"/>
        </w:rPr>
        <w:t> </w:t>
      </w:r>
      <w:r>
        <w:rPr/>
        <w:t>Court-wide</w:t>
      </w:r>
      <w:r>
        <w:rPr>
          <w:spacing w:val="-5"/>
        </w:rPr>
        <w:t> </w:t>
      </w:r>
      <w:r>
        <w:rPr/>
        <w:t>lights-on</w:t>
      </w:r>
      <w:r>
        <w:rPr>
          <w:spacing w:val="-8"/>
        </w:rPr>
        <w:t> </w:t>
      </w:r>
      <w:r>
        <w:rPr/>
        <w:t>staff</w:t>
      </w:r>
      <w:r>
        <w:rPr>
          <w:spacing w:val="-6"/>
        </w:rPr>
        <w:t> </w:t>
      </w:r>
      <w:r>
        <w:rPr/>
        <w:t>costs</w:t>
      </w:r>
      <w:r>
        <w:rPr>
          <w:spacing w:val="-8"/>
        </w:rPr>
        <w:t> </w:t>
      </w:r>
      <w:r>
        <w:rPr/>
        <w:t>by</w:t>
      </w:r>
      <w:r>
        <w:rPr>
          <w:spacing w:val="-7"/>
        </w:rPr>
        <w:t> </w:t>
      </w:r>
      <w:r>
        <w:rPr/>
        <w:t>Major</w:t>
      </w:r>
      <w:r>
        <w:rPr>
          <w:spacing w:val="-5"/>
        </w:rPr>
        <w:t> </w:t>
      </w:r>
      <w:r>
        <w:rPr/>
        <w:t>Programme</w:t>
      </w:r>
      <w:r>
        <w:rPr>
          <w:spacing w:val="-5"/>
        </w:rPr>
        <w:t> </w:t>
      </w:r>
      <w:r>
        <w:rPr/>
        <w:t>cost</w:t>
      </w:r>
      <w:r>
        <w:rPr>
          <w:spacing w:val="-7"/>
        </w:rPr>
        <w:t> </w:t>
      </w:r>
      <w:r>
        <w:rPr/>
        <w:t>centre</w:t>
      </w:r>
      <w:r>
        <w:rPr>
          <w:spacing w:val="-5"/>
        </w:rPr>
        <w:t> </w:t>
      </w:r>
      <w:r>
        <w:rPr/>
        <w:t>(thousands</w:t>
      </w:r>
      <w:r>
        <w:rPr>
          <w:spacing w:val="-3"/>
        </w:rPr>
        <w:t> </w:t>
      </w:r>
      <w:r>
        <w:rPr/>
        <w:t>of</w:t>
      </w:r>
      <w:r>
        <w:rPr>
          <w:spacing w:val="-2"/>
        </w:rPr>
        <w:t> euros)</w:t>
      </w:r>
    </w:p>
    <w:tbl>
      <w:tblPr>
        <w:tblW w:w="0" w:type="auto"/>
        <w:jc w:val="left"/>
        <w:tblInd w:w="2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02"/>
        <w:gridCol w:w="1063"/>
        <w:gridCol w:w="1012"/>
        <w:gridCol w:w="1107"/>
        <w:gridCol w:w="833"/>
      </w:tblGrid>
      <w:tr>
        <w:trPr>
          <w:trHeight w:val="417" w:hRule="atLeast"/>
        </w:trPr>
        <w:tc>
          <w:tcPr>
            <w:tcW w:w="2602" w:type="dxa"/>
            <w:tcBorders>
              <w:top w:val="single" w:sz="4" w:space="0" w:color="000000"/>
              <w:bottom w:val="single" w:sz="4" w:space="0" w:color="000000"/>
            </w:tcBorders>
          </w:tcPr>
          <w:p>
            <w:pPr>
              <w:pStyle w:val="TableParagraph"/>
              <w:spacing w:before="3"/>
              <w:jc w:val="left"/>
              <w:rPr>
                <w:b/>
                <w:sz w:val="18"/>
              </w:rPr>
            </w:pPr>
          </w:p>
          <w:p>
            <w:pPr>
              <w:pStyle w:val="TableParagraph"/>
              <w:spacing w:line="186" w:lineRule="exact" w:before="1"/>
              <w:ind w:left="14"/>
              <w:jc w:val="left"/>
              <w:rPr>
                <w:i/>
                <w:sz w:val="18"/>
              </w:rPr>
            </w:pPr>
            <w:r>
              <w:rPr>
                <w:i/>
                <w:spacing w:val="-2"/>
                <w:sz w:val="18"/>
              </w:rPr>
              <w:t>Programmes</w:t>
            </w:r>
          </w:p>
        </w:tc>
        <w:tc>
          <w:tcPr>
            <w:tcW w:w="1063" w:type="dxa"/>
            <w:tcBorders>
              <w:top w:val="single" w:sz="4" w:space="0" w:color="000000"/>
              <w:bottom w:val="single" w:sz="4" w:space="0" w:color="000000"/>
            </w:tcBorders>
          </w:tcPr>
          <w:p>
            <w:pPr>
              <w:pStyle w:val="TableParagraph"/>
              <w:spacing w:line="207" w:lineRule="exact"/>
              <w:ind w:right="95"/>
              <w:rPr>
                <w:i/>
                <w:sz w:val="18"/>
              </w:rPr>
            </w:pPr>
            <w:r>
              <w:rPr>
                <w:i/>
                <w:spacing w:val="-4"/>
                <w:sz w:val="18"/>
              </w:rPr>
              <w:t>2021</w:t>
            </w:r>
          </w:p>
          <w:p>
            <w:pPr>
              <w:pStyle w:val="TableParagraph"/>
              <w:spacing w:line="186" w:lineRule="exact" w:before="4"/>
              <w:ind w:right="94"/>
              <w:rPr>
                <w:i/>
                <w:sz w:val="18"/>
              </w:rPr>
            </w:pPr>
            <w:r>
              <w:rPr>
                <w:i/>
                <w:spacing w:val="-2"/>
                <w:sz w:val="18"/>
              </w:rPr>
              <w:t>(Actuals)</w:t>
            </w:r>
          </w:p>
        </w:tc>
        <w:tc>
          <w:tcPr>
            <w:tcW w:w="1012" w:type="dxa"/>
            <w:tcBorders>
              <w:top w:val="single" w:sz="4" w:space="0" w:color="000000"/>
              <w:bottom w:val="single" w:sz="4" w:space="0" w:color="000000"/>
            </w:tcBorders>
          </w:tcPr>
          <w:p>
            <w:pPr>
              <w:pStyle w:val="TableParagraph"/>
              <w:spacing w:line="207" w:lineRule="exact"/>
              <w:ind w:right="89"/>
              <w:rPr>
                <w:i/>
                <w:sz w:val="18"/>
              </w:rPr>
            </w:pPr>
            <w:r>
              <w:rPr>
                <w:i/>
                <w:spacing w:val="-4"/>
                <w:sz w:val="18"/>
              </w:rPr>
              <w:t>2022</w:t>
            </w:r>
          </w:p>
          <w:p>
            <w:pPr>
              <w:pStyle w:val="TableParagraph"/>
              <w:spacing w:line="186" w:lineRule="exact" w:before="4"/>
              <w:ind w:right="91"/>
              <w:rPr>
                <w:i/>
                <w:sz w:val="18"/>
              </w:rPr>
            </w:pPr>
            <w:r>
              <w:rPr>
                <w:i/>
                <w:spacing w:val="-2"/>
                <w:sz w:val="18"/>
              </w:rPr>
              <w:t>(Approved)</w:t>
            </w:r>
          </w:p>
        </w:tc>
        <w:tc>
          <w:tcPr>
            <w:tcW w:w="1107" w:type="dxa"/>
            <w:tcBorders>
              <w:top w:val="single" w:sz="4" w:space="0" w:color="000000"/>
              <w:bottom w:val="single" w:sz="4" w:space="0" w:color="000000"/>
            </w:tcBorders>
          </w:tcPr>
          <w:p>
            <w:pPr>
              <w:pStyle w:val="TableParagraph"/>
              <w:spacing w:line="207" w:lineRule="exact"/>
              <w:ind w:right="197"/>
              <w:rPr>
                <w:i/>
                <w:sz w:val="18"/>
              </w:rPr>
            </w:pPr>
            <w:r>
              <w:rPr>
                <w:i/>
                <w:spacing w:val="-4"/>
                <w:sz w:val="18"/>
              </w:rPr>
              <w:t>2023</w:t>
            </w:r>
          </w:p>
          <w:p>
            <w:pPr>
              <w:pStyle w:val="TableParagraph"/>
              <w:spacing w:line="186" w:lineRule="exact" w:before="4"/>
              <w:ind w:right="200"/>
              <w:rPr>
                <w:i/>
                <w:sz w:val="18"/>
              </w:rPr>
            </w:pPr>
            <w:r>
              <w:rPr>
                <w:i/>
                <w:spacing w:val="-2"/>
                <w:sz w:val="18"/>
              </w:rPr>
              <w:t>(Proposed)</w:t>
            </w:r>
          </w:p>
        </w:tc>
        <w:tc>
          <w:tcPr>
            <w:tcW w:w="833" w:type="dxa"/>
            <w:tcBorders>
              <w:top w:val="single" w:sz="4" w:space="0" w:color="000000"/>
              <w:bottom w:val="single" w:sz="4" w:space="0" w:color="000000"/>
            </w:tcBorders>
          </w:tcPr>
          <w:p>
            <w:pPr>
              <w:pStyle w:val="TableParagraph"/>
              <w:spacing w:before="3"/>
              <w:jc w:val="left"/>
              <w:rPr>
                <w:b/>
                <w:sz w:val="18"/>
              </w:rPr>
            </w:pPr>
          </w:p>
          <w:p>
            <w:pPr>
              <w:pStyle w:val="TableParagraph"/>
              <w:spacing w:line="186" w:lineRule="exact" w:before="1"/>
              <w:ind w:right="4"/>
              <w:rPr>
                <w:i/>
                <w:sz w:val="18"/>
              </w:rPr>
            </w:pPr>
            <w:r>
              <w:rPr>
                <w:i/>
                <w:spacing w:val="-2"/>
                <w:sz w:val="18"/>
              </w:rPr>
              <w:t>Total</w:t>
            </w:r>
          </w:p>
        </w:tc>
      </w:tr>
      <w:tr>
        <w:trPr>
          <w:trHeight w:val="282" w:hRule="atLeast"/>
        </w:trPr>
        <w:tc>
          <w:tcPr>
            <w:tcW w:w="2602" w:type="dxa"/>
            <w:tcBorders>
              <w:top w:val="single" w:sz="4" w:space="0" w:color="000000"/>
              <w:bottom w:val="single" w:sz="4" w:space="0" w:color="000000"/>
            </w:tcBorders>
          </w:tcPr>
          <w:p>
            <w:pPr>
              <w:pStyle w:val="TableParagraph"/>
              <w:spacing w:before="38"/>
              <w:ind w:left="14"/>
              <w:jc w:val="left"/>
              <w:rPr>
                <w:sz w:val="18"/>
              </w:rPr>
            </w:pPr>
            <w:r>
              <w:rPr>
                <w:sz w:val="18"/>
              </w:rPr>
              <w:t>MP II:</w:t>
            </w:r>
            <w:r>
              <w:rPr>
                <w:spacing w:val="-2"/>
                <w:sz w:val="18"/>
              </w:rPr>
              <w:t> </w:t>
            </w:r>
            <w:r>
              <w:rPr>
                <w:spacing w:val="-5"/>
                <w:sz w:val="18"/>
              </w:rPr>
              <w:t>OTP</w:t>
            </w:r>
          </w:p>
        </w:tc>
        <w:tc>
          <w:tcPr>
            <w:tcW w:w="1063" w:type="dxa"/>
            <w:tcBorders>
              <w:top w:val="single" w:sz="4" w:space="0" w:color="000000"/>
              <w:bottom w:val="single" w:sz="4" w:space="0" w:color="000000"/>
            </w:tcBorders>
          </w:tcPr>
          <w:p>
            <w:pPr>
              <w:pStyle w:val="TableParagraph"/>
              <w:spacing w:before="38"/>
              <w:ind w:right="95"/>
              <w:rPr>
                <w:sz w:val="18"/>
              </w:rPr>
            </w:pPr>
            <w:r>
              <w:rPr>
                <w:spacing w:val="-2"/>
                <w:sz w:val="18"/>
              </w:rPr>
              <w:t>708.3</w:t>
            </w:r>
          </w:p>
        </w:tc>
        <w:tc>
          <w:tcPr>
            <w:tcW w:w="1012" w:type="dxa"/>
            <w:tcBorders>
              <w:top w:val="single" w:sz="4" w:space="0" w:color="000000"/>
              <w:bottom w:val="single" w:sz="4" w:space="0" w:color="000000"/>
            </w:tcBorders>
          </w:tcPr>
          <w:p>
            <w:pPr>
              <w:pStyle w:val="TableParagraph"/>
              <w:spacing w:before="38"/>
              <w:ind w:right="89"/>
              <w:rPr>
                <w:sz w:val="18"/>
              </w:rPr>
            </w:pPr>
            <w:r>
              <w:rPr>
                <w:spacing w:val="-2"/>
                <w:sz w:val="18"/>
              </w:rPr>
              <w:t>1,208.5</w:t>
            </w:r>
          </w:p>
        </w:tc>
        <w:tc>
          <w:tcPr>
            <w:tcW w:w="1107" w:type="dxa"/>
            <w:tcBorders>
              <w:top w:val="single" w:sz="4" w:space="0" w:color="000000"/>
              <w:bottom w:val="single" w:sz="4" w:space="0" w:color="000000"/>
            </w:tcBorders>
          </w:tcPr>
          <w:p>
            <w:pPr>
              <w:pStyle w:val="TableParagraph"/>
              <w:spacing w:before="38"/>
              <w:ind w:right="197"/>
              <w:rPr>
                <w:sz w:val="18"/>
              </w:rPr>
            </w:pPr>
            <w:r>
              <w:rPr>
                <w:spacing w:val="-2"/>
                <w:sz w:val="18"/>
              </w:rPr>
              <w:t>1,236.0</w:t>
            </w:r>
          </w:p>
        </w:tc>
        <w:tc>
          <w:tcPr>
            <w:tcW w:w="833" w:type="dxa"/>
            <w:tcBorders>
              <w:top w:val="single" w:sz="4" w:space="0" w:color="000000"/>
              <w:bottom w:val="single" w:sz="4" w:space="0" w:color="000000"/>
            </w:tcBorders>
          </w:tcPr>
          <w:p>
            <w:pPr>
              <w:pStyle w:val="TableParagraph"/>
              <w:spacing w:before="38"/>
              <w:rPr>
                <w:sz w:val="18"/>
              </w:rPr>
            </w:pPr>
            <w:r>
              <w:rPr>
                <w:spacing w:val="-2"/>
                <w:sz w:val="18"/>
              </w:rPr>
              <w:t>3,152.8</w:t>
            </w:r>
          </w:p>
        </w:tc>
      </w:tr>
      <w:tr>
        <w:trPr>
          <w:trHeight w:val="282" w:hRule="atLeast"/>
        </w:trPr>
        <w:tc>
          <w:tcPr>
            <w:tcW w:w="2602" w:type="dxa"/>
            <w:tcBorders>
              <w:top w:val="single" w:sz="4" w:space="0" w:color="000000"/>
              <w:bottom w:val="single" w:sz="4" w:space="0" w:color="000000"/>
            </w:tcBorders>
          </w:tcPr>
          <w:p>
            <w:pPr>
              <w:pStyle w:val="TableParagraph"/>
              <w:spacing w:before="38"/>
              <w:ind w:left="14"/>
              <w:jc w:val="left"/>
              <w:rPr>
                <w:sz w:val="18"/>
              </w:rPr>
            </w:pPr>
            <w:r>
              <w:rPr>
                <w:sz w:val="18"/>
              </w:rPr>
              <w:t>MP</w:t>
            </w:r>
            <w:r>
              <w:rPr>
                <w:spacing w:val="-2"/>
                <w:sz w:val="18"/>
              </w:rPr>
              <w:t> </w:t>
            </w:r>
            <w:r>
              <w:rPr>
                <w:sz w:val="18"/>
              </w:rPr>
              <w:t>III: </w:t>
            </w:r>
            <w:r>
              <w:rPr>
                <w:spacing w:val="-2"/>
                <w:sz w:val="18"/>
              </w:rPr>
              <w:t>Registry</w:t>
            </w:r>
          </w:p>
        </w:tc>
        <w:tc>
          <w:tcPr>
            <w:tcW w:w="1063" w:type="dxa"/>
            <w:tcBorders>
              <w:top w:val="single" w:sz="4" w:space="0" w:color="000000"/>
              <w:bottom w:val="single" w:sz="4" w:space="0" w:color="000000"/>
            </w:tcBorders>
          </w:tcPr>
          <w:p>
            <w:pPr>
              <w:pStyle w:val="TableParagraph"/>
              <w:jc w:val="left"/>
              <w:rPr>
                <w:sz w:val="18"/>
              </w:rPr>
            </w:pPr>
          </w:p>
        </w:tc>
        <w:tc>
          <w:tcPr>
            <w:tcW w:w="1012" w:type="dxa"/>
            <w:tcBorders>
              <w:top w:val="single" w:sz="4" w:space="0" w:color="000000"/>
              <w:bottom w:val="single" w:sz="4" w:space="0" w:color="000000"/>
            </w:tcBorders>
          </w:tcPr>
          <w:p>
            <w:pPr>
              <w:pStyle w:val="TableParagraph"/>
              <w:jc w:val="left"/>
              <w:rPr>
                <w:sz w:val="18"/>
              </w:rPr>
            </w:pPr>
          </w:p>
        </w:tc>
        <w:tc>
          <w:tcPr>
            <w:tcW w:w="1107" w:type="dxa"/>
            <w:tcBorders>
              <w:top w:val="single" w:sz="4" w:space="0" w:color="000000"/>
              <w:bottom w:val="single" w:sz="4" w:space="0" w:color="000000"/>
            </w:tcBorders>
          </w:tcPr>
          <w:p>
            <w:pPr>
              <w:pStyle w:val="TableParagraph"/>
              <w:jc w:val="left"/>
              <w:rPr>
                <w:sz w:val="18"/>
              </w:rPr>
            </w:pPr>
          </w:p>
        </w:tc>
        <w:tc>
          <w:tcPr>
            <w:tcW w:w="833" w:type="dxa"/>
            <w:tcBorders>
              <w:top w:val="single" w:sz="4" w:space="0" w:color="000000"/>
              <w:bottom w:val="single" w:sz="4" w:space="0" w:color="000000"/>
            </w:tcBorders>
          </w:tcPr>
          <w:p>
            <w:pPr>
              <w:pStyle w:val="TableParagraph"/>
              <w:jc w:val="left"/>
              <w:rPr>
                <w:sz w:val="18"/>
              </w:rPr>
            </w:pPr>
          </w:p>
        </w:tc>
      </w:tr>
      <w:tr>
        <w:trPr>
          <w:trHeight w:val="282" w:hRule="atLeast"/>
        </w:trPr>
        <w:tc>
          <w:tcPr>
            <w:tcW w:w="2602" w:type="dxa"/>
            <w:tcBorders>
              <w:top w:val="single" w:sz="4" w:space="0" w:color="000000"/>
              <w:bottom w:val="single" w:sz="4" w:space="0" w:color="000000"/>
            </w:tcBorders>
          </w:tcPr>
          <w:p>
            <w:pPr>
              <w:pStyle w:val="TableParagraph"/>
              <w:spacing w:before="38"/>
              <w:ind w:left="297"/>
              <w:jc w:val="left"/>
              <w:rPr>
                <w:sz w:val="18"/>
              </w:rPr>
            </w:pPr>
            <w:r>
              <w:rPr>
                <w:sz w:val="18"/>
              </w:rPr>
              <w:t>DJS</w:t>
            </w:r>
            <w:r>
              <w:rPr>
                <w:spacing w:val="3"/>
                <w:sz w:val="18"/>
              </w:rPr>
              <w:t> </w:t>
            </w:r>
            <w:r>
              <w:rPr>
                <w:sz w:val="18"/>
              </w:rPr>
              <w:t>–</w:t>
            </w:r>
            <w:r>
              <w:rPr>
                <w:spacing w:val="-2"/>
                <w:sz w:val="18"/>
              </w:rPr>
              <w:t> </w:t>
            </w:r>
            <w:r>
              <w:rPr>
                <w:spacing w:val="-4"/>
                <w:sz w:val="18"/>
              </w:rPr>
              <w:t>IMSS</w:t>
            </w:r>
          </w:p>
        </w:tc>
        <w:tc>
          <w:tcPr>
            <w:tcW w:w="1063" w:type="dxa"/>
            <w:tcBorders>
              <w:top w:val="single" w:sz="4" w:space="0" w:color="000000"/>
              <w:bottom w:val="single" w:sz="4" w:space="0" w:color="000000"/>
            </w:tcBorders>
          </w:tcPr>
          <w:p>
            <w:pPr>
              <w:pStyle w:val="TableParagraph"/>
              <w:spacing w:before="38"/>
              <w:ind w:right="95"/>
              <w:rPr>
                <w:sz w:val="18"/>
              </w:rPr>
            </w:pPr>
            <w:r>
              <w:rPr>
                <w:spacing w:val="-2"/>
                <w:sz w:val="18"/>
              </w:rPr>
              <w:t>4,614.5</w:t>
            </w:r>
          </w:p>
        </w:tc>
        <w:tc>
          <w:tcPr>
            <w:tcW w:w="1012" w:type="dxa"/>
            <w:tcBorders>
              <w:top w:val="single" w:sz="4" w:space="0" w:color="000000"/>
              <w:bottom w:val="single" w:sz="4" w:space="0" w:color="000000"/>
            </w:tcBorders>
          </w:tcPr>
          <w:p>
            <w:pPr>
              <w:pStyle w:val="TableParagraph"/>
              <w:spacing w:before="38"/>
              <w:ind w:right="89"/>
              <w:rPr>
                <w:sz w:val="18"/>
              </w:rPr>
            </w:pPr>
            <w:r>
              <w:rPr>
                <w:spacing w:val="-2"/>
                <w:sz w:val="18"/>
              </w:rPr>
              <w:t>4,758.9</w:t>
            </w:r>
          </w:p>
        </w:tc>
        <w:tc>
          <w:tcPr>
            <w:tcW w:w="1107" w:type="dxa"/>
            <w:tcBorders>
              <w:top w:val="single" w:sz="4" w:space="0" w:color="000000"/>
              <w:bottom w:val="single" w:sz="4" w:space="0" w:color="000000"/>
            </w:tcBorders>
          </w:tcPr>
          <w:p>
            <w:pPr>
              <w:pStyle w:val="TableParagraph"/>
              <w:spacing w:before="38"/>
              <w:ind w:right="197"/>
              <w:rPr>
                <w:sz w:val="18"/>
              </w:rPr>
            </w:pPr>
            <w:r>
              <w:rPr>
                <w:spacing w:val="-2"/>
                <w:sz w:val="18"/>
              </w:rPr>
              <w:t>4,877.7</w:t>
            </w:r>
          </w:p>
        </w:tc>
        <w:tc>
          <w:tcPr>
            <w:tcW w:w="833" w:type="dxa"/>
            <w:tcBorders>
              <w:top w:val="single" w:sz="4" w:space="0" w:color="000000"/>
              <w:bottom w:val="single" w:sz="4" w:space="0" w:color="000000"/>
            </w:tcBorders>
          </w:tcPr>
          <w:p>
            <w:pPr>
              <w:pStyle w:val="TableParagraph"/>
              <w:spacing w:before="38"/>
              <w:rPr>
                <w:sz w:val="18"/>
              </w:rPr>
            </w:pPr>
            <w:r>
              <w:rPr>
                <w:spacing w:val="-2"/>
                <w:sz w:val="18"/>
              </w:rPr>
              <w:t>14,251.1</w:t>
            </w:r>
          </w:p>
        </w:tc>
      </w:tr>
      <w:tr>
        <w:trPr>
          <w:trHeight w:val="283" w:hRule="atLeast"/>
        </w:trPr>
        <w:tc>
          <w:tcPr>
            <w:tcW w:w="2602" w:type="dxa"/>
            <w:tcBorders>
              <w:top w:val="single" w:sz="4" w:space="0" w:color="000000"/>
              <w:bottom w:val="single" w:sz="4" w:space="0" w:color="000000"/>
            </w:tcBorders>
          </w:tcPr>
          <w:p>
            <w:pPr>
              <w:pStyle w:val="TableParagraph"/>
              <w:spacing w:before="38"/>
              <w:ind w:left="297"/>
              <w:jc w:val="left"/>
              <w:rPr>
                <w:sz w:val="18"/>
              </w:rPr>
            </w:pPr>
            <w:r>
              <w:rPr>
                <w:sz w:val="18"/>
              </w:rPr>
              <w:t>DJS</w:t>
            </w:r>
            <w:r>
              <w:rPr>
                <w:spacing w:val="3"/>
                <w:sz w:val="18"/>
              </w:rPr>
              <w:t> </w:t>
            </w:r>
            <w:r>
              <w:rPr>
                <w:sz w:val="18"/>
              </w:rPr>
              <w:t>–</w:t>
            </w:r>
            <w:r>
              <w:rPr>
                <w:spacing w:val="-2"/>
                <w:sz w:val="18"/>
              </w:rPr>
              <w:t> </w:t>
            </w:r>
            <w:r>
              <w:rPr>
                <w:spacing w:val="-5"/>
                <w:sz w:val="18"/>
              </w:rPr>
              <w:t>CMS</w:t>
            </w:r>
          </w:p>
        </w:tc>
        <w:tc>
          <w:tcPr>
            <w:tcW w:w="1063" w:type="dxa"/>
            <w:tcBorders>
              <w:top w:val="single" w:sz="4" w:space="0" w:color="000000"/>
              <w:bottom w:val="single" w:sz="4" w:space="0" w:color="000000"/>
            </w:tcBorders>
          </w:tcPr>
          <w:p>
            <w:pPr>
              <w:pStyle w:val="TableParagraph"/>
              <w:spacing w:before="38"/>
              <w:ind w:right="95"/>
              <w:rPr>
                <w:sz w:val="18"/>
              </w:rPr>
            </w:pPr>
            <w:r>
              <w:rPr>
                <w:spacing w:val="-2"/>
                <w:sz w:val="18"/>
              </w:rPr>
              <w:t>163.2</w:t>
            </w:r>
          </w:p>
        </w:tc>
        <w:tc>
          <w:tcPr>
            <w:tcW w:w="1012" w:type="dxa"/>
            <w:tcBorders>
              <w:top w:val="single" w:sz="4" w:space="0" w:color="000000"/>
              <w:bottom w:val="single" w:sz="4" w:space="0" w:color="000000"/>
            </w:tcBorders>
          </w:tcPr>
          <w:p>
            <w:pPr>
              <w:pStyle w:val="TableParagraph"/>
              <w:spacing w:before="38"/>
              <w:ind w:right="89"/>
              <w:rPr>
                <w:sz w:val="18"/>
              </w:rPr>
            </w:pPr>
            <w:r>
              <w:rPr>
                <w:spacing w:val="-2"/>
                <w:sz w:val="18"/>
              </w:rPr>
              <w:t>203.7</w:t>
            </w:r>
          </w:p>
        </w:tc>
        <w:tc>
          <w:tcPr>
            <w:tcW w:w="1107" w:type="dxa"/>
            <w:tcBorders>
              <w:top w:val="single" w:sz="4" w:space="0" w:color="000000"/>
              <w:bottom w:val="single" w:sz="4" w:space="0" w:color="000000"/>
            </w:tcBorders>
          </w:tcPr>
          <w:p>
            <w:pPr>
              <w:pStyle w:val="TableParagraph"/>
              <w:spacing w:before="38"/>
              <w:ind w:right="197"/>
              <w:rPr>
                <w:sz w:val="18"/>
              </w:rPr>
            </w:pPr>
            <w:r>
              <w:rPr>
                <w:spacing w:val="-2"/>
                <w:sz w:val="18"/>
              </w:rPr>
              <w:t>207.9</w:t>
            </w:r>
          </w:p>
        </w:tc>
        <w:tc>
          <w:tcPr>
            <w:tcW w:w="833" w:type="dxa"/>
            <w:tcBorders>
              <w:top w:val="single" w:sz="4" w:space="0" w:color="000000"/>
              <w:bottom w:val="single" w:sz="4" w:space="0" w:color="000000"/>
            </w:tcBorders>
          </w:tcPr>
          <w:p>
            <w:pPr>
              <w:pStyle w:val="TableParagraph"/>
              <w:spacing w:before="38"/>
              <w:rPr>
                <w:sz w:val="18"/>
              </w:rPr>
            </w:pPr>
            <w:r>
              <w:rPr>
                <w:spacing w:val="-2"/>
                <w:sz w:val="18"/>
              </w:rPr>
              <w:t>578.4</w:t>
            </w:r>
          </w:p>
        </w:tc>
      </w:tr>
      <w:tr>
        <w:trPr>
          <w:trHeight w:val="282" w:hRule="atLeast"/>
        </w:trPr>
        <w:tc>
          <w:tcPr>
            <w:tcW w:w="2602" w:type="dxa"/>
            <w:tcBorders>
              <w:top w:val="single" w:sz="4" w:space="0" w:color="000000"/>
              <w:bottom w:val="single" w:sz="4" w:space="0" w:color="000000"/>
            </w:tcBorders>
          </w:tcPr>
          <w:p>
            <w:pPr>
              <w:pStyle w:val="TableParagraph"/>
              <w:spacing w:before="38"/>
              <w:ind w:left="297"/>
              <w:jc w:val="left"/>
              <w:rPr>
                <w:sz w:val="18"/>
              </w:rPr>
            </w:pPr>
            <w:r>
              <w:rPr>
                <w:sz w:val="18"/>
              </w:rPr>
              <w:t>DJS</w:t>
            </w:r>
            <w:r>
              <w:rPr>
                <w:spacing w:val="3"/>
                <w:sz w:val="18"/>
              </w:rPr>
              <w:t> </w:t>
            </w:r>
            <w:r>
              <w:rPr>
                <w:sz w:val="18"/>
              </w:rPr>
              <w:t>–</w:t>
            </w:r>
            <w:r>
              <w:rPr>
                <w:spacing w:val="-2"/>
                <w:sz w:val="18"/>
              </w:rPr>
              <w:t> </w:t>
            </w:r>
            <w:r>
              <w:rPr>
                <w:spacing w:val="-4"/>
                <w:sz w:val="18"/>
              </w:rPr>
              <w:t>VPRS</w:t>
            </w:r>
          </w:p>
        </w:tc>
        <w:tc>
          <w:tcPr>
            <w:tcW w:w="1063" w:type="dxa"/>
            <w:tcBorders>
              <w:top w:val="single" w:sz="4" w:space="0" w:color="000000"/>
              <w:bottom w:val="single" w:sz="4" w:space="0" w:color="000000"/>
            </w:tcBorders>
          </w:tcPr>
          <w:p>
            <w:pPr>
              <w:pStyle w:val="TableParagraph"/>
              <w:spacing w:before="38"/>
              <w:ind w:right="95"/>
              <w:rPr>
                <w:sz w:val="18"/>
              </w:rPr>
            </w:pPr>
            <w:r>
              <w:rPr>
                <w:spacing w:val="-4"/>
                <w:sz w:val="18"/>
              </w:rPr>
              <w:t>87.0</w:t>
            </w:r>
          </w:p>
        </w:tc>
        <w:tc>
          <w:tcPr>
            <w:tcW w:w="1012" w:type="dxa"/>
            <w:tcBorders>
              <w:top w:val="single" w:sz="4" w:space="0" w:color="000000"/>
              <w:bottom w:val="single" w:sz="4" w:space="0" w:color="000000"/>
            </w:tcBorders>
          </w:tcPr>
          <w:p>
            <w:pPr>
              <w:pStyle w:val="TableParagraph"/>
              <w:spacing w:before="38"/>
              <w:ind w:right="89"/>
              <w:rPr>
                <w:sz w:val="18"/>
              </w:rPr>
            </w:pPr>
            <w:r>
              <w:rPr>
                <w:spacing w:val="-4"/>
                <w:sz w:val="18"/>
              </w:rPr>
              <w:t>93.7</w:t>
            </w:r>
          </w:p>
        </w:tc>
        <w:tc>
          <w:tcPr>
            <w:tcW w:w="1107" w:type="dxa"/>
            <w:tcBorders>
              <w:top w:val="single" w:sz="4" w:space="0" w:color="000000"/>
              <w:bottom w:val="single" w:sz="4" w:space="0" w:color="000000"/>
            </w:tcBorders>
          </w:tcPr>
          <w:p>
            <w:pPr>
              <w:pStyle w:val="TableParagraph"/>
              <w:spacing w:before="38"/>
              <w:ind w:right="197"/>
              <w:rPr>
                <w:sz w:val="18"/>
              </w:rPr>
            </w:pPr>
            <w:r>
              <w:rPr>
                <w:spacing w:val="-4"/>
                <w:sz w:val="18"/>
              </w:rPr>
              <w:t>95.0</w:t>
            </w:r>
          </w:p>
        </w:tc>
        <w:tc>
          <w:tcPr>
            <w:tcW w:w="833" w:type="dxa"/>
            <w:tcBorders>
              <w:top w:val="single" w:sz="4" w:space="0" w:color="000000"/>
              <w:bottom w:val="single" w:sz="4" w:space="0" w:color="000000"/>
            </w:tcBorders>
          </w:tcPr>
          <w:p>
            <w:pPr>
              <w:pStyle w:val="TableParagraph"/>
              <w:spacing w:before="38"/>
              <w:rPr>
                <w:sz w:val="18"/>
              </w:rPr>
            </w:pPr>
            <w:r>
              <w:rPr>
                <w:spacing w:val="-2"/>
                <w:sz w:val="18"/>
              </w:rPr>
              <w:t>275.7</w:t>
            </w:r>
          </w:p>
        </w:tc>
      </w:tr>
      <w:tr>
        <w:trPr>
          <w:trHeight w:val="282" w:hRule="atLeast"/>
        </w:trPr>
        <w:tc>
          <w:tcPr>
            <w:tcW w:w="2602" w:type="dxa"/>
            <w:tcBorders>
              <w:top w:val="single" w:sz="4" w:space="0" w:color="000000"/>
              <w:bottom w:val="single" w:sz="4" w:space="0" w:color="000000"/>
            </w:tcBorders>
          </w:tcPr>
          <w:p>
            <w:pPr>
              <w:pStyle w:val="TableParagraph"/>
              <w:spacing w:before="38"/>
              <w:ind w:left="297"/>
              <w:jc w:val="left"/>
              <w:rPr>
                <w:sz w:val="18"/>
              </w:rPr>
            </w:pPr>
            <w:r>
              <w:rPr>
                <w:sz w:val="18"/>
              </w:rPr>
              <w:t>DMS</w:t>
            </w:r>
            <w:r>
              <w:rPr>
                <w:spacing w:val="-1"/>
                <w:sz w:val="18"/>
              </w:rPr>
              <w:t> </w:t>
            </w:r>
            <w:r>
              <w:rPr>
                <w:sz w:val="18"/>
              </w:rPr>
              <w:t>–</w:t>
            </w:r>
            <w:r>
              <w:rPr>
                <w:spacing w:val="4"/>
                <w:sz w:val="18"/>
              </w:rPr>
              <w:t> </w:t>
            </w:r>
            <w:r>
              <w:rPr>
                <w:spacing w:val="-5"/>
                <w:sz w:val="18"/>
              </w:rPr>
              <w:t>SAP</w:t>
            </w:r>
          </w:p>
        </w:tc>
        <w:tc>
          <w:tcPr>
            <w:tcW w:w="1063" w:type="dxa"/>
            <w:tcBorders>
              <w:top w:val="single" w:sz="4" w:space="0" w:color="000000"/>
              <w:bottom w:val="single" w:sz="4" w:space="0" w:color="000000"/>
            </w:tcBorders>
          </w:tcPr>
          <w:p>
            <w:pPr>
              <w:pStyle w:val="TableParagraph"/>
              <w:spacing w:before="38"/>
              <w:ind w:right="95"/>
              <w:rPr>
                <w:sz w:val="18"/>
              </w:rPr>
            </w:pPr>
            <w:r>
              <w:rPr>
                <w:spacing w:val="-2"/>
                <w:sz w:val="18"/>
              </w:rPr>
              <w:t>382.5</w:t>
            </w:r>
          </w:p>
        </w:tc>
        <w:tc>
          <w:tcPr>
            <w:tcW w:w="1012" w:type="dxa"/>
            <w:tcBorders>
              <w:top w:val="single" w:sz="4" w:space="0" w:color="000000"/>
              <w:bottom w:val="single" w:sz="4" w:space="0" w:color="000000"/>
            </w:tcBorders>
          </w:tcPr>
          <w:p>
            <w:pPr>
              <w:pStyle w:val="TableParagraph"/>
              <w:spacing w:before="38"/>
              <w:ind w:right="89"/>
              <w:rPr>
                <w:sz w:val="18"/>
              </w:rPr>
            </w:pPr>
            <w:r>
              <w:rPr>
                <w:spacing w:val="-2"/>
                <w:sz w:val="18"/>
              </w:rPr>
              <w:t>426.6</w:t>
            </w:r>
          </w:p>
        </w:tc>
        <w:tc>
          <w:tcPr>
            <w:tcW w:w="1107" w:type="dxa"/>
            <w:tcBorders>
              <w:top w:val="single" w:sz="4" w:space="0" w:color="000000"/>
              <w:bottom w:val="single" w:sz="4" w:space="0" w:color="000000"/>
            </w:tcBorders>
          </w:tcPr>
          <w:p>
            <w:pPr>
              <w:pStyle w:val="TableParagraph"/>
              <w:spacing w:before="38"/>
              <w:ind w:right="197"/>
              <w:rPr>
                <w:sz w:val="18"/>
              </w:rPr>
            </w:pPr>
            <w:r>
              <w:rPr>
                <w:spacing w:val="-2"/>
                <w:sz w:val="18"/>
              </w:rPr>
              <w:t>496.9</w:t>
            </w:r>
          </w:p>
        </w:tc>
        <w:tc>
          <w:tcPr>
            <w:tcW w:w="833" w:type="dxa"/>
            <w:tcBorders>
              <w:top w:val="single" w:sz="4" w:space="0" w:color="000000"/>
              <w:bottom w:val="single" w:sz="4" w:space="0" w:color="000000"/>
            </w:tcBorders>
          </w:tcPr>
          <w:p>
            <w:pPr>
              <w:pStyle w:val="TableParagraph"/>
              <w:spacing w:before="38"/>
              <w:rPr>
                <w:sz w:val="18"/>
              </w:rPr>
            </w:pPr>
            <w:r>
              <w:rPr>
                <w:spacing w:val="-2"/>
                <w:sz w:val="18"/>
              </w:rPr>
              <w:t>1,306.0</w:t>
            </w:r>
          </w:p>
        </w:tc>
      </w:tr>
      <w:tr>
        <w:trPr>
          <w:trHeight w:val="282" w:hRule="atLeast"/>
        </w:trPr>
        <w:tc>
          <w:tcPr>
            <w:tcW w:w="2602" w:type="dxa"/>
            <w:tcBorders>
              <w:top w:val="single" w:sz="4" w:space="0" w:color="000000"/>
              <w:bottom w:val="single" w:sz="4" w:space="0" w:color="000000"/>
            </w:tcBorders>
          </w:tcPr>
          <w:p>
            <w:pPr>
              <w:pStyle w:val="TableParagraph"/>
              <w:spacing w:before="38"/>
              <w:ind w:left="297"/>
              <w:jc w:val="left"/>
              <w:rPr>
                <w:sz w:val="18"/>
              </w:rPr>
            </w:pPr>
            <w:r>
              <w:rPr>
                <w:sz w:val="18"/>
              </w:rPr>
              <w:t>DEO</w:t>
            </w:r>
            <w:r>
              <w:rPr>
                <w:spacing w:val="-2"/>
                <w:sz w:val="18"/>
              </w:rPr>
              <w:t> </w:t>
            </w:r>
            <w:r>
              <w:rPr>
                <w:sz w:val="18"/>
              </w:rPr>
              <w:t>– Country</w:t>
            </w:r>
            <w:r>
              <w:rPr>
                <w:spacing w:val="-1"/>
                <w:sz w:val="18"/>
              </w:rPr>
              <w:t> </w:t>
            </w:r>
            <w:r>
              <w:rPr>
                <w:spacing w:val="-2"/>
                <w:sz w:val="18"/>
              </w:rPr>
              <w:t>Offices</w:t>
            </w:r>
          </w:p>
        </w:tc>
        <w:tc>
          <w:tcPr>
            <w:tcW w:w="1063" w:type="dxa"/>
            <w:tcBorders>
              <w:top w:val="single" w:sz="4" w:space="0" w:color="000000"/>
              <w:bottom w:val="single" w:sz="4" w:space="0" w:color="000000"/>
            </w:tcBorders>
          </w:tcPr>
          <w:p>
            <w:pPr>
              <w:pStyle w:val="TableParagraph"/>
              <w:spacing w:before="38"/>
              <w:ind w:right="95"/>
              <w:rPr>
                <w:sz w:val="18"/>
              </w:rPr>
            </w:pPr>
            <w:r>
              <w:rPr>
                <w:spacing w:val="-4"/>
                <w:sz w:val="18"/>
              </w:rPr>
              <w:t>58.2</w:t>
            </w:r>
          </w:p>
        </w:tc>
        <w:tc>
          <w:tcPr>
            <w:tcW w:w="1012" w:type="dxa"/>
            <w:tcBorders>
              <w:top w:val="single" w:sz="4" w:space="0" w:color="000000"/>
              <w:bottom w:val="single" w:sz="4" w:space="0" w:color="000000"/>
            </w:tcBorders>
          </w:tcPr>
          <w:p>
            <w:pPr>
              <w:pStyle w:val="TableParagraph"/>
              <w:spacing w:before="38"/>
              <w:ind w:right="89"/>
              <w:rPr>
                <w:sz w:val="18"/>
              </w:rPr>
            </w:pPr>
            <w:r>
              <w:rPr>
                <w:spacing w:val="-4"/>
                <w:sz w:val="18"/>
              </w:rPr>
              <w:t>98.0</w:t>
            </w:r>
          </w:p>
        </w:tc>
        <w:tc>
          <w:tcPr>
            <w:tcW w:w="1107" w:type="dxa"/>
            <w:tcBorders>
              <w:top w:val="single" w:sz="4" w:space="0" w:color="000000"/>
              <w:bottom w:val="single" w:sz="4" w:space="0" w:color="000000"/>
            </w:tcBorders>
          </w:tcPr>
          <w:p>
            <w:pPr>
              <w:pStyle w:val="TableParagraph"/>
              <w:spacing w:before="38"/>
              <w:ind w:right="197"/>
              <w:rPr>
                <w:sz w:val="18"/>
              </w:rPr>
            </w:pPr>
            <w:r>
              <w:rPr>
                <w:spacing w:val="-2"/>
                <w:sz w:val="18"/>
              </w:rPr>
              <w:t>111.3</w:t>
            </w:r>
          </w:p>
        </w:tc>
        <w:tc>
          <w:tcPr>
            <w:tcW w:w="833" w:type="dxa"/>
            <w:tcBorders>
              <w:top w:val="single" w:sz="4" w:space="0" w:color="000000"/>
              <w:bottom w:val="single" w:sz="4" w:space="0" w:color="000000"/>
            </w:tcBorders>
          </w:tcPr>
          <w:p>
            <w:pPr>
              <w:pStyle w:val="TableParagraph"/>
              <w:spacing w:before="38"/>
              <w:rPr>
                <w:sz w:val="18"/>
              </w:rPr>
            </w:pPr>
            <w:r>
              <w:rPr>
                <w:spacing w:val="-2"/>
                <w:sz w:val="18"/>
              </w:rPr>
              <w:t>709.2</w:t>
            </w:r>
          </w:p>
        </w:tc>
      </w:tr>
      <w:tr>
        <w:trPr>
          <w:trHeight w:val="282" w:hRule="atLeast"/>
        </w:trPr>
        <w:tc>
          <w:tcPr>
            <w:tcW w:w="2602" w:type="dxa"/>
            <w:tcBorders>
              <w:top w:val="single" w:sz="4" w:space="0" w:color="000000"/>
              <w:bottom w:val="single" w:sz="4" w:space="0" w:color="000000"/>
            </w:tcBorders>
          </w:tcPr>
          <w:p>
            <w:pPr>
              <w:pStyle w:val="TableParagraph"/>
              <w:spacing w:before="38"/>
              <w:ind w:left="14"/>
              <w:jc w:val="left"/>
              <w:rPr>
                <w:sz w:val="18"/>
              </w:rPr>
            </w:pPr>
            <w:r>
              <w:rPr>
                <w:sz w:val="18"/>
              </w:rPr>
              <w:t>MP</w:t>
            </w:r>
            <w:r>
              <w:rPr>
                <w:spacing w:val="1"/>
                <w:sz w:val="18"/>
              </w:rPr>
              <w:t> </w:t>
            </w:r>
            <w:r>
              <w:rPr>
                <w:sz w:val="18"/>
              </w:rPr>
              <w:t>IV</w:t>
            </w:r>
            <w:r>
              <w:rPr>
                <w:spacing w:val="-4"/>
                <w:sz w:val="18"/>
              </w:rPr>
              <w:t> </w:t>
            </w:r>
            <w:r>
              <w:rPr>
                <w:sz w:val="18"/>
              </w:rPr>
              <w:t>–</w:t>
            </w:r>
            <w:r>
              <w:rPr>
                <w:spacing w:val="-3"/>
                <w:sz w:val="18"/>
              </w:rPr>
              <w:t> </w:t>
            </w:r>
            <w:r>
              <w:rPr>
                <w:sz w:val="18"/>
              </w:rPr>
              <w:t>Secretariat of</w:t>
            </w:r>
            <w:r>
              <w:rPr>
                <w:spacing w:val="-5"/>
                <w:sz w:val="18"/>
              </w:rPr>
              <w:t> </w:t>
            </w:r>
            <w:r>
              <w:rPr>
                <w:sz w:val="18"/>
              </w:rPr>
              <w:t>the</w:t>
            </w:r>
            <w:r>
              <w:rPr>
                <w:spacing w:val="-3"/>
                <w:sz w:val="18"/>
              </w:rPr>
              <w:t> </w:t>
            </w:r>
            <w:r>
              <w:rPr>
                <w:spacing w:val="-5"/>
                <w:sz w:val="18"/>
              </w:rPr>
              <w:t>ASP</w:t>
            </w:r>
          </w:p>
        </w:tc>
        <w:tc>
          <w:tcPr>
            <w:tcW w:w="1063" w:type="dxa"/>
            <w:tcBorders>
              <w:top w:val="single" w:sz="4" w:space="0" w:color="000000"/>
              <w:bottom w:val="single" w:sz="4" w:space="0" w:color="000000"/>
            </w:tcBorders>
          </w:tcPr>
          <w:p>
            <w:pPr>
              <w:pStyle w:val="TableParagraph"/>
              <w:spacing w:before="38"/>
              <w:ind w:right="95"/>
              <w:rPr>
                <w:sz w:val="18"/>
              </w:rPr>
            </w:pPr>
            <w:r>
              <w:rPr>
                <w:spacing w:val="-5"/>
                <w:sz w:val="18"/>
              </w:rPr>
              <w:t>0.0</w:t>
            </w:r>
          </w:p>
        </w:tc>
        <w:tc>
          <w:tcPr>
            <w:tcW w:w="1012" w:type="dxa"/>
            <w:tcBorders>
              <w:top w:val="single" w:sz="4" w:space="0" w:color="000000"/>
              <w:bottom w:val="single" w:sz="4" w:space="0" w:color="000000"/>
            </w:tcBorders>
          </w:tcPr>
          <w:p>
            <w:pPr>
              <w:pStyle w:val="TableParagraph"/>
              <w:spacing w:before="38"/>
              <w:ind w:right="89"/>
              <w:rPr>
                <w:sz w:val="18"/>
              </w:rPr>
            </w:pPr>
            <w:r>
              <w:rPr>
                <w:spacing w:val="-5"/>
                <w:sz w:val="18"/>
              </w:rPr>
              <w:t>0.0</w:t>
            </w:r>
          </w:p>
        </w:tc>
        <w:tc>
          <w:tcPr>
            <w:tcW w:w="1107" w:type="dxa"/>
            <w:tcBorders>
              <w:top w:val="single" w:sz="4" w:space="0" w:color="000000"/>
              <w:bottom w:val="single" w:sz="4" w:space="0" w:color="000000"/>
            </w:tcBorders>
          </w:tcPr>
          <w:p>
            <w:pPr>
              <w:pStyle w:val="TableParagraph"/>
              <w:jc w:val="left"/>
              <w:rPr>
                <w:sz w:val="18"/>
              </w:rPr>
            </w:pPr>
          </w:p>
        </w:tc>
        <w:tc>
          <w:tcPr>
            <w:tcW w:w="833" w:type="dxa"/>
            <w:tcBorders>
              <w:top w:val="single" w:sz="4" w:space="0" w:color="000000"/>
              <w:bottom w:val="single" w:sz="4" w:space="0" w:color="000000"/>
            </w:tcBorders>
          </w:tcPr>
          <w:p>
            <w:pPr>
              <w:pStyle w:val="TableParagraph"/>
              <w:spacing w:before="38"/>
              <w:rPr>
                <w:sz w:val="18"/>
              </w:rPr>
            </w:pPr>
            <w:r>
              <w:rPr>
                <w:spacing w:val="-4"/>
                <w:sz w:val="18"/>
              </w:rPr>
              <w:t>72.9</w:t>
            </w:r>
          </w:p>
        </w:tc>
      </w:tr>
      <w:tr>
        <w:trPr>
          <w:trHeight w:val="282" w:hRule="atLeast"/>
        </w:trPr>
        <w:tc>
          <w:tcPr>
            <w:tcW w:w="2602" w:type="dxa"/>
            <w:tcBorders>
              <w:top w:val="single" w:sz="4" w:space="0" w:color="000000"/>
              <w:bottom w:val="single" w:sz="4" w:space="0" w:color="000000"/>
            </w:tcBorders>
          </w:tcPr>
          <w:p>
            <w:pPr>
              <w:pStyle w:val="TableParagraph"/>
              <w:spacing w:before="38"/>
              <w:ind w:left="14"/>
              <w:jc w:val="left"/>
              <w:rPr>
                <w:b/>
                <w:sz w:val="18"/>
              </w:rPr>
            </w:pPr>
            <w:r>
              <w:rPr>
                <w:b/>
                <w:sz w:val="18"/>
              </w:rPr>
              <w:t>Total</w:t>
            </w:r>
            <w:r>
              <w:rPr>
                <w:b/>
                <w:spacing w:val="-1"/>
                <w:sz w:val="18"/>
              </w:rPr>
              <w:t> </w:t>
            </w:r>
            <w:r>
              <w:rPr>
                <w:b/>
                <w:sz w:val="18"/>
              </w:rPr>
              <w:t>staff</w:t>
            </w:r>
            <w:r>
              <w:rPr>
                <w:b/>
                <w:spacing w:val="-2"/>
                <w:sz w:val="18"/>
              </w:rPr>
              <w:t> costs</w:t>
            </w:r>
          </w:p>
        </w:tc>
        <w:tc>
          <w:tcPr>
            <w:tcW w:w="1063" w:type="dxa"/>
            <w:tcBorders>
              <w:top w:val="single" w:sz="4" w:space="0" w:color="000000"/>
              <w:bottom w:val="single" w:sz="4" w:space="0" w:color="000000"/>
            </w:tcBorders>
          </w:tcPr>
          <w:p>
            <w:pPr>
              <w:pStyle w:val="TableParagraph"/>
              <w:spacing w:before="38"/>
              <w:ind w:right="95"/>
              <w:rPr>
                <w:b/>
                <w:sz w:val="18"/>
              </w:rPr>
            </w:pPr>
            <w:r>
              <w:rPr>
                <w:b/>
                <w:spacing w:val="-2"/>
                <w:sz w:val="18"/>
              </w:rPr>
              <w:t>6,013.7</w:t>
            </w:r>
          </w:p>
        </w:tc>
        <w:tc>
          <w:tcPr>
            <w:tcW w:w="1012" w:type="dxa"/>
            <w:tcBorders>
              <w:top w:val="single" w:sz="4" w:space="0" w:color="000000"/>
              <w:bottom w:val="single" w:sz="4" w:space="0" w:color="000000"/>
            </w:tcBorders>
          </w:tcPr>
          <w:p>
            <w:pPr>
              <w:pStyle w:val="TableParagraph"/>
              <w:spacing w:before="38"/>
              <w:ind w:right="89"/>
              <w:rPr>
                <w:b/>
                <w:sz w:val="18"/>
              </w:rPr>
            </w:pPr>
            <w:r>
              <w:rPr>
                <w:b/>
                <w:spacing w:val="-2"/>
                <w:sz w:val="18"/>
              </w:rPr>
              <w:t>6,789.4</w:t>
            </w:r>
          </w:p>
        </w:tc>
        <w:tc>
          <w:tcPr>
            <w:tcW w:w="1107" w:type="dxa"/>
            <w:tcBorders>
              <w:top w:val="single" w:sz="4" w:space="0" w:color="000000"/>
              <w:bottom w:val="single" w:sz="4" w:space="0" w:color="000000"/>
            </w:tcBorders>
          </w:tcPr>
          <w:p>
            <w:pPr>
              <w:pStyle w:val="TableParagraph"/>
              <w:spacing w:before="38"/>
              <w:ind w:right="197"/>
              <w:rPr>
                <w:b/>
                <w:sz w:val="18"/>
              </w:rPr>
            </w:pPr>
            <w:r>
              <w:rPr>
                <w:b/>
                <w:spacing w:val="-2"/>
                <w:sz w:val="18"/>
              </w:rPr>
              <w:t>7,024.8</w:t>
            </w:r>
          </w:p>
        </w:tc>
        <w:tc>
          <w:tcPr>
            <w:tcW w:w="833" w:type="dxa"/>
            <w:tcBorders>
              <w:top w:val="single" w:sz="4" w:space="0" w:color="000000"/>
              <w:bottom w:val="single" w:sz="4" w:space="0" w:color="000000"/>
            </w:tcBorders>
          </w:tcPr>
          <w:p>
            <w:pPr>
              <w:pStyle w:val="TableParagraph"/>
              <w:spacing w:before="38"/>
              <w:rPr>
                <w:b/>
                <w:sz w:val="18"/>
              </w:rPr>
            </w:pPr>
            <w:r>
              <w:rPr>
                <w:b/>
                <w:spacing w:val="-2"/>
                <w:sz w:val="18"/>
              </w:rPr>
              <w:t>19,827.9</w:t>
            </w:r>
          </w:p>
        </w:tc>
      </w:tr>
      <w:tr>
        <w:trPr>
          <w:trHeight w:val="283" w:hRule="atLeast"/>
        </w:trPr>
        <w:tc>
          <w:tcPr>
            <w:tcW w:w="2602" w:type="dxa"/>
            <w:tcBorders>
              <w:top w:val="single" w:sz="4" w:space="0" w:color="000000"/>
              <w:bottom w:val="single" w:sz="4" w:space="0" w:color="000000"/>
            </w:tcBorders>
          </w:tcPr>
          <w:p>
            <w:pPr>
              <w:pStyle w:val="TableParagraph"/>
              <w:spacing w:before="38"/>
              <w:ind w:left="14"/>
              <w:jc w:val="left"/>
              <w:rPr>
                <w:i/>
                <w:sz w:val="18"/>
              </w:rPr>
            </w:pPr>
            <w:r>
              <w:rPr>
                <w:i/>
                <w:sz w:val="18"/>
              </w:rPr>
              <w:t>Delta</w:t>
            </w:r>
            <w:r>
              <w:rPr>
                <w:i/>
                <w:spacing w:val="-5"/>
                <w:sz w:val="18"/>
              </w:rPr>
              <w:t> </w:t>
            </w:r>
            <w:r>
              <w:rPr>
                <w:i/>
                <w:sz w:val="18"/>
              </w:rPr>
              <w:t>from</w:t>
            </w:r>
            <w:r>
              <w:rPr>
                <w:i/>
                <w:spacing w:val="-2"/>
                <w:sz w:val="18"/>
              </w:rPr>
              <w:t> </w:t>
            </w:r>
            <w:r>
              <w:rPr>
                <w:i/>
                <w:sz w:val="18"/>
              </w:rPr>
              <w:t>previous</w:t>
            </w:r>
            <w:r>
              <w:rPr>
                <w:i/>
                <w:spacing w:val="-5"/>
                <w:sz w:val="18"/>
              </w:rPr>
              <w:t> </w:t>
            </w:r>
            <w:r>
              <w:rPr>
                <w:i/>
                <w:spacing w:val="-4"/>
                <w:sz w:val="18"/>
              </w:rPr>
              <w:t>year</w:t>
            </w:r>
          </w:p>
        </w:tc>
        <w:tc>
          <w:tcPr>
            <w:tcW w:w="1063" w:type="dxa"/>
            <w:tcBorders>
              <w:top w:val="single" w:sz="4" w:space="0" w:color="000000"/>
              <w:bottom w:val="single" w:sz="4" w:space="0" w:color="000000"/>
            </w:tcBorders>
          </w:tcPr>
          <w:p>
            <w:pPr>
              <w:pStyle w:val="TableParagraph"/>
              <w:spacing w:before="38"/>
              <w:ind w:right="95"/>
              <w:rPr>
                <w:i/>
                <w:sz w:val="18"/>
              </w:rPr>
            </w:pPr>
            <w:r>
              <w:rPr>
                <w:i/>
                <w:sz w:val="18"/>
              </w:rPr>
              <w:t>-</w:t>
            </w:r>
            <w:r>
              <w:rPr>
                <w:i/>
                <w:spacing w:val="-2"/>
                <w:sz w:val="18"/>
              </w:rPr>
              <w:t>769.2</w:t>
            </w:r>
          </w:p>
        </w:tc>
        <w:tc>
          <w:tcPr>
            <w:tcW w:w="1012" w:type="dxa"/>
            <w:tcBorders>
              <w:top w:val="single" w:sz="4" w:space="0" w:color="000000"/>
              <w:bottom w:val="single" w:sz="4" w:space="0" w:color="000000"/>
            </w:tcBorders>
          </w:tcPr>
          <w:p>
            <w:pPr>
              <w:pStyle w:val="TableParagraph"/>
              <w:spacing w:before="38"/>
              <w:ind w:right="89"/>
              <w:rPr>
                <w:i/>
                <w:sz w:val="18"/>
              </w:rPr>
            </w:pPr>
            <w:r>
              <w:rPr>
                <w:i/>
                <w:sz w:val="18"/>
              </w:rPr>
              <w:t>-</w:t>
            </w:r>
            <w:r>
              <w:rPr>
                <w:i/>
                <w:spacing w:val="-2"/>
                <w:sz w:val="18"/>
              </w:rPr>
              <w:t>775.7</w:t>
            </w:r>
          </w:p>
        </w:tc>
        <w:tc>
          <w:tcPr>
            <w:tcW w:w="1107" w:type="dxa"/>
            <w:tcBorders>
              <w:top w:val="single" w:sz="4" w:space="0" w:color="000000"/>
              <w:bottom w:val="single" w:sz="4" w:space="0" w:color="000000"/>
            </w:tcBorders>
          </w:tcPr>
          <w:p>
            <w:pPr>
              <w:pStyle w:val="TableParagraph"/>
              <w:spacing w:before="38"/>
              <w:ind w:right="197"/>
              <w:rPr>
                <w:i/>
                <w:sz w:val="18"/>
              </w:rPr>
            </w:pPr>
            <w:r>
              <w:rPr>
                <w:i/>
                <w:spacing w:val="-2"/>
                <w:sz w:val="18"/>
              </w:rPr>
              <w:t>235.4</w:t>
            </w:r>
          </w:p>
        </w:tc>
        <w:tc>
          <w:tcPr>
            <w:tcW w:w="833" w:type="dxa"/>
            <w:tcBorders>
              <w:top w:val="single" w:sz="4" w:space="0" w:color="000000"/>
              <w:bottom w:val="single" w:sz="4" w:space="0" w:color="000000"/>
            </w:tcBorders>
          </w:tcPr>
          <w:p>
            <w:pPr>
              <w:pStyle w:val="TableParagraph"/>
              <w:spacing w:before="38"/>
              <w:ind w:right="1"/>
              <w:rPr>
                <w:i/>
                <w:sz w:val="18"/>
              </w:rPr>
            </w:pPr>
            <w:r>
              <w:rPr>
                <w:i/>
                <w:w w:val="101"/>
                <w:sz w:val="18"/>
              </w:rPr>
              <w:t>-</w:t>
            </w:r>
          </w:p>
        </w:tc>
      </w:tr>
      <w:tr>
        <w:trPr>
          <w:trHeight w:val="282" w:hRule="atLeast"/>
        </w:trPr>
        <w:tc>
          <w:tcPr>
            <w:tcW w:w="2602" w:type="dxa"/>
            <w:tcBorders>
              <w:top w:val="single" w:sz="4" w:space="0" w:color="000000"/>
              <w:bottom w:val="single" w:sz="4" w:space="0" w:color="000000"/>
            </w:tcBorders>
          </w:tcPr>
          <w:p>
            <w:pPr>
              <w:pStyle w:val="TableParagraph"/>
              <w:spacing w:before="38"/>
              <w:ind w:left="14"/>
              <w:jc w:val="left"/>
              <w:rPr>
                <w:sz w:val="18"/>
              </w:rPr>
            </w:pPr>
            <w:r>
              <w:rPr>
                <w:sz w:val="18"/>
              </w:rPr>
              <w:t>MP II:</w:t>
            </w:r>
            <w:r>
              <w:rPr>
                <w:spacing w:val="-2"/>
                <w:sz w:val="18"/>
              </w:rPr>
              <w:t> </w:t>
            </w:r>
            <w:r>
              <w:rPr>
                <w:spacing w:val="-5"/>
                <w:sz w:val="18"/>
              </w:rPr>
              <w:t>OTP</w:t>
            </w:r>
          </w:p>
        </w:tc>
        <w:tc>
          <w:tcPr>
            <w:tcW w:w="1063" w:type="dxa"/>
            <w:tcBorders>
              <w:top w:val="single" w:sz="4" w:space="0" w:color="000000"/>
              <w:bottom w:val="single" w:sz="4" w:space="0" w:color="000000"/>
            </w:tcBorders>
          </w:tcPr>
          <w:p>
            <w:pPr>
              <w:pStyle w:val="TableParagraph"/>
              <w:spacing w:before="38"/>
              <w:ind w:right="95"/>
              <w:rPr>
                <w:sz w:val="18"/>
              </w:rPr>
            </w:pPr>
            <w:r>
              <w:rPr>
                <w:spacing w:val="-4"/>
                <w:sz w:val="18"/>
              </w:rPr>
              <w:t>73.4</w:t>
            </w:r>
          </w:p>
        </w:tc>
        <w:tc>
          <w:tcPr>
            <w:tcW w:w="1012" w:type="dxa"/>
            <w:tcBorders>
              <w:top w:val="single" w:sz="4" w:space="0" w:color="000000"/>
              <w:bottom w:val="single" w:sz="4" w:space="0" w:color="000000"/>
            </w:tcBorders>
          </w:tcPr>
          <w:p>
            <w:pPr>
              <w:pStyle w:val="TableParagraph"/>
              <w:spacing w:before="38"/>
              <w:ind w:right="89"/>
              <w:rPr>
                <w:sz w:val="18"/>
              </w:rPr>
            </w:pPr>
            <w:r>
              <w:rPr>
                <w:spacing w:val="-2"/>
                <w:sz w:val="18"/>
              </w:rPr>
              <w:t>265.0</w:t>
            </w:r>
          </w:p>
        </w:tc>
        <w:tc>
          <w:tcPr>
            <w:tcW w:w="1107" w:type="dxa"/>
            <w:tcBorders>
              <w:top w:val="single" w:sz="4" w:space="0" w:color="000000"/>
              <w:bottom w:val="single" w:sz="4" w:space="0" w:color="000000"/>
            </w:tcBorders>
          </w:tcPr>
          <w:p>
            <w:pPr>
              <w:pStyle w:val="TableParagraph"/>
              <w:spacing w:before="38"/>
              <w:ind w:right="197"/>
              <w:rPr>
                <w:sz w:val="18"/>
              </w:rPr>
            </w:pPr>
            <w:r>
              <w:rPr>
                <w:spacing w:val="-2"/>
                <w:sz w:val="18"/>
              </w:rPr>
              <w:t>207.0</w:t>
            </w:r>
          </w:p>
        </w:tc>
        <w:tc>
          <w:tcPr>
            <w:tcW w:w="833" w:type="dxa"/>
            <w:tcBorders>
              <w:top w:val="single" w:sz="4" w:space="0" w:color="000000"/>
              <w:bottom w:val="single" w:sz="4" w:space="0" w:color="000000"/>
            </w:tcBorders>
          </w:tcPr>
          <w:p>
            <w:pPr>
              <w:pStyle w:val="TableParagraph"/>
              <w:spacing w:before="38"/>
              <w:rPr>
                <w:sz w:val="18"/>
              </w:rPr>
            </w:pPr>
            <w:r>
              <w:rPr>
                <w:spacing w:val="-2"/>
                <w:sz w:val="18"/>
              </w:rPr>
              <w:t>545.4</w:t>
            </w:r>
          </w:p>
        </w:tc>
      </w:tr>
      <w:tr>
        <w:trPr>
          <w:trHeight w:val="282" w:hRule="atLeast"/>
        </w:trPr>
        <w:tc>
          <w:tcPr>
            <w:tcW w:w="2602" w:type="dxa"/>
            <w:tcBorders>
              <w:top w:val="single" w:sz="4" w:space="0" w:color="000000"/>
              <w:bottom w:val="single" w:sz="4" w:space="0" w:color="000000"/>
            </w:tcBorders>
          </w:tcPr>
          <w:p>
            <w:pPr>
              <w:pStyle w:val="TableParagraph"/>
              <w:spacing w:before="38"/>
              <w:ind w:left="297"/>
              <w:jc w:val="left"/>
              <w:rPr>
                <w:sz w:val="18"/>
              </w:rPr>
            </w:pPr>
            <w:r>
              <w:rPr>
                <w:sz w:val="18"/>
              </w:rPr>
              <w:t>DJS</w:t>
            </w:r>
            <w:r>
              <w:rPr>
                <w:spacing w:val="3"/>
                <w:sz w:val="18"/>
              </w:rPr>
              <w:t> </w:t>
            </w:r>
            <w:r>
              <w:rPr>
                <w:sz w:val="18"/>
              </w:rPr>
              <w:t>–</w:t>
            </w:r>
            <w:r>
              <w:rPr>
                <w:spacing w:val="-2"/>
                <w:sz w:val="18"/>
              </w:rPr>
              <w:t> </w:t>
            </w:r>
            <w:r>
              <w:rPr>
                <w:spacing w:val="-4"/>
                <w:sz w:val="18"/>
              </w:rPr>
              <w:t>IMSS</w:t>
            </w:r>
          </w:p>
        </w:tc>
        <w:tc>
          <w:tcPr>
            <w:tcW w:w="1063" w:type="dxa"/>
            <w:tcBorders>
              <w:top w:val="single" w:sz="4" w:space="0" w:color="000000"/>
              <w:bottom w:val="single" w:sz="4" w:space="0" w:color="000000"/>
            </w:tcBorders>
          </w:tcPr>
          <w:p>
            <w:pPr>
              <w:pStyle w:val="TableParagraph"/>
              <w:spacing w:before="38"/>
              <w:ind w:right="95"/>
              <w:rPr>
                <w:sz w:val="18"/>
              </w:rPr>
            </w:pPr>
            <w:r>
              <w:rPr>
                <w:spacing w:val="-2"/>
                <w:sz w:val="18"/>
              </w:rPr>
              <w:t>5,142.7</w:t>
            </w:r>
          </w:p>
        </w:tc>
        <w:tc>
          <w:tcPr>
            <w:tcW w:w="1012" w:type="dxa"/>
            <w:tcBorders>
              <w:top w:val="single" w:sz="4" w:space="0" w:color="000000"/>
              <w:bottom w:val="single" w:sz="4" w:space="0" w:color="000000"/>
            </w:tcBorders>
          </w:tcPr>
          <w:p>
            <w:pPr>
              <w:pStyle w:val="TableParagraph"/>
              <w:spacing w:before="38"/>
              <w:ind w:right="89"/>
              <w:rPr>
                <w:sz w:val="18"/>
              </w:rPr>
            </w:pPr>
            <w:r>
              <w:rPr>
                <w:spacing w:val="-2"/>
                <w:sz w:val="18"/>
              </w:rPr>
              <w:t>5,015.5</w:t>
            </w:r>
          </w:p>
        </w:tc>
        <w:tc>
          <w:tcPr>
            <w:tcW w:w="1107" w:type="dxa"/>
            <w:tcBorders>
              <w:top w:val="single" w:sz="4" w:space="0" w:color="000000"/>
              <w:bottom w:val="single" w:sz="4" w:space="0" w:color="000000"/>
            </w:tcBorders>
          </w:tcPr>
          <w:p>
            <w:pPr>
              <w:pStyle w:val="TableParagraph"/>
              <w:spacing w:before="38"/>
              <w:ind w:right="197"/>
              <w:rPr>
                <w:sz w:val="18"/>
              </w:rPr>
            </w:pPr>
            <w:r>
              <w:rPr>
                <w:spacing w:val="-2"/>
                <w:sz w:val="18"/>
              </w:rPr>
              <w:t>4,827.7</w:t>
            </w:r>
          </w:p>
        </w:tc>
        <w:tc>
          <w:tcPr>
            <w:tcW w:w="833" w:type="dxa"/>
            <w:tcBorders>
              <w:top w:val="single" w:sz="4" w:space="0" w:color="000000"/>
              <w:bottom w:val="single" w:sz="4" w:space="0" w:color="000000"/>
            </w:tcBorders>
          </w:tcPr>
          <w:p>
            <w:pPr>
              <w:pStyle w:val="TableParagraph"/>
              <w:spacing w:before="38"/>
              <w:rPr>
                <w:sz w:val="18"/>
              </w:rPr>
            </w:pPr>
            <w:r>
              <w:rPr>
                <w:spacing w:val="-2"/>
                <w:sz w:val="18"/>
              </w:rPr>
              <w:t>14,985.4</w:t>
            </w:r>
          </w:p>
        </w:tc>
      </w:tr>
    </w:tbl>
    <w:p>
      <w:pPr>
        <w:spacing w:after="0"/>
        <w:rPr>
          <w:sz w:val="18"/>
        </w:rPr>
        <w:sectPr>
          <w:pgSz w:w="11910" w:h="16840"/>
          <w:pgMar w:header="953" w:footer="940" w:top="1140" w:bottom="1140" w:left="20" w:right="20"/>
        </w:sectPr>
      </w:pPr>
    </w:p>
    <w:tbl>
      <w:tblPr>
        <w:tblW w:w="0" w:type="auto"/>
        <w:jc w:val="left"/>
        <w:tblInd w:w="1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44"/>
        <w:gridCol w:w="1058"/>
        <w:gridCol w:w="1013"/>
        <w:gridCol w:w="1108"/>
        <w:gridCol w:w="2380"/>
      </w:tblGrid>
      <w:tr>
        <w:trPr>
          <w:trHeight w:val="546" w:hRule="atLeast"/>
        </w:trPr>
        <w:tc>
          <w:tcPr>
            <w:tcW w:w="4144" w:type="dxa"/>
            <w:tcBorders>
              <w:top w:val="single" w:sz="2" w:space="0" w:color="000000"/>
              <w:bottom w:val="single" w:sz="4" w:space="0" w:color="000000"/>
            </w:tcBorders>
          </w:tcPr>
          <w:p>
            <w:pPr>
              <w:pStyle w:val="TableParagraph"/>
              <w:spacing w:before="4"/>
              <w:jc w:val="left"/>
              <w:rPr>
                <w:b/>
                <w:sz w:val="29"/>
              </w:rPr>
            </w:pPr>
          </w:p>
          <w:p>
            <w:pPr>
              <w:pStyle w:val="TableParagraph"/>
              <w:spacing w:line="189" w:lineRule="exact"/>
              <w:ind w:left="1550"/>
              <w:jc w:val="left"/>
              <w:rPr>
                <w:i/>
                <w:sz w:val="18"/>
              </w:rPr>
            </w:pPr>
            <w:r>
              <w:rPr>
                <w:i/>
                <w:spacing w:val="-2"/>
                <w:sz w:val="18"/>
              </w:rPr>
              <w:t>Programmes</w:t>
            </w:r>
          </w:p>
        </w:tc>
        <w:tc>
          <w:tcPr>
            <w:tcW w:w="1058" w:type="dxa"/>
            <w:tcBorders>
              <w:top w:val="single" w:sz="2" w:space="0" w:color="000000"/>
              <w:bottom w:val="single" w:sz="4" w:space="0" w:color="000000"/>
            </w:tcBorders>
          </w:tcPr>
          <w:p>
            <w:pPr>
              <w:pStyle w:val="TableParagraph"/>
              <w:spacing w:line="207" w:lineRule="exact" w:before="131"/>
              <w:ind w:right="95"/>
              <w:rPr>
                <w:i/>
                <w:sz w:val="18"/>
              </w:rPr>
            </w:pPr>
            <w:r>
              <w:rPr>
                <w:i/>
                <w:spacing w:val="-4"/>
                <w:sz w:val="18"/>
              </w:rPr>
              <w:t>2021</w:t>
            </w:r>
          </w:p>
          <w:p>
            <w:pPr>
              <w:pStyle w:val="TableParagraph"/>
              <w:spacing w:line="189" w:lineRule="exact"/>
              <w:ind w:right="93"/>
              <w:rPr>
                <w:i/>
                <w:sz w:val="18"/>
              </w:rPr>
            </w:pPr>
            <w:r>
              <w:rPr>
                <w:i/>
                <w:spacing w:val="-2"/>
                <w:sz w:val="18"/>
              </w:rPr>
              <w:t>(Actuals)</w:t>
            </w:r>
          </w:p>
        </w:tc>
        <w:tc>
          <w:tcPr>
            <w:tcW w:w="1013" w:type="dxa"/>
            <w:tcBorders>
              <w:top w:val="single" w:sz="2" w:space="0" w:color="000000"/>
              <w:bottom w:val="single" w:sz="4" w:space="0" w:color="000000"/>
            </w:tcBorders>
          </w:tcPr>
          <w:p>
            <w:pPr>
              <w:pStyle w:val="TableParagraph"/>
              <w:spacing w:line="207" w:lineRule="exact" w:before="131"/>
              <w:ind w:right="90"/>
              <w:rPr>
                <w:i/>
                <w:sz w:val="18"/>
              </w:rPr>
            </w:pPr>
            <w:r>
              <w:rPr>
                <w:i/>
                <w:spacing w:val="-4"/>
                <w:sz w:val="18"/>
              </w:rPr>
              <w:t>2022</w:t>
            </w:r>
          </w:p>
          <w:p>
            <w:pPr>
              <w:pStyle w:val="TableParagraph"/>
              <w:spacing w:line="189" w:lineRule="exact"/>
              <w:ind w:right="93"/>
              <w:rPr>
                <w:i/>
                <w:sz w:val="18"/>
              </w:rPr>
            </w:pPr>
            <w:r>
              <w:rPr>
                <w:i/>
                <w:spacing w:val="-2"/>
                <w:sz w:val="18"/>
              </w:rPr>
              <w:t>(Approved)</w:t>
            </w:r>
          </w:p>
        </w:tc>
        <w:tc>
          <w:tcPr>
            <w:tcW w:w="1108" w:type="dxa"/>
            <w:tcBorders>
              <w:top w:val="single" w:sz="2" w:space="0" w:color="000000"/>
              <w:bottom w:val="single" w:sz="4" w:space="0" w:color="000000"/>
            </w:tcBorders>
          </w:tcPr>
          <w:p>
            <w:pPr>
              <w:pStyle w:val="TableParagraph"/>
              <w:spacing w:line="207" w:lineRule="exact" w:before="131"/>
              <w:ind w:right="199"/>
              <w:rPr>
                <w:i/>
                <w:sz w:val="18"/>
              </w:rPr>
            </w:pPr>
            <w:r>
              <w:rPr>
                <w:i/>
                <w:spacing w:val="-4"/>
                <w:sz w:val="18"/>
              </w:rPr>
              <w:t>2023</w:t>
            </w:r>
          </w:p>
          <w:p>
            <w:pPr>
              <w:pStyle w:val="TableParagraph"/>
              <w:spacing w:line="189" w:lineRule="exact"/>
              <w:ind w:right="202"/>
              <w:rPr>
                <w:i/>
                <w:sz w:val="18"/>
              </w:rPr>
            </w:pPr>
            <w:r>
              <w:rPr>
                <w:i/>
                <w:spacing w:val="-2"/>
                <w:sz w:val="18"/>
              </w:rPr>
              <w:t>(Proposed)</w:t>
            </w:r>
          </w:p>
        </w:tc>
        <w:tc>
          <w:tcPr>
            <w:tcW w:w="2380" w:type="dxa"/>
            <w:tcBorders>
              <w:top w:val="single" w:sz="2" w:space="0" w:color="000000"/>
              <w:bottom w:val="single" w:sz="4" w:space="0" w:color="000000"/>
            </w:tcBorders>
          </w:tcPr>
          <w:p>
            <w:pPr>
              <w:pStyle w:val="TableParagraph"/>
              <w:spacing w:before="4"/>
              <w:jc w:val="left"/>
              <w:rPr>
                <w:b/>
                <w:sz w:val="29"/>
              </w:rPr>
            </w:pPr>
          </w:p>
          <w:p>
            <w:pPr>
              <w:pStyle w:val="TableParagraph"/>
              <w:spacing w:line="189" w:lineRule="exact"/>
              <w:ind w:right="1554"/>
              <w:rPr>
                <w:i/>
                <w:sz w:val="18"/>
              </w:rPr>
            </w:pPr>
            <w:r>
              <w:rPr>
                <w:i/>
                <w:spacing w:val="-2"/>
                <w:sz w:val="18"/>
              </w:rPr>
              <w:t>Total</w:t>
            </w:r>
          </w:p>
        </w:tc>
      </w:tr>
      <w:tr>
        <w:trPr>
          <w:trHeight w:val="282" w:hRule="atLeast"/>
        </w:trPr>
        <w:tc>
          <w:tcPr>
            <w:tcW w:w="4144" w:type="dxa"/>
            <w:tcBorders>
              <w:top w:val="single" w:sz="4" w:space="0" w:color="000000"/>
              <w:bottom w:val="single" w:sz="4" w:space="0" w:color="000000"/>
            </w:tcBorders>
          </w:tcPr>
          <w:p>
            <w:pPr>
              <w:pStyle w:val="TableParagraph"/>
              <w:spacing w:before="35"/>
              <w:ind w:left="1780" w:right="1391"/>
              <w:jc w:val="center"/>
              <w:rPr>
                <w:sz w:val="18"/>
              </w:rPr>
            </w:pPr>
            <w:r>
              <w:rPr>
                <w:sz w:val="18"/>
              </w:rPr>
              <w:t>DJS</w:t>
            </w:r>
            <w:r>
              <w:rPr>
                <w:spacing w:val="3"/>
                <w:sz w:val="18"/>
              </w:rPr>
              <w:t> </w:t>
            </w:r>
            <w:r>
              <w:rPr>
                <w:sz w:val="18"/>
              </w:rPr>
              <w:t>–</w:t>
            </w:r>
            <w:r>
              <w:rPr>
                <w:spacing w:val="-2"/>
                <w:sz w:val="18"/>
              </w:rPr>
              <w:t> </w:t>
            </w:r>
            <w:r>
              <w:rPr>
                <w:spacing w:val="-5"/>
                <w:sz w:val="18"/>
              </w:rPr>
              <w:t>CMS</w:t>
            </w:r>
          </w:p>
        </w:tc>
        <w:tc>
          <w:tcPr>
            <w:tcW w:w="1058" w:type="dxa"/>
            <w:tcBorders>
              <w:top w:val="single" w:sz="4" w:space="0" w:color="000000"/>
              <w:bottom w:val="single" w:sz="4" w:space="0" w:color="000000"/>
            </w:tcBorders>
          </w:tcPr>
          <w:p>
            <w:pPr>
              <w:pStyle w:val="TableParagraph"/>
              <w:spacing w:before="35"/>
              <w:ind w:right="95"/>
              <w:rPr>
                <w:sz w:val="18"/>
              </w:rPr>
            </w:pPr>
            <w:r>
              <w:rPr>
                <w:spacing w:val="-4"/>
                <w:sz w:val="18"/>
              </w:rPr>
              <w:t>12.8</w:t>
            </w:r>
          </w:p>
        </w:tc>
        <w:tc>
          <w:tcPr>
            <w:tcW w:w="1013" w:type="dxa"/>
            <w:tcBorders>
              <w:top w:val="single" w:sz="4" w:space="0" w:color="000000"/>
              <w:bottom w:val="single" w:sz="4" w:space="0" w:color="000000"/>
            </w:tcBorders>
          </w:tcPr>
          <w:p>
            <w:pPr>
              <w:pStyle w:val="TableParagraph"/>
              <w:spacing w:before="35"/>
              <w:ind w:right="90"/>
              <w:rPr>
                <w:sz w:val="18"/>
              </w:rPr>
            </w:pPr>
            <w:r>
              <w:rPr>
                <w:spacing w:val="-5"/>
                <w:sz w:val="18"/>
              </w:rPr>
              <w:t>6.5</w:t>
            </w:r>
          </w:p>
        </w:tc>
        <w:tc>
          <w:tcPr>
            <w:tcW w:w="1108" w:type="dxa"/>
            <w:tcBorders>
              <w:top w:val="single" w:sz="4" w:space="0" w:color="000000"/>
              <w:bottom w:val="single" w:sz="4" w:space="0" w:color="000000"/>
            </w:tcBorders>
          </w:tcPr>
          <w:p>
            <w:pPr>
              <w:pStyle w:val="TableParagraph"/>
              <w:jc w:val="left"/>
              <w:rPr>
                <w:sz w:val="18"/>
              </w:rPr>
            </w:pPr>
          </w:p>
        </w:tc>
        <w:tc>
          <w:tcPr>
            <w:tcW w:w="2380" w:type="dxa"/>
            <w:tcBorders>
              <w:top w:val="single" w:sz="4" w:space="0" w:color="000000"/>
              <w:bottom w:val="single" w:sz="4" w:space="0" w:color="000000"/>
            </w:tcBorders>
          </w:tcPr>
          <w:p>
            <w:pPr>
              <w:pStyle w:val="TableParagraph"/>
              <w:spacing w:before="35"/>
              <w:ind w:right="1547"/>
              <w:rPr>
                <w:sz w:val="18"/>
              </w:rPr>
            </w:pPr>
            <w:r>
              <w:rPr>
                <w:spacing w:val="-4"/>
                <w:sz w:val="18"/>
              </w:rPr>
              <w:t>19.3</w:t>
            </w:r>
          </w:p>
        </w:tc>
      </w:tr>
      <w:tr>
        <w:trPr>
          <w:trHeight w:val="282" w:hRule="atLeast"/>
        </w:trPr>
        <w:tc>
          <w:tcPr>
            <w:tcW w:w="4144" w:type="dxa"/>
            <w:tcBorders>
              <w:top w:val="single" w:sz="4" w:space="0" w:color="000000"/>
              <w:bottom w:val="single" w:sz="4" w:space="0" w:color="000000"/>
            </w:tcBorders>
          </w:tcPr>
          <w:p>
            <w:pPr>
              <w:pStyle w:val="TableParagraph"/>
              <w:spacing w:before="35"/>
              <w:ind w:left="1713" w:right="1391"/>
              <w:jc w:val="center"/>
              <w:rPr>
                <w:sz w:val="18"/>
              </w:rPr>
            </w:pPr>
            <w:r>
              <w:rPr>
                <w:sz w:val="18"/>
              </w:rPr>
              <w:t>DJS</w:t>
            </w:r>
            <w:r>
              <w:rPr>
                <w:spacing w:val="3"/>
                <w:sz w:val="18"/>
              </w:rPr>
              <w:t> </w:t>
            </w:r>
            <w:r>
              <w:rPr>
                <w:sz w:val="18"/>
              </w:rPr>
              <w:t>–</w:t>
            </w:r>
            <w:r>
              <w:rPr>
                <w:spacing w:val="-2"/>
                <w:sz w:val="18"/>
              </w:rPr>
              <w:t> </w:t>
            </w:r>
            <w:r>
              <w:rPr>
                <w:spacing w:val="-5"/>
                <w:sz w:val="18"/>
              </w:rPr>
              <w:t>LSS</w:t>
            </w:r>
          </w:p>
        </w:tc>
        <w:tc>
          <w:tcPr>
            <w:tcW w:w="1058" w:type="dxa"/>
            <w:tcBorders>
              <w:top w:val="single" w:sz="4" w:space="0" w:color="000000"/>
              <w:bottom w:val="single" w:sz="4" w:space="0" w:color="000000"/>
            </w:tcBorders>
          </w:tcPr>
          <w:p>
            <w:pPr>
              <w:pStyle w:val="TableParagraph"/>
              <w:spacing w:before="35"/>
              <w:ind w:right="95"/>
              <w:rPr>
                <w:sz w:val="18"/>
              </w:rPr>
            </w:pPr>
            <w:r>
              <w:rPr>
                <w:spacing w:val="-5"/>
                <w:sz w:val="18"/>
              </w:rPr>
              <w:t>0.0</w:t>
            </w:r>
          </w:p>
        </w:tc>
        <w:tc>
          <w:tcPr>
            <w:tcW w:w="1013" w:type="dxa"/>
            <w:tcBorders>
              <w:top w:val="single" w:sz="4" w:space="0" w:color="000000"/>
              <w:bottom w:val="single" w:sz="4" w:space="0" w:color="000000"/>
            </w:tcBorders>
          </w:tcPr>
          <w:p>
            <w:pPr>
              <w:pStyle w:val="TableParagraph"/>
              <w:spacing w:before="35"/>
              <w:ind w:right="90"/>
              <w:rPr>
                <w:sz w:val="18"/>
              </w:rPr>
            </w:pPr>
            <w:r>
              <w:rPr>
                <w:spacing w:val="-5"/>
                <w:sz w:val="18"/>
              </w:rPr>
              <w:t>7.0</w:t>
            </w:r>
          </w:p>
        </w:tc>
        <w:tc>
          <w:tcPr>
            <w:tcW w:w="1108" w:type="dxa"/>
            <w:tcBorders>
              <w:top w:val="single" w:sz="4" w:space="0" w:color="000000"/>
              <w:bottom w:val="single" w:sz="4" w:space="0" w:color="000000"/>
            </w:tcBorders>
          </w:tcPr>
          <w:p>
            <w:pPr>
              <w:pStyle w:val="TableParagraph"/>
              <w:jc w:val="left"/>
              <w:rPr>
                <w:sz w:val="18"/>
              </w:rPr>
            </w:pPr>
          </w:p>
        </w:tc>
        <w:tc>
          <w:tcPr>
            <w:tcW w:w="2380" w:type="dxa"/>
            <w:tcBorders>
              <w:top w:val="single" w:sz="4" w:space="0" w:color="000000"/>
              <w:bottom w:val="single" w:sz="4" w:space="0" w:color="000000"/>
            </w:tcBorders>
          </w:tcPr>
          <w:p>
            <w:pPr>
              <w:pStyle w:val="TableParagraph"/>
              <w:spacing w:before="35"/>
              <w:ind w:right="1547"/>
              <w:rPr>
                <w:sz w:val="18"/>
              </w:rPr>
            </w:pPr>
            <w:r>
              <w:rPr>
                <w:spacing w:val="-5"/>
                <w:sz w:val="18"/>
              </w:rPr>
              <w:t>7.0</w:t>
            </w:r>
          </w:p>
        </w:tc>
      </w:tr>
      <w:tr>
        <w:trPr>
          <w:trHeight w:val="282" w:hRule="atLeast"/>
        </w:trPr>
        <w:tc>
          <w:tcPr>
            <w:tcW w:w="4144" w:type="dxa"/>
            <w:tcBorders>
              <w:top w:val="single" w:sz="4" w:space="0" w:color="000000"/>
              <w:bottom w:val="single" w:sz="4" w:space="0" w:color="000000"/>
            </w:tcBorders>
          </w:tcPr>
          <w:p>
            <w:pPr>
              <w:pStyle w:val="TableParagraph"/>
              <w:spacing w:before="35"/>
              <w:ind w:left="1834"/>
              <w:jc w:val="left"/>
              <w:rPr>
                <w:sz w:val="18"/>
              </w:rPr>
            </w:pPr>
            <w:r>
              <w:rPr>
                <w:sz w:val="18"/>
              </w:rPr>
              <w:t>DJS</w:t>
            </w:r>
            <w:r>
              <w:rPr>
                <w:spacing w:val="3"/>
                <w:sz w:val="18"/>
              </w:rPr>
              <w:t> </w:t>
            </w:r>
            <w:r>
              <w:rPr>
                <w:sz w:val="18"/>
              </w:rPr>
              <w:t>–</w:t>
            </w:r>
            <w:r>
              <w:rPr>
                <w:spacing w:val="-2"/>
                <w:sz w:val="18"/>
              </w:rPr>
              <w:t> </w:t>
            </w:r>
            <w:r>
              <w:rPr>
                <w:spacing w:val="-4"/>
                <w:sz w:val="18"/>
              </w:rPr>
              <w:t>VPRS</w:t>
            </w:r>
          </w:p>
        </w:tc>
        <w:tc>
          <w:tcPr>
            <w:tcW w:w="1058" w:type="dxa"/>
            <w:tcBorders>
              <w:top w:val="single" w:sz="4" w:space="0" w:color="000000"/>
              <w:bottom w:val="single" w:sz="4" w:space="0" w:color="000000"/>
            </w:tcBorders>
          </w:tcPr>
          <w:p>
            <w:pPr>
              <w:pStyle w:val="TableParagraph"/>
              <w:spacing w:before="35"/>
              <w:ind w:right="95"/>
              <w:rPr>
                <w:sz w:val="18"/>
              </w:rPr>
            </w:pPr>
            <w:r>
              <w:rPr>
                <w:spacing w:val="-5"/>
                <w:sz w:val="18"/>
              </w:rPr>
              <w:t>3.0</w:t>
            </w:r>
          </w:p>
        </w:tc>
        <w:tc>
          <w:tcPr>
            <w:tcW w:w="1013" w:type="dxa"/>
            <w:tcBorders>
              <w:top w:val="single" w:sz="4" w:space="0" w:color="000000"/>
              <w:bottom w:val="single" w:sz="4" w:space="0" w:color="000000"/>
            </w:tcBorders>
          </w:tcPr>
          <w:p>
            <w:pPr>
              <w:pStyle w:val="TableParagraph"/>
              <w:spacing w:before="35"/>
              <w:ind w:right="90"/>
              <w:rPr>
                <w:sz w:val="18"/>
              </w:rPr>
            </w:pPr>
            <w:r>
              <w:rPr>
                <w:spacing w:val="-5"/>
                <w:sz w:val="18"/>
              </w:rPr>
              <w:t>5.0</w:t>
            </w:r>
          </w:p>
        </w:tc>
        <w:tc>
          <w:tcPr>
            <w:tcW w:w="1108" w:type="dxa"/>
            <w:tcBorders>
              <w:top w:val="single" w:sz="4" w:space="0" w:color="000000"/>
              <w:bottom w:val="single" w:sz="4" w:space="0" w:color="000000"/>
            </w:tcBorders>
          </w:tcPr>
          <w:p>
            <w:pPr>
              <w:pStyle w:val="TableParagraph"/>
              <w:spacing w:before="35"/>
              <w:ind w:right="199"/>
              <w:rPr>
                <w:sz w:val="18"/>
              </w:rPr>
            </w:pPr>
            <w:r>
              <w:rPr>
                <w:spacing w:val="-5"/>
                <w:sz w:val="18"/>
              </w:rPr>
              <w:t>5.0</w:t>
            </w:r>
          </w:p>
        </w:tc>
        <w:tc>
          <w:tcPr>
            <w:tcW w:w="2380" w:type="dxa"/>
            <w:tcBorders>
              <w:top w:val="single" w:sz="4" w:space="0" w:color="000000"/>
              <w:bottom w:val="single" w:sz="4" w:space="0" w:color="000000"/>
            </w:tcBorders>
          </w:tcPr>
          <w:p>
            <w:pPr>
              <w:pStyle w:val="TableParagraph"/>
              <w:spacing w:before="35"/>
              <w:ind w:right="1547"/>
              <w:rPr>
                <w:sz w:val="18"/>
              </w:rPr>
            </w:pPr>
            <w:r>
              <w:rPr>
                <w:spacing w:val="-4"/>
                <w:sz w:val="18"/>
              </w:rPr>
              <w:t>13.0</w:t>
            </w:r>
          </w:p>
        </w:tc>
      </w:tr>
      <w:tr>
        <w:trPr>
          <w:trHeight w:val="283" w:hRule="atLeast"/>
        </w:trPr>
        <w:tc>
          <w:tcPr>
            <w:tcW w:w="4144" w:type="dxa"/>
            <w:tcBorders>
              <w:top w:val="single" w:sz="4" w:space="0" w:color="000000"/>
              <w:bottom w:val="single" w:sz="4" w:space="0" w:color="000000"/>
            </w:tcBorders>
          </w:tcPr>
          <w:p>
            <w:pPr>
              <w:pStyle w:val="TableParagraph"/>
              <w:spacing w:before="35"/>
              <w:ind w:left="1834"/>
              <w:jc w:val="left"/>
              <w:rPr>
                <w:sz w:val="18"/>
              </w:rPr>
            </w:pPr>
            <w:r>
              <w:rPr>
                <w:sz w:val="18"/>
              </w:rPr>
              <w:t>DJS</w:t>
            </w:r>
            <w:r>
              <w:rPr>
                <w:spacing w:val="3"/>
                <w:sz w:val="18"/>
              </w:rPr>
              <w:t> </w:t>
            </w:r>
            <w:r>
              <w:rPr>
                <w:sz w:val="18"/>
              </w:rPr>
              <w:t>–</w:t>
            </w:r>
            <w:r>
              <w:rPr>
                <w:spacing w:val="-2"/>
                <w:sz w:val="18"/>
              </w:rPr>
              <w:t> Detention</w:t>
            </w:r>
          </w:p>
        </w:tc>
        <w:tc>
          <w:tcPr>
            <w:tcW w:w="1058" w:type="dxa"/>
            <w:tcBorders>
              <w:top w:val="single" w:sz="4" w:space="0" w:color="000000"/>
              <w:bottom w:val="single" w:sz="4" w:space="0" w:color="000000"/>
            </w:tcBorders>
          </w:tcPr>
          <w:p>
            <w:pPr>
              <w:pStyle w:val="TableParagraph"/>
              <w:spacing w:before="35"/>
              <w:ind w:right="95"/>
              <w:rPr>
                <w:sz w:val="18"/>
              </w:rPr>
            </w:pPr>
            <w:r>
              <w:rPr>
                <w:spacing w:val="-4"/>
                <w:sz w:val="18"/>
              </w:rPr>
              <w:t>18.0</w:t>
            </w:r>
          </w:p>
        </w:tc>
        <w:tc>
          <w:tcPr>
            <w:tcW w:w="1013" w:type="dxa"/>
            <w:tcBorders>
              <w:top w:val="single" w:sz="4" w:space="0" w:color="000000"/>
              <w:bottom w:val="single" w:sz="4" w:space="0" w:color="000000"/>
            </w:tcBorders>
          </w:tcPr>
          <w:p>
            <w:pPr>
              <w:pStyle w:val="TableParagraph"/>
              <w:spacing w:before="35"/>
              <w:ind w:right="90"/>
              <w:rPr>
                <w:sz w:val="18"/>
              </w:rPr>
            </w:pPr>
            <w:r>
              <w:rPr>
                <w:spacing w:val="-4"/>
                <w:sz w:val="18"/>
              </w:rPr>
              <w:t>18.0</w:t>
            </w:r>
          </w:p>
        </w:tc>
        <w:tc>
          <w:tcPr>
            <w:tcW w:w="1108" w:type="dxa"/>
            <w:tcBorders>
              <w:top w:val="single" w:sz="4" w:space="0" w:color="000000"/>
              <w:bottom w:val="single" w:sz="4" w:space="0" w:color="000000"/>
            </w:tcBorders>
          </w:tcPr>
          <w:p>
            <w:pPr>
              <w:pStyle w:val="TableParagraph"/>
              <w:spacing w:before="35"/>
              <w:ind w:right="199"/>
              <w:rPr>
                <w:sz w:val="18"/>
              </w:rPr>
            </w:pPr>
            <w:r>
              <w:rPr>
                <w:spacing w:val="-4"/>
                <w:sz w:val="18"/>
              </w:rPr>
              <w:t>21.6</w:t>
            </w:r>
          </w:p>
        </w:tc>
        <w:tc>
          <w:tcPr>
            <w:tcW w:w="2380" w:type="dxa"/>
            <w:tcBorders>
              <w:top w:val="single" w:sz="4" w:space="0" w:color="000000"/>
              <w:bottom w:val="single" w:sz="4" w:space="0" w:color="000000"/>
            </w:tcBorders>
          </w:tcPr>
          <w:p>
            <w:pPr>
              <w:pStyle w:val="TableParagraph"/>
              <w:spacing w:before="35"/>
              <w:ind w:right="1547"/>
              <w:rPr>
                <w:sz w:val="18"/>
              </w:rPr>
            </w:pPr>
            <w:r>
              <w:rPr>
                <w:spacing w:val="-4"/>
                <w:sz w:val="18"/>
              </w:rPr>
              <w:t>57.6</w:t>
            </w:r>
          </w:p>
        </w:tc>
      </w:tr>
      <w:tr>
        <w:trPr>
          <w:trHeight w:val="282" w:hRule="atLeast"/>
        </w:trPr>
        <w:tc>
          <w:tcPr>
            <w:tcW w:w="4144" w:type="dxa"/>
            <w:tcBorders>
              <w:top w:val="single" w:sz="4" w:space="0" w:color="000000"/>
              <w:bottom w:val="single" w:sz="4" w:space="0" w:color="000000"/>
            </w:tcBorders>
          </w:tcPr>
          <w:p>
            <w:pPr>
              <w:pStyle w:val="TableParagraph"/>
              <w:spacing w:before="35"/>
              <w:ind w:left="1821" w:right="1389"/>
              <w:jc w:val="center"/>
              <w:rPr>
                <w:sz w:val="18"/>
              </w:rPr>
            </w:pPr>
            <w:r>
              <w:rPr>
                <w:sz w:val="18"/>
              </w:rPr>
              <w:t>DMS</w:t>
            </w:r>
            <w:r>
              <w:rPr>
                <w:spacing w:val="-1"/>
                <w:sz w:val="18"/>
              </w:rPr>
              <w:t> </w:t>
            </w:r>
            <w:r>
              <w:rPr>
                <w:sz w:val="18"/>
              </w:rPr>
              <w:t>–</w:t>
            </w:r>
            <w:r>
              <w:rPr>
                <w:spacing w:val="4"/>
                <w:sz w:val="18"/>
              </w:rPr>
              <w:t> </w:t>
            </w:r>
            <w:r>
              <w:rPr>
                <w:spacing w:val="-5"/>
                <w:sz w:val="18"/>
              </w:rPr>
              <w:t>SAP</w:t>
            </w:r>
          </w:p>
        </w:tc>
        <w:tc>
          <w:tcPr>
            <w:tcW w:w="1058" w:type="dxa"/>
            <w:tcBorders>
              <w:top w:val="single" w:sz="4" w:space="0" w:color="000000"/>
              <w:bottom w:val="single" w:sz="4" w:space="0" w:color="000000"/>
            </w:tcBorders>
          </w:tcPr>
          <w:p>
            <w:pPr>
              <w:pStyle w:val="TableParagraph"/>
              <w:spacing w:before="35"/>
              <w:ind w:right="95"/>
              <w:rPr>
                <w:sz w:val="18"/>
              </w:rPr>
            </w:pPr>
            <w:r>
              <w:rPr>
                <w:spacing w:val="-2"/>
                <w:sz w:val="18"/>
              </w:rPr>
              <w:t>365.9</w:t>
            </w:r>
          </w:p>
        </w:tc>
        <w:tc>
          <w:tcPr>
            <w:tcW w:w="1013" w:type="dxa"/>
            <w:tcBorders>
              <w:top w:val="single" w:sz="4" w:space="0" w:color="000000"/>
              <w:bottom w:val="single" w:sz="4" w:space="0" w:color="000000"/>
            </w:tcBorders>
          </w:tcPr>
          <w:p>
            <w:pPr>
              <w:pStyle w:val="TableParagraph"/>
              <w:spacing w:before="35"/>
              <w:ind w:right="90"/>
              <w:rPr>
                <w:sz w:val="18"/>
              </w:rPr>
            </w:pPr>
            <w:r>
              <w:rPr>
                <w:spacing w:val="-2"/>
                <w:sz w:val="18"/>
              </w:rPr>
              <w:t>372.3</w:t>
            </w:r>
          </w:p>
        </w:tc>
        <w:tc>
          <w:tcPr>
            <w:tcW w:w="1108" w:type="dxa"/>
            <w:tcBorders>
              <w:top w:val="single" w:sz="4" w:space="0" w:color="000000"/>
              <w:bottom w:val="single" w:sz="4" w:space="0" w:color="000000"/>
            </w:tcBorders>
          </w:tcPr>
          <w:p>
            <w:pPr>
              <w:pStyle w:val="TableParagraph"/>
              <w:spacing w:before="35"/>
              <w:ind w:right="199"/>
              <w:rPr>
                <w:sz w:val="18"/>
              </w:rPr>
            </w:pPr>
            <w:r>
              <w:rPr>
                <w:spacing w:val="-2"/>
                <w:sz w:val="18"/>
              </w:rPr>
              <w:t>369.7</w:t>
            </w:r>
          </w:p>
        </w:tc>
        <w:tc>
          <w:tcPr>
            <w:tcW w:w="2380" w:type="dxa"/>
            <w:tcBorders>
              <w:top w:val="single" w:sz="4" w:space="0" w:color="000000"/>
              <w:bottom w:val="single" w:sz="4" w:space="0" w:color="000000"/>
            </w:tcBorders>
          </w:tcPr>
          <w:p>
            <w:pPr>
              <w:pStyle w:val="TableParagraph"/>
              <w:spacing w:before="35"/>
              <w:ind w:right="1547"/>
              <w:rPr>
                <w:sz w:val="18"/>
              </w:rPr>
            </w:pPr>
            <w:r>
              <w:rPr>
                <w:spacing w:val="-2"/>
                <w:sz w:val="18"/>
              </w:rPr>
              <w:t>1,107.9</w:t>
            </w:r>
          </w:p>
        </w:tc>
      </w:tr>
      <w:tr>
        <w:trPr>
          <w:trHeight w:val="282" w:hRule="atLeast"/>
        </w:trPr>
        <w:tc>
          <w:tcPr>
            <w:tcW w:w="4144" w:type="dxa"/>
            <w:tcBorders>
              <w:top w:val="single" w:sz="4" w:space="0" w:color="000000"/>
              <w:bottom w:val="single" w:sz="4" w:space="0" w:color="000000"/>
            </w:tcBorders>
          </w:tcPr>
          <w:p>
            <w:pPr>
              <w:pStyle w:val="TableParagraph"/>
              <w:spacing w:before="35"/>
              <w:ind w:left="1550"/>
              <w:jc w:val="left"/>
              <w:rPr>
                <w:sz w:val="18"/>
              </w:rPr>
            </w:pPr>
            <w:r>
              <w:rPr>
                <w:sz w:val="18"/>
              </w:rPr>
              <w:t>DMS</w:t>
            </w:r>
            <w:r>
              <w:rPr>
                <w:spacing w:val="-1"/>
                <w:sz w:val="18"/>
              </w:rPr>
              <w:t> </w:t>
            </w:r>
            <w:r>
              <w:rPr>
                <w:sz w:val="18"/>
              </w:rPr>
              <w:t>–</w:t>
            </w:r>
            <w:r>
              <w:rPr>
                <w:spacing w:val="4"/>
                <w:sz w:val="18"/>
              </w:rPr>
              <w:t> </w:t>
            </w:r>
            <w:r>
              <w:rPr>
                <w:spacing w:val="-5"/>
                <w:sz w:val="18"/>
              </w:rPr>
              <w:t>OHU</w:t>
            </w:r>
          </w:p>
        </w:tc>
        <w:tc>
          <w:tcPr>
            <w:tcW w:w="1058" w:type="dxa"/>
            <w:tcBorders>
              <w:top w:val="single" w:sz="4" w:space="0" w:color="000000"/>
              <w:bottom w:val="single" w:sz="4" w:space="0" w:color="000000"/>
            </w:tcBorders>
          </w:tcPr>
          <w:p>
            <w:pPr>
              <w:pStyle w:val="TableParagraph"/>
              <w:jc w:val="left"/>
              <w:rPr>
                <w:sz w:val="18"/>
              </w:rPr>
            </w:pPr>
          </w:p>
        </w:tc>
        <w:tc>
          <w:tcPr>
            <w:tcW w:w="1013" w:type="dxa"/>
            <w:tcBorders>
              <w:top w:val="single" w:sz="4" w:space="0" w:color="000000"/>
              <w:bottom w:val="single" w:sz="4" w:space="0" w:color="000000"/>
            </w:tcBorders>
          </w:tcPr>
          <w:p>
            <w:pPr>
              <w:pStyle w:val="TableParagraph"/>
              <w:spacing w:before="35"/>
              <w:ind w:right="90"/>
              <w:rPr>
                <w:sz w:val="18"/>
              </w:rPr>
            </w:pPr>
            <w:r>
              <w:rPr>
                <w:spacing w:val="-4"/>
                <w:sz w:val="18"/>
              </w:rPr>
              <w:t>22.0</w:t>
            </w:r>
          </w:p>
        </w:tc>
        <w:tc>
          <w:tcPr>
            <w:tcW w:w="1108" w:type="dxa"/>
            <w:tcBorders>
              <w:top w:val="single" w:sz="4" w:space="0" w:color="000000"/>
              <w:bottom w:val="single" w:sz="4" w:space="0" w:color="000000"/>
            </w:tcBorders>
          </w:tcPr>
          <w:p>
            <w:pPr>
              <w:pStyle w:val="TableParagraph"/>
              <w:spacing w:before="35"/>
              <w:ind w:right="199"/>
              <w:rPr>
                <w:sz w:val="18"/>
              </w:rPr>
            </w:pPr>
            <w:r>
              <w:rPr>
                <w:spacing w:val="-4"/>
                <w:sz w:val="18"/>
              </w:rPr>
              <w:t>17.0</w:t>
            </w:r>
          </w:p>
        </w:tc>
        <w:tc>
          <w:tcPr>
            <w:tcW w:w="2380" w:type="dxa"/>
            <w:tcBorders>
              <w:top w:val="single" w:sz="4" w:space="0" w:color="000000"/>
              <w:bottom w:val="single" w:sz="4" w:space="0" w:color="000000"/>
            </w:tcBorders>
          </w:tcPr>
          <w:p>
            <w:pPr>
              <w:pStyle w:val="TableParagraph"/>
              <w:spacing w:before="35"/>
              <w:ind w:right="1547"/>
              <w:rPr>
                <w:sz w:val="18"/>
              </w:rPr>
            </w:pPr>
            <w:r>
              <w:rPr>
                <w:spacing w:val="-4"/>
                <w:sz w:val="18"/>
              </w:rPr>
              <w:t>39.0</w:t>
            </w:r>
          </w:p>
        </w:tc>
      </w:tr>
      <w:tr>
        <w:trPr>
          <w:trHeight w:val="282" w:hRule="atLeast"/>
        </w:trPr>
        <w:tc>
          <w:tcPr>
            <w:tcW w:w="4144" w:type="dxa"/>
            <w:tcBorders>
              <w:top w:val="single" w:sz="4" w:space="0" w:color="000000"/>
              <w:bottom w:val="single" w:sz="4" w:space="0" w:color="000000"/>
            </w:tcBorders>
          </w:tcPr>
          <w:p>
            <w:pPr>
              <w:pStyle w:val="TableParagraph"/>
              <w:spacing w:before="35"/>
              <w:ind w:left="1858"/>
              <w:jc w:val="left"/>
              <w:rPr>
                <w:sz w:val="18"/>
              </w:rPr>
            </w:pPr>
            <w:r>
              <w:rPr>
                <w:sz w:val="18"/>
              </w:rPr>
              <w:t>DMS</w:t>
            </w:r>
            <w:r>
              <w:rPr>
                <w:spacing w:val="-2"/>
                <w:sz w:val="18"/>
              </w:rPr>
              <w:t> </w:t>
            </w:r>
            <w:r>
              <w:rPr>
                <w:sz w:val="18"/>
              </w:rPr>
              <w:t>–</w:t>
            </w:r>
            <w:r>
              <w:rPr>
                <w:spacing w:val="4"/>
                <w:sz w:val="18"/>
              </w:rPr>
              <w:t> </w:t>
            </w:r>
            <w:r>
              <w:rPr>
                <w:spacing w:val="-5"/>
                <w:sz w:val="18"/>
              </w:rPr>
              <w:t>HRS</w:t>
            </w:r>
          </w:p>
        </w:tc>
        <w:tc>
          <w:tcPr>
            <w:tcW w:w="1058" w:type="dxa"/>
            <w:tcBorders>
              <w:top w:val="single" w:sz="4" w:space="0" w:color="000000"/>
              <w:bottom w:val="single" w:sz="4" w:space="0" w:color="000000"/>
            </w:tcBorders>
          </w:tcPr>
          <w:p>
            <w:pPr>
              <w:pStyle w:val="TableParagraph"/>
              <w:spacing w:before="35"/>
              <w:ind w:right="95"/>
              <w:rPr>
                <w:sz w:val="18"/>
              </w:rPr>
            </w:pPr>
            <w:r>
              <w:rPr>
                <w:spacing w:val="-4"/>
                <w:sz w:val="18"/>
              </w:rPr>
              <w:t>63.0</w:t>
            </w:r>
          </w:p>
        </w:tc>
        <w:tc>
          <w:tcPr>
            <w:tcW w:w="1013" w:type="dxa"/>
            <w:tcBorders>
              <w:top w:val="single" w:sz="4" w:space="0" w:color="000000"/>
              <w:bottom w:val="single" w:sz="4" w:space="0" w:color="000000"/>
            </w:tcBorders>
          </w:tcPr>
          <w:p>
            <w:pPr>
              <w:pStyle w:val="TableParagraph"/>
              <w:spacing w:before="35"/>
              <w:ind w:right="90"/>
              <w:rPr>
                <w:sz w:val="18"/>
              </w:rPr>
            </w:pPr>
            <w:r>
              <w:rPr>
                <w:spacing w:val="-4"/>
                <w:sz w:val="18"/>
              </w:rPr>
              <w:t>62.0</w:t>
            </w:r>
          </w:p>
        </w:tc>
        <w:tc>
          <w:tcPr>
            <w:tcW w:w="1108" w:type="dxa"/>
            <w:tcBorders>
              <w:top w:val="single" w:sz="4" w:space="0" w:color="000000"/>
              <w:bottom w:val="single" w:sz="4" w:space="0" w:color="000000"/>
            </w:tcBorders>
          </w:tcPr>
          <w:p>
            <w:pPr>
              <w:pStyle w:val="TableParagraph"/>
              <w:spacing w:before="35"/>
              <w:ind w:right="199"/>
              <w:rPr>
                <w:sz w:val="18"/>
              </w:rPr>
            </w:pPr>
            <w:r>
              <w:rPr>
                <w:spacing w:val="-2"/>
                <w:sz w:val="18"/>
              </w:rPr>
              <w:t>133.1</w:t>
            </w:r>
          </w:p>
        </w:tc>
        <w:tc>
          <w:tcPr>
            <w:tcW w:w="2380" w:type="dxa"/>
            <w:tcBorders>
              <w:top w:val="single" w:sz="4" w:space="0" w:color="000000"/>
              <w:bottom w:val="single" w:sz="4" w:space="0" w:color="000000"/>
            </w:tcBorders>
          </w:tcPr>
          <w:p>
            <w:pPr>
              <w:pStyle w:val="TableParagraph"/>
              <w:spacing w:before="35"/>
              <w:ind w:right="1547"/>
              <w:rPr>
                <w:sz w:val="18"/>
              </w:rPr>
            </w:pPr>
            <w:r>
              <w:rPr>
                <w:spacing w:val="-2"/>
                <w:sz w:val="18"/>
              </w:rPr>
              <w:t>258.1</w:t>
            </w:r>
          </w:p>
        </w:tc>
      </w:tr>
      <w:tr>
        <w:trPr>
          <w:trHeight w:val="282" w:hRule="atLeast"/>
        </w:trPr>
        <w:tc>
          <w:tcPr>
            <w:tcW w:w="4144" w:type="dxa"/>
            <w:tcBorders>
              <w:top w:val="single" w:sz="4" w:space="0" w:color="000000"/>
              <w:bottom w:val="single" w:sz="4" w:space="0" w:color="000000"/>
            </w:tcBorders>
          </w:tcPr>
          <w:p>
            <w:pPr>
              <w:pStyle w:val="TableParagraph"/>
              <w:spacing w:before="35"/>
              <w:ind w:left="1821" w:right="1389"/>
              <w:jc w:val="center"/>
              <w:rPr>
                <w:sz w:val="18"/>
              </w:rPr>
            </w:pPr>
            <w:r>
              <w:rPr>
                <w:sz w:val="18"/>
              </w:rPr>
              <w:t>DMS</w:t>
            </w:r>
            <w:r>
              <w:rPr>
                <w:spacing w:val="-1"/>
                <w:sz w:val="18"/>
              </w:rPr>
              <w:t> </w:t>
            </w:r>
            <w:r>
              <w:rPr>
                <w:sz w:val="18"/>
              </w:rPr>
              <w:t>–</w:t>
            </w:r>
            <w:r>
              <w:rPr>
                <w:spacing w:val="4"/>
                <w:sz w:val="18"/>
              </w:rPr>
              <w:t> </w:t>
            </w:r>
            <w:r>
              <w:rPr>
                <w:spacing w:val="-5"/>
                <w:sz w:val="18"/>
              </w:rPr>
              <w:t>GSS</w:t>
            </w:r>
          </w:p>
        </w:tc>
        <w:tc>
          <w:tcPr>
            <w:tcW w:w="1058" w:type="dxa"/>
            <w:tcBorders>
              <w:top w:val="single" w:sz="4" w:space="0" w:color="000000"/>
              <w:bottom w:val="single" w:sz="4" w:space="0" w:color="000000"/>
            </w:tcBorders>
          </w:tcPr>
          <w:p>
            <w:pPr>
              <w:pStyle w:val="TableParagraph"/>
              <w:spacing w:before="35"/>
              <w:ind w:right="95"/>
              <w:rPr>
                <w:sz w:val="18"/>
              </w:rPr>
            </w:pPr>
            <w:r>
              <w:rPr>
                <w:spacing w:val="-4"/>
                <w:sz w:val="18"/>
              </w:rPr>
              <w:t>56.8</w:t>
            </w:r>
          </w:p>
        </w:tc>
        <w:tc>
          <w:tcPr>
            <w:tcW w:w="1013" w:type="dxa"/>
            <w:tcBorders>
              <w:top w:val="single" w:sz="4" w:space="0" w:color="000000"/>
              <w:bottom w:val="single" w:sz="4" w:space="0" w:color="000000"/>
            </w:tcBorders>
          </w:tcPr>
          <w:p>
            <w:pPr>
              <w:pStyle w:val="TableParagraph"/>
              <w:spacing w:before="35"/>
              <w:ind w:right="90"/>
              <w:rPr>
                <w:sz w:val="18"/>
              </w:rPr>
            </w:pPr>
            <w:r>
              <w:rPr>
                <w:spacing w:val="-4"/>
                <w:sz w:val="18"/>
              </w:rPr>
              <w:t>49.0</w:t>
            </w:r>
          </w:p>
        </w:tc>
        <w:tc>
          <w:tcPr>
            <w:tcW w:w="1108" w:type="dxa"/>
            <w:tcBorders>
              <w:top w:val="single" w:sz="4" w:space="0" w:color="000000"/>
              <w:bottom w:val="single" w:sz="4" w:space="0" w:color="000000"/>
            </w:tcBorders>
          </w:tcPr>
          <w:p>
            <w:pPr>
              <w:pStyle w:val="TableParagraph"/>
              <w:spacing w:before="35"/>
              <w:ind w:right="199"/>
              <w:rPr>
                <w:sz w:val="18"/>
              </w:rPr>
            </w:pPr>
            <w:r>
              <w:rPr>
                <w:spacing w:val="-4"/>
                <w:sz w:val="18"/>
              </w:rPr>
              <w:t>51.8</w:t>
            </w:r>
          </w:p>
        </w:tc>
        <w:tc>
          <w:tcPr>
            <w:tcW w:w="2380" w:type="dxa"/>
            <w:tcBorders>
              <w:top w:val="single" w:sz="4" w:space="0" w:color="000000"/>
              <w:bottom w:val="single" w:sz="4" w:space="0" w:color="000000"/>
            </w:tcBorders>
          </w:tcPr>
          <w:p>
            <w:pPr>
              <w:pStyle w:val="TableParagraph"/>
              <w:spacing w:before="35"/>
              <w:ind w:right="1547"/>
              <w:rPr>
                <w:sz w:val="18"/>
              </w:rPr>
            </w:pPr>
            <w:r>
              <w:rPr>
                <w:spacing w:val="-2"/>
                <w:sz w:val="18"/>
              </w:rPr>
              <w:t>157.6</w:t>
            </w:r>
          </w:p>
        </w:tc>
      </w:tr>
      <w:tr>
        <w:trPr>
          <w:trHeight w:val="282" w:hRule="atLeast"/>
        </w:trPr>
        <w:tc>
          <w:tcPr>
            <w:tcW w:w="4144" w:type="dxa"/>
            <w:tcBorders>
              <w:top w:val="single" w:sz="4" w:space="0" w:color="000000"/>
              <w:bottom w:val="single" w:sz="4" w:space="0" w:color="000000"/>
            </w:tcBorders>
          </w:tcPr>
          <w:p>
            <w:pPr>
              <w:pStyle w:val="TableParagraph"/>
              <w:spacing w:before="35"/>
              <w:ind w:left="1789" w:right="1391"/>
              <w:jc w:val="center"/>
              <w:rPr>
                <w:sz w:val="18"/>
              </w:rPr>
            </w:pPr>
            <w:r>
              <w:rPr>
                <w:sz w:val="18"/>
              </w:rPr>
              <w:t>DMS</w:t>
            </w:r>
            <w:r>
              <w:rPr>
                <w:spacing w:val="-1"/>
                <w:sz w:val="18"/>
              </w:rPr>
              <w:t> </w:t>
            </w:r>
            <w:r>
              <w:rPr>
                <w:sz w:val="18"/>
              </w:rPr>
              <w:t>–</w:t>
            </w:r>
            <w:r>
              <w:rPr>
                <w:spacing w:val="4"/>
                <w:sz w:val="18"/>
              </w:rPr>
              <w:t> </w:t>
            </w:r>
            <w:r>
              <w:rPr>
                <w:spacing w:val="-5"/>
                <w:sz w:val="18"/>
              </w:rPr>
              <w:t>SSS</w:t>
            </w:r>
          </w:p>
        </w:tc>
        <w:tc>
          <w:tcPr>
            <w:tcW w:w="1058" w:type="dxa"/>
            <w:tcBorders>
              <w:top w:val="single" w:sz="4" w:space="0" w:color="000000"/>
              <w:bottom w:val="single" w:sz="4" w:space="0" w:color="000000"/>
            </w:tcBorders>
          </w:tcPr>
          <w:p>
            <w:pPr>
              <w:pStyle w:val="TableParagraph"/>
              <w:spacing w:before="35"/>
              <w:ind w:right="95"/>
              <w:rPr>
                <w:sz w:val="18"/>
              </w:rPr>
            </w:pPr>
            <w:r>
              <w:rPr>
                <w:spacing w:val="-4"/>
                <w:sz w:val="18"/>
              </w:rPr>
              <w:t>63.6</w:t>
            </w:r>
          </w:p>
        </w:tc>
        <w:tc>
          <w:tcPr>
            <w:tcW w:w="1013" w:type="dxa"/>
            <w:tcBorders>
              <w:top w:val="single" w:sz="4" w:space="0" w:color="000000"/>
              <w:bottom w:val="single" w:sz="4" w:space="0" w:color="000000"/>
            </w:tcBorders>
          </w:tcPr>
          <w:p>
            <w:pPr>
              <w:pStyle w:val="TableParagraph"/>
              <w:spacing w:before="35"/>
              <w:ind w:right="90"/>
              <w:rPr>
                <w:sz w:val="18"/>
              </w:rPr>
            </w:pPr>
            <w:r>
              <w:rPr>
                <w:spacing w:val="-4"/>
                <w:sz w:val="18"/>
              </w:rPr>
              <w:t>32.0</w:t>
            </w:r>
          </w:p>
        </w:tc>
        <w:tc>
          <w:tcPr>
            <w:tcW w:w="1108" w:type="dxa"/>
            <w:tcBorders>
              <w:top w:val="single" w:sz="4" w:space="0" w:color="000000"/>
              <w:bottom w:val="single" w:sz="4" w:space="0" w:color="000000"/>
            </w:tcBorders>
          </w:tcPr>
          <w:p>
            <w:pPr>
              <w:pStyle w:val="TableParagraph"/>
              <w:spacing w:before="35"/>
              <w:ind w:right="199"/>
              <w:rPr>
                <w:sz w:val="18"/>
              </w:rPr>
            </w:pPr>
            <w:r>
              <w:rPr>
                <w:spacing w:val="-4"/>
                <w:sz w:val="18"/>
              </w:rPr>
              <w:t>32.6</w:t>
            </w:r>
          </w:p>
        </w:tc>
        <w:tc>
          <w:tcPr>
            <w:tcW w:w="2380" w:type="dxa"/>
            <w:tcBorders>
              <w:top w:val="single" w:sz="4" w:space="0" w:color="000000"/>
              <w:bottom w:val="single" w:sz="4" w:space="0" w:color="000000"/>
            </w:tcBorders>
          </w:tcPr>
          <w:p>
            <w:pPr>
              <w:pStyle w:val="TableParagraph"/>
              <w:spacing w:before="35"/>
              <w:ind w:right="1547"/>
              <w:rPr>
                <w:sz w:val="18"/>
              </w:rPr>
            </w:pPr>
            <w:r>
              <w:rPr>
                <w:spacing w:val="-2"/>
                <w:sz w:val="18"/>
              </w:rPr>
              <w:t>128.2</w:t>
            </w:r>
          </w:p>
        </w:tc>
      </w:tr>
      <w:tr>
        <w:trPr>
          <w:trHeight w:val="283" w:hRule="atLeast"/>
        </w:trPr>
        <w:tc>
          <w:tcPr>
            <w:tcW w:w="4144" w:type="dxa"/>
            <w:tcBorders>
              <w:top w:val="single" w:sz="4" w:space="0" w:color="000000"/>
              <w:bottom w:val="single" w:sz="4" w:space="0" w:color="000000"/>
            </w:tcBorders>
          </w:tcPr>
          <w:p>
            <w:pPr>
              <w:pStyle w:val="TableParagraph"/>
              <w:spacing w:before="35"/>
              <w:ind w:left="1834"/>
              <w:jc w:val="left"/>
              <w:rPr>
                <w:sz w:val="18"/>
              </w:rPr>
            </w:pPr>
            <w:r>
              <w:rPr>
                <w:sz w:val="18"/>
              </w:rPr>
              <w:t>DEO</w:t>
            </w:r>
            <w:r>
              <w:rPr>
                <w:spacing w:val="-2"/>
                <w:sz w:val="18"/>
              </w:rPr>
              <w:t> </w:t>
            </w:r>
            <w:r>
              <w:rPr>
                <w:sz w:val="18"/>
              </w:rPr>
              <w:t>– Country</w:t>
            </w:r>
            <w:r>
              <w:rPr>
                <w:spacing w:val="-1"/>
                <w:sz w:val="18"/>
              </w:rPr>
              <w:t> </w:t>
            </w:r>
            <w:r>
              <w:rPr>
                <w:spacing w:val="-2"/>
                <w:sz w:val="18"/>
              </w:rPr>
              <w:t>Offices</w:t>
            </w:r>
          </w:p>
        </w:tc>
        <w:tc>
          <w:tcPr>
            <w:tcW w:w="1058" w:type="dxa"/>
            <w:tcBorders>
              <w:top w:val="single" w:sz="4" w:space="0" w:color="000000"/>
              <w:bottom w:val="single" w:sz="4" w:space="0" w:color="000000"/>
            </w:tcBorders>
          </w:tcPr>
          <w:p>
            <w:pPr>
              <w:pStyle w:val="TableParagraph"/>
              <w:spacing w:before="35"/>
              <w:ind w:right="95"/>
              <w:rPr>
                <w:sz w:val="18"/>
              </w:rPr>
            </w:pPr>
            <w:r>
              <w:rPr>
                <w:spacing w:val="-4"/>
                <w:sz w:val="18"/>
              </w:rPr>
              <w:t>65.3</w:t>
            </w:r>
          </w:p>
        </w:tc>
        <w:tc>
          <w:tcPr>
            <w:tcW w:w="1013" w:type="dxa"/>
            <w:tcBorders>
              <w:top w:val="single" w:sz="4" w:space="0" w:color="000000"/>
              <w:bottom w:val="single" w:sz="4" w:space="0" w:color="000000"/>
            </w:tcBorders>
          </w:tcPr>
          <w:p>
            <w:pPr>
              <w:pStyle w:val="TableParagraph"/>
              <w:spacing w:before="35"/>
              <w:ind w:right="90"/>
              <w:rPr>
                <w:sz w:val="18"/>
              </w:rPr>
            </w:pPr>
            <w:r>
              <w:rPr>
                <w:spacing w:val="-4"/>
                <w:sz w:val="18"/>
              </w:rPr>
              <w:t>34.2</w:t>
            </w:r>
          </w:p>
        </w:tc>
        <w:tc>
          <w:tcPr>
            <w:tcW w:w="1108" w:type="dxa"/>
            <w:tcBorders>
              <w:top w:val="single" w:sz="4" w:space="0" w:color="000000"/>
              <w:bottom w:val="single" w:sz="4" w:space="0" w:color="000000"/>
            </w:tcBorders>
          </w:tcPr>
          <w:p>
            <w:pPr>
              <w:pStyle w:val="TableParagraph"/>
              <w:spacing w:before="35"/>
              <w:ind w:right="199"/>
              <w:rPr>
                <w:sz w:val="18"/>
              </w:rPr>
            </w:pPr>
            <w:r>
              <w:rPr>
                <w:spacing w:val="-4"/>
                <w:sz w:val="18"/>
              </w:rPr>
              <w:t>45.9</w:t>
            </w:r>
          </w:p>
        </w:tc>
        <w:tc>
          <w:tcPr>
            <w:tcW w:w="2380" w:type="dxa"/>
            <w:tcBorders>
              <w:top w:val="single" w:sz="4" w:space="0" w:color="000000"/>
              <w:bottom w:val="single" w:sz="4" w:space="0" w:color="000000"/>
            </w:tcBorders>
          </w:tcPr>
          <w:p>
            <w:pPr>
              <w:pStyle w:val="TableParagraph"/>
              <w:spacing w:before="35"/>
              <w:ind w:right="1547"/>
              <w:rPr>
                <w:sz w:val="18"/>
              </w:rPr>
            </w:pPr>
            <w:r>
              <w:rPr>
                <w:spacing w:val="-2"/>
                <w:sz w:val="18"/>
              </w:rPr>
              <w:t>145.4</w:t>
            </w:r>
          </w:p>
        </w:tc>
      </w:tr>
      <w:tr>
        <w:trPr>
          <w:trHeight w:val="282" w:hRule="atLeast"/>
        </w:trPr>
        <w:tc>
          <w:tcPr>
            <w:tcW w:w="4144" w:type="dxa"/>
            <w:tcBorders>
              <w:top w:val="single" w:sz="4" w:space="0" w:color="000000"/>
              <w:bottom w:val="single" w:sz="4" w:space="0" w:color="000000"/>
            </w:tcBorders>
          </w:tcPr>
          <w:p>
            <w:pPr>
              <w:pStyle w:val="TableParagraph"/>
              <w:spacing w:before="35"/>
              <w:ind w:left="1834"/>
              <w:jc w:val="left"/>
              <w:rPr>
                <w:sz w:val="18"/>
              </w:rPr>
            </w:pPr>
            <w:r>
              <w:rPr>
                <w:sz w:val="18"/>
              </w:rPr>
              <w:t>DEO</w:t>
            </w:r>
            <w:r>
              <w:rPr>
                <w:spacing w:val="1"/>
                <w:sz w:val="18"/>
              </w:rPr>
              <w:t> </w:t>
            </w:r>
            <w:r>
              <w:rPr>
                <w:sz w:val="18"/>
              </w:rPr>
              <w:t>–</w:t>
            </w:r>
            <w:r>
              <w:rPr>
                <w:spacing w:val="-2"/>
                <w:sz w:val="18"/>
              </w:rPr>
              <w:t> </w:t>
            </w:r>
            <w:r>
              <w:rPr>
                <w:spacing w:val="-4"/>
                <w:sz w:val="18"/>
              </w:rPr>
              <w:t>EOSS</w:t>
            </w:r>
          </w:p>
        </w:tc>
        <w:tc>
          <w:tcPr>
            <w:tcW w:w="1058" w:type="dxa"/>
            <w:tcBorders>
              <w:top w:val="single" w:sz="4" w:space="0" w:color="000000"/>
              <w:bottom w:val="single" w:sz="4" w:space="0" w:color="000000"/>
            </w:tcBorders>
          </w:tcPr>
          <w:p>
            <w:pPr>
              <w:pStyle w:val="TableParagraph"/>
              <w:spacing w:before="35"/>
              <w:ind w:right="95"/>
              <w:rPr>
                <w:sz w:val="18"/>
              </w:rPr>
            </w:pPr>
            <w:r>
              <w:rPr>
                <w:spacing w:val="-4"/>
                <w:sz w:val="18"/>
              </w:rPr>
              <w:t>16.1</w:t>
            </w:r>
          </w:p>
        </w:tc>
        <w:tc>
          <w:tcPr>
            <w:tcW w:w="1013" w:type="dxa"/>
            <w:tcBorders>
              <w:top w:val="single" w:sz="4" w:space="0" w:color="000000"/>
              <w:bottom w:val="single" w:sz="4" w:space="0" w:color="000000"/>
            </w:tcBorders>
          </w:tcPr>
          <w:p>
            <w:pPr>
              <w:pStyle w:val="TableParagraph"/>
              <w:spacing w:before="35"/>
              <w:ind w:right="90"/>
              <w:rPr>
                <w:sz w:val="18"/>
              </w:rPr>
            </w:pPr>
            <w:r>
              <w:rPr>
                <w:spacing w:val="-4"/>
                <w:sz w:val="18"/>
              </w:rPr>
              <w:t>20.0</w:t>
            </w:r>
          </w:p>
        </w:tc>
        <w:tc>
          <w:tcPr>
            <w:tcW w:w="1108" w:type="dxa"/>
            <w:tcBorders>
              <w:top w:val="single" w:sz="4" w:space="0" w:color="000000"/>
              <w:bottom w:val="single" w:sz="4" w:space="0" w:color="000000"/>
            </w:tcBorders>
          </w:tcPr>
          <w:p>
            <w:pPr>
              <w:pStyle w:val="TableParagraph"/>
              <w:spacing w:before="35"/>
              <w:ind w:right="199"/>
              <w:rPr>
                <w:sz w:val="18"/>
              </w:rPr>
            </w:pPr>
            <w:r>
              <w:rPr>
                <w:spacing w:val="-4"/>
                <w:sz w:val="18"/>
              </w:rPr>
              <w:t>20.0</w:t>
            </w:r>
          </w:p>
        </w:tc>
        <w:tc>
          <w:tcPr>
            <w:tcW w:w="2380" w:type="dxa"/>
            <w:tcBorders>
              <w:top w:val="single" w:sz="4" w:space="0" w:color="000000"/>
              <w:bottom w:val="single" w:sz="4" w:space="0" w:color="000000"/>
            </w:tcBorders>
          </w:tcPr>
          <w:p>
            <w:pPr>
              <w:pStyle w:val="TableParagraph"/>
              <w:spacing w:before="35"/>
              <w:ind w:right="1547"/>
              <w:rPr>
                <w:sz w:val="18"/>
              </w:rPr>
            </w:pPr>
            <w:r>
              <w:rPr>
                <w:spacing w:val="-4"/>
                <w:sz w:val="18"/>
              </w:rPr>
              <w:t>56.1</w:t>
            </w:r>
          </w:p>
        </w:tc>
      </w:tr>
      <w:tr>
        <w:trPr>
          <w:trHeight w:val="282" w:hRule="atLeast"/>
        </w:trPr>
        <w:tc>
          <w:tcPr>
            <w:tcW w:w="4144" w:type="dxa"/>
            <w:tcBorders>
              <w:top w:val="single" w:sz="4" w:space="0" w:color="000000"/>
              <w:bottom w:val="single" w:sz="4" w:space="0" w:color="000000"/>
            </w:tcBorders>
          </w:tcPr>
          <w:p>
            <w:pPr>
              <w:pStyle w:val="TableParagraph"/>
              <w:spacing w:before="35"/>
              <w:ind w:left="1834"/>
              <w:jc w:val="left"/>
              <w:rPr>
                <w:sz w:val="18"/>
              </w:rPr>
            </w:pPr>
            <w:r>
              <w:rPr>
                <w:sz w:val="18"/>
              </w:rPr>
              <w:t>DEO</w:t>
            </w:r>
            <w:r>
              <w:rPr>
                <w:spacing w:val="1"/>
                <w:sz w:val="18"/>
              </w:rPr>
              <w:t> </w:t>
            </w:r>
            <w:r>
              <w:rPr>
                <w:sz w:val="18"/>
              </w:rPr>
              <w:t>–</w:t>
            </w:r>
            <w:r>
              <w:rPr>
                <w:spacing w:val="3"/>
                <w:sz w:val="18"/>
              </w:rPr>
              <w:t> </w:t>
            </w:r>
            <w:r>
              <w:rPr>
                <w:spacing w:val="-5"/>
                <w:sz w:val="18"/>
              </w:rPr>
              <w:t>VWS</w:t>
            </w:r>
          </w:p>
        </w:tc>
        <w:tc>
          <w:tcPr>
            <w:tcW w:w="1058" w:type="dxa"/>
            <w:tcBorders>
              <w:top w:val="single" w:sz="4" w:space="0" w:color="000000"/>
              <w:bottom w:val="single" w:sz="4" w:space="0" w:color="000000"/>
            </w:tcBorders>
          </w:tcPr>
          <w:p>
            <w:pPr>
              <w:pStyle w:val="TableParagraph"/>
              <w:spacing w:before="35"/>
              <w:ind w:right="95"/>
              <w:rPr>
                <w:sz w:val="18"/>
              </w:rPr>
            </w:pPr>
            <w:r>
              <w:rPr>
                <w:spacing w:val="-5"/>
                <w:sz w:val="18"/>
              </w:rPr>
              <w:t>0.0</w:t>
            </w:r>
          </w:p>
        </w:tc>
        <w:tc>
          <w:tcPr>
            <w:tcW w:w="1013" w:type="dxa"/>
            <w:tcBorders>
              <w:top w:val="single" w:sz="4" w:space="0" w:color="000000"/>
              <w:bottom w:val="single" w:sz="4" w:space="0" w:color="000000"/>
            </w:tcBorders>
          </w:tcPr>
          <w:p>
            <w:pPr>
              <w:pStyle w:val="TableParagraph"/>
              <w:spacing w:before="35"/>
              <w:ind w:right="90"/>
              <w:rPr>
                <w:sz w:val="18"/>
              </w:rPr>
            </w:pPr>
            <w:r>
              <w:rPr>
                <w:spacing w:val="-4"/>
                <w:sz w:val="18"/>
              </w:rPr>
              <w:t>32.0</w:t>
            </w:r>
          </w:p>
        </w:tc>
        <w:tc>
          <w:tcPr>
            <w:tcW w:w="1108" w:type="dxa"/>
            <w:tcBorders>
              <w:top w:val="single" w:sz="4" w:space="0" w:color="000000"/>
              <w:bottom w:val="single" w:sz="4" w:space="0" w:color="000000"/>
            </w:tcBorders>
          </w:tcPr>
          <w:p>
            <w:pPr>
              <w:pStyle w:val="TableParagraph"/>
              <w:spacing w:before="35"/>
              <w:ind w:right="199"/>
              <w:rPr>
                <w:sz w:val="18"/>
              </w:rPr>
            </w:pPr>
            <w:r>
              <w:rPr>
                <w:spacing w:val="-4"/>
                <w:sz w:val="18"/>
              </w:rPr>
              <w:t>33.5</w:t>
            </w:r>
          </w:p>
        </w:tc>
        <w:tc>
          <w:tcPr>
            <w:tcW w:w="2380" w:type="dxa"/>
            <w:tcBorders>
              <w:top w:val="single" w:sz="4" w:space="0" w:color="000000"/>
              <w:bottom w:val="single" w:sz="4" w:space="0" w:color="000000"/>
            </w:tcBorders>
          </w:tcPr>
          <w:p>
            <w:pPr>
              <w:pStyle w:val="TableParagraph"/>
              <w:spacing w:before="35"/>
              <w:ind w:right="1547"/>
              <w:rPr>
                <w:sz w:val="18"/>
              </w:rPr>
            </w:pPr>
            <w:r>
              <w:rPr>
                <w:spacing w:val="-4"/>
                <w:sz w:val="18"/>
              </w:rPr>
              <w:t>65.5</w:t>
            </w:r>
          </w:p>
        </w:tc>
      </w:tr>
      <w:tr>
        <w:trPr>
          <w:trHeight w:val="282" w:hRule="atLeast"/>
        </w:trPr>
        <w:tc>
          <w:tcPr>
            <w:tcW w:w="4144" w:type="dxa"/>
            <w:tcBorders>
              <w:top w:val="single" w:sz="4" w:space="0" w:color="000000"/>
              <w:bottom w:val="single" w:sz="4" w:space="0" w:color="000000"/>
            </w:tcBorders>
          </w:tcPr>
          <w:p>
            <w:pPr>
              <w:pStyle w:val="TableParagraph"/>
              <w:spacing w:before="35"/>
              <w:ind w:left="1834"/>
              <w:jc w:val="left"/>
              <w:rPr>
                <w:sz w:val="18"/>
              </w:rPr>
            </w:pPr>
            <w:r>
              <w:rPr>
                <w:sz w:val="18"/>
              </w:rPr>
              <w:t>DEO</w:t>
            </w:r>
            <w:r>
              <w:rPr>
                <w:spacing w:val="1"/>
                <w:sz w:val="18"/>
              </w:rPr>
              <w:t> </w:t>
            </w:r>
            <w:r>
              <w:rPr>
                <w:sz w:val="18"/>
              </w:rPr>
              <w:t>–</w:t>
            </w:r>
            <w:r>
              <w:rPr>
                <w:spacing w:val="-2"/>
                <w:sz w:val="18"/>
              </w:rPr>
              <w:t> </w:t>
            </w:r>
            <w:r>
              <w:rPr>
                <w:spacing w:val="-4"/>
                <w:sz w:val="18"/>
              </w:rPr>
              <w:t>PIOS</w:t>
            </w:r>
          </w:p>
        </w:tc>
        <w:tc>
          <w:tcPr>
            <w:tcW w:w="1058" w:type="dxa"/>
            <w:tcBorders>
              <w:top w:val="single" w:sz="4" w:space="0" w:color="000000"/>
              <w:bottom w:val="single" w:sz="4" w:space="0" w:color="000000"/>
            </w:tcBorders>
          </w:tcPr>
          <w:p>
            <w:pPr>
              <w:pStyle w:val="TableParagraph"/>
              <w:spacing w:before="35"/>
              <w:ind w:right="95"/>
              <w:rPr>
                <w:sz w:val="18"/>
              </w:rPr>
            </w:pPr>
            <w:r>
              <w:rPr>
                <w:spacing w:val="-4"/>
                <w:sz w:val="18"/>
              </w:rPr>
              <w:t>50.6</w:t>
            </w:r>
          </w:p>
        </w:tc>
        <w:tc>
          <w:tcPr>
            <w:tcW w:w="1013" w:type="dxa"/>
            <w:tcBorders>
              <w:top w:val="single" w:sz="4" w:space="0" w:color="000000"/>
              <w:bottom w:val="single" w:sz="4" w:space="0" w:color="000000"/>
            </w:tcBorders>
          </w:tcPr>
          <w:p>
            <w:pPr>
              <w:pStyle w:val="TableParagraph"/>
              <w:spacing w:before="35"/>
              <w:ind w:right="90"/>
              <w:rPr>
                <w:sz w:val="18"/>
              </w:rPr>
            </w:pPr>
            <w:r>
              <w:rPr>
                <w:spacing w:val="-4"/>
                <w:sz w:val="18"/>
              </w:rPr>
              <w:t>90.0</w:t>
            </w:r>
          </w:p>
        </w:tc>
        <w:tc>
          <w:tcPr>
            <w:tcW w:w="1108" w:type="dxa"/>
            <w:tcBorders>
              <w:top w:val="single" w:sz="4" w:space="0" w:color="000000"/>
              <w:bottom w:val="single" w:sz="4" w:space="0" w:color="000000"/>
            </w:tcBorders>
          </w:tcPr>
          <w:p>
            <w:pPr>
              <w:pStyle w:val="TableParagraph"/>
              <w:spacing w:before="35"/>
              <w:ind w:right="199"/>
              <w:rPr>
                <w:sz w:val="18"/>
              </w:rPr>
            </w:pPr>
            <w:r>
              <w:rPr>
                <w:spacing w:val="-2"/>
                <w:sz w:val="18"/>
              </w:rPr>
              <w:t>113.5</w:t>
            </w:r>
          </w:p>
        </w:tc>
        <w:tc>
          <w:tcPr>
            <w:tcW w:w="2380" w:type="dxa"/>
            <w:tcBorders>
              <w:top w:val="single" w:sz="4" w:space="0" w:color="000000"/>
              <w:bottom w:val="single" w:sz="4" w:space="0" w:color="000000"/>
            </w:tcBorders>
          </w:tcPr>
          <w:p>
            <w:pPr>
              <w:pStyle w:val="TableParagraph"/>
              <w:spacing w:before="35"/>
              <w:ind w:right="1547"/>
              <w:rPr>
                <w:sz w:val="18"/>
              </w:rPr>
            </w:pPr>
            <w:r>
              <w:rPr>
                <w:spacing w:val="-2"/>
                <w:sz w:val="18"/>
              </w:rPr>
              <w:t>254.1</w:t>
            </w:r>
          </w:p>
        </w:tc>
      </w:tr>
      <w:tr>
        <w:trPr>
          <w:trHeight w:val="282" w:hRule="atLeast"/>
        </w:trPr>
        <w:tc>
          <w:tcPr>
            <w:tcW w:w="4144" w:type="dxa"/>
            <w:tcBorders>
              <w:top w:val="single" w:sz="4" w:space="0" w:color="000000"/>
              <w:bottom w:val="single" w:sz="4" w:space="0" w:color="000000"/>
            </w:tcBorders>
          </w:tcPr>
          <w:p>
            <w:pPr>
              <w:pStyle w:val="TableParagraph"/>
              <w:spacing w:before="35"/>
              <w:ind w:left="1550"/>
              <w:jc w:val="left"/>
              <w:rPr>
                <w:sz w:val="18"/>
              </w:rPr>
            </w:pPr>
            <w:r>
              <w:rPr>
                <w:sz w:val="18"/>
              </w:rPr>
              <w:t>Total</w:t>
            </w:r>
            <w:r>
              <w:rPr>
                <w:spacing w:val="-4"/>
                <w:sz w:val="18"/>
              </w:rPr>
              <w:t> </w:t>
            </w:r>
            <w:r>
              <w:rPr>
                <w:sz w:val="18"/>
              </w:rPr>
              <w:t>MP</w:t>
            </w:r>
            <w:r>
              <w:rPr>
                <w:spacing w:val="-5"/>
                <w:sz w:val="18"/>
              </w:rPr>
              <w:t> </w:t>
            </w:r>
            <w:r>
              <w:rPr>
                <w:sz w:val="18"/>
              </w:rPr>
              <w:t>III: </w:t>
            </w:r>
            <w:r>
              <w:rPr>
                <w:spacing w:val="-2"/>
                <w:sz w:val="18"/>
              </w:rPr>
              <w:t>Registry</w:t>
            </w:r>
          </w:p>
        </w:tc>
        <w:tc>
          <w:tcPr>
            <w:tcW w:w="1058" w:type="dxa"/>
            <w:tcBorders>
              <w:top w:val="single" w:sz="4" w:space="0" w:color="000000"/>
              <w:bottom w:val="single" w:sz="4" w:space="0" w:color="000000"/>
            </w:tcBorders>
          </w:tcPr>
          <w:p>
            <w:pPr>
              <w:pStyle w:val="TableParagraph"/>
              <w:spacing w:before="35"/>
              <w:ind w:right="95"/>
              <w:rPr>
                <w:sz w:val="18"/>
              </w:rPr>
            </w:pPr>
            <w:r>
              <w:rPr>
                <w:spacing w:val="-2"/>
                <w:sz w:val="18"/>
              </w:rPr>
              <w:t>5,857.8</w:t>
            </w:r>
          </w:p>
        </w:tc>
        <w:tc>
          <w:tcPr>
            <w:tcW w:w="1013" w:type="dxa"/>
            <w:tcBorders>
              <w:top w:val="single" w:sz="4" w:space="0" w:color="000000"/>
              <w:bottom w:val="single" w:sz="4" w:space="0" w:color="000000"/>
            </w:tcBorders>
          </w:tcPr>
          <w:p>
            <w:pPr>
              <w:pStyle w:val="TableParagraph"/>
              <w:spacing w:before="35"/>
              <w:ind w:right="90"/>
              <w:rPr>
                <w:sz w:val="18"/>
              </w:rPr>
            </w:pPr>
            <w:r>
              <w:rPr>
                <w:spacing w:val="-2"/>
                <w:sz w:val="18"/>
              </w:rPr>
              <w:t>5,765.0</w:t>
            </w:r>
          </w:p>
        </w:tc>
        <w:tc>
          <w:tcPr>
            <w:tcW w:w="1108" w:type="dxa"/>
            <w:tcBorders>
              <w:top w:val="single" w:sz="4" w:space="0" w:color="000000"/>
              <w:bottom w:val="single" w:sz="4" w:space="0" w:color="000000"/>
            </w:tcBorders>
          </w:tcPr>
          <w:p>
            <w:pPr>
              <w:pStyle w:val="TableParagraph"/>
              <w:spacing w:before="35"/>
              <w:ind w:right="199"/>
              <w:rPr>
                <w:sz w:val="18"/>
              </w:rPr>
            </w:pPr>
            <w:r>
              <w:rPr>
                <w:spacing w:val="-2"/>
                <w:sz w:val="18"/>
              </w:rPr>
              <w:t>5,671.4</w:t>
            </w:r>
          </w:p>
        </w:tc>
        <w:tc>
          <w:tcPr>
            <w:tcW w:w="2380" w:type="dxa"/>
            <w:tcBorders>
              <w:top w:val="single" w:sz="4" w:space="0" w:color="000000"/>
              <w:bottom w:val="single" w:sz="4" w:space="0" w:color="000000"/>
            </w:tcBorders>
          </w:tcPr>
          <w:p>
            <w:pPr>
              <w:pStyle w:val="TableParagraph"/>
              <w:spacing w:before="35"/>
              <w:ind w:right="1547"/>
              <w:rPr>
                <w:sz w:val="18"/>
              </w:rPr>
            </w:pPr>
            <w:r>
              <w:rPr>
                <w:spacing w:val="-2"/>
                <w:sz w:val="18"/>
              </w:rPr>
              <w:t>17,294.2</w:t>
            </w:r>
          </w:p>
        </w:tc>
      </w:tr>
      <w:tr>
        <w:trPr>
          <w:trHeight w:val="282" w:hRule="atLeast"/>
        </w:trPr>
        <w:tc>
          <w:tcPr>
            <w:tcW w:w="4144" w:type="dxa"/>
            <w:tcBorders>
              <w:top w:val="single" w:sz="4" w:space="0" w:color="000000"/>
              <w:bottom w:val="single" w:sz="4" w:space="0" w:color="000000"/>
            </w:tcBorders>
          </w:tcPr>
          <w:p>
            <w:pPr>
              <w:pStyle w:val="TableParagraph"/>
              <w:spacing w:before="35"/>
              <w:ind w:left="1550"/>
              <w:jc w:val="left"/>
              <w:rPr>
                <w:sz w:val="18"/>
              </w:rPr>
            </w:pPr>
            <w:r>
              <w:rPr>
                <w:sz w:val="18"/>
              </w:rPr>
              <w:t>MP</w:t>
            </w:r>
            <w:r>
              <w:rPr>
                <w:spacing w:val="1"/>
                <w:sz w:val="18"/>
              </w:rPr>
              <w:t> </w:t>
            </w:r>
            <w:r>
              <w:rPr>
                <w:sz w:val="18"/>
              </w:rPr>
              <w:t>VI</w:t>
            </w:r>
            <w:r>
              <w:rPr>
                <w:spacing w:val="-5"/>
                <w:sz w:val="18"/>
              </w:rPr>
              <w:t> </w:t>
            </w:r>
            <w:r>
              <w:rPr>
                <w:sz w:val="18"/>
              </w:rPr>
              <w:t>–</w:t>
            </w:r>
            <w:r>
              <w:rPr>
                <w:spacing w:val="-2"/>
                <w:sz w:val="18"/>
              </w:rPr>
              <w:t> </w:t>
            </w:r>
            <w:r>
              <w:rPr>
                <w:sz w:val="18"/>
              </w:rPr>
              <w:t>Secretariat of</w:t>
            </w:r>
            <w:r>
              <w:rPr>
                <w:spacing w:val="-5"/>
                <w:sz w:val="18"/>
              </w:rPr>
              <w:t> </w:t>
            </w:r>
            <w:r>
              <w:rPr>
                <w:sz w:val="18"/>
              </w:rPr>
              <w:t>the</w:t>
            </w:r>
            <w:r>
              <w:rPr>
                <w:spacing w:val="-2"/>
                <w:sz w:val="18"/>
              </w:rPr>
              <w:t> </w:t>
            </w:r>
            <w:r>
              <w:rPr>
                <w:spacing w:val="-5"/>
                <w:sz w:val="18"/>
              </w:rPr>
              <w:t>TFV</w:t>
            </w:r>
          </w:p>
        </w:tc>
        <w:tc>
          <w:tcPr>
            <w:tcW w:w="1058" w:type="dxa"/>
            <w:tcBorders>
              <w:top w:val="single" w:sz="4" w:space="0" w:color="000000"/>
              <w:bottom w:val="single" w:sz="4" w:space="0" w:color="000000"/>
            </w:tcBorders>
          </w:tcPr>
          <w:p>
            <w:pPr>
              <w:pStyle w:val="TableParagraph"/>
              <w:spacing w:before="35"/>
              <w:ind w:right="95"/>
              <w:rPr>
                <w:sz w:val="18"/>
              </w:rPr>
            </w:pPr>
            <w:r>
              <w:rPr>
                <w:spacing w:val="-2"/>
                <w:sz w:val="18"/>
              </w:rPr>
              <w:t>100.0</w:t>
            </w:r>
          </w:p>
        </w:tc>
        <w:tc>
          <w:tcPr>
            <w:tcW w:w="1013" w:type="dxa"/>
            <w:tcBorders>
              <w:top w:val="single" w:sz="4" w:space="0" w:color="000000"/>
              <w:bottom w:val="single" w:sz="4" w:space="0" w:color="000000"/>
            </w:tcBorders>
          </w:tcPr>
          <w:p>
            <w:pPr>
              <w:pStyle w:val="TableParagraph"/>
              <w:spacing w:before="35"/>
              <w:ind w:right="90"/>
              <w:rPr>
                <w:sz w:val="18"/>
              </w:rPr>
            </w:pPr>
            <w:r>
              <w:rPr>
                <w:spacing w:val="-4"/>
                <w:sz w:val="18"/>
              </w:rPr>
              <w:t>33.0</w:t>
            </w:r>
          </w:p>
        </w:tc>
        <w:tc>
          <w:tcPr>
            <w:tcW w:w="1108" w:type="dxa"/>
            <w:tcBorders>
              <w:top w:val="single" w:sz="4" w:space="0" w:color="000000"/>
              <w:bottom w:val="single" w:sz="4" w:space="0" w:color="000000"/>
            </w:tcBorders>
          </w:tcPr>
          <w:p>
            <w:pPr>
              <w:pStyle w:val="TableParagraph"/>
              <w:spacing w:before="35"/>
              <w:ind w:right="199"/>
              <w:rPr>
                <w:sz w:val="18"/>
              </w:rPr>
            </w:pPr>
            <w:r>
              <w:rPr>
                <w:spacing w:val="-5"/>
                <w:sz w:val="18"/>
              </w:rPr>
              <w:t>18</w:t>
            </w:r>
          </w:p>
        </w:tc>
        <w:tc>
          <w:tcPr>
            <w:tcW w:w="2380" w:type="dxa"/>
            <w:tcBorders>
              <w:top w:val="single" w:sz="4" w:space="0" w:color="000000"/>
              <w:bottom w:val="single" w:sz="4" w:space="0" w:color="000000"/>
            </w:tcBorders>
          </w:tcPr>
          <w:p>
            <w:pPr>
              <w:pStyle w:val="TableParagraph"/>
              <w:spacing w:before="35"/>
              <w:ind w:right="1547"/>
              <w:rPr>
                <w:sz w:val="18"/>
              </w:rPr>
            </w:pPr>
            <w:r>
              <w:rPr>
                <w:spacing w:val="-2"/>
                <w:sz w:val="18"/>
              </w:rPr>
              <w:t>314.0</w:t>
            </w:r>
          </w:p>
        </w:tc>
      </w:tr>
      <w:tr>
        <w:trPr>
          <w:trHeight w:val="283" w:hRule="atLeast"/>
        </w:trPr>
        <w:tc>
          <w:tcPr>
            <w:tcW w:w="4144" w:type="dxa"/>
            <w:tcBorders>
              <w:top w:val="single" w:sz="4" w:space="0" w:color="000000"/>
              <w:bottom w:val="single" w:sz="4" w:space="0" w:color="000000"/>
            </w:tcBorders>
          </w:tcPr>
          <w:p>
            <w:pPr>
              <w:pStyle w:val="TableParagraph"/>
              <w:spacing w:before="35"/>
              <w:ind w:left="1550"/>
              <w:jc w:val="left"/>
              <w:rPr>
                <w:sz w:val="18"/>
              </w:rPr>
            </w:pPr>
            <w:r>
              <w:rPr>
                <w:sz w:val="18"/>
              </w:rPr>
              <w:t>MP</w:t>
            </w:r>
            <w:r>
              <w:rPr>
                <w:spacing w:val="2"/>
                <w:sz w:val="18"/>
              </w:rPr>
              <w:t> </w:t>
            </w:r>
            <w:r>
              <w:rPr>
                <w:sz w:val="18"/>
              </w:rPr>
              <w:t>VII</w:t>
            </w:r>
            <w:r>
              <w:rPr>
                <w:spacing w:val="-1"/>
                <w:sz w:val="18"/>
              </w:rPr>
              <w:t> </w:t>
            </w:r>
            <w:r>
              <w:rPr>
                <w:sz w:val="18"/>
              </w:rPr>
              <w:t>–</w:t>
            </w:r>
            <w:r>
              <w:rPr>
                <w:spacing w:val="-2"/>
                <w:sz w:val="18"/>
              </w:rPr>
              <w:t> IOM/OIA</w:t>
            </w:r>
          </w:p>
        </w:tc>
        <w:tc>
          <w:tcPr>
            <w:tcW w:w="1058" w:type="dxa"/>
            <w:tcBorders>
              <w:top w:val="single" w:sz="4" w:space="0" w:color="000000"/>
              <w:bottom w:val="single" w:sz="4" w:space="0" w:color="000000"/>
            </w:tcBorders>
          </w:tcPr>
          <w:p>
            <w:pPr>
              <w:pStyle w:val="TableParagraph"/>
              <w:jc w:val="left"/>
              <w:rPr>
                <w:sz w:val="18"/>
              </w:rPr>
            </w:pPr>
          </w:p>
        </w:tc>
        <w:tc>
          <w:tcPr>
            <w:tcW w:w="1013" w:type="dxa"/>
            <w:tcBorders>
              <w:top w:val="single" w:sz="4" w:space="0" w:color="000000"/>
              <w:bottom w:val="single" w:sz="4" w:space="0" w:color="000000"/>
            </w:tcBorders>
          </w:tcPr>
          <w:p>
            <w:pPr>
              <w:pStyle w:val="TableParagraph"/>
              <w:spacing w:before="35"/>
              <w:ind w:right="90"/>
              <w:rPr>
                <w:sz w:val="18"/>
              </w:rPr>
            </w:pPr>
            <w:r>
              <w:rPr>
                <w:spacing w:val="-4"/>
                <w:sz w:val="18"/>
              </w:rPr>
              <w:t>31.1</w:t>
            </w:r>
          </w:p>
        </w:tc>
        <w:tc>
          <w:tcPr>
            <w:tcW w:w="1108" w:type="dxa"/>
            <w:tcBorders>
              <w:top w:val="single" w:sz="4" w:space="0" w:color="000000"/>
              <w:bottom w:val="single" w:sz="4" w:space="0" w:color="000000"/>
            </w:tcBorders>
          </w:tcPr>
          <w:p>
            <w:pPr>
              <w:pStyle w:val="TableParagraph"/>
              <w:jc w:val="left"/>
              <w:rPr>
                <w:sz w:val="18"/>
              </w:rPr>
            </w:pPr>
          </w:p>
        </w:tc>
        <w:tc>
          <w:tcPr>
            <w:tcW w:w="2380" w:type="dxa"/>
            <w:tcBorders>
              <w:top w:val="single" w:sz="4" w:space="0" w:color="000000"/>
              <w:bottom w:val="single" w:sz="4" w:space="0" w:color="000000"/>
            </w:tcBorders>
          </w:tcPr>
          <w:p>
            <w:pPr>
              <w:pStyle w:val="TableParagraph"/>
              <w:spacing w:before="35"/>
              <w:ind w:right="1547"/>
              <w:rPr>
                <w:sz w:val="18"/>
              </w:rPr>
            </w:pPr>
            <w:r>
              <w:rPr>
                <w:spacing w:val="-4"/>
                <w:sz w:val="18"/>
              </w:rPr>
              <w:t>31.1</w:t>
            </w:r>
          </w:p>
        </w:tc>
      </w:tr>
      <w:tr>
        <w:trPr>
          <w:trHeight w:val="282" w:hRule="atLeast"/>
        </w:trPr>
        <w:tc>
          <w:tcPr>
            <w:tcW w:w="4144" w:type="dxa"/>
            <w:tcBorders>
              <w:top w:val="single" w:sz="4" w:space="0" w:color="000000"/>
              <w:bottom w:val="single" w:sz="4" w:space="0" w:color="000000"/>
            </w:tcBorders>
          </w:tcPr>
          <w:p>
            <w:pPr>
              <w:pStyle w:val="TableParagraph"/>
              <w:spacing w:before="35"/>
              <w:ind w:left="1550"/>
              <w:jc w:val="left"/>
              <w:rPr>
                <w:b/>
                <w:sz w:val="18"/>
              </w:rPr>
            </w:pPr>
            <w:r>
              <w:rPr>
                <w:b/>
                <w:sz w:val="18"/>
              </w:rPr>
              <w:t>Total</w:t>
            </w:r>
            <w:r>
              <w:rPr>
                <w:b/>
                <w:spacing w:val="-5"/>
                <w:sz w:val="18"/>
              </w:rPr>
              <w:t> </w:t>
            </w:r>
            <w:r>
              <w:rPr>
                <w:b/>
                <w:sz w:val="18"/>
              </w:rPr>
              <w:t>non-</w:t>
            </w:r>
            <w:r>
              <w:rPr>
                <w:b/>
                <w:spacing w:val="-2"/>
                <w:sz w:val="18"/>
              </w:rPr>
              <w:t>staff</w:t>
            </w:r>
          </w:p>
        </w:tc>
        <w:tc>
          <w:tcPr>
            <w:tcW w:w="1058" w:type="dxa"/>
            <w:tcBorders>
              <w:top w:val="single" w:sz="4" w:space="0" w:color="000000"/>
              <w:bottom w:val="single" w:sz="4" w:space="0" w:color="000000"/>
            </w:tcBorders>
          </w:tcPr>
          <w:p>
            <w:pPr>
              <w:pStyle w:val="TableParagraph"/>
              <w:spacing w:before="35"/>
              <w:ind w:right="95"/>
              <w:rPr>
                <w:sz w:val="18"/>
              </w:rPr>
            </w:pPr>
            <w:r>
              <w:rPr>
                <w:spacing w:val="-2"/>
                <w:sz w:val="18"/>
              </w:rPr>
              <w:t>6,031.2</w:t>
            </w:r>
          </w:p>
        </w:tc>
        <w:tc>
          <w:tcPr>
            <w:tcW w:w="1013" w:type="dxa"/>
            <w:tcBorders>
              <w:top w:val="single" w:sz="4" w:space="0" w:color="000000"/>
              <w:bottom w:val="single" w:sz="4" w:space="0" w:color="000000"/>
            </w:tcBorders>
          </w:tcPr>
          <w:p>
            <w:pPr>
              <w:pStyle w:val="TableParagraph"/>
              <w:spacing w:before="35"/>
              <w:ind w:right="90"/>
              <w:rPr>
                <w:sz w:val="18"/>
              </w:rPr>
            </w:pPr>
            <w:r>
              <w:rPr>
                <w:spacing w:val="-2"/>
                <w:sz w:val="18"/>
              </w:rPr>
              <w:t>6,093.1</w:t>
            </w:r>
          </w:p>
        </w:tc>
        <w:tc>
          <w:tcPr>
            <w:tcW w:w="1108" w:type="dxa"/>
            <w:tcBorders>
              <w:top w:val="single" w:sz="4" w:space="0" w:color="000000"/>
              <w:bottom w:val="single" w:sz="4" w:space="0" w:color="000000"/>
            </w:tcBorders>
          </w:tcPr>
          <w:p>
            <w:pPr>
              <w:pStyle w:val="TableParagraph"/>
              <w:spacing w:before="35"/>
              <w:ind w:right="199"/>
              <w:rPr>
                <w:sz w:val="18"/>
              </w:rPr>
            </w:pPr>
            <w:r>
              <w:rPr>
                <w:spacing w:val="-2"/>
                <w:sz w:val="18"/>
              </w:rPr>
              <w:t>5,896.4</w:t>
            </w:r>
          </w:p>
        </w:tc>
        <w:tc>
          <w:tcPr>
            <w:tcW w:w="2380" w:type="dxa"/>
            <w:tcBorders>
              <w:top w:val="single" w:sz="4" w:space="0" w:color="000000"/>
              <w:bottom w:val="single" w:sz="4" w:space="0" w:color="000000"/>
            </w:tcBorders>
          </w:tcPr>
          <w:p>
            <w:pPr>
              <w:pStyle w:val="TableParagraph"/>
              <w:spacing w:before="35"/>
              <w:ind w:right="1547"/>
              <w:rPr>
                <w:sz w:val="18"/>
              </w:rPr>
            </w:pPr>
            <w:r>
              <w:rPr>
                <w:spacing w:val="-2"/>
                <w:sz w:val="18"/>
              </w:rPr>
              <w:t>18,020.7</w:t>
            </w:r>
          </w:p>
        </w:tc>
      </w:tr>
      <w:tr>
        <w:trPr>
          <w:trHeight w:val="287" w:hRule="atLeast"/>
        </w:trPr>
        <w:tc>
          <w:tcPr>
            <w:tcW w:w="4144" w:type="dxa"/>
            <w:tcBorders>
              <w:top w:val="single" w:sz="4" w:space="0" w:color="000000"/>
              <w:bottom w:val="single" w:sz="4" w:space="0" w:color="000000"/>
            </w:tcBorders>
          </w:tcPr>
          <w:p>
            <w:pPr>
              <w:pStyle w:val="TableParagraph"/>
              <w:spacing w:before="35"/>
              <w:ind w:left="1550"/>
              <w:jc w:val="left"/>
              <w:rPr>
                <w:i/>
                <w:sz w:val="18"/>
              </w:rPr>
            </w:pPr>
            <w:r>
              <w:rPr>
                <w:i/>
                <w:sz w:val="18"/>
              </w:rPr>
              <w:t>Delta</w:t>
            </w:r>
            <w:r>
              <w:rPr>
                <w:i/>
                <w:spacing w:val="-5"/>
                <w:sz w:val="18"/>
              </w:rPr>
              <w:t> </w:t>
            </w:r>
            <w:r>
              <w:rPr>
                <w:i/>
                <w:sz w:val="18"/>
              </w:rPr>
              <w:t>from</w:t>
            </w:r>
            <w:r>
              <w:rPr>
                <w:i/>
                <w:spacing w:val="-2"/>
                <w:sz w:val="18"/>
              </w:rPr>
              <w:t> </w:t>
            </w:r>
            <w:r>
              <w:rPr>
                <w:i/>
                <w:sz w:val="18"/>
              </w:rPr>
              <w:t>previous</w:t>
            </w:r>
            <w:r>
              <w:rPr>
                <w:i/>
                <w:spacing w:val="-5"/>
                <w:sz w:val="18"/>
              </w:rPr>
              <w:t> </w:t>
            </w:r>
            <w:r>
              <w:rPr>
                <w:i/>
                <w:spacing w:val="-4"/>
                <w:sz w:val="18"/>
              </w:rPr>
              <w:t>year</w:t>
            </w:r>
          </w:p>
        </w:tc>
        <w:tc>
          <w:tcPr>
            <w:tcW w:w="1058" w:type="dxa"/>
            <w:tcBorders>
              <w:top w:val="single" w:sz="4" w:space="0" w:color="000000"/>
              <w:bottom w:val="single" w:sz="4" w:space="0" w:color="000000"/>
            </w:tcBorders>
          </w:tcPr>
          <w:p>
            <w:pPr>
              <w:pStyle w:val="TableParagraph"/>
              <w:spacing w:before="35"/>
              <w:ind w:left="374"/>
              <w:jc w:val="left"/>
              <w:rPr>
                <w:i/>
                <w:sz w:val="18"/>
              </w:rPr>
            </w:pPr>
            <w:r>
              <w:rPr>
                <w:i/>
                <w:spacing w:val="-2"/>
                <w:sz w:val="18"/>
              </w:rPr>
              <w:t>+219.3</w:t>
            </w:r>
          </w:p>
        </w:tc>
        <w:tc>
          <w:tcPr>
            <w:tcW w:w="1013" w:type="dxa"/>
            <w:tcBorders>
              <w:top w:val="single" w:sz="4" w:space="0" w:color="000000"/>
              <w:bottom w:val="single" w:sz="4" w:space="0" w:color="000000"/>
            </w:tcBorders>
          </w:tcPr>
          <w:p>
            <w:pPr>
              <w:pStyle w:val="TableParagraph"/>
              <w:spacing w:before="35"/>
              <w:ind w:right="143"/>
              <w:rPr>
                <w:i/>
                <w:sz w:val="18"/>
              </w:rPr>
            </w:pPr>
            <w:r>
              <w:rPr>
                <w:i/>
                <w:spacing w:val="-2"/>
                <w:sz w:val="18"/>
              </w:rPr>
              <w:t>+172.4</w:t>
            </w:r>
          </w:p>
        </w:tc>
        <w:tc>
          <w:tcPr>
            <w:tcW w:w="1108" w:type="dxa"/>
            <w:tcBorders>
              <w:top w:val="single" w:sz="4" w:space="0" w:color="000000"/>
              <w:bottom w:val="single" w:sz="4" w:space="0" w:color="000000"/>
            </w:tcBorders>
          </w:tcPr>
          <w:p>
            <w:pPr>
              <w:pStyle w:val="TableParagraph"/>
              <w:spacing w:before="35"/>
              <w:ind w:right="252"/>
              <w:rPr>
                <w:i/>
                <w:sz w:val="18"/>
              </w:rPr>
            </w:pPr>
            <w:r>
              <w:rPr>
                <w:i/>
                <w:sz w:val="18"/>
              </w:rPr>
              <w:t>-</w:t>
            </w:r>
            <w:r>
              <w:rPr>
                <w:i/>
                <w:spacing w:val="-2"/>
                <w:sz w:val="18"/>
              </w:rPr>
              <w:t>196.7</w:t>
            </w:r>
          </w:p>
        </w:tc>
        <w:tc>
          <w:tcPr>
            <w:tcW w:w="2380" w:type="dxa"/>
            <w:tcBorders>
              <w:top w:val="single" w:sz="4" w:space="0" w:color="000000"/>
              <w:bottom w:val="single" w:sz="4" w:space="0" w:color="000000"/>
            </w:tcBorders>
          </w:tcPr>
          <w:p>
            <w:pPr>
              <w:pStyle w:val="TableParagraph"/>
              <w:spacing w:before="35"/>
              <w:ind w:right="1601"/>
              <w:rPr>
                <w:i/>
                <w:sz w:val="18"/>
              </w:rPr>
            </w:pPr>
            <w:r>
              <w:rPr>
                <w:i/>
                <w:w w:val="101"/>
                <w:sz w:val="18"/>
              </w:rPr>
              <w:t>-</w:t>
            </w:r>
          </w:p>
        </w:tc>
      </w:tr>
    </w:tbl>
    <w:p>
      <w:pPr>
        <w:pStyle w:val="ListParagraph"/>
        <w:numPr>
          <w:ilvl w:val="0"/>
          <w:numId w:val="128"/>
        </w:numPr>
        <w:tabs>
          <w:tab w:pos="2966" w:val="left" w:leader="none"/>
          <w:tab w:pos="2967" w:val="left" w:leader="none"/>
        </w:tabs>
        <w:spacing w:line="240" w:lineRule="auto" w:before="133" w:after="0"/>
        <w:ind w:left="2246" w:right="2240" w:firstLine="0"/>
        <w:jc w:val="both"/>
        <w:rPr>
          <w:sz w:val="20"/>
        </w:rPr>
      </w:pPr>
      <w:r>
        <w:rPr/>
        <w:pict>
          <v:shape style="position:absolute;margin-left:132.770004pt;margin-top:63.859947pt;width:329.95pt;height:.5pt;mso-position-horizontal-relative:page;mso-position-vertical-relative:page;z-index:-43786240" id="docshape458" coordorigin="2655,1277" coordsize="6599,10" path="m6214,1277l6204,1277,6204,1277,5200,1277,5191,1277,2655,1277,2655,1287,5191,1287,5200,1287,6204,1287,6204,1287,6214,1287,6214,1277xm8326,1277l7232,1277,7222,1277,7222,1277,6214,1277,6214,1287,7222,1287,7222,1287,7232,1287,8326,1287,8326,1277xm9253,1277l8336,1277,8327,1277,8327,1287,8336,1287,9253,1287,9253,1277xe" filled="true" fillcolor="#000000" stroked="false">
            <v:path arrowok="t"/>
            <v:fill type="solid"/>
            <w10:wrap type="none"/>
          </v:shape>
        </w:pict>
      </w:r>
      <w:r>
        <w:rPr>
          <w:sz w:val="20"/>
        </w:rPr>
        <w:t>The functions and IT/IM services provided by IMSS and other sections do not overlap and the division of responsibilities is documented in a matrix to prevent any duplication or gaps in systems support and services. The provision of daily operational support (lights-on services) is documented by IMSS, OTP, CMS, DMS and the Victims Participation and Reparations Section (VPRS) using RACI (Responsible, Accountable, Consulted,</w:t>
      </w:r>
      <w:r>
        <w:rPr>
          <w:spacing w:val="-1"/>
          <w:sz w:val="20"/>
        </w:rPr>
        <w:t> </w:t>
      </w:r>
      <w:r>
        <w:rPr>
          <w:sz w:val="20"/>
        </w:rPr>
        <w:t>Informed)</w:t>
      </w:r>
      <w:r>
        <w:rPr>
          <w:spacing w:val="-13"/>
          <w:sz w:val="20"/>
        </w:rPr>
        <w:t> </w:t>
      </w:r>
      <w:r>
        <w:rPr>
          <w:sz w:val="20"/>
        </w:rPr>
        <w:t>matrices.</w:t>
      </w:r>
      <w:r>
        <w:rPr>
          <w:spacing w:val="-6"/>
          <w:sz w:val="20"/>
        </w:rPr>
        <w:t> </w:t>
      </w:r>
      <w:r>
        <w:rPr>
          <w:sz w:val="20"/>
        </w:rPr>
        <w:t>These</w:t>
      </w:r>
      <w:r>
        <w:rPr>
          <w:spacing w:val="-7"/>
          <w:sz w:val="20"/>
        </w:rPr>
        <w:t> </w:t>
      </w:r>
      <w:r>
        <w:rPr>
          <w:sz w:val="20"/>
        </w:rPr>
        <w:t>are</w:t>
      </w:r>
      <w:r>
        <w:rPr>
          <w:spacing w:val="-11"/>
          <w:sz w:val="20"/>
        </w:rPr>
        <w:t> </w:t>
      </w:r>
      <w:r>
        <w:rPr>
          <w:sz w:val="20"/>
        </w:rPr>
        <w:t>living</w:t>
      </w:r>
      <w:r>
        <w:rPr>
          <w:spacing w:val="-8"/>
          <w:sz w:val="20"/>
        </w:rPr>
        <w:t> </w:t>
      </w:r>
      <w:r>
        <w:rPr>
          <w:sz w:val="20"/>
        </w:rPr>
        <w:t>documents</w:t>
      </w:r>
      <w:r>
        <w:rPr>
          <w:spacing w:val="-10"/>
          <w:sz w:val="20"/>
        </w:rPr>
        <w:t> </w:t>
      </w:r>
      <w:r>
        <w:rPr>
          <w:sz w:val="20"/>
        </w:rPr>
        <w:t>that</w:t>
      </w:r>
      <w:r>
        <w:rPr>
          <w:spacing w:val="-7"/>
          <w:sz w:val="20"/>
        </w:rPr>
        <w:t> </w:t>
      </w:r>
      <w:r>
        <w:rPr>
          <w:sz w:val="20"/>
        </w:rPr>
        <w:t>are</w:t>
      </w:r>
      <w:r>
        <w:rPr>
          <w:spacing w:val="-7"/>
          <w:sz w:val="20"/>
        </w:rPr>
        <w:t> </w:t>
      </w:r>
      <w:r>
        <w:rPr>
          <w:sz w:val="20"/>
        </w:rPr>
        <w:t>updated</w:t>
      </w:r>
      <w:r>
        <w:rPr>
          <w:spacing w:val="-4"/>
          <w:sz w:val="20"/>
        </w:rPr>
        <w:t> </w:t>
      </w:r>
      <w:r>
        <w:rPr>
          <w:sz w:val="20"/>
        </w:rPr>
        <w:t>for</w:t>
      </w:r>
      <w:r>
        <w:rPr>
          <w:spacing w:val="-8"/>
          <w:sz w:val="20"/>
        </w:rPr>
        <w:t> </w:t>
      </w:r>
      <w:r>
        <w:rPr>
          <w:sz w:val="20"/>
        </w:rPr>
        <w:t>new</w:t>
      </w:r>
      <w:r>
        <w:rPr>
          <w:spacing w:val="-10"/>
          <w:sz w:val="20"/>
        </w:rPr>
        <w:t> </w:t>
      </w:r>
      <w:r>
        <w:rPr>
          <w:sz w:val="20"/>
        </w:rPr>
        <w:t>systems or services. Provided that the scope of services and systems supported across the Court remains</w:t>
      </w:r>
      <w:r>
        <w:rPr>
          <w:spacing w:val="-13"/>
          <w:sz w:val="20"/>
        </w:rPr>
        <w:t> </w:t>
      </w:r>
      <w:r>
        <w:rPr>
          <w:sz w:val="20"/>
        </w:rPr>
        <w:t>consistent,</w:t>
      </w:r>
      <w:r>
        <w:rPr>
          <w:spacing w:val="-12"/>
          <w:sz w:val="20"/>
        </w:rPr>
        <w:t> </w:t>
      </w:r>
      <w:r>
        <w:rPr>
          <w:sz w:val="20"/>
        </w:rPr>
        <w:t>there</w:t>
      </w:r>
      <w:r>
        <w:rPr>
          <w:spacing w:val="-13"/>
          <w:sz w:val="20"/>
        </w:rPr>
        <w:t> </w:t>
      </w:r>
      <w:r>
        <w:rPr>
          <w:sz w:val="20"/>
        </w:rPr>
        <w:t>is</w:t>
      </w:r>
      <w:r>
        <w:rPr>
          <w:spacing w:val="-12"/>
          <w:sz w:val="20"/>
        </w:rPr>
        <w:t> </w:t>
      </w:r>
      <w:r>
        <w:rPr>
          <w:sz w:val="20"/>
        </w:rPr>
        <w:t>no</w:t>
      </w:r>
      <w:r>
        <w:rPr>
          <w:spacing w:val="-10"/>
          <w:sz w:val="20"/>
        </w:rPr>
        <w:t> </w:t>
      </w:r>
      <w:r>
        <w:rPr>
          <w:sz w:val="20"/>
        </w:rPr>
        <w:t>forecast</w:t>
      </w:r>
      <w:r>
        <w:rPr>
          <w:spacing w:val="-10"/>
          <w:sz w:val="20"/>
        </w:rPr>
        <w:t> </w:t>
      </w:r>
      <w:r>
        <w:rPr>
          <w:sz w:val="20"/>
        </w:rPr>
        <w:t>increase</w:t>
      </w:r>
      <w:r>
        <w:rPr>
          <w:spacing w:val="-11"/>
          <w:sz w:val="20"/>
        </w:rPr>
        <w:t> </w:t>
      </w:r>
      <w:r>
        <w:rPr>
          <w:sz w:val="20"/>
        </w:rPr>
        <w:t>in</w:t>
      </w:r>
      <w:r>
        <w:rPr>
          <w:spacing w:val="-12"/>
          <w:sz w:val="20"/>
        </w:rPr>
        <w:t> </w:t>
      </w:r>
      <w:r>
        <w:rPr>
          <w:sz w:val="20"/>
        </w:rPr>
        <w:t>established</w:t>
      </w:r>
      <w:r>
        <w:rPr>
          <w:spacing w:val="-13"/>
          <w:sz w:val="20"/>
        </w:rPr>
        <w:t> </w:t>
      </w:r>
      <w:r>
        <w:rPr>
          <w:sz w:val="20"/>
        </w:rPr>
        <w:t>posts</w:t>
      </w:r>
      <w:r>
        <w:rPr>
          <w:spacing w:val="-8"/>
          <w:sz w:val="20"/>
        </w:rPr>
        <w:t> </w:t>
      </w:r>
      <w:r>
        <w:rPr>
          <w:sz w:val="20"/>
        </w:rPr>
        <w:t>or</w:t>
      </w:r>
      <w:r>
        <w:rPr>
          <w:spacing w:val="-12"/>
          <w:sz w:val="20"/>
        </w:rPr>
        <w:t> </w:t>
      </w:r>
      <w:r>
        <w:rPr>
          <w:sz w:val="20"/>
        </w:rPr>
        <w:t>GTA</w:t>
      </w:r>
      <w:r>
        <w:rPr>
          <w:spacing w:val="-13"/>
          <w:sz w:val="20"/>
        </w:rPr>
        <w:t> </w:t>
      </w:r>
      <w:r>
        <w:rPr>
          <w:sz w:val="20"/>
        </w:rPr>
        <w:t>positions</w:t>
      </w:r>
      <w:r>
        <w:rPr>
          <w:spacing w:val="-12"/>
          <w:sz w:val="20"/>
        </w:rPr>
        <w:t> </w:t>
      </w:r>
      <w:r>
        <w:rPr>
          <w:sz w:val="20"/>
        </w:rPr>
        <w:t>to</w:t>
      </w:r>
      <w:r>
        <w:rPr>
          <w:spacing w:val="-13"/>
          <w:sz w:val="20"/>
        </w:rPr>
        <w:t> </w:t>
      </w:r>
      <w:r>
        <w:rPr>
          <w:sz w:val="20"/>
        </w:rPr>
        <w:t>meet daily operational needs. The increase in staff costs for 2023 is primarily due to structural changes</w:t>
      </w:r>
      <w:r>
        <w:rPr>
          <w:spacing w:val="-5"/>
          <w:sz w:val="20"/>
        </w:rPr>
        <w:t> </w:t>
      </w:r>
      <w:r>
        <w:rPr>
          <w:sz w:val="20"/>
        </w:rPr>
        <w:t>made</w:t>
      </w:r>
      <w:r>
        <w:rPr>
          <w:spacing w:val="-2"/>
          <w:sz w:val="20"/>
        </w:rPr>
        <w:t> </w:t>
      </w:r>
      <w:r>
        <w:rPr>
          <w:sz w:val="20"/>
        </w:rPr>
        <w:t>in the OTP to meet</w:t>
      </w:r>
      <w:r>
        <w:rPr>
          <w:spacing w:val="-2"/>
          <w:sz w:val="20"/>
        </w:rPr>
        <w:t> </w:t>
      </w:r>
      <w:r>
        <w:rPr>
          <w:sz w:val="20"/>
        </w:rPr>
        <w:t>the</w:t>
      </w:r>
      <w:r>
        <w:rPr>
          <w:spacing w:val="-2"/>
          <w:sz w:val="20"/>
        </w:rPr>
        <w:t> </w:t>
      </w:r>
      <w:r>
        <w:rPr>
          <w:sz w:val="20"/>
        </w:rPr>
        <w:t>data</w:t>
      </w:r>
      <w:r>
        <w:rPr>
          <w:spacing w:val="-2"/>
          <w:sz w:val="20"/>
        </w:rPr>
        <w:t> </w:t>
      </w:r>
      <w:r>
        <w:rPr>
          <w:sz w:val="20"/>
        </w:rPr>
        <w:t>management and</w:t>
      </w:r>
      <w:r>
        <w:rPr>
          <w:spacing w:val="-4"/>
          <w:sz w:val="20"/>
        </w:rPr>
        <w:t> </w:t>
      </w:r>
      <w:r>
        <w:rPr>
          <w:sz w:val="20"/>
        </w:rPr>
        <w:t>application needs specific</w:t>
      </w:r>
      <w:r>
        <w:rPr>
          <w:spacing w:val="-2"/>
          <w:sz w:val="20"/>
        </w:rPr>
        <w:t> </w:t>
      </w:r>
      <w:r>
        <w:rPr>
          <w:sz w:val="20"/>
        </w:rPr>
        <w:t>to</w:t>
      </w:r>
      <w:r>
        <w:rPr>
          <w:spacing w:val="-4"/>
          <w:sz w:val="20"/>
        </w:rPr>
        <w:t> </w:t>
      </w:r>
      <w:r>
        <w:rPr>
          <w:sz w:val="20"/>
        </w:rPr>
        <w:t>its operations,</w:t>
      </w:r>
      <w:r>
        <w:rPr>
          <w:spacing w:val="-13"/>
          <w:sz w:val="20"/>
        </w:rPr>
        <w:t> </w:t>
      </w:r>
      <w:r>
        <w:rPr>
          <w:sz w:val="20"/>
        </w:rPr>
        <w:t>which</w:t>
      </w:r>
      <w:r>
        <w:rPr>
          <w:spacing w:val="-12"/>
          <w:sz w:val="20"/>
        </w:rPr>
        <w:t> </w:t>
      </w:r>
      <w:r>
        <w:rPr>
          <w:sz w:val="20"/>
        </w:rPr>
        <w:t>are</w:t>
      </w:r>
      <w:r>
        <w:rPr>
          <w:spacing w:val="-13"/>
          <w:sz w:val="20"/>
        </w:rPr>
        <w:t> </w:t>
      </w:r>
      <w:r>
        <w:rPr>
          <w:sz w:val="20"/>
        </w:rPr>
        <w:t>often</w:t>
      </w:r>
      <w:r>
        <w:rPr>
          <w:spacing w:val="-12"/>
          <w:sz w:val="20"/>
        </w:rPr>
        <w:t> </w:t>
      </w:r>
      <w:r>
        <w:rPr>
          <w:sz w:val="20"/>
        </w:rPr>
        <w:t>confidential</w:t>
      </w:r>
      <w:r>
        <w:rPr>
          <w:spacing w:val="-13"/>
          <w:sz w:val="20"/>
        </w:rPr>
        <w:t> </w:t>
      </w:r>
      <w:r>
        <w:rPr>
          <w:sz w:val="20"/>
        </w:rPr>
        <w:t>in</w:t>
      </w:r>
      <w:r>
        <w:rPr>
          <w:spacing w:val="-12"/>
          <w:sz w:val="20"/>
        </w:rPr>
        <w:t> </w:t>
      </w:r>
      <w:r>
        <w:rPr>
          <w:sz w:val="20"/>
        </w:rPr>
        <w:t>nature.</w:t>
      </w:r>
      <w:r>
        <w:rPr>
          <w:spacing w:val="-13"/>
          <w:sz w:val="20"/>
        </w:rPr>
        <w:t> </w:t>
      </w:r>
      <w:r>
        <w:rPr>
          <w:sz w:val="20"/>
        </w:rPr>
        <w:t>These</w:t>
      </w:r>
      <w:r>
        <w:rPr>
          <w:spacing w:val="-12"/>
          <w:sz w:val="20"/>
        </w:rPr>
        <w:t> </w:t>
      </w:r>
      <w:r>
        <w:rPr>
          <w:sz w:val="20"/>
        </w:rPr>
        <w:t>functions</w:t>
      </w:r>
      <w:r>
        <w:rPr>
          <w:spacing w:val="-13"/>
          <w:sz w:val="20"/>
        </w:rPr>
        <w:t> </w:t>
      </w:r>
      <w:r>
        <w:rPr>
          <w:sz w:val="20"/>
        </w:rPr>
        <w:t>are</w:t>
      </w:r>
      <w:r>
        <w:rPr>
          <w:spacing w:val="-12"/>
          <w:sz w:val="20"/>
        </w:rPr>
        <w:t> </w:t>
      </w:r>
      <w:r>
        <w:rPr>
          <w:sz w:val="20"/>
        </w:rPr>
        <w:t>coordinated</w:t>
      </w:r>
      <w:r>
        <w:rPr>
          <w:spacing w:val="-13"/>
          <w:sz w:val="20"/>
        </w:rPr>
        <w:t> </w:t>
      </w:r>
      <w:r>
        <w:rPr>
          <w:sz w:val="20"/>
        </w:rPr>
        <w:t>with</w:t>
      </w:r>
      <w:r>
        <w:rPr>
          <w:spacing w:val="-12"/>
          <w:sz w:val="20"/>
        </w:rPr>
        <w:t> </w:t>
      </w:r>
      <w:r>
        <w:rPr>
          <w:sz w:val="20"/>
        </w:rPr>
        <w:t>IMSS via</w:t>
      </w:r>
      <w:r>
        <w:rPr>
          <w:spacing w:val="-2"/>
          <w:sz w:val="20"/>
        </w:rPr>
        <w:t> </w:t>
      </w:r>
      <w:r>
        <w:rPr>
          <w:sz w:val="20"/>
        </w:rPr>
        <w:t>a</w:t>
      </w:r>
      <w:r>
        <w:rPr>
          <w:spacing w:val="-2"/>
          <w:sz w:val="20"/>
        </w:rPr>
        <w:t> </w:t>
      </w:r>
      <w:r>
        <w:rPr>
          <w:sz w:val="20"/>
        </w:rPr>
        <w:t>hybrid</w:t>
      </w:r>
      <w:r>
        <w:rPr>
          <w:spacing w:val="-4"/>
          <w:sz w:val="20"/>
        </w:rPr>
        <w:t> </w:t>
      </w:r>
      <w:r>
        <w:rPr>
          <w:sz w:val="20"/>
        </w:rPr>
        <w:t>operating</w:t>
      </w:r>
      <w:r>
        <w:rPr>
          <w:spacing w:val="-4"/>
          <w:sz w:val="20"/>
        </w:rPr>
        <w:t> </w:t>
      </w:r>
      <w:r>
        <w:rPr>
          <w:sz w:val="20"/>
        </w:rPr>
        <w:t>model</w:t>
      </w:r>
      <w:r>
        <w:rPr>
          <w:spacing w:val="-2"/>
          <w:sz w:val="20"/>
        </w:rPr>
        <w:t> </w:t>
      </w:r>
      <w:r>
        <w:rPr>
          <w:sz w:val="20"/>
        </w:rPr>
        <w:t>to</w:t>
      </w:r>
      <w:r>
        <w:rPr>
          <w:spacing w:val="-4"/>
          <w:sz w:val="20"/>
        </w:rPr>
        <w:t> </w:t>
      </w:r>
      <w:r>
        <w:rPr>
          <w:sz w:val="20"/>
        </w:rPr>
        <w:t>ensure</w:t>
      </w:r>
      <w:r>
        <w:rPr>
          <w:spacing w:val="-2"/>
          <w:sz w:val="20"/>
        </w:rPr>
        <w:t> </w:t>
      </w:r>
      <w:r>
        <w:rPr>
          <w:sz w:val="20"/>
        </w:rPr>
        <w:t>that</w:t>
      </w:r>
      <w:r>
        <w:rPr>
          <w:spacing w:val="-2"/>
          <w:sz w:val="20"/>
        </w:rPr>
        <w:t> </w:t>
      </w:r>
      <w:r>
        <w:rPr>
          <w:sz w:val="20"/>
        </w:rPr>
        <w:t>the Registry</w:t>
      </w:r>
      <w:r>
        <w:rPr>
          <w:spacing w:val="-4"/>
          <w:sz w:val="20"/>
        </w:rPr>
        <w:t> </w:t>
      </w:r>
      <w:r>
        <w:rPr>
          <w:sz w:val="20"/>
        </w:rPr>
        <w:t>remains a</w:t>
      </w:r>
      <w:r>
        <w:rPr>
          <w:spacing w:val="-2"/>
          <w:sz w:val="20"/>
        </w:rPr>
        <w:t> </w:t>
      </w:r>
      <w:r>
        <w:rPr>
          <w:sz w:val="20"/>
        </w:rPr>
        <w:t>neutral</w:t>
      </w:r>
      <w:r>
        <w:rPr>
          <w:spacing w:val="-2"/>
          <w:sz w:val="20"/>
        </w:rPr>
        <w:t> </w:t>
      </w:r>
      <w:r>
        <w:rPr>
          <w:sz w:val="20"/>
        </w:rPr>
        <w:t>provider</w:t>
      </w:r>
      <w:r>
        <w:rPr>
          <w:spacing w:val="-4"/>
          <w:sz w:val="20"/>
        </w:rPr>
        <w:t> </w:t>
      </w:r>
      <w:r>
        <w:rPr>
          <w:sz w:val="20"/>
        </w:rPr>
        <w:t>of IT/IM </w:t>
      </w:r>
      <w:r>
        <w:rPr>
          <w:spacing w:val="-2"/>
          <w:sz w:val="20"/>
        </w:rPr>
        <w:t>services.</w:t>
      </w:r>
    </w:p>
    <w:p>
      <w:pPr>
        <w:pStyle w:val="ListParagraph"/>
        <w:numPr>
          <w:ilvl w:val="0"/>
          <w:numId w:val="128"/>
        </w:numPr>
        <w:tabs>
          <w:tab w:pos="2967" w:val="left" w:leader="none"/>
        </w:tabs>
        <w:spacing w:line="240" w:lineRule="auto" w:before="117" w:after="0"/>
        <w:ind w:left="2246" w:right="2242" w:firstLine="0"/>
        <w:jc w:val="both"/>
        <w:rPr>
          <w:sz w:val="20"/>
        </w:rPr>
      </w:pPr>
      <w:r>
        <w:rPr>
          <w:sz w:val="20"/>
        </w:rPr>
        <w:t>The allocation of IT/IM expenditure across the Court has remained consistent</w:t>
      </w:r>
      <w:r>
        <w:rPr>
          <w:spacing w:val="40"/>
          <w:sz w:val="20"/>
        </w:rPr>
        <w:t> </w:t>
      </w:r>
      <w:r>
        <w:rPr>
          <w:sz w:val="20"/>
        </w:rPr>
        <w:t>since</w:t>
      </w:r>
      <w:r>
        <w:rPr>
          <w:spacing w:val="-11"/>
          <w:sz w:val="20"/>
        </w:rPr>
        <w:t> </w:t>
      </w:r>
      <w:r>
        <w:rPr>
          <w:sz w:val="20"/>
        </w:rPr>
        <w:t>2017</w:t>
      </w:r>
      <w:r>
        <w:rPr>
          <w:spacing w:val="-7"/>
          <w:sz w:val="20"/>
        </w:rPr>
        <w:t> </w:t>
      </w:r>
      <w:r>
        <w:rPr>
          <w:sz w:val="20"/>
        </w:rPr>
        <w:t>when</w:t>
      </w:r>
      <w:r>
        <w:rPr>
          <w:spacing w:val="-13"/>
          <w:sz w:val="20"/>
        </w:rPr>
        <w:t> </w:t>
      </w:r>
      <w:r>
        <w:rPr>
          <w:sz w:val="20"/>
        </w:rPr>
        <w:t>the</w:t>
      </w:r>
      <w:r>
        <w:rPr>
          <w:spacing w:val="-11"/>
          <w:sz w:val="20"/>
        </w:rPr>
        <w:t> </w:t>
      </w:r>
      <w:r>
        <w:rPr>
          <w:sz w:val="20"/>
        </w:rPr>
        <w:t>Court</w:t>
      </w:r>
      <w:r>
        <w:rPr>
          <w:spacing w:val="-12"/>
          <w:sz w:val="20"/>
        </w:rPr>
        <w:t> </w:t>
      </w:r>
      <w:r>
        <w:rPr>
          <w:sz w:val="20"/>
        </w:rPr>
        <w:t>began</w:t>
      </w:r>
      <w:r>
        <w:rPr>
          <w:spacing w:val="-13"/>
          <w:sz w:val="20"/>
        </w:rPr>
        <w:t> </w:t>
      </w:r>
      <w:r>
        <w:rPr>
          <w:sz w:val="20"/>
        </w:rPr>
        <w:t>tracking</w:t>
      </w:r>
      <w:r>
        <w:rPr>
          <w:spacing w:val="-12"/>
          <w:sz w:val="20"/>
        </w:rPr>
        <w:t> </w:t>
      </w:r>
      <w:r>
        <w:rPr>
          <w:sz w:val="20"/>
        </w:rPr>
        <w:t>this</w:t>
      </w:r>
      <w:r>
        <w:rPr>
          <w:spacing w:val="-13"/>
          <w:sz w:val="20"/>
        </w:rPr>
        <w:t> </w:t>
      </w:r>
      <w:r>
        <w:rPr>
          <w:sz w:val="20"/>
        </w:rPr>
        <w:t>data.</w:t>
      </w:r>
      <w:r>
        <w:rPr>
          <w:spacing w:val="-11"/>
          <w:sz w:val="20"/>
        </w:rPr>
        <w:t> </w:t>
      </w:r>
      <w:r>
        <w:rPr>
          <w:sz w:val="20"/>
        </w:rPr>
        <w:t>The</w:t>
      </w:r>
      <w:r>
        <w:rPr>
          <w:spacing w:val="-11"/>
          <w:sz w:val="20"/>
        </w:rPr>
        <w:t> </w:t>
      </w:r>
      <w:r>
        <w:rPr>
          <w:sz w:val="20"/>
        </w:rPr>
        <w:t>majority</w:t>
      </w:r>
      <w:r>
        <w:rPr>
          <w:spacing w:val="-13"/>
          <w:sz w:val="20"/>
        </w:rPr>
        <w:t> </w:t>
      </w:r>
      <w:r>
        <w:rPr>
          <w:sz w:val="20"/>
        </w:rPr>
        <w:t>of</w:t>
      </w:r>
      <w:r>
        <w:rPr>
          <w:spacing w:val="-12"/>
          <w:sz w:val="20"/>
        </w:rPr>
        <w:t> </w:t>
      </w:r>
      <w:r>
        <w:rPr>
          <w:sz w:val="20"/>
        </w:rPr>
        <w:t>costs</w:t>
      </w:r>
      <w:r>
        <w:rPr>
          <w:spacing w:val="-13"/>
          <w:sz w:val="20"/>
        </w:rPr>
        <w:t> </w:t>
      </w:r>
      <w:r>
        <w:rPr>
          <w:sz w:val="20"/>
        </w:rPr>
        <w:t>remain</w:t>
      </w:r>
      <w:r>
        <w:rPr>
          <w:spacing w:val="-12"/>
          <w:sz w:val="20"/>
        </w:rPr>
        <w:t> </w:t>
      </w:r>
      <w:r>
        <w:rPr>
          <w:sz w:val="20"/>
        </w:rPr>
        <w:t>in</w:t>
      </w:r>
      <w:r>
        <w:rPr>
          <w:spacing w:val="-13"/>
          <w:sz w:val="20"/>
        </w:rPr>
        <w:t> </w:t>
      </w:r>
      <w:r>
        <w:rPr>
          <w:sz w:val="20"/>
        </w:rPr>
        <w:t>the</w:t>
      </w:r>
      <w:r>
        <w:rPr>
          <w:spacing w:val="-11"/>
          <w:sz w:val="20"/>
        </w:rPr>
        <w:t> </w:t>
      </w:r>
      <w:r>
        <w:rPr>
          <w:sz w:val="20"/>
        </w:rPr>
        <w:t>IMSS (central IT/IM) budget. In 2017, the IMSS budget accounted for 75.8 per cent of total expenditure. From</w:t>
      </w:r>
      <w:r>
        <w:rPr>
          <w:spacing w:val="-2"/>
          <w:sz w:val="20"/>
        </w:rPr>
        <w:t> </w:t>
      </w:r>
      <w:r>
        <w:rPr>
          <w:sz w:val="20"/>
        </w:rPr>
        <w:t>2018</w:t>
      </w:r>
      <w:r>
        <w:rPr>
          <w:spacing w:val="-4"/>
          <w:sz w:val="20"/>
        </w:rPr>
        <w:t> </w:t>
      </w:r>
      <w:r>
        <w:rPr>
          <w:sz w:val="20"/>
        </w:rPr>
        <w:t>onwards,</w:t>
      </w:r>
      <w:r>
        <w:rPr>
          <w:spacing w:val="-1"/>
          <w:sz w:val="20"/>
        </w:rPr>
        <w:t> </w:t>
      </w:r>
      <w:r>
        <w:rPr>
          <w:sz w:val="20"/>
        </w:rPr>
        <w:t>owing</w:t>
      </w:r>
      <w:r>
        <w:rPr>
          <w:spacing w:val="-4"/>
          <w:sz w:val="20"/>
        </w:rPr>
        <w:t> </w:t>
      </w:r>
      <w:r>
        <w:rPr>
          <w:sz w:val="20"/>
        </w:rPr>
        <w:t>to</w:t>
      </w:r>
      <w:r>
        <w:rPr>
          <w:spacing w:val="-4"/>
          <w:sz w:val="20"/>
        </w:rPr>
        <w:t> </w:t>
      </w:r>
      <w:r>
        <w:rPr>
          <w:sz w:val="20"/>
        </w:rPr>
        <w:t>the</w:t>
      </w:r>
      <w:r>
        <w:rPr>
          <w:spacing w:val="-2"/>
          <w:sz w:val="20"/>
        </w:rPr>
        <w:t> </w:t>
      </w:r>
      <w:r>
        <w:rPr>
          <w:sz w:val="20"/>
        </w:rPr>
        <w:t>efforts of</w:t>
      </w:r>
      <w:r>
        <w:rPr>
          <w:spacing w:val="-4"/>
          <w:sz w:val="20"/>
        </w:rPr>
        <w:t> </w:t>
      </w:r>
      <w:r>
        <w:rPr>
          <w:sz w:val="20"/>
        </w:rPr>
        <w:t>the</w:t>
      </w:r>
      <w:r>
        <w:rPr>
          <w:spacing w:val="-2"/>
          <w:sz w:val="20"/>
        </w:rPr>
        <w:t> </w:t>
      </w:r>
      <w:r>
        <w:rPr>
          <w:sz w:val="20"/>
        </w:rPr>
        <w:t>Court-wide</w:t>
      </w:r>
      <w:r>
        <w:rPr>
          <w:spacing w:val="-2"/>
          <w:sz w:val="20"/>
        </w:rPr>
        <w:t> </w:t>
      </w:r>
      <w:r>
        <w:rPr>
          <w:sz w:val="20"/>
        </w:rPr>
        <w:t>synergies exercise, the percentage of the IMSS budget has been around 85 per cent. However, 2022 was an anomaly</w:t>
      </w:r>
      <w:r>
        <w:rPr>
          <w:spacing w:val="-4"/>
          <w:sz w:val="20"/>
        </w:rPr>
        <w:t> </w:t>
      </w:r>
      <w:r>
        <w:rPr>
          <w:sz w:val="20"/>
        </w:rPr>
        <w:t>in</w:t>
      </w:r>
      <w:r>
        <w:rPr>
          <w:spacing w:val="-8"/>
          <w:sz w:val="20"/>
        </w:rPr>
        <w:t> </w:t>
      </w:r>
      <w:r>
        <w:rPr>
          <w:sz w:val="20"/>
        </w:rPr>
        <w:t>that</w:t>
      </w:r>
      <w:r>
        <w:rPr>
          <w:spacing w:val="-7"/>
          <w:sz w:val="20"/>
        </w:rPr>
        <w:t> </w:t>
      </w:r>
      <w:r>
        <w:rPr>
          <w:sz w:val="20"/>
        </w:rPr>
        <w:t>the</w:t>
      </w:r>
      <w:r>
        <w:rPr>
          <w:spacing w:val="-7"/>
          <w:sz w:val="20"/>
        </w:rPr>
        <w:t> </w:t>
      </w:r>
      <w:r>
        <w:rPr>
          <w:sz w:val="20"/>
        </w:rPr>
        <w:t>reductions</w:t>
      </w:r>
      <w:r>
        <w:rPr>
          <w:spacing w:val="-10"/>
          <w:sz w:val="20"/>
        </w:rPr>
        <w:t> </w:t>
      </w:r>
      <w:r>
        <w:rPr>
          <w:sz w:val="20"/>
        </w:rPr>
        <w:t>from</w:t>
      </w:r>
      <w:r>
        <w:rPr>
          <w:spacing w:val="-7"/>
          <w:sz w:val="20"/>
        </w:rPr>
        <w:t> </w:t>
      </w:r>
      <w:r>
        <w:rPr>
          <w:sz w:val="20"/>
        </w:rPr>
        <w:t>the</w:t>
      </w:r>
      <w:r>
        <w:rPr>
          <w:spacing w:val="-7"/>
          <w:sz w:val="20"/>
        </w:rPr>
        <w:t> </w:t>
      </w:r>
      <w:r>
        <w:rPr>
          <w:sz w:val="20"/>
        </w:rPr>
        <w:t>proposed</w:t>
      </w:r>
      <w:r>
        <w:rPr>
          <w:spacing w:val="-8"/>
          <w:sz w:val="20"/>
        </w:rPr>
        <w:t> </w:t>
      </w:r>
      <w:r>
        <w:rPr>
          <w:sz w:val="20"/>
        </w:rPr>
        <w:t>budget</w:t>
      </w:r>
      <w:r>
        <w:rPr>
          <w:spacing w:val="-7"/>
          <w:sz w:val="20"/>
        </w:rPr>
        <w:t> </w:t>
      </w:r>
      <w:r>
        <w:rPr>
          <w:sz w:val="20"/>
        </w:rPr>
        <w:t>were</w:t>
      </w:r>
      <w:r>
        <w:rPr>
          <w:spacing w:val="-7"/>
          <w:sz w:val="20"/>
        </w:rPr>
        <w:t> </w:t>
      </w:r>
      <w:r>
        <w:rPr>
          <w:sz w:val="20"/>
        </w:rPr>
        <w:t>concentrated</w:t>
      </w:r>
      <w:r>
        <w:rPr>
          <w:spacing w:val="-8"/>
          <w:sz w:val="20"/>
        </w:rPr>
        <w:t> </w:t>
      </w:r>
      <w:r>
        <w:rPr>
          <w:sz w:val="20"/>
        </w:rPr>
        <w:t>in</w:t>
      </w:r>
      <w:r>
        <w:rPr>
          <w:spacing w:val="-8"/>
          <w:sz w:val="20"/>
        </w:rPr>
        <w:t> </w:t>
      </w:r>
      <w:r>
        <w:rPr>
          <w:sz w:val="20"/>
        </w:rPr>
        <w:t>the</w:t>
      </w:r>
      <w:r>
        <w:rPr>
          <w:spacing w:val="-7"/>
          <w:sz w:val="20"/>
        </w:rPr>
        <w:t> </w:t>
      </w:r>
      <w:r>
        <w:rPr>
          <w:sz w:val="20"/>
        </w:rPr>
        <w:t>IMSS</w:t>
      </w:r>
      <w:r>
        <w:rPr>
          <w:spacing w:val="-5"/>
          <w:sz w:val="20"/>
        </w:rPr>
        <w:t> </w:t>
      </w:r>
      <w:r>
        <w:rPr>
          <w:sz w:val="20"/>
        </w:rPr>
        <w:t>cost centre. IMSS coordinates budget planning and expenditure with DMS SAP and OTP and this</w:t>
      </w:r>
      <w:r>
        <w:rPr>
          <w:spacing w:val="-5"/>
          <w:sz w:val="20"/>
        </w:rPr>
        <w:t> </w:t>
      </w:r>
      <w:r>
        <w:rPr>
          <w:sz w:val="20"/>
        </w:rPr>
        <w:t>figure is represented by the centrally coordinated percentage, which has fluctuated between</w:t>
      </w:r>
      <w:r>
        <w:rPr>
          <w:spacing w:val="-13"/>
          <w:sz w:val="20"/>
        </w:rPr>
        <w:t> </w:t>
      </w:r>
      <w:r>
        <w:rPr>
          <w:sz w:val="20"/>
        </w:rPr>
        <w:t>90</w:t>
      </w:r>
      <w:r>
        <w:rPr>
          <w:spacing w:val="-12"/>
          <w:sz w:val="20"/>
        </w:rPr>
        <w:t> </w:t>
      </w:r>
      <w:r>
        <w:rPr>
          <w:sz w:val="20"/>
        </w:rPr>
        <w:t>to</w:t>
      </w:r>
      <w:r>
        <w:rPr>
          <w:spacing w:val="-13"/>
          <w:sz w:val="20"/>
        </w:rPr>
        <w:t> </w:t>
      </w:r>
      <w:r>
        <w:rPr>
          <w:sz w:val="20"/>
        </w:rPr>
        <w:t>93</w:t>
      </w:r>
      <w:r>
        <w:rPr>
          <w:spacing w:val="-12"/>
          <w:sz w:val="20"/>
        </w:rPr>
        <w:t> </w:t>
      </w:r>
      <w:r>
        <w:rPr>
          <w:sz w:val="20"/>
        </w:rPr>
        <w:t>per</w:t>
      </w:r>
      <w:r>
        <w:rPr>
          <w:spacing w:val="-13"/>
          <w:sz w:val="20"/>
        </w:rPr>
        <w:t> </w:t>
      </w:r>
      <w:r>
        <w:rPr>
          <w:sz w:val="20"/>
        </w:rPr>
        <w:t>cent</w:t>
      </w:r>
      <w:r>
        <w:rPr>
          <w:spacing w:val="-11"/>
          <w:sz w:val="20"/>
        </w:rPr>
        <w:t> </w:t>
      </w:r>
      <w:r>
        <w:rPr>
          <w:sz w:val="20"/>
        </w:rPr>
        <w:t>since</w:t>
      </w:r>
      <w:r>
        <w:rPr>
          <w:spacing w:val="-11"/>
          <w:sz w:val="20"/>
        </w:rPr>
        <w:t> </w:t>
      </w:r>
      <w:r>
        <w:rPr>
          <w:sz w:val="20"/>
        </w:rPr>
        <w:t>2017.</w:t>
      </w:r>
      <w:r>
        <w:rPr>
          <w:spacing w:val="-11"/>
          <w:sz w:val="20"/>
        </w:rPr>
        <w:t> </w:t>
      </w:r>
      <w:r>
        <w:rPr>
          <w:sz w:val="20"/>
        </w:rPr>
        <w:t>This</w:t>
      </w:r>
      <w:r>
        <w:rPr>
          <w:spacing w:val="-14"/>
          <w:sz w:val="20"/>
        </w:rPr>
        <w:t> </w:t>
      </w:r>
      <w:r>
        <w:rPr>
          <w:sz w:val="20"/>
        </w:rPr>
        <w:t>trend</w:t>
      </w:r>
      <w:r>
        <w:rPr>
          <w:spacing w:val="-8"/>
          <w:sz w:val="20"/>
        </w:rPr>
        <w:t> </w:t>
      </w:r>
      <w:r>
        <w:rPr>
          <w:sz w:val="20"/>
        </w:rPr>
        <w:t>is</w:t>
      </w:r>
      <w:r>
        <w:rPr>
          <w:spacing w:val="-14"/>
          <w:sz w:val="20"/>
        </w:rPr>
        <w:t> </w:t>
      </w:r>
      <w:r>
        <w:rPr>
          <w:sz w:val="20"/>
        </w:rPr>
        <w:t>represented</w:t>
      </w:r>
      <w:r>
        <w:rPr>
          <w:spacing w:val="-8"/>
          <w:sz w:val="20"/>
        </w:rPr>
        <w:t> </w:t>
      </w:r>
      <w:r>
        <w:rPr>
          <w:sz w:val="20"/>
        </w:rPr>
        <w:t>graphically</w:t>
      </w:r>
      <w:r>
        <w:rPr>
          <w:spacing w:val="-13"/>
          <w:sz w:val="20"/>
        </w:rPr>
        <w:t> </w:t>
      </w:r>
      <w:r>
        <w:rPr>
          <w:sz w:val="20"/>
        </w:rPr>
        <w:t>in</w:t>
      </w:r>
      <w:r>
        <w:rPr>
          <w:spacing w:val="-12"/>
          <w:sz w:val="20"/>
        </w:rPr>
        <w:t> </w:t>
      </w:r>
      <w:r>
        <w:rPr>
          <w:sz w:val="20"/>
        </w:rPr>
        <w:t>Figure</w:t>
      </w:r>
      <w:r>
        <w:rPr>
          <w:spacing w:val="7"/>
          <w:sz w:val="20"/>
        </w:rPr>
        <w:t> </w:t>
      </w:r>
      <w:r>
        <w:rPr>
          <w:sz w:val="20"/>
        </w:rPr>
        <w:t>1</w:t>
      </w:r>
      <w:r>
        <w:rPr>
          <w:spacing w:val="-13"/>
          <w:sz w:val="20"/>
        </w:rPr>
        <w:t> </w:t>
      </w:r>
      <w:r>
        <w:rPr>
          <w:sz w:val="20"/>
        </w:rPr>
        <w:t>below.</w:t>
      </w:r>
    </w:p>
    <w:p>
      <w:pPr>
        <w:spacing w:after="0" w:line="240" w:lineRule="auto"/>
        <w:jc w:val="both"/>
        <w:rPr>
          <w:sz w:val="20"/>
        </w:rPr>
        <w:sectPr>
          <w:headerReference w:type="default" r:id="rId161"/>
          <w:headerReference w:type="even" r:id="rId162"/>
          <w:footerReference w:type="default" r:id="rId163"/>
          <w:footerReference w:type="even" r:id="rId164"/>
          <w:pgSz w:w="11910" w:h="16840"/>
          <w:pgMar w:header="953" w:footer="940" w:top="1140" w:bottom="1140" w:left="20" w:right="20"/>
          <w:pgNumType w:start="221"/>
        </w:sectPr>
      </w:pPr>
    </w:p>
    <w:p>
      <w:pPr>
        <w:pStyle w:val="Heading3"/>
        <w:spacing w:before="124"/>
        <w:ind w:left="3523" w:right="2195" w:hanging="1153"/>
      </w:pPr>
      <w:r>
        <w:rPr/>
        <w:t>Figure</w:t>
      </w:r>
      <w:r>
        <w:rPr>
          <w:spacing w:val="-2"/>
        </w:rPr>
        <w:t> </w:t>
      </w:r>
      <w:r>
        <w:rPr/>
        <w:t>1:</w:t>
      </w:r>
      <w:r>
        <w:rPr>
          <w:spacing w:val="-4"/>
        </w:rPr>
        <w:t> </w:t>
      </w:r>
      <w:r>
        <w:rPr/>
        <w:t>Percentage</w:t>
      </w:r>
      <w:r>
        <w:rPr>
          <w:spacing w:val="-2"/>
        </w:rPr>
        <w:t> </w:t>
      </w:r>
      <w:r>
        <w:rPr/>
        <w:t>of non-staff IT/IM</w:t>
      </w:r>
      <w:r>
        <w:rPr>
          <w:spacing w:val="-2"/>
        </w:rPr>
        <w:t> </w:t>
      </w:r>
      <w:r>
        <w:rPr/>
        <w:t>lights-on</w:t>
      </w:r>
      <w:r>
        <w:rPr>
          <w:spacing w:val="-5"/>
        </w:rPr>
        <w:t> </w:t>
      </w:r>
      <w:r>
        <w:rPr/>
        <w:t>costs</w:t>
      </w:r>
      <w:r>
        <w:rPr>
          <w:spacing w:val="-5"/>
        </w:rPr>
        <w:t> </w:t>
      </w:r>
      <w:r>
        <w:rPr/>
        <w:t>centralized in</w:t>
      </w:r>
      <w:r>
        <w:rPr>
          <w:spacing w:val="-5"/>
        </w:rPr>
        <w:t> </w:t>
      </w:r>
      <w:r>
        <w:rPr/>
        <w:t>IMSS</w:t>
      </w:r>
      <w:r>
        <w:rPr>
          <w:spacing w:val="-5"/>
        </w:rPr>
        <w:t> </w:t>
      </w:r>
      <w:r>
        <w:rPr/>
        <w:t>(dashed line) and centrally coordinated with OTP and DMS SAP</w:t>
      </w:r>
    </w:p>
    <w:p>
      <w:pPr>
        <w:pStyle w:val="BodyText"/>
        <w:spacing w:before="3"/>
        <w:rPr>
          <w:b/>
          <w:sz w:val="18"/>
        </w:rPr>
      </w:pPr>
      <w:r>
        <w:rPr/>
        <w:pict>
          <v:group style="position:absolute;margin-left:117.275002pt;margin-top:11.723789pt;width:360.75pt;height:216.75pt;mso-position-horizontal-relative:page;mso-position-vertical-relative:paragraph;z-index:-15669248;mso-wrap-distance-left:0;mso-wrap-distance-right:0" id="docshapegroup459" coordorigin="2346,234" coordsize="7215,4335">
            <v:shape style="position:absolute;left:3052;top:919;width:6281;height:3216" id="docshape460" coordorigin="3052,919" coordsize="6281,3216" path="m3950,919l3950,4135m4848,919l4848,4135m5746,919l5746,4135m6643,919l6643,4135m7541,919l7541,4135m8434,919l8434,4135m9333,919l9333,4135m3052,4135l3052,919m3052,4135l9333,4135e" filled="false" stroked="true" strokeweight=".75pt" strokecolor="#d9d9d9">
              <v:path arrowok="t"/>
              <v:stroke dashstyle="solid"/>
            </v:shape>
            <v:shape style="position:absolute;left:3501;top:1393;width:5384;height:306" id="docshape461" coordorigin="3501,1393" coordsize="5384,306" path="m3501,1699l4397,1397,5294,1407,6192,1455,7090,1393,7987,1613,8884,1402e" filled="false" stroked="true" strokeweight="1.75pt" strokecolor="#5f5f5f">
              <v:path arrowok="t"/>
              <v:stroke dashstyle="solid"/>
            </v:shape>
            <v:shape style="position:absolute;left:3437;top:1633;width:131;height:131" type="#_x0000_t75" id="docshape462" stroked="false">
              <v:imagedata r:id="rId165" o:title=""/>
            </v:shape>
            <v:shape style="position:absolute;left:4335;top:1336;width:131;height:131" type="#_x0000_t75" id="docshape463" stroked="false">
              <v:imagedata r:id="rId166" o:title=""/>
            </v:shape>
            <v:shape style="position:absolute;left:5232;top:1340;width:131;height:131" type="#_x0000_t75" id="docshape464" stroked="false">
              <v:imagedata r:id="rId167" o:title=""/>
            </v:shape>
            <v:shape style="position:absolute;left:6130;top:1393;width:131;height:131" type="#_x0000_t75" id="docshape465" stroked="false">
              <v:imagedata r:id="rId165" o:title=""/>
            </v:shape>
            <v:shape style="position:absolute;left:7027;top:1331;width:131;height:131" type="#_x0000_t75" id="docshape466" stroked="false">
              <v:imagedata r:id="rId166" o:title=""/>
            </v:shape>
            <v:shape style="position:absolute;left:7920;top:1547;width:131;height:131" type="#_x0000_t75" id="docshape467" stroked="false">
              <v:imagedata r:id="rId166" o:title=""/>
            </v:shape>
            <v:shape style="position:absolute;left:8818;top:1336;width:131;height:131" type="#_x0000_t75" id="docshape468" stroked="false">
              <v:imagedata r:id="rId166" o:title=""/>
            </v:shape>
            <v:shape style="position:absolute;left:3501;top:1144;width:5384;height:123" id="docshape469" coordorigin="3501,1145" coordsize="5384,123" path="m3501,1244l4397,1162,5294,1153,6192,1148,7090,1157,7987,1267,8884,1145e" filled="false" stroked="true" strokeweight="1.75pt" strokecolor="#b3b3b3">
              <v:path arrowok="t"/>
              <v:stroke dashstyle="solid"/>
            </v:shape>
            <v:rect style="position:absolute;left:3440;top:1180;width:116;height:116" id="docshape470" filled="true" fillcolor="#b3b3b3" stroked="false">
              <v:fill type="solid"/>
            </v:rect>
            <v:rect style="position:absolute;left:3440;top:1180;width:116;height:116" id="docshape471" filled="false" stroked="true" strokeweight=".75pt" strokecolor="#b3b3b3">
              <v:stroke dashstyle="solid"/>
            </v:rect>
            <v:rect style="position:absolute;left:4337;top:1098;width:116;height:116" id="docshape472" filled="true" fillcolor="#b3b3b3" stroked="false">
              <v:fill type="solid"/>
            </v:rect>
            <v:rect style="position:absolute;left:4337;top:1098;width:116;height:116" id="docshape473" filled="false" stroked="true" strokeweight=".75pt" strokecolor="#b3b3b3">
              <v:stroke dashstyle="solid"/>
            </v:rect>
            <v:rect style="position:absolute;left:5235;top:1089;width:116;height:116" id="docshape474" filled="true" fillcolor="#b3b3b3" stroked="false">
              <v:fill type="solid"/>
            </v:rect>
            <v:rect style="position:absolute;left:5235;top:1089;width:116;height:116" id="docshape475" filled="false" stroked="true" strokeweight=".75pt" strokecolor="#b3b3b3">
              <v:stroke dashstyle="solid"/>
            </v:rect>
            <v:rect style="position:absolute;left:6133;top:1084;width:116;height:116" id="docshape476" filled="true" fillcolor="#b3b3b3" stroked="false">
              <v:fill type="solid"/>
            </v:rect>
            <v:rect style="position:absolute;left:6133;top:1084;width:116;height:116" id="docshape477" filled="false" stroked="true" strokeweight=".75pt" strokecolor="#b3b3b3">
              <v:stroke dashstyle="solid"/>
            </v:rect>
            <v:rect style="position:absolute;left:7030;top:1098;width:116;height:116" id="docshape478" filled="true" fillcolor="#b3b3b3" stroked="false">
              <v:fill type="solid"/>
            </v:rect>
            <v:rect style="position:absolute;left:7030;top:1098;width:116;height:116" id="docshape479" filled="false" stroked="true" strokeweight=".75pt" strokecolor="#b3b3b3">
              <v:stroke dashstyle="solid"/>
            </v:rect>
            <v:rect style="position:absolute;left:7923;top:1204;width:116;height:116" id="docshape480" filled="true" fillcolor="#b3b3b3" stroked="false">
              <v:fill type="solid"/>
            </v:rect>
            <v:rect style="position:absolute;left:7923;top:1204;width:116;height:116" id="docshape481" filled="false" stroked="true" strokeweight=".75pt" strokecolor="#b3b3b3">
              <v:stroke dashstyle="solid"/>
            </v:rect>
            <v:rect style="position:absolute;left:8821;top:1084;width:116;height:116" id="docshape482" filled="true" fillcolor="#b3b3b3" stroked="false">
              <v:fill type="solid"/>
            </v:rect>
            <v:rect style="position:absolute;left:8821;top:1084;width:116;height:116" id="docshape483" filled="false" stroked="true" strokeweight=".75pt" strokecolor="#b3b3b3">
              <v:stroke dashstyle="solid"/>
            </v:rect>
            <v:shape style="position:absolute;left:4464;top:475;width:384;height:111" type="#_x0000_t75" id="docshape484" stroked="false">
              <v:imagedata r:id="rId168" o:title=""/>
            </v:shape>
            <v:line style="position:absolute" from="5503,531" to="5887,531" stroked="true" strokeweight="1.75pt" strokecolor="#b3b3b3">
              <v:stroke dashstyle="solid"/>
            </v:line>
            <v:rect style="position:absolute;left:5649;top:485;width:96;height:96" id="docshape485" filled="true" fillcolor="#b3b3b3" stroked="false">
              <v:fill type="solid"/>
            </v:rect>
            <v:rect style="position:absolute;left:5649;top:485;width:96;height:96" id="docshape486" filled="false" stroked="true" strokeweight=".75pt" strokecolor="#b3b3b3">
              <v:stroke dashstyle="solid"/>
            </v:rect>
            <v:rect style="position:absolute;left:2353;top:241;width:7200;height:4320" id="docshape487" filled="false" stroked="true" strokeweight=".75pt" strokecolor="#d9d9d9">
              <v:stroke dashstyle="solid"/>
            </v:rect>
            <v:shape style="position:absolute;left:4891;top:447;width:387;height:183" type="#_x0000_t202" id="docshape488" filled="false" stroked="false">
              <v:textbox inset="0,0,0,0">
                <w:txbxContent>
                  <w:p>
                    <w:pPr>
                      <w:spacing w:line="182" w:lineRule="exact" w:before="0"/>
                      <w:ind w:left="0" w:right="0" w:firstLine="0"/>
                      <w:jc w:val="left"/>
                      <w:rPr>
                        <w:rFonts w:ascii="Calibri"/>
                        <w:sz w:val="18"/>
                      </w:rPr>
                    </w:pPr>
                    <w:r>
                      <w:rPr>
                        <w:rFonts w:ascii="Calibri"/>
                        <w:color w:val="585858"/>
                        <w:spacing w:val="-4"/>
                        <w:sz w:val="18"/>
                      </w:rPr>
                      <w:t>IMSS</w:t>
                    </w:r>
                  </w:p>
                </w:txbxContent>
              </v:textbox>
              <w10:wrap type="none"/>
            </v:shape>
            <v:shape style="position:absolute;left:5930;top:447;width:1603;height:183" type="#_x0000_t202" id="docshape489" filled="false" stroked="false">
              <v:textbox inset="0,0,0,0">
                <w:txbxContent>
                  <w:p>
                    <w:pPr>
                      <w:spacing w:line="182" w:lineRule="exact" w:before="0"/>
                      <w:ind w:left="0" w:right="0" w:firstLine="0"/>
                      <w:jc w:val="left"/>
                      <w:rPr>
                        <w:rFonts w:ascii="Calibri"/>
                        <w:sz w:val="18"/>
                      </w:rPr>
                    </w:pPr>
                    <w:r>
                      <w:rPr>
                        <w:rFonts w:ascii="Calibri"/>
                        <w:color w:val="585858"/>
                        <w:sz w:val="18"/>
                      </w:rPr>
                      <w:t>Centrally</w:t>
                    </w:r>
                    <w:r>
                      <w:rPr>
                        <w:rFonts w:ascii="Calibri"/>
                        <w:color w:val="585858"/>
                        <w:spacing w:val="-5"/>
                        <w:sz w:val="18"/>
                      </w:rPr>
                      <w:t> </w:t>
                    </w:r>
                    <w:r>
                      <w:rPr>
                        <w:rFonts w:ascii="Calibri"/>
                        <w:color w:val="585858"/>
                        <w:spacing w:val="-2"/>
                        <w:sz w:val="18"/>
                      </w:rPr>
                      <w:t>coordinated</w:t>
                    </w:r>
                  </w:p>
                </w:txbxContent>
              </v:textbox>
              <w10:wrap type="none"/>
            </v:shape>
            <v:shape style="position:absolute;left:2484;top:836;width:423;height:3400" type="#_x0000_t202" id="docshape490" filled="false" stroked="false">
              <v:textbox inset="0,0,0,0">
                <w:txbxContent>
                  <w:p>
                    <w:pPr>
                      <w:spacing w:line="185" w:lineRule="exact" w:before="0"/>
                      <w:ind w:left="0" w:right="0" w:firstLine="0"/>
                      <w:jc w:val="left"/>
                      <w:rPr>
                        <w:rFonts w:ascii="Calibri"/>
                        <w:sz w:val="18"/>
                      </w:rPr>
                    </w:pPr>
                    <w:r>
                      <w:rPr>
                        <w:rFonts w:ascii="Calibri"/>
                        <w:color w:val="585858"/>
                        <w:spacing w:val="-4"/>
                        <w:sz w:val="18"/>
                      </w:rPr>
                      <w:t>100%</w:t>
                    </w:r>
                  </w:p>
                  <w:p>
                    <w:pPr>
                      <w:spacing w:before="102"/>
                      <w:ind w:left="91" w:right="0" w:firstLine="0"/>
                      <w:jc w:val="left"/>
                      <w:rPr>
                        <w:rFonts w:ascii="Calibri"/>
                        <w:sz w:val="18"/>
                      </w:rPr>
                    </w:pPr>
                    <w:r>
                      <w:rPr>
                        <w:rFonts w:ascii="Calibri"/>
                        <w:color w:val="585858"/>
                        <w:spacing w:val="-5"/>
                        <w:sz w:val="18"/>
                      </w:rPr>
                      <w:t>90%</w:t>
                    </w:r>
                  </w:p>
                  <w:p>
                    <w:pPr>
                      <w:spacing w:before="102"/>
                      <w:ind w:left="91" w:right="0" w:firstLine="0"/>
                      <w:jc w:val="left"/>
                      <w:rPr>
                        <w:rFonts w:ascii="Calibri"/>
                        <w:sz w:val="18"/>
                      </w:rPr>
                    </w:pPr>
                    <w:r>
                      <w:rPr>
                        <w:rFonts w:ascii="Calibri"/>
                        <w:color w:val="585858"/>
                        <w:spacing w:val="-5"/>
                        <w:sz w:val="18"/>
                      </w:rPr>
                      <w:t>80%</w:t>
                    </w:r>
                  </w:p>
                  <w:p>
                    <w:pPr>
                      <w:spacing w:before="102"/>
                      <w:ind w:left="91" w:right="0" w:firstLine="0"/>
                      <w:jc w:val="left"/>
                      <w:rPr>
                        <w:rFonts w:ascii="Calibri"/>
                        <w:sz w:val="18"/>
                      </w:rPr>
                    </w:pPr>
                    <w:r>
                      <w:rPr>
                        <w:rFonts w:ascii="Calibri"/>
                        <w:color w:val="585858"/>
                        <w:spacing w:val="-5"/>
                        <w:sz w:val="18"/>
                      </w:rPr>
                      <w:t>70%</w:t>
                    </w:r>
                  </w:p>
                  <w:p>
                    <w:pPr>
                      <w:spacing w:before="102"/>
                      <w:ind w:left="91" w:right="0" w:firstLine="0"/>
                      <w:jc w:val="left"/>
                      <w:rPr>
                        <w:rFonts w:ascii="Calibri"/>
                        <w:sz w:val="18"/>
                      </w:rPr>
                    </w:pPr>
                    <w:r>
                      <w:rPr>
                        <w:rFonts w:ascii="Calibri"/>
                        <w:color w:val="585858"/>
                        <w:spacing w:val="-5"/>
                        <w:sz w:val="18"/>
                      </w:rPr>
                      <w:t>60%</w:t>
                    </w:r>
                  </w:p>
                  <w:p>
                    <w:pPr>
                      <w:spacing w:before="102"/>
                      <w:ind w:left="91" w:right="0" w:firstLine="0"/>
                      <w:jc w:val="left"/>
                      <w:rPr>
                        <w:rFonts w:ascii="Calibri"/>
                        <w:sz w:val="18"/>
                      </w:rPr>
                    </w:pPr>
                    <w:r>
                      <w:rPr>
                        <w:rFonts w:ascii="Calibri"/>
                        <w:color w:val="585858"/>
                        <w:spacing w:val="-5"/>
                        <w:sz w:val="18"/>
                      </w:rPr>
                      <w:t>50%</w:t>
                    </w:r>
                  </w:p>
                  <w:p>
                    <w:pPr>
                      <w:spacing w:before="102"/>
                      <w:ind w:left="91" w:right="0" w:firstLine="0"/>
                      <w:jc w:val="left"/>
                      <w:rPr>
                        <w:rFonts w:ascii="Calibri"/>
                        <w:sz w:val="18"/>
                      </w:rPr>
                    </w:pPr>
                    <w:r>
                      <w:rPr>
                        <w:rFonts w:ascii="Calibri"/>
                        <w:color w:val="585858"/>
                        <w:spacing w:val="-5"/>
                        <w:sz w:val="18"/>
                      </w:rPr>
                      <w:t>40%</w:t>
                    </w:r>
                  </w:p>
                  <w:p>
                    <w:pPr>
                      <w:spacing w:before="101"/>
                      <w:ind w:left="91" w:right="0" w:firstLine="0"/>
                      <w:jc w:val="left"/>
                      <w:rPr>
                        <w:rFonts w:ascii="Calibri"/>
                        <w:sz w:val="18"/>
                      </w:rPr>
                    </w:pPr>
                    <w:r>
                      <w:rPr>
                        <w:rFonts w:ascii="Calibri"/>
                        <w:color w:val="585858"/>
                        <w:spacing w:val="-5"/>
                        <w:sz w:val="18"/>
                      </w:rPr>
                      <w:t>30%</w:t>
                    </w:r>
                  </w:p>
                  <w:p>
                    <w:pPr>
                      <w:spacing w:before="102"/>
                      <w:ind w:left="91" w:right="0" w:firstLine="0"/>
                      <w:jc w:val="left"/>
                      <w:rPr>
                        <w:rFonts w:ascii="Calibri"/>
                        <w:sz w:val="18"/>
                      </w:rPr>
                    </w:pPr>
                    <w:r>
                      <w:rPr>
                        <w:rFonts w:ascii="Calibri"/>
                        <w:color w:val="585858"/>
                        <w:spacing w:val="-5"/>
                        <w:sz w:val="18"/>
                      </w:rPr>
                      <w:t>20%</w:t>
                    </w:r>
                  </w:p>
                  <w:p>
                    <w:pPr>
                      <w:spacing w:before="102"/>
                      <w:ind w:left="91" w:right="0" w:firstLine="0"/>
                      <w:jc w:val="left"/>
                      <w:rPr>
                        <w:rFonts w:ascii="Calibri"/>
                        <w:sz w:val="18"/>
                      </w:rPr>
                    </w:pPr>
                    <w:r>
                      <w:rPr>
                        <w:rFonts w:ascii="Calibri"/>
                        <w:color w:val="585858"/>
                        <w:spacing w:val="-5"/>
                        <w:sz w:val="18"/>
                      </w:rPr>
                      <w:t>10%</w:t>
                    </w:r>
                  </w:p>
                  <w:p>
                    <w:pPr>
                      <w:spacing w:line="217" w:lineRule="exact" w:before="102"/>
                      <w:ind w:left="182" w:right="0" w:firstLine="0"/>
                      <w:jc w:val="left"/>
                      <w:rPr>
                        <w:rFonts w:ascii="Calibri"/>
                        <w:sz w:val="18"/>
                      </w:rPr>
                    </w:pPr>
                    <w:r>
                      <w:rPr>
                        <w:rFonts w:ascii="Calibri"/>
                        <w:color w:val="585858"/>
                        <w:spacing w:val="-5"/>
                        <w:sz w:val="18"/>
                      </w:rPr>
                      <w:t>0%</w:t>
                    </w:r>
                  </w:p>
                </w:txbxContent>
              </v:textbox>
              <w10:wrap type="none"/>
            </v:shape>
            <v:shape style="position:absolute;left:3289;top:4273;width:443;height:159" type="#_x0000_t202" id="docshape491" filled="false" stroked="false">
              <v:textbox inset="0,0,0,0">
                <w:txbxContent>
                  <w:p>
                    <w:pPr>
                      <w:spacing w:line="158" w:lineRule="exact" w:before="0"/>
                      <w:ind w:left="0" w:right="0" w:firstLine="0"/>
                      <w:jc w:val="left"/>
                      <w:rPr>
                        <w:rFonts w:ascii="Calibri"/>
                        <w:sz w:val="16"/>
                      </w:rPr>
                    </w:pPr>
                    <w:r>
                      <w:rPr>
                        <w:rFonts w:ascii="Calibri"/>
                        <w:color w:val="585858"/>
                        <w:spacing w:val="14"/>
                        <w:sz w:val="16"/>
                      </w:rPr>
                      <w:t>2017 </w:t>
                    </w:r>
                  </w:p>
                </w:txbxContent>
              </v:textbox>
              <w10:wrap type="none"/>
            </v:shape>
            <v:shape style="position:absolute;left:4186;top:4273;width:443;height:159" type="#_x0000_t202" id="docshape492" filled="false" stroked="false">
              <v:textbox inset="0,0,0,0">
                <w:txbxContent>
                  <w:p>
                    <w:pPr>
                      <w:spacing w:line="158" w:lineRule="exact" w:before="0"/>
                      <w:ind w:left="0" w:right="0" w:firstLine="0"/>
                      <w:jc w:val="left"/>
                      <w:rPr>
                        <w:rFonts w:ascii="Calibri"/>
                        <w:sz w:val="16"/>
                      </w:rPr>
                    </w:pPr>
                    <w:r>
                      <w:rPr>
                        <w:rFonts w:ascii="Calibri"/>
                        <w:color w:val="585858"/>
                        <w:spacing w:val="14"/>
                        <w:sz w:val="16"/>
                      </w:rPr>
                      <w:t>2018 </w:t>
                    </w:r>
                  </w:p>
                </w:txbxContent>
              </v:textbox>
              <w10:wrap type="none"/>
            </v:shape>
            <v:shape style="position:absolute;left:5084;top:4273;width:443;height:159" type="#_x0000_t202" id="docshape493" filled="false" stroked="false">
              <v:textbox inset="0,0,0,0">
                <w:txbxContent>
                  <w:p>
                    <w:pPr>
                      <w:spacing w:line="158" w:lineRule="exact" w:before="0"/>
                      <w:ind w:left="0" w:right="0" w:firstLine="0"/>
                      <w:jc w:val="left"/>
                      <w:rPr>
                        <w:rFonts w:ascii="Calibri"/>
                        <w:sz w:val="16"/>
                      </w:rPr>
                    </w:pPr>
                    <w:r>
                      <w:rPr>
                        <w:rFonts w:ascii="Calibri"/>
                        <w:color w:val="585858"/>
                        <w:spacing w:val="14"/>
                        <w:sz w:val="16"/>
                      </w:rPr>
                      <w:t>2019 </w:t>
                    </w:r>
                  </w:p>
                </w:txbxContent>
              </v:textbox>
              <w10:wrap type="none"/>
            </v:shape>
            <v:shape style="position:absolute;left:5981;top:4273;width:443;height:159" type="#_x0000_t202" id="docshape494" filled="false" stroked="false">
              <v:textbox inset="0,0,0,0">
                <w:txbxContent>
                  <w:p>
                    <w:pPr>
                      <w:spacing w:line="158" w:lineRule="exact" w:before="0"/>
                      <w:ind w:left="0" w:right="0" w:firstLine="0"/>
                      <w:jc w:val="left"/>
                      <w:rPr>
                        <w:rFonts w:ascii="Calibri"/>
                        <w:sz w:val="16"/>
                      </w:rPr>
                    </w:pPr>
                    <w:r>
                      <w:rPr>
                        <w:rFonts w:ascii="Calibri"/>
                        <w:color w:val="585858"/>
                        <w:spacing w:val="14"/>
                        <w:sz w:val="16"/>
                      </w:rPr>
                      <w:t>2020 </w:t>
                    </w:r>
                  </w:p>
                </w:txbxContent>
              </v:textbox>
              <w10:wrap type="none"/>
            </v:shape>
            <v:shape style="position:absolute;left:6879;top:4273;width:443;height:159" type="#_x0000_t202" id="docshape495" filled="false" stroked="false">
              <v:textbox inset="0,0,0,0">
                <w:txbxContent>
                  <w:p>
                    <w:pPr>
                      <w:spacing w:line="158" w:lineRule="exact" w:before="0"/>
                      <w:ind w:left="0" w:right="0" w:firstLine="0"/>
                      <w:jc w:val="left"/>
                      <w:rPr>
                        <w:rFonts w:ascii="Calibri"/>
                        <w:sz w:val="16"/>
                      </w:rPr>
                    </w:pPr>
                    <w:r>
                      <w:rPr>
                        <w:rFonts w:ascii="Calibri"/>
                        <w:color w:val="585858"/>
                        <w:spacing w:val="14"/>
                        <w:sz w:val="16"/>
                      </w:rPr>
                      <w:t>2021 </w:t>
                    </w:r>
                  </w:p>
                </w:txbxContent>
              </v:textbox>
              <w10:wrap type="none"/>
            </v:shape>
            <v:shape style="position:absolute;left:7777;top:4273;width:443;height:159" type="#_x0000_t202" id="docshape496" filled="false" stroked="false">
              <v:textbox inset="0,0,0,0">
                <w:txbxContent>
                  <w:p>
                    <w:pPr>
                      <w:spacing w:line="158" w:lineRule="exact" w:before="0"/>
                      <w:ind w:left="0" w:right="0" w:firstLine="0"/>
                      <w:jc w:val="left"/>
                      <w:rPr>
                        <w:rFonts w:ascii="Calibri"/>
                        <w:sz w:val="16"/>
                      </w:rPr>
                    </w:pPr>
                    <w:r>
                      <w:rPr>
                        <w:rFonts w:ascii="Calibri"/>
                        <w:color w:val="585858"/>
                        <w:spacing w:val="14"/>
                        <w:sz w:val="16"/>
                      </w:rPr>
                      <w:t>2022 </w:t>
                    </w:r>
                  </w:p>
                </w:txbxContent>
              </v:textbox>
              <w10:wrap type="none"/>
            </v:shape>
            <v:shape style="position:absolute;left:8674;top:4273;width:443;height:159" type="#_x0000_t202" id="docshape497" filled="false" stroked="false">
              <v:textbox inset="0,0,0,0">
                <w:txbxContent>
                  <w:p>
                    <w:pPr>
                      <w:spacing w:line="158" w:lineRule="exact" w:before="0"/>
                      <w:ind w:left="0" w:right="0" w:firstLine="0"/>
                      <w:jc w:val="left"/>
                      <w:rPr>
                        <w:rFonts w:ascii="Calibri"/>
                        <w:sz w:val="16"/>
                      </w:rPr>
                    </w:pPr>
                    <w:r>
                      <w:rPr>
                        <w:rFonts w:ascii="Calibri"/>
                        <w:color w:val="585858"/>
                        <w:spacing w:val="14"/>
                        <w:sz w:val="16"/>
                      </w:rPr>
                      <w:t>2023 </w:t>
                    </w:r>
                  </w:p>
                </w:txbxContent>
              </v:textbox>
              <w10:wrap type="none"/>
            </v:shape>
            <w10:wrap type="topAndBottom"/>
          </v:group>
        </w:pict>
      </w:r>
    </w:p>
    <w:p>
      <w:pPr>
        <w:pStyle w:val="BodyText"/>
        <w:spacing w:before="3"/>
        <w:rPr>
          <w:b/>
        </w:rPr>
      </w:pPr>
    </w:p>
    <w:p>
      <w:pPr>
        <w:pStyle w:val="ListParagraph"/>
        <w:numPr>
          <w:ilvl w:val="0"/>
          <w:numId w:val="128"/>
        </w:numPr>
        <w:tabs>
          <w:tab w:pos="2967" w:val="left" w:leader="none"/>
        </w:tabs>
        <w:spacing w:line="240" w:lineRule="auto" w:before="0" w:after="0"/>
        <w:ind w:left="2246" w:right="2242" w:firstLine="0"/>
        <w:jc w:val="both"/>
        <w:rPr>
          <w:sz w:val="20"/>
        </w:rPr>
      </w:pPr>
      <w:r>
        <w:rPr>
          <w:sz w:val="20"/>
        </w:rPr>
        <w:t>The remaining 7 per cent of IT/IM expenditure that is not coordinated between IMSS,</w:t>
      </w:r>
      <w:r>
        <w:rPr>
          <w:spacing w:val="-1"/>
          <w:sz w:val="20"/>
        </w:rPr>
        <w:t> </w:t>
      </w:r>
      <w:r>
        <w:rPr>
          <w:sz w:val="20"/>
        </w:rPr>
        <w:t>OTP</w:t>
      </w:r>
      <w:r>
        <w:rPr>
          <w:spacing w:val="-10"/>
          <w:sz w:val="20"/>
        </w:rPr>
        <w:t> </w:t>
      </w:r>
      <w:r>
        <w:rPr>
          <w:sz w:val="20"/>
        </w:rPr>
        <w:t>and</w:t>
      </w:r>
      <w:r>
        <w:rPr>
          <w:spacing w:val="-8"/>
          <w:sz w:val="20"/>
        </w:rPr>
        <w:t> </w:t>
      </w:r>
      <w:r>
        <w:rPr>
          <w:sz w:val="20"/>
        </w:rPr>
        <w:t>the</w:t>
      </w:r>
      <w:r>
        <w:rPr>
          <w:spacing w:val="-7"/>
          <w:sz w:val="20"/>
        </w:rPr>
        <w:t> </w:t>
      </w:r>
      <w:r>
        <w:rPr>
          <w:sz w:val="20"/>
        </w:rPr>
        <w:t>DMS</w:t>
      </w:r>
      <w:r>
        <w:rPr>
          <w:spacing w:val="-5"/>
          <w:sz w:val="20"/>
        </w:rPr>
        <w:t> </w:t>
      </w:r>
      <w:r>
        <w:rPr>
          <w:sz w:val="20"/>
        </w:rPr>
        <w:t>SAP</w:t>
      </w:r>
      <w:r>
        <w:rPr>
          <w:spacing w:val="-10"/>
          <w:sz w:val="20"/>
        </w:rPr>
        <w:t> </w:t>
      </w:r>
      <w:r>
        <w:rPr>
          <w:sz w:val="20"/>
        </w:rPr>
        <w:t>team</w:t>
      </w:r>
      <w:r>
        <w:rPr>
          <w:spacing w:val="-7"/>
          <w:sz w:val="20"/>
        </w:rPr>
        <w:t> </w:t>
      </w:r>
      <w:r>
        <w:rPr>
          <w:sz w:val="20"/>
        </w:rPr>
        <w:t>belongs</w:t>
      </w:r>
      <w:r>
        <w:rPr>
          <w:spacing w:val="-10"/>
          <w:sz w:val="20"/>
        </w:rPr>
        <w:t> </w:t>
      </w:r>
      <w:r>
        <w:rPr>
          <w:sz w:val="20"/>
        </w:rPr>
        <w:t>to</w:t>
      </w:r>
      <w:r>
        <w:rPr>
          <w:spacing w:val="-8"/>
          <w:sz w:val="20"/>
        </w:rPr>
        <w:t> </w:t>
      </w:r>
      <w:r>
        <w:rPr>
          <w:sz w:val="20"/>
        </w:rPr>
        <w:t>two</w:t>
      </w:r>
      <w:r>
        <w:rPr>
          <w:spacing w:val="-8"/>
          <w:sz w:val="20"/>
        </w:rPr>
        <w:t> </w:t>
      </w:r>
      <w:r>
        <w:rPr>
          <w:sz w:val="20"/>
        </w:rPr>
        <w:t>main</w:t>
      </w:r>
      <w:r>
        <w:rPr>
          <w:spacing w:val="-13"/>
          <w:sz w:val="20"/>
        </w:rPr>
        <w:t> </w:t>
      </w:r>
      <w:r>
        <w:rPr>
          <w:sz w:val="20"/>
        </w:rPr>
        <w:t>categories,</w:t>
      </w:r>
      <w:r>
        <w:rPr>
          <w:spacing w:val="-5"/>
          <w:sz w:val="20"/>
        </w:rPr>
        <w:t> </w:t>
      </w:r>
      <w:r>
        <w:rPr>
          <w:sz w:val="20"/>
        </w:rPr>
        <w:t>but</w:t>
      </w:r>
      <w:r>
        <w:rPr>
          <w:spacing w:val="-12"/>
          <w:sz w:val="20"/>
        </w:rPr>
        <w:t> </w:t>
      </w:r>
      <w:r>
        <w:rPr>
          <w:sz w:val="20"/>
        </w:rPr>
        <w:t>the</w:t>
      </w:r>
      <w:r>
        <w:rPr>
          <w:spacing w:val="-6"/>
          <w:sz w:val="20"/>
        </w:rPr>
        <w:t> </w:t>
      </w:r>
      <w:r>
        <w:rPr>
          <w:sz w:val="20"/>
        </w:rPr>
        <w:t>trend</w:t>
      </w:r>
      <w:r>
        <w:rPr>
          <w:spacing w:val="-8"/>
          <w:sz w:val="20"/>
        </w:rPr>
        <w:t> </w:t>
      </w:r>
      <w:r>
        <w:rPr>
          <w:sz w:val="20"/>
        </w:rPr>
        <w:t>both</w:t>
      </w:r>
      <w:r>
        <w:rPr>
          <w:spacing w:val="-13"/>
          <w:sz w:val="20"/>
        </w:rPr>
        <w:t> </w:t>
      </w:r>
      <w:r>
        <w:rPr>
          <w:sz w:val="20"/>
        </w:rPr>
        <w:t>in</w:t>
      </w:r>
      <w:r>
        <w:rPr>
          <w:spacing w:val="-7"/>
          <w:sz w:val="20"/>
        </w:rPr>
        <w:t> </w:t>
      </w:r>
      <w:r>
        <w:rPr>
          <w:sz w:val="20"/>
        </w:rPr>
        <w:t>the volume and nature of expenditure has remained consistent since 2017. The first category consists of IT/IM equipment and supplies purchased locally for use by country offices and specialized</w:t>
      </w:r>
      <w:r>
        <w:rPr>
          <w:spacing w:val="-9"/>
          <w:sz w:val="20"/>
        </w:rPr>
        <w:t> </w:t>
      </w:r>
      <w:r>
        <w:rPr>
          <w:sz w:val="20"/>
        </w:rPr>
        <w:t>equipment</w:t>
      </w:r>
      <w:r>
        <w:rPr>
          <w:spacing w:val="-9"/>
          <w:sz w:val="20"/>
        </w:rPr>
        <w:t> </w:t>
      </w:r>
      <w:r>
        <w:rPr>
          <w:sz w:val="20"/>
        </w:rPr>
        <w:t>and</w:t>
      </w:r>
      <w:r>
        <w:rPr>
          <w:spacing w:val="-9"/>
          <w:sz w:val="20"/>
        </w:rPr>
        <w:t> </w:t>
      </w:r>
      <w:r>
        <w:rPr>
          <w:sz w:val="20"/>
        </w:rPr>
        <w:t>supplies</w:t>
      </w:r>
      <w:r>
        <w:rPr>
          <w:spacing w:val="-7"/>
          <w:sz w:val="20"/>
        </w:rPr>
        <w:t> </w:t>
      </w:r>
      <w:r>
        <w:rPr>
          <w:sz w:val="20"/>
        </w:rPr>
        <w:t>specific</w:t>
      </w:r>
      <w:r>
        <w:rPr>
          <w:spacing w:val="-9"/>
          <w:sz w:val="20"/>
        </w:rPr>
        <w:t> </w:t>
      </w:r>
      <w:r>
        <w:rPr>
          <w:sz w:val="20"/>
        </w:rPr>
        <w:t>to</w:t>
      </w:r>
      <w:r>
        <w:rPr>
          <w:spacing w:val="-9"/>
          <w:sz w:val="20"/>
        </w:rPr>
        <w:t> </w:t>
      </w:r>
      <w:r>
        <w:rPr>
          <w:sz w:val="20"/>
        </w:rPr>
        <w:t>services</w:t>
      </w:r>
      <w:r>
        <w:rPr>
          <w:spacing w:val="-11"/>
          <w:sz w:val="20"/>
        </w:rPr>
        <w:t> </w:t>
      </w:r>
      <w:r>
        <w:rPr>
          <w:sz w:val="20"/>
        </w:rPr>
        <w:t>not</w:t>
      </w:r>
      <w:r>
        <w:rPr>
          <w:spacing w:val="-2"/>
          <w:sz w:val="20"/>
        </w:rPr>
        <w:t> </w:t>
      </w:r>
      <w:r>
        <w:rPr>
          <w:sz w:val="20"/>
        </w:rPr>
        <w:t>supported</w:t>
      </w:r>
      <w:r>
        <w:rPr>
          <w:spacing w:val="-9"/>
          <w:sz w:val="20"/>
        </w:rPr>
        <w:t> </w:t>
      </w:r>
      <w:r>
        <w:rPr>
          <w:sz w:val="20"/>
        </w:rPr>
        <w:t>centrally</w:t>
      </w:r>
      <w:r>
        <w:rPr>
          <w:spacing w:val="-9"/>
          <w:sz w:val="20"/>
        </w:rPr>
        <w:t> </w:t>
      </w:r>
      <w:r>
        <w:rPr>
          <w:sz w:val="20"/>
        </w:rPr>
        <w:t>by</w:t>
      </w:r>
      <w:r>
        <w:rPr>
          <w:spacing w:val="-9"/>
          <w:sz w:val="20"/>
        </w:rPr>
        <w:t> </w:t>
      </w:r>
      <w:r>
        <w:rPr>
          <w:sz w:val="20"/>
        </w:rPr>
        <w:t>IMSS.</w:t>
      </w:r>
      <w:r>
        <w:rPr>
          <w:spacing w:val="-8"/>
          <w:sz w:val="20"/>
        </w:rPr>
        <w:t> </w:t>
      </w:r>
      <w:r>
        <w:rPr>
          <w:sz w:val="20"/>
        </w:rPr>
        <w:t>For example,</w:t>
      </w:r>
      <w:r>
        <w:rPr>
          <w:spacing w:val="-3"/>
          <w:sz w:val="20"/>
        </w:rPr>
        <w:t> </w:t>
      </w:r>
      <w:r>
        <w:rPr>
          <w:sz w:val="20"/>
        </w:rPr>
        <w:t>the Audio-Visual Production Unit</w:t>
      </w:r>
      <w:r>
        <w:rPr>
          <w:spacing w:val="-3"/>
          <w:sz w:val="20"/>
        </w:rPr>
        <w:t> </w:t>
      </w:r>
      <w:r>
        <w:rPr>
          <w:sz w:val="20"/>
        </w:rPr>
        <w:t>in</w:t>
      </w:r>
      <w:r>
        <w:rPr>
          <w:spacing w:val="-1"/>
          <w:sz w:val="20"/>
        </w:rPr>
        <w:t> </w:t>
      </w:r>
      <w:r>
        <w:rPr>
          <w:sz w:val="20"/>
        </w:rPr>
        <w:t>the Public Information</w:t>
      </w:r>
      <w:r>
        <w:rPr>
          <w:spacing w:val="-1"/>
          <w:sz w:val="20"/>
        </w:rPr>
        <w:t> </w:t>
      </w:r>
      <w:r>
        <w:rPr>
          <w:sz w:val="20"/>
        </w:rPr>
        <w:t>and</w:t>
      </w:r>
      <w:r>
        <w:rPr>
          <w:spacing w:val="-1"/>
          <w:sz w:val="20"/>
        </w:rPr>
        <w:t> </w:t>
      </w:r>
      <w:r>
        <w:rPr>
          <w:sz w:val="20"/>
        </w:rPr>
        <w:t>Outreach</w:t>
      </w:r>
      <w:r>
        <w:rPr>
          <w:spacing w:val="-1"/>
          <w:sz w:val="20"/>
        </w:rPr>
        <w:t> </w:t>
      </w:r>
      <w:r>
        <w:rPr>
          <w:sz w:val="20"/>
        </w:rPr>
        <w:t>Section (PIOS)</w:t>
      </w:r>
      <w:r>
        <w:rPr>
          <w:spacing w:val="-9"/>
          <w:sz w:val="20"/>
        </w:rPr>
        <w:t> </w:t>
      </w:r>
      <w:r>
        <w:rPr>
          <w:sz w:val="20"/>
        </w:rPr>
        <w:t>uses</w:t>
      </w:r>
      <w:r>
        <w:rPr>
          <w:spacing w:val="-12"/>
          <w:sz w:val="20"/>
        </w:rPr>
        <w:t> </w:t>
      </w:r>
      <w:r>
        <w:rPr>
          <w:sz w:val="20"/>
        </w:rPr>
        <w:t>Mac</w:t>
      </w:r>
      <w:r>
        <w:rPr>
          <w:spacing w:val="-9"/>
          <w:sz w:val="20"/>
        </w:rPr>
        <w:t> </w:t>
      </w:r>
      <w:r>
        <w:rPr>
          <w:sz w:val="20"/>
        </w:rPr>
        <w:t>OS,</w:t>
      </w:r>
      <w:r>
        <w:rPr>
          <w:spacing w:val="-8"/>
          <w:sz w:val="20"/>
        </w:rPr>
        <w:t> </w:t>
      </w:r>
      <w:r>
        <w:rPr>
          <w:sz w:val="20"/>
        </w:rPr>
        <w:t>the</w:t>
      </w:r>
      <w:r>
        <w:rPr>
          <w:spacing w:val="-9"/>
          <w:sz w:val="20"/>
        </w:rPr>
        <w:t> </w:t>
      </w:r>
      <w:r>
        <w:rPr>
          <w:sz w:val="20"/>
        </w:rPr>
        <w:t>industry</w:t>
      </w:r>
      <w:r>
        <w:rPr>
          <w:spacing w:val="-10"/>
          <w:sz w:val="20"/>
        </w:rPr>
        <w:t> </w:t>
      </w:r>
      <w:r>
        <w:rPr>
          <w:sz w:val="20"/>
        </w:rPr>
        <w:t>standard</w:t>
      </w:r>
      <w:r>
        <w:rPr>
          <w:spacing w:val="-13"/>
          <w:sz w:val="20"/>
        </w:rPr>
        <w:t> </w:t>
      </w:r>
      <w:r>
        <w:rPr>
          <w:sz w:val="20"/>
        </w:rPr>
        <w:t>for</w:t>
      </w:r>
      <w:r>
        <w:rPr>
          <w:spacing w:val="-10"/>
          <w:sz w:val="20"/>
        </w:rPr>
        <w:t> </w:t>
      </w:r>
      <w:r>
        <w:rPr>
          <w:sz w:val="20"/>
        </w:rPr>
        <w:t>audiovisual</w:t>
      </w:r>
      <w:r>
        <w:rPr>
          <w:spacing w:val="-9"/>
          <w:sz w:val="20"/>
        </w:rPr>
        <w:t> </w:t>
      </w:r>
      <w:r>
        <w:rPr>
          <w:sz w:val="20"/>
        </w:rPr>
        <w:t>production.</w:t>
      </w:r>
      <w:r>
        <w:rPr>
          <w:spacing w:val="-8"/>
          <w:sz w:val="20"/>
        </w:rPr>
        <w:t> </w:t>
      </w:r>
      <w:r>
        <w:rPr>
          <w:sz w:val="20"/>
        </w:rPr>
        <w:t>Compatible</w:t>
      </w:r>
      <w:r>
        <w:rPr>
          <w:spacing w:val="-13"/>
          <w:sz w:val="20"/>
        </w:rPr>
        <w:t> </w:t>
      </w:r>
      <w:r>
        <w:rPr>
          <w:sz w:val="20"/>
        </w:rPr>
        <w:t>hardware and software are purchased</w:t>
      </w:r>
      <w:r>
        <w:rPr>
          <w:spacing w:val="-5"/>
          <w:sz w:val="20"/>
        </w:rPr>
        <w:t> </w:t>
      </w:r>
      <w:r>
        <w:rPr>
          <w:sz w:val="20"/>
        </w:rPr>
        <w:t>and</w:t>
      </w:r>
      <w:r>
        <w:rPr>
          <w:spacing w:val="-5"/>
          <w:sz w:val="20"/>
        </w:rPr>
        <w:t> </w:t>
      </w:r>
      <w:r>
        <w:rPr>
          <w:sz w:val="20"/>
        </w:rPr>
        <w:t>managed by PIOS</w:t>
      </w:r>
      <w:r>
        <w:rPr>
          <w:spacing w:val="-6"/>
          <w:sz w:val="20"/>
        </w:rPr>
        <w:t> </w:t>
      </w:r>
      <w:r>
        <w:rPr>
          <w:sz w:val="20"/>
        </w:rPr>
        <w:t>throughout the equipment</w:t>
      </w:r>
      <w:r>
        <w:rPr>
          <w:spacing w:val="-3"/>
          <w:sz w:val="20"/>
        </w:rPr>
        <w:t> </w:t>
      </w:r>
      <w:r>
        <w:rPr>
          <w:sz w:val="20"/>
        </w:rPr>
        <w:t>life cycle. The second</w:t>
      </w:r>
      <w:r>
        <w:rPr>
          <w:spacing w:val="-8"/>
          <w:sz w:val="20"/>
        </w:rPr>
        <w:t> </w:t>
      </w:r>
      <w:r>
        <w:rPr>
          <w:sz w:val="20"/>
        </w:rPr>
        <w:t>category</w:t>
      </w:r>
      <w:r>
        <w:rPr>
          <w:spacing w:val="-8"/>
          <w:sz w:val="20"/>
        </w:rPr>
        <w:t> </w:t>
      </w:r>
      <w:r>
        <w:rPr>
          <w:sz w:val="20"/>
        </w:rPr>
        <w:t>concerns</w:t>
      </w:r>
      <w:r>
        <w:rPr>
          <w:spacing w:val="-5"/>
          <w:sz w:val="20"/>
        </w:rPr>
        <w:t> </w:t>
      </w:r>
      <w:r>
        <w:rPr>
          <w:sz w:val="20"/>
        </w:rPr>
        <w:t>subscriptions</w:t>
      </w:r>
      <w:r>
        <w:rPr>
          <w:spacing w:val="-5"/>
          <w:sz w:val="20"/>
        </w:rPr>
        <w:t> </w:t>
      </w:r>
      <w:r>
        <w:rPr>
          <w:sz w:val="20"/>
        </w:rPr>
        <w:t>to</w:t>
      </w:r>
      <w:r>
        <w:rPr>
          <w:spacing w:val="-8"/>
          <w:sz w:val="20"/>
        </w:rPr>
        <w:t> </w:t>
      </w:r>
      <w:r>
        <w:rPr>
          <w:sz w:val="20"/>
        </w:rPr>
        <w:t>software</w:t>
      </w:r>
      <w:r>
        <w:rPr>
          <w:spacing w:val="-7"/>
          <w:sz w:val="20"/>
        </w:rPr>
        <w:t> </w:t>
      </w:r>
      <w:r>
        <w:rPr>
          <w:sz w:val="20"/>
        </w:rPr>
        <w:t>services</w:t>
      </w:r>
      <w:r>
        <w:rPr>
          <w:spacing w:val="-10"/>
          <w:sz w:val="20"/>
        </w:rPr>
        <w:t> </w:t>
      </w:r>
      <w:r>
        <w:rPr>
          <w:sz w:val="20"/>
        </w:rPr>
        <w:t>that</w:t>
      </w:r>
      <w:r>
        <w:rPr>
          <w:spacing w:val="-7"/>
          <w:sz w:val="20"/>
        </w:rPr>
        <w:t> </w:t>
      </w:r>
      <w:r>
        <w:rPr>
          <w:sz w:val="20"/>
        </w:rPr>
        <w:t>are</w:t>
      </w:r>
      <w:r>
        <w:rPr>
          <w:spacing w:val="-7"/>
          <w:sz w:val="20"/>
        </w:rPr>
        <w:t> </w:t>
      </w:r>
      <w:r>
        <w:rPr>
          <w:sz w:val="20"/>
        </w:rPr>
        <w:t>embedded</w:t>
      </w:r>
      <w:r>
        <w:rPr>
          <w:spacing w:val="-8"/>
          <w:sz w:val="20"/>
        </w:rPr>
        <w:t> </w:t>
      </w:r>
      <w:r>
        <w:rPr>
          <w:sz w:val="20"/>
        </w:rPr>
        <w:t>in</w:t>
      </w:r>
      <w:r>
        <w:rPr>
          <w:spacing w:val="-8"/>
          <w:sz w:val="20"/>
        </w:rPr>
        <w:t> </w:t>
      </w:r>
      <w:r>
        <w:rPr>
          <w:sz w:val="20"/>
        </w:rPr>
        <w:t>a</w:t>
      </w:r>
      <w:r>
        <w:rPr>
          <w:spacing w:val="-2"/>
          <w:sz w:val="20"/>
        </w:rPr>
        <w:t> </w:t>
      </w:r>
      <w:r>
        <w:rPr>
          <w:sz w:val="20"/>
        </w:rPr>
        <w:t>section’s operations and do not require any infrastructure support from IMSS and thus remain under that</w:t>
      </w:r>
      <w:r>
        <w:rPr>
          <w:spacing w:val="-3"/>
          <w:sz w:val="20"/>
        </w:rPr>
        <w:t> </w:t>
      </w:r>
      <w:r>
        <w:rPr>
          <w:sz w:val="20"/>
        </w:rPr>
        <w:t>section’s</w:t>
      </w:r>
      <w:r>
        <w:rPr>
          <w:spacing w:val="-6"/>
          <w:sz w:val="20"/>
        </w:rPr>
        <w:t> </w:t>
      </w:r>
      <w:r>
        <w:rPr>
          <w:sz w:val="20"/>
        </w:rPr>
        <w:t>annual</w:t>
      </w:r>
      <w:r>
        <w:rPr>
          <w:spacing w:val="-8"/>
          <w:sz w:val="20"/>
        </w:rPr>
        <w:t> </w:t>
      </w:r>
      <w:r>
        <w:rPr>
          <w:sz w:val="20"/>
        </w:rPr>
        <w:t>operating</w:t>
      </w:r>
      <w:r>
        <w:rPr>
          <w:spacing w:val="-5"/>
          <w:sz w:val="20"/>
        </w:rPr>
        <w:t> </w:t>
      </w:r>
      <w:r>
        <w:rPr>
          <w:sz w:val="20"/>
        </w:rPr>
        <w:t>budget.</w:t>
      </w:r>
      <w:r>
        <w:rPr>
          <w:spacing w:val="-7"/>
          <w:sz w:val="20"/>
        </w:rPr>
        <w:t> </w:t>
      </w:r>
      <w:r>
        <w:rPr>
          <w:sz w:val="20"/>
        </w:rPr>
        <w:t>Two</w:t>
      </w:r>
      <w:r>
        <w:rPr>
          <w:spacing w:val="-5"/>
          <w:sz w:val="20"/>
        </w:rPr>
        <w:t> </w:t>
      </w:r>
      <w:r>
        <w:rPr>
          <w:sz w:val="20"/>
        </w:rPr>
        <w:t>notable</w:t>
      </w:r>
      <w:r>
        <w:rPr>
          <w:spacing w:val="-3"/>
          <w:sz w:val="20"/>
        </w:rPr>
        <w:t> </w:t>
      </w:r>
      <w:r>
        <w:rPr>
          <w:sz w:val="20"/>
        </w:rPr>
        <w:t>examples</w:t>
      </w:r>
      <w:r>
        <w:rPr>
          <w:spacing w:val="-1"/>
          <w:sz w:val="20"/>
        </w:rPr>
        <w:t> </w:t>
      </w:r>
      <w:r>
        <w:rPr>
          <w:sz w:val="20"/>
        </w:rPr>
        <w:t>of</w:t>
      </w:r>
      <w:r>
        <w:rPr>
          <w:spacing w:val="-5"/>
          <w:sz w:val="20"/>
        </w:rPr>
        <w:t> </w:t>
      </w:r>
      <w:r>
        <w:rPr>
          <w:sz w:val="20"/>
        </w:rPr>
        <w:t>such</w:t>
      </w:r>
      <w:r>
        <w:rPr>
          <w:spacing w:val="-5"/>
          <w:sz w:val="20"/>
        </w:rPr>
        <w:t> </w:t>
      </w:r>
      <w:r>
        <w:rPr>
          <w:sz w:val="20"/>
        </w:rPr>
        <w:t>solutions</w:t>
      </w:r>
      <w:r>
        <w:rPr>
          <w:spacing w:val="-6"/>
          <w:sz w:val="20"/>
        </w:rPr>
        <w:t> </w:t>
      </w:r>
      <w:r>
        <w:rPr>
          <w:sz w:val="20"/>
        </w:rPr>
        <w:t>are</w:t>
      </w:r>
      <w:r>
        <w:rPr>
          <w:spacing w:val="-3"/>
          <w:sz w:val="20"/>
        </w:rPr>
        <w:t> </w:t>
      </w:r>
      <w:r>
        <w:rPr>
          <w:sz w:val="20"/>
        </w:rPr>
        <w:t>the</w:t>
      </w:r>
      <w:r>
        <w:rPr>
          <w:spacing w:val="-3"/>
          <w:sz w:val="20"/>
        </w:rPr>
        <w:t> </w:t>
      </w:r>
      <w:r>
        <w:rPr>
          <w:sz w:val="20"/>
        </w:rPr>
        <w:t>mass notification system used by the Security and Safety Section to keep staff informed in the event of an emergency and the SuccessFactors platform used for recruitment and performance management. These services are better supported by the sections that operate them; therefore, the costs are decentralized in accordance with a hybrid operating model. Further centralization would require additional IMSS resources to manage the services, including procurement and contract management. Thus the hybrid operating model is more efficient and cost effective.</w:t>
      </w:r>
    </w:p>
    <w:p>
      <w:pPr>
        <w:spacing w:after="0" w:line="240" w:lineRule="auto"/>
        <w:jc w:val="both"/>
        <w:rPr>
          <w:sz w:val="20"/>
        </w:rPr>
        <w:sectPr>
          <w:pgSz w:w="11910" w:h="16840"/>
          <w:pgMar w:header="953" w:footer="940" w:top="1140" w:bottom="1140" w:left="20" w:right="20"/>
        </w:sectPr>
      </w:pPr>
    </w:p>
    <w:p>
      <w:pPr>
        <w:pStyle w:val="Heading1"/>
        <w:spacing w:before="120"/>
      </w:pPr>
      <w:r>
        <w:rPr/>
        <w:t>Annex</w:t>
      </w:r>
      <w:r>
        <w:rPr>
          <w:spacing w:val="-9"/>
        </w:rPr>
        <w:t> </w:t>
      </w:r>
      <w:r>
        <w:rPr>
          <w:spacing w:val="-10"/>
        </w:rPr>
        <w:t>X</w:t>
      </w:r>
    </w:p>
    <w:p>
      <w:pPr>
        <w:spacing w:line="240" w:lineRule="auto" w:before="0"/>
        <w:rPr>
          <w:b/>
          <w:sz w:val="30"/>
        </w:rPr>
      </w:pPr>
      <w:r>
        <w:rPr/>
        <w:br w:type="column"/>
      </w:r>
      <w:r>
        <w:rPr>
          <w:b/>
          <w:sz w:val="30"/>
        </w:rPr>
      </w:r>
    </w:p>
    <w:p>
      <w:pPr>
        <w:pStyle w:val="BodyText"/>
        <w:spacing w:before="8"/>
        <w:rPr>
          <w:b/>
          <w:sz w:val="29"/>
        </w:rPr>
      </w:pPr>
    </w:p>
    <w:p>
      <w:pPr>
        <w:pStyle w:val="Heading1"/>
        <w:spacing w:before="0"/>
        <w:ind w:left="201"/>
      </w:pPr>
      <w:bookmarkStart w:name="_bookmark86" w:id="87"/>
      <w:bookmarkEnd w:id="87"/>
      <w:r>
        <w:rPr>
          <w:b w:val="0"/>
        </w:rPr>
      </w:r>
      <w:r>
        <w:rPr/>
        <w:t>2023</w:t>
      </w:r>
      <w:r>
        <w:rPr>
          <w:spacing w:val="-9"/>
        </w:rPr>
        <w:t> </w:t>
      </w:r>
      <w:r>
        <w:rPr/>
        <w:t>Proposed</w:t>
      </w:r>
      <w:r>
        <w:rPr>
          <w:spacing w:val="-10"/>
        </w:rPr>
        <w:t> </w:t>
      </w:r>
      <w:r>
        <w:rPr/>
        <w:t>Programme</w:t>
      </w:r>
      <w:r>
        <w:rPr>
          <w:spacing w:val="-8"/>
        </w:rPr>
        <w:t> </w:t>
      </w:r>
      <w:r>
        <w:rPr/>
        <w:t>Budget</w:t>
      </w:r>
      <w:r>
        <w:rPr>
          <w:spacing w:val="-9"/>
        </w:rPr>
        <w:t> </w:t>
      </w:r>
      <w:r>
        <w:rPr>
          <w:spacing w:val="-2"/>
        </w:rPr>
        <w:t>baseline</w:t>
      </w:r>
    </w:p>
    <w:p>
      <w:pPr>
        <w:pStyle w:val="BodyText"/>
        <w:tabs>
          <w:tab w:pos="1642" w:val="left" w:leader="none"/>
        </w:tabs>
        <w:spacing w:line="259" w:lineRule="auto" w:before="266"/>
        <w:ind w:left="768" w:right="2241" w:firstLine="67"/>
        <w:jc w:val="both"/>
      </w:pPr>
      <w:r>
        <w:rPr>
          <w:spacing w:val="-6"/>
        </w:rPr>
        <w:t>1.</w:t>
      </w:r>
      <w:r>
        <w:rPr/>
        <w:tab/>
        <w:t>In line with the recommendation of the Committee,</w:t>
      </w:r>
      <w:r>
        <w:rPr>
          <w:vertAlign w:val="superscript"/>
        </w:rPr>
        <w:t>155</w:t>
      </w:r>
      <w:r>
        <w:rPr>
          <w:vertAlign w:val="baseline"/>
        </w:rPr>
        <w:t> the Court presents below a table showing the budget allocated in 2022 compared to the</w:t>
      </w:r>
      <w:r>
        <w:rPr>
          <w:spacing w:val="-2"/>
          <w:vertAlign w:val="baseline"/>
        </w:rPr>
        <w:t> </w:t>
      </w:r>
      <w:r>
        <w:rPr>
          <w:vertAlign w:val="baseline"/>
        </w:rPr>
        <w:t>2023 Proposed Programme Budget. The purpose of the table is to compare baseline</w:t>
      </w:r>
      <w:r>
        <w:rPr>
          <w:spacing w:val="-3"/>
          <w:vertAlign w:val="baseline"/>
        </w:rPr>
        <w:t> </w:t>
      </w:r>
      <w:r>
        <w:rPr>
          <w:vertAlign w:val="baseline"/>
        </w:rPr>
        <w:t>resources</w:t>
      </w:r>
      <w:r>
        <w:rPr>
          <w:spacing w:val="-1"/>
          <w:vertAlign w:val="baseline"/>
        </w:rPr>
        <w:t> </w:t>
      </w:r>
      <w:r>
        <w:rPr>
          <w:vertAlign w:val="baseline"/>
        </w:rPr>
        <w:t>between</w:t>
      </w:r>
      <w:r>
        <w:rPr>
          <w:spacing w:val="-1"/>
          <w:vertAlign w:val="baseline"/>
        </w:rPr>
        <w:t> </w:t>
      </w:r>
      <w:r>
        <w:rPr>
          <w:vertAlign w:val="baseline"/>
        </w:rPr>
        <w:t>2022</w:t>
      </w:r>
      <w:r>
        <w:rPr>
          <w:spacing w:val="-5"/>
          <w:vertAlign w:val="baseline"/>
        </w:rPr>
        <w:t> </w:t>
      </w:r>
      <w:r>
        <w:rPr>
          <w:vertAlign w:val="baseline"/>
        </w:rPr>
        <w:t>and</w:t>
      </w:r>
      <w:r>
        <w:rPr>
          <w:spacing w:val="-5"/>
          <w:vertAlign w:val="baseline"/>
        </w:rPr>
        <w:t> </w:t>
      </w:r>
      <w:r>
        <w:rPr>
          <w:vertAlign w:val="baseline"/>
        </w:rPr>
        <w:t>2023.</w:t>
      </w:r>
      <w:r>
        <w:rPr>
          <w:spacing w:val="-2"/>
          <w:vertAlign w:val="baseline"/>
        </w:rPr>
        <w:t> </w:t>
      </w:r>
      <w:r>
        <w:rPr>
          <w:vertAlign w:val="baseline"/>
        </w:rPr>
        <w:t>The</w:t>
      </w:r>
      <w:r>
        <w:rPr>
          <w:spacing w:val="-3"/>
          <w:vertAlign w:val="baseline"/>
        </w:rPr>
        <w:t> </w:t>
      </w:r>
      <w:r>
        <w:rPr>
          <w:vertAlign w:val="baseline"/>
        </w:rPr>
        <w:t>first columns</w:t>
      </w:r>
      <w:r>
        <w:rPr>
          <w:spacing w:val="-1"/>
          <w:vertAlign w:val="baseline"/>
        </w:rPr>
        <w:t> </w:t>
      </w:r>
      <w:r>
        <w:rPr>
          <w:vertAlign w:val="baseline"/>
        </w:rPr>
        <w:t>total the 2022 Approved Programme Budget and 2022 Contingency Fund notifications</w:t>
      </w:r>
      <w:r>
        <w:rPr>
          <w:spacing w:val="-1"/>
          <w:vertAlign w:val="baseline"/>
        </w:rPr>
        <w:t> </w:t>
      </w:r>
      <w:r>
        <w:rPr>
          <w:vertAlign w:val="baseline"/>
        </w:rPr>
        <w:t>to date and the impact of the United Nations Common System increase, which is an additional cost to the Court’s 2022 approved budget baseline. The resulting figure is decreased by Court-wide savings and efficiencies</w:t>
      </w:r>
      <w:r>
        <w:rPr>
          <w:spacing w:val="-13"/>
          <w:vertAlign w:val="baseline"/>
        </w:rPr>
        <w:t> </w:t>
      </w:r>
      <w:r>
        <w:rPr>
          <w:vertAlign w:val="baseline"/>
        </w:rPr>
        <w:t>reducing</w:t>
      </w:r>
      <w:r>
        <w:rPr>
          <w:spacing w:val="-12"/>
          <w:vertAlign w:val="baseline"/>
        </w:rPr>
        <w:t> </w:t>
      </w:r>
      <w:r>
        <w:rPr>
          <w:vertAlign w:val="baseline"/>
        </w:rPr>
        <w:t>the</w:t>
      </w:r>
      <w:r>
        <w:rPr>
          <w:spacing w:val="-13"/>
          <w:vertAlign w:val="baseline"/>
        </w:rPr>
        <w:t> </w:t>
      </w:r>
      <w:r>
        <w:rPr>
          <w:vertAlign w:val="baseline"/>
        </w:rPr>
        <w:t>baseline</w:t>
      </w:r>
      <w:r>
        <w:rPr>
          <w:spacing w:val="-12"/>
          <w:vertAlign w:val="baseline"/>
        </w:rPr>
        <w:t> </w:t>
      </w:r>
      <w:r>
        <w:rPr>
          <w:vertAlign w:val="baseline"/>
        </w:rPr>
        <w:t>that</w:t>
      </w:r>
      <w:r>
        <w:rPr>
          <w:spacing w:val="-13"/>
          <w:vertAlign w:val="baseline"/>
        </w:rPr>
        <w:t> </w:t>
      </w:r>
      <w:r>
        <w:rPr>
          <w:vertAlign w:val="baseline"/>
        </w:rPr>
        <w:t>has</w:t>
      </w:r>
      <w:r>
        <w:rPr>
          <w:spacing w:val="-12"/>
          <w:vertAlign w:val="baseline"/>
        </w:rPr>
        <w:t> </w:t>
      </w:r>
      <w:r>
        <w:rPr>
          <w:vertAlign w:val="baseline"/>
        </w:rPr>
        <w:t>been</w:t>
      </w:r>
      <w:r>
        <w:rPr>
          <w:spacing w:val="-11"/>
          <w:vertAlign w:val="baseline"/>
        </w:rPr>
        <w:t> </w:t>
      </w:r>
      <w:r>
        <w:rPr>
          <w:vertAlign w:val="baseline"/>
        </w:rPr>
        <w:t>identified</w:t>
      </w:r>
      <w:r>
        <w:rPr>
          <w:spacing w:val="-13"/>
          <w:vertAlign w:val="baseline"/>
        </w:rPr>
        <w:t> </w:t>
      </w:r>
      <w:r>
        <w:rPr>
          <w:vertAlign w:val="baseline"/>
        </w:rPr>
        <w:t>in</w:t>
      </w:r>
      <w:r>
        <w:rPr>
          <w:spacing w:val="-9"/>
          <w:vertAlign w:val="baseline"/>
        </w:rPr>
        <w:t> </w:t>
      </w:r>
      <w:r>
        <w:rPr>
          <w:vertAlign w:val="baseline"/>
        </w:rPr>
        <w:t>Annex</w:t>
      </w:r>
      <w:r>
        <w:rPr>
          <w:spacing w:val="-13"/>
          <w:vertAlign w:val="baseline"/>
        </w:rPr>
        <w:t> </w:t>
      </w:r>
      <w:r>
        <w:rPr>
          <w:vertAlign w:val="baseline"/>
        </w:rPr>
        <w:t>XVI.</w:t>
      </w:r>
      <w:r>
        <w:rPr>
          <w:spacing w:val="-12"/>
          <w:vertAlign w:val="baseline"/>
        </w:rPr>
        <w:t> </w:t>
      </w:r>
      <w:r>
        <w:rPr>
          <w:vertAlign w:val="baseline"/>
        </w:rPr>
        <w:t>The total 2022 baseline is compared to the 2023 Proposed Programme Budget, and the variance between the two shows an overall increase in the baseline requirement of €24.1 million.</w:t>
      </w:r>
    </w:p>
    <w:p>
      <w:pPr>
        <w:spacing w:after="0" w:line="259" w:lineRule="auto"/>
        <w:jc w:val="both"/>
        <w:sectPr>
          <w:headerReference w:type="default" r:id="rId169"/>
          <w:headerReference w:type="even" r:id="rId170"/>
          <w:footerReference w:type="default" r:id="rId171"/>
          <w:footerReference w:type="even" r:id="rId172"/>
          <w:pgSz w:w="11910" w:h="16840"/>
          <w:pgMar w:header="957" w:footer="940" w:top="1140" w:bottom="1140" w:left="20" w:right="20"/>
          <w:pgNumType w:start="223"/>
          <w:cols w:num="2" w:equalWidth="0">
            <w:col w:w="2726" w:space="40"/>
            <w:col w:w="9104"/>
          </w:cols>
        </w:sectPr>
      </w:pPr>
    </w:p>
    <w:p>
      <w:pPr>
        <w:pStyle w:val="BodyText"/>
      </w:pPr>
    </w:p>
    <w:p>
      <w:pPr>
        <w:pStyle w:val="BodyText"/>
        <w:spacing w:before="5" w:after="1"/>
        <w:rPr>
          <w:sz w:val="18"/>
        </w:rPr>
      </w:pPr>
    </w:p>
    <w:tbl>
      <w:tblPr>
        <w:tblW w:w="0" w:type="auto"/>
        <w:jc w:val="left"/>
        <w:tblInd w:w="7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33"/>
        <w:gridCol w:w="795"/>
        <w:gridCol w:w="980"/>
        <w:gridCol w:w="861"/>
        <w:gridCol w:w="699"/>
        <w:gridCol w:w="685"/>
        <w:gridCol w:w="1079"/>
        <w:gridCol w:w="781"/>
        <w:gridCol w:w="796"/>
        <w:gridCol w:w="871"/>
      </w:tblGrid>
      <w:tr>
        <w:trPr>
          <w:trHeight w:val="882" w:hRule="atLeast"/>
        </w:trPr>
        <w:tc>
          <w:tcPr>
            <w:tcW w:w="2833" w:type="dxa"/>
            <w:tcBorders>
              <w:top w:val="single" w:sz="4" w:space="0" w:color="000000"/>
            </w:tcBorders>
          </w:tcPr>
          <w:p>
            <w:pPr>
              <w:pStyle w:val="TableParagraph"/>
              <w:jc w:val="left"/>
              <w:rPr>
                <w:sz w:val="14"/>
              </w:rPr>
            </w:pPr>
          </w:p>
        </w:tc>
        <w:tc>
          <w:tcPr>
            <w:tcW w:w="795" w:type="dxa"/>
            <w:tcBorders>
              <w:top w:val="single" w:sz="4" w:space="0" w:color="000000"/>
            </w:tcBorders>
          </w:tcPr>
          <w:p>
            <w:pPr>
              <w:pStyle w:val="TableParagraph"/>
              <w:jc w:val="left"/>
              <w:rPr>
                <w:sz w:val="14"/>
              </w:rPr>
            </w:pPr>
          </w:p>
          <w:p>
            <w:pPr>
              <w:pStyle w:val="TableParagraph"/>
              <w:jc w:val="left"/>
              <w:rPr>
                <w:sz w:val="12"/>
              </w:rPr>
            </w:pPr>
          </w:p>
          <w:p>
            <w:pPr>
              <w:pStyle w:val="TableParagraph"/>
              <w:spacing w:line="235" w:lineRule="auto"/>
              <w:ind w:left="407" w:right="98" w:firstLine="9"/>
              <w:jc w:val="left"/>
              <w:rPr>
                <w:sz w:val="14"/>
              </w:rPr>
            </w:pPr>
            <w:r>
              <w:rPr>
                <w:spacing w:val="-4"/>
                <w:sz w:val="14"/>
              </w:rPr>
              <w:t>APB</w:t>
            </w:r>
            <w:r>
              <w:rPr>
                <w:spacing w:val="40"/>
                <w:sz w:val="14"/>
              </w:rPr>
              <w:t> </w:t>
            </w:r>
            <w:r>
              <w:rPr>
                <w:spacing w:val="-4"/>
                <w:sz w:val="14"/>
              </w:rPr>
              <w:t>2022</w:t>
            </w:r>
          </w:p>
        </w:tc>
        <w:tc>
          <w:tcPr>
            <w:tcW w:w="980" w:type="dxa"/>
            <w:tcBorders>
              <w:top w:val="single" w:sz="4" w:space="0" w:color="000000"/>
            </w:tcBorders>
          </w:tcPr>
          <w:p>
            <w:pPr>
              <w:pStyle w:val="TableParagraph"/>
              <w:spacing w:before="6"/>
              <w:jc w:val="left"/>
              <w:rPr>
                <w:sz w:val="11"/>
              </w:rPr>
            </w:pPr>
          </w:p>
          <w:p>
            <w:pPr>
              <w:pStyle w:val="TableParagraph"/>
              <w:ind w:left="107" w:right="105" w:firstLine="158"/>
              <w:rPr>
                <w:sz w:val="14"/>
              </w:rPr>
            </w:pPr>
            <w:r>
              <w:rPr>
                <w:spacing w:val="-2"/>
                <w:sz w:val="14"/>
              </w:rPr>
              <w:t>Additional</w:t>
            </w:r>
            <w:r>
              <w:rPr>
                <w:spacing w:val="40"/>
                <w:sz w:val="14"/>
              </w:rPr>
              <w:t> </w:t>
            </w:r>
            <w:r>
              <w:rPr>
                <w:spacing w:val="-2"/>
                <w:sz w:val="14"/>
              </w:rPr>
              <w:t>resources</w:t>
            </w:r>
            <w:r>
              <w:rPr>
                <w:spacing w:val="40"/>
                <w:sz w:val="14"/>
              </w:rPr>
              <w:t> </w:t>
            </w:r>
            <w:r>
              <w:rPr>
                <w:spacing w:val="-2"/>
                <w:sz w:val="14"/>
              </w:rPr>
              <w:t>(Contingency</w:t>
            </w:r>
          </w:p>
          <w:p>
            <w:pPr>
              <w:pStyle w:val="TableParagraph"/>
              <w:spacing w:before="3"/>
              <w:ind w:right="104"/>
              <w:rPr>
                <w:sz w:val="14"/>
              </w:rPr>
            </w:pPr>
            <w:r>
              <w:rPr>
                <w:spacing w:val="-2"/>
                <w:sz w:val="14"/>
              </w:rPr>
              <w:t>Fund)</w:t>
            </w:r>
          </w:p>
        </w:tc>
        <w:tc>
          <w:tcPr>
            <w:tcW w:w="861" w:type="dxa"/>
            <w:tcBorders>
              <w:top w:val="single" w:sz="4" w:space="0" w:color="000000"/>
            </w:tcBorders>
          </w:tcPr>
          <w:p>
            <w:pPr>
              <w:pStyle w:val="TableParagraph"/>
              <w:spacing w:before="8"/>
              <w:jc w:val="left"/>
              <w:rPr>
                <w:sz w:val="18"/>
              </w:rPr>
            </w:pPr>
          </w:p>
          <w:p>
            <w:pPr>
              <w:pStyle w:val="TableParagraph"/>
              <w:spacing w:line="160" w:lineRule="exact"/>
              <w:ind w:right="117"/>
              <w:rPr>
                <w:sz w:val="14"/>
              </w:rPr>
            </w:pPr>
            <w:r>
              <w:rPr>
                <w:spacing w:val="-2"/>
                <w:sz w:val="14"/>
              </w:rPr>
              <w:t>Reductions</w:t>
            </w:r>
          </w:p>
          <w:p>
            <w:pPr>
              <w:pStyle w:val="TableParagraph"/>
              <w:spacing w:line="242" w:lineRule="auto"/>
              <w:ind w:left="275" w:right="123" w:firstLine="144"/>
              <w:rPr>
                <w:sz w:val="14"/>
              </w:rPr>
            </w:pPr>
            <w:r>
              <w:rPr>
                <w:sz w:val="14"/>
              </w:rPr>
              <w:t>to</w:t>
            </w:r>
            <w:r>
              <w:rPr>
                <w:spacing w:val="-9"/>
                <w:sz w:val="14"/>
              </w:rPr>
              <w:t> </w:t>
            </w:r>
            <w:r>
              <w:rPr>
                <w:sz w:val="14"/>
              </w:rPr>
              <w:t>the</w:t>
            </w:r>
            <w:r>
              <w:rPr>
                <w:spacing w:val="40"/>
                <w:sz w:val="14"/>
              </w:rPr>
              <w:t> </w:t>
            </w:r>
            <w:r>
              <w:rPr>
                <w:spacing w:val="-2"/>
                <w:sz w:val="14"/>
              </w:rPr>
              <w:t>baseline</w:t>
            </w:r>
          </w:p>
        </w:tc>
        <w:tc>
          <w:tcPr>
            <w:tcW w:w="699" w:type="dxa"/>
            <w:tcBorders>
              <w:top w:val="single" w:sz="4" w:space="0" w:color="000000"/>
            </w:tcBorders>
          </w:tcPr>
          <w:p>
            <w:pPr>
              <w:pStyle w:val="TableParagraph"/>
              <w:jc w:val="left"/>
              <w:rPr>
                <w:sz w:val="14"/>
              </w:rPr>
            </w:pPr>
          </w:p>
          <w:p>
            <w:pPr>
              <w:pStyle w:val="TableParagraph"/>
              <w:spacing w:before="9"/>
              <w:jc w:val="left"/>
              <w:rPr>
                <w:sz w:val="11"/>
              </w:rPr>
            </w:pPr>
          </w:p>
          <w:p>
            <w:pPr>
              <w:pStyle w:val="TableParagraph"/>
              <w:spacing w:line="160" w:lineRule="exact"/>
              <w:ind w:left="201"/>
              <w:jc w:val="left"/>
              <w:rPr>
                <w:sz w:val="14"/>
              </w:rPr>
            </w:pPr>
            <w:r>
              <w:rPr>
                <w:spacing w:val="-4"/>
                <w:sz w:val="14"/>
              </w:rPr>
              <w:t>UNCS</w:t>
            </w:r>
          </w:p>
          <w:p>
            <w:pPr>
              <w:pStyle w:val="TableParagraph"/>
              <w:spacing w:line="160" w:lineRule="exact"/>
              <w:ind w:left="120"/>
              <w:jc w:val="left"/>
              <w:rPr>
                <w:sz w:val="14"/>
              </w:rPr>
            </w:pPr>
            <w:r>
              <w:rPr>
                <w:spacing w:val="-2"/>
                <w:sz w:val="14"/>
              </w:rPr>
              <w:t>changes</w:t>
            </w:r>
          </w:p>
        </w:tc>
        <w:tc>
          <w:tcPr>
            <w:tcW w:w="685" w:type="dxa"/>
            <w:tcBorders>
              <w:top w:val="single" w:sz="4" w:space="0" w:color="000000"/>
            </w:tcBorders>
          </w:tcPr>
          <w:p>
            <w:pPr>
              <w:pStyle w:val="TableParagraph"/>
              <w:jc w:val="left"/>
              <w:rPr>
                <w:sz w:val="14"/>
              </w:rPr>
            </w:pPr>
          </w:p>
          <w:p>
            <w:pPr>
              <w:pStyle w:val="TableParagraph"/>
              <w:spacing w:before="9"/>
              <w:jc w:val="left"/>
              <w:rPr>
                <w:sz w:val="11"/>
              </w:rPr>
            </w:pPr>
          </w:p>
          <w:p>
            <w:pPr>
              <w:pStyle w:val="TableParagraph"/>
              <w:spacing w:line="160" w:lineRule="exact"/>
              <w:ind w:left="381"/>
              <w:jc w:val="left"/>
              <w:rPr>
                <w:sz w:val="14"/>
              </w:rPr>
            </w:pPr>
            <w:r>
              <w:rPr>
                <w:spacing w:val="-5"/>
                <w:sz w:val="14"/>
              </w:rPr>
              <w:t>VR</w:t>
            </w:r>
          </w:p>
          <w:p>
            <w:pPr>
              <w:pStyle w:val="TableParagraph"/>
              <w:spacing w:line="160" w:lineRule="exact"/>
              <w:ind w:left="122"/>
              <w:jc w:val="left"/>
              <w:rPr>
                <w:sz w:val="14"/>
              </w:rPr>
            </w:pPr>
            <w:r>
              <w:rPr>
                <w:spacing w:val="-2"/>
                <w:sz w:val="14"/>
              </w:rPr>
              <w:t>changes</w:t>
            </w:r>
          </w:p>
        </w:tc>
        <w:tc>
          <w:tcPr>
            <w:tcW w:w="1079" w:type="dxa"/>
            <w:tcBorders>
              <w:top w:val="single" w:sz="4" w:space="0" w:color="000000"/>
            </w:tcBorders>
          </w:tcPr>
          <w:p>
            <w:pPr>
              <w:pStyle w:val="TableParagraph"/>
              <w:jc w:val="left"/>
              <w:rPr>
                <w:sz w:val="14"/>
              </w:rPr>
            </w:pPr>
          </w:p>
          <w:p>
            <w:pPr>
              <w:pStyle w:val="TableParagraph"/>
              <w:spacing w:before="5"/>
              <w:jc w:val="left"/>
              <w:rPr>
                <w:sz w:val="18"/>
              </w:rPr>
            </w:pPr>
          </w:p>
          <w:p>
            <w:pPr>
              <w:pStyle w:val="TableParagraph"/>
              <w:ind w:right="109"/>
              <w:rPr>
                <w:sz w:val="14"/>
              </w:rPr>
            </w:pPr>
            <w:r>
              <w:rPr>
                <w:spacing w:val="-2"/>
                <w:sz w:val="14"/>
              </w:rPr>
              <w:t>Baseline</w:t>
            </w:r>
          </w:p>
        </w:tc>
        <w:tc>
          <w:tcPr>
            <w:tcW w:w="781" w:type="dxa"/>
            <w:tcBorders>
              <w:top w:val="single" w:sz="4" w:space="0" w:color="000000"/>
            </w:tcBorders>
          </w:tcPr>
          <w:p>
            <w:pPr>
              <w:pStyle w:val="TableParagraph"/>
              <w:jc w:val="left"/>
              <w:rPr>
                <w:sz w:val="14"/>
              </w:rPr>
            </w:pPr>
          </w:p>
          <w:p>
            <w:pPr>
              <w:pStyle w:val="TableParagraph"/>
              <w:spacing w:before="9"/>
              <w:jc w:val="left"/>
              <w:rPr>
                <w:sz w:val="11"/>
              </w:rPr>
            </w:pPr>
          </w:p>
          <w:p>
            <w:pPr>
              <w:pStyle w:val="TableParagraph"/>
              <w:spacing w:line="160" w:lineRule="exact"/>
              <w:ind w:left="384"/>
              <w:jc w:val="left"/>
              <w:rPr>
                <w:sz w:val="14"/>
              </w:rPr>
            </w:pPr>
            <w:r>
              <w:rPr>
                <w:spacing w:val="-4"/>
                <w:sz w:val="14"/>
              </w:rPr>
              <w:t>2023</w:t>
            </w:r>
          </w:p>
          <w:p>
            <w:pPr>
              <w:pStyle w:val="TableParagraph"/>
              <w:spacing w:line="160" w:lineRule="exact"/>
              <w:ind w:left="418"/>
              <w:jc w:val="left"/>
              <w:rPr>
                <w:sz w:val="14"/>
              </w:rPr>
            </w:pPr>
            <w:r>
              <w:rPr>
                <w:spacing w:val="-5"/>
                <w:sz w:val="14"/>
              </w:rPr>
              <w:t>PPB</w:t>
            </w:r>
          </w:p>
        </w:tc>
        <w:tc>
          <w:tcPr>
            <w:tcW w:w="796" w:type="dxa"/>
            <w:tcBorders>
              <w:top w:val="single" w:sz="4" w:space="0" w:color="000000"/>
            </w:tcBorders>
          </w:tcPr>
          <w:p>
            <w:pPr>
              <w:pStyle w:val="TableParagraph"/>
              <w:spacing w:before="10"/>
              <w:jc w:val="left"/>
              <w:rPr>
                <w:sz w:val="18"/>
              </w:rPr>
            </w:pPr>
          </w:p>
          <w:p>
            <w:pPr>
              <w:pStyle w:val="TableParagraph"/>
              <w:spacing w:line="235" w:lineRule="auto" w:before="1"/>
              <w:ind w:left="107" w:right="121" w:firstLine="52"/>
              <w:jc w:val="left"/>
              <w:rPr>
                <w:sz w:val="14"/>
              </w:rPr>
            </w:pPr>
            <w:r>
              <w:rPr>
                <w:spacing w:val="-2"/>
                <w:sz w:val="14"/>
              </w:rPr>
              <w:t>Variance</w:t>
            </w:r>
            <w:r>
              <w:rPr>
                <w:spacing w:val="40"/>
                <w:sz w:val="14"/>
              </w:rPr>
              <w:t> </w:t>
            </w:r>
            <w:r>
              <w:rPr>
                <w:sz w:val="14"/>
              </w:rPr>
              <w:t>2023</w:t>
            </w:r>
            <w:r>
              <w:rPr>
                <w:spacing w:val="-2"/>
                <w:sz w:val="14"/>
              </w:rPr>
              <w:t> </w:t>
            </w:r>
            <w:r>
              <w:rPr>
                <w:spacing w:val="-5"/>
                <w:sz w:val="14"/>
              </w:rPr>
              <w:t>PPB</w:t>
            </w:r>
          </w:p>
          <w:p>
            <w:pPr>
              <w:pStyle w:val="TableParagraph"/>
              <w:spacing w:before="3"/>
              <w:ind w:left="107"/>
              <w:jc w:val="left"/>
              <w:rPr>
                <w:sz w:val="14"/>
              </w:rPr>
            </w:pPr>
            <w:r>
              <w:rPr>
                <w:sz w:val="14"/>
              </w:rPr>
              <w:t>-</w:t>
            </w:r>
            <w:r>
              <w:rPr>
                <w:spacing w:val="-1"/>
                <w:sz w:val="14"/>
              </w:rPr>
              <w:t> </w:t>
            </w:r>
            <w:r>
              <w:rPr>
                <w:spacing w:val="-2"/>
                <w:sz w:val="14"/>
              </w:rPr>
              <w:t>Baseline</w:t>
            </w:r>
          </w:p>
        </w:tc>
        <w:tc>
          <w:tcPr>
            <w:tcW w:w="871" w:type="dxa"/>
            <w:tcBorders>
              <w:top w:val="single" w:sz="4" w:space="0" w:color="000000"/>
            </w:tcBorders>
          </w:tcPr>
          <w:p>
            <w:pPr>
              <w:pStyle w:val="TableParagraph"/>
              <w:spacing w:before="10"/>
              <w:jc w:val="left"/>
              <w:rPr>
                <w:sz w:val="18"/>
              </w:rPr>
            </w:pPr>
          </w:p>
          <w:p>
            <w:pPr>
              <w:pStyle w:val="TableParagraph"/>
              <w:spacing w:line="235" w:lineRule="auto" w:before="1"/>
              <w:ind w:left="118" w:right="107" w:firstLine="134"/>
              <w:jc w:val="left"/>
              <w:rPr>
                <w:sz w:val="14"/>
              </w:rPr>
            </w:pPr>
            <w:r>
              <w:rPr>
                <w:spacing w:val="-2"/>
                <w:sz w:val="14"/>
              </w:rPr>
              <w:t>Variance</w:t>
            </w:r>
            <w:r>
              <w:rPr>
                <w:spacing w:val="40"/>
                <w:sz w:val="14"/>
              </w:rPr>
              <w:t> </w:t>
            </w:r>
            <w:r>
              <w:rPr>
                <w:sz w:val="14"/>
              </w:rPr>
              <w:t>2023</w:t>
            </w:r>
            <w:r>
              <w:rPr>
                <w:spacing w:val="-4"/>
                <w:sz w:val="14"/>
              </w:rPr>
              <w:t> </w:t>
            </w:r>
            <w:r>
              <w:rPr>
                <w:sz w:val="14"/>
              </w:rPr>
              <w:t>PPB</w:t>
            </w:r>
            <w:r>
              <w:rPr>
                <w:spacing w:val="-6"/>
                <w:sz w:val="14"/>
              </w:rPr>
              <w:t> </w:t>
            </w:r>
            <w:r>
              <w:rPr>
                <w:spacing w:val="-10"/>
                <w:sz w:val="14"/>
              </w:rPr>
              <w:t>-</w:t>
            </w:r>
          </w:p>
          <w:p>
            <w:pPr>
              <w:pStyle w:val="TableParagraph"/>
              <w:spacing w:before="3"/>
              <w:ind w:left="176"/>
              <w:jc w:val="left"/>
              <w:rPr>
                <w:sz w:val="14"/>
              </w:rPr>
            </w:pPr>
            <w:r>
              <w:rPr>
                <w:sz w:val="14"/>
              </w:rPr>
              <w:t>2022</w:t>
            </w:r>
            <w:r>
              <w:rPr>
                <w:spacing w:val="-2"/>
                <w:sz w:val="14"/>
              </w:rPr>
              <w:t> </w:t>
            </w:r>
            <w:r>
              <w:rPr>
                <w:spacing w:val="-5"/>
                <w:sz w:val="14"/>
              </w:rPr>
              <w:t>APB</w:t>
            </w:r>
          </w:p>
        </w:tc>
      </w:tr>
      <w:tr>
        <w:trPr>
          <w:trHeight w:val="327" w:hRule="atLeast"/>
        </w:trPr>
        <w:tc>
          <w:tcPr>
            <w:tcW w:w="2833" w:type="dxa"/>
            <w:tcBorders>
              <w:bottom w:val="single" w:sz="4" w:space="0" w:color="000000"/>
            </w:tcBorders>
          </w:tcPr>
          <w:p>
            <w:pPr>
              <w:pStyle w:val="TableParagraph"/>
              <w:spacing w:before="7"/>
              <w:jc w:val="left"/>
              <w:rPr>
                <w:sz w:val="14"/>
              </w:rPr>
            </w:pPr>
          </w:p>
          <w:p>
            <w:pPr>
              <w:pStyle w:val="TableParagraph"/>
              <w:spacing w:line="139" w:lineRule="exact"/>
              <w:ind w:left="225"/>
              <w:jc w:val="left"/>
              <w:rPr>
                <w:sz w:val="14"/>
              </w:rPr>
            </w:pPr>
            <w:r>
              <w:rPr>
                <w:sz w:val="14"/>
              </w:rPr>
              <w:t>Major</w:t>
            </w:r>
            <w:r>
              <w:rPr>
                <w:spacing w:val="-3"/>
                <w:sz w:val="14"/>
              </w:rPr>
              <w:t> </w:t>
            </w:r>
            <w:r>
              <w:rPr>
                <w:spacing w:val="-2"/>
                <w:sz w:val="14"/>
              </w:rPr>
              <w:t>Programme</w:t>
            </w:r>
          </w:p>
        </w:tc>
        <w:tc>
          <w:tcPr>
            <w:tcW w:w="795" w:type="dxa"/>
            <w:tcBorders>
              <w:bottom w:val="single" w:sz="4" w:space="0" w:color="000000"/>
            </w:tcBorders>
          </w:tcPr>
          <w:p>
            <w:pPr>
              <w:pStyle w:val="TableParagraph"/>
              <w:spacing w:before="96"/>
              <w:ind w:left="314" w:right="300"/>
              <w:jc w:val="center"/>
              <w:rPr>
                <w:sz w:val="14"/>
              </w:rPr>
            </w:pPr>
            <w:r>
              <w:rPr>
                <w:spacing w:val="-5"/>
                <w:sz w:val="14"/>
              </w:rPr>
              <w:t>[a]</w:t>
            </w:r>
          </w:p>
        </w:tc>
        <w:tc>
          <w:tcPr>
            <w:tcW w:w="980" w:type="dxa"/>
            <w:tcBorders>
              <w:bottom w:val="single" w:sz="4" w:space="0" w:color="000000"/>
            </w:tcBorders>
          </w:tcPr>
          <w:p>
            <w:pPr>
              <w:pStyle w:val="TableParagraph"/>
              <w:spacing w:before="96"/>
              <w:ind w:left="395" w:right="395"/>
              <w:jc w:val="center"/>
              <w:rPr>
                <w:sz w:val="14"/>
              </w:rPr>
            </w:pPr>
            <w:r>
              <w:rPr>
                <w:spacing w:val="-5"/>
                <w:sz w:val="14"/>
              </w:rPr>
              <w:t>[b]</w:t>
            </w:r>
          </w:p>
        </w:tc>
        <w:tc>
          <w:tcPr>
            <w:tcW w:w="861" w:type="dxa"/>
            <w:tcBorders>
              <w:bottom w:val="single" w:sz="4" w:space="0" w:color="000000"/>
            </w:tcBorders>
          </w:tcPr>
          <w:p>
            <w:pPr>
              <w:pStyle w:val="TableParagraph"/>
              <w:spacing w:before="96"/>
              <w:ind w:left="331" w:right="348"/>
              <w:jc w:val="center"/>
              <w:rPr>
                <w:sz w:val="14"/>
              </w:rPr>
            </w:pPr>
            <w:r>
              <w:rPr>
                <w:spacing w:val="-5"/>
                <w:sz w:val="14"/>
              </w:rPr>
              <w:t>[c]</w:t>
            </w:r>
          </w:p>
        </w:tc>
        <w:tc>
          <w:tcPr>
            <w:tcW w:w="699" w:type="dxa"/>
            <w:tcBorders>
              <w:bottom w:val="single" w:sz="4" w:space="0" w:color="000000"/>
            </w:tcBorders>
          </w:tcPr>
          <w:p>
            <w:pPr>
              <w:pStyle w:val="TableParagraph"/>
              <w:spacing w:before="96"/>
              <w:ind w:left="239" w:right="270"/>
              <w:jc w:val="center"/>
              <w:rPr>
                <w:sz w:val="14"/>
              </w:rPr>
            </w:pPr>
            <w:r>
              <w:rPr>
                <w:spacing w:val="-5"/>
                <w:sz w:val="14"/>
              </w:rPr>
              <w:t>[d]</w:t>
            </w:r>
          </w:p>
        </w:tc>
        <w:tc>
          <w:tcPr>
            <w:tcW w:w="685" w:type="dxa"/>
            <w:tcBorders>
              <w:bottom w:val="single" w:sz="4" w:space="0" w:color="000000"/>
            </w:tcBorders>
          </w:tcPr>
          <w:p>
            <w:pPr>
              <w:pStyle w:val="TableParagraph"/>
              <w:spacing w:before="96"/>
              <w:ind w:left="245" w:right="258"/>
              <w:jc w:val="center"/>
              <w:rPr>
                <w:sz w:val="14"/>
              </w:rPr>
            </w:pPr>
            <w:r>
              <w:rPr>
                <w:spacing w:val="-5"/>
                <w:sz w:val="14"/>
              </w:rPr>
              <w:t>[e]</w:t>
            </w:r>
          </w:p>
        </w:tc>
        <w:tc>
          <w:tcPr>
            <w:tcW w:w="1079" w:type="dxa"/>
            <w:tcBorders>
              <w:bottom w:val="single" w:sz="4" w:space="0" w:color="000000"/>
            </w:tcBorders>
          </w:tcPr>
          <w:p>
            <w:pPr>
              <w:pStyle w:val="TableParagraph"/>
              <w:spacing w:before="96"/>
              <w:ind w:right="115"/>
              <w:rPr>
                <w:sz w:val="14"/>
              </w:rPr>
            </w:pPr>
            <w:r>
              <w:rPr>
                <w:spacing w:val="-2"/>
                <w:sz w:val="14"/>
              </w:rPr>
              <w:t>[f=a+b+c+d+e]</w:t>
            </w:r>
          </w:p>
        </w:tc>
        <w:tc>
          <w:tcPr>
            <w:tcW w:w="781" w:type="dxa"/>
            <w:tcBorders>
              <w:bottom w:val="single" w:sz="4" w:space="0" w:color="000000"/>
            </w:tcBorders>
          </w:tcPr>
          <w:p>
            <w:pPr>
              <w:pStyle w:val="TableParagraph"/>
              <w:spacing w:before="96"/>
              <w:ind w:left="293" w:right="299"/>
              <w:jc w:val="center"/>
              <w:rPr>
                <w:sz w:val="14"/>
              </w:rPr>
            </w:pPr>
            <w:r>
              <w:rPr>
                <w:spacing w:val="-5"/>
                <w:sz w:val="14"/>
              </w:rPr>
              <w:t>[g]</w:t>
            </w:r>
          </w:p>
        </w:tc>
        <w:tc>
          <w:tcPr>
            <w:tcW w:w="796" w:type="dxa"/>
            <w:tcBorders>
              <w:bottom w:val="single" w:sz="4" w:space="0" w:color="000000"/>
            </w:tcBorders>
          </w:tcPr>
          <w:p>
            <w:pPr>
              <w:pStyle w:val="TableParagraph"/>
              <w:spacing w:before="96"/>
              <w:ind w:left="184"/>
              <w:jc w:val="left"/>
              <w:rPr>
                <w:sz w:val="14"/>
              </w:rPr>
            </w:pPr>
            <w:r>
              <w:rPr>
                <w:w w:val="95"/>
                <w:sz w:val="14"/>
              </w:rPr>
              <w:t>[h=f-</w:t>
            </w:r>
            <w:r>
              <w:rPr>
                <w:spacing w:val="-5"/>
                <w:sz w:val="14"/>
              </w:rPr>
              <w:t>e]</w:t>
            </w:r>
          </w:p>
        </w:tc>
        <w:tc>
          <w:tcPr>
            <w:tcW w:w="871" w:type="dxa"/>
            <w:tcBorders>
              <w:bottom w:val="single" w:sz="4" w:space="0" w:color="000000"/>
            </w:tcBorders>
          </w:tcPr>
          <w:p>
            <w:pPr>
              <w:pStyle w:val="TableParagraph"/>
              <w:spacing w:before="96"/>
              <w:ind w:left="224"/>
              <w:jc w:val="left"/>
              <w:rPr>
                <w:sz w:val="14"/>
              </w:rPr>
            </w:pPr>
            <w:r>
              <w:rPr>
                <w:w w:val="95"/>
                <w:sz w:val="14"/>
              </w:rPr>
              <w:t>[h=f-</w:t>
            </w:r>
            <w:r>
              <w:rPr>
                <w:spacing w:val="-5"/>
                <w:sz w:val="14"/>
              </w:rPr>
              <w:t>a]</w:t>
            </w:r>
          </w:p>
        </w:tc>
      </w:tr>
      <w:tr>
        <w:trPr>
          <w:trHeight w:val="286" w:hRule="atLeast"/>
        </w:trPr>
        <w:tc>
          <w:tcPr>
            <w:tcW w:w="2833" w:type="dxa"/>
            <w:tcBorders>
              <w:top w:val="single" w:sz="4" w:space="0" w:color="000000"/>
            </w:tcBorders>
          </w:tcPr>
          <w:p>
            <w:pPr>
              <w:pStyle w:val="TableParagraph"/>
              <w:spacing w:before="61"/>
              <w:ind w:left="297"/>
              <w:jc w:val="left"/>
              <w:rPr>
                <w:sz w:val="14"/>
              </w:rPr>
            </w:pPr>
            <w:r>
              <w:rPr>
                <w:sz w:val="14"/>
              </w:rPr>
              <w:t>1100 - The</w:t>
            </w:r>
            <w:r>
              <w:rPr>
                <w:spacing w:val="-2"/>
                <w:sz w:val="14"/>
              </w:rPr>
              <w:t> Presidency</w:t>
            </w:r>
          </w:p>
        </w:tc>
        <w:tc>
          <w:tcPr>
            <w:tcW w:w="795" w:type="dxa"/>
            <w:tcBorders>
              <w:top w:val="single" w:sz="4" w:space="0" w:color="000000"/>
            </w:tcBorders>
          </w:tcPr>
          <w:p>
            <w:pPr>
              <w:pStyle w:val="TableParagraph"/>
              <w:spacing w:before="61"/>
              <w:ind w:right="105"/>
              <w:rPr>
                <w:sz w:val="14"/>
              </w:rPr>
            </w:pPr>
            <w:r>
              <w:rPr>
                <w:spacing w:val="-2"/>
                <w:sz w:val="14"/>
              </w:rPr>
              <w:t>1,345.3</w:t>
            </w:r>
          </w:p>
        </w:tc>
        <w:tc>
          <w:tcPr>
            <w:tcW w:w="980" w:type="dxa"/>
            <w:tcBorders>
              <w:top w:val="single" w:sz="4" w:space="0" w:color="000000"/>
            </w:tcBorders>
          </w:tcPr>
          <w:p>
            <w:pPr>
              <w:pStyle w:val="TableParagraph"/>
              <w:spacing w:before="61"/>
              <w:ind w:right="108"/>
              <w:rPr>
                <w:sz w:val="14"/>
              </w:rPr>
            </w:pPr>
            <w:r>
              <w:rPr>
                <w:w w:val="99"/>
                <w:sz w:val="14"/>
              </w:rPr>
              <w:t>-</w:t>
            </w:r>
          </w:p>
        </w:tc>
        <w:tc>
          <w:tcPr>
            <w:tcW w:w="861" w:type="dxa"/>
            <w:tcBorders>
              <w:top w:val="single" w:sz="4" w:space="0" w:color="000000"/>
            </w:tcBorders>
          </w:tcPr>
          <w:p>
            <w:pPr>
              <w:pStyle w:val="TableParagraph"/>
              <w:spacing w:before="61"/>
              <w:ind w:right="124"/>
              <w:rPr>
                <w:sz w:val="14"/>
              </w:rPr>
            </w:pPr>
            <w:r>
              <w:rPr>
                <w:w w:val="99"/>
                <w:sz w:val="14"/>
              </w:rPr>
              <w:t>-</w:t>
            </w:r>
          </w:p>
        </w:tc>
        <w:tc>
          <w:tcPr>
            <w:tcW w:w="699" w:type="dxa"/>
            <w:tcBorders>
              <w:top w:val="single" w:sz="4" w:space="0" w:color="000000"/>
            </w:tcBorders>
          </w:tcPr>
          <w:p>
            <w:pPr>
              <w:pStyle w:val="TableParagraph"/>
              <w:spacing w:before="61"/>
              <w:ind w:right="123"/>
              <w:rPr>
                <w:sz w:val="14"/>
              </w:rPr>
            </w:pPr>
            <w:r>
              <w:rPr>
                <w:spacing w:val="-4"/>
                <w:sz w:val="14"/>
              </w:rPr>
              <w:t>40.6</w:t>
            </w:r>
          </w:p>
        </w:tc>
        <w:tc>
          <w:tcPr>
            <w:tcW w:w="685" w:type="dxa"/>
            <w:tcBorders>
              <w:top w:val="single" w:sz="4" w:space="0" w:color="000000"/>
            </w:tcBorders>
          </w:tcPr>
          <w:p>
            <w:pPr>
              <w:pStyle w:val="TableParagraph"/>
              <w:spacing w:before="61"/>
              <w:ind w:right="111"/>
              <w:rPr>
                <w:sz w:val="14"/>
              </w:rPr>
            </w:pPr>
            <w:r>
              <w:rPr>
                <w:w w:val="99"/>
                <w:sz w:val="14"/>
              </w:rPr>
              <w:t>-</w:t>
            </w:r>
          </w:p>
        </w:tc>
        <w:tc>
          <w:tcPr>
            <w:tcW w:w="1079" w:type="dxa"/>
            <w:tcBorders>
              <w:top w:val="single" w:sz="4" w:space="0" w:color="000000"/>
            </w:tcBorders>
          </w:tcPr>
          <w:p>
            <w:pPr>
              <w:pStyle w:val="TableParagraph"/>
              <w:spacing w:before="61"/>
              <w:ind w:right="106"/>
              <w:rPr>
                <w:sz w:val="14"/>
              </w:rPr>
            </w:pPr>
            <w:r>
              <w:rPr>
                <w:spacing w:val="-2"/>
                <w:sz w:val="14"/>
              </w:rPr>
              <w:t>1,385.9</w:t>
            </w:r>
          </w:p>
        </w:tc>
        <w:tc>
          <w:tcPr>
            <w:tcW w:w="781" w:type="dxa"/>
            <w:tcBorders>
              <w:top w:val="single" w:sz="4" w:space="0" w:color="000000"/>
            </w:tcBorders>
          </w:tcPr>
          <w:p>
            <w:pPr>
              <w:pStyle w:val="TableParagraph"/>
              <w:spacing w:before="61"/>
              <w:ind w:right="109"/>
              <w:rPr>
                <w:sz w:val="14"/>
              </w:rPr>
            </w:pPr>
            <w:r>
              <w:rPr>
                <w:spacing w:val="-2"/>
                <w:sz w:val="14"/>
              </w:rPr>
              <w:t>1,383.0</w:t>
            </w:r>
          </w:p>
        </w:tc>
        <w:tc>
          <w:tcPr>
            <w:tcW w:w="796" w:type="dxa"/>
            <w:tcBorders>
              <w:top w:val="single" w:sz="4" w:space="0" w:color="000000"/>
            </w:tcBorders>
          </w:tcPr>
          <w:p>
            <w:pPr>
              <w:pStyle w:val="TableParagraph"/>
              <w:spacing w:before="61"/>
              <w:ind w:right="121"/>
              <w:rPr>
                <w:sz w:val="14"/>
              </w:rPr>
            </w:pPr>
            <w:r>
              <w:rPr>
                <w:spacing w:val="-2"/>
                <w:sz w:val="14"/>
              </w:rPr>
              <w:t>(2.9)</w:t>
            </w:r>
          </w:p>
        </w:tc>
        <w:tc>
          <w:tcPr>
            <w:tcW w:w="871" w:type="dxa"/>
            <w:tcBorders>
              <w:top w:val="single" w:sz="4" w:space="0" w:color="000000"/>
            </w:tcBorders>
          </w:tcPr>
          <w:p>
            <w:pPr>
              <w:pStyle w:val="TableParagraph"/>
              <w:spacing w:before="61"/>
              <w:ind w:right="104"/>
              <w:rPr>
                <w:sz w:val="14"/>
              </w:rPr>
            </w:pPr>
            <w:r>
              <w:rPr>
                <w:spacing w:val="-4"/>
                <w:sz w:val="14"/>
              </w:rPr>
              <w:t>37.7</w:t>
            </w:r>
          </w:p>
        </w:tc>
      </w:tr>
      <w:tr>
        <w:trPr>
          <w:trHeight w:val="279" w:hRule="atLeast"/>
        </w:trPr>
        <w:tc>
          <w:tcPr>
            <w:tcW w:w="2833" w:type="dxa"/>
            <w:tcBorders>
              <w:bottom w:val="single" w:sz="4" w:space="0" w:color="000000"/>
            </w:tcBorders>
          </w:tcPr>
          <w:p>
            <w:pPr>
              <w:pStyle w:val="TableParagraph"/>
              <w:spacing w:before="58"/>
              <w:ind w:left="297"/>
              <w:jc w:val="left"/>
              <w:rPr>
                <w:sz w:val="14"/>
              </w:rPr>
            </w:pPr>
            <w:r>
              <w:rPr>
                <w:sz w:val="14"/>
              </w:rPr>
              <w:t>1200</w:t>
            </w:r>
            <w:r>
              <w:rPr>
                <w:spacing w:val="-1"/>
                <w:sz w:val="14"/>
              </w:rPr>
              <w:t> </w:t>
            </w:r>
            <w:r>
              <w:rPr>
                <w:sz w:val="14"/>
              </w:rPr>
              <w:t>-</w:t>
            </w:r>
            <w:r>
              <w:rPr>
                <w:spacing w:val="-1"/>
                <w:sz w:val="14"/>
              </w:rPr>
              <w:t> </w:t>
            </w:r>
            <w:r>
              <w:rPr>
                <w:spacing w:val="-2"/>
                <w:sz w:val="14"/>
              </w:rPr>
              <w:t>Chambers</w:t>
            </w:r>
          </w:p>
        </w:tc>
        <w:tc>
          <w:tcPr>
            <w:tcW w:w="795" w:type="dxa"/>
            <w:tcBorders>
              <w:bottom w:val="single" w:sz="4" w:space="0" w:color="000000"/>
            </w:tcBorders>
          </w:tcPr>
          <w:p>
            <w:pPr>
              <w:pStyle w:val="TableParagraph"/>
              <w:spacing w:before="58"/>
              <w:ind w:right="105"/>
              <w:rPr>
                <w:sz w:val="14"/>
              </w:rPr>
            </w:pPr>
            <w:r>
              <w:rPr>
                <w:spacing w:val="-2"/>
                <w:sz w:val="14"/>
              </w:rPr>
              <w:t>11,040.4</w:t>
            </w:r>
          </w:p>
        </w:tc>
        <w:tc>
          <w:tcPr>
            <w:tcW w:w="980" w:type="dxa"/>
            <w:tcBorders>
              <w:bottom w:val="single" w:sz="4" w:space="0" w:color="000000"/>
            </w:tcBorders>
          </w:tcPr>
          <w:p>
            <w:pPr>
              <w:pStyle w:val="TableParagraph"/>
              <w:spacing w:before="58"/>
              <w:ind w:right="105"/>
              <w:rPr>
                <w:sz w:val="14"/>
              </w:rPr>
            </w:pPr>
            <w:r>
              <w:rPr>
                <w:spacing w:val="-2"/>
                <w:sz w:val="14"/>
              </w:rPr>
              <w:t>204.2</w:t>
            </w:r>
          </w:p>
        </w:tc>
        <w:tc>
          <w:tcPr>
            <w:tcW w:w="861" w:type="dxa"/>
            <w:tcBorders>
              <w:bottom w:val="single" w:sz="4" w:space="0" w:color="000000"/>
            </w:tcBorders>
          </w:tcPr>
          <w:p>
            <w:pPr>
              <w:pStyle w:val="TableParagraph"/>
              <w:spacing w:before="58"/>
              <w:ind w:right="124"/>
              <w:rPr>
                <w:sz w:val="14"/>
              </w:rPr>
            </w:pPr>
            <w:r>
              <w:rPr>
                <w:w w:val="99"/>
                <w:sz w:val="14"/>
              </w:rPr>
              <w:t>-</w:t>
            </w:r>
          </w:p>
        </w:tc>
        <w:tc>
          <w:tcPr>
            <w:tcW w:w="699" w:type="dxa"/>
            <w:tcBorders>
              <w:bottom w:val="single" w:sz="4" w:space="0" w:color="000000"/>
            </w:tcBorders>
          </w:tcPr>
          <w:p>
            <w:pPr>
              <w:pStyle w:val="TableParagraph"/>
              <w:spacing w:before="58"/>
              <w:ind w:right="123"/>
              <w:rPr>
                <w:sz w:val="14"/>
              </w:rPr>
            </w:pPr>
            <w:r>
              <w:rPr>
                <w:spacing w:val="-2"/>
                <w:sz w:val="14"/>
              </w:rPr>
              <w:t>169.6</w:t>
            </w:r>
          </w:p>
        </w:tc>
        <w:tc>
          <w:tcPr>
            <w:tcW w:w="685" w:type="dxa"/>
            <w:tcBorders>
              <w:bottom w:val="single" w:sz="4" w:space="0" w:color="000000"/>
            </w:tcBorders>
          </w:tcPr>
          <w:p>
            <w:pPr>
              <w:pStyle w:val="TableParagraph"/>
              <w:spacing w:before="58"/>
              <w:ind w:right="111"/>
              <w:rPr>
                <w:sz w:val="14"/>
              </w:rPr>
            </w:pPr>
            <w:r>
              <w:rPr>
                <w:w w:val="99"/>
                <w:sz w:val="14"/>
              </w:rPr>
              <w:t>-</w:t>
            </w:r>
          </w:p>
        </w:tc>
        <w:tc>
          <w:tcPr>
            <w:tcW w:w="1079" w:type="dxa"/>
            <w:tcBorders>
              <w:bottom w:val="single" w:sz="4" w:space="0" w:color="000000"/>
            </w:tcBorders>
          </w:tcPr>
          <w:p>
            <w:pPr>
              <w:pStyle w:val="TableParagraph"/>
              <w:spacing w:before="58"/>
              <w:ind w:right="106"/>
              <w:rPr>
                <w:sz w:val="14"/>
              </w:rPr>
            </w:pPr>
            <w:r>
              <w:rPr>
                <w:spacing w:val="-2"/>
                <w:sz w:val="14"/>
              </w:rPr>
              <w:t>11,414.2</w:t>
            </w:r>
          </w:p>
        </w:tc>
        <w:tc>
          <w:tcPr>
            <w:tcW w:w="781" w:type="dxa"/>
            <w:tcBorders>
              <w:bottom w:val="single" w:sz="4" w:space="0" w:color="000000"/>
            </w:tcBorders>
          </w:tcPr>
          <w:p>
            <w:pPr>
              <w:pStyle w:val="TableParagraph"/>
              <w:spacing w:before="58"/>
              <w:ind w:right="109"/>
              <w:rPr>
                <w:sz w:val="14"/>
              </w:rPr>
            </w:pPr>
            <w:r>
              <w:rPr>
                <w:spacing w:val="-2"/>
                <w:sz w:val="14"/>
              </w:rPr>
              <w:t>12,617.1</w:t>
            </w:r>
          </w:p>
        </w:tc>
        <w:tc>
          <w:tcPr>
            <w:tcW w:w="796" w:type="dxa"/>
            <w:tcBorders>
              <w:bottom w:val="single" w:sz="4" w:space="0" w:color="000000"/>
            </w:tcBorders>
          </w:tcPr>
          <w:p>
            <w:pPr>
              <w:pStyle w:val="TableParagraph"/>
              <w:spacing w:before="58"/>
              <w:ind w:right="122"/>
              <w:rPr>
                <w:sz w:val="14"/>
              </w:rPr>
            </w:pPr>
            <w:r>
              <w:rPr>
                <w:spacing w:val="-2"/>
                <w:sz w:val="14"/>
              </w:rPr>
              <w:t>1,202.9</w:t>
            </w:r>
          </w:p>
        </w:tc>
        <w:tc>
          <w:tcPr>
            <w:tcW w:w="871" w:type="dxa"/>
            <w:tcBorders>
              <w:bottom w:val="single" w:sz="4" w:space="0" w:color="000000"/>
            </w:tcBorders>
          </w:tcPr>
          <w:p>
            <w:pPr>
              <w:pStyle w:val="TableParagraph"/>
              <w:spacing w:before="58"/>
              <w:ind w:right="105"/>
              <w:rPr>
                <w:sz w:val="14"/>
              </w:rPr>
            </w:pPr>
            <w:r>
              <w:rPr>
                <w:spacing w:val="-2"/>
                <w:sz w:val="14"/>
              </w:rPr>
              <w:t>1,576.7</w:t>
            </w:r>
          </w:p>
        </w:tc>
      </w:tr>
      <w:tr>
        <w:trPr>
          <w:trHeight w:val="283" w:hRule="atLeast"/>
        </w:trPr>
        <w:tc>
          <w:tcPr>
            <w:tcW w:w="2833" w:type="dxa"/>
            <w:tcBorders>
              <w:top w:val="single" w:sz="4" w:space="0" w:color="000000"/>
              <w:bottom w:val="single" w:sz="4" w:space="0" w:color="000000"/>
            </w:tcBorders>
            <w:shd w:val="clear" w:color="auto" w:fill="F1F1F1"/>
          </w:tcPr>
          <w:p>
            <w:pPr>
              <w:pStyle w:val="TableParagraph"/>
              <w:spacing w:before="61"/>
              <w:ind w:left="124"/>
              <w:jc w:val="left"/>
              <w:rPr>
                <w:i/>
                <w:sz w:val="14"/>
              </w:rPr>
            </w:pPr>
            <w:r>
              <w:rPr>
                <w:i/>
                <w:sz w:val="14"/>
              </w:rPr>
              <w:t>MPI</w:t>
            </w:r>
            <w:r>
              <w:rPr>
                <w:i/>
                <w:spacing w:val="-2"/>
                <w:sz w:val="14"/>
              </w:rPr>
              <w:t> </w:t>
            </w:r>
            <w:r>
              <w:rPr>
                <w:i/>
                <w:sz w:val="14"/>
              </w:rPr>
              <w:t>-</w:t>
            </w:r>
            <w:r>
              <w:rPr>
                <w:i/>
                <w:spacing w:val="-1"/>
                <w:sz w:val="14"/>
              </w:rPr>
              <w:t> </w:t>
            </w:r>
            <w:r>
              <w:rPr>
                <w:i/>
                <w:spacing w:val="-2"/>
                <w:sz w:val="14"/>
              </w:rPr>
              <w:t>Judiciary</w:t>
            </w:r>
          </w:p>
        </w:tc>
        <w:tc>
          <w:tcPr>
            <w:tcW w:w="795" w:type="dxa"/>
            <w:tcBorders>
              <w:top w:val="single" w:sz="4" w:space="0" w:color="000000"/>
              <w:bottom w:val="single" w:sz="4" w:space="0" w:color="000000"/>
            </w:tcBorders>
            <w:shd w:val="clear" w:color="auto" w:fill="F1F1F1"/>
          </w:tcPr>
          <w:p>
            <w:pPr>
              <w:pStyle w:val="TableParagraph"/>
              <w:spacing w:before="61"/>
              <w:ind w:right="105"/>
              <w:rPr>
                <w:i/>
                <w:sz w:val="14"/>
              </w:rPr>
            </w:pPr>
            <w:r>
              <w:rPr>
                <w:i/>
                <w:spacing w:val="-2"/>
                <w:sz w:val="14"/>
              </w:rPr>
              <w:t>12,385.7</w:t>
            </w:r>
          </w:p>
        </w:tc>
        <w:tc>
          <w:tcPr>
            <w:tcW w:w="980" w:type="dxa"/>
            <w:tcBorders>
              <w:top w:val="single" w:sz="4" w:space="0" w:color="000000"/>
              <w:bottom w:val="single" w:sz="4" w:space="0" w:color="000000"/>
            </w:tcBorders>
            <w:shd w:val="clear" w:color="auto" w:fill="F1F1F1"/>
          </w:tcPr>
          <w:p>
            <w:pPr>
              <w:pStyle w:val="TableParagraph"/>
              <w:spacing w:before="61"/>
              <w:ind w:right="105"/>
              <w:rPr>
                <w:i/>
                <w:sz w:val="14"/>
              </w:rPr>
            </w:pPr>
            <w:r>
              <w:rPr>
                <w:i/>
                <w:spacing w:val="-2"/>
                <w:sz w:val="14"/>
              </w:rPr>
              <w:t>204.2</w:t>
            </w:r>
          </w:p>
        </w:tc>
        <w:tc>
          <w:tcPr>
            <w:tcW w:w="861" w:type="dxa"/>
            <w:tcBorders>
              <w:top w:val="single" w:sz="4" w:space="0" w:color="000000"/>
              <w:bottom w:val="single" w:sz="4" w:space="0" w:color="000000"/>
            </w:tcBorders>
            <w:shd w:val="clear" w:color="auto" w:fill="F1F1F1"/>
          </w:tcPr>
          <w:p>
            <w:pPr>
              <w:pStyle w:val="TableParagraph"/>
              <w:spacing w:before="61"/>
              <w:ind w:right="124"/>
              <w:rPr>
                <w:i/>
                <w:sz w:val="14"/>
              </w:rPr>
            </w:pPr>
            <w:r>
              <w:rPr>
                <w:i/>
                <w:w w:val="99"/>
                <w:sz w:val="14"/>
              </w:rPr>
              <w:t>-</w:t>
            </w:r>
          </w:p>
        </w:tc>
        <w:tc>
          <w:tcPr>
            <w:tcW w:w="699" w:type="dxa"/>
            <w:tcBorders>
              <w:top w:val="single" w:sz="4" w:space="0" w:color="000000"/>
              <w:bottom w:val="single" w:sz="4" w:space="0" w:color="000000"/>
            </w:tcBorders>
            <w:shd w:val="clear" w:color="auto" w:fill="F1F1F1"/>
          </w:tcPr>
          <w:p>
            <w:pPr>
              <w:pStyle w:val="TableParagraph"/>
              <w:spacing w:before="61"/>
              <w:ind w:right="123"/>
              <w:rPr>
                <w:i/>
                <w:sz w:val="14"/>
              </w:rPr>
            </w:pPr>
            <w:r>
              <w:rPr>
                <w:i/>
                <w:spacing w:val="-2"/>
                <w:sz w:val="14"/>
              </w:rPr>
              <w:t>210.2</w:t>
            </w:r>
          </w:p>
        </w:tc>
        <w:tc>
          <w:tcPr>
            <w:tcW w:w="685" w:type="dxa"/>
            <w:tcBorders>
              <w:top w:val="single" w:sz="4" w:space="0" w:color="000000"/>
              <w:bottom w:val="single" w:sz="4" w:space="0" w:color="000000"/>
            </w:tcBorders>
            <w:shd w:val="clear" w:color="auto" w:fill="F1F1F1"/>
          </w:tcPr>
          <w:p>
            <w:pPr>
              <w:pStyle w:val="TableParagraph"/>
              <w:spacing w:before="61"/>
              <w:ind w:right="111"/>
              <w:rPr>
                <w:i/>
                <w:sz w:val="14"/>
              </w:rPr>
            </w:pPr>
            <w:r>
              <w:rPr>
                <w:i/>
                <w:w w:val="99"/>
                <w:sz w:val="14"/>
              </w:rPr>
              <w:t>-</w:t>
            </w:r>
          </w:p>
        </w:tc>
        <w:tc>
          <w:tcPr>
            <w:tcW w:w="1079" w:type="dxa"/>
            <w:tcBorders>
              <w:top w:val="single" w:sz="4" w:space="0" w:color="000000"/>
              <w:bottom w:val="single" w:sz="4" w:space="0" w:color="000000"/>
            </w:tcBorders>
            <w:shd w:val="clear" w:color="auto" w:fill="F1F1F1"/>
          </w:tcPr>
          <w:p>
            <w:pPr>
              <w:pStyle w:val="TableParagraph"/>
              <w:spacing w:before="61"/>
              <w:ind w:right="106"/>
              <w:rPr>
                <w:i/>
                <w:sz w:val="14"/>
              </w:rPr>
            </w:pPr>
            <w:r>
              <w:rPr>
                <w:i/>
                <w:spacing w:val="-2"/>
                <w:sz w:val="14"/>
              </w:rPr>
              <w:t>12,800.1</w:t>
            </w:r>
          </w:p>
        </w:tc>
        <w:tc>
          <w:tcPr>
            <w:tcW w:w="781" w:type="dxa"/>
            <w:tcBorders>
              <w:top w:val="single" w:sz="4" w:space="0" w:color="000000"/>
              <w:bottom w:val="single" w:sz="4" w:space="0" w:color="000000"/>
            </w:tcBorders>
            <w:shd w:val="clear" w:color="auto" w:fill="F1F1F1"/>
          </w:tcPr>
          <w:p>
            <w:pPr>
              <w:pStyle w:val="TableParagraph"/>
              <w:spacing w:before="61"/>
              <w:ind w:right="109"/>
              <w:rPr>
                <w:i/>
                <w:sz w:val="14"/>
              </w:rPr>
            </w:pPr>
            <w:r>
              <w:rPr>
                <w:i/>
                <w:spacing w:val="-2"/>
                <w:sz w:val="14"/>
              </w:rPr>
              <w:t>14,000.1</w:t>
            </w:r>
          </w:p>
        </w:tc>
        <w:tc>
          <w:tcPr>
            <w:tcW w:w="796" w:type="dxa"/>
            <w:tcBorders>
              <w:top w:val="single" w:sz="4" w:space="0" w:color="000000"/>
              <w:bottom w:val="single" w:sz="4" w:space="0" w:color="000000"/>
            </w:tcBorders>
            <w:shd w:val="clear" w:color="auto" w:fill="F1F1F1"/>
          </w:tcPr>
          <w:p>
            <w:pPr>
              <w:pStyle w:val="TableParagraph"/>
              <w:spacing w:before="61"/>
              <w:ind w:right="122"/>
              <w:rPr>
                <w:i/>
                <w:sz w:val="14"/>
              </w:rPr>
            </w:pPr>
            <w:r>
              <w:rPr>
                <w:i/>
                <w:spacing w:val="-2"/>
                <w:sz w:val="14"/>
              </w:rPr>
              <w:t>1,200.0</w:t>
            </w:r>
          </w:p>
        </w:tc>
        <w:tc>
          <w:tcPr>
            <w:tcW w:w="871" w:type="dxa"/>
            <w:tcBorders>
              <w:top w:val="single" w:sz="4" w:space="0" w:color="000000"/>
              <w:bottom w:val="single" w:sz="4" w:space="0" w:color="000000"/>
            </w:tcBorders>
            <w:shd w:val="clear" w:color="auto" w:fill="F1F1F1"/>
          </w:tcPr>
          <w:p>
            <w:pPr>
              <w:pStyle w:val="TableParagraph"/>
              <w:spacing w:before="61"/>
              <w:ind w:right="105"/>
              <w:rPr>
                <w:i/>
                <w:sz w:val="14"/>
              </w:rPr>
            </w:pPr>
            <w:r>
              <w:rPr>
                <w:i/>
                <w:spacing w:val="-2"/>
                <w:sz w:val="14"/>
              </w:rPr>
              <w:t>1,614.4</w:t>
            </w:r>
          </w:p>
        </w:tc>
      </w:tr>
      <w:tr>
        <w:trPr>
          <w:trHeight w:val="286" w:hRule="atLeast"/>
        </w:trPr>
        <w:tc>
          <w:tcPr>
            <w:tcW w:w="2833" w:type="dxa"/>
            <w:tcBorders>
              <w:top w:val="single" w:sz="4" w:space="0" w:color="000000"/>
            </w:tcBorders>
          </w:tcPr>
          <w:p>
            <w:pPr>
              <w:pStyle w:val="TableParagraph"/>
              <w:spacing w:before="61"/>
              <w:ind w:left="297"/>
              <w:jc w:val="left"/>
              <w:rPr>
                <w:sz w:val="14"/>
              </w:rPr>
            </w:pPr>
            <w:r>
              <w:rPr>
                <w:sz w:val="14"/>
              </w:rPr>
              <w:t>2500</w:t>
            </w:r>
            <w:r>
              <w:rPr>
                <w:spacing w:val="-1"/>
                <w:sz w:val="14"/>
              </w:rPr>
              <w:t> </w:t>
            </w:r>
            <w:r>
              <w:rPr>
                <w:sz w:val="14"/>
              </w:rPr>
              <w:t>-</w:t>
            </w:r>
            <w:r>
              <w:rPr>
                <w:spacing w:val="-2"/>
                <w:sz w:val="14"/>
              </w:rPr>
              <w:t> </w:t>
            </w:r>
            <w:r>
              <w:rPr>
                <w:sz w:val="14"/>
              </w:rPr>
              <w:t>Programme</w:t>
            </w:r>
            <w:r>
              <w:rPr>
                <w:spacing w:val="-3"/>
                <w:sz w:val="14"/>
              </w:rPr>
              <w:t> </w:t>
            </w:r>
            <w:r>
              <w:rPr>
                <w:sz w:val="14"/>
              </w:rPr>
              <w:t>A</w:t>
            </w:r>
            <w:r>
              <w:rPr>
                <w:spacing w:val="-2"/>
                <w:sz w:val="14"/>
              </w:rPr>
              <w:t> </w:t>
            </w:r>
            <w:r>
              <w:rPr>
                <w:sz w:val="14"/>
              </w:rPr>
              <w:t>-</w:t>
            </w:r>
            <w:r>
              <w:rPr>
                <w:spacing w:val="-2"/>
                <w:sz w:val="14"/>
              </w:rPr>
              <w:t> Prosecutor</w:t>
            </w:r>
          </w:p>
        </w:tc>
        <w:tc>
          <w:tcPr>
            <w:tcW w:w="795" w:type="dxa"/>
            <w:tcBorders>
              <w:top w:val="single" w:sz="4" w:space="0" w:color="000000"/>
            </w:tcBorders>
          </w:tcPr>
          <w:p>
            <w:pPr>
              <w:pStyle w:val="TableParagraph"/>
              <w:spacing w:before="61"/>
              <w:ind w:right="105"/>
              <w:rPr>
                <w:sz w:val="14"/>
              </w:rPr>
            </w:pPr>
            <w:r>
              <w:rPr>
                <w:spacing w:val="-2"/>
                <w:sz w:val="14"/>
              </w:rPr>
              <w:t>4,104.1</w:t>
            </w:r>
          </w:p>
        </w:tc>
        <w:tc>
          <w:tcPr>
            <w:tcW w:w="980" w:type="dxa"/>
            <w:tcBorders>
              <w:top w:val="single" w:sz="4" w:space="0" w:color="000000"/>
            </w:tcBorders>
          </w:tcPr>
          <w:p>
            <w:pPr>
              <w:pStyle w:val="TableParagraph"/>
              <w:spacing w:before="61"/>
              <w:ind w:right="108"/>
              <w:rPr>
                <w:sz w:val="14"/>
              </w:rPr>
            </w:pPr>
            <w:r>
              <w:rPr>
                <w:w w:val="99"/>
                <w:sz w:val="14"/>
              </w:rPr>
              <w:t>-</w:t>
            </w:r>
          </w:p>
        </w:tc>
        <w:tc>
          <w:tcPr>
            <w:tcW w:w="861" w:type="dxa"/>
            <w:tcBorders>
              <w:top w:val="single" w:sz="4" w:space="0" w:color="000000"/>
            </w:tcBorders>
          </w:tcPr>
          <w:p>
            <w:pPr>
              <w:pStyle w:val="TableParagraph"/>
              <w:spacing w:before="61"/>
              <w:ind w:right="120"/>
              <w:rPr>
                <w:sz w:val="14"/>
              </w:rPr>
            </w:pPr>
            <w:r>
              <w:rPr>
                <w:spacing w:val="-2"/>
                <w:sz w:val="14"/>
              </w:rPr>
              <w:t>(248.5)</w:t>
            </w:r>
          </w:p>
        </w:tc>
        <w:tc>
          <w:tcPr>
            <w:tcW w:w="699" w:type="dxa"/>
            <w:tcBorders>
              <w:top w:val="single" w:sz="4" w:space="0" w:color="000000"/>
            </w:tcBorders>
          </w:tcPr>
          <w:p>
            <w:pPr>
              <w:pStyle w:val="TableParagraph"/>
              <w:spacing w:before="61"/>
              <w:ind w:right="123"/>
              <w:rPr>
                <w:sz w:val="14"/>
              </w:rPr>
            </w:pPr>
            <w:r>
              <w:rPr>
                <w:spacing w:val="-2"/>
                <w:sz w:val="14"/>
              </w:rPr>
              <w:t>119.8</w:t>
            </w:r>
          </w:p>
        </w:tc>
        <w:tc>
          <w:tcPr>
            <w:tcW w:w="685" w:type="dxa"/>
            <w:tcBorders>
              <w:top w:val="single" w:sz="4" w:space="0" w:color="000000"/>
            </w:tcBorders>
          </w:tcPr>
          <w:p>
            <w:pPr>
              <w:pStyle w:val="TableParagraph"/>
              <w:spacing w:before="61"/>
              <w:ind w:right="111"/>
              <w:rPr>
                <w:sz w:val="14"/>
              </w:rPr>
            </w:pPr>
            <w:r>
              <w:rPr>
                <w:w w:val="99"/>
                <w:sz w:val="14"/>
              </w:rPr>
              <w:t>-</w:t>
            </w:r>
          </w:p>
        </w:tc>
        <w:tc>
          <w:tcPr>
            <w:tcW w:w="1079" w:type="dxa"/>
            <w:tcBorders>
              <w:top w:val="single" w:sz="4" w:space="0" w:color="000000"/>
            </w:tcBorders>
          </w:tcPr>
          <w:p>
            <w:pPr>
              <w:pStyle w:val="TableParagraph"/>
              <w:spacing w:before="61"/>
              <w:ind w:right="106"/>
              <w:rPr>
                <w:sz w:val="14"/>
              </w:rPr>
            </w:pPr>
            <w:r>
              <w:rPr>
                <w:spacing w:val="-2"/>
                <w:sz w:val="14"/>
              </w:rPr>
              <w:t>3,975.4</w:t>
            </w:r>
          </w:p>
        </w:tc>
        <w:tc>
          <w:tcPr>
            <w:tcW w:w="781" w:type="dxa"/>
            <w:tcBorders>
              <w:top w:val="single" w:sz="4" w:space="0" w:color="000000"/>
            </w:tcBorders>
          </w:tcPr>
          <w:p>
            <w:pPr>
              <w:pStyle w:val="TableParagraph"/>
              <w:spacing w:before="61"/>
              <w:ind w:right="109"/>
              <w:rPr>
                <w:sz w:val="14"/>
              </w:rPr>
            </w:pPr>
            <w:r>
              <w:rPr>
                <w:spacing w:val="-2"/>
                <w:sz w:val="14"/>
              </w:rPr>
              <w:t>9,493.6</w:t>
            </w:r>
          </w:p>
        </w:tc>
        <w:tc>
          <w:tcPr>
            <w:tcW w:w="796" w:type="dxa"/>
            <w:tcBorders>
              <w:top w:val="single" w:sz="4" w:space="0" w:color="000000"/>
            </w:tcBorders>
          </w:tcPr>
          <w:p>
            <w:pPr>
              <w:pStyle w:val="TableParagraph"/>
              <w:spacing w:before="61"/>
              <w:ind w:right="122"/>
              <w:rPr>
                <w:sz w:val="14"/>
              </w:rPr>
            </w:pPr>
            <w:r>
              <w:rPr>
                <w:spacing w:val="-2"/>
                <w:sz w:val="14"/>
              </w:rPr>
              <w:t>5,518.2</w:t>
            </w:r>
          </w:p>
        </w:tc>
        <w:tc>
          <w:tcPr>
            <w:tcW w:w="871" w:type="dxa"/>
            <w:tcBorders>
              <w:top w:val="single" w:sz="4" w:space="0" w:color="000000"/>
            </w:tcBorders>
          </w:tcPr>
          <w:p>
            <w:pPr>
              <w:pStyle w:val="TableParagraph"/>
              <w:spacing w:before="61"/>
              <w:ind w:right="105"/>
              <w:rPr>
                <w:sz w:val="14"/>
              </w:rPr>
            </w:pPr>
            <w:r>
              <w:rPr>
                <w:spacing w:val="-2"/>
                <w:sz w:val="14"/>
              </w:rPr>
              <w:t>5,389.5</w:t>
            </w:r>
          </w:p>
        </w:tc>
      </w:tr>
      <w:tr>
        <w:trPr>
          <w:trHeight w:val="283" w:hRule="atLeast"/>
        </w:trPr>
        <w:tc>
          <w:tcPr>
            <w:tcW w:w="2833" w:type="dxa"/>
          </w:tcPr>
          <w:p>
            <w:pPr>
              <w:pStyle w:val="TableParagraph"/>
              <w:spacing w:before="58"/>
              <w:ind w:right="121"/>
              <w:rPr>
                <w:sz w:val="14"/>
              </w:rPr>
            </w:pPr>
            <w:r>
              <w:rPr>
                <w:sz w:val="14"/>
              </w:rPr>
              <w:t>2600</w:t>
            </w:r>
            <w:r>
              <w:rPr>
                <w:spacing w:val="-2"/>
                <w:sz w:val="14"/>
              </w:rPr>
              <w:t> </w:t>
            </w:r>
            <w:r>
              <w:rPr>
                <w:sz w:val="14"/>
              </w:rPr>
              <w:t>-</w:t>
            </w:r>
            <w:r>
              <w:rPr>
                <w:spacing w:val="-3"/>
                <w:sz w:val="14"/>
              </w:rPr>
              <w:t> </w:t>
            </w:r>
            <w:r>
              <w:rPr>
                <w:sz w:val="14"/>
              </w:rPr>
              <w:t>Programme</w:t>
            </w:r>
            <w:r>
              <w:rPr>
                <w:spacing w:val="-4"/>
                <w:sz w:val="14"/>
              </w:rPr>
              <w:t> </w:t>
            </w:r>
            <w:r>
              <w:rPr>
                <w:sz w:val="14"/>
              </w:rPr>
              <w:t>B1</w:t>
            </w:r>
            <w:r>
              <w:rPr>
                <w:spacing w:val="-1"/>
                <w:sz w:val="14"/>
              </w:rPr>
              <w:t> </w:t>
            </w:r>
            <w:r>
              <w:rPr>
                <w:sz w:val="14"/>
              </w:rPr>
              <w:t>-</w:t>
            </w:r>
            <w:r>
              <w:rPr>
                <w:spacing w:val="-3"/>
                <w:sz w:val="14"/>
              </w:rPr>
              <w:t> </w:t>
            </w:r>
            <w:r>
              <w:rPr>
                <w:sz w:val="14"/>
              </w:rPr>
              <w:t>Deputy</w:t>
            </w:r>
            <w:r>
              <w:rPr>
                <w:spacing w:val="-3"/>
                <w:sz w:val="14"/>
              </w:rPr>
              <w:t> </w:t>
            </w:r>
            <w:r>
              <w:rPr>
                <w:spacing w:val="-2"/>
                <w:sz w:val="14"/>
              </w:rPr>
              <w:t>Prosecutor</w:t>
            </w:r>
          </w:p>
        </w:tc>
        <w:tc>
          <w:tcPr>
            <w:tcW w:w="795" w:type="dxa"/>
          </w:tcPr>
          <w:p>
            <w:pPr>
              <w:pStyle w:val="TableParagraph"/>
              <w:spacing w:before="58"/>
              <w:ind w:right="105"/>
              <w:rPr>
                <w:sz w:val="14"/>
              </w:rPr>
            </w:pPr>
            <w:r>
              <w:rPr>
                <w:spacing w:val="-2"/>
                <w:sz w:val="14"/>
              </w:rPr>
              <w:t>15,158.2</w:t>
            </w:r>
          </w:p>
        </w:tc>
        <w:tc>
          <w:tcPr>
            <w:tcW w:w="980" w:type="dxa"/>
          </w:tcPr>
          <w:p>
            <w:pPr>
              <w:pStyle w:val="TableParagraph"/>
              <w:spacing w:before="58"/>
              <w:ind w:right="108"/>
              <w:rPr>
                <w:sz w:val="14"/>
              </w:rPr>
            </w:pPr>
            <w:r>
              <w:rPr>
                <w:w w:val="99"/>
                <w:sz w:val="14"/>
              </w:rPr>
              <w:t>-</w:t>
            </w:r>
          </w:p>
        </w:tc>
        <w:tc>
          <w:tcPr>
            <w:tcW w:w="861" w:type="dxa"/>
          </w:tcPr>
          <w:p>
            <w:pPr>
              <w:pStyle w:val="TableParagraph"/>
              <w:spacing w:before="58"/>
              <w:ind w:right="120"/>
              <w:rPr>
                <w:sz w:val="14"/>
              </w:rPr>
            </w:pPr>
            <w:r>
              <w:rPr>
                <w:spacing w:val="-2"/>
                <w:sz w:val="14"/>
              </w:rPr>
              <w:t>(22.4)</w:t>
            </w:r>
          </w:p>
        </w:tc>
        <w:tc>
          <w:tcPr>
            <w:tcW w:w="699" w:type="dxa"/>
          </w:tcPr>
          <w:p>
            <w:pPr>
              <w:pStyle w:val="TableParagraph"/>
              <w:spacing w:before="58"/>
              <w:ind w:right="123"/>
              <w:rPr>
                <w:sz w:val="14"/>
              </w:rPr>
            </w:pPr>
            <w:r>
              <w:rPr>
                <w:spacing w:val="-2"/>
                <w:sz w:val="14"/>
              </w:rPr>
              <w:t>465.7</w:t>
            </w:r>
          </w:p>
        </w:tc>
        <w:tc>
          <w:tcPr>
            <w:tcW w:w="685" w:type="dxa"/>
          </w:tcPr>
          <w:p>
            <w:pPr>
              <w:pStyle w:val="TableParagraph"/>
              <w:spacing w:before="58"/>
              <w:ind w:right="111"/>
              <w:rPr>
                <w:sz w:val="14"/>
              </w:rPr>
            </w:pPr>
            <w:r>
              <w:rPr>
                <w:w w:val="99"/>
                <w:sz w:val="14"/>
              </w:rPr>
              <w:t>-</w:t>
            </w:r>
          </w:p>
        </w:tc>
        <w:tc>
          <w:tcPr>
            <w:tcW w:w="1079" w:type="dxa"/>
          </w:tcPr>
          <w:p>
            <w:pPr>
              <w:pStyle w:val="TableParagraph"/>
              <w:spacing w:before="58"/>
              <w:ind w:right="106"/>
              <w:rPr>
                <w:sz w:val="14"/>
              </w:rPr>
            </w:pPr>
            <w:r>
              <w:rPr>
                <w:spacing w:val="-2"/>
                <w:sz w:val="14"/>
              </w:rPr>
              <w:t>15,601.5</w:t>
            </w:r>
          </w:p>
        </w:tc>
        <w:tc>
          <w:tcPr>
            <w:tcW w:w="781" w:type="dxa"/>
          </w:tcPr>
          <w:p>
            <w:pPr>
              <w:pStyle w:val="TableParagraph"/>
              <w:spacing w:before="58"/>
              <w:ind w:right="109"/>
              <w:rPr>
                <w:sz w:val="14"/>
              </w:rPr>
            </w:pPr>
            <w:r>
              <w:rPr>
                <w:spacing w:val="-2"/>
                <w:sz w:val="14"/>
              </w:rPr>
              <w:t>18,169.0</w:t>
            </w:r>
          </w:p>
        </w:tc>
        <w:tc>
          <w:tcPr>
            <w:tcW w:w="796" w:type="dxa"/>
          </w:tcPr>
          <w:p>
            <w:pPr>
              <w:pStyle w:val="TableParagraph"/>
              <w:spacing w:before="58"/>
              <w:ind w:right="122"/>
              <w:rPr>
                <w:sz w:val="14"/>
              </w:rPr>
            </w:pPr>
            <w:r>
              <w:rPr>
                <w:spacing w:val="-2"/>
                <w:sz w:val="14"/>
              </w:rPr>
              <w:t>2,567.5</w:t>
            </w:r>
          </w:p>
        </w:tc>
        <w:tc>
          <w:tcPr>
            <w:tcW w:w="871" w:type="dxa"/>
          </w:tcPr>
          <w:p>
            <w:pPr>
              <w:pStyle w:val="TableParagraph"/>
              <w:spacing w:before="58"/>
              <w:ind w:right="105"/>
              <w:rPr>
                <w:sz w:val="14"/>
              </w:rPr>
            </w:pPr>
            <w:r>
              <w:rPr>
                <w:spacing w:val="-2"/>
                <w:sz w:val="14"/>
              </w:rPr>
              <w:t>3,010.8</w:t>
            </w:r>
          </w:p>
        </w:tc>
      </w:tr>
      <w:tr>
        <w:trPr>
          <w:trHeight w:val="283" w:hRule="atLeast"/>
        </w:trPr>
        <w:tc>
          <w:tcPr>
            <w:tcW w:w="2833" w:type="dxa"/>
          </w:tcPr>
          <w:p>
            <w:pPr>
              <w:pStyle w:val="TableParagraph"/>
              <w:spacing w:before="58"/>
              <w:ind w:right="121"/>
              <w:rPr>
                <w:sz w:val="14"/>
              </w:rPr>
            </w:pPr>
            <w:r>
              <w:rPr>
                <w:sz w:val="14"/>
              </w:rPr>
              <w:t>2700</w:t>
            </w:r>
            <w:r>
              <w:rPr>
                <w:spacing w:val="-2"/>
                <w:sz w:val="14"/>
              </w:rPr>
              <w:t> </w:t>
            </w:r>
            <w:r>
              <w:rPr>
                <w:sz w:val="14"/>
              </w:rPr>
              <w:t>-</w:t>
            </w:r>
            <w:r>
              <w:rPr>
                <w:spacing w:val="-3"/>
                <w:sz w:val="14"/>
              </w:rPr>
              <w:t> </w:t>
            </w:r>
            <w:r>
              <w:rPr>
                <w:sz w:val="14"/>
              </w:rPr>
              <w:t>Programme</w:t>
            </w:r>
            <w:r>
              <w:rPr>
                <w:spacing w:val="-4"/>
                <w:sz w:val="14"/>
              </w:rPr>
              <w:t> </w:t>
            </w:r>
            <w:r>
              <w:rPr>
                <w:sz w:val="14"/>
              </w:rPr>
              <w:t>B2</w:t>
            </w:r>
            <w:r>
              <w:rPr>
                <w:spacing w:val="-1"/>
                <w:sz w:val="14"/>
              </w:rPr>
              <w:t> </w:t>
            </w:r>
            <w:r>
              <w:rPr>
                <w:sz w:val="14"/>
              </w:rPr>
              <w:t>-</w:t>
            </w:r>
            <w:r>
              <w:rPr>
                <w:spacing w:val="-3"/>
                <w:sz w:val="14"/>
              </w:rPr>
              <w:t> </w:t>
            </w:r>
            <w:r>
              <w:rPr>
                <w:sz w:val="14"/>
              </w:rPr>
              <w:t>Deputy</w:t>
            </w:r>
            <w:r>
              <w:rPr>
                <w:spacing w:val="-3"/>
                <w:sz w:val="14"/>
              </w:rPr>
              <w:t> </w:t>
            </w:r>
            <w:r>
              <w:rPr>
                <w:spacing w:val="-2"/>
                <w:sz w:val="14"/>
              </w:rPr>
              <w:t>Prosecutor</w:t>
            </w:r>
          </w:p>
        </w:tc>
        <w:tc>
          <w:tcPr>
            <w:tcW w:w="795" w:type="dxa"/>
          </w:tcPr>
          <w:p>
            <w:pPr>
              <w:pStyle w:val="TableParagraph"/>
              <w:spacing w:before="58"/>
              <w:ind w:right="105"/>
              <w:rPr>
                <w:sz w:val="14"/>
              </w:rPr>
            </w:pPr>
            <w:r>
              <w:rPr>
                <w:spacing w:val="-2"/>
                <w:sz w:val="14"/>
              </w:rPr>
              <w:t>13,912.1</w:t>
            </w:r>
          </w:p>
        </w:tc>
        <w:tc>
          <w:tcPr>
            <w:tcW w:w="980" w:type="dxa"/>
          </w:tcPr>
          <w:p>
            <w:pPr>
              <w:pStyle w:val="TableParagraph"/>
              <w:spacing w:before="58"/>
              <w:ind w:right="105"/>
              <w:rPr>
                <w:sz w:val="14"/>
              </w:rPr>
            </w:pPr>
            <w:r>
              <w:rPr>
                <w:spacing w:val="-2"/>
                <w:sz w:val="14"/>
              </w:rPr>
              <w:t>261.5</w:t>
            </w:r>
          </w:p>
        </w:tc>
        <w:tc>
          <w:tcPr>
            <w:tcW w:w="861" w:type="dxa"/>
          </w:tcPr>
          <w:p>
            <w:pPr>
              <w:pStyle w:val="TableParagraph"/>
              <w:spacing w:before="58"/>
              <w:ind w:right="124"/>
              <w:rPr>
                <w:sz w:val="14"/>
              </w:rPr>
            </w:pPr>
            <w:r>
              <w:rPr>
                <w:w w:val="99"/>
                <w:sz w:val="14"/>
              </w:rPr>
              <w:t>-</w:t>
            </w:r>
          </w:p>
        </w:tc>
        <w:tc>
          <w:tcPr>
            <w:tcW w:w="699" w:type="dxa"/>
          </w:tcPr>
          <w:p>
            <w:pPr>
              <w:pStyle w:val="TableParagraph"/>
              <w:spacing w:before="58"/>
              <w:ind w:right="123"/>
              <w:rPr>
                <w:sz w:val="14"/>
              </w:rPr>
            </w:pPr>
            <w:r>
              <w:rPr>
                <w:spacing w:val="-2"/>
                <w:sz w:val="14"/>
              </w:rPr>
              <w:t>392.2</w:t>
            </w:r>
          </w:p>
        </w:tc>
        <w:tc>
          <w:tcPr>
            <w:tcW w:w="685" w:type="dxa"/>
          </w:tcPr>
          <w:p>
            <w:pPr>
              <w:pStyle w:val="TableParagraph"/>
              <w:spacing w:before="58"/>
              <w:ind w:right="111"/>
              <w:rPr>
                <w:sz w:val="14"/>
              </w:rPr>
            </w:pPr>
            <w:r>
              <w:rPr>
                <w:w w:val="99"/>
                <w:sz w:val="14"/>
              </w:rPr>
              <w:t>-</w:t>
            </w:r>
          </w:p>
        </w:tc>
        <w:tc>
          <w:tcPr>
            <w:tcW w:w="1079" w:type="dxa"/>
          </w:tcPr>
          <w:p>
            <w:pPr>
              <w:pStyle w:val="TableParagraph"/>
              <w:spacing w:before="58"/>
              <w:ind w:right="106"/>
              <w:rPr>
                <w:sz w:val="14"/>
              </w:rPr>
            </w:pPr>
            <w:r>
              <w:rPr>
                <w:spacing w:val="-2"/>
                <w:sz w:val="14"/>
              </w:rPr>
              <w:t>14,565.8</w:t>
            </w:r>
          </w:p>
        </w:tc>
        <w:tc>
          <w:tcPr>
            <w:tcW w:w="781" w:type="dxa"/>
          </w:tcPr>
          <w:p>
            <w:pPr>
              <w:pStyle w:val="TableParagraph"/>
              <w:spacing w:before="58"/>
              <w:ind w:right="109"/>
              <w:rPr>
                <w:sz w:val="14"/>
              </w:rPr>
            </w:pPr>
            <w:r>
              <w:rPr>
                <w:spacing w:val="-2"/>
                <w:sz w:val="14"/>
              </w:rPr>
              <w:t>12,956.9</w:t>
            </w:r>
          </w:p>
        </w:tc>
        <w:tc>
          <w:tcPr>
            <w:tcW w:w="796" w:type="dxa"/>
          </w:tcPr>
          <w:p>
            <w:pPr>
              <w:pStyle w:val="TableParagraph"/>
              <w:spacing w:before="58"/>
              <w:ind w:right="122"/>
              <w:rPr>
                <w:sz w:val="14"/>
              </w:rPr>
            </w:pPr>
            <w:r>
              <w:rPr>
                <w:spacing w:val="-2"/>
                <w:sz w:val="14"/>
              </w:rPr>
              <w:t>(1,608.9)</w:t>
            </w:r>
          </w:p>
        </w:tc>
        <w:tc>
          <w:tcPr>
            <w:tcW w:w="871" w:type="dxa"/>
          </w:tcPr>
          <w:p>
            <w:pPr>
              <w:pStyle w:val="TableParagraph"/>
              <w:spacing w:before="58"/>
              <w:ind w:right="104"/>
              <w:rPr>
                <w:sz w:val="14"/>
              </w:rPr>
            </w:pPr>
            <w:r>
              <w:rPr>
                <w:spacing w:val="-2"/>
                <w:sz w:val="14"/>
              </w:rPr>
              <w:t>(955.2)</w:t>
            </w:r>
          </w:p>
        </w:tc>
      </w:tr>
      <w:tr>
        <w:trPr>
          <w:trHeight w:val="279" w:hRule="atLeast"/>
        </w:trPr>
        <w:tc>
          <w:tcPr>
            <w:tcW w:w="2833" w:type="dxa"/>
            <w:tcBorders>
              <w:bottom w:val="single" w:sz="4" w:space="0" w:color="000000"/>
            </w:tcBorders>
          </w:tcPr>
          <w:p>
            <w:pPr>
              <w:pStyle w:val="TableParagraph"/>
              <w:spacing w:before="58"/>
              <w:ind w:right="157"/>
              <w:rPr>
                <w:sz w:val="14"/>
              </w:rPr>
            </w:pPr>
            <w:r>
              <w:rPr>
                <w:sz w:val="14"/>
              </w:rPr>
              <w:t>2800</w:t>
            </w:r>
            <w:r>
              <w:rPr>
                <w:spacing w:val="-2"/>
                <w:sz w:val="14"/>
              </w:rPr>
              <w:t> </w:t>
            </w:r>
            <w:r>
              <w:rPr>
                <w:sz w:val="14"/>
              </w:rPr>
              <w:t>-</w:t>
            </w:r>
            <w:r>
              <w:rPr>
                <w:spacing w:val="-2"/>
                <w:sz w:val="14"/>
              </w:rPr>
              <w:t> </w:t>
            </w:r>
            <w:r>
              <w:rPr>
                <w:sz w:val="14"/>
              </w:rPr>
              <w:t>Programme</w:t>
            </w:r>
            <w:r>
              <w:rPr>
                <w:spacing w:val="-4"/>
                <w:sz w:val="14"/>
              </w:rPr>
              <w:t> </w:t>
            </w:r>
            <w:r>
              <w:rPr>
                <w:sz w:val="14"/>
              </w:rPr>
              <w:t>C</w:t>
            </w:r>
            <w:r>
              <w:rPr>
                <w:spacing w:val="-4"/>
                <w:sz w:val="14"/>
              </w:rPr>
              <w:t> </w:t>
            </w:r>
            <w:r>
              <w:rPr>
                <w:sz w:val="14"/>
              </w:rPr>
              <w:t>-</w:t>
            </w:r>
            <w:r>
              <w:rPr>
                <w:spacing w:val="-2"/>
                <w:sz w:val="14"/>
              </w:rPr>
              <w:t> </w:t>
            </w:r>
            <w:r>
              <w:rPr>
                <w:sz w:val="14"/>
              </w:rPr>
              <w:t>Integrated</w:t>
            </w:r>
            <w:r>
              <w:rPr>
                <w:spacing w:val="-1"/>
                <w:sz w:val="14"/>
              </w:rPr>
              <w:t> </w:t>
            </w:r>
            <w:r>
              <w:rPr>
                <w:spacing w:val="-2"/>
                <w:sz w:val="14"/>
              </w:rPr>
              <w:t>Services</w:t>
            </w:r>
          </w:p>
        </w:tc>
        <w:tc>
          <w:tcPr>
            <w:tcW w:w="795" w:type="dxa"/>
            <w:tcBorders>
              <w:bottom w:val="single" w:sz="4" w:space="0" w:color="000000"/>
            </w:tcBorders>
          </w:tcPr>
          <w:p>
            <w:pPr>
              <w:pStyle w:val="TableParagraph"/>
              <w:spacing w:before="58"/>
              <w:ind w:right="105"/>
              <w:rPr>
                <w:sz w:val="14"/>
              </w:rPr>
            </w:pPr>
            <w:r>
              <w:rPr>
                <w:spacing w:val="-2"/>
                <w:sz w:val="14"/>
              </w:rPr>
              <w:t>16,372.0</w:t>
            </w:r>
          </w:p>
        </w:tc>
        <w:tc>
          <w:tcPr>
            <w:tcW w:w="980" w:type="dxa"/>
            <w:tcBorders>
              <w:bottom w:val="single" w:sz="4" w:space="0" w:color="000000"/>
            </w:tcBorders>
          </w:tcPr>
          <w:p>
            <w:pPr>
              <w:pStyle w:val="TableParagraph"/>
              <w:spacing w:before="58"/>
              <w:ind w:right="108"/>
              <w:rPr>
                <w:sz w:val="14"/>
              </w:rPr>
            </w:pPr>
            <w:r>
              <w:rPr>
                <w:w w:val="99"/>
                <w:sz w:val="14"/>
              </w:rPr>
              <w:t>-</w:t>
            </w:r>
          </w:p>
        </w:tc>
        <w:tc>
          <w:tcPr>
            <w:tcW w:w="861" w:type="dxa"/>
            <w:tcBorders>
              <w:bottom w:val="single" w:sz="4" w:space="0" w:color="000000"/>
            </w:tcBorders>
          </w:tcPr>
          <w:p>
            <w:pPr>
              <w:pStyle w:val="TableParagraph"/>
              <w:spacing w:before="58"/>
              <w:ind w:right="120"/>
              <w:rPr>
                <w:sz w:val="14"/>
              </w:rPr>
            </w:pPr>
            <w:r>
              <w:rPr>
                <w:spacing w:val="-2"/>
                <w:sz w:val="14"/>
              </w:rPr>
              <w:t>(45.2)</w:t>
            </w:r>
          </w:p>
        </w:tc>
        <w:tc>
          <w:tcPr>
            <w:tcW w:w="699" w:type="dxa"/>
            <w:tcBorders>
              <w:bottom w:val="single" w:sz="4" w:space="0" w:color="000000"/>
            </w:tcBorders>
          </w:tcPr>
          <w:p>
            <w:pPr>
              <w:pStyle w:val="TableParagraph"/>
              <w:spacing w:before="58"/>
              <w:ind w:right="123"/>
              <w:rPr>
                <w:sz w:val="14"/>
              </w:rPr>
            </w:pPr>
            <w:r>
              <w:rPr>
                <w:spacing w:val="-2"/>
                <w:sz w:val="14"/>
              </w:rPr>
              <w:t>477.5</w:t>
            </w:r>
          </w:p>
        </w:tc>
        <w:tc>
          <w:tcPr>
            <w:tcW w:w="685" w:type="dxa"/>
            <w:tcBorders>
              <w:bottom w:val="single" w:sz="4" w:space="0" w:color="000000"/>
            </w:tcBorders>
          </w:tcPr>
          <w:p>
            <w:pPr>
              <w:pStyle w:val="TableParagraph"/>
              <w:spacing w:before="58"/>
              <w:ind w:right="111"/>
              <w:rPr>
                <w:sz w:val="14"/>
              </w:rPr>
            </w:pPr>
            <w:r>
              <w:rPr>
                <w:w w:val="99"/>
                <w:sz w:val="14"/>
              </w:rPr>
              <w:t>-</w:t>
            </w:r>
          </w:p>
        </w:tc>
        <w:tc>
          <w:tcPr>
            <w:tcW w:w="1079" w:type="dxa"/>
            <w:tcBorders>
              <w:bottom w:val="single" w:sz="4" w:space="0" w:color="000000"/>
            </w:tcBorders>
          </w:tcPr>
          <w:p>
            <w:pPr>
              <w:pStyle w:val="TableParagraph"/>
              <w:spacing w:before="58"/>
              <w:ind w:right="106"/>
              <w:rPr>
                <w:sz w:val="14"/>
              </w:rPr>
            </w:pPr>
            <w:r>
              <w:rPr>
                <w:spacing w:val="-2"/>
                <w:sz w:val="14"/>
              </w:rPr>
              <w:t>16,804.3</w:t>
            </w:r>
          </w:p>
        </w:tc>
        <w:tc>
          <w:tcPr>
            <w:tcW w:w="781" w:type="dxa"/>
            <w:tcBorders>
              <w:bottom w:val="single" w:sz="4" w:space="0" w:color="000000"/>
            </w:tcBorders>
          </w:tcPr>
          <w:p>
            <w:pPr>
              <w:pStyle w:val="TableParagraph"/>
              <w:spacing w:before="58"/>
              <w:ind w:right="109"/>
              <w:rPr>
                <w:sz w:val="14"/>
              </w:rPr>
            </w:pPr>
            <w:r>
              <w:rPr>
                <w:spacing w:val="-2"/>
                <w:sz w:val="14"/>
              </w:rPr>
              <w:t>18,718.7</w:t>
            </w:r>
          </w:p>
        </w:tc>
        <w:tc>
          <w:tcPr>
            <w:tcW w:w="796" w:type="dxa"/>
            <w:tcBorders>
              <w:bottom w:val="single" w:sz="4" w:space="0" w:color="000000"/>
            </w:tcBorders>
          </w:tcPr>
          <w:p>
            <w:pPr>
              <w:pStyle w:val="TableParagraph"/>
              <w:spacing w:before="58"/>
              <w:ind w:right="122"/>
              <w:rPr>
                <w:sz w:val="14"/>
              </w:rPr>
            </w:pPr>
            <w:r>
              <w:rPr>
                <w:spacing w:val="-2"/>
                <w:sz w:val="14"/>
              </w:rPr>
              <w:t>1,914.4</w:t>
            </w:r>
          </w:p>
        </w:tc>
        <w:tc>
          <w:tcPr>
            <w:tcW w:w="871" w:type="dxa"/>
            <w:tcBorders>
              <w:bottom w:val="single" w:sz="4" w:space="0" w:color="000000"/>
            </w:tcBorders>
          </w:tcPr>
          <w:p>
            <w:pPr>
              <w:pStyle w:val="TableParagraph"/>
              <w:spacing w:before="58"/>
              <w:ind w:right="105"/>
              <w:rPr>
                <w:sz w:val="14"/>
              </w:rPr>
            </w:pPr>
            <w:r>
              <w:rPr>
                <w:spacing w:val="-2"/>
                <w:sz w:val="14"/>
              </w:rPr>
              <w:t>2,346.7</w:t>
            </w:r>
          </w:p>
        </w:tc>
      </w:tr>
      <w:tr>
        <w:trPr>
          <w:trHeight w:val="282" w:hRule="atLeast"/>
        </w:trPr>
        <w:tc>
          <w:tcPr>
            <w:tcW w:w="2833" w:type="dxa"/>
            <w:tcBorders>
              <w:top w:val="single" w:sz="4" w:space="0" w:color="000000"/>
              <w:bottom w:val="single" w:sz="4" w:space="0" w:color="000000"/>
            </w:tcBorders>
            <w:shd w:val="clear" w:color="auto" w:fill="F1F1F1"/>
          </w:tcPr>
          <w:p>
            <w:pPr>
              <w:pStyle w:val="TableParagraph"/>
              <w:spacing w:before="61"/>
              <w:ind w:left="124"/>
              <w:jc w:val="left"/>
              <w:rPr>
                <w:i/>
                <w:sz w:val="14"/>
              </w:rPr>
            </w:pPr>
            <w:r>
              <w:rPr>
                <w:i/>
                <w:sz w:val="14"/>
              </w:rPr>
              <w:t>MPII</w:t>
            </w:r>
            <w:r>
              <w:rPr>
                <w:i/>
                <w:spacing w:val="-2"/>
                <w:sz w:val="14"/>
              </w:rPr>
              <w:t> </w:t>
            </w:r>
            <w:r>
              <w:rPr>
                <w:i/>
                <w:sz w:val="14"/>
              </w:rPr>
              <w:t>-</w:t>
            </w:r>
            <w:r>
              <w:rPr>
                <w:i/>
                <w:spacing w:val="-1"/>
                <w:sz w:val="14"/>
              </w:rPr>
              <w:t> </w:t>
            </w:r>
            <w:r>
              <w:rPr>
                <w:i/>
                <w:sz w:val="14"/>
              </w:rPr>
              <w:t>Office</w:t>
            </w:r>
            <w:r>
              <w:rPr>
                <w:i/>
                <w:spacing w:val="-4"/>
                <w:sz w:val="14"/>
              </w:rPr>
              <w:t> </w:t>
            </w:r>
            <w:r>
              <w:rPr>
                <w:i/>
                <w:sz w:val="14"/>
              </w:rPr>
              <w:t>of</w:t>
            </w:r>
            <w:r>
              <w:rPr>
                <w:i/>
                <w:spacing w:val="-3"/>
                <w:sz w:val="14"/>
              </w:rPr>
              <w:t> </w:t>
            </w:r>
            <w:r>
              <w:rPr>
                <w:i/>
                <w:sz w:val="14"/>
              </w:rPr>
              <w:t>the</w:t>
            </w:r>
            <w:r>
              <w:rPr>
                <w:i/>
                <w:spacing w:val="-3"/>
                <w:sz w:val="14"/>
              </w:rPr>
              <w:t> </w:t>
            </w:r>
            <w:r>
              <w:rPr>
                <w:i/>
                <w:spacing w:val="-2"/>
                <w:sz w:val="14"/>
              </w:rPr>
              <w:t>Prosecutor</w:t>
            </w:r>
          </w:p>
        </w:tc>
        <w:tc>
          <w:tcPr>
            <w:tcW w:w="795" w:type="dxa"/>
            <w:tcBorders>
              <w:top w:val="single" w:sz="4" w:space="0" w:color="000000"/>
              <w:bottom w:val="single" w:sz="4" w:space="0" w:color="000000"/>
            </w:tcBorders>
            <w:shd w:val="clear" w:color="auto" w:fill="F1F1F1"/>
          </w:tcPr>
          <w:p>
            <w:pPr>
              <w:pStyle w:val="TableParagraph"/>
              <w:spacing w:before="61"/>
              <w:ind w:right="105"/>
              <w:rPr>
                <w:i/>
                <w:sz w:val="14"/>
              </w:rPr>
            </w:pPr>
            <w:r>
              <w:rPr>
                <w:i/>
                <w:spacing w:val="-2"/>
                <w:sz w:val="14"/>
              </w:rPr>
              <w:t>49,546.4</w:t>
            </w:r>
          </w:p>
        </w:tc>
        <w:tc>
          <w:tcPr>
            <w:tcW w:w="980" w:type="dxa"/>
            <w:tcBorders>
              <w:top w:val="single" w:sz="4" w:space="0" w:color="000000"/>
              <w:bottom w:val="single" w:sz="4" w:space="0" w:color="000000"/>
            </w:tcBorders>
            <w:shd w:val="clear" w:color="auto" w:fill="F1F1F1"/>
          </w:tcPr>
          <w:p>
            <w:pPr>
              <w:pStyle w:val="TableParagraph"/>
              <w:spacing w:before="61"/>
              <w:ind w:right="105"/>
              <w:rPr>
                <w:i/>
                <w:sz w:val="14"/>
              </w:rPr>
            </w:pPr>
            <w:r>
              <w:rPr>
                <w:i/>
                <w:spacing w:val="-2"/>
                <w:sz w:val="14"/>
              </w:rPr>
              <w:t>261.5</w:t>
            </w:r>
          </w:p>
        </w:tc>
        <w:tc>
          <w:tcPr>
            <w:tcW w:w="861" w:type="dxa"/>
            <w:tcBorders>
              <w:top w:val="single" w:sz="4" w:space="0" w:color="000000"/>
              <w:bottom w:val="single" w:sz="4" w:space="0" w:color="000000"/>
            </w:tcBorders>
            <w:shd w:val="clear" w:color="auto" w:fill="F1F1F1"/>
          </w:tcPr>
          <w:p>
            <w:pPr>
              <w:pStyle w:val="TableParagraph"/>
              <w:spacing w:before="61"/>
              <w:ind w:right="120"/>
              <w:rPr>
                <w:i/>
                <w:sz w:val="14"/>
              </w:rPr>
            </w:pPr>
            <w:r>
              <w:rPr>
                <w:i/>
                <w:spacing w:val="-2"/>
                <w:sz w:val="14"/>
              </w:rPr>
              <w:t>(316.1)</w:t>
            </w:r>
          </w:p>
        </w:tc>
        <w:tc>
          <w:tcPr>
            <w:tcW w:w="699" w:type="dxa"/>
            <w:tcBorders>
              <w:top w:val="single" w:sz="4" w:space="0" w:color="000000"/>
              <w:bottom w:val="single" w:sz="4" w:space="0" w:color="000000"/>
            </w:tcBorders>
            <w:shd w:val="clear" w:color="auto" w:fill="F1F1F1"/>
          </w:tcPr>
          <w:p>
            <w:pPr>
              <w:pStyle w:val="TableParagraph"/>
              <w:spacing w:before="61"/>
              <w:ind w:right="124"/>
              <w:rPr>
                <w:i/>
                <w:sz w:val="14"/>
              </w:rPr>
            </w:pPr>
            <w:r>
              <w:rPr>
                <w:i/>
                <w:spacing w:val="-2"/>
                <w:sz w:val="14"/>
              </w:rPr>
              <w:t>1,455.2</w:t>
            </w:r>
          </w:p>
        </w:tc>
        <w:tc>
          <w:tcPr>
            <w:tcW w:w="685" w:type="dxa"/>
            <w:tcBorders>
              <w:top w:val="single" w:sz="4" w:space="0" w:color="000000"/>
              <w:bottom w:val="single" w:sz="4" w:space="0" w:color="000000"/>
            </w:tcBorders>
            <w:shd w:val="clear" w:color="auto" w:fill="F1F1F1"/>
          </w:tcPr>
          <w:p>
            <w:pPr>
              <w:pStyle w:val="TableParagraph"/>
              <w:spacing w:before="61"/>
              <w:ind w:right="111"/>
              <w:rPr>
                <w:i/>
                <w:sz w:val="14"/>
              </w:rPr>
            </w:pPr>
            <w:r>
              <w:rPr>
                <w:i/>
                <w:w w:val="99"/>
                <w:sz w:val="14"/>
              </w:rPr>
              <w:t>-</w:t>
            </w:r>
          </w:p>
        </w:tc>
        <w:tc>
          <w:tcPr>
            <w:tcW w:w="1079" w:type="dxa"/>
            <w:tcBorders>
              <w:top w:val="single" w:sz="4" w:space="0" w:color="000000"/>
              <w:bottom w:val="single" w:sz="4" w:space="0" w:color="000000"/>
            </w:tcBorders>
            <w:shd w:val="clear" w:color="auto" w:fill="F1F1F1"/>
          </w:tcPr>
          <w:p>
            <w:pPr>
              <w:pStyle w:val="TableParagraph"/>
              <w:spacing w:before="61"/>
              <w:ind w:right="106"/>
              <w:rPr>
                <w:i/>
                <w:sz w:val="14"/>
              </w:rPr>
            </w:pPr>
            <w:r>
              <w:rPr>
                <w:i/>
                <w:spacing w:val="-2"/>
                <w:sz w:val="14"/>
              </w:rPr>
              <w:t>50,947.0</w:t>
            </w:r>
          </w:p>
        </w:tc>
        <w:tc>
          <w:tcPr>
            <w:tcW w:w="781" w:type="dxa"/>
            <w:tcBorders>
              <w:top w:val="single" w:sz="4" w:space="0" w:color="000000"/>
              <w:bottom w:val="single" w:sz="4" w:space="0" w:color="000000"/>
            </w:tcBorders>
            <w:shd w:val="clear" w:color="auto" w:fill="F1F1F1"/>
          </w:tcPr>
          <w:p>
            <w:pPr>
              <w:pStyle w:val="TableParagraph"/>
              <w:spacing w:before="61"/>
              <w:ind w:right="109"/>
              <w:rPr>
                <w:i/>
                <w:sz w:val="14"/>
              </w:rPr>
            </w:pPr>
            <w:r>
              <w:rPr>
                <w:i/>
                <w:spacing w:val="-2"/>
                <w:sz w:val="14"/>
              </w:rPr>
              <w:t>59,338.2</w:t>
            </w:r>
          </w:p>
        </w:tc>
        <w:tc>
          <w:tcPr>
            <w:tcW w:w="796" w:type="dxa"/>
            <w:tcBorders>
              <w:top w:val="single" w:sz="4" w:space="0" w:color="000000"/>
              <w:bottom w:val="single" w:sz="4" w:space="0" w:color="000000"/>
            </w:tcBorders>
            <w:shd w:val="clear" w:color="auto" w:fill="F1F1F1"/>
          </w:tcPr>
          <w:p>
            <w:pPr>
              <w:pStyle w:val="TableParagraph"/>
              <w:spacing w:before="61"/>
              <w:ind w:right="122"/>
              <w:rPr>
                <w:i/>
                <w:sz w:val="14"/>
              </w:rPr>
            </w:pPr>
            <w:r>
              <w:rPr>
                <w:i/>
                <w:spacing w:val="-2"/>
                <w:sz w:val="14"/>
              </w:rPr>
              <w:t>8,391.2</w:t>
            </w:r>
          </w:p>
        </w:tc>
        <w:tc>
          <w:tcPr>
            <w:tcW w:w="871" w:type="dxa"/>
            <w:tcBorders>
              <w:top w:val="single" w:sz="4" w:space="0" w:color="000000"/>
              <w:bottom w:val="single" w:sz="4" w:space="0" w:color="000000"/>
            </w:tcBorders>
            <w:shd w:val="clear" w:color="auto" w:fill="F1F1F1"/>
          </w:tcPr>
          <w:p>
            <w:pPr>
              <w:pStyle w:val="TableParagraph"/>
              <w:spacing w:before="61"/>
              <w:ind w:right="105"/>
              <w:rPr>
                <w:i/>
                <w:sz w:val="14"/>
              </w:rPr>
            </w:pPr>
            <w:r>
              <w:rPr>
                <w:i/>
                <w:spacing w:val="-2"/>
                <w:sz w:val="14"/>
              </w:rPr>
              <w:t>9,791.8</w:t>
            </w:r>
          </w:p>
        </w:tc>
      </w:tr>
      <w:tr>
        <w:trPr>
          <w:trHeight w:val="255" w:hRule="atLeast"/>
        </w:trPr>
        <w:tc>
          <w:tcPr>
            <w:tcW w:w="2833" w:type="dxa"/>
            <w:tcBorders>
              <w:top w:val="single" w:sz="4" w:space="0" w:color="000000"/>
            </w:tcBorders>
          </w:tcPr>
          <w:p>
            <w:pPr>
              <w:pStyle w:val="TableParagraph"/>
              <w:spacing w:before="61"/>
              <w:ind w:left="297"/>
              <w:jc w:val="left"/>
              <w:rPr>
                <w:sz w:val="14"/>
              </w:rPr>
            </w:pPr>
            <w:r>
              <w:rPr>
                <w:sz w:val="14"/>
              </w:rPr>
              <w:t>3100 -</w:t>
            </w:r>
            <w:r>
              <w:rPr>
                <w:spacing w:val="-1"/>
                <w:sz w:val="14"/>
              </w:rPr>
              <w:t> </w:t>
            </w:r>
            <w:r>
              <w:rPr>
                <w:sz w:val="14"/>
              </w:rPr>
              <w:t>Office</w:t>
            </w:r>
            <w:r>
              <w:rPr>
                <w:spacing w:val="-2"/>
                <w:sz w:val="14"/>
              </w:rPr>
              <w:t> </w:t>
            </w:r>
            <w:r>
              <w:rPr>
                <w:sz w:val="14"/>
              </w:rPr>
              <w:t>of the</w:t>
            </w:r>
            <w:r>
              <w:rPr>
                <w:spacing w:val="-3"/>
                <w:sz w:val="14"/>
              </w:rPr>
              <w:t> </w:t>
            </w:r>
            <w:r>
              <w:rPr>
                <w:spacing w:val="-2"/>
                <w:sz w:val="14"/>
              </w:rPr>
              <w:t>Registrar</w:t>
            </w:r>
          </w:p>
        </w:tc>
        <w:tc>
          <w:tcPr>
            <w:tcW w:w="795" w:type="dxa"/>
            <w:tcBorders>
              <w:top w:val="single" w:sz="4" w:space="0" w:color="000000"/>
            </w:tcBorders>
          </w:tcPr>
          <w:p>
            <w:pPr>
              <w:pStyle w:val="TableParagraph"/>
              <w:spacing w:before="61"/>
              <w:ind w:right="105"/>
              <w:rPr>
                <w:sz w:val="14"/>
              </w:rPr>
            </w:pPr>
            <w:r>
              <w:rPr>
                <w:spacing w:val="-2"/>
                <w:sz w:val="14"/>
              </w:rPr>
              <w:t>1,658.0</w:t>
            </w:r>
          </w:p>
        </w:tc>
        <w:tc>
          <w:tcPr>
            <w:tcW w:w="980" w:type="dxa"/>
            <w:tcBorders>
              <w:top w:val="single" w:sz="4" w:space="0" w:color="000000"/>
            </w:tcBorders>
          </w:tcPr>
          <w:p>
            <w:pPr>
              <w:pStyle w:val="TableParagraph"/>
              <w:spacing w:before="61"/>
              <w:ind w:right="108"/>
              <w:rPr>
                <w:sz w:val="14"/>
              </w:rPr>
            </w:pPr>
            <w:r>
              <w:rPr>
                <w:w w:val="99"/>
                <w:sz w:val="14"/>
              </w:rPr>
              <w:t>-</w:t>
            </w:r>
          </w:p>
        </w:tc>
        <w:tc>
          <w:tcPr>
            <w:tcW w:w="861" w:type="dxa"/>
            <w:tcBorders>
              <w:top w:val="single" w:sz="4" w:space="0" w:color="000000"/>
            </w:tcBorders>
          </w:tcPr>
          <w:p>
            <w:pPr>
              <w:pStyle w:val="TableParagraph"/>
              <w:spacing w:before="61"/>
              <w:ind w:right="124"/>
              <w:rPr>
                <w:sz w:val="14"/>
              </w:rPr>
            </w:pPr>
            <w:r>
              <w:rPr>
                <w:w w:val="99"/>
                <w:sz w:val="14"/>
              </w:rPr>
              <w:t>-</w:t>
            </w:r>
          </w:p>
        </w:tc>
        <w:tc>
          <w:tcPr>
            <w:tcW w:w="699" w:type="dxa"/>
            <w:tcBorders>
              <w:top w:val="single" w:sz="4" w:space="0" w:color="000000"/>
            </w:tcBorders>
          </w:tcPr>
          <w:p>
            <w:pPr>
              <w:pStyle w:val="TableParagraph"/>
              <w:spacing w:before="61"/>
              <w:ind w:right="123"/>
              <w:rPr>
                <w:sz w:val="14"/>
              </w:rPr>
            </w:pPr>
            <w:r>
              <w:rPr>
                <w:spacing w:val="-4"/>
                <w:sz w:val="14"/>
              </w:rPr>
              <w:t>58.2</w:t>
            </w:r>
          </w:p>
        </w:tc>
        <w:tc>
          <w:tcPr>
            <w:tcW w:w="685" w:type="dxa"/>
            <w:tcBorders>
              <w:top w:val="single" w:sz="4" w:space="0" w:color="000000"/>
            </w:tcBorders>
          </w:tcPr>
          <w:p>
            <w:pPr>
              <w:pStyle w:val="TableParagraph"/>
              <w:spacing w:before="61"/>
              <w:ind w:right="111"/>
              <w:rPr>
                <w:sz w:val="14"/>
              </w:rPr>
            </w:pPr>
            <w:r>
              <w:rPr>
                <w:w w:val="99"/>
                <w:sz w:val="14"/>
              </w:rPr>
              <w:t>-</w:t>
            </w:r>
          </w:p>
        </w:tc>
        <w:tc>
          <w:tcPr>
            <w:tcW w:w="1079" w:type="dxa"/>
            <w:tcBorders>
              <w:top w:val="single" w:sz="4" w:space="0" w:color="000000"/>
            </w:tcBorders>
          </w:tcPr>
          <w:p>
            <w:pPr>
              <w:pStyle w:val="TableParagraph"/>
              <w:spacing w:before="61"/>
              <w:ind w:right="106"/>
              <w:rPr>
                <w:sz w:val="14"/>
              </w:rPr>
            </w:pPr>
            <w:r>
              <w:rPr>
                <w:spacing w:val="-2"/>
                <w:sz w:val="14"/>
              </w:rPr>
              <w:t>1,716.2</w:t>
            </w:r>
          </w:p>
        </w:tc>
        <w:tc>
          <w:tcPr>
            <w:tcW w:w="781" w:type="dxa"/>
            <w:tcBorders>
              <w:top w:val="single" w:sz="4" w:space="0" w:color="000000"/>
            </w:tcBorders>
          </w:tcPr>
          <w:p>
            <w:pPr>
              <w:pStyle w:val="TableParagraph"/>
              <w:spacing w:before="61"/>
              <w:ind w:right="109"/>
              <w:rPr>
                <w:sz w:val="14"/>
              </w:rPr>
            </w:pPr>
            <w:r>
              <w:rPr>
                <w:spacing w:val="-2"/>
                <w:sz w:val="14"/>
              </w:rPr>
              <w:t>2,173.6</w:t>
            </w:r>
          </w:p>
        </w:tc>
        <w:tc>
          <w:tcPr>
            <w:tcW w:w="796" w:type="dxa"/>
            <w:tcBorders>
              <w:top w:val="single" w:sz="4" w:space="0" w:color="000000"/>
            </w:tcBorders>
          </w:tcPr>
          <w:p>
            <w:pPr>
              <w:pStyle w:val="TableParagraph"/>
              <w:spacing w:before="61"/>
              <w:ind w:right="122"/>
              <w:rPr>
                <w:sz w:val="14"/>
              </w:rPr>
            </w:pPr>
            <w:r>
              <w:rPr>
                <w:spacing w:val="-2"/>
                <w:sz w:val="14"/>
              </w:rPr>
              <w:t>457.4</w:t>
            </w:r>
          </w:p>
        </w:tc>
        <w:tc>
          <w:tcPr>
            <w:tcW w:w="871" w:type="dxa"/>
            <w:tcBorders>
              <w:top w:val="single" w:sz="4" w:space="0" w:color="000000"/>
            </w:tcBorders>
          </w:tcPr>
          <w:p>
            <w:pPr>
              <w:pStyle w:val="TableParagraph"/>
              <w:spacing w:before="61"/>
              <w:ind w:right="105"/>
              <w:rPr>
                <w:sz w:val="14"/>
              </w:rPr>
            </w:pPr>
            <w:r>
              <w:rPr>
                <w:spacing w:val="-2"/>
                <w:sz w:val="14"/>
              </w:rPr>
              <w:t>515.6</w:t>
            </w:r>
          </w:p>
        </w:tc>
      </w:tr>
      <w:tr>
        <w:trPr>
          <w:trHeight w:val="352" w:hRule="atLeast"/>
        </w:trPr>
        <w:tc>
          <w:tcPr>
            <w:tcW w:w="2833" w:type="dxa"/>
          </w:tcPr>
          <w:p>
            <w:pPr>
              <w:pStyle w:val="TableParagraph"/>
              <w:spacing w:line="160" w:lineRule="atLeast" w:before="11"/>
              <w:ind w:left="297" w:right="673"/>
              <w:jc w:val="left"/>
              <w:rPr>
                <w:sz w:val="14"/>
              </w:rPr>
            </w:pPr>
            <w:r>
              <w:rPr>
                <w:sz w:val="14"/>
              </w:rPr>
              <w:t>3200</w:t>
            </w:r>
            <w:r>
              <w:rPr>
                <w:spacing w:val="-9"/>
                <w:sz w:val="14"/>
              </w:rPr>
              <w:t> </w:t>
            </w:r>
            <w:r>
              <w:rPr>
                <w:sz w:val="14"/>
              </w:rPr>
              <w:t>-</w:t>
            </w:r>
            <w:r>
              <w:rPr>
                <w:spacing w:val="-9"/>
                <w:sz w:val="14"/>
              </w:rPr>
              <w:t> </w:t>
            </w:r>
            <w:r>
              <w:rPr>
                <w:sz w:val="14"/>
              </w:rPr>
              <w:t>Division</w:t>
            </w:r>
            <w:r>
              <w:rPr>
                <w:spacing w:val="-9"/>
                <w:sz w:val="14"/>
              </w:rPr>
              <w:t> </w:t>
            </w:r>
            <w:r>
              <w:rPr>
                <w:sz w:val="14"/>
              </w:rPr>
              <w:t>of</w:t>
            </w:r>
            <w:r>
              <w:rPr>
                <w:spacing w:val="-8"/>
                <w:sz w:val="14"/>
              </w:rPr>
              <w:t> </w:t>
            </w:r>
            <w:r>
              <w:rPr>
                <w:sz w:val="14"/>
              </w:rPr>
              <w:t>Management</w:t>
            </w:r>
            <w:r>
              <w:rPr>
                <w:spacing w:val="40"/>
                <w:sz w:val="14"/>
              </w:rPr>
              <w:t> </w:t>
            </w:r>
            <w:r>
              <w:rPr>
                <w:sz w:val="14"/>
              </w:rPr>
              <w:t>Services</w:t>
            </w:r>
            <w:r>
              <w:rPr>
                <w:spacing w:val="-9"/>
                <w:sz w:val="14"/>
              </w:rPr>
              <w:t> </w:t>
            </w:r>
            <w:r>
              <w:rPr>
                <w:sz w:val="14"/>
              </w:rPr>
              <w:t>(DMS)</w:t>
            </w:r>
          </w:p>
        </w:tc>
        <w:tc>
          <w:tcPr>
            <w:tcW w:w="795" w:type="dxa"/>
          </w:tcPr>
          <w:p>
            <w:pPr>
              <w:pStyle w:val="TableParagraph"/>
              <w:spacing w:before="108"/>
              <w:ind w:right="105"/>
              <w:rPr>
                <w:sz w:val="14"/>
              </w:rPr>
            </w:pPr>
            <w:r>
              <w:rPr>
                <w:spacing w:val="-2"/>
                <w:sz w:val="14"/>
              </w:rPr>
              <w:t>18,475.6</w:t>
            </w:r>
          </w:p>
        </w:tc>
        <w:tc>
          <w:tcPr>
            <w:tcW w:w="980" w:type="dxa"/>
          </w:tcPr>
          <w:p>
            <w:pPr>
              <w:pStyle w:val="TableParagraph"/>
              <w:spacing w:before="108"/>
              <w:ind w:right="104"/>
              <w:rPr>
                <w:sz w:val="14"/>
              </w:rPr>
            </w:pPr>
            <w:r>
              <w:rPr>
                <w:spacing w:val="-4"/>
                <w:sz w:val="14"/>
              </w:rPr>
              <w:t>39.3</w:t>
            </w:r>
          </w:p>
        </w:tc>
        <w:tc>
          <w:tcPr>
            <w:tcW w:w="861" w:type="dxa"/>
          </w:tcPr>
          <w:p>
            <w:pPr>
              <w:pStyle w:val="TableParagraph"/>
              <w:spacing w:before="108"/>
              <w:ind w:right="124"/>
              <w:rPr>
                <w:sz w:val="14"/>
              </w:rPr>
            </w:pPr>
            <w:r>
              <w:rPr>
                <w:w w:val="99"/>
                <w:sz w:val="14"/>
              </w:rPr>
              <w:t>-</w:t>
            </w:r>
          </w:p>
        </w:tc>
        <w:tc>
          <w:tcPr>
            <w:tcW w:w="699" w:type="dxa"/>
          </w:tcPr>
          <w:p>
            <w:pPr>
              <w:pStyle w:val="TableParagraph"/>
              <w:spacing w:before="108"/>
              <w:ind w:right="123"/>
              <w:rPr>
                <w:sz w:val="14"/>
              </w:rPr>
            </w:pPr>
            <w:r>
              <w:rPr>
                <w:spacing w:val="-2"/>
                <w:sz w:val="14"/>
              </w:rPr>
              <w:t>493.8</w:t>
            </w:r>
          </w:p>
        </w:tc>
        <w:tc>
          <w:tcPr>
            <w:tcW w:w="685" w:type="dxa"/>
          </w:tcPr>
          <w:p>
            <w:pPr>
              <w:pStyle w:val="TableParagraph"/>
              <w:spacing w:before="108"/>
              <w:ind w:right="111"/>
              <w:rPr>
                <w:sz w:val="14"/>
              </w:rPr>
            </w:pPr>
            <w:r>
              <w:rPr>
                <w:w w:val="99"/>
                <w:sz w:val="14"/>
              </w:rPr>
              <w:t>-</w:t>
            </w:r>
          </w:p>
        </w:tc>
        <w:tc>
          <w:tcPr>
            <w:tcW w:w="1079" w:type="dxa"/>
          </w:tcPr>
          <w:p>
            <w:pPr>
              <w:pStyle w:val="TableParagraph"/>
              <w:spacing w:before="108"/>
              <w:ind w:right="106"/>
              <w:rPr>
                <w:sz w:val="14"/>
              </w:rPr>
            </w:pPr>
            <w:r>
              <w:rPr>
                <w:spacing w:val="-2"/>
                <w:sz w:val="14"/>
              </w:rPr>
              <w:t>19,008.7</w:t>
            </w:r>
          </w:p>
        </w:tc>
        <w:tc>
          <w:tcPr>
            <w:tcW w:w="781" w:type="dxa"/>
          </w:tcPr>
          <w:p>
            <w:pPr>
              <w:pStyle w:val="TableParagraph"/>
              <w:spacing w:before="108"/>
              <w:ind w:right="109"/>
              <w:rPr>
                <w:sz w:val="14"/>
              </w:rPr>
            </w:pPr>
            <w:r>
              <w:rPr>
                <w:spacing w:val="-2"/>
                <w:sz w:val="14"/>
              </w:rPr>
              <w:t>21,275.7</w:t>
            </w:r>
          </w:p>
        </w:tc>
        <w:tc>
          <w:tcPr>
            <w:tcW w:w="796" w:type="dxa"/>
          </w:tcPr>
          <w:p>
            <w:pPr>
              <w:pStyle w:val="TableParagraph"/>
              <w:spacing w:before="108"/>
              <w:ind w:right="122"/>
              <w:rPr>
                <w:sz w:val="14"/>
              </w:rPr>
            </w:pPr>
            <w:r>
              <w:rPr>
                <w:spacing w:val="-2"/>
                <w:sz w:val="14"/>
              </w:rPr>
              <w:t>2,267.0</w:t>
            </w:r>
          </w:p>
        </w:tc>
        <w:tc>
          <w:tcPr>
            <w:tcW w:w="871" w:type="dxa"/>
          </w:tcPr>
          <w:p>
            <w:pPr>
              <w:pStyle w:val="TableParagraph"/>
              <w:spacing w:before="108"/>
              <w:ind w:right="105"/>
              <w:rPr>
                <w:sz w:val="14"/>
              </w:rPr>
            </w:pPr>
            <w:r>
              <w:rPr>
                <w:spacing w:val="-2"/>
                <w:sz w:val="14"/>
              </w:rPr>
              <w:t>2,800.1</w:t>
            </w:r>
          </w:p>
        </w:tc>
      </w:tr>
      <w:tr>
        <w:trPr>
          <w:trHeight w:val="321" w:hRule="atLeast"/>
        </w:trPr>
        <w:tc>
          <w:tcPr>
            <w:tcW w:w="2833" w:type="dxa"/>
          </w:tcPr>
          <w:p>
            <w:pPr>
              <w:pStyle w:val="TableParagraph"/>
              <w:spacing w:line="156" w:lineRule="exact"/>
              <w:ind w:left="297"/>
              <w:jc w:val="left"/>
              <w:rPr>
                <w:sz w:val="14"/>
              </w:rPr>
            </w:pPr>
            <w:r>
              <w:rPr>
                <w:sz w:val="14"/>
              </w:rPr>
              <w:t>3300</w:t>
            </w:r>
            <w:r>
              <w:rPr>
                <w:spacing w:val="-1"/>
                <w:sz w:val="14"/>
              </w:rPr>
              <w:t> </w:t>
            </w:r>
            <w:r>
              <w:rPr>
                <w:sz w:val="14"/>
              </w:rPr>
              <w:t>-</w:t>
            </w:r>
            <w:r>
              <w:rPr>
                <w:spacing w:val="-1"/>
                <w:sz w:val="14"/>
              </w:rPr>
              <w:t> </w:t>
            </w:r>
            <w:r>
              <w:rPr>
                <w:sz w:val="14"/>
              </w:rPr>
              <w:t>Division</w:t>
            </w:r>
            <w:r>
              <w:rPr>
                <w:spacing w:val="-2"/>
                <w:sz w:val="14"/>
              </w:rPr>
              <w:t> </w:t>
            </w:r>
            <w:r>
              <w:rPr>
                <w:sz w:val="14"/>
              </w:rPr>
              <w:t>of</w:t>
            </w:r>
            <w:r>
              <w:rPr>
                <w:spacing w:val="-6"/>
                <w:sz w:val="14"/>
              </w:rPr>
              <w:t> </w:t>
            </w:r>
            <w:r>
              <w:rPr>
                <w:spacing w:val="-2"/>
                <w:sz w:val="14"/>
              </w:rPr>
              <w:t>Judicial</w:t>
            </w:r>
          </w:p>
          <w:p>
            <w:pPr>
              <w:pStyle w:val="TableParagraph"/>
              <w:spacing w:line="143" w:lineRule="exact" w:before="2"/>
              <w:ind w:left="297"/>
              <w:jc w:val="left"/>
              <w:rPr>
                <w:sz w:val="14"/>
              </w:rPr>
            </w:pPr>
            <w:r>
              <w:rPr>
                <w:sz w:val="14"/>
              </w:rPr>
              <w:t>Services</w:t>
            </w:r>
            <w:r>
              <w:rPr>
                <w:spacing w:val="-6"/>
                <w:sz w:val="14"/>
              </w:rPr>
              <w:t> </w:t>
            </w:r>
            <w:r>
              <w:rPr>
                <w:spacing w:val="-2"/>
                <w:sz w:val="14"/>
              </w:rPr>
              <w:t>(DJS)</w:t>
            </w:r>
          </w:p>
        </w:tc>
        <w:tc>
          <w:tcPr>
            <w:tcW w:w="795" w:type="dxa"/>
          </w:tcPr>
          <w:p>
            <w:pPr>
              <w:pStyle w:val="TableParagraph"/>
              <w:spacing w:before="77"/>
              <w:ind w:right="105"/>
              <w:rPr>
                <w:sz w:val="14"/>
              </w:rPr>
            </w:pPr>
            <w:r>
              <w:rPr>
                <w:spacing w:val="-2"/>
                <w:sz w:val="14"/>
              </w:rPr>
              <w:t>37,351.3</w:t>
            </w:r>
          </w:p>
        </w:tc>
        <w:tc>
          <w:tcPr>
            <w:tcW w:w="980" w:type="dxa"/>
          </w:tcPr>
          <w:p>
            <w:pPr>
              <w:pStyle w:val="TableParagraph"/>
              <w:spacing w:before="77"/>
              <w:ind w:right="105"/>
              <w:rPr>
                <w:sz w:val="14"/>
              </w:rPr>
            </w:pPr>
            <w:r>
              <w:rPr>
                <w:spacing w:val="-2"/>
                <w:sz w:val="14"/>
              </w:rPr>
              <w:t>2,221.4</w:t>
            </w:r>
          </w:p>
        </w:tc>
        <w:tc>
          <w:tcPr>
            <w:tcW w:w="861" w:type="dxa"/>
          </w:tcPr>
          <w:p>
            <w:pPr>
              <w:pStyle w:val="TableParagraph"/>
              <w:spacing w:before="77"/>
              <w:ind w:right="120"/>
              <w:rPr>
                <w:sz w:val="14"/>
              </w:rPr>
            </w:pPr>
            <w:r>
              <w:rPr>
                <w:spacing w:val="-2"/>
                <w:sz w:val="14"/>
              </w:rPr>
              <w:t>(488.7)</w:t>
            </w:r>
          </w:p>
        </w:tc>
        <w:tc>
          <w:tcPr>
            <w:tcW w:w="699" w:type="dxa"/>
          </w:tcPr>
          <w:p>
            <w:pPr>
              <w:pStyle w:val="TableParagraph"/>
              <w:spacing w:before="77"/>
              <w:ind w:right="123"/>
              <w:rPr>
                <w:sz w:val="14"/>
              </w:rPr>
            </w:pPr>
            <w:r>
              <w:rPr>
                <w:spacing w:val="-2"/>
                <w:sz w:val="14"/>
              </w:rPr>
              <w:t>611.4</w:t>
            </w:r>
          </w:p>
        </w:tc>
        <w:tc>
          <w:tcPr>
            <w:tcW w:w="685" w:type="dxa"/>
          </w:tcPr>
          <w:p>
            <w:pPr>
              <w:pStyle w:val="TableParagraph"/>
              <w:spacing w:before="77"/>
              <w:ind w:right="111"/>
              <w:rPr>
                <w:sz w:val="14"/>
              </w:rPr>
            </w:pPr>
            <w:r>
              <w:rPr>
                <w:w w:val="99"/>
                <w:sz w:val="14"/>
              </w:rPr>
              <w:t>-</w:t>
            </w:r>
          </w:p>
        </w:tc>
        <w:tc>
          <w:tcPr>
            <w:tcW w:w="1079" w:type="dxa"/>
          </w:tcPr>
          <w:p>
            <w:pPr>
              <w:pStyle w:val="TableParagraph"/>
              <w:spacing w:before="77"/>
              <w:ind w:right="106"/>
              <w:rPr>
                <w:sz w:val="14"/>
              </w:rPr>
            </w:pPr>
            <w:r>
              <w:rPr>
                <w:spacing w:val="-2"/>
                <w:sz w:val="14"/>
              </w:rPr>
              <w:t>39,695.5</w:t>
            </w:r>
          </w:p>
        </w:tc>
        <w:tc>
          <w:tcPr>
            <w:tcW w:w="781" w:type="dxa"/>
          </w:tcPr>
          <w:p>
            <w:pPr>
              <w:pStyle w:val="TableParagraph"/>
              <w:spacing w:before="77"/>
              <w:ind w:right="109"/>
              <w:rPr>
                <w:sz w:val="14"/>
              </w:rPr>
            </w:pPr>
            <w:r>
              <w:rPr>
                <w:spacing w:val="-2"/>
                <w:sz w:val="14"/>
              </w:rPr>
              <w:t>42,663.1</w:t>
            </w:r>
          </w:p>
        </w:tc>
        <w:tc>
          <w:tcPr>
            <w:tcW w:w="796" w:type="dxa"/>
          </w:tcPr>
          <w:p>
            <w:pPr>
              <w:pStyle w:val="TableParagraph"/>
              <w:spacing w:before="77"/>
              <w:ind w:right="122"/>
              <w:rPr>
                <w:sz w:val="14"/>
              </w:rPr>
            </w:pPr>
            <w:r>
              <w:rPr>
                <w:spacing w:val="-2"/>
                <w:sz w:val="14"/>
              </w:rPr>
              <w:t>2,967.7</w:t>
            </w:r>
          </w:p>
        </w:tc>
        <w:tc>
          <w:tcPr>
            <w:tcW w:w="871" w:type="dxa"/>
          </w:tcPr>
          <w:p>
            <w:pPr>
              <w:pStyle w:val="TableParagraph"/>
              <w:spacing w:before="77"/>
              <w:ind w:right="105"/>
              <w:rPr>
                <w:sz w:val="14"/>
              </w:rPr>
            </w:pPr>
            <w:r>
              <w:rPr>
                <w:spacing w:val="-2"/>
                <w:sz w:val="14"/>
              </w:rPr>
              <w:t>5,311.8</w:t>
            </w:r>
          </w:p>
        </w:tc>
      </w:tr>
      <w:tr>
        <w:trPr>
          <w:trHeight w:val="352" w:hRule="atLeast"/>
        </w:trPr>
        <w:tc>
          <w:tcPr>
            <w:tcW w:w="2833" w:type="dxa"/>
          </w:tcPr>
          <w:p>
            <w:pPr>
              <w:pStyle w:val="TableParagraph"/>
              <w:spacing w:line="242" w:lineRule="auto"/>
              <w:ind w:left="297" w:right="673"/>
              <w:jc w:val="left"/>
              <w:rPr>
                <w:sz w:val="14"/>
              </w:rPr>
            </w:pPr>
            <w:r>
              <w:rPr>
                <w:sz w:val="14"/>
              </w:rPr>
              <w:t>3800</w:t>
            </w:r>
            <w:r>
              <w:rPr>
                <w:spacing w:val="-8"/>
                <w:sz w:val="14"/>
              </w:rPr>
              <w:t> </w:t>
            </w:r>
            <w:r>
              <w:rPr>
                <w:sz w:val="14"/>
              </w:rPr>
              <w:t>-</w:t>
            </w:r>
            <w:r>
              <w:rPr>
                <w:spacing w:val="-9"/>
                <w:sz w:val="14"/>
              </w:rPr>
              <w:t> </w:t>
            </w:r>
            <w:r>
              <w:rPr>
                <w:sz w:val="14"/>
              </w:rPr>
              <w:t>Division</w:t>
            </w:r>
            <w:r>
              <w:rPr>
                <w:spacing w:val="-9"/>
                <w:sz w:val="14"/>
              </w:rPr>
              <w:t> </w:t>
            </w:r>
            <w:r>
              <w:rPr>
                <w:sz w:val="14"/>
              </w:rPr>
              <w:t>of</w:t>
            </w:r>
            <w:r>
              <w:rPr>
                <w:spacing w:val="-8"/>
                <w:sz w:val="14"/>
              </w:rPr>
              <w:t> </w:t>
            </w:r>
            <w:r>
              <w:rPr>
                <w:sz w:val="14"/>
              </w:rPr>
              <w:t>External</w:t>
            </w:r>
            <w:r>
              <w:rPr>
                <w:spacing w:val="40"/>
                <w:sz w:val="14"/>
              </w:rPr>
              <w:t> </w:t>
            </w:r>
            <w:r>
              <w:rPr>
                <w:sz w:val="14"/>
              </w:rPr>
              <w:t>Operations</w:t>
            </w:r>
            <w:r>
              <w:rPr>
                <w:spacing w:val="-9"/>
                <w:sz w:val="14"/>
              </w:rPr>
              <w:t> </w:t>
            </w:r>
            <w:r>
              <w:rPr>
                <w:sz w:val="14"/>
              </w:rPr>
              <w:t>(DEO)</w:t>
            </w:r>
          </w:p>
        </w:tc>
        <w:tc>
          <w:tcPr>
            <w:tcW w:w="795" w:type="dxa"/>
          </w:tcPr>
          <w:p>
            <w:pPr>
              <w:pStyle w:val="TableParagraph"/>
              <w:spacing w:before="77"/>
              <w:ind w:right="105"/>
              <w:rPr>
                <w:sz w:val="14"/>
              </w:rPr>
            </w:pPr>
            <w:r>
              <w:rPr>
                <w:spacing w:val="-2"/>
                <w:sz w:val="14"/>
              </w:rPr>
              <w:t>21,554.4</w:t>
            </w:r>
          </w:p>
        </w:tc>
        <w:tc>
          <w:tcPr>
            <w:tcW w:w="980" w:type="dxa"/>
          </w:tcPr>
          <w:p>
            <w:pPr>
              <w:pStyle w:val="TableParagraph"/>
              <w:spacing w:before="77"/>
              <w:ind w:right="105"/>
              <w:rPr>
                <w:sz w:val="14"/>
              </w:rPr>
            </w:pPr>
            <w:r>
              <w:rPr>
                <w:spacing w:val="-2"/>
                <w:sz w:val="14"/>
              </w:rPr>
              <w:t>537.9</w:t>
            </w:r>
          </w:p>
        </w:tc>
        <w:tc>
          <w:tcPr>
            <w:tcW w:w="861" w:type="dxa"/>
          </w:tcPr>
          <w:p>
            <w:pPr>
              <w:pStyle w:val="TableParagraph"/>
              <w:spacing w:before="77"/>
              <w:ind w:right="120"/>
              <w:rPr>
                <w:sz w:val="14"/>
              </w:rPr>
            </w:pPr>
            <w:r>
              <w:rPr>
                <w:spacing w:val="-2"/>
                <w:sz w:val="14"/>
              </w:rPr>
              <w:t>(732.8)</w:t>
            </w:r>
          </w:p>
        </w:tc>
        <w:tc>
          <w:tcPr>
            <w:tcW w:w="699" w:type="dxa"/>
          </w:tcPr>
          <w:p>
            <w:pPr>
              <w:pStyle w:val="TableParagraph"/>
              <w:spacing w:before="77"/>
              <w:ind w:right="124"/>
              <w:rPr>
                <w:sz w:val="14"/>
              </w:rPr>
            </w:pPr>
            <w:r>
              <w:rPr>
                <w:spacing w:val="-2"/>
                <w:sz w:val="14"/>
              </w:rPr>
              <w:t>1,092.4</w:t>
            </w:r>
          </w:p>
        </w:tc>
        <w:tc>
          <w:tcPr>
            <w:tcW w:w="685" w:type="dxa"/>
          </w:tcPr>
          <w:p>
            <w:pPr>
              <w:pStyle w:val="TableParagraph"/>
              <w:spacing w:before="77"/>
              <w:ind w:right="111"/>
              <w:rPr>
                <w:sz w:val="14"/>
              </w:rPr>
            </w:pPr>
            <w:r>
              <w:rPr>
                <w:w w:val="99"/>
                <w:sz w:val="14"/>
              </w:rPr>
              <w:t>-</w:t>
            </w:r>
          </w:p>
        </w:tc>
        <w:tc>
          <w:tcPr>
            <w:tcW w:w="1079" w:type="dxa"/>
          </w:tcPr>
          <w:p>
            <w:pPr>
              <w:pStyle w:val="TableParagraph"/>
              <w:spacing w:before="77"/>
              <w:ind w:right="106"/>
              <w:rPr>
                <w:sz w:val="14"/>
              </w:rPr>
            </w:pPr>
            <w:r>
              <w:rPr>
                <w:spacing w:val="-2"/>
                <w:sz w:val="14"/>
              </w:rPr>
              <w:t>22,451.9</w:t>
            </w:r>
          </w:p>
        </w:tc>
        <w:tc>
          <w:tcPr>
            <w:tcW w:w="781" w:type="dxa"/>
          </w:tcPr>
          <w:p>
            <w:pPr>
              <w:pStyle w:val="TableParagraph"/>
              <w:spacing w:before="77"/>
              <w:ind w:right="109"/>
              <w:rPr>
                <w:sz w:val="14"/>
              </w:rPr>
            </w:pPr>
            <w:r>
              <w:rPr>
                <w:spacing w:val="-2"/>
                <w:sz w:val="14"/>
              </w:rPr>
              <w:t>24,294.7</w:t>
            </w:r>
          </w:p>
        </w:tc>
        <w:tc>
          <w:tcPr>
            <w:tcW w:w="796" w:type="dxa"/>
          </w:tcPr>
          <w:p>
            <w:pPr>
              <w:pStyle w:val="TableParagraph"/>
              <w:spacing w:before="77"/>
              <w:ind w:right="122"/>
              <w:rPr>
                <w:sz w:val="14"/>
              </w:rPr>
            </w:pPr>
            <w:r>
              <w:rPr>
                <w:spacing w:val="-2"/>
                <w:sz w:val="14"/>
              </w:rPr>
              <w:t>1,842.8</w:t>
            </w:r>
          </w:p>
        </w:tc>
        <w:tc>
          <w:tcPr>
            <w:tcW w:w="871" w:type="dxa"/>
          </w:tcPr>
          <w:p>
            <w:pPr>
              <w:pStyle w:val="TableParagraph"/>
              <w:spacing w:before="77"/>
              <w:ind w:right="105"/>
              <w:rPr>
                <w:sz w:val="14"/>
              </w:rPr>
            </w:pPr>
            <w:r>
              <w:rPr>
                <w:spacing w:val="-2"/>
                <w:sz w:val="14"/>
              </w:rPr>
              <w:t>2,740.3</w:t>
            </w:r>
          </w:p>
        </w:tc>
      </w:tr>
      <w:tr>
        <w:trPr>
          <w:trHeight w:val="248" w:hRule="atLeast"/>
        </w:trPr>
        <w:tc>
          <w:tcPr>
            <w:tcW w:w="2833" w:type="dxa"/>
            <w:tcBorders>
              <w:bottom w:val="single" w:sz="4" w:space="0" w:color="000000"/>
            </w:tcBorders>
          </w:tcPr>
          <w:p>
            <w:pPr>
              <w:pStyle w:val="TableParagraph"/>
              <w:spacing w:before="26"/>
              <w:ind w:left="297"/>
              <w:jc w:val="left"/>
              <w:rPr>
                <w:sz w:val="14"/>
              </w:rPr>
            </w:pPr>
            <w:r>
              <w:rPr>
                <w:sz w:val="14"/>
              </w:rPr>
              <w:t>3710</w:t>
            </w:r>
            <w:r>
              <w:rPr>
                <w:spacing w:val="-1"/>
                <w:sz w:val="14"/>
              </w:rPr>
              <w:t> </w:t>
            </w:r>
            <w:r>
              <w:rPr>
                <w:sz w:val="14"/>
              </w:rPr>
              <w:t>-</w:t>
            </w:r>
            <w:r>
              <w:rPr>
                <w:spacing w:val="-2"/>
                <w:sz w:val="14"/>
              </w:rPr>
              <w:t> </w:t>
            </w:r>
            <w:r>
              <w:rPr>
                <w:sz w:val="14"/>
              </w:rPr>
              <w:t>Staff</w:t>
            </w:r>
            <w:r>
              <w:rPr>
                <w:spacing w:val="-1"/>
                <w:sz w:val="14"/>
              </w:rPr>
              <w:t> </w:t>
            </w:r>
            <w:r>
              <w:rPr>
                <w:spacing w:val="-2"/>
                <w:sz w:val="14"/>
              </w:rPr>
              <w:t>Council</w:t>
            </w:r>
          </w:p>
        </w:tc>
        <w:tc>
          <w:tcPr>
            <w:tcW w:w="795" w:type="dxa"/>
            <w:tcBorders>
              <w:bottom w:val="single" w:sz="4" w:space="0" w:color="000000"/>
            </w:tcBorders>
          </w:tcPr>
          <w:p>
            <w:pPr>
              <w:pStyle w:val="TableParagraph"/>
              <w:spacing w:before="26"/>
              <w:ind w:right="104"/>
              <w:rPr>
                <w:sz w:val="14"/>
              </w:rPr>
            </w:pPr>
            <w:r>
              <w:rPr>
                <w:spacing w:val="-2"/>
                <w:sz w:val="14"/>
              </w:rPr>
              <w:t>179.9</w:t>
            </w:r>
          </w:p>
        </w:tc>
        <w:tc>
          <w:tcPr>
            <w:tcW w:w="980" w:type="dxa"/>
            <w:tcBorders>
              <w:bottom w:val="single" w:sz="4" w:space="0" w:color="000000"/>
            </w:tcBorders>
          </w:tcPr>
          <w:p>
            <w:pPr>
              <w:pStyle w:val="TableParagraph"/>
              <w:spacing w:before="26"/>
              <w:ind w:right="108"/>
              <w:rPr>
                <w:sz w:val="14"/>
              </w:rPr>
            </w:pPr>
            <w:r>
              <w:rPr>
                <w:w w:val="99"/>
                <w:sz w:val="14"/>
              </w:rPr>
              <w:t>-</w:t>
            </w:r>
          </w:p>
        </w:tc>
        <w:tc>
          <w:tcPr>
            <w:tcW w:w="861" w:type="dxa"/>
            <w:tcBorders>
              <w:bottom w:val="single" w:sz="4" w:space="0" w:color="000000"/>
            </w:tcBorders>
          </w:tcPr>
          <w:p>
            <w:pPr>
              <w:pStyle w:val="TableParagraph"/>
              <w:spacing w:before="26"/>
              <w:ind w:right="124"/>
              <w:rPr>
                <w:sz w:val="14"/>
              </w:rPr>
            </w:pPr>
            <w:r>
              <w:rPr>
                <w:w w:val="99"/>
                <w:sz w:val="14"/>
              </w:rPr>
              <w:t>-</w:t>
            </w:r>
          </w:p>
        </w:tc>
        <w:tc>
          <w:tcPr>
            <w:tcW w:w="699" w:type="dxa"/>
            <w:tcBorders>
              <w:bottom w:val="single" w:sz="4" w:space="0" w:color="000000"/>
            </w:tcBorders>
          </w:tcPr>
          <w:p>
            <w:pPr>
              <w:pStyle w:val="TableParagraph"/>
              <w:spacing w:before="26"/>
              <w:ind w:right="123"/>
              <w:rPr>
                <w:sz w:val="14"/>
              </w:rPr>
            </w:pPr>
            <w:r>
              <w:rPr>
                <w:spacing w:val="-5"/>
                <w:sz w:val="14"/>
              </w:rPr>
              <w:t>2.9</w:t>
            </w:r>
          </w:p>
        </w:tc>
        <w:tc>
          <w:tcPr>
            <w:tcW w:w="685" w:type="dxa"/>
            <w:tcBorders>
              <w:bottom w:val="single" w:sz="4" w:space="0" w:color="000000"/>
            </w:tcBorders>
          </w:tcPr>
          <w:p>
            <w:pPr>
              <w:pStyle w:val="TableParagraph"/>
              <w:spacing w:before="26"/>
              <w:ind w:right="111"/>
              <w:rPr>
                <w:sz w:val="14"/>
              </w:rPr>
            </w:pPr>
            <w:r>
              <w:rPr>
                <w:w w:val="99"/>
                <w:sz w:val="14"/>
              </w:rPr>
              <w:t>-</w:t>
            </w:r>
          </w:p>
        </w:tc>
        <w:tc>
          <w:tcPr>
            <w:tcW w:w="1079" w:type="dxa"/>
            <w:tcBorders>
              <w:bottom w:val="single" w:sz="4" w:space="0" w:color="000000"/>
            </w:tcBorders>
          </w:tcPr>
          <w:p>
            <w:pPr>
              <w:pStyle w:val="TableParagraph"/>
              <w:spacing w:before="26"/>
              <w:ind w:right="106"/>
              <w:rPr>
                <w:sz w:val="14"/>
              </w:rPr>
            </w:pPr>
            <w:r>
              <w:rPr>
                <w:spacing w:val="-2"/>
                <w:sz w:val="14"/>
              </w:rPr>
              <w:t>182.8</w:t>
            </w:r>
          </w:p>
        </w:tc>
        <w:tc>
          <w:tcPr>
            <w:tcW w:w="781" w:type="dxa"/>
            <w:tcBorders>
              <w:bottom w:val="single" w:sz="4" w:space="0" w:color="000000"/>
            </w:tcBorders>
          </w:tcPr>
          <w:p>
            <w:pPr>
              <w:pStyle w:val="TableParagraph"/>
              <w:spacing w:before="26"/>
              <w:ind w:right="112"/>
              <w:rPr>
                <w:sz w:val="14"/>
              </w:rPr>
            </w:pPr>
            <w:r>
              <w:rPr>
                <w:w w:val="99"/>
                <w:sz w:val="14"/>
              </w:rPr>
              <w:t>-</w:t>
            </w:r>
          </w:p>
        </w:tc>
        <w:tc>
          <w:tcPr>
            <w:tcW w:w="796" w:type="dxa"/>
            <w:tcBorders>
              <w:bottom w:val="single" w:sz="4" w:space="0" w:color="000000"/>
            </w:tcBorders>
          </w:tcPr>
          <w:p>
            <w:pPr>
              <w:pStyle w:val="TableParagraph"/>
              <w:spacing w:before="26"/>
              <w:ind w:right="121"/>
              <w:rPr>
                <w:sz w:val="14"/>
              </w:rPr>
            </w:pPr>
            <w:r>
              <w:rPr>
                <w:spacing w:val="-2"/>
                <w:sz w:val="14"/>
              </w:rPr>
              <w:t>(182.8)</w:t>
            </w:r>
          </w:p>
        </w:tc>
        <w:tc>
          <w:tcPr>
            <w:tcW w:w="871" w:type="dxa"/>
            <w:tcBorders>
              <w:bottom w:val="single" w:sz="4" w:space="0" w:color="000000"/>
            </w:tcBorders>
          </w:tcPr>
          <w:p>
            <w:pPr>
              <w:pStyle w:val="TableParagraph"/>
              <w:spacing w:before="26"/>
              <w:ind w:right="104"/>
              <w:rPr>
                <w:sz w:val="14"/>
              </w:rPr>
            </w:pPr>
            <w:r>
              <w:rPr>
                <w:spacing w:val="-2"/>
                <w:sz w:val="14"/>
              </w:rPr>
              <w:t>(179.9)</w:t>
            </w:r>
          </w:p>
        </w:tc>
      </w:tr>
      <w:tr>
        <w:trPr>
          <w:trHeight w:val="282" w:hRule="atLeast"/>
        </w:trPr>
        <w:tc>
          <w:tcPr>
            <w:tcW w:w="2833" w:type="dxa"/>
            <w:tcBorders>
              <w:top w:val="single" w:sz="4" w:space="0" w:color="000000"/>
              <w:bottom w:val="single" w:sz="4" w:space="0" w:color="000000"/>
            </w:tcBorders>
            <w:shd w:val="clear" w:color="auto" w:fill="F1F1F1"/>
          </w:tcPr>
          <w:p>
            <w:pPr>
              <w:pStyle w:val="TableParagraph"/>
              <w:spacing w:before="61"/>
              <w:ind w:left="124"/>
              <w:jc w:val="left"/>
              <w:rPr>
                <w:i/>
                <w:sz w:val="14"/>
              </w:rPr>
            </w:pPr>
            <w:r>
              <w:rPr>
                <w:i/>
                <w:sz w:val="14"/>
              </w:rPr>
              <w:t>MPIII</w:t>
            </w:r>
            <w:r>
              <w:rPr>
                <w:i/>
                <w:spacing w:val="-1"/>
                <w:sz w:val="14"/>
              </w:rPr>
              <w:t> </w:t>
            </w:r>
            <w:r>
              <w:rPr>
                <w:i/>
                <w:sz w:val="14"/>
              </w:rPr>
              <w:t>-</w:t>
            </w:r>
            <w:r>
              <w:rPr>
                <w:i/>
                <w:spacing w:val="-1"/>
                <w:sz w:val="14"/>
              </w:rPr>
              <w:t> </w:t>
            </w:r>
            <w:r>
              <w:rPr>
                <w:i/>
                <w:spacing w:val="-2"/>
                <w:sz w:val="14"/>
              </w:rPr>
              <w:t>Registry</w:t>
            </w:r>
          </w:p>
        </w:tc>
        <w:tc>
          <w:tcPr>
            <w:tcW w:w="795" w:type="dxa"/>
            <w:tcBorders>
              <w:top w:val="single" w:sz="4" w:space="0" w:color="000000"/>
              <w:bottom w:val="single" w:sz="4" w:space="0" w:color="000000"/>
            </w:tcBorders>
            <w:shd w:val="clear" w:color="auto" w:fill="F1F1F1"/>
          </w:tcPr>
          <w:p>
            <w:pPr>
              <w:pStyle w:val="TableParagraph"/>
              <w:spacing w:before="61"/>
              <w:ind w:right="105"/>
              <w:rPr>
                <w:i/>
                <w:sz w:val="14"/>
              </w:rPr>
            </w:pPr>
            <w:r>
              <w:rPr>
                <w:i/>
                <w:spacing w:val="-2"/>
                <w:sz w:val="14"/>
              </w:rPr>
              <w:t>79,219.2</w:t>
            </w:r>
          </w:p>
        </w:tc>
        <w:tc>
          <w:tcPr>
            <w:tcW w:w="980" w:type="dxa"/>
            <w:tcBorders>
              <w:top w:val="single" w:sz="4" w:space="0" w:color="000000"/>
              <w:bottom w:val="single" w:sz="4" w:space="0" w:color="000000"/>
            </w:tcBorders>
            <w:shd w:val="clear" w:color="auto" w:fill="F1F1F1"/>
          </w:tcPr>
          <w:p>
            <w:pPr>
              <w:pStyle w:val="TableParagraph"/>
              <w:spacing w:before="61"/>
              <w:ind w:right="105"/>
              <w:rPr>
                <w:i/>
                <w:sz w:val="14"/>
              </w:rPr>
            </w:pPr>
            <w:r>
              <w:rPr>
                <w:i/>
                <w:spacing w:val="-2"/>
                <w:sz w:val="14"/>
              </w:rPr>
              <w:t>2,798.6</w:t>
            </w:r>
          </w:p>
        </w:tc>
        <w:tc>
          <w:tcPr>
            <w:tcW w:w="861" w:type="dxa"/>
            <w:tcBorders>
              <w:top w:val="single" w:sz="4" w:space="0" w:color="000000"/>
              <w:bottom w:val="single" w:sz="4" w:space="0" w:color="000000"/>
            </w:tcBorders>
            <w:shd w:val="clear" w:color="auto" w:fill="F1F1F1"/>
          </w:tcPr>
          <w:p>
            <w:pPr>
              <w:pStyle w:val="TableParagraph"/>
              <w:spacing w:before="61"/>
              <w:ind w:right="120"/>
              <w:rPr>
                <w:i/>
                <w:sz w:val="14"/>
              </w:rPr>
            </w:pPr>
            <w:r>
              <w:rPr>
                <w:i/>
                <w:spacing w:val="-2"/>
                <w:sz w:val="14"/>
              </w:rPr>
              <w:t>(1,221.4)</w:t>
            </w:r>
          </w:p>
        </w:tc>
        <w:tc>
          <w:tcPr>
            <w:tcW w:w="699" w:type="dxa"/>
            <w:tcBorders>
              <w:top w:val="single" w:sz="4" w:space="0" w:color="000000"/>
              <w:bottom w:val="single" w:sz="4" w:space="0" w:color="000000"/>
            </w:tcBorders>
            <w:shd w:val="clear" w:color="auto" w:fill="F1F1F1"/>
          </w:tcPr>
          <w:p>
            <w:pPr>
              <w:pStyle w:val="TableParagraph"/>
              <w:spacing w:before="61"/>
              <w:ind w:right="124"/>
              <w:rPr>
                <w:i/>
                <w:sz w:val="14"/>
              </w:rPr>
            </w:pPr>
            <w:r>
              <w:rPr>
                <w:i/>
                <w:spacing w:val="-2"/>
                <w:sz w:val="14"/>
              </w:rPr>
              <w:t>2,258.7</w:t>
            </w:r>
          </w:p>
        </w:tc>
        <w:tc>
          <w:tcPr>
            <w:tcW w:w="685" w:type="dxa"/>
            <w:tcBorders>
              <w:top w:val="single" w:sz="4" w:space="0" w:color="000000"/>
              <w:bottom w:val="single" w:sz="4" w:space="0" w:color="000000"/>
            </w:tcBorders>
            <w:shd w:val="clear" w:color="auto" w:fill="F1F1F1"/>
          </w:tcPr>
          <w:p>
            <w:pPr>
              <w:pStyle w:val="TableParagraph"/>
              <w:spacing w:before="61"/>
              <w:ind w:right="111"/>
              <w:rPr>
                <w:i/>
                <w:sz w:val="14"/>
              </w:rPr>
            </w:pPr>
            <w:r>
              <w:rPr>
                <w:i/>
                <w:w w:val="99"/>
                <w:sz w:val="14"/>
              </w:rPr>
              <w:t>-</w:t>
            </w:r>
          </w:p>
        </w:tc>
        <w:tc>
          <w:tcPr>
            <w:tcW w:w="1079" w:type="dxa"/>
            <w:tcBorders>
              <w:top w:val="single" w:sz="4" w:space="0" w:color="000000"/>
              <w:bottom w:val="single" w:sz="4" w:space="0" w:color="000000"/>
            </w:tcBorders>
            <w:shd w:val="clear" w:color="auto" w:fill="F1F1F1"/>
          </w:tcPr>
          <w:p>
            <w:pPr>
              <w:pStyle w:val="TableParagraph"/>
              <w:spacing w:before="61"/>
              <w:ind w:right="106"/>
              <w:rPr>
                <w:i/>
                <w:sz w:val="14"/>
              </w:rPr>
            </w:pPr>
            <w:r>
              <w:rPr>
                <w:i/>
                <w:spacing w:val="-2"/>
                <w:sz w:val="14"/>
              </w:rPr>
              <w:t>83,055.1</w:t>
            </w:r>
          </w:p>
        </w:tc>
        <w:tc>
          <w:tcPr>
            <w:tcW w:w="781" w:type="dxa"/>
            <w:tcBorders>
              <w:top w:val="single" w:sz="4" w:space="0" w:color="000000"/>
              <w:bottom w:val="single" w:sz="4" w:space="0" w:color="000000"/>
            </w:tcBorders>
            <w:shd w:val="clear" w:color="auto" w:fill="F1F1F1"/>
          </w:tcPr>
          <w:p>
            <w:pPr>
              <w:pStyle w:val="TableParagraph"/>
              <w:spacing w:before="61"/>
              <w:ind w:right="109"/>
              <w:rPr>
                <w:i/>
                <w:sz w:val="14"/>
              </w:rPr>
            </w:pPr>
            <w:r>
              <w:rPr>
                <w:i/>
                <w:spacing w:val="-2"/>
                <w:sz w:val="14"/>
              </w:rPr>
              <w:t>90,407.1</w:t>
            </w:r>
          </w:p>
        </w:tc>
        <w:tc>
          <w:tcPr>
            <w:tcW w:w="796" w:type="dxa"/>
            <w:tcBorders>
              <w:top w:val="single" w:sz="4" w:space="0" w:color="000000"/>
              <w:bottom w:val="single" w:sz="4" w:space="0" w:color="000000"/>
            </w:tcBorders>
            <w:shd w:val="clear" w:color="auto" w:fill="F1F1F1"/>
          </w:tcPr>
          <w:p>
            <w:pPr>
              <w:pStyle w:val="TableParagraph"/>
              <w:spacing w:before="61"/>
              <w:ind w:right="122"/>
              <w:rPr>
                <w:i/>
                <w:sz w:val="14"/>
              </w:rPr>
            </w:pPr>
            <w:r>
              <w:rPr>
                <w:i/>
                <w:spacing w:val="-2"/>
                <w:sz w:val="14"/>
              </w:rPr>
              <w:t>7,352.0</w:t>
            </w:r>
          </w:p>
        </w:tc>
        <w:tc>
          <w:tcPr>
            <w:tcW w:w="871" w:type="dxa"/>
            <w:tcBorders>
              <w:top w:val="single" w:sz="4" w:space="0" w:color="000000"/>
              <w:bottom w:val="single" w:sz="4" w:space="0" w:color="000000"/>
            </w:tcBorders>
            <w:shd w:val="clear" w:color="auto" w:fill="F1F1F1"/>
          </w:tcPr>
          <w:p>
            <w:pPr>
              <w:pStyle w:val="TableParagraph"/>
              <w:spacing w:before="61"/>
              <w:ind w:right="105"/>
              <w:rPr>
                <w:i/>
                <w:sz w:val="14"/>
              </w:rPr>
            </w:pPr>
            <w:r>
              <w:rPr>
                <w:i/>
                <w:spacing w:val="-2"/>
                <w:sz w:val="14"/>
              </w:rPr>
              <w:t>11,187.9</w:t>
            </w:r>
          </w:p>
        </w:tc>
      </w:tr>
      <w:tr>
        <w:trPr>
          <w:trHeight w:val="287" w:hRule="atLeast"/>
        </w:trPr>
        <w:tc>
          <w:tcPr>
            <w:tcW w:w="2833" w:type="dxa"/>
            <w:tcBorders>
              <w:top w:val="single" w:sz="4" w:space="0" w:color="000000"/>
            </w:tcBorders>
          </w:tcPr>
          <w:p>
            <w:pPr>
              <w:pStyle w:val="TableParagraph"/>
              <w:spacing w:before="61"/>
              <w:ind w:left="297"/>
              <w:jc w:val="left"/>
              <w:rPr>
                <w:sz w:val="14"/>
              </w:rPr>
            </w:pPr>
            <w:r>
              <w:rPr>
                <w:sz w:val="14"/>
              </w:rPr>
              <w:t>4100</w:t>
            </w:r>
            <w:r>
              <w:rPr>
                <w:spacing w:val="-1"/>
                <w:sz w:val="14"/>
              </w:rPr>
              <w:t> </w:t>
            </w:r>
            <w:r>
              <w:rPr>
                <w:sz w:val="14"/>
              </w:rPr>
              <w:t>-</w:t>
            </w:r>
            <w:r>
              <w:rPr>
                <w:spacing w:val="-2"/>
                <w:sz w:val="14"/>
              </w:rPr>
              <w:t> </w:t>
            </w:r>
            <w:r>
              <w:rPr>
                <w:sz w:val="14"/>
              </w:rPr>
              <w:t>ASP</w:t>
            </w:r>
            <w:r>
              <w:rPr>
                <w:spacing w:val="-4"/>
                <w:sz w:val="14"/>
              </w:rPr>
              <w:t> </w:t>
            </w:r>
            <w:r>
              <w:rPr>
                <w:spacing w:val="-2"/>
                <w:sz w:val="14"/>
              </w:rPr>
              <w:t>Conference</w:t>
            </w:r>
          </w:p>
        </w:tc>
        <w:tc>
          <w:tcPr>
            <w:tcW w:w="795" w:type="dxa"/>
            <w:tcBorders>
              <w:top w:val="single" w:sz="4" w:space="0" w:color="000000"/>
            </w:tcBorders>
          </w:tcPr>
          <w:p>
            <w:pPr>
              <w:pStyle w:val="TableParagraph"/>
              <w:spacing w:before="61"/>
              <w:ind w:right="104"/>
              <w:rPr>
                <w:sz w:val="14"/>
              </w:rPr>
            </w:pPr>
            <w:r>
              <w:rPr>
                <w:spacing w:val="-2"/>
                <w:sz w:val="14"/>
              </w:rPr>
              <w:t>998.9</w:t>
            </w:r>
          </w:p>
        </w:tc>
        <w:tc>
          <w:tcPr>
            <w:tcW w:w="980" w:type="dxa"/>
            <w:tcBorders>
              <w:top w:val="single" w:sz="4" w:space="0" w:color="000000"/>
            </w:tcBorders>
          </w:tcPr>
          <w:p>
            <w:pPr>
              <w:pStyle w:val="TableParagraph"/>
              <w:spacing w:before="61"/>
              <w:ind w:right="108"/>
              <w:rPr>
                <w:sz w:val="14"/>
              </w:rPr>
            </w:pPr>
            <w:r>
              <w:rPr>
                <w:w w:val="99"/>
                <w:sz w:val="14"/>
              </w:rPr>
              <w:t>-</w:t>
            </w:r>
          </w:p>
        </w:tc>
        <w:tc>
          <w:tcPr>
            <w:tcW w:w="861" w:type="dxa"/>
            <w:tcBorders>
              <w:top w:val="single" w:sz="4" w:space="0" w:color="000000"/>
            </w:tcBorders>
          </w:tcPr>
          <w:p>
            <w:pPr>
              <w:pStyle w:val="TableParagraph"/>
              <w:spacing w:before="61"/>
              <w:ind w:right="124"/>
              <w:rPr>
                <w:sz w:val="14"/>
              </w:rPr>
            </w:pPr>
            <w:r>
              <w:rPr>
                <w:w w:val="99"/>
                <w:sz w:val="14"/>
              </w:rPr>
              <w:t>-</w:t>
            </w:r>
          </w:p>
        </w:tc>
        <w:tc>
          <w:tcPr>
            <w:tcW w:w="699" w:type="dxa"/>
            <w:tcBorders>
              <w:top w:val="single" w:sz="4" w:space="0" w:color="000000"/>
            </w:tcBorders>
          </w:tcPr>
          <w:p>
            <w:pPr>
              <w:pStyle w:val="TableParagraph"/>
              <w:spacing w:before="61"/>
              <w:ind w:right="123"/>
              <w:rPr>
                <w:sz w:val="14"/>
              </w:rPr>
            </w:pPr>
            <w:r>
              <w:rPr>
                <w:spacing w:val="-5"/>
                <w:sz w:val="14"/>
              </w:rPr>
              <w:t>7.7</w:t>
            </w:r>
          </w:p>
        </w:tc>
        <w:tc>
          <w:tcPr>
            <w:tcW w:w="685" w:type="dxa"/>
            <w:tcBorders>
              <w:top w:val="single" w:sz="4" w:space="0" w:color="000000"/>
            </w:tcBorders>
          </w:tcPr>
          <w:p>
            <w:pPr>
              <w:pStyle w:val="TableParagraph"/>
              <w:spacing w:before="61"/>
              <w:ind w:right="111"/>
              <w:rPr>
                <w:sz w:val="14"/>
              </w:rPr>
            </w:pPr>
            <w:r>
              <w:rPr>
                <w:w w:val="99"/>
                <w:sz w:val="14"/>
              </w:rPr>
              <w:t>-</w:t>
            </w:r>
          </w:p>
        </w:tc>
        <w:tc>
          <w:tcPr>
            <w:tcW w:w="1079" w:type="dxa"/>
            <w:tcBorders>
              <w:top w:val="single" w:sz="4" w:space="0" w:color="000000"/>
            </w:tcBorders>
          </w:tcPr>
          <w:p>
            <w:pPr>
              <w:pStyle w:val="TableParagraph"/>
              <w:spacing w:before="61"/>
              <w:ind w:right="106"/>
              <w:rPr>
                <w:sz w:val="14"/>
              </w:rPr>
            </w:pPr>
            <w:r>
              <w:rPr>
                <w:spacing w:val="-2"/>
                <w:sz w:val="14"/>
              </w:rPr>
              <w:t>1,006.6</w:t>
            </w:r>
          </w:p>
        </w:tc>
        <w:tc>
          <w:tcPr>
            <w:tcW w:w="781" w:type="dxa"/>
            <w:tcBorders>
              <w:top w:val="single" w:sz="4" w:space="0" w:color="000000"/>
            </w:tcBorders>
          </w:tcPr>
          <w:p>
            <w:pPr>
              <w:pStyle w:val="TableParagraph"/>
              <w:spacing w:before="61"/>
              <w:ind w:right="109"/>
              <w:rPr>
                <w:sz w:val="14"/>
              </w:rPr>
            </w:pPr>
            <w:r>
              <w:rPr>
                <w:spacing w:val="-2"/>
                <w:sz w:val="14"/>
              </w:rPr>
              <w:t>798.5</w:t>
            </w:r>
          </w:p>
        </w:tc>
        <w:tc>
          <w:tcPr>
            <w:tcW w:w="796" w:type="dxa"/>
            <w:tcBorders>
              <w:top w:val="single" w:sz="4" w:space="0" w:color="000000"/>
            </w:tcBorders>
          </w:tcPr>
          <w:p>
            <w:pPr>
              <w:pStyle w:val="TableParagraph"/>
              <w:spacing w:before="61"/>
              <w:ind w:right="121"/>
              <w:rPr>
                <w:sz w:val="14"/>
              </w:rPr>
            </w:pPr>
            <w:r>
              <w:rPr>
                <w:spacing w:val="-2"/>
                <w:sz w:val="14"/>
              </w:rPr>
              <w:t>(208.1)</w:t>
            </w:r>
          </w:p>
        </w:tc>
        <w:tc>
          <w:tcPr>
            <w:tcW w:w="871" w:type="dxa"/>
            <w:tcBorders>
              <w:top w:val="single" w:sz="4" w:space="0" w:color="000000"/>
            </w:tcBorders>
          </w:tcPr>
          <w:p>
            <w:pPr>
              <w:pStyle w:val="TableParagraph"/>
              <w:spacing w:before="61"/>
              <w:ind w:right="104"/>
              <w:rPr>
                <w:sz w:val="14"/>
              </w:rPr>
            </w:pPr>
            <w:r>
              <w:rPr>
                <w:spacing w:val="-2"/>
                <w:sz w:val="14"/>
              </w:rPr>
              <w:t>(200.4)</w:t>
            </w:r>
          </w:p>
        </w:tc>
      </w:tr>
      <w:tr>
        <w:trPr>
          <w:trHeight w:val="251" w:hRule="atLeast"/>
        </w:trPr>
        <w:tc>
          <w:tcPr>
            <w:tcW w:w="2833" w:type="dxa"/>
          </w:tcPr>
          <w:p>
            <w:pPr>
              <w:pStyle w:val="TableParagraph"/>
              <w:spacing w:before="58"/>
              <w:ind w:left="297"/>
              <w:jc w:val="left"/>
              <w:rPr>
                <w:sz w:val="14"/>
              </w:rPr>
            </w:pPr>
            <w:r>
              <w:rPr>
                <w:sz w:val="14"/>
              </w:rPr>
              <w:t>4200</w:t>
            </w:r>
            <w:r>
              <w:rPr>
                <w:spacing w:val="-1"/>
                <w:sz w:val="14"/>
              </w:rPr>
              <w:t> </w:t>
            </w:r>
            <w:r>
              <w:rPr>
                <w:sz w:val="14"/>
              </w:rPr>
              <w:t>-</w:t>
            </w:r>
            <w:r>
              <w:rPr>
                <w:spacing w:val="-2"/>
                <w:sz w:val="14"/>
              </w:rPr>
              <w:t> </w:t>
            </w:r>
            <w:r>
              <w:rPr>
                <w:sz w:val="14"/>
              </w:rPr>
              <w:t>ASP</w:t>
            </w:r>
            <w:r>
              <w:rPr>
                <w:spacing w:val="-4"/>
                <w:sz w:val="14"/>
              </w:rPr>
              <w:t> </w:t>
            </w:r>
            <w:r>
              <w:rPr>
                <w:spacing w:val="-2"/>
                <w:sz w:val="14"/>
              </w:rPr>
              <w:t>Secretariat</w:t>
            </w:r>
          </w:p>
        </w:tc>
        <w:tc>
          <w:tcPr>
            <w:tcW w:w="795" w:type="dxa"/>
          </w:tcPr>
          <w:p>
            <w:pPr>
              <w:pStyle w:val="TableParagraph"/>
              <w:spacing w:before="58"/>
              <w:ind w:right="104"/>
              <w:rPr>
                <w:sz w:val="14"/>
              </w:rPr>
            </w:pPr>
            <w:r>
              <w:rPr>
                <w:spacing w:val="-2"/>
                <w:sz w:val="14"/>
              </w:rPr>
              <w:t>869.5</w:t>
            </w:r>
          </w:p>
        </w:tc>
        <w:tc>
          <w:tcPr>
            <w:tcW w:w="980" w:type="dxa"/>
          </w:tcPr>
          <w:p>
            <w:pPr>
              <w:pStyle w:val="TableParagraph"/>
              <w:spacing w:before="58"/>
              <w:ind w:right="108"/>
              <w:rPr>
                <w:sz w:val="14"/>
              </w:rPr>
            </w:pPr>
            <w:r>
              <w:rPr>
                <w:w w:val="99"/>
                <w:sz w:val="14"/>
              </w:rPr>
              <w:t>-</w:t>
            </w:r>
          </w:p>
        </w:tc>
        <w:tc>
          <w:tcPr>
            <w:tcW w:w="861" w:type="dxa"/>
          </w:tcPr>
          <w:p>
            <w:pPr>
              <w:pStyle w:val="TableParagraph"/>
              <w:spacing w:before="58"/>
              <w:ind w:right="124"/>
              <w:rPr>
                <w:sz w:val="14"/>
              </w:rPr>
            </w:pPr>
            <w:r>
              <w:rPr>
                <w:w w:val="99"/>
                <w:sz w:val="14"/>
              </w:rPr>
              <w:t>-</w:t>
            </w:r>
          </w:p>
        </w:tc>
        <w:tc>
          <w:tcPr>
            <w:tcW w:w="699" w:type="dxa"/>
          </w:tcPr>
          <w:p>
            <w:pPr>
              <w:pStyle w:val="TableParagraph"/>
              <w:spacing w:before="58"/>
              <w:ind w:right="123"/>
              <w:rPr>
                <w:sz w:val="14"/>
              </w:rPr>
            </w:pPr>
            <w:r>
              <w:rPr>
                <w:spacing w:val="-4"/>
                <w:sz w:val="14"/>
              </w:rPr>
              <w:t>24.9</w:t>
            </w:r>
          </w:p>
        </w:tc>
        <w:tc>
          <w:tcPr>
            <w:tcW w:w="685" w:type="dxa"/>
          </w:tcPr>
          <w:p>
            <w:pPr>
              <w:pStyle w:val="TableParagraph"/>
              <w:spacing w:before="58"/>
              <w:ind w:right="111"/>
              <w:rPr>
                <w:sz w:val="14"/>
              </w:rPr>
            </w:pPr>
            <w:r>
              <w:rPr>
                <w:w w:val="99"/>
                <w:sz w:val="14"/>
              </w:rPr>
              <w:t>-</w:t>
            </w:r>
          </w:p>
        </w:tc>
        <w:tc>
          <w:tcPr>
            <w:tcW w:w="1079" w:type="dxa"/>
          </w:tcPr>
          <w:p>
            <w:pPr>
              <w:pStyle w:val="TableParagraph"/>
              <w:spacing w:before="58"/>
              <w:ind w:right="106"/>
              <w:rPr>
                <w:sz w:val="14"/>
              </w:rPr>
            </w:pPr>
            <w:r>
              <w:rPr>
                <w:spacing w:val="-2"/>
                <w:sz w:val="14"/>
              </w:rPr>
              <w:t>894.4</w:t>
            </w:r>
          </w:p>
        </w:tc>
        <w:tc>
          <w:tcPr>
            <w:tcW w:w="781" w:type="dxa"/>
          </w:tcPr>
          <w:p>
            <w:pPr>
              <w:pStyle w:val="TableParagraph"/>
              <w:spacing w:before="58"/>
              <w:ind w:right="109"/>
              <w:rPr>
                <w:sz w:val="14"/>
              </w:rPr>
            </w:pPr>
            <w:r>
              <w:rPr>
                <w:spacing w:val="-2"/>
                <w:sz w:val="14"/>
              </w:rPr>
              <w:t>984.1</w:t>
            </w:r>
          </w:p>
        </w:tc>
        <w:tc>
          <w:tcPr>
            <w:tcW w:w="796" w:type="dxa"/>
          </w:tcPr>
          <w:p>
            <w:pPr>
              <w:pStyle w:val="TableParagraph"/>
              <w:spacing w:before="58"/>
              <w:ind w:right="122"/>
              <w:rPr>
                <w:sz w:val="14"/>
              </w:rPr>
            </w:pPr>
            <w:r>
              <w:rPr>
                <w:spacing w:val="-4"/>
                <w:sz w:val="14"/>
              </w:rPr>
              <w:t>89.7</w:t>
            </w:r>
          </w:p>
        </w:tc>
        <w:tc>
          <w:tcPr>
            <w:tcW w:w="871" w:type="dxa"/>
          </w:tcPr>
          <w:p>
            <w:pPr>
              <w:pStyle w:val="TableParagraph"/>
              <w:spacing w:before="58"/>
              <w:ind w:right="105"/>
              <w:rPr>
                <w:sz w:val="14"/>
              </w:rPr>
            </w:pPr>
            <w:r>
              <w:rPr>
                <w:spacing w:val="-2"/>
                <w:sz w:val="14"/>
              </w:rPr>
              <w:t>114.6</w:t>
            </w:r>
          </w:p>
        </w:tc>
      </w:tr>
      <w:tr>
        <w:trPr>
          <w:trHeight w:val="355" w:hRule="atLeast"/>
        </w:trPr>
        <w:tc>
          <w:tcPr>
            <w:tcW w:w="2833" w:type="dxa"/>
          </w:tcPr>
          <w:p>
            <w:pPr>
              <w:pStyle w:val="TableParagraph"/>
              <w:spacing w:line="160" w:lineRule="atLeast" w:before="13"/>
              <w:ind w:left="297" w:right="809"/>
              <w:jc w:val="left"/>
              <w:rPr>
                <w:sz w:val="14"/>
              </w:rPr>
            </w:pPr>
            <w:r>
              <w:rPr>
                <w:sz w:val="14"/>
              </w:rPr>
              <w:t>4400</w:t>
            </w:r>
            <w:r>
              <w:rPr>
                <w:spacing w:val="-7"/>
                <w:sz w:val="14"/>
              </w:rPr>
              <w:t> </w:t>
            </w:r>
            <w:r>
              <w:rPr>
                <w:sz w:val="14"/>
              </w:rPr>
              <w:t>-</w:t>
            </w:r>
            <w:r>
              <w:rPr>
                <w:spacing w:val="-7"/>
                <w:sz w:val="14"/>
              </w:rPr>
              <w:t> </w:t>
            </w:r>
            <w:r>
              <w:rPr>
                <w:sz w:val="14"/>
              </w:rPr>
              <w:t>Office</w:t>
            </w:r>
            <w:r>
              <w:rPr>
                <w:spacing w:val="-8"/>
                <w:sz w:val="14"/>
              </w:rPr>
              <w:t> </w:t>
            </w:r>
            <w:r>
              <w:rPr>
                <w:sz w:val="14"/>
              </w:rPr>
              <w:t>of</w:t>
            </w:r>
            <w:r>
              <w:rPr>
                <w:spacing w:val="-7"/>
                <w:sz w:val="14"/>
              </w:rPr>
              <w:t> </w:t>
            </w:r>
            <w:r>
              <w:rPr>
                <w:sz w:val="14"/>
              </w:rPr>
              <w:t>the</w:t>
            </w:r>
            <w:r>
              <w:rPr>
                <w:spacing w:val="-9"/>
                <w:sz w:val="14"/>
              </w:rPr>
              <w:t> </w:t>
            </w:r>
            <w:r>
              <w:rPr>
                <w:sz w:val="14"/>
              </w:rPr>
              <w:t>President</w:t>
            </w:r>
            <w:r>
              <w:rPr>
                <w:spacing w:val="40"/>
                <w:sz w:val="14"/>
              </w:rPr>
              <w:t> </w:t>
            </w:r>
            <w:r>
              <w:rPr>
                <w:sz w:val="14"/>
              </w:rPr>
              <w:t>of the Assembly</w:t>
            </w:r>
          </w:p>
        </w:tc>
        <w:tc>
          <w:tcPr>
            <w:tcW w:w="795" w:type="dxa"/>
          </w:tcPr>
          <w:p>
            <w:pPr>
              <w:pStyle w:val="TableParagraph"/>
              <w:spacing w:before="108"/>
              <w:ind w:right="104"/>
              <w:rPr>
                <w:sz w:val="14"/>
              </w:rPr>
            </w:pPr>
            <w:r>
              <w:rPr>
                <w:spacing w:val="-2"/>
                <w:sz w:val="14"/>
              </w:rPr>
              <w:t>254.3</w:t>
            </w:r>
          </w:p>
        </w:tc>
        <w:tc>
          <w:tcPr>
            <w:tcW w:w="980" w:type="dxa"/>
          </w:tcPr>
          <w:p>
            <w:pPr>
              <w:pStyle w:val="TableParagraph"/>
              <w:spacing w:before="108"/>
              <w:ind w:right="108"/>
              <w:rPr>
                <w:sz w:val="14"/>
              </w:rPr>
            </w:pPr>
            <w:r>
              <w:rPr>
                <w:w w:val="99"/>
                <w:sz w:val="14"/>
              </w:rPr>
              <w:t>-</w:t>
            </w:r>
          </w:p>
        </w:tc>
        <w:tc>
          <w:tcPr>
            <w:tcW w:w="861" w:type="dxa"/>
          </w:tcPr>
          <w:p>
            <w:pPr>
              <w:pStyle w:val="TableParagraph"/>
              <w:spacing w:before="108"/>
              <w:ind w:right="124"/>
              <w:rPr>
                <w:sz w:val="14"/>
              </w:rPr>
            </w:pPr>
            <w:r>
              <w:rPr>
                <w:w w:val="99"/>
                <w:sz w:val="14"/>
              </w:rPr>
              <w:t>-</w:t>
            </w:r>
          </w:p>
        </w:tc>
        <w:tc>
          <w:tcPr>
            <w:tcW w:w="699" w:type="dxa"/>
          </w:tcPr>
          <w:p>
            <w:pPr>
              <w:pStyle w:val="TableParagraph"/>
              <w:spacing w:before="108"/>
              <w:ind w:right="123"/>
              <w:rPr>
                <w:sz w:val="14"/>
              </w:rPr>
            </w:pPr>
            <w:r>
              <w:rPr>
                <w:spacing w:val="-4"/>
                <w:sz w:val="14"/>
              </w:rPr>
              <w:t>40.3</w:t>
            </w:r>
          </w:p>
        </w:tc>
        <w:tc>
          <w:tcPr>
            <w:tcW w:w="685" w:type="dxa"/>
          </w:tcPr>
          <w:p>
            <w:pPr>
              <w:pStyle w:val="TableParagraph"/>
              <w:spacing w:before="108"/>
              <w:ind w:right="111"/>
              <w:rPr>
                <w:sz w:val="14"/>
              </w:rPr>
            </w:pPr>
            <w:r>
              <w:rPr>
                <w:w w:val="99"/>
                <w:sz w:val="14"/>
              </w:rPr>
              <w:t>-</w:t>
            </w:r>
          </w:p>
        </w:tc>
        <w:tc>
          <w:tcPr>
            <w:tcW w:w="1079" w:type="dxa"/>
          </w:tcPr>
          <w:p>
            <w:pPr>
              <w:pStyle w:val="TableParagraph"/>
              <w:spacing w:before="108"/>
              <w:ind w:right="106"/>
              <w:rPr>
                <w:sz w:val="14"/>
              </w:rPr>
            </w:pPr>
            <w:r>
              <w:rPr>
                <w:spacing w:val="-2"/>
                <w:sz w:val="14"/>
              </w:rPr>
              <w:t>294.6</w:t>
            </w:r>
          </w:p>
        </w:tc>
        <w:tc>
          <w:tcPr>
            <w:tcW w:w="781" w:type="dxa"/>
          </w:tcPr>
          <w:p>
            <w:pPr>
              <w:pStyle w:val="TableParagraph"/>
              <w:spacing w:before="108"/>
              <w:ind w:right="109"/>
              <w:rPr>
                <w:sz w:val="14"/>
              </w:rPr>
            </w:pPr>
            <w:r>
              <w:rPr>
                <w:spacing w:val="-2"/>
                <w:sz w:val="14"/>
              </w:rPr>
              <w:t>294.6</w:t>
            </w:r>
          </w:p>
        </w:tc>
        <w:tc>
          <w:tcPr>
            <w:tcW w:w="796" w:type="dxa"/>
          </w:tcPr>
          <w:p>
            <w:pPr>
              <w:pStyle w:val="TableParagraph"/>
              <w:spacing w:before="108"/>
              <w:ind w:right="125"/>
              <w:rPr>
                <w:sz w:val="14"/>
              </w:rPr>
            </w:pPr>
            <w:r>
              <w:rPr>
                <w:w w:val="99"/>
                <w:sz w:val="14"/>
              </w:rPr>
              <w:t>-</w:t>
            </w:r>
          </w:p>
        </w:tc>
        <w:tc>
          <w:tcPr>
            <w:tcW w:w="871" w:type="dxa"/>
          </w:tcPr>
          <w:p>
            <w:pPr>
              <w:pStyle w:val="TableParagraph"/>
              <w:spacing w:before="108"/>
              <w:ind w:right="104"/>
              <w:rPr>
                <w:sz w:val="14"/>
              </w:rPr>
            </w:pPr>
            <w:r>
              <w:rPr>
                <w:spacing w:val="-4"/>
                <w:sz w:val="14"/>
              </w:rPr>
              <w:t>40.3</w:t>
            </w:r>
          </w:p>
        </w:tc>
      </w:tr>
      <w:tr>
        <w:trPr>
          <w:trHeight w:val="315" w:hRule="atLeast"/>
        </w:trPr>
        <w:tc>
          <w:tcPr>
            <w:tcW w:w="2833" w:type="dxa"/>
            <w:tcBorders>
              <w:bottom w:val="single" w:sz="4" w:space="0" w:color="000000"/>
            </w:tcBorders>
          </w:tcPr>
          <w:p>
            <w:pPr>
              <w:pStyle w:val="TableParagraph"/>
              <w:spacing w:line="158" w:lineRule="exact"/>
              <w:ind w:left="297" w:right="809"/>
              <w:jc w:val="left"/>
              <w:rPr>
                <w:sz w:val="14"/>
              </w:rPr>
            </w:pPr>
            <w:r>
              <w:rPr>
                <w:sz w:val="14"/>
              </w:rPr>
              <w:t>4500</w:t>
            </w:r>
            <w:r>
              <w:rPr>
                <w:spacing w:val="-9"/>
                <w:sz w:val="14"/>
              </w:rPr>
              <w:t> </w:t>
            </w:r>
            <w:r>
              <w:rPr>
                <w:sz w:val="14"/>
              </w:rPr>
              <w:t>-</w:t>
            </w:r>
            <w:r>
              <w:rPr>
                <w:spacing w:val="-9"/>
                <w:sz w:val="14"/>
              </w:rPr>
              <w:t> </w:t>
            </w:r>
            <w:r>
              <w:rPr>
                <w:sz w:val="14"/>
              </w:rPr>
              <w:t>Committee</w:t>
            </w:r>
            <w:r>
              <w:rPr>
                <w:spacing w:val="-9"/>
                <w:sz w:val="14"/>
              </w:rPr>
              <w:t> </w:t>
            </w:r>
            <w:r>
              <w:rPr>
                <w:sz w:val="14"/>
              </w:rPr>
              <w:t>on</w:t>
            </w:r>
            <w:r>
              <w:rPr>
                <w:spacing w:val="-8"/>
                <w:sz w:val="14"/>
              </w:rPr>
              <w:t> </w:t>
            </w:r>
            <w:r>
              <w:rPr>
                <w:sz w:val="14"/>
              </w:rPr>
              <w:t>Budget</w:t>
            </w:r>
            <w:r>
              <w:rPr>
                <w:spacing w:val="40"/>
                <w:sz w:val="14"/>
              </w:rPr>
              <w:t> </w:t>
            </w:r>
            <w:r>
              <w:rPr>
                <w:sz w:val="14"/>
              </w:rPr>
              <w:t>and</w:t>
            </w:r>
            <w:r>
              <w:rPr>
                <w:spacing w:val="-6"/>
                <w:sz w:val="14"/>
              </w:rPr>
              <w:t> </w:t>
            </w:r>
            <w:r>
              <w:rPr>
                <w:sz w:val="14"/>
              </w:rPr>
              <w:t>Finance</w:t>
            </w:r>
          </w:p>
        </w:tc>
        <w:tc>
          <w:tcPr>
            <w:tcW w:w="795" w:type="dxa"/>
            <w:tcBorders>
              <w:bottom w:val="single" w:sz="4" w:space="0" w:color="000000"/>
            </w:tcBorders>
          </w:tcPr>
          <w:p>
            <w:pPr>
              <w:pStyle w:val="TableParagraph"/>
              <w:spacing w:before="74"/>
              <w:ind w:right="104"/>
              <w:rPr>
                <w:sz w:val="14"/>
              </w:rPr>
            </w:pPr>
            <w:r>
              <w:rPr>
                <w:spacing w:val="-2"/>
                <w:sz w:val="14"/>
              </w:rPr>
              <w:t>902.9</w:t>
            </w:r>
          </w:p>
        </w:tc>
        <w:tc>
          <w:tcPr>
            <w:tcW w:w="980" w:type="dxa"/>
            <w:tcBorders>
              <w:bottom w:val="single" w:sz="4" w:space="0" w:color="000000"/>
            </w:tcBorders>
          </w:tcPr>
          <w:p>
            <w:pPr>
              <w:pStyle w:val="TableParagraph"/>
              <w:spacing w:before="74"/>
              <w:ind w:right="108"/>
              <w:rPr>
                <w:sz w:val="14"/>
              </w:rPr>
            </w:pPr>
            <w:r>
              <w:rPr>
                <w:w w:val="99"/>
                <w:sz w:val="14"/>
              </w:rPr>
              <w:t>-</w:t>
            </w:r>
          </w:p>
        </w:tc>
        <w:tc>
          <w:tcPr>
            <w:tcW w:w="861" w:type="dxa"/>
            <w:tcBorders>
              <w:bottom w:val="single" w:sz="4" w:space="0" w:color="000000"/>
            </w:tcBorders>
          </w:tcPr>
          <w:p>
            <w:pPr>
              <w:pStyle w:val="TableParagraph"/>
              <w:spacing w:before="74"/>
              <w:ind w:right="124"/>
              <w:rPr>
                <w:sz w:val="14"/>
              </w:rPr>
            </w:pPr>
            <w:r>
              <w:rPr>
                <w:w w:val="99"/>
                <w:sz w:val="14"/>
              </w:rPr>
              <w:t>-</w:t>
            </w:r>
          </w:p>
        </w:tc>
        <w:tc>
          <w:tcPr>
            <w:tcW w:w="699" w:type="dxa"/>
            <w:tcBorders>
              <w:bottom w:val="single" w:sz="4" w:space="0" w:color="000000"/>
            </w:tcBorders>
          </w:tcPr>
          <w:p>
            <w:pPr>
              <w:pStyle w:val="TableParagraph"/>
              <w:spacing w:before="74"/>
              <w:ind w:right="123"/>
              <w:rPr>
                <w:sz w:val="14"/>
              </w:rPr>
            </w:pPr>
            <w:r>
              <w:rPr>
                <w:spacing w:val="-4"/>
                <w:sz w:val="14"/>
              </w:rPr>
              <w:t>28.4</w:t>
            </w:r>
          </w:p>
        </w:tc>
        <w:tc>
          <w:tcPr>
            <w:tcW w:w="685" w:type="dxa"/>
            <w:tcBorders>
              <w:bottom w:val="single" w:sz="4" w:space="0" w:color="000000"/>
            </w:tcBorders>
          </w:tcPr>
          <w:p>
            <w:pPr>
              <w:pStyle w:val="TableParagraph"/>
              <w:spacing w:before="74"/>
              <w:ind w:right="111"/>
              <w:rPr>
                <w:sz w:val="14"/>
              </w:rPr>
            </w:pPr>
            <w:r>
              <w:rPr>
                <w:w w:val="99"/>
                <w:sz w:val="14"/>
              </w:rPr>
              <w:t>-</w:t>
            </w:r>
          </w:p>
        </w:tc>
        <w:tc>
          <w:tcPr>
            <w:tcW w:w="1079" w:type="dxa"/>
            <w:tcBorders>
              <w:bottom w:val="single" w:sz="4" w:space="0" w:color="000000"/>
            </w:tcBorders>
          </w:tcPr>
          <w:p>
            <w:pPr>
              <w:pStyle w:val="TableParagraph"/>
              <w:spacing w:before="74"/>
              <w:ind w:right="106"/>
              <w:rPr>
                <w:sz w:val="14"/>
              </w:rPr>
            </w:pPr>
            <w:r>
              <w:rPr>
                <w:spacing w:val="-2"/>
                <w:sz w:val="14"/>
              </w:rPr>
              <w:t>931.3</w:t>
            </w:r>
          </w:p>
        </w:tc>
        <w:tc>
          <w:tcPr>
            <w:tcW w:w="781" w:type="dxa"/>
            <w:tcBorders>
              <w:bottom w:val="single" w:sz="4" w:space="0" w:color="000000"/>
            </w:tcBorders>
          </w:tcPr>
          <w:p>
            <w:pPr>
              <w:pStyle w:val="TableParagraph"/>
              <w:spacing w:before="74"/>
              <w:ind w:right="109"/>
              <w:rPr>
                <w:sz w:val="14"/>
              </w:rPr>
            </w:pPr>
            <w:r>
              <w:rPr>
                <w:spacing w:val="-2"/>
                <w:sz w:val="14"/>
              </w:rPr>
              <w:t>934.6</w:t>
            </w:r>
          </w:p>
        </w:tc>
        <w:tc>
          <w:tcPr>
            <w:tcW w:w="796" w:type="dxa"/>
            <w:tcBorders>
              <w:bottom w:val="single" w:sz="4" w:space="0" w:color="000000"/>
            </w:tcBorders>
          </w:tcPr>
          <w:p>
            <w:pPr>
              <w:pStyle w:val="TableParagraph"/>
              <w:spacing w:before="74"/>
              <w:ind w:right="122"/>
              <w:rPr>
                <w:sz w:val="14"/>
              </w:rPr>
            </w:pPr>
            <w:r>
              <w:rPr>
                <w:spacing w:val="-5"/>
                <w:sz w:val="14"/>
              </w:rPr>
              <w:t>3.3</w:t>
            </w:r>
          </w:p>
        </w:tc>
        <w:tc>
          <w:tcPr>
            <w:tcW w:w="871" w:type="dxa"/>
            <w:tcBorders>
              <w:bottom w:val="single" w:sz="4" w:space="0" w:color="000000"/>
            </w:tcBorders>
          </w:tcPr>
          <w:p>
            <w:pPr>
              <w:pStyle w:val="TableParagraph"/>
              <w:spacing w:before="74"/>
              <w:ind w:right="104"/>
              <w:rPr>
                <w:sz w:val="14"/>
              </w:rPr>
            </w:pPr>
            <w:r>
              <w:rPr>
                <w:spacing w:val="-4"/>
                <w:sz w:val="14"/>
              </w:rPr>
              <w:t>31.7</w:t>
            </w:r>
          </w:p>
        </w:tc>
      </w:tr>
      <w:tr>
        <w:trPr>
          <w:trHeight w:val="321" w:hRule="atLeast"/>
        </w:trPr>
        <w:tc>
          <w:tcPr>
            <w:tcW w:w="2833" w:type="dxa"/>
            <w:tcBorders>
              <w:top w:val="single" w:sz="4" w:space="0" w:color="000000"/>
              <w:bottom w:val="single" w:sz="4" w:space="0" w:color="000000"/>
            </w:tcBorders>
            <w:shd w:val="clear" w:color="auto" w:fill="F1F1F1"/>
          </w:tcPr>
          <w:p>
            <w:pPr>
              <w:pStyle w:val="TableParagraph"/>
              <w:spacing w:line="158" w:lineRule="exact"/>
              <w:ind w:left="124" w:right="673"/>
              <w:jc w:val="left"/>
              <w:rPr>
                <w:i/>
                <w:sz w:val="14"/>
              </w:rPr>
            </w:pPr>
            <w:r>
              <w:rPr>
                <w:i/>
                <w:sz w:val="14"/>
              </w:rPr>
              <w:t>MPIV</w:t>
            </w:r>
            <w:r>
              <w:rPr>
                <w:i/>
                <w:spacing w:val="-7"/>
                <w:sz w:val="14"/>
              </w:rPr>
              <w:t> </w:t>
            </w:r>
            <w:r>
              <w:rPr>
                <w:i/>
                <w:sz w:val="14"/>
              </w:rPr>
              <w:t>-</w:t>
            </w:r>
            <w:r>
              <w:rPr>
                <w:i/>
                <w:spacing w:val="-7"/>
                <w:sz w:val="14"/>
              </w:rPr>
              <w:t> </w:t>
            </w:r>
            <w:r>
              <w:rPr>
                <w:i/>
                <w:sz w:val="14"/>
              </w:rPr>
              <w:t>Secretariat</w:t>
            </w:r>
            <w:r>
              <w:rPr>
                <w:i/>
                <w:spacing w:val="-9"/>
                <w:sz w:val="14"/>
              </w:rPr>
              <w:t> </w:t>
            </w:r>
            <w:r>
              <w:rPr>
                <w:i/>
                <w:sz w:val="14"/>
              </w:rPr>
              <w:t>of</w:t>
            </w:r>
            <w:r>
              <w:rPr>
                <w:i/>
                <w:spacing w:val="-9"/>
                <w:sz w:val="14"/>
              </w:rPr>
              <w:t> </w:t>
            </w:r>
            <w:r>
              <w:rPr>
                <w:i/>
                <w:sz w:val="14"/>
              </w:rPr>
              <w:t>the</w:t>
            </w:r>
            <w:r>
              <w:rPr>
                <w:i/>
                <w:spacing w:val="-8"/>
                <w:sz w:val="14"/>
              </w:rPr>
              <w:t> </w:t>
            </w:r>
            <w:r>
              <w:rPr>
                <w:i/>
                <w:sz w:val="14"/>
              </w:rPr>
              <w:t>Assembly</w:t>
            </w:r>
            <w:r>
              <w:rPr>
                <w:i/>
                <w:spacing w:val="40"/>
                <w:sz w:val="14"/>
              </w:rPr>
              <w:t> </w:t>
            </w:r>
            <w:r>
              <w:rPr>
                <w:i/>
                <w:sz w:val="14"/>
              </w:rPr>
              <w:t>of States Parties</w:t>
            </w:r>
          </w:p>
        </w:tc>
        <w:tc>
          <w:tcPr>
            <w:tcW w:w="795" w:type="dxa"/>
            <w:tcBorders>
              <w:top w:val="single" w:sz="4" w:space="0" w:color="000000"/>
              <w:bottom w:val="single" w:sz="4" w:space="0" w:color="000000"/>
            </w:tcBorders>
            <w:shd w:val="clear" w:color="auto" w:fill="F1F1F1"/>
          </w:tcPr>
          <w:p>
            <w:pPr>
              <w:pStyle w:val="TableParagraph"/>
              <w:spacing w:before="80"/>
              <w:ind w:right="105"/>
              <w:rPr>
                <w:i/>
                <w:sz w:val="14"/>
              </w:rPr>
            </w:pPr>
            <w:r>
              <w:rPr>
                <w:i/>
                <w:spacing w:val="-2"/>
                <w:sz w:val="14"/>
              </w:rPr>
              <w:t>3,025.6</w:t>
            </w:r>
          </w:p>
        </w:tc>
        <w:tc>
          <w:tcPr>
            <w:tcW w:w="980" w:type="dxa"/>
            <w:tcBorders>
              <w:top w:val="single" w:sz="4" w:space="0" w:color="000000"/>
              <w:bottom w:val="single" w:sz="4" w:space="0" w:color="000000"/>
            </w:tcBorders>
            <w:shd w:val="clear" w:color="auto" w:fill="F1F1F1"/>
          </w:tcPr>
          <w:p>
            <w:pPr>
              <w:pStyle w:val="TableParagraph"/>
              <w:spacing w:before="80"/>
              <w:ind w:right="108"/>
              <w:rPr>
                <w:i/>
                <w:sz w:val="14"/>
              </w:rPr>
            </w:pPr>
            <w:r>
              <w:rPr>
                <w:i/>
                <w:w w:val="99"/>
                <w:sz w:val="14"/>
              </w:rPr>
              <w:t>-</w:t>
            </w:r>
          </w:p>
        </w:tc>
        <w:tc>
          <w:tcPr>
            <w:tcW w:w="861" w:type="dxa"/>
            <w:tcBorders>
              <w:top w:val="single" w:sz="4" w:space="0" w:color="000000"/>
              <w:bottom w:val="single" w:sz="4" w:space="0" w:color="000000"/>
            </w:tcBorders>
            <w:shd w:val="clear" w:color="auto" w:fill="F1F1F1"/>
          </w:tcPr>
          <w:p>
            <w:pPr>
              <w:pStyle w:val="TableParagraph"/>
              <w:spacing w:before="80"/>
              <w:ind w:right="124"/>
              <w:rPr>
                <w:i/>
                <w:sz w:val="14"/>
              </w:rPr>
            </w:pPr>
            <w:r>
              <w:rPr>
                <w:i/>
                <w:w w:val="99"/>
                <w:sz w:val="14"/>
              </w:rPr>
              <w:t>-</w:t>
            </w:r>
          </w:p>
        </w:tc>
        <w:tc>
          <w:tcPr>
            <w:tcW w:w="699" w:type="dxa"/>
            <w:tcBorders>
              <w:top w:val="single" w:sz="4" w:space="0" w:color="000000"/>
              <w:bottom w:val="single" w:sz="4" w:space="0" w:color="000000"/>
            </w:tcBorders>
            <w:shd w:val="clear" w:color="auto" w:fill="F1F1F1"/>
          </w:tcPr>
          <w:p>
            <w:pPr>
              <w:pStyle w:val="TableParagraph"/>
              <w:spacing w:before="80"/>
              <w:ind w:right="123"/>
              <w:rPr>
                <w:i/>
                <w:sz w:val="14"/>
              </w:rPr>
            </w:pPr>
            <w:r>
              <w:rPr>
                <w:i/>
                <w:spacing w:val="-2"/>
                <w:sz w:val="14"/>
              </w:rPr>
              <w:t>101.3</w:t>
            </w:r>
          </w:p>
        </w:tc>
        <w:tc>
          <w:tcPr>
            <w:tcW w:w="685" w:type="dxa"/>
            <w:tcBorders>
              <w:top w:val="single" w:sz="4" w:space="0" w:color="000000"/>
              <w:bottom w:val="single" w:sz="4" w:space="0" w:color="000000"/>
            </w:tcBorders>
            <w:shd w:val="clear" w:color="auto" w:fill="F1F1F1"/>
          </w:tcPr>
          <w:p>
            <w:pPr>
              <w:pStyle w:val="TableParagraph"/>
              <w:spacing w:before="80"/>
              <w:ind w:right="111"/>
              <w:rPr>
                <w:i/>
                <w:sz w:val="14"/>
              </w:rPr>
            </w:pPr>
            <w:r>
              <w:rPr>
                <w:i/>
                <w:w w:val="99"/>
                <w:sz w:val="14"/>
              </w:rPr>
              <w:t>-</w:t>
            </w:r>
          </w:p>
        </w:tc>
        <w:tc>
          <w:tcPr>
            <w:tcW w:w="1079" w:type="dxa"/>
            <w:tcBorders>
              <w:top w:val="single" w:sz="4" w:space="0" w:color="000000"/>
              <w:bottom w:val="single" w:sz="4" w:space="0" w:color="000000"/>
            </w:tcBorders>
            <w:shd w:val="clear" w:color="auto" w:fill="F1F1F1"/>
          </w:tcPr>
          <w:p>
            <w:pPr>
              <w:pStyle w:val="TableParagraph"/>
              <w:spacing w:before="80"/>
              <w:ind w:right="106"/>
              <w:rPr>
                <w:i/>
                <w:sz w:val="14"/>
              </w:rPr>
            </w:pPr>
            <w:r>
              <w:rPr>
                <w:i/>
                <w:spacing w:val="-2"/>
                <w:sz w:val="14"/>
              </w:rPr>
              <w:t>3,126.9</w:t>
            </w:r>
          </w:p>
        </w:tc>
        <w:tc>
          <w:tcPr>
            <w:tcW w:w="781" w:type="dxa"/>
            <w:tcBorders>
              <w:top w:val="single" w:sz="4" w:space="0" w:color="000000"/>
              <w:bottom w:val="single" w:sz="4" w:space="0" w:color="000000"/>
            </w:tcBorders>
            <w:shd w:val="clear" w:color="auto" w:fill="F1F1F1"/>
          </w:tcPr>
          <w:p>
            <w:pPr>
              <w:pStyle w:val="TableParagraph"/>
              <w:spacing w:before="80"/>
              <w:ind w:right="109"/>
              <w:rPr>
                <w:i/>
                <w:sz w:val="14"/>
              </w:rPr>
            </w:pPr>
            <w:r>
              <w:rPr>
                <w:i/>
                <w:spacing w:val="-2"/>
                <w:sz w:val="14"/>
              </w:rPr>
              <w:t>3,011.8</w:t>
            </w:r>
          </w:p>
        </w:tc>
        <w:tc>
          <w:tcPr>
            <w:tcW w:w="796" w:type="dxa"/>
            <w:tcBorders>
              <w:top w:val="single" w:sz="4" w:space="0" w:color="000000"/>
              <w:bottom w:val="single" w:sz="4" w:space="0" w:color="000000"/>
            </w:tcBorders>
            <w:shd w:val="clear" w:color="auto" w:fill="F1F1F1"/>
          </w:tcPr>
          <w:p>
            <w:pPr>
              <w:pStyle w:val="TableParagraph"/>
              <w:spacing w:before="80"/>
              <w:ind w:right="121"/>
              <w:rPr>
                <w:i/>
                <w:sz w:val="14"/>
              </w:rPr>
            </w:pPr>
            <w:r>
              <w:rPr>
                <w:i/>
                <w:spacing w:val="-2"/>
                <w:sz w:val="14"/>
              </w:rPr>
              <w:t>(115.1)</w:t>
            </w:r>
          </w:p>
        </w:tc>
        <w:tc>
          <w:tcPr>
            <w:tcW w:w="871" w:type="dxa"/>
            <w:tcBorders>
              <w:top w:val="single" w:sz="4" w:space="0" w:color="000000"/>
              <w:bottom w:val="single" w:sz="4" w:space="0" w:color="000000"/>
            </w:tcBorders>
            <w:shd w:val="clear" w:color="auto" w:fill="F1F1F1"/>
          </w:tcPr>
          <w:p>
            <w:pPr>
              <w:pStyle w:val="TableParagraph"/>
              <w:spacing w:before="80"/>
              <w:ind w:right="104"/>
              <w:rPr>
                <w:i/>
                <w:sz w:val="14"/>
              </w:rPr>
            </w:pPr>
            <w:r>
              <w:rPr>
                <w:i/>
                <w:spacing w:val="-2"/>
                <w:sz w:val="14"/>
              </w:rPr>
              <w:t>(13.8)</w:t>
            </w:r>
          </w:p>
        </w:tc>
      </w:tr>
      <w:tr>
        <w:trPr>
          <w:trHeight w:val="282" w:hRule="atLeast"/>
        </w:trPr>
        <w:tc>
          <w:tcPr>
            <w:tcW w:w="2833" w:type="dxa"/>
            <w:tcBorders>
              <w:top w:val="single" w:sz="4" w:space="0" w:color="000000"/>
              <w:bottom w:val="single" w:sz="4" w:space="0" w:color="000000"/>
            </w:tcBorders>
            <w:shd w:val="clear" w:color="auto" w:fill="F1F1F1"/>
          </w:tcPr>
          <w:p>
            <w:pPr>
              <w:pStyle w:val="TableParagraph"/>
              <w:spacing w:before="66"/>
              <w:ind w:left="124"/>
              <w:jc w:val="left"/>
              <w:rPr>
                <w:i/>
                <w:sz w:val="14"/>
              </w:rPr>
            </w:pPr>
            <w:r>
              <w:rPr>
                <w:i/>
                <w:sz w:val="14"/>
              </w:rPr>
              <w:t>MPV</w:t>
            </w:r>
            <w:r>
              <w:rPr>
                <w:i/>
                <w:spacing w:val="-2"/>
                <w:sz w:val="14"/>
              </w:rPr>
              <w:t> </w:t>
            </w:r>
            <w:r>
              <w:rPr>
                <w:i/>
                <w:sz w:val="14"/>
              </w:rPr>
              <w:t>-</w:t>
            </w:r>
            <w:r>
              <w:rPr>
                <w:i/>
                <w:spacing w:val="-2"/>
                <w:sz w:val="14"/>
              </w:rPr>
              <w:t> Premises</w:t>
            </w:r>
          </w:p>
        </w:tc>
        <w:tc>
          <w:tcPr>
            <w:tcW w:w="795" w:type="dxa"/>
            <w:tcBorders>
              <w:top w:val="single" w:sz="4" w:space="0" w:color="000000"/>
              <w:bottom w:val="single" w:sz="4" w:space="0" w:color="000000"/>
            </w:tcBorders>
            <w:shd w:val="clear" w:color="auto" w:fill="F1F1F1"/>
          </w:tcPr>
          <w:p>
            <w:pPr>
              <w:pStyle w:val="TableParagraph"/>
              <w:spacing w:before="66"/>
              <w:ind w:right="105"/>
              <w:rPr>
                <w:i/>
                <w:sz w:val="14"/>
              </w:rPr>
            </w:pPr>
            <w:r>
              <w:rPr>
                <w:i/>
                <w:spacing w:val="-2"/>
                <w:sz w:val="14"/>
              </w:rPr>
              <w:t>2,270.0</w:t>
            </w:r>
          </w:p>
        </w:tc>
        <w:tc>
          <w:tcPr>
            <w:tcW w:w="980" w:type="dxa"/>
            <w:tcBorders>
              <w:top w:val="single" w:sz="4" w:space="0" w:color="000000"/>
              <w:bottom w:val="single" w:sz="4" w:space="0" w:color="000000"/>
            </w:tcBorders>
            <w:shd w:val="clear" w:color="auto" w:fill="F1F1F1"/>
          </w:tcPr>
          <w:p>
            <w:pPr>
              <w:pStyle w:val="TableParagraph"/>
              <w:spacing w:before="66"/>
              <w:ind w:right="108"/>
              <w:rPr>
                <w:i/>
                <w:sz w:val="14"/>
              </w:rPr>
            </w:pPr>
            <w:r>
              <w:rPr>
                <w:i/>
                <w:w w:val="99"/>
                <w:sz w:val="14"/>
              </w:rPr>
              <w:t>-</w:t>
            </w:r>
          </w:p>
        </w:tc>
        <w:tc>
          <w:tcPr>
            <w:tcW w:w="861" w:type="dxa"/>
            <w:tcBorders>
              <w:top w:val="single" w:sz="4" w:space="0" w:color="000000"/>
              <w:bottom w:val="single" w:sz="4" w:space="0" w:color="000000"/>
            </w:tcBorders>
            <w:shd w:val="clear" w:color="auto" w:fill="F1F1F1"/>
          </w:tcPr>
          <w:p>
            <w:pPr>
              <w:pStyle w:val="TableParagraph"/>
              <w:spacing w:before="66"/>
              <w:ind w:right="124"/>
              <w:rPr>
                <w:i/>
                <w:sz w:val="14"/>
              </w:rPr>
            </w:pPr>
            <w:r>
              <w:rPr>
                <w:i/>
                <w:w w:val="99"/>
                <w:sz w:val="14"/>
              </w:rPr>
              <w:t>-</w:t>
            </w:r>
          </w:p>
        </w:tc>
        <w:tc>
          <w:tcPr>
            <w:tcW w:w="699" w:type="dxa"/>
            <w:tcBorders>
              <w:top w:val="single" w:sz="4" w:space="0" w:color="000000"/>
              <w:bottom w:val="single" w:sz="4" w:space="0" w:color="000000"/>
            </w:tcBorders>
            <w:shd w:val="clear" w:color="auto" w:fill="F1F1F1"/>
          </w:tcPr>
          <w:p>
            <w:pPr>
              <w:pStyle w:val="TableParagraph"/>
              <w:spacing w:before="66"/>
              <w:ind w:right="126"/>
              <w:rPr>
                <w:i/>
                <w:sz w:val="14"/>
              </w:rPr>
            </w:pPr>
            <w:r>
              <w:rPr>
                <w:i/>
                <w:w w:val="99"/>
                <w:sz w:val="14"/>
              </w:rPr>
              <w:t>-</w:t>
            </w:r>
          </w:p>
        </w:tc>
        <w:tc>
          <w:tcPr>
            <w:tcW w:w="685" w:type="dxa"/>
            <w:tcBorders>
              <w:top w:val="single" w:sz="4" w:space="0" w:color="000000"/>
              <w:bottom w:val="single" w:sz="4" w:space="0" w:color="000000"/>
            </w:tcBorders>
            <w:shd w:val="clear" w:color="auto" w:fill="F1F1F1"/>
          </w:tcPr>
          <w:p>
            <w:pPr>
              <w:pStyle w:val="TableParagraph"/>
              <w:spacing w:before="66"/>
              <w:ind w:right="111"/>
              <w:rPr>
                <w:i/>
                <w:sz w:val="14"/>
              </w:rPr>
            </w:pPr>
            <w:r>
              <w:rPr>
                <w:i/>
                <w:w w:val="99"/>
                <w:sz w:val="14"/>
              </w:rPr>
              <w:t>-</w:t>
            </w:r>
          </w:p>
        </w:tc>
        <w:tc>
          <w:tcPr>
            <w:tcW w:w="1079" w:type="dxa"/>
            <w:tcBorders>
              <w:top w:val="single" w:sz="4" w:space="0" w:color="000000"/>
              <w:bottom w:val="single" w:sz="4" w:space="0" w:color="000000"/>
            </w:tcBorders>
            <w:shd w:val="clear" w:color="auto" w:fill="F1F1F1"/>
          </w:tcPr>
          <w:p>
            <w:pPr>
              <w:pStyle w:val="TableParagraph"/>
              <w:spacing w:before="66"/>
              <w:ind w:right="106"/>
              <w:rPr>
                <w:i/>
                <w:sz w:val="14"/>
              </w:rPr>
            </w:pPr>
            <w:r>
              <w:rPr>
                <w:i/>
                <w:spacing w:val="-2"/>
                <w:sz w:val="14"/>
              </w:rPr>
              <w:t>2,270.0</w:t>
            </w:r>
          </w:p>
        </w:tc>
        <w:tc>
          <w:tcPr>
            <w:tcW w:w="781" w:type="dxa"/>
            <w:tcBorders>
              <w:top w:val="single" w:sz="4" w:space="0" w:color="000000"/>
              <w:bottom w:val="single" w:sz="4" w:space="0" w:color="000000"/>
            </w:tcBorders>
            <w:shd w:val="clear" w:color="auto" w:fill="F1F1F1"/>
          </w:tcPr>
          <w:p>
            <w:pPr>
              <w:pStyle w:val="TableParagraph"/>
              <w:spacing w:before="66"/>
              <w:ind w:right="109"/>
              <w:rPr>
                <w:i/>
                <w:sz w:val="14"/>
              </w:rPr>
            </w:pPr>
            <w:r>
              <w:rPr>
                <w:i/>
                <w:spacing w:val="-2"/>
                <w:sz w:val="14"/>
              </w:rPr>
              <w:t>2,537.0</w:t>
            </w:r>
          </w:p>
        </w:tc>
        <w:tc>
          <w:tcPr>
            <w:tcW w:w="796" w:type="dxa"/>
            <w:tcBorders>
              <w:top w:val="single" w:sz="4" w:space="0" w:color="000000"/>
              <w:bottom w:val="single" w:sz="4" w:space="0" w:color="000000"/>
            </w:tcBorders>
            <w:shd w:val="clear" w:color="auto" w:fill="F1F1F1"/>
          </w:tcPr>
          <w:p>
            <w:pPr>
              <w:pStyle w:val="TableParagraph"/>
              <w:spacing w:before="66"/>
              <w:ind w:right="122"/>
              <w:rPr>
                <w:i/>
                <w:sz w:val="14"/>
              </w:rPr>
            </w:pPr>
            <w:r>
              <w:rPr>
                <w:i/>
                <w:spacing w:val="-2"/>
                <w:sz w:val="14"/>
              </w:rPr>
              <w:t>267.0</w:t>
            </w:r>
          </w:p>
        </w:tc>
        <w:tc>
          <w:tcPr>
            <w:tcW w:w="871" w:type="dxa"/>
            <w:tcBorders>
              <w:top w:val="single" w:sz="4" w:space="0" w:color="000000"/>
              <w:bottom w:val="single" w:sz="4" w:space="0" w:color="000000"/>
            </w:tcBorders>
            <w:shd w:val="clear" w:color="auto" w:fill="F1F1F1"/>
          </w:tcPr>
          <w:p>
            <w:pPr>
              <w:pStyle w:val="TableParagraph"/>
              <w:spacing w:before="66"/>
              <w:ind w:right="105"/>
              <w:rPr>
                <w:i/>
                <w:sz w:val="14"/>
              </w:rPr>
            </w:pPr>
            <w:r>
              <w:rPr>
                <w:i/>
                <w:spacing w:val="-2"/>
                <w:sz w:val="14"/>
              </w:rPr>
              <w:t>267.0</w:t>
            </w:r>
          </w:p>
        </w:tc>
      </w:tr>
      <w:tr>
        <w:trPr>
          <w:trHeight w:val="321" w:hRule="atLeast"/>
        </w:trPr>
        <w:tc>
          <w:tcPr>
            <w:tcW w:w="2833" w:type="dxa"/>
            <w:tcBorders>
              <w:top w:val="single" w:sz="4" w:space="0" w:color="000000"/>
              <w:bottom w:val="single" w:sz="4" w:space="0" w:color="000000"/>
            </w:tcBorders>
            <w:shd w:val="clear" w:color="auto" w:fill="F1F1F1"/>
          </w:tcPr>
          <w:p>
            <w:pPr>
              <w:pStyle w:val="TableParagraph"/>
              <w:spacing w:line="158" w:lineRule="exact"/>
              <w:ind w:left="124" w:right="1045"/>
              <w:jc w:val="left"/>
              <w:rPr>
                <w:i/>
                <w:sz w:val="14"/>
              </w:rPr>
            </w:pPr>
            <w:r>
              <w:rPr>
                <w:i/>
                <w:sz w:val="14"/>
              </w:rPr>
              <w:t>MPVI</w:t>
            </w:r>
            <w:r>
              <w:rPr>
                <w:i/>
                <w:spacing w:val="-9"/>
                <w:sz w:val="14"/>
              </w:rPr>
              <w:t> </w:t>
            </w:r>
            <w:r>
              <w:rPr>
                <w:i/>
                <w:sz w:val="14"/>
              </w:rPr>
              <w:t>-</w:t>
            </w:r>
            <w:r>
              <w:rPr>
                <w:i/>
                <w:spacing w:val="-9"/>
                <w:sz w:val="14"/>
              </w:rPr>
              <w:t> </w:t>
            </w:r>
            <w:r>
              <w:rPr>
                <w:i/>
                <w:sz w:val="14"/>
              </w:rPr>
              <w:t>Secretariat</w:t>
            </w:r>
            <w:r>
              <w:rPr>
                <w:i/>
                <w:spacing w:val="-9"/>
                <w:sz w:val="14"/>
              </w:rPr>
              <w:t> </w:t>
            </w:r>
            <w:r>
              <w:rPr>
                <w:i/>
                <w:sz w:val="14"/>
              </w:rPr>
              <w:t>of</w:t>
            </w:r>
            <w:r>
              <w:rPr>
                <w:i/>
                <w:spacing w:val="-8"/>
                <w:sz w:val="14"/>
              </w:rPr>
              <w:t> </w:t>
            </w:r>
            <w:r>
              <w:rPr>
                <w:i/>
                <w:sz w:val="14"/>
              </w:rPr>
              <w:t>the</w:t>
            </w:r>
            <w:r>
              <w:rPr>
                <w:i/>
                <w:spacing w:val="40"/>
                <w:sz w:val="14"/>
              </w:rPr>
              <w:t> </w:t>
            </w:r>
            <w:r>
              <w:rPr>
                <w:i/>
                <w:sz w:val="14"/>
              </w:rPr>
              <w:t>Trust Fund for Victims</w:t>
            </w:r>
          </w:p>
        </w:tc>
        <w:tc>
          <w:tcPr>
            <w:tcW w:w="795" w:type="dxa"/>
            <w:tcBorders>
              <w:top w:val="single" w:sz="4" w:space="0" w:color="000000"/>
              <w:bottom w:val="single" w:sz="4" w:space="0" w:color="000000"/>
            </w:tcBorders>
            <w:shd w:val="clear" w:color="auto" w:fill="F1F1F1"/>
          </w:tcPr>
          <w:p>
            <w:pPr>
              <w:pStyle w:val="TableParagraph"/>
              <w:spacing w:before="85"/>
              <w:ind w:right="105"/>
              <w:rPr>
                <w:i/>
                <w:sz w:val="14"/>
              </w:rPr>
            </w:pPr>
            <w:r>
              <w:rPr>
                <w:i/>
                <w:spacing w:val="-2"/>
                <w:sz w:val="14"/>
              </w:rPr>
              <w:t>3,227.2</w:t>
            </w:r>
          </w:p>
        </w:tc>
        <w:tc>
          <w:tcPr>
            <w:tcW w:w="980" w:type="dxa"/>
            <w:tcBorders>
              <w:top w:val="single" w:sz="4" w:space="0" w:color="000000"/>
              <w:bottom w:val="single" w:sz="4" w:space="0" w:color="000000"/>
            </w:tcBorders>
            <w:shd w:val="clear" w:color="auto" w:fill="F1F1F1"/>
          </w:tcPr>
          <w:p>
            <w:pPr>
              <w:pStyle w:val="TableParagraph"/>
              <w:spacing w:before="85"/>
              <w:ind w:right="108"/>
              <w:rPr>
                <w:i/>
                <w:sz w:val="14"/>
              </w:rPr>
            </w:pPr>
            <w:r>
              <w:rPr>
                <w:i/>
                <w:w w:val="99"/>
                <w:sz w:val="14"/>
              </w:rPr>
              <w:t>-</w:t>
            </w:r>
          </w:p>
        </w:tc>
        <w:tc>
          <w:tcPr>
            <w:tcW w:w="861" w:type="dxa"/>
            <w:tcBorders>
              <w:top w:val="single" w:sz="4" w:space="0" w:color="000000"/>
              <w:bottom w:val="single" w:sz="4" w:space="0" w:color="000000"/>
            </w:tcBorders>
            <w:shd w:val="clear" w:color="auto" w:fill="F1F1F1"/>
          </w:tcPr>
          <w:p>
            <w:pPr>
              <w:pStyle w:val="TableParagraph"/>
              <w:spacing w:before="85"/>
              <w:ind w:right="124"/>
              <w:rPr>
                <w:i/>
                <w:sz w:val="14"/>
              </w:rPr>
            </w:pPr>
            <w:r>
              <w:rPr>
                <w:i/>
                <w:w w:val="99"/>
                <w:sz w:val="14"/>
              </w:rPr>
              <w:t>-</w:t>
            </w:r>
          </w:p>
        </w:tc>
        <w:tc>
          <w:tcPr>
            <w:tcW w:w="699" w:type="dxa"/>
            <w:tcBorders>
              <w:top w:val="single" w:sz="4" w:space="0" w:color="000000"/>
              <w:bottom w:val="single" w:sz="4" w:space="0" w:color="000000"/>
            </w:tcBorders>
            <w:shd w:val="clear" w:color="auto" w:fill="F1F1F1"/>
          </w:tcPr>
          <w:p>
            <w:pPr>
              <w:pStyle w:val="TableParagraph"/>
              <w:spacing w:before="85"/>
              <w:ind w:right="123"/>
              <w:rPr>
                <w:i/>
                <w:sz w:val="14"/>
              </w:rPr>
            </w:pPr>
            <w:r>
              <w:rPr>
                <w:i/>
                <w:spacing w:val="-2"/>
                <w:sz w:val="14"/>
              </w:rPr>
              <w:t>225.9</w:t>
            </w:r>
          </w:p>
        </w:tc>
        <w:tc>
          <w:tcPr>
            <w:tcW w:w="685" w:type="dxa"/>
            <w:tcBorders>
              <w:top w:val="single" w:sz="4" w:space="0" w:color="000000"/>
              <w:bottom w:val="single" w:sz="4" w:space="0" w:color="000000"/>
            </w:tcBorders>
            <w:shd w:val="clear" w:color="auto" w:fill="F1F1F1"/>
          </w:tcPr>
          <w:p>
            <w:pPr>
              <w:pStyle w:val="TableParagraph"/>
              <w:spacing w:before="85"/>
              <w:ind w:right="107"/>
              <w:rPr>
                <w:i/>
                <w:sz w:val="14"/>
              </w:rPr>
            </w:pPr>
            <w:r>
              <w:rPr>
                <w:i/>
                <w:spacing w:val="-4"/>
                <w:sz w:val="14"/>
              </w:rPr>
              <w:t>81.1</w:t>
            </w:r>
          </w:p>
        </w:tc>
        <w:tc>
          <w:tcPr>
            <w:tcW w:w="1079" w:type="dxa"/>
            <w:tcBorders>
              <w:top w:val="single" w:sz="4" w:space="0" w:color="000000"/>
              <w:bottom w:val="single" w:sz="4" w:space="0" w:color="000000"/>
            </w:tcBorders>
            <w:shd w:val="clear" w:color="auto" w:fill="F1F1F1"/>
          </w:tcPr>
          <w:p>
            <w:pPr>
              <w:pStyle w:val="TableParagraph"/>
              <w:spacing w:before="85"/>
              <w:ind w:right="106"/>
              <w:rPr>
                <w:i/>
                <w:sz w:val="14"/>
              </w:rPr>
            </w:pPr>
            <w:r>
              <w:rPr>
                <w:i/>
                <w:spacing w:val="-2"/>
                <w:sz w:val="14"/>
              </w:rPr>
              <w:t>3,534.2</w:t>
            </w:r>
          </w:p>
        </w:tc>
        <w:tc>
          <w:tcPr>
            <w:tcW w:w="781" w:type="dxa"/>
            <w:tcBorders>
              <w:top w:val="single" w:sz="4" w:space="0" w:color="000000"/>
              <w:bottom w:val="single" w:sz="4" w:space="0" w:color="000000"/>
            </w:tcBorders>
            <w:shd w:val="clear" w:color="auto" w:fill="F1F1F1"/>
          </w:tcPr>
          <w:p>
            <w:pPr>
              <w:pStyle w:val="TableParagraph"/>
              <w:spacing w:before="85"/>
              <w:ind w:right="109"/>
              <w:rPr>
                <w:i/>
                <w:sz w:val="14"/>
              </w:rPr>
            </w:pPr>
            <w:r>
              <w:rPr>
                <w:i/>
                <w:spacing w:val="-2"/>
                <w:sz w:val="14"/>
              </w:rPr>
              <w:t>4,300.3</w:t>
            </w:r>
          </w:p>
        </w:tc>
        <w:tc>
          <w:tcPr>
            <w:tcW w:w="796" w:type="dxa"/>
            <w:tcBorders>
              <w:top w:val="single" w:sz="4" w:space="0" w:color="000000"/>
              <w:bottom w:val="single" w:sz="4" w:space="0" w:color="000000"/>
            </w:tcBorders>
            <w:shd w:val="clear" w:color="auto" w:fill="F1F1F1"/>
          </w:tcPr>
          <w:p>
            <w:pPr>
              <w:pStyle w:val="TableParagraph"/>
              <w:spacing w:before="85"/>
              <w:ind w:right="122"/>
              <w:rPr>
                <w:i/>
                <w:sz w:val="14"/>
              </w:rPr>
            </w:pPr>
            <w:r>
              <w:rPr>
                <w:i/>
                <w:spacing w:val="-2"/>
                <w:sz w:val="14"/>
              </w:rPr>
              <w:t>766.1</w:t>
            </w:r>
          </w:p>
        </w:tc>
        <w:tc>
          <w:tcPr>
            <w:tcW w:w="871" w:type="dxa"/>
            <w:tcBorders>
              <w:top w:val="single" w:sz="4" w:space="0" w:color="000000"/>
              <w:bottom w:val="single" w:sz="4" w:space="0" w:color="000000"/>
            </w:tcBorders>
            <w:shd w:val="clear" w:color="auto" w:fill="F1F1F1"/>
          </w:tcPr>
          <w:p>
            <w:pPr>
              <w:pStyle w:val="TableParagraph"/>
              <w:spacing w:before="85"/>
              <w:ind w:right="105"/>
              <w:rPr>
                <w:i/>
                <w:sz w:val="14"/>
              </w:rPr>
            </w:pPr>
            <w:r>
              <w:rPr>
                <w:i/>
                <w:spacing w:val="-2"/>
                <w:sz w:val="14"/>
              </w:rPr>
              <w:t>1,073.1</w:t>
            </w:r>
          </w:p>
        </w:tc>
      </w:tr>
      <w:tr>
        <w:trPr>
          <w:trHeight w:val="282" w:hRule="atLeast"/>
        </w:trPr>
        <w:tc>
          <w:tcPr>
            <w:tcW w:w="2833" w:type="dxa"/>
            <w:tcBorders>
              <w:top w:val="single" w:sz="4" w:space="0" w:color="000000"/>
              <w:bottom w:val="single" w:sz="4" w:space="0" w:color="000000"/>
            </w:tcBorders>
            <w:shd w:val="clear" w:color="auto" w:fill="F1F1F1"/>
          </w:tcPr>
          <w:p>
            <w:pPr>
              <w:pStyle w:val="TableParagraph"/>
              <w:spacing w:before="66"/>
              <w:ind w:left="124"/>
              <w:jc w:val="left"/>
              <w:rPr>
                <w:i/>
                <w:sz w:val="14"/>
              </w:rPr>
            </w:pPr>
            <w:r>
              <w:rPr>
                <w:i/>
                <w:sz w:val="14"/>
              </w:rPr>
              <w:t>MP</w:t>
            </w:r>
            <w:r>
              <w:rPr>
                <w:i/>
                <w:spacing w:val="-2"/>
                <w:sz w:val="14"/>
              </w:rPr>
              <w:t> </w:t>
            </w:r>
            <w:r>
              <w:rPr>
                <w:i/>
                <w:sz w:val="14"/>
              </w:rPr>
              <w:t>VII-2 -</w:t>
            </w:r>
            <w:r>
              <w:rPr>
                <w:i/>
                <w:spacing w:val="-1"/>
                <w:sz w:val="14"/>
              </w:rPr>
              <w:t> </w:t>
            </w:r>
            <w:r>
              <w:rPr>
                <w:i/>
                <w:sz w:val="14"/>
              </w:rPr>
              <w:t>Host</w:t>
            </w:r>
            <w:r>
              <w:rPr>
                <w:i/>
                <w:spacing w:val="-3"/>
                <w:sz w:val="14"/>
              </w:rPr>
              <w:t> </w:t>
            </w:r>
            <w:r>
              <w:rPr>
                <w:i/>
                <w:sz w:val="14"/>
              </w:rPr>
              <w:t>State</w:t>
            </w:r>
            <w:r>
              <w:rPr>
                <w:i/>
                <w:spacing w:val="-3"/>
                <w:sz w:val="14"/>
              </w:rPr>
              <w:t> </w:t>
            </w:r>
            <w:r>
              <w:rPr>
                <w:i/>
                <w:spacing w:val="-4"/>
                <w:sz w:val="14"/>
              </w:rPr>
              <w:t>Loan</w:t>
            </w:r>
          </w:p>
        </w:tc>
        <w:tc>
          <w:tcPr>
            <w:tcW w:w="795" w:type="dxa"/>
            <w:tcBorders>
              <w:top w:val="single" w:sz="4" w:space="0" w:color="000000"/>
              <w:bottom w:val="single" w:sz="4" w:space="0" w:color="000000"/>
            </w:tcBorders>
            <w:shd w:val="clear" w:color="auto" w:fill="F1F1F1"/>
          </w:tcPr>
          <w:p>
            <w:pPr>
              <w:pStyle w:val="TableParagraph"/>
              <w:spacing w:before="66"/>
              <w:ind w:right="105"/>
              <w:rPr>
                <w:i/>
                <w:sz w:val="14"/>
              </w:rPr>
            </w:pPr>
            <w:r>
              <w:rPr>
                <w:i/>
                <w:spacing w:val="-2"/>
                <w:sz w:val="14"/>
              </w:rPr>
              <w:t>3,585.1</w:t>
            </w:r>
          </w:p>
        </w:tc>
        <w:tc>
          <w:tcPr>
            <w:tcW w:w="980" w:type="dxa"/>
            <w:tcBorders>
              <w:top w:val="single" w:sz="4" w:space="0" w:color="000000"/>
              <w:bottom w:val="single" w:sz="4" w:space="0" w:color="000000"/>
            </w:tcBorders>
            <w:shd w:val="clear" w:color="auto" w:fill="F1F1F1"/>
          </w:tcPr>
          <w:p>
            <w:pPr>
              <w:pStyle w:val="TableParagraph"/>
              <w:spacing w:before="66"/>
              <w:ind w:right="108"/>
              <w:rPr>
                <w:i/>
                <w:sz w:val="14"/>
              </w:rPr>
            </w:pPr>
            <w:r>
              <w:rPr>
                <w:i/>
                <w:w w:val="99"/>
                <w:sz w:val="14"/>
              </w:rPr>
              <w:t>-</w:t>
            </w:r>
          </w:p>
        </w:tc>
        <w:tc>
          <w:tcPr>
            <w:tcW w:w="861" w:type="dxa"/>
            <w:tcBorders>
              <w:top w:val="single" w:sz="4" w:space="0" w:color="000000"/>
              <w:bottom w:val="single" w:sz="4" w:space="0" w:color="000000"/>
            </w:tcBorders>
            <w:shd w:val="clear" w:color="auto" w:fill="F1F1F1"/>
          </w:tcPr>
          <w:p>
            <w:pPr>
              <w:pStyle w:val="TableParagraph"/>
              <w:spacing w:before="66"/>
              <w:ind w:right="124"/>
              <w:rPr>
                <w:i/>
                <w:sz w:val="14"/>
              </w:rPr>
            </w:pPr>
            <w:r>
              <w:rPr>
                <w:i/>
                <w:w w:val="99"/>
                <w:sz w:val="14"/>
              </w:rPr>
              <w:t>-</w:t>
            </w:r>
          </w:p>
        </w:tc>
        <w:tc>
          <w:tcPr>
            <w:tcW w:w="699" w:type="dxa"/>
            <w:tcBorders>
              <w:top w:val="single" w:sz="4" w:space="0" w:color="000000"/>
              <w:bottom w:val="single" w:sz="4" w:space="0" w:color="000000"/>
            </w:tcBorders>
            <w:shd w:val="clear" w:color="auto" w:fill="F1F1F1"/>
          </w:tcPr>
          <w:p>
            <w:pPr>
              <w:pStyle w:val="TableParagraph"/>
              <w:spacing w:before="66"/>
              <w:ind w:right="126"/>
              <w:rPr>
                <w:i/>
                <w:sz w:val="14"/>
              </w:rPr>
            </w:pPr>
            <w:r>
              <w:rPr>
                <w:i/>
                <w:w w:val="99"/>
                <w:sz w:val="14"/>
              </w:rPr>
              <w:t>-</w:t>
            </w:r>
          </w:p>
        </w:tc>
        <w:tc>
          <w:tcPr>
            <w:tcW w:w="685" w:type="dxa"/>
            <w:tcBorders>
              <w:top w:val="single" w:sz="4" w:space="0" w:color="000000"/>
              <w:bottom w:val="single" w:sz="4" w:space="0" w:color="000000"/>
            </w:tcBorders>
            <w:shd w:val="clear" w:color="auto" w:fill="F1F1F1"/>
          </w:tcPr>
          <w:p>
            <w:pPr>
              <w:pStyle w:val="TableParagraph"/>
              <w:spacing w:before="66"/>
              <w:ind w:right="111"/>
              <w:rPr>
                <w:i/>
                <w:sz w:val="14"/>
              </w:rPr>
            </w:pPr>
            <w:r>
              <w:rPr>
                <w:i/>
                <w:w w:val="99"/>
                <w:sz w:val="14"/>
              </w:rPr>
              <w:t>-</w:t>
            </w:r>
          </w:p>
        </w:tc>
        <w:tc>
          <w:tcPr>
            <w:tcW w:w="1079" w:type="dxa"/>
            <w:tcBorders>
              <w:top w:val="single" w:sz="4" w:space="0" w:color="000000"/>
              <w:bottom w:val="single" w:sz="4" w:space="0" w:color="000000"/>
            </w:tcBorders>
            <w:shd w:val="clear" w:color="auto" w:fill="F1F1F1"/>
          </w:tcPr>
          <w:p>
            <w:pPr>
              <w:pStyle w:val="TableParagraph"/>
              <w:spacing w:before="66"/>
              <w:ind w:right="106"/>
              <w:rPr>
                <w:i/>
                <w:sz w:val="14"/>
              </w:rPr>
            </w:pPr>
            <w:r>
              <w:rPr>
                <w:i/>
                <w:spacing w:val="-2"/>
                <w:sz w:val="14"/>
              </w:rPr>
              <w:t>3,585.1</w:t>
            </w:r>
          </w:p>
        </w:tc>
        <w:tc>
          <w:tcPr>
            <w:tcW w:w="781" w:type="dxa"/>
            <w:tcBorders>
              <w:top w:val="single" w:sz="4" w:space="0" w:color="000000"/>
              <w:bottom w:val="single" w:sz="4" w:space="0" w:color="000000"/>
            </w:tcBorders>
            <w:shd w:val="clear" w:color="auto" w:fill="F1F1F1"/>
          </w:tcPr>
          <w:p>
            <w:pPr>
              <w:pStyle w:val="TableParagraph"/>
              <w:spacing w:before="66"/>
              <w:ind w:right="109"/>
              <w:rPr>
                <w:i/>
                <w:sz w:val="14"/>
              </w:rPr>
            </w:pPr>
            <w:r>
              <w:rPr>
                <w:i/>
                <w:spacing w:val="-2"/>
                <w:sz w:val="14"/>
              </w:rPr>
              <w:t>3,585.1</w:t>
            </w:r>
          </w:p>
        </w:tc>
        <w:tc>
          <w:tcPr>
            <w:tcW w:w="796" w:type="dxa"/>
            <w:tcBorders>
              <w:top w:val="single" w:sz="4" w:space="0" w:color="000000"/>
              <w:bottom w:val="single" w:sz="4" w:space="0" w:color="000000"/>
            </w:tcBorders>
            <w:shd w:val="clear" w:color="auto" w:fill="F1F1F1"/>
          </w:tcPr>
          <w:p>
            <w:pPr>
              <w:pStyle w:val="TableParagraph"/>
              <w:spacing w:before="66"/>
              <w:ind w:right="125"/>
              <w:rPr>
                <w:i/>
                <w:sz w:val="14"/>
              </w:rPr>
            </w:pPr>
            <w:r>
              <w:rPr>
                <w:i/>
                <w:w w:val="99"/>
                <w:sz w:val="14"/>
              </w:rPr>
              <w:t>-</w:t>
            </w:r>
          </w:p>
        </w:tc>
        <w:tc>
          <w:tcPr>
            <w:tcW w:w="871" w:type="dxa"/>
            <w:tcBorders>
              <w:top w:val="single" w:sz="4" w:space="0" w:color="000000"/>
              <w:bottom w:val="single" w:sz="4" w:space="0" w:color="000000"/>
            </w:tcBorders>
            <w:shd w:val="clear" w:color="auto" w:fill="F1F1F1"/>
          </w:tcPr>
          <w:p>
            <w:pPr>
              <w:pStyle w:val="TableParagraph"/>
              <w:spacing w:before="66"/>
              <w:ind w:right="108"/>
              <w:rPr>
                <w:i/>
                <w:sz w:val="14"/>
              </w:rPr>
            </w:pPr>
            <w:r>
              <w:rPr>
                <w:i/>
                <w:w w:val="99"/>
                <w:sz w:val="14"/>
              </w:rPr>
              <w:t>-</w:t>
            </w:r>
          </w:p>
        </w:tc>
      </w:tr>
      <w:tr>
        <w:trPr>
          <w:trHeight w:val="326" w:hRule="atLeast"/>
        </w:trPr>
        <w:tc>
          <w:tcPr>
            <w:tcW w:w="2833" w:type="dxa"/>
            <w:tcBorders>
              <w:top w:val="single" w:sz="4" w:space="0" w:color="000000"/>
              <w:bottom w:val="single" w:sz="4" w:space="0" w:color="000000"/>
            </w:tcBorders>
            <w:shd w:val="clear" w:color="auto" w:fill="F1F1F1"/>
          </w:tcPr>
          <w:p>
            <w:pPr>
              <w:pStyle w:val="TableParagraph"/>
              <w:spacing w:line="160" w:lineRule="atLeast"/>
              <w:ind w:left="124" w:right="1045"/>
              <w:jc w:val="left"/>
              <w:rPr>
                <w:i/>
                <w:sz w:val="14"/>
              </w:rPr>
            </w:pPr>
            <w:r>
              <w:rPr>
                <w:i/>
                <w:sz w:val="14"/>
              </w:rPr>
              <w:t>MP-VII5</w:t>
            </w:r>
            <w:r>
              <w:rPr>
                <w:i/>
                <w:spacing w:val="-9"/>
                <w:sz w:val="14"/>
              </w:rPr>
              <w:t> </w:t>
            </w:r>
            <w:r>
              <w:rPr>
                <w:i/>
                <w:sz w:val="14"/>
              </w:rPr>
              <w:t>-</w:t>
            </w:r>
            <w:r>
              <w:rPr>
                <w:i/>
                <w:spacing w:val="-9"/>
                <w:sz w:val="14"/>
              </w:rPr>
              <w:t> </w:t>
            </w:r>
            <w:r>
              <w:rPr>
                <w:i/>
                <w:sz w:val="14"/>
              </w:rPr>
              <w:t>Independent</w:t>
            </w:r>
            <w:r>
              <w:rPr>
                <w:i/>
                <w:spacing w:val="40"/>
                <w:sz w:val="14"/>
              </w:rPr>
              <w:t> </w:t>
            </w:r>
            <w:r>
              <w:rPr>
                <w:i/>
                <w:sz w:val="14"/>
              </w:rPr>
              <w:t>Oversight</w:t>
            </w:r>
            <w:r>
              <w:rPr>
                <w:i/>
                <w:spacing w:val="-9"/>
                <w:sz w:val="14"/>
              </w:rPr>
              <w:t> </w:t>
            </w:r>
            <w:r>
              <w:rPr>
                <w:i/>
                <w:sz w:val="14"/>
              </w:rPr>
              <w:t>Mechanism</w:t>
            </w:r>
          </w:p>
        </w:tc>
        <w:tc>
          <w:tcPr>
            <w:tcW w:w="795" w:type="dxa"/>
            <w:tcBorders>
              <w:top w:val="single" w:sz="4" w:space="0" w:color="000000"/>
              <w:bottom w:val="single" w:sz="4" w:space="0" w:color="000000"/>
            </w:tcBorders>
            <w:shd w:val="clear" w:color="auto" w:fill="F1F1F1"/>
          </w:tcPr>
          <w:p>
            <w:pPr>
              <w:pStyle w:val="TableParagraph"/>
              <w:spacing w:before="85"/>
              <w:ind w:right="104"/>
              <w:rPr>
                <w:i/>
                <w:sz w:val="14"/>
              </w:rPr>
            </w:pPr>
            <w:r>
              <w:rPr>
                <w:i/>
                <w:spacing w:val="-2"/>
                <w:sz w:val="14"/>
              </w:rPr>
              <w:t>820.8</w:t>
            </w:r>
          </w:p>
        </w:tc>
        <w:tc>
          <w:tcPr>
            <w:tcW w:w="980" w:type="dxa"/>
            <w:tcBorders>
              <w:top w:val="single" w:sz="4" w:space="0" w:color="000000"/>
              <w:bottom w:val="single" w:sz="4" w:space="0" w:color="000000"/>
            </w:tcBorders>
            <w:shd w:val="clear" w:color="auto" w:fill="F1F1F1"/>
          </w:tcPr>
          <w:p>
            <w:pPr>
              <w:pStyle w:val="TableParagraph"/>
              <w:spacing w:before="85"/>
              <w:ind w:right="108"/>
              <w:rPr>
                <w:i/>
                <w:sz w:val="14"/>
              </w:rPr>
            </w:pPr>
            <w:r>
              <w:rPr>
                <w:i/>
                <w:w w:val="99"/>
                <w:sz w:val="14"/>
              </w:rPr>
              <w:t>-</w:t>
            </w:r>
          </w:p>
        </w:tc>
        <w:tc>
          <w:tcPr>
            <w:tcW w:w="861" w:type="dxa"/>
            <w:tcBorders>
              <w:top w:val="single" w:sz="4" w:space="0" w:color="000000"/>
              <w:bottom w:val="single" w:sz="4" w:space="0" w:color="000000"/>
            </w:tcBorders>
            <w:shd w:val="clear" w:color="auto" w:fill="F1F1F1"/>
          </w:tcPr>
          <w:p>
            <w:pPr>
              <w:pStyle w:val="TableParagraph"/>
              <w:spacing w:before="85"/>
              <w:ind w:right="124"/>
              <w:rPr>
                <w:i/>
                <w:sz w:val="14"/>
              </w:rPr>
            </w:pPr>
            <w:r>
              <w:rPr>
                <w:i/>
                <w:w w:val="99"/>
                <w:sz w:val="14"/>
              </w:rPr>
              <w:t>-</w:t>
            </w:r>
          </w:p>
        </w:tc>
        <w:tc>
          <w:tcPr>
            <w:tcW w:w="699" w:type="dxa"/>
            <w:tcBorders>
              <w:top w:val="single" w:sz="4" w:space="0" w:color="000000"/>
              <w:bottom w:val="single" w:sz="4" w:space="0" w:color="000000"/>
            </w:tcBorders>
            <w:shd w:val="clear" w:color="auto" w:fill="F1F1F1"/>
          </w:tcPr>
          <w:p>
            <w:pPr>
              <w:pStyle w:val="TableParagraph"/>
              <w:spacing w:before="85"/>
              <w:ind w:right="123"/>
              <w:rPr>
                <w:i/>
                <w:sz w:val="14"/>
              </w:rPr>
            </w:pPr>
            <w:r>
              <w:rPr>
                <w:i/>
                <w:spacing w:val="-4"/>
                <w:sz w:val="14"/>
              </w:rPr>
              <w:t>27.7</w:t>
            </w:r>
          </w:p>
        </w:tc>
        <w:tc>
          <w:tcPr>
            <w:tcW w:w="685" w:type="dxa"/>
            <w:tcBorders>
              <w:top w:val="single" w:sz="4" w:space="0" w:color="000000"/>
              <w:bottom w:val="single" w:sz="4" w:space="0" w:color="000000"/>
            </w:tcBorders>
            <w:shd w:val="clear" w:color="auto" w:fill="F1F1F1"/>
          </w:tcPr>
          <w:p>
            <w:pPr>
              <w:pStyle w:val="TableParagraph"/>
              <w:spacing w:before="85"/>
              <w:ind w:right="111"/>
              <w:rPr>
                <w:i/>
                <w:sz w:val="14"/>
              </w:rPr>
            </w:pPr>
            <w:r>
              <w:rPr>
                <w:i/>
                <w:w w:val="99"/>
                <w:sz w:val="14"/>
              </w:rPr>
              <w:t>-</w:t>
            </w:r>
          </w:p>
        </w:tc>
        <w:tc>
          <w:tcPr>
            <w:tcW w:w="1079" w:type="dxa"/>
            <w:tcBorders>
              <w:top w:val="single" w:sz="4" w:space="0" w:color="000000"/>
              <w:bottom w:val="single" w:sz="4" w:space="0" w:color="000000"/>
            </w:tcBorders>
            <w:shd w:val="clear" w:color="auto" w:fill="F1F1F1"/>
          </w:tcPr>
          <w:p>
            <w:pPr>
              <w:pStyle w:val="TableParagraph"/>
              <w:spacing w:before="85"/>
              <w:ind w:right="106"/>
              <w:rPr>
                <w:i/>
                <w:sz w:val="14"/>
              </w:rPr>
            </w:pPr>
            <w:r>
              <w:rPr>
                <w:i/>
                <w:spacing w:val="-2"/>
                <w:sz w:val="14"/>
              </w:rPr>
              <w:t>848.5</w:t>
            </w:r>
          </w:p>
        </w:tc>
        <w:tc>
          <w:tcPr>
            <w:tcW w:w="781" w:type="dxa"/>
            <w:tcBorders>
              <w:top w:val="single" w:sz="4" w:space="0" w:color="000000"/>
              <w:bottom w:val="single" w:sz="4" w:space="0" w:color="000000"/>
            </w:tcBorders>
            <w:shd w:val="clear" w:color="auto" w:fill="F1F1F1"/>
          </w:tcPr>
          <w:p>
            <w:pPr>
              <w:pStyle w:val="TableParagraph"/>
              <w:spacing w:before="85"/>
              <w:ind w:right="109"/>
              <w:rPr>
                <w:i/>
                <w:sz w:val="14"/>
              </w:rPr>
            </w:pPr>
            <w:r>
              <w:rPr>
                <w:i/>
                <w:spacing w:val="-2"/>
                <w:sz w:val="14"/>
              </w:rPr>
              <w:t>938.0</w:t>
            </w:r>
          </w:p>
        </w:tc>
        <w:tc>
          <w:tcPr>
            <w:tcW w:w="796" w:type="dxa"/>
            <w:tcBorders>
              <w:top w:val="single" w:sz="4" w:space="0" w:color="000000"/>
              <w:bottom w:val="single" w:sz="4" w:space="0" w:color="000000"/>
            </w:tcBorders>
            <w:shd w:val="clear" w:color="auto" w:fill="F1F1F1"/>
          </w:tcPr>
          <w:p>
            <w:pPr>
              <w:pStyle w:val="TableParagraph"/>
              <w:spacing w:before="85"/>
              <w:ind w:right="122"/>
              <w:rPr>
                <w:i/>
                <w:sz w:val="14"/>
              </w:rPr>
            </w:pPr>
            <w:r>
              <w:rPr>
                <w:i/>
                <w:spacing w:val="-4"/>
                <w:sz w:val="14"/>
              </w:rPr>
              <w:t>89.5</w:t>
            </w:r>
          </w:p>
        </w:tc>
        <w:tc>
          <w:tcPr>
            <w:tcW w:w="871" w:type="dxa"/>
            <w:tcBorders>
              <w:top w:val="single" w:sz="4" w:space="0" w:color="000000"/>
              <w:bottom w:val="single" w:sz="4" w:space="0" w:color="000000"/>
            </w:tcBorders>
            <w:shd w:val="clear" w:color="auto" w:fill="F1F1F1"/>
          </w:tcPr>
          <w:p>
            <w:pPr>
              <w:pStyle w:val="TableParagraph"/>
              <w:spacing w:before="85"/>
              <w:ind w:right="105"/>
              <w:rPr>
                <w:i/>
                <w:sz w:val="14"/>
              </w:rPr>
            </w:pPr>
            <w:r>
              <w:rPr>
                <w:i/>
                <w:spacing w:val="-2"/>
                <w:sz w:val="14"/>
              </w:rPr>
              <w:t>117.2</w:t>
            </w:r>
          </w:p>
        </w:tc>
      </w:tr>
      <w:tr>
        <w:trPr>
          <w:trHeight w:val="282" w:hRule="atLeast"/>
        </w:trPr>
        <w:tc>
          <w:tcPr>
            <w:tcW w:w="2833" w:type="dxa"/>
            <w:tcBorders>
              <w:top w:val="single" w:sz="4" w:space="0" w:color="000000"/>
              <w:bottom w:val="single" w:sz="4" w:space="0" w:color="000000"/>
            </w:tcBorders>
            <w:shd w:val="clear" w:color="auto" w:fill="F1F1F1"/>
          </w:tcPr>
          <w:p>
            <w:pPr>
              <w:pStyle w:val="TableParagraph"/>
              <w:spacing w:before="61"/>
              <w:ind w:left="124"/>
              <w:jc w:val="left"/>
              <w:rPr>
                <w:i/>
                <w:sz w:val="14"/>
              </w:rPr>
            </w:pPr>
            <w:r>
              <w:rPr>
                <w:i/>
                <w:sz w:val="14"/>
              </w:rPr>
              <w:t>MP-VII-6</w:t>
            </w:r>
            <w:r>
              <w:rPr>
                <w:i/>
                <w:spacing w:val="-1"/>
                <w:sz w:val="14"/>
              </w:rPr>
              <w:t> </w:t>
            </w:r>
            <w:r>
              <w:rPr>
                <w:i/>
                <w:sz w:val="14"/>
              </w:rPr>
              <w:t>-</w:t>
            </w:r>
            <w:r>
              <w:rPr>
                <w:i/>
                <w:spacing w:val="-2"/>
                <w:sz w:val="14"/>
              </w:rPr>
              <w:t> </w:t>
            </w:r>
            <w:r>
              <w:rPr>
                <w:i/>
                <w:sz w:val="14"/>
              </w:rPr>
              <w:t>Office</w:t>
            </w:r>
            <w:r>
              <w:rPr>
                <w:i/>
                <w:spacing w:val="-4"/>
                <w:sz w:val="14"/>
              </w:rPr>
              <w:t> </w:t>
            </w:r>
            <w:r>
              <w:rPr>
                <w:i/>
                <w:sz w:val="14"/>
              </w:rPr>
              <w:t>of</w:t>
            </w:r>
            <w:r>
              <w:rPr>
                <w:i/>
                <w:spacing w:val="-4"/>
                <w:sz w:val="14"/>
              </w:rPr>
              <w:t> </w:t>
            </w:r>
            <w:r>
              <w:rPr>
                <w:i/>
                <w:sz w:val="14"/>
              </w:rPr>
              <w:t>Internal</w:t>
            </w:r>
            <w:r>
              <w:rPr>
                <w:i/>
                <w:spacing w:val="-3"/>
                <w:sz w:val="14"/>
              </w:rPr>
              <w:t> </w:t>
            </w:r>
            <w:r>
              <w:rPr>
                <w:i/>
                <w:spacing w:val="-4"/>
                <w:sz w:val="14"/>
              </w:rPr>
              <w:t>Audit</w:t>
            </w:r>
          </w:p>
        </w:tc>
        <w:tc>
          <w:tcPr>
            <w:tcW w:w="795" w:type="dxa"/>
            <w:tcBorders>
              <w:top w:val="single" w:sz="4" w:space="0" w:color="000000"/>
              <w:bottom w:val="single" w:sz="4" w:space="0" w:color="000000"/>
            </w:tcBorders>
            <w:shd w:val="clear" w:color="auto" w:fill="F1F1F1"/>
          </w:tcPr>
          <w:p>
            <w:pPr>
              <w:pStyle w:val="TableParagraph"/>
              <w:spacing w:before="61"/>
              <w:ind w:right="104"/>
              <w:rPr>
                <w:i/>
                <w:sz w:val="14"/>
              </w:rPr>
            </w:pPr>
            <w:r>
              <w:rPr>
                <w:i/>
                <w:spacing w:val="-2"/>
                <w:sz w:val="14"/>
              </w:rPr>
              <w:t>775.0</w:t>
            </w:r>
          </w:p>
        </w:tc>
        <w:tc>
          <w:tcPr>
            <w:tcW w:w="980" w:type="dxa"/>
            <w:tcBorders>
              <w:top w:val="single" w:sz="4" w:space="0" w:color="000000"/>
              <w:bottom w:val="single" w:sz="4" w:space="0" w:color="000000"/>
            </w:tcBorders>
            <w:shd w:val="clear" w:color="auto" w:fill="F1F1F1"/>
          </w:tcPr>
          <w:p>
            <w:pPr>
              <w:pStyle w:val="TableParagraph"/>
              <w:spacing w:before="61"/>
              <w:ind w:right="108"/>
              <w:rPr>
                <w:i/>
                <w:sz w:val="14"/>
              </w:rPr>
            </w:pPr>
            <w:r>
              <w:rPr>
                <w:i/>
                <w:w w:val="99"/>
                <w:sz w:val="14"/>
              </w:rPr>
              <w:t>-</w:t>
            </w:r>
          </w:p>
        </w:tc>
        <w:tc>
          <w:tcPr>
            <w:tcW w:w="861" w:type="dxa"/>
            <w:tcBorders>
              <w:top w:val="single" w:sz="4" w:space="0" w:color="000000"/>
              <w:bottom w:val="single" w:sz="4" w:space="0" w:color="000000"/>
            </w:tcBorders>
            <w:shd w:val="clear" w:color="auto" w:fill="F1F1F1"/>
          </w:tcPr>
          <w:p>
            <w:pPr>
              <w:pStyle w:val="TableParagraph"/>
              <w:spacing w:before="61"/>
              <w:ind w:right="124"/>
              <w:rPr>
                <w:i/>
                <w:sz w:val="14"/>
              </w:rPr>
            </w:pPr>
            <w:r>
              <w:rPr>
                <w:i/>
                <w:w w:val="99"/>
                <w:sz w:val="14"/>
              </w:rPr>
              <w:t>-</w:t>
            </w:r>
          </w:p>
        </w:tc>
        <w:tc>
          <w:tcPr>
            <w:tcW w:w="699" w:type="dxa"/>
            <w:tcBorders>
              <w:top w:val="single" w:sz="4" w:space="0" w:color="000000"/>
              <w:bottom w:val="single" w:sz="4" w:space="0" w:color="000000"/>
            </w:tcBorders>
            <w:shd w:val="clear" w:color="auto" w:fill="F1F1F1"/>
          </w:tcPr>
          <w:p>
            <w:pPr>
              <w:pStyle w:val="TableParagraph"/>
              <w:spacing w:before="61"/>
              <w:ind w:right="123"/>
              <w:rPr>
                <w:i/>
                <w:sz w:val="14"/>
              </w:rPr>
            </w:pPr>
            <w:r>
              <w:rPr>
                <w:i/>
                <w:spacing w:val="-4"/>
                <w:sz w:val="14"/>
              </w:rPr>
              <w:t>25.6</w:t>
            </w:r>
          </w:p>
        </w:tc>
        <w:tc>
          <w:tcPr>
            <w:tcW w:w="685" w:type="dxa"/>
            <w:tcBorders>
              <w:top w:val="single" w:sz="4" w:space="0" w:color="000000"/>
              <w:bottom w:val="single" w:sz="4" w:space="0" w:color="000000"/>
            </w:tcBorders>
            <w:shd w:val="clear" w:color="auto" w:fill="F1F1F1"/>
          </w:tcPr>
          <w:p>
            <w:pPr>
              <w:pStyle w:val="TableParagraph"/>
              <w:spacing w:before="61"/>
              <w:ind w:right="111"/>
              <w:rPr>
                <w:i/>
                <w:sz w:val="14"/>
              </w:rPr>
            </w:pPr>
            <w:r>
              <w:rPr>
                <w:i/>
                <w:w w:val="99"/>
                <w:sz w:val="14"/>
              </w:rPr>
              <w:t>-</w:t>
            </w:r>
          </w:p>
        </w:tc>
        <w:tc>
          <w:tcPr>
            <w:tcW w:w="1079" w:type="dxa"/>
            <w:tcBorders>
              <w:top w:val="single" w:sz="4" w:space="0" w:color="000000"/>
              <w:bottom w:val="single" w:sz="4" w:space="0" w:color="000000"/>
            </w:tcBorders>
            <w:shd w:val="clear" w:color="auto" w:fill="F1F1F1"/>
          </w:tcPr>
          <w:p>
            <w:pPr>
              <w:pStyle w:val="TableParagraph"/>
              <w:spacing w:before="61"/>
              <w:ind w:right="106"/>
              <w:rPr>
                <w:i/>
                <w:sz w:val="14"/>
              </w:rPr>
            </w:pPr>
            <w:r>
              <w:rPr>
                <w:i/>
                <w:spacing w:val="-2"/>
                <w:sz w:val="14"/>
              </w:rPr>
              <w:t>800.6</w:t>
            </w:r>
          </w:p>
        </w:tc>
        <w:tc>
          <w:tcPr>
            <w:tcW w:w="781" w:type="dxa"/>
            <w:tcBorders>
              <w:top w:val="single" w:sz="4" w:space="0" w:color="000000"/>
              <w:bottom w:val="single" w:sz="4" w:space="0" w:color="000000"/>
            </w:tcBorders>
            <w:shd w:val="clear" w:color="auto" w:fill="F1F1F1"/>
          </w:tcPr>
          <w:p>
            <w:pPr>
              <w:pStyle w:val="TableParagraph"/>
              <w:spacing w:before="61"/>
              <w:ind w:right="109"/>
              <w:rPr>
                <w:i/>
                <w:sz w:val="14"/>
              </w:rPr>
            </w:pPr>
            <w:r>
              <w:rPr>
                <w:i/>
                <w:spacing w:val="-2"/>
                <w:sz w:val="14"/>
              </w:rPr>
              <w:t>794.9</w:t>
            </w:r>
          </w:p>
        </w:tc>
        <w:tc>
          <w:tcPr>
            <w:tcW w:w="796" w:type="dxa"/>
            <w:tcBorders>
              <w:top w:val="single" w:sz="4" w:space="0" w:color="000000"/>
              <w:bottom w:val="single" w:sz="4" w:space="0" w:color="000000"/>
            </w:tcBorders>
            <w:shd w:val="clear" w:color="auto" w:fill="F1F1F1"/>
          </w:tcPr>
          <w:p>
            <w:pPr>
              <w:pStyle w:val="TableParagraph"/>
              <w:spacing w:before="61"/>
              <w:ind w:right="121"/>
              <w:rPr>
                <w:i/>
                <w:sz w:val="14"/>
              </w:rPr>
            </w:pPr>
            <w:r>
              <w:rPr>
                <w:i/>
                <w:spacing w:val="-2"/>
                <w:sz w:val="14"/>
              </w:rPr>
              <w:t>(5.7)</w:t>
            </w:r>
          </w:p>
        </w:tc>
        <w:tc>
          <w:tcPr>
            <w:tcW w:w="871" w:type="dxa"/>
            <w:tcBorders>
              <w:top w:val="single" w:sz="4" w:space="0" w:color="000000"/>
              <w:bottom w:val="single" w:sz="4" w:space="0" w:color="000000"/>
            </w:tcBorders>
            <w:shd w:val="clear" w:color="auto" w:fill="F1F1F1"/>
          </w:tcPr>
          <w:p>
            <w:pPr>
              <w:pStyle w:val="TableParagraph"/>
              <w:spacing w:before="61"/>
              <w:ind w:right="104"/>
              <w:rPr>
                <w:i/>
                <w:sz w:val="14"/>
              </w:rPr>
            </w:pPr>
            <w:r>
              <w:rPr>
                <w:i/>
                <w:spacing w:val="-4"/>
                <w:sz w:val="14"/>
              </w:rPr>
              <w:t>19.9</w:t>
            </w:r>
          </w:p>
        </w:tc>
      </w:tr>
      <w:tr>
        <w:trPr>
          <w:trHeight w:val="282" w:hRule="atLeast"/>
        </w:trPr>
        <w:tc>
          <w:tcPr>
            <w:tcW w:w="2833" w:type="dxa"/>
            <w:tcBorders>
              <w:top w:val="single" w:sz="4" w:space="0" w:color="000000"/>
              <w:bottom w:val="single" w:sz="8" w:space="0" w:color="000000"/>
            </w:tcBorders>
          </w:tcPr>
          <w:p>
            <w:pPr>
              <w:pStyle w:val="TableParagraph"/>
              <w:spacing w:before="61"/>
              <w:ind w:left="124"/>
              <w:jc w:val="left"/>
              <w:rPr>
                <w:b/>
                <w:sz w:val="14"/>
              </w:rPr>
            </w:pPr>
            <w:r>
              <w:rPr>
                <w:b/>
                <w:spacing w:val="-5"/>
                <w:sz w:val="14"/>
              </w:rPr>
              <w:t>ICC</w:t>
            </w:r>
          </w:p>
        </w:tc>
        <w:tc>
          <w:tcPr>
            <w:tcW w:w="795" w:type="dxa"/>
            <w:tcBorders>
              <w:top w:val="single" w:sz="4" w:space="0" w:color="000000"/>
              <w:bottom w:val="single" w:sz="8" w:space="0" w:color="000000"/>
            </w:tcBorders>
          </w:tcPr>
          <w:p>
            <w:pPr>
              <w:pStyle w:val="TableParagraph"/>
              <w:spacing w:before="61"/>
              <w:ind w:right="105"/>
              <w:rPr>
                <w:b/>
                <w:sz w:val="14"/>
              </w:rPr>
            </w:pPr>
            <w:r>
              <w:rPr>
                <w:b/>
                <w:spacing w:val="-2"/>
                <w:sz w:val="14"/>
              </w:rPr>
              <w:t>154,855.0</w:t>
            </w:r>
          </w:p>
        </w:tc>
        <w:tc>
          <w:tcPr>
            <w:tcW w:w="980" w:type="dxa"/>
            <w:tcBorders>
              <w:top w:val="single" w:sz="4" w:space="0" w:color="000000"/>
              <w:bottom w:val="single" w:sz="8" w:space="0" w:color="000000"/>
            </w:tcBorders>
          </w:tcPr>
          <w:p>
            <w:pPr>
              <w:pStyle w:val="TableParagraph"/>
              <w:spacing w:before="61"/>
              <w:ind w:right="105"/>
              <w:rPr>
                <w:b/>
                <w:sz w:val="14"/>
              </w:rPr>
            </w:pPr>
            <w:r>
              <w:rPr>
                <w:b/>
                <w:spacing w:val="-2"/>
                <w:sz w:val="14"/>
              </w:rPr>
              <w:t>3,264.3</w:t>
            </w:r>
          </w:p>
        </w:tc>
        <w:tc>
          <w:tcPr>
            <w:tcW w:w="861" w:type="dxa"/>
            <w:tcBorders>
              <w:top w:val="single" w:sz="4" w:space="0" w:color="000000"/>
              <w:bottom w:val="single" w:sz="8" w:space="0" w:color="000000"/>
            </w:tcBorders>
          </w:tcPr>
          <w:p>
            <w:pPr>
              <w:pStyle w:val="TableParagraph"/>
              <w:spacing w:before="61"/>
              <w:ind w:right="120"/>
              <w:rPr>
                <w:b/>
                <w:sz w:val="14"/>
              </w:rPr>
            </w:pPr>
            <w:r>
              <w:rPr>
                <w:b/>
                <w:spacing w:val="-2"/>
                <w:sz w:val="14"/>
              </w:rPr>
              <w:t>(1,537.5)</w:t>
            </w:r>
          </w:p>
        </w:tc>
        <w:tc>
          <w:tcPr>
            <w:tcW w:w="699" w:type="dxa"/>
            <w:tcBorders>
              <w:top w:val="single" w:sz="4" w:space="0" w:color="000000"/>
              <w:bottom w:val="single" w:sz="8" w:space="0" w:color="000000"/>
            </w:tcBorders>
          </w:tcPr>
          <w:p>
            <w:pPr>
              <w:pStyle w:val="TableParagraph"/>
              <w:spacing w:before="61"/>
              <w:ind w:right="124"/>
              <w:rPr>
                <w:b/>
                <w:sz w:val="14"/>
              </w:rPr>
            </w:pPr>
            <w:r>
              <w:rPr>
                <w:b/>
                <w:spacing w:val="-2"/>
                <w:sz w:val="14"/>
              </w:rPr>
              <w:t>4,304.6</w:t>
            </w:r>
          </w:p>
        </w:tc>
        <w:tc>
          <w:tcPr>
            <w:tcW w:w="685" w:type="dxa"/>
            <w:tcBorders>
              <w:top w:val="single" w:sz="4" w:space="0" w:color="000000"/>
              <w:bottom w:val="single" w:sz="8" w:space="0" w:color="000000"/>
            </w:tcBorders>
          </w:tcPr>
          <w:p>
            <w:pPr>
              <w:pStyle w:val="TableParagraph"/>
              <w:spacing w:before="61"/>
              <w:ind w:right="107"/>
              <w:rPr>
                <w:b/>
                <w:sz w:val="14"/>
              </w:rPr>
            </w:pPr>
            <w:r>
              <w:rPr>
                <w:b/>
                <w:spacing w:val="-4"/>
                <w:sz w:val="14"/>
              </w:rPr>
              <w:t>81.1</w:t>
            </w:r>
          </w:p>
        </w:tc>
        <w:tc>
          <w:tcPr>
            <w:tcW w:w="1079" w:type="dxa"/>
            <w:tcBorders>
              <w:top w:val="single" w:sz="4" w:space="0" w:color="000000"/>
              <w:bottom w:val="single" w:sz="8" w:space="0" w:color="000000"/>
            </w:tcBorders>
          </w:tcPr>
          <w:p>
            <w:pPr>
              <w:pStyle w:val="TableParagraph"/>
              <w:spacing w:before="61"/>
              <w:ind w:right="106"/>
              <w:rPr>
                <w:b/>
                <w:sz w:val="14"/>
              </w:rPr>
            </w:pPr>
            <w:r>
              <w:rPr>
                <w:b/>
                <w:spacing w:val="-2"/>
                <w:sz w:val="14"/>
              </w:rPr>
              <w:t>160,967.5</w:t>
            </w:r>
          </w:p>
        </w:tc>
        <w:tc>
          <w:tcPr>
            <w:tcW w:w="781" w:type="dxa"/>
            <w:tcBorders>
              <w:top w:val="single" w:sz="4" w:space="0" w:color="000000"/>
              <w:bottom w:val="single" w:sz="8" w:space="0" w:color="000000"/>
            </w:tcBorders>
          </w:tcPr>
          <w:p>
            <w:pPr>
              <w:pStyle w:val="TableParagraph"/>
              <w:spacing w:before="61"/>
              <w:ind w:right="109"/>
              <w:rPr>
                <w:b/>
                <w:sz w:val="14"/>
              </w:rPr>
            </w:pPr>
            <w:r>
              <w:rPr>
                <w:b/>
                <w:spacing w:val="-2"/>
                <w:sz w:val="14"/>
              </w:rPr>
              <w:t>178,912.5</w:t>
            </w:r>
          </w:p>
        </w:tc>
        <w:tc>
          <w:tcPr>
            <w:tcW w:w="796" w:type="dxa"/>
            <w:tcBorders>
              <w:top w:val="single" w:sz="4" w:space="0" w:color="000000"/>
              <w:bottom w:val="single" w:sz="8" w:space="0" w:color="000000"/>
            </w:tcBorders>
          </w:tcPr>
          <w:p>
            <w:pPr>
              <w:pStyle w:val="TableParagraph"/>
              <w:spacing w:before="61"/>
              <w:ind w:right="122"/>
              <w:rPr>
                <w:b/>
                <w:sz w:val="14"/>
              </w:rPr>
            </w:pPr>
            <w:r>
              <w:rPr>
                <w:b/>
                <w:spacing w:val="-2"/>
                <w:sz w:val="14"/>
              </w:rPr>
              <w:t>17,945.0</w:t>
            </w:r>
          </w:p>
        </w:tc>
        <w:tc>
          <w:tcPr>
            <w:tcW w:w="871" w:type="dxa"/>
            <w:tcBorders>
              <w:top w:val="single" w:sz="4" w:space="0" w:color="000000"/>
              <w:bottom w:val="single" w:sz="8" w:space="0" w:color="000000"/>
            </w:tcBorders>
          </w:tcPr>
          <w:p>
            <w:pPr>
              <w:pStyle w:val="TableParagraph"/>
              <w:spacing w:before="61"/>
              <w:ind w:right="105"/>
              <w:rPr>
                <w:b/>
                <w:sz w:val="14"/>
              </w:rPr>
            </w:pPr>
            <w:r>
              <w:rPr>
                <w:b/>
                <w:spacing w:val="-2"/>
                <w:sz w:val="14"/>
              </w:rPr>
              <w:t>24,057.5</w:t>
            </w:r>
          </w:p>
        </w:tc>
      </w:tr>
    </w:tbl>
    <w:p>
      <w:pPr>
        <w:pStyle w:val="BodyText"/>
      </w:pPr>
    </w:p>
    <w:p>
      <w:pPr>
        <w:pStyle w:val="BodyText"/>
      </w:pPr>
    </w:p>
    <w:p>
      <w:pPr>
        <w:pStyle w:val="BodyText"/>
        <w:spacing w:before="1"/>
        <w:rPr>
          <w:sz w:val="17"/>
        </w:rPr>
      </w:pPr>
      <w:r>
        <w:rPr/>
        <w:pict>
          <v:rect style="position:absolute;margin-left:113.330002pt;margin-top:11.047883pt;width:144.050pt;height:.48004pt;mso-position-horizontal-relative:page;mso-position-vertical-relative:paragraph;z-index:-15668736;mso-wrap-distance-left:0;mso-wrap-distance-right:0" id="docshape505" filled="true" fillcolor="#000000" stroked="false">
            <v:fill type="solid"/>
            <w10:wrap type="topAndBottom"/>
          </v:rect>
        </w:pict>
      </w:r>
    </w:p>
    <w:p>
      <w:pPr>
        <w:spacing w:before="86"/>
        <w:ind w:left="3" w:right="86" w:firstLine="0"/>
        <w:jc w:val="center"/>
        <w:rPr>
          <w:sz w:val="16"/>
        </w:rPr>
      </w:pPr>
      <w:r>
        <w:rPr>
          <w:spacing w:val="-2"/>
          <w:position w:val="5"/>
          <w:sz w:val="10"/>
        </w:rPr>
        <w:t>155</w:t>
      </w:r>
      <w:r>
        <w:rPr>
          <w:spacing w:val="12"/>
          <w:position w:val="5"/>
          <w:sz w:val="10"/>
        </w:rPr>
        <w:t> </w:t>
      </w:r>
      <w:r>
        <w:rPr>
          <w:i/>
          <w:spacing w:val="-2"/>
          <w:sz w:val="16"/>
        </w:rPr>
        <w:t>Report</w:t>
      </w:r>
      <w:r>
        <w:rPr>
          <w:i/>
          <w:spacing w:val="-8"/>
          <w:sz w:val="16"/>
        </w:rPr>
        <w:t> </w:t>
      </w:r>
      <w:r>
        <w:rPr>
          <w:i/>
          <w:spacing w:val="-2"/>
          <w:sz w:val="16"/>
        </w:rPr>
        <w:t>of</w:t>
      </w:r>
      <w:r>
        <w:rPr>
          <w:i/>
          <w:spacing w:val="-8"/>
          <w:sz w:val="16"/>
        </w:rPr>
        <w:t> </w:t>
      </w:r>
      <w:r>
        <w:rPr>
          <w:i/>
          <w:spacing w:val="-2"/>
          <w:sz w:val="16"/>
        </w:rPr>
        <w:t>the Committee</w:t>
      </w:r>
      <w:r>
        <w:rPr>
          <w:i/>
          <w:spacing w:val="-1"/>
          <w:sz w:val="16"/>
        </w:rPr>
        <w:t> </w:t>
      </w:r>
      <w:r>
        <w:rPr>
          <w:i/>
          <w:spacing w:val="-2"/>
          <w:sz w:val="16"/>
        </w:rPr>
        <w:t>on</w:t>
      </w:r>
      <w:r>
        <w:rPr>
          <w:i/>
          <w:spacing w:val="-1"/>
          <w:sz w:val="16"/>
        </w:rPr>
        <w:t> </w:t>
      </w:r>
      <w:r>
        <w:rPr>
          <w:i/>
          <w:spacing w:val="-2"/>
          <w:sz w:val="16"/>
        </w:rPr>
        <w:t>Budget</w:t>
      </w:r>
      <w:r>
        <w:rPr>
          <w:i/>
          <w:spacing w:val="-8"/>
          <w:sz w:val="16"/>
        </w:rPr>
        <w:t> </w:t>
      </w:r>
      <w:r>
        <w:rPr>
          <w:i/>
          <w:spacing w:val="-2"/>
          <w:sz w:val="16"/>
        </w:rPr>
        <w:t>and</w:t>
      </w:r>
      <w:r>
        <w:rPr>
          <w:i/>
          <w:spacing w:val="-1"/>
          <w:sz w:val="16"/>
        </w:rPr>
        <w:t> </w:t>
      </w:r>
      <w:r>
        <w:rPr>
          <w:i/>
          <w:spacing w:val="-2"/>
          <w:sz w:val="16"/>
        </w:rPr>
        <w:t>Finance</w:t>
      </w:r>
      <w:r>
        <w:rPr>
          <w:i/>
          <w:spacing w:val="-5"/>
          <w:sz w:val="16"/>
        </w:rPr>
        <w:t> </w:t>
      </w:r>
      <w:r>
        <w:rPr>
          <w:i/>
          <w:spacing w:val="-2"/>
          <w:sz w:val="16"/>
        </w:rPr>
        <w:t>on</w:t>
      </w:r>
      <w:r>
        <w:rPr>
          <w:i/>
          <w:spacing w:val="-1"/>
          <w:sz w:val="16"/>
        </w:rPr>
        <w:t> </w:t>
      </w:r>
      <w:r>
        <w:rPr>
          <w:i/>
          <w:spacing w:val="-2"/>
          <w:sz w:val="16"/>
        </w:rPr>
        <w:t>the</w:t>
      </w:r>
      <w:r>
        <w:rPr>
          <w:i/>
          <w:spacing w:val="-1"/>
          <w:sz w:val="16"/>
        </w:rPr>
        <w:t> </w:t>
      </w:r>
      <w:r>
        <w:rPr>
          <w:i/>
          <w:spacing w:val="-2"/>
          <w:sz w:val="16"/>
        </w:rPr>
        <w:t>work</w:t>
      </w:r>
      <w:r>
        <w:rPr>
          <w:i/>
          <w:spacing w:val="-6"/>
          <w:sz w:val="16"/>
        </w:rPr>
        <w:t> </w:t>
      </w:r>
      <w:r>
        <w:rPr>
          <w:i/>
          <w:spacing w:val="-2"/>
          <w:sz w:val="16"/>
        </w:rPr>
        <w:t>of</w:t>
      </w:r>
      <w:r>
        <w:rPr>
          <w:i/>
          <w:spacing w:val="-3"/>
          <w:sz w:val="16"/>
        </w:rPr>
        <w:t> </w:t>
      </w:r>
      <w:r>
        <w:rPr>
          <w:i/>
          <w:spacing w:val="-2"/>
          <w:sz w:val="16"/>
        </w:rPr>
        <w:t>its</w:t>
      </w:r>
      <w:r>
        <w:rPr>
          <w:i/>
          <w:spacing w:val="-3"/>
          <w:sz w:val="16"/>
        </w:rPr>
        <w:t> </w:t>
      </w:r>
      <w:r>
        <w:rPr>
          <w:i/>
          <w:spacing w:val="-2"/>
          <w:sz w:val="16"/>
        </w:rPr>
        <w:t>thirty-second</w:t>
      </w:r>
      <w:r>
        <w:rPr>
          <w:i/>
          <w:sz w:val="16"/>
        </w:rPr>
        <w:t> </w:t>
      </w:r>
      <w:r>
        <w:rPr>
          <w:i/>
          <w:spacing w:val="-2"/>
          <w:sz w:val="16"/>
        </w:rPr>
        <w:t>session</w:t>
      </w:r>
      <w:r>
        <w:rPr>
          <w:spacing w:val="-2"/>
          <w:sz w:val="16"/>
        </w:rPr>
        <w:t>,</w:t>
      </w:r>
      <w:r>
        <w:rPr>
          <w:spacing w:val="-8"/>
          <w:sz w:val="16"/>
        </w:rPr>
        <w:t> </w:t>
      </w:r>
      <w:r>
        <w:rPr>
          <w:spacing w:val="-2"/>
          <w:sz w:val="16"/>
        </w:rPr>
        <w:t>ICC-ASP/18/5,</w:t>
      </w:r>
      <w:r>
        <w:rPr>
          <w:spacing w:val="-8"/>
          <w:sz w:val="16"/>
        </w:rPr>
        <w:t> </w:t>
      </w:r>
      <w:r>
        <w:rPr>
          <w:spacing w:val="-2"/>
          <w:sz w:val="16"/>
        </w:rPr>
        <w:t>para.</w:t>
      </w:r>
      <w:r>
        <w:rPr>
          <w:spacing w:val="-4"/>
          <w:sz w:val="16"/>
        </w:rPr>
        <w:t> </w:t>
      </w:r>
      <w:r>
        <w:rPr>
          <w:spacing w:val="-5"/>
          <w:sz w:val="16"/>
        </w:rPr>
        <w:t>15.</w:t>
      </w:r>
    </w:p>
    <w:p>
      <w:pPr>
        <w:spacing w:after="0"/>
        <w:jc w:val="center"/>
        <w:rPr>
          <w:sz w:val="16"/>
        </w:rPr>
        <w:sectPr>
          <w:type w:val="continuous"/>
          <w:pgSz w:w="11910" w:h="16840"/>
          <w:pgMar w:header="978" w:footer="940" w:top="1240" w:bottom="1140" w:left="20" w:right="20"/>
        </w:sectPr>
      </w:pPr>
    </w:p>
    <w:p>
      <w:pPr>
        <w:pStyle w:val="BodyText"/>
        <w:spacing w:before="8"/>
        <w:rPr>
          <w:sz w:val="13"/>
        </w:rPr>
      </w:pPr>
    </w:p>
    <w:p>
      <w:pPr>
        <w:pStyle w:val="Heading1"/>
        <w:spacing w:before="87"/>
        <w:ind w:left="2246"/>
      </w:pPr>
      <w:bookmarkStart w:name="_bookmark87" w:id="88"/>
      <w:bookmarkEnd w:id="88"/>
      <w:r>
        <w:rPr>
          <w:b w:val="0"/>
        </w:rPr>
      </w:r>
      <w:r>
        <w:rPr/>
        <w:t>Strategic</w:t>
      </w:r>
      <w:r>
        <w:rPr>
          <w:spacing w:val="-6"/>
        </w:rPr>
        <w:t> </w:t>
      </w:r>
      <w:r>
        <w:rPr/>
        <w:t>dynamic</w:t>
      </w:r>
      <w:r>
        <w:rPr>
          <w:spacing w:val="-6"/>
        </w:rPr>
        <w:t> </w:t>
      </w:r>
      <w:r>
        <w:rPr/>
        <w:t>evolution</w:t>
      </w:r>
      <w:r>
        <w:rPr>
          <w:spacing w:val="-8"/>
        </w:rPr>
        <w:t> </w:t>
      </w:r>
      <w:r>
        <w:rPr/>
        <w:t>of</w:t>
      </w:r>
      <w:r>
        <w:rPr>
          <w:spacing w:val="-8"/>
        </w:rPr>
        <w:t> </w:t>
      </w:r>
      <w:r>
        <w:rPr/>
        <w:t>judicial</w:t>
      </w:r>
      <w:r>
        <w:rPr>
          <w:spacing w:val="-7"/>
        </w:rPr>
        <w:t> </w:t>
      </w:r>
      <w:r>
        <w:rPr/>
        <w:t>activity</w:t>
      </w:r>
      <w:r>
        <w:rPr>
          <w:spacing w:val="-7"/>
        </w:rPr>
        <w:t> </w:t>
      </w:r>
      <w:r>
        <w:rPr/>
        <w:t>by</w:t>
      </w:r>
      <w:r>
        <w:rPr>
          <w:spacing w:val="-7"/>
        </w:rPr>
        <w:t> </w:t>
      </w:r>
      <w:r>
        <w:rPr>
          <w:spacing w:val="-2"/>
        </w:rPr>
        <w:t>situation</w:t>
      </w:r>
    </w:p>
    <w:p>
      <w:pPr>
        <w:pStyle w:val="BodyText"/>
        <w:spacing w:before="266"/>
        <w:ind w:left="2246"/>
      </w:pPr>
      <w:r>
        <w:rPr/>
        <w:t>The</w:t>
      </w:r>
      <w:r>
        <w:rPr>
          <w:spacing w:val="-8"/>
        </w:rPr>
        <w:t> </w:t>
      </w:r>
      <w:r>
        <w:rPr/>
        <w:t>figures</w:t>
      </w:r>
      <w:r>
        <w:rPr>
          <w:spacing w:val="-9"/>
        </w:rPr>
        <w:t> </w:t>
      </w:r>
      <w:r>
        <w:rPr/>
        <w:t>in</w:t>
      </w:r>
      <w:r>
        <w:rPr>
          <w:spacing w:val="-6"/>
        </w:rPr>
        <w:t> </w:t>
      </w:r>
      <w:r>
        <w:rPr/>
        <w:t>these</w:t>
      </w:r>
      <w:r>
        <w:rPr>
          <w:spacing w:val="-5"/>
        </w:rPr>
        <w:t> </w:t>
      </w:r>
      <w:r>
        <w:rPr/>
        <w:t>tables</w:t>
      </w:r>
      <w:r>
        <w:rPr>
          <w:spacing w:val="-4"/>
        </w:rPr>
        <w:t> </w:t>
      </w:r>
      <w:r>
        <w:rPr/>
        <w:t>reflect</w:t>
      </w:r>
      <w:r>
        <w:rPr>
          <w:spacing w:val="-6"/>
        </w:rPr>
        <w:t> </w:t>
      </w:r>
      <w:r>
        <w:rPr/>
        <w:t>the</w:t>
      </w:r>
      <w:r>
        <w:rPr>
          <w:spacing w:val="-1"/>
        </w:rPr>
        <w:t> </w:t>
      </w:r>
      <w:r>
        <w:rPr/>
        <w:t>Court-wide</w:t>
      </w:r>
      <w:r>
        <w:rPr>
          <w:spacing w:val="-11"/>
        </w:rPr>
        <w:t> </w:t>
      </w:r>
      <w:r>
        <w:rPr/>
        <w:t>allocation</w:t>
      </w:r>
      <w:r>
        <w:rPr>
          <w:spacing w:val="-7"/>
        </w:rPr>
        <w:t> </w:t>
      </w:r>
      <w:r>
        <w:rPr/>
        <w:t>of</w:t>
      </w:r>
      <w:r>
        <w:rPr>
          <w:spacing w:val="-3"/>
        </w:rPr>
        <w:t> </w:t>
      </w:r>
      <w:r>
        <w:rPr/>
        <w:t>resources</w:t>
      </w:r>
      <w:r>
        <w:rPr>
          <w:spacing w:val="-4"/>
        </w:rPr>
        <w:t> </w:t>
      </w:r>
      <w:r>
        <w:rPr/>
        <w:t>per</w:t>
      </w:r>
      <w:r>
        <w:rPr>
          <w:spacing w:val="-3"/>
        </w:rPr>
        <w:t> </w:t>
      </w:r>
      <w:r>
        <w:rPr>
          <w:spacing w:val="-2"/>
        </w:rPr>
        <w:t>situation.</w:t>
      </w:r>
    </w:p>
    <w:p>
      <w:pPr>
        <w:pStyle w:val="BodyText"/>
        <w:rPr>
          <w:sz w:val="21"/>
        </w:rPr>
      </w:pPr>
    </w:p>
    <w:p>
      <w:pPr>
        <w:spacing w:before="0" w:after="58"/>
        <w:ind w:left="1113" w:right="0" w:firstLine="0"/>
        <w:jc w:val="left"/>
        <w:rPr>
          <w:b/>
          <w:sz w:val="20"/>
        </w:rPr>
      </w:pPr>
      <w:r>
        <w:rPr>
          <w:b/>
          <w:sz w:val="20"/>
        </w:rPr>
        <w:t>Table</w:t>
      </w:r>
      <w:r>
        <w:rPr>
          <w:b/>
          <w:spacing w:val="-8"/>
          <w:sz w:val="20"/>
        </w:rPr>
        <w:t> </w:t>
      </w:r>
      <w:r>
        <w:rPr>
          <w:b/>
          <w:sz w:val="20"/>
        </w:rPr>
        <w:t>1:</w:t>
      </w:r>
      <w:r>
        <w:rPr>
          <w:b/>
          <w:spacing w:val="-8"/>
          <w:sz w:val="20"/>
        </w:rPr>
        <w:t> </w:t>
      </w:r>
      <w:r>
        <w:rPr>
          <w:b/>
          <w:sz w:val="20"/>
        </w:rPr>
        <w:t>Strategic</w:t>
      </w:r>
      <w:r>
        <w:rPr>
          <w:b/>
          <w:spacing w:val="-6"/>
          <w:sz w:val="20"/>
        </w:rPr>
        <w:t> </w:t>
      </w:r>
      <w:r>
        <w:rPr>
          <w:b/>
          <w:sz w:val="20"/>
        </w:rPr>
        <w:t>dynamic</w:t>
      </w:r>
      <w:r>
        <w:rPr>
          <w:b/>
          <w:spacing w:val="-6"/>
          <w:sz w:val="20"/>
        </w:rPr>
        <w:t> </w:t>
      </w:r>
      <w:r>
        <w:rPr>
          <w:b/>
          <w:sz w:val="20"/>
        </w:rPr>
        <w:t>evolution</w:t>
      </w:r>
      <w:r>
        <w:rPr>
          <w:b/>
          <w:spacing w:val="-8"/>
          <w:sz w:val="20"/>
        </w:rPr>
        <w:t> </w:t>
      </w:r>
      <w:r>
        <w:rPr>
          <w:b/>
          <w:sz w:val="20"/>
        </w:rPr>
        <w:t>of</w:t>
      </w:r>
      <w:r>
        <w:rPr>
          <w:b/>
          <w:spacing w:val="-8"/>
          <w:sz w:val="20"/>
        </w:rPr>
        <w:t> </w:t>
      </w:r>
      <w:r>
        <w:rPr>
          <w:b/>
          <w:sz w:val="20"/>
        </w:rPr>
        <w:t>judicial</w:t>
      </w:r>
      <w:r>
        <w:rPr>
          <w:b/>
          <w:spacing w:val="-6"/>
          <w:sz w:val="20"/>
        </w:rPr>
        <w:t> </w:t>
      </w:r>
      <w:r>
        <w:rPr>
          <w:b/>
          <w:sz w:val="20"/>
        </w:rPr>
        <w:t>activity</w:t>
      </w:r>
      <w:r>
        <w:rPr>
          <w:b/>
          <w:spacing w:val="-8"/>
          <w:sz w:val="20"/>
        </w:rPr>
        <w:t> </w:t>
      </w:r>
      <w:r>
        <w:rPr>
          <w:b/>
          <w:sz w:val="20"/>
        </w:rPr>
        <w:t>by</w:t>
      </w:r>
      <w:r>
        <w:rPr>
          <w:b/>
          <w:spacing w:val="-3"/>
          <w:sz w:val="20"/>
        </w:rPr>
        <w:t> </w:t>
      </w:r>
      <w:r>
        <w:rPr>
          <w:b/>
          <w:sz w:val="20"/>
        </w:rPr>
        <w:t>situation</w:t>
      </w:r>
      <w:r>
        <w:rPr>
          <w:b/>
          <w:spacing w:val="-4"/>
          <w:sz w:val="20"/>
        </w:rPr>
        <w:t> </w:t>
      </w:r>
      <w:r>
        <w:rPr>
          <w:b/>
          <w:sz w:val="20"/>
        </w:rPr>
        <w:t>(thousands</w:t>
      </w:r>
      <w:r>
        <w:rPr>
          <w:b/>
          <w:spacing w:val="-4"/>
          <w:sz w:val="20"/>
        </w:rPr>
        <w:t> </w:t>
      </w:r>
      <w:r>
        <w:rPr>
          <w:b/>
          <w:sz w:val="20"/>
        </w:rPr>
        <w:t>of</w:t>
      </w:r>
      <w:r>
        <w:rPr>
          <w:b/>
          <w:spacing w:val="-7"/>
          <w:sz w:val="20"/>
        </w:rPr>
        <w:t> </w:t>
      </w:r>
      <w:r>
        <w:rPr>
          <w:b/>
          <w:spacing w:val="-2"/>
          <w:sz w:val="20"/>
        </w:rPr>
        <w:t>euros)</w:t>
      </w:r>
    </w:p>
    <w:tbl>
      <w:tblPr>
        <w:tblW w:w="0" w:type="auto"/>
        <w:jc w:val="left"/>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37"/>
        <w:gridCol w:w="798"/>
        <w:gridCol w:w="581"/>
        <w:gridCol w:w="581"/>
        <w:gridCol w:w="581"/>
        <w:gridCol w:w="582"/>
        <w:gridCol w:w="583"/>
        <w:gridCol w:w="583"/>
        <w:gridCol w:w="585"/>
        <w:gridCol w:w="612"/>
        <w:gridCol w:w="581"/>
        <w:gridCol w:w="607"/>
        <w:gridCol w:w="663"/>
        <w:gridCol w:w="733"/>
        <w:gridCol w:w="631"/>
        <w:gridCol w:w="720"/>
        <w:gridCol w:w="637"/>
        <w:gridCol w:w="518"/>
      </w:tblGrid>
      <w:tr>
        <w:trPr>
          <w:trHeight w:val="733" w:hRule="atLeast"/>
        </w:trPr>
        <w:tc>
          <w:tcPr>
            <w:tcW w:w="1037" w:type="dxa"/>
            <w:tcBorders>
              <w:top w:val="single" w:sz="4" w:space="0" w:color="000000"/>
              <w:bottom w:val="single" w:sz="4" w:space="0" w:color="000000"/>
            </w:tcBorders>
          </w:tcPr>
          <w:p>
            <w:pPr>
              <w:pStyle w:val="TableParagraph"/>
              <w:spacing w:before="46"/>
              <w:ind w:left="292" w:right="26" w:firstLine="96"/>
              <w:jc w:val="both"/>
              <w:rPr>
                <w:i/>
                <w:sz w:val="14"/>
              </w:rPr>
            </w:pPr>
            <w:r>
              <w:rPr>
                <w:i/>
                <w:sz w:val="14"/>
              </w:rPr>
              <w:t>Budget</w:t>
            </w:r>
            <w:r>
              <w:rPr>
                <w:i/>
                <w:spacing w:val="-9"/>
                <w:sz w:val="14"/>
              </w:rPr>
              <w:t> </w:t>
            </w:r>
            <w:r>
              <w:rPr>
                <w:i/>
                <w:sz w:val="14"/>
              </w:rPr>
              <w:t>per</w:t>
            </w:r>
            <w:r>
              <w:rPr>
                <w:i/>
                <w:spacing w:val="40"/>
                <w:sz w:val="14"/>
              </w:rPr>
              <w:t> </w:t>
            </w:r>
            <w:r>
              <w:rPr>
                <w:i/>
                <w:sz w:val="14"/>
              </w:rPr>
              <w:t>situation:</w:t>
            </w:r>
            <w:r>
              <w:rPr>
                <w:i/>
                <w:spacing w:val="-6"/>
                <w:sz w:val="14"/>
              </w:rPr>
              <w:t> </w:t>
            </w:r>
            <w:r>
              <w:rPr>
                <w:i/>
                <w:sz w:val="14"/>
              </w:rPr>
              <w:t>in</w:t>
            </w:r>
            <w:r>
              <w:rPr>
                <w:i/>
                <w:spacing w:val="40"/>
                <w:sz w:val="14"/>
              </w:rPr>
              <w:t> </w:t>
            </w:r>
            <w:r>
              <w:rPr>
                <w:i/>
                <w:sz w:val="14"/>
              </w:rPr>
              <w:t>thousands</w:t>
            </w:r>
            <w:r>
              <w:rPr>
                <w:i/>
                <w:spacing w:val="-5"/>
                <w:sz w:val="14"/>
              </w:rPr>
              <w:t> of</w:t>
            </w:r>
          </w:p>
          <w:p>
            <w:pPr>
              <w:pStyle w:val="TableParagraph"/>
              <w:spacing w:before="2"/>
              <w:ind w:left="557"/>
              <w:jc w:val="both"/>
              <w:rPr>
                <w:i/>
                <w:sz w:val="14"/>
              </w:rPr>
            </w:pPr>
            <w:r>
              <w:rPr>
                <w:i/>
                <w:sz w:val="14"/>
              </w:rPr>
              <w:t>euros</w:t>
            </w:r>
            <w:r>
              <w:rPr>
                <w:i/>
                <w:spacing w:val="-5"/>
                <w:sz w:val="14"/>
              </w:rPr>
              <w:t> </w:t>
            </w:r>
            <w:r>
              <w:rPr>
                <w:i/>
                <w:spacing w:val="-5"/>
                <w:sz w:val="14"/>
                <w:vertAlign w:val="superscript"/>
              </w:rPr>
              <w:t>(1)</w:t>
            </w:r>
          </w:p>
        </w:tc>
        <w:tc>
          <w:tcPr>
            <w:tcW w:w="798" w:type="dxa"/>
            <w:tcBorders>
              <w:top w:val="single" w:sz="4" w:space="0" w:color="000000"/>
              <w:bottom w:val="single" w:sz="4" w:space="0" w:color="000000"/>
            </w:tcBorders>
          </w:tcPr>
          <w:p>
            <w:pPr>
              <w:pStyle w:val="TableParagraph"/>
              <w:spacing w:before="6"/>
              <w:jc w:val="left"/>
              <w:rPr>
                <w:b/>
                <w:sz w:val="14"/>
              </w:rPr>
            </w:pPr>
          </w:p>
          <w:p>
            <w:pPr>
              <w:pStyle w:val="TableParagraph"/>
              <w:spacing w:line="237" w:lineRule="auto"/>
              <w:ind w:left="110" w:right="40" w:firstLine="52"/>
              <w:jc w:val="both"/>
              <w:rPr>
                <w:i/>
                <w:sz w:val="12"/>
              </w:rPr>
            </w:pPr>
            <w:r>
              <w:rPr>
                <w:i/>
                <w:spacing w:val="-2"/>
                <w:sz w:val="12"/>
              </w:rPr>
              <w:t>Operational</w:t>
            </w:r>
            <w:r>
              <w:rPr>
                <w:i/>
                <w:spacing w:val="40"/>
                <w:sz w:val="12"/>
              </w:rPr>
              <w:t> </w:t>
            </w:r>
            <w:r>
              <w:rPr>
                <w:i/>
                <w:sz w:val="12"/>
              </w:rPr>
              <w:t>Support</w:t>
            </w:r>
            <w:r>
              <w:rPr>
                <w:i/>
                <w:spacing w:val="-8"/>
                <w:sz w:val="12"/>
              </w:rPr>
              <w:t> </w:t>
            </w:r>
            <w:r>
              <w:rPr>
                <w:i/>
                <w:sz w:val="12"/>
              </w:rPr>
              <w:t>(CIS</w:t>
            </w:r>
            <w:r>
              <w:rPr>
                <w:i/>
                <w:spacing w:val="40"/>
                <w:sz w:val="12"/>
              </w:rPr>
              <w:t> </w:t>
            </w:r>
            <w:r>
              <w:rPr>
                <w:i/>
                <w:spacing w:val="-2"/>
                <w:sz w:val="12"/>
              </w:rPr>
              <w:t>and</w:t>
            </w:r>
            <w:r>
              <w:rPr>
                <w:i/>
                <w:spacing w:val="-1"/>
                <w:sz w:val="12"/>
              </w:rPr>
              <w:t> </w:t>
            </w:r>
            <w:r>
              <w:rPr>
                <w:i/>
                <w:spacing w:val="-2"/>
                <w:sz w:val="12"/>
              </w:rPr>
              <w:t>FO-</w:t>
            </w:r>
            <w:r>
              <w:rPr>
                <w:i/>
                <w:spacing w:val="-4"/>
                <w:sz w:val="12"/>
              </w:rPr>
              <w:t>Ops)</w:t>
            </w:r>
          </w:p>
        </w:tc>
        <w:tc>
          <w:tcPr>
            <w:tcW w:w="581" w:type="dxa"/>
            <w:tcBorders>
              <w:top w:val="single" w:sz="4" w:space="0" w:color="000000"/>
              <w:bottom w:val="single" w:sz="4" w:space="0" w:color="000000"/>
            </w:tcBorders>
          </w:tcPr>
          <w:p>
            <w:pPr>
              <w:pStyle w:val="TableParagraph"/>
              <w:jc w:val="left"/>
              <w:rPr>
                <w:b/>
                <w:sz w:val="12"/>
              </w:rPr>
            </w:pPr>
          </w:p>
          <w:p>
            <w:pPr>
              <w:pStyle w:val="TableParagraph"/>
              <w:spacing w:before="1"/>
              <w:jc w:val="left"/>
              <w:rPr>
                <w:b/>
                <w:sz w:val="14"/>
              </w:rPr>
            </w:pPr>
          </w:p>
          <w:p>
            <w:pPr>
              <w:pStyle w:val="TableParagraph"/>
              <w:ind w:right="39"/>
              <w:rPr>
                <w:i/>
                <w:sz w:val="12"/>
              </w:rPr>
            </w:pPr>
            <w:r>
              <w:rPr>
                <w:i/>
                <w:spacing w:val="-2"/>
                <w:sz w:val="12"/>
              </w:rPr>
              <w:t>Uganda</w:t>
            </w:r>
          </w:p>
        </w:tc>
        <w:tc>
          <w:tcPr>
            <w:tcW w:w="581" w:type="dxa"/>
            <w:tcBorders>
              <w:top w:val="single" w:sz="4" w:space="0" w:color="000000"/>
              <w:bottom w:val="single" w:sz="4" w:space="0" w:color="000000"/>
            </w:tcBorders>
          </w:tcPr>
          <w:p>
            <w:pPr>
              <w:pStyle w:val="TableParagraph"/>
              <w:jc w:val="left"/>
              <w:rPr>
                <w:b/>
                <w:sz w:val="12"/>
              </w:rPr>
            </w:pPr>
          </w:p>
          <w:p>
            <w:pPr>
              <w:pStyle w:val="TableParagraph"/>
              <w:spacing w:before="1"/>
              <w:jc w:val="left"/>
              <w:rPr>
                <w:b/>
                <w:sz w:val="14"/>
              </w:rPr>
            </w:pPr>
          </w:p>
          <w:p>
            <w:pPr>
              <w:pStyle w:val="TableParagraph"/>
              <w:ind w:right="43"/>
              <w:rPr>
                <w:i/>
                <w:sz w:val="12"/>
              </w:rPr>
            </w:pPr>
            <w:r>
              <w:rPr>
                <w:i/>
                <w:spacing w:val="-5"/>
                <w:sz w:val="12"/>
              </w:rPr>
              <w:t>DRC</w:t>
            </w:r>
          </w:p>
        </w:tc>
        <w:tc>
          <w:tcPr>
            <w:tcW w:w="581" w:type="dxa"/>
            <w:tcBorders>
              <w:top w:val="single" w:sz="4" w:space="0" w:color="000000"/>
              <w:bottom w:val="single" w:sz="4" w:space="0" w:color="000000"/>
            </w:tcBorders>
          </w:tcPr>
          <w:p>
            <w:pPr>
              <w:pStyle w:val="TableParagraph"/>
              <w:jc w:val="left"/>
              <w:rPr>
                <w:b/>
                <w:sz w:val="12"/>
              </w:rPr>
            </w:pPr>
          </w:p>
          <w:p>
            <w:pPr>
              <w:pStyle w:val="TableParagraph"/>
              <w:spacing w:before="1"/>
              <w:jc w:val="left"/>
              <w:rPr>
                <w:b/>
                <w:sz w:val="14"/>
              </w:rPr>
            </w:pPr>
          </w:p>
          <w:p>
            <w:pPr>
              <w:pStyle w:val="TableParagraph"/>
              <w:ind w:right="38"/>
              <w:rPr>
                <w:i/>
                <w:sz w:val="12"/>
              </w:rPr>
            </w:pPr>
            <w:r>
              <w:rPr>
                <w:i/>
                <w:spacing w:val="-2"/>
                <w:sz w:val="12"/>
              </w:rPr>
              <w:t>Darfur</w:t>
            </w:r>
          </w:p>
        </w:tc>
        <w:tc>
          <w:tcPr>
            <w:tcW w:w="582" w:type="dxa"/>
            <w:tcBorders>
              <w:top w:val="single" w:sz="4" w:space="0" w:color="000000"/>
              <w:bottom w:val="single" w:sz="4" w:space="0" w:color="000000"/>
            </w:tcBorders>
          </w:tcPr>
          <w:p>
            <w:pPr>
              <w:pStyle w:val="TableParagraph"/>
              <w:jc w:val="left"/>
              <w:rPr>
                <w:b/>
                <w:sz w:val="12"/>
              </w:rPr>
            </w:pPr>
          </w:p>
          <w:p>
            <w:pPr>
              <w:pStyle w:val="TableParagraph"/>
              <w:spacing w:before="1"/>
              <w:jc w:val="left"/>
              <w:rPr>
                <w:b/>
                <w:sz w:val="14"/>
              </w:rPr>
            </w:pPr>
          </w:p>
          <w:p>
            <w:pPr>
              <w:pStyle w:val="TableParagraph"/>
              <w:ind w:right="41"/>
              <w:rPr>
                <w:i/>
                <w:sz w:val="12"/>
              </w:rPr>
            </w:pPr>
            <w:r>
              <w:rPr>
                <w:i/>
                <w:spacing w:val="-5"/>
                <w:sz w:val="12"/>
              </w:rPr>
              <w:t>CAR</w:t>
            </w:r>
          </w:p>
        </w:tc>
        <w:tc>
          <w:tcPr>
            <w:tcW w:w="583" w:type="dxa"/>
            <w:tcBorders>
              <w:top w:val="single" w:sz="4" w:space="0" w:color="000000"/>
              <w:bottom w:val="single" w:sz="4" w:space="0" w:color="000000"/>
            </w:tcBorders>
          </w:tcPr>
          <w:p>
            <w:pPr>
              <w:pStyle w:val="TableParagraph"/>
              <w:jc w:val="left"/>
              <w:rPr>
                <w:b/>
                <w:sz w:val="12"/>
              </w:rPr>
            </w:pPr>
          </w:p>
          <w:p>
            <w:pPr>
              <w:pStyle w:val="TableParagraph"/>
              <w:spacing w:before="1"/>
              <w:jc w:val="left"/>
              <w:rPr>
                <w:b/>
                <w:sz w:val="14"/>
              </w:rPr>
            </w:pPr>
          </w:p>
          <w:p>
            <w:pPr>
              <w:pStyle w:val="TableParagraph"/>
              <w:ind w:right="37"/>
              <w:rPr>
                <w:i/>
                <w:sz w:val="12"/>
              </w:rPr>
            </w:pPr>
            <w:r>
              <w:rPr>
                <w:i/>
                <w:spacing w:val="-2"/>
                <w:sz w:val="12"/>
              </w:rPr>
              <w:t>Kenya</w:t>
            </w:r>
          </w:p>
        </w:tc>
        <w:tc>
          <w:tcPr>
            <w:tcW w:w="583" w:type="dxa"/>
            <w:tcBorders>
              <w:top w:val="single" w:sz="4" w:space="0" w:color="000000"/>
              <w:bottom w:val="single" w:sz="4" w:space="0" w:color="000000"/>
            </w:tcBorders>
          </w:tcPr>
          <w:p>
            <w:pPr>
              <w:pStyle w:val="TableParagraph"/>
              <w:jc w:val="left"/>
              <w:rPr>
                <w:b/>
                <w:sz w:val="12"/>
              </w:rPr>
            </w:pPr>
          </w:p>
          <w:p>
            <w:pPr>
              <w:pStyle w:val="TableParagraph"/>
              <w:spacing w:before="1"/>
              <w:jc w:val="left"/>
              <w:rPr>
                <w:b/>
                <w:sz w:val="14"/>
              </w:rPr>
            </w:pPr>
          </w:p>
          <w:p>
            <w:pPr>
              <w:pStyle w:val="TableParagraph"/>
              <w:ind w:right="39"/>
              <w:rPr>
                <w:i/>
                <w:sz w:val="12"/>
              </w:rPr>
            </w:pPr>
            <w:r>
              <w:rPr>
                <w:i/>
                <w:spacing w:val="-2"/>
                <w:sz w:val="12"/>
              </w:rPr>
              <w:t>Libya</w:t>
            </w:r>
          </w:p>
        </w:tc>
        <w:tc>
          <w:tcPr>
            <w:tcW w:w="585" w:type="dxa"/>
            <w:tcBorders>
              <w:top w:val="single" w:sz="4" w:space="0" w:color="000000"/>
              <w:bottom w:val="single" w:sz="4" w:space="0" w:color="000000"/>
            </w:tcBorders>
          </w:tcPr>
          <w:p>
            <w:pPr>
              <w:pStyle w:val="TableParagraph"/>
              <w:jc w:val="left"/>
              <w:rPr>
                <w:b/>
                <w:sz w:val="12"/>
              </w:rPr>
            </w:pPr>
          </w:p>
          <w:p>
            <w:pPr>
              <w:pStyle w:val="TableParagraph"/>
              <w:spacing w:before="95"/>
              <w:ind w:left="153" w:firstLine="158"/>
              <w:jc w:val="left"/>
              <w:rPr>
                <w:i/>
                <w:sz w:val="12"/>
              </w:rPr>
            </w:pPr>
            <w:r>
              <w:rPr>
                <w:i/>
                <w:spacing w:val="-4"/>
                <w:sz w:val="12"/>
              </w:rPr>
              <w:t>Côte</w:t>
            </w:r>
            <w:r>
              <w:rPr>
                <w:i/>
                <w:spacing w:val="40"/>
                <w:sz w:val="12"/>
              </w:rPr>
              <w:t> </w:t>
            </w:r>
            <w:r>
              <w:rPr>
                <w:i/>
                <w:spacing w:val="-2"/>
                <w:sz w:val="12"/>
              </w:rPr>
              <w:t>d’Ivoire</w:t>
            </w:r>
          </w:p>
        </w:tc>
        <w:tc>
          <w:tcPr>
            <w:tcW w:w="612" w:type="dxa"/>
            <w:tcBorders>
              <w:top w:val="single" w:sz="4" w:space="0" w:color="000000"/>
              <w:bottom w:val="single" w:sz="4" w:space="0" w:color="000000"/>
            </w:tcBorders>
          </w:tcPr>
          <w:p>
            <w:pPr>
              <w:pStyle w:val="TableParagraph"/>
              <w:jc w:val="left"/>
              <w:rPr>
                <w:b/>
                <w:sz w:val="12"/>
              </w:rPr>
            </w:pPr>
          </w:p>
          <w:p>
            <w:pPr>
              <w:pStyle w:val="TableParagraph"/>
              <w:spacing w:before="1"/>
              <w:jc w:val="left"/>
              <w:rPr>
                <w:b/>
                <w:sz w:val="14"/>
              </w:rPr>
            </w:pPr>
          </w:p>
          <w:p>
            <w:pPr>
              <w:pStyle w:val="TableParagraph"/>
              <w:ind w:right="63"/>
              <w:rPr>
                <w:i/>
                <w:sz w:val="12"/>
              </w:rPr>
            </w:pPr>
            <w:r>
              <w:rPr>
                <w:i/>
                <w:spacing w:val="-4"/>
                <w:sz w:val="12"/>
              </w:rPr>
              <w:t>Mali</w:t>
            </w:r>
          </w:p>
        </w:tc>
        <w:tc>
          <w:tcPr>
            <w:tcW w:w="581" w:type="dxa"/>
            <w:tcBorders>
              <w:top w:val="single" w:sz="4" w:space="0" w:color="000000"/>
              <w:bottom w:val="single" w:sz="4" w:space="0" w:color="000000"/>
            </w:tcBorders>
          </w:tcPr>
          <w:p>
            <w:pPr>
              <w:pStyle w:val="TableParagraph"/>
              <w:jc w:val="left"/>
              <w:rPr>
                <w:b/>
                <w:sz w:val="12"/>
              </w:rPr>
            </w:pPr>
          </w:p>
          <w:p>
            <w:pPr>
              <w:pStyle w:val="TableParagraph"/>
              <w:spacing w:before="1"/>
              <w:jc w:val="left"/>
              <w:rPr>
                <w:b/>
                <w:sz w:val="14"/>
              </w:rPr>
            </w:pPr>
          </w:p>
          <w:p>
            <w:pPr>
              <w:pStyle w:val="TableParagraph"/>
              <w:ind w:left="60" w:right="14"/>
              <w:jc w:val="center"/>
              <w:rPr>
                <w:i/>
                <w:sz w:val="12"/>
              </w:rPr>
            </w:pPr>
            <w:r>
              <w:rPr>
                <w:i/>
                <w:spacing w:val="-2"/>
                <w:sz w:val="12"/>
              </w:rPr>
              <w:t>Georgia</w:t>
            </w:r>
          </w:p>
        </w:tc>
        <w:tc>
          <w:tcPr>
            <w:tcW w:w="607" w:type="dxa"/>
            <w:tcBorders>
              <w:top w:val="single" w:sz="4" w:space="0" w:color="000000"/>
              <w:bottom w:val="single" w:sz="4" w:space="0" w:color="000000"/>
            </w:tcBorders>
          </w:tcPr>
          <w:p>
            <w:pPr>
              <w:pStyle w:val="TableParagraph"/>
              <w:jc w:val="left"/>
              <w:rPr>
                <w:b/>
                <w:sz w:val="12"/>
              </w:rPr>
            </w:pPr>
          </w:p>
          <w:p>
            <w:pPr>
              <w:pStyle w:val="TableParagraph"/>
              <w:spacing w:before="1"/>
              <w:jc w:val="left"/>
              <w:rPr>
                <w:b/>
                <w:sz w:val="14"/>
              </w:rPr>
            </w:pPr>
          </w:p>
          <w:p>
            <w:pPr>
              <w:pStyle w:val="TableParagraph"/>
              <w:ind w:right="84"/>
              <w:rPr>
                <w:i/>
                <w:sz w:val="12"/>
              </w:rPr>
            </w:pPr>
            <w:r>
              <w:rPr>
                <w:i/>
                <w:spacing w:val="-2"/>
                <w:sz w:val="12"/>
              </w:rPr>
              <w:t>Burundi</w:t>
            </w:r>
          </w:p>
        </w:tc>
        <w:tc>
          <w:tcPr>
            <w:tcW w:w="663" w:type="dxa"/>
            <w:tcBorders>
              <w:top w:val="single" w:sz="4" w:space="0" w:color="000000"/>
              <w:bottom w:val="single" w:sz="4" w:space="0" w:color="000000"/>
            </w:tcBorders>
          </w:tcPr>
          <w:p>
            <w:pPr>
              <w:pStyle w:val="TableParagraph"/>
              <w:jc w:val="left"/>
              <w:rPr>
                <w:b/>
                <w:sz w:val="12"/>
              </w:rPr>
            </w:pPr>
          </w:p>
          <w:p>
            <w:pPr>
              <w:pStyle w:val="TableParagraph"/>
              <w:spacing w:before="1"/>
              <w:jc w:val="left"/>
              <w:rPr>
                <w:b/>
                <w:sz w:val="14"/>
              </w:rPr>
            </w:pPr>
          </w:p>
          <w:p>
            <w:pPr>
              <w:pStyle w:val="TableParagraph"/>
              <w:ind w:right="90"/>
              <w:rPr>
                <w:i/>
                <w:sz w:val="12"/>
              </w:rPr>
            </w:pPr>
            <w:r>
              <w:rPr>
                <w:i/>
                <w:spacing w:val="-2"/>
                <w:sz w:val="12"/>
              </w:rPr>
              <w:t>Myanmar</w:t>
            </w:r>
          </w:p>
        </w:tc>
        <w:tc>
          <w:tcPr>
            <w:tcW w:w="733" w:type="dxa"/>
            <w:tcBorders>
              <w:top w:val="single" w:sz="4" w:space="0" w:color="000000"/>
              <w:bottom w:val="single" w:sz="4" w:space="0" w:color="000000"/>
            </w:tcBorders>
          </w:tcPr>
          <w:p>
            <w:pPr>
              <w:pStyle w:val="TableParagraph"/>
              <w:jc w:val="left"/>
              <w:rPr>
                <w:b/>
                <w:sz w:val="12"/>
              </w:rPr>
            </w:pPr>
          </w:p>
          <w:p>
            <w:pPr>
              <w:pStyle w:val="TableParagraph"/>
              <w:spacing w:before="1"/>
              <w:jc w:val="left"/>
              <w:rPr>
                <w:b/>
                <w:sz w:val="14"/>
              </w:rPr>
            </w:pPr>
          </w:p>
          <w:p>
            <w:pPr>
              <w:pStyle w:val="TableParagraph"/>
              <w:ind w:right="37"/>
              <w:rPr>
                <w:i/>
                <w:sz w:val="12"/>
              </w:rPr>
            </w:pPr>
            <w:r>
              <w:rPr>
                <w:i/>
                <w:spacing w:val="-2"/>
                <w:sz w:val="12"/>
              </w:rPr>
              <w:t>Afghanistan</w:t>
            </w:r>
          </w:p>
        </w:tc>
        <w:tc>
          <w:tcPr>
            <w:tcW w:w="631" w:type="dxa"/>
            <w:tcBorders>
              <w:top w:val="single" w:sz="4" w:space="0" w:color="000000"/>
              <w:bottom w:val="single" w:sz="4" w:space="0" w:color="000000"/>
            </w:tcBorders>
          </w:tcPr>
          <w:p>
            <w:pPr>
              <w:pStyle w:val="TableParagraph"/>
              <w:jc w:val="left"/>
              <w:rPr>
                <w:b/>
                <w:sz w:val="12"/>
              </w:rPr>
            </w:pPr>
          </w:p>
          <w:p>
            <w:pPr>
              <w:pStyle w:val="TableParagraph"/>
              <w:spacing w:before="1"/>
              <w:jc w:val="left"/>
              <w:rPr>
                <w:b/>
                <w:sz w:val="14"/>
              </w:rPr>
            </w:pPr>
          </w:p>
          <w:p>
            <w:pPr>
              <w:pStyle w:val="TableParagraph"/>
              <w:ind w:right="69"/>
              <w:rPr>
                <w:i/>
                <w:sz w:val="12"/>
              </w:rPr>
            </w:pPr>
            <w:r>
              <w:rPr>
                <w:i/>
                <w:spacing w:val="-2"/>
                <w:sz w:val="12"/>
              </w:rPr>
              <w:t>Palestine</w:t>
            </w:r>
          </w:p>
        </w:tc>
        <w:tc>
          <w:tcPr>
            <w:tcW w:w="720" w:type="dxa"/>
            <w:tcBorders>
              <w:top w:val="single" w:sz="4" w:space="0" w:color="000000"/>
              <w:bottom w:val="single" w:sz="4" w:space="0" w:color="000000"/>
            </w:tcBorders>
          </w:tcPr>
          <w:p>
            <w:pPr>
              <w:pStyle w:val="TableParagraph"/>
              <w:jc w:val="left"/>
              <w:rPr>
                <w:b/>
                <w:sz w:val="12"/>
              </w:rPr>
            </w:pPr>
          </w:p>
          <w:p>
            <w:pPr>
              <w:pStyle w:val="TableParagraph"/>
              <w:spacing w:before="1"/>
              <w:jc w:val="left"/>
              <w:rPr>
                <w:b/>
                <w:sz w:val="14"/>
              </w:rPr>
            </w:pPr>
          </w:p>
          <w:p>
            <w:pPr>
              <w:pStyle w:val="TableParagraph"/>
              <w:ind w:right="71"/>
              <w:rPr>
                <w:i/>
                <w:sz w:val="12"/>
              </w:rPr>
            </w:pPr>
            <w:r>
              <w:rPr>
                <w:i/>
                <w:spacing w:val="-2"/>
                <w:sz w:val="12"/>
              </w:rPr>
              <w:t>Philippines</w:t>
            </w:r>
          </w:p>
        </w:tc>
        <w:tc>
          <w:tcPr>
            <w:tcW w:w="637" w:type="dxa"/>
            <w:tcBorders>
              <w:top w:val="single" w:sz="4" w:space="0" w:color="000000"/>
              <w:bottom w:val="single" w:sz="4" w:space="0" w:color="000000"/>
            </w:tcBorders>
          </w:tcPr>
          <w:p>
            <w:pPr>
              <w:pStyle w:val="TableParagraph"/>
              <w:jc w:val="left"/>
              <w:rPr>
                <w:b/>
                <w:sz w:val="12"/>
              </w:rPr>
            </w:pPr>
          </w:p>
          <w:p>
            <w:pPr>
              <w:pStyle w:val="TableParagraph"/>
              <w:spacing w:before="1"/>
              <w:jc w:val="left"/>
              <w:rPr>
                <w:b/>
                <w:sz w:val="14"/>
              </w:rPr>
            </w:pPr>
          </w:p>
          <w:p>
            <w:pPr>
              <w:pStyle w:val="TableParagraph"/>
              <w:ind w:right="37"/>
              <w:rPr>
                <w:i/>
                <w:sz w:val="12"/>
              </w:rPr>
            </w:pPr>
            <w:r>
              <w:rPr>
                <w:i/>
                <w:spacing w:val="-2"/>
                <w:sz w:val="12"/>
              </w:rPr>
              <w:t>Venezuela</w:t>
            </w:r>
          </w:p>
        </w:tc>
        <w:tc>
          <w:tcPr>
            <w:tcW w:w="518" w:type="dxa"/>
            <w:tcBorders>
              <w:top w:val="single" w:sz="4" w:space="0" w:color="000000"/>
              <w:bottom w:val="single" w:sz="4" w:space="0" w:color="000000"/>
            </w:tcBorders>
          </w:tcPr>
          <w:p>
            <w:pPr>
              <w:pStyle w:val="TableParagraph"/>
              <w:jc w:val="left"/>
              <w:rPr>
                <w:b/>
                <w:sz w:val="12"/>
              </w:rPr>
            </w:pPr>
          </w:p>
          <w:p>
            <w:pPr>
              <w:pStyle w:val="TableParagraph"/>
              <w:spacing w:before="1"/>
              <w:jc w:val="left"/>
              <w:rPr>
                <w:b/>
                <w:sz w:val="14"/>
              </w:rPr>
            </w:pPr>
          </w:p>
          <w:p>
            <w:pPr>
              <w:pStyle w:val="TableParagraph"/>
              <w:ind w:right="4"/>
              <w:rPr>
                <w:i/>
                <w:sz w:val="12"/>
              </w:rPr>
            </w:pPr>
            <w:r>
              <w:rPr>
                <w:i/>
                <w:spacing w:val="-2"/>
                <w:sz w:val="12"/>
              </w:rPr>
              <w:t>Ukraine</w:t>
            </w:r>
          </w:p>
        </w:tc>
      </w:tr>
      <w:tr>
        <w:trPr>
          <w:trHeight w:val="302" w:hRule="atLeast"/>
        </w:trPr>
        <w:tc>
          <w:tcPr>
            <w:tcW w:w="1037" w:type="dxa"/>
            <w:tcBorders>
              <w:top w:val="single" w:sz="4" w:space="0" w:color="000000"/>
            </w:tcBorders>
          </w:tcPr>
          <w:p>
            <w:pPr>
              <w:pStyle w:val="TableParagraph"/>
              <w:spacing w:before="75"/>
              <w:ind w:left="28"/>
              <w:jc w:val="left"/>
              <w:rPr>
                <w:sz w:val="14"/>
              </w:rPr>
            </w:pPr>
            <w:r>
              <w:rPr>
                <w:sz w:val="14"/>
              </w:rPr>
              <w:t>2018</w:t>
            </w:r>
            <w:r>
              <w:rPr>
                <w:spacing w:val="-2"/>
                <w:sz w:val="14"/>
              </w:rPr>
              <w:t> Approved</w:t>
            </w:r>
            <w:r>
              <w:rPr>
                <w:spacing w:val="-2"/>
                <w:sz w:val="14"/>
                <w:vertAlign w:val="superscript"/>
              </w:rPr>
              <w:t>(2)</w:t>
            </w:r>
          </w:p>
        </w:tc>
        <w:tc>
          <w:tcPr>
            <w:tcW w:w="798" w:type="dxa"/>
            <w:tcBorders>
              <w:top w:val="single" w:sz="4" w:space="0" w:color="000000"/>
              <w:bottom w:val="single" w:sz="4" w:space="0" w:color="000000"/>
            </w:tcBorders>
          </w:tcPr>
          <w:p>
            <w:pPr>
              <w:pStyle w:val="TableParagraph"/>
              <w:spacing w:before="75"/>
              <w:ind w:right="40"/>
              <w:rPr>
                <w:sz w:val="14"/>
              </w:rPr>
            </w:pPr>
            <w:r>
              <w:rPr>
                <w:spacing w:val="-2"/>
                <w:sz w:val="14"/>
              </w:rPr>
              <w:t>36,226.1</w:t>
            </w:r>
          </w:p>
        </w:tc>
        <w:tc>
          <w:tcPr>
            <w:tcW w:w="581" w:type="dxa"/>
            <w:tcBorders>
              <w:top w:val="single" w:sz="4" w:space="0" w:color="000000"/>
              <w:bottom w:val="single" w:sz="4" w:space="0" w:color="000000"/>
            </w:tcBorders>
          </w:tcPr>
          <w:p>
            <w:pPr>
              <w:pStyle w:val="TableParagraph"/>
              <w:spacing w:before="75"/>
              <w:ind w:right="40"/>
              <w:rPr>
                <w:sz w:val="14"/>
              </w:rPr>
            </w:pPr>
            <w:r>
              <w:rPr>
                <w:spacing w:val="-2"/>
                <w:sz w:val="14"/>
              </w:rPr>
              <w:t>3,024.5</w:t>
            </w:r>
          </w:p>
        </w:tc>
        <w:tc>
          <w:tcPr>
            <w:tcW w:w="581" w:type="dxa"/>
            <w:tcBorders>
              <w:top w:val="single" w:sz="4" w:space="0" w:color="000000"/>
              <w:bottom w:val="single" w:sz="4" w:space="0" w:color="000000"/>
            </w:tcBorders>
          </w:tcPr>
          <w:p>
            <w:pPr>
              <w:pStyle w:val="TableParagraph"/>
              <w:spacing w:before="75"/>
              <w:ind w:right="40"/>
              <w:rPr>
                <w:sz w:val="14"/>
              </w:rPr>
            </w:pPr>
            <w:r>
              <w:rPr>
                <w:spacing w:val="-2"/>
                <w:sz w:val="14"/>
              </w:rPr>
              <w:t>6,969.4</w:t>
            </w:r>
          </w:p>
        </w:tc>
        <w:tc>
          <w:tcPr>
            <w:tcW w:w="581" w:type="dxa"/>
            <w:tcBorders>
              <w:top w:val="single" w:sz="4" w:space="0" w:color="000000"/>
              <w:bottom w:val="single" w:sz="4" w:space="0" w:color="000000"/>
            </w:tcBorders>
          </w:tcPr>
          <w:p>
            <w:pPr>
              <w:pStyle w:val="TableParagraph"/>
              <w:spacing w:before="75"/>
              <w:ind w:right="40"/>
              <w:rPr>
                <w:sz w:val="14"/>
              </w:rPr>
            </w:pPr>
            <w:r>
              <w:rPr>
                <w:spacing w:val="-2"/>
                <w:sz w:val="14"/>
              </w:rPr>
              <w:t>1,270.3</w:t>
            </w:r>
          </w:p>
        </w:tc>
        <w:tc>
          <w:tcPr>
            <w:tcW w:w="582" w:type="dxa"/>
            <w:tcBorders>
              <w:top w:val="single" w:sz="4" w:space="0" w:color="000000"/>
              <w:bottom w:val="single" w:sz="4" w:space="0" w:color="000000"/>
            </w:tcBorders>
          </w:tcPr>
          <w:p>
            <w:pPr>
              <w:pStyle w:val="TableParagraph"/>
              <w:spacing w:before="75"/>
              <w:ind w:right="41"/>
              <w:rPr>
                <w:sz w:val="14"/>
              </w:rPr>
            </w:pPr>
            <w:r>
              <w:rPr>
                <w:spacing w:val="-2"/>
                <w:sz w:val="14"/>
              </w:rPr>
              <w:t>8,822.7</w:t>
            </w:r>
          </w:p>
        </w:tc>
        <w:tc>
          <w:tcPr>
            <w:tcW w:w="583" w:type="dxa"/>
            <w:tcBorders>
              <w:top w:val="single" w:sz="4" w:space="0" w:color="000000"/>
              <w:bottom w:val="single" w:sz="4" w:space="0" w:color="000000"/>
            </w:tcBorders>
          </w:tcPr>
          <w:p>
            <w:pPr>
              <w:pStyle w:val="TableParagraph"/>
              <w:spacing w:before="75"/>
              <w:ind w:right="37"/>
              <w:rPr>
                <w:sz w:val="14"/>
              </w:rPr>
            </w:pPr>
            <w:r>
              <w:rPr>
                <w:spacing w:val="-2"/>
                <w:sz w:val="14"/>
              </w:rPr>
              <w:t>965.7</w:t>
            </w:r>
          </w:p>
        </w:tc>
        <w:tc>
          <w:tcPr>
            <w:tcW w:w="583" w:type="dxa"/>
            <w:tcBorders>
              <w:top w:val="single" w:sz="4" w:space="0" w:color="000000"/>
              <w:bottom w:val="single" w:sz="4" w:space="0" w:color="000000"/>
            </w:tcBorders>
          </w:tcPr>
          <w:p>
            <w:pPr>
              <w:pStyle w:val="TableParagraph"/>
              <w:spacing w:before="75"/>
              <w:ind w:right="40"/>
              <w:rPr>
                <w:sz w:val="14"/>
              </w:rPr>
            </w:pPr>
            <w:r>
              <w:rPr>
                <w:spacing w:val="-2"/>
                <w:sz w:val="14"/>
              </w:rPr>
              <w:t>1,689.5</w:t>
            </w:r>
          </w:p>
        </w:tc>
        <w:tc>
          <w:tcPr>
            <w:tcW w:w="585" w:type="dxa"/>
            <w:tcBorders>
              <w:top w:val="single" w:sz="4" w:space="0" w:color="000000"/>
              <w:bottom w:val="single" w:sz="4" w:space="0" w:color="000000"/>
            </w:tcBorders>
          </w:tcPr>
          <w:p>
            <w:pPr>
              <w:pStyle w:val="TableParagraph"/>
              <w:spacing w:before="75"/>
              <w:ind w:left="90" w:right="7"/>
              <w:jc w:val="center"/>
              <w:rPr>
                <w:sz w:val="14"/>
              </w:rPr>
            </w:pPr>
            <w:r>
              <w:rPr>
                <w:spacing w:val="-2"/>
                <w:sz w:val="14"/>
              </w:rPr>
              <w:t>6,104.7</w:t>
            </w:r>
          </w:p>
        </w:tc>
        <w:tc>
          <w:tcPr>
            <w:tcW w:w="612" w:type="dxa"/>
            <w:tcBorders>
              <w:top w:val="single" w:sz="4" w:space="0" w:color="000000"/>
              <w:bottom w:val="single" w:sz="4" w:space="0" w:color="000000"/>
            </w:tcBorders>
          </w:tcPr>
          <w:p>
            <w:pPr>
              <w:pStyle w:val="TableParagraph"/>
              <w:spacing w:before="75"/>
              <w:ind w:right="65"/>
              <w:rPr>
                <w:sz w:val="14"/>
              </w:rPr>
            </w:pPr>
            <w:r>
              <w:rPr>
                <w:spacing w:val="-2"/>
                <w:sz w:val="14"/>
              </w:rPr>
              <w:t>2,313.8</w:t>
            </w:r>
          </w:p>
        </w:tc>
        <w:tc>
          <w:tcPr>
            <w:tcW w:w="581" w:type="dxa"/>
            <w:tcBorders>
              <w:top w:val="single" w:sz="4" w:space="0" w:color="000000"/>
              <w:bottom w:val="single" w:sz="4" w:space="0" w:color="000000"/>
            </w:tcBorders>
          </w:tcPr>
          <w:p>
            <w:pPr>
              <w:pStyle w:val="TableParagraph"/>
              <w:spacing w:before="75"/>
              <w:ind w:left="43" w:right="17"/>
              <w:jc w:val="center"/>
              <w:rPr>
                <w:sz w:val="14"/>
              </w:rPr>
            </w:pPr>
            <w:r>
              <w:rPr>
                <w:spacing w:val="-2"/>
                <w:sz w:val="14"/>
              </w:rPr>
              <w:t>3,168.1</w:t>
            </w:r>
          </w:p>
        </w:tc>
        <w:tc>
          <w:tcPr>
            <w:tcW w:w="607" w:type="dxa"/>
            <w:tcBorders>
              <w:top w:val="single" w:sz="4" w:space="0" w:color="000000"/>
              <w:bottom w:val="single" w:sz="4" w:space="0" w:color="000000"/>
            </w:tcBorders>
          </w:tcPr>
          <w:p>
            <w:pPr>
              <w:pStyle w:val="TableParagraph"/>
              <w:spacing w:before="75"/>
              <w:ind w:right="89"/>
              <w:rPr>
                <w:sz w:val="14"/>
              </w:rPr>
            </w:pPr>
            <w:r>
              <w:rPr>
                <w:w w:val="99"/>
                <w:sz w:val="14"/>
              </w:rPr>
              <w:t>-</w:t>
            </w:r>
          </w:p>
        </w:tc>
        <w:tc>
          <w:tcPr>
            <w:tcW w:w="663" w:type="dxa"/>
            <w:tcBorders>
              <w:top w:val="single" w:sz="4" w:space="0" w:color="000000"/>
              <w:bottom w:val="single" w:sz="4" w:space="0" w:color="000000"/>
            </w:tcBorders>
          </w:tcPr>
          <w:p>
            <w:pPr>
              <w:pStyle w:val="TableParagraph"/>
              <w:spacing w:before="75"/>
              <w:ind w:right="95"/>
              <w:rPr>
                <w:sz w:val="14"/>
              </w:rPr>
            </w:pPr>
            <w:r>
              <w:rPr>
                <w:w w:val="99"/>
                <w:sz w:val="14"/>
              </w:rPr>
              <w:t>-</w:t>
            </w:r>
          </w:p>
        </w:tc>
        <w:tc>
          <w:tcPr>
            <w:tcW w:w="733" w:type="dxa"/>
            <w:tcBorders>
              <w:top w:val="single" w:sz="4" w:space="0" w:color="000000"/>
              <w:bottom w:val="single" w:sz="4" w:space="0" w:color="000000"/>
            </w:tcBorders>
          </w:tcPr>
          <w:p>
            <w:pPr>
              <w:pStyle w:val="TableParagraph"/>
              <w:spacing w:before="75"/>
              <w:ind w:right="40"/>
              <w:rPr>
                <w:sz w:val="14"/>
              </w:rPr>
            </w:pPr>
            <w:r>
              <w:rPr>
                <w:w w:val="99"/>
                <w:sz w:val="14"/>
              </w:rPr>
              <w:t>-</w:t>
            </w:r>
          </w:p>
        </w:tc>
        <w:tc>
          <w:tcPr>
            <w:tcW w:w="631" w:type="dxa"/>
            <w:tcBorders>
              <w:top w:val="single" w:sz="4" w:space="0" w:color="000000"/>
              <w:bottom w:val="single" w:sz="4" w:space="0" w:color="000000"/>
            </w:tcBorders>
          </w:tcPr>
          <w:p>
            <w:pPr>
              <w:pStyle w:val="TableParagraph"/>
              <w:spacing w:before="75"/>
              <w:ind w:right="76"/>
              <w:rPr>
                <w:sz w:val="14"/>
              </w:rPr>
            </w:pPr>
            <w:r>
              <w:rPr>
                <w:w w:val="99"/>
                <w:sz w:val="14"/>
              </w:rPr>
              <w:t>-</w:t>
            </w:r>
          </w:p>
        </w:tc>
        <w:tc>
          <w:tcPr>
            <w:tcW w:w="720" w:type="dxa"/>
            <w:tcBorders>
              <w:top w:val="single" w:sz="4" w:space="0" w:color="000000"/>
              <w:bottom w:val="single" w:sz="4" w:space="0" w:color="000000"/>
            </w:tcBorders>
          </w:tcPr>
          <w:p>
            <w:pPr>
              <w:pStyle w:val="TableParagraph"/>
              <w:spacing w:before="75"/>
              <w:ind w:right="75"/>
              <w:rPr>
                <w:sz w:val="14"/>
              </w:rPr>
            </w:pPr>
            <w:r>
              <w:rPr>
                <w:w w:val="99"/>
                <w:sz w:val="14"/>
              </w:rPr>
              <w:t>-</w:t>
            </w:r>
          </w:p>
        </w:tc>
        <w:tc>
          <w:tcPr>
            <w:tcW w:w="637" w:type="dxa"/>
            <w:tcBorders>
              <w:top w:val="single" w:sz="4" w:space="0" w:color="000000"/>
              <w:bottom w:val="single" w:sz="4" w:space="0" w:color="000000"/>
            </w:tcBorders>
          </w:tcPr>
          <w:p>
            <w:pPr>
              <w:pStyle w:val="TableParagraph"/>
              <w:spacing w:before="75"/>
              <w:ind w:right="40"/>
              <w:rPr>
                <w:sz w:val="14"/>
              </w:rPr>
            </w:pPr>
            <w:r>
              <w:rPr>
                <w:w w:val="99"/>
                <w:sz w:val="14"/>
              </w:rPr>
              <w:t>-</w:t>
            </w:r>
          </w:p>
        </w:tc>
        <w:tc>
          <w:tcPr>
            <w:tcW w:w="518" w:type="dxa"/>
            <w:tcBorders>
              <w:top w:val="single" w:sz="4" w:space="0" w:color="000000"/>
              <w:bottom w:val="single" w:sz="4" w:space="0" w:color="000000"/>
            </w:tcBorders>
          </w:tcPr>
          <w:p>
            <w:pPr>
              <w:pStyle w:val="TableParagraph"/>
              <w:spacing w:before="75"/>
              <w:ind w:right="11"/>
              <w:rPr>
                <w:sz w:val="14"/>
              </w:rPr>
            </w:pPr>
            <w:r>
              <w:rPr>
                <w:w w:val="99"/>
                <w:sz w:val="14"/>
              </w:rPr>
              <w:t>-</w:t>
            </w:r>
          </w:p>
        </w:tc>
      </w:tr>
      <w:tr>
        <w:trPr>
          <w:trHeight w:val="302" w:hRule="atLeast"/>
        </w:trPr>
        <w:tc>
          <w:tcPr>
            <w:tcW w:w="1037" w:type="dxa"/>
            <w:tcBorders>
              <w:bottom w:val="single" w:sz="4" w:space="0" w:color="000000"/>
            </w:tcBorders>
          </w:tcPr>
          <w:p>
            <w:pPr>
              <w:pStyle w:val="TableParagraph"/>
              <w:jc w:val="left"/>
              <w:rPr>
                <w:sz w:val="12"/>
              </w:rPr>
            </w:pPr>
          </w:p>
        </w:tc>
        <w:tc>
          <w:tcPr>
            <w:tcW w:w="798" w:type="dxa"/>
            <w:tcBorders>
              <w:top w:val="single" w:sz="4" w:space="0" w:color="000000"/>
              <w:bottom w:val="single" w:sz="4" w:space="0" w:color="000000"/>
            </w:tcBorders>
          </w:tcPr>
          <w:p>
            <w:pPr>
              <w:pStyle w:val="TableParagraph"/>
              <w:spacing w:before="71"/>
              <w:ind w:right="39"/>
              <w:rPr>
                <w:sz w:val="14"/>
              </w:rPr>
            </w:pPr>
            <w:r>
              <w:rPr>
                <w:sz w:val="14"/>
              </w:rPr>
              <w:t>(23</w:t>
            </w:r>
            <w:r>
              <w:rPr>
                <w:spacing w:val="1"/>
                <w:sz w:val="14"/>
              </w:rPr>
              <w:t> </w:t>
            </w:r>
            <w:r>
              <w:rPr>
                <w:spacing w:val="-2"/>
                <w:sz w:val="14"/>
              </w:rPr>
              <w:t>cases)</w:t>
            </w:r>
          </w:p>
        </w:tc>
        <w:tc>
          <w:tcPr>
            <w:tcW w:w="581" w:type="dxa"/>
            <w:tcBorders>
              <w:top w:val="single" w:sz="4" w:space="0" w:color="000000"/>
              <w:bottom w:val="single" w:sz="4" w:space="0" w:color="000000"/>
            </w:tcBorders>
          </w:tcPr>
          <w:p>
            <w:pPr>
              <w:pStyle w:val="TableParagraph"/>
              <w:spacing w:before="71"/>
              <w:ind w:right="44"/>
              <w:rPr>
                <w:sz w:val="14"/>
              </w:rPr>
            </w:pPr>
            <w:r>
              <w:rPr>
                <w:sz w:val="14"/>
              </w:rPr>
              <w:t>(3</w:t>
            </w:r>
            <w:r>
              <w:rPr>
                <w:spacing w:val="-1"/>
                <w:sz w:val="14"/>
              </w:rPr>
              <w:t> </w:t>
            </w:r>
            <w:r>
              <w:rPr>
                <w:spacing w:val="-2"/>
                <w:sz w:val="14"/>
              </w:rPr>
              <w:t>cases)</w:t>
            </w:r>
          </w:p>
        </w:tc>
        <w:tc>
          <w:tcPr>
            <w:tcW w:w="581" w:type="dxa"/>
            <w:tcBorders>
              <w:top w:val="single" w:sz="4" w:space="0" w:color="000000"/>
              <w:bottom w:val="single" w:sz="4" w:space="0" w:color="000000"/>
            </w:tcBorders>
          </w:tcPr>
          <w:p>
            <w:pPr>
              <w:pStyle w:val="TableParagraph"/>
              <w:spacing w:before="71"/>
              <w:ind w:right="44"/>
              <w:rPr>
                <w:sz w:val="14"/>
              </w:rPr>
            </w:pPr>
            <w:r>
              <w:rPr>
                <w:sz w:val="14"/>
              </w:rPr>
              <w:t>(2</w:t>
            </w:r>
            <w:r>
              <w:rPr>
                <w:spacing w:val="-1"/>
                <w:sz w:val="14"/>
              </w:rPr>
              <w:t> </w:t>
            </w:r>
            <w:r>
              <w:rPr>
                <w:spacing w:val="-2"/>
                <w:sz w:val="14"/>
              </w:rPr>
              <w:t>cases)</w:t>
            </w:r>
          </w:p>
        </w:tc>
        <w:tc>
          <w:tcPr>
            <w:tcW w:w="581" w:type="dxa"/>
            <w:tcBorders>
              <w:top w:val="single" w:sz="4" w:space="0" w:color="000000"/>
              <w:bottom w:val="single" w:sz="4" w:space="0" w:color="000000"/>
            </w:tcBorders>
          </w:tcPr>
          <w:p>
            <w:pPr>
              <w:pStyle w:val="TableParagraph"/>
              <w:spacing w:before="71"/>
              <w:ind w:right="44"/>
              <w:rPr>
                <w:sz w:val="14"/>
              </w:rPr>
            </w:pPr>
            <w:r>
              <w:rPr>
                <w:sz w:val="14"/>
              </w:rPr>
              <w:t>(3</w:t>
            </w:r>
            <w:r>
              <w:rPr>
                <w:spacing w:val="-1"/>
                <w:sz w:val="14"/>
              </w:rPr>
              <w:t> </w:t>
            </w:r>
            <w:r>
              <w:rPr>
                <w:spacing w:val="-2"/>
                <w:sz w:val="14"/>
              </w:rPr>
              <w:t>cases)</w:t>
            </w:r>
          </w:p>
        </w:tc>
        <w:tc>
          <w:tcPr>
            <w:tcW w:w="582" w:type="dxa"/>
            <w:tcBorders>
              <w:top w:val="single" w:sz="4" w:space="0" w:color="000000"/>
              <w:bottom w:val="single" w:sz="4" w:space="0" w:color="000000"/>
            </w:tcBorders>
          </w:tcPr>
          <w:p>
            <w:pPr>
              <w:pStyle w:val="TableParagraph"/>
              <w:spacing w:before="71"/>
              <w:ind w:right="45"/>
              <w:rPr>
                <w:sz w:val="14"/>
              </w:rPr>
            </w:pPr>
            <w:r>
              <w:rPr>
                <w:sz w:val="14"/>
              </w:rPr>
              <w:t>(4</w:t>
            </w:r>
            <w:r>
              <w:rPr>
                <w:spacing w:val="-1"/>
                <w:sz w:val="14"/>
              </w:rPr>
              <w:t> </w:t>
            </w:r>
            <w:r>
              <w:rPr>
                <w:spacing w:val="-2"/>
                <w:sz w:val="14"/>
              </w:rPr>
              <w:t>cases)</w:t>
            </w:r>
          </w:p>
        </w:tc>
        <w:tc>
          <w:tcPr>
            <w:tcW w:w="583" w:type="dxa"/>
            <w:tcBorders>
              <w:top w:val="single" w:sz="4" w:space="0" w:color="000000"/>
              <w:bottom w:val="single" w:sz="4" w:space="0" w:color="000000"/>
            </w:tcBorders>
          </w:tcPr>
          <w:p>
            <w:pPr>
              <w:pStyle w:val="TableParagraph"/>
              <w:spacing w:before="71"/>
              <w:ind w:right="42"/>
              <w:rPr>
                <w:sz w:val="14"/>
              </w:rPr>
            </w:pPr>
            <w:r>
              <w:rPr>
                <w:sz w:val="14"/>
              </w:rPr>
              <w:t>(2</w:t>
            </w:r>
            <w:r>
              <w:rPr>
                <w:spacing w:val="-1"/>
                <w:sz w:val="14"/>
              </w:rPr>
              <w:t> </w:t>
            </w:r>
            <w:r>
              <w:rPr>
                <w:spacing w:val="-2"/>
                <w:sz w:val="14"/>
              </w:rPr>
              <w:t>cases)</w:t>
            </w:r>
          </w:p>
        </w:tc>
        <w:tc>
          <w:tcPr>
            <w:tcW w:w="583" w:type="dxa"/>
            <w:tcBorders>
              <w:top w:val="single" w:sz="4" w:space="0" w:color="000000"/>
              <w:bottom w:val="single" w:sz="4" w:space="0" w:color="000000"/>
            </w:tcBorders>
          </w:tcPr>
          <w:p>
            <w:pPr>
              <w:pStyle w:val="TableParagraph"/>
              <w:spacing w:before="71"/>
              <w:ind w:right="44"/>
              <w:rPr>
                <w:sz w:val="14"/>
              </w:rPr>
            </w:pPr>
            <w:r>
              <w:rPr>
                <w:sz w:val="14"/>
              </w:rPr>
              <w:t>(3</w:t>
            </w:r>
            <w:r>
              <w:rPr>
                <w:spacing w:val="-1"/>
                <w:sz w:val="14"/>
              </w:rPr>
              <w:t> </w:t>
            </w:r>
            <w:r>
              <w:rPr>
                <w:spacing w:val="-2"/>
                <w:sz w:val="14"/>
              </w:rPr>
              <w:t>cases)</w:t>
            </w:r>
          </w:p>
        </w:tc>
        <w:tc>
          <w:tcPr>
            <w:tcW w:w="585" w:type="dxa"/>
            <w:tcBorders>
              <w:top w:val="single" w:sz="4" w:space="0" w:color="000000"/>
              <w:bottom w:val="single" w:sz="4" w:space="0" w:color="000000"/>
            </w:tcBorders>
          </w:tcPr>
          <w:p>
            <w:pPr>
              <w:pStyle w:val="TableParagraph"/>
              <w:spacing w:before="71"/>
              <w:ind w:left="6" w:right="5"/>
              <w:jc w:val="center"/>
              <w:rPr>
                <w:sz w:val="14"/>
              </w:rPr>
            </w:pPr>
            <w:r>
              <w:rPr>
                <w:sz w:val="14"/>
              </w:rPr>
              <w:t>(3</w:t>
            </w:r>
            <w:r>
              <w:rPr>
                <w:spacing w:val="-1"/>
                <w:sz w:val="14"/>
              </w:rPr>
              <w:t> </w:t>
            </w:r>
            <w:r>
              <w:rPr>
                <w:spacing w:val="-2"/>
                <w:sz w:val="14"/>
              </w:rPr>
              <w:t>cases)</w:t>
            </w:r>
          </w:p>
        </w:tc>
        <w:tc>
          <w:tcPr>
            <w:tcW w:w="612" w:type="dxa"/>
            <w:tcBorders>
              <w:top w:val="single" w:sz="4" w:space="0" w:color="000000"/>
              <w:bottom w:val="single" w:sz="4" w:space="0" w:color="000000"/>
            </w:tcBorders>
          </w:tcPr>
          <w:p>
            <w:pPr>
              <w:pStyle w:val="TableParagraph"/>
              <w:spacing w:before="71"/>
              <w:ind w:right="70"/>
              <w:rPr>
                <w:sz w:val="14"/>
              </w:rPr>
            </w:pPr>
            <w:r>
              <w:rPr>
                <w:sz w:val="14"/>
              </w:rPr>
              <w:t>(2</w:t>
            </w:r>
            <w:r>
              <w:rPr>
                <w:spacing w:val="-1"/>
                <w:sz w:val="14"/>
              </w:rPr>
              <w:t> </w:t>
            </w:r>
            <w:r>
              <w:rPr>
                <w:spacing w:val="-2"/>
                <w:sz w:val="14"/>
              </w:rPr>
              <w:t>cases)</w:t>
            </w:r>
          </w:p>
        </w:tc>
        <w:tc>
          <w:tcPr>
            <w:tcW w:w="581" w:type="dxa"/>
            <w:tcBorders>
              <w:top w:val="single" w:sz="4" w:space="0" w:color="000000"/>
              <w:bottom w:val="single" w:sz="4" w:space="0" w:color="000000"/>
            </w:tcBorders>
          </w:tcPr>
          <w:p>
            <w:pPr>
              <w:pStyle w:val="TableParagraph"/>
              <w:spacing w:before="71"/>
              <w:ind w:left="25" w:right="17"/>
              <w:jc w:val="center"/>
              <w:rPr>
                <w:sz w:val="14"/>
              </w:rPr>
            </w:pPr>
            <w:r>
              <w:rPr>
                <w:sz w:val="14"/>
              </w:rPr>
              <w:t>(1</w:t>
            </w:r>
            <w:r>
              <w:rPr>
                <w:spacing w:val="-1"/>
                <w:sz w:val="14"/>
              </w:rPr>
              <w:t> </w:t>
            </w:r>
            <w:r>
              <w:rPr>
                <w:spacing w:val="-2"/>
                <w:sz w:val="14"/>
              </w:rPr>
              <w:t>case)</w:t>
            </w:r>
          </w:p>
        </w:tc>
        <w:tc>
          <w:tcPr>
            <w:tcW w:w="607" w:type="dxa"/>
            <w:tcBorders>
              <w:top w:val="single" w:sz="4" w:space="0" w:color="000000"/>
              <w:bottom w:val="single" w:sz="4" w:space="0" w:color="000000"/>
            </w:tcBorders>
          </w:tcPr>
          <w:p>
            <w:pPr>
              <w:pStyle w:val="TableParagraph"/>
              <w:jc w:val="left"/>
              <w:rPr>
                <w:sz w:val="12"/>
              </w:rPr>
            </w:pPr>
          </w:p>
        </w:tc>
        <w:tc>
          <w:tcPr>
            <w:tcW w:w="663" w:type="dxa"/>
            <w:tcBorders>
              <w:top w:val="single" w:sz="4" w:space="0" w:color="000000"/>
              <w:bottom w:val="single" w:sz="4" w:space="0" w:color="000000"/>
            </w:tcBorders>
          </w:tcPr>
          <w:p>
            <w:pPr>
              <w:pStyle w:val="TableParagraph"/>
              <w:jc w:val="left"/>
              <w:rPr>
                <w:sz w:val="12"/>
              </w:rPr>
            </w:pPr>
          </w:p>
        </w:tc>
        <w:tc>
          <w:tcPr>
            <w:tcW w:w="733" w:type="dxa"/>
            <w:tcBorders>
              <w:top w:val="single" w:sz="4" w:space="0" w:color="000000"/>
              <w:bottom w:val="single" w:sz="4" w:space="0" w:color="000000"/>
            </w:tcBorders>
          </w:tcPr>
          <w:p>
            <w:pPr>
              <w:pStyle w:val="TableParagraph"/>
              <w:jc w:val="left"/>
              <w:rPr>
                <w:sz w:val="12"/>
              </w:rPr>
            </w:pPr>
          </w:p>
        </w:tc>
        <w:tc>
          <w:tcPr>
            <w:tcW w:w="631" w:type="dxa"/>
            <w:tcBorders>
              <w:top w:val="single" w:sz="4" w:space="0" w:color="000000"/>
              <w:bottom w:val="single" w:sz="4" w:space="0" w:color="000000"/>
            </w:tcBorders>
          </w:tcPr>
          <w:p>
            <w:pPr>
              <w:pStyle w:val="TableParagraph"/>
              <w:jc w:val="left"/>
              <w:rPr>
                <w:sz w:val="12"/>
              </w:rPr>
            </w:pPr>
          </w:p>
        </w:tc>
        <w:tc>
          <w:tcPr>
            <w:tcW w:w="720" w:type="dxa"/>
            <w:tcBorders>
              <w:top w:val="single" w:sz="4" w:space="0" w:color="000000"/>
              <w:bottom w:val="single" w:sz="4" w:space="0" w:color="000000"/>
            </w:tcBorders>
          </w:tcPr>
          <w:p>
            <w:pPr>
              <w:pStyle w:val="TableParagraph"/>
              <w:jc w:val="left"/>
              <w:rPr>
                <w:sz w:val="12"/>
              </w:rPr>
            </w:pPr>
          </w:p>
        </w:tc>
        <w:tc>
          <w:tcPr>
            <w:tcW w:w="637" w:type="dxa"/>
            <w:tcBorders>
              <w:top w:val="single" w:sz="4" w:space="0" w:color="000000"/>
              <w:bottom w:val="single" w:sz="4" w:space="0" w:color="000000"/>
            </w:tcBorders>
          </w:tcPr>
          <w:p>
            <w:pPr>
              <w:pStyle w:val="TableParagraph"/>
              <w:jc w:val="left"/>
              <w:rPr>
                <w:sz w:val="12"/>
              </w:rPr>
            </w:pPr>
          </w:p>
        </w:tc>
        <w:tc>
          <w:tcPr>
            <w:tcW w:w="518" w:type="dxa"/>
            <w:tcBorders>
              <w:top w:val="single" w:sz="4" w:space="0" w:color="000000"/>
              <w:bottom w:val="single" w:sz="4" w:space="0" w:color="000000"/>
            </w:tcBorders>
          </w:tcPr>
          <w:p>
            <w:pPr>
              <w:pStyle w:val="TableParagraph"/>
              <w:jc w:val="left"/>
              <w:rPr>
                <w:sz w:val="12"/>
              </w:rPr>
            </w:pPr>
          </w:p>
        </w:tc>
      </w:tr>
      <w:tr>
        <w:trPr>
          <w:trHeight w:val="297" w:hRule="atLeast"/>
        </w:trPr>
        <w:tc>
          <w:tcPr>
            <w:tcW w:w="1037" w:type="dxa"/>
            <w:tcBorders>
              <w:top w:val="single" w:sz="4" w:space="0" w:color="000000"/>
            </w:tcBorders>
          </w:tcPr>
          <w:p>
            <w:pPr>
              <w:pStyle w:val="TableParagraph"/>
              <w:spacing w:before="70"/>
              <w:ind w:left="28"/>
              <w:jc w:val="left"/>
              <w:rPr>
                <w:sz w:val="14"/>
              </w:rPr>
            </w:pPr>
            <w:r>
              <w:rPr>
                <w:sz w:val="14"/>
              </w:rPr>
              <w:t>2019</w:t>
            </w:r>
            <w:r>
              <w:rPr>
                <w:spacing w:val="-2"/>
                <w:sz w:val="14"/>
              </w:rPr>
              <w:t> Approved</w:t>
            </w:r>
            <w:r>
              <w:rPr>
                <w:spacing w:val="-2"/>
                <w:sz w:val="14"/>
                <w:vertAlign w:val="superscript"/>
              </w:rPr>
              <w:t>(2)</w:t>
            </w:r>
          </w:p>
        </w:tc>
        <w:tc>
          <w:tcPr>
            <w:tcW w:w="798" w:type="dxa"/>
            <w:tcBorders>
              <w:top w:val="single" w:sz="4" w:space="0" w:color="000000"/>
              <w:bottom w:val="single" w:sz="4" w:space="0" w:color="000000"/>
            </w:tcBorders>
          </w:tcPr>
          <w:p>
            <w:pPr>
              <w:pStyle w:val="TableParagraph"/>
              <w:spacing w:before="70"/>
              <w:ind w:right="40"/>
              <w:rPr>
                <w:sz w:val="14"/>
              </w:rPr>
            </w:pPr>
            <w:r>
              <w:rPr>
                <w:spacing w:val="-2"/>
                <w:sz w:val="14"/>
              </w:rPr>
              <w:t>36,276.0</w:t>
            </w:r>
          </w:p>
        </w:tc>
        <w:tc>
          <w:tcPr>
            <w:tcW w:w="581" w:type="dxa"/>
            <w:tcBorders>
              <w:top w:val="single" w:sz="4" w:space="0" w:color="000000"/>
              <w:bottom w:val="single" w:sz="4" w:space="0" w:color="000000"/>
            </w:tcBorders>
          </w:tcPr>
          <w:p>
            <w:pPr>
              <w:pStyle w:val="TableParagraph"/>
              <w:spacing w:before="70"/>
              <w:ind w:right="40"/>
              <w:rPr>
                <w:sz w:val="14"/>
              </w:rPr>
            </w:pPr>
            <w:r>
              <w:rPr>
                <w:spacing w:val="-2"/>
                <w:sz w:val="14"/>
              </w:rPr>
              <w:t>2,681.1</w:t>
            </w:r>
          </w:p>
        </w:tc>
        <w:tc>
          <w:tcPr>
            <w:tcW w:w="581" w:type="dxa"/>
            <w:tcBorders>
              <w:top w:val="single" w:sz="4" w:space="0" w:color="000000"/>
              <w:bottom w:val="single" w:sz="4" w:space="0" w:color="000000"/>
            </w:tcBorders>
          </w:tcPr>
          <w:p>
            <w:pPr>
              <w:pStyle w:val="TableParagraph"/>
              <w:spacing w:before="70"/>
              <w:ind w:right="40"/>
              <w:rPr>
                <w:sz w:val="14"/>
              </w:rPr>
            </w:pPr>
            <w:r>
              <w:rPr>
                <w:spacing w:val="-2"/>
                <w:sz w:val="14"/>
              </w:rPr>
              <w:t>1,869.1</w:t>
            </w:r>
          </w:p>
        </w:tc>
        <w:tc>
          <w:tcPr>
            <w:tcW w:w="581" w:type="dxa"/>
            <w:tcBorders>
              <w:top w:val="single" w:sz="4" w:space="0" w:color="000000"/>
              <w:bottom w:val="single" w:sz="4" w:space="0" w:color="000000"/>
            </w:tcBorders>
          </w:tcPr>
          <w:p>
            <w:pPr>
              <w:pStyle w:val="TableParagraph"/>
              <w:spacing w:before="70"/>
              <w:ind w:right="40"/>
              <w:rPr>
                <w:sz w:val="14"/>
              </w:rPr>
            </w:pPr>
            <w:r>
              <w:rPr>
                <w:spacing w:val="-2"/>
                <w:sz w:val="14"/>
              </w:rPr>
              <w:t>1,364.0</w:t>
            </w:r>
          </w:p>
        </w:tc>
        <w:tc>
          <w:tcPr>
            <w:tcW w:w="582" w:type="dxa"/>
            <w:tcBorders>
              <w:top w:val="single" w:sz="4" w:space="0" w:color="000000"/>
              <w:bottom w:val="single" w:sz="4" w:space="0" w:color="000000"/>
            </w:tcBorders>
          </w:tcPr>
          <w:p>
            <w:pPr>
              <w:pStyle w:val="TableParagraph"/>
              <w:spacing w:before="70"/>
              <w:ind w:right="41"/>
              <w:rPr>
                <w:sz w:val="14"/>
              </w:rPr>
            </w:pPr>
            <w:r>
              <w:rPr>
                <w:spacing w:val="-2"/>
                <w:sz w:val="14"/>
              </w:rPr>
              <w:t>7,425.7</w:t>
            </w:r>
          </w:p>
        </w:tc>
        <w:tc>
          <w:tcPr>
            <w:tcW w:w="583" w:type="dxa"/>
            <w:tcBorders>
              <w:top w:val="single" w:sz="4" w:space="0" w:color="000000"/>
              <w:bottom w:val="single" w:sz="4" w:space="0" w:color="000000"/>
            </w:tcBorders>
          </w:tcPr>
          <w:p>
            <w:pPr>
              <w:pStyle w:val="TableParagraph"/>
              <w:spacing w:before="70"/>
              <w:ind w:right="37"/>
              <w:rPr>
                <w:sz w:val="14"/>
              </w:rPr>
            </w:pPr>
            <w:r>
              <w:rPr>
                <w:spacing w:val="-2"/>
                <w:sz w:val="14"/>
              </w:rPr>
              <w:t>268.2</w:t>
            </w:r>
          </w:p>
        </w:tc>
        <w:tc>
          <w:tcPr>
            <w:tcW w:w="583" w:type="dxa"/>
            <w:tcBorders>
              <w:top w:val="single" w:sz="4" w:space="0" w:color="000000"/>
              <w:bottom w:val="single" w:sz="4" w:space="0" w:color="000000"/>
            </w:tcBorders>
          </w:tcPr>
          <w:p>
            <w:pPr>
              <w:pStyle w:val="TableParagraph"/>
              <w:spacing w:before="70"/>
              <w:ind w:right="40"/>
              <w:rPr>
                <w:sz w:val="14"/>
              </w:rPr>
            </w:pPr>
            <w:r>
              <w:rPr>
                <w:spacing w:val="-2"/>
                <w:sz w:val="14"/>
              </w:rPr>
              <w:t>2,286.9</w:t>
            </w:r>
          </w:p>
        </w:tc>
        <w:tc>
          <w:tcPr>
            <w:tcW w:w="585" w:type="dxa"/>
            <w:tcBorders>
              <w:top w:val="single" w:sz="4" w:space="0" w:color="000000"/>
              <w:bottom w:val="single" w:sz="4" w:space="0" w:color="000000"/>
            </w:tcBorders>
          </w:tcPr>
          <w:p>
            <w:pPr>
              <w:pStyle w:val="TableParagraph"/>
              <w:spacing w:before="70"/>
              <w:ind w:left="90" w:right="7"/>
              <w:jc w:val="center"/>
              <w:rPr>
                <w:sz w:val="14"/>
              </w:rPr>
            </w:pPr>
            <w:r>
              <w:rPr>
                <w:spacing w:val="-2"/>
                <w:sz w:val="14"/>
              </w:rPr>
              <w:t>5,876.8</w:t>
            </w:r>
          </w:p>
        </w:tc>
        <w:tc>
          <w:tcPr>
            <w:tcW w:w="612" w:type="dxa"/>
            <w:tcBorders>
              <w:top w:val="single" w:sz="4" w:space="0" w:color="000000"/>
              <w:bottom w:val="single" w:sz="4" w:space="0" w:color="000000"/>
            </w:tcBorders>
          </w:tcPr>
          <w:p>
            <w:pPr>
              <w:pStyle w:val="TableParagraph"/>
              <w:spacing w:before="70"/>
              <w:ind w:right="65"/>
              <w:rPr>
                <w:sz w:val="14"/>
              </w:rPr>
            </w:pPr>
            <w:r>
              <w:rPr>
                <w:spacing w:val="-2"/>
                <w:sz w:val="14"/>
              </w:rPr>
              <w:t>3,316.0</w:t>
            </w:r>
          </w:p>
        </w:tc>
        <w:tc>
          <w:tcPr>
            <w:tcW w:w="581" w:type="dxa"/>
            <w:tcBorders>
              <w:top w:val="single" w:sz="4" w:space="0" w:color="000000"/>
              <w:bottom w:val="single" w:sz="4" w:space="0" w:color="000000"/>
            </w:tcBorders>
          </w:tcPr>
          <w:p>
            <w:pPr>
              <w:pStyle w:val="TableParagraph"/>
              <w:spacing w:before="70"/>
              <w:ind w:left="43" w:right="17"/>
              <w:jc w:val="center"/>
              <w:rPr>
                <w:sz w:val="14"/>
              </w:rPr>
            </w:pPr>
            <w:r>
              <w:rPr>
                <w:spacing w:val="-2"/>
                <w:sz w:val="14"/>
              </w:rPr>
              <w:t>3,614.5</w:t>
            </w:r>
          </w:p>
        </w:tc>
        <w:tc>
          <w:tcPr>
            <w:tcW w:w="607" w:type="dxa"/>
            <w:tcBorders>
              <w:top w:val="single" w:sz="4" w:space="0" w:color="000000"/>
              <w:bottom w:val="single" w:sz="4" w:space="0" w:color="000000"/>
            </w:tcBorders>
          </w:tcPr>
          <w:p>
            <w:pPr>
              <w:pStyle w:val="TableParagraph"/>
              <w:spacing w:before="70"/>
              <w:ind w:right="86"/>
              <w:rPr>
                <w:sz w:val="14"/>
              </w:rPr>
            </w:pPr>
            <w:r>
              <w:rPr>
                <w:spacing w:val="-2"/>
                <w:sz w:val="14"/>
              </w:rPr>
              <w:t>2,159.8</w:t>
            </w:r>
          </w:p>
        </w:tc>
        <w:tc>
          <w:tcPr>
            <w:tcW w:w="663" w:type="dxa"/>
            <w:tcBorders>
              <w:top w:val="single" w:sz="4" w:space="0" w:color="000000"/>
              <w:bottom w:val="single" w:sz="4" w:space="0" w:color="000000"/>
            </w:tcBorders>
          </w:tcPr>
          <w:p>
            <w:pPr>
              <w:pStyle w:val="TableParagraph"/>
              <w:spacing w:before="70"/>
              <w:ind w:right="95"/>
              <w:rPr>
                <w:sz w:val="14"/>
              </w:rPr>
            </w:pPr>
            <w:r>
              <w:rPr>
                <w:w w:val="99"/>
                <w:sz w:val="14"/>
              </w:rPr>
              <w:t>-</w:t>
            </w:r>
          </w:p>
        </w:tc>
        <w:tc>
          <w:tcPr>
            <w:tcW w:w="733" w:type="dxa"/>
            <w:tcBorders>
              <w:top w:val="single" w:sz="4" w:space="0" w:color="000000"/>
              <w:bottom w:val="single" w:sz="4" w:space="0" w:color="000000"/>
            </w:tcBorders>
          </w:tcPr>
          <w:p>
            <w:pPr>
              <w:pStyle w:val="TableParagraph"/>
              <w:spacing w:before="70"/>
              <w:ind w:right="40"/>
              <w:rPr>
                <w:sz w:val="14"/>
              </w:rPr>
            </w:pPr>
            <w:r>
              <w:rPr>
                <w:w w:val="99"/>
                <w:sz w:val="14"/>
              </w:rPr>
              <w:t>-</w:t>
            </w:r>
          </w:p>
        </w:tc>
        <w:tc>
          <w:tcPr>
            <w:tcW w:w="631" w:type="dxa"/>
            <w:tcBorders>
              <w:top w:val="single" w:sz="4" w:space="0" w:color="000000"/>
              <w:bottom w:val="single" w:sz="4" w:space="0" w:color="000000"/>
            </w:tcBorders>
          </w:tcPr>
          <w:p>
            <w:pPr>
              <w:pStyle w:val="TableParagraph"/>
              <w:spacing w:before="70"/>
              <w:ind w:right="76"/>
              <w:rPr>
                <w:sz w:val="14"/>
              </w:rPr>
            </w:pPr>
            <w:r>
              <w:rPr>
                <w:w w:val="99"/>
                <w:sz w:val="14"/>
              </w:rPr>
              <w:t>-</w:t>
            </w:r>
          </w:p>
        </w:tc>
        <w:tc>
          <w:tcPr>
            <w:tcW w:w="720" w:type="dxa"/>
            <w:tcBorders>
              <w:top w:val="single" w:sz="4" w:space="0" w:color="000000"/>
              <w:bottom w:val="single" w:sz="4" w:space="0" w:color="000000"/>
            </w:tcBorders>
          </w:tcPr>
          <w:p>
            <w:pPr>
              <w:pStyle w:val="TableParagraph"/>
              <w:spacing w:before="70"/>
              <w:ind w:right="75"/>
              <w:rPr>
                <w:sz w:val="14"/>
              </w:rPr>
            </w:pPr>
            <w:r>
              <w:rPr>
                <w:w w:val="99"/>
                <w:sz w:val="14"/>
              </w:rPr>
              <w:t>-</w:t>
            </w:r>
          </w:p>
        </w:tc>
        <w:tc>
          <w:tcPr>
            <w:tcW w:w="637" w:type="dxa"/>
            <w:tcBorders>
              <w:top w:val="single" w:sz="4" w:space="0" w:color="000000"/>
              <w:bottom w:val="single" w:sz="4" w:space="0" w:color="000000"/>
            </w:tcBorders>
          </w:tcPr>
          <w:p>
            <w:pPr>
              <w:pStyle w:val="TableParagraph"/>
              <w:spacing w:before="70"/>
              <w:ind w:right="40"/>
              <w:rPr>
                <w:sz w:val="14"/>
              </w:rPr>
            </w:pPr>
            <w:r>
              <w:rPr>
                <w:w w:val="99"/>
                <w:sz w:val="14"/>
              </w:rPr>
              <w:t>-</w:t>
            </w:r>
          </w:p>
        </w:tc>
        <w:tc>
          <w:tcPr>
            <w:tcW w:w="518" w:type="dxa"/>
            <w:tcBorders>
              <w:top w:val="single" w:sz="4" w:space="0" w:color="000000"/>
              <w:bottom w:val="single" w:sz="4" w:space="0" w:color="000000"/>
            </w:tcBorders>
          </w:tcPr>
          <w:p>
            <w:pPr>
              <w:pStyle w:val="TableParagraph"/>
              <w:spacing w:before="70"/>
              <w:ind w:right="11"/>
              <w:rPr>
                <w:sz w:val="14"/>
              </w:rPr>
            </w:pPr>
            <w:r>
              <w:rPr>
                <w:w w:val="99"/>
                <w:sz w:val="14"/>
              </w:rPr>
              <w:t>-</w:t>
            </w:r>
          </w:p>
        </w:tc>
      </w:tr>
      <w:tr>
        <w:trPr>
          <w:trHeight w:val="301" w:hRule="atLeast"/>
        </w:trPr>
        <w:tc>
          <w:tcPr>
            <w:tcW w:w="1037" w:type="dxa"/>
            <w:tcBorders>
              <w:bottom w:val="single" w:sz="4" w:space="0" w:color="000000"/>
            </w:tcBorders>
          </w:tcPr>
          <w:p>
            <w:pPr>
              <w:pStyle w:val="TableParagraph"/>
              <w:jc w:val="left"/>
              <w:rPr>
                <w:sz w:val="12"/>
              </w:rPr>
            </w:pPr>
          </w:p>
        </w:tc>
        <w:tc>
          <w:tcPr>
            <w:tcW w:w="798" w:type="dxa"/>
            <w:tcBorders>
              <w:top w:val="single" w:sz="4" w:space="0" w:color="000000"/>
              <w:bottom w:val="single" w:sz="4" w:space="0" w:color="000000"/>
            </w:tcBorders>
          </w:tcPr>
          <w:p>
            <w:pPr>
              <w:pStyle w:val="TableParagraph"/>
              <w:spacing w:before="70"/>
              <w:ind w:right="39"/>
              <w:rPr>
                <w:sz w:val="14"/>
              </w:rPr>
            </w:pPr>
            <w:r>
              <w:rPr>
                <w:sz w:val="14"/>
              </w:rPr>
              <w:t>(23</w:t>
            </w:r>
            <w:r>
              <w:rPr>
                <w:spacing w:val="1"/>
                <w:sz w:val="14"/>
              </w:rPr>
              <w:t> </w:t>
            </w:r>
            <w:r>
              <w:rPr>
                <w:spacing w:val="-2"/>
                <w:sz w:val="14"/>
              </w:rPr>
              <w:t>cases)</w:t>
            </w:r>
          </w:p>
        </w:tc>
        <w:tc>
          <w:tcPr>
            <w:tcW w:w="581" w:type="dxa"/>
            <w:tcBorders>
              <w:top w:val="single" w:sz="4" w:space="0" w:color="000000"/>
              <w:bottom w:val="single" w:sz="4" w:space="0" w:color="000000"/>
            </w:tcBorders>
          </w:tcPr>
          <w:p>
            <w:pPr>
              <w:pStyle w:val="TableParagraph"/>
              <w:spacing w:before="70"/>
              <w:ind w:right="44"/>
              <w:rPr>
                <w:sz w:val="14"/>
              </w:rPr>
            </w:pPr>
            <w:r>
              <w:rPr>
                <w:sz w:val="14"/>
              </w:rPr>
              <w:t>(2</w:t>
            </w:r>
            <w:r>
              <w:rPr>
                <w:spacing w:val="-1"/>
                <w:sz w:val="14"/>
              </w:rPr>
              <w:t> </w:t>
            </w:r>
            <w:r>
              <w:rPr>
                <w:spacing w:val="-2"/>
                <w:sz w:val="14"/>
              </w:rPr>
              <w:t>cases)</w:t>
            </w:r>
          </w:p>
        </w:tc>
        <w:tc>
          <w:tcPr>
            <w:tcW w:w="581" w:type="dxa"/>
            <w:tcBorders>
              <w:top w:val="single" w:sz="4" w:space="0" w:color="000000"/>
              <w:bottom w:val="single" w:sz="4" w:space="0" w:color="000000"/>
            </w:tcBorders>
          </w:tcPr>
          <w:p>
            <w:pPr>
              <w:pStyle w:val="TableParagraph"/>
              <w:spacing w:before="70"/>
              <w:ind w:right="44"/>
              <w:rPr>
                <w:sz w:val="14"/>
              </w:rPr>
            </w:pPr>
            <w:r>
              <w:rPr>
                <w:sz w:val="14"/>
              </w:rPr>
              <w:t>(2</w:t>
            </w:r>
            <w:r>
              <w:rPr>
                <w:spacing w:val="-1"/>
                <w:sz w:val="14"/>
              </w:rPr>
              <w:t> </w:t>
            </w:r>
            <w:r>
              <w:rPr>
                <w:spacing w:val="-2"/>
                <w:sz w:val="14"/>
              </w:rPr>
              <w:t>cases)</w:t>
            </w:r>
          </w:p>
        </w:tc>
        <w:tc>
          <w:tcPr>
            <w:tcW w:w="581" w:type="dxa"/>
            <w:tcBorders>
              <w:top w:val="single" w:sz="4" w:space="0" w:color="000000"/>
              <w:bottom w:val="single" w:sz="4" w:space="0" w:color="000000"/>
            </w:tcBorders>
          </w:tcPr>
          <w:p>
            <w:pPr>
              <w:pStyle w:val="TableParagraph"/>
              <w:spacing w:before="70"/>
              <w:ind w:right="44"/>
              <w:rPr>
                <w:sz w:val="14"/>
              </w:rPr>
            </w:pPr>
            <w:r>
              <w:rPr>
                <w:sz w:val="14"/>
              </w:rPr>
              <w:t>(3</w:t>
            </w:r>
            <w:r>
              <w:rPr>
                <w:spacing w:val="-1"/>
                <w:sz w:val="14"/>
              </w:rPr>
              <w:t> </w:t>
            </w:r>
            <w:r>
              <w:rPr>
                <w:spacing w:val="-2"/>
                <w:sz w:val="14"/>
              </w:rPr>
              <w:t>cases)</w:t>
            </w:r>
          </w:p>
        </w:tc>
        <w:tc>
          <w:tcPr>
            <w:tcW w:w="582" w:type="dxa"/>
            <w:tcBorders>
              <w:top w:val="single" w:sz="4" w:space="0" w:color="000000"/>
              <w:bottom w:val="single" w:sz="4" w:space="0" w:color="000000"/>
            </w:tcBorders>
          </w:tcPr>
          <w:p>
            <w:pPr>
              <w:pStyle w:val="TableParagraph"/>
              <w:spacing w:before="70"/>
              <w:ind w:right="45"/>
              <w:rPr>
                <w:sz w:val="14"/>
              </w:rPr>
            </w:pPr>
            <w:r>
              <w:rPr>
                <w:sz w:val="14"/>
              </w:rPr>
              <w:t>(4</w:t>
            </w:r>
            <w:r>
              <w:rPr>
                <w:spacing w:val="-1"/>
                <w:sz w:val="14"/>
              </w:rPr>
              <w:t> </w:t>
            </w:r>
            <w:r>
              <w:rPr>
                <w:spacing w:val="-2"/>
                <w:sz w:val="14"/>
              </w:rPr>
              <w:t>cases)</w:t>
            </w:r>
          </w:p>
        </w:tc>
        <w:tc>
          <w:tcPr>
            <w:tcW w:w="583" w:type="dxa"/>
            <w:tcBorders>
              <w:top w:val="single" w:sz="4" w:space="0" w:color="000000"/>
              <w:bottom w:val="single" w:sz="4" w:space="0" w:color="000000"/>
            </w:tcBorders>
          </w:tcPr>
          <w:p>
            <w:pPr>
              <w:pStyle w:val="TableParagraph"/>
              <w:spacing w:before="70"/>
              <w:ind w:right="42"/>
              <w:rPr>
                <w:sz w:val="14"/>
              </w:rPr>
            </w:pPr>
            <w:r>
              <w:rPr>
                <w:sz w:val="14"/>
              </w:rPr>
              <w:t>(2</w:t>
            </w:r>
            <w:r>
              <w:rPr>
                <w:spacing w:val="-1"/>
                <w:sz w:val="14"/>
              </w:rPr>
              <w:t> </w:t>
            </w:r>
            <w:r>
              <w:rPr>
                <w:spacing w:val="-2"/>
                <w:sz w:val="14"/>
              </w:rPr>
              <w:t>cases)</w:t>
            </w:r>
          </w:p>
        </w:tc>
        <w:tc>
          <w:tcPr>
            <w:tcW w:w="583" w:type="dxa"/>
            <w:tcBorders>
              <w:top w:val="single" w:sz="4" w:space="0" w:color="000000"/>
              <w:bottom w:val="single" w:sz="4" w:space="0" w:color="000000"/>
            </w:tcBorders>
          </w:tcPr>
          <w:p>
            <w:pPr>
              <w:pStyle w:val="TableParagraph"/>
              <w:spacing w:before="70"/>
              <w:ind w:right="44"/>
              <w:rPr>
                <w:sz w:val="14"/>
              </w:rPr>
            </w:pPr>
            <w:r>
              <w:rPr>
                <w:sz w:val="14"/>
              </w:rPr>
              <w:t>(3</w:t>
            </w:r>
            <w:r>
              <w:rPr>
                <w:spacing w:val="-1"/>
                <w:sz w:val="14"/>
              </w:rPr>
              <w:t> </w:t>
            </w:r>
            <w:r>
              <w:rPr>
                <w:spacing w:val="-2"/>
                <w:sz w:val="14"/>
              </w:rPr>
              <w:t>cases)</w:t>
            </w:r>
          </w:p>
        </w:tc>
        <w:tc>
          <w:tcPr>
            <w:tcW w:w="585" w:type="dxa"/>
            <w:tcBorders>
              <w:top w:val="single" w:sz="4" w:space="0" w:color="000000"/>
              <w:bottom w:val="single" w:sz="4" w:space="0" w:color="000000"/>
            </w:tcBorders>
          </w:tcPr>
          <w:p>
            <w:pPr>
              <w:pStyle w:val="TableParagraph"/>
              <w:spacing w:before="70"/>
              <w:ind w:left="6" w:right="5"/>
              <w:jc w:val="center"/>
              <w:rPr>
                <w:sz w:val="14"/>
              </w:rPr>
            </w:pPr>
            <w:r>
              <w:rPr>
                <w:sz w:val="14"/>
              </w:rPr>
              <w:t>(3</w:t>
            </w:r>
            <w:r>
              <w:rPr>
                <w:spacing w:val="-1"/>
                <w:sz w:val="14"/>
              </w:rPr>
              <w:t> </w:t>
            </w:r>
            <w:r>
              <w:rPr>
                <w:spacing w:val="-2"/>
                <w:sz w:val="14"/>
              </w:rPr>
              <w:t>cases)</w:t>
            </w:r>
          </w:p>
        </w:tc>
        <w:tc>
          <w:tcPr>
            <w:tcW w:w="612" w:type="dxa"/>
            <w:tcBorders>
              <w:top w:val="single" w:sz="4" w:space="0" w:color="000000"/>
              <w:bottom w:val="single" w:sz="4" w:space="0" w:color="000000"/>
            </w:tcBorders>
          </w:tcPr>
          <w:p>
            <w:pPr>
              <w:pStyle w:val="TableParagraph"/>
              <w:spacing w:before="70"/>
              <w:ind w:right="70"/>
              <w:rPr>
                <w:sz w:val="14"/>
              </w:rPr>
            </w:pPr>
            <w:r>
              <w:rPr>
                <w:sz w:val="14"/>
              </w:rPr>
              <w:t>(2</w:t>
            </w:r>
            <w:r>
              <w:rPr>
                <w:spacing w:val="-1"/>
                <w:sz w:val="14"/>
              </w:rPr>
              <w:t> </w:t>
            </w:r>
            <w:r>
              <w:rPr>
                <w:spacing w:val="-2"/>
                <w:sz w:val="14"/>
              </w:rPr>
              <w:t>cases)</w:t>
            </w:r>
          </w:p>
        </w:tc>
        <w:tc>
          <w:tcPr>
            <w:tcW w:w="581" w:type="dxa"/>
            <w:tcBorders>
              <w:top w:val="single" w:sz="4" w:space="0" w:color="000000"/>
              <w:bottom w:val="single" w:sz="4" w:space="0" w:color="000000"/>
            </w:tcBorders>
          </w:tcPr>
          <w:p>
            <w:pPr>
              <w:pStyle w:val="TableParagraph"/>
              <w:spacing w:before="70"/>
              <w:ind w:left="25" w:right="17"/>
              <w:jc w:val="center"/>
              <w:rPr>
                <w:sz w:val="14"/>
              </w:rPr>
            </w:pPr>
            <w:r>
              <w:rPr>
                <w:sz w:val="14"/>
              </w:rPr>
              <w:t>(1</w:t>
            </w:r>
            <w:r>
              <w:rPr>
                <w:spacing w:val="-1"/>
                <w:sz w:val="14"/>
              </w:rPr>
              <w:t> </w:t>
            </w:r>
            <w:r>
              <w:rPr>
                <w:spacing w:val="-2"/>
                <w:sz w:val="14"/>
              </w:rPr>
              <w:t>case)</w:t>
            </w:r>
          </w:p>
        </w:tc>
        <w:tc>
          <w:tcPr>
            <w:tcW w:w="607" w:type="dxa"/>
            <w:tcBorders>
              <w:top w:val="single" w:sz="4" w:space="0" w:color="000000"/>
              <w:bottom w:val="single" w:sz="4" w:space="0" w:color="000000"/>
            </w:tcBorders>
          </w:tcPr>
          <w:p>
            <w:pPr>
              <w:pStyle w:val="TableParagraph"/>
              <w:spacing w:before="70"/>
              <w:ind w:right="86"/>
              <w:rPr>
                <w:sz w:val="14"/>
              </w:rPr>
            </w:pPr>
            <w:r>
              <w:rPr>
                <w:sz w:val="14"/>
              </w:rPr>
              <w:t>(1</w:t>
            </w:r>
            <w:r>
              <w:rPr>
                <w:spacing w:val="-1"/>
                <w:sz w:val="14"/>
              </w:rPr>
              <w:t> </w:t>
            </w:r>
            <w:r>
              <w:rPr>
                <w:spacing w:val="-2"/>
                <w:sz w:val="14"/>
              </w:rPr>
              <w:t>case)</w:t>
            </w:r>
          </w:p>
        </w:tc>
        <w:tc>
          <w:tcPr>
            <w:tcW w:w="663" w:type="dxa"/>
            <w:tcBorders>
              <w:top w:val="single" w:sz="4" w:space="0" w:color="000000"/>
              <w:bottom w:val="single" w:sz="4" w:space="0" w:color="000000"/>
            </w:tcBorders>
          </w:tcPr>
          <w:p>
            <w:pPr>
              <w:pStyle w:val="TableParagraph"/>
              <w:jc w:val="left"/>
              <w:rPr>
                <w:sz w:val="12"/>
              </w:rPr>
            </w:pPr>
          </w:p>
        </w:tc>
        <w:tc>
          <w:tcPr>
            <w:tcW w:w="733" w:type="dxa"/>
            <w:tcBorders>
              <w:top w:val="single" w:sz="4" w:space="0" w:color="000000"/>
              <w:bottom w:val="single" w:sz="4" w:space="0" w:color="000000"/>
            </w:tcBorders>
          </w:tcPr>
          <w:p>
            <w:pPr>
              <w:pStyle w:val="TableParagraph"/>
              <w:jc w:val="left"/>
              <w:rPr>
                <w:sz w:val="12"/>
              </w:rPr>
            </w:pPr>
          </w:p>
        </w:tc>
        <w:tc>
          <w:tcPr>
            <w:tcW w:w="631" w:type="dxa"/>
            <w:tcBorders>
              <w:top w:val="single" w:sz="4" w:space="0" w:color="000000"/>
              <w:bottom w:val="single" w:sz="4" w:space="0" w:color="000000"/>
            </w:tcBorders>
          </w:tcPr>
          <w:p>
            <w:pPr>
              <w:pStyle w:val="TableParagraph"/>
              <w:jc w:val="left"/>
              <w:rPr>
                <w:sz w:val="12"/>
              </w:rPr>
            </w:pPr>
          </w:p>
        </w:tc>
        <w:tc>
          <w:tcPr>
            <w:tcW w:w="720" w:type="dxa"/>
            <w:tcBorders>
              <w:top w:val="single" w:sz="4" w:space="0" w:color="000000"/>
              <w:bottom w:val="single" w:sz="4" w:space="0" w:color="000000"/>
            </w:tcBorders>
          </w:tcPr>
          <w:p>
            <w:pPr>
              <w:pStyle w:val="TableParagraph"/>
              <w:jc w:val="left"/>
              <w:rPr>
                <w:sz w:val="12"/>
              </w:rPr>
            </w:pPr>
          </w:p>
        </w:tc>
        <w:tc>
          <w:tcPr>
            <w:tcW w:w="637" w:type="dxa"/>
            <w:tcBorders>
              <w:top w:val="single" w:sz="4" w:space="0" w:color="000000"/>
              <w:bottom w:val="single" w:sz="4" w:space="0" w:color="000000"/>
            </w:tcBorders>
          </w:tcPr>
          <w:p>
            <w:pPr>
              <w:pStyle w:val="TableParagraph"/>
              <w:jc w:val="left"/>
              <w:rPr>
                <w:sz w:val="12"/>
              </w:rPr>
            </w:pPr>
          </w:p>
        </w:tc>
        <w:tc>
          <w:tcPr>
            <w:tcW w:w="518" w:type="dxa"/>
            <w:tcBorders>
              <w:top w:val="single" w:sz="4" w:space="0" w:color="000000"/>
              <w:bottom w:val="single" w:sz="4" w:space="0" w:color="000000"/>
            </w:tcBorders>
          </w:tcPr>
          <w:p>
            <w:pPr>
              <w:pStyle w:val="TableParagraph"/>
              <w:jc w:val="left"/>
              <w:rPr>
                <w:sz w:val="12"/>
              </w:rPr>
            </w:pPr>
          </w:p>
        </w:tc>
      </w:tr>
      <w:tr>
        <w:trPr>
          <w:trHeight w:val="297" w:hRule="atLeast"/>
        </w:trPr>
        <w:tc>
          <w:tcPr>
            <w:tcW w:w="1037" w:type="dxa"/>
            <w:tcBorders>
              <w:top w:val="single" w:sz="4" w:space="0" w:color="000000"/>
            </w:tcBorders>
          </w:tcPr>
          <w:p>
            <w:pPr>
              <w:pStyle w:val="TableParagraph"/>
              <w:spacing w:before="70"/>
              <w:ind w:left="28"/>
              <w:jc w:val="left"/>
              <w:rPr>
                <w:sz w:val="14"/>
              </w:rPr>
            </w:pPr>
            <w:r>
              <w:rPr>
                <w:sz w:val="14"/>
              </w:rPr>
              <w:t>2020</w:t>
            </w:r>
            <w:r>
              <w:rPr>
                <w:spacing w:val="-2"/>
                <w:sz w:val="14"/>
              </w:rPr>
              <w:t> Approved</w:t>
            </w:r>
            <w:r>
              <w:rPr>
                <w:spacing w:val="-2"/>
                <w:sz w:val="14"/>
                <w:vertAlign w:val="superscript"/>
              </w:rPr>
              <w:t>(2)</w:t>
            </w:r>
          </w:p>
        </w:tc>
        <w:tc>
          <w:tcPr>
            <w:tcW w:w="798" w:type="dxa"/>
            <w:tcBorders>
              <w:top w:val="single" w:sz="4" w:space="0" w:color="000000"/>
              <w:bottom w:val="single" w:sz="4" w:space="0" w:color="000000"/>
            </w:tcBorders>
          </w:tcPr>
          <w:p>
            <w:pPr>
              <w:pStyle w:val="TableParagraph"/>
              <w:spacing w:before="70"/>
              <w:ind w:right="40"/>
              <w:rPr>
                <w:sz w:val="14"/>
              </w:rPr>
            </w:pPr>
            <w:r>
              <w:rPr>
                <w:spacing w:val="-2"/>
                <w:sz w:val="14"/>
              </w:rPr>
              <w:t>32,782.6</w:t>
            </w:r>
          </w:p>
        </w:tc>
        <w:tc>
          <w:tcPr>
            <w:tcW w:w="581" w:type="dxa"/>
            <w:tcBorders>
              <w:top w:val="single" w:sz="4" w:space="0" w:color="000000"/>
              <w:bottom w:val="single" w:sz="4" w:space="0" w:color="000000"/>
            </w:tcBorders>
          </w:tcPr>
          <w:p>
            <w:pPr>
              <w:pStyle w:val="TableParagraph"/>
              <w:spacing w:before="70"/>
              <w:ind w:right="40"/>
              <w:rPr>
                <w:sz w:val="14"/>
              </w:rPr>
            </w:pPr>
            <w:r>
              <w:rPr>
                <w:spacing w:val="-2"/>
                <w:sz w:val="14"/>
              </w:rPr>
              <w:t>2,597.5</w:t>
            </w:r>
          </w:p>
        </w:tc>
        <w:tc>
          <w:tcPr>
            <w:tcW w:w="581" w:type="dxa"/>
            <w:tcBorders>
              <w:top w:val="single" w:sz="4" w:space="0" w:color="000000"/>
              <w:bottom w:val="single" w:sz="4" w:space="0" w:color="000000"/>
            </w:tcBorders>
          </w:tcPr>
          <w:p>
            <w:pPr>
              <w:pStyle w:val="TableParagraph"/>
              <w:spacing w:before="70"/>
              <w:ind w:right="40"/>
              <w:rPr>
                <w:sz w:val="14"/>
              </w:rPr>
            </w:pPr>
            <w:r>
              <w:rPr>
                <w:spacing w:val="-2"/>
                <w:sz w:val="14"/>
              </w:rPr>
              <w:t>5,549.3</w:t>
            </w:r>
          </w:p>
        </w:tc>
        <w:tc>
          <w:tcPr>
            <w:tcW w:w="581" w:type="dxa"/>
            <w:tcBorders>
              <w:top w:val="single" w:sz="4" w:space="0" w:color="000000"/>
              <w:bottom w:val="single" w:sz="4" w:space="0" w:color="000000"/>
            </w:tcBorders>
          </w:tcPr>
          <w:p>
            <w:pPr>
              <w:pStyle w:val="TableParagraph"/>
              <w:spacing w:before="70"/>
              <w:ind w:right="40"/>
              <w:rPr>
                <w:sz w:val="14"/>
              </w:rPr>
            </w:pPr>
            <w:r>
              <w:rPr>
                <w:spacing w:val="-2"/>
                <w:sz w:val="14"/>
              </w:rPr>
              <w:t>1,293.3</w:t>
            </w:r>
          </w:p>
        </w:tc>
        <w:tc>
          <w:tcPr>
            <w:tcW w:w="582" w:type="dxa"/>
            <w:tcBorders>
              <w:top w:val="single" w:sz="4" w:space="0" w:color="000000"/>
              <w:bottom w:val="single" w:sz="4" w:space="0" w:color="000000"/>
            </w:tcBorders>
          </w:tcPr>
          <w:p>
            <w:pPr>
              <w:pStyle w:val="TableParagraph"/>
              <w:spacing w:before="70"/>
              <w:ind w:right="41"/>
              <w:rPr>
                <w:sz w:val="14"/>
              </w:rPr>
            </w:pPr>
            <w:r>
              <w:rPr>
                <w:spacing w:val="-2"/>
                <w:sz w:val="14"/>
              </w:rPr>
              <w:t>7,639.7</w:t>
            </w:r>
          </w:p>
        </w:tc>
        <w:tc>
          <w:tcPr>
            <w:tcW w:w="583" w:type="dxa"/>
            <w:tcBorders>
              <w:top w:val="single" w:sz="4" w:space="0" w:color="000000"/>
              <w:bottom w:val="single" w:sz="4" w:space="0" w:color="000000"/>
            </w:tcBorders>
          </w:tcPr>
          <w:p>
            <w:pPr>
              <w:pStyle w:val="TableParagraph"/>
              <w:spacing w:before="70"/>
              <w:ind w:right="37"/>
              <w:rPr>
                <w:sz w:val="14"/>
              </w:rPr>
            </w:pPr>
            <w:r>
              <w:rPr>
                <w:spacing w:val="-4"/>
                <w:sz w:val="14"/>
              </w:rPr>
              <w:t>32.4</w:t>
            </w:r>
          </w:p>
        </w:tc>
        <w:tc>
          <w:tcPr>
            <w:tcW w:w="583" w:type="dxa"/>
            <w:tcBorders>
              <w:top w:val="single" w:sz="4" w:space="0" w:color="000000"/>
              <w:bottom w:val="single" w:sz="4" w:space="0" w:color="000000"/>
            </w:tcBorders>
          </w:tcPr>
          <w:p>
            <w:pPr>
              <w:pStyle w:val="TableParagraph"/>
              <w:spacing w:before="70"/>
              <w:ind w:right="40"/>
              <w:rPr>
                <w:sz w:val="14"/>
              </w:rPr>
            </w:pPr>
            <w:r>
              <w:rPr>
                <w:spacing w:val="-2"/>
                <w:sz w:val="14"/>
              </w:rPr>
              <w:t>3,687.5</w:t>
            </w:r>
          </w:p>
        </w:tc>
        <w:tc>
          <w:tcPr>
            <w:tcW w:w="585" w:type="dxa"/>
            <w:tcBorders>
              <w:top w:val="single" w:sz="4" w:space="0" w:color="000000"/>
              <w:bottom w:val="single" w:sz="4" w:space="0" w:color="000000"/>
            </w:tcBorders>
          </w:tcPr>
          <w:p>
            <w:pPr>
              <w:pStyle w:val="TableParagraph"/>
              <w:spacing w:before="70"/>
              <w:ind w:left="90" w:right="7"/>
              <w:jc w:val="center"/>
              <w:rPr>
                <w:sz w:val="14"/>
              </w:rPr>
            </w:pPr>
            <w:r>
              <w:rPr>
                <w:spacing w:val="-2"/>
                <w:sz w:val="14"/>
              </w:rPr>
              <w:t>5,639.2</w:t>
            </w:r>
          </w:p>
        </w:tc>
        <w:tc>
          <w:tcPr>
            <w:tcW w:w="612" w:type="dxa"/>
            <w:tcBorders>
              <w:top w:val="single" w:sz="4" w:space="0" w:color="000000"/>
              <w:bottom w:val="single" w:sz="4" w:space="0" w:color="000000"/>
            </w:tcBorders>
          </w:tcPr>
          <w:p>
            <w:pPr>
              <w:pStyle w:val="TableParagraph"/>
              <w:spacing w:before="70"/>
              <w:ind w:right="65"/>
              <w:rPr>
                <w:sz w:val="14"/>
              </w:rPr>
            </w:pPr>
            <w:r>
              <w:rPr>
                <w:spacing w:val="-2"/>
                <w:sz w:val="14"/>
              </w:rPr>
              <w:t>3,701.9</w:t>
            </w:r>
          </w:p>
        </w:tc>
        <w:tc>
          <w:tcPr>
            <w:tcW w:w="581" w:type="dxa"/>
            <w:tcBorders>
              <w:top w:val="single" w:sz="4" w:space="0" w:color="000000"/>
              <w:bottom w:val="single" w:sz="4" w:space="0" w:color="000000"/>
            </w:tcBorders>
          </w:tcPr>
          <w:p>
            <w:pPr>
              <w:pStyle w:val="TableParagraph"/>
              <w:spacing w:before="70"/>
              <w:ind w:left="43" w:right="17"/>
              <w:jc w:val="center"/>
              <w:rPr>
                <w:sz w:val="14"/>
              </w:rPr>
            </w:pPr>
            <w:r>
              <w:rPr>
                <w:spacing w:val="-2"/>
                <w:sz w:val="14"/>
              </w:rPr>
              <w:t>4,371.3</w:t>
            </w:r>
          </w:p>
        </w:tc>
        <w:tc>
          <w:tcPr>
            <w:tcW w:w="607" w:type="dxa"/>
            <w:tcBorders>
              <w:top w:val="single" w:sz="4" w:space="0" w:color="000000"/>
              <w:bottom w:val="single" w:sz="4" w:space="0" w:color="000000"/>
            </w:tcBorders>
          </w:tcPr>
          <w:p>
            <w:pPr>
              <w:pStyle w:val="TableParagraph"/>
              <w:spacing w:before="70"/>
              <w:ind w:right="86"/>
              <w:rPr>
                <w:sz w:val="14"/>
              </w:rPr>
            </w:pPr>
            <w:r>
              <w:rPr>
                <w:spacing w:val="-2"/>
                <w:sz w:val="14"/>
              </w:rPr>
              <w:t>3,314.3</w:t>
            </w:r>
          </w:p>
        </w:tc>
        <w:tc>
          <w:tcPr>
            <w:tcW w:w="663" w:type="dxa"/>
            <w:tcBorders>
              <w:top w:val="single" w:sz="4" w:space="0" w:color="000000"/>
              <w:bottom w:val="single" w:sz="4" w:space="0" w:color="000000"/>
            </w:tcBorders>
          </w:tcPr>
          <w:p>
            <w:pPr>
              <w:pStyle w:val="TableParagraph"/>
              <w:spacing w:before="70"/>
              <w:ind w:right="95"/>
              <w:rPr>
                <w:sz w:val="14"/>
              </w:rPr>
            </w:pPr>
            <w:r>
              <w:rPr>
                <w:w w:val="99"/>
                <w:sz w:val="14"/>
              </w:rPr>
              <w:t>-</w:t>
            </w:r>
          </w:p>
        </w:tc>
        <w:tc>
          <w:tcPr>
            <w:tcW w:w="733" w:type="dxa"/>
            <w:tcBorders>
              <w:top w:val="single" w:sz="4" w:space="0" w:color="000000"/>
              <w:bottom w:val="single" w:sz="4" w:space="0" w:color="000000"/>
            </w:tcBorders>
          </w:tcPr>
          <w:p>
            <w:pPr>
              <w:pStyle w:val="TableParagraph"/>
              <w:spacing w:before="70"/>
              <w:ind w:right="40"/>
              <w:rPr>
                <w:sz w:val="14"/>
              </w:rPr>
            </w:pPr>
            <w:r>
              <w:rPr>
                <w:w w:val="99"/>
                <w:sz w:val="14"/>
              </w:rPr>
              <w:t>-</w:t>
            </w:r>
          </w:p>
        </w:tc>
        <w:tc>
          <w:tcPr>
            <w:tcW w:w="631" w:type="dxa"/>
            <w:tcBorders>
              <w:top w:val="single" w:sz="4" w:space="0" w:color="000000"/>
              <w:bottom w:val="single" w:sz="4" w:space="0" w:color="000000"/>
            </w:tcBorders>
          </w:tcPr>
          <w:p>
            <w:pPr>
              <w:pStyle w:val="TableParagraph"/>
              <w:spacing w:before="70"/>
              <w:ind w:right="76"/>
              <w:rPr>
                <w:sz w:val="14"/>
              </w:rPr>
            </w:pPr>
            <w:r>
              <w:rPr>
                <w:w w:val="99"/>
                <w:sz w:val="14"/>
              </w:rPr>
              <w:t>-</w:t>
            </w:r>
          </w:p>
        </w:tc>
        <w:tc>
          <w:tcPr>
            <w:tcW w:w="720" w:type="dxa"/>
            <w:tcBorders>
              <w:top w:val="single" w:sz="4" w:space="0" w:color="000000"/>
              <w:bottom w:val="single" w:sz="4" w:space="0" w:color="000000"/>
            </w:tcBorders>
          </w:tcPr>
          <w:p>
            <w:pPr>
              <w:pStyle w:val="TableParagraph"/>
              <w:spacing w:before="70"/>
              <w:ind w:right="75"/>
              <w:rPr>
                <w:sz w:val="14"/>
              </w:rPr>
            </w:pPr>
            <w:r>
              <w:rPr>
                <w:w w:val="99"/>
                <w:sz w:val="14"/>
              </w:rPr>
              <w:t>-</w:t>
            </w:r>
          </w:p>
        </w:tc>
        <w:tc>
          <w:tcPr>
            <w:tcW w:w="637" w:type="dxa"/>
            <w:tcBorders>
              <w:top w:val="single" w:sz="4" w:space="0" w:color="000000"/>
              <w:bottom w:val="single" w:sz="4" w:space="0" w:color="000000"/>
            </w:tcBorders>
          </w:tcPr>
          <w:p>
            <w:pPr>
              <w:pStyle w:val="TableParagraph"/>
              <w:spacing w:before="70"/>
              <w:ind w:right="40"/>
              <w:rPr>
                <w:sz w:val="14"/>
              </w:rPr>
            </w:pPr>
            <w:r>
              <w:rPr>
                <w:w w:val="99"/>
                <w:sz w:val="14"/>
              </w:rPr>
              <w:t>-</w:t>
            </w:r>
          </w:p>
        </w:tc>
        <w:tc>
          <w:tcPr>
            <w:tcW w:w="518" w:type="dxa"/>
            <w:tcBorders>
              <w:top w:val="single" w:sz="4" w:space="0" w:color="000000"/>
              <w:bottom w:val="single" w:sz="4" w:space="0" w:color="000000"/>
            </w:tcBorders>
          </w:tcPr>
          <w:p>
            <w:pPr>
              <w:pStyle w:val="TableParagraph"/>
              <w:spacing w:before="70"/>
              <w:ind w:right="11"/>
              <w:rPr>
                <w:sz w:val="14"/>
              </w:rPr>
            </w:pPr>
            <w:r>
              <w:rPr>
                <w:w w:val="99"/>
                <w:sz w:val="14"/>
              </w:rPr>
              <w:t>-</w:t>
            </w:r>
          </w:p>
        </w:tc>
      </w:tr>
      <w:tr>
        <w:trPr>
          <w:trHeight w:val="301" w:hRule="atLeast"/>
        </w:trPr>
        <w:tc>
          <w:tcPr>
            <w:tcW w:w="1037" w:type="dxa"/>
            <w:tcBorders>
              <w:bottom w:val="single" w:sz="4" w:space="0" w:color="000000"/>
            </w:tcBorders>
          </w:tcPr>
          <w:p>
            <w:pPr>
              <w:pStyle w:val="TableParagraph"/>
              <w:jc w:val="left"/>
              <w:rPr>
                <w:sz w:val="12"/>
              </w:rPr>
            </w:pPr>
          </w:p>
        </w:tc>
        <w:tc>
          <w:tcPr>
            <w:tcW w:w="798" w:type="dxa"/>
            <w:tcBorders>
              <w:top w:val="single" w:sz="4" w:space="0" w:color="000000"/>
              <w:bottom w:val="single" w:sz="4" w:space="0" w:color="000000"/>
            </w:tcBorders>
          </w:tcPr>
          <w:p>
            <w:pPr>
              <w:pStyle w:val="TableParagraph"/>
              <w:spacing w:before="70"/>
              <w:ind w:right="39"/>
              <w:rPr>
                <w:sz w:val="14"/>
              </w:rPr>
            </w:pPr>
            <w:r>
              <w:rPr>
                <w:sz w:val="14"/>
              </w:rPr>
              <w:t>(21</w:t>
            </w:r>
            <w:r>
              <w:rPr>
                <w:spacing w:val="1"/>
                <w:sz w:val="14"/>
              </w:rPr>
              <w:t> </w:t>
            </w:r>
            <w:r>
              <w:rPr>
                <w:spacing w:val="-2"/>
                <w:sz w:val="14"/>
              </w:rPr>
              <w:t>cases)</w:t>
            </w:r>
          </w:p>
        </w:tc>
        <w:tc>
          <w:tcPr>
            <w:tcW w:w="581" w:type="dxa"/>
            <w:tcBorders>
              <w:top w:val="single" w:sz="4" w:space="0" w:color="000000"/>
              <w:bottom w:val="single" w:sz="4" w:space="0" w:color="000000"/>
            </w:tcBorders>
          </w:tcPr>
          <w:p>
            <w:pPr>
              <w:pStyle w:val="TableParagraph"/>
              <w:spacing w:before="70"/>
              <w:ind w:right="44"/>
              <w:rPr>
                <w:sz w:val="14"/>
              </w:rPr>
            </w:pPr>
            <w:r>
              <w:rPr>
                <w:sz w:val="14"/>
              </w:rPr>
              <w:t>(2</w:t>
            </w:r>
            <w:r>
              <w:rPr>
                <w:spacing w:val="-1"/>
                <w:sz w:val="14"/>
              </w:rPr>
              <w:t> </w:t>
            </w:r>
            <w:r>
              <w:rPr>
                <w:spacing w:val="-2"/>
                <w:sz w:val="14"/>
              </w:rPr>
              <w:t>cases)</w:t>
            </w:r>
          </w:p>
        </w:tc>
        <w:tc>
          <w:tcPr>
            <w:tcW w:w="581" w:type="dxa"/>
            <w:tcBorders>
              <w:top w:val="single" w:sz="4" w:space="0" w:color="000000"/>
              <w:bottom w:val="single" w:sz="4" w:space="0" w:color="000000"/>
            </w:tcBorders>
          </w:tcPr>
          <w:p>
            <w:pPr>
              <w:pStyle w:val="TableParagraph"/>
              <w:spacing w:before="70"/>
              <w:ind w:right="44"/>
              <w:rPr>
                <w:sz w:val="14"/>
              </w:rPr>
            </w:pPr>
            <w:r>
              <w:rPr>
                <w:sz w:val="14"/>
              </w:rPr>
              <w:t>(2</w:t>
            </w:r>
            <w:r>
              <w:rPr>
                <w:spacing w:val="-1"/>
                <w:sz w:val="14"/>
              </w:rPr>
              <w:t> </w:t>
            </w:r>
            <w:r>
              <w:rPr>
                <w:spacing w:val="-2"/>
                <w:sz w:val="14"/>
              </w:rPr>
              <w:t>cases)</w:t>
            </w:r>
          </w:p>
        </w:tc>
        <w:tc>
          <w:tcPr>
            <w:tcW w:w="581" w:type="dxa"/>
            <w:tcBorders>
              <w:top w:val="single" w:sz="4" w:space="0" w:color="000000"/>
              <w:bottom w:val="single" w:sz="4" w:space="0" w:color="000000"/>
            </w:tcBorders>
          </w:tcPr>
          <w:p>
            <w:pPr>
              <w:pStyle w:val="TableParagraph"/>
              <w:spacing w:before="70"/>
              <w:ind w:right="44"/>
              <w:rPr>
                <w:sz w:val="14"/>
              </w:rPr>
            </w:pPr>
            <w:r>
              <w:rPr>
                <w:sz w:val="14"/>
              </w:rPr>
              <w:t>(3</w:t>
            </w:r>
            <w:r>
              <w:rPr>
                <w:spacing w:val="-1"/>
                <w:sz w:val="14"/>
              </w:rPr>
              <w:t> </w:t>
            </w:r>
            <w:r>
              <w:rPr>
                <w:spacing w:val="-2"/>
                <w:sz w:val="14"/>
              </w:rPr>
              <w:t>cases)</w:t>
            </w:r>
          </w:p>
        </w:tc>
        <w:tc>
          <w:tcPr>
            <w:tcW w:w="582" w:type="dxa"/>
            <w:tcBorders>
              <w:top w:val="single" w:sz="4" w:space="0" w:color="000000"/>
              <w:bottom w:val="single" w:sz="4" w:space="0" w:color="000000"/>
            </w:tcBorders>
          </w:tcPr>
          <w:p>
            <w:pPr>
              <w:pStyle w:val="TableParagraph"/>
              <w:spacing w:before="70"/>
              <w:ind w:right="45"/>
              <w:rPr>
                <w:sz w:val="14"/>
              </w:rPr>
            </w:pPr>
            <w:r>
              <w:rPr>
                <w:sz w:val="14"/>
              </w:rPr>
              <w:t>(3</w:t>
            </w:r>
            <w:r>
              <w:rPr>
                <w:spacing w:val="-1"/>
                <w:sz w:val="14"/>
              </w:rPr>
              <w:t> </w:t>
            </w:r>
            <w:r>
              <w:rPr>
                <w:spacing w:val="-2"/>
                <w:sz w:val="14"/>
              </w:rPr>
              <w:t>cases)</w:t>
            </w:r>
          </w:p>
        </w:tc>
        <w:tc>
          <w:tcPr>
            <w:tcW w:w="583" w:type="dxa"/>
            <w:tcBorders>
              <w:top w:val="single" w:sz="4" w:space="0" w:color="000000"/>
              <w:bottom w:val="single" w:sz="4" w:space="0" w:color="000000"/>
            </w:tcBorders>
          </w:tcPr>
          <w:p>
            <w:pPr>
              <w:pStyle w:val="TableParagraph"/>
              <w:spacing w:before="70"/>
              <w:ind w:right="42"/>
              <w:rPr>
                <w:sz w:val="14"/>
              </w:rPr>
            </w:pPr>
            <w:r>
              <w:rPr>
                <w:sz w:val="14"/>
              </w:rPr>
              <w:t>(2</w:t>
            </w:r>
            <w:r>
              <w:rPr>
                <w:spacing w:val="-1"/>
                <w:sz w:val="14"/>
              </w:rPr>
              <w:t> </w:t>
            </w:r>
            <w:r>
              <w:rPr>
                <w:spacing w:val="-2"/>
                <w:sz w:val="14"/>
              </w:rPr>
              <w:t>cases)</w:t>
            </w:r>
          </w:p>
        </w:tc>
        <w:tc>
          <w:tcPr>
            <w:tcW w:w="583" w:type="dxa"/>
            <w:tcBorders>
              <w:top w:val="single" w:sz="4" w:space="0" w:color="000000"/>
              <w:bottom w:val="single" w:sz="4" w:space="0" w:color="000000"/>
            </w:tcBorders>
          </w:tcPr>
          <w:p>
            <w:pPr>
              <w:pStyle w:val="TableParagraph"/>
              <w:spacing w:before="70"/>
              <w:ind w:right="44"/>
              <w:rPr>
                <w:sz w:val="14"/>
              </w:rPr>
            </w:pPr>
            <w:r>
              <w:rPr>
                <w:sz w:val="14"/>
              </w:rPr>
              <w:t>(3</w:t>
            </w:r>
            <w:r>
              <w:rPr>
                <w:spacing w:val="-1"/>
                <w:sz w:val="14"/>
              </w:rPr>
              <w:t> </w:t>
            </w:r>
            <w:r>
              <w:rPr>
                <w:spacing w:val="-2"/>
                <w:sz w:val="14"/>
              </w:rPr>
              <w:t>cases)</w:t>
            </w:r>
          </w:p>
        </w:tc>
        <w:tc>
          <w:tcPr>
            <w:tcW w:w="585" w:type="dxa"/>
            <w:tcBorders>
              <w:top w:val="single" w:sz="4" w:space="0" w:color="000000"/>
              <w:bottom w:val="single" w:sz="4" w:space="0" w:color="000000"/>
            </w:tcBorders>
          </w:tcPr>
          <w:p>
            <w:pPr>
              <w:pStyle w:val="TableParagraph"/>
              <w:spacing w:before="70"/>
              <w:ind w:left="6" w:right="5"/>
              <w:jc w:val="center"/>
              <w:rPr>
                <w:sz w:val="14"/>
              </w:rPr>
            </w:pPr>
            <w:r>
              <w:rPr>
                <w:sz w:val="14"/>
              </w:rPr>
              <w:t>(2</w:t>
            </w:r>
            <w:r>
              <w:rPr>
                <w:spacing w:val="-1"/>
                <w:sz w:val="14"/>
              </w:rPr>
              <w:t> </w:t>
            </w:r>
            <w:r>
              <w:rPr>
                <w:spacing w:val="-2"/>
                <w:sz w:val="14"/>
              </w:rPr>
              <w:t>cases)</w:t>
            </w:r>
          </w:p>
        </w:tc>
        <w:tc>
          <w:tcPr>
            <w:tcW w:w="612" w:type="dxa"/>
            <w:tcBorders>
              <w:top w:val="single" w:sz="4" w:space="0" w:color="000000"/>
              <w:bottom w:val="single" w:sz="4" w:space="0" w:color="000000"/>
            </w:tcBorders>
          </w:tcPr>
          <w:p>
            <w:pPr>
              <w:pStyle w:val="TableParagraph"/>
              <w:spacing w:before="70"/>
              <w:ind w:right="70"/>
              <w:rPr>
                <w:sz w:val="14"/>
              </w:rPr>
            </w:pPr>
            <w:r>
              <w:rPr>
                <w:sz w:val="14"/>
              </w:rPr>
              <w:t>(2</w:t>
            </w:r>
            <w:r>
              <w:rPr>
                <w:spacing w:val="-1"/>
                <w:sz w:val="14"/>
              </w:rPr>
              <w:t> </w:t>
            </w:r>
            <w:r>
              <w:rPr>
                <w:spacing w:val="-2"/>
                <w:sz w:val="14"/>
              </w:rPr>
              <w:t>cases)</w:t>
            </w:r>
          </w:p>
        </w:tc>
        <w:tc>
          <w:tcPr>
            <w:tcW w:w="581" w:type="dxa"/>
            <w:tcBorders>
              <w:top w:val="single" w:sz="4" w:space="0" w:color="000000"/>
              <w:bottom w:val="single" w:sz="4" w:space="0" w:color="000000"/>
            </w:tcBorders>
          </w:tcPr>
          <w:p>
            <w:pPr>
              <w:pStyle w:val="TableParagraph"/>
              <w:spacing w:before="70"/>
              <w:ind w:left="25" w:right="17"/>
              <w:jc w:val="center"/>
              <w:rPr>
                <w:sz w:val="14"/>
              </w:rPr>
            </w:pPr>
            <w:r>
              <w:rPr>
                <w:sz w:val="14"/>
              </w:rPr>
              <w:t>(1</w:t>
            </w:r>
            <w:r>
              <w:rPr>
                <w:spacing w:val="-1"/>
                <w:sz w:val="14"/>
              </w:rPr>
              <w:t> </w:t>
            </w:r>
            <w:r>
              <w:rPr>
                <w:spacing w:val="-2"/>
                <w:sz w:val="14"/>
              </w:rPr>
              <w:t>case)</w:t>
            </w:r>
          </w:p>
        </w:tc>
        <w:tc>
          <w:tcPr>
            <w:tcW w:w="607" w:type="dxa"/>
            <w:tcBorders>
              <w:top w:val="single" w:sz="4" w:space="0" w:color="000000"/>
              <w:bottom w:val="single" w:sz="4" w:space="0" w:color="000000"/>
            </w:tcBorders>
          </w:tcPr>
          <w:p>
            <w:pPr>
              <w:pStyle w:val="TableParagraph"/>
              <w:spacing w:before="70"/>
              <w:ind w:right="86"/>
              <w:rPr>
                <w:sz w:val="14"/>
              </w:rPr>
            </w:pPr>
            <w:r>
              <w:rPr>
                <w:sz w:val="14"/>
              </w:rPr>
              <w:t>(1</w:t>
            </w:r>
            <w:r>
              <w:rPr>
                <w:spacing w:val="-1"/>
                <w:sz w:val="14"/>
              </w:rPr>
              <w:t> </w:t>
            </w:r>
            <w:r>
              <w:rPr>
                <w:spacing w:val="-2"/>
                <w:sz w:val="14"/>
              </w:rPr>
              <w:t>case)</w:t>
            </w:r>
          </w:p>
        </w:tc>
        <w:tc>
          <w:tcPr>
            <w:tcW w:w="663" w:type="dxa"/>
            <w:tcBorders>
              <w:top w:val="single" w:sz="4" w:space="0" w:color="000000"/>
              <w:bottom w:val="single" w:sz="4" w:space="0" w:color="000000"/>
            </w:tcBorders>
          </w:tcPr>
          <w:p>
            <w:pPr>
              <w:pStyle w:val="TableParagraph"/>
              <w:jc w:val="left"/>
              <w:rPr>
                <w:sz w:val="12"/>
              </w:rPr>
            </w:pPr>
          </w:p>
        </w:tc>
        <w:tc>
          <w:tcPr>
            <w:tcW w:w="733" w:type="dxa"/>
            <w:tcBorders>
              <w:top w:val="single" w:sz="4" w:space="0" w:color="000000"/>
              <w:bottom w:val="single" w:sz="4" w:space="0" w:color="000000"/>
            </w:tcBorders>
          </w:tcPr>
          <w:p>
            <w:pPr>
              <w:pStyle w:val="TableParagraph"/>
              <w:jc w:val="left"/>
              <w:rPr>
                <w:sz w:val="12"/>
              </w:rPr>
            </w:pPr>
          </w:p>
        </w:tc>
        <w:tc>
          <w:tcPr>
            <w:tcW w:w="631" w:type="dxa"/>
            <w:tcBorders>
              <w:top w:val="single" w:sz="4" w:space="0" w:color="000000"/>
              <w:bottom w:val="single" w:sz="4" w:space="0" w:color="000000"/>
            </w:tcBorders>
          </w:tcPr>
          <w:p>
            <w:pPr>
              <w:pStyle w:val="TableParagraph"/>
              <w:jc w:val="left"/>
              <w:rPr>
                <w:sz w:val="12"/>
              </w:rPr>
            </w:pPr>
          </w:p>
        </w:tc>
        <w:tc>
          <w:tcPr>
            <w:tcW w:w="720" w:type="dxa"/>
            <w:tcBorders>
              <w:top w:val="single" w:sz="4" w:space="0" w:color="000000"/>
              <w:bottom w:val="single" w:sz="4" w:space="0" w:color="000000"/>
            </w:tcBorders>
          </w:tcPr>
          <w:p>
            <w:pPr>
              <w:pStyle w:val="TableParagraph"/>
              <w:jc w:val="left"/>
              <w:rPr>
                <w:sz w:val="12"/>
              </w:rPr>
            </w:pPr>
          </w:p>
        </w:tc>
        <w:tc>
          <w:tcPr>
            <w:tcW w:w="637" w:type="dxa"/>
            <w:tcBorders>
              <w:top w:val="single" w:sz="4" w:space="0" w:color="000000"/>
              <w:bottom w:val="single" w:sz="4" w:space="0" w:color="000000"/>
            </w:tcBorders>
          </w:tcPr>
          <w:p>
            <w:pPr>
              <w:pStyle w:val="TableParagraph"/>
              <w:jc w:val="left"/>
              <w:rPr>
                <w:sz w:val="12"/>
              </w:rPr>
            </w:pPr>
          </w:p>
        </w:tc>
        <w:tc>
          <w:tcPr>
            <w:tcW w:w="518" w:type="dxa"/>
            <w:tcBorders>
              <w:top w:val="single" w:sz="4" w:space="0" w:color="000000"/>
              <w:bottom w:val="single" w:sz="4" w:space="0" w:color="000000"/>
            </w:tcBorders>
          </w:tcPr>
          <w:p>
            <w:pPr>
              <w:pStyle w:val="TableParagraph"/>
              <w:jc w:val="left"/>
              <w:rPr>
                <w:sz w:val="12"/>
              </w:rPr>
            </w:pPr>
          </w:p>
        </w:tc>
      </w:tr>
      <w:tr>
        <w:trPr>
          <w:trHeight w:val="301" w:hRule="atLeast"/>
        </w:trPr>
        <w:tc>
          <w:tcPr>
            <w:tcW w:w="1037" w:type="dxa"/>
            <w:tcBorders>
              <w:top w:val="single" w:sz="4" w:space="0" w:color="000000"/>
            </w:tcBorders>
          </w:tcPr>
          <w:p>
            <w:pPr>
              <w:pStyle w:val="TableParagraph"/>
              <w:spacing w:before="70"/>
              <w:ind w:left="28"/>
              <w:jc w:val="left"/>
              <w:rPr>
                <w:sz w:val="14"/>
              </w:rPr>
            </w:pPr>
            <w:r>
              <w:rPr>
                <w:sz w:val="14"/>
              </w:rPr>
              <w:t>2021</w:t>
            </w:r>
            <w:r>
              <w:rPr>
                <w:spacing w:val="-2"/>
                <w:sz w:val="14"/>
              </w:rPr>
              <w:t> Approved</w:t>
            </w:r>
            <w:r>
              <w:rPr>
                <w:spacing w:val="-2"/>
                <w:sz w:val="14"/>
                <w:vertAlign w:val="superscript"/>
              </w:rPr>
              <w:t>(2)</w:t>
            </w:r>
          </w:p>
        </w:tc>
        <w:tc>
          <w:tcPr>
            <w:tcW w:w="798" w:type="dxa"/>
            <w:tcBorders>
              <w:top w:val="single" w:sz="4" w:space="0" w:color="000000"/>
              <w:bottom w:val="single" w:sz="4" w:space="0" w:color="000000"/>
            </w:tcBorders>
          </w:tcPr>
          <w:p>
            <w:pPr>
              <w:pStyle w:val="TableParagraph"/>
              <w:spacing w:before="70"/>
              <w:ind w:right="40"/>
              <w:rPr>
                <w:sz w:val="14"/>
              </w:rPr>
            </w:pPr>
            <w:r>
              <w:rPr>
                <w:spacing w:val="-2"/>
                <w:sz w:val="14"/>
              </w:rPr>
              <w:t>31,035.4</w:t>
            </w:r>
          </w:p>
        </w:tc>
        <w:tc>
          <w:tcPr>
            <w:tcW w:w="581" w:type="dxa"/>
            <w:tcBorders>
              <w:top w:val="single" w:sz="4" w:space="0" w:color="000000"/>
              <w:bottom w:val="single" w:sz="4" w:space="0" w:color="000000"/>
            </w:tcBorders>
          </w:tcPr>
          <w:p>
            <w:pPr>
              <w:pStyle w:val="TableParagraph"/>
              <w:spacing w:before="70"/>
              <w:ind w:right="40"/>
              <w:rPr>
                <w:sz w:val="14"/>
              </w:rPr>
            </w:pPr>
            <w:r>
              <w:rPr>
                <w:spacing w:val="-2"/>
                <w:sz w:val="14"/>
              </w:rPr>
              <w:t>2,261.5</w:t>
            </w:r>
          </w:p>
        </w:tc>
        <w:tc>
          <w:tcPr>
            <w:tcW w:w="581" w:type="dxa"/>
            <w:tcBorders>
              <w:top w:val="single" w:sz="4" w:space="0" w:color="000000"/>
              <w:bottom w:val="single" w:sz="4" w:space="0" w:color="000000"/>
            </w:tcBorders>
          </w:tcPr>
          <w:p>
            <w:pPr>
              <w:pStyle w:val="TableParagraph"/>
              <w:spacing w:before="70"/>
              <w:ind w:right="40"/>
              <w:rPr>
                <w:sz w:val="14"/>
              </w:rPr>
            </w:pPr>
            <w:r>
              <w:rPr>
                <w:spacing w:val="-2"/>
                <w:sz w:val="14"/>
              </w:rPr>
              <w:t>3,188.4</w:t>
            </w:r>
          </w:p>
        </w:tc>
        <w:tc>
          <w:tcPr>
            <w:tcW w:w="581" w:type="dxa"/>
            <w:tcBorders>
              <w:top w:val="single" w:sz="4" w:space="0" w:color="000000"/>
              <w:bottom w:val="single" w:sz="4" w:space="0" w:color="000000"/>
            </w:tcBorders>
          </w:tcPr>
          <w:p>
            <w:pPr>
              <w:pStyle w:val="TableParagraph"/>
              <w:spacing w:before="70"/>
              <w:ind w:right="40"/>
              <w:rPr>
                <w:sz w:val="14"/>
              </w:rPr>
            </w:pPr>
            <w:r>
              <w:rPr>
                <w:spacing w:val="-2"/>
                <w:sz w:val="14"/>
              </w:rPr>
              <w:t>2,499.4</w:t>
            </w:r>
          </w:p>
        </w:tc>
        <w:tc>
          <w:tcPr>
            <w:tcW w:w="582" w:type="dxa"/>
            <w:tcBorders>
              <w:top w:val="single" w:sz="4" w:space="0" w:color="000000"/>
              <w:bottom w:val="single" w:sz="4" w:space="0" w:color="000000"/>
            </w:tcBorders>
          </w:tcPr>
          <w:p>
            <w:pPr>
              <w:pStyle w:val="TableParagraph"/>
              <w:spacing w:before="70"/>
              <w:ind w:right="41"/>
              <w:rPr>
                <w:sz w:val="14"/>
              </w:rPr>
            </w:pPr>
            <w:r>
              <w:rPr>
                <w:spacing w:val="-2"/>
                <w:sz w:val="14"/>
              </w:rPr>
              <w:t>8,331.9</w:t>
            </w:r>
          </w:p>
        </w:tc>
        <w:tc>
          <w:tcPr>
            <w:tcW w:w="583" w:type="dxa"/>
            <w:tcBorders>
              <w:top w:val="single" w:sz="4" w:space="0" w:color="000000"/>
              <w:bottom w:val="single" w:sz="4" w:space="0" w:color="000000"/>
            </w:tcBorders>
          </w:tcPr>
          <w:p>
            <w:pPr>
              <w:pStyle w:val="TableParagraph"/>
              <w:spacing w:before="70"/>
              <w:ind w:right="37"/>
              <w:rPr>
                <w:sz w:val="14"/>
              </w:rPr>
            </w:pPr>
            <w:r>
              <w:rPr>
                <w:spacing w:val="-5"/>
                <w:sz w:val="14"/>
              </w:rPr>
              <w:t>0.0</w:t>
            </w:r>
          </w:p>
        </w:tc>
        <w:tc>
          <w:tcPr>
            <w:tcW w:w="583" w:type="dxa"/>
            <w:tcBorders>
              <w:top w:val="single" w:sz="4" w:space="0" w:color="000000"/>
              <w:bottom w:val="single" w:sz="4" w:space="0" w:color="000000"/>
            </w:tcBorders>
          </w:tcPr>
          <w:p>
            <w:pPr>
              <w:pStyle w:val="TableParagraph"/>
              <w:spacing w:before="70"/>
              <w:ind w:right="40"/>
              <w:rPr>
                <w:sz w:val="14"/>
              </w:rPr>
            </w:pPr>
            <w:r>
              <w:rPr>
                <w:spacing w:val="-2"/>
                <w:sz w:val="14"/>
              </w:rPr>
              <w:t>2,475.5</w:t>
            </w:r>
          </w:p>
        </w:tc>
        <w:tc>
          <w:tcPr>
            <w:tcW w:w="585" w:type="dxa"/>
            <w:tcBorders>
              <w:top w:val="single" w:sz="4" w:space="0" w:color="000000"/>
              <w:bottom w:val="single" w:sz="4" w:space="0" w:color="000000"/>
            </w:tcBorders>
          </w:tcPr>
          <w:p>
            <w:pPr>
              <w:pStyle w:val="TableParagraph"/>
              <w:spacing w:before="70"/>
              <w:ind w:left="90" w:right="7"/>
              <w:jc w:val="center"/>
              <w:rPr>
                <w:sz w:val="14"/>
              </w:rPr>
            </w:pPr>
            <w:r>
              <w:rPr>
                <w:spacing w:val="-2"/>
                <w:sz w:val="14"/>
              </w:rPr>
              <w:t>5,139.4</w:t>
            </w:r>
          </w:p>
        </w:tc>
        <w:tc>
          <w:tcPr>
            <w:tcW w:w="612" w:type="dxa"/>
            <w:tcBorders>
              <w:top w:val="single" w:sz="4" w:space="0" w:color="000000"/>
              <w:bottom w:val="single" w:sz="4" w:space="0" w:color="000000"/>
            </w:tcBorders>
          </w:tcPr>
          <w:p>
            <w:pPr>
              <w:pStyle w:val="TableParagraph"/>
              <w:spacing w:before="70"/>
              <w:ind w:right="65"/>
              <w:rPr>
                <w:sz w:val="14"/>
              </w:rPr>
            </w:pPr>
            <w:r>
              <w:rPr>
                <w:spacing w:val="-2"/>
                <w:sz w:val="14"/>
              </w:rPr>
              <w:t>3,819.8</w:t>
            </w:r>
          </w:p>
        </w:tc>
        <w:tc>
          <w:tcPr>
            <w:tcW w:w="581" w:type="dxa"/>
            <w:tcBorders>
              <w:top w:val="single" w:sz="4" w:space="0" w:color="000000"/>
              <w:bottom w:val="single" w:sz="4" w:space="0" w:color="000000"/>
            </w:tcBorders>
          </w:tcPr>
          <w:p>
            <w:pPr>
              <w:pStyle w:val="TableParagraph"/>
              <w:spacing w:before="70"/>
              <w:ind w:left="43" w:right="17"/>
              <w:jc w:val="center"/>
              <w:rPr>
                <w:sz w:val="14"/>
              </w:rPr>
            </w:pPr>
            <w:r>
              <w:rPr>
                <w:spacing w:val="-2"/>
                <w:sz w:val="14"/>
              </w:rPr>
              <w:t>3,521.6</w:t>
            </w:r>
          </w:p>
        </w:tc>
        <w:tc>
          <w:tcPr>
            <w:tcW w:w="607" w:type="dxa"/>
            <w:tcBorders>
              <w:top w:val="single" w:sz="4" w:space="0" w:color="000000"/>
              <w:bottom w:val="single" w:sz="4" w:space="0" w:color="000000"/>
            </w:tcBorders>
          </w:tcPr>
          <w:p>
            <w:pPr>
              <w:pStyle w:val="TableParagraph"/>
              <w:spacing w:before="70"/>
              <w:ind w:right="86"/>
              <w:rPr>
                <w:sz w:val="14"/>
              </w:rPr>
            </w:pPr>
            <w:r>
              <w:rPr>
                <w:spacing w:val="-2"/>
                <w:sz w:val="14"/>
              </w:rPr>
              <w:t>2,794.5</w:t>
            </w:r>
          </w:p>
        </w:tc>
        <w:tc>
          <w:tcPr>
            <w:tcW w:w="663" w:type="dxa"/>
            <w:tcBorders>
              <w:top w:val="single" w:sz="4" w:space="0" w:color="000000"/>
              <w:bottom w:val="single" w:sz="4" w:space="0" w:color="000000"/>
            </w:tcBorders>
          </w:tcPr>
          <w:p>
            <w:pPr>
              <w:pStyle w:val="TableParagraph"/>
              <w:spacing w:before="70"/>
              <w:ind w:right="91"/>
              <w:rPr>
                <w:sz w:val="14"/>
              </w:rPr>
            </w:pPr>
            <w:r>
              <w:rPr>
                <w:spacing w:val="-2"/>
                <w:sz w:val="14"/>
              </w:rPr>
              <w:t>2,487.0</w:t>
            </w:r>
          </w:p>
        </w:tc>
        <w:tc>
          <w:tcPr>
            <w:tcW w:w="733" w:type="dxa"/>
            <w:tcBorders>
              <w:top w:val="single" w:sz="4" w:space="0" w:color="000000"/>
              <w:bottom w:val="single" w:sz="4" w:space="0" w:color="000000"/>
            </w:tcBorders>
          </w:tcPr>
          <w:p>
            <w:pPr>
              <w:pStyle w:val="TableParagraph"/>
              <w:spacing w:before="70"/>
              <w:ind w:right="36"/>
              <w:rPr>
                <w:sz w:val="14"/>
              </w:rPr>
            </w:pPr>
            <w:r>
              <w:rPr>
                <w:spacing w:val="-2"/>
                <w:sz w:val="14"/>
              </w:rPr>
              <w:t>662.9</w:t>
            </w:r>
          </w:p>
        </w:tc>
        <w:tc>
          <w:tcPr>
            <w:tcW w:w="631" w:type="dxa"/>
            <w:tcBorders>
              <w:top w:val="single" w:sz="4" w:space="0" w:color="000000"/>
              <w:bottom w:val="single" w:sz="4" w:space="0" w:color="000000"/>
            </w:tcBorders>
          </w:tcPr>
          <w:p>
            <w:pPr>
              <w:pStyle w:val="TableParagraph"/>
              <w:spacing w:before="70"/>
              <w:ind w:right="76"/>
              <w:rPr>
                <w:sz w:val="14"/>
              </w:rPr>
            </w:pPr>
            <w:r>
              <w:rPr>
                <w:w w:val="99"/>
                <w:sz w:val="14"/>
              </w:rPr>
              <w:t>-</w:t>
            </w:r>
          </w:p>
        </w:tc>
        <w:tc>
          <w:tcPr>
            <w:tcW w:w="720" w:type="dxa"/>
            <w:tcBorders>
              <w:top w:val="single" w:sz="4" w:space="0" w:color="000000"/>
              <w:bottom w:val="single" w:sz="4" w:space="0" w:color="000000"/>
            </w:tcBorders>
          </w:tcPr>
          <w:p>
            <w:pPr>
              <w:pStyle w:val="TableParagraph"/>
              <w:jc w:val="left"/>
              <w:rPr>
                <w:sz w:val="12"/>
              </w:rPr>
            </w:pPr>
          </w:p>
        </w:tc>
        <w:tc>
          <w:tcPr>
            <w:tcW w:w="637" w:type="dxa"/>
            <w:tcBorders>
              <w:top w:val="single" w:sz="4" w:space="0" w:color="000000"/>
              <w:bottom w:val="single" w:sz="4" w:space="0" w:color="000000"/>
            </w:tcBorders>
          </w:tcPr>
          <w:p>
            <w:pPr>
              <w:pStyle w:val="TableParagraph"/>
              <w:jc w:val="left"/>
              <w:rPr>
                <w:sz w:val="12"/>
              </w:rPr>
            </w:pPr>
          </w:p>
        </w:tc>
        <w:tc>
          <w:tcPr>
            <w:tcW w:w="518" w:type="dxa"/>
            <w:tcBorders>
              <w:top w:val="single" w:sz="4" w:space="0" w:color="000000"/>
              <w:bottom w:val="single" w:sz="4" w:space="0" w:color="000000"/>
            </w:tcBorders>
          </w:tcPr>
          <w:p>
            <w:pPr>
              <w:pStyle w:val="TableParagraph"/>
              <w:jc w:val="left"/>
              <w:rPr>
                <w:sz w:val="12"/>
              </w:rPr>
            </w:pPr>
          </w:p>
        </w:tc>
      </w:tr>
      <w:tr>
        <w:trPr>
          <w:trHeight w:val="297" w:hRule="atLeast"/>
        </w:trPr>
        <w:tc>
          <w:tcPr>
            <w:tcW w:w="1037" w:type="dxa"/>
            <w:tcBorders>
              <w:bottom w:val="single" w:sz="4" w:space="0" w:color="000000"/>
            </w:tcBorders>
          </w:tcPr>
          <w:p>
            <w:pPr>
              <w:pStyle w:val="TableParagraph"/>
              <w:jc w:val="left"/>
              <w:rPr>
                <w:sz w:val="12"/>
              </w:rPr>
            </w:pPr>
          </w:p>
        </w:tc>
        <w:tc>
          <w:tcPr>
            <w:tcW w:w="798" w:type="dxa"/>
            <w:tcBorders>
              <w:top w:val="single" w:sz="4" w:space="0" w:color="000000"/>
              <w:bottom w:val="single" w:sz="4" w:space="0" w:color="000000"/>
            </w:tcBorders>
          </w:tcPr>
          <w:p>
            <w:pPr>
              <w:pStyle w:val="TableParagraph"/>
              <w:spacing w:before="71"/>
              <w:ind w:right="39"/>
              <w:rPr>
                <w:sz w:val="14"/>
              </w:rPr>
            </w:pPr>
            <w:r>
              <w:rPr>
                <w:sz w:val="14"/>
              </w:rPr>
              <w:t>(22</w:t>
            </w:r>
            <w:r>
              <w:rPr>
                <w:spacing w:val="1"/>
                <w:sz w:val="14"/>
              </w:rPr>
              <w:t> </w:t>
            </w:r>
            <w:r>
              <w:rPr>
                <w:spacing w:val="-2"/>
                <w:sz w:val="14"/>
              </w:rPr>
              <w:t>cases)</w:t>
            </w:r>
          </w:p>
        </w:tc>
        <w:tc>
          <w:tcPr>
            <w:tcW w:w="581" w:type="dxa"/>
            <w:tcBorders>
              <w:top w:val="single" w:sz="4" w:space="0" w:color="000000"/>
              <w:bottom w:val="single" w:sz="4" w:space="0" w:color="000000"/>
            </w:tcBorders>
          </w:tcPr>
          <w:p>
            <w:pPr>
              <w:pStyle w:val="TableParagraph"/>
              <w:spacing w:before="71"/>
              <w:ind w:right="44"/>
              <w:rPr>
                <w:sz w:val="14"/>
              </w:rPr>
            </w:pPr>
            <w:r>
              <w:rPr>
                <w:sz w:val="14"/>
              </w:rPr>
              <w:t>(2</w:t>
            </w:r>
            <w:r>
              <w:rPr>
                <w:spacing w:val="-1"/>
                <w:sz w:val="14"/>
              </w:rPr>
              <w:t> </w:t>
            </w:r>
            <w:r>
              <w:rPr>
                <w:spacing w:val="-2"/>
                <w:sz w:val="14"/>
              </w:rPr>
              <w:t>cases)</w:t>
            </w:r>
          </w:p>
        </w:tc>
        <w:tc>
          <w:tcPr>
            <w:tcW w:w="581" w:type="dxa"/>
            <w:tcBorders>
              <w:top w:val="single" w:sz="4" w:space="0" w:color="000000"/>
              <w:bottom w:val="single" w:sz="4" w:space="0" w:color="000000"/>
            </w:tcBorders>
          </w:tcPr>
          <w:p>
            <w:pPr>
              <w:pStyle w:val="TableParagraph"/>
              <w:spacing w:before="71"/>
              <w:ind w:right="39"/>
              <w:rPr>
                <w:sz w:val="14"/>
              </w:rPr>
            </w:pPr>
            <w:r>
              <w:rPr>
                <w:sz w:val="14"/>
              </w:rPr>
              <w:t>(1</w:t>
            </w:r>
            <w:r>
              <w:rPr>
                <w:spacing w:val="-1"/>
                <w:sz w:val="14"/>
              </w:rPr>
              <w:t> </w:t>
            </w:r>
            <w:r>
              <w:rPr>
                <w:spacing w:val="-2"/>
                <w:sz w:val="14"/>
              </w:rPr>
              <w:t>case)</w:t>
            </w:r>
          </w:p>
        </w:tc>
        <w:tc>
          <w:tcPr>
            <w:tcW w:w="581" w:type="dxa"/>
            <w:tcBorders>
              <w:top w:val="single" w:sz="4" w:space="0" w:color="000000"/>
              <w:bottom w:val="single" w:sz="4" w:space="0" w:color="000000"/>
            </w:tcBorders>
          </w:tcPr>
          <w:p>
            <w:pPr>
              <w:pStyle w:val="TableParagraph"/>
              <w:spacing w:before="71"/>
              <w:ind w:right="44"/>
              <w:rPr>
                <w:sz w:val="14"/>
              </w:rPr>
            </w:pPr>
            <w:r>
              <w:rPr>
                <w:sz w:val="14"/>
              </w:rPr>
              <w:t>(3</w:t>
            </w:r>
            <w:r>
              <w:rPr>
                <w:spacing w:val="-1"/>
                <w:sz w:val="14"/>
              </w:rPr>
              <w:t> </w:t>
            </w:r>
            <w:r>
              <w:rPr>
                <w:spacing w:val="-2"/>
                <w:sz w:val="14"/>
              </w:rPr>
              <w:t>cases)</w:t>
            </w:r>
          </w:p>
        </w:tc>
        <w:tc>
          <w:tcPr>
            <w:tcW w:w="582" w:type="dxa"/>
            <w:tcBorders>
              <w:top w:val="single" w:sz="4" w:space="0" w:color="000000"/>
              <w:bottom w:val="single" w:sz="4" w:space="0" w:color="000000"/>
            </w:tcBorders>
          </w:tcPr>
          <w:p>
            <w:pPr>
              <w:pStyle w:val="TableParagraph"/>
              <w:spacing w:before="71"/>
              <w:ind w:right="45"/>
              <w:rPr>
                <w:sz w:val="14"/>
              </w:rPr>
            </w:pPr>
            <w:r>
              <w:rPr>
                <w:sz w:val="14"/>
              </w:rPr>
              <w:t>(2</w:t>
            </w:r>
            <w:r>
              <w:rPr>
                <w:spacing w:val="-1"/>
                <w:sz w:val="14"/>
              </w:rPr>
              <w:t> </w:t>
            </w:r>
            <w:r>
              <w:rPr>
                <w:spacing w:val="-2"/>
                <w:sz w:val="14"/>
              </w:rPr>
              <w:t>cases)</w:t>
            </w:r>
          </w:p>
        </w:tc>
        <w:tc>
          <w:tcPr>
            <w:tcW w:w="583" w:type="dxa"/>
            <w:tcBorders>
              <w:top w:val="single" w:sz="4" w:space="0" w:color="000000"/>
              <w:bottom w:val="single" w:sz="4" w:space="0" w:color="000000"/>
            </w:tcBorders>
          </w:tcPr>
          <w:p>
            <w:pPr>
              <w:pStyle w:val="TableParagraph"/>
              <w:spacing w:before="71"/>
              <w:ind w:right="37"/>
              <w:rPr>
                <w:sz w:val="14"/>
              </w:rPr>
            </w:pPr>
            <w:r>
              <w:rPr>
                <w:sz w:val="14"/>
              </w:rPr>
              <w:t>(1</w:t>
            </w:r>
            <w:r>
              <w:rPr>
                <w:spacing w:val="-1"/>
                <w:sz w:val="14"/>
              </w:rPr>
              <w:t> </w:t>
            </w:r>
            <w:r>
              <w:rPr>
                <w:spacing w:val="-2"/>
                <w:sz w:val="14"/>
              </w:rPr>
              <w:t>case)</w:t>
            </w:r>
          </w:p>
        </w:tc>
        <w:tc>
          <w:tcPr>
            <w:tcW w:w="583" w:type="dxa"/>
            <w:tcBorders>
              <w:top w:val="single" w:sz="4" w:space="0" w:color="000000"/>
              <w:bottom w:val="single" w:sz="4" w:space="0" w:color="000000"/>
            </w:tcBorders>
          </w:tcPr>
          <w:p>
            <w:pPr>
              <w:pStyle w:val="TableParagraph"/>
              <w:spacing w:before="71"/>
              <w:ind w:right="44"/>
              <w:rPr>
                <w:sz w:val="14"/>
              </w:rPr>
            </w:pPr>
            <w:r>
              <w:rPr>
                <w:sz w:val="14"/>
              </w:rPr>
              <w:t>(4</w:t>
            </w:r>
            <w:r>
              <w:rPr>
                <w:spacing w:val="-1"/>
                <w:sz w:val="14"/>
              </w:rPr>
              <w:t> </w:t>
            </w:r>
            <w:r>
              <w:rPr>
                <w:spacing w:val="-2"/>
                <w:sz w:val="14"/>
              </w:rPr>
              <w:t>cases)</w:t>
            </w:r>
          </w:p>
        </w:tc>
        <w:tc>
          <w:tcPr>
            <w:tcW w:w="585" w:type="dxa"/>
            <w:tcBorders>
              <w:top w:val="single" w:sz="4" w:space="0" w:color="000000"/>
              <w:bottom w:val="single" w:sz="4" w:space="0" w:color="000000"/>
            </w:tcBorders>
          </w:tcPr>
          <w:p>
            <w:pPr>
              <w:pStyle w:val="TableParagraph"/>
              <w:spacing w:before="71"/>
              <w:ind w:left="6" w:right="5"/>
              <w:jc w:val="center"/>
              <w:rPr>
                <w:sz w:val="14"/>
              </w:rPr>
            </w:pPr>
            <w:r>
              <w:rPr>
                <w:sz w:val="14"/>
              </w:rPr>
              <w:t>(3</w:t>
            </w:r>
            <w:r>
              <w:rPr>
                <w:spacing w:val="-1"/>
                <w:sz w:val="14"/>
              </w:rPr>
              <w:t> </w:t>
            </w:r>
            <w:r>
              <w:rPr>
                <w:spacing w:val="-2"/>
                <w:sz w:val="14"/>
              </w:rPr>
              <w:t>cases)</w:t>
            </w:r>
          </w:p>
        </w:tc>
        <w:tc>
          <w:tcPr>
            <w:tcW w:w="612" w:type="dxa"/>
            <w:tcBorders>
              <w:top w:val="single" w:sz="4" w:space="0" w:color="000000"/>
              <w:bottom w:val="single" w:sz="4" w:space="0" w:color="000000"/>
            </w:tcBorders>
          </w:tcPr>
          <w:p>
            <w:pPr>
              <w:pStyle w:val="TableParagraph"/>
              <w:spacing w:before="71"/>
              <w:ind w:right="70"/>
              <w:rPr>
                <w:sz w:val="14"/>
              </w:rPr>
            </w:pPr>
            <w:r>
              <w:rPr>
                <w:sz w:val="14"/>
              </w:rPr>
              <w:t>(2</w:t>
            </w:r>
            <w:r>
              <w:rPr>
                <w:spacing w:val="-1"/>
                <w:sz w:val="14"/>
              </w:rPr>
              <w:t> </w:t>
            </w:r>
            <w:r>
              <w:rPr>
                <w:spacing w:val="-2"/>
                <w:sz w:val="14"/>
              </w:rPr>
              <w:t>cases)</w:t>
            </w:r>
          </w:p>
        </w:tc>
        <w:tc>
          <w:tcPr>
            <w:tcW w:w="581" w:type="dxa"/>
            <w:tcBorders>
              <w:top w:val="single" w:sz="4" w:space="0" w:color="000000"/>
              <w:bottom w:val="single" w:sz="4" w:space="0" w:color="000000"/>
            </w:tcBorders>
          </w:tcPr>
          <w:p>
            <w:pPr>
              <w:pStyle w:val="TableParagraph"/>
              <w:spacing w:before="71"/>
              <w:ind w:left="25" w:right="17"/>
              <w:jc w:val="center"/>
              <w:rPr>
                <w:sz w:val="14"/>
              </w:rPr>
            </w:pPr>
            <w:r>
              <w:rPr>
                <w:sz w:val="14"/>
              </w:rPr>
              <w:t>(1</w:t>
            </w:r>
            <w:r>
              <w:rPr>
                <w:spacing w:val="-1"/>
                <w:sz w:val="14"/>
              </w:rPr>
              <w:t> </w:t>
            </w:r>
            <w:r>
              <w:rPr>
                <w:spacing w:val="-2"/>
                <w:sz w:val="14"/>
              </w:rPr>
              <w:t>case)</w:t>
            </w:r>
          </w:p>
        </w:tc>
        <w:tc>
          <w:tcPr>
            <w:tcW w:w="607" w:type="dxa"/>
            <w:tcBorders>
              <w:top w:val="single" w:sz="4" w:space="0" w:color="000000"/>
              <w:bottom w:val="single" w:sz="4" w:space="0" w:color="000000"/>
            </w:tcBorders>
          </w:tcPr>
          <w:p>
            <w:pPr>
              <w:pStyle w:val="TableParagraph"/>
              <w:spacing w:before="71"/>
              <w:ind w:right="86"/>
              <w:rPr>
                <w:sz w:val="14"/>
              </w:rPr>
            </w:pPr>
            <w:r>
              <w:rPr>
                <w:sz w:val="14"/>
              </w:rPr>
              <w:t>(1</w:t>
            </w:r>
            <w:r>
              <w:rPr>
                <w:spacing w:val="-1"/>
                <w:sz w:val="14"/>
              </w:rPr>
              <w:t> </w:t>
            </w:r>
            <w:r>
              <w:rPr>
                <w:spacing w:val="-2"/>
                <w:sz w:val="14"/>
              </w:rPr>
              <w:t>case)</w:t>
            </w:r>
          </w:p>
        </w:tc>
        <w:tc>
          <w:tcPr>
            <w:tcW w:w="663" w:type="dxa"/>
            <w:tcBorders>
              <w:top w:val="single" w:sz="4" w:space="0" w:color="000000"/>
              <w:bottom w:val="single" w:sz="4" w:space="0" w:color="000000"/>
            </w:tcBorders>
          </w:tcPr>
          <w:p>
            <w:pPr>
              <w:pStyle w:val="TableParagraph"/>
              <w:spacing w:before="71"/>
              <w:ind w:right="91"/>
              <w:rPr>
                <w:sz w:val="14"/>
              </w:rPr>
            </w:pPr>
            <w:r>
              <w:rPr>
                <w:sz w:val="14"/>
              </w:rPr>
              <w:t>(1</w:t>
            </w:r>
            <w:r>
              <w:rPr>
                <w:spacing w:val="-1"/>
                <w:sz w:val="14"/>
              </w:rPr>
              <w:t> </w:t>
            </w:r>
            <w:r>
              <w:rPr>
                <w:spacing w:val="-2"/>
                <w:sz w:val="14"/>
              </w:rPr>
              <w:t>case)</w:t>
            </w:r>
          </w:p>
        </w:tc>
        <w:tc>
          <w:tcPr>
            <w:tcW w:w="733" w:type="dxa"/>
            <w:tcBorders>
              <w:top w:val="single" w:sz="4" w:space="0" w:color="000000"/>
              <w:bottom w:val="single" w:sz="4" w:space="0" w:color="000000"/>
            </w:tcBorders>
          </w:tcPr>
          <w:p>
            <w:pPr>
              <w:pStyle w:val="TableParagraph"/>
              <w:spacing w:before="71"/>
              <w:ind w:right="38"/>
              <w:rPr>
                <w:sz w:val="14"/>
              </w:rPr>
            </w:pPr>
            <w:r>
              <w:rPr>
                <w:sz w:val="14"/>
              </w:rPr>
              <w:t>(1</w:t>
            </w:r>
            <w:r>
              <w:rPr>
                <w:spacing w:val="-1"/>
                <w:sz w:val="14"/>
              </w:rPr>
              <w:t> </w:t>
            </w:r>
            <w:r>
              <w:rPr>
                <w:spacing w:val="-2"/>
                <w:sz w:val="14"/>
              </w:rPr>
              <w:t>case)</w:t>
            </w:r>
          </w:p>
        </w:tc>
        <w:tc>
          <w:tcPr>
            <w:tcW w:w="631" w:type="dxa"/>
            <w:tcBorders>
              <w:top w:val="single" w:sz="4" w:space="0" w:color="000000"/>
              <w:bottom w:val="single" w:sz="4" w:space="0" w:color="000000"/>
            </w:tcBorders>
          </w:tcPr>
          <w:p>
            <w:pPr>
              <w:pStyle w:val="TableParagraph"/>
              <w:jc w:val="left"/>
              <w:rPr>
                <w:sz w:val="12"/>
              </w:rPr>
            </w:pPr>
          </w:p>
        </w:tc>
        <w:tc>
          <w:tcPr>
            <w:tcW w:w="720" w:type="dxa"/>
            <w:tcBorders>
              <w:top w:val="single" w:sz="4" w:space="0" w:color="000000"/>
              <w:bottom w:val="single" w:sz="4" w:space="0" w:color="000000"/>
            </w:tcBorders>
          </w:tcPr>
          <w:p>
            <w:pPr>
              <w:pStyle w:val="TableParagraph"/>
              <w:jc w:val="left"/>
              <w:rPr>
                <w:sz w:val="12"/>
              </w:rPr>
            </w:pPr>
          </w:p>
        </w:tc>
        <w:tc>
          <w:tcPr>
            <w:tcW w:w="637" w:type="dxa"/>
            <w:tcBorders>
              <w:top w:val="single" w:sz="4" w:space="0" w:color="000000"/>
              <w:bottom w:val="single" w:sz="4" w:space="0" w:color="000000"/>
            </w:tcBorders>
          </w:tcPr>
          <w:p>
            <w:pPr>
              <w:pStyle w:val="TableParagraph"/>
              <w:jc w:val="left"/>
              <w:rPr>
                <w:sz w:val="12"/>
              </w:rPr>
            </w:pPr>
          </w:p>
        </w:tc>
        <w:tc>
          <w:tcPr>
            <w:tcW w:w="518" w:type="dxa"/>
            <w:tcBorders>
              <w:top w:val="single" w:sz="4" w:space="0" w:color="000000"/>
              <w:bottom w:val="single" w:sz="4" w:space="0" w:color="000000"/>
            </w:tcBorders>
          </w:tcPr>
          <w:p>
            <w:pPr>
              <w:pStyle w:val="TableParagraph"/>
              <w:jc w:val="left"/>
              <w:rPr>
                <w:sz w:val="12"/>
              </w:rPr>
            </w:pPr>
          </w:p>
        </w:tc>
      </w:tr>
      <w:tr>
        <w:trPr>
          <w:trHeight w:val="302" w:hRule="atLeast"/>
        </w:trPr>
        <w:tc>
          <w:tcPr>
            <w:tcW w:w="1037" w:type="dxa"/>
            <w:tcBorders>
              <w:top w:val="single" w:sz="4" w:space="0" w:color="000000"/>
            </w:tcBorders>
          </w:tcPr>
          <w:p>
            <w:pPr>
              <w:pStyle w:val="TableParagraph"/>
              <w:spacing w:before="70"/>
              <w:ind w:left="28"/>
              <w:jc w:val="left"/>
              <w:rPr>
                <w:sz w:val="14"/>
              </w:rPr>
            </w:pPr>
            <w:r>
              <w:rPr>
                <w:sz w:val="14"/>
              </w:rPr>
              <w:t>2022</w:t>
            </w:r>
            <w:r>
              <w:rPr>
                <w:spacing w:val="-2"/>
                <w:sz w:val="14"/>
              </w:rPr>
              <w:t> Approved</w:t>
            </w:r>
            <w:r>
              <w:rPr>
                <w:spacing w:val="-2"/>
                <w:sz w:val="14"/>
                <w:vertAlign w:val="superscript"/>
              </w:rPr>
              <w:t>(2)</w:t>
            </w:r>
          </w:p>
        </w:tc>
        <w:tc>
          <w:tcPr>
            <w:tcW w:w="798" w:type="dxa"/>
            <w:tcBorders>
              <w:top w:val="single" w:sz="4" w:space="0" w:color="000000"/>
              <w:bottom w:val="single" w:sz="4" w:space="0" w:color="000000"/>
            </w:tcBorders>
          </w:tcPr>
          <w:p>
            <w:pPr>
              <w:pStyle w:val="TableParagraph"/>
              <w:spacing w:before="70"/>
              <w:ind w:right="40"/>
              <w:rPr>
                <w:sz w:val="14"/>
              </w:rPr>
            </w:pPr>
            <w:r>
              <w:rPr>
                <w:spacing w:val="-2"/>
                <w:sz w:val="14"/>
              </w:rPr>
              <w:t>33,580.9</w:t>
            </w:r>
          </w:p>
        </w:tc>
        <w:tc>
          <w:tcPr>
            <w:tcW w:w="581" w:type="dxa"/>
            <w:tcBorders>
              <w:top w:val="single" w:sz="4" w:space="0" w:color="000000"/>
              <w:bottom w:val="single" w:sz="4" w:space="0" w:color="000000"/>
            </w:tcBorders>
          </w:tcPr>
          <w:p>
            <w:pPr>
              <w:pStyle w:val="TableParagraph"/>
              <w:spacing w:before="70"/>
              <w:ind w:right="40"/>
              <w:rPr>
                <w:sz w:val="14"/>
              </w:rPr>
            </w:pPr>
            <w:r>
              <w:rPr>
                <w:spacing w:val="-2"/>
                <w:sz w:val="14"/>
              </w:rPr>
              <w:t>2,512.1</w:t>
            </w:r>
          </w:p>
        </w:tc>
        <w:tc>
          <w:tcPr>
            <w:tcW w:w="581" w:type="dxa"/>
            <w:tcBorders>
              <w:top w:val="single" w:sz="4" w:space="0" w:color="000000"/>
              <w:bottom w:val="single" w:sz="4" w:space="0" w:color="000000"/>
            </w:tcBorders>
          </w:tcPr>
          <w:p>
            <w:pPr>
              <w:pStyle w:val="TableParagraph"/>
              <w:spacing w:before="70"/>
              <w:ind w:right="40"/>
              <w:rPr>
                <w:sz w:val="14"/>
              </w:rPr>
            </w:pPr>
            <w:r>
              <w:rPr>
                <w:spacing w:val="-2"/>
                <w:sz w:val="14"/>
              </w:rPr>
              <w:t>2,477.5</w:t>
            </w:r>
          </w:p>
        </w:tc>
        <w:tc>
          <w:tcPr>
            <w:tcW w:w="581" w:type="dxa"/>
            <w:tcBorders>
              <w:top w:val="single" w:sz="4" w:space="0" w:color="000000"/>
              <w:bottom w:val="single" w:sz="4" w:space="0" w:color="000000"/>
            </w:tcBorders>
          </w:tcPr>
          <w:p>
            <w:pPr>
              <w:pStyle w:val="TableParagraph"/>
              <w:spacing w:before="70"/>
              <w:ind w:right="40"/>
              <w:rPr>
                <w:sz w:val="14"/>
              </w:rPr>
            </w:pPr>
            <w:r>
              <w:rPr>
                <w:spacing w:val="-2"/>
                <w:sz w:val="14"/>
              </w:rPr>
              <w:t>6,035.6</w:t>
            </w:r>
          </w:p>
        </w:tc>
        <w:tc>
          <w:tcPr>
            <w:tcW w:w="582" w:type="dxa"/>
            <w:tcBorders>
              <w:top w:val="single" w:sz="4" w:space="0" w:color="000000"/>
              <w:bottom w:val="single" w:sz="4" w:space="0" w:color="000000"/>
            </w:tcBorders>
          </w:tcPr>
          <w:p>
            <w:pPr>
              <w:pStyle w:val="TableParagraph"/>
              <w:spacing w:before="70"/>
              <w:ind w:right="41"/>
              <w:rPr>
                <w:sz w:val="14"/>
              </w:rPr>
            </w:pPr>
            <w:r>
              <w:rPr>
                <w:spacing w:val="-2"/>
                <w:sz w:val="14"/>
              </w:rPr>
              <w:t>5,362.2</w:t>
            </w:r>
          </w:p>
        </w:tc>
        <w:tc>
          <w:tcPr>
            <w:tcW w:w="583" w:type="dxa"/>
            <w:tcBorders>
              <w:top w:val="single" w:sz="4" w:space="0" w:color="000000"/>
              <w:bottom w:val="single" w:sz="4" w:space="0" w:color="000000"/>
            </w:tcBorders>
          </w:tcPr>
          <w:p>
            <w:pPr>
              <w:pStyle w:val="TableParagraph"/>
              <w:spacing w:before="70"/>
              <w:ind w:right="37"/>
              <w:rPr>
                <w:sz w:val="14"/>
              </w:rPr>
            </w:pPr>
            <w:r>
              <w:rPr>
                <w:spacing w:val="-2"/>
                <w:sz w:val="14"/>
              </w:rPr>
              <w:t>260.9</w:t>
            </w:r>
          </w:p>
        </w:tc>
        <w:tc>
          <w:tcPr>
            <w:tcW w:w="583" w:type="dxa"/>
            <w:tcBorders>
              <w:top w:val="single" w:sz="4" w:space="0" w:color="000000"/>
              <w:bottom w:val="single" w:sz="4" w:space="0" w:color="000000"/>
            </w:tcBorders>
          </w:tcPr>
          <w:p>
            <w:pPr>
              <w:pStyle w:val="TableParagraph"/>
              <w:spacing w:before="70"/>
              <w:ind w:right="40"/>
              <w:rPr>
                <w:sz w:val="14"/>
              </w:rPr>
            </w:pPr>
            <w:r>
              <w:rPr>
                <w:spacing w:val="-2"/>
                <w:sz w:val="14"/>
              </w:rPr>
              <w:t>2,118.2</w:t>
            </w:r>
          </w:p>
        </w:tc>
        <w:tc>
          <w:tcPr>
            <w:tcW w:w="585" w:type="dxa"/>
            <w:tcBorders>
              <w:top w:val="single" w:sz="4" w:space="0" w:color="000000"/>
              <w:bottom w:val="single" w:sz="4" w:space="0" w:color="000000"/>
            </w:tcBorders>
          </w:tcPr>
          <w:p>
            <w:pPr>
              <w:pStyle w:val="TableParagraph"/>
              <w:spacing w:before="70"/>
              <w:ind w:left="90" w:right="7"/>
              <w:jc w:val="center"/>
              <w:rPr>
                <w:sz w:val="14"/>
              </w:rPr>
            </w:pPr>
            <w:r>
              <w:rPr>
                <w:spacing w:val="-2"/>
                <w:sz w:val="14"/>
              </w:rPr>
              <w:t>4,224.5</w:t>
            </w:r>
          </w:p>
        </w:tc>
        <w:tc>
          <w:tcPr>
            <w:tcW w:w="612" w:type="dxa"/>
            <w:tcBorders>
              <w:top w:val="single" w:sz="4" w:space="0" w:color="000000"/>
              <w:bottom w:val="single" w:sz="4" w:space="0" w:color="000000"/>
            </w:tcBorders>
          </w:tcPr>
          <w:p>
            <w:pPr>
              <w:pStyle w:val="TableParagraph"/>
              <w:spacing w:before="70"/>
              <w:ind w:right="65"/>
              <w:rPr>
                <w:sz w:val="14"/>
              </w:rPr>
            </w:pPr>
            <w:r>
              <w:rPr>
                <w:spacing w:val="-2"/>
                <w:sz w:val="14"/>
              </w:rPr>
              <w:t>3,531.5</w:t>
            </w:r>
          </w:p>
        </w:tc>
        <w:tc>
          <w:tcPr>
            <w:tcW w:w="581" w:type="dxa"/>
            <w:tcBorders>
              <w:top w:val="single" w:sz="4" w:space="0" w:color="000000"/>
              <w:bottom w:val="single" w:sz="4" w:space="0" w:color="000000"/>
            </w:tcBorders>
          </w:tcPr>
          <w:p>
            <w:pPr>
              <w:pStyle w:val="TableParagraph"/>
              <w:spacing w:before="70"/>
              <w:ind w:left="43" w:right="17"/>
              <w:jc w:val="center"/>
              <w:rPr>
                <w:sz w:val="14"/>
              </w:rPr>
            </w:pPr>
            <w:r>
              <w:rPr>
                <w:spacing w:val="-2"/>
                <w:sz w:val="14"/>
              </w:rPr>
              <w:t>2,476.7</w:t>
            </w:r>
          </w:p>
        </w:tc>
        <w:tc>
          <w:tcPr>
            <w:tcW w:w="607" w:type="dxa"/>
            <w:tcBorders>
              <w:top w:val="single" w:sz="4" w:space="0" w:color="000000"/>
              <w:bottom w:val="single" w:sz="4" w:space="0" w:color="000000"/>
            </w:tcBorders>
          </w:tcPr>
          <w:p>
            <w:pPr>
              <w:pStyle w:val="TableParagraph"/>
              <w:spacing w:before="70"/>
              <w:ind w:right="86"/>
              <w:rPr>
                <w:sz w:val="14"/>
              </w:rPr>
            </w:pPr>
            <w:r>
              <w:rPr>
                <w:spacing w:val="-2"/>
                <w:sz w:val="14"/>
              </w:rPr>
              <w:t>1,932.9</w:t>
            </w:r>
          </w:p>
        </w:tc>
        <w:tc>
          <w:tcPr>
            <w:tcW w:w="663" w:type="dxa"/>
            <w:tcBorders>
              <w:top w:val="single" w:sz="4" w:space="0" w:color="000000"/>
              <w:bottom w:val="single" w:sz="4" w:space="0" w:color="000000"/>
            </w:tcBorders>
          </w:tcPr>
          <w:p>
            <w:pPr>
              <w:pStyle w:val="TableParagraph"/>
              <w:spacing w:before="70"/>
              <w:ind w:right="91"/>
              <w:rPr>
                <w:sz w:val="14"/>
              </w:rPr>
            </w:pPr>
            <w:r>
              <w:rPr>
                <w:spacing w:val="-2"/>
                <w:sz w:val="14"/>
              </w:rPr>
              <w:t>1,625.2</w:t>
            </w:r>
          </w:p>
        </w:tc>
        <w:tc>
          <w:tcPr>
            <w:tcW w:w="733" w:type="dxa"/>
            <w:tcBorders>
              <w:top w:val="single" w:sz="4" w:space="0" w:color="000000"/>
              <w:bottom w:val="single" w:sz="4" w:space="0" w:color="000000"/>
            </w:tcBorders>
          </w:tcPr>
          <w:p>
            <w:pPr>
              <w:pStyle w:val="TableParagraph"/>
              <w:spacing w:before="70"/>
              <w:ind w:right="36"/>
              <w:rPr>
                <w:sz w:val="14"/>
              </w:rPr>
            </w:pPr>
            <w:r>
              <w:rPr>
                <w:spacing w:val="-2"/>
                <w:sz w:val="14"/>
              </w:rPr>
              <w:t>456.6</w:t>
            </w:r>
          </w:p>
        </w:tc>
        <w:tc>
          <w:tcPr>
            <w:tcW w:w="631" w:type="dxa"/>
            <w:tcBorders>
              <w:top w:val="single" w:sz="4" w:space="0" w:color="000000"/>
              <w:bottom w:val="single" w:sz="4" w:space="0" w:color="000000"/>
            </w:tcBorders>
          </w:tcPr>
          <w:p>
            <w:pPr>
              <w:pStyle w:val="TableParagraph"/>
              <w:spacing w:before="70"/>
              <w:ind w:right="72"/>
              <w:rPr>
                <w:sz w:val="14"/>
              </w:rPr>
            </w:pPr>
            <w:r>
              <w:rPr>
                <w:spacing w:val="-2"/>
                <w:sz w:val="14"/>
              </w:rPr>
              <w:t>328.9</w:t>
            </w:r>
          </w:p>
        </w:tc>
        <w:tc>
          <w:tcPr>
            <w:tcW w:w="720" w:type="dxa"/>
            <w:tcBorders>
              <w:top w:val="single" w:sz="4" w:space="0" w:color="000000"/>
              <w:bottom w:val="single" w:sz="4" w:space="0" w:color="000000"/>
            </w:tcBorders>
          </w:tcPr>
          <w:p>
            <w:pPr>
              <w:pStyle w:val="TableParagraph"/>
              <w:spacing w:before="70"/>
              <w:ind w:right="72"/>
              <w:rPr>
                <w:sz w:val="14"/>
              </w:rPr>
            </w:pPr>
            <w:r>
              <w:rPr>
                <w:spacing w:val="-2"/>
                <w:sz w:val="14"/>
              </w:rPr>
              <w:t>588.7</w:t>
            </w:r>
          </w:p>
        </w:tc>
        <w:tc>
          <w:tcPr>
            <w:tcW w:w="637" w:type="dxa"/>
            <w:tcBorders>
              <w:top w:val="single" w:sz="4" w:space="0" w:color="000000"/>
              <w:bottom w:val="single" w:sz="4" w:space="0" w:color="000000"/>
            </w:tcBorders>
          </w:tcPr>
          <w:p>
            <w:pPr>
              <w:pStyle w:val="TableParagraph"/>
              <w:spacing w:before="70"/>
              <w:ind w:right="40"/>
              <w:rPr>
                <w:sz w:val="14"/>
              </w:rPr>
            </w:pPr>
            <w:r>
              <w:rPr>
                <w:w w:val="99"/>
                <w:sz w:val="14"/>
              </w:rPr>
              <w:t>-</w:t>
            </w:r>
          </w:p>
        </w:tc>
        <w:tc>
          <w:tcPr>
            <w:tcW w:w="518" w:type="dxa"/>
            <w:tcBorders>
              <w:top w:val="single" w:sz="4" w:space="0" w:color="000000"/>
              <w:bottom w:val="single" w:sz="4" w:space="0" w:color="000000"/>
            </w:tcBorders>
          </w:tcPr>
          <w:p>
            <w:pPr>
              <w:pStyle w:val="TableParagraph"/>
              <w:spacing w:before="70"/>
              <w:ind w:right="11"/>
              <w:rPr>
                <w:sz w:val="14"/>
              </w:rPr>
            </w:pPr>
            <w:r>
              <w:rPr>
                <w:w w:val="99"/>
                <w:sz w:val="14"/>
              </w:rPr>
              <w:t>-</w:t>
            </w:r>
          </w:p>
        </w:tc>
      </w:tr>
      <w:tr>
        <w:trPr>
          <w:trHeight w:val="297" w:hRule="atLeast"/>
        </w:trPr>
        <w:tc>
          <w:tcPr>
            <w:tcW w:w="1037" w:type="dxa"/>
            <w:tcBorders>
              <w:bottom w:val="single" w:sz="4" w:space="0" w:color="000000"/>
            </w:tcBorders>
          </w:tcPr>
          <w:p>
            <w:pPr>
              <w:pStyle w:val="TableParagraph"/>
              <w:jc w:val="left"/>
              <w:rPr>
                <w:sz w:val="12"/>
              </w:rPr>
            </w:pPr>
          </w:p>
        </w:tc>
        <w:tc>
          <w:tcPr>
            <w:tcW w:w="798" w:type="dxa"/>
            <w:tcBorders>
              <w:top w:val="single" w:sz="4" w:space="0" w:color="000000"/>
              <w:bottom w:val="single" w:sz="4" w:space="0" w:color="000000"/>
            </w:tcBorders>
          </w:tcPr>
          <w:p>
            <w:pPr>
              <w:pStyle w:val="TableParagraph"/>
              <w:spacing w:before="70"/>
              <w:ind w:right="44"/>
              <w:rPr>
                <w:sz w:val="14"/>
              </w:rPr>
            </w:pPr>
            <w:r>
              <w:rPr>
                <w:sz w:val="14"/>
              </w:rPr>
              <w:t>(22</w:t>
            </w:r>
            <w:r>
              <w:rPr>
                <w:spacing w:val="-2"/>
                <w:sz w:val="14"/>
              </w:rPr>
              <w:t> </w:t>
            </w:r>
            <w:r>
              <w:rPr>
                <w:sz w:val="14"/>
              </w:rPr>
              <w:t>cases</w:t>
            </w:r>
            <w:r>
              <w:rPr>
                <w:spacing w:val="-5"/>
                <w:sz w:val="14"/>
              </w:rPr>
              <w:t> </w:t>
            </w:r>
            <w:r>
              <w:rPr>
                <w:spacing w:val="-10"/>
                <w:sz w:val="14"/>
              </w:rPr>
              <w:t>)</w:t>
            </w:r>
          </w:p>
        </w:tc>
        <w:tc>
          <w:tcPr>
            <w:tcW w:w="581" w:type="dxa"/>
            <w:tcBorders>
              <w:top w:val="single" w:sz="4" w:space="0" w:color="000000"/>
              <w:bottom w:val="single" w:sz="4" w:space="0" w:color="000000"/>
            </w:tcBorders>
          </w:tcPr>
          <w:p>
            <w:pPr>
              <w:pStyle w:val="TableParagraph"/>
              <w:spacing w:before="70"/>
              <w:ind w:right="44"/>
              <w:rPr>
                <w:sz w:val="14"/>
              </w:rPr>
            </w:pPr>
            <w:r>
              <w:rPr>
                <w:sz w:val="14"/>
              </w:rPr>
              <w:t>(2</w:t>
            </w:r>
            <w:r>
              <w:rPr>
                <w:spacing w:val="-1"/>
                <w:sz w:val="14"/>
              </w:rPr>
              <w:t> </w:t>
            </w:r>
            <w:r>
              <w:rPr>
                <w:spacing w:val="-2"/>
                <w:sz w:val="14"/>
              </w:rPr>
              <w:t>cases)</w:t>
            </w:r>
          </w:p>
        </w:tc>
        <w:tc>
          <w:tcPr>
            <w:tcW w:w="581" w:type="dxa"/>
            <w:tcBorders>
              <w:top w:val="single" w:sz="4" w:space="0" w:color="000000"/>
              <w:bottom w:val="single" w:sz="4" w:space="0" w:color="000000"/>
            </w:tcBorders>
          </w:tcPr>
          <w:p>
            <w:pPr>
              <w:pStyle w:val="TableParagraph"/>
              <w:spacing w:before="70"/>
              <w:ind w:right="39"/>
              <w:rPr>
                <w:sz w:val="14"/>
              </w:rPr>
            </w:pPr>
            <w:r>
              <w:rPr>
                <w:sz w:val="14"/>
              </w:rPr>
              <w:t>(1</w:t>
            </w:r>
            <w:r>
              <w:rPr>
                <w:spacing w:val="-1"/>
                <w:sz w:val="14"/>
              </w:rPr>
              <w:t> </w:t>
            </w:r>
            <w:r>
              <w:rPr>
                <w:spacing w:val="-2"/>
                <w:sz w:val="14"/>
              </w:rPr>
              <w:t>case)</w:t>
            </w:r>
          </w:p>
        </w:tc>
        <w:tc>
          <w:tcPr>
            <w:tcW w:w="581" w:type="dxa"/>
            <w:tcBorders>
              <w:top w:val="single" w:sz="4" w:space="0" w:color="000000"/>
              <w:bottom w:val="single" w:sz="4" w:space="0" w:color="000000"/>
            </w:tcBorders>
          </w:tcPr>
          <w:p>
            <w:pPr>
              <w:pStyle w:val="TableParagraph"/>
              <w:spacing w:before="70"/>
              <w:ind w:right="44"/>
              <w:rPr>
                <w:sz w:val="14"/>
              </w:rPr>
            </w:pPr>
            <w:r>
              <w:rPr>
                <w:sz w:val="14"/>
              </w:rPr>
              <w:t>(3</w:t>
            </w:r>
            <w:r>
              <w:rPr>
                <w:spacing w:val="-1"/>
                <w:sz w:val="14"/>
              </w:rPr>
              <w:t> </w:t>
            </w:r>
            <w:r>
              <w:rPr>
                <w:spacing w:val="-2"/>
                <w:sz w:val="14"/>
              </w:rPr>
              <w:t>cases)</w:t>
            </w:r>
          </w:p>
        </w:tc>
        <w:tc>
          <w:tcPr>
            <w:tcW w:w="582" w:type="dxa"/>
            <w:tcBorders>
              <w:top w:val="single" w:sz="4" w:space="0" w:color="000000"/>
              <w:bottom w:val="single" w:sz="4" w:space="0" w:color="000000"/>
            </w:tcBorders>
          </w:tcPr>
          <w:p>
            <w:pPr>
              <w:pStyle w:val="TableParagraph"/>
              <w:spacing w:before="70"/>
              <w:ind w:right="45"/>
              <w:rPr>
                <w:sz w:val="14"/>
              </w:rPr>
            </w:pPr>
            <w:r>
              <w:rPr>
                <w:sz w:val="14"/>
              </w:rPr>
              <w:t>(2</w:t>
            </w:r>
            <w:r>
              <w:rPr>
                <w:spacing w:val="-1"/>
                <w:sz w:val="14"/>
              </w:rPr>
              <w:t> </w:t>
            </w:r>
            <w:r>
              <w:rPr>
                <w:spacing w:val="-2"/>
                <w:sz w:val="14"/>
              </w:rPr>
              <w:t>cases)</w:t>
            </w:r>
          </w:p>
        </w:tc>
        <w:tc>
          <w:tcPr>
            <w:tcW w:w="583" w:type="dxa"/>
            <w:tcBorders>
              <w:top w:val="single" w:sz="4" w:space="0" w:color="000000"/>
              <w:bottom w:val="single" w:sz="4" w:space="0" w:color="000000"/>
            </w:tcBorders>
          </w:tcPr>
          <w:p>
            <w:pPr>
              <w:pStyle w:val="TableParagraph"/>
              <w:spacing w:before="70"/>
              <w:ind w:right="37"/>
              <w:rPr>
                <w:sz w:val="14"/>
              </w:rPr>
            </w:pPr>
            <w:r>
              <w:rPr>
                <w:sz w:val="14"/>
              </w:rPr>
              <w:t>(1</w:t>
            </w:r>
            <w:r>
              <w:rPr>
                <w:spacing w:val="-1"/>
                <w:sz w:val="14"/>
              </w:rPr>
              <w:t> </w:t>
            </w:r>
            <w:r>
              <w:rPr>
                <w:spacing w:val="-2"/>
                <w:sz w:val="14"/>
              </w:rPr>
              <w:t>case)</w:t>
            </w:r>
          </w:p>
        </w:tc>
        <w:tc>
          <w:tcPr>
            <w:tcW w:w="583" w:type="dxa"/>
            <w:tcBorders>
              <w:top w:val="single" w:sz="4" w:space="0" w:color="000000"/>
              <w:bottom w:val="single" w:sz="4" w:space="0" w:color="000000"/>
            </w:tcBorders>
          </w:tcPr>
          <w:p>
            <w:pPr>
              <w:pStyle w:val="TableParagraph"/>
              <w:spacing w:before="70"/>
              <w:ind w:right="44"/>
              <w:rPr>
                <w:sz w:val="14"/>
              </w:rPr>
            </w:pPr>
            <w:r>
              <w:rPr>
                <w:sz w:val="14"/>
              </w:rPr>
              <w:t>(4</w:t>
            </w:r>
            <w:r>
              <w:rPr>
                <w:spacing w:val="-1"/>
                <w:sz w:val="14"/>
              </w:rPr>
              <w:t> </w:t>
            </w:r>
            <w:r>
              <w:rPr>
                <w:spacing w:val="-2"/>
                <w:sz w:val="14"/>
              </w:rPr>
              <w:t>cases)</w:t>
            </w:r>
          </w:p>
        </w:tc>
        <w:tc>
          <w:tcPr>
            <w:tcW w:w="585" w:type="dxa"/>
            <w:tcBorders>
              <w:top w:val="single" w:sz="4" w:space="0" w:color="000000"/>
              <w:bottom w:val="single" w:sz="4" w:space="0" w:color="000000"/>
            </w:tcBorders>
          </w:tcPr>
          <w:p>
            <w:pPr>
              <w:pStyle w:val="TableParagraph"/>
              <w:spacing w:before="70"/>
              <w:ind w:left="6" w:right="5"/>
              <w:jc w:val="center"/>
              <w:rPr>
                <w:sz w:val="14"/>
              </w:rPr>
            </w:pPr>
            <w:r>
              <w:rPr>
                <w:sz w:val="14"/>
              </w:rPr>
              <w:t>(2</w:t>
            </w:r>
            <w:r>
              <w:rPr>
                <w:spacing w:val="-1"/>
                <w:sz w:val="14"/>
              </w:rPr>
              <w:t> </w:t>
            </w:r>
            <w:r>
              <w:rPr>
                <w:spacing w:val="-2"/>
                <w:sz w:val="14"/>
              </w:rPr>
              <w:t>cases)</w:t>
            </w:r>
          </w:p>
        </w:tc>
        <w:tc>
          <w:tcPr>
            <w:tcW w:w="612" w:type="dxa"/>
            <w:tcBorders>
              <w:top w:val="single" w:sz="4" w:space="0" w:color="000000"/>
              <w:bottom w:val="single" w:sz="4" w:space="0" w:color="000000"/>
            </w:tcBorders>
          </w:tcPr>
          <w:p>
            <w:pPr>
              <w:pStyle w:val="TableParagraph"/>
              <w:spacing w:before="70"/>
              <w:ind w:right="65"/>
              <w:rPr>
                <w:sz w:val="14"/>
              </w:rPr>
            </w:pPr>
            <w:r>
              <w:rPr>
                <w:sz w:val="14"/>
              </w:rPr>
              <w:t>(1</w:t>
            </w:r>
            <w:r>
              <w:rPr>
                <w:spacing w:val="-1"/>
                <w:sz w:val="14"/>
              </w:rPr>
              <w:t> </w:t>
            </w:r>
            <w:r>
              <w:rPr>
                <w:spacing w:val="-2"/>
                <w:sz w:val="14"/>
              </w:rPr>
              <w:t>case)</w:t>
            </w:r>
          </w:p>
        </w:tc>
        <w:tc>
          <w:tcPr>
            <w:tcW w:w="581" w:type="dxa"/>
            <w:tcBorders>
              <w:top w:val="single" w:sz="4" w:space="0" w:color="000000"/>
              <w:bottom w:val="single" w:sz="4" w:space="0" w:color="000000"/>
            </w:tcBorders>
          </w:tcPr>
          <w:p>
            <w:pPr>
              <w:pStyle w:val="TableParagraph"/>
              <w:spacing w:before="70"/>
              <w:ind w:left="25" w:right="17"/>
              <w:jc w:val="center"/>
              <w:rPr>
                <w:sz w:val="14"/>
              </w:rPr>
            </w:pPr>
            <w:r>
              <w:rPr>
                <w:sz w:val="14"/>
              </w:rPr>
              <w:t>(1</w:t>
            </w:r>
            <w:r>
              <w:rPr>
                <w:spacing w:val="-1"/>
                <w:sz w:val="14"/>
              </w:rPr>
              <w:t> </w:t>
            </w:r>
            <w:r>
              <w:rPr>
                <w:spacing w:val="-2"/>
                <w:sz w:val="14"/>
              </w:rPr>
              <w:t>case)</w:t>
            </w:r>
          </w:p>
        </w:tc>
        <w:tc>
          <w:tcPr>
            <w:tcW w:w="607" w:type="dxa"/>
            <w:tcBorders>
              <w:top w:val="single" w:sz="4" w:space="0" w:color="000000"/>
              <w:bottom w:val="single" w:sz="4" w:space="0" w:color="000000"/>
            </w:tcBorders>
          </w:tcPr>
          <w:p>
            <w:pPr>
              <w:pStyle w:val="TableParagraph"/>
              <w:spacing w:before="70"/>
              <w:ind w:right="86"/>
              <w:rPr>
                <w:sz w:val="14"/>
              </w:rPr>
            </w:pPr>
            <w:r>
              <w:rPr>
                <w:sz w:val="14"/>
              </w:rPr>
              <w:t>(1</w:t>
            </w:r>
            <w:r>
              <w:rPr>
                <w:spacing w:val="-1"/>
                <w:sz w:val="14"/>
              </w:rPr>
              <w:t> </w:t>
            </w:r>
            <w:r>
              <w:rPr>
                <w:spacing w:val="-2"/>
                <w:sz w:val="14"/>
              </w:rPr>
              <w:t>case)</w:t>
            </w:r>
          </w:p>
        </w:tc>
        <w:tc>
          <w:tcPr>
            <w:tcW w:w="663" w:type="dxa"/>
            <w:tcBorders>
              <w:top w:val="single" w:sz="4" w:space="0" w:color="000000"/>
              <w:bottom w:val="single" w:sz="4" w:space="0" w:color="000000"/>
            </w:tcBorders>
          </w:tcPr>
          <w:p>
            <w:pPr>
              <w:pStyle w:val="TableParagraph"/>
              <w:spacing w:before="70"/>
              <w:ind w:right="91"/>
              <w:rPr>
                <w:sz w:val="14"/>
              </w:rPr>
            </w:pPr>
            <w:r>
              <w:rPr>
                <w:sz w:val="14"/>
              </w:rPr>
              <w:t>(1</w:t>
            </w:r>
            <w:r>
              <w:rPr>
                <w:spacing w:val="-1"/>
                <w:sz w:val="14"/>
              </w:rPr>
              <w:t> </w:t>
            </w:r>
            <w:r>
              <w:rPr>
                <w:spacing w:val="-2"/>
                <w:sz w:val="14"/>
              </w:rPr>
              <w:t>case)</w:t>
            </w:r>
          </w:p>
        </w:tc>
        <w:tc>
          <w:tcPr>
            <w:tcW w:w="733" w:type="dxa"/>
            <w:tcBorders>
              <w:top w:val="single" w:sz="4" w:space="0" w:color="000000"/>
              <w:bottom w:val="single" w:sz="4" w:space="0" w:color="000000"/>
            </w:tcBorders>
          </w:tcPr>
          <w:p>
            <w:pPr>
              <w:pStyle w:val="TableParagraph"/>
              <w:spacing w:before="70"/>
              <w:ind w:right="38"/>
              <w:rPr>
                <w:sz w:val="14"/>
              </w:rPr>
            </w:pPr>
            <w:r>
              <w:rPr>
                <w:sz w:val="14"/>
              </w:rPr>
              <w:t>(1</w:t>
            </w:r>
            <w:r>
              <w:rPr>
                <w:spacing w:val="-1"/>
                <w:sz w:val="14"/>
              </w:rPr>
              <w:t> </w:t>
            </w:r>
            <w:r>
              <w:rPr>
                <w:spacing w:val="-2"/>
                <w:sz w:val="14"/>
              </w:rPr>
              <w:t>case)</w:t>
            </w:r>
          </w:p>
        </w:tc>
        <w:tc>
          <w:tcPr>
            <w:tcW w:w="631" w:type="dxa"/>
            <w:tcBorders>
              <w:top w:val="single" w:sz="4" w:space="0" w:color="000000"/>
              <w:bottom w:val="single" w:sz="4" w:space="0" w:color="000000"/>
            </w:tcBorders>
          </w:tcPr>
          <w:p>
            <w:pPr>
              <w:pStyle w:val="TableParagraph"/>
              <w:spacing w:before="70"/>
              <w:ind w:right="72"/>
              <w:rPr>
                <w:sz w:val="14"/>
              </w:rPr>
            </w:pPr>
            <w:r>
              <w:rPr>
                <w:sz w:val="14"/>
              </w:rPr>
              <w:t>(1</w:t>
            </w:r>
            <w:r>
              <w:rPr>
                <w:spacing w:val="-1"/>
                <w:sz w:val="14"/>
              </w:rPr>
              <w:t> </w:t>
            </w:r>
            <w:r>
              <w:rPr>
                <w:spacing w:val="-2"/>
                <w:sz w:val="14"/>
              </w:rPr>
              <w:t>case)</w:t>
            </w:r>
          </w:p>
        </w:tc>
        <w:tc>
          <w:tcPr>
            <w:tcW w:w="720" w:type="dxa"/>
            <w:tcBorders>
              <w:top w:val="single" w:sz="4" w:space="0" w:color="000000"/>
              <w:bottom w:val="single" w:sz="4" w:space="0" w:color="000000"/>
            </w:tcBorders>
          </w:tcPr>
          <w:p>
            <w:pPr>
              <w:pStyle w:val="TableParagraph"/>
              <w:spacing w:before="70"/>
              <w:ind w:right="71"/>
              <w:rPr>
                <w:sz w:val="14"/>
              </w:rPr>
            </w:pPr>
            <w:r>
              <w:rPr>
                <w:sz w:val="14"/>
              </w:rPr>
              <w:t>(1</w:t>
            </w:r>
            <w:r>
              <w:rPr>
                <w:spacing w:val="-1"/>
                <w:sz w:val="14"/>
              </w:rPr>
              <w:t> </w:t>
            </w:r>
            <w:r>
              <w:rPr>
                <w:spacing w:val="-2"/>
                <w:sz w:val="14"/>
              </w:rPr>
              <w:t>case)</w:t>
            </w:r>
          </w:p>
        </w:tc>
        <w:tc>
          <w:tcPr>
            <w:tcW w:w="637" w:type="dxa"/>
            <w:tcBorders>
              <w:top w:val="single" w:sz="4" w:space="0" w:color="000000"/>
              <w:bottom w:val="single" w:sz="4" w:space="0" w:color="000000"/>
            </w:tcBorders>
          </w:tcPr>
          <w:p>
            <w:pPr>
              <w:pStyle w:val="TableParagraph"/>
              <w:spacing w:before="70"/>
              <w:ind w:right="40"/>
              <w:rPr>
                <w:sz w:val="14"/>
              </w:rPr>
            </w:pPr>
            <w:r>
              <w:rPr>
                <w:w w:val="99"/>
                <w:sz w:val="14"/>
              </w:rPr>
              <w:t>-</w:t>
            </w:r>
          </w:p>
        </w:tc>
        <w:tc>
          <w:tcPr>
            <w:tcW w:w="518" w:type="dxa"/>
            <w:tcBorders>
              <w:top w:val="single" w:sz="4" w:space="0" w:color="000000"/>
              <w:bottom w:val="single" w:sz="4" w:space="0" w:color="000000"/>
            </w:tcBorders>
          </w:tcPr>
          <w:p>
            <w:pPr>
              <w:pStyle w:val="TableParagraph"/>
              <w:spacing w:before="70"/>
              <w:ind w:right="11"/>
              <w:rPr>
                <w:sz w:val="14"/>
              </w:rPr>
            </w:pPr>
            <w:r>
              <w:rPr>
                <w:w w:val="99"/>
                <w:sz w:val="14"/>
              </w:rPr>
              <w:t>-</w:t>
            </w:r>
          </w:p>
        </w:tc>
      </w:tr>
      <w:tr>
        <w:trPr>
          <w:trHeight w:val="301" w:hRule="atLeast"/>
        </w:trPr>
        <w:tc>
          <w:tcPr>
            <w:tcW w:w="1037" w:type="dxa"/>
            <w:tcBorders>
              <w:top w:val="single" w:sz="4" w:space="0" w:color="000000"/>
            </w:tcBorders>
          </w:tcPr>
          <w:p>
            <w:pPr>
              <w:pStyle w:val="TableParagraph"/>
              <w:spacing w:before="70"/>
              <w:ind w:left="67"/>
              <w:jc w:val="left"/>
              <w:rPr>
                <w:sz w:val="14"/>
              </w:rPr>
            </w:pPr>
            <w:r>
              <w:rPr>
                <w:sz w:val="14"/>
              </w:rPr>
              <w:t>2023</w:t>
            </w:r>
            <w:r>
              <w:rPr>
                <w:spacing w:val="-2"/>
                <w:sz w:val="14"/>
              </w:rPr>
              <w:t> Proposed</w:t>
            </w:r>
            <w:r>
              <w:rPr>
                <w:spacing w:val="-2"/>
                <w:sz w:val="14"/>
                <w:vertAlign w:val="superscript"/>
              </w:rPr>
              <w:t>(2)</w:t>
            </w:r>
          </w:p>
        </w:tc>
        <w:tc>
          <w:tcPr>
            <w:tcW w:w="798" w:type="dxa"/>
            <w:tcBorders>
              <w:top w:val="single" w:sz="4" w:space="0" w:color="000000"/>
              <w:bottom w:val="single" w:sz="4" w:space="0" w:color="000000"/>
            </w:tcBorders>
          </w:tcPr>
          <w:p>
            <w:pPr>
              <w:pStyle w:val="TableParagraph"/>
              <w:spacing w:before="70"/>
              <w:ind w:right="40"/>
              <w:rPr>
                <w:sz w:val="14"/>
              </w:rPr>
            </w:pPr>
            <w:r>
              <w:rPr>
                <w:spacing w:val="-2"/>
                <w:sz w:val="14"/>
              </w:rPr>
              <w:t>38,433.3</w:t>
            </w:r>
          </w:p>
        </w:tc>
        <w:tc>
          <w:tcPr>
            <w:tcW w:w="581" w:type="dxa"/>
            <w:tcBorders>
              <w:top w:val="single" w:sz="4" w:space="0" w:color="000000"/>
              <w:bottom w:val="single" w:sz="4" w:space="0" w:color="000000"/>
            </w:tcBorders>
          </w:tcPr>
          <w:p>
            <w:pPr>
              <w:pStyle w:val="TableParagraph"/>
              <w:spacing w:before="70"/>
              <w:ind w:right="40"/>
              <w:rPr>
                <w:sz w:val="14"/>
              </w:rPr>
            </w:pPr>
            <w:r>
              <w:rPr>
                <w:spacing w:val="-2"/>
                <w:sz w:val="14"/>
              </w:rPr>
              <w:t>2,267.7</w:t>
            </w:r>
          </w:p>
        </w:tc>
        <w:tc>
          <w:tcPr>
            <w:tcW w:w="581" w:type="dxa"/>
            <w:tcBorders>
              <w:top w:val="single" w:sz="4" w:space="0" w:color="000000"/>
              <w:bottom w:val="single" w:sz="4" w:space="0" w:color="000000"/>
            </w:tcBorders>
          </w:tcPr>
          <w:p>
            <w:pPr>
              <w:pStyle w:val="TableParagraph"/>
              <w:spacing w:before="70"/>
              <w:ind w:right="40"/>
              <w:rPr>
                <w:sz w:val="14"/>
              </w:rPr>
            </w:pPr>
            <w:r>
              <w:rPr>
                <w:spacing w:val="-2"/>
                <w:sz w:val="14"/>
              </w:rPr>
              <w:t>2,051.2</w:t>
            </w:r>
          </w:p>
        </w:tc>
        <w:tc>
          <w:tcPr>
            <w:tcW w:w="581" w:type="dxa"/>
            <w:tcBorders>
              <w:top w:val="single" w:sz="4" w:space="0" w:color="000000"/>
              <w:bottom w:val="single" w:sz="4" w:space="0" w:color="000000"/>
            </w:tcBorders>
          </w:tcPr>
          <w:p>
            <w:pPr>
              <w:pStyle w:val="TableParagraph"/>
              <w:spacing w:before="70"/>
              <w:ind w:right="40"/>
              <w:rPr>
                <w:sz w:val="14"/>
              </w:rPr>
            </w:pPr>
            <w:r>
              <w:rPr>
                <w:spacing w:val="-2"/>
                <w:sz w:val="14"/>
              </w:rPr>
              <w:t>5,994.1</w:t>
            </w:r>
          </w:p>
        </w:tc>
        <w:tc>
          <w:tcPr>
            <w:tcW w:w="582" w:type="dxa"/>
            <w:tcBorders>
              <w:top w:val="single" w:sz="4" w:space="0" w:color="000000"/>
              <w:bottom w:val="single" w:sz="4" w:space="0" w:color="000000"/>
            </w:tcBorders>
          </w:tcPr>
          <w:p>
            <w:pPr>
              <w:pStyle w:val="TableParagraph"/>
              <w:spacing w:before="70"/>
              <w:ind w:right="41"/>
              <w:rPr>
                <w:sz w:val="14"/>
              </w:rPr>
            </w:pPr>
            <w:r>
              <w:rPr>
                <w:spacing w:val="-2"/>
                <w:sz w:val="14"/>
              </w:rPr>
              <w:t>4,661.3</w:t>
            </w:r>
          </w:p>
        </w:tc>
        <w:tc>
          <w:tcPr>
            <w:tcW w:w="583" w:type="dxa"/>
            <w:tcBorders>
              <w:top w:val="single" w:sz="4" w:space="0" w:color="000000"/>
              <w:bottom w:val="single" w:sz="4" w:space="0" w:color="000000"/>
            </w:tcBorders>
          </w:tcPr>
          <w:p>
            <w:pPr>
              <w:pStyle w:val="TableParagraph"/>
              <w:spacing w:before="70"/>
              <w:ind w:right="37"/>
              <w:rPr>
                <w:sz w:val="14"/>
              </w:rPr>
            </w:pPr>
            <w:r>
              <w:rPr>
                <w:spacing w:val="-4"/>
                <w:sz w:val="14"/>
              </w:rPr>
              <w:t>40.6</w:t>
            </w:r>
          </w:p>
        </w:tc>
        <w:tc>
          <w:tcPr>
            <w:tcW w:w="583" w:type="dxa"/>
            <w:tcBorders>
              <w:top w:val="single" w:sz="4" w:space="0" w:color="000000"/>
              <w:bottom w:val="single" w:sz="4" w:space="0" w:color="000000"/>
            </w:tcBorders>
          </w:tcPr>
          <w:p>
            <w:pPr>
              <w:pStyle w:val="TableParagraph"/>
              <w:spacing w:before="70"/>
              <w:ind w:right="40"/>
              <w:rPr>
                <w:sz w:val="14"/>
              </w:rPr>
            </w:pPr>
            <w:r>
              <w:rPr>
                <w:spacing w:val="-2"/>
                <w:sz w:val="14"/>
              </w:rPr>
              <w:t>3,125.8</w:t>
            </w:r>
          </w:p>
        </w:tc>
        <w:tc>
          <w:tcPr>
            <w:tcW w:w="585" w:type="dxa"/>
            <w:tcBorders>
              <w:top w:val="single" w:sz="4" w:space="0" w:color="000000"/>
              <w:bottom w:val="single" w:sz="4" w:space="0" w:color="000000"/>
            </w:tcBorders>
          </w:tcPr>
          <w:p>
            <w:pPr>
              <w:pStyle w:val="TableParagraph"/>
              <w:spacing w:before="70"/>
              <w:ind w:left="90" w:right="7"/>
              <w:jc w:val="center"/>
              <w:rPr>
                <w:sz w:val="14"/>
              </w:rPr>
            </w:pPr>
            <w:r>
              <w:rPr>
                <w:spacing w:val="-2"/>
                <w:sz w:val="14"/>
              </w:rPr>
              <w:t>3,260.5</w:t>
            </w:r>
          </w:p>
        </w:tc>
        <w:tc>
          <w:tcPr>
            <w:tcW w:w="612" w:type="dxa"/>
            <w:tcBorders>
              <w:top w:val="single" w:sz="4" w:space="0" w:color="000000"/>
              <w:bottom w:val="single" w:sz="4" w:space="0" w:color="000000"/>
            </w:tcBorders>
          </w:tcPr>
          <w:p>
            <w:pPr>
              <w:pStyle w:val="TableParagraph"/>
              <w:spacing w:before="70"/>
              <w:ind w:right="65"/>
              <w:rPr>
                <w:sz w:val="14"/>
              </w:rPr>
            </w:pPr>
            <w:r>
              <w:rPr>
                <w:spacing w:val="-2"/>
                <w:sz w:val="14"/>
              </w:rPr>
              <w:t>3,116.6</w:t>
            </w:r>
          </w:p>
        </w:tc>
        <w:tc>
          <w:tcPr>
            <w:tcW w:w="581" w:type="dxa"/>
            <w:tcBorders>
              <w:top w:val="single" w:sz="4" w:space="0" w:color="000000"/>
              <w:bottom w:val="single" w:sz="4" w:space="0" w:color="000000"/>
            </w:tcBorders>
          </w:tcPr>
          <w:p>
            <w:pPr>
              <w:pStyle w:val="TableParagraph"/>
              <w:spacing w:before="70"/>
              <w:ind w:left="144" w:right="17"/>
              <w:jc w:val="center"/>
              <w:rPr>
                <w:sz w:val="14"/>
              </w:rPr>
            </w:pPr>
            <w:r>
              <w:rPr>
                <w:spacing w:val="-2"/>
                <w:sz w:val="14"/>
              </w:rPr>
              <w:t>579.2</w:t>
            </w:r>
          </w:p>
        </w:tc>
        <w:tc>
          <w:tcPr>
            <w:tcW w:w="607" w:type="dxa"/>
            <w:tcBorders>
              <w:top w:val="single" w:sz="4" w:space="0" w:color="000000"/>
              <w:bottom w:val="single" w:sz="4" w:space="0" w:color="000000"/>
            </w:tcBorders>
          </w:tcPr>
          <w:p>
            <w:pPr>
              <w:pStyle w:val="TableParagraph"/>
              <w:spacing w:before="70"/>
              <w:ind w:right="86"/>
              <w:rPr>
                <w:sz w:val="14"/>
              </w:rPr>
            </w:pPr>
            <w:r>
              <w:rPr>
                <w:spacing w:val="-2"/>
                <w:sz w:val="14"/>
              </w:rPr>
              <w:t>1,899.4</w:t>
            </w:r>
          </w:p>
        </w:tc>
        <w:tc>
          <w:tcPr>
            <w:tcW w:w="663" w:type="dxa"/>
            <w:tcBorders>
              <w:top w:val="single" w:sz="4" w:space="0" w:color="000000"/>
              <w:bottom w:val="single" w:sz="4" w:space="0" w:color="000000"/>
            </w:tcBorders>
          </w:tcPr>
          <w:p>
            <w:pPr>
              <w:pStyle w:val="TableParagraph"/>
              <w:spacing w:before="70"/>
              <w:ind w:right="91"/>
              <w:rPr>
                <w:sz w:val="14"/>
              </w:rPr>
            </w:pPr>
            <w:r>
              <w:rPr>
                <w:spacing w:val="-2"/>
                <w:sz w:val="14"/>
              </w:rPr>
              <w:t>2,678.9</w:t>
            </w:r>
          </w:p>
        </w:tc>
        <w:tc>
          <w:tcPr>
            <w:tcW w:w="733" w:type="dxa"/>
            <w:tcBorders>
              <w:top w:val="single" w:sz="4" w:space="0" w:color="000000"/>
              <w:bottom w:val="single" w:sz="4" w:space="0" w:color="000000"/>
            </w:tcBorders>
          </w:tcPr>
          <w:p>
            <w:pPr>
              <w:pStyle w:val="TableParagraph"/>
              <w:spacing w:before="70"/>
              <w:ind w:right="37"/>
              <w:rPr>
                <w:sz w:val="14"/>
              </w:rPr>
            </w:pPr>
            <w:r>
              <w:rPr>
                <w:spacing w:val="-2"/>
                <w:sz w:val="14"/>
              </w:rPr>
              <w:t>1,984.0</w:t>
            </w:r>
          </w:p>
        </w:tc>
        <w:tc>
          <w:tcPr>
            <w:tcW w:w="631" w:type="dxa"/>
            <w:tcBorders>
              <w:top w:val="single" w:sz="4" w:space="0" w:color="000000"/>
              <w:bottom w:val="single" w:sz="4" w:space="0" w:color="000000"/>
            </w:tcBorders>
          </w:tcPr>
          <w:p>
            <w:pPr>
              <w:pStyle w:val="TableParagraph"/>
              <w:spacing w:before="70"/>
              <w:ind w:right="72"/>
              <w:rPr>
                <w:sz w:val="14"/>
              </w:rPr>
            </w:pPr>
            <w:r>
              <w:rPr>
                <w:spacing w:val="-2"/>
                <w:sz w:val="14"/>
              </w:rPr>
              <w:t>1,004.1</w:t>
            </w:r>
          </w:p>
        </w:tc>
        <w:tc>
          <w:tcPr>
            <w:tcW w:w="720" w:type="dxa"/>
            <w:tcBorders>
              <w:top w:val="single" w:sz="4" w:space="0" w:color="000000"/>
              <w:bottom w:val="single" w:sz="4" w:space="0" w:color="000000"/>
            </w:tcBorders>
          </w:tcPr>
          <w:p>
            <w:pPr>
              <w:pStyle w:val="TableParagraph"/>
              <w:spacing w:before="70"/>
              <w:ind w:right="72"/>
              <w:rPr>
                <w:sz w:val="14"/>
              </w:rPr>
            </w:pPr>
            <w:r>
              <w:rPr>
                <w:spacing w:val="-2"/>
                <w:sz w:val="14"/>
              </w:rPr>
              <w:t>2,125.6</w:t>
            </w:r>
          </w:p>
        </w:tc>
        <w:tc>
          <w:tcPr>
            <w:tcW w:w="637" w:type="dxa"/>
            <w:tcBorders>
              <w:top w:val="single" w:sz="4" w:space="0" w:color="000000"/>
              <w:bottom w:val="single" w:sz="4" w:space="0" w:color="000000"/>
            </w:tcBorders>
          </w:tcPr>
          <w:p>
            <w:pPr>
              <w:pStyle w:val="TableParagraph"/>
              <w:spacing w:before="70"/>
              <w:ind w:right="37"/>
              <w:rPr>
                <w:sz w:val="14"/>
              </w:rPr>
            </w:pPr>
            <w:r>
              <w:rPr>
                <w:spacing w:val="-2"/>
                <w:sz w:val="14"/>
              </w:rPr>
              <w:t>1,628.6</w:t>
            </w:r>
          </w:p>
        </w:tc>
        <w:tc>
          <w:tcPr>
            <w:tcW w:w="518" w:type="dxa"/>
            <w:tcBorders>
              <w:top w:val="single" w:sz="4" w:space="0" w:color="000000"/>
              <w:bottom w:val="single" w:sz="4" w:space="0" w:color="000000"/>
            </w:tcBorders>
          </w:tcPr>
          <w:p>
            <w:pPr>
              <w:pStyle w:val="TableParagraph"/>
              <w:spacing w:before="70"/>
              <w:ind w:right="7"/>
              <w:rPr>
                <w:sz w:val="14"/>
              </w:rPr>
            </w:pPr>
            <w:r>
              <w:rPr>
                <w:spacing w:val="-2"/>
                <w:sz w:val="14"/>
              </w:rPr>
              <w:t>5,556.8</w:t>
            </w:r>
          </w:p>
        </w:tc>
      </w:tr>
      <w:tr>
        <w:trPr>
          <w:trHeight w:val="297" w:hRule="atLeast"/>
        </w:trPr>
        <w:tc>
          <w:tcPr>
            <w:tcW w:w="1037" w:type="dxa"/>
            <w:tcBorders>
              <w:bottom w:val="single" w:sz="4" w:space="0" w:color="000000"/>
            </w:tcBorders>
          </w:tcPr>
          <w:p>
            <w:pPr>
              <w:pStyle w:val="TableParagraph"/>
              <w:jc w:val="left"/>
              <w:rPr>
                <w:sz w:val="12"/>
              </w:rPr>
            </w:pPr>
          </w:p>
        </w:tc>
        <w:tc>
          <w:tcPr>
            <w:tcW w:w="798" w:type="dxa"/>
            <w:tcBorders>
              <w:top w:val="single" w:sz="4" w:space="0" w:color="000000"/>
              <w:bottom w:val="single" w:sz="4" w:space="0" w:color="000000"/>
            </w:tcBorders>
          </w:tcPr>
          <w:p>
            <w:pPr>
              <w:pStyle w:val="TableParagraph"/>
              <w:spacing w:before="70"/>
              <w:ind w:right="40"/>
              <w:rPr>
                <w:sz w:val="14"/>
              </w:rPr>
            </w:pPr>
            <w:r>
              <w:rPr>
                <w:sz w:val="14"/>
              </w:rPr>
              <w:t>(28</w:t>
            </w:r>
            <w:r>
              <w:rPr>
                <w:spacing w:val="1"/>
                <w:sz w:val="14"/>
              </w:rPr>
              <w:t> </w:t>
            </w:r>
            <w:r>
              <w:rPr>
                <w:spacing w:val="-2"/>
                <w:sz w:val="14"/>
              </w:rPr>
              <w:t>cases)</w:t>
            </w:r>
          </w:p>
        </w:tc>
        <w:tc>
          <w:tcPr>
            <w:tcW w:w="581" w:type="dxa"/>
            <w:tcBorders>
              <w:top w:val="single" w:sz="4" w:space="0" w:color="000000"/>
              <w:bottom w:val="single" w:sz="4" w:space="0" w:color="000000"/>
            </w:tcBorders>
          </w:tcPr>
          <w:p>
            <w:pPr>
              <w:pStyle w:val="TableParagraph"/>
              <w:spacing w:before="70"/>
              <w:ind w:right="44"/>
              <w:rPr>
                <w:sz w:val="14"/>
              </w:rPr>
            </w:pPr>
            <w:r>
              <w:rPr>
                <w:sz w:val="14"/>
              </w:rPr>
              <w:t>(2</w:t>
            </w:r>
            <w:r>
              <w:rPr>
                <w:spacing w:val="-1"/>
                <w:sz w:val="14"/>
              </w:rPr>
              <w:t> </w:t>
            </w:r>
            <w:r>
              <w:rPr>
                <w:spacing w:val="-2"/>
                <w:sz w:val="14"/>
              </w:rPr>
              <w:t>cases)</w:t>
            </w:r>
          </w:p>
        </w:tc>
        <w:tc>
          <w:tcPr>
            <w:tcW w:w="581" w:type="dxa"/>
            <w:tcBorders>
              <w:top w:val="single" w:sz="4" w:space="0" w:color="000000"/>
              <w:bottom w:val="single" w:sz="4" w:space="0" w:color="000000"/>
            </w:tcBorders>
          </w:tcPr>
          <w:p>
            <w:pPr>
              <w:pStyle w:val="TableParagraph"/>
              <w:spacing w:before="70"/>
              <w:ind w:right="39"/>
              <w:rPr>
                <w:sz w:val="14"/>
              </w:rPr>
            </w:pPr>
            <w:r>
              <w:rPr>
                <w:sz w:val="14"/>
              </w:rPr>
              <w:t>(1</w:t>
            </w:r>
            <w:r>
              <w:rPr>
                <w:spacing w:val="-1"/>
                <w:sz w:val="14"/>
              </w:rPr>
              <w:t> </w:t>
            </w:r>
            <w:r>
              <w:rPr>
                <w:spacing w:val="-2"/>
                <w:sz w:val="14"/>
              </w:rPr>
              <w:t>case)</w:t>
            </w:r>
          </w:p>
        </w:tc>
        <w:tc>
          <w:tcPr>
            <w:tcW w:w="581" w:type="dxa"/>
            <w:tcBorders>
              <w:top w:val="single" w:sz="4" w:space="0" w:color="000000"/>
              <w:bottom w:val="single" w:sz="4" w:space="0" w:color="000000"/>
            </w:tcBorders>
          </w:tcPr>
          <w:p>
            <w:pPr>
              <w:pStyle w:val="TableParagraph"/>
              <w:spacing w:before="70"/>
              <w:ind w:right="44"/>
              <w:rPr>
                <w:sz w:val="14"/>
              </w:rPr>
            </w:pPr>
            <w:r>
              <w:rPr>
                <w:sz w:val="14"/>
              </w:rPr>
              <w:t>(5</w:t>
            </w:r>
            <w:r>
              <w:rPr>
                <w:spacing w:val="-1"/>
                <w:sz w:val="14"/>
              </w:rPr>
              <w:t> </w:t>
            </w:r>
            <w:r>
              <w:rPr>
                <w:spacing w:val="-2"/>
                <w:sz w:val="14"/>
              </w:rPr>
              <w:t>cases)</w:t>
            </w:r>
          </w:p>
        </w:tc>
        <w:tc>
          <w:tcPr>
            <w:tcW w:w="582" w:type="dxa"/>
            <w:tcBorders>
              <w:top w:val="single" w:sz="4" w:space="0" w:color="000000"/>
              <w:bottom w:val="single" w:sz="4" w:space="0" w:color="000000"/>
            </w:tcBorders>
          </w:tcPr>
          <w:p>
            <w:pPr>
              <w:pStyle w:val="TableParagraph"/>
              <w:spacing w:before="70"/>
              <w:ind w:right="45"/>
              <w:rPr>
                <w:sz w:val="14"/>
              </w:rPr>
            </w:pPr>
            <w:r>
              <w:rPr>
                <w:sz w:val="14"/>
              </w:rPr>
              <w:t>(4</w:t>
            </w:r>
            <w:r>
              <w:rPr>
                <w:spacing w:val="-1"/>
                <w:sz w:val="14"/>
              </w:rPr>
              <w:t> </w:t>
            </w:r>
            <w:r>
              <w:rPr>
                <w:spacing w:val="-2"/>
                <w:sz w:val="14"/>
              </w:rPr>
              <w:t>cases)</w:t>
            </w:r>
          </w:p>
        </w:tc>
        <w:tc>
          <w:tcPr>
            <w:tcW w:w="583" w:type="dxa"/>
            <w:tcBorders>
              <w:top w:val="single" w:sz="4" w:space="0" w:color="000000"/>
              <w:bottom w:val="single" w:sz="4" w:space="0" w:color="000000"/>
            </w:tcBorders>
          </w:tcPr>
          <w:p>
            <w:pPr>
              <w:pStyle w:val="TableParagraph"/>
              <w:spacing w:before="70"/>
              <w:ind w:right="37"/>
              <w:rPr>
                <w:sz w:val="14"/>
              </w:rPr>
            </w:pPr>
            <w:r>
              <w:rPr>
                <w:sz w:val="14"/>
              </w:rPr>
              <w:t>(1</w:t>
            </w:r>
            <w:r>
              <w:rPr>
                <w:spacing w:val="-1"/>
                <w:sz w:val="14"/>
              </w:rPr>
              <w:t> </w:t>
            </w:r>
            <w:r>
              <w:rPr>
                <w:spacing w:val="-2"/>
                <w:sz w:val="14"/>
              </w:rPr>
              <w:t>case)</w:t>
            </w:r>
          </w:p>
        </w:tc>
        <w:tc>
          <w:tcPr>
            <w:tcW w:w="583" w:type="dxa"/>
            <w:tcBorders>
              <w:top w:val="single" w:sz="4" w:space="0" w:color="000000"/>
              <w:bottom w:val="single" w:sz="4" w:space="0" w:color="000000"/>
            </w:tcBorders>
          </w:tcPr>
          <w:p>
            <w:pPr>
              <w:pStyle w:val="TableParagraph"/>
              <w:spacing w:before="70"/>
              <w:ind w:right="44"/>
              <w:rPr>
                <w:sz w:val="14"/>
              </w:rPr>
            </w:pPr>
            <w:r>
              <w:rPr>
                <w:sz w:val="14"/>
              </w:rPr>
              <w:t>(4</w:t>
            </w:r>
            <w:r>
              <w:rPr>
                <w:spacing w:val="-1"/>
                <w:sz w:val="14"/>
              </w:rPr>
              <w:t> </w:t>
            </w:r>
            <w:r>
              <w:rPr>
                <w:spacing w:val="-2"/>
                <w:sz w:val="14"/>
              </w:rPr>
              <w:t>cases)</w:t>
            </w:r>
          </w:p>
        </w:tc>
        <w:tc>
          <w:tcPr>
            <w:tcW w:w="585" w:type="dxa"/>
            <w:tcBorders>
              <w:top w:val="single" w:sz="4" w:space="0" w:color="000000"/>
              <w:bottom w:val="single" w:sz="4" w:space="0" w:color="000000"/>
            </w:tcBorders>
          </w:tcPr>
          <w:p>
            <w:pPr>
              <w:pStyle w:val="TableParagraph"/>
              <w:spacing w:before="70"/>
              <w:ind w:left="74" w:right="10"/>
              <w:jc w:val="center"/>
              <w:rPr>
                <w:sz w:val="14"/>
              </w:rPr>
            </w:pPr>
            <w:r>
              <w:rPr>
                <w:sz w:val="14"/>
              </w:rPr>
              <w:t>(1</w:t>
            </w:r>
            <w:r>
              <w:rPr>
                <w:spacing w:val="-1"/>
                <w:sz w:val="14"/>
              </w:rPr>
              <w:t> </w:t>
            </w:r>
            <w:r>
              <w:rPr>
                <w:spacing w:val="-2"/>
                <w:sz w:val="14"/>
              </w:rPr>
              <w:t>case)</w:t>
            </w:r>
          </w:p>
        </w:tc>
        <w:tc>
          <w:tcPr>
            <w:tcW w:w="612" w:type="dxa"/>
            <w:tcBorders>
              <w:top w:val="single" w:sz="4" w:space="0" w:color="000000"/>
              <w:bottom w:val="single" w:sz="4" w:space="0" w:color="000000"/>
            </w:tcBorders>
          </w:tcPr>
          <w:p>
            <w:pPr>
              <w:pStyle w:val="TableParagraph"/>
              <w:spacing w:before="70"/>
              <w:ind w:right="65"/>
              <w:rPr>
                <w:sz w:val="14"/>
              </w:rPr>
            </w:pPr>
            <w:r>
              <w:rPr>
                <w:sz w:val="14"/>
              </w:rPr>
              <w:t>(1</w:t>
            </w:r>
            <w:r>
              <w:rPr>
                <w:spacing w:val="-1"/>
                <w:sz w:val="14"/>
              </w:rPr>
              <w:t> </w:t>
            </w:r>
            <w:r>
              <w:rPr>
                <w:spacing w:val="-2"/>
                <w:sz w:val="14"/>
              </w:rPr>
              <w:t>case)</w:t>
            </w:r>
          </w:p>
        </w:tc>
        <w:tc>
          <w:tcPr>
            <w:tcW w:w="581" w:type="dxa"/>
            <w:tcBorders>
              <w:top w:val="single" w:sz="4" w:space="0" w:color="000000"/>
              <w:bottom w:val="single" w:sz="4" w:space="0" w:color="000000"/>
            </w:tcBorders>
          </w:tcPr>
          <w:p>
            <w:pPr>
              <w:pStyle w:val="TableParagraph"/>
              <w:spacing w:before="70"/>
              <w:ind w:left="25" w:right="17"/>
              <w:jc w:val="center"/>
              <w:rPr>
                <w:sz w:val="14"/>
              </w:rPr>
            </w:pPr>
            <w:r>
              <w:rPr>
                <w:sz w:val="14"/>
              </w:rPr>
              <w:t>(1</w:t>
            </w:r>
            <w:r>
              <w:rPr>
                <w:spacing w:val="-1"/>
                <w:sz w:val="14"/>
              </w:rPr>
              <w:t> </w:t>
            </w:r>
            <w:r>
              <w:rPr>
                <w:spacing w:val="-2"/>
                <w:sz w:val="14"/>
              </w:rPr>
              <w:t>case)</w:t>
            </w:r>
          </w:p>
        </w:tc>
        <w:tc>
          <w:tcPr>
            <w:tcW w:w="607" w:type="dxa"/>
            <w:tcBorders>
              <w:top w:val="single" w:sz="4" w:space="0" w:color="000000"/>
              <w:bottom w:val="single" w:sz="4" w:space="0" w:color="000000"/>
            </w:tcBorders>
          </w:tcPr>
          <w:p>
            <w:pPr>
              <w:pStyle w:val="TableParagraph"/>
              <w:spacing w:before="70"/>
              <w:ind w:right="86"/>
              <w:rPr>
                <w:sz w:val="14"/>
              </w:rPr>
            </w:pPr>
            <w:r>
              <w:rPr>
                <w:sz w:val="14"/>
              </w:rPr>
              <w:t>(1</w:t>
            </w:r>
            <w:r>
              <w:rPr>
                <w:spacing w:val="-1"/>
                <w:sz w:val="14"/>
              </w:rPr>
              <w:t> </w:t>
            </w:r>
            <w:r>
              <w:rPr>
                <w:spacing w:val="-2"/>
                <w:sz w:val="14"/>
              </w:rPr>
              <w:t>case)</w:t>
            </w:r>
          </w:p>
        </w:tc>
        <w:tc>
          <w:tcPr>
            <w:tcW w:w="663" w:type="dxa"/>
            <w:tcBorders>
              <w:top w:val="single" w:sz="4" w:space="0" w:color="000000"/>
              <w:bottom w:val="single" w:sz="4" w:space="0" w:color="000000"/>
            </w:tcBorders>
          </w:tcPr>
          <w:p>
            <w:pPr>
              <w:pStyle w:val="TableParagraph"/>
              <w:spacing w:before="70"/>
              <w:ind w:right="90"/>
              <w:rPr>
                <w:sz w:val="14"/>
              </w:rPr>
            </w:pPr>
            <w:r>
              <w:rPr>
                <w:sz w:val="14"/>
              </w:rPr>
              <w:t>(1 </w:t>
            </w:r>
            <w:r>
              <w:rPr>
                <w:spacing w:val="-2"/>
                <w:sz w:val="14"/>
              </w:rPr>
              <w:t>case)</w:t>
            </w:r>
          </w:p>
        </w:tc>
        <w:tc>
          <w:tcPr>
            <w:tcW w:w="733" w:type="dxa"/>
            <w:tcBorders>
              <w:top w:val="single" w:sz="4" w:space="0" w:color="000000"/>
              <w:bottom w:val="single" w:sz="4" w:space="0" w:color="000000"/>
            </w:tcBorders>
          </w:tcPr>
          <w:p>
            <w:pPr>
              <w:pStyle w:val="TableParagraph"/>
              <w:spacing w:before="70"/>
              <w:ind w:right="38"/>
              <w:rPr>
                <w:sz w:val="14"/>
              </w:rPr>
            </w:pPr>
            <w:r>
              <w:rPr>
                <w:sz w:val="14"/>
              </w:rPr>
              <w:t>(1</w:t>
            </w:r>
            <w:r>
              <w:rPr>
                <w:spacing w:val="-1"/>
                <w:sz w:val="14"/>
              </w:rPr>
              <w:t> </w:t>
            </w:r>
            <w:r>
              <w:rPr>
                <w:spacing w:val="-2"/>
                <w:sz w:val="14"/>
              </w:rPr>
              <w:t>case)</w:t>
            </w:r>
          </w:p>
        </w:tc>
        <w:tc>
          <w:tcPr>
            <w:tcW w:w="631" w:type="dxa"/>
            <w:tcBorders>
              <w:top w:val="single" w:sz="4" w:space="0" w:color="000000"/>
              <w:bottom w:val="single" w:sz="4" w:space="0" w:color="000000"/>
            </w:tcBorders>
          </w:tcPr>
          <w:p>
            <w:pPr>
              <w:pStyle w:val="TableParagraph"/>
              <w:spacing w:before="70"/>
              <w:ind w:right="77"/>
              <w:rPr>
                <w:sz w:val="14"/>
              </w:rPr>
            </w:pPr>
            <w:r>
              <w:rPr>
                <w:sz w:val="14"/>
              </w:rPr>
              <w:t>(2</w:t>
            </w:r>
            <w:r>
              <w:rPr>
                <w:spacing w:val="-1"/>
                <w:sz w:val="14"/>
              </w:rPr>
              <w:t> </w:t>
            </w:r>
            <w:r>
              <w:rPr>
                <w:spacing w:val="-2"/>
                <w:sz w:val="14"/>
              </w:rPr>
              <w:t>cases)</w:t>
            </w:r>
          </w:p>
        </w:tc>
        <w:tc>
          <w:tcPr>
            <w:tcW w:w="720" w:type="dxa"/>
            <w:tcBorders>
              <w:top w:val="single" w:sz="4" w:space="0" w:color="000000"/>
              <w:bottom w:val="single" w:sz="4" w:space="0" w:color="000000"/>
            </w:tcBorders>
          </w:tcPr>
          <w:p>
            <w:pPr>
              <w:pStyle w:val="TableParagraph"/>
              <w:spacing w:before="70"/>
              <w:ind w:right="71"/>
              <w:rPr>
                <w:sz w:val="14"/>
              </w:rPr>
            </w:pPr>
            <w:r>
              <w:rPr>
                <w:sz w:val="14"/>
              </w:rPr>
              <w:t>(1</w:t>
            </w:r>
            <w:r>
              <w:rPr>
                <w:spacing w:val="-1"/>
                <w:sz w:val="14"/>
              </w:rPr>
              <w:t> </w:t>
            </w:r>
            <w:r>
              <w:rPr>
                <w:spacing w:val="-2"/>
                <w:sz w:val="14"/>
              </w:rPr>
              <w:t>case)</w:t>
            </w:r>
          </w:p>
        </w:tc>
        <w:tc>
          <w:tcPr>
            <w:tcW w:w="637" w:type="dxa"/>
            <w:tcBorders>
              <w:top w:val="single" w:sz="4" w:space="0" w:color="000000"/>
              <w:bottom w:val="single" w:sz="4" w:space="0" w:color="000000"/>
            </w:tcBorders>
          </w:tcPr>
          <w:p>
            <w:pPr>
              <w:pStyle w:val="TableParagraph"/>
              <w:spacing w:before="70"/>
              <w:ind w:right="36"/>
              <w:rPr>
                <w:sz w:val="14"/>
              </w:rPr>
            </w:pPr>
            <w:r>
              <w:rPr>
                <w:sz w:val="14"/>
              </w:rPr>
              <w:t>(1</w:t>
            </w:r>
            <w:r>
              <w:rPr>
                <w:spacing w:val="-1"/>
                <w:sz w:val="14"/>
              </w:rPr>
              <w:t> </w:t>
            </w:r>
            <w:r>
              <w:rPr>
                <w:spacing w:val="-2"/>
                <w:sz w:val="14"/>
              </w:rPr>
              <w:t>case)</w:t>
            </w:r>
          </w:p>
        </w:tc>
        <w:tc>
          <w:tcPr>
            <w:tcW w:w="518" w:type="dxa"/>
            <w:tcBorders>
              <w:top w:val="single" w:sz="4" w:space="0" w:color="000000"/>
              <w:bottom w:val="single" w:sz="4" w:space="0" w:color="000000"/>
            </w:tcBorders>
          </w:tcPr>
          <w:p>
            <w:pPr>
              <w:pStyle w:val="TableParagraph"/>
              <w:spacing w:before="70"/>
              <w:ind w:right="7"/>
              <w:rPr>
                <w:sz w:val="14"/>
              </w:rPr>
            </w:pPr>
            <w:r>
              <w:rPr>
                <w:sz w:val="14"/>
              </w:rPr>
              <w:t>(1</w:t>
            </w:r>
            <w:r>
              <w:rPr>
                <w:spacing w:val="-1"/>
                <w:sz w:val="14"/>
              </w:rPr>
              <w:t> </w:t>
            </w:r>
            <w:r>
              <w:rPr>
                <w:spacing w:val="-2"/>
                <w:sz w:val="14"/>
              </w:rPr>
              <w:t>case)</w:t>
            </w:r>
          </w:p>
        </w:tc>
      </w:tr>
      <w:tr>
        <w:trPr>
          <w:trHeight w:val="490" w:hRule="atLeast"/>
        </w:trPr>
        <w:tc>
          <w:tcPr>
            <w:tcW w:w="8374" w:type="dxa"/>
            <w:gridSpan w:val="13"/>
            <w:tcBorders>
              <w:top w:val="single" w:sz="4" w:space="0" w:color="000000"/>
            </w:tcBorders>
          </w:tcPr>
          <w:p>
            <w:pPr>
              <w:pStyle w:val="TableParagraph"/>
              <w:spacing w:line="183" w:lineRule="exact" w:before="124"/>
              <w:ind w:left="28"/>
              <w:jc w:val="left"/>
              <w:rPr>
                <w:sz w:val="16"/>
              </w:rPr>
            </w:pPr>
            <w:r>
              <w:rPr>
                <w:position w:val="5"/>
                <w:sz w:val="10"/>
              </w:rPr>
              <w:t>(1)</w:t>
            </w:r>
            <w:r>
              <w:rPr>
                <w:spacing w:val="10"/>
                <w:position w:val="5"/>
                <w:sz w:val="10"/>
              </w:rPr>
              <w:t> </w:t>
            </w:r>
            <w:r>
              <w:rPr>
                <w:sz w:val="16"/>
              </w:rPr>
              <w:t>Excludes</w:t>
            </w:r>
            <w:r>
              <w:rPr>
                <w:spacing w:val="-5"/>
                <w:sz w:val="16"/>
              </w:rPr>
              <w:t> </w:t>
            </w:r>
            <w:r>
              <w:rPr>
                <w:sz w:val="16"/>
              </w:rPr>
              <w:t>costs</w:t>
            </w:r>
            <w:r>
              <w:rPr>
                <w:spacing w:val="-4"/>
                <w:sz w:val="16"/>
              </w:rPr>
              <w:t> </w:t>
            </w:r>
            <w:r>
              <w:rPr>
                <w:sz w:val="16"/>
              </w:rPr>
              <w:t>attributed</w:t>
            </w:r>
            <w:r>
              <w:rPr>
                <w:spacing w:val="-3"/>
                <w:sz w:val="16"/>
              </w:rPr>
              <w:t> </w:t>
            </w:r>
            <w:r>
              <w:rPr>
                <w:sz w:val="16"/>
              </w:rPr>
              <w:t>to</w:t>
            </w:r>
            <w:r>
              <w:rPr>
                <w:spacing w:val="-3"/>
                <w:sz w:val="16"/>
              </w:rPr>
              <w:t> </w:t>
            </w:r>
            <w:r>
              <w:rPr>
                <w:sz w:val="16"/>
              </w:rPr>
              <w:t>court-in-session</w:t>
            </w:r>
            <w:r>
              <w:rPr>
                <w:spacing w:val="-2"/>
                <w:sz w:val="16"/>
              </w:rPr>
              <w:t> </w:t>
            </w:r>
            <w:r>
              <w:rPr>
                <w:sz w:val="16"/>
              </w:rPr>
              <w:t>(CIS)</w:t>
            </w:r>
            <w:r>
              <w:rPr>
                <w:spacing w:val="-5"/>
                <w:sz w:val="16"/>
              </w:rPr>
              <w:t> </w:t>
            </w:r>
            <w:r>
              <w:rPr>
                <w:sz w:val="16"/>
              </w:rPr>
              <w:t>but</w:t>
            </w:r>
            <w:r>
              <w:rPr>
                <w:spacing w:val="-5"/>
                <w:sz w:val="16"/>
              </w:rPr>
              <w:t> </w:t>
            </w:r>
            <w:r>
              <w:rPr>
                <w:sz w:val="16"/>
              </w:rPr>
              <w:t>includes</w:t>
            </w:r>
            <w:r>
              <w:rPr>
                <w:spacing w:val="-5"/>
                <w:sz w:val="16"/>
              </w:rPr>
              <w:t> </w:t>
            </w:r>
            <w:r>
              <w:rPr>
                <w:sz w:val="16"/>
              </w:rPr>
              <w:t>costs</w:t>
            </w:r>
            <w:r>
              <w:rPr>
                <w:spacing w:val="-5"/>
                <w:sz w:val="16"/>
              </w:rPr>
              <w:t> </w:t>
            </w:r>
            <w:r>
              <w:rPr>
                <w:sz w:val="16"/>
              </w:rPr>
              <w:t>attributed</w:t>
            </w:r>
            <w:r>
              <w:rPr>
                <w:spacing w:val="-2"/>
                <w:sz w:val="16"/>
              </w:rPr>
              <w:t> </w:t>
            </w:r>
            <w:r>
              <w:rPr>
                <w:sz w:val="16"/>
              </w:rPr>
              <w:t>to</w:t>
            </w:r>
            <w:r>
              <w:rPr>
                <w:spacing w:val="-3"/>
                <w:sz w:val="16"/>
              </w:rPr>
              <w:t> </w:t>
            </w:r>
            <w:r>
              <w:rPr>
                <w:sz w:val="16"/>
              </w:rPr>
              <w:t>court-in-session</w:t>
            </w:r>
            <w:r>
              <w:rPr>
                <w:spacing w:val="-3"/>
                <w:sz w:val="16"/>
              </w:rPr>
              <w:t> </w:t>
            </w:r>
            <w:r>
              <w:rPr>
                <w:sz w:val="16"/>
              </w:rPr>
              <w:t>operations</w:t>
            </w:r>
            <w:r>
              <w:rPr>
                <w:spacing w:val="-4"/>
                <w:sz w:val="16"/>
              </w:rPr>
              <w:t> </w:t>
            </w:r>
            <w:r>
              <w:rPr>
                <w:sz w:val="16"/>
              </w:rPr>
              <w:t>(CIS-</w:t>
            </w:r>
            <w:r>
              <w:rPr>
                <w:spacing w:val="-2"/>
                <w:sz w:val="16"/>
              </w:rPr>
              <w:t>Ops).</w:t>
            </w:r>
          </w:p>
          <w:p>
            <w:pPr>
              <w:pStyle w:val="TableParagraph"/>
              <w:spacing w:line="163" w:lineRule="exact"/>
              <w:ind w:left="28"/>
              <w:jc w:val="left"/>
              <w:rPr>
                <w:sz w:val="16"/>
              </w:rPr>
            </w:pPr>
            <w:r>
              <w:rPr>
                <w:position w:val="5"/>
                <w:sz w:val="10"/>
              </w:rPr>
              <w:t>(2)</w:t>
            </w:r>
            <w:r>
              <w:rPr>
                <w:spacing w:val="10"/>
                <w:position w:val="5"/>
                <w:sz w:val="10"/>
              </w:rPr>
              <w:t> </w:t>
            </w:r>
            <w:r>
              <w:rPr>
                <w:sz w:val="16"/>
              </w:rPr>
              <w:t>Excludes</w:t>
            </w:r>
            <w:r>
              <w:rPr>
                <w:spacing w:val="-4"/>
                <w:sz w:val="16"/>
              </w:rPr>
              <w:t> </w:t>
            </w:r>
            <w:r>
              <w:rPr>
                <w:sz w:val="16"/>
              </w:rPr>
              <w:t>Contingency</w:t>
            </w:r>
            <w:r>
              <w:rPr>
                <w:spacing w:val="-2"/>
                <w:sz w:val="16"/>
              </w:rPr>
              <w:t> </w:t>
            </w:r>
            <w:r>
              <w:rPr>
                <w:sz w:val="16"/>
              </w:rPr>
              <w:t>Fund</w:t>
            </w:r>
            <w:r>
              <w:rPr>
                <w:spacing w:val="-2"/>
                <w:sz w:val="16"/>
              </w:rPr>
              <w:t> notifications.</w:t>
            </w:r>
          </w:p>
        </w:tc>
        <w:tc>
          <w:tcPr>
            <w:tcW w:w="733" w:type="dxa"/>
            <w:tcBorders>
              <w:top w:val="single" w:sz="4" w:space="0" w:color="000000"/>
            </w:tcBorders>
          </w:tcPr>
          <w:p>
            <w:pPr>
              <w:pStyle w:val="TableParagraph"/>
              <w:jc w:val="left"/>
              <w:rPr>
                <w:sz w:val="12"/>
              </w:rPr>
            </w:pPr>
          </w:p>
        </w:tc>
        <w:tc>
          <w:tcPr>
            <w:tcW w:w="631" w:type="dxa"/>
            <w:tcBorders>
              <w:top w:val="single" w:sz="4" w:space="0" w:color="000000"/>
            </w:tcBorders>
          </w:tcPr>
          <w:p>
            <w:pPr>
              <w:pStyle w:val="TableParagraph"/>
              <w:jc w:val="left"/>
              <w:rPr>
                <w:sz w:val="12"/>
              </w:rPr>
            </w:pPr>
          </w:p>
        </w:tc>
        <w:tc>
          <w:tcPr>
            <w:tcW w:w="720" w:type="dxa"/>
            <w:tcBorders>
              <w:top w:val="single" w:sz="4" w:space="0" w:color="000000"/>
            </w:tcBorders>
          </w:tcPr>
          <w:p>
            <w:pPr>
              <w:pStyle w:val="TableParagraph"/>
              <w:jc w:val="left"/>
              <w:rPr>
                <w:sz w:val="12"/>
              </w:rPr>
            </w:pPr>
          </w:p>
        </w:tc>
        <w:tc>
          <w:tcPr>
            <w:tcW w:w="637" w:type="dxa"/>
            <w:tcBorders>
              <w:top w:val="single" w:sz="4" w:space="0" w:color="000000"/>
            </w:tcBorders>
          </w:tcPr>
          <w:p>
            <w:pPr>
              <w:pStyle w:val="TableParagraph"/>
              <w:jc w:val="left"/>
              <w:rPr>
                <w:sz w:val="12"/>
              </w:rPr>
            </w:pPr>
          </w:p>
        </w:tc>
        <w:tc>
          <w:tcPr>
            <w:tcW w:w="518" w:type="dxa"/>
            <w:tcBorders>
              <w:top w:val="single" w:sz="4" w:space="0" w:color="000000"/>
            </w:tcBorders>
          </w:tcPr>
          <w:p>
            <w:pPr>
              <w:pStyle w:val="TableParagraph"/>
              <w:jc w:val="left"/>
              <w:rPr>
                <w:sz w:val="12"/>
              </w:rPr>
            </w:pPr>
          </w:p>
        </w:tc>
      </w:tr>
    </w:tbl>
    <w:p>
      <w:pPr>
        <w:pStyle w:val="BodyText"/>
        <w:rPr>
          <w:b/>
          <w:sz w:val="22"/>
        </w:rPr>
      </w:pPr>
    </w:p>
    <w:p>
      <w:pPr>
        <w:pStyle w:val="BodyText"/>
        <w:spacing w:before="10"/>
        <w:rPr>
          <w:b/>
          <w:sz w:val="24"/>
        </w:rPr>
      </w:pPr>
    </w:p>
    <w:p>
      <w:pPr>
        <w:spacing w:before="1" w:after="57"/>
        <w:ind w:left="969" w:right="0" w:firstLine="0"/>
        <w:jc w:val="left"/>
        <w:rPr>
          <w:b/>
          <w:sz w:val="20"/>
        </w:rPr>
      </w:pPr>
      <w:r>
        <w:rPr>
          <w:b/>
          <w:sz w:val="20"/>
        </w:rPr>
        <w:t>Table</w:t>
      </w:r>
      <w:r>
        <w:rPr>
          <w:b/>
          <w:spacing w:val="-5"/>
          <w:sz w:val="20"/>
        </w:rPr>
        <w:t> </w:t>
      </w:r>
      <w:r>
        <w:rPr>
          <w:b/>
          <w:sz w:val="20"/>
        </w:rPr>
        <w:t>2:</w:t>
      </w:r>
      <w:r>
        <w:rPr>
          <w:b/>
          <w:spacing w:val="-7"/>
          <w:sz w:val="20"/>
        </w:rPr>
        <w:t> </w:t>
      </w:r>
      <w:r>
        <w:rPr>
          <w:b/>
          <w:sz w:val="20"/>
        </w:rPr>
        <w:t>Breakdown</w:t>
      </w:r>
      <w:r>
        <w:rPr>
          <w:b/>
          <w:spacing w:val="-3"/>
          <w:sz w:val="20"/>
        </w:rPr>
        <w:t> </w:t>
      </w:r>
      <w:r>
        <w:rPr>
          <w:b/>
          <w:sz w:val="20"/>
        </w:rPr>
        <w:t>of</w:t>
      </w:r>
      <w:r>
        <w:rPr>
          <w:b/>
          <w:spacing w:val="-7"/>
          <w:sz w:val="20"/>
        </w:rPr>
        <w:t> </w:t>
      </w:r>
      <w:r>
        <w:rPr>
          <w:b/>
          <w:sz w:val="20"/>
        </w:rPr>
        <w:t>staff</w:t>
      </w:r>
      <w:r>
        <w:rPr>
          <w:b/>
          <w:spacing w:val="-4"/>
          <w:sz w:val="20"/>
        </w:rPr>
        <w:t> </w:t>
      </w:r>
      <w:r>
        <w:rPr>
          <w:b/>
          <w:sz w:val="20"/>
        </w:rPr>
        <w:t>allocation</w:t>
      </w:r>
      <w:r>
        <w:rPr>
          <w:b/>
          <w:spacing w:val="-3"/>
          <w:sz w:val="20"/>
        </w:rPr>
        <w:t> </w:t>
      </w:r>
      <w:r>
        <w:rPr>
          <w:b/>
          <w:sz w:val="20"/>
        </w:rPr>
        <w:t>per </w:t>
      </w:r>
      <w:r>
        <w:rPr>
          <w:b/>
          <w:spacing w:val="-2"/>
          <w:sz w:val="20"/>
        </w:rPr>
        <w:t>situation</w:t>
      </w:r>
    </w:p>
    <w:tbl>
      <w:tblPr>
        <w:tblW w:w="0" w:type="auto"/>
        <w:jc w:val="left"/>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7"/>
        <w:gridCol w:w="299"/>
        <w:gridCol w:w="362"/>
        <w:gridCol w:w="271"/>
        <w:gridCol w:w="350"/>
        <w:gridCol w:w="266"/>
        <w:gridCol w:w="348"/>
        <w:gridCol w:w="269"/>
        <w:gridCol w:w="348"/>
        <w:gridCol w:w="266"/>
        <w:gridCol w:w="350"/>
        <w:gridCol w:w="267"/>
        <w:gridCol w:w="348"/>
        <w:gridCol w:w="269"/>
        <w:gridCol w:w="351"/>
        <w:gridCol w:w="269"/>
        <w:gridCol w:w="348"/>
        <w:gridCol w:w="269"/>
        <w:gridCol w:w="351"/>
        <w:gridCol w:w="267"/>
        <w:gridCol w:w="351"/>
        <w:gridCol w:w="269"/>
        <w:gridCol w:w="351"/>
        <w:gridCol w:w="269"/>
        <w:gridCol w:w="360"/>
        <w:gridCol w:w="293"/>
        <w:gridCol w:w="363"/>
        <w:gridCol w:w="267"/>
        <w:gridCol w:w="373"/>
        <w:gridCol w:w="311"/>
        <w:gridCol w:w="390"/>
        <w:gridCol w:w="306"/>
        <w:gridCol w:w="388"/>
        <w:gridCol w:w="309"/>
        <w:gridCol w:w="374"/>
      </w:tblGrid>
      <w:tr>
        <w:trPr>
          <w:trHeight w:val="567" w:hRule="atLeast"/>
        </w:trPr>
        <w:tc>
          <w:tcPr>
            <w:tcW w:w="797" w:type="dxa"/>
            <w:tcBorders>
              <w:top w:val="single" w:sz="4" w:space="0" w:color="000000"/>
            </w:tcBorders>
          </w:tcPr>
          <w:p>
            <w:pPr>
              <w:pStyle w:val="TableParagraph"/>
              <w:jc w:val="left"/>
              <w:rPr>
                <w:b/>
                <w:sz w:val="14"/>
              </w:rPr>
            </w:pPr>
          </w:p>
          <w:p>
            <w:pPr>
              <w:pStyle w:val="TableParagraph"/>
              <w:spacing w:line="140" w:lineRule="atLeast" w:before="112"/>
              <w:ind w:left="139" w:firstLine="52"/>
              <w:jc w:val="left"/>
              <w:rPr>
                <w:i/>
                <w:sz w:val="12"/>
              </w:rPr>
            </w:pPr>
            <w:r>
              <w:rPr>
                <w:i/>
                <w:sz w:val="12"/>
              </w:rPr>
              <w:t>Staff</w:t>
            </w:r>
            <w:r>
              <w:rPr>
                <w:i/>
                <w:spacing w:val="-8"/>
                <w:sz w:val="12"/>
              </w:rPr>
              <w:t> </w:t>
            </w:r>
            <w:r>
              <w:rPr>
                <w:i/>
                <w:sz w:val="12"/>
              </w:rPr>
              <w:t>per</w:t>
            </w:r>
            <w:r>
              <w:rPr>
                <w:i/>
                <w:spacing w:val="40"/>
                <w:sz w:val="12"/>
              </w:rPr>
              <w:t> </w:t>
            </w:r>
            <w:r>
              <w:rPr>
                <w:i/>
                <w:spacing w:val="-2"/>
                <w:sz w:val="12"/>
              </w:rPr>
              <w:t>situation</w:t>
            </w:r>
            <w:r>
              <w:rPr>
                <w:i/>
                <w:spacing w:val="-2"/>
                <w:sz w:val="12"/>
                <w:vertAlign w:val="superscript"/>
              </w:rPr>
              <w:t>(1)</w:t>
            </w:r>
          </w:p>
        </w:tc>
        <w:tc>
          <w:tcPr>
            <w:tcW w:w="661" w:type="dxa"/>
            <w:gridSpan w:val="2"/>
            <w:tcBorders>
              <w:top w:val="single" w:sz="4" w:space="0" w:color="000000"/>
              <w:bottom w:val="single" w:sz="4" w:space="0" w:color="000000"/>
            </w:tcBorders>
          </w:tcPr>
          <w:p>
            <w:pPr>
              <w:pStyle w:val="TableParagraph"/>
              <w:spacing w:line="237" w:lineRule="auto" w:before="4"/>
              <w:ind w:left="41" w:right="33"/>
              <w:jc w:val="center"/>
              <w:rPr>
                <w:i/>
                <w:sz w:val="12"/>
              </w:rPr>
            </w:pPr>
            <w:r>
              <w:rPr>
                <w:i/>
                <w:spacing w:val="-2"/>
                <w:sz w:val="12"/>
              </w:rPr>
              <w:t>Operational</w:t>
            </w:r>
            <w:r>
              <w:rPr>
                <w:i/>
                <w:spacing w:val="40"/>
                <w:sz w:val="12"/>
              </w:rPr>
              <w:t> </w:t>
            </w:r>
            <w:r>
              <w:rPr>
                <w:i/>
                <w:spacing w:val="-2"/>
                <w:sz w:val="12"/>
              </w:rPr>
              <w:t>Support</w:t>
            </w:r>
            <w:r>
              <w:rPr>
                <w:i/>
                <w:spacing w:val="40"/>
                <w:sz w:val="12"/>
              </w:rPr>
              <w:t> </w:t>
            </w:r>
            <w:r>
              <w:rPr>
                <w:i/>
                <w:sz w:val="12"/>
              </w:rPr>
              <w:t>(CIS</w:t>
            </w:r>
            <w:r>
              <w:rPr>
                <w:i/>
                <w:spacing w:val="-8"/>
                <w:sz w:val="12"/>
              </w:rPr>
              <w:t> </w:t>
            </w:r>
            <w:r>
              <w:rPr>
                <w:i/>
                <w:sz w:val="12"/>
              </w:rPr>
              <w:t>and</w:t>
            </w:r>
          </w:p>
          <w:p>
            <w:pPr>
              <w:pStyle w:val="TableParagraph"/>
              <w:spacing w:line="116" w:lineRule="exact" w:before="2"/>
              <w:ind w:left="108" w:right="105"/>
              <w:jc w:val="center"/>
              <w:rPr>
                <w:i/>
                <w:sz w:val="12"/>
              </w:rPr>
            </w:pPr>
            <w:r>
              <w:rPr>
                <w:i/>
                <w:w w:val="95"/>
                <w:sz w:val="12"/>
              </w:rPr>
              <w:t>FO-</w:t>
            </w:r>
            <w:r>
              <w:rPr>
                <w:i/>
                <w:spacing w:val="-4"/>
                <w:sz w:val="12"/>
              </w:rPr>
              <w:t>Ops)</w:t>
            </w:r>
          </w:p>
        </w:tc>
        <w:tc>
          <w:tcPr>
            <w:tcW w:w="621" w:type="dxa"/>
            <w:gridSpan w:val="2"/>
            <w:tcBorders>
              <w:top w:val="single" w:sz="4" w:space="0" w:color="000000"/>
              <w:bottom w:val="single" w:sz="4" w:space="0" w:color="000000"/>
            </w:tcBorders>
          </w:tcPr>
          <w:p>
            <w:pPr>
              <w:pStyle w:val="TableParagraph"/>
              <w:jc w:val="left"/>
              <w:rPr>
                <w:b/>
                <w:sz w:val="12"/>
              </w:rPr>
            </w:pPr>
          </w:p>
          <w:p>
            <w:pPr>
              <w:pStyle w:val="TableParagraph"/>
              <w:spacing w:before="71"/>
              <w:ind w:left="121"/>
              <w:jc w:val="left"/>
              <w:rPr>
                <w:i/>
                <w:sz w:val="12"/>
              </w:rPr>
            </w:pPr>
            <w:r>
              <w:rPr>
                <w:i/>
                <w:spacing w:val="-2"/>
                <w:sz w:val="12"/>
              </w:rPr>
              <w:t>Uganda</w:t>
            </w:r>
          </w:p>
        </w:tc>
        <w:tc>
          <w:tcPr>
            <w:tcW w:w="614" w:type="dxa"/>
            <w:gridSpan w:val="2"/>
            <w:tcBorders>
              <w:top w:val="single" w:sz="4" w:space="0" w:color="000000"/>
              <w:bottom w:val="single" w:sz="4" w:space="0" w:color="000000"/>
            </w:tcBorders>
          </w:tcPr>
          <w:p>
            <w:pPr>
              <w:pStyle w:val="TableParagraph"/>
              <w:jc w:val="left"/>
              <w:rPr>
                <w:b/>
                <w:sz w:val="12"/>
              </w:rPr>
            </w:pPr>
          </w:p>
          <w:p>
            <w:pPr>
              <w:pStyle w:val="TableParagraph"/>
              <w:spacing w:before="71"/>
              <w:ind w:left="192"/>
              <w:jc w:val="left"/>
              <w:rPr>
                <w:i/>
                <w:sz w:val="12"/>
              </w:rPr>
            </w:pPr>
            <w:r>
              <w:rPr>
                <w:i/>
                <w:spacing w:val="-5"/>
                <w:sz w:val="12"/>
              </w:rPr>
              <w:t>DRC</w:t>
            </w:r>
          </w:p>
        </w:tc>
        <w:tc>
          <w:tcPr>
            <w:tcW w:w="617" w:type="dxa"/>
            <w:gridSpan w:val="2"/>
            <w:tcBorders>
              <w:top w:val="single" w:sz="4" w:space="0" w:color="000000"/>
              <w:bottom w:val="single" w:sz="4" w:space="0" w:color="000000"/>
            </w:tcBorders>
          </w:tcPr>
          <w:p>
            <w:pPr>
              <w:pStyle w:val="TableParagraph"/>
              <w:jc w:val="left"/>
              <w:rPr>
                <w:b/>
                <w:sz w:val="12"/>
              </w:rPr>
            </w:pPr>
          </w:p>
          <w:p>
            <w:pPr>
              <w:pStyle w:val="TableParagraph"/>
              <w:spacing w:before="71"/>
              <w:ind w:left="145"/>
              <w:jc w:val="left"/>
              <w:rPr>
                <w:i/>
                <w:sz w:val="12"/>
              </w:rPr>
            </w:pPr>
            <w:r>
              <w:rPr>
                <w:i/>
                <w:spacing w:val="-2"/>
                <w:sz w:val="12"/>
              </w:rPr>
              <w:t>Darfur</w:t>
            </w:r>
          </w:p>
        </w:tc>
        <w:tc>
          <w:tcPr>
            <w:tcW w:w="616" w:type="dxa"/>
            <w:gridSpan w:val="2"/>
            <w:tcBorders>
              <w:top w:val="single" w:sz="4" w:space="0" w:color="000000"/>
              <w:bottom w:val="single" w:sz="4" w:space="0" w:color="000000"/>
            </w:tcBorders>
          </w:tcPr>
          <w:p>
            <w:pPr>
              <w:pStyle w:val="TableParagraph"/>
              <w:jc w:val="left"/>
              <w:rPr>
                <w:b/>
                <w:sz w:val="12"/>
              </w:rPr>
            </w:pPr>
          </w:p>
          <w:p>
            <w:pPr>
              <w:pStyle w:val="TableParagraph"/>
              <w:spacing w:before="71"/>
              <w:ind w:left="195"/>
              <w:jc w:val="left"/>
              <w:rPr>
                <w:i/>
                <w:sz w:val="12"/>
              </w:rPr>
            </w:pPr>
            <w:r>
              <w:rPr>
                <w:i/>
                <w:spacing w:val="-5"/>
                <w:sz w:val="12"/>
              </w:rPr>
              <w:t>CAR</w:t>
            </w:r>
          </w:p>
        </w:tc>
        <w:tc>
          <w:tcPr>
            <w:tcW w:w="615" w:type="dxa"/>
            <w:gridSpan w:val="2"/>
            <w:tcBorders>
              <w:top w:val="single" w:sz="4" w:space="0" w:color="000000"/>
              <w:bottom w:val="single" w:sz="4" w:space="0" w:color="000000"/>
            </w:tcBorders>
          </w:tcPr>
          <w:p>
            <w:pPr>
              <w:pStyle w:val="TableParagraph"/>
              <w:jc w:val="left"/>
              <w:rPr>
                <w:b/>
                <w:sz w:val="12"/>
              </w:rPr>
            </w:pPr>
          </w:p>
          <w:p>
            <w:pPr>
              <w:pStyle w:val="TableParagraph"/>
              <w:spacing w:before="71"/>
              <w:ind w:left="160"/>
              <w:jc w:val="left"/>
              <w:rPr>
                <w:i/>
                <w:sz w:val="12"/>
              </w:rPr>
            </w:pPr>
            <w:r>
              <w:rPr>
                <w:i/>
                <w:spacing w:val="-2"/>
                <w:sz w:val="12"/>
              </w:rPr>
              <w:t>Kenya</w:t>
            </w:r>
          </w:p>
        </w:tc>
        <w:tc>
          <w:tcPr>
            <w:tcW w:w="620" w:type="dxa"/>
            <w:gridSpan w:val="2"/>
            <w:tcBorders>
              <w:top w:val="single" w:sz="4" w:space="0" w:color="000000"/>
              <w:bottom w:val="single" w:sz="4" w:space="0" w:color="000000"/>
            </w:tcBorders>
          </w:tcPr>
          <w:p>
            <w:pPr>
              <w:pStyle w:val="TableParagraph"/>
              <w:jc w:val="left"/>
              <w:rPr>
                <w:b/>
                <w:sz w:val="12"/>
              </w:rPr>
            </w:pPr>
          </w:p>
          <w:p>
            <w:pPr>
              <w:pStyle w:val="TableParagraph"/>
              <w:spacing w:before="71"/>
              <w:ind w:left="179"/>
              <w:jc w:val="left"/>
              <w:rPr>
                <w:i/>
                <w:sz w:val="12"/>
              </w:rPr>
            </w:pPr>
            <w:r>
              <w:rPr>
                <w:i/>
                <w:spacing w:val="-2"/>
                <w:sz w:val="12"/>
              </w:rPr>
              <w:t>Libya</w:t>
            </w:r>
          </w:p>
        </w:tc>
        <w:tc>
          <w:tcPr>
            <w:tcW w:w="617" w:type="dxa"/>
            <w:gridSpan w:val="2"/>
            <w:tcBorders>
              <w:top w:val="single" w:sz="4" w:space="0" w:color="000000"/>
              <w:bottom w:val="single" w:sz="4" w:space="0" w:color="000000"/>
            </w:tcBorders>
          </w:tcPr>
          <w:p>
            <w:pPr>
              <w:pStyle w:val="TableParagraph"/>
              <w:spacing w:before="7"/>
              <w:jc w:val="left"/>
              <w:rPr>
                <w:b/>
                <w:sz w:val="12"/>
              </w:rPr>
            </w:pPr>
          </w:p>
          <w:p>
            <w:pPr>
              <w:pStyle w:val="TableParagraph"/>
              <w:spacing w:line="232" w:lineRule="auto"/>
              <w:ind w:left="121" w:firstLine="76"/>
              <w:jc w:val="left"/>
              <w:rPr>
                <w:i/>
                <w:sz w:val="12"/>
              </w:rPr>
            </w:pPr>
            <w:r>
              <w:rPr>
                <w:i/>
                <w:spacing w:val="-4"/>
                <w:sz w:val="12"/>
              </w:rPr>
              <w:t>Côte</w:t>
            </w:r>
            <w:r>
              <w:rPr>
                <w:i/>
                <w:spacing w:val="40"/>
                <w:sz w:val="12"/>
              </w:rPr>
              <w:t> </w:t>
            </w:r>
            <w:r>
              <w:rPr>
                <w:i/>
                <w:spacing w:val="-2"/>
                <w:sz w:val="12"/>
              </w:rPr>
              <w:t>d’Ivoire</w:t>
            </w:r>
          </w:p>
        </w:tc>
        <w:tc>
          <w:tcPr>
            <w:tcW w:w="620" w:type="dxa"/>
            <w:gridSpan w:val="2"/>
            <w:tcBorders>
              <w:top w:val="single" w:sz="4" w:space="0" w:color="000000"/>
              <w:bottom w:val="single" w:sz="4" w:space="0" w:color="000000"/>
            </w:tcBorders>
          </w:tcPr>
          <w:p>
            <w:pPr>
              <w:pStyle w:val="TableParagraph"/>
              <w:jc w:val="left"/>
              <w:rPr>
                <w:b/>
                <w:sz w:val="12"/>
              </w:rPr>
            </w:pPr>
          </w:p>
          <w:p>
            <w:pPr>
              <w:pStyle w:val="TableParagraph"/>
              <w:spacing w:before="71"/>
              <w:ind w:left="200"/>
              <w:jc w:val="left"/>
              <w:rPr>
                <w:i/>
                <w:sz w:val="12"/>
              </w:rPr>
            </w:pPr>
            <w:r>
              <w:rPr>
                <w:i/>
                <w:spacing w:val="-4"/>
                <w:sz w:val="12"/>
              </w:rPr>
              <w:t>Mali</w:t>
            </w:r>
          </w:p>
        </w:tc>
        <w:tc>
          <w:tcPr>
            <w:tcW w:w="618" w:type="dxa"/>
            <w:gridSpan w:val="2"/>
            <w:tcBorders>
              <w:top w:val="single" w:sz="4" w:space="0" w:color="000000"/>
              <w:bottom w:val="single" w:sz="4" w:space="0" w:color="000000"/>
            </w:tcBorders>
          </w:tcPr>
          <w:p>
            <w:pPr>
              <w:pStyle w:val="TableParagraph"/>
              <w:jc w:val="left"/>
              <w:rPr>
                <w:b/>
                <w:sz w:val="12"/>
              </w:rPr>
            </w:pPr>
          </w:p>
          <w:p>
            <w:pPr>
              <w:pStyle w:val="TableParagraph"/>
              <w:spacing w:before="71"/>
              <w:ind w:left="113"/>
              <w:jc w:val="left"/>
              <w:rPr>
                <w:i/>
                <w:sz w:val="12"/>
              </w:rPr>
            </w:pPr>
            <w:r>
              <w:rPr>
                <w:i/>
                <w:spacing w:val="-2"/>
                <w:sz w:val="12"/>
              </w:rPr>
              <w:t>Georgia</w:t>
            </w:r>
          </w:p>
        </w:tc>
        <w:tc>
          <w:tcPr>
            <w:tcW w:w="620" w:type="dxa"/>
            <w:gridSpan w:val="2"/>
            <w:tcBorders>
              <w:top w:val="single" w:sz="4" w:space="0" w:color="000000"/>
              <w:bottom w:val="single" w:sz="4" w:space="0" w:color="000000"/>
            </w:tcBorders>
          </w:tcPr>
          <w:p>
            <w:pPr>
              <w:pStyle w:val="TableParagraph"/>
              <w:jc w:val="left"/>
              <w:rPr>
                <w:b/>
                <w:sz w:val="12"/>
              </w:rPr>
            </w:pPr>
          </w:p>
          <w:p>
            <w:pPr>
              <w:pStyle w:val="TableParagraph"/>
              <w:spacing w:before="71"/>
              <w:ind w:left="114"/>
              <w:jc w:val="left"/>
              <w:rPr>
                <w:i/>
                <w:sz w:val="12"/>
              </w:rPr>
            </w:pPr>
            <w:r>
              <w:rPr>
                <w:i/>
                <w:spacing w:val="-2"/>
                <w:sz w:val="12"/>
              </w:rPr>
              <w:t>Burundi</w:t>
            </w:r>
          </w:p>
        </w:tc>
        <w:tc>
          <w:tcPr>
            <w:tcW w:w="629" w:type="dxa"/>
            <w:gridSpan w:val="2"/>
            <w:tcBorders>
              <w:top w:val="single" w:sz="4" w:space="0" w:color="000000"/>
              <w:bottom w:val="single" w:sz="4" w:space="0" w:color="000000"/>
            </w:tcBorders>
          </w:tcPr>
          <w:p>
            <w:pPr>
              <w:pStyle w:val="TableParagraph"/>
              <w:jc w:val="left"/>
              <w:rPr>
                <w:b/>
                <w:sz w:val="12"/>
              </w:rPr>
            </w:pPr>
          </w:p>
          <w:p>
            <w:pPr>
              <w:pStyle w:val="TableParagraph"/>
              <w:spacing w:before="71"/>
              <w:ind w:left="81"/>
              <w:jc w:val="left"/>
              <w:rPr>
                <w:i/>
                <w:sz w:val="12"/>
              </w:rPr>
            </w:pPr>
            <w:r>
              <w:rPr>
                <w:i/>
                <w:spacing w:val="-2"/>
                <w:sz w:val="12"/>
              </w:rPr>
              <w:t>Myanmar</w:t>
            </w:r>
          </w:p>
        </w:tc>
        <w:tc>
          <w:tcPr>
            <w:tcW w:w="656" w:type="dxa"/>
            <w:gridSpan w:val="2"/>
            <w:tcBorders>
              <w:top w:val="single" w:sz="4" w:space="0" w:color="000000"/>
              <w:bottom w:val="single" w:sz="4" w:space="0" w:color="000000"/>
            </w:tcBorders>
          </w:tcPr>
          <w:p>
            <w:pPr>
              <w:pStyle w:val="TableParagraph"/>
              <w:jc w:val="left"/>
              <w:rPr>
                <w:b/>
                <w:sz w:val="12"/>
              </w:rPr>
            </w:pPr>
          </w:p>
          <w:p>
            <w:pPr>
              <w:pStyle w:val="TableParagraph"/>
              <w:spacing w:before="71"/>
              <w:ind w:left="32"/>
              <w:jc w:val="left"/>
              <w:rPr>
                <w:i/>
                <w:sz w:val="12"/>
              </w:rPr>
            </w:pPr>
            <w:r>
              <w:rPr>
                <w:i/>
                <w:spacing w:val="-2"/>
                <w:sz w:val="12"/>
              </w:rPr>
              <w:t>Afghanistan</w:t>
            </w:r>
          </w:p>
        </w:tc>
        <w:tc>
          <w:tcPr>
            <w:tcW w:w="640" w:type="dxa"/>
            <w:gridSpan w:val="2"/>
            <w:tcBorders>
              <w:top w:val="single" w:sz="4" w:space="0" w:color="000000"/>
              <w:bottom w:val="single" w:sz="4" w:space="0" w:color="000000"/>
            </w:tcBorders>
          </w:tcPr>
          <w:p>
            <w:pPr>
              <w:pStyle w:val="TableParagraph"/>
              <w:jc w:val="left"/>
              <w:rPr>
                <w:b/>
                <w:sz w:val="12"/>
              </w:rPr>
            </w:pPr>
          </w:p>
          <w:p>
            <w:pPr>
              <w:pStyle w:val="TableParagraph"/>
              <w:spacing w:before="71"/>
              <w:ind w:left="87"/>
              <w:jc w:val="left"/>
              <w:rPr>
                <w:i/>
                <w:sz w:val="12"/>
              </w:rPr>
            </w:pPr>
            <w:r>
              <w:rPr>
                <w:i/>
                <w:spacing w:val="-2"/>
                <w:sz w:val="12"/>
              </w:rPr>
              <w:t>Palestine</w:t>
            </w:r>
          </w:p>
        </w:tc>
        <w:tc>
          <w:tcPr>
            <w:tcW w:w="701" w:type="dxa"/>
            <w:gridSpan w:val="2"/>
            <w:tcBorders>
              <w:top w:val="single" w:sz="4" w:space="0" w:color="000000"/>
              <w:bottom w:val="single" w:sz="4" w:space="0" w:color="000000"/>
            </w:tcBorders>
          </w:tcPr>
          <w:p>
            <w:pPr>
              <w:pStyle w:val="TableParagraph"/>
              <w:jc w:val="left"/>
              <w:rPr>
                <w:b/>
                <w:sz w:val="12"/>
              </w:rPr>
            </w:pPr>
          </w:p>
          <w:p>
            <w:pPr>
              <w:pStyle w:val="TableParagraph"/>
              <w:spacing w:before="71"/>
              <w:ind w:left="57"/>
              <w:jc w:val="left"/>
              <w:rPr>
                <w:i/>
                <w:sz w:val="12"/>
              </w:rPr>
            </w:pPr>
            <w:r>
              <w:rPr>
                <w:i/>
                <w:spacing w:val="-2"/>
                <w:sz w:val="12"/>
              </w:rPr>
              <w:t>Philippines</w:t>
            </w:r>
          </w:p>
        </w:tc>
        <w:tc>
          <w:tcPr>
            <w:tcW w:w="694" w:type="dxa"/>
            <w:gridSpan w:val="2"/>
            <w:tcBorders>
              <w:top w:val="single" w:sz="4" w:space="0" w:color="000000"/>
              <w:bottom w:val="single" w:sz="4" w:space="0" w:color="000000"/>
            </w:tcBorders>
          </w:tcPr>
          <w:p>
            <w:pPr>
              <w:pStyle w:val="TableParagraph"/>
              <w:jc w:val="left"/>
              <w:rPr>
                <w:b/>
                <w:sz w:val="12"/>
              </w:rPr>
            </w:pPr>
          </w:p>
          <w:p>
            <w:pPr>
              <w:pStyle w:val="TableParagraph"/>
              <w:spacing w:before="71"/>
              <w:ind w:left="76"/>
              <w:jc w:val="left"/>
              <w:rPr>
                <w:i/>
                <w:sz w:val="12"/>
              </w:rPr>
            </w:pPr>
            <w:r>
              <w:rPr>
                <w:i/>
                <w:spacing w:val="-2"/>
                <w:sz w:val="12"/>
              </w:rPr>
              <w:t>Venezuela</w:t>
            </w:r>
          </w:p>
        </w:tc>
        <w:tc>
          <w:tcPr>
            <w:tcW w:w="683" w:type="dxa"/>
            <w:gridSpan w:val="2"/>
            <w:tcBorders>
              <w:top w:val="single" w:sz="4" w:space="0" w:color="000000"/>
              <w:bottom w:val="single" w:sz="4" w:space="0" w:color="000000"/>
            </w:tcBorders>
          </w:tcPr>
          <w:p>
            <w:pPr>
              <w:pStyle w:val="TableParagraph"/>
              <w:jc w:val="left"/>
              <w:rPr>
                <w:b/>
                <w:sz w:val="12"/>
              </w:rPr>
            </w:pPr>
          </w:p>
          <w:p>
            <w:pPr>
              <w:pStyle w:val="TableParagraph"/>
              <w:spacing w:before="71"/>
              <w:ind w:left="127"/>
              <w:jc w:val="left"/>
              <w:rPr>
                <w:i/>
                <w:sz w:val="12"/>
              </w:rPr>
            </w:pPr>
            <w:r>
              <w:rPr>
                <w:i/>
                <w:spacing w:val="-2"/>
                <w:sz w:val="12"/>
              </w:rPr>
              <w:t>Ukraine</w:t>
            </w:r>
          </w:p>
        </w:tc>
      </w:tr>
      <w:tr>
        <w:trPr>
          <w:trHeight w:val="286" w:hRule="atLeast"/>
        </w:trPr>
        <w:tc>
          <w:tcPr>
            <w:tcW w:w="797" w:type="dxa"/>
            <w:tcBorders>
              <w:bottom w:val="single" w:sz="4" w:space="0" w:color="000000"/>
            </w:tcBorders>
          </w:tcPr>
          <w:p>
            <w:pPr>
              <w:pStyle w:val="TableParagraph"/>
              <w:jc w:val="left"/>
              <w:rPr>
                <w:sz w:val="12"/>
              </w:rPr>
            </w:pPr>
          </w:p>
        </w:tc>
        <w:tc>
          <w:tcPr>
            <w:tcW w:w="299" w:type="dxa"/>
            <w:tcBorders>
              <w:top w:val="single" w:sz="4" w:space="0" w:color="000000"/>
              <w:bottom w:val="single" w:sz="4" w:space="0" w:color="000000"/>
            </w:tcBorders>
          </w:tcPr>
          <w:p>
            <w:pPr>
              <w:pStyle w:val="TableParagraph"/>
              <w:spacing w:before="74"/>
              <w:ind w:left="20" w:right="9"/>
              <w:jc w:val="center"/>
              <w:rPr>
                <w:i/>
                <w:sz w:val="8"/>
              </w:rPr>
            </w:pPr>
            <w:r>
              <w:rPr>
                <w:i/>
                <w:spacing w:val="-2"/>
                <w:position w:val="-4"/>
                <w:sz w:val="12"/>
              </w:rPr>
              <w:t>EP</w:t>
            </w:r>
            <w:r>
              <w:rPr>
                <w:i/>
                <w:spacing w:val="-2"/>
                <w:sz w:val="8"/>
              </w:rPr>
              <w:t>(2)</w:t>
            </w:r>
          </w:p>
        </w:tc>
        <w:tc>
          <w:tcPr>
            <w:tcW w:w="362" w:type="dxa"/>
            <w:tcBorders>
              <w:top w:val="single" w:sz="4" w:space="0" w:color="000000"/>
              <w:bottom w:val="single" w:sz="4" w:space="0" w:color="000000"/>
            </w:tcBorders>
          </w:tcPr>
          <w:p>
            <w:pPr>
              <w:pStyle w:val="TableParagraph"/>
              <w:spacing w:before="74"/>
              <w:ind w:left="11" w:right="3"/>
              <w:jc w:val="center"/>
              <w:rPr>
                <w:i/>
                <w:sz w:val="8"/>
              </w:rPr>
            </w:pPr>
            <w:r>
              <w:rPr>
                <w:i/>
                <w:spacing w:val="-2"/>
                <w:position w:val="-4"/>
                <w:sz w:val="12"/>
              </w:rPr>
              <w:t>GTA</w:t>
            </w:r>
            <w:r>
              <w:rPr>
                <w:i/>
                <w:spacing w:val="-2"/>
                <w:sz w:val="8"/>
              </w:rPr>
              <w:t>(3)</w:t>
            </w:r>
          </w:p>
        </w:tc>
        <w:tc>
          <w:tcPr>
            <w:tcW w:w="271" w:type="dxa"/>
            <w:tcBorders>
              <w:top w:val="single" w:sz="4" w:space="0" w:color="000000"/>
              <w:bottom w:val="single" w:sz="4" w:space="0" w:color="000000"/>
            </w:tcBorders>
          </w:tcPr>
          <w:p>
            <w:pPr>
              <w:pStyle w:val="TableParagraph"/>
              <w:spacing w:before="74"/>
              <w:ind w:left="4"/>
              <w:jc w:val="center"/>
              <w:rPr>
                <w:i/>
                <w:sz w:val="8"/>
              </w:rPr>
            </w:pPr>
            <w:r>
              <w:rPr>
                <w:i/>
                <w:spacing w:val="-2"/>
                <w:position w:val="-4"/>
                <w:sz w:val="12"/>
              </w:rPr>
              <w:t>EP</w:t>
            </w:r>
            <w:r>
              <w:rPr>
                <w:i/>
                <w:spacing w:val="-2"/>
                <w:sz w:val="8"/>
              </w:rPr>
              <w:t>(2)</w:t>
            </w:r>
          </w:p>
        </w:tc>
        <w:tc>
          <w:tcPr>
            <w:tcW w:w="350" w:type="dxa"/>
            <w:tcBorders>
              <w:top w:val="single" w:sz="4" w:space="0" w:color="000000"/>
              <w:bottom w:val="single" w:sz="4" w:space="0" w:color="000000"/>
            </w:tcBorders>
          </w:tcPr>
          <w:p>
            <w:pPr>
              <w:pStyle w:val="TableParagraph"/>
              <w:spacing w:before="74"/>
              <w:ind w:left="14"/>
              <w:jc w:val="left"/>
              <w:rPr>
                <w:i/>
                <w:sz w:val="8"/>
              </w:rPr>
            </w:pPr>
            <w:r>
              <w:rPr>
                <w:i/>
                <w:spacing w:val="-2"/>
                <w:position w:val="-4"/>
                <w:sz w:val="12"/>
              </w:rPr>
              <w:t>GTA</w:t>
            </w:r>
            <w:r>
              <w:rPr>
                <w:i/>
                <w:spacing w:val="-2"/>
                <w:sz w:val="8"/>
              </w:rPr>
              <w:t>(3)</w:t>
            </w:r>
          </w:p>
        </w:tc>
        <w:tc>
          <w:tcPr>
            <w:tcW w:w="266" w:type="dxa"/>
            <w:tcBorders>
              <w:top w:val="single" w:sz="4" w:space="0" w:color="000000"/>
              <w:bottom w:val="single" w:sz="4" w:space="0" w:color="000000"/>
            </w:tcBorders>
          </w:tcPr>
          <w:p>
            <w:pPr>
              <w:pStyle w:val="TableParagraph"/>
              <w:spacing w:before="74"/>
              <w:ind w:right="6"/>
              <w:rPr>
                <w:i/>
                <w:sz w:val="8"/>
              </w:rPr>
            </w:pPr>
            <w:r>
              <w:rPr>
                <w:i/>
                <w:spacing w:val="-2"/>
                <w:position w:val="-4"/>
                <w:sz w:val="12"/>
              </w:rPr>
              <w:t>EP</w:t>
            </w:r>
            <w:r>
              <w:rPr>
                <w:i/>
                <w:spacing w:val="-2"/>
                <w:sz w:val="8"/>
              </w:rPr>
              <w:t>(2)</w:t>
            </w:r>
          </w:p>
        </w:tc>
        <w:tc>
          <w:tcPr>
            <w:tcW w:w="348" w:type="dxa"/>
            <w:tcBorders>
              <w:top w:val="single" w:sz="4" w:space="0" w:color="000000"/>
              <w:bottom w:val="single" w:sz="4" w:space="0" w:color="000000"/>
            </w:tcBorders>
          </w:tcPr>
          <w:p>
            <w:pPr>
              <w:pStyle w:val="TableParagraph"/>
              <w:spacing w:before="74"/>
              <w:ind w:left="2"/>
              <w:jc w:val="center"/>
              <w:rPr>
                <w:i/>
                <w:sz w:val="8"/>
              </w:rPr>
            </w:pPr>
            <w:r>
              <w:rPr>
                <w:i/>
                <w:spacing w:val="-2"/>
                <w:position w:val="-4"/>
                <w:sz w:val="12"/>
              </w:rPr>
              <w:t>GTA</w:t>
            </w:r>
            <w:r>
              <w:rPr>
                <w:i/>
                <w:spacing w:val="-2"/>
                <w:sz w:val="8"/>
              </w:rPr>
              <w:t>(3)</w:t>
            </w:r>
          </w:p>
        </w:tc>
        <w:tc>
          <w:tcPr>
            <w:tcW w:w="269" w:type="dxa"/>
            <w:tcBorders>
              <w:top w:val="single" w:sz="4" w:space="0" w:color="000000"/>
              <w:bottom w:val="single" w:sz="4" w:space="0" w:color="000000"/>
            </w:tcBorders>
          </w:tcPr>
          <w:p>
            <w:pPr>
              <w:pStyle w:val="TableParagraph"/>
              <w:spacing w:before="74"/>
              <w:ind w:left="15"/>
              <w:jc w:val="left"/>
              <w:rPr>
                <w:i/>
                <w:sz w:val="8"/>
              </w:rPr>
            </w:pPr>
            <w:r>
              <w:rPr>
                <w:i/>
                <w:spacing w:val="-2"/>
                <w:position w:val="-4"/>
                <w:sz w:val="12"/>
              </w:rPr>
              <w:t>EP</w:t>
            </w:r>
            <w:r>
              <w:rPr>
                <w:i/>
                <w:spacing w:val="-2"/>
                <w:sz w:val="8"/>
              </w:rPr>
              <w:t>(2)</w:t>
            </w:r>
          </w:p>
        </w:tc>
        <w:tc>
          <w:tcPr>
            <w:tcW w:w="348" w:type="dxa"/>
            <w:tcBorders>
              <w:top w:val="single" w:sz="4" w:space="0" w:color="000000"/>
              <w:bottom w:val="single" w:sz="4" w:space="0" w:color="000000"/>
            </w:tcBorders>
          </w:tcPr>
          <w:p>
            <w:pPr>
              <w:pStyle w:val="TableParagraph"/>
              <w:spacing w:before="74"/>
              <w:ind w:left="7"/>
              <w:jc w:val="center"/>
              <w:rPr>
                <w:i/>
                <w:sz w:val="8"/>
              </w:rPr>
            </w:pPr>
            <w:r>
              <w:rPr>
                <w:i/>
                <w:spacing w:val="-2"/>
                <w:position w:val="-4"/>
                <w:sz w:val="12"/>
              </w:rPr>
              <w:t>GTA</w:t>
            </w:r>
            <w:r>
              <w:rPr>
                <w:i/>
                <w:spacing w:val="-2"/>
                <w:sz w:val="8"/>
              </w:rPr>
              <w:t>(3)</w:t>
            </w:r>
          </w:p>
        </w:tc>
        <w:tc>
          <w:tcPr>
            <w:tcW w:w="266" w:type="dxa"/>
            <w:tcBorders>
              <w:top w:val="single" w:sz="4" w:space="0" w:color="000000"/>
              <w:bottom w:val="single" w:sz="4" w:space="0" w:color="000000"/>
            </w:tcBorders>
          </w:tcPr>
          <w:p>
            <w:pPr>
              <w:pStyle w:val="TableParagraph"/>
              <w:spacing w:before="74"/>
              <w:ind w:left="2"/>
              <w:jc w:val="center"/>
              <w:rPr>
                <w:i/>
                <w:sz w:val="8"/>
              </w:rPr>
            </w:pPr>
            <w:r>
              <w:rPr>
                <w:i/>
                <w:spacing w:val="-2"/>
                <w:position w:val="-4"/>
                <w:sz w:val="12"/>
              </w:rPr>
              <w:t>EP</w:t>
            </w:r>
            <w:r>
              <w:rPr>
                <w:i/>
                <w:spacing w:val="-2"/>
                <w:sz w:val="8"/>
              </w:rPr>
              <w:t>(2)</w:t>
            </w:r>
          </w:p>
        </w:tc>
        <w:tc>
          <w:tcPr>
            <w:tcW w:w="350" w:type="dxa"/>
            <w:tcBorders>
              <w:top w:val="single" w:sz="4" w:space="0" w:color="000000"/>
              <w:bottom w:val="single" w:sz="4" w:space="0" w:color="000000"/>
            </w:tcBorders>
          </w:tcPr>
          <w:p>
            <w:pPr>
              <w:pStyle w:val="TableParagraph"/>
              <w:spacing w:before="74"/>
              <w:ind w:left="6"/>
              <w:jc w:val="center"/>
              <w:rPr>
                <w:i/>
                <w:sz w:val="8"/>
              </w:rPr>
            </w:pPr>
            <w:r>
              <w:rPr>
                <w:i/>
                <w:spacing w:val="-2"/>
                <w:position w:val="-4"/>
                <w:sz w:val="12"/>
              </w:rPr>
              <w:t>GTA</w:t>
            </w:r>
            <w:r>
              <w:rPr>
                <w:i/>
                <w:spacing w:val="-2"/>
                <w:sz w:val="8"/>
              </w:rPr>
              <w:t>(3)</w:t>
            </w:r>
          </w:p>
        </w:tc>
        <w:tc>
          <w:tcPr>
            <w:tcW w:w="267" w:type="dxa"/>
            <w:tcBorders>
              <w:top w:val="single" w:sz="4" w:space="0" w:color="000000"/>
              <w:bottom w:val="single" w:sz="4" w:space="0" w:color="000000"/>
            </w:tcBorders>
          </w:tcPr>
          <w:p>
            <w:pPr>
              <w:pStyle w:val="TableParagraph"/>
              <w:spacing w:before="74"/>
              <w:ind w:left="8"/>
              <w:jc w:val="center"/>
              <w:rPr>
                <w:i/>
                <w:sz w:val="8"/>
              </w:rPr>
            </w:pPr>
            <w:r>
              <w:rPr>
                <w:i/>
                <w:spacing w:val="-2"/>
                <w:position w:val="-4"/>
                <w:sz w:val="12"/>
              </w:rPr>
              <w:t>EP</w:t>
            </w:r>
            <w:r>
              <w:rPr>
                <w:i/>
                <w:spacing w:val="-2"/>
                <w:sz w:val="8"/>
              </w:rPr>
              <w:t>(2)</w:t>
            </w:r>
          </w:p>
        </w:tc>
        <w:tc>
          <w:tcPr>
            <w:tcW w:w="348" w:type="dxa"/>
            <w:tcBorders>
              <w:top w:val="single" w:sz="4" w:space="0" w:color="000000"/>
              <w:bottom w:val="single" w:sz="4" w:space="0" w:color="000000"/>
            </w:tcBorders>
          </w:tcPr>
          <w:p>
            <w:pPr>
              <w:pStyle w:val="TableParagraph"/>
              <w:spacing w:before="74"/>
              <w:ind w:right="7"/>
              <w:rPr>
                <w:i/>
                <w:sz w:val="8"/>
              </w:rPr>
            </w:pPr>
            <w:r>
              <w:rPr>
                <w:i/>
                <w:spacing w:val="-2"/>
                <w:position w:val="-4"/>
                <w:sz w:val="12"/>
              </w:rPr>
              <w:t>GTA</w:t>
            </w:r>
            <w:r>
              <w:rPr>
                <w:i/>
                <w:spacing w:val="-2"/>
                <w:sz w:val="8"/>
              </w:rPr>
              <w:t>(3)</w:t>
            </w:r>
          </w:p>
        </w:tc>
        <w:tc>
          <w:tcPr>
            <w:tcW w:w="269" w:type="dxa"/>
            <w:tcBorders>
              <w:top w:val="single" w:sz="4" w:space="0" w:color="000000"/>
              <w:bottom w:val="single" w:sz="4" w:space="0" w:color="000000"/>
            </w:tcBorders>
          </w:tcPr>
          <w:p>
            <w:pPr>
              <w:pStyle w:val="TableParagraph"/>
              <w:spacing w:before="74"/>
              <w:ind w:left="16"/>
              <w:jc w:val="left"/>
              <w:rPr>
                <w:i/>
                <w:sz w:val="8"/>
              </w:rPr>
            </w:pPr>
            <w:r>
              <w:rPr>
                <w:i/>
                <w:spacing w:val="-2"/>
                <w:position w:val="-4"/>
                <w:sz w:val="12"/>
              </w:rPr>
              <w:t>EP</w:t>
            </w:r>
            <w:r>
              <w:rPr>
                <w:i/>
                <w:spacing w:val="-2"/>
                <w:sz w:val="8"/>
              </w:rPr>
              <w:t>(2)</w:t>
            </w:r>
          </w:p>
        </w:tc>
        <w:tc>
          <w:tcPr>
            <w:tcW w:w="351" w:type="dxa"/>
            <w:tcBorders>
              <w:top w:val="single" w:sz="4" w:space="0" w:color="000000"/>
              <w:bottom w:val="single" w:sz="4" w:space="0" w:color="000000"/>
            </w:tcBorders>
          </w:tcPr>
          <w:p>
            <w:pPr>
              <w:pStyle w:val="TableParagraph"/>
              <w:spacing w:before="74"/>
              <w:ind w:left="5"/>
              <w:jc w:val="center"/>
              <w:rPr>
                <w:i/>
                <w:sz w:val="8"/>
              </w:rPr>
            </w:pPr>
            <w:r>
              <w:rPr>
                <w:i/>
                <w:spacing w:val="-2"/>
                <w:position w:val="-4"/>
                <w:sz w:val="12"/>
              </w:rPr>
              <w:t>GTA</w:t>
            </w:r>
            <w:r>
              <w:rPr>
                <w:i/>
                <w:spacing w:val="-2"/>
                <w:sz w:val="8"/>
              </w:rPr>
              <w:t>(3)</w:t>
            </w:r>
          </w:p>
        </w:tc>
        <w:tc>
          <w:tcPr>
            <w:tcW w:w="269" w:type="dxa"/>
            <w:tcBorders>
              <w:top w:val="single" w:sz="4" w:space="0" w:color="000000"/>
              <w:bottom w:val="single" w:sz="4" w:space="0" w:color="000000"/>
            </w:tcBorders>
          </w:tcPr>
          <w:p>
            <w:pPr>
              <w:pStyle w:val="TableParagraph"/>
              <w:spacing w:before="74"/>
              <w:ind w:right="8"/>
              <w:rPr>
                <w:i/>
                <w:sz w:val="8"/>
              </w:rPr>
            </w:pPr>
            <w:r>
              <w:rPr>
                <w:i/>
                <w:spacing w:val="-2"/>
                <w:position w:val="-4"/>
                <w:sz w:val="12"/>
              </w:rPr>
              <w:t>EP</w:t>
            </w:r>
            <w:r>
              <w:rPr>
                <w:i/>
                <w:spacing w:val="-2"/>
                <w:sz w:val="8"/>
              </w:rPr>
              <w:t>(2)</w:t>
            </w:r>
          </w:p>
        </w:tc>
        <w:tc>
          <w:tcPr>
            <w:tcW w:w="348" w:type="dxa"/>
            <w:tcBorders>
              <w:top w:val="single" w:sz="4" w:space="0" w:color="000000"/>
              <w:bottom w:val="single" w:sz="4" w:space="0" w:color="000000"/>
            </w:tcBorders>
          </w:tcPr>
          <w:p>
            <w:pPr>
              <w:pStyle w:val="TableParagraph"/>
              <w:spacing w:before="74"/>
              <w:ind w:left="15"/>
              <w:jc w:val="left"/>
              <w:rPr>
                <w:i/>
                <w:sz w:val="8"/>
              </w:rPr>
            </w:pPr>
            <w:r>
              <w:rPr>
                <w:i/>
                <w:spacing w:val="-2"/>
                <w:position w:val="-4"/>
                <w:sz w:val="12"/>
              </w:rPr>
              <w:t>GTA</w:t>
            </w:r>
            <w:r>
              <w:rPr>
                <w:i/>
                <w:spacing w:val="-2"/>
                <w:sz w:val="8"/>
              </w:rPr>
              <w:t>(3)</w:t>
            </w:r>
          </w:p>
        </w:tc>
        <w:tc>
          <w:tcPr>
            <w:tcW w:w="269" w:type="dxa"/>
            <w:tcBorders>
              <w:top w:val="single" w:sz="4" w:space="0" w:color="000000"/>
              <w:bottom w:val="single" w:sz="4" w:space="0" w:color="000000"/>
            </w:tcBorders>
          </w:tcPr>
          <w:p>
            <w:pPr>
              <w:pStyle w:val="TableParagraph"/>
              <w:spacing w:before="74"/>
              <w:jc w:val="center"/>
              <w:rPr>
                <w:i/>
                <w:sz w:val="8"/>
              </w:rPr>
            </w:pPr>
            <w:r>
              <w:rPr>
                <w:i/>
                <w:spacing w:val="-2"/>
                <w:position w:val="-4"/>
                <w:sz w:val="12"/>
              </w:rPr>
              <w:t>EP</w:t>
            </w:r>
            <w:r>
              <w:rPr>
                <w:i/>
                <w:spacing w:val="-2"/>
                <w:sz w:val="8"/>
              </w:rPr>
              <w:t>(2)</w:t>
            </w:r>
          </w:p>
        </w:tc>
        <w:tc>
          <w:tcPr>
            <w:tcW w:w="351" w:type="dxa"/>
            <w:tcBorders>
              <w:top w:val="single" w:sz="4" w:space="0" w:color="000000"/>
              <w:bottom w:val="single" w:sz="4" w:space="0" w:color="000000"/>
            </w:tcBorders>
          </w:tcPr>
          <w:p>
            <w:pPr>
              <w:pStyle w:val="TableParagraph"/>
              <w:spacing w:before="74"/>
              <w:ind w:left="9"/>
              <w:jc w:val="center"/>
              <w:rPr>
                <w:i/>
                <w:sz w:val="8"/>
              </w:rPr>
            </w:pPr>
            <w:r>
              <w:rPr>
                <w:i/>
                <w:spacing w:val="-2"/>
                <w:position w:val="-4"/>
                <w:sz w:val="12"/>
              </w:rPr>
              <w:t>GTA</w:t>
            </w:r>
            <w:r>
              <w:rPr>
                <w:i/>
                <w:spacing w:val="-2"/>
                <w:sz w:val="8"/>
              </w:rPr>
              <w:t>(3)</w:t>
            </w:r>
          </w:p>
        </w:tc>
        <w:tc>
          <w:tcPr>
            <w:tcW w:w="267" w:type="dxa"/>
            <w:tcBorders>
              <w:top w:val="single" w:sz="4" w:space="0" w:color="000000"/>
              <w:bottom w:val="single" w:sz="4" w:space="0" w:color="000000"/>
            </w:tcBorders>
          </w:tcPr>
          <w:p>
            <w:pPr>
              <w:pStyle w:val="TableParagraph"/>
              <w:spacing w:before="74"/>
              <w:ind w:right="9"/>
              <w:rPr>
                <w:i/>
                <w:sz w:val="8"/>
              </w:rPr>
            </w:pPr>
            <w:r>
              <w:rPr>
                <w:i/>
                <w:spacing w:val="-2"/>
                <w:position w:val="-4"/>
                <w:sz w:val="12"/>
              </w:rPr>
              <w:t>EP</w:t>
            </w:r>
            <w:r>
              <w:rPr>
                <w:i/>
                <w:spacing w:val="-2"/>
                <w:sz w:val="8"/>
              </w:rPr>
              <w:t>(2)</w:t>
            </w:r>
          </w:p>
        </w:tc>
        <w:tc>
          <w:tcPr>
            <w:tcW w:w="351" w:type="dxa"/>
            <w:tcBorders>
              <w:top w:val="single" w:sz="4" w:space="0" w:color="000000"/>
              <w:bottom w:val="single" w:sz="4" w:space="0" w:color="000000"/>
            </w:tcBorders>
          </w:tcPr>
          <w:p>
            <w:pPr>
              <w:pStyle w:val="TableParagraph"/>
              <w:spacing w:before="74"/>
              <w:ind w:left="2"/>
              <w:jc w:val="center"/>
              <w:rPr>
                <w:i/>
                <w:sz w:val="8"/>
              </w:rPr>
            </w:pPr>
            <w:r>
              <w:rPr>
                <w:i/>
                <w:spacing w:val="-2"/>
                <w:position w:val="-4"/>
                <w:sz w:val="12"/>
              </w:rPr>
              <w:t>GTA</w:t>
            </w:r>
            <w:r>
              <w:rPr>
                <w:i/>
                <w:spacing w:val="-2"/>
                <w:sz w:val="8"/>
              </w:rPr>
              <w:t>(3)</w:t>
            </w:r>
          </w:p>
        </w:tc>
        <w:tc>
          <w:tcPr>
            <w:tcW w:w="269" w:type="dxa"/>
            <w:tcBorders>
              <w:top w:val="single" w:sz="4" w:space="0" w:color="000000"/>
              <w:bottom w:val="single" w:sz="4" w:space="0" w:color="000000"/>
            </w:tcBorders>
          </w:tcPr>
          <w:p>
            <w:pPr>
              <w:pStyle w:val="TableParagraph"/>
              <w:spacing w:before="74"/>
              <w:ind w:left="13"/>
              <w:jc w:val="left"/>
              <w:rPr>
                <w:i/>
                <w:sz w:val="8"/>
              </w:rPr>
            </w:pPr>
            <w:r>
              <w:rPr>
                <w:i/>
                <w:spacing w:val="-2"/>
                <w:position w:val="-4"/>
                <w:sz w:val="12"/>
              </w:rPr>
              <w:t>EP</w:t>
            </w:r>
            <w:r>
              <w:rPr>
                <w:i/>
                <w:spacing w:val="-2"/>
                <w:sz w:val="8"/>
              </w:rPr>
              <w:t>(2)</w:t>
            </w:r>
          </w:p>
        </w:tc>
        <w:tc>
          <w:tcPr>
            <w:tcW w:w="351" w:type="dxa"/>
            <w:tcBorders>
              <w:top w:val="single" w:sz="4" w:space="0" w:color="000000"/>
              <w:bottom w:val="single" w:sz="4" w:space="0" w:color="000000"/>
            </w:tcBorders>
          </w:tcPr>
          <w:p>
            <w:pPr>
              <w:pStyle w:val="TableParagraph"/>
              <w:spacing w:before="74"/>
              <w:ind w:left="1"/>
              <w:jc w:val="center"/>
              <w:rPr>
                <w:i/>
                <w:sz w:val="8"/>
              </w:rPr>
            </w:pPr>
            <w:r>
              <w:rPr>
                <w:i/>
                <w:spacing w:val="-2"/>
                <w:position w:val="-4"/>
                <w:sz w:val="12"/>
              </w:rPr>
              <w:t>GTA</w:t>
            </w:r>
            <w:r>
              <w:rPr>
                <w:i/>
                <w:spacing w:val="-2"/>
                <w:sz w:val="8"/>
              </w:rPr>
              <w:t>(3)</w:t>
            </w:r>
          </w:p>
        </w:tc>
        <w:tc>
          <w:tcPr>
            <w:tcW w:w="269" w:type="dxa"/>
            <w:tcBorders>
              <w:top w:val="single" w:sz="4" w:space="0" w:color="000000"/>
              <w:bottom w:val="single" w:sz="4" w:space="0" w:color="000000"/>
            </w:tcBorders>
          </w:tcPr>
          <w:p>
            <w:pPr>
              <w:pStyle w:val="TableParagraph"/>
              <w:spacing w:before="74"/>
              <w:ind w:left="1"/>
              <w:jc w:val="center"/>
              <w:rPr>
                <w:i/>
                <w:sz w:val="8"/>
              </w:rPr>
            </w:pPr>
            <w:r>
              <w:rPr>
                <w:i/>
                <w:spacing w:val="-2"/>
                <w:position w:val="-4"/>
                <w:sz w:val="12"/>
              </w:rPr>
              <w:t>EP</w:t>
            </w:r>
            <w:r>
              <w:rPr>
                <w:i/>
                <w:spacing w:val="-2"/>
                <w:sz w:val="8"/>
              </w:rPr>
              <w:t>(2)</w:t>
            </w:r>
          </w:p>
        </w:tc>
        <w:tc>
          <w:tcPr>
            <w:tcW w:w="360" w:type="dxa"/>
            <w:tcBorders>
              <w:top w:val="single" w:sz="4" w:space="0" w:color="000000"/>
              <w:bottom w:val="single" w:sz="4" w:space="0" w:color="000000"/>
            </w:tcBorders>
          </w:tcPr>
          <w:p>
            <w:pPr>
              <w:pStyle w:val="TableParagraph"/>
              <w:spacing w:before="74"/>
              <w:ind w:left="3" w:right="9"/>
              <w:jc w:val="center"/>
              <w:rPr>
                <w:i/>
                <w:sz w:val="8"/>
              </w:rPr>
            </w:pPr>
            <w:r>
              <w:rPr>
                <w:i/>
                <w:spacing w:val="-2"/>
                <w:position w:val="-4"/>
                <w:sz w:val="12"/>
              </w:rPr>
              <w:t>GTA</w:t>
            </w:r>
            <w:r>
              <w:rPr>
                <w:i/>
                <w:spacing w:val="-2"/>
                <w:sz w:val="8"/>
              </w:rPr>
              <w:t>(3)</w:t>
            </w:r>
          </w:p>
        </w:tc>
        <w:tc>
          <w:tcPr>
            <w:tcW w:w="293" w:type="dxa"/>
            <w:tcBorders>
              <w:top w:val="single" w:sz="4" w:space="0" w:color="000000"/>
              <w:bottom w:val="single" w:sz="4" w:space="0" w:color="000000"/>
            </w:tcBorders>
          </w:tcPr>
          <w:p>
            <w:pPr>
              <w:pStyle w:val="TableParagraph"/>
              <w:spacing w:before="74"/>
              <w:ind w:left="11" w:right="12"/>
              <w:jc w:val="center"/>
              <w:rPr>
                <w:i/>
                <w:sz w:val="8"/>
              </w:rPr>
            </w:pPr>
            <w:r>
              <w:rPr>
                <w:i/>
                <w:spacing w:val="-2"/>
                <w:position w:val="-4"/>
                <w:sz w:val="12"/>
              </w:rPr>
              <w:t>EP</w:t>
            </w:r>
            <w:r>
              <w:rPr>
                <w:i/>
                <w:spacing w:val="-2"/>
                <w:sz w:val="8"/>
              </w:rPr>
              <w:t>(2)</w:t>
            </w:r>
          </w:p>
        </w:tc>
        <w:tc>
          <w:tcPr>
            <w:tcW w:w="363" w:type="dxa"/>
            <w:tcBorders>
              <w:top w:val="single" w:sz="4" w:space="0" w:color="000000"/>
              <w:bottom w:val="single" w:sz="4" w:space="0" w:color="000000"/>
            </w:tcBorders>
          </w:tcPr>
          <w:p>
            <w:pPr>
              <w:pStyle w:val="TableParagraph"/>
              <w:spacing w:before="74"/>
              <w:ind w:left="17"/>
              <w:jc w:val="center"/>
              <w:rPr>
                <w:i/>
                <w:sz w:val="8"/>
              </w:rPr>
            </w:pPr>
            <w:r>
              <w:rPr>
                <w:i/>
                <w:spacing w:val="-2"/>
                <w:position w:val="-4"/>
                <w:sz w:val="12"/>
              </w:rPr>
              <w:t>GTA</w:t>
            </w:r>
            <w:r>
              <w:rPr>
                <w:i/>
                <w:spacing w:val="-2"/>
                <w:sz w:val="8"/>
              </w:rPr>
              <w:t>(3)</w:t>
            </w:r>
          </w:p>
        </w:tc>
        <w:tc>
          <w:tcPr>
            <w:tcW w:w="267" w:type="dxa"/>
            <w:tcBorders>
              <w:top w:val="single" w:sz="4" w:space="0" w:color="000000"/>
              <w:bottom w:val="single" w:sz="4" w:space="0" w:color="000000"/>
            </w:tcBorders>
          </w:tcPr>
          <w:p>
            <w:pPr>
              <w:pStyle w:val="TableParagraph"/>
              <w:spacing w:before="74"/>
              <w:jc w:val="center"/>
              <w:rPr>
                <w:i/>
                <w:sz w:val="8"/>
              </w:rPr>
            </w:pPr>
            <w:r>
              <w:rPr>
                <w:i/>
                <w:spacing w:val="-2"/>
                <w:position w:val="-4"/>
                <w:sz w:val="12"/>
              </w:rPr>
              <w:t>EP</w:t>
            </w:r>
            <w:r>
              <w:rPr>
                <w:i/>
                <w:spacing w:val="-2"/>
                <w:sz w:val="8"/>
              </w:rPr>
              <w:t>(2)</w:t>
            </w:r>
          </w:p>
        </w:tc>
        <w:tc>
          <w:tcPr>
            <w:tcW w:w="373" w:type="dxa"/>
            <w:tcBorders>
              <w:top w:val="single" w:sz="4" w:space="0" w:color="000000"/>
              <w:bottom w:val="single" w:sz="4" w:space="0" w:color="000000"/>
            </w:tcBorders>
          </w:tcPr>
          <w:p>
            <w:pPr>
              <w:pStyle w:val="TableParagraph"/>
              <w:spacing w:before="74"/>
              <w:ind w:left="2" w:right="23"/>
              <w:jc w:val="center"/>
              <w:rPr>
                <w:i/>
                <w:sz w:val="8"/>
              </w:rPr>
            </w:pPr>
            <w:r>
              <w:rPr>
                <w:i/>
                <w:spacing w:val="-2"/>
                <w:position w:val="-4"/>
                <w:sz w:val="12"/>
              </w:rPr>
              <w:t>GTA</w:t>
            </w:r>
            <w:r>
              <w:rPr>
                <w:i/>
                <w:spacing w:val="-2"/>
                <w:sz w:val="8"/>
              </w:rPr>
              <w:t>(3)</w:t>
            </w:r>
          </w:p>
        </w:tc>
        <w:tc>
          <w:tcPr>
            <w:tcW w:w="311" w:type="dxa"/>
            <w:tcBorders>
              <w:top w:val="single" w:sz="4" w:space="0" w:color="000000"/>
              <w:bottom w:val="single" w:sz="4" w:space="0" w:color="000000"/>
            </w:tcBorders>
          </w:tcPr>
          <w:p>
            <w:pPr>
              <w:pStyle w:val="TableParagraph"/>
              <w:spacing w:before="74"/>
              <w:ind w:left="20" w:right="21"/>
              <w:jc w:val="center"/>
              <w:rPr>
                <w:i/>
                <w:sz w:val="8"/>
              </w:rPr>
            </w:pPr>
            <w:r>
              <w:rPr>
                <w:i/>
                <w:spacing w:val="-2"/>
                <w:position w:val="-4"/>
                <w:sz w:val="12"/>
              </w:rPr>
              <w:t>EP</w:t>
            </w:r>
            <w:r>
              <w:rPr>
                <w:i/>
                <w:spacing w:val="-2"/>
                <w:sz w:val="8"/>
              </w:rPr>
              <w:t>(2)</w:t>
            </w:r>
          </w:p>
        </w:tc>
        <w:tc>
          <w:tcPr>
            <w:tcW w:w="390" w:type="dxa"/>
            <w:tcBorders>
              <w:top w:val="single" w:sz="4" w:space="0" w:color="000000"/>
              <w:bottom w:val="single" w:sz="4" w:space="0" w:color="000000"/>
            </w:tcBorders>
          </w:tcPr>
          <w:p>
            <w:pPr>
              <w:pStyle w:val="TableParagraph"/>
              <w:spacing w:before="74"/>
              <w:ind w:left="30"/>
              <w:jc w:val="left"/>
              <w:rPr>
                <w:i/>
                <w:sz w:val="8"/>
              </w:rPr>
            </w:pPr>
            <w:r>
              <w:rPr>
                <w:i/>
                <w:spacing w:val="-2"/>
                <w:position w:val="-4"/>
                <w:sz w:val="12"/>
              </w:rPr>
              <w:t>GTA</w:t>
            </w:r>
            <w:r>
              <w:rPr>
                <w:i/>
                <w:spacing w:val="-2"/>
                <w:sz w:val="8"/>
              </w:rPr>
              <w:t>(3)</w:t>
            </w:r>
          </w:p>
        </w:tc>
        <w:tc>
          <w:tcPr>
            <w:tcW w:w="306" w:type="dxa"/>
            <w:tcBorders>
              <w:top w:val="single" w:sz="4" w:space="0" w:color="000000"/>
              <w:bottom w:val="single" w:sz="4" w:space="0" w:color="000000"/>
            </w:tcBorders>
          </w:tcPr>
          <w:p>
            <w:pPr>
              <w:pStyle w:val="TableParagraph"/>
              <w:spacing w:before="74"/>
              <w:ind w:left="16" w:right="19"/>
              <w:jc w:val="center"/>
              <w:rPr>
                <w:i/>
                <w:sz w:val="8"/>
              </w:rPr>
            </w:pPr>
            <w:r>
              <w:rPr>
                <w:i/>
                <w:spacing w:val="-2"/>
                <w:position w:val="-4"/>
                <w:sz w:val="12"/>
              </w:rPr>
              <w:t>EP</w:t>
            </w:r>
            <w:r>
              <w:rPr>
                <w:i/>
                <w:spacing w:val="-2"/>
                <w:sz w:val="8"/>
              </w:rPr>
              <w:t>(2)</w:t>
            </w:r>
          </w:p>
        </w:tc>
        <w:tc>
          <w:tcPr>
            <w:tcW w:w="388" w:type="dxa"/>
            <w:tcBorders>
              <w:top w:val="single" w:sz="4" w:space="0" w:color="000000"/>
              <w:bottom w:val="single" w:sz="4" w:space="0" w:color="000000"/>
            </w:tcBorders>
          </w:tcPr>
          <w:p>
            <w:pPr>
              <w:pStyle w:val="TableParagraph"/>
              <w:spacing w:before="74"/>
              <w:ind w:left="14" w:right="25"/>
              <w:jc w:val="center"/>
              <w:rPr>
                <w:i/>
                <w:sz w:val="8"/>
              </w:rPr>
            </w:pPr>
            <w:r>
              <w:rPr>
                <w:i/>
                <w:spacing w:val="-2"/>
                <w:position w:val="-4"/>
                <w:sz w:val="12"/>
              </w:rPr>
              <w:t>GTA</w:t>
            </w:r>
            <w:r>
              <w:rPr>
                <w:i/>
                <w:spacing w:val="-2"/>
                <w:sz w:val="8"/>
              </w:rPr>
              <w:t>(3)</w:t>
            </w:r>
          </w:p>
        </w:tc>
        <w:tc>
          <w:tcPr>
            <w:tcW w:w="309" w:type="dxa"/>
            <w:tcBorders>
              <w:top w:val="single" w:sz="4" w:space="0" w:color="000000"/>
              <w:bottom w:val="single" w:sz="4" w:space="0" w:color="000000"/>
            </w:tcBorders>
          </w:tcPr>
          <w:p>
            <w:pPr>
              <w:pStyle w:val="TableParagraph"/>
              <w:spacing w:before="74"/>
              <w:ind w:left="14" w:right="25"/>
              <w:jc w:val="center"/>
              <w:rPr>
                <w:i/>
                <w:sz w:val="8"/>
              </w:rPr>
            </w:pPr>
            <w:r>
              <w:rPr>
                <w:i/>
                <w:spacing w:val="-2"/>
                <w:position w:val="-4"/>
                <w:sz w:val="12"/>
              </w:rPr>
              <w:t>EP</w:t>
            </w:r>
            <w:r>
              <w:rPr>
                <w:i/>
                <w:spacing w:val="-2"/>
                <w:sz w:val="8"/>
              </w:rPr>
              <w:t>(2)</w:t>
            </w:r>
          </w:p>
        </w:tc>
        <w:tc>
          <w:tcPr>
            <w:tcW w:w="374" w:type="dxa"/>
            <w:tcBorders>
              <w:top w:val="single" w:sz="4" w:space="0" w:color="000000"/>
              <w:bottom w:val="single" w:sz="4" w:space="0" w:color="000000"/>
            </w:tcBorders>
          </w:tcPr>
          <w:p>
            <w:pPr>
              <w:pStyle w:val="TableParagraph"/>
              <w:spacing w:before="74"/>
              <w:ind w:left="13" w:right="13"/>
              <w:jc w:val="center"/>
              <w:rPr>
                <w:i/>
                <w:sz w:val="8"/>
              </w:rPr>
            </w:pPr>
            <w:r>
              <w:rPr>
                <w:i/>
                <w:spacing w:val="-2"/>
                <w:position w:val="-4"/>
                <w:sz w:val="12"/>
              </w:rPr>
              <w:t>GTA</w:t>
            </w:r>
            <w:r>
              <w:rPr>
                <w:i/>
                <w:spacing w:val="-2"/>
                <w:sz w:val="8"/>
              </w:rPr>
              <w:t>(3)</w:t>
            </w:r>
          </w:p>
        </w:tc>
      </w:tr>
      <w:tr>
        <w:trPr>
          <w:trHeight w:val="297" w:hRule="atLeast"/>
        </w:trPr>
        <w:tc>
          <w:tcPr>
            <w:tcW w:w="797" w:type="dxa"/>
            <w:tcBorders>
              <w:top w:val="single" w:sz="4" w:space="0" w:color="000000"/>
            </w:tcBorders>
          </w:tcPr>
          <w:p>
            <w:pPr>
              <w:pStyle w:val="TableParagraph"/>
              <w:spacing w:before="79"/>
              <w:ind w:left="24"/>
              <w:jc w:val="left"/>
              <w:rPr>
                <w:sz w:val="12"/>
              </w:rPr>
            </w:pPr>
            <w:r>
              <w:rPr>
                <w:sz w:val="12"/>
              </w:rPr>
              <w:t>2018</w:t>
            </w:r>
            <w:r>
              <w:rPr>
                <w:spacing w:val="2"/>
                <w:sz w:val="12"/>
              </w:rPr>
              <w:t> </w:t>
            </w:r>
            <w:r>
              <w:rPr>
                <w:spacing w:val="-2"/>
                <w:sz w:val="12"/>
              </w:rPr>
              <w:t>Approved</w:t>
            </w:r>
          </w:p>
        </w:tc>
        <w:tc>
          <w:tcPr>
            <w:tcW w:w="299" w:type="dxa"/>
            <w:tcBorders>
              <w:top w:val="single" w:sz="4" w:space="0" w:color="000000"/>
              <w:bottom w:val="single" w:sz="4" w:space="0" w:color="000000"/>
            </w:tcBorders>
          </w:tcPr>
          <w:p>
            <w:pPr>
              <w:pStyle w:val="TableParagraph"/>
              <w:spacing w:before="79"/>
              <w:ind w:left="15" w:right="9"/>
              <w:jc w:val="center"/>
              <w:rPr>
                <w:sz w:val="12"/>
              </w:rPr>
            </w:pPr>
            <w:r>
              <w:rPr>
                <w:spacing w:val="-5"/>
                <w:sz w:val="12"/>
              </w:rPr>
              <w:t>287</w:t>
            </w:r>
          </w:p>
        </w:tc>
        <w:tc>
          <w:tcPr>
            <w:tcW w:w="362" w:type="dxa"/>
            <w:tcBorders>
              <w:top w:val="single" w:sz="4" w:space="0" w:color="000000"/>
              <w:bottom w:val="single" w:sz="4" w:space="0" w:color="000000"/>
            </w:tcBorders>
          </w:tcPr>
          <w:p>
            <w:pPr>
              <w:pStyle w:val="TableParagraph"/>
              <w:spacing w:before="79"/>
              <w:ind w:left="15" w:right="3"/>
              <w:jc w:val="center"/>
              <w:rPr>
                <w:sz w:val="12"/>
              </w:rPr>
            </w:pPr>
            <w:r>
              <w:rPr>
                <w:spacing w:val="-2"/>
                <w:sz w:val="12"/>
              </w:rPr>
              <w:t>61.87</w:t>
            </w:r>
          </w:p>
        </w:tc>
        <w:tc>
          <w:tcPr>
            <w:tcW w:w="271" w:type="dxa"/>
            <w:tcBorders>
              <w:top w:val="single" w:sz="4" w:space="0" w:color="000000"/>
              <w:bottom w:val="single" w:sz="4" w:space="0" w:color="000000"/>
            </w:tcBorders>
          </w:tcPr>
          <w:p>
            <w:pPr>
              <w:pStyle w:val="TableParagraph"/>
              <w:spacing w:before="79"/>
              <w:ind w:left="10"/>
              <w:jc w:val="center"/>
              <w:rPr>
                <w:sz w:val="12"/>
              </w:rPr>
            </w:pPr>
            <w:r>
              <w:rPr>
                <w:spacing w:val="-5"/>
                <w:sz w:val="12"/>
              </w:rPr>
              <w:t>28</w:t>
            </w:r>
          </w:p>
        </w:tc>
        <w:tc>
          <w:tcPr>
            <w:tcW w:w="350" w:type="dxa"/>
            <w:tcBorders>
              <w:top w:val="single" w:sz="4" w:space="0" w:color="000000"/>
              <w:bottom w:val="single" w:sz="4" w:space="0" w:color="000000"/>
            </w:tcBorders>
          </w:tcPr>
          <w:p>
            <w:pPr>
              <w:pStyle w:val="TableParagraph"/>
              <w:spacing w:before="79"/>
              <w:ind w:left="71"/>
              <w:jc w:val="left"/>
              <w:rPr>
                <w:sz w:val="12"/>
              </w:rPr>
            </w:pPr>
            <w:r>
              <w:rPr>
                <w:spacing w:val="-4"/>
                <w:sz w:val="12"/>
              </w:rPr>
              <w:t>6.52</w:t>
            </w:r>
          </w:p>
        </w:tc>
        <w:tc>
          <w:tcPr>
            <w:tcW w:w="266" w:type="dxa"/>
            <w:tcBorders>
              <w:top w:val="single" w:sz="4" w:space="0" w:color="000000"/>
              <w:bottom w:val="single" w:sz="4" w:space="0" w:color="000000"/>
            </w:tcBorders>
          </w:tcPr>
          <w:p>
            <w:pPr>
              <w:pStyle w:val="TableParagraph"/>
              <w:spacing w:before="79"/>
              <w:ind w:right="63"/>
              <w:rPr>
                <w:sz w:val="12"/>
              </w:rPr>
            </w:pPr>
            <w:r>
              <w:rPr>
                <w:spacing w:val="-5"/>
                <w:sz w:val="12"/>
              </w:rPr>
              <w:t>52</w:t>
            </w:r>
          </w:p>
        </w:tc>
        <w:tc>
          <w:tcPr>
            <w:tcW w:w="348" w:type="dxa"/>
            <w:tcBorders>
              <w:top w:val="single" w:sz="4" w:space="0" w:color="000000"/>
              <w:bottom w:val="single" w:sz="4" w:space="0" w:color="000000"/>
            </w:tcBorders>
          </w:tcPr>
          <w:p>
            <w:pPr>
              <w:pStyle w:val="TableParagraph"/>
              <w:spacing w:before="79"/>
              <w:ind w:left="6"/>
              <w:jc w:val="center"/>
              <w:rPr>
                <w:sz w:val="12"/>
              </w:rPr>
            </w:pPr>
            <w:r>
              <w:rPr>
                <w:spacing w:val="-4"/>
                <w:sz w:val="12"/>
              </w:rPr>
              <w:t>4.10</w:t>
            </w:r>
          </w:p>
        </w:tc>
        <w:tc>
          <w:tcPr>
            <w:tcW w:w="269" w:type="dxa"/>
            <w:tcBorders>
              <w:top w:val="single" w:sz="4" w:space="0" w:color="000000"/>
              <w:bottom w:val="single" w:sz="4" w:space="0" w:color="000000"/>
            </w:tcBorders>
          </w:tcPr>
          <w:p>
            <w:pPr>
              <w:pStyle w:val="TableParagraph"/>
              <w:spacing w:before="79"/>
              <w:ind w:left="77"/>
              <w:jc w:val="left"/>
              <w:rPr>
                <w:sz w:val="12"/>
              </w:rPr>
            </w:pPr>
            <w:r>
              <w:rPr>
                <w:spacing w:val="-5"/>
                <w:sz w:val="12"/>
              </w:rPr>
              <w:t>10</w:t>
            </w:r>
          </w:p>
        </w:tc>
        <w:tc>
          <w:tcPr>
            <w:tcW w:w="348" w:type="dxa"/>
            <w:tcBorders>
              <w:top w:val="single" w:sz="4" w:space="0" w:color="000000"/>
              <w:bottom w:val="single" w:sz="4" w:space="0" w:color="000000"/>
            </w:tcBorders>
          </w:tcPr>
          <w:p>
            <w:pPr>
              <w:pStyle w:val="TableParagraph"/>
              <w:spacing w:before="79"/>
              <w:ind w:left="11"/>
              <w:jc w:val="center"/>
              <w:rPr>
                <w:sz w:val="12"/>
              </w:rPr>
            </w:pPr>
            <w:r>
              <w:rPr>
                <w:spacing w:val="-4"/>
                <w:sz w:val="12"/>
              </w:rPr>
              <w:t>1.43</w:t>
            </w:r>
          </w:p>
        </w:tc>
        <w:tc>
          <w:tcPr>
            <w:tcW w:w="266" w:type="dxa"/>
            <w:tcBorders>
              <w:top w:val="single" w:sz="4" w:space="0" w:color="000000"/>
              <w:bottom w:val="single" w:sz="4" w:space="0" w:color="000000"/>
            </w:tcBorders>
          </w:tcPr>
          <w:p>
            <w:pPr>
              <w:pStyle w:val="TableParagraph"/>
              <w:spacing w:before="79"/>
              <w:ind w:left="9"/>
              <w:jc w:val="center"/>
              <w:rPr>
                <w:sz w:val="12"/>
              </w:rPr>
            </w:pPr>
            <w:r>
              <w:rPr>
                <w:spacing w:val="-5"/>
                <w:sz w:val="12"/>
              </w:rPr>
              <w:t>57</w:t>
            </w:r>
          </w:p>
        </w:tc>
        <w:tc>
          <w:tcPr>
            <w:tcW w:w="350" w:type="dxa"/>
            <w:tcBorders>
              <w:top w:val="single" w:sz="4" w:space="0" w:color="000000"/>
              <w:bottom w:val="single" w:sz="4" w:space="0" w:color="000000"/>
            </w:tcBorders>
          </w:tcPr>
          <w:p>
            <w:pPr>
              <w:pStyle w:val="TableParagraph"/>
              <w:spacing w:before="79"/>
              <w:ind w:left="10"/>
              <w:jc w:val="center"/>
              <w:rPr>
                <w:sz w:val="12"/>
              </w:rPr>
            </w:pPr>
            <w:r>
              <w:rPr>
                <w:spacing w:val="-2"/>
                <w:sz w:val="12"/>
              </w:rPr>
              <w:t>15.10</w:t>
            </w:r>
          </w:p>
        </w:tc>
        <w:tc>
          <w:tcPr>
            <w:tcW w:w="267" w:type="dxa"/>
            <w:tcBorders>
              <w:top w:val="single" w:sz="4" w:space="0" w:color="000000"/>
              <w:bottom w:val="single" w:sz="4" w:space="0" w:color="000000"/>
            </w:tcBorders>
          </w:tcPr>
          <w:p>
            <w:pPr>
              <w:pStyle w:val="TableParagraph"/>
              <w:spacing w:before="79"/>
              <w:ind w:left="8"/>
              <w:jc w:val="center"/>
              <w:rPr>
                <w:sz w:val="12"/>
              </w:rPr>
            </w:pPr>
            <w:r>
              <w:rPr>
                <w:w w:val="99"/>
                <w:sz w:val="12"/>
              </w:rPr>
              <w:t>-</w:t>
            </w:r>
          </w:p>
        </w:tc>
        <w:tc>
          <w:tcPr>
            <w:tcW w:w="348" w:type="dxa"/>
            <w:tcBorders>
              <w:top w:val="single" w:sz="4" w:space="0" w:color="000000"/>
              <w:bottom w:val="single" w:sz="4" w:space="0" w:color="000000"/>
            </w:tcBorders>
          </w:tcPr>
          <w:p>
            <w:pPr>
              <w:pStyle w:val="TableParagraph"/>
              <w:spacing w:before="79"/>
              <w:ind w:right="61"/>
              <w:rPr>
                <w:sz w:val="12"/>
              </w:rPr>
            </w:pPr>
            <w:r>
              <w:rPr>
                <w:spacing w:val="-4"/>
                <w:sz w:val="12"/>
              </w:rPr>
              <w:t>1.08</w:t>
            </w:r>
          </w:p>
        </w:tc>
        <w:tc>
          <w:tcPr>
            <w:tcW w:w="269" w:type="dxa"/>
            <w:tcBorders>
              <w:top w:val="single" w:sz="4" w:space="0" w:color="000000"/>
              <w:bottom w:val="single" w:sz="4" w:space="0" w:color="000000"/>
            </w:tcBorders>
          </w:tcPr>
          <w:p>
            <w:pPr>
              <w:pStyle w:val="TableParagraph"/>
              <w:spacing w:before="79"/>
              <w:ind w:left="78"/>
              <w:jc w:val="left"/>
              <w:rPr>
                <w:sz w:val="12"/>
              </w:rPr>
            </w:pPr>
            <w:r>
              <w:rPr>
                <w:spacing w:val="-5"/>
                <w:sz w:val="12"/>
              </w:rPr>
              <w:t>10</w:t>
            </w:r>
          </w:p>
        </w:tc>
        <w:tc>
          <w:tcPr>
            <w:tcW w:w="351" w:type="dxa"/>
            <w:tcBorders>
              <w:top w:val="single" w:sz="4" w:space="0" w:color="000000"/>
              <w:bottom w:val="single" w:sz="4" w:space="0" w:color="000000"/>
            </w:tcBorders>
          </w:tcPr>
          <w:p>
            <w:pPr>
              <w:pStyle w:val="TableParagraph"/>
              <w:spacing w:before="79"/>
              <w:ind w:left="9"/>
              <w:jc w:val="center"/>
              <w:rPr>
                <w:sz w:val="12"/>
              </w:rPr>
            </w:pPr>
            <w:r>
              <w:rPr>
                <w:spacing w:val="-4"/>
                <w:sz w:val="12"/>
              </w:rPr>
              <w:t>5.00</w:t>
            </w:r>
          </w:p>
        </w:tc>
        <w:tc>
          <w:tcPr>
            <w:tcW w:w="269" w:type="dxa"/>
            <w:tcBorders>
              <w:top w:val="single" w:sz="4" w:space="0" w:color="000000"/>
              <w:bottom w:val="single" w:sz="4" w:space="0" w:color="000000"/>
            </w:tcBorders>
          </w:tcPr>
          <w:p>
            <w:pPr>
              <w:pStyle w:val="TableParagraph"/>
              <w:spacing w:before="79"/>
              <w:ind w:right="65"/>
              <w:rPr>
                <w:sz w:val="12"/>
              </w:rPr>
            </w:pPr>
            <w:r>
              <w:rPr>
                <w:spacing w:val="-5"/>
                <w:sz w:val="12"/>
              </w:rPr>
              <w:t>46</w:t>
            </w:r>
          </w:p>
        </w:tc>
        <w:tc>
          <w:tcPr>
            <w:tcW w:w="348" w:type="dxa"/>
            <w:tcBorders>
              <w:top w:val="single" w:sz="4" w:space="0" w:color="000000"/>
              <w:bottom w:val="single" w:sz="4" w:space="0" w:color="000000"/>
            </w:tcBorders>
          </w:tcPr>
          <w:p>
            <w:pPr>
              <w:pStyle w:val="TableParagraph"/>
              <w:spacing w:before="79"/>
              <w:ind w:left="73"/>
              <w:jc w:val="left"/>
              <w:rPr>
                <w:sz w:val="12"/>
              </w:rPr>
            </w:pPr>
            <w:r>
              <w:rPr>
                <w:spacing w:val="-4"/>
                <w:sz w:val="12"/>
              </w:rPr>
              <w:t>9.87</w:t>
            </w:r>
          </w:p>
        </w:tc>
        <w:tc>
          <w:tcPr>
            <w:tcW w:w="269" w:type="dxa"/>
            <w:tcBorders>
              <w:top w:val="single" w:sz="4" w:space="0" w:color="000000"/>
              <w:bottom w:val="single" w:sz="4" w:space="0" w:color="000000"/>
            </w:tcBorders>
          </w:tcPr>
          <w:p>
            <w:pPr>
              <w:pStyle w:val="TableParagraph"/>
              <w:spacing w:before="79"/>
              <w:ind w:left="7"/>
              <w:jc w:val="center"/>
              <w:rPr>
                <w:sz w:val="12"/>
              </w:rPr>
            </w:pPr>
            <w:r>
              <w:rPr>
                <w:spacing w:val="-5"/>
                <w:sz w:val="12"/>
              </w:rPr>
              <w:t>20</w:t>
            </w:r>
          </w:p>
        </w:tc>
        <w:tc>
          <w:tcPr>
            <w:tcW w:w="351" w:type="dxa"/>
            <w:tcBorders>
              <w:top w:val="single" w:sz="4" w:space="0" w:color="000000"/>
              <w:bottom w:val="single" w:sz="4" w:space="0" w:color="000000"/>
            </w:tcBorders>
          </w:tcPr>
          <w:p>
            <w:pPr>
              <w:pStyle w:val="TableParagraph"/>
              <w:spacing w:before="79"/>
              <w:ind w:left="13"/>
              <w:jc w:val="center"/>
              <w:rPr>
                <w:sz w:val="12"/>
              </w:rPr>
            </w:pPr>
            <w:r>
              <w:rPr>
                <w:spacing w:val="-4"/>
                <w:sz w:val="12"/>
              </w:rPr>
              <w:t>5.98</w:t>
            </w:r>
          </w:p>
        </w:tc>
        <w:tc>
          <w:tcPr>
            <w:tcW w:w="267" w:type="dxa"/>
            <w:tcBorders>
              <w:top w:val="single" w:sz="4" w:space="0" w:color="000000"/>
              <w:bottom w:val="single" w:sz="4" w:space="0" w:color="000000"/>
            </w:tcBorders>
          </w:tcPr>
          <w:p>
            <w:pPr>
              <w:pStyle w:val="TableParagraph"/>
              <w:spacing w:before="79"/>
              <w:ind w:right="66"/>
              <w:rPr>
                <w:sz w:val="12"/>
              </w:rPr>
            </w:pPr>
            <w:r>
              <w:rPr>
                <w:spacing w:val="-5"/>
                <w:sz w:val="12"/>
              </w:rPr>
              <w:t>18</w:t>
            </w:r>
          </w:p>
        </w:tc>
        <w:tc>
          <w:tcPr>
            <w:tcW w:w="351" w:type="dxa"/>
            <w:tcBorders>
              <w:top w:val="single" w:sz="4" w:space="0" w:color="000000"/>
              <w:bottom w:val="single" w:sz="4" w:space="0" w:color="000000"/>
            </w:tcBorders>
          </w:tcPr>
          <w:p>
            <w:pPr>
              <w:pStyle w:val="TableParagraph"/>
              <w:spacing w:before="79"/>
              <w:ind w:left="6"/>
              <w:jc w:val="center"/>
              <w:rPr>
                <w:sz w:val="12"/>
              </w:rPr>
            </w:pPr>
            <w:r>
              <w:rPr>
                <w:spacing w:val="-2"/>
                <w:sz w:val="12"/>
              </w:rPr>
              <w:t>18.41</w:t>
            </w:r>
          </w:p>
        </w:tc>
        <w:tc>
          <w:tcPr>
            <w:tcW w:w="269" w:type="dxa"/>
            <w:tcBorders>
              <w:top w:val="single" w:sz="4" w:space="0" w:color="000000"/>
              <w:bottom w:val="single" w:sz="4" w:space="0" w:color="000000"/>
            </w:tcBorders>
          </w:tcPr>
          <w:p>
            <w:pPr>
              <w:pStyle w:val="TableParagraph"/>
              <w:spacing w:before="79"/>
              <w:ind w:left="114"/>
              <w:jc w:val="left"/>
              <w:rPr>
                <w:sz w:val="12"/>
              </w:rPr>
            </w:pPr>
            <w:r>
              <w:rPr>
                <w:w w:val="99"/>
                <w:sz w:val="12"/>
              </w:rPr>
              <w:t>-</w:t>
            </w:r>
          </w:p>
        </w:tc>
        <w:tc>
          <w:tcPr>
            <w:tcW w:w="351" w:type="dxa"/>
            <w:tcBorders>
              <w:top w:val="single" w:sz="4" w:space="0" w:color="000000"/>
              <w:bottom w:val="single" w:sz="4" w:space="0" w:color="000000"/>
            </w:tcBorders>
          </w:tcPr>
          <w:p>
            <w:pPr>
              <w:pStyle w:val="TableParagraph"/>
              <w:spacing w:before="79"/>
              <w:ind w:left="4"/>
              <w:jc w:val="center"/>
              <w:rPr>
                <w:sz w:val="12"/>
              </w:rPr>
            </w:pPr>
            <w:r>
              <w:rPr>
                <w:w w:val="99"/>
                <w:sz w:val="12"/>
              </w:rPr>
              <w:t>-</w:t>
            </w:r>
          </w:p>
        </w:tc>
        <w:tc>
          <w:tcPr>
            <w:tcW w:w="269" w:type="dxa"/>
            <w:tcBorders>
              <w:top w:val="single" w:sz="4" w:space="0" w:color="000000"/>
              <w:bottom w:val="single" w:sz="4" w:space="0" w:color="000000"/>
            </w:tcBorders>
          </w:tcPr>
          <w:p>
            <w:pPr>
              <w:pStyle w:val="TableParagraph"/>
              <w:spacing w:before="79"/>
              <w:jc w:val="center"/>
              <w:rPr>
                <w:sz w:val="12"/>
              </w:rPr>
            </w:pPr>
            <w:r>
              <w:rPr>
                <w:w w:val="99"/>
                <w:sz w:val="12"/>
              </w:rPr>
              <w:t>-</w:t>
            </w:r>
          </w:p>
        </w:tc>
        <w:tc>
          <w:tcPr>
            <w:tcW w:w="360" w:type="dxa"/>
            <w:tcBorders>
              <w:top w:val="single" w:sz="4" w:space="0" w:color="000000"/>
              <w:bottom w:val="single" w:sz="4" w:space="0" w:color="000000"/>
            </w:tcBorders>
          </w:tcPr>
          <w:p>
            <w:pPr>
              <w:pStyle w:val="TableParagraph"/>
              <w:spacing w:before="79"/>
              <w:ind w:right="2"/>
              <w:jc w:val="center"/>
              <w:rPr>
                <w:sz w:val="12"/>
              </w:rPr>
            </w:pPr>
            <w:r>
              <w:rPr>
                <w:w w:val="99"/>
                <w:sz w:val="12"/>
              </w:rPr>
              <w:t>-</w:t>
            </w:r>
          </w:p>
        </w:tc>
        <w:tc>
          <w:tcPr>
            <w:tcW w:w="293" w:type="dxa"/>
            <w:tcBorders>
              <w:top w:val="single" w:sz="4" w:space="0" w:color="000000"/>
              <w:bottom w:val="single" w:sz="4" w:space="0" w:color="000000"/>
            </w:tcBorders>
          </w:tcPr>
          <w:p>
            <w:pPr>
              <w:pStyle w:val="TableParagraph"/>
              <w:spacing w:before="79"/>
              <w:ind w:right="3"/>
              <w:jc w:val="center"/>
              <w:rPr>
                <w:sz w:val="12"/>
              </w:rPr>
            </w:pPr>
            <w:r>
              <w:rPr>
                <w:w w:val="99"/>
                <w:sz w:val="12"/>
              </w:rPr>
              <w:t>-</w:t>
            </w:r>
          </w:p>
        </w:tc>
        <w:tc>
          <w:tcPr>
            <w:tcW w:w="363" w:type="dxa"/>
            <w:tcBorders>
              <w:top w:val="single" w:sz="4" w:space="0" w:color="000000"/>
              <w:bottom w:val="single" w:sz="4" w:space="0" w:color="000000"/>
            </w:tcBorders>
          </w:tcPr>
          <w:p>
            <w:pPr>
              <w:pStyle w:val="TableParagraph"/>
              <w:spacing w:before="79"/>
              <w:ind w:left="21"/>
              <w:jc w:val="center"/>
              <w:rPr>
                <w:sz w:val="12"/>
              </w:rPr>
            </w:pPr>
            <w:r>
              <w:rPr>
                <w:w w:val="99"/>
                <w:sz w:val="12"/>
              </w:rPr>
              <w:t>-</w:t>
            </w:r>
          </w:p>
        </w:tc>
        <w:tc>
          <w:tcPr>
            <w:tcW w:w="267" w:type="dxa"/>
            <w:tcBorders>
              <w:top w:val="single" w:sz="4" w:space="0" w:color="000000"/>
              <w:bottom w:val="single" w:sz="4" w:space="0" w:color="000000"/>
            </w:tcBorders>
          </w:tcPr>
          <w:p>
            <w:pPr>
              <w:pStyle w:val="TableParagraph"/>
              <w:spacing w:before="79"/>
              <w:ind w:right="1"/>
              <w:jc w:val="center"/>
              <w:rPr>
                <w:sz w:val="12"/>
              </w:rPr>
            </w:pPr>
            <w:r>
              <w:rPr>
                <w:w w:val="99"/>
                <w:sz w:val="12"/>
              </w:rPr>
              <w:t>-</w:t>
            </w:r>
          </w:p>
        </w:tc>
        <w:tc>
          <w:tcPr>
            <w:tcW w:w="373" w:type="dxa"/>
            <w:tcBorders>
              <w:top w:val="single" w:sz="4" w:space="0" w:color="000000"/>
              <w:bottom w:val="single" w:sz="4" w:space="0" w:color="000000"/>
            </w:tcBorders>
          </w:tcPr>
          <w:p>
            <w:pPr>
              <w:pStyle w:val="TableParagraph"/>
              <w:spacing w:before="79"/>
              <w:ind w:right="17"/>
              <w:jc w:val="center"/>
              <w:rPr>
                <w:sz w:val="12"/>
              </w:rPr>
            </w:pPr>
            <w:r>
              <w:rPr>
                <w:w w:val="99"/>
                <w:sz w:val="12"/>
              </w:rPr>
              <w:t>-</w:t>
            </w:r>
          </w:p>
        </w:tc>
        <w:tc>
          <w:tcPr>
            <w:tcW w:w="311" w:type="dxa"/>
            <w:tcBorders>
              <w:top w:val="single" w:sz="4" w:space="0" w:color="000000"/>
              <w:bottom w:val="single" w:sz="4" w:space="0" w:color="000000"/>
            </w:tcBorders>
          </w:tcPr>
          <w:p>
            <w:pPr>
              <w:pStyle w:val="TableParagraph"/>
              <w:spacing w:before="79"/>
              <w:ind w:right="1"/>
              <w:jc w:val="center"/>
              <w:rPr>
                <w:sz w:val="12"/>
              </w:rPr>
            </w:pPr>
            <w:r>
              <w:rPr>
                <w:w w:val="99"/>
                <w:sz w:val="12"/>
              </w:rPr>
              <w:t>-</w:t>
            </w:r>
          </w:p>
        </w:tc>
        <w:tc>
          <w:tcPr>
            <w:tcW w:w="390" w:type="dxa"/>
            <w:tcBorders>
              <w:top w:val="single" w:sz="4" w:space="0" w:color="000000"/>
              <w:bottom w:val="single" w:sz="4" w:space="0" w:color="000000"/>
            </w:tcBorders>
          </w:tcPr>
          <w:p>
            <w:pPr>
              <w:pStyle w:val="TableParagraph"/>
              <w:spacing w:before="79"/>
              <w:jc w:val="center"/>
              <w:rPr>
                <w:sz w:val="12"/>
              </w:rPr>
            </w:pPr>
            <w:r>
              <w:rPr>
                <w:w w:val="99"/>
                <w:sz w:val="12"/>
              </w:rPr>
              <w:t>-</w:t>
            </w:r>
          </w:p>
        </w:tc>
        <w:tc>
          <w:tcPr>
            <w:tcW w:w="306" w:type="dxa"/>
            <w:tcBorders>
              <w:top w:val="single" w:sz="4" w:space="0" w:color="000000"/>
              <w:bottom w:val="single" w:sz="4" w:space="0" w:color="000000"/>
            </w:tcBorders>
          </w:tcPr>
          <w:p>
            <w:pPr>
              <w:pStyle w:val="TableParagraph"/>
              <w:spacing w:before="79"/>
              <w:ind w:right="4"/>
              <w:jc w:val="center"/>
              <w:rPr>
                <w:sz w:val="12"/>
              </w:rPr>
            </w:pPr>
            <w:r>
              <w:rPr>
                <w:w w:val="99"/>
                <w:sz w:val="12"/>
              </w:rPr>
              <w:t>-</w:t>
            </w:r>
          </w:p>
        </w:tc>
        <w:tc>
          <w:tcPr>
            <w:tcW w:w="388" w:type="dxa"/>
            <w:tcBorders>
              <w:top w:val="single" w:sz="4" w:space="0" w:color="000000"/>
              <w:bottom w:val="single" w:sz="4" w:space="0" w:color="000000"/>
            </w:tcBorders>
          </w:tcPr>
          <w:p>
            <w:pPr>
              <w:pStyle w:val="TableParagraph"/>
              <w:spacing w:before="79"/>
              <w:ind w:right="7"/>
              <w:jc w:val="center"/>
              <w:rPr>
                <w:sz w:val="12"/>
              </w:rPr>
            </w:pPr>
            <w:r>
              <w:rPr>
                <w:w w:val="99"/>
                <w:sz w:val="12"/>
              </w:rPr>
              <w:t>-</w:t>
            </w:r>
          </w:p>
        </w:tc>
        <w:tc>
          <w:tcPr>
            <w:tcW w:w="309" w:type="dxa"/>
            <w:tcBorders>
              <w:top w:val="single" w:sz="4" w:space="0" w:color="000000"/>
              <w:bottom w:val="single" w:sz="4" w:space="0" w:color="000000"/>
            </w:tcBorders>
          </w:tcPr>
          <w:p>
            <w:pPr>
              <w:pStyle w:val="TableParagraph"/>
              <w:spacing w:before="79"/>
              <w:ind w:right="12"/>
              <w:jc w:val="center"/>
              <w:rPr>
                <w:sz w:val="12"/>
              </w:rPr>
            </w:pPr>
            <w:r>
              <w:rPr>
                <w:w w:val="99"/>
                <w:sz w:val="12"/>
              </w:rPr>
              <w:t>-</w:t>
            </w:r>
          </w:p>
        </w:tc>
        <w:tc>
          <w:tcPr>
            <w:tcW w:w="374" w:type="dxa"/>
            <w:tcBorders>
              <w:top w:val="single" w:sz="4" w:space="0" w:color="000000"/>
              <w:bottom w:val="single" w:sz="4" w:space="0" w:color="000000"/>
            </w:tcBorders>
          </w:tcPr>
          <w:p>
            <w:pPr>
              <w:pStyle w:val="TableParagraph"/>
              <w:spacing w:before="79"/>
              <w:ind w:right="4"/>
              <w:jc w:val="center"/>
              <w:rPr>
                <w:sz w:val="12"/>
              </w:rPr>
            </w:pPr>
            <w:r>
              <w:rPr>
                <w:w w:val="99"/>
                <w:sz w:val="12"/>
              </w:rPr>
              <w:t>-</w:t>
            </w:r>
          </w:p>
        </w:tc>
      </w:tr>
      <w:tr>
        <w:trPr>
          <w:trHeight w:val="301" w:hRule="atLeast"/>
        </w:trPr>
        <w:tc>
          <w:tcPr>
            <w:tcW w:w="797" w:type="dxa"/>
            <w:tcBorders>
              <w:bottom w:val="single" w:sz="4" w:space="0" w:color="000000"/>
            </w:tcBorders>
          </w:tcPr>
          <w:p>
            <w:pPr>
              <w:pStyle w:val="TableParagraph"/>
              <w:jc w:val="left"/>
              <w:rPr>
                <w:sz w:val="12"/>
              </w:rPr>
            </w:pPr>
          </w:p>
        </w:tc>
        <w:tc>
          <w:tcPr>
            <w:tcW w:w="661" w:type="dxa"/>
            <w:gridSpan w:val="2"/>
            <w:tcBorders>
              <w:top w:val="single" w:sz="4" w:space="0" w:color="000000"/>
              <w:bottom w:val="single" w:sz="4" w:space="0" w:color="000000"/>
            </w:tcBorders>
          </w:tcPr>
          <w:p>
            <w:pPr>
              <w:pStyle w:val="TableParagraph"/>
              <w:spacing w:before="84"/>
              <w:ind w:left="91"/>
              <w:jc w:val="left"/>
              <w:rPr>
                <w:sz w:val="12"/>
              </w:rPr>
            </w:pPr>
            <w:r>
              <w:rPr>
                <w:sz w:val="12"/>
              </w:rPr>
              <w:t>(23</w:t>
            </w:r>
            <w:r>
              <w:rPr>
                <w:spacing w:val="-1"/>
                <w:sz w:val="12"/>
              </w:rPr>
              <w:t> </w:t>
            </w:r>
            <w:r>
              <w:rPr>
                <w:spacing w:val="-2"/>
                <w:sz w:val="12"/>
              </w:rPr>
              <w:t>cases)</w:t>
            </w:r>
          </w:p>
        </w:tc>
        <w:tc>
          <w:tcPr>
            <w:tcW w:w="621" w:type="dxa"/>
            <w:gridSpan w:val="2"/>
            <w:tcBorders>
              <w:top w:val="single" w:sz="4" w:space="0" w:color="000000"/>
              <w:bottom w:val="single" w:sz="4" w:space="0" w:color="000000"/>
            </w:tcBorders>
          </w:tcPr>
          <w:p>
            <w:pPr>
              <w:pStyle w:val="TableParagraph"/>
              <w:spacing w:before="84"/>
              <w:ind w:left="102"/>
              <w:jc w:val="left"/>
              <w:rPr>
                <w:sz w:val="12"/>
              </w:rPr>
            </w:pPr>
            <w:r>
              <w:rPr>
                <w:sz w:val="12"/>
              </w:rPr>
              <w:t>(3</w:t>
            </w:r>
            <w:r>
              <w:rPr>
                <w:spacing w:val="-3"/>
                <w:sz w:val="12"/>
              </w:rPr>
              <w:t> </w:t>
            </w:r>
            <w:r>
              <w:rPr>
                <w:spacing w:val="-2"/>
                <w:sz w:val="12"/>
              </w:rPr>
              <w:t>cases)</w:t>
            </w:r>
          </w:p>
        </w:tc>
        <w:tc>
          <w:tcPr>
            <w:tcW w:w="614" w:type="dxa"/>
            <w:gridSpan w:val="2"/>
            <w:tcBorders>
              <w:top w:val="single" w:sz="4" w:space="0" w:color="000000"/>
              <w:bottom w:val="single" w:sz="4" w:space="0" w:color="000000"/>
            </w:tcBorders>
          </w:tcPr>
          <w:p>
            <w:pPr>
              <w:pStyle w:val="TableParagraph"/>
              <w:spacing w:before="84"/>
              <w:ind w:left="101"/>
              <w:jc w:val="left"/>
              <w:rPr>
                <w:sz w:val="12"/>
              </w:rPr>
            </w:pPr>
            <w:r>
              <w:rPr>
                <w:sz w:val="12"/>
              </w:rPr>
              <w:t>(2</w:t>
            </w:r>
            <w:r>
              <w:rPr>
                <w:spacing w:val="-3"/>
                <w:sz w:val="12"/>
              </w:rPr>
              <w:t> </w:t>
            </w:r>
            <w:r>
              <w:rPr>
                <w:spacing w:val="-2"/>
                <w:sz w:val="12"/>
              </w:rPr>
              <w:t>cases)</w:t>
            </w:r>
          </w:p>
        </w:tc>
        <w:tc>
          <w:tcPr>
            <w:tcW w:w="617" w:type="dxa"/>
            <w:gridSpan w:val="2"/>
            <w:tcBorders>
              <w:top w:val="single" w:sz="4" w:space="0" w:color="000000"/>
              <w:bottom w:val="single" w:sz="4" w:space="0" w:color="000000"/>
            </w:tcBorders>
          </w:tcPr>
          <w:p>
            <w:pPr>
              <w:pStyle w:val="TableParagraph"/>
              <w:spacing w:before="84"/>
              <w:ind w:left="101"/>
              <w:jc w:val="left"/>
              <w:rPr>
                <w:sz w:val="12"/>
              </w:rPr>
            </w:pPr>
            <w:r>
              <w:rPr>
                <w:sz w:val="12"/>
              </w:rPr>
              <w:t>(3</w:t>
            </w:r>
            <w:r>
              <w:rPr>
                <w:spacing w:val="-3"/>
                <w:sz w:val="12"/>
              </w:rPr>
              <w:t> </w:t>
            </w:r>
            <w:r>
              <w:rPr>
                <w:spacing w:val="-2"/>
                <w:sz w:val="12"/>
              </w:rPr>
              <w:t>cases)</w:t>
            </w:r>
          </w:p>
        </w:tc>
        <w:tc>
          <w:tcPr>
            <w:tcW w:w="616" w:type="dxa"/>
            <w:gridSpan w:val="2"/>
            <w:tcBorders>
              <w:top w:val="single" w:sz="4" w:space="0" w:color="000000"/>
              <w:bottom w:val="single" w:sz="4" w:space="0" w:color="000000"/>
            </w:tcBorders>
          </w:tcPr>
          <w:p>
            <w:pPr>
              <w:pStyle w:val="TableParagraph"/>
              <w:spacing w:before="84"/>
              <w:ind w:left="99"/>
              <w:jc w:val="left"/>
              <w:rPr>
                <w:sz w:val="12"/>
              </w:rPr>
            </w:pPr>
            <w:r>
              <w:rPr>
                <w:sz w:val="12"/>
              </w:rPr>
              <w:t>(4</w:t>
            </w:r>
            <w:r>
              <w:rPr>
                <w:spacing w:val="-3"/>
                <w:sz w:val="12"/>
              </w:rPr>
              <w:t> </w:t>
            </w:r>
            <w:r>
              <w:rPr>
                <w:spacing w:val="-2"/>
                <w:sz w:val="12"/>
              </w:rPr>
              <w:t>cases)</w:t>
            </w:r>
          </w:p>
        </w:tc>
        <w:tc>
          <w:tcPr>
            <w:tcW w:w="615" w:type="dxa"/>
            <w:gridSpan w:val="2"/>
            <w:tcBorders>
              <w:top w:val="single" w:sz="4" w:space="0" w:color="000000"/>
              <w:bottom w:val="single" w:sz="4" w:space="0" w:color="000000"/>
            </w:tcBorders>
          </w:tcPr>
          <w:p>
            <w:pPr>
              <w:pStyle w:val="TableParagraph"/>
              <w:spacing w:before="84"/>
              <w:ind w:left="103"/>
              <w:jc w:val="left"/>
              <w:rPr>
                <w:sz w:val="12"/>
              </w:rPr>
            </w:pPr>
            <w:r>
              <w:rPr>
                <w:sz w:val="12"/>
              </w:rPr>
              <w:t>(2</w:t>
            </w:r>
            <w:r>
              <w:rPr>
                <w:spacing w:val="-3"/>
                <w:sz w:val="12"/>
              </w:rPr>
              <w:t> </w:t>
            </w:r>
            <w:r>
              <w:rPr>
                <w:spacing w:val="-2"/>
                <w:sz w:val="12"/>
              </w:rPr>
              <w:t>cases)</w:t>
            </w:r>
          </w:p>
        </w:tc>
        <w:tc>
          <w:tcPr>
            <w:tcW w:w="620" w:type="dxa"/>
            <w:gridSpan w:val="2"/>
            <w:tcBorders>
              <w:top w:val="single" w:sz="4" w:space="0" w:color="000000"/>
              <w:bottom w:val="single" w:sz="4" w:space="0" w:color="000000"/>
            </w:tcBorders>
          </w:tcPr>
          <w:p>
            <w:pPr>
              <w:pStyle w:val="TableParagraph"/>
              <w:spacing w:before="84"/>
              <w:ind w:left="102"/>
              <w:jc w:val="left"/>
              <w:rPr>
                <w:sz w:val="12"/>
              </w:rPr>
            </w:pPr>
            <w:r>
              <w:rPr>
                <w:sz w:val="12"/>
              </w:rPr>
              <w:t>(3</w:t>
            </w:r>
            <w:r>
              <w:rPr>
                <w:spacing w:val="-3"/>
                <w:sz w:val="12"/>
              </w:rPr>
              <w:t> </w:t>
            </w:r>
            <w:r>
              <w:rPr>
                <w:spacing w:val="-2"/>
                <w:sz w:val="12"/>
              </w:rPr>
              <w:t>cases)</w:t>
            </w:r>
          </w:p>
        </w:tc>
        <w:tc>
          <w:tcPr>
            <w:tcW w:w="617" w:type="dxa"/>
            <w:gridSpan w:val="2"/>
            <w:tcBorders>
              <w:top w:val="single" w:sz="4" w:space="0" w:color="000000"/>
              <w:bottom w:val="single" w:sz="4" w:space="0" w:color="000000"/>
            </w:tcBorders>
          </w:tcPr>
          <w:p>
            <w:pPr>
              <w:pStyle w:val="TableParagraph"/>
              <w:spacing w:before="84"/>
              <w:ind w:left="102"/>
              <w:jc w:val="left"/>
              <w:rPr>
                <w:sz w:val="12"/>
              </w:rPr>
            </w:pPr>
            <w:r>
              <w:rPr>
                <w:sz w:val="12"/>
              </w:rPr>
              <w:t>(3</w:t>
            </w:r>
            <w:r>
              <w:rPr>
                <w:spacing w:val="-3"/>
                <w:sz w:val="12"/>
              </w:rPr>
              <w:t> </w:t>
            </w:r>
            <w:r>
              <w:rPr>
                <w:spacing w:val="-2"/>
                <w:sz w:val="12"/>
              </w:rPr>
              <w:t>cases)</w:t>
            </w:r>
          </w:p>
        </w:tc>
        <w:tc>
          <w:tcPr>
            <w:tcW w:w="620" w:type="dxa"/>
            <w:gridSpan w:val="2"/>
            <w:tcBorders>
              <w:top w:val="single" w:sz="4" w:space="0" w:color="000000"/>
              <w:bottom w:val="single" w:sz="4" w:space="0" w:color="000000"/>
            </w:tcBorders>
          </w:tcPr>
          <w:p>
            <w:pPr>
              <w:pStyle w:val="TableParagraph"/>
              <w:spacing w:before="84"/>
              <w:ind w:left="99"/>
              <w:jc w:val="left"/>
              <w:rPr>
                <w:sz w:val="12"/>
              </w:rPr>
            </w:pPr>
            <w:r>
              <w:rPr>
                <w:sz w:val="12"/>
              </w:rPr>
              <w:t>(2</w:t>
            </w:r>
            <w:r>
              <w:rPr>
                <w:spacing w:val="-3"/>
                <w:sz w:val="12"/>
              </w:rPr>
              <w:t> </w:t>
            </w:r>
            <w:r>
              <w:rPr>
                <w:spacing w:val="-2"/>
                <w:sz w:val="12"/>
              </w:rPr>
              <w:t>cases)</w:t>
            </w:r>
          </w:p>
        </w:tc>
        <w:tc>
          <w:tcPr>
            <w:tcW w:w="618" w:type="dxa"/>
            <w:gridSpan w:val="2"/>
            <w:tcBorders>
              <w:top w:val="single" w:sz="4" w:space="0" w:color="000000"/>
              <w:bottom w:val="single" w:sz="4" w:space="0" w:color="000000"/>
            </w:tcBorders>
          </w:tcPr>
          <w:p>
            <w:pPr>
              <w:pStyle w:val="TableParagraph"/>
              <w:spacing w:before="84"/>
              <w:ind w:left="123"/>
              <w:jc w:val="left"/>
              <w:rPr>
                <w:sz w:val="12"/>
              </w:rPr>
            </w:pPr>
            <w:r>
              <w:rPr>
                <w:sz w:val="12"/>
              </w:rPr>
              <w:t>(1</w:t>
            </w:r>
            <w:r>
              <w:rPr>
                <w:spacing w:val="-3"/>
                <w:sz w:val="12"/>
              </w:rPr>
              <w:t> </w:t>
            </w:r>
            <w:r>
              <w:rPr>
                <w:spacing w:val="-2"/>
                <w:sz w:val="12"/>
              </w:rPr>
              <w:t>case)</w:t>
            </w:r>
          </w:p>
        </w:tc>
        <w:tc>
          <w:tcPr>
            <w:tcW w:w="269" w:type="dxa"/>
            <w:tcBorders>
              <w:top w:val="single" w:sz="4" w:space="0" w:color="000000"/>
              <w:bottom w:val="single" w:sz="4" w:space="0" w:color="000000"/>
            </w:tcBorders>
          </w:tcPr>
          <w:p>
            <w:pPr>
              <w:pStyle w:val="TableParagraph"/>
              <w:jc w:val="left"/>
              <w:rPr>
                <w:sz w:val="12"/>
              </w:rPr>
            </w:pPr>
          </w:p>
        </w:tc>
        <w:tc>
          <w:tcPr>
            <w:tcW w:w="351" w:type="dxa"/>
            <w:tcBorders>
              <w:top w:val="single" w:sz="4" w:space="0" w:color="000000"/>
              <w:bottom w:val="single" w:sz="4" w:space="0" w:color="000000"/>
            </w:tcBorders>
          </w:tcPr>
          <w:p>
            <w:pPr>
              <w:pStyle w:val="TableParagraph"/>
              <w:jc w:val="left"/>
              <w:rPr>
                <w:sz w:val="12"/>
              </w:rPr>
            </w:pPr>
          </w:p>
        </w:tc>
        <w:tc>
          <w:tcPr>
            <w:tcW w:w="269" w:type="dxa"/>
            <w:tcBorders>
              <w:top w:val="single" w:sz="4" w:space="0" w:color="000000"/>
              <w:bottom w:val="single" w:sz="4" w:space="0" w:color="000000"/>
            </w:tcBorders>
          </w:tcPr>
          <w:p>
            <w:pPr>
              <w:pStyle w:val="TableParagraph"/>
              <w:jc w:val="left"/>
              <w:rPr>
                <w:sz w:val="12"/>
              </w:rPr>
            </w:pPr>
          </w:p>
        </w:tc>
        <w:tc>
          <w:tcPr>
            <w:tcW w:w="360" w:type="dxa"/>
            <w:tcBorders>
              <w:top w:val="single" w:sz="4" w:space="0" w:color="000000"/>
              <w:bottom w:val="single" w:sz="4" w:space="0" w:color="000000"/>
            </w:tcBorders>
          </w:tcPr>
          <w:p>
            <w:pPr>
              <w:pStyle w:val="TableParagraph"/>
              <w:jc w:val="left"/>
              <w:rPr>
                <w:sz w:val="12"/>
              </w:rPr>
            </w:pPr>
          </w:p>
        </w:tc>
        <w:tc>
          <w:tcPr>
            <w:tcW w:w="293" w:type="dxa"/>
            <w:tcBorders>
              <w:top w:val="single" w:sz="4" w:space="0" w:color="000000"/>
              <w:bottom w:val="single" w:sz="4" w:space="0" w:color="000000"/>
            </w:tcBorders>
          </w:tcPr>
          <w:p>
            <w:pPr>
              <w:pStyle w:val="TableParagraph"/>
              <w:jc w:val="left"/>
              <w:rPr>
                <w:sz w:val="12"/>
              </w:rPr>
            </w:pPr>
          </w:p>
        </w:tc>
        <w:tc>
          <w:tcPr>
            <w:tcW w:w="363" w:type="dxa"/>
            <w:tcBorders>
              <w:top w:val="single" w:sz="4" w:space="0" w:color="000000"/>
              <w:bottom w:val="single" w:sz="4" w:space="0" w:color="000000"/>
            </w:tcBorders>
          </w:tcPr>
          <w:p>
            <w:pPr>
              <w:pStyle w:val="TableParagraph"/>
              <w:jc w:val="left"/>
              <w:rPr>
                <w:sz w:val="12"/>
              </w:rPr>
            </w:pPr>
          </w:p>
        </w:tc>
        <w:tc>
          <w:tcPr>
            <w:tcW w:w="267" w:type="dxa"/>
            <w:tcBorders>
              <w:top w:val="single" w:sz="4" w:space="0" w:color="000000"/>
              <w:bottom w:val="single" w:sz="4" w:space="0" w:color="000000"/>
            </w:tcBorders>
          </w:tcPr>
          <w:p>
            <w:pPr>
              <w:pStyle w:val="TableParagraph"/>
              <w:jc w:val="left"/>
              <w:rPr>
                <w:sz w:val="12"/>
              </w:rPr>
            </w:pPr>
          </w:p>
        </w:tc>
        <w:tc>
          <w:tcPr>
            <w:tcW w:w="373" w:type="dxa"/>
            <w:tcBorders>
              <w:top w:val="single" w:sz="4" w:space="0" w:color="000000"/>
              <w:bottom w:val="single" w:sz="4" w:space="0" w:color="000000"/>
            </w:tcBorders>
          </w:tcPr>
          <w:p>
            <w:pPr>
              <w:pStyle w:val="TableParagraph"/>
              <w:jc w:val="left"/>
              <w:rPr>
                <w:sz w:val="12"/>
              </w:rPr>
            </w:pPr>
          </w:p>
        </w:tc>
        <w:tc>
          <w:tcPr>
            <w:tcW w:w="311" w:type="dxa"/>
            <w:tcBorders>
              <w:top w:val="single" w:sz="4" w:space="0" w:color="000000"/>
              <w:bottom w:val="single" w:sz="4" w:space="0" w:color="000000"/>
            </w:tcBorders>
          </w:tcPr>
          <w:p>
            <w:pPr>
              <w:pStyle w:val="TableParagraph"/>
              <w:jc w:val="left"/>
              <w:rPr>
                <w:sz w:val="12"/>
              </w:rPr>
            </w:pPr>
          </w:p>
        </w:tc>
        <w:tc>
          <w:tcPr>
            <w:tcW w:w="390" w:type="dxa"/>
            <w:tcBorders>
              <w:top w:val="single" w:sz="4" w:space="0" w:color="000000"/>
              <w:bottom w:val="single" w:sz="4" w:space="0" w:color="000000"/>
            </w:tcBorders>
          </w:tcPr>
          <w:p>
            <w:pPr>
              <w:pStyle w:val="TableParagraph"/>
              <w:jc w:val="left"/>
              <w:rPr>
                <w:sz w:val="12"/>
              </w:rPr>
            </w:pPr>
          </w:p>
        </w:tc>
        <w:tc>
          <w:tcPr>
            <w:tcW w:w="306" w:type="dxa"/>
            <w:tcBorders>
              <w:top w:val="single" w:sz="4" w:space="0" w:color="000000"/>
              <w:bottom w:val="single" w:sz="4" w:space="0" w:color="000000"/>
            </w:tcBorders>
          </w:tcPr>
          <w:p>
            <w:pPr>
              <w:pStyle w:val="TableParagraph"/>
              <w:jc w:val="left"/>
              <w:rPr>
                <w:sz w:val="12"/>
              </w:rPr>
            </w:pPr>
          </w:p>
        </w:tc>
        <w:tc>
          <w:tcPr>
            <w:tcW w:w="388" w:type="dxa"/>
            <w:tcBorders>
              <w:top w:val="single" w:sz="4" w:space="0" w:color="000000"/>
              <w:bottom w:val="single" w:sz="4" w:space="0" w:color="000000"/>
            </w:tcBorders>
          </w:tcPr>
          <w:p>
            <w:pPr>
              <w:pStyle w:val="TableParagraph"/>
              <w:jc w:val="left"/>
              <w:rPr>
                <w:sz w:val="12"/>
              </w:rPr>
            </w:pPr>
          </w:p>
        </w:tc>
        <w:tc>
          <w:tcPr>
            <w:tcW w:w="309" w:type="dxa"/>
            <w:tcBorders>
              <w:top w:val="single" w:sz="4" w:space="0" w:color="000000"/>
              <w:bottom w:val="single" w:sz="4" w:space="0" w:color="000000"/>
            </w:tcBorders>
          </w:tcPr>
          <w:p>
            <w:pPr>
              <w:pStyle w:val="TableParagraph"/>
              <w:jc w:val="left"/>
              <w:rPr>
                <w:sz w:val="12"/>
              </w:rPr>
            </w:pPr>
          </w:p>
        </w:tc>
        <w:tc>
          <w:tcPr>
            <w:tcW w:w="374" w:type="dxa"/>
            <w:tcBorders>
              <w:top w:val="single" w:sz="4" w:space="0" w:color="000000"/>
              <w:bottom w:val="single" w:sz="4" w:space="0" w:color="000000"/>
            </w:tcBorders>
          </w:tcPr>
          <w:p>
            <w:pPr>
              <w:pStyle w:val="TableParagraph"/>
              <w:jc w:val="left"/>
              <w:rPr>
                <w:sz w:val="12"/>
              </w:rPr>
            </w:pPr>
          </w:p>
        </w:tc>
      </w:tr>
      <w:tr>
        <w:trPr>
          <w:trHeight w:val="297" w:hRule="atLeast"/>
        </w:trPr>
        <w:tc>
          <w:tcPr>
            <w:tcW w:w="797" w:type="dxa"/>
            <w:tcBorders>
              <w:top w:val="single" w:sz="4" w:space="0" w:color="000000"/>
            </w:tcBorders>
          </w:tcPr>
          <w:p>
            <w:pPr>
              <w:pStyle w:val="TableParagraph"/>
              <w:spacing w:before="84"/>
              <w:ind w:left="24"/>
              <w:jc w:val="left"/>
              <w:rPr>
                <w:sz w:val="12"/>
              </w:rPr>
            </w:pPr>
            <w:r>
              <w:rPr>
                <w:sz w:val="12"/>
              </w:rPr>
              <w:t>2019</w:t>
            </w:r>
            <w:r>
              <w:rPr>
                <w:spacing w:val="2"/>
                <w:sz w:val="12"/>
              </w:rPr>
              <w:t> </w:t>
            </w:r>
            <w:r>
              <w:rPr>
                <w:spacing w:val="-2"/>
                <w:sz w:val="12"/>
              </w:rPr>
              <w:t>Approved</w:t>
            </w:r>
          </w:p>
        </w:tc>
        <w:tc>
          <w:tcPr>
            <w:tcW w:w="299" w:type="dxa"/>
            <w:tcBorders>
              <w:top w:val="single" w:sz="4" w:space="0" w:color="000000"/>
              <w:bottom w:val="single" w:sz="4" w:space="0" w:color="000000"/>
            </w:tcBorders>
          </w:tcPr>
          <w:p>
            <w:pPr>
              <w:pStyle w:val="TableParagraph"/>
              <w:spacing w:before="84"/>
              <w:ind w:left="15" w:right="9"/>
              <w:jc w:val="center"/>
              <w:rPr>
                <w:sz w:val="12"/>
              </w:rPr>
            </w:pPr>
            <w:r>
              <w:rPr>
                <w:spacing w:val="-5"/>
                <w:sz w:val="12"/>
              </w:rPr>
              <w:t>277</w:t>
            </w:r>
          </w:p>
        </w:tc>
        <w:tc>
          <w:tcPr>
            <w:tcW w:w="362" w:type="dxa"/>
            <w:tcBorders>
              <w:top w:val="single" w:sz="4" w:space="0" w:color="000000"/>
              <w:bottom w:val="single" w:sz="4" w:space="0" w:color="000000"/>
            </w:tcBorders>
          </w:tcPr>
          <w:p>
            <w:pPr>
              <w:pStyle w:val="TableParagraph"/>
              <w:spacing w:before="84"/>
              <w:ind w:left="15" w:right="3"/>
              <w:jc w:val="center"/>
              <w:rPr>
                <w:sz w:val="12"/>
              </w:rPr>
            </w:pPr>
            <w:r>
              <w:rPr>
                <w:spacing w:val="-2"/>
                <w:sz w:val="12"/>
              </w:rPr>
              <w:t>70.60</w:t>
            </w:r>
          </w:p>
        </w:tc>
        <w:tc>
          <w:tcPr>
            <w:tcW w:w="271" w:type="dxa"/>
            <w:tcBorders>
              <w:top w:val="single" w:sz="4" w:space="0" w:color="000000"/>
              <w:bottom w:val="single" w:sz="4" w:space="0" w:color="000000"/>
            </w:tcBorders>
          </w:tcPr>
          <w:p>
            <w:pPr>
              <w:pStyle w:val="TableParagraph"/>
              <w:spacing w:before="84"/>
              <w:ind w:left="10"/>
              <w:jc w:val="center"/>
              <w:rPr>
                <w:sz w:val="12"/>
              </w:rPr>
            </w:pPr>
            <w:r>
              <w:rPr>
                <w:spacing w:val="-5"/>
                <w:sz w:val="12"/>
              </w:rPr>
              <w:t>25</w:t>
            </w:r>
          </w:p>
        </w:tc>
        <w:tc>
          <w:tcPr>
            <w:tcW w:w="350" w:type="dxa"/>
            <w:tcBorders>
              <w:top w:val="single" w:sz="4" w:space="0" w:color="000000"/>
              <w:bottom w:val="single" w:sz="4" w:space="0" w:color="000000"/>
            </w:tcBorders>
          </w:tcPr>
          <w:p>
            <w:pPr>
              <w:pStyle w:val="TableParagraph"/>
              <w:spacing w:before="84"/>
              <w:ind w:left="71"/>
              <w:jc w:val="left"/>
              <w:rPr>
                <w:sz w:val="12"/>
              </w:rPr>
            </w:pPr>
            <w:r>
              <w:rPr>
                <w:spacing w:val="-4"/>
                <w:sz w:val="12"/>
              </w:rPr>
              <w:t>9.96</w:t>
            </w:r>
          </w:p>
        </w:tc>
        <w:tc>
          <w:tcPr>
            <w:tcW w:w="266" w:type="dxa"/>
            <w:tcBorders>
              <w:top w:val="single" w:sz="4" w:space="0" w:color="000000"/>
              <w:bottom w:val="single" w:sz="4" w:space="0" w:color="000000"/>
            </w:tcBorders>
          </w:tcPr>
          <w:p>
            <w:pPr>
              <w:pStyle w:val="TableParagraph"/>
              <w:spacing w:before="84"/>
              <w:ind w:right="63"/>
              <w:rPr>
                <w:sz w:val="12"/>
              </w:rPr>
            </w:pPr>
            <w:r>
              <w:rPr>
                <w:spacing w:val="-5"/>
                <w:sz w:val="12"/>
              </w:rPr>
              <w:t>45</w:t>
            </w:r>
          </w:p>
        </w:tc>
        <w:tc>
          <w:tcPr>
            <w:tcW w:w="348" w:type="dxa"/>
            <w:tcBorders>
              <w:top w:val="single" w:sz="4" w:space="0" w:color="000000"/>
              <w:bottom w:val="single" w:sz="4" w:space="0" w:color="000000"/>
            </w:tcBorders>
          </w:tcPr>
          <w:p>
            <w:pPr>
              <w:pStyle w:val="TableParagraph"/>
              <w:spacing w:before="84"/>
              <w:ind w:left="6"/>
              <w:jc w:val="center"/>
              <w:rPr>
                <w:sz w:val="12"/>
              </w:rPr>
            </w:pPr>
            <w:r>
              <w:rPr>
                <w:spacing w:val="-4"/>
                <w:sz w:val="12"/>
              </w:rPr>
              <w:t>4.75</w:t>
            </w:r>
          </w:p>
        </w:tc>
        <w:tc>
          <w:tcPr>
            <w:tcW w:w="269" w:type="dxa"/>
            <w:tcBorders>
              <w:top w:val="single" w:sz="4" w:space="0" w:color="000000"/>
              <w:bottom w:val="single" w:sz="4" w:space="0" w:color="000000"/>
            </w:tcBorders>
          </w:tcPr>
          <w:p>
            <w:pPr>
              <w:pStyle w:val="TableParagraph"/>
              <w:spacing w:before="84"/>
              <w:ind w:left="106"/>
              <w:jc w:val="left"/>
              <w:rPr>
                <w:sz w:val="12"/>
              </w:rPr>
            </w:pPr>
            <w:r>
              <w:rPr>
                <w:sz w:val="12"/>
              </w:rPr>
              <w:t>7</w:t>
            </w:r>
          </w:p>
        </w:tc>
        <w:tc>
          <w:tcPr>
            <w:tcW w:w="348" w:type="dxa"/>
            <w:tcBorders>
              <w:top w:val="single" w:sz="4" w:space="0" w:color="000000"/>
              <w:bottom w:val="single" w:sz="4" w:space="0" w:color="000000"/>
            </w:tcBorders>
          </w:tcPr>
          <w:p>
            <w:pPr>
              <w:pStyle w:val="TableParagraph"/>
              <w:spacing w:before="84"/>
              <w:ind w:left="11"/>
              <w:jc w:val="center"/>
              <w:rPr>
                <w:sz w:val="12"/>
              </w:rPr>
            </w:pPr>
            <w:r>
              <w:rPr>
                <w:spacing w:val="-4"/>
                <w:sz w:val="12"/>
              </w:rPr>
              <w:t>2.33</w:t>
            </w:r>
          </w:p>
        </w:tc>
        <w:tc>
          <w:tcPr>
            <w:tcW w:w="266" w:type="dxa"/>
            <w:tcBorders>
              <w:top w:val="single" w:sz="4" w:space="0" w:color="000000"/>
              <w:bottom w:val="single" w:sz="4" w:space="0" w:color="000000"/>
            </w:tcBorders>
          </w:tcPr>
          <w:p>
            <w:pPr>
              <w:pStyle w:val="TableParagraph"/>
              <w:spacing w:before="84"/>
              <w:ind w:left="9"/>
              <w:jc w:val="center"/>
              <w:rPr>
                <w:sz w:val="12"/>
              </w:rPr>
            </w:pPr>
            <w:r>
              <w:rPr>
                <w:spacing w:val="-5"/>
                <w:sz w:val="12"/>
              </w:rPr>
              <w:t>43</w:t>
            </w:r>
          </w:p>
        </w:tc>
        <w:tc>
          <w:tcPr>
            <w:tcW w:w="350" w:type="dxa"/>
            <w:tcBorders>
              <w:top w:val="single" w:sz="4" w:space="0" w:color="000000"/>
              <w:bottom w:val="single" w:sz="4" w:space="0" w:color="000000"/>
            </w:tcBorders>
          </w:tcPr>
          <w:p>
            <w:pPr>
              <w:pStyle w:val="TableParagraph"/>
              <w:spacing w:before="84"/>
              <w:ind w:left="10"/>
              <w:jc w:val="center"/>
              <w:rPr>
                <w:sz w:val="12"/>
              </w:rPr>
            </w:pPr>
            <w:r>
              <w:rPr>
                <w:spacing w:val="-2"/>
                <w:sz w:val="12"/>
              </w:rPr>
              <w:t>17.00</w:t>
            </w:r>
          </w:p>
        </w:tc>
        <w:tc>
          <w:tcPr>
            <w:tcW w:w="267" w:type="dxa"/>
            <w:tcBorders>
              <w:top w:val="single" w:sz="4" w:space="0" w:color="000000"/>
              <w:bottom w:val="single" w:sz="4" w:space="0" w:color="000000"/>
            </w:tcBorders>
          </w:tcPr>
          <w:p>
            <w:pPr>
              <w:pStyle w:val="TableParagraph"/>
              <w:spacing w:before="84"/>
              <w:ind w:left="9"/>
              <w:jc w:val="center"/>
              <w:rPr>
                <w:sz w:val="12"/>
              </w:rPr>
            </w:pPr>
            <w:r>
              <w:rPr>
                <w:sz w:val="12"/>
              </w:rPr>
              <w:t>2</w:t>
            </w:r>
          </w:p>
        </w:tc>
        <w:tc>
          <w:tcPr>
            <w:tcW w:w="348" w:type="dxa"/>
            <w:tcBorders>
              <w:top w:val="single" w:sz="4" w:space="0" w:color="000000"/>
              <w:bottom w:val="single" w:sz="4" w:space="0" w:color="000000"/>
            </w:tcBorders>
          </w:tcPr>
          <w:p>
            <w:pPr>
              <w:pStyle w:val="TableParagraph"/>
              <w:spacing w:before="84"/>
              <w:ind w:left="7"/>
              <w:jc w:val="center"/>
              <w:rPr>
                <w:sz w:val="12"/>
              </w:rPr>
            </w:pPr>
            <w:r>
              <w:rPr>
                <w:w w:val="99"/>
                <w:sz w:val="12"/>
              </w:rPr>
              <w:t>-</w:t>
            </w:r>
          </w:p>
        </w:tc>
        <w:tc>
          <w:tcPr>
            <w:tcW w:w="269" w:type="dxa"/>
            <w:tcBorders>
              <w:top w:val="single" w:sz="4" w:space="0" w:color="000000"/>
              <w:bottom w:val="single" w:sz="4" w:space="0" w:color="000000"/>
            </w:tcBorders>
          </w:tcPr>
          <w:p>
            <w:pPr>
              <w:pStyle w:val="TableParagraph"/>
              <w:spacing w:before="84"/>
              <w:ind w:left="78"/>
              <w:jc w:val="left"/>
              <w:rPr>
                <w:sz w:val="12"/>
              </w:rPr>
            </w:pPr>
            <w:r>
              <w:rPr>
                <w:spacing w:val="-5"/>
                <w:sz w:val="12"/>
              </w:rPr>
              <w:t>14</w:t>
            </w:r>
          </w:p>
        </w:tc>
        <w:tc>
          <w:tcPr>
            <w:tcW w:w="351" w:type="dxa"/>
            <w:tcBorders>
              <w:top w:val="single" w:sz="4" w:space="0" w:color="000000"/>
              <w:bottom w:val="single" w:sz="4" w:space="0" w:color="000000"/>
            </w:tcBorders>
          </w:tcPr>
          <w:p>
            <w:pPr>
              <w:pStyle w:val="TableParagraph"/>
              <w:spacing w:before="84"/>
              <w:ind w:left="9"/>
              <w:jc w:val="center"/>
              <w:rPr>
                <w:sz w:val="12"/>
              </w:rPr>
            </w:pPr>
            <w:r>
              <w:rPr>
                <w:spacing w:val="-4"/>
                <w:sz w:val="12"/>
              </w:rPr>
              <w:t>5.33</w:t>
            </w:r>
          </w:p>
        </w:tc>
        <w:tc>
          <w:tcPr>
            <w:tcW w:w="269" w:type="dxa"/>
            <w:tcBorders>
              <w:top w:val="single" w:sz="4" w:space="0" w:color="000000"/>
              <w:bottom w:val="single" w:sz="4" w:space="0" w:color="000000"/>
            </w:tcBorders>
          </w:tcPr>
          <w:p>
            <w:pPr>
              <w:pStyle w:val="TableParagraph"/>
              <w:spacing w:before="84"/>
              <w:ind w:right="65"/>
              <w:rPr>
                <w:sz w:val="12"/>
              </w:rPr>
            </w:pPr>
            <w:r>
              <w:rPr>
                <w:spacing w:val="-5"/>
                <w:sz w:val="12"/>
              </w:rPr>
              <w:t>42</w:t>
            </w:r>
          </w:p>
        </w:tc>
        <w:tc>
          <w:tcPr>
            <w:tcW w:w="348" w:type="dxa"/>
            <w:tcBorders>
              <w:top w:val="single" w:sz="4" w:space="0" w:color="000000"/>
              <w:bottom w:val="single" w:sz="4" w:space="0" w:color="000000"/>
            </w:tcBorders>
          </w:tcPr>
          <w:p>
            <w:pPr>
              <w:pStyle w:val="TableParagraph"/>
              <w:spacing w:before="84"/>
              <w:ind w:left="44"/>
              <w:jc w:val="left"/>
              <w:rPr>
                <w:sz w:val="12"/>
              </w:rPr>
            </w:pPr>
            <w:r>
              <w:rPr>
                <w:spacing w:val="-2"/>
                <w:sz w:val="12"/>
              </w:rPr>
              <w:t>12.08</w:t>
            </w:r>
          </w:p>
        </w:tc>
        <w:tc>
          <w:tcPr>
            <w:tcW w:w="269" w:type="dxa"/>
            <w:tcBorders>
              <w:top w:val="single" w:sz="4" w:space="0" w:color="000000"/>
              <w:bottom w:val="single" w:sz="4" w:space="0" w:color="000000"/>
            </w:tcBorders>
          </w:tcPr>
          <w:p>
            <w:pPr>
              <w:pStyle w:val="TableParagraph"/>
              <w:spacing w:before="84"/>
              <w:ind w:left="7"/>
              <w:jc w:val="center"/>
              <w:rPr>
                <w:sz w:val="12"/>
              </w:rPr>
            </w:pPr>
            <w:r>
              <w:rPr>
                <w:spacing w:val="-5"/>
                <w:sz w:val="12"/>
              </w:rPr>
              <w:t>11</w:t>
            </w:r>
          </w:p>
        </w:tc>
        <w:tc>
          <w:tcPr>
            <w:tcW w:w="351" w:type="dxa"/>
            <w:tcBorders>
              <w:top w:val="single" w:sz="4" w:space="0" w:color="000000"/>
              <w:bottom w:val="single" w:sz="4" w:space="0" w:color="000000"/>
            </w:tcBorders>
          </w:tcPr>
          <w:p>
            <w:pPr>
              <w:pStyle w:val="TableParagraph"/>
              <w:spacing w:before="84"/>
              <w:ind w:left="13"/>
              <w:jc w:val="center"/>
              <w:rPr>
                <w:sz w:val="12"/>
              </w:rPr>
            </w:pPr>
            <w:r>
              <w:rPr>
                <w:spacing w:val="-2"/>
                <w:sz w:val="12"/>
              </w:rPr>
              <w:t>16.40</w:t>
            </w:r>
          </w:p>
        </w:tc>
        <w:tc>
          <w:tcPr>
            <w:tcW w:w="267" w:type="dxa"/>
            <w:tcBorders>
              <w:top w:val="single" w:sz="4" w:space="0" w:color="000000"/>
              <w:bottom w:val="single" w:sz="4" w:space="0" w:color="000000"/>
            </w:tcBorders>
          </w:tcPr>
          <w:p>
            <w:pPr>
              <w:pStyle w:val="TableParagraph"/>
              <w:spacing w:before="84"/>
              <w:ind w:right="66"/>
              <w:rPr>
                <w:sz w:val="12"/>
              </w:rPr>
            </w:pPr>
            <w:r>
              <w:rPr>
                <w:spacing w:val="-5"/>
                <w:sz w:val="12"/>
              </w:rPr>
              <w:t>19</w:t>
            </w:r>
          </w:p>
        </w:tc>
        <w:tc>
          <w:tcPr>
            <w:tcW w:w="351" w:type="dxa"/>
            <w:tcBorders>
              <w:top w:val="single" w:sz="4" w:space="0" w:color="000000"/>
              <w:bottom w:val="single" w:sz="4" w:space="0" w:color="000000"/>
            </w:tcBorders>
          </w:tcPr>
          <w:p>
            <w:pPr>
              <w:pStyle w:val="TableParagraph"/>
              <w:spacing w:before="84"/>
              <w:ind w:left="6"/>
              <w:jc w:val="center"/>
              <w:rPr>
                <w:sz w:val="12"/>
              </w:rPr>
            </w:pPr>
            <w:r>
              <w:rPr>
                <w:spacing w:val="-2"/>
                <w:sz w:val="12"/>
              </w:rPr>
              <w:t>13.50</w:t>
            </w:r>
          </w:p>
        </w:tc>
        <w:tc>
          <w:tcPr>
            <w:tcW w:w="269" w:type="dxa"/>
            <w:tcBorders>
              <w:top w:val="single" w:sz="4" w:space="0" w:color="000000"/>
              <w:bottom w:val="single" w:sz="4" w:space="0" w:color="000000"/>
            </w:tcBorders>
          </w:tcPr>
          <w:p>
            <w:pPr>
              <w:pStyle w:val="TableParagraph"/>
              <w:spacing w:before="84"/>
              <w:ind w:left="76"/>
              <w:jc w:val="left"/>
              <w:rPr>
                <w:sz w:val="12"/>
              </w:rPr>
            </w:pPr>
            <w:r>
              <w:rPr>
                <w:spacing w:val="-5"/>
                <w:sz w:val="12"/>
              </w:rPr>
              <w:t>14</w:t>
            </w:r>
          </w:p>
        </w:tc>
        <w:tc>
          <w:tcPr>
            <w:tcW w:w="351" w:type="dxa"/>
            <w:tcBorders>
              <w:top w:val="single" w:sz="4" w:space="0" w:color="000000"/>
              <w:bottom w:val="single" w:sz="4" w:space="0" w:color="000000"/>
            </w:tcBorders>
          </w:tcPr>
          <w:p>
            <w:pPr>
              <w:pStyle w:val="TableParagraph"/>
              <w:spacing w:before="84"/>
              <w:ind w:left="5"/>
              <w:jc w:val="center"/>
              <w:rPr>
                <w:sz w:val="12"/>
              </w:rPr>
            </w:pPr>
            <w:r>
              <w:rPr>
                <w:spacing w:val="-4"/>
                <w:sz w:val="12"/>
              </w:rPr>
              <w:t>5.50</w:t>
            </w:r>
          </w:p>
        </w:tc>
        <w:tc>
          <w:tcPr>
            <w:tcW w:w="269" w:type="dxa"/>
            <w:tcBorders>
              <w:top w:val="single" w:sz="4" w:space="0" w:color="000000"/>
              <w:bottom w:val="single" w:sz="4" w:space="0" w:color="000000"/>
            </w:tcBorders>
          </w:tcPr>
          <w:p>
            <w:pPr>
              <w:pStyle w:val="TableParagraph"/>
              <w:jc w:val="left"/>
              <w:rPr>
                <w:sz w:val="12"/>
              </w:rPr>
            </w:pPr>
          </w:p>
        </w:tc>
        <w:tc>
          <w:tcPr>
            <w:tcW w:w="360" w:type="dxa"/>
            <w:tcBorders>
              <w:top w:val="single" w:sz="4" w:space="0" w:color="000000"/>
              <w:bottom w:val="single" w:sz="4" w:space="0" w:color="000000"/>
            </w:tcBorders>
          </w:tcPr>
          <w:p>
            <w:pPr>
              <w:pStyle w:val="TableParagraph"/>
              <w:jc w:val="left"/>
              <w:rPr>
                <w:sz w:val="12"/>
              </w:rPr>
            </w:pPr>
          </w:p>
        </w:tc>
        <w:tc>
          <w:tcPr>
            <w:tcW w:w="293" w:type="dxa"/>
            <w:tcBorders>
              <w:top w:val="single" w:sz="4" w:space="0" w:color="000000"/>
              <w:bottom w:val="single" w:sz="4" w:space="0" w:color="000000"/>
            </w:tcBorders>
          </w:tcPr>
          <w:p>
            <w:pPr>
              <w:pStyle w:val="TableParagraph"/>
              <w:jc w:val="left"/>
              <w:rPr>
                <w:sz w:val="12"/>
              </w:rPr>
            </w:pPr>
          </w:p>
        </w:tc>
        <w:tc>
          <w:tcPr>
            <w:tcW w:w="363" w:type="dxa"/>
            <w:tcBorders>
              <w:top w:val="single" w:sz="4" w:space="0" w:color="000000"/>
              <w:bottom w:val="single" w:sz="4" w:space="0" w:color="000000"/>
            </w:tcBorders>
          </w:tcPr>
          <w:p>
            <w:pPr>
              <w:pStyle w:val="TableParagraph"/>
              <w:jc w:val="left"/>
              <w:rPr>
                <w:sz w:val="12"/>
              </w:rPr>
            </w:pPr>
          </w:p>
        </w:tc>
        <w:tc>
          <w:tcPr>
            <w:tcW w:w="267" w:type="dxa"/>
            <w:tcBorders>
              <w:top w:val="single" w:sz="4" w:space="0" w:color="000000"/>
              <w:bottom w:val="single" w:sz="4" w:space="0" w:color="000000"/>
            </w:tcBorders>
          </w:tcPr>
          <w:p>
            <w:pPr>
              <w:pStyle w:val="TableParagraph"/>
              <w:jc w:val="left"/>
              <w:rPr>
                <w:sz w:val="12"/>
              </w:rPr>
            </w:pPr>
          </w:p>
        </w:tc>
        <w:tc>
          <w:tcPr>
            <w:tcW w:w="373" w:type="dxa"/>
            <w:tcBorders>
              <w:top w:val="single" w:sz="4" w:space="0" w:color="000000"/>
              <w:bottom w:val="single" w:sz="4" w:space="0" w:color="000000"/>
            </w:tcBorders>
          </w:tcPr>
          <w:p>
            <w:pPr>
              <w:pStyle w:val="TableParagraph"/>
              <w:jc w:val="left"/>
              <w:rPr>
                <w:sz w:val="12"/>
              </w:rPr>
            </w:pPr>
          </w:p>
        </w:tc>
        <w:tc>
          <w:tcPr>
            <w:tcW w:w="311" w:type="dxa"/>
            <w:tcBorders>
              <w:top w:val="single" w:sz="4" w:space="0" w:color="000000"/>
              <w:bottom w:val="single" w:sz="4" w:space="0" w:color="000000"/>
            </w:tcBorders>
          </w:tcPr>
          <w:p>
            <w:pPr>
              <w:pStyle w:val="TableParagraph"/>
              <w:jc w:val="left"/>
              <w:rPr>
                <w:sz w:val="12"/>
              </w:rPr>
            </w:pPr>
          </w:p>
        </w:tc>
        <w:tc>
          <w:tcPr>
            <w:tcW w:w="390" w:type="dxa"/>
            <w:tcBorders>
              <w:top w:val="single" w:sz="4" w:space="0" w:color="000000"/>
              <w:bottom w:val="single" w:sz="4" w:space="0" w:color="000000"/>
            </w:tcBorders>
          </w:tcPr>
          <w:p>
            <w:pPr>
              <w:pStyle w:val="TableParagraph"/>
              <w:jc w:val="left"/>
              <w:rPr>
                <w:sz w:val="12"/>
              </w:rPr>
            </w:pPr>
          </w:p>
        </w:tc>
        <w:tc>
          <w:tcPr>
            <w:tcW w:w="306" w:type="dxa"/>
            <w:tcBorders>
              <w:top w:val="single" w:sz="4" w:space="0" w:color="000000"/>
              <w:bottom w:val="single" w:sz="4" w:space="0" w:color="000000"/>
            </w:tcBorders>
          </w:tcPr>
          <w:p>
            <w:pPr>
              <w:pStyle w:val="TableParagraph"/>
              <w:jc w:val="left"/>
              <w:rPr>
                <w:sz w:val="12"/>
              </w:rPr>
            </w:pPr>
          </w:p>
        </w:tc>
        <w:tc>
          <w:tcPr>
            <w:tcW w:w="388" w:type="dxa"/>
            <w:tcBorders>
              <w:top w:val="single" w:sz="4" w:space="0" w:color="000000"/>
              <w:bottom w:val="single" w:sz="4" w:space="0" w:color="000000"/>
            </w:tcBorders>
          </w:tcPr>
          <w:p>
            <w:pPr>
              <w:pStyle w:val="TableParagraph"/>
              <w:jc w:val="left"/>
              <w:rPr>
                <w:sz w:val="12"/>
              </w:rPr>
            </w:pPr>
          </w:p>
        </w:tc>
        <w:tc>
          <w:tcPr>
            <w:tcW w:w="309" w:type="dxa"/>
            <w:tcBorders>
              <w:top w:val="single" w:sz="4" w:space="0" w:color="000000"/>
              <w:bottom w:val="single" w:sz="4" w:space="0" w:color="000000"/>
            </w:tcBorders>
          </w:tcPr>
          <w:p>
            <w:pPr>
              <w:pStyle w:val="TableParagraph"/>
              <w:jc w:val="left"/>
              <w:rPr>
                <w:sz w:val="12"/>
              </w:rPr>
            </w:pPr>
          </w:p>
        </w:tc>
        <w:tc>
          <w:tcPr>
            <w:tcW w:w="374" w:type="dxa"/>
            <w:tcBorders>
              <w:top w:val="single" w:sz="4" w:space="0" w:color="000000"/>
              <w:bottom w:val="single" w:sz="4" w:space="0" w:color="000000"/>
            </w:tcBorders>
          </w:tcPr>
          <w:p>
            <w:pPr>
              <w:pStyle w:val="TableParagraph"/>
              <w:jc w:val="left"/>
              <w:rPr>
                <w:sz w:val="12"/>
              </w:rPr>
            </w:pPr>
          </w:p>
        </w:tc>
      </w:tr>
      <w:tr>
        <w:trPr>
          <w:trHeight w:val="302" w:hRule="atLeast"/>
        </w:trPr>
        <w:tc>
          <w:tcPr>
            <w:tcW w:w="797" w:type="dxa"/>
            <w:tcBorders>
              <w:bottom w:val="single" w:sz="4" w:space="0" w:color="000000"/>
            </w:tcBorders>
          </w:tcPr>
          <w:p>
            <w:pPr>
              <w:pStyle w:val="TableParagraph"/>
              <w:jc w:val="left"/>
              <w:rPr>
                <w:sz w:val="12"/>
              </w:rPr>
            </w:pPr>
          </w:p>
        </w:tc>
        <w:tc>
          <w:tcPr>
            <w:tcW w:w="661" w:type="dxa"/>
            <w:gridSpan w:val="2"/>
            <w:tcBorders>
              <w:top w:val="single" w:sz="4" w:space="0" w:color="000000"/>
              <w:bottom w:val="single" w:sz="4" w:space="0" w:color="000000"/>
            </w:tcBorders>
          </w:tcPr>
          <w:p>
            <w:pPr>
              <w:pStyle w:val="TableParagraph"/>
              <w:spacing w:before="84"/>
              <w:ind w:left="91"/>
              <w:jc w:val="left"/>
              <w:rPr>
                <w:sz w:val="12"/>
              </w:rPr>
            </w:pPr>
            <w:r>
              <w:rPr>
                <w:sz w:val="12"/>
              </w:rPr>
              <w:t>(23</w:t>
            </w:r>
            <w:r>
              <w:rPr>
                <w:spacing w:val="-1"/>
                <w:sz w:val="12"/>
              </w:rPr>
              <w:t> </w:t>
            </w:r>
            <w:r>
              <w:rPr>
                <w:spacing w:val="-2"/>
                <w:sz w:val="12"/>
              </w:rPr>
              <w:t>cases)</w:t>
            </w:r>
          </w:p>
        </w:tc>
        <w:tc>
          <w:tcPr>
            <w:tcW w:w="621" w:type="dxa"/>
            <w:gridSpan w:val="2"/>
            <w:tcBorders>
              <w:top w:val="single" w:sz="4" w:space="0" w:color="000000"/>
              <w:bottom w:val="single" w:sz="4" w:space="0" w:color="000000"/>
            </w:tcBorders>
          </w:tcPr>
          <w:p>
            <w:pPr>
              <w:pStyle w:val="TableParagraph"/>
              <w:spacing w:before="84"/>
              <w:ind w:left="102"/>
              <w:jc w:val="left"/>
              <w:rPr>
                <w:sz w:val="12"/>
              </w:rPr>
            </w:pPr>
            <w:r>
              <w:rPr>
                <w:sz w:val="12"/>
              </w:rPr>
              <w:t>(2</w:t>
            </w:r>
            <w:r>
              <w:rPr>
                <w:spacing w:val="-3"/>
                <w:sz w:val="12"/>
              </w:rPr>
              <w:t> </w:t>
            </w:r>
            <w:r>
              <w:rPr>
                <w:spacing w:val="-2"/>
                <w:sz w:val="12"/>
              </w:rPr>
              <w:t>cases)</w:t>
            </w:r>
          </w:p>
        </w:tc>
        <w:tc>
          <w:tcPr>
            <w:tcW w:w="614" w:type="dxa"/>
            <w:gridSpan w:val="2"/>
            <w:tcBorders>
              <w:top w:val="single" w:sz="4" w:space="0" w:color="000000"/>
              <w:bottom w:val="single" w:sz="4" w:space="0" w:color="000000"/>
            </w:tcBorders>
          </w:tcPr>
          <w:p>
            <w:pPr>
              <w:pStyle w:val="TableParagraph"/>
              <w:spacing w:before="84"/>
              <w:ind w:left="101"/>
              <w:jc w:val="left"/>
              <w:rPr>
                <w:sz w:val="12"/>
              </w:rPr>
            </w:pPr>
            <w:r>
              <w:rPr>
                <w:sz w:val="12"/>
              </w:rPr>
              <w:t>(2</w:t>
            </w:r>
            <w:r>
              <w:rPr>
                <w:spacing w:val="-3"/>
                <w:sz w:val="12"/>
              </w:rPr>
              <w:t> </w:t>
            </w:r>
            <w:r>
              <w:rPr>
                <w:spacing w:val="-2"/>
                <w:sz w:val="12"/>
              </w:rPr>
              <w:t>cases)</w:t>
            </w:r>
          </w:p>
        </w:tc>
        <w:tc>
          <w:tcPr>
            <w:tcW w:w="617" w:type="dxa"/>
            <w:gridSpan w:val="2"/>
            <w:tcBorders>
              <w:top w:val="single" w:sz="4" w:space="0" w:color="000000"/>
              <w:bottom w:val="single" w:sz="4" w:space="0" w:color="000000"/>
            </w:tcBorders>
          </w:tcPr>
          <w:p>
            <w:pPr>
              <w:pStyle w:val="TableParagraph"/>
              <w:spacing w:before="84"/>
              <w:ind w:left="101"/>
              <w:jc w:val="left"/>
              <w:rPr>
                <w:sz w:val="12"/>
              </w:rPr>
            </w:pPr>
            <w:r>
              <w:rPr>
                <w:sz w:val="12"/>
              </w:rPr>
              <w:t>(3</w:t>
            </w:r>
            <w:r>
              <w:rPr>
                <w:spacing w:val="-3"/>
                <w:sz w:val="12"/>
              </w:rPr>
              <w:t> </w:t>
            </w:r>
            <w:r>
              <w:rPr>
                <w:spacing w:val="-2"/>
                <w:sz w:val="12"/>
              </w:rPr>
              <w:t>cases)</w:t>
            </w:r>
          </w:p>
        </w:tc>
        <w:tc>
          <w:tcPr>
            <w:tcW w:w="616" w:type="dxa"/>
            <w:gridSpan w:val="2"/>
            <w:tcBorders>
              <w:top w:val="single" w:sz="4" w:space="0" w:color="000000"/>
              <w:bottom w:val="single" w:sz="4" w:space="0" w:color="000000"/>
            </w:tcBorders>
          </w:tcPr>
          <w:p>
            <w:pPr>
              <w:pStyle w:val="TableParagraph"/>
              <w:spacing w:before="84"/>
              <w:ind w:left="99"/>
              <w:jc w:val="left"/>
              <w:rPr>
                <w:sz w:val="12"/>
              </w:rPr>
            </w:pPr>
            <w:r>
              <w:rPr>
                <w:sz w:val="12"/>
              </w:rPr>
              <w:t>(4</w:t>
            </w:r>
            <w:r>
              <w:rPr>
                <w:spacing w:val="-3"/>
                <w:sz w:val="12"/>
              </w:rPr>
              <w:t> </w:t>
            </w:r>
            <w:r>
              <w:rPr>
                <w:spacing w:val="-2"/>
                <w:sz w:val="12"/>
              </w:rPr>
              <w:t>cases)</w:t>
            </w:r>
          </w:p>
        </w:tc>
        <w:tc>
          <w:tcPr>
            <w:tcW w:w="615" w:type="dxa"/>
            <w:gridSpan w:val="2"/>
            <w:tcBorders>
              <w:top w:val="single" w:sz="4" w:space="0" w:color="000000"/>
              <w:bottom w:val="single" w:sz="4" w:space="0" w:color="000000"/>
            </w:tcBorders>
          </w:tcPr>
          <w:p>
            <w:pPr>
              <w:pStyle w:val="TableParagraph"/>
              <w:spacing w:before="84"/>
              <w:ind w:left="103"/>
              <w:jc w:val="left"/>
              <w:rPr>
                <w:sz w:val="12"/>
              </w:rPr>
            </w:pPr>
            <w:r>
              <w:rPr>
                <w:sz w:val="12"/>
              </w:rPr>
              <w:t>(2</w:t>
            </w:r>
            <w:r>
              <w:rPr>
                <w:spacing w:val="-3"/>
                <w:sz w:val="12"/>
              </w:rPr>
              <w:t> </w:t>
            </w:r>
            <w:r>
              <w:rPr>
                <w:spacing w:val="-2"/>
                <w:sz w:val="12"/>
              </w:rPr>
              <w:t>cases)</w:t>
            </w:r>
          </w:p>
        </w:tc>
        <w:tc>
          <w:tcPr>
            <w:tcW w:w="620" w:type="dxa"/>
            <w:gridSpan w:val="2"/>
            <w:tcBorders>
              <w:top w:val="single" w:sz="4" w:space="0" w:color="000000"/>
              <w:bottom w:val="single" w:sz="4" w:space="0" w:color="000000"/>
            </w:tcBorders>
          </w:tcPr>
          <w:p>
            <w:pPr>
              <w:pStyle w:val="TableParagraph"/>
              <w:spacing w:before="84"/>
              <w:ind w:left="102"/>
              <w:jc w:val="left"/>
              <w:rPr>
                <w:sz w:val="12"/>
              </w:rPr>
            </w:pPr>
            <w:r>
              <w:rPr>
                <w:sz w:val="12"/>
              </w:rPr>
              <w:t>(3</w:t>
            </w:r>
            <w:r>
              <w:rPr>
                <w:spacing w:val="-3"/>
                <w:sz w:val="12"/>
              </w:rPr>
              <w:t> </w:t>
            </w:r>
            <w:r>
              <w:rPr>
                <w:spacing w:val="-2"/>
                <w:sz w:val="12"/>
              </w:rPr>
              <w:t>cases)</w:t>
            </w:r>
          </w:p>
        </w:tc>
        <w:tc>
          <w:tcPr>
            <w:tcW w:w="617" w:type="dxa"/>
            <w:gridSpan w:val="2"/>
            <w:tcBorders>
              <w:top w:val="single" w:sz="4" w:space="0" w:color="000000"/>
              <w:bottom w:val="single" w:sz="4" w:space="0" w:color="000000"/>
            </w:tcBorders>
          </w:tcPr>
          <w:p>
            <w:pPr>
              <w:pStyle w:val="TableParagraph"/>
              <w:spacing w:before="84"/>
              <w:ind w:left="102"/>
              <w:jc w:val="left"/>
              <w:rPr>
                <w:sz w:val="12"/>
              </w:rPr>
            </w:pPr>
            <w:r>
              <w:rPr>
                <w:sz w:val="12"/>
              </w:rPr>
              <w:t>(3</w:t>
            </w:r>
            <w:r>
              <w:rPr>
                <w:spacing w:val="-3"/>
                <w:sz w:val="12"/>
              </w:rPr>
              <w:t> </w:t>
            </w:r>
            <w:r>
              <w:rPr>
                <w:spacing w:val="-2"/>
                <w:sz w:val="12"/>
              </w:rPr>
              <w:t>cases)</w:t>
            </w:r>
          </w:p>
        </w:tc>
        <w:tc>
          <w:tcPr>
            <w:tcW w:w="620" w:type="dxa"/>
            <w:gridSpan w:val="2"/>
            <w:tcBorders>
              <w:top w:val="single" w:sz="4" w:space="0" w:color="000000"/>
              <w:bottom w:val="single" w:sz="4" w:space="0" w:color="000000"/>
            </w:tcBorders>
          </w:tcPr>
          <w:p>
            <w:pPr>
              <w:pStyle w:val="TableParagraph"/>
              <w:spacing w:before="84"/>
              <w:ind w:left="99"/>
              <w:jc w:val="left"/>
              <w:rPr>
                <w:sz w:val="12"/>
              </w:rPr>
            </w:pPr>
            <w:r>
              <w:rPr>
                <w:sz w:val="12"/>
              </w:rPr>
              <w:t>(2</w:t>
            </w:r>
            <w:r>
              <w:rPr>
                <w:spacing w:val="-3"/>
                <w:sz w:val="12"/>
              </w:rPr>
              <w:t> </w:t>
            </w:r>
            <w:r>
              <w:rPr>
                <w:spacing w:val="-2"/>
                <w:sz w:val="12"/>
              </w:rPr>
              <w:t>cases)</w:t>
            </w:r>
          </w:p>
        </w:tc>
        <w:tc>
          <w:tcPr>
            <w:tcW w:w="618" w:type="dxa"/>
            <w:gridSpan w:val="2"/>
            <w:tcBorders>
              <w:top w:val="single" w:sz="4" w:space="0" w:color="000000"/>
              <w:bottom w:val="single" w:sz="4" w:space="0" w:color="000000"/>
            </w:tcBorders>
          </w:tcPr>
          <w:p>
            <w:pPr>
              <w:pStyle w:val="TableParagraph"/>
              <w:spacing w:before="84"/>
              <w:ind w:left="123"/>
              <w:jc w:val="left"/>
              <w:rPr>
                <w:sz w:val="12"/>
              </w:rPr>
            </w:pPr>
            <w:r>
              <w:rPr>
                <w:sz w:val="12"/>
              </w:rPr>
              <w:t>(1</w:t>
            </w:r>
            <w:r>
              <w:rPr>
                <w:spacing w:val="-3"/>
                <w:sz w:val="12"/>
              </w:rPr>
              <w:t> </w:t>
            </w:r>
            <w:r>
              <w:rPr>
                <w:spacing w:val="-2"/>
                <w:sz w:val="12"/>
              </w:rPr>
              <w:t>case)</w:t>
            </w:r>
          </w:p>
        </w:tc>
        <w:tc>
          <w:tcPr>
            <w:tcW w:w="620" w:type="dxa"/>
            <w:gridSpan w:val="2"/>
            <w:tcBorders>
              <w:top w:val="single" w:sz="4" w:space="0" w:color="000000"/>
              <w:bottom w:val="single" w:sz="4" w:space="0" w:color="000000"/>
            </w:tcBorders>
          </w:tcPr>
          <w:p>
            <w:pPr>
              <w:pStyle w:val="TableParagraph"/>
              <w:spacing w:before="84"/>
              <w:ind w:left="124"/>
              <w:jc w:val="left"/>
              <w:rPr>
                <w:sz w:val="12"/>
              </w:rPr>
            </w:pPr>
            <w:r>
              <w:rPr>
                <w:sz w:val="12"/>
              </w:rPr>
              <w:t>(1</w:t>
            </w:r>
            <w:r>
              <w:rPr>
                <w:spacing w:val="-3"/>
                <w:sz w:val="12"/>
              </w:rPr>
              <w:t> </w:t>
            </w:r>
            <w:r>
              <w:rPr>
                <w:spacing w:val="-2"/>
                <w:sz w:val="12"/>
              </w:rPr>
              <w:t>case)</w:t>
            </w:r>
          </w:p>
        </w:tc>
        <w:tc>
          <w:tcPr>
            <w:tcW w:w="269" w:type="dxa"/>
            <w:tcBorders>
              <w:top w:val="single" w:sz="4" w:space="0" w:color="000000"/>
              <w:bottom w:val="single" w:sz="4" w:space="0" w:color="000000"/>
            </w:tcBorders>
          </w:tcPr>
          <w:p>
            <w:pPr>
              <w:pStyle w:val="TableParagraph"/>
              <w:jc w:val="left"/>
              <w:rPr>
                <w:sz w:val="12"/>
              </w:rPr>
            </w:pPr>
          </w:p>
        </w:tc>
        <w:tc>
          <w:tcPr>
            <w:tcW w:w="360" w:type="dxa"/>
            <w:tcBorders>
              <w:top w:val="single" w:sz="4" w:space="0" w:color="000000"/>
              <w:bottom w:val="single" w:sz="4" w:space="0" w:color="000000"/>
            </w:tcBorders>
          </w:tcPr>
          <w:p>
            <w:pPr>
              <w:pStyle w:val="TableParagraph"/>
              <w:jc w:val="left"/>
              <w:rPr>
                <w:sz w:val="12"/>
              </w:rPr>
            </w:pPr>
          </w:p>
        </w:tc>
        <w:tc>
          <w:tcPr>
            <w:tcW w:w="293" w:type="dxa"/>
            <w:tcBorders>
              <w:top w:val="single" w:sz="4" w:space="0" w:color="000000"/>
              <w:bottom w:val="single" w:sz="4" w:space="0" w:color="000000"/>
            </w:tcBorders>
          </w:tcPr>
          <w:p>
            <w:pPr>
              <w:pStyle w:val="TableParagraph"/>
              <w:jc w:val="left"/>
              <w:rPr>
                <w:sz w:val="12"/>
              </w:rPr>
            </w:pPr>
          </w:p>
        </w:tc>
        <w:tc>
          <w:tcPr>
            <w:tcW w:w="363" w:type="dxa"/>
            <w:tcBorders>
              <w:top w:val="single" w:sz="4" w:space="0" w:color="000000"/>
              <w:bottom w:val="single" w:sz="4" w:space="0" w:color="000000"/>
            </w:tcBorders>
          </w:tcPr>
          <w:p>
            <w:pPr>
              <w:pStyle w:val="TableParagraph"/>
              <w:jc w:val="left"/>
              <w:rPr>
                <w:sz w:val="12"/>
              </w:rPr>
            </w:pPr>
          </w:p>
        </w:tc>
        <w:tc>
          <w:tcPr>
            <w:tcW w:w="267" w:type="dxa"/>
            <w:tcBorders>
              <w:top w:val="single" w:sz="4" w:space="0" w:color="000000"/>
              <w:bottom w:val="single" w:sz="4" w:space="0" w:color="000000"/>
            </w:tcBorders>
          </w:tcPr>
          <w:p>
            <w:pPr>
              <w:pStyle w:val="TableParagraph"/>
              <w:jc w:val="left"/>
              <w:rPr>
                <w:sz w:val="12"/>
              </w:rPr>
            </w:pPr>
          </w:p>
        </w:tc>
        <w:tc>
          <w:tcPr>
            <w:tcW w:w="373" w:type="dxa"/>
            <w:tcBorders>
              <w:top w:val="single" w:sz="4" w:space="0" w:color="000000"/>
              <w:bottom w:val="single" w:sz="4" w:space="0" w:color="000000"/>
            </w:tcBorders>
          </w:tcPr>
          <w:p>
            <w:pPr>
              <w:pStyle w:val="TableParagraph"/>
              <w:jc w:val="left"/>
              <w:rPr>
                <w:sz w:val="12"/>
              </w:rPr>
            </w:pPr>
          </w:p>
        </w:tc>
        <w:tc>
          <w:tcPr>
            <w:tcW w:w="311" w:type="dxa"/>
            <w:tcBorders>
              <w:top w:val="single" w:sz="4" w:space="0" w:color="000000"/>
              <w:bottom w:val="single" w:sz="4" w:space="0" w:color="000000"/>
            </w:tcBorders>
          </w:tcPr>
          <w:p>
            <w:pPr>
              <w:pStyle w:val="TableParagraph"/>
              <w:jc w:val="left"/>
              <w:rPr>
                <w:sz w:val="12"/>
              </w:rPr>
            </w:pPr>
          </w:p>
        </w:tc>
        <w:tc>
          <w:tcPr>
            <w:tcW w:w="390" w:type="dxa"/>
            <w:tcBorders>
              <w:top w:val="single" w:sz="4" w:space="0" w:color="000000"/>
              <w:bottom w:val="single" w:sz="4" w:space="0" w:color="000000"/>
            </w:tcBorders>
          </w:tcPr>
          <w:p>
            <w:pPr>
              <w:pStyle w:val="TableParagraph"/>
              <w:jc w:val="left"/>
              <w:rPr>
                <w:sz w:val="12"/>
              </w:rPr>
            </w:pPr>
          </w:p>
        </w:tc>
        <w:tc>
          <w:tcPr>
            <w:tcW w:w="306" w:type="dxa"/>
            <w:tcBorders>
              <w:top w:val="single" w:sz="4" w:space="0" w:color="000000"/>
              <w:bottom w:val="single" w:sz="4" w:space="0" w:color="000000"/>
            </w:tcBorders>
          </w:tcPr>
          <w:p>
            <w:pPr>
              <w:pStyle w:val="TableParagraph"/>
              <w:jc w:val="left"/>
              <w:rPr>
                <w:sz w:val="12"/>
              </w:rPr>
            </w:pPr>
          </w:p>
        </w:tc>
        <w:tc>
          <w:tcPr>
            <w:tcW w:w="388" w:type="dxa"/>
            <w:tcBorders>
              <w:top w:val="single" w:sz="4" w:space="0" w:color="000000"/>
              <w:bottom w:val="single" w:sz="4" w:space="0" w:color="000000"/>
            </w:tcBorders>
          </w:tcPr>
          <w:p>
            <w:pPr>
              <w:pStyle w:val="TableParagraph"/>
              <w:jc w:val="left"/>
              <w:rPr>
                <w:sz w:val="12"/>
              </w:rPr>
            </w:pPr>
          </w:p>
        </w:tc>
        <w:tc>
          <w:tcPr>
            <w:tcW w:w="309" w:type="dxa"/>
            <w:tcBorders>
              <w:top w:val="single" w:sz="4" w:space="0" w:color="000000"/>
              <w:bottom w:val="single" w:sz="4" w:space="0" w:color="000000"/>
            </w:tcBorders>
          </w:tcPr>
          <w:p>
            <w:pPr>
              <w:pStyle w:val="TableParagraph"/>
              <w:jc w:val="left"/>
              <w:rPr>
                <w:sz w:val="12"/>
              </w:rPr>
            </w:pPr>
          </w:p>
        </w:tc>
        <w:tc>
          <w:tcPr>
            <w:tcW w:w="374" w:type="dxa"/>
            <w:tcBorders>
              <w:top w:val="single" w:sz="4" w:space="0" w:color="000000"/>
              <w:bottom w:val="single" w:sz="4" w:space="0" w:color="000000"/>
            </w:tcBorders>
          </w:tcPr>
          <w:p>
            <w:pPr>
              <w:pStyle w:val="TableParagraph"/>
              <w:jc w:val="left"/>
              <w:rPr>
                <w:sz w:val="12"/>
              </w:rPr>
            </w:pPr>
          </w:p>
        </w:tc>
      </w:tr>
      <w:tr>
        <w:trPr>
          <w:trHeight w:val="302" w:hRule="atLeast"/>
        </w:trPr>
        <w:tc>
          <w:tcPr>
            <w:tcW w:w="797" w:type="dxa"/>
            <w:tcBorders>
              <w:top w:val="single" w:sz="4" w:space="0" w:color="000000"/>
            </w:tcBorders>
          </w:tcPr>
          <w:p>
            <w:pPr>
              <w:pStyle w:val="TableParagraph"/>
              <w:spacing w:before="84"/>
              <w:ind w:left="24"/>
              <w:jc w:val="left"/>
              <w:rPr>
                <w:sz w:val="12"/>
              </w:rPr>
            </w:pPr>
            <w:r>
              <w:rPr>
                <w:sz w:val="12"/>
              </w:rPr>
              <w:t>2020</w:t>
            </w:r>
            <w:r>
              <w:rPr>
                <w:spacing w:val="2"/>
                <w:sz w:val="12"/>
              </w:rPr>
              <w:t> </w:t>
            </w:r>
            <w:r>
              <w:rPr>
                <w:spacing w:val="-2"/>
                <w:sz w:val="12"/>
              </w:rPr>
              <w:t>Approved</w:t>
            </w:r>
          </w:p>
        </w:tc>
        <w:tc>
          <w:tcPr>
            <w:tcW w:w="299" w:type="dxa"/>
            <w:tcBorders>
              <w:top w:val="single" w:sz="4" w:space="0" w:color="000000"/>
              <w:bottom w:val="single" w:sz="4" w:space="0" w:color="000000"/>
            </w:tcBorders>
          </w:tcPr>
          <w:p>
            <w:pPr>
              <w:pStyle w:val="TableParagraph"/>
              <w:spacing w:before="84"/>
              <w:ind w:left="15" w:right="9"/>
              <w:jc w:val="center"/>
              <w:rPr>
                <w:sz w:val="12"/>
              </w:rPr>
            </w:pPr>
            <w:r>
              <w:rPr>
                <w:spacing w:val="-5"/>
                <w:sz w:val="12"/>
              </w:rPr>
              <w:t>272</w:t>
            </w:r>
          </w:p>
        </w:tc>
        <w:tc>
          <w:tcPr>
            <w:tcW w:w="362" w:type="dxa"/>
            <w:tcBorders>
              <w:top w:val="single" w:sz="4" w:space="0" w:color="000000"/>
              <w:bottom w:val="single" w:sz="4" w:space="0" w:color="000000"/>
            </w:tcBorders>
          </w:tcPr>
          <w:p>
            <w:pPr>
              <w:pStyle w:val="TableParagraph"/>
              <w:spacing w:before="84"/>
              <w:ind w:left="15" w:right="3"/>
              <w:jc w:val="center"/>
              <w:rPr>
                <w:sz w:val="12"/>
              </w:rPr>
            </w:pPr>
            <w:r>
              <w:rPr>
                <w:spacing w:val="-2"/>
                <w:sz w:val="12"/>
              </w:rPr>
              <w:t>55.67</w:t>
            </w:r>
          </w:p>
        </w:tc>
        <w:tc>
          <w:tcPr>
            <w:tcW w:w="271" w:type="dxa"/>
            <w:tcBorders>
              <w:top w:val="single" w:sz="4" w:space="0" w:color="000000"/>
              <w:bottom w:val="single" w:sz="4" w:space="0" w:color="000000"/>
            </w:tcBorders>
          </w:tcPr>
          <w:p>
            <w:pPr>
              <w:pStyle w:val="TableParagraph"/>
              <w:spacing w:before="84"/>
              <w:ind w:left="10"/>
              <w:jc w:val="center"/>
              <w:rPr>
                <w:sz w:val="12"/>
              </w:rPr>
            </w:pPr>
            <w:r>
              <w:rPr>
                <w:spacing w:val="-5"/>
                <w:sz w:val="12"/>
              </w:rPr>
              <w:t>25</w:t>
            </w:r>
          </w:p>
        </w:tc>
        <w:tc>
          <w:tcPr>
            <w:tcW w:w="350" w:type="dxa"/>
            <w:tcBorders>
              <w:top w:val="single" w:sz="4" w:space="0" w:color="000000"/>
              <w:bottom w:val="single" w:sz="4" w:space="0" w:color="000000"/>
            </w:tcBorders>
          </w:tcPr>
          <w:p>
            <w:pPr>
              <w:pStyle w:val="TableParagraph"/>
              <w:spacing w:before="84"/>
              <w:ind w:left="71"/>
              <w:jc w:val="left"/>
              <w:rPr>
                <w:sz w:val="12"/>
              </w:rPr>
            </w:pPr>
            <w:r>
              <w:rPr>
                <w:spacing w:val="-4"/>
                <w:sz w:val="12"/>
              </w:rPr>
              <w:t>7.55</w:t>
            </w:r>
          </w:p>
        </w:tc>
        <w:tc>
          <w:tcPr>
            <w:tcW w:w="266" w:type="dxa"/>
            <w:tcBorders>
              <w:top w:val="single" w:sz="4" w:space="0" w:color="000000"/>
              <w:bottom w:val="single" w:sz="4" w:space="0" w:color="000000"/>
            </w:tcBorders>
          </w:tcPr>
          <w:p>
            <w:pPr>
              <w:pStyle w:val="TableParagraph"/>
              <w:spacing w:before="84"/>
              <w:ind w:right="63"/>
              <w:rPr>
                <w:sz w:val="12"/>
              </w:rPr>
            </w:pPr>
            <w:r>
              <w:rPr>
                <w:spacing w:val="-5"/>
                <w:sz w:val="12"/>
              </w:rPr>
              <w:t>50</w:t>
            </w:r>
          </w:p>
        </w:tc>
        <w:tc>
          <w:tcPr>
            <w:tcW w:w="348" w:type="dxa"/>
            <w:tcBorders>
              <w:top w:val="single" w:sz="4" w:space="0" w:color="000000"/>
              <w:bottom w:val="single" w:sz="4" w:space="0" w:color="000000"/>
            </w:tcBorders>
          </w:tcPr>
          <w:p>
            <w:pPr>
              <w:pStyle w:val="TableParagraph"/>
              <w:spacing w:before="84"/>
              <w:ind w:left="6"/>
              <w:jc w:val="center"/>
              <w:rPr>
                <w:sz w:val="12"/>
              </w:rPr>
            </w:pPr>
            <w:r>
              <w:rPr>
                <w:spacing w:val="-4"/>
                <w:sz w:val="12"/>
              </w:rPr>
              <w:t>8.13</w:t>
            </w:r>
          </w:p>
        </w:tc>
        <w:tc>
          <w:tcPr>
            <w:tcW w:w="269" w:type="dxa"/>
            <w:tcBorders>
              <w:top w:val="single" w:sz="4" w:space="0" w:color="000000"/>
              <w:bottom w:val="single" w:sz="4" w:space="0" w:color="000000"/>
            </w:tcBorders>
          </w:tcPr>
          <w:p>
            <w:pPr>
              <w:pStyle w:val="TableParagraph"/>
              <w:spacing w:before="84"/>
              <w:ind w:left="106"/>
              <w:jc w:val="left"/>
              <w:rPr>
                <w:sz w:val="12"/>
              </w:rPr>
            </w:pPr>
            <w:r>
              <w:rPr>
                <w:sz w:val="12"/>
              </w:rPr>
              <w:t>9</w:t>
            </w:r>
          </w:p>
        </w:tc>
        <w:tc>
          <w:tcPr>
            <w:tcW w:w="348" w:type="dxa"/>
            <w:tcBorders>
              <w:top w:val="single" w:sz="4" w:space="0" w:color="000000"/>
              <w:bottom w:val="single" w:sz="4" w:space="0" w:color="000000"/>
            </w:tcBorders>
          </w:tcPr>
          <w:p>
            <w:pPr>
              <w:pStyle w:val="TableParagraph"/>
              <w:spacing w:before="84"/>
              <w:ind w:left="11"/>
              <w:jc w:val="center"/>
              <w:rPr>
                <w:sz w:val="12"/>
              </w:rPr>
            </w:pPr>
            <w:r>
              <w:rPr>
                <w:spacing w:val="-4"/>
                <w:sz w:val="12"/>
              </w:rPr>
              <w:t>1.17</w:t>
            </w:r>
          </w:p>
        </w:tc>
        <w:tc>
          <w:tcPr>
            <w:tcW w:w="266" w:type="dxa"/>
            <w:tcBorders>
              <w:top w:val="single" w:sz="4" w:space="0" w:color="000000"/>
              <w:bottom w:val="single" w:sz="4" w:space="0" w:color="000000"/>
            </w:tcBorders>
          </w:tcPr>
          <w:p>
            <w:pPr>
              <w:pStyle w:val="TableParagraph"/>
              <w:spacing w:before="84"/>
              <w:ind w:left="9"/>
              <w:jc w:val="center"/>
              <w:rPr>
                <w:sz w:val="12"/>
              </w:rPr>
            </w:pPr>
            <w:r>
              <w:rPr>
                <w:spacing w:val="-5"/>
                <w:sz w:val="12"/>
              </w:rPr>
              <w:t>35</w:t>
            </w:r>
          </w:p>
        </w:tc>
        <w:tc>
          <w:tcPr>
            <w:tcW w:w="350" w:type="dxa"/>
            <w:tcBorders>
              <w:top w:val="single" w:sz="4" w:space="0" w:color="000000"/>
              <w:bottom w:val="single" w:sz="4" w:space="0" w:color="000000"/>
            </w:tcBorders>
          </w:tcPr>
          <w:p>
            <w:pPr>
              <w:pStyle w:val="TableParagraph"/>
              <w:spacing w:before="84"/>
              <w:ind w:left="10"/>
              <w:jc w:val="center"/>
              <w:rPr>
                <w:sz w:val="12"/>
              </w:rPr>
            </w:pPr>
            <w:r>
              <w:rPr>
                <w:spacing w:val="-2"/>
                <w:sz w:val="12"/>
              </w:rPr>
              <w:t>15.58</w:t>
            </w:r>
          </w:p>
        </w:tc>
        <w:tc>
          <w:tcPr>
            <w:tcW w:w="267" w:type="dxa"/>
            <w:tcBorders>
              <w:top w:val="single" w:sz="4" w:space="0" w:color="000000"/>
              <w:bottom w:val="single" w:sz="4" w:space="0" w:color="000000"/>
            </w:tcBorders>
          </w:tcPr>
          <w:p>
            <w:pPr>
              <w:pStyle w:val="TableParagraph"/>
              <w:spacing w:before="84"/>
              <w:ind w:left="8"/>
              <w:jc w:val="center"/>
              <w:rPr>
                <w:sz w:val="12"/>
              </w:rPr>
            </w:pPr>
            <w:r>
              <w:rPr>
                <w:w w:val="99"/>
                <w:sz w:val="12"/>
              </w:rPr>
              <w:t>-</w:t>
            </w:r>
          </w:p>
        </w:tc>
        <w:tc>
          <w:tcPr>
            <w:tcW w:w="348" w:type="dxa"/>
            <w:tcBorders>
              <w:top w:val="single" w:sz="4" w:space="0" w:color="000000"/>
              <w:bottom w:val="single" w:sz="4" w:space="0" w:color="000000"/>
            </w:tcBorders>
          </w:tcPr>
          <w:p>
            <w:pPr>
              <w:pStyle w:val="TableParagraph"/>
              <w:spacing w:before="84"/>
              <w:ind w:right="61"/>
              <w:rPr>
                <w:sz w:val="12"/>
              </w:rPr>
            </w:pPr>
            <w:r>
              <w:rPr>
                <w:spacing w:val="-4"/>
                <w:sz w:val="12"/>
              </w:rPr>
              <w:t>0.04</w:t>
            </w:r>
          </w:p>
        </w:tc>
        <w:tc>
          <w:tcPr>
            <w:tcW w:w="269" w:type="dxa"/>
            <w:tcBorders>
              <w:top w:val="single" w:sz="4" w:space="0" w:color="000000"/>
              <w:bottom w:val="single" w:sz="4" w:space="0" w:color="000000"/>
            </w:tcBorders>
          </w:tcPr>
          <w:p>
            <w:pPr>
              <w:pStyle w:val="TableParagraph"/>
              <w:spacing w:before="84"/>
              <w:ind w:left="78"/>
              <w:jc w:val="left"/>
              <w:rPr>
                <w:sz w:val="12"/>
              </w:rPr>
            </w:pPr>
            <w:r>
              <w:rPr>
                <w:spacing w:val="-5"/>
                <w:sz w:val="12"/>
              </w:rPr>
              <w:t>19</w:t>
            </w:r>
          </w:p>
        </w:tc>
        <w:tc>
          <w:tcPr>
            <w:tcW w:w="351" w:type="dxa"/>
            <w:tcBorders>
              <w:top w:val="single" w:sz="4" w:space="0" w:color="000000"/>
              <w:bottom w:val="single" w:sz="4" w:space="0" w:color="000000"/>
            </w:tcBorders>
          </w:tcPr>
          <w:p>
            <w:pPr>
              <w:pStyle w:val="TableParagraph"/>
              <w:spacing w:before="84"/>
              <w:ind w:left="9"/>
              <w:jc w:val="center"/>
              <w:rPr>
                <w:sz w:val="12"/>
              </w:rPr>
            </w:pPr>
            <w:r>
              <w:rPr>
                <w:spacing w:val="-2"/>
                <w:sz w:val="12"/>
              </w:rPr>
              <w:t>11.16</w:t>
            </w:r>
          </w:p>
        </w:tc>
        <w:tc>
          <w:tcPr>
            <w:tcW w:w="269" w:type="dxa"/>
            <w:tcBorders>
              <w:top w:val="single" w:sz="4" w:space="0" w:color="000000"/>
              <w:bottom w:val="single" w:sz="4" w:space="0" w:color="000000"/>
            </w:tcBorders>
          </w:tcPr>
          <w:p>
            <w:pPr>
              <w:pStyle w:val="TableParagraph"/>
              <w:spacing w:before="84"/>
              <w:ind w:right="65"/>
              <w:rPr>
                <w:sz w:val="12"/>
              </w:rPr>
            </w:pPr>
            <w:r>
              <w:rPr>
                <w:spacing w:val="-5"/>
                <w:sz w:val="12"/>
              </w:rPr>
              <w:t>39</w:t>
            </w:r>
          </w:p>
        </w:tc>
        <w:tc>
          <w:tcPr>
            <w:tcW w:w="348" w:type="dxa"/>
            <w:tcBorders>
              <w:top w:val="single" w:sz="4" w:space="0" w:color="000000"/>
              <w:bottom w:val="single" w:sz="4" w:space="0" w:color="000000"/>
            </w:tcBorders>
          </w:tcPr>
          <w:p>
            <w:pPr>
              <w:pStyle w:val="TableParagraph"/>
              <w:spacing w:before="84"/>
              <w:ind w:left="44"/>
              <w:jc w:val="left"/>
              <w:rPr>
                <w:sz w:val="12"/>
              </w:rPr>
            </w:pPr>
            <w:r>
              <w:rPr>
                <w:spacing w:val="-2"/>
                <w:sz w:val="12"/>
              </w:rPr>
              <w:t>12.73</w:t>
            </w:r>
          </w:p>
        </w:tc>
        <w:tc>
          <w:tcPr>
            <w:tcW w:w="269" w:type="dxa"/>
            <w:tcBorders>
              <w:top w:val="single" w:sz="4" w:space="0" w:color="000000"/>
              <w:bottom w:val="single" w:sz="4" w:space="0" w:color="000000"/>
            </w:tcBorders>
          </w:tcPr>
          <w:p>
            <w:pPr>
              <w:pStyle w:val="TableParagraph"/>
              <w:spacing w:before="84"/>
              <w:ind w:left="7"/>
              <w:jc w:val="center"/>
              <w:rPr>
                <w:sz w:val="12"/>
              </w:rPr>
            </w:pPr>
            <w:r>
              <w:rPr>
                <w:spacing w:val="-5"/>
                <w:sz w:val="12"/>
              </w:rPr>
              <w:t>16</w:t>
            </w:r>
          </w:p>
        </w:tc>
        <w:tc>
          <w:tcPr>
            <w:tcW w:w="351" w:type="dxa"/>
            <w:tcBorders>
              <w:top w:val="single" w:sz="4" w:space="0" w:color="000000"/>
              <w:bottom w:val="single" w:sz="4" w:space="0" w:color="000000"/>
            </w:tcBorders>
          </w:tcPr>
          <w:p>
            <w:pPr>
              <w:pStyle w:val="TableParagraph"/>
              <w:spacing w:before="84"/>
              <w:ind w:left="13"/>
              <w:jc w:val="center"/>
              <w:rPr>
                <w:sz w:val="12"/>
              </w:rPr>
            </w:pPr>
            <w:r>
              <w:rPr>
                <w:spacing w:val="-2"/>
                <w:sz w:val="12"/>
              </w:rPr>
              <w:t>16.11</w:t>
            </w:r>
          </w:p>
        </w:tc>
        <w:tc>
          <w:tcPr>
            <w:tcW w:w="267" w:type="dxa"/>
            <w:tcBorders>
              <w:top w:val="single" w:sz="4" w:space="0" w:color="000000"/>
              <w:bottom w:val="single" w:sz="4" w:space="0" w:color="000000"/>
            </w:tcBorders>
          </w:tcPr>
          <w:p>
            <w:pPr>
              <w:pStyle w:val="TableParagraph"/>
              <w:spacing w:before="84"/>
              <w:ind w:right="66"/>
              <w:rPr>
                <w:sz w:val="12"/>
              </w:rPr>
            </w:pPr>
            <w:r>
              <w:rPr>
                <w:spacing w:val="-5"/>
                <w:sz w:val="12"/>
              </w:rPr>
              <w:t>22</w:t>
            </w:r>
          </w:p>
        </w:tc>
        <w:tc>
          <w:tcPr>
            <w:tcW w:w="351" w:type="dxa"/>
            <w:tcBorders>
              <w:top w:val="single" w:sz="4" w:space="0" w:color="000000"/>
              <w:bottom w:val="single" w:sz="4" w:space="0" w:color="000000"/>
            </w:tcBorders>
          </w:tcPr>
          <w:p>
            <w:pPr>
              <w:pStyle w:val="TableParagraph"/>
              <w:spacing w:before="84"/>
              <w:ind w:left="6"/>
              <w:jc w:val="center"/>
              <w:rPr>
                <w:sz w:val="12"/>
              </w:rPr>
            </w:pPr>
            <w:r>
              <w:rPr>
                <w:spacing w:val="-2"/>
                <w:sz w:val="12"/>
              </w:rPr>
              <w:t>18.23</w:t>
            </w:r>
          </w:p>
        </w:tc>
        <w:tc>
          <w:tcPr>
            <w:tcW w:w="269" w:type="dxa"/>
            <w:tcBorders>
              <w:top w:val="single" w:sz="4" w:space="0" w:color="000000"/>
              <w:bottom w:val="single" w:sz="4" w:space="0" w:color="000000"/>
            </w:tcBorders>
          </w:tcPr>
          <w:p>
            <w:pPr>
              <w:pStyle w:val="TableParagraph"/>
              <w:spacing w:before="84"/>
              <w:ind w:left="76"/>
              <w:jc w:val="left"/>
              <w:rPr>
                <w:sz w:val="12"/>
              </w:rPr>
            </w:pPr>
            <w:r>
              <w:rPr>
                <w:spacing w:val="-5"/>
                <w:sz w:val="12"/>
              </w:rPr>
              <w:t>18</w:t>
            </w:r>
          </w:p>
        </w:tc>
        <w:tc>
          <w:tcPr>
            <w:tcW w:w="351" w:type="dxa"/>
            <w:tcBorders>
              <w:top w:val="single" w:sz="4" w:space="0" w:color="000000"/>
              <w:bottom w:val="single" w:sz="4" w:space="0" w:color="000000"/>
            </w:tcBorders>
          </w:tcPr>
          <w:p>
            <w:pPr>
              <w:pStyle w:val="TableParagraph"/>
              <w:spacing w:before="84"/>
              <w:ind w:left="5"/>
              <w:jc w:val="center"/>
              <w:rPr>
                <w:sz w:val="12"/>
              </w:rPr>
            </w:pPr>
            <w:r>
              <w:rPr>
                <w:spacing w:val="-4"/>
                <w:sz w:val="12"/>
              </w:rPr>
              <w:t>8.23</w:t>
            </w:r>
          </w:p>
        </w:tc>
        <w:tc>
          <w:tcPr>
            <w:tcW w:w="269" w:type="dxa"/>
            <w:tcBorders>
              <w:top w:val="single" w:sz="4" w:space="0" w:color="000000"/>
              <w:bottom w:val="single" w:sz="4" w:space="0" w:color="000000"/>
            </w:tcBorders>
          </w:tcPr>
          <w:p>
            <w:pPr>
              <w:pStyle w:val="TableParagraph"/>
              <w:spacing w:before="84"/>
              <w:jc w:val="center"/>
              <w:rPr>
                <w:sz w:val="12"/>
              </w:rPr>
            </w:pPr>
            <w:r>
              <w:rPr>
                <w:w w:val="99"/>
                <w:sz w:val="12"/>
              </w:rPr>
              <w:t>-</w:t>
            </w:r>
          </w:p>
        </w:tc>
        <w:tc>
          <w:tcPr>
            <w:tcW w:w="360" w:type="dxa"/>
            <w:tcBorders>
              <w:top w:val="single" w:sz="4" w:space="0" w:color="000000"/>
              <w:bottom w:val="single" w:sz="4" w:space="0" w:color="000000"/>
            </w:tcBorders>
          </w:tcPr>
          <w:p>
            <w:pPr>
              <w:pStyle w:val="TableParagraph"/>
              <w:spacing w:before="84"/>
              <w:ind w:right="2"/>
              <w:jc w:val="center"/>
              <w:rPr>
                <w:sz w:val="12"/>
              </w:rPr>
            </w:pPr>
            <w:r>
              <w:rPr>
                <w:w w:val="99"/>
                <w:sz w:val="12"/>
              </w:rPr>
              <w:t>-</w:t>
            </w:r>
          </w:p>
        </w:tc>
        <w:tc>
          <w:tcPr>
            <w:tcW w:w="293" w:type="dxa"/>
            <w:tcBorders>
              <w:top w:val="single" w:sz="4" w:space="0" w:color="000000"/>
              <w:bottom w:val="single" w:sz="4" w:space="0" w:color="000000"/>
            </w:tcBorders>
          </w:tcPr>
          <w:p>
            <w:pPr>
              <w:pStyle w:val="TableParagraph"/>
              <w:spacing w:before="84"/>
              <w:ind w:right="3"/>
              <w:jc w:val="center"/>
              <w:rPr>
                <w:sz w:val="12"/>
              </w:rPr>
            </w:pPr>
            <w:r>
              <w:rPr>
                <w:w w:val="99"/>
                <w:sz w:val="12"/>
              </w:rPr>
              <w:t>-</w:t>
            </w:r>
          </w:p>
        </w:tc>
        <w:tc>
          <w:tcPr>
            <w:tcW w:w="363" w:type="dxa"/>
            <w:tcBorders>
              <w:top w:val="single" w:sz="4" w:space="0" w:color="000000"/>
              <w:bottom w:val="single" w:sz="4" w:space="0" w:color="000000"/>
            </w:tcBorders>
          </w:tcPr>
          <w:p>
            <w:pPr>
              <w:pStyle w:val="TableParagraph"/>
              <w:spacing w:before="84"/>
              <w:ind w:left="21"/>
              <w:jc w:val="center"/>
              <w:rPr>
                <w:sz w:val="12"/>
              </w:rPr>
            </w:pPr>
            <w:r>
              <w:rPr>
                <w:w w:val="99"/>
                <w:sz w:val="12"/>
              </w:rPr>
              <w:t>-</w:t>
            </w:r>
          </w:p>
        </w:tc>
        <w:tc>
          <w:tcPr>
            <w:tcW w:w="267" w:type="dxa"/>
            <w:tcBorders>
              <w:top w:val="single" w:sz="4" w:space="0" w:color="000000"/>
              <w:bottom w:val="single" w:sz="4" w:space="0" w:color="000000"/>
            </w:tcBorders>
          </w:tcPr>
          <w:p>
            <w:pPr>
              <w:pStyle w:val="TableParagraph"/>
              <w:spacing w:before="84"/>
              <w:ind w:right="1"/>
              <w:jc w:val="center"/>
              <w:rPr>
                <w:sz w:val="12"/>
              </w:rPr>
            </w:pPr>
            <w:r>
              <w:rPr>
                <w:w w:val="99"/>
                <w:sz w:val="12"/>
              </w:rPr>
              <w:t>-</w:t>
            </w:r>
          </w:p>
        </w:tc>
        <w:tc>
          <w:tcPr>
            <w:tcW w:w="373" w:type="dxa"/>
            <w:tcBorders>
              <w:top w:val="single" w:sz="4" w:space="0" w:color="000000"/>
              <w:bottom w:val="single" w:sz="4" w:space="0" w:color="000000"/>
            </w:tcBorders>
          </w:tcPr>
          <w:p>
            <w:pPr>
              <w:pStyle w:val="TableParagraph"/>
              <w:spacing w:before="84"/>
              <w:ind w:right="17"/>
              <w:jc w:val="center"/>
              <w:rPr>
                <w:sz w:val="12"/>
              </w:rPr>
            </w:pPr>
            <w:r>
              <w:rPr>
                <w:w w:val="99"/>
                <w:sz w:val="12"/>
              </w:rPr>
              <w:t>-</w:t>
            </w:r>
          </w:p>
        </w:tc>
        <w:tc>
          <w:tcPr>
            <w:tcW w:w="311" w:type="dxa"/>
            <w:tcBorders>
              <w:top w:val="single" w:sz="4" w:space="0" w:color="000000"/>
              <w:bottom w:val="single" w:sz="4" w:space="0" w:color="000000"/>
            </w:tcBorders>
          </w:tcPr>
          <w:p>
            <w:pPr>
              <w:pStyle w:val="TableParagraph"/>
              <w:spacing w:before="84"/>
              <w:ind w:right="1"/>
              <w:jc w:val="center"/>
              <w:rPr>
                <w:sz w:val="12"/>
              </w:rPr>
            </w:pPr>
            <w:r>
              <w:rPr>
                <w:w w:val="99"/>
                <w:sz w:val="12"/>
              </w:rPr>
              <w:t>-</w:t>
            </w:r>
          </w:p>
        </w:tc>
        <w:tc>
          <w:tcPr>
            <w:tcW w:w="390" w:type="dxa"/>
            <w:tcBorders>
              <w:top w:val="single" w:sz="4" w:space="0" w:color="000000"/>
              <w:bottom w:val="single" w:sz="4" w:space="0" w:color="000000"/>
            </w:tcBorders>
          </w:tcPr>
          <w:p>
            <w:pPr>
              <w:pStyle w:val="TableParagraph"/>
              <w:spacing w:before="84"/>
              <w:jc w:val="center"/>
              <w:rPr>
                <w:sz w:val="12"/>
              </w:rPr>
            </w:pPr>
            <w:r>
              <w:rPr>
                <w:w w:val="99"/>
                <w:sz w:val="12"/>
              </w:rPr>
              <w:t>-</w:t>
            </w:r>
          </w:p>
        </w:tc>
        <w:tc>
          <w:tcPr>
            <w:tcW w:w="306" w:type="dxa"/>
            <w:tcBorders>
              <w:top w:val="single" w:sz="4" w:space="0" w:color="000000"/>
              <w:bottom w:val="single" w:sz="4" w:space="0" w:color="000000"/>
            </w:tcBorders>
          </w:tcPr>
          <w:p>
            <w:pPr>
              <w:pStyle w:val="TableParagraph"/>
              <w:spacing w:before="84"/>
              <w:ind w:right="4"/>
              <w:jc w:val="center"/>
              <w:rPr>
                <w:sz w:val="12"/>
              </w:rPr>
            </w:pPr>
            <w:r>
              <w:rPr>
                <w:w w:val="99"/>
                <w:sz w:val="12"/>
              </w:rPr>
              <w:t>-</w:t>
            </w:r>
          </w:p>
        </w:tc>
        <w:tc>
          <w:tcPr>
            <w:tcW w:w="388" w:type="dxa"/>
            <w:tcBorders>
              <w:top w:val="single" w:sz="4" w:space="0" w:color="000000"/>
              <w:bottom w:val="single" w:sz="4" w:space="0" w:color="000000"/>
            </w:tcBorders>
          </w:tcPr>
          <w:p>
            <w:pPr>
              <w:pStyle w:val="TableParagraph"/>
              <w:spacing w:before="84"/>
              <w:ind w:right="7"/>
              <w:jc w:val="center"/>
              <w:rPr>
                <w:sz w:val="12"/>
              </w:rPr>
            </w:pPr>
            <w:r>
              <w:rPr>
                <w:w w:val="99"/>
                <w:sz w:val="12"/>
              </w:rPr>
              <w:t>-</w:t>
            </w:r>
          </w:p>
        </w:tc>
        <w:tc>
          <w:tcPr>
            <w:tcW w:w="309" w:type="dxa"/>
            <w:tcBorders>
              <w:top w:val="single" w:sz="4" w:space="0" w:color="000000"/>
              <w:bottom w:val="single" w:sz="4" w:space="0" w:color="000000"/>
            </w:tcBorders>
          </w:tcPr>
          <w:p>
            <w:pPr>
              <w:pStyle w:val="TableParagraph"/>
              <w:spacing w:before="84"/>
              <w:ind w:right="12"/>
              <w:jc w:val="center"/>
              <w:rPr>
                <w:sz w:val="12"/>
              </w:rPr>
            </w:pPr>
            <w:r>
              <w:rPr>
                <w:w w:val="99"/>
                <w:sz w:val="12"/>
              </w:rPr>
              <w:t>-</w:t>
            </w:r>
          </w:p>
        </w:tc>
        <w:tc>
          <w:tcPr>
            <w:tcW w:w="374" w:type="dxa"/>
            <w:tcBorders>
              <w:top w:val="single" w:sz="4" w:space="0" w:color="000000"/>
              <w:bottom w:val="single" w:sz="4" w:space="0" w:color="000000"/>
            </w:tcBorders>
          </w:tcPr>
          <w:p>
            <w:pPr>
              <w:pStyle w:val="TableParagraph"/>
              <w:spacing w:before="84"/>
              <w:ind w:right="4"/>
              <w:jc w:val="center"/>
              <w:rPr>
                <w:sz w:val="12"/>
              </w:rPr>
            </w:pPr>
            <w:r>
              <w:rPr>
                <w:w w:val="99"/>
                <w:sz w:val="12"/>
              </w:rPr>
              <w:t>-</w:t>
            </w:r>
          </w:p>
        </w:tc>
      </w:tr>
      <w:tr>
        <w:trPr>
          <w:trHeight w:val="297" w:hRule="atLeast"/>
        </w:trPr>
        <w:tc>
          <w:tcPr>
            <w:tcW w:w="797" w:type="dxa"/>
            <w:tcBorders>
              <w:bottom w:val="single" w:sz="4" w:space="0" w:color="000000"/>
            </w:tcBorders>
          </w:tcPr>
          <w:p>
            <w:pPr>
              <w:pStyle w:val="TableParagraph"/>
              <w:jc w:val="left"/>
              <w:rPr>
                <w:sz w:val="12"/>
              </w:rPr>
            </w:pPr>
          </w:p>
        </w:tc>
        <w:tc>
          <w:tcPr>
            <w:tcW w:w="661" w:type="dxa"/>
            <w:gridSpan w:val="2"/>
            <w:tcBorders>
              <w:top w:val="single" w:sz="4" w:space="0" w:color="000000"/>
              <w:bottom w:val="single" w:sz="4" w:space="0" w:color="000000"/>
            </w:tcBorders>
          </w:tcPr>
          <w:p>
            <w:pPr>
              <w:pStyle w:val="TableParagraph"/>
              <w:spacing w:before="79"/>
              <w:ind w:left="91"/>
              <w:jc w:val="left"/>
              <w:rPr>
                <w:sz w:val="12"/>
              </w:rPr>
            </w:pPr>
            <w:r>
              <w:rPr>
                <w:sz w:val="12"/>
              </w:rPr>
              <w:t>(21</w:t>
            </w:r>
            <w:r>
              <w:rPr>
                <w:spacing w:val="-1"/>
                <w:sz w:val="12"/>
              </w:rPr>
              <w:t> </w:t>
            </w:r>
            <w:r>
              <w:rPr>
                <w:spacing w:val="-2"/>
                <w:sz w:val="12"/>
              </w:rPr>
              <w:t>cases)</w:t>
            </w:r>
          </w:p>
        </w:tc>
        <w:tc>
          <w:tcPr>
            <w:tcW w:w="621" w:type="dxa"/>
            <w:gridSpan w:val="2"/>
            <w:tcBorders>
              <w:top w:val="single" w:sz="4" w:space="0" w:color="000000"/>
              <w:bottom w:val="single" w:sz="4" w:space="0" w:color="000000"/>
            </w:tcBorders>
          </w:tcPr>
          <w:p>
            <w:pPr>
              <w:pStyle w:val="TableParagraph"/>
              <w:spacing w:before="79"/>
              <w:ind w:left="102"/>
              <w:jc w:val="left"/>
              <w:rPr>
                <w:sz w:val="12"/>
              </w:rPr>
            </w:pPr>
            <w:r>
              <w:rPr>
                <w:sz w:val="12"/>
              </w:rPr>
              <w:t>(2</w:t>
            </w:r>
            <w:r>
              <w:rPr>
                <w:spacing w:val="-3"/>
                <w:sz w:val="12"/>
              </w:rPr>
              <w:t> </w:t>
            </w:r>
            <w:r>
              <w:rPr>
                <w:spacing w:val="-2"/>
                <w:sz w:val="12"/>
              </w:rPr>
              <w:t>cases)</w:t>
            </w:r>
          </w:p>
        </w:tc>
        <w:tc>
          <w:tcPr>
            <w:tcW w:w="614" w:type="dxa"/>
            <w:gridSpan w:val="2"/>
            <w:tcBorders>
              <w:top w:val="single" w:sz="4" w:space="0" w:color="000000"/>
              <w:bottom w:val="single" w:sz="4" w:space="0" w:color="000000"/>
            </w:tcBorders>
          </w:tcPr>
          <w:p>
            <w:pPr>
              <w:pStyle w:val="TableParagraph"/>
              <w:spacing w:before="79"/>
              <w:ind w:left="101"/>
              <w:jc w:val="left"/>
              <w:rPr>
                <w:sz w:val="12"/>
              </w:rPr>
            </w:pPr>
            <w:r>
              <w:rPr>
                <w:sz w:val="12"/>
              </w:rPr>
              <w:t>(2</w:t>
            </w:r>
            <w:r>
              <w:rPr>
                <w:spacing w:val="-3"/>
                <w:sz w:val="12"/>
              </w:rPr>
              <w:t> </w:t>
            </w:r>
            <w:r>
              <w:rPr>
                <w:spacing w:val="-2"/>
                <w:sz w:val="12"/>
              </w:rPr>
              <w:t>cases)</w:t>
            </w:r>
          </w:p>
        </w:tc>
        <w:tc>
          <w:tcPr>
            <w:tcW w:w="617" w:type="dxa"/>
            <w:gridSpan w:val="2"/>
            <w:tcBorders>
              <w:top w:val="single" w:sz="4" w:space="0" w:color="000000"/>
              <w:bottom w:val="single" w:sz="4" w:space="0" w:color="000000"/>
            </w:tcBorders>
          </w:tcPr>
          <w:p>
            <w:pPr>
              <w:pStyle w:val="TableParagraph"/>
              <w:spacing w:before="79"/>
              <w:ind w:left="101"/>
              <w:jc w:val="left"/>
              <w:rPr>
                <w:sz w:val="12"/>
              </w:rPr>
            </w:pPr>
            <w:r>
              <w:rPr>
                <w:sz w:val="12"/>
              </w:rPr>
              <w:t>(3</w:t>
            </w:r>
            <w:r>
              <w:rPr>
                <w:spacing w:val="-3"/>
                <w:sz w:val="12"/>
              </w:rPr>
              <w:t> </w:t>
            </w:r>
            <w:r>
              <w:rPr>
                <w:spacing w:val="-2"/>
                <w:sz w:val="12"/>
              </w:rPr>
              <w:t>cases)</w:t>
            </w:r>
          </w:p>
        </w:tc>
        <w:tc>
          <w:tcPr>
            <w:tcW w:w="616" w:type="dxa"/>
            <w:gridSpan w:val="2"/>
            <w:tcBorders>
              <w:top w:val="single" w:sz="4" w:space="0" w:color="000000"/>
              <w:bottom w:val="single" w:sz="4" w:space="0" w:color="000000"/>
            </w:tcBorders>
          </w:tcPr>
          <w:p>
            <w:pPr>
              <w:pStyle w:val="TableParagraph"/>
              <w:spacing w:before="79"/>
              <w:ind w:left="99"/>
              <w:jc w:val="left"/>
              <w:rPr>
                <w:sz w:val="12"/>
              </w:rPr>
            </w:pPr>
            <w:r>
              <w:rPr>
                <w:sz w:val="12"/>
              </w:rPr>
              <w:t>(3</w:t>
            </w:r>
            <w:r>
              <w:rPr>
                <w:spacing w:val="-3"/>
                <w:sz w:val="12"/>
              </w:rPr>
              <w:t> </w:t>
            </w:r>
            <w:r>
              <w:rPr>
                <w:spacing w:val="-2"/>
                <w:sz w:val="12"/>
              </w:rPr>
              <w:t>cases)</w:t>
            </w:r>
          </w:p>
        </w:tc>
        <w:tc>
          <w:tcPr>
            <w:tcW w:w="615" w:type="dxa"/>
            <w:gridSpan w:val="2"/>
            <w:tcBorders>
              <w:top w:val="single" w:sz="4" w:space="0" w:color="000000"/>
              <w:bottom w:val="single" w:sz="4" w:space="0" w:color="000000"/>
            </w:tcBorders>
          </w:tcPr>
          <w:p>
            <w:pPr>
              <w:pStyle w:val="TableParagraph"/>
              <w:spacing w:before="79"/>
              <w:ind w:left="103"/>
              <w:jc w:val="left"/>
              <w:rPr>
                <w:sz w:val="12"/>
              </w:rPr>
            </w:pPr>
            <w:r>
              <w:rPr>
                <w:sz w:val="12"/>
              </w:rPr>
              <w:t>(2</w:t>
            </w:r>
            <w:r>
              <w:rPr>
                <w:spacing w:val="-3"/>
                <w:sz w:val="12"/>
              </w:rPr>
              <w:t> </w:t>
            </w:r>
            <w:r>
              <w:rPr>
                <w:spacing w:val="-2"/>
                <w:sz w:val="12"/>
              </w:rPr>
              <w:t>cases)</w:t>
            </w:r>
          </w:p>
        </w:tc>
        <w:tc>
          <w:tcPr>
            <w:tcW w:w="620" w:type="dxa"/>
            <w:gridSpan w:val="2"/>
            <w:tcBorders>
              <w:top w:val="single" w:sz="4" w:space="0" w:color="000000"/>
              <w:bottom w:val="single" w:sz="4" w:space="0" w:color="000000"/>
            </w:tcBorders>
          </w:tcPr>
          <w:p>
            <w:pPr>
              <w:pStyle w:val="TableParagraph"/>
              <w:spacing w:before="79"/>
              <w:ind w:left="102"/>
              <w:jc w:val="left"/>
              <w:rPr>
                <w:sz w:val="12"/>
              </w:rPr>
            </w:pPr>
            <w:r>
              <w:rPr>
                <w:sz w:val="12"/>
              </w:rPr>
              <w:t>(3</w:t>
            </w:r>
            <w:r>
              <w:rPr>
                <w:spacing w:val="-3"/>
                <w:sz w:val="12"/>
              </w:rPr>
              <w:t> </w:t>
            </w:r>
            <w:r>
              <w:rPr>
                <w:spacing w:val="-2"/>
                <w:sz w:val="12"/>
              </w:rPr>
              <w:t>cases)</w:t>
            </w:r>
          </w:p>
        </w:tc>
        <w:tc>
          <w:tcPr>
            <w:tcW w:w="617" w:type="dxa"/>
            <w:gridSpan w:val="2"/>
            <w:tcBorders>
              <w:top w:val="single" w:sz="4" w:space="0" w:color="000000"/>
              <w:bottom w:val="single" w:sz="4" w:space="0" w:color="000000"/>
            </w:tcBorders>
          </w:tcPr>
          <w:p>
            <w:pPr>
              <w:pStyle w:val="TableParagraph"/>
              <w:spacing w:before="79"/>
              <w:ind w:left="102"/>
              <w:jc w:val="left"/>
              <w:rPr>
                <w:sz w:val="12"/>
              </w:rPr>
            </w:pPr>
            <w:r>
              <w:rPr>
                <w:sz w:val="12"/>
              </w:rPr>
              <w:t>(2</w:t>
            </w:r>
            <w:r>
              <w:rPr>
                <w:spacing w:val="-3"/>
                <w:sz w:val="12"/>
              </w:rPr>
              <w:t> </w:t>
            </w:r>
            <w:r>
              <w:rPr>
                <w:spacing w:val="-2"/>
                <w:sz w:val="12"/>
              </w:rPr>
              <w:t>cases)</w:t>
            </w:r>
          </w:p>
        </w:tc>
        <w:tc>
          <w:tcPr>
            <w:tcW w:w="620" w:type="dxa"/>
            <w:gridSpan w:val="2"/>
            <w:tcBorders>
              <w:top w:val="single" w:sz="4" w:space="0" w:color="000000"/>
              <w:bottom w:val="single" w:sz="4" w:space="0" w:color="000000"/>
            </w:tcBorders>
          </w:tcPr>
          <w:p>
            <w:pPr>
              <w:pStyle w:val="TableParagraph"/>
              <w:spacing w:before="79"/>
              <w:ind w:left="99"/>
              <w:jc w:val="left"/>
              <w:rPr>
                <w:sz w:val="12"/>
              </w:rPr>
            </w:pPr>
            <w:r>
              <w:rPr>
                <w:sz w:val="12"/>
              </w:rPr>
              <w:t>(2</w:t>
            </w:r>
            <w:r>
              <w:rPr>
                <w:spacing w:val="-3"/>
                <w:sz w:val="12"/>
              </w:rPr>
              <w:t> </w:t>
            </w:r>
            <w:r>
              <w:rPr>
                <w:spacing w:val="-2"/>
                <w:sz w:val="12"/>
              </w:rPr>
              <w:t>cases)</w:t>
            </w:r>
          </w:p>
        </w:tc>
        <w:tc>
          <w:tcPr>
            <w:tcW w:w="618" w:type="dxa"/>
            <w:gridSpan w:val="2"/>
            <w:tcBorders>
              <w:top w:val="single" w:sz="4" w:space="0" w:color="000000"/>
              <w:bottom w:val="single" w:sz="4" w:space="0" w:color="000000"/>
            </w:tcBorders>
          </w:tcPr>
          <w:p>
            <w:pPr>
              <w:pStyle w:val="TableParagraph"/>
              <w:spacing w:before="79"/>
              <w:ind w:left="123"/>
              <w:jc w:val="left"/>
              <w:rPr>
                <w:sz w:val="12"/>
              </w:rPr>
            </w:pPr>
            <w:r>
              <w:rPr>
                <w:sz w:val="12"/>
              </w:rPr>
              <w:t>(1</w:t>
            </w:r>
            <w:r>
              <w:rPr>
                <w:spacing w:val="-3"/>
                <w:sz w:val="12"/>
              </w:rPr>
              <w:t> </w:t>
            </w:r>
            <w:r>
              <w:rPr>
                <w:spacing w:val="-2"/>
                <w:sz w:val="12"/>
              </w:rPr>
              <w:t>case)</w:t>
            </w:r>
          </w:p>
        </w:tc>
        <w:tc>
          <w:tcPr>
            <w:tcW w:w="620" w:type="dxa"/>
            <w:gridSpan w:val="2"/>
            <w:tcBorders>
              <w:top w:val="single" w:sz="4" w:space="0" w:color="000000"/>
              <w:bottom w:val="single" w:sz="4" w:space="0" w:color="000000"/>
            </w:tcBorders>
          </w:tcPr>
          <w:p>
            <w:pPr>
              <w:pStyle w:val="TableParagraph"/>
              <w:spacing w:before="79"/>
              <w:ind w:left="124"/>
              <w:jc w:val="left"/>
              <w:rPr>
                <w:sz w:val="12"/>
              </w:rPr>
            </w:pPr>
            <w:r>
              <w:rPr>
                <w:sz w:val="12"/>
              </w:rPr>
              <w:t>(1</w:t>
            </w:r>
            <w:r>
              <w:rPr>
                <w:spacing w:val="-3"/>
                <w:sz w:val="12"/>
              </w:rPr>
              <w:t> </w:t>
            </w:r>
            <w:r>
              <w:rPr>
                <w:spacing w:val="-2"/>
                <w:sz w:val="12"/>
              </w:rPr>
              <w:t>case)</w:t>
            </w:r>
          </w:p>
        </w:tc>
        <w:tc>
          <w:tcPr>
            <w:tcW w:w="269" w:type="dxa"/>
            <w:tcBorders>
              <w:top w:val="single" w:sz="4" w:space="0" w:color="000000"/>
              <w:bottom w:val="single" w:sz="4" w:space="0" w:color="000000"/>
            </w:tcBorders>
          </w:tcPr>
          <w:p>
            <w:pPr>
              <w:pStyle w:val="TableParagraph"/>
              <w:jc w:val="left"/>
              <w:rPr>
                <w:sz w:val="12"/>
              </w:rPr>
            </w:pPr>
          </w:p>
        </w:tc>
        <w:tc>
          <w:tcPr>
            <w:tcW w:w="360" w:type="dxa"/>
            <w:tcBorders>
              <w:top w:val="single" w:sz="4" w:space="0" w:color="000000"/>
              <w:bottom w:val="single" w:sz="4" w:space="0" w:color="000000"/>
            </w:tcBorders>
          </w:tcPr>
          <w:p>
            <w:pPr>
              <w:pStyle w:val="TableParagraph"/>
              <w:jc w:val="left"/>
              <w:rPr>
                <w:sz w:val="12"/>
              </w:rPr>
            </w:pPr>
          </w:p>
        </w:tc>
        <w:tc>
          <w:tcPr>
            <w:tcW w:w="293" w:type="dxa"/>
            <w:tcBorders>
              <w:top w:val="single" w:sz="4" w:space="0" w:color="000000"/>
              <w:bottom w:val="single" w:sz="4" w:space="0" w:color="000000"/>
            </w:tcBorders>
          </w:tcPr>
          <w:p>
            <w:pPr>
              <w:pStyle w:val="TableParagraph"/>
              <w:jc w:val="left"/>
              <w:rPr>
                <w:sz w:val="12"/>
              </w:rPr>
            </w:pPr>
          </w:p>
        </w:tc>
        <w:tc>
          <w:tcPr>
            <w:tcW w:w="363" w:type="dxa"/>
            <w:tcBorders>
              <w:top w:val="single" w:sz="4" w:space="0" w:color="000000"/>
              <w:bottom w:val="single" w:sz="4" w:space="0" w:color="000000"/>
            </w:tcBorders>
          </w:tcPr>
          <w:p>
            <w:pPr>
              <w:pStyle w:val="TableParagraph"/>
              <w:jc w:val="left"/>
              <w:rPr>
                <w:sz w:val="12"/>
              </w:rPr>
            </w:pPr>
          </w:p>
        </w:tc>
        <w:tc>
          <w:tcPr>
            <w:tcW w:w="267" w:type="dxa"/>
            <w:tcBorders>
              <w:top w:val="single" w:sz="4" w:space="0" w:color="000000"/>
              <w:bottom w:val="single" w:sz="4" w:space="0" w:color="000000"/>
            </w:tcBorders>
          </w:tcPr>
          <w:p>
            <w:pPr>
              <w:pStyle w:val="TableParagraph"/>
              <w:jc w:val="left"/>
              <w:rPr>
                <w:sz w:val="12"/>
              </w:rPr>
            </w:pPr>
          </w:p>
        </w:tc>
        <w:tc>
          <w:tcPr>
            <w:tcW w:w="373" w:type="dxa"/>
            <w:tcBorders>
              <w:top w:val="single" w:sz="4" w:space="0" w:color="000000"/>
              <w:bottom w:val="single" w:sz="4" w:space="0" w:color="000000"/>
            </w:tcBorders>
          </w:tcPr>
          <w:p>
            <w:pPr>
              <w:pStyle w:val="TableParagraph"/>
              <w:jc w:val="left"/>
              <w:rPr>
                <w:sz w:val="12"/>
              </w:rPr>
            </w:pPr>
          </w:p>
        </w:tc>
        <w:tc>
          <w:tcPr>
            <w:tcW w:w="311" w:type="dxa"/>
            <w:tcBorders>
              <w:top w:val="single" w:sz="4" w:space="0" w:color="000000"/>
              <w:bottom w:val="single" w:sz="4" w:space="0" w:color="000000"/>
            </w:tcBorders>
          </w:tcPr>
          <w:p>
            <w:pPr>
              <w:pStyle w:val="TableParagraph"/>
              <w:jc w:val="left"/>
              <w:rPr>
                <w:sz w:val="12"/>
              </w:rPr>
            </w:pPr>
          </w:p>
        </w:tc>
        <w:tc>
          <w:tcPr>
            <w:tcW w:w="390" w:type="dxa"/>
            <w:tcBorders>
              <w:top w:val="single" w:sz="4" w:space="0" w:color="000000"/>
              <w:bottom w:val="single" w:sz="4" w:space="0" w:color="000000"/>
            </w:tcBorders>
          </w:tcPr>
          <w:p>
            <w:pPr>
              <w:pStyle w:val="TableParagraph"/>
              <w:jc w:val="left"/>
              <w:rPr>
                <w:sz w:val="12"/>
              </w:rPr>
            </w:pPr>
          </w:p>
        </w:tc>
        <w:tc>
          <w:tcPr>
            <w:tcW w:w="306" w:type="dxa"/>
            <w:tcBorders>
              <w:top w:val="single" w:sz="4" w:space="0" w:color="000000"/>
              <w:bottom w:val="single" w:sz="4" w:space="0" w:color="000000"/>
            </w:tcBorders>
          </w:tcPr>
          <w:p>
            <w:pPr>
              <w:pStyle w:val="TableParagraph"/>
              <w:jc w:val="left"/>
              <w:rPr>
                <w:sz w:val="12"/>
              </w:rPr>
            </w:pPr>
          </w:p>
        </w:tc>
        <w:tc>
          <w:tcPr>
            <w:tcW w:w="388" w:type="dxa"/>
            <w:tcBorders>
              <w:top w:val="single" w:sz="4" w:space="0" w:color="000000"/>
              <w:bottom w:val="single" w:sz="4" w:space="0" w:color="000000"/>
            </w:tcBorders>
          </w:tcPr>
          <w:p>
            <w:pPr>
              <w:pStyle w:val="TableParagraph"/>
              <w:jc w:val="left"/>
              <w:rPr>
                <w:sz w:val="12"/>
              </w:rPr>
            </w:pPr>
          </w:p>
        </w:tc>
        <w:tc>
          <w:tcPr>
            <w:tcW w:w="309" w:type="dxa"/>
            <w:tcBorders>
              <w:top w:val="single" w:sz="4" w:space="0" w:color="000000"/>
              <w:bottom w:val="single" w:sz="4" w:space="0" w:color="000000"/>
            </w:tcBorders>
          </w:tcPr>
          <w:p>
            <w:pPr>
              <w:pStyle w:val="TableParagraph"/>
              <w:jc w:val="left"/>
              <w:rPr>
                <w:sz w:val="12"/>
              </w:rPr>
            </w:pPr>
          </w:p>
        </w:tc>
        <w:tc>
          <w:tcPr>
            <w:tcW w:w="374" w:type="dxa"/>
            <w:tcBorders>
              <w:top w:val="single" w:sz="4" w:space="0" w:color="000000"/>
              <w:bottom w:val="single" w:sz="4" w:space="0" w:color="000000"/>
            </w:tcBorders>
          </w:tcPr>
          <w:p>
            <w:pPr>
              <w:pStyle w:val="TableParagraph"/>
              <w:jc w:val="left"/>
              <w:rPr>
                <w:sz w:val="12"/>
              </w:rPr>
            </w:pPr>
          </w:p>
        </w:tc>
      </w:tr>
      <w:tr>
        <w:trPr>
          <w:trHeight w:val="301" w:hRule="atLeast"/>
        </w:trPr>
        <w:tc>
          <w:tcPr>
            <w:tcW w:w="797" w:type="dxa"/>
            <w:tcBorders>
              <w:top w:val="single" w:sz="4" w:space="0" w:color="000000"/>
            </w:tcBorders>
          </w:tcPr>
          <w:p>
            <w:pPr>
              <w:pStyle w:val="TableParagraph"/>
              <w:spacing w:before="84"/>
              <w:ind w:left="24"/>
              <w:jc w:val="left"/>
              <w:rPr>
                <w:sz w:val="12"/>
              </w:rPr>
            </w:pPr>
            <w:r>
              <w:rPr>
                <w:sz w:val="12"/>
              </w:rPr>
              <w:t>2021</w:t>
            </w:r>
            <w:r>
              <w:rPr>
                <w:spacing w:val="2"/>
                <w:sz w:val="12"/>
              </w:rPr>
              <w:t> </w:t>
            </w:r>
            <w:r>
              <w:rPr>
                <w:spacing w:val="-2"/>
                <w:sz w:val="12"/>
              </w:rPr>
              <w:t>Approved</w:t>
            </w:r>
          </w:p>
        </w:tc>
        <w:tc>
          <w:tcPr>
            <w:tcW w:w="299" w:type="dxa"/>
            <w:tcBorders>
              <w:top w:val="single" w:sz="4" w:space="0" w:color="000000"/>
              <w:bottom w:val="single" w:sz="4" w:space="0" w:color="000000"/>
            </w:tcBorders>
          </w:tcPr>
          <w:p>
            <w:pPr>
              <w:pStyle w:val="TableParagraph"/>
              <w:spacing w:before="84"/>
              <w:ind w:left="15" w:right="9"/>
              <w:jc w:val="center"/>
              <w:rPr>
                <w:sz w:val="12"/>
              </w:rPr>
            </w:pPr>
            <w:r>
              <w:rPr>
                <w:spacing w:val="-5"/>
                <w:sz w:val="12"/>
              </w:rPr>
              <w:t>263</w:t>
            </w:r>
          </w:p>
        </w:tc>
        <w:tc>
          <w:tcPr>
            <w:tcW w:w="362" w:type="dxa"/>
            <w:tcBorders>
              <w:top w:val="single" w:sz="4" w:space="0" w:color="000000"/>
              <w:bottom w:val="single" w:sz="4" w:space="0" w:color="000000"/>
            </w:tcBorders>
          </w:tcPr>
          <w:p>
            <w:pPr>
              <w:pStyle w:val="TableParagraph"/>
              <w:spacing w:before="84"/>
              <w:ind w:left="15" w:right="3"/>
              <w:jc w:val="center"/>
              <w:rPr>
                <w:sz w:val="12"/>
              </w:rPr>
            </w:pPr>
            <w:r>
              <w:rPr>
                <w:spacing w:val="-2"/>
                <w:sz w:val="12"/>
              </w:rPr>
              <w:t>54.25</w:t>
            </w:r>
          </w:p>
        </w:tc>
        <w:tc>
          <w:tcPr>
            <w:tcW w:w="271" w:type="dxa"/>
            <w:tcBorders>
              <w:top w:val="single" w:sz="4" w:space="0" w:color="000000"/>
              <w:bottom w:val="single" w:sz="4" w:space="0" w:color="000000"/>
            </w:tcBorders>
          </w:tcPr>
          <w:p>
            <w:pPr>
              <w:pStyle w:val="TableParagraph"/>
              <w:spacing w:before="84"/>
              <w:ind w:left="10"/>
              <w:jc w:val="center"/>
              <w:rPr>
                <w:sz w:val="12"/>
              </w:rPr>
            </w:pPr>
            <w:r>
              <w:rPr>
                <w:spacing w:val="-5"/>
                <w:sz w:val="12"/>
              </w:rPr>
              <w:t>24</w:t>
            </w:r>
          </w:p>
        </w:tc>
        <w:tc>
          <w:tcPr>
            <w:tcW w:w="350" w:type="dxa"/>
            <w:tcBorders>
              <w:top w:val="single" w:sz="4" w:space="0" w:color="000000"/>
              <w:bottom w:val="single" w:sz="4" w:space="0" w:color="000000"/>
            </w:tcBorders>
          </w:tcPr>
          <w:p>
            <w:pPr>
              <w:pStyle w:val="TableParagraph"/>
              <w:spacing w:before="84"/>
              <w:ind w:left="71"/>
              <w:jc w:val="left"/>
              <w:rPr>
                <w:sz w:val="12"/>
              </w:rPr>
            </w:pPr>
            <w:r>
              <w:rPr>
                <w:spacing w:val="-4"/>
                <w:sz w:val="12"/>
              </w:rPr>
              <w:t>4.94</w:t>
            </w:r>
          </w:p>
        </w:tc>
        <w:tc>
          <w:tcPr>
            <w:tcW w:w="266" w:type="dxa"/>
            <w:tcBorders>
              <w:top w:val="single" w:sz="4" w:space="0" w:color="000000"/>
              <w:bottom w:val="single" w:sz="4" w:space="0" w:color="000000"/>
            </w:tcBorders>
          </w:tcPr>
          <w:p>
            <w:pPr>
              <w:pStyle w:val="TableParagraph"/>
              <w:spacing w:before="84"/>
              <w:ind w:right="63"/>
              <w:rPr>
                <w:sz w:val="12"/>
              </w:rPr>
            </w:pPr>
            <w:r>
              <w:rPr>
                <w:spacing w:val="-5"/>
                <w:sz w:val="12"/>
              </w:rPr>
              <w:t>34</w:t>
            </w:r>
          </w:p>
        </w:tc>
        <w:tc>
          <w:tcPr>
            <w:tcW w:w="348" w:type="dxa"/>
            <w:tcBorders>
              <w:top w:val="single" w:sz="4" w:space="0" w:color="000000"/>
              <w:bottom w:val="single" w:sz="4" w:space="0" w:color="000000"/>
            </w:tcBorders>
          </w:tcPr>
          <w:p>
            <w:pPr>
              <w:pStyle w:val="TableParagraph"/>
              <w:spacing w:before="84"/>
              <w:ind w:left="6"/>
              <w:jc w:val="center"/>
              <w:rPr>
                <w:sz w:val="12"/>
              </w:rPr>
            </w:pPr>
            <w:r>
              <w:rPr>
                <w:spacing w:val="-4"/>
                <w:sz w:val="12"/>
              </w:rPr>
              <w:t>5.60</w:t>
            </w:r>
          </w:p>
        </w:tc>
        <w:tc>
          <w:tcPr>
            <w:tcW w:w="269" w:type="dxa"/>
            <w:tcBorders>
              <w:top w:val="single" w:sz="4" w:space="0" w:color="000000"/>
              <w:bottom w:val="single" w:sz="4" w:space="0" w:color="000000"/>
            </w:tcBorders>
          </w:tcPr>
          <w:p>
            <w:pPr>
              <w:pStyle w:val="TableParagraph"/>
              <w:spacing w:before="84"/>
              <w:ind w:left="77"/>
              <w:jc w:val="left"/>
              <w:rPr>
                <w:sz w:val="12"/>
              </w:rPr>
            </w:pPr>
            <w:r>
              <w:rPr>
                <w:spacing w:val="-5"/>
                <w:sz w:val="12"/>
              </w:rPr>
              <w:t>18</w:t>
            </w:r>
          </w:p>
        </w:tc>
        <w:tc>
          <w:tcPr>
            <w:tcW w:w="348" w:type="dxa"/>
            <w:tcBorders>
              <w:top w:val="single" w:sz="4" w:space="0" w:color="000000"/>
              <w:bottom w:val="single" w:sz="4" w:space="0" w:color="000000"/>
            </w:tcBorders>
          </w:tcPr>
          <w:p>
            <w:pPr>
              <w:pStyle w:val="TableParagraph"/>
              <w:spacing w:before="84"/>
              <w:ind w:left="11"/>
              <w:jc w:val="center"/>
              <w:rPr>
                <w:sz w:val="12"/>
              </w:rPr>
            </w:pPr>
            <w:r>
              <w:rPr>
                <w:spacing w:val="-4"/>
                <w:sz w:val="12"/>
              </w:rPr>
              <w:t>3.53</w:t>
            </w:r>
          </w:p>
        </w:tc>
        <w:tc>
          <w:tcPr>
            <w:tcW w:w="266" w:type="dxa"/>
            <w:tcBorders>
              <w:top w:val="single" w:sz="4" w:space="0" w:color="000000"/>
              <w:bottom w:val="single" w:sz="4" w:space="0" w:color="000000"/>
            </w:tcBorders>
          </w:tcPr>
          <w:p>
            <w:pPr>
              <w:pStyle w:val="TableParagraph"/>
              <w:spacing w:before="84"/>
              <w:ind w:left="9"/>
              <w:jc w:val="center"/>
              <w:rPr>
                <w:sz w:val="12"/>
              </w:rPr>
            </w:pPr>
            <w:r>
              <w:rPr>
                <w:spacing w:val="-5"/>
                <w:sz w:val="12"/>
              </w:rPr>
              <w:t>47</w:t>
            </w:r>
          </w:p>
        </w:tc>
        <w:tc>
          <w:tcPr>
            <w:tcW w:w="350" w:type="dxa"/>
            <w:tcBorders>
              <w:top w:val="single" w:sz="4" w:space="0" w:color="000000"/>
              <w:bottom w:val="single" w:sz="4" w:space="0" w:color="000000"/>
            </w:tcBorders>
          </w:tcPr>
          <w:p>
            <w:pPr>
              <w:pStyle w:val="TableParagraph"/>
              <w:spacing w:before="84"/>
              <w:ind w:left="10"/>
              <w:jc w:val="center"/>
              <w:rPr>
                <w:sz w:val="12"/>
              </w:rPr>
            </w:pPr>
            <w:r>
              <w:rPr>
                <w:spacing w:val="-2"/>
                <w:sz w:val="12"/>
              </w:rPr>
              <w:t>18.38</w:t>
            </w:r>
          </w:p>
        </w:tc>
        <w:tc>
          <w:tcPr>
            <w:tcW w:w="267" w:type="dxa"/>
            <w:tcBorders>
              <w:top w:val="single" w:sz="4" w:space="0" w:color="000000"/>
              <w:bottom w:val="single" w:sz="4" w:space="0" w:color="000000"/>
            </w:tcBorders>
          </w:tcPr>
          <w:p>
            <w:pPr>
              <w:pStyle w:val="TableParagraph"/>
              <w:spacing w:before="84"/>
              <w:ind w:left="8"/>
              <w:jc w:val="center"/>
              <w:rPr>
                <w:sz w:val="12"/>
              </w:rPr>
            </w:pPr>
            <w:r>
              <w:rPr>
                <w:w w:val="99"/>
                <w:sz w:val="12"/>
              </w:rPr>
              <w:t>-</w:t>
            </w:r>
          </w:p>
        </w:tc>
        <w:tc>
          <w:tcPr>
            <w:tcW w:w="348" w:type="dxa"/>
            <w:tcBorders>
              <w:top w:val="single" w:sz="4" w:space="0" w:color="000000"/>
              <w:bottom w:val="single" w:sz="4" w:space="0" w:color="000000"/>
            </w:tcBorders>
          </w:tcPr>
          <w:p>
            <w:pPr>
              <w:pStyle w:val="TableParagraph"/>
              <w:spacing w:before="84"/>
              <w:ind w:left="7"/>
              <w:jc w:val="center"/>
              <w:rPr>
                <w:sz w:val="12"/>
              </w:rPr>
            </w:pPr>
            <w:r>
              <w:rPr>
                <w:w w:val="99"/>
                <w:sz w:val="12"/>
              </w:rPr>
              <w:t>-</w:t>
            </w:r>
          </w:p>
        </w:tc>
        <w:tc>
          <w:tcPr>
            <w:tcW w:w="269" w:type="dxa"/>
            <w:tcBorders>
              <w:top w:val="single" w:sz="4" w:space="0" w:color="000000"/>
              <w:bottom w:val="single" w:sz="4" w:space="0" w:color="000000"/>
            </w:tcBorders>
          </w:tcPr>
          <w:p>
            <w:pPr>
              <w:pStyle w:val="TableParagraph"/>
              <w:spacing w:before="84"/>
              <w:ind w:left="78"/>
              <w:jc w:val="left"/>
              <w:rPr>
                <w:sz w:val="12"/>
              </w:rPr>
            </w:pPr>
            <w:r>
              <w:rPr>
                <w:spacing w:val="-5"/>
                <w:sz w:val="12"/>
              </w:rPr>
              <w:t>13</w:t>
            </w:r>
          </w:p>
        </w:tc>
        <w:tc>
          <w:tcPr>
            <w:tcW w:w="351" w:type="dxa"/>
            <w:tcBorders>
              <w:top w:val="single" w:sz="4" w:space="0" w:color="000000"/>
              <w:bottom w:val="single" w:sz="4" w:space="0" w:color="000000"/>
            </w:tcBorders>
          </w:tcPr>
          <w:p>
            <w:pPr>
              <w:pStyle w:val="TableParagraph"/>
              <w:spacing w:before="84"/>
              <w:ind w:left="9"/>
              <w:jc w:val="center"/>
              <w:rPr>
                <w:sz w:val="12"/>
              </w:rPr>
            </w:pPr>
            <w:r>
              <w:rPr>
                <w:spacing w:val="-4"/>
                <w:sz w:val="12"/>
              </w:rPr>
              <w:t>5.48</w:t>
            </w:r>
          </w:p>
        </w:tc>
        <w:tc>
          <w:tcPr>
            <w:tcW w:w="269" w:type="dxa"/>
            <w:tcBorders>
              <w:top w:val="single" w:sz="4" w:space="0" w:color="000000"/>
              <w:bottom w:val="single" w:sz="4" w:space="0" w:color="000000"/>
            </w:tcBorders>
          </w:tcPr>
          <w:p>
            <w:pPr>
              <w:pStyle w:val="TableParagraph"/>
              <w:spacing w:before="84"/>
              <w:ind w:right="65"/>
              <w:rPr>
                <w:sz w:val="12"/>
              </w:rPr>
            </w:pPr>
            <w:r>
              <w:rPr>
                <w:spacing w:val="-5"/>
                <w:sz w:val="12"/>
              </w:rPr>
              <w:t>39</w:t>
            </w:r>
          </w:p>
        </w:tc>
        <w:tc>
          <w:tcPr>
            <w:tcW w:w="348" w:type="dxa"/>
            <w:tcBorders>
              <w:top w:val="single" w:sz="4" w:space="0" w:color="000000"/>
              <w:bottom w:val="single" w:sz="4" w:space="0" w:color="000000"/>
            </w:tcBorders>
          </w:tcPr>
          <w:p>
            <w:pPr>
              <w:pStyle w:val="TableParagraph"/>
              <w:spacing w:before="84"/>
              <w:ind w:left="73"/>
              <w:jc w:val="left"/>
              <w:rPr>
                <w:sz w:val="12"/>
              </w:rPr>
            </w:pPr>
            <w:r>
              <w:rPr>
                <w:spacing w:val="-4"/>
                <w:sz w:val="12"/>
              </w:rPr>
              <w:t>8.67</w:t>
            </w:r>
          </w:p>
        </w:tc>
        <w:tc>
          <w:tcPr>
            <w:tcW w:w="269" w:type="dxa"/>
            <w:tcBorders>
              <w:top w:val="single" w:sz="4" w:space="0" w:color="000000"/>
              <w:bottom w:val="single" w:sz="4" w:space="0" w:color="000000"/>
            </w:tcBorders>
          </w:tcPr>
          <w:p>
            <w:pPr>
              <w:pStyle w:val="TableParagraph"/>
              <w:spacing w:before="84"/>
              <w:ind w:left="7"/>
              <w:jc w:val="center"/>
              <w:rPr>
                <w:sz w:val="12"/>
              </w:rPr>
            </w:pPr>
            <w:r>
              <w:rPr>
                <w:spacing w:val="-5"/>
                <w:sz w:val="12"/>
              </w:rPr>
              <w:t>18</w:t>
            </w:r>
          </w:p>
        </w:tc>
        <w:tc>
          <w:tcPr>
            <w:tcW w:w="351" w:type="dxa"/>
            <w:tcBorders>
              <w:top w:val="single" w:sz="4" w:space="0" w:color="000000"/>
              <w:bottom w:val="single" w:sz="4" w:space="0" w:color="000000"/>
            </w:tcBorders>
          </w:tcPr>
          <w:p>
            <w:pPr>
              <w:pStyle w:val="TableParagraph"/>
              <w:spacing w:before="84"/>
              <w:ind w:left="13"/>
              <w:jc w:val="center"/>
              <w:rPr>
                <w:sz w:val="12"/>
              </w:rPr>
            </w:pPr>
            <w:r>
              <w:rPr>
                <w:spacing w:val="-2"/>
                <w:sz w:val="12"/>
              </w:rPr>
              <w:t>16.97</w:t>
            </w:r>
          </w:p>
        </w:tc>
        <w:tc>
          <w:tcPr>
            <w:tcW w:w="267" w:type="dxa"/>
            <w:tcBorders>
              <w:top w:val="single" w:sz="4" w:space="0" w:color="000000"/>
              <w:bottom w:val="single" w:sz="4" w:space="0" w:color="000000"/>
            </w:tcBorders>
          </w:tcPr>
          <w:p>
            <w:pPr>
              <w:pStyle w:val="TableParagraph"/>
              <w:spacing w:before="84"/>
              <w:ind w:right="66"/>
              <w:rPr>
                <w:sz w:val="12"/>
              </w:rPr>
            </w:pPr>
            <w:r>
              <w:rPr>
                <w:spacing w:val="-5"/>
                <w:sz w:val="12"/>
              </w:rPr>
              <w:t>20</w:t>
            </w:r>
          </w:p>
        </w:tc>
        <w:tc>
          <w:tcPr>
            <w:tcW w:w="351" w:type="dxa"/>
            <w:tcBorders>
              <w:top w:val="single" w:sz="4" w:space="0" w:color="000000"/>
              <w:bottom w:val="single" w:sz="4" w:space="0" w:color="000000"/>
            </w:tcBorders>
          </w:tcPr>
          <w:p>
            <w:pPr>
              <w:pStyle w:val="TableParagraph"/>
              <w:spacing w:before="84"/>
              <w:ind w:left="6"/>
              <w:jc w:val="center"/>
              <w:rPr>
                <w:sz w:val="12"/>
              </w:rPr>
            </w:pPr>
            <w:r>
              <w:rPr>
                <w:spacing w:val="-2"/>
                <w:sz w:val="12"/>
              </w:rPr>
              <w:t>14.54</w:t>
            </w:r>
          </w:p>
        </w:tc>
        <w:tc>
          <w:tcPr>
            <w:tcW w:w="269" w:type="dxa"/>
            <w:tcBorders>
              <w:top w:val="single" w:sz="4" w:space="0" w:color="000000"/>
              <w:bottom w:val="single" w:sz="4" w:space="0" w:color="000000"/>
            </w:tcBorders>
          </w:tcPr>
          <w:p>
            <w:pPr>
              <w:pStyle w:val="TableParagraph"/>
              <w:spacing w:before="84"/>
              <w:ind w:left="76"/>
              <w:jc w:val="left"/>
              <w:rPr>
                <w:sz w:val="12"/>
              </w:rPr>
            </w:pPr>
            <w:r>
              <w:rPr>
                <w:spacing w:val="-5"/>
                <w:sz w:val="12"/>
              </w:rPr>
              <w:t>16</w:t>
            </w:r>
          </w:p>
        </w:tc>
        <w:tc>
          <w:tcPr>
            <w:tcW w:w="351" w:type="dxa"/>
            <w:tcBorders>
              <w:top w:val="single" w:sz="4" w:space="0" w:color="000000"/>
              <w:bottom w:val="single" w:sz="4" w:space="0" w:color="000000"/>
            </w:tcBorders>
          </w:tcPr>
          <w:p>
            <w:pPr>
              <w:pStyle w:val="TableParagraph"/>
              <w:spacing w:before="84"/>
              <w:ind w:left="5"/>
              <w:jc w:val="center"/>
              <w:rPr>
                <w:sz w:val="12"/>
              </w:rPr>
            </w:pPr>
            <w:r>
              <w:rPr>
                <w:spacing w:val="-4"/>
                <w:sz w:val="12"/>
              </w:rPr>
              <w:t>7.38</w:t>
            </w:r>
          </w:p>
        </w:tc>
        <w:tc>
          <w:tcPr>
            <w:tcW w:w="269" w:type="dxa"/>
            <w:tcBorders>
              <w:top w:val="single" w:sz="4" w:space="0" w:color="000000"/>
              <w:bottom w:val="single" w:sz="4" w:space="0" w:color="000000"/>
            </w:tcBorders>
          </w:tcPr>
          <w:p>
            <w:pPr>
              <w:pStyle w:val="TableParagraph"/>
              <w:spacing w:before="84"/>
              <w:ind w:left="1"/>
              <w:jc w:val="center"/>
              <w:rPr>
                <w:sz w:val="12"/>
              </w:rPr>
            </w:pPr>
            <w:r>
              <w:rPr>
                <w:sz w:val="12"/>
              </w:rPr>
              <w:t>9</w:t>
            </w:r>
          </w:p>
        </w:tc>
        <w:tc>
          <w:tcPr>
            <w:tcW w:w="360" w:type="dxa"/>
            <w:tcBorders>
              <w:top w:val="single" w:sz="4" w:space="0" w:color="000000"/>
              <w:bottom w:val="single" w:sz="4" w:space="0" w:color="000000"/>
            </w:tcBorders>
          </w:tcPr>
          <w:p>
            <w:pPr>
              <w:pStyle w:val="TableParagraph"/>
              <w:spacing w:before="84"/>
              <w:ind w:left="3" w:right="5"/>
              <w:jc w:val="center"/>
              <w:rPr>
                <w:sz w:val="12"/>
              </w:rPr>
            </w:pPr>
            <w:r>
              <w:rPr>
                <w:spacing w:val="-2"/>
                <w:sz w:val="12"/>
              </w:rPr>
              <w:t>10.67</w:t>
            </w:r>
          </w:p>
        </w:tc>
        <w:tc>
          <w:tcPr>
            <w:tcW w:w="293" w:type="dxa"/>
            <w:tcBorders>
              <w:top w:val="single" w:sz="4" w:space="0" w:color="000000"/>
              <w:bottom w:val="single" w:sz="4" w:space="0" w:color="000000"/>
            </w:tcBorders>
          </w:tcPr>
          <w:p>
            <w:pPr>
              <w:pStyle w:val="TableParagraph"/>
              <w:spacing w:before="84"/>
              <w:ind w:right="2"/>
              <w:jc w:val="center"/>
              <w:rPr>
                <w:sz w:val="12"/>
              </w:rPr>
            </w:pPr>
            <w:r>
              <w:rPr>
                <w:sz w:val="12"/>
              </w:rPr>
              <w:t>5</w:t>
            </w:r>
          </w:p>
        </w:tc>
        <w:tc>
          <w:tcPr>
            <w:tcW w:w="363" w:type="dxa"/>
            <w:tcBorders>
              <w:top w:val="single" w:sz="4" w:space="0" w:color="000000"/>
              <w:bottom w:val="single" w:sz="4" w:space="0" w:color="000000"/>
            </w:tcBorders>
          </w:tcPr>
          <w:p>
            <w:pPr>
              <w:pStyle w:val="TableParagraph"/>
              <w:spacing w:before="84"/>
              <w:ind w:left="21"/>
              <w:jc w:val="center"/>
              <w:rPr>
                <w:sz w:val="12"/>
              </w:rPr>
            </w:pPr>
            <w:r>
              <w:rPr>
                <w:spacing w:val="-4"/>
                <w:sz w:val="12"/>
              </w:rPr>
              <w:t>2.03</w:t>
            </w:r>
          </w:p>
        </w:tc>
        <w:tc>
          <w:tcPr>
            <w:tcW w:w="267" w:type="dxa"/>
            <w:tcBorders>
              <w:top w:val="single" w:sz="4" w:space="0" w:color="000000"/>
              <w:bottom w:val="single" w:sz="4" w:space="0" w:color="000000"/>
            </w:tcBorders>
          </w:tcPr>
          <w:p>
            <w:pPr>
              <w:pStyle w:val="TableParagraph"/>
              <w:spacing w:before="84"/>
              <w:ind w:right="1"/>
              <w:jc w:val="center"/>
              <w:rPr>
                <w:sz w:val="12"/>
              </w:rPr>
            </w:pPr>
            <w:r>
              <w:rPr>
                <w:w w:val="99"/>
                <w:sz w:val="12"/>
              </w:rPr>
              <w:t>-</w:t>
            </w:r>
          </w:p>
        </w:tc>
        <w:tc>
          <w:tcPr>
            <w:tcW w:w="373" w:type="dxa"/>
            <w:tcBorders>
              <w:top w:val="single" w:sz="4" w:space="0" w:color="000000"/>
              <w:bottom w:val="single" w:sz="4" w:space="0" w:color="000000"/>
            </w:tcBorders>
          </w:tcPr>
          <w:p>
            <w:pPr>
              <w:pStyle w:val="TableParagraph"/>
              <w:spacing w:before="84"/>
              <w:ind w:right="17"/>
              <w:jc w:val="center"/>
              <w:rPr>
                <w:sz w:val="12"/>
              </w:rPr>
            </w:pPr>
            <w:r>
              <w:rPr>
                <w:w w:val="99"/>
                <w:sz w:val="12"/>
              </w:rPr>
              <w:t>-</w:t>
            </w:r>
          </w:p>
        </w:tc>
        <w:tc>
          <w:tcPr>
            <w:tcW w:w="311" w:type="dxa"/>
            <w:tcBorders>
              <w:top w:val="single" w:sz="4" w:space="0" w:color="000000"/>
              <w:bottom w:val="single" w:sz="4" w:space="0" w:color="000000"/>
            </w:tcBorders>
          </w:tcPr>
          <w:p>
            <w:pPr>
              <w:pStyle w:val="TableParagraph"/>
              <w:spacing w:before="84"/>
              <w:ind w:right="1"/>
              <w:jc w:val="center"/>
              <w:rPr>
                <w:sz w:val="12"/>
              </w:rPr>
            </w:pPr>
            <w:r>
              <w:rPr>
                <w:w w:val="99"/>
                <w:sz w:val="12"/>
              </w:rPr>
              <w:t>-</w:t>
            </w:r>
          </w:p>
        </w:tc>
        <w:tc>
          <w:tcPr>
            <w:tcW w:w="390" w:type="dxa"/>
            <w:tcBorders>
              <w:top w:val="single" w:sz="4" w:space="0" w:color="000000"/>
              <w:bottom w:val="single" w:sz="4" w:space="0" w:color="000000"/>
            </w:tcBorders>
          </w:tcPr>
          <w:p>
            <w:pPr>
              <w:pStyle w:val="TableParagraph"/>
              <w:spacing w:before="84"/>
              <w:jc w:val="center"/>
              <w:rPr>
                <w:sz w:val="12"/>
              </w:rPr>
            </w:pPr>
            <w:r>
              <w:rPr>
                <w:w w:val="99"/>
                <w:sz w:val="12"/>
              </w:rPr>
              <w:t>-</w:t>
            </w:r>
          </w:p>
        </w:tc>
        <w:tc>
          <w:tcPr>
            <w:tcW w:w="306" w:type="dxa"/>
            <w:tcBorders>
              <w:top w:val="single" w:sz="4" w:space="0" w:color="000000"/>
              <w:bottom w:val="single" w:sz="4" w:space="0" w:color="000000"/>
            </w:tcBorders>
          </w:tcPr>
          <w:p>
            <w:pPr>
              <w:pStyle w:val="TableParagraph"/>
              <w:spacing w:before="84"/>
              <w:ind w:right="4"/>
              <w:jc w:val="center"/>
              <w:rPr>
                <w:sz w:val="12"/>
              </w:rPr>
            </w:pPr>
            <w:r>
              <w:rPr>
                <w:w w:val="99"/>
                <w:sz w:val="12"/>
              </w:rPr>
              <w:t>-</w:t>
            </w:r>
          </w:p>
        </w:tc>
        <w:tc>
          <w:tcPr>
            <w:tcW w:w="388" w:type="dxa"/>
            <w:tcBorders>
              <w:top w:val="single" w:sz="4" w:space="0" w:color="000000"/>
              <w:bottom w:val="single" w:sz="4" w:space="0" w:color="000000"/>
            </w:tcBorders>
          </w:tcPr>
          <w:p>
            <w:pPr>
              <w:pStyle w:val="TableParagraph"/>
              <w:spacing w:before="84"/>
              <w:ind w:right="7"/>
              <w:jc w:val="center"/>
              <w:rPr>
                <w:sz w:val="12"/>
              </w:rPr>
            </w:pPr>
            <w:r>
              <w:rPr>
                <w:w w:val="99"/>
                <w:sz w:val="12"/>
              </w:rPr>
              <w:t>-</w:t>
            </w:r>
          </w:p>
        </w:tc>
        <w:tc>
          <w:tcPr>
            <w:tcW w:w="309" w:type="dxa"/>
            <w:tcBorders>
              <w:top w:val="single" w:sz="4" w:space="0" w:color="000000"/>
              <w:bottom w:val="single" w:sz="4" w:space="0" w:color="000000"/>
            </w:tcBorders>
          </w:tcPr>
          <w:p>
            <w:pPr>
              <w:pStyle w:val="TableParagraph"/>
              <w:spacing w:before="84"/>
              <w:ind w:right="12"/>
              <w:jc w:val="center"/>
              <w:rPr>
                <w:sz w:val="12"/>
              </w:rPr>
            </w:pPr>
            <w:r>
              <w:rPr>
                <w:w w:val="99"/>
                <w:sz w:val="12"/>
              </w:rPr>
              <w:t>-</w:t>
            </w:r>
          </w:p>
        </w:tc>
        <w:tc>
          <w:tcPr>
            <w:tcW w:w="374" w:type="dxa"/>
            <w:tcBorders>
              <w:top w:val="single" w:sz="4" w:space="0" w:color="000000"/>
              <w:bottom w:val="single" w:sz="4" w:space="0" w:color="000000"/>
            </w:tcBorders>
          </w:tcPr>
          <w:p>
            <w:pPr>
              <w:pStyle w:val="TableParagraph"/>
              <w:spacing w:before="84"/>
              <w:ind w:right="4"/>
              <w:jc w:val="center"/>
              <w:rPr>
                <w:sz w:val="12"/>
              </w:rPr>
            </w:pPr>
            <w:r>
              <w:rPr>
                <w:w w:val="99"/>
                <w:sz w:val="12"/>
              </w:rPr>
              <w:t>-</w:t>
            </w:r>
          </w:p>
        </w:tc>
      </w:tr>
      <w:tr>
        <w:trPr>
          <w:trHeight w:val="297" w:hRule="atLeast"/>
        </w:trPr>
        <w:tc>
          <w:tcPr>
            <w:tcW w:w="797" w:type="dxa"/>
            <w:tcBorders>
              <w:bottom w:val="single" w:sz="4" w:space="0" w:color="000000"/>
            </w:tcBorders>
          </w:tcPr>
          <w:p>
            <w:pPr>
              <w:pStyle w:val="TableParagraph"/>
              <w:jc w:val="left"/>
              <w:rPr>
                <w:sz w:val="12"/>
              </w:rPr>
            </w:pPr>
          </w:p>
        </w:tc>
        <w:tc>
          <w:tcPr>
            <w:tcW w:w="661" w:type="dxa"/>
            <w:gridSpan w:val="2"/>
            <w:tcBorders>
              <w:top w:val="single" w:sz="4" w:space="0" w:color="000000"/>
              <w:bottom w:val="single" w:sz="4" w:space="0" w:color="000000"/>
            </w:tcBorders>
          </w:tcPr>
          <w:p>
            <w:pPr>
              <w:pStyle w:val="TableParagraph"/>
              <w:spacing w:before="79"/>
              <w:ind w:left="91"/>
              <w:jc w:val="left"/>
              <w:rPr>
                <w:sz w:val="12"/>
              </w:rPr>
            </w:pPr>
            <w:r>
              <w:rPr>
                <w:sz w:val="12"/>
              </w:rPr>
              <w:t>(22</w:t>
            </w:r>
            <w:r>
              <w:rPr>
                <w:spacing w:val="-1"/>
                <w:sz w:val="12"/>
              </w:rPr>
              <w:t> </w:t>
            </w:r>
            <w:r>
              <w:rPr>
                <w:spacing w:val="-2"/>
                <w:sz w:val="12"/>
              </w:rPr>
              <w:t>cases)</w:t>
            </w:r>
          </w:p>
        </w:tc>
        <w:tc>
          <w:tcPr>
            <w:tcW w:w="621" w:type="dxa"/>
            <w:gridSpan w:val="2"/>
            <w:tcBorders>
              <w:top w:val="single" w:sz="4" w:space="0" w:color="000000"/>
              <w:bottom w:val="single" w:sz="4" w:space="0" w:color="000000"/>
            </w:tcBorders>
          </w:tcPr>
          <w:p>
            <w:pPr>
              <w:pStyle w:val="TableParagraph"/>
              <w:spacing w:before="79"/>
              <w:ind w:left="102"/>
              <w:jc w:val="left"/>
              <w:rPr>
                <w:sz w:val="12"/>
              </w:rPr>
            </w:pPr>
            <w:r>
              <w:rPr>
                <w:sz w:val="12"/>
              </w:rPr>
              <w:t>(2</w:t>
            </w:r>
            <w:r>
              <w:rPr>
                <w:spacing w:val="-3"/>
                <w:sz w:val="12"/>
              </w:rPr>
              <w:t> </w:t>
            </w:r>
            <w:r>
              <w:rPr>
                <w:spacing w:val="-2"/>
                <w:sz w:val="12"/>
              </w:rPr>
              <w:t>cases)</w:t>
            </w:r>
          </w:p>
        </w:tc>
        <w:tc>
          <w:tcPr>
            <w:tcW w:w="614" w:type="dxa"/>
            <w:gridSpan w:val="2"/>
            <w:tcBorders>
              <w:top w:val="single" w:sz="4" w:space="0" w:color="000000"/>
              <w:bottom w:val="single" w:sz="4" w:space="0" w:color="000000"/>
            </w:tcBorders>
          </w:tcPr>
          <w:p>
            <w:pPr>
              <w:pStyle w:val="TableParagraph"/>
              <w:spacing w:before="79"/>
              <w:ind w:left="125"/>
              <w:jc w:val="left"/>
              <w:rPr>
                <w:sz w:val="12"/>
              </w:rPr>
            </w:pPr>
            <w:r>
              <w:rPr>
                <w:sz w:val="12"/>
              </w:rPr>
              <w:t>(1</w:t>
            </w:r>
            <w:r>
              <w:rPr>
                <w:spacing w:val="-3"/>
                <w:sz w:val="12"/>
              </w:rPr>
              <w:t> </w:t>
            </w:r>
            <w:r>
              <w:rPr>
                <w:spacing w:val="-2"/>
                <w:sz w:val="12"/>
              </w:rPr>
              <w:t>case)</w:t>
            </w:r>
          </w:p>
        </w:tc>
        <w:tc>
          <w:tcPr>
            <w:tcW w:w="617" w:type="dxa"/>
            <w:gridSpan w:val="2"/>
            <w:tcBorders>
              <w:top w:val="single" w:sz="4" w:space="0" w:color="000000"/>
              <w:bottom w:val="single" w:sz="4" w:space="0" w:color="000000"/>
            </w:tcBorders>
          </w:tcPr>
          <w:p>
            <w:pPr>
              <w:pStyle w:val="TableParagraph"/>
              <w:spacing w:before="79"/>
              <w:ind w:left="101"/>
              <w:jc w:val="left"/>
              <w:rPr>
                <w:sz w:val="12"/>
              </w:rPr>
            </w:pPr>
            <w:r>
              <w:rPr>
                <w:sz w:val="12"/>
              </w:rPr>
              <w:t>(3</w:t>
            </w:r>
            <w:r>
              <w:rPr>
                <w:spacing w:val="-3"/>
                <w:sz w:val="12"/>
              </w:rPr>
              <w:t> </w:t>
            </w:r>
            <w:r>
              <w:rPr>
                <w:spacing w:val="-2"/>
                <w:sz w:val="12"/>
              </w:rPr>
              <w:t>cases)</w:t>
            </w:r>
          </w:p>
        </w:tc>
        <w:tc>
          <w:tcPr>
            <w:tcW w:w="616" w:type="dxa"/>
            <w:gridSpan w:val="2"/>
            <w:tcBorders>
              <w:top w:val="single" w:sz="4" w:space="0" w:color="000000"/>
              <w:bottom w:val="single" w:sz="4" w:space="0" w:color="000000"/>
            </w:tcBorders>
          </w:tcPr>
          <w:p>
            <w:pPr>
              <w:pStyle w:val="TableParagraph"/>
              <w:spacing w:before="79"/>
              <w:ind w:left="99"/>
              <w:jc w:val="left"/>
              <w:rPr>
                <w:sz w:val="12"/>
              </w:rPr>
            </w:pPr>
            <w:r>
              <w:rPr>
                <w:sz w:val="12"/>
              </w:rPr>
              <w:t>(2</w:t>
            </w:r>
            <w:r>
              <w:rPr>
                <w:spacing w:val="-3"/>
                <w:sz w:val="12"/>
              </w:rPr>
              <w:t> </w:t>
            </w:r>
            <w:r>
              <w:rPr>
                <w:spacing w:val="-2"/>
                <w:sz w:val="12"/>
              </w:rPr>
              <w:t>cases)</w:t>
            </w:r>
          </w:p>
        </w:tc>
        <w:tc>
          <w:tcPr>
            <w:tcW w:w="615" w:type="dxa"/>
            <w:gridSpan w:val="2"/>
            <w:tcBorders>
              <w:top w:val="single" w:sz="4" w:space="0" w:color="000000"/>
              <w:bottom w:val="single" w:sz="4" w:space="0" w:color="000000"/>
            </w:tcBorders>
          </w:tcPr>
          <w:p>
            <w:pPr>
              <w:pStyle w:val="TableParagraph"/>
              <w:spacing w:before="79"/>
              <w:ind w:left="127"/>
              <w:jc w:val="left"/>
              <w:rPr>
                <w:sz w:val="12"/>
              </w:rPr>
            </w:pPr>
            <w:r>
              <w:rPr>
                <w:sz w:val="12"/>
              </w:rPr>
              <w:t>(1</w:t>
            </w:r>
            <w:r>
              <w:rPr>
                <w:spacing w:val="-3"/>
                <w:sz w:val="12"/>
              </w:rPr>
              <w:t> </w:t>
            </w:r>
            <w:r>
              <w:rPr>
                <w:spacing w:val="-2"/>
                <w:sz w:val="12"/>
              </w:rPr>
              <w:t>case)</w:t>
            </w:r>
          </w:p>
        </w:tc>
        <w:tc>
          <w:tcPr>
            <w:tcW w:w="620" w:type="dxa"/>
            <w:gridSpan w:val="2"/>
            <w:tcBorders>
              <w:top w:val="single" w:sz="4" w:space="0" w:color="000000"/>
              <w:bottom w:val="single" w:sz="4" w:space="0" w:color="000000"/>
            </w:tcBorders>
          </w:tcPr>
          <w:p>
            <w:pPr>
              <w:pStyle w:val="TableParagraph"/>
              <w:spacing w:before="79"/>
              <w:ind w:left="102"/>
              <w:jc w:val="left"/>
              <w:rPr>
                <w:sz w:val="12"/>
              </w:rPr>
            </w:pPr>
            <w:r>
              <w:rPr>
                <w:sz w:val="12"/>
              </w:rPr>
              <w:t>(4</w:t>
            </w:r>
            <w:r>
              <w:rPr>
                <w:spacing w:val="-3"/>
                <w:sz w:val="12"/>
              </w:rPr>
              <w:t> </w:t>
            </w:r>
            <w:r>
              <w:rPr>
                <w:spacing w:val="-2"/>
                <w:sz w:val="12"/>
              </w:rPr>
              <w:t>cases)</w:t>
            </w:r>
          </w:p>
        </w:tc>
        <w:tc>
          <w:tcPr>
            <w:tcW w:w="617" w:type="dxa"/>
            <w:gridSpan w:val="2"/>
            <w:tcBorders>
              <w:top w:val="single" w:sz="4" w:space="0" w:color="000000"/>
              <w:bottom w:val="single" w:sz="4" w:space="0" w:color="000000"/>
            </w:tcBorders>
          </w:tcPr>
          <w:p>
            <w:pPr>
              <w:pStyle w:val="TableParagraph"/>
              <w:spacing w:before="79"/>
              <w:ind w:left="102"/>
              <w:jc w:val="left"/>
              <w:rPr>
                <w:sz w:val="12"/>
              </w:rPr>
            </w:pPr>
            <w:r>
              <w:rPr>
                <w:sz w:val="12"/>
              </w:rPr>
              <w:t>(3</w:t>
            </w:r>
            <w:r>
              <w:rPr>
                <w:spacing w:val="-3"/>
                <w:sz w:val="12"/>
              </w:rPr>
              <w:t> </w:t>
            </w:r>
            <w:r>
              <w:rPr>
                <w:spacing w:val="-2"/>
                <w:sz w:val="12"/>
              </w:rPr>
              <w:t>cases)</w:t>
            </w:r>
          </w:p>
        </w:tc>
        <w:tc>
          <w:tcPr>
            <w:tcW w:w="620" w:type="dxa"/>
            <w:gridSpan w:val="2"/>
            <w:tcBorders>
              <w:top w:val="single" w:sz="4" w:space="0" w:color="000000"/>
              <w:bottom w:val="single" w:sz="4" w:space="0" w:color="000000"/>
            </w:tcBorders>
          </w:tcPr>
          <w:p>
            <w:pPr>
              <w:pStyle w:val="TableParagraph"/>
              <w:spacing w:before="79"/>
              <w:ind w:left="99"/>
              <w:jc w:val="left"/>
              <w:rPr>
                <w:sz w:val="12"/>
              </w:rPr>
            </w:pPr>
            <w:r>
              <w:rPr>
                <w:sz w:val="12"/>
              </w:rPr>
              <w:t>(2</w:t>
            </w:r>
            <w:r>
              <w:rPr>
                <w:spacing w:val="-3"/>
                <w:sz w:val="12"/>
              </w:rPr>
              <w:t> </w:t>
            </w:r>
            <w:r>
              <w:rPr>
                <w:spacing w:val="-2"/>
                <w:sz w:val="12"/>
              </w:rPr>
              <w:t>cases)</w:t>
            </w:r>
          </w:p>
        </w:tc>
        <w:tc>
          <w:tcPr>
            <w:tcW w:w="618" w:type="dxa"/>
            <w:gridSpan w:val="2"/>
            <w:tcBorders>
              <w:top w:val="single" w:sz="4" w:space="0" w:color="000000"/>
              <w:bottom w:val="single" w:sz="4" w:space="0" w:color="000000"/>
            </w:tcBorders>
          </w:tcPr>
          <w:p>
            <w:pPr>
              <w:pStyle w:val="TableParagraph"/>
              <w:spacing w:before="79"/>
              <w:ind w:left="123"/>
              <w:jc w:val="left"/>
              <w:rPr>
                <w:sz w:val="12"/>
              </w:rPr>
            </w:pPr>
            <w:r>
              <w:rPr>
                <w:sz w:val="12"/>
              </w:rPr>
              <w:t>(1</w:t>
            </w:r>
            <w:r>
              <w:rPr>
                <w:spacing w:val="-3"/>
                <w:sz w:val="12"/>
              </w:rPr>
              <w:t> </w:t>
            </w:r>
            <w:r>
              <w:rPr>
                <w:spacing w:val="-2"/>
                <w:sz w:val="12"/>
              </w:rPr>
              <w:t>case)</w:t>
            </w:r>
          </w:p>
        </w:tc>
        <w:tc>
          <w:tcPr>
            <w:tcW w:w="620" w:type="dxa"/>
            <w:gridSpan w:val="2"/>
            <w:tcBorders>
              <w:top w:val="single" w:sz="4" w:space="0" w:color="000000"/>
              <w:bottom w:val="single" w:sz="4" w:space="0" w:color="000000"/>
            </w:tcBorders>
          </w:tcPr>
          <w:p>
            <w:pPr>
              <w:pStyle w:val="TableParagraph"/>
              <w:spacing w:before="79"/>
              <w:ind w:left="124"/>
              <w:jc w:val="left"/>
              <w:rPr>
                <w:sz w:val="12"/>
              </w:rPr>
            </w:pPr>
            <w:r>
              <w:rPr>
                <w:sz w:val="12"/>
              </w:rPr>
              <w:t>(1</w:t>
            </w:r>
            <w:r>
              <w:rPr>
                <w:spacing w:val="-3"/>
                <w:sz w:val="12"/>
              </w:rPr>
              <w:t> </w:t>
            </w:r>
            <w:r>
              <w:rPr>
                <w:spacing w:val="-2"/>
                <w:sz w:val="12"/>
              </w:rPr>
              <w:t>case)</w:t>
            </w:r>
          </w:p>
        </w:tc>
        <w:tc>
          <w:tcPr>
            <w:tcW w:w="629" w:type="dxa"/>
            <w:gridSpan w:val="2"/>
            <w:tcBorders>
              <w:top w:val="single" w:sz="4" w:space="0" w:color="000000"/>
              <w:bottom w:val="single" w:sz="4" w:space="0" w:color="000000"/>
            </w:tcBorders>
          </w:tcPr>
          <w:p>
            <w:pPr>
              <w:pStyle w:val="TableParagraph"/>
              <w:spacing w:before="79"/>
              <w:ind w:left="124"/>
              <w:jc w:val="left"/>
              <w:rPr>
                <w:sz w:val="12"/>
              </w:rPr>
            </w:pPr>
            <w:r>
              <w:rPr>
                <w:sz w:val="12"/>
              </w:rPr>
              <w:t>(1</w:t>
            </w:r>
            <w:r>
              <w:rPr>
                <w:spacing w:val="-3"/>
                <w:sz w:val="12"/>
              </w:rPr>
              <w:t> </w:t>
            </w:r>
            <w:r>
              <w:rPr>
                <w:spacing w:val="-2"/>
                <w:sz w:val="12"/>
              </w:rPr>
              <w:t>case)</w:t>
            </w:r>
          </w:p>
        </w:tc>
        <w:tc>
          <w:tcPr>
            <w:tcW w:w="656" w:type="dxa"/>
            <w:gridSpan w:val="2"/>
            <w:tcBorders>
              <w:top w:val="single" w:sz="4" w:space="0" w:color="000000"/>
              <w:bottom w:val="single" w:sz="4" w:space="0" w:color="000000"/>
            </w:tcBorders>
          </w:tcPr>
          <w:p>
            <w:pPr>
              <w:pStyle w:val="TableParagraph"/>
              <w:spacing w:before="79"/>
              <w:ind w:left="133"/>
              <w:jc w:val="left"/>
              <w:rPr>
                <w:sz w:val="12"/>
              </w:rPr>
            </w:pPr>
            <w:r>
              <w:rPr>
                <w:sz w:val="12"/>
              </w:rPr>
              <w:t>(1</w:t>
            </w:r>
            <w:r>
              <w:rPr>
                <w:spacing w:val="-3"/>
                <w:sz w:val="12"/>
              </w:rPr>
              <w:t> </w:t>
            </w:r>
            <w:r>
              <w:rPr>
                <w:spacing w:val="-2"/>
                <w:sz w:val="12"/>
              </w:rPr>
              <w:t>case)</w:t>
            </w:r>
          </w:p>
        </w:tc>
        <w:tc>
          <w:tcPr>
            <w:tcW w:w="640" w:type="dxa"/>
            <w:gridSpan w:val="2"/>
            <w:tcBorders>
              <w:top w:val="single" w:sz="4" w:space="0" w:color="000000"/>
              <w:bottom w:val="single" w:sz="4" w:space="0" w:color="000000"/>
            </w:tcBorders>
          </w:tcPr>
          <w:p>
            <w:pPr>
              <w:pStyle w:val="TableParagraph"/>
              <w:spacing w:before="79"/>
              <w:ind w:left="121"/>
              <w:jc w:val="left"/>
              <w:rPr>
                <w:sz w:val="12"/>
              </w:rPr>
            </w:pPr>
            <w:r>
              <w:rPr>
                <w:sz w:val="12"/>
              </w:rPr>
              <w:t>(1</w:t>
            </w:r>
            <w:r>
              <w:rPr>
                <w:spacing w:val="-3"/>
                <w:sz w:val="12"/>
              </w:rPr>
              <w:t> </w:t>
            </w:r>
            <w:r>
              <w:rPr>
                <w:spacing w:val="-2"/>
                <w:sz w:val="12"/>
              </w:rPr>
              <w:t>case)</w:t>
            </w:r>
          </w:p>
        </w:tc>
        <w:tc>
          <w:tcPr>
            <w:tcW w:w="311" w:type="dxa"/>
            <w:tcBorders>
              <w:top w:val="single" w:sz="4" w:space="0" w:color="000000"/>
              <w:bottom w:val="single" w:sz="4" w:space="0" w:color="000000"/>
            </w:tcBorders>
          </w:tcPr>
          <w:p>
            <w:pPr>
              <w:pStyle w:val="TableParagraph"/>
              <w:jc w:val="left"/>
              <w:rPr>
                <w:sz w:val="12"/>
              </w:rPr>
            </w:pPr>
          </w:p>
        </w:tc>
        <w:tc>
          <w:tcPr>
            <w:tcW w:w="390" w:type="dxa"/>
            <w:tcBorders>
              <w:top w:val="single" w:sz="4" w:space="0" w:color="000000"/>
              <w:bottom w:val="single" w:sz="4" w:space="0" w:color="000000"/>
            </w:tcBorders>
          </w:tcPr>
          <w:p>
            <w:pPr>
              <w:pStyle w:val="TableParagraph"/>
              <w:jc w:val="left"/>
              <w:rPr>
                <w:sz w:val="12"/>
              </w:rPr>
            </w:pPr>
          </w:p>
        </w:tc>
        <w:tc>
          <w:tcPr>
            <w:tcW w:w="306" w:type="dxa"/>
            <w:tcBorders>
              <w:top w:val="single" w:sz="4" w:space="0" w:color="000000"/>
              <w:bottom w:val="single" w:sz="4" w:space="0" w:color="000000"/>
            </w:tcBorders>
          </w:tcPr>
          <w:p>
            <w:pPr>
              <w:pStyle w:val="TableParagraph"/>
              <w:jc w:val="left"/>
              <w:rPr>
                <w:sz w:val="12"/>
              </w:rPr>
            </w:pPr>
          </w:p>
        </w:tc>
        <w:tc>
          <w:tcPr>
            <w:tcW w:w="388" w:type="dxa"/>
            <w:tcBorders>
              <w:top w:val="single" w:sz="4" w:space="0" w:color="000000"/>
              <w:bottom w:val="single" w:sz="4" w:space="0" w:color="000000"/>
            </w:tcBorders>
          </w:tcPr>
          <w:p>
            <w:pPr>
              <w:pStyle w:val="TableParagraph"/>
              <w:jc w:val="left"/>
              <w:rPr>
                <w:sz w:val="12"/>
              </w:rPr>
            </w:pPr>
          </w:p>
        </w:tc>
        <w:tc>
          <w:tcPr>
            <w:tcW w:w="309" w:type="dxa"/>
            <w:tcBorders>
              <w:top w:val="single" w:sz="4" w:space="0" w:color="000000"/>
              <w:bottom w:val="single" w:sz="4" w:space="0" w:color="000000"/>
            </w:tcBorders>
          </w:tcPr>
          <w:p>
            <w:pPr>
              <w:pStyle w:val="TableParagraph"/>
              <w:jc w:val="left"/>
              <w:rPr>
                <w:sz w:val="12"/>
              </w:rPr>
            </w:pPr>
          </w:p>
        </w:tc>
        <w:tc>
          <w:tcPr>
            <w:tcW w:w="374" w:type="dxa"/>
            <w:tcBorders>
              <w:top w:val="single" w:sz="4" w:space="0" w:color="000000"/>
              <w:bottom w:val="single" w:sz="4" w:space="0" w:color="000000"/>
            </w:tcBorders>
          </w:tcPr>
          <w:p>
            <w:pPr>
              <w:pStyle w:val="TableParagraph"/>
              <w:jc w:val="left"/>
              <w:rPr>
                <w:sz w:val="12"/>
              </w:rPr>
            </w:pPr>
          </w:p>
        </w:tc>
      </w:tr>
      <w:tr>
        <w:trPr>
          <w:trHeight w:val="302" w:hRule="atLeast"/>
        </w:trPr>
        <w:tc>
          <w:tcPr>
            <w:tcW w:w="797" w:type="dxa"/>
            <w:tcBorders>
              <w:top w:val="single" w:sz="4" w:space="0" w:color="000000"/>
            </w:tcBorders>
          </w:tcPr>
          <w:p>
            <w:pPr>
              <w:pStyle w:val="TableParagraph"/>
              <w:spacing w:before="84"/>
              <w:ind w:left="24"/>
              <w:jc w:val="left"/>
              <w:rPr>
                <w:sz w:val="12"/>
              </w:rPr>
            </w:pPr>
            <w:r>
              <w:rPr>
                <w:sz w:val="12"/>
              </w:rPr>
              <w:t>2022</w:t>
            </w:r>
            <w:r>
              <w:rPr>
                <w:spacing w:val="2"/>
                <w:sz w:val="12"/>
              </w:rPr>
              <w:t> </w:t>
            </w:r>
            <w:r>
              <w:rPr>
                <w:spacing w:val="-2"/>
                <w:sz w:val="12"/>
              </w:rPr>
              <w:t>Approved</w:t>
            </w:r>
          </w:p>
        </w:tc>
        <w:tc>
          <w:tcPr>
            <w:tcW w:w="299" w:type="dxa"/>
            <w:tcBorders>
              <w:top w:val="single" w:sz="4" w:space="0" w:color="000000"/>
              <w:bottom w:val="single" w:sz="4" w:space="0" w:color="000000"/>
            </w:tcBorders>
          </w:tcPr>
          <w:p>
            <w:pPr>
              <w:pStyle w:val="TableParagraph"/>
              <w:spacing w:before="84"/>
              <w:ind w:left="15" w:right="9"/>
              <w:jc w:val="center"/>
              <w:rPr>
                <w:sz w:val="12"/>
              </w:rPr>
            </w:pPr>
            <w:r>
              <w:rPr>
                <w:spacing w:val="-5"/>
                <w:sz w:val="12"/>
              </w:rPr>
              <w:t>266</w:t>
            </w:r>
          </w:p>
        </w:tc>
        <w:tc>
          <w:tcPr>
            <w:tcW w:w="362" w:type="dxa"/>
            <w:tcBorders>
              <w:top w:val="single" w:sz="4" w:space="0" w:color="000000"/>
              <w:bottom w:val="single" w:sz="4" w:space="0" w:color="000000"/>
            </w:tcBorders>
          </w:tcPr>
          <w:p>
            <w:pPr>
              <w:pStyle w:val="TableParagraph"/>
              <w:spacing w:before="84"/>
              <w:ind w:left="15" w:right="3"/>
              <w:jc w:val="center"/>
              <w:rPr>
                <w:sz w:val="12"/>
              </w:rPr>
            </w:pPr>
            <w:r>
              <w:rPr>
                <w:spacing w:val="-2"/>
                <w:sz w:val="12"/>
              </w:rPr>
              <w:t>81.10</w:t>
            </w:r>
          </w:p>
        </w:tc>
        <w:tc>
          <w:tcPr>
            <w:tcW w:w="271" w:type="dxa"/>
            <w:tcBorders>
              <w:top w:val="single" w:sz="4" w:space="0" w:color="000000"/>
              <w:bottom w:val="single" w:sz="4" w:space="0" w:color="000000"/>
            </w:tcBorders>
          </w:tcPr>
          <w:p>
            <w:pPr>
              <w:pStyle w:val="TableParagraph"/>
              <w:spacing w:before="84"/>
              <w:ind w:left="10"/>
              <w:jc w:val="center"/>
              <w:rPr>
                <w:sz w:val="12"/>
              </w:rPr>
            </w:pPr>
            <w:r>
              <w:rPr>
                <w:spacing w:val="-5"/>
                <w:sz w:val="12"/>
              </w:rPr>
              <w:t>29</w:t>
            </w:r>
          </w:p>
        </w:tc>
        <w:tc>
          <w:tcPr>
            <w:tcW w:w="350" w:type="dxa"/>
            <w:tcBorders>
              <w:top w:val="single" w:sz="4" w:space="0" w:color="000000"/>
              <w:bottom w:val="single" w:sz="4" w:space="0" w:color="000000"/>
            </w:tcBorders>
          </w:tcPr>
          <w:p>
            <w:pPr>
              <w:pStyle w:val="TableParagraph"/>
              <w:spacing w:before="84"/>
              <w:ind w:left="71"/>
              <w:jc w:val="left"/>
              <w:rPr>
                <w:sz w:val="12"/>
              </w:rPr>
            </w:pPr>
            <w:r>
              <w:rPr>
                <w:spacing w:val="-4"/>
                <w:sz w:val="12"/>
              </w:rPr>
              <w:t>4.53</w:t>
            </w:r>
          </w:p>
        </w:tc>
        <w:tc>
          <w:tcPr>
            <w:tcW w:w="266" w:type="dxa"/>
            <w:tcBorders>
              <w:top w:val="single" w:sz="4" w:space="0" w:color="000000"/>
              <w:bottom w:val="single" w:sz="4" w:space="0" w:color="000000"/>
            </w:tcBorders>
          </w:tcPr>
          <w:p>
            <w:pPr>
              <w:pStyle w:val="TableParagraph"/>
              <w:spacing w:before="84"/>
              <w:ind w:right="63"/>
              <w:rPr>
                <w:sz w:val="12"/>
              </w:rPr>
            </w:pPr>
            <w:r>
              <w:rPr>
                <w:spacing w:val="-5"/>
                <w:sz w:val="12"/>
              </w:rPr>
              <w:t>28</w:t>
            </w:r>
          </w:p>
        </w:tc>
        <w:tc>
          <w:tcPr>
            <w:tcW w:w="348" w:type="dxa"/>
            <w:tcBorders>
              <w:top w:val="single" w:sz="4" w:space="0" w:color="000000"/>
              <w:bottom w:val="single" w:sz="4" w:space="0" w:color="000000"/>
            </w:tcBorders>
          </w:tcPr>
          <w:p>
            <w:pPr>
              <w:pStyle w:val="TableParagraph"/>
              <w:spacing w:before="84"/>
              <w:ind w:left="6"/>
              <w:jc w:val="center"/>
              <w:rPr>
                <w:sz w:val="12"/>
              </w:rPr>
            </w:pPr>
            <w:r>
              <w:rPr>
                <w:spacing w:val="-4"/>
                <w:sz w:val="12"/>
              </w:rPr>
              <w:t>5.60</w:t>
            </w:r>
          </w:p>
        </w:tc>
        <w:tc>
          <w:tcPr>
            <w:tcW w:w="269" w:type="dxa"/>
            <w:tcBorders>
              <w:top w:val="single" w:sz="4" w:space="0" w:color="000000"/>
              <w:bottom w:val="single" w:sz="4" w:space="0" w:color="000000"/>
            </w:tcBorders>
          </w:tcPr>
          <w:p>
            <w:pPr>
              <w:pStyle w:val="TableParagraph"/>
              <w:spacing w:before="84"/>
              <w:ind w:left="77"/>
              <w:jc w:val="left"/>
              <w:rPr>
                <w:sz w:val="12"/>
              </w:rPr>
            </w:pPr>
            <w:r>
              <w:rPr>
                <w:spacing w:val="-5"/>
                <w:sz w:val="12"/>
              </w:rPr>
              <w:t>27</w:t>
            </w:r>
          </w:p>
        </w:tc>
        <w:tc>
          <w:tcPr>
            <w:tcW w:w="348" w:type="dxa"/>
            <w:tcBorders>
              <w:top w:val="single" w:sz="4" w:space="0" w:color="000000"/>
              <w:bottom w:val="single" w:sz="4" w:space="0" w:color="000000"/>
            </w:tcBorders>
          </w:tcPr>
          <w:p>
            <w:pPr>
              <w:pStyle w:val="TableParagraph"/>
              <w:spacing w:before="84"/>
              <w:ind w:left="11"/>
              <w:jc w:val="center"/>
              <w:rPr>
                <w:sz w:val="12"/>
              </w:rPr>
            </w:pPr>
            <w:r>
              <w:rPr>
                <w:spacing w:val="-2"/>
                <w:sz w:val="12"/>
              </w:rPr>
              <w:t>10.19</w:t>
            </w:r>
          </w:p>
        </w:tc>
        <w:tc>
          <w:tcPr>
            <w:tcW w:w="266" w:type="dxa"/>
            <w:tcBorders>
              <w:top w:val="single" w:sz="4" w:space="0" w:color="000000"/>
              <w:bottom w:val="single" w:sz="4" w:space="0" w:color="000000"/>
            </w:tcBorders>
          </w:tcPr>
          <w:p>
            <w:pPr>
              <w:pStyle w:val="TableParagraph"/>
              <w:spacing w:before="84"/>
              <w:ind w:left="9"/>
              <w:jc w:val="center"/>
              <w:rPr>
                <w:sz w:val="12"/>
              </w:rPr>
            </w:pPr>
            <w:r>
              <w:rPr>
                <w:spacing w:val="-5"/>
                <w:sz w:val="12"/>
              </w:rPr>
              <w:t>23</w:t>
            </w:r>
          </w:p>
        </w:tc>
        <w:tc>
          <w:tcPr>
            <w:tcW w:w="350" w:type="dxa"/>
            <w:tcBorders>
              <w:top w:val="single" w:sz="4" w:space="0" w:color="000000"/>
              <w:bottom w:val="single" w:sz="4" w:space="0" w:color="000000"/>
            </w:tcBorders>
          </w:tcPr>
          <w:p>
            <w:pPr>
              <w:pStyle w:val="TableParagraph"/>
              <w:spacing w:before="84"/>
              <w:ind w:left="10"/>
              <w:jc w:val="center"/>
              <w:rPr>
                <w:sz w:val="12"/>
              </w:rPr>
            </w:pPr>
            <w:r>
              <w:rPr>
                <w:spacing w:val="-2"/>
                <w:sz w:val="12"/>
              </w:rPr>
              <w:t>11.58</w:t>
            </w:r>
          </w:p>
        </w:tc>
        <w:tc>
          <w:tcPr>
            <w:tcW w:w="267" w:type="dxa"/>
            <w:tcBorders>
              <w:top w:val="single" w:sz="4" w:space="0" w:color="000000"/>
              <w:bottom w:val="single" w:sz="4" w:space="0" w:color="000000"/>
            </w:tcBorders>
          </w:tcPr>
          <w:p>
            <w:pPr>
              <w:pStyle w:val="TableParagraph"/>
              <w:spacing w:before="84"/>
              <w:ind w:left="8"/>
              <w:jc w:val="center"/>
              <w:rPr>
                <w:sz w:val="12"/>
              </w:rPr>
            </w:pPr>
            <w:r>
              <w:rPr>
                <w:w w:val="99"/>
                <w:sz w:val="12"/>
              </w:rPr>
              <w:t>-</w:t>
            </w:r>
          </w:p>
        </w:tc>
        <w:tc>
          <w:tcPr>
            <w:tcW w:w="348" w:type="dxa"/>
            <w:tcBorders>
              <w:top w:val="single" w:sz="4" w:space="0" w:color="000000"/>
              <w:bottom w:val="single" w:sz="4" w:space="0" w:color="000000"/>
            </w:tcBorders>
          </w:tcPr>
          <w:p>
            <w:pPr>
              <w:pStyle w:val="TableParagraph"/>
              <w:spacing w:before="84"/>
              <w:ind w:right="61"/>
              <w:rPr>
                <w:sz w:val="12"/>
              </w:rPr>
            </w:pPr>
            <w:r>
              <w:rPr>
                <w:spacing w:val="-4"/>
                <w:sz w:val="12"/>
              </w:rPr>
              <w:t>0.01</w:t>
            </w:r>
          </w:p>
        </w:tc>
        <w:tc>
          <w:tcPr>
            <w:tcW w:w="269" w:type="dxa"/>
            <w:tcBorders>
              <w:top w:val="single" w:sz="4" w:space="0" w:color="000000"/>
              <w:bottom w:val="single" w:sz="4" w:space="0" w:color="000000"/>
            </w:tcBorders>
          </w:tcPr>
          <w:p>
            <w:pPr>
              <w:pStyle w:val="TableParagraph"/>
              <w:spacing w:before="84"/>
              <w:ind w:left="78"/>
              <w:jc w:val="left"/>
              <w:rPr>
                <w:sz w:val="12"/>
              </w:rPr>
            </w:pPr>
            <w:r>
              <w:rPr>
                <w:spacing w:val="-5"/>
                <w:sz w:val="12"/>
              </w:rPr>
              <w:t>10</w:t>
            </w:r>
          </w:p>
        </w:tc>
        <w:tc>
          <w:tcPr>
            <w:tcW w:w="351" w:type="dxa"/>
            <w:tcBorders>
              <w:top w:val="single" w:sz="4" w:space="0" w:color="000000"/>
              <w:bottom w:val="single" w:sz="4" w:space="0" w:color="000000"/>
            </w:tcBorders>
          </w:tcPr>
          <w:p>
            <w:pPr>
              <w:pStyle w:val="TableParagraph"/>
              <w:spacing w:before="84"/>
              <w:ind w:left="9"/>
              <w:jc w:val="center"/>
              <w:rPr>
                <w:sz w:val="12"/>
              </w:rPr>
            </w:pPr>
            <w:r>
              <w:rPr>
                <w:spacing w:val="-4"/>
                <w:sz w:val="12"/>
              </w:rPr>
              <w:t>3.42</w:t>
            </w:r>
          </w:p>
        </w:tc>
        <w:tc>
          <w:tcPr>
            <w:tcW w:w="269" w:type="dxa"/>
            <w:tcBorders>
              <w:top w:val="single" w:sz="4" w:space="0" w:color="000000"/>
              <w:bottom w:val="single" w:sz="4" w:space="0" w:color="000000"/>
            </w:tcBorders>
          </w:tcPr>
          <w:p>
            <w:pPr>
              <w:pStyle w:val="TableParagraph"/>
              <w:spacing w:before="84"/>
              <w:ind w:right="65"/>
              <w:rPr>
                <w:sz w:val="12"/>
              </w:rPr>
            </w:pPr>
            <w:r>
              <w:rPr>
                <w:spacing w:val="-5"/>
                <w:sz w:val="12"/>
              </w:rPr>
              <w:t>38</w:t>
            </w:r>
          </w:p>
        </w:tc>
        <w:tc>
          <w:tcPr>
            <w:tcW w:w="348" w:type="dxa"/>
            <w:tcBorders>
              <w:top w:val="single" w:sz="4" w:space="0" w:color="000000"/>
              <w:bottom w:val="single" w:sz="4" w:space="0" w:color="000000"/>
            </w:tcBorders>
          </w:tcPr>
          <w:p>
            <w:pPr>
              <w:pStyle w:val="TableParagraph"/>
              <w:spacing w:before="84"/>
              <w:ind w:left="73"/>
              <w:jc w:val="left"/>
              <w:rPr>
                <w:sz w:val="12"/>
              </w:rPr>
            </w:pPr>
            <w:r>
              <w:rPr>
                <w:spacing w:val="-4"/>
                <w:sz w:val="12"/>
              </w:rPr>
              <w:t>6.21</w:t>
            </w:r>
          </w:p>
        </w:tc>
        <w:tc>
          <w:tcPr>
            <w:tcW w:w="269" w:type="dxa"/>
            <w:tcBorders>
              <w:top w:val="single" w:sz="4" w:space="0" w:color="000000"/>
              <w:bottom w:val="single" w:sz="4" w:space="0" w:color="000000"/>
            </w:tcBorders>
          </w:tcPr>
          <w:p>
            <w:pPr>
              <w:pStyle w:val="TableParagraph"/>
              <w:spacing w:before="84"/>
              <w:ind w:left="7"/>
              <w:jc w:val="center"/>
              <w:rPr>
                <w:sz w:val="12"/>
              </w:rPr>
            </w:pPr>
            <w:r>
              <w:rPr>
                <w:spacing w:val="-5"/>
                <w:sz w:val="12"/>
              </w:rPr>
              <w:t>15</w:t>
            </w:r>
          </w:p>
        </w:tc>
        <w:tc>
          <w:tcPr>
            <w:tcW w:w="351" w:type="dxa"/>
            <w:tcBorders>
              <w:top w:val="single" w:sz="4" w:space="0" w:color="000000"/>
              <w:bottom w:val="single" w:sz="4" w:space="0" w:color="000000"/>
            </w:tcBorders>
          </w:tcPr>
          <w:p>
            <w:pPr>
              <w:pStyle w:val="TableParagraph"/>
              <w:spacing w:before="84"/>
              <w:ind w:left="13"/>
              <w:jc w:val="center"/>
              <w:rPr>
                <w:sz w:val="12"/>
              </w:rPr>
            </w:pPr>
            <w:r>
              <w:rPr>
                <w:spacing w:val="-2"/>
                <w:sz w:val="12"/>
              </w:rPr>
              <w:t>16.84</w:t>
            </w:r>
          </w:p>
        </w:tc>
        <w:tc>
          <w:tcPr>
            <w:tcW w:w="267" w:type="dxa"/>
            <w:tcBorders>
              <w:top w:val="single" w:sz="4" w:space="0" w:color="000000"/>
              <w:bottom w:val="single" w:sz="4" w:space="0" w:color="000000"/>
            </w:tcBorders>
          </w:tcPr>
          <w:p>
            <w:pPr>
              <w:pStyle w:val="TableParagraph"/>
              <w:spacing w:before="84"/>
              <w:ind w:right="66"/>
              <w:rPr>
                <w:sz w:val="12"/>
              </w:rPr>
            </w:pPr>
            <w:r>
              <w:rPr>
                <w:spacing w:val="-5"/>
                <w:sz w:val="12"/>
              </w:rPr>
              <w:t>12</w:t>
            </w:r>
          </w:p>
        </w:tc>
        <w:tc>
          <w:tcPr>
            <w:tcW w:w="351" w:type="dxa"/>
            <w:tcBorders>
              <w:top w:val="single" w:sz="4" w:space="0" w:color="000000"/>
              <w:bottom w:val="single" w:sz="4" w:space="0" w:color="000000"/>
            </w:tcBorders>
          </w:tcPr>
          <w:p>
            <w:pPr>
              <w:pStyle w:val="TableParagraph"/>
              <w:spacing w:before="84"/>
              <w:ind w:left="6"/>
              <w:jc w:val="center"/>
              <w:rPr>
                <w:sz w:val="12"/>
              </w:rPr>
            </w:pPr>
            <w:r>
              <w:rPr>
                <w:spacing w:val="-2"/>
                <w:sz w:val="12"/>
              </w:rPr>
              <w:t>11.08</w:t>
            </w:r>
          </w:p>
        </w:tc>
        <w:tc>
          <w:tcPr>
            <w:tcW w:w="269" w:type="dxa"/>
            <w:tcBorders>
              <w:top w:val="single" w:sz="4" w:space="0" w:color="000000"/>
              <w:bottom w:val="single" w:sz="4" w:space="0" w:color="000000"/>
            </w:tcBorders>
          </w:tcPr>
          <w:p>
            <w:pPr>
              <w:pStyle w:val="TableParagraph"/>
              <w:spacing w:before="84"/>
              <w:ind w:left="105"/>
              <w:jc w:val="left"/>
              <w:rPr>
                <w:sz w:val="12"/>
              </w:rPr>
            </w:pPr>
            <w:r>
              <w:rPr>
                <w:sz w:val="12"/>
              </w:rPr>
              <w:t>7</w:t>
            </w:r>
          </w:p>
        </w:tc>
        <w:tc>
          <w:tcPr>
            <w:tcW w:w="351" w:type="dxa"/>
            <w:tcBorders>
              <w:top w:val="single" w:sz="4" w:space="0" w:color="000000"/>
              <w:bottom w:val="single" w:sz="4" w:space="0" w:color="000000"/>
            </w:tcBorders>
          </w:tcPr>
          <w:p>
            <w:pPr>
              <w:pStyle w:val="TableParagraph"/>
              <w:spacing w:before="84"/>
              <w:ind w:left="5"/>
              <w:jc w:val="center"/>
              <w:rPr>
                <w:sz w:val="12"/>
              </w:rPr>
            </w:pPr>
            <w:r>
              <w:rPr>
                <w:spacing w:val="-4"/>
                <w:sz w:val="12"/>
              </w:rPr>
              <w:t>5.33</w:t>
            </w:r>
          </w:p>
        </w:tc>
        <w:tc>
          <w:tcPr>
            <w:tcW w:w="269" w:type="dxa"/>
            <w:tcBorders>
              <w:top w:val="single" w:sz="4" w:space="0" w:color="000000"/>
              <w:bottom w:val="single" w:sz="4" w:space="0" w:color="000000"/>
            </w:tcBorders>
          </w:tcPr>
          <w:p>
            <w:pPr>
              <w:pStyle w:val="TableParagraph"/>
              <w:spacing w:before="84"/>
              <w:ind w:left="1"/>
              <w:jc w:val="center"/>
              <w:rPr>
                <w:sz w:val="12"/>
              </w:rPr>
            </w:pPr>
            <w:r>
              <w:rPr>
                <w:sz w:val="12"/>
              </w:rPr>
              <w:t>6</w:t>
            </w:r>
          </w:p>
        </w:tc>
        <w:tc>
          <w:tcPr>
            <w:tcW w:w="360" w:type="dxa"/>
            <w:tcBorders>
              <w:top w:val="single" w:sz="4" w:space="0" w:color="000000"/>
              <w:bottom w:val="single" w:sz="4" w:space="0" w:color="000000"/>
            </w:tcBorders>
          </w:tcPr>
          <w:p>
            <w:pPr>
              <w:pStyle w:val="TableParagraph"/>
              <w:spacing w:before="84"/>
              <w:ind w:left="3" w:right="5"/>
              <w:jc w:val="center"/>
              <w:rPr>
                <w:sz w:val="12"/>
              </w:rPr>
            </w:pPr>
            <w:r>
              <w:rPr>
                <w:spacing w:val="-4"/>
                <w:sz w:val="12"/>
              </w:rPr>
              <w:t>5.78</w:t>
            </w:r>
          </w:p>
        </w:tc>
        <w:tc>
          <w:tcPr>
            <w:tcW w:w="293" w:type="dxa"/>
            <w:tcBorders>
              <w:top w:val="single" w:sz="4" w:space="0" w:color="000000"/>
              <w:bottom w:val="single" w:sz="4" w:space="0" w:color="000000"/>
            </w:tcBorders>
          </w:tcPr>
          <w:p>
            <w:pPr>
              <w:pStyle w:val="TableParagraph"/>
              <w:spacing w:before="84"/>
              <w:ind w:right="2"/>
              <w:jc w:val="center"/>
              <w:rPr>
                <w:sz w:val="12"/>
              </w:rPr>
            </w:pPr>
            <w:r>
              <w:rPr>
                <w:sz w:val="12"/>
              </w:rPr>
              <w:t>3</w:t>
            </w:r>
          </w:p>
        </w:tc>
        <w:tc>
          <w:tcPr>
            <w:tcW w:w="363" w:type="dxa"/>
            <w:tcBorders>
              <w:top w:val="single" w:sz="4" w:space="0" w:color="000000"/>
              <w:bottom w:val="single" w:sz="4" w:space="0" w:color="000000"/>
            </w:tcBorders>
          </w:tcPr>
          <w:p>
            <w:pPr>
              <w:pStyle w:val="TableParagraph"/>
              <w:spacing w:before="84"/>
              <w:ind w:left="21"/>
              <w:jc w:val="center"/>
              <w:rPr>
                <w:sz w:val="12"/>
              </w:rPr>
            </w:pPr>
            <w:r>
              <w:rPr>
                <w:spacing w:val="-4"/>
                <w:sz w:val="12"/>
              </w:rPr>
              <w:t>0.36</w:t>
            </w:r>
          </w:p>
        </w:tc>
        <w:tc>
          <w:tcPr>
            <w:tcW w:w="267" w:type="dxa"/>
            <w:tcBorders>
              <w:top w:val="single" w:sz="4" w:space="0" w:color="000000"/>
              <w:bottom w:val="single" w:sz="4" w:space="0" w:color="000000"/>
            </w:tcBorders>
          </w:tcPr>
          <w:p>
            <w:pPr>
              <w:pStyle w:val="TableParagraph"/>
              <w:spacing w:before="84"/>
              <w:ind w:right="1"/>
              <w:jc w:val="center"/>
              <w:rPr>
                <w:sz w:val="12"/>
              </w:rPr>
            </w:pPr>
            <w:r>
              <w:rPr>
                <w:w w:val="99"/>
                <w:sz w:val="12"/>
              </w:rPr>
              <w:t>-</w:t>
            </w:r>
          </w:p>
        </w:tc>
        <w:tc>
          <w:tcPr>
            <w:tcW w:w="373" w:type="dxa"/>
            <w:tcBorders>
              <w:top w:val="single" w:sz="4" w:space="0" w:color="000000"/>
              <w:bottom w:val="single" w:sz="4" w:space="0" w:color="000000"/>
            </w:tcBorders>
          </w:tcPr>
          <w:p>
            <w:pPr>
              <w:pStyle w:val="TableParagraph"/>
              <w:spacing w:before="84"/>
              <w:ind w:right="17"/>
              <w:jc w:val="center"/>
              <w:rPr>
                <w:sz w:val="12"/>
              </w:rPr>
            </w:pPr>
            <w:r>
              <w:rPr>
                <w:w w:val="99"/>
                <w:sz w:val="12"/>
              </w:rPr>
              <w:t>-</w:t>
            </w:r>
          </w:p>
        </w:tc>
        <w:tc>
          <w:tcPr>
            <w:tcW w:w="311" w:type="dxa"/>
            <w:tcBorders>
              <w:top w:val="single" w:sz="4" w:space="0" w:color="000000"/>
              <w:bottom w:val="single" w:sz="4" w:space="0" w:color="000000"/>
            </w:tcBorders>
          </w:tcPr>
          <w:p>
            <w:pPr>
              <w:pStyle w:val="TableParagraph"/>
              <w:spacing w:before="84"/>
              <w:ind w:right="1"/>
              <w:jc w:val="center"/>
              <w:rPr>
                <w:sz w:val="12"/>
              </w:rPr>
            </w:pPr>
            <w:r>
              <w:rPr>
                <w:w w:val="99"/>
                <w:sz w:val="12"/>
              </w:rPr>
              <w:t>-</w:t>
            </w:r>
          </w:p>
        </w:tc>
        <w:tc>
          <w:tcPr>
            <w:tcW w:w="390" w:type="dxa"/>
            <w:tcBorders>
              <w:top w:val="single" w:sz="4" w:space="0" w:color="000000"/>
              <w:bottom w:val="single" w:sz="4" w:space="0" w:color="000000"/>
            </w:tcBorders>
          </w:tcPr>
          <w:p>
            <w:pPr>
              <w:pStyle w:val="TableParagraph"/>
              <w:spacing w:before="84"/>
              <w:jc w:val="center"/>
              <w:rPr>
                <w:sz w:val="12"/>
              </w:rPr>
            </w:pPr>
            <w:r>
              <w:rPr>
                <w:w w:val="99"/>
                <w:sz w:val="12"/>
              </w:rPr>
              <w:t>-</w:t>
            </w:r>
          </w:p>
        </w:tc>
        <w:tc>
          <w:tcPr>
            <w:tcW w:w="306" w:type="dxa"/>
            <w:tcBorders>
              <w:top w:val="single" w:sz="4" w:space="0" w:color="000000"/>
              <w:bottom w:val="single" w:sz="4" w:space="0" w:color="000000"/>
            </w:tcBorders>
          </w:tcPr>
          <w:p>
            <w:pPr>
              <w:pStyle w:val="TableParagraph"/>
              <w:spacing w:before="84"/>
              <w:ind w:right="4"/>
              <w:jc w:val="center"/>
              <w:rPr>
                <w:sz w:val="12"/>
              </w:rPr>
            </w:pPr>
            <w:r>
              <w:rPr>
                <w:w w:val="99"/>
                <w:sz w:val="12"/>
              </w:rPr>
              <w:t>-</w:t>
            </w:r>
          </w:p>
        </w:tc>
        <w:tc>
          <w:tcPr>
            <w:tcW w:w="388" w:type="dxa"/>
            <w:tcBorders>
              <w:top w:val="single" w:sz="4" w:space="0" w:color="000000"/>
              <w:bottom w:val="single" w:sz="4" w:space="0" w:color="000000"/>
            </w:tcBorders>
          </w:tcPr>
          <w:p>
            <w:pPr>
              <w:pStyle w:val="TableParagraph"/>
              <w:spacing w:before="84"/>
              <w:ind w:right="7"/>
              <w:jc w:val="center"/>
              <w:rPr>
                <w:sz w:val="12"/>
              </w:rPr>
            </w:pPr>
            <w:r>
              <w:rPr>
                <w:w w:val="99"/>
                <w:sz w:val="12"/>
              </w:rPr>
              <w:t>-</w:t>
            </w:r>
          </w:p>
        </w:tc>
        <w:tc>
          <w:tcPr>
            <w:tcW w:w="309" w:type="dxa"/>
            <w:tcBorders>
              <w:top w:val="single" w:sz="4" w:space="0" w:color="000000"/>
              <w:bottom w:val="single" w:sz="4" w:space="0" w:color="000000"/>
            </w:tcBorders>
          </w:tcPr>
          <w:p>
            <w:pPr>
              <w:pStyle w:val="TableParagraph"/>
              <w:spacing w:before="84"/>
              <w:ind w:right="12"/>
              <w:jc w:val="center"/>
              <w:rPr>
                <w:sz w:val="12"/>
              </w:rPr>
            </w:pPr>
            <w:r>
              <w:rPr>
                <w:w w:val="99"/>
                <w:sz w:val="12"/>
              </w:rPr>
              <w:t>-</w:t>
            </w:r>
          </w:p>
        </w:tc>
        <w:tc>
          <w:tcPr>
            <w:tcW w:w="374" w:type="dxa"/>
            <w:tcBorders>
              <w:top w:val="single" w:sz="4" w:space="0" w:color="000000"/>
              <w:bottom w:val="single" w:sz="4" w:space="0" w:color="000000"/>
            </w:tcBorders>
          </w:tcPr>
          <w:p>
            <w:pPr>
              <w:pStyle w:val="TableParagraph"/>
              <w:spacing w:before="84"/>
              <w:ind w:right="4"/>
              <w:jc w:val="center"/>
              <w:rPr>
                <w:sz w:val="12"/>
              </w:rPr>
            </w:pPr>
            <w:r>
              <w:rPr>
                <w:w w:val="99"/>
                <w:sz w:val="12"/>
              </w:rPr>
              <w:t>-</w:t>
            </w:r>
          </w:p>
        </w:tc>
      </w:tr>
      <w:tr>
        <w:trPr>
          <w:trHeight w:val="297" w:hRule="atLeast"/>
        </w:trPr>
        <w:tc>
          <w:tcPr>
            <w:tcW w:w="797" w:type="dxa"/>
            <w:tcBorders>
              <w:bottom w:val="single" w:sz="4" w:space="0" w:color="000000"/>
            </w:tcBorders>
          </w:tcPr>
          <w:p>
            <w:pPr>
              <w:pStyle w:val="TableParagraph"/>
              <w:jc w:val="left"/>
              <w:rPr>
                <w:sz w:val="12"/>
              </w:rPr>
            </w:pPr>
          </w:p>
        </w:tc>
        <w:tc>
          <w:tcPr>
            <w:tcW w:w="661" w:type="dxa"/>
            <w:gridSpan w:val="2"/>
            <w:tcBorders>
              <w:top w:val="single" w:sz="4" w:space="0" w:color="000000"/>
              <w:bottom w:val="single" w:sz="4" w:space="0" w:color="000000"/>
            </w:tcBorders>
          </w:tcPr>
          <w:p>
            <w:pPr>
              <w:pStyle w:val="TableParagraph"/>
              <w:spacing w:before="84"/>
              <w:ind w:left="91"/>
              <w:jc w:val="left"/>
              <w:rPr>
                <w:sz w:val="12"/>
              </w:rPr>
            </w:pPr>
            <w:r>
              <w:rPr>
                <w:sz w:val="12"/>
              </w:rPr>
              <w:t>(22</w:t>
            </w:r>
            <w:r>
              <w:rPr>
                <w:spacing w:val="-1"/>
                <w:sz w:val="12"/>
              </w:rPr>
              <w:t> </w:t>
            </w:r>
            <w:r>
              <w:rPr>
                <w:spacing w:val="-2"/>
                <w:sz w:val="12"/>
              </w:rPr>
              <w:t>cases)</w:t>
            </w:r>
          </w:p>
        </w:tc>
        <w:tc>
          <w:tcPr>
            <w:tcW w:w="621" w:type="dxa"/>
            <w:gridSpan w:val="2"/>
            <w:tcBorders>
              <w:top w:val="single" w:sz="4" w:space="0" w:color="000000"/>
              <w:bottom w:val="single" w:sz="4" w:space="0" w:color="000000"/>
            </w:tcBorders>
          </w:tcPr>
          <w:p>
            <w:pPr>
              <w:pStyle w:val="TableParagraph"/>
              <w:spacing w:before="84"/>
              <w:ind w:left="102"/>
              <w:jc w:val="left"/>
              <w:rPr>
                <w:sz w:val="12"/>
              </w:rPr>
            </w:pPr>
            <w:r>
              <w:rPr>
                <w:sz w:val="12"/>
              </w:rPr>
              <w:t>(2</w:t>
            </w:r>
            <w:r>
              <w:rPr>
                <w:spacing w:val="-3"/>
                <w:sz w:val="12"/>
              </w:rPr>
              <w:t> </w:t>
            </w:r>
            <w:r>
              <w:rPr>
                <w:spacing w:val="-2"/>
                <w:sz w:val="12"/>
              </w:rPr>
              <w:t>cases)</w:t>
            </w:r>
          </w:p>
        </w:tc>
        <w:tc>
          <w:tcPr>
            <w:tcW w:w="614" w:type="dxa"/>
            <w:gridSpan w:val="2"/>
            <w:tcBorders>
              <w:top w:val="single" w:sz="4" w:space="0" w:color="000000"/>
              <w:bottom w:val="single" w:sz="4" w:space="0" w:color="000000"/>
            </w:tcBorders>
          </w:tcPr>
          <w:p>
            <w:pPr>
              <w:pStyle w:val="TableParagraph"/>
              <w:spacing w:before="84"/>
              <w:ind w:left="125"/>
              <w:jc w:val="left"/>
              <w:rPr>
                <w:sz w:val="12"/>
              </w:rPr>
            </w:pPr>
            <w:r>
              <w:rPr>
                <w:sz w:val="12"/>
              </w:rPr>
              <w:t>(1</w:t>
            </w:r>
            <w:r>
              <w:rPr>
                <w:spacing w:val="-3"/>
                <w:sz w:val="12"/>
              </w:rPr>
              <w:t> </w:t>
            </w:r>
            <w:r>
              <w:rPr>
                <w:spacing w:val="-2"/>
                <w:sz w:val="12"/>
              </w:rPr>
              <w:t>case)</w:t>
            </w:r>
          </w:p>
        </w:tc>
        <w:tc>
          <w:tcPr>
            <w:tcW w:w="617" w:type="dxa"/>
            <w:gridSpan w:val="2"/>
            <w:tcBorders>
              <w:top w:val="single" w:sz="4" w:space="0" w:color="000000"/>
              <w:bottom w:val="single" w:sz="4" w:space="0" w:color="000000"/>
            </w:tcBorders>
          </w:tcPr>
          <w:p>
            <w:pPr>
              <w:pStyle w:val="TableParagraph"/>
              <w:spacing w:before="84"/>
              <w:ind w:left="101"/>
              <w:jc w:val="left"/>
              <w:rPr>
                <w:sz w:val="12"/>
              </w:rPr>
            </w:pPr>
            <w:r>
              <w:rPr>
                <w:sz w:val="12"/>
              </w:rPr>
              <w:t>(3</w:t>
            </w:r>
            <w:r>
              <w:rPr>
                <w:spacing w:val="-3"/>
                <w:sz w:val="12"/>
              </w:rPr>
              <w:t> </w:t>
            </w:r>
            <w:r>
              <w:rPr>
                <w:spacing w:val="-2"/>
                <w:sz w:val="12"/>
              </w:rPr>
              <w:t>cases)</w:t>
            </w:r>
          </w:p>
        </w:tc>
        <w:tc>
          <w:tcPr>
            <w:tcW w:w="616" w:type="dxa"/>
            <w:gridSpan w:val="2"/>
            <w:tcBorders>
              <w:top w:val="single" w:sz="4" w:space="0" w:color="000000"/>
              <w:bottom w:val="single" w:sz="4" w:space="0" w:color="000000"/>
            </w:tcBorders>
          </w:tcPr>
          <w:p>
            <w:pPr>
              <w:pStyle w:val="TableParagraph"/>
              <w:spacing w:before="84"/>
              <w:ind w:left="99"/>
              <w:jc w:val="left"/>
              <w:rPr>
                <w:sz w:val="12"/>
              </w:rPr>
            </w:pPr>
            <w:r>
              <w:rPr>
                <w:sz w:val="12"/>
              </w:rPr>
              <w:t>(2</w:t>
            </w:r>
            <w:r>
              <w:rPr>
                <w:spacing w:val="-3"/>
                <w:sz w:val="12"/>
              </w:rPr>
              <w:t> </w:t>
            </w:r>
            <w:r>
              <w:rPr>
                <w:spacing w:val="-2"/>
                <w:sz w:val="12"/>
              </w:rPr>
              <w:t>cases)</w:t>
            </w:r>
          </w:p>
        </w:tc>
        <w:tc>
          <w:tcPr>
            <w:tcW w:w="615" w:type="dxa"/>
            <w:gridSpan w:val="2"/>
            <w:tcBorders>
              <w:top w:val="single" w:sz="4" w:space="0" w:color="000000"/>
              <w:bottom w:val="single" w:sz="4" w:space="0" w:color="000000"/>
            </w:tcBorders>
          </w:tcPr>
          <w:p>
            <w:pPr>
              <w:pStyle w:val="TableParagraph"/>
              <w:spacing w:before="84"/>
              <w:ind w:left="127"/>
              <w:jc w:val="left"/>
              <w:rPr>
                <w:sz w:val="12"/>
              </w:rPr>
            </w:pPr>
            <w:r>
              <w:rPr>
                <w:sz w:val="12"/>
              </w:rPr>
              <w:t>(1</w:t>
            </w:r>
            <w:r>
              <w:rPr>
                <w:spacing w:val="-3"/>
                <w:sz w:val="12"/>
              </w:rPr>
              <w:t> </w:t>
            </w:r>
            <w:r>
              <w:rPr>
                <w:spacing w:val="-2"/>
                <w:sz w:val="12"/>
              </w:rPr>
              <w:t>case)</w:t>
            </w:r>
          </w:p>
        </w:tc>
        <w:tc>
          <w:tcPr>
            <w:tcW w:w="620" w:type="dxa"/>
            <w:gridSpan w:val="2"/>
            <w:tcBorders>
              <w:top w:val="single" w:sz="4" w:space="0" w:color="000000"/>
              <w:bottom w:val="single" w:sz="4" w:space="0" w:color="000000"/>
            </w:tcBorders>
          </w:tcPr>
          <w:p>
            <w:pPr>
              <w:pStyle w:val="TableParagraph"/>
              <w:spacing w:before="84"/>
              <w:ind w:left="102"/>
              <w:jc w:val="left"/>
              <w:rPr>
                <w:sz w:val="12"/>
              </w:rPr>
            </w:pPr>
            <w:r>
              <w:rPr>
                <w:sz w:val="12"/>
              </w:rPr>
              <w:t>(4</w:t>
            </w:r>
            <w:r>
              <w:rPr>
                <w:spacing w:val="-3"/>
                <w:sz w:val="12"/>
              </w:rPr>
              <w:t> </w:t>
            </w:r>
            <w:r>
              <w:rPr>
                <w:spacing w:val="-2"/>
                <w:sz w:val="12"/>
              </w:rPr>
              <w:t>cases)</w:t>
            </w:r>
          </w:p>
        </w:tc>
        <w:tc>
          <w:tcPr>
            <w:tcW w:w="617" w:type="dxa"/>
            <w:gridSpan w:val="2"/>
            <w:tcBorders>
              <w:top w:val="single" w:sz="4" w:space="0" w:color="000000"/>
              <w:bottom w:val="single" w:sz="4" w:space="0" w:color="000000"/>
            </w:tcBorders>
          </w:tcPr>
          <w:p>
            <w:pPr>
              <w:pStyle w:val="TableParagraph"/>
              <w:spacing w:before="84"/>
              <w:ind w:left="102"/>
              <w:jc w:val="left"/>
              <w:rPr>
                <w:sz w:val="12"/>
              </w:rPr>
            </w:pPr>
            <w:r>
              <w:rPr>
                <w:sz w:val="12"/>
              </w:rPr>
              <w:t>(2</w:t>
            </w:r>
            <w:r>
              <w:rPr>
                <w:spacing w:val="-3"/>
                <w:sz w:val="12"/>
              </w:rPr>
              <w:t> </w:t>
            </w:r>
            <w:r>
              <w:rPr>
                <w:spacing w:val="-2"/>
                <w:sz w:val="12"/>
              </w:rPr>
              <w:t>cases)</w:t>
            </w:r>
          </w:p>
        </w:tc>
        <w:tc>
          <w:tcPr>
            <w:tcW w:w="620" w:type="dxa"/>
            <w:gridSpan w:val="2"/>
            <w:tcBorders>
              <w:top w:val="single" w:sz="4" w:space="0" w:color="000000"/>
              <w:bottom w:val="single" w:sz="4" w:space="0" w:color="000000"/>
            </w:tcBorders>
          </w:tcPr>
          <w:p>
            <w:pPr>
              <w:pStyle w:val="TableParagraph"/>
              <w:spacing w:before="84"/>
              <w:ind w:left="99"/>
              <w:jc w:val="left"/>
              <w:rPr>
                <w:sz w:val="12"/>
              </w:rPr>
            </w:pPr>
            <w:r>
              <w:rPr>
                <w:sz w:val="12"/>
              </w:rPr>
              <w:t>(2</w:t>
            </w:r>
            <w:r>
              <w:rPr>
                <w:spacing w:val="-3"/>
                <w:sz w:val="12"/>
              </w:rPr>
              <w:t> </w:t>
            </w:r>
            <w:r>
              <w:rPr>
                <w:spacing w:val="-2"/>
                <w:sz w:val="12"/>
              </w:rPr>
              <w:t>cases)</w:t>
            </w:r>
          </w:p>
        </w:tc>
        <w:tc>
          <w:tcPr>
            <w:tcW w:w="618" w:type="dxa"/>
            <w:gridSpan w:val="2"/>
            <w:tcBorders>
              <w:top w:val="single" w:sz="4" w:space="0" w:color="000000"/>
              <w:bottom w:val="single" w:sz="4" w:space="0" w:color="000000"/>
            </w:tcBorders>
          </w:tcPr>
          <w:p>
            <w:pPr>
              <w:pStyle w:val="TableParagraph"/>
              <w:spacing w:before="84"/>
              <w:ind w:left="123"/>
              <w:jc w:val="left"/>
              <w:rPr>
                <w:sz w:val="12"/>
              </w:rPr>
            </w:pPr>
            <w:r>
              <w:rPr>
                <w:sz w:val="12"/>
              </w:rPr>
              <w:t>(1</w:t>
            </w:r>
            <w:r>
              <w:rPr>
                <w:spacing w:val="-3"/>
                <w:sz w:val="12"/>
              </w:rPr>
              <w:t> </w:t>
            </w:r>
            <w:r>
              <w:rPr>
                <w:spacing w:val="-2"/>
                <w:sz w:val="12"/>
              </w:rPr>
              <w:t>case)</w:t>
            </w:r>
          </w:p>
        </w:tc>
        <w:tc>
          <w:tcPr>
            <w:tcW w:w="620" w:type="dxa"/>
            <w:gridSpan w:val="2"/>
            <w:tcBorders>
              <w:top w:val="single" w:sz="4" w:space="0" w:color="000000"/>
              <w:bottom w:val="single" w:sz="4" w:space="0" w:color="000000"/>
            </w:tcBorders>
          </w:tcPr>
          <w:p>
            <w:pPr>
              <w:pStyle w:val="TableParagraph"/>
              <w:spacing w:before="84"/>
              <w:ind w:left="124"/>
              <w:jc w:val="left"/>
              <w:rPr>
                <w:sz w:val="12"/>
              </w:rPr>
            </w:pPr>
            <w:r>
              <w:rPr>
                <w:sz w:val="12"/>
              </w:rPr>
              <w:t>(1</w:t>
            </w:r>
            <w:r>
              <w:rPr>
                <w:spacing w:val="-3"/>
                <w:sz w:val="12"/>
              </w:rPr>
              <w:t> </w:t>
            </w:r>
            <w:r>
              <w:rPr>
                <w:spacing w:val="-2"/>
                <w:sz w:val="12"/>
              </w:rPr>
              <w:t>case)</w:t>
            </w:r>
          </w:p>
        </w:tc>
        <w:tc>
          <w:tcPr>
            <w:tcW w:w="629" w:type="dxa"/>
            <w:gridSpan w:val="2"/>
            <w:tcBorders>
              <w:top w:val="single" w:sz="4" w:space="0" w:color="000000"/>
              <w:bottom w:val="single" w:sz="4" w:space="0" w:color="000000"/>
            </w:tcBorders>
          </w:tcPr>
          <w:p>
            <w:pPr>
              <w:pStyle w:val="TableParagraph"/>
              <w:spacing w:before="84"/>
              <w:ind w:left="124"/>
              <w:jc w:val="left"/>
              <w:rPr>
                <w:sz w:val="12"/>
              </w:rPr>
            </w:pPr>
            <w:r>
              <w:rPr>
                <w:sz w:val="12"/>
              </w:rPr>
              <w:t>(1</w:t>
            </w:r>
            <w:r>
              <w:rPr>
                <w:spacing w:val="-3"/>
                <w:sz w:val="12"/>
              </w:rPr>
              <w:t> </w:t>
            </w:r>
            <w:r>
              <w:rPr>
                <w:spacing w:val="-2"/>
                <w:sz w:val="12"/>
              </w:rPr>
              <w:t>case)</w:t>
            </w:r>
          </w:p>
        </w:tc>
        <w:tc>
          <w:tcPr>
            <w:tcW w:w="656" w:type="dxa"/>
            <w:gridSpan w:val="2"/>
            <w:tcBorders>
              <w:top w:val="single" w:sz="4" w:space="0" w:color="000000"/>
              <w:bottom w:val="single" w:sz="4" w:space="0" w:color="000000"/>
            </w:tcBorders>
          </w:tcPr>
          <w:p>
            <w:pPr>
              <w:pStyle w:val="TableParagraph"/>
              <w:spacing w:before="84"/>
              <w:ind w:left="133"/>
              <w:jc w:val="left"/>
              <w:rPr>
                <w:sz w:val="12"/>
              </w:rPr>
            </w:pPr>
            <w:r>
              <w:rPr>
                <w:sz w:val="12"/>
              </w:rPr>
              <w:t>(1</w:t>
            </w:r>
            <w:r>
              <w:rPr>
                <w:spacing w:val="-3"/>
                <w:sz w:val="12"/>
              </w:rPr>
              <w:t> </w:t>
            </w:r>
            <w:r>
              <w:rPr>
                <w:spacing w:val="-2"/>
                <w:sz w:val="12"/>
              </w:rPr>
              <w:t>case)</w:t>
            </w:r>
          </w:p>
        </w:tc>
        <w:tc>
          <w:tcPr>
            <w:tcW w:w="640" w:type="dxa"/>
            <w:gridSpan w:val="2"/>
            <w:tcBorders>
              <w:top w:val="single" w:sz="4" w:space="0" w:color="000000"/>
              <w:bottom w:val="single" w:sz="4" w:space="0" w:color="000000"/>
            </w:tcBorders>
          </w:tcPr>
          <w:p>
            <w:pPr>
              <w:pStyle w:val="TableParagraph"/>
              <w:spacing w:before="84"/>
              <w:ind w:left="121"/>
              <w:jc w:val="left"/>
              <w:rPr>
                <w:sz w:val="12"/>
              </w:rPr>
            </w:pPr>
            <w:r>
              <w:rPr>
                <w:sz w:val="12"/>
              </w:rPr>
              <w:t>(1</w:t>
            </w:r>
            <w:r>
              <w:rPr>
                <w:spacing w:val="-3"/>
                <w:sz w:val="12"/>
              </w:rPr>
              <w:t> </w:t>
            </w:r>
            <w:r>
              <w:rPr>
                <w:spacing w:val="-2"/>
                <w:sz w:val="12"/>
              </w:rPr>
              <w:t>case)</w:t>
            </w:r>
          </w:p>
        </w:tc>
        <w:tc>
          <w:tcPr>
            <w:tcW w:w="311" w:type="dxa"/>
            <w:tcBorders>
              <w:top w:val="single" w:sz="4" w:space="0" w:color="000000"/>
              <w:bottom w:val="single" w:sz="4" w:space="0" w:color="000000"/>
            </w:tcBorders>
          </w:tcPr>
          <w:p>
            <w:pPr>
              <w:pStyle w:val="TableParagraph"/>
              <w:jc w:val="left"/>
              <w:rPr>
                <w:sz w:val="12"/>
              </w:rPr>
            </w:pPr>
          </w:p>
        </w:tc>
        <w:tc>
          <w:tcPr>
            <w:tcW w:w="390" w:type="dxa"/>
            <w:tcBorders>
              <w:top w:val="single" w:sz="4" w:space="0" w:color="000000"/>
              <w:bottom w:val="single" w:sz="4" w:space="0" w:color="000000"/>
            </w:tcBorders>
          </w:tcPr>
          <w:p>
            <w:pPr>
              <w:pStyle w:val="TableParagraph"/>
              <w:jc w:val="left"/>
              <w:rPr>
                <w:sz w:val="12"/>
              </w:rPr>
            </w:pPr>
          </w:p>
        </w:tc>
        <w:tc>
          <w:tcPr>
            <w:tcW w:w="306" w:type="dxa"/>
            <w:tcBorders>
              <w:top w:val="single" w:sz="4" w:space="0" w:color="000000"/>
              <w:bottom w:val="single" w:sz="4" w:space="0" w:color="000000"/>
            </w:tcBorders>
          </w:tcPr>
          <w:p>
            <w:pPr>
              <w:pStyle w:val="TableParagraph"/>
              <w:jc w:val="left"/>
              <w:rPr>
                <w:sz w:val="12"/>
              </w:rPr>
            </w:pPr>
          </w:p>
        </w:tc>
        <w:tc>
          <w:tcPr>
            <w:tcW w:w="388" w:type="dxa"/>
            <w:tcBorders>
              <w:top w:val="single" w:sz="4" w:space="0" w:color="000000"/>
              <w:bottom w:val="single" w:sz="4" w:space="0" w:color="000000"/>
            </w:tcBorders>
          </w:tcPr>
          <w:p>
            <w:pPr>
              <w:pStyle w:val="TableParagraph"/>
              <w:jc w:val="left"/>
              <w:rPr>
                <w:sz w:val="12"/>
              </w:rPr>
            </w:pPr>
          </w:p>
        </w:tc>
        <w:tc>
          <w:tcPr>
            <w:tcW w:w="309" w:type="dxa"/>
            <w:tcBorders>
              <w:top w:val="single" w:sz="4" w:space="0" w:color="000000"/>
              <w:bottom w:val="single" w:sz="4" w:space="0" w:color="000000"/>
            </w:tcBorders>
          </w:tcPr>
          <w:p>
            <w:pPr>
              <w:pStyle w:val="TableParagraph"/>
              <w:jc w:val="left"/>
              <w:rPr>
                <w:sz w:val="12"/>
              </w:rPr>
            </w:pPr>
          </w:p>
        </w:tc>
        <w:tc>
          <w:tcPr>
            <w:tcW w:w="374" w:type="dxa"/>
            <w:tcBorders>
              <w:top w:val="single" w:sz="4" w:space="0" w:color="000000"/>
              <w:bottom w:val="single" w:sz="4" w:space="0" w:color="000000"/>
            </w:tcBorders>
          </w:tcPr>
          <w:p>
            <w:pPr>
              <w:pStyle w:val="TableParagraph"/>
              <w:jc w:val="left"/>
              <w:rPr>
                <w:sz w:val="12"/>
              </w:rPr>
            </w:pPr>
          </w:p>
        </w:tc>
      </w:tr>
      <w:tr>
        <w:trPr>
          <w:trHeight w:val="302" w:hRule="atLeast"/>
        </w:trPr>
        <w:tc>
          <w:tcPr>
            <w:tcW w:w="797" w:type="dxa"/>
            <w:tcBorders>
              <w:top w:val="single" w:sz="4" w:space="0" w:color="000000"/>
            </w:tcBorders>
          </w:tcPr>
          <w:p>
            <w:pPr>
              <w:pStyle w:val="TableParagraph"/>
              <w:spacing w:before="85"/>
              <w:ind w:left="38"/>
              <w:jc w:val="left"/>
              <w:rPr>
                <w:sz w:val="12"/>
              </w:rPr>
            </w:pPr>
            <w:r>
              <w:rPr>
                <w:sz w:val="12"/>
              </w:rPr>
              <w:t>2023</w:t>
            </w:r>
            <w:r>
              <w:rPr>
                <w:spacing w:val="2"/>
                <w:sz w:val="12"/>
              </w:rPr>
              <w:t> </w:t>
            </w:r>
            <w:r>
              <w:rPr>
                <w:spacing w:val="-2"/>
                <w:sz w:val="12"/>
              </w:rPr>
              <w:t>Proposed</w:t>
            </w:r>
          </w:p>
        </w:tc>
        <w:tc>
          <w:tcPr>
            <w:tcW w:w="299" w:type="dxa"/>
            <w:tcBorders>
              <w:top w:val="single" w:sz="4" w:space="0" w:color="000000"/>
              <w:bottom w:val="single" w:sz="4" w:space="0" w:color="000000"/>
            </w:tcBorders>
          </w:tcPr>
          <w:p>
            <w:pPr>
              <w:pStyle w:val="TableParagraph"/>
              <w:spacing w:before="85"/>
              <w:ind w:left="15" w:right="9"/>
              <w:jc w:val="center"/>
              <w:rPr>
                <w:sz w:val="12"/>
              </w:rPr>
            </w:pPr>
            <w:r>
              <w:rPr>
                <w:spacing w:val="-5"/>
                <w:sz w:val="12"/>
              </w:rPr>
              <w:t>280</w:t>
            </w:r>
          </w:p>
        </w:tc>
        <w:tc>
          <w:tcPr>
            <w:tcW w:w="362" w:type="dxa"/>
            <w:tcBorders>
              <w:top w:val="single" w:sz="4" w:space="0" w:color="000000"/>
              <w:bottom w:val="single" w:sz="4" w:space="0" w:color="000000"/>
            </w:tcBorders>
          </w:tcPr>
          <w:p>
            <w:pPr>
              <w:pStyle w:val="TableParagraph"/>
              <w:spacing w:before="85"/>
              <w:ind w:left="15" w:right="3"/>
              <w:jc w:val="center"/>
              <w:rPr>
                <w:sz w:val="12"/>
              </w:rPr>
            </w:pPr>
            <w:r>
              <w:rPr>
                <w:spacing w:val="-2"/>
                <w:sz w:val="12"/>
              </w:rPr>
              <w:t>95.66</w:t>
            </w:r>
          </w:p>
        </w:tc>
        <w:tc>
          <w:tcPr>
            <w:tcW w:w="271" w:type="dxa"/>
            <w:tcBorders>
              <w:top w:val="single" w:sz="4" w:space="0" w:color="000000"/>
              <w:bottom w:val="single" w:sz="4" w:space="0" w:color="000000"/>
            </w:tcBorders>
          </w:tcPr>
          <w:p>
            <w:pPr>
              <w:pStyle w:val="TableParagraph"/>
              <w:spacing w:before="85"/>
              <w:ind w:left="10"/>
              <w:jc w:val="center"/>
              <w:rPr>
                <w:sz w:val="12"/>
              </w:rPr>
            </w:pPr>
            <w:r>
              <w:rPr>
                <w:spacing w:val="-5"/>
                <w:sz w:val="12"/>
              </w:rPr>
              <w:t>23</w:t>
            </w:r>
          </w:p>
        </w:tc>
        <w:tc>
          <w:tcPr>
            <w:tcW w:w="350" w:type="dxa"/>
            <w:tcBorders>
              <w:top w:val="single" w:sz="4" w:space="0" w:color="000000"/>
              <w:bottom w:val="single" w:sz="4" w:space="0" w:color="000000"/>
            </w:tcBorders>
          </w:tcPr>
          <w:p>
            <w:pPr>
              <w:pStyle w:val="TableParagraph"/>
              <w:spacing w:before="85"/>
              <w:ind w:left="71"/>
              <w:jc w:val="left"/>
              <w:rPr>
                <w:sz w:val="12"/>
              </w:rPr>
            </w:pPr>
            <w:r>
              <w:rPr>
                <w:spacing w:val="-4"/>
                <w:sz w:val="12"/>
              </w:rPr>
              <w:t>3.52</w:t>
            </w:r>
          </w:p>
        </w:tc>
        <w:tc>
          <w:tcPr>
            <w:tcW w:w="266" w:type="dxa"/>
            <w:tcBorders>
              <w:top w:val="single" w:sz="4" w:space="0" w:color="000000"/>
              <w:bottom w:val="single" w:sz="4" w:space="0" w:color="000000"/>
            </w:tcBorders>
          </w:tcPr>
          <w:p>
            <w:pPr>
              <w:pStyle w:val="TableParagraph"/>
              <w:spacing w:before="85"/>
              <w:ind w:right="63"/>
              <w:rPr>
                <w:sz w:val="12"/>
              </w:rPr>
            </w:pPr>
            <w:r>
              <w:rPr>
                <w:spacing w:val="-5"/>
                <w:sz w:val="12"/>
              </w:rPr>
              <w:t>13</w:t>
            </w:r>
          </w:p>
        </w:tc>
        <w:tc>
          <w:tcPr>
            <w:tcW w:w="348" w:type="dxa"/>
            <w:tcBorders>
              <w:top w:val="single" w:sz="4" w:space="0" w:color="000000"/>
              <w:bottom w:val="single" w:sz="4" w:space="0" w:color="000000"/>
            </w:tcBorders>
          </w:tcPr>
          <w:p>
            <w:pPr>
              <w:pStyle w:val="TableParagraph"/>
              <w:spacing w:before="85"/>
              <w:ind w:left="6"/>
              <w:jc w:val="center"/>
              <w:rPr>
                <w:sz w:val="12"/>
              </w:rPr>
            </w:pPr>
            <w:r>
              <w:rPr>
                <w:spacing w:val="-4"/>
                <w:sz w:val="12"/>
              </w:rPr>
              <w:t>4.48</w:t>
            </w:r>
          </w:p>
        </w:tc>
        <w:tc>
          <w:tcPr>
            <w:tcW w:w="269" w:type="dxa"/>
            <w:tcBorders>
              <w:top w:val="single" w:sz="4" w:space="0" w:color="000000"/>
              <w:bottom w:val="single" w:sz="4" w:space="0" w:color="000000"/>
            </w:tcBorders>
          </w:tcPr>
          <w:p>
            <w:pPr>
              <w:pStyle w:val="TableParagraph"/>
              <w:spacing w:before="85"/>
              <w:ind w:left="77"/>
              <w:jc w:val="left"/>
              <w:rPr>
                <w:sz w:val="12"/>
              </w:rPr>
            </w:pPr>
            <w:r>
              <w:rPr>
                <w:spacing w:val="-5"/>
                <w:sz w:val="12"/>
              </w:rPr>
              <w:t>23</w:t>
            </w:r>
          </w:p>
        </w:tc>
        <w:tc>
          <w:tcPr>
            <w:tcW w:w="348" w:type="dxa"/>
            <w:tcBorders>
              <w:top w:val="single" w:sz="4" w:space="0" w:color="000000"/>
              <w:bottom w:val="single" w:sz="4" w:space="0" w:color="000000"/>
            </w:tcBorders>
          </w:tcPr>
          <w:p>
            <w:pPr>
              <w:pStyle w:val="TableParagraph"/>
              <w:spacing w:before="85"/>
              <w:ind w:left="11"/>
              <w:jc w:val="center"/>
              <w:rPr>
                <w:sz w:val="12"/>
              </w:rPr>
            </w:pPr>
            <w:r>
              <w:rPr>
                <w:spacing w:val="-2"/>
                <w:sz w:val="12"/>
              </w:rPr>
              <w:t>16.52</w:t>
            </w:r>
          </w:p>
        </w:tc>
        <w:tc>
          <w:tcPr>
            <w:tcW w:w="266" w:type="dxa"/>
            <w:tcBorders>
              <w:top w:val="single" w:sz="4" w:space="0" w:color="000000"/>
              <w:bottom w:val="single" w:sz="4" w:space="0" w:color="000000"/>
            </w:tcBorders>
          </w:tcPr>
          <w:p>
            <w:pPr>
              <w:pStyle w:val="TableParagraph"/>
              <w:spacing w:before="85"/>
              <w:ind w:left="9"/>
              <w:jc w:val="center"/>
              <w:rPr>
                <w:sz w:val="12"/>
              </w:rPr>
            </w:pPr>
            <w:r>
              <w:rPr>
                <w:spacing w:val="-5"/>
                <w:sz w:val="12"/>
              </w:rPr>
              <w:t>21</w:t>
            </w:r>
          </w:p>
        </w:tc>
        <w:tc>
          <w:tcPr>
            <w:tcW w:w="350" w:type="dxa"/>
            <w:tcBorders>
              <w:top w:val="single" w:sz="4" w:space="0" w:color="000000"/>
              <w:bottom w:val="single" w:sz="4" w:space="0" w:color="000000"/>
            </w:tcBorders>
          </w:tcPr>
          <w:p>
            <w:pPr>
              <w:pStyle w:val="TableParagraph"/>
              <w:spacing w:before="85"/>
              <w:ind w:left="10"/>
              <w:jc w:val="center"/>
              <w:rPr>
                <w:sz w:val="12"/>
              </w:rPr>
            </w:pPr>
            <w:r>
              <w:rPr>
                <w:spacing w:val="-2"/>
                <w:sz w:val="12"/>
              </w:rPr>
              <w:t>14.91</w:t>
            </w:r>
          </w:p>
        </w:tc>
        <w:tc>
          <w:tcPr>
            <w:tcW w:w="267" w:type="dxa"/>
            <w:tcBorders>
              <w:top w:val="single" w:sz="4" w:space="0" w:color="000000"/>
              <w:bottom w:val="single" w:sz="4" w:space="0" w:color="000000"/>
            </w:tcBorders>
          </w:tcPr>
          <w:p>
            <w:pPr>
              <w:pStyle w:val="TableParagraph"/>
              <w:spacing w:before="85"/>
              <w:ind w:left="8"/>
              <w:jc w:val="center"/>
              <w:rPr>
                <w:sz w:val="12"/>
              </w:rPr>
            </w:pPr>
            <w:r>
              <w:rPr>
                <w:w w:val="99"/>
                <w:sz w:val="12"/>
              </w:rPr>
              <w:t>-</w:t>
            </w:r>
          </w:p>
        </w:tc>
        <w:tc>
          <w:tcPr>
            <w:tcW w:w="348" w:type="dxa"/>
            <w:tcBorders>
              <w:top w:val="single" w:sz="4" w:space="0" w:color="000000"/>
              <w:bottom w:val="single" w:sz="4" w:space="0" w:color="000000"/>
            </w:tcBorders>
          </w:tcPr>
          <w:p>
            <w:pPr>
              <w:pStyle w:val="TableParagraph"/>
              <w:spacing w:before="85"/>
              <w:ind w:right="61"/>
              <w:rPr>
                <w:sz w:val="12"/>
              </w:rPr>
            </w:pPr>
            <w:r>
              <w:rPr>
                <w:spacing w:val="-4"/>
                <w:sz w:val="12"/>
              </w:rPr>
              <w:t>0.16</w:t>
            </w:r>
          </w:p>
        </w:tc>
        <w:tc>
          <w:tcPr>
            <w:tcW w:w="269" w:type="dxa"/>
            <w:tcBorders>
              <w:top w:val="single" w:sz="4" w:space="0" w:color="000000"/>
              <w:bottom w:val="single" w:sz="4" w:space="0" w:color="000000"/>
            </w:tcBorders>
          </w:tcPr>
          <w:p>
            <w:pPr>
              <w:pStyle w:val="TableParagraph"/>
              <w:spacing w:before="85"/>
              <w:ind w:left="78"/>
              <w:jc w:val="left"/>
              <w:rPr>
                <w:sz w:val="12"/>
              </w:rPr>
            </w:pPr>
            <w:r>
              <w:rPr>
                <w:spacing w:val="-5"/>
                <w:sz w:val="12"/>
              </w:rPr>
              <w:t>14</w:t>
            </w:r>
          </w:p>
        </w:tc>
        <w:tc>
          <w:tcPr>
            <w:tcW w:w="351" w:type="dxa"/>
            <w:tcBorders>
              <w:top w:val="single" w:sz="4" w:space="0" w:color="000000"/>
              <w:bottom w:val="single" w:sz="4" w:space="0" w:color="000000"/>
            </w:tcBorders>
          </w:tcPr>
          <w:p>
            <w:pPr>
              <w:pStyle w:val="TableParagraph"/>
              <w:spacing w:before="85"/>
              <w:ind w:left="9"/>
              <w:jc w:val="center"/>
              <w:rPr>
                <w:sz w:val="12"/>
              </w:rPr>
            </w:pPr>
            <w:r>
              <w:rPr>
                <w:spacing w:val="-4"/>
                <w:sz w:val="12"/>
              </w:rPr>
              <w:t>6.53</w:t>
            </w:r>
          </w:p>
        </w:tc>
        <w:tc>
          <w:tcPr>
            <w:tcW w:w="269" w:type="dxa"/>
            <w:tcBorders>
              <w:top w:val="single" w:sz="4" w:space="0" w:color="000000"/>
              <w:bottom w:val="single" w:sz="4" w:space="0" w:color="000000"/>
            </w:tcBorders>
          </w:tcPr>
          <w:p>
            <w:pPr>
              <w:pStyle w:val="TableParagraph"/>
              <w:spacing w:before="85"/>
              <w:ind w:right="65"/>
              <w:rPr>
                <w:sz w:val="12"/>
              </w:rPr>
            </w:pPr>
            <w:r>
              <w:rPr>
                <w:spacing w:val="-5"/>
                <w:sz w:val="12"/>
              </w:rPr>
              <w:t>31</w:t>
            </w:r>
          </w:p>
        </w:tc>
        <w:tc>
          <w:tcPr>
            <w:tcW w:w="348" w:type="dxa"/>
            <w:tcBorders>
              <w:top w:val="single" w:sz="4" w:space="0" w:color="000000"/>
              <w:bottom w:val="single" w:sz="4" w:space="0" w:color="000000"/>
            </w:tcBorders>
          </w:tcPr>
          <w:p>
            <w:pPr>
              <w:pStyle w:val="TableParagraph"/>
              <w:spacing w:before="85"/>
              <w:ind w:left="73"/>
              <w:jc w:val="left"/>
              <w:rPr>
                <w:sz w:val="12"/>
              </w:rPr>
            </w:pPr>
            <w:r>
              <w:rPr>
                <w:spacing w:val="-4"/>
                <w:sz w:val="12"/>
              </w:rPr>
              <w:t>6.67</w:t>
            </w:r>
          </w:p>
        </w:tc>
        <w:tc>
          <w:tcPr>
            <w:tcW w:w="269" w:type="dxa"/>
            <w:tcBorders>
              <w:top w:val="single" w:sz="4" w:space="0" w:color="000000"/>
              <w:bottom w:val="single" w:sz="4" w:space="0" w:color="000000"/>
            </w:tcBorders>
          </w:tcPr>
          <w:p>
            <w:pPr>
              <w:pStyle w:val="TableParagraph"/>
              <w:spacing w:before="85"/>
              <w:ind w:left="7"/>
              <w:jc w:val="center"/>
              <w:rPr>
                <w:sz w:val="12"/>
              </w:rPr>
            </w:pPr>
            <w:r>
              <w:rPr>
                <w:spacing w:val="-5"/>
                <w:sz w:val="12"/>
              </w:rPr>
              <w:t>11</w:t>
            </w:r>
          </w:p>
        </w:tc>
        <w:tc>
          <w:tcPr>
            <w:tcW w:w="351" w:type="dxa"/>
            <w:tcBorders>
              <w:top w:val="single" w:sz="4" w:space="0" w:color="000000"/>
              <w:bottom w:val="single" w:sz="4" w:space="0" w:color="000000"/>
            </w:tcBorders>
          </w:tcPr>
          <w:p>
            <w:pPr>
              <w:pStyle w:val="TableParagraph"/>
              <w:spacing w:before="85"/>
              <w:ind w:left="13"/>
              <w:jc w:val="center"/>
              <w:rPr>
                <w:sz w:val="12"/>
              </w:rPr>
            </w:pPr>
            <w:r>
              <w:rPr>
                <w:spacing w:val="-2"/>
                <w:sz w:val="12"/>
              </w:rPr>
              <w:t>14.47</w:t>
            </w:r>
          </w:p>
        </w:tc>
        <w:tc>
          <w:tcPr>
            <w:tcW w:w="267" w:type="dxa"/>
            <w:tcBorders>
              <w:top w:val="single" w:sz="4" w:space="0" w:color="000000"/>
              <w:bottom w:val="single" w:sz="4" w:space="0" w:color="000000"/>
            </w:tcBorders>
          </w:tcPr>
          <w:p>
            <w:pPr>
              <w:pStyle w:val="TableParagraph"/>
              <w:spacing w:before="85"/>
              <w:ind w:right="102"/>
              <w:rPr>
                <w:sz w:val="12"/>
              </w:rPr>
            </w:pPr>
            <w:r>
              <w:rPr>
                <w:sz w:val="12"/>
              </w:rPr>
              <w:t>3</w:t>
            </w:r>
          </w:p>
        </w:tc>
        <w:tc>
          <w:tcPr>
            <w:tcW w:w="351" w:type="dxa"/>
            <w:tcBorders>
              <w:top w:val="single" w:sz="4" w:space="0" w:color="000000"/>
              <w:bottom w:val="single" w:sz="4" w:space="0" w:color="000000"/>
            </w:tcBorders>
          </w:tcPr>
          <w:p>
            <w:pPr>
              <w:pStyle w:val="TableParagraph"/>
              <w:spacing w:before="85"/>
              <w:ind w:left="6"/>
              <w:jc w:val="center"/>
              <w:rPr>
                <w:sz w:val="12"/>
              </w:rPr>
            </w:pPr>
            <w:r>
              <w:rPr>
                <w:spacing w:val="-4"/>
                <w:sz w:val="12"/>
              </w:rPr>
              <w:t>3.06</w:t>
            </w:r>
          </w:p>
        </w:tc>
        <w:tc>
          <w:tcPr>
            <w:tcW w:w="269" w:type="dxa"/>
            <w:tcBorders>
              <w:top w:val="single" w:sz="4" w:space="0" w:color="000000"/>
              <w:bottom w:val="single" w:sz="4" w:space="0" w:color="000000"/>
            </w:tcBorders>
          </w:tcPr>
          <w:p>
            <w:pPr>
              <w:pStyle w:val="TableParagraph"/>
              <w:spacing w:before="85"/>
              <w:ind w:left="105"/>
              <w:jc w:val="left"/>
              <w:rPr>
                <w:sz w:val="12"/>
              </w:rPr>
            </w:pPr>
            <w:r>
              <w:rPr>
                <w:sz w:val="12"/>
              </w:rPr>
              <w:t>9</w:t>
            </w:r>
          </w:p>
        </w:tc>
        <w:tc>
          <w:tcPr>
            <w:tcW w:w="351" w:type="dxa"/>
            <w:tcBorders>
              <w:top w:val="single" w:sz="4" w:space="0" w:color="000000"/>
              <w:bottom w:val="single" w:sz="4" w:space="0" w:color="000000"/>
            </w:tcBorders>
          </w:tcPr>
          <w:p>
            <w:pPr>
              <w:pStyle w:val="TableParagraph"/>
              <w:spacing w:before="85"/>
              <w:ind w:left="5"/>
              <w:jc w:val="center"/>
              <w:rPr>
                <w:sz w:val="12"/>
              </w:rPr>
            </w:pPr>
            <w:r>
              <w:rPr>
                <w:spacing w:val="-4"/>
                <w:sz w:val="12"/>
              </w:rPr>
              <w:t>5.83</w:t>
            </w:r>
          </w:p>
        </w:tc>
        <w:tc>
          <w:tcPr>
            <w:tcW w:w="269" w:type="dxa"/>
            <w:tcBorders>
              <w:top w:val="single" w:sz="4" w:space="0" w:color="000000"/>
              <w:bottom w:val="single" w:sz="4" w:space="0" w:color="000000"/>
            </w:tcBorders>
          </w:tcPr>
          <w:p>
            <w:pPr>
              <w:pStyle w:val="TableParagraph"/>
              <w:spacing w:before="85"/>
              <w:ind w:left="1"/>
              <w:jc w:val="center"/>
              <w:rPr>
                <w:sz w:val="12"/>
              </w:rPr>
            </w:pPr>
            <w:r>
              <w:rPr>
                <w:sz w:val="12"/>
              </w:rPr>
              <w:t>8</w:t>
            </w:r>
          </w:p>
        </w:tc>
        <w:tc>
          <w:tcPr>
            <w:tcW w:w="360" w:type="dxa"/>
            <w:tcBorders>
              <w:top w:val="single" w:sz="4" w:space="0" w:color="000000"/>
              <w:bottom w:val="single" w:sz="4" w:space="0" w:color="000000"/>
            </w:tcBorders>
          </w:tcPr>
          <w:p>
            <w:pPr>
              <w:pStyle w:val="TableParagraph"/>
              <w:spacing w:before="85"/>
              <w:ind w:left="3" w:right="5"/>
              <w:jc w:val="center"/>
              <w:rPr>
                <w:sz w:val="12"/>
              </w:rPr>
            </w:pPr>
            <w:r>
              <w:rPr>
                <w:spacing w:val="-2"/>
                <w:sz w:val="12"/>
              </w:rPr>
              <w:t>13.29</w:t>
            </w:r>
          </w:p>
        </w:tc>
        <w:tc>
          <w:tcPr>
            <w:tcW w:w="293" w:type="dxa"/>
            <w:tcBorders>
              <w:top w:val="single" w:sz="4" w:space="0" w:color="000000"/>
              <w:bottom w:val="single" w:sz="4" w:space="0" w:color="000000"/>
            </w:tcBorders>
          </w:tcPr>
          <w:p>
            <w:pPr>
              <w:pStyle w:val="TableParagraph"/>
              <w:spacing w:before="85"/>
              <w:ind w:left="11" w:right="8"/>
              <w:jc w:val="center"/>
              <w:rPr>
                <w:sz w:val="12"/>
              </w:rPr>
            </w:pPr>
            <w:r>
              <w:rPr>
                <w:spacing w:val="-5"/>
                <w:sz w:val="12"/>
              </w:rPr>
              <w:t>11</w:t>
            </w:r>
          </w:p>
        </w:tc>
        <w:tc>
          <w:tcPr>
            <w:tcW w:w="363" w:type="dxa"/>
            <w:tcBorders>
              <w:top w:val="single" w:sz="4" w:space="0" w:color="000000"/>
              <w:bottom w:val="single" w:sz="4" w:space="0" w:color="000000"/>
            </w:tcBorders>
          </w:tcPr>
          <w:p>
            <w:pPr>
              <w:pStyle w:val="TableParagraph"/>
              <w:spacing w:before="85"/>
              <w:ind w:left="21"/>
              <w:jc w:val="center"/>
              <w:rPr>
                <w:sz w:val="12"/>
              </w:rPr>
            </w:pPr>
            <w:r>
              <w:rPr>
                <w:spacing w:val="-4"/>
                <w:sz w:val="12"/>
              </w:rPr>
              <w:t>2.92</w:t>
            </w:r>
          </w:p>
        </w:tc>
        <w:tc>
          <w:tcPr>
            <w:tcW w:w="267" w:type="dxa"/>
            <w:tcBorders>
              <w:top w:val="single" w:sz="4" w:space="0" w:color="000000"/>
              <w:bottom w:val="single" w:sz="4" w:space="0" w:color="000000"/>
            </w:tcBorders>
          </w:tcPr>
          <w:p>
            <w:pPr>
              <w:pStyle w:val="TableParagraph"/>
              <w:spacing w:before="85"/>
              <w:ind w:right="2"/>
              <w:jc w:val="center"/>
              <w:rPr>
                <w:sz w:val="12"/>
              </w:rPr>
            </w:pPr>
            <w:r>
              <w:rPr>
                <w:sz w:val="12"/>
              </w:rPr>
              <w:t>6</w:t>
            </w:r>
          </w:p>
        </w:tc>
        <w:tc>
          <w:tcPr>
            <w:tcW w:w="373" w:type="dxa"/>
            <w:tcBorders>
              <w:top w:val="single" w:sz="4" w:space="0" w:color="000000"/>
              <w:bottom w:val="single" w:sz="4" w:space="0" w:color="000000"/>
            </w:tcBorders>
          </w:tcPr>
          <w:p>
            <w:pPr>
              <w:pStyle w:val="TableParagraph"/>
              <w:spacing w:before="85"/>
              <w:ind w:left="2" w:right="19"/>
              <w:jc w:val="center"/>
              <w:rPr>
                <w:sz w:val="12"/>
              </w:rPr>
            </w:pPr>
            <w:r>
              <w:rPr>
                <w:spacing w:val="-4"/>
                <w:sz w:val="12"/>
              </w:rPr>
              <w:t>1.00</w:t>
            </w:r>
          </w:p>
        </w:tc>
        <w:tc>
          <w:tcPr>
            <w:tcW w:w="311" w:type="dxa"/>
            <w:tcBorders>
              <w:top w:val="single" w:sz="4" w:space="0" w:color="000000"/>
              <w:bottom w:val="single" w:sz="4" w:space="0" w:color="000000"/>
            </w:tcBorders>
          </w:tcPr>
          <w:p>
            <w:pPr>
              <w:pStyle w:val="TableParagraph"/>
              <w:spacing w:before="85"/>
              <w:jc w:val="center"/>
              <w:rPr>
                <w:sz w:val="12"/>
              </w:rPr>
            </w:pPr>
            <w:r>
              <w:rPr>
                <w:sz w:val="12"/>
              </w:rPr>
              <w:t>6</w:t>
            </w:r>
          </w:p>
        </w:tc>
        <w:tc>
          <w:tcPr>
            <w:tcW w:w="390" w:type="dxa"/>
            <w:tcBorders>
              <w:top w:val="single" w:sz="4" w:space="0" w:color="000000"/>
              <w:bottom w:val="single" w:sz="4" w:space="0" w:color="000000"/>
            </w:tcBorders>
          </w:tcPr>
          <w:p>
            <w:pPr>
              <w:pStyle w:val="TableParagraph"/>
              <w:spacing w:before="85"/>
              <w:ind w:left="87"/>
              <w:jc w:val="left"/>
              <w:rPr>
                <w:sz w:val="12"/>
              </w:rPr>
            </w:pPr>
            <w:r>
              <w:rPr>
                <w:spacing w:val="-4"/>
                <w:sz w:val="12"/>
              </w:rPr>
              <w:t>8.29</w:t>
            </w:r>
          </w:p>
        </w:tc>
        <w:tc>
          <w:tcPr>
            <w:tcW w:w="306" w:type="dxa"/>
            <w:tcBorders>
              <w:top w:val="single" w:sz="4" w:space="0" w:color="000000"/>
              <w:bottom w:val="single" w:sz="4" w:space="0" w:color="000000"/>
            </w:tcBorders>
          </w:tcPr>
          <w:p>
            <w:pPr>
              <w:pStyle w:val="TableParagraph"/>
              <w:spacing w:before="85"/>
              <w:ind w:right="5"/>
              <w:jc w:val="center"/>
              <w:rPr>
                <w:sz w:val="12"/>
              </w:rPr>
            </w:pPr>
            <w:r>
              <w:rPr>
                <w:sz w:val="12"/>
              </w:rPr>
              <w:t>8</w:t>
            </w:r>
          </w:p>
        </w:tc>
        <w:tc>
          <w:tcPr>
            <w:tcW w:w="388" w:type="dxa"/>
            <w:tcBorders>
              <w:top w:val="single" w:sz="4" w:space="0" w:color="000000"/>
              <w:bottom w:val="single" w:sz="4" w:space="0" w:color="000000"/>
            </w:tcBorders>
          </w:tcPr>
          <w:p>
            <w:pPr>
              <w:pStyle w:val="TableParagraph"/>
              <w:spacing w:before="85"/>
              <w:ind w:left="14" w:right="21"/>
              <w:jc w:val="center"/>
              <w:rPr>
                <w:sz w:val="12"/>
              </w:rPr>
            </w:pPr>
            <w:r>
              <w:rPr>
                <w:spacing w:val="-4"/>
                <w:sz w:val="12"/>
              </w:rPr>
              <w:t>3.28</w:t>
            </w:r>
          </w:p>
        </w:tc>
        <w:tc>
          <w:tcPr>
            <w:tcW w:w="309" w:type="dxa"/>
            <w:tcBorders>
              <w:top w:val="single" w:sz="4" w:space="0" w:color="000000"/>
              <w:bottom w:val="single" w:sz="4" w:space="0" w:color="000000"/>
            </w:tcBorders>
          </w:tcPr>
          <w:p>
            <w:pPr>
              <w:pStyle w:val="TableParagraph"/>
              <w:spacing w:before="85"/>
              <w:ind w:left="14" w:right="19"/>
              <w:jc w:val="center"/>
              <w:rPr>
                <w:sz w:val="12"/>
              </w:rPr>
            </w:pPr>
            <w:r>
              <w:rPr>
                <w:spacing w:val="-5"/>
                <w:sz w:val="12"/>
              </w:rPr>
              <w:t>12</w:t>
            </w:r>
          </w:p>
        </w:tc>
        <w:tc>
          <w:tcPr>
            <w:tcW w:w="374" w:type="dxa"/>
            <w:tcBorders>
              <w:top w:val="single" w:sz="4" w:space="0" w:color="000000"/>
              <w:bottom w:val="single" w:sz="4" w:space="0" w:color="000000"/>
            </w:tcBorders>
          </w:tcPr>
          <w:p>
            <w:pPr>
              <w:pStyle w:val="TableParagraph"/>
              <w:spacing w:before="85"/>
              <w:ind w:left="10" w:right="13"/>
              <w:jc w:val="center"/>
              <w:rPr>
                <w:sz w:val="12"/>
              </w:rPr>
            </w:pPr>
            <w:r>
              <w:rPr>
                <w:spacing w:val="-2"/>
                <w:sz w:val="12"/>
              </w:rPr>
              <w:t>35.48</w:t>
            </w:r>
          </w:p>
        </w:tc>
      </w:tr>
      <w:tr>
        <w:trPr>
          <w:trHeight w:val="302" w:hRule="atLeast"/>
        </w:trPr>
        <w:tc>
          <w:tcPr>
            <w:tcW w:w="797" w:type="dxa"/>
            <w:tcBorders>
              <w:bottom w:val="single" w:sz="4" w:space="0" w:color="000000"/>
            </w:tcBorders>
          </w:tcPr>
          <w:p>
            <w:pPr>
              <w:pStyle w:val="TableParagraph"/>
              <w:jc w:val="left"/>
              <w:rPr>
                <w:sz w:val="12"/>
              </w:rPr>
            </w:pPr>
          </w:p>
        </w:tc>
        <w:tc>
          <w:tcPr>
            <w:tcW w:w="661" w:type="dxa"/>
            <w:gridSpan w:val="2"/>
            <w:tcBorders>
              <w:top w:val="single" w:sz="4" w:space="0" w:color="000000"/>
              <w:bottom w:val="single" w:sz="4" w:space="0" w:color="000000"/>
            </w:tcBorders>
          </w:tcPr>
          <w:p>
            <w:pPr>
              <w:pStyle w:val="TableParagraph"/>
              <w:spacing w:before="84"/>
              <w:ind w:left="91"/>
              <w:jc w:val="left"/>
              <w:rPr>
                <w:sz w:val="12"/>
              </w:rPr>
            </w:pPr>
            <w:r>
              <w:rPr>
                <w:sz w:val="12"/>
              </w:rPr>
              <w:t>(28</w:t>
            </w:r>
            <w:r>
              <w:rPr>
                <w:spacing w:val="-1"/>
                <w:sz w:val="12"/>
              </w:rPr>
              <w:t> </w:t>
            </w:r>
            <w:r>
              <w:rPr>
                <w:spacing w:val="-2"/>
                <w:sz w:val="12"/>
              </w:rPr>
              <w:t>cases)</w:t>
            </w:r>
          </w:p>
        </w:tc>
        <w:tc>
          <w:tcPr>
            <w:tcW w:w="621" w:type="dxa"/>
            <w:gridSpan w:val="2"/>
            <w:tcBorders>
              <w:top w:val="single" w:sz="4" w:space="0" w:color="000000"/>
              <w:bottom w:val="single" w:sz="4" w:space="0" w:color="000000"/>
            </w:tcBorders>
          </w:tcPr>
          <w:p>
            <w:pPr>
              <w:pStyle w:val="TableParagraph"/>
              <w:spacing w:before="84"/>
              <w:ind w:left="102"/>
              <w:jc w:val="left"/>
              <w:rPr>
                <w:sz w:val="12"/>
              </w:rPr>
            </w:pPr>
            <w:r>
              <w:rPr>
                <w:sz w:val="12"/>
              </w:rPr>
              <w:t>(2</w:t>
            </w:r>
            <w:r>
              <w:rPr>
                <w:spacing w:val="-3"/>
                <w:sz w:val="12"/>
              </w:rPr>
              <w:t> </w:t>
            </w:r>
            <w:r>
              <w:rPr>
                <w:spacing w:val="-2"/>
                <w:sz w:val="12"/>
              </w:rPr>
              <w:t>cases)</w:t>
            </w:r>
          </w:p>
        </w:tc>
        <w:tc>
          <w:tcPr>
            <w:tcW w:w="614" w:type="dxa"/>
            <w:gridSpan w:val="2"/>
            <w:tcBorders>
              <w:top w:val="single" w:sz="4" w:space="0" w:color="000000"/>
              <w:bottom w:val="single" w:sz="4" w:space="0" w:color="000000"/>
            </w:tcBorders>
          </w:tcPr>
          <w:p>
            <w:pPr>
              <w:pStyle w:val="TableParagraph"/>
              <w:spacing w:before="84"/>
              <w:ind w:left="125"/>
              <w:jc w:val="left"/>
              <w:rPr>
                <w:sz w:val="12"/>
              </w:rPr>
            </w:pPr>
            <w:r>
              <w:rPr>
                <w:sz w:val="12"/>
              </w:rPr>
              <w:t>(1</w:t>
            </w:r>
            <w:r>
              <w:rPr>
                <w:spacing w:val="-3"/>
                <w:sz w:val="12"/>
              </w:rPr>
              <w:t> </w:t>
            </w:r>
            <w:r>
              <w:rPr>
                <w:spacing w:val="-2"/>
                <w:sz w:val="12"/>
              </w:rPr>
              <w:t>case)</w:t>
            </w:r>
          </w:p>
        </w:tc>
        <w:tc>
          <w:tcPr>
            <w:tcW w:w="617" w:type="dxa"/>
            <w:gridSpan w:val="2"/>
            <w:tcBorders>
              <w:top w:val="single" w:sz="4" w:space="0" w:color="000000"/>
              <w:bottom w:val="single" w:sz="4" w:space="0" w:color="000000"/>
            </w:tcBorders>
          </w:tcPr>
          <w:p>
            <w:pPr>
              <w:pStyle w:val="TableParagraph"/>
              <w:spacing w:before="84"/>
              <w:ind w:left="101"/>
              <w:jc w:val="left"/>
              <w:rPr>
                <w:sz w:val="12"/>
              </w:rPr>
            </w:pPr>
            <w:r>
              <w:rPr>
                <w:sz w:val="12"/>
              </w:rPr>
              <w:t>(5</w:t>
            </w:r>
            <w:r>
              <w:rPr>
                <w:spacing w:val="-3"/>
                <w:sz w:val="12"/>
              </w:rPr>
              <w:t> </w:t>
            </w:r>
            <w:r>
              <w:rPr>
                <w:spacing w:val="-2"/>
                <w:sz w:val="12"/>
              </w:rPr>
              <w:t>cases)</w:t>
            </w:r>
          </w:p>
        </w:tc>
        <w:tc>
          <w:tcPr>
            <w:tcW w:w="616" w:type="dxa"/>
            <w:gridSpan w:val="2"/>
            <w:tcBorders>
              <w:top w:val="single" w:sz="4" w:space="0" w:color="000000"/>
              <w:bottom w:val="single" w:sz="4" w:space="0" w:color="000000"/>
            </w:tcBorders>
          </w:tcPr>
          <w:p>
            <w:pPr>
              <w:pStyle w:val="TableParagraph"/>
              <w:spacing w:before="84"/>
              <w:ind w:left="99"/>
              <w:jc w:val="left"/>
              <w:rPr>
                <w:sz w:val="12"/>
              </w:rPr>
            </w:pPr>
            <w:r>
              <w:rPr>
                <w:sz w:val="12"/>
              </w:rPr>
              <w:t>(4</w:t>
            </w:r>
            <w:r>
              <w:rPr>
                <w:spacing w:val="-3"/>
                <w:sz w:val="12"/>
              </w:rPr>
              <w:t> </w:t>
            </w:r>
            <w:r>
              <w:rPr>
                <w:spacing w:val="-2"/>
                <w:sz w:val="12"/>
              </w:rPr>
              <w:t>cases)</w:t>
            </w:r>
          </w:p>
        </w:tc>
        <w:tc>
          <w:tcPr>
            <w:tcW w:w="615" w:type="dxa"/>
            <w:gridSpan w:val="2"/>
            <w:tcBorders>
              <w:top w:val="single" w:sz="4" w:space="0" w:color="000000"/>
              <w:bottom w:val="single" w:sz="4" w:space="0" w:color="000000"/>
            </w:tcBorders>
          </w:tcPr>
          <w:p>
            <w:pPr>
              <w:pStyle w:val="TableParagraph"/>
              <w:spacing w:before="84"/>
              <w:ind w:left="127"/>
              <w:jc w:val="left"/>
              <w:rPr>
                <w:sz w:val="12"/>
              </w:rPr>
            </w:pPr>
            <w:r>
              <w:rPr>
                <w:sz w:val="12"/>
              </w:rPr>
              <w:t>(1</w:t>
            </w:r>
            <w:r>
              <w:rPr>
                <w:spacing w:val="-3"/>
                <w:sz w:val="12"/>
              </w:rPr>
              <w:t> </w:t>
            </w:r>
            <w:r>
              <w:rPr>
                <w:spacing w:val="-2"/>
                <w:sz w:val="12"/>
              </w:rPr>
              <w:t>case)</w:t>
            </w:r>
          </w:p>
        </w:tc>
        <w:tc>
          <w:tcPr>
            <w:tcW w:w="620" w:type="dxa"/>
            <w:gridSpan w:val="2"/>
            <w:tcBorders>
              <w:top w:val="single" w:sz="4" w:space="0" w:color="000000"/>
              <w:bottom w:val="single" w:sz="4" w:space="0" w:color="000000"/>
            </w:tcBorders>
          </w:tcPr>
          <w:p>
            <w:pPr>
              <w:pStyle w:val="TableParagraph"/>
              <w:spacing w:before="84"/>
              <w:ind w:left="102"/>
              <w:jc w:val="left"/>
              <w:rPr>
                <w:sz w:val="12"/>
              </w:rPr>
            </w:pPr>
            <w:r>
              <w:rPr>
                <w:sz w:val="12"/>
              </w:rPr>
              <w:t>(4</w:t>
            </w:r>
            <w:r>
              <w:rPr>
                <w:spacing w:val="-3"/>
                <w:sz w:val="12"/>
              </w:rPr>
              <w:t> </w:t>
            </w:r>
            <w:r>
              <w:rPr>
                <w:spacing w:val="-2"/>
                <w:sz w:val="12"/>
              </w:rPr>
              <w:t>cases)</w:t>
            </w:r>
          </w:p>
        </w:tc>
        <w:tc>
          <w:tcPr>
            <w:tcW w:w="617" w:type="dxa"/>
            <w:gridSpan w:val="2"/>
            <w:tcBorders>
              <w:top w:val="single" w:sz="4" w:space="0" w:color="000000"/>
              <w:bottom w:val="single" w:sz="4" w:space="0" w:color="000000"/>
            </w:tcBorders>
          </w:tcPr>
          <w:p>
            <w:pPr>
              <w:pStyle w:val="TableParagraph"/>
              <w:spacing w:before="84"/>
              <w:ind w:left="126"/>
              <w:jc w:val="left"/>
              <w:rPr>
                <w:sz w:val="12"/>
              </w:rPr>
            </w:pPr>
            <w:r>
              <w:rPr>
                <w:sz w:val="12"/>
              </w:rPr>
              <w:t>(1</w:t>
            </w:r>
            <w:r>
              <w:rPr>
                <w:spacing w:val="-3"/>
                <w:sz w:val="12"/>
              </w:rPr>
              <w:t> </w:t>
            </w:r>
            <w:r>
              <w:rPr>
                <w:spacing w:val="-2"/>
                <w:sz w:val="12"/>
              </w:rPr>
              <w:t>case)</w:t>
            </w:r>
          </w:p>
        </w:tc>
        <w:tc>
          <w:tcPr>
            <w:tcW w:w="620" w:type="dxa"/>
            <w:gridSpan w:val="2"/>
            <w:tcBorders>
              <w:top w:val="single" w:sz="4" w:space="0" w:color="000000"/>
              <w:bottom w:val="single" w:sz="4" w:space="0" w:color="000000"/>
            </w:tcBorders>
          </w:tcPr>
          <w:p>
            <w:pPr>
              <w:pStyle w:val="TableParagraph"/>
              <w:spacing w:before="84"/>
              <w:ind w:left="123"/>
              <w:jc w:val="left"/>
              <w:rPr>
                <w:sz w:val="12"/>
              </w:rPr>
            </w:pPr>
            <w:r>
              <w:rPr>
                <w:sz w:val="12"/>
              </w:rPr>
              <w:t>(1</w:t>
            </w:r>
            <w:r>
              <w:rPr>
                <w:spacing w:val="-3"/>
                <w:sz w:val="12"/>
              </w:rPr>
              <w:t> </w:t>
            </w:r>
            <w:r>
              <w:rPr>
                <w:spacing w:val="-2"/>
                <w:sz w:val="12"/>
              </w:rPr>
              <w:t>case)</w:t>
            </w:r>
          </w:p>
        </w:tc>
        <w:tc>
          <w:tcPr>
            <w:tcW w:w="618" w:type="dxa"/>
            <w:gridSpan w:val="2"/>
            <w:tcBorders>
              <w:top w:val="single" w:sz="4" w:space="0" w:color="000000"/>
              <w:bottom w:val="single" w:sz="4" w:space="0" w:color="000000"/>
            </w:tcBorders>
          </w:tcPr>
          <w:p>
            <w:pPr>
              <w:pStyle w:val="TableParagraph"/>
              <w:spacing w:before="84"/>
              <w:ind w:left="123"/>
              <w:jc w:val="left"/>
              <w:rPr>
                <w:sz w:val="12"/>
              </w:rPr>
            </w:pPr>
            <w:r>
              <w:rPr>
                <w:sz w:val="12"/>
              </w:rPr>
              <w:t>(1</w:t>
            </w:r>
            <w:r>
              <w:rPr>
                <w:spacing w:val="-3"/>
                <w:sz w:val="12"/>
              </w:rPr>
              <w:t> </w:t>
            </w:r>
            <w:r>
              <w:rPr>
                <w:spacing w:val="-2"/>
                <w:sz w:val="12"/>
              </w:rPr>
              <w:t>case)</w:t>
            </w:r>
          </w:p>
        </w:tc>
        <w:tc>
          <w:tcPr>
            <w:tcW w:w="620" w:type="dxa"/>
            <w:gridSpan w:val="2"/>
            <w:tcBorders>
              <w:top w:val="single" w:sz="4" w:space="0" w:color="000000"/>
              <w:bottom w:val="single" w:sz="4" w:space="0" w:color="000000"/>
            </w:tcBorders>
          </w:tcPr>
          <w:p>
            <w:pPr>
              <w:pStyle w:val="TableParagraph"/>
              <w:spacing w:before="84"/>
              <w:ind w:left="124"/>
              <w:jc w:val="left"/>
              <w:rPr>
                <w:sz w:val="12"/>
              </w:rPr>
            </w:pPr>
            <w:r>
              <w:rPr>
                <w:sz w:val="12"/>
              </w:rPr>
              <w:t>(1</w:t>
            </w:r>
            <w:r>
              <w:rPr>
                <w:spacing w:val="-3"/>
                <w:sz w:val="12"/>
              </w:rPr>
              <w:t> </w:t>
            </w:r>
            <w:r>
              <w:rPr>
                <w:spacing w:val="-2"/>
                <w:sz w:val="12"/>
              </w:rPr>
              <w:t>case)</w:t>
            </w:r>
          </w:p>
        </w:tc>
        <w:tc>
          <w:tcPr>
            <w:tcW w:w="629" w:type="dxa"/>
            <w:gridSpan w:val="2"/>
            <w:tcBorders>
              <w:top w:val="single" w:sz="4" w:space="0" w:color="000000"/>
              <w:bottom w:val="single" w:sz="4" w:space="0" w:color="000000"/>
            </w:tcBorders>
          </w:tcPr>
          <w:p>
            <w:pPr>
              <w:pStyle w:val="TableParagraph"/>
              <w:spacing w:before="84"/>
              <w:ind w:left="124"/>
              <w:jc w:val="left"/>
              <w:rPr>
                <w:sz w:val="12"/>
              </w:rPr>
            </w:pPr>
            <w:r>
              <w:rPr>
                <w:sz w:val="12"/>
              </w:rPr>
              <w:t>(1</w:t>
            </w:r>
            <w:r>
              <w:rPr>
                <w:spacing w:val="-3"/>
                <w:sz w:val="12"/>
              </w:rPr>
              <w:t> </w:t>
            </w:r>
            <w:r>
              <w:rPr>
                <w:spacing w:val="-2"/>
                <w:sz w:val="12"/>
              </w:rPr>
              <w:t>case)</w:t>
            </w:r>
          </w:p>
        </w:tc>
        <w:tc>
          <w:tcPr>
            <w:tcW w:w="656" w:type="dxa"/>
            <w:gridSpan w:val="2"/>
            <w:tcBorders>
              <w:top w:val="single" w:sz="4" w:space="0" w:color="000000"/>
              <w:bottom w:val="single" w:sz="4" w:space="0" w:color="000000"/>
            </w:tcBorders>
          </w:tcPr>
          <w:p>
            <w:pPr>
              <w:pStyle w:val="TableParagraph"/>
              <w:spacing w:before="84"/>
              <w:ind w:left="133"/>
              <w:jc w:val="left"/>
              <w:rPr>
                <w:sz w:val="12"/>
              </w:rPr>
            </w:pPr>
            <w:r>
              <w:rPr>
                <w:sz w:val="12"/>
              </w:rPr>
              <w:t>(1</w:t>
            </w:r>
            <w:r>
              <w:rPr>
                <w:spacing w:val="-3"/>
                <w:sz w:val="12"/>
              </w:rPr>
              <w:t> </w:t>
            </w:r>
            <w:r>
              <w:rPr>
                <w:spacing w:val="-2"/>
                <w:sz w:val="12"/>
              </w:rPr>
              <w:t>case)</w:t>
            </w:r>
          </w:p>
        </w:tc>
        <w:tc>
          <w:tcPr>
            <w:tcW w:w="640" w:type="dxa"/>
            <w:gridSpan w:val="2"/>
            <w:tcBorders>
              <w:top w:val="single" w:sz="4" w:space="0" w:color="000000"/>
              <w:bottom w:val="single" w:sz="4" w:space="0" w:color="000000"/>
            </w:tcBorders>
          </w:tcPr>
          <w:p>
            <w:pPr>
              <w:pStyle w:val="TableParagraph"/>
              <w:spacing w:before="84"/>
              <w:ind w:left="97"/>
              <w:jc w:val="left"/>
              <w:rPr>
                <w:sz w:val="12"/>
              </w:rPr>
            </w:pPr>
            <w:r>
              <w:rPr>
                <w:sz w:val="12"/>
              </w:rPr>
              <w:t>(2</w:t>
            </w:r>
            <w:r>
              <w:rPr>
                <w:spacing w:val="-3"/>
                <w:sz w:val="12"/>
              </w:rPr>
              <w:t> </w:t>
            </w:r>
            <w:r>
              <w:rPr>
                <w:spacing w:val="-2"/>
                <w:sz w:val="12"/>
              </w:rPr>
              <w:t>cases)</w:t>
            </w:r>
          </w:p>
        </w:tc>
        <w:tc>
          <w:tcPr>
            <w:tcW w:w="701" w:type="dxa"/>
            <w:gridSpan w:val="2"/>
            <w:tcBorders>
              <w:top w:val="single" w:sz="4" w:space="0" w:color="000000"/>
              <w:bottom w:val="single" w:sz="4" w:space="0" w:color="000000"/>
            </w:tcBorders>
          </w:tcPr>
          <w:p>
            <w:pPr>
              <w:pStyle w:val="TableParagraph"/>
              <w:spacing w:before="84"/>
              <w:ind w:left="143"/>
              <w:jc w:val="left"/>
              <w:rPr>
                <w:sz w:val="12"/>
              </w:rPr>
            </w:pPr>
            <w:r>
              <w:rPr>
                <w:sz w:val="12"/>
              </w:rPr>
              <w:t>(1</w:t>
            </w:r>
            <w:r>
              <w:rPr>
                <w:spacing w:val="-3"/>
                <w:sz w:val="12"/>
              </w:rPr>
              <w:t> </w:t>
            </w:r>
            <w:r>
              <w:rPr>
                <w:spacing w:val="-2"/>
                <w:sz w:val="12"/>
              </w:rPr>
              <w:t>case)</w:t>
            </w:r>
          </w:p>
        </w:tc>
        <w:tc>
          <w:tcPr>
            <w:tcW w:w="694" w:type="dxa"/>
            <w:gridSpan w:val="2"/>
            <w:tcBorders>
              <w:top w:val="single" w:sz="4" w:space="0" w:color="000000"/>
              <w:bottom w:val="single" w:sz="4" w:space="0" w:color="000000"/>
            </w:tcBorders>
          </w:tcPr>
          <w:p>
            <w:pPr>
              <w:pStyle w:val="TableParagraph"/>
              <w:spacing w:before="84"/>
              <w:ind w:left="139"/>
              <w:jc w:val="left"/>
              <w:rPr>
                <w:sz w:val="12"/>
              </w:rPr>
            </w:pPr>
            <w:r>
              <w:rPr>
                <w:sz w:val="12"/>
              </w:rPr>
              <w:t>(1</w:t>
            </w:r>
            <w:r>
              <w:rPr>
                <w:spacing w:val="-3"/>
                <w:sz w:val="12"/>
              </w:rPr>
              <w:t> </w:t>
            </w:r>
            <w:r>
              <w:rPr>
                <w:spacing w:val="-2"/>
                <w:sz w:val="12"/>
              </w:rPr>
              <w:t>case)</w:t>
            </w:r>
          </w:p>
        </w:tc>
        <w:tc>
          <w:tcPr>
            <w:tcW w:w="683" w:type="dxa"/>
            <w:gridSpan w:val="2"/>
            <w:tcBorders>
              <w:top w:val="single" w:sz="4" w:space="0" w:color="000000"/>
              <w:bottom w:val="single" w:sz="4" w:space="0" w:color="000000"/>
            </w:tcBorders>
          </w:tcPr>
          <w:p>
            <w:pPr>
              <w:pStyle w:val="TableParagraph"/>
              <w:spacing w:before="84"/>
              <w:ind w:left="136"/>
              <w:jc w:val="left"/>
              <w:rPr>
                <w:sz w:val="12"/>
              </w:rPr>
            </w:pPr>
            <w:r>
              <w:rPr>
                <w:sz w:val="12"/>
              </w:rPr>
              <w:t>(1</w:t>
            </w:r>
            <w:r>
              <w:rPr>
                <w:spacing w:val="-3"/>
                <w:sz w:val="12"/>
              </w:rPr>
              <w:t> </w:t>
            </w:r>
            <w:r>
              <w:rPr>
                <w:spacing w:val="-2"/>
                <w:sz w:val="12"/>
              </w:rPr>
              <w:t>case)</w:t>
            </w:r>
          </w:p>
        </w:tc>
      </w:tr>
      <w:tr>
        <w:trPr>
          <w:trHeight w:val="854" w:hRule="atLeast"/>
        </w:trPr>
        <w:tc>
          <w:tcPr>
            <w:tcW w:w="8265" w:type="dxa"/>
            <w:gridSpan w:val="25"/>
            <w:tcBorders>
              <w:top w:val="single" w:sz="4" w:space="0" w:color="000000"/>
            </w:tcBorders>
          </w:tcPr>
          <w:p>
            <w:pPr>
              <w:pStyle w:val="TableParagraph"/>
              <w:spacing w:line="183" w:lineRule="exact" w:before="119"/>
              <w:jc w:val="left"/>
              <w:rPr>
                <w:sz w:val="16"/>
              </w:rPr>
            </w:pPr>
            <w:r>
              <w:rPr>
                <w:position w:val="5"/>
                <w:sz w:val="10"/>
              </w:rPr>
              <w:t>(1)</w:t>
            </w:r>
            <w:r>
              <w:rPr>
                <w:spacing w:val="10"/>
                <w:position w:val="5"/>
                <w:sz w:val="10"/>
              </w:rPr>
              <w:t> </w:t>
            </w:r>
            <w:r>
              <w:rPr>
                <w:sz w:val="16"/>
              </w:rPr>
              <w:t>Excludes</w:t>
            </w:r>
            <w:r>
              <w:rPr>
                <w:spacing w:val="-4"/>
                <w:sz w:val="16"/>
              </w:rPr>
              <w:t> </w:t>
            </w:r>
            <w:r>
              <w:rPr>
                <w:sz w:val="16"/>
              </w:rPr>
              <w:t>staff</w:t>
            </w:r>
            <w:r>
              <w:rPr>
                <w:spacing w:val="-5"/>
                <w:sz w:val="16"/>
              </w:rPr>
              <w:t> </w:t>
            </w:r>
            <w:r>
              <w:rPr>
                <w:sz w:val="16"/>
              </w:rPr>
              <w:t>attributed</w:t>
            </w:r>
            <w:r>
              <w:rPr>
                <w:spacing w:val="-2"/>
                <w:sz w:val="16"/>
              </w:rPr>
              <w:t> </w:t>
            </w:r>
            <w:r>
              <w:rPr>
                <w:sz w:val="16"/>
              </w:rPr>
              <w:t>to</w:t>
            </w:r>
            <w:r>
              <w:rPr>
                <w:spacing w:val="-3"/>
                <w:sz w:val="16"/>
              </w:rPr>
              <w:t> </w:t>
            </w:r>
            <w:r>
              <w:rPr>
                <w:sz w:val="16"/>
              </w:rPr>
              <w:t>court-in-session</w:t>
            </w:r>
            <w:r>
              <w:rPr>
                <w:spacing w:val="-3"/>
                <w:sz w:val="16"/>
              </w:rPr>
              <w:t> </w:t>
            </w:r>
            <w:r>
              <w:rPr>
                <w:sz w:val="16"/>
              </w:rPr>
              <w:t>(CIS)</w:t>
            </w:r>
            <w:r>
              <w:rPr>
                <w:spacing w:val="-4"/>
                <w:sz w:val="16"/>
              </w:rPr>
              <w:t> </w:t>
            </w:r>
            <w:r>
              <w:rPr>
                <w:sz w:val="16"/>
              </w:rPr>
              <w:t>but</w:t>
            </w:r>
            <w:r>
              <w:rPr>
                <w:spacing w:val="-5"/>
                <w:sz w:val="16"/>
              </w:rPr>
              <w:t> </w:t>
            </w:r>
            <w:r>
              <w:rPr>
                <w:sz w:val="16"/>
              </w:rPr>
              <w:t>includes</w:t>
            </w:r>
            <w:r>
              <w:rPr>
                <w:spacing w:val="-5"/>
                <w:sz w:val="16"/>
              </w:rPr>
              <w:t> </w:t>
            </w:r>
            <w:r>
              <w:rPr>
                <w:sz w:val="16"/>
              </w:rPr>
              <w:t>staff</w:t>
            </w:r>
            <w:r>
              <w:rPr>
                <w:spacing w:val="-4"/>
                <w:sz w:val="16"/>
              </w:rPr>
              <w:t> </w:t>
            </w:r>
            <w:r>
              <w:rPr>
                <w:sz w:val="16"/>
              </w:rPr>
              <w:t>attributed</w:t>
            </w:r>
            <w:r>
              <w:rPr>
                <w:spacing w:val="-3"/>
                <w:sz w:val="16"/>
              </w:rPr>
              <w:t> </w:t>
            </w:r>
            <w:r>
              <w:rPr>
                <w:sz w:val="16"/>
              </w:rPr>
              <w:t>to</w:t>
            </w:r>
            <w:r>
              <w:rPr>
                <w:spacing w:val="-2"/>
                <w:sz w:val="16"/>
              </w:rPr>
              <w:t> </w:t>
            </w:r>
            <w:r>
              <w:rPr>
                <w:sz w:val="16"/>
              </w:rPr>
              <w:t>court-in-session</w:t>
            </w:r>
            <w:r>
              <w:rPr>
                <w:spacing w:val="-3"/>
                <w:sz w:val="16"/>
              </w:rPr>
              <w:t> </w:t>
            </w:r>
            <w:r>
              <w:rPr>
                <w:sz w:val="16"/>
              </w:rPr>
              <w:t>operations</w:t>
            </w:r>
            <w:r>
              <w:rPr>
                <w:spacing w:val="-4"/>
                <w:sz w:val="16"/>
              </w:rPr>
              <w:t> </w:t>
            </w:r>
            <w:r>
              <w:rPr>
                <w:sz w:val="16"/>
              </w:rPr>
              <w:t>(CIS-</w:t>
            </w:r>
            <w:r>
              <w:rPr>
                <w:spacing w:val="-2"/>
                <w:sz w:val="16"/>
              </w:rPr>
              <w:t>Ops).</w:t>
            </w:r>
          </w:p>
          <w:p>
            <w:pPr>
              <w:pStyle w:val="TableParagraph"/>
              <w:spacing w:line="182" w:lineRule="exact"/>
              <w:jc w:val="left"/>
              <w:rPr>
                <w:sz w:val="16"/>
              </w:rPr>
            </w:pPr>
            <w:r>
              <w:rPr>
                <w:position w:val="5"/>
                <w:sz w:val="10"/>
              </w:rPr>
              <w:t>(2)</w:t>
            </w:r>
            <w:r>
              <w:rPr>
                <w:spacing w:val="10"/>
                <w:position w:val="5"/>
                <w:sz w:val="10"/>
              </w:rPr>
              <w:t> </w:t>
            </w:r>
            <w:r>
              <w:rPr>
                <w:sz w:val="16"/>
              </w:rPr>
              <w:t>Excludes</w:t>
            </w:r>
            <w:r>
              <w:rPr>
                <w:spacing w:val="-4"/>
                <w:sz w:val="16"/>
              </w:rPr>
              <w:t> </w:t>
            </w:r>
            <w:r>
              <w:rPr>
                <w:sz w:val="16"/>
              </w:rPr>
              <w:t>staff</w:t>
            </w:r>
            <w:r>
              <w:rPr>
                <w:spacing w:val="-5"/>
                <w:sz w:val="16"/>
              </w:rPr>
              <w:t> </w:t>
            </w:r>
            <w:r>
              <w:rPr>
                <w:sz w:val="16"/>
              </w:rPr>
              <w:t>related</w:t>
            </w:r>
            <w:r>
              <w:rPr>
                <w:spacing w:val="-2"/>
                <w:sz w:val="16"/>
              </w:rPr>
              <w:t> </w:t>
            </w:r>
            <w:r>
              <w:rPr>
                <w:sz w:val="16"/>
              </w:rPr>
              <w:t>to</w:t>
            </w:r>
            <w:r>
              <w:rPr>
                <w:spacing w:val="-3"/>
                <w:sz w:val="16"/>
              </w:rPr>
              <w:t> </w:t>
            </w:r>
            <w:r>
              <w:rPr>
                <w:sz w:val="16"/>
              </w:rPr>
              <w:t>Contingency</w:t>
            </w:r>
            <w:r>
              <w:rPr>
                <w:spacing w:val="-2"/>
                <w:sz w:val="16"/>
              </w:rPr>
              <w:t> </w:t>
            </w:r>
            <w:r>
              <w:rPr>
                <w:sz w:val="16"/>
              </w:rPr>
              <w:t>Fund</w:t>
            </w:r>
            <w:r>
              <w:rPr>
                <w:spacing w:val="-3"/>
                <w:sz w:val="16"/>
              </w:rPr>
              <w:t> </w:t>
            </w:r>
            <w:r>
              <w:rPr>
                <w:spacing w:val="-2"/>
                <w:sz w:val="16"/>
              </w:rPr>
              <w:t>notifications.</w:t>
            </w:r>
          </w:p>
          <w:p>
            <w:pPr>
              <w:pStyle w:val="TableParagraph"/>
              <w:spacing w:line="183" w:lineRule="exact"/>
              <w:jc w:val="left"/>
              <w:rPr>
                <w:sz w:val="16"/>
              </w:rPr>
            </w:pPr>
            <w:r>
              <w:rPr>
                <w:position w:val="5"/>
                <w:sz w:val="10"/>
              </w:rPr>
              <w:t>(3)</w:t>
            </w:r>
            <w:r>
              <w:rPr>
                <w:spacing w:val="12"/>
                <w:position w:val="5"/>
                <w:sz w:val="10"/>
              </w:rPr>
              <w:t> </w:t>
            </w:r>
            <w:r>
              <w:rPr>
                <w:sz w:val="16"/>
              </w:rPr>
              <w:t>Based</w:t>
            </w:r>
            <w:r>
              <w:rPr>
                <w:spacing w:val="-1"/>
                <w:sz w:val="16"/>
              </w:rPr>
              <w:t> </w:t>
            </w:r>
            <w:r>
              <w:rPr>
                <w:sz w:val="16"/>
              </w:rPr>
              <w:t>on budget</w:t>
            </w:r>
            <w:r>
              <w:rPr>
                <w:spacing w:val="-4"/>
                <w:sz w:val="16"/>
              </w:rPr>
              <w:t> </w:t>
            </w:r>
            <w:r>
              <w:rPr>
                <w:sz w:val="16"/>
              </w:rPr>
              <w:t>headcount</w:t>
            </w:r>
            <w:r>
              <w:rPr>
                <w:spacing w:val="-4"/>
                <w:sz w:val="16"/>
              </w:rPr>
              <w:t> </w:t>
            </w:r>
            <w:r>
              <w:rPr>
                <w:sz w:val="16"/>
              </w:rPr>
              <w:t>by </w:t>
            </w:r>
            <w:r>
              <w:rPr>
                <w:spacing w:val="-2"/>
                <w:sz w:val="16"/>
              </w:rPr>
              <w:t>situation.</w:t>
            </w:r>
          </w:p>
          <w:p>
            <w:pPr>
              <w:pStyle w:val="TableParagraph"/>
              <w:spacing w:line="164" w:lineRule="exact" w:before="3"/>
              <w:jc w:val="left"/>
              <w:rPr>
                <w:sz w:val="16"/>
              </w:rPr>
            </w:pPr>
            <w:r>
              <w:rPr>
                <w:position w:val="5"/>
                <w:sz w:val="10"/>
              </w:rPr>
              <w:t>(4)</w:t>
            </w:r>
            <w:r>
              <w:rPr>
                <w:spacing w:val="12"/>
                <w:position w:val="5"/>
                <w:sz w:val="10"/>
              </w:rPr>
              <w:t> </w:t>
            </w:r>
            <w:r>
              <w:rPr>
                <w:sz w:val="16"/>
              </w:rPr>
              <w:t>Based</w:t>
            </w:r>
            <w:r>
              <w:rPr>
                <w:spacing w:val="-1"/>
                <w:sz w:val="16"/>
              </w:rPr>
              <w:t> </w:t>
            </w:r>
            <w:r>
              <w:rPr>
                <w:sz w:val="16"/>
              </w:rPr>
              <w:t>on budget</w:t>
            </w:r>
            <w:r>
              <w:rPr>
                <w:spacing w:val="-4"/>
                <w:sz w:val="16"/>
              </w:rPr>
              <w:t> </w:t>
            </w:r>
            <w:r>
              <w:rPr>
                <w:sz w:val="16"/>
              </w:rPr>
              <w:t>FTE</w:t>
            </w:r>
            <w:r>
              <w:rPr>
                <w:spacing w:val="-4"/>
                <w:sz w:val="16"/>
              </w:rPr>
              <w:t> </w:t>
            </w:r>
            <w:r>
              <w:rPr>
                <w:sz w:val="16"/>
              </w:rPr>
              <w:t>by </w:t>
            </w:r>
            <w:r>
              <w:rPr>
                <w:spacing w:val="-2"/>
                <w:sz w:val="16"/>
              </w:rPr>
              <w:t>situation.</w:t>
            </w:r>
          </w:p>
        </w:tc>
        <w:tc>
          <w:tcPr>
            <w:tcW w:w="656" w:type="dxa"/>
            <w:gridSpan w:val="2"/>
            <w:tcBorders>
              <w:top w:val="single" w:sz="4" w:space="0" w:color="000000"/>
            </w:tcBorders>
          </w:tcPr>
          <w:p>
            <w:pPr>
              <w:pStyle w:val="TableParagraph"/>
              <w:jc w:val="left"/>
              <w:rPr>
                <w:sz w:val="12"/>
              </w:rPr>
            </w:pPr>
          </w:p>
        </w:tc>
        <w:tc>
          <w:tcPr>
            <w:tcW w:w="640" w:type="dxa"/>
            <w:gridSpan w:val="2"/>
            <w:tcBorders>
              <w:top w:val="single" w:sz="4" w:space="0" w:color="000000"/>
            </w:tcBorders>
          </w:tcPr>
          <w:p>
            <w:pPr>
              <w:pStyle w:val="TableParagraph"/>
              <w:jc w:val="left"/>
              <w:rPr>
                <w:sz w:val="12"/>
              </w:rPr>
            </w:pPr>
          </w:p>
        </w:tc>
        <w:tc>
          <w:tcPr>
            <w:tcW w:w="701" w:type="dxa"/>
            <w:gridSpan w:val="2"/>
            <w:tcBorders>
              <w:top w:val="single" w:sz="4" w:space="0" w:color="000000"/>
            </w:tcBorders>
          </w:tcPr>
          <w:p>
            <w:pPr>
              <w:pStyle w:val="TableParagraph"/>
              <w:jc w:val="left"/>
              <w:rPr>
                <w:sz w:val="12"/>
              </w:rPr>
            </w:pPr>
          </w:p>
        </w:tc>
        <w:tc>
          <w:tcPr>
            <w:tcW w:w="694" w:type="dxa"/>
            <w:gridSpan w:val="2"/>
            <w:tcBorders>
              <w:top w:val="single" w:sz="4" w:space="0" w:color="000000"/>
            </w:tcBorders>
          </w:tcPr>
          <w:p>
            <w:pPr>
              <w:pStyle w:val="TableParagraph"/>
              <w:jc w:val="left"/>
              <w:rPr>
                <w:sz w:val="12"/>
              </w:rPr>
            </w:pPr>
          </w:p>
        </w:tc>
        <w:tc>
          <w:tcPr>
            <w:tcW w:w="683" w:type="dxa"/>
            <w:gridSpan w:val="2"/>
            <w:tcBorders>
              <w:top w:val="single" w:sz="4" w:space="0" w:color="000000"/>
            </w:tcBorders>
          </w:tcPr>
          <w:p>
            <w:pPr>
              <w:pStyle w:val="TableParagraph"/>
              <w:jc w:val="left"/>
              <w:rPr>
                <w:sz w:val="12"/>
              </w:rPr>
            </w:pPr>
          </w:p>
        </w:tc>
      </w:tr>
    </w:tbl>
    <w:p>
      <w:pPr>
        <w:spacing w:after="0"/>
        <w:jc w:val="left"/>
        <w:rPr>
          <w:sz w:val="12"/>
        </w:rPr>
        <w:sectPr>
          <w:pgSz w:w="11910" w:h="16840"/>
          <w:pgMar w:header="978" w:footer="940" w:top="1580" w:bottom="1140" w:left="20" w:right="20"/>
        </w:sectPr>
      </w:pPr>
    </w:p>
    <w:p>
      <w:pPr>
        <w:pStyle w:val="Heading1"/>
      </w:pPr>
      <w:r>
        <w:rPr/>
        <w:t>Annex</w:t>
      </w:r>
      <w:r>
        <w:rPr>
          <w:spacing w:val="-9"/>
        </w:rPr>
        <w:t> </w:t>
      </w:r>
      <w:r>
        <w:rPr>
          <w:spacing w:val="-5"/>
        </w:rPr>
        <w:t>XII</w:t>
      </w:r>
    </w:p>
    <w:p>
      <w:pPr>
        <w:spacing w:line="240" w:lineRule="auto" w:before="0"/>
        <w:rPr>
          <w:b/>
          <w:sz w:val="32"/>
        </w:rPr>
      </w:pPr>
      <w:r>
        <w:rPr/>
        <w:br w:type="column"/>
      </w:r>
      <w:r>
        <w:rPr>
          <w:b/>
          <w:sz w:val="32"/>
        </w:rPr>
      </w:r>
    </w:p>
    <w:p>
      <w:pPr>
        <w:pStyle w:val="BodyText"/>
        <w:spacing w:before="5"/>
        <w:rPr>
          <w:b/>
          <w:sz w:val="27"/>
        </w:rPr>
      </w:pPr>
    </w:p>
    <w:p>
      <w:pPr>
        <w:pStyle w:val="Heading1"/>
        <w:spacing w:line="256" w:lineRule="auto" w:before="0"/>
        <w:ind w:left="-18" w:right="1186"/>
      </w:pPr>
      <w:bookmarkStart w:name="_bookmark88" w:id="89"/>
      <w:bookmarkEnd w:id="89"/>
      <w:r>
        <w:rPr>
          <w:b w:val="0"/>
        </w:rPr>
      </w:r>
      <w:r>
        <w:rPr/>
        <w:t>Budget</w:t>
      </w:r>
      <w:r>
        <w:rPr>
          <w:spacing w:val="40"/>
        </w:rPr>
        <w:t> </w:t>
      </w:r>
      <w:r>
        <w:rPr/>
        <w:t>allocation</w:t>
      </w:r>
      <w:r>
        <w:rPr>
          <w:spacing w:val="40"/>
        </w:rPr>
        <w:t> </w:t>
      </w:r>
      <w:r>
        <w:rPr/>
        <w:t>per</w:t>
      </w:r>
      <w:r>
        <w:rPr>
          <w:spacing w:val="40"/>
        </w:rPr>
        <w:t> </w:t>
      </w:r>
      <w:r>
        <w:rPr/>
        <w:t>active</w:t>
      </w:r>
      <w:r>
        <w:rPr>
          <w:spacing w:val="40"/>
        </w:rPr>
        <w:t> </w:t>
      </w:r>
      <w:r>
        <w:rPr/>
        <w:t>investigation</w:t>
      </w:r>
      <w:r>
        <w:rPr>
          <w:spacing w:val="40"/>
        </w:rPr>
        <w:t> </w:t>
      </w:r>
      <w:r>
        <w:rPr/>
        <w:t>in</w:t>
      </w:r>
      <w:r>
        <w:rPr>
          <w:spacing w:val="40"/>
        </w:rPr>
        <w:t> </w:t>
      </w:r>
      <w:r>
        <w:rPr/>
        <w:t>Major</w:t>
      </w:r>
      <w:r>
        <w:rPr>
          <w:spacing w:val="80"/>
          <w:w w:val="150"/>
        </w:rPr>
        <w:t> </w:t>
      </w:r>
      <w:r>
        <w:rPr/>
        <w:t>Programme II (in thousands of euros)</w:t>
      </w:r>
      <w:r>
        <w:rPr>
          <w:vertAlign w:val="superscript"/>
        </w:rPr>
        <w:t>(*)</w:t>
      </w:r>
    </w:p>
    <w:p>
      <w:pPr>
        <w:spacing w:after="0" w:line="256" w:lineRule="auto"/>
        <w:sectPr>
          <w:pgSz w:w="11910" w:h="16840"/>
          <w:pgMar w:header="957" w:footer="940" w:top="1140" w:bottom="1140" w:left="20" w:right="20"/>
          <w:cols w:num="2" w:equalWidth="0">
            <w:col w:w="2945" w:space="40"/>
            <w:col w:w="8885"/>
          </w:cols>
        </w:sectPr>
      </w:pPr>
    </w:p>
    <w:p>
      <w:pPr>
        <w:pStyle w:val="BodyText"/>
        <w:spacing w:before="4"/>
        <w:rPr>
          <w:b/>
          <w:sz w:val="21"/>
        </w:rPr>
      </w:pPr>
    </w:p>
    <w:tbl>
      <w:tblPr>
        <w:tblW w:w="0" w:type="auto"/>
        <w:jc w:val="left"/>
        <w:tblInd w:w="2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8"/>
        <w:gridCol w:w="2168"/>
        <w:gridCol w:w="3084"/>
        <w:gridCol w:w="1801"/>
      </w:tblGrid>
      <w:tr>
        <w:trPr>
          <w:trHeight w:val="330" w:hRule="atLeast"/>
        </w:trPr>
        <w:tc>
          <w:tcPr>
            <w:tcW w:w="628" w:type="dxa"/>
            <w:tcBorders>
              <w:top w:val="single" w:sz="4" w:space="0" w:color="000000"/>
              <w:bottom w:val="single" w:sz="4" w:space="0" w:color="000000"/>
            </w:tcBorders>
          </w:tcPr>
          <w:p>
            <w:pPr>
              <w:pStyle w:val="TableParagraph"/>
              <w:jc w:val="left"/>
              <w:rPr>
                <w:sz w:val="16"/>
              </w:rPr>
            </w:pPr>
          </w:p>
        </w:tc>
        <w:tc>
          <w:tcPr>
            <w:tcW w:w="2168" w:type="dxa"/>
            <w:tcBorders>
              <w:top w:val="single" w:sz="4" w:space="0" w:color="000000"/>
              <w:bottom w:val="single" w:sz="4" w:space="0" w:color="000000"/>
            </w:tcBorders>
          </w:tcPr>
          <w:p>
            <w:pPr>
              <w:pStyle w:val="TableParagraph"/>
              <w:spacing w:before="62"/>
              <w:ind w:left="24"/>
              <w:jc w:val="left"/>
              <w:rPr>
                <w:i/>
                <w:sz w:val="18"/>
              </w:rPr>
            </w:pPr>
            <w:r>
              <w:rPr>
                <w:i/>
                <w:spacing w:val="-2"/>
                <w:sz w:val="18"/>
              </w:rPr>
              <w:t>Situation</w:t>
            </w:r>
          </w:p>
        </w:tc>
        <w:tc>
          <w:tcPr>
            <w:tcW w:w="3084" w:type="dxa"/>
            <w:tcBorders>
              <w:top w:val="single" w:sz="4" w:space="0" w:color="000000"/>
              <w:bottom w:val="single" w:sz="4" w:space="0" w:color="000000"/>
            </w:tcBorders>
          </w:tcPr>
          <w:p>
            <w:pPr>
              <w:pStyle w:val="TableParagraph"/>
              <w:spacing w:before="62"/>
              <w:ind w:right="123"/>
              <w:rPr>
                <w:i/>
                <w:sz w:val="18"/>
              </w:rPr>
            </w:pPr>
            <w:r>
              <w:rPr>
                <w:i/>
                <w:sz w:val="18"/>
              </w:rPr>
              <w:t>2023</w:t>
            </w:r>
            <w:r>
              <w:rPr>
                <w:i/>
                <w:spacing w:val="-4"/>
                <w:sz w:val="18"/>
              </w:rPr>
              <w:t> </w:t>
            </w:r>
            <w:r>
              <w:rPr>
                <w:i/>
                <w:sz w:val="18"/>
              </w:rPr>
              <w:t>estimated</w:t>
            </w:r>
            <w:r>
              <w:rPr>
                <w:i/>
                <w:spacing w:val="-4"/>
                <w:sz w:val="18"/>
              </w:rPr>
              <w:t> </w:t>
            </w:r>
            <w:r>
              <w:rPr>
                <w:i/>
                <w:sz w:val="18"/>
              </w:rPr>
              <w:t>budget</w:t>
            </w:r>
            <w:r>
              <w:rPr>
                <w:i/>
                <w:spacing w:val="2"/>
                <w:sz w:val="18"/>
              </w:rPr>
              <w:t> </w:t>
            </w:r>
            <w:r>
              <w:rPr>
                <w:i/>
                <w:spacing w:val="-2"/>
                <w:sz w:val="18"/>
              </w:rPr>
              <w:t>allocation</w:t>
            </w:r>
          </w:p>
        </w:tc>
        <w:tc>
          <w:tcPr>
            <w:tcW w:w="1801" w:type="dxa"/>
            <w:tcBorders>
              <w:top w:val="single" w:sz="4" w:space="0" w:color="000000"/>
              <w:bottom w:val="single" w:sz="4" w:space="0" w:color="000000"/>
            </w:tcBorders>
          </w:tcPr>
          <w:p>
            <w:pPr>
              <w:pStyle w:val="TableParagraph"/>
              <w:spacing w:before="62"/>
              <w:ind w:right="2"/>
              <w:rPr>
                <w:i/>
                <w:sz w:val="18"/>
              </w:rPr>
            </w:pPr>
            <w:r>
              <w:rPr>
                <w:i/>
                <w:sz w:val="18"/>
              </w:rPr>
              <w:t>2022</w:t>
            </w:r>
            <w:r>
              <w:rPr>
                <w:i/>
                <w:spacing w:val="-3"/>
                <w:sz w:val="18"/>
              </w:rPr>
              <w:t> </w:t>
            </w:r>
            <w:r>
              <w:rPr>
                <w:i/>
                <w:sz w:val="18"/>
              </w:rPr>
              <w:t>budget</w:t>
            </w:r>
            <w:r>
              <w:rPr>
                <w:i/>
                <w:spacing w:val="3"/>
                <w:sz w:val="18"/>
              </w:rPr>
              <w:t> </w:t>
            </w:r>
            <w:r>
              <w:rPr>
                <w:i/>
                <w:spacing w:val="-2"/>
                <w:sz w:val="18"/>
              </w:rPr>
              <w:t>allocation</w:t>
            </w:r>
          </w:p>
        </w:tc>
      </w:tr>
      <w:tr>
        <w:trPr>
          <w:trHeight w:val="325" w:hRule="atLeast"/>
        </w:trPr>
        <w:tc>
          <w:tcPr>
            <w:tcW w:w="628" w:type="dxa"/>
            <w:tcBorders>
              <w:top w:val="single" w:sz="4" w:space="0" w:color="000000"/>
              <w:bottom w:val="single" w:sz="4" w:space="0" w:color="000000"/>
            </w:tcBorders>
          </w:tcPr>
          <w:p>
            <w:pPr>
              <w:pStyle w:val="TableParagraph"/>
              <w:spacing w:before="57"/>
              <w:ind w:right="119"/>
              <w:rPr>
                <w:sz w:val="18"/>
              </w:rPr>
            </w:pPr>
            <w:r>
              <w:rPr>
                <w:spacing w:val="-5"/>
                <w:sz w:val="18"/>
              </w:rPr>
              <w:t>1.</w:t>
            </w:r>
          </w:p>
        </w:tc>
        <w:tc>
          <w:tcPr>
            <w:tcW w:w="2168" w:type="dxa"/>
            <w:tcBorders>
              <w:top w:val="single" w:sz="4" w:space="0" w:color="000000"/>
              <w:bottom w:val="single" w:sz="4" w:space="0" w:color="000000"/>
            </w:tcBorders>
          </w:tcPr>
          <w:p>
            <w:pPr>
              <w:pStyle w:val="TableParagraph"/>
              <w:spacing w:before="62"/>
              <w:ind w:left="24"/>
              <w:jc w:val="left"/>
              <w:rPr>
                <w:sz w:val="18"/>
              </w:rPr>
            </w:pPr>
            <w:r>
              <w:rPr>
                <w:spacing w:val="-2"/>
                <w:sz w:val="18"/>
              </w:rPr>
              <w:t>Afghanistan</w:t>
            </w:r>
          </w:p>
        </w:tc>
        <w:tc>
          <w:tcPr>
            <w:tcW w:w="3084" w:type="dxa"/>
            <w:tcBorders>
              <w:top w:val="single" w:sz="4" w:space="0" w:color="000000"/>
              <w:bottom w:val="single" w:sz="4" w:space="0" w:color="000000"/>
            </w:tcBorders>
          </w:tcPr>
          <w:p>
            <w:pPr>
              <w:pStyle w:val="TableParagraph"/>
              <w:spacing w:before="62"/>
              <w:ind w:right="125"/>
              <w:rPr>
                <w:sz w:val="18"/>
              </w:rPr>
            </w:pPr>
            <w:r>
              <w:rPr>
                <w:spacing w:val="-2"/>
                <w:sz w:val="18"/>
              </w:rPr>
              <w:t>1,791.7</w:t>
            </w:r>
          </w:p>
        </w:tc>
        <w:tc>
          <w:tcPr>
            <w:tcW w:w="1801" w:type="dxa"/>
            <w:tcBorders>
              <w:top w:val="single" w:sz="4" w:space="0" w:color="000000"/>
              <w:bottom w:val="single" w:sz="4" w:space="0" w:color="000000"/>
            </w:tcBorders>
          </w:tcPr>
          <w:p>
            <w:pPr>
              <w:pStyle w:val="TableParagraph"/>
              <w:spacing w:before="62"/>
              <w:rPr>
                <w:sz w:val="18"/>
              </w:rPr>
            </w:pPr>
            <w:r>
              <w:rPr>
                <w:spacing w:val="-2"/>
                <w:sz w:val="18"/>
              </w:rPr>
              <w:t>428.0</w:t>
            </w:r>
          </w:p>
        </w:tc>
      </w:tr>
      <w:tr>
        <w:trPr>
          <w:trHeight w:val="326" w:hRule="atLeast"/>
        </w:trPr>
        <w:tc>
          <w:tcPr>
            <w:tcW w:w="628" w:type="dxa"/>
            <w:tcBorders>
              <w:top w:val="single" w:sz="4" w:space="0" w:color="000000"/>
              <w:bottom w:val="single" w:sz="4" w:space="0" w:color="000000"/>
            </w:tcBorders>
          </w:tcPr>
          <w:p>
            <w:pPr>
              <w:pStyle w:val="TableParagraph"/>
              <w:spacing w:before="57"/>
              <w:ind w:right="114"/>
              <w:rPr>
                <w:sz w:val="18"/>
              </w:rPr>
            </w:pPr>
            <w:r>
              <w:rPr>
                <w:spacing w:val="-5"/>
                <w:sz w:val="18"/>
              </w:rPr>
              <w:t>2.</w:t>
            </w:r>
          </w:p>
        </w:tc>
        <w:tc>
          <w:tcPr>
            <w:tcW w:w="2168" w:type="dxa"/>
            <w:tcBorders>
              <w:top w:val="single" w:sz="4" w:space="0" w:color="000000"/>
              <w:bottom w:val="single" w:sz="4" w:space="0" w:color="000000"/>
            </w:tcBorders>
          </w:tcPr>
          <w:p>
            <w:pPr>
              <w:pStyle w:val="TableParagraph"/>
              <w:spacing w:before="62"/>
              <w:ind w:left="24"/>
              <w:jc w:val="left"/>
              <w:rPr>
                <w:sz w:val="18"/>
              </w:rPr>
            </w:pPr>
            <w:r>
              <w:rPr>
                <w:spacing w:val="-2"/>
                <w:sz w:val="18"/>
              </w:rPr>
              <w:t>Bangladesh/Myanmar</w:t>
            </w:r>
          </w:p>
        </w:tc>
        <w:tc>
          <w:tcPr>
            <w:tcW w:w="3084" w:type="dxa"/>
            <w:tcBorders>
              <w:top w:val="single" w:sz="4" w:space="0" w:color="000000"/>
              <w:bottom w:val="single" w:sz="4" w:space="0" w:color="000000"/>
            </w:tcBorders>
          </w:tcPr>
          <w:p>
            <w:pPr>
              <w:pStyle w:val="TableParagraph"/>
              <w:spacing w:before="62"/>
              <w:ind w:right="125"/>
              <w:rPr>
                <w:sz w:val="18"/>
              </w:rPr>
            </w:pPr>
            <w:r>
              <w:rPr>
                <w:spacing w:val="-2"/>
                <w:sz w:val="18"/>
              </w:rPr>
              <w:t>2,321.9</w:t>
            </w:r>
          </w:p>
        </w:tc>
        <w:tc>
          <w:tcPr>
            <w:tcW w:w="1801" w:type="dxa"/>
            <w:tcBorders>
              <w:top w:val="single" w:sz="4" w:space="0" w:color="000000"/>
              <w:bottom w:val="single" w:sz="4" w:space="0" w:color="000000"/>
            </w:tcBorders>
          </w:tcPr>
          <w:p>
            <w:pPr>
              <w:pStyle w:val="TableParagraph"/>
              <w:spacing w:before="62"/>
              <w:ind w:right="1"/>
              <w:rPr>
                <w:sz w:val="18"/>
              </w:rPr>
            </w:pPr>
            <w:r>
              <w:rPr>
                <w:spacing w:val="-2"/>
                <w:sz w:val="18"/>
              </w:rPr>
              <w:t>2,057.7</w:t>
            </w:r>
          </w:p>
        </w:tc>
      </w:tr>
      <w:tr>
        <w:trPr>
          <w:trHeight w:val="325" w:hRule="atLeast"/>
        </w:trPr>
        <w:tc>
          <w:tcPr>
            <w:tcW w:w="628" w:type="dxa"/>
            <w:tcBorders>
              <w:top w:val="single" w:sz="4" w:space="0" w:color="000000"/>
              <w:bottom w:val="single" w:sz="4" w:space="0" w:color="000000"/>
            </w:tcBorders>
          </w:tcPr>
          <w:p>
            <w:pPr>
              <w:pStyle w:val="TableParagraph"/>
              <w:spacing w:before="62"/>
              <w:ind w:right="114"/>
              <w:rPr>
                <w:sz w:val="18"/>
              </w:rPr>
            </w:pPr>
            <w:r>
              <w:rPr>
                <w:spacing w:val="-5"/>
                <w:sz w:val="18"/>
              </w:rPr>
              <w:t>3.</w:t>
            </w:r>
          </w:p>
        </w:tc>
        <w:tc>
          <w:tcPr>
            <w:tcW w:w="2168" w:type="dxa"/>
            <w:tcBorders>
              <w:top w:val="single" w:sz="4" w:space="0" w:color="000000"/>
              <w:bottom w:val="single" w:sz="4" w:space="0" w:color="000000"/>
            </w:tcBorders>
          </w:tcPr>
          <w:p>
            <w:pPr>
              <w:pStyle w:val="TableParagraph"/>
              <w:spacing w:before="62"/>
              <w:ind w:left="24"/>
              <w:jc w:val="left"/>
              <w:rPr>
                <w:sz w:val="18"/>
              </w:rPr>
            </w:pPr>
            <w:r>
              <w:rPr>
                <w:spacing w:val="-2"/>
                <w:sz w:val="18"/>
              </w:rPr>
              <w:t>Burundi</w:t>
            </w:r>
          </w:p>
        </w:tc>
        <w:tc>
          <w:tcPr>
            <w:tcW w:w="3084" w:type="dxa"/>
            <w:tcBorders>
              <w:top w:val="single" w:sz="4" w:space="0" w:color="000000"/>
              <w:bottom w:val="single" w:sz="4" w:space="0" w:color="000000"/>
            </w:tcBorders>
          </w:tcPr>
          <w:p>
            <w:pPr>
              <w:pStyle w:val="TableParagraph"/>
              <w:spacing w:before="62"/>
              <w:ind w:right="125"/>
              <w:rPr>
                <w:sz w:val="18"/>
              </w:rPr>
            </w:pPr>
            <w:r>
              <w:rPr>
                <w:spacing w:val="-2"/>
                <w:sz w:val="18"/>
              </w:rPr>
              <w:t>1,793.7</w:t>
            </w:r>
          </w:p>
        </w:tc>
        <w:tc>
          <w:tcPr>
            <w:tcW w:w="1801" w:type="dxa"/>
            <w:tcBorders>
              <w:top w:val="single" w:sz="4" w:space="0" w:color="000000"/>
              <w:bottom w:val="single" w:sz="4" w:space="0" w:color="000000"/>
            </w:tcBorders>
          </w:tcPr>
          <w:p>
            <w:pPr>
              <w:pStyle w:val="TableParagraph"/>
              <w:spacing w:before="62"/>
              <w:ind w:right="1"/>
              <w:rPr>
                <w:sz w:val="18"/>
              </w:rPr>
            </w:pPr>
            <w:r>
              <w:rPr>
                <w:spacing w:val="-2"/>
                <w:sz w:val="18"/>
              </w:rPr>
              <w:t>2,444.1</w:t>
            </w:r>
          </w:p>
        </w:tc>
      </w:tr>
      <w:tr>
        <w:trPr>
          <w:trHeight w:val="326" w:hRule="atLeast"/>
        </w:trPr>
        <w:tc>
          <w:tcPr>
            <w:tcW w:w="628" w:type="dxa"/>
            <w:tcBorders>
              <w:top w:val="single" w:sz="4" w:space="0" w:color="000000"/>
              <w:bottom w:val="single" w:sz="4" w:space="0" w:color="000000"/>
            </w:tcBorders>
          </w:tcPr>
          <w:p>
            <w:pPr>
              <w:pStyle w:val="TableParagraph"/>
              <w:spacing w:before="62"/>
              <w:ind w:right="114"/>
              <w:rPr>
                <w:sz w:val="18"/>
              </w:rPr>
            </w:pPr>
            <w:r>
              <w:rPr>
                <w:spacing w:val="-5"/>
                <w:sz w:val="18"/>
              </w:rPr>
              <w:t>4.</w:t>
            </w:r>
          </w:p>
        </w:tc>
        <w:tc>
          <w:tcPr>
            <w:tcW w:w="2168" w:type="dxa"/>
            <w:tcBorders>
              <w:top w:val="single" w:sz="4" w:space="0" w:color="000000"/>
              <w:bottom w:val="single" w:sz="4" w:space="0" w:color="000000"/>
            </w:tcBorders>
          </w:tcPr>
          <w:p>
            <w:pPr>
              <w:pStyle w:val="TableParagraph"/>
              <w:spacing w:before="62"/>
              <w:ind w:left="24"/>
              <w:jc w:val="left"/>
              <w:rPr>
                <w:sz w:val="18"/>
              </w:rPr>
            </w:pPr>
            <w:r>
              <w:rPr>
                <w:sz w:val="18"/>
              </w:rPr>
              <w:t>Côte</w:t>
            </w:r>
            <w:r>
              <w:rPr>
                <w:spacing w:val="-3"/>
                <w:sz w:val="18"/>
              </w:rPr>
              <w:t> </w:t>
            </w:r>
            <w:r>
              <w:rPr>
                <w:sz w:val="18"/>
              </w:rPr>
              <w:t>d’Ivoire</w:t>
            </w:r>
            <w:r>
              <w:rPr>
                <w:spacing w:val="-3"/>
                <w:sz w:val="18"/>
              </w:rPr>
              <w:t> </w:t>
            </w:r>
            <w:r>
              <w:rPr>
                <w:spacing w:val="-5"/>
                <w:sz w:val="18"/>
              </w:rPr>
              <w:t>II</w:t>
            </w:r>
          </w:p>
        </w:tc>
        <w:tc>
          <w:tcPr>
            <w:tcW w:w="3084" w:type="dxa"/>
            <w:tcBorders>
              <w:top w:val="single" w:sz="4" w:space="0" w:color="000000"/>
              <w:bottom w:val="single" w:sz="4" w:space="0" w:color="000000"/>
            </w:tcBorders>
          </w:tcPr>
          <w:p>
            <w:pPr>
              <w:pStyle w:val="TableParagraph"/>
              <w:spacing w:before="62"/>
              <w:ind w:right="125"/>
              <w:rPr>
                <w:sz w:val="18"/>
              </w:rPr>
            </w:pPr>
            <w:r>
              <w:rPr>
                <w:spacing w:val="-2"/>
                <w:sz w:val="18"/>
              </w:rPr>
              <w:t>2,055.1</w:t>
            </w:r>
          </w:p>
        </w:tc>
        <w:tc>
          <w:tcPr>
            <w:tcW w:w="1801" w:type="dxa"/>
            <w:tcBorders>
              <w:top w:val="single" w:sz="4" w:space="0" w:color="000000"/>
              <w:bottom w:val="single" w:sz="4" w:space="0" w:color="000000"/>
            </w:tcBorders>
          </w:tcPr>
          <w:p>
            <w:pPr>
              <w:pStyle w:val="TableParagraph"/>
              <w:spacing w:before="62"/>
              <w:ind w:right="1"/>
              <w:rPr>
                <w:sz w:val="18"/>
              </w:rPr>
            </w:pPr>
            <w:r>
              <w:rPr>
                <w:spacing w:val="-2"/>
                <w:sz w:val="18"/>
              </w:rPr>
              <w:t>2,702.8</w:t>
            </w:r>
          </w:p>
        </w:tc>
      </w:tr>
      <w:tr>
        <w:trPr>
          <w:trHeight w:val="330" w:hRule="atLeast"/>
        </w:trPr>
        <w:tc>
          <w:tcPr>
            <w:tcW w:w="628" w:type="dxa"/>
            <w:tcBorders>
              <w:top w:val="single" w:sz="4" w:space="0" w:color="000000"/>
              <w:bottom w:val="single" w:sz="4" w:space="0" w:color="000000"/>
            </w:tcBorders>
          </w:tcPr>
          <w:p>
            <w:pPr>
              <w:pStyle w:val="TableParagraph"/>
              <w:spacing w:before="62"/>
              <w:ind w:right="114"/>
              <w:rPr>
                <w:sz w:val="18"/>
              </w:rPr>
            </w:pPr>
            <w:r>
              <w:rPr>
                <w:spacing w:val="-5"/>
                <w:sz w:val="18"/>
              </w:rPr>
              <w:t>5.</w:t>
            </w:r>
          </w:p>
        </w:tc>
        <w:tc>
          <w:tcPr>
            <w:tcW w:w="2168" w:type="dxa"/>
            <w:tcBorders>
              <w:top w:val="single" w:sz="4" w:space="0" w:color="000000"/>
              <w:bottom w:val="single" w:sz="4" w:space="0" w:color="000000"/>
            </w:tcBorders>
          </w:tcPr>
          <w:p>
            <w:pPr>
              <w:pStyle w:val="TableParagraph"/>
              <w:spacing w:before="62"/>
              <w:ind w:left="24"/>
              <w:jc w:val="left"/>
              <w:rPr>
                <w:sz w:val="18"/>
              </w:rPr>
            </w:pPr>
            <w:r>
              <w:rPr>
                <w:sz w:val="18"/>
              </w:rPr>
              <w:t>Darfur</w:t>
            </w:r>
            <w:r>
              <w:rPr>
                <w:spacing w:val="-2"/>
                <w:sz w:val="18"/>
              </w:rPr>
              <w:t> </w:t>
            </w:r>
            <w:r>
              <w:rPr>
                <w:spacing w:val="-4"/>
                <w:sz w:val="18"/>
              </w:rPr>
              <w:t>(**)</w:t>
            </w:r>
          </w:p>
        </w:tc>
        <w:tc>
          <w:tcPr>
            <w:tcW w:w="3084" w:type="dxa"/>
            <w:tcBorders>
              <w:top w:val="single" w:sz="4" w:space="0" w:color="000000"/>
              <w:bottom w:val="single" w:sz="4" w:space="0" w:color="000000"/>
            </w:tcBorders>
          </w:tcPr>
          <w:p>
            <w:pPr>
              <w:pStyle w:val="TableParagraph"/>
              <w:spacing w:before="62"/>
              <w:ind w:right="125"/>
              <w:rPr>
                <w:sz w:val="18"/>
              </w:rPr>
            </w:pPr>
            <w:r>
              <w:rPr>
                <w:spacing w:val="-2"/>
                <w:sz w:val="18"/>
              </w:rPr>
              <w:t>3,506.3</w:t>
            </w:r>
          </w:p>
        </w:tc>
        <w:tc>
          <w:tcPr>
            <w:tcW w:w="1801" w:type="dxa"/>
            <w:tcBorders>
              <w:top w:val="single" w:sz="4" w:space="0" w:color="000000"/>
              <w:bottom w:val="single" w:sz="4" w:space="0" w:color="000000"/>
            </w:tcBorders>
          </w:tcPr>
          <w:p>
            <w:pPr>
              <w:pStyle w:val="TableParagraph"/>
              <w:spacing w:before="62"/>
              <w:ind w:right="1"/>
              <w:rPr>
                <w:sz w:val="18"/>
              </w:rPr>
            </w:pPr>
            <w:r>
              <w:rPr>
                <w:spacing w:val="-2"/>
                <w:sz w:val="18"/>
              </w:rPr>
              <w:t>4,375.1</w:t>
            </w:r>
          </w:p>
        </w:tc>
      </w:tr>
      <w:tr>
        <w:trPr>
          <w:trHeight w:val="326" w:hRule="atLeast"/>
        </w:trPr>
        <w:tc>
          <w:tcPr>
            <w:tcW w:w="628" w:type="dxa"/>
            <w:tcBorders>
              <w:top w:val="single" w:sz="4" w:space="0" w:color="000000"/>
              <w:bottom w:val="single" w:sz="4" w:space="0" w:color="000000"/>
            </w:tcBorders>
          </w:tcPr>
          <w:p>
            <w:pPr>
              <w:pStyle w:val="TableParagraph"/>
              <w:spacing w:before="57"/>
              <w:ind w:right="114"/>
              <w:rPr>
                <w:sz w:val="18"/>
              </w:rPr>
            </w:pPr>
            <w:r>
              <w:rPr>
                <w:spacing w:val="-5"/>
                <w:sz w:val="18"/>
              </w:rPr>
              <w:t>6.</w:t>
            </w:r>
          </w:p>
        </w:tc>
        <w:tc>
          <w:tcPr>
            <w:tcW w:w="2168" w:type="dxa"/>
            <w:tcBorders>
              <w:top w:val="single" w:sz="4" w:space="0" w:color="000000"/>
              <w:bottom w:val="single" w:sz="4" w:space="0" w:color="000000"/>
            </w:tcBorders>
          </w:tcPr>
          <w:p>
            <w:pPr>
              <w:pStyle w:val="TableParagraph"/>
              <w:spacing w:before="62"/>
              <w:ind w:left="24"/>
              <w:jc w:val="left"/>
              <w:rPr>
                <w:sz w:val="18"/>
              </w:rPr>
            </w:pPr>
            <w:r>
              <w:rPr>
                <w:spacing w:val="-2"/>
                <w:sz w:val="18"/>
              </w:rPr>
              <w:t>Libya</w:t>
            </w:r>
          </w:p>
        </w:tc>
        <w:tc>
          <w:tcPr>
            <w:tcW w:w="3084" w:type="dxa"/>
            <w:tcBorders>
              <w:top w:val="single" w:sz="4" w:space="0" w:color="000000"/>
              <w:bottom w:val="single" w:sz="4" w:space="0" w:color="000000"/>
            </w:tcBorders>
          </w:tcPr>
          <w:p>
            <w:pPr>
              <w:pStyle w:val="TableParagraph"/>
              <w:spacing w:before="62"/>
              <w:ind w:right="125"/>
              <w:rPr>
                <w:sz w:val="18"/>
              </w:rPr>
            </w:pPr>
            <w:r>
              <w:rPr>
                <w:spacing w:val="-2"/>
                <w:sz w:val="18"/>
              </w:rPr>
              <w:t>2,668.9</w:t>
            </w:r>
          </w:p>
        </w:tc>
        <w:tc>
          <w:tcPr>
            <w:tcW w:w="1801" w:type="dxa"/>
            <w:tcBorders>
              <w:top w:val="single" w:sz="4" w:space="0" w:color="000000"/>
              <w:bottom w:val="single" w:sz="4" w:space="0" w:color="000000"/>
            </w:tcBorders>
          </w:tcPr>
          <w:p>
            <w:pPr>
              <w:pStyle w:val="TableParagraph"/>
              <w:spacing w:before="62"/>
              <w:ind w:right="1"/>
              <w:rPr>
                <w:sz w:val="18"/>
              </w:rPr>
            </w:pPr>
            <w:r>
              <w:rPr>
                <w:spacing w:val="-2"/>
                <w:sz w:val="18"/>
              </w:rPr>
              <w:t>2,785.0</w:t>
            </w:r>
          </w:p>
        </w:tc>
      </w:tr>
      <w:tr>
        <w:trPr>
          <w:trHeight w:val="325" w:hRule="atLeast"/>
        </w:trPr>
        <w:tc>
          <w:tcPr>
            <w:tcW w:w="628" w:type="dxa"/>
            <w:tcBorders>
              <w:top w:val="single" w:sz="4" w:space="0" w:color="000000"/>
              <w:bottom w:val="single" w:sz="4" w:space="0" w:color="000000"/>
            </w:tcBorders>
          </w:tcPr>
          <w:p>
            <w:pPr>
              <w:pStyle w:val="TableParagraph"/>
              <w:spacing w:before="57"/>
              <w:ind w:right="114"/>
              <w:rPr>
                <w:sz w:val="18"/>
              </w:rPr>
            </w:pPr>
            <w:r>
              <w:rPr>
                <w:spacing w:val="-5"/>
                <w:sz w:val="18"/>
              </w:rPr>
              <w:t>7.</w:t>
            </w:r>
          </w:p>
        </w:tc>
        <w:tc>
          <w:tcPr>
            <w:tcW w:w="2168" w:type="dxa"/>
            <w:tcBorders>
              <w:top w:val="single" w:sz="4" w:space="0" w:color="000000"/>
              <w:bottom w:val="single" w:sz="4" w:space="0" w:color="000000"/>
            </w:tcBorders>
          </w:tcPr>
          <w:p>
            <w:pPr>
              <w:pStyle w:val="TableParagraph"/>
              <w:spacing w:before="62"/>
              <w:ind w:left="24"/>
              <w:jc w:val="left"/>
              <w:rPr>
                <w:sz w:val="18"/>
              </w:rPr>
            </w:pPr>
            <w:r>
              <w:rPr>
                <w:spacing w:val="-2"/>
                <w:sz w:val="18"/>
              </w:rPr>
              <w:t>Palestine</w:t>
            </w:r>
          </w:p>
        </w:tc>
        <w:tc>
          <w:tcPr>
            <w:tcW w:w="3084" w:type="dxa"/>
            <w:tcBorders>
              <w:top w:val="single" w:sz="4" w:space="0" w:color="000000"/>
              <w:bottom w:val="single" w:sz="4" w:space="0" w:color="000000"/>
            </w:tcBorders>
          </w:tcPr>
          <w:p>
            <w:pPr>
              <w:pStyle w:val="TableParagraph"/>
              <w:spacing w:before="62"/>
              <w:ind w:right="125"/>
              <w:rPr>
                <w:sz w:val="18"/>
              </w:rPr>
            </w:pPr>
            <w:r>
              <w:rPr>
                <w:spacing w:val="-2"/>
                <w:sz w:val="18"/>
              </w:rPr>
              <w:t>944.1</w:t>
            </w:r>
          </w:p>
        </w:tc>
        <w:tc>
          <w:tcPr>
            <w:tcW w:w="1801" w:type="dxa"/>
            <w:tcBorders>
              <w:top w:val="single" w:sz="4" w:space="0" w:color="000000"/>
              <w:bottom w:val="single" w:sz="4" w:space="0" w:color="000000"/>
            </w:tcBorders>
          </w:tcPr>
          <w:p>
            <w:pPr>
              <w:pStyle w:val="TableParagraph"/>
              <w:jc w:val="left"/>
              <w:rPr>
                <w:sz w:val="16"/>
              </w:rPr>
            </w:pPr>
          </w:p>
        </w:tc>
      </w:tr>
      <w:tr>
        <w:trPr>
          <w:trHeight w:val="326" w:hRule="atLeast"/>
        </w:trPr>
        <w:tc>
          <w:tcPr>
            <w:tcW w:w="628" w:type="dxa"/>
            <w:tcBorders>
              <w:top w:val="single" w:sz="4" w:space="0" w:color="000000"/>
              <w:bottom w:val="single" w:sz="4" w:space="0" w:color="000000"/>
            </w:tcBorders>
          </w:tcPr>
          <w:p>
            <w:pPr>
              <w:pStyle w:val="TableParagraph"/>
              <w:spacing w:before="62"/>
              <w:ind w:right="114"/>
              <w:rPr>
                <w:sz w:val="18"/>
              </w:rPr>
            </w:pPr>
            <w:r>
              <w:rPr>
                <w:spacing w:val="-5"/>
                <w:sz w:val="18"/>
              </w:rPr>
              <w:t>8.</w:t>
            </w:r>
          </w:p>
        </w:tc>
        <w:tc>
          <w:tcPr>
            <w:tcW w:w="2168" w:type="dxa"/>
            <w:tcBorders>
              <w:top w:val="single" w:sz="4" w:space="0" w:color="000000"/>
              <w:bottom w:val="single" w:sz="4" w:space="0" w:color="000000"/>
            </w:tcBorders>
          </w:tcPr>
          <w:p>
            <w:pPr>
              <w:pStyle w:val="TableParagraph"/>
              <w:spacing w:before="62"/>
              <w:ind w:left="24"/>
              <w:jc w:val="left"/>
              <w:rPr>
                <w:sz w:val="18"/>
              </w:rPr>
            </w:pPr>
            <w:r>
              <w:rPr>
                <w:spacing w:val="-2"/>
                <w:sz w:val="18"/>
              </w:rPr>
              <w:t>Philippines</w:t>
            </w:r>
          </w:p>
        </w:tc>
        <w:tc>
          <w:tcPr>
            <w:tcW w:w="3084" w:type="dxa"/>
            <w:tcBorders>
              <w:top w:val="single" w:sz="4" w:space="0" w:color="000000"/>
              <w:bottom w:val="single" w:sz="4" w:space="0" w:color="000000"/>
            </w:tcBorders>
          </w:tcPr>
          <w:p>
            <w:pPr>
              <w:pStyle w:val="TableParagraph"/>
              <w:spacing w:before="62"/>
              <w:ind w:right="125"/>
              <w:rPr>
                <w:sz w:val="18"/>
              </w:rPr>
            </w:pPr>
            <w:r>
              <w:rPr>
                <w:spacing w:val="-2"/>
                <w:sz w:val="18"/>
              </w:rPr>
              <w:t>1,917.8</w:t>
            </w:r>
          </w:p>
        </w:tc>
        <w:tc>
          <w:tcPr>
            <w:tcW w:w="1801" w:type="dxa"/>
            <w:tcBorders>
              <w:top w:val="single" w:sz="4" w:space="0" w:color="000000"/>
              <w:bottom w:val="single" w:sz="4" w:space="0" w:color="000000"/>
            </w:tcBorders>
          </w:tcPr>
          <w:p>
            <w:pPr>
              <w:pStyle w:val="TableParagraph"/>
              <w:jc w:val="left"/>
              <w:rPr>
                <w:sz w:val="16"/>
              </w:rPr>
            </w:pPr>
          </w:p>
        </w:tc>
      </w:tr>
      <w:tr>
        <w:trPr>
          <w:trHeight w:val="326" w:hRule="atLeast"/>
        </w:trPr>
        <w:tc>
          <w:tcPr>
            <w:tcW w:w="628" w:type="dxa"/>
            <w:tcBorders>
              <w:top w:val="single" w:sz="4" w:space="0" w:color="000000"/>
              <w:bottom w:val="single" w:sz="4" w:space="0" w:color="000000"/>
            </w:tcBorders>
          </w:tcPr>
          <w:p>
            <w:pPr>
              <w:pStyle w:val="TableParagraph"/>
              <w:spacing w:before="62"/>
              <w:ind w:right="114"/>
              <w:rPr>
                <w:sz w:val="18"/>
              </w:rPr>
            </w:pPr>
            <w:r>
              <w:rPr>
                <w:spacing w:val="-5"/>
                <w:sz w:val="18"/>
              </w:rPr>
              <w:t>9.</w:t>
            </w:r>
          </w:p>
        </w:tc>
        <w:tc>
          <w:tcPr>
            <w:tcW w:w="2168" w:type="dxa"/>
            <w:tcBorders>
              <w:top w:val="single" w:sz="4" w:space="0" w:color="000000"/>
              <w:bottom w:val="single" w:sz="4" w:space="0" w:color="000000"/>
            </w:tcBorders>
          </w:tcPr>
          <w:p>
            <w:pPr>
              <w:pStyle w:val="TableParagraph"/>
              <w:spacing w:before="62"/>
              <w:ind w:left="24"/>
              <w:jc w:val="left"/>
              <w:rPr>
                <w:sz w:val="18"/>
              </w:rPr>
            </w:pPr>
            <w:r>
              <w:rPr>
                <w:spacing w:val="-2"/>
                <w:sz w:val="18"/>
              </w:rPr>
              <w:t>Ukraine</w:t>
            </w:r>
          </w:p>
        </w:tc>
        <w:tc>
          <w:tcPr>
            <w:tcW w:w="3084" w:type="dxa"/>
            <w:tcBorders>
              <w:top w:val="single" w:sz="4" w:space="0" w:color="000000"/>
              <w:bottom w:val="single" w:sz="4" w:space="0" w:color="000000"/>
            </w:tcBorders>
          </w:tcPr>
          <w:p>
            <w:pPr>
              <w:pStyle w:val="TableParagraph"/>
              <w:spacing w:before="62"/>
              <w:ind w:right="125"/>
              <w:rPr>
                <w:sz w:val="18"/>
              </w:rPr>
            </w:pPr>
            <w:r>
              <w:rPr>
                <w:spacing w:val="-2"/>
                <w:sz w:val="18"/>
              </w:rPr>
              <w:t>4,449.8</w:t>
            </w:r>
          </w:p>
        </w:tc>
        <w:tc>
          <w:tcPr>
            <w:tcW w:w="1801" w:type="dxa"/>
            <w:tcBorders>
              <w:top w:val="single" w:sz="4" w:space="0" w:color="000000"/>
              <w:bottom w:val="single" w:sz="4" w:space="0" w:color="000000"/>
            </w:tcBorders>
          </w:tcPr>
          <w:p>
            <w:pPr>
              <w:pStyle w:val="TableParagraph"/>
              <w:jc w:val="left"/>
              <w:rPr>
                <w:sz w:val="16"/>
              </w:rPr>
            </w:pPr>
          </w:p>
        </w:tc>
      </w:tr>
      <w:tr>
        <w:trPr>
          <w:trHeight w:val="330" w:hRule="atLeast"/>
        </w:trPr>
        <w:tc>
          <w:tcPr>
            <w:tcW w:w="628" w:type="dxa"/>
            <w:tcBorders>
              <w:top w:val="single" w:sz="4" w:space="0" w:color="000000"/>
              <w:bottom w:val="single" w:sz="4" w:space="0" w:color="000000"/>
            </w:tcBorders>
          </w:tcPr>
          <w:p>
            <w:pPr>
              <w:pStyle w:val="TableParagraph"/>
              <w:spacing w:before="62"/>
              <w:ind w:right="23"/>
              <w:rPr>
                <w:sz w:val="18"/>
              </w:rPr>
            </w:pPr>
            <w:r>
              <w:rPr>
                <w:spacing w:val="-5"/>
                <w:sz w:val="18"/>
              </w:rPr>
              <w:t>10.</w:t>
            </w:r>
          </w:p>
        </w:tc>
        <w:tc>
          <w:tcPr>
            <w:tcW w:w="2168" w:type="dxa"/>
            <w:tcBorders>
              <w:top w:val="single" w:sz="4" w:space="0" w:color="000000"/>
              <w:bottom w:val="single" w:sz="4" w:space="0" w:color="000000"/>
            </w:tcBorders>
          </w:tcPr>
          <w:p>
            <w:pPr>
              <w:pStyle w:val="TableParagraph"/>
              <w:spacing w:before="62"/>
              <w:ind w:left="24"/>
              <w:jc w:val="left"/>
              <w:rPr>
                <w:sz w:val="18"/>
              </w:rPr>
            </w:pPr>
            <w:r>
              <w:rPr>
                <w:sz w:val="18"/>
              </w:rPr>
              <w:t>Venezuela </w:t>
            </w:r>
            <w:r>
              <w:rPr>
                <w:spacing w:val="-10"/>
                <w:sz w:val="18"/>
              </w:rPr>
              <w:t>I</w:t>
            </w:r>
          </w:p>
        </w:tc>
        <w:tc>
          <w:tcPr>
            <w:tcW w:w="3084" w:type="dxa"/>
            <w:tcBorders>
              <w:top w:val="single" w:sz="4" w:space="0" w:color="000000"/>
              <w:bottom w:val="single" w:sz="4" w:space="0" w:color="000000"/>
            </w:tcBorders>
          </w:tcPr>
          <w:p>
            <w:pPr>
              <w:pStyle w:val="TableParagraph"/>
              <w:spacing w:before="62"/>
              <w:ind w:right="125"/>
              <w:rPr>
                <w:sz w:val="18"/>
              </w:rPr>
            </w:pPr>
            <w:r>
              <w:rPr>
                <w:spacing w:val="-2"/>
                <w:sz w:val="18"/>
              </w:rPr>
              <w:t>1,550.8</w:t>
            </w:r>
          </w:p>
        </w:tc>
        <w:tc>
          <w:tcPr>
            <w:tcW w:w="1801" w:type="dxa"/>
            <w:tcBorders>
              <w:top w:val="single" w:sz="4" w:space="0" w:color="000000"/>
              <w:bottom w:val="single" w:sz="4" w:space="0" w:color="000000"/>
            </w:tcBorders>
          </w:tcPr>
          <w:p>
            <w:pPr>
              <w:pStyle w:val="TableParagraph"/>
              <w:jc w:val="left"/>
              <w:rPr>
                <w:sz w:val="16"/>
              </w:rPr>
            </w:pPr>
          </w:p>
        </w:tc>
      </w:tr>
    </w:tbl>
    <w:p>
      <w:pPr>
        <w:pStyle w:val="BodyText"/>
        <w:spacing w:before="4"/>
        <w:rPr>
          <w:b/>
          <w:sz w:val="8"/>
        </w:rPr>
      </w:pPr>
    </w:p>
    <w:p>
      <w:pPr>
        <w:spacing w:line="240" w:lineRule="auto" w:before="92"/>
        <w:ind w:left="2246" w:right="2242" w:firstLine="0"/>
        <w:jc w:val="both"/>
        <w:rPr>
          <w:sz w:val="16"/>
        </w:rPr>
      </w:pPr>
      <w:r>
        <w:rPr>
          <w:sz w:val="16"/>
        </w:rPr>
        <w:t>(*) The Office of the Prosecutor will prioritize a total of ten active investigations in 2023: Afghanistan,</w:t>
      </w:r>
      <w:r>
        <w:rPr>
          <w:spacing w:val="40"/>
          <w:sz w:val="16"/>
        </w:rPr>
        <w:t> </w:t>
      </w:r>
      <w:r>
        <w:rPr>
          <w:sz w:val="16"/>
        </w:rPr>
        <w:t>Bangladesh/Myanmar,</w:t>
      </w:r>
      <w:r>
        <w:rPr>
          <w:spacing w:val="-4"/>
          <w:sz w:val="16"/>
        </w:rPr>
        <w:t> </w:t>
      </w:r>
      <w:r>
        <w:rPr>
          <w:sz w:val="16"/>
        </w:rPr>
        <w:t>Burundi,</w:t>
      </w:r>
      <w:r>
        <w:rPr>
          <w:spacing w:val="-4"/>
          <w:sz w:val="16"/>
        </w:rPr>
        <w:t> </w:t>
      </w:r>
      <w:r>
        <w:rPr>
          <w:sz w:val="16"/>
        </w:rPr>
        <w:t>Côte</w:t>
      </w:r>
      <w:r>
        <w:rPr>
          <w:spacing w:val="-2"/>
          <w:sz w:val="16"/>
        </w:rPr>
        <w:t> </w:t>
      </w:r>
      <w:r>
        <w:rPr>
          <w:sz w:val="16"/>
        </w:rPr>
        <w:t>d’Ivoire,</w:t>
      </w:r>
      <w:r>
        <w:rPr>
          <w:spacing w:val="-4"/>
          <w:sz w:val="16"/>
        </w:rPr>
        <w:t> </w:t>
      </w:r>
      <w:r>
        <w:rPr>
          <w:sz w:val="16"/>
        </w:rPr>
        <w:t>Darfur,</w:t>
      </w:r>
      <w:r>
        <w:rPr>
          <w:spacing w:val="-4"/>
          <w:sz w:val="16"/>
        </w:rPr>
        <w:t> </w:t>
      </w:r>
      <w:r>
        <w:rPr>
          <w:sz w:val="16"/>
        </w:rPr>
        <w:t>Libya,</w:t>
      </w:r>
      <w:r>
        <w:rPr>
          <w:spacing w:val="-4"/>
          <w:sz w:val="16"/>
        </w:rPr>
        <w:t> </w:t>
      </w:r>
      <w:r>
        <w:rPr>
          <w:sz w:val="16"/>
        </w:rPr>
        <w:t>Palestine, Philippines,</w:t>
      </w:r>
      <w:r>
        <w:rPr>
          <w:spacing w:val="-4"/>
          <w:sz w:val="16"/>
        </w:rPr>
        <w:t> </w:t>
      </w:r>
      <w:r>
        <w:rPr>
          <w:sz w:val="16"/>
        </w:rPr>
        <w:t>Ukraine</w:t>
      </w:r>
      <w:r>
        <w:rPr>
          <w:spacing w:val="-2"/>
          <w:sz w:val="16"/>
        </w:rPr>
        <w:t> </w:t>
      </w:r>
      <w:r>
        <w:rPr>
          <w:sz w:val="16"/>
        </w:rPr>
        <w:t>and</w:t>
      </w:r>
      <w:r>
        <w:rPr>
          <w:spacing w:val="-1"/>
          <w:sz w:val="16"/>
        </w:rPr>
        <w:t> </w:t>
      </w:r>
      <w:r>
        <w:rPr>
          <w:sz w:val="16"/>
        </w:rPr>
        <w:t>Venezuela</w:t>
      </w:r>
      <w:r>
        <w:rPr>
          <w:spacing w:val="-2"/>
          <w:sz w:val="16"/>
        </w:rPr>
        <w:t> </w:t>
      </w:r>
      <w:r>
        <w:rPr>
          <w:sz w:val="16"/>
        </w:rPr>
        <w:t>I.</w:t>
      </w:r>
      <w:r>
        <w:rPr>
          <w:spacing w:val="-4"/>
          <w:sz w:val="16"/>
        </w:rPr>
        <w:t> </w:t>
      </w:r>
      <w:r>
        <w:rPr>
          <w:sz w:val="16"/>
        </w:rPr>
        <w:t>The</w:t>
      </w:r>
      <w:r>
        <w:rPr>
          <w:spacing w:val="40"/>
          <w:sz w:val="16"/>
        </w:rPr>
        <w:t> </w:t>
      </w:r>
      <w:r>
        <w:rPr>
          <w:sz w:val="16"/>
        </w:rPr>
        <w:t>table</w:t>
      </w:r>
      <w:r>
        <w:rPr>
          <w:spacing w:val="-2"/>
          <w:sz w:val="16"/>
        </w:rPr>
        <w:t> </w:t>
      </w:r>
      <w:r>
        <w:rPr>
          <w:sz w:val="16"/>
        </w:rPr>
        <w:t>in</w:t>
      </w:r>
      <w:r>
        <w:rPr>
          <w:spacing w:val="-2"/>
          <w:sz w:val="16"/>
        </w:rPr>
        <w:t> </w:t>
      </w:r>
      <w:r>
        <w:rPr>
          <w:sz w:val="16"/>
        </w:rPr>
        <w:t>the</w:t>
      </w:r>
      <w:r>
        <w:rPr>
          <w:spacing w:val="-2"/>
          <w:sz w:val="16"/>
        </w:rPr>
        <w:t> </w:t>
      </w:r>
      <w:r>
        <w:rPr>
          <w:sz w:val="16"/>
        </w:rPr>
        <w:t>annex</w:t>
      </w:r>
      <w:r>
        <w:rPr>
          <w:spacing w:val="-2"/>
          <w:sz w:val="16"/>
        </w:rPr>
        <w:t> </w:t>
      </w:r>
      <w:r>
        <w:rPr>
          <w:sz w:val="16"/>
        </w:rPr>
        <w:t>reflects</w:t>
      </w:r>
      <w:r>
        <w:rPr>
          <w:spacing w:val="-3"/>
          <w:sz w:val="16"/>
        </w:rPr>
        <w:t> </w:t>
      </w:r>
      <w:r>
        <w:rPr>
          <w:sz w:val="16"/>
        </w:rPr>
        <w:t>the</w:t>
      </w:r>
      <w:r>
        <w:rPr>
          <w:spacing w:val="-2"/>
          <w:sz w:val="16"/>
        </w:rPr>
        <w:t> </w:t>
      </w:r>
      <w:r>
        <w:rPr>
          <w:sz w:val="16"/>
        </w:rPr>
        <w:t>data</w:t>
      </w:r>
      <w:r>
        <w:rPr>
          <w:spacing w:val="-2"/>
          <w:sz w:val="16"/>
        </w:rPr>
        <w:t> </w:t>
      </w:r>
      <w:r>
        <w:rPr>
          <w:sz w:val="16"/>
        </w:rPr>
        <w:t>in</w:t>
      </w:r>
      <w:r>
        <w:rPr>
          <w:spacing w:val="-2"/>
          <w:sz w:val="16"/>
        </w:rPr>
        <w:t> </w:t>
      </w:r>
      <w:r>
        <w:rPr>
          <w:sz w:val="16"/>
        </w:rPr>
        <w:t>the</w:t>
      </w:r>
      <w:r>
        <w:rPr>
          <w:spacing w:val="-2"/>
          <w:sz w:val="16"/>
        </w:rPr>
        <w:t> </w:t>
      </w:r>
      <w:r>
        <w:rPr>
          <w:sz w:val="16"/>
        </w:rPr>
        <w:t>budget</w:t>
      </w:r>
      <w:r>
        <w:rPr>
          <w:spacing w:val="-4"/>
          <w:sz w:val="16"/>
        </w:rPr>
        <w:t> </w:t>
      </w:r>
      <w:r>
        <w:rPr>
          <w:sz w:val="16"/>
        </w:rPr>
        <w:t>system</w:t>
      </w:r>
      <w:r>
        <w:rPr>
          <w:spacing w:val="-2"/>
          <w:sz w:val="16"/>
        </w:rPr>
        <w:t> </w:t>
      </w:r>
      <w:r>
        <w:rPr>
          <w:sz w:val="16"/>
        </w:rPr>
        <w:t>(BPC).</w:t>
      </w:r>
      <w:r>
        <w:rPr>
          <w:spacing w:val="-4"/>
          <w:sz w:val="16"/>
        </w:rPr>
        <w:t> </w:t>
      </w:r>
      <w:r>
        <w:rPr>
          <w:sz w:val="16"/>
        </w:rPr>
        <w:t>The</w:t>
      </w:r>
      <w:r>
        <w:rPr>
          <w:spacing w:val="-2"/>
          <w:sz w:val="16"/>
        </w:rPr>
        <w:t> </w:t>
      </w:r>
      <w:r>
        <w:rPr>
          <w:sz w:val="16"/>
        </w:rPr>
        <w:t>system does</w:t>
      </w:r>
      <w:r>
        <w:rPr>
          <w:spacing w:val="-3"/>
          <w:sz w:val="16"/>
        </w:rPr>
        <w:t> </w:t>
      </w:r>
      <w:r>
        <w:rPr>
          <w:sz w:val="16"/>
        </w:rPr>
        <w:t>not</w:t>
      </w:r>
      <w:r>
        <w:rPr>
          <w:spacing w:val="-4"/>
          <w:sz w:val="16"/>
        </w:rPr>
        <w:t> </w:t>
      </w:r>
      <w:r>
        <w:rPr>
          <w:sz w:val="16"/>
        </w:rPr>
        <w:t>allow</w:t>
      </w:r>
      <w:r>
        <w:rPr>
          <w:spacing w:val="-3"/>
          <w:sz w:val="16"/>
        </w:rPr>
        <w:t> </w:t>
      </w:r>
      <w:r>
        <w:rPr>
          <w:sz w:val="16"/>
        </w:rPr>
        <w:t>the</w:t>
      </w:r>
      <w:r>
        <w:rPr>
          <w:spacing w:val="-2"/>
          <w:sz w:val="16"/>
        </w:rPr>
        <w:t> </w:t>
      </w:r>
      <w:r>
        <w:rPr>
          <w:sz w:val="16"/>
        </w:rPr>
        <w:t>same</w:t>
      </w:r>
      <w:r>
        <w:rPr>
          <w:spacing w:val="-2"/>
          <w:sz w:val="16"/>
        </w:rPr>
        <w:t> </w:t>
      </w:r>
      <w:r>
        <w:rPr>
          <w:sz w:val="16"/>
        </w:rPr>
        <w:t>resources</w:t>
      </w:r>
      <w:r>
        <w:rPr>
          <w:spacing w:val="-3"/>
          <w:sz w:val="16"/>
        </w:rPr>
        <w:t> </w:t>
      </w:r>
      <w:r>
        <w:rPr>
          <w:sz w:val="16"/>
        </w:rPr>
        <w:t>to</w:t>
      </w:r>
      <w:r>
        <w:rPr>
          <w:spacing w:val="-2"/>
          <w:sz w:val="16"/>
        </w:rPr>
        <w:t> </w:t>
      </w:r>
      <w:r>
        <w:rPr>
          <w:sz w:val="16"/>
        </w:rPr>
        <w:t>be</w:t>
      </w:r>
      <w:r>
        <w:rPr>
          <w:spacing w:val="40"/>
          <w:sz w:val="16"/>
        </w:rPr>
        <w:t> </w:t>
      </w:r>
      <w:r>
        <w:rPr>
          <w:sz w:val="16"/>
        </w:rPr>
        <w:t>allocated to multiple active investigations during the</w:t>
      </w:r>
      <w:r>
        <w:rPr>
          <w:spacing w:val="-3"/>
          <w:sz w:val="16"/>
        </w:rPr>
        <w:t> </w:t>
      </w:r>
      <w:r>
        <w:rPr>
          <w:sz w:val="16"/>
        </w:rPr>
        <w:t>year.</w:t>
      </w:r>
      <w:r>
        <w:rPr>
          <w:spacing w:val="-1"/>
          <w:sz w:val="16"/>
        </w:rPr>
        <w:t> </w:t>
      </w:r>
      <w:r>
        <w:rPr>
          <w:sz w:val="16"/>
        </w:rPr>
        <w:t>Therefore,</w:t>
      </w:r>
      <w:r>
        <w:rPr>
          <w:spacing w:val="-1"/>
          <w:sz w:val="16"/>
        </w:rPr>
        <w:t> </w:t>
      </w:r>
      <w:r>
        <w:rPr>
          <w:sz w:val="16"/>
        </w:rPr>
        <w:t>the table presents a static situation - as</w:t>
      </w:r>
      <w:r>
        <w:rPr>
          <w:spacing w:val="-4"/>
          <w:sz w:val="16"/>
        </w:rPr>
        <w:t> </w:t>
      </w:r>
      <w:r>
        <w:rPr>
          <w:sz w:val="16"/>
        </w:rPr>
        <w:t>at the</w:t>
      </w:r>
      <w:r>
        <w:rPr>
          <w:spacing w:val="40"/>
          <w:sz w:val="16"/>
        </w:rPr>
        <w:t> </w:t>
      </w:r>
      <w:r>
        <w:rPr>
          <w:sz w:val="16"/>
        </w:rPr>
        <w:t>beginning of the year - of the resources directly allocated to each situation.</w:t>
      </w:r>
    </w:p>
    <w:p>
      <w:pPr>
        <w:spacing w:line="240" w:lineRule="auto" w:before="59"/>
        <w:ind w:left="2246" w:right="2248" w:firstLine="0"/>
        <w:jc w:val="both"/>
        <w:rPr>
          <w:sz w:val="16"/>
        </w:rPr>
      </w:pPr>
      <w:r>
        <w:rPr>
          <w:sz w:val="16"/>
        </w:rPr>
        <w:t>(**)</w:t>
      </w:r>
      <w:r>
        <w:rPr>
          <w:spacing w:val="-6"/>
          <w:sz w:val="16"/>
        </w:rPr>
        <w:t> </w:t>
      </w:r>
      <w:r>
        <w:rPr>
          <w:sz w:val="16"/>
        </w:rPr>
        <w:t>In</w:t>
      </w:r>
      <w:r>
        <w:rPr>
          <w:spacing w:val="-4"/>
          <w:sz w:val="16"/>
        </w:rPr>
        <w:t> </w:t>
      </w:r>
      <w:r>
        <w:rPr>
          <w:sz w:val="16"/>
        </w:rPr>
        <w:t>2022</w:t>
      </w:r>
      <w:r>
        <w:rPr>
          <w:spacing w:val="-2"/>
          <w:sz w:val="16"/>
        </w:rPr>
        <w:t> </w:t>
      </w:r>
      <w:r>
        <w:rPr>
          <w:sz w:val="16"/>
        </w:rPr>
        <w:t>the</w:t>
      </w:r>
      <w:r>
        <w:rPr>
          <w:spacing w:val="-5"/>
          <w:sz w:val="16"/>
        </w:rPr>
        <w:t> </w:t>
      </w:r>
      <w:r>
        <w:rPr>
          <w:sz w:val="16"/>
        </w:rPr>
        <w:t>resources</w:t>
      </w:r>
      <w:r>
        <w:rPr>
          <w:spacing w:val="-6"/>
          <w:sz w:val="16"/>
        </w:rPr>
        <w:t> </w:t>
      </w:r>
      <w:r>
        <w:rPr>
          <w:sz w:val="16"/>
        </w:rPr>
        <w:t>shown</w:t>
      </w:r>
      <w:r>
        <w:rPr>
          <w:spacing w:val="-4"/>
          <w:sz w:val="16"/>
        </w:rPr>
        <w:t> </w:t>
      </w:r>
      <w:r>
        <w:rPr>
          <w:sz w:val="16"/>
        </w:rPr>
        <w:t>for</w:t>
      </w:r>
      <w:r>
        <w:rPr>
          <w:spacing w:val="-6"/>
          <w:sz w:val="16"/>
        </w:rPr>
        <w:t> </w:t>
      </w:r>
      <w:r>
        <w:rPr>
          <w:sz w:val="16"/>
        </w:rPr>
        <w:t>Darfur</w:t>
      </w:r>
      <w:r>
        <w:rPr>
          <w:spacing w:val="-6"/>
          <w:sz w:val="16"/>
        </w:rPr>
        <w:t> </w:t>
      </w:r>
      <w:r>
        <w:rPr>
          <w:sz w:val="16"/>
        </w:rPr>
        <w:t>included</w:t>
      </w:r>
      <w:r>
        <w:rPr>
          <w:spacing w:val="-4"/>
          <w:sz w:val="16"/>
        </w:rPr>
        <w:t> </w:t>
      </w:r>
      <w:r>
        <w:rPr>
          <w:sz w:val="16"/>
        </w:rPr>
        <w:t>the</w:t>
      </w:r>
      <w:r>
        <w:rPr>
          <w:spacing w:val="-5"/>
          <w:sz w:val="16"/>
        </w:rPr>
        <w:t> </w:t>
      </w:r>
      <w:r>
        <w:rPr>
          <w:sz w:val="16"/>
        </w:rPr>
        <w:t>team</w:t>
      </w:r>
      <w:r>
        <w:rPr>
          <w:spacing w:val="-5"/>
          <w:sz w:val="16"/>
        </w:rPr>
        <w:t> </w:t>
      </w:r>
      <w:r>
        <w:rPr>
          <w:sz w:val="16"/>
        </w:rPr>
        <w:t>handling</w:t>
      </w:r>
      <w:r>
        <w:rPr>
          <w:spacing w:val="-8"/>
          <w:sz w:val="16"/>
        </w:rPr>
        <w:t> </w:t>
      </w:r>
      <w:r>
        <w:rPr>
          <w:sz w:val="16"/>
        </w:rPr>
        <w:t>investigations</w:t>
      </w:r>
      <w:r>
        <w:rPr>
          <w:spacing w:val="-6"/>
          <w:sz w:val="16"/>
        </w:rPr>
        <w:t> </w:t>
      </w:r>
      <w:r>
        <w:rPr>
          <w:sz w:val="16"/>
        </w:rPr>
        <w:t>and</w:t>
      </w:r>
      <w:r>
        <w:rPr>
          <w:spacing w:val="-4"/>
          <w:sz w:val="16"/>
        </w:rPr>
        <w:t> </w:t>
      </w:r>
      <w:r>
        <w:rPr>
          <w:sz w:val="16"/>
        </w:rPr>
        <w:t>the</w:t>
      </w:r>
      <w:r>
        <w:rPr>
          <w:spacing w:val="-5"/>
          <w:sz w:val="16"/>
        </w:rPr>
        <w:t> </w:t>
      </w:r>
      <w:r>
        <w:rPr>
          <w:sz w:val="16"/>
        </w:rPr>
        <w:t>team</w:t>
      </w:r>
      <w:r>
        <w:rPr>
          <w:spacing w:val="-5"/>
          <w:sz w:val="16"/>
        </w:rPr>
        <w:t> </w:t>
      </w:r>
      <w:r>
        <w:rPr>
          <w:sz w:val="16"/>
        </w:rPr>
        <w:t>allocated</w:t>
      </w:r>
      <w:r>
        <w:rPr>
          <w:spacing w:val="-4"/>
          <w:sz w:val="16"/>
        </w:rPr>
        <w:t> </w:t>
      </w:r>
      <w:r>
        <w:rPr>
          <w:sz w:val="16"/>
        </w:rPr>
        <w:t>to</w:t>
      </w:r>
      <w:r>
        <w:rPr>
          <w:spacing w:val="-4"/>
          <w:sz w:val="16"/>
        </w:rPr>
        <w:t> </w:t>
      </w:r>
      <w:r>
        <w:rPr>
          <w:sz w:val="16"/>
        </w:rPr>
        <w:t>the</w:t>
      </w:r>
      <w:r>
        <w:rPr>
          <w:spacing w:val="40"/>
          <w:sz w:val="16"/>
        </w:rPr>
        <w:t> </w:t>
      </w:r>
      <w:r>
        <w:rPr>
          <w:sz w:val="16"/>
        </w:rPr>
        <w:t>pre-trial</w:t>
      </w:r>
      <w:r>
        <w:rPr>
          <w:spacing w:val="-3"/>
          <w:sz w:val="16"/>
        </w:rPr>
        <w:t> </w:t>
      </w:r>
      <w:r>
        <w:rPr>
          <w:sz w:val="16"/>
        </w:rPr>
        <w:t>proceedings</w:t>
      </w:r>
      <w:r>
        <w:rPr>
          <w:spacing w:val="-2"/>
          <w:sz w:val="16"/>
        </w:rPr>
        <w:t> </w:t>
      </w:r>
      <w:r>
        <w:rPr>
          <w:sz w:val="16"/>
        </w:rPr>
        <w:t>for</w:t>
      </w:r>
      <w:r>
        <w:rPr>
          <w:spacing w:val="-2"/>
          <w:sz w:val="16"/>
        </w:rPr>
        <w:t> </w:t>
      </w:r>
      <w:r>
        <w:rPr>
          <w:sz w:val="16"/>
        </w:rPr>
        <w:t>the</w:t>
      </w:r>
      <w:r>
        <w:rPr>
          <w:spacing w:val="-1"/>
          <w:sz w:val="16"/>
        </w:rPr>
        <w:t> </w:t>
      </w:r>
      <w:r>
        <w:rPr>
          <w:sz w:val="16"/>
        </w:rPr>
        <w:t>case</w:t>
      </w:r>
      <w:r>
        <w:rPr>
          <w:spacing w:val="-1"/>
          <w:sz w:val="16"/>
        </w:rPr>
        <w:t> </w:t>
      </w:r>
      <w:r>
        <w:rPr>
          <w:sz w:val="16"/>
        </w:rPr>
        <w:t>of </w:t>
      </w:r>
      <w:r>
        <w:rPr>
          <w:i/>
          <w:sz w:val="16"/>
        </w:rPr>
        <w:t>The</w:t>
      </w:r>
      <w:r>
        <w:rPr>
          <w:i/>
          <w:spacing w:val="-1"/>
          <w:sz w:val="16"/>
        </w:rPr>
        <w:t> </w:t>
      </w:r>
      <w:r>
        <w:rPr>
          <w:i/>
          <w:sz w:val="16"/>
        </w:rPr>
        <w:t>Prosecutor</w:t>
      </w:r>
      <w:r>
        <w:rPr>
          <w:i/>
          <w:spacing w:val="-2"/>
          <w:sz w:val="16"/>
        </w:rPr>
        <w:t> </w:t>
      </w:r>
      <w:r>
        <w:rPr>
          <w:i/>
          <w:sz w:val="16"/>
        </w:rPr>
        <w:t>v. Ali</w:t>
      </w:r>
      <w:r>
        <w:rPr>
          <w:i/>
          <w:spacing w:val="-3"/>
          <w:sz w:val="16"/>
        </w:rPr>
        <w:t> </w:t>
      </w:r>
      <w:r>
        <w:rPr>
          <w:i/>
          <w:sz w:val="16"/>
        </w:rPr>
        <w:t>Muhammad Ali Abd-Al-Rahman</w:t>
      </w:r>
      <w:r>
        <w:rPr>
          <w:sz w:val="16"/>
        </w:rPr>
        <w:t>.</w:t>
      </w:r>
      <w:r>
        <w:rPr>
          <w:spacing w:val="-3"/>
          <w:sz w:val="16"/>
        </w:rPr>
        <w:t> </w:t>
      </w:r>
      <w:r>
        <w:rPr>
          <w:sz w:val="16"/>
        </w:rPr>
        <w:t>Since</w:t>
      </w:r>
      <w:r>
        <w:rPr>
          <w:spacing w:val="-1"/>
          <w:sz w:val="16"/>
        </w:rPr>
        <w:t> </w:t>
      </w:r>
      <w:r>
        <w:rPr>
          <w:sz w:val="16"/>
        </w:rPr>
        <w:t>the</w:t>
      </w:r>
      <w:r>
        <w:rPr>
          <w:spacing w:val="-1"/>
          <w:sz w:val="16"/>
        </w:rPr>
        <w:t> </w:t>
      </w:r>
      <w:r>
        <w:rPr>
          <w:sz w:val="16"/>
        </w:rPr>
        <w:t>charges</w:t>
      </w:r>
      <w:r>
        <w:rPr>
          <w:spacing w:val="-2"/>
          <w:sz w:val="16"/>
        </w:rPr>
        <w:t> </w:t>
      </w:r>
      <w:r>
        <w:rPr>
          <w:sz w:val="16"/>
        </w:rPr>
        <w:t>have</w:t>
      </w:r>
      <w:r>
        <w:rPr>
          <w:spacing w:val="40"/>
          <w:sz w:val="16"/>
        </w:rPr>
        <w:t> </w:t>
      </w:r>
      <w:r>
        <w:rPr>
          <w:sz w:val="16"/>
        </w:rPr>
        <w:t>been confirmed, the resources allocated to the trial team are now under a different WBS element (i.e.: CIS-SUD).</w:t>
      </w:r>
      <w:r>
        <w:rPr>
          <w:spacing w:val="40"/>
          <w:sz w:val="16"/>
        </w:rPr>
        <w:t> </w:t>
      </w:r>
      <w:r>
        <w:rPr>
          <w:sz w:val="16"/>
        </w:rPr>
        <w:t>The table in this Annex XII only shows the resources allocated to the WBS element FOP-SUD, that is, the active</w:t>
      </w:r>
      <w:r>
        <w:rPr>
          <w:spacing w:val="40"/>
          <w:sz w:val="16"/>
        </w:rPr>
        <w:t> </w:t>
      </w:r>
      <w:r>
        <w:rPr>
          <w:spacing w:val="-2"/>
          <w:sz w:val="16"/>
        </w:rPr>
        <w:t>investigation.</w:t>
      </w:r>
    </w:p>
    <w:p>
      <w:pPr>
        <w:spacing w:after="0" w:line="240" w:lineRule="auto"/>
        <w:jc w:val="both"/>
        <w:rPr>
          <w:sz w:val="16"/>
        </w:rPr>
        <w:sectPr>
          <w:type w:val="continuous"/>
          <w:pgSz w:w="11910" w:h="16840"/>
          <w:pgMar w:header="978" w:footer="940" w:top="1240" w:bottom="1140" w:left="20" w:right="20"/>
        </w:sectPr>
      </w:pPr>
    </w:p>
    <w:p>
      <w:pPr>
        <w:pStyle w:val="Heading1"/>
      </w:pPr>
      <w:r>
        <w:rPr/>
        <w:t>Annex</w:t>
      </w:r>
      <w:r>
        <w:rPr>
          <w:spacing w:val="-9"/>
        </w:rPr>
        <w:t> </w:t>
      </w:r>
      <w:r>
        <w:rPr>
          <w:spacing w:val="-4"/>
        </w:rPr>
        <w:t>XIII</w:t>
      </w:r>
    </w:p>
    <w:p>
      <w:pPr>
        <w:spacing w:line="256" w:lineRule="auto" w:before="244"/>
        <w:ind w:left="2967" w:right="2246" w:firstLine="0"/>
        <w:jc w:val="left"/>
        <w:rPr>
          <w:b/>
          <w:sz w:val="28"/>
        </w:rPr>
      </w:pPr>
      <w:bookmarkStart w:name="_bookmark89" w:id="90"/>
      <w:bookmarkEnd w:id="90"/>
      <w:r>
        <w:rPr/>
      </w:r>
      <w:r>
        <w:rPr>
          <w:b/>
          <w:sz w:val="28"/>
        </w:rPr>
        <w:t>Yearly</w:t>
      </w:r>
      <w:r>
        <w:rPr>
          <w:b/>
          <w:spacing w:val="80"/>
          <w:sz w:val="28"/>
        </w:rPr>
        <w:t> </w:t>
      </w:r>
      <w:r>
        <w:rPr>
          <w:b/>
          <w:sz w:val="28"/>
        </w:rPr>
        <w:t>increases</w:t>
      </w:r>
      <w:r>
        <w:rPr>
          <w:b/>
          <w:spacing w:val="80"/>
          <w:sz w:val="28"/>
        </w:rPr>
        <w:t> </w:t>
      </w:r>
      <w:r>
        <w:rPr>
          <w:b/>
          <w:sz w:val="28"/>
        </w:rPr>
        <w:t>in</w:t>
      </w:r>
      <w:r>
        <w:rPr>
          <w:b/>
          <w:spacing w:val="80"/>
          <w:sz w:val="28"/>
        </w:rPr>
        <w:t> </w:t>
      </w:r>
      <w:r>
        <w:rPr>
          <w:b/>
          <w:sz w:val="28"/>
        </w:rPr>
        <w:t>Approved</w:t>
      </w:r>
      <w:r>
        <w:rPr>
          <w:b/>
          <w:spacing w:val="80"/>
          <w:sz w:val="28"/>
        </w:rPr>
        <w:t> </w:t>
      </w:r>
      <w:r>
        <w:rPr>
          <w:b/>
          <w:sz w:val="28"/>
        </w:rPr>
        <w:t>Programme</w:t>
      </w:r>
      <w:r>
        <w:rPr>
          <w:b/>
          <w:spacing w:val="80"/>
          <w:sz w:val="28"/>
        </w:rPr>
        <w:t> </w:t>
      </w:r>
      <w:r>
        <w:rPr>
          <w:b/>
          <w:sz w:val="28"/>
        </w:rPr>
        <w:t>Budgets 2016-2022 (thousands of euros)</w:t>
      </w:r>
    </w:p>
    <w:p>
      <w:pPr>
        <w:pStyle w:val="BodyText"/>
        <w:spacing w:before="3" w:after="1"/>
        <w:rPr>
          <w:b/>
          <w:sz w:val="21"/>
        </w:rPr>
      </w:pPr>
    </w:p>
    <w:tbl>
      <w:tblPr>
        <w:tblW w:w="0" w:type="auto"/>
        <w:jc w:val="left"/>
        <w:tblInd w:w="1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29"/>
        <w:gridCol w:w="903"/>
        <w:gridCol w:w="857"/>
        <w:gridCol w:w="854"/>
        <w:gridCol w:w="857"/>
        <w:gridCol w:w="857"/>
        <w:gridCol w:w="855"/>
        <w:gridCol w:w="858"/>
        <w:gridCol w:w="1114"/>
      </w:tblGrid>
      <w:tr>
        <w:trPr>
          <w:trHeight w:val="575" w:hRule="atLeast"/>
        </w:trPr>
        <w:tc>
          <w:tcPr>
            <w:tcW w:w="2229" w:type="dxa"/>
            <w:tcBorders>
              <w:top w:val="single" w:sz="4" w:space="0" w:color="000000"/>
              <w:bottom w:val="single" w:sz="4" w:space="0" w:color="000000"/>
            </w:tcBorders>
          </w:tcPr>
          <w:p>
            <w:pPr>
              <w:pStyle w:val="TableParagraph"/>
              <w:jc w:val="left"/>
              <w:rPr>
                <w:b/>
                <w:sz w:val="17"/>
              </w:rPr>
            </w:pPr>
          </w:p>
          <w:p>
            <w:pPr>
              <w:pStyle w:val="TableParagraph"/>
              <w:ind w:left="119"/>
              <w:jc w:val="left"/>
              <w:rPr>
                <w:b/>
                <w:i/>
                <w:sz w:val="16"/>
              </w:rPr>
            </w:pPr>
            <w:r>
              <w:rPr>
                <w:b/>
                <w:i/>
                <w:sz w:val="16"/>
              </w:rPr>
              <w:t>Major</w:t>
            </w:r>
            <w:r>
              <w:rPr>
                <w:b/>
                <w:i/>
                <w:spacing w:val="-8"/>
                <w:sz w:val="16"/>
              </w:rPr>
              <w:t> </w:t>
            </w:r>
            <w:r>
              <w:rPr>
                <w:b/>
                <w:i/>
                <w:spacing w:val="-2"/>
                <w:sz w:val="16"/>
              </w:rPr>
              <w:t>Programme</w:t>
            </w:r>
          </w:p>
        </w:tc>
        <w:tc>
          <w:tcPr>
            <w:tcW w:w="903" w:type="dxa"/>
            <w:tcBorders>
              <w:top w:val="single" w:sz="4" w:space="0" w:color="000000"/>
              <w:bottom w:val="single" w:sz="4" w:space="0" w:color="000000"/>
            </w:tcBorders>
          </w:tcPr>
          <w:p>
            <w:pPr>
              <w:pStyle w:val="TableParagraph"/>
              <w:spacing w:line="182" w:lineRule="exact" w:before="9"/>
              <w:ind w:left="157" w:right="122"/>
              <w:jc w:val="center"/>
              <w:rPr>
                <w:b/>
                <w:i/>
                <w:sz w:val="16"/>
              </w:rPr>
            </w:pPr>
            <w:r>
              <w:rPr>
                <w:b/>
                <w:i/>
                <w:spacing w:val="-2"/>
                <w:w w:val="95"/>
                <w:sz w:val="16"/>
              </w:rPr>
              <w:t>Approved</w:t>
            </w:r>
            <w:r>
              <w:rPr>
                <w:b/>
                <w:i/>
                <w:spacing w:val="40"/>
                <w:sz w:val="16"/>
              </w:rPr>
              <w:t> </w:t>
            </w:r>
            <w:r>
              <w:rPr>
                <w:b/>
                <w:i/>
                <w:spacing w:val="-2"/>
                <w:sz w:val="16"/>
              </w:rPr>
              <w:t>Budget</w:t>
            </w:r>
            <w:r>
              <w:rPr>
                <w:b/>
                <w:i/>
                <w:spacing w:val="40"/>
                <w:sz w:val="16"/>
              </w:rPr>
              <w:t> </w:t>
            </w:r>
            <w:r>
              <w:rPr>
                <w:b/>
                <w:i/>
                <w:spacing w:val="-4"/>
                <w:sz w:val="16"/>
              </w:rPr>
              <w:t>2016</w:t>
            </w:r>
          </w:p>
        </w:tc>
        <w:tc>
          <w:tcPr>
            <w:tcW w:w="857" w:type="dxa"/>
            <w:tcBorders>
              <w:top w:val="single" w:sz="4" w:space="0" w:color="000000"/>
              <w:bottom w:val="single" w:sz="4" w:space="0" w:color="000000"/>
            </w:tcBorders>
          </w:tcPr>
          <w:p>
            <w:pPr>
              <w:pStyle w:val="TableParagraph"/>
              <w:spacing w:line="182" w:lineRule="exact" w:before="9"/>
              <w:ind w:left="112" w:right="118"/>
              <w:jc w:val="center"/>
              <w:rPr>
                <w:b/>
                <w:i/>
                <w:sz w:val="16"/>
              </w:rPr>
            </w:pPr>
            <w:r>
              <w:rPr>
                <w:b/>
                <w:i/>
                <w:spacing w:val="-2"/>
                <w:w w:val="95"/>
                <w:sz w:val="16"/>
              </w:rPr>
              <w:t>Approved</w:t>
            </w:r>
            <w:r>
              <w:rPr>
                <w:b/>
                <w:i/>
                <w:spacing w:val="40"/>
                <w:sz w:val="16"/>
              </w:rPr>
              <w:t> </w:t>
            </w:r>
            <w:r>
              <w:rPr>
                <w:b/>
                <w:i/>
                <w:spacing w:val="-2"/>
                <w:sz w:val="16"/>
              </w:rPr>
              <w:t>Budget</w:t>
            </w:r>
            <w:r>
              <w:rPr>
                <w:b/>
                <w:i/>
                <w:spacing w:val="40"/>
                <w:sz w:val="16"/>
              </w:rPr>
              <w:t> </w:t>
            </w:r>
            <w:r>
              <w:rPr>
                <w:b/>
                <w:i/>
                <w:spacing w:val="-4"/>
                <w:sz w:val="16"/>
              </w:rPr>
              <w:t>2017</w:t>
            </w:r>
          </w:p>
        </w:tc>
        <w:tc>
          <w:tcPr>
            <w:tcW w:w="854" w:type="dxa"/>
            <w:tcBorders>
              <w:top w:val="single" w:sz="4" w:space="0" w:color="000000"/>
              <w:bottom w:val="single" w:sz="4" w:space="0" w:color="000000"/>
            </w:tcBorders>
          </w:tcPr>
          <w:p>
            <w:pPr>
              <w:pStyle w:val="TableParagraph"/>
              <w:spacing w:line="182" w:lineRule="exact" w:before="9"/>
              <w:ind w:left="111" w:right="118"/>
              <w:jc w:val="center"/>
              <w:rPr>
                <w:b/>
                <w:i/>
                <w:sz w:val="16"/>
              </w:rPr>
            </w:pPr>
            <w:r>
              <w:rPr>
                <w:b/>
                <w:i/>
                <w:spacing w:val="-2"/>
                <w:w w:val="95"/>
                <w:sz w:val="16"/>
              </w:rPr>
              <w:t>Approved</w:t>
            </w:r>
            <w:r>
              <w:rPr>
                <w:b/>
                <w:i/>
                <w:spacing w:val="40"/>
                <w:sz w:val="16"/>
              </w:rPr>
              <w:t> </w:t>
            </w:r>
            <w:r>
              <w:rPr>
                <w:b/>
                <w:i/>
                <w:spacing w:val="-2"/>
                <w:sz w:val="16"/>
              </w:rPr>
              <w:t>Budget</w:t>
            </w:r>
            <w:r>
              <w:rPr>
                <w:b/>
                <w:i/>
                <w:spacing w:val="40"/>
                <w:sz w:val="16"/>
              </w:rPr>
              <w:t> </w:t>
            </w:r>
            <w:r>
              <w:rPr>
                <w:b/>
                <w:i/>
                <w:spacing w:val="-4"/>
                <w:sz w:val="16"/>
              </w:rPr>
              <w:t>2018</w:t>
            </w:r>
          </w:p>
        </w:tc>
        <w:tc>
          <w:tcPr>
            <w:tcW w:w="857" w:type="dxa"/>
            <w:tcBorders>
              <w:top w:val="single" w:sz="4" w:space="0" w:color="000000"/>
              <w:bottom w:val="single" w:sz="4" w:space="0" w:color="000000"/>
            </w:tcBorders>
          </w:tcPr>
          <w:p>
            <w:pPr>
              <w:pStyle w:val="TableParagraph"/>
              <w:spacing w:line="182" w:lineRule="exact" w:before="9"/>
              <w:ind w:left="109" w:right="118"/>
              <w:jc w:val="center"/>
              <w:rPr>
                <w:b/>
                <w:i/>
                <w:sz w:val="16"/>
              </w:rPr>
            </w:pPr>
            <w:r>
              <w:rPr>
                <w:b/>
                <w:i/>
                <w:spacing w:val="-2"/>
                <w:w w:val="95"/>
                <w:sz w:val="16"/>
              </w:rPr>
              <w:t>Approved</w:t>
            </w:r>
            <w:r>
              <w:rPr>
                <w:b/>
                <w:i/>
                <w:spacing w:val="40"/>
                <w:sz w:val="16"/>
              </w:rPr>
              <w:t> </w:t>
            </w:r>
            <w:r>
              <w:rPr>
                <w:b/>
                <w:i/>
                <w:spacing w:val="-2"/>
                <w:sz w:val="16"/>
              </w:rPr>
              <w:t>Budget</w:t>
            </w:r>
            <w:r>
              <w:rPr>
                <w:b/>
                <w:i/>
                <w:spacing w:val="40"/>
                <w:sz w:val="16"/>
              </w:rPr>
              <w:t> </w:t>
            </w:r>
            <w:r>
              <w:rPr>
                <w:b/>
                <w:i/>
                <w:spacing w:val="-4"/>
                <w:sz w:val="16"/>
              </w:rPr>
              <w:t>2019</w:t>
            </w:r>
          </w:p>
        </w:tc>
        <w:tc>
          <w:tcPr>
            <w:tcW w:w="857" w:type="dxa"/>
            <w:tcBorders>
              <w:top w:val="single" w:sz="4" w:space="0" w:color="000000"/>
              <w:bottom w:val="single" w:sz="4" w:space="0" w:color="000000"/>
            </w:tcBorders>
          </w:tcPr>
          <w:p>
            <w:pPr>
              <w:pStyle w:val="TableParagraph"/>
              <w:spacing w:line="182" w:lineRule="exact" w:before="9"/>
              <w:ind w:left="112" w:right="116"/>
              <w:jc w:val="center"/>
              <w:rPr>
                <w:b/>
                <w:i/>
                <w:sz w:val="16"/>
              </w:rPr>
            </w:pPr>
            <w:r>
              <w:rPr>
                <w:b/>
                <w:i/>
                <w:spacing w:val="-2"/>
                <w:w w:val="95"/>
                <w:sz w:val="16"/>
              </w:rPr>
              <w:t>Approved</w:t>
            </w:r>
            <w:r>
              <w:rPr>
                <w:b/>
                <w:i/>
                <w:spacing w:val="40"/>
                <w:sz w:val="16"/>
              </w:rPr>
              <w:t> </w:t>
            </w:r>
            <w:r>
              <w:rPr>
                <w:b/>
                <w:i/>
                <w:spacing w:val="-2"/>
                <w:sz w:val="16"/>
              </w:rPr>
              <w:t>Budget</w:t>
            </w:r>
            <w:r>
              <w:rPr>
                <w:b/>
                <w:i/>
                <w:spacing w:val="40"/>
                <w:sz w:val="16"/>
              </w:rPr>
              <w:t> </w:t>
            </w:r>
            <w:r>
              <w:rPr>
                <w:b/>
                <w:i/>
                <w:spacing w:val="-4"/>
                <w:sz w:val="16"/>
              </w:rPr>
              <w:t>2020</w:t>
            </w:r>
          </w:p>
        </w:tc>
        <w:tc>
          <w:tcPr>
            <w:tcW w:w="855" w:type="dxa"/>
            <w:tcBorders>
              <w:top w:val="single" w:sz="4" w:space="0" w:color="000000"/>
              <w:bottom w:val="single" w:sz="4" w:space="0" w:color="000000"/>
            </w:tcBorders>
          </w:tcPr>
          <w:p>
            <w:pPr>
              <w:pStyle w:val="TableParagraph"/>
              <w:spacing w:line="182" w:lineRule="exact" w:before="9"/>
              <w:ind w:left="112" w:right="118"/>
              <w:jc w:val="center"/>
              <w:rPr>
                <w:b/>
                <w:i/>
                <w:sz w:val="16"/>
              </w:rPr>
            </w:pPr>
            <w:r>
              <w:rPr>
                <w:b/>
                <w:i/>
                <w:spacing w:val="-2"/>
                <w:w w:val="95"/>
                <w:sz w:val="16"/>
              </w:rPr>
              <w:t>Approved</w:t>
            </w:r>
            <w:r>
              <w:rPr>
                <w:b/>
                <w:i/>
                <w:spacing w:val="40"/>
                <w:sz w:val="16"/>
              </w:rPr>
              <w:t> </w:t>
            </w:r>
            <w:r>
              <w:rPr>
                <w:b/>
                <w:i/>
                <w:spacing w:val="-2"/>
                <w:sz w:val="16"/>
              </w:rPr>
              <w:t>Budget</w:t>
            </w:r>
            <w:r>
              <w:rPr>
                <w:b/>
                <w:i/>
                <w:spacing w:val="40"/>
                <w:sz w:val="16"/>
              </w:rPr>
              <w:t> </w:t>
            </w:r>
            <w:r>
              <w:rPr>
                <w:b/>
                <w:i/>
                <w:spacing w:val="-4"/>
                <w:sz w:val="16"/>
              </w:rPr>
              <w:t>2021</w:t>
            </w:r>
          </w:p>
        </w:tc>
        <w:tc>
          <w:tcPr>
            <w:tcW w:w="858" w:type="dxa"/>
            <w:tcBorders>
              <w:top w:val="single" w:sz="4" w:space="0" w:color="000000"/>
              <w:bottom w:val="single" w:sz="4" w:space="0" w:color="000000"/>
            </w:tcBorders>
          </w:tcPr>
          <w:p>
            <w:pPr>
              <w:pStyle w:val="TableParagraph"/>
              <w:spacing w:line="182" w:lineRule="exact" w:before="9"/>
              <w:ind w:left="112" w:right="122"/>
              <w:jc w:val="center"/>
              <w:rPr>
                <w:b/>
                <w:i/>
                <w:sz w:val="16"/>
              </w:rPr>
            </w:pPr>
            <w:r>
              <w:rPr>
                <w:b/>
                <w:i/>
                <w:spacing w:val="-2"/>
                <w:w w:val="95"/>
                <w:sz w:val="16"/>
              </w:rPr>
              <w:t>Approved</w:t>
            </w:r>
            <w:r>
              <w:rPr>
                <w:b/>
                <w:i/>
                <w:spacing w:val="40"/>
                <w:sz w:val="16"/>
              </w:rPr>
              <w:t> </w:t>
            </w:r>
            <w:r>
              <w:rPr>
                <w:b/>
                <w:i/>
                <w:spacing w:val="-2"/>
                <w:sz w:val="16"/>
              </w:rPr>
              <w:t>Budget</w:t>
            </w:r>
            <w:r>
              <w:rPr>
                <w:b/>
                <w:i/>
                <w:spacing w:val="40"/>
                <w:sz w:val="16"/>
              </w:rPr>
              <w:t> </w:t>
            </w:r>
            <w:r>
              <w:rPr>
                <w:b/>
                <w:i/>
                <w:spacing w:val="-4"/>
                <w:sz w:val="16"/>
              </w:rPr>
              <w:t>2022</w:t>
            </w:r>
          </w:p>
        </w:tc>
        <w:tc>
          <w:tcPr>
            <w:tcW w:w="1114" w:type="dxa"/>
            <w:tcBorders>
              <w:top w:val="single" w:sz="4" w:space="0" w:color="000000"/>
              <w:bottom w:val="single" w:sz="4" w:space="0" w:color="000000"/>
            </w:tcBorders>
          </w:tcPr>
          <w:p>
            <w:pPr>
              <w:pStyle w:val="TableParagraph"/>
              <w:spacing w:line="183" w:lineRule="exact" w:before="105"/>
              <w:ind w:left="205"/>
              <w:jc w:val="left"/>
              <w:rPr>
                <w:b/>
                <w:i/>
                <w:sz w:val="16"/>
              </w:rPr>
            </w:pPr>
            <w:r>
              <w:rPr>
                <w:b/>
                <w:i/>
                <w:w w:val="95"/>
                <w:sz w:val="16"/>
              </w:rPr>
              <w:t>2016-</w:t>
            </w:r>
            <w:r>
              <w:rPr>
                <w:b/>
                <w:i/>
                <w:spacing w:val="-4"/>
                <w:sz w:val="16"/>
              </w:rPr>
              <w:t>2022</w:t>
            </w:r>
          </w:p>
          <w:p>
            <w:pPr>
              <w:pStyle w:val="TableParagraph"/>
              <w:spacing w:line="183" w:lineRule="exact"/>
              <w:ind w:left="277"/>
              <w:jc w:val="left"/>
              <w:rPr>
                <w:b/>
                <w:i/>
                <w:sz w:val="16"/>
              </w:rPr>
            </w:pPr>
            <w:r>
              <w:rPr>
                <w:b/>
                <w:i/>
                <w:spacing w:val="-2"/>
                <w:sz w:val="16"/>
              </w:rPr>
              <w:t>increase</w:t>
            </w:r>
          </w:p>
        </w:tc>
      </w:tr>
      <w:tr>
        <w:trPr>
          <w:trHeight w:val="340" w:hRule="atLeast"/>
        </w:trPr>
        <w:tc>
          <w:tcPr>
            <w:tcW w:w="2229" w:type="dxa"/>
            <w:tcBorders>
              <w:top w:val="single" w:sz="4" w:space="0" w:color="000000"/>
              <w:bottom w:val="single" w:sz="4" w:space="0" w:color="000000"/>
            </w:tcBorders>
          </w:tcPr>
          <w:p>
            <w:pPr>
              <w:pStyle w:val="TableParagraph"/>
              <w:spacing w:before="76"/>
              <w:ind w:left="119"/>
              <w:jc w:val="left"/>
              <w:rPr>
                <w:b/>
                <w:i/>
                <w:sz w:val="16"/>
              </w:rPr>
            </w:pPr>
            <w:r>
              <w:rPr>
                <w:b/>
                <w:i/>
                <w:spacing w:val="-2"/>
                <w:sz w:val="16"/>
              </w:rPr>
              <w:t>MPI:</w:t>
            </w:r>
            <w:r>
              <w:rPr>
                <w:b/>
                <w:i/>
                <w:spacing w:val="-4"/>
                <w:sz w:val="16"/>
              </w:rPr>
              <w:t> </w:t>
            </w:r>
            <w:r>
              <w:rPr>
                <w:b/>
                <w:i/>
                <w:spacing w:val="-2"/>
                <w:sz w:val="16"/>
              </w:rPr>
              <w:t>Judiciary</w:t>
            </w:r>
          </w:p>
        </w:tc>
        <w:tc>
          <w:tcPr>
            <w:tcW w:w="903" w:type="dxa"/>
            <w:tcBorders>
              <w:top w:val="single" w:sz="4" w:space="0" w:color="000000"/>
              <w:bottom w:val="single" w:sz="4" w:space="0" w:color="000000"/>
            </w:tcBorders>
          </w:tcPr>
          <w:p>
            <w:pPr>
              <w:pStyle w:val="TableParagraph"/>
              <w:jc w:val="left"/>
              <w:rPr>
                <w:sz w:val="16"/>
              </w:rPr>
            </w:pPr>
          </w:p>
        </w:tc>
        <w:tc>
          <w:tcPr>
            <w:tcW w:w="857" w:type="dxa"/>
            <w:tcBorders>
              <w:top w:val="single" w:sz="4" w:space="0" w:color="000000"/>
              <w:bottom w:val="single" w:sz="4" w:space="0" w:color="000000"/>
            </w:tcBorders>
          </w:tcPr>
          <w:p>
            <w:pPr>
              <w:pStyle w:val="TableParagraph"/>
              <w:jc w:val="left"/>
              <w:rPr>
                <w:sz w:val="16"/>
              </w:rPr>
            </w:pPr>
          </w:p>
        </w:tc>
        <w:tc>
          <w:tcPr>
            <w:tcW w:w="854" w:type="dxa"/>
            <w:tcBorders>
              <w:top w:val="single" w:sz="4" w:space="0" w:color="000000"/>
              <w:bottom w:val="single" w:sz="4" w:space="0" w:color="000000"/>
            </w:tcBorders>
          </w:tcPr>
          <w:p>
            <w:pPr>
              <w:pStyle w:val="TableParagraph"/>
              <w:jc w:val="left"/>
              <w:rPr>
                <w:sz w:val="16"/>
              </w:rPr>
            </w:pPr>
          </w:p>
        </w:tc>
        <w:tc>
          <w:tcPr>
            <w:tcW w:w="857" w:type="dxa"/>
            <w:tcBorders>
              <w:top w:val="single" w:sz="4" w:space="0" w:color="000000"/>
              <w:bottom w:val="single" w:sz="4" w:space="0" w:color="000000"/>
            </w:tcBorders>
          </w:tcPr>
          <w:p>
            <w:pPr>
              <w:pStyle w:val="TableParagraph"/>
              <w:jc w:val="left"/>
              <w:rPr>
                <w:sz w:val="16"/>
              </w:rPr>
            </w:pPr>
          </w:p>
        </w:tc>
        <w:tc>
          <w:tcPr>
            <w:tcW w:w="857" w:type="dxa"/>
            <w:tcBorders>
              <w:top w:val="single" w:sz="4" w:space="0" w:color="000000"/>
              <w:bottom w:val="single" w:sz="4" w:space="0" w:color="000000"/>
            </w:tcBorders>
          </w:tcPr>
          <w:p>
            <w:pPr>
              <w:pStyle w:val="TableParagraph"/>
              <w:jc w:val="left"/>
              <w:rPr>
                <w:sz w:val="16"/>
              </w:rPr>
            </w:pPr>
          </w:p>
        </w:tc>
        <w:tc>
          <w:tcPr>
            <w:tcW w:w="855" w:type="dxa"/>
            <w:tcBorders>
              <w:top w:val="single" w:sz="4" w:space="0" w:color="000000"/>
              <w:bottom w:val="single" w:sz="4" w:space="0" w:color="000000"/>
            </w:tcBorders>
          </w:tcPr>
          <w:p>
            <w:pPr>
              <w:pStyle w:val="TableParagraph"/>
              <w:jc w:val="left"/>
              <w:rPr>
                <w:sz w:val="16"/>
              </w:rPr>
            </w:pPr>
          </w:p>
        </w:tc>
        <w:tc>
          <w:tcPr>
            <w:tcW w:w="858" w:type="dxa"/>
            <w:tcBorders>
              <w:top w:val="single" w:sz="4" w:space="0" w:color="000000"/>
              <w:bottom w:val="single" w:sz="4" w:space="0" w:color="000000"/>
            </w:tcBorders>
          </w:tcPr>
          <w:p>
            <w:pPr>
              <w:pStyle w:val="TableParagraph"/>
              <w:jc w:val="left"/>
              <w:rPr>
                <w:sz w:val="16"/>
              </w:rPr>
            </w:pPr>
          </w:p>
        </w:tc>
        <w:tc>
          <w:tcPr>
            <w:tcW w:w="1114" w:type="dxa"/>
            <w:tcBorders>
              <w:top w:val="single" w:sz="4" w:space="0" w:color="000000"/>
              <w:bottom w:val="single" w:sz="4" w:space="0" w:color="000000"/>
            </w:tcBorders>
          </w:tcPr>
          <w:p>
            <w:pPr>
              <w:pStyle w:val="TableParagraph"/>
              <w:jc w:val="left"/>
              <w:rPr>
                <w:sz w:val="16"/>
              </w:rPr>
            </w:pPr>
          </w:p>
        </w:tc>
      </w:tr>
      <w:tr>
        <w:trPr>
          <w:trHeight w:val="287" w:hRule="atLeast"/>
        </w:trPr>
        <w:tc>
          <w:tcPr>
            <w:tcW w:w="2229" w:type="dxa"/>
            <w:tcBorders>
              <w:top w:val="single" w:sz="4" w:space="0" w:color="000000"/>
              <w:bottom w:val="single" w:sz="4" w:space="0" w:color="000000"/>
            </w:tcBorders>
          </w:tcPr>
          <w:p>
            <w:pPr>
              <w:pStyle w:val="TableParagraph"/>
              <w:spacing w:before="52"/>
              <w:ind w:left="119"/>
              <w:jc w:val="left"/>
              <w:rPr>
                <w:b/>
                <w:sz w:val="16"/>
              </w:rPr>
            </w:pPr>
            <w:r>
              <w:rPr>
                <w:b/>
                <w:spacing w:val="-2"/>
                <w:sz w:val="16"/>
              </w:rPr>
              <w:t>Total</w:t>
            </w:r>
          </w:p>
        </w:tc>
        <w:tc>
          <w:tcPr>
            <w:tcW w:w="903" w:type="dxa"/>
            <w:tcBorders>
              <w:top w:val="single" w:sz="4" w:space="0" w:color="000000"/>
              <w:bottom w:val="single" w:sz="4" w:space="0" w:color="000000"/>
            </w:tcBorders>
          </w:tcPr>
          <w:p>
            <w:pPr>
              <w:pStyle w:val="TableParagraph"/>
              <w:spacing w:before="52"/>
              <w:ind w:right="108"/>
              <w:rPr>
                <w:sz w:val="16"/>
              </w:rPr>
            </w:pPr>
            <w:r>
              <w:rPr>
                <w:spacing w:val="-2"/>
                <w:sz w:val="16"/>
              </w:rPr>
              <w:t>12,430.6</w:t>
            </w:r>
          </w:p>
        </w:tc>
        <w:tc>
          <w:tcPr>
            <w:tcW w:w="857" w:type="dxa"/>
            <w:tcBorders>
              <w:top w:val="single" w:sz="4" w:space="0" w:color="000000"/>
              <w:bottom w:val="single" w:sz="4" w:space="0" w:color="000000"/>
            </w:tcBorders>
          </w:tcPr>
          <w:p>
            <w:pPr>
              <w:pStyle w:val="TableParagraph"/>
              <w:spacing w:before="52"/>
              <w:ind w:right="105"/>
              <w:rPr>
                <w:sz w:val="16"/>
              </w:rPr>
            </w:pPr>
            <w:r>
              <w:rPr>
                <w:spacing w:val="-2"/>
                <w:sz w:val="16"/>
              </w:rPr>
              <w:t>12,536.0</w:t>
            </w:r>
          </w:p>
        </w:tc>
        <w:tc>
          <w:tcPr>
            <w:tcW w:w="854" w:type="dxa"/>
            <w:tcBorders>
              <w:top w:val="single" w:sz="4" w:space="0" w:color="000000"/>
              <w:bottom w:val="single" w:sz="4" w:space="0" w:color="000000"/>
            </w:tcBorders>
          </w:tcPr>
          <w:p>
            <w:pPr>
              <w:pStyle w:val="TableParagraph"/>
              <w:spacing w:before="52"/>
              <w:ind w:right="104"/>
              <w:rPr>
                <w:sz w:val="16"/>
              </w:rPr>
            </w:pPr>
            <w:r>
              <w:rPr>
                <w:spacing w:val="-2"/>
                <w:sz w:val="16"/>
              </w:rPr>
              <w:t>12,712.0</w:t>
            </w:r>
          </w:p>
        </w:tc>
        <w:tc>
          <w:tcPr>
            <w:tcW w:w="857" w:type="dxa"/>
            <w:tcBorders>
              <w:top w:val="single" w:sz="4" w:space="0" w:color="000000"/>
              <w:bottom w:val="single" w:sz="4" w:space="0" w:color="000000"/>
            </w:tcBorders>
          </w:tcPr>
          <w:p>
            <w:pPr>
              <w:pStyle w:val="TableParagraph"/>
              <w:spacing w:before="52"/>
              <w:ind w:right="107"/>
              <w:rPr>
                <w:sz w:val="16"/>
              </w:rPr>
            </w:pPr>
            <w:r>
              <w:rPr>
                <w:spacing w:val="-2"/>
                <w:sz w:val="16"/>
              </w:rPr>
              <w:t>12,107.6</w:t>
            </w:r>
          </w:p>
        </w:tc>
        <w:tc>
          <w:tcPr>
            <w:tcW w:w="857" w:type="dxa"/>
            <w:tcBorders>
              <w:top w:val="single" w:sz="4" w:space="0" w:color="000000"/>
              <w:bottom w:val="single" w:sz="4" w:space="0" w:color="000000"/>
            </w:tcBorders>
          </w:tcPr>
          <w:p>
            <w:pPr>
              <w:pStyle w:val="TableParagraph"/>
              <w:spacing w:before="52"/>
              <w:ind w:right="104"/>
              <w:rPr>
                <w:sz w:val="16"/>
              </w:rPr>
            </w:pPr>
            <w:r>
              <w:rPr>
                <w:spacing w:val="-2"/>
                <w:sz w:val="16"/>
              </w:rPr>
              <w:t>12,081.5</w:t>
            </w:r>
          </w:p>
        </w:tc>
        <w:tc>
          <w:tcPr>
            <w:tcW w:w="855" w:type="dxa"/>
            <w:tcBorders>
              <w:top w:val="single" w:sz="4" w:space="0" w:color="000000"/>
              <w:bottom w:val="single" w:sz="4" w:space="0" w:color="000000"/>
            </w:tcBorders>
          </w:tcPr>
          <w:p>
            <w:pPr>
              <w:pStyle w:val="TableParagraph"/>
              <w:spacing w:before="52"/>
              <w:ind w:right="104"/>
              <w:rPr>
                <w:sz w:val="16"/>
              </w:rPr>
            </w:pPr>
            <w:r>
              <w:rPr>
                <w:spacing w:val="-2"/>
                <w:sz w:val="16"/>
              </w:rPr>
              <w:t>11,756.3</w:t>
            </w:r>
          </w:p>
        </w:tc>
        <w:tc>
          <w:tcPr>
            <w:tcW w:w="858" w:type="dxa"/>
            <w:tcBorders>
              <w:top w:val="single" w:sz="4" w:space="0" w:color="000000"/>
              <w:bottom w:val="single" w:sz="4" w:space="0" w:color="000000"/>
            </w:tcBorders>
          </w:tcPr>
          <w:p>
            <w:pPr>
              <w:pStyle w:val="TableParagraph"/>
              <w:spacing w:before="52"/>
              <w:ind w:right="108"/>
              <w:rPr>
                <w:sz w:val="16"/>
              </w:rPr>
            </w:pPr>
            <w:r>
              <w:rPr>
                <w:spacing w:val="-2"/>
                <w:sz w:val="16"/>
              </w:rPr>
              <w:t>12,385.7</w:t>
            </w:r>
          </w:p>
        </w:tc>
        <w:tc>
          <w:tcPr>
            <w:tcW w:w="1114" w:type="dxa"/>
            <w:tcBorders>
              <w:top w:val="single" w:sz="4" w:space="0" w:color="000000"/>
              <w:bottom w:val="single" w:sz="4" w:space="0" w:color="000000"/>
            </w:tcBorders>
          </w:tcPr>
          <w:p>
            <w:pPr>
              <w:pStyle w:val="TableParagraph"/>
              <w:spacing w:before="52"/>
              <w:ind w:right="107"/>
              <w:rPr>
                <w:sz w:val="16"/>
              </w:rPr>
            </w:pPr>
            <w:r>
              <w:rPr>
                <w:w w:val="95"/>
                <w:sz w:val="16"/>
              </w:rPr>
              <w:t>-</w:t>
            </w:r>
            <w:r>
              <w:rPr>
                <w:spacing w:val="-4"/>
                <w:sz w:val="16"/>
              </w:rPr>
              <w:t>44.9</w:t>
            </w:r>
          </w:p>
        </w:tc>
      </w:tr>
      <w:tr>
        <w:trPr>
          <w:trHeight w:val="287" w:hRule="atLeast"/>
        </w:trPr>
        <w:tc>
          <w:tcPr>
            <w:tcW w:w="2229" w:type="dxa"/>
            <w:tcBorders>
              <w:top w:val="single" w:sz="4" w:space="0" w:color="000000"/>
              <w:bottom w:val="single" w:sz="4" w:space="0" w:color="000000"/>
            </w:tcBorders>
          </w:tcPr>
          <w:p>
            <w:pPr>
              <w:pStyle w:val="TableParagraph"/>
              <w:spacing w:before="52"/>
              <w:ind w:left="119"/>
              <w:jc w:val="left"/>
              <w:rPr>
                <w:b/>
                <w:sz w:val="16"/>
              </w:rPr>
            </w:pPr>
            <w:r>
              <w:rPr>
                <w:b/>
                <w:sz w:val="16"/>
              </w:rPr>
              <w:t>Variance</w:t>
            </w:r>
            <w:r>
              <w:rPr>
                <w:b/>
                <w:spacing w:val="-8"/>
                <w:sz w:val="16"/>
              </w:rPr>
              <w:t> </w:t>
            </w:r>
            <w:r>
              <w:rPr>
                <w:b/>
                <w:sz w:val="16"/>
              </w:rPr>
              <w:t>previous</w:t>
            </w:r>
            <w:r>
              <w:rPr>
                <w:b/>
                <w:spacing w:val="-8"/>
                <w:sz w:val="16"/>
              </w:rPr>
              <w:t> </w:t>
            </w:r>
            <w:r>
              <w:rPr>
                <w:b/>
                <w:spacing w:val="-4"/>
                <w:sz w:val="16"/>
              </w:rPr>
              <w:t>year</w:t>
            </w:r>
          </w:p>
        </w:tc>
        <w:tc>
          <w:tcPr>
            <w:tcW w:w="903" w:type="dxa"/>
            <w:tcBorders>
              <w:top w:val="single" w:sz="4" w:space="0" w:color="000000"/>
              <w:bottom w:val="single" w:sz="4" w:space="0" w:color="000000"/>
            </w:tcBorders>
          </w:tcPr>
          <w:p>
            <w:pPr>
              <w:pStyle w:val="TableParagraph"/>
              <w:spacing w:before="52"/>
              <w:ind w:right="108"/>
              <w:rPr>
                <w:sz w:val="16"/>
              </w:rPr>
            </w:pPr>
            <w:r>
              <w:rPr>
                <w:spacing w:val="-2"/>
                <w:sz w:val="16"/>
              </w:rPr>
              <w:t>396.5</w:t>
            </w:r>
          </w:p>
        </w:tc>
        <w:tc>
          <w:tcPr>
            <w:tcW w:w="857" w:type="dxa"/>
            <w:tcBorders>
              <w:top w:val="single" w:sz="4" w:space="0" w:color="000000"/>
              <w:bottom w:val="single" w:sz="4" w:space="0" w:color="000000"/>
            </w:tcBorders>
          </w:tcPr>
          <w:p>
            <w:pPr>
              <w:pStyle w:val="TableParagraph"/>
              <w:spacing w:before="52"/>
              <w:ind w:right="105"/>
              <w:rPr>
                <w:sz w:val="16"/>
              </w:rPr>
            </w:pPr>
            <w:r>
              <w:rPr>
                <w:spacing w:val="-2"/>
                <w:sz w:val="16"/>
              </w:rPr>
              <w:t>105.4</w:t>
            </w:r>
          </w:p>
        </w:tc>
        <w:tc>
          <w:tcPr>
            <w:tcW w:w="854" w:type="dxa"/>
            <w:tcBorders>
              <w:top w:val="single" w:sz="4" w:space="0" w:color="000000"/>
              <w:bottom w:val="single" w:sz="4" w:space="0" w:color="000000"/>
            </w:tcBorders>
          </w:tcPr>
          <w:p>
            <w:pPr>
              <w:pStyle w:val="TableParagraph"/>
              <w:spacing w:before="52"/>
              <w:ind w:right="104"/>
              <w:rPr>
                <w:sz w:val="16"/>
              </w:rPr>
            </w:pPr>
            <w:r>
              <w:rPr>
                <w:spacing w:val="-2"/>
                <w:sz w:val="16"/>
              </w:rPr>
              <w:t>176.0</w:t>
            </w:r>
          </w:p>
        </w:tc>
        <w:tc>
          <w:tcPr>
            <w:tcW w:w="857" w:type="dxa"/>
            <w:tcBorders>
              <w:top w:val="single" w:sz="4" w:space="0" w:color="000000"/>
              <w:bottom w:val="single" w:sz="4" w:space="0" w:color="000000"/>
            </w:tcBorders>
          </w:tcPr>
          <w:p>
            <w:pPr>
              <w:pStyle w:val="TableParagraph"/>
              <w:spacing w:before="52"/>
              <w:ind w:right="107"/>
              <w:rPr>
                <w:sz w:val="16"/>
              </w:rPr>
            </w:pPr>
            <w:r>
              <w:rPr>
                <w:w w:val="95"/>
                <w:sz w:val="16"/>
              </w:rPr>
              <w:t>-</w:t>
            </w:r>
            <w:r>
              <w:rPr>
                <w:spacing w:val="-2"/>
                <w:sz w:val="16"/>
              </w:rPr>
              <w:t>604.4</w:t>
            </w:r>
          </w:p>
        </w:tc>
        <w:tc>
          <w:tcPr>
            <w:tcW w:w="857" w:type="dxa"/>
            <w:tcBorders>
              <w:top w:val="single" w:sz="4" w:space="0" w:color="000000"/>
              <w:bottom w:val="single" w:sz="4" w:space="0" w:color="000000"/>
            </w:tcBorders>
          </w:tcPr>
          <w:p>
            <w:pPr>
              <w:pStyle w:val="TableParagraph"/>
              <w:spacing w:before="52"/>
              <w:ind w:right="104"/>
              <w:rPr>
                <w:sz w:val="16"/>
              </w:rPr>
            </w:pPr>
            <w:r>
              <w:rPr>
                <w:w w:val="95"/>
                <w:sz w:val="16"/>
              </w:rPr>
              <w:t>-</w:t>
            </w:r>
            <w:r>
              <w:rPr>
                <w:spacing w:val="-4"/>
                <w:sz w:val="16"/>
              </w:rPr>
              <w:t>26.1</w:t>
            </w:r>
          </w:p>
        </w:tc>
        <w:tc>
          <w:tcPr>
            <w:tcW w:w="855" w:type="dxa"/>
            <w:tcBorders>
              <w:top w:val="single" w:sz="4" w:space="0" w:color="000000"/>
              <w:bottom w:val="single" w:sz="4" w:space="0" w:color="000000"/>
            </w:tcBorders>
          </w:tcPr>
          <w:p>
            <w:pPr>
              <w:pStyle w:val="TableParagraph"/>
              <w:spacing w:before="52"/>
              <w:ind w:right="104"/>
              <w:rPr>
                <w:sz w:val="16"/>
              </w:rPr>
            </w:pPr>
            <w:r>
              <w:rPr>
                <w:w w:val="95"/>
                <w:sz w:val="16"/>
              </w:rPr>
              <w:t>-</w:t>
            </w:r>
            <w:r>
              <w:rPr>
                <w:spacing w:val="-2"/>
                <w:sz w:val="16"/>
              </w:rPr>
              <w:t>325.2</w:t>
            </w:r>
          </w:p>
        </w:tc>
        <w:tc>
          <w:tcPr>
            <w:tcW w:w="858" w:type="dxa"/>
            <w:tcBorders>
              <w:top w:val="single" w:sz="4" w:space="0" w:color="000000"/>
              <w:bottom w:val="single" w:sz="4" w:space="0" w:color="000000"/>
            </w:tcBorders>
          </w:tcPr>
          <w:p>
            <w:pPr>
              <w:pStyle w:val="TableParagraph"/>
              <w:spacing w:before="52"/>
              <w:ind w:right="107"/>
              <w:rPr>
                <w:sz w:val="16"/>
              </w:rPr>
            </w:pPr>
            <w:r>
              <w:rPr>
                <w:spacing w:val="-2"/>
                <w:sz w:val="16"/>
              </w:rPr>
              <w:t>629.4</w:t>
            </w:r>
          </w:p>
        </w:tc>
        <w:tc>
          <w:tcPr>
            <w:tcW w:w="1114" w:type="dxa"/>
            <w:tcBorders>
              <w:top w:val="single" w:sz="4" w:space="0" w:color="000000"/>
              <w:bottom w:val="single" w:sz="4" w:space="0" w:color="000000"/>
            </w:tcBorders>
          </w:tcPr>
          <w:p>
            <w:pPr>
              <w:pStyle w:val="TableParagraph"/>
              <w:jc w:val="left"/>
              <w:rPr>
                <w:sz w:val="16"/>
              </w:rPr>
            </w:pPr>
          </w:p>
        </w:tc>
      </w:tr>
      <w:tr>
        <w:trPr>
          <w:trHeight w:val="287" w:hRule="atLeast"/>
        </w:trPr>
        <w:tc>
          <w:tcPr>
            <w:tcW w:w="2229" w:type="dxa"/>
            <w:tcBorders>
              <w:top w:val="single" w:sz="4" w:space="0" w:color="000000"/>
              <w:bottom w:val="single" w:sz="4" w:space="0" w:color="000000"/>
            </w:tcBorders>
          </w:tcPr>
          <w:p>
            <w:pPr>
              <w:pStyle w:val="TableParagraph"/>
              <w:spacing w:before="47"/>
              <w:ind w:left="119"/>
              <w:jc w:val="left"/>
              <w:rPr>
                <w:b/>
                <w:sz w:val="16"/>
              </w:rPr>
            </w:pPr>
            <w:r>
              <w:rPr>
                <w:b/>
                <w:sz w:val="16"/>
              </w:rPr>
              <w:t>Variance</w:t>
            </w:r>
            <w:r>
              <w:rPr>
                <w:b/>
                <w:spacing w:val="-5"/>
                <w:sz w:val="16"/>
              </w:rPr>
              <w:t> </w:t>
            </w:r>
            <w:r>
              <w:rPr>
                <w:b/>
                <w:sz w:val="16"/>
              </w:rPr>
              <w:t>previous</w:t>
            </w:r>
            <w:r>
              <w:rPr>
                <w:b/>
                <w:spacing w:val="-5"/>
                <w:sz w:val="16"/>
              </w:rPr>
              <w:t> </w:t>
            </w:r>
            <w:r>
              <w:rPr>
                <w:b/>
                <w:sz w:val="16"/>
              </w:rPr>
              <w:t>year</w:t>
            </w:r>
            <w:r>
              <w:rPr>
                <w:b/>
                <w:spacing w:val="-5"/>
                <w:sz w:val="16"/>
              </w:rPr>
              <w:t> </w:t>
            </w:r>
            <w:r>
              <w:rPr>
                <w:b/>
                <w:sz w:val="16"/>
              </w:rPr>
              <w:t>in</w:t>
            </w:r>
            <w:r>
              <w:rPr>
                <w:b/>
                <w:spacing w:val="-7"/>
                <w:sz w:val="16"/>
              </w:rPr>
              <w:t> </w:t>
            </w:r>
            <w:r>
              <w:rPr>
                <w:b/>
                <w:spacing w:val="-10"/>
                <w:sz w:val="16"/>
              </w:rPr>
              <w:t>%</w:t>
            </w:r>
          </w:p>
        </w:tc>
        <w:tc>
          <w:tcPr>
            <w:tcW w:w="903" w:type="dxa"/>
            <w:tcBorders>
              <w:top w:val="single" w:sz="4" w:space="0" w:color="000000"/>
              <w:bottom w:val="single" w:sz="4" w:space="0" w:color="000000"/>
            </w:tcBorders>
          </w:tcPr>
          <w:p>
            <w:pPr>
              <w:pStyle w:val="TableParagraph"/>
              <w:spacing w:before="47"/>
              <w:ind w:right="107"/>
              <w:rPr>
                <w:sz w:val="16"/>
              </w:rPr>
            </w:pPr>
            <w:r>
              <w:rPr>
                <w:spacing w:val="-4"/>
                <w:sz w:val="16"/>
              </w:rPr>
              <w:t>3.3%</w:t>
            </w:r>
          </w:p>
        </w:tc>
        <w:tc>
          <w:tcPr>
            <w:tcW w:w="857" w:type="dxa"/>
            <w:tcBorders>
              <w:top w:val="single" w:sz="4" w:space="0" w:color="000000"/>
              <w:bottom w:val="single" w:sz="4" w:space="0" w:color="000000"/>
            </w:tcBorders>
          </w:tcPr>
          <w:p>
            <w:pPr>
              <w:pStyle w:val="TableParagraph"/>
              <w:spacing w:before="47"/>
              <w:ind w:right="105"/>
              <w:rPr>
                <w:sz w:val="16"/>
              </w:rPr>
            </w:pPr>
            <w:r>
              <w:rPr>
                <w:spacing w:val="-4"/>
                <w:sz w:val="16"/>
              </w:rPr>
              <w:t>0.8%</w:t>
            </w:r>
          </w:p>
        </w:tc>
        <w:tc>
          <w:tcPr>
            <w:tcW w:w="854" w:type="dxa"/>
            <w:tcBorders>
              <w:top w:val="single" w:sz="4" w:space="0" w:color="000000"/>
              <w:bottom w:val="single" w:sz="4" w:space="0" w:color="000000"/>
            </w:tcBorders>
          </w:tcPr>
          <w:p>
            <w:pPr>
              <w:pStyle w:val="TableParagraph"/>
              <w:spacing w:before="47"/>
              <w:ind w:right="104"/>
              <w:rPr>
                <w:sz w:val="16"/>
              </w:rPr>
            </w:pPr>
            <w:r>
              <w:rPr>
                <w:spacing w:val="-4"/>
                <w:sz w:val="16"/>
              </w:rPr>
              <w:t>1.4%</w:t>
            </w:r>
          </w:p>
        </w:tc>
        <w:tc>
          <w:tcPr>
            <w:tcW w:w="857" w:type="dxa"/>
            <w:tcBorders>
              <w:top w:val="single" w:sz="4" w:space="0" w:color="000000"/>
              <w:bottom w:val="single" w:sz="4" w:space="0" w:color="000000"/>
            </w:tcBorders>
          </w:tcPr>
          <w:p>
            <w:pPr>
              <w:pStyle w:val="TableParagraph"/>
              <w:spacing w:before="47"/>
              <w:ind w:right="111"/>
              <w:rPr>
                <w:sz w:val="16"/>
              </w:rPr>
            </w:pPr>
            <w:r>
              <w:rPr>
                <w:w w:val="95"/>
                <w:sz w:val="16"/>
              </w:rPr>
              <w:t>-</w:t>
            </w:r>
            <w:r>
              <w:rPr>
                <w:spacing w:val="-4"/>
                <w:sz w:val="16"/>
              </w:rPr>
              <w:t>4.8%</w:t>
            </w:r>
          </w:p>
        </w:tc>
        <w:tc>
          <w:tcPr>
            <w:tcW w:w="857" w:type="dxa"/>
            <w:tcBorders>
              <w:top w:val="single" w:sz="4" w:space="0" w:color="000000"/>
              <w:bottom w:val="single" w:sz="4" w:space="0" w:color="000000"/>
            </w:tcBorders>
          </w:tcPr>
          <w:p>
            <w:pPr>
              <w:pStyle w:val="TableParagraph"/>
              <w:spacing w:before="47"/>
              <w:ind w:right="109"/>
              <w:rPr>
                <w:sz w:val="16"/>
              </w:rPr>
            </w:pPr>
            <w:r>
              <w:rPr>
                <w:w w:val="95"/>
                <w:sz w:val="16"/>
              </w:rPr>
              <w:t>-</w:t>
            </w:r>
            <w:r>
              <w:rPr>
                <w:spacing w:val="-4"/>
                <w:sz w:val="16"/>
              </w:rPr>
              <w:t>0.2%</w:t>
            </w:r>
          </w:p>
        </w:tc>
        <w:tc>
          <w:tcPr>
            <w:tcW w:w="855" w:type="dxa"/>
            <w:tcBorders>
              <w:top w:val="single" w:sz="4" w:space="0" w:color="000000"/>
              <w:bottom w:val="single" w:sz="4" w:space="0" w:color="000000"/>
            </w:tcBorders>
          </w:tcPr>
          <w:p>
            <w:pPr>
              <w:pStyle w:val="TableParagraph"/>
              <w:spacing w:before="47"/>
              <w:ind w:right="109"/>
              <w:rPr>
                <w:sz w:val="16"/>
              </w:rPr>
            </w:pPr>
            <w:r>
              <w:rPr>
                <w:w w:val="95"/>
                <w:sz w:val="16"/>
              </w:rPr>
              <w:t>-</w:t>
            </w:r>
            <w:r>
              <w:rPr>
                <w:spacing w:val="-4"/>
                <w:sz w:val="16"/>
              </w:rPr>
              <w:t>2.7%</w:t>
            </w:r>
          </w:p>
        </w:tc>
        <w:tc>
          <w:tcPr>
            <w:tcW w:w="858" w:type="dxa"/>
            <w:tcBorders>
              <w:top w:val="single" w:sz="4" w:space="0" w:color="000000"/>
              <w:bottom w:val="single" w:sz="4" w:space="0" w:color="000000"/>
            </w:tcBorders>
          </w:tcPr>
          <w:p>
            <w:pPr>
              <w:pStyle w:val="TableParagraph"/>
              <w:spacing w:before="47"/>
              <w:ind w:right="107"/>
              <w:rPr>
                <w:sz w:val="16"/>
              </w:rPr>
            </w:pPr>
            <w:r>
              <w:rPr>
                <w:spacing w:val="-4"/>
                <w:sz w:val="16"/>
              </w:rPr>
              <w:t>5.4%</w:t>
            </w:r>
          </w:p>
        </w:tc>
        <w:tc>
          <w:tcPr>
            <w:tcW w:w="1114" w:type="dxa"/>
            <w:tcBorders>
              <w:top w:val="single" w:sz="4" w:space="0" w:color="000000"/>
              <w:bottom w:val="single" w:sz="4" w:space="0" w:color="000000"/>
            </w:tcBorders>
          </w:tcPr>
          <w:p>
            <w:pPr>
              <w:pStyle w:val="TableParagraph"/>
              <w:spacing w:before="47"/>
              <w:ind w:right="112"/>
              <w:rPr>
                <w:sz w:val="16"/>
              </w:rPr>
            </w:pPr>
            <w:r>
              <w:rPr>
                <w:w w:val="95"/>
                <w:sz w:val="16"/>
              </w:rPr>
              <w:t>-</w:t>
            </w:r>
            <w:r>
              <w:rPr>
                <w:spacing w:val="-4"/>
                <w:sz w:val="16"/>
              </w:rPr>
              <w:t>0.4%</w:t>
            </w:r>
          </w:p>
        </w:tc>
      </w:tr>
      <w:tr>
        <w:trPr>
          <w:trHeight w:val="282" w:hRule="atLeast"/>
        </w:trPr>
        <w:tc>
          <w:tcPr>
            <w:tcW w:w="2229" w:type="dxa"/>
            <w:tcBorders>
              <w:top w:val="single" w:sz="4" w:space="0" w:color="000000"/>
              <w:bottom w:val="single" w:sz="4" w:space="0" w:color="000000"/>
            </w:tcBorders>
          </w:tcPr>
          <w:p>
            <w:pPr>
              <w:pStyle w:val="TableParagraph"/>
              <w:spacing w:before="47"/>
              <w:ind w:left="119"/>
              <w:jc w:val="left"/>
              <w:rPr>
                <w:b/>
                <w:sz w:val="16"/>
              </w:rPr>
            </w:pPr>
            <w:r>
              <w:rPr>
                <w:b/>
                <w:w w:val="95"/>
                <w:sz w:val="16"/>
              </w:rPr>
              <w:t>Actual</w:t>
            </w:r>
            <w:r>
              <w:rPr>
                <w:b/>
                <w:spacing w:val="13"/>
                <w:sz w:val="16"/>
              </w:rPr>
              <w:t> </w:t>
            </w:r>
            <w:r>
              <w:rPr>
                <w:b/>
                <w:spacing w:val="-2"/>
                <w:sz w:val="16"/>
              </w:rPr>
              <w:t>expenditure</w:t>
            </w:r>
          </w:p>
        </w:tc>
        <w:tc>
          <w:tcPr>
            <w:tcW w:w="903" w:type="dxa"/>
            <w:tcBorders>
              <w:top w:val="single" w:sz="4" w:space="0" w:color="000000"/>
              <w:bottom w:val="single" w:sz="4" w:space="0" w:color="000000"/>
            </w:tcBorders>
          </w:tcPr>
          <w:p>
            <w:pPr>
              <w:pStyle w:val="TableParagraph"/>
              <w:spacing w:before="47"/>
              <w:ind w:right="108"/>
              <w:rPr>
                <w:sz w:val="16"/>
              </w:rPr>
            </w:pPr>
            <w:r>
              <w:rPr>
                <w:spacing w:val="-2"/>
                <w:sz w:val="16"/>
              </w:rPr>
              <w:t>12,702.8</w:t>
            </w:r>
          </w:p>
        </w:tc>
        <w:tc>
          <w:tcPr>
            <w:tcW w:w="857" w:type="dxa"/>
            <w:tcBorders>
              <w:top w:val="single" w:sz="4" w:space="0" w:color="000000"/>
              <w:bottom w:val="single" w:sz="4" w:space="0" w:color="000000"/>
            </w:tcBorders>
          </w:tcPr>
          <w:p>
            <w:pPr>
              <w:pStyle w:val="TableParagraph"/>
              <w:spacing w:before="47"/>
              <w:ind w:right="105"/>
              <w:rPr>
                <w:sz w:val="16"/>
              </w:rPr>
            </w:pPr>
            <w:r>
              <w:rPr>
                <w:spacing w:val="-2"/>
                <w:sz w:val="16"/>
              </w:rPr>
              <w:t>12,232.3</w:t>
            </w:r>
          </w:p>
        </w:tc>
        <w:tc>
          <w:tcPr>
            <w:tcW w:w="854" w:type="dxa"/>
            <w:tcBorders>
              <w:top w:val="single" w:sz="4" w:space="0" w:color="000000"/>
              <w:bottom w:val="single" w:sz="4" w:space="0" w:color="000000"/>
            </w:tcBorders>
          </w:tcPr>
          <w:p>
            <w:pPr>
              <w:pStyle w:val="TableParagraph"/>
              <w:spacing w:before="47"/>
              <w:ind w:right="104"/>
              <w:rPr>
                <w:sz w:val="16"/>
              </w:rPr>
            </w:pPr>
            <w:r>
              <w:rPr>
                <w:spacing w:val="-2"/>
                <w:sz w:val="16"/>
              </w:rPr>
              <w:t>12,168.7</w:t>
            </w:r>
          </w:p>
        </w:tc>
        <w:tc>
          <w:tcPr>
            <w:tcW w:w="857" w:type="dxa"/>
            <w:tcBorders>
              <w:top w:val="single" w:sz="4" w:space="0" w:color="000000"/>
              <w:bottom w:val="single" w:sz="4" w:space="0" w:color="000000"/>
            </w:tcBorders>
          </w:tcPr>
          <w:p>
            <w:pPr>
              <w:pStyle w:val="TableParagraph"/>
              <w:spacing w:before="47"/>
              <w:ind w:right="107"/>
              <w:rPr>
                <w:sz w:val="16"/>
              </w:rPr>
            </w:pPr>
            <w:r>
              <w:rPr>
                <w:spacing w:val="-2"/>
                <w:sz w:val="16"/>
              </w:rPr>
              <w:t>11,592.6</w:t>
            </w:r>
          </w:p>
        </w:tc>
        <w:tc>
          <w:tcPr>
            <w:tcW w:w="857" w:type="dxa"/>
            <w:tcBorders>
              <w:top w:val="single" w:sz="4" w:space="0" w:color="000000"/>
              <w:bottom w:val="single" w:sz="4" w:space="0" w:color="000000"/>
            </w:tcBorders>
          </w:tcPr>
          <w:p>
            <w:pPr>
              <w:pStyle w:val="TableParagraph"/>
              <w:spacing w:before="47"/>
              <w:ind w:right="104"/>
              <w:rPr>
                <w:sz w:val="16"/>
              </w:rPr>
            </w:pPr>
            <w:r>
              <w:rPr>
                <w:spacing w:val="-2"/>
                <w:sz w:val="16"/>
              </w:rPr>
              <w:t>11,193.5</w:t>
            </w:r>
          </w:p>
        </w:tc>
        <w:tc>
          <w:tcPr>
            <w:tcW w:w="855" w:type="dxa"/>
            <w:tcBorders>
              <w:top w:val="single" w:sz="4" w:space="0" w:color="000000"/>
              <w:bottom w:val="single" w:sz="4" w:space="0" w:color="000000"/>
            </w:tcBorders>
          </w:tcPr>
          <w:p>
            <w:pPr>
              <w:pStyle w:val="TableParagraph"/>
              <w:spacing w:before="47"/>
              <w:ind w:right="104"/>
              <w:rPr>
                <w:sz w:val="16"/>
              </w:rPr>
            </w:pPr>
            <w:r>
              <w:rPr>
                <w:spacing w:val="-2"/>
                <w:sz w:val="16"/>
              </w:rPr>
              <w:t>11,132.2</w:t>
            </w:r>
          </w:p>
        </w:tc>
        <w:tc>
          <w:tcPr>
            <w:tcW w:w="858" w:type="dxa"/>
            <w:tcBorders>
              <w:top w:val="single" w:sz="4" w:space="0" w:color="000000"/>
              <w:bottom w:val="single" w:sz="4" w:space="0" w:color="000000"/>
            </w:tcBorders>
          </w:tcPr>
          <w:p>
            <w:pPr>
              <w:pStyle w:val="TableParagraph"/>
              <w:spacing w:before="47"/>
              <w:ind w:right="108"/>
              <w:rPr>
                <w:sz w:val="16"/>
              </w:rPr>
            </w:pPr>
            <w:r>
              <w:rPr>
                <w:spacing w:val="-2"/>
                <w:sz w:val="16"/>
              </w:rPr>
              <w:t>11,904.5</w:t>
            </w:r>
          </w:p>
        </w:tc>
        <w:tc>
          <w:tcPr>
            <w:tcW w:w="1114" w:type="dxa"/>
            <w:tcBorders>
              <w:top w:val="single" w:sz="4" w:space="0" w:color="000000"/>
              <w:bottom w:val="single" w:sz="4" w:space="0" w:color="000000"/>
            </w:tcBorders>
          </w:tcPr>
          <w:p>
            <w:pPr>
              <w:pStyle w:val="TableParagraph"/>
              <w:spacing w:before="47"/>
              <w:ind w:right="107"/>
              <w:rPr>
                <w:sz w:val="16"/>
              </w:rPr>
            </w:pPr>
            <w:r>
              <w:rPr>
                <w:w w:val="95"/>
                <w:sz w:val="16"/>
              </w:rPr>
              <w:t>-</w:t>
            </w:r>
            <w:r>
              <w:rPr>
                <w:spacing w:val="-2"/>
                <w:sz w:val="16"/>
              </w:rPr>
              <w:t>798.3</w:t>
            </w:r>
          </w:p>
        </w:tc>
      </w:tr>
      <w:tr>
        <w:trPr>
          <w:trHeight w:val="287" w:hRule="atLeast"/>
        </w:trPr>
        <w:tc>
          <w:tcPr>
            <w:tcW w:w="2229" w:type="dxa"/>
            <w:tcBorders>
              <w:top w:val="single" w:sz="4" w:space="0" w:color="000000"/>
              <w:bottom w:val="single" w:sz="4" w:space="0" w:color="000000"/>
            </w:tcBorders>
          </w:tcPr>
          <w:p>
            <w:pPr>
              <w:pStyle w:val="TableParagraph"/>
              <w:spacing w:before="52"/>
              <w:ind w:left="119"/>
              <w:jc w:val="left"/>
              <w:rPr>
                <w:b/>
                <w:sz w:val="16"/>
              </w:rPr>
            </w:pPr>
            <w:r>
              <w:rPr>
                <w:b/>
                <w:w w:val="95"/>
                <w:sz w:val="16"/>
              </w:rPr>
              <w:t>Implementation</w:t>
            </w:r>
            <w:r>
              <w:rPr>
                <w:b/>
                <w:spacing w:val="15"/>
                <w:sz w:val="16"/>
              </w:rPr>
              <w:t> </w:t>
            </w:r>
            <w:r>
              <w:rPr>
                <w:b/>
                <w:w w:val="95"/>
                <w:sz w:val="16"/>
              </w:rPr>
              <w:t>rate</w:t>
            </w:r>
            <w:r>
              <w:rPr>
                <w:b/>
                <w:spacing w:val="21"/>
                <w:sz w:val="16"/>
              </w:rPr>
              <w:t> </w:t>
            </w:r>
            <w:r>
              <w:rPr>
                <w:b/>
                <w:w w:val="95"/>
                <w:sz w:val="16"/>
              </w:rPr>
              <w:t>in</w:t>
            </w:r>
            <w:r>
              <w:rPr>
                <w:b/>
                <w:spacing w:val="16"/>
                <w:sz w:val="16"/>
              </w:rPr>
              <w:t> </w:t>
            </w:r>
            <w:r>
              <w:rPr>
                <w:b/>
                <w:spacing w:val="-10"/>
                <w:w w:val="95"/>
                <w:sz w:val="16"/>
              </w:rPr>
              <w:t>%</w:t>
            </w:r>
          </w:p>
        </w:tc>
        <w:tc>
          <w:tcPr>
            <w:tcW w:w="903" w:type="dxa"/>
            <w:tcBorders>
              <w:top w:val="single" w:sz="4" w:space="0" w:color="000000"/>
              <w:bottom w:val="single" w:sz="4" w:space="0" w:color="000000"/>
            </w:tcBorders>
          </w:tcPr>
          <w:p>
            <w:pPr>
              <w:pStyle w:val="TableParagraph"/>
              <w:spacing w:before="52"/>
              <w:ind w:right="108"/>
              <w:rPr>
                <w:sz w:val="16"/>
              </w:rPr>
            </w:pPr>
            <w:r>
              <w:rPr>
                <w:spacing w:val="-2"/>
                <w:sz w:val="16"/>
              </w:rPr>
              <w:t>102.2%</w:t>
            </w:r>
          </w:p>
        </w:tc>
        <w:tc>
          <w:tcPr>
            <w:tcW w:w="857" w:type="dxa"/>
            <w:tcBorders>
              <w:top w:val="single" w:sz="4" w:space="0" w:color="000000"/>
              <w:bottom w:val="single" w:sz="4" w:space="0" w:color="000000"/>
            </w:tcBorders>
          </w:tcPr>
          <w:p>
            <w:pPr>
              <w:pStyle w:val="TableParagraph"/>
              <w:spacing w:before="52"/>
              <w:ind w:right="105"/>
              <w:rPr>
                <w:sz w:val="16"/>
              </w:rPr>
            </w:pPr>
            <w:r>
              <w:rPr>
                <w:spacing w:val="-2"/>
                <w:sz w:val="16"/>
              </w:rPr>
              <w:t>97.6%</w:t>
            </w:r>
          </w:p>
        </w:tc>
        <w:tc>
          <w:tcPr>
            <w:tcW w:w="854" w:type="dxa"/>
            <w:tcBorders>
              <w:top w:val="single" w:sz="4" w:space="0" w:color="000000"/>
              <w:bottom w:val="single" w:sz="4" w:space="0" w:color="000000"/>
            </w:tcBorders>
          </w:tcPr>
          <w:p>
            <w:pPr>
              <w:pStyle w:val="TableParagraph"/>
              <w:spacing w:before="52"/>
              <w:ind w:right="104"/>
              <w:rPr>
                <w:sz w:val="16"/>
              </w:rPr>
            </w:pPr>
            <w:r>
              <w:rPr>
                <w:spacing w:val="-2"/>
                <w:sz w:val="16"/>
              </w:rPr>
              <w:t>95.7%</w:t>
            </w:r>
          </w:p>
        </w:tc>
        <w:tc>
          <w:tcPr>
            <w:tcW w:w="857" w:type="dxa"/>
            <w:tcBorders>
              <w:top w:val="single" w:sz="4" w:space="0" w:color="000000"/>
              <w:bottom w:val="single" w:sz="4" w:space="0" w:color="000000"/>
            </w:tcBorders>
          </w:tcPr>
          <w:p>
            <w:pPr>
              <w:pStyle w:val="TableParagraph"/>
              <w:spacing w:before="52"/>
              <w:ind w:right="107"/>
              <w:rPr>
                <w:sz w:val="16"/>
              </w:rPr>
            </w:pPr>
            <w:r>
              <w:rPr>
                <w:spacing w:val="-2"/>
                <w:sz w:val="16"/>
              </w:rPr>
              <w:t>95.7%</w:t>
            </w:r>
          </w:p>
        </w:tc>
        <w:tc>
          <w:tcPr>
            <w:tcW w:w="857" w:type="dxa"/>
            <w:tcBorders>
              <w:top w:val="single" w:sz="4" w:space="0" w:color="000000"/>
              <w:bottom w:val="single" w:sz="4" w:space="0" w:color="000000"/>
            </w:tcBorders>
          </w:tcPr>
          <w:p>
            <w:pPr>
              <w:pStyle w:val="TableParagraph"/>
              <w:spacing w:before="52"/>
              <w:ind w:right="104"/>
              <w:rPr>
                <w:sz w:val="16"/>
              </w:rPr>
            </w:pPr>
            <w:r>
              <w:rPr>
                <w:spacing w:val="-2"/>
                <w:sz w:val="16"/>
              </w:rPr>
              <w:t>92.6%</w:t>
            </w:r>
          </w:p>
        </w:tc>
        <w:tc>
          <w:tcPr>
            <w:tcW w:w="855" w:type="dxa"/>
            <w:tcBorders>
              <w:top w:val="single" w:sz="4" w:space="0" w:color="000000"/>
              <w:bottom w:val="single" w:sz="4" w:space="0" w:color="000000"/>
            </w:tcBorders>
          </w:tcPr>
          <w:p>
            <w:pPr>
              <w:pStyle w:val="TableParagraph"/>
              <w:spacing w:before="52"/>
              <w:ind w:right="104"/>
              <w:rPr>
                <w:sz w:val="16"/>
              </w:rPr>
            </w:pPr>
            <w:r>
              <w:rPr>
                <w:spacing w:val="-2"/>
                <w:sz w:val="16"/>
              </w:rPr>
              <w:t>94.7%</w:t>
            </w:r>
          </w:p>
        </w:tc>
        <w:tc>
          <w:tcPr>
            <w:tcW w:w="858" w:type="dxa"/>
            <w:tcBorders>
              <w:top w:val="single" w:sz="4" w:space="0" w:color="000000"/>
              <w:bottom w:val="single" w:sz="4" w:space="0" w:color="000000"/>
            </w:tcBorders>
          </w:tcPr>
          <w:p>
            <w:pPr>
              <w:pStyle w:val="TableParagraph"/>
              <w:spacing w:before="52"/>
              <w:ind w:right="107"/>
              <w:rPr>
                <w:sz w:val="16"/>
              </w:rPr>
            </w:pPr>
            <w:r>
              <w:rPr>
                <w:spacing w:val="-2"/>
                <w:sz w:val="16"/>
              </w:rPr>
              <w:t>96.1%</w:t>
            </w:r>
          </w:p>
        </w:tc>
        <w:tc>
          <w:tcPr>
            <w:tcW w:w="1114" w:type="dxa"/>
            <w:tcBorders>
              <w:top w:val="single" w:sz="4" w:space="0" w:color="000000"/>
              <w:bottom w:val="single" w:sz="4" w:space="0" w:color="000000"/>
            </w:tcBorders>
          </w:tcPr>
          <w:p>
            <w:pPr>
              <w:pStyle w:val="TableParagraph"/>
              <w:spacing w:before="52"/>
              <w:ind w:right="107"/>
              <w:rPr>
                <w:sz w:val="16"/>
              </w:rPr>
            </w:pPr>
            <w:r>
              <w:rPr>
                <w:sz w:val="16"/>
              </w:rPr>
              <w:t>Aver.</w:t>
            </w:r>
            <w:r>
              <w:rPr>
                <w:spacing w:val="-4"/>
                <w:sz w:val="16"/>
              </w:rPr>
              <w:t> 96.4%</w:t>
            </w:r>
          </w:p>
        </w:tc>
      </w:tr>
      <w:tr>
        <w:trPr>
          <w:trHeight w:val="287" w:hRule="atLeast"/>
        </w:trPr>
        <w:tc>
          <w:tcPr>
            <w:tcW w:w="2229" w:type="dxa"/>
            <w:tcBorders>
              <w:top w:val="single" w:sz="4" w:space="0" w:color="000000"/>
              <w:bottom w:val="single" w:sz="4" w:space="0" w:color="000000"/>
            </w:tcBorders>
          </w:tcPr>
          <w:p>
            <w:pPr>
              <w:pStyle w:val="TableParagraph"/>
              <w:jc w:val="left"/>
              <w:rPr>
                <w:sz w:val="16"/>
              </w:rPr>
            </w:pPr>
          </w:p>
        </w:tc>
        <w:tc>
          <w:tcPr>
            <w:tcW w:w="903" w:type="dxa"/>
            <w:tcBorders>
              <w:top w:val="single" w:sz="4" w:space="0" w:color="000000"/>
              <w:bottom w:val="single" w:sz="4" w:space="0" w:color="000000"/>
            </w:tcBorders>
          </w:tcPr>
          <w:p>
            <w:pPr>
              <w:pStyle w:val="TableParagraph"/>
              <w:jc w:val="left"/>
              <w:rPr>
                <w:sz w:val="16"/>
              </w:rPr>
            </w:pPr>
          </w:p>
        </w:tc>
        <w:tc>
          <w:tcPr>
            <w:tcW w:w="857" w:type="dxa"/>
            <w:tcBorders>
              <w:top w:val="single" w:sz="4" w:space="0" w:color="000000"/>
              <w:bottom w:val="single" w:sz="4" w:space="0" w:color="000000"/>
            </w:tcBorders>
          </w:tcPr>
          <w:p>
            <w:pPr>
              <w:pStyle w:val="TableParagraph"/>
              <w:jc w:val="left"/>
              <w:rPr>
                <w:sz w:val="16"/>
              </w:rPr>
            </w:pPr>
          </w:p>
        </w:tc>
        <w:tc>
          <w:tcPr>
            <w:tcW w:w="854" w:type="dxa"/>
            <w:tcBorders>
              <w:top w:val="single" w:sz="4" w:space="0" w:color="000000"/>
              <w:bottom w:val="single" w:sz="4" w:space="0" w:color="000000"/>
            </w:tcBorders>
          </w:tcPr>
          <w:p>
            <w:pPr>
              <w:pStyle w:val="TableParagraph"/>
              <w:jc w:val="left"/>
              <w:rPr>
                <w:sz w:val="16"/>
              </w:rPr>
            </w:pPr>
          </w:p>
        </w:tc>
        <w:tc>
          <w:tcPr>
            <w:tcW w:w="857" w:type="dxa"/>
            <w:tcBorders>
              <w:top w:val="single" w:sz="4" w:space="0" w:color="000000"/>
              <w:bottom w:val="single" w:sz="4" w:space="0" w:color="000000"/>
            </w:tcBorders>
          </w:tcPr>
          <w:p>
            <w:pPr>
              <w:pStyle w:val="TableParagraph"/>
              <w:jc w:val="left"/>
              <w:rPr>
                <w:sz w:val="16"/>
              </w:rPr>
            </w:pPr>
          </w:p>
        </w:tc>
        <w:tc>
          <w:tcPr>
            <w:tcW w:w="857" w:type="dxa"/>
            <w:tcBorders>
              <w:top w:val="single" w:sz="4" w:space="0" w:color="000000"/>
              <w:bottom w:val="single" w:sz="4" w:space="0" w:color="000000"/>
            </w:tcBorders>
          </w:tcPr>
          <w:p>
            <w:pPr>
              <w:pStyle w:val="TableParagraph"/>
              <w:jc w:val="left"/>
              <w:rPr>
                <w:sz w:val="16"/>
              </w:rPr>
            </w:pPr>
          </w:p>
        </w:tc>
        <w:tc>
          <w:tcPr>
            <w:tcW w:w="855" w:type="dxa"/>
            <w:tcBorders>
              <w:top w:val="single" w:sz="4" w:space="0" w:color="000000"/>
              <w:bottom w:val="single" w:sz="4" w:space="0" w:color="000000"/>
            </w:tcBorders>
          </w:tcPr>
          <w:p>
            <w:pPr>
              <w:pStyle w:val="TableParagraph"/>
              <w:jc w:val="left"/>
              <w:rPr>
                <w:sz w:val="16"/>
              </w:rPr>
            </w:pPr>
          </w:p>
        </w:tc>
        <w:tc>
          <w:tcPr>
            <w:tcW w:w="858" w:type="dxa"/>
            <w:tcBorders>
              <w:top w:val="single" w:sz="4" w:space="0" w:color="000000"/>
              <w:bottom w:val="single" w:sz="4" w:space="0" w:color="000000"/>
            </w:tcBorders>
          </w:tcPr>
          <w:p>
            <w:pPr>
              <w:pStyle w:val="TableParagraph"/>
              <w:jc w:val="left"/>
              <w:rPr>
                <w:sz w:val="16"/>
              </w:rPr>
            </w:pPr>
          </w:p>
        </w:tc>
        <w:tc>
          <w:tcPr>
            <w:tcW w:w="1114" w:type="dxa"/>
            <w:tcBorders>
              <w:top w:val="single" w:sz="4" w:space="0" w:color="000000"/>
              <w:bottom w:val="single" w:sz="4" w:space="0" w:color="000000"/>
            </w:tcBorders>
          </w:tcPr>
          <w:p>
            <w:pPr>
              <w:pStyle w:val="TableParagraph"/>
              <w:jc w:val="left"/>
              <w:rPr>
                <w:sz w:val="16"/>
              </w:rPr>
            </w:pPr>
          </w:p>
        </w:tc>
      </w:tr>
      <w:tr>
        <w:trPr>
          <w:trHeight w:val="287" w:hRule="atLeast"/>
        </w:trPr>
        <w:tc>
          <w:tcPr>
            <w:tcW w:w="2229" w:type="dxa"/>
            <w:tcBorders>
              <w:top w:val="single" w:sz="4" w:space="0" w:color="000000"/>
              <w:bottom w:val="single" w:sz="4" w:space="0" w:color="000000"/>
            </w:tcBorders>
          </w:tcPr>
          <w:p>
            <w:pPr>
              <w:pStyle w:val="TableParagraph"/>
              <w:spacing w:before="52"/>
              <w:ind w:left="119"/>
              <w:jc w:val="left"/>
              <w:rPr>
                <w:b/>
                <w:i/>
                <w:sz w:val="16"/>
              </w:rPr>
            </w:pPr>
            <w:r>
              <w:rPr>
                <w:b/>
                <w:i/>
                <w:sz w:val="16"/>
              </w:rPr>
              <w:t>MPII:</w:t>
            </w:r>
            <w:r>
              <w:rPr>
                <w:b/>
                <w:i/>
                <w:spacing w:val="-5"/>
                <w:sz w:val="16"/>
              </w:rPr>
              <w:t> </w:t>
            </w:r>
            <w:r>
              <w:rPr>
                <w:b/>
                <w:i/>
                <w:sz w:val="16"/>
              </w:rPr>
              <w:t>Office</w:t>
            </w:r>
            <w:r>
              <w:rPr>
                <w:b/>
                <w:i/>
                <w:spacing w:val="-5"/>
                <w:sz w:val="16"/>
              </w:rPr>
              <w:t> </w:t>
            </w:r>
            <w:r>
              <w:rPr>
                <w:b/>
                <w:i/>
                <w:sz w:val="16"/>
              </w:rPr>
              <w:t>of</w:t>
            </w:r>
            <w:r>
              <w:rPr>
                <w:b/>
                <w:i/>
                <w:spacing w:val="-6"/>
                <w:sz w:val="16"/>
              </w:rPr>
              <w:t> </w:t>
            </w:r>
            <w:r>
              <w:rPr>
                <w:b/>
                <w:i/>
                <w:sz w:val="16"/>
              </w:rPr>
              <w:t>the</w:t>
            </w:r>
            <w:r>
              <w:rPr>
                <w:b/>
                <w:i/>
                <w:spacing w:val="-4"/>
                <w:sz w:val="16"/>
              </w:rPr>
              <w:t> </w:t>
            </w:r>
            <w:r>
              <w:rPr>
                <w:b/>
                <w:i/>
                <w:spacing w:val="-2"/>
                <w:sz w:val="16"/>
              </w:rPr>
              <w:t>Prosecutor</w:t>
            </w:r>
          </w:p>
        </w:tc>
        <w:tc>
          <w:tcPr>
            <w:tcW w:w="903" w:type="dxa"/>
            <w:tcBorders>
              <w:top w:val="single" w:sz="4" w:space="0" w:color="000000"/>
              <w:bottom w:val="single" w:sz="4" w:space="0" w:color="000000"/>
            </w:tcBorders>
          </w:tcPr>
          <w:p>
            <w:pPr>
              <w:pStyle w:val="TableParagraph"/>
              <w:jc w:val="left"/>
              <w:rPr>
                <w:sz w:val="16"/>
              </w:rPr>
            </w:pPr>
          </w:p>
        </w:tc>
        <w:tc>
          <w:tcPr>
            <w:tcW w:w="857" w:type="dxa"/>
            <w:tcBorders>
              <w:top w:val="single" w:sz="4" w:space="0" w:color="000000"/>
              <w:bottom w:val="single" w:sz="4" w:space="0" w:color="000000"/>
            </w:tcBorders>
          </w:tcPr>
          <w:p>
            <w:pPr>
              <w:pStyle w:val="TableParagraph"/>
              <w:jc w:val="left"/>
              <w:rPr>
                <w:sz w:val="16"/>
              </w:rPr>
            </w:pPr>
          </w:p>
        </w:tc>
        <w:tc>
          <w:tcPr>
            <w:tcW w:w="854" w:type="dxa"/>
            <w:tcBorders>
              <w:top w:val="single" w:sz="4" w:space="0" w:color="000000"/>
              <w:bottom w:val="single" w:sz="4" w:space="0" w:color="000000"/>
            </w:tcBorders>
          </w:tcPr>
          <w:p>
            <w:pPr>
              <w:pStyle w:val="TableParagraph"/>
              <w:jc w:val="left"/>
              <w:rPr>
                <w:sz w:val="16"/>
              </w:rPr>
            </w:pPr>
          </w:p>
        </w:tc>
        <w:tc>
          <w:tcPr>
            <w:tcW w:w="857" w:type="dxa"/>
            <w:tcBorders>
              <w:top w:val="single" w:sz="4" w:space="0" w:color="000000"/>
              <w:bottom w:val="single" w:sz="4" w:space="0" w:color="000000"/>
            </w:tcBorders>
          </w:tcPr>
          <w:p>
            <w:pPr>
              <w:pStyle w:val="TableParagraph"/>
              <w:jc w:val="left"/>
              <w:rPr>
                <w:sz w:val="16"/>
              </w:rPr>
            </w:pPr>
          </w:p>
        </w:tc>
        <w:tc>
          <w:tcPr>
            <w:tcW w:w="857" w:type="dxa"/>
            <w:tcBorders>
              <w:top w:val="single" w:sz="4" w:space="0" w:color="000000"/>
              <w:bottom w:val="single" w:sz="4" w:space="0" w:color="000000"/>
            </w:tcBorders>
          </w:tcPr>
          <w:p>
            <w:pPr>
              <w:pStyle w:val="TableParagraph"/>
              <w:jc w:val="left"/>
              <w:rPr>
                <w:sz w:val="16"/>
              </w:rPr>
            </w:pPr>
          </w:p>
        </w:tc>
        <w:tc>
          <w:tcPr>
            <w:tcW w:w="855" w:type="dxa"/>
            <w:tcBorders>
              <w:top w:val="single" w:sz="4" w:space="0" w:color="000000"/>
              <w:bottom w:val="single" w:sz="4" w:space="0" w:color="000000"/>
            </w:tcBorders>
          </w:tcPr>
          <w:p>
            <w:pPr>
              <w:pStyle w:val="TableParagraph"/>
              <w:jc w:val="left"/>
              <w:rPr>
                <w:sz w:val="16"/>
              </w:rPr>
            </w:pPr>
          </w:p>
        </w:tc>
        <w:tc>
          <w:tcPr>
            <w:tcW w:w="858" w:type="dxa"/>
            <w:tcBorders>
              <w:top w:val="single" w:sz="4" w:space="0" w:color="000000"/>
              <w:bottom w:val="single" w:sz="4" w:space="0" w:color="000000"/>
            </w:tcBorders>
          </w:tcPr>
          <w:p>
            <w:pPr>
              <w:pStyle w:val="TableParagraph"/>
              <w:jc w:val="left"/>
              <w:rPr>
                <w:sz w:val="16"/>
              </w:rPr>
            </w:pPr>
          </w:p>
        </w:tc>
        <w:tc>
          <w:tcPr>
            <w:tcW w:w="1114" w:type="dxa"/>
            <w:tcBorders>
              <w:top w:val="single" w:sz="4" w:space="0" w:color="000000"/>
              <w:bottom w:val="single" w:sz="4" w:space="0" w:color="000000"/>
            </w:tcBorders>
          </w:tcPr>
          <w:p>
            <w:pPr>
              <w:pStyle w:val="TableParagraph"/>
              <w:jc w:val="left"/>
              <w:rPr>
                <w:sz w:val="16"/>
              </w:rPr>
            </w:pPr>
          </w:p>
        </w:tc>
      </w:tr>
      <w:tr>
        <w:trPr>
          <w:trHeight w:val="287" w:hRule="atLeast"/>
        </w:trPr>
        <w:tc>
          <w:tcPr>
            <w:tcW w:w="2229" w:type="dxa"/>
            <w:tcBorders>
              <w:top w:val="single" w:sz="4" w:space="0" w:color="000000"/>
              <w:bottom w:val="single" w:sz="4" w:space="0" w:color="000000"/>
            </w:tcBorders>
          </w:tcPr>
          <w:p>
            <w:pPr>
              <w:pStyle w:val="TableParagraph"/>
              <w:spacing w:before="52"/>
              <w:ind w:left="119"/>
              <w:jc w:val="left"/>
              <w:rPr>
                <w:b/>
                <w:sz w:val="16"/>
              </w:rPr>
            </w:pPr>
            <w:r>
              <w:rPr>
                <w:b/>
                <w:spacing w:val="-2"/>
                <w:sz w:val="16"/>
              </w:rPr>
              <w:t>Total</w:t>
            </w:r>
          </w:p>
        </w:tc>
        <w:tc>
          <w:tcPr>
            <w:tcW w:w="903" w:type="dxa"/>
            <w:tcBorders>
              <w:top w:val="single" w:sz="4" w:space="0" w:color="000000"/>
              <w:bottom w:val="single" w:sz="4" w:space="0" w:color="000000"/>
            </w:tcBorders>
          </w:tcPr>
          <w:p>
            <w:pPr>
              <w:pStyle w:val="TableParagraph"/>
              <w:spacing w:before="52"/>
              <w:ind w:right="108"/>
              <w:rPr>
                <w:sz w:val="16"/>
              </w:rPr>
            </w:pPr>
            <w:r>
              <w:rPr>
                <w:spacing w:val="-2"/>
                <w:sz w:val="16"/>
              </w:rPr>
              <w:t>43,233.7</w:t>
            </w:r>
          </w:p>
        </w:tc>
        <w:tc>
          <w:tcPr>
            <w:tcW w:w="857" w:type="dxa"/>
            <w:tcBorders>
              <w:top w:val="single" w:sz="4" w:space="0" w:color="000000"/>
              <w:bottom w:val="single" w:sz="4" w:space="0" w:color="000000"/>
            </w:tcBorders>
          </w:tcPr>
          <w:p>
            <w:pPr>
              <w:pStyle w:val="TableParagraph"/>
              <w:spacing w:before="52"/>
              <w:ind w:right="105"/>
              <w:rPr>
                <w:sz w:val="16"/>
              </w:rPr>
            </w:pPr>
            <w:r>
              <w:rPr>
                <w:spacing w:val="-2"/>
                <w:sz w:val="16"/>
              </w:rPr>
              <w:t>44,974.2</w:t>
            </w:r>
          </w:p>
        </w:tc>
        <w:tc>
          <w:tcPr>
            <w:tcW w:w="854" w:type="dxa"/>
            <w:tcBorders>
              <w:top w:val="single" w:sz="4" w:space="0" w:color="000000"/>
              <w:bottom w:val="single" w:sz="4" w:space="0" w:color="000000"/>
            </w:tcBorders>
          </w:tcPr>
          <w:p>
            <w:pPr>
              <w:pStyle w:val="TableParagraph"/>
              <w:spacing w:before="52"/>
              <w:ind w:right="104"/>
              <w:rPr>
                <w:sz w:val="16"/>
              </w:rPr>
            </w:pPr>
            <w:r>
              <w:rPr>
                <w:spacing w:val="-2"/>
                <w:sz w:val="16"/>
              </w:rPr>
              <w:t>45,991.8</w:t>
            </w:r>
          </w:p>
        </w:tc>
        <w:tc>
          <w:tcPr>
            <w:tcW w:w="857" w:type="dxa"/>
            <w:tcBorders>
              <w:top w:val="single" w:sz="4" w:space="0" w:color="000000"/>
              <w:bottom w:val="single" w:sz="4" w:space="0" w:color="000000"/>
            </w:tcBorders>
          </w:tcPr>
          <w:p>
            <w:pPr>
              <w:pStyle w:val="TableParagraph"/>
              <w:spacing w:before="52"/>
              <w:ind w:right="107"/>
              <w:rPr>
                <w:sz w:val="16"/>
              </w:rPr>
            </w:pPr>
            <w:r>
              <w:rPr>
                <w:spacing w:val="-2"/>
                <w:sz w:val="16"/>
              </w:rPr>
              <w:t>46,802.5</w:t>
            </w:r>
          </w:p>
        </w:tc>
        <w:tc>
          <w:tcPr>
            <w:tcW w:w="857" w:type="dxa"/>
            <w:tcBorders>
              <w:top w:val="single" w:sz="4" w:space="0" w:color="000000"/>
              <w:bottom w:val="single" w:sz="4" w:space="0" w:color="000000"/>
            </w:tcBorders>
          </w:tcPr>
          <w:p>
            <w:pPr>
              <w:pStyle w:val="TableParagraph"/>
              <w:spacing w:before="52"/>
              <w:ind w:right="104"/>
              <w:rPr>
                <w:sz w:val="16"/>
              </w:rPr>
            </w:pPr>
            <w:r>
              <w:rPr>
                <w:spacing w:val="-2"/>
                <w:sz w:val="16"/>
              </w:rPr>
              <w:t>47,383.4</w:t>
            </w:r>
          </w:p>
        </w:tc>
        <w:tc>
          <w:tcPr>
            <w:tcW w:w="855" w:type="dxa"/>
            <w:tcBorders>
              <w:top w:val="single" w:sz="4" w:space="0" w:color="000000"/>
              <w:bottom w:val="single" w:sz="4" w:space="0" w:color="000000"/>
            </w:tcBorders>
          </w:tcPr>
          <w:p>
            <w:pPr>
              <w:pStyle w:val="TableParagraph"/>
              <w:spacing w:before="52"/>
              <w:ind w:right="104"/>
              <w:rPr>
                <w:sz w:val="16"/>
              </w:rPr>
            </w:pPr>
            <w:r>
              <w:rPr>
                <w:spacing w:val="-2"/>
                <w:sz w:val="16"/>
              </w:rPr>
              <w:t>47,334.8</w:t>
            </w:r>
          </w:p>
        </w:tc>
        <w:tc>
          <w:tcPr>
            <w:tcW w:w="858" w:type="dxa"/>
            <w:tcBorders>
              <w:top w:val="single" w:sz="4" w:space="0" w:color="000000"/>
              <w:bottom w:val="single" w:sz="4" w:space="0" w:color="000000"/>
            </w:tcBorders>
          </w:tcPr>
          <w:p>
            <w:pPr>
              <w:pStyle w:val="TableParagraph"/>
              <w:spacing w:before="52"/>
              <w:ind w:right="108"/>
              <w:rPr>
                <w:sz w:val="16"/>
              </w:rPr>
            </w:pPr>
            <w:r>
              <w:rPr>
                <w:spacing w:val="-2"/>
                <w:sz w:val="16"/>
              </w:rPr>
              <w:t>49,546.4</w:t>
            </w:r>
          </w:p>
        </w:tc>
        <w:tc>
          <w:tcPr>
            <w:tcW w:w="1114" w:type="dxa"/>
            <w:tcBorders>
              <w:top w:val="single" w:sz="4" w:space="0" w:color="000000"/>
              <w:bottom w:val="single" w:sz="4" w:space="0" w:color="000000"/>
            </w:tcBorders>
          </w:tcPr>
          <w:p>
            <w:pPr>
              <w:pStyle w:val="TableParagraph"/>
              <w:spacing w:before="52"/>
              <w:ind w:right="107"/>
              <w:rPr>
                <w:sz w:val="16"/>
              </w:rPr>
            </w:pPr>
            <w:r>
              <w:rPr>
                <w:spacing w:val="-2"/>
                <w:sz w:val="16"/>
              </w:rPr>
              <w:t>6,312.7</w:t>
            </w:r>
          </w:p>
        </w:tc>
      </w:tr>
      <w:tr>
        <w:trPr>
          <w:trHeight w:val="288" w:hRule="atLeast"/>
        </w:trPr>
        <w:tc>
          <w:tcPr>
            <w:tcW w:w="2229" w:type="dxa"/>
            <w:tcBorders>
              <w:top w:val="single" w:sz="4" w:space="0" w:color="000000"/>
              <w:bottom w:val="single" w:sz="4" w:space="0" w:color="000000"/>
            </w:tcBorders>
          </w:tcPr>
          <w:p>
            <w:pPr>
              <w:pStyle w:val="TableParagraph"/>
              <w:spacing w:before="52"/>
              <w:ind w:left="119"/>
              <w:jc w:val="left"/>
              <w:rPr>
                <w:b/>
                <w:sz w:val="16"/>
              </w:rPr>
            </w:pPr>
            <w:r>
              <w:rPr>
                <w:b/>
                <w:sz w:val="16"/>
              </w:rPr>
              <w:t>Variance</w:t>
            </w:r>
            <w:r>
              <w:rPr>
                <w:b/>
                <w:spacing w:val="-8"/>
                <w:sz w:val="16"/>
              </w:rPr>
              <w:t> </w:t>
            </w:r>
            <w:r>
              <w:rPr>
                <w:b/>
                <w:sz w:val="16"/>
              </w:rPr>
              <w:t>previous</w:t>
            </w:r>
            <w:r>
              <w:rPr>
                <w:b/>
                <w:spacing w:val="-8"/>
                <w:sz w:val="16"/>
              </w:rPr>
              <w:t> </w:t>
            </w:r>
            <w:r>
              <w:rPr>
                <w:b/>
                <w:spacing w:val="-4"/>
                <w:sz w:val="16"/>
              </w:rPr>
              <w:t>year</w:t>
            </w:r>
          </w:p>
        </w:tc>
        <w:tc>
          <w:tcPr>
            <w:tcW w:w="903" w:type="dxa"/>
            <w:tcBorders>
              <w:top w:val="single" w:sz="4" w:space="0" w:color="000000"/>
              <w:bottom w:val="single" w:sz="4" w:space="0" w:color="000000"/>
            </w:tcBorders>
          </w:tcPr>
          <w:p>
            <w:pPr>
              <w:pStyle w:val="TableParagraph"/>
              <w:spacing w:before="52"/>
              <w:ind w:right="108"/>
              <w:rPr>
                <w:sz w:val="16"/>
              </w:rPr>
            </w:pPr>
            <w:r>
              <w:rPr>
                <w:spacing w:val="-2"/>
                <w:sz w:val="16"/>
              </w:rPr>
              <w:t>3,621.1</w:t>
            </w:r>
          </w:p>
        </w:tc>
        <w:tc>
          <w:tcPr>
            <w:tcW w:w="857" w:type="dxa"/>
            <w:tcBorders>
              <w:top w:val="single" w:sz="4" w:space="0" w:color="000000"/>
              <w:bottom w:val="single" w:sz="4" w:space="0" w:color="000000"/>
            </w:tcBorders>
          </w:tcPr>
          <w:p>
            <w:pPr>
              <w:pStyle w:val="TableParagraph"/>
              <w:spacing w:before="52"/>
              <w:ind w:right="105"/>
              <w:rPr>
                <w:sz w:val="16"/>
              </w:rPr>
            </w:pPr>
            <w:r>
              <w:rPr>
                <w:spacing w:val="-2"/>
                <w:sz w:val="16"/>
              </w:rPr>
              <w:t>1,740.5</w:t>
            </w:r>
          </w:p>
        </w:tc>
        <w:tc>
          <w:tcPr>
            <w:tcW w:w="854" w:type="dxa"/>
            <w:tcBorders>
              <w:top w:val="single" w:sz="4" w:space="0" w:color="000000"/>
              <w:bottom w:val="single" w:sz="4" w:space="0" w:color="000000"/>
            </w:tcBorders>
          </w:tcPr>
          <w:p>
            <w:pPr>
              <w:pStyle w:val="TableParagraph"/>
              <w:spacing w:before="52"/>
              <w:ind w:right="104"/>
              <w:rPr>
                <w:sz w:val="16"/>
              </w:rPr>
            </w:pPr>
            <w:r>
              <w:rPr>
                <w:spacing w:val="-2"/>
                <w:sz w:val="16"/>
              </w:rPr>
              <w:t>1,017.6</w:t>
            </w:r>
          </w:p>
        </w:tc>
        <w:tc>
          <w:tcPr>
            <w:tcW w:w="857" w:type="dxa"/>
            <w:tcBorders>
              <w:top w:val="single" w:sz="4" w:space="0" w:color="000000"/>
              <w:bottom w:val="single" w:sz="4" w:space="0" w:color="000000"/>
            </w:tcBorders>
          </w:tcPr>
          <w:p>
            <w:pPr>
              <w:pStyle w:val="TableParagraph"/>
              <w:spacing w:before="52"/>
              <w:ind w:right="107"/>
              <w:rPr>
                <w:sz w:val="16"/>
              </w:rPr>
            </w:pPr>
            <w:r>
              <w:rPr>
                <w:spacing w:val="-2"/>
                <w:sz w:val="16"/>
              </w:rPr>
              <w:t>810.7</w:t>
            </w:r>
          </w:p>
        </w:tc>
        <w:tc>
          <w:tcPr>
            <w:tcW w:w="857" w:type="dxa"/>
            <w:tcBorders>
              <w:top w:val="single" w:sz="4" w:space="0" w:color="000000"/>
              <w:bottom w:val="single" w:sz="4" w:space="0" w:color="000000"/>
            </w:tcBorders>
          </w:tcPr>
          <w:p>
            <w:pPr>
              <w:pStyle w:val="TableParagraph"/>
              <w:spacing w:before="52"/>
              <w:ind w:right="104"/>
              <w:rPr>
                <w:sz w:val="16"/>
              </w:rPr>
            </w:pPr>
            <w:r>
              <w:rPr>
                <w:spacing w:val="-2"/>
                <w:sz w:val="16"/>
              </w:rPr>
              <w:t>580.9</w:t>
            </w:r>
          </w:p>
        </w:tc>
        <w:tc>
          <w:tcPr>
            <w:tcW w:w="855" w:type="dxa"/>
            <w:tcBorders>
              <w:top w:val="single" w:sz="4" w:space="0" w:color="000000"/>
              <w:bottom w:val="single" w:sz="4" w:space="0" w:color="000000"/>
            </w:tcBorders>
          </w:tcPr>
          <w:p>
            <w:pPr>
              <w:pStyle w:val="TableParagraph"/>
              <w:spacing w:before="52"/>
              <w:ind w:right="104"/>
              <w:rPr>
                <w:sz w:val="16"/>
              </w:rPr>
            </w:pPr>
            <w:r>
              <w:rPr>
                <w:w w:val="95"/>
                <w:sz w:val="16"/>
              </w:rPr>
              <w:t>-</w:t>
            </w:r>
            <w:r>
              <w:rPr>
                <w:spacing w:val="-4"/>
                <w:sz w:val="16"/>
              </w:rPr>
              <w:t>48.6</w:t>
            </w:r>
          </w:p>
        </w:tc>
        <w:tc>
          <w:tcPr>
            <w:tcW w:w="858" w:type="dxa"/>
            <w:tcBorders>
              <w:top w:val="single" w:sz="4" w:space="0" w:color="000000"/>
              <w:bottom w:val="single" w:sz="4" w:space="0" w:color="000000"/>
            </w:tcBorders>
          </w:tcPr>
          <w:p>
            <w:pPr>
              <w:pStyle w:val="TableParagraph"/>
              <w:spacing w:before="52"/>
              <w:ind w:right="107"/>
              <w:rPr>
                <w:sz w:val="16"/>
              </w:rPr>
            </w:pPr>
            <w:r>
              <w:rPr>
                <w:spacing w:val="-2"/>
                <w:sz w:val="16"/>
              </w:rPr>
              <w:t>2,211.6</w:t>
            </w:r>
          </w:p>
        </w:tc>
        <w:tc>
          <w:tcPr>
            <w:tcW w:w="1114" w:type="dxa"/>
            <w:tcBorders>
              <w:top w:val="single" w:sz="4" w:space="0" w:color="000000"/>
              <w:bottom w:val="single" w:sz="4" w:space="0" w:color="000000"/>
            </w:tcBorders>
          </w:tcPr>
          <w:p>
            <w:pPr>
              <w:pStyle w:val="TableParagraph"/>
              <w:jc w:val="left"/>
              <w:rPr>
                <w:sz w:val="16"/>
              </w:rPr>
            </w:pPr>
          </w:p>
        </w:tc>
      </w:tr>
      <w:tr>
        <w:trPr>
          <w:trHeight w:val="287" w:hRule="atLeast"/>
        </w:trPr>
        <w:tc>
          <w:tcPr>
            <w:tcW w:w="2229" w:type="dxa"/>
            <w:tcBorders>
              <w:top w:val="single" w:sz="4" w:space="0" w:color="000000"/>
              <w:bottom w:val="single" w:sz="4" w:space="0" w:color="000000"/>
            </w:tcBorders>
          </w:tcPr>
          <w:p>
            <w:pPr>
              <w:pStyle w:val="TableParagraph"/>
              <w:spacing w:before="52"/>
              <w:ind w:left="119"/>
              <w:jc w:val="left"/>
              <w:rPr>
                <w:b/>
                <w:sz w:val="16"/>
              </w:rPr>
            </w:pPr>
            <w:r>
              <w:rPr>
                <w:b/>
                <w:sz w:val="16"/>
              </w:rPr>
              <w:t>Variance</w:t>
            </w:r>
            <w:r>
              <w:rPr>
                <w:b/>
                <w:spacing w:val="-5"/>
                <w:sz w:val="16"/>
              </w:rPr>
              <w:t> </w:t>
            </w:r>
            <w:r>
              <w:rPr>
                <w:b/>
                <w:sz w:val="16"/>
              </w:rPr>
              <w:t>previous</w:t>
            </w:r>
            <w:r>
              <w:rPr>
                <w:b/>
                <w:spacing w:val="-5"/>
                <w:sz w:val="16"/>
              </w:rPr>
              <w:t> </w:t>
            </w:r>
            <w:r>
              <w:rPr>
                <w:b/>
                <w:sz w:val="16"/>
              </w:rPr>
              <w:t>year</w:t>
            </w:r>
            <w:r>
              <w:rPr>
                <w:b/>
                <w:spacing w:val="-5"/>
                <w:sz w:val="16"/>
              </w:rPr>
              <w:t> </w:t>
            </w:r>
            <w:r>
              <w:rPr>
                <w:b/>
                <w:sz w:val="16"/>
              </w:rPr>
              <w:t>in</w:t>
            </w:r>
            <w:r>
              <w:rPr>
                <w:b/>
                <w:spacing w:val="-7"/>
                <w:sz w:val="16"/>
              </w:rPr>
              <w:t> </w:t>
            </w:r>
            <w:r>
              <w:rPr>
                <w:b/>
                <w:spacing w:val="-10"/>
                <w:sz w:val="16"/>
              </w:rPr>
              <w:t>%</w:t>
            </w:r>
          </w:p>
        </w:tc>
        <w:tc>
          <w:tcPr>
            <w:tcW w:w="903" w:type="dxa"/>
            <w:tcBorders>
              <w:top w:val="single" w:sz="4" w:space="0" w:color="000000"/>
              <w:bottom w:val="single" w:sz="4" w:space="0" w:color="000000"/>
            </w:tcBorders>
          </w:tcPr>
          <w:p>
            <w:pPr>
              <w:pStyle w:val="TableParagraph"/>
              <w:spacing w:before="52"/>
              <w:ind w:right="107"/>
              <w:rPr>
                <w:sz w:val="16"/>
              </w:rPr>
            </w:pPr>
            <w:r>
              <w:rPr>
                <w:spacing w:val="-4"/>
                <w:sz w:val="16"/>
              </w:rPr>
              <w:t>9.1%</w:t>
            </w:r>
          </w:p>
        </w:tc>
        <w:tc>
          <w:tcPr>
            <w:tcW w:w="857" w:type="dxa"/>
            <w:tcBorders>
              <w:top w:val="single" w:sz="4" w:space="0" w:color="000000"/>
              <w:bottom w:val="single" w:sz="4" w:space="0" w:color="000000"/>
            </w:tcBorders>
          </w:tcPr>
          <w:p>
            <w:pPr>
              <w:pStyle w:val="TableParagraph"/>
              <w:spacing w:before="52"/>
              <w:ind w:right="105"/>
              <w:rPr>
                <w:sz w:val="16"/>
              </w:rPr>
            </w:pPr>
            <w:r>
              <w:rPr>
                <w:spacing w:val="-4"/>
                <w:sz w:val="16"/>
              </w:rPr>
              <w:t>4.0%</w:t>
            </w:r>
          </w:p>
        </w:tc>
        <w:tc>
          <w:tcPr>
            <w:tcW w:w="854" w:type="dxa"/>
            <w:tcBorders>
              <w:top w:val="single" w:sz="4" w:space="0" w:color="000000"/>
              <w:bottom w:val="single" w:sz="4" w:space="0" w:color="000000"/>
            </w:tcBorders>
          </w:tcPr>
          <w:p>
            <w:pPr>
              <w:pStyle w:val="TableParagraph"/>
              <w:spacing w:before="52"/>
              <w:ind w:right="104"/>
              <w:rPr>
                <w:sz w:val="16"/>
              </w:rPr>
            </w:pPr>
            <w:r>
              <w:rPr>
                <w:spacing w:val="-4"/>
                <w:sz w:val="16"/>
              </w:rPr>
              <w:t>2.3%</w:t>
            </w:r>
          </w:p>
        </w:tc>
        <w:tc>
          <w:tcPr>
            <w:tcW w:w="857" w:type="dxa"/>
            <w:tcBorders>
              <w:top w:val="single" w:sz="4" w:space="0" w:color="000000"/>
              <w:bottom w:val="single" w:sz="4" w:space="0" w:color="000000"/>
            </w:tcBorders>
          </w:tcPr>
          <w:p>
            <w:pPr>
              <w:pStyle w:val="TableParagraph"/>
              <w:spacing w:before="52"/>
              <w:ind w:right="106"/>
              <w:rPr>
                <w:sz w:val="16"/>
              </w:rPr>
            </w:pPr>
            <w:r>
              <w:rPr>
                <w:spacing w:val="-4"/>
                <w:sz w:val="16"/>
              </w:rPr>
              <w:t>1.8%</w:t>
            </w:r>
          </w:p>
        </w:tc>
        <w:tc>
          <w:tcPr>
            <w:tcW w:w="857" w:type="dxa"/>
            <w:tcBorders>
              <w:top w:val="single" w:sz="4" w:space="0" w:color="000000"/>
              <w:bottom w:val="single" w:sz="4" w:space="0" w:color="000000"/>
            </w:tcBorders>
          </w:tcPr>
          <w:p>
            <w:pPr>
              <w:pStyle w:val="TableParagraph"/>
              <w:spacing w:before="52"/>
              <w:ind w:right="104"/>
              <w:rPr>
                <w:sz w:val="16"/>
              </w:rPr>
            </w:pPr>
            <w:r>
              <w:rPr>
                <w:spacing w:val="-4"/>
                <w:sz w:val="16"/>
              </w:rPr>
              <w:t>1.2%</w:t>
            </w:r>
          </w:p>
        </w:tc>
        <w:tc>
          <w:tcPr>
            <w:tcW w:w="855" w:type="dxa"/>
            <w:tcBorders>
              <w:top w:val="single" w:sz="4" w:space="0" w:color="000000"/>
              <w:bottom w:val="single" w:sz="4" w:space="0" w:color="000000"/>
            </w:tcBorders>
          </w:tcPr>
          <w:p>
            <w:pPr>
              <w:pStyle w:val="TableParagraph"/>
              <w:spacing w:before="52"/>
              <w:ind w:right="109"/>
              <w:rPr>
                <w:sz w:val="16"/>
              </w:rPr>
            </w:pPr>
            <w:r>
              <w:rPr>
                <w:w w:val="95"/>
                <w:sz w:val="16"/>
              </w:rPr>
              <w:t>-</w:t>
            </w:r>
            <w:r>
              <w:rPr>
                <w:spacing w:val="-4"/>
                <w:sz w:val="16"/>
              </w:rPr>
              <w:t>0.1%</w:t>
            </w:r>
          </w:p>
        </w:tc>
        <w:tc>
          <w:tcPr>
            <w:tcW w:w="858" w:type="dxa"/>
            <w:tcBorders>
              <w:top w:val="single" w:sz="4" w:space="0" w:color="000000"/>
              <w:bottom w:val="single" w:sz="4" w:space="0" w:color="000000"/>
            </w:tcBorders>
          </w:tcPr>
          <w:p>
            <w:pPr>
              <w:pStyle w:val="TableParagraph"/>
              <w:spacing w:before="52"/>
              <w:ind w:right="107"/>
              <w:rPr>
                <w:sz w:val="16"/>
              </w:rPr>
            </w:pPr>
            <w:r>
              <w:rPr>
                <w:spacing w:val="-4"/>
                <w:sz w:val="16"/>
              </w:rPr>
              <w:t>4.7%</w:t>
            </w:r>
          </w:p>
        </w:tc>
        <w:tc>
          <w:tcPr>
            <w:tcW w:w="1114" w:type="dxa"/>
            <w:tcBorders>
              <w:top w:val="single" w:sz="4" w:space="0" w:color="000000"/>
              <w:bottom w:val="single" w:sz="4" w:space="0" w:color="000000"/>
            </w:tcBorders>
          </w:tcPr>
          <w:p>
            <w:pPr>
              <w:pStyle w:val="TableParagraph"/>
              <w:spacing w:before="52"/>
              <w:ind w:right="107"/>
              <w:rPr>
                <w:sz w:val="16"/>
              </w:rPr>
            </w:pPr>
            <w:r>
              <w:rPr>
                <w:spacing w:val="-2"/>
                <w:sz w:val="16"/>
              </w:rPr>
              <w:t>14.6%</w:t>
            </w:r>
          </w:p>
        </w:tc>
      </w:tr>
      <w:tr>
        <w:trPr>
          <w:trHeight w:val="287" w:hRule="atLeast"/>
        </w:trPr>
        <w:tc>
          <w:tcPr>
            <w:tcW w:w="2229" w:type="dxa"/>
            <w:tcBorders>
              <w:top w:val="single" w:sz="4" w:space="0" w:color="000000"/>
              <w:bottom w:val="single" w:sz="4" w:space="0" w:color="000000"/>
            </w:tcBorders>
          </w:tcPr>
          <w:p>
            <w:pPr>
              <w:pStyle w:val="TableParagraph"/>
              <w:spacing w:before="47"/>
              <w:ind w:left="119"/>
              <w:jc w:val="left"/>
              <w:rPr>
                <w:b/>
                <w:sz w:val="16"/>
              </w:rPr>
            </w:pPr>
            <w:r>
              <w:rPr>
                <w:b/>
                <w:w w:val="95"/>
                <w:sz w:val="16"/>
              </w:rPr>
              <w:t>Actual</w:t>
            </w:r>
            <w:r>
              <w:rPr>
                <w:b/>
                <w:spacing w:val="13"/>
                <w:sz w:val="16"/>
              </w:rPr>
              <w:t> </w:t>
            </w:r>
            <w:r>
              <w:rPr>
                <w:b/>
                <w:spacing w:val="-2"/>
                <w:sz w:val="16"/>
              </w:rPr>
              <w:t>expenditure</w:t>
            </w:r>
          </w:p>
        </w:tc>
        <w:tc>
          <w:tcPr>
            <w:tcW w:w="903" w:type="dxa"/>
            <w:tcBorders>
              <w:top w:val="single" w:sz="4" w:space="0" w:color="000000"/>
              <w:bottom w:val="single" w:sz="4" w:space="0" w:color="000000"/>
            </w:tcBorders>
          </w:tcPr>
          <w:p>
            <w:pPr>
              <w:pStyle w:val="TableParagraph"/>
              <w:spacing w:before="47"/>
              <w:ind w:right="108"/>
              <w:rPr>
                <w:sz w:val="16"/>
              </w:rPr>
            </w:pPr>
            <w:r>
              <w:rPr>
                <w:spacing w:val="-2"/>
                <w:sz w:val="16"/>
              </w:rPr>
              <w:t>41,960.3</w:t>
            </w:r>
          </w:p>
        </w:tc>
        <w:tc>
          <w:tcPr>
            <w:tcW w:w="857" w:type="dxa"/>
            <w:tcBorders>
              <w:top w:val="single" w:sz="4" w:space="0" w:color="000000"/>
              <w:bottom w:val="single" w:sz="4" w:space="0" w:color="000000"/>
            </w:tcBorders>
          </w:tcPr>
          <w:p>
            <w:pPr>
              <w:pStyle w:val="TableParagraph"/>
              <w:spacing w:before="47"/>
              <w:ind w:right="105"/>
              <w:rPr>
                <w:sz w:val="16"/>
              </w:rPr>
            </w:pPr>
            <w:r>
              <w:rPr>
                <w:spacing w:val="-2"/>
                <w:sz w:val="16"/>
              </w:rPr>
              <w:t>44,432.0</w:t>
            </w:r>
          </w:p>
        </w:tc>
        <w:tc>
          <w:tcPr>
            <w:tcW w:w="854" w:type="dxa"/>
            <w:tcBorders>
              <w:top w:val="single" w:sz="4" w:space="0" w:color="000000"/>
              <w:bottom w:val="single" w:sz="4" w:space="0" w:color="000000"/>
            </w:tcBorders>
          </w:tcPr>
          <w:p>
            <w:pPr>
              <w:pStyle w:val="TableParagraph"/>
              <w:spacing w:before="47"/>
              <w:ind w:right="104"/>
              <w:rPr>
                <w:sz w:val="16"/>
              </w:rPr>
            </w:pPr>
            <w:r>
              <w:rPr>
                <w:spacing w:val="-2"/>
                <w:sz w:val="16"/>
              </w:rPr>
              <w:t>43,735.0</w:t>
            </w:r>
          </w:p>
        </w:tc>
        <w:tc>
          <w:tcPr>
            <w:tcW w:w="857" w:type="dxa"/>
            <w:tcBorders>
              <w:top w:val="single" w:sz="4" w:space="0" w:color="000000"/>
              <w:bottom w:val="single" w:sz="4" w:space="0" w:color="000000"/>
            </w:tcBorders>
          </w:tcPr>
          <w:p>
            <w:pPr>
              <w:pStyle w:val="TableParagraph"/>
              <w:spacing w:before="47"/>
              <w:ind w:right="107"/>
              <w:rPr>
                <w:sz w:val="16"/>
              </w:rPr>
            </w:pPr>
            <w:r>
              <w:rPr>
                <w:spacing w:val="-2"/>
                <w:sz w:val="16"/>
              </w:rPr>
              <w:t>46,447.1</w:t>
            </w:r>
          </w:p>
        </w:tc>
        <w:tc>
          <w:tcPr>
            <w:tcW w:w="857" w:type="dxa"/>
            <w:tcBorders>
              <w:top w:val="single" w:sz="4" w:space="0" w:color="000000"/>
              <w:bottom w:val="single" w:sz="4" w:space="0" w:color="000000"/>
            </w:tcBorders>
          </w:tcPr>
          <w:p>
            <w:pPr>
              <w:pStyle w:val="TableParagraph"/>
              <w:spacing w:before="47"/>
              <w:ind w:right="104"/>
              <w:rPr>
                <w:sz w:val="16"/>
              </w:rPr>
            </w:pPr>
            <w:r>
              <w:rPr>
                <w:spacing w:val="-2"/>
                <w:sz w:val="16"/>
              </w:rPr>
              <w:t>45,015.5</w:t>
            </w:r>
          </w:p>
        </w:tc>
        <w:tc>
          <w:tcPr>
            <w:tcW w:w="855" w:type="dxa"/>
            <w:tcBorders>
              <w:top w:val="single" w:sz="4" w:space="0" w:color="000000"/>
              <w:bottom w:val="single" w:sz="4" w:space="0" w:color="000000"/>
            </w:tcBorders>
          </w:tcPr>
          <w:p>
            <w:pPr>
              <w:pStyle w:val="TableParagraph"/>
              <w:spacing w:before="47"/>
              <w:ind w:right="104"/>
              <w:rPr>
                <w:sz w:val="16"/>
              </w:rPr>
            </w:pPr>
            <w:r>
              <w:rPr>
                <w:spacing w:val="-2"/>
                <w:sz w:val="16"/>
              </w:rPr>
              <w:t>45,285.1</w:t>
            </w:r>
          </w:p>
        </w:tc>
        <w:tc>
          <w:tcPr>
            <w:tcW w:w="858" w:type="dxa"/>
            <w:tcBorders>
              <w:top w:val="single" w:sz="4" w:space="0" w:color="000000"/>
              <w:bottom w:val="single" w:sz="4" w:space="0" w:color="000000"/>
            </w:tcBorders>
          </w:tcPr>
          <w:p>
            <w:pPr>
              <w:pStyle w:val="TableParagraph"/>
              <w:spacing w:before="47"/>
              <w:ind w:right="108"/>
              <w:rPr>
                <w:sz w:val="16"/>
              </w:rPr>
            </w:pPr>
            <w:r>
              <w:rPr>
                <w:spacing w:val="-2"/>
                <w:sz w:val="16"/>
              </w:rPr>
              <w:t>48,706.6</w:t>
            </w:r>
          </w:p>
        </w:tc>
        <w:tc>
          <w:tcPr>
            <w:tcW w:w="1114" w:type="dxa"/>
            <w:tcBorders>
              <w:top w:val="single" w:sz="4" w:space="0" w:color="000000"/>
              <w:bottom w:val="single" w:sz="4" w:space="0" w:color="000000"/>
            </w:tcBorders>
          </w:tcPr>
          <w:p>
            <w:pPr>
              <w:pStyle w:val="TableParagraph"/>
              <w:spacing w:before="47"/>
              <w:ind w:right="107"/>
              <w:rPr>
                <w:sz w:val="16"/>
              </w:rPr>
            </w:pPr>
            <w:r>
              <w:rPr>
                <w:spacing w:val="-2"/>
                <w:sz w:val="16"/>
              </w:rPr>
              <w:t>6,746.3</w:t>
            </w:r>
          </w:p>
        </w:tc>
      </w:tr>
      <w:tr>
        <w:trPr>
          <w:trHeight w:val="282" w:hRule="atLeast"/>
        </w:trPr>
        <w:tc>
          <w:tcPr>
            <w:tcW w:w="2229" w:type="dxa"/>
            <w:tcBorders>
              <w:top w:val="single" w:sz="4" w:space="0" w:color="000000"/>
              <w:bottom w:val="single" w:sz="4" w:space="0" w:color="000000"/>
            </w:tcBorders>
          </w:tcPr>
          <w:p>
            <w:pPr>
              <w:pStyle w:val="TableParagraph"/>
              <w:spacing w:before="47"/>
              <w:ind w:left="119"/>
              <w:jc w:val="left"/>
              <w:rPr>
                <w:b/>
                <w:sz w:val="16"/>
              </w:rPr>
            </w:pPr>
            <w:r>
              <w:rPr>
                <w:b/>
                <w:w w:val="95"/>
                <w:sz w:val="16"/>
              </w:rPr>
              <w:t>Implementation</w:t>
            </w:r>
            <w:r>
              <w:rPr>
                <w:b/>
                <w:spacing w:val="15"/>
                <w:sz w:val="16"/>
              </w:rPr>
              <w:t> </w:t>
            </w:r>
            <w:r>
              <w:rPr>
                <w:b/>
                <w:w w:val="95"/>
                <w:sz w:val="16"/>
              </w:rPr>
              <w:t>rate</w:t>
            </w:r>
            <w:r>
              <w:rPr>
                <w:b/>
                <w:spacing w:val="21"/>
                <w:sz w:val="16"/>
              </w:rPr>
              <w:t> </w:t>
            </w:r>
            <w:r>
              <w:rPr>
                <w:b/>
                <w:w w:val="95"/>
                <w:sz w:val="16"/>
              </w:rPr>
              <w:t>in</w:t>
            </w:r>
            <w:r>
              <w:rPr>
                <w:b/>
                <w:spacing w:val="16"/>
                <w:sz w:val="16"/>
              </w:rPr>
              <w:t> </w:t>
            </w:r>
            <w:r>
              <w:rPr>
                <w:b/>
                <w:spacing w:val="-10"/>
                <w:w w:val="95"/>
                <w:sz w:val="16"/>
              </w:rPr>
              <w:t>%</w:t>
            </w:r>
          </w:p>
        </w:tc>
        <w:tc>
          <w:tcPr>
            <w:tcW w:w="903" w:type="dxa"/>
            <w:tcBorders>
              <w:top w:val="single" w:sz="4" w:space="0" w:color="000000"/>
              <w:bottom w:val="single" w:sz="4" w:space="0" w:color="000000"/>
            </w:tcBorders>
          </w:tcPr>
          <w:p>
            <w:pPr>
              <w:pStyle w:val="TableParagraph"/>
              <w:spacing w:before="47"/>
              <w:ind w:right="108"/>
              <w:rPr>
                <w:sz w:val="16"/>
              </w:rPr>
            </w:pPr>
            <w:r>
              <w:rPr>
                <w:spacing w:val="-2"/>
                <w:sz w:val="16"/>
              </w:rPr>
              <w:t>97.1%</w:t>
            </w:r>
          </w:p>
        </w:tc>
        <w:tc>
          <w:tcPr>
            <w:tcW w:w="857" w:type="dxa"/>
            <w:tcBorders>
              <w:top w:val="single" w:sz="4" w:space="0" w:color="000000"/>
              <w:bottom w:val="single" w:sz="4" w:space="0" w:color="000000"/>
            </w:tcBorders>
          </w:tcPr>
          <w:p>
            <w:pPr>
              <w:pStyle w:val="TableParagraph"/>
              <w:spacing w:before="47"/>
              <w:ind w:right="105"/>
              <w:rPr>
                <w:sz w:val="16"/>
              </w:rPr>
            </w:pPr>
            <w:r>
              <w:rPr>
                <w:spacing w:val="-2"/>
                <w:sz w:val="16"/>
              </w:rPr>
              <w:t>98.8%</w:t>
            </w:r>
          </w:p>
        </w:tc>
        <w:tc>
          <w:tcPr>
            <w:tcW w:w="854" w:type="dxa"/>
            <w:tcBorders>
              <w:top w:val="single" w:sz="4" w:space="0" w:color="000000"/>
              <w:bottom w:val="single" w:sz="4" w:space="0" w:color="000000"/>
            </w:tcBorders>
          </w:tcPr>
          <w:p>
            <w:pPr>
              <w:pStyle w:val="TableParagraph"/>
              <w:spacing w:before="47"/>
              <w:ind w:right="104"/>
              <w:rPr>
                <w:sz w:val="16"/>
              </w:rPr>
            </w:pPr>
            <w:r>
              <w:rPr>
                <w:spacing w:val="-2"/>
                <w:sz w:val="16"/>
              </w:rPr>
              <w:t>95.1%</w:t>
            </w:r>
          </w:p>
        </w:tc>
        <w:tc>
          <w:tcPr>
            <w:tcW w:w="857" w:type="dxa"/>
            <w:tcBorders>
              <w:top w:val="single" w:sz="4" w:space="0" w:color="000000"/>
              <w:bottom w:val="single" w:sz="4" w:space="0" w:color="000000"/>
            </w:tcBorders>
          </w:tcPr>
          <w:p>
            <w:pPr>
              <w:pStyle w:val="TableParagraph"/>
              <w:spacing w:before="47"/>
              <w:ind w:right="107"/>
              <w:rPr>
                <w:sz w:val="16"/>
              </w:rPr>
            </w:pPr>
            <w:r>
              <w:rPr>
                <w:spacing w:val="-2"/>
                <w:sz w:val="16"/>
              </w:rPr>
              <w:t>99.2%</w:t>
            </w:r>
          </w:p>
        </w:tc>
        <w:tc>
          <w:tcPr>
            <w:tcW w:w="857" w:type="dxa"/>
            <w:tcBorders>
              <w:top w:val="single" w:sz="4" w:space="0" w:color="000000"/>
              <w:bottom w:val="single" w:sz="4" w:space="0" w:color="000000"/>
            </w:tcBorders>
          </w:tcPr>
          <w:p>
            <w:pPr>
              <w:pStyle w:val="TableParagraph"/>
              <w:spacing w:before="47"/>
              <w:ind w:right="104"/>
              <w:rPr>
                <w:sz w:val="16"/>
              </w:rPr>
            </w:pPr>
            <w:r>
              <w:rPr>
                <w:spacing w:val="-2"/>
                <w:sz w:val="16"/>
              </w:rPr>
              <w:t>95.0%</w:t>
            </w:r>
          </w:p>
        </w:tc>
        <w:tc>
          <w:tcPr>
            <w:tcW w:w="855" w:type="dxa"/>
            <w:tcBorders>
              <w:top w:val="single" w:sz="4" w:space="0" w:color="000000"/>
              <w:bottom w:val="single" w:sz="4" w:space="0" w:color="000000"/>
            </w:tcBorders>
          </w:tcPr>
          <w:p>
            <w:pPr>
              <w:pStyle w:val="TableParagraph"/>
              <w:spacing w:before="47"/>
              <w:ind w:right="104"/>
              <w:rPr>
                <w:sz w:val="16"/>
              </w:rPr>
            </w:pPr>
            <w:r>
              <w:rPr>
                <w:spacing w:val="-2"/>
                <w:sz w:val="16"/>
              </w:rPr>
              <w:t>95.7%</w:t>
            </w:r>
          </w:p>
        </w:tc>
        <w:tc>
          <w:tcPr>
            <w:tcW w:w="858" w:type="dxa"/>
            <w:tcBorders>
              <w:top w:val="single" w:sz="4" w:space="0" w:color="000000"/>
              <w:bottom w:val="single" w:sz="4" w:space="0" w:color="000000"/>
            </w:tcBorders>
          </w:tcPr>
          <w:p>
            <w:pPr>
              <w:pStyle w:val="TableParagraph"/>
              <w:spacing w:before="47"/>
              <w:ind w:right="107"/>
              <w:rPr>
                <w:sz w:val="16"/>
              </w:rPr>
            </w:pPr>
            <w:r>
              <w:rPr>
                <w:spacing w:val="-2"/>
                <w:sz w:val="16"/>
              </w:rPr>
              <w:t>98.3%</w:t>
            </w:r>
          </w:p>
        </w:tc>
        <w:tc>
          <w:tcPr>
            <w:tcW w:w="1114" w:type="dxa"/>
            <w:tcBorders>
              <w:top w:val="single" w:sz="4" w:space="0" w:color="000000"/>
              <w:bottom w:val="single" w:sz="4" w:space="0" w:color="000000"/>
            </w:tcBorders>
          </w:tcPr>
          <w:p>
            <w:pPr>
              <w:pStyle w:val="TableParagraph"/>
              <w:spacing w:before="47"/>
              <w:ind w:right="108"/>
              <w:rPr>
                <w:sz w:val="16"/>
              </w:rPr>
            </w:pPr>
            <w:r>
              <w:rPr>
                <w:sz w:val="16"/>
              </w:rPr>
              <w:t>Aver.</w:t>
            </w:r>
            <w:r>
              <w:rPr>
                <w:spacing w:val="-5"/>
                <w:sz w:val="16"/>
              </w:rPr>
              <w:t> </w:t>
            </w:r>
            <w:r>
              <w:rPr>
                <w:spacing w:val="-2"/>
                <w:sz w:val="16"/>
              </w:rPr>
              <w:t>97.0%</w:t>
            </w:r>
          </w:p>
        </w:tc>
      </w:tr>
      <w:tr>
        <w:trPr>
          <w:trHeight w:val="287" w:hRule="atLeast"/>
        </w:trPr>
        <w:tc>
          <w:tcPr>
            <w:tcW w:w="2229" w:type="dxa"/>
            <w:tcBorders>
              <w:top w:val="single" w:sz="4" w:space="0" w:color="000000"/>
              <w:bottom w:val="single" w:sz="4" w:space="0" w:color="000000"/>
            </w:tcBorders>
          </w:tcPr>
          <w:p>
            <w:pPr>
              <w:pStyle w:val="TableParagraph"/>
              <w:jc w:val="left"/>
              <w:rPr>
                <w:sz w:val="16"/>
              </w:rPr>
            </w:pPr>
          </w:p>
        </w:tc>
        <w:tc>
          <w:tcPr>
            <w:tcW w:w="903" w:type="dxa"/>
            <w:tcBorders>
              <w:top w:val="single" w:sz="4" w:space="0" w:color="000000"/>
              <w:bottom w:val="single" w:sz="4" w:space="0" w:color="000000"/>
            </w:tcBorders>
          </w:tcPr>
          <w:p>
            <w:pPr>
              <w:pStyle w:val="TableParagraph"/>
              <w:jc w:val="left"/>
              <w:rPr>
                <w:sz w:val="16"/>
              </w:rPr>
            </w:pPr>
          </w:p>
        </w:tc>
        <w:tc>
          <w:tcPr>
            <w:tcW w:w="857" w:type="dxa"/>
            <w:tcBorders>
              <w:top w:val="single" w:sz="4" w:space="0" w:color="000000"/>
              <w:bottom w:val="single" w:sz="4" w:space="0" w:color="000000"/>
            </w:tcBorders>
          </w:tcPr>
          <w:p>
            <w:pPr>
              <w:pStyle w:val="TableParagraph"/>
              <w:jc w:val="left"/>
              <w:rPr>
                <w:sz w:val="16"/>
              </w:rPr>
            </w:pPr>
          </w:p>
        </w:tc>
        <w:tc>
          <w:tcPr>
            <w:tcW w:w="854" w:type="dxa"/>
            <w:tcBorders>
              <w:top w:val="single" w:sz="4" w:space="0" w:color="000000"/>
              <w:bottom w:val="single" w:sz="4" w:space="0" w:color="000000"/>
            </w:tcBorders>
          </w:tcPr>
          <w:p>
            <w:pPr>
              <w:pStyle w:val="TableParagraph"/>
              <w:jc w:val="left"/>
              <w:rPr>
                <w:sz w:val="16"/>
              </w:rPr>
            </w:pPr>
          </w:p>
        </w:tc>
        <w:tc>
          <w:tcPr>
            <w:tcW w:w="857" w:type="dxa"/>
            <w:tcBorders>
              <w:top w:val="single" w:sz="4" w:space="0" w:color="000000"/>
              <w:bottom w:val="single" w:sz="4" w:space="0" w:color="000000"/>
            </w:tcBorders>
          </w:tcPr>
          <w:p>
            <w:pPr>
              <w:pStyle w:val="TableParagraph"/>
              <w:jc w:val="left"/>
              <w:rPr>
                <w:sz w:val="16"/>
              </w:rPr>
            </w:pPr>
          </w:p>
        </w:tc>
        <w:tc>
          <w:tcPr>
            <w:tcW w:w="857" w:type="dxa"/>
            <w:tcBorders>
              <w:top w:val="single" w:sz="4" w:space="0" w:color="000000"/>
              <w:bottom w:val="single" w:sz="4" w:space="0" w:color="000000"/>
            </w:tcBorders>
          </w:tcPr>
          <w:p>
            <w:pPr>
              <w:pStyle w:val="TableParagraph"/>
              <w:jc w:val="left"/>
              <w:rPr>
                <w:sz w:val="16"/>
              </w:rPr>
            </w:pPr>
          </w:p>
        </w:tc>
        <w:tc>
          <w:tcPr>
            <w:tcW w:w="855" w:type="dxa"/>
            <w:tcBorders>
              <w:top w:val="single" w:sz="4" w:space="0" w:color="000000"/>
              <w:bottom w:val="single" w:sz="4" w:space="0" w:color="000000"/>
            </w:tcBorders>
          </w:tcPr>
          <w:p>
            <w:pPr>
              <w:pStyle w:val="TableParagraph"/>
              <w:jc w:val="left"/>
              <w:rPr>
                <w:sz w:val="16"/>
              </w:rPr>
            </w:pPr>
          </w:p>
        </w:tc>
        <w:tc>
          <w:tcPr>
            <w:tcW w:w="858" w:type="dxa"/>
            <w:tcBorders>
              <w:top w:val="single" w:sz="4" w:space="0" w:color="000000"/>
              <w:bottom w:val="single" w:sz="4" w:space="0" w:color="000000"/>
            </w:tcBorders>
          </w:tcPr>
          <w:p>
            <w:pPr>
              <w:pStyle w:val="TableParagraph"/>
              <w:jc w:val="left"/>
              <w:rPr>
                <w:sz w:val="16"/>
              </w:rPr>
            </w:pPr>
          </w:p>
        </w:tc>
        <w:tc>
          <w:tcPr>
            <w:tcW w:w="1114" w:type="dxa"/>
            <w:tcBorders>
              <w:top w:val="single" w:sz="4" w:space="0" w:color="000000"/>
              <w:bottom w:val="single" w:sz="4" w:space="0" w:color="000000"/>
            </w:tcBorders>
          </w:tcPr>
          <w:p>
            <w:pPr>
              <w:pStyle w:val="TableParagraph"/>
              <w:jc w:val="left"/>
              <w:rPr>
                <w:sz w:val="16"/>
              </w:rPr>
            </w:pPr>
          </w:p>
        </w:tc>
      </w:tr>
      <w:tr>
        <w:trPr>
          <w:trHeight w:val="287" w:hRule="atLeast"/>
        </w:trPr>
        <w:tc>
          <w:tcPr>
            <w:tcW w:w="2229" w:type="dxa"/>
            <w:tcBorders>
              <w:top w:val="single" w:sz="4" w:space="0" w:color="000000"/>
              <w:bottom w:val="single" w:sz="4" w:space="0" w:color="000000"/>
            </w:tcBorders>
          </w:tcPr>
          <w:p>
            <w:pPr>
              <w:pStyle w:val="TableParagraph"/>
              <w:spacing w:before="52"/>
              <w:ind w:left="119"/>
              <w:jc w:val="left"/>
              <w:rPr>
                <w:b/>
                <w:i/>
                <w:sz w:val="16"/>
              </w:rPr>
            </w:pPr>
            <w:r>
              <w:rPr>
                <w:b/>
                <w:i/>
                <w:sz w:val="16"/>
              </w:rPr>
              <w:t>MPIII:</w:t>
            </w:r>
            <w:r>
              <w:rPr>
                <w:b/>
                <w:i/>
                <w:spacing w:val="-8"/>
                <w:sz w:val="16"/>
              </w:rPr>
              <w:t> </w:t>
            </w:r>
            <w:r>
              <w:rPr>
                <w:b/>
                <w:i/>
                <w:spacing w:val="-2"/>
                <w:sz w:val="16"/>
              </w:rPr>
              <w:t>Registry</w:t>
            </w:r>
          </w:p>
        </w:tc>
        <w:tc>
          <w:tcPr>
            <w:tcW w:w="903" w:type="dxa"/>
            <w:tcBorders>
              <w:top w:val="single" w:sz="4" w:space="0" w:color="000000"/>
              <w:bottom w:val="single" w:sz="4" w:space="0" w:color="000000"/>
            </w:tcBorders>
          </w:tcPr>
          <w:p>
            <w:pPr>
              <w:pStyle w:val="TableParagraph"/>
              <w:jc w:val="left"/>
              <w:rPr>
                <w:sz w:val="16"/>
              </w:rPr>
            </w:pPr>
          </w:p>
        </w:tc>
        <w:tc>
          <w:tcPr>
            <w:tcW w:w="857" w:type="dxa"/>
            <w:tcBorders>
              <w:top w:val="single" w:sz="4" w:space="0" w:color="000000"/>
              <w:bottom w:val="single" w:sz="4" w:space="0" w:color="000000"/>
            </w:tcBorders>
          </w:tcPr>
          <w:p>
            <w:pPr>
              <w:pStyle w:val="TableParagraph"/>
              <w:jc w:val="left"/>
              <w:rPr>
                <w:sz w:val="16"/>
              </w:rPr>
            </w:pPr>
          </w:p>
        </w:tc>
        <w:tc>
          <w:tcPr>
            <w:tcW w:w="854" w:type="dxa"/>
            <w:tcBorders>
              <w:top w:val="single" w:sz="4" w:space="0" w:color="000000"/>
              <w:bottom w:val="single" w:sz="4" w:space="0" w:color="000000"/>
            </w:tcBorders>
          </w:tcPr>
          <w:p>
            <w:pPr>
              <w:pStyle w:val="TableParagraph"/>
              <w:jc w:val="left"/>
              <w:rPr>
                <w:sz w:val="16"/>
              </w:rPr>
            </w:pPr>
          </w:p>
        </w:tc>
        <w:tc>
          <w:tcPr>
            <w:tcW w:w="857" w:type="dxa"/>
            <w:tcBorders>
              <w:top w:val="single" w:sz="4" w:space="0" w:color="000000"/>
              <w:bottom w:val="single" w:sz="4" w:space="0" w:color="000000"/>
            </w:tcBorders>
          </w:tcPr>
          <w:p>
            <w:pPr>
              <w:pStyle w:val="TableParagraph"/>
              <w:jc w:val="left"/>
              <w:rPr>
                <w:sz w:val="16"/>
              </w:rPr>
            </w:pPr>
          </w:p>
        </w:tc>
        <w:tc>
          <w:tcPr>
            <w:tcW w:w="857" w:type="dxa"/>
            <w:tcBorders>
              <w:top w:val="single" w:sz="4" w:space="0" w:color="000000"/>
              <w:bottom w:val="single" w:sz="4" w:space="0" w:color="000000"/>
            </w:tcBorders>
          </w:tcPr>
          <w:p>
            <w:pPr>
              <w:pStyle w:val="TableParagraph"/>
              <w:jc w:val="left"/>
              <w:rPr>
                <w:sz w:val="16"/>
              </w:rPr>
            </w:pPr>
          </w:p>
        </w:tc>
        <w:tc>
          <w:tcPr>
            <w:tcW w:w="855" w:type="dxa"/>
            <w:tcBorders>
              <w:top w:val="single" w:sz="4" w:space="0" w:color="000000"/>
              <w:bottom w:val="single" w:sz="4" w:space="0" w:color="000000"/>
            </w:tcBorders>
          </w:tcPr>
          <w:p>
            <w:pPr>
              <w:pStyle w:val="TableParagraph"/>
              <w:jc w:val="left"/>
              <w:rPr>
                <w:sz w:val="16"/>
              </w:rPr>
            </w:pPr>
          </w:p>
        </w:tc>
        <w:tc>
          <w:tcPr>
            <w:tcW w:w="858" w:type="dxa"/>
            <w:tcBorders>
              <w:top w:val="single" w:sz="4" w:space="0" w:color="000000"/>
              <w:bottom w:val="single" w:sz="4" w:space="0" w:color="000000"/>
            </w:tcBorders>
          </w:tcPr>
          <w:p>
            <w:pPr>
              <w:pStyle w:val="TableParagraph"/>
              <w:jc w:val="left"/>
              <w:rPr>
                <w:sz w:val="16"/>
              </w:rPr>
            </w:pPr>
          </w:p>
        </w:tc>
        <w:tc>
          <w:tcPr>
            <w:tcW w:w="1114" w:type="dxa"/>
            <w:tcBorders>
              <w:top w:val="single" w:sz="4" w:space="0" w:color="000000"/>
              <w:bottom w:val="single" w:sz="4" w:space="0" w:color="000000"/>
            </w:tcBorders>
          </w:tcPr>
          <w:p>
            <w:pPr>
              <w:pStyle w:val="TableParagraph"/>
              <w:jc w:val="left"/>
              <w:rPr>
                <w:sz w:val="16"/>
              </w:rPr>
            </w:pPr>
          </w:p>
        </w:tc>
      </w:tr>
      <w:tr>
        <w:trPr>
          <w:trHeight w:val="288" w:hRule="atLeast"/>
        </w:trPr>
        <w:tc>
          <w:tcPr>
            <w:tcW w:w="2229" w:type="dxa"/>
            <w:tcBorders>
              <w:top w:val="single" w:sz="4" w:space="0" w:color="000000"/>
              <w:bottom w:val="single" w:sz="4" w:space="0" w:color="000000"/>
            </w:tcBorders>
          </w:tcPr>
          <w:p>
            <w:pPr>
              <w:pStyle w:val="TableParagraph"/>
              <w:spacing w:before="52"/>
              <w:ind w:left="119"/>
              <w:jc w:val="left"/>
              <w:rPr>
                <w:b/>
                <w:sz w:val="16"/>
              </w:rPr>
            </w:pPr>
            <w:r>
              <w:rPr>
                <w:b/>
                <w:spacing w:val="-2"/>
                <w:sz w:val="16"/>
              </w:rPr>
              <w:t>Total</w:t>
            </w:r>
          </w:p>
        </w:tc>
        <w:tc>
          <w:tcPr>
            <w:tcW w:w="903" w:type="dxa"/>
            <w:tcBorders>
              <w:top w:val="single" w:sz="4" w:space="0" w:color="000000"/>
              <w:bottom w:val="single" w:sz="4" w:space="0" w:color="000000"/>
            </w:tcBorders>
          </w:tcPr>
          <w:p>
            <w:pPr>
              <w:pStyle w:val="TableParagraph"/>
              <w:spacing w:before="52"/>
              <w:ind w:right="108"/>
              <w:rPr>
                <w:sz w:val="16"/>
              </w:rPr>
            </w:pPr>
            <w:r>
              <w:rPr>
                <w:spacing w:val="-2"/>
                <w:sz w:val="16"/>
              </w:rPr>
              <w:t>72,759.2</w:t>
            </w:r>
          </w:p>
        </w:tc>
        <w:tc>
          <w:tcPr>
            <w:tcW w:w="857" w:type="dxa"/>
            <w:tcBorders>
              <w:top w:val="single" w:sz="4" w:space="0" w:color="000000"/>
              <w:bottom w:val="single" w:sz="4" w:space="0" w:color="000000"/>
            </w:tcBorders>
          </w:tcPr>
          <w:p>
            <w:pPr>
              <w:pStyle w:val="TableParagraph"/>
              <w:spacing w:before="52"/>
              <w:ind w:right="105"/>
              <w:rPr>
                <w:sz w:val="16"/>
              </w:rPr>
            </w:pPr>
            <w:r>
              <w:rPr>
                <w:spacing w:val="-2"/>
                <w:sz w:val="16"/>
              </w:rPr>
              <w:t>76,632.6</w:t>
            </w:r>
          </w:p>
        </w:tc>
        <w:tc>
          <w:tcPr>
            <w:tcW w:w="854" w:type="dxa"/>
            <w:tcBorders>
              <w:top w:val="single" w:sz="4" w:space="0" w:color="000000"/>
              <w:bottom w:val="single" w:sz="4" w:space="0" w:color="000000"/>
            </w:tcBorders>
          </w:tcPr>
          <w:p>
            <w:pPr>
              <w:pStyle w:val="TableParagraph"/>
              <w:spacing w:before="52"/>
              <w:ind w:right="104"/>
              <w:rPr>
                <w:sz w:val="16"/>
              </w:rPr>
            </w:pPr>
            <w:r>
              <w:rPr>
                <w:spacing w:val="-2"/>
                <w:sz w:val="16"/>
              </w:rPr>
              <w:t>77,142.5</w:t>
            </w:r>
          </w:p>
        </w:tc>
        <w:tc>
          <w:tcPr>
            <w:tcW w:w="857" w:type="dxa"/>
            <w:tcBorders>
              <w:top w:val="single" w:sz="4" w:space="0" w:color="000000"/>
              <w:bottom w:val="single" w:sz="4" w:space="0" w:color="000000"/>
            </w:tcBorders>
          </w:tcPr>
          <w:p>
            <w:pPr>
              <w:pStyle w:val="TableParagraph"/>
              <w:spacing w:before="52"/>
              <w:ind w:right="107"/>
              <w:rPr>
                <w:sz w:val="16"/>
              </w:rPr>
            </w:pPr>
            <w:r>
              <w:rPr>
                <w:spacing w:val="-2"/>
                <w:sz w:val="16"/>
              </w:rPr>
              <w:t>76,651.2</w:t>
            </w:r>
          </w:p>
        </w:tc>
        <w:tc>
          <w:tcPr>
            <w:tcW w:w="857" w:type="dxa"/>
            <w:tcBorders>
              <w:top w:val="single" w:sz="4" w:space="0" w:color="000000"/>
              <w:bottom w:val="single" w:sz="4" w:space="0" w:color="000000"/>
            </w:tcBorders>
          </w:tcPr>
          <w:p>
            <w:pPr>
              <w:pStyle w:val="TableParagraph"/>
              <w:spacing w:before="52"/>
              <w:ind w:right="104"/>
              <w:rPr>
                <w:sz w:val="16"/>
              </w:rPr>
            </w:pPr>
            <w:r>
              <w:rPr>
                <w:spacing w:val="-2"/>
                <w:sz w:val="16"/>
              </w:rPr>
              <w:t>75,916.9</w:t>
            </w:r>
          </w:p>
        </w:tc>
        <w:tc>
          <w:tcPr>
            <w:tcW w:w="855" w:type="dxa"/>
            <w:tcBorders>
              <w:top w:val="single" w:sz="4" w:space="0" w:color="000000"/>
              <w:bottom w:val="single" w:sz="4" w:space="0" w:color="000000"/>
            </w:tcBorders>
          </w:tcPr>
          <w:p>
            <w:pPr>
              <w:pStyle w:val="TableParagraph"/>
              <w:spacing w:before="52"/>
              <w:ind w:right="104"/>
              <w:rPr>
                <w:sz w:val="16"/>
              </w:rPr>
            </w:pPr>
            <w:r>
              <w:rPr>
                <w:spacing w:val="-2"/>
                <w:sz w:val="16"/>
              </w:rPr>
              <w:t>75,784.0</w:t>
            </w:r>
          </w:p>
        </w:tc>
        <w:tc>
          <w:tcPr>
            <w:tcW w:w="858" w:type="dxa"/>
            <w:tcBorders>
              <w:top w:val="single" w:sz="4" w:space="0" w:color="000000"/>
              <w:bottom w:val="single" w:sz="4" w:space="0" w:color="000000"/>
            </w:tcBorders>
          </w:tcPr>
          <w:p>
            <w:pPr>
              <w:pStyle w:val="TableParagraph"/>
              <w:spacing w:before="52"/>
              <w:ind w:right="108"/>
              <w:rPr>
                <w:sz w:val="16"/>
              </w:rPr>
            </w:pPr>
            <w:r>
              <w:rPr>
                <w:spacing w:val="-2"/>
                <w:sz w:val="16"/>
              </w:rPr>
              <w:t>79,219.2</w:t>
            </w:r>
          </w:p>
        </w:tc>
        <w:tc>
          <w:tcPr>
            <w:tcW w:w="1114" w:type="dxa"/>
            <w:tcBorders>
              <w:top w:val="single" w:sz="4" w:space="0" w:color="000000"/>
              <w:bottom w:val="single" w:sz="4" w:space="0" w:color="000000"/>
            </w:tcBorders>
          </w:tcPr>
          <w:p>
            <w:pPr>
              <w:pStyle w:val="TableParagraph"/>
              <w:spacing w:before="52"/>
              <w:ind w:right="107"/>
              <w:rPr>
                <w:sz w:val="16"/>
              </w:rPr>
            </w:pPr>
            <w:r>
              <w:rPr>
                <w:spacing w:val="-2"/>
                <w:sz w:val="16"/>
              </w:rPr>
              <w:t>6,460.0</w:t>
            </w:r>
          </w:p>
        </w:tc>
      </w:tr>
      <w:tr>
        <w:trPr>
          <w:trHeight w:val="287" w:hRule="atLeast"/>
        </w:trPr>
        <w:tc>
          <w:tcPr>
            <w:tcW w:w="2229" w:type="dxa"/>
            <w:tcBorders>
              <w:top w:val="single" w:sz="4" w:space="0" w:color="000000"/>
              <w:bottom w:val="single" w:sz="4" w:space="0" w:color="000000"/>
            </w:tcBorders>
          </w:tcPr>
          <w:p>
            <w:pPr>
              <w:pStyle w:val="TableParagraph"/>
              <w:spacing w:before="52"/>
              <w:ind w:left="119"/>
              <w:jc w:val="left"/>
              <w:rPr>
                <w:b/>
                <w:sz w:val="16"/>
              </w:rPr>
            </w:pPr>
            <w:r>
              <w:rPr>
                <w:b/>
                <w:sz w:val="16"/>
              </w:rPr>
              <w:t>Variance</w:t>
            </w:r>
            <w:r>
              <w:rPr>
                <w:b/>
                <w:spacing w:val="-8"/>
                <w:sz w:val="16"/>
              </w:rPr>
              <w:t> </w:t>
            </w:r>
            <w:r>
              <w:rPr>
                <w:b/>
                <w:sz w:val="16"/>
              </w:rPr>
              <w:t>previous</w:t>
            </w:r>
            <w:r>
              <w:rPr>
                <w:b/>
                <w:spacing w:val="-8"/>
                <w:sz w:val="16"/>
              </w:rPr>
              <w:t> </w:t>
            </w:r>
            <w:r>
              <w:rPr>
                <w:b/>
                <w:spacing w:val="-4"/>
                <w:sz w:val="16"/>
              </w:rPr>
              <w:t>year</w:t>
            </w:r>
          </w:p>
        </w:tc>
        <w:tc>
          <w:tcPr>
            <w:tcW w:w="903" w:type="dxa"/>
            <w:tcBorders>
              <w:top w:val="single" w:sz="4" w:space="0" w:color="000000"/>
              <w:bottom w:val="single" w:sz="4" w:space="0" w:color="000000"/>
            </w:tcBorders>
          </w:tcPr>
          <w:p>
            <w:pPr>
              <w:pStyle w:val="TableParagraph"/>
              <w:spacing w:before="52"/>
              <w:ind w:right="108"/>
              <w:rPr>
                <w:sz w:val="16"/>
              </w:rPr>
            </w:pPr>
            <w:r>
              <w:rPr>
                <w:spacing w:val="-2"/>
                <w:sz w:val="16"/>
              </w:rPr>
              <w:t>7,733.3</w:t>
            </w:r>
          </w:p>
        </w:tc>
        <w:tc>
          <w:tcPr>
            <w:tcW w:w="857" w:type="dxa"/>
            <w:tcBorders>
              <w:top w:val="single" w:sz="4" w:space="0" w:color="000000"/>
              <w:bottom w:val="single" w:sz="4" w:space="0" w:color="000000"/>
            </w:tcBorders>
          </w:tcPr>
          <w:p>
            <w:pPr>
              <w:pStyle w:val="TableParagraph"/>
              <w:spacing w:before="52"/>
              <w:ind w:right="105"/>
              <w:rPr>
                <w:sz w:val="16"/>
              </w:rPr>
            </w:pPr>
            <w:r>
              <w:rPr>
                <w:spacing w:val="-2"/>
                <w:sz w:val="16"/>
              </w:rPr>
              <w:t>3,873.4</w:t>
            </w:r>
          </w:p>
        </w:tc>
        <w:tc>
          <w:tcPr>
            <w:tcW w:w="854" w:type="dxa"/>
            <w:tcBorders>
              <w:top w:val="single" w:sz="4" w:space="0" w:color="000000"/>
              <w:bottom w:val="single" w:sz="4" w:space="0" w:color="000000"/>
            </w:tcBorders>
          </w:tcPr>
          <w:p>
            <w:pPr>
              <w:pStyle w:val="TableParagraph"/>
              <w:spacing w:before="52"/>
              <w:ind w:right="104"/>
              <w:rPr>
                <w:sz w:val="16"/>
              </w:rPr>
            </w:pPr>
            <w:r>
              <w:rPr>
                <w:spacing w:val="-2"/>
                <w:sz w:val="16"/>
              </w:rPr>
              <w:t>509.9</w:t>
            </w:r>
          </w:p>
        </w:tc>
        <w:tc>
          <w:tcPr>
            <w:tcW w:w="857" w:type="dxa"/>
            <w:tcBorders>
              <w:top w:val="single" w:sz="4" w:space="0" w:color="000000"/>
              <w:bottom w:val="single" w:sz="4" w:space="0" w:color="000000"/>
            </w:tcBorders>
          </w:tcPr>
          <w:p>
            <w:pPr>
              <w:pStyle w:val="TableParagraph"/>
              <w:spacing w:before="52"/>
              <w:ind w:right="107"/>
              <w:rPr>
                <w:sz w:val="16"/>
              </w:rPr>
            </w:pPr>
            <w:r>
              <w:rPr>
                <w:w w:val="95"/>
                <w:sz w:val="16"/>
              </w:rPr>
              <w:t>-</w:t>
            </w:r>
            <w:r>
              <w:rPr>
                <w:spacing w:val="-2"/>
                <w:sz w:val="16"/>
              </w:rPr>
              <w:t>491.3</w:t>
            </w:r>
          </w:p>
        </w:tc>
        <w:tc>
          <w:tcPr>
            <w:tcW w:w="857" w:type="dxa"/>
            <w:tcBorders>
              <w:top w:val="single" w:sz="4" w:space="0" w:color="000000"/>
              <w:bottom w:val="single" w:sz="4" w:space="0" w:color="000000"/>
            </w:tcBorders>
          </w:tcPr>
          <w:p>
            <w:pPr>
              <w:pStyle w:val="TableParagraph"/>
              <w:spacing w:before="52"/>
              <w:ind w:right="104"/>
              <w:rPr>
                <w:sz w:val="16"/>
              </w:rPr>
            </w:pPr>
            <w:r>
              <w:rPr>
                <w:w w:val="95"/>
                <w:sz w:val="16"/>
              </w:rPr>
              <w:t>-</w:t>
            </w:r>
            <w:r>
              <w:rPr>
                <w:spacing w:val="-2"/>
                <w:sz w:val="16"/>
              </w:rPr>
              <w:t>734.3</w:t>
            </w:r>
          </w:p>
        </w:tc>
        <w:tc>
          <w:tcPr>
            <w:tcW w:w="855" w:type="dxa"/>
            <w:tcBorders>
              <w:top w:val="single" w:sz="4" w:space="0" w:color="000000"/>
              <w:bottom w:val="single" w:sz="4" w:space="0" w:color="000000"/>
            </w:tcBorders>
          </w:tcPr>
          <w:p>
            <w:pPr>
              <w:pStyle w:val="TableParagraph"/>
              <w:spacing w:before="52"/>
              <w:ind w:right="104"/>
              <w:rPr>
                <w:sz w:val="16"/>
              </w:rPr>
            </w:pPr>
            <w:r>
              <w:rPr>
                <w:w w:val="95"/>
                <w:sz w:val="16"/>
              </w:rPr>
              <w:t>-</w:t>
            </w:r>
            <w:r>
              <w:rPr>
                <w:spacing w:val="-2"/>
                <w:sz w:val="16"/>
              </w:rPr>
              <w:t>132.9</w:t>
            </w:r>
          </w:p>
        </w:tc>
        <w:tc>
          <w:tcPr>
            <w:tcW w:w="858" w:type="dxa"/>
            <w:tcBorders>
              <w:top w:val="single" w:sz="4" w:space="0" w:color="000000"/>
              <w:bottom w:val="single" w:sz="4" w:space="0" w:color="000000"/>
            </w:tcBorders>
          </w:tcPr>
          <w:p>
            <w:pPr>
              <w:pStyle w:val="TableParagraph"/>
              <w:spacing w:before="52"/>
              <w:ind w:right="107"/>
              <w:rPr>
                <w:sz w:val="16"/>
              </w:rPr>
            </w:pPr>
            <w:r>
              <w:rPr>
                <w:spacing w:val="-2"/>
                <w:sz w:val="16"/>
              </w:rPr>
              <w:t>3,435.2</w:t>
            </w:r>
          </w:p>
        </w:tc>
        <w:tc>
          <w:tcPr>
            <w:tcW w:w="1114" w:type="dxa"/>
            <w:tcBorders>
              <w:top w:val="single" w:sz="4" w:space="0" w:color="000000"/>
              <w:bottom w:val="single" w:sz="4" w:space="0" w:color="000000"/>
            </w:tcBorders>
          </w:tcPr>
          <w:p>
            <w:pPr>
              <w:pStyle w:val="TableParagraph"/>
              <w:jc w:val="left"/>
              <w:rPr>
                <w:sz w:val="16"/>
              </w:rPr>
            </w:pPr>
          </w:p>
        </w:tc>
      </w:tr>
      <w:tr>
        <w:trPr>
          <w:trHeight w:val="287" w:hRule="atLeast"/>
        </w:trPr>
        <w:tc>
          <w:tcPr>
            <w:tcW w:w="2229" w:type="dxa"/>
            <w:tcBorders>
              <w:top w:val="single" w:sz="4" w:space="0" w:color="000000"/>
              <w:bottom w:val="single" w:sz="4" w:space="0" w:color="000000"/>
            </w:tcBorders>
          </w:tcPr>
          <w:p>
            <w:pPr>
              <w:pStyle w:val="TableParagraph"/>
              <w:spacing w:before="52"/>
              <w:ind w:left="119"/>
              <w:jc w:val="left"/>
              <w:rPr>
                <w:b/>
                <w:sz w:val="16"/>
              </w:rPr>
            </w:pPr>
            <w:r>
              <w:rPr>
                <w:b/>
                <w:sz w:val="16"/>
              </w:rPr>
              <w:t>Variance</w:t>
            </w:r>
            <w:r>
              <w:rPr>
                <w:b/>
                <w:spacing w:val="-5"/>
                <w:sz w:val="16"/>
              </w:rPr>
              <w:t> </w:t>
            </w:r>
            <w:r>
              <w:rPr>
                <w:b/>
                <w:sz w:val="16"/>
              </w:rPr>
              <w:t>previous</w:t>
            </w:r>
            <w:r>
              <w:rPr>
                <w:b/>
                <w:spacing w:val="-5"/>
                <w:sz w:val="16"/>
              </w:rPr>
              <w:t> </w:t>
            </w:r>
            <w:r>
              <w:rPr>
                <w:b/>
                <w:sz w:val="16"/>
              </w:rPr>
              <w:t>year</w:t>
            </w:r>
            <w:r>
              <w:rPr>
                <w:b/>
                <w:spacing w:val="-5"/>
                <w:sz w:val="16"/>
              </w:rPr>
              <w:t> </w:t>
            </w:r>
            <w:r>
              <w:rPr>
                <w:b/>
                <w:sz w:val="16"/>
              </w:rPr>
              <w:t>in</w:t>
            </w:r>
            <w:r>
              <w:rPr>
                <w:b/>
                <w:spacing w:val="-7"/>
                <w:sz w:val="16"/>
              </w:rPr>
              <w:t> </w:t>
            </w:r>
            <w:r>
              <w:rPr>
                <w:b/>
                <w:spacing w:val="-10"/>
                <w:sz w:val="16"/>
              </w:rPr>
              <w:t>%</w:t>
            </w:r>
          </w:p>
        </w:tc>
        <w:tc>
          <w:tcPr>
            <w:tcW w:w="903" w:type="dxa"/>
            <w:tcBorders>
              <w:top w:val="single" w:sz="4" w:space="0" w:color="000000"/>
              <w:bottom w:val="single" w:sz="4" w:space="0" w:color="000000"/>
            </w:tcBorders>
          </w:tcPr>
          <w:p>
            <w:pPr>
              <w:pStyle w:val="TableParagraph"/>
              <w:spacing w:before="52"/>
              <w:ind w:right="108"/>
              <w:rPr>
                <w:sz w:val="16"/>
              </w:rPr>
            </w:pPr>
            <w:r>
              <w:rPr>
                <w:spacing w:val="-2"/>
                <w:sz w:val="16"/>
              </w:rPr>
              <w:t>11.9%</w:t>
            </w:r>
          </w:p>
        </w:tc>
        <w:tc>
          <w:tcPr>
            <w:tcW w:w="857" w:type="dxa"/>
            <w:tcBorders>
              <w:top w:val="single" w:sz="4" w:space="0" w:color="000000"/>
              <w:bottom w:val="single" w:sz="4" w:space="0" w:color="000000"/>
            </w:tcBorders>
          </w:tcPr>
          <w:p>
            <w:pPr>
              <w:pStyle w:val="TableParagraph"/>
              <w:spacing w:before="52"/>
              <w:ind w:right="105"/>
              <w:rPr>
                <w:sz w:val="16"/>
              </w:rPr>
            </w:pPr>
            <w:r>
              <w:rPr>
                <w:spacing w:val="-4"/>
                <w:sz w:val="16"/>
              </w:rPr>
              <w:t>5.3%</w:t>
            </w:r>
          </w:p>
        </w:tc>
        <w:tc>
          <w:tcPr>
            <w:tcW w:w="854" w:type="dxa"/>
            <w:tcBorders>
              <w:top w:val="single" w:sz="4" w:space="0" w:color="000000"/>
              <w:bottom w:val="single" w:sz="4" w:space="0" w:color="000000"/>
            </w:tcBorders>
          </w:tcPr>
          <w:p>
            <w:pPr>
              <w:pStyle w:val="TableParagraph"/>
              <w:spacing w:before="52"/>
              <w:ind w:right="104"/>
              <w:rPr>
                <w:sz w:val="16"/>
              </w:rPr>
            </w:pPr>
            <w:r>
              <w:rPr>
                <w:spacing w:val="-4"/>
                <w:sz w:val="16"/>
              </w:rPr>
              <w:t>0.7%</w:t>
            </w:r>
          </w:p>
        </w:tc>
        <w:tc>
          <w:tcPr>
            <w:tcW w:w="857" w:type="dxa"/>
            <w:tcBorders>
              <w:top w:val="single" w:sz="4" w:space="0" w:color="000000"/>
              <w:bottom w:val="single" w:sz="4" w:space="0" w:color="000000"/>
            </w:tcBorders>
          </w:tcPr>
          <w:p>
            <w:pPr>
              <w:pStyle w:val="TableParagraph"/>
              <w:spacing w:before="52"/>
              <w:ind w:right="111"/>
              <w:rPr>
                <w:sz w:val="16"/>
              </w:rPr>
            </w:pPr>
            <w:r>
              <w:rPr>
                <w:w w:val="95"/>
                <w:sz w:val="16"/>
              </w:rPr>
              <w:t>-</w:t>
            </w:r>
            <w:r>
              <w:rPr>
                <w:spacing w:val="-4"/>
                <w:sz w:val="16"/>
              </w:rPr>
              <w:t>0.6%</w:t>
            </w:r>
          </w:p>
        </w:tc>
        <w:tc>
          <w:tcPr>
            <w:tcW w:w="857" w:type="dxa"/>
            <w:tcBorders>
              <w:top w:val="single" w:sz="4" w:space="0" w:color="000000"/>
              <w:bottom w:val="single" w:sz="4" w:space="0" w:color="000000"/>
            </w:tcBorders>
          </w:tcPr>
          <w:p>
            <w:pPr>
              <w:pStyle w:val="TableParagraph"/>
              <w:spacing w:before="52"/>
              <w:ind w:right="109"/>
              <w:rPr>
                <w:sz w:val="16"/>
              </w:rPr>
            </w:pPr>
            <w:r>
              <w:rPr>
                <w:w w:val="95"/>
                <w:sz w:val="16"/>
              </w:rPr>
              <w:t>-</w:t>
            </w:r>
            <w:r>
              <w:rPr>
                <w:spacing w:val="-4"/>
                <w:sz w:val="16"/>
              </w:rPr>
              <w:t>1.0%</w:t>
            </w:r>
          </w:p>
        </w:tc>
        <w:tc>
          <w:tcPr>
            <w:tcW w:w="855" w:type="dxa"/>
            <w:tcBorders>
              <w:top w:val="single" w:sz="4" w:space="0" w:color="000000"/>
              <w:bottom w:val="single" w:sz="4" w:space="0" w:color="000000"/>
            </w:tcBorders>
          </w:tcPr>
          <w:p>
            <w:pPr>
              <w:pStyle w:val="TableParagraph"/>
              <w:spacing w:before="52"/>
              <w:ind w:right="109"/>
              <w:rPr>
                <w:sz w:val="16"/>
              </w:rPr>
            </w:pPr>
            <w:r>
              <w:rPr>
                <w:w w:val="95"/>
                <w:sz w:val="16"/>
              </w:rPr>
              <w:t>-</w:t>
            </w:r>
            <w:r>
              <w:rPr>
                <w:spacing w:val="-4"/>
                <w:sz w:val="16"/>
              </w:rPr>
              <w:t>0.2%</w:t>
            </w:r>
          </w:p>
        </w:tc>
        <w:tc>
          <w:tcPr>
            <w:tcW w:w="858" w:type="dxa"/>
            <w:tcBorders>
              <w:top w:val="single" w:sz="4" w:space="0" w:color="000000"/>
              <w:bottom w:val="single" w:sz="4" w:space="0" w:color="000000"/>
            </w:tcBorders>
          </w:tcPr>
          <w:p>
            <w:pPr>
              <w:pStyle w:val="TableParagraph"/>
              <w:spacing w:before="52"/>
              <w:ind w:right="107"/>
              <w:rPr>
                <w:sz w:val="16"/>
              </w:rPr>
            </w:pPr>
            <w:r>
              <w:rPr>
                <w:spacing w:val="-4"/>
                <w:sz w:val="16"/>
              </w:rPr>
              <w:t>4.5%</w:t>
            </w:r>
          </w:p>
        </w:tc>
        <w:tc>
          <w:tcPr>
            <w:tcW w:w="1114" w:type="dxa"/>
            <w:tcBorders>
              <w:top w:val="single" w:sz="4" w:space="0" w:color="000000"/>
              <w:bottom w:val="single" w:sz="4" w:space="0" w:color="000000"/>
            </w:tcBorders>
          </w:tcPr>
          <w:p>
            <w:pPr>
              <w:pStyle w:val="TableParagraph"/>
              <w:spacing w:before="52"/>
              <w:ind w:right="107"/>
              <w:rPr>
                <w:sz w:val="16"/>
              </w:rPr>
            </w:pPr>
            <w:r>
              <w:rPr>
                <w:spacing w:val="-4"/>
                <w:sz w:val="16"/>
              </w:rPr>
              <w:t>8.9%</w:t>
            </w:r>
          </w:p>
        </w:tc>
      </w:tr>
      <w:tr>
        <w:trPr>
          <w:trHeight w:val="287" w:hRule="atLeast"/>
        </w:trPr>
        <w:tc>
          <w:tcPr>
            <w:tcW w:w="2229" w:type="dxa"/>
            <w:tcBorders>
              <w:top w:val="single" w:sz="4" w:space="0" w:color="000000"/>
              <w:bottom w:val="single" w:sz="4" w:space="0" w:color="000000"/>
            </w:tcBorders>
          </w:tcPr>
          <w:p>
            <w:pPr>
              <w:pStyle w:val="TableParagraph"/>
              <w:spacing w:before="52"/>
              <w:ind w:left="119"/>
              <w:jc w:val="left"/>
              <w:rPr>
                <w:b/>
                <w:sz w:val="16"/>
              </w:rPr>
            </w:pPr>
            <w:r>
              <w:rPr>
                <w:b/>
                <w:w w:val="95"/>
                <w:sz w:val="16"/>
              </w:rPr>
              <w:t>Actual</w:t>
            </w:r>
            <w:r>
              <w:rPr>
                <w:b/>
                <w:spacing w:val="13"/>
                <w:sz w:val="16"/>
              </w:rPr>
              <w:t> </w:t>
            </w:r>
            <w:r>
              <w:rPr>
                <w:b/>
                <w:spacing w:val="-2"/>
                <w:sz w:val="16"/>
              </w:rPr>
              <w:t>expenditure</w:t>
            </w:r>
          </w:p>
        </w:tc>
        <w:tc>
          <w:tcPr>
            <w:tcW w:w="903" w:type="dxa"/>
            <w:tcBorders>
              <w:top w:val="single" w:sz="4" w:space="0" w:color="000000"/>
              <w:bottom w:val="single" w:sz="4" w:space="0" w:color="000000"/>
            </w:tcBorders>
          </w:tcPr>
          <w:p>
            <w:pPr>
              <w:pStyle w:val="TableParagraph"/>
              <w:spacing w:before="52"/>
              <w:ind w:right="108"/>
              <w:rPr>
                <w:sz w:val="16"/>
              </w:rPr>
            </w:pPr>
            <w:r>
              <w:rPr>
                <w:spacing w:val="-2"/>
                <w:sz w:val="16"/>
              </w:rPr>
              <w:t>73,278.6</w:t>
            </w:r>
          </w:p>
        </w:tc>
        <w:tc>
          <w:tcPr>
            <w:tcW w:w="857" w:type="dxa"/>
            <w:tcBorders>
              <w:top w:val="single" w:sz="4" w:space="0" w:color="000000"/>
              <w:bottom w:val="single" w:sz="4" w:space="0" w:color="000000"/>
            </w:tcBorders>
          </w:tcPr>
          <w:p>
            <w:pPr>
              <w:pStyle w:val="TableParagraph"/>
              <w:spacing w:before="52"/>
              <w:ind w:right="105"/>
              <w:rPr>
                <w:sz w:val="16"/>
              </w:rPr>
            </w:pPr>
            <w:r>
              <w:rPr>
                <w:spacing w:val="-2"/>
                <w:sz w:val="16"/>
              </w:rPr>
              <w:t>78,811.5</w:t>
            </w:r>
          </w:p>
        </w:tc>
        <w:tc>
          <w:tcPr>
            <w:tcW w:w="854" w:type="dxa"/>
            <w:tcBorders>
              <w:top w:val="single" w:sz="4" w:space="0" w:color="000000"/>
              <w:bottom w:val="single" w:sz="4" w:space="0" w:color="000000"/>
            </w:tcBorders>
          </w:tcPr>
          <w:p>
            <w:pPr>
              <w:pStyle w:val="TableParagraph"/>
              <w:spacing w:before="52"/>
              <w:ind w:right="104"/>
              <w:rPr>
                <w:sz w:val="16"/>
              </w:rPr>
            </w:pPr>
            <w:r>
              <w:rPr>
                <w:spacing w:val="-2"/>
                <w:sz w:val="16"/>
              </w:rPr>
              <w:t>75,956.2</w:t>
            </w:r>
          </w:p>
        </w:tc>
        <w:tc>
          <w:tcPr>
            <w:tcW w:w="857" w:type="dxa"/>
            <w:tcBorders>
              <w:top w:val="single" w:sz="4" w:space="0" w:color="000000"/>
              <w:bottom w:val="single" w:sz="4" w:space="0" w:color="000000"/>
            </w:tcBorders>
          </w:tcPr>
          <w:p>
            <w:pPr>
              <w:pStyle w:val="TableParagraph"/>
              <w:spacing w:before="52"/>
              <w:ind w:right="107"/>
              <w:rPr>
                <w:sz w:val="16"/>
              </w:rPr>
            </w:pPr>
            <w:r>
              <w:rPr>
                <w:spacing w:val="-2"/>
                <w:sz w:val="16"/>
              </w:rPr>
              <w:t>77,360.5</w:t>
            </w:r>
          </w:p>
        </w:tc>
        <w:tc>
          <w:tcPr>
            <w:tcW w:w="857" w:type="dxa"/>
            <w:tcBorders>
              <w:top w:val="single" w:sz="4" w:space="0" w:color="000000"/>
              <w:bottom w:val="single" w:sz="4" w:space="0" w:color="000000"/>
            </w:tcBorders>
          </w:tcPr>
          <w:p>
            <w:pPr>
              <w:pStyle w:val="TableParagraph"/>
              <w:spacing w:before="52"/>
              <w:ind w:right="104"/>
              <w:rPr>
                <w:sz w:val="16"/>
              </w:rPr>
            </w:pPr>
            <w:r>
              <w:rPr>
                <w:spacing w:val="-2"/>
                <w:sz w:val="16"/>
              </w:rPr>
              <w:t>75,410.0</w:t>
            </w:r>
          </w:p>
        </w:tc>
        <w:tc>
          <w:tcPr>
            <w:tcW w:w="855" w:type="dxa"/>
            <w:tcBorders>
              <w:top w:val="single" w:sz="4" w:space="0" w:color="000000"/>
              <w:bottom w:val="single" w:sz="4" w:space="0" w:color="000000"/>
            </w:tcBorders>
          </w:tcPr>
          <w:p>
            <w:pPr>
              <w:pStyle w:val="TableParagraph"/>
              <w:spacing w:before="52"/>
              <w:ind w:right="104"/>
              <w:rPr>
                <w:sz w:val="16"/>
              </w:rPr>
            </w:pPr>
            <w:r>
              <w:rPr>
                <w:spacing w:val="-2"/>
                <w:sz w:val="16"/>
              </w:rPr>
              <w:t>75,708.2</w:t>
            </w:r>
          </w:p>
        </w:tc>
        <w:tc>
          <w:tcPr>
            <w:tcW w:w="858" w:type="dxa"/>
            <w:tcBorders>
              <w:top w:val="single" w:sz="4" w:space="0" w:color="000000"/>
              <w:bottom w:val="single" w:sz="4" w:space="0" w:color="000000"/>
            </w:tcBorders>
          </w:tcPr>
          <w:p>
            <w:pPr>
              <w:pStyle w:val="TableParagraph"/>
              <w:spacing w:before="52"/>
              <w:ind w:right="108"/>
              <w:rPr>
                <w:sz w:val="16"/>
              </w:rPr>
            </w:pPr>
            <w:r>
              <w:rPr>
                <w:spacing w:val="-2"/>
                <w:sz w:val="16"/>
              </w:rPr>
              <w:t>77,742.6</w:t>
            </w:r>
          </w:p>
        </w:tc>
        <w:tc>
          <w:tcPr>
            <w:tcW w:w="1114" w:type="dxa"/>
            <w:tcBorders>
              <w:top w:val="single" w:sz="4" w:space="0" w:color="000000"/>
              <w:bottom w:val="single" w:sz="4" w:space="0" w:color="000000"/>
            </w:tcBorders>
          </w:tcPr>
          <w:p>
            <w:pPr>
              <w:pStyle w:val="TableParagraph"/>
              <w:spacing w:before="52"/>
              <w:ind w:right="107"/>
              <w:rPr>
                <w:sz w:val="16"/>
              </w:rPr>
            </w:pPr>
            <w:r>
              <w:rPr>
                <w:spacing w:val="-2"/>
                <w:sz w:val="16"/>
              </w:rPr>
              <w:t>4,464.0</w:t>
            </w:r>
          </w:p>
        </w:tc>
      </w:tr>
      <w:tr>
        <w:trPr>
          <w:trHeight w:val="287" w:hRule="atLeast"/>
        </w:trPr>
        <w:tc>
          <w:tcPr>
            <w:tcW w:w="2229" w:type="dxa"/>
            <w:tcBorders>
              <w:top w:val="single" w:sz="4" w:space="0" w:color="000000"/>
              <w:bottom w:val="single" w:sz="4" w:space="0" w:color="000000"/>
            </w:tcBorders>
          </w:tcPr>
          <w:p>
            <w:pPr>
              <w:pStyle w:val="TableParagraph"/>
              <w:spacing w:before="47"/>
              <w:ind w:left="119"/>
              <w:jc w:val="left"/>
              <w:rPr>
                <w:b/>
                <w:sz w:val="16"/>
              </w:rPr>
            </w:pPr>
            <w:r>
              <w:rPr>
                <w:b/>
                <w:w w:val="95"/>
                <w:sz w:val="16"/>
              </w:rPr>
              <w:t>Implementation</w:t>
            </w:r>
            <w:r>
              <w:rPr>
                <w:b/>
                <w:spacing w:val="15"/>
                <w:sz w:val="16"/>
              </w:rPr>
              <w:t> </w:t>
            </w:r>
            <w:r>
              <w:rPr>
                <w:b/>
                <w:w w:val="95"/>
                <w:sz w:val="16"/>
              </w:rPr>
              <w:t>rate</w:t>
            </w:r>
            <w:r>
              <w:rPr>
                <w:b/>
                <w:spacing w:val="21"/>
                <w:sz w:val="16"/>
              </w:rPr>
              <w:t> </w:t>
            </w:r>
            <w:r>
              <w:rPr>
                <w:b/>
                <w:w w:val="95"/>
                <w:sz w:val="16"/>
              </w:rPr>
              <w:t>in</w:t>
            </w:r>
            <w:r>
              <w:rPr>
                <w:b/>
                <w:spacing w:val="16"/>
                <w:sz w:val="16"/>
              </w:rPr>
              <w:t> </w:t>
            </w:r>
            <w:r>
              <w:rPr>
                <w:b/>
                <w:spacing w:val="-10"/>
                <w:w w:val="95"/>
                <w:sz w:val="16"/>
              </w:rPr>
              <w:t>%</w:t>
            </w:r>
          </w:p>
        </w:tc>
        <w:tc>
          <w:tcPr>
            <w:tcW w:w="903" w:type="dxa"/>
            <w:tcBorders>
              <w:top w:val="single" w:sz="4" w:space="0" w:color="000000"/>
              <w:bottom w:val="single" w:sz="4" w:space="0" w:color="000000"/>
            </w:tcBorders>
          </w:tcPr>
          <w:p>
            <w:pPr>
              <w:pStyle w:val="TableParagraph"/>
              <w:spacing w:before="47"/>
              <w:ind w:right="108"/>
              <w:rPr>
                <w:sz w:val="16"/>
              </w:rPr>
            </w:pPr>
            <w:r>
              <w:rPr>
                <w:spacing w:val="-2"/>
                <w:sz w:val="16"/>
              </w:rPr>
              <w:t>100.7%</w:t>
            </w:r>
          </w:p>
        </w:tc>
        <w:tc>
          <w:tcPr>
            <w:tcW w:w="857" w:type="dxa"/>
            <w:tcBorders>
              <w:top w:val="single" w:sz="4" w:space="0" w:color="000000"/>
              <w:bottom w:val="single" w:sz="4" w:space="0" w:color="000000"/>
            </w:tcBorders>
          </w:tcPr>
          <w:p>
            <w:pPr>
              <w:pStyle w:val="TableParagraph"/>
              <w:spacing w:before="47"/>
              <w:ind w:right="105"/>
              <w:rPr>
                <w:sz w:val="16"/>
              </w:rPr>
            </w:pPr>
            <w:r>
              <w:rPr>
                <w:spacing w:val="-2"/>
                <w:sz w:val="16"/>
              </w:rPr>
              <w:t>102.8%</w:t>
            </w:r>
          </w:p>
        </w:tc>
        <w:tc>
          <w:tcPr>
            <w:tcW w:w="854" w:type="dxa"/>
            <w:tcBorders>
              <w:top w:val="single" w:sz="4" w:space="0" w:color="000000"/>
              <w:bottom w:val="single" w:sz="4" w:space="0" w:color="000000"/>
            </w:tcBorders>
          </w:tcPr>
          <w:p>
            <w:pPr>
              <w:pStyle w:val="TableParagraph"/>
              <w:spacing w:before="47"/>
              <w:ind w:right="104"/>
              <w:rPr>
                <w:sz w:val="16"/>
              </w:rPr>
            </w:pPr>
            <w:r>
              <w:rPr>
                <w:spacing w:val="-2"/>
                <w:sz w:val="16"/>
              </w:rPr>
              <w:t>98.5%</w:t>
            </w:r>
          </w:p>
        </w:tc>
        <w:tc>
          <w:tcPr>
            <w:tcW w:w="857" w:type="dxa"/>
            <w:tcBorders>
              <w:top w:val="single" w:sz="4" w:space="0" w:color="000000"/>
              <w:bottom w:val="single" w:sz="4" w:space="0" w:color="000000"/>
            </w:tcBorders>
          </w:tcPr>
          <w:p>
            <w:pPr>
              <w:pStyle w:val="TableParagraph"/>
              <w:spacing w:before="47"/>
              <w:ind w:right="107"/>
              <w:rPr>
                <w:sz w:val="16"/>
              </w:rPr>
            </w:pPr>
            <w:r>
              <w:rPr>
                <w:spacing w:val="-2"/>
                <w:sz w:val="16"/>
              </w:rPr>
              <w:t>100.9%</w:t>
            </w:r>
          </w:p>
        </w:tc>
        <w:tc>
          <w:tcPr>
            <w:tcW w:w="857" w:type="dxa"/>
            <w:tcBorders>
              <w:top w:val="single" w:sz="4" w:space="0" w:color="000000"/>
              <w:bottom w:val="single" w:sz="4" w:space="0" w:color="000000"/>
            </w:tcBorders>
          </w:tcPr>
          <w:p>
            <w:pPr>
              <w:pStyle w:val="TableParagraph"/>
              <w:spacing w:before="47"/>
              <w:ind w:right="104"/>
              <w:rPr>
                <w:sz w:val="16"/>
              </w:rPr>
            </w:pPr>
            <w:r>
              <w:rPr>
                <w:spacing w:val="-2"/>
                <w:sz w:val="16"/>
              </w:rPr>
              <w:t>99.3%</w:t>
            </w:r>
          </w:p>
        </w:tc>
        <w:tc>
          <w:tcPr>
            <w:tcW w:w="855" w:type="dxa"/>
            <w:tcBorders>
              <w:top w:val="single" w:sz="4" w:space="0" w:color="000000"/>
              <w:bottom w:val="single" w:sz="4" w:space="0" w:color="000000"/>
            </w:tcBorders>
          </w:tcPr>
          <w:p>
            <w:pPr>
              <w:pStyle w:val="TableParagraph"/>
              <w:spacing w:before="47"/>
              <w:ind w:right="104"/>
              <w:rPr>
                <w:sz w:val="16"/>
              </w:rPr>
            </w:pPr>
            <w:r>
              <w:rPr>
                <w:spacing w:val="-2"/>
                <w:sz w:val="16"/>
              </w:rPr>
              <w:t>99.9%</w:t>
            </w:r>
          </w:p>
        </w:tc>
        <w:tc>
          <w:tcPr>
            <w:tcW w:w="858" w:type="dxa"/>
            <w:tcBorders>
              <w:top w:val="single" w:sz="4" w:space="0" w:color="000000"/>
              <w:bottom w:val="single" w:sz="4" w:space="0" w:color="000000"/>
            </w:tcBorders>
          </w:tcPr>
          <w:p>
            <w:pPr>
              <w:pStyle w:val="TableParagraph"/>
              <w:spacing w:before="47"/>
              <w:ind w:right="107"/>
              <w:rPr>
                <w:sz w:val="16"/>
              </w:rPr>
            </w:pPr>
            <w:r>
              <w:rPr>
                <w:spacing w:val="-2"/>
                <w:sz w:val="16"/>
              </w:rPr>
              <w:t>98.1%</w:t>
            </w:r>
          </w:p>
        </w:tc>
        <w:tc>
          <w:tcPr>
            <w:tcW w:w="1114" w:type="dxa"/>
            <w:tcBorders>
              <w:top w:val="single" w:sz="4" w:space="0" w:color="000000"/>
              <w:bottom w:val="single" w:sz="4" w:space="0" w:color="000000"/>
            </w:tcBorders>
          </w:tcPr>
          <w:p>
            <w:pPr>
              <w:pStyle w:val="TableParagraph"/>
              <w:spacing w:before="47"/>
              <w:ind w:right="108"/>
              <w:rPr>
                <w:sz w:val="16"/>
              </w:rPr>
            </w:pPr>
            <w:r>
              <w:rPr>
                <w:sz w:val="16"/>
              </w:rPr>
              <w:t>Aver.</w:t>
            </w:r>
            <w:r>
              <w:rPr>
                <w:spacing w:val="-5"/>
                <w:sz w:val="16"/>
              </w:rPr>
              <w:t> </w:t>
            </w:r>
            <w:r>
              <w:rPr>
                <w:spacing w:val="-2"/>
                <w:sz w:val="16"/>
              </w:rPr>
              <w:t>100.0%</w:t>
            </w:r>
          </w:p>
        </w:tc>
      </w:tr>
      <w:tr>
        <w:trPr>
          <w:trHeight w:val="283" w:hRule="atLeast"/>
        </w:trPr>
        <w:tc>
          <w:tcPr>
            <w:tcW w:w="2229" w:type="dxa"/>
            <w:tcBorders>
              <w:top w:val="single" w:sz="4" w:space="0" w:color="000000"/>
              <w:bottom w:val="single" w:sz="4" w:space="0" w:color="000000"/>
            </w:tcBorders>
          </w:tcPr>
          <w:p>
            <w:pPr>
              <w:pStyle w:val="TableParagraph"/>
              <w:jc w:val="left"/>
              <w:rPr>
                <w:sz w:val="16"/>
              </w:rPr>
            </w:pPr>
          </w:p>
        </w:tc>
        <w:tc>
          <w:tcPr>
            <w:tcW w:w="903" w:type="dxa"/>
            <w:tcBorders>
              <w:top w:val="single" w:sz="4" w:space="0" w:color="000000"/>
              <w:bottom w:val="single" w:sz="4" w:space="0" w:color="000000"/>
            </w:tcBorders>
          </w:tcPr>
          <w:p>
            <w:pPr>
              <w:pStyle w:val="TableParagraph"/>
              <w:jc w:val="left"/>
              <w:rPr>
                <w:sz w:val="16"/>
              </w:rPr>
            </w:pPr>
          </w:p>
        </w:tc>
        <w:tc>
          <w:tcPr>
            <w:tcW w:w="857" w:type="dxa"/>
            <w:tcBorders>
              <w:top w:val="single" w:sz="4" w:space="0" w:color="000000"/>
              <w:bottom w:val="single" w:sz="4" w:space="0" w:color="000000"/>
            </w:tcBorders>
          </w:tcPr>
          <w:p>
            <w:pPr>
              <w:pStyle w:val="TableParagraph"/>
              <w:jc w:val="left"/>
              <w:rPr>
                <w:sz w:val="16"/>
              </w:rPr>
            </w:pPr>
          </w:p>
        </w:tc>
        <w:tc>
          <w:tcPr>
            <w:tcW w:w="854" w:type="dxa"/>
            <w:tcBorders>
              <w:top w:val="single" w:sz="4" w:space="0" w:color="000000"/>
              <w:bottom w:val="single" w:sz="4" w:space="0" w:color="000000"/>
            </w:tcBorders>
          </w:tcPr>
          <w:p>
            <w:pPr>
              <w:pStyle w:val="TableParagraph"/>
              <w:jc w:val="left"/>
              <w:rPr>
                <w:sz w:val="16"/>
              </w:rPr>
            </w:pPr>
          </w:p>
        </w:tc>
        <w:tc>
          <w:tcPr>
            <w:tcW w:w="857" w:type="dxa"/>
            <w:tcBorders>
              <w:top w:val="single" w:sz="4" w:space="0" w:color="000000"/>
              <w:bottom w:val="single" w:sz="4" w:space="0" w:color="000000"/>
            </w:tcBorders>
          </w:tcPr>
          <w:p>
            <w:pPr>
              <w:pStyle w:val="TableParagraph"/>
              <w:jc w:val="left"/>
              <w:rPr>
                <w:sz w:val="16"/>
              </w:rPr>
            </w:pPr>
          </w:p>
        </w:tc>
        <w:tc>
          <w:tcPr>
            <w:tcW w:w="857" w:type="dxa"/>
            <w:tcBorders>
              <w:top w:val="single" w:sz="4" w:space="0" w:color="000000"/>
              <w:bottom w:val="single" w:sz="4" w:space="0" w:color="000000"/>
            </w:tcBorders>
          </w:tcPr>
          <w:p>
            <w:pPr>
              <w:pStyle w:val="TableParagraph"/>
              <w:jc w:val="left"/>
              <w:rPr>
                <w:sz w:val="16"/>
              </w:rPr>
            </w:pPr>
          </w:p>
        </w:tc>
        <w:tc>
          <w:tcPr>
            <w:tcW w:w="855" w:type="dxa"/>
            <w:tcBorders>
              <w:top w:val="single" w:sz="4" w:space="0" w:color="000000"/>
              <w:bottom w:val="single" w:sz="4" w:space="0" w:color="000000"/>
            </w:tcBorders>
          </w:tcPr>
          <w:p>
            <w:pPr>
              <w:pStyle w:val="TableParagraph"/>
              <w:jc w:val="left"/>
              <w:rPr>
                <w:sz w:val="16"/>
              </w:rPr>
            </w:pPr>
          </w:p>
        </w:tc>
        <w:tc>
          <w:tcPr>
            <w:tcW w:w="858" w:type="dxa"/>
            <w:tcBorders>
              <w:top w:val="single" w:sz="4" w:space="0" w:color="000000"/>
              <w:bottom w:val="single" w:sz="4" w:space="0" w:color="000000"/>
            </w:tcBorders>
          </w:tcPr>
          <w:p>
            <w:pPr>
              <w:pStyle w:val="TableParagraph"/>
              <w:jc w:val="left"/>
              <w:rPr>
                <w:sz w:val="16"/>
              </w:rPr>
            </w:pPr>
          </w:p>
        </w:tc>
        <w:tc>
          <w:tcPr>
            <w:tcW w:w="1114" w:type="dxa"/>
            <w:tcBorders>
              <w:top w:val="single" w:sz="4" w:space="0" w:color="000000"/>
              <w:bottom w:val="single" w:sz="4" w:space="0" w:color="000000"/>
            </w:tcBorders>
          </w:tcPr>
          <w:p>
            <w:pPr>
              <w:pStyle w:val="TableParagraph"/>
              <w:jc w:val="left"/>
              <w:rPr>
                <w:sz w:val="16"/>
              </w:rPr>
            </w:pPr>
          </w:p>
        </w:tc>
      </w:tr>
      <w:tr>
        <w:trPr>
          <w:trHeight w:val="575" w:hRule="atLeast"/>
        </w:trPr>
        <w:tc>
          <w:tcPr>
            <w:tcW w:w="2229" w:type="dxa"/>
            <w:tcBorders>
              <w:top w:val="single" w:sz="4" w:space="0" w:color="000000"/>
              <w:bottom w:val="single" w:sz="4" w:space="0" w:color="000000"/>
            </w:tcBorders>
          </w:tcPr>
          <w:p>
            <w:pPr>
              <w:pStyle w:val="TableParagraph"/>
              <w:spacing w:before="105"/>
              <w:ind w:left="119"/>
              <w:jc w:val="left"/>
              <w:rPr>
                <w:b/>
                <w:i/>
                <w:sz w:val="16"/>
              </w:rPr>
            </w:pPr>
            <w:r>
              <w:rPr>
                <w:b/>
                <w:i/>
                <w:sz w:val="16"/>
              </w:rPr>
              <w:t>MPVI:</w:t>
            </w:r>
            <w:r>
              <w:rPr>
                <w:b/>
                <w:i/>
                <w:spacing w:val="-10"/>
                <w:sz w:val="16"/>
              </w:rPr>
              <w:t> </w:t>
            </w:r>
            <w:r>
              <w:rPr>
                <w:b/>
                <w:i/>
                <w:sz w:val="16"/>
              </w:rPr>
              <w:t>Secretariat</w:t>
            </w:r>
            <w:r>
              <w:rPr>
                <w:b/>
                <w:i/>
                <w:spacing w:val="-10"/>
                <w:sz w:val="16"/>
              </w:rPr>
              <w:t> </w:t>
            </w:r>
            <w:r>
              <w:rPr>
                <w:b/>
                <w:i/>
                <w:sz w:val="16"/>
              </w:rPr>
              <w:t>of</w:t>
            </w:r>
            <w:r>
              <w:rPr>
                <w:b/>
                <w:i/>
                <w:spacing w:val="-10"/>
                <w:sz w:val="16"/>
              </w:rPr>
              <w:t> </w:t>
            </w:r>
            <w:r>
              <w:rPr>
                <w:b/>
                <w:i/>
                <w:sz w:val="16"/>
              </w:rPr>
              <w:t>the</w:t>
            </w:r>
            <w:r>
              <w:rPr>
                <w:b/>
                <w:i/>
                <w:spacing w:val="-10"/>
                <w:sz w:val="16"/>
              </w:rPr>
              <w:t> </w:t>
            </w:r>
            <w:r>
              <w:rPr>
                <w:b/>
                <w:i/>
                <w:sz w:val="16"/>
              </w:rPr>
              <w:t>Trust</w:t>
            </w:r>
            <w:r>
              <w:rPr>
                <w:b/>
                <w:i/>
                <w:spacing w:val="40"/>
                <w:sz w:val="16"/>
              </w:rPr>
              <w:t> </w:t>
            </w:r>
            <w:r>
              <w:rPr>
                <w:b/>
                <w:i/>
                <w:sz w:val="16"/>
              </w:rPr>
              <w:t>Fund for Victims</w:t>
            </w:r>
          </w:p>
        </w:tc>
        <w:tc>
          <w:tcPr>
            <w:tcW w:w="903" w:type="dxa"/>
            <w:tcBorders>
              <w:top w:val="single" w:sz="4" w:space="0" w:color="000000"/>
              <w:bottom w:val="single" w:sz="4" w:space="0" w:color="000000"/>
            </w:tcBorders>
          </w:tcPr>
          <w:p>
            <w:pPr>
              <w:pStyle w:val="TableParagraph"/>
              <w:jc w:val="left"/>
              <w:rPr>
                <w:sz w:val="16"/>
              </w:rPr>
            </w:pPr>
          </w:p>
        </w:tc>
        <w:tc>
          <w:tcPr>
            <w:tcW w:w="857" w:type="dxa"/>
            <w:tcBorders>
              <w:top w:val="single" w:sz="4" w:space="0" w:color="000000"/>
              <w:bottom w:val="single" w:sz="4" w:space="0" w:color="000000"/>
            </w:tcBorders>
          </w:tcPr>
          <w:p>
            <w:pPr>
              <w:pStyle w:val="TableParagraph"/>
              <w:jc w:val="left"/>
              <w:rPr>
                <w:sz w:val="16"/>
              </w:rPr>
            </w:pPr>
          </w:p>
        </w:tc>
        <w:tc>
          <w:tcPr>
            <w:tcW w:w="854" w:type="dxa"/>
            <w:tcBorders>
              <w:top w:val="single" w:sz="4" w:space="0" w:color="000000"/>
              <w:bottom w:val="single" w:sz="4" w:space="0" w:color="000000"/>
            </w:tcBorders>
          </w:tcPr>
          <w:p>
            <w:pPr>
              <w:pStyle w:val="TableParagraph"/>
              <w:jc w:val="left"/>
              <w:rPr>
                <w:sz w:val="16"/>
              </w:rPr>
            </w:pPr>
          </w:p>
        </w:tc>
        <w:tc>
          <w:tcPr>
            <w:tcW w:w="857" w:type="dxa"/>
            <w:tcBorders>
              <w:top w:val="single" w:sz="4" w:space="0" w:color="000000"/>
              <w:bottom w:val="single" w:sz="4" w:space="0" w:color="000000"/>
            </w:tcBorders>
          </w:tcPr>
          <w:p>
            <w:pPr>
              <w:pStyle w:val="TableParagraph"/>
              <w:jc w:val="left"/>
              <w:rPr>
                <w:sz w:val="16"/>
              </w:rPr>
            </w:pPr>
          </w:p>
        </w:tc>
        <w:tc>
          <w:tcPr>
            <w:tcW w:w="857" w:type="dxa"/>
            <w:tcBorders>
              <w:top w:val="single" w:sz="4" w:space="0" w:color="000000"/>
              <w:bottom w:val="single" w:sz="4" w:space="0" w:color="000000"/>
            </w:tcBorders>
          </w:tcPr>
          <w:p>
            <w:pPr>
              <w:pStyle w:val="TableParagraph"/>
              <w:jc w:val="left"/>
              <w:rPr>
                <w:sz w:val="16"/>
              </w:rPr>
            </w:pPr>
          </w:p>
        </w:tc>
        <w:tc>
          <w:tcPr>
            <w:tcW w:w="855" w:type="dxa"/>
            <w:tcBorders>
              <w:top w:val="single" w:sz="4" w:space="0" w:color="000000"/>
              <w:bottom w:val="single" w:sz="4" w:space="0" w:color="000000"/>
            </w:tcBorders>
          </w:tcPr>
          <w:p>
            <w:pPr>
              <w:pStyle w:val="TableParagraph"/>
              <w:jc w:val="left"/>
              <w:rPr>
                <w:sz w:val="16"/>
              </w:rPr>
            </w:pPr>
          </w:p>
        </w:tc>
        <w:tc>
          <w:tcPr>
            <w:tcW w:w="858" w:type="dxa"/>
            <w:tcBorders>
              <w:top w:val="single" w:sz="4" w:space="0" w:color="000000"/>
              <w:bottom w:val="single" w:sz="4" w:space="0" w:color="000000"/>
            </w:tcBorders>
          </w:tcPr>
          <w:p>
            <w:pPr>
              <w:pStyle w:val="TableParagraph"/>
              <w:jc w:val="left"/>
              <w:rPr>
                <w:sz w:val="16"/>
              </w:rPr>
            </w:pPr>
          </w:p>
        </w:tc>
        <w:tc>
          <w:tcPr>
            <w:tcW w:w="1114" w:type="dxa"/>
            <w:tcBorders>
              <w:top w:val="single" w:sz="4" w:space="0" w:color="000000"/>
              <w:bottom w:val="single" w:sz="4" w:space="0" w:color="000000"/>
            </w:tcBorders>
          </w:tcPr>
          <w:p>
            <w:pPr>
              <w:pStyle w:val="TableParagraph"/>
              <w:jc w:val="left"/>
              <w:rPr>
                <w:sz w:val="16"/>
              </w:rPr>
            </w:pPr>
          </w:p>
        </w:tc>
      </w:tr>
      <w:tr>
        <w:trPr>
          <w:trHeight w:val="287" w:hRule="atLeast"/>
        </w:trPr>
        <w:tc>
          <w:tcPr>
            <w:tcW w:w="2229" w:type="dxa"/>
            <w:tcBorders>
              <w:top w:val="single" w:sz="4" w:space="0" w:color="000000"/>
              <w:bottom w:val="single" w:sz="4" w:space="0" w:color="000000"/>
            </w:tcBorders>
          </w:tcPr>
          <w:p>
            <w:pPr>
              <w:pStyle w:val="TableParagraph"/>
              <w:spacing w:before="52"/>
              <w:ind w:left="119"/>
              <w:jc w:val="left"/>
              <w:rPr>
                <w:b/>
                <w:sz w:val="16"/>
              </w:rPr>
            </w:pPr>
            <w:r>
              <w:rPr>
                <w:b/>
                <w:spacing w:val="-2"/>
                <w:sz w:val="16"/>
              </w:rPr>
              <w:t>Total</w:t>
            </w:r>
          </w:p>
        </w:tc>
        <w:tc>
          <w:tcPr>
            <w:tcW w:w="903" w:type="dxa"/>
            <w:tcBorders>
              <w:top w:val="single" w:sz="4" w:space="0" w:color="000000"/>
              <w:bottom w:val="single" w:sz="4" w:space="0" w:color="000000"/>
            </w:tcBorders>
          </w:tcPr>
          <w:p>
            <w:pPr>
              <w:pStyle w:val="TableParagraph"/>
              <w:spacing w:before="52"/>
              <w:ind w:right="108"/>
              <w:rPr>
                <w:sz w:val="16"/>
              </w:rPr>
            </w:pPr>
            <w:r>
              <w:rPr>
                <w:spacing w:val="-2"/>
                <w:sz w:val="16"/>
              </w:rPr>
              <w:t>1,884.5</w:t>
            </w:r>
          </w:p>
        </w:tc>
        <w:tc>
          <w:tcPr>
            <w:tcW w:w="857" w:type="dxa"/>
            <w:tcBorders>
              <w:top w:val="single" w:sz="4" w:space="0" w:color="000000"/>
              <w:bottom w:val="single" w:sz="4" w:space="0" w:color="000000"/>
            </w:tcBorders>
          </w:tcPr>
          <w:p>
            <w:pPr>
              <w:pStyle w:val="TableParagraph"/>
              <w:spacing w:before="52"/>
              <w:ind w:right="105"/>
              <w:rPr>
                <w:sz w:val="16"/>
              </w:rPr>
            </w:pPr>
            <w:r>
              <w:rPr>
                <w:spacing w:val="-2"/>
                <w:sz w:val="16"/>
              </w:rPr>
              <w:t>2,174.5</w:t>
            </w:r>
          </w:p>
        </w:tc>
        <w:tc>
          <w:tcPr>
            <w:tcW w:w="854" w:type="dxa"/>
            <w:tcBorders>
              <w:top w:val="single" w:sz="4" w:space="0" w:color="000000"/>
              <w:bottom w:val="single" w:sz="4" w:space="0" w:color="000000"/>
            </w:tcBorders>
          </w:tcPr>
          <w:p>
            <w:pPr>
              <w:pStyle w:val="TableParagraph"/>
              <w:spacing w:before="52"/>
              <w:ind w:right="104"/>
              <w:rPr>
                <w:sz w:val="16"/>
              </w:rPr>
            </w:pPr>
            <w:r>
              <w:rPr>
                <w:spacing w:val="-2"/>
                <w:sz w:val="16"/>
              </w:rPr>
              <w:t>2,541.5</w:t>
            </w:r>
          </w:p>
        </w:tc>
        <w:tc>
          <w:tcPr>
            <w:tcW w:w="857" w:type="dxa"/>
            <w:tcBorders>
              <w:top w:val="single" w:sz="4" w:space="0" w:color="000000"/>
              <w:bottom w:val="single" w:sz="4" w:space="0" w:color="000000"/>
            </w:tcBorders>
          </w:tcPr>
          <w:p>
            <w:pPr>
              <w:pStyle w:val="TableParagraph"/>
              <w:spacing w:before="52"/>
              <w:ind w:right="107"/>
              <w:rPr>
                <w:sz w:val="16"/>
              </w:rPr>
            </w:pPr>
            <w:r>
              <w:rPr>
                <w:spacing w:val="-2"/>
                <w:sz w:val="16"/>
              </w:rPr>
              <w:t>3,130.3</w:t>
            </w:r>
          </w:p>
        </w:tc>
        <w:tc>
          <w:tcPr>
            <w:tcW w:w="857" w:type="dxa"/>
            <w:tcBorders>
              <w:top w:val="single" w:sz="4" w:space="0" w:color="000000"/>
              <w:bottom w:val="single" w:sz="4" w:space="0" w:color="000000"/>
            </w:tcBorders>
          </w:tcPr>
          <w:p>
            <w:pPr>
              <w:pStyle w:val="TableParagraph"/>
              <w:spacing w:before="52"/>
              <w:ind w:right="104"/>
              <w:rPr>
                <w:sz w:val="16"/>
              </w:rPr>
            </w:pPr>
            <w:r>
              <w:rPr>
                <w:spacing w:val="-2"/>
                <w:sz w:val="16"/>
              </w:rPr>
              <w:t>3,226.1</w:t>
            </w:r>
          </w:p>
        </w:tc>
        <w:tc>
          <w:tcPr>
            <w:tcW w:w="855" w:type="dxa"/>
            <w:tcBorders>
              <w:top w:val="single" w:sz="4" w:space="0" w:color="000000"/>
              <w:bottom w:val="single" w:sz="4" w:space="0" w:color="000000"/>
            </w:tcBorders>
          </w:tcPr>
          <w:p>
            <w:pPr>
              <w:pStyle w:val="TableParagraph"/>
              <w:spacing w:before="52"/>
              <w:ind w:right="104"/>
              <w:rPr>
                <w:sz w:val="16"/>
              </w:rPr>
            </w:pPr>
            <w:r>
              <w:rPr>
                <w:spacing w:val="-2"/>
                <w:sz w:val="16"/>
              </w:rPr>
              <w:t>3,199.6</w:t>
            </w:r>
          </w:p>
        </w:tc>
        <w:tc>
          <w:tcPr>
            <w:tcW w:w="858" w:type="dxa"/>
            <w:tcBorders>
              <w:top w:val="single" w:sz="4" w:space="0" w:color="000000"/>
              <w:bottom w:val="single" w:sz="4" w:space="0" w:color="000000"/>
            </w:tcBorders>
          </w:tcPr>
          <w:p>
            <w:pPr>
              <w:pStyle w:val="TableParagraph"/>
              <w:spacing w:before="52"/>
              <w:ind w:right="107"/>
              <w:rPr>
                <w:sz w:val="16"/>
              </w:rPr>
            </w:pPr>
            <w:r>
              <w:rPr>
                <w:spacing w:val="-2"/>
                <w:sz w:val="16"/>
              </w:rPr>
              <w:t>3,227.2</w:t>
            </w:r>
          </w:p>
        </w:tc>
        <w:tc>
          <w:tcPr>
            <w:tcW w:w="1114" w:type="dxa"/>
            <w:tcBorders>
              <w:top w:val="single" w:sz="4" w:space="0" w:color="000000"/>
              <w:bottom w:val="single" w:sz="4" w:space="0" w:color="000000"/>
            </w:tcBorders>
          </w:tcPr>
          <w:p>
            <w:pPr>
              <w:pStyle w:val="TableParagraph"/>
              <w:spacing w:before="52"/>
              <w:ind w:right="107"/>
              <w:rPr>
                <w:sz w:val="16"/>
              </w:rPr>
            </w:pPr>
            <w:r>
              <w:rPr>
                <w:spacing w:val="-2"/>
                <w:sz w:val="16"/>
              </w:rPr>
              <w:t>1,342.7</w:t>
            </w:r>
          </w:p>
        </w:tc>
      </w:tr>
      <w:tr>
        <w:trPr>
          <w:trHeight w:val="287" w:hRule="atLeast"/>
        </w:trPr>
        <w:tc>
          <w:tcPr>
            <w:tcW w:w="2229" w:type="dxa"/>
            <w:tcBorders>
              <w:top w:val="single" w:sz="4" w:space="0" w:color="000000"/>
              <w:bottom w:val="single" w:sz="4" w:space="0" w:color="000000"/>
            </w:tcBorders>
          </w:tcPr>
          <w:p>
            <w:pPr>
              <w:pStyle w:val="TableParagraph"/>
              <w:spacing w:before="52"/>
              <w:ind w:left="119"/>
              <w:jc w:val="left"/>
              <w:rPr>
                <w:b/>
                <w:sz w:val="16"/>
              </w:rPr>
            </w:pPr>
            <w:r>
              <w:rPr>
                <w:b/>
                <w:sz w:val="16"/>
              </w:rPr>
              <w:t>Variance</w:t>
            </w:r>
            <w:r>
              <w:rPr>
                <w:b/>
                <w:spacing w:val="-8"/>
                <w:sz w:val="16"/>
              </w:rPr>
              <w:t> </w:t>
            </w:r>
            <w:r>
              <w:rPr>
                <w:b/>
                <w:sz w:val="16"/>
              </w:rPr>
              <w:t>previous</w:t>
            </w:r>
            <w:r>
              <w:rPr>
                <w:b/>
                <w:spacing w:val="-8"/>
                <w:sz w:val="16"/>
              </w:rPr>
              <w:t> </w:t>
            </w:r>
            <w:r>
              <w:rPr>
                <w:b/>
                <w:spacing w:val="-4"/>
                <w:sz w:val="16"/>
              </w:rPr>
              <w:t>year</w:t>
            </w:r>
          </w:p>
        </w:tc>
        <w:tc>
          <w:tcPr>
            <w:tcW w:w="903" w:type="dxa"/>
            <w:tcBorders>
              <w:top w:val="single" w:sz="4" w:space="0" w:color="000000"/>
              <w:bottom w:val="single" w:sz="4" w:space="0" w:color="000000"/>
            </w:tcBorders>
          </w:tcPr>
          <w:p>
            <w:pPr>
              <w:pStyle w:val="TableParagraph"/>
              <w:spacing w:before="52"/>
              <w:ind w:right="107"/>
              <w:rPr>
                <w:sz w:val="16"/>
              </w:rPr>
            </w:pPr>
            <w:r>
              <w:rPr>
                <w:spacing w:val="-4"/>
                <w:sz w:val="16"/>
              </w:rPr>
              <w:t>68.8</w:t>
            </w:r>
          </w:p>
        </w:tc>
        <w:tc>
          <w:tcPr>
            <w:tcW w:w="857" w:type="dxa"/>
            <w:tcBorders>
              <w:top w:val="single" w:sz="4" w:space="0" w:color="000000"/>
              <w:bottom w:val="single" w:sz="4" w:space="0" w:color="000000"/>
            </w:tcBorders>
          </w:tcPr>
          <w:p>
            <w:pPr>
              <w:pStyle w:val="TableParagraph"/>
              <w:spacing w:before="52"/>
              <w:ind w:right="105"/>
              <w:rPr>
                <w:sz w:val="16"/>
              </w:rPr>
            </w:pPr>
            <w:r>
              <w:rPr>
                <w:spacing w:val="-2"/>
                <w:sz w:val="16"/>
              </w:rPr>
              <w:t>290.0</w:t>
            </w:r>
          </w:p>
        </w:tc>
        <w:tc>
          <w:tcPr>
            <w:tcW w:w="854" w:type="dxa"/>
            <w:tcBorders>
              <w:top w:val="single" w:sz="4" w:space="0" w:color="000000"/>
              <w:bottom w:val="single" w:sz="4" w:space="0" w:color="000000"/>
            </w:tcBorders>
          </w:tcPr>
          <w:p>
            <w:pPr>
              <w:pStyle w:val="TableParagraph"/>
              <w:spacing w:before="52"/>
              <w:ind w:right="104"/>
              <w:rPr>
                <w:sz w:val="16"/>
              </w:rPr>
            </w:pPr>
            <w:r>
              <w:rPr>
                <w:spacing w:val="-2"/>
                <w:sz w:val="16"/>
              </w:rPr>
              <w:t>367.0</w:t>
            </w:r>
          </w:p>
        </w:tc>
        <w:tc>
          <w:tcPr>
            <w:tcW w:w="857" w:type="dxa"/>
            <w:tcBorders>
              <w:top w:val="single" w:sz="4" w:space="0" w:color="000000"/>
              <w:bottom w:val="single" w:sz="4" w:space="0" w:color="000000"/>
            </w:tcBorders>
          </w:tcPr>
          <w:p>
            <w:pPr>
              <w:pStyle w:val="TableParagraph"/>
              <w:spacing w:before="52"/>
              <w:ind w:right="107"/>
              <w:rPr>
                <w:sz w:val="16"/>
              </w:rPr>
            </w:pPr>
            <w:r>
              <w:rPr>
                <w:spacing w:val="-2"/>
                <w:sz w:val="16"/>
              </w:rPr>
              <w:t>588.8</w:t>
            </w:r>
          </w:p>
        </w:tc>
        <w:tc>
          <w:tcPr>
            <w:tcW w:w="857" w:type="dxa"/>
            <w:tcBorders>
              <w:top w:val="single" w:sz="4" w:space="0" w:color="000000"/>
              <w:bottom w:val="single" w:sz="4" w:space="0" w:color="000000"/>
            </w:tcBorders>
          </w:tcPr>
          <w:p>
            <w:pPr>
              <w:pStyle w:val="TableParagraph"/>
              <w:spacing w:before="52"/>
              <w:ind w:right="104"/>
              <w:rPr>
                <w:sz w:val="16"/>
              </w:rPr>
            </w:pPr>
            <w:r>
              <w:rPr>
                <w:spacing w:val="-4"/>
                <w:sz w:val="16"/>
              </w:rPr>
              <w:t>95.8</w:t>
            </w:r>
          </w:p>
        </w:tc>
        <w:tc>
          <w:tcPr>
            <w:tcW w:w="855" w:type="dxa"/>
            <w:tcBorders>
              <w:top w:val="single" w:sz="4" w:space="0" w:color="000000"/>
              <w:bottom w:val="single" w:sz="4" w:space="0" w:color="000000"/>
            </w:tcBorders>
          </w:tcPr>
          <w:p>
            <w:pPr>
              <w:pStyle w:val="TableParagraph"/>
              <w:spacing w:before="52"/>
              <w:ind w:right="104"/>
              <w:rPr>
                <w:sz w:val="16"/>
              </w:rPr>
            </w:pPr>
            <w:r>
              <w:rPr>
                <w:w w:val="95"/>
                <w:sz w:val="16"/>
              </w:rPr>
              <w:t>-</w:t>
            </w:r>
            <w:r>
              <w:rPr>
                <w:spacing w:val="-4"/>
                <w:sz w:val="16"/>
              </w:rPr>
              <w:t>26.5</w:t>
            </w:r>
          </w:p>
        </w:tc>
        <w:tc>
          <w:tcPr>
            <w:tcW w:w="858" w:type="dxa"/>
            <w:tcBorders>
              <w:top w:val="single" w:sz="4" w:space="0" w:color="000000"/>
              <w:bottom w:val="single" w:sz="4" w:space="0" w:color="000000"/>
            </w:tcBorders>
          </w:tcPr>
          <w:p>
            <w:pPr>
              <w:pStyle w:val="TableParagraph"/>
              <w:spacing w:before="52"/>
              <w:ind w:right="107"/>
              <w:rPr>
                <w:sz w:val="16"/>
              </w:rPr>
            </w:pPr>
            <w:r>
              <w:rPr>
                <w:spacing w:val="-4"/>
                <w:sz w:val="16"/>
              </w:rPr>
              <w:t>27.6</w:t>
            </w:r>
          </w:p>
        </w:tc>
        <w:tc>
          <w:tcPr>
            <w:tcW w:w="1114" w:type="dxa"/>
            <w:tcBorders>
              <w:top w:val="single" w:sz="4" w:space="0" w:color="000000"/>
              <w:bottom w:val="single" w:sz="4" w:space="0" w:color="000000"/>
            </w:tcBorders>
          </w:tcPr>
          <w:p>
            <w:pPr>
              <w:pStyle w:val="TableParagraph"/>
              <w:jc w:val="left"/>
              <w:rPr>
                <w:sz w:val="16"/>
              </w:rPr>
            </w:pPr>
          </w:p>
        </w:tc>
      </w:tr>
      <w:tr>
        <w:trPr>
          <w:trHeight w:val="287" w:hRule="atLeast"/>
        </w:trPr>
        <w:tc>
          <w:tcPr>
            <w:tcW w:w="2229" w:type="dxa"/>
            <w:tcBorders>
              <w:top w:val="single" w:sz="4" w:space="0" w:color="000000"/>
              <w:bottom w:val="single" w:sz="4" w:space="0" w:color="000000"/>
            </w:tcBorders>
          </w:tcPr>
          <w:p>
            <w:pPr>
              <w:pStyle w:val="TableParagraph"/>
              <w:spacing w:before="52"/>
              <w:ind w:left="119"/>
              <w:jc w:val="left"/>
              <w:rPr>
                <w:b/>
                <w:sz w:val="16"/>
              </w:rPr>
            </w:pPr>
            <w:r>
              <w:rPr>
                <w:b/>
                <w:sz w:val="16"/>
              </w:rPr>
              <w:t>Variance</w:t>
            </w:r>
            <w:r>
              <w:rPr>
                <w:b/>
                <w:spacing w:val="-5"/>
                <w:sz w:val="16"/>
              </w:rPr>
              <w:t> </w:t>
            </w:r>
            <w:r>
              <w:rPr>
                <w:b/>
                <w:sz w:val="16"/>
              </w:rPr>
              <w:t>previous</w:t>
            </w:r>
            <w:r>
              <w:rPr>
                <w:b/>
                <w:spacing w:val="-5"/>
                <w:sz w:val="16"/>
              </w:rPr>
              <w:t> </w:t>
            </w:r>
            <w:r>
              <w:rPr>
                <w:b/>
                <w:sz w:val="16"/>
              </w:rPr>
              <w:t>year</w:t>
            </w:r>
            <w:r>
              <w:rPr>
                <w:b/>
                <w:spacing w:val="-5"/>
                <w:sz w:val="16"/>
              </w:rPr>
              <w:t> </w:t>
            </w:r>
            <w:r>
              <w:rPr>
                <w:b/>
                <w:sz w:val="16"/>
              </w:rPr>
              <w:t>in</w:t>
            </w:r>
            <w:r>
              <w:rPr>
                <w:b/>
                <w:spacing w:val="-7"/>
                <w:sz w:val="16"/>
              </w:rPr>
              <w:t> </w:t>
            </w:r>
            <w:r>
              <w:rPr>
                <w:b/>
                <w:spacing w:val="-10"/>
                <w:sz w:val="16"/>
              </w:rPr>
              <w:t>%</w:t>
            </w:r>
          </w:p>
        </w:tc>
        <w:tc>
          <w:tcPr>
            <w:tcW w:w="903" w:type="dxa"/>
            <w:tcBorders>
              <w:top w:val="single" w:sz="4" w:space="0" w:color="000000"/>
              <w:bottom w:val="single" w:sz="4" w:space="0" w:color="000000"/>
            </w:tcBorders>
          </w:tcPr>
          <w:p>
            <w:pPr>
              <w:pStyle w:val="TableParagraph"/>
              <w:spacing w:before="52"/>
              <w:ind w:right="107"/>
              <w:rPr>
                <w:sz w:val="16"/>
              </w:rPr>
            </w:pPr>
            <w:r>
              <w:rPr>
                <w:spacing w:val="-4"/>
                <w:sz w:val="16"/>
              </w:rPr>
              <w:t>3.8%</w:t>
            </w:r>
          </w:p>
        </w:tc>
        <w:tc>
          <w:tcPr>
            <w:tcW w:w="857" w:type="dxa"/>
            <w:tcBorders>
              <w:top w:val="single" w:sz="4" w:space="0" w:color="000000"/>
              <w:bottom w:val="single" w:sz="4" w:space="0" w:color="000000"/>
            </w:tcBorders>
          </w:tcPr>
          <w:p>
            <w:pPr>
              <w:pStyle w:val="TableParagraph"/>
              <w:spacing w:before="52"/>
              <w:ind w:right="105"/>
              <w:rPr>
                <w:sz w:val="16"/>
              </w:rPr>
            </w:pPr>
            <w:r>
              <w:rPr>
                <w:spacing w:val="-2"/>
                <w:sz w:val="16"/>
              </w:rPr>
              <w:t>15.4%</w:t>
            </w:r>
          </w:p>
        </w:tc>
        <w:tc>
          <w:tcPr>
            <w:tcW w:w="854" w:type="dxa"/>
            <w:tcBorders>
              <w:top w:val="single" w:sz="4" w:space="0" w:color="000000"/>
              <w:bottom w:val="single" w:sz="4" w:space="0" w:color="000000"/>
            </w:tcBorders>
          </w:tcPr>
          <w:p>
            <w:pPr>
              <w:pStyle w:val="TableParagraph"/>
              <w:spacing w:before="52"/>
              <w:ind w:right="104"/>
              <w:rPr>
                <w:sz w:val="16"/>
              </w:rPr>
            </w:pPr>
            <w:r>
              <w:rPr>
                <w:spacing w:val="-2"/>
                <w:sz w:val="16"/>
              </w:rPr>
              <w:t>16.9%</w:t>
            </w:r>
          </w:p>
        </w:tc>
        <w:tc>
          <w:tcPr>
            <w:tcW w:w="857" w:type="dxa"/>
            <w:tcBorders>
              <w:top w:val="single" w:sz="4" w:space="0" w:color="000000"/>
              <w:bottom w:val="single" w:sz="4" w:space="0" w:color="000000"/>
            </w:tcBorders>
          </w:tcPr>
          <w:p>
            <w:pPr>
              <w:pStyle w:val="TableParagraph"/>
              <w:spacing w:before="52"/>
              <w:ind w:right="107"/>
              <w:rPr>
                <w:sz w:val="16"/>
              </w:rPr>
            </w:pPr>
            <w:r>
              <w:rPr>
                <w:spacing w:val="-2"/>
                <w:sz w:val="16"/>
              </w:rPr>
              <w:t>23.2%</w:t>
            </w:r>
          </w:p>
        </w:tc>
        <w:tc>
          <w:tcPr>
            <w:tcW w:w="857" w:type="dxa"/>
            <w:tcBorders>
              <w:top w:val="single" w:sz="4" w:space="0" w:color="000000"/>
              <w:bottom w:val="single" w:sz="4" w:space="0" w:color="000000"/>
            </w:tcBorders>
          </w:tcPr>
          <w:p>
            <w:pPr>
              <w:pStyle w:val="TableParagraph"/>
              <w:spacing w:before="52"/>
              <w:ind w:right="104"/>
              <w:rPr>
                <w:sz w:val="16"/>
              </w:rPr>
            </w:pPr>
            <w:r>
              <w:rPr>
                <w:spacing w:val="-4"/>
                <w:sz w:val="16"/>
              </w:rPr>
              <w:t>3.1%</w:t>
            </w:r>
          </w:p>
        </w:tc>
        <w:tc>
          <w:tcPr>
            <w:tcW w:w="855" w:type="dxa"/>
            <w:tcBorders>
              <w:top w:val="single" w:sz="4" w:space="0" w:color="000000"/>
              <w:bottom w:val="single" w:sz="4" w:space="0" w:color="000000"/>
            </w:tcBorders>
          </w:tcPr>
          <w:p>
            <w:pPr>
              <w:pStyle w:val="TableParagraph"/>
              <w:spacing w:before="52"/>
              <w:ind w:right="109"/>
              <w:rPr>
                <w:sz w:val="16"/>
              </w:rPr>
            </w:pPr>
            <w:r>
              <w:rPr>
                <w:w w:val="95"/>
                <w:sz w:val="16"/>
              </w:rPr>
              <w:t>-</w:t>
            </w:r>
            <w:r>
              <w:rPr>
                <w:spacing w:val="-4"/>
                <w:sz w:val="16"/>
              </w:rPr>
              <w:t>0.8%</w:t>
            </w:r>
          </w:p>
        </w:tc>
        <w:tc>
          <w:tcPr>
            <w:tcW w:w="858" w:type="dxa"/>
            <w:tcBorders>
              <w:top w:val="single" w:sz="4" w:space="0" w:color="000000"/>
              <w:bottom w:val="single" w:sz="4" w:space="0" w:color="000000"/>
            </w:tcBorders>
          </w:tcPr>
          <w:p>
            <w:pPr>
              <w:pStyle w:val="TableParagraph"/>
              <w:spacing w:before="52"/>
              <w:ind w:right="107"/>
              <w:rPr>
                <w:sz w:val="16"/>
              </w:rPr>
            </w:pPr>
            <w:r>
              <w:rPr>
                <w:spacing w:val="-4"/>
                <w:sz w:val="16"/>
              </w:rPr>
              <w:t>0.9%</w:t>
            </w:r>
          </w:p>
        </w:tc>
        <w:tc>
          <w:tcPr>
            <w:tcW w:w="1114" w:type="dxa"/>
            <w:tcBorders>
              <w:top w:val="single" w:sz="4" w:space="0" w:color="000000"/>
              <w:bottom w:val="single" w:sz="4" w:space="0" w:color="000000"/>
            </w:tcBorders>
          </w:tcPr>
          <w:p>
            <w:pPr>
              <w:pStyle w:val="TableParagraph"/>
              <w:spacing w:before="52"/>
              <w:ind w:right="107"/>
              <w:rPr>
                <w:sz w:val="16"/>
              </w:rPr>
            </w:pPr>
            <w:r>
              <w:rPr>
                <w:spacing w:val="-2"/>
                <w:sz w:val="16"/>
              </w:rPr>
              <w:t>71.2%</w:t>
            </w:r>
          </w:p>
        </w:tc>
      </w:tr>
      <w:tr>
        <w:trPr>
          <w:trHeight w:val="288" w:hRule="atLeast"/>
        </w:trPr>
        <w:tc>
          <w:tcPr>
            <w:tcW w:w="2229" w:type="dxa"/>
            <w:tcBorders>
              <w:top w:val="single" w:sz="4" w:space="0" w:color="000000"/>
              <w:bottom w:val="single" w:sz="4" w:space="0" w:color="000000"/>
            </w:tcBorders>
          </w:tcPr>
          <w:p>
            <w:pPr>
              <w:pStyle w:val="TableParagraph"/>
              <w:spacing w:before="52"/>
              <w:ind w:left="119"/>
              <w:jc w:val="left"/>
              <w:rPr>
                <w:b/>
                <w:sz w:val="16"/>
              </w:rPr>
            </w:pPr>
            <w:r>
              <w:rPr>
                <w:b/>
                <w:w w:val="95"/>
                <w:sz w:val="16"/>
              </w:rPr>
              <w:t>Actual</w:t>
            </w:r>
            <w:r>
              <w:rPr>
                <w:b/>
                <w:spacing w:val="13"/>
                <w:sz w:val="16"/>
              </w:rPr>
              <w:t> </w:t>
            </w:r>
            <w:r>
              <w:rPr>
                <w:b/>
                <w:spacing w:val="-2"/>
                <w:sz w:val="16"/>
              </w:rPr>
              <w:t>expenditure</w:t>
            </w:r>
          </w:p>
        </w:tc>
        <w:tc>
          <w:tcPr>
            <w:tcW w:w="903" w:type="dxa"/>
            <w:tcBorders>
              <w:top w:val="single" w:sz="4" w:space="0" w:color="000000"/>
              <w:bottom w:val="single" w:sz="4" w:space="0" w:color="000000"/>
            </w:tcBorders>
          </w:tcPr>
          <w:p>
            <w:pPr>
              <w:pStyle w:val="TableParagraph"/>
              <w:spacing w:before="52"/>
              <w:ind w:right="108"/>
              <w:rPr>
                <w:sz w:val="16"/>
              </w:rPr>
            </w:pPr>
            <w:r>
              <w:rPr>
                <w:spacing w:val="-2"/>
                <w:sz w:val="16"/>
              </w:rPr>
              <w:t>1,640.7</w:t>
            </w:r>
          </w:p>
        </w:tc>
        <w:tc>
          <w:tcPr>
            <w:tcW w:w="857" w:type="dxa"/>
            <w:tcBorders>
              <w:top w:val="single" w:sz="4" w:space="0" w:color="000000"/>
              <w:bottom w:val="single" w:sz="4" w:space="0" w:color="000000"/>
            </w:tcBorders>
          </w:tcPr>
          <w:p>
            <w:pPr>
              <w:pStyle w:val="TableParagraph"/>
              <w:spacing w:before="52"/>
              <w:ind w:right="105"/>
              <w:rPr>
                <w:sz w:val="16"/>
              </w:rPr>
            </w:pPr>
            <w:r>
              <w:rPr>
                <w:spacing w:val="-2"/>
                <w:sz w:val="16"/>
              </w:rPr>
              <w:t>1,704.3</w:t>
            </w:r>
          </w:p>
        </w:tc>
        <w:tc>
          <w:tcPr>
            <w:tcW w:w="854" w:type="dxa"/>
            <w:tcBorders>
              <w:top w:val="single" w:sz="4" w:space="0" w:color="000000"/>
              <w:bottom w:val="single" w:sz="4" w:space="0" w:color="000000"/>
            </w:tcBorders>
          </w:tcPr>
          <w:p>
            <w:pPr>
              <w:pStyle w:val="TableParagraph"/>
              <w:spacing w:before="52"/>
              <w:ind w:right="104"/>
              <w:rPr>
                <w:sz w:val="16"/>
              </w:rPr>
            </w:pPr>
            <w:r>
              <w:rPr>
                <w:spacing w:val="-2"/>
                <w:sz w:val="16"/>
              </w:rPr>
              <w:t>2,031.3</w:t>
            </w:r>
          </w:p>
        </w:tc>
        <w:tc>
          <w:tcPr>
            <w:tcW w:w="857" w:type="dxa"/>
            <w:tcBorders>
              <w:top w:val="single" w:sz="4" w:space="0" w:color="000000"/>
              <w:bottom w:val="single" w:sz="4" w:space="0" w:color="000000"/>
            </w:tcBorders>
          </w:tcPr>
          <w:p>
            <w:pPr>
              <w:pStyle w:val="TableParagraph"/>
              <w:spacing w:before="52"/>
              <w:ind w:right="107"/>
              <w:rPr>
                <w:sz w:val="16"/>
              </w:rPr>
            </w:pPr>
            <w:r>
              <w:rPr>
                <w:spacing w:val="-2"/>
                <w:sz w:val="16"/>
              </w:rPr>
              <w:t>2,803.8</w:t>
            </w:r>
          </w:p>
        </w:tc>
        <w:tc>
          <w:tcPr>
            <w:tcW w:w="857" w:type="dxa"/>
            <w:tcBorders>
              <w:top w:val="single" w:sz="4" w:space="0" w:color="000000"/>
              <w:bottom w:val="single" w:sz="4" w:space="0" w:color="000000"/>
            </w:tcBorders>
          </w:tcPr>
          <w:p>
            <w:pPr>
              <w:pStyle w:val="TableParagraph"/>
              <w:spacing w:before="52"/>
              <w:ind w:right="104"/>
              <w:rPr>
                <w:sz w:val="16"/>
              </w:rPr>
            </w:pPr>
            <w:r>
              <w:rPr>
                <w:spacing w:val="-2"/>
                <w:sz w:val="16"/>
              </w:rPr>
              <w:t>2,955.6</w:t>
            </w:r>
          </w:p>
        </w:tc>
        <w:tc>
          <w:tcPr>
            <w:tcW w:w="855" w:type="dxa"/>
            <w:tcBorders>
              <w:top w:val="single" w:sz="4" w:space="0" w:color="000000"/>
              <w:bottom w:val="single" w:sz="4" w:space="0" w:color="000000"/>
            </w:tcBorders>
          </w:tcPr>
          <w:p>
            <w:pPr>
              <w:pStyle w:val="TableParagraph"/>
              <w:spacing w:before="52"/>
              <w:ind w:right="104"/>
              <w:rPr>
                <w:sz w:val="16"/>
              </w:rPr>
            </w:pPr>
            <w:r>
              <w:rPr>
                <w:spacing w:val="-2"/>
                <w:sz w:val="16"/>
              </w:rPr>
              <w:t>3,254.7</w:t>
            </w:r>
          </w:p>
        </w:tc>
        <w:tc>
          <w:tcPr>
            <w:tcW w:w="858" w:type="dxa"/>
            <w:tcBorders>
              <w:top w:val="single" w:sz="4" w:space="0" w:color="000000"/>
              <w:bottom w:val="single" w:sz="4" w:space="0" w:color="000000"/>
            </w:tcBorders>
          </w:tcPr>
          <w:p>
            <w:pPr>
              <w:pStyle w:val="TableParagraph"/>
              <w:spacing w:before="52"/>
              <w:ind w:right="107"/>
              <w:rPr>
                <w:sz w:val="16"/>
              </w:rPr>
            </w:pPr>
            <w:r>
              <w:rPr>
                <w:spacing w:val="-2"/>
                <w:sz w:val="16"/>
              </w:rPr>
              <w:t>3,413.8</w:t>
            </w:r>
          </w:p>
        </w:tc>
        <w:tc>
          <w:tcPr>
            <w:tcW w:w="1114" w:type="dxa"/>
            <w:tcBorders>
              <w:top w:val="single" w:sz="4" w:space="0" w:color="000000"/>
              <w:bottom w:val="single" w:sz="4" w:space="0" w:color="000000"/>
            </w:tcBorders>
          </w:tcPr>
          <w:p>
            <w:pPr>
              <w:pStyle w:val="TableParagraph"/>
              <w:spacing w:before="52"/>
              <w:ind w:right="107"/>
              <w:rPr>
                <w:sz w:val="16"/>
              </w:rPr>
            </w:pPr>
            <w:r>
              <w:rPr>
                <w:spacing w:val="-2"/>
                <w:sz w:val="16"/>
              </w:rPr>
              <w:t>1,773.1</w:t>
            </w:r>
          </w:p>
        </w:tc>
      </w:tr>
      <w:tr>
        <w:trPr>
          <w:trHeight w:val="282" w:hRule="atLeast"/>
        </w:trPr>
        <w:tc>
          <w:tcPr>
            <w:tcW w:w="2229" w:type="dxa"/>
            <w:tcBorders>
              <w:top w:val="single" w:sz="4" w:space="0" w:color="000000"/>
              <w:bottom w:val="single" w:sz="4" w:space="0" w:color="000000"/>
            </w:tcBorders>
          </w:tcPr>
          <w:p>
            <w:pPr>
              <w:pStyle w:val="TableParagraph"/>
              <w:spacing w:before="47"/>
              <w:ind w:left="119"/>
              <w:jc w:val="left"/>
              <w:rPr>
                <w:b/>
                <w:sz w:val="16"/>
              </w:rPr>
            </w:pPr>
            <w:r>
              <w:rPr>
                <w:b/>
                <w:w w:val="95"/>
                <w:sz w:val="16"/>
              </w:rPr>
              <w:t>Implementation</w:t>
            </w:r>
            <w:r>
              <w:rPr>
                <w:b/>
                <w:spacing w:val="15"/>
                <w:sz w:val="16"/>
              </w:rPr>
              <w:t> </w:t>
            </w:r>
            <w:r>
              <w:rPr>
                <w:b/>
                <w:w w:val="95"/>
                <w:sz w:val="16"/>
              </w:rPr>
              <w:t>rate</w:t>
            </w:r>
            <w:r>
              <w:rPr>
                <w:b/>
                <w:spacing w:val="21"/>
                <w:sz w:val="16"/>
              </w:rPr>
              <w:t> </w:t>
            </w:r>
            <w:r>
              <w:rPr>
                <w:b/>
                <w:w w:val="95"/>
                <w:sz w:val="16"/>
              </w:rPr>
              <w:t>in</w:t>
            </w:r>
            <w:r>
              <w:rPr>
                <w:b/>
                <w:spacing w:val="16"/>
                <w:sz w:val="16"/>
              </w:rPr>
              <w:t> </w:t>
            </w:r>
            <w:r>
              <w:rPr>
                <w:b/>
                <w:spacing w:val="-10"/>
                <w:w w:val="95"/>
                <w:sz w:val="16"/>
              </w:rPr>
              <w:t>%</w:t>
            </w:r>
          </w:p>
        </w:tc>
        <w:tc>
          <w:tcPr>
            <w:tcW w:w="903" w:type="dxa"/>
            <w:tcBorders>
              <w:top w:val="single" w:sz="4" w:space="0" w:color="000000"/>
              <w:bottom w:val="single" w:sz="4" w:space="0" w:color="000000"/>
            </w:tcBorders>
          </w:tcPr>
          <w:p>
            <w:pPr>
              <w:pStyle w:val="TableParagraph"/>
              <w:spacing w:before="47"/>
              <w:ind w:right="108"/>
              <w:rPr>
                <w:sz w:val="16"/>
              </w:rPr>
            </w:pPr>
            <w:r>
              <w:rPr>
                <w:spacing w:val="-2"/>
                <w:sz w:val="16"/>
              </w:rPr>
              <w:t>87.1%</w:t>
            </w:r>
          </w:p>
        </w:tc>
        <w:tc>
          <w:tcPr>
            <w:tcW w:w="857" w:type="dxa"/>
            <w:tcBorders>
              <w:top w:val="single" w:sz="4" w:space="0" w:color="000000"/>
              <w:bottom w:val="single" w:sz="4" w:space="0" w:color="000000"/>
            </w:tcBorders>
          </w:tcPr>
          <w:p>
            <w:pPr>
              <w:pStyle w:val="TableParagraph"/>
              <w:spacing w:before="47"/>
              <w:ind w:right="105"/>
              <w:rPr>
                <w:sz w:val="16"/>
              </w:rPr>
            </w:pPr>
            <w:r>
              <w:rPr>
                <w:spacing w:val="-2"/>
                <w:sz w:val="16"/>
              </w:rPr>
              <w:t>78.4%</w:t>
            </w:r>
          </w:p>
        </w:tc>
        <w:tc>
          <w:tcPr>
            <w:tcW w:w="854" w:type="dxa"/>
            <w:tcBorders>
              <w:top w:val="single" w:sz="4" w:space="0" w:color="000000"/>
              <w:bottom w:val="single" w:sz="4" w:space="0" w:color="000000"/>
            </w:tcBorders>
          </w:tcPr>
          <w:p>
            <w:pPr>
              <w:pStyle w:val="TableParagraph"/>
              <w:spacing w:before="47"/>
              <w:ind w:right="104"/>
              <w:rPr>
                <w:sz w:val="16"/>
              </w:rPr>
            </w:pPr>
            <w:r>
              <w:rPr>
                <w:spacing w:val="-2"/>
                <w:sz w:val="16"/>
              </w:rPr>
              <w:t>79.9%</w:t>
            </w:r>
          </w:p>
        </w:tc>
        <w:tc>
          <w:tcPr>
            <w:tcW w:w="857" w:type="dxa"/>
            <w:tcBorders>
              <w:top w:val="single" w:sz="4" w:space="0" w:color="000000"/>
              <w:bottom w:val="single" w:sz="4" w:space="0" w:color="000000"/>
            </w:tcBorders>
          </w:tcPr>
          <w:p>
            <w:pPr>
              <w:pStyle w:val="TableParagraph"/>
              <w:spacing w:before="47"/>
              <w:ind w:right="107"/>
              <w:rPr>
                <w:sz w:val="16"/>
              </w:rPr>
            </w:pPr>
            <w:r>
              <w:rPr>
                <w:spacing w:val="-2"/>
                <w:sz w:val="16"/>
              </w:rPr>
              <w:t>89.6%</w:t>
            </w:r>
          </w:p>
        </w:tc>
        <w:tc>
          <w:tcPr>
            <w:tcW w:w="857" w:type="dxa"/>
            <w:tcBorders>
              <w:top w:val="single" w:sz="4" w:space="0" w:color="000000"/>
              <w:bottom w:val="single" w:sz="4" w:space="0" w:color="000000"/>
            </w:tcBorders>
          </w:tcPr>
          <w:p>
            <w:pPr>
              <w:pStyle w:val="TableParagraph"/>
              <w:spacing w:before="47"/>
              <w:ind w:right="104"/>
              <w:rPr>
                <w:sz w:val="16"/>
              </w:rPr>
            </w:pPr>
            <w:r>
              <w:rPr>
                <w:spacing w:val="-2"/>
                <w:sz w:val="16"/>
              </w:rPr>
              <w:t>91.6%</w:t>
            </w:r>
          </w:p>
        </w:tc>
        <w:tc>
          <w:tcPr>
            <w:tcW w:w="855" w:type="dxa"/>
            <w:tcBorders>
              <w:top w:val="single" w:sz="4" w:space="0" w:color="000000"/>
              <w:bottom w:val="single" w:sz="4" w:space="0" w:color="000000"/>
            </w:tcBorders>
          </w:tcPr>
          <w:p>
            <w:pPr>
              <w:pStyle w:val="TableParagraph"/>
              <w:spacing w:before="47"/>
              <w:ind w:right="104"/>
              <w:rPr>
                <w:sz w:val="16"/>
              </w:rPr>
            </w:pPr>
            <w:r>
              <w:rPr>
                <w:spacing w:val="-2"/>
                <w:sz w:val="16"/>
              </w:rPr>
              <w:t>101.7%</w:t>
            </w:r>
          </w:p>
        </w:tc>
        <w:tc>
          <w:tcPr>
            <w:tcW w:w="858" w:type="dxa"/>
            <w:tcBorders>
              <w:top w:val="single" w:sz="4" w:space="0" w:color="000000"/>
              <w:bottom w:val="single" w:sz="4" w:space="0" w:color="000000"/>
            </w:tcBorders>
          </w:tcPr>
          <w:p>
            <w:pPr>
              <w:pStyle w:val="TableParagraph"/>
              <w:spacing w:before="47"/>
              <w:ind w:right="107"/>
              <w:rPr>
                <w:sz w:val="16"/>
              </w:rPr>
            </w:pPr>
            <w:r>
              <w:rPr>
                <w:spacing w:val="-2"/>
                <w:sz w:val="16"/>
              </w:rPr>
              <w:t>105.8%</w:t>
            </w:r>
          </w:p>
        </w:tc>
        <w:tc>
          <w:tcPr>
            <w:tcW w:w="1114" w:type="dxa"/>
            <w:tcBorders>
              <w:top w:val="single" w:sz="4" w:space="0" w:color="000000"/>
              <w:bottom w:val="single" w:sz="4" w:space="0" w:color="000000"/>
            </w:tcBorders>
          </w:tcPr>
          <w:p>
            <w:pPr>
              <w:pStyle w:val="TableParagraph"/>
              <w:spacing w:before="47"/>
              <w:ind w:right="108"/>
              <w:rPr>
                <w:sz w:val="16"/>
              </w:rPr>
            </w:pPr>
            <w:r>
              <w:rPr>
                <w:sz w:val="16"/>
              </w:rPr>
              <w:t>Aver.</w:t>
            </w:r>
            <w:r>
              <w:rPr>
                <w:spacing w:val="-5"/>
                <w:sz w:val="16"/>
              </w:rPr>
              <w:t> </w:t>
            </w:r>
            <w:r>
              <w:rPr>
                <w:spacing w:val="-2"/>
                <w:sz w:val="16"/>
              </w:rPr>
              <w:t>90.6%</w:t>
            </w:r>
          </w:p>
        </w:tc>
      </w:tr>
      <w:tr>
        <w:trPr>
          <w:trHeight w:val="575" w:hRule="atLeast"/>
        </w:trPr>
        <w:tc>
          <w:tcPr>
            <w:tcW w:w="2229" w:type="dxa"/>
            <w:tcBorders>
              <w:top w:val="single" w:sz="4" w:space="0" w:color="000000"/>
              <w:bottom w:val="single" w:sz="4" w:space="0" w:color="000000"/>
            </w:tcBorders>
          </w:tcPr>
          <w:p>
            <w:pPr>
              <w:pStyle w:val="TableParagraph"/>
              <w:jc w:val="left"/>
              <w:rPr>
                <w:b/>
                <w:sz w:val="18"/>
              </w:rPr>
            </w:pPr>
          </w:p>
          <w:p>
            <w:pPr>
              <w:pStyle w:val="TableParagraph"/>
              <w:spacing w:before="133"/>
              <w:ind w:left="119"/>
              <w:jc w:val="left"/>
              <w:rPr>
                <w:b/>
                <w:i/>
                <w:sz w:val="16"/>
              </w:rPr>
            </w:pPr>
            <w:r>
              <w:rPr>
                <w:b/>
                <w:i/>
                <w:sz w:val="16"/>
              </w:rPr>
              <w:t>ICC</w:t>
            </w:r>
            <w:r>
              <w:rPr>
                <w:b/>
                <w:i/>
                <w:spacing w:val="-6"/>
                <w:sz w:val="16"/>
              </w:rPr>
              <w:t> </w:t>
            </w:r>
            <w:r>
              <w:rPr>
                <w:b/>
                <w:i/>
                <w:spacing w:val="-2"/>
                <w:sz w:val="16"/>
              </w:rPr>
              <w:t>total</w:t>
            </w:r>
          </w:p>
        </w:tc>
        <w:tc>
          <w:tcPr>
            <w:tcW w:w="903" w:type="dxa"/>
            <w:tcBorders>
              <w:top w:val="single" w:sz="4" w:space="0" w:color="000000"/>
              <w:bottom w:val="single" w:sz="4" w:space="0" w:color="000000"/>
            </w:tcBorders>
          </w:tcPr>
          <w:p>
            <w:pPr>
              <w:pStyle w:val="TableParagraph"/>
              <w:jc w:val="left"/>
              <w:rPr>
                <w:sz w:val="16"/>
              </w:rPr>
            </w:pPr>
          </w:p>
        </w:tc>
        <w:tc>
          <w:tcPr>
            <w:tcW w:w="857" w:type="dxa"/>
            <w:tcBorders>
              <w:top w:val="single" w:sz="4" w:space="0" w:color="000000"/>
              <w:bottom w:val="single" w:sz="4" w:space="0" w:color="000000"/>
            </w:tcBorders>
          </w:tcPr>
          <w:p>
            <w:pPr>
              <w:pStyle w:val="TableParagraph"/>
              <w:jc w:val="left"/>
              <w:rPr>
                <w:sz w:val="16"/>
              </w:rPr>
            </w:pPr>
          </w:p>
        </w:tc>
        <w:tc>
          <w:tcPr>
            <w:tcW w:w="854" w:type="dxa"/>
            <w:tcBorders>
              <w:top w:val="single" w:sz="4" w:space="0" w:color="000000"/>
              <w:bottom w:val="single" w:sz="4" w:space="0" w:color="000000"/>
            </w:tcBorders>
          </w:tcPr>
          <w:p>
            <w:pPr>
              <w:pStyle w:val="TableParagraph"/>
              <w:jc w:val="left"/>
              <w:rPr>
                <w:sz w:val="16"/>
              </w:rPr>
            </w:pPr>
          </w:p>
        </w:tc>
        <w:tc>
          <w:tcPr>
            <w:tcW w:w="857" w:type="dxa"/>
            <w:tcBorders>
              <w:top w:val="single" w:sz="4" w:space="0" w:color="000000"/>
              <w:bottom w:val="single" w:sz="4" w:space="0" w:color="000000"/>
            </w:tcBorders>
          </w:tcPr>
          <w:p>
            <w:pPr>
              <w:pStyle w:val="TableParagraph"/>
              <w:jc w:val="left"/>
              <w:rPr>
                <w:sz w:val="16"/>
              </w:rPr>
            </w:pPr>
          </w:p>
        </w:tc>
        <w:tc>
          <w:tcPr>
            <w:tcW w:w="857" w:type="dxa"/>
            <w:tcBorders>
              <w:top w:val="single" w:sz="4" w:space="0" w:color="000000"/>
              <w:bottom w:val="single" w:sz="4" w:space="0" w:color="000000"/>
            </w:tcBorders>
          </w:tcPr>
          <w:p>
            <w:pPr>
              <w:pStyle w:val="TableParagraph"/>
              <w:jc w:val="left"/>
              <w:rPr>
                <w:sz w:val="16"/>
              </w:rPr>
            </w:pPr>
          </w:p>
        </w:tc>
        <w:tc>
          <w:tcPr>
            <w:tcW w:w="855" w:type="dxa"/>
            <w:tcBorders>
              <w:top w:val="single" w:sz="4" w:space="0" w:color="000000"/>
              <w:bottom w:val="single" w:sz="4" w:space="0" w:color="000000"/>
            </w:tcBorders>
          </w:tcPr>
          <w:p>
            <w:pPr>
              <w:pStyle w:val="TableParagraph"/>
              <w:jc w:val="left"/>
              <w:rPr>
                <w:sz w:val="16"/>
              </w:rPr>
            </w:pPr>
          </w:p>
        </w:tc>
        <w:tc>
          <w:tcPr>
            <w:tcW w:w="858" w:type="dxa"/>
            <w:tcBorders>
              <w:top w:val="single" w:sz="4" w:space="0" w:color="000000"/>
              <w:bottom w:val="single" w:sz="4" w:space="0" w:color="000000"/>
            </w:tcBorders>
          </w:tcPr>
          <w:p>
            <w:pPr>
              <w:pStyle w:val="TableParagraph"/>
              <w:jc w:val="left"/>
              <w:rPr>
                <w:sz w:val="16"/>
              </w:rPr>
            </w:pPr>
          </w:p>
        </w:tc>
        <w:tc>
          <w:tcPr>
            <w:tcW w:w="1114" w:type="dxa"/>
            <w:tcBorders>
              <w:top w:val="single" w:sz="4" w:space="0" w:color="000000"/>
              <w:bottom w:val="single" w:sz="4" w:space="0" w:color="000000"/>
            </w:tcBorders>
          </w:tcPr>
          <w:p>
            <w:pPr>
              <w:pStyle w:val="TableParagraph"/>
              <w:jc w:val="left"/>
              <w:rPr>
                <w:sz w:val="16"/>
              </w:rPr>
            </w:pPr>
          </w:p>
        </w:tc>
      </w:tr>
      <w:tr>
        <w:trPr>
          <w:trHeight w:val="287" w:hRule="atLeast"/>
        </w:trPr>
        <w:tc>
          <w:tcPr>
            <w:tcW w:w="2229" w:type="dxa"/>
            <w:tcBorders>
              <w:top w:val="single" w:sz="4" w:space="0" w:color="000000"/>
              <w:bottom w:val="single" w:sz="4" w:space="0" w:color="000000"/>
            </w:tcBorders>
          </w:tcPr>
          <w:p>
            <w:pPr>
              <w:pStyle w:val="TableParagraph"/>
              <w:spacing w:before="52"/>
              <w:ind w:left="119"/>
              <w:jc w:val="left"/>
              <w:rPr>
                <w:b/>
                <w:sz w:val="16"/>
              </w:rPr>
            </w:pPr>
            <w:r>
              <w:rPr>
                <w:b/>
                <w:spacing w:val="-2"/>
                <w:sz w:val="16"/>
              </w:rPr>
              <w:t>Total</w:t>
            </w:r>
          </w:p>
        </w:tc>
        <w:tc>
          <w:tcPr>
            <w:tcW w:w="903" w:type="dxa"/>
            <w:tcBorders>
              <w:top w:val="single" w:sz="4" w:space="0" w:color="000000"/>
              <w:bottom w:val="single" w:sz="4" w:space="0" w:color="000000"/>
            </w:tcBorders>
          </w:tcPr>
          <w:p>
            <w:pPr>
              <w:pStyle w:val="TableParagraph"/>
              <w:spacing w:before="52"/>
              <w:ind w:right="108"/>
              <w:rPr>
                <w:sz w:val="16"/>
              </w:rPr>
            </w:pPr>
            <w:r>
              <w:rPr>
                <w:spacing w:val="-2"/>
                <w:sz w:val="16"/>
              </w:rPr>
              <w:t>139,590.6</w:t>
            </w:r>
          </w:p>
        </w:tc>
        <w:tc>
          <w:tcPr>
            <w:tcW w:w="857" w:type="dxa"/>
            <w:tcBorders>
              <w:top w:val="single" w:sz="4" w:space="0" w:color="000000"/>
              <w:bottom w:val="single" w:sz="4" w:space="0" w:color="000000"/>
            </w:tcBorders>
          </w:tcPr>
          <w:p>
            <w:pPr>
              <w:pStyle w:val="TableParagraph"/>
              <w:spacing w:before="52"/>
              <w:ind w:right="105"/>
              <w:rPr>
                <w:sz w:val="16"/>
              </w:rPr>
            </w:pPr>
            <w:r>
              <w:rPr>
                <w:spacing w:val="-2"/>
                <w:sz w:val="16"/>
              </w:rPr>
              <w:t>144,587.3</w:t>
            </w:r>
          </w:p>
        </w:tc>
        <w:tc>
          <w:tcPr>
            <w:tcW w:w="854" w:type="dxa"/>
            <w:tcBorders>
              <w:top w:val="single" w:sz="4" w:space="0" w:color="000000"/>
              <w:bottom w:val="single" w:sz="4" w:space="0" w:color="000000"/>
            </w:tcBorders>
          </w:tcPr>
          <w:p>
            <w:pPr>
              <w:pStyle w:val="TableParagraph"/>
              <w:spacing w:before="52"/>
              <w:ind w:right="104"/>
              <w:rPr>
                <w:sz w:val="16"/>
              </w:rPr>
            </w:pPr>
            <w:r>
              <w:rPr>
                <w:spacing w:val="-2"/>
                <w:sz w:val="16"/>
              </w:rPr>
              <w:t>147,431.5</w:t>
            </w:r>
          </w:p>
        </w:tc>
        <w:tc>
          <w:tcPr>
            <w:tcW w:w="857" w:type="dxa"/>
            <w:tcBorders>
              <w:top w:val="single" w:sz="4" w:space="0" w:color="000000"/>
              <w:bottom w:val="single" w:sz="4" w:space="0" w:color="000000"/>
            </w:tcBorders>
          </w:tcPr>
          <w:p>
            <w:pPr>
              <w:pStyle w:val="TableParagraph"/>
              <w:spacing w:before="52"/>
              <w:ind w:right="107"/>
              <w:rPr>
                <w:sz w:val="16"/>
              </w:rPr>
            </w:pPr>
            <w:r>
              <w:rPr>
                <w:spacing w:val="-2"/>
                <w:sz w:val="16"/>
              </w:rPr>
              <w:t>148,135.1</w:t>
            </w:r>
          </w:p>
        </w:tc>
        <w:tc>
          <w:tcPr>
            <w:tcW w:w="857" w:type="dxa"/>
            <w:tcBorders>
              <w:top w:val="single" w:sz="4" w:space="0" w:color="000000"/>
              <w:bottom w:val="single" w:sz="4" w:space="0" w:color="000000"/>
            </w:tcBorders>
          </w:tcPr>
          <w:p>
            <w:pPr>
              <w:pStyle w:val="TableParagraph"/>
              <w:spacing w:before="52"/>
              <w:ind w:right="104"/>
              <w:rPr>
                <w:sz w:val="16"/>
              </w:rPr>
            </w:pPr>
            <w:r>
              <w:rPr>
                <w:spacing w:val="-2"/>
                <w:sz w:val="16"/>
              </w:rPr>
              <w:t>149,205.6</w:t>
            </w:r>
          </w:p>
        </w:tc>
        <w:tc>
          <w:tcPr>
            <w:tcW w:w="855" w:type="dxa"/>
            <w:tcBorders>
              <w:top w:val="single" w:sz="4" w:space="0" w:color="000000"/>
              <w:bottom w:val="single" w:sz="4" w:space="0" w:color="000000"/>
            </w:tcBorders>
          </w:tcPr>
          <w:p>
            <w:pPr>
              <w:pStyle w:val="TableParagraph"/>
              <w:spacing w:before="52"/>
              <w:ind w:right="104"/>
              <w:rPr>
                <w:sz w:val="16"/>
              </w:rPr>
            </w:pPr>
            <w:r>
              <w:rPr>
                <w:spacing w:val="-2"/>
                <w:sz w:val="16"/>
              </w:rPr>
              <w:t>148,259.0</w:t>
            </w:r>
          </w:p>
        </w:tc>
        <w:tc>
          <w:tcPr>
            <w:tcW w:w="858" w:type="dxa"/>
            <w:tcBorders>
              <w:top w:val="single" w:sz="4" w:space="0" w:color="000000"/>
              <w:bottom w:val="single" w:sz="4" w:space="0" w:color="000000"/>
            </w:tcBorders>
          </w:tcPr>
          <w:p>
            <w:pPr>
              <w:pStyle w:val="TableParagraph"/>
              <w:spacing w:before="52"/>
              <w:ind w:right="108"/>
              <w:rPr>
                <w:sz w:val="16"/>
              </w:rPr>
            </w:pPr>
            <w:r>
              <w:rPr>
                <w:spacing w:val="-2"/>
                <w:sz w:val="16"/>
              </w:rPr>
              <w:t>154,855.0</w:t>
            </w:r>
          </w:p>
        </w:tc>
        <w:tc>
          <w:tcPr>
            <w:tcW w:w="1114" w:type="dxa"/>
            <w:tcBorders>
              <w:top w:val="single" w:sz="4" w:space="0" w:color="000000"/>
              <w:bottom w:val="single" w:sz="4" w:space="0" w:color="000000"/>
            </w:tcBorders>
          </w:tcPr>
          <w:p>
            <w:pPr>
              <w:pStyle w:val="TableParagraph"/>
              <w:spacing w:before="52"/>
              <w:ind w:right="108"/>
              <w:rPr>
                <w:sz w:val="16"/>
              </w:rPr>
            </w:pPr>
            <w:r>
              <w:rPr>
                <w:spacing w:val="-2"/>
                <w:sz w:val="16"/>
              </w:rPr>
              <w:t>15,264.4</w:t>
            </w:r>
          </w:p>
        </w:tc>
      </w:tr>
      <w:tr>
        <w:trPr>
          <w:trHeight w:val="287" w:hRule="atLeast"/>
        </w:trPr>
        <w:tc>
          <w:tcPr>
            <w:tcW w:w="2229" w:type="dxa"/>
            <w:tcBorders>
              <w:top w:val="single" w:sz="4" w:space="0" w:color="000000"/>
              <w:bottom w:val="single" w:sz="4" w:space="0" w:color="000000"/>
            </w:tcBorders>
          </w:tcPr>
          <w:p>
            <w:pPr>
              <w:pStyle w:val="TableParagraph"/>
              <w:spacing w:before="52"/>
              <w:ind w:left="119"/>
              <w:jc w:val="left"/>
              <w:rPr>
                <w:b/>
                <w:sz w:val="16"/>
              </w:rPr>
            </w:pPr>
            <w:r>
              <w:rPr>
                <w:b/>
                <w:sz w:val="16"/>
              </w:rPr>
              <w:t>Variance</w:t>
            </w:r>
            <w:r>
              <w:rPr>
                <w:b/>
                <w:spacing w:val="-8"/>
                <w:sz w:val="16"/>
              </w:rPr>
              <w:t> </w:t>
            </w:r>
            <w:r>
              <w:rPr>
                <w:b/>
                <w:sz w:val="16"/>
              </w:rPr>
              <w:t>previous</w:t>
            </w:r>
            <w:r>
              <w:rPr>
                <w:b/>
                <w:spacing w:val="-8"/>
                <w:sz w:val="16"/>
              </w:rPr>
              <w:t> </w:t>
            </w:r>
            <w:r>
              <w:rPr>
                <w:b/>
                <w:spacing w:val="-4"/>
                <w:sz w:val="16"/>
              </w:rPr>
              <w:t>year</w:t>
            </w:r>
          </w:p>
        </w:tc>
        <w:tc>
          <w:tcPr>
            <w:tcW w:w="903" w:type="dxa"/>
            <w:tcBorders>
              <w:top w:val="single" w:sz="4" w:space="0" w:color="000000"/>
              <w:bottom w:val="single" w:sz="4" w:space="0" w:color="000000"/>
            </w:tcBorders>
          </w:tcPr>
          <w:p>
            <w:pPr>
              <w:pStyle w:val="TableParagraph"/>
              <w:spacing w:before="52"/>
              <w:ind w:right="108"/>
              <w:rPr>
                <w:sz w:val="16"/>
              </w:rPr>
            </w:pPr>
            <w:r>
              <w:rPr>
                <w:spacing w:val="-2"/>
                <w:sz w:val="16"/>
              </w:rPr>
              <w:t>8,925.0</w:t>
            </w:r>
          </w:p>
        </w:tc>
        <w:tc>
          <w:tcPr>
            <w:tcW w:w="857" w:type="dxa"/>
            <w:tcBorders>
              <w:top w:val="single" w:sz="4" w:space="0" w:color="000000"/>
              <w:bottom w:val="single" w:sz="4" w:space="0" w:color="000000"/>
            </w:tcBorders>
          </w:tcPr>
          <w:p>
            <w:pPr>
              <w:pStyle w:val="TableParagraph"/>
              <w:spacing w:before="52"/>
              <w:ind w:right="105"/>
              <w:rPr>
                <w:sz w:val="16"/>
              </w:rPr>
            </w:pPr>
            <w:r>
              <w:rPr>
                <w:spacing w:val="-2"/>
                <w:sz w:val="16"/>
              </w:rPr>
              <w:t>4,996.7</w:t>
            </w:r>
          </w:p>
        </w:tc>
        <w:tc>
          <w:tcPr>
            <w:tcW w:w="854" w:type="dxa"/>
            <w:tcBorders>
              <w:top w:val="single" w:sz="4" w:space="0" w:color="000000"/>
              <w:bottom w:val="single" w:sz="4" w:space="0" w:color="000000"/>
            </w:tcBorders>
          </w:tcPr>
          <w:p>
            <w:pPr>
              <w:pStyle w:val="TableParagraph"/>
              <w:spacing w:before="52"/>
              <w:ind w:right="104"/>
              <w:rPr>
                <w:sz w:val="16"/>
              </w:rPr>
            </w:pPr>
            <w:r>
              <w:rPr>
                <w:spacing w:val="-2"/>
                <w:sz w:val="16"/>
              </w:rPr>
              <w:t>2,844.2</w:t>
            </w:r>
          </w:p>
        </w:tc>
        <w:tc>
          <w:tcPr>
            <w:tcW w:w="857" w:type="dxa"/>
            <w:tcBorders>
              <w:top w:val="single" w:sz="4" w:space="0" w:color="000000"/>
              <w:bottom w:val="single" w:sz="4" w:space="0" w:color="000000"/>
            </w:tcBorders>
          </w:tcPr>
          <w:p>
            <w:pPr>
              <w:pStyle w:val="TableParagraph"/>
              <w:spacing w:before="52"/>
              <w:ind w:right="107"/>
              <w:rPr>
                <w:sz w:val="16"/>
              </w:rPr>
            </w:pPr>
            <w:r>
              <w:rPr>
                <w:spacing w:val="-2"/>
                <w:sz w:val="16"/>
              </w:rPr>
              <w:t>703.6</w:t>
            </w:r>
          </w:p>
        </w:tc>
        <w:tc>
          <w:tcPr>
            <w:tcW w:w="857" w:type="dxa"/>
            <w:tcBorders>
              <w:top w:val="single" w:sz="4" w:space="0" w:color="000000"/>
              <w:bottom w:val="single" w:sz="4" w:space="0" w:color="000000"/>
            </w:tcBorders>
          </w:tcPr>
          <w:p>
            <w:pPr>
              <w:pStyle w:val="TableParagraph"/>
              <w:spacing w:before="52"/>
              <w:ind w:right="104"/>
              <w:rPr>
                <w:sz w:val="16"/>
              </w:rPr>
            </w:pPr>
            <w:r>
              <w:rPr>
                <w:spacing w:val="-2"/>
                <w:sz w:val="16"/>
              </w:rPr>
              <w:t>1,070.5</w:t>
            </w:r>
          </w:p>
        </w:tc>
        <w:tc>
          <w:tcPr>
            <w:tcW w:w="855" w:type="dxa"/>
            <w:tcBorders>
              <w:top w:val="single" w:sz="4" w:space="0" w:color="000000"/>
              <w:bottom w:val="single" w:sz="4" w:space="0" w:color="000000"/>
            </w:tcBorders>
          </w:tcPr>
          <w:p>
            <w:pPr>
              <w:pStyle w:val="TableParagraph"/>
              <w:spacing w:before="52"/>
              <w:ind w:right="104"/>
              <w:rPr>
                <w:sz w:val="16"/>
              </w:rPr>
            </w:pPr>
            <w:r>
              <w:rPr>
                <w:w w:val="95"/>
                <w:sz w:val="16"/>
              </w:rPr>
              <w:t>-</w:t>
            </w:r>
            <w:r>
              <w:rPr>
                <w:spacing w:val="-2"/>
                <w:sz w:val="16"/>
              </w:rPr>
              <w:t>946.6</w:t>
            </w:r>
          </w:p>
        </w:tc>
        <w:tc>
          <w:tcPr>
            <w:tcW w:w="858" w:type="dxa"/>
            <w:tcBorders>
              <w:top w:val="single" w:sz="4" w:space="0" w:color="000000"/>
              <w:bottom w:val="single" w:sz="4" w:space="0" w:color="000000"/>
            </w:tcBorders>
          </w:tcPr>
          <w:p>
            <w:pPr>
              <w:pStyle w:val="TableParagraph"/>
              <w:spacing w:before="52"/>
              <w:ind w:right="107"/>
              <w:rPr>
                <w:sz w:val="16"/>
              </w:rPr>
            </w:pPr>
            <w:r>
              <w:rPr>
                <w:spacing w:val="-2"/>
                <w:sz w:val="16"/>
              </w:rPr>
              <w:t>6,596.0</w:t>
            </w:r>
          </w:p>
        </w:tc>
        <w:tc>
          <w:tcPr>
            <w:tcW w:w="1114" w:type="dxa"/>
            <w:tcBorders>
              <w:top w:val="single" w:sz="4" w:space="0" w:color="000000"/>
              <w:bottom w:val="single" w:sz="4" w:space="0" w:color="000000"/>
            </w:tcBorders>
          </w:tcPr>
          <w:p>
            <w:pPr>
              <w:pStyle w:val="TableParagraph"/>
              <w:jc w:val="left"/>
              <w:rPr>
                <w:sz w:val="16"/>
              </w:rPr>
            </w:pPr>
          </w:p>
        </w:tc>
      </w:tr>
      <w:tr>
        <w:trPr>
          <w:trHeight w:val="287" w:hRule="atLeast"/>
        </w:trPr>
        <w:tc>
          <w:tcPr>
            <w:tcW w:w="2229" w:type="dxa"/>
            <w:tcBorders>
              <w:top w:val="single" w:sz="4" w:space="0" w:color="000000"/>
              <w:bottom w:val="single" w:sz="4" w:space="0" w:color="000000"/>
            </w:tcBorders>
          </w:tcPr>
          <w:p>
            <w:pPr>
              <w:pStyle w:val="TableParagraph"/>
              <w:spacing w:before="52"/>
              <w:ind w:left="119"/>
              <w:jc w:val="left"/>
              <w:rPr>
                <w:b/>
                <w:sz w:val="16"/>
              </w:rPr>
            </w:pPr>
            <w:r>
              <w:rPr>
                <w:b/>
                <w:sz w:val="16"/>
              </w:rPr>
              <w:t>Variance</w:t>
            </w:r>
            <w:r>
              <w:rPr>
                <w:b/>
                <w:spacing w:val="-5"/>
                <w:sz w:val="16"/>
              </w:rPr>
              <w:t> </w:t>
            </w:r>
            <w:r>
              <w:rPr>
                <w:b/>
                <w:sz w:val="16"/>
              </w:rPr>
              <w:t>previous</w:t>
            </w:r>
            <w:r>
              <w:rPr>
                <w:b/>
                <w:spacing w:val="-5"/>
                <w:sz w:val="16"/>
              </w:rPr>
              <w:t> </w:t>
            </w:r>
            <w:r>
              <w:rPr>
                <w:b/>
                <w:sz w:val="16"/>
              </w:rPr>
              <w:t>year</w:t>
            </w:r>
            <w:r>
              <w:rPr>
                <w:b/>
                <w:spacing w:val="-5"/>
                <w:sz w:val="16"/>
              </w:rPr>
              <w:t> </w:t>
            </w:r>
            <w:r>
              <w:rPr>
                <w:b/>
                <w:sz w:val="16"/>
              </w:rPr>
              <w:t>in</w:t>
            </w:r>
            <w:r>
              <w:rPr>
                <w:b/>
                <w:spacing w:val="-7"/>
                <w:sz w:val="16"/>
              </w:rPr>
              <w:t> </w:t>
            </w:r>
            <w:r>
              <w:rPr>
                <w:b/>
                <w:spacing w:val="-10"/>
                <w:sz w:val="16"/>
              </w:rPr>
              <w:t>%</w:t>
            </w:r>
          </w:p>
        </w:tc>
        <w:tc>
          <w:tcPr>
            <w:tcW w:w="903" w:type="dxa"/>
            <w:tcBorders>
              <w:top w:val="single" w:sz="4" w:space="0" w:color="000000"/>
              <w:bottom w:val="single" w:sz="4" w:space="0" w:color="000000"/>
            </w:tcBorders>
          </w:tcPr>
          <w:p>
            <w:pPr>
              <w:pStyle w:val="TableParagraph"/>
              <w:spacing w:before="52"/>
              <w:ind w:right="107"/>
              <w:rPr>
                <w:sz w:val="16"/>
              </w:rPr>
            </w:pPr>
            <w:r>
              <w:rPr>
                <w:spacing w:val="-4"/>
                <w:sz w:val="16"/>
              </w:rPr>
              <w:t>6.8%</w:t>
            </w:r>
          </w:p>
        </w:tc>
        <w:tc>
          <w:tcPr>
            <w:tcW w:w="857" w:type="dxa"/>
            <w:tcBorders>
              <w:top w:val="single" w:sz="4" w:space="0" w:color="000000"/>
              <w:bottom w:val="single" w:sz="4" w:space="0" w:color="000000"/>
            </w:tcBorders>
          </w:tcPr>
          <w:p>
            <w:pPr>
              <w:pStyle w:val="TableParagraph"/>
              <w:spacing w:before="52"/>
              <w:ind w:right="105"/>
              <w:rPr>
                <w:sz w:val="16"/>
              </w:rPr>
            </w:pPr>
            <w:r>
              <w:rPr>
                <w:spacing w:val="-4"/>
                <w:sz w:val="16"/>
              </w:rPr>
              <w:t>3.6%</w:t>
            </w:r>
          </w:p>
        </w:tc>
        <w:tc>
          <w:tcPr>
            <w:tcW w:w="854" w:type="dxa"/>
            <w:tcBorders>
              <w:top w:val="single" w:sz="4" w:space="0" w:color="000000"/>
              <w:bottom w:val="single" w:sz="4" w:space="0" w:color="000000"/>
            </w:tcBorders>
          </w:tcPr>
          <w:p>
            <w:pPr>
              <w:pStyle w:val="TableParagraph"/>
              <w:spacing w:before="52"/>
              <w:ind w:right="104"/>
              <w:rPr>
                <w:sz w:val="16"/>
              </w:rPr>
            </w:pPr>
            <w:r>
              <w:rPr>
                <w:spacing w:val="-4"/>
                <w:sz w:val="16"/>
              </w:rPr>
              <w:t>2.0%</w:t>
            </w:r>
          </w:p>
        </w:tc>
        <w:tc>
          <w:tcPr>
            <w:tcW w:w="857" w:type="dxa"/>
            <w:tcBorders>
              <w:top w:val="single" w:sz="4" w:space="0" w:color="000000"/>
              <w:bottom w:val="single" w:sz="4" w:space="0" w:color="000000"/>
            </w:tcBorders>
          </w:tcPr>
          <w:p>
            <w:pPr>
              <w:pStyle w:val="TableParagraph"/>
              <w:spacing w:before="52"/>
              <w:ind w:right="106"/>
              <w:rPr>
                <w:sz w:val="16"/>
              </w:rPr>
            </w:pPr>
            <w:r>
              <w:rPr>
                <w:spacing w:val="-4"/>
                <w:sz w:val="16"/>
              </w:rPr>
              <w:t>0.5%</w:t>
            </w:r>
          </w:p>
        </w:tc>
        <w:tc>
          <w:tcPr>
            <w:tcW w:w="857" w:type="dxa"/>
            <w:tcBorders>
              <w:top w:val="single" w:sz="4" w:space="0" w:color="000000"/>
              <w:bottom w:val="single" w:sz="4" w:space="0" w:color="000000"/>
            </w:tcBorders>
          </w:tcPr>
          <w:p>
            <w:pPr>
              <w:pStyle w:val="TableParagraph"/>
              <w:spacing w:before="52"/>
              <w:ind w:right="104"/>
              <w:rPr>
                <w:sz w:val="16"/>
              </w:rPr>
            </w:pPr>
            <w:r>
              <w:rPr>
                <w:spacing w:val="-4"/>
                <w:sz w:val="16"/>
              </w:rPr>
              <w:t>0.7%</w:t>
            </w:r>
          </w:p>
        </w:tc>
        <w:tc>
          <w:tcPr>
            <w:tcW w:w="855" w:type="dxa"/>
            <w:tcBorders>
              <w:top w:val="single" w:sz="4" w:space="0" w:color="000000"/>
              <w:bottom w:val="single" w:sz="4" w:space="0" w:color="000000"/>
            </w:tcBorders>
          </w:tcPr>
          <w:p>
            <w:pPr>
              <w:pStyle w:val="TableParagraph"/>
              <w:spacing w:before="52"/>
              <w:ind w:right="109"/>
              <w:rPr>
                <w:sz w:val="16"/>
              </w:rPr>
            </w:pPr>
            <w:r>
              <w:rPr>
                <w:w w:val="95"/>
                <w:sz w:val="16"/>
              </w:rPr>
              <w:t>-</w:t>
            </w:r>
            <w:r>
              <w:rPr>
                <w:spacing w:val="-4"/>
                <w:sz w:val="16"/>
              </w:rPr>
              <w:t>0.6%</w:t>
            </w:r>
          </w:p>
        </w:tc>
        <w:tc>
          <w:tcPr>
            <w:tcW w:w="858" w:type="dxa"/>
            <w:tcBorders>
              <w:top w:val="single" w:sz="4" w:space="0" w:color="000000"/>
              <w:bottom w:val="single" w:sz="4" w:space="0" w:color="000000"/>
            </w:tcBorders>
          </w:tcPr>
          <w:p>
            <w:pPr>
              <w:pStyle w:val="TableParagraph"/>
              <w:spacing w:before="52"/>
              <w:ind w:right="107"/>
              <w:rPr>
                <w:sz w:val="16"/>
              </w:rPr>
            </w:pPr>
            <w:r>
              <w:rPr>
                <w:spacing w:val="-4"/>
                <w:sz w:val="16"/>
              </w:rPr>
              <w:t>4.4%</w:t>
            </w:r>
          </w:p>
        </w:tc>
        <w:tc>
          <w:tcPr>
            <w:tcW w:w="1114" w:type="dxa"/>
            <w:tcBorders>
              <w:top w:val="single" w:sz="4" w:space="0" w:color="000000"/>
              <w:bottom w:val="single" w:sz="4" w:space="0" w:color="000000"/>
            </w:tcBorders>
          </w:tcPr>
          <w:p>
            <w:pPr>
              <w:pStyle w:val="TableParagraph"/>
              <w:spacing w:before="52"/>
              <w:ind w:right="107"/>
              <w:rPr>
                <w:sz w:val="16"/>
              </w:rPr>
            </w:pPr>
            <w:r>
              <w:rPr>
                <w:spacing w:val="-2"/>
                <w:sz w:val="16"/>
              </w:rPr>
              <w:t>10.9%</w:t>
            </w:r>
          </w:p>
        </w:tc>
      </w:tr>
      <w:tr>
        <w:trPr>
          <w:trHeight w:val="287" w:hRule="atLeast"/>
        </w:trPr>
        <w:tc>
          <w:tcPr>
            <w:tcW w:w="2229" w:type="dxa"/>
            <w:tcBorders>
              <w:top w:val="single" w:sz="4" w:space="0" w:color="000000"/>
              <w:bottom w:val="single" w:sz="4" w:space="0" w:color="000000"/>
            </w:tcBorders>
          </w:tcPr>
          <w:p>
            <w:pPr>
              <w:pStyle w:val="TableParagraph"/>
              <w:spacing w:before="52"/>
              <w:ind w:left="119"/>
              <w:jc w:val="left"/>
              <w:rPr>
                <w:b/>
                <w:sz w:val="16"/>
              </w:rPr>
            </w:pPr>
            <w:r>
              <w:rPr>
                <w:b/>
                <w:w w:val="95"/>
                <w:sz w:val="16"/>
              </w:rPr>
              <w:t>Actual</w:t>
            </w:r>
            <w:r>
              <w:rPr>
                <w:b/>
                <w:spacing w:val="13"/>
                <w:sz w:val="16"/>
              </w:rPr>
              <w:t> </w:t>
            </w:r>
            <w:r>
              <w:rPr>
                <w:b/>
                <w:spacing w:val="-2"/>
                <w:sz w:val="16"/>
              </w:rPr>
              <w:t>expenditure</w:t>
            </w:r>
          </w:p>
        </w:tc>
        <w:tc>
          <w:tcPr>
            <w:tcW w:w="903" w:type="dxa"/>
            <w:tcBorders>
              <w:top w:val="single" w:sz="4" w:space="0" w:color="000000"/>
              <w:bottom w:val="single" w:sz="4" w:space="0" w:color="000000"/>
            </w:tcBorders>
          </w:tcPr>
          <w:p>
            <w:pPr>
              <w:pStyle w:val="TableParagraph"/>
              <w:spacing w:before="52"/>
              <w:ind w:right="108"/>
              <w:rPr>
                <w:sz w:val="16"/>
              </w:rPr>
            </w:pPr>
            <w:r>
              <w:rPr>
                <w:spacing w:val="-2"/>
                <w:sz w:val="16"/>
              </w:rPr>
              <w:t>138,394.0</w:t>
            </w:r>
          </w:p>
        </w:tc>
        <w:tc>
          <w:tcPr>
            <w:tcW w:w="857" w:type="dxa"/>
            <w:tcBorders>
              <w:top w:val="single" w:sz="4" w:space="0" w:color="000000"/>
              <w:bottom w:val="single" w:sz="4" w:space="0" w:color="000000"/>
            </w:tcBorders>
          </w:tcPr>
          <w:p>
            <w:pPr>
              <w:pStyle w:val="TableParagraph"/>
              <w:spacing w:before="52"/>
              <w:ind w:right="105"/>
              <w:rPr>
                <w:sz w:val="16"/>
              </w:rPr>
            </w:pPr>
            <w:r>
              <w:rPr>
                <w:spacing w:val="-2"/>
                <w:sz w:val="16"/>
              </w:rPr>
              <w:t>145,135.0</w:t>
            </w:r>
          </w:p>
        </w:tc>
        <w:tc>
          <w:tcPr>
            <w:tcW w:w="854" w:type="dxa"/>
            <w:tcBorders>
              <w:top w:val="single" w:sz="4" w:space="0" w:color="000000"/>
              <w:bottom w:val="single" w:sz="4" w:space="0" w:color="000000"/>
            </w:tcBorders>
          </w:tcPr>
          <w:p>
            <w:pPr>
              <w:pStyle w:val="TableParagraph"/>
              <w:spacing w:before="52"/>
              <w:ind w:right="104"/>
              <w:rPr>
                <w:sz w:val="16"/>
              </w:rPr>
            </w:pPr>
            <w:r>
              <w:rPr>
                <w:spacing w:val="-2"/>
                <w:sz w:val="16"/>
              </w:rPr>
              <w:t>145,025.0</w:t>
            </w:r>
          </w:p>
        </w:tc>
        <w:tc>
          <w:tcPr>
            <w:tcW w:w="857" w:type="dxa"/>
            <w:tcBorders>
              <w:top w:val="single" w:sz="4" w:space="0" w:color="000000"/>
              <w:bottom w:val="single" w:sz="4" w:space="0" w:color="000000"/>
            </w:tcBorders>
          </w:tcPr>
          <w:p>
            <w:pPr>
              <w:pStyle w:val="TableParagraph"/>
              <w:spacing w:before="52"/>
              <w:ind w:right="107"/>
              <w:rPr>
                <w:sz w:val="16"/>
              </w:rPr>
            </w:pPr>
            <w:r>
              <w:rPr>
                <w:spacing w:val="-2"/>
                <w:sz w:val="16"/>
              </w:rPr>
              <w:t>145,674.2</w:t>
            </w:r>
          </w:p>
        </w:tc>
        <w:tc>
          <w:tcPr>
            <w:tcW w:w="857" w:type="dxa"/>
            <w:tcBorders>
              <w:top w:val="single" w:sz="4" w:space="0" w:color="000000"/>
              <w:bottom w:val="single" w:sz="4" w:space="0" w:color="000000"/>
            </w:tcBorders>
          </w:tcPr>
          <w:p>
            <w:pPr>
              <w:pStyle w:val="TableParagraph"/>
              <w:spacing w:before="52"/>
              <w:ind w:right="104"/>
              <w:rPr>
                <w:sz w:val="16"/>
              </w:rPr>
            </w:pPr>
            <w:r>
              <w:rPr>
                <w:spacing w:val="-2"/>
                <w:sz w:val="16"/>
              </w:rPr>
              <w:t>142,056.5</w:t>
            </w:r>
          </w:p>
        </w:tc>
        <w:tc>
          <w:tcPr>
            <w:tcW w:w="855" w:type="dxa"/>
            <w:tcBorders>
              <w:top w:val="single" w:sz="4" w:space="0" w:color="000000"/>
              <w:bottom w:val="single" w:sz="4" w:space="0" w:color="000000"/>
            </w:tcBorders>
          </w:tcPr>
          <w:p>
            <w:pPr>
              <w:pStyle w:val="TableParagraph"/>
              <w:spacing w:before="52"/>
              <w:ind w:right="104"/>
              <w:rPr>
                <w:sz w:val="16"/>
              </w:rPr>
            </w:pPr>
            <w:r>
              <w:rPr>
                <w:spacing w:val="-2"/>
                <w:sz w:val="16"/>
              </w:rPr>
              <w:t>144,453.9</w:t>
            </w:r>
          </w:p>
        </w:tc>
        <w:tc>
          <w:tcPr>
            <w:tcW w:w="858" w:type="dxa"/>
            <w:tcBorders>
              <w:top w:val="single" w:sz="4" w:space="0" w:color="000000"/>
              <w:bottom w:val="single" w:sz="4" w:space="0" w:color="000000"/>
            </w:tcBorders>
          </w:tcPr>
          <w:p>
            <w:pPr>
              <w:pStyle w:val="TableParagraph"/>
              <w:spacing w:before="52"/>
              <w:ind w:right="108"/>
              <w:rPr>
                <w:sz w:val="16"/>
              </w:rPr>
            </w:pPr>
            <w:r>
              <w:rPr>
                <w:spacing w:val="-2"/>
                <w:sz w:val="16"/>
              </w:rPr>
              <w:t>151,544.2</w:t>
            </w:r>
          </w:p>
        </w:tc>
        <w:tc>
          <w:tcPr>
            <w:tcW w:w="1114" w:type="dxa"/>
            <w:tcBorders>
              <w:top w:val="single" w:sz="4" w:space="0" w:color="000000"/>
              <w:bottom w:val="single" w:sz="4" w:space="0" w:color="000000"/>
            </w:tcBorders>
          </w:tcPr>
          <w:p>
            <w:pPr>
              <w:pStyle w:val="TableParagraph"/>
              <w:spacing w:before="52"/>
              <w:ind w:right="108"/>
              <w:rPr>
                <w:sz w:val="16"/>
              </w:rPr>
            </w:pPr>
            <w:r>
              <w:rPr>
                <w:spacing w:val="-2"/>
                <w:sz w:val="16"/>
              </w:rPr>
              <w:t>13,150.2</w:t>
            </w:r>
          </w:p>
        </w:tc>
      </w:tr>
      <w:tr>
        <w:trPr>
          <w:trHeight w:val="287" w:hRule="atLeast"/>
        </w:trPr>
        <w:tc>
          <w:tcPr>
            <w:tcW w:w="2229" w:type="dxa"/>
            <w:tcBorders>
              <w:top w:val="single" w:sz="4" w:space="0" w:color="000000"/>
              <w:bottom w:val="single" w:sz="4" w:space="0" w:color="000000"/>
            </w:tcBorders>
          </w:tcPr>
          <w:p>
            <w:pPr>
              <w:pStyle w:val="TableParagraph"/>
              <w:spacing w:before="47"/>
              <w:ind w:left="119"/>
              <w:jc w:val="left"/>
              <w:rPr>
                <w:b/>
                <w:sz w:val="16"/>
              </w:rPr>
            </w:pPr>
            <w:r>
              <w:rPr>
                <w:b/>
                <w:w w:val="95"/>
                <w:sz w:val="16"/>
              </w:rPr>
              <w:t>Implementation</w:t>
            </w:r>
            <w:r>
              <w:rPr>
                <w:b/>
                <w:spacing w:val="15"/>
                <w:sz w:val="16"/>
              </w:rPr>
              <w:t> </w:t>
            </w:r>
            <w:r>
              <w:rPr>
                <w:b/>
                <w:w w:val="95"/>
                <w:sz w:val="16"/>
              </w:rPr>
              <w:t>rate</w:t>
            </w:r>
            <w:r>
              <w:rPr>
                <w:b/>
                <w:spacing w:val="21"/>
                <w:sz w:val="16"/>
              </w:rPr>
              <w:t> </w:t>
            </w:r>
            <w:r>
              <w:rPr>
                <w:b/>
                <w:w w:val="95"/>
                <w:sz w:val="16"/>
              </w:rPr>
              <w:t>in</w:t>
            </w:r>
            <w:r>
              <w:rPr>
                <w:b/>
                <w:spacing w:val="16"/>
                <w:sz w:val="16"/>
              </w:rPr>
              <w:t> </w:t>
            </w:r>
            <w:r>
              <w:rPr>
                <w:b/>
                <w:spacing w:val="-10"/>
                <w:w w:val="95"/>
                <w:sz w:val="16"/>
              </w:rPr>
              <w:t>%</w:t>
            </w:r>
          </w:p>
        </w:tc>
        <w:tc>
          <w:tcPr>
            <w:tcW w:w="903" w:type="dxa"/>
            <w:tcBorders>
              <w:top w:val="single" w:sz="4" w:space="0" w:color="000000"/>
              <w:bottom w:val="single" w:sz="4" w:space="0" w:color="000000"/>
            </w:tcBorders>
          </w:tcPr>
          <w:p>
            <w:pPr>
              <w:pStyle w:val="TableParagraph"/>
              <w:spacing w:before="47"/>
              <w:ind w:right="108"/>
              <w:rPr>
                <w:sz w:val="16"/>
              </w:rPr>
            </w:pPr>
            <w:r>
              <w:rPr>
                <w:spacing w:val="-2"/>
                <w:sz w:val="16"/>
              </w:rPr>
              <w:t>99.1%</w:t>
            </w:r>
          </w:p>
        </w:tc>
        <w:tc>
          <w:tcPr>
            <w:tcW w:w="857" w:type="dxa"/>
            <w:tcBorders>
              <w:top w:val="single" w:sz="4" w:space="0" w:color="000000"/>
              <w:bottom w:val="single" w:sz="4" w:space="0" w:color="000000"/>
            </w:tcBorders>
          </w:tcPr>
          <w:p>
            <w:pPr>
              <w:pStyle w:val="TableParagraph"/>
              <w:spacing w:before="47"/>
              <w:ind w:right="105"/>
              <w:rPr>
                <w:sz w:val="16"/>
              </w:rPr>
            </w:pPr>
            <w:r>
              <w:rPr>
                <w:spacing w:val="-2"/>
                <w:sz w:val="16"/>
              </w:rPr>
              <w:t>100.4%</w:t>
            </w:r>
          </w:p>
        </w:tc>
        <w:tc>
          <w:tcPr>
            <w:tcW w:w="854" w:type="dxa"/>
            <w:tcBorders>
              <w:top w:val="single" w:sz="4" w:space="0" w:color="000000"/>
              <w:bottom w:val="single" w:sz="4" w:space="0" w:color="000000"/>
            </w:tcBorders>
          </w:tcPr>
          <w:p>
            <w:pPr>
              <w:pStyle w:val="TableParagraph"/>
              <w:spacing w:before="47"/>
              <w:ind w:right="104"/>
              <w:rPr>
                <w:sz w:val="16"/>
              </w:rPr>
            </w:pPr>
            <w:r>
              <w:rPr>
                <w:spacing w:val="-2"/>
                <w:sz w:val="16"/>
              </w:rPr>
              <w:t>98.4%</w:t>
            </w:r>
          </w:p>
        </w:tc>
        <w:tc>
          <w:tcPr>
            <w:tcW w:w="857" w:type="dxa"/>
            <w:tcBorders>
              <w:top w:val="single" w:sz="4" w:space="0" w:color="000000"/>
              <w:bottom w:val="single" w:sz="4" w:space="0" w:color="000000"/>
            </w:tcBorders>
          </w:tcPr>
          <w:p>
            <w:pPr>
              <w:pStyle w:val="TableParagraph"/>
              <w:spacing w:before="47"/>
              <w:ind w:right="107"/>
              <w:rPr>
                <w:sz w:val="16"/>
              </w:rPr>
            </w:pPr>
            <w:r>
              <w:rPr>
                <w:spacing w:val="-2"/>
                <w:sz w:val="16"/>
              </w:rPr>
              <w:t>98.3%</w:t>
            </w:r>
          </w:p>
        </w:tc>
        <w:tc>
          <w:tcPr>
            <w:tcW w:w="857" w:type="dxa"/>
            <w:tcBorders>
              <w:top w:val="single" w:sz="4" w:space="0" w:color="000000"/>
              <w:bottom w:val="single" w:sz="4" w:space="0" w:color="000000"/>
            </w:tcBorders>
          </w:tcPr>
          <w:p>
            <w:pPr>
              <w:pStyle w:val="TableParagraph"/>
              <w:spacing w:before="47"/>
              <w:ind w:right="104"/>
              <w:rPr>
                <w:sz w:val="16"/>
              </w:rPr>
            </w:pPr>
            <w:r>
              <w:rPr>
                <w:spacing w:val="-2"/>
                <w:sz w:val="16"/>
              </w:rPr>
              <w:t>95.2%</w:t>
            </w:r>
          </w:p>
        </w:tc>
        <w:tc>
          <w:tcPr>
            <w:tcW w:w="855" w:type="dxa"/>
            <w:tcBorders>
              <w:top w:val="single" w:sz="4" w:space="0" w:color="000000"/>
              <w:bottom w:val="single" w:sz="4" w:space="0" w:color="000000"/>
            </w:tcBorders>
          </w:tcPr>
          <w:p>
            <w:pPr>
              <w:pStyle w:val="TableParagraph"/>
              <w:spacing w:before="47"/>
              <w:ind w:right="104"/>
              <w:rPr>
                <w:sz w:val="16"/>
              </w:rPr>
            </w:pPr>
            <w:r>
              <w:rPr>
                <w:spacing w:val="-2"/>
                <w:sz w:val="16"/>
              </w:rPr>
              <w:t>97.4%</w:t>
            </w:r>
          </w:p>
        </w:tc>
        <w:tc>
          <w:tcPr>
            <w:tcW w:w="858" w:type="dxa"/>
            <w:tcBorders>
              <w:top w:val="single" w:sz="4" w:space="0" w:color="000000"/>
              <w:bottom w:val="single" w:sz="4" w:space="0" w:color="000000"/>
            </w:tcBorders>
          </w:tcPr>
          <w:p>
            <w:pPr>
              <w:pStyle w:val="TableParagraph"/>
              <w:spacing w:before="47"/>
              <w:ind w:right="107"/>
              <w:rPr>
                <w:sz w:val="16"/>
              </w:rPr>
            </w:pPr>
            <w:r>
              <w:rPr>
                <w:spacing w:val="-2"/>
                <w:sz w:val="16"/>
              </w:rPr>
              <w:t>97.9%</w:t>
            </w:r>
          </w:p>
        </w:tc>
        <w:tc>
          <w:tcPr>
            <w:tcW w:w="1114" w:type="dxa"/>
            <w:tcBorders>
              <w:top w:val="single" w:sz="4" w:space="0" w:color="000000"/>
              <w:bottom w:val="single" w:sz="4" w:space="0" w:color="000000"/>
            </w:tcBorders>
          </w:tcPr>
          <w:p>
            <w:pPr>
              <w:pStyle w:val="TableParagraph"/>
              <w:spacing w:before="47"/>
              <w:ind w:right="107"/>
              <w:rPr>
                <w:sz w:val="16"/>
              </w:rPr>
            </w:pPr>
            <w:r>
              <w:rPr>
                <w:sz w:val="16"/>
              </w:rPr>
              <w:t>Aver.</w:t>
            </w:r>
            <w:r>
              <w:rPr>
                <w:spacing w:val="-4"/>
                <w:sz w:val="16"/>
              </w:rPr>
              <w:t> 98.1%</w:t>
            </w:r>
          </w:p>
        </w:tc>
      </w:tr>
    </w:tbl>
    <w:p>
      <w:pPr>
        <w:spacing w:before="139"/>
        <w:ind w:left="2102" w:right="0" w:firstLine="0"/>
        <w:jc w:val="left"/>
        <w:rPr>
          <w:sz w:val="16"/>
        </w:rPr>
      </w:pPr>
      <w:r>
        <w:rPr>
          <w:sz w:val="16"/>
        </w:rPr>
        <w:t>*</w:t>
      </w:r>
      <w:r>
        <w:rPr>
          <w:spacing w:val="-7"/>
          <w:sz w:val="16"/>
        </w:rPr>
        <w:t> </w:t>
      </w:r>
      <w:r>
        <w:rPr>
          <w:sz w:val="16"/>
        </w:rPr>
        <w:t>Expenditures</w:t>
      </w:r>
      <w:r>
        <w:rPr>
          <w:spacing w:val="-3"/>
          <w:sz w:val="16"/>
        </w:rPr>
        <w:t> </w:t>
      </w:r>
      <w:r>
        <w:rPr>
          <w:sz w:val="16"/>
        </w:rPr>
        <w:t>for</w:t>
      </w:r>
      <w:r>
        <w:rPr>
          <w:spacing w:val="-4"/>
          <w:sz w:val="16"/>
        </w:rPr>
        <w:t> </w:t>
      </w:r>
      <w:r>
        <w:rPr>
          <w:sz w:val="16"/>
        </w:rPr>
        <w:t>2022</w:t>
      </w:r>
      <w:r>
        <w:rPr>
          <w:spacing w:val="-1"/>
          <w:sz w:val="16"/>
        </w:rPr>
        <w:t> </w:t>
      </w:r>
      <w:r>
        <w:rPr>
          <w:sz w:val="16"/>
        </w:rPr>
        <w:t>are</w:t>
      </w:r>
      <w:r>
        <w:rPr>
          <w:spacing w:val="-2"/>
          <w:sz w:val="16"/>
        </w:rPr>
        <w:t> </w:t>
      </w:r>
      <w:r>
        <w:rPr>
          <w:sz w:val="16"/>
        </w:rPr>
        <w:t>forecast</w:t>
      </w:r>
      <w:r>
        <w:rPr>
          <w:spacing w:val="-5"/>
          <w:sz w:val="16"/>
        </w:rPr>
        <w:t> </w:t>
      </w:r>
      <w:r>
        <w:rPr>
          <w:sz w:val="16"/>
        </w:rPr>
        <w:t>expenditures</w:t>
      </w:r>
      <w:r>
        <w:rPr>
          <w:spacing w:val="-3"/>
          <w:sz w:val="16"/>
        </w:rPr>
        <w:t> </w:t>
      </w:r>
      <w:r>
        <w:rPr>
          <w:sz w:val="16"/>
        </w:rPr>
        <w:t>as</w:t>
      </w:r>
      <w:r>
        <w:rPr>
          <w:spacing w:val="-4"/>
          <w:sz w:val="16"/>
        </w:rPr>
        <w:t> </w:t>
      </w:r>
      <w:r>
        <w:rPr>
          <w:sz w:val="16"/>
        </w:rPr>
        <w:t>at</w:t>
      </w:r>
      <w:r>
        <w:rPr>
          <w:spacing w:val="-4"/>
          <w:sz w:val="16"/>
        </w:rPr>
        <w:t> </w:t>
      </w:r>
      <w:r>
        <w:rPr>
          <w:sz w:val="16"/>
        </w:rPr>
        <w:t>June</w:t>
      </w:r>
      <w:r>
        <w:rPr>
          <w:spacing w:val="-2"/>
          <w:sz w:val="16"/>
        </w:rPr>
        <w:t> </w:t>
      </w:r>
      <w:r>
        <w:rPr>
          <w:spacing w:val="-4"/>
          <w:sz w:val="16"/>
        </w:rPr>
        <w:t>2022.</w:t>
      </w:r>
    </w:p>
    <w:p>
      <w:pPr>
        <w:spacing w:after="0"/>
        <w:jc w:val="left"/>
        <w:rPr>
          <w:sz w:val="16"/>
        </w:rPr>
        <w:sectPr>
          <w:headerReference w:type="even" r:id="rId173"/>
          <w:headerReference w:type="default" r:id="rId174"/>
          <w:footerReference w:type="even" r:id="rId175"/>
          <w:footerReference w:type="default" r:id="rId176"/>
          <w:pgSz w:w="11910" w:h="16840"/>
          <w:pgMar w:header="953" w:footer="940" w:top="1140" w:bottom="1140" w:left="20" w:right="20"/>
          <w:pgNumType w:start="226"/>
        </w:sectPr>
      </w:pPr>
    </w:p>
    <w:p>
      <w:pPr>
        <w:pStyle w:val="Heading1"/>
        <w:spacing w:before="117"/>
      </w:pPr>
      <w:r>
        <w:rPr/>
        <w:t>Annex</w:t>
      </w:r>
      <w:r>
        <w:rPr>
          <w:spacing w:val="-9"/>
        </w:rPr>
        <w:t> </w:t>
      </w:r>
      <w:r>
        <w:rPr>
          <w:spacing w:val="-5"/>
        </w:rPr>
        <w:t>XIV</w:t>
      </w:r>
    </w:p>
    <w:p>
      <w:pPr>
        <w:spacing w:before="245"/>
        <w:ind w:left="2246" w:right="0" w:firstLine="0"/>
        <w:jc w:val="left"/>
        <w:rPr>
          <w:b/>
          <w:sz w:val="28"/>
        </w:rPr>
      </w:pPr>
      <w:bookmarkStart w:name="_bookmark90" w:id="91"/>
      <w:bookmarkEnd w:id="91"/>
      <w:r>
        <w:rPr/>
      </w:r>
      <w:r>
        <w:rPr>
          <w:b/>
          <w:sz w:val="28"/>
        </w:rPr>
        <w:t>Proposed</w:t>
      </w:r>
      <w:r>
        <w:rPr>
          <w:b/>
          <w:spacing w:val="-14"/>
          <w:sz w:val="28"/>
        </w:rPr>
        <w:t> </w:t>
      </w:r>
      <w:r>
        <w:rPr>
          <w:b/>
          <w:sz w:val="28"/>
        </w:rPr>
        <w:t>capital</w:t>
      </w:r>
      <w:r>
        <w:rPr>
          <w:b/>
          <w:spacing w:val="-12"/>
          <w:sz w:val="28"/>
        </w:rPr>
        <w:t> </w:t>
      </w:r>
      <w:r>
        <w:rPr>
          <w:b/>
          <w:sz w:val="28"/>
        </w:rPr>
        <w:t>investments</w:t>
      </w:r>
      <w:r>
        <w:rPr>
          <w:b/>
          <w:spacing w:val="-11"/>
          <w:sz w:val="28"/>
        </w:rPr>
        <w:t> </w:t>
      </w:r>
      <w:r>
        <w:rPr>
          <w:b/>
          <w:sz w:val="28"/>
        </w:rPr>
        <w:t>(2023-</w:t>
      </w:r>
      <w:r>
        <w:rPr>
          <w:b/>
          <w:spacing w:val="-4"/>
          <w:sz w:val="28"/>
        </w:rPr>
        <w:t>2026)</w:t>
      </w:r>
    </w:p>
    <w:p>
      <w:pPr>
        <w:pStyle w:val="ListParagraph"/>
        <w:numPr>
          <w:ilvl w:val="0"/>
          <w:numId w:val="129"/>
        </w:numPr>
        <w:tabs>
          <w:tab w:pos="2966" w:val="left" w:leader="none"/>
          <w:tab w:pos="2967" w:val="left" w:leader="none"/>
        </w:tabs>
        <w:spacing w:line="240" w:lineRule="auto" w:before="266" w:after="0"/>
        <w:ind w:left="2246" w:right="2241" w:firstLine="0"/>
        <w:jc w:val="both"/>
        <w:rPr>
          <w:sz w:val="20"/>
        </w:rPr>
      </w:pPr>
      <w:r>
        <w:rPr>
          <w:sz w:val="20"/>
        </w:rPr>
        <w:t>As</w:t>
      </w:r>
      <w:r>
        <w:rPr>
          <w:spacing w:val="-5"/>
          <w:sz w:val="20"/>
        </w:rPr>
        <w:t> </w:t>
      </w:r>
      <w:r>
        <w:rPr>
          <w:sz w:val="20"/>
        </w:rPr>
        <w:t>requested</w:t>
      </w:r>
      <w:r>
        <w:rPr>
          <w:spacing w:val="-4"/>
          <w:sz w:val="20"/>
        </w:rPr>
        <w:t> </w:t>
      </w:r>
      <w:r>
        <w:rPr>
          <w:sz w:val="20"/>
        </w:rPr>
        <w:t>by</w:t>
      </w:r>
      <w:r>
        <w:rPr>
          <w:spacing w:val="-8"/>
          <w:sz w:val="20"/>
        </w:rPr>
        <w:t> </w:t>
      </w:r>
      <w:r>
        <w:rPr>
          <w:sz w:val="20"/>
        </w:rPr>
        <w:t>the</w:t>
      </w:r>
      <w:r>
        <w:rPr>
          <w:spacing w:val="-7"/>
          <w:sz w:val="20"/>
        </w:rPr>
        <w:t> </w:t>
      </w:r>
      <w:r>
        <w:rPr>
          <w:sz w:val="20"/>
        </w:rPr>
        <w:t>Committee,</w:t>
      </w:r>
      <w:r>
        <w:rPr>
          <w:spacing w:val="-6"/>
          <w:sz w:val="20"/>
        </w:rPr>
        <w:t> </w:t>
      </w:r>
      <w:r>
        <w:rPr>
          <w:sz w:val="20"/>
        </w:rPr>
        <w:t>the Court</w:t>
      </w:r>
      <w:r>
        <w:rPr>
          <w:spacing w:val="-7"/>
          <w:sz w:val="20"/>
        </w:rPr>
        <w:t> </w:t>
      </w:r>
      <w:r>
        <w:rPr>
          <w:sz w:val="20"/>
        </w:rPr>
        <w:t>has</w:t>
      </w:r>
      <w:r>
        <w:rPr>
          <w:spacing w:val="-10"/>
          <w:sz w:val="20"/>
        </w:rPr>
        <w:t> </w:t>
      </w:r>
      <w:r>
        <w:rPr>
          <w:sz w:val="20"/>
        </w:rPr>
        <w:t>identified</w:t>
      </w:r>
      <w:r>
        <w:rPr>
          <w:spacing w:val="-8"/>
          <w:sz w:val="20"/>
        </w:rPr>
        <w:t> </w:t>
      </w:r>
      <w:r>
        <w:rPr>
          <w:sz w:val="20"/>
        </w:rPr>
        <w:t>its</w:t>
      </w:r>
      <w:r>
        <w:rPr>
          <w:spacing w:val="-10"/>
          <w:sz w:val="20"/>
        </w:rPr>
        <w:t> </w:t>
      </w:r>
      <w:r>
        <w:rPr>
          <w:sz w:val="20"/>
        </w:rPr>
        <w:t>capital</w:t>
      </w:r>
      <w:r>
        <w:rPr>
          <w:spacing w:val="-12"/>
          <w:sz w:val="20"/>
        </w:rPr>
        <w:t> </w:t>
      </w:r>
      <w:r>
        <w:rPr>
          <w:sz w:val="20"/>
        </w:rPr>
        <w:t>investment</w:t>
      </w:r>
      <w:r>
        <w:rPr>
          <w:spacing w:val="-7"/>
          <w:sz w:val="20"/>
        </w:rPr>
        <w:t> </w:t>
      </w:r>
      <w:r>
        <w:rPr>
          <w:sz w:val="20"/>
        </w:rPr>
        <w:t>costs and presented them to the Assembly to ensure a better understanding of their Court-wide implications and to avoid any surprises when a clearly identifiable amount falls due.</w:t>
      </w:r>
      <w:r>
        <w:rPr>
          <w:sz w:val="20"/>
          <w:vertAlign w:val="superscript"/>
        </w:rPr>
        <w:t>156</w:t>
      </w:r>
      <w:r>
        <w:rPr>
          <w:sz w:val="20"/>
          <w:vertAlign w:val="baseline"/>
        </w:rPr>
        <w:t> The table below provides an overview of these costs for the years 2023-2026. In line with past practice, the amounts required for capital investments under the Court’s Proposed Programme Budget for 2023 have been organized by priority and reduced to a minimum.</w:t>
      </w:r>
    </w:p>
    <w:p>
      <w:pPr>
        <w:pStyle w:val="ListParagraph"/>
        <w:numPr>
          <w:ilvl w:val="0"/>
          <w:numId w:val="129"/>
        </w:numPr>
        <w:tabs>
          <w:tab w:pos="2966" w:val="left" w:leader="none"/>
          <w:tab w:pos="2967" w:val="left" w:leader="none"/>
        </w:tabs>
        <w:spacing w:line="240" w:lineRule="auto" w:before="119" w:after="0"/>
        <w:ind w:left="2246" w:right="2238" w:firstLine="0"/>
        <w:jc w:val="both"/>
        <w:rPr>
          <w:sz w:val="20"/>
        </w:rPr>
      </w:pPr>
      <w:r>
        <w:rPr>
          <w:sz w:val="20"/>
        </w:rPr>
        <w:t>Capital</w:t>
      </w:r>
      <w:r>
        <w:rPr>
          <w:spacing w:val="40"/>
          <w:sz w:val="20"/>
        </w:rPr>
        <w:t> </w:t>
      </w:r>
      <w:r>
        <w:rPr>
          <w:sz w:val="20"/>
        </w:rPr>
        <w:t>replacements</w:t>
      </w:r>
      <w:r>
        <w:rPr>
          <w:spacing w:val="40"/>
          <w:sz w:val="20"/>
        </w:rPr>
        <w:t> </w:t>
      </w:r>
      <w:r>
        <w:rPr>
          <w:sz w:val="20"/>
        </w:rPr>
        <w:t>related</w:t>
      </w:r>
      <w:r>
        <w:rPr>
          <w:spacing w:val="40"/>
          <w:sz w:val="20"/>
        </w:rPr>
        <w:t> </w:t>
      </w:r>
      <w:r>
        <w:rPr>
          <w:sz w:val="20"/>
        </w:rPr>
        <w:t>to</w:t>
      </w:r>
      <w:r>
        <w:rPr>
          <w:spacing w:val="40"/>
          <w:sz w:val="20"/>
        </w:rPr>
        <w:t> </w:t>
      </w:r>
      <w:r>
        <w:rPr>
          <w:sz w:val="20"/>
        </w:rPr>
        <w:t>the</w:t>
      </w:r>
      <w:r>
        <w:rPr>
          <w:spacing w:val="40"/>
          <w:sz w:val="20"/>
        </w:rPr>
        <w:t> </w:t>
      </w:r>
      <w:r>
        <w:rPr>
          <w:sz w:val="20"/>
        </w:rPr>
        <w:t>Court’s</w:t>
      </w:r>
      <w:r>
        <w:rPr>
          <w:spacing w:val="40"/>
          <w:sz w:val="20"/>
        </w:rPr>
        <w:t> </w:t>
      </w:r>
      <w:r>
        <w:rPr>
          <w:sz w:val="20"/>
        </w:rPr>
        <w:t>premises</w:t>
      </w:r>
      <w:r>
        <w:rPr>
          <w:spacing w:val="40"/>
          <w:sz w:val="20"/>
        </w:rPr>
        <w:t> </w:t>
      </w:r>
      <w:r>
        <w:rPr>
          <w:sz w:val="20"/>
        </w:rPr>
        <w:t>included</w:t>
      </w:r>
      <w:r>
        <w:rPr>
          <w:spacing w:val="40"/>
          <w:sz w:val="20"/>
        </w:rPr>
        <w:t> </w:t>
      </w:r>
      <w:r>
        <w:rPr>
          <w:sz w:val="20"/>
        </w:rPr>
        <w:t>in</w:t>
      </w:r>
      <w:r>
        <w:rPr>
          <w:spacing w:val="40"/>
          <w:sz w:val="20"/>
        </w:rPr>
        <w:t> </w:t>
      </w:r>
      <w:r>
        <w:rPr>
          <w:sz w:val="20"/>
        </w:rPr>
        <w:t>these estimates</w:t>
      </w:r>
      <w:r>
        <w:rPr>
          <w:spacing w:val="-4"/>
          <w:sz w:val="20"/>
        </w:rPr>
        <w:t> </w:t>
      </w:r>
      <w:r>
        <w:rPr>
          <w:sz w:val="20"/>
        </w:rPr>
        <w:t>have been identified and submitted in a report to the Committee.</w:t>
      </w:r>
      <w:r>
        <w:rPr>
          <w:sz w:val="20"/>
          <w:vertAlign w:val="superscript"/>
        </w:rPr>
        <w:t>157</w:t>
      </w:r>
      <w:r>
        <w:rPr>
          <w:sz w:val="20"/>
          <w:vertAlign w:val="baseline"/>
        </w:rPr>
        <w:t> In</w:t>
      </w:r>
      <w:r>
        <w:rPr>
          <w:spacing w:val="-3"/>
          <w:sz w:val="20"/>
          <w:vertAlign w:val="baseline"/>
        </w:rPr>
        <w:t> </w:t>
      </w:r>
      <w:r>
        <w:rPr>
          <w:sz w:val="20"/>
          <w:vertAlign w:val="baseline"/>
        </w:rPr>
        <w:t>that report, the Court provides a five-year plan showing the projected costs of capital replacements for the permanent premises.</w:t>
      </w:r>
    </w:p>
    <w:p>
      <w:pPr>
        <w:pStyle w:val="BodyText"/>
        <w:rPr>
          <w:sz w:val="21"/>
        </w:rPr>
      </w:pPr>
    </w:p>
    <w:p>
      <w:pPr>
        <w:spacing w:before="0" w:after="58"/>
        <w:ind w:left="3" w:right="0" w:firstLine="0"/>
        <w:jc w:val="center"/>
        <w:rPr>
          <w:b/>
          <w:sz w:val="20"/>
        </w:rPr>
      </w:pPr>
      <w:r>
        <w:rPr>
          <w:b/>
          <w:sz w:val="20"/>
        </w:rPr>
        <w:t>Table</w:t>
      </w:r>
      <w:r>
        <w:rPr>
          <w:b/>
          <w:spacing w:val="-7"/>
          <w:sz w:val="20"/>
        </w:rPr>
        <w:t> </w:t>
      </w:r>
      <w:r>
        <w:rPr>
          <w:b/>
          <w:sz w:val="20"/>
        </w:rPr>
        <w:t>1:</w:t>
      </w:r>
      <w:r>
        <w:rPr>
          <w:b/>
          <w:spacing w:val="-9"/>
          <w:sz w:val="20"/>
        </w:rPr>
        <w:t> </w:t>
      </w:r>
      <w:r>
        <w:rPr>
          <w:b/>
          <w:sz w:val="20"/>
        </w:rPr>
        <w:t>Four-year</w:t>
      </w:r>
      <w:r>
        <w:rPr>
          <w:b/>
          <w:spacing w:val="-7"/>
          <w:sz w:val="20"/>
        </w:rPr>
        <w:t> </w:t>
      </w:r>
      <w:r>
        <w:rPr>
          <w:b/>
          <w:sz w:val="20"/>
        </w:rPr>
        <w:t>capital</w:t>
      </w:r>
      <w:r>
        <w:rPr>
          <w:b/>
          <w:spacing w:val="-6"/>
          <w:sz w:val="20"/>
        </w:rPr>
        <w:t> </w:t>
      </w:r>
      <w:r>
        <w:rPr>
          <w:b/>
          <w:sz w:val="20"/>
        </w:rPr>
        <w:t>investment</w:t>
      </w:r>
      <w:r>
        <w:rPr>
          <w:b/>
          <w:spacing w:val="-4"/>
          <w:sz w:val="20"/>
        </w:rPr>
        <w:t> </w:t>
      </w:r>
      <w:r>
        <w:rPr>
          <w:b/>
          <w:sz w:val="20"/>
        </w:rPr>
        <w:t>plan</w:t>
      </w:r>
      <w:r>
        <w:rPr>
          <w:b/>
          <w:spacing w:val="-5"/>
          <w:sz w:val="20"/>
        </w:rPr>
        <w:t> </w:t>
      </w:r>
      <w:r>
        <w:rPr>
          <w:b/>
          <w:sz w:val="20"/>
        </w:rPr>
        <w:t>(2023-2026)</w:t>
      </w:r>
      <w:r>
        <w:rPr>
          <w:b/>
          <w:spacing w:val="-4"/>
          <w:sz w:val="20"/>
        </w:rPr>
        <w:t> </w:t>
      </w:r>
      <w:r>
        <w:rPr>
          <w:b/>
          <w:spacing w:val="-2"/>
          <w:sz w:val="20"/>
        </w:rPr>
        <w:t>(euros)</w:t>
      </w:r>
    </w:p>
    <w:tbl>
      <w:tblPr>
        <w:tblW w:w="0" w:type="auto"/>
        <w:jc w:val="left"/>
        <w:tblInd w:w="2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5"/>
        <w:gridCol w:w="1422"/>
        <w:gridCol w:w="1417"/>
        <w:gridCol w:w="1417"/>
        <w:gridCol w:w="1412"/>
      </w:tblGrid>
      <w:tr>
        <w:trPr>
          <w:trHeight w:val="330" w:hRule="atLeast"/>
        </w:trPr>
        <w:tc>
          <w:tcPr>
            <w:tcW w:w="1695" w:type="dxa"/>
          </w:tcPr>
          <w:p>
            <w:pPr>
              <w:pStyle w:val="TableParagraph"/>
              <w:spacing w:before="67"/>
              <w:ind w:left="172"/>
              <w:jc w:val="left"/>
              <w:rPr>
                <w:i/>
                <w:sz w:val="18"/>
              </w:rPr>
            </w:pPr>
            <w:r>
              <w:rPr>
                <w:i/>
                <w:sz w:val="18"/>
              </w:rPr>
              <w:t>Capital</w:t>
            </w:r>
            <w:r>
              <w:rPr>
                <w:i/>
                <w:spacing w:val="-4"/>
                <w:sz w:val="18"/>
              </w:rPr>
              <w:t> </w:t>
            </w:r>
            <w:r>
              <w:rPr>
                <w:i/>
                <w:spacing w:val="-2"/>
                <w:sz w:val="18"/>
              </w:rPr>
              <w:t>investment</w:t>
            </w:r>
          </w:p>
        </w:tc>
        <w:tc>
          <w:tcPr>
            <w:tcW w:w="1422" w:type="dxa"/>
          </w:tcPr>
          <w:p>
            <w:pPr>
              <w:pStyle w:val="TableParagraph"/>
              <w:spacing w:before="67"/>
              <w:ind w:left="407" w:right="389"/>
              <w:jc w:val="center"/>
              <w:rPr>
                <w:i/>
                <w:sz w:val="18"/>
              </w:rPr>
            </w:pPr>
            <w:r>
              <w:rPr>
                <w:i/>
                <w:spacing w:val="-4"/>
                <w:sz w:val="18"/>
              </w:rPr>
              <w:t>2023</w:t>
            </w:r>
          </w:p>
        </w:tc>
        <w:tc>
          <w:tcPr>
            <w:tcW w:w="1417" w:type="dxa"/>
          </w:tcPr>
          <w:p>
            <w:pPr>
              <w:pStyle w:val="TableParagraph"/>
              <w:spacing w:before="67"/>
              <w:ind w:left="336" w:right="324"/>
              <w:jc w:val="center"/>
              <w:rPr>
                <w:i/>
                <w:sz w:val="18"/>
              </w:rPr>
            </w:pPr>
            <w:r>
              <w:rPr>
                <w:i/>
                <w:spacing w:val="-4"/>
                <w:sz w:val="18"/>
              </w:rPr>
              <w:t>2024</w:t>
            </w:r>
          </w:p>
        </w:tc>
        <w:tc>
          <w:tcPr>
            <w:tcW w:w="1417" w:type="dxa"/>
          </w:tcPr>
          <w:p>
            <w:pPr>
              <w:pStyle w:val="TableParagraph"/>
              <w:spacing w:before="67"/>
              <w:ind w:left="336" w:right="325"/>
              <w:jc w:val="center"/>
              <w:rPr>
                <w:i/>
                <w:sz w:val="18"/>
              </w:rPr>
            </w:pPr>
            <w:r>
              <w:rPr>
                <w:i/>
                <w:spacing w:val="-4"/>
                <w:sz w:val="18"/>
              </w:rPr>
              <w:t>2025</w:t>
            </w:r>
          </w:p>
        </w:tc>
        <w:tc>
          <w:tcPr>
            <w:tcW w:w="1412" w:type="dxa"/>
          </w:tcPr>
          <w:p>
            <w:pPr>
              <w:pStyle w:val="TableParagraph"/>
              <w:spacing w:before="67"/>
              <w:ind w:left="335" w:right="320"/>
              <w:jc w:val="center"/>
              <w:rPr>
                <w:i/>
                <w:sz w:val="18"/>
              </w:rPr>
            </w:pPr>
            <w:r>
              <w:rPr>
                <w:i/>
                <w:spacing w:val="-4"/>
                <w:sz w:val="18"/>
              </w:rPr>
              <w:t>2026</w:t>
            </w:r>
          </w:p>
        </w:tc>
      </w:tr>
      <w:tr>
        <w:trPr>
          <w:trHeight w:val="325" w:hRule="atLeast"/>
        </w:trPr>
        <w:tc>
          <w:tcPr>
            <w:tcW w:w="1695" w:type="dxa"/>
          </w:tcPr>
          <w:p>
            <w:pPr>
              <w:pStyle w:val="TableParagraph"/>
              <w:spacing w:before="62"/>
              <w:ind w:left="9"/>
              <w:jc w:val="left"/>
              <w:rPr>
                <w:sz w:val="18"/>
              </w:rPr>
            </w:pPr>
            <w:r>
              <w:rPr>
                <w:spacing w:val="-2"/>
                <w:sz w:val="18"/>
              </w:rPr>
              <w:t>Vehicles</w:t>
            </w:r>
          </w:p>
        </w:tc>
        <w:tc>
          <w:tcPr>
            <w:tcW w:w="1422" w:type="dxa"/>
          </w:tcPr>
          <w:p>
            <w:pPr>
              <w:pStyle w:val="TableParagraph"/>
              <w:spacing w:before="62"/>
              <w:ind w:left="12"/>
              <w:jc w:val="center"/>
              <w:rPr>
                <w:sz w:val="18"/>
              </w:rPr>
            </w:pPr>
            <w:r>
              <w:rPr>
                <w:w w:val="101"/>
                <w:sz w:val="18"/>
              </w:rPr>
              <w:t>-</w:t>
            </w:r>
          </w:p>
        </w:tc>
        <w:tc>
          <w:tcPr>
            <w:tcW w:w="1417" w:type="dxa"/>
          </w:tcPr>
          <w:p>
            <w:pPr>
              <w:pStyle w:val="TableParagraph"/>
              <w:spacing w:before="62"/>
              <w:ind w:left="336" w:right="329"/>
              <w:jc w:val="center"/>
              <w:rPr>
                <w:sz w:val="18"/>
              </w:rPr>
            </w:pPr>
            <w:r>
              <w:rPr>
                <w:spacing w:val="-2"/>
                <w:sz w:val="18"/>
              </w:rPr>
              <w:t>214,000</w:t>
            </w:r>
          </w:p>
        </w:tc>
        <w:tc>
          <w:tcPr>
            <w:tcW w:w="1417" w:type="dxa"/>
          </w:tcPr>
          <w:p>
            <w:pPr>
              <w:pStyle w:val="TableParagraph"/>
              <w:spacing w:before="62"/>
              <w:ind w:right="402"/>
              <w:rPr>
                <w:sz w:val="18"/>
              </w:rPr>
            </w:pPr>
            <w:r>
              <w:rPr>
                <w:spacing w:val="-2"/>
                <w:sz w:val="18"/>
              </w:rPr>
              <w:t>308,000</w:t>
            </w:r>
          </w:p>
        </w:tc>
        <w:tc>
          <w:tcPr>
            <w:tcW w:w="1412" w:type="dxa"/>
          </w:tcPr>
          <w:p>
            <w:pPr>
              <w:pStyle w:val="TableParagraph"/>
              <w:spacing w:before="62"/>
              <w:ind w:left="335" w:right="325"/>
              <w:jc w:val="center"/>
              <w:rPr>
                <w:sz w:val="18"/>
              </w:rPr>
            </w:pPr>
            <w:r>
              <w:rPr>
                <w:spacing w:val="-2"/>
                <w:sz w:val="18"/>
              </w:rPr>
              <w:t>408,000</w:t>
            </w:r>
          </w:p>
        </w:tc>
      </w:tr>
      <w:tr>
        <w:trPr>
          <w:trHeight w:val="739" w:hRule="atLeast"/>
        </w:trPr>
        <w:tc>
          <w:tcPr>
            <w:tcW w:w="1695" w:type="dxa"/>
          </w:tcPr>
          <w:p>
            <w:pPr>
              <w:pStyle w:val="TableParagraph"/>
              <w:spacing w:before="62"/>
              <w:ind w:left="9" w:right="11"/>
              <w:jc w:val="left"/>
              <w:rPr>
                <w:sz w:val="18"/>
              </w:rPr>
            </w:pPr>
            <w:r>
              <w:rPr>
                <w:sz w:val="18"/>
              </w:rPr>
              <w:t>Capital replacements</w:t>
            </w:r>
            <w:r>
              <w:rPr>
                <w:spacing w:val="40"/>
                <w:sz w:val="18"/>
              </w:rPr>
              <w:t> </w:t>
            </w:r>
            <w:r>
              <w:rPr>
                <w:sz w:val="18"/>
              </w:rPr>
              <w:t>at</w:t>
            </w:r>
            <w:r>
              <w:rPr>
                <w:spacing w:val="-12"/>
                <w:sz w:val="18"/>
              </w:rPr>
              <w:t> </w:t>
            </w:r>
            <w:r>
              <w:rPr>
                <w:sz w:val="18"/>
              </w:rPr>
              <w:t>the</w:t>
            </w:r>
            <w:r>
              <w:rPr>
                <w:spacing w:val="-11"/>
                <w:sz w:val="18"/>
              </w:rPr>
              <w:t> </w:t>
            </w:r>
            <w:r>
              <w:rPr>
                <w:sz w:val="18"/>
              </w:rPr>
              <w:t>Court’s</w:t>
            </w:r>
            <w:r>
              <w:rPr>
                <w:spacing w:val="-11"/>
                <w:sz w:val="18"/>
              </w:rPr>
              <w:t> </w:t>
            </w:r>
            <w:r>
              <w:rPr>
                <w:sz w:val="18"/>
              </w:rPr>
              <w:t>premises in The Hague</w:t>
            </w:r>
          </w:p>
        </w:tc>
        <w:tc>
          <w:tcPr>
            <w:tcW w:w="1422" w:type="dxa"/>
          </w:tcPr>
          <w:p>
            <w:pPr>
              <w:pStyle w:val="TableParagraph"/>
              <w:spacing w:before="4"/>
              <w:jc w:val="left"/>
              <w:rPr>
                <w:b/>
                <w:sz w:val="23"/>
              </w:rPr>
            </w:pPr>
          </w:p>
          <w:p>
            <w:pPr>
              <w:pStyle w:val="TableParagraph"/>
              <w:ind w:left="407" w:right="393"/>
              <w:jc w:val="center"/>
              <w:rPr>
                <w:sz w:val="18"/>
              </w:rPr>
            </w:pPr>
            <w:r>
              <w:rPr>
                <w:spacing w:val="-2"/>
                <w:sz w:val="18"/>
              </w:rPr>
              <w:t>364,800</w:t>
            </w:r>
          </w:p>
        </w:tc>
        <w:tc>
          <w:tcPr>
            <w:tcW w:w="1417" w:type="dxa"/>
          </w:tcPr>
          <w:p>
            <w:pPr>
              <w:pStyle w:val="TableParagraph"/>
              <w:spacing w:before="4"/>
              <w:jc w:val="left"/>
              <w:rPr>
                <w:b/>
                <w:sz w:val="23"/>
              </w:rPr>
            </w:pPr>
          </w:p>
          <w:p>
            <w:pPr>
              <w:pStyle w:val="TableParagraph"/>
              <w:ind w:left="336" w:right="329"/>
              <w:jc w:val="center"/>
              <w:rPr>
                <w:sz w:val="18"/>
              </w:rPr>
            </w:pPr>
            <w:r>
              <w:rPr>
                <w:spacing w:val="-2"/>
                <w:sz w:val="18"/>
              </w:rPr>
              <w:t>2,611,316</w:t>
            </w:r>
          </w:p>
        </w:tc>
        <w:tc>
          <w:tcPr>
            <w:tcW w:w="1417" w:type="dxa"/>
          </w:tcPr>
          <w:p>
            <w:pPr>
              <w:pStyle w:val="TableParagraph"/>
              <w:spacing w:before="4"/>
              <w:jc w:val="left"/>
              <w:rPr>
                <w:b/>
                <w:sz w:val="23"/>
              </w:rPr>
            </w:pPr>
          </w:p>
          <w:p>
            <w:pPr>
              <w:pStyle w:val="TableParagraph"/>
              <w:ind w:right="335"/>
              <w:rPr>
                <w:sz w:val="18"/>
              </w:rPr>
            </w:pPr>
            <w:r>
              <w:rPr>
                <w:spacing w:val="-2"/>
                <w:sz w:val="18"/>
              </w:rPr>
              <w:t>6,748,782</w:t>
            </w:r>
          </w:p>
        </w:tc>
        <w:tc>
          <w:tcPr>
            <w:tcW w:w="1412" w:type="dxa"/>
          </w:tcPr>
          <w:p>
            <w:pPr>
              <w:pStyle w:val="TableParagraph"/>
              <w:spacing w:before="4"/>
              <w:jc w:val="left"/>
              <w:rPr>
                <w:b/>
                <w:sz w:val="23"/>
              </w:rPr>
            </w:pPr>
          </w:p>
          <w:p>
            <w:pPr>
              <w:pStyle w:val="TableParagraph"/>
              <w:ind w:left="335" w:right="325"/>
              <w:jc w:val="center"/>
              <w:rPr>
                <w:sz w:val="18"/>
              </w:rPr>
            </w:pPr>
            <w:r>
              <w:rPr>
                <w:spacing w:val="-2"/>
                <w:sz w:val="18"/>
              </w:rPr>
              <w:t>777,002</w:t>
            </w:r>
          </w:p>
        </w:tc>
      </w:tr>
      <w:tr>
        <w:trPr>
          <w:trHeight w:val="743" w:hRule="atLeast"/>
        </w:trPr>
        <w:tc>
          <w:tcPr>
            <w:tcW w:w="1695" w:type="dxa"/>
          </w:tcPr>
          <w:p>
            <w:pPr>
              <w:pStyle w:val="TableParagraph"/>
              <w:spacing w:before="62"/>
              <w:ind w:left="9"/>
              <w:jc w:val="left"/>
              <w:rPr>
                <w:sz w:val="18"/>
              </w:rPr>
            </w:pPr>
            <w:r>
              <w:rPr>
                <w:sz w:val="18"/>
              </w:rPr>
              <w:t>Investments</w:t>
            </w:r>
            <w:r>
              <w:rPr>
                <w:spacing w:val="-12"/>
                <w:sz w:val="18"/>
              </w:rPr>
              <w:t> </w:t>
            </w:r>
            <w:r>
              <w:rPr>
                <w:sz w:val="18"/>
              </w:rPr>
              <w:t>related</w:t>
            </w:r>
            <w:r>
              <w:rPr>
                <w:spacing w:val="-11"/>
                <w:sz w:val="18"/>
              </w:rPr>
              <w:t> </w:t>
            </w:r>
            <w:r>
              <w:rPr>
                <w:sz w:val="18"/>
              </w:rPr>
              <w:t>to the Court’s IT/IM </w:t>
            </w:r>
            <w:r>
              <w:rPr>
                <w:spacing w:val="-2"/>
                <w:sz w:val="18"/>
              </w:rPr>
              <w:t>Strategy</w:t>
            </w:r>
          </w:p>
        </w:tc>
        <w:tc>
          <w:tcPr>
            <w:tcW w:w="1422" w:type="dxa"/>
          </w:tcPr>
          <w:p>
            <w:pPr>
              <w:pStyle w:val="TableParagraph"/>
              <w:spacing w:before="8"/>
              <w:jc w:val="left"/>
              <w:rPr>
                <w:b/>
                <w:sz w:val="23"/>
              </w:rPr>
            </w:pPr>
          </w:p>
          <w:p>
            <w:pPr>
              <w:pStyle w:val="TableParagraph"/>
              <w:spacing w:before="1"/>
              <w:ind w:left="407" w:right="393"/>
              <w:jc w:val="center"/>
              <w:rPr>
                <w:sz w:val="18"/>
              </w:rPr>
            </w:pPr>
            <w:r>
              <w:rPr>
                <w:spacing w:val="-2"/>
                <w:sz w:val="18"/>
              </w:rPr>
              <w:t>502,800</w:t>
            </w:r>
          </w:p>
        </w:tc>
        <w:tc>
          <w:tcPr>
            <w:tcW w:w="1417" w:type="dxa"/>
          </w:tcPr>
          <w:p>
            <w:pPr>
              <w:pStyle w:val="TableParagraph"/>
              <w:spacing w:before="8"/>
              <w:jc w:val="left"/>
              <w:rPr>
                <w:b/>
                <w:sz w:val="23"/>
              </w:rPr>
            </w:pPr>
          </w:p>
          <w:p>
            <w:pPr>
              <w:pStyle w:val="TableParagraph"/>
              <w:spacing w:before="1"/>
              <w:ind w:left="336" w:right="329"/>
              <w:jc w:val="center"/>
              <w:rPr>
                <w:sz w:val="18"/>
              </w:rPr>
            </w:pPr>
            <w:r>
              <w:rPr>
                <w:sz w:val="18"/>
              </w:rPr>
              <w:t>-</w:t>
            </w:r>
            <w:r>
              <w:rPr>
                <w:spacing w:val="-2"/>
                <w:sz w:val="18"/>
              </w:rPr>
              <w:t>400,000</w:t>
            </w:r>
          </w:p>
        </w:tc>
        <w:tc>
          <w:tcPr>
            <w:tcW w:w="1417" w:type="dxa"/>
          </w:tcPr>
          <w:p>
            <w:pPr>
              <w:pStyle w:val="TableParagraph"/>
              <w:spacing w:before="8"/>
              <w:jc w:val="left"/>
              <w:rPr>
                <w:b/>
                <w:sz w:val="23"/>
              </w:rPr>
            </w:pPr>
          </w:p>
          <w:p>
            <w:pPr>
              <w:pStyle w:val="TableParagraph"/>
              <w:spacing w:before="1"/>
              <w:ind w:left="4"/>
              <w:jc w:val="center"/>
              <w:rPr>
                <w:sz w:val="18"/>
              </w:rPr>
            </w:pPr>
            <w:r>
              <w:rPr>
                <w:w w:val="101"/>
                <w:sz w:val="18"/>
              </w:rPr>
              <w:t>-</w:t>
            </w:r>
          </w:p>
        </w:tc>
        <w:tc>
          <w:tcPr>
            <w:tcW w:w="1412" w:type="dxa"/>
          </w:tcPr>
          <w:p>
            <w:pPr>
              <w:pStyle w:val="TableParagraph"/>
              <w:spacing w:before="8"/>
              <w:jc w:val="left"/>
              <w:rPr>
                <w:b/>
                <w:sz w:val="23"/>
              </w:rPr>
            </w:pPr>
          </w:p>
          <w:p>
            <w:pPr>
              <w:pStyle w:val="TableParagraph"/>
              <w:spacing w:before="1"/>
              <w:ind w:left="9"/>
              <w:jc w:val="center"/>
              <w:rPr>
                <w:sz w:val="18"/>
              </w:rPr>
            </w:pPr>
            <w:r>
              <w:rPr>
                <w:w w:val="101"/>
                <w:sz w:val="18"/>
              </w:rPr>
              <w:t>-</w:t>
            </w:r>
          </w:p>
        </w:tc>
      </w:tr>
      <w:tr>
        <w:trPr>
          <w:trHeight w:val="532" w:hRule="atLeast"/>
        </w:trPr>
        <w:tc>
          <w:tcPr>
            <w:tcW w:w="1695" w:type="dxa"/>
          </w:tcPr>
          <w:p>
            <w:pPr>
              <w:pStyle w:val="TableParagraph"/>
              <w:spacing w:before="57"/>
              <w:ind w:left="9"/>
              <w:jc w:val="left"/>
              <w:rPr>
                <w:sz w:val="18"/>
              </w:rPr>
            </w:pPr>
            <w:r>
              <w:rPr>
                <w:sz w:val="18"/>
              </w:rPr>
              <w:t>Other</w:t>
            </w:r>
            <w:r>
              <w:rPr>
                <w:spacing w:val="-12"/>
                <w:sz w:val="18"/>
              </w:rPr>
              <w:t> </w:t>
            </w:r>
            <w:r>
              <w:rPr>
                <w:sz w:val="18"/>
              </w:rPr>
              <w:t>IT</w:t>
            </w:r>
            <w:r>
              <w:rPr>
                <w:spacing w:val="-11"/>
                <w:sz w:val="18"/>
              </w:rPr>
              <w:t> </w:t>
            </w:r>
            <w:r>
              <w:rPr>
                <w:sz w:val="18"/>
              </w:rPr>
              <w:t>capital </w:t>
            </w:r>
            <w:r>
              <w:rPr>
                <w:spacing w:val="-2"/>
                <w:sz w:val="18"/>
              </w:rPr>
              <w:t>investments</w:t>
            </w:r>
          </w:p>
        </w:tc>
        <w:tc>
          <w:tcPr>
            <w:tcW w:w="1422" w:type="dxa"/>
          </w:tcPr>
          <w:p>
            <w:pPr>
              <w:pStyle w:val="TableParagraph"/>
              <w:spacing w:before="163"/>
              <w:ind w:left="407" w:right="393"/>
              <w:jc w:val="center"/>
              <w:rPr>
                <w:sz w:val="18"/>
              </w:rPr>
            </w:pPr>
            <w:r>
              <w:rPr>
                <w:spacing w:val="-2"/>
                <w:sz w:val="18"/>
              </w:rPr>
              <w:t>980,000</w:t>
            </w:r>
          </w:p>
        </w:tc>
        <w:tc>
          <w:tcPr>
            <w:tcW w:w="1417" w:type="dxa"/>
          </w:tcPr>
          <w:p>
            <w:pPr>
              <w:pStyle w:val="TableParagraph"/>
              <w:spacing w:before="163"/>
              <w:ind w:left="336" w:right="329"/>
              <w:jc w:val="center"/>
              <w:rPr>
                <w:sz w:val="18"/>
              </w:rPr>
            </w:pPr>
            <w:r>
              <w:rPr>
                <w:spacing w:val="-2"/>
                <w:sz w:val="18"/>
              </w:rPr>
              <w:t>1,732,000</w:t>
            </w:r>
          </w:p>
        </w:tc>
        <w:tc>
          <w:tcPr>
            <w:tcW w:w="1417" w:type="dxa"/>
          </w:tcPr>
          <w:p>
            <w:pPr>
              <w:pStyle w:val="TableParagraph"/>
              <w:spacing w:before="163"/>
              <w:ind w:right="402"/>
              <w:rPr>
                <w:sz w:val="18"/>
              </w:rPr>
            </w:pPr>
            <w:r>
              <w:rPr>
                <w:spacing w:val="-2"/>
                <w:sz w:val="18"/>
              </w:rPr>
              <w:t>912,000</w:t>
            </w:r>
          </w:p>
        </w:tc>
        <w:tc>
          <w:tcPr>
            <w:tcW w:w="1412" w:type="dxa"/>
          </w:tcPr>
          <w:p>
            <w:pPr>
              <w:pStyle w:val="TableParagraph"/>
              <w:spacing w:before="163"/>
              <w:ind w:left="335" w:right="325"/>
              <w:jc w:val="center"/>
              <w:rPr>
                <w:sz w:val="18"/>
              </w:rPr>
            </w:pPr>
            <w:r>
              <w:rPr>
                <w:spacing w:val="-2"/>
                <w:sz w:val="18"/>
              </w:rPr>
              <w:t>975,000</w:t>
            </w:r>
          </w:p>
        </w:tc>
      </w:tr>
      <w:tr>
        <w:trPr>
          <w:trHeight w:val="532" w:hRule="atLeast"/>
        </w:trPr>
        <w:tc>
          <w:tcPr>
            <w:tcW w:w="1695" w:type="dxa"/>
          </w:tcPr>
          <w:p>
            <w:pPr>
              <w:pStyle w:val="TableParagraph"/>
              <w:spacing w:before="62"/>
              <w:ind w:left="9" w:right="693"/>
              <w:jc w:val="left"/>
              <w:rPr>
                <w:b/>
                <w:sz w:val="18"/>
              </w:rPr>
            </w:pPr>
            <w:r>
              <w:rPr>
                <w:b/>
                <w:sz w:val="18"/>
              </w:rPr>
              <w:t>Total</w:t>
            </w:r>
            <w:r>
              <w:rPr>
                <w:b/>
                <w:spacing w:val="-12"/>
                <w:sz w:val="18"/>
              </w:rPr>
              <w:t> </w:t>
            </w:r>
            <w:r>
              <w:rPr>
                <w:b/>
                <w:sz w:val="18"/>
              </w:rPr>
              <w:t>capital </w:t>
            </w:r>
            <w:r>
              <w:rPr>
                <w:b/>
                <w:spacing w:val="-2"/>
                <w:sz w:val="18"/>
              </w:rPr>
              <w:t>investment</w:t>
            </w:r>
          </w:p>
        </w:tc>
        <w:tc>
          <w:tcPr>
            <w:tcW w:w="1422" w:type="dxa"/>
          </w:tcPr>
          <w:p>
            <w:pPr>
              <w:pStyle w:val="TableParagraph"/>
              <w:spacing w:before="167"/>
              <w:ind w:left="407" w:right="393"/>
              <w:jc w:val="center"/>
              <w:rPr>
                <w:b/>
                <w:sz w:val="18"/>
              </w:rPr>
            </w:pPr>
            <w:r>
              <w:rPr>
                <w:b/>
                <w:spacing w:val="-2"/>
                <w:sz w:val="18"/>
              </w:rPr>
              <w:t>953,300</w:t>
            </w:r>
          </w:p>
        </w:tc>
        <w:tc>
          <w:tcPr>
            <w:tcW w:w="1417" w:type="dxa"/>
          </w:tcPr>
          <w:p>
            <w:pPr>
              <w:pStyle w:val="TableParagraph"/>
              <w:spacing w:before="167"/>
              <w:ind w:left="336" w:right="329"/>
              <w:jc w:val="center"/>
              <w:rPr>
                <w:b/>
                <w:sz w:val="18"/>
              </w:rPr>
            </w:pPr>
            <w:r>
              <w:rPr>
                <w:b/>
                <w:spacing w:val="-2"/>
                <w:sz w:val="18"/>
              </w:rPr>
              <w:t>2,475,670</w:t>
            </w:r>
          </w:p>
        </w:tc>
        <w:tc>
          <w:tcPr>
            <w:tcW w:w="1417" w:type="dxa"/>
          </w:tcPr>
          <w:p>
            <w:pPr>
              <w:pStyle w:val="TableParagraph"/>
              <w:spacing w:before="167"/>
              <w:ind w:right="335"/>
              <w:rPr>
                <w:b/>
                <w:sz w:val="18"/>
              </w:rPr>
            </w:pPr>
            <w:r>
              <w:rPr>
                <w:b/>
                <w:spacing w:val="-2"/>
                <w:sz w:val="18"/>
              </w:rPr>
              <w:t>1,874,858</w:t>
            </w:r>
          </w:p>
        </w:tc>
        <w:tc>
          <w:tcPr>
            <w:tcW w:w="1412" w:type="dxa"/>
          </w:tcPr>
          <w:p>
            <w:pPr>
              <w:pStyle w:val="TableParagraph"/>
              <w:spacing w:before="167"/>
              <w:ind w:left="335" w:right="325"/>
              <w:jc w:val="center"/>
              <w:rPr>
                <w:b/>
                <w:sz w:val="18"/>
              </w:rPr>
            </w:pPr>
            <w:r>
              <w:rPr>
                <w:b/>
                <w:spacing w:val="-2"/>
                <w:sz w:val="18"/>
              </w:rPr>
              <w:t>8,946,782</w:t>
            </w:r>
          </w:p>
        </w:tc>
      </w:tr>
    </w:tbl>
    <w:p>
      <w:pPr>
        <w:pStyle w:val="BodyText"/>
        <w:spacing w:before="3"/>
        <w:rPr>
          <w:b/>
          <w:sz w:val="21"/>
        </w:rPr>
      </w:pPr>
    </w:p>
    <w:p>
      <w:pPr>
        <w:pStyle w:val="Heading2"/>
        <w:numPr>
          <w:ilvl w:val="1"/>
          <w:numId w:val="129"/>
        </w:numPr>
        <w:tabs>
          <w:tab w:pos="2967" w:val="left" w:leader="none"/>
        </w:tabs>
        <w:spacing w:line="240" w:lineRule="auto" w:before="0" w:after="0"/>
        <w:ind w:left="2967" w:right="0" w:hanging="567"/>
        <w:jc w:val="both"/>
      </w:pPr>
      <w:r>
        <w:rPr>
          <w:spacing w:val="-2"/>
        </w:rPr>
        <w:t>Vehicles</w:t>
      </w:r>
    </w:p>
    <w:p>
      <w:pPr>
        <w:pStyle w:val="BodyText"/>
        <w:rPr>
          <w:b/>
          <w:sz w:val="21"/>
        </w:rPr>
      </w:pPr>
    </w:p>
    <w:p>
      <w:pPr>
        <w:pStyle w:val="ListParagraph"/>
        <w:numPr>
          <w:ilvl w:val="0"/>
          <w:numId w:val="129"/>
        </w:numPr>
        <w:tabs>
          <w:tab w:pos="2966" w:val="left" w:leader="none"/>
          <w:tab w:pos="2967" w:val="left" w:leader="none"/>
        </w:tabs>
        <w:spacing w:line="240" w:lineRule="auto" w:before="0" w:after="0"/>
        <w:ind w:left="2246" w:right="2246" w:firstLine="0"/>
        <w:jc w:val="both"/>
        <w:rPr>
          <w:sz w:val="20"/>
        </w:rPr>
      </w:pPr>
      <w:r>
        <w:rPr>
          <w:sz w:val="20"/>
        </w:rPr>
        <w:t>The</w:t>
      </w:r>
      <w:r>
        <w:rPr>
          <w:spacing w:val="-13"/>
          <w:sz w:val="20"/>
        </w:rPr>
        <w:t> </w:t>
      </w:r>
      <w:r>
        <w:rPr>
          <w:sz w:val="20"/>
        </w:rPr>
        <w:t>costs</w:t>
      </w:r>
      <w:r>
        <w:rPr>
          <w:spacing w:val="-12"/>
          <w:sz w:val="20"/>
        </w:rPr>
        <w:t> </w:t>
      </w:r>
      <w:r>
        <w:rPr>
          <w:sz w:val="20"/>
        </w:rPr>
        <w:t>indicated</w:t>
      </w:r>
      <w:r>
        <w:rPr>
          <w:spacing w:val="-13"/>
          <w:sz w:val="20"/>
        </w:rPr>
        <w:t> </w:t>
      </w:r>
      <w:r>
        <w:rPr>
          <w:sz w:val="20"/>
        </w:rPr>
        <w:t>in</w:t>
      </w:r>
      <w:r>
        <w:rPr>
          <w:spacing w:val="-9"/>
          <w:sz w:val="20"/>
        </w:rPr>
        <w:t> </w:t>
      </w:r>
      <w:r>
        <w:rPr>
          <w:sz w:val="20"/>
        </w:rPr>
        <w:t>the</w:t>
      </w:r>
      <w:r>
        <w:rPr>
          <w:spacing w:val="-13"/>
          <w:sz w:val="20"/>
        </w:rPr>
        <w:t> </w:t>
      </w:r>
      <w:r>
        <w:rPr>
          <w:sz w:val="20"/>
        </w:rPr>
        <w:t>table</w:t>
      </w:r>
      <w:r>
        <w:rPr>
          <w:spacing w:val="-12"/>
          <w:sz w:val="20"/>
        </w:rPr>
        <w:t> </w:t>
      </w:r>
      <w:r>
        <w:rPr>
          <w:sz w:val="20"/>
        </w:rPr>
        <w:t>above</w:t>
      </w:r>
      <w:r>
        <w:rPr>
          <w:spacing w:val="-13"/>
          <w:sz w:val="20"/>
        </w:rPr>
        <w:t> </w:t>
      </w:r>
      <w:r>
        <w:rPr>
          <w:sz w:val="20"/>
        </w:rPr>
        <w:t>are</w:t>
      </w:r>
      <w:r>
        <w:rPr>
          <w:spacing w:val="-8"/>
          <w:sz w:val="20"/>
        </w:rPr>
        <w:t> </w:t>
      </w:r>
      <w:r>
        <w:rPr>
          <w:sz w:val="20"/>
        </w:rPr>
        <w:t>based</w:t>
      </w:r>
      <w:r>
        <w:rPr>
          <w:spacing w:val="-9"/>
          <w:sz w:val="20"/>
        </w:rPr>
        <w:t> </w:t>
      </w:r>
      <w:r>
        <w:rPr>
          <w:sz w:val="20"/>
        </w:rPr>
        <w:t>on</w:t>
      </w:r>
      <w:r>
        <w:rPr>
          <w:spacing w:val="-9"/>
          <w:sz w:val="20"/>
        </w:rPr>
        <w:t> </w:t>
      </w:r>
      <w:r>
        <w:rPr>
          <w:sz w:val="20"/>
        </w:rPr>
        <w:t>the</w:t>
      </w:r>
      <w:r>
        <w:rPr>
          <w:spacing w:val="-8"/>
          <w:sz w:val="20"/>
        </w:rPr>
        <w:t> </w:t>
      </w:r>
      <w:r>
        <w:rPr>
          <w:sz w:val="20"/>
        </w:rPr>
        <w:t>replacement</w:t>
      </w:r>
      <w:r>
        <w:rPr>
          <w:spacing w:val="-8"/>
          <w:sz w:val="20"/>
        </w:rPr>
        <w:t> </w:t>
      </w:r>
      <w:r>
        <w:rPr>
          <w:sz w:val="20"/>
        </w:rPr>
        <w:t>plan</w:t>
      </w:r>
      <w:r>
        <w:rPr>
          <w:spacing w:val="-13"/>
          <w:sz w:val="20"/>
        </w:rPr>
        <w:t> </w:t>
      </w:r>
      <w:r>
        <w:rPr>
          <w:sz w:val="20"/>
        </w:rPr>
        <w:t>for</w:t>
      </w:r>
      <w:r>
        <w:rPr>
          <w:spacing w:val="-9"/>
          <w:sz w:val="20"/>
        </w:rPr>
        <w:t> </w:t>
      </w:r>
      <w:r>
        <w:rPr>
          <w:sz w:val="20"/>
        </w:rPr>
        <w:t>vehicles in the field for</w:t>
      </w:r>
      <w:r>
        <w:rPr>
          <w:spacing w:val="-3"/>
          <w:sz w:val="20"/>
        </w:rPr>
        <w:t> </w:t>
      </w:r>
      <w:r>
        <w:rPr>
          <w:sz w:val="20"/>
        </w:rPr>
        <w:t>the</w:t>
      </w:r>
      <w:r>
        <w:rPr>
          <w:spacing w:val="-2"/>
          <w:sz w:val="20"/>
        </w:rPr>
        <w:t> </w:t>
      </w:r>
      <w:r>
        <w:rPr>
          <w:sz w:val="20"/>
        </w:rPr>
        <w:t>years 2023-2026. Vehicles</w:t>
      </w:r>
      <w:r>
        <w:rPr>
          <w:spacing w:val="-5"/>
          <w:sz w:val="20"/>
        </w:rPr>
        <w:t> </w:t>
      </w:r>
      <w:r>
        <w:rPr>
          <w:sz w:val="20"/>
        </w:rPr>
        <w:t>are distributed</w:t>
      </w:r>
      <w:r>
        <w:rPr>
          <w:spacing w:val="-8"/>
          <w:sz w:val="20"/>
        </w:rPr>
        <w:t> </w:t>
      </w:r>
      <w:r>
        <w:rPr>
          <w:sz w:val="20"/>
        </w:rPr>
        <w:t>and transferred among</w:t>
      </w:r>
      <w:r>
        <w:rPr>
          <w:spacing w:val="-4"/>
          <w:sz w:val="20"/>
        </w:rPr>
        <w:t> </w:t>
      </w:r>
      <w:r>
        <w:rPr>
          <w:sz w:val="20"/>
        </w:rPr>
        <w:t>country offices</w:t>
      </w:r>
      <w:r>
        <w:rPr>
          <w:spacing w:val="-5"/>
          <w:sz w:val="20"/>
        </w:rPr>
        <w:t> </w:t>
      </w:r>
      <w:r>
        <w:rPr>
          <w:sz w:val="20"/>
        </w:rPr>
        <w:t>according</w:t>
      </w:r>
      <w:r>
        <w:rPr>
          <w:spacing w:val="-8"/>
          <w:sz w:val="20"/>
        </w:rPr>
        <w:t> </w:t>
      </w:r>
      <w:r>
        <w:rPr>
          <w:sz w:val="20"/>
        </w:rPr>
        <w:t>to</w:t>
      </w:r>
      <w:r>
        <w:rPr>
          <w:spacing w:val="-4"/>
          <w:sz w:val="20"/>
        </w:rPr>
        <w:t> </w:t>
      </w:r>
      <w:r>
        <w:rPr>
          <w:sz w:val="20"/>
        </w:rPr>
        <w:t>operational</w:t>
      </w:r>
      <w:r>
        <w:rPr>
          <w:spacing w:val="-2"/>
          <w:sz w:val="20"/>
        </w:rPr>
        <w:t> </w:t>
      </w:r>
      <w:r>
        <w:rPr>
          <w:sz w:val="20"/>
        </w:rPr>
        <w:t>needs.</w:t>
      </w:r>
      <w:r>
        <w:rPr>
          <w:spacing w:val="-1"/>
          <w:sz w:val="20"/>
        </w:rPr>
        <w:t> </w:t>
      </w:r>
      <w:r>
        <w:rPr>
          <w:sz w:val="20"/>
        </w:rPr>
        <w:t>The</w:t>
      </w:r>
      <w:r>
        <w:rPr>
          <w:spacing w:val="-2"/>
          <w:sz w:val="20"/>
        </w:rPr>
        <w:t> </w:t>
      </w:r>
      <w:r>
        <w:rPr>
          <w:sz w:val="20"/>
        </w:rPr>
        <w:t>Court</w:t>
      </w:r>
      <w:r>
        <w:rPr>
          <w:spacing w:val="-2"/>
          <w:sz w:val="20"/>
        </w:rPr>
        <w:t> </w:t>
      </w:r>
      <w:r>
        <w:rPr>
          <w:sz w:val="20"/>
        </w:rPr>
        <w:t>is</w:t>
      </w:r>
      <w:r>
        <w:rPr>
          <w:spacing w:val="-5"/>
          <w:sz w:val="20"/>
        </w:rPr>
        <w:t> </w:t>
      </w:r>
      <w:r>
        <w:rPr>
          <w:sz w:val="20"/>
        </w:rPr>
        <w:t>looking</w:t>
      </w:r>
      <w:r>
        <w:rPr>
          <w:spacing w:val="-8"/>
          <w:sz w:val="20"/>
        </w:rPr>
        <w:t> </w:t>
      </w:r>
      <w:r>
        <w:rPr>
          <w:sz w:val="20"/>
        </w:rPr>
        <w:t>into</w:t>
      </w:r>
      <w:r>
        <w:rPr>
          <w:spacing w:val="-4"/>
          <w:sz w:val="20"/>
        </w:rPr>
        <w:t> </w:t>
      </w:r>
      <w:r>
        <w:rPr>
          <w:sz w:val="20"/>
        </w:rPr>
        <w:t>leasing</w:t>
      </w:r>
      <w:r>
        <w:rPr>
          <w:spacing w:val="-4"/>
          <w:sz w:val="20"/>
        </w:rPr>
        <w:t> </w:t>
      </w:r>
      <w:r>
        <w:rPr>
          <w:sz w:val="20"/>
        </w:rPr>
        <w:t>options</w:t>
      </w:r>
      <w:r>
        <w:rPr>
          <w:spacing w:val="-5"/>
          <w:sz w:val="20"/>
        </w:rPr>
        <w:t> </w:t>
      </w:r>
      <w:r>
        <w:rPr>
          <w:sz w:val="20"/>
        </w:rPr>
        <w:t>through</w:t>
      </w:r>
      <w:r>
        <w:rPr>
          <w:spacing w:val="-4"/>
          <w:sz w:val="20"/>
        </w:rPr>
        <w:t> </w:t>
      </w:r>
      <w:r>
        <w:rPr>
          <w:sz w:val="20"/>
        </w:rPr>
        <w:t>the United Nations fleet programme.</w:t>
      </w:r>
    </w:p>
    <w:p>
      <w:pPr>
        <w:pStyle w:val="Heading2"/>
        <w:spacing w:before="119"/>
        <w:ind w:left="2462" w:firstLine="0"/>
        <w:jc w:val="both"/>
      </w:pPr>
      <w:r>
        <w:rPr/>
        <w:t>B.</w:t>
      </w:r>
      <w:r>
        <w:rPr>
          <w:spacing w:val="76"/>
        </w:rPr>
        <w:t>  </w:t>
      </w:r>
      <w:r>
        <w:rPr/>
        <w:t>Capital</w:t>
      </w:r>
      <w:r>
        <w:rPr>
          <w:spacing w:val="1"/>
        </w:rPr>
        <w:t> </w:t>
      </w:r>
      <w:r>
        <w:rPr/>
        <w:t>replacements</w:t>
      </w:r>
      <w:r>
        <w:rPr>
          <w:spacing w:val="-3"/>
        </w:rPr>
        <w:t> </w:t>
      </w:r>
      <w:r>
        <w:rPr/>
        <w:t>at</w:t>
      </w:r>
      <w:r>
        <w:rPr>
          <w:spacing w:val="-3"/>
        </w:rPr>
        <w:t> </w:t>
      </w:r>
      <w:r>
        <w:rPr/>
        <w:t>the</w:t>
      </w:r>
      <w:r>
        <w:rPr>
          <w:spacing w:val="-1"/>
        </w:rPr>
        <w:t> </w:t>
      </w:r>
      <w:r>
        <w:rPr/>
        <w:t>Court’s</w:t>
      </w:r>
      <w:r>
        <w:rPr>
          <w:spacing w:val="-3"/>
        </w:rPr>
        <w:t> </w:t>
      </w:r>
      <w:r>
        <w:rPr/>
        <w:t>premises</w:t>
      </w:r>
      <w:r>
        <w:rPr>
          <w:spacing w:val="-3"/>
        </w:rPr>
        <w:t> </w:t>
      </w:r>
      <w:r>
        <w:rPr/>
        <w:t>in</w:t>
      </w:r>
      <w:r>
        <w:rPr>
          <w:spacing w:val="-4"/>
        </w:rPr>
        <w:t> </w:t>
      </w:r>
      <w:r>
        <w:rPr/>
        <w:t>The </w:t>
      </w:r>
      <w:r>
        <w:rPr>
          <w:spacing w:val="-2"/>
        </w:rPr>
        <w:t>Hague</w:t>
      </w:r>
    </w:p>
    <w:p>
      <w:pPr>
        <w:pStyle w:val="ListParagraph"/>
        <w:numPr>
          <w:ilvl w:val="0"/>
          <w:numId w:val="129"/>
        </w:numPr>
        <w:tabs>
          <w:tab w:pos="2966" w:val="left" w:leader="none"/>
          <w:tab w:pos="2967" w:val="left" w:leader="none"/>
        </w:tabs>
        <w:spacing w:line="240" w:lineRule="auto" w:before="121" w:after="0"/>
        <w:ind w:left="2246" w:right="2249" w:firstLine="0"/>
        <w:jc w:val="both"/>
        <w:rPr>
          <w:sz w:val="20"/>
        </w:rPr>
      </w:pPr>
      <w:r>
        <w:rPr>
          <w:sz w:val="20"/>
        </w:rPr>
        <w:t>The estimates for capital replacements shown in Table 1 form part of the rolling plan presented in the aforementioned report to the Committee. Table 1 also includes the cumulative funding gap representing the backlog in capital replacements for the Court’s Headquarters premises.</w:t>
      </w:r>
    </w:p>
    <w:p>
      <w:pPr>
        <w:pStyle w:val="BodyText"/>
        <w:spacing w:before="2"/>
        <w:rPr>
          <w:sz w:val="21"/>
        </w:rPr>
      </w:pPr>
    </w:p>
    <w:p>
      <w:pPr>
        <w:pStyle w:val="Heading2"/>
        <w:tabs>
          <w:tab w:pos="2966" w:val="left" w:leader="none"/>
        </w:tabs>
        <w:ind w:left="2400" w:firstLine="0"/>
      </w:pPr>
      <w:r>
        <w:rPr>
          <w:spacing w:val="-5"/>
        </w:rPr>
        <w:t>C.</w:t>
      </w:r>
      <w:r>
        <w:rPr/>
        <w:tab/>
        <w:t>Investments</w:t>
      </w:r>
      <w:r>
        <w:rPr>
          <w:spacing w:val="-3"/>
        </w:rPr>
        <w:t> </w:t>
      </w:r>
      <w:r>
        <w:rPr/>
        <w:t>related to</w:t>
      </w:r>
      <w:r>
        <w:rPr>
          <w:spacing w:val="-4"/>
        </w:rPr>
        <w:t> </w:t>
      </w:r>
      <w:r>
        <w:rPr/>
        <w:t>the</w:t>
      </w:r>
      <w:r>
        <w:rPr>
          <w:spacing w:val="-6"/>
        </w:rPr>
        <w:t> </w:t>
      </w:r>
      <w:r>
        <w:rPr/>
        <w:t>Court’s</w:t>
      </w:r>
      <w:r>
        <w:rPr>
          <w:spacing w:val="-2"/>
        </w:rPr>
        <w:t> </w:t>
      </w:r>
      <w:r>
        <w:rPr/>
        <w:t>IT/IM</w:t>
      </w:r>
      <w:r>
        <w:rPr>
          <w:spacing w:val="-1"/>
        </w:rPr>
        <w:t> </w:t>
      </w:r>
      <w:r>
        <w:rPr/>
        <w:t>Strategy</w:t>
      </w:r>
      <w:r>
        <w:rPr>
          <w:spacing w:val="1"/>
        </w:rPr>
        <w:t> </w:t>
      </w:r>
      <w:r>
        <w:rPr/>
        <w:t>(2023-</w:t>
      </w:r>
      <w:r>
        <w:rPr>
          <w:spacing w:val="-2"/>
        </w:rPr>
        <w:t>2025)</w:t>
      </w:r>
    </w:p>
    <w:p>
      <w:pPr>
        <w:pStyle w:val="BodyText"/>
        <w:spacing w:before="6"/>
        <w:rPr>
          <w:b/>
        </w:rPr>
      </w:pPr>
    </w:p>
    <w:p>
      <w:pPr>
        <w:pStyle w:val="ListParagraph"/>
        <w:numPr>
          <w:ilvl w:val="0"/>
          <w:numId w:val="129"/>
        </w:numPr>
        <w:tabs>
          <w:tab w:pos="2966" w:val="left" w:leader="none"/>
          <w:tab w:pos="2967" w:val="left" w:leader="none"/>
        </w:tabs>
        <w:spacing w:line="240" w:lineRule="auto" w:before="0" w:after="0"/>
        <w:ind w:left="2246" w:right="2241" w:firstLine="0"/>
        <w:jc w:val="both"/>
        <w:rPr>
          <w:sz w:val="20"/>
        </w:rPr>
      </w:pPr>
      <w:r>
        <w:rPr>
          <w:sz w:val="20"/>
        </w:rPr>
        <w:t>In</w:t>
      </w:r>
      <w:r>
        <w:rPr>
          <w:spacing w:val="-13"/>
          <w:sz w:val="20"/>
        </w:rPr>
        <w:t> </w:t>
      </w:r>
      <w:r>
        <w:rPr>
          <w:sz w:val="20"/>
        </w:rPr>
        <w:t>accordance</w:t>
      </w:r>
      <w:r>
        <w:rPr>
          <w:spacing w:val="-12"/>
          <w:sz w:val="20"/>
        </w:rPr>
        <w:t> </w:t>
      </w:r>
      <w:r>
        <w:rPr>
          <w:sz w:val="20"/>
        </w:rPr>
        <w:t>with</w:t>
      </w:r>
      <w:r>
        <w:rPr>
          <w:spacing w:val="-13"/>
          <w:sz w:val="20"/>
        </w:rPr>
        <w:t> </w:t>
      </w:r>
      <w:r>
        <w:rPr>
          <w:sz w:val="20"/>
        </w:rPr>
        <w:t>the</w:t>
      </w:r>
      <w:r>
        <w:rPr>
          <w:spacing w:val="-12"/>
          <w:sz w:val="20"/>
        </w:rPr>
        <w:t> </w:t>
      </w:r>
      <w:r>
        <w:rPr>
          <w:sz w:val="20"/>
        </w:rPr>
        <w:t>Court’s</w:t>
      </w:r>
      <w:r>
        <w:rPr>
          <w:spacing w:val="-13"/>
          <w:sz w:val="20"/>
        </w:rPr>
        <w:t> </w:t>
      </w:r>
      <w:r>
        <w:rPr>
          <w:sz w:val="20"/>
        </w:rPr>
        <w:t>IT/IM</w:t>
      </w:r>
      <w:r>
        <w:rPr>
          <w:spacing w:val="-12"/>
          <w:sz w:val="20"/>
        </w:rPr>
        <w:t> </w:t>
      </w:r>
      <w:r>
        <w:rPr>
          <w:sz w:val="20"/>
        </w:rPr>
        <w:t>Strategy,</w:t>
      </w:r>
      <w:r>
        <w:rPr>
          <w:spacing w:val="-13"/>
          <w:sz w:val="20"/>
        </w:rPr>
        <w:t> </w:t>
      </w:r>
      <w:r>
        <w:rPr>
          <w:sz w:val="20"/>
        </w:rPr>
        <w:t>a</w:t>
      </w:r>
      <w:r>
        <w:rPr>
          <w:spacing w:val="-12"/>
          <w:sz w:val="20"/>
        </w:rPr>
        <w:t> </w:t>
      </w:r>
      <w:r>
        <w:rPr>
          <w:sz w:val="20"/>
        </w:rPr>
        <w:t>total</w:t>
      </w:r>
      <w:r>
        <w:rPr>
          <w:spacing w:val="-13"/>
          <w:sz w:val="20"/>
        </w:rPr>
        <w:t> </w:t>
      </w:r>
      <w:r>
        <w:rPr>
          <w:sz w:val="20"/>
        </w:rPr>
        <w:t>Court-wide</w:t>
      </w:r>
      <w:r>
        <w:rPr>
          <w:spacing w:val="-12"/>
          <w:sz w:val="20"/>
        </w:rPr>
        <w:t> </w:t>
      </w:r>
      <w:r>
        <w:rPr>
          <w:sz w:val="20"/>
        </w:rPr>
        <w:t>capital</w:t>
      </w:r>
      <w:r>
        <w:rPr>
          <w:spacing w:val="-13"/>
          <w:sz w:val="20"/>
        </w:rPr>
        <w:t> </w:t>
      </w:r>
      <w:r>
        <w:rPr>
          <w:sz w:val="20"/>
        </w:rPr>
        <w:t>investment of €502.8 thousand is required in 2023. The requested amount includes €382.5 thousand in the Division of Judicial Services (DJS) for data migration of evidentiary material of active cases, comprising €82.5 thousand to continue the JWP Software Programming Officer position</w:t>
      </w:r>
      <w:r>
        <w:rPr>
          <w:spacing w:val="-8"/>
          <w:sz w:val="20"/>
        </w:rPr>
        <w:t> </w:t>
      </w:r>
      <w:r>
        <w:rPr>
          <w:sz w:val="20"/>
        </w:rPr>
        <w:t>(resource</w:t>
      </w:r>
      <w:r>
        <w:rPr>
          <w:spacing w:val="-11"/>
          <w:sz w:val="20"/>
        </w:rPr>
        <w:t> </w:t>
      </w:r>
      <w:r>
        <w:rPr>
          <w:sz w:val="20"/>
        </w:rPr>
        <w:t>approved</w:t>
      </w:r>
      <w:r>
        <w:rPr>
          <w:spacing w:val="-8"/>
          <w:sz w:val="20"/>
        </w:rPr>
        <w:t> </w:t>
      </w:r>
      <w:r>
        <w:rPr>
          <w:sz w:val="20"/>
        </w:rPr>
        <w:t>in</w:t>
      </w:r>
      <w:r>
        <w:rPr>
          <w:spacing w:val="-8"/>
          <w:sz w:val="20"/>
        </w:rPr>
        <w:t> </w:t>
      </w:r>
      <w:r>
        <w:rPr>
          <w:sz w:val="20"/>
        </w:rPr>
        <w:t>2022</w:t>
      </w:r>
      <w:r>
        <w:rPr>
          <w:spacing w:val="-4"/>
          <w:sz w:val="20"/>
        </w:rPr>
        <w:t> </w:t>
      </w:r>
      <w:r>
        <w:rPr>
          <w:sz w:val="20"/>
        </w:rPr>
        <w:t>under</w:t>
      </w:r>
      <w:r>
        <w:rPr>
          <w:spacing w:val="-13"/>
          <w:sz w:val="20"/>
        </w:rPr>
        <w:t> </w:t>
      </w:r>
      <w:r>
        <w:rPr>
          <w:sz w:val="20"/>
        </w:rPr>
        <w:t>contractual</w:t>
      </w:r>
      <w:r>
        <w:rPr>
          <w:spacing w:val="-7"/>
          <w:sz w:val="20"/>
        </w:rPr>
        <w:t> </w:t>
      </w:r>
      <w:r>
        <w:rPr>
          <w:sz w:val="20"/>
        </w:rPr>
        <w:t>services)</w:t>
      </w:r>
      <w:r>
        <w:rPr>
          <w:spacing w:val="-4"/>
          <w:sz w:val="20"/>
        </w:rPr>
        <w:t> </w:t>
      </w:r>
      <w:r>
        <w:rPr>
          <w:sz w:val="20"/>
        </w:rPr>
        <w:t>to</w:t>
      </w:r>
      <w:r>
        <w:rPr>
          <w:spacing w:val="-8"/>
          <w:sz w:val="20"/>
        </w:rPr>
        <w:t> </w:t>
      </w:r>
      <w:r>
        <w:rPr>
          <w:sz w:val="20"/>
        </w:rPr>
        <w:t>manage</w:t>
      </w:r>
      <w:r>
        <w:rPr>
          <w:spacing w:val="-7"/>
          <w:sz w:val="20"/>
        </w:rPr>
        <w:t> </w:t>
      </w:r>
      <w:r>
        <w:rPr>
          <w:sz w:val="20"/>
        </w:rPr>
        <w:t>the</w:t>
      </w:r>
      <w:r>
        <w:rPr>
          <w:spacing w:val="-7"/>
          <w:sz w:val="20"/>
        </w:rPr>
        <w:t> </w:t>
      </w:r>
      <w:r>
        <w:rPr>
          <w:sz w:val="20"/>
        </w:rPr>
        <w:t>migration</w:t>
      </w:r>
      <w:r>
        <w:rPr>
          <w:spacing w:val="-8"/>
          <w:sz w:val="20"/>
        </w:rPr>
        <w:t> </w:t>
      </w:r>
      <w:r>
        <w:rPr>
          <w:sz w:val="20"/>
        </w:rPr>
        <w:t>and a further €300.0 thousand for contractual services to augment IMSS</w:t>
      </w:r>
      <w:r>
        <w:rPr>
          <w:spacing w:val="-2"/>
          <w:sz w:val="20"/>
        </w:rPr>
        <w:t> </w:t>
      </w:r>
      <w:r>
        <w:rPr>
          <w:sz w:val="20"/>
        </w:rPr>
        <w:t>expertise and capacity. The</w:t>
      </w:r>
      <w:r>
        <w:rPr>
          <w:spacing w:val="-3"/>
          <w:sz w:val="20"/>
        </w:rPr>
        <w:t> </w:t>
      </w:r>
      <w:r>
        <w:rPr>
          <w:sz w:val="20"/>
        </w:rPr>
        <w:t>remaining</w:t>
      </w:r>
      <w:r>
        <w:rPr>
          <w:spacing w:val="-5"/>
          <w:sz w:val="20"/>
        </w:rPr>
        <w:t> </w:t>
      </w:r>
      <w:r>
        <w:rPr>
          <w:sz w:val="20"/>
        </w:rPr>
        <w:t>€90.0</w:t>
      </w:r>
      <w:r>
        <w:rPr>
          <w:spacing w:val="-5"/>
          <w:sz w:val="20"/>
        </w:rPr>
        <w:t> </w:t>
      </w:r>
      <w:r>
        <w:rPr>
          <w:sz w:val="20"/>
        </w:rPr>
        <w:t>thousand</w:t>
      </w:r>
      <w:r>
        <w:rPr>
          <w:spacing w:val="-5"/>
          <w:sz w:val="20"/>
        </w:rPr>
        <w:t> </w:t>
      </w:r>
      <w:r>
        <w:rPr>
          <w:sz w:val="20"/>
        </w:rPr>
        <w:t>is</w:t>
      </w:r>
      <w:r>
        <w:rPr>
          <w:spacing w:val="-2"/>
          <w:sz w:val="20"/>
        </w:rPr>
        <w:t> </w:t>
      </w:r>
      <w:r>
        <w:rPr>
          <w:sz w:val="20"/>
        </w:rPr>
        <w:t>requested</w:t>
      </w:r>
      <w:r>
        <w:rPr>
          <w:spacing w:val="-5"/>
          <w:sz w:val="20"/>
        </w:rPr>
        <w:t> </w:t>
      </w:r>
      <w:r>
        <w:rPr>
          <w:sz w:val="20"/>
        </w:rPr>
        <w:t>by</w:t>
      </w:r>
      <w:r>
        <w:rPr>
          <w:spacing w:val="-5"/>
          <w:sz w:val="20"/>
        </w:rPr>
        <w:t> </w:t>
      </w:r>
      <w:r>
        <w:rPr>
          <w:sz w:val="20"/>
        </w:rPr>
        <w:t>the</w:t>
      </w:r>
      <w:r>
        <w:rPr>
          <w:spacing w:val="-3"/>
          <w:sz w:val="20"/>
        </w:rPr>
        <w:t> </w:t>
      </w:r>
      <w:r>
        <w:rPr>
          <w:sz w:val="20"/>
        </w:rPr>
        <w:t>Division</w:t>
      </w:r>
      <w:r>
        <w:rPr>
          <w:spacing w:val="-5"/>
          <w:sz w:val="20"/>
        </w:rPr>
        <w:t> </w:t>
      </w:r>
      <w:r>
        <w:rPr>
          <w:sz w:val="20"/>
        </w:rPr>
        <w:t>of Management</w:t>
      </w:r>
      <w:r>
        <w:rPr>
          <w:spacing w:val="-3"/>
          <w:sz w:val="20"/>
        </w:rPr>
        <w:t> </w:t>
      </w:r>
      <w:r>
        <w:rPr>
          <w:sz w:val="20"/>
        </w:rPr>
        <w:t>Services</w:t>
      </w:r>
      <w:r>
        <w:rPr>
          <w:spacing w:val="-6"/>
          <w:sz w:val="20"/>
        </w:rPr>
        <w:t> </w:t>
      </w:r>
      <w:r>
        <w:rPr>
          <w:sz w:val="20"/>
        </w:rPr>
        <w:t>(DMS) in preparation for the</w:t>
      </w:r>
      <w:r>
        <w:rPr>
          <w:spacing w:val="-2"/>
          <w:sz w:val="20"/>
        </w:rPr>
        <w:t> </w:t>
      </w:r>
      <w:r>
        <w:rPr>
          <w:sz w:val="20"/>
        </w:rPr>
        <w:t>end of life of the Court’s Enterprise Resource Planning (ERP) system in</w:t>
      </w:r>
      <w:r>
        <w:rPr>
          <w:spacing w:val="-4"/>
          <w:sz w:val="20"/>
        </w:rPr>
        <w:t> </w:t>
      </w:r>
      <w:r>
        <w:rPr>
          <w:sz w:val="20"/>
        </w:rPr>
        <w:t>2027.</w:t>
      </w:r>
      <w:r>
        <w:rPr>
          <w:spacing w:val="-1"/>
          <w:sz w:val="20"/>
        </w:rPr>
        <w:t> </w:t>
      </w:r>
      <w:r>
        <w:rPr>
          <w:sz w:val="20"/>
        </w:rPr>
        <w:t>The</w:t>
      </w:r>
      <w:r>
        <w:rPr>
          <w:spacing w:val="-2"/>
          <w:sz w:val="20"/>
        </w:rPr>
        <w:t> </w:t>
      </w:r>
      <w:r>
        <w:rPr>
          <w:sz w:val="20"/>
        </w:rPr>
        <w:t>Court</w:t>
      </w:r>
      <w:r>
        <w:rPr>
          <w:spacing w:val="-2"/>
          <w:sz w:val="20"/>
        </w:rPr>
        <w:t> </w:t>
      </w:r>
      <w:r>
        <w:rPr>
          <w:sz w:val="20"/>
        </w:rPr>
        <w:t>requires</w:t>
      </w:r>
      <w:r>
        <w:rPr>
          <w:spacing w:val="-5"/>
          <w:sz w:val="20"/>
        </w:rPr>
        <w:t> </w:t>
      </w:r>
      <w:r>
        <w:rPr>
          <w:sz w:val="20"/>
        </w:rPr>
        <w:t>expert</w:t>
      </w:r>
      <w:r>
        <w:rPr>
          <w:spacing w:val="-7"/>
          <w:sz w:val="20"/>
        </w:rPr>
        <w:t> </w:t>
      </w:r>
      <w:r>
        <w:rPr>
          <w:sz w:val="20"/>
        </w:rPr>
        <w:t>ERP</w:t>
      </w:r>
      <w:r>
        <w:rPr>
          <w:spacing w:val="-5"/>
          <w:sz w:val="20"/>
        </w:rPr>
        <w:t> </w:t>
      </w:r>
      <w:r>
        <w:rPr>
          <w:sz w:val="20"/>
        </w:rPr>
        <w:t>consultancy</w:t>
      </w:r>
      <w:r>
        <w:rPr>
          <w:spacing w:val="-8"/>
          <w:sz w:val="20"/>
        </w:rPr>
        <w:t> </w:t>
      </w:r>
      <w:r>
        <w:rPr>
          <w:sz w:val="20"/>
        </w:rPr>
        <w:t>to</w:t>
      </w:r>
      <w:r>
        <w:rPr>
          <w:spacing w:val="-4"/>
          <w:sz w:val="20"/>
        </w:rPr>
        <w:t> </w:t>
      </w:r>
      <w:r>
        <w:rPr>
          <w:sz w:val="20"/>
        </w:rPr>
        <w:t>facilitate</w:t>
      </w:r>
      <w:r>
        <w:rPr>
          <w:spacing w:val="-7"/>
          <w:sz w:val="20"/>
        </w:rPr>
        <w:t> </w:t>
      </w:r>
      <w:r>
        <w:rPr>
          <w:sz w:val="20"/>
        </w:rPr>
        <w:t>the</w:t>
      </w:r>
      <w:r>
        <w:rPr>
          <w:spacing w:val="-2"/>
          <w:sz w:val="20"/>
        </w:rPr>
        <w:t> </w:t>
      </w:r>
      <w:r>
        <w:rPr>
          <w:sz w:val="20"/>
        </w:rPr>
        <w:t>necessary</w:t>
      </w:r>
      <w:r>
        <w:rPr>
          <w:spacing w:val="-4"/>
          <w:sz w:val="20"/>
        </w:rPr>
        <w:t> </w:t>
      </w:r>
      <w:r>
        <w:rPr>
          <w:sz w:val="20"/>
        </w:rPr>
        <w:t>due</w:t>
      </w:r>
      <w:r>
        <w:rPr>
          <w:spacing w:val="-2"/>
          <w:sz w:val="20"/>
        </w:rPr>
        <w:t> </w:t>
      </w:r>
      <w:r>
        <w:rPr>
          <w:sz w:val="20"/>
        </w:rPr>
        <w:t>diligence</w:t>
      </w:r>
    </w:p>
    <w:p>
      <w:pPr>
        <w:pStyle w:val="BodyText"/>
        <w:spacing w:before="8"/>
        <w:rPr>
          <w:sz w:val="26"/>
        </w:rPr>
      </w:pPr>
      <w:r>
        <w:rPr/>
        <w:pict>
          <v:rect style="position:absolute;margin-left:113.330002pt;margin-top:16.565125pt;width:144.050pt;height:.48004pt;mso-position-horizontal-relative:page;mso-position-vertical-relative:paragraph;z-index:-15668224;mso-wrap-distance-left:0;mso-wrap-distance-right:0" id="docshape513" filled="true" fillcolor="#000000" stroked="false">
            <v:fill type="solid"/>
            <w10:wrap type="topAndBottom"/>
          </v:rect>
        </w:pict>
      </w:r>
    </w:p>
    <w:p>
      <w:pPr>
        <w:spacing w:before="86"/>
        <w:ind w:left="2246" w:right="2195" w:firstLine="0"/>
        <w:jc w:val="left"/>
        <w:rPr>
          <w:sz w:val="16"/>
        </w:rPr>
      </w:pPr>
      <w:r>
        <w:rPr>
          <w:position w:val="5"/>
          <w:sz w:val="10"/>
        </w:rPr>
        <w:t>156</w:t>
      </w:r>
      <w:r>
        <w:rPr>
          <w:spacing w:val="14"/>
          <w:position w:val="5"/>
          <w:sz w:val="10"/>
        </w:rPr>
        <w:t> </w:t>
      </w:r>
      <w:r>
        <w:rPr>
          <w:i/>
          <w:sz w:val="16"/>
        </w:rPr>
        <w:t>Official</w:t>
      </w:r>
      <w:r>
        <w:rPr>
          <w:i/>
          <w:spacing w:val="-4"/>
          <w:sz w:val="16"/>
        </w:rPr>
        <w:t> </w:t>
      </w:r>
      <w:r>
        <w:rPr>
          <w:i/>
          <w:sz w:val="16"/>
        </w:rPr>
        <w:t>Records</w:t>
      </w:r>
      <w:r>
        <w:rPr>
          <w:i/>
          <w:spacing w:val="-1"/>
          <w:sz w:val="16"/>
        </w:rPr>
        <w:t> </w:t>
      </w:r>
      <w:r>
        <w:rPr>
          <w:i/>
          <w:sz w:val="16"/>
        </w:rPr>
        <w:t>of</w:t>
      </w:r>
      <w:r>
        <w:rPr>
          <w:i/>
          <w:spacing w:val="-4"/>
          <w:sz w:val="16"/>
        </w:rPr>
        <w:t> </w:t>
      </w:r>
      <w:r>
        <w:rPr>
          <w:i/>
          <w:sz w:val="16"/>
        </w:rPr>
        <w:t>the</w:t>
      </w:r>
      <w:r>
        <w:rPr>
          <w:i/>
          <w:spacing w:val="-2"/>
          <w:sz w:val="16"/>
        </w:rPr>
        <w:t> </w:t>
      </w:r>
      <w:r>
        <w:rPr>
          <w:i/>
          <w:sz w:val="16"/>
        </w:rPr>
        <w:t>Assembly</w:t>
      </w:r>
      <w:r>
        <w:rPr>
          <w:i/>
          <w:spacing w:val="-2"/>
          <w:sz w:val="16"/>
        </w:rPr>
        <w:t> </w:t>
      </w:r>
      <w:r>
        <w:rPr>
          <w:i/>
          <w:sz w:val="16"/>
        </w:rPr>
        <w:t>of</w:t>
      </w:r>
      <w:r>
        <w:rPr>
          <w:i/>
          <w:spacing w:val="-4"/>
          <w:sz w:val="16"/>
        </w:rPr>
        <w:t> </w:t>
      </w:r>
      <w:r>
        <w:rPr>
          <w:i/>
          <w:sz w:val="16"/>
        </w:rPr>
        <w:t>States</w:t>
      </w:r>
      <w:r>
        <w:rPr>
          <w:i/>
          <w:spacing w:val="-3"/>
          <w:sz w:val="16"/>
        </w:rPr>
        <w:t> </w:t>
      </w:r>
      <w:r>
        <w:rPr>
          <w:i/>
          <w:sz w:val="16"/>
        </w:rPr>
        <w:t>Parties</w:t>
      </w:r>
      <w:r>
        <w:rPr>
          <w:i/>
          <w:spacing w:val="-3"/>
          <w:sz w:val="16"/>
        </w:rPr>
        <w:t> </w:t>
      </w:r>
      <w:r>
        <w:rPr>
          <w:i/>
          <w:sz w:val="16"/>
        </w:rPr>
        <w:t>to</w:t>
      </w:r>
      <w:r>
        <w:rPr>
          <w:i/>
          <w:spacing w:val="-1"/>
          <w:sz w:val="16"/>
        </w:rPr>
        <w:t> </w:t>
      </w:r>
      <w:r>
        <w:rPr>
          <w:i/>
          <w:sz w:val="16"/>
        </w:rPr>
        <w:t>the</w:t>
      </w:r>
      <w:r>
        <w:rPr>
          <w:i/>
          <w:spacing w:val="-2"/>
          <w:sz w:val="16"/>
        </w:rPr>
        <w:t> </w:t>
      </w:r>
      <w:r>
        <w:rPr>
          <w:i/>
          <w:sz w:val="16"/>
        </w:rPr>
        <w:t>Rome</w:t>
      </w:r>
      <w:r>
        <w:rPr>
          <w:i/>
          <w:spacing w:val="-2"/>
          <w:sz w:val="16"/>
        </w:rPr>
        <w:t> </w:t>
      </w:r>
      <w:r>
        <w:rPr>
          <w:i/>
          <w:sz w:val="16"/>
        </w:rPr>
        <w:t>Statute</w:t>
      </w:r>
      <w:r>
        <w:rPr>
          <w:i/>
          <w:spacing w:val="-2"/>
          <w:sz w:val="16"/>
        </w:rPr>
        <w:t> </w:t>
      </w:r>
      <w:r>
        <w:rPr>
          <w:i/>
          <w:sz w:val="16"/>
        </w:rPr>
        <w:t>of</w:t>
      </w:r>
      <w:r>
        <w:rPr>
          <w:i/>
          <w:spacing w:val="-4"/>
          <w:sz w:val="16"/>
        </w:rPr>
        <w:t> </w:t>
      </w:r>
      <w:r>
        <w:rPr>
          <w:i/>
          <w:sz w:val="16"/>
        </w:rPr>
        <w:t>the</w:t>
      </w:r>
      <w:r>
        <w:rPr>
          <w:i/>
          <w:spacing w:val="-2"/>
          <w:sz w:val="16"/>
        </w:rPr>
        <w:t> </w:t>
      </w:r>
      <w:r>
        <w:rPr>
          <w:i/>
          <w:sz w:val="16"/>
        </w:rPr>
        <w:t>International</w:t>
      </w:r>
      <w:r>
        <w:rPr>
          <w:i/>
          <w:spacing w:val="-4"/>
          <w:sz w:val="16"/>
        </w:rPr>
        <w:t> </w:t>
      </w:r>
      <w:r>
        <w:rPr>
          <w:i/>
          <w:sz w:val="16"/>
        </w:rPr>
        <w:t>Criminal</w:t>
      </w:r>
      <w:r>
        <w:rPr>
          <w:i/>
          <w:spacing w:val="-4"/>
          <w:sz w:val="16"/>
        </w:rPr>
        <w:t> </w:t>
      </w:r>
      <w:r>
        <w:rPr>
          <w:i/>
          <w:sz w:val="16"/>
        </w:rPr>
        <w:t>Court,Tenth</w:t>
      </w:r>
      <w:r>
        <w:rPr>
          <w:i/>
          <w:spacing w:val="40"/>
          <w:sz w:val="16"/>
        </w:rPr>
        <w:t> </w:t>
      </w:r>
      <w:r>
        <w:rPr>
          <w:i/>
          <w:sz w:val="16"/>
        </w:rPr>
        <w:t>session, New York, 12-21 December 2011 </w:t>
      </w:r>
      <w:r>
        <w:rPr>
          <w:sz w:val="16"/>
        </w:rPr>
        <w:t>(ICC-ASP/10/20), vol. II, part B.II, para. 22.</w:t>
      </w:r>
    </w:p>
    <w:p>
      <w:pPr>
        <w:spacing w:line="181" w:lineRule="exact" w:before="0"/>
        <w:ind w:left="2246" w:right="0" w:firstLine="0"/>
        <w:jc w:val="left"/>
        <w:rPr>
          <w:sz w:val="16"/>
        </w:rPr>
      </w:pPr>
      <w:r>
        <w:rPr>
          <w:position w:val="5"/>
          <w:sz w:val="10"/>
        </w:rPr>
        <w:t>157</w:t>
      </w:r>
      <w:r>
        <w:rPr>
          <w:spacing w:val="17"/>
          <w:position w:val="5"/>
          <w:sz w:val="10"/>
        </w:rPr>
        <w:t> </w:t>
      </w:r>
      <w:r>
        <w:rPr>
          <w:spacing w:val="-2"/>
          <w:sz w:val="16"/>
        </w:rPr>
        <w:t>CBF/34/10/4.</w:t>
      </w:r>
    </w:p>
    <w:p>
      <w:pPr>
        <w:spacing w:after="0" w:line="181" w:lineRule="exact"/>
        <w:jc w:val="left"/>
        <w:rPr>
          <w:sz w:val="16"/>
        </w:rPr>
        <w:sectPr>
          <w:pgSz w:w="11910" w:h="16840"/>
          <w:pgMar w:header="957" w:footer="940" w:top="1140" w:bottom="1140" w:left="20" w:right="20"/>
        </w:sectPr>
      </w:pPr>
    </w:p>
    <w:p>
      <w:pPr>
        <w:pStyle w:val="BodyText"/>
        <w:spacing w:before="124"/>
        <w:ind w:left="2246" w:right="2238"/>
        <w:jc w:val="both"/>
      </w:pPr>
      <w:r>
        <w:rPr/>
        <w:t>with an impact assessment, a high-level business case and a road map to transition into the next generation ERP. The OTP’s planned IT strategic initiatives for digital evidence are covered</w:t>
      </w:r>
      <w:r>
        <w:rPr>
          <w:spacing w:val="25"/>
        </w:rPr>
        <w:t> </w:t>
      </w:r>
      <w:r>
        <w:rPr/>
        <w:t>by</w:t>
      </w:r>
      <w:r>
        <w:rPr>
          <w:spacing w:val="25"/>
        </w:rPr>
        <w:t> </w:t>
      </w:r>
      <w:r>
        <w:rPr/>
        <w:t>the</w:t>
      </w:r>
      <w:r>
        <w:rPr>
          <w:spacing w:val="29"/>
        </w:rPr>
        <w:t> </w:t>
      </w:r>
      <w:r>
        <w:rPr/>
        <w:t>Trust</w:t>
      </w:r>
      <w:r>
        <w:rPr>
          <w:spacing w:val="27"/>
        </w:rPr>
        <w:t> </w:t>
      </w:r>
      <w:r>
        <w:rPr/>
        <w:t>Fund for</w:t>
      </w:r>
      <w:r>
        <w:rPr>
          <w:spacing w:val="25"/>
        </w:rPr>
        <w:t> </w:t>
      </w:r>
      <w:r>
        <w:rPr/>
        <w:t>Advanced</w:t>
      </w:r>
      <w:r>
        <w:rPr>
          <w:spacing w:val="23"/>
        </w:rPr>
        <w:t> </w:t>
      </w:r>
      <w:r>
        <w:rPr/>
        <w:t>Technology and Specialized</w:t>
      </w:r>
      <w:r>
        <w:rPr>
          <w:spacing w:val="25"/>
        </w:rPr>
        <w:t> </w:t>
      </w:r>
      <w:r>
        <w:rPr/>
        <w:t>Capacity</w:t>
      </w:r>
      <w:r>
        <w:rPr>
          <w:spacing w:val="25"/>
        </w:rPr>
        <w:t> </w:t>
      </w:r>
      <w:r>
        <w:rPr/>
        <w:t>and</w:t>
      </w:r>
      <w:r>
        <w:rPr>
          <w:spacing w:val="25"/>
        </w:rPr>
        <w:t> </w:t>
      </w:r>
      <w:r>
        <w:rPr/>
        <w:t>thus no additional investment is required in 2023.</w:t>
      </w:r>
    </w:p>
    <w:p>
      <w:pPr>
        <w:pStyle w:val="ListParagraph"/>
        <w:numPr>
          <w:ilvl w:val="0"/>
          <w:numId w:val="129"/>
        </w:numPr>
        <w:tabs>
          <w:tab w:pos="2966" w:val="left" w:leader="none"/>
          <w:tab w:pos="2967" w:val="left" w:leader="none"/>
        </w:tabs>
        <w:spacing w:line="240" w:lineRule="auto" w:before="122" w:after="0"/>
        <w:ind w:left="2967" w:right="0" w:hanging="721"/>
        <w:jc w:val="both"/>
        <w:rPr>
          <w:sz w:val="20"/>
        </w:rPr>
      </w:pPr>
      <w:r>
        <w:rPr>
          <w:sz w:val="20"/>
        </w:rPr>
        <w:t>For</w:t>
      </w:r>
      <w:r>
        <w:rPr>
          <w:spacing w:val="24"/>
          <w:sz w:val="20"/>
        </w:rPr>
        <w:t> </w:t>
      </w:r>
      <w:r>
        <w:rPr>
          <w:sz w:val="20"/>
        </w:rPr>
        <w:t>2024,</w:t>
      </w:r>
      <w:r>
        <w:rPr>
          <w:spacing w:val="24"/>
          <w:sz w:val="20"/>
        </w:rPr>
        <w:t> </w:t>
      </w:r>
      <w:r>
        <w:rPr>
          <w:sz w:val="20"/>
        </w:rPr>
        <w:t>DJS</w:t>
      </w:r>
      <w:r>
        <w:rPr>
          <w:spacing w:val="19"/>
          <w:sz w:val="20"/>
        </w:rPr>
        <w:t> </w:t>
      </w:r>
      <w:r>
        <w:rPr>
          <w:sz w:val="20"/>
        </w:rPr>
        <w:t>anticipates</w:t>
      </w:r>
      <w:r>
        <w:rPr>
          <w:spacing w:val="19"/>
          <w:sz w:val="20"/>
        </w:rPr>
        <w:t> </w:t>
      </w:r>
      <w:r>
        <w:rPr>
          <w:sz w:val="20"/>
        </w:rPr>
        <w:t>a</w:t>
      </w:r>
      <w:r>
        <w:rPr>
          <w:spacing w:val="22"/>
          <w:sz w:val="20"/>
        </w:rPr>
        <w:t> </w:t>
      </w:r>
      <w:r>
        <w:rPr>
          <w:sz w:val="20"/>
        </w:rPr>
        <w:t>continued</w:t>
      </w:r>
      <w:r>
        <w:rPr>
          <w:spacing w:val="21"/>
          <w:sz w:val="20"/>
        </w:rPr>
        <w:t> </w:t>
      </w:r>
      <w:r>
        <w:rPr>
          <w:sz w:val="20"/>
        </w:rPr>
        <w:t>need</w:t>
      </w:r>
      <w:r>
        <w:rPr>
          <w:spacing w:val="20"/>
          <w:sz w:val="20"/>
        </w:rPr>
        <w:t> </w:t>
      </w:r>
      <w:r>
        <w:rPr>
          <w:sz w:val="20"/>
        </w:rPr>
        <w:t>for</w:t>
      </w:r>
      <w:r>
        <w:rPr>
          <w:spacing w:val="20"/>
          <w:sz w:val="20"/>
        </w:rPr>
        <w:t> </w:t>
      </w:r>
      <w:r>
        <w:rPr>
          <w:sz w:val="20"/>
        </w:rPr>
        <w:t>contractual</w:t>
      </w:r>
      <w:r>
        <w:rPr>
          <w:spacing w:val="22"/>
          <w:sz w:val="20"/>
        </w:rPr>
        <w:t> </w:t>
      </w:r>
      <w:r>
        <w:rPr>
          <w:sz w:val="20"/>
        </w:rPr>
        <w:t>services,</w:t>
      </w:r>
      <w:r>
        <w:rPr>
          <w:spacing w:val="24"/>
          <w:sz w:val="20"/>
        </w:rPr>
        <w:t> </w:t>
      </w:r>
      <w:r>
        <w:rPr>
          <w:spacing w:val="-2"/>
          <w:sz w:val="20"/>
        </w:rPr>
        <w:t>forecasting</w:t>
      </w:r>
    </w:p>
    <w:p>
      <w:pPr>
        <w:pStyle w:val="BodyText"/>
        <w:spacing w:before="1"/>
        <w:ind w:left="2246" w:right="2235"/>
        <w:jc w:val="both"/>
      </w:pPr>
      <w:r>
        <w:rPr/>
        <w:t>€40.0 thousand to complete legacy data migration by 2024. In 2025, the Registry intends</w:t>
      </w:r>
      <w:r>
        <w:rPr>
          <w:spacing w:val="-1"/>
        </w:rPr>
        <w:t> </w:t>
      </w:r>
      <w:r>
        <w:rPr/>
        <w:t>to provide external counsel with discovery services in order to ensure equality of arms. Currently, at the early stages of the OTP’s investigative efforts, it is not yet possible to quantify such investments. Further analysis in 2023 will allow the Court to provide a more realistic</w:t>
      </w:r>
      <w:r>
        <w:rPr>
          <w:spacing w:val="-1"/>
        </w:rPr>
        <w:t> </w:t>
      </w:r>
      <w:r>
        <w:rPr/>
        <w:t>forecast. In DMS, the transition</w:t>
      </w:r>
      <w:r>
        <w:rPr>
          <w:spacing w:val="-3"/>
        </w:rPr>
        <w:t> </w:t>
      </w:r>
      <w:r>
        <w:rPr/>
        <w:t>to</w:t>
      </w:r>
      <w:r>
        <w:rPr>
          <w:spacing w:val="-3"/>
        </w:rPr>
        <w:t> </w:t>
      </w:r>
      <w:r>
        <w:rPr/>
        <w:t>the Court’s next</w:t>
      </w:r>
      <w:r>
        <w:rPr>
          <w:spacing w:val="-6"/>
        </w:rPr>
        <w:t> </w:t>
      </w:r>
      <w:r>
        <w:rPr/>
        <w:t>generation</w:t>
      </w:r>
      <w:r>
        <w:rPr>
          <w:spacing w:val="-3"/>
        </w:rPr>
        <w:t> </w:t>
      </w:r>
      <w:r>
        <w:rPr/>
        <w:t>ERP will</w:t>
      </w:r>
      <w:r>
        <w:rPr>
          <w:spacing w:val="-1"/>
        </w:rPr>
        <w:t> </w:t>
      </w:r>
      <w:r>
        <w:rPr/>
        <w:t>commence in 2024 and funding requirements for the Court will be presented in 2024.</w:t>
      </w:r>
    </w:p>
    <w:p>
      <w:pPr>
        <w:pStyle w:val="BodyText"/>
        <w:spacing w:before="9"/>
      </w:pPr>
    </w:p>
    <w:p>
      <w:pPr>
        <w:pStyle w:val="Heading2"/>
        <w:tabs>
          <w:tab w:pos="2966" w:val="left" w:leader="none"/>
        </w:tabs>
        <w:ind w:left="2400" w:firstLine="0"/>
      </w:pPr>
      <w:r>
        <w:rPr>
          <w:spacing w:val="-5"/>
        </w:rPr>
        <w:t>D.</w:t>
      </w:r>
      <w:r>
        <w:rPr/>
        <w:tab/>
        <w:t>Other</w:t>
      </w:r>
      <w:r>
        <w:rPr>
          <w:spacing w:val="-3"/>
        </w:rPr>
        <w:t> </w:t>
      </w:r>
      <w:r>
        <w:rPr/>
        <w:t>IT</w:t>
      </w:r>
      <w:r>
        <w:rPr>
          <w:spacing w:val="-4"/>
        </w:rPr>
        <w:t> </w:t>
      </w:r>
      <w:r>
        <w:rPr/>
        <w:t>capital</w:t>
      </w:r>
      <w:r>
        <w:rPr>
          <w:spacing w:val="-7"/>
        </w:rPr>
        <w:t> </w:t>
      </w:r>
      <w:r>
        <w:rPr>
          <w:spacing w:val="-2"/>
        </w:rPr>
        <w:t>investments</w:t>
      </w:r>
    </w:p>
    <w:p>
      <w:pPr>
        <w:pStyle w:val="BodyText"/>
        <w:rPr>
          <w:b/>
          <w:sz w:val="21"/>
        </w:rPr>
      </w:pPr>
    </w:p>
    <w:p>
      <w:pPr>
        <w:pStyle w:val="ListParagraph"/>
        <w:numPr>
          <w:ilvl w:val="0"/>
          <w:numId w:val="129"/>
        </w:numPr>
        <w:tabs>
          <w:tab w:pos="2966" w:val="left" w:leader="none"/>
          <w:tab w:pos="2967" w:val="left" w:leader="none"/>
        </w:tabs>
        <w:spacing w:line="240" w:lineRule="auto" w:before="0" w:after="0"/>
        <w:ind w:left="2246" w:right="2241" w:firstLine="0"/>
        <w:jc w:val="both"/>
        <w:rPr>
          <w:sz w:val="20"/>
        </w:rPr>
      </w:pPr>
      <w:r>
        <w:rPr>
          <w:sz w:val="20"/>
        </w:rPr>
        <w:t>The Court requires an IT investment of €5,624.0 thousand over the course of the next five years to replace end-of-life infrastructure. The replacement programme is in line with the IMSS strategy of scaling down the in-house computing infrastructure and focusing more</w:t>
      </w:r>
      <w:r>
        <w:rPr>
          <w:spacing w:val="-8"/>
          <w:sz w:val="20"/>
        </w:rPr>
        <w:t> </w:t>
      </w:r>
      <w:r>
        <w:rPr>
          <w:sz w:val="20"/>
        </w:rPr>
        <w:t>on</w:t>
      </w:r>
      <w:r>
        <w:rPr>
          <w:spacing w:val="-9"/>
          <w:sz w:val="20"/>
        </w:rPr>
        <w:t> </w:t>
      </w:r>
      <w:r>
        <w:rPr>
          <w:sz w:val="20"/>
        </w:rPr>
        <w:t>cloud</w:t>
      </w:r>
      <w:r>
        <w:rPr>
          <w:spacing w:val="-5"/>
          <w:sz w:val="20"/>
        </w:rPr>
        <w:t> </w:t>
      </w:r>
      <w:r>
        <w:rPr>
          <w:sz w:val="20"/>
        </w:rPr>
        <w:t>services.</w:t>
      </w:r>
      <w:r>
        <w:rPr>
          <w:spacing w:val="-7"/>
          <w:sz w:val="20"/>
        </w:rPr>
        <w:t> </w:t>
      </w:r>
      <w:r>
        <w:rPr>
          <w:sz w:val="20"/>
        </w:rPr>
        <w:t>While</w:t>
      </w:r>
      <w:r>
        <w:rPr>
          <w:spacing w:val="-8"/>
          <w:sz w:val="20"/>
        </w:rPr>
        <w:t> </w:t>
      </w:r>
      <w:r>
        <w:rPr>
          <w:sz w:val="20"/>
        </w:rPr>
        <w:t>a</w:t>
      </w:r>
      <w:r>
        <w:rPr>
          <w:spacing w:val="-4"/>
          <w:sz w:val="20"/>
        </w:rPr>
        <w:t> </w:t>
      </w:r>
      <w:r>
        <w:rPr>
          <w:sz w:val="20"/>
        </w:rPr>
        <w:t>year-on-year</w:t>
      </w:r>
      <w:r>
        <w:rPr>
          <w:spacing w:val="-5"/>
          <w:sz w:val="20"/>
        </w:rPr>
        <w:t> </w:t>
      </w:r>
      <w:r>
        <w:rPr>
          <w:sz w:val="20"/>
        </w:rPr>
        <w:t>reduction</w:t>
      </w:r>
      <w:r>
        <w:rPr>
          <w:spacing w:val="-5"/>
          <w:sz w:val="20"/>
        </w:rPr>
        <w:t> </w:t>
      </w:r>
      <w:r>
        <w:rPr>
          <w:sz w:val="20"/>
        </w:rPr>
        <w:t>in</w:t>
      </w:r>
      <w:r>
        <w:rPr>
          <w:spacing w:val="-5"/>
          <w:sz w:val="20"/>
        </w:rPr>
        <w:t> </w:t>
      </w:r>
      <w:r>
        <w:rPr>
          <w:sz w:val="20"/>
        </w:rPr>
        <w:t>data</w:t>
      </w:r>
      <w:r>
        <w:rPr>
          <w:spacing w:val="-8"/>
          <w:sz w:val="20"/>
        </w:rPr>
        <w:t> </w:t>
      </w:r>
      <w:r>
        <w:rPr>
          <w:sz w:val="20"/>
        </w:rPr>
        <w:t>centre</w:t>
      </w:r>
      <w:r>
        <w:rPr>
          <w:spacing w:val="-4"/>
          <w:sz w:val="20"/>
        </w:rPr>
        <w:t> </w:t>
      </w:r>
      <w:r>
        <w:rPr>
          <w:sz w:val="20"/>
        </w:rPr>
        <w:t>computing</w:t>
      </w:r>
      <w:r>
        <w:rPr>
          <w:spacing w:val="-5"/>
          <w:sz w:val="20"/>
        </w:rPr>
        <w:t> </w:t>
      </w:r>
      <w:r>
        <w:rPr>
          <w:sz w:val="20"/>
        </w:rPr>
        <w:t>investment is foreseen, the consolidation of legacy systems into cloud services places even greater reliance</w:t>
      </w:r>
      <w:r>
        <w:rPr>
          <w:spacing w:val="-2"/>
          <w:sz w:val="20"/>
        </w:rPr>
        <w:t> </w:t>
      </w:r>
      <w:r>
        <w:rPr>
          <w:sz w:val="20"/>
        </w:rPr>
        <w:t>on</w:t>
      </w:r>
      <w:r>
        <w:rPr>
          <w:spacing w:val="-4"/>
          <w:sz w:val="20"/>
        </w:rPr>
        <w:t> </w:t>
      </w:r>
      <w:r>
        <w:rPr>
          <w:sz w:val="20"/>
        </w:rPr>
        <w:t>the network</w:t>
      </w:r>
      <w:r>
        <w:rPr>
          <w:spacing w:val="-4"/>
          <w:sz w:val="20"/>
        </w:rPr>
        <w:t> </w:t>
      </w:r>
      <w:r>
        <w:rPr>
          <w:sz w:val="20"/>
        </w:rPr>
        <w:t>and security</w:t>
      </w:r>
      <w:r>
        <w:rPr>
          <w:spacing w:val="-4"/>
          <w:sz w:val="20"/>
        </w:rPr>
        <w:t> </w:t>
      </w:r>
      <w:r>
        <w:rPr>
          <w:sz w:val="20"/>
        </w:rPr>
        <w:t>components.</w:t>
      </w:r>
      <w:r>
        <w:rPr>
          <w:spacing w:val="-1"/>
          <w:sz w:val="20"/>
        </w:rPr>
        <w:t> </w:t>
      </w:r>
      <w:r>
        <w:rPr>
          <w:sz w:val="20"/>
        </w:rPr>
        <w:t>In</w:t>
      </w:r>
      <w:r>
        <w:rPr>
          <w:spacing w:val="-4"/>
          <w:sz w:val="20"/>
        </w:rPr>
        <w:t> </w:t>
      </w:r>
      <w:r>
        <w:rPr>
          <w:sz w:val="20"/>
        </w:rPr>
        <w:t>addition,</w:t>
      </w:r>
      <w:r>
        <w:rPr>
          <w:spacing w:val="-1"/>
          <w:sz w:val="20"/>
        </w:rPr>
        <w:t> </w:t>
      </w:r>
      <w:r>
        <w:rPr>
          <w:sz w:val="20"/>
        </w:rPr>
        <w:t>the</w:t>
      </w:r>
      <w:r>
        <w:rPr>
          <w:spacing w:val="-2"/>
          <w:sz w:val="20"/>
        </w:rPr>
        <w:t> </w:t>
      </w:r>
      <w:r>
        <w:rPr>
          <w:sz w:val="20"/>
        </w:rPr>
        <w:t>continuing</w:t>
      </w:r>
      <w:r>
        <w:rPr>
          <w:spacing w:val="-4"/>
          <w:sz w:val="20"/>
        </w:rPr>
        <w:t> </w:t>
      </w:r>
      <w:r>
        <w:rPr>
          <w:sz w:val="20"/>
        </w:rPr>
        <w:t>requirement</w:t>
      </w:r>
      <w:r>
        <w:rPr>
          <w:spacing w:val="-2"/>
          <w:sz w:val="20"/>
        </w:rPr>
        <w:t> </w:t>
      </w:r>
      <w:r>
        <w:rPr>
          <w:sz w:val="20"/>
        </w:rPr>
        <w:t>to store</w:t>
      </w:r>
      <w:r>
        <w:rPr>
          <w:spacing w:val="-3"/>
          <w:sz w:val="20"/>
        </w:rPr>
        <w:t> </w:t>
      </w:r>
      <w:r>
        <w:rPr>
          <w:sz w:val="20"/>
        </w:rPr>
        <w:t>legacy data requires</w:t>
      </w:r>
      <w:r>
        <w:rPr>
          <w:spacing w:val="-6"/>
          <w:sz w:val="20"/>
        </w:rPr>
        <w:t> </w:t>
      </w:r>
      <w:r>
        <w:rPr>
          <w:sz w:val="20"/>
        </w:rPr>
        <w:t>the renewal</w:t>
      </w:r>
      <w:r>
        <w:rPr>
          <w:spacing w:val="-3"/>
          <w:sz w:val="20"/>
        </w:rPr>
        <w:t> </w:t>
      </w:r>
      <w:r>
        <w:rPr>
          <w:sz w:val="20"/>
        </w:rPr>
        <w:t>of</w:t>
      </w:r>
      <w:r>
        <w:rPr>
          <w:spacing w:val="-5"/>
          <w:sz w:val="20"/>
        </w:rPr>
        <w:t> </w:t>
      </w:r>
      <w:r>
        <w:rPr>
          <w:sz w:val="20"/>
        </w:rPr>
        <w:t>storage. Failure</w:t>
      </w:r>
      <w:r>
        <w:rPr>
          <w:spacing w:val="-3"/>
          <w:sz w:val="20"/>
        </w:rPr>
        <w:t> </w:t>
      </w:r>
      <w:r>
        <w:rPr>
          <w:sz w:val="20"/>
        </w:rPr>
        <w:t>to</w:t>
      </w:r>
      <w:r>
        <w:rPr>
          <w:spacing w:val="-5"/>
          <w:sz w:val="20"/>
        </w:rPr>
        <w:t> </w:t>
      </w:r>
      <w:r>
        <w:rPr>
          <w:sz w:val="20"/>
        </w:rPr>
        <w:t>replace</w:t>
      </w:r>
      <w:r>
        <w:rPr>
          <w:spacing w:val="-3"/>
          <w:sz w:val="20"/>
        </w:rPr>
        <w:t> </w:t>
      </w:r>
      <w:r>
        <w:rPr>
          <w:sz w:val="20"/>
        </w:rPr>
        <w:t>end-of-life</w:t>
      </w:r>
      <w:r>
        <w:rPr>
          <w:spacing w:val="-3"/>
          <w:sz w:val="20"/>
        </w:rPr>
        <w:t> </w:t>
      </w:r>
      <w:r>
        <w:rPr>
          <w:sz w:val="20"/>
        </w:rPr>
        <w:t>hardware not only leaves the Court vulnerable to actual hardware failures and subsequent service disruptions but also greatly increases the threat of an information security breach, since software updates to counter exploits are not available for obsolete hardware. IMSS has minimized</w:t>
      </w:r>
      <w:r>
        <w:rPr>
          <w:spacing w:val="-8"/>
          <w:sz w:val="20"/>
        </w:rPr>
        <w:t> </w:t>
      </w:r>
      <w:r>
        <w:rPr>
          <w:sz w:val="20"/>
        </w:rPr>
        <w:t>the</w:t>
      </w:r>
      <w:r>
        <w:rPr>
          <w:spacing w:val="-7"/>
          <w:sz w:val="20"/>
        </w:rPr>
        <w:t> </w:t>
      </w:r>
      <w:r>
        <w:rPr>
          <w:sz w:val="20"/>
        </w:rPr>
        <w:t>impact</w:t>
      </w:r>
      <w:r>
        <w:rPr>
          <w:spacing w:val="-7"/>
          <w:sz w:val="20"/>
        </w:rPr>
        <w:t> </w:t>
      </w:r>
      <w:r>
        <w:rPr>
          <w:sz w:val="20"/>
        </w:rPr>
        <w:t>of</w:t>
      </w:r>
      <w:r>
        <w:rPr>
          <w:spacing w:val="-5"/>
          <w:sz w:val="20"/>
        </w:rPr>
        <w:t> </w:t>
      </w:r>
      <w:r>
        <w:rPr>
          <w:sz w:val="20"/>
        </w:rPr>
        <w:t>hardware</w:t>
      </w:r>
      <w:r>
        <w:rPr>
          <w:spacing w:val="-7"/>
          <w:sz w:val="20"/>
        </w:rPr>
        <w:t> </w:t>
      </w:r>
      <w:r>
        <w:rPr>
          <w:sz w:val="20"/>
        </w:rPr>
        <w:t>replacement</w:t>
      </w:r>
      <w:r>
        <w:rPr>
          <w:spacing w:val="-3"/>
          <w:sz w:val="20"/>
        </w:rPr>
        <w:t> </w:t>
      </w:r>
      <w:r>
        <w:rPr>
          <w:sz w:val="20"/>
        </w:rPr>
        <w:t>needs</w:t>
      </w:r>
      <w:r>
        <w:rPr>
          <w:spacing w:val="-6"/>
          <w:sz w:val="20"/>
        </w:rPr>
        <w:t> </w:t>
      </w:r>
      <w:r>
        <w:rPr>
          <w:sz w:val="20"/>
        </w:rPr>
        <w:t>on</w:t>
      </w:r>
      <w:r>
        <w:rPr>
          <w:spacing w:val="-8"/>
          <w:sz w:val="20"/>
        </w:rPr>
        <w:t> </w:t>
      </w:r>
      <w:r>
        <w:rPr>
          <w:sz w:val="20"/>
        </w:rPr>
        <w:t>the</w:t>
      </w:r>
      <w:r>
        <w:rPr>
          <w:spacing w:val="-7"/>
          <w:sz w:val="20"/>
        </w:rPr>
        <w:t> </w:t>
      </w:r>
      <w:r>
        <w:rPr>
          <w:sz w:val="20"/>
        </w:rPr>
        <w:t>budget</w:t>
      </w:r>
      <w:r>
        <w:rPr>
          <w:spacing w:val="-3"/>
          <w:sz w:val="20"/>
        </w:rPr>
        <w:t> </w:t>
      </w:r>
      <w:r>
        <w:rPr>
          <w:sz w:val="20"/>
        </w:rPr>
        <w:t>to</w:t>
      </w:r>
      <w:r>
        <w:rPr>
          <w:spacing w:val="-5"/>
          <w:sz w:val="20"/>
        </w:rPr>
        <w:t> </w:t>
      </w:r>
      <w:r>
        <w:rPr>
          <w:sz w:val="20"/>
        </w:rPr>
        <w:t>the</w:t>
      </w:r>
      <w:r>
        <w:rPr>
          <w:spacing w:val="-7"/>
          <w:sz w:val="20"/>
        </w:rPr>
        <w:t> </w:t>
      </w:r>
      <w:r>
        <w:rPr>
          <w:sz w:val="20"/>
        </w:rPr>
        <w:t>extent</w:t>
      </w:r>
      <w:r>
        <w:rPr>
          <w:spacing w:val="-3"/>
          <w:sz w:val="20"/>
        </w:rPr>
        <w:t> </w:t>
      </w:r>
      <w:r>
        <w:rPr>
          <w:sz w:val="20"/>
        </w:rPr>
        <w:t>possible</w:t>
      </w:r>
      <w:r>
        <w:rPr>
          <w:spacing w:val="-7"/>
          <w:sz w:val="20"/>
        </w:rPr>
        <w:t> </w:t>
      </w:r>
      <w:r>
        <w:rPr>
          <w:sz w:val="20"/>
        </w:rPr>
        <w:t>by maximizing the useful lifespan of hardware and employing</w:t>
      </w:r>
      <w:r>
        <w:rPr>
          <w:spacing w:val="-1"/>
          <w:sz w:val="20"/>
        </w:rPr>
        <w:t> </w:t>
      </w:r>
      <w:r>
        <w:rPr>
          <w:sz w:val="20"/>
        </w:rPr>
        <w:t>a gradual replacement strategy.</w:t>
      </w:r>
    </w:p>
    <w:p>
      <w:pPr>
        <w:pStyle w:val="ListParagraph"/>
        <w:numPr>
          <w:ilvl w:val="0"/>
          <w:numId w:val="129"/>
        </w:numPr>
        <w:tabs>
          <w:tab w:pos="2966" w:val="left" w:leader="none"/>
          <w:tab w:pos="2967" w:val="left" w:leader="none"/>
        </w:tabs>
        <w:spacing w:line="240" w:lineRule="auto" w:before="121" w:after="0"/>
        <w:ind w:left="2246" w:right="2241" w:firstLine="0"/>
        <w:jc w:val="both"/>
        <w:rPr>
          <w:sz w:val="20"/>
        </w:rPr>
      </w:pPr>
      <w:r>
        <w:rPr>
          <w:sz w:val="20"/>
        </w:rPr>
        <w:t>For 2023, IMSS is requesting a total of €980.0 thousand to replace end-of-life hardware:</w:t>
      </w:r>
      <w:r>
        <w:rPr>
          <w:spacing w:val="22"/>
          <w:sz w:val="20"/>
        </w:rPr>
        <w:t> </w:t>
      </w:r>
      <w:r>
        <w:rPr>
          <w:sz w:val="20"/>
        </w:rPr>
        <w:t>€240.0</w:t>
      </w:r>
      <w:r>
        <w:rPr>
          <w:spacing w:val="20"/>
          <w:sz w:val="20"/>
        </w:rPr>
        <w:t> </w:t>
      </w:r>
      <w:r>
        <w:rPr>
          <w:sz w:val="20"/>
        </w:rPr>
        <w:t>thousand</w:t>
      </w:r>
      <w:r>
        <w:rPr>
          <w:spacing w:val="20"/>
          <w:sz w:val="20"/>
        </w:rPr>
        <w:t> </w:t>
      </w:r>
      <w:r>
        <w:rPr>
          <w:sz w:val="20"/>
        </w:rPr>
        <w:t>to</w:t>
      </w:r>
      <w:r>
        <w:rPr>
          <w:spacing w:val="20"/>
          <w:sz w:val="20"/>
        </w:rPr>
        <w:t> </w:t>
      </w:r>
      <w:r>
        <w:rPr>
          <w:sz w:val="20"/>
        </w:rPr>
        <w:t>replace</w:t>
      </w:r>
      <w:r>
        <w:rPr>
          <w:spacing w:val="22"/>
          <w:sz w:val="20"/>
        </w:rPr>
        <w:t> </w:t>
      </w:r>
      <w:r>
        <w:rPr>
          <w:sz w:val="20"/>
        </w:rPr>
        <w:t>critical</w:t>
      </w:r>
      <w:r>
        <w:rPr>
          <w:spacing w:val="22"/>
          <w:sz w:val="20"/>
        </w:rPr>
        <w:t> </w:t>
      </w:r>
      <w:r>
        <w:rPr>
          <w:sz w:val="20"/>
        </w:rPr>
        <w:t>end-of-life infrastructure</w:t>
      </w:r>
      <w:r>
        <w:rPr>
          <w:spacing w:val="22"/>
          <w:sz w:val="20"/>
        </w:rPr>
        <w:t> </w:t>
      </w:r>
      <w:r>
        <w:rPr>
          <w:sz w:val="20"/>
        </w:rPr>
        <w:t>in</w:t>
      </w:r>
      <w:r>
        <w:rPr>
          <w:spacing w:val="20"/>
          <w:sz w:val="20"/>
        </w:rPr>
        <w:t> </w:t>
      </w:r>
      <w:r>
        <w:rPr>
          <w:sz w:val="20"/>
        </w:rPr>
        <w:t>the</w:t>
      </w:r>
      <w:r>
        <w:rPr>
          <w:spacing w:val="22"/>
          <w:sz w:val="20"/>
        </w:rPr>
        <w:t> </w:t>
      </w:r>
      <w:r>
        <w:rPr>
          <w:sz w:val="20"/>
        </w:rPr>
        <w:t>data</w:t>
      </w:r>
      <w:r>
        <w:rPr>
          <w:spacing w:val="22"/>
          <w:sz w:val="20"/>
        </w:rPr>
        <w:t> </w:t>
      </w:r>
      <w:r>
        <w:rPr>
          <w:sz w:val="20"/>
        </w:rPr>
        <w:t>centre,</w:t>
      </w:r>
    </w:p>
    <w:p>
      <w:pPr>
        <w:pStyle w:val="BodyText"/>
        <w:spacing w:before="1"/>
        <w:ind w:left="2246" w:right="2238"/>
        <w:jc w:val="both"/>
      </w:pPr>
      <w:r>
        <w:rPr/>
        <w:t>€465.0 thousand for courtroom hardware, including the replacement of end-of-life workstations in two courtrooms, and the remaining €275.0 thousand for network infrastructure.</w:t>
      </w:r>
      <w:r>
        <w:rPr>
          <w:spacing w:val="40"/>
        </w:rPr>
        <w:t> </w:t>
      </w:r>
      <w:r>
        <w:rPr/>
        <w:t>These</w:t>
      </w:r>
      <w:r>
        <w:rPr>
          <w:spacing w:val="40"/>
        </w:rPr>
        <w:t> </w:t>
      </w:r>
      <w:r>
        <w:rPr/>
        <w:t>figures are</w:t>
      </w:r>
      <w:r>
        <w:rPr>
          <w:spacing w:val="40"/>
        </w:rPr>
        <w:t> </w:t>
      </w:r>
      <w:r>
        <w:rPr/>
        <w:t>included</w:t>
      </w:r>
      <w:r>
        <w:rPr>
          <w:spacing w:val="40"/>
        </w:rPr>
        <w:t> </w:t>
      </w:r>
      <w:r>
        <w:rPr/>
        <w:t>in</w:t>
      </w:r>
      <w:r>
        <w:rPr>
          <w:spacing w:val="40"/>
        </w:rPr>
        <w:t> </w:t>
      </w:r>
      <w:r>
        <w:rPr/>
        <w:t>the</w:t>
      </w:r>
      <w:r>
        <w:rPr>
          <w:spacing w:val="40"/>
        </w:rPr>
        <w:t> </w:t>
      </w:r>
      <w:r>
        <w:rPr/>
        <w:t>total</w:t>
      </w:r>
      <w:r>
        <w:rPr>
          <w:spacing w:val="40"/>
        </w:rPr>
        <w:t> </w:t>
      </w:r>
      <w:r>
        <w:rPr/>
        <w:t>Court-wide</w:t>
      </w:r>
      <w:r>
        <w:rPr>
          <w:spacing w:val="40"/>
        </w:rPr>
        <w:t> </w:t>
      </w:r>
      <w:r>
        <w:rPr/>
        <w:t>IT</w:t>
      </w:r>
      <w:r>
        <w:rPr>
          <w:spacing w:val="40"/>
        </w:rPr>
        <w:t> </w:t>
      </w:r>
      <w:r>
        <w:rPr/>
        <w:t>costs</w:t>
      </w:r>
      <w:r>
        <w:rPr>
          <w:spacing w:val="40"/>
        </w:rPr>
        <w:t> </w:t>
      </w:r>
      <w:r>
        <w:rPr/>
        <w:t>detailed</w:t>
      </w:r>
      <w:r>
        <w:rPr>
          <w:spacing w:val="40"/>
        </w:rPr>
        <w:t> </w:t>
      </w:r>
      <w:r>
        <w:rPr/>
        <w:t>in Annex</w:t>
      </w:r>
      <w:r>
        <w:rPr>
          <w:spacing w:val="-4"/>
        </w:rPr>
        <w:t> </w:t>
      </w:r>
      <w:r>
        <w:rPr/>
        <w:t>IX(b). In</w:t>
      </w:r>
      <w:r>
        <w:rPr>
          <w:spacing w:val="-5"/>
        </w:rPr>
        <w:t> </w:t>
      </w:r>
      <w:r>
        <w:rPr/>
        <w:t>2022,</w:t>
      </w:r>
      <w:r>
        <w:rPr>
          <w:spacing w:val="-2"/>
        </w:rPr>
        <w:t> </w:t>
      </w:r>
      <w:r>
        <w:rPr/>
        <w:t>the</w:t>
      </w:r>
      <w:r>
        <w:rPr>
          <w:spacing w:val="-3"/>
        </w:rPr>
        <w:t> </w:t>
      </w:r>
      <w:r>
        <w:rPr/>
        <w:t>Court forecast</w:t>
      </w:r>
      <w:r>
        <w:rPr>
          <w:spacing w:val="-3"/>
        </w:rPr>
        <w:t> </w:t>
      </w:r>
      <w:r>
        <w:rPr/>
        <w:t>an</w:t>
      </w:r>
      <w:r>
        <w:rPr>
          <w:spacing w:val="-5"/>
        </w:rPr>
        <w:t> </w:t>
      </w:r>
      <w:r>
        <w:rPr/>
        <w:t>investment of</w:t>
      </w:r>
      <w:r>
        <w:rPr>
          <w:spacing w:val="-5"/>
        </w:rPr>
        <w:t> </w:t>
      </w:r>
      <w:r>
        <w:rPr/>
        <w:t>€621.0</w:t>
      </w:r>
      <w:r>
        <w:rPr>
          <w:spacing w:val="-5"/>
        </w:rPr>
        <w:t> </w:t>
      </w:r>
      <w:r>
        <w:rPr/>
        <w:t>thousand</w:t>
      </w:r>
      <w:r>
        <w:rPr>
          <w:spacing w:val="-5"/>
        </w:rPr>
        <w:t> </w:t>
      </w:r>
      <w:r>
        <w:rPr/>
        <w:t>for 2023, which was</w:t>
      </w:r>
      <w:r>
        <w:rPr>
          <w:spacing w:val="-12"/>
        </w:rPr>
        <w:t> </w:t>
      </w:r>
      <w:r>
        <w:rPr/>
        <w:t>based</w:t>
      </w:r>
      <w:r>
        <w:rPr>
          <w:spacing w:val="-12"/>
        </w:rPr>
        <w:t> </w:t>
      </w:r>
      <w:r>
        <w:rPr/>
        <w:t>on</w:t>
      </w:r>
      <w:r>
        <w:rPr>
          <w:spacing w:val="-12"/>
        </w:rPr>
        <w:t> </w:t>
      </w:r>
      <w:r>
        <w:rPr/>
        <w:t>the</w:t>
      </w:r>
      <w:r>
        <w:rPr>
          <w:spacing w:val="-11"/>
        </w:rPr>
        <w:t> </w:t>
      </w:r>
      <w:r>
        <w:rPr/>
        <w:t>€438.0</w:t>
      </w:r>
      <w:r>
        <w:rPr>
          <w:spacing w:val="-12"/>
        </w:rPr>
        <w:t> </w:t>
      </w:r>
      <w:r>
        <w:rPr/>
        <w:t>thousand</w:t>
      </w:r>
      <w:r>
        <w:rPr>
          <w:spacing w:val="-12"/>
        </w:rPr>
        <w:t> </w:t>
      </w:r>
      <w:r>
        <w:rPr/>
        <w:t>requested</w:t>
      </w:r>
      <w:r>
        <w:rPr>
          <w:spacing w:val="-12"/>
        </w:rPr>
        <w:t> </w:t>
      </w:r>
      <w:r>
        <w:rPr/>
        <w:t>for</w:t>
      </w:r>
      <w:r>
        <w:rPr>
          <w:spacing w:val="-12"/>
        </w:rPr>
        <w:t> </w:t>
      </w:r>
      <w:r>
        <w:rPr/>
        <w:t>2022.</w:t>
      </w:r>
      <w:r>
        <w:rPr>
          <w:spacing w:val="-10"/>
        </w:rPr>
        <w:t> </w:t>
      </w:r>
      <w:r>
        <w:rPr/>
        <w:t>No</w:t>
      </w:r>
      <w:r>
        <w:rPr>
          <w:spacing w:val="-12"/>
        </w:rPr>
        <w:t> </w:t>
      </w:r>
      <w:r>
        <w:rPr/>
        <w:t>funding</w:t>
      </w:r>
      <w:r>
        <w:rPr>
          <w:spacing w:val="-12"/>
        </w:rPr>
        <w:t> </w:t>
      </w:r>
      <w:r>
        <w:rPr/>
        <w:t>for</w:t>
      </w:r>
      <w:r>
        <w:rPr>
          <w:spacing w:val="-12"/>
        </w:rPr>
        <w:t> </w:t>
      </w:r>
      <w:r>
        <w:rPr/>
        <w:t>IT</w:t>
      </w:r>
      <w:r>
        <w:rPr>
          <w:spacing w:val="-13"/>
        </w:rPr>
        <w:t> </w:t>
      </w:r>
      <w:r>
        <w:rPr/>
        <w:t>capital</w:t>
      </w:r>
      <w:r>
        <w:rPr>
          <w:spacing w:val="-11"/>
        </w:rPr>
        <w:t> </w:t>
      </w:r>
      <w:r>
        <w:rPr/>
        <w:t>replacements was approved for 2022 and, consequently, more end-of-life infrastructure needing to be replaced has accumulated from 2022 and 2023.</w:t>
      </w:r>
    </w:p>
    <w:p>
      <w:pPr>
        <w:pStyle w:val="ListParagraph"/>
        <w:numPr>
          <w:ilvl w:val="0"/>
          <w:numId w:val="129"/>
        </w:numPr>
        <w:tabs>
          <w:tab w:pos="2966" w:val="left" w:leader="none"/>
          <w:tab w:pos="2967" w:val="left" w:leader="none"/>
        </w:tabs>
        <w:spacing w:line="240" w:lineRule="auto" w:before="119" w:after="0"/>
        <w:ind w:left="2246" w:right="2239" w:firstLine="0"/>
        <w:jc w:val="both"/>
        <w:rPr>
          <w:sz w:val="20"/>
        </w:rPr>
      </w:pPr>
      <w:r>
        <w:rPr>
          <w:sz w:val="20"/>
        </w:rPr>
        <w:t>For 2024, IMSS forecasts a total investment of €1,732.0 thousand: €1,060.0 thousand for</w:t>
      </w:r>
      <w:r>
        <w:rPr>
          <w:spacing w:val="-4"/>
          <w:sz w:val="20"/>
        </w:rPr>
        <w:t> </w:t>
      </w:r>
      <w:r>
        <w:rPr>
          <w:sz w:val="20"/>
        </w:rPr>
        <w:t>the replacement of</w:t>
      </w:r>
      <w:r>
        <w:rPr>
          <w:spacing w:val="-4"/>
          <w:sz w:val="20"/>
        </w:rPr>
        <w:t> </w:t>
      </w:r>
      <w:r>
        <w:rPr>
          <w:sz w:val="20"/>
        </w:rPr>
        <w:t>obsolete</w:t>
      </w:r>
      <w:r>
        <w:rPr>
          <w:spacing w:val="-2"/>
          <w:sz w:val="20"/>
        </w:rPr>
        <w:t> </w:t>
      </w:r>
      <w:r>
        <w:rPr>
          <w:sz w:val="20"/>
        </w:rPr>
        <w:t>core</w:t>
      </w:r>
      <w:r>
        <w:rPr>
          <w:spacing w:val="-2"/>
          <w:sz w:val="20"/>
        </w:rPr>
        <w:t> </w:t>
      </w:r>
      <w:r>
        <w:rPr>
          <w:sz w:val="20"/>
        </w:rPr>
        <w:t>network switches and a</w:t>
      </w:r>
      <w:r>
        <w:rPr>
          <w:spacing w:val="-2"/>
          <w:sz w:val="20"/>
        </w:rPr>
        <w:t> </w:t>
      </w:r>
      <w:r>
        <w:rPr>
          <w:sz w:val="20"/>
        </w:rPr>
        <w:t>move</w:t>
      </w:r>
      <w:r>
        <w:rPr>
          <w:spacing w:val="-2"/>
          <w:sz w:val="20"/>
        </w:rPr>
        <w:t> </w:t>
      </w:r>
      <w:r>
        <w:rPr>
          <w:sz w:val="20"/>
        </w:rPr>
        <w:t>towards</w:t>
      </w:r>
      <w:r>
        <w:rPr>
          <w:spacing w:val="-5"/>
          <w:sz w:val="20"/>
        </w:rPr>
        <w:t> </w:t>
      </w:r>
      <w:r>
        <w:rPr>
          <w:sz w:val="20"/>
        </w:rPr>
        <w:t>a more wireless-centric environment, €352.0 thousand for the courtroom, which includes the replacement of the remaining workstations and the replacement of the digital conferencing network, and €320.0 thousand for the further replacement of critical data centre </w:t>
      </w:r>
      <w:r>
        <w:rPr>
          <w:spacing w:val="-2"/>
          <w:sz w:val="20"/>
        </w:rPr>
        <w:t>infrastructure.</w:t>
      </w:r>
    </w:p>
    <w:p>
      <w:pPr>
        <w:pStyle w:val="ListParagraph"/>
        <w:numPr>
          <w:ilvl w:val="0"/>
          <w:numId w:val="129"/>
        </w:numPr>
        <w:tabs>
          <w:tab w:pos="2967" w:val="left" w:leader="none"/>
        </w:tabs>
        <w:spacing w:line="237" w:lineRule="auto" w:before="125" w:after="0"/>
        <w:ind w:left="2246" w:right="2246" w:firstLine="0"/>
        <w:jc w:val="both"/>
        <w:rPr>
          <w:sz w:val="20"/>
        </w:rPr>
      </w:pPr>
      <w:r>
        <w:rPr>
          <w:sz w:val="20"/>
        </w:rPr>
        <w:t>For 2025, IMSS forecasts a total investment of €912.0 thousand: €620.0 thousand for the further replacement of the Court’s obsolete ICT network and a move towards a wireless</w:t>
      </w:r>
      <w:r>
        <w:rPr>
          <w:spacing w:val="-2"/>
          <w:sz w:val="20"/>
        </w:rPr>
        <w:t> </w:t>
      </w:r>
      <w:r>
        <w:rPr>
          <w:sz w:val="20"/>
        </w:rPr>
        <w:t>network,</w:t>
      </w:r>
      <w:r>
        <w:rPr>
          <w:spacing w:val="-2"/>
          <w:sz w:val="20"/>
        </w:rPr>
        <w:t> </w:t>
      </w:r>
      <w:r>
        <w:rPr>
          <w:sz w:val="20"/>
        </w:rPr>
        <w:t>€92.0</w:t>
      </w:r>
      <w:r>
        <w:rPr>
          <w:spacing w:val="-5"/>
          <w:sz w:val="20"/>
        </w:rPr>
        <w:t> </w:t>
      </w:r>
      <w:r>
        <w:rPr>
          <w:sz w:val="20"/>
        </w:rPr>
        <w:t>thousand for</w:t>
      </w:r>
      <w:r>
        <w:rPr>
          <w:spacing w:val="-5"/>
          <w:sz w:val="20"/>
        </w:rPr>
        <w:t> </w:t>
      </w:r>
      <w:r>
        <w:rPr>
          <w:sz w:val="20"/>
        </w:rPr>
        <w:t>the</w:t>
      </w:r>
      <w:r>
        <w:rPr>
          <w:spacing w:val="-3"/>
          <w:sz w:val="20"/>
        </w:rPr>
        <w:t> </w:t>
      </w:r>
      <w:r>
        <w:rPr>
          <w:sz w:val="20"/>
        </w:rPr>
        <w:t>courtroom</w:t>
      </w:r>
      <w:r>
        <w:rPr>
          <w:spacing w:val="-3"/>
          <w:sz w:val="20"/>
        </w:rPr>
        <w:t> </w:t>
      </w:r>
      <w:r>
        <w:rPr>
          <w:sz w:val="20"/>
        </w:rPr>
        <w:t>infrastructure</w:t>
      </w:r>
      <w:r>
        <w:rPr>
          <w:spacing w:val="-3"/>
          <w:sz w:val="20"/>
        </w:rPr>
        <w:t> </w:t>
      </w:r>
      <w:r>
        <w:rPr>
          <w:sz w:val="20"/>
        </w:rPr>
        <w:t>and</w:t>
      </w:r>
      <w:r>
        <w:rPr>
          <w:spacing w:val="-5"/>
          <w:sz w:val="20"/>
        </w:rPr>
        <w:t> </w:t>
      </w:r>
      <w:r>
        <w:rPr>
          <w:sz w:val="20"/>
        </w:rPr>
        <w:t>the remaining</w:t>
      </w:r>
      <w:r>
        <w:rPr>
          <w:spacing w:val="-5"/>
          <w:sz w:val="20"/>
        </w:rPr>
        <w:t> </w:t>
      </w:r>
      <w:r>
        <w:rPr>
          <w:sz w:val="20"/>
        </w:rPr>
        <w:t>€200.0 thousand for the Court’s data centre.</w:t>
      </w:r>
    </w:p>
    <w:p>
      <w:pPr>
        <w:pStyle w:val="ListParagraph"/>
        <w:numPr>
          <w:ilvl w:val="0"/>
          <w:numId w:val="129"/>
        </w:numPr>
        <w:tabs>
          <w:tab w:pos="2967" w:val="left" w:leader="none"/>
        </w:tabs>
        <w:spacing w:line="240" w:lineRule="auto" w:before="124" w:after="0"/>
        <w:ind w:left="2967" w:right="0" w:hanging="721"/>
        <w:jc w:val="both"/>
        <w:rPr>
          <w:sz w:val="20"/>
        </w:rPr>
      </w:pPr>
      <w:r>
        <w:rPr>
          <w:spacing w:val="-2"/>
          <w:sz w:val="20"/>
        </w:rPr>
        <w:t>For 2026,</w:t>
      </w:r>
      <w:r>
        <w:rPr>
          <w:spacing w:val="-9"/>
          <w:sz w:val="20"/>
        </w:rPr>
        <w:t> </w:t>
      </w:r>
      <w:r>
        <w:rPr>
          <w:spacing w:val="-2"/>
          <w:sz w:val="20"/>
        </w:rPr>
        <w:t>IMSS</w:t>
      </w:r>
      <w:r>
        <w:rPr>
          <w:spacing w:val="-8"/>
          <w:sz w:val="20"/>
        </w:rPr>
        <w:t> </w:t>
      </w:r>
      <w:r>
        <w:rPr>
          <w:spacing w:val="-2"/>
          <w:sz w:val="20"/>
        </w:rPr>
        <w:t>forecasts</w:t>
      </w:r>
      <w:r>
        <w:rPr>
          <w:spacing w:val="-8"/>
          <w:sz w:val="20"/>
        </w:rPr>
        <w:t> </w:t>
      </w:r>
      <w:r>
        <w:rPr>
          <w:spacing w:val="-2"/>
          <w:sz w:val="20"/>
        </w:rPr>
        <w:t>a</w:t>
      </w:r>
      <w:r>
        <w:rPr>
          <w:spacing w:val="-3"/>
          <w:sz w:val="20"/>
        </w:rPr>
        <w:t> </w:t>
      </w:r>
      <w:r>
        <w:rPr>
          <w:spacing w:val="-2"/>
          <w:sz w:val="20"/>
        </w:rPr>
        <w:t>total</w:t>
      </w:r>
      <w:r>
        <w:rPr>
          <w:spacing w:val="-9"/>
          <w:sz w:val="20"/>
        </w:rPr>
        <w:t> </w:t>
      </w:r>
      <w:r>
        <w:rPr>
          <w:spacing w:val="-2"/>
          <w:sz w:val="20"/>
        </w:rPr>
        <w:t>capital</w:t>
      </w:r>
      <w:r>
        <w:rPr>
          <w:spacing w:val="-5"/>
          <w:sz w:val="20"/>
        </w:rPr>
        <w:t> </w:t>
      </w:r>
      <w:r>
        <w:rPr>
          <w:spacing w:val="-2"/>
          <w:sz w:val="20"/>
        </w:rPr>
        <w:t>replacement</w:t>
      </w:r>
      <w:r>
        <w:rPr>
          <w:spacing w:val="-4"/>
          <w:sz w:val="20"/>
        </w:rPr>
        <w:t> </w:t>
      </w:r>
      <w:r>
        <w:rPr>
          <w:spacing w:val="-2"/>
          <w:sz w:val="20"/>
        </w:rPr>
        <w:t>investment</w:t>
      </w:r>
      <w:r>
        <w:rPr>
          <w:spacing w:val="-5"/>
          <w:sz w:val="20"/>
        </w:rPr>
        <w:t> </w:t>
      </w:r>
      <w:r>
        <w:rPr>
          <w:spacing w:val="-2"/>
          <w:sz w:val="20"/>
        </w:rPr>
        <w:t>of</w:t>
      </w:r>
      <w:r>
        <w:rPr>
          <w:spacing w:val="-5"/>
          <w:sz w:val="20"/>
        </w:rPr>
        <w:t> </w:t>
      </w:r>
      <w:r>
        <w:rPr>
          <w:spacing w:val="-2"/>
          <w:sz w:val="20"/>
        </w:rPr>
        <w:t>€975.0</w:t>
      </w:r>
      <w:r>
        <w:rPr>
          <w:spacing w:val="-11"/>
          <w:sz w:val="20"/>
        </w:rPr>
        <w:t> </w:t>
      </w:r>
      <w:r>
        <w:rPr>
          <w:spacing w:val="-2"/>
          <w:sz w:val="20"/>
        </w:rPr>
        <w:t>thousand:</w:t>
      </w:r>
    </w:p>
    <w:p>
      <w:pPr>
        <w:pStyle w:val="BodyText"/>
        <w:ind w:left="2246" w:right="2250"/>
        <w:jc w:val="both"/>
      </w:pPr>
      <w:r>
        <w:rPr/>
        <w:t>€450.0 thousand for the Court’s ICT network, €500.0 thousand for the Court’s data centre, which includes a refresh of the storage hardware, and the remaining €25.0 thousand for the courtroom infrastructure.</w:t>
      </w:r>
    </w:p>
    <w:p>
      <w:pPr>
        <w:pStyle w:val="ListParagraph"/>
        <w:numPr>
          <w:ilvl w:val="0"/>
          <w:numId w:val="129"/>
        </w:numPr>
        <w:tabs>
          <w:tab w:pos="2967" w:val="left" w:leader="none"/>
        </w:tabs>
        <w:spacing w:line="240" w:lineRule="auto" w:before="122" w:after="0"/>
        <w:ind w:left="2246" w:right="2244" w:firstLine="0"/>
        <w:jc w:val="both"/>
        <w:rPr>
          <w:sz w:val="20"/>
        </w:rPr>
      </w:pPr>
      <w:r>
        <w:rPr>
          <w:sz w:val="20"/>
        </w:rPr>
        <w:t>For 2027, IMSS forecasts a total capital replacement investment of €1,025.0 thousand:</w:t>
      </w:r>
      <w:r>
        <w:rPr>
          <w:spacing w:val="-9"/>
          <w:sz w:val="20"/>
        </w:rPr>
        <w:t> </w:t>
      </w:r>
      <w:r>
        <w:rPr>
          <w:sz w:val="20"/>
        </w:rPr>
        <w:t>€660.0</w:t>
      </w:r>
      <w:r>
        <w:rPr>
          <w:spacing w:val="-13"/>
          <w:sz w:val="20"/>
        </w:rPr>
        <w:t> </w:t>
      </w:r>
      <w:r>
        <w:rPr>
          <w:sz w:val="20"/>
        </w:rPr>
        <w:t>thousand</w:t>
      </w:r>
      <w:r>
        <w:rPr>
          <w:spacing w:val="-12"/>
          <w:sz w:val="20"/>
        </w:rPr>
        <w:t> </w:t>
      </w:r>
      <w:r>
        <w:rPr>
          <w:sz w:val="20"/>
        </w:rPr>
        <w:t>to</w:t>
      </w:r>
      <w:r>
        <w:rPr>
          <w:spacing w:val="-9"/>
          <w:sz w:val="20"/>
        </w:rPr>
        <w:t> </w:t>
      </w:r>
      <w:r>
        <w:rPr>
          <w:sz w:val="20"/>
        </w:rPr>
        <w:t>complete</w:t>
      </w:r>
      <w:r>
        <w:rPr>
          <w:spacing w:val="-12"/>
          <w:sz w:val="20"/>
        </w:rPr>
        <w:t> </w:t>
      </w:r>
      <w:r>
        <w:rPr>
          <w:sz w:val="20"/>
        </w:rPr>
        <w:t>the</w:t>
      </w:r>
      <w:r>
        <w:rPr>
          <w:spacing w:val="-8"/>
          <w:sz w:val="20"/>
        </w:rPr>
        <w:t> </w:t>
      </w:r>
      <w:r>
        <w:rPr>
          <w:sz w:val="20"/>
        </w:rPr>
        <w:t>replacement</w:t>
      </w:r>
      <w:r>
        <w:rPr>
          <w:spacing w:val="-8"/>
          <w:sz w:val="20"/>
        </w:rPr>
        <w:t> </w:t>
      </w:r>
      <w:r>
        <w:rPr>
          <w:sz w:val="20"/>
        </w:rPr>
        <w:t>of</w:t>
      </w:r>
      <w:r>
        <w:rPr>
          <w:spacing w:val="-13"/>
          <w:sz w:val="20"/>
        </w:rPr>
        <w:t> </w:t>
      </w:r>
      <w:r>
        <w:rPr>
          <w:sz w:val="20"/>
        </w:rPr>
        <w:t>the</w:t>
      </w:r>
      <w:r>
        <w:rPr>
          <w:spacing w:val="-7"/>
          <w:sz w:val="20"/>
        </w:rPr>
        <w:t> </w:t>
      </w:r>
      <w:r>
        <w:rPr>
          <w:sz w:val="20"/>
        </w:rPr>
        <w:t>Court’s</w:t>
      </w:r>
      <w:r>
        <w:rPr>
          <w:spacing w:val="-11"/>
          <w:sz w:val="20"/>
        </w:rPr>
        <w:t> </w:t>
      </w:r>
      <w:r>
        <w:rPr>
          <w:sz w:val="20"/>
        </w:rPr>
        <w:t>ICT</w:t>
      </w:r>
      <w:r>
        <w:rPr>
          <w:spacing w:val="-8"/>
          <w:sz w:val="20"/>
        </w:rPr>
        <w:t> </w:t>
      </w:r>
      <w:r>
        <w:rPr>
          <w:sz w:val="20"/>
        </w:rPr>
        <w:t>wireless</w:t>
      </w:r>
      <w:r>
        <w:rPr>
          <w:spacing w:val="-11"/>
          <w:sz w:val="20"/>
        </w:rPr>
        <w:t> </w:t>
      </w:r>
      <w:r>
        <w:rPr>
          <w:sz w:val="20"/>
        </w:rPr>
        <w:t>network,</w:t>
      </w:r>
    </w:p>
    <w:p>
      <w:pPr>
        <w:pStyle w:val="BodyText"/>
        <w:spacing w:before="1"/>
        <w:ind w:left="2246" w:right="2250"/>
        <w:jc w:val="both"/>
      </w:pPr>
      <w:r>
        <w:rPr/>
        <w:t>€300.0 thousand for the Court’s backup storage and the remaining €65.0 thousand for the courtroom infrastructure.</w:t>
      </w:r>
    </w:p>
    <w:p>
      <w:pPr>
        <w:pStyle w:val="ListParagraph"/>
        <w:numPr>
          <w:ilvl w:val="0"/>
          <w:numId w:val="129"/>
        </w:numPr>
        <w:tabs>
          <w:tab w:pos="2967" w:val="left" w:leader="none"/>
        </w:tabs>
        <w:spacing w:line="259" w:lineRule="auto" w:before="121" w:after="0"/>
        <w:ind w:left="2246" w:right="2247" w:firstLine="0"/>
        <w:jc w:val="both"/>
        <w:rPr>
          <w:sz w:val="20"/>
        </w:rPr>
      </w:pPr>
      <w:r>
        <w:rPr>
          <w:sz w:val="20"/>
        </w:rPr>
        <w:t>The</w:t>
      </w:r>
      <w:r>
        <w:rPr>
          <w:spacing w:val="-3"/>
          <w:sz w:val="20"/>
        </w:rPr>
        <w:t> </w:t>
      </w:r>
      <w:r>
        <w:rPr>
          <w:sz w:val="20"/>
        </w:rPr>
        <w:t>forecasts</w:t>
      </w:r>
      <w:r>
        <w:rPr>
          <w:spacing w:val="-1"/>
          <w:sz w:val="20"/>
        </w:rPr>
        <w:t> </w:t>
      </w:r>
      <w:r>
        <w:rPr>
          <w:sz w:val="20"/>
        </w:rPr>
        <w:t>presented</w:t>
      </w:r>
      <w:r>
        <w:rPr>
          <w:spacing w:val="-5"/>
          <w:sz w:val="20"/>
        </w:rPr>
        <w:t> </w:t>
      </w:r>
      <w:r>
        <w:rPr>
          <w:sz w:val="20"/>
        </w:rPr>
        <w:t>here</w:t>
      </w:r>
      <w:r>
        <w:rPr>
          <w:spacing w:val="-3"/>
          <w:sz w:val="20"/>
        </w:rPr>
        <w:t> </w:t>
      </w:r>
      <w:r>
        <w:rPr>
          <w:sz w:val="20"/>
        </w:rPr>
        <w:t>are</w:t>
      </w:r>
      <w:r>
        <w:rPr>
          <w:spacing w:val="-3"/>
          <w:sz w:val="20"/>
        </w:rPr>
        <w:t> </w:t>
      </w:r>
      <w:r>
        <w:rPr>
          <w:sz w:val="20"/>
        </w:rPr>
        <w:t>based on</w:t>
      </w:r>
      <w:r>
        <w:rPr>
          <w:spacing w:val="-5"/>
          <w:sz w:val="20"/>
        </w:rPr>
        <w:t> </w:t>
      </w:r>
      <w:r>
        <w:rPr>
          <w:sz w:val="20"/>
        </w:rPr>
        <w:t>currently</w:t>
      </w:r>
      <w:r>
        <w:rPr>
          <w:spacing w:val="-5"/>
          <w:sz w:val="20"/>
        </w:rPr>
        <w:t> </w:t>
      </w:r>
      <w:r>
        <w:rPr>
          <w:sz w:val="20"/>
        </w:rPr>
        <w:t>available</w:t>
      </w:r>
      <w:r>
        <w:rPr>
          <w:spacing w:val="-3"/>
          <w:sz w:val="20"/>
        </w:rPr>
        <w:t> </w:t>
      </w:r>
      <w:r>
        <w:rPr>
          <w:sz w:val="20"/>
        </w:rPr>
        <w:t>data on technological obsolescence, historical</w:t>
      </w:r>
      <w:r>
        <w:rPr>
          <w:spacing w:val="-3"/>
          <w:sz w:val="20"/>
        </w:rPr>
        <w:t> </w:t>
      </w:r>
      <w:r>
        <w:rPr>
          <w:sz w:val="20"/>
        </w:rPr>
        <w:t>wear and</w:t>
      </w:r>
      <w:r>
        <w:rPr>
          <w:spacing w:val="-5"/>
          <w:sz w:val="20"/>
        </w:rPr>
        <w:t> </w:t>
      </w:r>
      <w:r>
        <w:rPr>
          <w:sz w:val="20"/>
        </w:rPr>
        <w:t>tear,</w:t>
      </w:r>
      <w:r>
        <w:rPr>
          <w:spacing w:val="-2"/>
          <w:sz w:val="20"/>
        </w:rPr>
        <w:t> </w:t>
      </w:r>
      <w:r>
        <w:rPr>
          <w:sz w:val="20"/>
        </w:rPr>
        <w:t>the Court’s</w:t>
      </w:r>
      <w:r>
        <w:rPr>
          <w:spacing w:val="-6"/>
          <w:sz w:val="20"/>
        </w:rPr>
        <w:t> </w:t>
      </w:r>
      <w:r>
        <w:rPr>
          <w:sz w:val="20"/>
        </w:rPr>
        <w:t>technology requirements</w:t>
      </w:r>
      <w:r>
        <w:rPr>
          <w:spacing w:val="-6"/>
          <w:sz w:val="20"/>
        </w:rPr>
        <w:t> </w:t>
      </w:r>
      <w:r>
        <w:rPr>
          <w:sz w:val="20"/>
        </w:rPr>
        <w:t>and</w:t>
      </w:r>
      <w:r>
        <w:rPr>
          <w:spacing w:val="-5"/>
          <w:sz w:val="20"/>
        </w:rPr>
        <w:t> </w:t>
      </w:r>
      <w:r>
        <w:rPr>
          <w:sz w:val="20"/>
        </w:rPr>
        <w:t>known</w:t>
      </w:r>
      <w:r>
        <w:rPr>
          <w:spacing w:val="-5"/>
          <w:sz w:val="20"/>
        </w:rPr>
        <w:t> </w:t>
      </w:r>
      <w:r>
        <w:rPr>
          <w:sz w:val="20"/>
        </w:rPr>
        <w:t>ICT solutions. The Court will continue to update its forecasts annually.</w:t>
      </w:r>
    </w:p>
    <w:p>
      <w:pPr>
        <w:spacing w:after="0" w:line="259" w:lineRule="auto"/>
        <w:jc w:val="both"/>
        <w:rPr>
          <w:sz w:val="20"/>
        </w:rPr>
        <w:sectPr>
          <w:pgSz w:w="11910" w:h="16840"/>
          <w:pgMar w:header="953" w:footer="940" w:top="1140" w:bottom="1140" w:left="20" w:right="20"/>
        </w:sectPr>
      </w:pPr>
    </w:p>
    <w:p>
      <w:pPr>
        <w:pStyle w:val="Heading1"/>
      </w:pPr>
      <w:r>
        <w:rPr/>
        <w:t>Annex</w:t>
      </w:r>
      <w:r>
        <w:rPr>
          <w:spacing w:val="-9"/>
        </w:rPr>
        <w:t> </w:t>
      </w:r>
      <w:r>
        <w:rPr>
          <w:spacing w:val="-7"/>
        </w:rPr>
        <w:t>XV</w:t>
      </w:r>
    </w:p>
    <w:p>
      <w:pPr>
        <w:spacing w:line="256" w:lineRule="auto" w:before="240"/>
        <w:ind w:left="2246" w:right="2195" w:firstLine="0"/>
        <w:jc w:val="left"/>
        <w:rPr>
          <w:b/>
          <w:sz w:val="28"/>
        </w:rPr>
      </w:pPr>
      <w:bookmarkStart w:name="_bookmark91" w:id="92"/>
      <w:bookmarkEnd w:id="92"/>
      <w:r>
        <w:rPr/>
      </w:r>
      <w:r>
        <w:rPr>
          <w:b/>
          <w:spacing w:val="-4"/>
          <w:sz w:val="28"/>
        </w:rPr>
        <w:t>Maintenance,</w:t>
      </w:r>
      <w:r>
        <w:rPr>
          <w:b/>
          <w:spacing w:val="-14"/>
          <w:sz w:val="28"/>
        </w:rPr>
        <w:t> </w:t>
      </w:r>
      <w:r>
        <w:rPr>
          <w:b/>
          <w:spacing w:val="-4"/>
          <w:sz w:val="28"/>
        </w:rPr>
        <w:t>operating</w:t>
      </w:r>
      <w:r>
        <w:rPr>
          <w:b/>
          <w:spacing w:val="-13"/>
          <w:sz w:val="28"/>
        </w:rPr>
        <w:t> </w:t>
      </w:r>
      <w:r>
        <w:rPr>
          <w:b/>
          <w:spacing w:val="-4"/>
          <w:sz w:val="28"/>
        </w:rPr>
        <w:t>costs</w:t>
      </w:r>
      <w:r>
        <w:rPr>
          <w:b/>
          <w:spacing w:val="-14"/>
          <w:sz w:val="28"/>
        </w:rPr>
        <w:t> </w:t>
      </w:r>
      <w:r>
        <w:rPr>
          <w:b/>
          <w:spacing w:val="-4"/>
          <w:sz w:val="28"/>
        </w:rPr>
        <w:t>and</w:t>
      </w:r>
      <w:r>
        <w:rPr>
          <w:b/>
          <w:spacing w:val="-14"/>
          <w:sz w:val="28"/>
        </w:rPr>
        <w:t> </w:t>
      </w:r>
      <w:r>
        <w:rPr>
          <w:b/>
          <w:spacing w:val="-4"/>
          <w:sz w:val="28"/>
        </w:rPr>
        <w:t>mid-term</w:t>
      </w:r>
      <w:r>
        <w:rPr>
          <w:b/>
          <w:spacing w:val="-13"/>
          <w:sz w:val="28"/>
        </w:rPr>
        <w:t> </w:t>
      </w:r>
      <w:r>
        <w:rPr>
          <w:b/>
          <w:spacing w:val="-4"/>
          <w:sz w:val="28"/>
        </w:rPr>
        <w:t>capital</w:t>
      </w:r>
      <w:r>
        <w:rPr>
          <w:b/>
          <w:spacing w:val="-14"/>
          <w:sz w:val="28"/>
        </w:rPr>
        <w:t> </w:t>
      </w:r>
      <w:r>
        <w:rPr>
          <w:b/>
          <w:spacing w:val="-4"/>
          <w:sz w:val="28"/>
        </w:rPr>
        <w:t>replacement </w:t>
      </w:r>
      <w:r>
        <w:rPr>
          <w:b/>
          <w:sz w:val="28"/>
        </w:rPr>
        <w:t>plan</w:t>
      </w:r>
      <w:r>
        <w:rPr>
          <w:b/>
          <w:spacing w:val="-13"/>
          <w:sz w:val="28"/>
        </w:rPr>
        <w:t> </w:t>
      </w:r>
      <w:r>
        <w:rPr>
          <w:b/>
          <w:sz w:val="28"/>
        </w:rPr>
        <w:t>for</w:t>
      </w:r>
      <w:r>
        <w:rPr>
          <w:b/>
          <w:spacing w:val="-10"/>
          <w:sz w:val="28"/>
        </w:rPr>
        <w:t> </w:t>
      </w:r>
      <w:r>
        <w:rPr>
          <w:b/>
          <w:sz w:val="28"/>
        </w:rPr>
        <w:t>the</w:t>
      </w:r>
      <w:r>
        <w:rPr>
          <w:b/>
          <w:spacing w:val="-10"/>
          <w:sz w:val="28"/>
        </w:rPr>
        <w:t> </w:t>
      </w:r>
      <w:r>
        <w:rPr>
          <w:b/>
          <w:sz w:val="28"/>
        </w:rPr>
        <w:t>Court’s</w:t>
      </w:r>
      <w:r>
        <w:rPr>
          <w:b/>
          <w:spacing w:val="-9"/>
          <w:sz w:val="28"/>
        </w:rPr>
        <w:t> </w:t>
      </w:r>
      <w:r>
        <w:rPr>
          <w:b/>
          <w:sz w:val="28"/>
        </w:rPr>
        <w:t>premises</w:t>
      </w:r>
      <w:r>
        <w:rPr>
          <w:b/>
          <w:spacing w:val="-9"/>
          <w:sz w:val="28"/>
        </w:rPr>
        <w:t> </w:t>
      </w:r>
      <w:r>
        <w:rPr>
          <w:b/>
          <w:sz w:val="28"/>
        </w:rPr>
        <w:t>in</w:t>
      </w:r>
      <w:r>
        <w:rPr>
          <w:b/>
          <w:spacing w:val="-13"/>
          <w:sz w:val="28"/>
        </w:rPr>
        <w:t> </w:t>
      </w:r>
      <w:r>
        <w:rPr>
          <w:b/>
          <w:sz w:val="28"/>
        </w:rPr>
        <w:t>2023</w:t>
      </w:r>
      <w:r>
        <w:rPr>
          <w:b/>
          <w:spacing w:val="-11"/>
          <w:sz w:val="28"/>
        </w:rPr>
        <w:t> </w:t>
      </w:r>
      <w:r>
        <w:rPr>
          <w:b/>
          <w:sz w:val="28"/>
        </w:rPr>
        <w:t>(thousands</w:t>
      </w:r>
      <w:r>
        <w:rPr>
          <w:b/>
          <w:spacing w:val="-9"/>
          <w:sz w:val="28"/>
        </w:rPr>
        <w:t> </w:t>
      </w:r>
      <w:r>
        <w:rPr>
          <w:b/>
          <w:sz w:val="28"/>
        </w:rPr>
        <w:t>of</w:t>
      </w:r>
      <w:r>
        <w:rPr>
          <w:b/>
          <w:spacing w:val="-13"/>
          <w:sz w:val="28"/>
        </w:rPr>
        <w:t> </w:t>
      </w:r>
      <w:r>
        <w:rPr>
          <w:b/>
          <w:sz w:val="28"/>
        </w:rPr>
        <w:t>euros)</w:t>
      </w:r>
    </w:p>
    <w:p>
      <w:pPr>
        <w:pStyle w:val="ListParagraph"/>
        <w:numPr>
          <w:ilvl w:val="0"/>
          <w:numId w:val="130"/>
        </w:numPr>
        <w:tabs>
          <w:tab w:pos="2966" w:val="left" w:leader="none"/>
          <w:tab w:pos="2967" w:val="left" w:leader="none"/>
        </w:tabs>
        <w:spacing w:line="240" w:lineRule="auto" w:before="245" w:after="0"/>
        <w:ind w:left="2246" w:right="2243" w:firstLine="0"/>
        <w:jc w:val="both"/>
        <w:rPr>
          <w:sz w:val="20"/>
        </w:rPr>
      </w:pPr>
      <w:r>
        <w:rPr>
          <w:sz w:val="20"/>
        </w:rPr>
        <w:t>Overtime is required for facilities management technicians who respond to emergency calls to perform actions such as urgent repairs or operations outside working </w:t>
      </w:r>
      <w:r>
        <w:rPr>
          <w:spacing w:val="-2"/>
          <w:sz w:val="20"/>
        </w:rPr>
        <w:t>hours.</w:t>
      </w:r>
    </w:p>
    <w:p>
      <w:pPr>
        <w:pStyle w:val="ListParagraph"/>
        <w:numPr>
          <w:ilvl w:val="0"/>
          <w:numId w:val="130"/>
        </w:numPr>
        <w:tabs>
          <w:tab w:pos="2966" w:val="left" w:leader="none"/>
          <w:tab w:pos="2967" w:val="left" w:leader="none"/>
        </w:tabs>
        <w:spacing w:line="240" w:lineRule="auto" w:before="122" w:after="0"/>
        <w:ind w:left="2246" w:right="2248" w:firstLine="0"/>
        <w:jc w:val="both"/>
        <w:rPr>
          <w:sz w:val="20"/>
        </w:rPr>
      </w:pPr>
      <w:r>
        <w:rPr>
          <w:sz w:val="20"/>
        </w:rPr>
        <w:t>Maintenance</w:t>
      </w:r>
      <w:r>
        <w:rPr>
          <w:spacing w:val="-3"/>
          <w:sz w:val="20"/>
        </w:rPr>
        <w:t> </w:t>
      </w:r>
      <w:r>
        <w:rPr>
          <w:sz w:val="20"/>
        </w:rPr>
        <w:t>of premises</w:t>
      </w:r>
      <w:r>
        <w:rPr>
          <w:spacing w:val="-6"/>
          <w:sz w:val="20"/>
        </w:rPr>
        <w:t> </w:t>
      </w:r>
      <w:r>
        <w:rPr>
          <w:sz w:val="20"/>
        </w:rPr>
        <w:t>includes</w:t>
      </w:r>
      <w:r>
        <w:rPr>
          <w:spacing w:val="-6"/>
          <w:sz w:val="20"/>
        </w:rPr>
        <w:t> </w:t>
      </w:r>
      <w:r>
        <w:rPr>
          <w:sz w:val="20"/>
        </w:rPr>
        <w:t>costs</w:t>
      </w:r>
      <w:r>
        <w:rPr>
          <w:spacing w:val="-6"/>
          <w:sz w:val="20"/>
        </w:rPr>
        <w:t> </w:t>
      </w:r>
      <w:r>
        <w:rPr>
          <w:sz w:val="20"/>
        </w:rPr>
        <w:t>such</w:t>
      </w:r>
      <w:r>
        <w:rPr>
          <w:spacing w:val="-5"/>
          <w:sz w:val="20"/>
        </w:rPr>
        <w:t> </w:t>
      </w:r>
      <w:r>
        <w:rPr>
          <w:sz w:val="20"/>
        </w:rPr>
        <w:t>as</w:t>
      </w:r>
      <w:r>
        <w:rPr>
          <w:spacing w:val="-6"/>
          <w:sz w:val="20"/>
        </w:rPr>
        <w:t> </w:t>
      </w:r>
      <w:r>
        <w:rPr>
          <w:sz w:val="20"/>
        </w:rPr>
        <w:t>cleaning,</w:t>
      </w:r>
      <w:r>
        <w:rPr>
          <w:spacing w:val="-2"/>
          <w:sz w:val="20"/>
        </w:rPr>
        <w:t> </w:t>
      </w:r>
      <w:r>
        <w:rPr>
          <w:sz w:val="20"/>
        </w:rPr>
        <w:t>landscaping,</w:t>
      </w:r>
      <w:r>
        <w:rPr>
          <w:spacing w:val="-6"/>
          <w:sz w:val="20"/>
        </w:rPr>
        <w:t> </w:t>
      </w:r>
      <w:r>
        <w:rPr>
          <w:sz w:val="20"/>
        </w:rPr>
        <w:t>adjustments to premises, waste management and pest control.</w:t>
      </w:r>
    </w:p>
    <w:p>
      <w:pPr>
        <w:pStyle w:val="ListParagraph"/>
        <w:numPr>
          <w:ilvl w:val="0"/>
          <w:numId w:val="130"/>
        </w:numPr>
        <w:tabs>
          <w:tab w:pos="2966" w:val="left" w:leader="none"/>
          <w:tab w:pos="2967" w:val="left" w:leader="none"/>
        </w:tabs>
        <w:spacing w:line="240" w:lineRule="auto" w:before="120" w:after="0"/>
        <w:ind w:left="2967" w:right="0" w:hanging="721"/>
        <w:jc w:val="both"/>
        <w:rPr>
          <w:sz w:val="20"/>
        </w:rPr>
      </w:pPr>
      <w:r>
        <w:rPr>
          <w:sz w:val="20"/>
        </w:rPr>
        <w:t>Utilities</w:t>
      </w:r>
      <w:r>
        <w:rPr>
          <w:spacing w:val="-12"/>
          <w:sz w:val="20"/>
        </w:rPr>
        <w:t> </w:t>
      </w:r>
      <w:r>
        <w:rPr>
          <w:sz w:val="20"/>
        </w:rPr>
        <w:t>costs</w:t>
      </w:r>
      <w:r>
        <w:rPr>
          <w:spacing w:val="-11"/>
          <w:sz w:val="20"/>
        </w:rPr>
        <w:t> </w:t>
      </w:r>
      <w:r>
        <w:rPr>
          <w:sz w:val="20"/>
        </w:rPr>
        <w:t>comprise</w:t>
      </w:r>
      <w:r>
        <w:rPr>
          <w:spacing w:val="-9"/>
          <w:sz w:val="20"/>
        </w:rPr>
        <w:t> </w:t>
      </w:r>
      <w:r>
        <w:rPr>
          <w:sz w:val="20"/>
        </w:rPr>
        <w:t>electricity,</w:t>
      </w:r>
      <w:r>
        <w:rPr>
          <w:spacing w:val="-5"/>
          <w:sz w:val="20"/>
        </w:rPr>
        <w:t> </w:t>
      </w:r>
      <w:r>
        <w:rPr>
          <w:sz w:val="20"/>
        </w:rPr>
        <w:t>heating/cooling</w:t>
      </w:r>
      <w:r>
        <w:rPr>
          <w:spacing w:val="-10"/>
          <w:sz w:val="20"/>
        </w:rPr>
        <w:t> </w:t>
      </w:r>
      <w:r>
        <w:rPr>
          <w:sz w:val="20"/>
        </w:rPr>
        <w:t>and</w:t>
      </w:r>
      <w:r>
        <w:rPr>
          <w:spacing w:val="-11"/>
          <w:sz w:val="20"/>
        </w:rPr>
        <w:t> </w:t>
      </w:r>
      <w:r>
        <w:rPr>
          <w:sz w:val="20"/>
        </w:rPr>
        <w:t>sewage</w:t>
      </w:r>
      <w:r>
        <w:rPr>
          <w:spacing w:val="-8"/>
          <w:sz w:val="20"/>
        </w:rPr>
        <w:t> </w:t>
      </w:r>
      <w:r>
        <w:rPr>
          <w:spacing w:val="-2"/>
          <w:sz w:val="20"/>
        </w:rPr>
        <w:t>charges.</w:t>
      </w:r>
    </w:p>
    <w:p>
      <w:pPr>
        <w:pStyle w:val="ListParagraph"/>
        <w:numPr>
          <w:ilvl w:val="0"/>
          <w:numId w:val="130"/>
        </w:numPr>
        <w:tabs>
          <w:tab w:pos="2966" w:val="left" w:leader="none"/>
          <w:tab w:pos="2967" w:val="left" w:leader="none"/>
        </w:tabs>
        <w:spacing w:line="240" w:lineRule="auto" w:before="121" w:after="0"/>
        <w:ind w:left="2246" w:right="2250" w:firstLine="0"/>
        <w:jc w:val="both"/>
        <w:rPr>
          <w:sz w:val="20"/>
        </w:rPr>
      </w:pPr>
      <w:r>
        <w:rPr>
          <w:sz w:val="20"/>
        </w:rPr>
        <w:t>Maintenance of furniture and equipment involves repairs to furniture and soft </w:t>
      </w:r>
      <w:r>
        <w:rPr>
          <w:spacing w:val="-2"/>
          <w:sz w:val="20"/>
        </w:rPr>
        <w:t>furnishings.</w:t>
      </w:r>
    </w:p>
    <w:p>
      <w:pPr>
        <w:pStyle w:val="ListParagraph"/>
        <w:numPr>
          <w:ilvl w:val="0"/>
          <w:numId w:val="130"/>
        </w:numPr>
        <w:tabs>
          <w:tab w:pos="2966" w:val="left" w:leader="none"/>
          <w:tab w:pos="2967" w:val="left" w:leader="none"/>
        </w:tabs>
        <w:spacing w:line="240" w:lineRule="auto" w:before="121" w:after="0"/>
        <w:ind w:left="2246" w:right="2247" w:firstLine="0"/>
        <w:jc w:val="both"/>
        <w:rPr>
          <w:sz w:val="20"/>
        </w:rPr>
      </w:pPr>
      <w:r>
        <w:rPr>
          <w:sz w:val="20"/>
        </w:rPr>
        <w:t>Supplies and materials include crockery and cutlery for the cafeteria, and supplies for small repairs carried out directly by the Court’s facilities management staff.</w:t>
      </w:r>
    </w:p>
    <w:p>
      <w:pPr>
        <w:pStyle w:val="ListParagraph"/>
        <w:numPr>
          <w:ilvl w:val="0"/>
          <w:numId w:val="130"/>
        </w:numPr>
        <w:tabs>
          <w:tab w:pos="2966" w:val="left" w:leader="none"/>
          <w:tab w:pos="2967" w:val="left" w:leader="none"/>
        </w:tabs>
        <w:spacing w:line="240" w:lineRule="auto" w:before="116" w:after="0"/>
        <w:ind w:left="2246" w:right="2250" w:firstLine="0"/>
        <w:jc w:val="both"/>
        <w:rPr>
          <w:sz w:val="20"/>
        </w:rPr>
      </w:pPr>
      <w:r>
        <w:rPr>
          <w:sz w:val="20"/>
        </w:rPr>
        <w:t>Furniture is replaced when broken beyond repair. This amount concerns the Headquarters building only.</w:t>
      </w:r>
    </w:p>
    <w:p>
      <w:pPr>
        <w:pStyle w:val="BodyText"/>
        <w:spacing w:before="11"/>
      </w:pPr>
    </w:p>
    <w:tbl>
      <w:tblPr>
        <w:tblW w:w="0" w:type="auto"/>
        <w:jc w:val="left"/>
        <w:tblInd w:w="2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35"/>
        <w:gridCol w:w="2464"/>
      </w:tblGrid>
      <w:tr>
        <w:trPr>
          <w:trHeight w:val="325" w:hRule="atLeast"/>
        </w:trPr>
        <w:tc>
          <w:tcPr>
            <w:tcW w:w="4935" w:type="dxa"/>
            <w:tcBorders>
              <w:top w:val="single" w:sz="4" w:space="0" w:color="000000"/>
              <w:bottom w:val="single" w:sz="4" w:space="0" w:color="000000"/>
            </w:tcBorders>
          </w:tcPr>
          <w:p>
            <w:pPr>
              <w:pStyle w:val="TableParagraph"/>
              <w:spacing w:before="62"/>
              <w:ind w:left="14"/>
              <w:jc w:val="left"/>
              <w:rPr>
                <w:b/>
                <w:sz w:val="18"/>
              </w:rPr>
            </w:pPr>
            <w:r>
              <w:rPr>
                <w:b/>
                <w:sz w:val="18"/>
              </w:rPr>
              <w:t>General</w:t>
            </w:r>
            <w:r>
              <w:rPr>
                <w:b/>
                <w:spacing w:val="-4"/>
                <w:sz w:val="18"/>
              </w:rPr>
              <w:t> </w:t>
            </w:r>
            <w:r>
              <w:rPr>
                <w:b/>
                <w:sz w:val="18"/>
              </w:rPr>
              <w:t>Services</w:t>
            </w:r>
            <w:r>
              <w:rPr>
                <w:b/>
                <w:spacing w:val="-5"/>
                <w:sz w:val="18"/>
              </w:rPr>
              <w:t> </w:t>
            </w:r>
            <w:r>
              <w:rPr>
                <w:b/>
                <w:spacing w:val="-2"/>
                <w:sz w:val="18"/>
              </w:rPr>
              <w:t>Section</w:t>
            </w:r>
          </w:p>
        </w:tc>
        <w:tc>
          <w:tcPr>
            <w:tcW w:w="2464" w:type="dxa"/>
            <w:tcBorders>
              <w:top w:val="single" w:sz="4" w:space="0" w:color="000000"/>
              <w:bottom w:val="single" w:sz="4" w:space="0" w:color="000000"/>
            </w:tcBorders>
          </w:tcPr>
          <w:p>
            <w:pPr>
              <w:pStyle w:val="TableParagraph"/>
              <w:jc w:val="left"/>
              <w:rPr>
                <w:sz w:val="20"/>
              </w:rPr>
            </w:pPr>
          </w:p>
        </w:tc>
      </w:tr>
      <w:tr>
        <w:trPr>
          <w:trHeight w:val="330" w:hRule="atLeast"/>
        </w:trPr>
        <w:tc>
          <w:tcPr>
            <w:tcW w:w="4935" w:type="dxa"/>
            <w:tcBorders>
              <w:top w:val="single" w:sz="4" w:space="0" w:color="000000"/>
              <w:bottom w:val="single" w:sz="4" w:space="0" w:color="000000"/>
            </w:tcBorders>
          </w:tcPr>
          <w:p>
            <w:pPr>
              <w:pStyle w:val="TableParagraph"/>
              <w:spacing w:before="67"/>
              <w:ind w:left="14"/>
              <w:jc w:val="left"/>
              <w:rPr>
                <w:sz w:val="18"/>
              </w:rPr>
            </w:pPr>
            <w:r>
              <w:rPr>
                <w:spacing w:val="-2"/>
                <w:sz w:val="18"/>
              </w:rPr>
              <w:t>Overtime</w:t>
            </w:r>
          </w:p>
        </w:tc>
        <w:tc>
          <w:tcPr>
            <w:tcW w:w="2464" w:type="dxa"/>
            <w:tcBorders>
              <w:top w:val="single" w:sz="4" w:space="0" w:color="000000"/>
              <w:bottom w:val="single" w:sz="4" w:space="0" w:color="000000"/>
            </w:tcBorders>
          </w:tcPr>
          <w:p>
            <w:pPr>
              <w:pStyle w:val="TableParagraph"/>
              <w:spacing w:before="67"/>
              <w:ind w:right="-15"/>
              <w:rPr>
                <w:sz w:val="18"/>
              </w:rPr>
            </w:pPr>
            <w:r>
              <w:rPr>
                <w:spacing w:val="-4"/>
                <w:sz w:val="18"/>
              </w:rPr>
              <w:t>30.0</w:t>
            </w:r>
          </w:p>
        </w:tc>
      </w:tr>
      <w:tr>
        <w:trPr>
          <w:trHeight w:val="325" w:hRule="atLeast"/>
        </w:trPr>
        <w:tc>
          <w:tcPr>
            <w:tcW w:w="4935" w:type="dxa"/>
            <w:tcBorders>
              <w:top w:val="single" w:sz="4" w:space="0" w:color="000000"/>
              <w:bottom w:val="single" w:sz="4" w:space="0" w:color="000000"/>
            </w:tcBorders>
          </w:tcPr>
          <w:p>
            <w:pPr>
              <w:pStyle w:val="TableParagraph"/>
              <w:spacing w:before="62"/>
              <w:ind w:left="14"/>
              <w:jc w:val="left"/>
              <w:rPr>
                <w:sz w:val="18"/>
              </w:rPr>
            </w:pPr>
            <w:r>
              <w:rPr>
                <w:sz w:val="18"/>
              </w:rPr>
              <w:t>Maintenance</w:t>
            </w:r>
            <w:r>
              <w:rPr>
                <w:spacing w:val="-6"/>
                <w:sz w:val="18"/>
              </w:rPr>
              <w:t> </w:t>
            </w:r>
            <w:r>
              <w:rPr>
                <w:sz w:val="18"/>
              </w:rPr>
              <w:t>of</w:t>
            </w:r>
            <w:r>
              <w:rPr>
                <w:spacing w:val="-4"/>
                <w:sz w:val="18"/>
              </w:rPr>
              <w:t> </w:t>
            </w:r>
            <w:r>
              <w:rPr>
                <w:spacing w:val="-2"/>
                <w:sz w:val="18"/>
              </w:rPr>
              <w:t>premises</w:t>
            </w:r>
          </w:p>
        </w:tc>
        <w:tc>
          <w:tcPr>
            <w:tcW w:w="2464" w:type="dxa"/>
            <w:tcBorders>
              <w:top w:val="single" w:sz="4" w:space="0" w:color="000000"/>
              <w:bottom w:val="single" w:sz="4" w:space="0" w:color="000000"/>
            </w:tcBorders>
          </w:tcPr>
          <w:p>
            <w:pPr>
              <w:pStyle w:val="TableParagraph"/>
              <w:spacing w:before="62"/>
              <w:ind w:right="-15"/>
              <w:rPr>
                <w:sz w:val="18"/>
              </w:rPr>
            </w:pPr>
            <w:r>
              <w:rPr>
                <w:spacing w:val="-2"/>
                <w:sz w:val="18"/>
              </w:rPr>
              <w:t>1,035.1</w:t>
            </w:r>
          </w:p>
        </w:tc>
      </w:tr>
      <w:tr>
        <w:trPr>
          <w:trHeight w:val="326" w:hRule="atLeast"/>
        </w:trPr>
        <w:tc>
          <w:tcPr>
            <w:tcW w:w="4935" w:type="dxa"/>
            <w:tcBorders>
              <w:top w:val="single" w:sz="4" w:space="0" w:color="000000"/>
              <w:bottom w:val="single" w:sz="4" w:space="0" w:color="000000"/>
            </w:tcBorders>
          </w:tcPr>
          <w:p>
            <w:pPr>
              <w:pStyle w:val="TableParagraph"/>
              <w:spacing w:before="62"/>
              <w:ind w:left="14"/>
              <w:jc w:val="left"/>
              <w:rPr>
                <w:sz w:val="18"/>
              </w:rPr>
            </w:pPr>
            <w:r>
              <w:rPr>
                <w:spacing w:val="-2"/>
                <w:sz w:val="18"/>
              </w:rPr>
              <w:t>Utilities</w:t>
            </w:r>
          </w:p>
        </w:tc>
        <w:tc>
          <w:tcPr>
            <w:tcW w:w="2464" w:type="dxa"/>
            <w:tcBorders>
              <w:top w:val="single" w:sz="4" w:space="0" w:color="000000"/>
              <w:bottom w:val="single" w:sz="4" w:space="0" w:color="000000"/>
            </w:tcBorders>
          </w:tcPr>
          <w:p>
            <w:pPr>
              <w:pStyle w:val="TableParagraph"/>
              <w:spacing w:before="62"/>
              <w:ind w:right="-15"/>
              <w:rPr>
                <w:sz w:val="18"/>
              </w:rPr>
            </w:pPr>
            <w:r>
              <w:rPr>
                <w:spacing w:val="-2"/>
                <w:sz w:val="18"/>
              </w:rPr>
              <w:t>1,222.6</w:t>
            </w:r>
          </w:p>
        </w:tc>
      </w:tr>
      <w:tr>
        <w:trPr>
          <w:trHeight w:val="326" w:hRule="atLeast"/>
        </w:trPr>
        <w:tc>
          <w:tcPr>
            <w:tcW w:w="4935" w:type="dxa"/>
            <w:tcBorders>
              <w:top w:val="single" w:sz="4" w:space="0" w:color="000000"/>
              <w:bottom w:val="single" w:sz="4" w:space="0" w:color="000000"/>
            </w:tcBorders>
          </w:tcPr>
          <w:p>
            <w:pPr>
              <w:pStyle w:val="TableParagraph"/>
              <w:spacing w:before="62"/>
              <w:ind w:left="14"/>
              <w:jc w:val="left"/>
              <w:rPr>
                <w:sz w:val="18"/>
              </w:rPr>
            </w:pPr>
            <w:r>
              <w:rPr>
                <w:sz w:val="18"/>
              </w:rPr>
              <w:t>Maintenance</w:t>
            </w:r>
            <w:r>
              <w:rPr>
                <w:spacing w:val="-6"/>
                <w:sz w:val="18"/>
              </w:rPr>
              <w:t> </w:t>
            </w:r>
            <w:r>
              <w:rPr>
                <w:sz w:val="18"/>
              </w:rPr>
              <w:t>of</w:t>
            </w:r>
            <w:r>
              <w:rPr>
                <w:spacing w:val="-4"/>
                <w:sz w:val="18"/>
              </w:rPr>
              <w:t> </w:t>
            </w:r>
            <w:r>
              <w:rPr>
                <w:sz w:val="18"/>
              </w:rPr>
              <w:t>furniture</w:t>
            </w:r>
            <w:r>
              <w:rPr>
                <w:spacing w:val="-5"/>
                <w:sz w:val="18"/>
              </w:rPr>
              <w:t> </w:t>
            </w:r>
            <w:r>
              <w:rPr>
                <w:sz w:val="18"/>
              </w:rPr>
              <w:t>and</w:t>
            </w:r>
            <w:r>
              <w:rPr>
                <w:spacing w:val="-5"/>
                <w:sz w:val="18"/>
              </w:rPr>
              <w:t> </w:t>
            </w:r>
            <w:r>
              <w:rPr>
                <w:spacing w:val="-2"/>
                <w:sz w:val="18"/>
              </w:rPr>
              <w:t>equipment</w:t>
            </w:r>
          </w:p>
        </w:tc>
        <w:tc>
          <w:tcPr>
            <w:tcW w:w="2464" w:type="dxa"/>
            <w:tcBorders>
              <w:top w:val="single" w:sz="4" w:space="0" w:color="000000"/>
              <w:bottom w:val="single" w:sz="4" w:space="0" w:color="000000"/>
            </w:tcBorders>
          </w:tcPr>
          <w:p>
            <w:pPr>
              <w:pStyle w:val="TableParagraph"/>
              <w:spacing w:before="62"/>
              <w:ind w:right="-15"/>
              <w:rPr>
                <w:sz w:val="18"/>
              </w:rPr>
            </w:pPr>
            <w:r>
              <w:rPr>
                <w:spacing w:val="-4"/>
                <w:sz w:val="18"/>
              </w:rPr>
              <w:t>38.0</w:t>
            </w:r>
          </w:p>
        </w:tc>
      </w:tr>
      <w:tr>
        <w:trPr>
          <w:trHeight w:val="325" w:hRule="atLeast"/>
        </w:trPr>
        <w:tc>
          <w:tcPr>
            <w:tcW w:w="4935" w:type="dxa"/>
            <w:tcBorders>
              <w:top w:val="single" w:sz="4" w:space="0" w:color="000000"/>
              <w:bottom w:val="single" w:sz="4" w:space="0" w:color="000000"/>
            </w:tcBorders>
          </w:tcPr>
          <w:p>
            <w:pPr>
              <w:pStyle w:val="TableParagraph"/>
              <w:spacing w:before="62"/>
              <w:ind w:left="14"/>
              <w:jc w:val="left"/>
              <w:rPr>
                <w:sz w:val="18"/>
              </w:rPr>
            </w:pPr>
            <w:r>
              <w:rPr>
                <w:sz w:val="18"/>
              </w:rPr>
              <w:t>Supplies</w:t>
            </w:r>
            <w:r>
              <w:rPr>
                <w:spacing w:val="-1"/>
                <w:sz w:val="18"/>
              </w:rPr>
              <w:t> </w:t>
            </w:r>
            <w:r>
              <w:rPr>
                <w:sz w:val="18"/>
              </w:rPr>
              <w:t>and</w:t>
            </w:r>
            <w:r>
              <w:rPr>
                <w:spacing w:val="-7"/>
                <w:sz w:val="18"/>
              </w:rPr>
              <w:t> </w:t>
            </w:r>
            <w:r>
              <w:rPr>
                <w:spacing w:val="-2"/>
                <w:sz w:val="18"/>
              </w:rPr>
              <w:t>materials</w:t>
            </w:r>
          </w:p>
        </w:tc>
        <w:tc>
          <w:tcPr>
            <w:tcW w:w="2464" w:type="dxa"/>
            <w:tcBorders>
              <w:top w:val="single" w:sz="4" w:space="0" w:color="000000"/>
              <w:bottom w:val="single" w:sz="4" w:space="0" w:color="000000"/>
            </w:tcBorders>
          </w:tcPr>
          <w:p>
            <w:pPr>
              <w:pStyle w:val="TableParagraph"/>
              <w:spacing w:before="62"/>
              <w:ind w:right="-15"/>
              <w:rPr>
                <w:sz w:val="18"/>
              </w:rPr>
            </w:pPr>
            <w:r>
              <w:rPr>
                <w:spacing w:val="-4"/>
                <w:sz w:val="18"/>
              </w:rPr>
              <w:t>29.0</w:t>
            </w:r>
          </w:p>
        </w:tc>
      </w:tr>
      <w:tr>
        <w:trPr>
          <w:trHeight w:val="330" w:hRule="atLeast"/>
        </w:trPr>
        <w:tc>
          <w:tcPr>
            <w:tcW w:w="4935" w:type="dxa"/>
            <w:tcBorders>
              <w:top w:val="single" w:sz="4" w:space="0" w:color="000000"/>
              <w:bottom w:val="single" w:sz="4" w:space="0" w:color="000000"/>
            </w:tcBorders>
          </w:tcPr>
          <w:p>
            <w:pPr>
              <w:pStyle w:val="TableParagraph"/>
              <w:spacing w:before="67"/>
              <w:ind w:left="14"/>
              <w:jc w:val="left"/>
              <w:rPr>
                <w:sz w:val="18"/>
              </w:rPr>
            </w:pPr>
            <w:r>
              <w:rPr>
                <w:spacing w:val="-2"/>
                <w:sz w:val="18"/>
              </w:rPr>
              <w:t>Furniture</w:t>
            </w:r>
          </w:p>
        </w:tc>
        <w:tc>
          <w:tcPr>
            <w:tcW w:w="2464" w:type="dxa"/>
            <w:tcBorders>
              <w:top w:val="single" w:sz="4" w:space="0" w:color="000000"/>
              <w:bottom w:val="single" w:sz="4" w:space="0" w:color="000000"/>
            </w:tcBorders>
          </w:tcPr>
          <w:p>
            <w:pPr>
              <w:pStyle w:val="TableParagraph"/>
              <w:spacing w:before="67"/>
              <w:ind w:right="-15"/>
              <w:rPr>
                <w:sz w:val="18"/>
              </w:rPr>
            </w:pPr>
            <w:r>
              <w:rPr>
                <w:spacing w:val="-4"/>
                <w:sz w:val="18"/>
              </w:rPr>
              <w:t>60.0</w:t>
            </w:r>
          </w:p>
        </w:tc>
      </w:tr>
      <w:tr>
        <w:trPr>
          <w:trHeight w:val="325" w:hRule="atLeast"/>
        </w:trPr>
        <w:tc>
          <w:tcPr>
            <w:tcW w:w="4935" w:type="dxa"/>
            <w:tcBorders>
              <w:top w:val="single" w:sz="4" w:space="0" w:color="000000"/>
              <w:bottom w:val="single" w:sz="4" w:space="0" w:color="000000"/>
            </w:tcBorders>
          </w:tcPr>
          <w:p>
            <w:pPr>
              <w:pStyle w:val="TableParagraph"/>
              <w:spacing w:before="62"/>
              <w:ind w:left="14"/>
              <w:jc w:val="left"/>
              <w:rPr>
                <w:i/>
                <w:sz w:val="18"/>
              </w:rPr>
            </w:pPr>
            <w:r>
              <w:rPr>
                <w:i/>
                <w:sz w:val="18"/>
              </w:rPr>
              <w:t>Subtotal</w:t>
            </w:r>
            <w:r>
              <w:rPr>
                <w:i/>
                <w:spacing w:val="-3"/>
                <w:sz w:val="18"/>
              </w:rPr>
              <w:t> </w:t>
            </w:r>
            <w:r>
              <w:rPr>
                <w:i/>
                <w:sz w:val="18"/>
              </w:rPr>
              <w:t>General</w:t>
            </w:r>
            <w:r>
              <w:rPr>
                <w:i/>
                <w:spacing w:val="-3"/>
                <w:sz w:val="18"/>
              </w:rPr>
              <w:t> </w:t>
            </w:r>
            <w:r>
              <w:rPr>
                <w:i/>
                <w:sz w:val="18"/>
              </w:rPr>
              <w:t>Services</w:t>
            </w:r>
            <w:r>
              <w:rPr>
                <w:i/>
                <w:spacing w:val="-5"/>
                <w:sz w:val="18"/>
              </w:rPr>
              <w:t> </w:t>
            </w:r>
            <w:r>
              <w:rPr>
                <w:i/>
                <w:spacing w:val="-2"/>
                <w:sz w:val="18"/>
              </w:rPr>
              <w:t>Section</w:t>
            </w:r>
          </w:p>
        </w:tc>
        <w:tc>
          <w:tcPr>
            <w:tcW w:w="2464" w:type="dxa"/>
            <w:tcBorders>
              <w:top w:val="single" w:sz="4" w:space="0" w:color="000000"/>
              <w:bottom w:val="single" w:sz="4" w:space="0" w:color="000000"/>
            </w:tcBorders>
          </w:tcPr>
          <w:p>
            <w:pPr>
              <w:pStyle w:val="TableParagraph"/>
              <w:spacing w:before="62"/>
              <w:ind w:right="-15"/>
              <w:rPr>
                <w:i/>
                <w:sz w:val="18"/>
              </w:rPr>
            </w:pPr>
            <w:r>
              <w:rPr>
                <w:i/>
                <w:spacing w:val="-2"/>
                <w:sz w:val="18"/>
              </w:rPr>
              <w:t>2,414.7</w:t>
            </w:r>
          </w:p>
        </w:tc>
      </w:tr>
      <w:tr>
        <w:trPr>
          <w:trHeight w:val="326" w:hRule="atLeast"/>
        </w:trPr>
        <w:tc>
          <w:tcPr>
            <w:tcW w:w="4935" w:type="dxa"/>
            <w:tcBorders>
              <w:top w:val="single" w:sz="4" w:space="0" w:color="000000"/>
              <w:bottom w:val="single" w:sz="4" w:space="0" w:color="000000"/>
            </w:tcBorders>
          </w:tcPr>
          <w:p>
            <w:pPr>
              <w:pStyle w:val="TableParagraph"/>
              <w:spacing w:before="62"/>
              <w:ind w:left="14"/>
              <w:jc w:val="left"/>
              <w:rPr>
                <w:b/>
                <w:sz w:val="18"/>
              </w:rPr>
            </w:pPr>
            <w:r>
              <w:rPr>
                <w:b/>
                <w:sz w:val="18"/>
              </w:rPr>
              <w:t>Major</w:t>
            </w:r>
            <w:r>
              <w:rPr>
                <w:b/>
                <w:spacing w:val="-3"/>
                <w:sz w:val="18"/>
              </w:rPr>
              <w:t> </w:t>
            </w:r>
            <w:r>
              <w:rPr>
                <w:b/>
                <w:sz w:val="18"/>
              </w:rPr>
              <w:t>Programme</w:t>
            </w:r>
            <w:r>
              <w:rPr>
                <w:b/>
                <w:spacing w:val="-3"/>
                <w:sz w:val="18"/>
              </w:rPr>
              <w:t> </w:t>
            </w:r>
            <w:r>
              <w:rPr>
                <w:b/>
                <w:sz w:val="18"/>
              </w:rPr>
              <w:t>V</w:t>
            </w:r>
            <w:r>
              <w:rPr>
                <w:b/>
                <w:spacing w:val="-3"/>
                <w:sz w:val="18"/>
              </w:rPr>
              <w:t> </w:t>
            </w:r>
            <w:r>
              <w:rPr>
                <w:b/>
                <w:sz w:val="18"/>
              </w:rPr>
              <w:t>–</w:t>
            </w:r>
            <w:r>
              <w:rPr>
                <w:b/>
                <w:spacing w:val="2"/>
                <w:sz w:val="18"/>
              </w:rPr>
              <w:t> </w:t>
            </w:r>
            <w:r>
              <w:rPr>
                <w:b/>
                <w:spacing w:val="-2"/>
                <w:sz w:val="18"/>
              </w:rPr>
              <w:t>Premises</w:t>
            </w:r>
          </w:p>
        </w:tc>
        <w:tc>
          <w:tcPr>
            <w:tcW w:w="2464" w:type="dxa"/>
            <w:tcBorders>
              <w:top w:val="single" w:sz="4" w:space="0" w:color="000000"/>
              <w:bottom w:val="single" w:sz="4" w:space="0" w:color="000000"/>
            </w:tcBorders>
          </w:tcPr>
          <w:p>
            <w:pPr>
              <w:pStyle w:val="TableParagraph"/>
              <w:jc w:val="left"/>
              <w:rPr>
                <w:sz w:val="20"/>
              </w:rPr>
            </w:pPr>
          </w:p>
        </w:tc>
      </w:tr>
      <w:tr>
        <w:trPr>
          <w:trHeight w:val="326" w:hRule="atLeast"/>
        </w:trPr>
        <w:tc>
          <w:tcPr>
            <w:tcW w:w="4935" w:type="dxa"/>
            <w:tcBorders>
              <w:top w:val="single" w:sz="4" w:space="0" w:color="000000"/>
              <w:bottom w:val="single" w:sz="4" w:space="0" w:color="000000"/>
            </w:tcBorders>
          </w:tcPr>
          <w:p>
            <w:pPr>
              <w:pStyle w:val="TableParagraph"/>
              <w:spacing w:before="62"/>
              <w:ind w:left="14"/>
              <w:jc w:val="left"/>
              <w:rPr>
                <w:sz w:val="18"/>
              </w:rPr>
            </w:pPr>
            <w:r>
              <w:rPr>
                <w:sz w:val="18"/>
              </w:rPr>
              <w:t>Capital</w:t>
            </w:r>
            <w:r>
              <w:rPr>
                <w:spacing w:val="-4"/>
                <w:sz w:val="18"/>
              </w:rPr>
              <w:t> </w:t>
            </w:r>
            <w:r>
              <w:rPr>
                <w:spacing w:val="-2"/>
                <w:sz w:val="18"/>
              </w:rPr>
              <w:t>replacements</w:t>
            </w:r>
          </w:p>
        </w:tc>
        <w:tc>
          <w:tcPr>
            <w:tcW w:w="2464" w:type="dxa"/>
            <w:tcBorders>
              <w:top w:val="single" w:sz="4" w:space="0" w:color="000000"/>
              <w:bottom w:val="single" w:sz="4" w:space="0" w:color="000000"/>
            </w:tcBorders>
          </w:tcPr>
          <w:p>
            <w:pPr>
              <w:pStyle w:val="TableParagraph"/>
              <w:spacing w:before="62"/>
              <w:ind w:right="-15"/>
              <w:rPr>
                <w:sz w:val="18"/>
              </w:rPr>
            </w:pPr>
            <w:r>
              <w:rPr>
                <w:spacing w:val="-2"/>
                <w:sz w:val="18"/>
              </w:rPr>
              <w:t>364.8</w:t>
            </w:r>
          </w:p>
        </w:tc>
      </w:tr>
      <w:tr>
        <w:trPr>
          <w:trHeight w:val="330" w:hRule="atLeast"/>
        </w:trPr>
        <w:tc>
          <w:tcPr>
            <w:tcW w:w="4935" w:type="dxa"/>
            <w:tcBorders>
              <w:top w:val="single" w:sz="4" w:space="0" w:color="000000"/>
              <w:bottom w:val="single" w:sz="4" w:space="0" w:color="000000"/>
            </w:tcBorders>
          </w:tcPr>
          <w:p>
            <w:pPr>
              <w:pStyle w:val="TableParagraph"/>
              <w:spacing w:before="62"/>
              <w:ind w:left="14"/>
              <w:jc w:val="left"/>
              <w:rPr>
                <w:sz w:val="18"/>
              </w:rPr>
            </w:pPr>
            <w:r>
              <w:rPr>
                <w:sz w:val="18"/>
              </w:rPr>
              <w:t>Preventive</w:t>
            </w:r>
            <w:r>
              <w:rPr>
                <w:spacing w:val="-6"/>
                <w:sz w:val="18"/>
              </w:rPr>
              <w:t> </w:t>
            </w:r>
            <w:r>
              <w:rPr>
                <w:sz w:val="18"/>
              </w:rPr>
              <w:t>and</w:t>
            </w:r>
            <w:r>
              <w:rPr>
                <w:spacing w:val="-5"/>
                <w:sz w:val="18"/>
              </w:rPr>
              <w:t> </w:t>
            </w:r>
            <w:r>
              <w:rPr>
                <w:sz w:val="18"/>
              </w:rPr>
              <w:t>corrective</w:t>
            </w:r>
            <w:r>
              <w:rPr>
                <w:spacing w:val="-5"/>
                <w:sz w:val="18"/>
              </w:rPr>
              <w:t> </w:t>
            </w:r>
            <w:r>
              <w:rPr>
                <w:spacing w:val="-2"/>
                <w:sz w:val="18"/>
              </w:rPr>
              <w:t>maintenance</w:t>
            </w:r>
          </w:p>
        </w:tc>
        <w:tc>
          <w:tcPr>
            <w:tcW w:w="2464" w:type="dxa"/>
            <w:tcBorders>
              <w:top w:val="single" w:sz="4" w:space="0" w:color="000000"/>
              <w:bottom w:val="single" w:sz="4" w:space="0" w:color="000000"/>
            </w:tcBorders>
          </w:tcPr>
          <w:p>
            <w:pPr>
              <w:pStyle w:val="TableParagraph"/>
              <w:spacing w:before="62"/>
              <w:ind w:right="-15"/>
              <w:rPr>
                <w:sz w:val="18"/>
              </w:rPr>
            </w:pPr>
            <w:r>
              <w:rPr>
                <w:spacing w:val="-2"/>
                <w:sz w:val="18"/>
              </w:rPr>
              <w:t>2,132.2</w:t>
            </w:r>
          </w:p>
        </w:tc>
      </w:tr>
      <w:tr>
        <w:trPr>
          <w:trHeight w:val="326" w:hRule="atLeast"/>
        </w:trPr>
        <w:tc>
          <w:tcPr>
            <w:tcW w:w="4935" w:type="dxa"/>
            <w:tcBorders>
              <w:top w:val="single" w:sz="4" w:space="0" w:color="000000"/>
              <w:bottom w:val="single" w:sz="4" w:space="0" w:color="000000"/>
            </w:tcBorders>
          </w:tcPr>
          <w:p>
            <w:pPr>
              <w:pStyle w:val="TableParagraph"/>
              <w:spacing w:before="62"/>
              <w:ind w:left="14"/>
              <w:jc w:val="left"/>
              <w:rPr>
                <w:sz w:val="18"/>
              </w:rPr>
            </w:pPr>
            <w:r>
              <w:rPr>
                <w:sz w:val="18"/>
              </w:rPr>
              <w:t>Building</w:t>
            </w:r>
            <w:r>
              <w:rPr>
                <w:spacing w:val="-7"/>
                <w:sz w:val="18"/>
              </w:rPr>
              <w:t> </w:t>
            </w:r>
            <w:r>
              <w:rPr>
                <w:sz w:val="18"/>
              </w:rPr>
              <w:t>assessment</w:t>
            </w:r>
            <w:r>
              <w:rPr>
                <w:spacing w:val="-5"/>
                <w:sz w:val="18"/>
              </w:rPr>
              <w:t> </w:t>
            </w:r>
            <w:r>
              <w:rPr>
                <w:spacing w:val="-2"/>
                <w:sz w:val="18"/>
              </w:rPr>
              <w:t>(consultancy)</w:t>
            </w:r>
          </w:p>
        </w:tc>
        <w:tc>
          <w:tcPr>
            <w:tcW w:w="2464" w:type="dxa"/>
            <w:tcBorders>
              <w:top w:val="single" w:sz="4" w:space="0" w:color="000000"/>
              <w:bottom w:val="single" w:sz="4" w:space="0" w:color="000000"/>
            </w:tcBorders>
          </w:tcPr>
          <w:p>
            <w:pPr>
              <w:pStyle w:val="TableParagraph"/>
              <w:spacing w:before="62"/>
              <w:ind w:right="-15"/>
              <w:rPr>
                <w:sz w:val="18"/>
              </w:rPr>
            </w:pPr>
            <w:r>
              <w:rPr>
                <w:spacing w:val="-4"/>
                <w:sz w:val="18"/>
              </w:rPr>
              <w:t>40.0</w:t>
            </w:r>
          </w:p>
        </w:tc>
      </w:tr>
      <w:tr>
        <w:trPr>
          <w:trHeight w:val="326" w:hRule="atLeast"/>
        </w:trPr>
        <w:tc>
          <w:tcPr>
            <w:tcW w:w="4935" w:type="dxa"/>
            <w:tcBorders>
              <w:top w:val="single" w:sz="4" w:space="0" w:color="000000"/>
              <w:bottom w:val="single" w:sz="4" w:space="0" w:color="000000"/>
            </w:tcBorders>
          </w:tcPr>
          <w:p>
            <w:pPr>
              <w:pStyle w:val="TableParagraph"/>
              <w:spacing w:before="62"/>
              <w:ind w:left="14"/>
              <w:jc w:val="left"/>
              <w:rPr>
                <w:i/>
                <w:sz w:val="18"/>
              </w:rPr>
            </w:pPr>
            <w:r>
              <w:rPr>
                <w:i/>
                <w:sz w:val="18"/>
              </w:rPr>
              <w:t>Subtotal</w:t>
            </w:r>
            <w:r>
              <w:rPr>
                <w:i/>
                <w:spacing w:val="-1"/>
                <w:sz w:val="18"/>
              </w:rPr>
              <w:t> </w:t>
            </w:r>
            <w:r>
              <w:rPr>
                <w:i/>
                <w:sz w:val="18"/>
              </w:rPr>
              <w:t>Major</w:t>
            </w:r>
            <w:r>
              <w:rPr>
                <w:i/>
                <w:spacing w:val="-2"/>
                <w:sz w:val="18"/>
              </w:rPr>
              <w:t> </w:t>
            </w:r>
            <w:r>
              <w:rPr>
                <w:i/>
                <w:sz w:val="18"/>
              </w:rPr>
              <w:t>Programme</w:t>
            </w:r>
            <w:r>
              <w:rPr>
                <w:i/>
                <w:spacing w:val="-2"/>
                <w:sz w:val="18"/>
              </w:rPr>
              <w:t> </w:t>
            </w:r>
            <w:r>
              <w:rPr>
                <w:i/>
                <w:sz w:val="18"/>
              </w:rPr>
              <w:t>V</w:t>
            </w:r>
            <w:r>
              <w:rPr>
                <w:i/>
                <w:spacing w:val="-3"/>
                <w:sz w:val="18"/>
              </w:rPr>
              <w:t> </w:t>
            </w:r>
            <w:r>
              <w:rPr>
                <w:i/>
                <w:sz w:val="18"/>
              </w:rPr>
              <w:t>–</w:t>
            </w:r>
            <w:r>
              <w:rPr>
                <w:i/>
                <w:spacing w:val="-3"/>
                <w:sz w:val="18"/>
              </w:rPr>
              <w:t> </w:t>
            </w:r>
            <w:r>
              <w:rPr>
                <w:i/>
                <w:spacing w:val="-2"/>
                <w:sz w:val="18"/>
              </w:rPr>
              <w:t>Premises</w:t>
            </w:r>
          </w:p>
        </w:tc>
        <w:tc>
          <w:tcPr>
            <w:tcW w:w="2464" w:type="dxa"/>
            <w:tcBorders>
              <w:top w:val="single" w:sz="4" w:space="0" w:color="000000"/>
              <w:bottom w:val="single" w:sz="4" w:space="0" w:color="000000"/>
            </w:tcBorders>
          </w:tcPr>
          <w:p>
            <w:pPr>
              <w:pStyle w:val="TableParagraph"/>
              <w:spacing w:before="62"/>
              <w:ind w:right="-15"/>
              <w:rPr>
                <w:i/>
                <w:sz w:val="18"/>
              </w:rPr>
            </w:pPr>
            <w:r>
              <w:rPr>
                <w:i/>
                <w:spacing w:val="-2"/>
                <w:sz w:val="18"/>
              </w:rPr>
              <w:t>2,537.0</w:t>
            </w:r>
          </w:p>
        </w:tc>
      </w:tr>
      <w:tr>
        <w:trPr>
          <w:trHeight w:val="325" w:hRule="atLeast"/>
        </w:trPr>
        <w:tc>
          <w:tcPr>
            <w:tcW w:w="4935" w:type="dxa"/>
            <w:tcBorders>
              <w:top w:val="single" w:sz="4" w:space="0" w:color="000000"/>
              <w:bottom w:val="single" w:sz="4" w:space="0" w:color="000000"/>
            </w:tcBorders>
          </w:tcPr>
          <w:p>
            <w:pPr>
              <w:pStyle w:val="TableParagraph"/>
              <w:spacing w:before="62"/>
              <w:ind w:left="14"/>
              <w:jc w:val="left"/>
              <w:rPr>
                <w:b/>
                <w:sz w:val="18"/>
              </w:rPr>
            </w:pPr>
            <w:r>
              <w:rPr>
                <w:b/>
                <w:spacing w:val="-2"/>
                <w:sz w:val="18"/>
              </w:rPr>
              <w:t>Total</w:t>
            </w:r>
          </w:p>
        </w:tc>
        <w:tc>
          <w:tcPr>
            <w:tcW w:w="2464" w:type="dxa"/>
            <w:tcBorders>
              <w:top w:val="single" w:sz="4" w:space="0" w:color="000000"/>
              <w:bottom w:val="single" w:sz="4" w:space="0" w:color="000000"/>
            </w:tcBorders>
          </w:tcPr>
          <w:p>
            <w:pPr>
              <w:pStyle w:val="TableParagraph"/>
              <w:spacing w:before="62"/>
              <w:ind w:right="-15"/>
              <w:rPr>
                <w:b/>
                <w:sz w:val="18"/>
              </w:rPr>
            </w:pPr>
            <w:r>
              <w:rPr>
                <w:b/>
                <w:spacing w:val="-2"/>
                <w:sz w:val="18"/>
              </w:rPr>
              <w:t>4,951.7</w:t>
            </w:r>
          </w:p>
        </w:tc>
      </w:tr>
    </w:tbl>
    <w:p>
      <w:pPr>
        <w:spacing w:after="0"/>
        <w:rPr>
          <w:sz w:val="18"/>
        </w:rPr>
        <w:sectPr>
          <w:pgSz w:w="11910" w:h="16840"/>
          <w:pgMar w:header="957" w:footer="940" w:top="1140" w:bottom="1140" w:left="20" w:right="20"/>
        </w:sectPr>
      </w:pPr>
    </w:p>
    <w:p>
      <w:pPr>
        <w:pStyle w:val="Heading1"/>
        <w:spacing w:before="126"/>
      </w:pPr>
      <w:r>
        <w:rPr/>
        <w:t>Annex</w:t>
      </w:r>
      <w:r>
        <w:rPr>
          <w:spacing w:val="-9"/>
        </w:rPr>
        <w:t> </w:t>
      </w:r>
      <w:r>
        <w:rPr>
          <w:spacing w:val="-5"/>
        </w:rPr>
        <w:t>XVI</w:t>
      </w:r>
    </w:p>
    <w:p>
      <w:pPr>
        <w:spacing w:line="256" w:lineRule="auto" w:before="240"/>
        <w:ind w:left="2967" w:right="2195" w:firstLine="0"/>
        <w:jc w:val="left"/>
        <w:rPr>
          <w:b/>
          <w:sz w:val="28"/>
        </w:rPr>
      </w:pPr>
      <w:bookmarkStart w:name="_bookmark92" w:id="93"/>
      <w:bookmarkEnd w:id="93"/>
      <w:r>
        <w:rPr/>
      </w:r>
      <w:r>
        <w:rPr>
          <w:b/>
          <w:sz w:val="28"/>
        </w:rPr>
        <w:t>Savings and efficiencies achieved in 2022 and estimates for 2023</w:t>
      </w:r>
    </w:p>
    <w:p>
      <w:pPr>
        <w:pStyle w:val="BodyText"/>
        <w:spacing w:before="246"/>
        <w:ind w:left="2246" w:right="2245"/>
        <w:jc w:val="both"/>
        <w:rPr>
          <w:sz w:val="22"/>
        </w:rPr>
      </w:pPr>
      <w:r>
        <w:rPr/>
        <w:t>In accordance with the requests made by the Assembly and the Committee, this annex provides</w:t>
      </w:r>
      <w:r>
        <w:rPr>
          <w:spacing w:val="-13"/>
        </w:rPr>
        <w:t> </w:t>
      </w:r>
      <w:r>
        <w:rPr/>
        <w:t>detailed</w:t>
      </w:r>
      <w:r>
        <w:rPr>
          <w:spacing w:val="-12"/>
        </w:rPr>
        <w:t> </w:t>
      </w:r>
      <w:r>
        <w:rPr/>
        <w:t>information</w:t>
      </w:r>
      <w:r>
        <w:rPr>
          <w:spacing w:val="-13"/>
        </w:rPr>
        <w:t> </w:t>
      </w:r>
      <w:r>
        <w:rPr/>
        <w:t>on</w:t>
      </w:r>
      <w:r>
        <w:rPr>
          <w:spacing w:val="-12"/>
        </w:rPr>
        <w:t> </w:t>
      </w:r>
      <w:r>
        <w:rPr/>
        <w:t>savings,</w:t>
      </w:r>
      <w:r>
        <w:rPr>
          <w:spacing w:val="-13"/>
        </w:rPr>
        <w:t> </w:t>
      </w:r>
      <w:r>
        <w:rPr/>
        <w:t>efficiencies,</w:t>
      </w:r>
      <w:r>
        <w:rPr>
          <w:spacing w:val="-12"/>
        </w:rPr>
        <w:t> </w:t>
      </w:r>
      <w:r>
        <w:rPr/>
        <w:t>non-recurrent</w:t>
      </w:r>
      <w:r>
        <w:rPr>
          <w:spacing w:val="-13"/>
        </w:rPr>
        <w:t> </w:t>
      </w:r>
      <w:r>
        <w:rPr/>
        <w:t>costs</w:t>
      </w:r>
      <w:r>
        <w:rPr>
          <w:spacing w:val="-12"/>
        </w:rPr>
        <w:t> </w:t>
      </w:r>
      <w:r>
        <w:rPr/>
        <w:t>and</w:t>
      </w:r>
      <w:r>
        <w:rPr>
          <w:spacing w:val="-13"/>
        </w:rPr>
        <w:t> </w:t>
      </w:r>
      <w:r>
        <w:rPr/>
        <w:t>additional</w:t>
      </w:r>
      <w:r>
        <w:rPr>
          <w:spacing w:val="-12"/>
        </w:rPr>
        <w:t> </w:t>
      </w:r>
      <w:r>
        <w:rPr/>
        <w:t>cost reductions. For the background on this initiative, please refer to the relevant sections of the requests on savings and efficiencies</w:t>
      </w:r>
      <w:r>
        <w:rPr>
          <w:rFonts w:ascii="Calibri"/>
          <w:sz w:val="22"/>
        </w:rPr>
        <w:t>.</w:t>
      </w:r>
      <w:r>
        <w:rPr>
          <w:sz w:val="22"/>
          <w:vertAlign w:val="superscript"/>
        </w:rPr>
        <w:t>158</w:t>
      </w:r>
    </w:p>
    <w:p>
      <w:pPr>
        <w:pStyle w:val="BodyText"/>
        <w:rPr>
          <w:sz w:val="21"/>
        </w:rPr>
      </w:pPr>
    </w:p>
    <w:p>
      <w:pPr>
        <w:pStyle w:val="Heading2"/>
        <w:numPr>
          <w:ilvl w:val="1"/>
          <w:numId w:val="130"/>
        </w:numPr>
        <w:tabs>
          <w:tab w:pos="2967" w:val="left" w:leader="none"/>
        </w:tabs>
        <w:spacing w:line="240" w:lineRule="auto" w:before="1" w:after="0"/>
        <w:ind w:left="2967" w:right="0" w:hanging="361"/>
        <w:jc w:val="left"/>
      </w:pPr>
      <w:r>
        <w:rPr>
          <w:spacing w:val="-2"/>
        </w:rPr>
        <w:t>Savings</w:t>
      </w:r>
    </w:p>
    <w:p>
      <w:pPr>
        <w:pStyle w:val="BodyText"/>
        <w:spacing w:before="7"/>
        <w:rPr>
          <w:b/>
          <w:sz w:val="22"/>
        </w:rPr>
      </w:pPr>
    </w:p>
    <w:tbl>
      <w:tblPr>
        <w:tblW w:w="0" w:type="auto"/>
        <w:jc w:val="left"/>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45"/>
        <w:gridCol w:w="4173"/>
        <w:gridCol w:w="1129"/>
        <w:gridCol w:w="1297"/>
      </w:tblGrid>
      <w:tr>
        <w:trPr>
          <w:trHeight w:val="1103" w:hRule="atLeast"/>
        </w:trPr>
        <w:tc>
          <w:tcPr>
            <w:tcW w:w="3045" w:type="dxa"/>
            <w:tcBorders>
              <w:left w:val="nil"/>
              <w:right w:val="nil"/>
            </w:tcBorders>
          </w:tcPr>
          <w:p>
            <w:pPr>
              <w:pStyle w:val="TableParagraph"/>
              <w:jc w:val="left"/>
              <w:rPr>
                <w:b/>
                <w:sz w:val="18"/>
              </w:rPr>
            </w:pPr>
          </w:p>
          <w:p>
            <w:pPr>
              <w:pStyle w:val="TableParagraph"/>
              <w:jc w:val="left"/>
              <w:rPr>
                <w:b/>
                <w:sz w:val="22"/>
              </w:rPr>
            </w:pPr>
          </w:p>
          <w:p>
            <w:pPr>
              <w:pStyle w:val="TableParagraph"/>
              <w:ind w:left="1147" w:right="1132"/>
              <w:jc w:val="center"/>
              <w:rPr>
                <w:sz w:val="16"/>
              </w:rPr>
            </w:pPr>
            <w:r>
              <w:rPr>
                <w:spacing w:val="-2"/>
                <w:sz w:val="16"/>
              </w:rPr>
              <w:t>Description</w:t>
            </w:r>
          </w:p>
        </w:tc>
        <w:tc>
          <w:tcPr>
            <w:tcW w:w="4173" w:type="dxa"/>
            <w:tcBorders>
              <w:left w:val="nil"/>
              <w:right w:val="nil"/>
            </w:tcBorders>
          </w:tcPr>
          <w:p>
            <w:pPr>
              <w:pStyle w:val="TableParagraph"/>
              <w:jc w:val="left"/>
              <w:rPr>
                <w:b/>
                <w:sz w:val="18"/>
              </w:rPr>
            </w:pPr>
          </w:p>
          <w:p>
            <w:pPr>
              <w:pStyle w:val="TableParagraph"/>
              <w:jc w:val="left"/>
              <w:rPr>
                <w:b/>
                <w:sz w:val="22"/>
              </w:rPr>
            </w:pPr>
          </w:p>
          <w:p>
            <w:pPr>
              <w:pStyle w:val="TableParagraph"/>
              <w:ind w:left="1166"/>
              <w:jc w:val="left"/>
              <w:rPr>
                <w:sz w:val="16"/>
              </w:rPr>
            </w:pPr>
            <w:r>
              <w:rPr>
                <w:sz w:val="16"/>
              </w:rPr>
              <w:t>Achieved</w:t>
            </w:r>
            <w:r>
              <w:rPr>
                <w:spacing w:val="-4"/>
                <w:sz w:val="16"/>
              </w:rPr>
              <w:t> </w:t>
            </w:r>
            <w:r>
              <w:rPr>
                <w:sz w:val="16"/>
              </w:rPr>
              <w:t>output</w:t>
            </w:r>
            <w:r>
              <w:rPr>
                <w:spacing w:val="-6"/>
                <w:sz w:val="16"/>
              </w:rPr>
              <w:t> </w:t>
            </w:r>
            <w:r>
              <w:rPr>
                <w:sz w:val="16"/>
              </w:rPr>
              <w:t>(2023</w:t>
            </w:r>
            <w:r>
              <w:rPr>
                <w:spacing w:val="-3"/>
                <w:sz w:val="16"/>
              </w:rPr>
              <w:t> </w:t>
            </w:r>
            <w:r>
              <w:rPr>
                <w:spacing w:val="-4"/>
                <w:sz w:val="16"/>
              </w:rPr>
              <w:t>PPB)</w:t>
            </w:r>
          </w:p>
        </w:tc>
        <w:tc>
          <w:tcPr>
            <w:tcW w:w="1129" w:type="dxa"/>
            <w:tcBorders>
              <w:left w:val="nil"/>
              <w:right w:val="nil"/>
            </w:tcBorders>
          </w:tcPr>
          <w:p>
            <w:pPr>
              <w:pStyle w:val="TableParagraph"/>
              <w:ind w:left="133" w:right="125" w:hanging="6"/>
              <w:jc w:val="center"/>
              <w:rPr>
                <w:i/>
                <w:sz w:val="16"/>
              </w:rPr>
            </w:pPr>
            <w:r>
              <w:rPr>
                <w:i/>
                <w:sz w:val="16"/>
              </w:rPr>
              <w:t>2022</w:t>
            </w:r>
            <w:r>
              <w:rPr>
                <w:i/>
                <w:spacing w:val="-1"/>
                <w:sz w:val="16"/>
              </w:rPr>
              <w:t> </w:t>
            </w:r>
            <w:r>
              <w:rPr>
                <w:i/>
                <w:sz w:val="16"/>
              </w:rPr>
              <w:t>Costs</w:t>
            </w:r>
            <w:r>
              <w:rPr>
                <w:i/>
                <w:spacing w:val="40"/>
                <w:sz w:val="16"/>
              </w:rPr>
              <w:t> </w:t>
            </w:r>
            <w:r>
              <w:rPr>
                <w:i/>
                <w:spacing w:val="-2"/>
                <w:sz w:val="16"/>
              </w:rPr>
              <w:t>avoided</w:t>
            </w:r>
            <w:r>
              <w:rPr>
                <w:i/>
                <w:spacing w:val="40"/>
                <w:sz w:val="16"/>
              </w:rPr>
              <w:t> </w:t>
            </w:r>
            <w:r>
              <w:rPr>
                <w:i/>
                <w:spacing w:val="-2"/>
                <w:sz w:val="16"/>
              </w:rPr>
              <w:t>(baseline</w:t>
            </w:r>
            <w:r>
              <w:rPr>
                <w:i/>
                <w:spacing w:val="40"/>
                <w:sz w:val="16"/>
              </w:rPr>
              <w:t> </w:t>
            </w:r>
            <w:r>
              <w:rPr>
                <w:i/>
                <w:spacing w:val="-2"/>
                <w:sz w:val="16"/>
              </w:rPr>
              <w:t>maintained)</w:t>
            </w:r>
            <w:r>
              <w:rPr>
                <w:i/>
                <w:spacing w:val="40"/>
                <w:sz w:val="16"/>
              </w:rPr>
              <w:t> </w:t>
            </w:r>
            <w:r>
              <w:rPr>
                <w:i/>
                <w:w w:val="95"/>
                <w:sz w:val="16"/>
              </w:rPr>
              <w:t>(thousands</w:t>
            </w:r>
            <w:r>
              <w:rPr>
                <w:i/>
                <w:spacing w:val="30"/>
                <w:sz w:val="16"/>
              </w:rPr>
              <w:t> </w:t>
            </w:r>
            <w:r>
              <w:rPr>
                <w:i/>
                <w:spacing w:val="-5"/>
                <w:sz w:val="16"/>
              </w:rPr>
              <w:t>of</w:t>
            </w:r>
          </w:p>
          <w:p>
            <w:pPr>
              <w:pStyle w:val="TableParagraph"/>
              <w:spacing w:line="163" w:lineRule="exact" w:before="1"/>
              <w:ind w:left="351" w:right="340"/>
              <w:jc w:val="center"/>
              <w:rPr>
                <w:i/>
                <w:sz w:val="16"/>
              </w:rPr>
            </w:pPr>
            <w:r>
              <w:rPr>
                <w:i/>
                <w:spacing w:val="-2"/>
                <w:sz w:val="16"/>
              </w:rPr>
              <w:t>euros)</w:t>
            </w:r>
          </w:p>
        </w:tc>
        <w:tc>
          <w:tcPr>
            <w:tcW w:w="1297" w:type="dxa"/>
            <w:tcBorders>
              <w:left w:val="nil"/>
              <w:right w:val="nil"/>
            </w:tcBorders>
          </w:tcPr>
          <w:p>
            <w:pPr>
              <w:pStyle w:val="TableParagraph"/>
              <w:spacing w:before="9"/>
              <w:jc w:val="left"/>
              <w:rPr>
                <w:b/>
                <w:sz w:val="15"/>
              </w:rPr>
            </w:pPr>
          </w:p>
          <w:p>
            <w:pPr>
              <w:pStyle w:val="TableParagraph"/>
              <w:ind w:left="142" w:right="143"/>
              <w:jc w:val="center"/>
              <w:rPr>
                <w:i/>
                <w:sz w:val="16"/>
              </w:rPr>
            </w:pPr>
            <w:r>
              <w:rPr>
                <w:i/>
                <w:sz w:val="16"/>
              </w:rPr>
              <w:t>2023</w:t>
            </w:r>
            <w:r>
              <w:rPr>
                <w:i/>
                <w:spacing w:val="-10"/>
                <w:sz w:val="16"/>
              </w:rPr>
              <w:t> </w:t>
            </w:r>
            <w:r>
              <w:rPr>
                <w:i/>
                <w:sz w:val="16"/>
              </w:rPr>
              <w:t>Reduction</w:t>
            </w:r>
            <w:r>
              <w:rPr>
                <w:i/>
                <w:spacing w:val="40"/>
                <w:sz w:val="16"/>
              </w:rPr>
              <w:t> </w:t>
            </w:r>
            <w:r>
              <w:rPr>
                <w:i/>
                <w:sz w:val="16"/>
              </w:rPr>
              <w:t>in</w:t>
            </w:r>
            <w:r>
              <w:rPr>
                <w:i/>
                <w:spacing w:val="-1"/>
                <w:sz w:val="16"/>
              </w:rPr>
              <w:t> </w:t>
            </w:r>
            <w:r>
              <w:rPr>
                <w:i/>
                <w:sz w:val="16"/>
              </w:rPr>
              <w:t>baseline</w:t>
            </w:r>
            <w:r>
              <w:rPr>
                <w:i/>
                <w:spacing w:val="40"/>
                <w:sz w:val="16"/>
              </w:rPr>
              <w:t> </w:t>
            </w:r>
            <w:r>
              <w:rPr>
                <w:i/>
                <w:sz w:val="16"/>
              </w:rPr>
              <w:t>(thousands</w:t>
            </w:r>
            <w:r>
              <w:rPr>
                <w:i/>
                <w:spacing w:val="-5"/>
                <w:sz w:val="16"/>
              </w:rPr>
              <w:t> </w:t>
            </w:r>
            <w:r>
              <w:rPr>
                <w:i/>
                <w:sz w:val="16"/>
              </w:rPr>
              <w:t>of</w:t>
            </w:r>
            <w:r>
              <w:rPr>
                <w:i/>
                <w:spacing w:val="40"/>
                <w:sz w:val="16"/>
              </w:rPr>
              <w:t> </w:t>
            </w:r>
            <w:r>
              <w:rPr>
                <w:i/>
                <w:spacing w:val="-2"/>
                <w:sz w:val="16"/>
              </w:rPr>
              <w:t>euros)</w:t>
            </w:r>
          </w:p>
        </w:tc>
      </w:tr>
      <w:tr>
        <w:trPr>
          <w:trHeight w:val="1550" w:hRule="atLeast"/>
        </w:trPr>
        <w:tc>
          <w:tcPr>
            <w:tcW w:w="3045" w:type="dxa"/>
          </w:tcPr>
          <w:p>
            <w:pPr>
              <w:pStyle w:val="TableParagraph"/>
              <w:spacing w:line="264" w:lineRule="auto"/>
              <w:ind w:left="110" w:right="105"/>
              <w:jc w:val="left"/>
              <w:rPr>
                <w:sz w:val="16"/>
              </w:rPr>
            </w:pPr>
            <w:r>
              <w:rPr>
                <w:sz w:val="16"/>
              </w:rPr>
              <w:t>Blackberry</w:t>
            </w:r>
            <w:r>
              <w:rPr>
                <w:spacing w:val="-7"/>
                <w:sz w:val="16"/>
              </w:rPr>
              <w:t> </w:t>
            </w:r>
            <w:r>
              <w:rPr>
                <w:sz w:val="16"/>
              </w:rPr>
              <w:t>licences</w:t>
            </w:r>
            <w:r>
              <w:rPr>
                <w:spacing w:val="-9"/>
                <w:sz w:val="16"/>
              </w:rPr>
              <w:t> </w:t>
            </w:r>
            <w:r>
              <w:rPr>
                <w:sz w:val="16"/>
              </w:rPr>
              <w:t>for</w:t>
            </w:r>
            <w:r>
              <w:rPr>
                <w:spacing w:val="-9"/>
                <w:sz w:val="16"/>
              </w:rPr>
              <w:t> </w:t>
            </w:r>
            <w:r>
              <w:rPr>
                <w:sz w:val="16"/>
              </w:rPr>
              <w:t>mobile</w:t>
            </w:r>
            <w:r>
              <w:rPr>
                <w:spacing w:val="-8"/>
                <w:sz w:val="16"/>
              </w:rPr>
              <w:t> </w:t>
            </w:r>
            <w:r>
              <w:rPr>
                <w:sz w:val="16"/>
              </w:rPr>
              <w:t>email</w:t>
            </w:r>
            <w:r>
              <w:rPr>
                <w:spacing w:val="-10"/>
                <w:sz w:val="16"/>
              </w:rPr>
              <w:t> </w:t>
            </w:r>
            <w:r>
              <w:rPr>
                <w:sz w:val="16"/>
              </w:rPr>
              <w:t>access</w:t>
            </w:r>
            <w:r>
              <w:rPr>
                <w:spacing w:val="40"/>
                <w:sz w:val="16"/>
              </w:rPr>
              <w:t> </w:t>
            </w:r>
            <w:r>
              <w:rPr>
                <w:sz w:val="16"/>
              </w:rPr>
              <w:t>no longer required. The functionality is</w:t>
            </w:r>
            <w:r>
              <w:rPr>
                <w:spacing w:val="40"/>
                <w:sz w:val="16"/>
              </w:rPr>
              <w:t> </w:t>
            </w:r>
            <w:r>
              <w:rPr>
                <w:sz w:val="16"/>
              </w:rPr>
              <w:t>included in the Microsoft M365 licensing.</w:t>
            </w:r>
          </w:p>
        </w:tc>
        <w:tc>
          <w:tcPr>
            <w:tcW w:w="4173" w:type="dxa"/>
          </w:tcPr>
          <w:p>
            <w:pPr>
              <w:pStyle w:val="TableParagraph"/>
              <w:spacing w:line="259" w:lineRule="auto"/>
              <w:ind w:left="109" w:right="141"/>
              <w:jc w:val="left"/>
              <w:rPr>
                <w:sz w:val="16"/>
              </w:rPr>
            </w:pPr>
            <w:r>
              <w:rPr>
                <w:sz w:val="16"/>
              </w:rPr>
              <w:t>Blackberry licences are no longer needed to secure mobile</w:t>
            </w:r>
            <w:r>
              <w:rPr>
                <w:spacing w:val="40"/>
                <w:sz w:val="16"/>
              </w:rPr>
              <w:t> </w:t>
            </w:r>
            <w:r>
              <w:rPr>
                <w:sz w:val="16"/>
              </w:rPr>
              <w:t>access to emails. The funds freed up offset the overall</w:t>
            </w:r>
            <w:r>
              <w:rPr>
                <w:spacing w:val="40"/>
                <w:sz w:val="16"/>
              </w:rPr>
              <w:t> </w:t>
            </w:r>
            <w:r>
              <w:rPr>
                <w:sz w:val="16"/>
              </w:rPr>
              <w:t>increase</w:t>
            </w:r>
            <w:r>
              <w:rPr>
                <w:spacing w:val="-1"/>
                <w:sz w:val="16"/>
              </w:rPr>
              <w:t> </w:t>
            </w:r>
            <w:r>
              <w:rPr>
                <w:sz w:val="16"/>
              </w:rPr>
              <w:t>in Microsoft</w:t>
            </w:r>
            <w:r>
              <w:rPr>
                <w:spacing w:val="-3"/>
                <w:sz w:val="16"/>
              </w:rPr>
              <w:t> </w:t>
            </w:r>
            <w:r>
              <w:rPr>
                <w:sz w:val="16"/>
              </w:rPr>
              <w:t>licensing for</w:t>
            </w:r>
            <w:r>
              <w:rPr>
                <w:spacing w:val="-2"/>
                <w:sz w:val="16"/>
              </w:rPr>
              <w:t> </w:t>
            </w:r>
            <w:r>
              <w:rPr>
                <w:sz w:val="16"/>
              </w:rPr>
              <w:t>2023,</w:t>
            </w:r>
            <w:r>
              <w:rPr>
                <w:spacing w:val="-3"/>
                <w:sz w:val="16"/>
              </w:rPr>
              <w:t> </w:t>
            </w:r>
            <w:r>
              <w:rPr>
                <w:sz w:val="16"/>
              </w:rPr>
              <w:t>unavoidable</w:t>
            </w:r>
            <w:r>
              <w:rPr>
                <w:spacing w:val="-1"/>
                <w:sz w:val="16"/>
              </w:rPr>
              <w:t> </w:t>
            </w:r>
            <w:r>
              <w:rPr>
                <w:sz w:val="16"/>
              </w:rPr>
              <w:t>due</w:t>
            </w:r>
            <w:r>
              <w:rPr>
                <w:spacing w:val="-1"/>
                <w:sz w:val="16"/>
              </w:rPr>
              <w:t> </w:t>
            </w:r>
            <w:r>
              <w:rPr>
                <w:sz w:val="16"/>
              </w:rPr>
              <w:t>to</w:t>
            </w:r>
            <w:r>
              <w:rPr>
                <w:spacing w:val="40"/>
                <w:sz w:val="16"/>
              </w:rPr>
              <w:t> </w:t>
            </w:r>
            <w:r>
              <w:rPr>
                <w:sz w:val="16"/>
              </w:rPr>
              <w:t>additional licences to cover elected officials, staff, interns,</w:t>
            </w:r>
            <w:r>
              <w:rPr>
                <w:spacing w:val="40"/>
                <w:sz w:val="16"/>
              </w:rPr>
              <w:t> </w:t>
            </w:r>
            <w:r>
              <w:rPr>
                <w:sz w:val="16"/>
              </w:rPr>
              <w:t>Visiting</w:t>
            </w:r>
            <w:r>
              <w:rPr>
                <w:spacing w:val="-6"/>
                <w:sz w:val="16"/>
              </w:rPr>
              <w:t> </w:t>
            </w:r>
            <w:r>
              <w:rPr>
                <w:sz w:val="16"/>
              </w:rPr>
              <w:t>Professionals,</w:t>
            </w:r>
            <w:r>
              <w:rPr>
                <w:spacing w:val="-8"/>
                <w:sz w:val="16"/>
              </w:rPr>
              <w:t> </w:t>
            </w:r>
            <w:r>
              <w:rPr>
                <w:sz w:val="16"/>
              </w:rPr>
              <w:t>pro</w:t>
            </w:r>
            <w:r>
              <w:rPr>
                <w:spacing w:val="-6"/>
                <w:sz w:val="16"/>
              </w:rPr>
              <w:t> </w:t>
            </w:r>
            <w:r>
              <w:rPr>
                <w:sz w:val="16"/>
              </w:rPr>
              <w:t>bono</w:t>
            </w:r>
            <w:r>
              <w:rPr>
                <w:spacing w:val="-6"/>
                <w:sz w:val="16"/>
              </w:rPr>
              <w:t> </w:t>
            </w:r>
            <w:r>
              <w:rPr>
                <w:sz w:val="16"/>
              </w:rPr>
              <w:t>consultants,</w:t>
            </w:r>
            <w:r>
              <w:rPr>
                <w:spacing w:val="-8"/>
                <w:sz w:val="16"/>
              </w:rPr>
              <w:t> </w:t>
            </w:r>
            <w:r>
              <w:rPr>
                <w:sz w:val="16"/>
              </w:rPr>
              <w:t>consultants</w:t>
            </w:r>
            <w:r>
              <w:rPr>
                <w:spacing w:val="-8"/>
                <w:sz w:val="16"/>
              </w:rPr>
              <w:t> </w:t>
            </w:r>
            <w:r>
              <w:rPr>
                <w:sz w:val="16"/>
              </w:rPr>
              <w:t>and</w:t>
            </w:r>
            <w:r>
              <w:rPr>
                <w:spacing w:val="40"/>
                <w:sz w:val="16"/>
              </w:rPr>
              <w:t> </w:t>
            </w:r>
            <w:r>
              <w:rPr>
                <w:sz w:val="16"/>
              </w:rPr>
              <w:t>contractors.</w:t>
            </w:r>
            <w:r>
              <w:rPr>
                <w:spacing w:val="-6"/>
                <w:sz w:val="16"/>
              </w:rPr>
              <w:t> </w:t>
            </w:r>
            <w:r>
              <w:rPr>
                <w:sz w:val="16"/>
              </w:rPr>
              <w:t>The</w:t>
            </w:r>
            <w:r>
              <w:rPr>
                <w:spacing w:val="-4"/>
                <w:sz w:val="16"/>
              </w:rPr>
              <w:t> </w:t>
            </w:r>
            <w:r>
              <w:rPr>
                <w:sz w:val="16"/>
              </w:rPr>
              <w:t>increase</w:t>
            </w:r>
            <w:r>
              <w:rPr>
                <w:spacing w:val="-4"/>
                <w:sz w:val="16"/>
              </w:rPr>
              <w:t> </w:t>
            </w:r>
            <w:r>
              <w:rPr>
                <w:sz w:val="16"/>
              </w:rPr>
              <w:t>comprises</w:t>
            </w:r>
            <w:r>
              <w:rPr>
                <w:spacing w:val="-5"/>
                <w:sz w:val="16"/>
              </w:rPr>
              <w:t> </w:t>
            </w:r>
            <w:r>
              <w:rPr>
                <w:sz w:val="16"/>
              </w:rPr>
              <w:t>the</w:t>
            </w:r>
            <w:r>
              <w:rPr>
                <w:spacing w:val="-4"/>
                <w:sz w:val="16"/>
              </w:rPr>
              <w:t> </w:t>
            </w:r>
            <w:r>
              <w:rPr>
                <w:sz w:val="16"/>
              </w:rPr>
              <w:t>base</w:t>
            </w:r>
            <w:r>
              <w:rPr>
                <w:spacing w:val="-4"/>
                <w:sz w:val="16"/>
              </w:rPr>
              <w:t> </w:t>
            </w:r>
            <w:r>
              <w:rPr>
                <w:sz w:val="16"/>
              </w:rPr>
              <w:t>licence</w:t>
            </w:r>
            <w:r>
              <w:rPr>
                <w:spacing w:val="-4"/>
                <w:sz w:val="16"/>
              </w:rPr>
              <w:t> </w:t>
            </w:r>
            <w:r>
              <w:rPr>
                <w:sz w:val="16"/>
              </w:rPr>
              <w:t>plus</w:t>
            </w:r>
            <w:r>
              <w:rPr>
                <w:spacing w:val="-5"/>
                <w:sz w:val="16"/>
              </w:rPr>
              <w:t> </w:t>
            </w:r>
            <w:r>
              <w:rPr>
                <w:sz w:val="16"/>
              </w:rPr>
              <w:t>the</w:t>
            </w:r>
            <w:r>
              <w:rPr>
                <w:spacing w:val="40"/>
                <w:sz w:val="16"/>
              </w:rPr>
              <w:t> </w:t>
            </w:r>
            <w:r>
              <w:rPr>
                <w:sz w:val="16"/>
              </w:rPr>
              <w:t>security</w:t>
            </w:r>
            <w:r>
              <w:rPr>
                <w:spacing w:val="-1"/>
                <w:sz w:val="16"/>
              </w:rPr>
              <w:t> </w:t>
            </w:r>
            <w:r>
              <w:rPr>
                <w:sz w:val="16"/>
              </w:rPr>
              <w:t>functionality.</w:t>
            </w:r>
          </w:p>
        </w:tc>
        <w:tc>
          <w:tcPr>
            <w:tcW w:w="1129" w:type="dxa"/>
          </w:tcPr>
          <w:p>
            <w:pPr>
              <w:pStyle w:val="TableParagraph"/>
              <w:jc w:val="left"/>
              <w:rPr>
                <w:sz w:val="16"/>
              </w:rPr>
            </w:pPr>
          </w:p>
        </w:tc>
        <w:tc>
          <w:tcPr>
            <w:tcW w:w="1297" w:type="dxa"/>
          </w:tcPr>
          <w:p>
            <w:pPr>
              <w:pStyle w:val="TableParagraph"/>
              <w:spacing w:before="10"/>
              <w:jc w:val="left"/>
              <w:rPr>
                <w:b/>
                <w:sz w:val="17"/>
              </w:rPr>
            </w:pPr>
          </w:p>
          <w:p>
            <w:pPr>
              <w:pStyle w:val="TableParagraph"/>
              <w:ind w:right="98"/>
              <w:rPr>
                <w:sz w:val="16"/>
              </w:rPr>
            </w:pPr>
            <w:r>
              <w:rPr>
                <w:spacing w:val="-2"/>
                <w:sz w:val="16"/>
              </w:rPr>
              <w:t>88,000</w:t>
            </w:r>
          </w:p>
        </w:tc>
      </w:tr>
      <w:tr>
        <w:trPr>
          <w:trHeight w:val="1152" w:hRule="atLeast"/>
        </w:trPr>
        <w:tc>
          <w:tcPr>
            <w:tcW w:w="3045" w:type="dxa"/>
          </w:tcPr>
          <w:p>
            <w:pPr>
              <w:pStyle w:val="TableParagraph"/>
              <w:spacing w:line="261" w:lineRule="auto"/>
              <w:ind w:left="110" w:right="105"/>
              <w:jc w:val="left"/>
              <w:rPr>
                <w:sz w:val="16"/>
              </w:rPr>
            </w:pPr>
            <w:r>
              <w:rPr>
                <w:sz w:val="16"/>
              </w:rPr>
              <w:t>Cloud Access Security Broker (CASB)</w:t>
            </w:r>
            <w:r>
              <w:rPr>
                <w:spacing w:val="40"/>
                <w:sz w:val="16"/>
              </w:rPr>
              <w:t> </w:t>
            </w:r>
            <w:r>
              <w:rPr>
                <w:sz w:val="16"/>
              </w:rPr>
              <w:t>service from vendor Bitglass has been</w:t>
            </w:r>
            <w:r>
              <w:rPr>
                <w:spacing w:val="40"/>
                <w:sz w:val="16"/>
              </w:rPr>
              <w:t> </w:t>
            </w:r>
            <w:r>
              <w:rPr>
                <w:sz w:val="16"/>
              </w:rPr>
              <w:t>decommissioned</w:t>
            </w:r>
            <w:r>
              <w:rPr>
                <w:spacing w:val="-10"/>
                <w:sz w:val="16"/>
              </w:rPr>
              <w:t> </w:t>
            </w:r>
            <w:r>
              <w:rPr>
                <w:sz w:val="16"/>
              </w:rPr>
              <w:t>and</w:t>
            </w:r>
            <w:r>
              <w:rPr>
                <w:spacing w:val="-10"/>
                <w:sz w:val="16"/>
              </w:rPr>
              <w:t> </w:t>
            </w:r>
            <w:r>
              <w:rPr>
                <w:sz w:val="16"/>
              </w:rPr>
              <w:t>replaced</w:t>
            </w:r>
            <w:r>
              <w:rPr>
                <w:spacing w:val="-10"/>
                <w:sz w:val="16"/>
              </w:rPr>
              <w:t> </w:t>
            </w:r>
            <w:r>
              <w:rPr>
                <w:sz w:val="16"/>
              </w:rPr>
              <w:t>with</w:t>
            </w:r>
            <w:r>
              <w:rPr>
                <w:spacing w:val="-10"/>
                <w:sz w:val="16"/>
              </w:rPr>
              <w:t> </w:t>
            </w:r>
            <w:r>
              <w:rPr>
                <w:sz w:val="16"/>
              </w:rPr>
              <w:t>native</w:t>
            </w:r>
            <w:r>
              <w:rPr>
                <w:spacing w:val="40"/>
                <w:sz w:val="16"/>
              </w:rPr>
              <w:t> </w:t>
            </w:r>
            <w:r>
              <w:rPr>
                <w:sz w:val="16"/>
              </w:rPr>
              <w:t>Microsoft CASB, part of the M365</w:t>
            </w:r>
            <w:r>
              <w:rPr>
                <w:spacing w:val="40"/>
                <w:sz w:val="16"/>
              </w:rPr>
              <w:t> </w:t>
            </w:r>
            <w:r>
              <w:rPr>
                <w:spacing w:val="-2"/>
                <w:sz w:val="16"/>
              </w:rPr>
              <w:t>subscription.</w:t>
            </w:r>
          </w:p>
        </w:tc>
        <w:tc>
          <w:tcPr>
            <w:tcW w:w="4173" w:type="dxa"/>
          </w:tcPr>
          <w:p>
            <w:pPr>
              <w:pStyle w:val="TableParagraph"/>
              <w:spacing w:line="268" w:lineRule="auto"/>
              <w:ind w:left="109" w:right="141"/>
              <w:jc w:val="left"/>
              <w:rPr>
                <w:sz w:val="16"/>
              </w:rPr>
            </w:pPr>
            <w:r>
              <w:rPr>
                <w:sz w:val="16"/>
              </w:rPr>
              <w:t>Decrease</w:t>
            </w:r>
            <w:r>
              <w:rPr>
                <w:spacing w:val="-6"/>
                <w:sz w:val="16"/>
              </w:rPr>
              <w:t> </w:t>
            </w:r>
            <w:r>
              <w:rPr>
                <w:sz w:val="16"/>
              </w:rPr>
              <w:t>of</w:t>
            </w:r>
            <w:r>
              <w:rPr>
                <w:spacing w:val="-7"/>
                <w:sz w:val="16"/>
              </w:rPr>
              <w:t> </w:t>
            </w:r>
            <w:r>
              <w:rPr>
                <w:sz w:val="16"/>
              </w:rPr>
              <w:t>€55.0</w:t>
            </w:r>
            <w:r>
              <w:rPr>
                <w:spacing w:val="-5"/>
                <w:sz w:val="16"/>
              </w:rPr>
              <w:t> </w:t>
            </w:r>
            <w:r>
              <w:rPr>
                <w:sz w:val="16"/>
              </w:rPr>
              <w:t>thousand</w:t>
            </w:r>
            <w:r>
              <w:rPr>
                <w:spacing w:val="-5"/>
                <w:sz w:val="16"/>
              </w:rPr>
              <w:t> </w:t>
            </w:r>
            <w:r>
              <w:rPr>
                <w:sz w:val="16"/>
              </w:rPr>
              <w:t>in</w:t>
            </w:r>
            <w:r>
              <w:rPr>
                <w:spacing w:val="-5"/>
                <w:sz w:val="16"/>
              </w:rPr>
              <w:t> </w:t>
            </w:r>
            <w:r>
              <w:rPr>
                <w:sz w:val="16"/>
              </w:rPr>
              <w:t>software</w:t>
            </w:r>
            <w:r>
              <w:rPr>
                <w:spacing w:val="-6"/>
                <w:sz w:val="16"/>
              </w:rPr>
              <w:t> </w:t>
            </w:r>
            <w:r>
              <w:rPr>
                <w:sz w:val="16"/>
              </w:rPr>
              <w:t>maintenance</w:t>
            </w:r>
            <w:r>
              <w:rPr>
                <w:spacing w:val="-6"/>
                <w:sz w:val="16"/>
              </w:rPr>
              <w:t> </w:t>
            </w:r>
            <w:r>
              <w:rPr>
                <w:sz w:val="16"/>
              </w:rPr>
              <w:t>costs</w:t>
            </w:r>
            <w:r>
              <w:rPr>
                <w:spacing w:val="-7"/>
                <w:sz w:val="16"/>
              </w:rPr>
              <w:t> </w:t>
            </w:r>
            <w:r>
              <w:rPr>
                <w:sz w:val="16"/>
              </w:rPr>
              <w:t>as</w:t>
            </w:r>
            <w:r>
              <w:rPr>
                <w:spacing w:val="40"/>
                <w:sz w:val="16"/>
              </w:rPr>
              <w:t> </w:t>
            </w:r>
            <w:r>
              <w:rPr>
                <w:sz w:val="16"/>
              </w:rPr>
              <w:t>a result of decommissioning of CASB software.</w:t>
            </w:r>
          </w:p>
        </w:tc>
        <w:tc>
          <w:tcPr>
            <w:tcW w:w="1129" w:type="dxa"/>
          </w:tcPr>
          <w:p>
            <w:pPr>
              <w:pStyle w:val="TableParagraph"/>
              <w:jc w:val="left"/>
              <w:rPr>
                <w:sz w:val="16"/>
              </w:rPr>
            </w:pPr>
          </w:p>
        </w:tc>
        <w:tc>
          <w:tcPr>
            <w:tcW w:w="1297" w:type="dxa"/>
          </w:tcPr>
          <w:p>
            <w:pPr>
              <w:pStyle w:val="TableParagraph"/>
              <w:spacing w:before="10"/>
              <w:jc w:val="left"/>
              <w:rPr>
                <w:b/>
                <w:sz w:val="17"/>
              </w:rPr>
            </w:pPr>
          </w:p>
          <w:p>
            <w:pPr>
              <w:pStyle w:val="TableParagraph"/>
              <w:ind w:right="98"/>
              <w:rPr>
                <w:sz w:val="16"/>
              </w:rPr>
            </w:pPr>
            <w:r>
              <w:rPr>
                <w:spacing w:val="-2"/>
                <w:sz w:val="16"/>
              </w:rPr>
              <w:t>55,000</w:t>
            </w:r>
          </w:p>
        </w:tc>
      </w:tr>
      <w:tr>
        <w:trPr>
          <w:trHeight w:val="1156" w:hRule="atLeast"/>
        </w:trPr>
        <w:tc>
          <w:tcPr>
            <w:tcW w:w="3045" w:type="dxa"/>
          </w:tcPr>
          <w:p>
            <w:pPr>
              <w:pStyle w:val="TableParagraph"/>
              <w:spacing w:line="261" w:lineRule="auto"/>
              <w:ind w:left="110" w:right="105"/>
              <w:jc w:val="left"/>
              <w:rPr>
                <w:sz w:val="16"/>
              </w:rPr>
            </w:pPr>
            <w:r>
              <w:rPr>
                <w:sz w:val="16"/>
              </w:rPr>
              <w:t>For 2023, DEO will request one new</w:t>
            </w:r>
            <w:r>
              <w:rPr>
                <w:spacing w:val="40"/>
                <w:sz w:val="16"/>
              </w:rPr>
              <w:t> </w:t>
            </w:r>
            <w:r>
              <w:rPr>
                <w:sz w:val="16"/>
              </w:rPr>
              <w:t>position</w:t>
            </w:r>
            <w:r>
              <w:rPr>
                <w:spacing w:val="-9"/>
                <w:sz w:val="16"/>
              </w:rPr>
              <w:t> </w:t>
            </w:r>
            <w:r>
              <w:rPr>
                <w:sz w:val="16"/>
              </w:rPr>
              <w:t>of</w:t>
            </w:r>
            <w:r>
              <w:rPr>
                <w:spacing w:val="-10"/>
                <w:sz w:val="16"/>
              </w:rPr>
              <w:t> </w:t>
            </w:r>
            <w:r>
              <w:rPr>
                <w:sz w:val="16"/>
              </w:rPr>
              <w:t>Administration</w:t>
            </w:r>
            <w:r>
              <w:rPr>
                <w:spacing w:val="-9"/>
                <w:sz w:val="16"/>
              </w:rPr>
              <w:t> </w:t>
            </w:r>
            <w:r>
              <w:rPr>
                <w:sz w:val="16"/>
              </w:rPr>
              <w:t>and</w:t>
            </w:r>
            <w:r>
              <w:rPr>
                <w:spacing w:val="-9"/>
                <w:sz w:val="16"/>
              </w:rPr>
              <w:t> </w:t>
            </w:r>
            <w:r>
              <w:rPr>
                <w:sz w:val="16"/>
              </w:rPr>
              <w:t>Operations</w:t>
            </w:r>
            <w:r>
              <w:rPr>
                <w:spacing w:val="40"/>
                <w:sz w:val="16"/>
              </w:rPr>
              <w:t> </w:t>
            </w:r>
            <w:r>
              <w:rPr>
                <w:sz w:val="16"/>
              </w:rPr>
              <w:t>Officer in the country office in Ukraine</w:t>
            </w:r>
            <w:r>
              <w:rPr>
                <w:spacing w:val="40"/>
                <w:sz w:val="16"/>
              </w:rPr>
              <w:t> </w:t>
            </w:r>
            <w:r>
              <w:rPr>
                <w:sz w:val="16"/>
              </w:rPr>
              <w:t>under the newly created category of</w:t>
            </w:r>
            <w:r>
              <w:rPr>
                <w:spacing w:val="40"/>
                <w:sz w:val="16"/>
              </w:rPr>
              <w:t> </w:t>
            </w:r>
            <w:r>
              <w:rPr>
                <w:sz w:val="16"/>
              </w:rPr>
              <w:t>National Professional Officer.</w:t>
            </w:r>
          </w:p>
        </w:tc>
        <w:tc>
          <w:tcPr>
            <w:tcW w:w="4173" w:type="dxa"/>
          </w:tcPr>
          <w:p>
            <w:pPr>
              <w:pStyle w:val="TableParagraph"/>
              <w:spacing w:line="264" w:lineRule="auto"/>
              <w:ind w:left="109" w:right="141"/>
              <w:jc w:val="left"/>
              <w:rPr>
                <w:sz w:val="16"/>
              </w:rPr>
            </w:pPr>
            <w:r>
              <w:rPr>
                <w:sz w:val="16"/>
              </w:rPr>
              <w:t>Savings</w:t>
            </w:r>
            <w:r>
              <w:rPr>
                <w:spacing w:val="-5"/>
                <w:sz w:val="16"/>
              </w:rPr>
              <w:t> </w:t>
            </w:r>
            <w:r>
              <w:rPr>
                <w:sz w:val="16"/>
              </w:rPr>
              <w:t>will</w:t>
            </w:r>
            <w:r>
              <w:rPr>
                <w:spacing w:val="-6"/>
                <w:sz w:val="16"/>
              </w:rPr>
              <w:t> </w:t>
            </w:r>
            <w:r>
              <w:rPr>
                <w:sz w:val="16"/>
              </w:rPr>
              <w:t>be</w:t>
            </w:r>
            <w:r>
              <w:rPr>
                <w:spacing w:val="-5"/>
                <w:sz w:val="16"/>
              </w:rPr>
              <w:t> </w:t>
            </w:r>
            <w:r>
              <w:rPr>
                <w:sz w:val="16"/>
              </w:rPr>
              <w:t>achieved</w:t>
            </w:r>
            <w:r>
              <w:rPr>
                <w:spacing w:val="-4"/>
                <w:sz w:val="16"/>
              </w:rPr>
              <w:t> </w:t>
            </w:r>
            <w:r>
              <w:rPr>
                <w:sz w:val="16"/>
              </w:rPr>
              <w:t>on</w:t>
            </w:r>
            <w:r>
              <w:rPr>
                <w:spacing w:val="-4"/>
                <w:sz w:val="16"/>
              </w:rPr>
              <w:t> </w:t>
            </w:r>
            <w:r>
              <w:rPr>
                <w:sz w:val="16"/>
              </w:rPr>
              <w:t>account</w:t>
            </w:r>
            <w:r>
              <w:rPr>
                <w:spacing w:val="-6"/>
                <w:sz w:val="16"/>
              </w:rPr>
              <w:t> </w:t>
            </w:r>
            <w:r>
              <w:rPr>
                <w:sz w:val="16"/>
              </w:rPr>
              <w:t>of</w:t>
            </w:r>
            <w:r>
              <w:rPr>
                <w:spacing w:val="-5"/>
                <w:sz w:val="16"/>
              </w:rPr>
              <w:t> </w:t>
            </w:r>
            <w:r>
              <w:rPr>
                <w:sz w:val="16"/>
              </w:rPr>
              <w:t>the</w:t>
            </w:r>
            <w:r>
              <w:rPr>
                <w:spacing w:val="-5"/>
                <w:sz w:val="16"/>
              </w:rPr>
              <w:t> </w:t>
            </w:r>
            <w:r>
              <w:rPr>
                <w:sz w:val="16"/>
              </w:rPr>
              <w:t>difference</w:t>
            </w:r>
            <w:r>
              <w:rPr>
                <w:spacing w:val="-5"/>
                <w:sz w:val="16"/>
              </w:rPr>
              <w:t> </w:t>
            </w:r>
            <w:r>
              <w:rPr>
                <w:sz w:val="16"/>
              </w:rPr>
              <w:t>in</w:t>
            </w:r>
            <w:r>
              <w:rPr>
                <w:spacing w:val="-4"/>
                <w:sz w:val="16"/>
              </w:rPr>
              <w:t> </w:t>
            </w:r>
            <w:r>
              <w:rPr>
                <w:sz w:val="16"/>
              </w:rPr>
              <w:t>the</w:t>
            </w:r>
            <w:r>
              <w:rPr>
                <w:spacing w:val="40"/>
                <w:sz w:val="16"/>
              </w:rPr>
              <w:t> </w:t>
            </w:r>
            <w:r>
              <w:rPr>
                <w:sz w:val="16"/>
              </w:rPr>
              <w:t>salary scale (compared with 9 months’ General</w:t>
            </w:r>
            <w:r>
              <w:rPr>
                <w:spacing w:val="-1"/>
                <w:sz w:val="16"/>
              </w:rPr>
              <w:t> </w:t>
            </w:r>
            <w:r>
              <w:rPr>
                <w:sz w:val="16"/>
              </w:rPr>
              <w:t>Temporary</w:t>
            </w:r>
            <w:r>
              <w:rPr>
                <w:spacing w:val="40"/>
                <w:sz w:val="16"/>
              </w:rPr>
              <w:t> </w:t>
            </w:r>
            <w:r>
              <w:rPr>
                <w:sz w:val="16"/>
              </w:rPr>
              <w:t>Assistance (GTA) in the Professional category).</w:t>
            </w:r>
          </w:p>
        </w:tc>
        <w:tc>
          <w:tcPr>
            <w:tcW w:w="1129" w:type="dxa"/>
          </w:tcPr>
          <w:p>
            <w:pPr>
              <w:pStyle w:val="TableParagraph"/>
              <w:jc w:val="left"/>
              <w:rPr>
                <w:sz w:val="16"/>
              </w:rPr>
            </w:pPr>
          </w:p>
        </w:tc>
        <w:tc>
          <w:tcPr>
            <w:tcW w:w="1297" w:type="dxa"/>
          </w:tcPr>
          <w:p>
            <w:pPr>
              <w:pStyle w:val="TableParagraph"/>
              <w:spacing w:before="10"/>
              <w:jc w:val="left"/>
              <w:rPr>
                <w:b/>
                <w:sz w:val="17"/>
              </w:rPr>
            </w:pPr>
          </w:p>
          <w:p>
            <w:pPr>
              <w:pStyle w:val="TableParagraph"/>
              <w:ind w:right="98"/>
              <w:rPr>
                <w:sz w:val="16"/>
              </w:rPr>
            </w:pPr>
            <w:r>
              <w:rPr>
                <w:spacing w:val="-2"/>
                <w:sz w:val="16"/>
              </w:rPr>
              <w:t>39,400</w:t>
            </w:r>
          </w:p>
        </w:tc>
      </w:tr>
      <w:tr>
        <w:trPr>
          <w:trHeight w:val="1747" w:hRule="atLeast"/>
        </w:trPr>
        <w:tc>
          <w:tcPr>
            <w:tcW w:w="3045" w:type="dxa"/>
          </w:tcPr>
          <w:p>
            <w:pPr>
              <w:pStyle w:val="TableParagraph"/>
              <w:spacing w:line="259" w:lineRule="auto"/>
              <w:ind w:left="110" w:right="187"/>
              <w:jc w:val="left"/>
              <w:rPr>
                <w:sz w:val="16"/>
              </w:rPr>
            </w:pPr>
            <w:r>
              <w:rPr>
                <w:sz w:val="16"/>
              </w:rPr>
              <w:t>In</w:t>
            </w:r>
            <w:r>
              <w:rPr>
                <w:spacing w:val="-2"/>
                <w:sz w:val="16"/>
              </w:rPr>
              <w:t> </w:t>
            </w:r>
            <w:r>
              <w:rPr>
                <w:sz w:val="16"/>
              </w:rPr>
              <w:t>accordance</w:t>
            </w:r>
            <w:r>
              <w:rPr>
                <w:spacing w:val="-3"/>
                <w:sz w:val="16"/>
              </w:rPr>
              <w:t> </w:t>
            </w:r>
            <w:r>
              <w:rPr>
                <w:sz w:val="16"/>
              </w:rPr>
              <w:t>with</w:t>
            </w:r>
            <w:r>
              <w:rPr>
                <w:spacing w:val="-2"/>
                <w:sz w:val="16"/>
              </w:rPr>
              <w:t> </w:t>
            </w:r>
            <w:r>
              <w:rPr>
                <w:sz w:val="16"/>
              </w:rPr>
              <w:t>the</w:t>
            </w:r>
            <w:r>
              <w:rPr>
                <w:spacing w:val="-3"/>
                <w:sz w:val="16"/>
              </w:rPr>
              <w:t> </w:t>
            </w:r>
            <w:r>
              <w:rPr>
                <w:sz w:val="16"/>
              </w:rPr>
              <w:t>Court’s</w:t>
            </w:r>
            <w:r>
              <w:rPr>
                <w:spacing w:val="-4"/>
                <w:sz w:val="16"/>
              </w:rPr>
              <w:t> </w:t>
            </w:r>
            <w:r>
              <w:rPr>
                <w:sz w:val="16"/>
              </w:rPr>
              <w:t>new</w:t>
            </w:r>
            <w:r>
              <w:rPr>
                <w:spacing w:val="-4"/>
                <w:sz w:val="16"/>
              </w:rPr>
              <w:t> </w:t>
            </w:r>
            <w:r>
              <w:rPr>
                <w:sz w:val="16"/>
              </w:rPr>
              <w:t>IT/IM</w:t>
            </w:r>
            <w:r>
              <w:rPr>
                <w:spacing w:val="40"/>
                <w:sz w:val="16"/>
              </w:rPr>
              <w:t> </w:t>
            </w:r>
            <w:r>
              <w:rPr>
                <w:sz w:val="16"/>
              </w:rPr>
              <w:t>strategy for 2023-2025, IMSS is planning</w:t>
            </w:r>
            <w:r>
              <w:rPr>
                <w:spacing w:val="40"/>
                <w:sz w:val="16"/>
              </w:rPr>
              <w:t> </w:t>
            </w:r>
            <w:r>
              <w:rPr>
                <w:sz w:val="16"/>
              </w:rPr>
              <w:t>to</w:t>
            </w:r>
            <w:r>
              <w:rPr>
                <w:spacing w:val="-1"/>
                <w:sz w:val="16"/>
              </w:rPr>
              <w:t> </w:t>
            </w:r>
            <w:r>
              <w:rPr>
                <w:sz w:val="16"/>
              </w:rPr>
              <w:t>move</w:t>
            </w:r>
            <w:r>
              <w:rPr>
                <w:spacing w:val="-2"/>
                <w:sz w:val="16"/>
              </w:rPr>
              <w:t> </w:t>
            </w:r>
            <w:r>
              <w:rPr>
                <w:sz w:val="16"/>
              </w:rPr>
              <w:t>applications</w:t>
            </w:r>
            <w:r>
              <w:rPr>
                <w:spacing w:val="-3"/>
                <w:sz w:val="16"/>
              </w:rPr>
              <w:t> </w:t>
            </w:r>
            <w:r>
              <w:rPr>
                <w:sz w:val="16"/>
              </w:rPr>
              <w:t>and</w:t>
            </w:r>
            <w:r>
              <w:rPr>
                <w:spacing w:val="-1"/>
                <w:sz w:val="16"/>
              </w:rPr>
              <w:t> </w:t>
            </w:r>
            <w:r>
              <w:rPr>
                <w:sz w:val="16"/>
              </w:rPr>
              <w:t>services</w:t>
            </w:r>
            <w:r>
              <w:rPr>
                <w:spacing w:val="-3"/>
                <w:sz w:val="16"/>
              </w:rPr>
              <w:t> </w:t>
            </w:r>
            <w:r>
              <w:rPr>
                <w:sz w:val="16"/>
              </w:rPr>
              <w:t>from an</w:t>
            </w:r>
            <w:r>
              <w:rPr>
                <w:spacing w:val="40"/>
                <w:sz w:val="16"/>
              </w:rPr>
              <w:t> </w:t>
            </w:r>
            <w:r>
              <w:rPr>
                <w:sz w:val="16"/>
              </w:rPr>
              <w:t>on-premises data centre to the Cloud. In</w:t>
            </w:r>
            <w:r>
              <w:rPr>
                <w:spacing w:val="40"/>
                <w:sz w:val="16"/>
              </w:rPr>
              <w:t> </w:t>
            </w:r>
            <w:r>
              <w:rPr>
                <w:sz w:val="16"/>
              </w:rPr>
              <w:t>addition,</w:t>
            </w:r>
            <w:r>
              <w:rPr>
                <w:spacing w:val="-6"/>
                <w:sz w:val="16"/>
              </w:rPr>
              <w:t> </w:t>
            </w:r>
            <w:r>
              <w:rPr>
                <w:sz w:val="16"/>
              </w:rPr>
              <w:t>the</w:t>
            </w:r>
            <w:r>
              <w:rPr>
                <w:spacing w:val="-4"/>
                <w:sz w:val="16"/>
              </w:rPr>
              <w:t> </w:t>
            </w:r>
            <w:r>
              <w:rPr>
                <w:sz w:val="16"/>
              </w:rPr>
              <w:t>Court</w:t>
            </w:r>
            <w:r>
              <w:rPr>
                <w:spacing w:val="-6"/>
                <w:sz w:val="16"/>
              </w:rPr>
              <w:t> </w:t>
            </w:r>
            <w:r>
              <w:rPr>
                <w:sz w:val="16"/>
              </w:rPr>
              <w:t>will</w:t>
            </w:r>
            <w:r>
              <w:rPr>
                <w:spacing w:val="-6"/>
                <w:sz w:val="16"/>
              </w:rPr>
              <w:t> </w:t>
            </w:r>
            <w:r>
              <w:rPr>
                <w:sz w:val="16"/>
              </w:rPr>
              <w:t>be</w:t>
            </w:r>
            <w:r>
              <w:rPr>
                <w:spacing w:val="-4"/>
                <w:sz w:val="16"/>
              </w:rPr>
              <w:t> </w:t>
            </w:r>
            <w:r>
              <w:rPr>
                <w:sz w:val="16"/>
              </w:rPr>
              <w:t>implementing</w:t>
            </w:r>
            <w:r>
              <w:rPr>
                <w:spacing w:val="-3"/>
                <w:sz w:val="16"/>
              </w:rPr>
              <w:t> </w:t>
            </w:r>
            <w:r>
              <w:rPr>
                <w:sz w:val="16"/>
              </w:rPr>
              <w:t>a</w:t>
            </w:r>
            <w:r>
              <w:rPr>
                <w:spacing w:val="40"/>
                <w:sz w:val="16"/>
              </w:rPr>
              <w:t> </w:t>
            </w:r>
            <w:r>
              <w:rPr>
                <w:sz w:val="16"/>
              </w:rPr>
              <w:t>“cloud-first”</w:t>
            </w:r>
            <w:r>
              <w:rPr>
                <w:spacing w:val="-3"/>
                <w:sz w:val="16"/>
              </w:rPr>
              <w:t> </w:t>
            </w:r>
            <w:r>
              <w:rPr>
                <w:sz w:val="16"/>
              </w:rPr>
              <w:t>approach,</w:t>
            </w:r>
            <w:r>
              <w:rPr>
                <w:spacing w:val="-5"/>
                <w:sz w:val="16"/>
              </w:rPr>
              <w:t> </w:t>
            </w:r>
            <w:r>
              <w:rPr>
                <w:sz w:val="16"/>
              </w:rPr>
              <w:t>which</w:t>
            </w:r>
            <w:r>
              <w:rPr>
                <w:spacing w:val="-2"/>
                <w:sz w:val="16"/>
              </w:rPr>
              <w:t> </w:t>
            </w:r>
            <w:r>
              <w:rPr>
                <w:sz w:val="16"/>
              </w:rPr>
              <w:t>will</w:t>
            </w:r>
            <w:r>
              <w:rPr>
                <w:spacing w:val="-5"/>
                <w:sz w:val="16"/>
              </w:rPr>
              <w:t> </w:t>
            </w:r>
            <w:r>
              <w:rPr>
                <w:sz w:val="16"/>
              </w:rPr>
              <w:t>limit or</w:t>
            </w:r>
            <w:r>
              <w:rPr>
                <w:spacing w:val="40"/>
                <w:sz w:val="16"/>
              </w:rPr>
              <w:t> </w:t>
            </w:r>
            <w:r>
              <w:rPr>
                <w:sz w:val="16"/>
              </w:rPr>
              <w:t>eliminate</w:t>
            </w:r>
            <w:r>
              <w:rPr>
                <w:spacing w:val="-7"/>
                <w:sz w:val="16"/>
              </w:rPr>
              <w:t> </w:t>
            </w:r>
            <w:r>
              <w:rPr>
                <w:sz w:val="16"/>
              </w:rPr>
              <w:t>the</w:t>
            </w:r>
            <w:r>
              <w:rPr>
                <w:spacing w:val="-7"/>
                <w:sz w:val="16"/>
              </w:rPr>
              <w:t> </w:t>
            </w:r>
            <w:r>
              <w:rPr>
                <w:sz w:val="16"/>
              </w:rPr>
              <w:t>need</w:t>
            </w:r>
            <w:r>
              <w:rPr>
                <w:spacing w:val="-6"/>
                <w:sz w:val="16"/>
              </w:rPr>
              <w:t> </w:t>
            </w:r>
            <w:r>
              <w:rPr>
                <w:sz w:val="16"/>
              </w:rPr>
              <w:t>to</w:t>
            </w:r>
            <w:r>
              <w:rPr>
                <w:spacing w:val="-6"/>
                <w:sz w:val="16"/>
              </w:rPr>
              <w:t> </w:t>
            </w:r>
            <w:r>
              <w:rPr>
                <w:sz w:val="16"/>
              </w:rPr>
              <w:t>increase</w:t>
            </w:r>
            <w:r>
              <w:rPr>
                <w:spacing w:val="-7"/>
                <w:sz w:val="16"/>
              </w:rPr>
              <w:t> </w:t>
            </w:r>
            <w:r>
              <w:rPr>
                <w:sz w:val="16"/>
              </w:rPr>
              <w:t>internal</w:t>
            </w:r>
            <w:r>
              <w:rPr>
                <w:spacing w:val="-9"/>
                <w:sz w:val="16"/>
              </w:rPr>
              <w:t> </w:t>
            </w:r>
            <w:r>
              <w:rPr>
                <w:sz w:val="16"/>
              </w:rPr>
              <w:t>data</w:t>
            </w:r>
            <w:r>
              <w:rPr>
                <w:spacing w:val="40"/>
                <w:sz w:val="16"/>
              </w:rPr>
              <w:t> </w:t>
            </w:r>
            <w:r>
              <w:rPr>
                <w:sz w:val="16"/>
              </w:rPr>
              <w:t>centre capacity every year.</w:t>
            </w:r>
          </w:p>
        </w:tc>
        <w:tc>
          <w:tcPr>
            <w:tcW w:w="4173" w:type="dxa"/>
          </w:tcPr>
          <w:p>
            <w:pPr>
              <w:pStyle w:val="TableParagraph"/>
              <w:spacing w:line="259" w:lineRule="auto"/>
              <w:ind w:left="109" w:right="101"/>
              <w:jc w:val="left"/>
              <w:rPr>
                <w:sz w:val="16"/>
              </w:rPr>
            </w:pPr>
            <w:r>
              <w:rPr>
                <w:sz w:val="16"/>
              </w:rPr>
              <w:t>Reducing the planned increase in data centre capacity for</w:t>
            </w:r>
            <w:r>
              <w:rPr>
                <w:spacing w:val="40"/>
                <w:sz w:val="16"/>
              </w:rPr>
              <w:t> </w:t>
            </w:r>
            <w:r>
              <w:rPr>
                <w:sz w:val="16"/>
              </w:rPr>
              <w:t>storage and computing will result in savings of €120.0</w:t>
            </w:r>
            <w:r>
              <w:rPr>
                <w:spacing w:val="40"/>
                <w:sz w:val="16"/>
              </w:rPr>
              <w:t> </w:t>
            </w:r>
            <w:r>
              <w:rPr>
                <w:sz w:val="16"/>
              </w:rPr>
              <w:t>thousand.</w:t>
            </w:r>
            <w:r>
              <w:rPr>
                <w:spacing w:val="-7"/>
                <w:sz w:val="16"/>
              </w:rPr>
              <w:t> </w:t>
            </w:r>
            <w:r>
              <w:rPr>
                <w:sz w:val="16"/>
              </w:rPr>
              <w:t>While</w:t>
            </w:r>
            <w:r>
              <w:rPr>
                <w:spacing w:val="-5"/>
                <w:sz w:val="16"/>
              </w:rPr>
              <w:t> </w:t>
            </w:r>
            <w:r>
              <w:rPr>
                <w:sz w:val="16"/>
              </w:rPr>
              <w:t>an</w:t>
            </w:r>
            <w:r>
              <w:rPr>
                <w:spacing w:val="-4"/>
                <w:sz w:val="16"/>
              </w:rPr>
              <w:t> </w:t>
            </w:r>
            <w:r>
              <w:rPr>
                <w:sz w:val="16"/>
              </w:rPr>
              <w:t>increase</w:t>
            </w:r>
            <w:r>
              <w:rPr>
                <w:spacing w:val="-5"/>
                <w:sz w:val="16"/>
              </w:rPr>
              <w:t> </w:t>
            </w:r>
            <w:r>
              <w:rPr>
                <w:sz w:val="16"/>
              </w:rPr>
              <w:t>in</w:t>
            </w:r>
            <w:r>
              <w:rPr>
                <w:spacing w:val="-4"/>
                <w:sz w:val="16"/>
              </w:rPr>
              <w:t> </w:t>
            </w:r>
            <w:r>
              <w:rPr>
                <w:sz w:val="16"/>
              </w:rPr>
              <w:t>capacity</w:t>
            </w:r>
            <w:r>
              <w:rPr>
                <w:spacing w:val="-4"/>
                <w:sz w:val="16"/>
              </w:rPr>
              <w:t> </w:t>
            </w:r>
            <w:r>
              <w:rPr>
                <w:sz w:val="16"/>
              </w:rPr>
              <w:t>is</w:t>
            </w:r>
            <w:r>
              <w:rPr>
                <w:spacing w:val="-6"/>
                <w:sz w:val="16"/>
              </w:rPr>
              <w:t> </w:t>
            </w:r>
            <w:r>
              <w:rPr>
                <w:sz w:val="16"/>
              </w:rPr>
              <w:t>no</w:t>
            </w:r>
            <w:r>
              <w:rPr>
                <w:spacing w:val="-4"/>
                <w:sz w:val="16"/>
              </w:rPr>
              <w:t> </w:t>
            </w:r>
            <w:r>
              <w:rPr>
                <w:sz w:val="16"/>
              </w:rPr>
              <w:t>longer</w:t>
            </w:r>
            <w:r>
              <w:rPr>
                <w:spacing w:val="-6"/>
                <w:sz w:val="16"/>
              </w:rPr>
              <w:t> </w:t>
            </w:r>
            <w:r>
              <w:rPr>
                <w:sz w:val="16"/>
              </w:rPr>
              <w:t>required,</w:t>
            </w:r>
            <w:r>
              <w:rPr>
                <w:spacing w:val="40"/>
                <w:sz w:val="16"/>
              </w:rPr>
              <w:t> </w:t>
            </w:r>
            <w:r>
              <w:rPr>
                <w:sz w:val="16"/>
              </w:rPr>
              <w:t>capital replacement of end-of-life data centre equipment will</w:t>
            </w:r>
            <w:r>
              <w:rPr>
                <w:spacing w:val="40"/>
                <w:sz w:val="16"/>
              </w:rPr>
              <w:t> </w:t>
            </w:r>
            <w:r>
              <w:rPr>
                <w:sz w:val="16"/>
              </w:rPr>
              <w:t>still be necessary.</w:t>
            </w:r>
          </w:p>
        </w:tc>
        <w:tc>
          <w:tcPr>
            <w:tcW w:w="1129" w:type="dxa"/>
          </w:tcPr>
          <w:p>
            <w:pPr>
              <w:pStyle w:val="TableParagraph"/>
              <w:jc w:val="left"/>
              <w:rPr>
                <w:sz w:val="16"/>
              </w:rPr>
            </w:pPr>
          </w:p>
        </w:tc>
        <w:tc>
          <w:tcPr>
            <w:tcW w:w="1297" w:type="dxa"/>
          </w:tcPr>
          <w:p>
            <w:pPr>
              <w:pStyle w:val="TableParagraph"/>
              <w:spacing w:before="5"/>
              <w:jc w:val="left"/>
              <w:rPr>
                <w:b/>
                <w:sz w:val="17"/>
              </w:rPr>
            </w:pPr>
          </w:p>
          <w:p>
            <w:pPr>
              <w:pStyle w:val="TableParagraph"/>
              <w:ind w:right="98"/>
              <w:rPr>
                <w:sz w:val="16"/>
              </w:rPr>
            </w:pPr>
            <w:r>
              <w:rPr>
                <w:spacing w:val="-2"/>
                <w:sz w:val="16"/>
              </w:rPr>
              <w:t>120,000</w:t>
            </w:r>
          </w:p>
        </w:tc>
      </w:tr>
      <w:tr>
        <w:trPr>
          <w:trHeight w:val="2544" w:hRule="atLeast"/>
        </w:trPr>
        <w:tc>
          <w:tcPr>
            <w:tcW w:w="3045" w:type="dxa"/>
          </w:tcPr>
          <w:p>
            <w:pPr>
              <w:pStyle w:val="TableParagraph"/>
              <w:spacing w:line="259" w:lineRule="auto"/>
              <w:ind w:left="110" w:right="111"/>
              <w:jc w:val="left"/>
              <w:rPr>
                <w:sz w:val="16"/>
              </w:rPr>
            </w:pPr>
            <w:r>
              <w:rPr>
                <w:sz w:val="16"/>
              </w:rPr>
              <w:t>In the event</w:t>
            </w:r>
            <w:r>
              <w:rPr>
                <w:spacing w:val="-2"/>
                <w:sz w:val="16"/>
              </w:rPr>
              <w:t> </w:t>
            </w:r>
            <w:r>
              <w:rPr>
                <w:sz w:val="16"/>
              </w:rPr>
              <w:t>there are three cases</w:t>
            </w:r>
            <w:r>
              <w:rPr>
                <w:spacing w:val="-1"/>
                <w:sz w:val="16"/>
              </w:rPr>
              <w:t> </w:t>
            </w:r>
            <w:r>
              <w:rPr>
                <w:sz w:val="16"/>
              </w:rPr>
              <w:t>at</w:t>
            </w:r>
            <w:r>
              <w:rPr>
                <w:spacing w:val="-2"/>
                <w:sz w:val="16"/>
              </w:rPr>
              <w:t> </w:t>
            </w:r>
            <w:r>
              <w:rPr>
                <w:sz w:val="16"/>
              </w:rPr>
              <w:t>the trial</w:t>
            </w:r>
            <w:r>
              <w:rPr>
                <w:spacing w:val="40"/>
                <w:sz w:val="16"/>
              </w:rPr>
              <w:t> </w:t>
            </w:r>
            <w:r>
              <w:rPr>
                <w:sz w:val="16"/>
              </w:rPr>
              <w:t>phase, VWS will require an equivalent</w:t>
            </w:r>
            <w:r>
              <w:rPr>
                <w:spacing w:val="40"/>
                <w:sz w:val="16"/>
              </w:rPr>
              <w:t> </w:t>
            </w:r>
            <w:r>
              <w:rPr>
                <w:sz w:val="16"/>
              </w:rPr>
              <w:t>increase in basic staff resources (two</w:t>
            </w:r>
            <w:r>
              <w:rPr>
                <w:spacing w:val="40"/>
                <w:sz w:val="16"/>
              </w:rPr>
              <w:t> </w:t>
            </w:r>
            <w:r>
              <w:rPr>
                <w:sz w:val="16"/>
              </w:rPr>
              <w:t>additional GS staff members and one P-2)</w:t>
            </w:r>
            <w:r>
              <w:rPr>
                <w:spacing w:val="40"/>
                <w:sz w:val="16"/>
              </w:rPr>
              <w:t> </w:t>
            </w:r>
            <w:r>
              <w:rPr>
                <w:sz w:val="16"/>
              </w:rPr>
              <w:t>to support parallel or simultaneous</w:t>
            </w:r>
            <w:r>
              <w:rPr>
                <w:spacing w:val="40"/>
                <w:sz w:val="16"/>
              </w:rPr>
              <w:t> </w:t>
            </w:r>
            <w:r>
              <w:rPr>
                <w:sz w:val="16"/>
              </w:rPr>
              <w:t>proceedings</w:t>
            </w:r>
            <w:r>
              <w:rPr>
                <w:spacing w:val="-1"/>
                <w:sz w:val="16"/>
              </w:rPr>
              <w:t> </w:t>
            </w:r>
            <w:r>
              <w:rPr>
                <w:sz w:val="16"/>
              </w:rPr>
              <w:t>for</w:t>
            </w:r>
            <w:r>
              <w:rPr>
                <w:spacing w:val="-1"/>
                <w:sz w:val="16"/>
              </w:rPr>
              <w:t> </w:t>
            </w:r>
            <w:r>
              <w:rPr>
                <w:sz w:val="16"/>
              </w:rPr>
              <w:t>each additional</w:t>
            </w:r>
            <w:r>
              <w:rPr>
                <w:spacing w:val="-2"/>
                <w:sz w:val="16"/>
              </w:rPr>
              <w:t> </w:t>
            </w:r>
            <w:r>
              <w:rPr>
                <w:sz w:val="16"/>
              </w:rPr>
              <w:t>case.</w:t>
            </w:r>
            <w:r>
              <w:rPr>
                <w:spacing w:val="-2"/>
                <w:sz w:val="16"/>
              </w:rPr>
              <w:t> </w:t>
            </w:r>
            <w:r>
              <w:rPr>
                <w:sz w:val="16"/>
              </w:rPr>
              <w:t>In the</w:t>
            </w:r>
            <w:r>
              <w:rPr>
                <w:spacing w:val="40"/>
                <w:sz w:val="16"/>
              </w:rPr>
              <w:t> </w:t>
            </w:r>
            <w:r>
              <w:rPr>
                <w:sz w:val="16"/>
              </w:rPr>
              <w:t>absence of the necessary staff capacity,</w:t>
            </w:r>
            <w:r>
              <w:rPr>
                <w:spacing w:val="40"/>
                <w:sz w:val="16"/>
              </w:rPr>
              <w:t> </w:t>
            </w:r>
            <w:r>
              <w:rPr>
                <w:sz w:val="16"/>
              </w:rPr>
              <w:t>VWS relies on Witness Assistants under a</w:t>
            </w:r>
            <w:r>
              <w:rPr>
                <w:spacing w:val="40"/>
                <w:sz w:val="16"/>
              </w:rPr>
              <w:t> </w:t>
            </w:r>
            <w:r>
              <w:rPr>
                <w:sz w:val="16"/>
              </w:rPr>
              <w:t>Special Service Agreement (SSA), who</w:t>
            </w:r>
            <w:r>
              <w:rPr>
                <w:spacing w:val="40"/>
                <w:sz w:val="16"/>
              </w:rPr>
              <w:t> </w:t>
            </w:r>
            <w:r>
              <w:rPr>
                <w:sz w:val="16"/>
              </w:rPr>
              <w:t>offer</w:t>
            </w:r>
            <w:r>
              <w:rPr>
                <w:spacing w:val="-9"/>
                <w:sz w:val="16"/>
              </w:rPr>
              <w:t> </w:t>
            </w:r>
            <w:r>
              <w:rPr>
                <w:sz w:val="16"/>
              </w:rPr>
              <w:t>the</w:t>
            </w:r>
            <w:r>
              <w:rPr>
                <w:spacing w:val="-9"/>
                <w:sz w:val="16"/>
              </w:rPr>
              <w:t> </w:t>
            </w:r>
            <w:r>
              <w:rPr>
                <w:sz w:val="16"/>
              </w:rPr>
              <w:t>flexibility</w:t>
            </w:r>
            <w:r>
              <w:rPr>
                <w:spacing w:val="-8"/>
                <w:sz w:val="16"/>
              </w:rPr>
              <w:t> </w:t>
            </w:r>
            <w:r>
              <w:rPr>
                <w:sz w:val="16"/>
              </w:rPr>
              <w:t>needed</w:t>
            </w:r>
            <w:r>
              <w:rPr>
                <w:spacing w:val="-8"/>
                <w:sz w:val="16"/>
              </w:rPr>
              <w:t> </w:t>
            </w:r>
            <w:r>
              <w:rPr>
                <w:sz w:val="16"/>
              </w:rPr>
              <w:t>during</w:t>
            </w:r>
            <w:r>
              <w:rPr>
                <w:spacing w:val="-8"/>
                <w:sz w:val="16"/>
              </w:rPr>
              <w:t> </w:t>
            </w:r>
            <w:r>
              <w:rPr>
                <w:sz w:val="16"/>
              </w:rPr>
              <w:t>workload</w:t>
            </w:r>
            <w:r>
              <w:rPr>
                <w:spacing w:val="40"/>
                <w:sz w:val="16"/>
              </w:rPr>
              <w:t> </w:t>
            </w:r>
            <w:r>
              <w:rPr>
                <w:sz w:val="16"/>
              </w:rPr>
              <w:t>fluctuations, in lieu of the additional basic</w:t>
            </w:r>
            <w:r>
              <w:rPr>
                <w:spacing w:val="40"/>
                <w:sz w:val="16"/>
              </w:rPr>
              <w:t> </w:t>
            </w:r>
            <w:r>
              <w:rPr>
                <w:sz w:val="16"/>
              </w:rPr>
              <w:t>staffing</w:t>
            </w:r>
            <w:r>
              <w:rPr>
                <w:spacing w:val="-1"/>
                <w:sz w:val="16"/>
              </w:rPr>
              <w:t> </w:t>
            </w:r>
            <w:r>
              <w:rPr>
                <w:sz w:val="16"/>
              </w:rPr>
              <w:t>requirement.</w:t>
            </w:r>
          </w:p>
        </w:tc>
        <w:tc>
          <w:tcPr>
            <w:tcW w:w="4173" w:type="dxa"/>
          </w:tcPr>
          <w:p>
            <w:pPr>
              <w:pStyle w:val="TableParagraph"/>
              <w:spacing w:line="264" w:lineRule="auto"/>
              <w:ind w:left="109" w:right="204"/>
              <w:jc w:val="both"/>
              <w:rPr>
                <w:sz w:val="16"/>
              </w:rPr>
            </w:pPr>
            <w:r>
              <w:rPr>
                <w:sz w:val="16"/>
              </w:rPr>
              <w:t>Comparative</w:t>
            </w:r>
            <w:r>
              <w:rPr>
                <w:spacing w:val="-3"/>
                <w:sz w:val="16"/>
              </w:rPr>
              <w:t> </w:t>
            </w:r>
            <w:r>
              <w:rPr>
                <w:sz w:val="16"/>
              </w:rPr>
              <w:t>savings</w:t>
            </w:r>
            <w:r>
              <w:rPr>
                <w:spacing w:val="-4"/>
                <w:sz w:val="16"/>
              </w:rPr>
              <w:t> </w:t>
            </w:r>
            <w:r>
              <w:rPr>
                <w:sz w:val="16"/>
              </w:rPr>
              <w:t>of</w:t>
            </w:r>
            <w:r>
              <w:rPr>
                <w:spacing w:val="-4"/>
                <w:sz w:val="16"/>
              </w:rPr>
              <w:t> </w:t>
            </w:r>
            <w:r>
              <w:rPr>
                <w:sz w:val="16"/>
              </w:rPr>
              <w:t>€85.6</w:t>
            </w:r>
            <w:r>
              <w:rPr>
                <w:spacing w:val="-2"/>
                <w:sz w:val="16"/>
              </w:rPr>
              <w:t> </w:t>
            </w:r>
            <w:r>
              <w:rPr>
                <w:sz w:val="16"/>
              </w:rPr>
              <w:t>thousand</w:t>
            </w:r>
            <w:r>
              <w:rPr>
                <w:spacing w:val="-2"/>
                <w:sz w:val="16"/>
              </w:rPr>
              <w:t> </w:t>
            </w:r>
            <w:r>
              <w:rPr>
                <w:sz w:val="16"/>
              </w:rPr>
              <w:t>in staff</w:t>
            </w:r>
            <w:r>
              <w:rPr>
                <w:spacing w:val="-4"/>
                <w:sz w:val="16"/>
              </w:rPr>
              <w:t> </w:t>
            </w:r>
            <w:r>
              <w:rPr>
                <w:sz w:val="16"/>
              </w:rPr>
              <w:t>costs</w:t>
            </w:r>
            <w:r>
              <w:rPr>
                <w:spacing w:val="-4"/>
                <w:sz w:val="16"/>
              </w:rPr>
              <w:t> </w:t>
            </w:r>
            <w:r>
              <w:rPr>
                <w:sz w:val="16"/>
              </w:rPr>
              <w:t>of</w:t>
            </w:r>
            <w:r>
              <w:rPr>
                <w:spacing w:val="-4"/>
                <w:sz w:val="16"/>
              </w:rPr>
              <w:t> </w:t>
            </w:r>
            <w:r>
              <w:rPr>
                <w:sz w:val="16"/>
              </w:rPr>
              <w:t>one</w:t>
            </w:r>
            <w:r>
              <w:rPr>
                <w:spacing w:val="40"/>
                <w:sz w:val="16"/>
              </w:rPr>
              <w:t> </w:t>
            </w:r>
            <w:r>
              <w:rPr>
                <w:sz w:val="16"/>
              </w:rPr>
              <w:t>P-2</w:t>
            </w:r>
            <w:r>
              <w:rPr>
                <w:spacing w:val="-4"/>
                <w:sz w:val="16"/>
              </w:rPr>
              <w:t> </w:t>
            </w:r>
            <w:r>
              <w:rPr>
                <w:sz w:val="16"/>
              </w:rPr>
              <w:t>and</w:t>
            </w:r>
            <w:r>
              <w:rPr>
                <w:spacing w:val="-4"/>
                <w:sz w:val="16"/>
              </w:rPr>
              <w:t> </w:t>
            </w:r>
            <w:r>
              <w:rPr>
                <w:sz w:val="16"/>
              </w:rPr>
              <w:t>two</w:t>
            </w:r>
            <w:r>
              <w:rPr>
                <w:spacing w:val="-4"/>
                <w:sz w:val="16"/>
              </w:rPr>
              <w:t> </w:t>
            </w:r>
            <w:r>
              <w:rPr>
                <w:sz w:val="16"/>
              </w:rPr>
              <w:t>GS-OL</w:t>
            </w:r>
            <w:r>
              <w:rPr>
                <w:spacing w:val="-7"/>
                <w:sz w:val="16"/>
              </w:rPr>
              <w:t> </w:t>
            </w:r>
            <w:r>
              <w:rPr>
                <w:sz w:val="16"/>
              </w:rPr>
              <w:t>against</w:t>
            </w:r>
            <w:r>
              <w:rPr>
                <w:spacing w:val="-7"/>
                <w:sz w:val="16"/>
              </w:rPr>
              <w:t> </w:t>
            </w:r>
            <w:r>
              <w:rPr>
                <w:sz w:val="16"/>
              </w:rPr>
              <w:t>the</w:t>
            </w:r>
            <w:r>
              <w:rPr>
                <w:spacing w:val="-5"/>
                <w:sz w:val="16"/>
              </w:rPr>
              <w:t> </w:t>
            </w:r>
            <w:r>
              <w:rPr>
                <w:sz w:val="16"/>
              </w:rPr>
              <w:t>SSA</w:t>
            </w:r>
            <w:r>
              <w:rPr>
                <w:spacing w:val="-2"/>
                <w:sz w:val="16"/>
              </w:rPr>
              <w:t> </w:t>
            </w:r>
            <w:r>
              <w:rPr>
                <w:sz w:val="16"/>
              </w:rPr>
              <w:t>Witness</w:t>
            </w:r>
            <w:r>
              <w:rPr>
                <w:spacing w:val="-6"/>
                <w:sz w:val="16"/>
              </w:rPr>
              <w:t> </w:t>
            </w:r>
            <w:r>
              <w:rPr>
                <w:sz w:val="16"/>
              </w:rPr>
              <w:t>Assistant</w:t>
            </w:r>
            <w:r>
              <w:rPr>
                <w:spacing w:val="-7"/>
                <w:sz w:val="16"/>
              </w:rPr>
              <w:t> </w:t>
            </w:r>
            <w:r>
              <w:rPr>
                <w:sz w:val="16"/>
              </w:rPr>
              <w:t>pool</w:t>
            </w:r>
            <w:r>
              <w:rPr>
                <w:spacing w:val="40"/>
                <w:sz w:val="16"/>
              </w:rPr>
              <w:t> </w:t>
            </w:r>
            <w:r>
              <w:rPr>
                <w:sz w:val="16"/>
              </w:rPr>
              <w:t>for an estimated 400 court days.</w:t>
            </w:r>
          </w:p>
        </w:tc>
        <w:tc>
          <w:tcPr>
            <w:tcW w:w="1129" w:type="dxa"/>
          </w:tcPr>
          <w:p>
            <w:pPr>
              <w:pStyle w:val="TableParagraph"/>
              <w:spacing w:before="9"/>
              <w:jc w:val="left"/>
              <w:rPr>
                <w:b/>
                <w:sz w:val="15"/>
              </w:rPr>
            </w:pPr>
          </w:p>
          <w:p>
            <w:pPr>
              <w:pStyle w:val="TableParagraph"/>
              <w:ind w:left="575"/>
              <w:jc w:val="left"/>
              <w:rPr>
                <w:sz w:val="16"/>
              </w:rPr>
            </w:pPr>
            <w:r>
              <w:rPr>
                <w:spacing w:val="-2"/>
                <w:sz w:val="16"/>
              </w:rPr>
              <w:t>85,600</w:t>
            </w:r>
          </w:p>
        </w:tc>
        <w:tc>
          <w:tcPr>
            <w:tcW w:w="1297" w:type="dxa"/>
          </w:tcPr>
          <w:p>
            <w:pPr>
              <w:pStyle w:val="TableParagraph"/>
              <w:spacing w:before="5"/>
              <w:jc w:val="left"/>
              <w:rPr>
                <w:b/>
                <w:sz w:val="17"/>
              </w:rPr>
            </w:pPr>
          </w:p>
          <w:p>
            <w:pPr>
              <w:pStyle w:val="TableParagraph"/>
              <w:spacing w:before="1"/>
              <w:ind w:right="98"/>
              <w:rPr>
                <w:sz w:val="16"/>
              </w:rPr>
            </w:pPr>
            <w:r>
              <w:rPr>
                <w:spacing w:val="-2"/>
                <w:sz w:val="16"/>
              </w:rPr>
              <w:t>85,600</w:t>
            </w:r>
          </w:p>
        </w:tc>
      </w:tr>
    </w:tbl>
    <w:p>
      <w:pPr>
        <w:pStyle w:val="BodyText"/>
        <w:rPr>
          <w:b/>
        </w:rPr>
      </w:pPr>
    </w:p>
    <w:p>
      <w:pPr>
        <w:pStyle w:val="BodyText"/>
        <w:rPr>
          <w:b/>
        </w:rPr>
      </w:pPr>
    </w:p>
    <w:p>
      <w:pPr>
        <w:pStyle w:val="BodyText"/>
        <w:rPr>
          <w:b/>
        </w:rPr>
      </w:pPr>
    </w:p>
    <w:p>
      <w:pPr>
        <w:pStyle w:val="BodyText"/>
        <w:spacing w:before="1"/>
        <w:rPr>
          <w:b/>
          <w:sz w:val="16"/>
        </w:rPr>
      </w:pPr>
      <w:r>
        <w:rPr/>
        <w:pict>
          <v:rect style="position:absolute;margin-left:113.330002pt;margin-top:10.48296pt;width:144.050pt;height:.47998pt;mso-position-horizontal-relative:page;mso-position-vertical-relative:paragraph;z-index:-15667712;mso-wrap-distance-left:0;mso-wrap-distance-right:0" id="docshape514" filled="true" fillcolor="#000000" stroked="false">
            <v:fill type="solid"/>
            <w10:wrap type="topAndBottom"/>
          </v:rect>
        </w:pict>
      </w:r>
    </w:p>
    <w:p>
      <w:pPr>
        <w:spacing w:line="240" w:lineRule="auto" w:before="86"/>
        <w:ind w:left="2246" w:right="2243" w:firstLine="0"/>
        <w:jc w:val="both"/>
        <w:rPr>
          <w:sz w:val="16"/>
        </w:rPr>
      </w:pPr>
      <w:r>
        <w:rPr>
          <w:position w:val="5"/>
          <w:sz w:val="10"/>
        </w:rPr>
        <w:t>158</w:t>
      </w:r>
      <w:r>
        <w:rPr>
          <w:spacing w:val="34"/>
          <w:position w:val="5"/>
          <w:sz w:val="10"/>
        </w:rPr>
        <w:t> </w:t>
      </w:r>
      <w:r>
        <w:rPr>
          <w:i/>
          <w:sz w:val="16"/>
        </w:rPr>
        <w:t>Official Records of the Assembly of States Parties to the Rome Statute of the International Criminal Court,</w:t>
      </w:r>
      <w:r>
        <w:rPr>
          <w:i/>
          <w:spacing w:val="40"/>
          <w:sz w:val="16"/>
        </w:rPr>
        <w:t> </w:t>
      </w:r>
      <w:r>
        <w:rPr>
          <w:i/>
          <w:sz w:val="16"/>
        </w:rPr>
        <w:t>Fifteenth session, The Hague, 16-24 November 2016</w:t>
      </w:r>
      <w:r>
        <w:rPr>
          <w:i/>
          <w:spacing w:val="40"/>
          <w:sz w:val="16"/>
        </w:rPr>
        <w:t> </w:t>
      </w:r>
      <w:r>
        <w:rPr>
          <w:sz w:val="16"/>
        </w:rPr>
        <w:t>(ICC-ASP/15/20), vol. I, part III, ICC-ASP/15/Res.1,</w:t>
      </w:r>
      <w:r>
        <w:rPr>
          <w:spacing w:val="40"/>
          <w:sz w:val="16"/>
        </w:rPr>
        <w:t> </w:t>
      </w:r>
      <w:r>
        <w:rPr>
          <w:sz w:val="16"/>
        </w:rPr>
        <w:t>Section L,</w:t>
      </w:r>
      <w:r>
        <w:rPr>
          <w:spacing w:val="40"/>
          <w:sz w:val="16"/>
        </w:rPr>
        <w:t> </w:t>
      </w:r>
      <w:r>
        <w:rPr>
          <w:sz w:val="16"/>
        </w:rPr>
        <w:t>paras.</w:t>
      </w:r>
      <w:r>
        <w:rPr>
          <w:spacing w:val="40"/>
          <w:sz w:val="16"/>
        </w:rPr>
        <w:t> </w:t>
      </w:r>
      <w:r>
        <w:rPr>
          <w:sz w:val="16"/>
        </w:rPr>
        <w:t>1-2;</w:t>
      </w:r>
      <w:r>
        <w:rPr>
          <w:spacing w:val="40"/>
          <w:sz w:val="16"/>
        </w:rPr>
        <w:t> </w:t>
      </w:r>
      <w:r>
        <w:rPr>
          <w:sz w:val="16"/>
        </w:rPr>
        <w:t>ICC-ASP/16/10,</w:t>
      </w:r>
      <w:r>
        <w:rPr>
          <w:spacing w:val="40"/>
          <w:sz w:val="16"/>
        </w:rPr>
        <w:t> </w:t>
      </w:r>
      <w:r>
        <w:rPr>
          <w:sz w:val="16"/>
        </w:rPr>
        <w:t>paras.</w:t>
      </w:r>
      <w:r>
        <w:rPr>
          <w:spacing w:val="40"/>
          <w:sz w:val="16"/>
        </w:rPr>
        <w:t> </w:t>
      </w:r>
      <w:r>
        <w:rPr>
          <w:sz w:val="16"/>
        </w:rPr>
        <w:t>38-51</w:t>
      </w:r>
      <w:r>
        <w:rPr>
          <w:spacing w:val="40"/>
          <w:sz w:val="16"/>
        </w:rPr>
        <w:t> </w:t>
      </w:r>
      <w:r>
        <w:rPr>
          <w:sz w:val="16"/>
        </w:rPr>
        <w:t>and</w:t>
      </w:r>
      <w:r>
        <w:rPr>
          <w:spacing w:val="40"/>
          <w:sz w:val="16"/>
        </w:rPr>
        <w:t> </w:t>
      </w:r>
      <w:r>
        <w:rPr>
          <w:sz w:val="16"/>
        </w:rPr>
        <w:t>Annex</w:t>
      </w:r>
      <w:r>
        <w:rPr>
          <w:spacing w:val="40"/>
          <w:sz w:val="16"/>
        </w:rPr>
        <w:t> </w:t>
      </w:r>
      <w:r>
        <w:rPr>
          <w:sz w:val="16"/>
        </w:rPr>
        <w:t>X;</w:t>
      </w:r>
      <w:r>
        <w:rPr>
          <w:spacing w:val="40"/>
          <w:sz w:val="16"/>
        </w:rPr>
        <w:t> </w:t>
      </w:r>
      <w:r>
        <w:rPr>
          <w:sz w:val="16"/>
        </w:rPr>
        <w:t>ICC-ASP/16/Res.1,</w:t>
      </w:r>
      <w:r>
        <w:rPr>
          <w:spacing w:val="40"/>
          <w:sz w:val="16"/>
        </w:rPr>
        <w:t> </w:t>
      </w:r>
      <w:r>
        <w:rPr>
          <w:sz w:val="16"/>
        </w:rPr>
        <w:t>Section</w:t>
      </w:r>
      <w:r>
        <w:rPr>
          <w:spacing w:val="40"/>
          <w:sz w:val="16"/>
        </w:rPr>
        <w:t> </w:t>
      </w:r>
      <w:r>
        <w:rPr>
          <w:sz w:val="16"/>
        </w:rPr>
        <w:t>K,</w:t>
      </w:r>
      <w:r>
        <w:rPr>
          <w:spacing w:val="40"/>
          <w:sz w:val="16"/>
        </w:rPr>
        <w:t> </w:t>
      </w:r>
      <w:r>
        <w:rPr>
          <w:sz w:val="16"/>
        </w:rPr>
        <w:t>para.</w:t>
      </w:r>
      <w:r>
        <w:rPr>
          <w:spacing w:val="40"/>
          <w:sz w:val="16"/>
        </w:rPr>
        <w:t> </w:t>
      </w:r>
      <w:r>
        <w:rPr>
          <w:sz w:val="16"/>
        </w:rPr>
        <w:t>2;</w:t>
      </w:r>
      <w:r>
        <w:rPr>
          <w:spacing w:val="40"/>
          <w:sz w:val="16"/>
        </w:rPr>
        <w:t> </w:t>
      </w:r>
      <w:r>
        <w:rPr>
          <w:sz w:val="16"/>
        </w:rPr>
        <w:t>ICC-ASP/17/5, para. 17.</w:t>
      </w:r>
    </w:p>
    <w:p>
      <w:pPr>
        <w:spacing w:after="0" w:line="240" w:lineRule="auto"/>
        <w:jc w:val="both"/>
        <w:rPr>
          <w:sz w:val="16"/>
        </w:rPr>
        <w:sectPr>
          <w:pgSz w:w="11910" w:h="16840"/>
          <w:pgMar w:header="953" w:footer="940" w:top="1140" w:bottom="1140" w:left="20" w:right="20"/>
        </w:sectPr>
      </w:pPr>
    </w:p>
    <w:tbl>
      <w:tblPr>
        <w:tblW w:w="0" w:type="auto"/>
        <w:jc w:val="left"/>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45"/>
        <w:gridCol w:w="4173"/>
        <w:gridCol w:w="1129"/>
        <w:gridCol w:w="1297"/>
      </w:tblGrid>
      <w:tr>
        <w:trPr>
          <w:trHeight w:val="1235" w:hRule="atLeast"/>
        </w:trPr>
        <w:tc>
          <w:tcPr>
            <w:tcW w:w="3045" w:type="dxa"/>
            <w:tcBorders>
              <w:left w:val="nil"/>
              <w:right w:val="nil"/>
            </w:tcBorders>
          </w:tcPr>
          <w:p>
            <w:pPr>
              <w:pStyle w:val="TableParagraph"/>
              <w:jc w:val="left"/>
              <w:rPr>
                <w:sz w:val="18"/>
              </w:rPr>
            </w:pPr>
          </w:p>
          <w:p>
            <w:pPr>
              <w:pStyle w:val="TableParagraph"/>
              <w:spacing w:before="9"/>
              <w:jc w:val="left"/>
              <w:rPr>
                <w:sz w:val="21"/>
              </w:rPr>
            </w:pPr>
          </w:p>
          <w:p>
            <w:pPr>
              <w:pStyle w:val="TableParagraph"/>
              <w:ind w:left="1147" w:right="1132"/>
              <w:jc w:val="center"/>
              <w:rPr>
                <w:sz w:val="16"/>
              </w:rPr>
            </w:pPr>
            <w:r>
              <w:rPr>
                <w:spacing w:val="-2"/>
                <w:sz w:val="16"/>
              </w:rPr>
              <w:t>Description</w:t>
            </w:r>
          </w:p>
        </w:tc>
        <w:tc>
          <w:tcPr>
            <w:tcW w:w="4173" w:type="dxa"/>
            <w:tcBorders>
              <w:left w:val="nil"/>
              <w:right w:val="nil"/>
            </w:tcBorders>
          </w:tcPr>
          <w:p>
            <w:pPr>
              <w:pStyle w:val="TableParagraph"/>
              <w:jc w:val="left"/>
              <w:rPr>
                <w:sz w:val="18"/>
              </w:rPr>
            </w:pPr>
          </w:p>
          <w:p>
            <w:pPr>
              <w:pStyle w:val="TableParagraph"/>
              <w:spacing w:before="9"/>
              <w:jc w:val="left"/>
              <w:rPr>
                <w:sz w:val="21"/>
              </w:rPr>
            </w:pPr>
          </w:p>
          <w:p>
            <w:pPr>
              <w:pStyle w:val="TableParagraph"/>
              <w:ind w:left="1166"/>
              <w:jc w:val="left"/>
              <w:rPr>
                <w:sz w:val="16"/>
              </w:rPr>
            </w:pPr>
            <w:r>
              <w:rPr>
                <w:sz w:val="16"/>
              </w:rPr>
              <w:t>Achieved</w:t>
            </w:r>
            <w:r>
              <w:rPr>
                <w:spacing w:val="-4"/>
                <w:sz w:val="16"/>
              </w:rPr>
              <w:t> </w:t>
            </w:r>
            <w:r>
              <w:rPr>
                <w:sz w:val="16"/>
              </w:rPr>
              <w:t>output</w:t>
            </w:r>
            <w:r>
              <w:rPr>
                <w:spacing w:val="-6"/>
                <w:sz w:val="16"/>
              </w:rPr>
              <w:t> </w:t>
            </w:r>
            <w:r>
              <w:rPr>
                <w:sz w:val="16"/>
              </w:rPr>
              <w:t>(2023</w:t>
            </w:r>
            <w:r>
              <w:rPr>
                <w:spacing w:val="-3"/>
                <w:sz w:val="16"/>
              </w:rPr>
              <w:t> </w:t>
            </w:r>
            <w:r>
              <w:rPr>
                <w:spacing w:val="-4"/>
                <w:sz w:val="16"/>
              </w:rPr>
              <w:t>PPB)</w:t>
            </w:r>
          </w:p>
        </w:tc>
        <w:tc>
          <w:tcPr>
            <w:tcW w:w="1129" w:type="dxa"/>
            <w:tcBorders>
              <w:left w:val="nil"/>
              <w:right w:val="nil"/>
            </w:tcBorders>
          </w:tcPr>
          <w:p>
            <w:pPr>
              <w:pStyle w:val="TableParagraph"/>
              <w:spacing w:before="1"/>
              <w:ind w:left="133" w:right="125" w:hanging="6"/>
              <w:jc w:val="center"/>
              <w:rPr>
                <w:i/>
                <w:sz w:val="16"/>
              </w:rPr>
            </w:pPr>
            <w:r>
              <w:rPr>
                <w:i/>
                <w:sz w:val="16"/>
              </w:rPr>
              <w:t>2022</w:t>
            </w:r>
            <w:r>
              <w:rPr>
                <w:i/>
                <w:spacing w:val="-1"/>
                <w:sz w:val="16"/>
              </w:rPr>
              <w:t> </w:t>
            </w:r>
            <w:r>
              <w:rPr>
                <w:i/>
                <w:sz w:val="16"/>
              </w:rPr>
              <w:t>Costs</w:t>
            </w:r>
            <w:r>
              <w:rPr>
                <w:i/>
                <w:spacing w:val="40"/>
                <w:sz w:val="16"/>
              </w:rPr>
              <w:t> </w:t>
            </w:r>
            <w:r>
              <w:rPr>
                <w:i/>
                <w:spacing w:val="-2"/>
                <w:sz w:val="16"/>
              </w:rPr>
              <w:t>avoided</w:t>
            </w:r>
            <w:r>
              <w:rPr>
                <w:i/>
                <w:spacing w:val="40"/>
                <w:sz w:val="16"/>
              </w:rPr>
              <w:t> </w:t>
            </w:r>
            <w:r>
              <w:rPr>
                <w:i/>
                <w:spacing w:val="-2"/>
                <w:sz w:val="16"/>
              </w:rPr>
              <w:t>(baseline</w:t>
            </w:r>
            <w:r>
              <w:rPr>
                <w:i/>
                <w:spacing w:val="40"/>
                <w:sz w:val="16"/>
              </w:rPr>
              <w:t> </w:t>
            </w:r>
            <w:r>
              <w:rPr>
                <w:i/>
                <w:spacing w:val="-2"/>
                <w:sz w:val="16"/>
              </w:rPr>
              <w:t>maintained)</w:t>
            </w:r>
            <w:r>
              <w:rPr>
                <w:i/>
                <w:spacing w:val="40"/>
                <w:sz w:val="16"/>
              </w:rPr>
              <w:t> </w:t>
            </w:r>
            <w:r>
              <w:rPr>
                <w:i/>
                <w:w w:val="95"/>
                <w:sz w:val="16"/>
              </w:rPr>
              <w:t>(thousands</w:t>
            </w:r>
            <w:r>
              <w:rPr>
                <w:i/>
                <w:spacing w:val="30"/>
                <w:sz w:val="16"/>
              </w:rPr>
              <w:t> </w:t>
            </w:r>
            <w:r>
              <w:rPr>
                <w:i/>
                <w:spacing w:val="-5"/>
                <w:sz w:val="16"/>
              </w:rPr>
              <w:t>of</w:t>
            </w:r>
          </w:p>
          <w:p>
            <w:pPr>
              <w:pStyle w:val="TableParagraph"/>
              <w:spacing w:line="167" w:lineRule="exact"/>
              <w:ind w:left="351" w:right="340"/>
              <w:jc w:val="center"/>
              <w:rPr>
                <w:i/>
                <w:sz w:val="16"/>
              </w:rPr>
            </w:pPr>
            <w:r>
              <w:rPr>
                <w:i/>
                <w:spacing w:val="-2"/>
                <w:sz w:val="16"/>
              </w:rPr>
              <w:t>euros)</w:t>
            </w:r>
          </w:p>
        </w:tc>
        <w:tc>
          <w:tcPr>
            <w:tcW w:w="1297" w:type="dxa"/>
            <w:tcBorders>
              <w:left w:val="nil"/>
              <w:right w:val="nil"/>
            </w:tcBorders>
          </w:tcPr>
          <w:p>
            <w:pPr>
              <w:pStyle w:val="TableParagraph"/>
              <w:jc w:val="left"/>
              <w:rPr>
                <w:sz w:val="16"/>
              </w:rPr>
            </w:pPr>
          </w:p>
          <w:p>
            <w:pPr>
              <w:pStyle w:val="TableParagraph"/>
              <w:ind w:left="142" w:right="143"/>
              <w:jc w:val="center"/>
              <w:rPr>
                <w:i/>
                <w:sz w:val="16"/>
              </w:rPr>
            </w:pPr>
            <w:r>
              <w:rPr>
                <w:i/>
                <w:sz w:val="16"/>
              </w:rPr>
              <w:t>2023</w:t>
            </w:r>
            <w:r>
              <w:rPr>
                <w:i/>
                <w:spacing w:val="-10"/>
                <w:sz w:val="16"/>
              </w:rPr>
              <w:t> </w:t>
            </w:r>
            <w:r>
              <w:rPr>
                <w:i/>
                <w:sz w:val="16"/>
              </w:rPr>
              <w:t>Reduction</w:t>
            </w:r>
            <w:r>
              <w:rPr>
                <w:i/>
                <w:spacing w:val="40"/>
                <w:sz w:val="16"/>
              </w:rPr>
              <w:t> </w:t>
            </w:r>
            <w:r>
              <w:rPr>
                <w:i/>
                <w:sz w:val="16"/>
              </w:rPr>
              <w:t>in</w:t>
            </w:r>
            <w:r>
              <w:rPr>
                <w:i/>
                <w:spacing w:val="-1"/>
                <w:sz w:val="16"/>
              </w:rPr>
              <w:t> </w:t>
            </w:r>
            <w:r>
              <w:rPr>
                <w:i/>
                <w:sz w:val="16"/>
              </w:rPr>
              <w:t>baseline</w:t>
            </w:r>
            <w:r>
              <w:rPr>
                <w:i/>
                <w:spacing w:val="40"/>
                <w:sz w:val="16"/>
              </w:rPr>
              <w:t> </w:t>
            </w:r>
            <w:r>
              <w:rPr>
                <w:i/>
                <w:sz w:val="16"/>
              </w:rPr>
              <w:t>(thousands</w:t>
            </w:r>
            <w:r>
              <w:rPr>
                <w:i/>
                <w:spacing w:val="-5"/>
                <w:sz w:val="16"/>
              </w:rPr>
              <w:t> </w:t>
            </w:r>
            <w:r>
              <w:rPr>
                <w:i/>
                <w:sz w:val="16"/>
              </w:rPr>
              <w:t>of</w:t>
            </w:r>
            <w:r>
              <w:rPr>
                <w:i/>
                <w:spacing w:val="40"/>
                <w:sz w:val="16"/>
              </w:rPr>
              <w:t> </w:t>
            </w:r>
            <w:r>
              <w:rPr>
                <w:i/>
                <w:spacing w:val="-2"/>
                <w:sz w:val="16"/>
              </w:rPr>
              <w:t>euros)</w:t>
            </w:r>
          </w:p>
        </w:tc>
      </w:tr>
      <w:tr>
        <w:trPr>
          <w:trHeight w:val="2539" w:hRule="atLeast"/>
        </w:trPr>
        <w:tc>
          <w:tcPr>
            <w:tcW w:w="3045" w:type="dxa"/>
          </w:tcPr>
          <w:p>
            <w:pPr>
              <w:pStyle w:val="TableParagraph"/>
              <w:spacing w:before="1"/>
              <w:ind w:left="110"/>
              <w:jc w:val="left"/>
              <w:rPr>
                <w:sz w:val="16"/>
              </w:rPr>
            </w:pPr>
            <w:r>
              <w:rPr>
                <w:sz w:val="16"/>
              </w:rPr>
              <w:t>Interview</w:t>
            </w:r>
            <w:r>
              <w:rPr>
                <w:spacing w:val="-3"/>
                <w:sz w:val="16"/>
              </w:rPr>
              <w:t> </w:t>
            </w:r>
            <w:r>
              <w:rPr>
                <w:sz w:val="16"/>
              </w:rPr>
              <w:t>location:</w:t>
            </w:r>
            <w:r>
              <w:rPr>
                <w:spacing w:val="-4"/>
                <w:sz w:val="16"/>
              </w:rPr>
              <w:t> </w:t>
            </w:r>
            <w:r>
              <w:rPr>
                <w:sz w:val="16"/>
              </w:rPr>
              <w:t>Cox’s</w:t>
            </w:r>
            <w:r>
              <w:rPr>
                <w:spacing w:val="-3"/>
                <w:sz w:val="16"/>
              </w:rPr>
              <w:t> </w:t>
            </w:r>
            <w:r>
              <w:rPr>
                <w:spacing w:val="-2"/>
                <w:sz w:val="16"/>
              </w:rPr>
              <w:t>Bazar.</w:t>
            </w:r>
          </w:p>
        </w:tc>
        <w:tc>
          <w:tcPr>
            <w:tcW w:w="4173" w:type="dxa"/>
          </w:tcPr>
          <w:p>
            <w:pPr>
              <w:pStyle w:val="TableParagraph"/>
              <w:spacing w:line="259" w:lineRule="auto"/>
              <w:ind w:left="109" w:right="101"/>
              <w:jc w:val="left"/>
              <w:rPr>
                <w:sz w:val="16"/>
              </w:rPr>
            </w:pPr>
            <w:r>
              <w:rPr>
                <w:sz w:val="16"/>
              </w:rPr>
              <w:t>The current rental rate of hotel facilities suitable for</w:t>
            </w:r>
            <w:r>
              <w:rPr>
                <w:spacing w:val="40"/>
                <w:sz w:val="16"/>
              </w:rPr>
              <w:t> </w:t>
            </w:r>
            <w:r>
              <w:rPr>
                <w:sz w:val="16"/>
              </w:rPr>
              <w:t>conducting extensive interviews is approximately €185</w:t>
            </w:r>
            <w:r>
              <w:rPr>
                <w:spacing w:val="40"/>
                <w:sz w:val="16"/>
              </w:rPr>
              <w:t> </w:t>
            </w:r>
            <w:r>
              <w:rPr>
                <w:sz w:val="16"/>
              </w:rPr>
              <w:t>per</w:t>
            </w:r>
            <w:r>
              <w:rPr>
                <w:spacing w:val="40"/>
                <w:sz w:val="16"/>
              </w:rPr>
              <w:t> </w:t>
            </w:r>
            <w:r>
              <w:rPr>
                <w:sz w:val="16"/>
              </w:rPr>
              <w:t>day. On the basis of an estimated 120 days of on-location</w:t>
            </w:r>
            <w:r>
              <w:rPr>
                <w:spacing w:val="40"/>
                <w:sz w:val="16"/>
              </w:rPr>
              <w:t> </w:t>
            </w:r>
            <w:r>
              <w:rPr>
                <w:sz w:val="16"/>
              </w:rPr>
              <w:t>interviews</w:t>
            </w:r>
            <w:r>
              <w:rPr>
                <w:spacing w:val="-7"/>
                <w:sz w:val="16"/>
              </w:rPr>
              <w:t> </w:t>
            </w:r>
            <w:r>
              <w:rPr>
                <w:sz w:val="16"/>
              </w:rPr>
              <w:t>required</w:t>
            </w:r>
            <w:r>
              <w:rPr>
                <w:spacing w:val="-5"/>
                <w:sz w:val="16"/>
              </w:rPr>
              <w:t> </w:t>
            </w:r>
            <w:r>
              <w:rPr>
                <w:sz w:val="16"/>
              </w:rPr>
              <w:t>for</w:t>
            </w:r>
            <w:r>
              <w:rPr>
                <w:spacing w:val="-7"/>
                <w:sz w:val="16"/>
              </w:rPr>
              <w:t> </w:t>
            </w:r>
            <w:r>
              <w:rPr>
                <w:sz w:val="16"/>
              </w:rPr>
              <w:t>the</w:t>
            </w:r>
            <w:r>
              <w:rPr>
                <w:spacing w:val="-6"/>
                <w:sz w:val="16"/>
              </w:rPr>
              <w:t> </w:t>
            </w:r>
            <w:r>
              <w:rPr>
                <w:sz w:val="16"/>
              </w:rPr>
              <w:t>ongoing</w:t>
            </w:r>
            <w:r>
              <w:rPr>
                <w:spacing w:val="-5"/>
                <w:sz w:val="16"/>
              </w:rPr>
              <w:t> </w:t>
            </w:r>
            <w:r>
              <w:rPr>
                <w:sz w:val="16"/>
              </w:rPr>
              <w:t>investigative</w:t>
            </w:r>
            <w:r>
              <w:rPr>
                <w:spacing w:val="-6"/>
                <w:sz w:val="16"/>
              </w:rPr>
              <w:t> </w:t>
            </w:r>
            <w:r>
              <w:rPr>
                <w:sz w:val="16"/>
              </w:rPr>
              <w:t>activity,</w:t>
            </w:r>
            <w:r>
              <w:rPr>
                <w:spacing w:val="-8"/>
                <w:sz w:val="16"/>
              </w:rPr>
              <w:t> </w:t>
            </w:r>
            <w:r>
              <w:rPr>
                <w:sz w:val="16"/>
              </w:rPr>
              <w:t>this</w:t>
            </w:r>
            <w:r>
              <w:rPr>
                <w:spacing w:val="40"/>
                <w:sz w:val="16"/>
              </w:rPr>
              <w:t> </w:t>
            </w:r>
            <w:r>
              <w:rPr>
                <w:sz w:val="16"/>
              </w:rPr>
              <w:t>would amount to a projected cost of €22,200 for the</w:t>
            </w:r>
            <w:r>
              <w:rPr>
                <w:spacing w:val="40"/>
                <w:sz w:val="16"/>
              </w:rPr>
              <w:t> </w:t>
            </w:r>
            <w:r>
              <w:rPr>
                <w:sz w:val="16"/>
              </w:rPr>
              <w:t>remainder of the year. Instead, the OTP has identified and</w:t>
            </w:r>
            <w:r>
              <w:rPr>
                <w:spacing w:val="40"/>
                <w:sz w:val="16"/>
              </w:rPr>
              <w:t> </w:t>
            </w:r>
            <w:r>
              <w:rPr>
                <w:sz w:val="16"/>
              </w:rPr>
              <w:t>leased a building for this purpose rather than using hotel</w:t>
            </w:r>
            <w:r>
              <w:rPr>
                <w:spacing w:val="40"/>
                <w:sz w:val="16"/>
              </w:rPr>
              <w:t> </w:t>
            </w:r>
            <w:r>
              <w:rPr>
                <w:sz w:val="16"/>
              </w:rPr>
              <w:t>accommodation under a 12-month rental agreement €1,000</w:t>
            </w:r>
            <w:r>
              <w:rPr>
                <w:spacing w:val="40"/>
                <w:sz w:val="16"/>
              </w:rPr>
              <w:t> </w:t>
            </w:r>
            <w:r>
              <w:rPr>
                <w:sz w:val="16"/>
              </w:rPr>
              <w:t>per month. This corresponds to cost savings in 2022</w:t>
            </w:r>
          </w:p>
          <w:p>
            <w:pPr>
              <w:pStyle w:val="TableParagraph"/>
              <w:spacing w:line="264" w:lineRule="auto"/>
              <w:ind w:left="109" w:right="141"/>
              <w:jc w:val="left"/>
              <w:rPr>
                <w:sz w:val="16"/>
              </w:rPr>
            </w:pPr>
            <w:r>
              <w:rPr>
                <w:sz w:val="16"/>
              </w:rPr>
              <w:t>(July-Dec.) of €15,200. It is anticipated that further</w:t>
            </w:r>
            <w:r>
              <w:rPr>
                <w:spacing w:val="40"/>
                <w:sz w:val="16"/>
              </w:rPr>
              <w:t> </w:t>
            </w:r>
            <w:r>
              <w:rPr>
                <w:sz w:val="16"/>
              </w:rPr>
              <w:t>investigative</w:t>
            </w:r>
            <w:r>
              <w:rPr>
                <w:spacing w:val="-6"/>
                <w:sz w:val="16"/>
              </w:rPr>
              <w:t> </w:t>
            </w:r>
            <w:r>
              <w:rPr>
                <w:sz w:val="16"/>
              </w:rPr>
              <w:t>activity</w:t>
            </w:r>
            <w:r>
              <w:rPr>
                <w:spacing w:val="-5"/>
                <w:sz w:val="16"/>
              </w:rPr>
              <w:t> </w:t>
            </w:r>
            <w:r>
              <w:rPr>
                <w:sz w:val="16"/>
              </w:rPr>
              <w:t>will</w:t>
            </w:r>
            <w:r>
              <w:rPr>
                <w:spacing w:val="-8"/>
                <w:sz w:val="16"/>
              </w:rPr>
              <w:t> </w:t>
            </w:r>
            <w:r>
              <w:rPr>
                <w:sz w:val="16"/>
              </w:rPr>
              <w:t>continue</w:t>
            </w:r>
            <w:r>
              <w:rPr>
                <w:spacing w:val="-6"/>
                <w:sz w:val="16"/>
              </w:rPr>
              <w:t> </w:t>
            </w:r>
            <w:r>
              <w:rPr>
                <w:sz w:val="16"/>
              </w:rPr>
              <w:t>in</w:t>
            </w:r>
            <w:r>
              <w:rPr>
                <w:spacing w:val="-5"/>
                <w:sz w:val="16"/>
              </w:rPr>
              <w:t> </w:t>
            </w:r>
            <w:r>
              <w:rPr>
                <w:sz w:val="16"/>
              </w:rPr>
              <w:t>2023;</w:t>
            </w:r>
            <w:r>
              <w:rPr>
                <w:spacing w:val="-8"/>
                <w:sz w:val="16"/>
              </w:rPr>
              <w:t> </w:t>
            </w:r>
            <w:r>
              <w:rPr>
                <w:sz w:val="16"/>
              </w:rPr>
              <w:t>therefore,</w:t>
            </w:r>
            <w:r>
              <w:rPr>
                <w:spacing w:val="-8"/>
                <w:sz w:val="16"/>
              </w:rPr>
              <w:t> </w:t>
            </w:r>
            <w:r>
              <w:rPr>
                <w:sz w:val="16"/>
              </w:rPr>
              <w:t>the</w:t>
            </w:r>
            <w:r>
              <w:rPr>
                <w:spacing w:val="40"/>
                <w:sz w:val="16"/>
              </w:rPr>
              <w:t> </w:t>
            </w:r>
            <w:r>
              <w:rPr>
                <w:sz w:val="16"/>
              </w:rPr>
              <w:t>savings will be higher than the amount indicated.</w:t>
            </w:r>
          </w:p>
        </w:tc>
        <w:tc>
          <w:tcPr>
            <w:tcW w:w="1129" w:type="dxa"/>
          </w:tcPr>
          <w:p>
            <w:pPr>
              <w:pStyle w:val="TableParagraph"/>
              <w:jc w:val="left"/>
              <w:rPr>
                <w:sz w:val="14"/>
              </w:rPr>
            </w:pPr>
          </w:p>
        </w:tc>
        <w:tc>
          <w:tcPr>
            <w:tcW w:w="1297" w:type="dxa"/>
          </w:tcPr>
          <w:p>
            <w:pPr>
              <w:pStyle w:val="TableParagraph"/>
              <w:spacing w:before="3"/>
              <w:jc w:val="left"/>
              <w:rPr>
                <w:sz w:val="17"/>
              </w:rPr>
            </w:pPr>
          </w:p>
          <w:p>
            <w:pPr>
              <w:pStyle w:val="TableParagraph"/>
              <w:ind w:right="98"/>
              <w:rPr>
                <w:sz w:val="16"/>
              </w:rPr>
            </w:pPr>
            <w:r>
              <w:rPr>
                <w:spacing w:val="-2"/>
                <w:sz w:val="16"/>
              </w:rPr>
              <w:t>15,200</w:t>
            </w:r>
          </w:p>
        </w:tc>
      </w:tr>
      <w:tr>
        <w:trPr>
          <w:trHeight w:val="1353" w:hRule="atLeast"/>
        </w:trPr>
        <w:tc>
          <w:tcPr>
            <w:tcW w:w="3045" w:type="dxa"/>
          </w:tcPr>
          <w:p>
            <w:pPr>
              <w:pStyle w:val="TableParagraph"/>
              <w:spacing w:line="261" w:lineRule="auto"/>
              <w:ind w:left="110" w:right="128"/>
              <w:jc w:val="left"/>
              <w:rPr>
                <w:sz w:val="16"/>
              </w:rPr>
            </w:pPr>
            <w:r>
              <w:rPr>
                <w:sz w:val="16"/>
              </w:rPr>
              <w:t>McAfee</w:t>
            </w:r>
            <w:r>
              <w:rPr>
                <w:spacing w:val="-10"/>
                <w:sz w:val="16"/>
              </w:rPr>
              <w:t> </w:t>
            </w:r>
            <w:r>
              <w:rPr>
                <w:sz w:val="16"/>
              </w:rPr>
              <w:t>and</w:t>
            </w:r>
            <w:r>
              <w:rPr>
                <w:spacing w:val="-9"/>
                <w:sz w:val="16"/>
              </w:rPr>
              <w:t> </w:t>
            </w:r>
            <w:r>
              <w:rPr>
                <w:sz w:val="16"/>
              </w:rPr>
              <w:t>Symantec</w:t>
            </w:r>
            <w:r>
              <w:rPr>
                <w:spacing w:val="-10"/>
                <w:sz w:val="16"/>
              </w:rPr>
              <w:t> </w:t>
            </w:r>
            <w:r>
              <w:rPr>
                <w:sz w:val="16"/>
              </w:rPr>
              <w:t>endpoint</w:t>
            </w:r>
            <w:r>
              <w:rPr>
                <w:spacing w:val="-10"/>
                <w:sz w:val="16"/>
              </w:rPr>
              <w:t> </w:t>
            </w:r>
            <w:r>
              <w:rPr>
                <w:sz w:val="16"/>
              </w:rPr>
              <w:t>protection</w:t>
            </w:r>
            <w:r>
              <w:rPr>
                <w:spacing w:val="40"/>
                <w:sz w:val="16"/>
              </w:rPr>
              <w:t> </w:t>
            </w:r>
            <w:r>
              <w:rPr>
                <w:sz w:val="16"/>
              </w:rPr>
              <w:t>software used to secure Court-issued</w:t>
            </w:r>
            <w:r>
              <w:rPr>
                <w:spacing w:val="40"/>
                <w:sz w:val="16"/>
              </w:rPr>
              <w:t> </w:t>
            </w:r>
            <w:r>
              <w:rPr>
                <w:sz w:val="16"/>
              </w:rPr>
              <w:t>laptops and desktops will be</w:t>
            </w:r>
            <w:r>
              <w:rPr>
                <w:spacing w:val="40"/>
                <w:sz w:val="16"/>
              </w:rPr>
              <w:t> </w:t>
            </w:r>
            <w:r>
              <w:rPr>
                <w:sz w:val="16"/>
              </w:rPr>
              <w:t>decommissioned and replaced with native</w:t>
            </w:r>
            <w:r>
              <w:rPr>
                <w:spacing w:val="40"/>
                <w:sz w:val="16"/>
              </w:rPr>
              <w:t> </w:t>
            </w:r>
            <w:r>
              <w:rPr>
                <w:sz w:val="16"/>
              </w:rPr>
              <w:t>Microsoft software included in the M365</w:t>
            </w:r>
            <w:r>
              <w:rPr>
                <w:spacing w:val="40"/>
                <w:sz w:val="16"/>
              </w:rPr>
              <w:t> </w:t>
            </w:r>
            <w:r>
              <w:rPr>
                <w:spacing w:val="-2"/>
                <w:sz w:val="16"/>
              </w:rPr>
              <w:t>subscription.</w:t>
            </w:r>
          </w:p>
        </w:tc>
        <w:tc>
          <w:tcPr>
            <w:tcW w:w="4173" w:type="dxa"/>
          </w:tcPr>
          <w:p>
            <w:pPr>
              <w:pStyle w:val="TableParagraph"/>
              <w:spacing w:line="264" w:lineRule="auto"/>
              <w:ind w:left="109" w:right="101"/>
              <w:jc w:val="left"/>
              <w:rPr>
                <w:sz w:val="16"/>
              </w:rPr>
            </w:pPr>
            <w:r>
              <w:rPr>
                <w:sz w:val="16"/>
              </w:rPr>
              <w:t>Decrease</w:t>
            </w:r>
            <w:r>
              <w:rPr>
                <w:spacing w:val="-5"/>
                <w:sz w:val="16"/>
              </w:rPr>
              <w:t> </w:t>
            </w:r>
            <w:r>
              <w:rPr>
                <w:sz w:val="16"/>
              </w:rPr>
              <w:t>of</w:t>
            </w:r>
            <w:r>
              <w:rPr>
                <w:spacing w:val="28"/>
                <w:sz w:val="16"/>
              </w:rPr>
              <w:t> </w:t>
            </w:r>
            <w:r>
              <w:rPr>
                <w:sz w:val="16"/>
              </w:rPr>
              <w:t>€19.5</w:t>
            </w:r>
            <w:r>
              <w:rPr>
                <w:spacing w:val="-4"/>
                <w:sz w:val="16"/>
              </w:rPr>
              <w:t> </w:t>
            </w:r>
            <w:r>
              <w:rPr>
                <w:sz w:val="16"/>
              </w:rPr>
              <w:t>thousand</w:t>
            </w:r>
            <w:r>
              <w:rPr>
                <w:spacing w:val="-4"/>
                <w:sz w:val="16"/>
              </w:rPr>
              <w:t> </w:t>
            </w:r>
            <w:r>
              <w:rPr>
                <w:sz w:val="16"/>
              </w:rPr>
              <w:t>in</w:t>
            </w:r>
            <w:r>
              <w:rPr>
                <w:spacing w:val="-4"/>
                <w:sz w:val="16"/>
              </w:rPr>
              <w:t> </w:t>
            </w:r>
            <w:r>
              <w:rPr>
                <w:sz w:val="16"/>
              </w:rPr>
              <w:t>software</w:t>
            </w:r>
            <w:r>
              <w:rPr>
                <w:spacing w:val="-5"/>
                <w:sz w:val="16"/>
              </w:rPr>
              <w:t> </w:t>
            </w:r>
            <w:r>
              <w:rPr>
                <w:sz w:val="16"/>
              </w:rPr>
              <w:t>maintenance</w:t>
            </w:r>
            <w:r>
              <w:rPr>
                <w:spacing w:val="-5"/>
                <w:sz w:val="16"/>
              </w:rPr>
              <w:t> </w:t>
            </w:r>
            <w:r>
              <w:rPr>
                <w:sz w:val="16"/>
              </w:rPr>
              <w:t>costs</w:t>
            </w:r>
            <w:r>
              <w:rPr>
                <w:spacing w:val="-6"/>
                <w:sz w:val="16"/>
              </w:rPr>
              <w:t> </w:t>
            </w:r>
            <w:r>
              <w:rPr>
                <w:sz w:val="16"/>
              </w:rPr>
              <w:t>as</w:t>
            </w:r>
            <w:r>
              <w:rPr>
                <w:spacing w:val="40"/>
                <w:sz w:val="16"/>
              </w:rPr>
              <w:t> </w:t>
            </w:r>
            <w:r>
              <w:rPr>
                <w:sz w:val="16"/>
              </w:rPr>
              <w:t>a result of decommissioning and replacement of endpoint</w:t>
            </w:r>
            <w:r>
              <w:rPr>
                <w:spacing w:val="40"/>
                <w:sz w:val="16"/>
              </w:rPr>
              <w:t> </w:t>
            </w:r>
            <w:r>
              <w:rPr>
                <w:sz w:val="16"/>
              </w:rPr>
              <w:t>protection</w:t>
            </w:r>
            <w:r>
              <w:rPr>
                <w:spacing w:val="-1"/>
                <w:sz w:val="16"/>
              </w:rPr>
              <w:t> </w:t>
            </w:r>
            <w:r>
              <w:rPr>
                <w:sz w:val="16"/>
              </w:rPr>
              <w:t>software.</w:t>
            </w:r>
          </w:p>
        </w:tc>
        <w:tc>
          <w:tcPr>
            <w:tcW w:w="1129" w:type="dxa"/>
          </w:tcPr>
          <w:p>
            <w:pPr>
              <w:pStyle w:val="TableParagraph"/>
              <w:jc w:val="left"/>
              <w:rPr>
                <w:sz w:val="14"/>
              </w:rPr>
            </w:pPr>
          </w:p>
        </w:tc>
        <w:tc>
          <w:tcPr>
            <w:tcW w:w="1297" w:type="dxa"/>
          </w:tcPr>
          <w:p>
            <w:pPr>
              <w:pStyle w:val="TableParagraph"/>
              <w:spacing w:before="7"/>
              <w:jc w:val="left"/>
              <w:rPr>
                <w:sz w:val="17"/>
              </w:rPr>
            </w:pPr>
          </w:p>
          <w:p>
            <w:pPr>
              <w:pStyle w:val="TableParagraph"/>
              <w:ind w:right="98"/>
              <w:rPr>
                <w:sz w:val="16"/>
              </w:rPr>
            </w:pPr>
            <w:r>
              <w:rPr>
                <w:spacing w:val="-2"/>
                <w:sz w:val="16"/>
              </w:rPr>
              <w:t>19,500</w:t>
            </w:r>
          </w:p>
        </w:tc>
      </w:tr>
      <w:tr>
        <w:trPr>
          <w:trHeight w:val="1151" w:hRule="atLeast"/>
        </w:trPr>
        <w:tc>
          <w:tcPr>
            <w:tcW w:w="3045" w:type="dxa"/>
          </w:tcPr>
          <w:p>
            <w:pPr>
              <w:pStyle w:val="TableParagraph"/>
              <w:spacing w:line="259" w:lineRule="auto"/>
              <w:ind w:left="110" w:right="105"/>
              <w:jc w:val="left"/>
              <w:rPr>
                <w:sz w:val="16"/>
              </w:rPr>
            </w:pPr>
            <w:r>
              <w:rPr>
                <w:sz w:val="16"/>
              </w:rPr>
              <w:t>Number</w:t>
            </w:r>
            <w:r>
              <w:rPr>
                <w:spacing w:val="-1"/>
                <w:sz w:val="16"/>
              </w:rPr>
              <w:t> </w:t>
            </w:r>
            <w:r>
              <w:rPr>
                <w:sz w:val="16"/>
              </w:rPr>
              <w:t>of</w:t>
            </w:r>
            <w:r>
              <w:rPr>
                <w:spacing w:val="-1"/>
                <w:sz w:val="16"/>
              </w:rPr>
              <w:t> </w:t>
            </w:r>
            <w:r>
              <w:rPr>
                <w:sz w:val="16"/>
              </w:rPr>
              <w:t>WebEx licences</w:t>
            </w:r>
            <w:r>
              <w:rPr>
                <w:spacing w:val="-1"/>
                <w:sz w:val="16"/>
              </w:rPr>
              <w:t> </w:t>
            </w:r>
            <w:r>
              <w:rPr>
                <w:sz w:val="16"/>
              </w:rPr>
              <w:t>used for</w:t>
            </w:r>
            <w:r>
              <w:rPr>
                <w:spacing w:val="-1"/>
                <w:sz w:val="16"/>
              </w:rPr>
              <w:t> </w:t>
            </w:r>
            <w:r>
              <w:rPr>
                <w:sz w:val="16"/>
              </w:rPr>
              <w:t>video</w:t>
            </w:r>
            <w:r>
              <w:rPr>
                <w:spacing w:val="40"/>
                <w:sz w:val="16"/>
              </w:rPr>
              <w:t> </w:t>
            </w:r>
            <w:r>
              <w:rPr>
                <w:sz w:val="16"/>
              </w:rPr>
              <w:t>teleconferencing</w:t>
            </w:r>
            <w:r>
              <w:rPr>
                <w:spacing w:val="-10"/>
                <w:sz w:val="16"/>
              </w:rPr>
              <w:t> </w:t>
            </w:r>
            <w:r>
              <w:rPr>
                <w:sz w:val="16"/>
              </w:rPr>
              <w:t>has</w:t>
            </w:r>
            <w:r>
              <w:rPr>
                <w:spacing w:val="-10"/>
                <w:sz w:val="16"/>
              </w:rPr>
              <w:t> </w:t>
            </w:r>
            <w:r>
              <w:rPr>
                <w:sz w:val="16"/>
              </w:rPr>
              <w:t>been</w:t>
            </w:r>
            <w:r>
              <w:rPr>
                <w:spacing w:val="-10"/>
                <w:sz w:val="16"/>
              </w:rPr>
              <w:t> </w:t>
            </w:r>
            <w:r>
              <w:rPr>
                <w:sz w:val="16"/>
              </w:rPr>
              <w:t>decreased</w:t>
            </w:r>
            <w:r>
              <w:rPr>
                <w:spacing w:val="-10"/>
                <w:sz w:val="16"/>
              </w:rPr>
              <w:t> </w:t>
            </w:r>
            <w:r>
              <w:rPr>
                <w:sz w:val="16"/>
              </w:rPr>
              <w:t>owing</w:t>
            </w:r>
            <w:r>
              <w:rPr>
                <w:spacing w:val="40"/>
                <w:sz w:val="16"/>
              </w:rPr>
              <w:t> </w:t>
            </w:r>
            <w:r>
              <w:rPr>
                <w:sz w:val="16"/>
              </w:rPr>
              <w:t>to the</w:t>
            </w:r>
            <w:r>
              <w:rPr>
                <w:spacing w:val="-1"/>
                <w:sz w:val="16"/>
              </w:rPr>
              <w:t> </w:t>
            </w:r>
            <w:r>
              <w:rPr>
                <w:sz w:val="16"/>
              </w:rPr>
              <w:t>adoption of</w:t>
            </w:r>
            <w:r>
              <w:rPr>
                <w:spacing w:val="-2"/>
                <w:sz w:val="16"/>
              </w:rPr>
              <w:t> </w:t>
            </w:r>
            <w:r>
              <w:rPr>
                <w:sz w:val="16"/>
              </w:rPr>
              <w:t>the</w:t>
            </w:r>
            <w:r>
              <w:rPr>
                <w:spacing w:val="-1"/>
                <w:sz w:val="16"/>
              </w:rPr>
              <w:t> </w:t>
            </w:r>
            <w:r>
              <w:rPr>
                <w:sz w:val="16"/>
              </w:rPr>
              <w:t>MS</w:t>
            </w:r>
            <w:r>
              <w:rPr>
                <w:spacing w:val="-4"/>
                <w:sz w:val="16"/>
              </w:rPr>
              <w:t> </w:t>
            </w:r>
            <w:r>
              <w:rPr>
                <w:sz w:val="16"/>
              </w:rPr>
              <w:t>Teams</w:t>
            </w:r>
            <w:r>
              <w:rPr>
                <w:spacing w:val="-2"/>
                <w:sz w:val="16"/>
              </w:rPr>
              <w:t> </w:t>
            </w:r>
            <w:r>
              <w:rPr>
                <w:sz w:val="16"/>
              </w:rPr>
              <w:t>software,</w:t>
            </w:r>
            <w:r>
              <w:rPr>
                <w:spacing w:val="40"/>
                <w:sz w:val="16"/>
              </w:rPr>
              <w:t> </w:t>
            </w:r>
            <w:r>
              <w:rPr>
                <w:sz w:val="16"/>
              </w:rPr>
              <w:t>part of the Microsoft M365 Cloud</w:t>
            </w:r>
            <w:r>
              <w:rPr>
                <w:spacing w:val="40"/>
                <w:sz w:val="16"/>
              </w:rPr>
              <w:t> </w:t>
            </w:r>
            <w:r>
              <w:rPr>
                <w:spacing w:val="-2"/>
                <w:sz w:val="16"/>
              </w:rPr>
              <w:t>subscription.</w:t>
            </w:r>
          </w:p>
        </w:tc>
        <w:tc>
          <w:tcPr>
            <w:tcW w:w="4173" w:type="dxa"/>
          </w:tcPr>
          <w:p>
            <w:pPr>
              <w:pStyle w:val="TableParagraph"/>
              <w:spacing w:line="261" w:lineRule="auto"/>
              <w:ind w:left="109" w:right="112"/>
              <w:jc w:val="both"/>
              <w:rPr>
                <w:sz w:val="16"/>
              </w:rPr>
            </w:pPr>
            <w:r>
              <w:rPr>
                <w:sz w:val="16"/>
              </w:rPr>
              <w:t>Decrease</w:t>
            </w:r>
            <w:r>
              <w:rPr>
                <w:spacing w:val="-5"/>
                <w:sz w:val="16"/>
              </w:rPr>
              <w:t> </w:t>
            </w:r>
            <w:r>
              <w:rPr>
                <w:sz w:val="16"/>
              </w:rPr>
              <w:t>of</w:t>
            </w:r>
            <w:r>
              <w:rPr>
                <w:spacing w:val="-6"/>
                <w:sz w:val="16"/>
              </w:rPr>
              <w:t> </w:t>
            </w:r>
            <w:r>
              <w:rPr>
                <w:sz w:val="16"/>
              </w:rPr>
              <w:t>€8.6</w:t>
            </w:r>
            <w:r>
              <w:rPr>
                <w:spacing w:val="-4"/>
                <w:sz w:val="16"/>
              </w:rPr>
              <w:t> </w:t>
            </w:r>
            <w:r>
              <w:rPr>
                <w:sz w:val="16"/>
              </w:rPr>
              <w:t>thousand</w:t>
            </w:r>
            <w:r>
              <w:rPr>
                <w:spacing w:val="-4"/>
                <w:sz w:val="16"/>
              </w:rPr>
              <w:t> </w:t>
            </w:r>
            <w:r>
              <w:rPr>
                <w:sz w:val="16"/>
              </w:rPr>
              <w:t>in</w:t>
            </w:r>
            <w:r>
              <w:rPr>
                <w:spacing w:val="-4"/>
                <w:sz w:val="16"/>
              </w:rPr>
              <w:t> </w:t>
            </w:r>
            <w:r>
              <w:rPr>
                <w:sz w:val="16"/>
              </w:rPr>
              <w:t>software</w:t>
            </w:r>
            <w:r>
              <w:rPr>
                <w:spacing w:val="-5"/>
                <w:sz w:val="16"/>
              </w:rPr>
              <w:t> </w:t>
            </w:r>
            <w:r>
              <w:rPr>
                <w:sz w:val="16"/>
              </w:rPr>
              <w:t>maintenance</w:t>
            </w:r>
            <w:r>
              <w:rPr>
                <w:spacing w:val="-5"/>
                <w:sz w:val="16"/>
              </w:rPr>
              <w:t> </w:t>
            </w:r>
            <w:r>
              <w:rPr>
                <w:sz w:val="16"/>
              </w:rPr>
              <w:t>costs</w:t>
            </w:r>
            <w:r>
              <w:rPr>
                <w:spacing w:val="-6"/>
                <w:sz w:val="16"/>
              </w:rPr>
              <w:t> </w:t>
            </w:r>
            <w:r>
              <w:rPr>
                <w:sz w:val="16"/>
              </w:rPr>
              <w:t>as</w:t>
            </w:r>
            <w:r>
              <w:rPr>
                <w:spacing w:val="-6"/>
                <w:sz w:val="16"/>
              </w:rPr>
              <w:t> </w:t>
            </w:r>
            <w:r>
              <w:rPr>
                <w:sz w:val="16"/>
              </w:rPr>
              <w:t>a</w:t>
            </w:r>
            <w:r>
              <w:rPr>
                <w:spacing w:val="40"/>
                <w:sz w:val="16"/>
              </w:rPr>
              <w:t> </w:t>
            </w:r>
            <w:r>
              <w:rPr>
                <w:sz w:val="16"/>
              </w:rPr>
              <w:t>result</w:t>
            </w:r>
            <w:r>
              <w:rPr>
                <w:spacing w:val="-3"/>
                <w:sz w:val="16"/>
              </w:rPr>
              <w:t> </w:t>
            </w:r>
            <w:r>
              <w:rPr>
                <w:sz w:val="16"/>
              </w:rPr>
              <w:t>of</w:t>
            </w:r>
            <w:r>
              <w:rPr>
                <w:spacing w:val="-2"/>
                <w:sz w:val="16"/>
              </w:rPr>
              <w:t> </w:t>
            </w:r>
            <w:r>
              <w:rPr>
                <w:sz w:val="16"/>
              </w:rPr>
              <w:t>a</w:t>
            </w:r>
            <w:r>
              <w:rPr>
                <w:spacing w:val="-1"/>
                <w:sz w:val="16"/>
              </w:rPr>
              <w:t> </w:t>
            </w:r>
            <w:r>
              <w:rPr>
                <w:sz w:val="16"/>
              </w:rPr>
              <w:t>decrease</w:t>
            </w:r>
            <w:r>
              <w:rPr>
                <w:spacing w:val="-1"/>
                <w:sz w:val="16"/>
              </w:rPr>
              <w:t> </w:t>
            </w:r>
            <w:r>
              <w:rPr>
                <w:sz w:val="16"/>
              </w:rPr>
              <w:t>in the</w:t>
            </w:r>
            <w:r>
              <w:rPr>
                <w:spacing w:val="-1"/>
                <w:sz w:val="16"/>
              </w:rPr>
              <w:t> </w:t>
            </w:r>
            <w:r>
              <w:rPr>
                <w:sz w:val="16"/>
              </w:rPr>
              <w:t>number</w:t>
            </w:r>
            <w:r>
              <w:rPr>
                <w:spacing w:val="-2"/>
                <w:sz w:val="16"/>
              </w:rPr>
              <w:t> </w:t>
            </w:r>
            <w:r>
              <w:rPr>
                <w:sz w:val="16"/>
              </w:rPr>
              <w:t>of</w:t>
            </w:r>
            <w:r>
              <w:rPr>
                <w:spacing w:val="-2"/>
                <w:sz w:val="16"/>
              </w:rPr>
              <w:t> </w:t>
            </w:r>
            <w:r>
              <w:rPr>
                <w:sz w:val="16"/>
              </w:rPr>
              <w:t>WebEx licences</w:t>
            </w:r>
            <w:r>
              <w:rPr>
                <w:spacing w:val="-2"/>
                <w:sz w:val="16"/>
              </w:rPr>
              <w:t> </w:t>
            </w:r>
            <w:r>
              <w:rPr>
                <w:sz w:val="16"/>
              </w:rPr>
              <w:t>and the</w:t>
            </w:r>
            <w:r>
              <w:rPr>
                <w:spacing w:val="40"/>
                <w:sz w:val="16"/>
              </w:rPr>
              <w:t> </w:t>
            </w:r>
            <w:r>
              <w:rPr>
                <w:sz w:val="16"/>
              </w:rPr>
              <w:t>introduction</w:t>
            </w:r>
            <w:r>
              <w:rPr>
                <w:spacing w:val="-1"/>
                <w:sz w:val="16"/>
              </w:rPr>
              <w:t> </w:t>
            </w:r>
            <w:r>
              <w:rPr>
                <w:sz w:val="16"/>
              </w:rPr>
              <w:t>of</w:t>
            </w:r>
            <w:r>
              <w:rPr>
                <w:spacing w:val="-3"/>
                <w:sz w:val="16"/>
              </w:rPr>
              <w:t> </w:t>
            </w:r>
            <w:r>
              <w:rPr>
                <w:sz w:val="16"/>
              </w:rPr>
              <w:t>MS</w:t>
            </w:r>
            <w:r>
              <w:rPr>
                <w:spacing w:val="-5"/>
                <w:sz w:val="16"/>
              </w:rPr>
              <w:t> </w:t>
            </w:r>
            <w:r>
              <w:rPr>
                <w:sz w:val="16"/>
              </w:rPr>
              <w:t>Teams</w:t>
            </w:r>
            <w:r>
              <w:rPr>
                <w:spacing w:val="-3"/>
                <w:sz w:val="16"/>
              </w:rPr>
              <w:t> </w:t>
            </w:r>
            <w:r>
              <w:rPr>
                <w:sz w:val="16"/>
              </w:rPr>
              <w:t>for</w:t>
            </w:r>
            <w:r>
              <w:rPr>
                <w:spacing w:val="-3"/>
                <w:sz w:val="16"/>
              </w:rPr>
              <w:t> </w:t>
            </w:r>
            <w:r>
              <w:rPr>
                <w:sz w:val="16"/>
              </w:rPr>
              <w:t>all</w:t>
            </w:r>
            <w:r>
              <w:rPr>
                <w:spacing w:val="-4"/>
                <w:sz w:val="16"/>
              </w:rPr>
              <w:t> </w:t>
            </w:r>
            <w:r>
              <w:rPr>
                <w:sz w:val="16"/>
              </w:rPr>
              <w:t>Court</w:t>
            </w:r>
            <w:r>
              <w:rPr>
                <w:spacing w:val="-4"/>
                <w:sz w:val="16"/>
              </w:rPr>
              <w:t> </w:t>
            </w:r>
            <w:r>
              <w:rPr>
                <w:sz w:val="16"/>
              </w:rPr>
              <w:t>staff members.</w:t>
            </w:r>
            <w:r>
              <w:rPr>
                <w:spacing w:val="-4"/>
                <w:sz w:val="16"/>
              </w:rPr>
              <w:t> </w:t>
            </w:r>
            <w:r>
              <w:rPr>
                <w:sz w:val="16"/>
              </w:rPr>
              <w:t>Some</w:t>
            </w:r>
            <w:r>
              <w:rPr>
                <w:spacing w:val="40"/>
                <w:sz w:val="16"/>
              </w:rPr>
              <w:t> </w:t>
            </w:r>
            <w:r>
              <w:rPr>
                <w:sz w:val="16"/>
              </w:rPr>
              <w:t>WebEx licences are still used for secret communication.</w:t>
            </w:r>
          </w:p>
        </w:tc>
        <w:tc>
          <w:tcPr>
            <w:tcW w:w="1129" w:type="dxa"/>
          </w:tcPr>
          <w:p>
            <w:pPr>
              <w:pStyle w:val="TableParagraph"/>
              <w:jc w:val="left"/>
              <w:rPr>
                <w:sz w:val="14"/>
              </w:rPr>
            </w:pPr>
          </w:p>
        </w:tc>
        <w:tc>
          <w:tcPr>
            <w:tcW w:w="1297" w:type="dxa"/>
          </w:tcPr>
          <w:p>
            <w:pPr>
              <w:pStyle w:val="TableParagraph"/>
              <w:spacing w:before="2"/>
              <w:jc w:val="left"/>
              <w:rPr>
                <w:sz w:val="17"/>
              </w:rPr>
            </w:pPr>
          </w:p>
          <w:p>
            <w:pPr>
              <w:pStyle w:val="TableParagraph"/>
              <w:spacing w:before="1"/>
              <w:ind w:right="98"/>
              <w:rPr>
                <w:sz w:val="16"/>
              </w:rPr>
            </w:pPr>
            <w:r>
              <w:rPr>
                <w:spacing w:val="-2"/>
                <w:sz w:val="16"/>
              </w:rPr>
              <w:t>8,600</w:t>
            </w:r>
          </w:p>
        </w:tc>
      </w:tr>
      <w:tr>
        <w:trPr>
          <w:trHeight w:val="1152" w:hRule="atLeast"/>
        </w:trPr>
        <w:tc>
          <w:tcPr>
            <w:tcW w:w="3045" w:type="dxa"/>
          </w:tcPr>
          <w:p>
            <w:pPr>
              <w:pStyle w:val="TableParagraph"/>
              <w:spacing w:line="261" w:lineRule="auto"/>
              <w:ind w:left="110" w:right="105"/>
              <w:jc w:val="left"/>
              <w:rPr>
                <w:sz w:val="16"/>
              </w:rPr>
            </w:pPr>
            <w:r>
              <w:rPr>
                <w:sz w:val="16"/>
              </w:rPr>
              <w:t>Partnerships: the Forensic Science Section</w:t>
            </w:r>
            <w:r>
              <w:rPr>
                <w:spacing w:val="40"/>
                <w:sz w:val="16"/>
              </w:rPr>
              <w:t> </w:t>
            </w:r>
            <w:r>
              <w:rPr>
                <w:sz w:val="16"/>
              </w:rPr>
              <w:t>has partnered with an externally funded</w:t>
            </w:r>
            <w:r>
              <w:rPr>
                <w:spacing w:val="40"/>
                <w:sz w:val="16"/>
              </w:rPr>
              <w:t> </w:t>
            </w:r>
            <w:r>
              <w:rPr>
                <w:sz w:val="16"/>
              </w:rPr>
              <w:t>joint team for specific activities. This</w:t>
            </w:r>
            <w:r>
              <w:rPr>
                <w:spacing w:val="40"/>
                <w:sz w:val="16"/>
              </w:rPr>
              <w:t> </w:t>
            </w:r>
            <w:r>
              <w:rPr>
                <w:sz w:val="16"/>
              </w:rPr>
              <w:t>partnership will enable the OTP to</w:t>
            </w:r>
            <w:r>
              <w:rPr>
                <w:spacing w:val="40"/>
                <w:sz w:val="16"/>
              </w:rPr>
              <w:t> </w:t>
            </w:r>
            <w:r>
              <w:rPr>
                <w:sz w:val="16"/>
              </w:rPr>
              <w:t>undertake</w:t>
            </w:r>
            <w:r>
              <w:rPr>
                <w:spacing w:val="-10"/>
                <w:sz w:val="16"/>
              </w:rPr>
              <w:t> </w:t>
            </w:r>
            <w:r>
              <w:rPr>
                <w:sz w:val="16"/>
              </w:rPr>
              <w:t>large-scale</w:t>
            </w:r>
            <w:r>
              <w:rPr>
                <w:spacing w:val="-10"/>
                <w:sz w:val="16"/>
              </w:rPr>
              <w:t> </w:t>
            </w:r>
            <w:r>
              <w:rPr>
                <w:sz w:val="16"/>
              </w:rPr>
              <w:t>exhumation</w:t>
            </w:r>
            <w:r>
              <w:rPr>
                <w:spacing w:val="-10"/>
                <w:sz w:val="16"/>
              </w:rPr>
              <w:t> </w:t>
            </w:r>
            <w:r>
              <w:rPr>
                <w:sz w:val="16"/>
              </w:rPr>
              <w:t>activities.</w:t>
            </w:r>
          </w:p>
        </w:tc>
        <w:tc>
          <w:tcPr>
            <w:tcW w:w="4173" w:type="dxa"/>
          </w:tcPr>
          <w:p>
            <w:pPr>
              <w:pStyle w:val="TableParagraph"/>
              <w:spacing w:line="268" w:lineRule="auto"/>
              <w:ind w:left="109" w:right="147"/>
              <w:jc w:val="left"/>
              <w:rPr>
                <w:sz w:val="16"/>
              </w:rPr>
            </w:pPr>
            <w:r>
              <w:rPr>
                <w:sz w:val="16"/>
              </w:rPr>
              <w:t>Savings</w:t>
            </w:r>
            <w:r>
              <w:rPr>
                <w:spacing w:val="-8"/>
                <w:sz w:val="16"/>
              </w:rPr>
              <w:t> </w:t>
            </w:r>
            <w:r>
              <w:rPr>
                <w:sz w:val="16"/>
              </w:rPr>
              <w:t>of</w:t>
            </w:r>
            <w:r>
              <w:rPr>
                <w:spacing w:val="-7"/>
                <w:sz w:val="16"/>
              </w:rPr>
              <w:t> </w:t>
            </w:r>
            <w:r>
              <w:rPr>
                <w:sz w:val="16"/>
              </w:rPr>
              <w:t>approximately</w:t>
            </w:r>
            <w:r>
              <w:rPr>
                <w:spacing w:val="-6"/>
                <w:sz w:val="16"/>
              </w:rPr>
              <w:t> </w:t>
            </w:r>
            <w:r>
              <w:rPr>
                <w:sz w:val="16"/>
              </w:rPr>
              <w:t>€350,000</w:t>
            </w:r>
            <w:r>
              <w:rPr>
                <w:spacing w:val="-6"/>
                <w:sz w:val="16"/>
              </w:rPr>
              <w:t> </w:t>
            </w:r>
            <w:r>
              <w:rPr>
                <w:sz w:val="16"/>
              </w:rPr>
              <w:t>for</w:t>
            </w:r>
            <w:r>
              <w:rPr>
                <w:spacing w:val="-8"/>
                <w:sz w:val="16"/>
              </w:rPr>
              <w:t> </w:t>
            </w:r>
            <w:r>
              <w:rPr>
                <w:sz w:val="16"/>
              </w:rPr>
              <w:t>field</w:t>
            </w:r>
            <w:r>
              <w:rPr>
                <w:spacing w:val="-6"/>
                <w:sz w:val="16"/>
              </w:rPr>
              <w:t> </w:t>
            </w:r>
            <w:r>
              <w:rPr>
                <w:sz w:val="16"/>
              </w:rPr>
              <w:t>activities</w:t>
            </w:r>
            <w:r>
              <w:rPr>
                <w:spacing w:val="-8"/>
                <w:sz w:val="16"/>
              </w:rPr>
              <w:t> </w:t>
            </w:r>
            <w:r>
              <w:rPr>
                <w:sz w:val="16"/>
              </w:rPr>
              <w:t>in</w:t>
            </w:r>
            <w:r>
              <w:rPr>
                <w:spacing w:val="40"/>
                <w:sz w:val="16"/>
              </w:rPr>
              <w:t> </w:t>
            </w:r>
            <w:r>
              <w:rPr>
                <w:spacing w:val="-2"/>
                <w:sz w:val="16"/>
              </w:rPr>
              <w:t>2023.</w:t>
            </w:r>
          </w:p>
        </w:tc>
        <w:tc>
          <w:tcPr>
            <w:tcW w:w="1129" w:type="dxa"/>
          </w:tcPr>
          <w:p>
            <w:pPr>
              <w:pStyle w:val="TableParagraph"/>
              <w:spacing w:before="6"/>
              <w:jc w:val="left"/>
              <w:rPr>
                <w:sz w:val="15"/>
              </w:rPr>
            </w:pPr>
          </w:p>
          <w:p>
            <w:pPr>
              <w:pStyle w:val="TableParagraph"/>
              <w:ind w:left="498"/>
              <w:jc w:val="left"/>
              <w:rPr>
                <w:sz w:val="16"/>
              </w:rPr>
            </w:pPr>
            <w:r>
              <w:rPr>
                <w:spacing w:val="-2"/>
                <w:sz w:val="16"/>
              </w:rPr>
              <w:t>350,000</w:t>
            </w:r>
          </w:p>
        </w:tc>
        <w:tc>
          <w:tcPr>
            <w:tcW w:w="1297" w:type="dxa"/>
          </w:tcPr>
          <w:p>
            <w:pPr>
              <w:pStyle w:val="TableParagraph"/>
              <w:jc w:val="left"/>
              <w:rPr>
                <w:sz w:val="14"/>
              </w:rPr>
            </w:pPr>
          </w:p>
        </w:tc>
      </w:tr>
      <w:tr>
        <w:trPr>
          <w:trHeight w:val="3139" w:hRule="atLeast"/>
        </w:trPr>
        <w:tc>
          <w:tcPr>
            <w:tcW w:w="3045" w:type="dxa"/>
          </w:tcPr>
          <w:p>
            <w:pPr>
              <w:pStyle w:val="TableParagraph"/>
              <w:spacing w:before="1"/>
              <w:ind w:left="110"/>
              <w:jc w:val="left"/>
              <w:rPr>
                <w:sz w:val="16"/>
              </w:rPr>
            </w:pPr>
            <w:r>
              <w:rPr>
                <w:sz w:val="16"/>
              </w:rPr>
              <w:t>Provision</w:t>
            </w:r>
            <w:r>
              <w:rPr>
                <w:spacing w:val="-3"/>
                <w:sz w:val="16"/>
              </w:rPr>
              <w:t> </w:t>
            </w:r>
            <w:r>
              <w:rPr>
                <w:sz w:val="16"/>
              </w:rPr>
              <w:t>of</w:t>
            </w:r>
            <w:r>
              <w:rPr>
                <w:spacing w:val="-4"/>
                <w:sz w:val="16"/>
              </w:rPr>
              <w:t> </w:t>
            </w:r>
            <w:r>
              <w:rPr>
                <w:sz w:val="16"/>
              </w:rPr>
              <w:t>staff</w:t>
            </w:r>
            <w:r>
              <w:rPr>
                <w:spacing w:val="-4"/>
                <w:sz w:val="16"/>
              </w:rPr>
              <w:t> </w:t>
            </w:r>
            <w:r>
              <w:rPr>
                <w:sz w:val="16"/>
              </w:rPr>
              <w:t>accommodation</w:t>
            </w:r>
            <w:r>
              <w:rPr>
                <w:spacing w:val="-3"/>
                <w:sz w:val="16"/>
              </w:rPr>
              <w:t> </w:t>
            </w:r>
            <w:r>
              <w:rPr>
                <w:sz w:val="16"/>
              </w:rPr>
              <w:t>in</w:t>
            </w:r>
            <w:r>
              <w:rPr>
                <w:spacing w:val="-2"/>
                <w:sz w:val="16"/>
              </w:rPr>
              <w:t> Tunis.</w:t>
            </w:r>
          </w:p>
        </w:tc>
        <w:tc>
          <w:tcPr>
            <w:tcW w:w="4173" w:type="dxa"/>
          </w:tcPr>
          <w:p>
            <w:pPr>
              <w:pStyle w:val="TableParagraph"/>
              <w:spacing w:line="259" w:lineRule="auto"/>
              <w:ind w:left="109" w:right="101"/>
              <w:jc w:val="left"/>
              <w:rPr>
                <w:sz w:val="16"/>
              </w:rPr>
            </w:pPr>
            <w:r>
              <w:rPr>
                <w:sz w:val="16"/>
              </w:rPr>
              <w:t>The DSA rate in Tunis is currently €152 with an</w:t>
            </w:r>
            <w:r>
              <w:rPr>
                <w:spacing w:val="40"/>
                <w:sz w:val="16"/>
              </w:rPr>
              <w:t> </w:t>
            </w:r>
            <w:r>
              <w:rPr>
                <w:sz w:val="16"/>
              </w:rPr>
              <w:t>accommodation element set at 59%, adding up to</w:t>
            </w:r>
            <w:r>
              <w:rPr>
                <w:spacing w:val="40"/>
                <w:sz w:val="16"/>
              </w:rPr>
              <w:t> </w:t>
            </w:r>
            <w:r>
              <w:rPr>
                <w:sz w:val="16"/>
              </w:rPr>
              <w:t>approximately €90 per person per night for accommodation.</w:t>
            </w:r>
            <w:r>
              <w:rPr>
                <w:spacing w:val="40"/>
                <w:sz w:val="16"/>
              </w:rPr>
              <w:t> </w:t>
            </w:r>
            <w:r>
              <w:rPr>
                <w:sz w:val="16"/>
              </w:rPr>
              <w:t>On</w:t>
            </w:r>
            <w:r>
              <w:rPr>
                <w:spacing w:val="-3"/>
                <w:sz w:val="16"/>
              </w:rPr>
              <w:t> </w:t>
            </w:r>
            <w:r>
              <w:rPr>
                <w:sz w:val="16"/>
              </w:rPr>
              <w:t>the</w:t>
            </w:r>
            <w:r>
              <w:rPr>
                <w:spacing w:val="-4"/>
                <w:sz w:val="16"/>
              </w:rPr>
              <w:t> </w:t>
            </w:r>
            <w:r>
              <w:rPr>
                <w:sz w:val="16"/>
              </w:rPr>
              <w:t>basis</w:t>
            </w:r>
            <w:r>
              <w:rPr>
                <w:spacing w:val="-5"/>
                <w:sz w:val="16"/>
              </w:rPr>
              <w:t> </w:t>
            </w:r>
            <w:r>
              <w:rPr>
                <w:sz w:val="16"/>
              </w:rPr>
              <w:t>of</w:t>
            </w:r>
            <w:r>
              <w:rPr>
                <w:spacing w:val="-5"/>
                <w:sz w:val="16"/>
              </w:rPr>
              <w:t> </w:t>
            </w:r>
            <w:r>
              <w:rPr>
                <w:sz w:val="16"/>
              </w:rPr>
              <w:t>a</w:t>
            </w:r>
            <w:r>
              <w:rPr>
                <w:spacing w:val="-4"/>
                <w:sz w:val="16"/>
              </w:rPr>
              <w:t> </w:t>
            </w:r>
            <w:r>
              <w:rPr>
                <w:sz w:val="16"/>
              </w:rPr>
              <w:t>continuing</w:t>
            </w:r>
            <w:r>
              <w:rPr>
                <w:spacing w:val="-3"/>
                <w:sz w:val="16"/>
              </w:rPr>
              <w:t> </w:t>
            </w:r>
            <w:r>
              <w:rPr>
                <w:sz w:val="16"/>
              </w:rPr>
              <w:t>rotation,</w:t>
            </w:r>
            <w:r>
              <w:rPr>
                <w:spacing w:val="-6"/>
                <w:sz w:val="16"/>
              </w:rPr>
              <w:t> </w:t>
            </w:r>
            <w:r>
              <w:rPr>
                <w:sz w:val="16"/>
              </w:rPr>
              <w:t>on</w:t>
            </w:r>
            <w:r>
              <w:rPr>
                <w:spacing w:val="-3"/>
                <w:sz w:val="16"/>
              </w:rPr>
              <w:t> </w:t>
            </w:r>
            <w:r>
              <w:rPr>
                <w:sz w:val="16"/>
              </w:rPr>
              <w:t>average,</w:t>
            </w:r>
            <w:r>
              <w:rPr>
                <w:spacing w:val="-6"/>
                <w:sz w:val="16"/>
              </w:rPr>
              <w:t> </w:t>
            </w:r>
            <w:r>
              <w:rPr>
                <w:sz w:val="16"/>
              </w:rPr>
              <w:t>23</w:t>
            </w:r>
            <w:r>
              <w:rPr>
                <w:spacing w:val="-3"/>
                <w:sz w:val="16"/>
              </w:rPr>
              <w:t> </w:t>
            </w:r>
            <w:r>
              <w:rPr>
                <w:sz w:val="16"/>
              </w:rPr>
              <w:t>days</w:t>
            </w:r>
            <w:r>
              <w:rPr>
                <w:spacing w:val="-5"/>
                <w:sz w:val="16"/>
              </w:rPr>
              <w:t> </w:t>
            </w:r>
            <w:r>
              <w:rPr>
                <w:sz w:val="16"/>
              </w:rPr>
              <w:t>per</w:t>
            </w:r>
            <w:r>
              <w:rPr>
                <w:spacing w:val="40"/>
                <w:sz w:val="16"/>
              </w:rPr>
              <w:t> </w:t>
            </w:r>
            <w:r>
              <w:rPr>
                <w:sz w:val="16"/>
              </w:rPr>
              <w:t>month for the remainder of the year – nominally around</w:t>
            </w:r>
          </w:p>
          <w:p>
            <w:pPr>
              <w:pStyle w:val="TableParagraph"/>
              <w:spacing w:line="259" w:lineRule="auto"/>
              <w:ind w:left="109" w:right="141"/>
              <w:jc w:val="left"/>
              <w:rPr>
                <w:sz w:val="16"/>
              </w:rPr>
            </w:pPr>
            <w:r>
              <w:rPr>
                <w:sz w:val="16"/>
              </w:rPr>
              <w:t>250-260 DSA nights in Tunis for 2 staff members – is</w:t>
            </w:r>
            <w:r>
              <w:rPr>
                <w:spacing w:val="40"/>
                <w:sz w:val="16"/>
              </w:rPr>
              <w:t> </w:t>
            </w:r>
            <w:r>
              <w:rPr>
                <w:sz w:val="16"/>
              </w:rPr>
              <w:t>equivalent to circa €45,000 of mission costs allocated to the</w:t>
            </w:r>
            <w:r>
              <w:rPr>
                <w:spacing w:val="40"/>
                <w:sz w:val="16"/>
              </w:rPr>
              <w:t> </w:t>
            </w:r>
            <w:r>
              <w:rPr>
                <w:sz w:val="16"/>
              </w:rPr>
              <w:t>accommodation portion. The rental agreement for the 3-4</w:t>
            </w:r>
            <w:r>
              <w:rPr>
                <w:spacing w:val="40"/>
                <w:sz w:val="16"/>
              </w:rPr>
              <w:t> </w:t>
            </w:r>
            <w:r>
              <w:rPr>
                <w:sz w:val="16"/>
              </w:rPr>
              <w:t>bedroom accommodation (which allows for interpreters,</w:t>
            </w:r>
            <w:r>
              <w:rPr>
                <w:spacing w:val="40"/>
                <w:sz w:val="16"/>
              </w:rPr>
              <w:t> </w:t>
            </w:r>
            <w:r>
              <w:rPr>
                <w:sz w:val="16"/>
              </w:rPr>
              <w:t>Preliminary Examination Section or Protection Strategies</w:t>
            </w:r>
            <w:r>
              <w:rPr>
                <w:spacing w:val="40"/>
                <w:sz w:val="16"/>
              </w:rPr>
              <w:t> </w:t>
            </w:r>
            <w:r>
              <w:rPr>
                <w:sz w:val="16"/>
              </w:rPr>
              <w:t>Unit</w:t>
            </w:r>
            <w:r>
              <w:rPr>
                <w:spacing w:val="-6"/>
                <w:sz w:val="16"/>
              </w:rPr>
              <w:t> </w:t>
            </w:r>
            <w:r>
              <w:rPr>
                <w:sz w:val="16"/>
              </w:rPr>
              <w:t>staff</w:t>
            </w:r>
            <w:r>
              <w:rPr>
                <w:spacing w:val="-5"/>
                <w:sz w:val="16"/>
              </w:rPr>
              <w:t> </w:t>
            </w:r>
            <w:r>
              <w:rPr>
                <w:sz w:val="16"/>
              </w:rPr>
              <w:t>to</w:t>
            </w:r>
            <w:r>
              <w:rPr>
                <w:spacing w:val="-3"/>
                <w:sz w:val="16"/>
              </w:rPr>
              <w:t> </w:t>
            </w:r>
            <w:r>
              <w:rPr>
                <w:sz w:val="16"/>
              </w:rPr>
              <w:t>also</w:t>
            </w:r>
            <w:r>
              <w:rPr>
                <w:spacing w:val="-3"/>
                <w:sz w:val="16"/>
              </w:rPr>
              <w:t> </w:t>
            </w:r>
            <w:r>
              <w:rPr>
                <w:sz w:val="16"/>
              </w:rPr>
              <w:t>be</w:t>
            </w:r>
            <w:r>
              <w:rPr>
                <w:spacing w:val="-2"/>
                <w:sz w:val="16"/>
              </w:rPr>
              <w:t> </w:t>
            </w:r>
            <w:r>
              <w:rPr>
                <w:sz w:val="16"/>
              </w:rPr>
              <w:t>present)</w:t>
            </w:r>
            <w:r>
              <w:rPr>
                <w:spacing w:val="-5"/>
                <w:sz w:val="16"/>
              </w:rPr>
              <w:t> </w:t>
            </w:r>
            <w:r>
              <w:rPr>
                <w:sz w:val="16"/>
              </w:rPr>
              <w:t>costs</w:t>
            </w:r>
            <w:r>
              <w:rPr>
                <w:spacing w:val="-5"/>
                <w:sz w:val="16"/>
              </w:rPr>
              <w:t> </w:t>
            </w:r>
            <w:r>
              <w:rPr>
                <w:sz w:val="16"/>
              </w:rPr>
              <w:t>€1,500</w:t>
            </w:r>
            <w:r>
              <w:rPr>
                <w:spacing w:val="-3"/>
                <w:sz w:val="16"/>
              </w:rPr>
              <w:t> </w:t>
            </w:r>
            <w:r>
              <w:rPr>
                <w:sz w:val="16"/>
              </w:rPr>
              <w:t>per</w:t>
            </w:r>
            <w:r>
              <w:rPr>
                <w:spacing w:val="-5"/>
                <w:sz w:val="16"/>
              </w:rPr>
              <w:t> </w:t>
            </w:r>
            <w:r>
              <w:rPr>
                <w:sz w:val="16"/>
              </w:rPr>
              <w:t>month,</w:t>
            </w:r>
            <w:r>
              <w:rPr>
                <w:spacing w:val="-6"/>
                <w:sz w:val="16"/>
              </w:rPr>
              <w:t> </w:t>
            </w:r>
            <w:r>
              <w:rPr>
                <w:sz w:val="16"/>
              </w:rPr>
              <w:t>with</w:t>
            </w:r>
            <w:r>
              <w:rPr>
                <w:spacing w:val="-3"/>
                <w:sz w:val="16"/>
              </w:rPr>
              <w:t> </w:t>
            </w:r>
            <w:r>
              <w:rPr>
                <w:sz w:val="16"/>
              </w:rPr>
              <w:t>an</w:t>
            </w:r>
            <w:r>
              <w:rPr>
                <w:spacing w:val="40"/>
                <w:sz w:val="16"/>
              </w:rPr>
              <w:t> </w:t>
            </w:r>
            <w:r>
              <w:rPr>
                <w:sz w:val="16"/>
              </w:rPr>
              <w:t>additional €1,500 in administrative costs, for a total cost of</w:t>
            </w:r>
          </w:p>
          <w:p>
            <w:pPr>
              <w:pStyle w:val="TableParagraph"/>
              <w:ind w:left="109"/>
              <w:jc w:val="left"/>
              <w:rPr>
                <w:sz w:val="16"/>
              </w:rPr>
            </w:pPr>
            <w:r>
              <w:rPr>
                <w:sz w:val="16"/>
              </w:rPr>
              <w:t>€10,500</w:t>
            </w:r>
            <w:r>
              <w:rPr>
                <w:spacing w:val="-1"/>
                <w:sz w:val="16"/>
              </w:rPr>
              <w:t> </w:t>
            </w:r>
            <w:r>
              <w:rPr>
                <w:sz w:val="16"/>
              </w:rPr>
              <w:t>for</w:t>
            </w:r>
            <w:r>
              <w:rPr>
                <w:spacing w:val="-3"/>
                <w:sz w:val="16"/>
              </w:rPr>
              <w:t> </w:t>
            </w:r>
            <w:r>
              <w:rPr>
                <w:sz w:val="16"/>
              </w:rPr>
              <w:t>6</w:t>
            </w:r>
            <w:r>
              <w:rPr>
                <w:spacing w:val="-1"/>
                <w:sz w:val="16"/>
              </w:rPr>
              <w:t> </w:t>
            </w:r>
            <w:r>
              <w:rPr>
                <w:spacing w:val="-2"/>
                <w:sz w:val="16"/>
              </w:rPr>
              <w:t>months.</w:t>
            </w:r>
          </w:p>
          <w:p>
            <w:pPr>
              <w:pStyle w:val="TableParagraph"/>
              <w:spacing w:line="271" w:lineRule="auto" w:before="11"/>
              <w:ind w:left="109" w:right="141"/>
              <w:jc w:val="left"/>
              <w:rPr>
                <w:sz w:val="16"/>
              </w:rPr>
            </w:pPr>
            <w:r>
              <w:rPr>
                <w:sz w:val="16"/>
              </w:rPr>
              <w:t>Given</w:t>
            </w:r>
            <w:r>
              <w:rPr>
                <w:spacing w:val="-3"/>
                <w:sz w:val="16"/>
              </w:rPr>
              <w:t> </w:t>
            </w:r>
            <w:r>
              <w:rPr>
                <w:sz w:val="16"/>
              </w:rPr>
              <w:t>the</w:t>
            </w:r>
            <w:r>
              <w:rPr>
                <w:spacing w:val="-4"/>
                <w:sz w:val="16"/>
              </w:rPr>
              <w:t> </w:t>
            </w:r>
            <w:r>
              <w:rPr>
                <w:sz w:val="16"/>
              </w:rPr>
              <w:t>current</w:t>
            </w:r>
            <w:r>
              <w:rPr>
                <w:spacing w:val="-6"/>
                <w:sz w:val="16"/>
              </w:rPr>
              <w:t> </w:t>
            </w:r>
            <w:r>
              <w:rPr>
                <w:sz w:val="16"/>
              </w:rPr>
              <w:t>activity,</w:t>
            </w:r>
            <w:r>
              <w:rPr>
                <w:spacing w:val="-6"/>
                <w:sz w:val="16"/>
              </w:rPr>
              <w:t> </w:t>
            </w:r>
            <w:r>
              <w:rPr>
                <w:sz w:val="16"/>
              </w:rPr>
              <w:t>it</w:t>
            </w:r>
            <w:r>
              <w:rPr>
                <w:spacing w:val="-6"/>
                <w:sz w:val="16"/>
              </w:rPr>
              <w:t> </w:t>
            </w:r>
            <w:r>
              <w:rPr>
                <w:sz w:val="16"/>
              </w:rPr>
              <w:t>is</w:t>
            </w:r>
            <w:r>
              <w:rPr>
                <w:spacing w:val="-1"/>
                <w:sz w:val="16"/>
              </w:rPr>
              <w:t> </w:t>
            </w:r>
            <w:r>
              <w:rPr>
                <w:sz w:val="16"/>
              </w:rPr>
              <w:t>foreseen</w:t>
            </w:r>
            <w:r>
              <w:rPr>
                <w:spacing w:val="-3"/>
                <w:sz w:val="16"/>
              </w:rPr>
              <w:t> </w:t>
            </w:r>
            <w:r>
              <w:rPr>
                <w:sz w:val="16"/>
              </w:rPr>
              <w:t>that</w:t>
            </w:r>
            <w:r>
              <w:rPr>
                <w:spacing w:val="-6"/>
                <w:sz w:val="16"/>
              </w:rPr>
              <w:t> </w:t>
            </w:r>
            <w:r>
              <w:rPr>
                <w:sz w:val="16"/>
              </w:rPr>
              <w:t>the</w:t>
            </w:r>
            <w:r>
              <w:rPr>
                <w:spacing w:val="-4"/>
                <w:sz w:val="16"/>
              </w:rPr>
              <w:t> </w:t>
            </w:r>
            <w:r>
              <w:rPr>
                <w:sz w:val="16"/>
              </w:rPr>
              <w:t>rental</w:t>
            </w:r>
            <w:r>
              <w:rPr>
                <w:spacing w:val="-6"/>
                <w:sz w:val="16"/>
              </w:rPr>
              <w:t> </w:t>
            </w:r>
            <w:r>
              <w:rPr>
                <w:sz w:val="16"/>
              </w:rPr>
              <w:t>of</w:t>
            </w:r>
            <w:r>
              <w:rPr>
                <w:spacing w:val="40"/>
                <w:sz w:val="16"/>
              </w:rPr>
              <w:t> </w:t>
            </w:r>
            <w:r>
              <w:rPr>
                <w:sz w:val="16"/>
              </w:rPr>
              <w:t>accommodation</w:t>
            </w:r>
            <w:r>
              <w:rPr>
                <w:spacing w:val="-2"/>
                <w:sz w:val="16"/>
              </w:rPr>
              <w:t> </w:t>
            </w:r>
            <w:r>
              <w:rPr>
                <w:sz w:val="16"/>
              </w:rPr>
              <w:t>will</w:t>
            </w:r>
            <w:r>
              <w:rPr>
                <w:spacing w:val="-5"/>
                <w:sz w:val="16"/>
              </w:rPr>
              <w:t> </w:t>
            </w:r>
            <w:r>
              <w:rPr>
                <w:sz w:val="16"/>
              </w:rPr>
              <w:t>lead</w:t>
            </w:r>
            <w:r>
              <w:rPr>
                <w:spacing w:val="-1"/>
                <w:sz w:val="16"/>
              </w:rPr>
              <w:t> </w:t>
            </w:r>
            <w:r>
              <w:rPr>
                <w:sz w:val="16"/>
              </w:rPr>
              <w:t>to</w:t>
            </w:r>
            <w:r>
              <w:rPr>
                <w:spacing w:val="-2"/>
                <w:sz w:val="16"/>
              </w:rPr>
              <w:t> </w:t>
            </w:r>
            <w:r>
              <w:rPr>
                <w:sz w:val="16"/>
              </w:rPr>
              <w:t>a</w:t>
            </w:r>
            <w:r>
              <w:rPr>
                <w:spacing w:val="-2"/>
                <w:sz w:val="16"/>
              </w:rPr>
              <w:t> </w:t>
            </w:r>
            <w:r>
              <w:rPr>
                <w:sz w:val="16"/>
              </w:rPr>
              <w:t>saving</w:t>
            </w:r>
            <w:r>
              <w:rPr>
                <w:spacing w:val="-2"/>
                <w:sz w:val="16"/>
              </w:rPr>
              <w:t> </w:t>
            </w:r>
            <w:r>
              <w:rPr>
                <w:sz w:val="16"/>
              </w:rPr>
              <w:t>of</w:t>
            </w:r>
            <w:r>
              <w:rPr>
                <w:spacing w:val="-3"/>
                <w:sz w:val="16"/>
              </w:rPr>
              <w:t> </w:t>
            </w:r>
            <w:r>
              <w:rPr>
                <w:sz w:val="16"/>
              </w:rPr>
              <w:t>at</w:t>
            </w:r>
            <w:r>
              <w:rPr>
                <w:spacing w:val="-5"/>
                <w:sz w:val="16"/>
              </w:rPr>
              <w:t> </w:t>
            </w:r>
            <w:r>
              <w:rPr>
                <w:sz w:val="16"/>
              </w:rPr>
              <w:t>least</w:t>
            </w:r>
            <w:r>
              <w:rPr>
                <w:spacing w:val="-4"/>
                <w:sz w:val="16"/>
              </w:rPr>
              <w:t> </w:t>
            </w:r>
            <w:r>
              <w:rPr>
                <w:spacing w:val="-2"/>
                <w:sz w:val="16"/>
              </w:rPr>
              <w:t>€30,000.</w:t>
            </w:r>
          </w:p>
        </w:tc>
        <w:tc>
          <w:tcPr>
            <w:tcW w:w="1129" w:type="dxa"/>
          </w:tcPr>
          <w:p>
            <w:pPr>
              <w:pStyle w:val="TableParagraph"/>
              <w:jc w:val="left"/>
              <w:rPr>
                <w:sz w:val="14"/>
              </w:rPr>
            </w:pPr>
          </w:p>
        </w:tc>
        <w:tc>
          <w:tcPr>
            <w:tcW w:w="1297" w:type="dxa"/>
          </w:tcPr>
          <w:p>
            <w:pPr>
              <w:pStyle w:val="TableParagraph"/>
              <w:spacing w:before="7"/>
              <w:jc w:val="left"/>
              <w:rPr>
                <w:sz w:val="17"/>
              </w:rPr>
            </w:pPr>
          </w:p>
          <w:p>
            <w:pPr>
              <w:pStyle w:val="TableParagraph"/>
              <w:ind w:right="98"/>
              <w:rPr>
                <w:sz w:val="16"/>
              </w:rPr>
            </w:pPr>
            <w:r>
              <w:rPr>
                <w:spacing w:val="-2"/>
                <w:sz w:val="16"/>
              </w:rPr>
              <w:t>30,000</w:t>
            </w:r>
          </w:p>
        </w:tc>
      </w:tr>
      <w:tr>
        <w:trPr>
          <w:trHeight w:val="3139" w:hRule="atLeast"/>
        </w:trPr>
        <w:tc>
          <w:tcPr>
            <w:tcW w:w="3045" w:type="dxa"/>
          </w:tcPr>
          <w:p>
            <w:pPr>
              <w:pStyle w:val="TableParagraph"/>
              <w:spacing w:line="259" w:lineRule="auto"/>
              <w:ind w:left="110" w:right="105"/>
              <w:jc w:val="left"/>
              <w:rPr>
                <w:sz w:val="16"/>
              </w:rPr>
            </w:pPr>
            <w:r>
              <w:rPr>
                <w:sz w:val="16"/>
              </w:rPr>
              <w:t>Redeployment of the P-2 Associate Field</w:t>
            </w:r>
            <w:r>
              <w:rPr>
                <w:spacing w:val="40"/>
                <w:sz w:val="16"/>
              </w:rPr>
              <w:t> </w:t>
            </w:r>
            <w:r>
              <w:rPr>
                <w:sz w:val="16"/>
              </w:rPr>
              <w:t>Security Officer position in the Country</w:t>
            </w:r>
            <w:r>
              <w:rPr>
                <w:spacing w:val="40"/>
                <w:sz w:val="16"/>
              </w:rPr>
              <w:t> </w:t>
            </w:r>
            <w:r>
              <w:rPr>
                <w:sz w:val="16"/>
              </w:rPr>
              <w:t>Office (DRC) in Bunia to the Country</w:t>
            </w:r>
            <w:r>
              <w:rPr>
                <w:spacing w:val="40"/>
                <w:sz w:val="16"/>
              </w:rPr>
              <w:t> </w:t>
            </w:r>
            <w:r>
              <w:rPr>
                <w:sz w:val="16"/>
              </w:rPr>
              <w:t>Office (Uganda) will achieve savings in</w:t>
            </w:r>
            <w:r>
              <w:rPr>
                <w:spacing w:val="40"/>
                <w:sz w:val="16"/>
              </w:rPr>
              <w:t> </w:t>
            </w:r>
            <w:r>
              <w:rPr>
                <w:sz w:val="16"/>
              </w:rPr>
              <w:t>salaries on account of the difference in</w:t>
            </w:r>
            <w:r>
              <w:rPr>
                <w:spacing w:val="40"/>
                <w:sz w:val="16"/>
              </w:rPr>
              <w:t> </w:t>
            </w:r>
            <w:r>
              <w:rPr>
                <w:sz w:val="16"/>
              </w:rPr>
              <w:t>salary scales between these two duty</w:t>
            </w:r>
            <w:r>
              <w:rPr>
                <w:spacing w:val="40"/>
                <w:sz w:val="16"/>
              </w:rPr>
              <w:t> </w:t>
            </w:r>
            <w:r>
              <w:rPr>
                <w:sz w:val="16"/>
              </w:rPr>
              <w:t>stations. The requested redeployment is</w:t>
            </w:r>
            <w:r>
              <w:rPr>
                <w:spacing w:val="40"/>
                <w:sz w:val="16"/>
              </w:rPr>
              <w:t> </w:t>
            </w:r>
            <w:r>
              <w:rPr>
                <w:sz w:val="16"/>
              </w:rPr>
              <w:t>considered appropriate because of the</w:t>
            </w:r>
            <w:r>
              <w:rPr>
                <w:spacing w:val="40"/>
                <w:sz w:val="16"/>
              </w:rPr>
              <w:t> </w:t>
            </w:r>
            <w:r>
              <w:rPr>
                <w:sz w:val="16"/>
              </w:rPr>
              <w:t>anticipated decrease in reparations-related</w:t>
            </w:r>
            <w:r>
              <w:rPr>
                <w:spacing w:val="40"/>
                <w:sz w:val="16"/>
              </w:rPr>
              <w:t> </w:t>
            </w:r>
            <w:r>
              <w:rPr>
                <w:sz w:val="16"/>
              </w:rPr>
              <w:t>activities in the DRC through proper</w:t>
            </w:r>
            <w:r>
              <w:rPr>
                <w:spacing w:val="40"/>
                <w:sz w:val="16"/>
              </w:rPr>
              <w:t> </w:t>
            </w:r>
            <w:r>
              <w:rPr>
                <w:sz w:val="16"/>
              </w:rPr>
              <w:t>planning to enable the Associate Field</w:t>
            </w:r>
            <w:r>
              <w:rPr>
                <w:spacing w:val="40"/>
                <w:sz w:val="16"/>
              </w:rPr>
              <w:t> </w:t>
            </w:r>
            <w:r>
              <w:rPr>
                <w:sz w:val="16"/>
              </w:rPr>
              <w:t>Security Officer to effectively monitor the</w:t>
            </w:r>
            <w:r>
              <w:rPr>
                <w:spacing w:val="40"/>
                <w:sz w:val="16"/>
              </w:rPr>
              <w:t> </w:t>
            </w:r>
            <w:r>
              <w:rPr>
                <w:sz w:val="16"/>
              </w:rPr>
              <w:t>security</w:t>
            </w:r>
            <w:r>
              <w:rPr>
                <w:spacing w:val="-7"/>
                <w:sz w:val="16"/>
              </w:rPr>
              <w:t> </w:t>
            </w:r>
            <w:r>
              <w:rPr>
                <w:sz w:val="16"/>
              </w:rPr>
              <w:t>situation</w:t>
            </w:r>
            <w:r>
              <w:rPr>
                <w:spacing w:val="-7"/>
                <w:sz w:val="16"/>
              </w:rPr>
              <w:t> </w:t>
            </w:r>
            <w:r>
              <w:rPr>
                <w:sz w:val="16"/>
              </w:rPr>
              <w:t>in</w:t>
            </w:r>
            <w:r>
              <w:rPr>
                <w:spacing w:val="-7"/>
                <w:sz w:val="16"/>
              </w:rPr>
              <w:t> </w:t>
            </w:r>
            <w:r>
              <w:rPr>
                <w:sz w:val="16"/>
              </w:rPr>
              <w:t>the</w:t>
            </w:r>
            <w:r>
              <w:rPr>
                <w:spacing w:val="-8"/>
                <w:sz w:val="16"/>
              </w:rPr>
              <w:t> </w:t>
            </w:r>
            <w:r>
              <w:rPr>
                <w:sz w:val="16"/>
              </w:rPr>
              <w:t>DRC</w:t>
            </w:r>
            <w:r>
              <w:rPr>
                <w:spacing w:val="-9"/>
                <w:sz w:val="16"/>
              </w:rPr>
              <w:t> </w:t>
            </w:r>
            <w:r>
              <w:rPr>
                <w:sz w:val="16"/>
              </w:rPr>
              <w:t>from</w:t>
            </w:r>
            <w:r>
              <w:rPr>
                <w:spacing w:val="-8"/>
                <w:sz w:val="16"/>
              </w:rPr>
              <w:t> </w:t>
            </w:r>
            <w:r>
              <w:rPr>
                <w:sz w:val="16"/>
              </w:rPr>
              <w:t>Uganda</w:t>
            </w:r>
            <w:r>
              <w:rPr>
                <w:spacing w:val="40"/>
                <w:sz w:val="16"/>
              </w:rPr>
              <w:t> </w:t>
            </w:r>
            <w:r>
              <w:rPr>
                <w:sz w:val="16"/>
              </w:rPr>
              <w:t>with the assistance of the Local Security</w:t>
            </w:r>
            <w:r>
              <w:rPr>
                <w:spacing w:val="40"/>
                <w:sz w:val="16"/>
              </w:rPr>
              <w:t> </w:t>
            </w:r>
            <w:r>
              <w:rPr>
                <w:sz w:val="16"/>
              </w:rPr>
              <w:t>Assistant remaining in Bunia.</w:t>
            </w:r>
          </w:p>
        </w:tc>
        <w:tc>
          <w:tcPr>
            <w:tcW w:w="4173" w:type="dxa"/>
          </w:tcPr>
          <w:p>
            <w:pPr>
              <w:pStyle w:val="TableParagraph"/>
              <w:spacing w:line="261" w:lineRule="auto"/>
              <w:ind w:left="109" w:right="141"/>
              <w:jc w:val="left"/>
              <w:rPr>
                <w:sz w:val="16"/>
              </w:rPr>
            </w:pPr>
            <w:r>
              <w:rPr>
                <w:sz w:val="16"/>
              </w:rPr>
              <w:t>The cost analysis conducted shows that a saving of</w:t>
            </w:r>
            <w:r>
              <w:rPr>
                <w:spacing w:val="40"/>
                <w:sz w:val="16"/>
              </w:rPr>
              <w:t> </w:t>
            </w:r>
            <w:r>
              <w:rPr>
                <w:sz w:val="16"/>
              </w:rPr>
              <w:t>approximately</w:t>
            </w:r>
            <w:r>
              <w:rPr>
                <w:spacing w:val="-2"/>
                <w:sz w:val="16"/>
              </w:rPr>
              <w:t> </w:t>
            </w:r>
            <w:r>
              <w:rPr>
                <w:sz w:val="16"/>
              </w:rPr>
              <w:t>€27.9</w:t>
            </w:r>
            <w:r>
              <w:rPr>
                <w:spacing w:val="-2"/>
                <w:sz w:val="16"/>
              </w:rPr>
              <w:t> </w:t>
            </w:r>
            <w:r>
              <w:rPr>
                <w:sz w:val="16"/>
              </w:rPr>
              <w:t>thousand</w:t>
            </w:r>
            <w:r>
              <w:rPr>
                <w:spacing w:val="-2"/>
                <w:sz w:val="16"/>
              </w:rPr>
              <w:t> </w:t>
            </w:r>
            <w:r>
              <w:rPr>
                <w:sz w:val="16"/>
              </w:rPr>
              <w:t>could</w:t>
            </w:r>
            <w:r>
              <w:rPr>
                <w:spacing w:val="-2"/>
                <w:sz w:val="16"/>
              </w:rPr>
              <w:t> </w:t>
            </w:r>
            <w:r>
              <w:rPr>
                <w:sz w:val="16"/>
              </w:rPr>
              <w:t>be</w:t>
            </w:r>
            <w:r>
              <w:rPr>
                <w:spacing w:val="-3"/>
                <w:sz w:val="16"/>
              </w:rPr>
              <w:t> </w:t>
            </w:r>
            <w:r>
              <w:rPr>
                <w:sz w:val="16"/>
              </w:rPr>
              <w:t>achieved</w:t>
            </w:r>
            <w:r>
              <w:rPr>
                <w:spacing w:val="-2"/>
                <w:sz w:val="16"/>
              </w:rPr>
              <w:t> </w:t>
            </w:r>
            <w:r>
              <w:rPr>
                <w:sz w:val="16"/>
              </w:rPr>
              <w:t>by</w:t>
            </w:r>
            <w:r>
              <w:rPr>
                <w:spacing w:val="-2"/>
                <w:sz w:val="16"/>
              </w:rPr>
              <w:t> </w:t>
            </w:r>
            <w:r>
              <w:rPr>
                <w:sz w:val="16"/>
              </w:rPr>
              <w:t>such</w:t>
            </w:r>
            <w:r>
              <w:rPr>
                <w:spacing w:val="-2"/>
                <w:sz w:val="16"/>
              </w:rPr>
              <w:t> </w:t>
            </w:r>
            <w:r>
              <w:rPr>
                <w:sz w:val="16"/>
              </w:rPr>
              <w:t>a</w:t>
            </w:r>
            <w:r>
              <w:rPr>
                <w:spacing w:val="40"/>
                <w:sz w:val="16"/>
              </w:rPr>
              <w:t> </w:t>
            </w:r>
            <w:r>
              <w:rPr>
                <w:sz w:val="16"/>
              </w:rPr>
              <w:t>redeployment,</w:t>
            </w:r>
            <w:r>
              <w:rPr>
                <w:spacing w:val="-10"/>
                <w:sz w:val="16"/>
              </w:rPr>
              <w:t> </w:t>
            </w:r>
            <w:r>
              <w:rPr>
                <w:sz w:val="16"/>
              </w:rPr>
              <w:t>taking</w:t>
            </w:r>
            <w:r>
              <w:rPr>
                <w:spacing w:val="-7"/>
                <w:sz w:val="16"/>
              </w:rPr>
              <w:t> </w:t>
            </w:r>
            <w:r>
              <w:rPr>
                <w:sz w:val="16"/>
              </w:rPr>
              <w:t>into</w:t>
            </w:r>
            <w:r>
              <w:rPr>
                <w:spacing w:val="-7"/>
                <w:sz w:val="16"/>
              </w:rPr>
              <w:t> </w:t>
            </w:r>
            <w:r>
              <w:rPr>
                <w:sz w:val="16"/>
              </w:rPr>
              <w:t>consideration</w:t>
            </w:r>
            <w:r>
              <w:rPr>
                <w:spacing w:val="-7"/>
                <w:sz w:val="16"/>
              </w:rPr>
              <w:t> </w:t>
            </w:r>
            <w:r>
              <w:rPr>
                <w:sz w:val="16"/>
              </w:rPr>
              <w:t>the</w:t>
            </w:r>
            <w:r>
              <w:rPr>
                <w:spacing w:val="-8"/>
                <w:sz w:val="16"/>
              </w:rPr>
              <w:t> </w:t>
            </w:r>
            <w:r>
              <w:rPr>
                <w:sz w:val="16"/>
              </w:rPr>
              <w:t>Associate</w:t>
            </w:r>
            <w:r>
              <w:rPr>
                <w:spacing w:val="-8"/>
                <w:sz w:val="16"/>
              </w:rPr>
              <w:t> </w:t>
            </w:r>
            <w:r>
              <w:rPr>
                <w:sz w:val="16"/>
              </w:rPr>
              <w:t>Field</w:t>
            </w:r>
            <w:r>
              <w:rPr>
                <w:spacing w:val="40"/>
                <w:sz w:val="16"/>
              </w:rPr>
              <w:t> </w:t>
            </w:r>
            <w:r>
              <w:rPr>
                <w:sz w:val="16"/>
              </w:rPr>
              <w:t>Security Officer’s travel costs from Kampala, Uganda to</w:t>
            </w:r>
            <w:r>
              <w:rPr>
                <w:spacing w:val="40"/>
                <w:sz w:val="16"/>
              </w:rPr>
              <w:t> </w:t>
            </w:r>
            <w:r>
              <w:rPr>
                <w:sz w:val="16"/>
              </w:rPr>
              <w:t>Bunia, DRC to provide security support to missions to be</w:t>
            </w:r>
            <w:r>
              <w:rPr>
                <w:spacing w:val="40"/>
                <w:sz w:val="16"/>
              </w:rPr>
              <w:t> </w:t>
            </w:r>
            <w:r>
              <w:rPr>
                <w:sz w:val="16"/>
              </w:rPr>
              <w:t>conducted in the DRC.</w:t>
            </w:r>
          </w:p>
        </w:tc>
        <w:tc>
          <w:tcPr>
            <w:tcW w:w="1129" w:type="dxa"/>
          </w:tcPr>
          <w:p>
            <w:pPr>
              <w:pStyle w:val="TableParagraph"/>
              <w:jc w:val="left"/>
              <w:rPr>
                <w:sz w:val="14"/>
              </w:rPr>
            </w:pPr>
          </w:p>
        </w:tc>
        <w:tc>
          <w:tcPr>
            <w:tcW w:w="1297" w:type="dxa"/>
          </w:tcPr>
          <w:p>
            <w:pPr>
              <w:pStyle w:val="TableParagraph"/>
              <w:spacing w:before="7"/>
              <w:jc w:val="left"/>
              <w:rPr>
                <w:sz w:val="17"/>
              </w:rPr>
            </w:pPr>
          </w:p>
          <w:p>
            <w:pPr>
              <w:pStyle w:val="TableParagraph"/>
              <w:ind w:right="98"/>
              <w:rPr>
                <w:sz w:val="16"/>
              </w:rPr>
            </w:pPr>
            <w:r>
              <w:rPr>
                <w:spacing w:val="-2"/>
                <w:sz w:val="16"/>
              </w:rPr>
              <w:t>27,910</w:t>
            </w:r>
          </w:p>
        </w:tc>
      </w:tr>
    </w:tbl>
    <w:p>
      <w:pPr>
        <w:spacing w:after="0"/>
        <w:rPr>
          <w:sz w:val="16"/>
        </w:rPr>
        <w:sectPr>
          <w:pgSz w:w="11910" w:h="16840"/>
          <w:pgMar w:header="957" w:footer="940" w:top="1140" w:bottom="1140" w:left="20" w:right="20"/>
        </w:sectPr>
      </w:pPr>
    </w:p>
    <w:p>
      <w:pPr>
        <w:pStyle w:val="BodyText"/>
        <w:spacing w:before="9"/>
        <w:rPr>
          <w:sz w:val="10"/>
        </w:rPr>
      </w:pPr>
    </w:p>
    <w:tbl>
      <w:tblPr>
        <w:tblW w:w="0" w:type="auto"/>
        <w:jc w:val="left"/>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45"/>
        <w:gridCol w:w="4173"/>
        <w:gridCol w:w="1129"/>
        <w:gridCol w:w="1297"/>
      </w:tblGrid>
      <w:tr>
        <w:trPr>
          <w:trHeight w:val="1108" w:hRule="atLeast"/>
        </w:trPr>
        <w:tc>
          <w:tcPr>
            <w:tcW w:w="3045" w:type="dxa"/>
            <w:tcBorders>
              <w:left w:val="nil"/>
              <w:right w:val="nil"/>
            </w:tcBorders>
          </w:tcPr>
          <w:p>
            <w:pPr>
              <w:pStyle w:val="TableParagraph"/>
              <w:jc w:val="left"/>
              <w:rPr>
                <w:sz w:val="18"/>
              </w:rPr>
            </w:pPr>
          </w:p>
          <w:p>
            <w:pPr>
              <w:pStyle w:val="TableParagraph"/>
              <w:jc w:val="left"/>
              <w:rPr>
                <w:sz w:val="22"/>
              </w:rPr>
            </w:pPr>
          </w:p>
          <w:p>
            <w:pPr>
              <w:pStyle w:val="TableParagraph"/>
              <w:ind w:left="1147" w:right="1132"/>
              <w:jc w:val="center"/>
              <w:rPr>
                <w:sz w:val="16"/>
              </w:rPr>
            </w:pPr>
            <w:r>
              <w:rPr>
                <w:spacing w:val="-2"/>
                <w:sz w:val="16"/>
              </w:rPr>
              <w:t>Description</w:t>
            </w:r>
          </w:p>
        </w:tc>
        <w:tc>
          <w:tcPr>
            <w:tcW w:w="4173" w:type="dxa"/>
            <w:tcBorders>
              <w:left w:val="nil"/>
              <w:right w:val="nil"/>
            </w:tcBorders>
          </w:tcPr>
          <w:p>
            <w:pPr>
              <w:pStyle w:val="TableParagraph"/>
              <w:jc w:val="left"/>
              <w:rPr>
                <w:sz w:val="18"/>
              </w:rPr>
            </w:pPr>
          </w:p>
          <w:p>
            <w:pPr>
              <w:pStyle w:val="TableParagraph"/>
              <w:jc w:val="left"/>
              <w:rPr>
                <w:sz w:val="22"/>
              </w:rPr>
            </w:pPr>
          </w:p>
          <w:p>
            <w:pPr>
              <w:pStyle w:val="TableParagraph"/>
              <w:ind w:left="1166"/>
              <w:jc w:val="left"/>
              <w:rPr>
                <w:sz w:val="16"/>
              </w:rPr>
            </w:pPr>
            <w:r>
              <w:rPr>
                <w:sz w:val="16"/>
              </w:rPr>
              <w:t>Achieved</w:t>
            </w:r>
            <w:r>
              <w:rPr>
                <w:spacing w:val="-4"/>
                <w:sz w:val="16"/>
              </w:rPr>
              <w:t> </w:t>
            </w:r>
            <w:r>
              <w:rPr>
                <w:sz w:val="16"/>
              </w:rPr>
              <w:t>output</w:t>
            </w:r>
            <w:r>
              <w:rPr>
                <w:spacing w:val="-6"/>
                <w:sz w:val="16"/>
              </w:rPr>
              <w:t> </w:t>
            </w:r>
            <w:r>
              <w:rPr>
                <w:sz w:val="16"/>
              </w:rPr>
              <w:t>(2023</w:t>
            </w:r>
            <w:r>
              <w:rPr>
                <w:spacing w:val="-3"/>
                <w:sz w:val="16"/>
              </w:rPr>
              <w:t> </w:t>
            </w:r>
            <w:r>
              <w:rPr>
                <w:spacing w:val="-4"/>
                <w:sz w:val="16"/>
              </w:rPr>
              <w:t>PPB)</w:t>
            </w:r>
          </w:p>
        </w:tc>
        <w:tc>
          <w:tcPr>
            <w:tcW w:w="1129" w:type="dxa"/>
            <w:tcBorders>
              <w:left w:val="nil"/>
              <w:right w:val="nil"/>
            </w:tcBorders>
          </w:tcPr>
          <w:p>
            <w:pPr>
              <w:pStyle w:val="TableParagraph"/>
              <w:spacing w:before="4"/>
              <w:ind w:left="133" w:right="125" w:hanging="6"/>
              <w:jc w:val="center"/>
              <w:rPr>
                <w:i/>
                <w:sz w:val="16"/>
              </w:rPr>
            </w:pPr>
            <w:r>
              <w:rPr>
                <w:i/>
                <w:sz w:val="16"/>
              </w:rPr>
              <w:t>2022</w:t>
            </w:r>
            <w:r>
              <w:rPr>
                <w:i/>
                <w:spacing w:val="-1"/>
                <w:sz w:val="16"/>
              </w:rPr>
              <w:t> </w:t>
            </w:r>
            <w:r>
              <w:rPr>
                <w:i/>
                <w:sz w:val="16"/>
              </w:rPr>
              <w:t>Costs</w:t>
            </w:r>
            <w:r>
              <w:rPr>
                <w:i/>
                <w:spacing w:val="40"/>
                <w:sz w:val="16"/>
              </w:rPr>
              <w:t> </w:t>
            </w:r>
            <w:r>
              <w:rPr>
                <w:i/>
                <w:spacing w:val="-2"/>
                <w:sz w:val="16"/>
              </w:rPr>
              <w:t>avoided</w:t>
            </w:r>
            <w:r>
              <w:rPr>
                <w:i/>
                <w:spacing w:val="40"/>
                <w:sz w:val="16"/>
              </w:rPr>
              <w:t> </w:t>
            </w:r>
            <w:r>
              <w:rPr>
                <w:i/>
                <w:spacing w:val="-2"/>
                <w:sz w:val="16"/>
              </w:rPr>
              <w:t>(baseline</w:t>
            </w:r>
            <w:r>
              <w:rPr>
                <w:i/>
                <w:spacing w:val="40"/>
                <w:sz w:val="16"/>
              </w:rPr>
              <w:t> </w:t>
            </w:r>
            <w:r>
              <w:rPr>
                <w:i/>
                <w:spacing w:val="-2"/>
                <w:sz w:val="16"/>
              </w:rPr>
              <w:t>maintained)</w:t>
            </w:r>
            <w:r>
              <w:rPr>
                <w:i/>
                <w:spacing w:val="40"/>
                <w:sz w:val="16"/>
              </w:rPr>
              <w:t> </w:t>
            </w:r>
            <w:r>
              <w:rPr>
                <w:i/>
                <w:w w:val="95"/>
                <w:sz w:val="16"/>
              </w:rPr>
              <w:t>(thousands</w:t>
            </w:r>
            <w:r>
              <w:rPr>
                <w:i/>
                <w:spacing w:val="30"/>
                <w:sz w:val="16"/>
              </w:rPr>
              <w:t> </w:t>
            </w:r>
            <w:r>
              <w:rPr>
                <w:i/>
                <w:spacing w:val="-5"/>
                <w:sz w:val="16"/>
              </w:rPr>
              <w:t>of</w:t>
            </w:r>
          </w:p>
          <w:p>
            <w:pPr>
              <w:pStyle w:val="TableParagraph"/>
              <w:spacing w:line="164" w:lineRule="exact"/>
              <w:ind w:left="351" w:right="340"/>
              <w:jc w:val="center"/>
              <w:rPr>
                <w:i/>
                <w:sz w:val="16"/>
              </w:rPr>
            </w:pPr>
            <w:r>
              <w:rPr>
                <w:i/>
                <w:spacing w:val="-2"/>
                <w:sz w:val="16"/>
              </w:rPr>
              <w:t>euros)</w:t>
            </w:r>
          </w:p>
        </w:tc>
        <w:tc>
          <w:tcPr>
            <w:tcW w:w="1297" w:type="dxa"/>
            <w:tcBorders>
              <w:left w:val="nil"/>
              <w:right w:val="nil"/>
            </w:tcBorders>
          </w:tcPr>
          <w:p>
            <w:pPr>
              <w:pStyle w:val="TableParagraph"/>
              <w:spacing w:before="2"/>
              <w:jc w:val="left"/>
              <w:rPr>
                <w:sz w:val="16"/>
              </w:rPr>
            </w:pPr>
          </w:p>
          <w:p>
            <w:pPr>
              <w:pStyle w:val="TableParagraph"/>
              <w:ind w:left="142" w:right="143"/>
              <w:jc w:val="center"/>
              <w:rPr>
                <w:i/>
                <w:sz w:val="16"/>
              </w:rPr>
            </w:pPr>
            <w:r>
              <w:rPr>
                <w:i/>
                <w:sz w:val="16"/>
              </w:rPr>
              <w:t>2023</w:t>
            </w:r>
            <w:r>
              <w:rPr>
                <w:i/>
                <w:spacing w:val="-10"/>
                <w:sz w:val="16"/>
              </w:rPr>
              <w:t> </w:t>
            </w:r>
            <w:r>
              <w:rPr>
                <w:i/>
                <w:sz w:val="16"/>
              </w:rPr>
              <w:t>Reduction</w:t>
            </w:r>
            <w:r>
              <w:rPr>
                <w:i/>
                <w:spacing w:val="40"/>
                <w:sz w:val="16"/>
              </w:rPr>
              <w:t> </w:t>
            </w:r>
            <w:r>
              <w:rPr>
                <w:i/>
                <w:sz w:val="16"/>
              </w:rPr>
              <w:t>in</w:t>
            </w:r>
            <w:r>
              <w:rPr>
                <w:i/>
                <w:spacing w:val="-1"/>
                <w:sz w:val="16"/>
              </w:rPr>
              <w:t> </w:t>
            </w:r>
            <w:r>
              <w:rPr>
                <w:i/>
                <w:sz w:val="16"/>
              </w:rPr>
              <w:t>baseline</w:t>
            </w:r>
            <w:r>
              <w:rPr>
                <w:i/>
                <w:spacing w:val="40"/>
                <w:sz w:val="16"/>
              </w:rPr>
              <w:t> </w:t>
            </w:r>
            <w:r>
              <w:rPr>
                <w:i/>
                <w:sz w:val="16"/>
              </w:rPr>
              <w:t>(thousands</w:t>
            </w:r>
            <w:r>
              <w:rPr>
                <w:i/>
                <w:spacing w:val="-5"/>
                <w:sz w:val="16"/>
              </w:rPr>
              <w:t> </w:t>
            </w:r>
            <w:r>
              <w:rPr>
                <w:i/>
                <w:sz w:val="16"/>
              </w:rPr>
              <w:t>of</w:t>
            </w:r>
            <w:r>
              <w:rPr>
                <w:i/>
                <w:spacing w:val="40"/>
                <w:sz w:val="16"/>
              </w:rPr>
              <w:t> </w:t>
            </w:r>
            <w:r>
              <w:rPr>
                <w:i/>
                <w:spacing w:val="-2"/>
                <w:sz w:val="16"/>
              </w:rPr>
              <w:t>euros)</w:t>
            </w:r>
          </w:p>
        </w:tc>
      </w:tr>
      <w:tr>
        <w:trPr>
          <w:trHeight w:val="1152" w:hRule="atLeast"/>
        </w:trPr>
        <w:tc>
          <w:tcPr>
            <w:tcW w:w="3045" w:type="dxa"/>
          </w:tcPr>
          <w:p>
            <w:pPr>
              <w:pStyle w:val="TableParagraph"/>
              <w:spacing w:line="256" w:lineRule="auto"/>
              <w:ind w:left="110" w:right="105"/>
              <w:jc w:val="left"/>
              <w:rPr>
                <w:sz w:val="16"/>
              </w:rPr>
            </w:pPr>
            <w:r>
              <w:rPr>
                <w:sz w:val="16"/>
              </w:rPr>
              <w:t>Requesting</w:t>
            </w:r>
            <w:r>
              <w:rPr>
                <w:spacing w:val="-10"/>
                <w:sz w:val="16"/>
              </w:rPr>
              <w:t> </w:t>
            </w:r>
            <w:r>
              <w:rPr>
                <w:sz w:val="16"/>
              </w:rPr>
              <w:t>individual</w:t>
            </w:r>
            <w:r>
              <w:rPr>
                <w:spacing w:val="-10"/>
                <w:sz w:val="16"/>
              </w:rPr>
              <w:t> </w:t>
            </w:r>
            <w:r>
              <w:rPr>
                <w:sz w:val="16"/>
              </w:rPr>
              <w:t>contractor</w:t>
            </w:r>
            <w:r>
              <w:rPr>
                <w:spacing w:val="-10"/>
                <w:sz w:val="16"/>
              </w:rPr>
              <w:t> </w:t>
            </w:r>
            <w:r>
              <w:rPr>
                <w:sz w:val="16"/>
              </w:rPr>
              <w:t>services</w:t>
            </w:r>
            <w:r>
              <w:rPr>
                <w:spacing w:val="40"/>
                <w:sz w:val="16"/>
              </w:rPr>
              <w:t> </w:t>
            </w:r>
            <w:r>
              <w:rPr>
                <w:sz w:val="16"/>
              </w:rPr>
              <w:t>under GTA instead of new positions is a</w:t>
            </w:r>
            <w:r>
              <w:rPr>
                <w:spacing w:val="40"/>
                <w:sz w:val="16"/>
              </w:rPr>
              <w:t> </w:t>
            </w:r>
            <w:r>
              <w:rPr>
                <w:sz w:val="16"/>
              </w:rPr>
              <w:t>pilot that DEO is aiming to implement</w:t>
            </w:r>
          </w:p>
          <w:p>
            <w:pPr>
              <w:pStyle w:val="TableParagraph"/>
              <w:spacing w:line="264" w:lineRule="auto" w:before="4"/>
              <w:ind w:left="110" w:right="105"/>
              <w:jc w:val="left"/>
              <w:rPr>
                <w:sz w:val="16"/>
              </w:rPr>
            </w:pPr>
            <w:r>
              <w:rPr>
                <w:sz w:val="16"/>
              </w:rPr>
              <w:t>in</w:t>
            </w:r>
            <w:r>
              <w:rPr>
                <w:spacing w:val="-5"/>
                <w:sz w:val="16"/>
              </w:rPr>
              <w:t> </w:t>
            </w:r>
            <w:r>
              <w:rPr>
                <w:sz w:val="16"/>
              </w:rPr>
              <w:t>2023</w:t>
            </w:r>
            <w:r>
              <w:rPr>
                <w:spacing w:val="-5"/>
                <w:sz w:val="16"/>
              </w:rPr>
              <w:t> </w:t>
            </w:r>
            <w:r>
              <w:rPr>
                <w:sz w:val="16"/>
              </w:rPr>
              <w:t>with</w:t>
            </w:r>
            <w:r>
              <w:rPr>
                <w:spacing w:val="-5"/>
                <w:sz w:val="16"/>
              </w:rPr>
              <w:t> </w:t>
            </w:r>
            <w:r>
              <w:rPr>
                <w:sz w:val="16"/>
              </w:rPr>
              <w:t>the</w:t>
            </w:r>
            <w:r>
              <w:rPr>
                <w:spacing w:val="-6"/>
                <w:sz w:val="16"/>
              </w:rPr>
              <w:t> </w:t>
            </w:r>
            <w:r>
              <w:rPr>
                <w:sz w:val="16"/>
              </w:rPr>
              <w:t>goal</w:t>
            </w:r>
            <w:r>
              <w:rPr>
                <w:spacing w:val="-8"/>
                <w:sz w:val="16"/>
              </w:rPr>
              <w:t> </w:t>
            </w:r>
            <w:r>
              <w:rPr>
                <w:sz w:val="16"/>
              </w:rPr>
              <w:t>of</w:t>
            </w:r>
            <w:r>
              <w:rPr>
                <w:spacing w:val="-7"/>
                <w:sz w:val="16"/>
              </w:rPr>
              <w:t> </w:t>
            </w:r>
            <w:r>
              <w:rPr>
                <w:sz w:val="16"/>
              </w:rPr>
              <w:t>achieving</w:t>
            </w:r>
            <w:r>
              <w:rPr>
                <w:spacing w:val="-5"/>
                <w:sz w:val="16"/>
              </w:rPr>
              <w:t> </w:t>
            </w:r>
            <w:r>
              <w:rPr>
                <w:sz w:val="16"/>
              </w:rPr>
              <w:t>further</w:t>
            </w:r>
            <w:r>
              <w:rPr>
                <w:spacing w:val="40"/>
                <w:sz w:val="16"/>
              </w:rPr>
              <w:t> </w:t>
            </w:r>
            <w:r>
              <w:rPr>
                <w:sz w:val="16"/>
              </w:rPr>
              <w:t>savings and efficiencies.</w:t>
            </w:r>
          </w:p>
        </w:tc>
        <w:tc>
          <w:tcPr>
            <w:tcW w:w="4173" w:type="dxa"/>
          </w:tcPr>
          <w:p>
            <w:pPr>
              <w:pStyle w:val="TableParagraph"/>
              <w:spacing w:line="259" w:lineRule="auto"/>
              <w:ind w:left="109" w:right="141"/>
              <w:jc w:val="left"/>
              <w:rPr>
                <w:sz w:val="16"/>
              </w:rPr>
            </w:pPr>
            <w:r>
              <w:rPr>
                <w:sz w:val="16"/>
              </w:rPr>
              <w:t>SSA for</w:t>
            </w:r>
            <w:r>
              <w:rPr>
                <w:spacing w:val="-4"/>
                <w:sz w:val="16"/>
              </w:rPr>
              <w:t> </w:t>
            </w:r>
            <w:r>
              <w:rPr>
                <w:sz w:val="16"/>
              </w:rPr>
              <w:t>a</w:t>
            </w:r>
            <w:r>
              <w:rPr>
                <w:spacing w:val="-3"/>
                <w:sz w:val="16"/>
              </w:rPr>
              <w:t> </w:t>
            </w:r>
            <w:r>
              <w:rPr>
                <w:sz w:val="16"/>
              </w:rPr>
              <w:t>Driver</w:t>
            </w:r>
            <w:r>
              <w:rPr>
                <w:spacing w:val="-4"/>
                <w:sz w:val="16"/>
              </w:rPr>
              <w:t> </w:t>
            </w:r>
            <w:r>
              <w:rPr>
                <w:sz w:val="16"/>
              </w:rPr>
              <w:t>in Côte</w:t>
            </w:r>
            <w:r>
              <w:rPr>
                <w:spacing w:val="-3"/>
                <w:sz w:val="16"/>
              </w:rPr>
              <w:t> </w:t>
            </w:r>
            <w:r>
              <w:rPr>
                <w:sz w:val="16"/>
              </w:rPr>
              <w:t>d’Ivoire</w:t>
            </w:r>
            <w:r>
              <w:rPr>
                <w:spacing w:val="-3"/>
                <w:sz w:val="16"/>
              </w:rPr>
              <w:t> </w:t>
            </w:r>
            <w:r>
              <w:rPr>
                <w:sz w:val="16"/>
              </w:rPr>
              <w:t>to</w:t>
            </w:r>
            <w:r>
              <w:rPr>
                <w:spacing w:val="-2"/>
                <w:sz w:val="16"/>
              </w:rPr>
              <w:t> </w:t>
            </w:r>
            <w:r>
              <w:rPr>
                <w:sz w:val="16"/>
              </w:rPr>
              <w:t>cover</w:t>
            </w:r>
            <w:r>
              <w:rPr>
                <w:spacing w:val="-4"/>
                <w:sz w:val="16"/>
              </w:rPr>
              <w:t> </w:t>
            </w:r>
            <w:r>
              <w:rPr>
                <w:sz w:val="16"/>
              </w:rPr>
              <w:t>the</w:t>
            </w:r>
            <w:r>
              <w:rPr>
                <w:spacing w:val="-3"/>
                <w:sz w:val="16"/>
              </w:rPr>
              <w:t> </w:t>
            </w:r>
            <w:r>
              <w:rPr>
                <w:sz w:val="16"/>
              </w:rPr>
              <w:t>residual</w:t>
            </w:r>
            <w:r>
              <w:rPr>
                <w:spacing w:val="-5"/>
                <w:sz w:val="16"/>
              </w:rPr>
              <w:t> </w:t>
            </w:r>
            <w:r>
              <w:rPr>
                <w:sz w:val="16"/>
              </w:rPr>
              <w:t>needs</w:t>
            </w:r>
            <w:r>
              <w:rPr>
                <w:spacing w:val="40"/>
                <w:sz w:val="16"/>
              </w:rPr>
              <w:t> </w:t>
            </w:r>
            <w:r>
              <w:rPr>
                <w:sz w:val="16"/>
              </w:rPr>
              <w:t>of</w:t>
            </w:r>
            <w:r>
              <w:rPr>
                <w:spacing w:val="-5"/>
                <w:sz w:val="16"/>
              </w:rPr>
              <w:t> </w:t>
            </w:r>
            <w:r>
              <w:rPr>
                <w:sz w:val="16"/>
              </w:rPr>
              <w:t>the</w:t>
            </w:r>
            <w:r>
              <w:rPr>
                <w:spacing w:val="-4"/>
                <w:sz w:val="16"/>
              </w:rPr>
              <w:t> </w:t>
            </w:r>
            <w:r>
              <w:rPr>
                <w:sz w:val="16"/>
              </w:rPr>
              <w:t>country</w:t>
            </w:r>
            <w:r>
              <w:rPr>
                <w:spacing w:val="-3"/>
                <w:sz w:val="16"/>
              </w:rPr>
              <w:t> </w:t>
            </w:r>
            <w:r>
              <w:rPr>
                <w:sz w:val="16"/>
              </w:rPr>
              <w:t>office</w:t>
            </w:r>
            <w:r>
              <w:rPr>
                <w:spacing w:val="-4"/>
                <w:sz w:val="16"/>
              </w:rPr>
              <w:t> </w:t>
            </w:r>
            <w:r>
              <w:rPr>
                <w:sz w:val="16"/>
              </w:rPr>
              <w:t>as</w:t>
            </w:r>
            <w:r>
              <w:rPr>
                <w:spacing w:val="-5"/>
                <w:sz w:val="16"/>
              </w:rPr>
              <w:t> </w:t>
            </w:r>
            <w:r>
              <w:rPr>
                <w:sz w:val="16"/>
              </w:rPr>
              <w:t>well</w:t>
            </w:r>
            <w:r>
              <w:rPr>
                <w:spacing w:val="-6"/>
                <w:sz w:val="16"/>
              </w:rPr>
              <w:t> </w:t>
            </w:r>
            <w:r>
              <w:rPr>
                <w:sz w:val="16"/>
              </w:rPr>
              <w:t>as</w:t>
            </w:r>
            <w:r>
              <w:rPr>
                <w:spacing w:val="-5"/>
                <w:sz w:val="16"/>
              </w:rPr>
              <w:t> </w:t>
            </w:r>
            <w:r>
              <w:rPr>
                <w:sz w:val="16"/>
              </w:rPr>
              <w:t>for</w:t>
            </w:r>
            <w:r>
              <w:rPr>
                <w:spacing w:val="-5"/>
                <w:sz w:val="16"/>
              </w:rPr>
              <w:t> </w:t>
            </w:r>
            <w:r>
              <w:rPr>
                <w:sz w:val="16"/>
              </w:rPr>
              <w:t>a</w:t>
            </w:r>
            <w:r>
              <w:rPr>
                <w:spacing w:val="-4"/>
                <w:sz w:val="16"/>
              </w:rPr>
              <w:t> </w:t>
            </w:r>
            <w:r>
              <w:rPr>
                <w:sz w:val="16"/>
              </w:rPr>
              <w:t>Senior</w:t>
            </w:r>
            <w:r>
              <w:rPr>
                <w:spacing w:val="-5"/>
                <w:sz w:val="16"/>
              </w:rPr>
              <w:t> </w:t>
            </w:r>
            <w:r>
              <w:rPr>
                <w:sz w:val="16"/>
              </w:rPr>
              <w:t>Driver</w:t>
            </w:r>
            <w:r>
              <w:rPr>
                <w:spacing w:val="-5"/>
                <w:sz w:val="16"/>
              </w:rPr>
              <w:t> </w:t>
            </w:r>
            <w:r>
              <w:rPr>
                <w:sz w:val="16"/>
              </w:rPr>
              <w:t>to</w:t>
            </w:r>
            <w:r>
              <w:rPr>
                <w:spacing w:val="-3"/>
                <w:sz w:val="16"/>
              </w:rPr>
              <w:t> </w:t>
            </w:r>
            <w:r>
              <w:rPr>
                <w:sz w:val="16"/>
              </w:rPr>
              <w:t>provide</w:t>
            </w:r>
            <w:r>
              <w:rPr>
                <w:spacing w:val="40"/>
                <w:sz w:val="16"/>
              </w:rPr>
              <w:t> </w:t>
            </w:r>
            <w:r>
              <w:rPr>
                <w:sz w:val="16"/>
              </w:rPr>
              <w:t>support for missions and during peaks in activity, when/if</w:t>
            </w:r>
            <w:r>
              <w:rPr>
                <w:spacing w:val="40"/>
                <w:sz w:val="16"/>
              </w:rPr>
              <w:t> </w:t>
            </w:r>
            <w:r>
              <w:rPr>
                <w:sz w:val="16"/>
              </w:rPr>
              <w:t>services are required, in lieu of maintaining any Driver</w:t>
            </w:r>
            <w:r>
              <w:rPr>
                <w:spacing w:val="40"/>
                <w:sz w:val="16"/>
              </w:rPr>
              <w:t> </w:t>
            </w:r>
            <w:r>
              <w:rPr>
                <w:sz w:val="16"/>
              </w:rPr>
              <w:t>position under a GTA or as an established post.</w:t>
            </w:r>
          </w:p>
        </w:tc>
        <w:tc>
          <w:tcPr>
            <w:tcW w:w="1129" w:type="dxa"/>
          </w:tcPr>
          <w:p>
            <w:pPr>
              <w:pStyle w:val="TableParagraph"/>
              <w:jc w:val="left"/>
              <w:rPr>
                <w:sz w:val="14"/>
              </w:rPr>
            </w:pPr>
          </w:p>
        </w:tc>
        <w:tc>
          <w:tcPr>
            <w:tcW w:w="1297" w:type="dxa"/>
          </w:tcPr>
          <w:p>
            <w:pPr>
              <w:pStyle w:val="TableParagraph"/>
              <w:spacing w:before="5"/>
              <w:jc w:val="left"/>
              <w:rPr>
                <w:sz w:val="17"/>
              </w:rPr>
            </w:pPr>
          </w:p>
          <w:p>
            <w:pPr>
              <w:pStyle w:val="TableParagraph"/>
              <w:spacing w:before="1"/>
              <w:ind w:right="98"/>
              <w:rPr>
                <w:sz w:val="16"/>
              </w:rPr>
            </w:pPr>
            <w:r>
              <w:rPr>
                <w:spacing w:val="-2"/>
                <w:sz w:val="16"/>
              </w:rPr>
              <w:t>10,800</w:t>
            </w:r>
          </w:p>
        </w:tc>
      </w:tr>
      <w:tr>
        <w:trPr>
          <w:trHeight w:val="1151" w:hRule="atLeast"/>
        </w:trPr>
        <w:tc>
          <w:tcPr>
            <w:tcW w:w="3045" w:type="dxa"/>
          </w:tcPr>
          <w:p>
            <w:pPr>
              <w:pStyle w:val="TableParagraph"/>
              <w:jc w:val="left"/>
              <w:rPr>
                <w:sz w:val="14"/>
              </w:rPr>
            </w:pPr>
          </w:p>
        </w:tc>
        <w:tc>
          <w:tcPr>
            <w:tcW w:w="4173" w:type="dxa"/>
          </w:tcPr>
          <w:p>
            <w:pPr>
              <w:pStyle w:val="TableParagraph"/>
              <w:spacing w:line="259" w:lineRule="auto"/>
              <w:ind w:left="109" w:right="141"/>
              <w:jc w:val="left"/>
              <w:rPr>
                <w:sz w:val="16"/>
              </w:rPr>
            </w:pPr>
            <w:r>
              <w:rPr>
                <w:sz w:val="16"/>
              </w:rPr>
              <w:t>SSA</w:t>
            </w:r>
            <w:r>
              <w:rPr>
                <w:spacing w:val="-1"/>
                <w:sz w:val="16"/>
              </w:rPr>
              <w:t> </w:t>
            </w:r>
            <w:r>
              <w:rPr>
                <w:sz w:val="16"/>
              </w:rPr>
              <w:t>for</w:t>
            </w:r>
            <w:r>
              <w:rPr>
                <w:spacing w:val="-5"/>
                <w:sz w:val="16"/>
              </w:rPr>
              <w:t> </w:t>
            </w:r>
            <w:r>
              <w:rPr>
                <w:sz w:val="16"/>
              </w:rPr>
              <w:t>a</w:t>
            </w:r>
            <w:r>
              <w:rPr>
                <w:spacing w:val="-4"/>
                <w:sz w:val="16"/>
              </w:rPr>
              <w:t> </w:t>
            </w:r>
            <w:r>
              <w:rPr>
                <w:sz w:val="16"/>
              </w:rPr>
              <w:t>Driver</w:t>
            </w:r>
            <w:r>
              <w:rPr>
                <w:spacing w:val="-5"/>
                <w:sz w:val="16"/>
              </w:rPr>
              <w:t> </w:t>
            </w:r>
            <w:r>
              <w:rPr>
                <w:sz w:val="16"/>
              </w:rPr>
              <w:t>in</w:t>
            </w:r>
            <w:r>
              <w:rPr>
                <w:spacing w:val="-4"/>
                <w:sz w:val="16"/>
              </w:rPr>
              <w:t> </w:t>
            </w:r>
            <w:r>
              <w:rPr>
                <w:sz w:val="16"/>
              </w:rPr>
              <w:t>Kinshasa</w:t>
            </w:r>
            <w:r>
              <w:rPr>
                <w:spacing w:val="-4"/>
                <w:sz w:val="16"/>
              </w:rPr>
              <w:t> </w:t>
            </w:r>
            <w:r>
              <w:rPr>
                <w:sz w:val="16"/>
              </w:rPr>
              <w:t>in</w:t>
            </w:r>
            <w:r>
              <w:rPr>
                <w:spacing w:val="-4"/>
                <w:sz w:val="16"/>
              </w:rPr>
              <w:t> </w:t>
            </w:r>
            <w:r>
              <w:rPr>
                <w:sz w:val="16"/>
              </w:rPr>
              <w:t>the</w:t>
            </w:r>
            <w:r>
              <w:rPr>
                <w:spacing w:val="-4"/>
                <w:sz w:val="16"/>
              </w:rPr>
              <w:t> </w:t>
            </w:r>
            <w:r>
              <w:rPr>
                <w:sz w:val="16"/>
              </w:rPr>
              <w:t>absence</w:t>
            </w:r>
            <w:r>
              <w:rPr>
                <w:spacing w:val="-4"/>
                <w:sz w:val="16"/>
              </w:rPr>
              <w:t> </w:t>
            </w:r>
            <w:r>
              <w:rPr>
                <w:sz w:val="16"/>
              </w:rPr>
              <w:t>of</w:t>
            </w:r>
            <w:r>
              <w:rPr>
                <w:spacing w:val="-5"/>
                <w:sz w:val="16"/>
              </w:rPr>
              <w:t> </w:t>
            </w:r>
            <w:r>
              <w:rPr>
                <w:sz w:val="16"/>
              </w:rPr>
              <w:t>any</w:t>
            </w:r>
            <w:r>
              <w:rPr>
                <w:spacing w:val="-4"/>
                <w:sz w:val="16"/>
              </w:rPr>
              <w:t> </w:t>
            </w:r>
            <w:r>
              <w:rPr>
                <w:sz w:val="16"/>
              </w:rPr>
              <w:t>Driver</w:t>
            </w:r>
            <w:r>
              <w:rPr>
                <w:spacing w:val="40"/>
                <w:sz w:val="16"/>
              </w:rPr>
              <w:t> </w:t>
            </w:r>
            <w:r>
              <w:rPr>
                <w:sz w:val="16"/>
              </w:rPr>
              <w:t>position in Kinshasa to cover the residual needs of the</w:t>
            </w:r>
            <w:r>
              <w:rPr>
                <w:spacing w:val="40"/>
                <w:sz w:val="16"/>
              </w:rPr>
              <w:t> </w:t>
            </w:r>
            <w:r>
              <w:rPr>
                <w:sz w:val="16"/>
              </w:rPr>
              <w:t>country office when/if services are required, in lieu of</w:t>
            </w:r>
            <w:r>
              <w:rPr>
                <w:spacing w:val="40"/>
                <w:sz w:val="16"/>
              </w:rPr>
              <w:t> </w:t>
            </w:r>
            <w:r>
              <w:rPr>
                <w:sz w:val="16"/>
              </w:rPr>
              <w:t>maintaining any Driver position under a GTA or as an</w:t>
            </w:r>
            <w:r>
              <w:rPr>
                <w:spacing w:val="40"/>
                <w:sz w:val="16"/>
              </w:rPr>
              <w:t> </w:t>
            </w:r>
            <w:r>
              <w:rPr>
                <w:sz w:val="16"/>
              </w:rPr>
              <w:t>established</w:t>
            </w:r>
            <w:r>
              <w:rPr>
                <w:spacing w:val="-1"/>
                <w:sz w:val="16"/>
              </w:rPr>
              <w:t> </w:t>
            </w:r>
            <w:r>
              <w:rPr>
                <w:sz w:val="16"/>
              </w:rPr>
              <w:t>post.</w:t>
            </w:r>
          </w:p>
        </w:tc>
        <w:tc>
          <w:tcPr>
            <w:tcW w:w="1129" w:type="dxa"/>
          </w:tcPr>
          <w:p>
            <w:pPr>
              <w:pStyle w:val="TableParagraph"/>
              <w:jc w:val="left"/>
              <w:rPr>
                <w:sz w:val="14"/>
              </w:rPr>
            </w:pPr>
          </w:p>
        </w:tc>
        <w:tc>
          <w:tcPr>
            <w:tcW w:w="1297" w:type="dxa"/>
          </w:tcPr>
          <w:p>
            <w:pPr>
              <w:pStyle w:val="TableParagraph"/>
              <w:spacing w:before="5"/>
              <w:jc w:val="left"/>
              <w:rPr>
                <w:sz w:val="17"/>
              </w:rPr>
            </w:pPr>
          </w:p>
          <w:p>
            <w:pPr>
              <w:pStyle w:val="TableParagraph"/>
              <w:ind w:right="98"/>
              <w:rPr>
                <w:sz w:val="16"/>
              </w:rPr>
            </w:pPr>
            <w:r>
              <w:rPr>
                <w:spacing w:val="-2"/>
                <w:sz w:val="16"/>
              </w:rPr>
              <w:t>23,400</w:t>
            </w:r>
          </w:p>
        </w:tc>
      </w:tr>
      <w:tr>
        <w:trPr>
          <w:trHeight w:val="1151" w:hRule="atLeast"/>
        </w:trPr>
        <w:tc>
          <w:tcPr>
            <w:tcW w:w="3045" w:type="dxa"/>
          </w:tcPr>
          <w:p>
            <w:pPr>
              <w:pStyle w:val="TableParagraph"/>
              <w:jc w:val="left"/>
              <w:rPr>
                <w:sz w:val="14"/>
              </w:rPr>
            </w:pPr>
          </w:p>
        </w:tc>
        <w:tc>
          <w:tcPr>
            <w:tcW w:w="4173" w:type="dxa"/>
          </w:tcPr>
          <w:p>
            <w:pPr>
              <w:pStyle w:val="TableParagraph"/>
              <w:spacing w:line="261" w:lineRule="auto"/>
              <w:ind w:left="109" w:right="141"/>
              <w:jc w:val="left"/>
              <w:rPr>
                <w:sz w:val="16"/>
              </w:rPr>
            </w:pPr>
            <w:r>
              <w:rPr>
                <w:sz w:val="16"/>
              </w:rPr>
              <w:t>SSA for an IT Assistant in the CAR to cope with the</w:t>
            </w:r>
            <w:r>
              <w:rPr>
                <w:spacing w:val="40"/>
                <w:sz w:val="16"/>
              </w:rPr>
              <w:t> </w:t>
            </w:r>
            <w:r>
              <w:rPr>
                <w:sz w:val="16"/>
              </w:rPr>
              <w:t>additional workload generated by the increase in judicial</w:t>
            </w:r>
            <w:r>
              <w:rPr>
                <w:spacing w:val="40"/>
                <w:sz w:val="16"/>
              </w:rPr>
              <w:t> </w:t>
            </w:r>
            <w:r>
              <w:rPr>
                <w:sz w:val="16"/>
              </w:rPr>
              <w:t>activities</w:t>
            </w:r>
            <w:r>
              <w:rPr>
                <w:spacing w:val="-7"/>
                <w:sz w:val="16"/>
              </w:rPr>
              <w:t> </w:t>
            </w:r>
            <w:r>
              <w:rPr>
                <w:sz w:val="16"/>
              </w:rPr>
              <w:t>pertaining</w:t>
            </w:r>
            <w:r>
              <w:rPr>
                <w:spacing w:val="-5"/>
                <w:sz w:val="16"/>
              </w:rPr>
              <w:t> </w:t>
            </w:r>
            <w:r>
              <w:rPr>
                <w:sz w:val="16"/>
              </w:rPr>
              <w:t>to</w:t>
            </w:r>
            <w:r>
              <w:rPr>
                <w:spacing w:val="-5"/>
                <w:sz w:val="16"/>
              </w:rPr>
              <w:t> </w:t>
            </w:r>
            <w:r>
              <w:rPr>
                <w:sz w:val="16"/>
              </w:rPr>
              <w:t>the</w:t>
            </w:r>
            <w:r>
              <w:rPr>
                <w:spacing w:val="-6"/>
                <w:sz w:val="16"/>
              </w:rPr>
              <w:t> </w:t>
            </w:r>
            <w:r>
              <w:rPr>
                <w:sz w:val="16"/>
              </w:rPr>
              <w:t>simultaneous</w:t>
            </w:r>
            <w:r>
              <w:rPr>
                <w:spacing w:val="-7"/>
                <w:sz w:val="16"/>
              </w:rPr>
              <w:t> </w:t>
            </w:r>
            <w:r>
              <w:rPr>
                <w:sz w:val="16"/>
              </w:rPr>
              <w:t>trials</w:t>
            </w:r>
            <w:r>
              <w:rPr>
                <w:spacing w:val="-7"/>
                <w:sz w:val="16"/>
              </w:rPr>
              <w:t> </w:t>
            </w:r>
            <w:r>
              <w:rPr>
                <w:sz w:val="16"/>
              </w:rPr>
              <w:t>in</w:t>
            </w:r>
            <w:r>
              <w:rPr>
                <w:spacing w:val="-5"/>
                <w:sz w:val="16"/>
              </w:rPr>
              <w:t> </w:t>
            </w:r>
            <w:r>
              <w:rPr>
                <w:sz w:val="16"/>
              </w:rPr>
              <w:t>the</w:t>
            </w:r>
            <w:r>
              <w:rPr>
                <w:spacing w:val="-2"/>
                <w:sz w:val="16"/>
              </w:rPr>
              <w:t> </w:t>
            </w:r>
            <w:r>
              <w:rPr>
                <w:i/>
                <w:sz w:val="16"/>
              </w:rPr>
              <w:t>Yekatom</w:t>
            </w:r>
            <w:r>
              <w:rPr>
                <w:i/>
                <w:spacing w:val="40"/>
                <w:sz w:val="16"/>
              </w:rPr>
              <w:t> </w:t>
            </w:r>
            <w:r>
              <w:rPr>
                <w:i/>
                <w:sz w:val="16"/>
              </w:rPr>
              <w:t>and Ngaïssona </w:t>
            </w:r>
            <w:r>
              <w:rPr>
                <w:sz w:val="16"/>
              </w:rPr>
              <w:t>case and the </w:t>
            </w:r>
            <w:r>
              <w:rPr>
                <w:i/>
                <w:sz w:val="16"/>
              </w:rPr>
              <w:t>Said </w:t>
            </w:r>
            <w:r>
              <w:rPr>
                <w:sz w:val="16"/>
              </w:rPr>
              <w:t>case as well as to the</w:t>
            </w:r>
            <w:r>
              <w:rPr>
                <w:spacing w:val="40"/>
                <w:sz w:val="16"/>
              </w:rPr>
              <w:t> </w:t>
            </w:r>
            <w:r>
              <w:rPr>
                <w:i/>
                <w:sz w:val="16"/>
              </w:rPr>
              <w:t>Mokom </w:t>
            </w:r>
            <w:r>
              <w:rPr>
                <w:sz w:val="16"/>
              </w:rPr>
              <w:t>case at the pre-trial phase.</w:t>
            </w:r>
          </w:p>
        </w:tc>
        <w:tc>
          <w:tcPr>
            <w:tcW w:w="1129" w:type="dxa"/>
          </w:tcPr>
          <w:p>
            <w:pPr>
              <w:pStyle w:val="TableParagraph"/>
              <w:jc w:val="left"/>
              <w:rPr>
                <w:sz w:val="14"/>
              </w:rPr>
            </w:pPr>
          </w:p>
        </w:tc>
        <w:tc>
          <w:tcPr>
            <w:tcW w:w="1297" w:type="dxa"/>
          </w:tcPr>
          <w:p>
            <w:pPr>
              <w:pStyle w:val="TableParagraph"/>
              <w:spacing w:before="5"/>
              <w:jc w:val="left"/>
              <w:rPr>
                <w:sz w:val="17"/>
              </w:rPr>
            </w:pPr>
          </w:p>
          <w:p>
            <w:pPr>
              <w:pStyle w:val="TableParagraph"/>
              <w:ind w:right="98"/>
              <w:rPr>
                <w:sz w:val="16"/>
              </w:rPr>
            </w:pPr>
            <w:r>
              <w:rPr>
                <w:spacing w:val="-2"/>
                <w:sz w:val="16"/>
              </w:rPr>
              <w:t>11,700</w:t>
            </w:r>
          </w:p>
        </w:tc>
      </w:tr>
      <w:tr>
        <w:trPr>
          <w:trHeight w:val="1752" w:hRule="atLeast"/>
        </w:trPr>
        <w:tc>
          <w:tcPr>
            <w:tcW w:w="3045" w:type="dxa"/>
          </w:tcPr>
          <w:p>
            <w:pPr>
              <w:pStyle w:val="TableParagraph"/>
              <w:jc w:val="left"/>
              <w:rPr>
                <w:sz w:val="14"/>
              </w:rPr>
            </w:pPr>
          </w:p>
        </w:tc>
        <w:tc>
          <w:tcPr>
            <w:tcW w:w="4173" w:type="dxa"/>
          </w:tcPr>
          <w:p>
            <w:pPr>
              <w:pStyle w:val="TableParagraph"/>
              <w:spacing w:line="259" w:lineRule="auto"/>
              <w:ind w:left="109" w:right="141"/>
              <w:jc w:val="left"/>
              <w:rPr>
                <w:sz w:val="16"/>
              </w:rPr>
            </w:pPr>
            <w:r>
              <w:rPr>
                <w:sz w:val="16"/>
              </w:rPr>
              <w:t>SSA</w:t>
            </w:r>
            <w:r>
              <w:rPr>
                <w:spacing w:val="-1"/>
                <w:sz w:val="16"/>
              </w:rPr>
              <w:t> </w:t>
            </w:r>
            <w:r>
              <w:rPr>
                <w:sz w:val="16"/>
              </w:rPr>
              <w:t>for</w:t>
            </w:r>
            <w:r>
              <w:rPr>
                <w:spacing w:val="-6"/>
                <w:sz w:val="16"/>
              </w:rPr>
              <w:t> </w:t>
            </w:r>
            <w:r>
              <w:rPr>
                <w:sz w:val="16"/>
              </w:rPr>
              <w:t>an</w:t>
            </w:r>
            <w:r>
              <w:rPr>
                <w:spacing w:val="-4"/>
                <w:sz w:val="16"/>
              </w:rPr>
              <w:t> </w:t>
            </w:r>
            <w:r>
              <w:rPr>
                <w:sz w:val="16"/>
              </w:rPr>
              <w:t>IT</w:t>
            </w:r>
            <w:r>
              <w:rPr>
                <w:spacing w:val="-2"/>
                <w:sz w:val="16"/>
              </w:rPr>
              <w:t> </w:t>
            </w:r>
            <w:r>
              <w:rPr>
                <w:sz w:val="16"/>
              </w:rPr>
              <w:t>Technician</w:t>
            </w:r>
            <w:r>
              <w:rPr>
                <w:spacing w:val="-4"/>
                <w:sz w:val="16"/>
              </w:rPr>
              <w:t> </w:t>
            </w:r>
            <w:r>
              <w:rPr>
                <w:sz w:val="16"/>
              </w:rPr>
              <w:t>position</w:t>
            </w:r>
            <w:r>
              <w:rPr>
                <w:spacing w:val="-4"/>
                <w:sz w:val="16"/>
              </w:rPr>
              <w:t> </w:t>
            </w:r>
            <w:r>
              <w:rPr>
                <w:sz w:val="16"/>
              </w:rPr>
              <w:t>in</w:t>
            </w:r>
            <w:r>
              <w:rPr>
                <w:spacing w:val="-4"/>
                <w:sz w:val="16"/>
              </w:rPr>
              <w:t> </w:t>
            </w:r>
            <w:r>
              <w:rPr>
                <w:sz w:val="16"/>
              </w:rPr>
              <w:t>Côte</w:t>
            </w:r>
            <w:r>
              <w:rPr>
                <w:spacing w:val="-5"/>
                <w:sz w:val="16"/>
              </w:rPr>
              <w:t> </w:t>
            </w:r>
            <w:r>
              <w:rPr>
                <w:sz w:val="16"/>
              </w:rPr>
              <w:t>d’Ivoire</w:t>
            </w:r>
            <w:r>
              <w:rPr>
                <w:spacing w:val="-5"/>
                <w:sz w:val="16"/>
              </w:rPr>
              <w:t> </w:t>
            </w:r>
            <w:r>
              <w:rPr>
                <w:sz w:val="16"/>
              </w:rPr>
              <w:t>to</w:t>
            </w:r>
            <w:r>
              <w:rPr>
                <w:spacing w:val="-4"/>
                <w:sz w:val="16"/>
              </w:rPr>
              <w:t> </w:t>
            </w:r>
            <w:r>
              <w:rPr>
                <w:sz w:val="16"/>
              </w:rPr>
              <w:t>cover</w:t>
            </w:r>
            <w:r>
              <w:rPr>
                <w:spacing w:val="40"/>
                <w:sz w:val="16"/>
              </w:rPr>
              <w:t> </w:t>
            </w:r>
            <w:r>
              <w:rPr>
                <w:sz w:val="16"/>
              </w:rPr>
              <w:t>the</w:t>
            </w:r>
            <w:r>
              <w:rPr>
                <w:spacing w:val="-2"/>
                <w:sz w:val="16"/>
              </w:rPr>
              <w:t> </w:t>
            </w:r>
            <w:r>
              <w:rPr>
                <w:sz w:val="16"/>
              </w:rPr>
              <w:t>residual</w:t>
            </w:r>
            <w:r>
              <w:rPr>
                <w:spacing w:val="-4"/>
                <w:sz w:val="16"/>
              </w:rPr>
              <w:t> </w:t>
            </w:r>
            <w:r>
              <w:rPr>
                <w:sz w:val="16"/>
              </w:rPr>
              <w:t>needs</w:t>
            </w:r>
            <w:r>
              <w:rPr>
                <w:spacing w:val="-3"/>
                <w:sz w:val="16"/>
              </w:rPr>
              <w:t> </w:t>
            </w:r>
            <w:r>
              <w:rPr>
                <w:sz w:val="16"/>
              </w:rPr>
              <w:t>of</w:t>
            </w:r>
            <w:r>
              <w:rPr>
                <w:spacing w:val="-3"/>
                <w:sz w:val="16"/>
              </w:rPr>
              <w:t> </w:t>
            </w:r>
            <w:r>
              <w:rPr>
                <w:sz w:val="16"/>
              </w:rPr>
              <w:t>the</w:t>
            </w:r>
            <w:r>
              <w:rPr>
                <w:spacing w:val="-2"/>
                <w:sz w:val="16"/>
              </w:rPr>
              <w:t> </w:t>
            </w:r>
            <w:r>
              <w:rPr>
                <w:sz w:val="16"/>
              </w:rPr>
              <w:t>country</w:t>
            </w:r>
            <w:r>
              <w:rPr>
                <w:spacing w:val="-1"/>
                <w:sz w:val="16"/>
              </w:rPr>
              <w:t> </w:t>
            </w:r>
            <w:r>
              <w:rPr>
                <w:sz w:val="16"/>
              </w:rPr>
              <w:t>office</w:t>
            </w:r>
            <w:r>
              <w:rPr>
                <w:spacing w:val="-2"/>
                <w:sz w:val="16"/>
              </w:rPr>
              <w:t> </w:t>
            </w:r>
            <w:r>
              <w:rPr>
                <w:sz w:val="16"/>
              </w:rPr>
              <w:t>when/if</w:t>
            </w:r>
            <w:r>
              <w:rPr>
                <w:spacing w:val="-3"/>
                <w:sz w:val="16"/>
              </w:rPr>
              <w:t> </w:t>
            </w:r>
            <w:r>
              <w:rPr>
                <w:sz w:val="16"/>
              </w:rPr>
              <w:t>services</w:t>
            </w:r>
            <w:r>
              <w:rPr>
                <w:spacing w:val="-3"/>
                <w:sz w:val="16"/>
              </w:rPr>
              <w:t> </w:t>
            </w:r>
            <w:r>
              <w:rPr>
                <w:sz w:val="16"/>
              </w:rPr>
              <w:t>are</w:t>
            </w:r>
            <w:r>
              <w:rPr>
                <w:spacing w:val="40"/>
                <w:sz w:val="16"/>
              </w:rPr>
              <w:t> </w:t>
            </w:r>
            <w:r>
              <w:rPr>
                <w:sz w:val="16"/>
              </w:rPr>
              <w:t>required, in lieu of maintaining the position or having staff</w:t>
            </w:r>
            <w:r>
              <w:rPr>
                <w:spacing w:val="40"/>
                <w:sz w:val="16"/>
              </w:rPr>
              <w:t> </w:t>
            </w:r>
            <w:r>
              <w:rPr>
                <w:sz w:val="16"/>
              </w:rPr>
              <w:t>from other country offices travel to provide support.</w:t>
            </w:r>
          </w:p>
          <w:p>
            <w:pPr>
              <w:pStyle w:val="TableParagraph"/>
              <w:spacing w:line="261" w:lineRule="auto" w:before="2"/>
              <w:ind w:left="109" w:right="141"/>
              <w:jc w:val="left"/>
              <w:rPr>
                <w:sz w:val="16"/>
              </w:rPr>
            </w:pPr>
            <w:r>
              <w:rPr>
                <w:sz w:val="16"/>
              </w:rPr>
              <w:t>Although no savings are identified, efficiencies will be</w:t>
            </w:r>
            <w:r>
              <w:rPr>
                <w:spacing w:val="40"/>
                <w:sz w:val="16"/>
              </w:rPr>
              <w:t> </w:t>
            </w:r>
            <w:r>
              <w:rPr>
                <w:sz w:val="16"/>
              </w:rPr>
              <w:t>achieved given that the residual workload in Côte d’Ivoire</w:t>
            </w:r>
            <w:r>
              <w:rPr>
                <w:spacing w:val="40"/>
                <w:sz w:val="16"/>
              </w:rPr>
              <w:t> </w:t>
            </w:r>
            <w:r>
              <w:rPr>
                <w:sz w:val="16"/>
              </w:rPr>
              <w:t>will</w:t>
            </w:r>
            <w:r>
              <w:rPr>
                <w:spacing w:val="-6"/>
                <w:sz w:val="16"/>
              </w:rPr>
              <w:t> </w:t>
            </w:r>
            <w:r>
              <w:rPr>
                <w:sz w:val="16"/>
              </w:rPr>
              <w:t>not</w:t>
            </w:r>
            <w:r>
              <w:rPr>
                <w:spacing w:val="-6"/>
                <w:sz w:val="16"/>
              </w:rPr>
              <w:t> </w:t>
            </w:r>
            <w:r>
              <w:rPr>
                <w:sz w:val="16"/>
              </w:rPr>
              <w:t>need</w:t>
            </w:r>
            <w:r>
              <w:rPr>
                <w:spacing w:val="-3"/>
                <w:sz w:val="16"/>
              </w:rPr>
              <w:t> </w:t>
            </w:r>
            <w:r>
              <w:rPr>
                <w:sz w:val="16"/>
              </w:rPr>
              <w:t>to</w:t>
            </w:r>
            <w:r>
              <w:rPr>
                <w:spacing w:val="-3"/>
                <w:sz w:val="16"/>
              </w:rPr>
              <w:t> </w:t>
            </w:r>
            <w:r>
              <w:rPr>
                <w:sz w:val="16"/>
              </w:rPr>
              <w:t>be</w:t>
            </w:r>
            <w:r>
              <w:rPr>
                <w:spacing w:val="-4"/>
                <w:sz w:val="16"/>
              </w:rPr>
              <w:t> </w:t>
            </w:r>
            <w:r>
              <w:rPr>
                <w:sz w:val="16"/>
              </w:rPr>
              <w:t>covered</w:t>
            </w:r>
            <w:r>
              <w:rPr>
                <w:spacing w:val="-3"/>
                <w:sz w:val="16"/>
              </w:rPr>
              <w:t> </w:t>
            </w:r>
            <w:r>
              <w:rPr>
                <w:sz w:val="16"/>
              </w:rPr>
              <w:t>by</w:t>
            </w:r>
            <w:r>
              <w:rPr>
                <w:spacing w:val="-3"/>
                <w:sz w:val="16"/>
              </w:rPr>
              <w:t> </w:t>
            </w:r>
            <w:r>
              <w:rPr>
                <w:sz w:val="16"/>
              </w:rPr>
              <w:t>Field</w:t>
            </w:r>
            <w:r>
              <w:rPr>
                <w:spacing w:val="-3"/>
                <w:sz w:val="16"/>
              </w:rPr>
              <w:t> </w:t>
            </w:r>
            <w:r>
              <w:rPr>
                <w:sz w:val="16"/>
              </w:rPr>
              <w:t>IT</w:t>
            </w:r>
            <w:r>
              <w:rPr>
                <w:spacing w:val="-6"/>
                <w:sz w:val="16"/>
              </w:rPr>
              <w:t> </w:t>
            </w:r>
            <w:r>
              <w:rPr>
                <w:sz w:val="16"/>
              </w:rPr>
              <w:t>Technicians</w:t>
            </w:r>
            <w:r>
              <w:rPr>
                <w:spacing w:val="-5"/>
                <w:sz w:val="16"/>
              </w:rPr>
              <w:t> </w:t>
            </w:r>
            <w:r>
              <w:rPr>
                <w:sz w:val="16"/>
              </w:rPr>
              <w:t>in</w:t>
            </w:r>
            <w:r>
              <w:rPr>
                <w:spacing w:val="-3"/>
                <w:sz w:val="16"/>
              </w:rPr>
              <w:t> </w:t>
            </w:r>
            <w:r>
              <w:rPr>
                <w:sz w:val="16"/>
              </w:rPr>
              <w:t>other</w:t>
            </w:r>
            <w:r>
              <w:rPr>
                <w:spacing w:val="40"/>
                <w:sz w:val="16"/>
              </w:rPr>
              <w:t> </w:t>
            </w:r>
            <w:r>
              <w:rPr>
                <w:sz w:val="16"/>
              </w:rPr>
              <w:t>country offices conducting missions to Côte d’Ivoire.</w:t>
            </w:r>
          </w:p>
        </w:tc>
        <w:tc>
          <w:tcPr>
            <w:tcW w:w="1129" w:type="dxa"/>
          </w:tcPr>
          <w:p>
            <w:pPr>
              <w:pStyle w:val="TableParagraph"/>
              <w:jc w:val="left"/>
              <w:rPr>
                <w:sz w:val="14"/>
              </w:rPr>
            </w:pPr>
          </w:p>
        </w:tc>
        <w:tc>
          <w:tcPr>
            <w:tcW w:w="1297" w:type="dxa"/>
          </w:tcPr>
          <w:p>
            <w:pPr>
              <w:pStyle w:val="TableParagraph"/>
              <w:spacing w:before="10"/>
              <w:jc w:val="left"/>
              <w:rPr>
                <w:sz w:val="17"/>
              </w:rPr>
            </w:pPr>
          </w:p>
          <w:p>
            <w:pPr>
              <w:pStyle w:val="TableParagraph"/>
              <w:ind w:right="95"/>
              <w:rPr>
                <w:sz w:val="16"/>
              </w:rPr>
            </w:pPr>
            <w:r>
              <w:rPr>
                <w:w w:val="98"/>
                <w:sz w:val="16"/>
              </w:rPr>
              <w:t>-</w:t>
            </w:r>
          </w:p>
        </w:tc>
      </w:tr>
      <w:tr>
        <w:trPr>
          <w:trHeight w:val="1348" w:hRule="atLeast"/>
        </w:trPr>
        <w:tc>
          <w:tcPr>
            <w:tcW w:w="3045" w:type="dxa"/>
          </w:tcPr>
          <w:p>
            <w:pPr>
              <w:pStyle w:val="TableParagraph"/>
              <w:spacing w:line="259" w:lineRule="auto"/>
              <w:ind w:left="110" w:right="187"/>
              <w:jc w:val="left"/>
              <w:rPr>
                <w:sz w:val="16"/>
              </w:rPr>
            </w:pPr>
            <w:r>
              <w:rPr>
                <w:sz w:val="16"/>
              </w:rPr>
              <w:t>Threat</w:t>
            </w:r>
            <w:r>
              <w:rPr>
                <w:spacing w:val="-10"/>
                <w:sz w:val="16"/>
              </w:rPr>
              <w:t> </w:t>
            </w:r>
            <w:r>
              <w:rPr>
                <w:sz w:val="16"/>
              </w:rPr>
              <w:t>intelligence</w:t>
            </w:r>
            <w:r>
              <w:rPr>
                <w:spacing w:val="-8"/>
                <w:sz w:val="16"/>
              </w:rPr>
              <w:t> </w:t>
            </w:r>
            <w:r>
              <w:rPr>
                <w:sz w:val="16"/>
              </w:rPr>
              <w:t>system</w:t>
            </w:r>
            <w:r>
              <w:rPr>
                <w:spacing w:val="-8"/>
                <w:sz w:val="16"/>
              </w:rPr>
              <w:t> </w:t>
            </w:r>
            <w:r>
              <w:rPr>
                <w:sz w:val="16"/>
              </w:rPr>
              <w:t>used</w:t>
            </w:r>
            <w:r>
              <w:rPr>
                <w:spacing w:val="-7"/>
                <w:sz w:val="16"/>
              </w:rPr>
              <w:t> </w:t>
            </w:r>
            <w:r>
              <w:rPr>
                <w:sz w:val="16"/>
              </w:rPr>
              <w:t>to</w:t>
            </w:r>
            <w:r>
              <w:rPr>
                <w:spacing w:val="-7"/>
                <w:sz w:val="16"/>
              </w:rPr>
              <w:t> </w:t>
            </w:r>
            <w:r>
              <w:rPr>
                <w:sz w:val="16"/>
              </w:rPr>
              <w:t>protect</w:t>
            </w:r>
            <w:r>
              <w:rPr>
                <w:spacing w:val="40"/>
                <w:sz w:val="16"/>
              </w:rPr>
              <w:t> </w:t>
            </w:r>
            <w:r>
              <w:rPr>
                <w:sz w:val="16"/>
              </w:rPr>
              <w:t>the Court’s assets by monitoring</w:t>
            </w:r>
            <w:r>
              <w:rPr>
                <w:spacing w:val="40"/>
                <w:sz w:val="16"/>
              </w:rPr>
              <w:t> </w:t>
            </w:r>
            <w:r>
              <w:rPr>
                <w:sz w:val="16"/>
              </w:rPr>
              <w:t>information security attacks has been</w:t>
            </w:r>
            <w:r>
              <w:rPr>
                <w:spacing w:val="40"/>
                <w:sz w:val="16"/>
              </w:rPr>
              <w:t> </w:t>
            </w:r>
            <w:r>
              <w:rPr>
                <w:sz w:val="16"/>
              </w:rPr>
              <w:t>decommissioned and replaced by native</w:t>
            </w:r>
            <w:r>
              <w:rPr>
                <w:spacing w:val="40"/>
                <w:sz w:val="16"/>
              </w:rPr>
              <w:t> </w:t>
            </w:r>
            <w:r>
              <w:rPr>
                <w:sz w:val="16"/>
              </w:rPr>
              <w:t>Microsoft software, part of the M365</w:t>
            </w:r>
            <w:r>
              <w:rPr>
                <w:spacing w:val="40"/>
                <w:sz w:val="16"/>
              </w:rPr>
              <w:t> </w:t>
            </w:r>
            <w:r>
              <w:rPr>
                <w:spacing w:val="-2"/>
                <w:sz w:val="16"/>
              </w:rPr>
              <w:t>subscription.</w:t>
            </w:r>
          </w:p>
        </w:tc>
        <w:tc>
          <w:tcPr>
            <w:tcW w:w="4173" w:type="dxa"/>
          </w:tcPr>
          <w:p>
            <w:pPr>
              <w:pStyle w:val="TableParagraph"/>
              <w:spacing w:line="264" w:lineRule="auto"/>
              <w:ind w:left="109" w:right="141"/>
              <w:jc w:val="left"/>
              <w:rPr>
                <w:sz w:val="16"/>
              </w:rPr>
            </w:pPr>
            <w:r>
              <w:rPr>
                <w:sz w:val="16"/>
              </w:rPr>
              <w:t>Decrease</w:t>
            </w:r>
            <w:r>
              <w:rPr>
                <w:spacing w:val="-5"/>
                <w:sz w:val="16"/>
              </w:rPr>
              <w:t> </w:t>
            </w:r>
            <w:r>
              <w:rPr>
                <w:sz w:val="16"/>
              </w:rPr>
              <w:t>of</w:t>
            </w:r>
            <w:r>
              <w:rPr>
                <w:spacing w:val="28"/>
                <w:sz w:val="16"/>
              </w:rPr>
              <w:t> </w:t>
            </w:r>
            <w:r>
              <w:rPr>
                <w:sz w:val="16"/>
              </w:rPr>
              <w:t>€43.0</w:t>
            </w:r>
            <w:r>
              <w:rPr>
                <w:spacing w:val="-5"/>
                <w:sz w:val="16"/>
              </w:rPr>
              <w:t> </w:t>
            </w:r>
            <w:r>
              <w:rPr>
                <w:sz w:val="16"/>
              </w:rPr>
              <w:t>thousand</w:t>
            </w:r>
            <w:r>
              <w:rPr>
                <w:spacing w:val="-5"/>
                <w:sz w:val="16"/>
              </w:rPr>
              <w:t> </w:t>
            </w:r>
            <w:r>
              <w:rPr>
                <w:sz w:val="16"/>
              </w:rPr>
              <w:t>for</w:t>
            </w:r>
            <w:r>
              <w:rPr>
                <w:spacing w:val="-6"/>
                <w:sz w:val="16"/>
              </w:rPr>
              <w:t> </w:t>
            </w:r>
            <w:r>
              <w:rPr>
                <w:sz w:val="16"/>
              </w:rPr>
              <w:t>hardware</w:t>
            </w:r>
            <w:r>
              <w:rPr>
                <w:spacing w:val="-5"/>
                <w:sz w:val="16"/>
              </w:rPr>
              <w:t> </w:t>
            </w:r>
            <w:r>
              <w:rPr>
                <w:sz w:val="16"/>
              </w:rPr>
              <w:t>maintenance and</w:t>
            </w:r>
            <w:r>
              <w:rPr>
                <w:spacing w:val="40"/>
                <w:sz w:val="16"/>
              </w:rPr>
              <w:t> </w:t>
            </w:r>
            <w:r>
              <w:rPr>
                <w:sz w:val="16"/>
              </w:rPr>
              <w:t>significant</w:t>
            </w:r>
            <w:r>
              <w:rPr>
                <w:spacing w:val="-5"/>
                <w:sz w:val="16"/>
              </w:rPr>
              <w:t> </w:t>
            </w:r>
            <w:r>
              <w:rPr>
                <w:sz w:val="16"/>
              </w:rPr>
              <w:t>simplification</w:t>
            </w:r>
            <w:r>
              <w:rPr>
                <w:spacing w:val="-2"/>
                <w:sz w:val="16"/>
              </w:rPr>
              <w:t> </w:t>
            </w:r>
            <w:r>
              <w:rPr>
                <w:sz w:val="16"/>
              </w:rPr>
              <w:t>of</w:t>
            </w:r>
            <w:r>
              <w:rPr>
                <w:spacing w:val="-4"/>
                <w:sz w:val="16"/>
              </w:rPr>
              <w:t> </w:t>
            </w:r>
            <w:r>
              <w:rPr>
                <w:sz w:val="16"/>
              </w:rPr>
              <w:t>the</w:t>
            </w:r>
            <w:r>
              <w:rPr>
                <w:spacing w:val="-3"/>
                <w:sz w:val="16"/>
              </w:rPr>
              <w:t> </w:t>
            </w:r>
            <w:r>
              <w:rPr>
                <w:sz w:val="16"/>
              </w:rPr>
              <w:t>on-premises</w:t>
            </w:r>
            <w:r>
              <w:rPr>
                <w:spacing w:val="-4"/>
                <w:sz w:val="16"/>
              </w:rPr>
              <w:t> </w:t>
            </w:r>
            <w:r>
              <w:rPr>
                <w:spacing w:val="-2"/>
                <w:sz w:val="16"/>
              </w:rPr>
              <w:t>infrastructure.</w:t>
            </w:r>
          </w:p>
        </w:tc>
        <w:tc>
          <w:tcPr>
            <w:tcW w:w="1129" w:type="dxa"/>
          </w:tcPr>
          <w:p>
            <w:pPr>
              <w:pStyle w:val="TableParagraph"/>
              <w:jc w:val="left"/>
              <w:rPr>
                <w:sz w:val="14"/>
              </w:rPr>
            </w:pPr>
          </w:p>
        </w:tc>
        <w:tc>
          <w:tcPr>
            <w:tcW w:w="1297" w:type="dxa"/>
          </w:tcPr>
          <w:p>
            <w:pPr>
              <w:pStyle w:val="TableParagraph"/>
              <w:spacing w:before="5"/>
              <w:jc w:val="left"/>
              <w:rPr>
                <w:sz w:val="17"/>
              </w:rPr>
            </w:pPr>
          </w:p>
          <w:p>
            <w:pPr>
              <w:pStyle w:val="TableParagraph"/>
              <w:ind w:right="98"/>
              <w:rPr>
                <w:sz w:val="16"/>
              </w:rPr>
            </w:pPr>
            <w:r>
              <w:rPr>
                <w:spacing w:val="-2"/>
                <w:sz w:val="16"/>
              </w:rPr>
              <w:t>43,000</w:t>
            </w:r>
          </w:p>
        </w:tc>
      </w:tr>
      <w:tr>
        <w:trPr>
          <w:trHeight w:val="1151" w:hRule="atLeast"/>
        </w:trPr>
        <w:tc>
          <w:tcPr>
            <w:tcW w:w="3045" w:type="dxa"/>
          </w:tcPr>
          <w:p>
            <w:pPr>
              <w:pStyle w:val="TableParagraph"/>
              <w:spacing w:line="261" w:lineRule="auto"/>
              <w:ind w:left="110" w:right="128"/>
              <w:jc w:val="left"/>
              <w:rPr>
                <w:sz w:val="16"/>
              </w:rPr>
            </w:pPr>
            <w:r>
              <w:rPr>
                <w:sz w:val="16"/>
              </w:rPr>
              <w:t>Through</w:t>
            </w:r>
            <w:r>
              <w:rPr>
                <w:spacing w:val="-5"/>
                <w:sz w:val="16"/>
              </w:rPr>
              <w:t> </w:t>
            </w:r>
            <w:r>
              <w:rPr>
                <w:sz w:val="16"/>
              </w:rPr>
              <w:t>the</w:t>
            </w:r>
            <w:r>
              <w:rPr>
                <w:spacing w:val="-6"/>
                <w:sz w:val="16"/>
              </w:rPr>
              <w:t> </w:t>
            </w:r>
            <w:r>
              <w:rPr>
                <w:sz w:val="16"/>
              </w:rPr>
              <w:t>flexible</w:t>
            </w:r>
            <w:r>
              <w:rPr>
                <w:spacing w:val="-6"/>
                <w:sz w:val="16"/>
              </w:rPr>
              <w:t> </w:t>
            </w:r>
            <w:r>
              <w:rPr>
                <w:sz w:val="16"/>
              </w:rPr>
              <w:t>use</w:t>
            </w:r>
            <w:r>
              <w:rPr>
                <w:spacing w:val="-6"/>
                <w:sz w:val="16"/>
              </w:rPr>
              <w:t> </w:t>
            </w:r>
            <w:r>
              <w:rPr>
                <w:sz w:val="16"/>
              </w:rPr>
              <w:t>of</w:t>
            </w:r>
            <w:r>
              <w:rPr>
                <w:spacing w:val="-7"/>
                <w:sz w:val="16"/>
              </w:rPr>
              <w:t> </w:t>
            </w:r>
            <w:r>
              <w:rPr>
                <w:sz w:val="16"/>
              </w:rPr>
              <w:t>staff</w:t>
            </w:r>
            <w:r>
              <w:rPr>
                <w:spacing w:val="-7"/>
                <w:sz w:val="16"/>
              </w:rPr>
              <w:t> </w:t>
            </w:r>
            <w:r>
              <w:rPr>
                <w:sz w:val="16"/>
              </w:rPr>
              <w:t>resources,</w:t>
            </w:r>
            <w:r>
              <w:rPr>
                <w:spacing w:val="40"/>
                <w:sz w:val="16"/>
              </w:rPr>
              <w:t> </w:t>
            </w:r>
            <w:r>
              <w:rPr>
                <w:sz w:val="16"/>
              </w:rPr>
              <w:t>additional language services are provided</w:t>
            </w:r>
            <w:r>
              <w:rPr>
                <w:spacing w:val="40"/>
                <w:sz w:val="16"/>
              </w:rPr>
              <w:t> </w:t>
            </w:r>
            <w:r>
              <w:rPr>
                <w:sz w:val="16"/>
              </w:rPr>
              <w:t>by Language Services Section (LSS) staff</w:t>
            </w:r>
            <w:r>
              <w:rPr>
                <w:spacing w:val="40"/>
                <w:sz w:val="16"/>
              </w:rPr>
              <w:t> </w:t>
            </w:r>
            <w:r>
              <w:rPr>
                <w:sz w:val="16"/>
              </w:rPr>
              <w:t>members who can translate from and into</w:t>
            </w:r>
            <w:r>
              <w:rPr>
                <w:spacing w:val="40"/>
                <w:sz w:val="16"/>
              </w:rPr>
              <w:t> </w:t>
            </w:r>
            <w:r>
              <w:rPr>
                <w:sz w:val="16"/>
              </w:rPr>
              <w:t>another language (e.g. Arabic and Dutch).</w:t>
            </w:r>
          </w:p>
        </w:tc>
        <w:tc>
          <w:tcPr>
            <w:tcW w:w="4173" w:type="dxa"/>
          </w:tcPr>
          <w:p>
            <w:pPr>
              <w:pStyle w:val="TableParagraph"/>
              <w:spacing w:line="261" w:lineRule="auto"/>
              <w:ind w:left="109" w:right="101"/>
              <w:jc w:val="left"/>
              <w:rPr>
                <w:sz w:val="16"/>
              </w:rPr>
            </w:pPr>
            <w:r>
              <w:rPr>
                <w:sz w:val="16"/>
              </w:rPr>
              <w:t>Cost for outsourcing Arabic and Dutch translations avoided.</w:t>
            </w:r>
            <w:r>
              <w:rPr>
                <w:spacing w:val="40"/>
                <w:sz w:val="16"/>
              </w:rPr>
              <w:t> </w:t>
            </w:r>
            <w:r>
              <w:rPr>
                <w:sz w:val="16"/>
              </w:rPr>
              <w:t>On</w:t>
            </w:r>
            <w:r>
              <w:rPr>
                <w:spacing w:val="-3"/>
                <w:sz w:val="16"/>
              </w:rPr>
              <w:t> </w:t>
            </w:r>
            <w:r>
              <w:rPr>
                <w:sz w:val="16"/>
              </w:rPr>
              <w:t>the</w:t>
            </w:r>
            <w:r>
              <w:rPr>
                <w:spacing w:val="-4"/>
                <w:sz w:val="16"/>
              </w:rPr>
              <w:t> </w:t>
            </w:r>
            <w:r>
              <w:rPr>
                <w:sz w:val="16"/>
              </w:rPr>
              <w:t>basis</w:t>
            </w:r>
            <w:r>
              <w:rPr>
                <w:spacing w:val="-5"/>
                <w:sz w:val="16"/>
              </w:rPr>
              <w:t> </w:t>
            </w:r>
            <w:r>
              <w:rPr>
                <w:sz w:val="16"/>
              </w:rPr>
              <w:t>of</w:t>
            </w:r>
            <w:r>
              <w:rPr>
                <w:spacing w:val="-5"/>
                <w:sz w:val="16"/>
              </w:rPr>
              <w:t> </w:t>
            </w:r>
            <w:r>
              <w:rPr>
                <w:sz w:val="16"/>
              </w:rPr>
              <w:t>2021</w:t>
            </w:r>
            <w:r>
              <w:rPr>
                <w:spacing w:val="-3"/>
                <w:sz w:val="16"/>
              </w:rPr>
              <w:t> </w:t>
            </w:r>
            <w:r>
              <w:rPr>
                <w:sz w:val="16"/>
              </w:rPr>
              <w:t>figures,</w:t>
            </w:r>
            <w:r>
              <w:rPr>
                <w:spacing w:val="-6"/>
                <w:sz w:val="16"/>
              </w:rPr>
              <w:t> </w:t>
            </w:r>
            <w:r>
              <w:rPr>
                <w:sz w:val="16"/>
              </w:rPr>
              <w:t>it</w:t>
            </w:r>
            <w:r>
              <w:rPr>
                <w:spacing w:val="-6"/>
                <w:sz w:val="16"/>
              </w:rPr>
              <w:t> </w:t>
            </w:r>
            <w:r>
              <w:rPr>
                <w:sz w:val="16"/>
              </w:rPr>
              <w:t>is</w:t>
            </w:r>
            <w:r>
              <w:rPr>
                <w:spacing w:val="-5"/>
                <w:sz w:val="16"/>
              </w:rPr>
              <w:t> </w:t>
            </w:r>
            <w:r>
              <w:rPr>
                <w:sz w:val="16"/>
              </w:rPr>
              <w:t>estimated</w:t>
            </w:r>
            <w:r>
              <w:rPr>
                <w:spacing w:val="-3"/>
                <w:sz w:val="16"/>
              </w:rPr>
              <w:t> </w:t>
            </w:r>
            <w:r>
              <w:rPr>
                <w:sz w:val="16"/>
              </w:rPr>
              <w:t>that</w:t>
            </w:r>
            <w:r>
              <w:rPr>
                <w:spacing w:val="-6"/>
                <w:sz w:val="16"/>
              </w:rPr>
              <w:t> </w:t>
            </w:r>
            <w:r>
              <w:rPr>
                <w:sz w:val="16"/>
              </w:rPr>
              <w:t>about</w:t>
            </w:r>
            <w:r>
              <w:rPr>
                <w:spacing w:val="-6"/>
                <w:sz w:val="16"/>
              </w:rPr>
              <w:t> </w:t>
            </w:r>
            <w:r>
              <w:rPr>
                <w:sz w:val="16"/>
              </w:rPr>
              <w:t>85,000</w:t>
            </w:r>
            <w:r>
              <w:rPr>
                <w:spacing w:val="40"/>
                <w:sz w:val="16"/>
              </w:rPr>
              <w:t> </w:t>
            </w:r>
            <w:r>
              <w:rPr>
                <w:sz w:val="16"/>
              </w:rPr>
              <w:t>words are translated by in-house staff per year, leading to an</w:t>
            </w:r>
            <w:r>
              <w:rPr>
                <w:spacing w:val="40"/>
                <w:sz w:val="16"/>
              </w:rPr>
              <w:t> </w:t>
            </w:r>
            <w:r>
              <w:rPr>
                <w:sz w:val="16"/>
              </w:rPr>
              <w:t>efficiency of €12.8 thousand (based on the rate of €0.15 per</w:t>
            </w:r>
            <w:r>
              <w:rPr>
                <w:spacing w:val="40"/>
                <w:sz w:val="16"/>
              </w:rPr>
              <w:t> </w:t>
            </w:r>
            <w:r>
              <w:rPr>
                <w:sz w:val="16"/>
              </w:rPr>
              <w:t>word for external translators).</w:t>
            </w:r>
          </w:p>
        </w:tc>
        <w:tc>
          <w:tcPr>
            <w:tcW w:w="1129" w:type="dxa"/>
          </w:tcPr>
          <w:p>
            <w:pPr>
              <w:pStyle w:val="TableParagraph"/>
              <w:spacing w:before="9"/>
              <w:jc w:val="left"/>
              <w:rPr>
                <w:sz w:val="15"/>
              </w:rPr>
            </w:pPr>
          </w:p>
          <w:p>
            <w:pPr>
              <w:pStyle w:val="TableParagraph"/>
              <w:ind w:left="575"/>
              <w:jc w:val="left"/>
              <w:rPr>
                <w:sz w:val="16"/>
              </w:rPr>
            </w:pPr>
            <w:r>
              <w:rPr>
                <w:spacing w:val="-2"/>
                <w:sz w:val="16"/>
              </w:rPr>
              <w:t>12,750</w:t>
            </w:r>
          </w:p>
        </w:tc>
        <w:tc>
          <w:tcPr>
            <w:tcW w:w="1297" w:type="dxa"/>
          </w:tcPr>
          <w:p>
            <w:pPr>
              <w:pStyle w:val="TableParagraph"/>
              <w:jc w:val="left"/>
              <w:rPr>
                <w:sz w:val="14"/>
              </w:rPr>
            </w:pPr>
          </w:p>
        </w:tc>
      </w:tr>
      <w:tr>
        <w:trPr>
          <w:trHeight w:val="1156" w:hRule="atLeast"/>
        </w:trPr>
        <w:tc>
          <w:tcPr>
            <w:tcW w:w="3045" w:type="dxa"/>
          </w:tcPr>
          <w:p>
            <w:pPr>
              <w:pStyle w:val="TableParagraph"/>
              <w:spacing w:line="261" w:lineRule="auto"/>
              <w:ind w:left="110" w:right="128"/>
              <w:jc w:val="left"/>
              <w:rPr>
                <w:sz w:val="16"/>
              </w:rPr>
            </w:pPr>
            <w:r>
              <w:rPr>
                <w:sz w:val="16"/>
              </w:rPr>
              <w:t>Trend</w:t>
            </w:r>
            <w:r>
              <w:rPr>
                <w:spacing w:val="-10"/>
                <w:sz w:val="16"/>
              </w:rPr>
              <w:t> </w:t>
            </w:r>
            <w:r>
              <w:rPr>
                <w:sz w:val="16"/>
              </w:rPr>
              <w:t>Micro</w:t>
            </w:r>
            <w:r>
              <w:rPr>
                <w:spacing w:val="-9"/>
                <w:sz w:val="16"/>
              </w:rPr>
              <w:t> </w:t>
            </w:r>
            <w:r>
              <w:rPr>
                <w:sz w:val="16"/>
              </w:rPr>
              <w:t>and</w:t>
            </w:r>
            <w:r>
              <w:rPr>
                <w:spacing w:val="-9"/>
                <w:sz w:val="16"/>
              </w:rPr>
              <w:t> </w:t>
            </w:r>
            <w:r>
              <w:rPr>
                <w:sz w:val="16"/>
              </w:rPr>
              <w:t>FortiMail</w:t>
            </w:r>
            <w:r>
              <w:rPr>
                <w:spacing w:val="-10"/>
                <w:sz w:val="16"/>
              </w:rPr>
              <w:t> </w:t>
            </w:r>
            <w:r>
              <w:rPr>
                <w:sz w:val="16"/>
              </w:rPr>
              <w:t>email</w:t>
            </w:r>
            <w:r>
              <w:rPr>
                <w:spacing w:val="-8"/>
                <w:sz w:val="16"/>
              </w:rPr>
              <w:t> </w:t>
            </w:r>
            <w:r>
              <w:rPr>
                <w:sz w:val="16"/>
              </w:rPr>
              <w:t>sanitation</w:t>
            </w:r>
            <w:r>
              <w:rPr>
                <w:spacing w:val="40"/>
                <w:sz w:val="16"/>
              </w:rPr>
              <w:t> </w:t>
            </w:r>
            <w:r>
              <w:rPr>
                <w:sz w:val="16"/>
              </w:rPr>
              <w:t>hardware have been decommissioned as</w:t>
            </w:r>
            <w:r>
              <w:rPr>
                <w:spacing w:val="40"/>
                <w:sz w:val="16"/>
              </w:rPr>
              <w:t> </w:t>
            </w:r>
            <w:r>
              <w:rPr>
                <w:sz w:val="16"/>
              </w:rPr>
              <w:t>part of a wider project to migrate the</w:t>
            </w:r>
            <w:r>
              <w:rPr>
                <w:spacing w:val="40"/>
                <w:sz w:val="16"/>
              </w:rPr>
              <w:t> </w:t>
            </w:r>
            <w:r>
              <w:rPr>
                <w:sz w:val="16"/>
              </w:rPr>
              <w:t>Court’s email infrastructure to the M365</w:t>
            </w:r>
            <w:r>
              <w:rPr>
                <w:spacing w:val="40"/>
                <w:sz w:val="16"/>
              </w:rPr>
              <w:t> </w:t>
            </w:r>
            <w:r>
              <w:rPr>
                <w:spacing w:val="-2"/>
                <w:sz w:val="16"/>
              </w:rPr>
              <w:t>Cloud.</w:t>
            </w:r>
          </w:p>
        </w:tc>
        <w:tc>
          <w:tcPr>
            <w:tcW w:w="4173" w:type="dxa"/>
          </w:tcPr>
          <w:p>
            <w:pPr>
              <w:pStyle w:val="TableParagraph"/>
              <w:spacing w:line="268" w:lineRule="auto"/>
              <w:ind w:left="109" w:right="141"/>
              <w:jc w:val="left"/>
              <w:rPr>
                <w:sz w:val="16"/>
              </w:rPr>
            </w:pPr>
            <w:r>
              <w:rPr>
                <w:sz w:val="16"/>
              </w:rPr>
              <w:t>Decrease of</w:t>
            </w:r>
            <w:r>
              <w:rPr>
                <w:spacing w:val="38"/>
                <w:sz w:val="16"/>
              </w:rPr>
              <w:t> </w:t>
            </w:r>
            <w:r>
              <w:rPr>
                <w:sz w:val="16"/>
              </w:rPr>
              <w:t>€10.6 thousand in hardware maintenance and</w:t>
            </w:r>
            <w:r>
              <w:rPr>
                <w:spacing w:val="40"/>
                <w:sz w:val="16"/>
              </w:rPr>
              <w:t> </w:t>
            </w:r>
            <w:r>
              <w:rPr>
                <w:sz w:val="16"/>
              </w:rPr>
              <w:t>significant</w:t>
            </w:r>
            <w:r>
              <w:rPr>
                <w:spacing w:val="-9"/>
                <w:sz w:val="16"/>
              </w:rPr>
              <w:t> </w:t>
            </w:r>
            <w:r>
              <w:rPr>
                <w:sz w:val="16"/>
              </w:rPr>
              <w:t>simplification</w:t>
            </w:r>
            <w:r>
              <w:rPr>
                <w:spacing w:val="-6"/>
                <w:sz w:val="16"/>
              </w:rPr>
              <w:t> </w:t>
            </w:r>
            <w:r>
              <w:rPr>
                <w:sz w:val="16"/>
              </w:rPr>
              <w:t>of</w:t>
            </w:r>
            <w:r>
              <w:rPr>
                <w:spacing w:val="-8"/>
                <w:sz w:val="16"/>
              </w:rPr>
              <w:t> </w:t>
            </w:r>
            <w:r>
              <w:rPr>
                <w:sz w:val="16"/>
              </w:rPr>
              <w:t>the</w:t>
            </w:r>
            <w:r>
              <w:rPr>
                <w:spacing w:val="-7"/>
                <w:sz w:val="16"/>
              </w:rPr>
              <w:t> </w:t>
            </w:r>
            <w:r>
              <w:rPr>
                <w:sz w:val="16"/>
              </w:rPr>
              <w:t>on-premises</w:t>
            </w:r>
            <w:r>
              <w:rPr>
                <w:spacing w:val="-8"/>
                <w:sz w:val="16"/>
              </w:rPr>
              <w:t> </w:t>
            </w:r>
            <w:r>
              <w:rPr>
                <w:sz w:val="16"/>
              </w:rPr>
              <w:t>infrastructure.</w:t>
            </w:r>
          </w:p>
        </w:tc>
        <w:tc>
          <w:tcPr>
            <w:tcW w:w="1129" w:type="dxa"/>
          </w:tcPr>
          <w:p>
            <w:pPr>
              <w:pStyle w:val="TableParagraph"/>
              <w:jc w:val="left"/>
              <w:rPr>
                <w:sz w:val="14"/>
              </w:rPr>
            </w:pPr>
          </w:p>
        </w:tc>
        <w:tc>
          <w:tcPr>
            <w:tcW w:w="1297" w:type="dxa"/>
          </w:tcPr>
          <w:p>
            <w:pPr>
              <w:pStyle w:val="TableParagraph"/>
              <w:spacing w:before="10"/>
              <w:jc w:val="left"/>
              <w:rPr>
                <w:sz w:val="17"/>
              </w:rPr>
            </w:pPr>
          </w:p>
          <w:p>
            <w:pPr>
              <w:pStyle w:val="TableParagraph"/>
              <w:ind w:right="98"/>
              <w:rPr>
                <w:sz w:val="16"/>
              </w:rPr>
            </w:pPr>
            <w:r>
              <w:rPr>
                <w:spacing w:val="-2"/>
                <w:sz w:val="16"/>
              </w:rPr>
              <w:t>10,600</w:t>
            </w:r>
          </w:p>
        </w:tc>
      </w:tr>
      <w:tr>
        <w:trPr>
          <w:trHeight w:val="2343" w:hRule="atLeast"/>
        </w:trPr>
        <w:tc>
          <w:tcPr>
            <w:tcW w:w="3045" w:type="dxa"/>
          </w:tcPr>
          <w:p>
            <w:pPr>
              <w:pStyle w:val="TableParagraph"/>
              <w:spacing w:line="256" w:lineRule="auto"/>
              <w:ind w:left="110" w:right="105"/>
              <w:jc w:val="left"/>
              <w:rPr>
                <w:sz w:val="16"/>
              </w:rPr>
            </w:pPr>
            <w:r>
              <w:rPr>
                <w:sz w:val="16"/>
              </w:rPr>
              <w:t>Two Court vehicles are parked in Gulu,</w:t>
            </w:r>
            <w:r>
              <w:rPr>
                <w:spacing w:val="40"/>
                <w:sz w:val="16"/>
              </w:rPr>
              <w:t> </w:t>
            </w:r>
            <w:r>
              <w:rPr>
                <w:sz w:val="16"/>
              </w:rPr>
              <w:t>Northern</w:t>
            </w:r>
            <w:r>
              <w:rPr>
                <w:spacing w:val="-10"/>
                <w:sz w:val="16"/>
              </w:rPr>
              <w:t> </w:t>
            </w:r>
            <w:r>
              <w:rPr>
                <w:sz w:val="16"/>
              </w:rPr>
              <w:t>Uganda.</w:t>
            </w:r>
            <w:r>
              <w:rPr>
                <w:spacing w:val="-10"/>
                <w:sz w:val="16"/>
              </w:rPr>
              <w:t> </w:t>
            </w:r>
            <w:r>
              <w:rPr>
                <w:sz w:val="16"/>
              </w:rPr>
              <w:t>Common</w:t>
            </w:r>
            <w:r>
              <w:rPr>
                <w:spacing w:val="-10"/>
                <w:sz w:val="16"/>
              </w:rPr>
              <w:t> </w:t>
            </w:r>
            <w:r>
              <w:rPr>
                <w:sz w:val="16"/>
              </w:rPr>
              <w:t>practice</w:t>
            </w:r>
            <w:r>
              <w:rPr>
                <w:spacing w:val="-10"/>
                <w:sz w:val="16"/>
              </w:rPr>
              <w:t> </w:t>
            </w:r>
            <w:r>
              <w:rPr>
                <w:sz w:val="16"/>
              </w:rPr>
              <w:t>would</w:t>
            </w:r>
            <w:r>
              <w:rPr>
                <w:spacing w:val="40"/>
                <w:sz w:val="16"/>
              </w:rPr>
              <w:t> </w:t>
            </w:r>
            <w:r>
              <w:rPr>
                <w:sz w:val="16"/>
              </w:rPr>
              <w:t>entail paying for parking space in Gulu.</w:t>
            </w:r>
          </w:p>
          <w:p>
            <w:pPr>
              <w:pStyle w:val="TableParagraph"/>
              <w:spacing w:line="259" w:lineRule="auto" w:before="4"/>
              <w:ind w:left="110" w:right="105"/>
              <w:jc w:val="left"/>
              <w:rPr>
                <w:sz w:val="16"/>
              </w:rPr>
            </w:pPr>
            <w:r>
              <w:rPr>
                <w:sz w:val="16"/>
              </w:rPr>
              <w:t>Following negotiations led by the Country</w:t>
            </w:r>
            <w:r>
              <w:rPr>
                <w:spacing w:val="40"/>
                <w:sz w:val="16"/>
              </w:rPr>
              <w:t> </w:t>
            </w:r>
            <w:r>
              <w:rPr>
                <w:sz w:val="16"/>
              </w:rPr>
              <w:t>Office (Uganda) in Kampala, an ad hoc</w:t>
            </w:r>
            <w:r>
              <w:rPr>
                <w:spacing w:val="40"/>
                <w:sz w:val="16"/>
              </w:rPr>
              <w:t> </w:t>
            </w:r>
            <w:r>
              <w:rPr>
                <w:sz w:val="16"/>
              </w:rPr>
              <w:t>agreement</w:t>
            </w:r>
            <w:r>
              <w:rPr>
                <w:spacing w:val="-8"/>
                <w:sz w:val="16"/>
              </w:rPr>
              <w:t> </w:t>
            </w:r>
            <w:r>
              <w:rPr>
                <w:sz w:val="16"/>
              </w:rPr>
              <w:t>was</w:t>
            </w:r>
            <w:r>
              <w:rPr>
                <w:spacing w:val="-7"/>
                <w:sz w:val="16"/>
              </w:rPr>
              <w:t> </w:t>
            </w:r>
            <w:r>
              <w:rPr>
                <w:sz w:val="16"/>
              </w:rPr>
              <w:t>signed</w:t>
            </w:r>
            <w:r>
              <w:rPr>
                <w:spacing w:val="-5"/>
                <w:sz w:val="16"/>
              </w:rPr>
              <w:t> </w:t>
            </w:r>
            <w:r>
              <w:rPr>
                <w:sz w:val="16"/>
              </w:rPr>
              <w:t>with</w:t>
            </w:r>
            <w:r>
              <w:rPr>
                <w:spacing w:val="-5"/>
                <w:sz w:val="16"/>
              </w:rPr>
              <w:t> </w:t>
            </w:r>
            <w:r>
              <w:rPr>
                <w:sz w:val="16"/>
              </w:rPr>
              <w:t>the</w:t>
            </w:r>
            <w:r>
              <w:rPr>
                <w:spacing w:val="-6"/>
                <w:sz w:val="16"/>
              </w:rPr>
              <w:t> </w:t>
            </w:r>
            <w:r>
              <w:rPr>
                <w:sz w:val="16"/>
              </w:rPr>
              <w:t>World</w:t>
            </w:r>
            <w:r>
              <w:rPr>
                <w:spacing w:val="-5"/>
                <w:sz w:val="16"/>
              </w:rPr>
              <w:t> </w:t>
            </w:r>
            <w:r>
              <w:rPr>
                <w:sz w:val="16"/>
              </w:rPr>
              <w:t>Food</w:t>
            </w:r>
            <w:r>
              <w:rPr>
                <w:spacing w:val="40"/>
                <w:sz w:val="16"/>
              </w:rPr>
              <w:t> </w:t>
            </w:r>
            <w:r>
              <w:rPr>
                <w:sz w:val="16"/>
              </w:rPr>
              <w:t>Programme</w:t>
            </w:r>
            <w:r>
              <w:rPr>
                <w:spacing w:val="-4"/>
                <w:sz w:val="16"/>
              </w:rPr>
              <w:t> </w:t>
            </w:r>
            <w:r>
              <w:rPr>
                <w:sz w:val="16"/>
              </w:rPr>
              <w:t>(WFP)</w:t>
            </w:r>
            <w:r>
              <w:rPr>
                <w:spacing w:val="-5"/>
                <w:sz w:val="16"/>
              </w:rPr>
              <w:t> </w:t>
            </w:r>
            <w:r>
              <w:rPr>
                <w:sz w:val="16"/>
              </w:rPr>
              <w:t>in February</w:t>
            </w:r>
            <w:r>
              <w:rPr>
                <w:spacing w:val="-3"/>
                <w:sz w:val="16"/>
              </w:rPr>
              <w:t> </w:t>
            </w:r>
            <w:r>
              <w:rPr>
                <w:sz w:val="16"/>
              </w:rPr>
              <w:t>2020.</w:t>
            </w:r>
            <w:r>
              <w:rPr>
                <w:spacing w:val="-6"/>
                <w:sz w:val="16"/>
              </w:rPr>
              <w:t> </w:t>
            </w:r>
            <w:r>
              <w:rPr>
                <w:sz w:val="16"/>
              </w:rPr>
              <w:t>WFP</w:t>
            </w:r>
            <w:r>
              <w:rPr>
                <w:spacing w:val="40"/>
                <w:sz w:val="16"/>
              </w:rPr>
              <w:t> </w:t>
            </w:r>
            <w:r>
              <w:rPr>
                <w:sz w:val="16"/>
              </w:rPr>
              <w:t>agreed to have the two Court vehicles</w:t>
            </w:r>
            <w:r>
              <w:rPr>
                <w:spacing w:val="40"/>
                <w:sz w:val="16"/>
              </w:rPr>
              <w:t> </w:t>
            </w:r>
            <w:r>
              <w:rPr>
                <w:sz w:val="16"/>
              </w:rPr>
              <w:t>parked</w:t>
            </w:r>
            <w:r>
              <w:rPr>
                <w:spacing w:val="-5"/>
                <w:sz w:val="16"/>
              </w:rPr>
              <w:t> </w:t>
            </w:r>
            <w:r>
              <w:rPr>
                <w:sz w:val="16"/>
              </w:rPr>
              <w:t>in</w:t>
            </w:r>
            <w:r>
              <w:rPr>
                <w:spacing w:val="-5"/>
                <w:sz w:val="16"/>
              </w:rPr>
              <w:t> </w:t>
            </w:r>
            <w:r>
              <w:rPr>
                <w:sz w:val="16"/>
              </w:rPr>
              <w:t>the</w:t>
            </w:r>
            <w:r>
              <w:rPr>
                <w:spacing w:val="-6"/>
                <w:sz w:val="16"/>
              </w:rPr>
              <w:t> </w:t>
            </w:r>
            <w:r>
              <w:rPr>
                <w:sz w:val="16"/>
              </w:rPr>
              <w:t>WFP</w:t>
            </w:r>
            <w:r>
              <w:rPr>
                <w:spacing w:val="-8"/>
                <w:sz w:val="16"/>
              </w:rPr>
              <w:t> </w:t>
            </w:r>
            <w:r>
              <w:rPr>
                <w:sz w:val="16"/>
              </w:rPr>
              <w:t>compound</w:t>
            </w:r>
            <w:r>
              <w:rPr>
                <w:spacing w:val="-5"/>
                <w:sz w:val="16"/>
              </w:rPr>
              <w:t> </w:t>
            </w:r>
            <w:r>
              <w:rPr>
                <w:sz w:val="16"/>
              </w:rPr>
              <w:t>in</w:t>
            </w:r>
            <w:r>
              <w:rPr>
                <w:spacing w:val="-5"/>
                <w:sz w:val="16"/>
              </w:rPr>
              <w:t> </w:t>
            </w:r>
            <w:r>
              <w:rPr>
                <w:sz w:val="16"/>
              </w:rPr>
              <w:t>Gulu</w:t>
            </w:r>
            <w:r>
              <w:rPr>
                <w:spacing w:val="-5"/>
                <w:sz w:val="16"/>
              </w:rPr>
              <w:t> </w:t>
            </w:r>
            <w:r>
              <w:rPr>
                <w:sz w:val="16"/>
              </w:rPr>
              <w:t>at</w:t>
            </w:r>
            <w:r>
              <w:rPr>
                <w:spacing w:val="-7"/>
                <w:sz w:val="16"/>
              </w:rPr>
              <w:t> </w:t>
            </w:r>
            <w:r>
              <w:rPr>
                <w:sz w:val="16"/>
              </w:rPr>
              <w:t>no</w:t>
            </w:r>
            <w:r>
              <w:rPr>
                <w:spacing w:val="40"/>
                <w:sz w:val="16"/>
              </w:rPr>
              <w:t> </w:t>
            </w:r>
            <w:r>
              <w:rPr>
                <w:sz w:val="16"/>
              </w:rPr>
              <w:t>cost. The agreement is valid for one year,</w:t>
            </w:r>
            <w:r>
              <w:rPr>
                <w:spacing w:val="40"/>
                <w:sz w:val="16"/>
              </w:rPr>
              <w:t> </w:t>
            </w:r>
            <w:r>
              <w:rPr>
                <w:spacing w:val="-2"/>
                <w:sz w:val="16"/>
              </w:rPr>
              <w:t>renewable.</w:t>
            </w:r>
          </w:p>
        </w:tc>
        <w:tc>
          <w:tcPr>
            <w:tcW w:w="4173" w:type="dxa"/>
          </w:tcPr>
          <w:p>
            <w:pPr>
              <w:pStyle w:val="TableParagraph"/>
              <w:spacing w:before="4"/>
              <w:ind w:left="109"/>
              <w:jc w:val="left"/>
              <w:rPr>
                <w:sz w:val="16"/>
              </w:rPr>
            </w:pPr>
            <w:r>
              <w:rPr>
                <w:sz w:val="16"/>
              </w:rPr>
              <w:t>Cost</w:t>
            </w:r>
            <w:r>
              <w:rPr>
                <w:spacing w:val="-4"/>
                <w:sz w:val="16"/>
              </w:rPr>
              <w:t> </w:t>
            </w:r>
            <w:r>
              <w:rPr>
                <w:sz w:val="16"/>
              </w:rPr>
              <w:t>for</w:t>
            </w:r>
            <w:r>
              <w:rPr>
                <w:spacing w:val="-2"/>
                <w:sz w:val="16"/>
              </w:rPr>
              <w:t> </w:t>
            </w:r>
            <w:r>
              <w:rPr>
                <w:sz w:val="16"/>
              </w:rPr>
              <w:t>parking</w:t>
            </w:r>
            <w:r>
              <w:rPr>
                <w:spacing w:val="-1"/>
                <w:sz w:val="16"/>
              </w:rPr>
              <w:t> </w:t>
            </w:r>
            <w:r>
              <w:rPr>
                <w:sz w:val="16"/>
              </w:rPr>
              <w:t>the</w:t>
            </w:r>
            <w:r>
              <w:rPr>
                <w:spacing w:val="-1"/>
                <w:sz w:val="16"/>
              </w:rPr>
              <w:t> </w:t>
            </w:r>
            <w:r>
              <w:rPr>
                <w:sz w:val="16"/>
              </w:rPr>
              <w:t>2</w:t>
            </w:r>
            <w:r>
              <w:rPr>
                <w:spacing w:val="-1"/>
                <w:sz w:val="16"/>
              </w:rPr>
              <w:t> </w:t>
            </w:r>
            <w:r>
              <w:rPr>
                <w:sz w:val="16"/>
              </w:rPr>
              <w:t>vehicles</w:t>
            </w:r>
            <w:r>
              <w:rPr>
                <w:spacing w:val="-2"/>
                <w:sz w:val="16"/>
              </w:rPr>
              <w:t> </w:t>
            </w:r>
            <w:r>
              <w:rPr>
                <w:sz w:val="16"/>
              </w:rPr>
              <w:t>is</w:t>
            </w:r>
            <w:r>
              <w:rPr>
                <w:spacing w:val="-2"/>
                <w:sz w:val="16"/>
              </w:rPr>
              <w:t> </w:t>
            </w:r>
            <w:r>
              <w:rPr>
                <w:sz w:val="16"/>
              </w:rPr>
              <w:t>€1,650</w:t>
            </w:r>
            <w:r>
              <w:rPr>
                <w:spacing w:val="-1"/>
                <w:sz w:val="16"/>
              </w:rPr>
              <w:t> </w:t>
            </w:r>
            <w:r>
              <w:rPr>
                <w:sz w:val="16"/>
              </w:rPr>
              <w:t>in </w:t>
            </w:r>
            <w:r>
              <w:rPr>
                <w:spacing w:val="-2"/>
                <w:sz w:val="16"/>
              </w:rPr>
              <w:t>2022.</w:t>
            </w:r>
          </w:p>
        </w:tc>
        <w:tc>
          <w:tcPr>
            <w:tcW w:w="1129" w:type="dxa"/>
          </w:tcPr>
          <w:p>
            <w:pPr>
              <w:pStyle w:val="TableParagraph"/>
              <w:jc w:val="left"/>
              <w:rPr>
                <w:sz w:val="14"/>
              </w:rPr>
            </w:pPr>
          </w:p>
        </w:tc>
        <w:tc>
          <w:tcPr>
            <w:tcW w:w="1297" w:type="dxa"/>
          </w:tcPr>
          <w:p>
            <w:pPr>
              <w:pStyle w:val="TableParagraph"/>
              <w:spacing w:before="5"/>
              <w:jc w:val="left"/>
              <w:rPr>
                <w:sz w:val="17"/>
              </w:rPr>
            </w:pPr>
          </w:p>
          <w:p>
            <w:pPr>
              <w:pStyle w:val="TableParagraph"/>
              <w:spacing w:before="1"/>
              <w:ind w:right="98"/>
              <w:rPr>
                <w:sz w:val="16"/>
              </w:rPr>
            </w:pPr>
            <w:r>
              <w:rPr>
                <w:spacing w:val="-2"/>
                <w:sz w:val="16"/>
              </w:rPr>
              <w:t>1,600</w:t>
            </w:r>
          </w:p>
        </w:tc>
      </w:tr>
      <w:tr>
        <w:trPr>
          <w:trHeight w:val="1747" w:hRule="atLeast"/>
        </w:trPr>
        <w:tc>
          <w:tcPr>
            <w:tcW w:w="3045" w:type="dxa"/>
          </w:tcPr>
          <w:p>
            <w:pPr>
              <w:pStyle w:val="TableParagraph"/>
              <w:spacing w:line="268" w:lineRule="auto"/>
              <w:ind w:left="110" w:right="187"/>
              <w:jc w:val="left"/>
              <w:rPr>
                <w:sz w:val="16"/>
              </w:rPr>
            </w:pPr>
            <w:r>
              <w:rPr>
                <w:sz w:val="16"/>
              </w:rPr>
              <w:t>Use</w:t>
            </w:r>
            <w:r>
              <w:rPr>
                <w:spacing w:val="-10"/>
                <w:sz w:val="16"/>
              </w:rPr>
              <w:t> </w:t>
            </w:r>
            <w:r>
              <w:rPr>
                <w:sz w:val="16"/>
              </w:rPr>
              <w:t>of</w:t>
            </w:r>
            <w:r>
              <w:rPr>
                <w:spacing w:val="-10"/>
                <w:sz w:val="16"/>
              </w:rPr>
              <w:t> </w:t>
            </w:r>
            <w:r>
              <w:rPr>
                <w:sz w:val="16"/>
              </w:rPr>
              <w:t>National</w:t>
            </w:r>
            <w:r>
              <w:rPr>
                <w:spacing w:val="-10"/>
                <w:sz w:val="16"/>
              </w:rPr>
              <w:t> </w:t>
            </w:r>
            <w:r>
              <w:rPr>
                <w:sz w:val="16"/>
              </w:rPr>
              <w:t>Professional</w:t>
            </w:r>
            <w:r>
              <w:rPr>
                <w:spacing w:val="-10"/>
                <w:sz w:val="16"/>
              </w:rPr>
              <w:t> </w:t>
            </w:r>
            <w:r>
              <w:rPr>
                <w:sz w:val="16"/>
              </w:rPr>
              <w:t>Officers</w:t>
            </w:r>
            <w:r>
              <w:rPr>
                <w:spacing w:val="40"/>
                <w:sz w:val="16"/>
              </w:rPr>
              <w:t> </w:t>
            </w:r>
            <w:r>
              <w:rPr>
                <w:spacing w:val="-2"/>
                <w:sz w:val="16"/>
              </w:rPr>
              <w:t>(NPO).</w:t>
            </w:r>
          </w:p>
        </w:tc>
        <w:tc>
          <w:tcPr>
            <w:tcW w:w="4173" w:type="dxa"/>
          </w:tcPr>
          <w:p>
            <w:pPr>
              <w:pStyle w:val="TableParagraph"/>
              <w:spacing w:line="259" w:lineRule="auto"/>
              <w:ind w:left="109" w:right="141"/>
              <w:jc w:val="left"/>
              <w:rPr>
                <w:sz w:val="16"/>
              </w:rPr>
            </w:pPr>
            <w:r>
              <w:rPr>
                <w:sz w:val="16"/>
              </w:rPr>
              <w:t>Thanks</w:t>
            </w:r>
            <w:r>
              <w:rPr>
                <w:spacing w:val="-6"/>
                <w:sz w:val="16"/>
              </w:rPr>
              <w:t> </w:t>
            </w:r>
            <w:r>
              <w:rPr>
                <w:sz w:val="16"/>
              </w:rPr>
              <w:t>to</w:t>
            </w:r>
            <w:r>
              <w:rPr>
                <w:spacing w:val="-4"/>
                <w:sz w:val="16"/>
              </w:rPr>
              <w:t> </w:t>
            </w:r>
            <w:r>
              <w:rPr>
                <w:sz w:val="16"/>
              </w:rPr>
              <w:t>the</w:t>
            </w:r>
            <w:r>
              <w:rPr>
                <w:spacing w:val="-5"/>
                <w:sz w:val="16"/>
              </w:rPr>
              <w:t> </w:t>
            </w:r>
            <w:r>
              <w:rPr>
                <w:sz w:val="16"/>
              </w:rPr>
              <w:t>implementation</w:t>
            </w:r>
            <w:r>
              <w:rPr>
                <w:spacing w:val="-4"/>
                <w:sz w:val="16"/>
              </w:rPr>
              <w:t> </w:t>
            </w:r>
            <w:r>
              <w:rPr>
                <w:sz w:val="16"/>
              </w:rPr>
              <w:t>of</w:t>
            </w:r>
            <w:r>
              <w:rPr>
                <w:spacing w:val="-6"/>
                <w:sz w:val="16"/>
              </w:rPr>
              <w:t> </w:t>
            </w:r>
            <w:r>
              <w:rPr>
                <w:sz w:val="16"/>
              </w:rPr>
              <w:t>the</w:t>
            </w:r>
            <w:r>
              <w:rPr>
                <w:spacing w:val="-5"/>
                <w:sz w:val="16"/>
              </w:rPr>
              <w:t> </w:t>
            </w:r>
            <w:r>
              <w:rPr>
                <w:sz w:val="16"/>
              </w:rPr>
              <w:t>NPO</w:t>
            </w:r>
            <w:r>
              <w:rPr>
                <w:spacing w:val="-6"/>
                <w:sz w:val="16"/>
              </w:rPr>
              <w:t> </w:t>
            </w:r>
            <w:r>
              <w:rPr>
                <w:sz w:val="16"/>
              </w:rPr>
              <w:t>category,</w:t>
            </w:r>
            <w:r>
              <w:rPr>
                <w:spacing w:val="-7"/>
                <w:sz w:val="16"/>
              </w:rPr>
              <w:t> </w:t>
            </w:r>
            <w:r>
              <w:rPr>
                <w:sz w:val="16"/>
              </w:rPr>
              <w:t>the</w:t>
            </w:r>
            <w:r>
              <w:rPr>
                <w:spacing w:val="-5"/>
                <w:sz w:val="16"/>
              </w:rPr>
              <w:t> </w:t>
            </w:r>
            <w:r>
              <w:rPr>
                <w:sz w:val="16"/>
              </w:rPr>
              <w:t>OTP</w:t>
            </w:r>
            <w:r>
              <w:rPr>
                <w:spacing w:val="40"/>
                <w:sz w:val="16"/>
              </w:rPr>
              <w:t> </w:t>
            </w:r>
            <w:r>
              <w:rPr>
                <w:sz w:val="16"/>
              </w:rPr>
              <w:t>can secure resources with efficiencies of</w:t>
            </w:r>
            <w:r>
              <w:rPr>
                <w:spacing w:val="40"/>
                <w:sz w:val="16"/>
              </w:rPr>
              <w:t> </w:t>
            </w:r>
            <w:r>
              <w:rPr>
                <w:sz w:val="16"/>
              </w:rPr>
              <w:t>€248.5 thousand</w:t>
            </w:r>
            <w:r>
              <w:rPr>
                <w:spacing w:val="40"/>
                <w:sz w:val="16"/>
              </w:rPr>
              <w:t> </w:t>
            </w:r>
            <w:r>
              <w:rPr>
                <w:sz w:val="16"/>
              </w:rPr>
              <w:t>compared to recruiting international staff for the equivalent</w:t>
            </w:r>
            <w:r>
              <w:rPr>
                <w:spacing w:val="40"/>
                <w:sz w:val="16"/>
              </w:rPr>
              <w:t> </w:t>
            </w:r>
            <w:r>
              <w:rPr>
                <w:sz w:val="16"/>
              </w:rPr>
              <w:t>positions. All the positions are at P-3 level. The amount of</w:t>
            </w:r>
            <w:r>
              <w:rPr>
                <w:spacing w:val="40"/>
                <w:sz w:val="16"/>
              </w:rPr>
              <w:t> </w:t>
            </w:r>
            <w:r>
              <w:rPr>
                <w:sz w:val="16"/>
              </w:rPr>
              <w:t>the efficiencies corresponds to the difference between the</w:t>
            </w:r>
            <w:r>
              <w:rPr>
                <w:spacing w:val="40"/>
                <w:sz w:val="16"/>
              </w:rPr>
              <w:t> </w:t>
            </w:r>
            <w:r>
              <w:rPr>
                <w:sz w:val="16"/>
              </w:rPr>
              <w:t>cost of the NPO and the cost of the equivalent international</w:t>
            </w:r>
            <w:r>
              <w:rPr>
                <w:spacing w:val="40"/>
                <w:sz w:val="16"/>
              </w:rPr>
              <w:t> </w:t>
            </w:r>
            <w:r>
              <w:rPr>
                <w:sz w:val="16"/>
              </w:rPr>
              <w:t>recruit (using 8 months as the basis for the calculation, i.e.</w:t>
            </w:r>
            <w:r>
              <w:rPr>
                <w:spacing w:val="40"/>
                <w:sz w:val="16"/>
              </w:rPr>
              <w:t> </w:t>
            </w:r>
            <w:r>
              <w:rPr>
                <w:sz w:val="16"/>
              </w:rPr>
              <w:t>the duration of the NPO included in the 2023 PPB).</w:t>
            </w:r>
          </w:p>
        </w:tc>
        <w:tc>
          <w:tcPr>
            <w:tcW w:w="1129" w:type="dxa"/>
          </w:tcPr>
          <w:p>
            <w:pPr>
              <w:pStyle w:val="TableParagraph"/>
              <w:jc w:val="left"/>
              <w:rPr>
                <w:sz w:val="14"/>
              </w:rPr>
            </w:pPr>
          </w:p>
        </w:tc>
        <w:tc>
          <w:tcPr>
            <w:tcW w:w="1297" w:type="dxa"/>
          </w:tcPr>
          <w:p>
            <w:pPr>
              <w:pStyle w:val="TableParagraph"/>
              <w:spacing w:before="10"/>
              <w:jc w:val="left"/>
              <w:rPr>
                <w:sz w:val="17"/>
              </w:rPr>
            </w:pPr>
          </w:p>
          <w:p>
            <w:pPr>
              <w:pStyle w:val="TableParagraph"/>
              <w:ind w:right="98"/>
              <w:rPr>
                <w:sz w:val="16"/>
              </w:rPr>
            </w:pPr>
            <w:r>
              <w:rPr>
                <w:spacing w:val="-2"/>
                <w:sz w:val="16"/>
              </w:rPr>
              <w:t>270,900</w:t>
            </w:r>
          </w:p>
        </w:tc>
      </w:tr>
    </w:tbl>
    <w:p>
      <w:pPr>
        <w:spacing w:after="0"/>
        <w:rPr>
          <w:sz w:val="16"/>
        </w:rPr>
        <w:sectPr>
          <w:pgSz w:w="11910" w:h="16840"/>
          <w:pgMar w:header="953" w:footer="940" w:top="1140" w:bottom="1140" w:left="20" w:right="20"/>
        </w:sectPr>
      </w:pPr>
    </w:p>
    <w:tbl>
      <w:tblPr>
        <w:tblW w:w="0" w:type="auto"/>
        <w:jc w:val="left"/>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45"/>
        <w:gridCol w:w="4173"/>
        <w:gridCol w:w="1129"/>
        <w:gridCol w:w="1297"/>
      </w:tblGrid>
      <w:tr>
        <w:trPr>
          <w:trHeight w:val="1235" w:hRule="atLeast"/>
        </w:trPr>
        <w:tc>
          <w:tcPr>
            <w:tcW w:w="3045" w:type="dxa"/>
            <w:tcBorders>
              <w:left w:val="nil"/>
              <w:right w:val="nil"/>
            </w:tcBorders>
          </w:tcPr>
          <w:p>
            <w:pPr>
              <w:pStyle w:val="TableParagraph"/>
              <w:jc w:val="left"/>
              <w:rPr>
                <w:sz w:val="18"/>
              </w:rPr>
            </w:pPr>
          </w:p>
          <w:p>
            <w:pPr>
              <w:pStyle w:val="TableParagraph"/>
              <w:spacing w:before="9"/>
              <w:jc w:val="left"/>
              <w:rPr>
                <w:sz w:val="21"/>
              </w:rPr>
            </w:pPr>
          </w:p>
          <w:p>
            <w:pPr>
              <w:pStyle w:val="TableParagraph"/>
              <w:ind w:left="1147" w:right="1132"/>
              <w:jc w:val="center"/>
              <w:rPr>
                <w:sz w:val="16"/>
              </w:rPr>
            </w:pPr>
            <w:r>
              <w:rPr>
                <w:spacing w:val="-2"/>
                <w:sz w:val="16"/>
              </w:rPr>
              <w:t>Description</w:t>
            </w:r>
          </w:p>
        </w:tc>
        <w:tc>
          <w:tcPr>
            <w:tcW w:w="4173" w:type="dxa"/>
            <w:tcBorders>
              <w:left w:val="nil"/>
              <w:right w:val="nil"/>
            </w:tcBorders>
          </w:tcPr>
          <w:p>
            <w:pPr>
              <w:pStyle w:val="TableParagraph"/>
              <w:jc w:val="left"/>
              <w:rPr>
                <w:sz w:val="18"/>
              </w:rPr>
            </w:pPr>
          </w:p>
          <w:p>
            <w:pPr>
              <w:pStyle w:val="TableParagraph"/>
              <w:spacing w:before="9"/>
              <w:jc w:val="left"/>
              <w:rPr>
                <w:sz w:val="21"/>
              </w:rPr>
            </w:pPr>
          </w:p>
          <w:p>
            <w:pPr>
              <w:pStyle w:val="TableParagraph"/>
              <w:ind w:left="1166"/>
              <w:jc w:val="left"/>
              <w:rPr>
                <w:sz w:val="16"/>
              </w:rPr>
            </w:pPr>
            <w:r>
              <w:rPr>
                <w:sz w:val="16"/>
              </w:rPr>
              <w:t>Achieved</w:t>
            </w:r>
            <w:r>
              <w:rPr>
                <w:spacing w:val="-4"/>
                <w:sz w:val="16"/>
              </w:rPr>
              <w:t> </w:t>
            </w:r>
            <w:r>
              <w:rPr>
                <w:sz w:val="16"/>
              </w:rPr>
              <w:t>output</w:t>
            </w:r>
            <w:r>
              <w:rPr>
                <w:spacing w:val="-6"/>
                <w:sz w:val="16"/>
              </w:rPr>
              <w:t> </w:t>
            </w:r>
            <w:r>
              <w:rPr>
                <w:sz w:val="16"/>
              </w:rPr>
              <w:t>(2023</w:t>
            </w:r>
            <w:r>
              <w:rPr>
                <w:spacing w:val="-3"/>
                <w:sz w:val="16"/>
              </w:rPr>
              <w:t> </w:t>
            </w:r>
            <w:r>
              <w:rPr>
                <w:spacing w:val="-4"/>
                <w:sz w:val="16"/>
              </w:rPr>
              <w:t>PPB)</w:t>
            </w:r>
          </w:p>
        </w:tc>
        <w:tc>
          <w:tcPr>
            <w:tcW w:w="1129" w:type="dxa"/>
            <w:tcBorders>
              <w:left w:val="nil"/>
              <w:right w:val="nil"/>
            </w:tcBorders>
          </w:tcPr>
          <w:p>
            <w:pPr>
              <w:pStyle w:val="TableParagraph"/>
              <w:spacing w:before="1"/>
              <w:ind w:left="133" w:right="125" w:hanging="6"/>
              <w:jc w:val="center"/>
              <w:rPr>
                <w:i/>
                <w:sz w:val="16"/>
              </w:rPr>
            </w:pPr>
            <w:r>
              <w:rPr>
                <w:i/>
                <w:sz w:val="16"/>
              </w:rPr>
              <w:t>2022</w:t>
            </w:r>
            <w:r>
              <w:rPr>
                <w:i/>
                <w:spacing w:val="-1"/>
                <w:sz w:val="16"/>
              </w:rPr>
              <w:t> </w:t>
            </w:r>
            <w:r>
              <w:rPr>
                <w:i/>
                <w:sz w:val="16"/>
              </w:rPr>
              <w:t>Costs</w:t>
            </w:r>
            <w:r>
              <w:rPr>
                <w:i/>
                <w:spacing w:val="40"/>
                <w:sz w:val="16"/>
              </w:rPr>
              <w:t> </w:t>
            </w:r>
            <w:r>
              <w:rPr>
                <w:i/>
                <w:spacing w:val="-2"/>
                <w:sz w:val="16"/>
              </w:rPr>
              <w:t>avoided</w:t>
            </w:r>
            <w:r>
              <w:rPr>
                <w:i/>
                <w:spacing w:val="40"/>
                <w:sz w:val="16"/>
              </w:rPr>
              <w:t> </w:t>
            </w:r>
            <w:r>
              <w:rPr>
                <w:i/>
                <w:spacing w:val="-2"/>
                <w:sz w:val="16"/>
              </w:rPr>
              <w:t>(baseline</w:t>
            </w:r>
            <w:r>
              <w:rPr>
                <w:i/>
                <w:spacing w:val="40"/>
                <w:sz w:val="16"/>
              </w:rPr>
              <w:t> </w:t>
            </w:r>
            <w:r>
              <w:rPr>
                <w:i/>
                <w:spacing w:val="-2"/>
                <w:sz w:val="16"/>
              </w:rPr>
              <w:t>maintained)</w:t>
            </w:r>
            <w:r>
              <w:rPr>
                <w:i/>
                <w:spacing w:val="40"/>
                <w:sz w:val="16"/>
              </w:rPr>
              <w:t> </w:t>
            </w:r>
            <w:r>
              <w:rPr>
                <w:i/>
                <w:w w:val="95"/>
                <w:sz w:val="16"/>
              </w:rPr>
              <w:t>(thousands</w:t>
            </w:r>
            <w:r>
              <w:rPr>
                <w:i/>
                <w:spacing w:val="30"/>
                <w:sz w:val="16"/>
              </w:rPr>
              <w:t> </w:t>
            </w:r>
            <w:r>
              <w:rPr>
                <w:i/>
                <w:spacing w:val="-5"/>
                <w:sz w:val="16"/>
              </w:rPr>
              <w:t>of</w:t>
            </w:r>
          </w:p>
          <w:p>
            <w:pPr>
              <w:pStyle w:val="TableParagraph"/>
              <w:spacing w:line="167" w:lineRule="exact"/>
              <w:ind w:left="351" w:right="340"/>
              <w:jc w:val="center"/>
              <w:rPr>
                <w:i/>
                <w:sz w:val="16"/>
              </w:rPr>
            </w:pPr>
            <w:r>
              <w:rPr>
                <w:i/>
                <w:spacing w:val="-2"/>
                <w:sz w:val="16"/>
              </w:rPr>
              <w:t>euros)</w:t>
            </w:r>
          </w:p>
        </w:tc>
        <w:tc>
          <w:tcPr>
            <w:tcW w:w="1297" w:type="dxa"/>
            <w:tcBorders>
              <w:left w:val="nil"/>
              <w:right w:val="nil"/>
            </w:tcBorders>
          </w:tcPr>
          <w:p>
            <w:pPr>
              <w:pStyle w:val="TableParagraph"/>
              <w:jc w:val="left"/>
              <w:rPr>
                <w:sz w:val="16"/>
              </w:rPr>
            </w:pPr>
          </w:p>
          <w:p>
            <w:pPr>
              <w:pStyle w:val="TableParagraph"/>
              <w:ind w:left="142" w:right="143"/>
              <w:jc w:val="center"/>
              <w:rPr>
                <w:i/>
                <w:sz w:val="16"/>
              </w:rPr>
            </w:pPr>
            <w:r>
              <w:rPr>
                <w:i/>
                <w:sz w:val="16"/>
              </w:rPr>
              <w:t>2023</w:t>
            </w:r>
            <w:r>
              <w:rPr>
                <w:i/>
                <w:spacing w:val="-10"/>
                <w:sz w:val="16"/>
              </w:rPr>
              <w:t> </w:t>
            </w:r>
            <w:r>
              <w:rPr>
                <w:i/>
                <w:sz w:val="16"/>
              </w:rPr>
              <w:t>Reduction</w:t>
            </w:r>
            <w:r>
              <w:rPr>
                <w:i/>
                <w:spacing w:val="40"/>
                <w:sz w:val="16"/>
              </w:rPr>
              <w:t> </w:t>
            </w:r>
            <w:r>
              <w:rPr>
                <w:i/>
                <w:sz w:val="16"/>
              </w:rPr>
              <w:t>in</w:t>
            </w:r>
            <w:r>
              <w:rPr>
                <w:i/>
                <w:spacing w:val="-1"/>
                <w:sz w:val="16"/>
              </w:rPr>
              <w:t> </w:t>
            </w:r>
            <w:r>
              <w:rPr>
                <w:i/>
                <w:sz w:val="16"/>
              </w:rPr>
              <w:t>baseline</w:t>
            </w:r>
            <w:r>
              <w:rPr>
                <w:i/>
                <w:spacing w:val="40"/>
                <w:sz w:val="16"/>
              </w:rPr>
              <w:t> </w:t>
            </w:r>
            <w:r>
              <w:rPr>
                <w:i/>
                <w:sz w:val="16"/>
              </w:rPr>
              <w:t>(thousands</w:t>
            </w:r>
            <w:r>
              <w:rPr>
                <w:i/>
                <w:spacing w:val="-5"/>
                <w:sz w:val="16"/>
              </w:rPr>
              <w:t> </w:t>
            </w:r>
            <w:r>
              <w:rPr>
                <w:i/>
                <w:sz w:val="16"/>
              </w:rPr>
              <w:t>of</w:t>
            </w:r>
            <w:r>
              <w:rPr>
                <w:i/>
                <w:spacing w:val="40"/>
                <w:sz w:val="16"/>
              </w:rPr>
              <w:t> </w:t>
            </w:r>
            <w:r>
              <w:rPr>
                <w:i/>
                <w:spacing w:val="-2"/>
                <w:sz w:val="16"/>
              </w:rPr>
              <w:t>euros)</w:t>
            </w:r>
          </w:p>
        </w:tc>
      </w:tr>
      <w:tr>
        <w:trPr>
          <w:trHeight w:val="1152" w:hRule="atLeast"/>
        </w:trPr>
        <w:tc>
          <w:tcPr>
            <w:tcW w:w="3045" w:type="dxa"/>
          </w:tcPr>
          <w:p>
            <w:pPr>
              <w:pStyle w:val="TableParagraph"/>
              <w:spacing w:line="259" w:lineRule="auto"/>
              <w:ind w:left="110" w:right="187"/>
              <w:jc w:val="left"/>
              <w:rPr>
                <w:sz w:val="16"/>
              </w:rPr>
            </w:pPr>
            <w:r>
              <w:rPr>
                <w:sz w:val="16"/>
              </w:rPr>
              <w:t>Webtrends Analytics software used to</w:t>
            </w:r>
            <w:r>
              <w:rPr>
                <w:spacing w:val="40"/>
                <w:sz w:val="16"/>
              </w:rPr>
              <w:t> </w:t>
            </w:r>
            <w:r>
              <w:rPr>
                <w:sz w:val="16"/>
              </w:rPr>
              <w:t>monitor traffic on the Court’s public</w:t>
            </w:r>
            <w:r>
              <w:rPr>
                <w:spacing w:val="40"/>
                <w:sz w:val="16"/>
              </w:rPr>
              <w:t> </w:t>
            </w:r>
            <w:r>
              <w:rPr>
                <w:sz w:val="16"/>
              </w:rPr>
              <w:t>website has been decommissioned</w:t>
            </w:r>
            <w:r>
              <w:rPr>
                <w:spacing w:val="40"/>
                <w:sz w:val="16"/>
              </w:rPr>
              <w:t> </w:t>
            </w:r>
            <w:r>
              <w:rPr>
                <w:sz w:val="16"/>
              </w:rPr>
              <w:t>following</w:t>
            </w:r>
            <w:r>
              <w:rPr>
                <w:spacing w:val="-6"/>
                <w:sz w:val="16"/>
              </w:rPr>
              <w:t> </w:t>
            </w:r>
            <w:r>
              <w:rPr>
                <w:sz w:val="16"/>
              </w:rPr>
              <w:t>the</w:t>
            </w:r>
            <w:r>
              <w:rPr>
                <w:spacing w:val="-7"/>
                <w:sz w:val="16"/>
              </w:rPr>
              <w:t> </w:t>
            </w:r>
            <w:r>
              <w:rPr>
                <w:sz w:val="16"/>
              </w:rPr>
              <w:t>migration</w:t>
            </w:r>
            <w:r>
              <w:rPr>
                <w:spacing w:val="-6"/>
                <w:sz w:val="16"/>
              </w:rPr>
              <w:t> </w:t>
            </w:r>
            <w:r>
              <w:rPr>
                <w:sz w:val="16"/>
              </w:rPr>
              <w:t>of</w:t>
            </w:r>
            <w:r>
              <w:rPr>
                <w:spacing w:val="-8"/>
                <w:sz w:val="16"/>
              </w:rPr>
              <w:t> </w:t>
            </w:r>
            <w:r>
              <w:rPr>
                <w:sz w:val="16"/>
              </w:rPr>
              <w:t>the</w:t>
            </w:r>
            <w:r>
              <w:rPr>
                <w:spacing w:val="-4"/>
                <w:sz w:val="16"/>
              </w:rPr>
              <w:t> </w:t>
            </w:r>
            <w:r>
              <w:rPr>
                <w:sz w:val="16"/>
              </w:rPr>
              <w:t>website</w:t>
            </w:r>
            <w:r>
              <w:rPr>
                <w:spacing w:val="-7"/>
                <w:sz w:val="16"/>
              </w:rPr>
              <w:t> </w:t>
            </w:r>
            <w:r>
              <w:rPr>
                <w:sz w:val="16"/>
              </w:rPr>
              <w:t>to</w:t>
            </w:r>
            <w:r>
              <w:rPr>
                <w:spacing w:val="-6"/>
                <w:sz w:val="16"/>
              </w:rPr>
              <w:t> </w:t>
            </w:r>
            <w:r>
              <w:rPr>
                <w:sz w:val="16"/>
              </w:rPr>
              <w:t>a</w:t>
            </w:r>
            <w:r>
              <w:rPr>
                <w:spacing w:val="40"/>
                <w:sz w:val="16"/>
              </w:rPr>
              <w:t> </w:t>
            </w:r>
            <w:r>
              <w:rPr>
                <w:sz w:val="16"/>
              </w:rPr>
              <w:t>new hosting provider, UNICC.</w:t>
            </w:r>
          </w:p>
        </w:tc>
        <w:tc>
          <w:tcPr>
            <w:tcW w:w="4173" w:type="dxa"/>
          </w:tcPr>
          <w:p>
            <w:pPr>
              <w:pStyle w:val="TableParagraph"/>
              <w:spacing w:before="1"/>
              <w:ind w:left="109"/>
              <w:jc w:val="left"/>
              <w:rPr>
                <w:sz w:val="16"/>
              </w:rPr>
            </w:pPr>
            <w:r>
              <w:rPr>
                <w:sz w:val="16"/>
              </w:rPr>
              <w:t>Decrease</w:t>
            </w:r>
            <w:r>
              <w:rPr>
                <w:spacing w:val="-4"/>
                <w:sz w:val="16"/>
              </w:rPr>
              <w:t> </w:t>
            </w:r>
            <w:r>
              <w:rPr>
                <w:sz w:val="16"/>
              </w:rPr>
              <w:t>of</w:t>
            </w:r>
            <w:r>
              <w:rPr>
                <w:spacing w:val="-4"/>
                <w:sz w:val="16"/>
              </w:rPr>
              <w:t> </w:t>
            </w:r>
            <w:r>
              <w:rPr>
                <w:sz w:val="16"/>
              </w:rPr>
              <w:t>€8.0</w:t>
            </w:r>
            <w:r>
              <w:rPr>
                <w:spacing w:val="-2"/>
                <w:sz w:val="16"/>
              </w:rPr>
              <w:t> </w:t>
            </w:r>
            <w:r>
              <w:rPr>
                <w:sz w:val="16"/>
              </w:rPr>
              <w:t>thousand</w:t>
            </w:r>
            <w:r>
              <w:rPr>
                <w:spacing w:val="-2"/>
                <w:sz w:val="16"/>
              </w:rPr>
              <w:t> </w:t>
            </w:r>
            <w:r>
              <w:rPr>
                <w:sz w:val="16"/>
              </w:rPr>
              <w:t>in</w:t>
            </w:r>
            <w:r>
              <w:rPr>
                <w:spacing w:val="-2"/>
                <w:sz w:val="16"/>
              </w:rPr>
              <w:t> </w:t>
            </w:r>
            <w:r>
              <w:rPr>
                <w:sz w:val="16"/>
              </w:rPr>
              <w:t>software</w:t>
            </w:r>
            <w:r>
              <w:rPr>
                <w:spacing w:val="-3"/>
                <w:sz w:val="16"/>
              </w:rPr>
              <w:t> </w:t>
            </w:r>
            <w:r>
              <w:rPr>
                <w:sz w:val="16"/>
              </w:rPr>
              <w:t>maintenance</w:t>
            </w:r>
            <w:r>
              <w:rPr>
                <w:spacing w:val="-3"/>
                <w:sz w:val="16"/>
              </w:rPr>
              <w:t> </w:t>
            </w:r>
            <w:r>
              <w:rPr>
                <w:spacing w:val="-2"/>
                <w:sz w:val="16"/>
              </w:rPr>
              <w:t>costs.</w:t>
            </w:r>
          </w:p>
        </w:tc>
        <w:tc>
          <w:tcPr>
            <w:tcW w:w="1129" w:type="dxa"/>
          </w:tcPr>
          <w:p>
            <w:pPr>
              <w:pStyle w:val="TableParagraph"/>
              <w:jc w:val="left"/>
              <w:rPr>
                <w:sz w:val="14"/>
              </w:rPr>
            </w:pPr>
          </w:p>
        </w:tc>
        <w:tc>
          <w:tcPr>
            <w:tcW w:w="1297" w:type="dxa"/>
          </w:tcPr>
          <w:p>
            <w:pPr>
              <w:pStyle w:val="TableParagraph"/>
              <w:spacing w:before="3"/>
              <w:jc w:val="left"/>
              <w:rPr>
                <w:sz w:val="17"/>
              </w:rPr>
            </w:pPr>
          </w:p>
          <w:p>
            <w:pPr>
              <w:pStyle w:val="TableParagraph"/>
              <w:ind w:right="98"/>
              <w:rPr>
                <w:sz w:val="16"/>
              </w:rPr>
            </w:pPr>
            <w:r>
              <w:rPr>
                <w:spacing w:val="-2"/>
                <w:sz w:val="16"/>
              </w:rPr>
              <w:t>8,000</w:t>
            </w:r>
          </w:p>
        </w:tc>
      </w:tr>
      <w:tr>
        <w:trPr>
          <w:trHeight w:val="1944" w:hRule="atLeast"/>
        </w:trPr>
        <w:tc>
          <w:tcPr>
            <w:tcW w:w="3045" w:type="dxa"/>
          </w:tcPr>
          <w:p>
            <w:pPr>
              <w:pStyle w:val="TableParagraph"/>
              <w:spacing w:line="259" w:lineRule="auto"/>
              <w:ind w:left="110" w:right="104"/>
              <w:jc w:val="left"/>
              <w:rPr>
                <w:sz w:val="16"/>
              </w:rPr>
            </w:pPr>
            <w:r>
              <w:rPr>
                <w:sz w:val="16"/>
              </w:rPr>
              <w:t>Less</w:t>
            </w:r>
            <w:r>
              <w:rPr>
                <w:spacing w:val="-10"/>
                <w:sz w:val="16"/>
              </w:rPr>
              <w:t> </w:t>
            </w:r>
            <w:r>
              <w:rPr>
                <w:sz w:val="16"/>
              </w:rPr>
              <w:t>face-to-face</w:t>
            </w:r>
            <w:r>
              <w:rPr>
                <w:spacing w:val="-9"/>
                <w:sz w:val="16"/>
              </w:rPr>
              <w:t> </w:t>
            </w:r>
            <w:r>
              <w:rPr>
                <w:sz w:val="16"/>
              </w:rPr>
              <w:t>or</w:t>
            </w:r>
            <w:r>
              <w:rPr>
                <w:spacing w:val="-10"/>
                <w:sz w:val="16"/>
              </w:rPr>
              <w:t> </w:t>
            </w:r>
            <w:r>
              <w:rPr>
                <w:sz w:val="16"/>
              </w:rPr>
              <w:t>in-person</w:t>
            </w:r>
            <w:r>
              <w:rPr>
                <w:spacing w:val="-8"/>
                <w:sz w:val="16"/>
              </w:rPr>
              <w:t> </w:t>
            </w:r>
            <w:r>
              <w:rPr>
                <w:sz w:val="16"/>
              </w:rPr>
              <w:t>interpretation</w:t>
            </w:r>
            <w:r>
              <w:rPr>
                <w:spacing w:val="40"/>
                <w:sz w:val="16"/>
              </w:rPr>
              <w:t> </w:t>
            </w:r>
            <w:r>
              <w:rPr>
                <w:sz w:val="16"/>
              </w:rPr>
              <w:t>as a result of accepted practice since the</w:t>
            </w:r>
            <w:r>
              <w:rPr>
                <w:spacing w:val="40"/>
                <w:sz w:val="16"/>
              </w:rPr>
              <w:t> </w:t>
            </w:r>
            <w:r>
              <w:rPr>
                <w:sz w:val="16"/>
              </w:rPr>
              <w:t>COVID-19 restrictions. Remote</w:t>
            </w:r>
            <w:r>
              <w:rPr>
                <w:spacing w:val="40"/>
                <w:sz w:val="16"/>
              </w:rPr>
              <w:t> </w:t>
            </w:r>
            <w:r>
              <w:rPr>
                <w:sz w:val="16"/>
              </w:rPr>
              <w:t>interpretation has been accepted by service</w:t>
            </w:r>
            <w:r>
              <w:rPr>
                <w:spacing w:val="40"/>
                <w:sz w:val="16"/>
              </w:rPr>
              <w:t> </w:t>
            </w:r>
            <w:r>
              <w:rPr>
                <w:sz w:val="16"/>
              </w:rPr>
              <w:t>users in some situations as a viable</w:t>
            </w:r>
            <w:r>
              <w:rPr>
                <w:spacing w:val="40"/>
                <w:sz w:val="16"/>
              </w:rPr>
              <w:t> </w:t>
            </w:r>
            <w:r>
              <w:rPr>
                <w:sz w:val="16"/>
              </w:rPr>
              <w:t>alternative to face-to-face interpretation,</w:t>
            </w:r>
            <w:r>
              <w:rPr>
                <w:spacing w:val="40"/>
                <w:sz w:val="16"/>
              </w:rPr>
              <w:t> </w:t>
            </w:r>
            <w:r>
              <w:rPr>
                <w:sz w:val="16"/>
              </w:rPr>
              <w:t>limiting the increase in travel expenses</w:t>
            </w:r>
            <w:r>
              <w:rPr>
                <w:spacing w:val="40"/>
                <w:sz w:val="16"/>
              </w:rPr>
              <w:t> </w:t>
            </w:r>
            <w:r>
              <w:rPr>
                <w:sz w:val="16"/>
              </w:rPr>
              <w:t>despite</w:t>
            </w:r>
            <w:r>
              <w:rPr>
                <w:spacing w:val="-4"/>
                <w:sz w:val="16"/>
              </w:rPr>
              <w:t> </w:t>
            </w:r>
            <w:r>
              <w:rPr>
                <w:sz w:val="16"/>
              </w:rPr>
              <w:t>an</w:t>
            </w:r>
            <w:r>
              <w:rPr>
                <w:spacing w:val="-3"/>
                <w:sz w:val="16"/>
              </w:rPr>
              <w:t> </w:t>
            </w:r>
            <w:r>
              <w:rPr>
                <w:sz w:val="16"/>
              </w:rPr>
              <w:t>increase</w:t>
            </w:r>
            <w:r>
              <w:rPr>
                <w:spacing w:val="-4"/>
                <w:sz w:val="16"/>
              </w:rPr>
              <w:t> </w:t>
            </w:r>
            <w:r>
              <w:rPr>
                <w:sz w:val="16"/>
              </w:rPr>
              <w:t>in</w:t>
            </w:r>
            <w:r>
              <w:rPr>
                <w:spacing w:val="-3"/>
                <w:sz w:val="16"/>
              </w:rPr>
              <w:t> </w:t>
            </w:r>
            <w:r>
              <w:rPr>
                <w:sz w:val="16"/>
              </w:rPr>
              <w:t>planned</w:t>
            </w:r>
            <w:r>
              <w:rPr>
                <w:spacing w:val="-3"/>
                <w:sz w:val="16"/>
              </w:rPr>
              <w:t> </w:t>
            </w:r>
            <w:r>
              <w:rPr>
                <w:sz w:val="16"/>
              </w:rPr>
              <w:t>missions</w:t>
            </w:r>
            <w:r>
              <w:rPr>
                <w:spacing w:val="-5"/>
                <w:sz w:val="16"/>
              </w:rPr>
              <w:t> </w:t>
            </w:r>
            <w:r>
              <w:rPr>
                <w:sz w:val="16"/>
              </w:rPr>
              <w:t>that</w:t>
            </w:r>
            <w:r>
              <w:rPr>
                <w:spacing w:val="40"/>
                <w:sz w:val="16"/>
              </w:rPr>
              <w:t> </w:t>
            </w:r>
            <w:r>
              <w:rPr>
                <w:sz w:val="16"/>
              </w:rPr>
              <w:t>require support from field interpreters.</w:t>
            </w:r>
          </w:p>
        </w:tc>
        <w:tc>
          <w:tcPr>
            <w:tcW w:w="4173" w:type="dxa"/>
          </w:tcPr>
          <w:p>
            <w:pPr>
              <w:pStyle w:val="TableParagraph"/>
              <w:spacing w:line="259" w:lineRule="auto"/>
              <w:ind w:left="109" w:right="141"/>
              <w:jc w:val="left"/>
              <w:rPr>
                <w:sz w:val="16"/>
              </w:rPr>
            </w:pPr>
            <w:r>
              <w:rPr>
                <w:sz w:val="16"/>
              </w:rPr>
              <w:t>On average, LSS field interpreters are requested for 40</w:t>
            </w:r>
            <w:r>
              <w:rPr>
                <w:spacing w:val="40"/>
                <w:sz w:val="16"/>
              </w:rPr>
              <w:t> </w:t>
            </w:r>
            <w:r>
              <w:rPr>
                <w:sz w:val="16"/>
              </w:rPr>
              <w:t>missions per year, on the basis of pre-COVID-19 data. Half</w:t>
            </w:r>
            <w:r>
              <w:rPr>
                <w:spacing w:val="40"/>
                <w:sz w:val="16"/>
              </w:rPr>
              <w:t> </w:t>
            </w:r>
            <w:r>
              <w:rPr>
                <w:sz w:val="16"/>
              </w:rPr>
              <w:t>of these missions are now covered via remote interpretation,</w:t>
            </w:r>
            <w:r>
              <w:rPr>
                <w:spacing w:val="40"/>
                <w:sz w:val="16"/>
              </w:rPr>
              <w:t> </w:t>
            </w:r>
            <w:r>
              <w:rPr>
                <w:sz w:val="16"/>
              </w:rPr>
              <w:t>thereby reducing the cost of travel by half for interpretation</w:t>
            </w:r>
            <w:r>
              <w:rPr>
                <w:spacing w:val="40"/>
                <w:sz w:val="16"/>
              </w:rPr>
              <w:t> </w:t>
            </w:r>
            <w:r>
              <w:rPr>
                <w:sz w:val="16"/>
              </w:rPr>
              <w:t>services</w:t>
            </w:r>
            <w:r>
              <w:rPr>
                <w:spacing w:val="-5"/>
                <w:sz w:val="16"/>
              </w:rPr>
              <w:t> </w:t>
            </w:r>
            <w:r>
              <w:rPr>
                <w:sz w:val="16"/>
              </w:rPr>
              <w:t>provided</w:t>
            </w:r>
            <w:r>
              <w:rPr>
                <w:spacing w:val="-3"/>
                <w:sz w:val="16"/>
              </w:rPr>
              <w:t> </w:t>
            </w:r>
            <w:r>
              <w:rPr>
                <w:sz w:val="16"/>
              </w:rPr>
              <w:t>to</w:t>
            </w:r>
            <w:r>
              <w:rPr>
                <w:spacing w:val="-3"/>
                <w:sz w:val="16"/>
              </w:rPr>
              <w:t> </w:t>
            </w:r>
            <w:r>
              <w:rPr>
                <w:sz w:val="16"/>
              </w:rPr>
              <w:t>other</w:t>
            </w:r>
            <w:r>
              <w:rPr>
                <w:spacing w:val="-5"/>
                <w:sz w:val="16"/>
              </w:rPr>
              <w:t> </w:t>
            </w:r>
            <w:r>
              <w:rPr>
                <w:sz w:val="16"/>
              </w:rPr>
              <w:t>sections</w:t>
            </w:r>
            <w:r>
              <w:rPr>
                <w:spacing w:val="-5"/>
                <w:sz w:val="16"/>
              </w:rPr>
              <w:t> </w:t>
            </w:r>
            <w:r>
              <w:rPr>
                <w:sz w:val="16"/>
              </w:rPr>
              <w:t>of</w:t>
            </w:r>
            <w:r>
              <w:rPr>
                <w:spacing w:val="-5"/>
                <w:sz w:val="16"/>
              </w:rPr>
              <w:t> </w:t>
            </w:r>
            <w:r>
              <w:rPr>
                <w:sz w:val="16"/>
              </w:rPr>
              <w:t>the</w:t>
            </w:r>
            <w:r>
              <w:rPr>
                <w:spacing w:val="-4"/>
                <w:sz w:val="16"/>
              </w:rPr>
              <w:t> </w:t>
            </w:r>
            <w:r>
              <w:rPr>
                <w:sz w:val="16"/>
              </w:rPr>
              <w:t>Court</w:t>
            </w:r>
            <w:r>
              <w:rPr>
                <w:spacing w:val="-6"/>
                <w:sz w:val="16"/>
              </w:rPr>
              <w:t> </w:t>
            </w:r>
            <w:r>
              <w:rPr>
                <w:sz w:val="16"/>
              </w:rPr>
              <w:t>as</w:t>
            </w:r>
            <w:r>
              <w:rPr>
                <w:spacing w:val="-5"/>
                <w:sz w:val="16"/>
              </w:rPr>
              <w:t> </w:t>
            </w:r>
            <w:r>
              <w:rPr>
                <w:sz w:val="16"/>
              </w:rPr>
              <w:t>well</w:t>
            </w:r>
            <w:r>
              <w:rPr>
                <w:spacing w:val="-6"/>
                <w:sz w:val="16"/>
              </w:rPr>
              <w:t> </w:t>
            </w:r>
            <w:r>
              <w:rPr>
                <w:sz w:val="16"/>
              </w:rPr>
              <w:t>as</w:t>
            </w:r>
            <w:r>
              <w:rPr>
                <w:spacing w:val="-5"/>
                <w:sz w:val="16"/>
              </w:rPr>
              <w:t> </w:t>
            </w:r>
            <w:r>
              <w:rPr>
                <w:sz w:val="16"/>
              </w:rPr>
              <w:t>for</w:t>
            </w:r>
            <w:r>
              <w:rPr>
                <w:spacing w:val="40"/>
                <w:sz w:val="16"/>
              </w:rPr>
              <w:t> </w:t>
            </w:r>
            <w:r>
              <w:rPr>
                <w:sz w:val="16"/>
              </w:rPr>
              <w:t>field interpreter candidate interviews. The total reduction to</w:t>
            </w:r>
            <w:r>
              <w:rPr>
                <w:spacing w:val="40"/>
                <w:sz w:val="16"/>
              </w:rPr>
              <w:t> </w:t>
            </w:r>
            <w:r>
              <w:rPr>
                <w:sz w:val="16"/>
              </w:rPr>
              <w:t>the baseline is estimated at €49.0 thousand.</w:t>
            </w:r>
          </w:p>
        </w:tc>
        <w:tc>
          <w:tcPr>
            <w:tcW w:w="1129" w:type="dxa"/>
          </w:tcPr>
          <w:p>
            <w:pPr>
              <w:pStyle w:val="TableParagraph"/>
              <w:spacing w:before="6"/>
              <w:jc w:val="left"/>
              <w:rPr>
                <w:sz w:val="15"/>
              </w:rPr>
            </w:pPr>
          </w:p>
          <w:p>
            <w:pPr>
              <w:pStyle w:val="TableParagraph"/>
              <w:ind w:right="98"/>
              <w:rPr>
                <w:sz w:val="16"/>
              </w:rPr>
            </w:pPr>
            <w:r>
              <w:rPr>
                <w:spacing w:val="-2"/>
                <w:sz w:val="16"/>
              </w:rPr>
              <w:t>49,000</w:t>
            </w:r>
          </w:p>
        </w:tc>
        <w:tc>
          <w:tcPr>
            <w:tcW w:w="1297" w:type="dxa"/>
          </w:tcPr>
          <w:p>
            <w:pPr>
              <w:pStyle w:val="TableParagraph"/>
              <w:spacing w:before="2"/>
              <w:jc w:val="left"/>
              <w:rPr>
                <w:sz w:val="17"/>
              </w:rPr>
            </w:pPr>
          </w:p>
          <w:p>
            <w:pPr>
              <w:pStyle w:val="TableParagraph"/>
              <w:spacing w:before="1"/>
              <w:ind w:right="98"/>
              <w:rPr>
                <w:sz w:val="16"/>
              </w:rPr>
            </w:pPr>
            <w:r>
              <w:rPr>
                <w:spacing w:val="-2"/>
                <w:sz w:val="16"/>
              </w:rPr>
              <w:t>49,000</w:t>
            </w:r>
          </w:p>
        </w:tc>
      </w:tr>
      <w:tr>
        <w:trPr>
          <w:trHeight w:val="1550" w:hRule="atLeast"/>
        </w:trPr>
        <w:tc>
          <w:tcPr>
            <w:tcW w:w="3045" w:type="dxa"/>
          </w:tcPr>
          <w:p>
            <w:pPr>
              <w:pStyle w:val="TableParagraph"/>
              <w:spacing w:line="259" w:lineRule="auto" w:before="1"/>
              <w:ind w:left="110" w:right="105"/>
              <w:jc w:val="left"/>
              <w:rPr>
                <w:sz w:val="16"/>
              </w:rPr>
            </w:pPr>
            <w:r>
              <w:rPr>
                <w:sz w:val="16"/>
              </w:rPr>
              <w:t>When</w:t>
            </w:r>
            <w:r>
              <w:rPr>
                <w:spacing w:val="-7"/>
                <w:sz w:val="16"/>
              </w:rPr>
              <w:t> </w:t>
            </w:r>
            <w:r>
              <w:rPr>
                <w:sz w:val="16"/>
              </w:rPr>
              <w:t>in-house</w:t>
            </w:r>
            <w:r>
              <w:rPr>
                <w:spacing w:val="-8"/>
                <w:sz w:val="16"/>
              </w:rPr>
              <w:t> </w:t>
            </w:r>
            <w:r>
              <w:rPr>
                <w:sz w:val="16"/>
              </w:rPr>
              <w:t>interpreters</w:t>
            </w:r>
            <w:r>
              <w:rPr>
                <w:spacing w:val="-8"/>
                <w:sz w:val="16"/>
              </w:rPr>
              <w:t> </w:t>
            </w:r>
            <w:r>
              <w:rPr>
                <w:sz w:val="16"/>
              </w:rPr>
              <w:t>are</w:t>
            </w:r>
            <w:r>
              <w:rPr>
                <w:spacing w:val="-8"/>
                <w:sz w:val="16"/>
              </w:rPr>
              <w:t> </w:t>
            </w:r>
            <w:r>
              <w:rPr>
                <w:sz w:val="16"/>
              </w:rPr>
              <w:t>not</w:t>
            </w:r>
            <w:r>
              <w:rPr>
                <w:spacing w:val="-9"/>
                <w:sz w:val="16"/>
              </w:rPr>
              <w:t> </w:t>
            </w:r>
            <w:r>
              <w:rPr>
                <w:sz w:val="16"/>
              </w:rPr>
              <w:t>reserved</w:t>
            </w:r>
            <w:r>
              <w:rPr>
                <w:spacing w:val="40"/>
                <w:sz w:val="16"/>
              </w:rPr>
              <w:t> </w:t>
            </w:r>
            <w:r>
              <w:rPr>
                <w:sz w:val="16"/>
              </w:rPr>
              <w:t>for hearings or engaged to provide</w:t>
            </w:r>
            <w:r>
              <w:rPr>
                <w:spacing w:val="40"/>
                <w:sz w:val="16"/>
              </w:rPr>
              <w:t> </w:t>
            </w:r>
            <w:r>
              <w:rPr>
                <w:sz w:val="16"/>
              </w:rPr>
              <w:t>interpretation services for events, they</w:t>
            </w:r>
            <w:r>
              <w:rPr>
                <w:spacing w:val="40"/>
                <w:sz w:val="16"/>
              </w:rPr>
              <w:t> </w:t>
            </w:r>
            <w:r>
              <w:rPr>
                <w:sz w:val="16"/>
              </w:rPr>
              <w:t>undertake field and operational</w:t>
            </w:r>
            <w:r>
              <w:rPr>
                <w:spacing w:val="40"/>
                <w:sz w:val="16"/>
              </w:rPr>
              <w:t> </w:t>
            </w:r>
            <w:r>
              <w:rPr>
                <w:sz w:val="16"/>
              </w:rPr>
              <w:t>interpretation assignments for which</w:t>
            </w:r>
            <w:r>
              <w:rPr>
                <w:spacing w:val="40"/>
                <w:sz w:val="16"/>
              </w:rPr>
              <w:t> </w:t>
            </w:r>
            <w:r>
              <w:rPr>
                <w:sz w:val="16"/>
              </w:rPr>
              <w:t>individual contractors would otherwise be</w:t>
            </w:r>
            <w:r>
              <w:rPr>
                <w:spacing w:val="40"/>
                <w:sz w:val="16"/>
              </w:rPr>
              <w:t> </w:t>
            </w:r>
            <w:r>
              <w:rPr>
                <w:spacing w:val="-2"/>
                <w:sz w:val="16"/>
              </w:rPr>
              <w:t>required.</w:t>
            </w:r>
          </w:p>
        </w:tc>
        <w:tc>
          <w:tcPr>
            <w:tcW w:w="4173" w:type="dxa"/>
          </w:tcPr>
          <w:p>
            <w:pPr>
              <w:pStyle w:val="TableParagraph"/>
              <w:spacing w:line="259" w:lineRule="auto" w:before="1"/>
              <w:ind w:left="109" w:right="101"/>
              <w:jc w:val="left"/>
              <w:rPr>
                <w:sz w:val="16"/>
              </w:rPr>
            </w:pPr>
            <w:r>
              <w:rPr>
                <w:sz w:val="16"/>
              </w:rPr>
              <w:t>Cost of accredited freelance field interpreter contracts are</w:t>
            </w:r>
            <w:r>
              <w:rPr>
                <w:spacing w:val="40"/>
                <w:sz w:val="16"/>
              </w:rPr>
              <w:t> </w:t>
            </w:r>
            <w:r>
              <w:rPr>
                <w:sz w:val="16"/>
              </w:rPr>
              <w:t>avoided and use of in-house resources is optimized. On</w:t>
            </w:r>
            <w:r>
              <w:rPr>
                <w:spacing w:val="40"/>
                <w:sz w:val="16"/>
              </w:rPr>
              <w:t> </w:t>
            </w:r>
            <w:r>
              <w:rPr>
                <w:sz w:val="16"/>
              </w:rPr>
              <w:t>average in the past 3 years there have been more than 200</w:t>
            </w:r>
            <w:r>
              <w:rPr>
                <w:spacing w:val="40"/>
                <w:sz w:val="16"/>
              </w:rPr>
              <w:t> </w:t>
            </w:r>
            <w:r>
              <w:rPr>
                <w:sz w:val="16"/>
              </w:rPr>
              <w:t>assignment</w:t>
            </w:r>
            <w:r>
              <w:rPr>
                <w:spacing w:val="-6"/>
                <w:sz w:val="16"/>
              </w:rPr>
              <w:t> </w:t>
            </w:r>
            <w:r>
              <w:rPr>
                <w:sz w:val="16"/>
              </w:rPr>
              <w:t>requests,</w:t>
            </w:r>
            <w:r>
              <w:rPr>
                <w:spacing w:val="-6"/>
                <w:sz w:val="16"/>
              </w:rPr>
              <w:t> </w:t>
            </w:r>
            <w:r>
              <w:rPr>
                <w:sz w:val="16"/>
              </w:rPr>
              <w:t>about</w:t>
            </w:r>
            <w:r>
              <w:rPr>
                <w:spacing w:val="-6"/>
                <w:sz w:val="16"/>
              </w:rPr>
              <w:t> </w:t>
            </w:r>
            <w:r>
              <w:rPr>
                <w:sz w:val="16"/>
              </w:rPr>
              <w:t>a</w:t>
            </w:r>
            <w:r>
              <w:rPr>
                <w:spacing w:val="-4"/>
                <w:sz w:val="16"/>
              </w:rPr>
              <w:t> </w:t>
            </w:r>
            <w:r>
              <w:rPr>
                <w:sz w:val="16"/>
              </w:rPr>
              <w:t>quarter</w:t>
            </w:r>
            <w:r>
              <w:rPr>
                <w:spacing w:val="-5"/>
                <w:sz w:val="16"/>
              </w:rPr>
              <w:t> </w:t>
            </w:r>
            <w:r>
              <w:rPr>
                <w:sz w:val="16"/>
              </w:rPr>
              <w:t>of</w:t>
            </w:r>
            <w:r>
              <w:rPr>
                <w:spacing w:val="-5"/>
                <w:sz w:val="16"/>
              </w:rPr>
              <w:t> </w:t>
            </w:r>
            <w:r>
              <w:rPr>
                <w:sz w:val="16"/>
              </w:rPr>
              <w:t>which</w:t>
            </w:r>
            <w:r>
              <w:rPr>
                <w:spacing w:val="-3"/>
                <w:sz w:val="16"/>
              </w:rPr>
              <w:t> </w:t>
            </w:r>
            <w:r>
              <w:rPr>
                <w:sz w:val="16"/>
              </w:rPr>
              <w:t>were</w:t>
            </w:r>
            <w:r>
              <w:rPr>
                <w:spacing w:val="-4"/>
                <w:sz w:val="16"/>
              </w:rPr>
              <w:t> </w:t>
            </w:r>
            <w:r>
              <w:rPr>
                <w:sz w:val="16"/>
              </w:rPr>
              <w:t>able</w:t>
            </w:r>
            <w:r>
              <w:rPr>
                <w:spacing w:val="-4"/>
                <w:sz w:val="16"/>
              </w:rPr>
              <w:t> </w:t>
            </w:r>
            <w:r>
              <w:rPr>
                <w:sz w:val="16"/>
              </w:rPr>
              <w:t>to</w:t>
            </w:r>
            <w:r>
              <w:rPr>
                <w:spacing w:val="-3"/>
                <w:sz w:val="16"/>
              </w:rPr>
              <w:t> </w:t>
            </w:r>
            <w:r>
              <w:rPr>
                <w:sz w:val="16"/>
              </w:rPr>
              <w:t>be</w:t>
            </w:r>
            <w:r>
              <w:rPr>
                <w:spacing w:val="40"/>
                <w:sz w:val="16"/>
              </w:rPr>
              <w:t> </w:t>
            </w:r>
            <w:r>
              <w:rPr>
                <w:sz w:val="16"/>
              </w:rPr>
              <w:t>covered by in-house resources. The daily contractor rate</w:t>
            </w:r>
          </w:p>
          <w:p>
            <w:pPr>
              <w:pStyle w:val="TableParagraph"/>
              <w:spacing w:line="180" w:lineRule="exact"/>
              <w:ind w:left="109"/>
              <w:jc w:val="left"/>
              <w:rPr>
                <w:sz w:val="16"/>
              </w:rPr>
            </w:pPr>
            <w:r>
              <w:rPr>
                <w:sz w:val="16"/>
              </w:rPr>
              <w:t>is</w:t>
            </w:r>
            <w:r>
              <w:rPr>
                <w:spacing w:val="-3"/>
                <w:sz w:val="16"/>
              </w:rPr>
              <w:t> </w:t>
            </w:r>
            <w:r>
              <w:rPr>
                <w:sz w:val="16"/>
              </w:rPr>
              <w:t>€257,</w:t>
            </w:r>
            <w:r>
              <w:rPr>
                <w:spacing w:val="-5"/>
                <w:sz w:val="16"/>
              </w:rPr>
              <w:t> </w:t>
            </w:r>
            <w:r>
              <w:rPr>
                <w:sz w:val="16"/>
              </w:rPr>
              <w:t>resulting</w:t>
            </w:r>
            <w:r>
              <w:rPr>
                <w:spacing w:val="-2"/>
                <w:sz w:val="16"/>
              </w:rPr>
              <w:t> </w:t>
            </w:r>
            <w:r>
              <w:rPr>
                <w:sz w:val="16"/>
              </w:rPr>
              <w:t>in</w:t>
            </w:r>
            <w:r>
              <w:rPr>
                <w:spacing w:val="-2"/>
                <w:sz w:val="16"/>
              </w:rPr>
              <w:t> </w:t>
            </w:r>
            <w:r>
              <w:rPr>
                <w:sz w:val="16"/>
              </w:rPr>
              <w:t>a</w:t>
            </w:r>
            <w:r>
              <w:rPr>
                <w:spacing w:val="-3"/>
                <w:sz w:val="16"/>
              </w:rPr>
              <w:t> </w:t>
            </w:r>
            <w:r>
              <w:rPr>
                <w:sz w:val="16"/>
              </w:rPr>
              <w:t>conservative</w:t>
            </w:r>
            <w:r>
              <w:rPr>
                <w:spacing w:val="-2"/>
                <w:sz w:val="16"/>
              </w:rPr>
              <w:t> </w:t>
            </w:r>
            <w:r>
              <w:rPr>
                <w:sz w:val="16"/>
              </w:rPr>
              <w:t>estimated</w:t>
            </w:r>
            <w:r>
              <w:rPr>
                <w:spacing w:val="-2"/>
                <w:sz w:val="16"/>
              </w:rPr>
              <w:t> </w:t>
            </w:r>
            <w:r>
              <w:rPr>
                <w:sz w:val="16"/>
              </w:rPr>
              <w:t>saving</w:t>
            </w:r>
            <w:r>
              <w:rPr>
                <w:spacing w:val="-2"/>
                <w:sz w:val="16"/>
              </w:rPr>
              <w:t> </w:t>
            </w:r>
            <w:r>
              <w:rPr>
                <w:spacing w:val="-5"/>
                <w:sz w:val="16"/>
              </w:rPr>
              <w:t>of</w:t>
            </w:r>
          </w:p>
          <w:p>
            <w:pPr>
              <w:pStyle w:val="TableParagraph"/>
              <w:spacing w:before="23"/>
              <w:ind w:left="109"/>
              <w:jc w:val="left"/>
              <w:rPr>
                <w:sz w:val="16"/>
              </w:rPr>
            </w:pPr>
            <w:r>
              <w:rPr>
                <w:sz w:val="16"/>
              </w:rPr>
              <w:t>€12.9</w:t>
            </w:r>
            <w:r>
              <w:rPr>
                <w:spacing w:val="1"/>
                <w:sz w:val="16"/>
              </w:rPr>
              <w:t> </w:t>
            </w:r>
            <w:r>
              <w:rPr>
                <w:spacing w:val="-2"/>
                <w:sz w:val="16"/>
              </w:rPr>
              <w:t>thousand.</w:t>
            </w:r>
          </w:p>
        </w:tc>
        <w:tc>
          <w:tcPr>
            <w:tcW w:w="1129" w:type="dxa"/>
          </w:tcPr>
          <w:p>
            <w:pPr>
              <w:pStyle w:val="TableParagraph"/>
              <w:jc w:val="left"/>
              <w:rPr>
                <w:sz w:val="16"/>
              </w:rPr>
            </w:pPr>
          </w:p>
          <w:p>
            <w:pPr>
              <w:pStyle w:val="TableParagraph"/>
              <w:ind w:right="98"/>
              <w:rPr>
                <w:sz w:val="16"/>
              </w:rPr>
            </w:pPr>
            <w:r>
              <w:rPr>
                <w:spacing w:val="-2"/>
                <w:sz w:val="16"/>
              </w:rPr>
              <w:t>12,850</w:t>
            </w:r>
          </w:p>
        </w:tc>
        <w:tc>
          <w:tcPr>
            <w:tcW w:w="1297" w:type="dxa"/>
          </w:tcPr>
          <w:p>
            <w:pPr>
              <w:pStyle w:val="TableParagraph"/>
              <w:jc w:val="left"/>
              <w:rPr>
                <w:sz w:val="14"/>
              </w:rPr>
            </w:pPr>
          </w:p>
        </w:tc>
      </w:tr>
      <w:tr>
        <w:trPr>
          <w:trHeight w:val="1751" w:hRule="atLeast"/>
        </w:trPr>
        <w:tc>
          <w:tcPr>
            <w:tcW w:w="3045" w:type="dxa"/>
          </w:tcPr>
          <w:p>
            <w:pPr>
              <w:pStyle w:val="TableParagraph"/>
              <w:spacing w:line="259" w:lineRule="auto" w:before="1"/>
              <w:ind w:left="110" w:right="114"/>
              <w:jc w:val="left"/>
              <w:rPr>
                <w:sz w:val="16"/>
              </w:rPr>
            </w:pPr>
            <w:r>
              <w:rPr>
                <w:sz w:val="16"/>
              </w:rPr>
              <w:t>Training</w:t>
            </w:r>
            <w:r>
              <w:rPr>
                <w:spacing w:val="-7"/>
                <w:sz w:val="16"/>
              </w:rPr>
              <w:t> </w:t>
            </w:r>
            <w:r>
              <w:rPr>
                <w:sz w:val="16"/>
              </w:rPr>
              <w:t>of</w:t>
            </w:r>
            <w:r>
              <w:rPr>
                <w:spacing w:val="-8"/>
                <w:sz w:val="16"/>
              </w:rPr>
              <w:t> </w:t>
            </w:r>
            <w:r>
              <w:rPr>
                <w:sz w:val="16"/>
              </w:rPr>
              <w:t>an</w:t>
            </w:r>
            <w:r>
              <w:rPr>
                <w:spacing w:val="-5"/>
                <w:sz w:val="16"/>
              </w:rPr>
              <w:t> </w:t>
            </w:r>
            <w:r>
              <w:rPr>
                <w:sz w:val="16"/>
              </w:rPr>
              <w:t>Administrative</w:t>
            </w:r>
            <w:r>
              <w:rPr>
                <w:spacing w:val="-7"/>
                <w:sz w:val="16"/>
              </w:rPr>
              <w:t> </w:t>
            </w:r>
            <w:r>
              <w:rPr>
                <w:sz w:val="16"/>
              </w:rPr>
              <w:t>Assistant</w:t>
            </w:r>
            <w:r>
              <w:rPr>
                <w:spacing w:val="-9"/>
                <w:sz w:val="16"/>
              </w:rPr>
              <w:t> </w:t>
            </w:r>
            <w:r>
              <w:rPr>
                <w:sz w:val="16"/>
              </w:rPr>
              <w:t>and</w:t>
            </w:r>
            <w:r>
              <w:rPr>
                <w:spacing w:val="40"/>
                <w:sz w:val="16"/>
              </w:rPr>
              <w:t> </w:t>
            </w:r>
            <w:r>
              <w:rPr>
                <w:sz w:val="16"/>
              </w:rPr>
              <w:t>a Field Assistant to perform the functions</w:t>
            </w:r>
            <w:r>
              <w:rPr>
                <w:spacing w:val="40"/>
                <w:sz w:val="16"/>
              </w:rPr>
              <w:t> </w:t>
            </w:r>
            <w:r>
              <w:rPr>
                <w:sz w:val="16"/>
              </w:rPr>
              <w:t>of</w:t>
            </w:r>
            <w:r>
              <w:rPr>
                <w:spacing w:val="-7"/>
                <w:sz w:val="16"/>
              </w:rPr>
              <w:t> </w:t>
            </w:r>
            <w:r>
              <w:rPr>
                <w:sz w:val="16"/>
              </w:rPr>
              <w:t>a</w:t>
            </w:r>
            <w:r>
              <w:rPr>
                <w:spacing w:val="-6"/>
                <w:sz w:val="16"/>
              </w:rPr>
              <w:t> </w:t>
            </w:r>
            <w:r>
              <w:rPr>
                <w:sz w:val="16"/>
              </w:rPr>
              <w:t>Courtroom</w:t>
            </w:r>
            <w:r>
              <w:rPr>
                <w:spacing w:val="-6"/>
                <w:sz w:val="16"/>
              </w:rPr>
              <w:t> </w:t>
            </w:r>
            <w:r>
              <w:rPr>
                <w:sz w:val="16"/>
              </w:rPr>
              <w:t>Officer</w:t>
            </w:r>
            <w:r>
              <w:rPr>
                <w:spacing w:val="-7"/>
                <w:sz w:val="16"/>
              </w:rPr>
              <w:t> </w:t>
            </w:r>
            <w:r>
              <w:rPr>
                <w:sz w:val="16"/>
              </w:rPr>
              <w:t>to</w:t>
            </w:r>
            <w:r>
              <w:rPr>
                <w:spacing w:val="-6"/>
                <w:sz w:val="16"/>
              </w:rPr>
              <w:t> </w:t>
            </w:r>
            <w:r>
              <w:rPr>
                <w:sz w:val="16"/>
              </w:rPr>
              <w:t>support</w:t>
            </w:r>
            <w:r>
              <w:rPr>
                <w:spacing w:val="-8"/>
                <w:sz w:val="16"/>
              </w:rPr>
              <w:t> </w:t>
            </w:r>
            <w:r>
              <w:rPr>
                <w:sz w:val="16"/>
              </w:rPr>
              <w:t>videolink</w:t>
            </w:r>
            <w:r>
              <w:rPr>
                <w:spacing w:val="40"/>
                <w:sz w:val="16"/>
              </w:rPr>
              <w:t> </w:t>
            </w:r>
            <w:r>
              <w:rPr>
                <w:sz w:val="16"/>
              </w:rPr>
              <w:t>witness testimony. This measure ensures</w:t>
            </w:r>
            <w:r>
              <w:rPr>
                <w:spacing w:val="40"/>
                <w:sz w:val="16"/>
              </w:rPr>
              <w:t> </w:t>
            </w:r>
            <w:r>
              <w:rPr>
                <w:sz w:val="16"/>
              </w:rPr>
              <w:t>more efficient use of resources and avoids</w:t>
            </w:r>
            <w:r>
              <w:rPr>
                <w:spacing w:val="40"/>
                <w:sz w:val="16"/>
              </w:rPr>
              <w:t> </w:t>
            </w:r>
            <w:r>
              <w:rPr>
                <w:sz w:val="16"/>
              </w:rPr>
              <w:t>having to deploy a</w:t>
            </w:r>
            <w:r>
              <w:rPr>
                <w:spacing w:val="-1"/>
                <w:sz w:val="16"/>
              </w:rPr>
              <w:t> </w:t>
            </w:r>
            <w:r>
              <w:rPr>
                <w:sz w:val="16"/>
              </w:rPr>
              <w:t>Courtroom</w:t>
            </w:r>
            <w:r>
              <w:rPr>
                <w:spacing w:val="-1"/>
                <w:sz w:val="16"/>
              </w:rPr>
              <w:t> </w:t>
            </w:r>
            <w:r>
              <w:rPr>
                <w:sz w:val="16"/>
              </w:rPr>
              <w:t>Officer</w:t>
            </w:r>
            <w:r>
              <w:rPr>
                <w:spacing w:val="-2"/>
                <w:sz w:val="16"/>
              </w:rPr>
              <w:t> </w:t>
            </w:r>
            <w:r>
              <w:rPr>
                <w:sz w:val="16"/>
              </w:rPr>
              <w:t>from</w:t>
            </w:r>
            <w:r>
              <w:rPr>
                <w:spacing w:val="40"/>
                <w:sz w:val="16"/>
              </w:rPr>
              <w:t> </w:t>
            </w:r>
            <w:r>
              <w:rPr>
                <w:sz w:val="16"/>
              </w:rPr>
              <w:t>Headquarters in The Hague to the Central</w:t>
            </w:r>
            <w:r>
              <w:rPr>
                <w:spacing w:val="40"/>
                <w:sz w:val="16"/>
              </w:rPr>
              <w:t> </w:t>
            </w:r>
            <w:r>
              <w:rPr>
                <w:sz w:val="16"/>
              </w:rPr>
              <w:t>African</w:t>
            </w:r>
            <w:r>
              <w:rPr>
                <w:spacing w:val="-1"/>
                <w:sz w:val="16"/>
              </w:rPr>
              <w:t> </w:t>
            </w:r>
            <w:r>
              <w:rPr>
                <w:sz w:val="16"/>
              </w:rPr>
              <w:t>Republic.</w:t>
            </w:r>
          </w:p>
        </w:tc>
        <w:tc>
          <w:tcPr>
            <w:tcW w:w="4173" w:type="dxa"/>
          </w:tcPr>
          <w:p>
            <w:pPr>
              <w:pStyle w:val="TableParagraph"/>
              <w:spacing w:before="1"/>
              <w:ind w:left="109"/>
              <w:jc w:val="left"/>
              <w:rPr>
                <w:sz w:val="16"/>
              </w:rPr>
            </w:pPr>
            <w:r>
              <w:rPr>
                <w:sz w:val="16"/>
              </w:rPr>
              <w:t>Savings</w:t>
            </w:r>
            <w:r>
              <w:rPr>
                <w:spacing w:val="-5"/>
                <w:sz w:val="16"/>
              </w:rPr>
              <w:t> </w:t>
            </w:r>
            <w:r>
              <w:rPr>
                <w:sz w:val="16"/>
              </w:rPr>
              <w:t>on</w:t>
            </w:r>
            <w:r>
              <w:rPr>
                <w:spacing w:val="-2"/>
                <w:sz w:val="16"/>
              </w:rPr>
              <w:t> </w:t>
            </w:r>
            <w:r>
              <w:rPr>
                <w:sz w:val="16"/>
              </w:rPr>
              <w:t>mission</w:t>
            </w:r>
            <w:r>
              <w:rPr>
                <w:spacing w:val="-2"/>
                <w:sz w:val="16"/>
              </w:rPr>
              <w:t> </w:t>
            </w:r>
            <w:r>
              <w:rPr>
                <w:sz w:val="16"/>
              </w:rPr>
              <w:t>travel</w:t>
            </w:r>
            <w:r>
              <w:rPr>
                <w:spacing w:val="-5"/>
                <w:sz w:val="16"/>
              </w:rPr>
              <w:t> </w:t>
            </w:r>
            <w:r>
              <w:rPr>
                <w:sz w:val="16"/>
              </w:rPr>
              <w:t>for</w:t>
            </w:r>
            <w:r>
              <w:rPr>
                <w:spacing w:val="-4"/>
                <w:sz w:val="16"/>
              </w:rPr>
              <w:t> </w:t>
            </w:r>
            <w:r>
              <w:rPr>
                <w:sz w:val="16"/>
              </w:rPr>
              <w:t>Headquarters</w:t>
            </w:r>
            <w:r>
              <w:rPr>
                <w:spacing w:val="-5"/>
                <w:sz w:val="16"/>
              </w:rPr>
              <w:t> </w:t>
            </w:r>
            <w:r>
              <w:rPr>
                <w:sz w:val="16"/>
              </w:rPr>
              <w:t>courtroom</w:t>
            </w:r>
            <w:r>
              <w:rPr>
                <w:spacing w:val="-3"/>
                <w:sz w:val="16"/>
              </w:rPr>
              <w:t> </w:t>
            </w:r>
            <w:r>
              <w:rPr>
                <w:spacing w:val="-2"/>
                <w:sz w:val="16"/>
              </w:rPr>
              <w:t>staff.</w:t>
            </w:r>
          </w:p>
          <w:p>
            <w:pPr>
              <w:pStyle w:val="TableParagraph"/>
              <w:spacing w:line="264" w:lineRule="auto" w:before="13"/>
              <w:ind w:left="109" w:right="578"/>
              <w:jc w:val="left"/>
              <w:rPr>
                <w:sz w:val="16"/>
              </w:rPr>
            </w:pPr>
            <w:r>
              <w:rPr>
                <w:sz w:val="16"/>
              </w:rPr>
              <w:t>The</w:t>
            </w:r>
            <w:r>
              <w:rPr>
                <w:spacing w:val="-6"/>
                <w:sz w:val="16"/>
              </w:rPr>
              <w:t> </w:t>
            </w:r>
            <w:r>
              <w:rPr>
                <w:sz w:val="16"/>
              </w:rPr>
              <w:t>practice</w:t>
            </w:r>
            <w:r>
              <w:rPr>
                <w:spacing w:val="-6"/>
                <w:sz w:val="16"/>
              </w:rPr>
              <w:t> </w:t>
            </w:r>
            <w:r>
              <w:rPr>
                <w:sz w:val="16"/>
              </w:rPr>
              <w:t>has</w:t>
            </w:r>
            <w:r>
              <w:rPr>
                <w:spacing w:val="-7"/>
                <w:sz w:val="16"/>
              </w:rPr>
              <w:t> </w:t>
            </w:r>
            <w:r>
              <w:rPr>
                <w:sz w:val="16"/>
              </w:rPr>
              <w:t>been</w:t>
            </w:r>
            <w:r>
              <w:rPr>
                <w:spacing w:val="-6"/>
                <w:sz w:val="16"/>
              </w:rPr>
              <w:t> </w:t>
            </w:r>
            <w:r>
              <w:rPr>
                <w:sz w:val="16"/>
              </w:rPr>
              <w:t>implemented</w:t>
            </w:r>
            <w:r>
              <w:rPr>
                <w:spacing w:val="-6"/>
                <w:sz w:val="16"/>
              </w:rPr>
              <w:t> </w:t>
            </w:r>
            <w:r>
              <w:rPr>
                <w:sz w:val="16"/>
              </w:rPr>
              <w:t>and</w:t>
            </w:r>
            <w:r>
              <w:rPr>
                <w:spacing w:val="-6"/>
                <w:sz w:val="16"/>
              </w:rPr>
              <w:t> </w:t>
            </w:r>
            <w:r>
              <w:rPr>
                <w:sz w:val="16"/>
              </w:rPr>
              <w:t>will</w:t>
            </w:r>
            <w:r>
              <w:rPr>
                <w:spacing w:val="-8"/>
                <w:sz w:val="16"/>
              </w:rPr>
              <w:t> </w:t>
            </w:r>
            <w:r>
              <w:rPr>
                <w:sz w:val="16"/>
              </w:rPr>
              <w:t>continue</w:t>
            </w:r>
            <w:r>
              <w:rPr>
                <w:spacing w:val="40"/>
                <w:sz w:val="16"/>
              </w:rPr>
              <w:t> </w:t>
            </w:r>
            <w:r>
              <w:rPr>
                <w:sz w:val="16"/>
              </w:rPr>
              <w:t>in 2023, but it has not been quantified at this point.</w:t>
            </w:r>
          </w:p>
        </w:tc>
        <w:tc>
          <w:tcPr>
            <w:tcW w:w="1129" w:type="dxa"/>
          </w:tcPr>
          <w:p>
            <w:pPr>
              <w:pStyle w:val="TableParagraph"/>
              <w:jc w:val="left"/>
              <w:rPr>
                <w:sz w:val="14"/>
              </w:rPr>
            </w:pPr>
          </w:p>
        </w:tc>
        <w:tc>
          <w:tcPr>
            <w:tcW w:w="1297" w:type="dxa"/>
          </w:tcPr>
          <w:p>
            <w:pPr>
              <w:pStyle w:val="TableParagraph"/>
              <w:jc w:val="left"/>
              <w:rPr>
                <w:sz w:val="14"/>
              </w:rPr>
            </w:pPr>
          </w:p>
        </w:tc>
      </w:tr>
      <w:tr>
        <w:trPr>
          <w:trHeight w:val="1348" w:hRule="atLeast"/>
        </w:trPr>
        <w:tc>
          <w:tcPr>
            <w:tcW w:w="3045" w:type="dxa"/>
          </w:tcPr>
          <w:p>
            <w:pPr>
              <w:pStyle w:val="TableParagraph"/>
              <w:spacing w:line="259" w:lineRule="auto"/>
              <w:ind w:left="110" w:right="187"/>
              <w:jc w:val="left"/>
              <w:rPr>
                <w:sz w:val="16"/>
              </w:rPr>
            </w:pPr>
            <w:r>
              <w:rPr>
                <w:sz w:val="16"/>
              </w:rPr>
              <w:t>Since</w:t>
            </w:r>
            <w:r>
              <w:rPr>
                <w:spacing w:val="-8"/>
                <w:sz w:val="16"/>
              </w:rPr>
              <w:t> </w:t>
            </w:r>
            <w:r>
              <w:rPr>
                <w:sz w:val="16"/>
              </w:rPr>
              <w:t>March</w:t>
            </w:r>
            <w:r>
              <w:rPr>
                <w:spacing w:val="-7"/>
                <w:sz w:val="16"/>
              </w:rPr>
              <w:t> </w:t>
            </w:r>
            <w:r>
              <w:rPr>
                <w:sz w:val="16"/>
              </w:rPr>
              <w:t>2018,</w:t>
            </w:r>
            <w:r>
              <w:rPr>
                <w:spacing w:val="-10"/>
                <w:sz w:val="16"/>
              </w:rPr>
              <w:t> </w:t>
            </w:r>
            <w:r>
              <w:rPr>
                <w:sz w:val="16"/>
              </w:rPr>
              <w:t>all</w:t>
            </w:r>
            <w:r>
              <w:rPr>
                <w:spacing w:val="-10"/>
                <w:sz w:val="16"/>
              </w:rPr>
              <w:t> </w:t>
            </w:r>
            <w:r>
              <w:rPr>
                <w:sz w:val="16"/>
              </w:rPr>
              <w:t>travellers</w:t>
            </w:r>
            <w:r>
              <w:rPr>
                <w:spacing w:val="-9"/>
                <w:sz w:val="16"/>
              </w:rPr>
              <w:t> </w:t>
            </w:r>
            <w:r>
              <w:rPr>
                <w:sz w:val="16"/>
              </w:rPr>
              <w:t>to</w:t>
            </w:r>
            <w:r>
              <w:rPr>
                <w:spacing w:val="-7"/>
                <w:sz w:val="16"/>
              </w:rPr>
              <w:t> </w:t>
            </w:r>
            <w:r>
              <w:rPr>
                <w:sz w:val="16"/>
              </w:rPr>
              <w:t>Bunia</w:t>
            </w:r>
            <w:r>
              <w:rPr>
                <w:spacing w:val="40"/>
                <w:sz w:val="16"/>
              </w:rPr>
              <w:t> </w:t>
            </w:r>
            <w:r>
              <w:rPr>
                <w:sz w:val="16"/>
              </w:rPr>
              <w:t>from the Court must stay at the Court</w:t>
            </w:r>
            <w:r>
              <w:rPr>
                <w:spacing w:val="40"/>
                <w:sz w:val="16"/>
              </w:rPr>
              <w:t> </w:t>
            </w:r>
            <w:r>
              <w:rPr>
                <w:sz w:val="16"/>
              </w:rPr>
              <w:t>compound. This accommodation is</w:t>
            </w:r>
            <w:r>
              <w:rPr>
                <w:spacing w:val="40"/>
                <w:sz w:val="16"/>
              </w:rPr>
              <w:t> </w:t>
            </w:r>
            <w:r>
              <w:rPr>
                <w:sz w:val="16"/>
              </w:rPr>
              <w:t>provided to travellers at no expense.</w:t>
            </w:r>
          </w:p>
          <w:p>
            <w:pPr>
              <w:pStyle w:val="TableParagraph"/>
              <w:spacing w:line="268" w:lineRule="auto"/>
              <w:ind w:left="110" w:right="105"/>
              <w:jc w:val="left"/>
              <w:rPr>
                <w:sz w:val="16"/>
              </w:rPr>
            </w:pPr>
            <w:r>
              <w:rPr>
                <w:sz w:val="16"/>
              </w:rPr>
              <w:t>Consequently,</w:t>
            </w:r>
            <w:r>
              <w:rPr>
                <w:spacing w:val="-10"/>
                <w:sz w:val="16"/>
              </w:rPr>
              <w:t> </w:t>
            </w:r>
            <w:r>
              <w:rPr>
                <w:sz w:val="16"/>
              </w:rPr>
              <w:t>the</w:t>
            </w:r>
            <w:r>
              <w:rPr>
                <w:spacing w:val="-9"/>
                <w:sz w:val="16"/>
              </w:rPr>
              <w:t> </w:t>
            </w:r>
            <w:r>
              <w:rPr>
                <w:sz w:val="16"/>
              </w:rPr>
              <w:t>DSA</w:t>
            </w:r>
            <w:r>
              <w:rPr>
                <w:spacing w:val="-10"/>
                <w:sz w:val="16"/>
              </w:rPr>
              <w:t> </w:t>
            </w:r>
            <w:r>
              <w:rPr>
                <w:sz w:val="16"/>
              </w:rPr>
              <w:t>for</w:t>
            </w:r>
            <w:r>
              <w:rPr>
                <w:spacing w:val="-10"/>
                <w:sz w:val="16"/>
              </w:rPr>
              <w:t> </w:t>
            </w:r>
            <w:r>
              <w:rPr>
                <w:sz w:val="16"/>
              </w:rPr>
              <w:t>staff</w:t>
            </w:r>
            <w:r>
              <w:rPr>
                <w:spacing w:val="-6"/>
                <w:sz w:val="16"/>
              </w:rPr>
              <w:t> </w:t>
            </w:r>
            <w:r>
              <w:rPr>
                <w:sz w:val="16"/>
              </w:rPr>
              <w:t>members</w:t>
            </w:r>
            <w:r>
              <w:rPr>
                <w:spacing w:val="40"/>
                <w:sz w:val="16"/>
              </w:rPr>
              <w:t> </w:t>
            </w:r>
            <w:r>
              <w:rPr>
                <w:sz w:val="16"/>
              </w:rPr>
              <w:t>travelling to Bunia is reduced by 50%.</w:t>
            </w:r>
          </w:p>
        </w:tc>
        <w:tc>
          <w:tcPr>
            <w:tcW w:w="4173" w:type="dxa"/>
          </w:tcPr>
          <w:p>
            <w:pPr>
              <w:pStyle w:val="TableParagraph"/>
              <w:spacing w:line="256" w:lineRule="auto"/>
              <w:ind w:left="109" w:right="101"/>
              <w:jc w:val="left"/>
              <w:rPr>
                <w:sz w:val="16"/>
              </w:rPr>
            </w:pPr>
            <w:r>
              <w:rPr>
                <w:sz w:val="16"/>
              </w:rPr>
              <w:t>On the basis of past experience (2021), the expected number</w:t>
            </w:r>
            <w:r>
              <w:rPr>
                <w:spacing w:val="40"/>
                <w:sz w:val="16"/>
              </w:rPr>
              <w:t> </w:t>
            </w:r>
            <w:r>
              <w:rPr>
                <w:sz w:val="16"/>
              </w:rPr>
              <w:t>of</w:t>
            </w:r>
            <w:r>
              <w:rPr>
                <w:spacing w:val="-5"/>
                <w:sz w:val="16"/>
              </w:rPr>
              <w:t> </w:t>
            </w:r>
            <w:r>
              <w:rPr>
                <w:sz w:val="16"/>
              </w:rPr>
              <w:t>travellers</w:t>
            </w:r>
            <w:r>
              <w:rPr>
                <w:spacing w:val="-5"/>
                <w:sz w:val="16"/>
              </w:rPr>
              <w:t> </w:t>
            </w:r>
            <w:r>
              <w:rPr>
                <w:sz w:val="16"/>
              </w:rPr>
              <w:t>(19)</w:t>
            </w:r>
            <w:r>
              <w:rPr>
                <w:spacing w:val="-5"/>
                <w:sz w:val="16"/>
              </w:rPr>
              <w:t> </w:t>
            </w:r>
            <w:r>
              <w:rPr>
                <w:sz w:val="16"/>
              </w:rPr>
              <w:t>multiplied</w:t>
            </w:r>
            <w:r>
              <w:rPr>
                <w:spacing w:val="-3"/>
                <w:sz w:val="16"/>
              </w:rPr>
              <w:t> </w:t>
            </w:r>
            <w:r>
              <w:rPr>
                <w:sz w:val="16"/>
              </w:rPr>
              <w:t>by</w:t>
            </w:r>
            <w:r>
              <w:rPr>
                <w:spacing w:val="-3"/>
                <w:sz w:val="16"/>
              </w:rPr>
              <w:t> </w:t>
            </w:r>
            <w:r>
              <w:rPr>
                <w:sz w:val="16"/>
              </w:rPr>
              <w:t>the</w:t>
            </w:r>
            <w:r>
              <w:rPr>
                <w:spacing w:val="-4"/>
                <w:sz w:val="16"/>
              </w:rPr>
              <w:t> </w:t>
            </w:r>
            <w:r>
              <w:rPr>
                <w:sz w:val="16"/>
              </w:rPr>
              <w:t>number</w:t>
            </w:r>
            <w:r>
              <w:rPr>
                <w:spacing w:val="-5"/>
                <w:sz w:val="16"/>
              </w:rPr>
              <w:t> </w:t>
            </w:r>
            <w:r>
              <w:rPr>
                <w:sz w:val="16"/>
              </w:rPr>
              <w:t>of</w:t>
            </w:r>
            <w:r>
              <w:rPr>
                <w:spacing w:val="-5"/>
                <w:sz w:val="16"/>
              </w:rPr>
              <w:t> </w:t>
            </w:r>
            <w:r>
              <w:rPr>
                <w:sz w:val="16"/>
              </w:rPr>
              <w:t>nights</w:t>
            </w:r>
            <w:r>
              <w:rPr>
                <w:spacing w:val="-5"/>
                <w:sz w:val="16"/>
              </w:rPr>
              <w:t> </w:t>
            </w:r>
            <w:r>
              <w:rPr>
                <w:sz w:val="16"/>
              </w:rPr>
              <w:t>in</w:t>
            </w:r>
            <w:r>
              <w:rPr>
                <w:spacing w:val="-3"/>
                <w:sz w:val="16"/>
              </w:rPr>
              <w:t> </w:t>
            </w:r>
            <w:r>
              <w:rPr>
                <w:sz w:val="16"/>
              </w:rPr>
              <w:t>Bunia</w:t>
            </w:r>
          </w:p>
          <w:p>
            <w:pPr>
              <w:pStyle w:val="TableParagraph"/>
              <w:spacing w:before="6"/>
              <w:ind w:left="109"/>
              <w:jc w:val="left"/>
              <w:rPr>
                <w:sz w:val="16"/>
              </w:rPr>
            </w:pPr>
            <w:r>
              <w:rPr>
                <w:sz w:val="16"/>
              </w:rPr>
              <w:t>(243)</w:t>
            </w:r>
            <w:r>
              <w:rPr>
                <w:spacing w:val="-4"/>
                <w:sz w:val="16"/>
              </w:rPr>
              <w:t> </w:t>
            </w:r>
            <w:r>
              <w:rPr>
                <w:sz w:val="16"/>
              </w:rPr>
              <w:t>corresponds</w:t>
            </w:r>
            <w:r>
              <w:rPr>
                <w:spacing w:val="-4"/>
                <w:sz w:val="16"/>
              </w:rPr>
              <w:t> </w:t>
            </w:r>
            <w:r>
              <w:rPr>
                <w:sz w:val="16"/>
              </w:rPr>
              <w:t>to</w:t>
            </w:r>
            <w:r>
              <w:rPr>
                <w:spacing w:val="-2"/>
                <w:sz w:val="16"/>
              </w:rPr>
              <w:t> </w:t>
            </w:r>
            <w:r>
              <w:rPr>
                <w:sz w:val="16"/>
              </w:rPr>
              <w:t>a</w:t>
            </w:r>
            <w:r>
              <w:rPr>
                <w:spacing w:val="-2"/>
                <w:sz w:val="16"/>
              </w:rPr>
              <w:t> </w:t>
            </w:r>
            <w:r>
              <w:rPr>
                <w:sz w:val="16"/>
              </w:rPr>
              <w:t>saving</w:t>
            </w:r>
            <w:r>
              <w:rPr>
                <w:spacing w:val="-2"/>
                <w:sz w:val="16"/>
              </w:rPr>
              <w:t> </w:t>
            </w:r>
            <w:r>
              <w:rPr>
                <w:sz w:val="16"/>
              </w:rPr>
              <w:t>of</w:t>
            </w:r>
            <w:r>
              <w:rPr>
                <w:spacing w:val="-4"/>
                <w:sz w:val="16"/>
              </w:rPr>
              <w:t> </w:t>
            </w:r>
            <w:r>
              <w:rPr>
                <w:sz w:val="16"/>
              </w:rPr>
              <w:t>€17.5</w:t>
            </w:r>
            <w:r>
              <w:rPr>
                <w:spacing w:val="-1"/>
                <w:sz w:val="16"/>
              </w:rPr>
              <w:t> </w:t>
            </w:r>
            <w:r>
              <w:rPr>
                <w:sz w:val="16"/>
              </w:rPr>
              <w:t>thousand</w:t>
            </w:r>
            <w:r>
              <w:rPr>
                <w:spacing w:val="-2"/>
                <w:sz w:val="16"/>
              </w:rPr>
              <w:t> </w:t>
            </w:r>
            <w:r>
              <w:rPr>
                <w:sz w:val="16"/>
              </w:rPr>
              <w:t>in</w:t>
            </w:r>
            <w:r>
              <w:rPr>
                <w:spacing w:val="-2"/>
                <w:sz w:val="16"/>
              </w:rPr>
              <w:t> </w:t>
            </w:r>
            <w:r>
              <w:rPr>
                <w:spacing w:val="-4"/>
                <w:sz w:val="16"/>
              </w:rPr>
              <w:t>DSA.</w:t>
            </w:r>
          </w:p>
        </w:tc>
        <w:tc>
          <w:tcPr>
            <w:tcW w:w="1129" w:type="dxa"/>
          </w:tcPr>
          <w:p>
            <w:pPr>
              <w:pStyle w:val="TableParagraph"/>
              <w:spacing w:before="6"/>
              <w:jc w:val="left"/>
              <w:rPr>
                <w:sz w:val="15"/>
              </w:rPr>
            </w:pPr>
          </w:p>
          <w:p>
            <w:pPr>
              <w:pStyle w:val="TableParagraph"/>
              <w:ind w:right="98"/>
              <w:rPr>
                <w:sz w:val="16"/>
              </w:rPr>
            </w:pPr>
            <w:r>
              <w:rPr>
                <w:spacing w:val="-2"/>
                <w:sz w:val="16"/>
              </w:rPr>
              <w:t>17,460</w:t>
            </w:r>
          </w:p>
        </w:tc>
        <w:tc>
          <w:tcPr>
            <w:tcW w:w="1297" w:type="dxa"/>
          </w:tcPr>
          <w:p>
            <w:pPr>
              <w:pStyle w:val="TableParagraph"/>
              <w:jc w:val="left"/>
              <w:rPr>
                <w:sz w:val="14"/>
              </w:rPr>
            </w:pPr>
          </w:p>
        </w:tc>
      </w:tr>
      <w:tr>
        <w:trPr>
          <w:trHeight w:val="1949" w:hRule="atLeast"/>
        </w:trPr>
        <w:tc>
          <w:tcPr>
            <w:tcW w:w="3045" w:type="dxa"/>
          </w:tcPr>
          <w:p>
            <w:pPr>
              <w:pStyle w:val="TableParagraph"/>
              <w:spacing w:line="259" w:lineRule="auto"/>
              <w:ind w:left="110" w:right="114"/>
              <w:jc w:val="left"/>
              <w:rPr>
                <w:sz w:val="16"/>
              </w:rPr>
            </w:pPr>
            <w:r>
              <w:rPr>
                <w:sz w:val="16"/>
              </w:rPr>
              <w:t>Since the launch of the online outreach</w:t>
            </w:r>
            <w:r>
              <w:rPr>
                <w:spacing w:val="40"/>
                <w:sz w:val="16"/>
              </w:rPr>
              <w:t> </w:t>
            </w:r>
            <w:r>
              <w:rPr>
                <w:sz w:val="16"/>
              </w:rPr>
              <w:t>platform, more than 11,000 people have</w:t>
            </w:r>
            <w:r>
              <w:rPr>
                <w:spacing w:val="40"/>
                <w:sz w:val="16"/>
              </w:rPr>
              <w:t> </w:t>
            </w:r>
            <w:r>
              <w:rPr>
                <w:sz w:val="16"/>
              </w:rPr>
              <w:t>subscribed to it and receive regular updates</w:t>
            </w:r>
            <w:r>
              <w:rPr>
                <w:spacing w:val="40"/>
                <w:sz w:val="16"/>
              </w:rPr>
              <w:t> </w:t>
            </w:r>
            <w:r>
              <w:rPr>
                <w:sz w:val="16"/>
              </w:rPr>
              <w:t>about the </w:t>
            </w:r>
            <w:r>
              <w:rPr>
                <w:i/>
                <w:sz w:val="16"/>
              </w:rPr>
              <w:t>Ongwen </w:t>
            </w:r>
            <w:r>
              <w:rPr>
                <w:sz w:val="16"/>
              </w:rPr>
              <w:t>trial and have their</w:t>
            </w:r>
            <w:r>
              <w:rPr>
                <w:spacing w:val="40"/>
                <w:sz w:val="16"/>
              </w:rPr>
              <w:t> </w:t>
            </w:r>
            <w:r>
              <w:rPr>
                <w:sz w:val="16"/>
              </w:rPr>
              <w:t>questions and concerns addressed. This</w:t>
            </w:r>
            <w:r>
              <w:rPr>
                <w:spacing w:val="40"/>
                <w:sz w:val="16"/>
              </w:rPr>
              <w:t> </w:t>
            </w:r>
            <w:r>
              <w:rPr>
                <w:sz w:val="16"/>
              </w:rPr>
              <w:t>platform</w:t>
            </w:r>
            <w:r>
              <w:rPr>
                <w:spacing w:val="-6"/>
                <w:sz w:val="16"/>
              </w:rPr>
              <w:t> </w:t>
            </w:r>
            <w:r>
              <w:rPr>
                <w:sz w:val="16"/>
              </w:rPr>
              <w:t>has</w:t>
            </w:r>
            <w:r>
              <w:rPr>
                <w:spacing w:val="-6"/>
                <w:sz w:val="16"/>
              </w:rPr>
              <w:t> </w:t>
            </w:r>
            <w:r>
              <w:rPr>
                <w:sz w:val="16"/>
              </w:rPr>
              <w:t>led</w:t>
            </w:r>
            <w:r>
              <w:rPr>
                <w:spacing w:val="-5"/>
                <w:sz w:val="16"/>
              </w:rPr>
              <w:t> </w:t>
            </w:r>
            <w:r>
              <w:rPr>
                <w:sz w:val="16"/>
              </w:rPr>
              <w:t>to</w:t>
            </w:r>
            <w:r>
              <w:rPr>
                <w:spacing w:val="-5"/>
                <w:sz w:val="16"/>
              </w:rPr>
              <w:t> </w:t>
            </w:r>
            <w:r>
              <w:rPr>
                <w:sz w:val="16"/>
              </w:rPr>
              <w:t>a</w:t>
            </w:r>
            <w:r>
              <w:rPr>
                <w:spacing w:val="-6"/>
                <w:sz w:val="16"/>
              </w:rPr>
              <w:t> </w:t>
            </w:r>
            <w:r>
              <w:rPr>
                <w:sz w:val="16"/>
              </w:rPr>
              <w:t>decrease</w:t>
            </w:r>
            <w:r>
              <w:rPr>
                <w:spacing w:val="-6"/>
                <w:sz w:val="16"/>
              </w:rPr>
              <w:t> </w:t>
            </w:r>
            <w:r>
              <w:rPr>
                <w:sz w:val="16"/>
              </w:rPr>
              <w:t>in</w:t>
            </w:r>
            <w:r>
              <w:rPr>
                <w:spacing w:val="-5"/>
                <w:sz w:val="16"/>
              </w:rPr>
              <w:t> </w:t>
            </w:r>
            <w:r>
              <w:rPr>
                <w:sz w:val="16"/>
              </w:rPr>
              <w:t>the</w:t>
            </w:r>
            <w:r>
              <w:rPr>
                <w:spacing w:val="-6"/>
                <w:sz w:val="16"/>
              </w:rPr>
              <w:t> </w:t>
            </w:r>
            <w:r>
              <w:rPr>
                <w:sz w:val="16"/>
              </w:rPr>
              <w:t>amount</w:t>
            </w:r>
            <w:r>
              <w:rPr>
                <w:spacing w:val="40"/>
                <w:sz w:val="16"/>
              </w:rPr>
              <w:t> </w:t>
            </w:r>
            <w:r>
              <w:rPr>
                <w:sz w:val="16"/>
              </w:rPr>
              <w:t>spent on radio and television talk shows</w:t>
            </w:r>
            <w:r>
              <w:rPr>
                <w:spacing w:val="40"/>
                <w:sz w:val="16"/>
              </w:rPr>
              <w:t> </w:t>
            </w:r>
            <w:r>
              <w:rPr>
                <w:sz w:val="16"/>
              </w:rPr>
              <w:t>and</w:t>
            </w:r>
            <w:r>
              <w:rPr>
                <w:spacing w:val="-2"/>
                <w:sz w:val="16"/>
              </w:rPr>
              <w:t> </w:t>
            </w:r>
            <w:r>
              <w:rPr>
                <w:sz w:val="16"/>
              </w:rPr>
              <w:t>spot</w:t>
            </w:r>
            <w:r>
              <w:rPr>
                <w:spacing w:val="-5"/>
                <w:sz w:val="16"/>
              </w:rPr>
              <w:t> </w:t>
            </w:r>
            <w:r>
              <w:rPr>
                <w:sz w:val="16"/>
              </w:rPr>
              <w:t>messages,</w:t>
            </w:r>
            <w:r>
              <w:rPr>
                <w:spacing w:val="-5"/>
                <w:sz w:val="16"/>
              </w:rPr>
              <w:t> </w:t>
            </w:r>
            <w:r>
              <w:rPr>
                <w:sz w:val="16"/>
              </w:rPr>
              <w:t>which</w:t>
            </w:r>
            <w:r>
              <w:rPr>
                <w:spacing w:val="-2"/>
                <w:sz w:val="16"/>
              </w:rPr>
              <w:t> </w:t>
            </w:r>
            <w:r>
              <w:rPr>
                <w:sz w:val="16"/>
              </w:rPr>
              <w:t>is</w:t>
            </w:r>
            <w:r>
              <w:rPr>
                <w:spacing w:val="-4"/>
                <w:sz w:val="16"/>
              </w:rPr>
              <w:t> </w:t>
            </w:r>
            <w:r>
              <w:rPr>
                <w:sz w:val="16"/>
              </w:rPr>
              <w:t>very</w:t>
            </w:r>
            <w:r>
              <w:rPr>
                <w:spacing w:val="-2"/>
                <w:sz w:val="16"/>
              </w:rPr>
              <w:t> </w:t>
            </w:r>
            <w:r>
              <w:rPr>
                <w:sz w:val="16"/>
              </w:rPr>
              <w:t>expensive</w:t>
            </w:r>
            <w:r>
              <w:rPr>
                <w:spacing w:val="40"/>
                <w:sz w:val="16"/>
              </w:rPr>
              <w:t> </w:t>
            </w:r>
            <w:r>
              <w:rPr>
                <w:sz w:val="16"/>
              </w:rPr>
              <w:t>and reaches fewer people.</w:t>
            </w:r>
          </w:p>
        </w:tc>
        <w:tc>
          <w:tcPr>
            <w:tcW w:w="4173" w:type="dxa"/>
          </w:tcPr>
          <w:p>
            <w:pPr>
              <w:pStyle w:val="TableParagraph"/>
              <w:spacing w:line="264" w:lineRule="auto"/>
              <w:ind w:left="109" w:right="141"/>
              <w:jc w:val="left"/>
              <w:rPr>
                <w:sz w:val="16"/>
              </w:rPr>
            </w:pPr>
            <w:r>
              <w:rPr>
                <w:sz w:val="16"/>
              </w:rPr>
              <w:t>Amounts</w:t>
            </w:r>
            <w:r>
              <w:rPr>
                <w:spacing w:val="-7"/>
                <w:sz w:val="16"/>
              </w:rPr>
              <w:t> </w:t>
            </w:r>
            <w:r>
              <w:rPr>
                <w:sz w:val="16"/>
              </w:rPr>
              <w:t>required</w:t>
            </w:r>
            <w:r>
              <w:rPr>
                <w:spacing w:val="-5"/>
                <w:sz w:val="16"/>
              </w:rPr>
              <w:t> </w:t>
            </w:r>
            <w:r>
              <w:rPr>
                <w:sz w:val="16"/>
              </w:rPr>
              <w:t>for</w:t>
            </w:r>
            <w:r>
              <w:rPr>
                <w:spacing w:val="-7"/>
                <w:sz w:val="16"/>
              </w:rPr>
              <w:t> </w:t>
            </w:r>
            <w:r>
              <w:rPr>
                <w:sz w:val="16"/>
              </w:rPr>
              <w:t>radio</w:t>
            </w:r>
            <w:r>
              <w:rPr>
                <w:spacing w:val="-5"/>
                <w:sz w:val="16"/>
              </w:rPr>
              <w:t> </w:t>
            </w:r>
            <w:r>
              <w:rPr>
                <w:sz w:val="16"/>
              </w:rPr>
              <w:t>and</w:t>
            </w:r>
            <w:r>
              <w:rPr>
                <w:spacing w:val="-5"/>
                <w:sz w:val="16"/>
              </w:rPr>
              <w:t> </w:t>
            </w:r>
            <w:r>
              <w:rPr>
                <w:sz w:val="16"/>
              </w:rPr>
              <w:t>television</w:t>
            </w:r>
            <w:r>
              <w:rPr>
                <w:spacing w:val="-5"/>
                <w:sz w:val="16"/>
              </w:rPr>
              <w:t> </w:t>
            </w:r>
            <w:r>
              <w:rPr>
                <w:sz w:val="16"/>
              </w:rPr>
              <w:t>talk</w:t>
            </w:r>
            <w:r>
              <w:rPr>
                <w:spacing w:val="-5"/>
                <w:sz w:val="16"/>
              </w:rPr>
              <w:t> </w:t>
            </w:r>
            <w:r>
              <w:rPr>
                <w:sz w:val="16"/>
              </w:rPr>
              <w:t>shows</w:t>
            </w:r>
            <w:r>
              <w:rPr>
                <w:spacing w:val="-7"/>
                <w:sz w:val="16"/>
              </w:rPr>
              <w:t> </w:t>
            </w:r>
            <w:r>
              <w:rPr>
                <w:sz w:val="16"/>
              </w:rPr>
              <w:t>are</w:t>
            </w:r>
            <w:r>
              <w:rPr>
                <w:spacing w:val="40"/>
                <w:sz w:val="16"/>
              </w:rPr>
              <w:t> </w:t>
            </w:r>
            <w:r>
              <w:rPr>
                <w:sz w:val="16"/>
              </w:rPr>
              <w:t>reduced, resulting in savings of €3,121 in 2022 and a</w:t>
            </w:r>
            <w:r>
              <w:rPr>
                <w:spacing w:val="40"/>
                <w:sz w:val="16"/>
              </w:rPr>
              <w:t> </w:t>
            </w:r>
            <w:r>
              <w:rPr>
                <w:sz w:val="16"/>
              </w:rPr>
              <w:t>reduction in the baseline of €3,596 in 2023.</w:t>
            </w:r>
          </w:p>
        </w:tc>
        <w:tc>
          <w:tcPr>
            <w:tcW w:w="1129" w:type="dxa"/>
          </w:tcPr>
          <w:p>
            <w:pPr>
              <w:pStyle w:val="TableParagraph"/>
              <w:spacing w:before="6"/>
              <w:jc w:val="left"/>
              <w:rPr>
                <w:sz w:val="15"/>
              </w:rPr>
            </w:pPr>
          </w:p>
          <w:p>
            <w:pPr>
              <w:pStyle w:val="TableParagraph"/>
              <w:ind w:right="98"/>
              <w:rPr>
                <w:sz w:val="16"/>
              </w:rPr>
            </w:pPr>
            <w:r>
              <w:rPr>
                <w:spacing w:val="-2"/>
                <w:sz w:val="16"/>
              </w:rPr>
              <w:t>3,121</w:t>
            </w:r>
          </w:p>
        </w:tc>
        <w:tc>
          <w:tcPr>
            <w:tcW w:w="1297" w:type="dxa"/>
          </w:tcPr>
          <w:p>
            <w:pPr>
              <w:pStyle w:val="TableParagraph"/>
              <w:spacing w:before="7"/>
              <w:jc w:val="left"/>
              <w:rPr>
                <w:sz w:val="17"/>
              </w:rPr>
            </w:pPr>
          </w:p>
          <w:p>
            <w:pPr>
              <w:pStyle w:val="TableParagraph"/>
              <w:ind w:right="98"/>
              <w:rPr>
                <w:sz w:val="16"/>
              </w:rPr>
            </w:pPr>
            <w:r>
              <w:rPr>
                <w:spacing w:val="-2"/>
                <w:sz w:val="16"/>
              </w:rPr>
              <w:t>3,596</w:t>
            </w:r>
          </w:p>
        </w:tc>
      </w:tr>
      <w:tr>
        <w:trPr>
          <w:trHeight w:val="1440" w:hRule="atLeast"/>
        </w:trPr>
        <w:tc>
          <w:tcPr>
            <w:tcW w:w="3045" w:type="dxa"/>
          </w:tcPr>
          <w:p>
            <w:pPr>
              <w:pStyle w:val="TableParagraph"/>
              <w:spacing w:line="261" w:lineRule="auto"/>
              <w:ind w:left="110" w:right="187"/>
              <w:jc w:val="left"/>
              <w:rPr>
                <w:sz w:val="16"/>
              </w:rPr>
            </w:pPr>
            <w:r>
              <w:rPr>
                <w:sz w:val="16"/>
              </w:rPr>
              <w:t>In 2022, the Country Office (Uganda)</w:t>
            </w:r>
            <w:r>
              <w:rPr>
                <w:spacing w:val="40"/>
                <w:sz w:val="16"/>
              </w:rPr>
              <w:t> </w:t>
            </w:r>
            <w:r>
              <w:rPr>
                <w:sz w:val="16"/>
              </w:rPr>
              <w:t>negotiated, with the UN Department of</w:t>
            </w:r>
            <w:r>
              <w:rPr>
                <w:spacing w:val="40"/>
                <w:sz w:val="16"/>
              </w:rPr>
              <w:t> </w:t>
            </w:r>
            <w:r>
              <w:rPr>
                <w:sz w:val="16"/>
              </w:rPr>
              <w:t>Safety and Security, the possibility of</w:t>
            </w:r>
            <w:r>
              <w:rPr>
                <w:spacing w:val="40"/>
                <w:sz w:val="16"/>
              </w:rPr>
              <w:t> </w:t>
            </w:r>
            <w:r>
              <w:rPr>
                <w:sz w:val="16"/>
              </w:rPr>
              <w:t>reducing</w:t>
            </w:r>
            <w:r>
              <w:rPr>
                <w:spacing w:val="-7"/>
                <w:sz w:val="16"/>
              </w:rPr>
              <w:t> </w:t>
            </w:r>
            <w:r>
              <w:rPr>
                <w:sz w:val="16"/>
              </w:rPr>
              <w:t>the</w:t>
            </w:r>
            <w:r>
              <w:rPr>
                <w:spacing w:val="-8"/>
                <w:sz w:val="16"/>
              </w:rPr>
              <w:t> </w:t>
            </w:r>
            <w:r>
              <w:rPr>
                <w:sz w:val="16"/>
              </w:rPr>
              <w:t>cost-shared</w:t>
            </w:r>
            <w:r>
              <w:rPr>
                <w:spacing w:val="-7"/>
                <w:sz w:val="16"/>
              </w:rPr>
              <w:t> </w:t>
            </w:r>
            <w:r>
              <w:rPr>
                <w:sz w:val="16"/>
              </w:rPr>
              <w:t>budget</w:t>
            </w:r>
            <w:r>
              <w:rPr>
                <w:spacing w:val="-10"/>
                <w:sz w:val="16"/>
              </w:rPr>
              <w:t> </w:t>
            </w:r>
            <w:r>
              <w:rPr>
                <w:sz w:val="16"/>
              </w:rPr>
              <w:t>given</w:t>
            </w:r>
            <w:r>
              <w:rPr>
                <w:spacing w:val="-7"/>
                <w:sz w:val="16"/>
              </w:rPr>
              <w:t> </w:t>
            </w:r>
            <w:r>
              <w:rPr>
                <w:sz w:val="16"/>
              </w:rPr>
              <w:t>the</w:t>
            </w:r>
            <w:r>
              <w:rPr>
                <w:spacing w:val="40"/>
                <w:sz w:val="16"/>
              </w:rPr>
              <w:t> </w:t>
            </w:r>
            <w:r>
              <w:rPr>
                <w:sz w:val="16"/>
              </w:rPr>
              <w:t>potential decrease in judicial activities in</w:t>
            </w:r>
            <w:r>
              <w:rPr>
                <w:spacing w:val="40"/>
                <w:sz w:val="16"/>
              </w:rPr>
              <w:t> </w:t>
            </w:r>
            <w:r>
              <w:rPr>
                <w:sz w:val="16"/>
              </w:rPr>
              <w:t>the situation country.</w:t>
            </w:r>
          </w:p>
        </w:tc>
        <w:tc>
          <w:tcPr>
            <w:tcW w:w="4173" w:type="dxa"/>
          </w:tcPr>
          <w:p>
            <w:pPr>
              <w:pStyle w:val="TableParagraph"/>
              <w:spacing w:line="264" w:lineRule="auto"/>
              <w:ind w:left="109" w:right="141"/>
              <w:jc w:val="left"/>
              <w:rPr>
                <w:sz w:val="16"/>
              </w:rPr>
            </w:pPr>
            <w:r>
              <w:rPr>
                <w:sz w:val="16"/>
              </w:rPr>
              <w:t>Funds</w:t>
            </w:r>
            <w:r>
              <w:rPr>
                <w:spacing w:val="-6"/>
                <w:sz w:val="16"/>
              </w:rPr>
              <w:t> </w:t>
            </w:r>
            <w:r>
              <w:rPr>
                <w:sz w:val="16"/>
              </w:rPr>
              <w:t>required</w:t>
            </w:r>
            <w:r>
              <w:rPr>
                <w:spacing w:val="-4"/>
                <w:sz w:val="16"/>
              </w:rPr>
              <w:t> </w:t>
            </w:r>
            <w:r>
              <w:rPr>
                <w:sz w:val="16"/>
              </w:rPr>
              <w:t>for</w:t>
            </w:r>
            <w:r>
              <w:rPr>
                <w:spacing w:val="-6"/>
                <w:sz w:val="16"/>
              </w:rPr>
              <w:t> </w:t>
            </w:r>
            <w:r>
              <w:rPr>
                <w:sz w:val="16"/>
              </w:rPr>
              <w:t>the</w:t>
            </w:r>
            <w:r>
              <w:rPr>
                <w:spacing w:val="-5"/>
                <w:sz w:val="16"/>
              </w:rPr>
              <w:t> </w:t>
            </w:r>
            <w:r>
              <w:rPr>
                <w:sz w:val="16"/>
              </w:rPr>
              <w:t>cost-shared</w:t>
            </w:r>
            <w:r>
              <w:rPr>
                <w:spacing w:val="-4"/>
                <w:sz w:val="16"/>
              </w:rPr>
              <w:t> </w:t>
            </w:r>
            <w:r>
              <w:rPr>
                <w:sz w:val="16"/>
              </w:rPr>
              <w:t>budget</w:t>
            </w:r>
            <w:r>
              <w:rPr>
                <w:spacing w:val="-7"/>
                <w:sz w:val="16"/>
              </w:rPr>
              <w:t> </w:t>
            </w:r>
            <w:r>
              <w:rPr>
                <w:sz w:val="16"/>
              </w:rPr>
              <w:t>for</w:t>
            </w:r>
            <w:r>
              <w:rPr>
                <w:spacing w:val="-6"/>
                <w:sz w:val="16"/>
              </w:rPr>
              <w:t> </w:t>
            </w:r>
            <w:r>
              <w:rPr>
                <w:sz w:val="16"/>
              </w:rPr>
              <w:t>security</w:t>
            </w:r>
            <w:r>
              <w:rPr>
                <w:spacing w:val="-4"/>
                <w:sz w:val="16"/>
              </w:rPr>
              <w:t> </w:t>
            </w:r>
            <w:r>
              <w:rPr>
                <w:sz w:val="16"/>
              </w:rPr>
              <w:t>are</w:t>
            </w:r>
            <w:r>
              <w:rPr>
                <w:spacing w:val="40"/>
                <w:sz w:val="16"/>
              </w:rPr>
              <w:t> </w:t>
            </w:r>
            <w:r>
              <w:rPr>
                <w:sz w:val="16"/>
              </w:rPr>
              <w:t>reduced, resulting in savings of €775.00 in 2022 and a</w:t>
            </w:r>
            <w:r>
              <w:rPr>
                <w:spacing w:val="40"/>
                <w:sz w:val="16"/>
              </w:rPr>
              <w:t> </w:t>
            </w:r>
            <w:r>
              <w:rPr>
                <w:sz w:val="16"/>
              </w:rPr>
              <w:t>reduction in the baseline of €1,250 in 2023.</w:t>
            </w:r>
          </w:p>
        </w:tc>
        <w:tc>
          <w:tcPr>
            <w:tcW w:w="1129" w:type="dxa"/>
          </w:tcPr>
          <w:p>
            <w:pPr>
              <w:pStyle w:val="TableParagraph"/>
              <w:spacing w:before="6"/>
              <w:jc w:val="left"/>
              <w:rPr>
                <w:sz w:val="15"/>
              </w:rPr>
            </w:pPr>
          </w:p>
          <w:p>
            <w:pPr>
              <w:pStyle w:val="TableParagraph"/>
              <w:ind w:right="95"/>
              <w:rPr>
                <w:sz w:val="16"/>
              </w:rPr>
            </w:pPr>
            <w:r>
              <w:rPr>
                <w:spacing w:val="-5"/>
                <w:sz w:val="16"/>
              </w:rPr>
              <w:t>775</w:t>
            </w:r>
          </w:p>
        </w:tc>
        <w:tc>
          <w:tcPr>
            <w:tcW w:w="1297" w:type="dxa"/>
          </w:tcPr>
          <w:p>
            <w:pPr>
              <w:pStyle w:val="TableParagraph"/>
              <w:spacing w:before="7"/>
              <w:jc w:val="left"/>
              <w:rPr>
                <w:sz w:val="17"/>
              </w:rPr>
            </w:pPr>
          </w:p>
          <w:p>
            <w:pPr>
              <w:pStyle w:val="TableParagraph"/>
              <w:ind w:right="98"/>
              <w:rPr>
                <w:sz w:val="16"/>
              </w:rPr>
            </w:pPr>
            <w:r>
              <w:rPr>
                <w:spacing w:val="-2"/>
                <w:sz w:val="16"/>
              </w:rPr>
              <w:t>1,250</w:t>
            </w:r>
          </w:p>
        </w:tc>
      </w:tr>
    </w:tbl>
    <w:p>
      <w:pPr>
        <w:spacing w:after="0"/>
        <w:rPr>
          <w:sz w:val="16"/>
        </w:rPr>
        <w:sectPr>
          <w:type w:val="continuous"/>
          <w:pgSz w:w="11910" w:h="16840"/>
          <w:pgMar w:header="957" w:footer="940" w:top="1140" w:bottom="1140" w:left="20" w:right="20"/>
        </w:sectPr>
      </w:pPr>
    </w:p>
    <w:p>
      <w:pPr>
        <w:pStyle w:val="BodyText"/>
        <w:spacing w:before="9"/>
        <w:rPr>
          <w:sz w:val="10"/>
        </w:rPr>
      </w:pPr>
    </w:p>
    <w:tbl>
      <w:tblPr>
        <w:tblW w:w="0" w:type="auto"/>
        <w:jc w:val="left"/>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45"/>
        <w:gridCol w:w="4173"/>
        <w:gridCol w:w="1129"/>
        <w:gridCol w:w="1297"/>
      </w:tblGrid>
      <w:tr>
        <w:trPr>
          <w:trHeight w:val="1108" w:hRule="atLeast"/>
        </w:trPr>
        <w:tc>
          <w:tcPr>
            <w:tcW w:w="3045" w:type="dxa"/>
            <w:tcBorders>
              <w:left w:val="nil"/>
              <w:right w:val="nil"/>
            </w:tcBorders>
          </w:tcPr>
          <w:p>
            <w:pPr>
              <w:pStyle w:val="TableParagraph"/>
              <w:jc w:val="left"/>
              <w:rPr>
                <w:sz w:val="18"/>
              </w:rPr>
            </w:pPr>
          </w:p>
          <w:p>
            <w:pPr>
              <w:pStyle w:val="TableParagraph"/>
              <w:jc w:val="left"/>
              <w:rPr>
                <w:sz w:val="22"/>
              </w:rPr>
            </w:pPr>
          </w:p>
          <w:p>
            <w:pPr>
              <w:pStyle w:val="TableParagraph"/>
              <w:ind w:left="1147" w:right="1132"/>
              <w:jc w:val="center"/>
              <w:rPr>
                <w:sz w:val="16"/>
              </w:rPr>
            </w:pPr>
            <w:r>
              <w:rPr>
                <w:spacing w:val="-2"/>
                <w:sz w:val="16"/>
              </w:rPr>
              <w:t>Description</w:t>
            </w:r>
          </w:p>
        </w:tc>
        <w:tc>
          <w:tcPr>
            <w:tcW w:w="4173" w:type="dxa"/>
            <w:tcBorders>
              <w:left w:val="nil"/>
              <w:right w:val="nil"/>
            </w:tcBorders>
          </w:tcPr>
          <w:p>
            <w:pPr>
              <w:pStyle w:val="TableParagraph"/>
              <w:jc w:val="left"/>
              <w:rPr>
                <w:sz w:val="18"/>
              </w:rPr>
            </w:pPr>
          </w:p>
          <w:p>
            <w:pPr>
              <w:pStyle w:val="TableParagraph"/>
              <w:jc w:val="left"/>
              <w:rPr>
                <w:sz w:val="22"/>
              </w:rPr>
            </w:pPr>
          </w:p>
          <w:p>
            <w:pPr>
              <w:pStyle w:val="TableParagraph"/>
              <w:ind w:left="1166"/>
              <w:jc w:val="left"/>
              <w:rPr>
                <w:sz w:val="16"/>
              </w:rPr>
            </w:pPr>
            <w:r>
              <w:rPr>
                <w:sz w:val="16"/>
              </w:rPr>
              <w:t>Achieved</w:t>
            </w:r>
            <w:r>
              <w:rPr>
                <w:spacing w:val="-4"/>
                <w:sz w:val="16"/>
              </w:rPr>
              <w:t> </w:t>
            </w:r>
            <w:r>
              <w:rPr>
                <w:sz w:val="16"/>
              </w:rPr>
              <w:t>output</w:t>
            </w:r>
            <w:r>
              <w:rPr>
                <w:spacing w:val="-6"/>
                <w:sz w:val="16"/>
              </w:rPr>
              <w:t> </w:t>
            </w:r>
            <w:r>
              <w:rPr>
                <w:sz w:val="16"/>
              </w:rPr>
              <w:t>(2023</w:t>
            </w:r>
            <w:r>
              <w:rPr>
                <w:spacing w:val="-3"/>
                <w:sz w:val="16"/>
              </w:rPr>
              <w:t> </w:t>
            </w:r>
            <w:r>
              <w:rPr>
                <w:spacing w:val="-4"/>
                <w:sz w:val="16"/>
              </w:rPr>
              <w:t>PPB)</w:t>
            </w:r>
          </w:p>
        </w:tc>
        <w:tc>
          <w:tcPr>
            <w:tcW w:w="1129" w:type="dxa"/>
            <w:tcBorders>
              <w:left w:val="nil"/>
              <w:right w:val="nil"/>
            </w:tcBorders>
          </w:tcPr>
          <w:p>
            <w:pPr>
              <w:pStyle w:val="TableParagraph"/>
              <w:spacing w:before="4"/>
              <w:ind w:left="133" w:right="125" w:hanging="6"/>
              <w:jc w:val="center"/>
              <w:rPr>
                <w:i/>
                <w:sz w:val="16"/>
              </w:rPr>
            </w:pPr>
            <w:r>
              <w:rPr>
                <w:i/>
                <w:sz w:val="16"/>
              </w:rPr>
              <w:t>2022</w:t>
            </w:r>
            <w:r>
              <w:rPr>
                <w:i/>
                <w:spacing w:val="-1"/>
                <w:sz w:val="16"/>
              </w:rPr>
              <w:t> </w:t>
            </w:r>
            <w:r>
              <w:rPr>
                <w:i/>
                <w:sz w:val="16"/>
              </w:rPr>
              <w:t>Costs</w:t>
            </w:r>
            <w:r>
              <w:rPr>
                <w:i/>
                <w:spacing w:val="40"/>
                <w:sz w:val="16"/>
              </w:rPr>
              <w:t> </w:t>
            </w:r>
            <w:r>
              <w:rPr>
                <w:i/>
                <w:spacing w:val="-2"/>
                <w:sz w:val="16"/>
              </w:rPr>
              <w:t>avoided</w:t>
            </w:r>
            <w:r>
              <w:rPr>
                <w:i/>
                <w:spacing w:val="40"/>
                <w:sz w:val="16"/>
              </w:rPr>
              <w:t> </w:t>
            </w:r>
            <w:r>
              <w:rPr>
                <w:i/>
                <w:spacing w:val="-2"/>
                <w:sz w:val="16"/>
              </w:rPr>
              <w:t>(baseline</w:t>
            </w:r>
            <w:r>
              <w:rPr>
                <w:i/>
                <w:spacing w:val="40"/>
                <w:sz w:val="16"/>
              </w:rPr>
              <w:t> </w:t>
            </w:r>
            <w:r>
              <w:rPr>
                <w:i/>
                <w:spacing w:val="-2"/>
                <w:sz w:val="16"/>
              </w:rPr>
              <w:t>maintained)</w:t>
            </w:r>
            <w:r>
              <w:rPr>
                <w:i/>
                <w:spacing w:val="40"/>
                <w:sz w:val="16"/>
              </w:rPr>
              <w:t> </w:t>
            </w:r>
            <w:r>
              <w:rPr>
                <w:i/>
                <w:w w:val="95"/>
                <w:sz w:val="16"/>
              </w:rPr>
              <w:t>(thousands</w:t>
            </w:r>
            <w:r>
              <w:rPr>
                <w:i/>
                <w:spacing w:val="30"/>
                <w:sz w:val="16"/>
              </w:rPr>
              <w:t> </w:t>
            </w:r>
            <w:r>
              <w:rPr>
                <w:i/>
                <w:spacing w:val="-5"/>
                <w:sz w:val="16"/>
              </w:rPr>
              <w:t>of</w:t>
            </w:r>
          </w:p>
          <w:p>
            <w:pPr>
              <w:pStyle w:val="TableParagraph"/>
              <w:spacing w:line="164" w:lineRule="exact"/>
              <w:ind w:left="351" w:right="340"/>
              <w:jc w:val="center"/>
              <w:rPr>
                <w:i/>
                <w:sz w:val="16"/>
              </w:rPr>
            </w:pPr>
            <w:r>
              <w:rPr>
                <w:i/>
                <w:spacing w:val="-2"/>
                <w:sz w:val="16"/>
              </w:rPr>
              <w:t>euros)</w:t>
            </w:r>
          </w:p>
        </w:tc>
        <w:tc>
          <w:tcPr>
            <w:tcW w:w="1297" w:type="dxa"/>
            <w:tcBorders>
              <w:left w:val="nil"/>
              <w:right w:val="nil"/>
            </w:tcBorders>
          </w:tcPr>
          <w:p>
            <w:pPr>
              <w:pStyle w:val="TableParagraph"/>
              <w:spacing w:before="2"/>
              <w:jc w:val="left"/>
              <w:rPr>
                <w:sz w:val="16"/>
              </w:rPr>
            </w:pPr>
          </w:p>
          <w:p>
            <w:pPr>
              <w:pStyle w:val="TableParagraph"/>
              <w:ind w:left="142" w:right="143"/>
              <w:jc w:val="center"/>
              <w:rPr>
                <w:i/>
                <w:sz w:val="16"/>
              </w:rPr>
            </w:pPr>
            <w:r>
              <w:rPr>
                <w:i/>
                <w:sz w:val="16"/>
              </w:rPr>
              <w:t>2023</w:t>
            </w:r>
            <w:r>
              <w:rPr>
                <w:i/>
                <w:spacing w:val="-10"/>
                <w:sz w:val="16"/>
              </w:rPr>
              <w:t> </w:t>
            </w:r>
            <w:r>
              <w:rPr>
                <w:i/>
                <w:sz w:val="16"/>
              </w:rPr>
              <w:t>Reduction</w:t>
            </w:r>
            <w:r>
              <w:rPr>
                <w:i/>
                <w:spacing w:val="40"/>
                <w:sz w:val="16"/>
              </w:rPr>
              <w:t> </w:t>
            </w:r>
            <w:r>
              <w:rPr>
                <w:i/>
                <w:sz w:val="16"/>
              </w:rPr>
              <w:t>in</w:t>
            </w:r>
            <w:r>
              <w:rPr>
                <w:i/>
                <w:spacing w:val="-1"/>
                <w:sz w:val="16"/>
              </w:rPr>
              <w:t> </w:t>
            </w:r>
            <w:r>
              <w:rPr>
                <w:i/>
                <w:sz w:val="16"/>
              </w:rPr>
              <w:t>baseline</w:t>
            </w:r>
            <w:r>
              <w:rPr>
                <w:i/>
                <w:spacing w:val="40"/>
                <w:sz w:val="16"/>
              </w:rPr>
              <w:t> </w:t>
            </w:r>
            <w:r>
              <w:rPr>
                <w:i/>
                <w:sz w:val="16"/>
              </w:rPr>
              <w:t>(thousands</w:t>
            </w:r>
            <w:r>
              <w:rPr>
                <w:i/>
                <w:spacing w:val="-5"/>
                <w:sz w:val="16"/>
              </w:rPr>
              <w:t> </w:t>
            </w:r>
            <w:r>
              <w:rPr>
                <w:i/>
                <w:sz w:val="16"/>
              </w:rPr>
              <w:t>of</w:t>
            </w:r>
            <w:r>
              <w:rPr>
                <w:i/>
                <w:spacing w:val="40"/>
                <w:sz w:val="16"/>
              </w:rPr>
              <w:t> </w:t>
            </w:r>
            <w:r>
              <w:rPr>
                <w:i/>
                <w:spacing w:val="-2"/>
                <w:sz w:val="16"/>
              </w:rPr>
              <w:t>euros)</w:t>
            </w:r>
          </w:p>
        </w:tc>
      </w:tr>
      <w:tr>
        <w:trPr>
          <w:trHeight w:val="2146" w:hRule="atLeast"/>
        </w:trPr>
        <w:tc>
          <w:tcPr>
            <w:tcW w:w="3045" w:type="dxa"/>
          </w:tcPr>
          <w:p>
            <w:pPr>
              <w:pStyle w:val="TableParagraph"/>
              <w:spacing w:line="259" w:lineRule="auto"/>
              <w:ind w:left="110" w:right="174"/>
              <w:jc w:val="left"/>
              <w:rPr>
                <w:sz w:val="16"/>
              </w:rPr>
            </w:pPr>
            <w:r>
              <w:rPr>
                <w:sz w:val="16"/>
              </w:rPr>
              <w:t>VWS</w:t>
            </w:r>
            <w:r>
              <w:rPr>
                <w:spacing w:val="-10"/>
                <w:sz w:val="16"/>
              </w:rPr>
              <w:t> </w:t>
            </w:r>
            <w:r>
              <w:rPr>
                <w:sz w:val="16"/>
              </w:rPr>
              <w:t>pre-negotiates</w:t>
            </w:r>
            <w:r>
              <w:rPr>
                <w:spacing w:val="-8"/>
                <w:sz w:val="16"/>
              </w:rPr>
              <w:t> </w:t>
            </w:r>
            <w:r>
              <w:rPr>
                <w:sz w:val="16"/>
              </w:rPr>
              <w:t>hotel</w:t>
            </w:r>
            <w:r>
              <w:rPr>
                <w:spacing w:val="-9"/>
                <w:sz w:val="16"/>
              </w:rPr>
              <w:t> </w:t>
            </w:r>
            <w:r>
              <w:rPr>
                <w:sz w:val="16"/>
              </w:rPr>
              <w:t>prices</w:t>
            </w:r>
            <w:r>
              <w:rPr>
                <w:spacing w:val="-8"/>
                <w:sz w:val="16"/>
              </w:rPr>
              <w:t> </w:t>
            </w:r>
            <w:r>
              <w:rPr>
                <w:sz w:val="16"/>
              </w:rPr>
              <w:t>instead</w:t>
            </w:r>
            <w:r>
              <w:rPr>
                <w:spacing w:val="-7"/>
                <w:sz w:val="16"/>
              </w:rPr>
              <w:t> </w:t>
            </w:r>
            <w:r>
              <w:rPr>
                <w:sz w:val="16"/>
              </w:rPr>
              <w:t>of</w:t>
            </w:r>
            <w:r>
              <w:rPr>
                <w:spacing w:val="40"/>
                <w:sz w:val="16"/>
              </w:rPr>
              <w:t> </w:t>
            </w:r>
            <w:r>
              <w:rPr>
                <w:sz w:val="16"/>
              </w:rPr>
              <w:t>depending on daily rates for</w:t>
            </w:r>
            <w:r>
              <w:rPr>
                <w:spacing w:val="40"/>
                <w:sz w:val="16"/>
              </w:rPr>
              <w:t> </w:t>
            </w:r>
            <w:r>
              <w:rPr>
                <w:sz w:val="16"/>
              </w:rPr>
              <w:t>accommodation for trial witnesses who</w:t>
            </w:r>
            <w:r>
              <w:rPr>
                <w:spacing w:val="40"/>
                <w:sz w:val="16"/>
              </w:rPr>
              <w:t> </w:t>
            </w:r>
            <w:r>
              <w:rPr>
                <w:sz w:val="16"/>
              </w:rPr>
              <w:t>testify in court. Such deals create cost</w:t>
            </w:r>
            <w:r>
              <w:rPr>
                <w:spacing w:val="40"/>
                <w:sz w:val="16"/>
              </w:rPr>
              <w:t> </w:t>
            </w:r>
            <w:r>
              <w:rPr>
                <w:sz w:val="16"/>
              </w:rPr>
              <w:t>savings averaging around €40 per</w:t>
            </w:r>
            <w:r>
              <w:rPr>
                <w:spacing w:val="40"/>
                <w:sz w:val="16"/>
              </w:rPr>
              <w:t> </w:t>
            </w:r>
            <w:r>
              <w:rPr>
                <w:sz w:val="16"/>
              </w:rPr>
              <w:t>accommodation per day. This amount, if</w:t>
            </w:r>
            <w:r>
              <w:rPr>
                <w:spacing w:val="40"/>
                <w:sz w:val="16"/>
              </w:rPr>
              <w:t> </w:t>
            </w:r>
            <w:r>
              <w:rPr>
                <w:sz w:val="16"/>
              </w:rPr>
              <w:t>multiplied by the average number of</w:t>
            </w:r>
            <w:r>
              <w:rPr>
                <w:spacing w:val="40"/>
                <w:sz w:val="16"/>
              </w:rPr>
              <w:t> </w:t>
            </w:r>
            <w:r>
              <w:rPr>
                <w:sz w:val="16"/>
              </w:rPr>
              <w:t>testimony days (10) times the number of</w:t>
            </w:r>
            <w:r>
              <w:rPr>
                <w:spacing w:val="40"/>
                <w:sz w:val="16"/>
              </w:rPr>
              <w:t> </w:t>
            </w:r>
            <w:r>
              <w:rPr>
                <w:sz w:val="16"/>
              </w:rPr>
              <w:t>trial appearances, gives the estimated</w:t>
            </w:r>
            <w:r>
              <w:rPr>
                <w:spacing w:val="40"/>
                <w:sz w:val="16"/>
              </w:rPr>
              <w:t> </w:t>
            </w:r>
            <w:r>
              <w:rPr>
                <w:sz w:val="16"/>
              </w:rPr>
              <w:t>bottom-line</w:t>
            </w:r>
            <w:r>
              <w:rPr>
                <w:spacing w:val="-3"/>
                <w:sz w:val="16"/>
              </w:rPr>
              <w:t> </w:t>
            </w:r>
            <w:r>
              <w:rPr>
                <w:sz w:val="16"/>
              </w:rPr>
              <w:t>savings.</w:t>
            </w:r>
          </w:p>
        </w:tc>
        <w:tc>
          <w:tcPr>
            <w:tcW w:w="4173" w:type="dxa"/>
          </w:tcPr>
          <w:p>
            <w:pPr>
              <w:pStyle w:val="TableParagraph"/>
              <w:spacing w:line="259" w:lineRule="auto"/>
              <w:ind w:left="109" w:right="141"/>
              <w:jc w:val="left"/>
              <w:rPr>
                <w:sz w:val="16"/>
              </w:rPr>
            </w:pPr>
            <w:r>
              <w:rPr>
                <w:sz w:val="16"/>
              </w:rPr>
              <w:t>Savings in trial-related costs for 50% of proposed trial</w:t>
            </w:r>
            <w:r>
              <w:rPr>
                <w:spacing w:val="40"/>
                <w:sz w:val="16"/>
              </w:rPr>
              <w:t> </w:t>
            </w:r>
            <w:r>
              <w:rPr>
                <w:sz w:val="16"/>
              </w:rPr>
              <w:t>witnesses</w:t>
            </w:r>
            <w:r>
              <w:rPr>
                <w:spacing w:val="-6"/>
                <w:sz w:val="16"/>
              </w:rPr>
              <w:t> </w:t>
            </w:r>
            <w:r>
              <w:rPr>
                <w:sz w:val="16"/>
              </w:rPr>
              <w:t>estimated</w:t>
            </w:r>
            <w:r>
              <w:rPr>
                <w:spacing w:val="-4"/>
                <w:sz w:val="16"/>
              </w:rPr>
              <w:t> </w:t>
            </w:r>
            <w:r>
              <w:rPr>
                <w:sz w:val="16"/>
              </w:rPr>
              <w:t>to</w:t>
            </w:r>
            <w:r>
              <w:rPr>
                <w:spacing w:val="-4"/>
                <w:sz w:val="16"/>
              </w:rPr>
              <w:t> </w:t>
            </w:r>
            <w:r>
              <w:rPr>
                <w:sz w:val="16"/>
              </w:rPr>
              <w:t>appear</w:t>
            </w:r>
            <w:r>
              <w:rPr>
                <w:spacing w:val="-6"/>
                <w:sz w:val="16"/>
              </w:rPr>
              <w:t> </w:t>
            </w:r>
            <w:r>
              <w:rPr>
                <w:sz w:val="16"/>
              </w:rPr>
              <w:t>at</w:t>
            </w:r>
            <w:r>
              <w:rPr>
                <w:spacing w:val="-7"/>
                <w:sz w:val="16"/>
              </w:rPr>
              <w:t> </w:t>
            </w:r>
            <w:r>
              <w:rPr>
                <w:sz w:val="16"/>
              </w:rPr>
              <w:t>trial</w:t>
            </w:r>
            <w:r>
              <w:rPr>
                <w:spacing w:val="-7"/>
                <w:sz w:val="16"/>
              </w:rPr>
              <w:t> </w:t>
            </w:r>
            <w:r>
              <w:rPr>
                <w:sz w:val="16"/>
              </w:rPr>
              <w:t>proceedings</w:t>
            </w:r>
            <w:r>
              <w:rPr>
                <w:spacing w:val="-6"/>
                <w:sz w:val="16"/>
              </w:rPr>
              <w:t> </w:t>
            </w:r>
            <w:r>
              <w:rPr>
                <w:sz w:val="16"/>
              </w:rPr>
              <w:t>in</w:t>
            </w:r>
            <w:r>
              <w:rPr>
                <w:spacing w:val="-4"/>
                <w:sz w:val="16"/>
              </w:rPr>
              <w:t> </w:t>
            </w:r>
            <w:r>
              <w:rPr>
                <w:sz w:val="16"/>
              </w:rPr>
              <w:t>The</w:t>
            </w:r>
            <w:r>
              <w:rPr>
                <w:spacing w:val="40"/>
                <w:sz w:val="16"/>
              </w:rPr>
              <w:t> </w:t>
            </w:r>
            <w:r>
              <w:rPr>
                <w:spacing w:val="-2"/>
                <w:sz w:val="16"/>
              </w:rPr>
              <w:t>Hague.</w:t>
            </w:r>
          </w:p>
        </w:tc>
        <w:tc>
          <w:tcPr>
            <w:tcW w:w="1129" w:type="dxa"/>
          </w:tcPr>
          <w:p>
            <w:pPr>
              <w:pStyle w:val="TableParagraph"/>
              <w:spacing w:before="9"/>
              <w:jc w:val="left"/>
              <w:rPr>
                <w:sz w:val="15"/>
              </w:rPr>
            </w:pPr>
          </w:p>
          <w:p>
            <w:pPr>
              <w:pStyle w:val="TableParagraph"/>
              <w:ind w:right="98"/>
              <w:rPr>
                <w:sz w:val="16"/>
              </w:rPr>
            </w:pPr>
            <w:r>
              <w:rPr>
                <w:spacing w:val="-2"/>
                <w:sz w:val="16"/>
              </w:rPr>
              <w:t>26,200</w:t>
            </w:r>
          </w:p>
        </w:tc>
        <w:tc>
          <w:tcPr>
            <w:tcW w:w="1297" w:type="dxa"/>
          </w:tcPr>
          <w:p>
            <w:pPr>
              <w:pStyle w:val="TableParagraph"/>
              <w:spacing w:before="5"/>
              <w:jc w:val="left"/>
              <w:rPr>
                <w:sz w:val="17"/>
              </w:rPr>
            </w:pPr>
          </w:p>
          <w:p>
            <w:pPr>
              <w:pStyle w:val="TableParagraph"/>
              <w:spacing w:before="1"/>
              <w:ind w:right="98"/>
              <w:rPr>
                <w:sz w:val="16"/>
              </w:rPr>
            </w:pPr>
            <w:r>
              <w:rPr>
                <w:spacing w:val="-2"/>
                <w:sz w:val="16"/>
              </w:rPr>
              <w:t>26,200</w:t>
            </w:r>
          </w:p>
        </w:tc>
      </w:tr>
      <w:tr>
        <w:trPr>
          <w:trHeight w:val="518" w:hRule="atLeast"/>
        </w:trPr>
        <w:tc>
          <w:tcPr>
            <w:tcW w:w="3045" w:type="dxa"/>
          </w:tcPr>
          <w:p>
            <w:pPr>
              <w:pStyle w:val="TableParagraph"/>
              <w:spacing w:before="1"/>
              <w:jc w:val="left"/>
              <w:rPr>
                <w:sz w:val="14"/>
              </w:rPr>
            </w:pPr>
          </w:p>
          <w:p>
            <w:pPr>
              <w:pStyle w:val="TableParagraph"/>
              <w:ind w:left="110"/>
              <w:jc w:val="left"/>
              <w:rPr>
                <w:b/>
                <w:sz w:val="16"/>
              </w:rPr>
            </w:pPr>
            <w:r>
              <w:rPr>
                <w:b/>
                <w:w w:val="95"/>
                <w:sz w:val="16"/>
              </w:rPr>
              <w:t>Grand</w:t>
            </w:r>
            <w:r>
              <w:rPr>
                <w:b/>
                <w:spacing w:val="14"/>
                <w:sz w:val="16"/>
              </w:rPr>
              <w:t> </w:t>
            </w:r>
            <w:r>
              <w:rPr>
                <w:b/>
                <w:spacing w:val="-2"/>
                <w:sz w:val="16"/>
              </w:rPr>
              <w:t>total</w:t>
            </w:r>
          </w:p>
        </w:tc>
        <w:tc>
          <w:tcPr>
            <w:tcW w:w="4173" w:type="dxa"/>
          </w:tcPr>
          <w:p>
            <w:pPr>
              <w:pStyle w:val="TableParagraph"/>
              <w:jc w:val="left"/>
              <w:rPr>
                <w:sz w:val="14"/>
              </w:rPr>
            </w:pPr>
          </w:p>
        </w:tc>
        <w:tc>
          <w:tcPr>
            <w:tcW w:w="1129" w:type="dxa"/>
          </w:tcPr>
          <w:p>
            <w:pPr>
              <w:pStyle w:val="TableParagraph"/>
              <w:spacing w:before="1"/>
              <w:jc w:val="left"/>
              <w:rPr>
                <w:sz w:val="14"/>
              </w:rPr>
            </w:pPr>
          </w:p>
          <w:p>
            <w:pPr>
              <w:pStyle w:val="TableParagraph"/>
              <w:ind w:right="98"/>
              <w:rPr>
                <w:b/>
                <w:sz w:val="16"/>
              </w:rPr>
            </w:pPr>
            <w:r>
              <w:rPr>
                <w:b/>
                <w:spacing w:val="-2"/>
                <w:sz w:val="16"/>
              </w:rPr>
              <w:t>557,756</w:t>
            </w:r>
          </w:p>
        </w:tc>
        <w:tc>
          <w:tcPr>
            <w:tcW w:w="1297" w:type="dxa"/>
          </w:tcPr>
          <w:p>
            <w:pPr>
              <w:pStyle w:val="TableParagraph"/>
              <w:spacing w:before="1"/>
              <w:jc w:val="left"/>
              <w:rPr>
                <w:sz w:val="14"/>
              </w:rPr>
            </w:pPr>
          </w:p>
          <w:p>
            <w:pPr>
              <w:pStyle w:val="TableParagraph"/>
              <w:ind w:right="98"/>
              <w:rPr>
                <w:b/>
                <w:sz w:val="16"/>
              </w:rPr>
            </w:pPr>
            <w:r>
              <w:rPr>
                <w:b/>
                <w:spacing w:val="-2"/>
                <w:sz w:val="16"/>
              </w:rPr>
              <w:t>949,256</w:t>
            </w:r>
          </w:p>
        </w:tc>
      </w:tr>
    </w:tbl>
    <w:p>
      <w:pPr>
        <w:pStyle w:val="BodyText"/>
      </w:pPr>
    </w:p>
    <w:p>
      <w:pPr>
        <w:pStyle w:val="BodyText"/>
        <w:spacing w:before="1"/>
        <w:rPr>
          <w:sz w:val="19"/>
        </w:rPr>
      </w:pPr>
    </w:p>
    <w:p>
      <w:pPr>
        <w:pStyle w:val="ListParagraph"/>
        <w:numPr>
          <w:ilvl w:val="1"/>
          <w:numId w:val="130"/>
        </w:numPr>
        <w:tabs>
          <w:tab w:pos="2967" w:val="left" w:leader="none"/>
        </w:tabs>
        <w:spacing w:line="240" w:lineRule="auto" w:before="90" w:after="0"/>
        <w:ind w:left="2967" w:right="0" w:hanging="361"/>
        <w:jc w:val="left"/>
        <w:rPr>
          <w:b/>
          <w:sz w:val="24"/>
        </w:rPr>
      </w:pPr>
      <w:r>
        <w:rPr>
          <w:b/>
          <w:spacing w:val="-2"/>
          <w:sz w:val="24"/>
        </w:rPr>
        <w:t>Efficiencies</w:t>
      </w:r>
    </w:p>
    <w:p>
      <w:pPr>
        <w:pStyle w:val="BodyText"/>
        <w:spacing w:before="7"/>
        <w:rPr>
          <w:b/>
          <w:sz w:val="22"/>
        </w:rPr>
      </w:pPr>
    </w:p>
    <w:tbl>
      <w:tblPr>
        <w:tblW w:w="0" w:type="auto"/>
        <w:jc w:val="left"/>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58"/>
        <w:gridCol w:w="3828"/>
        <w:gridCol w:w="1431"/>
        <w:gridCol w:w="1426"/>
      </w:tblGrid>
      <w:tr>
        <w:trPr>
          <w:trHeight w:val="993" w:hRule="atLeast"/>
        </w:trPr>
        <w:tc>
          <w:tcPr>
            <w:tcW w:w="2958" w:type="dxa"/>
            <w:tcBorders>
              <w:left w:val="nil"/>
              <w:right w:val="nil"/>
            </w:tcBorders>
          </w:tcPr>
          <w:p>
            <w:pPr>
              <w:pStyle w:val="TableParagraph"/>
              <w:jc w:val="left"/>
              <w:rPr>
                <w:b/>
                <w:sz w:val="18"/>
              </w:rPr>
            </w:pPr>
          </w:p>
          <w:p>
            <w:pPr>
              <w:pStyle w:val="TableParagraph"/>
              <w:spacing w:before="6"/>
              <w:jc w:val="left"/>
              <w:rPr>
                <w:b/>
                <w:sz w:val="16"/>
              </w:rPr>
            </w:pPr>
          </w:p>
          <w:p>
            <w:pPr>
              <w:pStyle w:val="TableParagraph"/>
              <w:ind w:left="1104" w:right="1089"/>
              <w:jc w:val="center"/>
              <w:rPr>
                <w:sz w:val="16"/>
              </w:rPr>
            </w:pPr>
            <w:r>
              <w:rPr>
                <w:spacing w:val="-2"/>
                <w:sz w:val="16"/>
              </w:rPr>
              <w:t>Description</w:t>
            </w:r>
          </w:p>
        </w:tc>
        <w:tc>
          <w:tcPr>
            <w:tcW w:w="3828" w:type="dxa"/>
            <w:tcBorders>
              <w:left w:val="nil"/>
              <w:right w:val="nil"/>
            </w:tcBorders>
          </w:tcPr>
          <w:p>
            <w:pPr>
              <w:pStyle w:val="TableParagraph"/>
              <w:jc w:val="left"/>
              <w:rPr>
                <w:b/>
                <w:sz w:val="18"/>
              </w:rPr>
            </w:pPr>
          </w:p>
          <w:p>
            <w:pPr>
              <w:pStyle w:val="TableParagraph"/>
              <w:spacing w:before="6"/>
              <w:jc w:val="left"/>
              <w:rPr>
                <w:b/>
                <w:sz w:val="16"/>
              </w:rPr>
            </w:pPr>
          </w:p>
          <w:p>
            <w:pPr>
              <w:pStyle w:val="TableParagraph"/>
              <w:ind w:left="989"/>
              <w:jc w:val="left"/>
              <w:rPr>
                <w:sz w:val="16"/>
              </w:rPr>
            </w:pPr>
            <w:r>
              <w:rPr>
                <w:sz w:val="16"/>
              </w:rPr>
              <w:t>Achieved</w:t>
            </w:r>
            <w:r>
              <w:rPr>
                <w:spacing w:val="-4"/>
                <w:sz w:val="16"/>
              </w:rPr>
              <w:t> </w:t>
            </w:r>
            <w:r>
              <w:rPr>
                <w:sz w:val="16"/>
              </w:rPr>
              <w:t>output</w:t>
            </w:r>
            <w:r>
              <w:rPr>
                <w:spacing w:val="-6"/>
                <w:sz w:val="16"/>
              </w:rPr>
              <w:t> </w:t>
            </w:r>
            <w:r>
              <w:rPr>
                <w:sz w:val="16"/>
              </w:rPr>
              <w:t>(2023</w:t>
            </w:r>
            <w:r>
              <w:rPr>
                <w:spacing w:val="-3"/>
                <w:sz w:val="16"/>
              </w:rPr>
              <w:t> </w:t>
            </w:r>
            <w:r>
              <w:rPr>
                <w:spacing w:val="-4"/>
                <w:sz w:val="16"/>
              </w:rPr>
              <w:t>PPB)</w:t>
            </w:r>
          </w:p>
        </w:tc>
        <w:tc>
          <w:tcPr>
            <w:tcW w:w="1431" w:type="dxa"/>
            <w:tcBorders>
              <w:left w:val="nil"/>
              <w:right w:val="nil"/>
            </w:tcBorders>
          </w:tcPr>
          <w:p>
            <w:pPr>
              <w:pStyle w:val="TableParagraph"/>
              <w:spacing w:line="259" w:lineRule="auto"/>
              <w:ind w:left="152" w:right="141" w:hanging="4"/>
              <w:jc w:val="center"/>
              <w:rPr>
                <w:i/>
                <w:sz w:val="16"/>
              </w:rPr>
            </w:pPr>
            <w:r>
              <w:rPr>
                <w:i/>
                <w:sz w:val="16"/>
              </w:rPr>
              <w:t>2022</w:t>
            </w:r>
            <w:r>
              <w:rPr>
                <w:i/>
                <w:spacing w:val="-1"/>
                <w:sz w:val="16"/>
              </w:rPr>
              <w:t> </w:t>
            </w:r>
            <w:r>
              <w:rPr>
                <w:i/>
                <w:sz w:val="16"/>
              </w:rPr>
              <w:t>Costs</w:t>
            </w:r>
            <w:r>
              <w:rPr>
                <w:i/>
                <w:spacing w:val="40"/>
                <w:sz w:val="16"/>
              </w:rPr>
              <w:t> </w:t>
            </w:r>
            <w:r>
              <w:rPr>
                <w:i/>
                <w:sz w:val="16"/>
              </w:rPr>
              <w:t>avoided</w:t>
            </w:r>
            <w:r>
              <w:rPr>
                <w:i/>
                <w:spacing w:val="-10"/>
                <w:sz w:val="16"/>
              </w:rPr>
              <w:t> </w:t>
            </w:r>
            <w:r>
              <w:rPr>
                <w:i/>
                <w:sz w:val="16"/>
              </w:rPr>
              <w:t>(baseline</w:t>
            </w:r>
            <w:r>
              <w:rPr>
                <w:i/>
                <w:spacing w:val="40"/>
                <w:sz w:val="16"/>
              </w:rPr>
              <w:t> </w:t>
            </w:r>
            <w:r>
              <w:rPr>
                <w:i/>
                <w:spacing w:val="-2"/>
                <w:sz w:val="16"/>
              </w:rPr>
              <w:t>maintained)</w:t>
            </w:r>
            <w:r>
              <w:rPr>
                <w:i/>
                <w:spacing w:val="40"/>
                <w:sz w:val="16"/>
              </w:rPr>
              <w:t> </w:t>
            </w:r>
            <w:r>
              <w:rPr>
                <w:i/>
                <w:sz w:val="16"/>
              </w:rPr>
              <w:t>(thousands</w:t>
            </w:r>
            <w:r>
              <w:rPr>
                <w:i/>
                <w:spacing w:val="-5"/>
                <w:sz w:val="16"/>
              </w:rPr>
              <w:t> </w:t>
            </w:r>
            <w:r>
              <w:rPr>
                <w:i/>
                <w:sz w:val="16"/>
              </w:rPr>
              <w:t>of</w:t>
            </w:r>
          </w:p>
          <w:p>
            <w:pPr>
              <w:pStyle w:val="TableParagraph"/>
              <w:spacing w:line="179" w:lineRule="exact"/>
              <w:ind w:left="505" w:right="489"/>
              <w:jc w:val="center"/>
              <w:rPr>
                <w:i/>
                <w:sz w:val="16"/>
              </w:rPr>
            </w:pPr>
            <w:r>
              <w:rPr>
                <w:i/>
                <w:spacing w:val="-2"/>
                <w:sz w:val="16"/>
              </w:rPr>
              <w:t>euros)</w:t>
            </w:r>
          </w:p>
        </w:tc>
        <w:tc>
          <w:tcPr>
            <w:tcW w:w="1426" w:type="dxa"/>
            <w:tcBorders>
              <w:left w:val="nil"/>
              <w:right w:val="nil"/>
            </w:tcBorders>
          </w:tcPr>
          <w:p>
            <w:pPr>
              <w:pStyle w:val="TableParagraph"/>
              <w:jc w:val="left"/>
              <w:rPr>
                <w:b/>
                <w:sz w:val="17"/>
              </w:rPr>
            </w:pPr>
          </w:p>
          <w:p>
            <w:pPr>
              <w:pStyle w:val="TableParagraph"/>
              <w:spacing w:line="259" w:lineRule="auto"/>
              <w:ind w:left="162" w:right="154"/>
              <w:jc w:val="center"/>
              <w:rPr>
                <w:i/>
                <w:sz w:val="16"/>
              </w:rPr>
            </w:pPr>
            <w:r>
              <w:rPr>
                <w:i/>
                <w:sz w:val="16"/>
              </w:rPr>
              <w:t>2023</w:t>
            </w:r>
            <w:r>
              <w:rPr>
                <w:i/>
                <w:spacing w:val="-10"/>
                <w:sz w:val="16"/>
              </w:rPr>
              <w:t> </w:t>
            </w:r>
            <w:r>
              <w:rPr>
                <w:i/>
                <w:sz w:val="16"/>
              </w:rPr>
              <w:t>Efficiencies</w:t>
            </w:r>
            <w:r>
              <w:rPr>
                <w:i/>
                <w:spacing w:val="40"/>
                <w:sz w:val="16"/>
              </w:rPr>
              <w:t> </w:t>
            </w:r>
            <w:r>
              <w:rPr>
                <w:i/>
                <w:sz w:val="16"/>
              </w:rPr>
              <w:t>(thousands</w:t>
            </w:r>
            <w:r>
              <w:rPr>
                <w:i/>
                <w:spacing w:val="-5"/>
                <w:sz w:val="16"/>
              </w:rPr>
              <w:t> </w:t>
            </w:r>
            <w:r>
              <w:rPr>
                <w:i/>
                <w:sz w:val="16"/>
              </w:rPr>
              <w:t>of</w:t>
            </w:r>
            <w:r>
              <w:rPr>
                <w:i/>
                <w:spacing w:val="40"/>
                <w:sz w:val="16"/>
              </w:rPr>
              <w:t> </w:t>
            </w:r>
            <w:r>
              <w:rPr>
                <w:i/>
                <w:spacing w:val="-2"/>
                <w:sz w:val="16"/>
              </w:rPr>
              <w:t>euros)</w:t>
            </w:r>
          </w:p>
        </w:tc>
      </w:tr>
      <w:tr>
        <w:trPr>
          <w:trHeight w:val="2145" w:hRule="atLeast"/>
        </w:trPr>
        <w:tc>
          <w:tcPr>
            <w:tcW w:w="2958" w:type="dxa"/>
          </w:tcPr>
          <w:p>
            <w:pPr>
              <w:pStyle w:val="TableParagraph"/>
              <w:spacing w:line="259" w:lineRule="auto"/>
              <w:ind w:left="110" w:right="120"/>
              <w:jc w:val="left"/>
              <w:rPr>
                <w:sz w:val="16"/>
              </w:rPr>
            </w:pPr>
            <w:r>
              <w:rPr>
                <w:sz w:val="16"/>
              </w:rPr>
              <w:t>A paperless travel completion and</w:t>
            </w:r>
            <w:r>
              <w:rPr>
                <w:spacing w:val="40"/>
                <w:sz w:val="16"/>
              </w:rPr>
              <w:t> </w:t>
            </w:r>
            <w:r>
              <w:rPr>
                <w:sz w:val="16"/>
              </w:rPr>
              <w:t>settlement</w:t>
            </w:r>
            <w:r>
              <w:rPr>
                <w:spacing w:val="-6"/>
                <w:sz w:val="16"/>
              </w:rPr>
              <w:t> </w:t>
            </w:r>
            <w:r>
              <w:rPr>
                <w:sz w:val="16"/>
              </w:rPr>
              <w:t>process</w:t>
            </w:r>
            <w:r>
              <w:rPr>
                <w:spacing w:val="-6"/>
                <w:sz w:val="16"/>
              </w:rPr>
              <w:t> </w:t>
            </w:r>
            <w:r>
              <w:rPr>
                <w:sz w:val="16"/>
              </w:rPr>
              <w:t>has</w:t>
            </w:r>
            <w:r>
              <w:rPr>
                <w:spacing w:val="-6"/>
                <w:sz w:val="16"/>
              </w:rPr>
              <w:t> </w:t>
            </w:r>
            <w:r>
              <w:rPr>
                <w:sz w:val="16"/>
              </w:rPr>
              <w:t>been</w:t>
            </w:r>
            <w:r>
              <w:rPr>
                <w:spacing w:val="-4"/>
                <w:sz w:val="16"/>
              </w:rPr>
              <w:t> </w:t>
            </w:r>
            <w:r>
              <w:rPr>
                <w:sz w:val="16"/>
              </w:rPr>
              <w:t>implemented,</w:t>
            </w:r>
            <w:r>
              <w:rPr>
                <w:spacing w:val="40"/>
                <w:sz w:val="16"/>
              </w:rPr>
              <w:t> </w:t>
            </w:r>
            <w:r>
              <w:rPr>
                <w:sz w:val="16"/>
              </w:rPr>
              <w:t>generating efficiencies for travellers and</w:t>
            </w:r>
            <w:r>
              <w:rPr>
                <w:spacing w:val="40"/>
                <w:sz w:val="16"/>
              </w:rPr>
              <w:t> </w:t>
            </w:r>
            <w:r>
              <w:rPr>
                <w:sz w:val="16"/>
              </w:rPr>
              <w:t>travel administrators by allowing them to</w:t>
            </w:r>
            <w:r>
              <w:rPr>
                <w:spacing w:val="40"/>
                <w:sz w:val="16"/>
              </w:rPr>
              <w:t> </w:t>
            </w:r>
            <w:r>
              <w:rPr>
                <w:sz w:val="16"/>
              </w:rPr>
              <w:t>attach</w:t>
            </w:r>
            <w:r>
              <w:rPr>
                <w:spacing w:val="-1"/>
                <w:sz w:val="16"/>
              </w:rPr>
              <w:t> </w:t>
            </w:r>
            <w:r>
              <w:rPr>
                <w:sz w:val="16"/>
              </w:rPr>
              <w:t>electronic</w:t>
            </w:r>
            <w:r>
              <w:rPr>
                <w:spacing w:val="-2"/>
                <w:sz w:val="16"/>
              </w:rPr>
              <w:t> </w:t>
            </w:r>
            <w:r>
              <w:rPr>
                <w:sz w:val="16"/>
              </w:rPr>
              <w:t>supporting</w:t>
            </w:r>
            <w:r>
              <w:rPr>
                <w:spacing w:val="-1"/>
                <w:sz w:val="16"/>
              </w:rPr>
              <w:t> </w:t>
            </w:r>
            <w:r>
              <w:rPr>
                <w:sz w:val="16"/>
              </w:rPr>
              <w:t>documents</w:t>
            </w:r>
            <w:r>
              <w:rPr>
                <w:spacing w:val="-3"/>
                <w:sz w:val="16"/>
              </w:rPr>
              <w:t> </w:t>
            </w:r>
            <w:r>
              <w:rPr>
                <w:sz w:val="16"/>
              </w:rPr>
              <w:t>in</w:t>
            </w:r>
            <w:r>
              <w:rPr>
                <w:spacing w:val="40"/>
                <w:sz w:val="16"/>
              </w:rPr>
              <w:t> </w:t>
            </w:r>
            <w:r>
              <w:rPr>
                <w:sz w:val="16"/>
              </w:rPr>
              <w:t>SAP</w:t>
            </w:r>
            <w:r>
              <w:rPr>
                <w:spacing w:val="-10"/>
                <w:sz w:val="16"/>
              </w:rPr>
              <w:t> </w:t>
            </w:r>
            <w:r>
              <w:rPr>
                <w:sz w:val="16"/>
              </w:rPr>
              <w:t>as</w:t>
            </w:r>
            <w:r>
              <w:rPr>
                <w:spacing w:val="-4"/>
                <w:sz w:val="16"/>
              </w:rPr>
              <w:t> </w:t>
            </w:r>
            <w:r>
              <w:rPr>
                <w:sz w:val="16"/>
              </w:rPr>
              <w:t>a</w:t>
            </w:r>
            <w:r>
              <w:rPr>
                <w:spacing w:val="-7"/>
                <w:sz w:val="16"/>
              </w:rPr>
              <w:t> </w:t>
            </w:r>
            <w:r>
              <w:rPr>
                <w:sz w:val="16"/>
              </w:rPr>
              <w:t>central</w:t>
            </w:r>
            <w:r>
              <w:rPr>
                <w:spacing w:val="-9"/>
                <w:sz w:val="16"/>
              </w:rPr>
              <w:t> </w:t>
            </w:r>
            <w:r>
              <w:rPr>
                <w:sz w:val="16"/>
              </w:rPr>
              <w:t>repository</w:t>
            </w:r>
            <w:r>
              <w:rPr>
                <w:spacing w:val="-6"/>
                <w:sz w:val="16"/>
              </w:rPr>
              <w:t> </w:t>
            </w:r>
            <w:r>
              <w:rPr>
                <w:sz w:val="16"/>
              </w:rPr>
              <w:t>of</w:t>
            </w:r>
            <w:r>
              <w:rPr>
                <w:spacing w:val="-8"/>
                <w:sz w:val="16"/>
              </w:rPr>
              <w:t> </w:t>
            </w:r>
            <w:r>
              <w:rPr>
                <w:sz w:val="16"/>
              </w:rPr>
              <w:t>information</w:t>
            </w:r>
            <w:r>
              <w:rPr>
                <w:spacing w:val="40"/>
                <w:sz w:val="16"/>
              </w:rPr>
              <w:t> </w:t>
            </w:r>
            <w:r>
              <w:rPr>
                <w:sz w:val="16"/>
              </w:rPr>
              <w:t>for all actors in the process, thereby</w:t>
            </w:r>
            <w:r>
              <w:rPr>
                <w:spacing w:val="40"/>
                <w:sz w:val="16"/>
              </w:rPr>
              <w:t> </w:t>
            </w:r>
            <w:r>
              <w:rPr>
                <w:sz w:val="16"/>
              </w:rPr>
              <w:t>eliminating</w:t>
            </w:r>
            <w:r>
              <w:rPr>
                <w:spacing w:val="-4"/>
                <w:sz w:val="16"/>
              </w:rPr>
              <w:t> </w:t>
            </w:r>
            <w:r>
              <w:rPr>
                <w:sz w:val="16"/>
              </w:rPr>
              <w:t>the</w:t>
            </w:r>
            <w:r>
              <w:rPr>
                <w:spacing w:val="-5"/>
                <w:sz w:val="16"/>
              </w:rPr>
              <w:t> </w:t>
            </w:r>
            <w:r>
              <w:rPr>
                <w:sz w:val="16"/>
              </w:rPr>
              <w:t>need</w:t>
            </w:r>
            <w:r>
              <w:rPr>
                <w:spacing w:val="-4"/>
                <w:sz w:val="16"/>
              </w:rPr>
              <w:t> </w:t>
            </w:r>
            <w:r>
              <w:rPr>
                <w:sz w:val="16"/>
              </w:rPr>
              <w:t>for</w:t>
            </w:r>
            <w:r>
              <w:rPr>
                <w:spacing w:val="-5"/>
                <w:sz w:val="16"/>
              </w:rPr>
              <w:t> </w:t>
            </w:r>
            <w:r>
              <w:rPr>
                <w:sz w:val="16"/>
              </w:rPr>
              <w:t>paper</w:t>
            </w:r>
            <w:r>
              <w:rPr>
                <w:spacing w:val="-5"/>
                <w:sz w:val="16"/>
              </w:rPr>
              <w:t> </w:t>
            </w:r>
            <w:r>
              <w:rPr>
                <w:sz w:val="16"/>
              </w:rPr>
              <w:t>forms</w:t>
            </w:r>
            <w:r>
              <w:rPr>
                <w:spacing w:val="-5"/>
                <w:sz w:val="16"/>
              </w:rPr>
              <w:t> </w:t>
            </w:r>
            <w:r>
              <w:rPr>
                <w:sz w:val="16"/>
              </w:rPr>
              <w:t>to</w:t>
            </w:r>
            <w:r>
              <w:rPr>
                <w:spacing w:val="-4"/>
                <w:sz w:val="16"/>
              </w:rPr>
              <w:t> </w:t>
            </w:r>
            <w:r>
              <w:rPr>
                <w:sz w:val="16"/>
              </w:rPr>
              <w:t>be</w:t>
            </w:r>
            <w:r>
              <w:rPr>
                <w:spacing w:val="40"/>
                <w:sz w:val="16"/>
              </w:rPr>
              <w:t> </w:t>
            </w:r>
            <w:r>
              <w:rPr>
                <w:sz w:val="16"/>
              </w:rPr>
              <w:t>printed and distributed between services.</w:t>
            </w:r>
          </w:p>
        </w:tc>
        <w:tc>
          <w:tcPr>
            <w:tcW w:w="3828" w:type="dxa"/>
          </w:tcPr>
          <w:p>
            <w:pPr>
              <w:pStyle w:val="TableParagraph"/>
              <w:spacing w:line="259" w:lineRule="auto"/>
              <w:ind w:left="105" w:right="152"/>
              <w:jc w:val="left"/>
              <w:rPr>
                <w:sz w:val="16"/>
              </w:rPr>
            </w:pPr>
            <w:r>
              <w:rPr>
                <w:sz w:val="16"/>
              </w:rPr>
              <w:t>The</w:t>
            </w:r>
            <w:r>
              <w:rPr>
                <w:spacing w:val="-2"/>
                <w:sz w:val="16"/>
              </w:rPr>
              <w:t> </w:t>
            </w:r>
            <w:r>
              <w:rPr>
                <w:sz w:val="16"/>
              </w:rPr>
              <w:t>completion</w:t>
            </w:r>
            <w:r>
              <w:rPr>
                <w:spacing w:val="-1"/>
                <w:sz w:val="16"/>
              </w:rPr>
              <w:t> </w:t>
            </w:r>
            <w:r>
              <w:rPr>
                <w:sz w:val="16"/>
              </w:rPr>
              <w:t>step</w:t>
            </w:r>
            <w:r>
              <w:rPr>
                <w:spacing w:val="-1"/>
                <w:sz w:val="16"/>
              </w:rPr>
              <w:t> </w:t>
            </w:r>
            <w:r>
              <w:rPr>
                <w:sz w:val="16"/>
              </w:rPr>
              <w:t>for</w:t>
            </w:r>
            <w:r>
              <w:rPr>
                <w:spacing w:val="-3"/>
                <w:sz w:val="16"/>
              </w:rPr>
              <w:t> </w:t>
            </w:r>
            <w:r>
              <w:rPr>
                <w:sz w:val="16"/>
              </w:rPr>
              <w:t>travel</w:t>
            </w:r>
            <w:r>
              <w:rPr>
                <w:spacing w:val="-4"/>
                <w:sz w:val="16"/>
              </w:rPr>
              <w:t> </w:t>
            </w:r>
            <w:r>
              <w:rPr>
                <w:sz w:val="16"/>
              </w:rPr>
              <w:t>settlements</w:t>
            </w:r>
            <w:r>
              <w:rPr>
                <w:spacing w:val="-3"/>
                <w:sz w:val="16"/>
              </w:rPr>
              <w:t> </w:t>
            </w:r>
            <w:r>
              <w:rPr>
                <w:sz w:val="16"/>
              </w:rPr>
              <w:t>is</w:t>
            </w:r>
            <w:r>
              <w:rPr>
                <w:spacing w:val="-3"/>
                <w:sz w:val="16"/>
              </w:rPr>
              <w:t> </w:t>
            </w:r>
            <w:r>
              <w:rPr>
                <w:sz w:val="16"/>
              </w:rPr>
              <w:t>simplified</w:t>
            </w:r>
            <w:r>
              <w:rPr>
                <w:spacing w:val="40"/>
                <w:sz w:val="16"/>
              </w:rPr>
              <w:t> </w:t>
            </w:r>
            <w:r>
              <w:rPr>
                <w:sz w:val="16"/>
              </w:rPr>
              <w:t>for all users and available to all relevant parties,</w:t>
            </w:r>
            <w:r>
              <w:rPr>
                <w:spacing w:val="40"/>
                <w:sz w:val="16"/>
              </w:rPr>
              <w:t> </w:t>
            </w:r>
            <w:r>
              <w:rPr>
                <w:sz w:val="16"/>
              </w:rPr>
              <w:t>including</w:t>
            </w:r>
            <w:r>
              <w:rPr>
                <w:spacing w:val="-3"/>
                <w:sz w:val="16"/>
              </w:rPr>
              <w:t> </w:t>
            </w:r>
            <w:r>
              <w:rPr>
                <w:sz w:val="16"/>
              </w:rPr>
              <w:t>for</w:t>
            </w:r>
            <w:r>
              <w:rPr>
                <w:spacing w:val="-5"/>
                <w:sz w:val="16"/>
              </w:rPr>
              <w:t> </w:t>
            </w:r>
            <w:r>
              <w:rPr>
                <w:sz w:val="16"/>
              </w:rPr>
              <w:t>audit</w:t>
            </w:r>
            <w:r>
              <w:rPr>
                <w:spacing w:val="-6"/>
                <w:sz w:val="16"/>
              </w:rPr>
              <w:t> </w:t>
            </w:r>
            <w:r>
              <w:rPr>
                <w:sz w:val="16"/>
              </w:rPr>
              <w:t>and</w:t>
            </w:r>
            <w:r>
              <w:rPr>
                <w:spacing w:val="-3"/>
                <w:sz w:val="16"/>
              </w:rPr>
              <w:t> </w:t>
            </w:r>
            <w:r>
              <w:rPr>
                <w:sz w:val="16"/>
              </w:rPr>
              <w:t>other</w:t>
            </w:r>
            <w:r>
              <w:rPr>
                <w:spacing w:val="-5"/>
                <w:sz w:val="16"/>
              </w:rPr>
              <w:t> </w:t>
            </w:r>
            <w:r>
              <w:rPr>
                <w:sz w:val="16"/>
              </w:rPr>
              <w:t>verification</w:t>
            </w:r>
            <w:r>
              <w:rPr>
                <w:spacing w:val="-3"/>
                <w:sz w:val="16"/>
              </w:rPr>
              <w:t> </w:t>
            </w:r>
            <w:r>
              <w:rPr>
                <w:sz w:val="16"/>
              </w:rPr>
              <w:t>purposes.</w:t>
            </w:r>
            <w:r>
              <w:rPr>
                <w:spacing w:val="-6"/>
                <w:sz w:val="16"/>
              </w:rPr>
              <w:t> </w:t>
            </w:r>
            <w:r>
              <w:rPr>
                <w:sz w:val="16"/>
              </w:rPr>
              <w:t>The</w:t>
            </w:r>
            <w:r>
              <w:rPr>
                <w:spacing w:val="40"/>
                <w:sz w:val="16"/>
              </w:rPr>
              <w:t> </w:t>
            </w:r>
            <w:r>
              <w:rPr>
                <w:sz w:val="16"/>
              </w:rPr>
              <w:t>introduction</w:t>
            </w:r>
            <w:r>
              <w:rPr>
                <w:spacing w:val="-5"/>
                <w:sz w:val="16"/>
              </w:rPr>
              <w:t> </w:t>
            </w:r>
            <w:r>
              <w:rPr>
                <w:sz w:val="16"/>
              </w:rPr>
              <w:t>of</w:t>
            </w:r>
            <w:r>
              <w:rPr>
                <w:spacing w:val="-7"/>
                <w:sz w:val="16"/>
              </w:rPr>
              <w:t> </w:t>
            </w:r>
            <w:r>
              <w:rPr>
                <w:sz w:val="16"/>
              </w:rPr>
              <w:t>new</w:t>
            </w:r>
            <w:r>
              <w:rPr>
                <w:spacing w:val="-7"/>
                <w:sz w:val="16"/>
              </w:rPr>
              <w:t> </w:t>
            </w:r>
            <w:r>
              <w:rPr>
                <w:sz w:val="16"/>
              </w:rPr>
              <w:t>workflows</w:t>
            </w:r>
            <w:r>
              <w:rPr>
                <w:spacing w:val="-7"/>
                <w:sz w:val="16"/>
              </w:rPr>
              <w:t> </w:t>
            </w:r>
            <w:r>
              <w:rPr>
                <w:sz w:val="16"/>
              </w:rPr>
              <w:t>and</w:t>
            </w:r>
            <w:r>
              <w:rPr>
                <w:spacing w:val="-5"/>
                <w:sz w:val="16"/>
              </w:rPr>
              <w:t> </w:t>
            </w:r>
            <w:r>
              <w:rPr>
                <w:sz w:val="16"/>
              </w:rPr>
              <w:t>the</w:t>
            </w:r>
            <w:r>
              <w:rPr>
                <w:spacing w:val="-6"/>
                <w:sz w:val="16"/>
              </w:rPr>
              <w:t> </w:t>
            </w:r>
            <w:r>
              <w:rPr>
                <w:sz w:val="16"/>
              </w:rPr>
              <w:t>improvement</w:t>
            </w:r>
            <w:r>
              <w:rPr>
                <w:spacing w:val="-8"/>
                <w:sz w:val="16"/>
              </w:rPr>
              <w:t> </w:t>
            </w:r>
            <w:r>
              <w:rPr>
                <w:sz w:val="16"/>
              </w:rPr>
              <w:t>of</w:t>
            </w:r>
            <w:r>
              <w:rPr>
                <w:spacing w:val="40"/>
                <w:sz w:val="16"/>
              </w:rPr>
              <w:t> </w:t>
            </w:r>
            <w:r>
              <w:rPr>
                <w:sz w:val="16"/>
              </w:rPr>
              <w:t>existing</w:t>
            </w:r>
            <w:r>
              <w:rPr>
                <w:spacing w:val="-4"/>
                <w:sz w:val="16"/>
              </w:rPr>
              <w:t> </w:t>
            </w:r>
            <w:r>
              <w:rPr>
                <w:sz w:val="16"/>
              </w:rPr>
              <w:t>ones</w:t>
            </w:r>
            <w:r>
              <w:rPr>
                <w:spacing w:val="-6"/>
                <w:sz w:val="16"/>
              </w:rPr>
              <w:t> </w:t>
            </w:r>
            <w:r>
              <w:rPr>
                <w:sz w:val="16"/>
              </w:rPr>
              <w:t>with</w:t>
            </w:r>
            <w:r>
              <w:rPr>
                <w:spacing w:val="-4"/>
                <w:sz w:val="16"/>
              </w:rPr>
              <w:t> </w:t>
            </w:r>
            <w:r>
              <w:rPr>
                <w:sz w:val="16"/>
              </w:rPr>
              <w:t>embedded</w:t>
            </w:r>
            <w:r>
              <w:rPr>
                <w:spacing w:val="-4"/>
                <w:sz w:val="16"/>
              </w:rPr>
              <w:t> </w:t>
            </w:r>
            <w:r>
              <w:rPr>
                <w:sz w:val="16"/>
              </w:rPr>
              <w:t>communication</w:t>
            </w:r>
            <w:r>
              <w:rPr>
                <w:spacing w:val="-4"/>
                <w:sz w:val="16"/>
              </w:rPr>
              <w:t> </w:t>
            </w:r>
            <w:r>
              <w:rPr>
                <w:sz w:val="16"/>
              </w:rPr>
              <w:t>messages</w:t>
            </w:r>
            <w:r>
              <w:rPr>
                <w:spacing w:val="40"/>
                <w:sz w:val="16"/>
              </w:rPr>
              <w:t> </w:t>
            </w:r>
            <w:r>
              <w:rPr>
                <w:sz w:val="16"/>
              </w:rPr>
              <w:t>and real-time information simplify the process for all</w:t>
            </w:r>
            <w:r>
              <w:rPr>
                <w:spacing w:val="40"/>
                <w:sz w:val="16"/>
              </w:rPr>
              <w:t> </w:t>
            </w:r>
            <w:r>
              <w:rPr>
                <w:sz w:val="16"/>
              </w:rPr>
              <w:t>stakeholders, enhancing monitoring and control</w:t>
            </w:r>
            <w:r>
              <w:rPr>
                <w:spacing w:val="40"/>
                <w:sz w:val="16"/>
              </w:rPr>
              <w:t> </w:t>
            </w:r>
            <w:r>
              <w:rPr>
                <w:sz w:val="16"/>
              </w:rPr>
              <w:t>processes, especially for KPI reporting. Quantification</w:t>
            </w:r>
            <w:r>
              <w:rPr>
                <w:spacing w:val="40"/>
                <w:sz w:val="16"/>
              </w:rPr>
              <w:t> </w:t>
            </w:r>
            <w:r>
              <w:rPr>
                <w:sz w:val="16"/>
              </w:rPr>
              <w:t>of the efficiencies improvements implemented or in</w:t>
            </w:r>
            <w:r>
              <w:rPr>
                <w:spacing w:val="40"/>
                <w:sz w:val="16"/>
              </w:rPr>
              <w:t> </w:t>
            </w:r>
            <w:r>
              <w:rPr>
                <w:sz w:val="16"/>
              </w:rPr>
              <w:t>planning is not available at this stage.</w:t>
            </w:r>
          </w:p>
        </w:tc>
        <w:tc>
          <w:tcPr>
            <w:tcW w:w="1431" w:type="dxa"/>
          </w:tcPr>
          <w:p>
            <w:pPr>
              <w:pStyle w:val="TableParagraph"/>
              <w:jc w:val="left"/>
              <w:rPr>
                <w:sz w:val="14"/>
              </w:rPr>
            </w:pPr>
          </w:p>
        </w:tc>
        <w:tc>
          <w:tcPr>
            <w:tcW w:w="1426" w:type="dxa"/>
          </w:tcPr>
          <w:p>
            <w:pPr>
              <w:pStyle w:val="TableParagraph"/>
              <w:jc w:val="left"/>
              <w:rPr>
                <w:sz w:val="14"/>
              </w:rPr>
            </w:pPr>
          </w:p>
        </w:tc>
      </w:tr>
      <w:tr>
        <w:trPr>
          <w:trHeight w:val="955" w:hRule="atLeast"/>
        </w:trPr>
        <w:tc>
          <w:tcPr>
            <w:tcW w:w="2958" w:type="dxa"/>
          </w:tcPr>
          <w:p>
            <w:pPr>
              <w:pStyle w:val="TableParagraph"/>
              <w:spacing w:line="264" w:lineRule="auto"/>
              <w:ind w:left="110" w:right="120"/>
              <w:jc w:val="left"/>
              <w:rPr>
                <w:sz w:val="16"/>
              </w:rPr>
            </w:pPr>
            <w:r>
              <w:rPr>
                <w:sz w:val="16"/>
              </w:rPr>
              <w:t>Automation</w:t>
            </w:r>
            <w:r>
              <w:rPr>
                <w:spacing w:val="-9"/>
                <w:sz w:val="16"/>
              </w:rPr>
              <w:t> </w:t>
            </w:r>
            <w:r>
              <w:rPr>
                <w:sz w:val="16"/>
              </w:rPr>
              <w:t>of</w:t>
            </w:r>
            <w:r>
              <w:rPr>
                <w:spacing w:val="-10"/>
                <w:sz w:val="16"/>
              </w:rPr>
              <w:t> </w:t>
            </w:r>
            <w:r>
              <w:rPr>
                <w:sz w:val="16"/>
              </w:rPr>
              <w:t>short-term</w:t>
            </w:r>
            <w:r>
              <w:rPr>
                <w:spacing w:val="-10"/>
                <w:sz w:val="16"/>
              </w:rPr>
              <w:t> </w:t>
            </w:r>
            <w:r>
              <w:rPr>
                <w:sz w:val="16"/>
              </w:rPr>
              <w:t>sick</w:t>
            </w:r>
            <w:r>
              <w:rPr>
                <w:spacing w:val="-9"/>
                <w:sz w:val="16"/>
              </w:rPr>
              <w:t> </w:t>
            </w:r>
            <w:r>
              <w:rPr>
                <w:sz w:val="16"/>
              </w:rPr>
              <w:t>leave</w:t>
            </w:r>
            <w:r>
              <w:rPr>
                <w:spacing w:val="40"/>
                <w:sz w:val="16"/>
              </w:rPr>
              <w:t> </w:t>
            </w:r>
            <w:r>
              <w:rPr>
                <w:spacing w:val="-2"/>
                <w:sz w:val="16"/>
              </w:rPr>
              <w:t>certification.</w:t>
            </w:r>
          </w:p>
        </w:tc>
        <w:tc>
          <w:tcPr>
            <w:tcW w:w="3828" w:type="dxa"/>
          </w:tcPr>
          <w:p>
            <w:pPr>
              <w:pStyle w:val="TableParagraph"/>
              <w:spacing w:line="261" w:lineRule="auto"/>
              <w:ind w:left="105" w:right="152"/>
              <w:jc w:val="left"/>
              <w:rPr>
                <w:sz w:val="16"/>
              </w:rPr>
            </w:pPr>
            <w:r>
              <w:rPr>
                <w:sz w:val="16"/>
              </w:rPr>
              <w:t>Time spent by one nurse on short-term sick leave</w:t>
            </w:r>
            <w:r>
              <w:rPr>
                <w:spacing w:val="40"/>
                <w:sz w:val="16"/>
              </w:rPr>
              <w:t> </w:t>
            </w:r>
            <w:r>
              <w:rPr>
                <w:sz w:val="16"/>
              </w:rPr>
              <w:t>certification was 5 hours per week. Time spent per</w:t>
            </w:r>
            <w:r>
              <w:rPr>
                <w:spacing w:val="40"/>
                <w:sz w:val="16"/>
              </w:rPr>
              <w:t> </w:t>
            </w:r>
            <w:r>
              <w:rPr>
                <w:sz w:val="16"/>
              </w:rPr>
              <w:t>certification</w:t>
            </w:r>
            <w:r>
              <w:rPr>
                <w:spacing w:val="-5"/>
                <w:sz w:val="16"/>
              </w:rPr>
              <w:t> </w:t>
            </w:r>
            <w:r>
              <w:rPr>
                <w:sz w:val="16"/>
              </w:rPr>
              <w:t>was</w:t>
            </w:r>
            <w:r>
              <w:rPr>
                <w:spacing w:val="-6"/>
                <w:sz w:val="16"/>
              </w:rPr>
              <w:t> </w:t>
            </w:r>
            <w:r>
              <w:rPr>
                <w:sz w:val="16"/>
              </w:rPr>
              <w:t>2</w:t>
            </w:r>
            <w:r>
              <w:rPr>
                <w:spacing w:val="-5"/>
                <w:sz w:val="16"/>
              </w:rPr>
              <w:t> </w:t>
            </w:r>
            <w:r>
              <w:rPr>
                <w:sz w:val="16"/>
              </w:rPr>
              <w:t>to</w:t>
            </w:r>
            <w:r>
              <w:rPr>
                <w:spacing w:val="-5"/>
                <w:sz w:val="16"/>
              </w:rPr>
              <w:t> </w:t>
            </w:r>
            <w:r>
              <w:rPr>
                <w:sz w:val="16"/>
              </w:rPr>
              <w:t>5</w:t>
            </w:r>
            <w:r>
              <w:rPr>
                <w:spacing w:val="-5"/>
                <w:sz w:val="16"/>
              </w:rPr>
              <w:t> </w:t>
            </w:r>
            <w:r>
              <w:rPr>
                <w:sz w:val="16"/>
              </w:rPr>
              <w:t>minutes.</w:t>
            </w:r>
            <w:r>
              <w:rPr>
                <w:spacing w:val="-7"/>
                <w:sz w:val="16"/>
              </w:rPr>
              <w:t> </w:t>
            </w:r>
            <w:r>
              <w:rPr>
                <w:sz w:val="16"/>
              </w:rPr>
              <w:t>Since</w:t>
            </w:r>
            <w:r>
              <w:rPr>
                <w:spacing w:val="-6"/>
                <w:sz w:val="16"/>
              </w:rPr>
              <w:t> </w:t>
            </w:r>
            <w:r>
              <w:rPr>
                <w:sz w:val="16"/>
              </w:rPr>
              <w:t>automation,</w:t>
            </w:r>
            <w:r>
              <w:rPr>
                <w:spacing w:val="-7"/>
                <w:sz w:val="16"/>
              </w:rPr>
              <w:t> </w:t>
            </w:r>
            <w:r>
              <w:rPr>
                <w:sz w:val="16"/>
              </w:rPr>
              <w:t>the</w:t>
            </w:r>
            <w:r>
              <w:rPr>
                <w:spacing w:val="40"/>
                <w:sz w:val="16"/>
              </w:rPr>
              <w:t> </w:t>
            </w:r>
            <w:r>
              <w:rPr>
                <w:sz w:val="16"/>
              </w:rPr>
              <w:t>nurse no longer spends time on this task.</w:t>
            </w:r>
          </w:p>
        </w:tc>
        <w:tc>
          <w:tcPr>
            <w:tcW w:w="1431" w:type="dxa"/>
          </w:tcPr>
          <w:p>
            <w:pPr>
              <w:pStyle w:val="TableParagraph"/>
              <w:jc w:val="left"/>
              <w:rPr>
                <w:sz w:val="14"/>
              </w:rPr>
            </w:pPr>
          </w:p>
        </w:tc>
        <w:tc>
          <w:tcPr>
            <w:tcW w:w="1426" w:type="dxa"/>
          </w:tcPr>
          <w:p>
            <w:pPr>
              <w:pStyle w:val="TableParagraph"/>
              <w:spacing w:before="5"/>
              <w:jc w:val="left"/>
              <w:rPr>
                <w:b/>
                <w:sz w:val="17"/>
              </w:rPr>
            </w:pPr>
          </w:p>
          <w:p>
            <w:pPr>
              <w:pStyle w:val="TableParagraph"/>
              <w:ind w:right="97"/>
              <w:rPr>
                <w:sz w:val="16"/>
              </w:rPr>
            </w:pPr>
            <w:r>
              <w:rPr>
                <w:spacing w:val="-2"/>
                <w:sz w:val="16"/>
              </w:rPr>
              <w:t>8,840</w:t>
            </w:r>
          </w:p>
        </w:tc>
      </w:tr>
      <w:tr>
        <w:trPr>
          <w:trHeight w:val="3336" w:hRule="atLeast"/>
        </w:trPr>
        <w:tc>
          <w:tcPr>
            <w:tcW w:w="2958" w:type="dxa"/>
          </w:tcPr>
          <w:p>
            <w:pPr>
              <w:pStyle w:val="TableParagraph"/>
              <w:spacing w:line="259" w:lineRule="auto"/>
              <w:ind w:left="110" w:right="120"/>
              <w:jc w:val="left"/>
              <w:rPr>
                <w:sz w:val="16"/>
              </w:rPr>
            </w:pPr>
            <w:r>
              <w:rPr>
                <w:sz w:val="16"/>
              </w:rPr>
              <w:t>Development</w:t>
            </w:r>
            <w:r>
              <w:rPr>
                <w:spacing w:val="-6"/>
                <w:sz w:val="16"/>
              </w:rPr>
              <w:t> </w:t>
            </w:r>
            <w:r>
              <w:rPr>
                <w:sz w:val="16"/>
              </w:rPr>
              <w:t>of</w:t>
            </w:r>
            <w:r>
              <w:rPr>
                <w:spacing w:val="-4"/>
                <w:sz w:val="16"/>
              </w:rPr>
              <w:t> </w:t>
            </w:r>
            <w:r>
              <w:rPr>
                <w:sz w:val="16"/>
              </w:rPr>
              <w:t>the</w:t>
            </w:r>
            <w:r>
              <w:rPr>
                <w:spacing w:val="-5"/>
                <w:sz w:val="16"/>
              </w:rPr>
              <w:t> </w:t>
            </w:r>
            <w:r>
              <w:rPr>
                <w:sz w:val="16"/>
              </w:rPr>
              <w:t>OPCD</w:t>
            </w:r>
            <w:r>
              <w:rPr>
                <w:spacing w:val="-6"/>
                <w:sz w:val="16"/>
              </w:rPr>
              <w:t> </w:t>
            </w:r>
            <w:r>
              <w:rPr>
                <w:sz w:val="16"/>
              </w:rPr>
              <w:t>portal,</w:t>
            </w:r>
            <w:r>
              <w:rPr>
                <w:spacing w:val="-3"/>
                <w:sz w:val="16"/>
              </w:rPr>
              <w:t> </w:t>
            </w:r>
            <w:r>
              <w:rPr>
                <w:sz w:val="16"/>
              </w:rPr>
              <w:t>created</w:t>
            </w:r>
            <w:r>
              <w:rPr>
                <w:spacing w:val="40"/>
                <w:sz w:val="16"/>
              </w:rPr>
              <w:t> </w:t>
            </w:r>
            <w:r>
              <w:rPr>
                <w:sz w:val="16"/>
              </w:rPr>
              <w:t>in</w:t>
            </w:r>
            <w:r>
              <w:rPr>
                <w:spacing w:val="-1"/>
                <w:sz w:val="16"/>
              </w:rPr>
              <w:t> </w:t>
            </w:r>
            <w:r>
              <w:rPr>
                <w:sz w:val="16"/>
              </w:rPr>
              <w:t>2021,</w:t>
            </w:r>
            <w:r>
              <w:rPr>
                <w:spacing w:val="-4"/>
                <w:sz w:val="16"/>
              </w:rPr>
              <w:t> </w:t>
            </w:r>
            <w:r>
              <w:rPr>
                <w:sz w:val="16"/>
              </w:rPr>
              <w:t>to</w:t>
            </w:r>
            <w:r>
              <w:rPr>
                <w:spacing w:val="-1"/>
                <w:sz w:val="16"/>
              </w:rPr>
              <w:t> </w:t>
            </w:r>
            <w:r>
              <w:rPr>
                <w:sz w:val="16"/>
              </w:rPr>
              <w:t>house</w:t>
            </w:r>
            <w:r>
              <w:rPr>
                <w:spacing w:val="-2"/>
                <w:sz w:val="16"/>
              </w:rPr>
              <w:t> </w:t>
            </w:r>
            <w:r>
              <w:rPr>
                <w:sz w:val="16"/>
              </w:rPr>
              <w:t>information</w:t>
            </w:r>
            <w:r>
              <w:rPr>
                <w:spacing w:val="-1"/>
                <w:sz w:val="16"/>
              </w:rPr>
              <w:t> </w:t>
            </w:r>
            <w:r>
              <w:rPr>
                <w:sz w:val="16"/>
              </w:rPr>
              <w:t>available</w:t>
            </w:r>
            <w:r>
              <w:rPr>
                <w:spacing w:val="-2"/>
                <w:sz w:val="16"/>
              </w:rPr>
              <w:t> </w:t>
            </w:r>
            <w:r>
              <w:rPr>
                <w:sz w:val="16"/>
              </w:rPr>
              <w:t>to</w:t>
            </w:r>
            <w:r>
              <w:rPr>
                <w:spacing w:val="40"/>
                <w:sz w:val="16"/>
              </w:rPr>
              <w:t> </w:t>
            </w:r>
            <w:r>
              <w:rPr>
                <w:sz w:val="16"/>
              </w:rPr>
              <w:t>all defence teams and to solicit feedback.</w:t>
            </w:r>
            <w:r>
              <w:rPr>
                <w:spacing w:val="40"/>
                <w:sz w:val="16"/>
              </w:rPr>
              <w:t> </w:t>
            </w:r>
            <w:r>
              <w:rPr>
                <w:sz w:val="16"/>
              </w:rPr>
              <w:t>As it is set up on SharePoint (as used by</w:t>
            </w:r>
            <w:r>
              <w:rPr>
                <w:spacing w:val="40"/>
                <w:sz w:val="16"/>
              </w:rPr>
              <w:t> </w:t>
            </w:r>
            <w:r>
              <w:rPr>
                <w:sz w:val="16"/>
              </w:rPr>
              <w:t>the Counsel Support Section and other</w:t>
            </w:r>
            <w:r>
              <w:rPr>
                <w:spacing w:val="40"/>
                <w:sz w:val="16"/>
              </w:rPr>
              <w:t> </w:t>
            </w:r>
            <w:r>
              <w:rPr>
                <w:sz w:val="16"/>
              </w:rPr>
              <w:t>service providers), this tool allows teams</w:t>
            </w:r>
            <w:r>
              <w:rPr>
                <w:spacing w:val="40"/>
                <w:sz w:val="16"/>
              </w:rPr>
              <w:t> </w:t>
            </w:r>
            <w:r>
              <w:rPr>
                <w:sz w:val="16"/>
              </w:rPr>
              <w:t>to access some of OPCD’s more general</w:t>
            </w:r>
            <w:r>
              <w:rPr>
                <w:spacing w:val="40"/>
                <w:sz w:val="16"/>
              </w:rPr>
              <w:t> </w:t>
            </w:r>
            <w:r>
              <w:rPr>
                <w:sz w:val="16"/>
              </w:rPr>
              <w:t>information and research without liaising</w:t>
            </w:r>
            <w:r>
              <w:rPr>
                <w:spacing w:val="40"/>
                <w:sz w:val="16"/>
              </w:rPr>
              <w:t> </w:t>
            </w:r>
            <w:r>
              <w:rPr>
                <w:sz w:val="16"/>
              </w:rPr>
              <w:t>with OPCD. While many requests may</w:t>
            </w:r>
            <w:r>
              <w:rPr>
                <w:spacing w:val="40"/>
                <w:sz w:val="16"/>
              </w:rPr>
              <w:t> </w:t>
            </w:r>
            <w:r>
              <w:rPr>
                <w:sz w:val="16"/>
              </w:rPr>
              <w:t>still</w:t>
            </w:r>
            <w:r>
              <w:rPr>
                <w:spacing w:val="-4"/>
                <w:sz w:val="16"/>
              </w:rPr>
              <w:t> </w:t>
            </w:r>
            <w:r>
              <w:rPr>
                <w:sz w:val="16"/>
              </w:rPr>
              <w:t>require</w:t>
            </w:r>
            <w:r>
              <w:rPr>
                <w:spacing w:val="-2"/>
                <w:sz w:val="16"/>
              </w:rPr>
              <w:t> </w:t>
            </w:r>
            <w:r>
              <w:rPr>
                <w:sz w:val="16"/>
              </w:rPr>
              <w:t>liaison</w:t>
            </w:r>
            <w:r>
              <w:rPr>
                <w:spacing w:val="-1"/>
                <w:sz w:val="16"/>
              </w:rPr>
              <w:t> </w:t>
            </w:r>
            <w:r>
              <w:rPr>
                <w:sz w:val="16"/>
              </w:rPr>
              <w:t>with</w:t>
            </w:r>
            <w:r>
              <w:rPr>
                <w:spacing w:val="-1"/>
                <w:sz w:val="16"/>
              </w:rPr>
              <w:t> </w:t>
            </w:r>
            <w:r>
              <w:rPr>
                <w:sz w:val="16"/>
              </w:rPr>
              <w:t>OPCD, the</w:t>
            </w:r>
            <w:r>
              <w:rPr>
                <w:spacing w:val="-2"/>
                <w:sz w:val="16"/>
              </w:rPr>
              <w:t> </w:t>
            </w:r>
            <w:r>
              <w:rPr>
                <w:sz w:val="16"/>
              </w:rPr>
              <w:t>portal</w:t>
            </w:r>
            <w:r>
              <w:rPr>
                <w:spacing w:val="40"/>
                <w:sz w:val="16"/>
              </w:rPr>
              <w:t> </w:t>
            </w:r>
            <w:r>
              <w:rPr>
                <w:sz w:val="16"/>
              </w:rPr>
              <w:t>will create efficiencies by reducing the</w:t>
            </w:r>
            <w:r>
              <w:rPr>
                <w:spacing w:val="40"/>
                <w:sz w:val="16"/>
              </w:rPr>
              <w:t> </w:t>
            </w:r>
            <w:r>
              <w:rPr>
                <w:sz w:val="16"/>
              </w:rPr>
              <w:t>technical back-and-forth of certain initial</w:t>
            </w:r>
            <w:r>
              <w:rPr>
                <w:spacing w:val="40"/>
                <w:sz w:val="16"/>
              </w:rPr>
              <w:t> </w:t>
            </w:r>
            <w:r>
              <w:rPr>
                <w:sz w:val="16"/>
              </w:rPr>
              <w:t>email exchanges, saving staff time to be</w:t>
            </w:r>
            <w:r>
              <w:rPr>
                <w:spacing w:val="40"/>
                <w:sz w:val="16"/>
              </w:rPr>
              <w:t> </w:t>
            </w:r>
            <w:r>
              <w:rPr>
                <w:sz w:val="16"/>
              </w:rPr>
              <w:t>used</w:t>
            </w:r>
            <w:r>
              <w:rPr>
                <w:spacing w:val="-6"/>
                <w:sz w:val="16"/>
              </w:rPr>
              <w:t> </w:t>
            </w:r>
            <w:r>
              <w:rPr>
                <w:sz w:val="16"/>
              </w:rPr>
              <w:t>for</w:t>
            </w:r>
            <w:r>
              <w:rPr>
                <w:spacing w:val="-7"/>
                <w:sz w:val="16"/>
              </w:rPr>
              <w:t> </w:t>
            </w:r>
            <w:r>
              <w:rPr>
                <w:sz w:val="16"/>
              </w:rPr>
              <w:t>core</w:t>
            </w:r>
            <w:r>
              <w:rPr>
                <w:spacing w:val="-6"/>
                <w:sz w:val="16"/>
              </w:rPr>
              <w:t> </w:t>
            </w:r>
            <w:r>
              <w:rPr>
                <w:sz w:val="16"/>
              </w:rPr>
              <w:t>tasks,</w:t>
            </w:r>
            <w:r>
              <w:rPr>
                <w:spacing w:val="-8"/>
                <w:sz w:val="16"/>
              </w:rPr>
              <w:t> </w:t>
            </w:r>
            <w:r>
              <w:rPr>
                <w:sz w:val="16"/>
              </w:rPr>
              <w:t>such</w:t>
            </w:r>
            <w:r>
              <w:rPr>
                <w:spacing w:val="-6"/>
                <w:sz w:val="16"/>
              </w:rPr>
              <w:t> </w:t>
            </w:r>
            <w:r>
              <w:rPr>
                <w:sz w:val="16"/>
              </w:rPr>
              <w:t>as</w:t>
            </w:r>
            <w:r>
              <w:rPr>
                <w:spacing w:val="-7"/>
                <w:sz w:val="16"/>
              </w:rPr>
              <w:t> </w:t>
            </w:r>
            <w:r>
              <w:rPr>
                <w:sz w:val="16"/>
              </w:rPr>
              <w:t>research</w:t>
            </w:r>
            <w:r>
              <w:rPr>
                <w:spacing w:val="-6"/>
                <w:sz w:val="16"/>
              </w:rPr>
              <w:t> </w:t>
            </w:r>
            <w:r>
              <w:rPr>
                <w:sz w:val="16"/>
              </w:rPr>
              <w:t>itself,</w:t>
            </w:r>
            <w:r>
              <w:rPr>
                <w:spacing w:val="40"/>
                <w:sz w:val="16"/>
              </w:rPr>
              <w:t> </w:t>
            </w:r>
            <w:r>
              <w:rPr>
                <w:sz w:val="16"/>
              </w:rPr>
              <w:t>which have greatly increased in volume</w:t>
            </w:r>
            <w:r>
              <w:rPr>
                <w:spacing w:val="40"/>
                <w:sz w:val="16"/>
              </w:rPr>
              <w:t> </w:t>
            </w:r>
            <w:r>
              <w:rPr>
                <w:sz w:val="16"/>
              </w:rPr>
              <w:t>and complexity in 2022.</w:t>
            </w:r>
          </w:p>
        </w:tc>
        <w:tc>
          <w:tcPr>
            <w:tcW w:w="3828" w:type="dxa"/>
          </w:tcPr>
          <w:p>
            <w:pPr>
              <w:pStyle w:val="TableParagraph"/>
              <w:spacing w:line="261" w:lineRule="auto"/>
              <w:ind w:left="105" w:right="168"/>
              <w:jc w:val="left"/>
              <w:rPr>
                <w:sz w:val="16"/>
              </w:rPr>
            </w:pPr>
            <w:r>
              <w:rPr>
                <w:sz w:val="16"/>
              </w:rPr>
              <w:t>Population of the site with information useful to</w:t>
            </w:r>
            <w:r>
              <w:rPr>
                <w:spacing w:val="40"/>
                <w:sz w:val="16"/>
              </w:rPr>
              <w:t> </w:t>
            </w:r>
            <w:r>
              <w:rPr>
                <w:sz w:val="16"/>
              </w:rPr>
              <w:t>defence teams (identified in consultation with them to</w:t>
            </w:r>
            <w:r>
              <w:rPr>
                <w:spacing w:val="40"/>
                <w:sz w:val="16"/>
              </w:rPr>
              <w:t> </w:t>
            </w:r>
            <w:r>
              <w:rPr>
                <w:sz w:val="16"/>
              </w:rPr>
              <w:t>ensure</w:t>
            </w:r>
            <w:r>
              <w:rPr>
                <w:spacing w:val="-6"/>
                <w:sz w:val="16"/>
              </w:rPr>
              <w:t> </w:t>
            </w:r>
            <w:r>
              <w:rPr>
                <w:sz w:val="16"/>
              </w:rPr>
              <w:t>need/use),</w:t>
            </w:r>
            <w:r>
              <w:rPr>
                <w:spacing w:val="-8"/>
                <w:sz w:val="16"/>
              </w:rPr>
              <w:t> </w:t>
            </w:r>
            <w:r>
              <w:rPr>
                <w:sz w:val="16"/>
              </w:rPr>
              <w:t>leading</w:t>
            </w:r>
            <w:r>
              <w:rPr>
                <w:spacing w:val="-5"/>
                <w:sz w:val="16"/>
              </w:rPr>
              <w:t> </w:t>
            </w:r>
            <w:r>
              <w:rPr>
                <w:sz w:val="16"/>
              </w:rPr>
              <w:t>to</w:t>
            </w:r>
            <w:r>
              <w:rPr>
                <w:spacing w:val="-5"/>
                <w:sz w:val="16"/>
              </w:rPr>
              <w:t> </w:t>
            </w:r>
            <w:r>
              <w:rPr>
                <w:sz w:val="16"/>
              </w:rPr>
              <w:t>a</w:t>
            </w:r>
            <w:r>
              <w:rPr>
                <w:spacing w:val="-6"/>
                <w:sz w:val="16"/>
              </w:rPr>
              <w:t> </w:t>
            </w:r>
            <w:r>
              <w:rPr>
                <w:sz w:val="16"/>
              </w:rPr>
              <w:t>more</w:t>
            </w:r>
            <w:r>
              <w:rPr>
                <w:spacing w:val="-2"/>
                <w:sz w:val="16"/>
              </w:rPr>
              <w:t> </w:t>
            </w:r>
            <w:r>
              <w:rPr>
                <w:sz w:val="16"/>
              </w:rPr>
              <w:t>efficient</w:t>
            </w:r>
            <w:r>
              <w:rPr>
                <w:spacing w:val="-8"/>
                <w:sz w:val="16"/>
              </w:rPr>
              <w:t> </w:t>
            </w:r>
            <w:r>
              <w:rPr>
                <w:sz w:val="16"/>
              </w:rPr>
              <w:t>allocation</w:t>
            </w:r>
            <w:r>
              <w:rPr>
                <w:spacing w:val="40"/>
                <w:sz w:val="16"/>
              </w:rPr>
              <w:t> </w:t>
            </w:r>
            <w:r>
              <w:rPr>
                <w:sz w:val="16"/>
              </w:rPr>
              <w:t>of OPCD staff time.</w:t>
            </w:r>
          </w:p>
        </w:tc>
        <w:tc>
          <w:tcPr>
            <w:tcW w:w="1431" w:type="dxa"/>
          </w:tcPr>
          <w:p>
            <w:pPr>
              <w:pStyle w:val="TableParagraph"/>
              <w:jc w:val="left"/>
              <w:rPr>
                <w:sz w:val="14"/>
              </w:rPr>
            </w:pPr>
          </w:p>
        </w:tc>
        <w:tc>
          <w:tcPr>
            <w:tcW w:w="1426" w:type="dxa"/>
          </w:tcPr>
          <w:p>
            <w:pPr>
              <w:pStyle w:val="TableParagraph"/>
              <w:jc w:val="left"/>
              <w:rPr>
                <w:sz w:val="14"/>
              </w:rPr>
            </w:pPr>
          </w:p>
        </w:tc>
      </w:tr>
      <w:tr>
        <w:trPr>
          <w:trHeight w:val="1747" w:hRule="atLeast"/>
        </w:trPr>
        <w:tc>
          <w:tcPr>
            <w:tcW w:w="2958" w:type="dxa"/>
          </w:tcPr>
          <w:p>
            <w:pPr>
              <w:pStyle w:val="TableParagraph"/>
              <w:spacing w:line="264" w:lineRule="auto"/>
              <w:ind w:left="110" w:right="170"/>
              <w:jc w:val="left"/>
              <w:rPr>
                <w:sz w:val="16"/>
              </w:rPr>
            </w:pPr>
            <w:r>
              <w:rPr>
                <w:sz w:val="16"/>
              </w:rPr>
              <w:t>Digitization</w:t>
            </w:r>
            <w:r>
              <w:rPr>
                <w:spacing w:val="-10"/>
                <w:sz w:val="16"/>
              </w:rPr>
              <w:t> </w:t>
            </w:r>
            <w:r>
              <w:rPr>
                <w:sz w:val="16"/>
              </w:rPr>
              <w:t>of</w:t>
            </w:r>
            <w:r>
              <w:rPr>
                <w:spacing w:val="-10"/>
                <w:sz w:val="16"/>
              </w:rPr>
              <w:t> </w:t>
            </w:r>
            <w:r>
              <w:rPr>
                <w:sz w:val="16"/>
              </w:rPr>
              <w:t>the</w:t>
            </w:r>
            <w:r>
              <w:rPr>
                <w:spacing w:val="-10"/>
                <w:sz w:val="16"/>
              </w:rPr>
              <w:t> </w:t>
            </w:r>
            <w:r>
              <w:rPr>
                <w:sz w:val="16"/>
              </w:rPr>
              <w:t>travel</w:t>
            </w:r>
            <w:r>
              <w:rPr>
                <w:spacing w:val="-10"/>
                <w:sz w:val="16"/>
              </w:rPr>
              <w:t> </w:t>
            </w:r>
            <w:r>
              <w:rPr>
                <w:sz w:val="16"/>
              </w:rPr>
              <w:t>medical</w:t>
            </w:r>
            <w:r>
              <w:rPr>
                <w:spacing w:val="40"/>
                <w:sz w:val="16"/>
              </w:rPr>
              <w:t> </w:t>
            </w:r>
            <w:r>
              <w:rPr>
                <w:sz w:val="16"/>
              </w:rPr>
              <w:t>clearance</w:t>
            </w:r>
            <w:r>
              <w:rPr>
                <w:spacing w:val="-3"/>
                <w:sz w:val="16"/>
              </w:rPr>
              <w:t> </w:t>
            </w:r>
            <w:r>
              <w:rPr>
                <w:sz w:val="16"/>
              </w:rPr>
              <w:t>process.</w:t>
            </w:r>
          </w:p>
        </w:tc>
        <w:tc>
          <w:tcPr>
            <w:tcW w:w="3828" w:type="dxa"/>
          </w:tcPr>
          <w:p>
            <w:pPr>
              <w:pStyle w:val="TableParagraph"/>
              <w:spacing w:line="259" w:lineRule="auto"/>
              <w:ind w:left="105" w:right="168"/>
              <w:jc w:val="left"/>
              <w:rPr>
                <w:sz w:val="16"/>
              </w:rPr>
            </w:pPr>
            <w:r>
              <w:rPr>
                <w:sz w:val="16"/>
              </w:rPr>
              <w:t>Time spent on travel medical clearance has decreased</w:t>
            </w:r>
            <w:r>
              <w:rPr>
                <w:spacing w:val="40"/>
                <w:sz w:val="16"/>
              </w:rPr>
              <w:t> </w:t>
            </w:r>
            <w:r>
              <w:rPr>
                <w:sz w:val="16"/>
              </w:rPr>
              <w:t>from about 30 to 15 minutes per clearance. The time</w:t>
            </w:r>
            <w:r>
              <w:rPr>
                <w:spacing w:val="40"/>
                <w:sz w:val="16"/>
              </w:rPr>
              <w:t> </w:t>
            </w:r>
            <w:r>
              <w:rPr>
                <w:sz w:val="16"/>
              </w:rPr>
              <w:t>spent on travel medical clearance may decrease still</w:t>
            </w:r>
            <w:r>
              <w:rPr>
                <w:spacing w:val="40"/>
                <w:sz w:val="16"/>
              </w:rPr>
              <w:t> </w:t>
            </w:r>
            <w:r>
              <w:rPr>
                <w:sz w:val="16"/>
              </w:rPr>
              <w:t>further</w:t>
            </w:r>
            <w:r>
              <w:rPr>
                <w:spacing w:val="-3"/>
                <w:sz w:val="16"/>
              </w:rPr>
              <w:t> </w:t>
            </w:r>
            <w:r>
              <w:rPr>
                <w:sz w:val="16"/>
              </w:rPr>
              <w:t>once</w:t>
            </w:r>
            <w:r>
              <w:rPr>
                <w:spacing w:val="-2"/>
                <w:sz w:val="16"/>
              </w:rPr>
              <w:t> </w:t>
            </w:r>
            <w:r>
              <w:rPr>
                <w:sz w:val="16"/>
              </w:rPr>
              <w:t>staff</w:t>
            </w:r>
            <w:r>
              <w:rPr>
                <w:spacing w:val="-3"/>
                <w:sz w:val="16"/>
              </w:rPr>
              <w:t> </w:t>
            </w:r>
            <w:r>
              <w:rPr>
                <w:sz w:val="16"/>
              </w:rPr>
              <w:t>are</w:t>
            </w:r>
            <w:r>
              <w:rPr>
                <w:spacing w:val="-2"/>
                <w:sz w:val="16"/>
              </w:rPr>
              <w:t> </w:t>
            </w:r>
            <w:r>
              <w:rPr>
                <w:sz w:val="16"/>
              </w:rPr>
              <w:t>more</w:t>
            </w:r>
            <w:r>
              <w:rPr>
                <w:spacing w:val="-2"/>
                <w:sz w:val="16"/>
              </w:rPr>
              <w:t> </w:t>
            </w:r>
            <w:r>
              <w:rPr>
                <w:sz w:val="16"/>
              </w:rPr>
              <w:t>familiar</w:t>
            </w:r>
            <w:r>
              <w:rPr>
                <w:spacing w:val="-3"/>
                <w:sz w:val="16"/>
              </w:rPr>
              <w:t> </w:t>
            </w:r>
            <w:r>
              <w:rPr>
                <w:sz w:val="16"/>
              </w:rPr>
              <w:t>with</w:t>
            </w:r>
            <w:r>
              <w:rPr>
                <w:spacing w:val="-1"/>
                <w:sz w:val="16"/>
              </w:rPr>
              <w:t> </w:t>
            </w:r>
            <w:r>
              <w:rPr>
                <w:sz w:val="16"/>
              </w:rPr>
              <w:t>the</w:t>
            </w:r>
            <w:r>
              <w:rPr>
                <w:spacing w:val="-2"/>
                <w:sz w:val="16"/>
              </w:rPr>
              <w:t> </w:t>
            </w:r>
            <w:r>
              <w:rPr>
                <w:sz w:val="16"/>
              </w:rPr>
              <w:t>automated</w:t>
            </w:r>
            <w:r>
              <w:rPr>
                <w:spacing w:val="40"/>
                <w:sz w:val="16"/>
              </w:rPr>
              <w:t> </w:t>
            </w:r>
            <w:r>
              <w:rPr>
                <w:sz w:val="16"/>
              </w:rPr>
              <w:t>system (many people were not travelling during the</w:t>
            </w:r>
            <w:r>
              <w:rPr>
                <w:spacing w:val="40"/>
                <w:sz w:val="16"/>
              </w:rPr>
              <w:t> </w:t>
            </w:r>
            <w:r>
              <w:rPr>
                <w:sz w:val="16"/>
              </w:rPr>
              <w:t>COVID-19</w:t>
            </w:r>
            <w:r>
              <w:rPr>
                <w:spacing w:val="-5"/>
                <w:sz w:val="16"/>
              </w:rPr>
              <w:t> </w:t>
            </w:r>
            <w:r>
              <w:rPr>
                <w:sz w:val="16"/>
              </w:rPr>
              <w:t>pandemic</w:t>
            </w:r>
            <w:r>
              <w:rPr>
                <w:spacing w:val="-6"/>
                <w:sz w:val="16"/>
              </w:rPr>
              <w:t> </w:t>
            </w:r>
            <w:r>
              <w:rPr>
                <w:sz w:val="16"/>
              </w:rPr>
              <w:t>and</w:t>
            </w:r>
            <w:r>
              <w:rPr>
                <w:spacing w:val="-5"/>
                <w:sz w:val="16"/>
              </w:rPr>
              <w:t> </w:t>
            </w:r>
            <w:r>
              <w:rPr>
                <w:sz w:val="16"/>
              </w:rPr>
              <w:t>some</w:t>
            </w:r>
            <w:r>
              <w:rPr>
                <w:spacing w:val="-6"/>
                <w:sz w:val="16"/>
              </w:rPr>
              <w:t> </w:t>
            </w:r>
            <w:r>
              <w:rPr>
                <w:sz w:val="16"/>
              </w:rPr>
              <w:t>travellers</w:t>
            </w:r>
            <w:r>
              <w:rPr>
                <w:spacing w:val="-7"/>
                <w:sz w:val="16"/>
              </w:rPr>
              <w:t> </w:t>
            </w:r>
            <w:r>
              <w:rPr>
                <w:sz w:val="16"/>
              </w:rPr>
              <w:t>are</w:t>
            </w:r>
            <w:r>
              <w:rPr>
                <w:spacing w:val="-6"/>
                <w:sz w:val="16"/>
              </w:rPr>
              <w:t> </w:t>
            </w:r>
            <w:r>
              <w:rPr>
                <w:sz w:val="16"/>
              </w:rPr>
              <w:t>only</w:t>
            </w:r>
            <w:r>
              <w:rPr>
                <w:spacing w:val="-5"/>
                <w:sz w:val="16"/>
              </w:rPr>
              <w:t> </w:t>
            </w:r>
            <w:r>
              <w:rPr>
                <w:sz w:val="16"/>
              </w:rPr>
              <w:t>now</w:t>
            </w:r>
            <w:r>
              <w:rPr>
                <w:spacing w:val="40"/>
                <w:sz w:val="16"/>
              </w:rPr>
              <w:t> </w:t>
            </w:r>
            <w:r>
              <w:rPr>
                <w:sz w:val="16"/>
              </w:rPr>
              <w:t>becoming aware of the new automated process in</w:t>
            </w:r>
            <w:r>
              <w:rPr>
                <w:spacing w:val="40"/>
                <w:sz w:val="16"/>
              </w:rPr>
              <w:t> </w:t>
            </w:r>
            <w:r>
              <w:rPr>
                <w:spacing w:val="-2"/>
                <w:sz w:val="16"/>
              </w:rPr>
              <w:t>place).</w:t>
            </w:r>
          </w:p>
        </w:tc>
        <w:tc>
          <w:tcPr>
            <w:tcW w:w="1431" w:type="dxa"/>
          </w:tcPr>
          <w:p>
            <w:pPr>
              <w:pStyle w:val="TableParagraph"/>
              <w:jc w:val="left"/>
              <w:rPr>
                <w:sz w:val="14"/>
              </w:rPr>
            </w:pPr>
          </w:p>
        </w:tc>
        <w:tc>
          <w:tcPr>
            <w:tcW w:w="1426" w:type="dxa"/>
          </w:tcPr>
          <w:p>
            <w:pPr>
              <w:pStyle w:val="TableParagraph"/>
              <w:spacing w:before="5"/>
              <w:jc w:val="left"/>
              <w:rPr>
                <w:b/>
                <w:sz w:val="17"/>
              </w:rPr>
            </w:pPr>
          </w:p>
          <w:p>
            <w:pPr>
              <w:pStyle w:val="TableParagraph"/>
              <w:ind w:right="97"/>
              <w:rPr>
                <w:sz w:val="16"/>
              </w:rPr>
            </w:pPr>
            <w:r>
              <w:rPr>
                <w:spacing w:val="-2"/>
                <w:sz w:val="16"/>
              </w:rPr>
              <w:t>2,200</w:t>
            </w:r>
          </w:p>
        </w:tc>
      </w:tr>
    </w:tbl>
    <w:p>
      <w:pPr>
        <w:spacing w:after="0"/>
        <w:rPr>
          <w:sz w:val="16"/>
        </w:rPr>
        <w:sectPr>
          <w:pgSz w:w="11910" w:h="16840"/>
          <w:pgMar w:header="957" w:footer="940" w:top="1140" w:bottom="1140" w:left="20" w:right="20"/>
        </w:sectPr>
      </w:pPr>
    </w:p>
    <w:tbl>
      <w:tblPr>
        <w:tblW w:w="0" w:type="auto"/>
        <w:jc w:val="left"/>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58"/>
        <w:gridCol w:w="3828"/>
        <w:gridCol w:w="1431"/>
        <w:gridCol w:w="1426"/>
      </w:tblGrid>
      <w:tr>
        <w:trPr>
          <w:trHeight w:val="1120" w:hRule="atLeast"/>
        </w:trPr>
        <w:tc>
          <w:tcPr>
            <w:tcW w:w="2958" w:type="dxa"/>
            <w:tcBorders>
              <w:left w:val="nil"/>
              <w:right w:val="nil"/>
            </w:tcBorders>
          </w:tcPr>
          <w:p>
            <w:pPr>
              <w:pStyle w:val="TableParagraph"/>
              <w:jc w:val="left"/>
              <w:rPr>
                <w:b/>
                <w:sz w:val="18"/>
              </w:rPr>
            </w:pPr>
          </w:p>
          <w:p>
            <w:pPr>
              <w:pStyle w:val="TableParagraph"/>
              <w:spacing w:before="4"/>
              <w:jc w:val="left"/>
              <w:rPr>
                <w:b/>
                <w:sz w:val="16"/>
              </w:rPr>
            </w:pPr>
          </w:p>
          <w:p>
            <w:pPr>
              <w:pStyle w:val="TableParagraph"/>
              <w:ind w:left="1104" w:right="1089"/>
              <w:jc w:val="center"/>
              <w:rPr>
                <w:sz w:val="16"/>
              </w:rPr>
            </w:pPr>
            <w:r>
              <w:rPr>
                <w:spacing w:val="-2"/>
                <w:sz w:val="16"/>
              </w:rPr>
              <w:t>Description</w:t>
            </w:r>
          </w:p>
        </w:tc>
        <w:tc>
          <w:tcPr>
            <w:tcW w:w="3828" w:type="dxa"/>
            <w:tcBorders>
              <w:left w:val="nil"/>
              <w:right w:val="nil"/>
            </w:tcBorders>
          </w:tcPr>
          <w:p>
            <w:pPr>
              <w:pStyle w:val="TableParagraph"/>
              <w:jc w:val="left"/>
              <w:rPr>
                <w:b/>
                <w:sz w:val="18"/>
              </w:rPr>
            </w:pPr>
          </w:p>
          <w:p>
            <w:pPr>
              <w:pStyle w:val="TableParagraph"/>
              <w:spacing w:before="4"/>
              <w:jc w:val="left"/>
              <w:rPr>
                <w:b/>
                <w:sz w:val="16"/>
              </w:rPr>
            </w:pPr>
          </w:p>
          <w:p>
            <w:pPr>
              <w:pStyle w:val="TableParagraph"/>
              <w:ind w:left="989"/>
              <w:jc w:val="left"/>
              <w:rPr>
                <w:sz w:val="16"/>
              </w:rPr>
            </w:pPr>
            <w:r>
              <w:rPr>
                <w:sz w:val="16"/>
              </w:rPr>
              <w:t>Achieved</w:t>
            </w:r>
            <w:r>
              <w:rPr>
                <w:spacing w:val="-4"/>
                <w:sz w:val="16"/>
              </w:rPr>
              <w:t> </w:t>
            </w:r>
            <w:r>
              <w:rPr>
                <w:sz w:val="16"/>
              </w:rPr>
              <w:t>output</w:t>
            </w:r>
            <w:r>
              <w:rPr>
                <w:spacing w:val="-6"/>
                <w:sz w:val="16"/>
              </w:rPr>
              <w:t> </w:t>
            </w:r>
            <w:r>
              <w:rPr>
                <w:sz w:val="16"/>
              </w:rPr>
              <w:t>(2023</w:t>
            </w:r>
            <w:r>
              <w:rPr>
                <w:spacing w:val="-3"/>
                <w:sz w:val="16"/>
              </w:rPr>
              <w:t> </w:t>
            </w:r>
            <w:r>
              <w:rPr>
                <w:spacing w:val="-4"/>
                <w:sz w:val="16"/>
              </w:rPr>
              <w:t>PPB)</w:t>
            </w:r>
          </w:p>
        </w:tc>
        <w:tc>
          <w:tcPr>
            <w:tcW w:w="1431" w:type="dxa"/>
            <w:tcBorders>
              <w:left w:val="nil"/>
              <w:right w:val="nil"/>
            </w:tcBorders>
          </w:tcPr>
          <w:p>
            <w:pPr>
              <w:pStyle w:val="TableParagraph"/>
              <w:spacing w:line="259" w:lineRule="auto" w:before="1"/>
              <w:ind w:left="152" w:right="141" w:hanging="4"/>
              <w:jc w:val="center"/>
              <w:rPr>
                <w:i/>
                <w:sz w:val="16"/>
              </w:rPr>
            </w:pPr>
            <w:r>
              <w:rPr>
                <w:i/>
                <w:sz w:val="16"/>
              </w:rPr>
              <w:t>2022</w:t>
            </w:r>
            <w:r>
              <w:rPr>
                <w:i/>
                <w:spacing w:val="-1"/>
                <w:sz w:val="16"/>
              </w:rPr>
              <w:t> </w:t>
            </w:r>
            <w:r>
              <w:rPr>
                <w:i/>
                <w:sz w:val="16"/>
              </w:rPr>
              <w:t>Costs</w:t>
            </w:r>
            <w:r>
              <w:rPr>
                <w:i/>
                <w:spacing w:val="40"/>
                <w:sz w:val="16"/>
              </w:rPr>
              <w:t> </w:t>
            </w:r>
            <w:r>
              <w:rPr>
                <w:i/>
                <w:sz w:val="16"/>
              </w:rPr>
              <w:t>avoided</w:t>
            </w:r>
            <w:r>
              <w:rPr>
                <w:i/>
                <w:spacing w:val="-10"/>
                <w:sz w:val="16"/>
              </w:rPr>
              <w:t> </w:t>
            </w:r>
            <w:r>
              <w:rPr>
                <w:i/>
                <w:sz w:val="16"/>
              </w:rPr>
              <w:t>(baseline</w:t>
            </w:r>
            <w:r>
              <w:rPr>
                <w:i/>
                <w:spacing w:val="40"/>
                <w:sz w:val="16"/>
              </w:rPr>
              <w:t> </w:t>
            </w:r>
            <w:r>
              <w:rPr>
                <w:i/>
                <w:spacing w:val="-2"/>
                <w:sz w:val="16"/>
              </w:rPr>
              <w:t>maintained)</w:t>
            </w:r>
            <w:r>
              <w:rPr>
                <w:i/>
                <w:spacing w:val="40"/>
                <w:sz w:val="16"/>
              </w:rPr>
              <w:t> </w:t>
            </w:r>
            <w:r>
              <w:rPr>
                <w:i/>
                <w:sz w:val="16"/>
              </w:rPr>
              <w:t>(thousands</w:t>
            </w:r>
            <w:r>
              <w:rPr>
                <w:i/>
                <w:spacing w:val="-5"/>
                <w:sz w:val="16"/>
              </w:rPr>
              <w:t> </w:t>
            </w:r>
            <w:r>
              <w:rPr>
                <w:i/>
                <w:sz w:val="16"/>
              </w:rPr>
              <w:t>of</w:t>
            </w:r>
          </w:p>
          <w:p>
            <w:pPr>
              <w:pStyle w:val="TableParagraph"/>
              <w:spacing w:line="177" w:lineRule="exact"/>
              <w:ind w:left="505" w:right="489"/>
              <w:jc w:val="center"/>
              <w:rPr>
                <w:i/>
                <w:sz w:val="16"/>
              </w:rPr>
            </w:pPr>
            <w:r>
              <w:rPr>
                <w:i/>
                <w:spacing w:val="-2"/>
                <w:sz w:val="16"/>
              </w:rPr>
              <w:t>euros)</w:t>
            </w:r>
          </w:p>
        </w:tc>
        <w:tc>
          <w:tcPr>
            <w:tcW w:w="1426" w:type="dxa"/>
            <w:tcBorders>
              <w:left w:val="nil"/>
              <w:right w:val="nil"/>
            </w:tcBorders>
          </w:tcPr>
          <w:p>
            <w:pPr>
              <w:pStyle w:val="TableParagraph"/>
              <w:spacing w:before="2"/>
              <w:jc w:val="left"/>
              <w:rPr>
                <w:b/>
                <w:sz w:val="17"/>
              </w:rPr>
            </w:pPr>
          </w:p>
          <w:p>
            <w:pPr>
              <w:pStyle w:val="TableParagraph"/>
              <w:spacing w:line="259" w:lineRule="auto" w:before="1"/>
              <w:ind w:left="162" w:right="154"/>
              <w:jc w:val="center"/>
              <w:rPr>
                <w:i/>
                <w:sz w:val="16"/>
              </w:rPr>
            </w:pPr>
            <w:r>
              <w:rPr>
                <w:i/>
                <w:sz w:val="16"/>
              </w:rPr>
              <w:t>2023</w:t>
            </w:r>
            <w:r>
              <w:rPr>
                <w:i/>
                <w:spacing w:val="-10"/>
                <w:sz w:val="16"/>
              </w:rPr>
              <w:t> </w:t>
            </w:r>
            <w:r>
              <w:rPr>
                <w:i/>
                <w:sz w:val="16"/>
              </w:rPr>
              <w:t>Efficiencies</w:t>
            </w:r>
            <w:r>
              <w:rPr>
                <w:i/>
                <w:spacing w:val="40"/>
                <w:sz w:val="16"/>
              </w:rPr>
              <w:t> </w:t>
            </w:r>
            <w:r>
              <w:rPr>
                <w:i/>
                <w:sz w:val="16"/>
              </w:rPr>
              <w:t>(thousands</w:t>
            </w:r>
            <w:r>
              <w:rPr>
                <w:i/>
                <w:spacing w:val="-5"/>
                <w:sz w:val="16"/>
              </w:rPr>
              <w:t> </w:t>
            </w:r>
            <w:r>
              <w:rPr>
                <w:i/>
                <w:sz w:val="16"/>
              </w:rPr>
              <w:t>of</w:t>
            </w:r>
            <w:r>
              <w:rPr>
                <w:i/>
                <w:spacing w:val="40"/>
                <w:sz w:val="16"/>
              </w:rPr>
              <w:t> </w:t>
            </w:r>
            <w:r>
              <w:rPr>
                <w:i/>
                <w:spacing w:val="-2"/>
                <w:sz w:val="16"/>
              </w:rPr>
              <w:t>euros)</w:t>
            </w:r>
          </w:p>
        </w:tc>
      </w:tr>
      <w:tr>
        <w:trPr>
          <w:trHeight w:val="2746" w:hRule="atLeast"/>
        </w:trPr>
        <w:tc>
          <w:tcPr>
            <w:tcW w:w="2958" w:type="dxa"/>
          </w:tcPr>
          <w:p>
            <w:pPr>
              <w:pStyle w:val="TableParagraph"/>
              <w:spacing w:line="271" w:lineRule="auto"/>
              <w:ind w:left="110" w:right="120"/>
              <w:jc w:val="left"/>
              <w:rPr>
                <w:sz w:val="16"/>
              </w:rPr>
            </w:pPr>
            <w:r>
              <w:rPr>
                <w:sz w:val="16"/>
              </w:rPr>
              <w:t>Implementation</w:t>
            </w:r>
            <w:r>
              <w:rPr>
                <w:spacing w:val="-10"/>
                <w:sz w:val="16"/>
              </w:rPr>
              <w:t> </w:t>
            </w:r>
            <w:r>
              <w:rPr>
                <w:sz w:val="16"/>
              </w:rPr>
              <w:t>of</w:t>
            </w:r>
            <w:r>
              <w:rPr>
                <w:spacing w:val="-10"/>
                <w:sz w:val="16"/>
              </w:rPr>
              <w:t> </w:t>
            </w:r>
            <w:r>
              <w:rPr>
                <w:sz w:val="16"/>
              </w:rPr>
              <w:t>an</w:t>
            </w:r>
            <w:r>
              <w:rPr>
                <w:spacing w:val="-10"/>
                <w:sz w:val="16"/>
              </w:rPr>
              <w:t> </w:t>
            </w:r>
            <w:r>
              <w:rPr>
                <w:sz w:val="16"/>
              </w:rPr>
              <w:t>electronic</w:t>
            </w:r>
            <w:r>
              <w:rPr>
                <w:spacing w:val="40"/>
                <w:sz w:val="16"/>
              </w:rPr>
              <w:t> </w:t>
            </w:r>
            <w:r>
              <w:rPr>
                <w:sz w:val="16"/>
              </w:rPr>
              <w:t>registration form (ERS).</w:t>
            </w:r>
          </w:p>
        </w:tc>
        <w:tc>
          <w:tcPr>
            <w:tcW w:w="3828" w:type="dxa"/>
          </w:tcPr>
          <w:p>
            <w:pPr>
              <w:pStyle w:val="TableParagraph"/>
              <w:spacing w:line="259" w:lineRule="auto"/>
              <w:ind w:left="105" w:right="152"/>
              <w:jc w:val="left"/>
              <w:rPr>
                <w:sz w:val="16"/>
              </w:rPr>
            </w:pPr>
            <w:r>
              <w:rPr>
                <w:sz w:val="16"/>
              </w:rPr>
              <w:t>Since the implementation of the electronic registration</w:t>
            </w:r>
            <w:r>
              <w:rPr>
                <w:spacing w:val="40"/>
                <w:sz w:val="16"/>
              </w:rPr>
              <w:t> </w:t>
            </w:r>
            <w:r>
              <w:rPr>
                <w:sz w:val="16"/>
              </w:rPr>
              <w:t>form (ERS) on 1 June 2021, there has been an overall</w:t>
            </w:r>
            <w:r>
              <w:rPr>
                <w:spacing w:val="40"/>
                <w:sz w:val="16"/>
              </w:rPr>
              <w:t> </w:t>
            </w:r>
            <w:r>
              <w:rPr>
                <w:sz w:val="16"/>
              </w:rPr>
              <w:t>improvement</w:t>
            </w:r>
            <w:r>
              <w:rPr>
                <w:spacing w:val="-8"/>
                <w:sz w:val="16"/>
              </w:rPr>
              <w:t> </w:t>
            </w:r>
            <w:r>
              <w:rPr>
                <w:sz w:val="16"/>
              </w:rPr>
              <w:t>in</w:t>
            </w:r>
            <w:r>
              <w:rPr>
                <w:spacing w:val="-6"/>
                <w:sz w:val="16"/>
              </w:rPr>
              <w:t> </w:t>
            </w:r>
            <w:r>
              <w:rPr>
                <w:sz w:val="16"/>
              </w:rPr>
              <w:t>evidence</w:t>
            </w:r>
            <w:r>
              <w:rPr>
                <w:spacing w:val="-7"/>
                <w:sz w:val="16"/>
              </w:rPr>
              <w:t> </w:t>
            </w:r>
            <w:r>
              <w:rPr>
                <w:sz w:val="16"/>
              </w:rPr>
              <w:t>processing</w:t>
            </w:r>
            <w:r>
              <w:rPr>
                <w:spacing w:val="-6"/>
                <w:sz w:val="16"/>
              </w:rPr>
              <w:t> </w:t>
            </w:r>
            <w:r>
              <w:rPr>
                <w:sz w:val="16"/>
              </w:rPr>
              <w:t>times;</w:t>
            </w:r>
            <w:r>
              <w:rPr>
                <w:spacing w:val="-8"/>
                <w:sz w:val="16"/>
              </w:rPr>
              <w:t> </w:t>
            </w:r>
            <w:r>
              <w:rPr>
                <w:sz w:val="16"/>
              </w:rPr>
              <w:t>on</w:t>
            </w:r>
            <w:r>
              <w:rPr>
                <w:spacing w:val="-6"/>
                <w:sz w:val="16"/>
              </w:rPr>
              <w:t> </w:t>
            </w:r>
            <w:r>
              <w:rPr>
                <w:sz w:val="16"/>
              </w:rPr>
              <w:t>average,</w:t>
            </w:r>
            <w:r>
              <w:rPr>
                <w:spacing w:val="40"/>
                <w:sz w:val="16"/>
              </w:rPr>
              <w:t> </w:t>
            </w:r>
            <w:r>
              <w:rPr>
                <w:sz w:val="16"/>
              </w:rPr>
              <w:t>processing times are reduced from 24 to 12 hours (this</w:t>
            </w:r>
            <w:r>
              <w:rPr>
                <w:spacing w:val="40"/>
                <w:sz w:val="16"/>
              </w:rPr>
              <w:t> </w:t>
            </w:r>
            <w:r>
              <w:rPr>
                <w:sz w:val="16"/>
              </w:rPr>
              <w:t>includes stage 1 metadata population and quality</w:t>
            </w:r>
            <w:r>
              <w:rPr>
                <w:spacing w:val="40"/>
                <w:sz w:val="16"/>
              </w:rPr>
              <w:t> </w:t>
            </w:r>
            <w:r>
              <w:rPr>
                <w:sz w:val="16"/>
              </w:rPr>
              <w:t>control</w:t>
            </w:r>
            <w:r>
              <w:rPr>
                <w:spacing w:val="-1"/>
                <w:sz w:val="16"/>
              </w:rPr>
              <w:t> </w:t>
            </w:r>
            <w:r>
              <w:rPr>
                <w:sz w:val="16"/>
              </w:rPr>
              <w:t>tasks),</w:t>
            </w:r>
            <w:r>
              <w:rPr>
                <w:spacing w:val="-1"/>
                <w:sz w:val="16"/>
              </w:rPr>
              <w:t> </w:t>
            </w:r>
            <w:r>
              <w:rPr>
                <w:sz w:val="16"/>
              </w:rPr>
              <w:t>which means that</w:t>
            </w:r>
            <w:r>
              <w:rPr>
                <w:spacing w:val="-1"/>
                <w:sz w:val="16"/>
              </w:rPr>
              <w:t> </w:t>
            </w:r>
            <w:r>
              <w:rPr>
                <w:sz w:val="16"/>
              </w:rPr>
              <w:t>most</w:t>
            </w:r>
            <w:r>
              <w:rPr>
                <w:spacing w:val="-1"/>
                <w:sz w:val="16"/>
              </w:rPr>
              <w:t> </w:t>
            </w:r>
            <w:r>
              <w:rPr>
                <w:sz w:val="16"/>
              </w:rPr>
              <w:t>of the same-date</w:t>
            </w:r>
            <w:r>
              <w:rPr>
                <w:spacing w:val="40"/>
                <w:sz w:val="16"/>
              </w:rPr>
              <w:t> </w:t>
            </w:r>
            <w:r>
              <w:rPr>
                <w:sz w:val="16"/>
              </w:rPr>
              <w:t>submissions are completed within the same day.</w:t>
            </w:r>
          </w:p>
          <w:p>
            <w:pPr>
              <w:pStyle w:val="TableParagraph"/>
              <w:spacing w:line="261" w:lineRule="auto"/>
              <w:ind w:left="105" w:right="116"/>
              <w:jc w:val="left"/>
              <w:rPr>
                <w:sz w:val="16"/>
              </w:rPr>
            </w:pPr>
            <w:r>
              <w:rPr>
                <w:sz w:val="16"/>
              </w:rPr>
              <w:t>Additionally, with ERS, manual data input has</w:t>
            </w:r>
            <w:r>
              <w:rPr>
                <w:spacing w:val="40"/>
                <w:sz w:val="16"/>
              </w:rPr>
              <w:t> </w:t>
            </w:r>
            <w:r>
              <w:rPr>
                <w:sz w:val="16"/>
              </w:rPr>
              <w:t>decreased</w:t>
            </w:r>
            <w:r>
              <w:rPr>
                <w:spacing w:val="-5"/>
                <w:sz w:val="16"/>
              </w:rPr>
              <w:t> </w:t>
            </w:r>
            <w:r>
              <w:rPr>
                <w:sz w:val="16"/>
              </w:rPr>
              <w:t>by</w:t>
            </w:r>
            <w:r>
              <w:rPr>
                <w:spacing w:val="-5"/>
                <w:sz w:val="16"/>
              </w:rPr>
              <w:t> </w:t>
            </w:r>
            <w:r>
              <w:rPr>
                <w:sz w:val="16"/>
              </w:rPr>
              <w:t>88%.</w:t>
            </w:r>
            <w:r>
              <w:rPr>
                <w:spacing w:val="-7"/>
                <w:sz w:val="16"/>
              </w:rPr>
              <w:t> </w:t>
            </w:r>
            <w:r>
              <w:rPr>
                <w:sz w:val="16"/>
              </w:rPr>
              <w:t>The</w:t>
            </w:r>
            <w:r>
              <w:rPr>
                <w:spacing w:val="-5"/>
                <w:sz w:val="16"/>
              </w:rPr>
              <w:t> </w:t>
            </w:r>
            <w:r>
              <w:rPr>
                <w:sz w:val="16"/>
              </w:rPr>
              <w:t>backlog</w:t>
            </w:r>
            <w:r>
              <w:rPr>
                <w:spacing w:val="-5"/>
                <w:sz w:val="16"/>
              </w:rPr>
              <w:t> </w:t>
            </w:r>
            <w:r>
              <w:rPr>
                <w:sz w:val="16"/>
              </w:rPr>
              <w:t>in</w:t>
            </w:r>
            <w:r>
              <w:rPr>
                <w:spacing w:val="-5"/>
                <w:sz w:val="16"/>
              </w:rPr>
              <w:t> </w:t>
            </w:r>
            <w:r>
              <w:rPr>
                <w:sz w:val="16"/>
              </w:rPr>
              <w:t>submissions</w:t>
            </w:r>
            <w:r>
              <w:rPr>
                <w:spacing w:val="-6"/>
                <w:sz w:val="16"/>
              </w:rPr>
              <w:t> </w:t>
            </w:r>
            <w:r>
              <w:rPr>
                <w:sz w:val="16"/>
              </w:rPr>
              <w:t>pending</w:t>
            </w:r>
            <w:r>
              <w:rPr>
                <w:spacing w:val="40"/>
                <w:sz w:val="16"/>
              </w:rPr>
              <w:t> </w:t>
            </w:r>
            <w:r>
              <w:rPr>
                <w:sz w:val="16"/>
              </w:rPr>
              <w:t>processing is zero (consistent since the implementation</w:t>
            </w:r>
            <w:r>
              <w:rPr>
                <w:spacing w:val="40"/>
                <w:sz w:val="16"/>
              </w:rPr>
              <w:t> </w:t>
            </w:r>
            <w:r>
              <w:rPr>
                <w:sz w:val="16"/>
              </w:rPr>
              <w:t>of ERS). Finally, ERS streamlines interaction with</w:t>
            </w:r>
            <w:r>
              <w:rPr>
                <w:spacing w:val="40"/>
                <w:sz w:val="16"/>
              </w:rPr>
              <w:t> </w:t>
            </w:r>
            <w:r>
              <w:rPr>
                <w:sz w:val="16"/>
              </w:rPr>
              <w:t>collectors,</w:t>
            </w:r>
            <w:r>
              <w:rPr>
                <w:spacing w:val="-8"/>
                <w:sz w:val="16"/>
              </w:rPr>
              <w:t> </w:t>
            </w:r>
            <w:r>
              <w:rPr>
                <w:sz w:val="16"/>
              </w:rPr>
              <w:t>thus</w:t>
            </w:r>
            <w:r>
              <w:rPr>
                <w:spacing w:val="-7"/>
                <w:sz w:val="16"/>
              </w:rPr>
              <w:t> </w:t>
            </w:r>
            <w:r>
              <w:rPr>
                <w:sz w:val="16"/>
              </w:rPr>
              <w:t>reducing</w:t>
            </w:r>
            <w:r>
              <w:rPr>
                <w:spacing w:val="-6"/>
                <w:sz w:val="16"/>
              </w:rPr>
              <w:t> </w:t>
            </w:r>
            <w:r>
              <w:rPr>
                <w:sz w:val="16"/>
              </w:rPr>
              <w:t>email</w:t>
            </w:r>
            <w:r>
              <w:rPr>
                <w:spacing w:val="-8"/>
                <w:sz w:val="16"/>
              </w:rPr>
              <w:t> </w:t>
            </w:r>
            <w:r>
              <w:rPr>
                <w:sz w:val="16"/>
              </w:rPr>
              <w:t>volume.</w:t>
            </w:r>
            <w:r>
              <w:rPr>
                <w:spacing w:val="-8"/>
                <w:sz w:val="16"/>
              </w:rPr>
              <w:t> </w:t>
            </w:r>
            <w:r>
              <w:rPr>
                <w:sz w:val="16"/>
              </w:rPr>
              <w:t>The</w:t>
            </w:r>
            <w:r>
              <w:rPr>
                <w:spacing w:val="-7"/>
                <w:sz w:val="16"/>
              </w:rPr>
              <w:t> </w:t>
            </w:r>
            <w:r>
              <w:rPr>
                <w:sz w:val="16"/>
              </w:rPr>
              <w:t>efficiencies</w:t>
            </w:r>
            <w:r>
              <w:rPr>
                <w:spacing w:val="40"/>
                <w:sz w:val="16"/>
              </w:rPr>
              <w:t> </w:t>
            </w:r>
            <w:r>
              <w:rPr>
                <w:sz w:val="16"/>
              </w:rPr>
              <w:t>correspond to an estimated 25% of a GS-OL FTE.</w:t>
            </w:r>
          </w:p>
        </w:tc>
        <w:tc>
          <w:tcPr>
            <w:tcW w:w="1431" w:type="dxa"/>
          </w:tcPr>
          <w:p>
            <w:pPr>
              <w:pStyle w:val="TableParagraph"/>
              <w:jc w:val="left"/>
              <w:rPr>
                <w:sz w:val="14"/>
              </w:rPr>
            </w:pPr>
          </w:p>
        </w:tc>
        <w:tc>
          <w:tcPr>
            <w:tcW w:w="1426" w:type="dxa"/>
          </w:tcPr>
          <w:p>
            <w:pPr>
              <w:pStyle w:val="TableParagraph"/>
              <w:spacing w:before="8"/>
              <w:jc w:val="left"/>
              <w:rPr>
                <w:b/>
                <w:sz w:val="17"/>
              </w:rPr>
            </w:pPr>
          </w:p>
          <w:p>
            <w:pPr>
              <w:pStyle w:val="TableParagraph"/>
              <w:ind w:right="97"/>
              <w:rPr>
                <w:sz w:val="16"/>
              </w:rPr>
            </w:pPr>
            <w:r>
              <w:rPr>
                <w:spacing w:val="-2"/>
                <w:sz w:val="16"/>
              </w:rPr>
              <w:t>18,128</w:t>
            </w:r>
          </w:p>
        </w:tc>
      </w:tr>
      <w:tr>
        <w:trPr>
          <w:trHeight w:val="1348" w:hRule="atLeast"/>
        </w:trPr>
        <w:tc>
          <w:tcPr>
            <w:tcW w:w="2958" w:type="dxa"/>
          </w:tcPr>
          <w:p>
            <w:pPr>
              <w:pStyle w:val="TableParagraph"/>
              <w:spacing w:line="259" w:lineRule="auto"/>
              <w:ind w:left="110" w:right="120"/>
              <w:jc w:val="left"/>
              <w:rPr>
                <w:sz w:val="16"/>
              </w:rPr>
            </w:pPr>
            <w:r>
              <w:rPr>
                <w:sz w:val="16"/>
              </w:rPr>
              <w:t>Implementation of automated transfers</w:t>
            </w:r>
            <w:r>
              <w:rPr>
                <w:spacing w:val="40"/>
                <w:sz w:val="16"/>
              </w:rPr>
              <w:t> </w:t>
            </w:r>
            <w:r>
              <w:rPr>
                <w:sz w:val="16"/>
              </w:rPr>
              <w:t>approval, which will reduce the time</w:t>
            </w:r>
            <w:r>
              <w:rPr>
                <w:spacing w:val="40"/>
                <w:sz w:val="16"/>
              </w:rPr>
              <w:t> </w:t>
            </w:r>
            <w:r>
              <w:rPr>
                <w:sz w:val="16"/>
              </w:rPr>
              <w:t>currently</w:t>
            </w:r>
            <w:r>
              <w:rPr>
                <w:spacing w:val="-7"/>
                <w:sz w:val="16"/>
              </w:rPr>
              <w:t> </w:t>
            </w:r>
            <w:r>
              <w:rPr>
                <w:sz w:val="16"/>
              </w:rPr>
              <w:t>needed</w:t>
            </w:r>
            <w:r>
              <w:rPr>
                <w:spacing w:val="-7"/>
                <w:sz w:val="16"/>
              </w:rPr>
              <w:t> </w:t>
            </w:r>
            <w:r>
              <w:rPr>
                <w:sz w:val="16"/>
              </w:rPr>
              <w:t>by</w:t>
            </w:r>
            <w:r>
              <w:rPr>
                <w:spacing w:val="-7"/>
                <w:sz w:val="16"/>
              </w:rPr>
              <w:t> </w:t>
            </w:r>
            <w:r>
              <w:rPr>
                <w:sz w:val="16"/>
              </w:rPr>
              <w:t>the</w:t>
            </w:r>
            <w:r>
              <w:rPr>
                <w:spacing w:val="-8"/>
                <w:sz w:val="16"/>
              </w:rPr>
              <w:t> </w:t>
            </w:r>
            <w:r>
              <w:rPr>
                <w:sz w:val="16"/>
              </w:rPr>
              <w:t>Budget</w:t>
            </w:r>
            <w:r>
              <w:rPr>
                <w:spacing w:val="-10"/>
                <w:sz w:val="16"/>
              </w:rPr>
              <w:t> </w:t>
            </w:r>
            <w:r>
              <w:rPr>
                <w:sz w:val="16"/>
              </w:rPr>
              <w:t>Section</w:t>
            </w:r>
            <w:r>
              <w:rPr>
                <w:spacing w:val="-7"/>
                <w:sz w:val="16"/>
              </w:rPr>
              <w:t> </w:t>
            </w:r>
            <w:r>
              <w:rPr>
                <w:sz w:val="16"/>
              </w:rPr>
              <w:t>to</w:t>
            </w:r>
            <w:r>
              <w:rPr>
                <w:spacing w:val="40"/>
                <w:sz w:val="16"/>
              </w:rPr>
              <w:t> </w:t>
            </w:r>
            <w:r>
              <w:rPr>
                <w:sz w:val="16"/>
              </w:rPr>
              <w:t>copy</w:t>
            </w:r>
            <w:r>
              <w:rPr>
                <w:spacing w:val="-1"/>
                <w:sz w:val="16"/>
              </w:rPr>
              <w:t> </w:t>
            </w:r>
            <w:r>
              <w:rPr>
                <w:sz w:val="16"/>
              </w:rPr>
              <w:t>the</w:t>
            </w:r>
            <w:r>
              <w:rPr>
                <w:spacing w:val="-2"/>
                <w:sz w:val="16"/>
              </w:rPr>
              <w:t> </w:t>
            </w:r>
            <w:r>
              <w:rPr>
                <w:sz w:val="16"/>
              </w:rPr>
              <w:t>information</w:t>
            </w:r>
            <w:r>
              <w:rPr>
                <w:spacing w:val="-1"/>
                <w:sz w:val="16"/>
              </w:rPr>
              <w:t> </w:t>
            </w:r>
            <w:r>
              <w:rPr>
                <w:sz w:val="16"/>
              </w:rPr>
              <w:t>provided</w:t>
            </w:r>
            <w:r>
              <w:rPr>
                <w:spacing w:val="-1"/>
                <w:sz w:val="16"/>
              </w:rPr>
              <w:t> </w:t>
            </w:r>
            <w:r>
              <w:rPr>
                <w:sz w:val="16"/>
              </w:rPr>
              <w:t>on</w:t>
            </w:r>
            <w:r>
              <w:rPr>
                <w:spacing w:val="-1"/>
                <w:sz w:val="16"/>
              </w:rPr>
              <w:t> </w:t>
            </w:r>
            <w:r>
              <w:rPr>
                <w:sz w:val="16"/>
              </w:rPr>
              <w:t>a</w:t>
            </w:r>
            <w:r>
              <w:rPr>
                <w:spacing w:val="-2"/>
                <w:sz w:val="16"/>
              </w:rPr>
              <w:t> </w:t>
            </w:r>
            <w:r>
              <w:rPr>
                <w:sz w:val="16"/>
              </w:rPr>
              <w:t>paper</w:t>
            </w:r>
            <w:r>
              <w:rPr>
                <w:spacing w:val="40"/>
                <w:sz w:val="16"/>
              </w:rPr>
              <w:t> </w:t>
            </w:r>
            <w:r>
              <w:rPr>
                <w:sz w:val="16"/>
              </w:rPr>
              <w:t>form by clients in SAP.</w:t>
            </w:r>
          </w:p>
        </w:tc>
        <w:tc>
          <w:tcPr>
            <w:tcW w:w="3828" w:type="dxa"/>
          </w:tcPr>
          <w:p>
            <w:pPr>
              <w:pStyle w:val="TableParagraph"/>
              <w:spacing w:line="259" w:lineRule="auto"/>
              <w:ind w:left="105" w:right="369"/>
              <w:jc w:val="left"/>
              <w:rPr>
                <w:sz w:val="16"/>
              </w:rPr>
            </w:pPr>
            <w:r>
              <w:rPr>
                <w:sz w:val="16"/>
              </w:rPr>
              <w:t>On the basis of the number of transfers performed</w:t>
            </w:r>
            <w:r>
              <w:rPr>
                <w:spacing w:val="40"/>
                <w:sz w:val="16"/>
              </w:rPr>
              <w:t> </w:t>
            </w:r>
            <w:r>
              <w:rPr>
                <w:sz w:val="16"/>
              </w:rPr>
              <w:t>in</w:t>
            </w:r>
            <w:r>
              <w:rPr>
                <w:spacing w:val="-4"/>
                <w:sz w:val="16"/>
              </w:rPr>
              <w:t> </w:t>
            </w:r>
            <w:r>
              <w:rPr>
                <w:sz w:val="16"/>
              </w:rPr>
              <w:t>2021,</w:t>
            </w:r>
            <w:r>
              <w:rPr>
                <w:spacing w:val="-7"/>
                <w:sz w:val="16"/>
              </w:rPr>
              <w:t> </w:t>
            </w:r>
            <w:r>
              <w:rPr>
                <w:sz w:val="16"/>
              </w:rPr>
              <w:t>and</w:t>
            </w:r>
            <w:r>
              <w:rPr>
                <w:spacing w:val="-4"/>
                <w:sz w:val="16"/>
              </w:rPr>
              <w:t> </w:t>
            </w:r>
            <w:r>
              <w:rPr>
                <w:sz w:val="16"/>
              </w:rPr>
              <w:t>assuming</w:t>
            </w:r>
            <w:r>
              <w:rPr>
                <w:spacing w:val="-4"/>
                <w:sz w:val="16"/>
              </w:rPr>
              <w:t> </w:t>
            </w:r>
            <w:r>
              <w:rPr>
                <w:sz w:val="16"/>
              </w:rPr>
              <w:t>that</w:t>
            </w:r>
            <w:r>
              <w:rPr>
                <w:spacing w:val="-7"/>
                <w:sz w:val="16"/>
              </w:rPr>
              <w:t> </w:t>
            </w:r>
            <w:r>
              <w:rPr>
                <w:sz w:val="16"/>
              </w:rPr>
              <w:t>about</w:t>
            </w:r>
            <w:r>
              <w:rPr>
                <w:spacing w:val="-7"/>
                <w:sz w:val="16"/>
              </w:rPr>
              <w:t> </w:t>
            </w:r>
            <w:r>
              <w:rPr>
                <w:sz w:val="16"/>
              </w:rPr>
              <w:t>half</w:t>
            </w:r>
            <w:r>
              <w:rPr>
                <w:spacing w:val="-6"/>
                <w:sz w:val="16"/>
              </w:rPr>
              <w:t> </w:t>
            </w:r>
            <w:r>
              <w:rPr>
                <w:sz w:val="16"/>
              </w:rPr>
              <w:t>of</w:t>
            </w:r>
            <w:r>
              <w:rPr>
                <w:spacing w:val="-6"/>
                <w:sz w:val="16"/>
              </w:rPr>
              <w:t> </w:t>
            </w:r>
            <w:r>
              <w:rPr>
                <w:sz w:val="16"/>
              </w:rPr>
              <w:t>all</w:t>
            </w:r>
            <w:r>
              <w:rPr>
                <w:spacing w:val="-7"/>
                <w:sz w:val="16"/>
              </w:rPr>
              <w:t> </w:t>
            </w:r>
            <w:r>
              <w:rPr>
                <w:sz w:val="16"/>
              </w:rPr>
              <w:t>transfers</w:t>
            </w:r>
            <w:r>
              <w:rPr>
                <w:spacing w:val="40"/>
                <w:sz w:val="16"/>
              </w:rPr>
              <w:t> </w:t>
            </w:r>
            <w:r>
              <w:rPr>
                <w:sz w:val="16"/>
              </w:rPr>
              <w:t>can be automated (conservative estimate), Budget</w:t>
            </w:r>
            <w:r>
              <w:rPr>
                <w:spacing w:val="40"/>
                <w:sz w:val="16"/>
              </w:rPr>
              <w:t> </w:t>
            </w:r>
            <w:r>
              <w:rPr>
                <w:sz w:val="16"/>
              </w:rPr>
              <w:t>Assistants will save approximately 20 minutes per</w:t>
            </w:r>
            <w:r>
              <w:rPr>
                <w:spacing w:val="40"/>
                <w:sz w:val="16"/>
              </w:rPr>
              <w:t> </w:t>
            </w:r>
            <w:r>
              <w:rPr>
                <w:sz w:val="16"/>
              </w:rPr>
              <w:t>transfer, leading to a efficiency improvement</w:t>
            </w:r>
            <w:r>
              <w:rPr>
                <w:spacing w:val="40"/>
                <w:sz w:val="16"/>
              </w:rPr>
              <w:t> </w:t>
            </w:r>
            <w:r>
              <w:rPr>
                <w:sz w:val="16"/>
              </w:rPr>
              <w:t>corresponding to approximately €14.0 thousand.</w:t>
            </w:r>
          </w:p>
        </w:tc>
        <w:tc>
          <w:tcPr>
            <w:tcW w:w="1431" w:type="dxa"/>
          </w:tcPr>
          <w:p>
            <w:pPr>
              <w:pStyle w:val="TableParagraph"/>
              <w:jc w:val="left"/>
              <w:rPr>
                <w:sz w:val="14"/>
              </w:rPr>
            </w:pPr>
          </w:p>
        </w:tc>
        <w:tc>
          <w:tcPr>
            <w:tcW w:w="1426" w:type="dxa"/>
          </w:tcPr>
          <w:p>
            <w:pPr>
              <w:pStyle w:val="TableParagraph"/>
              <w:spacing w:before="2"/>
              <w:jc w:val="left"/>
              <w:rPr>
                <w:b/>
                <w:sz w:val="17"/>
              </w:rPr>
            </w:pPr>
          </w:p>
          <w:p>
            <w:pPr>
              <w:pStyle w:val="TableParagraph"/>
              <w:spacing w:before="1"/>
              <w:ind w:right="97"/>
              <w:rPr>
                <w:sz w:val="16"/>
              </w:rPr>
            </w:pPr>
            <w:r>
              <w:rPr>
                <w:spacing w:val="-2"/>
                <w:sz w:val="16"/>
              </w:rPr>
              <w:t>14,193</w:t>
            </w:r>
          </w:p>
        </w:tc>
      </w:tr>
      <w:tr>
        <w:trPr>
          <w:trHeight w:val="1550" w:hRule="atLeast"/>
        </w:trPr>
        <w:tc>
          <w:tcPr>
            <w:tcW w:w="2958" w:type="dxa"/>
          </w:tcPr>
          <w:p>
            <w:pPr>
              <w:pStyle w:val="TableParagraph"/>
              <w:spacing w:line="259" w:lineRule="auto"/>
              <w:ind w:left="110" w:right="105"/>
              <w:jc w:val="left"/>
              <w:rPr>
                <w:sz w:val="16"/>
              </w:rPr>
            </w:pPr>
            <w:r>
              <w:rPr>
                <w:sz w:val="16"/>
              </w:rPr>
              <w:t>Interactive maps: the Forensic Science</w:t>
            </w:r>
            <w:r>
              <w:rPr>
                <w:spacing w:val="40"/>
                <w:sz w:val="16"/>
              </w:rPr>
              <w:t> </w:t>
            </w:r>
            <w:r>
              <w:rPr>
                <w:sz w:val="16"/>
              </w:rPr>
              <w:t>Section has introduced interactive</w:t>
            </w:r>
            <w:r>
              <w:rPr>
                <w:spacing w:val="40"/>
                <w:sz w:val="16"/>
              </w:rPr>
              <w:t> </w:t>
            </w:r>
            <w:r>
              <w:rPr>
                <w:sz w:val="16"/>
              </w:rPr>
              <w:t>mapping applications, as opposed to</w:t>
            </w:r>
            <w:r>
              <w:rPr>
                <w:spacing w:val="40"/>
                <w:sz w:val="16"/>
              </w:rPr>
              <w:t> </w:t>
            </w:r>
            <w:r>
              <w:rPr>
                <w:sz w:val="16"/>
              </w:rPr>
              <w:t>providing paper or static maps. The time</w:t>
            </w:r>
            <w:r>
              <w:rPr>
                <w:spacing w:val="40"/>
                <w:sz w:val="16"/>
              </w:rPr>
              <w:t> </w:t>
            </w:r>
            <w:r>
              <w:rPr>
                <w:sz w:val="16"/>
              </w:rPr>
              <w:t>saved</w:t>
            </w:r>
            <w:r>
              <w:rPr>
                <w:spacing w:val="-8"/>
                <w:sz w:val="16"/>
              </w:rPr>
              <w:t> </w:t>
            </w:r>
            <w:r>
              <w:rPr>
                <w:sz w:val="16"/>
              </w:rPr>
              <w:t>producing</w:t>
            </w:r>
            <w:r>
              <w:rPr>
                <w:spacing w:val="-8"/>
                <w:sz w:val="16"/>
              </w:rPr>
              <w:t> </w:t>
            </w:r>
            <w:r>
              <w:rPr>
                <w:sz w:val="16"/>
              </w:rPr>
              <w:t>an</w:t>
            </w:r>
            <w:r>
              <w:rPr>
                <w:spacing w:val="-8"/>
                <w:sz w:val="16"/>
              </w:rPr>
              <w:t> </w:t>
            </w:r>
            <w:r>
              <w:rPr>
                <w:sz w:val="16"/>
              </w:rPr>
              <w:t>interactive</w:t>
            </w:r>
            <w:r>
              <w:rPr>
                <w:spacing w:val="-9"/>
                <w:sz w:val="16"/>
              </w:rPr>
              <w:t> </w:t>
            </w:r>
            <w:r>
              <w:rPr>
                <w:sz w:val="16"/>
              </w:rPr>
              <w:t>map</w:t>
            </w:r>
            <w:r>
              <w:rPr>
                <w:spacing w:val="-8"/>
                <w:sz w:val="16"/>
              </w:rPr>
              <w:t> </w:t>
            </w:r>
            <w:r>
              <w:rPr>
                <w:sz w:val="16"/>
              </w:rPr>
              <w:t>results</w:t>
            </w:r>
            <w:r>
              <w:rPr>
                <w:spacing w:val="40"/>
                <w:sz w:val="16"/>
              </w:rPr>
              <w:t> </w:t>
            </w:r>
            <w:r>
              <w:rPr>
                <w:sz w:val="16"/>
              </w:rPr>
              <w:t>in</w:t>
            </w:r>
            <w:r>
              <w:rPr>
                <w:spacing w:val="-1"/>
                <w:sz w:val="16"/>
              </w:rPr>
              <w:t> </w:t>
            </w:r>
            <w:r>
              <w:rPr>
                <w:sz w:val="16"/>
              </w:rPr>
              <w:t>efficiencies</w:t>
            </w:r>
            <w:r>
              <w:rPr>
                <w:spacing w:val="-3"/>
                <w:sz w:val="16"/>
              </w:rPr>
              <w:t> </w:t>
            </w:r>
            <w:r>
              <w:rPr>
                <w:sz w:val="16"/>
              </w:rPr>
              <w:t>equivalent</w:t>
            </w:r>
            <w:r>
              <w:rPr>
                <w:spacing w:val="-4"/>
                <w:sz w:val="16"/>
              </w:rPr>
              <w:t> </w:t>
            </w:r>
            <w:r>
              <w:rPr>
                <w:sz w:val="16"/>
              </w:rPr>
              <w:t>to</w:t>
            </w:r>
            <w:r>
              <w:rPr>
                <w:spacing w:val="-1"/>
                <w:sz w:val="16"/>
              </w:rPr>
              <w:t> </w:t>
            </w:r>
            <w:r>
              <w:rPr>
                <w:sz w:val="16"/>
              </w:rPr>
              <w:t>1</w:t>
            </w:r>
            <w:r>
              <w:rPr>
                <w:spacing w:val="-1"/>
                <w:sz w:val="16"/>
              </w:rPr>
              <w:t> </w:t>
            </w:r>
            <w:r>
              <w:rPr>
                <w:sz w:val="16"/>
              </w:rPr>
              <w:t>month</w:t>
            </w:r>
            <w:r>
              <w:rPr>
                <w:spacing w:val="-1"/>
                <w:sz w:val="16"/>
              </w:rPr>
              <w:t> </w:t>
            </w:r>
            <w:r>
              <w:rPr>
                <w:sz w:val="16"/>
              </w:rPr>
              <w:t>of</w:t>
            </w:r>
            <w:r>
              <w:rPr>
                <w:spacing w:val="-3"/>
                <w:sz w:val="16"/>
              </w:rPr>
              <w:t> </w:t>
            </w:r>
            <w:r>
              <w:rPr>
                <w:sz w:val="16"/>
              </w:rPr>
              <w:t>an</w:t>
            </w:r>
            <w:r>
              <w:rPr>
                <w:spacing w:val="40"/>
                <w:sz w:val="16"/>
              </w:rPr>
              <w:t> </w:t>
            </w:r>
            <w:r>
              <w:rPr>
                <w:sz w:val="16"/>
              </w:rPr>
              <w:t>FTE (P-3).</w:t>
            </w:r>
          </w:p>
        </w:tc>
        <w:tc>
          <w:tcPr>
            <w:tcW w:w="3828" w:type="dxa"/>
          </w:tcPr>
          <w:p>
            <w:pPr>
              <w:pStyle w:val="TableParagraph"/>
              <w:spacing w:line="268" w:lineRule="auto"/>
              <w:ind w:left="105" w:right="249"/>
              <w:jc w:val="left"/>
              <w:rPr>
                <w:sz w:val="16"/>
              </w:rPr>
            </w:pPr>
            <w:r>
              <w:rPr>
                <w:sz w:val="16"/>
              </w:rPr>
              <w:t>Savings/efficiencies</w:t>
            </w:r>
            <w:r>
              <w:rPr>
                <w:spacing w:val="-7"/>
                <w:sz w:val="16"/>
              </w:rPr>
              <w:t> </w:t>
            </w:r>
            <w:r>
              <w:rPr>
                <w:sz w:val="16"/>
              </w:rPr>
              <w:t>correspond</w:t>
            </w:r>
            <w:r>
              <w:rPr>
                <w:spacing w:val="-5"/>
                <w:sz w:val="16"/>
              </w:rPr>
              <w:t> </w:t>
            </w:r>
            <w:r>
              <w:rPr>
                <w:sz w:val="16"/>
              </w:rPr>
              <w:t>to</w:t>
            </w:r>
            <w:r>
              <w:rPr>
                <w:spacing w:val="-5"/>
                <w:sz w:val="16"/>
              </w:rPr>
              <w:t> </w:t>
            </w:r>
            <w:r>
              <w:rPr>
                <w:sz w:val="16"/>
              </w:rPr>
              <w:t>1</w:t>
            </w:r>
            <w:r>
              <w:rPr>
                <w:spacing w:val="-5"/>
                <w:sz w:val="16"/>
              </w:rPr>
              <w:t> </w:t>
            </w:r>
            <w:r>
              <w:rPr>
                <w:sz w:val="16"/>
              </w:rPr>
              <w:t>month</w:t>
            </w:r>
            <w:r>
              <w:rPr>
                <w:spacing w:val="-5"/>
                <w:sz w:val="16"/>
              </w:rPr>
              <w:t> </w:t>
            </w:r>
            <w:r>
              <w:rPr>
                <w:sz w:val="16"/>
              </w:rPr>
              <w:t>of</w:t>
            </w:r>
            <w:r>
              <w:rPr>
                <w:spacing w:val="-7"/>
                <w:sz w:val="16"/>
              </w:rPr>
              <w:t> </w:t>
            </w:r>
            <w:r>
              <w:rPr>
                <w:sz w:val="16"/>
              </w:rPr>
              <w:t>a</w:t>
            </w:r>
            <w:r>
              <w:rPr>
                <w:spacing w:val="-6"/>
                <w:sz w:val="16"/>
              </w:rPr>
              <w:t> </w:t>
            </w:r>
            <w:r>
              <w:rPr>
                <w:sz w:val="16"/>
              </w:rPr>
              <w:t>P-3</w:t>
            </w:r>
            <w:r>
              <w:rPr>
                <w:spacing w:val="40"/>
                <w:sz w:val="16"/>
              </w:rPr>
              <w:t> </w:t>
            </w:r>
            <w:r>
              <w:rPr>
                <w:sz w:val="16"/>
              </w:rPr>
              <w:t>per</w:t>
            </w:r>
            <w:r>
              <w:rPr>
                <w:spacing w:val="-5"/>
                <w:sz w:val="16"/>
              </w:rPr>
              <w:t> </w:t>
            </w:r>
            <w:r>
              <w:rPr>
                <w:sz w:val="16"/>
              </w:rPr>
              <w:t>year.</w:t>
            </w:r>
          </w:p>
        </w:tc>
        <w:tc>
          <w:tcPr>
            <w:tcW w:w="1431" w:type="dxa"/>
          </w:tcPr>
          <w:p>
            <w:pPr>
              <w:pStyle w:val="TableParagraph"/>
              <w:jc w:val="left"/>
              <w:rPr>
                <w:sz w:val="14"/>
              </w:rPr>
            </w:pPr>
          </w:p>
        </w:tc>
        <w:tc>
          <w:tcPr>
            <w:tcW w:w="1426" w:type="dxa"/>
          </w:tcPr>
          <w:p>
            <w:pPr>
              <w:pStyle w:val="TableParagraph"/>
              <w:spacing w:before="7"/>
              <w:jc w:val="left"/>
              <w:rPr>
                <w:b/>
                <w:sz w:val="17"/>
              </w:rPr>
            </w:pPr>
          </w:p>
          <w:p>
            <w:pPr>
              <w:pStyle w:val="TableParagraph"/>
              <w:ind w:right="97"/>
              <w:rPr>
                <w:sz w:val="16"/>
              </w:rPr>
            </w:pPr>
            <w:r>
              <w:rPr>
                <w:spacing w:val="-2"/>
                <w:sz w:val="16"/>
              </w:rPr>
              <w:t>10,508</w:t>
            </w:r>
          </w:p>
        </w:tc>
      </w:tr>
      <w:tr>
        <w:trPr>
          <w:trHeight w:val="2544" w:hRule="atLeast"/>
        </w:trPr>
        <w:tc>
          <w:tcPr>
            <w:tcW w:w="2958" w:type="dxa"/>
          </w:tcPr>
          <w:p>
            <w:pPr>
              <w:pStyle w:val="TableParagraph"/>
              <w:spacing w:line="268" w:lineRule="auto"/>
              <w:ind w:left="110" w:right="120"/>
              <w:jc w:val="left"/>
              <w:rPr>
                <w:sz w:val="16"/>
              </w:rPr>
            </w:pPr>
            <w:r>
              <w:rPr>
                <w:sz w:val="16"/>
              </w:rPr>
              <w:t>Introduction</w:t>
            </w:r>
            <w:r>
              <w:rPr>
                <w:spacing w:val="-10"/>
                <w:sz w:val="16"/>
              </w:rPr>
              <w:t> </w:t>
            </w:r>
            <w:r>
              <w:rPr>
                <w:sz w:val="16"/>
              </w:rPr>
              <w:t>of</w:t>
            </w:r>
            <w:r>
              <w:rPr>
                <w:spacing w:val="-10"/>
                <w:sz w:val="16"/>
              </w:rPr>
              <w:t> </w:t>
            </w:r>
            <w:r>
              <w:rPr>
                <w:sz w:val="16"/>
              </w:rPr>
              <w:t>an</w:t>
            </w:r>
            <w:r>
              <w:rPr>
                <w:spacing w:val="-9"/>
                <w:sz w:val="16"/>
              </w:rPr>
              <w:t> </w:t>
            </w:r>
            <w:r>
              <w:rPr>
                <w:sz w:val="16"/>
              </w:rPr>
              <w:t>automated</w:t>
            </w:r>
            <w:r>
              <w:rPr>
                <w:spacing w:val="-9"/>
                <w:sz w:val="16"/>
              </w:rPr>
              <w:t> </w:t>
            </w:r>
            <w:r>
              <w:rPr>
                <w:sz w:val="16"/>
              </w:rPr>
              <w:t>Disclosure</w:t>
            </w:r>
            <w:r>
              <w:rPr>
                <w:spacing w:val="40"/>
                <w:sz w:val="16"/>
              </w:rPr>
              <w:t> </w:t>
            </w:r>
            <w:r>
              <w:rPr>
                <w:sz w:val="16"/>
              </w:rPr>
              <w:t>Request Form (DRF).</w:t>
            </w:r>
          </w:p>
        </w:tc>
        <w:tc>
          <w:tcPr>
            <w:tcW w:w="3828" w:type="dxa"/>
          </w:tcPr>
          <w:p>
            <w:pPr>
              <w:pStyle w:val="TableParagraph"/>
              <w:spacing w:line="259" w:lineRule="auto"/>
              <w:ind w:left="105" w:right="116"/>
              <w:jc w:val="left"/>
              <w:rPr>
                <w:sz w:val="16"/>
              </w:rPr>
            </w:pPr>
            <w:r>
              <w:rPr>
                <w:sz w:val="16"/>
              </w:rPr>
              <w:t>90% gain in time for requesters completing the request</w:t>
            </w:r>
            <w:r>
              <w:rPr>
                <w:spacing w:val="40"/>
                <w:sz w:val="16"/>
              </w:rPr>
              <w:t> </w:t>
            </w:r>
            <w:r>
              <w:rPr>
                <w:sz w:val="16"/>
              </w:rPr>
              <w:t>form, as they no longer need to save it in the Court’s</w:t>
            </w:r>
            <w:r>
              <w:rPr>
                <w:spacing w:val="40"/>
                <w:sz w:val="16"/>
              </w:rPr>
              <w:t> </w:t>
            </w:r>
            <w:r>
              <w:rPr>
                <w:sz w:val="16"/>
              </w:rPr>
              <w:t>content management system (RM). Additionally,</w:t>
            </w:r>
            <w:r>
              <w:rPr>
                <w:spacing w:val="40"/>
                <w:sz w:val="16"/>
              </w:rPr>
              <w:t> </w:t>
            </w:r>
            <w:r>
              <w:rPr>
                <w:sz w:val="16"/>
              </w:rPr>
              <w:t>redactions no longer require ticking multiple systems-</w:t>
            </w:r>
            <w:r>
              <w:rPr>
                <w:spacing w:val="40"/>
                <w:sz w:val="16"/>
              </w:rPr>
              <w:t> </w:t>
            </w:r>
            <w:r>
              <w:rPr>
                <w:sz w:val="16"/>
              </w:rPr>
              <w:t>related boxes. Reduced need for emails between the</w:t>
            </w:r>
            <w:r>
              <w:rPr>
                <w:spacing w:val="40"/>
                <w:sz w:val="16"/>
              </w:rPr>
              <w:t> </w:t>
            </w:r>
            <w:r>
              <w:rPr>
                <w:sz w:val="16"/>
              </w:rPr>
              <w:t>Information and Evidence Unit (IEU) and requesters,</w:t>
            </w:r>
            <w:r>
              <w:rPr>
                <w:spacing w:val="40"/>
                <w:sz w:val="16"/>
              </w:rPr>
              <w:t> </w:t>
            </w:r>
            <w:r>
              <w:rPr>
                <w:sz w:val="16"/>
              </w:rPr>
              <w:t>resulting in clear communication nearly 100% of the</w:t>
            </w:r>
            <w:r>
              <w:rPr>
                <w:spacing w:val="40"/>
                <w:sz w:val="16"/>
              </w:rPr>
              <w:t> </w:t>
            </w:r>
            <w:r>
              <w:rPr>
                <w:sz w:val="16"/>
              </w:rPr>
              <w:t>time.</w:t>
            </w:r>
            <w:r>
              <w:rPr>
                <w:spacing w:val="-4"/>
                <w:sz w:val="16"/>
              </w:rPr>
              <w:t> </w:t>
            </w:r>
            <w:r>
              <w:rPr>
                <w:sz w:val="16"/>
              </w:rPr>
              <w:t>70%</w:t>
            </w:r>
            <w:r>
              <w:rPr>
                <w:spacing w:val="-1"/>
                <w:sz w:val="16"/>
              </w:rPr>
              <w:t> </w:t>
            </w:r>
            <w:r>
              <w:rPr>
                <w:sz w:val="16"/>
              </w:rPr>
              <w:t>gain</w:t>
            </w:r>
            <w:r>
              <w:rPr>
                <w:spacing w:val="-1"/>
                <w:sz w:val="16"/>
              </w:rPr>
              <w:t> </w:t>
            </w:r>
            <w:r>
              <w:rPr>
                <w:sz w:val="16"/>
              </w:rPr>
              <w:t>in</w:t>
            </w:r>
            <w:r>
              <w:rPr>
                <w:spacing w:val="-1"/>
                <w:sz w:val="16"/>
              </w:rPr>
              <w:t> </w:t>
            </w:r>
            <w:r>
              <w:rPr>
                <w:sz w:val="16"/>
              </w:rPr>
              <w:t>time</w:t>
            </w:r>
            <w:r>
              <w:rPr>
                <w:spacing w:val="-2"/>
                <w:sz w:val="16"/>
              </w:rPr>
              <w:t> </w:t>
            </w:r>
            <w:r>
              <w:rPr>
                <w:sz w:val="16"/>
              </w:rPr>
              <w:t>for</w:t>
            </w:r>
            <w:r>
              <w:rPr>
                <w:spacing w:val="-3"/>
                <w:sz w:val="16"/>
              </w:rPr>
              <w:t> </w:t>
            </w:r>
            <w:r>
              <w:rPr>
                <w:sz w:val="16"/>
              </w:rPr>
              <w:t>the</w:t>
            </w:r>
            <w:r>
              <w:rPr>
                <w:spacing w:val="-2"/>
                <w:sz w:val="16"/>
              </w:rPr>
              <w:t> </w:t>
            </w:r>
            <w:r>
              <w:rPr>
                <w:sz w:val="16"/>
              </w:rPr>
              <w:t>disclosure</w:t>
            </w:r>
            <w:r>
              <w:rPr>
                <w:spacing w:val="-2"/>
                <w:sz w:val="16"/>
              </w:rPr>
              <w:t> </w:t>
            </w:r>
            <w:r>
              <w:rPr>
                <w:sz w:val="16"/>
              </w:rPr>
              <w:t>coordinator</w:t>
            </w:r>
            <w:r>
              <w:rPr>
                <w:spacing w:val="-3"/>
                <w:sz w:val="16"/>
              </w:rPr>
              <w:t> </w:t>
            </w:r>
            <w:r>
              <w:rPr>
                <w:sz w:val="16"/>
              </w:rPr>
              <w:t>in</w:t>
            </w:r>
            <w:r>
              <w:rPr>
                <w:spacing w:val="40"/>
                <w:sz w:val="16"/>
              </w:rPr>
              <w:t> </w:t>
            </w:r>
            <w:r>
              <w:rPr>
                <w:sz w:val="16"/>
              </w:rPr>
              <w:t>the pre-preparation of disclosures, since the data on a</w:t>
            </w:r>
            <w:r>
              <w:rPr>
                <w:spacing w:val="40"/>
                <w:sz w:val="16"/>
              </w:rPr>
              <w:t> </w:t>
            </w:r>
            <w:r>
              <w:rPr>
                <w:sz w:val="16"/>
              </w:rPr>
              <w:t>paper</w:t>
            </w:r>
            <w:r>
              <w:rPr>
                <w:spacing w:val="-6"/>
                <w:sz w:val="16"/>
              </w:rPr>
              <w:t> </w:t>
            </w:r>
            <w:r>
              <w:rPr>
                <w:sz w:val="16"/>
              </w:rPr>
              <w:t>form</w:t>
            </w:r>
            <w:r>
              <w:rPr>
                <w:spacing w:val="-5"/>
                <w:sz w:val="16"/>
              </w:rPr>
              <w:t> </w:t>
            </w:r>
            <w:r>
              <w:rPr>
                <w:sz w:val="16"/>
              </w:rPr>
              <w:t>no</w:t>
            </w:r>
            <w:r>
              <w:rPr>
                <w:spacing w:val="-4"/>
                <w:sz w:val="16"/>
              </w:rPr>
              <w:t> </w:t>
            </w:r>
            <w:r>
              <w:rPr>
                <w:sz w:val="16"/>
              </w:rPr>
              <w:t>longer</w:t>
            </w:r>
            <w:r>
              <w:rPr>
                <w:spacing w:val="-6"/>
                <w:sz w:val="16"/>
              </w:rPr>
              <w:t> </w:t>
            </w:r>
            <w:r>
              <w:rPr>
                <w:sz w:val="16"/>
              </w:rPr>
              <w:t>need</w:t>
            </w:r>
            <w:r>
              <w:rPr>
                <w:spacing w:val="-4"/>
                <w:sz w:val="16"/>
              </w:rPr>
              <w:t> </w:t>
            </w:r>
            <w:r>
              <w:rPr>
                <w:sz w:val="16"/>
              </w:rPr>
              <w:t>to</w:t>
            </w:r>
            <w:r>
              <w:rPr>
                <w:spacing w:val="-4"/>
                <w:sz w:val="16"/>
              </w:rPr>
              <w:t> </w:t>
            </w:r>
            <w:r>
              <w:rPr>
                <w:sz w:val="16"/>
              </w:rPr>
              <w:t>be</w:t>
            </w:r>
            <w:r>
              <w:rPr>
                <w:spacing w:val="-5"/>
                <w:sz w:val="16"/>
              </w:rPr>
              <w:t> </w:t>
            </w:r>
            <w:r>
              <w:rPr>
                <w:sz w:val="16"/>
              </w:rPr>
              <w:t>manually</w:t>
            </w:r>
            <w:r>
              <w:rPr>
                <w:spacing w:val="-4"/>
                <w:sz w:val="16"/>
              </w:rPr>
              <w:t> </w:t>
            </w:r>
            <w:r>
              <w:rPr>
                <w:sz w:val="16"/>
              </w:rPr>
              <w:t>checked.</w:t>
            </w:r>
            <w:r>
              <w:rPr>
                <w:spacing w:val="-7"/>
                <w:sz w:val="16"/>
              </w:rPr>
              <w:t> </w:t>
            </w:r>
            <w:r>
              <w:rPr>
                <w:sz w:val="16"/>
              </w:rPr>
              <w:t>The</w:t>
            </w:r>
            <w:r>
              <w:rPr>
                <w:spacing w:val="40"/>
                <w:sz w:val="16"/>
              </w:rPr>
              <w:t> </w:t>
            </w:r>
            <w:r>
              <w:rPr>
                <w:sz w:val="16"/>
              </w:rPr>
              <w:t>efficiencies correspond to an estimated 10% of a</w:t>
            </w:r>
          </w:p>
          <w:p>
            <w:pPr>
              <w:pStyle w:val="TableParagraph"/>
              <w:ind w:left="105"/>
              <w:jc w:val="left"/>
              <w:rPr>
                <w:sz w:val="16"/>
              </w:rPr>
            </w:pPr>
            <w:r>
              <w:rPr>
                <w:spacing w:val="-2"/>
                <w:sz w:val="16"/>
              </w:rPr>
              <w:t>FTE</w:t>
            </w:r>
            <w:r>
              <w:rPr>
                <w:spacing w:val="1"/>
                <w:sz w:val="16"/>
              </w:rPr>
              <w:t> </w:t>
            </w:r>
            <w:r>
              <w:rPr>
                <w:spacing w:val="-2"/>
                <w:sz w:val="16"/>
              </w:rPr>
              <w:t>(P-</w:t>
            </w:r>
            <w:r>
              <w:rPr>
                <w:spacing w:val="-5"/>
                <w:sz w:val="16"/>
              </w:rPr>
              <w:t>1).</w:t>
            </w:r>
          </w:p>
        </w:tc>
        <w:tc>
          <w:tcPr>
            <w:tcW w:w="1431" w:type="dxa"/>
          </w:tcPr>
          <w:p>
            <w:pPr>
              <w:pStyle w:val="TableParagraph"/>
              <w:jc w:val="left"/>
              <w:rPr>
                <w:sz w:val="14"/>
              </w:rPr>
            </w:pPr>
          </w:p>
        </w:tc>
        <w:tc>
          <w:tcPr>
            <w:tcW w:w="1426" w:type="dxa"/>
          </w:tcPr>
          <w:p>
            <w:pPr>
              <w:pStyle w:val="TableParagraph"/>
              <w:spacing w:before="7"/>
              <w:jc w:val="left"/>
              <w:rPr>
                <w:b/>
                <w:sz w:val="17"/>
              </w:rPr>
            </w:pPr>
          </w:p>
          <w:p>
            <w:pPr>
              <w:pStyle w:val="TableParagraph"/>
              <w:ind w:right="97"/>
              <w:rPr>
                <w:sz w:val="16"/>
              </w:rPr>
            </w:pPr>
            <w:r>
              <w:rPr>
                <w:spacing w:val="-2"/>
                <w:sz w:val="16"/>
              </w:rPr>
              <w:t>9,930</w:t>
            </w:r>
          </w:p>
        </w:tc>
      </w:tr>
      <w:tr>
        <w:trPr>
          <w:trHeight w:val="2741" w:hRule="atLeast"/>
        </w:trPr>
        <w:tc>
          <w:tcPr>
            <w:tcW w:w="2958" w:type="dxa"/>
          </w:tcPr>
          <w:p>
            <w:pPr>
              <w:pStyle w:val="TableParagraph"/>
              <w:spacing w:line="264" w:lineRule="auto"/>
              <w:ind w:left="110" w:right="120"/>
              <w:jc w:val="left"/>
              <w:rPr>
                <w:sz w:val="16"/>
              </w:rPr>
            </w:pPr>
            <w:r>
              <w:rPr>
                <w:sz w:val="16"/>
              </w:rPr>
              <w:t>Workflow process improvements in the</w:t>
            </w:r>
            <w:r>
              <w:rPr>
                <w:spacing w:val="40"/>
                <w:sz w:val="16"/>
              </w:rPr>
              <w:t> </w:t>
            </w:r>
            <w:r>
              <w:rPr>
                <w:sz w:val="16"/>
              </w:rPr>
              <w:t>Planning</w:t>
            </w:r>
            <w:r>
              <w:rPr>
                <w:spacing w:val="-10"/>
                <w:sz w:val="16"/>
              </w:rPr>
              <w:t> </w:t>
            </w:r>
            <w:r>
              <w:rPr>
                <w:sz w:val="16"/>
              </w:rPr>
              <w:t>and</w:t>
            </w:r>
            <w:r>
              <w:rPr>
                <w:spacing w:val="-10"/>
                <w:sz w:val="16"/>
              </w:rPr>
              <w:t> </w:t>
            </w:r>
            <w:r>
              <w:rPr>
                <w:sz w:val="16"/>
              </w:rPr>
              <w:t>Operations</w:t>
            </w:r>
            <w:r>
              <w:rPr>
                <w:spacing w:val="-10"/>
                <w:sz w:val="16"/>
              </w:rPr>
              <w:t> </w:t>
            </w:r>
            <w:r>
              <w:rPr>
                <w:sz w:val="16"/>
              </w:rPr>
              <w:t>Section</w:t>
            </w:r>
            <w:r>
              <w:rPr>
                <w:spacing w:val="-10"/>
                <w:sz w:val="16"/>
              </w:rPr>
              <w:t> </w:t>
            </w:r>
            <w:r>
              <w:rPr>
                <w:sz w:val="16"/>
              </w:rPr>
              <w:t>(POS).</w:t>
            </w:r>
          </w:p>
        </w:tc>
        <w:tc>
          <w:tcPr>
            <w:tcW w:w="3828" w:type="dxa"/>
          </w:tcPr>
          <w:p>
            <w:pPr>
              <w:pStyle w:val="TableParagraph"/>
              <w:spacing w:line="259" w:lineRule="auto"/>
              <w:ind w:left="105" w:right="110"/>
              <w:jc w:val="left"/>
              <w:rPr>
                <w:sz w:val="16"/>
              </w:rPr>
            </w:pPr>
            <w:r>
              <w:rPr>
                <w:sz w:val="16"/>
              </w:rPr>
              <w:t>A reorganization of POS has enabled a redesign of</w:t>
            </w:r>
            <w:r>
              <w:rPr>
                <w:spacing w:val="40"/>
                <w:sz w:val="16"/>
              </w:rPr>
              <w:t> </w:t>
            </w:r>
            <w:r>
              <w:rPr>
                <w:sz w:val="16"/>
              </w:rPr>
              <w:t>workflow processes and outputs with regard to</w:t>
            </w:r>
            <w:r>
              <w:rPr>
                <w:spacing w:val="40"/>
                <w:sz w:val="16"/>
              </w:rPr>
              <w:t> </w:t>
            </w:r>
            <w:r>
              <w:rPr>
                <w:sz w:val="16"/>
              </w:rPr>
              <w:t>combining threat and risk assessments concerning staff</w:t>
            </w:r>
            <w:r>
              <w:rPr>
                <w:spacing w:val="40"/>
                <w:sz w:val="16"/>
              </w:rPr>
              <w:t> </w:t>
            </w:r>
            <w:r>
              <w:rPr>
                <w:sz w:val="16"/>
              </w:rPr>
              <w:t>and witnesses as well as an amalgamated concept of</w:t>
            </w:r>
            <w:r>
              <w:rPr>
                <w:spacing w:val="40"/>
                <w:sz w:val="16"/>
              </w:rPr>
              <w:t> </w:t>
            </w:r>
            <w:r>
              <w:rPr>
                <w:sz w:val="16"/>
              </w:rPr>
              <w:t>operations. This redesign is expected to save up to 4</w:t>
            </w:r>
            <w:r>
              <w:rPr>
                <w:spacing w:val="40"/>
                <w:sz w:val="16"/>
              </w:rPr>
              <w:t> </w:t>
            </w:r>
            <w:r>
              <w:rPr>
                <w:sz w:val="16"/>
              </w:rPr>
              <w:t>days’ work per assessment for a given situation/</w:t>
            </w:r>
            <w:r>
              <w:rPr>
                <w:spacing w:val="40"/>
                <w:sz w:val="16"/>
              </w:rPr>
              <w:t> </w:t>
            </w:r>
            <w:r>
              <w:rPr>
                <w:sz w:val="16"/>
              </w:rPr>
              <w:t>investigation. Most assessments are reviewed/ updated</w:t>
            </w:r>
            <w:r>
              <w:rPr>
                <w:spacing w:val="40"/>
                <w:sz w:val="16"/>
              </w:rPr>
              <w:t> </w:t>
            </w:r>
            <w:r>
              <w:rPr>
                <w:sz w:val="16"/>
              </w:rPr>
              <w:t>twice</w:t>
            </w:r>
            <w:r>
              <w:rPr>
                <w:spacing w:val="-5"/>
                <w:sz w:val="16"/>
              </w:rPr>
              <w:t> </w:t>
            </w:r>
            <w:r>
              <w:rPr>
                <w:sz w:val="16"/>
              </w:rPr>
              <w:t>a</w:t>
            </w:r>
            <w:r>
              <w:rPr>
                <w:spacing w:val="-5"/>
                <w:sz w:val="16"/>
              </w:rPr>
              <w:t> </w:t>
            </w:r>
            <w:r>
              <w:rPr>
                <w:sz w:val="16"/>
              </w:rPr>
              <w:t>year.</w:t>
            </w:r>
            <w:r>
              <w:rPr>
                <w:spacing w:val="-7"/>
                <w:sz w:val="16"/>
              </w:rPr>
              <w:t> </w:t>
            </w:r>
            <w:r>
              <w:rPr>
                <w:sz w:val="16"/>
              </w:rPr>
              <w:t>Given</w:t>
            </w:r>
            <w:r>
              <w:rPr>
                <w:spacing w:val="-4"/>
                <w:sz w:val="16"/>
              </w:rPr>
              <w:t> </w:t>
            </w:r>
            <w:r>
              <w:rPr>
                <w:sz w:val="16"/>
              </w:rPr>
              <w:t>that</w:t>
            </w:r>
            <w:r>
              <w:rPr>
                <w:spacing w:val="-7"/>
                <w:sz w:val="16"/>
              </w:rPr>
              <w:t> </w:t>
            </w:r>
            <w:r>
              <w:rPr>
                <w:sz w:val="16"/>
              </w:rPr>
              <w:t>14-15</w:t>
            </w:r>
            <w:r>
              <w:rPr>
                <w:spacing w:val="-4"/>
                <w:sz w:val="16"/>
              </w:rPr>
              <w:t> </w:t>
            </w:r>
            <w:r>
              <w:rPr>
                <w:sz w:val="16"/>
              </w:rPr>
              <w:t>assessments</w:t>
            </w:r>
            <w:r>
              <w:rPr>
                <w:spacing w:val="-6"/>
                <w:sz w:val="16"/>
              </w:rPr>
              <w:t> </w:t>
            </w:r>
            <w:r>
              <w:rPr>
                <w:sz w:val="16"/>
              </w:rPr>
              <w:t>are</w:t>
            </w:r>
            <w:r>
              <w:rPr>
                <w:spacing w:val="-5"/>
                <w:sz w:val="16"/>
              </w:rPr>
              <w:t> </w:t>
            </w:r>
            <w:r>
              <w:rPr>
                <w:sz w:val="16"/>
              </w:rPr>
              <w:t>currently</w:t>
            </w:r>
            <w:r>
              <w:rPr>
                <w:spacing w:val="40"/>
                <w:sz w:val="16"/>
              </w:rPr>
              <w:t> </w:t>
            </w:r>
            <w:r>
              <w:rPr>
                <w:sz w:val="16"/>
              </w:rPr>
              <w:t>being performed, this is equivalent to approximately</w:t>
            </w:r>
            <w:r>
              <w:rPr>
                <w:spacing w:val="40"/>
                <w:sz w:val="16"/>
              </w:rPr>
              <w:t> </w:t>
            </w:r>
            <w:r>
              <w:rPr>
                <w:sz w:val="16"/>
              </w:rPr>
              <w:t>120</w:t>
            </w:r>
            <w:r>
              <w:rPr>
                <w:spacing w:val="-2"/>
                <w:sz w:val="16"/>
              </w:rPr>
              <w:t> </w:t>
            </w:r>
            <w:r>
              <w:rPr>
                <w:sz w:val="16"/>
              </w:rPr>
              <w:t>days.</w:t>
            </w:r>
            <w:r>
              <w:rPr>
                <w:spacing w:val="-5"/>
                <w:sz w:val="16"/>
              </w:rPr>
              <w:t> </w:t>
            </w:r>
            <w:r>
              <w:rPr>
                <w:sz w:val="16"/>
              </w:rPr>
              <w:t>It</w:t>
            </w:r>
            <w:r>
              <w:rPr>
                <w:spacing w:val="-5"/>
                <w:sz w:val="16"/>
              </w:rPr>
              <w:t> </w:t>
            </w:r>
            <w:r>
              <w:rPr>
                <w:sz w:val="16"/>
              </w:rPr>
              <w:t>is</w:t>
            </w:r>
            <w:r>
              <w:rPr>
                <w:spacing w:val="-4"/>
                <w:sz w:val="16"/>
              </w:rPr>
              <w:t> </w:t>
            </w:r>
            <w:r>
              <w:rPr>
                <w:sz w:val="16"/>
              </w:rPr>
              <w:t>expected</w:t>
            </w:r>
            <w:r>
              <w:rPr>
                <w:spacing w:val="-2"/>
                <w:sz w:val="16"/>
              </w:rPr>
              <w:t> </w:t>
            </w:r>
            <w:r>
              <w:rPr>
                <w:sz w:val="16"/>
              </w:rPr>
              <w:t>that</w:t>
            </w:r>
            <w:r>
              <w:rPr>
                <w:spacing w:val="-5"/>
                <w:sz w:val="16"/>
              </w:rPr>
              <w:t> </w:t>
            </w:r>
            <w:r>
              <w:rPr>
                <w:sz w:val="16"/>
              </w:rPr>
              <w:t>up</w:t>
            </w:r>
            <w:r>
              <w:rPr>
                <w:spacing w:val="-2"/>
                <w:sz w:val="16"/>
              </w:rPr>
              <w:t> </w:t>
            </w:r>
            <w:r>
              <w:rPr>
                <w:sz w:val="16"/>
              </w:rPr>
              <w:t>to</w:t>
            </w:r>
            <w:r>
              <w:rPr>
                <w:spacing w:val="-2"/>
                <w:sz w:val="16"/>
              </w:rPr>
              <w:t> </w:t>
            </w:r>
            <w:r>
              <w:rPr>
                <w:sz w:val="16"/>
              </w:rPr>
              <w:t>120</w:t>
            </w:r>
            <w:r>
              <w:rPr>
                <w:spacing w:val="-2"/>
                <w:sz w:val="16"/>
              </w:rPr>
              <w:t> </w:t>
            </w:r>
            <w:r>
              <w:rPr>
                <w:sz w:val="16"/>
              </w:rPr>
              <w:t>days</w:t>
            </w:r>
            <w:r>
              <w:rPr>
                <w:spacing w:val="-4"/>
                <w:sz w:val="16"/>
              </w:rPr>
              <w:t> </w:t>
            </w:r>
            <w:r>
              <w:rPr>
                <w:sz w:val="16"/>
              </w:rPr>
              <w:t>of</w:t>
            </w:r>
            <w:r>
              <w:rPr>
                <w:spacing w:val="-4"/>
                <w:sz w:val="16"/>
              </w:rPr>
              <w:t> </w:t>
            </w:r>
            <w:r>
              <w:rPr>
                <w:sz w:val="16"/>
              </w:rPr>
              <w:t>analytical</w:t>
            </w:r>
            <w:r>
              <w:rPr>
                <w:spacing w:val="40"/>
                <w:sz w:val="16"/>
              </w:rPr>
              <w:t> </w:t>
            </w:r>
            <w:r>
              <w:rPr>
                <w:sz w:val="16"/>
              </w:rPr>
              <w:t>capacity will be freed up and can be used for other</w:t>
            </w:r>
            <w:r>
              <w:rPr>
                <w:spacing w:val="40"/>
                <w:sz w:val="16"/>
              </w:rPr>
              <w:t> </w:t>
            </w:r>
            <w:r>
              <w:rPr>
                <w:sz w:val="16"/>
              </w:rPr>
              <w:t>analytical tasks, corresponding to efficiencies of</w:t>
            </w:r>
            <w:r>
              <w:rPr>
                <w:spacing w:val="40"/>
                <w:sz w:val="16"/>
              </w:rPr>
              <w:t> </w:t>
            </w:r>
            <w:r>
              <w:rPr>
                <w:sz w:val="16"/>
              </w:rPr>
              <w:t>approximately €53.6 thousand.</w:t>
            </w:r>
          </w:p>
        </w:tc>
        <w:tc>
          <w:tcPr>
            <w:tcW w:w="1431" w:type="dxa"/>
          </w:tcPr>
          <w:p>
            <w:pPr>
              <w:pStyle w:val="TableParagraph"/>
              <w:jc w:val="left"/>
              <w:rPr>
                <w:sz w:val="14"/>
              </w:rPr>
            </w:pPr>
          </w:p>
        </w:tc>
        <w:tc>
          <w:tcPr>
            <w:tcW w:w="1426" w:type="dxa"/>
          </w:tcPr>
          <w:p>
            <w:pPr>
              <w:pStyle w:val="TableParagraph"/>
              <w:spacing w:before="2"/>
              <w:jc w:val="left"/>
              <w:rPr>
                <w:b/>
                <w:sz w:val="17"/>
              </w:rPr>
            </w:pPr>
          </w:p>
          <w:p>
            <w:pPr>
              <w:pStyle w:val="TableParagraph"/>
              <w:spacing w:before="1"/>
              <w:ind w:right="97"/>
              <w:rPr>
                <w:sz w:val="16"/>
              </w:rPr>
            </w:pPr>
            <w:r>
              <w:rPr>
                <w:spacing w:val="-2"/>
                <w:sz w:val="16"/>
              </w:rPr>
              <w:t>53,622</w:t>
            </w:r>
          </w:p>
        </w:tc>
      </w:tr>
      <w:tr>
        <w:trPr>
          <w:trHeight w:val="517" w:hRule="atLeast"/>
        </w:trPr>
        <w:tc>
          <w:tcPr>
            <w:tcW w:w="2958" w:type="dxa"/>
          </w:tcPr>
          <w:p>
            <w:pPr>
              <w:pStyle w:val="TableParagraph"/>
              <w:spacing w:before="160"/>
              <w:ind w:left="110"/>
              <w:jc w:val="left"/>
              <w:rPr>
                <w:b/>
                <w:sz w:val="16"/>
              </w:rPr>
            </w:pPr>
            <w:r>
              <w:rPr>
                <w:b/>
                <w:w w:val="95"/>
                <w:sz w:val="16"/>
              </w:rPr>
              <w:t>Grand</w:t>
            </w:r>
            <w:r>
              <w:rPr>
                <w:b/>
                <w:spacing w:val="14"/>
                <w:sz w:val="16"/>
              </w:rPr>
              <w:t> </w:t>
            </w:r>
            <w:r>
              <w:rPr>
                <w:b/>
                <w:spacing w:val="-2"/>
                <w:sz w:val="16"/>
              </w:rPr>
              <w:t>total</w:t>
            </w:r>
          </w:p>
        </w:tc>
        <w:tc>
          <w:tcPr>
            <w:tcW w:w="3828" w:type="dxa"/>
          </w:tcPr>
          <w:p>
            <w:pPr>
              <w:pStyle w:val="TableParagraph"/>
              <w:jc w:val="left"/>
              <w:rPr>
                <w:sz w:val="14"/>
              </w:rPr>
            </w:pPr>
          </w:p>
        </w:tc>
        <w:tc>
          <w:tcPr>
            <w:tcW w:w="1431" w:type="dxa"/>
          </w:tcPr>
          <w:p>
            <w:pPr>
              <w:pStyle w:val="TableParagraph"/>
              <w:spacing w:before="160"/>
              <w:ind w:right="97"/>
              <w:rPr>
                <w:b/>
                <w:sz w:val="16"/>
              </w:rPr>
            </w:pPr>
            <w:r>
              <w:rPr>
                <w:b/>
                <w:w w:val="99"/>
                <w:sz w:val="16"/>
              </w:rPr>
              <w:t>0</w:t>
            </w:r>
          </w:p>
        </w:tc>
        <w:tc>
          <w:tcPr>
            <w:tcW w:w="1426" w:type="dxa"/>
          </w:tcPr>
          <w:p>
            <w:pPr>
              <w:pStyle w:val="TableParagraph"/>
              <w:spacing w:before="160"/>
              <w:ind w:right="228"/>
              <w:rPr>
                <w:b/>
                <w:sz w:val="16"/>
              </w:rPr>
            </w:pPr>
            <w:r>
              <w:rPr>
                <w:b/>
                <w:spacing w:val="-2"/>
                <w:sz w:val="16"/>
              </w:rPr>
              <w:t>117,422</w:t>
            </w:r>
          </w:p>
        </w:tc>
      </w:tr>
    </w:tbl>
    <w:p>
      <w:pPr>
        <w:spacing w:after="0"/>
        <w:rPr>
          <w:sz w:val="16"/>
        </w:rPr>
        <w:sectPr>
          <w:type w:val="continuous"/>
          <w:pgSz w:w="11910" w:h="16840"/>
          <w:pgMar w:header="953" w:footer="940" w:top="1140" w:bottom="1140" w:left="20" w:right="20"/>
        </w:sectPr>
      </w:pPr>
    </w:p>
    <w:p>
      <w:pPr>
        <w:pStyle w:val="ListParagraph"/>
        <w:numPr>
          <w:ilvl w:val="1"/>
          <w:numId w:val="130"/>
        </w:numPr>
        <w:tabs>
          <w:tab w:pos="2967" w:val="left" w:leader="none"/>
        </w:tabs>
        <w:spacing w:line="240" w:lineRule="auto" w:before="130" w:after="0"/>
        <w:ind w:left="2967" w:right="0" w:hanging="361"/>
        <w:jc w:val="left"/>
        <w:rPr>
          <w:b/>
          <w:sz w:val="24"/>
        </w:rPr>
      </w:pPr>
      <w:r>
        <w:rPr>
          <w:b/>
          <w:sz w:val="24"/>
        </w:rPr>
        <w:t>Additional</w:t>
      </w:r>
      <w:r>
        <w:rPr>
          <w:b/>
          <w:spacing w:val="-10"/>
          <w:sz w:val="24"/>
        </w:rPr>
        <w:t> </w:t>
      </w:r>
      <w:r>
        <w:rPr>
          <w:b/>
          <w:sz w:val="24"/>
        </w:rPr>
        <w:t>cost</w:t>
      </w:r>
      <w:r>
        <w:rPr>
          <w:b/>
          <w:spacing w:val="-4"/>
          <w:sz w:val="24"/>
        </w:rPr>
        <w:t> </w:t>
      </w:r>
      <w:r>
        <w:rPr>
          <w:b/>
          <w:spacing w:val="-2"/>
          <w:sz w:val="24"/>
        </w:rPr>
        <w:t>reductions</w:t>
      </w:r>
    </w:p>
    <w:p>
      <w:pPr>
        <w:pStyle w:val="BodyText"/>
        <w:spacing w:before="7"/>
        <w:rPr>
          <w:b/>
          <w:sz w:val="22"/>
        </w:rPr>
      </w:pPr>
    </w:p>
    <w:tbl>
      <w:tblPr>
        <w:tblW w:w="0" w:type="auto"/>
        <w:jc w:val="left"/>
        <w:tblInd w:w="2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63"/>
        <w:gridCol w:w="2353"/>
        <w:gridCol w:w="1422"/>
        <w:gridCol w:w="1235"/>
      </w:tblGrid>
      <w:tr>
        <w:trPr>
          <w:trHeight w:val="988" w:hRule="atLeast"/>
        </w:trPr>
        <w:tc>
          <w:tcPr>
            <w:tcW w:w="2363" w:type="dxa"/>
            <w:tcBorders>
              <w:left w:val="nil"/>
              <w:right w:val="nil"/>
            </w:tcBorders>
          </w:tcPr>
          <w:p>
            <w:pPr>
              <w:pStyle w:val="TableParagraph"/>
              <w:jc w:val="left"/>
              <w:rPr>
                <w:b/>
                <w:sz w:val="18"/>
              </w:rPr>
            </w:pPr>
          </w:p>
          <w:p>
            <w:pPr>
              <w:pStyle w:val="TableParagraph"/>
              <w:spacing w:before="1"/>
              <w:jc w:val="left"/>
              <w:rPr>
                <w:b/>
                <w:sz w:val="16"/>
              </w:rPr>
            </w:pPr>
          </w:p>
          <w:p>
            <w:pPr>
              <w:pStyle w:val="TableParagraph"/>
              <w:spacing w:before="1"/>
              <w:ind w:left="806" w:right="791"/>
              <w:jc w:val="center"/>
              <w:rPr>
                <w:sz w:val="16"/>
              </w:rPr>
            </w:pPr>
            <w:r>
              <w:rPr>
                <w:spacing w:val="-2"/>
                <w:sz w:val="16"/>
              </w:rPr>
              <w:t>Description</w:t>
            </w:r>
          </w:p>
        </w:tc>
        <w:tc>
          <w:tcPr>
            <w:tcW w:w="2353" w:type="dxa"/>
            <w:tcBorders>
              <w:left w:val="nil"/>
              <w:right w:val="nil"/>
            </w:tcBorders>
          </w:tcPr>
          <w:p>
            <w:pPr>
              <w:pStyle w:val="TableParagraph"/>
              <w:jc w:val="left"/>
              <w:rPr>
                <w:b/>
                <w:sz w:val="18"/>
              </w:rPr>
            </w:pPr>
          </w:p>
          <w:p>
            <w:pPr>
              <w:pStyle w:val="TableParagraph"/>
              <w:spacing w:before="1"/>
              <w:jc w:val="left"/>
              <w:rPr>
                <w:b/>
                <w:sz w:val="16"/>
              </w:rPr>
            </w:pPr>
          </w:p>
          <w:p>
            <w:pPr>
              <w:pStyle w:val="TableParagraph"/>
              <w:spacing w:before="1"/>
              <w:ind w:left="253"/>
              <w:jc w:val="left"/>
              <w:rPr>
                <w:sz w:val="16"/>
              </w:rPr>
            </w:pPr>
            <w:r>
              <w:rPr>
                <w:sz w:val="16"/>
              </w:rPr>
              <w:t>Achieved</w:t>
            </w:r>
            <w:r>
              <w:rPr>
                <w:spacing w:val="-4"/>
                <w:sz w:val="16"/>
              </w:rPr>
              <w:t> </w:t>
            </w:r>
            <w:r>
              <w:rPr>
                <w:sz w:val="16"/>
              </w:rPr>
              <w:t>output</w:t>
            </w:r>
            <w:r>
              <w:rPr>
                <w:spacing w:val="-6"/>
                <w:sz w:val="16"/>
              </w:rPr>
              <w:t> </w:t>
            </w:r>
            <w:r>
              <w:rPr>
                <w:sz w:val="16"/>
              </w:rPr>
              <w:t>(2023</w:t>
            </w:r>
            <w:r>
              <w:rPr>
                <w:spacing w:val="-3"/>
                <w:sz w:val="16"/>
              </w:rPr>
              <w:t> </w:t>
            </w:r>
            <w:r>
              <w:rPr>
                <w:spacing w:val="-4"/>
                <w:sz w:val="16"/>
              </w:rPr>
              <w:t>PPB)</w:t>
            </w:r>
          </w:p>
        </w:tc>
        <w:tc>
          <w:tcPr>
            <w:tcW w:w="1422" w:type="dxa"/>
            <w:tcBorders>
              <w:left w:val="nil"/>
              <w:right w:val="nil"/>
            </w:tcBorders>
          </w:tcPr>
          <w:p>
            <w:pPr>
              <w:pStyle w:val="TableParagraph"/>
              <w:spacing w:line="259" w:lineRule="auto"/>
              <w:ind w:left="148" w:right="146" w:firstLine="6"/>
              <w:jc w:val="center"/>
              <w:rPr>
                <w:i/>
                <w:sz w:val="16"/>
              </w:rPr>
            </w:pPr>
            <w:r>
              <w:rPr>
                <w:sz w:val="16"/>
              </w:rPr>
              <w:t>2022</w:t>
            </w:r>
            <w:r>
              <w:rPr>
                <w:spacing w:val="-1"/>
                <w:sz w:val="16"/>
              </w:rPr>
              <w:t> </w:t>
            </w:r>
            <w:r>
              <w:rPr>
                <w:sz w:val="16"/>
              </w:rPr>
              <w:t>Costs</w:t>
            </w:r>
            <w:r>
              <w:rPr>
                <w:spacing w:val="40"/>
                <w:sz w:val="16"/>
              </w:rPr>
              <w:t> </w:t>
            </w:r>
            <w:r>
              <w:rPr>
                <w:sz w:val="16"/>
              </w:rPr>
              <w:t>avoided</w:t>
            </w:r>
            <w:r>
              <w:rPr>
                <w:spacing w:val="-10"/>
                <w:sz w:val="16"/>
              </w:rPr>
              <w:t> </w:t>
            </w:r>
            <w:r>
              <w:rPr>
                <w:sz w:val="16"/>
              </w:rPr>
              <w:t>(baseline</w:t>
            </w:r>
            <w:r>
              <w:rPr>
                <w:spacing w:val="40"/>
                <w:sz w:val="16"/>
              </w:rPr>
              <w:t> </w:t>
            </w:r>
            <w:r>
              <w:rPr>
                <w:spacing w:val="-2"/>
                <w:sz w:val="16"/>
              </w:rPr>
              <w:t>maintained)</w:t>
            </w:r>
            <w:r>
              <w:rPr>
                <w:spacing w:val="40"/>
                <w:sz w:val="16"/>
              </w:rPr>
              <w:t> </w:t>
            </w:r>
            <w:r>
              <w:rPr>
                <w:i/>
                <w:sz w:val="16"/>
              </w:rPr>
              <w:t>(thousands</w:t>
            </w:r>
            <w:r>
              <w:rPr>
                <w:i/>
                <w:spacing w:val="-5"/>
                <w:sz w:val="16"/>
              </w:rPr>
              <w:t> </w:t>
            </w:r>
            <w:r>
              <w:rPr>
                <w:i/>
                <w:sz w:val="16"/>
              </w:rPr>
              <w:t>of</w:t>
            </w:r>
          </w:p>
          <w:p>
            <w:pPr>
              <w:pStyle w:val="TableParagraph"/>
              <w:spacing w:line="175" w:lineRule="exact"/>
              <w:ind w:left="495" w:right="489"/>
              <w:jc w:val="center"/>
              <w:rPr>
                <w:i/>
                <w:sz w:val="16"/>
              </w:rPr>
            </w:pPr>
            <w:r>
              <w:rPr>
                <w:i/>
                <w:spacing w:val="-2"/>
                <w:sz w:val="16"/>
              </w:rPr>
              <w:t>euros)</w:t>
            </w:r>
          </w:p>
        </w:tc>
        <w:tc>
          <w:tcPr>
            <w:tcW w:w="1235" w:type="dxa"/>
            <w:tcBorders>
              <w:left w:val="nil"/>
              <w:right w:val="nil"/>
            </w:tcBorders>
          </w:tcPr>
          <w:p>
            <w:pPr>
              <w:pStyle w:val="TableParagraph"/>
              <w:spacing w:line="259" w:lineRule="auto" w:before="95"/>
              <w:ind w:left="109" w:right="105"/>
              <w:jc w:val="center"/>
              <w:rPr>
                <w:i/>
                <w:sz w:val="16"/>
              </w:rPr>
            </w:pPr>
            <w:r>
              <w:rPr>
                <w:sz w:val="16"/>
              </w:rPr>
              <w:t>2023</w:t>
            </w:r>
            <w:r>
              <w:rPr>
                <w:spacing w:val="-10"/>
                <w:sz w:val="16"/>
              </w:rPr>
              <w:t> </w:t>
            </w:r>
            <w:r>
              <w:rPr>
                <w:sz w:val="16"/>
              </w:rPr>
              <w:t>Reduction</w:t>
            </w:r>
            <w:r>
              <w:rPr>
                <w:spacing w:val="40"/>
                <w:sz w:val="16"/>
              </w:rPr>
              <w:t> </w:t>
            </w:r>
            <w:r>
              <w:rPr>
                <w:sz w:val="16"/>
              </w:rPr>
              <w:t>in</w:t>
            </w:r>
            <w:r>
              <w:rPr>
                <w:spacing w:val="-1"/>
                <w:sz w:val="16"/>
              </w:rPr>
              <w:t> </w:t>
            </w:r>
            <w:r>
              <w:rPr>
                <w:sz w:val="16"/>
              </w:rPr>
              <w:t>baseline</w:t>
            </w:r>
            <w:r>
              <w:rPr>
                <w:spacing w:val="40"/>
                <w:sz w:val="16"/>
              </w:rPr>
              <w:t> </w:t>
            </w:r>
            <w:r>
              <w:rPr>
                <w:i/>
                <w:sz w:val="16"/>
              </w:rPr>
              <w:t>(thousands</w:t>
            </w:r>
            <w:r>
              <w:rPr>
                <w:i/>
                <w:spacing w:val="-5"/>
                <w:sz w:val="16"/>
              </w:rPr>
              <w:t> </w:t>
            </w:r>
            <w:r>
              <w:rPr>
                <w:i/>
                <w:sz w:val="16"/>
              </w:rPr>
              <w:t>of</w:t>
            </w:r>
            <w:r>
              <w:rPr>
                <w:i/>
                <w:spacing w:val="40"/>
                <w:sz w:val="16"/>
              </w:rPr>
              <w:t> </w:t>
            </w:r>
            <w:r>
              <w:rPr>
                <w:i/>
                <w:spacing w:val="-2"/>
                <w:sz w:val="16"/>
              </w:rPr>
              <w:t>euros)</w:t>
            </w:r>
          </w:p>
        </w:tc>
      </w:tr>
      <w:tr>
        <w:trPr>
          <w:trHeight w:val="2942" w:hRule="atLeast"/>
        </w:trPr>
        <w:tc>
          <w:tcPr>
            <w:tcW w:w="2363" w:type="dxa"/>
          </w:tcPr>
          <w:p>
            <w:pPr>
              <w:pStyle w:val="TableParagraph"/>
              <w:spacing w:line="261" w:lineRule="auto"/>
              <w:ind w:left="110" w:right="107"/>
              <w:jc w:val="left"/>
              <w:rPr>
                <w:sz w:val="16"/>
              </w:rPr>
            </w:pPr>
            <w:r>
              <w:rPr>
                <w:sz w:val="16"/>
              </w:rPr>
              <w:t>In</w:t>
            </w:r>
            <w:r>
              <w:rPr>
                <w:spacing w:val="-8"/>
                <w:sz w:val="16"/>
              </w:rPr>
              <w:t> </w:t>
            </w:r>
            <w:r>
              <w:rPr>
                <w:sz w:val="16"/>
              </w:rPr>
              <w:t>anticipation</w:t>
            </w:r>
            <w:r>
              <w:rPr>
                <w:spacing w:val="-8"/>
                <w:sz w:val="16"/>
              </w:rPr>
              <w:t> </w:t>
            </w:r>
            <w:r>
              <w:rPr>
                <w:sz w:val="16"/>
              </w:rPr>
              <w:t>of</w:t>
            </w:r>
            <w:r>
              <w:rPr>
                <w:spacing w:val="-9"/>
                <w:sz w:val="16"/>
              </w:rPr>
              <w:t> </w:t>
            </w:r>
            <w:r>
              <w:rPr>
                <w:sz w:val="16"/>
              </w:rPr>
              <w:t>the</w:t>
            </w:r>
            <w:r>
              <w:rPr>
                <w:spacing w:val="-8"/>
                <w:sz w:val="16"/>
              </w:rPr>
              <w:t> </w:t>
            </w:r>
            <w:r>
              <w:rPr>
                <w:sz w:val="16"/>
              </w:rPr>
              <w:t>reduction</w:t>
            </w:r>
            <w:r>
              <w:rPr>
                <w:spacing w:val="-8"/>
                <w:sz w:val="16"/>
              </w:rPr>
              <w:t> </w:t>
            </w:r>
            <w:r>
              <w:rPr>
                <w:sz w:val="16"/>
              </w:rPr>
              <w:t>in</w:t>
            </w:r>
            <w:r>
              <w:rPr>
                <w:spacing w:val="40"/>
                <w:sz w:val="16"/>
              </w:rPr>
              <w:t> </w:t>
            </w:r>
            <w:r>
              <w:rPr>
                <w:sz w:val="16"/>
              </w:rPr>
              <w:t>activities and resource needs in</w:t>
            </w:r>
            <w:r>
              <w:rPr>
                <w:spacing w:val="40"/>
                <w:sz w:val="16"/>
              </w:rPr>
              <w:t> </w:t>
            </w:r>
            <w:r>
              <w:rPr>
                <w:sz w:val="16"/>
              </w:rPr>
              <w:t>Uganda, the DRC (Bunia) and</w:t>
            </w:r>
            <w:r>
              <w:rPr>
                <w:spacing w:val="40"/>
                <w:sz w:val="16"/>
              </w:rPr>
              <w:t> </w:t>
            </w:r>
            <w:r>
              <w:rPr>
                <w:sz w:val="16"/>
              </w:rPr>
              <w:t>Mali, for 2023 DEO will abolish</w:t>
            </w:r>
            <w:r>
              <w:rPr>
                <w:spacing w:val="40"/>
                <w:sz w:val="16"/>
              </w:rPr>
              <w:t> </w:t>
            </w:r>
            <w:r>
              <w:rPr>
                <w:sz w:val="16"/>
              </w:rPr>
              <w:t>a number of field positions</w:t>
            </w:r>
            <w:r>
              <w:rPr>
                <w:spacing w:val="40"/>
                <w:sz w:val="16"/>
              </w:rPr>
              <w:t> </w:t>
            </w:r>
            <w:r>
              <w:rPr>
                <w:sz w:val="16"/>
              </w:rPr>
              <w:t>which can no longer be justified.</w:t>
            </w:r>
          </w:p>
        </w:tc>
        <w:tc>
          <w:tcPr>
            <w:tcW w:w="2353" w:type="dxa"/>
          </w:tcPr>
          <w:p>
            <w:pPr>
              <w:pStyle w:val="TableParagraph"/>
              <w:spacing w:line="259" w:lineRule="auto"/>
              <w:ind w:left="109" w:right="107"/>
              <w:jc w:val="left"/>
              <w:rPr>
                <w:sz w:val="16"/>
              </w:rPr>
            </w:pPr>
            <w:r>
              <w:rPr>
                <w:sz w:val="16"/>
              </w:rPr>
              <w:t>Savings in salaries will be</w:t>
            </w:r>
            <w:r>
              <w:rPr>
                <w:spacing w:val="40"/>
                <w:sz w:val="16"/>
              </w:rPr>
              <w:t> </w:t>
            </w:r>
            <w:r>
              <w:rPr>
                <w:sz w:val="16"/>
              </w:rPr>
              <w:t>achieved</w:t>
            </w:r>
            <w:r>
              <w:rPr>
                <w:spacing w:val="-9"/>
                <w:sz w:val="16"/>
              </w:rPr>
              <w:t> </w:t>
            </w:r>
            <w:r>
              <w:rPr>
                <w:sz w:val="16"/>
              </w:rPr>
              <w:t>by</w:t>
            </w:r>
            <w:r>
              <w:rPr>
                <w:spacing w:val="-10"/>
                <w:sz w:val="16"/>
              </w:rPr>
              <w:t> </w:t>
            </w:r>
            <w:r>
              <w:rPr>
                <w:sz w:val="16"/>
              </w:rPr>
              <w:t>abolishing</w:t>
            </w:r>
            <w:r>
              <w:rPr>
                <w:spacing w:val="-9"/>
                <w:sz w:val="16"/>
              </w:rPr>
              <w:t> </w:t>
            </w:r>
            <w:r>
              <w:rPr>
                <w:sz w:val="16"/>
              </w:rPr>
              <w:t>the</w:t>
            </w:r>
            <w:r>
              <w:rPr>
                <w:spacing w:val="-10"/>
                <w:sz w:val="16"/>
              </w:rPr>
              <w:t> </w:t>
            </w:r>
            <w:r>
              <w:rPr>
                <w:sz w:val="16"/>
              </w:rPr>
              <w:t>posts</w:t>
            </w:r>
            <w:r>
              <w:rPr>
                <w:spacing w:val="40"/>
                <w:sz w:val="16"/>
              </w:rPr>
              <w:t> </w:t>
            </w:r>
            <w:r>
              <w:rPr>
                <w:sz w:val="16"/>
              </w:rPr>
              <w:t>of (1) one Chief of Country</w:t>
            </w:r>
            <w:r>
              <w:rPr>
                <w:spacing w:val="40"/>
                <w:sz w:val="16"/>
              </w:rPr>
              <w:t> </w:t>
            </w:r>
            <w:r>
              <w:rPr>
                <w:sz w:val="16"/>
              </w:rPr>
              <w:t>Office (P-5) (Uganda), (2) one</w:t>
            </w:r>
            <w:r>
              <w:rPr>
                <w:spacing w:val="40"/>
                <w:sz w:val="16"/>
              </w:rPr>
              <w:t> </w:t>
            </w:r>
            <w:r>
              <w:rPr>
                <w:sz w:val="16"/>
              </w:rPr>
              <w:t>Field Assistant (VPR) (GS-OL)</w:t>
            </w:r>
            <w:r>
              <w:rPr>
                <w:spacing w:val="40"/>
                <w:sz w:val="16"/>
              </w:rPr>
              <w:t> </w:t>
            </w:r>
            <w:r>
              <w:rPr>
                <w:sz w:val="16"/>
              </w:rPr>
              <w:t>(Uganda), (3) two Drivers</w:t>
            </w:r>
          </w:p>
          <w:p>
            <w:pPr>
              <w:pStyle w:val="TableParagraph"/>
              <w:spacing w:line="256" w:lineRule="auto" w:before="2"/>
              <w:ind w:left="109" w:right="473"/>
              <w:jc w:val="left"/>
              <w:rPr>
                <w:sz w:val="16"/>
              </w:rPr>
            </w:pPr>
            <w:r>
              <w:rPr>
                <w:sz w:val="16"/>
              </w:rPr>
              <w:t>(GS-OL)</w:t>
            </w:r>
            <w:r>
              <w:rPr>
                <w:spacing w:val="-10"/>
                <w:sz w:val="16"/>
              </w:rPr>
              <w:t> </w:t>
            </w:r>
            <w:r>
              <w:rPr>
                <w:sz w:val="16"/>
              </w:rPr>
              <w:t>(Uganda),</w:t>
            </w:r>
            <w:r>
              <w:rPr>
                <w:spacing w:val="-10"/>
                <w:sz w:val="16"/>
              </w:rPr>
              <w:t> </w:t>
            </w:r>
            <w:r>
              <w:rPr>
                <w:sz w:val="16"/>
              </w:rPr>
              <w:t>(4)</w:t>
            </w:r>
            <w:r>
              <w:rPr>
                <w:spacing w:val="-10"/>
                <w:sz w:val="16"/>
              </w:rPr>
              <w:t> </w:t>
            </w:r>
            <w:r>
              <w:rPr>
                <w:sz w:val="16"/>
              </w:rPr>
              <w:t>one</w:t>
            </w:r>
            <w:r>
              <w:rPr>
                <w:spacing w:val="40"/>
                <w:sz w:val="16"/>
              </w:rPr>
              <w:t> </w:t>
            </w:r>
            <w:r>
              <w:rPr>
                <w:sz w:val="16"/>
              </w:rPr>
              <w:t>Senior Driver (GS-OL)</w:t>
            </w:r>
            <w:r>
              <w:rPr>
                <w:spacing w:val="40"/>
                <w:sz w:val="16"/>
              </w:rPr>
              <w:t> </w:t>
            </w:r>
            <w:r>
              <w:rPr>
                <w:sz w:val="16"/>
              </w:rPr>
              <w:t>(DRC-Kinshasa), (5) two</w:t>
            </w:r>
          </w:p>
          <w:p>
            <w:pPr>
              <w:pStyle w:val="TableParagraph"/>
              <w:spacing w:before="5"/>
              <w:ind w:left="109"/>
              <w:jc w:val="left"/>
              <w:rPr>
                <w:sz w:val="16"/>
              </w:rPr>
            </w:pPr>
            <w:r>
              <w:rPr>
                <w:w w:val="95"/>
                <w:sz w:val="16"/>
              </w:rPr>
              <w:t>Drivers</w:t>
            </w:r>
            <w:r>
              <w:rPr>
                <w:spacing w:val="26"/>
                <w:sz w:val="16"/>
              </w:rPr>
              <w:t> </w:t>
            </w:r>
            <w:r>
              <w:rPr>
                <w:w w:val="95"/>
                <w:sz w:val="16"/>
              </w:rPr>
              <w:t>(GS-OL)</w:t>
            </w:r>
            <w:r>
              <w:rPr>
                <w:spacing w:val="27"/>
                <w:sz w:val="16"/>
              </w:rPr>
              <w:t> </w:t>
            </w:r>
            <w:r>
              <w:rPr>
                <w:w w:val="95"/>
                <w:sz w:val="16"/>
              </w:rPr>
              <w:t>(DRC-</w:t>
            </w:r>
            <w:r>
              <w:rPr>
                <w:spacing w:val="-2"/>
                <w:w w:val="95"/>
                <w:sz w:val="16"/>
              </w:rPr>
              <w:t>Bunia),</w:t>
            </w:r>
          </w:p>
          <w:p>
            <w:pPr>
              <w:pStyle w:val="TableParagraph"/>
              <w:spacing w:line="264" w:lineRule="auto" w:before="13"/>
              <w:ind w:left="109" w:right="107"/>
              <w:jc w:val="left"/>
              <w:rPr>
                <w:sz w:val="16"/>
              </w:rPr>
            </w:pPr>
            <w:r>
              <w:rPr>
                <w:sz w:val="16"/>
              </w:rPr>
              <w:t>(6)</w:t>
            </w:r>
            <w:r>
              <w:rPr>
                <w:spacing w:val="-10"/>
                <w:sz w:val="16"/>
              </w:rPr>
              <w:t> </w:t>
            </w:r>
            <w:r>
              <w:rPr>
                <w:sz w:val="16"/>
              </w:rPr>
              <w:t>two</w:t>
            </w:r>
            <w:r>
              <w:rPr>
                <w:spacing w:val="-10"/>
                <w:sz w:val="16"/>
              </w:rPr>
              <w:t> </w:t>
            </w:r>
            <w:r>
              <w:rPr>
                <w:sz w:val="16"/>
              </w:rPr>
              <w:t>Field</w:t>
            </w:r>
            <w:r>
              <w:rPr>
                <w:spacing w:val="-7"/>
                <w:sz w:val="16"/>
              </w:rPr>
              <w:t> </w:t>
            </w:r>
            <w:r>
              <w:rPr>
                <w:sz w:val="16"/>
              </w:rPr>
              <w:t>Case</w:t>
            </w:r>
            <w:r>
              <w:rPr>
                <w:spacing w:val="-10"/>
                <w:sz w:val="16"/>
              </w:rPr>
              <w:t> </w:t>
            </w:r>
            <w:r>
              <w:rPr>
                <w:sz w:val="16"/>
              </w:rPr>
              <w:t>Management</w:t>
            </w:r>
            <w:r>
              <w:rPr>
                <w:spacing w:val="40"/>
                <w:sz w:val="16"/>
              </w:rPr>
              <w:t> </w:t>
            </w:r>
            <w:r>
              <w:rPr>
                <w:sz w:val="16"/>
              </w:rPr>
              <w:t>Assistants</w:t>
            </w:r>
            <w:r>
              <w:rPr>
                <w:spacing w:val="-5"/>
                <w:sz w:val="16"/>
              </w:rPr>
              <w:t> </w:t>
            </w:r>
            <w:r>
              <w:rPr>
                <w:sz w:val="16"/>
              </w:rPr>
              <w:t>(GS-OL)</w:t>
            </w:r>
          </w:p>
          <w:p>
            <w:pPr>
              <w:pStyle w:val="TableParagraph"/>
              <w:spacing w:line="264" w:lineRule="auto"/>
              <w:ind w:left="109" w:right="107"/>
              <w:jc w:val="left"/>
              <w:rPr>
                <w:sz w:val="16"/>
              </w:rPr>
            </w:pPr>
            <w:r>
              <w:rPr>
                <w:sz w:val="16"/>
              </w:rPr>
              <w:t>(DRC-Kinshasa</w:t>
            </w:r>
            <w:r>
              <w:rPr>
                <w:spacing w:val="-10"/>
                <w:sz w:val="16"/>
              </w:rPr>
              <w:t> </w:t>
            </w:r>
            <w:r>
              <w:rPr>
                <w:sz w:val="16"/>
              </w:rPr>
              <w:t>-</w:t>
            </w:r>
            <w:r>
              <w:rPr>
                <w:spacing w:val="-10"/>
                <w:sz w:val="16"/>
              </w:rPr>
              <w:t> </w:t>
            </w:r>
            <w:r>
              <w:rPr>
                <w:sz w:val="16"/>
              </w:rPr>
              <w:t>VWS),</w:t>
            </w:r>
            <w:r>
              <w:rPr>
                <w:spacing w:val="-10"/>
                <w:sz w:val="16"/>
              </w:rPr>
              <w:t> </w:t>
            </w:r>
            <w:r>
              <w:rPr>
                <w:sz w:val="16"/>
              </w:rPr>
              <w:t>and</w:t>
            </w:r>
            <w:r>
              <w:rPr>
                <w:spacing w:val="-10"/>
                <w:sz w:val="16"/>
              </w:rPr>
              <w:t> </w:t>
            </w:r>
            <w:r>
              <w:rPr>
                <w:sz w:val="16"/>
              </w:rPr>
              <w:t>(7)</w:t>
            </w:r>
            <w:r>
              <w:rPr>
                <w:spacing w:val="40"/>
                <w:sz w:val="16"/>
              </w:rPr>
              <w:t> </w:t>
            </w:r>
            <w:r>
              <w:rPr>
                <w:sz w:val="16"/>
              </w:rPr>
              <w:t>one Driver (GS-OL) (Mali).</w:t>
            </w:r>
          </w:p>
        </w:tc>
        <w:tc>
          <w:tcPr>
            <w:tcW w:w="1422" w:type="dxa"/>
          </w:tcPr>
          <w:p>
            <w:pPr>
              <w:pStyle w:val="TableParagraph"/>
              <w:jc w:val="left"/>
              <w:rPr>
                <w:sz w:val="14"/>
              </w:rPr>
            </w:pPr>
          </w:p>
        </w:tc>
        <w:tc>
          <w:tcPr>
            <w:tcW w:w="1235" w:type="dxa"/>
          </w:tcPr>
          <w:p>
            <w:pPr>
              <w:pStyle w:val="TableParagraph"/>
              <w:spacing w:before="10"/>
              <w:jc w:val="left"/>
              <w:rPr>
                <w:b/>
                <w:sz w:val="17"/>
              </w:rPr>
            </w:pPr>
          </w:p>
          <w:p>
            <w:pPr>
              <w:pStyle w:val="TableParagraph"/>
              <w:ind w:right="99"/>
              <w:rPr>
                <w:sz w:val="16"/>
              </w:rPr>
            </w:pPr>
            <w:r>
              <w:rPr>
                <w:spacing w:val="-2"/>
                <w:sz w:val="16"/>
              </w:rPr>
              <w:t>399,000</w:t>
            </w:r>
          </w:p>
        </w:tc>
      </w:tr>
      <w:tr>
        <w:trPr>
          <w:trHeight w:val="955" w:hRule="atLeast"/>
        </w:trPr>
        <w:tc>
          <w:tcPr>
            <w:tcW w:w="2363" w:type="dxa"/>
          </w:tcPr>
          <w:p>
            <w:pPr>
              <w:pStyle w:val="TableParagraph"/>
              <w:spacing w:line="264" w:lineRule="auto"/>
              <w:ind w:left="110" w:right="355"/>
              <w:jc w:val="left"/>
              <w:rPr>
                <w:sz w:val="16"/>
              </w:rPr>
            </w:pPr>
            <w:r>
              <w:rPr>
                <w:sz w:val="16"/>
              </w:rPr>
              <w:t>Fuel</w:t>
            </w:r>
            <w:r>
              <w:rPr>
                <w:spacing w:val="-10"/>
                <w:sz w:val="16"/>
              </w:rPr>
              <w:t> </w:t>
            </w:r>
            <w:r>
              <w:rPr>
                <w:sz w:val="16"/>
              </w:rPr>
              <w:t>consumption</w:t>
            </w:r>
            <w:r>
              <w:rPr>
                <w:spacing w:val="-10"/>
                <w:sz w:val="16"/>
              </w:rPr>
              <w:t> </w:t>
            </w:r>
            <w:r>
              <w:rPr>
                <w:sz w:val="16"/>
              </w:rPr>
              <w:t>for</w:t>
            </w:r>
            <w:r>
              <w:rPr>
                <w:spacing w:val="-9"/>
                <w:sz w:val="16"/>
              </w:rPr>
              <w:t> </w:t>
            </w:r>
            <w:r>
              <w:rPr>
                <w:sz w:val="16"/>
              </w:rPr>
              <w:t>a</w:t>
            </w:r>
            <w:r>
              <w:rPr>
                <w:spacing w:val="-10"/>
                <w:sz w:val="16"/>
              </w:rPr>
              <w:t> </w:t>
            </w:r>
            <w:r>
              <w:rPr>
                <w:sz w:val="16"/>
              </w:rPr>
              <w:t>fleet</w:t>
            </w:r>
            <w:r>
              <w:rPr>
                <w:spacing w:val="40"/>
                <w:sz w:val="16"/>
              </w:rPr>
              <w:t> </w:t>
            </w:r>
            <w:r>
              <w:rPr>
                <w:sz w:val="16"/>
              </w:rPr>
              <w:t>of 3 vehicles.</w:t>
            </w:r>
          </w:p>
        </w:tc>
        <w:tc>
          <w:tcPr>
            <w:tcW w:w="2353" w:type="dxa"/>
          </w:tcPr>
          <w:p>
            <w:pPr>
              <w:pStyle w:val="TableParagraph"/>
              <w:spacing w:line="261" w:lineRule="auto"/>
              <w:ind w:left="109" w:right="148"/>
              <w:jc w:val="left"/>
              <w:rPr>
                <w:sz w:val="16"/>
              </w:rPr>
            </w:pPr>
            <w:r>
              <w:rPr>
                <w:sz w:val="16"/>
              </w:rPr>
              <w:t>Reduction</w:t>
            </w:r>
            <w:r>
              <w:rPr>
                <w:spacing w:val="-10"/>
                <w:sz w:val="16"/>
              </w:rPr>
              <w:t> </w:t>
            </w:r>
            <w:r>
              <w:rPr>
                <w:sz w:val="16"/>
              </w:rPr>
              <w:t>in</w:t>
            </w:r>
            <w:r>
              <w:rPr>
                <w:spacing w:val="-10"/>
                <w:sz w:val="16"/>
              </w:rPr>
              <w:t> </w:t>
            </w:r>
            <w:r>
              <w:rPr>
                <w:sz w:val="16"/>
              </w:rPr>
              <w:t>the</w:t>
            </w:r>
            <w:r>
              <w:rPr>
                <w:spacing w:val="-10"/>
                <w:sz w:val="16"/>
              </w:rPr>
              <w:t> </w:t>
            </w:r>
            <w:r>
              <w:rPr>
                <w:sz w:val="16"/>
              </w:rPr>
              <w:t>Country</w:t>
            </w:r>
            <w:r>
              <w:rPr>
                <w:spacing w:val="-10"/>
                <w:sz w:val="16"/>
              </w:rPr>
              <w:t> </w:t>
            </w:r>
            <w:r>
              <w:rPr>
                <w:sz w:val="16"/>
              </w:rPr>
              <w:t>Office</w:t>
            </w:r>
            <w:r>
              <w:rPr>
                <w:spacing w:val="40"/>
                <w:sz w:val="16"/>
              </w:rPr>
              <w:t> </w:t>
            </w:r>
            <w:r>
              <w:rPr>
                <w:sz w:val="16"/>
              </w:rPr>
              <w:t>(Côte</w:t>
            </w:r>
            <w:r>
              <w:rPr>
                <w:spacing w:val="-3"/>
                <w:sz w:val="16"/>
              </w:rPr>
              <w:t> </w:t>
            </w:r>
            <w:r>
              <w:rPr>
                <w:sz w:val="16"/>
              </w:rPr>
              <w:t>d’Ivoire)</w:t>
            </w:r>
            <w:r>
              <w:rPr>
                <w:spacing w:val="-4"/>
                <w:sz w:val="16"/>
              </w:rPr>
              <w:t> </w:t>
            </w:r>
            <w:r>
              <w:rPr>
                <w:sz w:val="16"/>
              </w:rPr>
              <w:t>of</w:t>
            </w:r>
            <w:r>
              <w:rPr>
                <w:spacing w:val="-4"/>
                <w:sz w:val="16"/>
              </w:rPr>
              <w:t> </w:t>
            </w:r>
            <w:r>
              <w:rPr>
                <w:sz w:val="16"/>
              </w:rPr>
              <w:t>the</w:t>
            </w:r>
            <w:r>
              <w:rPr>
                <w:spacing w:val="-3"/>
                <w:sz w:val="16"/>
              </w:rPr>
              <w:t> </w:t>
            </w:r>
            <w:r>
              <w:rPr>
                <w:sz w:val="16"/>
              </w:rPr>
              <w:t>fleet</w:t>
            </w:r>
            <w:r>
              <w:rPr>
                <w:spacing w:val="-5"/>
                <w:sz w:val="16"/>
              </w:rPr>
              <w:t> </w:t>
            </w:r>
            <w:r>
              <w:rPr>
                <w:sz w:val="16"/>
              </w:rPr>
              <w:t>from</w:t>
            </w:r>
            <w:r>
              <w:rPr>
                <w:spacing w:val="40"/>
                <w:sz w:val="16"/>
              </w:rPr>
              <w:t> </w:t>
            </w:r>
            <w:r>
              <w:rPr>
                <w:sz w:val="16"/>
              </w:rPr>
              <w:t>8 to 3 vehicles, resulting in</w:t>
            </w:r>
            <w:r>
              <w:rPr>
                <w:spacing w:val="40"/>
                <w:sz w:val="16"/>
              </w:rPr>
              <w:t> </w:t>
            </w:r>
            <w:r>
              <w:rPr>
                <w:sz w:val="16"/>
              </w:rPr>
              <w:t>decreased fuel consumption.</w:t>
            </w:r>
          </w:p>
        </w:tc>
        <w:tc>
          <w:tcPr>
            <w:tcW w:w="1422" w:type="dxa"/>
          </w:tcPr>
          <w:p>
            <w:pPr>
              <w:pStyle w:val="TableParagraph"/>
              <w:jc w:val="left"/>
              <w:rPr>
                <w:sz w:val="14"/>
              </w:rPr>
            </w:pPr>
          </w:p>
        </w:tc>
        <w:tc>
          <w:tcPr>
            <w:tcW w:w="1235" w:type="dxa"/>
          </w:tcPr>
          <w:p>
            <w:pPr>
              <w:pStyle w:val="TableParagraph"/>
              <w:spacing w:before="5"/>
              <w:jc w:val="left"/>
              <w:rPr>
                <w:b/>
                <w:sz w:val="17"/>
              </w:rPr>
            </w:pPr>
          </w:p>
          <w:p>
            <w:pPr>
              <w:pStyle w:val="TableParagraph"/>
              <w:ind w:right="99"/>
              <w:rPr>
                <w:sz w:val="16"/>
              </w:rPr>
            </w:pPr>
            <w:r>
              <w:rPr>
                <w:spacing w:val="-2"/>
                <w:sz w:val="16"/>
              </w:rPr>
              <w:t>6,000</w:t>
            </w:r>
          </w:p>
        </w:tc>
      </w:tr>
      <w:tr>
        <w:trPr>
          <w:trHeight w:val="954" w:hRule="atLeast"/>
        </w:trPr>
        <w:tc>
          <w:tcPr>
            <w:tcW w:w="2363" w:type="dxa"/>
          </w:tcPr>
          <w:p>
            <w:pPr>
              <w:pStyle w:val="TableParagraph"/>
              <w:spacing w:line="264" w:lineRule="auto"/>
              <w:ind w:left="110" w:right="355"/>
              <w:jc w:val="left"/>
              <w:rPr>
                <w:sz w:val="16"/>
              </w:rPr>
            </w:pPr>
            <w:r>
              <w:rPr>
                <w:sz w:val="16"/>
              </w:rPr>
              <w:t>Maintenance</w:t>
            </w:r>
            <w:r>
              <w:rPr>
                <w:spacing w:val="-10"/>
                <w:sz w:val="16"/>
              </w:rPr>
              <w:t> </w:t>
            </w:r>
            <w:r>
              <w:rPr>
                <w:sz w:val="16"/>
              </w:rPr>
              <w:t>costs</w:t>
            </w:r>
            <w:r>
              <w:rPr>
                <w:spacing w:val="-10"/>
                <w:sz w:val="16"/>
              </w:rPr>
              <w:t> </w:t>
            </w:r>
            <w:r>
              <w:rPr>
                <w:sz w:val="16"/>
              </w:rPr>
              <w:t>for</w:t>
            </w:r>
            <w:r>
              <w:rPr>
                <w:spacing w:val="-10"/>
                <w:sz w:val="16"/>
              </w:rPr>
              <w:t> </w:t>
            </w:r>
            <w:r>
              <w:rPr>
                <w:sz w:val="16"/>
              </w:rPr>
              <w:t>a</w:t>
            </w:r>
            <w:r>
              <w:rPr>
                <w:spacing w:val="-10"/>
                <w:sz w:val="16"/>
              </w:rPr>
              <w:t> </w:t>
            </w:r>
            <w:r>
              <w:rPr>
                <w:sz w:val="16"/>
              </w:rPr>
              <w:t>fleet</w:t>
            </w:r>
            <w:r>
              <w:rPr>
                <w:spacing w:val="40"/>
                <w:sz w:val="16"/>
              </w:rPr>
              <w:t> </w:t>
            </w:r>
            <w:r>
              <w:rPr>
                <w:sz w:val="16"/>
              </w:rPr>
              <w:t>of 3 vehicles.</w:t>
            </w:r>
          </w:p>
        </w:tc>
        <w:tc>
          <w:tcPr>
            <w:tcW w:w="2353" w:type="dxa"/>
          </w:tcPr>
          <w:p>
            <w:pPr>
              <w:pStyle w:val="TableParagraph"/>
              <w:spacing w:line="261" w:lineRule="auto"/>
              <w:ind w:left="109" w:right="148"/>
              <w:jc w:val="left"/>
              <w:rPr>
                <w:sz w:val="16"/>
              </w:rPr>
            </w:pPr>
            <w:r>
              <w:rPr>
                <w:sz w:val="16"/>
              </w:rPr>
              <w:t>Reduction</w:t>
            </w:r>
            <w:r>
              <w:rPr>
                <w:spacing w:val="-10"/>
                <w:sz w:val="16"/>
              </w:rPr>
              <w:t> </w:t>
            </w:r>
            <w:r>
              <w:rPr>
                <w:sz w:val="16"/>
              </w:rPr>
              <w:t>in</w:t>
            </w:r>
            <w:r>
              <w:rPr>
                <w:spacing w:val="-10"/>
                <w:sz w:val="16"/>
              </w:rPr>
              <w:t> </w:t>
            </w:r>
            <w:r>
              <w:rPr>
                <w:sz w:val="16"/>
              </w:rPr>
              <w:t>the</w:t>
            </w:r>
            <w:r>
              <w:rPr>
                <w:spacing w:val="-10"/>
                <w:sz w:val="16"/>
              </w:rPr>
              <w:t> </w:t>
            </w:r>
            <w:r>
              <w:rPr>
                <w:sz w:val="16"/>
              </w:rPr>
              <w:t>Country</w:t>
            </w:r>
            <w:r>
              <w:rPr>
                <w:spacing w:val="-10"/>
                <w:sz w:val="16"/>
              </w:rPr>
              <w:t> </w:t>
            </w:r>
            <w:r>
              <w:rPr>
                <w:sz w:val="16"/>
              </w:rPr>
              <w:t>Office</w:t>
            </w:r>
            <w:r>
              <w:rPr>
                <w:spacing w:val="40"/>
                <w:sz w:val="16"/>
              </w:rPr>
              <w:t> </w:t>
            </w:r>
            <w:r>
              <w:rPr>
                <w:sz w:val="16"/>
              </w:rPr>
              <w:t>(Côte</w:t>
            </w:r>
            <w:r>
              <w:rPr>
                <w:spacing w:val="-3"/>
                <w:sz w:val="16"/>
              </w:rPr>
              <w:t> </w:t>
            </w:r>
            <w:r>
              <w:rPr>
                <w:sz w:val="16"/>
              </w:rPr>
              <w:t>d’Ivoire)</w:t>
            </w:r>
            <w:r>
              <w:rPr>
                <w:spacing w:val="-4"/>
                <w:sz w:val="16"/>
              </w:rPr>
              <w:t> </w:t>
            </w:r>
            <w:r>
              <w:rPr>
                <w:sz w:val="16"/>
              </w:rPr>
              <w:t>of</w:t>
            </w:r>
            <w:r>
              <w:rPr>
                <w:spacing w:val="-4"/>
                <w:sz w:val="16"/>
              </w:rPr>
              <w:t> </w:t>
            </w:r>
            <w:r>
              <w:rPr>
                <w:sz w:val="16"/>
              </w:rPr>
              <w:t>the</w:t>
            </w:r>
            <w:r>
              <w:rPr>
                <w:spacing w:val="-3"/>
                <w:sz w:val="16"/>
              </w:rPr>
              <w:t> </w:t>
            </w:r>
            <w:r>
              <w:rPr>
                <w:sz w:val="16"/>
              </w:rPr>
              <w:t>fleet</w:t>
            </w:r>
            <w:r>
              <w:rPr>
                <w:spacing w:val="-5"/>
                <w:sz w:val="16"/>
              </w:rPr>
              <w:t> </w:t>
            </w:r>
            <w:r>
              <w:rPr>
                <w:sz w:val="16"/>
              </w:rPr>
              <w:t>from</w:t>
            </w:r>
            <w:r>
              <w:rPr>
                <w:spacing w:val="40"/>
                <w:sz w:val="16"/>
              </w:rPr>
              <w:t> </w:t>
            </w:r>
            <w:r>
              <w:rPr>
                <w:sz w:val="16"/>
              </w:rPr>
              <w:t>8 to 3 vehicles, resulting in</w:t>
            </w:r>
            <w:r>
              <w:rPr>
                <w:spacing w:val="40"/>
                <w:sz w:val="16"/>
              </w:rPr>
              <w:t> </w:t>
            </w:r>
            <w:r>
              <w:rPr>
                <w:sz w:val="16"/>
              </w:rPr>
              <w:t>decreased maintenance costs.</w:t>
            </w:r>
          </w:p>
        </w:tc>
        <w:tc>
          <w:tcPr>
            <w:tcW w:w="1422" w:type="dxa"/>
          </w:tcPr>
          <w:p>
            <w:pPr>
              <w:pStyle w:val="TableParagraph"/>
              <w:jc w:val="left"/>
              <w:rPr>
                <w:sz w:val="14"/>
              </w:rPr>
            </w:pPr>
          </w:p>
        </w:tc>
        <w:tc>
          <w:tcPr>
            <w:tcW w:w="1235" w:type="dxa"/>
          </w:tcPr>
          <w:p>
            <w:pPr>
              <w:pStyle w:val="TableParagraph"/>
              <w:spacing w:before="5"/>
              <w:jc w:val="left"/>
              <w:rPr>
                <w:b/>
                <w:sz w:val="17"/>
              </w:rPr>
            </w:pPr>
          </w:p>
          <w:p>
            <w:pPr>
              <w:pStyle w:val="TableParagraph"/>
              <w:ind w:right="99"/>
              <w:rPr>
                <w:sz w:val="16"/>
              </w:rPr>
            </w:pPr>
            <w:r>
              <w:rPr>
                <w:spacing w:val="-2"/>
                <w:sz w:val="16"/>
              </w:rPr>
              <w:t>7,500</w:t>
            </w:r>
          </w:p>
        </w:tc>
      </w:tr>
      <w:tr>
        <w:trPr>
          <w:trHeight w:val="1152" w:hRule="atLeast"/>
        </w:trPr>
        <w:tc>
          <w:tcPr>
            <w:tcW w:w="2363" w:type="dxa"/>
          </w:tcPr>
          <w:p>
            <w:pPr>
              <w:pStyle w:val="TableParagraph"/>
              <w:spacing w:line="259" w:lineRule="auto"/>
              <w:ind w:left="110" w:right="139"/>
              <w:jc w:val="left"/>
              <w:rPr>
                <w:sz w:val="16"/>
              </w:rPr>
            </w:pPr>
            <w:r>
              <w:rPr>
                <w:sz w:val="16"/>
              </w:rPr>
              <w:t>Downsizing of the country</w:t>
            </w:r>
            <w:r>
              <w:rPr>
                <w:spacing w:val="40"/>
                <w:sz w:val="16"/>
              </w:rPr>
              <w:t> </w:t>
            </w:r>
            <w:r>
              <w:rPr>
                <w:sz w:val="16"/>
              </w:rPr>
              <w:t>offices in the DRC and Côte</w:t>
            </w:r>
            <w:r>
              <w:rPr>
                <w:spacing w:val="40"/>
                <w:sz w:val="16"/>
              </w:rPr>
              <w:t> </w:t>
            </w:r>
            <w:r>
              <w:rPr>
                <w:sz w:val="16"/>
              </w:rPr>
              <w:t>d’Ivoire has reduced</w:t>
            </w:r>
            <w:r>
              <w:rPr>
                <w:spacing w:val="40"/>
                <w:sz w:val="16"/>
              </w:rPr>
              <w:t> </w:t>
            </w:r>
            <w:r>
              <w:rPr>
                <w:sz w:val="16"/>
              </w:rPr>
              <w:t>maintenance</w:t>
            </w:r>
            <w:r>
              <w:rPr>
                <w:spacing w:val="-10"/>
                <w:sz w:val="16"/>
              </w:rPr>
              <w:t> </w:t>
            </w:r>
            <w:r>
              <w:rPr>
                <w:sz w:val="16"/>
              </w:rPr>
              <w:t>costs</w:t>
            </w:r>
            <w:r>
              <w:rPr>
                <w:spacing w:val="-10"/>
                <w:sz w:val="16"/>
              </w:rPr>
              <w:t> </w:t>
            </w:r>
            <w:r>
              <w:rPr>
                <w:sz w:val="16"/>
              </w:rPr>
              <w:t>for</w:t>
            </w:r>
            <w:r>
              <w:rPr>
                <w:spacing w:val="-10"/>
                <w:sz w:val="16"/>
              </w:rPr>
              <w:t> </w:t>
            </w:r>
            <w:r>
              <w:rPr>
                <w:sz w:val="16"/>
              </w:rPr>
              <w:t>furniture</w:t>
            </w:r>
            <w:r>
              <w:rPr>
                <w:spacing w:val="40"/>
                <w:sz w:val="16"/>
              </w:rPr>
              <w:t> </w:t>
            </w:r>
            <w:r>
              <w:rPr>
                <w:sz w:val="16"/>
              </w:rPr>
              <w:t>and</w:t>
            </w:r>
            <w:r>
              <w:rPr>
                <w:spacing w:val="-1"/>
                <w:sz w:val="16"/>
              </w:rPr>
              <w:t> </w:t>
            </w:r>
            <w:r>
              <w:rPr>
                <w:sz w:val="16"/>
              </w:rPr>
              <w:t>equipment.</w:t>
            </w:r>
          </w:p>
        </w:tc>
        <w:tc>
          <w:tcPr>
            <w:tcW w:w="2353" w:type="dxa"/>
          </w:tcPr>
          <w:p>
            <w:pPr>
              <w:pStyle w:val="TableParagraph"/>
              <w:spacing w:line="259" w:lineRule="auto"/>
              <w:ind w:left="109" w:right="148"/>
              <w:jc w:val="left"/>
              <w:rPr>
                <w:sz w:val="16"/>
              </w:rPr>
            </w:pPr>
            <w:r>
              <w:rPr>
                <w:sz w:val="16"/>
              </w:rPr>
              <w:t>Decrease of €9.7 thousand in</w:t>
            </w:r>
            <w:r>
              <w:rPr>
                <w:spacing w:val="40"/>
                <w:sz w:val="16"/>
              </w:rPr>
              <w:t> </w:t>
            </w:r>
            <w:r>
              <w:rPr>
                <w:sz w:val="16"/>
              </w:rPr>
              <w:t>equipment maintenance that is</w:t>
            </w:r>
            <w:r>
              <w:rPr>
                <w:spacing w:val="40"/>
                <w:sz w:val="16"/>
              </w:rPr>
              <w:t> </w:t>
            </w:r>
            <w:r>
              <w:rPr>
                <w:sz w:val="16"/>
              </w:rPr>
              <w:t>no</w:t>
            </w:r>
            <w:r>
              <w:rPr>
                <w:spacing w:val="-8"/>
                <w:sz w:val="16"/>
              </w:rPr>
              <w:t> </w:t>
            </w:r>
            <w:r>
              <w:rPr>
                <w:sz w:val="16"/>
              </w:rPr>
              <w:t>longer</w:t>
            </w:r>
            <w:r>
              <w:rPr>
                <w:spacing w:val="-9"/>
                <w:sz w:val="16"/>
              </w:rPr>
              <w:t> </w:t>
            </w:r>
            <w:r>
              <w:rPr>
                <w:sz w:val="16"/>
              </w:rPr>
              <w:t>needed</w:t>
            </w:r>
            <w:r>
              <w:rPr>
                <w:spacing w:val="-8"/>
                <w:sz w:val="16"/>
              </w:rPr>
              <w:t> </w:t>
            </w:r>
            <w:r>
              <w:rPr>
                <w:sz w:val="16"/>
              </w:rPr>
              <w:t>in</w:t>
            </w:r>
            <w:r>
              <w:rPr>
                <w:spacing w:val="-8"/>
                <w:sz w:val="16"/>
              </w:rPr>
              <w:t> </w:t>
            </w:r>
            <w:r>
              <w:rPr>
                <w:sz w:val="16"/>
              </w:rPr>
              <w:t>the</w:t>
            </w:r>
            <w:r>
              <w:rPr>
                <w:spacing w:val="-8"/>
                <w:sz w:val="16"/>
              </w:rPr>
              <w:t> </w:t>
            </w:r>
            <w:r>
              <w:rPr>
                <w:sz w:val="16"/>
              </w:rPr>
              <w:t>country</w:t>
            </w:r>
            <w:r>
              <w:rPr>
                <w:spacing w:val="40"/>
                <w:sz w:val="16"/>
              </w:rPr>
              <w:t> </w:t>
            </w:r>
            <w:r>
              <w:rPr>
                <w:sz w:val="16"/>
              </w:rPr>
              <w:t>offices</w:t>
            </w:r>
            <w:r>
              <w:rPr>
                <w:spacing w:val="-4"/>
                <w:sz w:val="16"/>
              </w:rPr>
              <w:t> </w:t>
            </w:r>
            <w:r>
              <w:rPr>
                <w:sz w:val="16"/>
              </w:rPr>
              <w:t>in</w:t>
            </w:r>
            <w:r>
              <w:rPr>
                <w:spacing w:val="-2"/>
                <w:sz w:val="16"/>
              </w:rPr>
              <w:t> </w:t>
            </w:r>
            <w:r>
              <w:rPr>
                <w:sz w:val="16"/>
              </w:rPr>
              <w:t>Côte</w:t>
            </w:r>
            <w:r>
              <w:rPr>
                <w:spacing w:val="-3"/>
                <w:sz w:val="16"/>
              </w:rPr>
              <w:t> </w:t>
            </w:r>
            <w:r>
              <w:rPr>
                <w:sz w:val="16"/>
              </w:rPr>
              <w:t>d’Ivoire</w:t>
            </w:r>
            <w:r>
              <w:rPr>
                <w:spacing w:val="-3"/>
                <w:sz w:val="16"/>
              </w:rPr>
              <w:t> </w:t>
            </w:r>
            <w:r>
              <w:rPr>
                <w:sz w:val="16"/>
              </w:rPr>
              <w:t>and</w:t>
            </w:r>
            <w:r>
              <w:rPr>
                <w:spacing w:val="-2"/>
                <w:sz w:val="16"/>
              </w:rPr>
              <w:t> </w:t>
            </w:r>
            <w:r>
              <w:rPr>
                <w:sz w:val="16"/>
              </w:rPr>
              <w:t>the</w:t>
            </w:r>
            <w:r>
              <w:rPr>
                <w:spacing w:val="40"/>
                <w:sz w:val="16"/>
              </w:rPr>
              <w:t> </w:t>
            </w:r>
            <w:r>
              <w:rPr>
                <w:sz w:val="16"/>
              </w:rPr>
              <w:t>DRC</w:t>
            </w:r>
            <w:r>
              <w:rPr>
                <w:spacing w:val="-5"/>
                <w:sz w:val="16"/>
              </w:rPr>
              <w:t> </w:t>
            </w:r>
            <w:r>
              <w:rPr>
                <w:sz w:val="16"/>
              </w:rPr>
              <w:t>(Kinshasa).</w:t>
            </w:r>
          </w:p>
        </w:tc>
        <w:tc>
          <w:tcPr>
            <w:tcW w:w="1422" w:type="dxa"/>
          </w:tcPr>
          <w:p>
            <w:pPr>
              <w:pStyle w:val="TableParagraph"/>
              <w:jc w:val="left"/>
              <w:rPr>
                <w:sz w:val="14"/>
              </w:rPr>
            </w:pPr>
          </w:p>
        </w:tc>
        <w:tc>
          <w:tcPr>
            <w:tcW w:w="1235" w:type="dxa"/>
          </w:tcPr>
          <w:p>
            <w:pPr>
              <w:pStyle w:val="TableParagraph"/>
              <w:spacing w:before="5"/>
              <w:jc w:val="left"/>
              <w:rPr>
                <w:b/>
                <w:sz w:val="17"/>
              </w:rPr>
            </w:pPr>
          </w:p>
          <w:p>
            <w:pPr>
              <w:pStyle w:val="TableParagraph"/>
              <w:ind w:right="99"/>
              <w:rPr>
                <w:sz w:val="16"/>
              </w:rPr>
            </w:pPr>
            <w:r>
              <w:rPr>
                <w:spacing w:val="-2"/>
                <w:sz w:val="16"/>
              </w:rPr>
              <w:t>9,700</w:t>
            </w:r>
          </w:p>
        </w:tc>
      </w:tr>
      <w:tr>
        <w:trPr>
          <w:trHeight w:val="1948" w:hRule="atLeast"/>
        </w:trPr>
        <w:tc>
          <w:tcPr>
            <w:tcW w:w="2363" w:type="dxa"/>
          </w:tcPr>
          <w:p>
            <w:pPr>
              <w:pStyle w:val="TableParagraph"/>
              <w:spacing w:line="261" w:lineRule="auto"/>
              <w:ind w:left="110" w:right="355"/>
              <w:jc w:val="left"/>
              <w:rPr>
                <w:sz w:val="16"/>
              </w:rPr>
            </w:pPr>
            <w:r>
              <w:rPr>
                <w:sz w:val="16"/>
              </w:rPr>
              <w:t>Downsizing of the country</w:t>
            </w:r>
            <w:r>
              <w:rPr>
                <w:spacing w:val="40"/>
                <w:sz w:val="16"/>
              </w:rPr>
              <w:t> </w:t>
            </w:r>
            <w:r>
              <w:rPr>
                <w:sz w:val="16"/>
              </w:rPr>
              <w:t>offices</w:t>
            </w:r>
            <w:r>
              <w:rPr>
                <w:spacing w:val="-10"/>
                <w:sz w:val="16"/>
              </w:rPr>
              <w:t> </w:t>
            </w:r>
            <w:r>
              <w:rPr>
                <w:sz w:val="16"/>
              </w:rPr>
              <w:t>in</w:t>
            </w:r>
            <w:r>
              <w:rPr>
                <w:spacing w:val="-8"/>
                <w:sz w:val="16"/>
              </w:rPr>
              <w:t> </w:t>
            </w:r>
            <w:r>
              <w:rPr>
                <w:sz w:val="16"/>
              </w:rPr>
              <w:t>the</w:t>
            </w:r>
            <w:r>
              <w:rPr>
                <w:spacing w:val="-9"/>
                <w:sz w:val="16"/>
              </w:rPr>
              <w:t> </w:t>
            </w:r>
            <w:r>
              <w:rPr>
                <w:sz w:val="16"/>
              </w:rPr>
              <w:t>DRC</w:t>
            </w:r>
            <w:r>
              <w:rPr>
                <w:spacing w:val="-10"/>
                <w:sz w:val="16"/>
              </w:rPr>
              <w:t> </w:t>
            </w:r>
            <w:r>
              <w:rPr>
                <w:sz w:val="16"/>
              </w:rPr>
              <w:t>and</w:t>
            </w:r>
            <w:r>
              <w:rPr>
                <w:spacing w:val="-7"/>
                <w:sz w:val="16"/>
              </w:rPr>
              <w:t> </w:t>
            </w:r>
            <w:r>
              <w:rPr>
                <w:sz w:val="16"/>
              </w:rPr>
              <w:t>Côte</w:t>
            </w:r>
            <w:r>
              <w:rPr>
                <w:spacing w:val="40"/>
                <w:sz w:val="16"/>
              </w:rPr>
              <w:t> </w:t>
            </w:r>
            <w:r>
              <w:rPr>
                <w:sz w:val="16"/>
              </w:rPr>
              <w:t>d’Ivoire has reduced</w:t>
            </w:r>
            <w:r>
              <w:rPr>
                <w:spacing w:val="40"/>
                <w:sz w:val="16"/>
              </w:rPr>
              <w:t> </w:t>
            </w:r>
            <w:r>
              <w:rPr>
                <w:sz w:val="16"/>
              </w:rPr>
              <w:t>communications</w:t>
            </w:r>
            <w:r>
              <w:rPr>
                <w:spacing w:val="-5"/>
                <w:sz w:val="16"/>
              </w:rPr>
              <w:t> </w:t>
            </w:r>
            <w:r>
              <w:rPr>
                <w:sz w:val="16"/>
              </w:rPr>
              <w:t>costs.</w:t>
            </w:r>
          </w:p>
        </w:tc>
        <w:tc>
          <w:tcPr>
            <w:tcW w:w="2353" w:type="dxa"/>
          </w:tcPr>
          <w:p>
            <w:pPr>
              <w:pStyle w:val="TableParagraph"/>
              <w:spacing w:line="259" w:lineRule="auto"/>
              <w:ind w:left="109" w:right="107"/>
              <w:jc w:val="left"/>
              <w:rPr>
                <w:sz w:val="16"/>
              </w:rPr>
            </w:pPr>
            <w:r>
              <w:rPr>
                <w:sz w:val="16"/>
              </w:rPr>
              <w:t>Decrease</w:t>
            </w:r>
            <w:r>
              <w:rPr>
                <w:spacing w:val="-3"/>
                <w:sz w:val="16"/>
              </w:rPr>
              <w:t> </w:t>
            </w:r>
            <w:r>
              <w:rPr>
                <w:sz w:val="16"/>
              </w:rPr>
              <w:t>of</w:t>
            </w:r>
            <w:r>
              <w:rPr>
                <w:spacing w:val="-4"/>
                <w:sz w:val="16"/>
              </w:rPr>
              <w:t> </w:t>
            </w:r>
            <w:r>
              <w:rPr>
                <w:sz w:val="16"/>
              </w:rPr>
              <w:t>€77.3</w:t>
            </w:r>
            <w:r>
              <w:rPr>
                <w:spacing w:val="-2"/>
                <w:sz w:val="16"/>
              </w:rPr>
              <w:t> </w:t>
            </w:r>
            <w:r>
              <w:rPr>
                <w:sz w:val="16"/>
              </w:rPr>
              <w:t>thousand</w:t>
            </w:r>
            <w:r>
              <w:rPr>
                <w:spacing w:val="-2"/>
                <w:sz w:val="16"/>
              </w:rPr>
              <w:t> </w:t>
            </w:r>
            <w:r>
              <w:rPr>
                <w:sz w:val="16"/>
              </w:rPr>
              <w:t>in</w:t>
            </w:r>
            <w:r>
              <w:rPr>
                <w:spacing w:val="40"/>
                <w:sz w:val="16"/>
              </w:rPr>
              <w:t> </w:t>
            </w:r>
            <w:r>
              <w:rPr>
                <w:sz w:val="16"/>
              </w:rPr>
              <w:t>communications costs in Côte</w:t>
            </w:r>
            <w:r>
              <w:rPr>
                <w:spacing w:val="40"/>
                <w:sz w:val="16"/>
              </w:rPr>
              <w:t> </w:t>
            </w:r>
            <w:r>
              <w:rPr>
                <w:sz w:val="16"/>
              </w:rPr>
              <w:t>d’Ivoire and the DRC. This</w:t>
            </w:r>
            <w:r>
              <w:rPr>
                <w:spacing w:val="40"/>
                <w:sz w:val="16"/>
              </w:rPr>
              <w:t> </w:t>
            </w:r>
            <w:r>
              <w:rPr>
                <w:sz w:val="16"/>
              </w:rPr>
              <w:t>reduction offsets the</w:t>
            </w:r>
            <w:r>
              <w:rPr>
                <w:spacing w:val="40"/>
                <w:sz w:val="16"/>
              </w:rPr>
              <w:t> </w:t>
            </w:r>
            <w:r>
              <w:rPr>
                <w:sz w:val="16"/>
              </w:rPr>
              <w:t>communications costs in the</w:t>
            </w:r>
            <w:r>
              <w:rPr>
                <w:spacing w:val="40"/>
                <w:sz w:val="16"/>
              </w:rPr>
              <w:t> </w:t>
            </w:r>
            <w:r>
              <w:rPr>
                <w:sz w:val="16"/>
              </w:rPr>
              <w:t>CAR</w:t>
            </w:r>
            <w:r>
              <w:rPr>
                <w:spacing w:val="-9"/>
                <w:sz w:val="16"/>
              </w:rPr>
              <w:t> </w:t>
            </w:r>
            <w:r>
              <w:rPr>
                <w:sz w:val="16"/>
              </w:rPr>
              <w:t>for</w:t>
            </w:r>
            <w:r>
              <w:rPr>
                <w:spacing w:val="-9"/>
                <w:sz w:val="16"/>
              </w:rPr>
              <w:t> </w:t>
            </w:r>
            <w:r>
              <w:rPr>
                <w:sz w:val="16"/>
              </w:rPr>
              <w:t>an</w:t>
            </w:r>
            <w:r>
              <w:rPr>
                <w:spacing w:val="-7"/>
                <w:sz w:val="16"/>
              </w:rPr>
              <w:t> </w:t>
            </w:r>
            <w:r>
              <w:rPr>
                <w:sz w:val="16"/>
              </w:rPr>
              <w:t>additional</w:t>
            </w:r>
            <w:r>
              <w:rPr>
                <w:spacing w:val="-10"/>
                <w:sz w:val="16"/>
              </w:rPr>
              <w:t> </w:t>
            </w:r>
            <w:r>
              <w:rPr>
                <w:sz w:val="16"/>
              </w:rPr>
              <w:t>Internet</w:t>
            </w:r>
            <w:r>
              <w:rPr>
                <w:spacing w:val="40"/>
                <w:sz w:val="16"/>
              </w:rPr>
              <w:t> </w:t>
            </w:r>
            <w:r>
              <w:rPr>
                <w:sz w:val="16"/>
              </w:rPr>
              <w:t>line</w:t>
            </w:r>
            <w:r>
              <w:rPr>
                <w:spacing w:val="-10"/>
                <w:sz w:val="16"/>
              </w:rPr>
              <w:t> </w:t>
            </w:r>
            <w:r>
              <w:rPr>
                <w:sz w:val="16"/>
              </w:rPr>
              <w:t>for</w:t>
            </w:r>
            <w:r>
              <w:rPr>
                <w:spacing w:val="-10"/>
                <w:sz w:val="16"/>
              </w:rPr>
              <w:t> </w:t>
            </w:r>
            <w:r>
              <w:rPr>
                <w:sz w:val="16"/>
              </w:rPr>
              <w:t>video</w:t>
            </w:r>
            <w:r>
              <w:rPr>
                <w:spacing w:val="-10"/>
                <w:sz w:val="16"/>
              </w:rPr>
              <w:t> </w:t>
            </w:r>
            <w:r>
              <w:rPr>
                <w:sz w:val="16"/>
              </w:rPr>
              <w:t>teleconferencing</w:t>
            </w:r>
            <w:r>
              <w:rPr>
                <w:spacing w:val="40"/>
                <w:sz w:val="16"/>
              </w:rPr>
              <w:t> </w:t>
            </w:r>
            <w:r>
              <w:rPr>
                <w:sz w:val="16"/>
              </w:rPr>
              <w:t>(VTC)</w:t>
            </w:r>
            <w:r>
              <w:rPr>
                <w:spacing w:val="-2"/>
                <w:sz w:val="16"/>
              </w:rPr>
              <w:t> </w:t>
            </w:r>
            <w:r>
              <w:rPr>
                <w:sz w:val="16"/>
              </w:rPr>
              <w:t>and an Internet</w:t>
            </w:r>
            <w:r>
              <w:rPr>
                <w:spacing w:val="-3"/>
                <w:sz w:val="16"/>
              </w:rPr>
              <w:t> </w:t>
            </w:r>
            <w:r>
              <w:rPr>
                <w:sz w:val="16"/>
              </w:rPr>
              <w:t>line</w:t>
            </w:r>
            <w:r>
              <w:rPr>
                <w:spacing w:val="-1"/>
                <w:sz w:val="16"/>
              </w:rPr>
              <w:t> </w:t>
            </w:r>
            <w:r>
              <w:rPr>
                <w:sz w:val="16"/>
              </w:rPr>
              <w:t>for</w:t>
            </w:r>
            <w:r>
              <w:rPr>
                <w:spacing w:val="40"/>
                <w:sz w:val="16"/>
              </w:rPr>
              <w:t> </w:t>
            </w:r>
            <w:r>
              <w:rPr>
                <w:sz w:val="16"/>
              </w:rPr>
              <w:t>Sudan for VTC.</w:t>
            </w:r>
          </w:p>
        </w:tc>
        <w:tc>
          <w:tcPr>
            <w:tcW w:w="1422" w:type="dxa"/>
          </w:tcPr>
          <w:p>
            <w:pPr>
              <w:pStyle w:val="TableParagraph"/>
              <w:jc w:val="left"/>
              <w:rPr>
                <w:sz w:val="14"/>
              </w:rPr>
            </w:pPr>
          </w:p>
        </w:tc>
        <w:tc>
          <w:tcPr>
            <w:tcW w:w="1235" w:type="dxa"/>
          </w:tcPr>
          <w:p>
            <w:pPr>
              <w:pStyle w:val="TableParagraph"/>
              <w:spacing w:before="5"/>
              <w:jc w:val="left"/>
              <w:rPr>
                <w:b/>
                <w:sz w:val="17"/>
              </w:rPr>
            </w:pPr>
          </w:p>
          <w:p>
            <w:pPr>
              <w:pStyle w:val="TableParagraph"/>
              <w:ind w:right="99"/>
              <w:rPr>
                <w:sz w:val="16"/>
              </w:rPr>
            </w:pPr>
            <w:r>
              <w:rPr>
                <w:spacing w:val="-2"/>
                <w:sz w:val="16"/>
              </w:rPr>
              <w:t>77,250</w:t>
            </w:r>
          </w:p>
        </w:tc>
      </w:tr>
      <w:tr>
        <w:trPr>
          <w:trHeight w:val="2539" w:hRule="atLeast"/>
        </w:trPr>
        <w:tc>
          <w:tcPr>
            <w:tcW w:w="2363" w:type="dxa"/>
          </w:tcPr>
          <w:p>
            <w:pPr>
              <w:pStyle w:val="TableParagraph"/>
              <w:spacing w:line="259" w:lineRule="auto"/>
              <w:ind w:left="110" w:right="54"/>
              <w:jc w:val="left"/>
              <w:rPr>
                <w:sz w:val="16"/>
              </w:rPr>
            </w:pPr>
            <w:r>
              <w:rPr>
                <w:sz w:val="16"/>
              </w:rPr>
              <w:t>Relocation</w:t>
            </w:r>
            <w:r>
              <w:rPr>
                <w:spacing w:val="-10"/>
                <w:sz w:val="16"/>
              </w:rPr>
              <w:t> </w:t>
            </w:r>
            <w:r>
              <w:rPr>
                <w:sz w:val="16"/>
              </w:rPr>
              <w:t>of</w:t>
            </w:r>
            <w:r>
              <w:rPr>
                <w:spacing w:val="-10"/>
                <w:sz w:val="16"/>
              </w:rPr>
              <w:t> </w:t>
            </w:r>
            <w:r>
              <w:rPr>
                <w:sz w:val="16"/>
              </w:rPr>
              <w:t>the</w:t>
            </w:r>
            <w:r>
              <w:rPr>
                <w:spacing w:val="-10"/>
                <w:sz w:val="16"/>
              </w:rPr>
              <w:t> </w:t>
            </w:r>
            <w:r>
              <w:rPr>
                <w:sz w:val="16"/>
              </w:rPr>
              <w:t>Country</w:t>
            </w:r>
            <w:r>
              <w:rPr>
                <w:spacing w:val="-10"/>
                <w:sz w:val="16"/>
              </w:rPr>
              <w:t> </w:t>
            </w:r>
            <w:r>
              <w:rPr>
                <w:sz w:val="16"/>
              </w:rPr>
              <w:t>Office</w:t>
            </w:r>
            <w:r>
              <w:rPr>
                <w:spacing w:val="40"/>
                <w:sz w:val="16"/>
              </w:rPr>
              <w:t> </w:t>
            </w:r>
            <w:r>
              <w:rPr>
                <w:sz w:val="16"/>
              </w:rPr>
              <w:t>(Côte d’Ivoire) to smaller</w:t>
            </w:r>
            <w:r>
              <w:rPr>
                <w:spacing w:val="40"/>
                <w:sz w:val="16"/>
              </w:rPr>
              <w:t> </w:t>
            </w:r>
            <w:r>
              <w:rPr>
                <w:sz w:val="16"/>
              </w:rPr>
              <w:t>premises as of June 2023.</w:t>
            </w:r>
          </w:p>
        </w:tc>
        <w:tc>
          <w:tcPr>
            <w:tcW w:w="2353" w:type="dxa"/>
          </w:tcPr>
          <w:p>
            <w:pPr>
              <w:pStyle w:val="TableParagraph"/>
              <w:spacing w:line="259" w:lineRule="auto"/>
              <w:ind w:left="109" w:right="148"/>
              <w:jc w:val="left"/>
              <w:rPr>
                <w:sz w:val="16"/>
              </w:rPr>
            </w:pPr>
            <w:r>
              <w:rPr>
                <w:sz w:val="16"/>
              </w:rPr>
              <w:t>The relocation of the Country</w:t>
            </w:r>
            <w:r>
              <w:rPr>
                <w:spacing w:val="40"/>
                <w:sz w:val="16"/>
              </w:rPr>
              <w:t> </w:t>
            </w:r>
            <w:r>
              <w:rPr>
                <w:sz w:val="16"/>
              </w:rPr>
              <w:t>Office</w:t>
            </w:r>
            <w:r>
              <w:rPr>
                <w:spacing w:val="-10"/>
                <w:sz w:val="16"/>
              </w:rPr>
              <w:t> </w:t>
            </w:r>
            <w:r>
              <w:rPr>
                <w:sz w:val="16"/>
              </w:rPr>
              <w:t>(Côte</w:t>
            </w:r>
            <w:r>
              <w:rPr>
                <w:spacing w:val="-10"/>
                <w:sz w:val="16"/>
              </w:rPr>
              <w:t> </w:t>
            </w:r>
            <w:r>
              <w:rPr>
                <w:sz w:val="16"/>
              </w:rPr>
              <w:t>d’Ivoire)</w:t>
            </w:r>
            <w:r>
              <w:rPr>
                <w:spacing w:val="-10"/>
                <w:sz w:val="16"/>
              </w:rPr>
              <w:t> </w:t>
            </w:r>
            <w:r>
              <w:rPr>
                <w:sz w:val="16"/>
              </w:rPr>
              <w:t>to</w:t>
            </w:r>
            <w:r>
              <w:rPr>
                <w:spacing w:val="-10"/>
                <w:sz w:val="16"/>
              </w:rPr>
              <w:t> </w:t>
            </w:r>
            <w:r>
              <w:rPr>
                <w:sz w:val="16"/>
              </w:rPr>
              <w:t>smaller</w:t>
            </w:r>
            <w:r>
              <w:rPr>
                <w:spacing w:val="40"/>
                <w:sz w:val="16"/>
              </w:rPr>
              <w:t> </w:t>
            </w:r>
            <w:r>
              <w:rPr>
                <w:sz w:val="16"/>
              </w:rPr>
              <w:t>premises</w:t>
            </w:r>
            <w:r>
              <w:rPr>
                <w:spacing w:val="-7"/>
                <w:sz w:val="16"/>
              </w:rPr>
              <w:t> </w:t>
            </w:r>
            <w:r>
              <w:rPr>
                <w:sz w:val="16"/>
              </w:rPr>
              <w:t>as</w:t>
            </w:r>
            <w:r>
              <w:rPr>
                <w:spacing w:val="-7"/>
                <w:sz w:val="16"/>
              </w:rPr>
              <w:t> </w:t>
            </w:r>
            <w:r>
              <w:rPr>
                <w:sz w:val="16"/>
              </w:rPr>
              <w:t>of</w:t>
            </w:r>
            <w:r>
              <w:rPr>
                <w:spacing w:val="-7"/>
                <w:sz w:val="16"/>
              </w:rPr>
              <w:t> </w:t>
            </w:r>
            <w:r>
              <w:rPr>
                <w:sz w:val="16"/>
              </w:rPr>
              <w:t>June</w:t>
            </w:r>
            <w:r>
              <w:rPr>
                <w:spacing w:val="-6"/>
                <w:sz w:val="16"/>
              </w:rPr>
              <w:t> </w:t>
            </w:r>
            <w:r>
              <w:rPr>
                <w:sz w:val="16"/>
              </w:rPr>
              <w:t>2023,</w:t>
            </w:r>
            <w:r>
              <w:rPr>
                <w:spacing w:val="-8"/>
                <w:sz w:val="16"/>
              </w:rPr>
              <w:t> </w:t>
            </w:r>
            <w:r>
              <w:rPr>
                <w:sz w:val="16"/>
              </w:rPr>
              <w:t>with</w:t>
            </w:r>
            <w:r>
              <w:rPr>
                <w:spacing w:val="-5"/>
                <w:sz w:val="16"/>
              </w:rPr>
              <w:t> </w:t>
            </w:r>
            <w:r>
              <w:rPr>
                <w:sz w:val="16"/>
              </w:rPr>
              <w:t>a</w:t>
            </w:r>
            <w:r>
              <w:rPr>
                <w:spacing w:val="40"/>
                <w:sz w:val="16"/>
              </w:rPr>
              <w:t> </w:t>
            </w:r>
            <w:r>
              <w:rPr>
                <w:sz w:val="16"/>
              </w:rPr>
              <w:t>turnkey solution that provides</w:t>
            </w:r>
            <w:r>
              <w:rPr>
                <w:spacing w:val="40"/>
                <w:sz w:val="16"/>
              </w:rPr>
              <w:t> </w:t>
            </w:r>
            <w:r>
              <w:rPr>
                <w:sz w:val="16"/>
              </w:rPr>
              <w:t>fully furnished offices and</w:t>
            </w:r>
            <w:r>
              <w:rPr>
                <w:spacing w:val="40"/>
                <w:sz w:val="16"/>
              </w:rPr>
              <w:t> </w:t>
            </w:r>
            <w:r>
              <w:rPr>
                <w:sz w:val="16"/>
              </w:rPr>
              <w:t>includes rental costs with</w:t>
            </w:r>
            <w:r>
              <w:rPr>
                <w:spacing w:val="40"/>
                <w:sz w:val="16"/>
              </w:rPr>
              <w:t> </w:t>
            </w:r>
            <w:r>
              <w:rPr>
                <w:sz w:val="16"/>
              </w:rPr>
              <w:t>services such as utilities,</w:t>
            </w:r>
            <w:r>
              <w:rPr>
                <w:spacing w:val="40"/>
                <w:sz w:val="16"/>
              </w:rPr>
              <w:t> </w:t>
            </w:r>
            <w:r>
              <w:rPr>
                <w:sz w:val="16"/>
              </w:rPr>
              <w:t>insurance, cleaning services,</w:t>
            </w:r>
            <w:r>
              <w:rPr>
                <w:spacing w:val="40"/>
                <w:sz w:val="16"/>
              </w:rPr>
              <w:t> </w:t>
            </w:r>
            <w:r>
              <w:rPr>
                <w:sz w:val="16"/>
              </w:rPr>
              <w:t>A/C and office maintenance, is</w:t>
            </w:r>
            <w:r>
              <w:rPr>
                <w:spacing w:val="40"/>
                <w:sz w:val="16"/>
              </w:rPr>
              <w:t> </w:t>
            </w:r>
            <w:r>
              <w:rPr>
                <w:sz w:val="16"/>
              </w:rPr>
              <w:t>expected to generate savings of</w:t>
            </w:r>
          </w:p>
          <w:p>
            <w:pPr>
              <w:pStyle w:val="TableParagraph"/>
              <w:spacing w:line="268" w:lineRule="auto"/>
              <w:ind w:left="109" w:right="295"/>
              <w:jc w:val="left"/>
              <w:rPr>
                <w:sz w:val="16"/>
              </w:rPr>
            </w:pPr>
            <w:r>
              <w:rPr>
                <w:sz w:val="16"/>
              </w:rPr>
              <w:t>€22.8</w:t>
            </w:r>
            <w:r>
              <w:rPr>
                <w:spacing w:val="-9"/>
                <w:sz w:val="16"/>
              </w:rPr>
              <w:t> </w:t>
            </w:r>
            <w:r>
              <w:rPr>
                <w:sz w:val="16"/>
              </w:rPr>
              <w:t>thousand</w:t>
            </w:r>
            <w:r>
              <w:rPr>
                <w:spacing w:val="-9"/>
                <w:sz w:val="16"/>
              </w:rPr>
              <w:t> </w:t>
            </w:r>
            <w:r>
              <w:rPr>
                <w:sz w:val="16"/>
              </w:rPr>
              <w:t>over</w:t>
            </w:r>
            <w:r>
              <w:rPr>
                <w:spacing w:val="-10"/>
                <w:sz w:val="16"/>
              </w:rPr>
              <w:t> </w:t>
            </w:r>
            <w:r>
              <w:rPr>
                <w:sz w:val="16"/>
              </w:rPr>
              <w:t>7</w:t>
            </w:r>
            <w:r>
              <w:rPr>
                <w:spacing w:val="-9"/>
                <w:sz w:val="16"/>
              </w:rPr>
              <w:t> </w:t>
            </w:r>
            <w:r>
              <w:rPr>
                <w:sz w:val="16"/>
              </w:rPr>
              <w:t>months</w:t>
            </w:r>
            <w:r>
              <w:rPr>
                <w:spacing w:val="40"/>
                <w:sz w:val="16"/>
              </w:rPr>
              <w:t> </w:t>
            </w:r>
            <w:r>
              <w:rPr>
                <w:sz w:val="16"/>
              </w:rPr>
              <w:t>(June-Dec.</w:t>
            </w:r>
            <w:r>
              <w:rPr>
                <w:spacing w:val="-7"/>
                <w:sz w:val="16"/>
              </w:rPr>
              <w:t> </w:t>
            </w:r>
            <w:r>
              <w:rPr>
                <w:sz w:val="16"/>
              </w:rPr>
              <w:t>2023).</w:t>
            </w:r>
          </w:p>
        </w:tc>
        <w:tc>
          <w:tcPr>
            <w:tcW w:w="1422" w:type="dxa"/>
          </w:tcPr>
          <w:p>
            <w:pPr>
              <w:pStyle w:val="TableParagraph"/>
              <w:jc w:val="left"/>
              <w:rPr>
                <w:sz w:val="14"/>
              </w:rPr>
            </w:pPr>
          </w:p>
        </w:tc>
        <w:tc>
          <w:tcPr>
            <w:tcW w:w="1235" w:type="dxa"/>
          </w:tcPr>
          <w:p>
            <w:pPr>
              <w:pStyle w:val="TableParagraph"/>
              <w:spacing w:before="5"/>
              <w:jc w:val="left"/>
              <w:rPr>
                <w:b/>
                <w:sz w:val="17"/>
              </w:rPr>
            </w:pPr>
          </w:p>
          <w:p>
            <w:pPr>
              <w:pStyle w:val="TableParagraph"/>
              <w:ind w:right="97"/>
              <w:rPr>
                <w:sz w:val="16"/>
              </w:rPr>
            </w:pPr>
            <w:r>
              <w:rPr>
                <w:spacing w:val="-2"/>
                <w:sz w:val="16"/>
              </w:rPr>
              <w:t>22,800</w:t>
            </w:r>
          </w:p>
        </w:tc>
      </w:tr>
      <w:tr>
        <w:trPr>
          <w:trHeight w:val="1550" w:hRule="atLeast"/>
        </w:trPr>
        <w:tc>
          <w:tcPr>
            <w:tcW w:w="2363" w:type="dxa"/>
          </w:tcPr>
          <w:p>
            <w:pPr>
              <w:pStyle w:val="TableParagraph"/>
              <w:spacing w:line="268" w:lineRule="auto"/>
              <w:ind w:left="110"/>
              <w:jc w:val="left"/>
              <w:rPr>
                <w:sz w:val="16"/>
              </w:rPr>
            </w:pPr>
            <w:r>
              <w:rPr>
                <w:sz w:val="16"/>
              </w:rPr>
              <w:t>Significant</w:t>
            </w:r>
            <w:r>
              <w:rPr>
                <w:spacing w:val="-10"/>
                <w:sz w:val="16"/>
              </w:rPr>
              <w:t> </w:t>
            </w:r>
            <w:r>
              <w:rPr>
                <w:sz w:val="16"/>
              </w:rPr>
              <w:t>downsizing</w:t>
            </w:r>
            <w:r>
              <w:rPr>
                <w:spacing w:val="-10"/>
                <w:sz w:val="16"/>
              </w:rPr>
              <w:t> </w:t>
            </w:r>
            <w:r>
              <w:rPr>
                <w:sz w:val="16"/>
              </w:rPr>
              <w:t>of</w:t>
            </w:r>
            <w:r>
              <w:rPr>
                <w:spacing w:val="-10"/>
                <w:sz w:val="16"/>
              </w:rPr>
              <w:t> </w:t>
            </w:r>
            <w:r>
              <w:rPr>
                <w:sz w:val="16"/>
              </w:rPr>
              <w:t>the</w:t>
            </w:r>
            <w:r>
              <w:rPr>
                <w:spacing w:val="40"/>
                <w:sz w:val="16"/>
              </w:rPr>
              <w:t> </w:t>
            </w:r>
            <w:r>
              <w:rPr>
                <w:sz w:val="16"/>
              </w:rPr>
              <w:t>Country Office (Georgia).</w:t>
            </w:r>
          </w:p>
        </w:tc>
        <w:tc>
          <w:tcPr>
            <w:tcW w:w="2353" w:type="dxa"/>
          </w:tcPr>
          <w:p>
            <w:pPr>
              <w:pStyle w:val="TableParagraph"/>
              <w:spacing w:line="261" w:lineRule="auto"/>
              <w:ind w:left="109" w:right="107"/>
              <w:jc w:val="left"/>
              <w:rPr>
                <w:sz w:val="16"/>
              </w:rPr>
            </w:pPr>
            <w:r>
              <w:rPr>
                <w:sz w:val="16"/>
              </w:rPr>
              <w:t>In the light of the reduction in</w:t>
            </w:r>
            <w:r>
              <w:rPr>
                <w:spacing w:val="40"/>
                <w:sz w:val="16"/>
              </w:rPr>
              <w:t> </w:t>
            </w:r>
            <w:r>
              <w:rPr>
                <w:spacing w:val="-2"/>
                <w:sz w:val="16"/>
              </w:rPr>
              <w:t>activities</w:t>
            </w:r>
            <w:r>
              <w:rPr>
                <w:spacing w:val="-8"/>
                <w:sz w:val="16"/>
              </w:rPr>
              <w:t> </w:t>
            </w:r>
            <w:r>
              <w:rPr>
                <w:spacing w:val="-2"/>
                <w:sz w:val="16"/>
              </w:rPr>
              <w:t>and</w:t>
            </w:r>
            <w:r>
              <w:rPr>
                <w:spacing w:val="-8"/>
                <w:sz w:val="16"/>
              </w:rPr>
              <w:t> </w:t>
            </w:r>
            <w:r>
              <w:rPr>
                <w:spacing w:val="-2"/>
                <w:sz w:val="16"/>
              </w:rPr>
              <w:t>staff</w:t>
            </w:r>
            <w:r>
              <w:rPr>
                <w:spacing w:val="-8"/>
                <w:sz w:val="16"/>
              </w:rPr>
              <w:t> </w:t>
            </w:r>
            <w:r>
              <w:rPr>
                <w:spacing w:val="-2"/>
                <w:sz w:val="16"/>
              </w:rPr>
              <w:t>in</w:t>
            </w:r>
            <w:r>
              <w:rPr>
                <w:spacing w:val="-8"/>
                <w:sz w:val="16"/>
              </w:rPr>
              <w:t> </w:t>
            </w:r>
            <w:r>
              <w:rPr>
                <w:spacing w:val="-2"/>
                <w:sz w:val="16"/>
              </w:rPr>
              <w:t>the</w:t>
            </w:r>
            <w:r>
              <w:rPr>
                <w:spacing w:val="-4"/>
                <w:sz w:val="16"/>
              </w:rPr>
              <w:t> </w:t>
            </w:r>
            <w:r>
              <w:rPr>
                <w:spacing w:val="-2"/>
                <w:sz w:val="16"/>
              </w:rPr>
              <w:t>Country</w:t>
            </w:r>
            <w:r>
              <w:rPr>
                <w:spacing w:val="40"/>
                <w:sz w:val="16"/>
              </w:rPr>
              <w:t> </w:t>
            </w:r>
            <w:r>
              <w:rPr>
                <w:sz w:val="16"/>
              </w:rPr>
              <w:t>Office (Georgia), the office</w:t>
            </w:r>
            <w:r>
              <w:rPr>
                <w:spacing w:val="40"/>
                <w:sz w:val="16"/>
              </w:rPr>
              <w:t> </w:t>
            </w:r>
            <w:r>
              <w:rPr>
                <w:spacing w:val="-2"/>
                <w:sz w:val="16"/>
              </w:rPr>
              <w:t>premises</w:t>
            </w:r>
            <w:r>
              <w:rPr>
                <w:spacing w:val="-8"/>
                <w:sz w:val="16"/>
              </w:rPr>
              <w:t> </w:t>
            </w:r>
            <w:r>
              <w:rPr>
                <w:spacing w:val="-2"/>
                <w:sz w:val="16"/>
              </w:rPr>
              <w:t>have</w:t>
            </w:r>
            <w:r>
              <w:rPr>
                <w:spacing w:val="-8"/>
                <w:sz w:val="16"/>
              </w:rPr>
              <w:t> </w:t>
            </w:r>
            <w:r>
              <w:rPr>
                <w:spacing w:val="-2"/>
                <w:sz w:val="16"/>
              </w:rPr>
              <w:t>been</w:t>
            </w:r>
            <w:r>
              <w:rPr>
                <w:spacing w:val="-8"/>
                <w:sz w:val="16"/>
              </w:rPr>
              <w:t> </w:t>
            </w:r>
            <w:r>
              <w:rPr>
                <w:spacing w:val="-2"/>
                <w:sz w:val="16"/>
              </w:rPr>
              <w:t>downsized</w:t>
            </w:r>
            <w:r>
              <w:rPr>
                <w:spacing w:val="-8"/>
                <w:sz w:val="16"/>
              </w:rPr>
              <w:t> </w:t>
            </w:r>
            <w:r>
              <w:rPr>
                <w:spacing w:val="-2"/>
                <w:sz w:val="16"/>
              </w:rPr>
              <w:t>to</w:t>
            </w:r>
            <w:r>
              <w:rPr>
                <w:spacing w:val="40"/>
                <w:sz w:val="16"/>
              </w:rPr>
              <w:t> </w:t>
            </w:r>
            <w:r>
              <w:rPr>
                <w:sz w:val="16"/>
              </w:rPr>
              <w:t>accommodate the new format,</w:t>
            </w:r>
            <w:r>
              <w:rPr>
                <w:spacing w:val="40"/>
                <w:sz w:val="16"/>
              </w:rPr>
              <w:t> </w:t>
            </w:r>
            <w:r>
              <w:rPr>
                <w:sz w:val="16"/>
              </w:rPr>
              <w:t>reducing costs from €102.0</w:t>
            </w:r>
            <w:r>
              <w:rPr>
                <w:spacing w:val="40"/>
                <w:sz w:val="16"/>
              </w:rPr>
              <w:t> </w:t>
            </w:r>
            <w:r>
              <w:rPr>
                <w:sz w:val="16"/>
              </w:rPr>
              <w:t>thousand to €36.0 thousand.</w:t>
            </w:r>
          </w:p>
        </w:tc>
        <w:tc>
          <w:tcPr>
            <w:tcW w:w="1422" w:type="dxa"/>
          </w:tcPr>
          <w:p>
            <w:pPr>
              <w:pStyle w:val="TableParagraph"/>
              <w:jc w:val="left"/>
              <w:rPr>
                <w:sz w:val="14"/>
              </w:rPr>
            </w:pPr>
          </w:p>
        </w:tc>
        <w:tc>
          <w:tcPr>
            <w:tcW w:w="1235" w:type="dxa"/>
          </w:tcPr>
          <w:p>
            <w:pPr>
              <w:pStyle w:val="TableParagraph"/>
              <w:spacing w:before="10"/>
              <w:jc w:val="left"/>
              <w:rPr>
                <w:b/>
                <w:sz w:val="17"/>
              </w:rPr>
            </w:pPr>
          </w:p>
          <w:p>
            <w:pPr>
              <w:pStyle w:val="TableParagraph"/>
              <w:ind w:right="99"/>
              <w:rPr>
                <w:sz w:val="16"/>
              </w:rPr>
            </w:pPr>
            <w:r>
              <w:rPr>
                <w:spacing w:val="-2"/>
                <w:sz w:val="16"/>
              </w:rPr>
              <w:t>66,000</w:t>
            </w:r>
          </w:p>
        </w:tc>
      </w:tr>
      <w:tr>
        <w:trPr>
          <w:trHeight w:val="561" w:hRule="atLeast"/>
        </w:trPr>
        <w:tc>
          <w:tcPr>
            <w:tcW w:w="2363" w:type="dxa"/>
          </w:tcPr>
          <w:p>
            <w:pPr>
              <w:pStyle w:val="TableParagraph"/>
              <w:spacing w:before="1"/>
              <w:jc w:val="left"/>
              <w:rPr>
                <w:b/>
                <w:sz w:val="14"/>
              </w:rPr>
            </w:pPr>
          </w:p>
          <w:p>
            <w:pPr>
              <w:pStyle w:val="TableParagraph"/>
              <w:ind w:left="110"/>
              <w:jc w:val="left"/>
              <w:rPr>
                <w:b/>
                <w:sz w:val="16"/>
              </w:rPr>
            </w:pPr>
            <w:r>
              <w:rPr>
                <w:b/>
                <w:w w:val="95"/>
                <w:sz w:val="16"/>
              </w:rPr>
              <w:t>Grand</w:t>
            </w:r>
            <w:r>
              <w:rPr>
                <w:b/>
                <w:spacing w:val="14"/>
                <w:sz w:val="16"/>
              </w:rPr>
              <w:t> </w:t>
            </w:r>
            <w:r>
              <w:rPr>
                <w:b/>
                <w:spacing w:val="-2"/>
                <w:sz w:val="16"/>
              </w:rPr>
              <w:t>total</w:t>
            </w:r>
          </w:p>
        </w:tc>
        <w:tc>
          <w:tcPr>
            <w:tcW w:w="2353" w:type="dxa"/>
          </w:tcPr>
          <w:p>
            <w:pPr>
              <w:pStyle w:val="TableParagraph"/>
              <w:jc w:val="left"/>
              <w:rPr>
                <w:sz w:val="14"/>
              </w:rPr>
            </w:pPr>
          </w:p>
        </w:tc>
        <w:tc>
          <w:tcPr>
            <w:tcW w:w="1422" w:type="dxa"/>
          </w:tcPr>
          <w:p>
            <w:pPr>
              <w:pStyle w:val="TableParagraph"/>
              <w:jc w:val="left"/>
              <w:rPr>
                <w:sz w:val="14"/>
              </w:rPr>
            </w:pPr>
          </w:p>
        </w:tc>
        <w:tc>
          <w:tcPr>
            <w:tcW w:w="1235" w:type="dxa"/>
          </w:tcPr>
          <w:p>
            <w:pPr>
              <w:pStyle w:val="TableParagraph"/>
              <w:spacing w:before="10"/>
              <w:jc w:val="left"/>
              <w:rPr>
                <w:b/>
                <w:sz w:val="17"/>
              </w:rPr>
            </w:pPr>
          </w:p>
          <w:p>
            <w:pPr>
              <w:pStyle w:val="TableParagraph"/>
              <w:ind w:right="99"/>
              <w:rPr>
                <w:b/>
                <w:sz w:val="16"/>
              </w:rPr>
            </w:pPr>
            <w:r>
              <w:rPr>
                <w:b/>
                <w:spacing w:val="-2"/>
                <w:sz w:val="16"/>
              </w:rPr>
              <w:t>588,250</w:t>
            </w:r>
          </w:p>
        </w:tc>
      </w:tr>
    </w:tbl>
    <w:p>
      <w:pPr>
        <w:spacing w:after="0"/>
        <w:rPr>
          <w:sz w:val="16"/>
        </w:rPr>
        <w:sectPr>
          <w:pgSz w:w="11910" w:h="16840"/>
          <w:pgMar w:header="953" w:footer="940" w:top="1140" w:bottom="1140" w:left="20" w:right="20"/>
        </w:sectPr>
      </w:pPr>
    </w:p>
    <w:p>
      <w:pPr>
        <w:pStyle w:val="Heading1"/>
        <w:spacing w:before="117"/>
      </w:pPr>
      <w:r>
        <w:rPr/>
        <w:t>Annex</w:t>
      </w:r>
      <w:r>
        <w:rPr>
          <w:spacing w:val="-9"/>
        </w:rPr>
        <w:t> </w:t>
      </w:r>
      <w:r>
        <w:rPr>
          <w:spacing w:val="-4"/>
        </w:rPr>
        <w:t>XVII</w:t>
      </w:r>
    </w:p>
    <w:p>
      <w:pPr>
        <w:spacing w:line="256" w:lineRule="auto" w:before="245"/>
        <w:ind w:left="2904" w:right="2245" w:firstLine="0"/>
        <w:jc w:val="left"/>
        <w:rPr>
          <w:b/>
          <w:sz w:val="28"/>
        </w:rPr>
      </w:pPr>
      <w:bookmarkStart w:name="_bookmark93" w:id="94"/>
      <w:bookmarkEnd w:id="94"/>
      <w:r>
        <w:rPr/>
      </w:r>
      <w:r>
        <w:rPr>
          <w:b/>
          <w:spacing w:val="-4"/>
          <w:sz w:val="28"/>
        </w:rPr>
        <w:t>ICC</w:t>
      </w:r>
      <w:r>
        <w:rPr>
          <w:b/>
          <w:spacing w:val="-14"/>
          <w:sz w:val="28"/>
        </w:rPr>
        <w:t> </w:t>
      </w:r>
      <w:r>
        <w:rPr>
          <w:b/>
          <w:spacing w:val="-4"/>
          <w:sz w:val="28"/>
        </w:rPr>
        <w:t>Five-Year</w:t>
      </w:r>
      <w:r>
        <w:rPr>
          <w:b/>
          <w:spacing w:val="-13"/>
          <w:sz w:val="28"/>
        </w:rPr>
        <w:t> </w:t>
      </w:r>
      <w:r>
        <w:rPr>
          <w:b/>
          <w:spacing w:val="-4"/>
          <w:sz w:val="28"/>
        </w:rPr>
        <w:t>Time-Series</w:t>
      </w:r>
      <w:r>
        <w:rPr>
          <w:b/>
          <w:spacing w:val="-14"/>
          <w:sz w:val="28"/>
        </w:rPr>
        <w:t> </w:t>
      </w:r>
      <w:r>
        <w:rPr>
          <w:b/>
          <w:spacing w:val="-4"/>
          <w:sz w:val="28"/>
        </w:rPr>
        <w:t>Assumptions</w:t>
      </w:r>
      <w:r>
        <w:rPr>
          <w:b/>
          <w:spacing w:val="-13"/>
          <w:sz w:val="28"/>
        </w:rPr>
        <w:t> </w:t>
      </w:r>
      <w:r>
        <w:rPr>
          <w:b/>
          <w:spacing w:val="-4"/>
          <w:sz w:val="28"/>
        </w:rPr>
        <w:t>and</w:t>
      </w:r>
      <w:r>
        <w:rPr>
          <w:b/>
          <w:spacing w:val="-14"/>
          <w:sz w:val="28"/>
        </w:rPr>
        <w:t> </w:t>
      </w:r>
      <w:r>
        <w:rPr>
          <w:b/>
          <w:spacing w:val="-4"/>
          <w:sz w:val="28"/>
        </w:rPr>
        <w:t>Parameters: </w:t>
      </w:r>
      <w:r>
        <w:rPr>
          <w:b/>
          <w:spacing w:val="-2"/>
          <w:sz w:val="28"/>
        </w:rPr>
        <w:t>2019-2023</w:t>
      </w:r>
    </w:p>
    <w:p>
      <w:pPr>
        <w:pStyle w:val="BodyText"/>
        <w:spacing w:before="3"/>
        <w:rPr>
          <w:b/>
          <w:sz w:val="21"/>
        </w:rPr>
      </w:pPr>
    </w:p>
    <w:tbl>
      <w:tblPr>
        <w:tblW w:w="0" w:type="auto"/>
        <w:jc w:val="left"/>
        <w:tblInd w:w="5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4"/>
        <w:gridCol w:w="786"/>
        <w:gridCol w:w="601"/>
        <w:gridCol w:w="466"/>
        <w:gridCol w:w="1125"/>
        <w:gridCol w:w="633"/>
        <w:gridCol w:w="511"/>
        <w:gridCol w:w="954"/>
        <w:gridCol w:w="614"/>
        <w:gridCol w:w="468"/>
        <w:gridCol w:w="1046"/>
        <w:gridCol w:w="589"/>
        <w:gridCol w:w="1201"/>
        <w:gridCol w:w="597"/>
        <w:gridCol w:w="1010"/>
      </w:tblGrid>
      <w:tr>
        <w:trPr>
          <w:trHeight w:val="282" w:hRule="atLeast"/>
        </w:trPr>
        <w:tc>
          <w:tcPr>
            <w:tcW w:w="10775" w:type="dxa"/>
            <w:gridSpan w:val="15"/>
            <w:tcBorders>
              <w:top w:val="single" w:sz="4" w:space="0" w:color="000000"/>
              <w:bottom w:val="single" w:sz="4" w:space="0" w:color="000000"/>
            </w:tcBorders>
          </w:tcPr>
          <w:p>
            <w:pPr>
              <w:pStyle w:val="TableParagraph"/>
              <w:spacing w:before="61"/>
              <w:ind w:left="3805" w:right="3802"/>
              <w:jc w:val="center"/>
              <w:rPr>
                <w:i/>
                <w:sz w:val="14"/>
              </w:rPr>
            </w:pPr>
            <w:r>
              <w:rPr>
                <w:i/>
                <w:sz w:val="14"/>
              </w:rPr>
              <w:t>Comparison</w:t>
            </w:r>
            <w:r>
              <w:rPr>
                <w:i/>
                <w:spacing w:val="-5"/>
                <w:sz w:val="14"/>
              </w:rPr>
              <w:t> </w:t>
            </w:r>
            <w:r>
              <w:rPr>
                <w:i/>
                <w:sz w:val="14"/>
              </w:rPr>
              <w:t>of</w:t>
            </w:r>
            <w:r>
              <w:rPr>
                <w:i/>
                <w:spacing w:val="-6"/>
                <w:sz w:val="14"/>
              </w:rPr>
              <w:t> </w:t>
            </w:r>
            <w:r>
              <w:rPr>
                <w:i/>
                <w:sz w:val="14"/>
              </w:rPr>
              <w:t>assumptions</w:t>
            </w:r>
            <w:r>
              <w:rPr>
                <w:i/>
                <w:spacing w:val="-6"/>
                <w:sz w:val="14"/>
              </w:rPr>
              <w:t> </w:t>
            </w:r>
            <w:r>
              <w:rPr>
                <w:i/>
                <w:sz w:val="14"/>
              </w:rPr>
              <w:t>and</w:t>
            </w:r>
            <w:r>
              <w:rPr>
                <w:i/>
                <w:spacing w:val="-4"/>
                <w:sz w:val="14"/>
              </w:rPr>
              <w:t> </w:t>
            </w:r>
            <w:r>
              <w:rPr>
                <w:i/>
                <w:sz w:val="14"/>
              </w:rPr>
              <w:t>parameters:</w:t>
            </w:r>
            <w:r>
              <w:rPr>
                <w:i/>
                <w:spacing w:val="-5"/>
                <w:sz w:val="14"/>
              </w:rPr>
              <w:t> </w:t>
            </w:r>
            <w:r>
              <w:rPr>
                <w:i/>
                <w:sz w:val="14"/>
              </w:rPr>
              <w:t>2019-</w:t>
            </w:r>
            <w:r>
              <w:rPr>
                <w:i/>
                <w:spacing w:val="-4"/>
                <w:sz w:val="14"/>
              </w:rPr>
              <w:t>2023</w:t>
            </w:r>
          </w:p>
        </w:tc>
      </w:tr>
      <w:tr>
        <w:trPr>
          <w:trHeight w:val="282" w:hRule="atLeast"/>
        </w:trPr>
        <w:tc>
          <w:tcPr>
            <w:tcW w:w="174" w:type="dxa"/>
            <w:tcBorders>
              <w:top w:val="single" w:sz="4" w:space="0" w:color="000000"/>
            </w:tcBorders>
          </w:tcPr>
          <w:p>
            <w:pPr>
              <w:pStyle w:val="TableParagraph"/>
              <w:jc w:val="left"/>
              <w:rPr>
                <w:sz w:val="14"/>
              </w:rPr>
            </w:pPr>
          </w:p>
        </w:tc>
        <w:tc>
          <w:tcPr>
            <w:tcW w:w="786" w:type="dxa"/>
            <w:tcBorders>
              <w:top w:val="single" w:sz="4" w:space="0" w:color="000000"/>
            </w:tcBorders>
          </w:tcPr>
          <w:p>
            <w:pPr>
              <w:pStyle w:val="TableParagraph"/>
              <w:spacing w:before="61"/>
              <w:ind w:left="4"/>
              <w:jc w:val="left"/>
              <w:rPr>
                <w:i/>
                <w:sz w:val="14"/>
              </w:rPr>
            </w:pPr>
            <w:r>
              <w:rPr>
                <w:i/>
                <w:spacing w:val="-2"/>
                <w:sz w:val="14"/>
              </w:rPr>
              <w:t>Parameter</w:t>
            </w:r>
          </w:p>
        </w:tc>
        <w:tc>
          <w:tcPr>
            <w:tcW w:w="2192" w:type="dxa"/>
            <w:gridSpan w:val="3"/>
            <w:tcBorders>
              <w:top w:val="single" w:sz="4" w:space="0" w:color="000000"/>
              <w:bottom w:val="single" w:sz="4" w:space="0" w:color="000000"/>
            </w:tcBorders>
          </w:tcPr>
          <w:p>
            <w:pPr>
              <w:pStyle w:val="TableParagraph"/>
              <w:spacing w:before="61"/>
              <w:ind w:left="308"/>
              <w:jc w:val="left"/>
              <w:rPr>
                <w:i/>
                <w:sz w:val="14"/>
              </w:rPr>
            </w:pPr>
            <w:r>
              <w:rPr>
                <w:i/>
                <w:sz w:val="14"/>
              </w:rPr>
              <w:t>2019</w:t>
            </w:r>
            <w:r>
              <w:rPr>
                <w:i/>
                <w:spacing w:val="-4"/>
                <w:sz w:val="14"/>
              </w:rPr>
              <w:t> </w:t>
            </w:r>
            <w:r>
              <w:rPr>
                <w:i/>
                <w:sz w:val="14"/>
              </w:rPr>
              <w:t>Approved</w:t>
            </w:r>
            <w:r>
              <w:rPr>
                <w:i/>
                <w:spacing w:val="-3"/>
                <w:sz w:val="14"/>
              </w:rPr>
              <w:t> </w:t>
            </w:r>
            <w:r>
              <w:rPr>
                <w:i/>
                <w:sz w:val="14"/>
              </w:rPr>
              <w:t>and</w:t>
            </w:r>
            <w:r>
              <w:rPr>
                <w:i/>
                <w:spacing w:val="-4"/>
                <w:sz w:val="14"/>
              </w:rPr>
              <w:t> </w:t>
            </w:r>
            <w:r>
              <w:rPr>
                <w:i/>
                <w:spacing w:val="-2"/>
                <w:sz w:val="14"/>
              </w:rPr>
              <w:t>Actuals</w:t>
            </w:r>
          </w:p>
        </w:tc>
        <w:tc>
          <w:tcPr>
            <w:tcW w:w="2098" w:type="dxa"/>
            <w:gridSpan w:val="3"/>
            <w:tcBorders>
              <w:top w:val="single" w:sz="4" w:space="0" w:color="000000"/>
              <w:bottom w:val="single" w:sz="4" w:space="0" w:color="000000"/>
            </w:tcBorders>
          </w:tcPr>
          <w:p>
            <w:pPr>
              <w:pStyle w:val="TableParagraph"/>
              <w:spacing w:before="61"/>
              <w:ind w:left="257"/>
              <w:jc w:val="left"/>
              <w:rPr>
                <w:i/>
                <w:sz w:val="14"/>
              </w:rPr>
            </w:pPr>
            <w:r>
              <w:rPr>
                <w:i/>
                <w:sz w:val="14"/>
              </w:rPr>
              <w:t>2020</w:t>
            </w:r>
            <w:r>
              <w:rPr>
                <w:i/>
                <w:spacing w:val="-4"/>
                <w:sz w:val="14"/>
              </w:rPr>
              <w:t> </w:t>
            </w:r>
            <w:r>
              <w:rPr>
                <w:i/>
                <w:sz w:val="14"/>
              </w:rPr>
              <w:t>Approved</w:t>
            </w:r>
            <w:r>
              <w:rPr>
                <w:i/>
                <w:spacing w:val="-3"/>
                <w:sz w:val="14"/>
              </w:rPr>
              <w:t> </w:t>
            </w:r>
            <w:r>
              <w:rPr>
                <w:i/>
                <w:sz w:val="14"/>
              </w:rPr>
              <w:t>and</w:t>
            </w:r>
            <w:r>
              <w:rPr>
                <w:i/>
                <w:spacing w:val="-4"/>
                <w:sz w:val="14"/>
              </w:rPr>
              <w:t> </w:t>
            </w:r>
            <w:r>
              <w:rPr>
                <w:i/>
                <w:spacing w:val="-2"/>
                <w:sz w:val="14"/>
              </w:rPr>
              <w:t>Actuals</w:t>
            </w:r>
          </w:p>
        </w:tc>
        <w:tc>
          <w:tcPr>
            <w:tcW w:w="2128" w:type="dxa"/>
            <w:gridSpan w:val="3"/>
            <w:tcBorders>
              <w:top w:val="single" w:sz="4" w:space="0" w:color="000000"/>
              <w:bottom w:val="single" w:sz="4" w:space="0" w:color="000000"/>
            </w:tcBorders>
          </w:tcPr>
          <w:p>
            <w:pPr>
              <w:pStyle w:val="TableParagraph"/>
              <w:spacing w:before="61"/>
              <w:ind w:left="277"/>
              <w:jc w:val="left"/>
              <w:rPr>
                <w:i/>
                <w:sz w:val="14"/>
              </w:rPr>
            </w:pPr>
            <w:r>
              <w:rPr>
                <w:i/>
                <w:sz w:val="14"/>
              </w:rPr>
              <w:t>2021</w:t>
            </w:r>
            <w:r>
              <w:rPr>
                <w:i/>
                <w:spacing w:val="-4"/>
                <w:sz w:val="14"/>
              </w:rPr>
              <w:t> </w:t>
            </w:r>
            <w:r>
              <w:rPr>
                <w:i/>
                <w:sz w:val="14"/>
              </w:rPr>
              <w:t>Approved</w:t>
            </w:r>
            <w:r>
              <w:rPr>
                <w:i/>
                <w:spacing w:val="-3"/>
                <w:sz w:val="14"/>
              </w:rPr>
              <w:t> </w:t>
            </w:r>
            <w:r>
              <w:rPr>
                <w:i/>
                <w:sz w:val="14"/>
              </w:rPr>
              <w:t>and</w:t>
            </w:r>
            <w:r>
              <w:rPr>
                <w:i/>
                <w:spacing w:val="-4"/>
                <w:sz w:val="14"/>
              </w:rPr>
              <w:t> </w:t>
            </w:r>
            <w:r>
              <w:rPr>
                <w:i/>
                <w:spacing w:val="-2"/>
                <w:sz w:val="14"/>
              </w:rPr>
              <w:t>Actuals</w:t>
            </w:r>
          </w:p>
        </w:tc>
        <w:tc>
          <w:tcPr>
            <w:tcW w:w="1790" w:type="dxa"/>
            <w:gridSpan w:val="2"/>
            <w:tcBorders>
              <w:top w:val="single" w:sz="4" w:space="0" w:color="000000"/>
              <w:bottom w:val="single" w:sz="4" w:space="0" w:color="000000"/>
            </w:tcBorders>
          </w:tcPr>
          <w:p>
            <w:pPr>
              <w:pStyle w:val="TableParagraph"/>
              <w:spacing w:before="61"/>
              <w:ind w:left="459"/>
              <w:jc w:val="left"/>
              <w:rPr>
                <w:i/>
                <w:sz w:val="14"/>
              </w:rPr>
            </w:pPr>
            <w:r>
              <w:rPr>
                <w:i/>
                <w:sz w:val="14"/>
              </w:rPr>
              <w:t>2022</w:t>
            </w:r>
            <w:r>
              <w:rPr>
                <w:i/>
                <w:spacing w:val="-2"/>
                <w:sz w:val="14"/>
              </w:rPr>
              <w:t> Approved</w:t>
            </w:r>
          </w:p>
        </w:tc>
        <w:tc>
          <w:tcPr>
            <w:tcW w:w="1607" w:type="dxa"/>
            <w:gridSpan w:val="2"/>
            <w:tcBorders>
              <w:top w:val="single" w:sz="4" w:space="0" w:color="000000"/>
              <w:bottom w:val="single" w:sz="4" w:space="0" w:color="000000"/>
            </w:tcBorders>
          </w:tcPr>
          <w:p>
            <w:pPr>
              <w:pStyle w:val="TableParagraph"/>
              <w:spacing w:before="61"/>
              <w:ind w:left="378"/>
              <w:jc w:val="left"/>
              <w:rPr>
                <w:i/>
                <w:sz w:val="14"/>
              </w:rPr>
            </w:pPr>
            <w:r>
              <w:rPr>
                <w:i/>
                <w:sz w:val="14"/>
              </w:rPr>
              <w:t>2023</w:t>
            </w:r>
            <w:r>
              <w:rPr>
                <w:i/>
                <w:spacing w:val="-2"/>
                <w:sz w:val="14"/>
              </w:rPr>
              <w:t> Proposed</w:t>
            </w:r>
          </w:p>
        </w:tc>
      </w:tr>
      <w:tr>
        <w:trPr>
          <w:trHeight w:val="277" w:hRule="atLeast"/>
        </w:trPr>
        <w:tc>
          <w:tcPr>
            <w:tcW w:w="174" w:type="dxa"/>
            <w:tcBorders>
              <w:bottom w:val="single" w:sz="4" w:space="0" w:color="000000"/>
            </w:tcBorders>
          </w:tcPr>
          <w:p>
            <w:pPr>
              <w:pStyle w:val="TableParagraph"/>
              <w:jc w:val="left"/>
              <w:rPr>
                <w:sz w:val="14"/>
              </w:rPr>
            </w:pPr>
          </w:p>
        </w:tc>
        <w:tc>
          <w:tcPr>
            <w:tcW w:w="1387" w:type="dxa"/>
            <w:gridSpan w:val="2"/>
            <w:tcBorders>
              <w:bottom w:val="single" w:sz="4" w:space="0" w:color="000000"/>
            </w:tcBorders>
          </w:tcPr>
          <w:p>
            <w:pPr>
              <w:pStyle w:val="TableParagraph"/>
              <w:spacing w:before="61"/>
              <w:ind w:left="815"/>
              <w:jc w:val="left"/>
              <w:rPr>
                <w:i/>
                <w:sz w:val="14"/>
              </w:rPr>
            </w:pPr>
            <w:r>
              <w:rPr>
                <w:i/>
                <w:spacing w:val="-2"/>
                <w:sz w:val="14"/>
              </w:rPr>
              <w:t>Approved</w:t>
            </w:r>
          </w:p>
        </w:tc>
        <w:tc>
          <w:tcPr>
            <w:tcW w:w="466" w:type="dxa"/>
            <w:tcBorders>
              <w:top w:val="single" w:sz="4" w:space="0" w:color="000000"/>
              <w:bottom w:val="single" w:sz="4" w:space="0" w:color="000000"/>
            </w:tcBorders>
          </w:tcPr>
          <w:p>
            <w:pPr>
              <w:pStyle w:val="TableParagraph"/>
              <w:spacing w:before="61"/>
              <w:ind w:left="16" w:right="1"/>
              <w:jc w:val="center"/>
              <w:rPr>
                <w:i/>
                <w:sz w:val="14"/>
              </w:rPr>
            </w:pPr>
            <w:r>
              <w:rPr>
                <w:i/>
                <w:spacing w:val="-2"/>
                <w:sz w:val="14"/>
              </w:rPr>
              <w:t>Actuals</w:t>
            </w:r>
          </w:p>
        </w:tc>
        <w:tc>
          <w:tcPr>
            <w:tcW w:w="1125" w:type="dxa"/>
            <w:tcBorders>
              <w:top w:val="single" w:sz="4" w:space="0" w:color="000000"/>
              <w:bottom w:val="single" w:sz="4" w:space="0" w:color="000000"/>
            </w:tcBorders>
          </w:tcPr>
          <w:p>
            <w:pPr>
              <w:pStyle w:val="TableParagraph"/>
              <w:spacing w:before="61"/>
              <w:ind w:left="230"/>
              <w:jc w:val="left"/>
              <w:rPr>
                <w:i/>
                <w:sz w:val="14"/>
              </w:rPr>
            </w:pPr>
            <w:r>
              <w:rPr>
                <w:i/>
                <w:spacing w:val="-2"/>
                <w:sz w:val="14"/>
              </w:rPr>
              <w:t>Description</w:t>
            </w:r>
          </w:p>
        </w:tc>
        <w:tc>
          <w:tcPr>
            <w:tcW w:w="633" w:type="dxa"/>
            <w:tcBorders>
              <w:top w:val="single" w:sz="4" w:space="0" w:color="000000"/>
              <w:bottom w:val="single" w:sz="4" w:space="0" w:color="000000"/>
            </w:tcBorders>
          </w:tcPr>
          <w:p>
            <w:pPr>
              <w:pStyle w:val="TableParagraph"/>
              <w:spacing w:before="61"/>
              <w:ind w:left="20" w:right="43"/>
              <w:jc w:val="center"/>
              <w:rPr>
                <w:i/>
                <w:sz w:val="14"/>
              </w:rPr>
            </w:pPr>
            <w:r>
              <w:rPr>
                <w:i/>
                <w:spacing w:val="-2"/>
                <w:sz w:val="14"/>
              </w:rPr>
              <w:t>Approved</w:t>
            </w:r>
          </w:p>
        </w:tc>
        <w:tc>
          <w:tcPr>
            <w:tcW w:w="511" w:type="dxa"/>
            <w:tcBorders>
              <w:top w:val="single" w:sz="4" w:space="0" w:color="000000"/>
              <w:bottom w:val="single" w:sz="4" w:space="0" w:color="000000"/>
            </w:tcBorders>
          </w:tcPr>
          <w:p>
            <w:pPr>
              <w:pStyle w:val="TableParagraph"/>
              <w:spacing w:before="61"/>
              <w:ind w:left="45" w:right="19"/>
              <w:jc w:val="center"/>
              <w:rPr>
                <w:i/>
                <w:sz w:val="14"/>
              </w:rPr>
            </w:pPr>
            <w:r>
              <w:rPr>
                <w:i/>
                <w:spacing w:val="-2"/>
                <w:sz w:val="14"/>
              </w:rPr>
              <w:t>Actuals</w:t>
            </w:r>
          </w:p>
        </w:tc>
        <w:tc>
          <w:tcPr>
            <w:tcW w:w="954" w:type="dxa"/>
            <w:tcBorders>
              <w:top w:val="single" w:sz="4" w:space="0" w:color="000000"/>
              <w:bottom w:val="single" w:sz="4" w:space="0" w:color="000000"/>
            </w:tcBorders>
          </w:tcPr>
          <w:p>
            <w:pPr>
              <w:pStyle w:val="TableParagraph"/>
              <w:spacing w:before="61"/>
              <w:ind w:left="160"/>
              <w:jc w:val="left"/>
              <w:rPr>
                <w:i/>
                <w:sz w:val="14"/>
              </w:rPr>
            </w:pPr>
            <w:r>
              <w:rPr>
                <w:i/>
                <w:spacing w:val="-2"/>
                <w:sz w:val="14"/>
              </w:rPr>
              <w:t>Description</w:t>
            </w:r>
          </w:p>
        </w:tc>
        <w:tc>
          <w:tcPr>
            <w:tcW w:w="614" w:type="dxa"/>
            <w:tcBorders>
              <w:top w:val="single" w:sz="4" w:space="0" w:color="000000"/>
              <w:bottom w:val="single" w:sz="4" w:space="0" w:color="000000"/>
            </w:tcBorders>
          </w:tcPr>
          <w:p>
            <w:pPr>
              <w:pStyle w:val="TableParagraph"/>
              <w:spacing w:before="61"/>
              <w:ind w:right="3"/>
              <w:jc w:val="center"/>
              <w:rPr>
                <w:i/>
                <w:sz w:val="14"/>
              </w:rPr>
            </w:pPr>
            <w:r>
              <w:rPr>
                <w:i/>
                <w:spacing w:val="-2"/>
                <w:sz w:val="14"/>
              </w:rPr>
              <w:t>Approved</w:t>
            </w:r>
          </w:p>
        </w:tc>
        <w:tc>
          <w:tcPr>
            <w:tcW w:w="468" w:type="dxa"/>
            <w:tcBorders>
              <w:top w:val="single" w:sz="4" w:space="0" w:color="000000"/>
              <w:bottom w:val="single" w:sz="4" w:space="0" w:color="000000"/>
            </w:tcBorders>
          </w:tcPr>
          <w:p>
            <w:pPr>
              <w:pStyle w:val="TableParagraph"/>
              <w:spacing w:before="61"/>
              <w:ind w:left="30"/>
              <w:jc w:val="center"/>
              <w:rPr>
                <w:i/>
                <w:sz w:val="14"/>
              </w:rPr>
            </w:pPr>
            <w:r>
              <w:rPr>
                <w:i/>
                <w:spacing w:val="-2"/>
                <w:sz w:val="14"/>
              </w:rPr>
              <w:t>Actuals</w:t>
            </w:r>
          </w:p>
        </w:tc>
        <w:tc>
          <w:tcPr>
            <w:tcW w:w="1046" w:type="dxa"/>
            <w:tcBorders>
              <w:top w:val="single" w:sz="4" w:space="0" w:color="000000"/>
              <w:bottom w:val="single" w:sz="4" w:space="0" w:color="000000"/>
            </w:tcBorders>
          </w:tcPr>
          <w:p>
            <w:pPr>
              <w:pStyle w:val="TableParagraph"/>
              <w:spacing w:before="61"/>
              <w:ind w:left="194"/>
              <w:jc w:val="left"/>
              <w:rPr>
                <w:i/>
                <w:sz w:val="14"/>
              </w:rPr>
            </w:pPr>
            <w:r>
              <w:rPr>
                <w:i/>
                <w:spacing w:val="-2"/>
                <w:sz w:val="14"/>
              </w:rPr>
              <w:t>Description</w:t>
            </w:r>
          </w:p>
        </w:tc>
        <w:tc>
          <w:tcPr>
            <w:tcW w:w="589" w:type="dxa"/>
            <w:tcBorders>
              <w:top w:val="single" w:sz="4" w:space="0" w:color="000000"/>
              <w:bottom w:val="single" w:sz="4" w:space="0" w:color="000000"/>
            </w:tcBorders>
          </w:tcPr>
          <w:p>
            <w:pPr>
              <w:pStyle w:val="TableParagraph"/>
              <w:spacing w:before="61"/>
              <w:ind w:left="14" w:right="6"/>
              <w:jc w:val="center"/>
              <w:rPr>
                <w:i/>
                <w:sz w:val="14"/>
              </w:rPr>
            </w:pPr>
            <w:r>
              <w:rPr>
                <w:i/>
                <w:spacing w:val="-2"/>
                <w:sz w:val="14"/>
              </w:rPr>
              <w:t>Approved</w:t>
            </w:r>
          </w:p>
        </w:tc>
        <w:tc>
          <w:tcPr>
            <w:tcW w:w="1201" w:type="dxa"/>
            <w:tcBorders>
              <w:top w:val="single" w:sz="4" w:space="0" w:color="000000"/>
              <w:bottom w:val="single" w:sz="4" w:space="0" w:color="000000"/>
            </w:tcBorders>
          </w:tcPr>
          <w:p>
            <w:pPr>
              <w:pStyle w:val="TableParagraph"/>
              <w:spacing w:before="61"/>
              <w:ind w:left="278"/>
              <w:jc w:val="left"/>
              <w:rPr>
                <w:i/>
                <w:sz w:val="14"/>
              </w:rPr>
            </w:pPr>
            <w:r>
              <w:rPr>
                <w:i/>
                <w:spacing w:val="-2"/>
                <w:sz w:val="14"/>
              </w:rPr>
              <w:t>Description</w:t>
            </w:r>
          </w:p>
        </w:tc>
        <w:tc>
          <w:tcPr>
            <w:tcW w:w="597" w:type="dxa"/>
            <w:tcBorders>
              <w:top w:val="single" w:sz="4" w:space="0" w:color="000000"/>
              <w:bottom w:val="single" w:sz="4" w:space="0" w:color="000000"/>
            </w:tcBorders>
          </w:tcPr>
          <w:p>
            <w:pPr>
              <w:pStyle w:val="TableParagraph"/>
              <w:spacing w:before="61"/>
              <w:ind w:left="26" w:right="10"/>
              <w:jc w:val="center"/>
              <w:rPr>
                <w:i/>
                <w:sz w:val="14"/>
              </w:rPr>
            </w:pPr>
            <w:r>
              <w:rPr>
                <w:i/>
                <w:spacing w:val="-2"/>
                <w:sz w:val="14"/>
              </w:rPr>
              <w:t>Proposed</w:t>
            </w:r>
          </w:p>
        </w:tc>
        <w:tc>
          <w:tcPr>
            <w:tcW w:w="1010" w:type="dxa"/>
            <w:tcBorders>
              <w:top w:val="single" w:sz="4" w:space="0" w:color="000000"/>
              <w:bottom w:val="single" w:sz="4" w:space="0" w:color="000000"/>
            </w:tcBorders>
          </w:tcPr>
          <w:p>
            <w:pPr>
              <w:pStyle w:val="TableParagraph"/>
              <w:spacing w:before="61"/>
              <w:ind w:left="185"/>
              <w:jc w:val="left"/>
              <w:rPr>
                <w:i/>
                <w:sz w:val="14"/>
              </w:rPr>
            </w:pPr>
            <w:r>
              <w:rPr>
                <w:i/>
                <w:spacing w:val="-2"/>
                <w:sz w:val="14"/>
              </w:rPr>
              <w:t>Description</w:t>
            </w:r>
          </w:p>
        </w:tc>
      </w:tr>
      <w:tr>
        <w:trPr>
          <w:trHeight w:val="4147" w:hRule="atLeast"/>
        </w:trPr>
        <w:tc>
          <w:tcPr>
            <w:tcW w:w="174" w:type="dxa"/>
            <w:tcBorders>
              <w:top w:val="single" w:sz="4" w:space="0" w:color="000000"/>
              <w:bottom w:val="single" w:sz="4" w:space="0" w:color="000000"/>
            </w:tcBorders>
          </w:tcPr>
          <w:p>
            <w:pPr>
              <w:pStyle w:val="TableParagraph"/>
              <w:spacing w:before="61"/>
              <w:jc w:val="left"/>
              <w:rPr>
                <w:sz w:val="14"/>
              </w:rPr>
            </w:pPr>
            <w:r>
              <w:rPr>
                <w:w w:val="99"/>
                <w:sz w:val="14"/>
              </w:rPr>
              <w:t>1</w:t>
            </w:r>
          </w:p>
        </w:tc>
        <w:tc>
          <w:tcPr>
            <w:tcW w:w="786" w:type="dxa"/>
            <w:tcBorders>
              <w:top w:val="single" w:sz="4" w:space="0" w:color="000000"/>
              <w:bottom w:val="single" w:sz="4" w:space="0" w:color="000000"/>
            </w:tcBorders>
          </w:tcPr>
          <w:p>
            <w:pPr>
              <w:pStyle w:val="TableParagraph"/>
              <w:spacing w:line="237" w:lineRule="auto" w:before="62"/>
              <w:ind w:left="104" w:right="60"/>
              <w:jc w:val="left"/>
              <w:rPr>
                <w:sz w:val="14"/>
              </w:rPr>
            </w:pPr>
            <w:r>
              <w:rPr>
                <w:sz w:val="14"/>
              </w:rPr>
              <w:t>Number</w:t>
            </w:r>
            <w:r>
              <w:rPr>
                <w:spacing w:val="-9"/>
                <w:sz w:val="14"/>
              </w:rPr>
              <w:t> </w:t>
            </w:r>
            <w:r>
              <w:rPr>
                <w:sz w:val="14"/>
              </w:rPr>
              <w:t>of</w:t>
            </w:r>
            <w:r>
              <w:rPr>
                <w:spacing w:val="40"/>
                <w:sz w:val="14"/>
              </w:rPr>
              <w:t> </w:t>
            </w:r>
            <w:r>
              <w:rPr>
                <w:spacing w:val="-2"/>
                <w:sz w:val="14"/>
              </w:rPr>
              <w:t>Court</w:t>
            </w:r>
            <w:r>
              <w:rPr>
                <w:spacing w:val="40"/>
                <w:sz w:val="14"/>
              </w:rPr>
              <w:t> </w:t>
            </w:r>
            <w:r>
              <w:rPr>
                <w:spacing w:val="-2"/>
                <w:sz w:val="14"/>
              </w:rPr>
              <w:t>hearing</w:t>
            </w:r>
            <w:r>
              <w:rPr>
                <w:spacing w:val="40"/>
                <w:sz w:val="14"/>
              </w:rPr>
              <w:t> </w:t>
            </w:r>
            <w:r>
              <w:rPr>
                <w:spacing w:val="-4"/>
                <w:sz w:val="14"/>
              </w:rPr>
              <w:t>days</w:t>
            </w:r>
          </w:p>
        </w:tc>
        <w:tc>
          <w:tcPr>
            <w:tcW w:w="601" w:type="dxa"/>
            <w:tcBorders>
              <w:top w:val="single" w:sz="4" w:space="0" w:color="000000"/>
              <w:bottom w:val="single" w:sz="4" w:space="0" w:color="000000"/>
            </w:tcBorders>
          </w:tcPr>
          <w:p>
            <w:pPr>
              <w:pStyle w:val="TableParagraph"/>
              <w:spacing w:before="61"/>
              <w:ind w:right="190"/>
              <w:rPr>
                <w:sz w:val="14"/>
              </w:rPr>
            </w:pPr>
            <w:r>
              <w:rPr>
                <w:spacing w:val="-5"/>
                <w:sz w:val="14"/>
              </w:rPr>
              <w:t>294</w:t>
            </w:r>
          </w:p>
        </w:tc>
        <w:tc>
          <w:tcPr>
            <w:tcW w:w="466" w:type="dxa"/>
            <w:tcBorders>
              <w:top w:val="single" w:sz="4" w:space="0" w:color="000000"/>
              <w:bottom w:val="single" w:sz="4" w:space="0" w:color="000000"/>
            </w:tcBorders>
          </w:tcPr>
          <w:p>
            <w:pPr>
              <w:pStyle w:val="TableParagraph"/>
              <w:spacing w:before="61"/>
              <w:ind w:left="16" w:right="2"/>
              <w:jc w:val="center"/>
              <w:rPr>
                <w:sz w:val="14"/>
              </w:rPr>
            </w:pPr>
            <w:r>
              <w:rPr>
                <w:spacing w:val="-5"/>
                <w:sz w:val="14"/>
              </w:rPr>
              <w:t>94</w:t>
            </w:r>
          </w:p>
        </w:tc>
        <w:tc>
          <w:tcPr>
            <w:tcW w:w="1125" w:type="dxa"/>
            <w:tcBorders>
              <w:top w:val="single" w:sz="4" w:space="0" w:color="000000"/>
              <w:bottom w:val="single" w:sz="4" w:space="0" w:color="000000"/>
            </w:tcBorders>
          </w:tcPr>
          <w:p>
            <w:pPr>
              <w:pStyle w:val="TableParagraph"/>
              <w:spacing w:line="242" w:lineRule="auto" w:before="61"/>
              <w:ind w:left="14" w:right="59"/>
              <w:jc w:val="left"/>
              <w:rPr>
                <w:sz w:val="14"/>
              </w:rPr>
            </w:pPr>
            <w:r>
              <w:rPr>
                <w:i/>
                <w:sz w:val="14"/>
              </w:rPr>
              <w:t>Gbagbo and Blé</w:t>
            </w:r>
            <w:r>
              <w:rPr>
                <w:i/>
                <w:spacing w:val="40"/>
                <w:sz w:val="14"/>
              </w:rPr>
              <w:t> </w:t>
            </w:r>
            <w:r>
              <w:rPr>
                <w:i/>
                <w:sz w:val="14"/>
              </w:rPr>
              <w:t>Goudé</w:t>
            </w:r>
            <w:r>
              <w:rPr>
                <w:i/>
                <w:spacing w:val="-9"/>
                <w:sz w:val="14"/>
              </w:rPr>
              <w:t> </w:t>
            </w:r>
            <w:r>
              <w:rPr>
                <w:sz w:val="14"/>
              </w:rPr>
              <w:t>(CIV)[1]:</w:t>
            </w:r>
            <w:r>
              <w:rPr>
                <w:spacing w:val="-9"/>
                <w:sz w:val="14"/>
              </w:rPr>
              <w:t> </w:t>
            </w:r>
            <w:r>
              <w:rPr>
                <w:sz w:val="14"/>
              </w:rPr>
              <w:t>3</w:t>
            </w:r>
          </w:p>
          <w:p>
            <w:pPr>
              <w:pStyle w:val="TableParagraph"/>
              <w:ind w:left="14" w:right="92"/>
              <w:jc w:val="left"/>
              <w:rPr>
                <w:i/>
                <w:sz w:val="14"/>
              </w:rPr>
            </w:pPr>
            <w:r>
              <w:rPr>
                <w:sz w:val="14"/>
              </w:rPr>
              <w:t>days;</w:t>
            </w:r>
            <w:r>
              <w:rPr>
                <w:spacing w:val="-9"/>
                <w:sz w:val="14"/>
              </w:rPr>
              <w:t> </w:t>
            </w:r>
            <w:r>
              <w:rPr>
                <w:i/>
                <w:sz w:val="14"/>
              </w:rPr>
              <w:t>Ongwen</w:t>
            </w:r>
            <w:r>
              <w:rPr>
                <w:i/>
                <w:spacing w:val="40"/>
                <w:sz w:val="14"/>
              </w:rPr>
              <w:t> </w:t>
            </w:r>
            <w:r>
              <w:rPr>
                <w:sz w:val="14"/>
              </w:rPr>
              <w:t>(Uganda)[2]:</w:t>
            </w:r>
            <w:r>
              <w:rPr>
                <w:spacing w:val="-9"/>
                <w:sz w:val="14"/>
              </w:rPr>
              <w:t> </w:t>
            </w:r>
            <w:r>
              <w:rPr>
                <w:sz w:val="14"/>
              </w:rPr>
              <w:t>58</w:t>
            </w:r>
            <w:r>
              <w:rPr>
                <w:spacing w:val="40"/>
                <w:sz w:val="14"/>
              </w:rPr>
              <w:t> </w:t>
            </w:r>
            <w:r>
              <w:rPr>
                <w:sz w:val="14"/>
              </w:rPr>
              <w:t>days; </w:t>
            </w:r>
            <w:r>
              <w:rPr>
                <w:i/>
                <w:sz w:val="14"/>
              </w:rPr>
              <w:t>Al Hassan</w:t>
            </w:r>
            <w:r>
              <w:rPr>
                <w:i/>
                <w:spacing w:val="40"/>
                <w:sz w:val="14"/>
              </w:rPr>
              <w:t> </w:t>
            </w:r>
            <w:r>
              <w:rPr>
                <w:sz w:val="14"/>
              </w:rPr>
              <w:t>(Mali II): 8 days;</w:t>
            </w:r>
            <w:r>
              <w:rPr>
                <w:spacing w:val="40"/>
                <w:sz w:val="14"/>
              </w:rPr>
              <w:t> </w:t>
            </w:r>
            <w:r>
              <w:rPr>
                <w:i/>
                <w:sz w:val="14"/>
              </w:rPr>
              <w:t>Ntaganda</w:t>
            </w:r>
            <w:r>
              <w:rPr>
                <w:i/>
                <w:spacing w:val="-9"/>
                <w:sz w:val="14"/>
              </w:rPr>
              <w:t> </w:t>
            </w:r>
            <w:r>
              <w:rPr>
                <w:sz w:val="14"/>
              </w:rPr>
              <w:t>(DRC):</w:t>
            </w:r>
            <w:r>
              <w:rPr>
                <w:spacing w:val="40"/>
                <w:sz w:val="14"/>
              </w:rPr>
              <w:t> </w:t>
            </w:r>
            <w:r>
              <w:rPr>
                <w:sz w:val="14"/>
              </w:rPr>
              <w:t>4 days; </w:t>
            </w:r>
            <w:r>
              <w:rPr>
                <w:i/>
                <w:sz w:val="14"/>
              </w:rPr>
              <w:t>Lubanga</w:t>
            </w:r>
          </w:p>
          <w:p>
            <w:pPr>
              <w:pStyle w:val="TableParagraph"/>
              <w:spacing w:line="160" w:lineRule="exact"/>
              <w:ind w:left="14"/>
              <w:jc w:val="left"/>
              <w:rPr>
                <w:sz w:val="14"/>
              </w:rPr>
            </w:pPr>
            <w:r>
              <w:rPr>
                <w:sz w:val="14"/>
              </w:rPr>
              <w:t>(DRC):</w:t>
            </w:r>
            <w:r>
              <w:rPr>
                <w:spacing w:val="-6"/>
                <w:sz w:val="14"/>
              </w:rPr>
              <w:t> </w:t>
            </w:r>
            <w:r>
              <w:rPr>
                <w:sz w:val="14"/>
              </w:rPr>
              <w:t>1</w:t>
            </w:r>
            <w:r>
              <w:rPr>
                <w:spacing w:val="-3"/>
                <w:sz w:val="14"/>
              </w:rPr>
              <w:t> </w:t>
            </w:r>
            <w:r>
              <w:rPr>
                <w:spacing w:val="-4"/>
                <w:sz w:val="14"/>
              </w:rPr>
              <w:t>day;</w:t>
            </w:r>
          </w:p>
          <w:p>
            <w:pPr>
              <w:pStyle w:val="TableParagraph"/>
              <w:ind w:left="14"/>
              <w:jc w:val="left"/>
              <w:rPr>
                <w:sz w:val="14"/>
              </w:rPr>
            </w:pPr>
            <w:r>
              <w:rPr>
                <w:i/>
                <w:sz w:val="14"/>
              </w:rPr>
              <w:t>Bemba </w:t>
            </w:r>
            <w:r>
              <w:rPr>
                <w:sz w:val="14"/>
              </w:rPr>
              <w:t>(CAR): 1</w:t>
            </w:r>
            <w:r>
              <w:rPr>
                <w:spacing w:val="40"/>
                <w:sz w:val="14"/>
              </w:rPr>
              <w:t> </w:t>
            </w:r>
            <w:r>
              <w:rPr>
                <w:sz w:val="14"/>
              </w:rPr>
              <w:t>day; </w:t>
            </w:r>
            <w:r>
              <w:rPr>
                <w:i/>
                <w:sz w:val="14"/>
              </w:rPr>
              <w:t>Bemba et al.</w:t>
            </w:r>
            <w:r>
              <w:rPr>
                <w:i/>
                <w:spacing w:val="40"/>
                <w:sz w:val="14"/>
              </w:rPr>
              <w:t> </w:t>
            </w:r>
            <w:r>
              <w:rPr>
                <w:sz w:val="14"/>
              </w:rPr>
              <w:t>(CAR): 2 days; </w:t>
            </w:r>
            <w:r>
              <w:rPr>
                <w:i/>
                <w:sz w:val="14"/>
              </w:rPr>
              <w:t>Al</w:t>
            </w:r>
            <w:r>
              <w:rPr>
                <w:i/>
                <w:spacing w:val="40"/>
                <w:sz w:val="14"/>
              </w:rPr>
              <w:t> </w:t>
            </w:r>
            <w:r>
              <w:rPr>
                <w:i/>
                <w:sz w:val="14"/>
              </w:rPr>
              <w:t>Bashir </w:t>
            </w:r>
            <w:r>
              <w:rPr>
                <w:sz w:val="14"/>
              </w:rPr>
              <w:t>(Darfur): 1</w:t>
            </w:r>
            <w:r>
              <w:rPr>
                <w:spacing w:val="40"/>
                <w:sz w:val="14"/>
              </w:rPr>
              <w:t> </w:t>
            </w:r>
            <w:r>
              <w:rPr>
                <w:sz w:val="14"/>
              </w:rPr>
              <w:t>day;</w:t>
            </w:r>
            <w:r>
              <w:rPr>
                <w:spacing w:val="-9"/>
                <w:sz w:val="14"/>
              </w:rPr>
              <w:t> </w:t>
            </w:r>
            <w:r>
              <w:rPr>
                <w:i/>
                <w:sz w:val="14"/>
              </w:rPr>
              <w:t>Gaddafi</w:t>
            </w:r>
            <w:r>
              <w:rPr>
                <w:i/>
                <w:spacing w:val="40"/>
                <w:sz w:val="14"/>
              </w:rPr>
              <w:t> </w:t>
            </w:r>
            <w:r>
              <w:rPr>
                <w:sz w:val="14"/>
              </w:rPr>
              <w:t>(LBY): 2 days;</w:t>
            </w:r>
            <w:r>
              <w:rPr>
                <w:spacing w:val="40"/>
                <w:sz w:val="14"/>
              </w:rPr>
              <w:t> </w:t>
            </w:r>
            <w:r>
              <w:rPr>
                <w:sz w:val="14"/>
              </w:rPr>
              <w:t>situation</w:t>
            </w:r>
            <w:r>
              <w:rPr>
                <w:spacing w:val="-6"/>
                <w:sz w:val="14"/>
              </w:rPr>
              <w:t> </w:t>
            </w:r>
            <w:r>
              <w:rPr>
                <w:sz w:val="14"/>
              </w:rPr>
              <w:t>in</w:t>
            </w:r>
            <w:r>
              <w:rPr>
                <w:spacing w:val="40"/>
                <w:sz w:val="14"/>
              </w:rPr>
              <w:t> </w:t>
            </w:r>
            <w:r>
              <w:rPr>
                <w:sz w:val="14"/>
              </w:rPr>
              <w:t>Comoros: 2 days;</w:t>
            </w:r>
            <w:r>
              <w:rPr>
                <w:spacing w:val="40"/>
                <w:sz w:val="14"/>
              </w:rPr>
              <w:t> </w:t>
            </w:r>
            <w:r>
              <w:rPr>
                <w:i/>
                <w:sz w:val="14"/>
              </w:rPr>
              <w:t>Ngaïssona</w:t>
            </w:r>
            <w:r>
              <w:rPr>
                <w:i/>
                <w:spacing w:val="-2"/>
                <w:sz w:val="14"/>
              </w:rPr>
              <w:t> </w:t>
            </w:r>
            <w:r>
              <w:rPr>
                <w:sz w:val="14"/>
              </w:rPr>
              <w:t>(CAR</w:t>
            </w:r>
            <w:r>
              <w:rPr>
                <w:spacing w:val="40"/>
                <w:sz w:val="14"/>
              </w:rPr>
              <w:t> </w:t>
            </w:r>
            <w:r>
              <w:rPr>
                <w:sz w:val="14"/>
              </w:rPr>
              <w:t>II):</w:t>
            </w:r>
            <w:r>
              <w:rPr>
                <w:spacing w:val="-9"/>
                <w:sz w:val="14"/>
              </w:rPr>
              <w:t> </w:t>
            </w:r>
            <w:r>
              <w:rPr>
                <w:sz w:val="14"/>
              </w:rPr>
              <w:t>1</w:t>
            </w:r>
            <w:r>
              <w:rPr>
                <w:spacing w:val="-9"/>
                <w:sz w:val="14"/>
              </w:rPr>
              <w:t> </w:t>
            </w:r>
            <w:r>
              <w:rPr>
                <w:sz w:val="14"/>
              </w:rPr>
              <w:t>day;</w:t>
            </w:r>
            <w:r>
              <w:rPr>
                <w:spacing w:val="-9"/>
                <w:sz w:val="14"/>
              </w:rPr>
              <w:t> </w:t>
            </w:r>
            <w:r>
              <w:rPr>
                <w:i/>
                <w:sz w:val="14"/>
              </w:rPr>
              <w:t>Yekatom</w:t>
            </w:r>
            <w:r>
              <w:rPr>
                <w:i/>
                <w:spacing w:val="40"/>
                <w:sz w:val="14"/>
              </w:rPr>
              <w:t> </w:t>
            </w:r>
            <w:r>
              <w:rPr>
                <w:i/>
                <w:sz w:val="14"/>
              </w:rPr>
              <w:t>and</w:t>
            </w:r>
            <w:r>
              <w:rPr>
                <w:i/>
                <w:spacing w:val="-6"/>
                <w:sz w:val="14"/>
              </w:rPr>
              <w:t> </w:t>
            </w:r>
            <w:r>
              <w:rPr>
                <w:i/>
                <w:sz w:val="14"/>
              </w:rPr>
              <w:t>Ngaïssona</w:t>
            </w:r>
            <w:r>
              <w:rPr>
                <w:i/>
                <w:spacing w:val="40"/>
                <w:sz w:val="14"/>
              </w:rPr>
              <w:t> </w:t>
            </w:r>
            <w:r>
              <w:rPr>
                <w:sz w:val="14"/>
              </w:rPr>
              <w:t>(CAR II): 7 days;</w:t>
            </w:r>
          </w:p>
          <w:p>
            <w:pPr>
              <w:pStyle w:val="TableParagraph"/>
              <w:spacing w:line="237" w:lineRule="auto" w:before="3"/>
              <w:ind w:left="14" w:right="59"/>
              <w:jc w:val="left"/>
              <w:rPr>
                <w:sz w:val="14"/>
              </w:rPr>
            </w:pPr>
            <w:r>
              <w:rPr>
                <w:sz w:val="14"/>
              </w:rPr>
              <w:t>situation</w:t>
            </w:r>
            <w:r>
              <w:rPr>
                <w:spacing w:val="-6"/>
                <w:sz w:val="14"/>
              </w:rPr>
              <w:t> </w:t>
            </w:r>
            <w:r>
              <w:rPr>
                <w:sz w:val="14"/>
              </w:rPr>
              <w:t>in</w:t>
            </w:r>
            <w:r>
              <w:rPr>
                <w:spacing w:val="40"/>
                <w:sz w:val="14"/>
              </w:rPr>
              <w:t> </w:t>
            </w:r>
            <w:r>
              <w:rPr>
                <w:sz w:val="14"/>
              </w:rPr>
              <w:t>Afghanistan:</w:t>
            </w:r>
            <w:r>
              <w:rPr>
                <w:spacing w:val="-9"/>
                <w:sz w:val="14"/>
              </w:rPr>
              <w:t> </w:t>
            </w:r>
            <w:r>
              <w:rPr>
                <w:sz w:val="14"/>
              </w:rPr>
              <w:t>3</w:t>
            </w:r>
            <w:r>
              <w:rPr>
                <w:spacing w:val="40"/>
                <w:sz w:val="14"/>
              </w:rPr>
              <w:t> </w:t>
            </w:r>
            <w:r>
              <w:rPr>
                <w:sz w:val="14"/>
              </w:rPr>
              <w:t>days;</w:t>
            </w:r>
            <w:r>
              <w:rPr>
                <w:spacing w:val="-9"/>
                <w:sz w:val="14"/>
              </w:rPr>
              <w:t> </w:t>
            </w:r>
            <w:r>
              <w:rPr>
                <w:sz w:val="14"/>
              </w:rPr>
              <w:t>and</w:t>
            </w:r>
            <w:r>
              <w:rPr>
                <w:spacing w:val="-9"/>
                <w:sz w:val="14"/>
              </w:rPr>
              <w:t> </w:t>
            </w:r>
            <w:r>
              <w:rPr>
                <w:i/>
                <w:sz w:val="14"/>
              </w:rPr>
              <w:t>Banda</w:t>
            </w:r>
            <w:r>
              <w:rPr>
                <w:i/>
                <w:spacing w:val="40"/>
                <w:sz w:val="14"/>
              </w:rPr>
              <w:t> </w:t>
            </w:r>
            <w:r>
              <w:rPr>
                <w:sz w:val="14"/>
              </w:rPr>
              <w:t>(Darfur): 1 day</w:t>
            </w:r>
          </w:p>
        </w:tc>
        <w:tc>
          <w:tcPr>
            <w:tcW w:w="633" w:type="dxa"/>
            <w:tcBorders>
              <w:top w:val="single" w:sz="4" w:space="0" w:color="000000"/>
              <w:bottom w:val="single" w:sz="4" w:space="0" w:color="000000"/>
            </w:tcBorders>
          </w:tcPr>
          <w:p>
            <w:pPr>
              <w:pStyle w:val="TableParagraph"/>
              <w:spacing w:before="61"/>
              <w:ind w:right="27"/>
              <w:jc w:val="center"/>
              <w:rPr>
                <w:sz w:val="14"/>
              </w:rPr>
            </w:pPr>
            <w:r>
              <w:rPr>
                <w:w w:val="99"/>
                <w:sz w:val="14"/>
              </w:rPr>
              <w:t>0</w:t>
            </w:r>
          </w:p>
        </w:tc>
        <w:tc>
          <w:tcPr>
            <w:tcW w:w="511" w:type="dxa"/>
            <w:tcBorders>
              <w:top w:val="single" w:sz="4" w:space="0" w:color="000000"/>
              <w:bottom w:val="single" w:sz="4" w:space="0" w:color="000000"/>
            </w:tcBorders>
          </w:tcPr>
          <w:p>
            <w:pPr>
              <w:pStyle w:val="TableParagraph"/>
              <w:spacing w:before="61"/>
              <w:ind w:left="44" w:right="19"/>
              <w:jc w:val="center"/>
              <w:rPr>
                <w:sz w:val="14"/>
              </w:rPr>
            </w:pPr>
            <w:r>
              <w:rPr>
                <w:spacing w:val="-5"/>
                <w:sz w:val="14"/>
              </w:rPr>
              <w:t>71</w:t>
            </w:r>
          </w:p>
        </w:tc>
        <w:tc>
          <w:tcPr>
            <w:tcW w:w="954" w:type="dxa"/>
            <w:tcBorders>
              <w:top w:val="single" w:sz="4" w:space="0" w:color="000000"/>
              <w:bottom w:val="single" w:sz="4" w:space="0" w:color="000000"/>
            </w:tcBorders>
          </w:tcPr>
          <w:p>
            <w:pPr>
              <w:pStyle w:val="TableParagraph"/>
              <w:spacing w:before="61"/>
              <w:ind w:left="30" w:right="36"/>
              <w:jc w:val="left"/>
              <w:rPr>
                <w:sz w:val="14"/>
              </w:rPr>
            </w:pPr>
            <w:r>
              <w:rPr>
                <w:i/>
                <w:sz w:val="14"/>
              </w:rPr>
              <w:t>Al Hassan</w:t>
            </w:r>
            <w:r>
              <w:rPr>
                <w:sz w:val="14"/>
              </w:rPr>
              <w:t>: 48</w:t>
            </w:r>
            <w:r>
              <w:rPr>
                <w:spacing w:val="40"/>
                <w:sz w:val="14"/>
              </w:rPr>
              <w:t> </w:t>
            </w:r>
            <w:r>
              <w:rPr>
                <w:sz w:val="14"/>
              </w:rPr>
              <w:t>days;</w:t>
            </w:r>
            <w:r>
              <w:rPr>
                <w:spacing w:val="-9"/>
                <w:sz w:val="14"/>
              </w:rPr>
              <w:t> </w:t>
            </w:r>
            <w:r>
              <w:rPr>
                <w:i/>
                <w:sz w:val="14"/>
              </w:rPr>
              <w:t>Gbagbo</w:t>
            </w:r>
            <w:r>
              <w:rPr>
                <w:i/>
                <w:spacing w:val="40"/>
                <w:sz w:val="14"/>
              </w:rPr>
              <w:t> </w:t>
            </w:r>
            <w:r>
              <w:rPr>
                <w:i/>
                <w:sz w:val="14"/>
              </w:rPr>
              <w:t>and</w:t>
            </w:r>
            <w:r>
              <w:rPr>
                <w:i/>
                <w:spacing w:val="-9"/>
                <w:sz w:val="14"/>
              </w:rPr>
              <w:t> </w:t>
            </w:r>
            <w:r>
              <w:rPr>
                <w:i/>
                <w:sz w:val="14"/>
              </w:rPr>
              <w:t>Blé</w:t>
            </w:r>
            <w:r>
              <w:rPr>
                <w:i/>
                <w:spacing w:val="-9"/>
                <w:sz w:val="14"/>
              </w:rPr>
              <w:t> </w:t>
            </w:r>
            <w:r>
              <w:rPr>
                <w:i/>
                <w:sz w:val="14"/>
              </w:rPr>
              <w:t>Goudé</w:t>
            </w:r>
            <w:r>
              <w:rPr>
                <w:sz w:val="14"/>
              </w:rPr>
              <w:t>:</w:t>
            </w:r>
            <w:r>
              <w:rPr>
                <w:spacing w:val="40"/>
                <w:sz w:val="14"/>
              </w:rPr>
              <w:t> </w:t>
            </w:r>
            <w:r>
              <w:rPr>
                <w:sz w:val="14"/>
              </w:rPr>
              <w:t>4</w:t>
            </w:r>
            <w:r>
              <w:rPr>
                <w:spacing w:val="-6"/>
                <w:sz w:val="14"/>
              </w:rPr>
              <w:t> </w:t>
            </w:r>
            <w:r>
              <w:rPr>
                <w:sz w:val="14"/>
              </w:rPr>
              <w:t>days;</w:t>
            </w:r>
          </w:p>
          <w:p>
            <w:pPr>
              <w:pStyle w:val="TableParagraph"/>
              <w:ind w:left="30" w:right="47"/>
              <w:jc w:val="left"/>
              <w:rPr>
                <w:i/>
                <w:sz w:val="14"/>
              </w:rPr>
            </w:pPr>
            <w:r>
              <w:rPr>
                <w:i/>
                <w:sz w:val="14"/>
              </w:rPr>
              <w:t>Ongwen</w:t>
            </w:r>
            <w:r>
              <w:rPr>
                <w:sz w:val="14"/>
              </w:rPr>
              <w:t>:</w:t>
            </w:r>
            <w:r>
              <w:rPr>
                <w:spacing w:val="-9"/>
                <w:sz w:val="14"/>
              </w:rPr>
              <w:t> </w:t>
            </w:r>
            <w:r>
              <w:rPr>
                <w:sz w:val="14"/>
              </w:rPr>
              <w:t>3</w:t>
            </w:r>
            <w:r>
              <w:rPr>
                <w:spacing w:val="40"/>
                <w:sz w:val="14"/>
              </w:rPr>
              <w:t> </w:t>
            </w:r>
            <w:r>
              <w:rPr>
                <w:spacing w:val="-2"/>
                <w:sz w:val="14"/>
              </w:rPr>
              <w:t>days;</w:t>
            </w:r>
            <w:r>
              <w:rPr>
                <w:spacing w:val="40"/>
                <w:sz w:val="14"/>
              </w:rPr>
              <w:t> </w:t>
            </w:r>
            <w:r>
              <w:rPr>
                <w:i/>
                <w:sz w:val="14"/>
              </w:rPr>
              <w:t>Ntaganda</w:t>
            </w:r>
            <w:r>
              <w:rPr>
                <w:sz w:val="14"/>
              </w:rPr>
              <w:t>:</w:t>
            </w:r>
            <w:r>
              <w:rPr>
                <w:spacing w:val="-9"/>
                <w:sz w:val="14"/>
              </w:rPr>
              <w:t> </w:t>
            </w:r>
            <w:r>
              <w:rPr>
                <w:sz w:val="14"/>
              </w:rPr>
              <w:t>3</w:t>
            </w:r>
            <w:r>
              <w:rPr>
                <w:spacing w:val="40"/>
                <w:sz w:val="14"/>
              </w:rPr>
              <w:t> </w:t>
            </w:r>
            <w:r>
              <w:rPr>
                <w:sz w:val="14"/>
              </w:rPr>
              <w:t>days;</w:t>
            </w:r>
            <w:r>
              <w:rPr>
                <w:spacing w:val="-9"/>
                <w:sz w:val="14"/>
              </w:rPr>
              <w:t> </w:t>
            </w:r>
            <w:r>
              <w:rPr>
                <w:sz w:val="14"/>
              </w:rPr>
              <w:t>situation</w:t>
            </w:r>
            <w:r>
              <w:rPr>
                <w:spacing w:val="40"/>
                <w:sz w:val="14"/>
              </w:rPr>
              <w:t> </w:t>
            </w:r>
            <w:r>
              <w:rPr>
                <w:sz w:val="14"/>
              </w:rPr>
              <w:t>in</w:t>
            </w:r>
            <w:r>
              <w:rPr>
                <w:spacing w:val="-9"/>
                <w:sz w:val="14"/>
              </w:rPr>
              <w:t> </w:t>
            </w:r>
            <w:r>
              <w:rPr>
                <w:sz w:val="14"/>
              </w:rPr>
              <w:t>Afghanistan:</w:t>
            </w:r>
            <w:r>
              <w:rPr>
                <w:spacing w:val="40"/>
                <w:sz w:val="14"/>
              </w:rPr>
              <w:t> </w:t>
            </w:r>
            <w:r>
              <w:rPr>
                <w:sz w:val="14"/>
              </w:rPr>
              <w:t>1</w:t>
            </w:r>
            <w:r>
              <w:rPr>
                <w:spacing w:val="-1"/>
                <w:sz w:val="14"/>
              </w:rPr>
              <w:t> </w:t>
            </w:r>
            <w:r>
              <w:rPr>
                <w:sz w:val="14"/>
              </w:rPr>
              <w:t>day;</w:t>
            </w:r>
            <w:r>
              <w:rPr>
                <w:spacing w:val="-1"/>
                <w:sz w:val="14"/>
              </w:rPr>
              <w:t> </w:t>
            </w:r>
            <w:r>
              <w:rPr>
                <w:i/>
                <w:sz w:val="14"/>
              </w:rPr>
              <w:t>Abd-</w:t>
            </w:r>
            <w:r>
              <w:rPr>
                <w:i/>
                <w:spacing w:val="-5"/>
                <w:sz w:val="14"/>
              </w:rPr>
              <w:t>Al-</w:t>
            </w:r>
          </w:p>
          <w:p>
            <w:pPr>
              <w:pStyle w:val="TableParagraph"/>
              <w:spacing w:line="237" w:lineRule="auto" w:before="4"/>
              <w:ind w:left="30" w:right="36"/>
              <w:jc w:val="left"/>
              <w:rPr>
                <w:sz w:val="14"/>
              </w:rPr>
            </w:pPr>
            <w:r>
              <w:rPr>
                <w:i/>
                <w:sz w:val="14"/>
              </w:rPr>
              <w:t>Rahman:</w:t>
            </w:r>
            <w:r>
              <w:rPr>
                <w:i/>
                <w:spacing w:val="-4"/>
                <w:sz w:val="14"/>
              </w:rPr>
              <w:t> </w:t>
            </w:r>
            <w:r>
              <w:rPr>
                <w:sz w:val="14"/>
              </w:rPr>
              <w:t>4</w:t>
            </w:r>
            <w:r>
              <w:rPr>
                <w:spacing w:val="40"/>
                <w:sz w:val="14"/>
              </w:rPr>
              <w:t> </w:t>
            </w:r>
            <w:r>
              <w:rPr>
                <w:sz w:val="14"/>
              </w:rPr>
              <w:t>days;</w:t>
            </w:r>
            <w:r>
              <w:rPr>
                <w:spacing w:val="-9"/>
                <w:sz w:val="14"/>
              </w:rPr>
              <w:t> </w:t>
            </w:r>
            <w:r>
              <w:rPr>
                <w:i/>
                <w:sz w:val="14"/>
              </w:rPr>
              <w:t>Yekatom</w:t>
            </w:r>
            <w:r>
              <w:rPr>
                <w:i/>
                <w:spacing w:val="40"/>
                <w:sz w:val="14"/>
              </w:rPr>
              <w:t> </w:t>
            </w:r>
            <w:r>
              <w:rPr>
                <w:i/>
                <w:sz w:val="14"/>
              </w:rPr>
              <w:t>and</w:t>
            </w:r>
            <w:r>
              <w:rPr>
                <w:i/>
                <w:spacing w:val="-9"/>
                <w:sz w:val="14"/>
              </w:rPr>
              <w:t> </w:t>
            </w:r>
            <w:r>
              <w:rPr>
                <w:i/>
                <w:sz w:val="14"/>
              </w:rPr>
              <w:t>Ngaïssona</w:t>
            </w:r>
            <w:r>
              <w:rPr>
                <w:sz w:val="14"/>
              </w:rPr>
              <w:t>:</w:t>
            </w:r>
            <w:r>
              <w:rPr>
                <w:spacing w:val="40"/>
                <w:sz w:val="14"/>
              </w:rPr>
              <w:t> </w:t>
            </w:r>
            <w:r>
              <w:rPr>
                <w:sz w:val="14"/>
              </w:rPr>
              <w:t>1 day;</w:t>
            </w:r>
            <w:r>
              <w:rPr>
                <w:spacing w:val="-1"/>
                <w:sz w:val="14"/>
              </w:rPr>
              <w:t> </w:t>
            </w:r>
            <w:r>
              <w:rPr>
                <w:i/>
                <w:spacing w:val="-2"/>
                <w:sz w:val="14"/>
              </w:rPr>
              <w:t>Gicheru</w:t>
            </w:r>
            <w:r>
              <w:rPr>
                <w:spacing w:val="-2"/>
                <w:sz w:val="14"/>
              </w:rPr>
              <w:t>:</w:t>
            </w:r>
          </w:p>
          <w:p>
            <w:pPr>
              <w:pStyle w:val="TableParagraph"/>
              <w:spacing w:line="160" w:lineRule="exact" w:before="5"/>
              <w:ind w:left="30"/>
              <w:jc w:val="left"/>
              <w:rPr>
                <w:i/>
                <w:sz w:val="14"/>
              </w:rPr>
            </w:pPr>
            <w:r>
              <w:rPr>
                <w:sz w:val="14"/>
              </w:rPr>
              <w:t>1 day;</w:t>
            </w:r>
            <w:r>
              <w:rPr>
                <w:spacing w:val="-1"/>
                <w:sz w:val="14"/>
              </w:rPr>
              <w:t> </w:t>
            </w:r>
            <w:r>
              <w:rPr>
                <w:i/>
                <w:spacing w:val="-2"/>
                <w:sz w:val="14"/>
              </w:rPr>
              <w:t>Gaddafi:</w:t>
            </w:r>
          </w:p>
          <w:p>
            <w:pPr>
              <w:pStyle w:val="TableParagraph"/>
              <w:ind w:left="30" w:right="36"/>
              <w:jc w:val="left"/>
              <w:rPr>
                <w:sz w:val="14"/>
              </w:rPr>
            </w:pPr>
            <w:r>
              <w:rPr>
                <w:sz w:val="14"/>
              </w:rPr>
              <w:t>1</w:t>
            </w:r>
            <w:r>
              <w:rPr>
                <w:spacing w:val="-11"/>
                <w:sz w:val="14"/>
              </w:rPr>
              <w:t> </w:t>
            </w:r>
            <w:r>
              <w:rPr>
                <w:sz w:val="14"/>
              </w:rPr>
              <w:t>day;</w:t>
            </w:r>
            <w:r>
              <w:rPr>
                <w:spacing w:val="-9"/>
                <w:sz w:val="14"/>
              </w:rPr>
              <w:t> </w:t>
            </w:r>
            <w:r>
              <w:rPr>
                <w:sz w:val="14"/>
              </w:rPr>
              <w:t>5</w:t>
            </w:r>
            <w:r>
              <w:rPr>
                <w:spacing w:val="-9"/>
                <w:sz w:val="14"/>
              </w:rPr>
              <w:t> </w:t>
            </w:r>
            <w:r>
              <w:rPr>
                <w:sz w:val="14"/>
              </w:rPr>
              <w:t>days</w:t>
            </w:r>
            <w:r>
              <w:rPr>
                <w:spacing w:val="-8"/>
                <w:sz w:val="14"/>
              </w:rPr>
              <w:t> </w:t>
            </w:r>
            <w:r>
              <w:rPr>
                <w:sz w:val="14"/>
              </w:rPr>
              <w:t>in</w:t>
            </w:r>
            <w:r>
              <w:rPr>
                <w:spacing w:val="40"/>
                <w:sz w:val="14"/>
              </w:rPr>
              <w:t> </w:t>
            </w:r>
            <w:r>
              <w:rPr>
                <w:spacing w:val="-2"/>
                <w:sz w:val="14"/>
              </w:rPr>
              <w:t>other</w:t>
            </w:r>
            <w:r>
              <w:rPr>
                <w:spacing w:val="40"/>
                <w:sz w:val="14"/>
              </w:rPr>
              <w:t> </w:t>
            </w:r>
            <w:r>
              <w:rPr>
                <w:spacing w:val="-2"/>
                <w:sz w:val="14"/>
              </w:rPr>
              <w:t>proceedings,</w:t>
            </w:r>
            <w:r>
              <w:rPr>
                <w:spacing w:val="40"/>
                <w:sz w:val="14"/>
              </w:rPr>
              <w:t> </w:t>
            </w:r>
            <w:r>
              <w:rPr>
                <w:spacing w:val="-2"/>
                <w:sz w:val="14"/>
              </w:rPr>
              <w:t>closed</w:t>
            </w:r>
            <w:r>
              <w:rPr>
                <w:spacing w:val="40"/>
                <w:sz w:val="14"/>
              </w:rPr>
              <w:t> </w:t>
            </w:r>
            <w:r>
              <w:rPr>
                <w:spacing w:val="-2"/>
                <w:sz w:val="14"/>
              </w:rPr>
              <w:t>session/non-</w:t>
            </w:r>
            <w:r>
              <w:rPr>
                <w:spacing w:val="40"/>
                <w:sz w:val="14"/>
              </w:rPr>
              <w:t> </w:t>
            </w:r>
            <w:r>
              <w:rPr>
                <w:spacing w:val="-2"/>
                <w:sz w:val="14"/>
              </w:rPr>
              <w:t>public</w:t>
            </w:r>
          </w:p>
        </w:tc>
        <w:tc>
          <w:tcPr>
            <w:tcW w:w="614" w:type="dxa"/>
            <w:tcBorders>
              <w:top w:val="single" w:sz="4" w:space="0" w:color="000000"/>
              <w:bottom w:val="single" w:sz="4" w:space="0" w:color="000000"/>
            </w:tcBorders>
          </w:tcPr>
          <w:p>
            <w:pPr>
              <w:pStyle w:val="TableParagraph"/>
              <w:spacing w:before="61"/>
              <w:ind w:right="4"/>
              <w:jc w:val="center"/>
              <w:rPr>
                <w:sz w:val="14"/>
              </w:rPr>
            </w:pPr>
            <w:r>
              <w:rPr>
                <w:spacing w:val="-5"/>
                <w:sz w:val="14"/>
              </w:rPr>
              <w:t>200</w:t>
            </w:r>
          </w:p>
        </w:tc>
        <w:tc>
          <w:tcPr>
            <w:tcW w:w="468" w:type="dxa"/>
            <w:tcBorders>
              <w:top w:val="single" w:sz="4" w:space="0" w:color="000000"/>
              <w:bottom w:val="single" w:sz="4" w:space="0" w:color="000000"/>
            </w:tcBorders>
          </w:tcPr>
          <w:p>
            <w:pPr>
              <w:pStyle w:val="TableParagraph"/>
              <w:spacing w:before="61"/>
              <w:ind w:left="6"/>
              <w:jc w:val="center"/>
              <w:rPr>
                <w:sz w:val="14"/>
              </w:rPr>
            </w:pPr>
            <w:r>
              <w:rPr>
                <w:spacing w:val="-5"/>
                <w:sz w:val="14"/>
              </w:rPr>
              <w:t>218</w:t>
            </w:r>
          </w:p>
        </w:tc>
        <w:tc>
          <w:tcPr>
            <w:tcW w:w="1046" w:type="dxa"/>
            <w:tcBorders>
              <w:top w:val="single" w:sz="4" w:space="0" w:color="000000"/>
              <w:bottom w:val="single" w:sz="4" w:space="0" w:color="000000"/>
            </w:tcBorders>
          </w:tcPr>
          <w:p>
            <w:pPr>
              <w:pStyle w:val="TableParagraph"/>
              <w:spacing w:before="61"/>
              <w:ind w:left="6" w:right="50"/>
              <w:jc w:val="left"/>
              <w:rPr>
                <w:sz w:val="14"/>
              </w:rPr>
            </w:pPr>
            <w:r>
              <w:rPr>
                <w:i/>
                <w:sz w:val="14"/>
              </w:rPr>
              <w:t>Yekatom</w:t>
            </w:r>
            <w:r>
              <w:rPr>
                <w:i/>
                <w:spacing w:val="-9"/>
                <w:sz w:val="14"/>
              </w:rPr>
              <w:t> </w:t>
            </w:r>
            <w:r>
              <w:rPr>
                <w:i/>
                <w:sz w:val="14"/>
              </w:rPr>
              <w:t>and</w:t>
            </w:r>
            <w:r>
              <w:rPr>
                <w:i/>
                <w:spacing w:val="40"/>
                <w:sz w:val="14"/>
              </w:rPr>
              <w:t> </w:t>
            </w:r>
            <w:r>
              <w:rPr>
                <w:i/>
                <w:sz w:val="14"/>
              </w:rPr>
              <w:t>Ngaïssona</w:t>
            </w:r>
            <w:r>
              <w:rPr>
                <w:i/>
                <w:spacing w:val="-9"/>
                <w:sz w:val="14"/>
              </w:rPr>
              <w:t> </w:t>
            </w:r>
            <w:r>
              <w:rPr>
                <w:sz w:val="14"/>
              </w:rPr>
              <w:t>(CAR</w:t>
            </w:r>
            <w:r>
              <w:rPr>
                <w:spacing w:val="40"/>
                <w:sz w:val="14"/>
              </w:rPr>
              <w:t> </w:t>
            </w:r>
            <w:r>
              <w:rPr>
                <w:sz w:val="14"/>
              </w:rPr>
              <w:t>II.b): 78 days;</w:t>
            </w:r>
            <w:r>
              <w:rPr>
                <w:spacing w:val="40"/>
                <w:sz w:val="14"/>
              </w:rPr>
              <w:t> </w:t>
            </w:r>
            <w:r>
              <w:rPr>
                <w:i/>
                <w:sz w:val="14"/>
              </w:rPr>
              <w:t>Yekatom</w:t>
            </w:r>
            <w:r>
              <w:rPr>
                <w:i/>
                <w:spacing w:val="-8"/>
                <w:sz w:val="14"/>
              </w:rPr>
              <w:t> </w:t>
            </w:r>
            <w:r>
              <w:rPr>
                <w:sz w:val="14"/>
              </w:rPr>
              <w:t>(CAR</w:t>
            </w:r>
            <w:r>
              <w:rPr>
                <w:spacing w:val="40"/>
                <w:sz w:val="14"/>
              </w:rPr>
              <w:t> </w:t>
            </w:r>
            <w:r>
              <w:rPr>
                <w:sz w:val="14"/>
              </w:rPr>
              <w:t>II.b): 1 day; </w:t>
            </w:r>
            <w:r>
              <w:rPr>
                <w:i/>
                <w:sz w:val="14"/>
              </w:rPr>
              <w:t>Al</w:t>
            </w:r>
            <w:r>
              <w:rPr>
                <w:i/>
                <w:spacing w:val="40"/>
                <w:sz w:val="14"/>
              </w:rPr>
              <w:t> </w:t>
            </w:r>
            <w:r>
              <w:rPr>
                <w:i/>
                <w:sz w:val="14"/>
              </w:rPr>
              <w:t>Hassan</w:t>
            </w:r>
            <w:r>
              <w:rPr>
                <w:i/>
                <w:spacing w:val="-9"/>
                <w:sz w:val="14"/>
              </w:rPr>
              <w:t> </w:t>
            </w:r>
            <w:r>
              <w:rPr>
                <w:sz w:val="14"/>
              </w:rPr>
              <w:t>(Mali</w:t>
            </w:r>
            <w:r>
              <w:rPr>
                <w:spacing w:val="-9"/>
                <w:sz w:val="14"/>
              </w:rPr>
              <w:t> </w:t>
            </w:r>
            <w:r>
              <w:rPr>
                <w:sz w:val="14"/>
              </w:rPr>
              <w:t>II):</w:t>
            </w:r>
            <w:r>
              <w:rPr>
                <w:spacing w:val="40"/>
                <w:sz w:val="14"/>
              </w:rPr>
              <w:t> </w:t>
            </w:r>
            <w:r>
              <w:rPr>
                <w:sz w:val="14"/>
              </w:rPr>
              <w:t>109</w:t>
            </w:r>
            <w:r>
              <w:rPr>
                <w:spacing w:val="-6"/>
                <w:sz w:val="14"/>
              </w:rPr>
              <w:t> </w:t>
            </w:r>
            <w:r>
              <w:rPr>
                <w:sz w:val="14"/>
              </w:rPr>
              <w:t>days;</w:t>
            </w:r>
            <w:r>
              <w:rPr>
                <w:spacing w:val="40"/>
                <w:sz w:val="14"/>
              </w:rPr>
              <w:t> </w:t>
            </w:r>
            <w:r>
              <w:rPr>
                <w:i/>
                <w:spacing w:val="-2"/>
                <w:sz w:val="14"/>
              </w:rPr>
              <w:t>Gbagbo/Blé</w:t>
            </w:r>
            <w:r>
              <w:rPr>
                <w:i/>
                <w:spacing w:val="40"/>
                <w:sz w:val="14"/>
              </w:rPr>
              <w:t> </w:t>
            </w:r>
            <w:r>
              <w:rPr>
                <w:i/>
                <w:sz w:val="14"/>
              </w:rPr>
              <w:t>Goudé </w:t>
            </w:r>
            <w:r>
              <w:rPr>
                <w:sz w:val="14"/>
              </w:rPr>
              <w:t>(CIV): 2</w:t>
            </w:r>
            <w:r>
              <w:rPr>
                <w:spacing w:val="40"/>
                <w:sz w:val="14"/>
              </w:rPr>
              <w:t> </w:t>
            </w:r>
            <w:r>
              <w:rPr>
                <w:sz w:val="14"/>
              </w:rPr>
              <w:t>days;</w:t>
            </w:r>
            <w:r>
              <w:rPr>
                <w:spacing w:val="-9"/>
                <w:sz w:val="14"/>
              </w:rPr>
              <w:t> </w:t>
            </w:r>
            <w:r>
              <w:rPr>
                <w:i/>
                <w:sz w:val="14"/>
              </w:rPr>
              <w:t>Ntaganda</w:t>
            </w:r>
            <w:r>
              <w:rPr>
                <w:i/>
                <w:spacing w:val="40"/>
                <w:sz w:val="14"/>
              </w:rPr>
              <w:t> </w:t>
            </w:r>
            <w:r>
              <w:rPr>
                <w:sz w:val="14"/>
              </w:rPr>
              <w:t>(DRC): 1 day;</w:t>
            </w:r>
          </w:p>
          <w:p>
            <w:pPr>
              <w:pStyle w:val="TableParagraph"/>
              <w:spacing w:before="1"/>
              <w:ind w:left="6" w:right="22"/>
              <w:jc w:val="left"/>
              <w:rPr>
                <w:i/>
                <w:sz w:val="14"/>
              </w:rPr>
            </w:pPr>
            <w:r>
              <w:rPr>
                <w:i/>
                <w:spacing w:val="-2"/>
                <w:sz w:val="14"/>
              </w:rPr>
              <w:t>Ongwen</w:t>
            </w:r>
            <w:r>
              <w:rPr>
                <w:i/>
                <w:spacing w:val="40"/>
                <w:sz w:val="14"/>
              </w:rPr>
              <w:t> </w:t>
            </w:r>
            <w:r>
              <w:rPr>
                <w:sz w:val="14"/>
              </w:rPr>
              <w:t>(Uganda):</w:t>
            </w:r>
            <w:r>
              <w:rPr>
                <w:spacing w:val="-9"/>
                <w:sz w:val="14"/>
              </w:rPr>
              <w:t> </w:t>
            </w:r>
            <w:r>
              <w:rPr>
                <w:sz w:val="14"/>
              </w:rPr>
              <w:t>4</w:t>
            </w:r>
            <w:r>
              <w:rPr>
                <w:spacing w:val="-9"/>
                <w:sz w:val="14"/>
              </w:rPr>
              <w:t> </w:t>
            </w:r>
            <w:r>
              <w:rPr>
                <w:sz w:val="14"/>
              </w:rPr>
              <w:t>days;</w:t>
            </w:r>
            <w:r>
              <w:rPr>
                <w:spacing w:val="40"/>
                <w:sz w:val="14"/>
              </w:rPr>
              <w:t> </w:t>
            </w:r>
            <w:r>
              <w:rPr>
                <w:i/>
                <w:sz w:val="14"/>
              </w:rPr>
              <w:t>Gicheru</w:t>
            </w:r>
            <w:r>
              <w:rPr>
                <w:i/>
                <w:spacing w:val="-9"/>
                <w:sz w:val="14"/>
              </w:rPr>
              <w:t> </w:t>
            </w:r>
            <w:r>
              <w:rPr>
                <w:sz w:val="14"/>
              </w:rPr>
              <w:t>(Kenya):</w:t>
            </w:r>
            <w:r>
              <w:rPr>
                <w:spacing w:val="40"/>
                <w:sz w:val="14"/>
              </w:rPr>
              <w:t> </w:t>
            </w:r>
            <w:r>
              <w:rPr>
                <w:sz w:val="14"/>
              </w:rPr>
              <w:t>2 days; </w:t>
            </w:r>
            <w:r>
              <w:rPr>
                <w:i/>
                <w:sz w:val="14"/>
              </w:rPr>
              <w:t>Abd-Al-</w:t>
            </w:r>
            <w:r>
              <w:rPr>
                <w:i/>
                <w:spacing w:val="40"/>
                <w:sz w:val="14"/>
              </w:rPr>
              <w:t> </w:t>
            </w:r>
            <w:r>
              <w:rPr>
                <w:i/>
                <w:sz w:val="14"/>
              </w:rPr>
              <w:t>Rahman</w:t>
            </w:r>
            <w:r>
              <w:rPr>
                <w:i/>
                <w:spacing w:val="-9"/>
                <w:sz w:val="14"/>
              </w:rPr>
              <w:t> </w:t>
            </w:r>
            <w:r>
              <w:rPr>
                <w:sz w:val="14"/>
              </w:rPr>
              <w:t>(Darfur):</w:t>
            </w:r>
            <w:r>
              <w:rPr>
                <w:spacing w:val="40"/>
                <w:sz w:val="14"/>
              </w:rPr>
              <w:t> </w:t>
            </w:r>
            <w:r>
              <w:rPr>
                <w:sz w:val="14"/>
              </w:rPr>
              <w:t>14 days; </w:t>
            </w:r>
            <w:r>
              <w:rPr>
                <w:i/>
                <w:sz w:val="14"/>
              </w:rPr>
              <w:t>Said</w:t>
            </w:r>
          </w:p>
          <w:p>
            <w:pPr>
              <w:pStyle w:val="TableParagraph"/>
              <w:spacing w:line="160" w:lineRule="exact"/>
              <w:ind w:left="6"/>
              <w:jc w:val="left"/>
              <w:rPr>
                <w:sz w:val="14"/>
              </w:rPr>
            </w:pPr>
            <w:r>
              <w:rPr>
                <w:sz w:val="14"/>
              </w:rPr>
              <w:t>(CAR</w:t>
            </w:r>
            <w:r>
              <w:rPr>
                <w:spacing w:val="-6"/>
                <w:sz w:val="14"/>
              </w:rPr>
              <w:t> </w:t>
            </w:r>
            <w:r>
              <w:rPr>
                <w:sz w:val="14"/>
              </w:rPr>
              <w:t>II.a):</w:t>
            </w:r>
            <w:r>
              <w:rPr>
                <w:spacing w:val="-6"/>
                <w:sz w:val="14"/>
              </w:rPr>
              <w:t> </w:t>
            </w:r>
            <w:r>
              <w:rPr>
                <w:spacing w:val="-10"/>
                <w:sz w:val="14"/>
              </w:rPr>
              <w:t>6</w:t>
            </w:r>
          </w:p>
          <w:p>
            <w:pPr>
              <w:pStyle w:val="TableParagraph"/>
              <w:spacing w:line="160" w:lineRule="exact" w:before="2"/>
              <w:ind w:left="6"/>
              <w:jc w:val="left"/>
              <w:rPr>
                <w:i/>
                <w:sz w:val="14"/>
              </w:rPr>
            </w:pPr>
            <w:r>
              <w:rPr>
                <w:sz w:val="14"/>
              </w:rPr>
              <w:t>days;</w:t>
            </w:r>
            <w:r>
              <w:rPr>
                <w:spacing w:val="-3"/>
                <w:sz w:val="14"/>
              </w:rPr>
              <w:t> </w:t>
            </w:r>
            <w:r>
              <w:rPr>
                <w:i/>
                <w:sz w:val="14"/>
              </w:rPr>
              <w:t>Al</w:t>
            </w:r>
            <w:r>
              <w:rPr>
                <w:i/>
                <w:spacing w:val="-3"/>
                <w:sz w:val="14"/>
              </w:rPr>
              <w:t> </w:t>
            </w:r>
            <w:r>
              <w:rPr>
                <w:i/>
                <w:spacing w:val="-2"/>
                <w:sz w:val="14"/>
              </w:rPr>
              <w:t>Mahdi</w:t>
            </w:r>
          </w:p>
          <w:p>
            <w:pPr>
              <w:pStyle w:val="TableParagraph"/>
              <w:spacing w:line="160" w:lineRule="exact"/>
              <w:ind w:left="6"/>
              <w:jc w:val="left"/>
              <w:rPr>
                <w:sz w:val="14"/>
              </w:rPr>
            </w:pPr>
            <w:r>
              <w:rPr>
                <w:sz w:val="14"/>
              </w:rPr>
              <w:t>(Mali):</w:t>
            </w:r>
            <w:r>
              <w:rPr>
                <w:spacing w:val="-4"/>
                <w:sz w:val="14"/>
              </w:rPr>
              <w:t> </w:t>
            </w:r>
            <w:r>
              <w:rPr>
                <w:sz w:val="14"/>
              </w:rPr>
              <w:t>1</w:t>
            </w:r>
            <w:r>
              <w:rPr>
                <w:spacing w:val="-2"/>
                <w:sz w:val="14"/>
              </w:rPr>
              <w:t> </w:t>
            </w:r>
            <w:r>
              <w:rPr>
                <w:spacing w:val="-5"/>
                <w:sz w:val="14"/>
              </w:rPr>
              <w:t>day</w:t>
            </w:r>
          </w:p>
        </w:tc>
        <w:tc>
          <w:tcPr>
            <w:tcW w:w="589" w:type="dxa"/>
            <w:tcBorders>
              <w:top w:val="single" w:sz="4" w:space="0" w:color="000000"/>
              <w:bottom w:val="single" w:sz="4" w:space="0" w:color="000000"/>
            </w:tcBorders>
          </w:tcPr>
          <w:p>
            <w:pPr>
              <w:pStyle w:val="TableParagraph"/>
              <w:spacing w:before="61"/>
              <w:ind w:left="23" w:right="6"/>
              <w:jc w:val="center"/>
              <w:rPr>
                <w:sz w:val="14"/>
              </w:rPr>
            </w:pPr>
            <w:r>
              <w:rPr>
                <w:spacing w:val="-5"/>
                <w:sz w:val="14"/>
              </w:rPr>
              <w:t>421</w:t>
            </w:r>
          </w:p>
        </w:tc>
        <w:tc>
          <w:tcPr>
            <w:tcW w:w="1201" w:type="dxa"/>
            <w:tcBorders>
              <w:top w:val="single" w:sz="4" w:space="0" w:color="000000"/>
              <w:bottom w:val="single" w:sz="4" w:space="0" w:color="000000"/>
            </w:tcBorders>
          </w:tcPr>
          <w:p>
            <w:pPr>
              <w:pStyle w:val="TableParagraph"/>
              <w:spacing w:before="3"/>
              <w:ind w:left="18" w:right="106"/>
              <w:jc w:val="left"/>
              <w:rPr>
                <w:i/>
                <w:sz w:val="14"/>
              </w:rPr>
            </w:pPr>
            <w:r>
              <w:rPr>
                <w:i/>
                <w:sz w:val="14"/>
              </w:rPr>
              <w:t>Yekatom</w:t>
            </w:r>
            <w:r>
              <w:rPr>
                <w:i/>
                <w:spacing w:val="-9"/>
                <w:sz w:val="14"/>
              </w:rPr>
              <w:t> </w:t>
            </w:r>
            <w:r>
              <w:rPr>
                <w:i/>
                <w:sz w:val="14"/>
              </w:rPr>
              <w:t>and</w:t>
            </w:r>
            <w:r>
              <w:rPr>
                <w:i/>
                <w:spacing w:val="40"/>
                <w:sz w:val="14"/>
              </w:rPr>
              <w:t> </w:t>
            </w:r>
            <w:r>
              <w:rPr>
                <w:i/>
                <w:sz w:val="14"/>
              </w:rPr>
              <w:t>Ngaïssona</w:t>
            </w:r>
            <w:r>
              <w:rPr>
                <w:i/>
                <w:spacing w:val="-2"/>
                <w:sz w:val="14"/>
              </w:rPr>
              <w:t> </w:t>
            </w:r>
            <w:r>
              <w:rPr>
                <w:sz w:val="14"/>
              </w:rPr>
              <w:t>(CAR</w:t>
            </w:r>
            <w:r>
              <w:rPr>
                <w:spacing w:val="40"/>
                <w:sz w:val="14"/>
              </w:rPr>
              <w:t> </w:t>
            </w:r>
            <w:r>
              <w:rPr>
                <w:sz w:val="14"/>
              </w:rPr>
              <w:t>II.b):</w:t>
            </w:r>
            <w:r>
              <w:rPr>
                <w:spacing w:val="-6"/>
                <w:sz w:val="14"/>
              </w:rPr>
              <w:t> </w:t>
            </w:r>
            <w:r>
              <w:rPr>
                <w:sz w:val="14"/>
              </w:rPr>
              <w:t>154</w:t>
            </w:r>
            <w:r>
              <w:rPr>
                <w:spacing w:val="-4"/>
                <w:sz w:val="14"/>
              </w:rPr>
              <w:t> </w:t>
            </w:r>
            <w:r>
              <w:rPr>
                <w:sz w:val="14"/>
              </w:rPr>
              <w:t>days;</w:t>
            </w:r>
            <w:r>
              <w:rPr>
                <w:spacing w:val="-4"/>
                <w:sz w:val="14"/>
              </w:rPr>
              <w:t> </w:t>
            </w:r>
            <w:r>
              <w:rPr>
                <w:i/>
                <w:sz w:val="14"/>
              </w:rPr>
              <w:t>Al</w:t>
            </w:r>
            <w:r>
              <w:rPr>
                <w:i/>
                <w:spacing w:val="40"/>
                <w:sz w:val="14"/>
              </w:rPr>
              <w:t> </w:t>
            </w:r>
            <w:r>
              <w:rPr>
                <w:i/>
                <w:sz w:val="14"/>
              </w:rPr>
              <w:t>Hassan </w:t>
            </w:r>
            <w:r>
              <w:rPr>
                <w:sz w:val="14"/>
              </w:rPr>
              <w:t>(Mali II):</w:t>
            </w:r>
            <w:r>
              <w:rPr>
                <w:spacing w:val="40"/>
                <w:sz w:val="14"/>
              </w:rPr>
              <w:t> </w:t>
            </w:r>
            <w:r>
              <w:rPr>
                <w:sz w:val="14"/>
              </w:rPr>
              <w:t>126</w:t>
            </w:r>
            <w:r>
              <w:rPr>
                <w:spacing w:val="-3"/>
                <w:sz w:val="14"/>
              </w:rPr>
              <w:t> </w:t>
            </w:r>
            <w:r>
              <w:rPr>
                <w:sz w:val="14"/>
              </w:rPr>
              <w:t>days;</w:t>
            </w:r>
            <w:r>
              <w:rPr>
                <w:spacing w:val="-3"/>
                <w:sz w:val="14"/>
              </w:rPr>
              <w:t> </w:t>
            </w:r>
            <w:r>
              <w:rPr>
                <w:i/>
                <w:spacing w:val="-2"/>
                <w:sz w:val="14"/>
              </w:rPr>
              <w:t>Ongwen</w:t>
            </w:r>
          </w:p>
          <w:p>
            <w:pPr>
              <w:pStyle w:val="TableParagraph"/>
              <w:spacing w:line="242" w:lineRule="auto"/>
              <w:ind w:left="18" w:right="106"/>
              <w:jc w:val="left"/>
              <w:rPr>
                <w:sz w:val="14"/>
              </w:rPr>
            </w:pPr>
            <w:r>
              <w:rPr>
                <w:sz w:val="14"/>
              </w:rPr>
              <w:t>(Uganda):</w:t>
            </w:r>
            <w:r>
              <w:rPr>
                <w:spacing w:val="-9"/>
                <w:sz w:val="14"/>
              </w:rPr>
              <w:t> </w:t>
            </w:r>
            <w:r>
              <w:rPr>
                <w:sz w:val="14"/>
              </w:rPr>
              <w:t>15</w:t>
            </w:r>
            <w:r>
              <w:rPr>
                <w:spacing w:val="-9"/>
                <w:sz w:val="14"/>
              </w:rPr>
              <w:t> </w:t>
            </w:r>
            <w:r>
              <w:rPr>
                <w:sz w:val="14"/>
              </w:rPr>
              <w:t>days;</w:t>
            </w:r>
            <w:r>
              <w:rPr>
                <w:spacing w:val="40"/>
                <w:sz w:val="14"/>
              </w:rPr>
              <w:t> </w:t>
            </w:r>
            <w:r>
              <w:rPr>
                <w:i/>
                <w:spacing w:val="-2"/>
                <w:sz w:val="14"/>
              </w:rPr>
              <w:t>Abd-Al-Rahman</w:t>
            </w:r>
            <w:r>
              <w:rPr>
                <w:i/>
                <w:spacing w:val="40"/>
                <w:sz w:val="14"/>
              </w:rPr>
              <w:t> </w:t>
            </w:r>
            <w:r>
              <w:rPr>
                <w:sz w:val="14"/>
              </w:rPr>
              <w:t>(Darfur): 95 days;</w:t>
            </w:r>
            <w:r>
              <w:rPr>
                <w:spacing w:val="40"/>
                <w:sz w:val="14"/>
              </w:rPr>
              <w:t> </w:t>
            </w:r>
            <w:r>
              <w:rPr>
                <w:sz w:val="14"/>
              </w:rPr>
              <w:t>and</w:t>
            </w:r>
            <w:r>
              <w:rPr>
                <w:spacing w:val="-4"/>
                <w:sz w:val="14"/>
              </w:rPr>
              <w:t> </w:t>
            </w:r>
            <w:r>
              <w:rPr>
                <w:i/>
                <w:sz w:val="14"/>
              </w:rPr>
              <w:t>Gicheru</w:t>
            </w:r>
            <w:r>
              <w:rPr>
                <w:i/>
                <w:spacing w:val="40"/>
                <w:sz w:val="14"/>
              </w:rPr>
              <w:t> </w:t>
            </w:r>
            <w:r>
              <w:rPr>
                <w:sz w:val="14"/>
              </w:rPr>
              <w:t>(Kenya): 30 days</w:t>
            </w:r>
          </w:p>
        </w:tc>
        <w:tc>
          <w:tcPr>
            <w:tcW w:w="597" w:type="dxa"/>
            <w:tcBorders>
              <w:top w:val="single" w:sz="4" w:space="0" w:color="000000"/>
              <w:bottom w:val="single" w:sz="4" w:space="0" w:color="000000"/>
            </w:tcBorders>
          </w:tcPr>
          <w:p>
            <w:pPr>
              <w:pStyle w:val="TableParagraph"/>
              <w:spacing w:before="61"/>
              <w:ind w:left="26" w:right="6"/>
              <w:jc w:val="center"/>
              <w:rPr>
                <w:sz w:val="14"/>
              </w:rPr>
            </w:pPr>
            <w:r>
              <w:rPr>
                <w:spacing w:val="-5"/>
                <w:sz w:val="14"/>
              </w:rPr>
              <w:t>400</w:t>
            </w:r>
          </w:p>
        </w:tc>
        <w:tc>
          <w:tcPr>
            <w:tcW w:w="1010" w:type="dxa"/>
            <w:tcBorders>
              <w:top w:val="single" w:sz="4" w:space="0" w:color="000000"/>
              <w:bottom w:val="single" w:sz="4" w:space="0" w:color="000000"/>
            </w:tcBorders>
          </w:tcPr>
          <w:p>
            <w:pPr>
              <w:pStyle w:val="TableParagraph"/>
              <w:spacing w:before="61"/>
              <w:ind w:left="21" w:right="26"/>
              <w:jc w:val="left"/>
              <w:rPr>
                <w:sz w:val="14"/>
              </w:rPr>
            </w:pPr>
            <w:r>
              <w:rPr>
                <w:i/>
                <w:sz w:val="14"/>
              </w:rPr>
              <w:t>Yekatom</w:t>
            </w:r>
            <w:r>
              <w:rPr>
                <w:i/>
                <w:spacing w:val="-9"/>
                <w:sz w:val="14"/>
              </w:rPr>
              <w:t> </w:t>
            </w:r>
            <w:r>
              <w:rPr>
                <w:i/>
                <w:sz w:val="14"/>
              </w:rPr>
              <w:t>and</w:t>
            </w:r>
            <w:r>
              <w:rPr>
                <w:i/>
                <w:spacing w:val="40"/>
                <w:sz w:val="14"/>
              </w:rPr>
              <w:t> </w:t>
            </w:r>
            <w:r>
              <w:rPr>
                <w:i/>
                <w:sz w:val="14"/>
              </w:rPr>
              <w:t>Ngaïssona</w:t>
            </w:r>
            <w:r>
              <w:rPr>
                <w:i/>
                <w:spacing w:val="-9"/>
                <w:sz w:val="14"/>
              </w:rPr>
              <w:t> </w:t>
            </w:r>
            <w:r>
              <w:rPr>
                <w:sz w:val="14"/>
              </w:rPr>
              <w:t>(CAR</w:t>
            </w:r>
            <w:r>
              <w:rPr>
                <w:spacing w:val="40"/>
                <w:sz w:val="14"/>
              </w:rPr>
              <w:t> </w:t>
            </w:r>
            <w:r>
              <w:rPr>
                <w:sz w:val="14"/>
              </w:rPr>
              <w:t>II.b): 130 days;</w:t>
            </w:r>
            <w:r>
              <w:rPr>
                <w:spacing w:val="40"/>
                <w:sz w:val="14"/>
              </w:rPr>
              <w:t> </w:t>
            </w:r>
            <w:r>
              <w:rPr>
                <w:i/>
                <w:spacing w:val="-2"/>
                <w:sz w:val="14"/>
              </w:rPr>
              <w:t>Abd-Al-Rahman</w:t>
            </w:r>
            <w:r>
              <w:rPr>
                <w:i/>
                <w:spacing w:val="40"/>
                <w:sz w:val="14"/>
              </w:rPr>
              <w:t> </w:t>
            </w:r>
            <w:r>
              <w:rPr>
                <w:sz w:val="14"/>
              </w:rPr>
              <w:t>(Darfur):</w:t>
            </w:r>
            <w:r>
              <w:rPr>
                <w:spacing w:val="-9"/>
                <w:sz w:val="14"/>
              </w:rPr>
              <w:t> </w:t>
            </w:r>
            <w:r>
              <w:rPr>
                <w:sz w:val="14"/>
              </w:rPr>
              <w:t>130</w:t>
            </w:r>
            <w:r>
              <w:rPr>
                <w:spacing w:val="40"/>
                <w:sz w:val="14"/>
              </w:rPr>
              <w:t> </w:t>
            </w:r>
            <w:r>
              <w:rPr>
                <w:sz w:val="14"/>
              </w:rPr>
              <w:t>days;</w:t>
            </w:r>
            <w:r>
              <w:rPr>
                <w:spacing w:val="-9"/>
                <w:sz w:val="14"/>
              </w:rPr>
              <w:t> </w:t>
            </w:r>
            <w:r>
              <w:rPr>
                <w:i/>
                <w:sz w:val="14"/>
              </w:rPr>
              <w:t>Said</w:t>
            </w:r>
            <w:r>
              <w:rPr>
                <w:i/>
                <w:spacing w:val="-9"/>
                <w:sz w:val="14"/>
              </w:rPr>
              <w:t> </w:t>
            </w:r>
            <w:r>
              <w:rPr>
                <w:sz w:val="14"/>
              </w:rPr>
              <w:t>(CAR</w:t>
            </w:r>
            <w:r>
              <w:rPr>
                <w:spacing w:val="40"/>
                <w:sz w:val="14"/>
              </w:rPr>
              <w:t> </w:t>
            </w:r>
            <w:r>
              <w:rPr>
                <w:sz w:val="14"/>
              </w:rPr>
              <w:t>II.a): 130 days;</w:t>
            </w:r>
            <w:r>
              <w:rPr>
                <w:spacing w:val="40"/>
                <w:sz w:val="14"/>
              </w:rPr>
              <w:t> </w:t>
            </w:r>
            <w:r>
              <w:rPr>
                <w:sz w:val="14"/>
              </w:rPr>
              <w:t>and</w:t>
            </w:r>
            <w:r>
              <w:rPr>
                <w:spacing w:val="-4"/>
                <w:sz w:val="14"/>
              </w:rPr>
              <w:t> </w:t>
            </w:r>
            <w:r>
              <w:rPr>
                <w:i/>
                <w:sz w:val="14"/>
              </w:rPr>
              <w:t>Mokom</w:t>
            </w:r>
            <w:r>
              <w:rPr>
                <w:i/>
                <w:spacing w:val="40"/>
                <w:sz w:val="14"/>
              </w:rPr>
              <w:t> </w:t>
            </w:r>
            <w:r>
              <w:rPr>
                <w:sz w:val="14"/>
              </w:rPr>
              <w:t>(CAR II.b): 10</w:t>
            </w:r>
          </w:p>
          <w:p>
            <w:pPr>
              <w:pStyle w:val="TableParagraph"/>
              <w:spacing w:before="1"/>
              <w:ind w:left="21"/>
              <w:jc w:val="left"/>
              <w:rPr>
                <w:sz w:val="14"/>
              </w:rPr>
            </w:pPr>
            <w:r>
              <w:rPr>
                <w:spacing w:val="-4"/>
                <w:sz w:val="14"/>
              </w:rPr>
              <w:t>days</w:t>
            </w:r>
          </w:p>
        </w:tc>
      </w:tr>
      <w:tr>
        <w:trPr>
          <w:trHeight w:val="3341" w:hRule="atLeast"/>
        </w:trPr>
        <w:tc>
          <w:tcPr>
            <w:tcW w:w="174" w:type="dxa"/>
            <w:tcBorders>
              <w:top w:val="single" w:sz="4" w:space="0" w:color="000000"/>
              <w:bottom w:val="single" w:sz="4" w:space="0" w:color="000000"/>
            </w:tcBorders>
          </w:tcPr>
          <w:p>
            <w:pPr>
              <w:pStyle w:val="TableParagraph"/>
              <w:spacing w:before="61"/>
              <w:jc w:val="left"/>
              <w:rPr>
                <w:sz w:val="14"/>
              </w:rPr>
            </w:pPr>
            <w:r>
              <w:rPr>
                <w:w w:val="99"/>
                <w:sz w:val="14"/>
              </w:rPr>
              <w:t>2</w:t>
            </w:r>
          </w:p>
        </w:tc>
        <w:tc>
          <w:tcPr>
            <w:tcW w:w="786" w:type="dxa"/>
            <w:tcBorders>
              <w:top w:val="single" w:sz="4" w:space="0" w:color="000000"/>
              <w:bottom w:val="single" w:sz="4" w:space="0" w:color="000000"/>
            </w:tcBorders>
          </w:tcPr>
          <w:p>
            <w:pPr>
              <w:pStyle w:val="TableParagraph"/>
              <w:spacing w:line="237" w:lineRule="auto" w:before="63"/>
              <w:ind w:left="104" w:right="67"/>
              <w:jc w:val="left"/>
              <w:rPr>
                <w:sz w:val="14"/>
              </w:rPr>
            </w:pPr>
            <w:r>
              <w:rPr>
                <w:sz w:val="14"/>
              </w:rPr>
              <w:t>Number</w:t>
            </w:r>
            <w:r>
              <w:rPr>
                <w:spacing w:val="-9"/>
                <w:sz w:val="14"/>
              </w:rPr>
              <w:t> </w:t>
            </w:r>
            <w:r>
              <w:rPr>
                <w:sz w:val="14"/>
              </w:rPr>
              <w:t>of</w:t>
            </w:r>
            <w:r>
              <w:rPr>
                <w:spacing w:val="40"/>
                <w:sz w:val="14"/>
              </w:rPr>
              <w:t> </w:t>
            </w:r>
            <w:r>
              <w:rPr>
                <w:spacing w:val="-2"/>
                <w:sz w:val="14"/>
              </w:rPr>
              <w:t>situations</w:t>
            </w:r>
            <w:r>
              <w:rPr>
                <w:spacing w:val="40"/>
                <w:sz w:val="14"/>
              </w:rPr>
              <w:t> </w:t>
            </w:r>
            <w:r>
              <w:rPr>
                <w:spacing w:val="-2"/>
                <w:sz w:val="14"/>
              </w:rPr>
              <w:t>under</w:t>
            </w:r>
            <w:r>
              <w:rPr>
                <w:spacing w:val="40"/>
                <w:sz w:val="14"/>
              </w:rPr>
              <w:t> </w:t>
            </w:r>
            <w:r>
              <w:rPr>
                <w:spacing w:val="-2"/>
                <w:sz w:val="14"/>
              </w:rPr>
              <w:t>investiga-</w:t>
            </w:r>
            <w:r>
              <w:rPr>
                <w:spacing w:val="40"/>
                <w:sz w:val="14"/>
              </w:rPr>
              <w:t> </w:t>
            </w:r>
            <w:r>
              <w:rPr>
                <w:spacing w:val="-4"/>
                <w:sz w:val="14"/>
              </w:rPr>
              <w:t>tion</w:t>
            </w:r>
          </w:p>
        </w:tc>
        <w:tc>
          <w:tcPr>
            <w:tcW w:w="601" w:type="dxa"/>
            <w:tcBorders>
              <w:top w:val="single" w:sz="4" w:space="0" w:color="000000"/>
              <w:bottom w:val="single" w:sz="4" w:space="0" w:color="000000"/>
            </w:tcBorders>
          </w:tcPr>
          <w:p>
            <w:pPr>
              <w:pStyle w:val="TableParagraph"/>
              <w:spacing w:before="61"/>
              <w:ind w:right="219"/>
              <w:rPr>
                <w:sz w:val="14"/>
              </w:rPr>
            </w:pPr>
            <w:r>
              <w:rPr>
                <w:spacing w:val="-5"/>
                <w:sz w:val="14"/>
              </w:rPr>
              <w:t>11</w:t>
            </w:r>
          </w:p>
        </w:tc>
        <w:tc>
          <w:tcPr>
            <w:tcW w:w="466" w:type="dxa"/>
            <w:tcBorders>
              <w:top w:val="single" w:sz="4" w:space="0" w:color="000000"/>
              <w:bottom w:val="single" w:sz="4" w:space="0" w:color="000000"/>
            </w:tcBorders>
          </w:tcPr>
          <w:p>
            <w:pPr>
              <w:pStyle w:val="TableParagraph"/>
              <w:spacing w:before="61"/>
              <w:ind w:left="25" w:right="2"/>
              <w:jc w:val="center"/>
              <w:rPr>
                <w:sz w:val="14"/>
              </w:rPr>
            </w:pPr>
            <w:r>
              <w:rPr>
                <w:spacing w:val="-5"/>
                <w:sz w:val="14"/>
              </w:rPr>
              <w:t>12</w:t>
            </w:r>
          </w:p>
        </w:tc>
        <w:tc>
          <w:tcPr>
            <w:tcW w:w="1125" w:type="dxa"/>
            <w:tcBorders>
              <w:top w:val="single" w:sz="4" w:space="0" w:color="000000"/>
              <w:bottom w:val="single" w:sz="4" w:space="0" w:color="000000"/>
            </w:tcBorders>
          </w:tcPr>
          <w:p>
            <w:pPr>
              <w:pStyle w:val="TableParagraph"/>
              <w:spacing w:line="235" w:lineRule="auto" w:before="64"/>
              <w:ind w:left="14" w:right="167"/>
              <w:jc w:val="left"/>
              <w:rPr>
                <w:sz w:val="14"/>
              </w:rPr>
            </w:pPr>
            <w:r>
              <w:rPr>
                <w:sz w:val="14"/>
              </w:rPr>
              <w:t>Burundi;</w:t>
            </w:r>
            <w:r>
              <w:rPr>
                <w:spacing w:val="-9"/>
                <w:sz w:val="14"/>
              </w:rPr>
              <w:t> </w:t>
            </w:r>
            <w:r>
              <w:rPr>
                <w:sz w:val="14"/>
              </w:rPr>
              <w:t>CAR</w:t>
            </w:r>
            <w:r>
              <w:rPr>
                <w:spacing w:val="-9"/>
                <w:sz w:val="14"/>
              </w:rPr>
              <w:t> </w:t>
            </w:r>
            <w:r>
              <w:rPr>
                <w:sz w:val="14"/>
              </w:rPr>
              <w:t>I;</w:t>
            </w:r>
            <w:r>
              <w:rPr>
                <w:spacing w:val="40"/>
                <w:sz w:val="14"/>
              </w:rPr>
              <w:t> </w:t>
            </w:r>
            <w:r>
              <w:rPr>
                <w:sz w:val="14"/>
              </w:rPr>
              <w:t>CAR II; CIV;</w:t>
            </w:r>
          </w:p>
          <w:p>
            <w:pPr>
              <w:pStyle w:val="TableParagraph"/>
              <w:spacing w:before="3"/>
              <w:ind w:left="14" w:right="170"/>
              <w:jc w:val="left"/>
              <w:rPr>
                <w:sz w:val="14"/>
              </w:rPr>
            </w:pPr>
            <w:r>
              <w:rPr>
                <w:sz w:val="14"/>
              </w:rPr>
              <w:t>DRC;</w:t>
            </w:r>
            <w:r>
              <w:rPr>
                <w:spacing w:val="-9"/>
                <w:sz w:val="14"/>
              </w:rPr>
              <w:t> </w:t>
            </w:r>
            <w:r>
              <w:rPr>
                <w:sz w:val="14"/>
              </w:rPr>
              <w:t>Darfur;</w:t>
            </w:r>
            <w:r>
              <w:rPr>
                <w:spacing w:val="40"/>
                <w:sz w:val="14"/>
              </w:rPr>
              <w:t> </w:t>
            </w:r>
            <w:r>
              <w:rPr>
                <w:sz w:val="14"/>
              </w:rPr>
              <w:t>Georgia;</w:t>
            </w:r>
            <w:r>
              <w:rPr>
                <w:spacing w:val="-9"/>
                <w:sz w:val="14"/>
              </w:rPr>
              <w:t> </w:t>
            </w:r>
            <w:r>
              <w:rPr>
                <w:sz w:val="14"/>
              </w:rPr>
              <w:t>Kenya;</w:t>
            </w:r>
            <w:r>
              <w:rPr>
                <w:spacing w:val="40"/>
                <w:sz w:val="14"/>
              </w:rPr>
              <w:t> </w:t>
            </w:r>
            <w:r>
              <w:rPr>
                <w:sz w:val="14"/>
              </w:rPr>
              <w:t>Libya;</w:t>
            </w:r>
            <w:r>
              <w:rPr>
                <w:spacing w:val="-9"/>
                <w:sz w:val="14"/>
              </w:rPr>
              <w:t> </w:t>
            </w:r>
            <w:r>
              <w:rPr>
                <w:sz w:val="14"/>
              </w:rPr>
              <w:t>Mali;</w:t>
            </w:r>
            <w:r>
              <w:rPr>
                <w:spacing w:val="40"/>
                <w:sz w:val="14"/>
              </w:rPr>
              <w:t> </w:t>
            </w:r>
            <w:r>
              <w:rPr>
                <w:sz w:val="14"/>
              </w:rPr>
              <w:t>Uganda;</w:t>
            </w:r>
            <w:r>
              <w:rPr>
                <w:spacing w:val="-9"/>
                <w:sz w:val="14"/>
              </w:rPr>
              <w:t> </w:t>
            </w:r>
            <w:r>
              <w:rPr>
                <w:sz w:val="14"/>
              </w:rPr>
              <w:t>and</w:t>
            </w:r>
            <w:r>
              <w:rPr>
                <w:spacing w:val="40"/>
                <w:sz w:val="14"/>
              </w:rPr>
              <w:t> </w:t>
            </w:r>
            <w:r>
              <w:rPr>
                <w:spacing w:val="-2"/>
                <w:sz w:val="14"/>
              </w:rPr>
              <w:t>Bangladesh/</w:t>
            </w:r>
            <w:r>
              <w:rPr>
                <w:spacing w:val="40"/>
                <w:sz w:val="14"/>
              </w:rPr>
              <w:t> </w:t>
            </w:r>
            <w:r>
              <w:rPr>
                <w:spacing w:val="-2"/>
                <w:sz w:val="14"/>
              </w:rPr>
              <w:t>Myanmar</w:t>
            </w:r>
          </w:p>
        </w:tc>
        <w:tc>
          <w:tcPr>
            <w:tcW w:w="633" w:type="dxa"/>
            <w:tcBorders>
              <w:top w:val="single" w:sz="4" w:space="0" w:color="000000"/>
              <w:bottom w:val="single" w:sz="4" w:space="0" w:color="000000"/>
            </w:tcBorders>
          </w:tcPr>
          <w:p>
            <w:pPr>
              <w:pStyle w:val="TableParagraph"/>
              <w:spacing w:before="61"/>
              <w:ind w:left="20" w:right="40"/>
              <w:jc w:val="center"/>
              <w:rPr>
                <w:sz w:val="14"/>
              </w:rPr>
            </w:pPr>
            <w:r>
              <w:rPr>
                <w:spacing w:val="-5"/>
                <w:sz w:val="14"/>
              </w:rPr>
              <w:t>11</w:t>
            </w:r>
          </w:p>
        </w:tc>
        <w:tc>
          <w:tcPr>
            <w:tcW w:w="511" w:type="dxa"/>
            <w:tcBorders>
              <w:top w:val="single" w:sz="4" w:space="0" w:color="000000"/>
              <w:bottom w:val="single" w:sz="4" w:space="0" w:color="000000"/>
            </w:tcBorders>
          </w:tcPr>
          <w:p>
            <w:pPr>
              <w:pStyle w:val="TableParagraph"/>
              <w:spacing w:before="61"/>
              <w:ind w:left="44" w:right="19"/>
              <w:jc w:val="center"/>
              <w:rPr>
                <w:sz w:val="14"/>
              </w:rPr>
            </w:pPr>
            <w:r>
              <w:rPr>
                <w:spacing w:val="-5"/>
                <w:sz w:val="14"/>
              </w:rPr>
              <w:t>13</w:t>
            </w:r>
          </w:p>
        </w:tc>
        <w:tc>
          <w:tcPr>
            <w:tcW w:w="954" w:type="dxa"/>
            <w:tcBorders>
              <w:top w:val="single" w:sz="4" w:space="0" w:color="000000"/>
              <w:bottom w:val="single" w:sz="4" w:space="0" w:color="000000"/>
            </w:tcBorders>
          </w:tcPr>
          <w:p>
            <w:pPr>
              <w:pStyle w:val="TableParagraph"/>
              <w:spacing w:before="61"/>
              <w:ind w:left="30" w:right="33"/>
              <w:jc w:val="left"/>
              <w:rPr>
                <w:sz w:val="14"/>
              </w:rPr>
            </w:pPr>
            <w:r>
              <w:rPr>
                <w:spacing w:val="-2"/>
                <w:sz w:val="14"/>
              </w:rPr>
              <w:t>Afghanistan;</w:t>
            </w:r>
            <w:r>
              <w:rPr>
                <w:spacing w:val="40"/>
                <w:sz w:val="14"/>
              </w:rPr>
              <w:t> </w:t>
            </w:r>
            <w:r>
              <w:rPr>
                <w:spacing w:val="-2"/>
                <w:sz w:val="14"/>
              </w:rPr>
              <w:t>Bangladesh/</w:t>
            </w:r>
            <w:r>
              <w:rPr>
                <w:spacing w:val="40"/>
                <w:sz w:val="14"/>
              </w:rPr>
              <w:t> </w:t>
            </w:r>
            <w:r>
              <w:rPr>
                <w:spacing w:val="-2"/>
                <w:sz w:val="14"/>
              </w:rPr>
              <w:t>Myanmar;</w:t>
            </w:r>
            <w:r>
              <w:rPr>
                <w:spacing w:val="40"/>
                <w:sz w:val="14"/>
              </w:rPr>
              <w:t> </w:t>
            </w:r>
            <w:r>
              <w:rPr>
                <w:sz w:val="14"/>
              </w:rPr>
              <w:t>Burundi;</w:t>
            </w:r>
            <w:r>
              <w:rPr>
                <w:spacing w:val="-9"/>
                <w:sz w:val="14"/>
              </w:rPr>
              <w:t> </w:t>
            </w:r>
            <w:r>
              <w:rPr>
                <w:sz w:val="14"/>
              </w:rPr>
              <w:t>CAR</w:t>
            </w:r>
            <w:r>
              <w:rPr>
                <w:spacing w:val="40"/>
                <w:sz w:val="14"/>
              </w:rPr>
              <w:t> </w:t>
            </w:r>
            <w:r>
              <w:rPr>
                <w:sz w:val="14"/>
              </w:rPr>
              <w:t>I;</w:t>
            </w:r>
            <w:r>
              <w:rPr>
                <w:spacing w:val="-4"/>
                <w:sz w:val="14"/>
              </w:rPr>
              <w:t> </w:t>
            </w:r>
            <w:r>
              <w:rPr>
                <w:sz w:val="14"/>
              </w:rPr>
              <w:t>CAR</w:t>
            </w:r>
            <w:r>
              <w:rPr>
                <w:spacing w:val="-4"/>
                <w:sz w:val="14"/>
              </w:rPr>
              <w:t> </w:t>
            </w:r>
            <w:r>
              <w:rPr>
                <w:sz w:val="14"/>
              </w:rPr>
              <w:t>II;</w:t>
            </w:r>
            <w:r>
              <w:rPr>
                <w:spacing w:val="1"/>
                <w:sz w:val="14"/>
              </w:rPr>
              <w:t> </w:t>
            </w:r>
            <w:r>
              <w:rPr>
                <w:spacing w:val="-4"/>
                <w:sz w:val="14"/>
              </w:rPr>
              <w:t>CIV;</w:t>
            </w:r>
          </w:p>
          <w:p>
            <w:pPr>
              <w:pStyle w:val="TableParagraph"/>
              <w:spacing w:line="237" w:lineRule="auto" w:before="3"/>
              <w:ind w:left="30" w:right="108"/>
              <w:jc w:val="left"/>
              <w:rPr>
                <w:sz w:val="14"/>
              </w:rPr>
            </w:pPr>
            <w:r>
              <w:rPr>
                <w:sz w:val="14"/>
              </w:rPr>
              <w:t>DRC;</w:t>
            </w:r>
            <w:r>
              <w:rPr>
                <w:spacing w:val="-9"/>
                <w:sz w:val="14"/>
              </w:rPr>
              <w:t> </w:t>
            </w:r>
            <w:r>
              <w:rPr>
                <w:sz w:val="14"/>
              </w:rPr>
              <w:t>Darfur;</w:t>
            </w:r>
            <w:r>
              <w:rPr>
                <w:spacing w:val="40"/>
                <w:sz w:val="14"/>
              </w:rPr>
              <w:t> </w:t>
            </w:r>
            <w:r>
              <w:rPr>
                <w:spacing w:val="-2"/>
                <w:sz w:val="14"/>
              </w:rPr>
              <w:t>Georgia;</w:t>
            </w:r>
            <w:r>
              <w:rPr>
                <w:spacing w:val="40"/>
                <w:sz w:val="14"/>
              </w:rPr>
              <w:t> </w:t>
            </w:r>
            <w:r>
              <w:rPr>
                <w:sz w:val="14"/>
              </w:rPr>
              <w:t>Kenya;</w:t>
            </w:r>
            <w:r>
              <w:rPr>
                <w:spacing w:val="-9"/>
                <w:sz w:val="14"/>
              </w:rPr>
              <w:t> </w:t>
            </w:r>
            <w:r>
              <w:rPr>
                <w:sz w:val="14"/>
              </w:rPr>
              <w:t>Libya;</w:t>
            </w:r>
            <w:r>
              <w:rPr>
                <w:spacing w:val="40"/>
                <w:sz w:val="14"/>
              </w:rPr>
              <w:t> </w:t>
            </w:r>
            <w:r>
              <w:rPr>
                <w:sz w:val="14"/>
              </w:rPr>
              <w:t>Mali;</w:t>
            </w:r>
            <w:r>
              <w:rPr>
                <w:spacing w:val="-9"/>
                <w:sz w:val="14"/>
              </w:rPr>
              <w:t> </w:t>
            </w:r>
            <w:r>
              <w:rPr>
                <w:sz w:val="14"/>
              </w:rPr>
              <w:t>and</w:t>
            </w:r>
            <w:r>
              <w:rPr>
                <w:spacing w:val="40"/>
                <w:sz w:val="14"/>
              </w:rPr>
              <w:t> </w:t>
            </w:r>
            <w:r>
              <w:rPr>
                <w:spacing w:val="-2"/>
                <w:sz w:val="14"/>
              </w:rPr>
              <w:t>Uganda</w:t>
            </w:r>
          </w:p>
        </w:tc>
        <w:tc>
          <w:tcPr>
            <w:tcW w:w="614" w:type="dxa"/>
            <w:tcBorders>
              <w:top w:val="single" w:sz="4" w:space="0" w:color="000000"/>
              <w:bottom w:val="single" w:sz="4" w:space="0" w:color="000000"/>
            </w:tcBorders>
          </w:tcPr>
          <w:p>
            <w:pPr>
              <w:pStyle w:val="TableParagraph"/>
              <w:spacing w:before="61"/>
              <w:ind w:right="1"/>
              <w:jc w:val="center"/>
              <w:rPr>
                <w:sz w:val="14"/>
              </w:rPr>
            </w:pPr>
            <w:r>
              <w:rPr>
                <w:spacing w:val="-5"/>
                <w:sz w:val="14"/>
              </w:rPr>
              <w:t>13</w:t>
            </w:r>
          </w:p>
        </w:tc>
        <w:tc>
          <w:tcPr>
            <w:tcW w:w="468" w:type="dxa"/>
            <w:tcBorders>
              <w:top w:val="single" w:sz="4" w:space="0" w:color="000000"/>
              <w:bottom w:val="single" w:sz="4" w:space="0" w:color="000000"/>
            </w:tcBorders>
          </w:tcPr>
          <w:p>
            <w:pPr>
              <w:pStyle w:val="TableParagraph"/>
              <w:spacing w:before="61"/>
              <w:ind w:left="1"/>
              <w:jc w:val="center"/>
              <w:rPr>
                <w:sz w:val="14"/>
              </w:rPr>
            </w:pPr>
            <w:r>
              <w:rPr>
                <w:spacing w:val="-5"/>
                <w:sz w:val="14"/>
              </w:rPr>
              <w:t>16</w:t>
            </w:r>
          </w:p>
        </w:tc>
        <w:tc>
          <w:tcPr>
            <w:tcW w:w="1046" w:type="dxa"/>
            <w:tcBorders>
              <w:top w:val="single" w:sz="4" w:space="0" w:color="000000"/>
              <w:bottom w:val="single" w:sz="4" w:space="0" w:color="000000"/>
            </w:tcBorders>
          </w:tcPr>
          <w:p>
            <w:pPr>
              <w:pStyle w:val="TableParagraph"/>
              <w:spacing w:line="235" w:lineRule="auto" w:before="64"/>
              <w:ind w:left="6" w:right="100"/>
              <w:jc w:val="left"/>
              <w:rPr>
                <w:sz w:val="14"/>
              </w:rPr>
            </w:pPr>
            <w:r>
              <w:rPr>
                <w:sz w:val="14"/>
              </w:rPr>
              <w:t>Burundi,</w:t>
            </w:r>
            <w:r>
              <w:rPr>
                <w:spacing w:val="-9"/>
                <w:sz w:val="14"/>
              </w:rPr>
              <w:t> </w:t>
            </w:r>
            <w:r>
              <w:rPr>
                <w:sz w:val="14"/>
              </w:rPr>
              <w:t>CAR</w:t>
            </w:r>
            <w:r>
              <w:rPr>
                <w:spacing w:val="-9"/>
                <w:sz w:val="14"/>
              </w:rPr>
              <w:t> </w:t>
            </w:r>
            <w:r>
              <w:rPr>
                <w:sz w:val="14"/>
              </w:rPr>
              <w:t>I;</w:t>
            </w:r>
            <w:r>
              <w:rPr>
                <w:spacing w:val="40"/>
                <w:sz w:val="14"/>
              </w:rPr>
              <w:t> </w:t>
            </w:r>
            <w:r>
              <w:rPr>
                <w:sz w:val="14"/>
              </w:rPr>
              <w:t>CAR II; CIV;</w:t>
            </w:r>
          </w:p>
          <w:p>
            <w:pPr>
              <w:pStyle w:val="TableParagraph"/>
              <w:spacing w:before="3"/>
              <w:ind w:left="6" w:right="99"/>
              <w:jc w:val="left"/>
              <w:rPr>
                <w:sz w:val="14"/>
              </w:rPr>
            </w:pPr>
            <w:r>
              <w:rPr>
                <w:sz w:val="14"/>
              </w:rPr>
              <w:t>DRC;</w:t>
            </w:r>
            <w:r>
              <w:rPr>
                <w:spacing w:val="-9"/>
                <w:sz w:val="14"/>
              </w:rPr>
              <w:t> </w:t>
            </w:r>
            <w:r>
              <w:rPr>
                <w:sz w:val="14"/>
              </w:rPr>
              <w:t>Darfur;</w:t>
            </w:r>
            <w:r>
              <w:rPr>
                <w:spacing w:val="40"/>
                <w:sz w:val="14"/>
              </w:rPr>
              <w:t> </w:t>
            </w:r>
            <w:r>
              <w:rPr>
                <w:sz w:val="14"/>
              </w:rPr>
              <w:t>Georgia;</w:t>
            </w:r>
            <w:r>
              <w:rPr>
                <w:spacing w:val="-9"/>
                <w:sz w:val="14"/>
              </w:rPr>
              <w:t> </w:t>
            </w:r>
            <w:r>
              <w:rPr>
                <w:sz w:val="14"/>
              </w:rPr>
              <w:t>Kenya;</w:t>
            </w:r>
            <w:r>
              <w:rPr>
                <w:spacing w:val="40"/>
                <w:sz w:val="14"/>
              </w:rPr>
              <w:t> </w:t>
            </w:r>
            <w:r>
              <w:rPr>
                <w:sz w:val="14"/>
              </w:rPr>
              <w:t>Libya;</w:t>
            </w:r>
            <w:r>
              <w:rPr>
                <w:spacing w:val="-9"/>
                <w:sz w:val="14"/>
              </w:rPr>
              <w:t> </w:t>
            </w:r>
            <w:r>
              <w:rPr>
                <w:sz w:val="14"/>
              </w:rPr>
              <w:t>Mali;</w:t>
            </w:r>
            <w:r>
              <w:rPr>
                <w:spacing w:val="40"/>
                <w:sz w:val="14"/>
              </w:rPr>
              <w:t> </w:t>
            </w:r>
            <w:r>
              <w:rPr>
                <w:spacing w:val="-2"/>
                <w:sz w:val="14"/>
              </w:rPr>
              <w:t>Bangladesh/</w:t>
            </w:r>
            <w:r>
              <w:rPr>
                <w:spacing w:val="40"/>
                <w:sz w:val="14"/>
              </w:rPr>
              <w:t> </w:t>
            </w:r>
            <w:r>
              <w:rPr>
                <w:spacing w:val="-2"/>
                <w:sz w:val="14"/>
              </w:rPr>
              <w:t>Myanmar;</w:t>
            </w:r>
            <w:r>
              <w:rPr>
                <w:spacing w:val="40"/>
                <w:sz w:val="14"/>
              </w:rPr>
              <w:t> </w:t>
            </w:r>
            <w:r>
              <w:rPr>
                <w:spacing w:val="-2"/>
                <w:sz w:val="14"/>
              </w:rPr>
              <w:t>Afghanistan;</w:t>
            </w:r>
            <w:r>
              <w:rPr>
                <w:spacing w:val="40"/>
                <w:sz w:val="14"/>
              </w:rPr>
              <w:t> </w:t>
            </w:r>
            <w:r>
              <w:rPr>
                <w:spacing w:val="-2"/>
                <w:sz w:val="14"/>
              </w:rPr>
              <w:t>Uganda;</w:t>
            </w:r>
            <w:r>
              <w:rPr>
                <w:spacing w:val="40"/>
                <w:sz w:val="14"/>
              </w:rPr>
              <w:t> </w:t>
            </w:r>
            <w:r>
              <w:rPr>
                <w:spacing w:val="-2"/>
                <w:sz w:val="14"/>
              </w:rPr>
              <w:t>Philippines;</w:t>
            </w:r>
            <w:r>
              <w:rPr>
                <w:spacing w:val="40"/>
                <w:sz w:val="14"/>
              </w:rPr>
              <w:t> </w:t>
            </w:r>
            <w:r>
              <w:rPr>
                <w:sz w:val="14"/>
              </w:rPr>
              <w:t>Palestine;</w:t>
            </w:r>
            <w:r>
              <w:rPr>
                <w:spacing w:val="-9"/>
                <w:sz w:val="14"/>
              </w:rPr>
              <w:t> </w:t>
            </w:r>
            <w:r>
              <w:rPr>
                <w:sz w:val="14"/>
              </w:rPr>
              <w:t>and</w:t>
            </w:r>
            <w:r>
              <w:rPr>
                <w:spacing w:val="40"/>
                <w:sz w:val="14"/>
              </w:rPr>
              <w:t> </w:t>
            </w:r>
            <w:r>
              <w:rPr>
                <w:spacing w:val="-2"/>
                <w:sz w:val="14"/>
              </w:rPr>
              <w:t>Venezuela</w:t>
            </w:r>
          </w:p>
        </w:tc>
        <w:tc>
          <w:tcPr>
            <w:tcW w:w="589" w:type="dxa"/>
            <w:tcBorders>
              <w:top w:val="single" w:sz="4" w:space="0" w:color="000000"/>
              <w:bottom w:val="single" w:sz="4" w:space="0" w:color="000000"/>
            </w:tcBorders>
          </w:tcPr>
          <w:p>
            <w:pPr>
              <w:pStyle w:val="TableParagraph"/>
              <w:spacing w:before="61"/>
              <w:ind w:left="14" w:right="2"/>
              <w:jc w:val="center"/>
              <w:rPr>
                <w:sz w:val="14"/>
              </w:rPr>
            </w:pPr>
            <w:r>
              <w:rPr>
                <w:spacing w:val="-5"/>
                <w:sz w:val="14"/>
              </w:rPr>
              <w:t>14</w:t>
            </w:r>
          </w:p>
        </w:tc>
        <w:tc>
          <w:tcPr>
            <w:tcW w:w="1201" w:type="dxa"/>
            <w:tcBorders>
              <w:top w:val="single" w:sz="4" w:space="0" w:color="000000"/>
              <w:bottom w:val="single" w:sz="4" w:space="0" w:color="000000"/>
            </w:tcBorders>
          </w:tcPr>
          <w:p>
            <w:pPr>
              <w:pStyle w:val="TableParagraph"/>
              <w:spacing w:line="235" w:lineRule="auto" w:before="64"/>
              <w:ind w:left="18"/>
              <w:jc w:val="left"/>
              <w:rPr>
                <w:sz w:val="14"/>
              </w:rPr>
            </w:pPr>
            <w:r>
              <w:rPr>
                <w:sz w:val="14"/>
              </w:rPr>
              <w:t>Burundi; CAR I;</w:t>
            </w:r>
            <w:r>
              <w:rPr>
                <w:spacing w:val="40"/>
                <w:sz w:val="14"/>
              </w:rPr>
              <w:t> </w:t>
            </w:r>
            <w:r>
              <w:rPr>
                <w:sz w:val="14"/>
              </w:rPr>
              <w:t>CAR</w:t>
            </w:r>
            <w:r>
              <w:rPr>
                <w:spacing w:val="-9"/>
                <w:sz w:val="14"/>
              </w:rPr>
              <w:t> </w:t>
            </w:r>
            <w:r>
              <w:rPr>
                <w:sz w:val="14"/>
              </w:rPr>
              <w:t>II;</w:t>
            </w:r>
            <w:r>
              <w:rPr>
                <w:spacing w:val="-9"/>
                <w:sz w:val="14"/>
              </w:rPr>
              <w:t> </w:t>
            </w:r>
            <w:r>
              <w:rPr>
                <w:sz w:val="14"/>
              </w:rPr>
              <w:t>CIV;</w:t>
            </w:r>
            <w:r>
              <w:rPr>
                <w:spacing w:val="-9"/>
                <w:sz w:val="14"/>
              </w:rPr>
              <w:t> </w:t>
            </w:r>
            <w:r>
              <w:rPr>
                <w:sz w:val="14"/>
              </w:rPr>
              <w:t>DRC;</w:t>
            </w:r>
          </w:p>
          <w:p>
            <w:pPr>
              <w:pStyle w:val="TableParagraph"/>
              <w:spacing w:before="3"/>
              <w:ind w:left="18" w:right="29"/>
              <w:jc w:val="left"/>
              <w:rPr>
                <w:sz w:val="14"/>
              </w:rPr>
            </w:pPr>
            <w:r>
              <w:rPr>
                <w:sz w:val="14"/>
              </w:rPr>
              <w:t>Darfur;</w:t>
            </w:r>
            <w:r>
              <w:rPr>
                <w:spacing w:val="-9"/>
                <w:sz w:val="14"/>
              </w:rPr>
              <w:t> </w:t>
            </w:r>
            <w:r>
              <w:rPr>
                <w:sz w:val="14"/>
              </w:rPr>
              <w:t>Georgia;</w:t>
            </w:r>
            <w:r>
              <w:rPr>
                <w:spacing w:val="40"/>
                <w:sz w:val="14"/>
              </w:rPr>
              <w:t> </w:t>
            </w:r>
            <w:r>
              <w:rPr>
                <w:sz w:val="14"/>
              </w:rPr>
              <w:t>Kenya;</w:t>
            </w:r>
            <w:r>
              <w:rPr>
                <w:spacing w:val="-9"/>
                <w:sz w:val="14"/>
              </w:rPr>
              <w:t> </w:t>
            </w:r>
            <w:r>
              <w:rPr>
                <w:sz w:val="14"/>
              </w:rPr>
              <w:t>Libya;</w:t>
            </w:r>
            <w:r>
              <w:rPr>
                <w:spacing w:val="-9"/>
                <w:sz w:val="14"/>
              </w:rPr>
              <w:t> </w:t>
            </w:r>
            <w:r>
              <w:rPr>
                <w:sz w:val="14"/>
              </w:rPr>
              <w:t>Mali;</w:t>
            </w:r>
            <w:r>
              <w:rPr>
                <w:spacing w:val="40"/>
                <w:sz w:val="14"/>
              </w:rPr>
              <w:t> </w:t>
            </w:r>
            <w:r>
              <w:rPr>
                <w:spacing w:val="-2"/>
                <w:sz w:val="14"/>
              </w:rPr>
              <w:t>Bangladesh/</w:t>
            </w:r>
            <w:r>
              <w:rPr>
                <w:spacing w:val="40"/>
                <w:sz w:val="14"/>
              </w:rPr>
              <w:t> </w:t>
            </w:r>
            <w:r>
              <w:rPr>
                <w:spacing w:val="-2"/>
                <w:sz w:val="14"/>
              </w:rPr>
              <w:t>Myanmar;</w:t>
            </w:r>
            <w:r>
              <w:rPr>
                <w:spacing w:val="40"/>
                <w:sz w:val="14"/>
              </w:rPr>
              <w:t> </w:t>
            </w:r>
            <w:r>
              <w:rPr>
                <w:spacing w:val="-2"/>
                <w:sz w:val="14"/>
              </w:rPr>
              <w:t>Afghanistan;</w:t>
            </w:r>
            <w:r>
              <w:rPr>
                <w:spacing w:val="40"/>
                <w:sz w:val="14"/>
              </w:rPr>
              <w:t> </w:t>
            </w:r>
            <w:r>
              <w:rPr>
                <w:sz w:val="14"/>
              </w:rPr>
              <w:t>Uganda;</w:t>
            </w:r>
            <w:r>
              <w:rPr>
                <w:spacing w:val="-9"/>
                <w:sz w:val="14"/>
              </w:rPr>
              <w:t> </w:t>
            </w:r>
            <w:r>
              <w:rPr>
                <w:sz w:val="14"/>
              </w:rPr>
              <w:t>and</w:t>
            </w:r>
            <w:r>
              <w:rPr>
                <w:spacing w:val="40"/>
                <w:sz w:val="14"/>
              </w:rPr>
              <w:t> </w:t>
            </w:r>
            <w:r>
              <w:rPr>
                <w:spacing w:val="-2"/>
                <w:sz w:val="14"/>
              </w:rPr>
              <w:t>Palestine</w:t>
            </w:r>
          </w:p>
        </w:tc>
        <w:tc>
          <w:tcPr>
            <w:tcW w:w="597" w:type="dxa"/>
            <w:tcBorders>
              <w:top w:val="single" w:sz="4" w:space="0" w:color="000000"/>
              <w:bottom w:val="single" w:sz="4" w:space="0" w:color="000000"/>
            </w:tcBorders>
          </w:tcPr>
          <w:p>
            <w:pPr>
              <w:pStyle w:val="TableParagraph"/>
              <w:spacing w:before="61"/>
              <w:ind w:left="26" w:right="1"/>
              <w:jc w:val="center"/>
              <w:rPr>
                <w:sz w:val="14"/>
              </w:rPr>
            </w:pPr>
            <w:r>
              <w:rPr>
                <w:spacing w:val="-5"/>
                <w:sz w:val="14"/>
              </w:rPr>
              <w:t>21</w:t>
            </w:r>
          </w:p>
        </w:tc>
        <w:tc>
          <w:tcPr>
            <w:tcW w:w="1010" w:type="dxa"/>
            <w:tcBorders>
              <w:top w:val="single" w:sz="4" w:space="0" w:color="000000"/>
              <w:bottom w:val="single" w:sz="4" w:space="0" w:color="000000"/>
            </w:tcBorders>
          </w:tcPr>
          <w:p>
            <w:pPr>
              <w:pStyle w:val="TableParagraph"/>
              <w:spacing w:before="61"/>
              <w:ind w:left="21" w:right="-6"/>
              <w:jc w:val="left"/>
              <w:rPr>
                <w:sz w:val="14"/>
              </w:rPr>
            </w:pPr>
            <w:r>
              <w:rPr>
                <w:spacing w:val="-2"/>
                <w:sz w:val="14"/>
              </w:rPr>
              <w:t>Afghanistan;</w:t>
            </w:r>
            <w:r>
              <w:rPr>
                <w:spacing w:val="40"/>
                <w:sz w:val="14"/>
              </w:rPr>
              <w:t> </w:t>
            </w:r>
            <w:r>
              <w:rPr>
                <w:spacing w:val="-2"/>
                <w:sz w:val="14"/>
              </w:rPr>
              <w:t>Bangladesh/</w:t>
            </w:r>
            <w:r>
              <w:rPr>
                <w:spacing w:val="40"/>
                <w:sz w:val="14"/>
              </w:rPr>
              <w:t> </w:t>
            </w:r>
            <w:r>
              <w:rPr>
                <w:spacing w:val="-2"/>
                <w:sz w:val="14"/>
              </w:rPr>
              <w:t>Myanmar;</w:t>
            </w:r>
            <w:r>
              <w:rPr>
                <w:spacing w:val="40"/>
                <w:sz w:val="14"/>
              </w:rPr>
              <w:t> </w:t>
            </w:r>
            <w:r>
              <w:rPr>
                <w:sz w:val="14"/>
              </w:rPr>
              <w:t>Bolivia;</w:t>
            </w:r>
            <w:r>
              <w:rPr>
                <w:spacing w:val="-9"/>
                <w:sz w:val="14"/>
              </w:rPr>
              <w:t> </w:t>
            </w:r>
            <w:r>
              <w:rPr>
                <w:sz w:val="14"/>
              </w:rPr>
              <w:t>Burundi;</w:t>
            </w:r>
            <w:r>
              <w:rPr>
                <w:spacing w:val="40"/>
                <w:sz w:val="14"/>
              </w:rPr>
              <w:t> </w:t>
            </w:r>
            <w:r>
              <w:rPr>
                <w:sz w:val="14"/>
              </w:rPr>
              <w:t>CAR I; CAR II;</w:t>
            </w:r>
          </w:p>
          <w:p>
            <w:pPr>
              <w:pStyle w:val="TableParagraph"/>
              <w:spacing w:before="2"/>
              <w:ind w:left="21" w:right="4"/>
              <w:jc w:val="left"/>
              <w:rPr>
                <w:sz w:val="14"/>
              </w:rPr>
            </w:pPr>
            <w:r>
              <w:rPr>
                <w:sz w:val="14"/>
              </w:rPr>
              <w:t>CIV;</w:t>
            </w:r>
            <w:r>
              <w:rPr>
                <w:spacing w:val="-9"/>
                <w:sz w:val="14"/>
              </w:rPr>
              <w:t> </w:t>
            </w:r>
            <w:r>
              <w:rPr>
                <w:sz w:val="14"/>
              </w:rPr>
              <w:t>Darfur;</w:t>
            </w:r>
            <w:r>
              <w:rPr>
                <w:spacing w:val="40"/>
                <w:sz w:val="14"/>
              </w:rPr>
              <w:t> </w:t>
            </w:r>
            <w:r>
              <w:rPr>
                <w:sz w:val="14"/>
              </w:rPr>
              <w:t>DRC;</w:t>
            </w:r>
            <w:r>
              <w:rPr>
                <w:spacing w:val="-9"/>
                <w:sz w:val="14"/>
              </w:rPr>
              <w:t> </w:t>
            </w:r>
            <w:r>
              <w:rPr>
                <w:sz w:val="14"/>
              </w:rPr>
              <w:t>Gabon;</w:t>
            </w:r>
            <w:r>
              <w:rPr>
                <w:spacing w:val="40"/>
                <w:sz w:val="14"/>
              </w:rPr>
              <w:t> </w:t>
            </w:r>
            <w:r>
              <w:rPr>
                <w:sz w:val="14"/>
              </w:rPr>
              <w:t>Georgia;</w:t>
            </w:r>
            <w:r>
              <w:rPr>
                <w:spacing w:val="-9"/>
                <w:sz w:val="14"/>
              </w:rPr>
              <w:t> </w:t>
            </w:r>
            <w:r>
              <w:rPr>
                <w:sz w:val="14"/>
              </w:rPr>
              <w:t>Kenya;</w:t>
            </w:r>
            <w:r>
              <w:rPr>
                <w:spacing w:val="40"/>
                <w:sz w:val="14"/>
              </w:rPr>
              <w:t> </w:t>
            </w:r>
            <w:r>
              <w:rPr>
                <w:sz w:val="14"/>
              </w:rPr>
              <w:t>Libya;</w:t>
            </w:r>
            <w:r>
              <w:rPr>
                <w:spacing w:val="-9"/>
                <w:sz w:val="14"/>
              </w:rPr>
              <w:t> </w:t>
            </w:r>
            <w:r>
              <w:rPr>
                <w:sz w:val="14"/>
              </w:rPr>
              <w:t>Mali;</w:t>
            </w:r>
            <w:r>
              <w:rPr>
                <w:spacing w:val="40"/>
                <w:sz w:val="14"/>
              </w:rPr>
              <w:t> </w:t>
            </w:r>
            <w:r>
              <w:rPr>
                <w:spacing w:val="-2"/>
                <w:sz w:val="14"/>
              </w:rPr>
              <w:t>Palestine;</w:t>
            </w:r>
            <w:r>
              <w:rPr>
                <w:spacing w:val="40"/>
                <w:sz w:val="14"/>
              </w:rPr>
              <w:t> </w:t>
            </w:r>
            <w:r>
              <w:rPr>
                <w:spacing w:val="-2"/>
                <w:sz w:val="14"/>
              </w:rPr>
              <w:t>Philippines;</w:t>
            </w:r>
            <w:r>
              <w:rPr>
                <w:spacing w:val="40"/>
                <w:sz w:val="14"/>
              </w:rPr>
              <w:t> </w:t>
            </w:r>
            <w:r>
              <w:rPr>
                <w:spacing w:val="-2"/>
                <w:sz w:val="14"/>
              </w:rPr>
              <w:t>Uganda;</w:t>
            </w:r>
            <w:r>
              <w:rPr>
                <w:spacing w:val="80"/>
                <w:sz w:val="14"/>
              </w:rPr>
              <w:t> </w:t>
            </w:r>
            <w:r>
              <w:rPr>
                <w:spacing w:val="-2"/>
                <w:sz w:val="14"/>
              </w:rPr>
              <w:t>Ukraine;</w:t>
            </w:r>
            <w:r>
              <w:rPr>
                <w:spacing w:val="40"/>
                <w:sz w:val="14"/>
              </w:rPr>
              <w:t> </w:t>
            </w:r>
            <w:r>
              <w:rPr>
                <w:sz w:val="14"/>
              </w:rPr>
              <w:t>Venezuela</w:t>
            </w:r>
            <w:r>
              <w:rPr>
                <w:spacing w:val="-9"/>
                <w:sz w:val="14"/>
              </w:rPr>
              <w:t> </w:t>
            </w:r>
            <w:r>
              <w:rPr>
                <w:sz w:val="14"/>
              </w:rPr>
              <w:t>I;</w:t>
            </w:r>
            <w:r>
              <w:rPr>
                <w:spacing w:val="40"/>
                <w:sz w:val="14"/>
              </w:rPr>
              <w:t> </w:t>
            </w:r>
            <w:r>
              <w:rPr>
                <w:sz w:val="14"/>
              </w:rPr>
              <w:t>Venezuela</w:t>
            </w:r>
            <w:r>
              <w:rPr>
                <w:spacing w:val="-9"/>
                <w:sz w:val="14"/>
              </w:rPr>
              <w:t> </w:t>
            </w:r>
            <w:r>
              <w:rPr>
                <w:sz w:val="14"/>
              </w:rPr>
              <w:t>II;</w:t>
            </w:r>
            <w:r>
              <w:rPr>
                <w:spacing w:val="40"/>
                <w:sz w:val="14"/>
              </w:rPr>
              <w:t> </w:t>
            </w:r>
            <w:r>
              <w:rPr>
                <w:sz w:val="14"/>
              </w:rPr>
              <w:t>and</w:t>
            </w:r>
            <w:r>
              <w:rPr>
                <w:spacing w:val="-6"/>
                <w:sz w:val="14"/>
              </w:rPr>
              <w:t> </w:t>
            </w:r>
            <w:r>
              <w:rPr>
                <w:sz w:val="14"/>
              </w:rPr>
              <w:t>the</w:t>
            </w:r>
            <w:r>
              <w:rPr>
                <w:spacing w:val="40"/>
                <w:sz w:val="14"/>
              </w:rPr>
              <w:t> </w:t>
            </w:r>
            <w:r>
              <w:rPr>
                <w:spacing w:val="-2"/>
                <w:sz w:val="14"/>
              </w:rPr>
              <w:t>Registered</w:t>
            </w:r>
            <w:r>
              <w:rPr>
                <w:spacing w:val="40"/>
                <w:sz w:val="14"/>
              </w:rPr>
              <w:t> </w:t>
            </w:r>
            <w:r>
              <w:rPr>
                <w:sz w:val="14"/>
              </w:rPr>
              <w:t>Vessels of the</w:t>
            </w:r>
            <w:r>
              <w:rPr>
                <w:spacing w:val="40"/>
                <w:sz w:val="14"/>
              </w:rPr>
              <w:t> </w:t>
            </w:r>
            <w:r>
              <w:rPr>
                <w:sz w:val="14"/>
              </w:rPr>
              <w:t>Comoros,</w:t>
            </w:r>
            <w:r>
              <w:rPr>
                <w:spacing w:val="-9"/>
                <w:sz w:val="14"/>
              </w:rPr>
              <w:t> </w:t>
            </w:r>
            <w:r>
              <w:rPr>
                <w:sz w:val="14"/>
              </w:rPr>
              <w:t>Greece</w:t>
            </w:r>
            <w:r>
              <w:rPr>
                <w:spacing w:val="40"/>
                <w:sz w:val="14"/>
              </w:rPr>
              <w:t> </w:t>
            </w:r>
            <w:r>
              <w:rPr>
                <w:sz w:val="14"/>
              </w:rPr>
              <w:t>and</w:t>
            </w:r>
            <w:r>
              <w:rPr>
                <w:spacing w:val="-6"/>
                <w:sz w:val="14"/>
              </w:rPr>
              <w:t> </w:t>
            </w:r>
            <w:r>
              <w:rPr>
                <w:sz w:val="14"/>
              </w:rPr>
              <w:t>Cambodia</w:t>
            </w:r>
          </w:p>
        </w:tc>
      </w:tr>
      <w:tr>
        <w:trPr>
          <w:trHeight w:val="1504" w:hRule="atLeast"/>
        </w:trPr>
        <w:tc>
          <w:tcPr>
            <w:tcW w:w="174" w:type="dxa"/>
            <w:tcBorders>
              <w:top w:val="single" w:sz="4" w:space="0" w:color="000000"/>
            </w:tcBorders>
          </w:tcPr>
          <w:p>
            <w:pPr>
              <w:pStyle w:val="TableParagraph"/>
              <w:spacing w:before="61"/>
              <w:jc w:val="left"/>
              <w:rPr>
                <w:sz w:val="14"/>
              </w:rPr>
            </w:pPr>
            <w:r>
              <w:rPr>
                <w:w w:val="99"/>
                <w:sz w:val="14"/>
              </w:rPr>
              <w:t>3</w:t>
            </w:r>
          </w:p>
        </w:tc>
        <w:tc>
          <w:tcPr>
            <w:tcW w:w="786" w:type="dxa"/>
            <w:tcBorders>
              <w:top w:val="single" w:sz="4" w:space="0" w:color="000000"/>
            </w:tcBorders>
          </w:tcPr>
          <w:p>
            <w:pPr>
              <w:pStyle w:val="TableParagraph"/>
              <w:spacing w:before="61"/>
              <w:ind w:left="104" w:right="67"/>
              <w:jc w:val="left"/>
              <w:rPr>
                <w:sz w:val="14"/>
              </w:rPr>
            </w:pPr>
            <w:r>
              <w:rPr>
                <w:sz w:val="14"/>
              </w:rPr>
              <w:t>Number</w:t>
            </w:r>
            <w:r>
              <w:rPr>
                <w:spacing w:val="-9"/>
                <w:sz w:val="14"/>
              </w:rPr>
              <w:t> </w:t>
            </w:r>
            <w:r>
              <w:rPr>
                <w:sz w:val="14"/>
              </w:rPr>
              <w:t>of</w:t>
            </w:r>
            <w:r>
              <w:rPr>
                <w:spacing w:val="40"/>
                <w:sz w:val="14"/>
              </w:rPr>
              <w:t> </w:t>
            </w:r>
            <w:r>
              <w:rPr>
                <w:spacing w:val="-2"/>
                <w:sz w:val="14"/>
              </w:rPr>
              <w:t>active</w:t>
            </w:r>
            <w:r>
              <w:rPr>
                <w:spacing w:val="40"/>
                <w:sz w:val="14"/>
              </w:rPr>
              <w:t> </w:t>
            </w:r>
            <w:r>
              <w:rPr>
                <w:spacing w:val="-2"/>
                <w:sz w:val="14"/>
              </w:rPr>
              <w:t>investiga-</w:t>
            </w:r>
            <w:r>
              <w:rPr>
                <w:spacing w:val="40"/>
                <w:sz w:val="14"/>
              </w:rPr>
              <w:t> </w:t>
            </w:r>
            <w:r>
              <w:rPr>
                <w:spacing w:val="-2"/>
                <w:sz w:val="14"/>
              </w:rPr>
              <w:t>tions</w:t>
            </w:r>
          </w:p>
        </w:tc>
        <w:tc>
          <w:tcPr>
            <w:tcW w:w="601" w:type="dxa"/>
            <w:tcBorders>
              <w:top w:val="single" w:sz="4" w:space="0" w:color="000000"/>
            </w:tcBorders>
          </w:tcPr>
          <w:p>
            <w:pPr>
              <w:pStyle w:val="TableParagraph"/>
              <w:spacing w:before="61"/>
              <w:ind w:left="8"/>
              <w:jc w:val="center"/>
              <w:rPr>
                <w:sz w:val="14"/>
              </w:rPr>
            </w:pPr>
            <w:r>
              <w:rPr>
                <w:w w:val="99"/>
                <w:sz w:val="14"/>
              </w:rPr>
              <w:t>8</w:t>
            </w:r>
          </w:p>
        </w:tc>
        <w:tc>
          <w:tcPr>
            <w:tcW w:w="466" w:type="dxa"/>
            <w:tcBorders>
              <w:top w:val="single" w:sz="4" w:space="0" w:color="000000"/>
            </w:tcBorders>
          </w:tcPr>
          <w:p>
            <w:pPr>
              <w:pStyle w:val="TableParagraph"/>
              <w:spacing w:before="61"/>
              <w:ind w:left="16"/>
              <w:jc w:val="center"/>
              <w:rPr>
                <w:sz w:val="14"/>
              </w:rPr>
            </w:pPr>
            <w:r>
              <w:rPr>
                <w:w w:val="99"/>
                <w:sz w:val="14"/>
              </w:rPr>
              <w:t>9</w:t>
            </w:r>
          </w:p>
        </w:tc>
        <w:tc>
          <w:tcPr>
            <w:tcW w:w="1125" w:type="dxa"/>
            <w:tcBorders>
              <w:top w:val="single" w:sz="4" w:space="0" w:color="000000"/>
            </w:tcBorders>
          </w:tcPr>
          <w:p>
            <w:pPr>
              <w:pStyle w:val="TableParagraph"/>
              <w:spacing w:before="61"/>
              <w:ind w:left="14" w:right="39"/>
              <w:jc w:val="left"/>
              <w:rPr>
                <w:sz w:val="14"/>
              </w:rPr>
            </w:pPr>
            <w:r>
              <w:rPr>
                <w:sz w:val="14"/>
              </w:rPr>
              <w:t>Burundi;</w:t>
            </w:r>
            <w:r>
              <w:rPr>
                <w:spacing w:val="-7"/>
                <w:sz w:val="14"/>
              </w:rPr>
              <w:t> </w:t>
            </w:r>
            <w:r>
              <w:rPr>
                <w:sz w:val="14"/>
              </w:rPr>
              <w:t>CAR</w:t>
            </w:r>
            <w:r>
              <w:rPr>
                <w:spacing w:val="-8"/>
                <w:sz w:val="14"/>
              </w:rPr>
              <w:t> </w:t>
            </w:r>
            <w:r>
              <w:rPr>
                <w:sz w:val="14"/>
              </w:rPr>
              <w:t>II.a</w:t>
            </w:r>
            <w:r>
              <w:rPr>
                <w:spacing w:val="40"/>
                <w:sz w:val="14"/>
              </w:rPr>
              <w:t> </w:t>
            </w:r>
            <w:r>
              <w:rPr>
                <w:sz w:val="14"/>
              </w:rPr>
              <w:t>(Séléka);</w:t>
            </w:r>
            <w:r>
              <w:rPr>
                <w:spacing w:val="-9"/>
                <w:sz w:val="14"/>
              </w:rPr>
              <w:t> </w:t>
            </w:r>
            <w:r>
              <w:rPr>
                <w:sz w:val="14"/>
              </w:rPr>
              <w:t>CAR</w:t>
            </w:r>
            <w:r>
              <w:rPr>
                <w:spacing w:val="-9"/>
                <w:sz w:val="14"/>
              </w:rPr>
              <w:t> </w:t>
            </w:r>
            <w:r>
              <w:rPr>
                <w:sz w:val="14"/>
              </w:rPr>
              <w:t>II.b</w:t>
            </w:r>
            <w:r>
              <w:rPr>
                <w:spacing w:val="40"/>
                <w:sz w:val="14"/>
              </w:rPr>
              <w:t> </w:t>
            </w:r>
            <w:r>
              <w:rPr>
                <w:sz w:val="14"/>
              </w:rPr>
              <w:t>(anti-Balaka);</w:t>
            </w:r>
            <w:r>
              <w:rPr>
                <w:spacing w:val="-9"/>
                <w:sz w:val="14"/>
              </w:rPr>
              <w:t> </w:t>
            </w:r>
            <w:r>
              <w:rPr>
                <w:sz w:val="14"/>
              </w:rPr>
              <w:t>CIV</w:t>
            </w:r>
            <w:r>
              <w:rPr>
                <w:spacing w:val="40"/>
                <w:sz w:val="14"/>
              </w:rPr>
              <w:t> </w:t>
            </w:r>
            <w:r>
              <w:rPr>
                <w:sz w:val="14"/>
              </w:rPr>
              <w:t>II;</w:t>
            </w:r>
            <w:r>
              <w:rPr>
                <w:spacing w:val="-9"/>
                <w:sz w:val="14"/>
              </w:rPr>
              <w:t> </w:t>
            </w:r>
            <w:r>
              <w:rPr>
                <w:sz w:val="14"/>
              </w:rPr>
              <w:t>Darfur;</w:t>
            </w:r>
            <w:r>
              <w:rPr>
                <w:spacing w:val="40"/>
                <w:sz w:val="14"/>
              </w:rPr>
              <w:t> </w:t>
            </w:r>
            <w:r>
              <w:rPr>
                <w:sz w:val="14"/>
              </w:rPr>
              <w:t>Georgia;</w:t>
            </w:r>
            <w:r>
              <w:rPr>
                <w:spacing w:val="-9"/>
                <w:sz w:val="14"/>
              </w:rPr>
              <w:t> </w:t>
            </w:r>
            <w:r>
              <w:rPr>
                <w:sz w:val="14"/>
              </w:rPr>
              <w:t>Libya</w:t>
            </w:r>
            <w:r>
              <w:rPr>
                <w:spacing w:val="-9"/>
                <w:sz w:val="14"/>
              </w:rPr>
              <w:t> </w:t>
            </w:r>
            <w:r>
              <w:rPr>
                <w:sz w:val="14"/>
              </w:rPr>
              <w:t>III;</w:t>
            </w:r>
            <w:r>
              <w:rPr>
                <w:spacing w:val="40"/>
                <w:sz w:val="14"/>
              </w:rPr>
              <w:t> </w:t>
            </w:r>
            <w:r>
              <w:rPr>
                <w:sz w:val="14"/>
              </w:rPr>
              <w:t>Libya</w:t>
            </w:r>
            <w:r>
              <w:rPr>
                <w:spacing w:val="-9"/>
                <w:sz w:val="14"/>
              </w:rPr>
              <w:t> </w:t>
            </w:r>
            <w:r>
              <w:rPr>
                <w:sz w:val="14"/>
              </w:rPr>
              <w:t>IV;</w:t>
            </w:r>
            <w:r>
              <w:rPr>
                <w:spacing w:val="40"/>
                <w:sz w:val="14"/>
              </w:rPr>
              <w:t> </w:t>
            </w:r>
            <w:r>
              <w:rPr>
                <w:spacing w:val="-2"/>
                <w:sz w:val="14"/>
              </w:rPr>
              <w:t>Bangladesh/</w:t>
            </w:r>
            <w:r>
              <w:rPr>
                <w:spacing w:val="40"/>
                <w:sz w:val="14"/>
              </w:rPr>
              <w:t> </w:t>
            </w:r>
            <w:r>
              <w:rPr>
                <w:spacing w:val="-2"/>
                <w:sz w:val="14"/>
              </w:rPr>
              <w:t>Myanmar</w:t>
            </w:r>
          </w:p>
        </w:tc>
        <w:tc>
          <w:tcPr>
            <w:tcW w:w="633" w:type="dxa"/>
            <w:tcBorders>
              <w:top w:val="single" w:sz="4" w:space="0" w:color="000000"/>
            </w:tcBorders>
          </w:tcPr>
          <w:p>
            <w:pPr>
              <w:pStyle w:val="TableParagraph"/>
              <w:spacing w:before="59"/>
              <w:ind w:left="17" w:right="43"/>
              <w:jc w:val="center"/>
              <w:rPr>
                <w:sz w:val="9"/>
              </w:rPr>
            </w:pPr>
            <w:r>
              <w:rPr>
                <w:spacing w:val="-4"/>
                <w:position w:val="-4"/>
                <w:sz w:val="14"/>
              </w:rPr>
              <w:t>9</w:t>
            </w:r>
            <w:r>
              <w:rPr>
                <w:spacing w:val="-4"/>
                <w:sz w:val="9"/>
              </w:rPr>
              <w:t>159</w:t>
            </w:r>
          </w:p>
        </w:tc>
        <w:tc>
          <w:tcPr>
            <w:tcW w:w="511" w:type="dxa"/>
            <w:tcBorders>
              <w:top w:val="single" w:sz="4" w:space="0" w:color="000000"/>
            </w:tcBorders>
          </w:tcPr>
          <w:p>
            <w:pPr>
              <w:pStyle w:val="TableParagraph"/>
              <w:spacing w:before="61"/>
              <w:ind w:left="44" w:right="19"/>
              <w:jc w:val="center"/>
              <w:rPr>
                <w:sz w:val="14"/>
              </w:rPr>
            </w:pPr>
            <w:r>
              <w:rPr>
                <w:spacing w:val="-5"/>
                <w:sz w:val="14"/>
              </w:rPr>
              <w:t>10</w:t>
            </w:r>
          </w:p>
        </w:tc>
        <w:tc>
          <w:tcPr>
            <w:tcW w:w="954" w:type="dxa"/>
            <w:tcBorders>
              <w:top w:val="single" w:sz="4" w:space="0" w:color="000000"/>
            </w:tcBorders>
          </w:tcPr>
          <w:p>
            <w:pPr>
              <w:pStyle w:val="TableParagraph"/>
              <w:spacing w:before="61"/>
              <w:ind w:left="30" w:right="36"/>
              <w:jc w:val="left"/>
              <w:rPr>
                <w:sz w:val="14"/>
              </w:rPr>
            </w:pPr>
            <w:r>
              <w:rPr>
                <w:spacing w:val="-2"/>
                <w:sz w:val="14"/>
              </w:rPr>
              <w:t>Afghanistan;</w:t>
            </w:r>
            <w:r>
              <w:rPr>
                <w:spacing w:val="-2"/>
                <w:sz w:val="14"/>
                <w:vertAlign w:val="superscript"/>
              </w:rPr>
              <w:t>160</w:t>
            </w:r>
            <w:r>
              <w:rPr>
                <w:spacing w:val="40"/>
                <w:sz w:val="14"/>
                <w:vertAlign w:val="baseline"/>
              </w:rPr>
              <w:t> </w:t>
            </w:r>
            <w:r>
              <w:rPr>
                <w:spacing w:val="-2"/>
                <w:sz w:val="14"/>
                <w:vertAlign w:val="baseline"/>
              </w:rPr>
              <w:t>Bangladesh/</w:t>
            </w:r>
            <w:r>
              <w:rPr>
                <w:spacing w:val="40"/>
                <w:sz w:val="14"/>
                <w:vertAlign w:val="baseline"/>
              </w:rPr>
              <w:t> </w:t>
            </w:r>
            <w:r>
              <w:rPr>
                <w:spacing w:val="-2"/>
                <w:sz w:val="14"/>
                <w:vertAlign w:val="baseline"/>
              </w:rPr>
              <w:t>Myanmar;</w:t>
            </w:r>
            <w:r>
              <w:rPr>
                <w:spacing w:val="40"/>
                <w:sz w:val="14"/>
                <w:vertAlign w:val="baseline"/>
              </w:rPr>
              <w:t> </w:t>
            </w:r>
            <w:r>
              <w:rPr>
                <w:sz w:val="14"/>
                <w:vertAlign w:val="baseline"/>
              </w:rPr>
              <w:t>Burundi;</w:t>
            </w:r>
            <w:r>
              <w:rPr>
                <w:spacing w:val="-9"/>
                <w:sz w:val="14"/>
                <w:vertAlign w:val="baseline"/>
              </w:rPr>
              <w:t> </w:t>
            </w:r>
            <w:r>
              <w:rPr>
                <w:sz w:val="14"/>
                <w:vertAlign w:val="baseline"/>
              </w:rPr>
              <w:t>CAR</w:t>
            </w:r>
            <w:r>
              <w:rPr>
                <w:spacing w:val="40"/>
                <w:sz w:val="14"/>
                <w:vertAlign w:val="baseline"/>
              </w:rPr>
              <w:t> </w:t>
            </w:r>
            <w:r>
              <w:rPr>
                <w:sz w:val="14"/>
                <w:vertAlign w:val="baseline"/>
              </w:rPr>
              <w:t>II; CIV II;</w:t>
            </w:r>
          </w:p>
          <w:p>
            <w:pPr>
              <w:pStyle w:val="TableParagraph"/>
              <w:spacing w:line="242" w:lineRule="auto"/>
              <w:ind w:left="30" w:right="61"/>
              <w:jc w:val="left"/>
              <w:rPr>
                <w:sz w:val="14"/>
              </w:rPr>
            </w:pPr>
            <w:r>
              <w:rPr>
                <w:spacing w:val="-2"/>
                <w:sz w:val="14"/>
              </w:rPr>
              <w:t>Darfur;</w:t>
            </w:r>
            <w:r>
              <w:rPr>
                <w:spacing w:val="40"/>
                <w:sz w:val="14"/>
              </w:rPr>
              <w:t> </w:t>
            </w:r>
            <w:r>
              <w:rPr>
                <w:sz w:val="14"/>
              </w:rPr>
              <w:t>Georgia;</w:t>
            </w:r>
            <w:r>
              <w:rPr>
                <w:spacing w:val="-9"/>
                <w:sz w:val="14"/>
              </w:rPr>
              <w:t> </w:t>
            </w:r>
            <w:r>
              <w:rPr>
                <w:sz w:val="14"/>
              </w:rPr>
              <w:t>Libya</w:t>
            </w:r>
          </w:p>
          <w:p>
            <w:pPr>
              <w:pStyle w:val="TableParagraph"/>
              <w:spacing w:line="158" w:lineRule="exact"/>
              <w:ind w:left="30"/>
              <w:jc w:val="left"/>
              <w:rPr>
                <w:sz w:val="14"/>
              </w:rPr>
            </w:pPr>
            <w:r>
              <w:rPr>
                <w:sz w:val="14"/>
              </w:rPr>
              <w:t>III;</w:t>
            </w:r>
            <w:r>
              <w:rPr>
                <w:spacing w:val="-9"/>
                <w:sz w:val="14"/>
              </w:rPr>
              <w:t> </w:t>
            </w:r>
            <w:r>
              <w:rPr>
                <w:sz w:val="14"/>
              </w:rPr>
              <w:t>Libya</w:t>
            </w:r>
            <w:r>
              <w:rPr>
                <w:spacing w:val="-9"/>
                <w:sz w:val="14"/>
              </w:rPr>
              <w:t> </w:t>
            </w:r>
            <w:r>
              <w:rPr>
                <w:sz w:val="14"/>
              </w:rPr>
              <w:t>IV;</w:t>
            </w:r>
            <w:r>
              <w:rPr>
                <w:spacing w:val="40"/>
                <w:sz w:val="14"/>
              </w:rPr>
              <w:t> </w:t>
            </w:r>
            <w:r>
              <w:rPr>
                <w:sz w:val="14"/>
              </w:rPr>
              <w:t>and</w:t>
            </w:r>
            <w:r>
              <w:rPr>
                <w:spacing w:val="-6"/>
                <w:sz w:val="14"/>
              </w:rPr>
              <w:t> </w:t>
            </w:r>
            <w:r>
              <w:rPr>
                <w:sz w:val="14"/>
              </w:rPr>
              <w:t>Mali</w:t>
            </w:r>
          </w:p>
        </w:tc>
        <w:tc>
          <w:tcPr>
            <w:tcW w:w="614" w:type="dxa"/>
            <w:tcBorders>
              <w:top w:val="single" w:sz="4" w:space="0" w:color="000000"/>
            </w:tcBorders>
          </w:tcPr>
          <w:p>
            <w:pPr>
              <w:pStyle w:val="TableParagraph"/>
              <w:spacing w:before="59"/>
              <w:ind w:right="4"/>
              <w:jc w:val="center"/>
              <w:rPr>
                <w:sz w:val="9"/>
              </w:rPr>
            </w:pPr>
            <w:r>
              <w:rPr>
                <w:spacing w:val="-4"/>
                <w:position w:val="-4"/>
                <w:sz w:val="14"/>
              </w:rPr>
              <w:t>9</w:t>
            </w:r>
            <w:r>
              <w:rPr>
                <w:spacing w:val="-4"/>
                <w:sz w:val="9"/>
              </w:rPr>
              <w:t>161</w:t>
            </w:r>
          </w:p>
        </w:tc>
        <w:tc>
          <w:tcPr>
            <w:tcW w:w="468" w:type="dxa"/>
            <w:tcBorders>
              <w:top w:val="single" w:sz="4" w:space="0" w:color="000000"/>
            </w:tcBorders>
          </w:tcPr>
          <w:p>
            <w:pPr>
              <w:pStyle w:val="TableParagraph"/>
              <w:spacing w:before="61"/>
              <w:ind w:left="1"/>
              <w:jc w:val="center"/>
              <w:rPr>
                <w:sz w:val="14"/>
              </w:rPr>
            </w:pPr>
            <w:r>
              <w:rPr>
                <w:spacing w:val="-5"/>
                <w:sz w:val="14"/>
              </w:rPr>
              <w:t>12</w:t>
            </w:r>
          </w:p>
        </w:tc>
        <w:tc>
          <w:tcPr>
            <w:tcW w:w="1046" w:type="dxa"/>
            <w:tcBorders>
              <w:top w:val="single" w:sz="4" w:space="0" w:color="000000"/>
            </w:tcBorders>
          </w:tcPr>
          <w:p>
            <w:pPr>
              <w:pStyle w:val="TableParagraph"/>
              <w:spacing w:before="61"/>
              <w:ind w:left="6" w:right="50"/>
              <w:jc w:val="left"/>
              <w:rPr>
                <w:sz w:val="14"/>
              </w:rPr>
            </w:pPr>
            <w:r>
              <w:rPr>
                <w:sz w:val="14"/>
              </w:rPr>
              <w:t>Burundi;</w:t>
            </w:r>
            <w:r>
              <w:rPr>
                <w:spacing w:val="-9"/>
                <w:sz w:val="14"/>
              </w:rPr>
              <w:t> </w:t>
            </w:r>
            <w:r>
              <w:rPr>
                <w:sz w:val="14"/>
              </w:rPr>
              <w:t>CAR</w:t>
            </w:r>
            <w:r>
              <w:rPr>
                <w:spacing w:val="-9"/>
                <w:sz w:val="14"/>
              </w:rPr>
              <w:t> </w:t>
            </w:r>
            <w:r>
              <w:rPr>
                <w:sz w:val="14"/>
              </w:rPr>
              <w:t>II;</w:t>
            </w:r>
            <w:r>
              <w:rPr>
                <w:spacing w:val="40"/>
                <w:sz w:val="14"/>
              </w:rPr>
              <w:t> </w:t>
            </w:r>
            <w:r>
              <w:rPr>
                <w:sz w:val="14"/>
              </w:rPr>
              <w:t>CIV II; Darfur;</w:t>
            </w:r>
            <w:r>
              <w:rPr>
                <w:spacing w:val="40"/>
                <w:sz w:val="14"/>
              </w:rPr>
              <w:t> </w:t>
            </w:r>
            <w:r>
              <w:rPr>
                <w:sz w:val="14"/>
              </w:rPr>
              <w:t>Georgia;</w:t>
            </w:r>
            <w:r>
              <w:rPr>
                <w:spacing w:val="-9"/>
                <w:sz w:val="14"/>
              </w:rPr>
              <w:t> </w:t>
            </w:r>
            <w:r>
              <w:rPr>
                <w:sz w:val="14"/>
              </w:rPr>
              <w:t>Libya</w:t>
            </w:r>
            <w:r>
              <w:rPr>
                <w:spacing w:val="40"/>
                <w:sz w:val="14"/>
              </w:rPr>
              <w:t> </w:t>
            </w:r>
            <w:r>
              <w:rPr>
                <w:sz w:val="14"/>
              </w:rPr>
              <w:t>III;</w:t>
            </w:r>
            <w:r>
              <w:rPr>
                <w:spacing w:val="-9"/>
                <w:sz w:val="14"/>
              </w:rPr>
              <w:t> </w:t>
            </w:r>
            <w:r>
              <w:rPr>
                <w:sz w:val="14"/>
              </w:rPr>
              <w:t>Mali;</w:t>
            </w:r>
            <w:r>
              <w:rPr>
                <w:spacing w:val="40"/>
                <w:sz w:val="14"/>
              </w:rPr>
              <w:t> </w:t>
            </w:r>
            <w:r>
              <w:rPr>
                <w:spacing w:val="-2"/>
                <w:sz w:val="14"/>
              </w:rPr>
              <w:t>Myanmar;</w:t>
            </w:r>
            <w:r>
              <w:rPr>
                <w:spacing w:val="40"/>
                <w:sz w:val="14"/>
              </w:rPr>
              <w:t> </w:t>
            </w:r>
            <w:r>
              <w:rPr>
                <w:spacing w:val="-2"/>
                <w:sz w:val="14"/>
              </w:rPr>
              <w:t>Afghanistan;</w:t>
            </w:r>
            <w:r>
              <w:rPr>
                <w:spacing w:val="40"/>
                <w:sz w:val="14"/>
              </w:rPr>
              <w:t> </w:t>
            </w:r>
            <w:r>
              <w:rPr>
                <w:spacing w:val="-2"/>
                <w:sz w:val="14"/>
              </w:rPr>
              <w:t>Philippines;</w:t>
            </w:r>
          </w:p>
          <w:p>
            <w:pPr>
              <w:pStyle w:val="TableParagraph"/>
              <w:spacing w:line="158" w:lineRule="exact"/>
              <w:ind w:left="6"/>
              <w:jc w:val="left"/>
              <w:rPr>
                <w:sz w:val="14"/>
              </w:rPr>
            </w:pPr>
            <w:r>
              <w:rPr>
                <w:spacing w:val="-2"/>
                <w:sz w:val="14"/>
              </w:rPr>
              <w:t>Palestine;</w:t>
            </w:r>
            <w:r>
              <w:rPr>
                <w:spacing w:val="-7"/>
                <w:sz w:val="14"/>
              </w:rPr>
              <w:t> </w:t>
            </w:r>
            <w:r>
              <w:rPr>
                <w:spacing w:val="-2"/>
                <w:sz w:val="14"/>
              </w:rPr>
              <w:t>and</w:t>
            </w:r>
            <w:r>
              <w:rPr>
                <w:spacing w:val="40"/>
                <w:sz w:val="14"/>
              </w:rPr>
              <w:t> </w:t>
            </w:r>
            <w:r>
              <w:rPr>
                <w:spacing w:val="-2"/>
                <w:sz w:val="14"/>
              </w:rPr>
              <w:t>Venezuela</w:t>
            </w:r>
          </w:p>
        </w:tc>
        <w:tc>
          <w:tcPr>
            <w:tcW w:w="589" w:type="dxa"/>
            <w:tcBorders>
              <w:top w:val="single" w:sz="4" w:space="0" w:color="000000"/>
            </w:tcBorders>
          </w:tcPr>
          <w:p>
            <w:pPr>
              <w:pStyle w:val="TableParagraph"/>
              <w:spacing w:before="61"/>
              <w:ind w:left="5"/>
              <w:jc w:val="center"/>
              <w:rPr>
                <w:sz w:val="14"/>
              </w:rPr>
            </w:pPr>
            <w:r>
              <w:rPr>
                <w:w w:val="99"/>
                <w:sz w:val="14"/>
              </w:rPr>
              <w:t>8</w:t>
            </w:r>
          </w:p>
        </w:tc>
        <w:tc>
          <w:tcPr>
            <w:tcW w:w="1201" w:type="dxa"/>
            <w:tcBorders>
              <w:top w:val="single" w:sz="4" w:space="0" w:color="000000"/>
            </w:tcBorders>
          </w:tcPr>
          <w:p>
            <w:pPr>
              <w:pStyle w:val="TableParagraph"/>
              <w:spacing w:before="61"/>
              <w:ind w:left="18" w:right="62"/>
              <w:jc w:val="left"/>
              <w:rPr>
                <w:sz w:val="14"/>
              </w:rPr>
            </w:pPr>
            <w:r>
              <w:rPr>
                <w:spacing w:val="-2"/>
                <w:sz w:val="14"/>
              </w:rPr>
              <w:t>Bangladesh/</w:t>
            </w:r>
            <w:r>
              <w:rPr>
                <w:spacing w:val="40"/>
                <w:sz w:val="14"/>
              </w:rPr>
              <w:t> </w:t>
            </w:r>
            <w:r>
              <w:rPr>
                <w:sz w:val="14"/>
              </w:rPr>
              <w:t>Myanmar;</w:t>
            </w:r>
            <w:r>
              <w:rPr>
                <w:spacing w:val="-9"/>
                <w:sz w:val="14"/>
              </w:rPr>
              <w:t> </w:t>
            </w:r>
            <w:r>
              <w:rPr>
                <w:sz w:val="14"/>
              </w:rPr>
              <w:t>Burundi;</w:t>
            </w:r>
            <w:r>
              <w:rPr>
                <w:spacing w:val="40"/>
                <w:sz w:val="14"/>
              </w:rPr>
              <w:t> </w:t>
            </w:r>
            <w:r>
              <w:rPr>
                <w:sz w:val="14"/>
              </w:rPr>
              <w:t>CIV II; Darfur;</w:t>
            </w:r>
            <w:r>
              <w:rPr>
                <w:spacing w:val="40"/>
                <w:sz w:val="14"/>
              </w:rPr>
              <w:t> </w:t>
            </w:r>
            <w:r>
              <w:rPr>
                <w:sz w:val="14"/>
              </w:rPr>
              <w:t>Georgia; Libya III;</w:t>
            </w:r>
            <w:r>
              <w:rPr>
                <w:spacing w:val="40"/>
                <w:sz w:val="14"/>
              </w:rPr>
              <w:t> </w:t>
            </w:r>
            <w:r>
              <w:rPr>
                <w:sz w:val="14"/>
              </w:rPr>
              <w:t>Libya IV; and</w:t>
            </w:r>
            <w:r>
              <w:rPr>
                <w:spacing w:val="40"/>
                <w:sz w:val="14"/>
              </w:rPr>
              <w:t> </w:t>
            </w:r>
            <w:r>
              <w:rPr>
                <w:sz w:val="14"/>
              </w:rPr>
              <w:t>Libya</w:t>
            </w:r>
            <w:r>
              <w:rPr>
                <w:spacing w:val="-6"/>
                <w:sz w:val="14"/>
              </w:rPr>
              <w:t> </w:t>
            </w:r>
            <w:r>
              <w:rPr>
                <w:sz w:val="14"/>
              </w:rPr>
              <w:t>V</w:t>
            </w:r>
          </w:p>
        </w:tc>
        <w:tc>
          <w:tcPr>
            <w:tcW w:w="597" w:type="dxa"/>
            <w:tcBorders>
              <w:top w:val="single" w:sz="4" w:space="0" w:color="000000"/>
            </w:tcBorders>
          </w:tcPr>
          <w:p>
            <w:pPr>
              <w:pStyle w:val="TableParagraph"/>
              <w:spacing w:before="61"/>
              <w:ind w:left="26" w:right="1"/>
              <w:jc w:val="center"/>
              <w:rPr>
                <w:sz w:val="14"/>
              </w:rPr>
            </w:pPr>
            <w:r>
              <w:rPr>
                <w:spacing w:val="-5"/>
                <w:sz w:val="14"/>
              </w:rPr>
              <w:t>10</w:t>
            </w:r>
          </w:p>
        </w:tc>
        <w:tc>
          <w:tcPr>
            <w:tcW w:w="1010" w:type="dxa"/>
            <w:tcBorders>
              <w:top w:val="single" w:sz="4" w:space="0" w:color="000000"/>
            </w:tcBorders>
          </w:tcPr>
          <w:p>
            <w:pPr>
              <w:pStyle w:val="TableParagraph"/>
              <w:spacing w:before="61"/>
              <w:ind w:left="21"/>
              <w:jc w:val="left"/>
              <w:rPr>
                <w:sz w:val="14"/>
              </w:rPr>
            </w:pPr>
            <w:r>
              <w:rPr>
                <w:spacing w:val="-2"/>
                <w:sz w:val="14"/>
              </w:rPr>
              <w:t>Afghanistan;</w:t>
            </w:r>
            <w:r>
              <w:rPr>
                <w:spacing w:val="40"/>
                <w:sz w:val="14"/>
              </w:rPr>
              <w:t> </w:t>
            </w:r>
            <w:r>
              <w:rPr>
                <w:spacing w:val="-2"/>
                <w:sz w:val="14"/>
              </w:rPr>
              <w:t>Bangladesh/</w:t>
            </w:r>
            <w:r>
              <w:rPr>
                <w:spacing w:val="40"/>
                <w:sz w:val="14"/>
              </w:rPr>
              <w:t> </w:t>
            </w:r>
            <w:r>
              <w:rPr>
                <w:spacing w:val="-2"/>
                <w:sz w:val="14"/>
              </w:rPr>
              <w:t>Myanmar;</w:t>
            </w:r>
            <w:r>
              <w:rPr>
                <w:spacing w:val="40"/>
                <w:sz w:val="14"/>
              </w:rPr>
              <w:t> </w:t>
            </w:r>
            <w:r>
              <w:rPr>
                <w:sz w:val="14"/>
              </w:rPr>
              <w:t>Burundi;</w:t>
            </w:r>
            <w:r>
              <w:rPr>
                <w:spacing w:val="-9"/>
                <w:sz w:val="14"/>
              </w:rPr>
              <w:t> </w:t>
            </w:r>
            <w:r>
              <w:rPr>
                <w:sz w:val="14"/>
              </w:rPr>
              <w:t>CIV</w:t>
            </w:r>
            <w:r>
              <w:rPr>
                <w:spacing w:val="-9"/>
                <w:sz w:val="14"/>
              </w:rPr>
              <w:t> </w:t>
            </w:r>
            <w:r>
              <w:rPr>
                <w:sz w:val="14"/>
              </w:rPr>
              <w:t>II,</w:t>
            </w:r>
            <w:r>
              <w:rPr>
                <w:spacing w:val="40"/>
                <w:sz w:val="14"/>
              </w:rPr>
              <w:t> </w:t>
            </w:r>
            <w:r>
              <w:rPr>
                <w:sz w:val="14"/>
              </w:rPr>
              <w:t>Darfur;</w:t>
            </w:r>
            <w:r>
              <w:rPr>
                <w:spacing w:val="-9"/>
                <w:sz w:val="14"/>
              </w:rPr>
              <w:t> </w:t>
            </w:r>
            <w:r>
              <w:rPr>
                <w:sz w:val="14"/>
              </w:rPr>
              <w:t>Libya;</w:t>
            </w:r>
            <w:r>
              <w:rPr>
                <w:spacing w:val="40"/>
                <w:sz w:val="14"/>
              </w:rPr>
              <w:t> </w:t>
            </w:r>
            <w:r>
              <w:rPr>
                <w:spacing w:val="-2"/>
                <w:sz w:val="14"/>
              </w:rPr>
              <w:t>Palestine;</w:t>
            </w:r>
            <w:r>
              <w:rPr>
                <w:spacing w:val="40"/>
                <w:sz w:val="14"/>
              </w:rPr>
              <w:t> </w:t>
            </w:r>
            <w:r>
              <w:rPr>
                <w:spacing w:val="-2"/>
                <w:sz w:val="14"/>
              </w:rPr>
              <w:t>Philippines;</w:t>
            </w:r>
          </w:p>
          <w:p>
            <w:pPr>
              <w:pStyle w:val="TableParagraph"/>
              <w:spacing w:line="158" w:lineRule="exact"/>
              <w:ind w:left="21" w:right="251"/>
              <w:jc w:val="left"/>
              <w:rPr>
                <w:sz w:val="14"/>
              </w:rPr>
            </w:pPr>
            <w:r>
              <w:rPr>
                <w:sz w:val="14"/>
              </w:rPr>
              <w:t>Ukraine;</w:t>
            </w:r>
            <w:r>
              <w:rPr>
                <w:spacing w:val="-9"/>
                <w:sz w:val="14"/>
              </w:rPr>
              <w:t> </w:t>
            </w:r>
            <w:r>
              <w:rPr>
                <w:sz w:val="14"/>
              </w:rPr>
              <w:t>and</w:t>
            </w:r>
            <w:r>
              <w:rPr>
                <w:spacing w:val="40"/>
                <w:sz w:val="14"/>
              </w:rPr>
              <w:t> </w:t>
            </w:r>
            <w:r>
              <w:rPr>
                <w:sz w:val="14"/>
              </w:rPr>
              <w:t>Venezuela</w:t>
            </w:r>
            <w:r>
              <w:rPr>
                <w:spacing w:val="-4"/>
                <w:sz w:val="14"/>
              </w:rPr>
              <w:t> </w:t>
            </w:r>
            <w:r>
              <w:rPr>
                <w:spacing w:val="-10"/>
                <w:sz w:val="14"/>
              </w:rPr>
              <w:t>I</w:t>
            </w:r>
          </w:p>
        </w:tc>
      </w:tr>
    </w:tbl>
    <w:p>
      <w:pPr>
        <w:pStyle w:val="BodyText"/>
        <w:rPr>
          <w:b/>
        </w:rPr>
      </w:pPr>
    </w:p>
    <w:p>
      <w:pPr>
        <w:pStyle w:val="BodyText"/>
        <w:rPr>
          <w:b/>
        </w:rPr>
      </w:pPr>
    </w:p>
    <w:p>
      <w:pPr>
        <w:pStyle w:val="BodyText"/>
        <w:rPr>
          <w:b/>
        </w:rPr>
      </w:pPr>
    </w:p>
    <w:p>
      <w:pPr>
        <w:pStyle w:val="BodyText"/>
        <w:rPr>
          <w:b/>
        </w:rPr>
      </w:pPr>
    </w:p>
    <w:p>
      <w:pPr>
        <w:pStyle w:val="BodyText"/>
        <w:spacing w:before="10"/>
        <w:rPr>
          <w:b/>
          <w:sz w:val="17"/>
        </w:rPr>
      </w:pPr>
      <w:r>
        <w:rPr/>
        <w:pict>
          <v:rect style="position:absolute;margin-left:113.330002pt;margin-top:11.493866pt;width:144.050pt;height:.48004pt;mso-position-horizontal-relative:page;mso-position-vertical-relative:paragraph;z-index:-15667200;mso-wrap-distance-left:0;mso-wrap-distance-right:0" id="docshape515" filled="true" fillcolor="#000000" stroked="false">
            <v:fill type="solid"/>
            <w10:wrap type="topAndBottom"/>
          </v:rect>
        </w:pict>
      </w:r>
    </w:p>
    <w:p>
      <w:pPr>
        <w:spacing w:line="183" w:lineRule="exact" w:before="86"/>
        <w:ind w:left="2246" w:right="0" w:firstLine="0"/>
        <w:jc w:val="both"/>
        <w:rPr>
          <w:sz w:val="16"/>
        </w:rPr>
      </w:pPr>
      <w:r>
        <w:rPr>
          <w:position w:val="5"/>
          <w:sz w:val="10"/>
        </w:rPr>
        <w:t>159</w:t>
      </w:r>
      <w:r>
        <w:rPr>
          <w:spacing w:val="14"/>
          <w:position w:val="5"/>
          <w:sz w:val="10"/>
        </w:rPr>
        <w:t> </w:t>
      </w:r>
      <w:r>
        <w:rPr>
          <w:sz w:val="16"/>
        </w:rPr>
        <w:t>Nine</w:t>
      </w:r>
      <w:r>
        <w:rPr>
          <w:spacing w:val="-2"/>
          <w:sz w:val="16"/>
        </w:rPr>
        <w:t> </w:t>
      </w:r>
      <w:r>
        <w:rPr>
          <w:sz w:val="16"/>
        </w:rPr>
        <w:t>active investigations</w:t>
      </w:r>
      <w:r>
        <w:rPr>
          <w:spacing w:val="-1"/>
          <w:sz w:val="16"/>
        </w:rPr>
        <w:t> </w:t>
      </w:r>
      <w:r>
        <w:rPr>
          <w:sz w:val="16"/>
        </w:rPr>
        <w:t>but</w:t>
      </w:r>
      <w:r>
        <w:rPr>
          <w:spacing w:val="-4"/>
          <w:sz w:val="16"/>
        </w:rPr>
        <w:t> </w:t>
      </w:r>
      <w:r>
        <w:rPr>
          <w:sz w:val="16"/>
        </w:rPr>
        <w:t>Darfur</w:t>
      </w:r>
      <w:r>
        <w:rPr>
          <w:spacing w:val="-3"/>
          <w:sz w:val="16"/>
        </w:rPr>
        <w:t> </w:t>
      </w:r>
      <w:r>
        <w:rPr>
          <w:sz w:val="16"/>
        </w:rPr>
        <w:t>and</w:t>
      </w:r>
      <w:r>
        <w:rPr>
          <w:spacing w:val="-1"/>
          <w:sz w:val="16"/>
        </w:rPr>
        <w:t> </w:t>
      </w:r>
      <w:r>
        <w:rPr>
          <w:sz w:val="16"/>
        </w:rPr>
        <w:t>DRC</w:t>
      </w:r>
      <w:r>
        <w:rPr>
          <w:spacing w:val="-3"/>
          <w:sz w:val="16"/>
        </w:rPr>
        <w:t> </w:t>
      </w:r>
      <w:r>
        <w:rPr>
          <w:sz w:val="16"/>
        </w:rPr>
        <w:t>account</w:t>
      </w:r>
      <w:r>
        <w:rPr>
          <w:spacing w:val="-4"/>
          <w:sz w:val="16"/>
        </w:rPr>
        <w:t> </w:t>
      </w:r>
      <w:r>
        <w:rPr>
          <w:sz w:val="16"/>
        </w:rPr>
        <w:t>for</w:t>
      </w:r>
      <w:r>
        <w:rPr>
          <w:spacing w:val="-3"/>
          <w:sz w:val="16"/>
        </w:rPr>
        <w:t> </w:t>
      </w:r>
      <w:r>
        <w:rPr>
          <w:sz w:val="16"/>
        </w:rPr>
        <w:t>12</w:t>
      </w:r>
      <w:r>
        <w:rPr>
          <w:spacing w:val="-1"/>
          <w:sz w:val="16"/>
        </w:rPr>
        <w:t> </w:t>
      </w:r>
      <w:r>
        <w:rPr>
          <w:sz w:val="16"/>
        </w:rPr>
        <w:t>months</w:t>
      </w:r>
      <w:r>
        <w:rPr>
          <w:spacing w:val="-3"/>
          <w:sz w:val="16"/>
        </w:rPr>
        <w:t> </w:t>
      </w:r>
      <w:r>
        <w:rPr>
          <w:sz w:val="16"/>
        </w:rPr>
        <w:t>in</w:t>
      </w:r>
      <w:r>
        <w:rPr>
          <w:spacing w:val="-1"/>
          <w:sz w:val="16"/>
        </w:rPr>
        <w:t> </w:t>
      </w:r>
      <w:r>
        <w:rPr>
          <w:spacing w:val="-2"/>
          <w:sz w:val="16"/>
        </w:rPr>
        <w:t>total.</w:t>
      </w:r>
    </w:p>
    <w:p>
      <w:pPr>
        <w:spacing w:line="240" w:lineRule="auto" w:before="0"/>
        <w:ind w:left="2246" w:right="2244" w:firstLine="0"/>
        <w:jc w:val="both"/>
        <w:rPr>
          <w:sz w:val="16"/>
        </w:rPr>
      </w:pPr>
      <w:r>
        <w:rPr>
          <w:position w:val="5"/>
          <w:sz w:val="10"/>
        </w:rPr>
        <w:t>160</w:t>
      </w:r>
      <w:r>
        <w:rPr>
          <w:spacing w:val="34"/>
          <w:position w:val="5"/>
          <w:sz w:val="10"/>
        </w:rPr>
        <w:t> </w:t>
      </w:r>
      <w:r>
        <w:rPr>
          <w:sz w:val="16"/>
        </w:rPr>
        <w:t>On 5 March 2020, the Appeals Chamber decided unanimously to authorize the Prosecutor to commence an</w:t>
      </w:r>
      <w:r>
        <w:rPr>
          <w:spacing w:val="40"/>
          <w:sz w:val="16"/>
        </w:rPr>
        <w:t> </w:t>
      </w:r>
      <w:r>
        <w:rPr>
          <w:sz w:val="16"/>
        </w:rPr>
        <w:t>investigation</w:t>
      </w:r>
      <w:r>
        <w:rPr>
          <w:spacing w:val="-10"/>
          <w:sz w:val="16"/>
        </w:rPr>
        <w:t> </w:t>
      </w:r>
      <w:r>
        <w:rPr>
          <w:sz w:val="16"/>
        </w:rPr>
        <w:t>into</w:t>
      </w:r>
      <w:r>
        <w:rPr>
          <w:spacing w:val="-10"/>
          <w:sz w:val="16"/>
        </w:rPr>
        <w:t> </w:t>
      </w:r>
      <w:r>
        <w:rPr>
          <w:sz w:val="16"/>
        </w:rPr>
        <w:t>alleged</w:t>
      </w:r>
      <w:r>
        <w:rPr>
          <w:spacing w:val="-10"/>
          <w:sz w:val="16"/>
        </w:rPr>
        <w:t> </w:t>
      </w:r>
      <w:r>
        <w:rPr>
          <w:sz w:val="16"/>
        </w:rPr>
        <w:t>crimes</w:t>
      </w:r>
      <w:r>
        <w:rPr>
          <w:spacing w:val="-10"/>
          <w:sz w:val="16"/>
        </w:rPr>
        <w:t> </w:t>
      </w:r>
      <w:r>
        <w:rPr>
          <w:sz w:val="16"/>
        </w:rPr>
        <w:t>under</w:t>
      </w:r>
      <w:r>
        <w:rPr>
          <w:spacing w:val="-10"/>
          <w:sz w:val="16"/>
        </w:rPr>
        <w:t> </w:t>
      </w:r>
      <w:r>
        <w:rPr>
          <w:sz w:val="16"/>
        </w:rPr>
        <w:t>the</w:t>
      </w:r>
      <w:r>
        <w:rPr>
          <w:spacing w:val="-10"/>
          <w:sz w:val="16"/>
        </w:rPr>
        <w:t> </w:t>
      </w:r>
      <w:r>
        <w:rPr>
          <w:sz w:val="16"/>
        </w:rPr>
        <w:t>jurisdiction</w:t>
      </w:r>
      <w:r>
        <w:rPr>
          <w:spacing w:val="-10"/>
          <w:sz w:val="16"/>
        </w:rPr>
        <w:t> </w:t>
      </w:r>
      <w:r>
        <w:rPr>
          <w:sz w:val="16"/>
        </w:rPr>
        <w:t>of</w:t>
      </w:r>
      <w:r>
        <w:rPr>
          <w:spacing w:val="-10"/>
          <w:sz w:val="16"/>
        </w:rPr>
        <w:t> </w:t>
      </w:r>
      <w:r>
        <w:rPr>
          <w:sz w:val="16"/>
        </w:rPr>
        <w:t>the</w:t>
      </w:r>
      <w:r>
        <w:rPr>
          <w:spacing w:val="-10"/>
          <w:sz w:val="16"/>
        </w:rPr>
        <w:t> </w:t>
      </w:r>
      <w:r>
        <w:rPr>
          <w:sz w:val="16"/>
        </w:rPr>
        <w:t>Court</w:t>
      </w:r>
      <w:r>
        <w:rPr>
          <w:spacing w:val="-10"/>
          <w:sz w:val="16"/>
        </w:rPr>
        <w:t> </w:t>
      </w:r>
      <w:r>
        <w:rPr>
          <w:sz w:val="16"/>
        </w:rPr>
        <w:t>in</w:t>
      </w:r>
      <w:r>
        <w:rPr>
          <w:spacing w:val="-10"/>
          <w:sz w:val="16"/>
        </w:rPr>
        <w:t> </w:t>
      </w:r>
      <w:r>
        <w:rPr>
          <w:sz w:val="16"/>
        </w:rPr>
        <w:t>relation</w:t>
      </w:r>
      <w:r>
        <w:rPr>
          <w:spacing w:val="-10"/>
          <w:sz w:val="16"/>
        </w:rPr>
        <w:t> </w:t>
      </w:r>
      <w:r>
        <w:rPr>
          <w:sz w:val="16"/>
        </w:rPr>
        <w:t>to</w:t>
      </w:r>
      <w:r>
        <w:rPr>
          <w:spacing w:val="-10"/>
          <w:sz w:val="16"/>
        </w:rPr>
        <w:t> </w:t>
      </w:r>
      <w:r>
        <w:rPr>
          <w:sz w:val="16"/>
        </w:rPr>
        <w:t>the</w:t>
      </w:r>
      <w:r>
        <w:rPr>
          <w:spacing w:val="-10"/>
          <w:sz w:val="16"/>
        </w:rPr>
        <w:t> </w:t>
      </w:r>
      <w:r>
        <w:rPr>
          <w:sz w:val="16"/>
        </w:rPr>
        <w:t>situation</w:t>
      </w:r>
      <w:r>
        <w:rPr>
          <w:spacing w:val="-10"/>
          <w:sz w:val="16"/>
        </w:rPr>
        <w:t> </w:t>
      </w:r>
      <w:r>
        <w:rPr>
          <w:sz w:val="16"/>
        </w:rPr>
        <w:t>in</w:t>
      </w:r>
      <w:r>
        <w:rPr>
          <w:spacing w:val="-10"/>
          <w:sz w:val="16"/>
        </w:rPr>
        <w:t> </w:t>
      </w:r>
      <w:r>
        <w:rPr>
          <w:sz w:val="16"/>
        </w:rPr>
        <w:t>the</w:t>
      </w:r>
      <w:r>
        <w:rPr>
          <w:spacing w:val="-10"/>
          <w:sz w:val="16"/>
        </w:rPr>
        <w:t> </w:t>
      </w:r>
      <w:r>
        <w:rPr>
          <w:sz w:val="16"/>
        </w:rPr>
        <w:t>Islamic</w:t>
      </w:r>
      <w:r>
        <w:rPr>
          <w:spacing w:val="-9"/>
          <w:sz w:val="16"/>
        </w:rPr>
        <w:t> </w:t>
      </w:r>
      <w:r>
        <w:rPr>
          <w:sz w:val="16"/>
        </w:rPr>
        <w:t>Republic</w:t>
      </w:r>
      <w:r>
        <w:rPr>
          <w:spacing w:val="40"/>
          <w:sz w:val="16"/>
        </w:rPr>
        <w:t> </w:t>
      </w:r>
      <w:r>
        <w:rPr>
          <w:sz w:val="16"/>
        </w:rPr>
        <w:t>of Afghanistan. While the OTP has been authorized to investigate, it has also received a request from Afghanistan</w:t>
      </w:r>
      <w:r>
        <w:rPr>
          <w:spacing w:val="40"/>
          <w:sz w:val="16"/>
        </w:rPr>
        <w:t> </w:t>
      </w:r>
      <w:r>
        <w:rPr>
          <w:sz w:val="16"/>
        </w:rPr>
        <w:t>pursuant</w:t>
      </w:r>
      <w:r>
        <w:rPr>
          <w:spacing w:val="-9"/>
          <w:sz w:val="16"/>
        </w:rPr>
        <w:t> </w:t>
      </w:r>
      <w:r>
        <w:rPr>
          <w:sz w:val="16"/>
        </w:rPr>
        <w:t>to</w:t>
      </w:r>
      <w:r>
        <w:rPr>
          <w:spacing w:val="-6"/>
          <w:sz w:val="16"/>
        </w:rPr>
        <w:t> </w:t>
      </w:r>
      <w:r>
        <w:rPr>
          <w:sz w:val="16"/>
        </w:rPr>
        <w:t>article</w:t>
      </w:r>
      <w:r>
        <w:rPr>
          <w:spacing w:val="-6"/>
          <w:sz w:val="16"/>
        </w:rPr>
        <w:t> </w:t>
      </w:r>
      <w:r>
        <w:rPr>
          <w:sz w:val="16"/>
        </w:rPr>
        <w:t>18</w:t>
      </w:r>
      <w:r>
        <w:rPr>
          <w:spacing w:val="-6"/>
          <w:sz w:val="16"/>
        </w:rPr>
        <w:t> </w:t>
      </w:r>
      <w:r>
        <w:rPr>
          <w:sz w:val="16"/>
        </w:rPr>
        <w:t>of</w:t>
      </w:r>
      <w:r>
        <w:rPr>
          <w:spacing w:val="-3"/>
          <w:sz w:val="16"/>
        </w:rPr>
        <w:t> </w:t>
      </w:r>
      <w:r>
        <w:rPr>
          <w:sz w:val="16"/>
        </w:rPr>
        <w:t>the</w:t>
      </w:r>
      <w:r>
        <w:rPr>
          <w:spacing w:val="-2"/>
          <w:sz w:val="16"/>
        </w:rPr>
        <w:t> </w:t>
      </w:r>
      <w:r>
        <w:rPr>
          <w:sz w:val="16"/>
        </w:rPr>
        <w:t>Rome</w:t>
      </w:r>
      <w:r>
        <w:rPr>
          <w:spacing w:val="-2"/>
          <w:sz w:val="16"/>
        </w:rPr>
        <w:t> </w:t>
      </w:r>
      <w:r>
        <w:rPr>
          <w:sz w:val="16"/>
        </w:rPr>
        <w:t>Statute.</w:t>
      </w:r>
      <w:r>
        <w:rPr>
          <w:spacing w:val="-4"/>
          <w:sz w:val="16"/>
        </w:rPr>
        <w:t> </w:t>
      </w:r>
      <w:r>
        <w:rPr>
          <w:sz w:val="16"/>
        </w:rPr>
        <w:t>The</w:t>
      </w:r>
      <w:r>
        <w:rPr>
          <w:spacing w:val="-6"/>
          <w:sz w:val="16"/>
        </w:rPr>
        <w:t> </w:t>
      </w:r>
      <w:r>
        <w:rPr>
          <w:sz w:val="16"/>
        </w:rPr>
        <w:t>Office</w:t>
      </w:r>
      <w:r>
        <w:rPr>
          <w:spacing w:val="-6"/>
          <w:sz w:val="16"/>
        </w:rPr>
        <w:t> </w:t>
      </w:r>
      <w:r>
        <w:rPr>
          <w:sz w:val="16"/>
        </w:rPr>
        <w:t>has</w:t>
      </w:r>
      <w:r>
        <w:rPr>
          <w:spacing w:val="-1"/>
          <w:sz w:val="16"/>
        </w:rPr>
        <w:t> </w:t>
      </w:r>
      <w:r>
        <w:rPr>
          <w:sz w:val="16"/>
        </w:rPr>
        <w:t>been</w:t>
      </w:r>
      <w:r>
        <w:rPr>
          <w:spacing w:val="-6"/>
          <w:sz w:val="16"/>
        </w:rPr>
        <w:t> </w:t>
      </w:r>
      <w:r>
        <w:rPr>
          <w:sz w:val="16"/>
        </w:rPr>
        <w:t>carefully</w:t>
      </w:r>
      <w:r>
        <w:rPr>
          <w:spacing w:val="-6"/>
          <w:sz w:val="16"/>
        </w:rPr>
        <w:t> </w:t>
      </w:r>
      <w:r>
        <w:rPr>
          <w:sz w:val="16"/>
        </w:rPr>
        <w:t>analysing</w:t>
      </w:r>
      <w:r>
        <w:rPr>
          <w:spacing w:val="-6"/>
          <w:sz w:val="16"/>
        </w:rPr>
        <w:t> </w:t>
      </w:r>
      <w:r>
        <w:rPr>
          <w:sz w:val="16"/>
        </w:rPr>
        <w:t>the</w:t>
      </w:r>
      <w:r>
        <w:rPr>
          <w:spacing w:val="-6"/>
          <w:sz w:val="16"/>
        </w:rPr>
        <w:t> </w:t>
      </w:r>
      <w:r>
        <w:rPr>
          <w:sz w:val="16"/>
        </w:rPr>
        <w:t>information</w:t>
      </w:r>
      <w:r>
        <w:rPr>
          <w:spacing w:val="-1"/>
          <w:sz w:val="16"/>
        </w:rPr>
        <w:t> </w:t>
      </w:r>
      <w:r>
        <w:rPr>
          <w:sz w:val="16"/>
        </w:rPr>
        <w:t>in</w:t>
      </w:r>
      <w:r>
        <w:rPr>
          <w:spacing w:val="-1"/>
          <w:sz w:val="16"/>
        </w:rPr>
        <w:t> </w:t>
      </w:r>
      <w:r>
        <w:rPr>
          <w:sz w:val="16"/>
        </w:rPr>
        <w:t>its</w:t>
      </w:r>
      <w:r>
        <w:rPr>
          <w:spacing w:val="-3"/>
          <w:sz w:val="16"/>
        </w:rPr>
        <w:t> </w:t>
      </w:r>
      <w:r>
        <w:rPr>
          <w:sz w:val="16"/>
        </w:rPr>
        <w:t>possession</w:t>
      </w:r>
      <w:r>
        <w:rPr>
          <w:spacing w:val="40"/>
          <w:sz w:val="16"/>
        </w:rPr>
        <w:t> </w:t>
      </w:r>
      <w:r>
        <w:rPr>
          <w:sz w:val="16"/>
        </w:rPr>
        <w:t>and considering whether the information the Government of Afghanistan has provided has an impact on its own</w:t>
      </w:r>
      <w:r>
        <w:rPr>
          <w:spacing w:val="40"/>
          <w:sz w:val="16"/>
        </w:rPr>
        <w:t> </w:t>
      </w:r>
      <w:r>
        <w:rPr>
          <w:sz w:val="16"/>
        </w:rPr>
        <w:t>intended investigation. In view of this ongoing assessment, in addition to practical restrictions due to the world</w:t>
      </w:r>
      <w:r>
        <w:rPr>
          <w:spacing w:val="40"/>
          <w:sz w:val="16"/>
        </w:rPr>
        <w:t> </w:t>
      </w:r>
      <w:r>
        <w:rPr>
          <w:sz w:val="16"/>
        </w:rPr>
        <w:t>health crisis, the Office has not taken active investigative steps but is meeting its obligations under the Statute.</w:t>
      </w:r>
    </w:p>
    <w:p>
      <w:pPr>
        <w:spacing w:line="183" w:lineRule="exact" w:before="0"/>
        <w:ind w:left="2246" w:right="0" w:firstLine="0"/>
        <w:jc w:val="both"/>
        <w:rPr>
          <w:sz w:val="16"/>
        </w:rPr>
      </w:pPr>
      <w:r>
        <w:rPr>
          <w:position w:val="5"/>
          <w:sz w:val="10"/>
        </w:rPr>
        <w:t>161</w:t>
      </w:r>
      <w:r>
        <w:rPr>
          <w:spacing w:val="13"/>
          <w:position w:val="5"/>
          <w:sz w:val="10"/>
        </w:rPr>
        <w:t> </w:t>
      </w:r>
      <w:r>
        <w:rPr>
          <w:sz w:val="16"/>
        </w:rPr>
        <w:t>Nine</w:t>
      </w:r>
      <w:r>
        <w:rPr>
          <w:spacing w:val="-2"/>
          <w:sz w:val="16"/>
        </w:rPr>
        <w:t> </w:t>
      </w:r>
      <w:r>
        <w:rPr>
          <w:sz w:val="16"/>
        </w:rPr>
        <w:t>active</w:t>
      </w:r>
      <w:r>
        <w:rPr>
          <w:spacing w:val="-3"/>
          <w:sz w:val="16"/>
        </w:rPr>
        <w:t> </w:t>
      </w:r>
      <w:r>
        <w:rPr>
          <w:sz w:val="16"/>
        </w:rPr>
        <w:t>investigations</w:t>
      </w:r>
      <w:r>
        <w:rPr>
          <w:spacing w:val="-3"/>
          <w:sz w:val="16"/>
        </w:rPr>
        <w:t> </w:t>
      </w:r>
      <w:r>
        <w:rPr>
          <w:sz w:val="16"/>
        </w:rPr>
        <w:t>but</w:t>
      </w:r>
      <w:r>
        <w:rPr>
          <w:spacing w:val="-4"/>
          <w:sz w:val="16"/>
        </w:rPr>
        <w:t> </w:t>
      </w:r>
      <w:r>
        <w:rPr>
          <w:sz w:val="16"/>
        </w:rPr>
        <w:t>not</w:t>
      </w:r>
      <w:r>
        <w:rPr>
          <w:spacing w:val="-5"/>
          <w:sz w:val="16"/>
        </w:rPr>
        <w:t> </w:t>
      </w:r>
      <w:r>
        <w:rPr>
          <w:sz w:val="16"/>
        </w:rPr>
        <w:t>all</w:t>
      </w:r>
      <w:r>
        <w:rPr>
          <w:spacing w:val="-4"/>
          <w:sz w:val="16"/>
        </w:rPr>
        <w:t> </w:t>
      </w:r>
      <w:r>
        <w:rPr>
          <w:sz w:val="16"/>
        </w:rPr>
        <w:t>for</w:t>
      </w:r>
      <w:r>
        <w:rPr>
          <w:spacing w:val="-4"/>
          <w:sz w:val="16"/>
        </w:rPr>
        <w:t> </w:t>
      </w:r>
      <w:r>
        <w:rPr>
          <w:sz w:val="16"/>
        </w:rPr>
        <w:t>the</w:t>
      </w:r>
      <w:r>
        <w:rPr>
          <w:spacing w:val="-2"/>
          <w:sz w:val="16"/>
        </w:rPr>
        <w:t> </w:t>
      </w:r>
      <w:r>
        <w:rPr>
          <w:sz w:val="16"/>
        </w:rPr>
        <w:t>full</w:t>
      </w:r>
      <w:r>
        <w:rPr>
          <w:spacing w:val="-4"/>
          <w:sz w:val="16"/>
        </w:rPr>
        <w:t> </w:t>
      </w:r>
      <w:r>
        <w:rPr>
          <w:sz w:val="16"/>
        </w:rPr>
        <w:t>year:</w:t>
      </w:r>
      <w:r>
        <w:rPr>
          <w:spacing w:val="-5"/>
          <w:sz w:val="16"/>
        </w:rPr>
        <w:t> </w:t>
      </w:r>
      <w:r>
        <w:rPr>
          <w:sz w:val="16"/>
        </w:rPr>
        <w:t>CAR</w:t>
      </w:r>
      <w:r>
        <w:rPr>
          <w:spacing w:val="-3"/>
          <w:sz w:val="16"/>
        </w:rPr>
        <w:t> </w:t>
      </w:r>
      <w:r>
        <w:rPr>
          <w:sz w:val="16"/>
        </w:rPr>
        <w:t>II.a</w:t>
      </w:r>
      <w:r>
        <w:rPr>
          <w:spacing w:val="2"/>
          <w:sz w:val="16"/>
        </w:rPr>
        <w:t> </w:t>
      </w:r>
      <w:r>
        <w:rPr>
          <w:sz w:val="16"/>
        </w:rPr>
        <w:t>(six</w:t>
      </w:r>
      <w:r>
        <w:rPr>
          <w:spacing w:val="-1"/>
          <w:sz w:val="16"/>
        </w:rPr>
        <w:t> </w:t>
      </w:r>
      <w:r>
        <w:rPr>
          <w:sz w:val="16"/>
        </w:rPr>
        <w:t>months)</w:t>
      </w:r>
      <w:r>
        <w:rPr>
          <w:spacing w:val="-3"/>
          <w:sz w:val="16"/>
        </w:rPr>
        <w:t> </w:t>
      </w:r>
      <w:r>
        <w:rPr>
          <w:sz w:val="16"/>
        </w:rPr>
        <w:t>and</w:t>
      </w:r>
      <w:r>
        <w:rPr>
          <w:spacing w:val="-2"/>
          <w:sz w:val="16"/>
        </w:rPr>
        <w:t> </w:t>
      </w:r>
      <w:r>
        <w:rPr>
          <w:sz w:val="16"/>
        </w:rPr>
        <w:t>Georgia</w:t>
      </w:r>
      <w:r>
        <w:rPr>
          <w:spacing w:val="-2"/>
          <w:sz w:val="16"/>
        </w:rPr>
        <w:t> </w:t>
      </w:r>
      <w:r>
        <w:rPr>
          <w:sz w:val="16"/>
        </w:rPr>
        <w:t>(six</w:t>
      </w:r>
      <w:r>
        <w:rPr>
          <w:spacing w:val="-2"/>
          <w:sz w:val="16"/>
        </w:rPr>
        <w:t> months).</w:t>
      </w:r>
    </w:p>
    <w:p>
      <w:pPr>
        <w:spacing w:after="0" w:line="183" w:lineRule="exact"/>
        <w:jc w:val="both"/>
        <w:rPr>
          <w:sz w:val="16"/>
        </w:rPr>
        <w:sectPr>
          <w:pgSz w:w="11910" w:h="16840"/>
          <w:pgMar w:header="957" w:footer="940" w:top="1140" w:bottom="1140" w:left="20" w:right="20"/>
        </w:sectPr>
      </w:pPr>
    </w:p>
    <w:p>
      <w:pPr>
        <w:pStyle w:val="BodyText"/>
        <w:spacing w:before="9"/>
        <w:rPr>
          <w:sz w:val="10"/>
        </w:rPr>
      </w:pPr>
    </w:p>
    <w:tbl>
      <w:tblPr>
        <w:tblW w:w="0" w:type="auto"/>
        <w:jc w:val="left"/>
        <w:tblInd w:w="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9"/>
        <w:gridCol w:w="787"/>
        <w:gridCol w:w="592"/>
        <w:gridCol w:w="476"/>
        <w:gridCol w:w="1140"/>
        <w:gridCol w:w="620"/>
        <w:gridCol w:w="512"/>
        <w:gridCol w:w="966"/>
        <w:gridCol w:w="603"/>
        <w:gridCol w:w="475"/>
        <w:gridCol w:w="1042"/>
        <w:gridCol w:w="585"/>
        <w:gridCol w:w="1212"/>
        <w:gridCol w:w="585"/>
        <w:gridCol w:w="1010"/>
      </w:tblGrid>
      <w:tr>
        <w:trPr>
          <w:trHeight w:val="282" w:hRule="atLeast"/>
        </w:trPr>
        <w:tc>
          <w:tcPr>
            <w:tcW w:w="10794" w:type="dxa"/>
            <w:gridSpan w:val="15"/>
            <w:tcBorders>
              <w:top w:val="single" w:sz="4" w:space="0" w:color="000000"/>
              <w:bottom w:val="single" w:sz="4" w:space="0" w:color="000000"/>
            </w:tcBorders>
          </w:tcPr>
          <w:p>
            <w:pPr>
              <w:pStyle w:val="TableParagraph"/>
              <w:spacing w:before="66"/>
              <w:ind w:left="3819" w:right="3807"/>
              <w:jc w:val="center"/>
              <w:rPr>
                <w:i/>
                <w:sz w:val="14"/>
              </w:rPr>
            </w:pPr>
            <w:r>
              <w:rPr>
                <w:i/>
                <w:sz w:val="14"/>
              </w:rPr>
              <w:t>Comparison</w:t>
            </w:r>
            <w:r>
              <w:rPr>
                <w:i/>
                <w:spacing w:val="-5"/>
                <w:sz w:val="14"/>
              </w:rPr>
              <w:t> </w:t>
            </w:r>
            <w:r>
              <w:rPr>
                <w:i/>
                <w:sz w:val="14"/>
              </w:rPr>
              <w:t>of</w:t>
            </w:r>
            <w:r>
              <w:rPr>
                <w:i/>
                <w:spacing w:val="-6"/>
                <w:sz w:val="14"/>
              </w:rPr>
              <w:t> </w:t>
            </w:r>
            <w:r>
              <w:rPr>
                <w:i/>
                <w:sz w:val="14"/>
              </w:rPr>
              <w:t>assumptions</w:t>
            </w:r>
            <w:r>
              <w:rPr>
                <w:i/>
                <w:spacing w:val="-6"/>
                <w:sz w:val="14"/>
              </w:rPr>
              <w:t> </w:t>
            </w:r>
            <w:r>
              <w:rPr>
                <w:i/>
                <w:sz w:val="14"/>
              </w:rPr>
              <w:t>and</w:t>
            </w:r>
            <w:r>
              <w:rPr>
                <w:i/>
                <w:spacing w:val="-4"/>
                <w:sz w:val="14"/>
              </w:rPr>
              <w:t> </w:t>
            </w:r>
            <w:r>
              <w:rPr>
                <w:i/>
                <w:sz w:val="14"/>
              </w:rPr>
              <w:t>parameters:</w:t>
            </w:r>
            <w:r>
              <w:rPr>
                <w:i/>
                <w:spacing w:val="-5"/>
                <w:sz w:val="14"/>
              </w:rPr>
              <w:t> </w:t>
            </w:r>
            <w:r>
              <w:rPr>
                <w:i/>
                <w:sz w:val="14"/>
              </w:rPr>
              <w:t>2019-</w:t>
            </w:r>
            <w:r>
              <w:rPr>
                <w:i/>
                <w:spacing w:val="-4"/>
                <w:sz w:val="14"/>
              </w:rPr>
              <w:t>2023</w:t>
            </w:r>
          </w:p>
        </w:tc>
      </w:tr>
      <w:tr>
        <w:trPr>
          <w:trHeight w:val="282" w:hRule="atLeast"/>
        </w:trPr>
        <w:tc>
          <w:tcPr>
            <w:tcW w:w="189" w:type="dxa"/>
            <w:tcBorders>
              <w:top w:val="single" w:sz="4" w:space="0" w:color="000000"/>
            </w:tcBorders>
          </w:tcPr>
          <w:p>
            <w:pPr>
              <w:pStyle w:val="TableParagraph"/>
              <w:jc w:val="left"/>
              <w:rPr>
                <w:sz w:val="14"/>
              </w:rPr>
            </w:pPr>
          </w:p>
        </w:tc>
        <w:tc>
          <w:tcPr>
            <w:tcW w:w="787" w:type="dxa"/>
            <w:tcBorders>
              <w:top w:val="single" w:sz="4" w:space="0" w:color="000000"/>
            </w:tcBorders>
          </w:tcPr>
          <w:p>
            <w:pPr>
              <w:pStyle w:val="TableParagraph"/>
              <w:spacing w:before="61"/>
              <w:ind w:left="3"/>
              <w:jc w:val="left"/>
              <w:rPr>
                <w:i/>
                <w:sz w:val="14"/>
              </w:rPr>
            </w:pPr>
            <w:r>
              <w:rPr>
                <w:i/>
                <w:spacing w:val="-2"/>
                <w:sz w:val="14"/>
              </w:rPr>
              <w:t>Parameter</w:t>
            </w:r>
          </w:p>
        </w:tc>
        <w:tc>
          <w:tcPr>
            <w:tcW w:w="2208" w:type="dxa"/>
            <w:gridSpan w:val="3"/>
            <w:tcBorders>
              <w:top w:val="single" w:sz="4" w:space="0" w:color="000000"/>
              <w:bottom w:val="single" w:sz="4" w:space="0" w:color="000000"/>
            </w:tcBorders>
          </w:tcPr>
          <w:p>
            <w:pPr>
              <w:pStyle w:val="TableParagraph"/>
              <w:spacing w:before="61"/>
              <w:ind w:left="306"/>
              <w:jc w:val="left"/>
              <w:rPr>
                <w:i/>
                <w:sz w:val="14"/>
              </w:rPr>
            </w:pPr>
            <w:r>
              <w:rPr>
                <w:i/>
                <w:sz w:val="14"/>
              </w:rPr>
              <w:t>2019</w:t>
            </w:r>
            <w:r>
              <w:rPr>
                <w:i/>
                <w:spacing w:val="-4"/>
                <w:sz w:val="14"/>
              </w:rPr>
              <w:t> </w:t>
            </w:r>
            <w:r>
              <w:rPr>
                <w:i/>
                <w:sz w:val="14"/>
              </w:rPr>
              <w:t>Approved</w:t>
            </w:r>
            <w:r>
              <w:rPr>
                <w:i/>
                <w:spacing w:val="-3"/>
                <w:sz w:val="14"/>
              </w:rPr>
              <w:t> </w:t>
            </w:r>
            <w:r>
              <w:rPr>
                <w:i/>
                <w:sz w:val="14"/>
              </w:rPr>
              <w:t>and</w:t>
            </w:r>
            <w:r>
              <w:rPr>
                <w:i/>
                <w:spacing w:val="-4"/>
                <w:sz w:val="14"/>
              </w:rPr>
              <w:t> </w:t>
            </w:r>
            <w:r>
              <w:rPr>
                <w:i/>
                <w:spacing w:val="-2"/>
                <w:sz w:val="14"/>
              </w:rPr>
              <w:t>Actuals</w:t>
            </w:r>
          </w:p>
        </w:tc>
        <w:tc>
          <w:tcPr>
            <w:tcW w:w="2098" w:type="dxa"/>
            <w:gridSpan w:val="3"/>
            <w:tcBorders>
              <w:top w:val="single" w:sz="4" w:space="0" w:color="000000"/>
              <w:bottom w:val="single" w:sz="4" w:space="0" w:color="000000"/>
            </w:tcBorders>
          </w:tcPr>
          <w:p>
            <w:pPr>
              <w:pStyle w:val="TableParagraph"/>
              <w:spacing w:before="61"/>
              <w:ind w:left="239"/>
              <w:jc w:val="left"/>
              <w:rPr>
                <w:i/>
                <w:sz w:val="14"/>
              </w:rPr>
            </w:pPr>
            <w:r>
              <w:rPr>
                <w:i/>
                <w:sz w:val="14"/>
              </w:rPr>
              <w:t>2020</w:t>
            </w:r>
            <w:r>
              <w:rPr>
                <w:i/>
                <w:spacing w:val="-4"/>
                <w:sz w:val="14"/>
              </w:rPr>
              <w:t> </w:t>
            </w:r>
            <w:r>
              <w:rPr>
                <w:i/>
                <w:sz w:val="14"/>
              </w:rPr>
              <w:t>Approved</w:t>
            </w:r>
            <w:r>
              <w:rPr>
                <w:i/>
                <w:spacing w:val="-3"/>
                <w:sz w:val="14"/>
              </w:rPr>
              <w:t> </w:t>
            </w:r>
            <w:r>
              <w:rPr>
                <w:i/>
                <w:sz w:val="14"/>
              </w:rPr>
              <w:t>and</w:t>
            </w:r>
            <w:r>
              <w:rPr>
                <w:i/>
                <w:spacing w:val="-4"/>
                <w:sz w:val="14"/>
              </w:rPr>
              <w:t> </w:t>
            </w:r>
            <w:r>
              <w:rPr>
                <w:i/>
                <w:spacing w:val="-2"/>
                <w:sz w:val="14"/>
              </w:rPr>
              <w:t>Actuals</w:t>
            </w:r>
          </w:p>
        </w:tc>
        <w:tc>
          <w:tcPr>
            <w:tcW w:w="2120" w:type="dxa"/>
            <w:gridSpan w:val="3"/>
            <w:tcBorders>
              <w:top w:val="single" w:sz="4" w:space="0" w:color="000000"/>
              <w:bottom w:val="single" w:sz="4" w:space="0" w:color="000000"/>
            </w:tcBorders>
          </w:tcPr>
          <w:p>
            <w:pPr>
              <w:pStyle w:val="TableParagraph"/>
              <w:spacing w:before="61"/>
              <w:ind w:left="259"/>
              <w:jc w:val="left"/>
              <w:rPr>
                <w:i/>
                <w:sz w:val="14"/>
              </w:rPr>
            </w:pPr>
            <w:r>
              <w:rPr>
                <w:i/>
                <w:sz w:val="14"/>
              </w:rPr>
              <w:t>2021</w:t>
            </w:r>
            <w:r>
              <w:rPr>
                <w:i/>
                <w:spacing w:val="-4"/>
                <w:sz w:val="14"/>
              </w:rPr>
              <w:t> </w:t>
            </w:r>
            <w:r>
              <w:rPr>
                <w:i/>
                <w:sz w:val="14"/>
              </w:rPr>
              <w:t>Approved</w:t>
            </w:r>
            <w:r>
              <w:rPr>
                <w:i/>
                <w:spacing w:val="-3"/>
                <w:sz w:val="14"/>
              </w:rPr>
              <w:t> </w:t>
            </w:r>
            <w:r>
              <w:rPr>
                <w:i/>
                <w:sz w:val="14"/>
              </w:rPr>
              <w:t>and</w:t>
            </w:r>
            <w:r>
              <w:rPr>
                <w:i/>
                <w:spacing w:val="-4"/>
                <w:sz w:val="14"/>
              </w:rPr>
              <w:t> </w:t>
            </w:r>
            <w:r>
              <w:rPr>
                <w:i/>
                <w:spacing w:val="-2"/>
                <w:sz w:val="14"/>
              </w:rPr>
              <w:t>Actuals</w:t>
            </w:r>
          </w:p>
        </w:tc>
        <w:tc>
          <w:tcPr>
            <w:tcW w:w="1797" w:type="dxa"/>
            <w:gridSpan w:val="2"/>
            <w:tcBorders>
              <w:top w:val="single" w:sz="4" w:space="0" w:color="000000"/>
              <w:bottom w:val="single" w:sz="4" w:space="0" w:color="000000"/>
            </w:tcBorders>
          </w:tcPr>
          <w:p>
            <w:pPr>
              <w:pStyle w:val="TableParagraph"/>
              <w:spacing w:before="61"/>
              <w:ind w:left="449"/>
              <w:jc w:val="left"/>
              <w:rPr>
                <w:i/>
                <w:sz w:val="14"/>
              </w:rPr>
            </w:pPr>
            <w:r>
              <w:rPr>
                <w:i/>
                <w:sz w:val="14"/>
              </w:rPr>
              <w:t>2022</w:t>
            </w:r>
            <w:r>
              <w:rPr>
                <w:i/>
                <w:spacing w:val="-2"/>
                <w:sz w:val="14"/>
              </w:rPr>
              <w:t> Approved</w:t>
            </w:r>
          </w:p>
        </w:tc>
        <w:tc>
          <w:tcPr>
            <w:tcW w:w="1595" w:type="dxa"/>
            <w:gridSpan w:val="2"/>
            <w:tcBorders>
              <w:top w:val="single" w:sz="4" w:space="0" w:color="000000"/>
              <w:bottom w:val="single" w:sz="4" w:space="0" w:color="000000"/>
            </w:tcBorders>
          </w:tcPr>
          <w:p>
            <w:pPr>
              <w:pStyle w:val="TableParagraph"/>
              <w:spacing w:before="61"/>
              <w:ind w:left="362"/>
              <w:jc w:val="left"/>
              <w:rPr>
                <w:i/>
                <w:sz w:val="14"/>
              </w:rPr>
            </w:pPr>
            <w:r>
              <w:rPr>
                <w:i/>
                <w:sz w:val="14"/>
              </w:rPr>
              <w:t>2023</w:t>
            </w:r>
            <w:r>
              <w:rPr>
                <w:i/>
                <w:spacing w:val="-2"/>
                <w:sz w:val="14"/>
              </w:rPr>
              <w:t> Proposed</w:t>
            </w:r>
          </w:p>
        </w:tc>
      </w:tr>
      <w:tr>
        <w:trPr>
          <w:trHeight w:val="277" w:hRule="atLeast"/>
        </w:trPr>
        <w:tc>
          <w:tcPr>
            <w:tcW w:w="189" w:type="dxa"/>
            <w:tcBorders>
              <w:bottom w:val="single" w:sz="4" w:space="0" w:color="000000"/>
            </w:tcBorders>
          </w:tcPr>
          <w:p>
            <w:pPr>
              <w:pStyle w:val="TableParagraph"/>
              <w:jc w:val="left"/>
              <w:rPr>
                <w:sz w:val="14"/>
              </w:rPr>
            </w:pPr>
          </w:p>
        </w:tc>
        <w:tc>
          <w:tcPr>
            <w:tcW w:w="1379" w:type="dxa"/>
            <w:gridSpan w:val="2"/>
            <w:tcBorders>
              <w:bottom w:val="single" w:sz="4" w:space="0" w:color="000000"/>
            </w:tcBorders>
          </w:tcPr>
          <w:p>
            <w:pPr>
              <w:pStyle w:val="TableParagraph"/>
              <w:spacing w:before="61"/>
              <w:ind w:left="814"/>
              <w:jc w:val="left"/>
              <w:rPr>
                <w:i/>
                <w:sz w:val="14"/>
              </w:rPr>
            </w:pPr>
            <w:r>
              <w:rPr>
                <w:i/>
                <w:spacing w:val="-2"/>
                <w:sz w:val="14"/>
              </w:rPr>
              <w:t>Approved</w:t>
            </w:r>
          </w:p>
        </w:tc>
        <w:tc>
          <w:tcPr>
            <w:tcW w:w="476" w:type="dxa"/>
            <w:tcBorders>
              <w:top w:val="single" w:sz="4" w:space="0" w:color="000000"/>
              <w:bottom w:val="single" w:sz="4" w:space="0" w:color="000000"/>
            </w:tcBorders>
          </w:tcPr>
          <w:p>
            <w:pPr>
              <w:pStyle w:val="TableParagraph"/>
              <w:spacing w:before="61"/>
              <w:ind w:left="36"/>
              <w:jc w:val="left"/>
              <w:rPr>
                <w:i/>
                <w:sz w:val="14"/>
              </w:rPr>
            </w:pPr>
            <w:r>
              <w:rPr>
                <w:i/>
                <w:spacing w:val="-2"/>
                <w:sz w:val="14"/>
              </w:rPr>
              <w:t>Actuals</w:t>
            </w:r>
          </w:p>
        </w:tc>
        <w:tc>
          <w:tcPr>
            <w:tcW w:w="1140" w:type="dxa"/>
            <w:tcBorders>
              <w:top w:val="single" w:sz="4" w:space="0" w:color="000000"/>
              <w:bottom w:val="single" w:sz="4" w:space="0" w:color="000000"/>
            </w:tcBorders>
          </w:tcPr>
          <w:p>
            <w:pPr>
              <w:pStyle w:val="TableParagraph"/>
              <w:spacing w:before="61"/>
              <w:ind w:left="227"/>
              <w:jc w:val="left"/>
              <w:rPr>
                <w:i/>
                <w:sz w:val="14"/>
              </w:rPr>
            </w:pPr>
            <w:r>
              <w:rPr>
                <w:i/>
                <w:spacing w:val="-2"/>
                <w:sz w:val="14"/>
              </w:rPr>
              <w:t>Description</w:t>
            </w:r>
          </w:p>
        </w:tc>
        <w:tc>
          <w:tcPr>
            <w:tcW w:w="620" w:type="dxa"/>
            <w:tcBorders>
              <w:top w:val="single" w:sz="4" w:space="0" w:color="000000"/>
              <w:bottom w:val="single" w:sz="4" w:space="0" w:color="000000"/>
            </w:tcBorders>
          </w:tcPr>
          <w:p>
            <w:pPr>
              <w:pStyle w:val="TableParagraph"/>
              <w:spacing w:before="61"/>
              <w:ind w:left="3" w:right="48"/>
              <w:jc w:val="center"/>
              <w:rPr>
                <w:i/>
                <w:sz w:val="14"/>
              </w:rPr>
            </w:pPr>
            <w:r>
              <w:rPr>
                <w:i/>
                <w:spacing w:val="-2"/>
                <w:sz w:val="14"/>
              </w:rPr>
              <w:t>Approved</w:t>
            </w:r>
          </w:p>
        </w:tc>
        <w:tc>
          <w:tcPr>
            <w:tcW w:w="512" w:type="dxa"/>
            <w:tcBorders>
              <w:top w:val="single" w:sz="4" w:space="0" w:color="000000"/>
              <w:bottom w:val="single" w:sz="4" w:space="0" w:color="000000"/>
            </w:tcBorders>
          </w:tcPr>
          <w:p>
            <w:pPr>
              <w:pStyle w:val="TableParagraph"/>
              <w:spacing w:before="61"/>
              <w:ind w:left="38" w:right="22"/>
              <w:jc w:val="center"/>
              <w:rPr>
                <w:i/>
                <w:sz w:val="14"/>
              </w:rPr>
            </w:pPr>
            <w:r>
              <w:rPr>
                <w:i/>
                <w:spacing w:val="-2"/>
                <w:sz w:val="14"/>
              </w:rPr>
              <w:t>Actuals</w:t>
            </w:r>
          </w:p>
        </w:tc>
        <w:tc>
          <w:tcPr>
            <w:tcW w:w="966" w:type="dxa"/>
            <w:tcBorders>
              <w:top w:val="single" w:sz="4" w:space="0" w:color="000000"/>
              <w:bottom w:val="single" w:sz="4" w:space="0" w:color="000000"/>
            </w:tcBorders>
          </w:tcPr>
          <w:p>
            <w:pPr>
              <w:pStyle w:val="TableParagraph"/>
              <w:spacing w:before="61"/>
              <w:ind w:left="154"/>
              <w:jc w:val="left"/>
              <w:rPr>
                <w:i/>
                <w:sz w:val="14"/>
              </w:rPr>
            </w:pPr>
            <w:r>
              <w:rPr>
                <w:i/>
                <w:spacing w:val="-2"/>
                <w:sz w:val="14"/>
              </w:rPr>
              <w:t>Description</w:t>
            </w:r>
          </w:p>
        </w:tc>
        <w:tc>
          <w:tcPr>
            <w:tcW w:w="603" w:type="dxa"/>
            <w:tcBorders>
              <w:top w:val="single" w:sz="4" w:space="0" w:color="000000"/>
              <w:bottom w:val="single" w:sz="4" w:space="0" w:color="000000"/>
            </w:tcBorders>
          </w:tcPr>
          <w:p>
            <w:pPr>
              <w:pStyle w:val="TableParagraph"/>
              <w:spacing w:before="61"/>
              <w:ind w:left="3" w:right="30"/>
              <w:jc w:val="center"/>
              <w:rPr>
                <w:i/>
                <w:sz w:val="14"/>
              </w:rPr>
            </w:pPr>
            <w:r>
              <w:rPr>
                <w:i/>
                <w:spacing w:val="-2"/>
                <w:sz w:val="14"/>
              </w:rPr>
              <w:t>Approved</w:t>
            </w:r>
          </w:p>
        </w:tc>
        <w:tc>
          <w:tcPr>
            <w:tcW w:w="475" w:type="dxa"/>
            <w:tcBorders>
              <w:top w:val="single" w:sz="4" w:space="0" w:color="000000"/>
              <w:bottom w:val="single" w:sz="4" w:space="0" w:color="000000"/>
            </w:tcBorders>
          </w:tcPr>
          <w:p>
            <w:pPr>
              <w:pStyle w:val="TableParagraph"/>
              <w:spacing w:before="61"/>
              <w:ind w:left="10"/>
              <w:jc w:val="center"/>
              <w:rPr>
                <w:i/>
                <w:sz w:val="14"/>
              </w:rPr>
            </w:pPr>
            <w:r>
              <w:rPr>
                <w:i/>
                <w:spacing w:val="-2"/>
                <w:sz w:val="14"/>
              </w:rPr>
              <w:t>Actuals</w:t>
            </w:r>
          </w:p>
        </w:tc>
        <w:tc>
          <w:tcPr>
            <w:tcW w:w="1042" w:type="dxa"/>
            <w:tcBorders>
              <w:top w:val="single" w:sz="4" w:space="0" w:color="000000"/>
              <w:bottom w:val="single" w:sz="4" w:space="0" w:color="000000"/>
            </w:tcBorders>
          </w:tcPr>
          <w:p>
            <w:pPr>
              <w:pStyle w:val="TableParagraph"/>
              <w:spacing w:before="61"/>
              <w:ind w:left="180"/>
              <w:jc w:val="left"/>
              <w:rPr>
                <w:i/>
                <w:sz w:val="14"/>
              </w:rPr>
            </w:pPr>
            <w:r>
              <w:rPr>
                <w:i/>
                <w:spacing w:val="-2"/>
                <w:sz w:val="14"/>
              </w:rPr>
              <w:t>Description</w:t>
            </w:r>
          </w:p>
        </w:tc>
        <w:tc>
          <w:tcPr>
            <w:tcW w:w="585" w:type="dxa"/>
            <w:tcBorders>
              <w:top w:val="single" w:sz="4" w:space="0" w:color="000000"/>
              <w:bottom w:val="single" w:sz="4" w:space="0" w:color="000000"/>
            </w:tcBorders>
          </w:tcPr>
          <w:p>
            <w:pPr>
              <w:pStyle w:val="TableParagraph"/>
              <w:spacing w:before="61"/>
              <w:ind w:left="6" w:right="10"/>
              <w:jc w:val="center"/>
              <w:rPr>
                <w:i/>
                <w:sz w:val="14"/>
              </w:rPr>
            </w:pPr>
            <w:r>
              <w:rPr>
                <w:i/>
                <w:spacing w:val="-2"/>
                <w:sz w:val="14"/>
              </w:rPr>
              <w:t>Approved</w:t>
            </w:r>
          </w:p>
        </w:tc>
        <w:tc>
          <w:tcPr>
            <w:tcW w:w="1212" w:type="dxa"/>
            <w:tcBorders>
              <w:top w:val="single" w:sz="4" w:space="0" w:color="000000"/>
              <w:bottom w:val="single" w:sz="4" w:space="0" w:color="000000"/>
            </w:tcBorders>
          </w:tcPr>
          <w:p>
            <w:pPr>
              <w:pStyle w:val="TableParagraph"/>
              <w:spacing w:before="61"/>
              <w:ind w:left="272"/>
              <w:jc w:val="left"/>
              <w:rPr>
                <w:i/>
                <w:sz w:val="14"/>
              </w:rPr>
            </w:pPr>
            <w:r>
              <w:rPr>
                <w:i/>
                <w:spacing w:val="-2"/>
                <w:sz w:val="14"/>
              </w:rPr>
              <w:t>Description</w:t>
            </w:r>
          </w:p>
        </w:tc>
        <w:tc>
          <w:tcPr>
            <w:tcW w:w="585" w:type="dxa"/>
            <w:tcBorders>
              <w:top w:val="single" w:sz="4" w:space="0" w:color="000000"/>
              <w:bottom w:val="single" w:sz="4" w:space="0" w:color="000000"/>
            </w:tcBorders>
          </w:tcPr>
          <w:p>
            <w:pPr>
              <w:pStyle w:val="TableParagraph"/>
              <w:spacing w:before="61"/>
              <w:ind w:left="6" w:right="8"/>
              <w:jc w:val="center"/>
              <w:rPr>
                <w:i/>
                <w:sz w:val="14"/>
              </w:rPr>
            </w:pPr>
            <w:r>
              <w:rPr>
                <w:i/>
                <w:spacing w:val="-2"/>
                <w:sz w:val="14"/>
              </w:rPr>
              <w:t>Proposed</w:t>
            </w:r>
          </w:p>
        </w:tc>
        <w:tc>
          <w:tcPr>
            <w:tcW w:w="1010" w:type="dxa"/>
            <w:tcBorders>
              <w:top w:val="single" w:sz="4" w:space="0" w:color="000000"/>
              <w:bottom w:val="single" w:sz="4" w:space="0" w:color="000000"/>
            </w:tcBorders>
          </w:tcPr>
          <w:p>
            <w:pPr>
              <w:pStyle w:val="TableParagraph"/>
              <w:spacing w:before="61"/>
              <w:ind w:left="180"/>
              <w:jc w:val="left"/>
              <w:rPr>
                <w:i/>
                <w:sz w:val="14"/>
              </w:rPr>
            </w:pPr>
            <w:r>
              <w:rPr>
                <w:i/>
                <w:spacing w:val="-2"/>
                <w:sz w:val="14"/>
              </w:rPr>
              <w:t>Description</w:t>
            </w:r>
          </w:p>
        </w:tc>
      </w:tr>
      <w:tr>
        <w:trPr>
          <w:trHeight w:val="1723" w:hRule="atLeast"/>
        </w:trPr>
        <w:tc>
          <w:tcPr>
            <w:tcW w:w="189" w:type="dxa"/>
            <w:tcBorders>
              <w:top w:val="single" w:sz="4" w:space="0" w:color="000000"/>
              <w:bottom w:val="single" w:sz="4" w:space="0" w:color="000000"/>
            </w:tcBorders>
          </w:tcPr>
          <w:p>
            <w:pPr>
              <w:pStyle w:val="TableParagraph"/>
              <w:spacing w:before="51"/>
              <w:ind w:left="14"/>
              <w:jc w:val="left"/>
              <w:rPr>
                <w:sz w:val="14"/>
              </w:rPr>
            </w:pPr>
            <w:r>
              <w:rPr>
                <w:w w:val="99"/>
                <w:sz w:val="14"/>
              </w:rPr>
              <w:t>4</w:t>
            </w:r>
          </w:p>
        </w:tc>
        <w:tc>
          <w:tcPr>
            <w:tcW w:w="787" w:type="dxa"/>
            <w:tcBorders>
              <w:top w:val="single" w:sz="4" w:space="0" w:color="000000"/>
              <w:bottom w:val="single" w:sz="4" w:space="0" w:color="000000"/>
            </w:tcBorders>
          </w:tcPr>
          <w:p>
            <w:pPr>
              <w:pStyle w:val="TableParagraph"/>
              <w:spacing w:before="51"/>
              <w:ind w:left="104" w:right="38"/>
              <w:jc w:val="left"/>
              <w:rPr>
                <w:sz w:val="14"/>
              </w:rPr>
            </w:pPr>
            <w:r>
              <w:rPr>
                <w:spacing w:val="-2"/>
                <w:sz w:val="14"/>
              </w:rPr>
              <w:t>Unsealed</w:t>
            </w:r>
            <w:r>
              <w:rPr>
                <w:spacing w:val="40"/>
                <w:sz w:val="14"/>
              </w:rPr>
              <w:t> </w:t>
            </w:r>
            <w:r>
              <w:rPr>
                <w:sz w:val="14"/>
              </w:rPr>
              <w:t>warrants</w:t>
            </w:r>
            <w:r>
              <w:rPr>
                <w:spacing w:val="-9"/>
                <w:sz w:val="14"/>
              </w:rPr>
              <w:t> </w:t>
            </w:r>
            <w:r>
              <w:rPr>
                <w:sz w:val="14"/>
              </w:rPr>
              <w:t>of</w:t>
            </w:r>
            <w:r>
              <w:rPr>
                <w:spacing w:val="40"/>
                <w:sz w:val="14"/>
              </w:rPr>
              <w:t> </w:t>
            </w:r>
            <w:r>
              <w:rPr>
                <w:spacing w:val="-2"/>
                <w:sz w:val="14"/>
              </w:rPr>
              <w:t>arrest</w:t>
            </w:r>
            <w:r>
              <w:rPr>
                <w:spacing w:val="40"/>
                <w:sz w:val="14"/>
              </w:rPr>
              <w:t> </w:t>
            </w:r>
            <w:r>
              <w:rPr>
                <w:spacing w:val="-2"/>
                <w:sz w:val="14"/>
              </w:rPr>
              <w:t>pending</w:t>
            </w:r>
            <w:r>
              <w:rPr>
                <w:spacing w:val="40"/>
                <w:sz w:val="14"/>
              </w:rPr>
              <w:t> </w:t>
            </w:r>
            <w:r>
              <w:rPr>
                <w:spacing w:val="-2"/>
                <w:sz w:val="14"/>
              </w:rPr>
              <w:t>execution</w:t>
            </w:r>
          </w:p>
        </w:tc>
        <w:tc>
          <w:tcPr>
            <w:tcW w:w="592" w:type="dxa"/>
            <w:tcBorders>
              <w:top w:val="single" w:sz="4" w:space="0" w:color="000000"/>
              <w:bottom w:val="single" w:sz="4" w:space="0" w:color="000000"/>
            </w:tcBorders>
          </w:tcPr>
          <w:p>
            <w:pPr>
              <w:pStyle w:val="TableParagraph"/>
              <w:spacing w:before="51"/>
              <w:ind w:left="221" w:right="201"/>
              <w:jc w:val="center"/>
              <w:rPr>
                <w:sz w:val="14"/>
              </w:rPr>
            </w:pPr>
            <w:r>
              <w:rPr>
                <w:spacing w:val="-5"/>
                <w:sz w:val="14"/>
              </w:rPr>
              <w:t>16</w:t>
            </w:r>
          </w:p>
        </w:tc>
        <w:tc>
          <w:tcPr>
            <w:tcW w:w="476" w:type="dxa"/>
            <w:tcBorders>
              <w:top w:val="single" w:sz="4" w:space="0" w:color="000000"/>
              <w:bottom w:val="single" w:sz="4" w:space="0" w:color="000000"/>
            </w:tcBorders>
          </w:tcPr>
          <w:p>
            <w:pPr>
              <w:pStyle w:val="TableParagraph"/>
              <w:spacing w:before="51"/>
              <w:ind w:left="180"/>
              <w:jc w:val="left"/>
              <w:rPr>
                <w:sz w:val="14"/>
              </w:rPr>
            </w:pPr>
            <w:r>
              <w:rPr>
                <w:spacing w:val="-5"/>
                <w:sz w:val="14"/>
              </w:rPr>
              <w:t>16</w:t>
            </w:r>
          </w:p>
        </w:tc>
        <w:tc>
          <w:tcPr>
            <w:tcW w:w="1140" w:type="dxa"/>
            <w:tcBorders>
              <w:top w:val="single" w:sz="4" w:space="0" w:color="000000"/>
              <w:bottom w:val="single" w:sz="4" w:space="0" w:color="000000"/>
            </w:tcBorders>
          </w:tcPr>
          <w:p>
            <w:pPr>
              <w:pStyle w:val="TableParagraph"/>
              <w:spacing w:before="51"/>
              <w:ind w:left="11"/>
              <w:jc w:val="left"/>
              <w:rPr>
                <w:sz w:val="14"/>
              </w:rPr>
            </w:pPr>
            <w:r>
              <w:rPr>
                <w:sz w:val="14"/>
              </w:rPr>
              <w:t>CIV</w:t>
            </w:r>
            <w:r>
              <w:rPr>
                <w:spacing w:val="-4"/>
                <w:sz w:val="14"/>
              </w:rPr>
              <w:t> </w:t>
            </w:r>
            <w:r>
              <w:rPr>
                <w:sz w:val="14"/>
              </w:rPr>
              <w:t>I</w:t>
            </w:r>
            <w:r>
              <w:rPr>
                <w:spacing w:val="-1"/>
                <w:sz w:val="14"/>
              </w:rPr>
              <w:t> </w:t>
            </w:r>
            <w:r>
              <w:rPr>
                <w:i/>
                <w:sz w:val="14"/>
              </w:rPr>
              <w:t>bis</w:t>
            </w:r>
            <w:r>
              <w:rPr>
                <w:i/>
                <w:spacing w:val="-4"/>
                <w:sz w:val="14"/>
              </w:rPr>
              <w:t> </w:t>
            </w:r>
            <w:r>
              <w:rPr>
                <w:spacing w:val="-4"/>
                <w:sz w:val="14"/>
              </w:rPr>
              <w:t>(1);</w:t>
            </w:r>
          </w:p>
          <w:p>
            <w:pPr>
              <w:pStyle w:val="TableParagraph"/>
              <w:spacing w:before="2"/>
              <w:ind w:left="11"/>
              <w:jc w:val="left"/>
              <w:rPr>
                <w:sz w:val="14"/>
              </w:rPr>
            </w:pPr>
            <w:r>
              <w:rPr>
                <w:sz w:val="14"/>
              </w:rPr>
              <w:t>Darfur I (2), II, IV</w:t>
            </w:r>
            <w:r>
              <w:rPr>
                <w:spacing w:val="40"/>
                <w:sz w:val="14"/>
              </w:rPr>
              <w:t> </w:t>
            </w:r>
            <w:r>
              <w:rPr>
                <w:sz w:val="14"/>
              </w:rPr>
              <w:t>and V (2), III (1);</w:t>
            </w:r>
            <w:r>
              <w:rPr>
                <w:spacing w:val="40"/>
                <w:sz w:val="14"/>
              </w:rPr>
              <w:t> </w:t>
            </w:r>
            <w:r>
              <w:rPr>
                <w:sz w:val="14"/>
              </w:rPr>
              <w:t>DRC</w:t>
            </w:r>
            <w:r>
              <w:rPr>
                <w:spacing w:val="-9"/>
                <w:sz w:val="14"/>
              </w:rPr>
              <w:t> </w:t>
            </w:r>
            <w:r>
              <w:rPr>
                <w:sz w:val="14"/>
              </w:rPr>
              <w:t>IV</w:t>
            </w:r>
            <w:r>
              <w:rPr>
                <w:spacing w:val="-9"/>
                <w:sz w:val="14"/>
              </w:rPr>
              <w:t> </w:t>
            </w:r>
            <w:r>
              <w:rPr>
                <w:sz w:val="14"/>
              </w:rPr>
              <w:t>(1);</w:t>
            </w:r>
            <w:r>
              <w:rPr>
                <w:spacing w:val="-9"/>
                <w:sz w:val="14"/>
              </w:rPr>
              <w:t> </w:t>
            </w:r>
            <w:r>
              <w:rPr>
                <w:sz w:val="14"/>
              </w:rPr>
              <w:t>Kenya</w:t>
            </w:r>
          </w:p>
          <w:p>
            <w:pPr>
              <w:pStyle w:val="TableParagraph"/>
              <w:spacing w:before="3"/>
              <w:ind w:left="11" w:right="20"/>
              <w:jc w:val="left"/>
              <w:rPr>
                <w:sz w:val="14"/>
              </w:rPr>
            </w:pPr>
            <w:r>
              <w:rPr>
                <w:sz w:val="14"/>
              </w:rPr>
              <w:t>article 70 (3);</w:t>
            </w:r>
            <w:r>
              <w:rPr>
                <w:spacing w:val="40"/>
                <w:sz w:val="14"/>
              </w:rPr>
              <w:t> </w:t>
            </w:r>
            <w:r>
              <w:rPr>
                <w:sz w:val="14"/>
              </w:rPr>
              <w:t>Libya I (1); Libya</w:t>
            </w:r>
            <w:r>
              <w:rPr>
                <w:spacing w:val="40"/>
                <w:sz w:val="14"/>
              </w:rPr>
              <w:t> </w:t>
            </w:r>
            <w:r>
              <w:rPr>
                <w:sz w:val="14"/>
              </w:rPr>
              <w:t>II</w:t>
            </w:r>
            <w:r>
              <w:rPr>
                <w:spacing w:val="-9"/>
                <w:sz w:val="14"/>
              </w:rPr>
              <w:t> </w:t>
            </w:r>
            <w:r>
              <w:rPr>
                <w:sz w:val="14"/>
              </w:rPr>
              <w:t>(1);</w:t>
            </w:r>
            <w:r>
              <w:rPr>
                <w:spacing w:val="-9"/>
                <w:sz w:val="14"/>
              </w:rPr>
              <w:t> </w:t>
            </w:r>
            <w:r>
              <w:rPr>
                <w:sz w:val="14"/>
              </w:rPr>
              <w:t>Libya</w:t>
            </w:r>
            <w:r>
              <w:rPr>
                <w:spacing w:val="-9"/>
                <w:sz w:val="14"/>
              </w:rPr>
              <w:t> </w:t>
            </w:r>
            <w:r>
              <w:rPr>
                <w:sz w:val="14"/>
              </w:rPr>
              <w:t>III</w:t>
            </w:r>
            <w:r>
              <w:rPr>
                <w:spacing w:val="-8"/>
                <w:sz w:val="14"/>
              </w:rPr>
              <w:t> </w:t>
            </w:r>
            <w:r>
              <w:rPr>
                <w:sz w:val="14"/>
              </w:rPr>
              <w:t>(2);</w:t>
            </w:r>
          </w:p>
          <w:p>
            <w:pPr>
              <w:pStyle w:val="TableParagraph"/>
              <w:spacing w:line="158" w:lineRule="exact"/>
              <w:ind w:left="11"/>
              <w:jc w:val="left"/>
              <w:rPr>
                <w:sz w:val="14"/>
              </w:rPr>
            </w:pPr>
            <w:r>
              <w:rPr>
                <w:sz w:val="14"/>
              </w:rPr>
              <w:t>Uganda</w:t>
            </w:r>
            <w:r>
              <w:rPr>
                <w:spacing w:val="-1"/>
                <w:sz w:val="14"/>
              </w:rPr>
              <w:t> </w:t>
            </w:r>
            <w:r>
              <w:rPr>
                <w:spacing w:val="-5"/>
                <w:sz w:val="14"/>
              </w:rPr>
              <w:t>(2)</w:t>
            </w:r>
          </w:p>
        </w:tc>
        <w:tc>
          <w:tcPr>
            <w:tcW w:w="620" w:type="dxa"/>
            <w:tcBorders>
              <w:top w:val="single" w:sz="4" w:space="0" w:color="000000"/>
              <w:bottom w:val="single" w:sz="4" w:space="0" w:color="000000"/>
            </w:tcBorders>
          </w:tcPr>
          <w:p>
            <w:pPr>
              <w:pStyle w:val="TableParagraph"/>
              <w:spacing w:before="51"/>
              <w:ind w:left="3" w:right="26"/>
              <w:jc w:val="center"/>
              <w:rPr>
                <w:sz w:val="14"/>
              </w:rPr>
            </w:pPr>
            <w:r>
              <w:rPr>
                <w:spacing w:val="-5"/>
                <w:sz w:val="14"/>
              </w:rPr>
              <w:t>16</w:t>
            </w:r>
          </w:p>
        </w:tc>
        <w:tc>
          <w:tcPr>
            <w:tcW w:w="512" w:type="dxa"/>
            <w:tcBorders>
              <w:top w:val="single" w:sz="4" w:space="0" w:color="000000"/>
              <w:bottom w:val="single" w:sz="4" w:space="0" w:color="000000"/>
            </w:tcBorders>
          </w:tcPr>
          <w:p>
            <w:pPr>
              <w:pStyle w:val="TableParagraph"/>
              <w:spacing w:before="51"/>
              <w:ind w:left="37" w:right="22"/>
              <w:jc w:val="center"/>
              <w:rPr>
                <w:sz w:val="14"/>
              </w:rPr>
            </w:pPr>
            <w:r>
              <w:rPr>
                <w:spacing w:val="-5"/>
                <w:sz w:val="14"/>
              </w:rPr>
              <w:t>14</w:t>
            </w:r>
          </w:p>
        </w:tc>
        <w:tc>
          <w:tcPr>
            <w:tcW w:w="966" w:type="dxa"/>
            <w:tcBorders>
              <w:top w:val="single" w:sz="4" w:space="0" w:color="000000"/>
              <w:bottom w:val="single" w:sz="4" w:space="0" w:color="000000"/>
            </w:tcBorders>
          </w:tcPr>
          <w:p>
            <w:pPr>
              <w:pStyle w:val="TableParagraph"/>
              <w:spacing w:before="51"/>
              <w:ind w:left="25"/>
              <w:jc w:val="left"/>
              <w:rPr>
                <w:sz w:val="14"/>
              </w:rPr>
            </w:pPr>
            <w:r>
              <w:rPr>
                <w:sz w:val="14"/>
              </w:rPr>
              <w:t>CIV</w:t>
            </w:r>
            <w:r>
              <w:rPr>
                <w:spacing w:val="-4"/>
                <w:sz w:val="14"/>
              </w:rPr>
              <w:t> </w:t>
            </w:r>
            <w:r>
              <w:rPr>
                <w:sz w:val="14"/>
              </w:rPr>
              <w:t>I</w:t>
            </w:r>
            <w:r>
              <w:rPr>
                <w:spacing w:val="-1"/>
                <w:sz w:val="14"/>
              </w:rPr>
              <w:t> </w:t>
            </w:r>
            <w:r>
              <w:rPr>
                <w:i/>
                <w:sz w:val="14"/>
              </w:rPr>
              <w:t>bis</w:t>
            </w:r>
            <w:r>
              <w:rPr>
                <w:i/>
                <w:spacing w:val="-4"/>
                <w:sz w:val="14"/>
              </w:rPr>
              <w:t> </w:t>
            </w:r>
            <w:r>
              <w:rPr>
                <w:spacing w:val="-4"/>
                <w:sz w:val="14"/>
              </w:rPr>
              <w:t>(1);</w:t>
            </w:r>
          </w:p>
          <w:p>
            <w:pPr>
              <w:pStyle w:val="TableParagraph"/>
              <w:spacing w:before="2"/>
              <w:ind w:left="25" w:right="9"/>
              <w:jc w:val="left"/>
              <w:rPr>
                <w:sz w:val="14"/>
              </w:rPr>
            </w:pPr>
            <w:r>
              <w:rPr>
                <w:sz w:val="14"/>
              </w:rPr>
              <w:t>Darfur I (1),</w:t>
            </w:r>
            <w:r>
              <w:rPr>
                <w:sz w:val="14"/>
                <w:vertAlign w:val="superscript"/>
              </w:rPr>
              <w:t>162</w:t>
            </w:r>
            <w:r>
              <w:rPr>
                <w:spacing w:val="40"/>
                <w:sz w:val="14"/>
                <w:vertAlign w:val="baseline"/>
              </w:rPr>
              <w:t> </w:t>
            </w:r>
            <w:r>
              <w:rPr>
                <w:sz w:val="14"/>
                <w:vertAlign w:val="baseline"/>
              </w:rPr>
              <w:t>II,</w:t>
            </w:r>
            <w:r>
              <w:rPr>
                <w:spacing w:val="-9"/>
                <w:sz w:val="14"/>
                <w:vertAlign w:val="baseline"/>
              </w:rPr>
              <w:t> </w:t>
            </w:r>
            <w:r>
              <w:rPr>
                <w:sz w:val="14"/>
                <w:vertAlign w:val="baseline"/>
              </w:rPr>
              <w:t>IV</w:t>
            </w:r>
            <w:r>
              <w:rPr>
                <w:spacing w:val="-9"/>
                <w:sz w:val="14"/>
                <w:vertAlign w:val="baseline"/>
              </w:rPr>
              <w:t> </w:t>
            </w:r>
            <w:r>
              <w:rPr>
                <w:sz w:val="14"/>
                <w:vertAlign w:val="baseline"/>
              </w:rPr>
              <w:t>and</w:t>
            </w:r>
            <w:r>
              <w:rPr>
                <w:spacing w:val="-8"/>
                <w:sz w:val="14"/>
                <w:vertAlign w:val="baseline"/>
              </w:rPr>
              <w:t> </w:t>
            </w:r>
            <w:r>
              <w:rPr>
                <w:sz w:val="14"/>
                <w:vertAlign w:val="baseline"/>
              </w:rPr>
              <w:t>V</w:t>
            </w:r>
            <w:r>
              <w:rPr>
                <w:spacing w:val="-9"/>
                <w:sz w:val="14"/>
                <w:vertAlign w:val="baseline"/>
              </w:rPr>
              <w:t> </w:t>
            </w:r>
            <w:r>
              <w:rPr>
                <w:sz w:val="14"/>
                <w:vertAlign w:val="baseline"/>
              </w:rPr>
              <w:t>(2)</w:t>
            </w:r>
            <w:r>
              <w:rPr>
                <w:spacing w:val="40"/>
                <w:sz w:val="14"/>
                <w:vertAlign w:val="baseline"/>
              </w:rPr>
              <w:t> </w:t>
            </w:r>
            <w:r>
              <w:rPr>
                <w:sz w:val="14"/>
                <w:vertAlign w:val="baseline"/>
              </w:rPr>
              <w:t>and III (1);</w:t>
            </w:r>
          </w:p>
          <w:p>
            <w:pPr>
              <w:pStyle w:val="TableParagraph"/>
              <w:spacing w:line="160" w:lineRule="exact" w:before="3"/>
              <w:ind w:left="25"/>
              <w:jc w:val="left"/>
              <w:rPr>
                <w:sz w:val="14"/>
              </w:rPr>
            </w:pPr>
            <w:r>
              <w:rPr>
                <w:sz w:val="14"/>
              </w:rPr>
              <w:t>DRC</w:t>
            </w:r>
            <w:r>
              <w:rPr>
                <w:spacing w:val="-7"/>
                <w:sz w:val="14"/>
              </w:rPr>
              <w:t> </w:t>
            </w:r>
            <w:r>
              <w:rPr>
                <w:sz w:val="14"/>
              </w:rPr>
              <w:t>IV</w:t>
            </w:r>
            <w:r>
              <w:rPr>
                <w:spacing w:val="-5"/>
                <w:sz w:val="14"/>
              </w:rPr>
              <w:t> </w:t>
            </w:r>
            <w:r>
              <w:rPr>
                <w:spacing w:val="-4"/>
                <w:sz w:val="14"/>
              </w:rPr>
              <w:t>(1);</w:t>
            </w:r>
          </w:p>
          <w:p>
            <w:pPr>
              <w:pStyle w:val="TableParagraph"/>
              <w:spacing w:line="160" w:lineRule="exact"/>
              <w:ind w:left="25"/>
              <w:jc w:val="left"/>
              <w:rPr>
                <w:sz w:val="14"/>
              </w:rPr>
            </w:pPr>
            <w:r>
              <w:rPr>
                <w:spacing w:val="-2"/>
                <w:sz w:val="14"/>
              </w:rPr>
              <w:t>Kenya</w:t>
            </w:r>
          </w:p>
          <w:p>
            <w:pPr>
              <w:pStyle w:val="TableParagraph"/>
              <w:spacing w:line="235" w:lineRule="auto" w:before="5"/>
              <w:ind w:left="25"/>
              <w:jc w:val="left"/>
              <w:rPr>
                <w:sz w:val="14"/>
              </w:rPr>
            </w:pPr>
            <w:r>
              <w:rPr>
                <w:sz w:val="14"/>
              </w:rPr>
              <w:t>article</w:t>
            </w:r>
            <w:r>
              <w:rPr>
                <w:spacing w:val="-9"/>
                <w:sz w:val="14"/>
              </w:rPr>
              <w:t> </w:t>
            </w:r>
            <w:r>
              <w:rPr>
                <w:sz w:val="14"/>
              </w:rPr>
              <w:t>70</w:t>
            </w:r>
            <w:r>
              <w:rPr>
                <w:spacing w:val="-9"/>
                <w:sz w:val="14"/>
              </w:rPr>
              <w:t> </w:t>
            </w:r>
            <w:r>
              <w:rPr>
                <w:sz w:val="14"/>
              </w:rPr>
              <w:t>(2);</w:t>
            </w:r>
            <w:r>
              <w:rPr>
                <w:sz w:val="14"/>
                <w:vertAlign w:val="superscript"/>
              </w:rPr>
              <w:t>163</w:t>
            </w:r>
            <w:r>
              <w:rPr>
                <w:spacing w:val="40"/>
                <w:sz w:val="14"/>
                <w:vertAlign w:val="baseline"/>
              </w:rPr>
              <w:t> </w:t>
            </w:r>
            <w:r>
              <w:rPr>
                <w:sz w:val="14"/>
                <w:vertAlign w:val="baseline"/>
              </w:rPr>
              <w:t>Libya I (1), II</w:t>
            </w:r>
          </w:p>
          <w:p>
            <w:pPr>
              <w:pStyle w:val="TableParagraph"/>
              <w:spacing w:line="160" w:lineRule="exact" w:before="3"/>
              <w:ind w:left="25"/>
              <w:jc w:val="left"/>
              <w:rPr>
                <w:sz w:val="14"/>
              </w:rPr>
            </w:pPr>
            <w:r>
              <w:rPr>
                <w:sz w:val="14"/>
              </w:rPr>
              <w:t>(1)</w:t>
            </w:r>
            <w:r>
              <w:rPr>
                <w:spacing w:val="-2"/>
                <w:sz w:val="14"/>
              </w:rPr>
              <w:t> </w:t>
            </w:r>
            <w:r>
              <w:rPr>
                <w:sz w:val="14"/>
              </w:rPr>
              <w:t>and</w:t>
            </w:r>
            <w:r>
              <w:rPr>
                <w:spacing w:val="-1"/>
                <w:sz w:val="14"/>
              </w:rPr>
              <w:t> </w:t>
            </w:r>
            <w:r>
              <w:rPr>
                <w:sz w:val="14"/>
              </w:rPr>
              <w:t>III</w:t>
            </w:r>
            <w:r>
              <w:rPr>
                <w:spacing w:val="-1"/>
                <w:sz w:val="14"/>
              </w:rPr>
              <w:t> </w:t>
            </w:r>
            <w:r>
              <w:rPr>
                <w:spacing w:val="-4"/>
                <w:sz w:val="14"/>
              </w:rPr>
              <w:t>(2);</w:t>
            </w:r>
          </w:p>
          <w:p>
            <w:pPr>
              <w:pStyle w:val="TableParagraph"/>
              <w:spacing w:line="160" w:lineRule="exact"/>
              <w:ind w:left="25"/>
              <w:jc w:val="left"/>
              <w:rPr>
                <w:sz w:val="14"/>
              </w:rPr>
            </w:pPr>
            <w:r>
              <w:rPr>
                <w:sz w:val="14"/>
              </w:rPr>
              <w:t>and</w:t>
            </w:r>
            <w:r>
              <w:rPr>
                <w:spacing w:val="-2"/>
                <w:sz w:val="14"/>
              </w:rPr>
              <w:t> </w:t>
            </w:r>
            <w:r>
              <w:rPr>
                <w:sz w:val="14"/>
              </w:rPr>
              <w:t>Uganda</w:t>
            </w:r>
            <w:r>
              <w:rPr>
                <w:spacing w:val="-2"/>
                <w:sz w:val="14"/>
              </w:rPr>
              <w:t> </w:t>
            </w:r>
            <w:r>
              <w:rPr>
                <w:spacing w:val="-5"/>
                <w:sz w:val="14"/>
              </w:rPr>
              <w:t>(2)</w:t>
            </w:r>
          </w:p>
        </w:tc>
        <w:tc>
          <w:tcPr>
            <w:tcW w:w="603" w:type="dxa"/>
            <w:tcBorders>
              <w:top w:val="single" w:sz="4" w:space="0" w:color="000000"/>
              <w:bottom w:val="single" w:sz="4" w:space="0" w:color="000000"/>
            </w:tcBorders>
          </w:tcPr>
          <w:p>
            <w:pPr>
              <w:pStyle w:val="TableParagraph"/>
              <w:spacing w:before="51"/>
              <w:ind w:left="3" w:right="17"/>
              <w:jc w:val="center"/>
              <w:rPr>
                <w:sz w:val="14"/>
              </w:rPr>
            </w:pPr>
            <w:r>
              <w:rPr>
                <w:spacing w:val="-5"/>
                <w:sz w:val="14"/>
              </w:rPr>
              <w:t>16</w:t>
            </w:r>
          </w:p>
        </w:tc>
        <w:tc>
          <w:tcPr>
            <w:tcW w:w="475" w:type="dxa"/>
            <w:tcBorders>
              <w:top w:val="single" w:sz="4" w:space="0" w:color="000000"/>
              <w:bottom w:val="single" w:sz="4" w:space="0" w:color="000000"/>
            </w:tcBorders>
          </w:tcPr>
          <w:p>
            <w:pPr>
              <w:pStyle w:val="TableParagraph"/>
              <w:spacing w:before="51"/>
              <w:ind w:left="10"/>
              <w:jc w:val="center"/>
              <w:rPr>
                <w:sz w:val="14"/>
              </w:rPr>
            </w:pPr>
            <w:r>
              <w:rPr>
                <w:spacing w:val="-5"/>
                <w:sz w:val="14"/>
              </w:rPr>
              <w:t>14</w:t>
            </w:r>
          </w:p>
        </w:tc>
        <w:tc>
          <w:tcPr>
            <w:tcW w:w="1042" w:type="dxa"/>
            <w:tcBorders>
              <w:top w:val="single" w:sz="4" w:space="0" w:color="000000"/>
              <w:bottom w:val="single" w:sz="4" w:space="0" w:color="000000"/>
            </w:tcBorders>
          </w:tcPr>
          <w:p>
            <w:pPr>
              <w:pStyle w:val="TableParagraph"/>
              <w:spacing w:line="242" w:lineRule="auto" w:before="51"/>
              <w:ind w:left="7" w:right="46"/>
              <w:jc w:val="left"/>
              <w:rPr>
                <w:sz w:val="14"/>
              </w:rPr>
            </w:pPr>
            <w:r>
              <w:rPr>
                <w:sz w:val="14"/>
              </w:rPr>
              <w:t>Darfur I (1), II</w:t>
            </w:r>
            <w:r>
              <w:rPr>
                <w:spacing w:val="40"/>
                <w:sz w:val="14"/>
              </w:rPr>
              <w:t> </w:t>
            </w:r>
            <w:r>
              <w:rPr>
                <w:sz w:val="14"/>
              </w:rPr>
              <w:t>(2),</w:t>
            </w:r>
            <w:r>
              <w:rPr>
                <w:spacing w:val="-4"/>
                <w:sz w:val="14"/>
              </w:rPr>
              <w:t> </w:t>
            </w:r>
            <w:r>
              <w:rPr>
                <w:sz w:val="14"/>
              </w:rPr>
              <w:t>IV</w:t>
            </w:r>
            <w:r>
              <w:rPr>
                <w:spacing w:val="-3"/>
                <w:sz w:val="14"/>
              </w:rPr>
              <w:t> </w:t>
            </w:r>
            <w:r>
              <w:rPr>
                <w:sz w:val="14"/>
              </w:rPr>
              <w:t>(1) and</w:t>
            </w:r>
            <w:r>
              <w:rPr>
                <w:spacing w:val="-1"/>
                <w:sz w:val="14"/>
              </w:rPr>
              <w:t> </w:t>
            </w:r>
            <w:r>
              <w:rPr>
                <w:spacing w:val="-10"/>
                <w:sz w:val="14"/>
              </w:rPr>
              <w:t>V</w:t>
            </w:r>
          </w:p>
          <w:p>
            <w:pPr>
              <w:pStyle w:val="TableParagraph"/>
              <w:spacing w:line="158" w:lineRule="exact"/>
              <w:ind w:left="7"/>
              <w:jc w:val="left"/>
              <w:rPr>
                <w:sz w:val="14"/>
              </w:rPr>
            </w:pPr>
            <w:r>
              <w:rPr>
                <w:sz w:val="14"/>
              </w:rPr>
              <w:t>(1);</w:t>
            </w:r>
            <w:r>
              <w:rPr>
                <w:spacing w:val="-4"/>
                <w:sz w:val="14"/>
              </w:rPr>
              <w:t> </w:t>
            </w:r>
            <w:r>
              <w:rPr>
                <w:sz w:val="14"/>
              </w:rPr>
              <w:t>DRC</w:t>
            </w:r>
            <w:r>
              <w:rPr>
                <w:spacing w:val="-5"/>
                <w:sz w:val="14"/>
              </w:rPr>
              <w:t> </w:t>
            </w:r>
            <w:r>
              <w:rPr>
                <w:sz w:val="14"/>
              </w:rPr>
              <w:t>IV</w:t>
            </w:r>
            <w:r>
              <w:rPr>
                <w:spacing w:val="-3"/>
                <w:sz w:val="14"/>
              </w:rPr>
              <w:t> </w:t>
            </w:r>
            <w:r>
              <w:rPr>
                <w:spacing w:val="-4"/>
                <w:sz w:val="14"/>
              </w:rPr>
              <w:t>(1);</w:t>
            </w:r>
          </w:p>
          <w:p>
            <w:pPr>
              <w:pStyle w:val="TableParagraph"/>
              <w:spacing w:before="2"/>
              <w:ind w:left="7"/>
              <w:jc w:val="left"/>
              <w:rPr>
                <w:sz w:val="14"/>
              </w:rPr>
            </w:pPr>
            <w:r>
              <w:rPr>
                <w:sz w:val="14"/>
              </w:rPr>
              <w:t>Kenya</w:t>
            </w:r>
            <w:r>
              <w:rPr>
                <w:spacing w:val="-2"/>
                <w:sz w:val="14"/>
              </w:rPr>
              <w:t> </w:t>
            </w:r>
            <w:r>
              <w:rPr>
                <w:sz w:val="14"/>
              </w:rPr>
              <w:t>art.</w:t>
            </w:r>
            <w:r>
              <w:rPr>
                <w:spacing w:val="-2"/>
                <w:sz w:val="14"/>
              </w:rPr>
              <w:t> </w:t>
            </w:r>
            <w:r>
              <w:rPr>
                <w:sz w:val="14"/>
              </w:rPr>
              <w:t>70</w:t>
            </w:r>
            <w:r>
              <w:rPr>
                <w:spacing w:val="1"/>
                <w:sz w:val="14"/>
              </w:rPr>
              <w:t> </w:t>
            </w:r>
            <w:r>
              <w:rPr>
                <w:spacing w:val="-4"/>
                <w:sz w:val="14"/>
              </w:rPr>
              <w:t>(1);</w:t>
            </w:r>
          </w:p>
          <w:p>
            <w:pPr>
              <w:pStyle w:val="TableParagraph"/>
              <w:spacing w:line="160" w:lineRule="exact" w:before="3"/>
              <w:ind w:left="7"/>
              <w:jc w:val="left"/>
              <w:rPr>
                <w:sz w:val="14"/>
              </w:rPr>
            </w:pPr>
            <w:r>
              <w:rPr>
                <w:sz w:val="14"/>
              </w:rPr>
              <w:t>Libya</w:t>
            </w:r>
            <w:r>
              <w:rPr>
                <w:spacing w:val="-3"/>
                <w:sz w:val="14"/>
              </w:rPr>
              <w:t> </w:t>
            </w:r>
            <w:r>
              <w:rPr>
                <w:sz w:val="14"/>
              </w:rPr>
              <w:t>I</w:t>
            </w:r>
            <w:r>
              <w:rPr>
                <w:spacing w:val="-1"/>
                <w:sz w:val="14"/>
              </w:rPr>
              <w:t> </w:t>
            </w:r>
            <w:r>
              <w:rPr>
                <w:sz w:val="14"/>
              </w:rPr>
              <w:t>(1),</w:t>
            </w:r>
            <w:r>
              <w:rPr>
                <w:spacing w:val="-3"/>
                <w:sz w:val="14"/>
              </w:rPr>
              <w:t> </w:t>
            </w:r>
            <w:r>
              <w:rPr>
                <w:sz w:val="14"/>
              </w:rPr>
              <w:t>II</w:t>
            </w:r>
            <w:r>
              <w:rPr>
                <w:spacing w:val="-1"/>
                <w:sz w:val="14"/>
              </w:rPr>
              <w:t> </w:t>
            </w:r>
            <w:r>
              <w:rPr>
                <w:spacing w:val="-5"/>
                <w:sz w:val="14"/>
              </w:rPr>
              <w:t>(1)</w:t>
            </w:r>
          </w:p>
          <w:p>
            <w:pPr>
              <w:pStyle w:val="TableParagraph"/>
              <w:ind w:left="7"/>
              <w:jc w:val="left"/>
              <w:rPr>
                <w:sz w:val="14"/>
              </w:rPr>
            </w:pPr>
            <w:r>
              <w:rPr>
                <w:sz w:val="14"/>
              </w:rPr>
              <w:t>and III (2); and</w:t>
            </w:r>
            <w:r>
              <w:rPr>
                <w:spacing w:val="40"/>
                <w:sz w:val="14"/>
              </w:rPr>
              <w:t> </w:t>
            </w:r>
            <w:r>
              <w:rPr>
                <w:sz w:val="14"/>
              </w:rPr>
              <w:t>Uganda</w:t>
            </w:r>
            <w:r>
              <w:rPr>
                <w:spacing w:val="-9"/>
                <w:sz w:val="14"/>
              </w:rPr>
              <w:t> </w:t>
            </w:r>
            <w:r>
              <w:rPr>
                <w:sz w:val="14"/>
              </w:rPr>
              <w:t>(2);</w:t>
            </w:r>
            <w:r>
              <w:rPr>
                <w:spacing w:val="-9"/>
                <w:sz w:val="14"/>
              </w:rPr>
              <w:t> </w:t>
            </w:r>
            <w:r>
              <w:rPr>
                <w:sz w:val="14"/>
              </w:rPr>
              <w:t>and</w:t>
            </w:r>
            <w:r>
              <w:rPr>
                <w:spacing w:val="40"/>
                <w:sz w:val="14"/>
              </w:rPr>
              <w:t> </w:t>
            </w:r>
            <w:r>
              <w:rPr>
                <w:sz w:val="14"/>
              </w:rPr>
              <w:t>CIV I </w:t>
            </w:r>
            <w:r>
              <w:rPr>
                <w:i/>
                <w:sz w:val="14"/>
              </w:rPr>
              <w:t>bis </w:t>
            </w:r>
            <w:r>
              <w:rPr>
                <w:sz w:val="14"/>
              </w:rPr>
              <w:t>(1)</w:t>
            </w:r>
          </w:p>
        </w:tc>
        <w:tc>
          <w:tcPr>
            <w:tcW w:w="585" w:type="dxa"/>
            <w:tcBorders>
              <w:top w:val="single" w:sz="4" w:space="0" w:color="000000"/>
              <w:bottom w:val="single" w:sz="4" w:space="0" w:color="000000"/>
            </w:tcBorders>
          </w:tcPr>
          <w:p>
            <w:pPr>
              <w:pStyle w:val="TableParagraph"/>
              <w:spacing w:before="51"/>
              <w:ind w:right="10"/>
              <w:jc w:val="center"/>
              <w:rPr>
                <w:sz w:val="14"/>
              </w:rPr>
            </w:pPr>
            <w:r>
              <w:rPr>
                <w:spacing w:val="-5"/>
                <w:sz w:val="14"/>
              </w:rPr>
              <w:t>13</w:t>
            </w:r>
          </w:p>
        </w:tc>
        <w:tc>
          <w:tcPr>
            <w:tcW w:w="1212" w:type="dxa"/>
            <w:tcBorders>
              <w:top w:val="single" w:sz="4" w:space="0" w:color="000000"/>
              <w:bottom w:val="single" w:sz="4" w:space="0" w:color="000000"/>
            </w:tcBorders>
          </w:tcPr>
          <w:p>
            <w:pPr>
              <w:pStyle w:val="TableParagraph"/>
              <w:spacing w:before="51"/>
              <w:ind w:left="13" w:right="27"/>
              <w:jc w:val="left"/>
              <w:rPr>
                <w:sz w:val="14"/>
              </w:rPr>
            </w:pPr>
            <w:r>
              <w:rPr>
                <w:sz w:val="14"/>
              </w:rPr>
              <w:t>CIV</w:t>
            </w:r>
            <w:r>
              <w:rPr>
                <w:spacing w:val="-9"/>
                <w:sz w:val="14"/>
              </w:rPr>
              <w:t> </w:t>
            </w:r>
            <w:r>
              <w:rPr>
                <w:sz w:val="14"/>
              </w:rPr>
              <w:t>I</w:t>
            </w:r>
            <w:r>
              <w:rPr>
                <w:spacing w:val="-9"/>
                <w:sz w:val="14"/>
              </w:rPr>
              <w:t> </w:t>
            </w:r>
            <w:r>
              <w:rPr>
                <w:i/>
                <w:sz w:val="14"/>
              </w:rPr>
              <w:t>bis</w:t>
            </w:r>
            <w:r>
              <w:rPr>
                <w:i/>
                <w:spacing w:val="-8"/>
                <w:sz w:val="14"/>
              </w:rPr>
              <w:t> </w:t>
            </w:r>
            <w:r>
              <w:rPr>
                <w:sz w:val="14"/>
              </w:rPr>
              <w:t>(1);</w:t>
            </w:r>
            <w:r>
              <w:rPr>
                <w:spacing w:val="-9"/>
                <w:sz w:val="14"/>
              </w:rPr>
              <w:t> </w:t>
            </w:r>
            <w:r>
              <w:rPr>
                <w:sz w:val="14"/>
              </w:rPr>
              <w:t>Darfur</w:t>
            </w:r>
            <w:r>
              <w:rPr>
                <w:spacing w:val="40"/>
                <w:sz w:val="14"/>
              </w:rPr>
              <w:t> </w:t>
            </w:r>
            <w:r>
              <w:rPr>
                <w:sz w:val="14"/>
              </w:rPr>
              <w:t>I (1), II (2), IV (1)</w:t>
            </w:r>
            <w:r>
              <w:rPr>
                <w:spacing w:val="40"/>
                <w:sz w:val="14"/>
              </w:rPr>
              <w:t> </w:t>
            </w:r>
            <w:r>
              <w:rPr>
                <w:sz w:val="14"/>
              </w:rPr>
              <w:t>and V (1); DRC IV</w:t>
            </w:r>
          </w:p>
          <w:p>
            <w:pPr>
              <w:pStyle w:val="TableParagraph"/>
              <w:spacing w:before="3"/>
              <w:ind w:left="13"/>
              <w:jc w:val="left"/>
              <w:rPr>
                <w:sz w:val="14"/>
              </w:rPr>
            </w:pPr>
            <w:r>
              <w:rPr>
                <w:sz w:val="14"/>
              </w:rPr>
              <w:t>(1);</w:t>
            </w:r>
            <w:r>
              <w:rPr>
                <w:spacing w:val="-2"/>
                <w:sz w:val="14"/>
              </w:rPr>
              <w:t> </w:t>
            </w:r>
            <w:r>
              <w:rPr>
                <w:sz w:val="14"/>
              </w:rPr>
              <w:t>Libya</w:t>
            </w:r>
            <w:r>
              <w:rPr>
                <w:spacing w:val="-2"/>
                <w:sz w:val="14"/>
              </w:rPr>
              <w:t> </w:t>
            </w:r>
            <w:r>
              <w:rPr>
                <w:sz w:val="14"/>
              </w:rPr>
              <w:t>I (1),</w:t>
            </w:r>
            <w:r>
              <w:rPr>
                <w:spacing w:val="-3"/>
                <w:sz w:val="14"/>
              </w:rPr>
              <w:t> </w:t>
            </w:r>
            <w:r>
              <w:rPr>
                <w:spacing w:val="-5"/>
                <w:sz w:val="14"/>
              </w:rPr>
              <w:t>II</w:t>
            </w:r>
          </w:p>
          <w:p>
            <w:pPr>
              <w:pStyle w:val="TableParagraph"/>
              <w:spacing w:line="160" w:lineRule="exact" w:before="2"/>
              <w:ind w:left="13"/>
              <w:jc w:val="left"/>
              <w:rPr>
                <w:sz w:val="14"/>
              </w:rPr>
            </w:pPr>
            <w:r>
              <w:rPr>
                <w:sz w:val="14"/>
              </w:rPr>
              <w:t>(1)</w:t>
            </w:r>
            <w:r>
              <w:rPr>
                <w:spacing w:val="-2"/>
                <w:sz w:val="14"/>
              </w:rPr>
              <w:t> </w:t>
            </w:r>
            <w:r>
              <w:rPr>
                <w:sz w:val="14"/>
              </w:rPr>
              <w:t>and</w:t>
            </w:r>
            <w:r>
              <w:rPr>
                <w:spacing w:val="-2"/>
                <w:sz w:val="14"/>
              </w:rPr>
              <w:t> </w:t>
            </w:r>
            <w:r>
              <w:rPr>
                <w:sz w:val="14"/>
              </w:rPr>
              <w:t>III</w:t>
            </w:r>
            <w:r>
              <w:rPr>
                <w:spacing w:val="-1"/>
                <w:sz w:val="14"/>
              </w:rPr>
              <w:t> </w:t>
            </w:r>
            <w:r>
              <w:rPr>
                <w:sz w:val="14"/>
              </w:rPr>
              <w:t>(2);</w:t>
            </w:r>
            <w:r>
              <w:rPr>
                <w:spacing w:val="-4"/>
                <w:sz w:val="14"/>
              </w:rPr>
              <w:t> </w:t>
            </w:r>
            <w:r>
              <w:rPr>
                <w:spacing w:val="-5"/>
                <w:sz w:val="14"/>
              </w:rPr>
              <w:t>and</w:t>
            </w:r>
          </w:p>
          <w:p>
            <w:pPr>
              <w:pStyle w:val="TableParagraph"/>
              <w:spacing w:line="160" w:lineRule="exact"/>
              <w:ind w:left="13"/>
              <w:jc w:val="left"/>
              <w:rPr>
                <w:sz w:val="14"/>
              </w:rPr>
            </w:pPr>
            <w:r>
              <w:rPr>
                <w:sz w:val="14"/>
              </w:rPr>
              <w:t>Uganda</w:t>
            </w:r>
            <w:r>
              <w:rPr>
                <w:spacing w:val="1"/>
                <w:sz w:val="14"/>
              </w:rPr>
              <w:t> </w:t>
            </w:r>
            <w:r>
              <w:rPr>
                <w:spacing w:val="-5"/>
                <w:sz w:val="14"/>
              </w:rPr>
              <w:t>(2)</w:t>
            </w:r>
          </w:p>
        </w:tc>
        <w:tc>
          <w:tcPr>
            <w:tcW w:w="585" w:type="dxa"/>
            <w:tcBorders>
              <w:top w:val="single" w:sz="4" w:space="0" w:color="000000"/>
              <w:bottom w:val="single" w:sz="4" w:space="0" w:color="000000"/>
            </w:tcBorders>
          </w:tcPr>
          <w:p>
            <w:pPr>
              <w:pStyle w:val="TableParagraph"/>
              <w:spacing w:before="51"/>
              <w:ind w:left="13" w:right="10"/>
              <w:jc w:val="center"/>
              <w:rPr>
                <w:sz w:val="14"/>
              </w:rPr>
            </w:pPr>
            <w:r>
              <w:rPr>
                <w:spacing w:val="-5"/>
                <w:sz w:val="14"/>
              </w:rPr>
              <w:t>17</w:t>
            </w:r>
          </w:p>
        </w:tc>
        <w:tc>
          <w:tcPr>
            <w:tcW w:w="1010" w:type="dxa"/>
            <w:tcBorders>
              <w:top w:val="single" w:sz="4" w:space="0" w:color="000000"/>
              <w:bottom w:val="single" w:sz="4" w:space="0" w:color="000000"/>
            </w:tcBorders>
          </w:tcPr>
          <w:p>
            <w:pPr>
              <w:pStyle w:val="TableParagraph"/>
              <w:spacing w:line="242" w:lineRule="auto" w:before="51"/>
              <w:ind w:left="17" w:right="51"/>
              <w:jc w:val="left"/>
              <w:rPr>
                <w:sz w:val="14"/>
              </w:rPr>
            </w:pPr>
            <w:r>
              <w:rPr>
                <w:sz w:val="14"/>
              </w:rPr>
              <w:t>CAR</w:t>
            </w:r>
            <w:r>
              <w:rPr>
                <w:spacing w:val="-3"/>
                <w:sz w:val="14"/>
              </w:rPr>
              <w:t> </w:t>
            </w:r>
            <w:r>
              <w:rPr>
                <w:sz w:val="14"/>
              </w:rPr>
              <w:t>II (10);</w:t>
            </w:r>
            <w:r>
              <w:rPr>
                <w:spacing w:val="40"/>
                <w:sz w:val="14"/>
              </w:rPr>
              <w:t> </w:t>
            </w:r>
            <w:r>
              <w:rPr>
                <w:sz w:val="14"/>
              </w:rPr>
              <w:t>CIV</w:t>
            </w:r>
            <w:r>
              <w:rPr>
                <w:spacing w:val="-4"/>
                <w:sz w:val="14"/>
              </w:rPr>
              <w:t> </w:t>
            </w:r>
            <w:r>
              <w:rPr>
                <w:sz w:val="14"/>
              </w:rPr>
              <w:t>I</w:t>
            </w:r>
            <w:r>
              <w:rPr>
                <w:spacing w:val="-1"/>
                <w:sz w:val="14"/>
              </w:rPr>
              <w:t> </w:t>
            </w:r>
            <w:r>
              <w:rPr>
                <w:i/>
                <w:sz w:val="14"/>
              </w:rPr>
              <w:t>bis</w:t>
            </w:r>
            <w:r>
              <w:rPr>
                <w:i/>
                <w:spacing w:val="-4"/>
                <w:sz w:val="14"/>
              </w:rPr>
              <w:t> </w:t>
            </w:r>
            <w:r>
              <w:rPr>
                <w:spacing w:val="-4"/>
                <w:sz w:val="14"/>
              </w:rPr>
              <w:t>(1);</w:t>
            </w:r>
          </w:p>
          <w:p>
            <w:pPr>
              <w:pStyle w:val="TableParagraph"/>
              <w:spacing w:line="242" w:lineRule="auto"/>
              <w:ind w:left="17"/>
              <w:jc w:val="left"/>
              <w:rPr>
                <w:sz w:val="14"/>
              </w:rPr>
            </w:pPr>
            <w:r>
              <w:rPr>
                <w:sz w:val="14"/>
              </w:rPr>
              <w:t>Darfur I (1), II</w:t>
            </w:r>
            <w:r>
              <w:rPr>
                <w:spacing w:val="40"/>
                <w:sz w:val="14"/>
              </w:rPr>
              <w:t> </w:t>
            </w:r>
            <w:r>
              <w:rPr>
                <w:sz w:val="14"/>
              </w:rPr>
              <w:t>(2),</w:t>
            </w:r>
            <w:r>
              <w:rPr>
                <w:spacing w:val="-4"/>
                <w:sz w:val="14"/>
              </w:rPr>
              <w:t> </w:t>
            </w:r>
            <w:r>
              <w:rPr>
                <w:sz w:val="14"/>
              </w:rPr>
              <w:t>IV</w:t>
            </w:r>
            <w:r>
              <w:rPr>
                <w:spacing w:val="-3"/>
                <w:sz w:val="14"/>
              </w:rPr>
              <w:t> </w:t>
            </w:r>
            <w:r>
              <w:rPr>
                <w:sz w:val="14"/>
              </w:rPr>
              <w:t>(1) and</w:t>
            </w:r>
            <w:r>
              <w:rPr>
                <w:spacing w:val="-1"/>
                <w:sz w:val="14"/>
              </w:rPr>
              <w:t> </w:t>
            </w:r>
            <w:r>
              <w:rPr>
                <w:spacing w:val="-10"/>
                <w:sz w:val="14"/>
              </w:rPr>
              <w:t>V</w:t>
            </w:r>
          </w:p>
          <w:p>
            <w:pPr>
              <w:pStyle w:val="TableParagraph"/>
              <w:spacing w:line="160" w:lineRule="exact"/>
              <w:ind w:left="17"/>
              <w:jc w:val="left"/>
              <w:rPr>
                <w:sz w:val="14"/>
              </w:rPr>
            </w:pPr>
            <w:r>
              <w:rPr>
                <w:sz w:val="14"/>
              </w:rPr>
              <w:t>(1);</w:t>
            </w:r>
            <w:r>
              <w:rPr>
                <w:spacing w:val="-4"/>
                <w:sz w:val="14"/>
              </w:rPr>
              <w:t> </w:t>
            </w:r>
            <w:r>
              <w:rPr>
                <w:sz w:val="14"/>
              </w:rPr>
              <w:t>DRC</w:t>
            </w:r>
            <w:r>
              <w:rPr>
                <w:spacing w:val="-5"/>
                <w:sz w:val="14"/>
              </w:rPr>
              <w:t> </w:t>
            </w:r>
            <w:r>
              <w:rPr>
                <w:sz w:val="14"/>
              </w:rPr>
              <w:t>IV</w:t>
            </w:r>
            <w:r>
              <w:rPr>
                <w:spacing w:val="-3"/>
                <w:sz w:val="14"/>
              </w:rPr>
              <w:t> </w:t>
            </w:r>
            <w:r>
              <w:rPr>
                <w:spacing w:val="-4"/>
                <w:sz w:val="14"/>
              </w:rPr>
              <w:t>(1);</w:t>
            </w:r>
          </w:p>
          <w:p>
            <w:pPr>
              <w:pStyle w:val="TableParagraph"/>
              <w:spacing w:line="160" w:lineRule="exact"/>
              <w:ind w:left="17"/>
              <w:jc w:val="left"/>
              <w:rPr>
                <w:sz w:val="14"/>
              </w:rPr>
            </w:pPr>
            <w:r>
              <w:rPr>
                <w:sz w:val="14"/>
              </w:rPr>
              <w:t>Georgia</w:t>
            </w:r>
            <w:r>
              <w:rPr>
                <w:spacing w:val="-2"/>
                <w:sz w:val="14"/>
              </w:rPr>
              <w:t> </w:t>
            </w:r>
            <w:r>
              <w:rPr>
                <w:spacing w:val="-4"/>
                <w:sz w:val="14"/>
              </w:rPr>
              <w:t>(3);</w:t>
            </w:r>
          </w:p>
          <w:p>
            <w:pPr>
              <w:pStyle w:val="TableParagraph"/>
              <w:spacing w:line="160" w:lineRule="exact" w:before="1"/>
              <w:ind w:left="17"/>
              <w:jc w:val="left"/>
              <w:rPr>
                <w:sz w:val="14"/>
              </w:rPr>
            </w:pPr>
            <w:r>
              <w:rPr>
                <w:spacing w:val="-2"/>
                <w:sz w:val="14"/>
              </w:rPr>
              <w:t>Kenya</w:t>
            </w:r>
          </w:p>
          <w:p>
            <w:pPr>
              <w:pStyle w:val="TableParagraph"/>
              <w:spacing w:line="160" w:lineRule="exact"/>
              <w:ind w:left="17"/>
              <w:jc w:val="left"/>
              <w:rPr>
                <w:sz w:val="14"/>
              </w:rPr>
            </w:pPr>
            <w:r>
              <w:rPr>
                <w:sz w:val="14"/>
              </w:rPr>
              <w:t>art.</w:t>
            </w:r>
            <w:r>
              <w:rPr>
                <w:spacing w:val="-3"/>
                <w:sz w:val="14"/>
              </w:rPr>
              <w:t> </w:t>
            </w:r>
            <w:r>
              <w:rPr>
                <w:sz w:val="14"/>
              </w:rPr>
              <w:t>70</w:t>
            </w:r>
            <w:r>
              <w:rPr>
                <w:spacing w:val="2"/>
                <w:sz w:val="14"/>
              </w:rPr>
              <w:t> </w:t>
            </w:r>
            <w:r>
              <w:rPr>
                <w:sz w:val="14"/>
              </w:rPr>
              <w:t>(3);</w:t>
            </w:r>
            <w:r>
              <w:rPr>
                <w:spacing w:val="-2"/>
                <w:sz w:val="14"/>
              </w:rPr>
              <w:t> Libya</w:t>
            </w:r>
          </w:p>
          <w:p>
            <w:pPr>
              <w:pStyle w:val="TableParagraph"/>
              <w:spacing w:line="160" w:lineRule="exact" w:before="2"/>
              <w:ind w:left="17"/>
              <w:jc w:val="left"/>
              <w:rPr>
                <w:sz w:val="14"/>
              </w:rPr>
            </w:pPr>
            <w:r>
              <w:rPr>
                <w:sz w:val="14"/>
              </w:rPr>
              <w:t>I (1);</w:t>
            </w:r>
            <w:r>
              <w:rPr>
                <w:spacing w:val="-1"/>
                <w:sz w:val="14"/>
              </w:rPr>
              <w:t> </w:t>
            </w:r>
            <w:r>
              <w:rPr>
                <w:spacing w:val="-5"/>
                <w:sz w:val="14"/>
              </w:rPr>
              <w:t>and</w:t>
            </w:r>
          </w:p>
          <w:p>
            <w:pPr>
              <w:pStyle w:val="TableParagraph"/>
              <w:spacing w:line="160" w:lineRule="exact"/>
              <w:ind w:left="17"/>
              <w:jc w:val="left"/>
              <w:rPr>
                <w:sz w:val="14"/>
              </w:rPr>
            </w:pPr>
            <w:r>
              <w:rPr>
                <w:sz w:val="14"/>
              </w:rPr>
              <w:t>Uganda </w:t>
            </w:r>
            <w:r>
              <w:rPr>
                <w:spacing w:val="-5"/>
                <w:sz w:val="14"/>
              </w:rPr>
              <w:t>(2)</w:t>
            </w:r>
          </w:p>
        </w:tc>
      </w:tr>
      <w:tr>
        <w:trPr>
          <w:trHeight w:val="1891" w:hRule="atLeast"/>
        </w:trPr>
        <w:tc>
          <w:tcPr>
            <w:tcW w:w="189" w:type="dxa"/>
            <w:tcBorders>
              <w:top w:val="single" w:sz="4" w:space="0" w:color="000000"/>
              <w:bottom w:val="single" w:sz="4" w:space="0" w:color="000000"/>
            </w:tcBorders>
          </w:tcPr>
          <w:p>
            <w:pPr>
              <w:pStyle w:val="TableParagraph"/>
              <w:spacing w:before="61"/>
              <w:ind w:left="14"/>
              <w:jc w:val="left"/>
              <w:rPr>
                <w:sz w:val="14"/>
              </w:rPr>
            </w:pPr>
            <w:r>
              <w:rPr>
                <w:w w:val="99"/>
                <w:sz w:val="14"/>
              </w:rPr>
              <w:t>5</w:t>
            </w:r>
          </w:p>
        </w:tc>
        <w:tc>
          <w:tcPr>
            <w:tcW w:w="787" w:type="dxa"/>
            <w:tcBorders>
              <w:top w:val="single" w:sz="4" w:space="0" w:color="000000"/>
              <w:bottom w:val="single" w:sz="4" w:space="0" w:color="000000"/>
            </w:tcBorders>
          </w:tcPr>
          <w:p>
            <w:pPr>
              <w:pStyle w:val="TableParagraph"/>
              <w:spacing w:line="237" w:lineRule="auto" w:before="62"/>
              <w:ind w:left="104" w:right="26"/>
              <w:jc w:val="left"/>
              <w:rPr>
                <w:sz w:val="14"/>
              </w:rPr>
            </w:pPr>
            <w:r>
              <w:rPr>
                <w:sz w:val="14"/>
              </w:rPr>
              <w:t>Number</w:t>
            </w:r>
            <w:r>
              <w:rPr>
                <w:spacing w:val="-9"/>
                <w:sz w:val="14"/>
              </w:rPr>
              <w:t> </w:t>
            </w:r>
            <w:r>
              <w:rPr>
                <w:sz w:val="14"/>
              </w:rPr>
              <w:t>of</w:t>
            </w:r>
            <w:r>
              <w:rPr>
                <w:spacing w:val="40"/>
                <w:sz w:val="14"/>
              </w:rPr>
              <w:t> </w:t>
            </w:r>
            <w:r>
              <w:rPr>
                <w:spacing w:val="-2"/>
                <w:sz w:val="14"/>
              </w:rPr>
              <w:t>preliminary</w:t>
            </w:r>
            <w:r>
              <w:rPr>
                <w:spacing w:val="40"/>
                <w:sz w:val="14"/>
              </w:rPr>
              <w:t> </w:t>
            </w:r>
            <w:r>
              <w:rPr>
                <w:spacing w:val="-2"/>
                <w:sz w:val="14"/>
              </w:rPr>
              <w:t>examina-</w:t>
            </w:r>
            <w:r>
              <w:rPr>
                <w:spacing w:val="40"/>
                <w:sz w:val="14"/>
              </w:rPr>
              <w:t> </w:t>
            </w:r>
            <w:r>
              <w:rPr>
                <w:spacing w:val="-2"/>
                <w:sz w:val="14"/>
              </w:rPr>
              <w:t>tions</w:t>
            </w:r>
          </w:p>
        </w:tc>
        <w:tc>
          <w:tcPr>
            <w:tcW w:w="592" w:type="dxa"/>
            <w:tcBorders>
              <w:top w:val="single" w:sz="4" w:space="0" w:color="000000"/>
              <w:bottom w:val="single" w:sz="4" w:space="0" w:color="000000"/>
            </w:tcBorders>
          </w:tcPr>
          <w:p>
            <w:pPr>
              <w:pStyle w:val="TableParagraph"/>
              <w:spacing w:before="61"/>
              <w:ind w:left="13"/>
              <w:jc w:val="center"/>
              <w:rPr>
                <w:sz w:val="14"/>
              </w:rPr>
            </w:pPr>
            <w:r>
              <w:rPr>
                <w:w w:val="99"/>
                <w:sz w:val="14"/>
              </w:rPr>
              <w:t>9</w:t>
            </w:r>
          </w:p>
        </w:tc>
        <w:tc>
          <w:tcPr>
            <w:tcW w:w="476" w:type="dxa"/>
            <w:tcBorders>
              <w:top w:val="single" w:sz="4" w:space="0" w:color="000000"/>
              <w:bottom w:val="single" w:sz="4" w:space="0" w:color="000000"/>
            </w:tcBorders>
          </w:tcPr>
          <w:p>
            <w:pPr>
              <w:pStyle w:val="TableParagraph"/>
              <w:spacing w:before="61"/>
              <w:ind w:left="21"/>
              <w:jc w:val="center"/>
              <w:rPr>
                <w:sz w:val="14"/>
              </w:rPr>
            </w:pPr>
            <w:r>
              <w:rPr>
                <w:w w:val="99"/>
                <w:sz w:val="14"/>
              </w:rPr>
              <w:t>9</w:t>
            </w:r>
          </w:p>
        </w:tc>
        <w:tc>
          <w:tcPr>
            <w:tcW w:w="1140" w:type="dxa"/>
            <w:tcBorders>
              <w:top w:val="single" w:sz="4" w:space="0" w:color="000000"/>
              <w:bottom w:val="single" w:sz="4" w:space="0" w:color="000000"/>
            </w:tcBorders>
          </w:tcPr>
          <w:p>
            <w:pPr>
              <w:pStyle w:val="TableParagraph"/>
              <w:spacing w:before="61"/>
              <w:ind w:left="11" w:right="48"/>
              <w:jc w:val="left"/>
              <w:rPr>
                <w:sz w:val="14"/>
              </w:rPr>
            </w:pPr>
            <w:r>
              <w:rPr>
                <w:sz w:val="14"/>
              </w:rPr>
              <w:t>Colombia;</w:t>
            </w:r>
            <w:r>
              <w:rPr>
                <w:spacing w:val="-9"/>
                <w:sz w:val="14"/>
              </w:rPr>
              <w:t> </w:t>
            </w:r>
            <w:r>
              <w:rPr>
                <w:sz w:val="14"/>
              </w:rPr>
              <w:t>Guinea;</w:t>
            </w:r>
            <w:r>
              <w:rPr>
                <w:spacing w:val="40"/>
                <w:sz w:val="14"/>
              </w:rPr>
              <w:t> </w:t>
            </w:r>
            <w:r>
              <w:rPr>
                <w:sz w:val="14"/>
              </w:rPr>
              <w:t>Iraq/UK;</w:t>
            </w:r>
            <w:r>
              <w:rPr>
                <w:spacing w:val="-9"/>
                <w:sz w:val="14"/>
              </w:rPr>
              <w:t> </w:t>
            </w:r>
            <w:r>
              <w:rPr>
                <w:sz w:val="14"/>
              </w:rPr>
              <w:t>Nigeria;</w:t>
            </w:r>
            <w:r>
              <w:rPr>
                <w:spacing w:val="40"/>
                <w:sz w:val="14"/>
              </w:rPr>
              <w:t> </w:t>
            </w:r>
            <w:r>
              <w:rPr>
                <w:spacing w:val="-2"/>
                <w:sz w:val="14"/>
              </w:rPr>
              <w:t>Palestine;</w:t>
            </w:r>
            <w:r>
              <w:rPr>
                <w:spacing w:val="40"/>
                <w:sz w:val="14"/>
              </w:rPr>
              <w:t> </w:t>
            </w:r>
            <w:r>
              <w:rPr>
                <w:spacing w:val="-2"/>
                <w:sz w:val="14"/>
              </w:rPr>
              <w:t>Philippines;</w:t>
            </w:r>
            <w:r>
              <w:rPr>
                <w:spacing w:val="40"/>
                <w:sz w:val="14"/>
              </w:rPr>
              <w:t> </w:t>
            </w:r>
            <w:r>
              <w:rPr>
                <w:spacing w:val="-2"/>
                <w:sz w:val="14"/>
              </w:rPr>
              <w:t>Ukraine;</w:t>
            </w:r>
            <w:r>
              <w:rPr>
                <w:spacing w:val="40"/>
                <w:sz w:val="14"/>
              </w:rPr>
              <w:t> </w:t>
            </w:r>
            <w:r>
              <w:rPr>
                <w:sz w:val="14"/>
              </w:rPr>
              <w:t>Venezuela;</w:t>
            </w:r>
            <w:r>
              <w:rPr>
                <w:spacing w:val="-9"/>
                <w:sz w:val="14"/>
              </w:rPr>
              <w:t> </w:t>
            </w:r>
            <w:r>
              <w:rPr>
                <w:sz w:val="14"/>
              </w:rPr>
              <w:t>and</w:t>
            </w:r>
            <w:r>
              <w:rPr>
                <w:spacing w:val="40"/>
                <w:sz w:val="14"/>
              </w:rPr>
              <w:t> </w:t>
            </w:r>
            <w:r>
              <w:rPr>
                <w:spacing w:val="-2"/>
                <w:sz w:val="14"/>
              </w:rPr>
              <w:t>Bangladesh/</w:t>
            </w:r>
            <w:r>
              <w:rPr>
                <w:spacing w:val="40"/>
                <w:sz w:val="14"/>
              </w:rPr>
              <w:t> </w:t>
            </w:r>
            <w:r>
              <w:rPr>
                <w:spacing w:val="-2"/>
                <w:sz w:val="14"/>
              </w:rPr>
              <w:t>Myanmar</w:t>
            </w:r>
          </w:p>
        </w:tc>
        <w:tc>
          <w:tcPr>
            <w:tcW w:w="620" w:type="dxa"/>
            <w:tcBorders>
              <w:top w:val="single" w:sz="4" w:space="0" w:color="000000"/>
              <w:bottom w:val="single" w:sz="4" w:space="0" w:color="000000"/>
            </w:tcBorders>
          </w:tcPr>
          <w:p>
            <w:pPr>
              <w:pStyle w:val="TableParagraph"/>
              <w:spacing w:before="61"/>
              <w:ind w:right="30"/>
              <w:jc w:val="center"/>
              <w:rPr>
                <w:sz w:val="14"/>
              </w:rPr>
            </w:pPr>
            <w:r>
              <w:rPr>
                <w:w w:val="99"/>
                <w:sz w:val="14"/>
              </w:rPr>
              <w:t>9</w:t>
            </w:r>
          </w:p>
        </w:tc>
        <w:tc>
          <w:tcPr>
            <w:tcW w:w="512" w:type="dxa"/>
            <w:tcBorders>
              <w:top w:val="single" w:sz="4" w:space="0" w:color="000000"/>
              <w:bottom w:val="single" w:sz="4" w:space="0" w:color="000000"/>
            </w:tcBorders>
          </w:tcPr>
          <w:p>
            <w:pPr>
              <w:pStyle w:val="TableParagraph"/>
              <w:spacing w:before="61"/>
              <w:ind w:left="37" w:right="22"/>
              <w:jc w:val="center"/>
              <w:rPr>
                <w:sz w:val="14"/>
              </w:rPr>
            </w:pPr>
            <w:r>
              <w:rPr>
                <w:spacing w:val="-5"/>
                <w:sz w:val="14"/>
              </w:rPr>
              <w:t>10</w:t>
            </w:r>
          </w:p>
        </w:tc>
        <w:tc>
          <w:tcPr>
            <w:tcW w:w="966" w:type="dxa"/>
            <w:tcBorders>
              <w:top w:val="single" w:sz="4" w:space="0" w:color="000000"/>
              <w:bottom w:val="single" w:sz="4" w:space="0" w:color="000000"/>
            </w:tcBorders>
          </w:tcPr>
          <w:p>
            <w:pPr>
              <w:pStyle w:val="TableParagraph"/>
              <w:spacing w:before="61"/>
              <w:ind w:left="25" w:right="211"/>
              <w:jc w:val="left"/>
              <w:rPr>
                <w:sz w:val="14"/>
              </w:rPr>
            </w:pPr>
            <w:r>
              <w:rPr>
                <w:spacing w:val="-2"/>
                <w:sz w:val="14"/>
              </w:rPr>
              <w:t>Bolivia;</w:t>
            </w:r>
            <w:r>
              <w:rPr>
                <w:spacing w:val="40"/>
                <w:sz w:val="14"/>
              </w:rPr>
              <w:t> </w:t>
            </w:r>
            <w:r>
              <w:rPr>
                <w:spacing w:val="-2"/>
                <w:sz w:val="14"/>
              </w:rPr>
              <w:t>Colombia;</w:t>
            </w:r>
            <w:r>
              <w:rPr>
                <w:spacing w:val="40"/>
                <w:sz w:val="14"/>
              </w:rPr>
              <w:t> </w:t>
            </w:r>
            <w:r>
              <w:rPr>
                <w:spacing w:val="-2"/>
                <w:sz w:val="14"/>
              </w:rPr>
              <w:t>Guinea;</w:t>
            </w:r>
            <w:r>
              <w:rPr>
                <w:spacing w:val="40"/>
                <w:sz w:val="14"/>
              </w:rPr>
              <w:t> </w:t>
            </w:r>
            <w:r>
              <w:rPr>
                <w:spacing w:val="-2"/>
                <w:sz w:val="14"/>
              </w:rPr>
              <w:t>Iraq/UK;</w:t>
            </w:r>
            <w:r>
              <w:rPr>
                <w:spacing w:val="40"/>
                <w:sz w:val="14"/>
              </w:rPr>
              <w:t> </w:t>
            </w:r>
            <w:r>
              <w:rPr>
                <w:spacing w:val="-2"/>
                <w:sz w:val="14"/>
              </w:rPr>
              <w:t>Nigeria;</w:t>
            </w:r>
            <w:r>
              <w:rPr>
                <w:spacing w:val="40"/>
                <w:sz w:val="14"/>
              </w:rPr>
              <w:t> </w:t>
            </w:r>
            <w:r>
              <w:rPr>
                <w:spacing w:val="-2"/>
                <w:sz w:val="14"/>
              </w:rPr>
              <w:t>Palestine;</w:t>
            </w:r>
            <w:r>
              <w:rPr>
                <w:spacing w:val="40"/>
                <w:sz w:val="14"/>
              </w:rPr>
              <w:t> </w:t>
            </w:r>
            <w:r>
              <w:rPr>
                <w:spacing w:val="-2"/>
                <w:sz w:val="14"/>
              </w:rPr>
              <w:t>Philippines;</w:t>
            </w:r>
            <w:r>
              <w:rPr>
                <w:spacing w:val="40"/>
                <w:sz w:val="14"/>
              </w:rPr>
              <w:t> </w:t>
            </w:r>
            <w:r>
              <w:rPr>
                <w:spacing w:val="-2"/>
                <w:sz w:val="14"/>
              </w:rPr>
              <w:t>Ukraine;</w:t>
            </w:r>
            <w:r>
              <w:rPr>
                <w:spacing w:val="40"/>
                <w:sz w:val="14"/>
              </w:rPr>
              <w:t> </w:t>
            </w:r>
            <w:r>
              <w:rPr>
                <w:sz w:val="14"/>
              </w:rPr>
              <w:t>Venezuela</w:t>
            </w:r>
            <w:r>
              <w:rPr>
                <w:spacing w:val="-9"/>
                <w:sz w:val="14"/>
              </w:rPr>
              <w:t> </w:t>
            </w:r>
            <w:r>
              <w:rPr>
                <w:sz w:val="14"/>
              </w:rPr>
              <w:t>I;</w:t>
            </w:r>
            <w:r>
              <w:rPr>
                <w:spacing w:val="40"/>
                <w:sz w:val="14"/>
              </w:rPr>
              <w:t> </w:t>
            </w:r>
            <w:r>
              <w:rPr>
                <w:spacing w:val="-4"/>
                <w:sz w:val="14"/>
              </w:rPr>
              <w:t>and</w:t>
            </w:r>
            <w:r>
              <w:rPr>
                <w:spacing w:val="40"/>
                <w:sz w:val="14"/>
              </w:rPr>
              <w:t> </w:t>
            </w:r>
            <w:r>
              <w:rPr>
                <w:sz w:val="14"/>
              </w:rPr>
              <w:t>Venezuela</w:t>
            </w:r>
            <w:r>
              <w:rPr>
                <w:spacing w:val="-9"/>
                <w:sz w:val="14"/>
              </w:rPr>
              <w:t> </w:t>
            </w:r>
            <w:r>
              <w:rPr>
                <w:sz w:val="14"/>
              </w:rPr>
              <w:t>II</w:t>
            </w:r>
          </w:p>
        </w:tc>
        <w:tc>
          <w:tcPr>
            <w:tcW w:w="603" w:type="dxa"/>
            <w:tcBorders>
              <w:top w:val="single" w:sz="4" w:space="0" w:color="000000"/>
              <w:bottom w:val="single" w:sz="4" w:space="0" w:color="000000"/>
            </w:tcBorders>
          </w:tcPr>
          <w:p>
            <w:pPr>
              <w:pStyle w:val="TableParagraph"/>
              <w:spacing w:before="61"/>
              <w:ind w:right="21"/>
              <w:jc w:val="center"/>
              <w:rPr>
                <w:sz w:val="14"/>
              </w:rPr>
            </w:pPr>
            <w:r>
              <w:rPr>
                <w:w w:val="99"/>
                <w:sz w:val="14"/>
              </w:rPr>
              <w:t>9</w:t>
            </w:r>
          </w:p>
        </w:tc>
        <w:tc>
          <w:tcPr>
            <w:tcW w:w="475" w:type="dxa"/>
            <w:tcBorders>
              <w:top w:val="single" w:sz="4" w:space="0" w:color="000000"/>
              <w:bottom w:val="single" w:sz="4" w:space="0" w:color="000000"/>
            </w:tcBorders>
          </w:tcPr>
          <w:p>
            <w:pPr>
              <w:pStyle w:val="TableParagraph"/>
              <w:spacing w:before="61"/>
              <w:ind w:left="3"/>
              <w:jc w:val="center"/>
              <w:rPr>
                <w:sz w:val="14"/>
              </w:rPr>
            </w:pPr>
            <w:r>
              <w:rPr>
                <w:w w:val="99"/>
                <w:sz w:val="14"/>
              </w:rPr>
              <w:t>9</w:t>
            </w:r>
          </w:p>
        </w:tc>
        <w:tc>
          <w:tcPr>
            <w:tcW w:w="1042" w:type="dxa"/>
            <w:tcBorders>
              <w:top w:val="single" w:sz="4" w:space="0" w:color="000000"/>
              <w:bottom w:val="single" w:sz="4" w:space="0" w:color="000000"/>
            </w:tcBorders>
          </w:tcPr>
          <w:p>
            <w:pPr>
              <w:pStyle w:val="TableParagraph"/>
              <w:spacing w:before="61"/>
              <w:ind w:left="7" w:right="46"/>
              <w:jc w:val="left"/>
              <w:rPr>
                <w:sz w:val="14"/>
              </w:rPr>
            </w:pPr>
            <w:r>
              <w:rPr>
                <w:spacing w:val="-2"/>
                <w:sz w:val="14"/>
              </w:rPr>
              <w:t>Bolivia;</w:t>
            </w:r>
            <w:r>
              <w:rPr>
                <w:spacing w:val="40"/>
                <w:sz w:val="14"/>
              </w:rPr>
              <w:t> </w:t>
            </w:r>
            <w:r>
              <w:rPr>
                <w:spacing w:val="-2"/>
                <w:sz w:val="14"/>
              </w:rPr>
              <w:t>Colombia;</w:t>
            </w:r>
            <w:r>
              <w:rPr>
                <w:spacing w:val="40"/>
                <w:sz w:val="14"/>
              </w:rPr>
              <w:t> </w:t>
            </w:r>
            <w:r>
              <w:rPr>
                <w:sz w:val="14"/>
              </w:rPr>
              <w:t>Guinea;</w:t>
            </w:r>
            <w:r>
              <w:rPr>
                <w:spacing w:val="-9"/>
                <w:sz w:val="14"/>
              </w:rPr>
              <w:t> </w:t>
            </w:r>
            <w:r>
              <w:rPr>
                <w:sz w:val="14"/>
              </w:rPr>
              <w:t>Nigeria;</w:t>
            </w:r>
            <w:r>
              <w:rPr>
                <w:spacing w:val="40"/>
                <w:sz w:val="14"/>
              </w:rPr>
              <w:t> </w:t>
            </w:r>
            <w:r>
              <w:rPr>
                <w:spacing w:val="-2"/>
                <w:sz w:val="14"/>
              </w:rPr>
              <w:t>Palestine;</w:t>
            </w:r>
            <w:r>
              <w:rPr>
                <w:spacing w:val="40"/>
                <w:sz w:val="14"/>
              </w:rPr>
              <w:t> </w:t>
            </w:r>
            <w:r>
              <w:rPr>
                <w:spacing w:val="-2"/>
                <w:sz w:val="14"/>
              </w:rPr>
              <w:t>Philippines;</w:t>
            </w:r>
            <w:r>
              <w:rPr>
                <w:spacing w:val="40"/>
                <w:sz w:val="14"/>
              </w:rPr>
              <w:t> </w:t>
            </w:r>
            <w:r>
              <w:rPr>
                <w:spacing w:val="-2"/>
                <w:sz w:val="14"/>
              </w:rPr>
              <w:t>Ukraine;</w:t>
            </w:r>
            <w:r>
              <w:rPr>
                <w:spacing w:val="40"/>
                <w:sz w:val="14"/>
              </w:rPr>
              <w:t> </w:t>
            </w:r>
            <w:r>
              <w:rPr>
                <w:sz w:val="14"/>
              </w:rPr>
              <w:t>Venezuela</w:t>
            </w:r>
            <w:r>
              <w:rPr>
                <w:spacing w:val="-9"/>
                <w:sz w:val="14"/>
              </w:rPr>
              <w:t> </w:t>
            </w:r>
            <w:r>
              <w:rPr>
                <w:sz w:val="14"/>
              </w:rPr>
              <w:t>I;</w:t>
            </w:r>
            <w:r>
              <w:rPr>
                <w:spacing w:val="-9"/>
                <w:sz w:val="14"/>
              </w:rPr>
              <w:t> </w:t>
            </w:r>
            <w:r>
              <w:rPr>
                <w:sz w:val="14"/>
              </w:rPr>
              <w:t>and</w:t>
            </w:r>
            <w:r>
              <w:rPr>
                <w:spacing w:val="40"/>
                <w:sz w:val="14"/>
              </w:rPr>
              <w:t> </w:t>
            </w:r>
            <w:r>
              <w:rPr>
                <w:sz w:val="14"/>
              </w:rPr>
              <w:t>Venezuela</w:t>
            </w:r>
            <w:r>
              <w:rPr>
                <w:spacing w:val="-9"/>
                <w:sz w:val="14"/>
              </w:rPr>
              <w:t> </w:t>
            </w:r>
            <w:r>
              <w:rPr>
                <w:sz w:val="14"/>
              </w:rPr>
              <w:t>II</w:t>
            </w:r>
          </w:p>
        </w:tc>
        <w:tc>
          <w:tcPr>
            <w:tcW w:w="585" w:type="dxa"/>
            <w:tcBorders>
              <w:top w:val="single" w:sz="4" w:space="0" w:color="000000"/>
              <w:bottom w:val="single" w:sz="4" w:space="0" w:color="000000"/>
            </w:tcBorders>
          </w:tcPr>
          <w:p>
            <w:pPr>
              <w:pStyle w:val="TableParagraph"/>
              <w:spacing w:before="61"/>
              <w:ind w:right="17"/>
              <w:jc w:val="center"/>
              <w:rPr>
                <w:sz w:val="14"/>
              </w:rPr>
            </w:pPr>
            <w:r>
              <w:rPr>
                <w:w w:val="99"/>
                <w:sz w:val="14"/>
              </w:rPr>
              <w:t>8</w:t>
            </w:r>
          </w:p>
        </w:tc>
        <w:tc>
          <w:tcPr>
            <w:tcW w:w="1212" w:type="dxa"/>
            <w:tcBorders>
              <w:top w:val="single" w:sz="4" w:space="0" w:color="000000"/>
              <w:bottom w:val="single" w:sz="4" w:space="0" w:color="000000"/>
            </w:tcBorders>
          </w:tcPr>
          <w:p>
            <w:pPr>
              <w:pStyle w:val="TableParagraph"/>
              <w:spacing w:line="237" w:lineRule="auto" w:before="62"/>
              <w:ind w:left="13" w:right="72"/>
              <w:jc w:val="left"/>
              <w:rPr>
                <w:sz w:val="14"/>
              </w:rPr>
            </w:pPr>
            <w:r>
              <w:rPr>
                <w:sz w:val="14"/>
              </w:rPr>
              <w:t>Bolivia;</w:t>
            </w:r>
            <w:r>
              <w:rPr>
                <w:spacing w:val="-9"/>
                <w:sz w:val="14"/>
              </w:rPr>
              <w:t> </w:t>
            </w:r>
            <w:r>
              <w:rPr>
                <w:sz w:val="14"/>
              </w:rPr>
              <w:t>Colombia;</w:t>
            </w:r>
            <w:r>
              <w:rPr>
                <w:spacing w:val="40"/>
                <w:sz w:val="14"/>
              </w:rPr>
              <w:t> </w:t>
            </w:r>
            <w:r>
              <w:rPr>
                <w:sz w:val="14"/>
              </w:rPr>
              <w:t>Guinea;</w:t>
            </w:r>
            <w:r>
              <w:rPr>
                <w:spacing w:val="-9"/>
                <w:sz w:val="14"/>
              </w:rPr>
              <w:t> </w:t>
            </w:r>
            <w:r>
              <w:rPr>
                <w:sz w:val="14"/>
              </w:rPr>
              <w:t>Nigeria;</w:t>
            </w:r>
            <w:r>
              <w:rPr>
                <w:spacing w:val="40"/>
                <w:sz w:val="14"/>
              </w:rPr>
              <w:t> </w:t>
            </w:r>
            <w:r>
              <w:rPr>
                <w:spacing w:val="-2"/>
                <w:sz w:val="14"/>
              </w:rPr>
              <w:t>Philippines;</w:t>
            </w:r>
            <w:r>
              <w:rPr>
                <w:spacing w:val="40"/>
                <w:sz w:val="14"/>
              </w:rPr>
              <w:t> </w:t>
            </w:r>
            <w:r>
              <w:rPr>
                <w:sz w:val="14"/>
              </w:rPr>
              <w:t>Ukraine;</w:t>
            </w:r>
            <w:r>
              <w:rPr>
                <w:spacing w:val="-9"/>
                <w:sz w:val="14"/>
              </w:rPr>
              <w:t> </w:t>
            </w:r>
            <w:r>
              <w:rPr>
                <w:sz w:val="14"/>
              </w:rPr>
              <w:t>Venezuela</w:t>
            </w:r>
            <w:r>
              <w:rPr>
                <w:spacing w:val="40"/>
                <w:sz w:val="14"/>
              </w:rPr>
              <w:t> </w:t>
            </w:r>
            <w:r>
              <w:rPr>
                <w:sz w:val="14"/>
              </w:rPr>
              <w:t>I;</w:t>
            </w:r>
            <w:r>
              <w:rPr>
                <w:spacing w:val="-5"/>
                <w:sz w:val="14"/>
              </w:rPr>
              <w:t> </w:t>
            </w:r>
            <w:r>
              <w:rPr>
                <w:sz w:val="14"/>
              </w:rPr>
              <w:t>and</w:t>
            </w:r>
            <w:r>
              <w:rPr>
                <w:spacing w:val="-2"/>
                <w:sz w:val="14"/>
              </w:rPr>
              <w:t> </w:t>
            </w:r>
            <w:r>
              <w:rPr>
                <w:sz w:val="14"/>
              </w:rPr>
              <w:t>Venezuela</w:t>
            </w:r>
            <w:r>
              <w:rPr>
                <w:spacing w:val="-4"/>
                <w:sz w:val="14"/>
              </w:rPr>
              <w:t> </w:t>
            </w:r>
            <w:r>
              <w:rPr>
                <w:spacing w:val="-5"/>
                <w:sz w:val="14"/>
              </w:rPr>
              <w:t>II</w:t>
            </w:r>
          </w:p>
        </w:tc>
        <w:tc>
          <w:tcPr>
            <w:tcW w:w="585" w:type="dxa"/>
            <w:tcBorders>
              <w:top w:val="single" w:sz="4" w:space="0" w:color="000000"/>
              <w:bottom w:val="single" w:sz="4" w:space="0" w:color="000000"/>
            </w:tcBorders>
          </w:tcPr>
          <w:p>
            <w:pPr>
              <w:pStyle w:val="TableParagraph"/>
              <w:spacing w:before="61"/>
              <w:ind w:right="1"/>
              <w:jc w:val="center"/>
              <w:rPr>
                <w:sz w:val="14"/>
              </w:rPr>
            </w:pPr>
            <w:r>
              <w:rPr>
                <w:w w:val="99"/>
                <w:sz w:val="14"/>
              </w:rPr>
              <w:t>3</w:t>
            </w:r>
          </w:p>
        </w:tc>
        <w:tc>
          <w:tcPr>
            <w:tcW w:w="1010" w:type="dxa"/>
            <w:tcBorders>
              <w:top w:val="single" w:sz="4" w:space="0" w:color="000000"/>
              <w:bottom w:val="single" w:sz="4" w:space="0" w:color="000000"/>
            </w:tcBorders>
          </w:tcPr>
          <w:p>
            <w:pPr>
              <w:pStyle w:val="TableParagraph"/>
              <w:spacing w:line="235" w:lineRule="auto" w:before="63"/>
              <w:ind w:left="17"/>
              <w:jc w:val="left"/>
              <w:rPr>
                <w:sz w:val="14"/>
              </w:rPr>
            </w:pPr>
            <w:r>
              <w:rPr>
                <w:sz w:val="14"/>
              </w:rPr>
              <w:t>Guinea;</w:t>
            </w:r>
            <w:r>
              <w:rPr>
                <w:spacing w:val="-9"/>
                <w:sz w:val="14"/>
              </w:rPr>
              <w:t> </w:t>
            </w:r>
            <w:r>
              <w:rPr>
                <w:sz w:val="14"/>
              </w:rPr>
              <w:t>Nigeria;</w:t>
            </w:r>
            <w:r>
              <w:rPr>
                <w:spacing w:val="40"/>
                <w:sz w:val="14"/>
              </w:rPr>
              <w:t> </w:t>
            </w:r>
            <w:r>
              <w:rPr>
                <w:sz w:val="14"/>
              </w:rPr>
              <w:t>and</w:t>
            </w:r>
            <w:r>
              <w:rPr>
                <w:spacing w:val="-4"/>
                <w:sz w:val="14"/>
              </w:rPr>
              <w:t> </w:t>
            </w:r>
            <w:r>
              <w:rPr>
                <w:sz w:val="14"/>
              </w:rPr>
              <w:t>Venezuela</w:t>
            </w:r>
            <w:r>
              <w:rPr>
                <w:spacing w:val="-5"/>
                <w:sz w:val="14"/>
              </w:rPr>
              <w:t> </w:t>
            </w:r>
            <w:r>
              <w:rPr>
                <w:spacing w:val="-5"/>
                <w:sz w:val="14"/>
              </w:rPr>
              <w:t>II</w:t>
            </w:r>
          </w:p>
        </w:tc>
      </w:tr>
      <w:tr>
        <w:trPr>
          <w:trHeight w:val="3821" w:hRule="atLeast"/>
        </w:trPr>
        <w:tc>
          <w:tcPr>
            <w:tcW w:w="189" w:type="dxa"/>
            <w:tcBorders>
              <w:top w:val="single" w:sz="4" w:space="0" w:color="000000"/>
              <w:bottom w:val="single" w:sz="4" w:space="0" w:color="000000"/>
            </w:tcBorders>
          </w:tcPr>
          <w:p>
            <w:pPr>
              <w:pStyle w:val="TableParagraph"/>
              <w:spacing w:before="61"/>
              <w:ind w:left="14"/>
              <w:jc w:val="left"/>
              <w:rPr>
                <w:sz w:val="14"/>
              </w:rPr>
            </w:pPr>
            <w:r>
              <w:rPr>
                <w:w w:val="99"/>
                <w:sz w:val="14"/>
              </w:rPr>
              <w:t>6</w:t>
            </w:r>
          </w:p>
        </w:tc>
        <w:tc>
          <w:tcPr>
            <w:tcW w:w="787" w:type="dxa"/>
            <w:tcBorders>
              <w:top w:val="single" w:sz="4" w:space="0" w:color="000000"/>
              <w:bottom w:val="single" w:sz="4" w:space="0" w:color="000000"/>
            </w:tcBorders>
          </w:tcPr>
          <w:p>
            <w:pPr>
              <w:pStyle w:val="TableParagraph"/>
              <w:spacing w:before="61"/>
              <w:ind w:left="104" w:right="16"/>
              <w:jc w:val="left"/>
              <w:rPr>
                <w:sz w:val="14"/>
              </w:rPr>
            </w:pPr>
            <w:r>
              <w:rPr>
                <w:sz w:val="14"/>
              </w:rPr>
              <w:t>Number</w:t>
            </w:r>
            <w:r>
              <w:rPr>
                <w:spacing w:val="-9"/>
                <w:sz w:val="14"/>
              </w:rPr>
              <w:t> </w:t>
            </w:r>
            <w:r>
              <w:rPr>
                <w:sz w:val="14"/>
              </w:rPr>
              <w:t>of</w:t>
            </w:r>
            <w:r>
              <w:rPr>
                <w:spacing w:val="40"/>
                <w:sz w:val="14"/>
              </w:rPr>
              <w:t> </w:t>
            </w:r>
            <w:r>
              <w:rPr>
                <w:spacing w:val="-2"/>
                <w:sz w:val="14"/>
              </w:rPr>
              <w:t>trial</w:t>
            </w:r>
            <w:r>
              <w:rPr>
                <w:spacing w:val="40"/>
                <w:sz w:val="14"/>
              </w:rPr>
              <w:t> </w:t>
            </w:r>
            <w:r>
              <w:rPr>
                <w:spacing w:val="-2"/>
                <w:sz w:val="14"/>
              </w:rPr>
              <w:t>teams</w:t>
            </w:r>
            <w:r>
              <w:rPr>
                <w:spacing w:val="-2"/>
                <w:sz w:val="14"/>
                <w:vertAlign w:val="superscript"/>
              </w:rPr>
              <w:t>164</w:t>
            </w:r>
            <w:r>
              <w:rPr>
                <w:spacing w:val="40"/>
                <w:sz w:val="14"/>
                <w:vertAlign w:val="baseline"/>
              </w:rPr>
              <w:t> </w:t>
            </w:r>
            <w:r>
              <w:rPr>
                <w:spacing w:val="-2"/>
                <w:sz w:val="14"/>
                <w:vertAlign w:val="baseline"/>
              </w:rPr>
              <w:t>(Chambers)</w:t>
            </w:r>
          </w:p>
        </w:tc>
        <w:tc>
          <w:tcPr>
            <w:tcW w:w="592" w:type="dxa"/>
            <w:tcBorders>
              <w:top w:val="single" w:sz="4" w:space="0" w:color="000000"/>
              <w:bottom w:val="single" w:sz="4" w:space="0" w:color="000000"/>
            </w:tcBorders>
          </w:tcPr>
          <w:p>
            <w:pPr>
              <w:pStyle w:val="TableParagraph"/>
              <w:spacing w:before="61"/>
              <w:ind w:left="13"/>
              <w:jc w:val="center"/>
              <w:rPr>
                <w:sz w:val="14"/>
              </w:rPr>
            </w:pPr>
            <w:r>
              <w:rPr>
                <w:w w:val="99"/>
                <w:sz w:val="14"/>
              </w:rPr>
              <w:t>6</w:t>
            </w:r>
          </w:p>
        </w:tc>
        <w:tc>
          <w:tcPr>
            <w:tcW w:w="476" w:type="dxa"/>
            <w:tcBorders>
              <w:top w:val="single" w:sz="4" w:space="0" w:color="000000"/>
              <w:bottom w:val="single" w:sz="4" w:space="0" w:color="000000"/>
            </w:tcBorders>
          </w:tcPr>
          <w:p>
            <w:pPr>
              <w:pStyle w:val="TableParagraph"/>
              <w:spacing w:before="61"/>
              <w:ind w:left="16"/>
              <w:jc w:val="left"/>
              <w:rPr>
                <w:sz w:val="14"/>
              </w:rPr>
            </w:pPr>
            <w:r>
              <w:rPr>
                <w:w w:val="99"/>
                <w:sz w:val="14"/>
              </w:rPr>
              <w:t>6</w:t>
            </w:r>
          </w:p>
        </w:tc>
        <w:tc>
          <w:tcPr>
            <w:tcW w:w="1140" w:type="dxa"/>
            <w:tcBorders>
              <w:top w:val="single" w:sz="4" w:space="0" w:color="000000"/>
              <w:bottom w:val="single" w:sz="4" w:space="0" w:color="000000"/>
            </w:tcBorders>
          </w:tcPr>
          <w:p>
            <w:pPr>
              <w:pStyle w:val="TableParagraph"/>
              <w:spacing w:before="61"/>
              <w:ind w:left="11" w:right="48"/>
              <w:jc w:val="left"/>
              <w:rPr>
                <w:sz w:val="14"/>
              </w:rPr>
            </w:pPr>
            <w:r>
              <w:rPr>
                <w:sz w:val="14"/>
              </w:rPr>
              <w:t>Trial Chamber I</w:t>
            </w:r>
            <w:r>
              <w:rPr>
                <w:spacing w:val="40"/>
                <w:sz w:val="14"/>
              </w:rPr>
              <w:t> </w:t>
            </w:r>
            <w:r>
              <w:rPr>
                <w:sz w:val="14"/>
              </w:rPr>
              <w:t>(</w:t>
            </w:r>
            <w:r>
              <w:rPr>
                <w:i/>
                <w:sz w:val="14"/>
              </w:rPr>
              <w:t>Gbagbo and Blé</w:t>
            </w:r>
            <w:r>
              <w:rPr>
                <w:i/>
                <w:spacing w:val="40"/>
                <w:sz w:val="14"/>
              </w:rPr>
              <w:t> </w:t>
            </w:r>
            <w:r>
              <w:rPr>
                <w:i/>
                <w:sz w:val="14"/>
              </w:rPr>
              <w:t>Goudé</w:t>
            </w:r>
            <w:r>
              <w:rPr>
                <w:sz w:val="14"/>
              </w:rPr>
              <w:t>);</w:t>
            </w:r>
            <w:r>
              <w:rPr>
                <w:spacing w:val="-9"/>
                <w:sz w:val="14"/>
              </w:rPr>
              <w:t> </w:t>
            </w:r>
            <w:r>
              <w:rPr>
                <w:sz w:val="14"/>
              </w:rPr>
              <w:t>Trial</w:t>
            </w:r>
            <w:r>
              <w:rPr>
                <w:spacing w:val="40"/>
                <w:sz w:val="14"/>
              </w:rPr>
              <w:t> </w:t>
            </w:r>
            <w:r>
              <w:rPr>
                <w:sz w:val="14"/>
              </w:rPr>
              <w:t>Chamber</w:t>
            </w:r>
            <w:r>
              <w:rPr>
                <w:spacing w:val="-9"/>
                <w:sz w:val="14"/>
              </w:rPr>
              <w:t> </w:t>
            </w:r>
            <w:r>
              <w:rPr>
                <w:sz w:val="14"/>
              </w:rPr>
              <w:t>VI</w:t>
            </w:r>
            <w:r>
              <w:rPr>
                <w:spacing w:val="-9"/>
                <w:sz w:val="14"/>
              </w:rPr>
              <w:t> </w:t>
            </w:r>
            <w:r>
              <w:rPr>
                <w:sz w:val="14"/>
              </w:rPr>
              <w:t>Trial</w:t>
            </w:r>
            <w:r>
              <w:rPr>
                <w:spacing w:val="40"/>
                <w:sz w:val="14"/>
              </w:rPr>
              <w:t> </w:t>
            </w:r>
            <w:r>
              <w:rPr>
                <w:sz w:val="14"/>
              </w:rPr>
              <w:t>and</w:t>
            </w:r>
            <w:r>
              <w:rPr>
                <w:spacing w:val="-6"/>
                <w:sz w:val="14"/>
              </w:rPr>
              <w:t> </w:t>
            </w:r>
            <w:r>
              <w:rPr>
                <w:sz w:val="14"/>
              </w:rPr>
              <w:t>Reparations</w:t>
            </w:r>
            <w:r>
              <w:rPr>
                <w:spacing w:val="40"/>
                <w:sz w:val="14"/>
              </w:rPr>
              <w:t> </w:t>
            </w:r>
            <w:r>
              <w:rPr>
                <w:sz w:val="14"/>
              </w:rPr>
              <w:t>(</w:t>
            </w:r>
            <w:r>
              <w:rPr>
                <w:i/>
                <w:sz w:val="14"/>
              </w:rPr>
              <w:t>Ntaganda</w:t>
            </w:r>
            <w:r>
              <w:rPr>
                <w:sz w:val="14"/>
              </w:rPr>
              <w:t>);</w:t>
            </w:r>
            <w:r>
              <w:rPr>
                <w:spacing w:val="-9"/>
                <w:sz w:val="14"/>
              </w:rPr>
              <w:t> </w:t>
            </w:r>
            <w:r>
              <w:rPr>
                <w:sz w:val="14"/>
              </w:rPr>
              <w:t>Trial</w:t>
            </w:r>
            <w:r>
              <w:rPr>
                <w:spacing w:val="40"/>
                <w:sz w:val="14"/>
              </w:rPr>
              <w:t> </w:t>
            </w:r>
            <w:r>
              <w:rPr>
                <w:sz w:val="14"/>
              </w:rPr>
              <w:t>Chamber</w:t>
            </w:r>
            <w:r>
              <w:rPr>
                <w:spacing w:val="-6"/>
                <w:sz w:val="14"/>
              </w:rPr>
              <w:t> </w:t>
            </w:r>
            <w:r>
              <w:rPr>
                <w:sz w:val="14"/>
              </w:rPr>
              <w:t>IX</w:t>
            </w:r>
            <w:r>
              <w:rPr>
                <w:spacing w:val="40"/>
                <w:sz w:val="14"/>
              </w:rPr>
              <w:t> </w:t>
            </w:r>
            <w:r>
              <w:rPr>
                <w:sz w:val="14"/>
              </w:rPr>
              <w:t>(</w:t>
            </w:r>
            <w:r>
              <w:rPr>
                <w:i/>
                <w:sz w:val="14"/>
              </w:rPr>
              <w:t>Ongwen</w:t>
            </w:r>
            <w:r>
              <w:rPr>
                <w:sz w:val="14"/>
              </w:rPr>
              <w:t>);</w:t>
            </w:r>
            <w:r>
              <w:rPr>
                <w:spacing w:val="-9"/>
                <w:sz w:val="14"/>
              </w:rPr>
              <w:t> </w:t>
            </w:r>
            <w:r>
              <w:rPr>
                <w:sz w:val="14"/>
              </w:rPr>
              <w:t>Trial</w:t>
            </w:r>
            <w:r>
              <w:rPr>
                <w:spacing w:val="40"/>
                <w:sz w:val="14"/>
              </w:rPr>
              <w:t> </w:t>
            </w:r>
            <w:r>
              <w:rPr>
                <w:sz w:val="14"/>
              </w:rPr>
              <w:t>Chamber</w:t>
            </w:r>
            <w:r>
              <w:rPr>
                <w:spacing w:val="-6"/>
                <w:sz w:val="14"/>
              </w:rPr>
              <w:t> </w:t>
            </w:r>
            <w:r>
              <w:rPr>
                <w:sz w:val="14"/>
              </w:rPr>
              <w:t>II</w:t>
            </w:r>
            <w:r>
              <w:rPr>
                <w:spacing w:val="40"/>
                <w:sz w:val="14"/>
              </w:rPr>
              <w:t> </w:t>
            </w:r>
            <w:r>
              <w:rPr>
                <w:spacing w:val="-2"/>
                <w:sz w:val="14"/>
              </w:rPr>
              <w:t>Reparations</w:t>
            </w:r>
            <w:r>
              <w:rPr>
                <w:spacing w:val="40"/>
                <w:sz w:val="14"/>
              </w:rPr>
              <w:t> </w:t>
            </w:r>
            <w:r>
              <w:rPr>
                <w:sz w:val="14"/>
              </w:rPr>
              <w:t>(</w:t>
            </w:r>
            <w:r>
              <w:rPr>
                <w:i/>
                <w:sz w:val="14"/>
              </w:rPr>
              <w:t>Lubanga</w:t>
            </w:r>
            <w:r>
              <w:rPr>
                <w:i/>
                <w:spacing w:val="-6"/>
                <w:sz w:val="14"/>
              </w:rPr>
              <w:t> </w:t>
            </w:r>
            <w:r>
              <w:rPr>
                <w:i/>
                <w:sz w:val="14"/>
              </w:rPr>
              <w:t>and</w:t>
            </w:r>
            <w:r>
              <w:rPr>
                <w:i/>
                <w:spacing w:val="40"/>
                <w:sz w:val="14"/>
              </w:rPr>
              <w:t> </w:t>
            </w:r>
            <w:r>
              <w:rPr>
                <w:i/>
                <w:sz w:val="14"/>
              </w:rPr>
              <w:t>Katanga</w:t>
            </w:r>
            <w:r>
              <w:rPr>
                <w:sz w:val="14"/>
              </w:rPr>
              <w:t>);</w:t>
            </w:r>
            <w:r>
              <w:rPr>
                <w:spacing w:val="-9"/>
                <w:sz w:val="14"/>
              </w:rPr>
              <w:t> </w:t>
            </w:r>
            <w:r>
              <w:rPr>
                <w:sz w:val="14"/>
              </w:rPr>
              <w:t>Trial</w:t>
            </w:r>
            <w:r>
              <w:rPr>
                <w:spacing w:val="40"/>
                <w:sz w:val="14"/>
              </w:rPr>
              <w:t> </w:t>
            </w:r>
            <w:r>
              <w:rPr>
                <w:sz w:val="14"/>
              </w:rPr>
              <w:t>Chamber</w:t>
            </w:r>
            <w:r>
              <w:rPr>
                <w:spacing w:val="-6"/>
                <w:sz w:val="14"/>
              </w:rPr>
              <w:t> </w:t>
            </w:r>
            <w:r>
              <w:rPr>
                <w:sz w:val="14"/>
              </w:rPr>
              <w:t>VIII</w:t>
            </w:r>
            <w:r>
              <w:rPr>
                <w:spacing w:val="40"/>
                <w:sz w:val="14"/>
              </w:rPr>
              <w:t> </w:t>
            </w:r>
            <w:r>
              <w:rPr>
                <w:sz w:val="14"/>
              </w:rPr>
              <w:t>Reparations</w:t>
            </w:r>
            <w:r>
              <w:rPr>
                <w:spacing w:val="-9"/>
                <w:sz w:val="14"/>
              </w:rPr>
              <w:t> </w:t>
            </w:r>
            <w:r>
              <w:rPr>
                <w:sz w:val="14"/>
              </w:rPr>
              <w:t>(</w:t>
            </w:r>
            <w:r>
              <w:rPr>
                <w:i/>
                <w:sz w:val="14"/>
              </w:rPr>
              <w:t>Al</w:t>
            </w:r>
            <w:r>
              <w:rPr>
                <w:i/>
                <w:spacing w:val="40"/>
                <w:sz w:val="14"/>
              </w:rPr>
              <w:t> </w:t>
            </w:r>
            <w:r>
              <w:rPr>
                <w:i/>
                <w:sz w:val="14"/>
              </w:rPr>
              <w:t>Mahdi</w:t>
            </w:r>
            <w:r>
              <w:rPr>
                <w:sz w:val="14"/>
              </w:rPr>
              <w:t>);</w:t>
            </w:r>
            <w:r>
              <w:rPr>
                <w:spacing w:val="-9"/>
                <w:sz w:val="14"/>
              </w:rPr>
              <w:t> </w:t>
            </w:r>
            <w:r>
              <w:rPr>
                <w:sz w:val="14"/>
              </w:rPr>
              <w:t>(</w:t>
            </w:r>
            <w:r>
              <w:rPr>
                <w:i/>
                <w:sz w:val="14"/>
              </w:rPr>
              <w:t>Al</w:t>
            </w:r>
            <w:r>
              <w:rPr>
                <w:i/>
                <w:spacing w:val="40"/>
                <w:sz w:val="14"/>
              </w:rPr>
              <w:t> </w:t>
            </w:r>
            <w:r>
              <w:rPr>
                <w:i/>
                <w:spacing w:val="-2"/>
                <w:sz w:val="14"/>
              </w:rPr>
              <w:t>Hassan</w:t>
            </w:r>
            <w:r>
              <w:rPr>
                <w:spacing w:val="-2"/>
                <w:sz w:val="14"/>
              </w:rPr>
              <w:t>)</w:t>
            </w:r>
          </w:p>
        </w:tc>
        <w:tc>
          <w:tcPr>
            <w:tcW w:w="620" w:type="dxa"/>
            <w:tcBorders>
              <w:top w:val="single" w:sz="4" w:space="0" w:color="000000"/>
              <w:bottom w:val="single" w:sz="4" w:space="0" w:color="000000"/>
            </w:tcBorders>
          </w:tcPr>
          <w:p>
            <w:pPr>
              <w:pStyle w:val="TableParagraph"/>
              <w:spacing w:before="61"/>
              <w:ind w:right="30"/>
              <w:jc w:val="center"/>
              <w:rPr>
                <w:sz w:val="14"/>
              </w:rPr>
            </w:pPr>
            <w:r>
              <w:rPr>
                <w:w w:val="99"/>
                <w:sz w:val="14"/>
              </w:rPr>
              <w:t>4</w:t>
            </w:r>
          </w:p>
        </w:tc>
        <w:tc>
          <w:tcPr>
            <w:tcW w:w="512" w:type="dxa"/>
            <w:tcBorders>
              <w:top w:val="single" w:sz="4" w:space="0" w:color="000000"/>
              <w:bottom w:val="single" w:sz="4" w:space="0" w:color="000000"/>
            </w:tcBorders>
          </w:tcPr>
          <w:p>
            <w:pPr>
              <w:pStyle w:val="TableParagraph"/>
              <w:spacing w:before="61"/>
              <w:ind w:left="8"/>
              <w:jc w:val="center"/>
              <w:rPr>
                <w:sz w:val="14"/>
              </w:rPr>
            </w:pPr>
            <w:r>
              <w:rPr>
                <w:w w:val="99"/>
                <w:sz w:val="14"/>
              </w:rPr>
              <w:t>6</w:t>
            </w:r>
          </w:p>
        </w:tc>
        <w:tc>
          <w:tcPr>
            <w:tcW w:w="966" w:type="dxa"/>
            <w:tcBorders>
              <w:top w:val="single" w:sz="4" w:space="0" w:color="000000"/>
              <w:bottom w:val="single" w:sz="4" w:space="0" w:color="000000"/>
            </w:tcBorders>
          </w:tcPr>
          <w:p>
            <w:pPr>
              <w:pStyle w:val="TableParagraph"/>
              <w:spacing w:before="61"/>
              <w:ind w:left="25" w:right="25"/>
              <w:jc w:val="left"/>
              <w:rPr>
                <w:sz w:val="14"/>
              </w:rPr>
            </w:pPr>
            <w:r>
              <w:rPr>
                <w:sz w:val="14"/>
              </w:rPr>
              <w:t>Trial</w:t>
            </w:r>
            <w:r>
              <w:rPr>
                <w:spacing w:val="-9"/>
                <w:sz w:val="14"/>
              </w:rPr>
              <w:t> </w:t>
            </w:r>
            <w:r>
              <w:rPr>
                <w:sz w:val="14"/>
              </w:rPr>
              <w:t>Chamber</w:t>
            </w:r>
            <w:r>
              <w:rPr>
                <w:spacing w:val="40"/>
                <w:sz w:val="14"/>
              </w:rPr>
              <w:t> </w:t>
            </w:r>
            <w:r>
              <w:rPr>
                <w:sz w:val="14"/>
              </w:rPr>
              <w:t>VI</w:t>
            </w:r>
            <w:r>
              <w:rPr>
                <w:spacing w:val="-6"/>
                <w:sz w:val="14"/>
              </w:rPr>
              <w:t> </w:t>
            </w:r>
            <w:r>
              <w:rPr>
                <w:sz w:val="14"/>
              </w:rPr>
              <w:t>Reparations</w:t>
            </w:r>
            <w:r>
              <w:rPr>
                <w:spacing w:val="40"/>
                <w:sz w:val="14"/>
              </w:rPr>
              <w:t> </w:t>
            </w:r>
            <w:r>
              <w:rPr>
                <w:spacing w:val="-2"/>
                <w:sz w:val="14"/>
              </w:rPr>
              <w:t>(</w:t>
            </w:r>
            <w:r>
              <w:rPr>
                <w:i/>
                <w:spacing w:val="-2"/>
                <w:sz w:val="14"/>
              </w:rPr>
              <w:t>Ntaganda</w:t>
            </w:r>
            <w:r>
              <w:rPr>
                <w:spacing w:val="-2"/>
                <w:sz w:val="14"/>
              </w:rPr>
              <w:t>);</w:t>
            </w:r>
            <w:r>
              <w:rPr>
                <w:spacing w:val="40"/>
                <w:sz w:val="14"/>
              </w:rPr>
              <w:t> </w:t>
            </w:r>
            <w:r>
              <w:rPr>
                <w:sz w:val="14"/>
              </w:rPr>
              <w:t>Trial</w:t>
            </w:r>
            <w:r>
              <w:rPr>
                <w:spacing w:val="-9"/>
                <w:sz w:val="14"/>
              </w:rPr>
              <w:t> </w:t>
            </w:r>
            <w:r>
              <w:rPr>
                <w:sz w:val="14"/>
              </w:rPr>
              <w:t>Chamber</w:t>
            </w:r>
            <w:r>
              <w:rPr>
                <w:spacing w:val="40"/>
                <w:sz w:val="14"/>
              </w:rPr>
              <w:t> </w:t>
            </w:r>
            <w:r>
              <w:rPr>
                <w:sz w:val="14"/>
              </w:rPr>
              <w:t>IX</w:t>
            </w:r>
            <w:r>
              <w:rPr>
                <w:spacing w:val="-9"/>
                <w:sz w:val="14"/>
              </w:rPr>
              <w:t> </w:t>
            </w:r>
            <w:r>
              <w:rPr>
                <w:sz w:val="14"/>
              </w:rPr>
              <w:t>(</w:t>
            </w:r>
            <w:r>
              <w:rPr>
                <w:i/>
                <w:sz w:val="14"/>
              </w:rPr>
              <w:t>Ongwen</w:t>
            </w:r>
            <w:r>
              <w:rPr>
                <w:sz w:val="14"/>
              </w:rPr>
              <w:t>);</w:t>
            </w:r>
            <w:r>
              <w:rPr>
                <w:spacing w:val="40"/>
                <w:sz w:val="14"/>
              </w:rPr>
              <w:t> </w:t>
            </w:r>
            <w:r>
              <w:rPr>
                <w:sz w:val="14"/>
              </w:rPr>
              <w:t>Trial</w:t>
            </w:r>
            <w:r>
              <w:rPr>
                <w:spacing w:val="-9"/>
                <w:sz w:val="14"/>
              </w:rPr>
              <w:t> </w:t>
            </w:r>
            <w:r>
              <w:rPr>
                <w:sz w:val="14"/>
              </w:rPr>
              <w:t>Chamber</w:t>
            </w:r>
            <w:r>
              <w:rPr>
                <w:spacing w:val="40"/>
                <w:sz w:val="14"/>
              </w:rPr>
              <w:t> </w:t>
            </w:r>
            <w:r>
              <w:rPr>
                <w:sz w:val="14"/>
              </w:rPr>
              <w:t>X (</w:t>
            </w:r>
            <w:r>
              <w:rPr>
                <w:i/>
                <w:sz w:val="14"/>
              </w:rPr>
              <w:t>Al Hassan</w:t>
            </w:r>
            <w:r>
              <w:rPr>
                <w:sz w:val="14"/>
              </w:rPr>
              <w:t>);</w:t>
            </w:r>
            <w:r>
              <w:rPr>
                <w:spacing w:val="40"/>
                <w:sz w:val="14"/>
              </w:rPr>
              <w:t> </w:t>
            </w:r>
            <w:r>
              <w:rPr>
                <w:sz w:val="14"/>
              </w:rPr>
              <w:t>Trial</w:t>
            </w:r>
            <w:r>
              <w:rPr>
                <w:spacing w:val="-9"/>
                <w:sz w:val="14"/>
              </w:rPr>
              <w:t> </w:t>
            </w:r>
            <w:r>
              <w:rPr>
                <w:sz w:val="14"/>
              </w:rPr>
              <w:t>Chamber</w:t>
            </w:r>
            <w:r>
              <w:rPr>
                <w:spacing w:val="40"/>
                <w:sz w:val="14"/>
              </w:rPr>
              <w:t> </w:t>
            </w:r>
            <w:r>
              <w:rPr>
                <w:sz w:val="14"/>
              </w:rPr>
              <w:t>V</w:t>
            </w:r>
            <w:r>
              <w:rPr>
                <w:spacing w:val="-9"/>
                <w:sz w:val="14"/>
              </w:rPr>
              <w:t> </w:t>
            </w:r>
            <w:r>
              <w:rPr>
                <w:sz w:val="14"/>
              </w:rPr>
              <w:t>(</w:t>
            </w:r>
            <w:r>
              <w:rPr>
                <w:i/>
                <w:sz w:val="14"/>
              </w:rPr>
              <w:t>Yekatom</w:t>
            </w:r>
            <w:r>
              <w:rPr>
                <w:i/>
                <w:spacing w:val="-9"/>
                <w:sz w:val="14"/>
              </w:rPr>
              <w:t> </w:t>
            </w:r>
            <w:r>
              <w:rPr>
                <w:i/>
                <w:sz w:val="14"/>
              </w:rPr>
              <w:t>and</w:t>
            </w:r>
            <w:r>
              <w:rPr>
                <w:i/>
                <w:spacing w:val="40"/>
                <w:sz w:val="14"/>
              </w:rPr>
              <w:t> </w:t>
            </w:r>
            <w:r>
              <w:rPr>
                <w:i/>
                <w:spacing w:val="-2"/>
                <w:sz w:val="14"/>
              </w:rPr>
              <w:t>Ngaïssona</w:t>
            </w:r>
            <w:r>
              <w:rPr>
                <w:spacing w:val="-2"/>
                <w:sz w:val="14"/>
              </w:rPr>
              <w:t>);</w:t>
            </w:r>
            <w:r>
              <w:rPr>
                <w:spacing w:val="40"/>
                <w:sz w:val="14"/>
              </w:rPr>
              <w:t> </w:t>
            </w:r>
            <w:r>
              <w:rPr>
                <w:sz w:val="14"/>
              </w:rPr>
              <w:t>Trial</w:t>
            </w:r>
            <w:r>
              <w:rPr>
                <w:spacing w:val="-9"/>
                <w:sz w:val="14"/>
              </w:rPr>
              <w:t> </w:t>
            </w:r>
            <w:r>
              <w:rPr>
                <w:sz w:val="14"/>
              </w:rPr>
              <w:t>Chamber</w:t>
            </w:r>
            <w:r>
              <w:rPr>
                <w:spacing w:val="40"/>
                <w:sz w:val="14"/>
              </w:rPr>
              <w:t> </w:t>
            </w:r>
            <w:r>
              <w:rPr>
                <w:sz w:val="14"/>
              </w:rPr>
              <w:t>II</w:t>
            </w:r>
            <w:r>
              <w:rPr>
                <w:spacing w:val="-6"/>
                <w:sz w:val="14"/>
              </w:rPr>
              <w:t> </w:t>
            </w:r>
            <w:r>
              <w:rPr>
                <w:sz w:val="14"/>
              </w:rPr>
              <w:t>Reparations</w:t>
            </w:r>
            <w:r>
              <w:rPr>
                <w:spacing w:val="40"/>
                <w:sz w:val="14"/>
              </w:rPr>
              <w:t> </w:t>
            </w:r>
            <w:r>
              <w:rPr>
                <w:sz w:val="14"/>
              </w:rPr>
              <w:t>(</w:t>
            </w:r>
            <w:r>
              <w:rPr>
                <w:i/>
                <w:sz w:val="14"/>
              </w:rPr>
              <w:t>Lubanga</w:t>
            </w:r>
            <w:r>
              <w:rPr>
                <w:i/>
                <w:spacing w:val="-4"/>
                <w:sz w:val="14"/>
              </w:rPr>
              <w:t> </w:t>
            </w:r>
            <w:r>
              <w:rPr>
                <w:sz w:val="14"/>
              </w:rPr>
              <w:t>and</w:t>
            </w:r>
            <w:r>
              <w:rPr>
                <w:spacing w:val="40"/>
                <w:sz w:val="14"/>
              </w:rPr>
              <w:t> </w:t>
            </w:r>
            <w:r>
              <w:rPr>
                <w:i/>
                <w:sz w:val="14"/>
              </w:rPr>
              <w:t>Katanga</w:t>
            </w:r>
            <w:r>
              <w:rPr>
                <w:sz w:val="14"/>
              </w:rPr>
              <w:t>);</w:t>
            </w:r>
            <w:r>
              <w:rPr>
                <w:spacing w:val="-9"/>
                <w:sz w:val="14"/>
              </w:rPr>
              <w:t> </w:t>
            </w:r>
            <w:r>
              <w:rPr>
                <w:sz w:val="14"/>
              </w:rPr>
              <w:t>and</w:t>
            </w:r>
            <w:r>
              <w:rPr>
                <w:spacing w:val="40"/>
                <w:sz w:val="14"/>
              </w:rPr>
              <w:t> </w:t>
            </w:r>
            <w:r>
              <w:rPr>
                <w:sz w:val="14"/>
              </w:rPr>
              <w:t>Trial</w:t>
            </w:r>
            <w:r>
              <w:rPr>
                <w:spacing w:val="-9"/>
                <w:sz w:val="14"/>
              </w:rPr>
              <w:t> </w:t>
            </w:r>
            <w:r>
              <w:rPr>
                <w:sz w:val="14"/>
              </w:rPr>
              <w:t>Chamber</w:t>
            </w:r>
            <w:r>
              <w:rPr>
                <w:spacing w:val="40"/>
                <w:sz w:val="14"/>
              </w:rPr>
              <w:t> </w:t>
            </w:r>
            <w:r>
              <w:rPr>
                <w:spacing w:val="-4"/>
                <w:sz w:val="14"/>
              </w:rPr>
              <w:t>VIII</w:t>
            </w:r>
          </w:p>
          <w:p>
            <w:pPr>
              <w:pStyle w:val="TableParagraph"/>
              <w:spacing w:line="235" w:lineRule="auto"/>
              <w:ind w:left="25" w:right="55"/>
              <w:jc w:val="left"/>
              <w:rPr>
                <w:sz w:val="14"/>
              </w:rPr>
            </w:pPr>
            <w:r>
              <w:rPr>
                <w:sz w:val="14"/>
              </w:rPr>
              <w:t>Reparations</w:t>
            </w:r>
            <w:r>
              <w:rPr>
                <w:spacing w:val="-9"/>
                <w:sz w:val="14"/>
              </w:rPr>
              <w:t> </w:t>
            </w:r>
            <w:r>
              <w:rPr>
                <w:sz w:val="14"/>
              </w:rPr>
              <w:t>(</w:t>
            </w:r>
            <w:r>
              <w:rPr>
                <w:i/>
                <w:sz w:val="14"/>
              </w:rPr>
              <w:t>Al</w:t>
            </w:r>
            <w:r>
              <w:rPr>
                <w:i/>
                <w:spacing w:val="40"/>
                <w:sz w:val="14"/>
              </w:rPr>
              <w:t> </w:t>
            </w:r>
            <w:r>
              <w:rPr>
                <w:i/>
                <w:spacing w:val="-2"/>
                <w:sz w:val="14"/>
              </w:rPr>
              <w:t>Mahdi</w:t>
            </w:r>
            <w:r>
              <w:rPr>
                <w:spacing w:val="-2"/>
                <w:sz w:val="14"/>
              </w:rPr>
              <w:t>)</w:t>
            </w:r>
          </w:p>
        </w:tc>
        <w:tc>
          <w:tcPr>
            <w:tcW w:w="603" w:type="dxa"/>
            <w:tcBorders>
              <w:top w:val="single" w:sz="4" w:space="0" w:color="000000"/>
              <w:bottom w:val="single" w:sz="4" w:space="0" w:color="000000"/>
            </w:tcBorders>
          </w:tcPr>
          <w:p>
            <w:pPr>
              <w:pStyle w:val="TableParagraph"/>
              <w:spacing w:before="61"/>
              <w:ind w:right="21"/>
              <w:jc w:val="center"/>
              <w:rPr>
                <w:sz w:val="14"/>
              </w:rPr>
            </w:pPr>
            <w:r>
              <w:rPr>
                <w:w w:val="99"/>
                <w:sz w:val="14"/>
              </w:rPr>
              <w:t>6</w:t>
            </w:r>
          </w:p>
        </w:tc>
        <w:tc>
          <w:tcPr>
            <w:tcW w:w="475" w:type="dxa"/>
            <w:tcBorders>
              <w:top w:val="single" w:sz="4" w:space="0" w:color="000000"/>
              <w:bottom w:val="single" w:sz="4" w:space="0" w:color="000000"/>
            </w:tcBorders>
          </w:tcPr>
          <w:p>
            <w:pPr>
              <w:pStyle w:val="TableParagraph"/>
              <w:spacing w:before="61"/>
              <w:ind w:left="3"/>
              <w:jc w:val="center"/>
              <w:rPr>
                <w:sz w:val="14"/>
              </w:rPr>
            </w:pPr>
            <w:r>
              <w:rPr>
                <w:w w:val="99"/>
                <w:sz w:val="14"/>
              </w:rPr>
              <w:t>6</w:t>
            </w:r>
          </w:p>
        </w:tc>
        <w:tc>
          <w:tcPr>
            <w:tcW w:w="1042" w:type="dxa"/>
            <w:tcBorders>
              <w:top w:val="single" w:sz="4" w:space="0" w:color="000000"/>
              <w:bottom w:val="single" w:sz="4" w:space="0" w:color="000000"/>
            </w:tcBorders>
          </w:tcPr>
          <w:p>
            <w:pPr>
              <w:pStyle w:val="TableParagraph"/>
              <w:spacing w:before="61"/>
              <w:ind w:left="7" w:right="27"/>
              <w:jc w:val="left"/>
              <w:rPr>
                <w:sz w:val="14"/>
              </w:rPr>
            </w:pPr>
            <w:r>
              <w:rPr>
                <w:sz w:val="14"/>
              </w:rPr>
              <w:t>Trial</w:t>
            </w:r>
            <w:r>
              <w:rPr>
                <w:spacing w:val="-9"/>
                <w:sz w:val="14"/>
              </w:rPr>
              <w:t> </w:t>
            </w:r>
            <w:r>
              <w:rPr>
                <w:sz w:val="14"/>
              </w:rPr>
              <w:t>Chamber</w:t>
            </w:r>
            <w:r>
              <w:rPr>
                <w:spacing w:val="-9"/>
                <w:sz w:val="14"/>
              </w:rPr>
              <w:t> </w:t>
            </w:r>
            <w:r>
              <w:rPr>
                <w:sz w:val="14"/>
              </w:rPr>
              <w:t>VI</w:t>
            </w:r>
            <w:r>
              <w:rPr>
                <w:spacing w:val="40"/>
                <w:sz w:val="14"/>
              </w:rPr>
              <w:t> </w:t>
            </w:r>
            <w:r>
              <w:rPr>
                <w:spacing w:val="-2"/>
                <w:sz w:val="14"/>
              </w:rPr>
              <w:t>Reparations</w:t>
            </w:r>
            <w:r>
              <w:rPr>
                <w:spacing w:val="40"/>
                <w:sz w:val="14"/>
              </w:rPr>
              <w:t> </w:t>
            </w:r>
            <w:r>
              <w:rPr>
                <w:sz w:val="14"/>
              </w:rPr>
              <w:t>(</w:t>
            </w:r>
            <w:r>
              <w:rPr>
                <w:i/>
                <w:sz w:val="14"/>
              </w:rPr>
              <w:t>Ntaganda</w:t>
            </w:r>
            <w:r>
              <w:rPr>
                <w:sz w:val="14"/>
              </w:rPr>
              <w:t>);</w:t>
            </w:r>
            <w:r>
              <w:rPr>
                <w:spacing w:val="-9"/>
                <w:sz w:val="14"/>
              </w:rPr>
              <w:t> </w:t>
            </w:r>
            <w:r>
              <w:rPr>
                <w:sz w:val="14"/>
              </w:rPr>
              <w:t>Trial</w:t>
            </w:r>
            <w:r>
              <w:rPr>
                <w:spacing w:val="40"/>
                <w:sz w:val="14"/>
              </w:rPr>
              <w:t> </w:t>
            </w:r>
            <w:r>
              <w:rPr>
                <w:sz w:val="14"/>
              </w:rPr>
              <w:t>Chamber</w:t>
            </w:r>
            <w:r>
              <w:rPr>
                <w:spacing w:val="-6"/>
                <w:sz w:val="14"/>
              </w:rPr>
              <w:t> </w:t>
            </w:r>
            <w:r>
              <w:rPr>
                <w:sz w:val="14"/>
              </w:rPr>
              <w:t>IX</w:t>
            </w:r>
            <w:r>
              <w:rPr>
                <w:spacing w:val="40"/>
                <w:sz w:val="14"/>
              </w:rPr>
              <w:t> </w:t>
            </w:r>
            <w:r>
              <w:rPr>
                <w:sz w:val="14"/>
              </w:rPr>
              <w:t>(</w:t>
            </w:r>
            <w:r>
              <w:rPr>
                <w:i/>
                <w:sz w:val="14"/>
              </w:rPr>
              <w:t>Ongwen</w:t>
            </w:r>
            <w:r>
              <w:rPr>
                <w:sz w:val="14"/>
              </w:rPr>
              <w:t>);</w:t>
            </w:r>
            <w:r>
              <w:rPr>
                <w:spacing w:val="-9"/>
                <w:sz w:val="14"/>
              </w:rPr>
              <w:t> </w:t>
            </w:r>
            <w:r>
              <w:rPr>
                <w:sz w:val="14"/>
              </w:rPr>
              <w:t>Trial</w:t>
            </w:r>
            <w:r>
              <w:rPr>
                <w:spacing w:val="40"/>
                <w:sz w:val="14"/>
              </w:rPr>
              <w:t> </w:t>
            </w:r>
            <w:r>
              <w:rPr>
                <w:sz w:val="14"/>
              </w:rPr>
              <w:t>Chamber</w:t>
            </w:r>
            <w:r>
              <w:rPr>
                <w:spacing w:val="-6"/>
                <w:sz w:val="14"/>
              </w:rPr>
              <w:t> </w:t>
            </w:r>
            <w:r>
              <w:rPr>
                <w:sz w:val="14"/>
              </w:rPr>
              <w:t>II</w:t>
            </w:r>
            <w:r>
              <w:rPr>
                <w:spacing w:val="40"/>
                <w:sz w:val="14"/>
              </w:rPr>
              <w:t> </w:t>
            </w:r>
            <w:r>
              <w:rPr>
                <w:spacing w:val="-2"/>
                <w:sz w:val="14"/>
              </w:rPr>
              <w:t>Reparations</w:t>
            </w:r>
            <w:r>
              <w:rPr>
                <w:spacing w:val="40"/>
                <w:sz w:val="14"/>
              </w:rPr>
              <w:t> </w:t>
            </w:r>
            <w:r>
              <w:rPr>
                <w:sz w:val="14"/>
              </w:rPr>
              <w:t>(</w:t>
            </w:r>
            <w:r>
              <w:rPr>
                <w:i/>
                <w:sz w:val="14"/>
              </w:rPr>
              <w:t>Lubanga</w:t>
            </w:r>
            <w:r>
              <w:rPr>
                <w:i/>
                <w:spacing w:val="-4"/>
                <w:sz w:val="14"/>
              </w:rPr>
              <w:t> </w:t>
            </w:r>
            <w:r>
              <w:rPr>
                <w:sz w:val="14"/>
              </w:rPr>
              <w:t>and</w:t>
            </w:r>
            <w:r>
              <w:rPr>
                <w:spacing w:val="40"/>
                <w:sz w:val="14"/>
              </w:rPr>
              <w:t> </w:t>
            </w:r>
            <w:r>
              <w:rPr>
                <w:i/>
                <w:sz w:val="14"/>
              </w:rPr>
              <w:t>Katanga</w:t>
            </w:r>
            <w:r>
              <w:rPr>
                <w:sz w:val="14"/>
              </w:rPr>
              <w:t>);</w:t>
            </w:r>
            <w:r>
              <w:rPr>
                <w:spacing w:val="-9"/>
                <w:sz w:val="14"/>
              </w:rPr>
              <w:t> </w:t>
            </w:r>
            <w:r>
              <w:rPr>
                <w:sz w:val="14"/>
              </w:rPr>
              <w:t>Trial</w:t>
            </w:r>
            <w:r>
              <w:rPr>
                <w:spacing w:val="40"/>
                <w:sz w:val="14"/>
              </w:rPr>
              <w:t> </w:t>
            </w:r>
            <w:r>
              <w:rPr>
                <w:sz w:val="14"/>
              </w:rPr>
              <w:t>Chamber</w:t>
            </w:r>
            <w:r>
              <w:rPr>
                <w:spacing w:val="-6"/>
                <w:sz w:val="14"/>
              </w:rPr>
              <w:t> </w:t>
            </w:r>
            <w:r>
              <w:rPr>
                <w:sz w:val="14"/>
              </w:rPr>
              <w:t>VIII</w:t>
            </w:r>
            <w:r>
              <w:rPr>
                <w:spacing w:val="40"/>
                <w:sz w:val="14"/>
              </w:rPr>
              <w:t> </w:t>
            </w:r>
            <w:r>
              <w:rPr>
                <w:sz w:val="14"/>
              </w:rPr>
              <w:t>Reparations</w:t>
            </w:r>
            <w:r>
              <w:rPr>
                <w:spacing w:val="-9"/>
                <w:sz w:val="14"/>
              </w:rPr>
              <w:t> </w:t>
            </w:r>
            <w:r>
              <w:rPr>
                <w:sz w:val="14"/>
              </w:rPr>
              <w:t>(</w:t>
            </w:r>
            <w:r>
              <w:rPr>
                <w:i/>
                <w:sz w:val="14"/>
              </w:rPr>
              <w:t>Al</w:t>
            </w:r>
            <w:r>
              <w:rPr>
                <w:i/>
                <w:spacing w:val="40"/>
                <w:sz w:val="14"/>
              </w:rPr>
              <w:t> </w:t>
            </w:r>
            <w:r>
              <w:rPr>
                <w:i/>
                <w:sz w:val="14"/>
              </w:rPr>
              <w:t>Mahdi</w:t>
            </w:r>
            <w:r>
              <w:rPr>
                <w:sz w:val="14"/>
              </w:rPr>
              <w:t>);</w:t>
            </w:r>
            <w:r>
              <w:rPr>
                <w:spacing w:val="-9"/>
                <w:sz w:val="14"/>
              </w:rPr>
              <w:t> </w:t>
            </w:r>
            <w:r>
              <w:rPr>
                <w:sz w:val="14"/>
              </w:rPr>
              <w:t>Trial</w:t>
            </w:r>
            <w:r>
              <w:rPr>
                <w:spacing w:val="40"/>
                <w:sz w:val="14"/>
              </w:rPr>
              <w:t> </w:t>
            </w:r>
            <w:r>
              <w:rPr>
                <w:sz w:val="14"/>
              </w:rPr>
              <w:t>Chamber X (</w:t>
            </w:r>
            <w:r>
              <w:rPr>
                <w:i/>
                <w:sz w:val="14"/>
              </w:rPr>
              <w:t>Al</w:t>
            </w:r>
            <w:r>
              <w:rPr>
                <w:i/>
                <w:spacing w:val="40"/>
                <w:sz w:val="14"/>
              </w:rPr>
              <w:t> </w:t>
            </w:r>
            <w:r>
              <w:rPr>
                <w:i/>
                <w:sz w:val="14"/>
              </w:rPr>
              <w:t>Hassan)</w:t>
            </w:r>
            <w:r>
              <w:rPr>
                <w:sz w:val="14"/>
              </w:rPr>
              <w:t>;</w:t>
            </w:r>
            <w:r>
              <w:rPr>
                <w:spacing w:val="-9"/>
                <w:sz w:val="14"/>
              </w:rPr>
              <w:t> </w:t>
            </w:r>
            <w:r>
              <w:rPr>
                <w:sz w:val="14"/>
              </w:rPr>
              <w:t>and</w:t>
            </w:r>
            <w:r>
              <w:rPr>
                <w:spacing w:val="40"/>
                <w:sz w:val="14"/>
              </w:rPr>
              <w:t> </w:t>
            </w:r>
            <w:r>
              <w:rPr>
                <w:sz w:val="14"/>
              </w:rPr>
              <w:t>Trial Chamber V</w:t>
            </w:r>
            <w:r>
              <w:rPr>
                <w:spacing w:val="40"/>
                <w:sz w:val="14"/>
              </w:rPr>
              <w:t> </w:t>
            </w:r>
            <w:r>
              <w:rPr>
                <w:sz w:val="14"/>
              </w:rPr>
              <w:t>(</w:t>
            </w:r>
            <w:r>
              <w:rPr>
                <w:i/>
                <w:sz w:val="14"/>
              </w:rPr>
              <w:t>Yekatom</w:t>
            </w:r>
            <w:r>
              <w:rPr>
                <w:i/>
                <w:spacing w:val="-9"/>
                <w:sz w:val="14"/>
              </w:rPr>
              <w:t> </w:t>
            </w:r>
            <w:r>
              <w:rPr>
                <w:i/>
                <w:sz w:val="14"/>
              </w:rPr>
              <w:t>and</w:t>
            </w:r>
            <w:r>
              <w:rPr>
                <w:i/>
                <w:spacing w:val="40"/>
                <w:sz w:val="14"/>
              </w:rPr>
              <w:t> </w:t>
            </w:r>
            <w:r>
              <w:rPr>
                <w:i/>
                <w:spacing w:val="-2"/>
                <w:sz w:val="14"/>
              </w:rPr>
              <w:t>Ngaïssona</w:t>
            </w:r>
            <w:r>
              <w:rPr>
                <w:spacing w:val="-2"/>
                <w:sz w:val="14"/>
              </w:rPr>
              <w:t>)</w:t>
            </w:r>
          </w:p>
        </w:tc>
        <w:tc>
          <w:tcPr>
            <w:tcW w:w="585" w:type="dxa"/>
            <w:tcBorders>
              <w:top w:val="single" w:sz="4" w:space="0" w:color="000000"/>
              <w:bottom w:val="single" w:sz="4" w:space="0" w:color="000000"/>
            </w:tcBorders>
          </w:tcPr>
          <w:p>
            <w:pPr>
              <w:pStyle w:val="TableParagraph"/>
              <w:spacing w:before="61"/>
              <w:ind w:right="17"/>
              <w:jc w:val="center"/>
              <w:rPr>
                <w:sz w:val="14"/>
              </w:rPr>
            </w:pPr>
            <w:r>
              <w:rPr>
                <w:w w:val="99"/>
                <w:sz w:val="14"/>
              </w:rPr>
              <w:t>8</w:t>
            </w:r>
          </w:p>
        </w:tc>
        <w:tc>
          <w:tcPr>
            <w:tcW w:w="1212" w:type="dxa"/>
            <w:tcBorders>
              <w:top w:val="single" w:sz="4" w:space="0" w:color="000000"/>
              <w:bottom w:val="single" w:sz="4" w:space="0" w:color="000000"/>
            </w:tcBorders>
          </w:tcPr>
          <w:p>
            <w:pPr>
              <w:pStyle w:val="TableParagraph"/>
              <w:spacing w:before="61"/>
              <w:ind w:left="13" w:right="51"/>
              <w:jc w:val="left"/>
              <w:rPr>
                <w:sz w:val="14"/>
              </w:rPr>
            </w:pPr>
            <w:r>
              <w:rPr>
                <w:sz w:val="14"/>
              </w:rPr>
              <w:t>Trial Chamber VI</w:t>
            </w:r>
            <w:r>
              <w:rPr>
                <w:spacing w:val="40"/>
                <w:sz w:val="14"/>
              </w:rPr>
              <w:t> </w:t>
            </w:r>
            <w:r>
              <w:rPr>
                <w:sz w:val="14"/>
              </w:rPr>
              <w:t>(reparations</w:t>
            </w:r>
            <w:r>
              <w:rPr>
                <w:spacing w:val="-9"/>
                <w:sz w:val="14"/>
              </w:rPr>
              <w:t> </w:t>
            </w:r>
            <w:r>
              <w:rPr>
                <w:sz w:val="14"/>
              </w:rPr>
              <w:t>in</w:t>
            </w:r>
            <w:r>
              <w:rPr>
                <w:spacing w:val="40"/>
                <w:sz w:val="14"/>
              </w:rPr>
              <w:t> </w:t>
            </w:r>
            <w:r>
              <w:rPr>
                <w:i/>
                <w:sz w:val="14"/>
              </w:rPr>
              <w:t>Ntaganda</w:t>
            </w:r>
            <w:r>
              <w:rPr>
                <w:sz w:val="14"/>
              </w:rPr>
              <w:t>);</w:t>
            </w:r>
            <w:r>
              <w:rPr>
                <w:spacing w:val="-9"/>
                <w:sz w:val="14"/>
              </w:rPr>
              <w:t> </w:t>
            </w:r>
            <w:r>
              <w:rPr>
                <w:sz w:val="14"/>
              </w:rPr>
              <w:t>Appeals</w:t>
            </w:r>
            <w:r>
              <w:rPr>
                <w:spacing w:val="40"/>
                <w:sz w:val="14"/>
              </w:rPr>
              <w:t> </w:t>
            </w:r>
            <w:r>
              <w:rPr>
                <w:sz w:val="14"/>
              </w:rPr>
              <w:t>Chamber or Trial</w:t>
            </w:r>
            <w:r>
              <w:rPr>
                <w:spacing w:val="40"/>
                <w:sz w:val="14"/>
              </w:rPr>
              <w:t> </w:t>
            </w:r>
            <w:r>
              <w:rPr>
                <w:sz w:val="14"/>
              </w:rPr>
              <w:t>Chamber</w:t>
            </w:r>
            <w:r>
              <w:rPr>
                <w:spacing w:val="-9"/>
                <w:sz w:val="14"/>
              </w:rPr>
              <w:t> </w:t>
            </w:r>
            <w:r>
              <w:rPr>
                <w:sz w:val="14"/>
              </w:rPr>
              <w:t>IX</w:t>
            </w:r>
            <w:r>
              <w:rPr>
                <w:spacing w:val="-9"/>
                <w:sz w:val="14"/>
              </w:rPr>
              <w:t> </w:t>
            </w:r>
            <w:r>
              <w:rPr>
                <w:sz w:val="14"/>
              </w:rPr>
              <w:t>(appeal</w:t>
            </w:r>
            <w:r>
              <w:rPr>
                <w:spacing w:val="40"/>
                <w:sz w:val="14"/>
              </w:rPr>
              <w:t> </w:t>
            </w:r>
            <w:r>
              <w:rPr>
                <w:sz w:val="14"/>
              </w:rPr>
              <w:t>or reparations in</w:t>
            </w:r>
            <w:r>
              <w:rPr>
                <w:spacing w:val="40"/>
                <w:sz w:val="14"/>
              </w:rPr>
              <w:t> </w:t>
            </w:r>
            <w:r>
              <w:rPr>
                <w:i/>
                <w:sz w:val="14"/>
              </w:rPr>
              <w:t>Ongwen</w:t>
            </w:r>
            <w:r>
              <w:rPr>
                <w:sz w:val="14"/>
              </w:rPr>
              <w:t>);</w:t>
            </w:r>
            <w:r>
              <w:rPr>
                <w:spacing w:val="-9"/>
                <w:sz w:val="14"/>
              </w:rPr>
              <w:t> </w:t>
            </w:r>
            <w:r>
              <w:rPr>
                <w:sz w:val="14"/>
              </w:rPr>
              <w:t>Trial</w:t>
            </w:r>
            <w:r>
              <w:rPr>
                <w:spacing w:val="40"/>
                <w:sz w:val="14"/>
              </w:rPr>
              <w:t> </w:t>
            </w:r>
            <w:r>
              <w:rPr>
                <w:sz w:val="14"/>
              </w:rPr>
              <w:t>Chamber</w:t>
            </w:r>
            <w:r>
              <w:rPr>
                <w:spacing w:val="-6"/>
                <w:sz w:val="14"/>
              </w:rPr>
              <w:t> </w:t>
            </w:r>
            <w:r>
              <w:rPr>
                <w:sz w:val="14"/>
              </w:rPr>
              <w:t>II</w:t>
            </w:r>
            <w:r>
              <w:rPr>
                <w:spacing w:val="40"/>
                <w:sz w:val="14"/>
              </w:rPr>
              <w:t> </w:t>
            </w:r>
            <w:r>
              <w:rPr>
                <w:sz w:val="14"/>
              </w:rPr>
              <w:t>(reparations</w:t>
            </w:r>
            <w:r>
              <w:rPr>
                <w:spacing w:val="-9"/>
                <w:sz w:val="14"/>
              </w:rPr>
              <w:t> </w:t>
            </w:r>
            <w:r>
              <w:rPr>
                <w:sz w:val="14"/>
              </w:rPr>
              <w:t>in</w:t>
            </w:r>
            <w:r>
              <w:rPr>
                <w:spacing w:val="40"/>
                <w:sz w:val="14"/>
              </w:rPr>
              <w:t> </w:t>
            </w:r>
            <w:r>
              <w:rPr>
                <w:i/>
                <w:sz w:val="14"/>
              </w:rPr>
              <w:t>Lubanga </w:t>
            </w:r>
            <w:r>
              <w:rPr>
                <w:sz w:val="14"/>
              </w:rPr>
              <w:t>and in</w:t>
            </w:r>
            <w:r>
              <w:rPr>
                <w:spacing w:val="40"/>
                <w:sz w:val="14"/>
              </w:rPr>
              <w:t> </w:t>
            </w:r>
            <w:r>
              <w:rPr>
                <w:i/>
                <w:sz w:val="14"/>
              </w:rPr>
              <w:t>Katanga </w:t>
            </w:r>
            <w:r>
              <w:rPr>
                <w:sz w:val="14"/>
              </w:rPr>
              <w:t>- 2</w:t>
            </w:r>
            <w:r>
              <w:rPr>
                <w:spacing w:val="40"/>
                <w:sz w:val="14"/>
              </w:rPr>
              <w:t> </w:t>
            </w:r>
            <w:r>
              <w:rPr>
                <w:sz w:val="14"/>
              </w:rPr>
              <w:t>months);</w:t>
            </w:r>
            <w:r>
              <w:rPr>
                <w:spacing w:val="-9"/>
                <w:sz w:val="14"/>
              </w:rPr>
              <w:t> </w:t>
            </w:r>
            <w:r>
              <w:rPr>
                <w:sz w:val="14"/>
              </w:rPr>
              <w:t>Trial</w:t>
            </w:r>
            <w:r>
              <w:rPr>
                <w:spacing w:val="40"/>
                <w:sz w:val="14"/>
              </w:rPr>
              <w:t> </w:t>
            </w:r>
            <w:r>
              <w:rPr>
                <w:sz w:val="14"/>
              </w:rPr>
              <w:t>Chamber</w:t>
            </w:r>
            <w:r>
              <w:rPr>
                <w:spacing w:val="-6"/>
                <w:sz w:val="14"/>
              </w:rPr>
              <w:t> </w:t>
            </w:r>
            <w:r>
              <w:rPr>
                <w:sz w:val="14"/>
              </w:rPr>
              <w:t>VIII</w:t>
            </w:r>
            <w:r>
              <w:rPr>
                <w:spacing w:val="40"/>
                <w:sz w:val="14"/>
              </w:rPr>
              <w:t> </w:t>
            </w:r>
            <w:r>
              <w:rPr>
                <w:sz w:val="14"/>
              </w:rPr>
              <w:t>(reparations in </w:t>
            </w:r>
            <w:r>
              <w:rPr>
                <w:i/>
                <w:sz w:val="14"/>
              </w:rPr>
              <w:t>Al</w:t>
            </w:r>
            <w:r>
              <w:rPr>
                <w:i/>
                <w:spacing w:val="40"/>
                <w:sz w:val="14"/>
              </w:rPr>
              <w:t> </w:t>
            </w:r>
            <w:r>
              <w:rPr>
                <w:i/>
                <w:sz w:val="14"/>
              </w:rPr>
              <w:t>Mahdi</w:t>
            </w:r>
            <w:r>
              <w:rPr>
                <w:sz w:val="14"/>
              </w:rPr>
              <w:t>);</w:t>
            </w:r>
            <w:r>
              <w:rPr>
                <w:spacing w:val="-9"/>
                <w:sz w:val="14"/>
              </w:rPr>
              <w:t> </w:t>
            </w:r>
            <w:r>
              <w:rPr>
                <w:sz w:val="14"/>
              </w:rPr>
              <w:t>Trial</w:t>
            </w:r>
            <w:r>
              <w:rPr>
                <w:spacing w:val="40"/>
                <w:sz w:val="14"/>
              </w:rPr>
              <w:t> </w:t>
            </w:r>
            <w:r>
              <w:rPr>
                <w:sz w:val="14"/>
              </w:rPr>
              <w:t>Chamber X (</w:t>
            </w:r>
            <w:r>
              <w:rPr>
                <w:i/>
                <w:sz w:val="14"/>
              </w:rPr>
              <w:t>Al</w:t>
            </w:r>
            <w:r>
              <w:rPr>
                <w:i/>
                <w:spacing w:val="40"/>
                <w:sz w:val="14"/>
              </w:rPr>
              <w:t> </w:t>
            </w:r>
            <w:r>
              <w:rPr>
                <w:i/>
                <w:sz w:val="14"/>
              </w:rPr>
              <w:t>Hassan)</w:t>
            </w:r>
            <w:r>
              <w:rPr>
                <w:sz w:val="14"/>
              </w:rPr>
              <w:t>; and Trial</w:t>
            </w:r>
            <w:r>
              <w:rPr>
                <w:spacing w:val="40"/>
                <w:sz w:val="14"/>
              </w:rPr>
              <w:t> </w:t>
            </w:r>
            <w:r>
              <w:rPr>
                <w:sz w:val="14"/>
              </w:rPr>
              <w:t>Chamber</w:t>
            </w:r>
            <w:r>
              <w:rPr>
                <w:spacing w:val="-6"/>
                <w:sz w:val="14"/>
              </w:rPr>
              <w:t> </w:t>
            </w:r>
            <w:r>
              <w:rPr>
                <w:sz w:val="14"/>
              </w:rPr>
              <w:t>V</w:t>
            </w:r>
            <w:r>
              <w:rPr>
                <w:spacing w:val="40"/>
                <w:sz w:val="14"/>
              </w:rPr>
              <w:t> </w:t>
            </w:r>
            <w:r>
              <w:rPr>
                <w:sz w:val="14"/>
              </w:rPr>
              <w:t>(</w:t>
            </w:r>
            <w:r>
              <w:rPr>
                <w:i/>
                <w:sz w:val="14"/>
              </w:rPr>
              <w:t>Yekatom</w:t>
            </w:r>
            <w:r>
              <w:rPr>
                <w:i/>
                <w:spacing w:val="-9"/>
                <w:sz w:val="14"/>
              </w:rPr>
              <w:t> </w:t>
            </w:r>
            <w:r>
              <w:rPr>
                <w:i/>
                <w:sz w:val="14"/>
              </w:rPr>
              <w:t>and</w:t>
            </w:r>
            <w:r>
              <w:rPr>
                <w:i/>
                <w:spacing w:val="40"/>
                <w:sz w:val="14"/>
              </w:rPr>
              <w:t> </w:t>
            </w:r>
            <w:r>
              <w:rPr>
                <w:i/>
                <w:sz w:val="14"/>
              </w:rPr>
              <w:t>Ngaïssona</w:t>
            </w:r>
            <w:r>
              <w:rPr>
                <w:sz w:val="14"/>
              </w:rPr>
              <w:t>,</w:t>
            </w:r>
            <w:r>
              <w:rPr>
                <w:spacing w:val="-9"/>
                <w:sz w:val="14"/>
              </w:rPr>
              <w:t> </w:t>
            </w:r>
            <w:r>
              <w:rPr>
                <w:i/>
                <w:sz w:val="14"/>
              </w:rPr>
              <w:t>Abd-Al-</w:t>
            </w:r>
            <w:r>
              <w:rPr>
                <w:i/>
                <w:spacing w:val="40"/>
                <w:sz w:val="14"/>
              </w:rPr>
              <w:t> </w:t>
            </w:r>
            <w:r>
              <w:rPr>
                <w:i/>
                <w:sz w:val="14"/>
              </w:rPr>
              <w:t>Rahman</w:t>
            </w:r>
            <w:r>
              <w:rPr>
                <w:sz w:val="14"/>
              </w:rPr>
              <w:t>,</w:t>
            </w:r>
            <w:r>
              <w:rPr>
                <w:spacing w:val="-9"/>
                <w:sz w:val="14"/>
              </w:rPr>
              <w:t> </w:t>
            </w:r>
            <w:r>
              <w:rPr>
                <w:sz w:val="14"/>
              </w:rPr>
              <w:t>and</w:t>
            </w:r>
            <w:r>
              <w:rPr>
                <w:spacing w:val="40"/>
                <w:sz w:val="14"/>
              </w:rPr>
              <w:t> </w:t>
            </w:r>
            <w:r>
              <w:rPr>
                <w:i/>
                <w:spacing w:val="-2"/>
                <w:sz w:val="14"/>
              </w:rPr>
              <w:t>Gicheru</w:t>
            </w:r>
            <w:r>
              <w:rPr>
                <w:spacing w:val="-2"/>
                <w:sz w:val="14"/>
              </w:rPr>
              <w:t>)</w:t>
            </w:r>
          </w:p>
        </w:tc>
        <w:tc>
          <w:tcPr>
            <w:tcW w:w="585" w:type="dxa"/>
            <w:tcBorders>
              <w:top w:val="single" w:sz="4" w:space="0" w:color="000000"/>
              <w:bottom w:val="single" w:sz="4" w:space="0" w:color="000000"/>
            </w:tcBorders>
          </w:tcPr>
          <w:p>
            <w:pPr>
              <w:pStyle w:val="TableParagraph"/>
              <w:spacing w:before="61"/>
              <w:ind w:right="1"/>
              <w:jc w:val="center"/>
              <w:rPr>
                <w:sz w:val="14"/>
              </w:rPr>
            </w:pPr>
            <w:r>
              <w:rPr>
                <w:w w:val="99"/>
                <w:sz w:val="14"/>
              </w:rPr>
              <w:t>8</w:t>
            </w:r>
          </w:p>
        </w:tc>
        <w:tc>
          <w:tcPr>
            <w:tcW w:w="1010" w:type="dxa"/>
            <w:tcBorders>
              <w:top w:val="single" w:sz="4" w:space="0" w:color="000000"/>
              <w:bottom w:val="single" w:sz="4" w:space="0" w:color="000000"/>
            </w:tcBorders>
          </w:tcPr>
          <w:p>
            <w:pPr>
              <w:pStyle w:val="TableParagraph"/>
              <w:spacing w:before="61"/>
              <w:ind w:left="17" w:right="2"/>
              <w:jc w:val="left"/>
              <w:rPr>
                <w:sz w:val="14"/>
              </w:rPr>
            </w:pPr>
            <w:r>
              <w:rPr>
                <w:sz w:val="14"/>
              </w:rPr>
              <w:t>Trial</w:t>
            </w:r>
            <w:r>
              <w:rPr>
                <w:spacing w:val="-9"/>
                <w:sz w:val="14"/>
              </w:rPr>
              <w:t> </w:t>
            </w:r>
            <w:r>
              <w:rPr>
                <w:sz w:val="14"/>
              </w:rPr>
              <w:t>Chamber</w:t>
            </w:r>
            <w:r>
              <w:rPr>
                <w:spacing w:val="40"/>
                <w:sz w:val="14"/>
              </w:rPr>
              <w:t> </w:t>
            </w:r>
            <w:r>
              <w:rPr>
                <w:sz w:val="14"/>
              </w:rPr>
              <w:t>VI</w:t>
            </w:r>
            <w:r>
              <w:rPr>
                <w:spacing w:val="-6"/>
                <w:sz w:val="14"/>
              </w:rPr>
              <w:t> </w:t>
            </w:r>
            <w:r>
              <w:rPr>
                <w:sz w:val="14"/>
              </w:rPr>
              <w:t>(reparations</w:t>
            </w:r>
            <w:r>
              <w:rPr>
                <w:spacing w:val="80"/>
                <w:sz w:val="14"/>
              </w:rPr>
              <w:t> </w:t>
            </w:r>
            <w:r>
              <w:rPr>
                <w:sz w:val="14"/>
              </w:rPr>
              <w:t>in</w:t>
            </w:r>
            <w:r>
              <w:rPr>
                <w:spacing w:val="-6"/>
                <w:sz w:val="14"/>
              </w:rPr>
              <w:t> </w:t>
            </w:r>
            <w:r>
              <w:rPr>
                <w:i/>
                <w:sz w:val="14"/>
              </w:rPr>
              <w:t>Ntaganda</w:t>
            </w:r>
            <w:r>
              <w:rPr>
                <w:sz w:val="14"/>
              </w:rPr>
              <w:t>);</w:t>
            </w:r>
            <w:r>
              <w:rPr>
                <w:spacing w:val="40"/>
                <w:sz w:val="14"/>
              </w:rPr>
              <w:t> </w:t>
            </w:r>
            <w:r>
              <w:rPr>
                <w:sz w:val="14"/>
              </w:rPr>
              <w:t>Trial</w:t>
            </w:r>
            <w:r>
              <w:rPr>
                <w:spacing w:val="-9"/>
                <w:sz w:val="14"/>
              </w:rPr>
              <w:t> </w:t>
            </w:r>
            <w:r>
              <w:rPr>
                <w:sz w:val="14"/>
              </w:rPr>
              <w:t>Chamber</w:t>
            </w:r>
            <w:r>
              <w:rPr>
                <w:spacing w:val="40"/>
                <w:sz w:val="14"/>
              </w:rPr>
              <w:t> </w:t>
            </w:r>
            <w:r>
              <w:rPr>
                <w:sz w:val="14"/>
              </w:rPr>
              <w:t>IX</w:t>
            </w:r>
            <w:r>
              <w:rPr>
                <w:spacing w:val="-9"/>
                <w:sz w:val="14"/>
              </w:rPr>
              <w:t> </w:t>
            </w:r>
            <w:r>
              <w:rPr>
                <w:sz w:val="14"/>
              </w:rPr>
              <w:t>(reparations</w:t>
            </w:r>
            <w:r>
              <w:rPr>
                <w:spacing w:val="80"/>
                <w:sz w:val="14"/>
              </w:rPr>
              <w:t> </w:t>
            </w:r>
            <w:r>
              <w:rPr>
                <w:sz w:val="14"/>
              </w:rPr>
              <w:t>in</w:t>
            </w:r>
            <w:r>
              <w:rPr>
                <w:spacing w:val="-6"/>
                <w:sz w:val="14"/>
              </w:rPr>
              <w:t> </w:t>
            </w:r>
            <w:r>
              <w:rPr>
                <w:i/>
                <w:sz w:val="14"/>
              </w:rPr>
              <w:t>Ongwen</w:t>
            </w:r>
            <w:r>
              <w:rPr>
                <w:sz w:val="14"/>
              </w:rPr>
              <w:t>);</w:t>
            </w:r>
            <w:r>
              <w:rPr>
                <w:spacing w:val="40"/>
                <w:sz w:val="14"/>
              </w:rPr>
              <w:t> </w:t>
            </w:r>
            <w:r>
              <w:rPr>
                <w:sz w:val="14"/>
              </w:rPr>
              <w:t>Trial Chamber II</w:t>
            </w:r>
            <w:r>
              <w:rPr>
                <w:spacing w:val="40"/>
                <w:sz w:val="14"/>
              </w:rPr>
              <w:t> </w:t>
            </w:r>
            <w:r>
              <w:rPr>
                <w:sz w:val="14"/>
              </w:rPr>
              <w:t>(reparations</w:t>
            </w:r>
            <w:r>
              <w:rPr>
                <w:spacing w:val="-9"/>
                <w:sz w:val="14"/>
              </w:rPr>
              <w:t> </w:t>
            </w:r>
            <w:r>
              <w:rPr>
                <w:sz w:val="14"/>
              </w:rPr>
              <w:t>in</w:t>
            </w:r>
            <w:r>
              <w:rPr>
                <w:spacing w:val="40"/>
                <w:sz w:val="14"/>
              </w:rPr>
              <w:t> </w:t>
            </w:r>
            <w:r>
              <w:rPr>
                <w:i/>
                <w:sz w:val="14"/>
              </w:rPr>
              <w:t>Lubanga </w:t>
            </w:r>
            <w:r>
              <w:rPr>
                <w:sz w:val="14"/>
              </w:rPr>
              <w:t>and in</w:t>
            </w:r>
            <w:r>
              <w:rPr>
                <w:spacing w:val="40"/>
                <w:sz w:val="14"/>
              </w:rPr>
              <w:t> </w:t>
            </w:r>
            <w:r>
              <w:rPr>
                <w:i/>
                <w:sz w:val="14"/>
              </w:rPr>
              <w:t>Katanga </w:t>
            </w:r>
            <w:r>
              <w:rPr>
                <w:sz w:val="14"/>
              </w:rPr>
              <w:t>- 2</w:t>
            </w:r>
            <w:r>
              <w:rPr>
                <w:spacing w:val="40"/>
                <w:sz w:val="14"/>
              </w:rPr>
              <w:t> </w:t>
            </w:r>
            <w:r>
              <w:rPr>
                <w:sz w:val="14"/>
              </w:rPr>
              <w:t>months);</w:t>
            </w:r>
            <w:r>
              <w:rPr>
                <w:spacing w:val="-9"/>
                <w:sz w:val="14"/>
              </w:rPr>
              <w:t> </w:t>
            </w:r>
            <w:r>
              <w:rPr>
                <w:sz w:val="14"/>
              </w:rPr>
              <w:t>Trial</w:t>
            </w:r>
            <w:r>
              <w:rPr>
                <w:spacing w:val="40"/>
                <w:sz w:val="14"/>
              </w:rPr>
              <w:t> </w:t>
            </w:r>
            <w:r>
              <w:rPr>
                <w:sz w:val="14"/>
              </w:rPr>
              <w:t>Chamber</w:t>
            </w:r>
            <w:r>
              <w:rPr>
                <w:spacing w:val="-6"/>
                <w:sz w:val="14"/>
              </w:rPr>
              <w:t> </w:t>
            </w:r>
            <w:r>
              <w:rPr>
                <w:sz w:val="14"/>
              </w:rPr>
              <w:t>VIII</w:t>
            </w:r>
            <w:r>
              <w:rPr>
                <w:spacing w:val="40"/>
                <w:sz w:val="14"/>
              </w:rPr>
              <w:t> </w:t>
            </w:r>
            <w:r>
              <w:rPr>
                <w:sz w:val="14"/>
              </w:rPr>
              <w:t>(reparations</w:t>
            </w:r>
            <w:r>
              <w:rPr>
                <w:spacing w:val="-9"/>
                <w:sz w:val="14"/>
              </w:rPr>
              <w:t> </w:t>
            </w:r>
            <w:r>
              <w:rPr>
                <w:sz w:val="14"/>
              </w:rPr>
              <w:t>in</w:t>
            </w:r>
            <w:r>
              <w:rPr>
                <w:spacing w:val="-9"/>
                <w:sz w:val="14"/>
              </w:rPr>
              <w:t> </w:t>
            </w:r>
            <w:r>
              <w:rPr>
                <w:i/>
                <w:sz w:val="14"/>
              </w:rPr>
              <w:t>Al</w:t>
            </w:r>
            <w:r>
              <w:rPr>
                <w:i/>
                <w:spacing w:val="40"/>
                <w:sz w:val="14"/>
              </w:rPr>
              <w:t> </w:t>
            </w:r>
            <w:r>
              <w:rPr>
                <w:i/>
                <w:sz w:val="14"/>
              </w:rPr>
              <w:t>Mahdi</w:t>
            </w:r>
            <w:r>
              <w:rPr>
                <w:sz w:val="14"/>
              </w:rPr>
              <w:t>);</w:t>
            </w:r>
            <w:r>
              <w:rPr>
                <w:spacing w:val="-9"/>
                <w:sz w:val="14"/>
              </w:rPr>
              <w:t> </w:t>
            </w:r>
            <w:r>
              <w:rPr>
                <w:sz w:val="14"/>
              </w:rPr>
              <w:t>Trial</w:t>
            </w:r>
            <w:r>
              <w:rPr>
                <w:spacing w:val="40"/>
                <w:sz w:val="14"/>
              </w:rPr>
              <w:t> </w:t>
            </w:r>
            <w:r>
              <w:rPr>
                <w:sz w:val="14"/>
              </w:rPr>
              <w:t>Chamber X (</w:t>
            </w:r>
            <w:r>
              <w:rPr>
                <w:i/>
                <w:sz w:val="14"/>
              </w:rPr>
              <w:t>Al</w:t>
            </w:r>
            <w:r>
              <w:rPr>
                <w:i/>
                <w:spacing w:val="40"/>
                <w:sz w:val="14"/>
              </w:rPr>
              <w:t> </w:t>
            </w:r>
            <w:r>
              <w:rPr>
                <w:i/>
                <w:sz w:val="14"/>
              </w:rPr>
              <w:t>Hassan</w:t>
            </w:r>
            <w:r>
              <w:rPr>
                <w:sz w:val="14"/>
              </w:rPr>
              <w:t>);</w:t>
            </w:r>
            <w:r>
              <w:rPr>
                <w:spacing w:val="-9"/>
                <w:sz w:val="14"/>
              </w:rPr>
              <w:t> </w:t>
            </w:r>
            <w:r>
              <w:rPr>
                <w:sz w:val="14"/>
              </w:rPr>
              <w:t>Trial</w:t>
            </w:r>
            <w:r>
              <w:rPr>
                <w:spacing w:val="40"/>
                <w:sz w:val="14"/>
              </w:rPr>
              <w:t> </w:t>
            </w:r>
            <w:r>
              <w:rPr>
                <w:sz w:val="14"/>
              </w:rPr>
              <w:t>Chamber</w:t>
            </w:r>
            <w:r>
              <w:rPr>
                <w:spacing w:val="-6"/>
                <w:sz w:val="14"/>
              </w:rPr>
              <w:t> </w:t>
            </w:r>
            <w:r>
              <w:rPr>
                <w:sz w:val="14"/>
              </w:rPr>
              <w:t>V</w:t>
            </w:r>
            <w:r>
              <w:rPr>
                <w:spacing w:val="40"/>
                <w:sz w:val="14"/>
              </w:rPr>
              <w:t> </w:t>
            </w:r>
            <w:r>
              <w:rPr>
                <w:sz w:val="14"/>
              </w:rPr>
              <w:t>(</w:t>
            </w:r>
            <w:r>
              <w:rPr>
                <w:i/>
                <w:sz w:val="14"/>
              </w:rPr>
              <w:t>Yekatom</w:t>
            </w:r>
            <w:r>
              <w:rPr>
                <w:i/>
                <w:spacing w:val="-9"/>
                <w:sz w:val="14"/>
              </w:rPr>
              <w:t> </w:t>
            </w:r>
            <w:r>
              <w:rPr>
                <w:i/>
                <w:sz w:val="14"/>
              </w:rPr>
              <w:t>and</w:t>
            </w:r>
            <w:r>
              <w:rPr>
                <w:i/>
                <w:spacing w:val="40"/>
                <w:sz w:val="14"/>
              </w:rPr>
              <w:t> </w:t>
            </w:r>
            <w:r>
              <w:rPr>
                <w:i/>
                <w:sz w:val="14"/>
              </w:rPr>
              <w:t>Ngaïssona</w:t>
            </w:r>
            <w:r>
              <w:rPr>
                <w:sz w:val="14"/>
              </w:rPr>
              <w:t>);</w:t>
            </w:r>
            <w:r>
              <w:rPr>
                <w:spacing w:val="-9"/>
                <w:sz w:val="14"/>
              </w:rPr>
              <w:t> </w:t>
            </w:r>
            <w:r>
              <w:rPr>
                <w:sz w:val="14"/>
              </w:rPr>
              <w:t>Trial</w:t>
            </w:r>
            <w:r>
              <w:rPr>
                <w:spacing w:val="40"/>
                <w:sz w:val="14"/>
              </w:rPr>
              <w:t> </w:t>
            </w:r>
            <w:r>
              <w:rPr>
                <w:sz w:val="14"/>
              </w:rPr>
              <w:t>Chamber I (</w:t>
            </w:r>
            <w:r>
              <w:rPr>
                <w:i/>
                <w:sz w:val="14"/>
              </w:rPr>
              <w:t>Abd-</w:t>
            </w:r>
            <w:r>
              <w:rPr>
                <w:i/>
                <w:spacing w:val="40"/>
                <w:sz w:val="14"/>
              </w:rPr>
              <w:t> </w:t>
            </w:r>
            <w:r>
              <w:rPr>
                <w:i/>
                <w:sz w:val="14"/>
              </w:rPr>
              <w:t>Al-Rahman</w:t>
            </w:r>
            <w:r>
              <w:rPr>
                <w:sz w:val="14"/>
              </w:rPr>
              <w:t>);</w:t>
            </w:r>
            <w:r>
              <w:rPr>
                <w:spacing w:val="-9"/>
                <w:sz w:val="14"/>
              </w:rPr>
              <w:t> </w:t>
            </w:r>
            <w:r>
              <w:rPr>
                <w:sz w:val="14"/>
              </w:rPr>
              <w:t>and</w:t>
            </w:r>
            <w:r>
              <w:rPr>
                <w:spacing w:val="40"/>
                <w:sz w:val="14"/>
              </w:rPr>
              <w:t> </w:t>
            </w:r>
            <w:r>
              <w:rPr>
                <w:sz w:val="14"/>
              </w:rPr>
              <w:t>Trial</w:t>
            </w:r>
            <w:r>
              <w:rPr>
                <w:spacing w:val="-9"/>
                <w:sz w:val="14"/>
              </w:rPr>
              <w:t> </w:t>
            </w:r>
            <w:r>
              <w:rPr>
                <w:sz w:val="14"/>
              </w:rPr>
              <w:t>Chamber</w:t>
            </w:r>
            <w:r>
              <w:rPr>
                <w:spacing w:val="80"/>
                <w:sz w:val="14"/>
              </w:rPr>
              <w:t> </w:t>
            </w:r>
            <w:r>
              <w:rPr>
                <w:sz w:val="14"/>
              </w:rPr>
              <w:t>III</w:t>
            </w:r>
            <w:r>
              <w:rPr>
                <w:spacing w:val="-6"/>
                <w:sz w:val="14"/>
              </w:rPr>
              <w:t> </w:t>
            </w:r>
            <w:r>
              <w:rPr>
                <w:sz w:val="14"/>
              </w:rPr>
              <w:t>(</w:t>
            </w:r>
            <w:r>
              <w:rPr>
                <w:i/>
                <w:sz w:val="14"/>
              </w:rPr>
              <w:t>Gicheru</w:t>
            </w:r>
            <w:r>
              <w:rPr>
                <w:sz w:val="14"/>
              </w:rPr>
              <w:t>)</w:t>
            </w:r>
          </w:p>
        </w:tc>
      </w:tr>
      <w:tr>
        <w:trPr>
          <w:trHeight w:val="1734" w:hRule="atLeast"/>
        </w:trPr>
        <w:tc>
          <w:tcPr>
            <w:tcW w:w="189" w:type="dxa"/>
            <w:tcBorders>
              <w:top w:val="single" w:sz="4" w:space="0" w:color="000000"/>
            </w:tcBorders>
          </w:tcPr>
          <w:p>
            <w:pPr>
              <w:pStyle w:val="TableParagraph"/>
              <w:spacing w:before="61"/>
              <w:ind w:left="14"/>
              <w:jc w:val="left"/>
              <w:rPr>
                <w:sz w:val="14"/>
              </w:rPr>
            </w:pPr>
            <w:r>
              <w:rPr>
                <w:w w:val="99"/>
                <w:sz w:val="14"/>
              </w:rPr>
              <w:t>7</w:t>
            </w:r>
          </w:p>
        </w:tc>
        <w:tc>
          <w:tcPr>
            <w:tcW w:w="787" w:type="dxa"/>
            <w:tcBorders>
              <w:top w:val="single" w:sz="4" w:space="0" w:color="000000"/>
            </w:tcBorders>
          </w:tcPr>
          <w:p>
            <w:pPr>
              <w:pStyle w:val="TableParagraph"/>
              <w:spacing w:before="61"/>
              <w:ind w:left="104" w:right="68"/>
              <w:jc w:val="both"/>
              <w:rPr>
                <w:sz w:val="14"/>
              </w:rPr>
            </w:pPr>
            <w:r>
              <w:rPr>
                <w:sz w:val="14"/>
              </w:rPr>
              <w:t>Number</w:t>
            </w:r>
            <w:r>
              <w:rPr>
                <w:spacing w:val="-9"/>
                <w:sz w:val="14"/>
              </w:rPr>
              <w:t> </w:t>
            </w:r>
            <w:r>
              <w:rPr>
                <w:sz w:val="14"/>
              </w:rPr>
              <w:t>of</w:t>
            </w:r>
            <w:r>
              <w:rPr>
                <w:spacing w:val="40"/>
                <w:sz w:val="14"/>
              </w:rPr>
              <w:t> </w:t>
            </w:r>
            <w:r>
              <w:rPr>
                <w:sz w:val="14"/>
              </w:rPr>
              <w:t>trial</w:t>
            </w:r>
            <w:r>
              <w:rPr>
                <w:spacing w:val="-9"/>
                <w:sz w:val="14"/>
              </w:rPr>
              <w:t> </w:t>
            </w:r>
            <w:r>
              <w:rPr>
                <w:sz w:val="14"/>
              </w:rPr>
              <w:t>teams</w:t>
            </w:r>
            <w:r>
              <w:rPr>
                <w:spacing w:val="40"/>
                <w:sz w:val="14"/>
              </w:rPr>
              <w:t> </w:t>
            </w:r>
            <w:r>
              <w:rPr>
                <w:spacing w:val="-2"/>
                <w:sz w:val="14"/>
              </w:rPr>
              <w:t>(OTP)</w:t>
            </w:r>
          </w:p>
        </w:tc>
        <w:tc>
          <w:tcPr>
            <w:tcW w:w="592" w:type="dxa"/>
            <w:tcBorders>
              <w:top w:val="single" w:sz="4" w:space="0" w:color="000000"/>
            </w:tcBorders>
          </w:tcPr>
          <w:p>
            <w:pPr>
              <w:pStyle w:val="TableParagraph"/>
              <w:spacing w:before="61"/>
              <w:ind w:left="13"/>
              <w:jc w:val="center"/>
              <w:rPr>
                <w:sz w:val="14"/>
              </w:rPr>
            </w:pPr>
            <w:r>
              <w:rPr>
                <w:w w:val="99"/>
                <w:sz w:val="14"/>
              </w:rPr>
              <w:t>3</w:t>
            </w:r>
          </w:p>
        </w:tc>
        <w:tc>
          <w:tcPr>
            <w:tcW w:w="476" w:type="dxa"/>
            <w:tcBorders>
              <w:top w:val="single" w:sz="4" w:space="0" w:color="000000"/>
            </w:tcBorders>
          </w:tcPr>
          <w:p>
            <w:pPr>
              <w:pStyle w:val="TableParagraph"/>
              <w:spacing w:before="61"/>
              <w:ind w:left="21"/>
              <w:jc w:val="center"/>
              <w:rPr>
                <w:sz w:val="14"/>
              </w:rPr>
            </w:pPr>
            <w:r>
              <w:rPr>
                <w:w w:val="99"/>
                <w:sz w:val="14"/>
              </w:rPr>
              <w:t>3</w:t>
            </w:r>
          </w:p>
        </w:tc>
        <w:tc>
          <w:tcPr>
            <w:tcW w:w="1140" w:type="dxa"/>
            <w:tcBorders>
              <w:top w:val="single" w:sz="4" w:space="0" w:color="000000"/>
            </w:tcBorders>
          </w:tcPr>
          <w:p>
            <w:pPr>
              <w:pStyle w:val="TableParagraph"/>
              <w:spacing w:before="61"/>
              <w:ind w:left="11" w:right="48"/>
              <w:jc w:val="left"/>
              <w:rPr>
                <w:sz w:val="14"/>
              </w:rPr>
            </w:pPr>
            <w:r>
              <w:rPr>
                <w:sz w:val="14"/>
              </w:rPr>
              <w:t>Uganda</w:t>
            </w:r>
            <w:r>
              <w:rPr>
                <w:spacing w:val="-9"/>
                <w:sz w:val="14"/>
              </w:rPr>
              <w:t> </w:t>
            </w:r>
            <w:r>
              <w:rPr>
                <w:sz w:val="14"/>
              </w:rPr>
              <w:t>(</w:t>
            </w:r>
            <w:r>
              <w:rPr>
                <w:i/>
                <w:sz w:val="14"/>
              </w:rPr>
              <w:t>Ongwen</w:t>
            </w:r>
            <w:r>
              <w:rPr>
                <w:sz w:val="14"/>
              </w:rPr>
              <w:t>);</w:t>
            </w:r>
            <w:r>
              <w:rPr>
                <w:spacing w:val="40"/>
                <w:sz w:val="14"/>
              </w:rPr>
              <w:t> </w:t>
            </w:r>
            <w:r>
              <w:rPr>
                <w:sz w:val="14"/>
              </w:rPr>
              <w:t>Mali II (</w:t>
            </w:r>
            <w:r>
              <w:rPr>
                <w:i/>
                <w:sz w:val="14"/>
              </w:rPr>
              <w:t>Al</w:t>
            </w:r>
            <w:r>
              <w:rPr>
                <w:i/>
                <w:spacing w:val="40"/>
                <w:sz w:val="14"/>
              </w:rPr>
              <w:t> </w:t>
            </w:r>
            <w:r>
              <w:rPr>
                <w:i/>
                <w:sz w:val="14"/>
              </w:rPr>
              <w:t>Hassan</w:t>
            </w:r>
            <w:r>
              <w:rPr>
                <w:sz w:val="14"/>
              </w:rPr>
              <w:t>);</w:t>
            </w:r>
            <w:r>
              <w:rPr>
                <w:spacing w:val="-9"/>
                <w:sz w:val="14"/>
              </w:rPr>
              <w:t> </w:t>
            </w:r>
            <w:r>
              <w:rPr>
                <w:sz w:val="14"/>
              </w:rPr>
              <w:t>and</w:t>
            </w:r>
            <w:r>
              <w:rPr>
                <w:spacing w:val="-9"/>
                <w:sz w:val="14"/>
              </w:rPr>
              <w:t> </w:t>
            </w:r>
            <w:r>
              <w:rPr>
                <w:sz w:val="14"/>
              </w:rPr>
              <w:t>CAR</w:t>
            </w:r>
          </w:p>
          <w:p>
            <w:pPr>
              <w:pStyle w:val="TableParagraph"/>
              <w:spacing w:line="235" w:lineRule="auto" w:before="5"/>
              <w:ind w:left="11"/>
              <w:jc w:val="left"/>
              <w:rPr>
                <w:sz w:val="14"/>
              </w:rPr>
            </w:pPr>
            <w:r>
              <w:rPr>
                <w:sz w:val="14"/>
              </w:rPr>
              <w:t>II.b</w:t>
            </w:r>
            <w:r>
              <w:rPr>
                <w:spacing w:val="-9"/>
                <w:sz w:val="14"/>
              </w:rPr>
              <w:t> </w:t>
            </w:r>
            <w:r>
              <w:rPr>
                <w:sz w:val="14"/>
              </w:rPr>
              <w:t>(</w:t>
            </w:r>
            <w:r>
              <w:rPr>
                <w:i/>
                <w:sz w:val="14"/>
              </w:rPr>
              <w:t>Yekatom</w:t>
            </w:r>
            <w:r>
              <w:rPr>
                <w:i/>
                <w:spacing w:val="-9"/>
                <w:sz w:val="14"/>
              </w:rPr>
              <w:t> </w:t>
            </w:r>
            <w:r>
              <w:rPr>
                <w:i/>
                <w:sz w:val="14"/>
              </w:rPr>
              <w:t>and</w:t>
            </w:r>
            <w:r>
              <w:rPr>
                <w:i/>
                <w:spacing w:val="40"/>
                <w:sz w:val="14"/>
              </w:rPr>
              <w:t> </w:t>
            </w:r>
            <w:r>
              <w:rPr>
                <w:i/>
                <w:spacing w:val="-2"/>
                <w:sz w:val="14"/>
              </w:rPr>
              <w:t>Ngaïssona</w:t>
            </w:r>
            <w:r>
              <w:rPr>
                <w:spacing w:val="-2"/>
                <w:sz w:val="14"/>
              </w:rPr>
              <w:t>)</w:t>
            </w:r>
          </w:p>
        </w:tc>
        <w:tc>
          <w:tcPr>
            <w:tcW w:w="620" w:type="dxa"/>
            <w:tcBorders>
              <w:top w:val="single" w:sz="4" w:space="0" w:color="000000"/>
            </w:tcBorders>
          </w:tcPr>
          <w:p>
            <w:pPr>
              <w:pStyle w:val="TableParagraph"/>
              <w:spacing w:before="61"/>
              <w:ind w:right="30"/>
              <w:jc w:val="center"/>
              <w:rPr>
                <w:sz w:val="14"/>
              </w:rPr>
            </w:pPr>
            <w:r>
              <w:rPr>
                <w:w w:val="99"/>
                <w:sz w:val="14"/>
              </w:rPr>
              <w:t>2</w:t>
            </w:r>
          </w:p>
        </w:tc>
        <w:tc>
          <w:tcPr>
            <w:tcW w:w="512" w:type="dxa"/>
            <w:tcBorders>
              <w:top w:val="single" w:sz="4" w:space="0" w:color="000000"/>
            </w:tcBorders>
          </w:tcPr>
          <w:p>
            <w:pPr>
              <w:pStyle w:val="TableParagraph"/>
              <w:spacing w:before="61"/>
              <w:ind w:left="8"/>
              <w:jc w:val="center"/>
              <w:rPr>
                <w:sz w:val="14"/>
              </w:rPr>
            </w:pPr>
            <w:r>
              <w:rPr>
                <w:w w:val="99"/>
                <w:sz w:val="14"/>
              </w:rPr>
              <w:t>3</w:t>
            </w:r>
          </w:p>
        </w:tc>
        <w:tc>
          <w:tcPr>
            <w:tcW w:w="966" w:type="dxa"/>
            <w:tcBorders>
              <w:top w:val="single" w:sz="4" w:space="0" w:color="000000"/>
            </w:tcBorders>
          </w:tcPr>
          <w:p>
            <w:pPr>
              <w:pStyle w:val="TableParagraph"/>
              <w:spacing w:before="61"/>
              <w:ind w:left="25"/>
              <w:jc w:val="left"/>
              <w:rPr>
                <w:sz w:val="14"/>
              </w:rPr>
            </w:pPr>
            <w:r>
              <w:rPr>
                <w:sz w:val="14"/>
              </w:rPr>
              <w:t>CAR</w:t>
            </w:r>
            <w:r>
              <w:rPr>
                <w:spacing w:val="-8"/>
                <w:sz w:val="14"/>
              </w:rPr>
              <w:t> </w:t>
            </w:r>
            <w:r>
              <w:rPr>
                <w:spacing w:val="-4"/>
                <w:sz w:val="14"/>
              </w:rPr>
              <w:t>II.b</w:t>
            </w:r>
          </w:p>
          <w:p>
            <w:pPr>
              <w:pStyle w:val="TableParagraph"/>
              <w:spacing w:before="2"/>
              <w:ind w:left="25" w:right="163"/>
              <w:jc w:val="left"/>
              <w:rPr>
                <w:sz w:val="14"/>
              </w:rPr>
            </w:pPr>
            <w:r>
              <w:rPr>
                <w:sz w:val="14"/>
              </w:rPr>
              <w:t>(</w:t>
            </w:r>
            <w:r>
              <w:rPr>
                <w:i/>
                <w:sz w:val="14"/>
              </w:rPr>
              <w:t>Yekatom</w:t>
            </w:r>
            <w:r>
              <w:rPr>
                <w:i/>
                <w:spacing w:val="-9"/>
                <w:sz w:val="14"/>
              </w:rPr>
              <w:t> </w:t>
            </w:r>
            <w:r>
              <w:rPr>
                <w:i/>
                <w:sz w:val="14"/>
              </w:rPr>
              <w:t>and</w:t>
            </w:r>
            <w:r>
              <w:rPr>
                <w:i/>
                <w:spacing w:val="40"/>
                <w:sz w:val="14"/>
              </w:rPr>
              <w:t> </w:t>
            </w:r>
            <w:r>
              <w:rPr>
                <w:i/>
                <w:spacing w:val="-2"/>
                <w:sz w:val="14"/>
              </w:rPr>
              <w:t>Ngaïssona</w:t>
            </w:r>
            <w:r>
              <w:rPr>
                <w:spacing w:val="-2"/>
                <w:sz w:val="14"/>
              </w:rPr>
              <w:t>);</w:t>
            </w:r>
            <w:r>
              <w:rPr>
                <w:spacing w:val="40"/>
                <w:sz w:val="14"/>
              </w:rPr>
              <w:t> </w:t>
            </w:r>
            <w:r>
              <w:rPr>
                <w:sz w:val="14"/>
              </w:rPr>
              <w:t>Mali II (</w:t>
            </w:r>
            <w:r>
              <w:rPr>
                <w:i/>
                <w:sz w:val="14"/>
              </w:rPr>
              <w:t>Al</w:t>
            </w:r>
            <w:r>
              <w:rPr>
                <w:i/>
                <w:spacing w:val="40"/>
                <w:sz w:val="14"/>
              </w:rPr>
              <w:t> </w:t>
            </w:r>
            <w:r>
              <w:rPr>
                <w:i/>
                <w:sz w:val="14"/>
              </w:rPr>
              <w:t>Hassan</w:t>
            </w:r>
            <w:r>
              <w:rPr>
                <w:sz w:val="14"/>
              </w:rPr>
              <w:t>);</w:t>
            </w:r>
            <w:r>
              <w:rPr>
                <w:spacing w:val="-9"/>
                <w:sz w:val="14"/>
              </w:rPr>
              <w:t> </w:t>
            </w:r>
            <w:r>
              <w:rPr>
                <w:sz w:val="14"/>
              </w:rPr>
              <w:t>and</w:t>
            </w:r>
            <w:r>
              <w:rPr>
                <w:spacing w:val="40"/>
                <w:sz w:val="14"/>
              </w:rPr>
              <w:t> </w:t>
            </w:r>
            <w:r>
              <w:rPr>
                <w:sz w:val="14"/>
              </w:rPr>
              <w:t>pre-trial</w:t>
            </w:r>
            <w:r>
              <w:rPr>
                <w:spacing w:val="-9"/>
                <w:sz w:val="14"/>
              </w:rPr>
              <w:t> </w:t>
            </w:r>
            <w:r>
              <w:rPr>
                <w:sz w:val="14"/>
              </w:rPr>
              <w:t>team</w:t>
            </w:r>
            <w:r>
              <w:rPr>
                <w:spacing w:val="40"/>
                <w:sz w:val="14"/>
              </w:rPr>
              <w:t> </w:t>
            </w:r>
            <w:r>
              <w:rPr>
                <w:sz w:val="14"/>
              </w:rPr>
              <w:t>for Darfur I</w:t>
            </w:r>
            <w:r>
              <w:rPr>
                <w:spacing w:val="40"/>
                <w:sz w:val="14"/>
              </w:rPr>
              <w:t> </w:t>
            </w:r>
            <w:r>
              <w:rPr>
                <w:spacing w:val="-2"/>
                <w:sz w:val="14"/>
              </w:rPr>
              <w:t>(</w:t>
            </w:r>
            <w:r>
              <w:rPr>
                <w:i/>
                <w:spacing w:val="-2"/>
                <w:sz w:val="14"/>
              </w:rPr>
              <w:t>Abd-Al-</w:t>
            </w:r>
            <w:r>
              <w:rPr>
                <w:i/>
                <w:spacing w:val="40"/>
                <w:sz w:val="14"/>
              </w:rPr>
              <w:t> </w:t>
            </w:r>
            <w:r>
              <w:rPr>
                <w:i/>
                <w:spacing w:val="-2"/>
                <w:sz w:val="14"/>
              </w:rPr>
              <w:t>Rahman</w:t>
            </w:r>
            <w:r>
              <w:rPr>
                <w:spacing w:val="-2"/>
                <w:sz w:val="14"/>
              </w:rPr>
              <w:t>)</w:t>
            </w:r>
          </w:p>
        </w:tc>
        <w:tc>
          <w:tcPr>
            <w:tcW w:w="603" w:type="dxa"/>
            <w:tcBorders>
              <w:top w:val="single" w:sz="4" w:space="0" w:color="000000"/>
            </w:tcBorders>
          </w:tcPr>
          <w:p>
            <w:pPr>
              <w:pStyle w:val="TableParagraph"/>
              <w:spacing w:before="61"/>
              <w:ind w:right="21"/>
              <w:jc w:val="center"/>
              <w:rPr>
                <w:sz w:val="14"/>
              </w:rPr>
            </w:pPr>
            <w:r>
              <w:rPr>
                <w:w w:val="99"/>
                <w:sz w:val="14"/>
              </w:rPr>
              <w:t>3</w:t>
            </w:r>
          </w:p>
        </w:tc>
        <w:tc>
          <w:tcPr>
            <w:tcW w:w="475" w:type="dxa"/>
            <w:tcBorders>
              <w:top w:val="single" w:sz="4" w:space="0" w:color="000000"/>
            </w:tcBorders>
          </w:tcPr>
          <w:p>
            <w:pPr>
              <w:pStyle w:val="TableParagraph"/>
              <w:spacing w:before="61"/>
              <w:ind w:left="3"/>
              <w:jc w:val="center"/>
              <w:rPr>
                <w:sz w:val="14"/>
              </w:rPr>
            </w:pPr>
            <w:r>
              <w:rPr>
                <w:w w:val="99"/>
                <w:sz w:val="14"/>
              </w:rPr>
              <w:t>5</w:t>
            </w:r>
          </w:p>
        </w:tc>
        <w:tc>
          <w:tcPr>
            <w:tcW w:w="1042" w:type="dxa"/>
            <w:tcBorders>
              <w:top w:val="single" w:sz="4" w:space="0" w:color="000000"/>
            </w:tcBorders>
          </w:tcPr>
          <w:p>
            <w:pPr>
              <w:pStyle w:val="TableParagraph"/>
              <w:spacing w:before="61"/>
              <w:ind w:left="7"/>
              <w:jc w:val="left"/>
              <w:rPr>
                <w:sz w:val="14"/>
              </w:rPr>
            </w:pPr>
            <w:r>
              <w:rPr>
                <w:sz w:val="14"/>
              </w:rPr>
              <w:t>CAR</w:t>
            </w:r>
            <w:r>
              <w:rPr>
                <w:spacing w:val="-8"/>
                <w:sz w:val="14"/>
              </w:rPr>
              <w:t> </w:t>
            </w:r>
            <w:r>
              <w:rPr>
                <w:spacing w:val="-4"/>
                <w:sz w:val="14"/>
              </w:rPr>
              <w:t>II.b</w:t>
            </w:r>
          </w:p>
          <w:p>
            <w:pPr>
              <w:pStyle w:val="TableParagraph"/>
              <w:spacing w:before="2"/>
              <w:ind w:left="7"/>
              <w:jc w:val="left"/>
              <w:rPr>
                <w:sz w:val="14"/>
              </w:rPr>
            </w:pPr>
            <w:r>
              <w:rPr>
                <w:sz w:val="14"/>
              </w:rPr>
              <w:t>(</w:t>
            </w:r>
            <w:r>
              <w:rPr>
                <w:i/>
                <w:sz w:val="14"/>
              </w:rPr>
              <w:t>Yekatom</w:t>
            </w:r>
            <w:r>
              <w:rPr>
                <w:i/>
                <w:spacing w:val="-8"/>
                <w:sz w:val="14"/>
              </w:rPr>
              <w:t> </w:t>
            </w:r>
            <w:r>
              <w:rPr>
                <w:i/>
                <w:sz w:val="14"/>
              </w:rPr>
              <w:t>and</w:t>
            </w:r>
            <w:r>
              <w:rPr>
                <w:i/>
                <w:spacing w:val="40"/>
                <w:sz w:val="14"/>
              </w:rPr>
              <w:t> </w:t>
            </w:r>
            <w:r>
              <w:rPr>
                <w:i/>
                <w:sz w:val="14"/>
              </w:rPr>
              <w:t>Ngaïssona</w:t>
            </w:r>
            <w:r>
              <w:rPr>
                <w:sz w:val="14"/>
              </w:rPr>
              <w:t>);</w:t>
            </w:r>
            <w:r>
              <w:rPr>
                <w:spacing w:val="-9"/>
                <w:sz w:val="14"/>
              </w:rPr>
              <w:t> </w:t>
            </w:r>
            <w:r>
              <w:rPr>
                <w:sz w:val="14"/>
              </w:rPr>
              <w:t>Mali</w:t>
            </w:r>
            <w:r>
              <w:rPr>
                <w:spacing w:val="40"/>
                <w:sz w:val="14"/>
              </w:rPr>
              <w:t> </w:t>
            </w:r>
            <w:r>
              <w:rPr>
                <w:sz w:val="14"/>
              </w:rPr>
              <w:t>II (</w:t>
            </w:r>
            <w:r>
              <w:rPr>
                <w:i/>
                <w:sz w:val="14"/>
              </w:rPr>
              <w:t>Al Hassan</w:t>
            </w:r>
            <w:r>
              <w:rPr>
                <w:sz w:val="14"/>
              </w:rPr>
              <w:t>);</w:t>
            </w:r>
            <w:r>
              <w:rPr>
                <w:spacing w:val="40"/>
                <w:sz w:val="14"/>
              </w:rPr>
              <w:t> </w:t>
            </w:r>
            <w:r>
              <w:rPr>
                <w:sz w:val="14"/>
              </w:rPr>
              <w:t>Darfur</w:t>
            </w:r>
            <w:r>
              <w:rPr>
                <w:spacing w:val="-6"/>
                <w:sz w:val="14"/>
              </w:rPr>
              <w:t> </w:t>
            </w:r>
            <w:r>
              <w:rPr>
                <w:sz w:val="14"/>
              </w:rPr>
              <w:t>(</w:t>
            </w:r>
            <w:r>
              <w:rPr>
                <w:i/>
                <w:sz w:val="14"/>
              </w:rPr>
              <w:t>Abd-Al-</w:t>
            </w:r>
            <w:r>
              <w:rPr>
                <w:i/>
                <w:spacing w:val="40"/>
                <w:sz w:val="14"/>
              </w:rPr>
              <w:t> </w:t>
            </w:r>
            <w:r>
              <w:rPr>
                <w:i/>
                <w:sz w:val="14"/>
              </w:rPr>
              <w:t>Rahman</w:t>
            </w:r>
            <w:r>
              <w:rPr>
                <w:sz w:val="14"/>
              </w:rPr>
              <w:t>);</w:t>
            </w:r>
            <w:r>
              <w:rPr>
                <w:spacing w:val="-9"/>
                <w:sz w:val="14"/>
              </w:rPr>
              <w:t> </w:t>
            </w:r>
            <w:r>
              <w:rPr>
                <w:sz w:val="14"/>
              </w:rPr>
              <w:t>Kenya</w:t>
            </w:r>
            <w:r>
              <w:rPr>
                <w:spacing w:val="40"/>
                <w:sz w:val="14"/>
              </w:rPr>
              <w:t> </w:t>
            </w:r>
            <w:r>
              <w:rPr>
                <w:sz w:val="14"/>
              </w:rPr>
              <w:t>art.</w:t>
            </w:r>
            <w:r>
              <w:rPr>
                <w:spacing w:val="-9"/>
                <w:sz w:val="14"/>
              </w:rPr>
              <w:t> </w:t>
            </w:r>
            <w:r>
              <w:rPr>
                <w:sz w:val="14"/>
              </w:rPr>
              <w:t>70</w:t>
            </w:r>
            <w:r>
              <w:rPr>
                <w:spacing w:val="-9"/>
                <w:sz w:val="14"/>
              </w:rPr>
              <w:t> </w:t>
            </w:r>
            <w:r>
              <w:rPr>
                <w:sz w:val="14"/>
              </w:rPr>
              <w:t>(</w:t>
            </w:r>
            <w:r>
              <w:rPr>
                <w:i/>
                <w:sz w:val="14"/>
              </w:rPr>
              <w:t>Gicheru</w:t>
            </w:r>
            <w:r>
              <w:rPr>
                <w:sz w:val="14"/>
              </w:rPr>
              <w:t>);</w:t>
            </w:r>
            <w:r>
              <w:rPr>
                <w:spacing w:val="40"/>
                <w:sz w:val="14"/>
              </w:rPr>
              <w:t> </w:t>
            </w:r>
            <w:r>
              <w:rPr>
                <w:sz w:val="14"/>
              </w:rPr>
              <w:t>and CAR II.a</w:t>
            </w:r>
            <w:r>
              <w:rPr>
                <w:spacing w:val="40"/>
                <w:sz w:val="14"/>
              </w:rPr>
              <w:t> </w:t>
            </w:r>
            <w:r>
              <w:rPr>
                <w:spacing w:val="-2"/>
                <w:sz w:val="14"/>
              </w:rPr>
              <w:t>(</w:t>
            </w:r>
            <w:r>
              <w:rPr>
                <w:i/>
                <w:spacing w:val="-2"/>
                <w:sz w:val="14"/>
              </w:rPr>
              <w:t>Said</w:t>
            </w:r>
            <w:r>
              <w:rPr>
                <w:spacing w:val="-2"/>
                <w:sz w:val="14"/>
              </w:rPr>
              <w:t>)</w:t>
            </w:r>
          </w:p>
        </w:tc>
        <w:tc>
          <w:tcPr>
            <w:tcW w:w="585" w:type="dxa"/>
            <w:tcBorders>
              <w:top w:val="single" w:sz="4" w:space="0" w:color="000000"/>
            </w:tcBorders>
          </w:tcPr>
          <w:p>
            <w:pPr>
              <w:pStyle w:val="TableParagraph"/>
              <w:spacing w:before="61"/>
              <w:ind w:right="17"/>
              <w:jc w:val="center"/>
              <w:rPr>
                <w:sz w:val="14"/>
              </w:rPr>
            </w:pPr>
            <w:r>
              <w:rPr>
                <w:w w:val="99"/>
                <w:sz w:val="14"/>
              </w:rPr>
              <w:t>5</w:t>
            </w:r>
          </w:p>
        </w:tc>
        <w:tc>
          <w:tcPr>
            <w:tcW w:w="1212" w:type="dxa"/>
            <w:tcBorders>
              <w:top w:val="single" w:sz="4" w:space="0" w:color="000000"/>
            </w:tcBorders>
          </w:tcPr>
          <w:p>
            <w:pPr>
              <w:pStyle w:val="TableParagraph"/>
              <w:spacing w:before="61"/>
              <w:ind w:left="13" w:right="51"/>
              <w:jc w:val="left"/>
              <w:rPr>
                <w:sz w:val="14"/>
              </w:rPr>
            </w:pPr>
            <w:r>
              <w:rPr>
                <w:sz w:val="14"/>
              </w:rPr>
              <w:t>CAR II.b (</w:t>
            </w:r>
            <w:r>
              <w:rPr>
                <w:i/>
                <w:sz w:val="14"/>
              </w:rPr>
              <w:t>Yekatom</w:t>
            </w:r>
            <w:r>
              <w:rPr>
                <w:i/>
                <w:spacing w:val="40"/>
                <w:sz w:val="14"/>
              </w:rPr>
              <w:t> </w:t>
            </w:r>
            <w:r>
              <w:rPr>
                <w:i/>
                <w:sz w:val="14"/>
              </w:rPr>
              <w:t>and</w:t>
            </w:r>
            <w:r>
              <w:rPr>
                <w:i/>
                <w:spacing w:val="-4"/>
                <w:sz w:val="14"/>
              </w:rPr>
              <w:t> </w:t>
            </w:r>
            <w:r>
              <w:rPr>
                <w:i/>
                <w:sz w:val="14"/>
              </w:rPr>
              <w:t>Ngaïssona</w:t>
            </w:r>
            <w:r>
              <w:rPr>
                <w:sz w:val="14"/>
              </w:rPr>
              <w:t>);</w:t>
            </w:r>
            <w:r>
              <w:rPr>
                <w:spacing w:val="40"/>
                <w:sz w:val="14"/>
              </w:rPr>
              <w:t> </w:t>
            </w:r>
            <w:r>
              <w:rPr>
                <w:sz w:val="14"/>
              </w:rPr>
              <w:t>Mali</w:t>
            </w:r>
            <w:r>
              <w:rPr>
                <w:spacing w:val="-9"/>
                <w:sz w:val="14"/>
              </w:rPr>
              <w:t> </w:t>
            </w:r>
            <w:r>
              <w:rPr>
                <w:sz w:val="14"/>
              </w:rPr>
              <w:t>II</w:t>
            </w:r>
            <w:r>
              <w:rPr>
                <w:spacing w:val="-9"/>
                <w:sz w:val="14"/>
              </w:rPr>
              <w:t> </w:t>
            </w:r>
            <w:r>
              <w:rPr>
                <w:sz w:val="14"/>
              </w:rPr>
              <w:t>(</w:t>
            </w:r>
            <w:r>
              <w:rPr>
                <w:i/>
                <w:sz w:val="14"/>
              </w:rPr>
              <w:t>Al</w:t>
            </w:r>
            <w:r>
              <w:rPr>
                <w:i/>
                <w:spacing w:val="-9"/>
                <w:sz w:val="14"/>
              </w:rPr>
              <w:t> </w:t>
            </w:r>
            <w:r>
              <w:rPr>
                <w:i/>
                <w:sz w:val="14"/>
              </w:rPr>
              <w:t>Hassan</w:t>
            </w:r>
            <w:r>
              <w:rPr>
                <w:sz w:val="14"/>
              </w:rPr>
              <w:t>);</w:t>
            </w:r>
            <w:r>
              <w:rPr>
                <w:spacing w:val="40"/>
                <w:sz w:val="14"/>
              </w:rPr>
              <w:t> </w:t>
            </w:r>
            <w:r>
              <w:rPr>
                <w:sz w:val="14"/>
              </w:rPr>
              <w:t>Darfur</w:t>
            </w:r>
            <w:r>
              <w:rPr>
                <w:spacing w:val="-4"/>
                <w:sz w:val="14"/>
              </w:rPr>
              <w:t> </w:t>
            </w:r>
            <w:r>
              <w:rPr>
                <w:sz w:val="14"/>
              </w:rPr>
              <w:t>(</w:t>
            </w:r>
            <w:r>
              <w:rPr>
                <w:i/>
                <w:sz w:val="14"/>
              </w:rPr>
              <w:t>Abd-Al-</w:t>
            </w:r>
            <w:r>
              <w:rPr>
                <w:i/>
                <w:spacing w:val="40"/>
                <w:sz w:val="14"/>
              </w:rPr>
              <w:t> </w:t>
            </w:r>
            <w:r>
              <w:rPr>
                <w:i/>
                <w:sz w:val="14"/>
              </w:rPr>
              <w:t>Rahman</w:t>
            </w:r>
            <w:r>
              <w:rPr>
                <w:sz w:val="14"/>
              </w:rPr>
              <w:t>); CAR II.a</w:t>
            </w:r>
            <w:r>
              <w:rPr>
                <w:spacing w:val="40"/>
                <w:sz w:val="14"/>
              </w:rPr>
              <w:t> </w:t>
            </w:r>
            <w:r>
              <w:rPr>
                <w:sz w:val="14"/>
              </w:rPr>
              <w:t>(</w:t>
            </w:r>
            <w:r>
              <w:rPr>
                <w:i/>
                <w:sz w:val="14"/>
              </w:rPr>
              <w:t>Said</w:t>
            </w:r>
            <w:r>
              <w:rPr>
                <w:sz w:val="14"/>
              </w:rPr>
              <w:t>); and Kenya</w:t>
            </w:r>
            <w:r>
              <w:rPr>
                <w:spacing w:val="40"/>
                <w:sz w:val="14"/>
              </w:rPr>
              <w:t> </w:t>
            </w:r>
            <w:r>
              <w:rPr>
                <w:spacing w:val="-2"/>
                <w:sz w:val="14"/>
              </w:rPr>
              <w:t>(</w:t>
            </w:r>
            <w:r>
              <w:rPr>
                <w:i/>
                <w:spacing w:val="-2"/>
                <w:sz w:val="14"/>
              </w:rPr>
              <w:t>Gicheru</w:t>
            </w:r>
            <w:r>
              <w:rPr>
                <w:spacing w:val="-2"/>
                <w:sz w:val="14"/>
              </w:rPr>
              <w:t>)</w:t>
            </w:r>
          </w:p>
        </w:tc>
        <w:tc>
          <w:tcPr>
            <w:tcW w:w="585" w:type="dxa"/>
            <w:tcBorders>
              <w:top w:val="single" w:sz="4" w:space="0" w:color="000000"/>
            </w:tcBorders>
          </w:tcPr>
          <w:p>
            <w:pPr>
              <w:pStyle w:val="TableParagraph"/>
              <w:spacing w:before="61"/>
              <w:ind w:right="1"/>
              <w:jc w:val="center"/>
              <w:rPr>
                <w:sz w:val="14"/>
              </w:rPr>
            </w:pPr>
            <w:r>
              <w:rPr>
                <w:w w:val="99"/>
                <w:sz w:val="14"/>
              </w:rPr>
              <w:t>6</w:t>
            </w:r>
          </w:p>
        </w:tc>
        <w:tc>
          <w:tcPr>
            <w:tcW w:w="1010" w:type="dxa"/>
            <w:tcBorders>
              <w:top w:val="single" w:sz="4" w:space="0" w:color="000000"/>
            </w:tcBorders>
          </w:tcPr>
          <w:p>
            <w:pPr>
              <w:pStyle w:val="TableParagraph"/>
              <w:spacing w:before="61"/>
              <w:ind w:left="17"/>
              <w:jc w:val="left"/>
              <w:rPr>
                <w:sz w:val="14"/>
              </w:rPr>
            </w:pPr>
            <w:r>
              <w:rPr>
                <w:sz w:val="14"/>
              </w:rPr>
              <w:t>CAR</w:t>
            </w:r>
            <w:r>
              <w:rPr>
                <w:spacing w:val="-8"/>
                <w:sz w:val="14"/>
              </w:rPr>
              <w:t> </w:t>
            </w:r>
            <w:r>
              <w:rPr>
                <w:spacing w:val="-4"/>
                <w:sz w:val="14"/>
              </w:rPr>
              <w:t>II.b</w:t>
            </w:r>
          </w:p>
          <w:p>
            <w:pPr>
              <w:pStyle w:val="TableParagraph"/>
              <w:spacing w:line="237" w:lineRule="auto" w:before="4"/>
              <w:ind w:left="17" w:right="5"/>
              <w:jc w:val="left"/>
              <w:rPr>
                <w:sz w:val="14"/>
              </w:rPr>
            </w:pPr>
            <w:r>
              <w:rPr>
                <w:sz w:val="14"/>
              </w:rPr>
              <w:t>(</w:t>
            </w:r>
            <w:r>
              <w:rPr>
                <w:i/>
                <w:sz w:val="14"/>
              </w:rPr>
              <w:t>Yekatom</w:t>
            </w:r>
            <w:r>
              <w:rPr>
                <w:i/>
                <w:spacing w:val="-8"/>
                <w:sz w:val="14"/>
              </w:rPr>
              <w:t> </w:t>
            </w:r>
            <w:r>
              <w:rPr>
                <w:i/>
                <w:sz w:val="14"/>
              </w:rPr>
              <w:t>and</w:t>
            </w:r>
            <w:r>
              <w:rPr>
                <w:i/>
                <w:spacing w:val="40"/>
                <w:sz w:val="14"/>
              </w:rPr>
              <w:t> </w:t>
            </w:r>
            <w:r>
              <w:rPr>
                <w:i/>
                <w:sz w:val="14"/>
              </w:rPr>
              <w:t>Ngaïssona</w:t>
            </w:r>
            <w:r>
              <w:rPr>
                <w:sz w:val="14"/>
              </w:rPr>
              <w:t>);</w:t>
            </w:r>
            <w:r>
              <w:rPr>
                <w:spacing w:val="-9"/>
                <w:sz w:val="14"/>
              </w:rPr>
              <w:t> </w:t>
            </w:r>
            <w:r>
              <w:rPr>
                <w:sz w:val="14"/>
              </w:rPr>
              <w:t>Mali</w:t>
            </w:r>
            <w:r>
              <w:rPr>
                <w:spacing w:val="40"/>
                <w:sz w:val="14"/>
              </w:rPr>
              <w:t> </w:t>
            </w:r>
            <w:r>
              <w:rPr>
                <w:sz w:val="14"/>
              </w:rPr>
              <w:t>II (</w:t>
            </w:r>
            <w:r>
              <w:rPr>
                <w:i/>
                <w:sz w:val="14"/>
              </w:rPr>
              <w:t>Al Hassan</w:t>
            </w:r>
            <w:r>
              <w:rPr>
                <w:sz w:val="14"/>
              </w:rPr>
              <w:t>);</w:t>
            </w:r>
            <w:r>
              <w:rPr>
                <w:spacing w:val="40"/>
                <w:sz w:val="14"/>
              </w:rPr>
              <w:t> </w:t>
            </w:r>
            <w:r>
              <w:rPr>
                <w:sz w:val="14"/>
              </w:rPr>
              <w:t>CAR</w:t>
            </w:r>
            <w:r>
              <w:rPr>
                <w:spacing w:val="-7"/>
                <w:sz w:val="14"/>
              </w:rPr>
              <w:t> </w:t>
            </w:r>
            <w:r>
              <w:rPr>
                <w:sz w:val="14"/>
              </w:rPr>
              <w:t>II.a</w:t>
            </w:r>
            <w:r>
              <w:rPr>
                <w:spacing w:val="-5"/>
                <w:sz w:val="14"/>
              </w:rPr>
              <w:t> </w:t>
            </w:r>
            <w:r>
              <w:rPr>
                <w:spacing w:val="-2"/>
                <w:sz w:val="14"/>
              </w:rPr>
              <w:t>(</w:t>
            </w:r>
            <w:r>
              <w:rPr>
                <w:i/>
                <w:spacing w:val="-2"/>
                <w:sz w:val="14"/>
              </w:rPr>
              <w:t>Said</w:t>
            </w:r>
            <w:r>
              <w:rPr>
                <w:spacing w:val="-2"/>
                <w:sz w:val="14"/>
              </w:rPr>
              <w:t>);</w:t>
            </w:r>
          </w:p>
          <w:p>
            <w:pPr>
              <w:pStyle w:val="TableParagraph"/>
              <w:spacing w:before="4"/>
              <w:ind w:left="17" w:right="29"/>
              <w:jc w:val="left"/>
              <w:rPr>
                <w:sz w:val="14"/>
              </w:rPr>
            </w:pPr>
            <w:r>
              <w:rPr>
                <w:sz w:val="14"/>
              </w:rPr>
              <w:t>Darfur</w:t>
            </w:r>
            <w:r>
              <w:rPr>
                <w:spacing w:val="-6"/>
                <w:sz w:val="14"/>
              </w:rPr>
              <w:t> </w:t>
            </w:r>
            <w:r>
              <w:rPr>
                <w:sz w:val="14"/>
              </w:rPr>
              <w:t>(</w:t>
            </w:r>
            <w:r>
              <w:rPr>
                <w:i/>
                <w:sz w:val="14"/>
              </w:rPr>
              <w:t>Abd-Al-</w:t>
            </w:r>
            <w:r>
              <w:rPr>
                <w:i/>
                <w:spacing w:val="40"/>
                <w:sz w:val="14"/>
              </w:rPr>
              <w:t> </w:t>
            </w:r>
            <w:r>
              <w:rPr>
                <w:i/>
                <w:sz w:val="14"/>
              </w:rPr>
              <w:t>Rahman</w:t>
            </w:r>
            <w:r>
              <w:rPr>
                <w:sz w:val="14"/>
              </w:rPr>
              <w:t>);</w:t>
            </w:r>
            <w:r>
              <w:rPr>
                <w:spacing w:val="-9"/>
                <w:sz w:val="14"/>
              </w:rPr>
              <w:t> </w:t>
            </w:r>
            <w:r>
              <w:rPr>
                <w:sz w:val="14"/>
              </w:rPr>
              <w:t>Kenya</w:t>
            </w:r>
            <w:r>
              <w:rPr>
                <w:spacing w:val="40"/>
                <w:sz w:val="14"/>
              </w:rPr>
              <w:t> </w:t>
            </w:r>
            <w:r>
              <w:rPr>
                <w:sz w:val="14"/>
              </w:rPr>
              <w:t>(</w:t>
            </w:r>
            <w:r>
              <w:rPr>
                <w:i/>
                <w:sz w:val="14"/>
              </w:rPr>
              <w:t>Gicheru</w:t>
            </w:r>
            <w:r>
              <w:rPr>
                <w:sz w:val="14"/>
              </w:rPr>
              <w:t>);</w:t>
            </w:r>
            <w:r>
              <w:rPr>
                <w:spacing w:val="-9"/>
                <w:sz w:val="14"/>
              </w:rPr>
              <w:t> </w:t>
            </w:r>
            <w:r>
              <w:rPr>
                <w:sz w:val="14"/>
              </w:rPr>
              <w:t>and</w:t>
            </w:r>
            <w:r>
              <w:rPr>
                <w:spacing w:val="40"/>
                <w:sz w:val="14"/>
              </w:rPr>
              <w:t> </w:t>
            </w:r>
            <w:r>
              <w:rPr>
                <w:sz w:val="14"/>
              </w:rPr>
              <w:t>CAR</w:t>
            </w:r>
            <w:r>
              <w:rPr>
                <w:spacing w:val="-9"/>
                <w:sz w:val="14"/>
              </w:rPr>
              <w:t> </w:t>
            </w:r>
            <w:r>
              <w:rPr>
                <w:sz w:val="14"/>
              </w:rPr>
              <w:t>II.b</w:t>
            </w:r>
          </w:p>
          <w:p>
            <w:pPr>
              <w:pStyle w:val="TableParagraph"/>
              <w:spacing w:line="160" w:lineRule="exact"/>
              <w:ind w:left="17"/>
              <w:jc w:val="left"/>
              <w:rPr>
                <w:sz w:val="14"/>
              </w:rPr>
            </w:pPr>
            <w:r>
              <w:rPr>
                <w:spacing w:val="-2"/>
                <w:sz w:val="14"/>
              </w:rPr>
              <w:t>(</w:t>
            </w:r>
            <w:r>
              <w:rPr>
                <w:i/>
                <w:spacing w:val="-2"/>
                <w:sz w:val="14"/>
              </w:rPr>
              <w:t>Mokom</w:t>
            </w:r>
            <w:r>
              <w:rPr>
                <w:spacing w:val="-2"/>
                <w:sz w:val="14"/>
              </w:rPr>
              <w:t>)</w:t>
            </w:r>
          </w:p>
        </w:tc>
      </w:tr>
      <w:tr>
        <w:trPr>
          <w:trHeight w:val="2370" w:hRule="atLeast"/>
        </w:trPr>
        <w:tc>
          <w:tcPr>
            <w:tcW w:w="189" w:type="dxa"/>
            <w:tcBorders>
              <w:bottom w:val="single" w:sz="4" w:space="0" w:color="000000"/>
            </w:tcBorders>
          </w:tcPr>
          <w:p>
            <w:pPr>
              <w:pStyle w:val="TableParagraph"/>
              <w:spacing w:before="60"/>
              <w:ind w:left="14"/>
              <w:jc w:val="left"/>
              <w:rPr>
                <w:sz w:val="14"/>
              </w:rPr>
            </w:pPr>
            <w:r>
              <w:rPr>
                <w:w w:val="99"/>
                <w:sz w:val="14"/>
              </w:rPr>
              <w:t>8</w:t>
            </w:r>
          </w:p>
        </w:tc>
        <w:tc>
          <w:tcPr>
            <w:tcW w:w="787" w:type="dxa"/>
            <w:tcBorders>
              <w:bottom w:val="single" w:sz="4" w:space="0" w:color="000000"/>
            </w:tcBorders>
          </w:tcPr>
          <w:p>
            <w:pPr>
              <w:pStyle w:val="TableParagraph"/>
              <w:spacing w:line="237" w:lineRule="auto" w:before="62"/>
              <w:ind w:left="104" w:right="61"/>
              <w:jc w:val="left"/>
              <w:rPr>
                <w:sz w:val="14"/>
              </w:rPr>
            </w:pPr>
            <w:r>
              <w:rPr>
                <w:sz w:val="14"/>
              </w:rPr>
              <w:t>Number</w:t>
            </w:r>
            <w:r>
              <w:rPr>
                <w:spacing w:val="-9"/>
                <w:sz w:val="14"/>
              </w:rPr>
              <w:t> </w:t>
            </w:r>
            <w:r>
              <w:rPr>
                <w:sz w:val="14"/>
              </w:rPr>
              <w:t>of</w:t>
            </w:r>
            <w:r>
              <w:rPr>
                <w:spacing w:val="40"/>
                <w:sz w:val="14"/>
              </w:rPr>
              <w:t> </w:t>
            </w:r>
            <w:r>
              <w:rPr>
                <w:spacing w:val="-2"/>
                <w:sz w:val="14"/>
              </w:rPr>
              <w:t>Registry</w:t>
            </w:r>
            <w:r>
              <w:rPr>
                <w:spacing w:val="40"/>
                <w:sz w:val="14"/>
              </w:rPr>
              <w:t> </w:t>
            </w:r>
            <w:r>
              <w:rPr>
                <w:spacing w:val="-2"/>
                <w:sz w:val="14"/>
              </w:rPr>
              <w:t>courtroom</w:t>
            </w:r>
            <w:r>
              <w:rPr>
                <w:spacing w:val="40"/>
                <w:sz w:val="14"/>
              </w:rPr>
              <w:t> </w:t>
            </w:r>
            <w:r>
              <w:rPr>
                <w:spacing w:val="-2"/>
                <w:sz w:val="14"/>
              </w:rPr>
              <w:t>support</w:t>
            </w:r>
            <w:r>
              <w:rPr>
                <w:spacing w:val="40"/>
                <w:sz w:val="14"/>
              </w:rPr>
              <w:t> </w:t>
            </w:r>
            <w:r>
              <w:rPr>
                <w:spacing w:val="-2"/>
                <w:sz w:val="14"/>
              </w:rPr>
              <w:t>teams</w:t>
            </w:r>
          </w:p>
        </w:tc>
        <w:tc>
          <w:tcPr>
            <w:tcW w:w="592" w:type="dxa"/>
            <w:tcBorders>
              <w:bottom w:val="single" w:sz="4" w:space="0" w:color="000000"/>
            </w:tcBorders>
          </w:tcPr>
          <w:p>
            <w:pPr>
              <w:pStyle w:val="TableParagraph"/>
              <w:spacing w:before="60"/>
              <w:ind w:left="13"/>
              <w:jc w:val="center"/>
              <w:rPr>
                <w:sz w:val="14"/>
              </w:rPr>
            </w:pPr>
            <w:r>
              <w:rPr>
                <w:w w:val="99"/>
                <w:sz w:val="14"/>
              </w:rPr>
              <w:t>2</w:t>
            </w:r>
          </w:p>
        </w:tc>
        <w:tc>
          <w:tcPr>
            <w:tcW w:w="476" w:type="dxa"/>
            <w:tcBorders>
              <w:bottom w:val="single" w:sz="4" w:space="0" w:color="000000"/>
            </w:tcBorders>
          </w:tcPr>
          <w:p>
            <w:pPr>
              <w:pStyle w:val="TableParagraph"/>
              <w:spacing w:before="59"/>
              <w:ind w:left="34" w:right="7"/>
              <w:jc w:val="center"/>
              <w:rPr>
                <w:sz w:val="9"/>
              </w:rPr>
            </w:pPr>
            <w:r>
              <w:rPr>
                <w:spacing w:val="-5"/>
                <w:position w:val="-4"/>
                <w:sz w:val="14"/>
              </w:rPr>
              <w:t>1</w:t>
            </w:r>
            <w:r>
              <w:rPr>
                <w:spacing w:val="-5"/>
                <w:sz w:val="9"/>
              </w:rPr>
              <w:t>+</w:t>
            </w:r>
          </w:p>
        </w:tc>
        <w:tc>
          <w:tcPr>
            <w:tcW w:w="1140" w:type="dxa"/>
            <w:tcBorders>
              <w:bottom w:val="single" w:sz="4" w:space="0" w:color="000000"/>
            </w:tcBorders>
          </w:tcPr>
          <w:p>
            <w:pPr>
              <w:pStyle w:val="TableParagraph"/>
              <w:spacing w:line="237" w:lineRule="auto" w:before="62"/>
              <w:ind w:left="11" w:right="49"/>
              <w:jc w:val="left"/>
              <w:rPr>
                <w:sz w:val="14"/>
              </w:rPr>
            </w:pPr>
            <w:r>
              <w:rPr>
                <w:sz w:val="14"/>
              </w:rPr>
              <w:t>In the light of</w:t>
            </w:r>
            <w:r>
              <w:rPr>
                <w:spacing w:val="40"/>
                <w:sz w:val="14"/>
              </w:rPr>
              <w:t> </w:t>
            </w:r>
            <w:r>
              <w:rPr>
                <w:sz w:val="14"/>
              </w:rPr>
              <w:t>reduced</w:t>
            </w:r>
            <w:r>
              <w:rPr>
                <w:spacing w:val="-6"/>
                <w:sz w:val="14"/>
              </w:rPr>
              <w:t> </w:t>
            </w:r>
            <w:r>
              <w:rPr>
                <w:sz w:val="14"/>
              </w:rPr>
              <w:t>judicial</w:t>
            </w:r>
            <w:r>
              <w:rPr>
                <w:spacing w:val="40"/>
                <w:sz w:val="14"/>
              </w:rPr>
              <w:t> </w:t>
            </w:r>
            <w:r>
              <w:rPr>
                <w:sz w:val="14"/>
              </w:rPr>
              <w:t>activities,</w:t>
            </w:r>
            <w:r>
              <w:rPr>
                <w:spacing w:val="-9"/>
                <w:sz w:val="14"/>
              </w:rPr>
              <w:t> </w:t>
            </w:r>
            <w:r>
              <w:rPr>
                <w:sz w:val="14"/>
              </w:rPr>
              <w:t>fewer</w:t>
            </w:r>
            <w:r>
              <w:rPr>
                <w:spacing w:val="40"/>
                <w:sz w:val="14"/>
              </w:rPr>
              <w:t> </w:t>
            </w:r>
            <w:r>
              <w:rPr>
                <w:sz w:val="14"/>
              </w:rPr>
              <w:t>than 2 courtroom</w:t>
            </w:r>
            <w:r>
              <w:rPr>
                <w:spacing w:val="40"/>
                <w:sz w:val="14"/>
              </w:rPr>
              <w:t> </w:t>
            </w:r>
            <w:r>
              <w:rPr>
                <w:sz w:val="14"/>
              </w:rPr>
              <w:t>teams</w:t>
            </w:r>
            <w:r>
              <w:rPr>
                <w:spacing w:val="-9"/>
                <w:sz w:val="14"/>
              </w:rPr>
              <w:t> </w:t>
            </w:r>
            <w:r>
              <w:rPr>
                <w:sz w:val="14"/>
              </w:rPr>
              <w:t>were</w:t>
            </w:r>
            <w:r>
              <w:rPr>
                <w:spacing w:val="40"/>
                <w:sz w:val="14"/>
              </w:rPr>
              <w:t> </w:t>
            </w:r>
            <w:r>
              <w:rPr>
                <w:sz w:val="14"/>
              </w:rPr>
              <w:t>required</w:t>
            </w:r>
            <w:r>
              <w:rPr>
                <w:spacing w:val="-9"/>
                <w:sz w:val="14"/>
              </w:rPr>
              <w:t> </w:t>
            </w:r>
            <w:r>
              <w:rPr>
                <w:sz w:val="14"/>
              </w:rPr>
              <w:t>to</w:t>
            </w:r>
            <w:r>
              <w:rPr>
                <w:spacing w:val="-9"/>
                <w:sz w:val="14"/>
              </w:rPr>
              <w:t> </w:t>
            </w:r>
            <w:r>
              <w:rPr>
                <w:sz w:val="14"/>
              </w:rPr>
              <w:t>provide</w:t>
            </w:r>
            <w:r>
              <w:rPr>
                <w:spacing w:val="40"/>
                <w:sz w:val="14"/>
              </w:rPr>
              <w:t> </w:t>
            </w:r>
            <w:r>
              <w:rPr>
                <w:spacing w:val="-2"/>
                <w:sz w:val="14"/>
              </w:rPr>
              <w:t>support</w:t>
            </w:r>
          </w:p>
        </w:tc>
        <w:tc>
          <w:tcPr>
            <w:tcW w:w="620" w:type="dxa"/>
            <w:tcBorders>
              <w:bottom w:val="single" w:sz="4" w:space="0" w:color="000000"/>
            </w:tcBorders>
          </w:tcPr>
          <w:p>
            <w:pPr>
              <w:pStyle w:val="TableParagraph"/>
              <w:spacing w:before="60"/>
              <w:ind w:right="30"/>
              <w:jc w:val="center"/>
              <w:rPr>
                <w:sz w:val="14"/>
              </w:rPr>
            </w:pPr>
            <w:r>
              <w:rPr>
                <w:w w:val="99"/>
                <w:sz w:val="14"/>
              </w:rPr>
              <w:t>1</w:t>
            </w:r>
          </w:p>
        </w:tc>
        <w:tc>
          <w:tcPr>
            <w:tcW w:w="512" w:type="dxa"/>
            <w:tcBorders>
              <w:bottom w:val="single" w:sz="4" w:space="0" w:color="000000"/>
            </w:tcBorders>
          </w:tcPr>
          <w:p>
            <w:pPr>
              <w:pStyle w:val="TableParagraph"/>
              <w:spacing w:before="60"/>
              <w:ind w:left="8"/>
              <w:jc w:val="center"/>
              <w:rPr>
                <w:sz w:val="14"/>
              </w:rPr>
            </w:pPr>
            <w:r>
              <w:rPr>
                <w:w w:val="99"/>
                <w:sz w:val="14"/>
              </w:rPr>
              <w:t>1</w:t>
            </w:r>
          </w:p>
        </w:tc>
        <w:tc>
          <w:tcPr>
            <w:tcW w:w="966" w:type="dxa"/>
            <w:tcBorders>
              <w:bottom w:val="single" w:sz="4" w:space="0" w:color="000000"/>
            </w:tcBorders>
          </w:tcPr>
          <w:p>
            <w:pPr>
              <w:pStyle w:val="TableParagraph"/>
              <w:jc w:val="left"/>
              <w:rPr>
                <w:sz w:val="14"/>
              </w:rPr>
            </w:pPr>
          </w:p>
        </w:tc>
        <w:tc>
          <w:tcPr>
            <w:tcW w:w="603" w:type="dxa"/>
            <w:tcBorders>
              <w:bottom w:val="single" w:sz="4" w:space="0" w:color="000000"/>
            </w:tcBorders>
          </w:tcPr>
          <w:p>
            <w:pPr>
              <w:pStyle w:val="TableParagraph"/>
              <w:spacing w:before="60"/>
              <w:ind w:right="21"/>
              <w:jc w:val="center"/>
              <w:rPr>
                <w:sz w:val="14"/>
              </w:rPr>
            </w:pPr>
            <w:r>
              <w:rPr>
                <w:w w:val="99"/>
                <w:sz w:val="14"/>
              </w:rPr>
              <w:t>1</w:t>
            </w:r>
          </w:p>
        </w:tc>
        <w:tc>
          <w:tcPr>
            <w:tcW w:w="475" w:type="dxa"/>
            <w:tcBorders>
              <w:bottom w:val="single" w:sz="4" w:space="0" w:color="000000"/>
            </w:tcBorders>
          </w:tcPr>
          <w:p>
            <w:pPr>
              <w:pStyle w:val="TableParagraph"/>
              <w:spacing w:before="60"/>
              <w:ind w:left="7"/>
              <w:jc w:val="center"/>
              <w:rPr>
                <w:sz w:val="14"/>
              </w:rPr>
            </w:pPr>
            <w:r>
              <w:rPr>
                <w:w w:val="95"/>
                <w:sz w:val="14"/>
              </w:rPr>
              <w:t>1-</w:t>
            </w:r>
            <w:r>
              <w:rPr>
                <w:spacing w:val="-10"/>
                <w:sz w:val="14"/>
              </w:rPr>
              <w:t>2</w:t>
            </w:r>
          </w:p>
        </w:tc>
        <w:tc>
          <w:tcPr>
            <w:tcW w:w="1042" w:type="dxa"/>
            <w:tcBorders>
              <w:bottom w:val="single" w:sz="4" w:space="0" w:color="000000"/>
            </w:tcBorders>
          </w:tcPr>
          <w:p>
            <w:pPr>
              <w:pStyle w:val="TableParagraph"/>
              <w:spacing w:before="60"/>
              <w:ind w:left="7" w:right="29"/>
              <w:jc w:val="left"/>
              <w:rPr>
                <w:sz w:val="14"/>
              </w:rPr>
            </w:pPr>
            <w:r>
              <w:rPr>
                <w:spacing w:val="-2"/>
                <w:sz w:val="14"/>
              </w:rPr>
              <w:t>Expedited</w:t>
            </w:r>
            <w:r>
              <w:rPr>
                <w:spacing w:val="40"/>
                <w:sz w:val="14"/>
              </w:rPr>
              <w:t> </w:t>
            </w:r>
            <w:r>
              <w:rPr>
                <w:spacing w:val="-2"/>
                <w:sz w:val="14"/>
              </w:rPr>
              <w:t>recruitments</w:t>
            </w:r>
            <w:r>
              <w:rPr>
                <w:spacing w:val="80"/>
                <w:sz w:val="14"/>
              </w:rPr>
              <w:t> </w:t>
            </w:r>
            <w:r>
              <w:rPr>
                <w:sz w:val="14"/>
              </w:rPr>
              <w:t>were</w:t>
            </w:r>
            <w:r>
              <w:rPr>
                <w:spacing w:val="-9"/>
                <w:sz w:val="14"/>
              </w:rPr>
              <w:t> </w:t>
            </w:r>
            <w:r>
              <w:rPr>
                <w:sz w:val="14"/>
              </w:rPr>
              <w:t>conducted</w:t>
            </w:r>
            <w:r>
              <w:rPr>
                <w:spacing w:val="40"/>
                <w:sz w:val="14"/>
              </w:rPr>
              <w:t> </w:t>
            </w:r>
            <w:r>
              <w:rPr>
                <w:sz w:val="14"/>
              </w:rPr>
              <w:t>to ensure a</w:t>
            </w:r>
            <w:r>
              <w:rPr>
                <w:spacing w:val="40"/>
                <w:sz w:val="14"/>
              </w:rPr>
              <w:t> </w:t>
            </w:r>
            <w:r>
              <w:rPr>
                <w:spacing w:val="-2"/>
                <w:sz w:val="14"/>
              </w:rPr>
              <w:t>second</w:t>
            </w:r>
            <w:r>
              <w:rPr>
                <w:spacing w:val="80"/>
                <w:sz w:val="14"/>
              </w:rPr>
              <w:t> </w:t>
            </w:r>
            <w:r>
              <w:rPr>
                <w:sz w:val="14"/>
              </w:rPr>
              <w:t>courtroom</w:t>
            </w:r>
            <w:r>
              <w:rPr>
                <w:spacing w:val="-6"/>
                <w:sz w:val="14"/>
              </w:rPr>
              <w:t> </w:t>
            </w:r>
            <w:r>
              <w:rPr>
                <w:sz w:val="14"/>
              </w:rPr>
              <w:t>team</w:t>
            </w:r>
            <w:r>
              <w:rPr>
                <w:spacing w:val="40"/>
                <w:sz w:val="14"/>
              </w:rPr>
              <w:t> </w:t>
            </w:r>
            <w:r>
              <w:rPr>
                <w:sz w:val="14"/>
              </w:rPr>
              <w:t>to</w:t>
            </w:r>
            <w:r>
              <w:rPr>
                <w:spacing w:val="-6"/>
                <w:sz w:val="14"/>
              </w:rPr>
              <w:t> </w:t>
            </w:r>
            <w:r>
              <w:rPr>
                <w:sz w:val="14"/>
              </w:rPr>
              <w:t>support</w:t>
            </w:r>
            <w:r>
              <w:rPr>
                <w:spacing w:val="40"/>
                <w:sz w:val="14"/>
              </w:rPr>
              <w:t> </w:t>
            </w:r>
            <w:r>
              <w:rPr>
                <w:spacing w:val="-2"/>
                <w:sz w:val="14"/>
              </w:rPr>
              <w:t>simultaneous</w:t>
            </w:r>
            <w:r>
              <w:rPr>
                <w:spacing w:val="40"/>
                <w:sz w:val="14"/>
              </w:rPr>
              <w:t> </w:t>
            </w:r>
            <w:r>
              <w:rPr>
                <w:sz w:val="14"/>
              </w:rPr>
              <w:t>hearings,</w:t>
            </w:r>
            <w:r>
              <w:rPr>
                <w:spacing w:val="-9"/>
                <w:sz w:val="14"/>
              </w:rPr>
              <w:t> </w:t>
            </w:r>
            <w:r>
              <w:rPr>
                <w:sz w:val="14"/>
              </w:rPr>
              <w:t>whereas</w:t>
            </w:r>
            <w:r>
              <w:rPr>
                <w:spacing w:val="40"/>
                <w:sz w:val="14"/>
              </w:rPr>
              <w:t> </w:t>
            </w:r>
            <w:r>
              <w:rPr>
                <w:sz w:val="14"/>
              </w:rPr>
              <w:t>the</w:t>
            </w:r>
            <w:r>
              <w:rPr>
                <w:spacing w:val="-9"/>
                <w:sz w:val="14"/>
              </w:rPr>
              <w:t> </w:t>
            </w:r>
            <w:r>
              <w:rPr>
                <w:sz w:val="14"/>
              </w:rPr>
              <w:t>approved</w:t>
            </w:r>
            <w:r>
              <w:rPr>
                <w:spacing w:val="40"/>
                <w:sz w:val="14"/>
              </w:rPr>
              <w:t> </w:t>
            </w:r>
            <w:r>
              <w:rPr>
                <w:sz w:val="14"/>
              </w:rPr>
              <w:t>budget</w:t>
            </w:r>
            <w:r>
              <w:rPr>
                <w:spacing w:val="-9"/>
                <w:sz w:val="14"/>
              </w:rPr>
              <w:t> </w:t>
            </w:r>
            <w:r>
              <w:rPr>
                <w:sz w:val="14"/>
              </w:rPr>
              <w:t>covered</w:t>
            </w:r>
            <w:r>
              <w:rPr>
                <w:spacing w:val="40"/>
                <w:sz w:val="14"/>
              </w:rPr>
              <w:t> </w:t>
            </w:r>
            <w:r>
              <w:rPr>
                <w:spacing w:val="-2"/>
                <w:sz w:val="14"/>
              </w:rPr>
              <w:t>consecutive</w:t>
            </w:r>
            <w:r>
              <w:rPr>
                <w:spacing w:val="40"/>
                <w:sz w:val="14"/>
              </w:rPr>
              <w:t> </w:t>
            </w:r>
            <w:r>
              <w:rPr>
                <w:sz w:val="14"/>
              </w:rPr>
              <w:t>hearings</w:t>
            </w:r>
            <w:r>
              <w:rPr>
                <w:spacing w:val="-9"/>
                <w:sz w:val="14"/>
              </w:rPr>
              <w:t> </w:t>
            </w:r>
            <w:r>
              <w:rPr>
                <w:sz w:val="14"/>
              </w:rPr>
              <w:t>with</w:t>
            </w:r>
            <w:r>
              <w:rPr>
                <w:spacing w:val="40"/>
                <w:sz w:val="14"/>
              </w:rPr>
              <w:t> </w:t>
            </w:r>
            <w:r>
              <w:rPr>
                <w:sz w:val="14"/>
              </w:rPr>
              <w:t>only 1 team</w:t>
            </w:r>
          </w:p>
        </w:tc>
        <w:tc>
          <w:tcPr>
            <w:tcW w:w="585" w:type="dxa"/>
            <w:tcBorders>
              <w:bottom w:val="single" w:sz="4" w:space="0" w:color="000000"/>
            </w:tcBorders>
          </w:tcPr>
          <w:p>
            <w:pPr>
              <w:pStyle w:val="TableParagraph"/>
              <w:spacing w:before="60"/>
              <w:ind w:left="2" w:right="10"/>
              <w:jc w:val="center"/>
              <w:rPr>
                <w:sz w:val="14"/>
              </w:rPr>
            </w:pPr>
            <w:r>
              <w:rPr>
                <w:spacing w:val="-5"/>
                <w:sz w:val="14"/>
              </w:rPr>
              <w:t>2.5</w:t>
            </w:r>
          </w:p>
        </w:tc>
        <w:tc>
          <w:tcPr>
            <w:tcW w:w="1212" w:type="dxa"/>
            <w:tcBorders>
              <w:bottom w:val="single" w:sz="4" w:space="0" w:color="000000"/>
            </w:tcBorders>
          </w:tcPr>
          <w:p>
            <w:pPr>
              <w:pStyle w:val="TableParagraph"/>
              <w:jc w:val="left"/>
              <w:rPr>
                <w:sz w:val="14"/>
              </w:rPr>
            </w:pPr>
          </w:p>
        </w:tc>
        <w:tc>
          <w:tcPr>
            <w:tcW w:w="585" w:type="dxa"/>
            <w:tcBorders>
              <w:bottom w:val="single" w:sz="4" w:space="0" w:color="000000"/>
            </w:tcBorders>
          </w:tcPr>
          <w:p>
            <w:pPr>
              <w:pStyle w:val="TableParagraph"/>
              <w:spacing w:before="60"/>
              <w:ind w:right="1"/>
              <w:jc w:val="center"/>
              <w:rPr>
                <w:sz w:val="14"/>
              </w:rPr>
            </w:pPr>
            <w:r>
              <w:rPr>
                <w:w w:val="99"/>
                <w:sz w:val="14"/>
              </w:rPr>
              <w:t>3</w:t>
            </w:r>
          </w:p>
        </w:tc>
        <w:tc>
          <w:tcPr>
            <w:tcW w:w="1010" w:type="dxa"/>
            <w:tcBorders>
              <w:bottom w:val="single" w:sz="4" w:space="0" w:color="000000"/>
            </w:tcBorders>
          </w:tcPr>
          <w:p>
            <w:pPr>
              <w:pStyle w:val="TableParagraph"/>
              <w:jc w:val="left"/>
              <w:rPr>
                <w:sz w:val="14"/>
              </w:rPr>
            </w:pPr>
          </w:p>
        </w:tc>
      </w:tr>
    </w:tbl>
    <w:p>
      <w:pPr>
        <w:pStyle w:val="BodyText"/>
        <w:spacing w:before="9"/>
      </w:pPr>
      <w:r>
        <w:rPr/>
        <w:pict>
          <v:rect style="position:absolute;margin-left:113.330002pt;margin-top:13.16998pt;width:144.050pt;height:.48004pt;mso-position-horizontal-relative:page;mso-position-vertical-relative:paragraph;z-index:-15666688;mso-wrap-distance-left:0;mso-wrap-distance-right:0" id="docshape516" filled="true" fillcolor="#000000" stroked="false">
            <v:fill type="solid"/>
            <w10:wrap type="topAndBottom"/>
          </v:rect>
        </w:pict>
      </w:r>
    </w:p>
    <w:p>
      <w:pPr>
        <w:spacing w:before="86"/>
        <w:ind w:left="2246" w:right="2247" w:firstLine="0"/>
        <w:jc w:val="both"/>
        <w:rPr>
          <w:sz w:val="16"/>
        </w:rPr>
      </w:pPr>
      <w:r>
        <w:rPr>
          <w:position w:val="5"/>
          <w:sz w:val="10"/>
        </w:rPr>
        <w:t>162</w:t>
      </w:r>
      <w:r>
        <w:rPr>
          <w:spacing w:val="21"/>
          <w:position w:val="5"/>
          <w:sz w:val="10"/>
        </w:rPr>
        <w:t> </w:t>
      </w:r>
      <w:r>
        <w:rPr>
          <w:sz w:val="16"/>
        </w:rPr>
        <w:t>Ali Muhammad Ali Abd-Al-Rahman was transferred to the Court’s custody on 9 June 2020 after surrendering</w:t>
      </w:r>
      <w:r>
        <w:rPr>
          <w:spacing w:val="40"/>
          <w:sz w:val="16"/>
        </w:rPr>
        <w:t> </w:t>
      </w:r>
      <w:r>
        <w:rPr>
          <w:sz w:val="16"/>
        </w:rPr>
        <w:t>himself voluntarily in the Central African Republic.</w:t>
      </w:r>
    </w:p>
    <w:p>
      <w:pPr>
        <w:spacing w:line="240" w:lineRule="auto" w:before="1"/>
        <w:ind w:left="2246" w:right="2240" w:firstLine="0"/>
        <w:jc w:val="both"/>
        <w:rPr>
          <w:sz w:val="16"/>
        </w:rPr>
      </w:pPr>
      <w:r>
        <w:rPr>
          <w:position w:val="5"/>
          <w:sz w:val="10"/>
        </w:rPr>
        <w:t>163</w:t>
      </w:r>
      <w:r>
        <w:rPr>
          <w:spacing w:val="14"/>
          <w:position w:val="5"/>
          <w:sz w:val="10"/>
        </w:rPr>
        <w:t> </w:t>
      </w:r>
      <w:r>
        <w:rPr>
          <w:sz w:val="16"/>
        </w:rPr>
        <w:t>On</w:t>
      </w:r>
      <w:r>
        <w:rPr>
          <w:spacing w:val="-1"/>
          <w:sz w:val="16"/>
        </w:rPr>
        <w:t> </w:t>
      </w:r>
      <w:r>
        <w:rPr>
          <w:sz w:val="16"/>
        </w:rPr>
        <w:t>2</w:t>
      </w:r>
      <w:r>
        <w:rPr>
          <w:spacing w:val="-1"/>
          <w:sz w:val="16"/>
        </w:rPr>
        <w:t> </w:t>
      </w:r>
      <w:r>
        <w:rPr>
          <w:sz w:val="16"/>
        </w:rPr>
        <w:t>November</w:t>
      </w:r>
      <w:r>
        <w:rPr>
          <w:spacing w:val="-3"/>
          <w:sz w:val="16"/>
        </w:rPr>
        <w:t> </w:t>
      </w:r>
      <w:r>
        <w:rPr>
          <w:sz w:val="16"/>
        </w:rPr>
        <w:t>2020,</w:t>
      </w:r>
      <w:r>
        <w:rPr>
          <w:spacing w:val="-4"/>
          <w:sz w:val="16"/>
        </w:rPr>
        <w:t> </w:t>
      </w:r>
      <w:r>
        <w:rPr>
          <w:sz w:val="16"/>
        </w:rPr>
        <w:t>Paul</w:t>
      </w:r>
      <w:r>
        <w:rPr>
          <w:spacing w:val="-4"/>
          <w:sz w:val="16"/>
        </w:rPr>
        <w:t> </w:t>
      </w:r>
      <w:r>
        <w:rPr>
          <w:sz w:val="16"/>
        </w:rPr>
        <w:t>Gicheru</w:t>
      </w:r>
      <w:r>
        <w:rPr>
          <w:spacing w:val="-1"/>
          <w:sz w:val="16"/>
        </w:rPr>
        <w:t> </w:t>
      </w:r>
      <w:r>
        <w:rPr>
          <w:sz w:val="16"/>
        </w:rPr>
        <w:t>surrendered</w:t>
      </w:r>
      <w:r>
        <w:rPr>
          <w:spacing w:val="-1"/>
          <w:sz w:val="16"/>
        </w:rPr>
        <w:t> </w:t>
      </w:r>
      <w:r>
        <w:rPr>
          <w:sz w:val="16"/>
        </w:rPr>
        <w:t>to</w:t>
      </w:r>
      <w:r>
        <w:rPr>
          <w:spacing w:val="-1"/>
          <w:sz w:val="16"/>
        </w:rPr>
        <w:t> </w:t>
      </w:r>
      <w:r>
        <w:rPr>
          <w:sz w:val="16"/>
        </w:rPr>
        <w:t>the</w:t>
      </w:r>
      <w:r>
        <w:rPr>
          <w:spacing w:val="-2"/>
          <w:sz w:val="16"/>
        </w:rPr>
        <w:t> </w:t>
      </w:r>
      <w:r>
        <w:rPr>
          <w:sz w:val="16"/>
        </w:rPr>
        <w:t>authorities</w:t>
      </w:r>
      <w:r>
        <w:rPr>
          <w:spacing w:val="-3"/>
          <w:sz w:val="16"/>
        </w:rPr>
        <w:t> </w:t>
      </w:r>
      <w:r>
        <w:rPr>
          <w:sz w:val="16"/>
        </w:rPr>
        <w:t>of the</w:t>
      </w:r>
      <w:r>
        <w:rPr>
          <w:spacing w:val="-2"/>
          <w:sz w:val="16"/>
        </w:rPr>
        <w:t> </w:t>
      </w:r>
      <w:r>
        <w:rPr>
          <w:sz w:val="16"/>
        </w:rPr>
        <w:t>Netherlands</w:t>
      </w:r>
      <w:r>
        <w:rPr>
          <w:spacing w:val="-3"/>
          <w:sz w:val="16"/>
        </w:rPr>
        <w:t> </w:t>
      </w:r>
      <w:r>
        <w:rPr>
          <w:sz w:val="16"/>
        </w:rPr>
        <w:t>pursuant</w:t>
      </w:r>
      <w:r>
        <w:rPr>
          <w:spacing w:val="-4"/>
          <w:sz w:val="16"/>
        </w:rPr>
        <w:t> </w:t>
      </w:r>
      <w:r>
        <w:rPr>
          <w:sz w:val="16"/>
        </w:rPr>
        <w:t>to</w:t>
      </w:r>
      <w:r>
        <w:rPr>
          <w:spacing w:val="-1"/>
          <w:sz w:val="16"/>
        </w:rPr>
        <w:t> </w:t>
      </w:r>
      <w:r>
        <w:rPr>
          <w:sz w:val="16"/>
        </w:rPr>
        <w:t>this</w:t>
      </w:r>
      <w:r>
        <w:rPr>
          <w:spacing w:val="-3"/>
          <w:sz w:val="16"/>
        </w:rPr>
        <w:t> </w:t>
      </w:r>
      <w:r>
        <w:rPr>
          <w:sz w:val="16"/>
        </w:rPr>
        <w:t>warrant</w:t>
      </w:r>
      <w:r>
        <w:rPr>
          <w:spacing w:val="-3"/>
          <w:sz w:val="16"/>
        </w:rPr>
        <w:t> </w:t>
      </w:r>
      <w:r>
        <w:rPr>
          <w:sz w:val="16"/>
        </w:rPr>
        <w:t>of</w:t>
      </w:r>
      <w:r>
        <w:rPr>
          <w:spacing w:val="40"/>
          <w:sz w:val="16"/>
        </w:rPr>
        <w:t> </w:t>
      </w:r>
      <w:r>
        <w:rPr>
          <w:sz w:val="16"/>
        </w:rPr>
        <w:t>arrest for offences against the administration of justice consisting in corruptly influencing witnesses of the Court.</w:t>
      </w:r>
      <w:r>
        <w:rPr>
          <w:spacing w:val="40"/>
          <w:sz w:val="16"/>
        </w:rPr>
        <w:t> </w:t>
      </w:r>
      <w:r>
        <w:rPr>
          <w:sz w:val="16"/>
        </w:rPr>
        <w:t>On 3 November 2020, Paul Gicheru was surrendered to the Court’s custody after the completion of the necessary</w:t>
      </w:r>
      <w:r>
        <w:rPr>
          <w:spacing w:val="40"/>
          <w:sz w:val="16"/>
        </w:rPr>
        <w:t> </w:t>
      </w:r>
      <w:r>
        <w:rPr>
          <w:sz w:val="16"/>
        </w:rPr>
        <w:t>national</w:t>
      </w:r>
      <w:r>
        <w:rPr>
          <w:spacing w:val="-7"/>
          <w:sz w:val="16"/>
        </w:rPr>
        <w:t> </w:t>
      </w:r>
      <w:r>
        <w:rPr>
          <w:sz w:val="16"/>
        </w:rPr>
        <w:t>proceedings.</w:t>
      </w:r>
    </w:p>
    <w:p>
      <w:pPr>
        <w:spacing w:before="0"/>
        <w:ind w:left="2246" w:right="2250" w:firstLine="0"/>
        <w:jc w:val="both"/>
        <w:rPr>
          <w:sz w:val="16"/>
        </w:rPr>
      </w:pPr>
      <w:r>
        <w:rPr>
          <w:position w:val="5"/>
          <w:sz w:val="10"/>
        </w:rPr>
        <w:t>164</w:t>
      </w:r>
      <w:r>
        <w:rPr>
          <w:spacing w:val="8"/>
          <w:position w:val="5"/>
          <w:sz w:val="10"/>
        </w:rPr>
        <w:t> </w:t>
      </w:r>
      <w:r>
        <w:rPr>
          <w:sz w:val="16"/>
        </w:rPr>
        <w:t>Trial</w:t>
      </w:r>
      <w:r>
        <w:rPr>
          <w:spacing w:val="-10"/>
          <w:sz w:val="16"/>
        </w:rPr>
        <w:t> </w:t>
      </w:r>
      <w:r>
        <w:rPr>
          <w:sz w:val="16"/>
        </w:rPr>
        <w:t>teams</w:t>
      </w:r>
      <w:r>
        <w:rPr>
          <w:spacing w:val="-9"/>
          <w:sz w:val="16"/>
        </w:rPr>
        <w:t> </w:t>
      </w:r>
      <w:r>
        <w:rPr>
          <w:sz w:val="16"/>
        </w:rPr>
        <w:t>are</w:t>
      </w:r>
      <w:r>
        <w:rPr>
          <w:spacing w:val="-8"/>
          <w:sz w:val="16"/>
        </w:rPr>
        <w:t> </w:t>
      </w:r>
      <w:r>
        <w:rPr>
          <w:sz w:val="16"/>
        </w:rPr>
        <w:t>Chambers</w:t>
      </w:r>
      <w:r>
        <w:rPr>
          <w:spacing w:val="-9"/>
          <w:sz w:val="16"/>
        </w:rPr>
        <w:t> </w:t>
      </w:r>
      <w:r>
        <w:rPr>
          <w:sz w:val="16"/>
        </w:rPr>
        <w:t>teams</w:t>
      </w:r>
      <w:r>
        <w:rPr>
          <w:spacing w:val="-9"/>
          <w:sz w:val="16"/>
        </w:rPr>
        <w:t> </w:t>
      </w:r>
      <w:r>
        <w:rPr>
          <w:sz w:val="16"/>
        </w:rPr>
        <w:t>which</w:t>
      </w:r>
      <w:r>
        <w:rPr>
          <w:spacing w:val="-8"/>
          <w:sz w:val="16"/>
        </w:rPr>
        <w:t> </w:t>
      </w:r>
      <w:r>
        <w:rPr>
          <w:sz w:val="16"/>
        </w:rPr>
        <w:t>may</w:t>
      </w:r>
      <w:r>
        <w:rPr>
          <w:spacing w:val="-8"/>
          <w:sz w:val="16"/>
        </w:rPr>
        <w:t> </w:t>
      </w:r>
      <w:r>
        <w:rPr>
          <w:sz w:val="16"/>
        </w:rPr>
        <w:t>be</w:t>
      </w:r>
      <w:r>
        <w:rPr>
          <w:spacing w:val="-8"/>
          <w:sz w:val="16"/>
        </w:rPr>
        <w:t> </w:t>
      </w:r>
      <w:r>
        <w:rPr>
          <w:sz w:val="16"/>
        </w:rPr>
        <w:t>assigned</w:t>
      </w:r>
      <w:r>
        <w:rPr>
          <w:spacing w:val="-8"/>
          <w:sz w:val="16"/>
        </w:rPr>
        <w:t> </w:t>
      </w:r>
      <w:r>
        <w:rPr>
          <w:sz w:val="16"/>
        </w:rPr>
        <w:t>to</w:t>
      </w:r>
      <w:r>
        <w:rPr>
          <w:spacing w:val="-8"/>
          <w:sz w:val="16"/>
        </w:rPr>
        <w:t> </w:t>
      </w:r>
      <w:r>
        <w:rPr>
          <w:sz w:val="16"/>
        </w:rPr>
        <w:t>handle</w:t>
      </w:r>
      <w:r>
        <w:rPr>
          <w:spacing w:val="-8"/>
          <w:sz w:val="16"/>
        </w:rPr>
        <w:t> </w:t>
      </w:r>
      <w:r>
        <w:rPr>
          <w:sz w:val="16"/>
        </w:rPr>
        <w:t>preparations</w:t>
      </w:r>
      <w:r>
        <w:rPr>
          <w:spacing w:val="-9"/>
          <w:sz w:val="16"/>
        </w:rPr>
        <w:t> </w:t>
      </w:r>
      <w:r>
        <w:rPr>
          <w:sz w:val="16"/>
        </w:rPr>
        <w:t>for</w:t>
      </w:r>
      <w:r>
        <w:rPr>
          <w:spacing w:val="-9"/>
          <w:sz w:val="16"/>
        </w:rPr>
        <w:t> </w:t>
      </w:r>
      <w:r>
        <w:rPr>
          <w:sz w:val="16"/>
        </w:rPr>
        <w:t>upcoming</w:t>
      </w:r>
      <w:r>
        <w:rPr>
          <w:spacing w:val="-8"/>
          <w:sz w:val="16"/>
        </w:rPr>
        <w:t> </w:t>
      </w:r>
      <w:r>
        <w:rPr>
          <w:sz w:val="16"/>
        </w:rPr>
        <w:t>trials,</w:t>
      </w:r>
      <w:r>
        <w:rPr>
          <w:spacing w:val="-10"/>
          <w:sz w:val="16"/>
        </w:rPr>
        <w:t> </w:t>
      </w:r>
      <w:r>
        <w:rPr>
          <w:sz w:val="16"/>
        </w:rPr>
        <w:t>trial</w:t>
      </w:r>
      <w:r>
        <w:rPr>
          <w:spacing w:val="-10"/>
          <w:sz w:val="16"/>
        </w:rPr>
        <w:t> </w:t>
      </w:r>
      <w:r>
        <w:rPr>
          <w:sz w:val="16"/>
        </w:rPr>
        <w:t>hearings,</w:t>
      </w:r>
      <w:r>
        <w:rPr>
          <w:spacing w:val="40"/>
          <w:sz w:val="16"/>
        </w:rPr>
        <w:t> </w:t>
      </w:r>
      <w:r>
        <w:rPr>
          <w:sz w:val="16"/>
        </w:rPr>
        <w:t>sentencing hearings and reparations hearings.</w:t>
      </w:r>
    </w:p>
    <w:p>
      <w:pPr>
        <w:spacing w:after="0"/>
        <w:jc w:val="both"/>
        <w:rPr>
          <w:sz w:val="16"/>
        </w:rPr>
        <w:sectPr>
          <w:pgSz w:w="11910" w:h="16840"/>
          <w:pgMar w:header="953" w:footer="940" w:top="1140" w:bottom="1140" w:left="20" w:right="20"/>
        </w:sectPr>
      </w:pPr>
    </w:p>
    <w:tbl>
      <w:tblPr>
        <w:tblW w:w="0" w:type="auto"/>
        <w:jc w:val="left"/>
        <w:tblInd w:w="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6"/>
        <w:gridCol w:w="749"/>
        <w:gridCol w:w="601"/>
        <w:gridCol w:w="466"/>
        <w:gridCol w:w="1136"/>
        <w:gridCol w:w="623"/>
        <w:gridCol w:w="512"/>
        <w:gridCol w:w="969"/>
        <w:gridCol w:w="600"/>
        <w:gridCol w:w="476"/>
        <w:gridCol w:w="1042"/>
        <w:gridCol w:w="588"/>
        <w:gridCol w:w="1200"/>
        <w:gridCol w:w="601"/>
        <w:gridCol w:w="1012"/>
      </w:tblGrid>
      <w:tr>
        <w:trPr>
          <w:trHeight w:val="122" w:hRule="atLeast"/>
        </w:trPr>
        <w:tc>
          <w:tcPr>
            <w:tcW w:w="10801" w:type="dxa"/>
            <w:gridSpan w:val="15"/>
            <w:tcBorders>
              <w:bottom w:val="single" w:sz="4" w:space="0" w:color="000000"/>
            </w:tcBorders>
          </w:tcPr>
          <w:p>
            <w:pPr>
              <w:pStyle w:val="TableParagraph"/>
              <w:jc w:val="left"/>
              <w:rPr>
                <w:sz w:val="6"/>
              </w:rPr>
            </w:pPr>
          </w:p>
        </w:tc>
      </w:tr>
      <w:tr>
        <w:trPr>
          <w:trHeight w:val="282" w:hRule="atLeast"/>
        </w:trPr>
        <w:tc>
          <w:tcPr>
            <w:tcW w:w="10801" w:type="dxa"/>
            <w:gridSpan w:val="15"/>
            <w:tcBorders>
              <w:top w:val="single" w:sz="4" w:space="0" w:color="000000"/>
              <w:bottom w:val="single" w:sz="4" w:space="0" w:color="000000"/>
            </w:tcBorders>
          </w:tcPr>
          <w:p>
            <w:pPr>
              <w:pStyle w:val="TableParagraph"/>
              <w:spacing w:before="63"/>
              <w:ind w:left="3819" w:right="3814"/>
              <w:jc w:val="center"/>
              <w:rPr>
                <w:i/>
                <w:sz w:val="14"/>
              </w:rPr>
            </w:pPr>
            <w:r>
              <w:rPr>
                <w:i/>
                <w:sz w:val="14"/>
              </w:rPr>
              <w:t>Comparison</w:t>
            </w:r>
            <w:r>
              <w:rPr>
                <w:i/>
                <w:spacing w:val="-5"/>
                <w:sz w:val="14"/>
              </w:rPr>
              <w:t> </w:t>
            </w:r>
            <w:r>
              <w:rPr>
                <w:i/>
                <w:sz w:val="14"/>
              </w:rPr>
              <w:t>of</w:t>
            </w:r>
            <w:r>
              <w:rPr>
                <w:i/>
                <w:spacing w:val="-6"/>
                <w:sz w:val="14"/>
              </w:rPr>
              <w:t> </w:t>
            </w:r>
            <w:r>
              <w:rPr>
                <w:i/>
                <w:sz w:val="14"/>
              </w:rPr>
              <w:t>assumptions</w:t>
            </w:r>
            <w:r>
              <w:rPr>
                <w:i/>
                <w:spacing w:val="-6"/>
                <w:sz w:val="14"/>
              </w:rPr>
              <w:t> </w:t>
            </w:r>
            <w:r>
              <w:rPr>
                <w:i/>
                <w:sz w:val="14"/>
              </w:rPr>
              <w:t>and</w:t>
            </w:r>
            <w:r>
              <w:rPr>
                <w:i/>
                <w:spacing w:val="-4"/>
                <w:sz w:val="14"/>
              </w:rPr>
              <w:t> </w:t>
            </w:r>
            <w:r>
              <w:rPr>
                <w:i/>
                <w:sz w:val="14"/>
              </w:rPr>
              <w:t>parameters:</w:t>
            </w:r>
            <w:r>
              <w:rPr>
                <w:i/>
                <w:spacing w:val="-5"/>
                <w:sz w:val="14"/>
              </w:rPr>
              <w:t> </w:t>
            </w:r>
            <w:r>
              <w:rPr>
                <w:i/>
                <w:sz w:val="14"/>
              </w:rPr>
              <w:t>2019-</w:t>
            </w:r>
            <w:r>
              <w:rPr>
                <w:i/>
                <w:spacing w:val="-4"/>
                <w:sz w:val="14"/>
              </w:rPr>
              <w:t>2023</w:t>
            </w:r>
          </w:p>
        </w:tc>
      </w:tr>
      <w:tr>
        <w:trPr>
          <w:trHeight w:val="282" w:hRule="atLeast"/>
        </w:trPr>
        <w:tc>
          <w:tcPr>
            <w:tcW w:w="975" w:type="dxa"/>
            <w:gridSpan w:val="2"/>
            <w:tcBorders>
              <w:top w:val="single" w:sz="4" w:space="0" w:color="000000"/>
            </w:tcBorders>
          </w:tcPr>
          <w:p>
            <w:pPr>
              <w:pStyle w:val="TableParagraph"/>
              <w:spacing w:before="58"/>
              <w:ind w:left="192"/>
              <w:jc w:val="left"/>
              <w:rPr>
                <w:i/>
                <w:sz w:val="14"/>
              </w:rPr>
            </w:pPr>
            <w:r>
              <w:rPr>
                <w:i/>
                <w:spacing w:val="-2"/>
                <w:sz w:val="14"/>
              </w:rPr>
              <w:t>Parameter</w:t>
            </w:r>
          </w:p>
        </w:tc>
        <w:tc>
          <w:tcPr>
            <w:tcW w:w="2203" w:type="dxa"/>
            <w:gridSpan w:val="3"/>
            <w:tcBorders>
              <w:top w:val="single" w:sz="4" w:space="0" w:color="000000"/>
              <w:bottom w:val="single" w:sz="4" w:space="0" w:color="000000"/>
            </w:tcBorders>
          </w:tcPr>
          <w:p>
            <w:pPr>
              <w:pStyle w:val="TableParagraph"/>
              <w:spacing w:before="58"/>
              <w:ind w:left="307"/>
              <w:jc w:val="left"/>
              <w:rPr>
                <w:i/>
                <w:sz w:val="14"/>
              </w:rPr>
            </w:pPr>
            <w:r>
              <w:rPr>
                <w:i/>
                <w:sz w:val="14"/>
              </w:rPr>
              <w:t>2019</w:t>
            </w:r>
            <w:r>
              <w:rPr>
                <w:i/>
                <w:spacing w:val="-4"/>
                <w:sz w:val="14"/>
              </w:rPr>
              <w:t> </w:t>
            </w:r>
            <w:r>
              <w:rPr>
                <w:i/>
                <w:sz w:val="14"/>
              </w:rPr>
              <w:t>Approved</w:t>
            </w:r>
            <w:r>
              <w:rPr>
                <w:i/>
                <w:spacing w:val="-3"/>
                <w:sz w:val="14"/>
              </w:rPr>
              <w:t> </w:t>
            </w:r>
            <w:r>
              <w:rPr>
                <w:i/>
                <w:sz w:val="14"/>
              </w:rPr>
              <w:t>and</w:t>
            </w:r>
            <w:r>
              <w:rPr>
                <w:i/>
                <w:spacing w:val="-4"/>
                <w:sz w:val="14"/>
              </w:rPr>
              <w:t> </w:t>
            </w:r>
            <w:r>
              <w:rPr>
                <w:i/>
                <w:spacing w:val="-2"/>
                <w:sz w:val="14"/>
              </w:rPr>
              <w:t>Actuals</w:t>
            </w:r>
          </w:p>
        </w:tc>
        <w:tc>
          <w:tcPr>
            <w:tcW w:w="2104" w:type="dxa"/>
            <w:gridSpan w:val="3"/>
            <w:tcBorders>
              <w:top w:val="single" w:sz="4" w:space="0" w:color="000000"/>
              <w:bottom w:val="single" w:sz="4" w:space="0" w:color="000000"/>
            </w:tcBorders>
          </w:tcPr>
          <w:p>
            <w:pPr>
              <w:pStyle w:val="TableParagraph"/>
              <w:spacing w:before="58"/>
              <w:ind w:left="245"/>
              <w:jc w:val="left"/>
              <w:rPr>
                <w:i/>
                <w:sz w:val="14"/>
              </w:rPr>
            </w:pPr>
            <w:r>
              <w:rPr>
                <w:i/>
                <w:sz w:val="14"/>
              </w:rPr>
              <w:t>2020</w:t>
            </w:r>
            <w:r>
              <w:rPr>
                <w:i/>
                <w:spacing w:val="-4"/>
                <w:sz w:val="14"/>
              </w:rPr>
              <w:t> </w:t>
            </w:r>
            <w:r>
              <w:rPr>
                <w:i/>
                <w:sz w:val="14"/>
              </w:rPr>
              <w:t>Approved</w:t>
            </w:r>
            <w:r>
              <w:rPr>
                <w:i/>
                <w:spacing w:val="-3"/>
                <w:sz w:val="14"/>
              </w:rPr>
              <w:t> </w:t>
            </w:r>
            <w:r>
              <w:rPr>
                <w:i/>
                <w:sz w:val="14"/>
              </w:rPr>
              <w:t>and</w:t>
            </w:r>
            <w:r>
              <w:rPr>
                <w:i/>
                <w:spacing w:val="-4"/>
                <w:sz w:val="14"/>
              </w:rPr>
              <w:t> </w:t>
            </w:r>
            <w:r>
              <w:rPr>
                <w:i/>
                <w:spacing w:val="-2"/>
                <w:sz w:val="14"/>
              </w:rPr>
              <w:t>Actuals</w:t>
            </w:r>
          </w:p>
        </w:tc>
        <w:tc>
          <w:tcPr>
            <w:tcW w:w="2118" w:type="dxa"/>
            <w:gridSpan w:val="3"/>
            <w:tcBorders>
              <w:top w:val="single" w:sz="4" w:space="0" w:color="000000"/>
              <w:bottom w:val="single" w:sz="4" w:space="0" w:color="000000"/>
            </w:tcBorders>
          </w:tcPr>
          <w:p>
            <w:pPr>
              <w:pStyle w:val="TableParagraph"/>
              <w:spacing w:before="58"/>
              <w:ind w:left="259"/>
              <w:jc w:val="left"/>
              <w:rPr>
                <w:i/>
                <w:sz w:val="14"/>
              </w:rPr>
            </w:pPr>
            <w:r>
              <w:rPr>
                <w:i/>
                <w:sz w:val="14"/>
              </w:rPr>
              <w:t>2021</w:t>
            </w:r>
            <w:r>
              <w:rPr>
                <w:i/>
                <w:spacing w:val="-4"/>
                <w:sz w:val="14"/>
              </w:rPr>
              <w:t> </w:t>
            </w:r>
            <w:r>
              <w:rPr>
                <w:i/>
                <w:sz w:val="14"/>
              </w:rPr>
              <w:t>Approved</w:t>
            </w:r>
            <w:r>
              <w:rPr>
                <w:i/>
                <w:spacing w:val="-3"/>
                <w:sz w:val="14"/>
              </w:rPr>
              <w:t> </w:t>
            </w:r>
            <w:r>
              <w:rPr>
                <w:i/>
                <w:sz w:val="14"/>
              </w:rPr>
              <w:t>and</w:t>
            </w:r>
            <w:r>
              <w:rPr>
                <w:i/>
                <w:spacing w:val="-4"/>
                <w:sz w:val="14"/>
              </w:rPr>
              <w:t> </w:t>
            </w:r>
            <w:r>
              <w:rPr>
                <w:i/>
                <w:spacing w:val="-2"/>
                <w:sz w:val="14"/>
              </w:rPr>
              <w:t>Actuals</w:t>
            </w:r>
          </w:p>
        </w:tc>
        <w:tc>
          <w:tcPr>
            <w:tcW w:w="1788" w:type="dxa"/>
            <w:gridSpan w:val="2"/>
            <w:tcBorders>
              <w:top w:val="single" w:sz="4" w:space="0" w:color="000000"/>
              <w:bottom w:val="single" w:sz="4" w:space="0" w:color="000000"/>
            </w:tcBorders>
          </w:tcPr>
          <w:p>
            <w:pPr>
              <w:pStyle w:val="TableParagraph"/>
              <w:spacing w:before="58"/>
              <w:ind w:left="451"/>
              <w:jc w:val="left"/>
              <w:rPr>
                <w:i/>
                <w:sz w:val="14"/>
              </w:rPr>
            </w:pPr>
            <w:r>
              <w:rPr>
                <w:i/>
                <w:sz w:val="14"/>
              </w:rPr>
              <w:t>2022</w:t>
            </w:r>
            <w:r>
              <w:rPr>
                <w:i/>
                <w:spacing w:val="-2"/>
                <w:sz w:val="14"/>
              </w:rPr>
              <w:t> Approved</w:t>
            </w:r>
          </w:p>
        </w:tc>
        <w:tc>
          <w:tcPr>
            <w:tcW w:w="1613" w:type="dxa"/>
            <w:gridSpan w:val="2"/>
            <w:tcBorders>
              <w:top w:val="single" w:sz="4" w:space="0" w:color="000000"/>
              <w:bottom w:val="single" w:sz="4" w:space="0" w:color="000000"/>
            </w:tcBorders>
          </w:tcPr>
          <w:p>
            <w:pPr>
              <w:pStyle w:val="TableParagraph"/>
              <w:spacing w:before="58"/>
              <w:ind w:left="373"/>
              <w:jc w:val="left"/>
              <w:rPr>
                <w:i/>
                <w:sz w:val="14"/>
              </w:rPr>
            </w:pPr>
            <w:r>
              <w:rPr>
                <w:i/>
                <w:sz w:val="14"/>
              </w:rPr>
              <w:t>2023</w:t>
            </w:r>
            <w:r>
              <w:rPr>
                <w:i/>
                <w:spacing w:val="-2"/>
                <w:sz w:val="14"/>
              </w:rPr>
              <w:t> Proposed</w:t>
            </w:r>
          </w:p>
        </w:tc>
      </w:tr>
      <w:tr>
        <w:trPr>
          <w:trHeight w:val="277" w:hRule="atLeast"/>
        </w:trPr>
        <w:tc>
          <w:tcPr>
            <w:tcW w:w="226" w:type="dxa"/>
            <w:tcBorders>
              <w:bottom w:val="single" w:sz="4" w:space="0" w:color="000000"/>
            </w:tcBorders>
          </w:tcPr>
          <w:p>
            <w:pPr>
              <w:pStyle w:val="TableParagraph"/>
              <w:jc w:val="left"/>
              <w:rPr>
                <w:sz w:val="14"/>
              </w:rPr>
            </w:pPr>
          </w:p>
        </w:tc>
        <w:tc>
          <w:tcPr>
            <w:tcW w:w="1350" w:type="dxa"/>
            <w:gridSpan w:val="2"/>
            <w:tcBorders>
              <w:bottom w:val="single" w:sz="4" w:space="0" w:color="000000"/>
            </w:tcBorders>
          </w:tcPr>
          <w:p>
            <w:pPr>
              <w:pStyle w:val="TableParagraph"/>
              <w:spacing w:before="58"/>
              <w:ind w:left="777"/>
              <w:jc w:val="left"/>
              <w:rPr>
                <w:i/>
                <w:sz w:val="14"/>
              </w:rPr>
            </w:pPr>
            <w:r>
              <w:rPr>
                <w:i/>
                <w:spacing w:val="-2"/>
                <w:sz w:val="14"/>
              </w:rPr>
              <w:t>Approved</w:t>
            </w:r>
          </w:p>
        </w:tc>
        <w:tc>
          <w:tcPr>
            <w:tcW w:w="466" w:type="dxa"/>
            <w:tcBorders>
              <w:top w:val="single" w:sz="4" w:space="0" w:color="000000"/>
              <w:bottom w:val="single" w:sz="4" w:space="0" w:color="000000"/>
            </w:tcBorders>
          </w:tcPr>
          <w:p>
            <w:pPr>
              <w:pStyle w:val="TableParagraph"/>
              <w:spacing w:before="58"/>
              <w:ind w:left="15" w:right="2"/>
              <w:jc w:val="center"/>
              <w:rPr>
                <w:i/>
                <w:sz w:val="14"/>
              </w:rPr>
            </w:pPr>
            <w:r>
              <w:rPr>
                <w:i/>
                <w:spacing w:val="-2"/>
                <w:sz w:val="14"/>
              </w:rPr>
              <w:t>Actuals</w:t>
            </w:r>
          </w:p>
        </w:tc>
        <w:tc>
          <w:tcPr>
            <w:tcW w:w="1136" w:type="dxa"/>
            <w:tcBorders>
              <w:top w:val="single" w:sz="4" w:space="0" w:color="000000"/>
              <w:bottom w:val="single" w:sz="4" w:space="0" w:color="000000"/>
            </w:tcBorders>
          </w:tcPr>
          <w:p>
            <w:pPr>
              <w:pStyle w:val="TableParagraph"/>
              <w:spacing w:before="58"/>
              <w:ind w:left="229"/>
              <w:jc w:val="left"/>
              <w:rPr>
                <w:i/>
                <w:sz w:val="14"/>
              </w:rPr>
            </w:pPr>
            <w:r>
              <w:rPr>
                <w:i/>
                <w:spacing w:val="-2"/>
                <w:sz w:val="14"/>
              </w:rPr>
              <w:t>Description</w:t>
            </w:r>
          </w:p>
        </w:tc>
        <w:tc>
          <w:tcPr>
            <w:tcW w:w="623" w:type="dxa"/>
            <w:tcBorders>
              <w:top w:val="single" w:sz="4" w:space="0" w:color="000000"/>
              <w:bottom w:val="single" w:sz="4" w:space="0" w:color="000000"/>
            </w:tcBorders>
          </w:tcPr>
          <w:p>
            <w:pPr>
              <w:pStyle w:val="TableParagraph"/>
              <w:spacing w:before="58"/>
              <w:ind w:left="9" w:right="45"/>
              <w:jc w:val="center"/>
              <w:rPr>
                <w:i/>
                <w:sz w:val="14"/>
              </w:rPr>
            </w:pPr>
            <w:r>
              <w:rPr>
                <w:i/>
                <w:spacing w:val="-2"/>
                <w:sz w:val="14"/>
              </w:rPr>
              <w:t>Approved</w:t>
            </w:r>
          </w:p>
        </w:tc>
        <w:tc>
          <w:tcPr>
            <w:tcW w:w="512" w:type="dxa"/>
            <w:tcBorders>
              <w:top w:val="single" w:sz="4" w:space="0" w:color="000000"/>
              <w:bottom w:val="single" w:sz="4" w:space="0" w:color="000000"/>
            </w:tcBorders>
          </w:tcPr>
          <w:p>
            <w:pPr>
              <w:pStyle w:val="TableParagraph"/>
              <w:spacing w:before="58"/>
              <w:ind w:left="41" w:right="19"/>
              <w:jc w:val="center"/>
              <w:rPr>
                <w:i/>
                <w:sz w:val="14"/>
              </w:rPr>
            </w:pPr>
            <w:r>
              <w:rPr>
                <w:i/>
                <w:spacing w:val="-2"/>
                <w:sz w:val="14"/>
              </w:rPr>
              <w:t>Actuals</w:t>
            </w:r>
          </w:p>
        </w:tc>
        <w:tc>
          <w:tcPr>
            <w:tcW w:w="969" w:type="dxa"/>
            <w:tcBorders>
              <w:top w:val="single" w:sz="4" w:space="0" w:color="000000"/>
              <w:bottom w:val="single" w:sz="4" w:space="0" w:color="000000"/>
            </w:tcBorders>
          </w:tcPr>
          <w:p>
            <w:pPr>
              <w:pStyle w:val="TableParagraph"/>
              <w:spacing w:before="58"/>
              <w:ind w:left="157"/>
              <w:jc w:val="left"/>
              <w:rPr>
                <w:i/>
                <w:sz w:val="14"/>
              </w:rPr>
            </w:pPr>
            <w:r>
              <w:rPr>
                <w:i/>
                <w:spacing w:val="-2"/>
                <w:sz w:val="14"/>
              </w:rPr>
              <w:t>Description</w:t>
            </w:r>
          </w:p>
        </w:tc>
        <w:tc>
          <w:tcPr>
            <w:tcW w:w="600" w:type="dxa"/>
            <w:tcBorders>
              <w:top w:val="single" w:sz="4" w:space="0" w:color="000000"/>
              <w:bottom w:val="single" w:sz="4" w:space="0" w:color="000000"/>
            </w:tcBorders>
          </w:tcPr>
          <w:p>
            <w:pPr>
              <w:pStyle w:val="TableParagraph"/>
              <w:spacing w:before="58"/>
              <w:ind w:left="3" w:right="27"/>
              <w:jc w:val="center"/>
              <w:rPr>
                <w:i/>
                <w:sz w:val="14"/>
              </w:rPr>
            </w:pPr>
            <w:r>
              <w:rPr>
                <w:i/>
                <w:spacing w:val="-2"/>
                <w:sz w:val="14"/>
              </w:rPr>
              <w:t>Approved</w:t>
            </w:r>
          </w:p>
        </w:tc>
        <w:tc>
          <w:tcPr>
            <w:tcW w:w="476" w:type="dxa"/>
            <w:tcBorders>
              <w:top w:val="single" w:sz="4" w:space="0" w:color="000000"/>
              <w:bottom w:val="single" w:sz="4" w:space="0" w:color="000000"/>
            </w:tcBorders>
          </w:tcPr>
          <w:p>
            <w:pPr>
              <w:pStyle w:val="TableParagraph"/>
              <w:spacing w:before="58"/>
              <w:ind w:left="22" w:right="7"/>
              <w:jc w:val="center"/>
              <w:rPr>
                <w:i/>
                <w:sz w:val="14"/>
              </w:rPr>
            </w:pPr>
            <w:r>
              <w:rPr>
                <w:i/>
                <w:spacing w:val="-2"/>
                <w:sz w:val="14"/>
              </w:rPr>
              <w:t>Actuals</w:t>
            </w:r>
          </w:p>
        </w:tc>
        <w:tc>
          <w:tcPr>
            <w:tcW w:w="1042" w:type="dxa"/>
            <w:tcBorders>
              <w:top w:val="single" w:sz="4" w:space="0" w:color="000000"/>
              <w:bottom w:val="single" w:sz="4" w:space="0" w:color="000000"/>
            </w:tcBorders>
          </w:tcPr>
          <w:p>
            <w:pPr>
              <w:pStyle w:val="TableParagraph"/>
              <w:spacing w:before="58"/>
              <w:ind w:left="182"/>
              <w:jc w:val="left"/>
              <w:rPr>
                <w:i/>
                <w:sz w:val="14"/>
              </w:rPr>
            </w:pPr>
            <w:r>
              <w:rPr>
                <w:i/>
                <w:spacing w:val="-2"/>
                <w:sz w:val="14"/>
              </w:rPr>
              <w:t>Description</w:t>
            </w:r>
          </w:p>
        </w:tc>
        <w:tc>
          <w:tcPr>
            <w:tcW w:w="588" w:type="dxa"/>
            <w:tcBorders>
              <w:top w:val="single" w:sz="4" w:space="0" w:color="000000"/>
              <w:bottom w:val="single" w:sz="4" w:space="0" w:color="000000"/>
            </w:tcBorders>
          </w:tcPr>
          <w:p>
            <w:pPr>
              <w:pStyle w:val="TableParagraph"/>
              <w:spacing w:before="58"/>
              <w:ind w:left="8" w:right="11"/>
              <w:jc w:val="center"/>
              <w:rPr>
                <w:i/>
                <w:sz w:val="14"/>
              </w:rPr>
            </w:pPr>
            <w:r>
              <w:rPr>
                <w:i/>
                <w:spacing w:val="-2"/>
                <w:sz w:val="14"/>
              </w:rPr>
              <w:t>Approved</w:t>
            </w:r>
          </w:p>
        </w:tc>
        <w:tc>
          <w:tcPr>
            <w:tcW w:w="1200" w:type="dxa"/>
            <w:tcBorders>
              <w:top w:val="single" w:sz="4" w:space="0" w:color="000000"/>
              <w:bottom w:val="single" w:sz="4" w:space="0" w:color="000000"/>
            </w:tcBorders>
          </w:tcPr>
          <w:p>
            <w:pPr>
              <w:pStyle w:val="TableParagraph"/>
              <w:spacing w:before="58"/>
              <w:ind w:left="271"/>
              <w:jc w:val="left"/>
              <w:rPr>
                <w:i/>
                <w:sz w:val="14"/>
              </w:rPr>
            </w:pPr>
            <w:r>
              <w:rPr>
                <w:i/>
                <w:spacing w:val="-2"/>
                <w:sz w:val="14"/>
              </w:rPr>
              <w:t>Description</w:t>
            </w:r>
          </w:p>
        </w:tc>
        <w:tc>
          <w:tcPr>
            <w:tcW w:w="601" w:type="dxa"/>
            <w:tcBorders>
              <w:top w:val="single" w:sz="4" w:space="0" w:color="000000"/>
              <w:bottom w:val="single" w:sz="4" w:space="0" w:color="000000"/>
            </w:tcBorders>
          </w:tcPr>
          <w:p>
            <w:pPr>
              <w:pStyle w:val="TableParagraph"/>
              <w:spacing w:before="58"/>
              <w:ind w:left="20" w:right="19"/>
              <w:jc w:val="center"/>
              <w:rPr>
                <w:i/>
                <w:sz w:val="14"/>
              </w:rPr>
            </w:pPr>
            <w:r>
              <w:rPr>
                <w:i/>
                <w:spacing w:val="-2"/>
                <w:sz w:val="14"/>
              </w:rPr>
              <w:t>Proposed</w:t>
            </w:r>
          </w:p>
        </w:tc>
        <w:tc>
          <w:tcPr>
            <w:tcW w:w="1012" w:type="dxa"/>
            <w:tcBorders>
              <w:top w:val="single" w:sz="4" w:space="0" w:color="000000"/>
              <w:bottom w:val="single" w:sz="4" w:space="0" w:color="000000"/>
            </w:tcBorders>
          </w:tcPr>
          <w:p>
            <w:pPr>
              <w:pStyle w:val="TableParagraph"/>
              <w:spacing w:before="58"/>
              <w:ind w:left="175"/>
              <w:jc w:val="left"/>
              <w:rPr>
                <w:i/>
                <w:sz w:val="14"/>
              </w:rPr>
            </w:pPr>
            <w:r>
              <w:rPr>
                <w:i/>
                <w:spacing w:val="-2"/>
                <w:sz w:val="14"/>
              </w:rPr>
              <w:t>Description</w:t>
            </w:r>
          </w:p>
        </w:tc>
      </w:tr>
      <w:tr>
        <w:trPr>
          <w:trHeight w:val="3063" w:hRule="atLeast"/>
        </w:trPr>
        <w:tc>
          <w:tcPr>
            <w:tcW w:w="226" w:type="dxa"/>
            <w:tcBorders>
              <w:top w:val="single" w:sz="4" w:space="0" w:color="000000"/>
              <w:bottom w:val="single" w:sz="4" w:space="0" w:color="000000"/>
            </w:tcBorders>
          </w:tcPr>
          <w:p>
            <w:pPr>
              <w:pStyle w:val="TableParagraph"/>
              <w:spacing w:before="1"/>
              <w:ind w:left="14"/>
              <w:jc w:val="left"/>
              <w:rPr>
                <w:sz w:val="14"/>
              </w:rPr>
            </w:pPr>
            <w:r>
              <w:rPr>
                <w:w w:val="99"/>
                <w:sz w:val="14"/>
              </w:rPr>
              <w:t>9</w:t>
            </w:r>
          </w:p>
        </w:tc>
        <w:tc>
          <w:tcPr>
            <w:tcW w:w="749" w:type="dxa"/>
            <w:tcBorders>
              <w:top w:val="single" w:sz="4" w:space="0" w:color="000000"/>
              <w:bottom w:val="single" w:sz="4" w:space="0" w:color="000000"/>
            </w:tcBorders>
          </w:tcPr>
          <w:p>
            <w:pPr>
              <w:pStyle w:val="TableParagraph"/>
              <w:spacing w:line="242" w:lineRule="auto" w:before="1"/>
              <w:ind w:left="67"/>
              <w:jc w:val="left"/>
              <w:rPr>
                <w:sz w:val="14"/>
              </w:rPr>
            </w:pPr>
            <w:r>
              <w:rPr>
                <w:sz w:val="14"/>
              </w:rPr>
              <w:t>Number</w:t>
            </w:r>
            <w:r>
              <w:rPr>
                <w:spacing w:val="-9"/>
                <w:sz w:val="14"/>
              </w:rPr>
              <w:t> </w:t>
            </w:r>
            <w:r>
              <w:rPr>
                <w:sz w:val="14"/>
              </w:rPr>
              <w:t>of</w:t>
            </w:r>
            <w:r>
              <w:rPr>
                <w:spacing w:val="40"/>
                <w:sz w:val="14"/>
              </w:rPr>
              <w:t> </w:t>
            </w:r>
            <w:r>
              <w:rPr>
                <w:spacing w:val="-2"/>
                <w:sz w:val="14"/>
              </w:rPr>
              <w:t>LRV</w:t>
            </w:r>
            <w:r>
              <w:rPr>
                <w:spacing w:val="-7"/>
                <w:sz w:val="14"/>
              </w:rPr>
              <w:t> </w:t>
            </w:r>
            <w:r>
              <w:rPr>
                <w:spacing w:val="-2"/>
                <w:sz w:val="14"/>
              </w:rPr>
              <w:t>teams</w:t>
            </w:r>
            <w:r>
              <w:rPr>
                <w:spacing w:val="40"/>
                <w:sz w:val="14"/>
              </w:rPr>
              <w:t> </w:t>
            </w:r>
            <w:r>
              <w:rPr>
                <w:sz w:val="14"/>
              </w:rPr>
              <w:t>within</w:t>
            </w:r>
            <w:r>
              <w:rPr>
                <w:spacing w:val="-6"/>
                <w:sz w:val="14"/>
              </w:rPr>
              <w:t> </w:t>
            </w:r>
            <w:r>
              <w:rPr>
                <w:sz w:val="14"/>
              </w:rPr>
              <w:t>the</w:t>
            </w:r>
            <w:r>
              <w:rPr>
                <w:spacing w:val="40"/>
                <w:sz w:val="14"/>
              </w:rPr>
              <w:t> </w:t>
            </w:r>
            <w:r>
              <w:rPr>
                <w:spacing w:val="-4"/>
                <w:sz w:val="14"/>
              </w:rPr>
              <w:t>OPCV</w:t>
            </w:r>
          </w:p>
        </w:tc>
        <w:tc>
          <w:tcPr>
            <w:tcW w:w="601" w:type="dxa"/>
            <w:tcBorders>
              <w:top w:val="single" w:sz="4" w:space="0" w:color="000000"/>
              <w:bottom w:val="single" w:sz="4" w:space="0" w:color="000000"/>
            </w:tcBorders>
          </w:tcPr>
          <w:p>
            <w:pPr>
              <w:pStyle w:val="TableParagraph"/>
              <w:spacing w:before="1"/>
              <w:ind w:left="45"/>
              <w:jc w:val="center"/>
              <w:rPr>
                <w:sz w:val="14"/>
              </w:rPr>
            </w:pPr>
            <w:r>
              <w:rPr>
                <w:w w:val="99"/>
                <w:sz w:val="14"/>
              </w:rPr>
              <w:t>6</w:t>
            </w:r>
          </w:p>
        </w:tc>
        <w:tc>
          <w:tcPr>
            <w:tcW w:w="466" w:type="dxa"/>
            <w:tcBorders>
              <w:top w:val="single" w:sz="4" w:space="0" w:color="000000"/>
              <w:bottom w:val="single" w:sz="4" w:space="0" w:color="000000"/>
            </w:tcBorders>
          </w:tcPr>
          <w:p>
            <w:pPr>
              <w:pStyle w:val="TableParagraph"/>
              <w:spacing w:before="1"/>
              <w:ind w:left="15"/>
              <w:jc w:val="center"/>
              <w:rPr>
                <w:sz w:val="14"/>
              </w:rPr>
            </w:pPr>
            <w:r>
              <w:rPr>
                <w:w w:val="99"/>
                <w:sz w:val="14"/>
              </w:rPr>
              <w:t>8</w:t>
            </w:r>
          </w:p>
        </w:tc>
        <w:tc>
          <w:tcPr>
            <w:tcW w:w="1136" w:type="dxa"/>
            <w:tcBorders>
              <w:top w:val="single" w:sz="4" w:space="0" w:color="000000"/>
              <w:bottom w:val="single" w:sz="4" w:space="0" w:color="000000"/>
            </w:tcBorders>
          </w:tcPr>
          <w:p>
            <w:pPr>
              <w:pStyle w:val="TableParagraph"/>
              <w:spacing w:line="235" w:lineRule="auto" w:before="3"/>
              <w:ind w:left="13"/>
              <w:jc w:val="left"/>
              <w:rPr>
                <w:sz w:val="14"/>
              </w:rPr>
            </w:pPr>
            <w:r>
              <w:rPr>
                <w:sz w:val="14"/>
              </w:rPr>
              <w:t>Pre-trial:</w:t>
            </w:r>
            <w:r>
              <w:rPr>
                <w:spacing w:val="-9"/>
                <w:sz w:val="14"/>
              </w:rPr>
              <w:t> </w:t>
            </w:r>
            <w:r>
              <w:rPr>
                <w:i/>
                <w:sz w:val="14"/>
              </w:rPr>
              <w:t>Yekatom</w:t>
            </w:r>
            <w:r>
              <w:rPr>
                <w:i/>
                <w:spacing w:val="40"/>
                <w:sz w:val="14"/>
              </w:rPr>
              <w:t> </w:t>
            </w:r>
            <w:r>
              <w:rPr>
                <w:i/>
                <w:sz w:val="14"/>
              </w:rPr>
              <w:t>and</w:t>
            </w:r>
            <w:r>
              <w:rPr>
                <w:i/>
                <w:spacing w:val="-3"/>
                <w:sz w:val="14"/>
              </w:rPr>
              <w:t> </w:t>
            </w:r>
            <w:r>
              <w:rPr>
                <w:i/>
                <w:sz w:val="14"/>
              </w:rPr>
              <w:t>Ngaïssona</w:t>
            </w:r>
            <w:r>
              <w:rPr>
                <w:i/>
                <w:spacing w:val="-3"/>
                <w:sz w:val="14"/>
              </w:rPr>
              <w:t> </w:t>
            </w:r>
            <w:r>
              <w:rPr>
                <w:spacing w:val="-5"/>
                <w:sz w:val="14"/>
              </w:rPr>
              <w:t>(2)</w:t>
            </w:r>
          </w:p>
          <w:p>
            <w:pPr>
              <w:pStyle w:val="TableParagraph"/>
              <w:spacing w:line="242" w:lineRule="auto" w:before="4"/>
              <w:ind w:left="13"/>
              <w:jc w:val="left"/>
              <w:rPr>
                <w:sz w:val="14"/>
              </w:rPr>
            </w:pPr>
            <w:r>
              <w:rPr>
                <w:sz w:val="14"/>
              </w:rPr>
              <w:t>Trial:</w:t>
            </w:r>
            <w:r>
              <w:rPr>
                <w:spacing w:val="-9"/>
                <w:sz w:val="14"/>
              </w:rPr>
              <w:t> </w:t>
            </w:r>
            <w:r>
              <w:rPr>
                <w:i/>
                <w:sz w:val="14"/>
              </w:rPr>
              <w:t>Ongwen</w:t>
            </w:r>
            <w:r>
              <w:rPr>
                <w:i/>
                <w:spacing w:val="-9"/>
                <w:sz w:val="14"/>
              </w:rPr>
              <w:t> </w:t>
            </w:r>
            <w:r>
              <w:rPr>
                <w:sz w:val="14"/>
              </w:rPr>
              <w:t>(1)</w:t>
            </w:r>
            <w:r>
              <w:rPr>
                <w:spacing w:val="40"/>
                <w:sz w:val="14"/>
              </w:rPr>
              <w:t> </w:t>
            </w:r>
            <w:r>
              <w:rPr>
                <w:sz w:val="14"/>
              </w:rPr>
              <w:t>Trial</w:t>
            </w:r>
            <w:r>
              <w:rPr>
                <w:spacing w:val="-9"/>
                <w:sz w:val="14"/>
              </w:rPr>
              <w:t> </w:t>
            </w:r>
            <w:r>
              <w:rPr>
                <w:sz w:val="14"/>
              </w:rPr>
              <w:t>then</w:t>
            </w:r>
            <w:r>
              <w:rPr>
                <w:spacing w:val="-9"/>
                <w:sz w:val="14"/>
              </w:rPr>
              <w:t> </w:t>
            </w:r>
            <w:r>
              <w:rPr>
                <w:sz w:val="14"/>
              </w:rPr>
              <w:t>Appeal:</w:t>
            </w:r>
            <w:r>
              <w:rPr>
                <w:spacing w:val="40"/>
                <w:sz w:val="14"/>
              </w:rPr>
              <w:t> </w:t>
            </w:r>
            <w:r>
              <w:rPr>
                <w:i/>
                <w:sz w:val="14"/>
              </w:rPr>
              <w:t>Gbagbo and Blé</w:t>
            </w:r>
            <w:r>
              <w:rPr>
                <w:i/>
                <w:spacing w:val="40"/>
                <w:sz w:val="14"/>
              </w:rPr>
              <w:t> </w:t>
            </w:r>
            <w:r>
              <w:rPr>
                <w:i/>
                <w:sz w:val="14"/>
              </w:rPr>
              <w:t>Goudé</w:t>
            </w:r>
            <w:r>
              <w:rPr>
                <w:i/>
                <w:spacing w:val="-6"/>
                <w:sz w:val="14"/>
              </w:rPr>
              <w:t> </w:t>
            </w:r>
            <w:r>
              <w:rPr>
                <w:sz w:val="14"/>
              </w:rPr>
              <w:t>(1)</w:t>
            </w:r>
          </w:p>
          <w:p>
            <w:pPr>
              <w:pStyle w:val="TableParagraph"/>
              <w:ind w:left="13"/>
              <w:jc w:val="left"/>
              <w:rPr>
                <w:sz w:val="14"/>
              </w:rPr>
            </w:pPr>
            <w:r>
              <w:rPr>
                <w:sz w:val="14"/>
              </w:rPr>
              <w:t>Trial then Appeal</w:t>
            </w:r>
            <w:r>
              <w:rPr>
                <w:spacing w:val="40"/>
                <w:sz w:val="14"/>
              </w:rPr>
              <w:t> </w:t>
            </w:r>
            <w:r>
              <w:rPr>
                <w:sz w:val="14"/>
              </w:rPr>
              <w:t>and</w:t>
            </w:r>
            <w:r>
              <w:rPr>
                <w:spacing w:val="-9"/>
                <w:sz w:val="14"/>
              </w:rPr>
              <w:t> </w:t>
            </w:r>
            <w:r>
              <w:rPr>
                <w:sz w:val="14"/>
              </w:rPr>
              <w:t>preparation</w:t>
            </w:r>
            <w:r>
              <w:rPr>
                <w:spacing w:val="-9"/>
                <w:sz w:val="14"/>
              </w:rPr>
              <w:t> </w:t>
            </w:r>
            <w:r>
              <w:rPr>
                <w:sz w:val="14"/>
              </w:rPr>
              <w:t>for</w:t>
            </w:r>
            <w:r>
              <w:rPr>
                <w:spacing w:val="40"/>
                <w:sz w:val="14"/>
              </w:rPr>
              <w:t> </w:t>
            </w:r>
            <w:r>
              <w:rPr>
                <w:spacing w:val="-2"/>
                <w:sz w:val="14"/>
              </w:rPr>
              <w:t>reparations:</w:t>
            </w:r>
            <w:r>
              <w:rPr>
                <w:spacing w:val="40"/>
                <w:sz w:val="14"/>
              </w:rPr>
              <w:t> </w:t>
            </w:r>
            <w:r>
              <w:rPr>
                <w:i/>
                <w:sz w:val="14"/>
              </w:rPr>
              <w:t>Ntaganda</w:t>
            </w:r>
            <w:r>
              <w:rPr>
                <w:i/>
                <w:spacing w:val="-2"/>
                <w:sz w:val="14"/>
              </w:rPr>
              <w:t> </w:t>
            </w:r>
            <w:r>
              <w:rPr>
                <w:sz w:val="14"/>
              </w:rPr>
              <w:t>(2)</w:t>
            </w:r>
            <w:r>
              <w:rPr>
                <w:spacing w:val="40"/>
                <w:sz w:val="14"/>
              </w:rPr>
              <w:t> </w:t>
            </w:r>
            <w:r>
              <w:rPr>
                <w:spacing w:val="-2"/>
                <w:sz w:val="14"/>
              </w:rPr>
              <w:t>Reparations:</w:t>
            </w:r>
            <w:r>
              <w:rPr>
                <w:spacing w:val="40"/>
                <w:sz w:val="14"/>
              </w:rPr>
              <w:t> </w:t>
            </w:r>
            <w:r>
              <w:rPr>
                <w:i/>
                <w:sz w:val="14"/>
              </w:rPr>
              <w:t>Lubanga </w:t>
            </w:r>
            <w:r>
              <w:rPr>
                <w:sz w:val="14"/>
              </w:rPr>
              <w:t>(1); and</w:t>
            </w:r>
          </w:p>
          <w:p>
            <w:pPr>
              <w:pStyle w:val="TableParagraph"/>
              <w:spacing w:line="160" w:lineRule="exact"/>
              <w:ind w:left="13"/>
              <w:jc w:val="left"/>
              <w:rPr>
                <w:sz w:val="14"/>
              </w:rPr>
            </w:pPr>
            <w:r>
              <w:rPr>
                <w:i/>
                <w:sz w:val="14"/>
              </w:rPr>
              <w:t>Katanga</w:t>
            </w:r>
            <w:r>
              <w:rPr>
                <w:i/>
                <w:spacing w:val="-4"/>
                <w:sz w:val="14"/>
              </w:rPr>
              <w:t> </w:t>
            </w:r>
            <w:r>
              <w:rPr>
                <w:spacing w:val="-5"/>
                <w:sz w:val="14"/>
              </w:rPr>
              <w:t>(1)</w:t>
            </w:r>
          </w:p>
        </w:tc>
        <w:tc>
          <w:tcPr>
            <w:tcW w:w="623" w:type="dxa"/>
            <w:tcBorders>
              <w:top w:val="single" w:sz="4" w:space="0" w:color="000000"/>
              <w:bottom w:val="single" w:sz="4" w:space="0" w:color="000000"/>
            </w:tcBorders>
          </w:tcPr>
          <w:p>
            <w:pPr>
              <w:pStyle w:val="TableParagraph"/>
              <w:spacing w:before="1"/>
              <w:ind w:right="21"/>
              <w:jc w:val="center"/>
              <w:rPr>
                <w:sz w:val="14"/>
              </w:rPr>
            </w:pPr>
            <w:r>
              <w:rPr>
                <w:w w:val="99"/>
                <w:sz w:val="14"/>
              </w:rPr>
              <w:t>4</w:t>
            </w:r>
          </w:p>
        </w:tc>
        <w:tc>
          <w:tcPr>
            <w:tcW w:w="512" w:type="dxa"/>
            <w:tcBorders>
              <w:top w:val="single" w:sz="4" w:space="0" w:color="000000"/>
              <w:bottom w:val="single" w:sz="4" w:space="0" w:color="000000"/>
            </w:tcBorders>
          </w:tcPr>
          <w:p>
            <w:pPr>
              <w:pStyle w:val="TableParagraph"/>
              <w:spacing w:before="1"/>
              <w:ind w:left="14"/>
              <w:jc w:val="center"/>
              <w:rPr>
                <w:sz w:val="14"/>
              </w:rPr>
            </w:pPr>
            <w:r>
              <w:rPr>
                <w:w w:val="99"/>
                <w:sz w:val="14"/>
              </w:rPr>
              <w:t>9</w:t>
            </w:r>
          </w:p>
        </w:tc>
        <w:tc>
          <w:tcPr>
            <w:tcW w:w="969" w:type="dxa"/>
            <w:tcBorders>
              <w:top w:val="single" w:sz="4" w:space="0" w:color="000000"/>
              <w:bottom w:val="single" w:sz="4" w:space="0" w:color="000000"/>
            </w:tcBorders>
          </w:tcPr>
          <w:p>
            <w:pPr>
              <w:pStyle w:val="TableParagraph"/>
              <w:spacing w:line="160" w:lineRule="exact" w:before="1"/>
              <w:ind w:left="28"/>
              <w:jc w:val="left"/>
              <w:rPr>
                <w:i/>
                <w:sz w:val="14"/>
              </w:rPr>
            </w:pPr>
            <w:r>
              <w:rPr>
                <w:sz w:val="14"/>
              </w:rPr>
              <w:t>Trial:</w:t>
            </w:r>
            <w:r>
              <w:rPr>
                <w:spacing w:val="-4"/>
                <w:sz w:val="14"/>
              </w:rPr>
              <w:t> </w:t>
            </w:r>
            <w:r>
              <w:rPr>
                <w:i/>
                <w:spacing w:val="-2"/>
                <w:sz w:val="14"/>
              </w:rPr>
              <w:t>Ongwen</w:t>
            </w:r>
          </w:p>
          <w:p>
            <w:pPr>
              <w:pStyle w:val="TableParagraph"/>
              <w:spacing w:line="160" w:lineRule="exact"/>
              <w:ind w:left="28"/>
              <w:jc w:val="left"/>
              <w:rPr>
                <w:sz w:val="14"/>
              </w:rPr>
            </w:pPr>
            <w:r>
              <w:rPr>
                <w:spacing w:val="-5"/>
                <w:sz w:val="14"/>
              </w:rPr>
              <w:t>(1)</w:t>
            </w:r>
          </w:p>
          <w:p>
            <w:pPr>
              <w:pStyle w:val="TableParagraph"/>
              <w:spacing w:line="242" w:lineRule="auto" w:before="2"/>
              <w:ind w:left="28" w:right="18"/>
              <w:jc w:val="left"/>
              <w:rPr>
                <w:sz w:val="14"/>
              </w:rPr>
            </w:pPr>
            <w:r>
              <w:rPr>
                <w:sz w:val="14"/>
              </w:rPr>
              <w:t>Trial</w:t>
            </w:r>
            <w:r>
              <w:rPr>
                <w:spacing w:val="-9"/>
                <w:sz w:val="14"/>
              </w:rPr>
              <w:t> </w:t>
            </w:r>
            <w:r>
              <w:rPr>
                <w:sz w:val="14"/>
              </w:rPr>
              <w:t>then</w:t>
            </w:r>
            <w:r>
              <w:rPr>
                <w:spacing w:val="40"/>
                <w:sz w:val="14"/>
              </w:rPr>
              <w:t> </w:t>
            </w:r>
            <w:r>
              <w:rPr>
                <w:spacing w:val="-2"/>
                <w:sz w:val="14"/>
              </w:rPr>
              <w:t>Appeal:</w:t>
            </w:r>
            <w:r>
              <w:rPr>
                <w:spacing w:val="80"/>
                <w:sz w:val="14"/>
              </w:rPr>
              <w:t> </w:t>
            </w:r>
            <w:r>
              <w:rPr>
                <w:i/>
                <w:sz w:val="14"/>
              </w:rPr>
              <w:t>Gbagbo</w:t>
            </w:r>
            <w:r>
              <w:rPr>
                <w:i/>
                <w:spacing w:val="-9"/>
                <w:sz w:val="14"/>
              </w:rPr>
              <w:t> </w:t>
            </w:r>
            <w:r>
              <w:rPr>
                <w:i/>
                <w:sz w:val="14"/>
              </w:rPr>
              <w:t>and</w:t>
            </w:r>
            <w:r>
              <w:rPr>
                <w:i/>
                <w:spacing w:val="-9"/>
                <w:sz w:val="14"/>
              </w:rPr>
              <w:t> </w:t>
            </w:r>
            <w:r>
              <w:rPr>
                <w:i/>
                <w:sz w:val="14"/>
              </w:rPr>
              <w:t>Blé</w:t>
            </w:r>
            <w:r>
              <w:rPr>
                <w:i/>
                <w:spacing w:val="40"/>
                <w:sz w:val="14"/>
              </w:rPr>
              <w:t> </w:t>
            </w:r>
            <w:r>
              <w:rPr>
                <w:i/>
                <w:sz w:val="14"/>
              </w:rPr>
              <w:t>Goudé</w:t>
            </w:r>
            <w:r>
              <w:rPr>
                <w:i/>
                <w:spacing w:val="-8"/>
                <w:sz w:val="14"/>
              </w:rPr>
              <w:t> </w:t>
            </w:r>
            <w:r>
              <w:rPr>
                <w:sz w:val="14"/>
              </w:rPr>
              <w:t>(1)</w:t>
            </w:r>
          </w:p>
          <w:p>
            <w:pPr>
              <w:pStyle w:val="TableParagraph"/>
              <w:ind w:left="28" w:right="101"/>
              <w:jc w:val="left"/>
              <w:rPr>
                <w:sz w:val="14"/>
              </w:rPr>
            </w:pPr>
            <w:r>
              <w:rPr>
                <w:sz w:val="14"/>
              </w:rPr>
              <w:t>Trial</w:t>
            </w:r>
            <w:r>
              <w:rPr>
                <w:spacing w:val="-9"/>
                <w:sz w:val="14"/>
              </w:rPr>
              <w:t> </w:t>
            </w:r>
            <w:r>
              <w:rPr>
                <w:sz w:val="14"/>
              </w:rPr>
              <w:t>then</w:t>
            </w:r>
            <w:r>
              <w:rPr>
                <w:spacing w:val="40"/>
                <w:sz w:val="14"/>
              </w:rPr>
              <w:t> </w:t>
            </w:r>
            <w:r>
              <w:rPr>
                <w:sz w:val="14"/>
              </w:rPr>
              <w:t>Appeal</w:t>
            </w:r>
            <w:r>
              <w:rPr>
                <w:spacing w:val="-9"/>
                <w:sz w:val="14"/>
              </w:rPr>
              <w:t> </w:t>
            </w:r>
            <w:r>
              <w:rPr>
                <w:sz w:val="14"/>
              </w:rPr>
              <w:t>and</w:t>
            </w:r>
            <w:r>
              <w:rPr>
                <w:spacing w:val="40"/>
                <w:sz w:val="14"/>
              </w:rPr>
              <w:t> </w:t>
            </w:r>
            <w:r>
              <w:rPr>
                <w:sz w:val="14"/>
              </w:rPr>
              <w:t>preparation</w:t>
            </w:r>
            <w:r>
              <w:rPr>
                <w:spacing w:val="-9"/>
                <w:sz w:val="14"/>
              </w:rPr>
              <w:t> </w:t>
            </w:r>
            <w:r>
              <w:rPr>
                <w:sz w:val="14"/>
              </w:rPr>
              <w:t>for</w:t>
            </w:r>
            <w:r>
              <w:rPr>
                <w:spacing w:val="40"/>
                <w:sz w:val="14"/>
              </w:rPr>
              <w:t> </w:t>
            </w:r>
            <w:r>
              <w:rPr>
                <w:spacing w:val="-2"/>
                <w:sz w:val="14"/>
              </w:rPr>
              <w:t>reparations:</w:t>
            </w:r>
            <w:r>
              <w:rPr>
                <w:spacing w:val="40"/>
                <w:sz w:val="14"/>
              </w:rPr>
              <w:t> </w:t>
            </w:r>
            <w:r>
              <w:rPr>
                <w:i/>
                <w:sz w:val="14"/>
              </w:rPr>
              <w:t>Ntaganda</w:t>
            </w:r>
            <w:r>
              <w:rPr>
                <w:i/>
                <w:spacing w:val="-2"/>
                <w:sz w:val="14"/>
              </w:rPr>
              <w:t> </w:t>
            </w:r>
            <w:r>
              <w:rPr>
                <w:sz w:val="14"/>
              </w:rPr>
              <w:t>(2)</w:t>
            </w:r>
            <w:r>
              <w:rPr>
                <w:spacing w:val="40"/>
                <w:sz w:val="14"/>
              </w:rPr>
              <w:t> </w:t>
            </w:r>
            <w:r>
              <w:rPr>
                <w:spacing w:val="-2"/>
                <w:sz w:val="14"/>
              </w:rPr>
              <w:t>Pre-trial:</w:t>
            </w:r>
            <w:r>
              <w:rPr>
                <w:spacing w:val="40"/>
                <w:sz w:val="14"/>
              </w:rPr>
              <w:t> </w:t>
            </w:r>
            <w:r>
              <w:rPr>
                <w:i/>
                <w:sz w:val="14"/>
              </w:rPr>
              <w:t>Yekatom</w:t>
            </w:r>
            <w:r>
              <w:rPr>
                <w:i/>
                <w:spacing w:val="-9"/>
                <w:sz w:val="14"/>
              </w:rPr>
              <w:t> </w:t>
            </w:r>
            <w:r>
              <w:rPr>
                <w:i/>
                <w:sz w:val="14"/>
              </w:rPr>
              <w:t>and</w:t>
            </w:r>
            <w:r>
              <w:rPr>
                <w:i/>
                <w:spacing w:val="40"/>
                <w:sz w:val="14"/>
              </w:rPr>
              <w:t> </w:t>
            </w:r>
            <w:r>
              <w:rPr>
                <w:i/>
                <w:sz w:val="14"/>
              </w:rPr>
              <w:t>Ngaïssona</w:t>
            </w:r>
            <w:r>
              <w:rPr>
                <w:i/>
                <w:spacing w:val="-2"/>
                <w:sz w:val="14"/>
              </w:rPr>
              <w:t> </w:t>
            </w:r>
            <w:r>
              <w:rPr>
                <w:sz w:val="14"/>
              </w:rPr>
              <w:t>(2)</w:t>
            </w:r>
            <w:r>
              <w:rPr>
                <w:spacing w:val="40"/>
                <w:sz w:val="14"/>
              </w:rPr>
              <w:t> </w:t>
            </w:r>
            <w:r>
              <w:rPr>
                <w:spacing w:val="-2"/>
                <w:sz w:val="14"/>
              </w:rPr>
              <w:t>Reparations:</w:t>
            </w:r>
            <w:r>
              <w:rPr>
                <w:spacing w:val="40"/>
                <w:sz w:val="14"/>
              </w:rPr>
              <w:t> </w:t>
            </w:r>
            <w:r>
              <w:rPr>
                <w:i/>
                <w:sz w:val="14"/>
              </w:rPr>
              <w:t>Lubanga</w:t>
            </w:r>
            <w:r>
              <w:rPr>
                <w:i/>
                <w:spacing w:val="-2"/>
                <w:sz w:val="14"/>
              </w:rPr>
              <w:t> </w:t>
            </w:r>
            <w:r>
              <w:rPr>
                <w:sz w:val="14"/>
              </w:rPr>
              <w:t>(1);</w:t>
            </w:r>
          </w:p>
          <w:p>
            <w:pPr>
              <w:pStyle w:val="TableParagraph"/>
              <w:spacing w:line="235" w:lineRule="auto"/>
              <w:ind w:left="28"/>
              <w:jc w:val="left"/>
              <w:rPr>
                <w:sz w:val="14"/>
              </w:rPr>
            </w:pPr>
            <w:r>
              <w:rPr>
                <w:sz w:val="14"/>
              </w:rPr>
              <w:t>and</w:t>
            </w:r>
            <w:r>
              <w:rPr>
                <w:spacing w:val="-9"/>
                <w:sz w:val="14"/>
              </w:rPr>
              <w:t> </w:t>
            </w:r>
            <w:r>
              <w:rPr>
                <w:i/>
                <w:sz w:val="14"/>
              </w:rPr>
              <w:t>Katanga</w:t>
            </w:r>
            <w:r>
              <w:rPr>
                <w:i/>
                <w:spacing w:val="-9"/>
                <w:sz w:val="14"/>
              </w:rPr>
              <w:t> </w:t>
            </w:r>
            <w:r>
              <w:rPr>
                <w:sz w:val="14"/>
              </w:rPr>
              <w:t>(1)</w:t>
            </w:r>
            <w:r>
              <w:rPr>
                <w:spacing w:val="40"/>
                <w:sz w:val="14"/>
              </w:rPr>
              <w:t> </w:t>
            </w:r>
            <w:r>
              <w:rPr>
                <w:spacing w:val="-2"/>
                <w:sz w:val="14"/>
              </w:rPr>
              <w:t>Other</w:t>
            </w:r>
          </w:p>
          <w:p>
            <w:pPr>
              <w:pStyle w:val="TableParagraph"/>
              <w:spacing w:line="142" w:lineRule="exact" w:before="3"/>
              <w:ind w:left="28"/>
              <w:jc w:val="left"/>
              <w:rPr>
                <w:sz w:val="14"/>
              </w:rPr>
            </w:pPr>
            <w:r>
              <w:rPr>
                <w:w w:val="95"/>
                <w:sz w:val="14"/>
              </w:rPr>
              <w:t>proceedings</w:t>
            </w:r>
            <w:r>
              <w:rPr>
                <w:spacing w:val="29"/>
                <w:sz w:val="14"/>
              </w:rPr>
              <w:t> </w:t>
            </w:r>
            <w:r>
              <w:rPr>
                <w:spacing w:val="-5"/>
                <w:sz w:val="14"/>
              </w:rPr>
              <w:t>(1)</w:t>
            </w:r>
          </w:p>
        </w:tc>
        <w:tc>
          <w:tcPr>
            <w:tcW w:w="600" w:type="dxa"/>
            <w:tcBorders>
              <w:top w:val="single" w:sz="4" w:space="0" w:color="000000"/>
              <w:bottom w:val="single" w:sz="4" w:space="0" w:color="000000"/>
            </w:tcBorders>
          </w:tcPr>
          <w:p>
            <w:pPr>
              <w:pStyle w:val="TableParagraph"/>
              <w:spacing w:before="1"/>
              <w:ind w:right="18"/>
              <w:jc w:val="center"/>
              <w:rPr>
                <w:sz w:val="14"/>
              </w:rPr>
            </w:pPr>
            <w:r>
              <w:rPr>
                <w:w w:val="99"/>
                <w:sz w:val="14"/>
              </w:rPr>
              <w:t>9</w:t>
            </w:r>
          </w:p>
        </w:tc>
        <w:tc>
          <w:tcPr>
            <w:tcW w:w="476" w:type="dxa"/>
            <w:tcBorders>
              <w:top w:val="single" w:sz="4" w:space="0" w:color="000000"/>
              <w:bottom w:val="single" w:sz="4" w:space="0" w:color="000000"/>
            </w:tcBorders>
          </w:tcPr>
          <w:p>
            <w:pPr>
              <w:pStyle w:val="TableParagraph"/>
              <w:spacing w:before="1"/>
              <w:ind w:left="22" w:right="7"/>
              <w:jc w:val="center"/>
              <w:rPr>
                <w:sz w:val="14"/>
              </w:rPr>
            </w:pPr>
            <w:r>
              <w:rPr>
                <w:spacing w:val="-5"/>
                <w:sz w:val="14"/>
              </w:rPr>
              <w:t>11</w:t>
            </w:r>
          </w:p>
        </w:tc>
        <w:tc>
          <w:tcPr>
            <w:tcW w:w="1042" w:type="dxa"/>
            <w:tcBorders>
              <w:top w:val="single" w:sz="4" w:space="0" w:color="000000"/>
              <w:bottom w:val="single" w:sz="4" w:space="0" w:color="000000"/>
            </w:tcBorders>
          </w:tcPr>
          <w:p>
            <w:pPr>
              <w:pStyle w:val="TableParagraph"/>
              <w:spacing w:line="160" w:lineRule="exact" w:before="1"/>
              <w:ind w:left="9"/>
              <w:jc w:val="left"/>
              <w:rPr>
                <w:sz w:val="14"/>
              </w:rPr>
            </w:pPr>
            <w:r>
              <w:rPr>
                <w:i/>
                <w:sz w:val="14"/>
              </w:rPr>
              <w:t>Ongwen</w:t>
            </w:r>
            <w:r>
              <w:rPr>
                <w:i/>
                <w:spacing w:val="-2"/>
                <w:sz w:val="14"/>
              </w:rPr>
              <w:t> </w:t>
            </w:r>
            <w:r>
              <w:rPr>
                <w:spacing w:val="-4"/>
                <w:sz w:val="14"/>
              </w:rPr>
              <w:t>(1);</w:t>
            </w:r>
          </w:p>
          <w:p>
            <w:pPr>
              <w:pStyle w:val="TableParagraph"/>
              <w:spacing w:line="160" w:lineRule="exact"/>
              <w:ind w:left="9"/>
              <w:jc w:val="left"/>
              <w:rPr>
                <w:sz w:val="14"/>
              </w:rPr>
            </w:pPr>
            <w:r>
              <w:rPr>
                <w:i/>
                <w:sz w:val="14"/>
              </w:rPr>
              <w:t>Katanga</w:t>
            </w:r>
            <w:r>
              <w:rPr>
                <w:i/>
                <w:spacing w:val="-4"/>
                <w:sz w:val="14"/>
              </w:rPr>
              <w:t> </w:t>
            </w:r>
            <w:r>
              <w:rPr>
                <w:spacing w:val="-4"/>
                <w:sz w:val="14"/>
              </w:rPr>
              <w:t>(1);</w:t>
            </w:r>
          </w:p>
          <w:p>
            <w:pPr>
              <w:pStyle w:val="TableParagraph"/>
              <w:spacing w:before="2"/>
              <w:ind w:left="9"/>
              <w:jc w:val="left"/>
              <w:rPr>
                <w:sz w:val="14"/>
              </w:rPr>
            </w:pPr>
            <w:r>
              <w:rPr>
                <w:i/>
                <w:sz w:val="14"/>
              </w:rPr>
              <w:t>Lubanga </w:t>
            </w:r>
            <w:r>
              <w:rPr>
                <w:spacing w:val="-4"/>
                <w:sz w:val="14"/>
              </w:rPr>
              <w:t>(1);</w:t>
            </w:r>
          </w:p>
          <w:p>
            <w:pPr>
              <w:pStyle w:val="TableParagraph"/>
              <w:spacing w:before="3"/>
              <w:ind w:left="9"/>
              <w:jc w:val="left"/>
              <w:rPr>
                <w:i/>
                <w:sz w:val="14"/>
              </w:rPr>
            </w:pPr>
            <w:r>
              <w:rPr>
                <w:i/>
                <w:sz w:val="14"/>
              </w:rPr>
              <w:t>Ntaganda</w:t>
            </w:r>
            <w:r>
              <w:rPr>
                <w:i/>
                <w:spacing w:val="-4"/>
                <w:sz w:val="14"/>
              </w:rPr>
              <w:t> </w:t>
            </w:r>
            <w:r>
              <w:rPr>
                <w:sz w:val="14"/>
              </w:rPr>
              <w:t>(2);</w:t>
            </w:r>
            <w:r>
              <w:rPr>
                <w:spacing w:val="40"/>
                <w:sz w:val="14"/>
              </w:rPr>
              <w:t> </w:t>
            </w:r>
            <w:r>
              <w:rPr>
                <w:i/>
                <w:sz w:val="14"/>
              </w:rPr>
              <w:t>Yekatom</w:t>
            </w:r>
            <w:r>
              <w:rPr>
                <w:i/>
                <w:spacing w:val="-9"/>
                <w:sz w:val="14"/>
              </w:rPr>
              <w:t> </w:t>
            </w:r>
            <w:r>
              <w:rPr>
                <w:i/>
                <w:sz w:val="14"/>
              </w:rPr>
              <w:t>and</w:t>
            </w:r>
            <w:r>
              <w:rPr>
                <w:i/>
                <w:spacing w:val="40"/>
                <w:sz w:val="14"/>
              </w:rPr>
              <w:t> </w:t>
            </w:r>
            <w:r>
              <w:rPr>
                <w:i/>
                <w:sz w:val="14"/>
              </w:rPr>
              <w:t>Ngaïssona</w:t>
            </w:r>
            <w:r>
              <w:rPr>
                <w:i/>
                <w:spacing w:val="-4"/>
                <w:sz w:val="14"/>
              </w:rPr>
              <w:t> </w:t>
            </w:r>
            <w:r>
              <w:rPr>
                <w:sz w:val="14"/>
              </w:rPr>
              <w:t>(2);</w:t>
            </w:r>
            <w:r>
              <w:rPr>
                <w:spacing w:val="40"/>
                <w:sz w:val="14"/>
              </w:rPr>
              <w:t> </w:t>
            </w:r>
            <w:r>
              <w:rPr>
                <w:i/>
                <w:sz w:val="14"/>
              </w:rPr>
              <w:t>Gbagbo</w:t>
            </w:r>
            <w:r>
              <w:rPr>
                <w:i/>
                <w:spacing w:val="-9"/>
                <w:sz w:val="14"/>
              </w:rPr>
              <w:t> </w:t>
            </w:r>
            <w:r>
              <w:rPr>
                <w:i/>
                <w:sz w:val="14"/>
              </w:rPr>
              <w:t>and</w:t>
            </w:r>
            <w:r>
              <w:rPr>
                <w:i/>
                <w:spacing w:val="-9"/>
                <w:sz w:val="14"/>
              </w:rPr>
              <w:t> </w:t>
            </w:r>
            <w:r>
              <w:rPr>
                <w:i/>
                <w:sz w:val="14"/>
              </w:rPr>
              <w:t>Blé</w:t>
            </w:r>
            <w:r>
              <w:rPr>
                <w:i/>
                <w:spacing w:val="40"/>
                <w:sz w:val="14"/>
              </w:rPr>
              <w:t> </w:t>
            </w:r>
            <w:r>
              <w:rPr>
                <w:i/>
                <w:sz w:val="14"/>
              </w:rPr>
              <w:t>Goudé</w:t>
            </w:r>
            <w:r>
              <w:rPr>
                <w:i/>
                <w:spacing w:val="-2"/>
                <w:sz w:val="14"/>
              </w:rPr>
              <w:t> </w:t>
            </w:r>
            <w:r>
              <w:rPr>
                <w:sz w:val="14"/>
              </w:rPr>
              <w:t>(1);</w:t>
            </w:r>
            <w:r>
              <w:rPr>
                <w:spacing w:val="-2"/>
                <w:sz w:val="14"/>
              </w:rPr>
              <w:t> </w:t>
            </w:r>
            <w:r>
              <w:rPr>
                <w:i/>
                <w:spacing w:val="-4"/>
                <w:sz w:val="14"/>
              </w:rPr>
              <w:t>Abd-</w:t>
            </w:r>
          </w:p>
          <w:p>
            <w:pPr>
              <w:pStyle w:val="TableParagraph"/>
              <w:spacing w:line="158" w:lineRule="exact"/>
              <w:ind w:left="9"/>
              <w:jc w:val="left"/>
              <w:rPr>
                <w:sz w:val="14"/>
              </w:rPr>
            </w:pPr>
            <w:r>
              <w:rPr>
                <w:i/>
                <w:sz w:val="14"/>
              </w:rPr>
              <w:t>al-Rahman</w:t>
            </w:r>
            <w:r>
              <w:rPr>
                <w:i/>
                <w:spacing w:val="-2"/>
                <w:sz w:val="14"/>
              </w:rPr>
              <w:t> </w:t>
            </w:r>
            <w:r>
              <w:rPr>
                <w:spacing w:val="-4"/>
                <w:sz w:val="14"/>
              </w:rPr>
              <w:t>(1);</w:t>
            </w:r>
          </w:p>
          <w:p>
            <w:pPr>
              <w:pStyle w:val="TableParagraph"/>
              <w:spacing w:line="237" w:lineRule="auto" w:before="3"/>
              <w:ind w:left="9" w:right="22"/>
              <w:jc w:val="left"/>
              <w:rPr>
                <w:sz w:val="9"/>
              </w:rPr>
            </w:pPr>
            <w:r>
              <w:rPr>
                <w:i/>
                <w:sz w:val="14"/>
              </w:rPr>
              <w:t>Saïd </w:t>
            </w:r>
            <w:r>
              <w:rPr>
                <w:sz w:val="14"/>
              </w:rPr>
              <w:t>(1); and</w:t>
            </w:r>
            <w:r>
              <w:rPr>
                <w:spacing w:val="40"/>
                <w:sz w:val="14"/>
              </w:rPr>
              <w:t> </w:t>
            </w:r>
            <w:r>
              <w:rPr>
                <w:sz w:val="14"/>
              </w:rPr>
              <w:t>other</w:t>
            </w:r>
            <w:r>
              <w:rPr>
                <w:spacing w:val="-9"/>
                <w:sz w:val="14"/>
              </w:rPr>
              <w:t> </w:t>
            </w:r>
            <w:r>
              <w:rPr>
                <w:sz w:val="14"/>
              </w:rPr>
              <w:t>proceedings</w:t>
            </w:r>
            <w:r>
              <w:rPr>
                <w:spacing w:val="40"/>
                <w:sz w:val="14"/>
              </w:rPr>
              <w:t> </w:t>
            </w:r>
            <w:r>
              <w:rPr>
                <w:spacing w:val="-2"/>
                <w:position w:val="-4"/>
                <w:sz w:val="14"/>
              </w:rPr>
              <w:t>(1)</w:t>
            </w:r>
            <w:r>
              <w:rPr>
                <w:spacing w:val="-2"/>
                <w:sz w:val="9"/>
              </w:rPr>
              <w:t>165</w:t>
            </w:r>
          </w:p>
        </w:tc>
        <w:tc>
          <w:tcPr>
            <w:tcW w:w="588" w:type="dxa"/>
            <w:tcBorders>
              <w:top w:val="single" w:sz="4" w:space="0" w:color="000000"/>
              <w:bottom w:val="single" w:sz="4" w:space="0" w:color="000000"/>
            </w:tcBorders>
          </w:tcPr>
          <w:p>
            <w:pPr>
              <w:pStyle w:val="TableParagraph"/>
              <w:spacing w:before="1"/>
              <w:ind w:right="16"/>
              <w:jc w:val="center"/>
              <w:rPr>
                <w:sz w:val="14"/>
              </w:rPr>
            </w:pPr>
            <w:r>
              <w:rPr>
                <w:w w:val="99"/>
                <w:sz w:val="14"/>
              </w:rPr>
              <w:t>9</w:t>
            </w:r>
          </w:p>
        </w:tc>
        <w:tc>
          <w:tcPr>
            <w:tcW w:w="1200" w:type="dxa"/>
            <w:tcBorders>
              <w:top w:val="single" w:sz="4" w:space="0" w:color="000000"/>
              <w:bottom w:val="single" w:sz="4" w:space="0" w:color="000000"/>
            </w:tcBorders>
          </w:tcPr>
          <w:p>
            <w:pPr>
              <w:pStyle w:val="TableParagraph"/>
              <w:spacing w:line="160" w:lineRule="exact" w:before="1"/>
              <w:ind w:left="12"/>
              <w:jc w:val="left"/>
              <w:rPr>
                <w:sz w:val="14"/>
              </w:rPr>
            </w:pPr>
            <w:r>
              <w:rPr>
                <w:i/>
                <w:sz w:val="14"/>
              </w:rPr>
              <w:t>Ongwen</w:t>
            </w:r>
            <w:r>
              <w:rPr>
                <w:i/>
                <w:spacing w:val="-2"/>
                <w:sz w:val="14"/>
              </w:rPr>
              <w:t> </w:t>
            </w:r>
            <w:r>
              <w:rPr>
                <w:spacing w:val="-4"/>
                <w:sz w:val="14"/>
              </w:rPr>
              <w:t>(1);</w:t>
            </w:r>
          </w:p>
          <w:p>
            <w:pPr>
              <w:pStyle w:val="TableParagraph"/>
              <w:spacing w:line="160" w:lineRule="exact"/>
              <w:ind w:left="12"/>
              <w:jc w:val="left"/>
              <w:rPr>
                <w:sz w:val="14"/>
              </w:rPr>
            </w:pPr>
            <w:r>
              <w:rPr>
                <w:i/>
                <w:sz w:val="14"/>
              </w:rPr>
              <w:t>Katanga</w:t>
            </w:r>
            <w:r>
              <w:rPr>
                <w:i/>
                <w:spacing w:val="-4"/>
                <w:sz w:val="14"/>
              </w:rPr>
              <w:t> </w:t>
            </w:r>
            <w:r>
              <w:rPr>
                <w:spacing w:val="-4"/>
                <w:sz w:val="14"/>
              </w:rPr>
              <w:t>(1);</w:t>
            </w:r>
          </w:p>
          <w:p>
            <w:pPr>
              <w:pStyle w:val="TableParagraph"/>
              <w:spacing w:before="2"/>
              <w:ind w:left="12"/>
              <w:jc w:val="left"/>
              <w:rPr>
                <w:sz w:val="14"/>
              </w:rPr>
            </w:pPr>
            <w:r>
              <w:rPr>
                <w:i/>
                <w:sz w:val="14"/>
              </w:rPr>
              <w:t>Lubanga</w:t>
            </w:r>
            <w:r>
              <w:rPr>
                <w:i/>
                <w:spacing w:val="1"/>
                <w:sz w:val="14"/>
              </w:rPr>
              <w:t> </w:t>
            </w:r>
            <w:r>
              <w:rPr>
                <w:spacing w:val="-4"/>
                <w:sz w:val="14"/>
              </w:rPr>
              <w:t>(1);</w:t>
            </w:r>
          </w:p>
          <w:p>
            <w:pPr>
              <w:pStyle w:val="TableParagraph"/>
              <w:spacing w:before="3"/>
              <w:ind w:left="12"/>
              <w:jc w:val="left"/>
              <w:rPr>
                <w:i/>
                <w:sz w:val="14"/>
              </w:rPr>
            </w:pPr>
            <w:r>
              <w:rPr>
                <w:i/>
                <w:sz w:val="14"/>
              </w:rPr>
              <w:t>Ntaganda</w:t>
            </w:r>
            <w:r>
              <w:rPr>
                <w:i/>
                <w:spacing w:val="-2"/>
                <w:sz w:val="14"/>
              </w:rPr>
              <w:t> </w:t>
            </w:r>
            <w:r>
              <w:rPr>
                <w:sz w:val="14"/>
              </w:rPr>
              <w:t>(2);</w:t>
            </w:r>
            <w:r>
              <w:rPr>
                <w:spacing w:val="40"/>
                <w:sz w:val="14"/>
              </w:rPr>
              <w:t> </w:t>
            </w:r>
            <w:r>
              <w:rPr>
                <w:i/>
                <w:sz w:val="14"/>
              </w:rPr>
              <w:t>Yekatom</w:t>
            </w:r>
            <w:r>
              <w:rPr>
                <w:i/>
                <w:spacing w:val="-9"/>
                <w:sz w:val="14"/>
              </w:rPr>
              <w:t> </w:t>
            </w:r>
            <w:r>
              <w:rPr>
                <w:i/>
                <w:sz w:val="14"/>
              </w:rPr>
              <w:t>and</w:t>
            </w:r>
            <w:r>
              <w:rPr>
                <w:i/>
                <w:spacing w:val="40"/>
                <w:sz w:val="14"/>
              </w:rPr>
              <w:t> </w:t>
            </w:r>
            <w:r>
              <w:rPr>
                <w:i/>
                <w:sz w:val="14"/>
              </w:rPr>
              <w:t>Ngaïssona</w:t>
            </w:r>
            <w:r>
              <w:rPr>
                <w:i/>
                <w:spacing w:val="-9"/>
                <w:sz w:val="14"/>
              </w:rPr>
              <w:t> </w:t>
            </w:r>
            <w:r>
              <w:rPr>
                <w:sz w:val="14"/>
              </w:rPr>
              <w:t>(2);</w:t>
            </w:r>
            <w:r>
              <w:rPr>
                <w:spacing w:val="-9"/>
                <w:sz w:val="14"/>
              </w:rPr>
              <w:t> </w:t>
            </w:r>
            <w:r>
              <w:rPr>
                <w:i/>
                <w:sz w:val="14"/>
              </w:rPr>
              <w:t>Abd-</w:t>
            </w:r>
          </w:p>
          <w:p>
            <w:pPr>
              <w:pStyle w:val="TableParagraph"/>
              <w:ind w:left="12" w:right="161"/>
              <w:jc w:val="left"/>
              <w:rPr>
                <w:sz w:val="14"/>
              </w:rPr>
            </w:pPr>
            <w:r>
              <w:rPr>
                <w:i/>
                <w:sz w:val="14"/>
              </w:rPr>
              <w:t>Al-Rahman</w:t>
            </w:r>
            <w:r>
              <w:rPr>
                <w:i/>
                <w:spacing w:val="-9"/>
                <w:sz w:val="14"/>
              </w:rPr>
              <w:t> </w:t>
            </w:r>
            <w:r>
              <w:rPr>
                <w:sz w:val="14"/>
              </w:rPr>
              <w:t>(1);</w:t>
            </w:r>
            <w:r>
              <w:rPr>
                <w:sz w:val="14"/>
                <w:vertAlign w:val="superscript"/>
              </w:rPr>
              <w:t>166</w:t>
            </w:r>
            <w:r>
              <w:rPr>
                <w:spacing w:val="40"/>
                <w:sz w:val="14"/>
                <w:vertAlign w:val="baseline"/>
              </w:rPr>
              <w:t> </w:t>
            </w:r>
            <w:r>
              <w:rPr>
                <w:sz w:val="14"/>
                <w:vertAlign w:val="baseline"/>
              </w:rPr>
              <w:t>and</w:t>
            </w:r>
            <w:r>
              <w:rPr>
                <w:spacing w:val="-6"/>
                <w:sz w:val="14"/>
                <w:vertAlign w:val="baseline"/>
              </w:rPr>
              <w:t> </w:t>
            </w:r>
            <w:r>
              <w:rPr>
                <w:sz w:val="14"/>
                <w:vertAlign w:val="baseline"/>
              </w:rPr>
              <w:t>other</w:t>
            </w:r>
            <w:r>
              <w:rPr>
                <w:spacing w:val="40"/>
                <w:sz w:val="14"/>
                <w:vertAlign w:val="baseline"/>
              </w:rPr>
              <w:t> </w:t>
            </w:r>
            <w:r>
              <w:rPr>
                <w:sz w:val="14"/>
                <w:vertAlign w:val="baseline"/>
              </w:rPr>
              <w:t>proceedings</w:t>
            </w:r>
            <w:r>
              <w:rPr>
                <w:spacing w:val="-9"/>
                <w:sz w:val="14"/>
                <w:vertAlign w:val="baseline"/>
              </w:rPr>
              <w:t> </w:t>
            </w:r>
            <w:r>
              <w:rPr>
                <w:sz w:val="14"/>
                <w:vertAlign w:val="baseline"/>
              </w:rPr>
              <w:t>(1)</w:t>
            </w:r>
          </w:p>
        </w:tc>
        <w:tc>
          <w:tcPr>
            <w:tcW w:w="601" w:type="dxa"/>
            <w:tcBorders>
              <w:top w:val="single" w:sz="4" w:space="0" w:color="000000"/>
              <w:bottom w:val="single" w:sz="4" w:space="0" w:color="000000"/>
            </w:tcBorders>
          </w:tcPr>
          <w:p>
            <w:pPr>
              <w:pStyle w:val="TableParagraph"/>
              <w:spacing w:before="1"/>
              <w:ind w:left="20" w:right="11"/>
              <w:jc w:val="center"/>
              <w:rPr>
                <w:sz w:val="14"/>
              </w:rPr>
            </w:pPr>
            <w:r>
              <w:rPr>
                <w:spacing w:val="-5"/>
                <w:sz w:val="14"/>
              </w:rPr>
              <w:t>10</w:t>
            </w:r>
          </w:p>
        </w:tc>
        <w:tc>
          <w:tcPr>
            <w:tcW w:w="1012" w:type="dxa"/>
            <w:tcBorders>
              <w:top w:val="single" w:sz="4" w:space="0" w:color="000000"/>
              <w:bottom w:val="single" w:sz="4" w:space="0" w:color="000000"/>
            </w:tcBorders>
          </w:tcPr>
          <w:p>
            <w:pPr>
              <w:pStyle w:val="TableParagraph"/>
              <w:spacing w:line="160" w:lineRule="exact" w:before="1"/>
              <w:ind w:left="12"/>
              <w:jc w:val="left"/>
              <w:rPr>
                <w:sz w:val="14"/>
              </w:rPr>
            </w:pPr>
            <w:r>
              <w:rPr>
                <w:i/>
                <w:sz w:val="14"/>
              </w:rPr>
              <w:t>Ongwen</w:t>
            </w:r>
            <w:r>
              <w:rPr>
                <w:i/>
                <w:spacing w:val="-2"/>
                <w:sz w:val="14"/>
              </w:rPr>
              <w:t> </w:t>
            </w:r>
            <w:r>
              <w:rPr>
                <w:spacing w:val="-4"/>
                <w:sz w:val="14"/>
              </w:rPr>
              <w:t>(1);</w:t>
            </w:r>
          </w:p>
          <w:p>
            <w:pPr>
              <w:pStyle w:val="TableParagraph"/>
              <w:spacing w:line="160" w:lineRule="exact"/>
              <w:ind w:left="12"/>
              <w:jc w:val="left"/>
              <w:rPr>
                <w:sz w:val="14"/>
              </w:rPr>
            </w:pPr>
            <w:r>
              <w:rPr>
                <w:i/>
                <w:sz w:val="14"/>
              </w:rPr>
              <w:t>Katanga</w:t>
            </w:r>
            <w:r>
              <w:rPr>
                <w:i/>
                <w:spacing w:val="-4"/>
                <w:sz w:val="14"/>
              </w:rPr>
              <w:t> </w:t>
            </w:r>
            <w:r>
              <w:rPr>
                <w:spacing w:val="-4"/>
                <w:sz w:val="14"/>
              </w:rPr>
              <w:t>(1);</w:t>
            </w:r>
          </w:p>
          <w:p>
            <w:pPr>
              <w:pStyle w:val="TableParagraph"/>
              <w:spacing w:before="2"/>
              <w:ind w:left="12"/>
              <w:jc w:val="left"/>
              <w:rPr>
                <w:sz w:val="14"/>
              </w:rPr>
            </w:pPr>
            <w:r>
              <w:rPr>
                <w:i/>
                <w:sz w:val="14"/>
              </w:rPr>
              <w:t>Lubanga </w:t>
            </w:r>
            <w:r>
              <w:rPr>
                <w:spacing w:val="-4"/>
                <w:sz w:val="14"/>
              </w:rPr>
              <w:t>(1);</w:t>
            </w:r>
          </w:p>
          <w:p>
            <w:pPr>
              <w:pStyle w:val="TableParagraph"/>
              <w:spacing w:before="3"/>
              <w:ind w:left="12" w:right="160"/>
              <w:jc w:val="left"/>
              <w:rPr>
                <w:sz w:val="14"/>
              </w:rPr>
            </w:pPr>
            <w:r>
              <w:rPr>
                <w:i/>
                <w:sz w:val="14"/>
              </w:rPr>
              <w:t>Ntaganda</w:t>
            </w:r>
            <w:r>
              <w:rPr>
                <w:i/>
                <w:spacing w:val="-4"/>
                <w:sz w:val="14"/>
              </w:rPr>
              <w:t> </w:t>
            </w:r>
            <w:r>
              <w:rPr>
                <w:sz w:val="14"/>
              </w:rPr>
              <w:t>(2);</w:t>
            </w:r>
            <w:r>
              <w:rPr>
                <w:spacing w:val="40"/>
                <w:sz w:val="14"/>
              </w:rPr>
              <w:t> </w:t>
            </w:r>
            <w:r>
              <w:rPr>
                <w:i/>
                <w:sz w:val="14"/>
              </w:rPr>
              <w:t>Yekatom</w:t>
            </w:r>
            <w:r>
              <w:rPr>
                <w:i/>
                <w:spacing w:val="-9"/>
                <w:sz w:val="14"/>
              </w:rPr>
              <w:t> </w:t>
            </w:r>
            <w:r>
              <w:rPr>
                <w:i/>
                <w:sz w:val="14"/>
              </w:rPr>
              <w:t>and</w:t>
            </w:r>
            <w:r>
              <w:rPr>
                <w:i/>
                <w:spacing w:val="40"/>
                <w:sz w:val="14"/>
              </w:rPr>
              <w:t> </w:t>
            </w:r>
            <w:r>
              <w:rPr>
                <w:i/>
                <w:sz w:val="14"/>
              </w:rPr>
              <w:t>Ngaïssona</w:t>
            </w:r>
            <w:r>
              <w:rPr>
                <w:i/>
                <w:spacing w:val="-9"/>
                <w:sz w:val="14"/>
              </w:rPr>
              <w:t> </w:t>
            </w:r>
            <w:r>
              <w:rPr>
                <w:sz w:val="14"/>
              </w:rPr>
              <w:t>(2);</w:t>
            </w:r>
          </w:p>
          <w:p>
            <w:pPr>
              <w:pStyle w:val="TableParagraph"/>
              <w:spacing w:line="158" w:lineRule="exact"/>
              <w:ind w:left="12"/>
              <w:jc w:val="left"/>
              <w:rPr>
                <w:i/>
                <w:sz w:val="14"/>
              </w:rPr>
            </w:pPr>
            <w:r>
              <w:rPr>
                <w:i/>
                <w:sz w:val="14"/>
              </w:rPr>
              <w:t>Said </w:t>
            </w:r>
            <w:r>
              <w:rPr>
                <w:sz w:val="14"/>
              </w:rPr>
              <w:t>(1);</w:t>
            </w:r>
            <w:r>
              <w:rPr>
                <w:spacing w:val="-3"/>
                <w:sz w:val="14"/>
              </w:rPr>
              <w:t> </w:t>
            </w:r>
            <w:r>
              <w:rPr>
                <w:i/>
                <w:spacing w:val="-2"/>
                <w:sz w:val="14"/>
              </w:rPr>
              <w:t>Mokom</w:t>
            </w:r>
          </w:p>
          <w:p>
            <w:pPr>
              <w:pStyle w:val="TableParagraph"/>
              <w:spacing w:line="237" w:lineRule="auto" w:before="3"/>
              <w:ind w:left="12" w:right="207"/>
              <w:jc w:val="left"/>
              <w:rPr>
                <w:sz w:val="9"/>
              </w:rPr>
            </w:pPr>
            <w:r>
              <w:rPr>
                <w:sz w:val="14"/>
              </w:rPr>
              <w:t>(pre-trial)</w:t>
            </w:r>
            <w:r>
              <w:rPr>
                <w:spacing w:val="-9"/>
                <w:sz w:val="14"/>
              </w:rPr>
              <w:t> </w:t>
            </w:r>
            <w:r>
              <w:rPr>
                <w:sz w:val="14"/>
              </w:rPr>
              <w:t>(1);</w:t>
            </w:r>
            <w:r>
              <w:rPr>
                <w:spacing w:val="40"/>
                <w:sz w:val="14"/>
              </w:rPr>
              <w:t> </w:t>
            </w:r>
            <w:r>
              <w:rPr>
                <w:sz w:val="14"/>
              </w:rPr>
              <w:t>and</w:t>
            </w:r>
            <w:r>
              <w:rPr>
                <w:spacing w:val="-6"/>
                <w:sz w:val="14"/>
              </w:rPr>
              <w:t> </w:t>
            </w:r>
            <w:r>
              <w:rPr>
                <w:sz w:val="14"/>
              </w:rPr>
              <w:t>other</w:t>
            </w:r>
            <w:r>
              <w:rPr>
                <w:spacing w:val="40"/>
                <w:sz w:val="14"/>
              </w:rPr>
              <w:t> </w:t>
            </w:r>
            <w:r>
              <w:rPr>
                <w:spacing w:val="-2"/>
                <w:sz w:val="14"/>
              </w:rPr>
              <w:t>proceedings</w:t>
            </w:r>
            <w:r>
              <w:rPr>
                <w:spacing w:val="40"/>
                <w:sz w:val="14"/>
              </w:rPr>
              <w:t> </w:t>
            </w:r>
            <w:r>
              <w:rPr>
                <w:spacing w:val="-2"/>
                <w:position w:val="-4"/>
                <w:sz w:val="14"/>
              </w:rPr>
              <w:t>(1)</w:t>
            </w:r>
            <w:r>
              <w:rPr>
                <w:spacing w:val="-2"/>
                <w:sz w:val="9"/>
              </w:rPr>
              <w:t>167</w:t>
            </w:r>
          </w:p>
        </w:tc>
      </w:tr>
      <w:tr>
        <w:trPr>
          <w:trHeight w:val="1614" w:hRule="atLeast"/>
        </w:trPr>
        <w:tc>
          <w:tcPr>
            <w:tcW w:w="226" w:type="dxa"/>
            <w:tcBorders>
              <w:top w:val="single" w:sz="4" w:space="0" w:color="000000"/>
            </w:tcBorders>
          </w:tcPr>
          <w:p>
            <w:pPr>
              <w:pStyle w:val="TableParagraph"/>
              <w:spacing w:line="157" w:lineRule="exact"/>
              <w:ind w:left="14"/>
              <w:jc w:val="left"/>
              <w:rPr>
                <w:sz w:val="14"/>
              </w:rPr>
            </w:pPr>
            <w:r>
              <w:rPr>
                <w:spacing w:val="-5"/>
                <w:sz w:val="14"/>
              </w:rPr>
              <w:t>10</w:t>
            </w:r>
          </w:p>
        </w:tc>
        <w:tc>
          <w:tcPr>
            <w:tcW w:w="749" w:type="dxa"/>
            <w:tcBorders>
              <w:top w:val="single" w:sz="4" w:space="0" w:color="000000"/>
            </w:tcBorders>
          </w:tcPr>
          <w:p>
            <w:pPr>
              <w:pStyle w:val="TableParagraph"/>
              <w:ind w:left="67" w:right="60"/>
              <w:jc w:val="left"/>
              <w:rPr>
                <w:sz w:val="14"/>
              </w:rPr>
            </w:pPr>
            <w:r>
              <w:rPr>
                <w:sz w:val="14"/>
              </w:rPr>
              <w:t>Number</w:t>
            </w:r>
            <w:r>
              <w:rPr>
                <w:spacing w:val="-9"/>
                <w:sz w:val="14"/>
              </w:rPr>
              <w:t> </w:t>
            </w:r>
            <w:r>
              <w:rPr>
                <w:sz w:val="14"/>
              </w:rPr>
              <w:t>of</w:t>
            </w:r>
            <w:r>
              <w:rPr>
                <w:spacing w:val="40"/>
                <w:sz w:val="14"/>
              </w:rPr>
              <w:t> </w:t>
            </w:r>
            <w:r>
              <w:rPr>
                <w:spacing w:val="-2"/>
                <w:sz w:val="14"/>
              </w:rPr>
              <w:t>languages</w:t>
            </w:r>
            <w:r>
              <w:rPr>
                <w:spacing w:val="40"/>
                <w:sz w:val="14"/>
              </w:rPr>
              <w:t> </w:t>
            </w:r>
            <w:r>
              <w:rPr>
                <w:spacing w:val="-2"/>
                <w:sz w:val="14"/>
              </w:rPr>
              <w:t>supported</w:t>
            </w:r>
            <w:r>
              <w:rPr>
                <w:spacing w:val="40"/>
                <w:sz w:val="14"/>
              </w:rPr>
              <w:t> </w:t>
            </w:r>
            <w:r>
              <w:rPr>
                <w:sz w:val="14"/>
              </w:rPr>
              <w:t>in</w:t>
            </w:r>
            <w:r>
              <w:rPr>
                <w:spacing w:val="-6"/>
                <w:sz w:val="14"/>
              </w:rPr>
              <w:t> </w:t>
            </w:r>
            <w:r>
              <w:rPr>
                <w:sz w:val="14"/>
              </w:rPr>
              <w:t>the</w:t>
            </w:r>
            <w:r>
              <w:rPr>
                <w:spacing w:val="40"/>
                <w:sz w:val="14"/>
              </w:rPr>
              <w:t> </w:t>
            </w:r>
            <w:r>
              <w:rPr>
                <w:spacing w:val="-2"/>
                <w:sz w:val="14"/>
              </w:rPr>
              <w:t>courtroom</w:t>
            </w:r>
          </w:p>
        </w:tc>
        <w:tc>
          <w:tcPr>
            <w:tcW w:w="601" w:type="dxa"/>
            <w:tcBorders>
              <w:top w:val="single" w:sz="4" w:space="0" w:color="000000"/>
            </w:tcBorders>
          </w:tcPr>
          <w:p>
            <w:pPr>
              <w:pStyle w:val="TableParagraph"/>
              <w:spacing w:line="157" w:lineRule="exact"/>
              <w:ind w:left="20" w:right="7"/>
              <w:jc w:val="center"/>
              <w:rPr>
                <w:sz w:val="14"/>
              </w:rPr>
            </w:pPr>
            <w:r>
              <w:rPr>
                <w:spacing w:val="-5"/>
                <w:sz w:val="14"/>
              </w:rPr>
              <w:t>10</w:t>
            </w:r>
          </w:p>
        </w:tc>
        <w:tc>
          <w:tcPr>
            <w:tcW w:w="466" w:type="dxa"/>
            <w:tcBorders>
              <w:top w:val="single" w:sz="4" w:space="0" w:color="000000"/>
            </w:tcBorders>
          </w:tcPr>
          <w:p>
            <w:pPr>
              <w:pStyle w:val="TableParagraph"/>
              <w:spacing w:line="157" w:lineRule="exact"/>
              <w:ind w:left="24" w:right="2"/>
              <w:jc w:val="center"/>
              <w:rPr>
                <w:sz w:val="14"/>
              </w:rPr>
            </w:pPr>
            <w:r>
              <w:rPr>
                <w:spacing w:val="-5"/>
                <w:sz w:val="14"/>
              </w:rPr>
              <w:t>10</w:t>
            </w:r>
          </w:p>
        </w:tc>
        <w:tc>
          <w:tcPr>
            <w:tcW w:w="1136" w:type="dxa"/>
            <w:tcBorders>
              <w:top w:val="single" w:sz="4" w:space="0" w:color="000000"/>
            </w:tcBorders>
          </w:tcPr>
          <w:p>
            <w:pPr>
              <w:pStyle w:val="TableParagraph"/>
              <w:ind w:left="13" w:right="539"/>
              <w:jc w:val="left"/>
              <w:rPr>
                <w:sz w:val="14"/>
              </w:rPr>
            </w:pPr>
            <w:r>
              <w:rPr>
                <w:spacing w:val="-2"/>
                <w:sz w:val="14"/>
              </w:rPr>
              <w:t>1-Arabic,</w:t>
            </w:r>
            <w:r>
              <w:rPr>
                <w:spacing w:val="40"/>
                <w:sz w:val="14"/>
              </w:rPr>
              <w:t> </w:t>
            </w:r>
            <w:r>
              <w:rPr>
                <w:spacing w:val="-2"/>
                <w:sz w:val="14"/>
              </w:rPr>
              <w:t>2-English,</w:t>
            </w:r>
            <w:r>
              <w:rPr>
                <w:spacing w:val="40"/>
                <w:sz w:val="14"/>
              </w:rPr>
              <w:t> </w:t>
            </w:r>
            <w:r>
              <w:rPr>
                <w:w w:val="95"/>
                <w:sz w:val="14"/>
              </w:rPr>
              <w:t>3-</w:t>
            </w:r>
            <w:r>
              <w:rPr>
                <w:spacing w:val="-2"/>
                <w:sz w:val="14"/>
              </w:rPr>
              <w:t>French,</w:t>
            </w:r>
          </w:p>
          <w:p>
            <w:pPr>
              <w:pStyle w:val="TableParagraph"/>
              <w:ind w:left="13" w:right="130"/>
              <w:jc w:val="left"/>
              <w:rPr>
                <w:sz w:val="14"/>
              </w:rPr>
            </w:pPr>
            <w:r>
              <w:rPr>
                <w:sz w:val="14"/>
              </w:rPr>
              <w:t>4-Congo</w:t>
            </w:r>
            <w:r>
              <w:rPr>
                <w:spacing w:val="-9"/>
                <w:sz w:val="14"/>
              </w:rPr>
              <w:t> </w:t>
            </w:r>
            <w:r>
              <w:rPr>
                <w:sz w:val="14"/>
              </w:rPr>
              <w:t>Swahili,</w:t>
            </w:r>
            <w:r>
              <w:rPr>
                <w:spacing w:val="40"/>
                <w:sz w:val="14"/>
              </w:rPr>
              <w:t> </w:t>
            </w:r>
            <w:r>
              <w:rPr>
                <w:spacing w:val="-2"/>
                <w:sz w:val="14"/>
              </w:rPr>
              <w:t>5-Kinyarwanda,</w:t>
            </w:r>
            <w:r>
              <w:rPr>
                <w:spacing w:val="40"/>
                <w:sz w:val="14"/>
              </w:rPr>
              <w:t> </w:t>
            </w:r>
            <w:r>
              <w:rPr>
                <w:spacing w:val="-2"/>
                <w:sz w:val="14"/>
              </w:rPr>
              <w:t>6-Acholi,</w:t>
            </w:r>
          </w:p>
          <w:p>
            <w:pPr>
              <w:pStyle w:val="TableParagraph"/>
              <w:numPr>
                <w:ilvl w:val="0"/>
                <w:numId w:val="131"/>
              </w:numPr>
              <w:tabs>
                <w:tab w:pos="134" w:val="left" w:leader="none"/>
              </w:tabs>
              <w:spacing w:line="159" w:lineRule="exact" w:before="0" w:after="0"/>
              <w:ind w:left="133" w:right="0" w:hanging="121"/>
              <w:jc w:val="left"/>
              <w:rPr>
                <w:sz w:val="14"/>
              </w:rPr>
            </w:pPr>
            <w:r>
              <w:rPr>
                <w:spacing w:val="-2"/>
                <w:sz w:val="14"/>
              </w:rPr>
              <w:t>Sango</w:t>
            </w:r>
          </w:p>
          <w:p>
            <w:pPr>
              <w:pStyle w:val="TableParagraph"/>
              <w:numPr>
                <w:ilvl w:val="0"/>
                <w:numId w:val="131"/>
              </w:numPr>
              <w:tabs>
                <w:tab w:pos="134" w:val="left" w:leader="none"/>
              </w:tabs>
              <w:spacing w:line="240" w:lineRule="auto" w:before="0" w:after="0"/>
              <w:ind w:left="133" w:right="0" w:hanging="121"/>
              <w:jc w:val="left"/>
              <w:rPr>
                <w:sz w:val="14"/>
              </w:rPr>
            </w:pPr>
            <w:r>
              <w:rPr>
                <w:spacing w:val="-2"/>
                <w:sz w:val="14"/>
              </w:rPr>
              <w:t>Lingala,</w:t>
            </w:r>
          </w:p>
          <w:p>
            <w:pPr>
              <w:pStyle w:val="TableParagraph"/>
              <w:numPr>
                <w:ilvl w:val="0"/>
                <w:numId w:val="131"/>
              </w:numPr>
              <w:tabs>
                <w:tab w:pos="134" w:val="left" w:leader="none"/>
              </w:tabs>
              <w:spacing w:line="158" w:lineRule="exact" w:before="0" w:after="0"/>
              <w:ind w:left="13" w:right="576" w:firstLine="0"/>
              <w:jc w:val="left"/>
              <w:rPr>
                <w:sz w:val="14"/>
              </w:rPr>
            </w:pPr>
            <w:r>
              <w:rPr>
                <w:spacing w:val="-2"/>
                <w:sz w:val="14"/>
              </w:rPr>
              <w:t>Ateso</w:t>
            </w:r>
            <w:r>
              <w:rPr>
                <w:spacing w:val="40"/>
                <w:sz w:val="14"/>
              </w:rPr>
              <w:t> </w:t>
            </w:r>
            <w:r>
              <w:rPr>
                <w:spacing w:val="-2"/>
                <w:sz w:val="14"/>
              </w:rPr>
              <w:t>10-Lango</w:t>
            </w:r>
          </w:p>
        </w:tc>
        <w:tc>
          <w:tcPr>
            <w:tcW w:w="623" w:type="dxa"/>
            <w:tcBorders>
              <w:top w:val="single" w:sz="4" w:space="0" w:color="000000"/>
            </w:tcBorders>
          </w:tcPr>
          <w:p>
            <w:pPr>
              <w:pStyle w:val="TableParagraph"/>
              <w:spacing w:line="157" w:lineRule="exact"/>
              <w:ind w:right="21"/>
              <w:jc w:val="center"/>
              <w:rPr>
                <w:sz w:val="14"/>
              </w:rPr>
            </w:pPr>
            <w:r>
              <w:rPr>
                <w:w w:val="99"/>
                <w:sz w:val="14"/>
              </w:rPr>
              <w:t>3</w:t>
            </w:r>
          </w:p>
        </w:tc>
        <w:tc>
          <w:tcPr>
            <w:tcW w:w="512" w:type="dxa"/>
            <w:tcBorders>
              <w:top w:val="single" w:sz="4" w:space="0" w:color="000000"/>
            </w:tcBorders>
          </w:tcPr>
          <w:p>
            <w:pPr>
              <w:pStyle w:val="TableParagraph"/>
              <w:spacing w:line="157" w:lineRule="exact"/>
              <w:ind w:left="14"/>
              <w:jc w:val="center"/>
              <w:rPr>
                <w:sz w:val="14"/>
              </w:rPr>
            </w:pPr>
            <w:r>
              <w:rPr>
                <w:w w:val="99"/>
                <w:sz w:val="14"/>
              </w:rPr>
              <w:t>6</w:t>
            </w:r>
          </w:p>
        </w:tc>
        <w:tc>
          <w:tcPr>
            <w:tcW w:w="969" w:type="dxa"/>
            <w:tcBorders>
              <w:top w:val="single" w:sz="4" w:space="0" w:color="000000"/>
            </w:tcBorders>
          </w:tcPr>
          <w:p>
            <w:pPr>
              <w:pStyle w:val="TableParagraph"/>
              <w:numPr>
                <w:ilvl w:val="0"/>
                <w:numId w:val="132"/>
              </w:numPr>
              <w:tabs>
                <w:tab w:pos="149" w:val="left" w:leader="none"/>
              </w:tabs>
              <w:spacing w:line="240" w:lineRule="auto" w:before="0" w:after="0"/>
              <w:ind w:left="28" w:right="357" w:firstLine="0"/>
              <w:jc w:val="left"/>
              <w:rPr>
                <w:sz w:val="14"/>
              </w:rPr>
            </w:pPr>
            <w:r>
              <w:rPr>
                <w:spacing w:val="-2"/>
                <w:sz w:val="14"/>
              </w:rPr>
              <w:t>Acholi,</w:t>
            </w:r>
            <w:r>
              <w:rPr>
                <w:spacing w:val="40"/>
                <w:sz w:val="14"/>
              </w:rPr>
              <w:t> </w:t>
            </w:r>
            <w:r>
              <w:rPr>
                <w:spacing w:val="-2"/>
                <w:sz w:val="14"/>
              </w:rPr>
              <w:t>2-English,</w:t>
            </w:r>
            <w:r>
              <w:rPr>
                <w:spacing w:val="40"/>
                <w:sz w:val="14"/>
              </w:rPr>
              <w:t> </w:t>
            </w:r>
            <w:r>
              <w:rPr>
                <w:spacing w:val="-2"/>
                <w:sz w:val="14"/>
              </w:rPr>
              <w:t>3-French,</w:t>
            </w:r>
            <w:r>
              <w:rPr>
                <w:spacing w:val="40"/>
                <w:sz w:val="14"/>
              </w:rPr>
              <w:t> </w:t>
            </w:r>
            <w:r>
              <w:rPr>
                <w:spacing w:val="-2"/>
                <w:sz w:val="14"/>
              </w:rPr>
              <w:t>4-Arabic,</w:t>
            </w:r>
          </w:p>
          <w:p>
            <w:pPr>
              <w:pStyle w:val="TableParagraph"/>
              <w:spacing w:line="244" w:lineRule="auto"/>
              <w:ind w:left="28" w:right="241"/>
              <w:jc w:val="left"/>
              <w:rPr>
                <w:sz w:val="14"/>
              </w:rPr>
            </w:pPr>
            <w:r>
              <w:rPr>
                <w:spacing w:val="-2"/>
                <w:sz w:val="14"/>
              </w:rPr>
              <w:t>5-Kiswahili,</w:t>
            </w:r>
            <w:r>
              <w:rPr>
                <w:spacing w:val="40"/>
                <w:sz w:val="14"/>
              </w:rPr>
              <w:t> </w:t>
            </w:r>
            <w:r>
              <w:rPr>
                <w:spacing w:val="-2"/>
                <w:sz w:val="14"/>
              </w:rPr>
              <w:t>6-Songhai</w:t>
            </w:r>
          </w:p>
        </w:tc>
        <w:tc>
          <w:tcPr>
            <w:tcW w:w="600" w:type="dxa"/>
            <w:tcBorders>
              <w:top w:val="single" w:sz="4" w:space="0" w:color="000000"/>
            </w:tcBorders>
          </w:tcPr>
          <w:p>
            <w:pPr>
              <w:pStyle w:val="TableParagraph"/>
              <w:spacing w:line="157" w:lineRule="exact"/>
              <w:ind w:right="18"/>
              <w:jc w:val="center"/>
              <w:rPr>
                <w:sz w:val="14"/>
              </w:rPr>
            </w:pPr>
            <w:r>
              <w:rPr>
                <w:w w:val="99"/>
                <w:sz w:val="14"/>
              </w:rPr>
              <w:t>6</w:t>
            </w:r>
          </w:p>
        </w:tc>
        <w:tc>
          <w:tcPr>
            <w:tcW w:w="476" w:type="dxa"/>
            <w:tcBorders>
              <w:top w:val="single" w:sz="4" w:space="0" w:color="000000"/>
            </w:tcBorders>
          </w:tcPr>
          <w:p>
            <w:pPr>
              <w:pStyle w:val="TableParagraph"/>
              <w:spacing w:line="157" w:lineRule="exact"/>
              <w:ind w:left="22" w:right="7"/>
              <w:jc w:val="center"/>
              <w:rPr>
                <w:sz w:val="14"/>
              </w:rPr>
            </w:pPr>
            <w:r>
              <w:rPr>
                <w:spacing w:val="-5"/>
                <w:sz w:val="14"/>
              </w:rPr>
              <w:t>10</w:t>
            </w:r>
          </w:p>
        </w:tc>
        <w:tc>
          <w:tcPr>
            <w:tcW w:w="1042" w:type="dxa"/>
            <w:tcBorders>
              <w:top w:val="single" w:sz="4" w:space="0" w:color="000000"/>
            </w:tcBorders>
          </w:tcPr>
          <w:p>
            <w:pPr>
              <w:pStyle w:val="TableParagraph"/>
              <w:ind w:left="9" w:right="448"/>
              <w:jc w:val="left"/>
              <w:rPr>
                <w:sz w:val="14"/>
              </w:rPr>
            </w:pPr>
            <w:r>
              <w:rPr>
                <w:spacing w:val="-2"/>
                <w:sz w:val="14"/>
              </w:rPr>
              <w:t>1-Acholi,</w:t>
            </w:r>
            <w:r>
              <w:rPr>
                <w:spacing w:val="40"/>
                <w:sz w:val="14"/>
              </w:rPr>
              <w:t> </w:t>
            </w:r>
            <w:r>
              <w:rPr>
                <w:spacing w:val="-2"/>
                <w:sz w:val="14"/>
              </w:rPr>
              <w:t>2-English,</w:t>
            </w:r>
            <w:r>
              <w:rPr>
                <w:spacing w:val="40"/>
                <w:sz w:val="14"/>
              </w:rPr>
              <w:t> </w:t>
            </w:r>
            <w:r>
              <w:rPr>
                <w:w w:val="95"/>
                <w:sz w:val="14"/>
              </w:rPr>
              <w:t>3-</w:t>
            </w:r>
            <w:r>
              <w:rPr>
                <w:spacing w:val="-2"/>
                <w:sz w:val="14"/>
              </w:rPr>
              <w:t>French,</w:t>
            </w:r>
          </w:p>
          <w:p>
            <w:pPr>
              <w:pStyle w:val="TableParagraph"/>
              <w:spacing w:line="235" w:lineRule="auto"/>
              <w:ind w:left="9" w:right="367"/>
              <w:jc w:val="left"/>
              <w:rPr>
                <w:sz w:val="14"/>
              </w:rPr>
            </w:pPr>
            <w:r>
              <w:rPr>
                <w:spacing w:val="-2"/>
                <w:sz w:val="14"/>
              </w:rPr>
              <w:t>4-Bambara,</w:t>
            </w:r>
            <w:r>
              <w:rPr>
                <w:spacing w:val="40"/>
                <w:sz w:val="14"/>
              </w:rPr>
              <w:t> </w:t>
            </w:r>
            <w:r>
              <w:rPr>
                <w:spacing w:val="-2"/>
                <w:sz w:val="14"/>
              </w:rPr>
              <w:t>5-Arabic,</w:t>
            </w:r>
          </w:p>
          <w:p>
            <w:pPr>
              <w:pStyle w:val="TableParagraph"/>
              <w:spacing w:line="235" w:lineRule="auto" w:before="7"/>
              <w:ind w:left="9" w:right="425"/>
              <w:jc w:val="left"/>
              <w:rPr>
                <w:sz w:val="14"/>
              </w:rPr>
            </w:pPr>
            <w:r>
              <w:rPr>
                <w:spacing w:val="-2"/>
                <w:sz w:val="14"/>
              </w:rPr>
              <w:t>6-Sango,</w:t>
            </w:r>
            <w:r>
              <w:rPr>
                <w:spacing w:val="40"/>
                <w:sz w:val="14"/>
              </w:rPr>
              <w:t> </w:t>
            </w:r>
            <w:r>
              <w:rPr>
                <w:spacing w:val="-2"/>
                <w:sz w:val="14"/>
              </w:rPr>
              <w:t>7-German,</w:t>
            </w:r>
          </w:p>
          <w:p>
            <w:pPr>
              <w:pStyle w:val="TableParagraph"/>
              <w:spacing w:before="4"/>
              <w:ind w:left="9"/>
              <w:jc w:val="left"/>
              <w:rPr>
                <w:sz w:val="14"/>
              </w:rPr>
            </w:pPr>
            <w:r>
              <w:rPr>
                <w:w w:val="95"/>
                <w:sz w:val="14"/>
              </w:rPr>
              <w:t>8-</w:t>
            </w:r>
            <w:r>
              <w:rPr>
                <w:spacing w:val="-2"/>
                <w:sz w:val="14"/>
              </w:rPr>
              <w:t>Kiswahili,</w:t>
            </w:r>
          </w:p>
          <w:p>
            <w:pPr>
              <w:pStyle w:val="TableParagraph"/>
              <w:spacing w:line="158" w:lineRule="exact"/>
              <w:ind w:left="9" w:right="265"/>
              <w:jc w:val="left"/>
              <w:rPr>
                <w:sz w:val="14"/>
              </w:rPr>
            </w:pPr>
            <w:r>
              <w:rPr>
                <w:spacing w:val="-2"/>
                <w:sz w:val="14"/>
              </w:rPr>
              <w:t>9-Songhai,</w:t>
            </w:r>
            <w:r>
              <w:rPr>
                <w:spacing w:val="40"/>
                <w:sz w:val="14"/>
              </w:rPr>
              <w:t> </w:t>
            </w:r>
            <w:r>
              <w:rPr>
                <w:spacing w:val="-2"/>
                <w:sz w:val="14"/>
              </w:rPr>
              <w:t>10-Tamasheq</w:t>
            </w:r>
          </w:p>
        </w:tc>
        <w:tc>
          <w:tcPr>
            <w:tcW w:w="588" w:type="dxa"/>
            <w:tcBorders>
              <w:top w:val="single" w:sz="4" w:space="0" w:color="000000"/>
            </w:tcBorders>
          </w:tcPr>
          <w:p>
            <w:pPr>
              <w:pStyle w:val="TableParagraph"/>
              <w:spacing w:line="157" w:lineRule="exact"/>
              <w:ind w:right="16"/>
              <w:jc w:val="center"/>
              <w:rPr>
                <w:sz w:val="14"/>
              </w:rPr>
            </w:pPr>
            <w:r>
              <w:rPr>
                <w:w w:val="99"/>
                <w:sz w:val="14"/>
              </w:rPr>
              <w:t>9</w:t>
            </w:r>
          </w:p>
        </w:tc>
        <w:tc>
          <w:tcPr>
            <w:tcW w:w="1200" w:type="dxa"/>
            <w:tcBorders>
              <w:top w:val="single" w:sz="4" w:space="0" w:color="000000"/>
            </w:tcBorders>
          </w:tcPr>
          <w:p>
            <w:pPr>
              <w:pStyle w:val="TableParagraph"/>
              <w:ind w:left="12" w:right="604"/>
              <w:jc w:val="left"/>
              <w:rPr>
                <w:sz w:val="14"/>
              </w:rPr>
            </w:pPr>
            <w:r>
              <w:rPr>
                <w:spacing w:val="-2"/>
                <w:sz w:val="14"/>
              </w:rPr>
              <w:t>1-Acholi,</w:t>
            </w:r>
            <w:r>
              <w:rPr>
                <w:spacing w:val="40"/>
                <w:sz w:val="14"/>
              </w:rPr>
              <w:t> </w:t>
            </w:r>
            <w:r>
              <w:rPr>
                <w:spacing w:val="-2"/>
                <w:sz w:val="14"/>
              </w:rPr>
              <w:t>2-English,</w:t>
            </w:r>
            <w:r>
              <w:rPr>
                <w:spacing w:val="40"/>
                <w:sz w:val="14"/>
              </w:rPr>
              <w:t> </w:t>
            </w:r>
            <w:r>
              <w:rPr>
                <w:w w:val="95"/>
                <w:sz w:val="14"/>
              </w:rPr>
              <w:t>3-</w:t>
            </w:r>
            <w:r>
              <w:rPr>
                <w:spacing w:val="-2"/>
                <w:sz w:val="14"/>
              </w:rPr>
              <w:t>French,</w:t>
            </w:r>
          </w:p>
          <w:p>
            <w:pPr>
              <w:pStyle w:val="TableParagraph"/>
              <w:spacing w:line="235" w:lineRule="auto"/>
              <w:ind w:left="12" w:right="523"/>
              <w:jc w:val="left"/>
              <w:rPr>
                <w:sz w:val="14"/>
              </w:rPr>
            </w:pPr>
            <w:r>
              <w:rPr>
                <w:spacing w:val="-2"/>
                <w:sz w:val="14"/>
              </w:rPr>
              <w:t>4-Bambara,</w:t>
            </w:r>
            <w:r>
              <w:rPr>
                <w:spacing w:val="40"/>
                <w:sz w:val="14"/>
              </w:rPr>
              <w:t> </w:t>
            </w:r>
            <w:r>
              <w:rPr>
                <w:spacing w:val="-2"/>
                <w:sz w:val="14"/>
              </w:rPr>
              <w:t>5-Arabic,</w:t>
            </w:r>
          </w:p>
          <w:p>
            <w:pPr>
              <w:pStyle w:val="TableParagraph"/>
              <w:numPr>
                <w:ilvl w:val="0"/>
                <w:numId w:val="133"/>
              </w:numPr>
              <w:tabs>
                <w:tab w:pos="133" w:val="left" w:leader="none"/>
              </w:tabs>
              <w:spacing w:line="160" w:lineRule="exact" w:before="5" w:after="0"/>
              <w:ind w:left="132" w:right="0" w:hanging="121"/>
              <w:jc w:val="left"/>
              <w:rPr>
                <w:sz w:val="14"/>
              </w:rPr>
            </w:pPr>
            <w:r>
              <w:rPr>
                <w:spacing w:val="-2"/>
                <w:sz w:val="14"/>
              </w:rPr>
              <w:t>Sango,</w:t>
            </w:r>
          </w:p>
          <w:p>
            <w:pPr>
              <w:pStyle w:val="TableParagraph"/>
              <w:numPr>
                <w:ilvl w:val="0"/>
                <w:numId w:val="133"/>
              </w:numPr>
              <w:tabs>
                <w:tab w:pos="133" w:val="left" w:leader="none"/>
              </w:tabs>
              <w:spacing w:line="160" w:lineRule="exact" w:before="0" w:after="0"/>
              <w:ind w:left="132" w:right="0" w:hanging="121"/>
              <w:jc w:val="left"/>
              <w:rPr>
                <w:sz w:val="14"/>
              </w:rPr>
            </w:pPr>
            <w:r>
              <w:rPr>
                <w:spacing w:val="-2"/>
                <w:sz w:val="14"/>
              </w:rPr>
              <w:t>Songhai,</w:t>
            </w:r>
          </w:p>
          <w:p>
            <w:pPr>
              <w:pStyle w:val="TableParagraph"/>
              <w:numPr>
                <w:ilvl w:val="0"/>
                <w:numId w:val="133"/>
              </w:numPr>
              <w:tabs>
                <w:tab w:pos="133" w:val="left" w:leader="none"/>
              </w:tabs>
              <w:spacing w:line="242" w:lineRule="auto" w:before="2" w:after="0"/>
              <w:ind w:left="12" w:right="456" w:firstLine="0"/>
              <w:jc w:val="left"/>
              <w:rPr>
                <w:sz w:val="14"/>
              </w:rPr>
            </w:pPr>
            <w:r>
              <w:rPr>
                <w:spacing w:val="-2"/>
                <w:sz w:val="14"/>
              </w:rPr>
              <w:t>Tamasheq,</w:t>
            </w:r>
            <w:r>
              <w:rPr>
                <w:spacing w:val="40"/>
                <w:sz w:val="14"/>
              </w:rPr>
              <w:t> </w:t>
            </w:r>
            <w:r>
              <w:rPr>
                <w:spacing w:val="-2"/>
                <w:sz w:val="14"/>
              </w:rPr>
              <w:t>9-German</w:t>
            </w:r>
          </w:p>
        </w:tc>
        <w:tc>
          <w:tcPr>
            <w:tcW w:w="601" w:type="dxa"/>
            <w:tcBorders>
              <w:top w:val="single" w:sz="4" w:space="0" w:color="000000"/>
            </w:tcBorders>
          </w:tcPr>
          <w:p>
            <w:pPr>
              <w:pStyle w:val="TableParagraph"/>
              <w:spacing w:line="157" w:lineRule="exact"/>
              <w:ind w:left="2"/>
              <w:jc w:val="center"/>
              <w:rPr>
                <w:sz w:val="14"/>
              </w:rPr>
            </w:pPr>
            <w:r>
              <w:rPr>
                <w:w w:val="99"/>
                <w:sz w:val="14"/>
              </w:rPr>
              <w:t>6</w:t>
            </w:r>
          </w:p>
        </w:tc>
        <w:tc>
          <w:tcPr>
            <w:tcW w:w="1012" w:type="dxa"/>
            <w:tcBorders>
              <w:top w:val="single" w:sz="4" w:space="0" w:color="000000"/>
            </w:tcBorders>
          </w:tcPr>
          <w:p>
            <w:pPr>
              <w:pStyle w:val="TableParagraph"/>
              <w:numPr>
                <w:ilvl w:val="0"/>
                <w:numId w:val="134"/>
              </w:numPr>
              <w:tabs>
                <w:tab w:pos="133" w:val="left" w:leader="none"/>
              </w:tabs>
              <w:spacing w:line="240" w:lineRule="auto" w:before="0" w:after="0"/>
              <w:ind w:left="12" w:right="381" w:firstLine="0"/>
              <w:jc w:val="both"/>
              <w:rPr>
                <w:sz w:val="14"/>
              </w:rPr>
            </w:pPr>
            <w:r>
              <w:rPr>
                <w:spacing w:val="-2"/>
                <w:sz w:val="14"/>
              </w:rPr>
              <w:t>English,</w:t>
            </w:r>
            <w:r>
              <w:rPr>
                <w:spacing w:val="40"/>
                <w:sz w:val="14"/>
              </w:rPr>
              <w:t> </w:t>
            </w:r>
            <w:r>
              <w:rPr>
                <w:spacing w:val="-2"/>
                <w:sz w:val="14"/>
              </w:rPr>
              <w:t>2-French,</w:t>
            </w:r>
            <w:r>
              <w:rPr>
                <w:spacing w:val="40"/>
                <w:sz w:val="14"/>
              </w:rPr>
              <w:t> </w:t>
            </w:r>
            <w:r>
              <w:rPr>
                <w:spacing w:val="-2"/>
                <w:sz w:val="14"/>
              </w:rPr>
              <w:t>3-Standard</w:t>
            </w:r>
            <w:r>
              <w:rPr>
                <w:spacing w:val="40"/>
                <w:sz w:val="14"/>
              </w:rPr>
              <w:t> </w:t>
            </w:r>
            <w:r>
              <w:rPr>
                <w:spacing w:val="-2"/>
                <w:sz w:val="14"/>
              </w:rPr>
              <w:t>Arabic,</w:t>
            </w:r>
          </w:p>
          <w:p>
            <w:pPr>
              <w:pStyle w:val="TableParagraph"/>
              <w:spacing w:line="244" w:lineRule="auto"/>
              <w:ind w:left="12" w:right="493"/>
              <w:jc w:val="left"/>
              <w:rPr>
                <w:sz w:val="14"/>
              </w:rPr>
            </w:pPr>
            <w:r>
              <w:rPr>
                <w:spacing w:val="-2"/>
                <w:sz w:val="14"/>
              </w:rPr>
              <w:t>4-Sango,</w:t>
            </w:r>
            <w:r>
              <w:rPr>
                <w:spacing w:val="40"/>
                <w:sz w:val="14"/>
              </w:rPr>
              <w:t> </w:t>
            </w:r>
            <w:r>
              <w:rPr>
                <w:spacing w:val="-2"/>
                <w:sz w:val="14"/>
              </w:rPr>
              <w:t>5-Fur,</w:t>
            </w:r>
          </w:p>
          <w:p>
            <w:pPr>
              <w:pStyle w:val="TableParagraph"/>
              <w:spacing w:line="242" w:lineRule="auto"/>
              <w:ind w:left="12" w:right="196"/>
              <w:jc w:val="left"/>
              <w:rPr>
                <w:sz w:val="14"/>
              </w:rPr>
            </w:pPr>
            <w:r>
              <w:rPr>
                <w:spacing w:val="-2"/>
                <w:sz w:val="14"/>
              </w:rPr>
              <w:t>6-Sudanese</w:t>
            </w:r>
            <w:r>
              <w:rPr>
                <w:spacing w:val="40"/>
                <w:sz w:val="14"/>
              </w:rPr>
              <w:t> </w:t>
            </w:r>
            <w:r>
              <w:rPr>
                <w:spacing w:val="-2"/>
                <w:sz w:val="14"/>
              </w:rPr>
              <w:t>Arabic</w:t>
            </w:r>
          </w:p>
        </w:tc>
      </w:tr>
      <w:tr>
        <w:trPr>
          <w:trHeight w:val="6437" w:hRule="atLeast"/>
        </w:trPr>
        <w:tc>
          <w:tcPr>
            <w:tcW w:w="226" w:type="dxa"/>
            <w:tcBorders>
              <w:bottom w:val="single" w:sz="4" w:space="0" w:color="000000"/>
            </w:tcBorders>
          </w:tcPr>
          <w:p>
            <w:pPr>
              <w:pStyle w:val="TableParagraph"/>
              <w:spacing w:line="156" w:lineRule="exact"/>
              <w:ind w:left="14"/>
              <w:jc w:val="left"/>
              <w:rPr>
                <w:sz w:val="14"/>
              </w:rPr>
            </w:pPr>
            <w:r>
              <w:rPr>
                <w:spacing w:val="-5"/>
                <w:sz w:val="14"/>
              </w:rPr>
              <w:t>11</w:t>
            </w:r>
          </w:p>
        </w:tc>
        <w:tc>
          <w:tcPr>
            <w:tcW w:w="749" w:type="dxa"/>
            <w:tcBorders>
              <w:bottom w:val="single" w:sz="4" w:space="0" w:color="000000"/>
            </w:tcBorders>
          </w:tcPr>
          <w:p>
            <w:pPr>
              <w:pStyle w:val="TableParagraph"/>
              <w:spacing w:line="237" w:lineRule="auto"/>
              <w:ind w:left="67" w:right="10"/>
              <w:jc w:val="left"/>
              <w:rPr>
                <w:sz w:val="14"/>
              </w:rPr>
            </w:pPr>
            <w:r>
              <w:rPr>
                <w:sz w:val="14"/>
              </w:rPr>
              <w:t>Number</w:t>
            </w:r>
            <w:r>
              <w:rPr>
                <w:spacing w:val="-9"/>
                <w:sz w:val="14"/>
              </w:rPr>
              <w:t> </w:t>
            </w:r>
            <w:r>
              <w:rPr>
                <w:sz w:val="14"/>
              </w:rPr>
              <w:t>of</w:t>
            </w:r>
            <w:r>
              <w:rPr>
                <w:spacing w:val="40"/>
                <w:sz w:val="14"/>
              </w:rPr>
              <w:t> </w:t>
            </w:r>
            <w:r>
              <w:rPr>
                <w:spacing w:val="-2"/>
                <w:sz w:val="14"/>
              </w:rPr>
              <w:t>case-related</w:t>
            </w:r>
            <w:r>
              <w:rPr>
                <w:spacing w:val="40"/>
                <w:sz w:val="14"/>
              </w:rPr>
              <w:t> </w:t>
            </w:r>
            <w:r>
              <w:rPr>
                <w:spacing w:val="-2"/>
                <w:sz w:val="14"/>
              </w:rPr>
              <w:t>languages</w:t>
            </w:r>
            <w:r>
              <w:rPr>
                <w:spacing w:val="40"/>
                <w:sz w:val="14"/>
              </w:rPr>
              <w:t> </w:t>
            </w:r>
            <w:r>
              <w:rPr>
                <w:spacing w:val="-2"/>
                <w:sz w:val="14"/>
              </w:rPr>
              <w:t>supported</w:t>
            </w:r>
          </w:p>
        </w:tc>
        <w:tc>
          <w:tcPr>
            <w:tcW w:w="601" w:type="dxa"/>
            <w:tcBorders>
              <w:bottom w:val="single" w:sz="4" w:space="0" w:color="000000"/>
            </w:tcBorders>
          </w:tcPr>
          <w:p>
            <w:pPr>
              <w:pStyle w:val="TableParagraph"/>
              <w:spacing w:line="156" w:lineRule="exact"/>
              <w:ind w:left="20" w:right="7"/>
              <w:jc w:val="center"/>
              <w:rPr>
                <w:sz w:val="14"/>
              </w:rPr>
            </w:pPr>
            <w:r>
              <w:rPr>
                <w:spacing w:val="-5"/>
                <w:sz w:val="14"/>
              </w:rPr>
              <w:t>29</w:t>
            </w:r>
          </w:p>
        </w:tc>
        <w:tc>
          <w:tcPr>
            <w:tcW w:w="466" w:type="dxa"/>
            <w:tcBorders>
              <w:bottom w:val="single" w:sz="4" w:space="0" w:color="000000"/>
            </w:tcBorders>
          </w:tcPr>
          <w:p>
            <w:pPr>
              <w:pStyle w:val="TableParagraph"/>
              <w:spacing w:line="156" w:lineRule="exact"/>
              <w:ind w:left="24" w:right="2"/>
              <w:jc w:val="center"/>
              <w:rPr>
                <w:sz w:val="14"/>
              </w:rPr>
            </w:pPr>
            <w:r>
              <w:rPr>
                <w:spacing w:val="-5"/>
                <w:sz w:val="14"/>
              </w:rPr>
              <w:t>27</w:t>
            </w:r>
          </w:p>
        </w:tc>
        <w:tc>
          <w:tcPr>
            <w:tcW w:w="1136" w:type="dxa"/>
            <w:tcBorders>
              <w:bottom w:val="single" w:sz="4" w:space="0" w:color="000000"/>
            </w:tcBorders>
          </w:tcPr>
          <w:p>
            <w:pPr>
              <w:pStyle w:val="TableParagraph"/>
              <w:spacing w:line="237" w:lineRule="auto"/>
              <w:ind w:left="13" w:right="539"/>
              <w:jc w:val="left"/>
              <w:rPr>
                <w:sz w:val="14"/>
              </w:rPr>
            </w:pPr>
            <w:r>
              <w:rPr>
                <w:spacing w:val="-2"/>
                <w:sz w:val="14"/>
              </w:rPr>
              <w:t>1-English,</w:t>
            </w:r>
            <w:r>
              <w:rPr>
                <w:spacing w:val="40"/>
                <w:sz w:val="14"/>
              </w:rPr>
              <w:t> </w:t>
            </w:r>
            <w:r>
              <w:rPr>
                <w:spacing w:val="-2"/>
                <w:sz w:val="14"/>
              </w:rPr>
              <w:t>2-French,</w:t>
            </w:r>
            <w:r>
              <w:rPr>
                <w:spacing w:val="40"/>
                <w:sz w:val="14"/>
              </w:rPr>
              <w:t> </w:t>
            </w:r>
            <w:r>
              <w:rPr>
                <w:spacing w:val="-2"/>
                <w:sz w:val="14"/>
              </w:rPr>
              <w:t>3-Acholi,</w:t>
            </w:r>
            <w:r>
              <w:rPr>
                <w:spacing w:val="40"/>
                <w:sz w:val="14"/>
              </w:rPr>
              <w:t> </w:t>
            </w:r>
            <w:r>
              <w:rPr>
                <w:spacing w:val="-2"/>
                <w:sz w:val="14"/>
              </w:rPr>
              <w:t>4-Arabic,</w:t>
            </w:r>
          </w:p>
          <w:p>
            <w:pPr>
              <w:pStyle w:val="TableParagraph"/>
              <w:spacing w:line="160" w:lineRule="exact" w:before="1"/>
              <w:ind w:left="13"/>
              <w:jc w:val="left"/>
              <w:rPr>
                <w:sz w:val="14"/>
              </w:rPr>
            </w:pPr>
            <w:r>
              <w:rPr>
                <w:sz w:val="14"/>
              </w:rPr>
              <w:t>5-Sudanese</w:t>
            </w:r>
            <w:r>
              <w:rPr>
                <w:spacing w:val="-6"/>
                <w:sz w:val="14"/>
              </w:rPr>
              <w:t> </w:t>
            </w:r>
            <w:r>
              <w:rPr>
                <w:spacing w:val="-2"/>
                <w:sz w:val="14"/>
              </w:rPr>
              <w:t>Arabic,</w:t>
            </w:r>
          </w:p>
          <w:p>
            <w:pPr>
              <w:pStyle w:val="TableParagraph"/>
              <w:ind w:left="13" w:right="130"/>
              <w:jc w:val="left"/>
              <w:rPr>
                <w:sz w:val="14"/>
              </w:rPr>
            </w:pPr>
            <w:r>
              <w:rPr>
                <w:sz w:val="14"/>
              </w:rPr>
              <w:t>6-Congo</w:t>
            </w:r>
            <w:r>
              <w:rPr>
                <w:spacing w:val="-9"/>
                <w:sz w:val="14"/>
              </w:rPr>
              <w:t> </w:t>
            </w:r>
            <w:r>
              <w:rPr>
                <w:sz w:val="14"/>
              </w:rPr>
              <w:t>Swahili,</w:t>
            </w:r>
            <w:r>
              <w:rPr>
                <w:spacing w:val="40"/>
                <w:sz w:val="14"/>
              </w:rPr>
              <w:t> </w:t>
            </w:r>
            <w:r>
              <w:rPr>
                <w:spacing w:val="-2"/>
                <w:sz w:val="14"/>
              </w:rPr>
              <w:t>7-Kinyarwanda,</w:t>
            </w:r>
            <w:r>
              <w:rPr>
                <w:spacing w:val="40"/>
                <w:sz w:val="14"/>
              </w:rPr>
              <w:t> </w:t>
            </w:r>
            <w:r>
              <w:rPr>
                <w:spacing w:val="-2"/>
                <w:sz w:val="14"/>
              </w:rPr>
              <w:t>8-Lingala,</w:t>
            </w:r>
          </w:p>
          <w:p>
            <w:pPr>
              <w:pStyle w:val="TableParagraph"/>
              <w:spacing w:before="1"/>
              <w:ind w:left="13"/>
              <w:jc w:val="left"/>
              <w:rPr>
                <w:sz w:val="14"/>
              </w:rPr>
            </w:pPr>
            <w:r>
              <w:rPr>
                <w:w w:val="95"/>
                <w:sz w:val="14"/>
              </w:rPr>
              <w:t>9-</w:t>
            </w:r>
            <w:r>
              <w:rPr>
                <w:spacing w:val="-2"/>
                <w:sz w:val="14"/>
              </w:rPr>
              <w:t>Dioula,</w:t>
            </w:r>
          </w:p>
          <w:p>
            <w:pPr>
              <w:pStyle w:val="TableParagraph"/>
              <w:spacing w:before="2"/>
              <w:ind w:left="13" w:right="390"/>
              <w:jc w:val="left"/>
              <w:rPr>
                <w:sz w:val="14"/>
              </w:rPr>
            </w:pPr>
            <w:r>
              <w:rPr>
                <w:spacing w:val="-2"/>
                <w:sz w:val="14"/>
              </w:rPr>
              <w:t>10-Bambara,</w:t>
            </w:r>
            <w:r>
              <w:rPr>
                <w:spacing w:val="40"/>
                <w:sz w:val="14"/>
              </w:rPr>
              <w:t> </w:t>
            </w:r>
            <w:r>
              <w:rPr>
                <w:spacing w:val="-2"/>
                <w:sz w:val="14"/>
              </w:rPr>
              <w:t>11-Ateso,</w:t>
            </w:r>
            <w:r>
              <w:rPr>
                <w:spacing w:val="40"/>
                <w:sz w:val="14"/>
              </w:rPr>
              <w:t> </w:t>
            </w:r>
            <w:r>
              <w:rPr>
                <w:spacing w:val="-2"/>
                <w:sz w:val="14"/>
              </w:rPr>
              <w:t>12-Alur,</w:t>
            </w:r>
          </w:p>
          <w:p>
            <w:pPr>
              <w:pStyle w:val="TableParagraph"/>
              <w:spacing w:line="242" w:lineRule="auto"/>
              <w:ind w:left="13" w:right="381"/>
              <w:jc w:val="left"/>
              <w:rPr>
                <w:sz w:val="14"/>
              </w:rPr>
            </w:pPr>
            <w:r>
              <w:rPr>
                <w:spacing w:val="-2"/>
                <w:sz w:val="14"/>
              </w:rPr>
              <w:t>13-Sango,</w:t>
            </w:r>
            <w:r>
              <w:rPr>
                <w:spacing w:val="40"/>
                <w:sz w:val="14"/>
              </w:rPr>
              <w:t> </w:t>
            </w:r>
            <w:r>
              <w:rPr>
                <w:spacing w:val="-2"/>
                <w:sz w:val="14"/>
              </w:rPr>
              <w:t>14-Zaghawa,</w:t>
            </w:r>
          </w:p>
          <w:p>
            <w:pPr>
              <w:pStyle w:val="TableParagraph"/>
              <w:ind w:left="13" w:right="318"/>
              <w:jc w:val="left"/>
              <w:rPr>
                <w:sz w:val="14"/>
              </w:rPr>
            </w:pPr>
            <w:r>
              <w:rPr>
                <w:spacing w:val="-2"/>
                <w:sz w:val="14"/>
              </w:rPr>
              <w:t>15-Tamasheq,</w:t>
            </w:r>
            <w:r>
              <w:rPr>
                <w:spacing w:val="40"/>
                <w:sz w:val="14"/>
              </w:rPr>
              <w:t> </w:t>
            </w:r>
            <w:r>
              <w:rPr>
                <w:spacing w:val="-2"/>
                <w:sz w:val="14"/>
              </w:rPr>
              <w:t>16-Georgian,</w:t>
            </w:r>
            <w:r>
              <w:rPr>
                <w:spacing w:val="40"/>
                <w:sz w:val="14"/>
              </w:rPr>
              <w:t> </w:t>
            </w:r>
            <w:r>
              <w:rPr>
                <w:spacing w:val="-2"/>
                <w:sz w:val="14"/>
              </w:rPr>
              <w:t>17-Russian,</w:t>
            </w:r>
            <w:r>
              <w:rPr>
                <w:spacing w:val="40"/>
                <w:sz w:val="14"/>
              </w:rPr>
              <w:t> </w:t>
            </w:r>
            <w:r>
              <w:rPr>
                <w:spacing w:val="-2"/>
                <w:sz w:val="14"/>
              </w:rPr>
              <w:t>18-Songhai,</w:t>
            </w:r>
            <w:r>
              <w:rPr>
                <w:spacing w:val="40"/>
                <w:sz w:val="14"/>
              </w:rPr>
              <w:t> </w:t>
            </w:r>
            <w:r>
              <w:rPr>
                <w:spacing w:val="-2"/>
                <w:sz w:val="14"/>
              </w:rPr>
              <w:t>19-Lendu,</w:t>
            </w:r>
          </w:p>
          <w:p>
            <w:pPr>
              <w:pStyle w:val="TableParagraph"/>
              <w:ind w:left="13" w:right="400"/>
              <w:jc w:val="left"/>
              <w:rPr>
                <w:sz w:val="14"/>
              </w:rPr>
            </w:pPr>
            <w:r>
              <w:rPr>
                <w:spacing w:val="-2"/>
                <w:sz w:val="14"/>
              </w:rPr>
              <w:t>20-Dutch,</w:t>
            </w:r>
            <w:r>
              <w:rPr>
                <w:spacing w:val="40"/>
                <w:sz w:val="14"/>
              </w:rPr>
              <w:t> </w:t>
            </w:r>
            <w:r>
              <w:rPr>
                <w:spacing w:val="-2"/>
                <w:sz w:val="14"/>
              </w:rPr>
              <w:t>21-Lango,</w:t>
            </w:r>
            <w:r>
              <w:rPr>
                <w:spacing w:val="40"/>
                <w:sz w:val="14"/>
              </w:rPr>
              <w:t> </w:t>
            </w:r>
            <w:r>
              <w:rPr>
                <w:spacing w:val="-2"/>
                <w:sz w:val="14"/>
              </w:rPr>
              <w:t>22-Burmese,</w:t>
            </w:r>
            <w:r>
              <w:rPr>
                <w:spacing w:val="40"/>
                <w:sz w:val="14"/>
              </w:rPr>
              <w:t> </w:t>
            </w:r>
            <w:r>
              <w:rPr>
                <w:spacing w:val="-2"/>
                <w:sz w:val="14"/>
              </w:rPr>
              <w:t>23-Bangla</w:t>
            </w:r>
            <w:r>
              <w:rPr>
                <w:spacing w:val="40"/>
                <w:sz w:val="14"/>
              </w:rPr>
              <w:t> </w:t>
            </w:r>
            <w:r>
              <w:rPr>
                <w:spacing w:val="-2"/>
                <w:sz w:val="14"/>
              </w:rPr>
              <w:t>(Bengali),</w:t>
            </w:r>
            <w:r>
              <w:rPr>
                <w:spacing w:val="40"/>
                <w:sz w:val="14"/>
              </w:rPr>
              <w:t> </w:t>
            </w:r>
            <w:r>
              <w:rPr>
                <w:spacing w:val="-2"/>
                <w:sz w:val="14"/>
              </w:rPr>
              <w:t>24-Dari,</w:t>
            </w:r>
          </w:p>
          <w:p>
            <w:pPr>
              <w:pStyle w:val="TableParagraph"/>
              <w:ind w:left="13" w:right="387"/>
              <w:jc w:val="left"/>
              <w:rPr>
                <w:sz w:val="14"/>
              </w:rPr>
            </w:pPr>
            <w:r>
              <w:rPr>
                <w:spacing w:val="-2"/>
                <w:sz w:val="14"/>
              </w:rPr>
              <w:t>25-Pashto,</w:t>
            </w:r>
            <w:r>
              <w:rPr>
                <w:spacing w:val="40"/>
                <w:sz w:val="14"/>
              </w:rPr>
              <w:t> </w:t>
            </w:r>
            <w:r>
              <w:rPr>
                <w:spacing w:val="-2"/>
                <w:sz w:val="14"/>
              </w:rPr>
              <w:t>26-Kirundi,</w:t>
            </w:r>
            <w:r>
              <w:rPr>
                <w:spacing w:val="40"/>
                <w:sz w:val="14"/>
              </w:rPr>
              <w:t> </w:t>
            </w:r>
            <w:r>
              <w:rPr>
                <w:spacing w:val="-2"/>
                <w:sz w:val="14"/>
              </w:rPr>
              <w:t>27-Rohingya</w:t>
            </w:r>
          </w:p>
        </w:tc>
        <w:tc>
          <w:tcPr>
            <w:tcW w:w="623" w:type="dxa"/>
            <w:tcBorders>
              <w:bottom w:val="single" w:sz="4" w:space="0" w:color="000000"/>
            </w:tcBorders>
          </w:tcPr>
          <w:p>
            <w:pPr>
              <w:pStyle w:val="TableParagraph"/>
              <w:spacing w:line="156" w:lineRule="exact"/>
              <w:ind w:left="9" w:right="23"/>
              <w:jc w:val="center"/>
              <w:rPr>
                <w:sz w:val="14"/>
              </w:rPr>
            </w:pPr>
            <w:r>
              <w:rPr>
                <w:spacing w:val="-5"/>
                <w:sz w:val="14"/>
              </w:rPr>
              <w:t>33</w:t>
            </w:r>
          </w:p>
        </w:tc>
        <w:tc>
          <w:tcPr>
            <w:tcW w:w="512" w:type="dxa"/>
            <w:tcBorders>
              <w:bottom w:val="single" w:sz="4" w:space="0" w:color="000000"/>
            </w:tcBorders>
          </w:tcPr>
          <w:p>
            <w:pPr>
              <w:pStyle w:val="TableParagraph"/>
              <w:spacing w:line="156" w:lineRule="exact"/>
              <w:ind w:left="41" w:right="20"/>
              <w:jc w:val="center"/>
              <w:rPr>
                <w:sz w:val="14"/>
              </w:rPr>
            </w:pPr>
            <w:r>
              <w:rPr>
                <w:spacing w:val="-5"/>
                <w:sz w:val="14"/>
              </w:rPr>
              <w:t>24</w:t>
            </w:r>
          </w:p>
        </w:tc>
        <w:tc>
          <w:tcPr>
            <w:tcW w:w="969" w:type="dxa"/>
            <w:tcBorders>
              <w:bottom w:val="single" w:sz="4" w:space="0" w:color="000000"/>
            </w:tcBorders>
          </w:tcPr>
          <w:p>
            <w:pPr>
              <w:pStyle w:val="TableParagraph"/>
              <w:spacing w:line="237" w:lineRule="auto"/>
              <w:ind w:left="28" w:right="357"/>
              <w:jc w:val="left"/>
              <w:rPr>
                <w:sz w:val="14"/>
              </w:rPr>
            </w:pPr>
            <w:r>
              <w:rPr>
                <w:spacing w:val="-2"/>
                <w:sz w:val="14"/>
              </w:rPr>
              <w:t>1-English,</w:t>
            </w:r>
            <w:r>
              <w:rPr>
                <w:spacing w:val="40"/>
                <w:sz w:val="14"/>
              </w:rPr>
              <w:t> </w:t>
            </w:r>
            <w:r>
              <w:rPr>
                <w:spacing w:val="-2"/>
                <w:sz w:val="14"/>
              </w:rPr>
              <w:t>2-French,</w:t>
            </w:r>
            <w:r>
              <w:rPr>
                <w:spacing w:val="40"/>
                <w:sz w:val="14"/>
              </w:rPr>
              <w:t> </w:t>
            </w:r>
            <w:r>
              <w:rPr>
                <w:spacing w:val="-2"/>
                <w:sz w:val="14"/>
              </w:rPr>
              <w:t>3-Acholi,</w:t>
            </w:r>
            <w:r>
              <w:rPr>
                <w:spacing w:val="40"/>
                <w:sz w:val="14"/>
              </w:rPr>
              <w:t> </w:t>
            </w:r>
            <w:r>
              <w:rPr>
                <w:spacing w:val="-2"/>
                <w:sz w:val="14"/>
              </w:rPr>
              <w:t>4-Arabic,</w:t>
            </w:r>
          </w:p>
          <w:p>
            <w:pPr>
              <w:pStyle w:val="TableParagraph"/>
              <w:numPr>
                <w:ilvl w:val="0"/>
                <w:numId w:val="135"/>
              </w:numPr>
              <w:tabs>
                <w:tab w:pos="182" w:val="left" w:leader="none"/>
              </w:tabs>
              <w:spacing w:line="235" w:lineRule="auto" w:before="3" w:after="0"/>
              <w:ind w:left="28" w:right="258" w:firstLine="0"/>
              <w:jc w:val="left"/>
              <w:rPr>
                <w:sz w:val="14"/>
              </w:rPr>
            </w:pPr>
            <w:r>
              <w:rPr>
                <w:spacing w:val="-2"/>
                <w:sz w:val="14"/>
              </w:rPr>
              <w:t>Sudanese</w:t>
            </w:r>
            <w:r>
              <w:rPr>
                <w:spacing w:val="40"/>
                <w:sz w:val="14"/>
              </w:rPr>
              <w:t> </w:t>
            </w:r>
            <w:r>
              <w:rPr>
                <w:spacing w:val="-2"/>
                <w:sz w:val="14"/>
              </w:rPr>
              <w:t>Arabic,</w:t>
            </w:r>
          </w:p>
          <w:p>
            <w:pPr>
              <w:pStyle w:val="TableParagraph"/>
              <w:numPr>
                <w:ilvl w:val="0"/>
                <w:numId w:val="135"/>
              </w:numPr>
              <w:tabs>
                <w:tab w:pos="182" w:val="left" w:leader="none"/>
              </w:tabs>
              <w:spacing w:line="235" w:lineRule="auto" w:before="7" w:after="0"/>
              <w:ind w:left="28" w:right="413" w:firstLine="0"/>
              <w:jc w:val="left"/>
              <w:rPr>
                <w:sz w:val="14"/>
              </w:rPr>
            </w:pPr>
            <w:r>
              <w:rPr>
                <w:spacing w:val="-2"/>
                <w:sz w:val="14"/>
              </w:rPr>
              <w:t>Congo</w:t>
            </w:r>
            <w:r>
              <w:rPr>
                <w:spacing w:val="40"/>
                <w:sz w:val="14"/>
              </w:rPr>
              <w:t> </w:t>
            </w:r>
            <w:r>
              <w:rPr>
                <w:spacing w:val="-2"/>
                <w:sz w:val="14"/>
              </w:rPr>
              <w:t>Swahili,</w:t>
            </w:r>
          </w:p>
          <w:p>
            <w:pPr>
              <w:pStyle w:val="TableParagraph"/>
              <w:numPr>
                <w:ilvl w:val="0"/>
                <w:numId w:val="135"/>
              </w:numPr>
              <w:tabs>
                <w:tab w:pos="149" w:val="left" w:leader="none"/>
              </w:tabs>
              <w:spacing w:line="242" w:lineRule="auto" w:before="3" w:after="0"/>
              <w:ind w:left="28" w:right="31" w:firstLine="0"/>
              <w:jc w:val="left"/>
              <w:rPr>
                <w:sz w:val="14"/>
              </w:rPr>
            </w:pPr>
            <w:r>
              <w:rPr>
                <w:spacing w:val="-2"/>
                <w:sz w:val="14"/>
              </w:rPr>
              <w:t>Kinyarwanda,</w:t>
            </w:r>
            <w:r>
              <w:rPr>
                <w:spacing w:val="40"/>
                <w:sz w:val="14"/>
              </w:rPr>
              <w:t> </w:t>
            </w:r>
            <w:r>
              <w:rPr>
                <w:spacing w:val="-2"/>
                <w:sz w:val="14"/>
              </w:rPr>
              <w:t>8-Lingala,</w:t>
            </w:r>
          </w:p>
          <w:p>
            <w:pPr>
              <w:pStyle w:val="TableParagraph"/>
              <w:spacing w:line="157" w:lineRule="exact"/>
              <w:ind w:left="28"/>
              <w:jc w:val="left"/>
              <w:rPr>
                <w:sz w:val="14"/>
              </w:rPr>
            </w:pPr>
            <w:r>
              <w:rPr>
                <w:w w:val="95"/>
                <w:sz w:val="14"/>
              </w:rPr>
              <w:t>9-</w:t>
            </w:r>
            <w:r>
              <w:rPr>
                <w:spacing w:val="-2"/>
                <w:sz w:val="14"/>
              </w:rPr>
              <w:t>Dioula,</w:t>
            </w:r>
          </w:p>
          <w:p>
            <w:pPr>
              <w:pStyle w:val="TableParagraph"/>
              <w:spacing w:before="3"/>
              <w:ind w:left="28" w:right="199"/>
              <w:jc w:val="left"/>
              <w:rPr>
                <w:sz w:val="14"/>
              </w:rPr>
            </w:pPr>
            <w:r>
              <w:rPr>
                <w:spacing w:val="-2"/>
                <w:sz w:val="14"/>
              </w:rPr>
              <w:t>10-Bambara,</w:t>
            </w:r>
            <w:r>
              <w:rPr>
                <w:spacing w:val="40"/>
                <w:sz w:val="14"/>
              </w:rPr>
              <w:t> </w:t>
            </w:r>
            <w:r>
              <w:rPr>
                <w:spacing w:val="-2"/>
                <w:sz w:val="14"/>
              </w:rPr>
              <w:t>11-Bangla</w:t>
            </w:r>
            <w:r>
              <w:rPr>
                <w:spacing w:val="40"/>
                <w:sz w:val="14"/>
              </w:rPr>
              <w:t> </w:t>
            </w:r>
            <w:r>
              <w:rPr>
                <w:spacing w:val="-2"/>
                <w:sz w:val="14"/>
              </w:rPr>
              <w:t>(Bengali),</w:t>
            </w:r>
            <w:r>
              <w:rPr>
                <w:spacing w:val="40"/>
                <w:sz w:val="14"/>
              </w:rPr>
              <w:t> </w:t>
            </w:r>
            <w:r>
              <w:rPr>
                <w:spacing w:val="-2"/>
                <w:sz w:val="14"/>
              </w:rPr>
              <w:t>12-Burmese,</w:t>
            </w:r>
            <w:r>
              <w:rPr>
                <w:spacing w:val="40"/>
                <w:sz w:val="14"/>
              </w:rPr>
              <w:t> </w:t>
            </w:r>
            <w:r>
              <w:rPr>
                <w:spacing w:val="-2"/>
                <w:sz w:val="14"/>
              </w:rPr>
              <w:t>13-Sango,</w:t>
            </w:r>
            <w:r>
              <w:rPr>
                <w:spacing w:val="40"/>
                <w:sz w:val="14"/>
              </w:rPr>
              <w:t> </w:t>
            </w:r>
            <w:r>
              <w:rPr>
                <w:spacing w:val="-2"/>
                <w:sz w:val="14"/>
              </w:rPr>
              <w:t>14-Zaghawa,</w:t>
            </w:r>
          </w:p>
          <w:p>
            <w:pPr>
              <w:pStyle w:val="TableParagraph"/>
              <w:spacing w:line="237" w:lineRule="auto"/>
              <w:ind w:left="28" w:right="137"/>
              <w:jc w:val="left"/>
              <w:rPr>
                <w:sz w:val="14"/>
              </w:rPr>
            </w:pPr>
            <w:r>
              <w:rPr>
                <w:spacing w:val="-2"/>
                <w:sz w:val="14"/>
              </w:rPr>
              <w:t>15-Tamasheq,</w:t>
            </w:r>
            <w:r>
              <w:rPr>
                <w:spacing w:val="40"/>
                <w:sz w:val="14"/>
              </w:rPr>
              <w:t> </w:t>
            </w:r>
            <w:r>
              <w:rPr>
                <w:spacing w:val="-2"/>
                <w:sz w:val="14"/>
              </w:rPr>
              <w:t>16-Georgian,</w:t>
            </w:r>
            <w:r>
              <w:rPr>
                <w:spacing w:val="40"/>
                <w:sz w:val="14"/>
              </w:rPr>
              <w:t> </w:t>
            </w:r>
            <w:r>
              <w:rPr>
                <w:spacing w:val="-2"/>
                <w:sz w:val="14"/>
              </w:rPr>
              <w:t>17-Songhai,</w:t>
            </w:r>
            <w:r>
              <w:rPr>
                <w:spacing w:val="40"/>
                <w:sz w:val="14"/>
              </w:rPr>
              <w:t> </w:t>
            </w:r>
            <w:r>
              <w:rPr>
                <w:spacing w:val="-2"/>
                <w:sz w:val="14"/>
              </w:rPr>
              <w:t>18-Lango,</w:t>
            </w:r>
          </w:p>
          <w:p>
            <w:pPr>
              <w:pStyle w:val="TableParagraph"/>
              <w:spacing w:before="5"/>
              <w:ind w:left="28" w:right="338"/>
              <w:jc w:val="left"/>
              <w:rPr>
                <w:sz w:val="14"/>
              </w:rPr>
            </w:pPr>
            <w:r>
              <w:rPr>
                <w:spacing w:val="-2"/>
                <w:sz w:val="14"/>
              </w:rPr>
              <w:t>19-Dari,</w:t>
            </w:r>
            <w:r>
              <w:rPr>
                <w:spacing w:val="40"/>
                <w:sz w:val="14"/>
              </w:rPr>
              <w:t> </w:t>
            </w:r>
            <w:r>
              <w:rPr>
                <w:spacing w:val="-2"/>
                <w:sz w:val="14"/>
              </w:rPr>
              <w:t>20-Dutch,</w:t>
            </w:r>
            <w:r>
              <w:rPr>
                <w:spacing w:val="40"/>
                <w:sz w:val="14"/>
              </w:rPr>
              <w:t> </w:t>
            </w:r>
            <w:r>
              <w:rPr>
                <w:w w:val="95"/>
                <w:sz w:val="14"/>
              </w:rPr>
              <w:t>21-</w:t>
            </w:r>
            <w:r>
              <w:rPr>
                <w:spacing w:val="-2"/>
                <w:sz w:val="14"/>
              </w:rPr>
              <w:t>Pashto,</w:t>
            </w:r>
          </w:p>
          <w:p>
            <w:pPr>
              <w:pStyle w:val="TableParagraph"/>
              <w:spacing w:before="1"/>
              <w:ind w:left="28" w:right="170"/>
              <w:jc w:val="left"/>
              <w:rPr>
                <w:sz w:val="14"/>
              </w:rPr>
            </w:pPr>
            <w:r>
              <w:rPr>
                <w:spacing w:val="-2"/>
                <w:sz w:val="14"/>
              </w:rPr>
              <w:t>22-Kirundi,</w:t>
            </w:r>
            <w:r>
              <w:rPr>
                <w:spacing w:val="40"/>
                <w:sz w:val="14"/>
              </w:rPr>
              <w:t> </w:t>
            </w:r>
            <w:r>
              <w:rPr>
                <w:spacing w:val="-2"/>
                <w:sz w:val="14"/>
              </w:rPr>
              <w:t>23-Rohingya,</w:t>
            </w:r>
            <w:r>
              <w:rPr>
                <w:spacing w:val="40"/>
                <w:sz w:val="14"/>
              </w:rPr>
              <w:t> </w:t>
            </w:r>
            <w:r>
              <w:rPr>
                <w:spacing w:val="-2"/>
                <w:sz w:val="14"/>
              </w:rPr>
              <w:t>24-Hebrew</w:t>
            </w:r>
          </w:p>
        </w:tc>
        <w:tc>
          <w:tcPr>
            <w:tcW w:w="600" w:type="dxa"/>
            <w:tcBorders>
              <w:bottom w:val="single" w:sz="4" w:space="0" w:color="000000"/>
            </w:tcBorders>
          </w:tcPr>
          <w:p>
            <w:pPr>
              <w:pStyle w:val="TableParagraph"/>
              <w:spacing w:line="156" w:lineRule="exact"/>
              <w:ind w:left="3" w:right="14"/>
              <w:jc w:val="center"/>
              <w:rPr>
                <w:sz w:val="14"/>
              </w:rPr>
            </w:pPr>
            <w:r>
              <w:rPr>
                <w:spacing w:val="-5"/>
                <w:sz w:val="14"/>
              </w:rPr>
              <w:t>36</w:t>
            </w:r>
          </w:p>
        </w:tc>
        <w:tc>
          <w:tcPr>
            <w:tcW w:w="476" w:type="dxa"/>
            <w:tcBorders>
              <w:bottom w:val="single" w:sz="4" w:space="0" w:color="000000"/>
            </w:tcBorders>
          </w:tcPr>
          <w:p>
            <w:pPr>
              <w:pStyle w:val="TableParagraph"/>
              <w:spacing w:line="156" w:lineRule="exact"/>
              <w:ind w:left="22" w:right="7"/>
              <w:jc w:val="center"/>
              <w:rPr>
                <w:sz w:val="14"/>
              </w:rPr>
            </w:pPr>
            <w:r>
              <w:rPr>
                <w:spacing w:val="-5"/>
                <w:sz w:val="14"/>
              </w:rPr>
              <w:t>24</w:t>
            </w:r>
          </w:p>
        </w:tc>
        <w:tc>
          <w:tcPr>
            <w:tcW w:w="1042" w:type="dxa"/>
            <w:tcBorders>
              <w:bottom w:val="single" w:sz="4" w:space="0" w:color="000000"/>
            </w:tcBorders>
          </w:tcPr>
          <w:p>
            <w:pPr>
              <w:pStyle w:val="TableParagraph"/>
              <w:spacing w:line="237" w:lineRule="auto"/>
              <w:ind w:left="9" w:right="448"/>
              <w:jc w:val="left"/>
              <w:rPr>
                <w:sz w:val="14"/>
              </w:rPr>
            </w:pPr>
            <w:r>
              <w:rPr>
                <w:spacing w:val="-2"/>
                <w:sz w:val="14"/>
              </w:rPr>
              <w:t>1-French,</w:t>
            </w:r>
            <w:r>
              <w:rPr>
                <w:spacing w:val="40"/>
                <w:sz w:val="14"/>
              </w:rPr>
              <w:t> </w:t>
            </w:r>
            <w:r>
              <w:rPr>
                <w:spacing w:val="-2"/>
                <w:sz w:val="14"/>
              </w:rPr>
              <w:t>2-English,</w:t>
            </w:r>
            <w:r>
              <w:rPr>
                <w:spacing w:val="40"/>
                <w:sz w:val="14"/>
              </w:rPr>
              <w:t> </w:t>
            </w:r>
            <w:r>
              <w:rPr>
                <w:spacing w:val="-2"/>
                <w:sz w:val="14"/>
              </w:rPr>
              <w:t>3-Acholi,</w:t>
            </w:r>
            <w:r>
              <w:rPr>
                <w:spacing w:val="40"/>
                <w:sz w:val="14"/>
              </w:rPr>
              <w:t> </w:t>
            </w:r>
            <w:r>
              <w:rPr>
                <w:spacing w:val="-2"/>
                <w:sz w:val="14"/>
              </w:rPr>
              <w:t>4-Arabic,</w:t>
            </w:r>
          </w:p>
          <w:p>
            <w:pPr>
              <w:pStyle w:val="TableParagraph"/>
              <w:spacing w:line="235" w:lineRule="auto" w:before="3"/>
              <w:ind w:left="9" w:right="341"/>
              <w:jc w:val="left"/>
              <w:rPr>
                <w:sz w:val="14"/>
              </w:rPr>
            </w:pPr>
            <w:r>
              <w:rPr>
                <w:sz w:val="14"/>
              </w:rPr>
              <w:t>5-</w:t>
            </w:r>
            <w:r>
              <w:rPr>
                <w:spacing w:val="-9"/>
                <w:sz w:val="14"/>
              </w:rPr>
              <w:t> </w:t>
            </w:r>
            <w:r>
              <w:rPr>
                <w:sz w:val="14"/>
              </w:rPr>
              <w:t>Sudanese</w:t>
            </w:r>
            <w:r>
              <w:rPr>
                <w:spacing w:val="40"/>
                <w:sz w:val="14"/>
              </w:rPr>
              <w:t> </w:t>
            </w:r>
            <w:r>
              <w:rPr>
                <w:spacing w:val="-2"/>
                <w:sz w:val="14"/>
              </w:rPr>
              <w:t>Arabic,</w:t>
            </w:r>
          </w:p>
          <w:p>
            <w:pPr>
              <w:pStyle w:val="TableParagraph"/>
              <w:spacing w:before="4"/>
              <w:ind w:left="9" w:right="505"/>
              <w:jc w:val="left"/>
              <w:rPr>
                <w:sz w:val="14"/>
              </w:rPr>
            </w:pPr>
            <w:r>
              <w:rPr>
                <w:sz w:val="14"/>
              </w:rPr>
              <w:t>6-</w:t>
            </w:r>
            <w:r>
              <w:rPr>
                <w:spacing w:val="-9"/>
                <w:sz w:val="14"/>
              </w:rPr>
              <w:t> </w:t>
            </w:r>
            <w:r>
              <w:rPr>
                <w:sz w:val="14"/>
              </w:rPr>
              <w:t>Congo</w:t>
            </w:r>
            <w:r>
              <w:rPr>
                <w:spacing w:val="40"/>
                <w:sz w:val="14"/>
              </w:rPr>
              <w:t> </w:t>
            </w:r>
            <w:r>
              <w:rPr>
                <w:spacing w:val="-2"/>
                <w:sz w:val="14"/>
              </w:rPr>
              <w:t>Swahili,</w:t>
            </w:r>
            <w:r>
              <w:rPr>
                <w:spacing w:val="40"/>
                <w:sz w:val="14"/>
              </w:rPr>
              <w:t> </w:t>
            </w:r>
            <w:r>
              <w:rPr>
                <w:spacing w:val="-2"/>
                <w:sz w:val="14"/>
              </w:rPr>
              <w:t>7-Ateso,</w:t>
            </w:r>
            <w:r>
              <w:rPr>
                <w:spacing w:val="40"/>
                <w:sz w:val="14"/>
              </w:rPr>
              <w:t> </w:t>
            </w:r>
            <w:r>
              <w:rPr>
                <w:w w:val="95"/>
                <w:sz w:val="14"/>
              </w:rPr>
              <w:t>8-</w:t>
            </w:r>
            <w:r>
              <w:rPr>
                <w:spacing w:val="-2"/>
                <w:sz w:val="14"/>
              </w:rPr>
              <w:t>Sango,</w:t>
            </w:r>
          </w:p>
          <w:p>
            <w:pPr>
              <w:pStyle w:val="TableParagraph"/>
              <w:ind w:left="9" w:right="347"/>
              <w:jc w:val="both"/>
              <w:rPr>
                <w:sz w:val="14"/>
              </w:rPr>
            </w:pPr>
            <w:r>
              <w:rPr>
                <w:spacing w:val="-2"/>
                <w:sz w:val="14"/>
              </w:rPr>
              <w:t>9-Zaghawa,</w:t>
            </w:r>
            <w:r>
              <w:rPr>
                <w:spacing w:val="40"/>
                <w:sz w:val="14"/>
              </w:rPr>
              <w:t> </w:t>
            </w:r>
            <w:r>
              <w:rPr>
                <w:spacing w:val="-2"/>
                <w:sz w:val="14"/>
              </w:rPr>
              <w:t>10-Russian,</w:t>
            </w:r>
            <w:r>
              <w:rPr>
                <w:spacing w:val="40"/>
                <w:sz w:val="14"/>
              </w:rPr>
              <w:t> </w:t>
            </w:r>
            <w:r>
              <w:rPr>
                <w:spacing w:val="-2"/>
                <w:sz w:val="14"/>
              </w:rPr>
              <w:t>11-Songhai,</w:t>
            </w:r>
            <w:r>
              <w:rPr>
                <w:spacing w:val="40"/>
                <w:sz w:val="14"/>
              </w:rPr>
              <w:t> </w:t>
            </w:r>
            <w:r>
              <w:rPr>
                <w:spacing w:val="-2"/>
                <w:sz w:val="14"/>
              </w:rPr>
              <w:t>12-Dari,</w:t>
            </w:r>
          </w:p>
          <w:p>
            <w:pPr>
              <w:pStyle w:val="TableParagraph"/>
              <w:ind w:left="9" w:right="261"/>
              <w:jc w:val="left"/>
              <w:rPr>
                <w:sz w:val="14"/>
              </w:rPr>
            </w:pPr>
            <w:r>
              <w:rPr>
                <w:spacing w:val="-2"/>
                <w:sz w:val="14"/>
              </w:rPr>
              <w:t>13-Pashto,</w:t>
            </w:r>
            <w:r>
              <w:rPr>
                <w:spacing w:val="40"/>
                <w:sz w:val="14"/>
              </w:rPr>
              <w:t> </w:t>
            </w:r>
            <w:r>
              <w:rPr>
                <w:spacing w:val="-2"/>
                <w:sz w:val="14"/>
              </w:rPr>
              <w:t>14-Hebrew,</w:t>
            </w:r>
            <w:r>
              <w:rPr>
                <w:spacing w:val="40"/>
                <w:sz w:val="14"/>
              </w:rPr>
              <w:t> </w:t>
            </w:r>
            <w:r>
              <w:rPr>
                <w:spacing w:val="-2"/>
                <w:sz w:val="14"/>
              </w:rPr>
              <w:t>15-Rohingya,</w:t>
            </w:r>
            <w:r>
              <w:rPr>
                <w:spacing w:val="40"/>
                <w:sz w:val="14"/>
              </w:rPr>
              <w:t> </w:t>
            </w:r>
            <w:r>
              <w:rPr>
                <w:spacing w:val="-2"/>
                <w:sz w:val="14"/>
              </w:rPr>
              <w:t>16-Cebuano,</w:t>
            </w:r>
            <w:r>
              <w:rPr>
                <w:spacing w:val="40"/>
                <w:sz w:val="14"/>
              </w:rPr>
              <w:t> </w:t>
            </w:r>
            <w:r>
              <w:rPr>
                <w:spacing w:val="-2"/>
                <w:sz w:val="14"/>
              </w:rPr>
              <w:t>17-Spanish,</w:t>
            </w:r>
          </w:p>
          <w:p>
            <w:pPr>
              <w:pStyle w:val="TableParagraph"/>
              <w:spacing w:before="1"/>
              <w:ind w:left="9" w:right="185"/>
              <w:jc w:val="left"/>
              <w:rPr>
                <w:sz w:val="14"/>
              </w:rPr>
            </w:pPr>
            <w:r>
              <w:rPr>
                <w:spacing w:val="-2"/>
                <w:sz w:val="14"/>
              </w:rPr>
              <w:t>18-Portuguese,</w:t>
            </w:r>
            <w:r>
              <w:rPr>
                <w:spacing w:val="40"/>
                <w:sz w:val="14"/>
              </w:rPr>
              <w:t> </w:t>
            </w:r>
            <w:r>
              <w:rPr>
                <w:spacing w:val="-2"/>
                <w:sz w:val="14"/>
              </w:rPr>
              <w:t>19-Tagalog,</w:t>
            </w:r>
            <w:r>
              <w:rPr>
                <w:spacing w:val="40"/>
                <w:sz w:val="14"/>
              </w:rPr>
              <w:t> </w:t>
            </w:r>
            <w:r>
              <w:rPr>
                <w:spacing w:val="-2"/>
                <w:sz w:val="14"/>
              </w:rPr>
              <w:t>20-Dutch,</w:t>
            </w:r>
          </w:p>
          <w:p>
            <w:pPr>
              <w:pStyle w:val="TableParagraph"/>
              <w:spacing w:line="235" w:lineRule="auto" w:before="4"/>
              <w:ind w:left="9" w:right="228"/>
              <w:jc w:val="left"/>
              <w:rPr>
                <w:sz w:val="14"/>
              </w:rPr>
            </w:pPr>
            <w:r>
              <w:rPr>
                <w:spacing w:val="-2"/>
                <w:sz w:val="14"/>
              </w:rPr>
              <w:t>21-Tamasheq,</w:t>
            </w:r>
            <w:r>
              <w:rPr>
                <w:spacing w:val="40"/>
                <w:sz w:val="14"/>
              </w:rPr>
              <w:t> </w:t>
            </w:r>
            <w:r>
              <w:rPr>
                <w:spacing w:val="-2"/>
                <w:sz w:val="14"/>
              </w:rPr>
              <w:t>22-Fur,</w:t>
            </w:r>
          </w:p>
          <w:p>
            <w:pPr>
              <w:pStyle w:val="TableParagraph"/>
              <w:spacing w:line="235" w:lineRule="auto" w:before="6"/>
              <w:ind w:left="9"/>
              <w:jc w:val="left"/>
              <w:rPr>
                <w:sz w:val="14"/>
              </w:rPr>
            </w:pPr>
            <w:r>
              <w:rPr>
                <w:spacing w:val="-2"/>
                <w:sz w:val="14"/>
              </w:rPr>
              <w:t>23-Standard</w:t>
            </w:r>
            <w:r>
              <w:rPr>
                <w:spacing w:val="40"/>
                <w:sz w:val="14"/>
              </w:rPr>
              <w:t> </w:t>
            </w:r>
            <w:r>
              <w:rPr>
                <w:spacing w:val="-2"/>
                <w:sz w:val="14"/>
              </w:rPr>
              <w:t>Swahili,</w:t>
            </w:r>
          </w:p>
          <w:p>
            <w:pPr>
              <w:pStyle w:val="TableParagraph"/>
              <w:spacing w:before="4"/>
              <w:ind w:left="9"/>
              <w:jc w:val="left"/>
              <w:rPr>
                <w:sz w:val="14"/>
              </w:rPr>
            </w:pPr>
            <w:r>
              <w:rPr>
                <w:w w:val="95"/>
                <w:sz w:val="14"/>
              </w:rPr>
              <w:t>24-</w:t>
            </w:r>
            <w:r>
              <w:rPr>
                <w:spacing w:val="-2"/>
                <w:sz w:val="14"/>
              </w:rPr>
              <w:t>Burmese</w:t>
            </w:r>
          </w:p>
        </w:tc>
        <w:tc>
          <w:tcPr>
            <w:tcW w:w="588" w:type="dxa"/>
            <w:tcBorders>
              <w:bottom w:val="single" w:sz="4" w:space="0" w:color="000000"/>
            </w:tcBorders>
          </w:tcPr>
          <w:p>
            <w:pPr>
              <w:pStyle w:val="TableParagraph"/>
              <w:spacing w:line="156" w:lineRule="exact"/>
              <w:ind w:left="2" w:right="11"/>
              <w:jc w:val="center"/>
              <w:rPr>
                <w:sz w:val="14"/>
              </w:rPr>
            </w:pPr>
            <w:r>
              <w:rPr>
                <w:spacing w:val="-5"/>
                <w:sz w:val="14"/>
              </w:rPr>
              <w:t>36</w:t>
            </w:r>
          </w:p>
        </w:tc>
        <w:tc>
          <w:tcPr>
            <w:tcW w:w="1200" w:type="dxa"/>
            <w:tcBorders>
              <w:bottom w:val="single" w:sz="4" w:space="0" w:color="000000"/>
            </w:tcBorders>
          </w:tcPr>
          <w:p>
            <w:pPr>
              <w:pStyle w:val="TableParagraph"/>
              <w:spacing w:line="237" w:lineRule="auto"/>
              <w:ind w:left="12" w:right="604"/>
              <w:jc w:val="left"/>
              <w:rPr>
                <w:sz w:val="14"/>
              </w:rPr>
            </w:pPr>
            <w:r>
              <w:rPr>
                <w:spacing w:val="-2"/>
                <w:sz w:val="14"/>
              </w:rPr>
              <w:t>1-English,</w:t>
            </w:r>
            <w:r>
              <w:rPr>
                <w:spacing w:val="40"/>
                <w:sz w:val="14"/>
              </w:rPr>
              <w:t> </w:t>
            </w:r>
            <w:r>
              <w:rPr>
                <w:spacing w:val="-2"/>
                <w:sz w:val="14"/>
              </w:rPr>
              <w:t>2-French,</w:t>
            </w:r>
            <w:r>
              <w:rPr>
                <w:spacing w:val="40"/>
                <w:sz w:val="14"/>
              </w:rPr>
              <w:t> </w:t>
            </w:r>
            <w:r>
              <w:rPr>
                <w:spacing w:val="-2"/>
                <w:sz w:val="14"/>
              </w:rPr>
              <w:t>3-Acholi,</w:t>
            </w:r>
            <w:r>
              <w:rPr>
                <w:spacing w:val="40"/>
                <w:sz w:val="14"/>
              </w:rPr>
              <w:t> </w:t>
            </w:r>
            <w:r>
              <w:rPr>
                <w:spacing w:val="-2"/>
                <w:sz w:val="14"/>
              </w:rPr>
              <w:t>4-Arabic,</w:t>
            </w:r>
          </w:p>
          <w:p>
            <w:pPr>
              <w:pStyle w:val="TableParagraph"/>
              <w:spacing w:line="160" w:lineRule="exact" w:before="1"/>
              <w:ind w:left="12"/>
              <w:jc w:val="left"/>
              <w:rPr>
                <w:sz w:val="14"/>
              </w:rPr>
            </w:pPr>
            <w:r>
              <w:rPr>
                <w:sz w:val="14"/>
              </w:rPr>
              <w:t>5-</w:t>
            </w:r>
            <w:r>
              <w:rPr>
                <w:spacing w:val="-4"/>
                <w:sz w:val="14"/>
              </w:rPr>
              <w:t> </w:t>
            </w:r>
            <w:r>
              <w:rPr>
                <w:sz w:val="14"/>
              </w:rPr>
              <w:t>Sudanese</w:t>
            </w:r>
            <w:r>
              <w:rPr>
                <w:spacing w:val="-3"/>
                <w:sz w:val="14"/>
              </w:rPr>
              <w:t> </w:t>
            </w:r>
            <w:r>
              <w:rPr>
                <w:spacing w:val="-2"/>
                <w:sz w:val="14"/>
              </w:rPr>
              <w:t>Arabic,</w:t>
            </w:r>
          </w:p>
          <w:p>
            <w:pPr>
              <w:pStyle w:val="TableParagraph"/>
              <w:spacing w:line="244" w:lineRule="auto"/>
              <w:ind w:left="12" w:right="161"/>
              <w:jc w:val="left"/>
              <w:rPr>
                <w:sz w:val="14"/>
              </w:rPr>
            </w:pPr>
            <w:r>
              <w:rPr>
                <w:sz w:val="14"/>
              </w:rPr>
              <w:t>6-</w:t>
            </w:r>
            <w:r>
              <w:rPr>
                <w:spacing w:val="-9"/>
                <w:sz w:val="14"/>
              </w:rPr>
              <w:t> </w:t>
            </w:r>
            <w:r>
              <w:rPr>
                <w:sz w:val="14"/>
              </w:rPr>
              <w:t>Congo</w:t>
            </w:r>
            <w:r>
              <w:rPr>
                <w:spacing w:val="-9"/>
                <w:sz w:val="14"/>
              </w:rPr>
              <w:t> </w:t>
            </w:r>
            <w:r>
              <w:rPr>
                <w:sz w:val="14"/>
              </w:rPr>
              <w:t>Swahili,</w:t>
            </w:r>
            <w:r>
              <w:rPr>
                <w:spacing w:val="40"/>
                <w:sz w:val="14"/>
              </w:rPr>
              <w:t> </w:t>
            </w:r>
            <w:r>
              <w:rPr>
                <w:spacing w:val="-2"/>
                <w:sz w:val="14"/>
              </w:rPr>
              <w:t>7-Kinyarwanda,</w:t>
            </w:r>
          </w:p>
          <w:p>
            <w:pPr>
              <w:pStyle w:val="TableParagraph"/>
              <w:spacing w:line="242" w:lineRule="auto"/>
              <w:ind w:left="12" w:right="604"/>
              <w:jc w:val="left"/>
              <w:rPr>
                <w:sz w:val="14"/>
              </w:rPr>
            </w:pPr>
            <w:r>
              <w:rPr>
                <w:spacing w:val="-2"/>
                <w:sz w:val="14"/>
              </w:rPr>
              <w:t>8-Lingala,</w:t>
            </w:r>
            <w:r>
              <w:rPr>
                <w:spacing w:val="40"/>
                <w:sz w:val="14"/>
              </w:rPr>
              <w:t> </w:t>
            </w:r>
            <w:r>
              <w:rPr>
                <w:spacing w:val="-2"/>
                <w:sz w:val="14"/>
              </w:rPr>
              <w:t>9-Dioula,</w:t>
            </w:r>
          </w:p>
          <w:p>
            <w:pPr>
              <w:pStyle w:val="TableParagraph"/>
              <w:spacing w:line="237" w:lineRule="auto"/>
              <w:ind w:left="12" w:right="455"/>
              <w:jc w:val="left"/>
              <w:rPr>
                <w:sz w:val="14"/>
              </w:rPr>
            </w:pPr>
            <w:r>
              <w:rPr>
                <w:spacing w:val="-2"/>
                <w:sz w:val="14"/>
              </w:rPr>
              <w:t>10-Bambara,</w:t>
            </w:r>
            <w:r>
              <w:rPr>
                <w:spacing w:val="40"/>
                <w:sz w:val="14"/>
              </w:rPr>
              <w:t> </w:t>
            </w:r>
            <w:r>
              <w:rPr>
                <w:spacing w:val="-2"/>
                <w:sz w:val="14"/>
              </w:rPr>
              <w:t>11-Mòoré,</w:t>
            </w:r>
            <w:r>
              <w:rPr>
                <w:spacing w:val="40"/>
                <w:sz w:val="14"/>
              </w:rPr>
              <w:t> </w:t>
            </w:r>
            <w:r>
              <w:rPr>
                <w:spacing w:val="-2"/>
                <w:sz w:val="14"/>
              </w:rPr>
              <w:t>12-Ateso,</w:t>
            </w:r>
            <w:r>
              <w:rPr>
                <w:spacing w:val="40"/>
                <w:sz w:val="14"/>
              </w:rPr>
              <w:t> </w:t>
            </w:r>
            <w:r>
              <w:rPr>
                <w:spacing w:val="-2"/>
                <w:sz w:val="14"/>
              </w:rPr>
              <w:t>13-Alur,</w:t>
            </w:r>
          </w:p>
          <w:p>
            <w:pPr>
              <w:pStyle w:val="TableParagraph"/>
              <w:ind w:left="12" w:right="446"/>
              <w:jc w:val="left"/>
              <w:rPr>
                <w:sz w:val="14"/>
              </w:rPr>
            </w:pPr>
            <w:r>
              <w:rPr>
                <w:spacing w:val="-2"/>
                <w:sz w:val="14"/>
              </w:rPr>
              <w:t>14-Sango,</w:t>
            </w:r>
            <w:r>
              <w:rPr>
                <w:spacing w:val="40"/>
                <w:sz w:val="14"/>
              </w:rPr>
              <w:t> </w:t>
            </w:r>
            <w:r>
              <w:rPr>
                <w:spacing w:val="-2"/>
                <w:sz w:val="14"/>
              </w:rPr>
              <w:t>15-Zaghawa,</w:t>
            </w:r>
            <w:r>
              <w:rPr>
                <w:spacing w:val="40"/>
                <w:sz w:val="14"/>
              </w:rPr>
              <w:t> </w:t>
            </w:r>
            <w:r>
              <w:rPr>
                <w:sz w:val="14"/>
              </w:rPr>
              <w:t>16-</w:t>
            </w:r>
            <w:r>
              <w:rPr>
                <w:spacing w:val="-6"/>
                <w:sz w:val="14"/>
              </w:rPr>
              <w:t> </w:t>
            </w:r>
            <w:r>
              <w:rPr>
                <w:sz w:val="14"/>
              </w:rPr>
              <w:t>Fur,</w:t>
            </w:r>
          </w:p>
          <w:p>
            <w:pPr>
              <w:pStyle w:val="TableParagraph"/>
              <w:ind w:left="12" w:right="384"/>
              <w:jc w:val="left"/>
              <w:rPr>
                <w:sz w:val="14"/>
              </w:rPr>
            </w:pPr>
            <w:r>
              <w:rPr>
                <w:spacing w:val="-2"/>
                <w:sz w:val="14"/>
              </w:rPr>
              <w:t>17-Tamasheq,</w:t>
            </w:r>
            <w:r>
              <w:rPr>
                <w:spacing w:val="40"/>
                <w:sz w:val="14"/>
              </w:rPr>
              <w:t> </w:t>
            </w:r>
            <w:r>
              <w:rPr>
                <w:spacing w:val="-2"/>
                <w:sz w:val="14"/>
              </w:rPr>
              <w:t>18-Georgian,</w:t>
            </w:r>
            <w:r>
              <w:rPr>
                <w:spacing w:val="40"/>
                <w:sz w:val="14"/>
              </w:rPr>
              <w:t> </w:t>
            </w:r>
            <w:r>
              <w:rPr>
                <w:spacing w:val="-2"/>
                <w:sz w:val="14"/>
              </w:rPr>
              <w:t>19-Russian,</w:t>
            </w:r>
            <w:r>
              <w:rPr>
                <w:spacing w:val="40"/>
                <w:sz w:val="14"/>
              </w:rPr>
              <w:t> </w:t>
            </w:r>
            <w:r>
              <w:rPr>
                <w:spacing w:val="-2"/>
                <w:sz w:val="14"/>
              </w:rPr>
              <w:t>20-Songhai,</w:t>
            </w:r>
            <w:r>
              <w:rPr>
                <w:spacing w:val="40"/>
                <w:sz w:val="14"/>
              </w:rPr>
              <w:t> </w:t>
            </w:r>
            <w:r>
              <w:rPr>
                <w:spacing w:val="-2"/>
                <w:sz w:val="14"/>
              </w:rPr>
              <w:t>21-Lendu,</w:t>
            </w:r>
          </w:p>
          <w:p>
            <w:pPr>
              <w:pStyle w:val="TableParagraph"/>
              <w:ind w:left="12" w:right="479"/>
              <w:jc w:val="left"/>
              <w:rPr>
                <w:sz w:val="14"/>
              </w:rPr>
            </w:pPr>
            <w:r>
              <w:rPr>
                <w:spacing w:val="-2"/>
                <w:sz w:val="14"/>
              </w:rPr>
              <w:t>22-Guéré,</w:t>
            </w:r>
            <w:r>
              <w:rPr>
                <w:spacing w:val="40"/>
                <w:sz w:val="14"/>
              </w:rPr>
              <w:t> </w:t>
            </w:r>
            <w:r>
              <w:rPr>
                <w:spacing w:val="-2"/>
                <w:sz w:val="14"/>
              </w:rPr>
              <w:t>23-Lango,</w:t>
            </w:r>
            <w:r>
              <w:rPr>
                <w:spacing w:val="40"/>
                <w:sz w:val="14"/>
              </w:rPr>
              <w:t> </w:t>
            </w:r>
            <w:r>
              <w:rPr>
                <w:spacing w:val="-2"/>
                <w:sz w:val="14"/>
              </w:rPr>
              <w:t>24-Tigrinya,</w:t>
            </w:r>
            <w:r>
              <w:rPr>
                <w:spacing w:val="40"/>
                <w:sz w:val="14"/>
              </w:rPr>
              <w:t> </w:t>
            </w:r>
            <w:r>
              <w:rPr>
                <w:spacing w:val="-2"/>
                <w:sz w:val="14"/>
              </w:rPr>
              <w:t>25-Fulfulde,</w:t>
            </w:r>
            <w:r>
              <w:rPr>
                <w:spacing w:val="40"/>
                <w:sz w:val="14"/>
              </w:rPr>
              <w:t> </w:t>
            </w:r>
            <w:r>
              <w:rPr>
                <w:spacing w:val="-2"/>
                <w:sz w:val="14"/>
              </w:rPr>
              <w:t>26-Dari,</w:t>
            </w:r>
          </w:p>
          <w:p>
            <w:pPr>
              <w:pStyle w:val="TableParagraph"/>
              <w:ind w:left="12" w:right="470"/>
              <w:jc w:val="left"/>
              <w:rPr>
                <w:sz w:val="14"/>
              </w:rPr>
            </w:pPr>
            <w:r>
              <w:rPr>
                <w:spacing w:val="-2"/>
                <w:sz w:val="14"/>
              </w:rPr>
              <w:t>27-Pashto,</w:t>
            </w:r>
            <w:r>
              <w:rPr>
                <w:spacing w:val="40"/>
                <w:sz w:val="14"/>
              </w:rPr>
              <w:t> </w:t>
            </w:r>
            <w:r>
              <w:rPr>
                <w:spacing w:val="-2"/>
                <w:sz w:val="14"/>
              </w:rPr>
              <w:t>28-Kirundi,</w:t>
            </w:r>
            <w:r>
              <w:rPr>
                <w:spacing w:val="40"/>
                <w:sz w:val="14"/>
              </w:rPr>
              <w:t> </w:t>
            </w:r>
            <w:r>
              <w:rPr>
                <w:spacing w:val="-2"/>
                <w:sz w:val="14"/>
              </w:rPr>
              <w:t>29-Amharic,</w:t>
            </w:r>
          </w:p>
          <w:p>
            <w:pPr>
              <w:pStyle w:val="TableParagraph"/>
              <w:spacing w:line="242" w:lineRule="auto"/>
              <w:ind w:left="12" w:right="201"/>
              <w:jc w:val="left"/>
              <w:rPr>
                <w:sz w:val="14"/>
              </w:rPr>
            </w:pPr>
            <w:r>
              <w:rPr>
                <w:sz w:val="14"/>
              </w:rPr>
              <w:t>30-classified</w:t>
            </w:r>
            <w:r>
              <w:rPr>
                <w:spacing w:val="-9"/>
                <w:sz w:val="14"/>
              </w:rPr>
              <w:t> </w:t>
            </w:r>
            <w:r>
              <w:rPr>
                <w:sz w:val="14"/>
              </w:rPr>
              <w:t>(A),</w:t>
            </w:r>
            <w:r>
              <w:rPr>
                <w:spacing w:val="40"/>
                <w:sz w:val="14"/>
              </w:rPr>
              <w:t> </w:t>
            </w:r>
            <w:r>
              <w:rPr>
                <w:spacing w:val="-2"/>
                <w:sz w:val="14"/>
              </w:rPr>
              <w:t>31-Hebrew,</w:t>
            </w:r>
          </w:p>
          <w:p>
            <w:pPr>
              <w:pStyle w:val="TableParagraph"/>
              <w:ind w:left="12" w:right="402"/>
              <w:jc w:val="left"/>
              <w:rPr>
                <w:sz w:val="14"/>
              </w:rPr>
            </w:pPr>
            <w:r>
              <w:rPr>
                <w:spacing w:val="-2"/>
                <w:sz w:val="14"/>
              </w:rPr>
              <w:t>32-Ukrainian,</w:t>
            </w:r>
            <w:r>
              <w:rPr>
                <w:spacing w:val="40"/>
                <w:sz w:val="14"/>
              </w:rPr>
              <w:t> </w:t>
            </w:r>
            <w:r>
              <w:rPr>
                <w:spacing w:val="-2"/>
                <w:sz w:val="14"/>
              </w:rPr>
              <w:t>33-Burmese,</w:t>
            </w:r>
            <w:r>
              <w:rPr>
                <w:spacing w:val="40"/>
                <w:sz w:val="14"/>
              </w:rPr>
              <w:t> </w:t>
            </w:r>
            <w:r>
              <w:rPr>
                <w:spacing w:val="-2"/>
                <w:sz w:val="14"/>
              </w:rPr>
              <w:t>34-Bengali,</w:t>
            </w:r>
            <w:r>
              <w:rPr>
                <w:spacing w:val="40"/>
                <w:sz w:val="14"/>
              </w:rPr>
              <w:t> </w:t>
            </w:r>
            <w:r>
              <w:rPr>
                <w:spacing w:val="-2"/>
                <w:sz w:val="14"/>
              </w:rPr>
              <w:t>35-Rohingya,</w:t>
            </w:r>
          </w:p>
          <w:p>
            <w:pPr>
              <w:pStyle w:val="TableParagraph"/>
              <w:ind w:left="12"/>
              <w:jc w:val="left"/>
              <w:rPr>
                <w:sz w:val="14"/>
              </w:rPr>
            </w:pPr>
            <w:r>
              <w:rPr>
                <w:sz w:val="14"/>
              </w:rPr>
              <w:t>36-classified</w:t>
            </w:r>
            <w:r>
              <w:rPr>
                <w:spacing w:val="-5"/>
                <w:sz w:val="14"/>
              </w:rPr>
              <w:t> (B)</w:t>
            </w:r>
          </w:p>
        </w:tc>
        <w:tc>
          <w:tcPr>
            <w:tcW w:w="601" w:type="dxa"/>
            <w:tcBorders>
              <w:bottom w:val="single" w:sz="4" w:space="0" w:color="000000"/>
            </w:tcBorders>
          </w:tcPr>
          <w:p>
            <w:pPr>
              <w:pStyle w:val="TableParagraph"/>
              <w:spacing w:line="156" w:lineRule="exact"/>
              <w:ind w:left="20" w:right="11"/>
              <w:jc w:val="center"/>
              <w:rPr>
                <w:sz w:val="14"/>
              </w:rPr>
            </w:pPr>
            <w:r>
              <w:rPr>
                <w:spacing w:val="-5"/>
                <w:sz w:val="14"/>
              </w:rPr>
              <w:t>36</w:t>
            </w:r>
          </w:p>
        </w:tc>
        <w:tc>
          <w:tcPr>
            <w:tcW w:w="1012" w:type="dxa"/>
            <w:tcBorders>
              <w:bottom w:val="single" w:sz="4" w:space="0" w:color="000000"/>
            </w:tcBorders>
          </w:tcPr>
          <w:p>
            <w:pPr>
              <w:pStyle w:val="TableParagraph"/>
              <w:spacing w:line="237" w:lineRule="auto"/>
              <w:ind w:left="12" w:right="416"/>
              <w:jc w:val="left"/>
              <w:rPr>
                <w:sz w:val="14"/>
              </w:rPr>
            </w:pPr>
            <w:r>
              <w:rPr>
                <w:spacing w:val="-2"/>
                <w:sz w:val="14"/>
              </w:rPr>
              <w:t>1-English,</w:t>
            </w:r>
            <w:r>
              <w:rPr>
                <w:spacing w:val="40"/>
                <w:sz w:val="14"/>
              </w:rPr>
              <w:t> </w:t>
            </w:r>
            <w:r>
              <w:rPr>
                <w:spacing w:val="-2"/>
                <w:sz w:val="14"/>
              </w:rPr>
              <w:t>2-French,</w:t>
            </w:r>
            <w:r>
              <w:rPr>
                <w:spacing w:val="40"/>
                <w:sz w:val="14"/>
              </w:rPr>
              <w:t> </w:t>
            </w:r>
            <w:r>
              <w:rPr>
                <w:spacing w:val="-2"/>
                <w:sz w:val="14"/>
              </w:rPr>
              <w:t>3-Acholi,</w:t>
            </w:r>
            <w:r>
              <w:rPr>
                <w:spacing w:val="40"/>
                <w:sz w:val="14"/>
              </w:rPr>
              <w:t> </w:t>
            </w:r>
            <w:r>
              <w:rPr>
                <w:spacing w:val="-2"/>
                <w:sz w:val="14"/>
              </w:rPr>
              <w:t>4-Arabic,</w:t>
            </w:r>
          </w:p>
          <w:p>
            <w:pPr>
              <w:pStyle w:val="TableParagraph"/>
              <w:numPr>
                <w:ilvl w:val="0"/>
                <w:numId w:val="136"/>
              </w:numPr>
              <w:tabs>
                <w:tab w:pos="166" w:val="left" w:leader="none"/>
              </w:tabs>
              <w:spacing w:line="235" w:lineRule="auto" w:before="3" w:after="0"/>
              <w:ind w:left="12" w:right="317" w:firstLine="0"/>
              <w:jc w:val="left"/>
              <w:rPr>
                <w:sz w:val="14"/>
              </w:rPr>
            </w:pPr>
            <w:r>
              <w:rPr>
                <w:spacing w:val="-2"/>
                <w:sz w:val="14"/>
              </w:rPr>
              <w:t>Sudanese</w:t>
            </w:r>
            <w:r>
              <w:rPr>
                <w:spacing w:val="40"/>
                <w:sz w:val="14"/>
              </w:rPr>
              <w:t> </w:t>
            </w:r>
            <w:r>
              <w:rPr>
                <w:spacing w:val="-2"/>
                <w:sz w:val="14"/>
              </w:rPr>
              <w:t>Arabic,</w:t>
            </w:r>
          </w:p>
          <w:p>
            <w:pPr>
              <w:pStyle w:val="TableParagraph"/>
              <w:numPr>
                <w:ilvl w:val="0"/>
                <w:numId w:val="136"/>
              </w:numPr>
              <w:tabs>
                <w:tab w:pos="166" w:val="left" w:leader="none"/>
              </w:tabs>
              <w:spacing w:line="235" w:lineRule="auto" w:before="7" w:after="0"/>
              <w:ind w:left="12" w:right="472" w:firstLine="0"/>
              <w:jc w:val="left"/>
              <w:rPr>
                <w:sz w:val="14"/>
              </w:rPr>
            </w:pPr>
            <w:r>
              <w:rPr>
                <w:spacing w:val="-2"/>
                <w:sz w:val="14"/>
              </w:rPr>
              <w:t>Congo</w:t>
            </w:r>
            <w:r>
              <w:rPr>
                <w:spacing w:val="40"/>
                <w:sz w:val="14"/>
              </w:rPr>
              <w:t> </w:t>
            </w:r>
            <w:r>
              <w:rPr>
                <w:spacing w:val="-2"/>
                <w:sz w:val="14"/>
              </w:rPr>
              <w:t>Swahili,</w:t>
            </w:r>
          </w:p>
          <w:p>
            <w:pPr>
              <w:pStyle w:val="TableParagraph"/>
              <w:numPr>
                <w:ilvl w:val="0"/>
                <w:numId w:val="136"/>
              </w:numPr>
              <w:tabs>
                <w:tab w:pos="133" w:val="left" w:leader="none"/>
              </w:tabs>
              <w:spacing w:line="242" w:lineRule="auto" w:before="3" w:after="0"/>
              <w:ind w:left="12" w:right="90" w:firstLine="0"/>
              <w:jc w:val="left"/>
              <w:rPr>
                <w:sz w:val="14"/>
              </w:rPr>
            </w:pPr>
            <w:r>
              <w:rPr>
                <w:spacing w:val="-2"/>
                <w:sz w:val="14"/>
              </w:rPr>
              <w:t>Kinyarwanda,</w:t>
            </w:r>
            <w:r>
              <w:rPr>
                <w:spacing w:val="40"/>
                <w:sz w:val="14"/>
              </w:rPr>
              <w:t> </w:t>
            </w:r>
            <w:r>
              <w:rPr>
                <w:spacing w:val="-2"/>
                <w:sz w:val="14"/>
              </w:rPr>
              <w:t>8-Lingala,</w:t>
            </w:r>
          </w:p>
          <w:p>
            <w:pPr>
              <w:pStyle w:val="TableParagraph"/>
              <w:spacing w:line="157" w:lineRule="exact"/>
              <w:ind w:left="12"/>
              <w:jc w:val="left"/>
              <w:rPr>
                <w:sz w:val="14"/>
              </w:rPr>
            </w:pPr>
            <w:r>
              <w:rPr>
                <w:w w:val="95"/>
                <w:sz w:val="14"/>
              </w:rPr>
              <w:t>9-</w:t>
            </w:r>
            <w:r>
              <w:rPr>
                <w:spacing w:val="-2"/>
                <w:sz w:val="14"/>
              </w:rPr>
              <w:t>Dioula,</w:t>
            </w:r>
          </w:p>
          <w:p>
            <w:pPr>
              <w:pStyle w:val="TableParagraph"/>
              <w:spacing w:line="237" w:lineRule="auto" w:before="4"/>
              <w:ind w:left="12" w:right="267"/>
              <w:jc w:val="left"/>
              <w:rPr>
                <w:sz w:val="14"/>
              </w:rPr>
            </w:pPr>
            <w:r>
              <w:rPr>
                <w:spacing w:val="-2"/>
                <w:sz w:val="14"/>
              </w:rPr>
              <w:t>10-Bambara,</w:t>
            </w:r>
            <w:r>
              <w:rPr>
                <w:spacing w:val="40"/>
                <w:sz w:val="14"/>
              </w:rPr>
              <w:t> </w:t>
            </w:r>
            <w:r>
              <w:rPr>
                <w:spacing w:val="-2"/>
                <w:sz w:val="14"/>
              </w:rPr>
              <w:t>11-Mòoré,</w:t>
            </w:r>
            <w:r>
              <w:rPr>
                <w:spacing w:val="40"/>
                <w:sz w:val="14"/>
              </w:rPr>
              <w:t> </w:t>
            </w:r>
            <w:r>
              <w:rPr>
                <w:spacing w:val="-2"/>
                <w:sz w:val="14"/>
              </w:rPr>
              <w:t>12-Ateso,</w:t>
            </w:r>
            <w:r>
              <w:rPr>
                <w:spacing w:val="40"/>
                <w:sz w:val="14"/>
              </w:rPr>
              <w:t> </w:t>
            </w:r>
            <w:r>
              <w:rPr>
                <w:spacing w:val="-2"/>
                <w:sz w:val="14"/>
              </w:rPr>
              <w:t>13-Alur,</w:t>
            </w:r>
          </w:p>
          <w:p>
            <w:pPr>
              <w:pStyle w:val="TableParagraph"/>
              <w:spacing w:before="4"/>
              <w:ind w:left="12" w:right="258"/>
              <w:jc w:val="left"/>
              <w:rPr>
                <w:sz w:val="14"/>
              </w:rPr>
            </w:pPr>
            <w:r>
              <w:rPr>
                <w:spacing w:val="-2"/>
                <w:sz w:val="14"/>
              </w:rPr>
              <w:t>14-Sango,</w:t>
            </w:r>
            <w:r>
              <w:rPr>
                <w:spacing w:val="40"/>
                <w:sz w:val="14"/>
              </w:rPr>
              <w:t> </w:t>
            </w:r>
            <w:r>
              <w:rPr>
                <w:spacing w:val="-2"/>
                <w:sz w:val="14"/>
              </w:rPr>
              <w:t>15-Zaghawa,</w:t>
            </w:r>
            <w:r>
              <w:rPr>
                <w:spacing w:val="40"/>
                <w:sz w:val="14"/>
              </w:rPr>
              <w:t> </w:t>
            </w:r>
            <w:r>
              <w:rPr>
                <w:spacing w:val="-2"/>
                <w:sz w:val="14"/>
              </w:rPr>
              <w:t>16-Fur,</w:t>
            </w:r>
          </w:p>
          <w:p>
            <w:pPr>
              <w:pStyle w:val="TableParagraph"/>
              <w:spacing w:line="242" w:lineRule="auto"/>
              <w:ind w:left="12" w:right="196"/>
              <w:jc w:val="left"/>
              <w:rPr>
                <w:sz w:val="14"/>
              </w:rPr>
            </w:pPr>
            <w:r>
              <w:rPr>
                <w:spacing w:val="-2"/>
                <w:sz w:val="14"/>
              </w:rPr>
              <w:t>17-Tamasheq,</w:t>
            </w:r>
            <w:r>
              <w:rPr>
                <w:spacing w:val="40"/>
                <w:sz w:val="14"/>
              </w:rPr>
              <w:t> </w:t>
            </w:r>
            <w:r>
              <w:rPr>
                <w:spacing w:val="-2"/>
                <w:sz w:val="14"/>
              </w:rPr>
              <w:t>18-Georgian,</w:t>
            </w:r>
            <w:r>
              <w:rPr>
                <w:spacing w:val="40"/>
                <w:sz w:val="14"/>
              </w:rPr>
              <w:t> </w:t>
            </w:r>
            <w:r>
              <w:rPr>
                <w:spacing w:val="-2"/>
                <w:sz w:val="14"/>
              </w:rPr>
              <w:t>19-Russian,</w:t>
            </w:r>
            <w:r>
              <w:rPr>
                <w:spacing w:val="40"/>
                <w:sz w:val="14"/>
              </w:rPr>
              <w:t> </w:t>
            </w:r>
            <w:r>
              <w:rPr>
                <w:spacing w:val="-2"/>
                <w:sz w:val="14"/>
              </w:rPr>
              <w:t>20-Songhai,</w:t>
            </w:r>
            <w:r>
              <w:rPr>
                <w:spacing w:val="40"/>
                <w:sz w:val="14"/>
              </w:rPr>
              <w:t> </w:t>
            </w:r>
            <w:r>
              <w:rPr>
                <w:spacing w:val="-2"/>
                <w:sz w:val="14"/>
              </w:rPr>
              <w:t>21-Lendu,</w:t>
            </w:r>
          </w:p>
          <w:p>
            <w:pPr>
              <w:pStyle w:val="TableParagraph"/>
              <w:ind w:left="12" w:right="291"/>
              <w:jc w:val="left"/>
              <w:rPr>
                <w:sz w:val="14"/>
              </w:rPr>
            </w:pPr>
            <w:r>
              <w:rPr>
                <w:spacing w:val="-2"/>
                <w:sz w:val="14"/>
              </w:rPr>
              <w:t>22-Guéré,</w:t>
            </w:r>
            <w:r>
              <w:rPr>
                <w:spacing w:val="40"/>
                <w:sz w:val="14"/>
              </w:rPr>
              <w:t> </w:t>
            </w:r>
            <w:r>
              <w:rPr>
                <w:spacing w:val="-2"/>
                <w:sz w:val="14"/>
              </w:rPr>
              <w:t>23-Lango,</w:t>
            </w:r>
            <w:r>
              <w:rPr>
                <w:spacing w:val="40"/>
                <w:sz w:val="14"/>
              </w:rPr>
              <w:t> </w:t>
            </w:r>
            <w:r>
              <w:rPr>
                <w:spacing w:val="-2"/>
                <w:sz w:val="14"/>
              </w:rPr>
              <w:t>24-Tigrinya,</w:t>
            </w:r>
            <w:r>
              <w:rPr>
                <w:spacing w:val="40"/>
                <w:sz w:val="14"/>
              </w:rPr>
              <w:t> </w:t>
            </w:r>
            <w:r>
              <w:rPr>
                <w:spacing w:val="-2"/>
                <w:sz w:val="14"/>
              </w:rPr>
              <w:t>25-Fulfulde,</w:t>
            </w:r>
            <w:r>
              <w:rPr>
                <w:spacing w:val="40"/>
                <w:sz w:val="14"/>
              </w:rPr>
              <w:t> </w:t>
            </w:r>
            <w:r>
              <w:rPr>
                <w:spacing w:val="-2"/>
                <w:sz w:val="14"/>
              </w:rPr>
              <w:t>26-Dari,</w:t>
            </w:r>
          </w:p>
          <w:p>
            <w:pPr>
              <w:pStyle w:val="TableParagraph"/>
              <w:spacing w:line="237" w:lineRule="auto"/>
              <w:ind w:left="12" w:right="282"/>
              <w:jc w:val="left"/>
              <w:rPr>
                <w:sz w:val="14"/>
              </w:rPr>
            </w:pPr>
            <w:r>
              <w:rPr>
                <w:spacing w:val="-2"/>
                <w:sz w:val="14"/>
              </w:rPr>
              <w:t>27-Pashto,</w:t>
            </w:r>
            <w:r>
              <w:rPr>
                <w:spacing w:val="40"/>
                <w:sz w:val="14"/>
              </w:rPr>
              <w:t> </w:t>
            </w:r>
            <w:r>
              <w:rPr>
                <w:spacing w:val="-2"/>
                <w:sz w:val="14"/>
              </w:rPr>
              <w:t>28-Kirundi,</w:t>
            </w:r>
            <w:r>
              <w:rPr>
                <w:spacing w:val="40"/>
                <w:sz w:val="14"/>
              </w:rPr>
              <w:t> </w:t>
            </w:r>
            <w:r>
              <w:rPr>
                <w:spacing w:val="-2"/>
                <w:sz w:val="14"/>
              </w:rPr>
              <w:t>29-Amharic,</w:t>
            </w:r>
            <w:r>
              <w:rPr>
                <w:spacing w:val="40"/>
                <w:sz w:val="14"/>
              </w:rPr>
              <w:t> </w:t>
            </w:r>
            <w:r>
              <w:rPr>
                <w:spacing w:val="-2"/>
                <w:sz w:val="14"/>
              </w:rPr>
              <w:t>30-Hebrew,</w:t>
            </w:r>
          </w:p>
          <w:p>
            <w:pPr>
              <w:pStyle w:val="TableParagraph"/>
              <w:ind w:left="12" w:right="214"/>
              <w:jc w:val="left"/>
              <w:rPr>
                <w:sz w:val="14"/>
              </w:rPr>
            </w:pPr>
            <w:r>
              <w:rPr>
                <w:spacing w:val="-2"/>
                <w:sz w:val="14"/>
              </w:rPr>
              <w:t>31-Ukrainian,</w:t>
            </w:r>
            <w:r>
              <w:rPr>
                <w:spacing w:val="40"/>
                <w:sz w:val="14"/>
              </w:rPr>
              <w:t> </w:t>
            </w:r>
            <w:r>
              <w:rPr>
                <w:spacing w:val="-2"/>
                <w:sz w:val="14"/>
              </w:rPr>
              <w:t>32-Burmese,</w:t>
            </w:r>
            <w:r>
              <w:rPr>
                <w:spacing w:val="40"/>
                <w:sz w:val="14"/>
              </w:rPr>
              <w:t> </w:t>
            </w:r>
            <w:r>
              <w:rPr>
                <w:spacing w:val="-2"/>
                <w:sz w:val="14"/>
              </w:rPr>
              <w:t>33-Bengali,</w:t>
            </w:r>
            <w:r>
              <w:rPr>
                <w:spacing w:val="40"/>
                <w:sz w:val="14"/>
              </w:rPr>
              <w:t> </w:t>
            </w:r>
            <w:r>
              <w:rPr>
                <w:spacing w:val="-2"/>
                <w:sz w:val="14"/>
              </w:rPr>
              <w:t>34-Rohingya,</w:t>
            </w:r>
          </w:p>
          <w:p>
            <w:pPr>
              <w:pStyle w:val="TableParagraph"/>
              <w:spacing w:line="242" w:lineRule="auto"/>
              <w:ind w:left="12"/>
              <w:jc w:val="left"/>
              <w:rPr>
                <w:sz w:val="14"/>
              </w:rPr>
            </w:pPr>
            <w:r>
              <w:rPr>
                <w:spacing w:val="-2"/>
                <w:sz w:val="14"/>
              </w:rPr>
              <w:t>35-Confidential</w:t>
            </w:r>
            <w:r>
              <w:rPr>
                <w:spacing w:val="40"/>
                <w:sz w:val="14"/>
              </w:rPr>
              <w:t> </w:t>
            </w:r>
            <w:r>
              <w:rPr>
                <w:spacing w:val="-4"/>
                <w:sz w:val="14"/>
              </w:rPr>
              <w:t>(A),</w:t>
            </w:r>
          </w:p>
          <w:p>
            <w:pPr>
              <w:pStyle w:val="TableParagraph"/>
              <w:spacing w:line="157" w:lineRule="exact"/>
              <w:ind w:left="12"/>
              <w:jc w:val="left"/>
              <w:rPr>
                <w:sz w:val="14"/>
              </w:rPr>
            </w:pPr>
            <w:r>
              <w:rPr>
                <w:w w:val="95"/>
                <w:sz w:val="14"/>
              </w:rPr>
              <w:t>36-</w:t>
            </w:r>
            <w:r>
              <w:rPr>
                <w:spacing w:val="-2"/>
                <w:sz w:val="14"/>
              </w:rPr>
              <w:t>Confidential</w:t>
            </w:r>
          </w:p>
          <w:p>
            <w:pPr>
              <w:pStyle w:val="TableParagraph"/>
              <w:spacing w:line="142" w:lineRule="exact" w:before="1"/>
              <w:ind w:left="12"/>
              <w:jc w:val="left"/>
              <w:rPr>
                <w:sz w:val="14"/>
              </w:rPr>
            </w:pPr>
            <w:r>
              <w:rPr>
                <w:spacing w:val="-5"/>
                <w:sz w:val="14"/>
              </w:rPr>
              <w:t>(B)</w:t>
            </w:r>
          </w:p>
        </w:tc>
      </w:tr>
    </w:tbl>
    <w:p>
      <w:pPr>
        <w:pStyle w:val="BodyText"/>
      </w:pPr>
    </w:p>
    <w:p>
      <w:pPr>
        <w:pStyle w:val="BodyText"/>
      </w:pPr>
    </w:p>
    <w:p>
      <w:pPr>
        <w:pStyle w:val="BodyText"/>
      </w:pPr>
    </w:p>
    <w:p>
      <w:pPr>
        <w:pStyle w:val="BodyText"/>
      </w:pPr>
    </w:p>
    <w:p>
      <w:pPr>
        <w:pStyle w:val="BodyText"/>
        <w:spacing w:before="8"/>
        <w:rPr>
          <w:sz w:val="27"/>
        </w:rPr>
      </w:pPr>
      <w:r>
        <w:rPr/>
        <w:pict>
          <v:rect style="position:absolute;margin-left:113.330002pt;margin-top:17.163927pt;width:144.050pt;height:.47998pt;mso-position-horizontal-relative:page;mso-position-vertical-relative:paragraph;z-index:-15666176;mso-wrap-distance-left:0;mso-wrap-distance-right:0" id="docshape517" filled="true" fillcolor="#000000" stroked="false">
            <v:fill type="solid"/>
            <w10:wrap type="topAndBottom"/>
          </v:rect>
        </w:pict>
      </w:r>
    </w:p>
    <w:p>
      <w:pPr>
        <w:spacing w:line="183" w:lineRule="exact" w:before="86"/>
        <w:ind w:left="2246" w:right="0" w:firstLine="0"/>
        <w:jc w:val="left"/>
        <w:rPr>
          <w:i/>
          <w:sz w:val="16"/>
        </w:rPr>
      </w:pPr>
      <w:r>
        <w:rPr>
          <w:position w:val="5"/>
          <w:sz w:val="10"/>
        </w:rPr>
        <w:t>165</w:t>
      </w:r>
      <w:r>
        <w:rPr>
          <w:spacing w:val="33"/>
          <w:position w:val="5"/>
          <w:sz w:val="10"/>
        </w:rPr>
        <w:t> </w:t>
      </w:r>
      <w:r>
        <w:rPr>
          <w:sz w:val="16"/>
        </w:rPr>
        <w:t>This</w:t>
      </w:r>
      <w:r>
        <w:rPr>
          <w:spacing w:val="17"/>
          <w:sz w:val="16"/>
        </w:rPr>
        <w:t> </w:t>
      </w:r>
      <w:r>
        <w:rPr>
          <w:sz w:val="16"/>
        </w:rPr>
        <w:t>team</w:t>
      </w:r>
      <w:r>
        <w:rPr>
          <w:spacing w:val="17"/>
          <w:sz w:val="16"/>
        </w:rPr>
        <w:t> </w:t>
      </w:r>
      <w:r>
        <w:rPr>
          <w:sz w:val="16"/>
        </w:rPr>
        <w:t>covers</w:t>
      </w:r>
      <w:r>
        <w:rPr>
          <w:spacing w:val="17"/>
          <w:sz w:val="16"/>
        </w:rPr>
        <w:t> </w:t>
      </w:r>
      <w:r>
        <w:rPr>
          <w:sz w:val="16"/>
        </w:rPr>
        <w:t>the</w:t>
      </w:r>
      <w:r>
        <w:rPr>
          <w:spacing w:val="18"/>
          <w:sz w:val="16"/>
        </w:rPr>
        <w:t> </w:t>
      </w:r>
      <w:r>
        <w:rPr>
          <w:sz w:val="16"/>
        </w:rPr>
        <w:t>residual</w:t>
      </w:r>
      <w:r>
        <w:rPr>
          <w:spacing w:val="15"/>
          <w:sz w:val="16"/>
        </w:rPr>
        <w:t> </w:t>
      </w:r>
      <w:r>
        <w:rPr>
          <w:sz w:val="16"/>
        </w:rPr>
        <w:t>proceedings</w:t>
      </w:r>
      <w:r>
        <w:rPr>
          <w:spacing w:val="16"/>
          <w:sz w:val="16"/>
        </w:rPr>
        <w:t> </w:t>
      </w:r>
      <w:r>
        <w:rPr>
          <w:sz w:val="16"/>
        </w:rPr>
        <w:t>in</w:t>
      </w:r>
      <w:r>
        <w:rPr>
          <w:spacing w:val="18"/>
          <w:sz w:val="16"/>
        </w:rPr>
        <w:t> </w:t>
      </w:r>
      <w:r>
        <w:rPr>
          <w:sz w:val="16"/>
        </w:rPr>
        <w:t>which</w:t>
      </w:r>
      <w:r>
        <w:rPr>
          <w:spacing w:val="18"/>
          <w:sz w:val="16"/>
        </w:rPr>
        <w:t> </w:t>
      </w:r>
      <w:r>
        <w:rPr>
          <w:sz w:val="16"/>
        </w:rPr>
        <w:t>the</w:t>
      </w:r>
      <w:r>
        <w:rPr>
          <w:spacing w:val="18"/>
          <w:sz w:val="16"/>
        </w:rPr>
        <w:t> </w:t>
      </w:r>
      <w:r>
        <w:rPr>
          <w:sz w:val="16"/>
        </w:rPr>
        <w:t>OPCV</w:t>
      </w:r>
      <w:r>
        <w:rPr>
          <w:spacing w:val="17"/>
          <w:sz w:val="16"/>
        </w:rPr>
        <w:t> </w:t>
      </w:r>
      <w:r>
        <w:rPr>
          <w:sz w:val="16"/>
        </w:rPr>
        <w:t>is</w:t>
      </w:r>
      <w:r>
        <w:rPr>
          <w:spacing w:val="20"/>
          <w:sz w:val="16"/>
        </w:rPr>
        <w:t> </w:t>
      </w:r>
      <w:r>
        <w:rPr>
          <w:sz w:val="16"/>
        </w:rPr>
        <w:t>involved</w:t>
      </w:r>
      <w:r>
        <w:rPr>
          <w:spacing w:val="18"/>
          <w:sz w:val="16"/>
        </w:rPr>
        <w:t> </w:t>
      </w:r>
      <w:r>
        <w:rPr>
          <w:sz w:val="16"/>
        </w:rPr>
        <w:t>(</w:t>
      </w:r>
      <w:r>
        <w:rPr>
          <w:i/>
          <w:sz w:val="16"/>
        </w:rPr>
        <w:t>Gaddafi</w:t>
      </w:r>
      <w:r>
        <w:rPr>
          <w:i/>
          <w:spacing w:val="17"/>
          <w:sz w:val="16"/>
        </w:rPr>
        <w:t> </w:t>
      </w:r>
      <w:r>
        <w:rPr>
          <w:sz w:val="16"/>
        </w:rPr>
        <w:t>admissibility,</w:t>
      </w:r>
      <w:r>
        <w:rPr>
          <w:spacing w:val="16"/>
          <w:sz w:val="16"/>
        </w:rPr>
        <w:t> </w:t>
      </w:r>
      <w:r>
        <w:rPr>
          <w:i/>
          <w:spacing w:val="-2"/>
          <w:sz w:val="16"/>
        </w:rPr>
        <w:t>Comoros</w:t>
      </w:r>
    </w:p>
    <w:p>
      <w:pPr>
        <w:spacing w:line="183" w:lineRule="exact" w:before="0"/>
        <w:ind w:left="2246" w:right="0" w:firstLine="0"/>
        <w:jc w:val="left"/>
        <w:rPr>
          <w:sz w:val="16"/>
        </w:rPr>
      </w:pPr>
      <w:r>
        <w:rPr>
          <w:sz w:val="16"/>
        </w:rPr>
        <w:t>appeal,</w:t>
      </w:r>
      <w:r>
        <w:rPr>
          <w:spacing w:val="-2"/>
          <w:sz w:val="16"/>
        </w:rPr>
        <w:t> etc.).</w:t>
      </w:r>
    </w:p>
    <w:p>
      <w:pPr>
        <w:spacing w:line="183" w:lineRule="exact" w:before="3"/>
        <w:ind w:left="2246" w:right="0" w:firstLine="0"/>
        <w:jc w:val="left"/>
        <w:rPr>
          <w:sz w:val="16"/>
        </w:rPr>
      </w:pPr>
      <w:r>
        <w:rPr>
          <w:position w:val="5"/>
          <w:sz w:val="10"/>
        </w:rPr>
        <w:t>166</w:t>
      </w:r>
      <w:r>
        <w:rPr>
          <w:spacing w:val="13"/>
          <w:position w:val="5"/>
          <w:sz w:val="10"/>
        </w:rPr>
        <w:t> </w:t>
      </w:r>
      <w:r>
        <w:rPr>
          <w:sz w:val="16"/>
        </w:rPr>
        <w:t>The</w:t>
      </w:r>
      <w:r>
        <w:rPr>
          <w:spacing w:val="-2"/>
          <w:sz w:val="16"/>
        </w:rPr>
        <w:t> </w:t>
      </w:r>
      <w:r>
        <w:rPr>
          <w:sz w:val="16"/>
        </w:rPr>
        <w:t>type</w:t>
      </w:r>
      <w:r>
        <w:rPr>
          <w:spacing w:val="-3"/>
          <w:sz w:val="16"/>
        </w:rPr>
        <w:t> </w:t>
      </w:r>
      <w:r>
        <w:rPr>
          <w:sz w:val="16"/>
        </w:rPr>
        <w:t>of</w:t>
      </w:r>
      <w:r>
        <w:rPr>
          <w:spacing w:val="-3"/>
          <w:sz w:val="16"/>
        </w:rPr>
        <w:t> </w:t>
      </w:r>
      <w:r>
        <w:rPr>
          <w:sz w:val="16"/>
        </w:rPr>
        <w:t>legal</w:t>
      </w:r>
      <w:r>
        <w:rPr>
          <w:spacing w:val="-4"/>
          <w:sz w:val="16"/>
        </w:rPr>
        <w:t> </w:t>
      </w:r>
      <w:r>
        <w:rPr>
          <w:sz w:val="16"/>
        </w:rPr>
        <w:t>representation</w:t>
      </w:r>
      <w:r>
        <w:rPr>
          <w:spacing w:val="-2"/>
          <w:sz w:val="16"/>
        </w:rPr>
        <w:t> </w:t>
      </w:r>
      <w:r>
        <w:rPr>
          <w:sz w:val="16"/>
        </w:rPr>
        <w:t>(legal</w:t>
      </w:r>
      <w:r>
        <w:rPr>
          <w:spacing w:val="-4"/>
          <w:sz w:val="16"/>
        </w:rPr>
        <w:t> </w:t>
      </w:r>
      <w:r>
        <w:rPr>
          <w:sz w:val="16"/>
        </w:rPr>
        <w:t>aid</w:t>
      </w:r>
      <w:r>
        <w:rPr>
          <w:spacing w:val="-2"/>
          <w:sz w:val="16"/>
        </w:rPr>
        <w:t> </w:t>
      </w:r>
      <w:r>
        <w:rPr>
          <w:sz w:val="16"/>
        </w:rPr>
        <w:t>or</w:t>
      </w:r>
      <w:r>
        <w:rPr>
          <w:spacing w:val="-3"/>
          <w:sz w:val="16"/>
        </w:rPr>
        <w:t> </w:t>
      </w:r>
      <w:r>
        <w:rPr>
          <w:sz w:val="16"/>
        </w:rPr>
        <w:t>LRV)</w:t>
      </w:r>
      <w:r>
        <w:rPr>
          <w:spacing w:val="-3"/>
          <w:sz w:val="16"/>
        </w:rPr>
        <w:t> </w:t>
      </w:r>
      <w:r>
        <w:rPr>
          <w:sz w:val="16"/>
        </w:rPr>
        <w:t>is</w:t>
      </w:r>
      <w:r>
        <w:rPr>
          <w:spacing w:val="1"/>
          <w:sz w:val="16"/>
        </w:rPr>
        <w:t> </w:t>
      </w:r>
      <w:r>
        <w:rPr>
          <w:sz w:val="16"/>
        </w:rPr>
        <w:t>to</w:t>
      </w:r>
      <w:r>
        <w:rPr>
          <w:spacing w:val="-1"/>
          <w:sz w:val="16"/>
        </w:rPr>
        <w:t> </w:t>
      </w:r>
      <w:r>
        <w:rPr>
          <w:sz w:val="16"/>
        </w:rPr>
        <w:t>be</w:t>
      </w:r>
      <w:r>
        <w:rPr>
          <w:spacing w:val="-3"/>
          <w:sz w:val="16"/>
        </w:rPr>
        <w:t> </w:t>
      </w:r>
      <w:r>
        <w:rPr>
          <w:sz w:val="16"/>
        </w:rPr>
        <w:t>determined:</w:t>
      </w:r>
      <w:r>
        <w:rPr>
          <w:spacing w:val="-4"/>
          <w:sz w:val="16"/>
        </w:rPr>
        <w:t> </w:t>
      </w:r>
      <w:r>
        <w:rPr>
          <w:sz w:val="16"/>
        </w:rPr>
        <w:t>placeholder</w:t>
      </w:r>
      <w:r>
        <w:rPr>
          <w:spacing w:val="-3"/>
          <w:sz w:val="16"/>
        </w:rPr>
        <w:t> </w:t>
      </w:r>
      <w:r>
        <w:rPr>
          <w:sz w:val="16"/>
        </w:rPr>
        <w:t>for</w:t>
      </w:r>
      <w:r>
        <w:rPr>
          <w:spacing w:val="-4"/>
          <w:sz w:val="16"/>
        </w:rPr>
        <w:t> </w:t>
      </w:r>
      <w:r>
        <w:rPr>
          <w:sz w:val="16"/>
        </w:rPr>
        <w:t>future</w:t>
      </w:r>
      <w:r>
        <w:rPr>
          <w:spacing w:val="-2"/>
          <w:sz w:val="16"/>
        </w:rPr>
        <w:t> budgeting.</w:t>
      </w:r>
    </w:p>
    <w:p>
      <w:pPr>
        <w:spacing w:line="182" w:lineRule="exact" w:before="0"/>
        <w:ind w:left="2246" w:right="0" w:firstLine="0"/>
        <w:jc w:val="left"/>
        <w:rPr>
          <w:i/>
          <w:sz w:val="16"/>
        </w:rPr>
      </w:pPr>
      <w:r>
        <w:rPr>
          <w:position w:val="5"/>
          <w:sz w:val="10"/>
        </w:rPr>
        <w:t>167</w:t>
      </w:r>
      <w:r>
        <w:rPr>
          <w:spacing w:val="33"/>
          <w:position w:val="5"/>
          <w:sz w:val="10"/>
        </w:rPr>
        <w:t> </w:t>
      </w:r>
      <w:r>
        <w:rPr>
          <w:sz w:val="16"/>
        </w:rPr>
        <w:t>This</w:t>
      </w:r>
      <w:r>
        <w:rPr>
          <w:spacing w:val="17"/>
          <w:sz w:val="16"/>
        </w:rPr>
        <w:t> </w:t>
      </w:r>
      <w:r>
        <w:rPr>
          <w:sz w:val="16"/>
        </w:rPr>
        <w:t>team</w:t>
      </w:r>
      <w:r>
        <w:rPr>
          <w:spacing w:val="17"/>
          <w:sz w:val="16"/>
        </w:rPr>
        <w:t> </w:t>
      </w:r>
      <w:r>
        <w:rPr>
          <w:sz w:val="16"/>
        </w:rPr>
        <w:t>covers</w:t>
      </w:r>
      <w:r>
        <w:rPr>
          <w:spacing w:val="17"/>
          <w:sz w:val="16"/>
        </w:rPr>
        <w:t> </w:t>
      </w:r>
      <w:r>
        <w:rPr>
          <w:sz w:val="16"/>
        </w:rPr>
        <w:t>the</w:t>
      </w:r>
      <w:r>
        <w:rPr>
          <w:spacing w:val="18"/>
          <w:sz w:val="16"/>
        </w:rPr>
        <w:t> </w:t>
      </w:r>
      <w:r>
        <w:rPr>
          <w:sz w:val="16"/>
        </w:rPr>
        <w:t>residual</w:t>
      </w:r>
      <w:r>
        <w:rPr>
          <w:spacing w:val="15"/>
          <w:sz w:val="16"/>
        </w:rPr>
        <w:t> </w:t>
      </w:r>
      <w:r>
        <w:rPr>
          <w:sz w:val="16"/>
        </w:rPr>
        <w:t>proceedings</w:t>
      </w:r>
      <w:r>
        <w:rPr>
          <w:spacing w:val="16"/>
          <w:sz w:val="16"/>
        </w:rPr>
        <w:t> </w:t>
      </w:r>
      <w:r>
        <w:rPr>
          <w:sz w:val="16"/>
        </w:rPr>
        <w:t>in</w:t>
      </w:r>
      <w:r>
        <w:rPr>
          <w:spacing w:val="18"/>
          <w:sz w:val="16"/>
        </w:rPr>
        <w:t> </w:t>
      </w:r>
      <w:r>
        <w:rPr>
          <w:sz w:val="16"/>
        </w:rPr>
        <w:t>which</w:t>
      </w:r>
      <w:r>
        <w:rPr>
          <w:spacing w:val="18"/>
          <w:sz w:val="16"/>
        </w:rPr>
        <w:t> </w:t>
      </w:r>
      <w:r>
        <w:rPr>
          <w:sz w:val="16"/>
        </w:rPr>
        <w:t>the</w:t>
      </w:r>
      <w:r>
        <w:rPr>
          <w:spacing w:val="18"/>
          <w:sz w:val="16"/>
        </w:rPr>
        <w:t> </w:t>
      </w:r>
      <w:r>
        <w:rPr>
          <w:sz w:val="16"/>
        </w:rPr>
        <w:t>OPCV</w:t>
      </w:r>
      <w:r>
        <w:rPr>
          <w:spacing w:val="17"/>
          <w:sz w:val="16"/>
        </w:rPr>
        <w:t> </w:t>
      </w:r>
      <w:r>
        <w:rPr>
          <w:sz w:val="16"/>
        </w:rPr>
        <w:t>is</w:t>
      </w:r>
      <w:r>
        <w:rPr>
          <w:spacing w:val="20"/>
          <w:sz w:val="16"/>
        </w:rPr>
        <w:t> </w:t>
      </w:r>
      <w:r>
        <w:rPr>
          <w:sz w:val="16"/>
        </w:rPr>
        <w:t>involved</w:t>
      </w:r>
      <w:r>
        <w:rPr>
          <w:spacing w:val="18"/>
          <w:sz w:val="16"/>
        </w:rPr>
        <w:t> </w:t>
      </w:r>
      <w:r>
        <w:rPr>
          <w:sz w:val="16"/>
        </w:rPr>
        <w:t>(</w:t>
      </w:r>
      <w:r>
        <w:rPr>
          <w:i/>
          <w:sz w:val="16"/>
        </w:rPr>
        <w:t>Gaddafi</w:t>
      </w:r>
      <w:r>
        <w:rPr>
          <w:i/>
          <w:spacing w:val="17"/>
          <w:sz w:val="16"/>
        </w:rPr>
        <w:t> </w:t>
      </w:r>
      <w:r>
        <w:rPr>
          <w:sz w:val="16"/>
        </w:rPr>
        <w:t>admissibility,</w:t>
      </w:r>
      <w:r>
        <w:rPr>
          <w:spacing w:val="16"/>
          <w:sz w:val="16"/>
        </w:rPr>
        <w:t> </w:t>
      </w:r>
      <w:r>
        <w:rPr>
          <w:i/>
          <w:spacing w:val="-2"/>
          <w:sz w:val="16"/>
        </w:rPr>
        <w:t>Comoros</w:t>
      </w:r>
    </w:p>
    <w:p>
      <w:pPr>
        <w:spacing w:line="183" w:lineRule="exact" w:before="0"/>
        <w:ind w:left="2246" w:right="0" w:firstLine="0"/>
        <w:jc w:val="left"/>
        <w:rPr>
          <w:sz w:val="16"/>
        </w:rPr>
      </w:pPr>
      <w:r>
        <w:rPr>
          <w:sz w:val="16"/>
        </w:rPr>
        <w:t>appeal,</w:t>
      </w:r>
      <w:r>
        <w:rPr>
          <w:spacing w:val="-1"/>
          <w:sz w:val="16"/>
        </w:rPr>
        <w:t> </w:t>
      </w:r>
      <w:r>
        <w:rPr>
          <w:spacing w:val="-2"/>
          <w:sz w:val="16"/>
        </w:rPr>
        <w:t>etc.).</w:t>
      </w:r>
    </w:p>
    <w:p>
      <w:pPr>
        <w:spacing w:after="0" w:line="183" w:lineRule="exact"/>
        <w:jc w:val="left"/>
        <w:rPr>
          <w:sz w:val="16"/>
        </w:rPr>
        <w:sectPr>
          <w:pgSz w:w="11910" w:h="16840"/>
          <w:pgMar w:header="957" w:footer="940" w:top="1140" w:bottom="1140" w:left="20" w:right="20"/>
        </w:sectPr>
      </w:pPr>
    </w:p>
    <w:p>
      <w:pPr>
        <w:pStyle w:val="BodyText"/>
        <w:spacing w:before="9"/>
        <w:rPr>
          <w:sz w:val="10"/>
        </w:rPr>
      </w:pPr>
    </w:p>
    <w:tbl>
      <w:tblPr>
        <w:tblW w:w="0" w:type="auto"/>
        <w:jc w:val="left"/>
        <w:tblInd w:w="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6"/>
        <w:gridCol w:w="749"/>
        <w:gridCol w:w="601"/>
        <w:gridCol w:w="466"/>
        <w:gridCol w:w="1145"/>
        <w:gridCol w:w="614"/>
        <w:gridCol w:w="512"/>
        <w:gridCol w:w="969"/>
        <w:gridCol w:w="600"/>
        <w:gridCol w:w="476"/>
        <w:gridCol w:w="1043"/>
        <w:gridCol w:w="587"/>
        <w:gridCol w:w="1219"/>
        <w:gridCol w:w="581"/>
        <w:gridCol w:w="1011"/>
      </w:tblGrid>
      <w:tr>
        <w:trPr>
          <w:trHeight w:val="282" w:hRule="atLeast"/>
        </w:trPr>
        <w:tc>
          <w:tcPr>
            <w:tcW w:w="10799" w:type="dxa"/>
            <w:gridSpan w:val="15"/>
            <w:tcBorders>
              <w:top w:val="single" w:sz="4" w:space="0" w:color="000000"/>
              <w:bottom w:val="single" w:sz="4" w:space="0" w:color="000000"/>
            </w:tcBorders>
          </w:tcPr>
          <w:p>
            <w:pPr>
              <w:pStyle w:val="TableParagraph"/>
              <w:spacing w:before="66"/>
              <w:ind w:left="3819" w:right="3812"/>
              <w:jc w:val="center"/>
              <w:rPr>
                <w:i/>
                <w:sz w:val="14"/>
              </w:rPr>
            </w:pPr>
            <w:r>
              <w:rPr>
                <w:i/>
                <w:sz w:val="14"/>
              </w:rPr>
              <w:t>Comparison</w:t>
            </w:r>
            <w:r>
              <w:rPr>
                <w:i/>
                <w:spacing w:val="-5"/>
                <w:sz w:val="14"/>
              </w:rPr>
              <w:t> </w:t>
            </w:r>
            <w:r>
              <w:rPr>
                <w:i/>
                <w:sz w:val="14"/>
              </w:rPr>
              <w:t>of</w:t>
            </w:r>
            <w:r>
              <w:rPr>
                <w:i/>
                <w:spacing w:val="-6"/>
                <w:sz w:val="14"/>
              </w:rPr>
              <w:t> </w:t>
            </w:r>
            <w:r>
              <w:rPr>
                <w:i/>
                <w:sz w:val="14"/>
              </w:rPr>
              <w:t>assumptions</w:t>
            </w:r>
            <w:r>
              <w:rPr>
                <w:i/>
                <w:spacing w:val="-6"/>
                <w:sz w:val="14"/>
              </w:rPr>
              <w:t> </w:t>
            </w:r>
            <w:r>
              <w:rPr>
                <w:i/>
                <w:sz w:val="14"/>
              </w:rPr>
              <w:t>and</w:t>
            </w:r>
            <w:r>
              <w:rPr>
                <w:i/>
                <w:spacing w:val="-4"/>
                <w:sz w:val="14"/>
              </w:rPr>
              <w:t> </w:t>
            </w:r>
            <w:r>
              <w:rPr>
                <w:i/>
                <w:sz w:val="14"/>
              </w:rPr>
              <w:t>parameters:</w:t>
            </w:r>
            <w:r>
              <w:rPr>
                <w:i/>
                <w:spacing w:val="-5"/>
                <w:sz w:val="14"/>
              </w:rPr>
              <w:t> </w:t>
            </w:r>
            <w:r>
              <w:rPr>
                <w:i/>
                <w:sz w:val="14"/>
              </w:rPr>
              <w:t>2019-</w:t>
            </w:r>
            <w:r>
              <w:rPr>
                <w:i/>
                <w:spacing w:val="-4"/>
                <w:sz w:val="14"/>
              </w:rPr>
              <w:t>2023</w:t>
            </w:r>
          </w:p>
        </w:tc>
      </w:tr>
      <w:tr>
        <w:trPr>
          <w:trHeight w:val="282" w:hRule="atLeast"/>
        </w:trPr>
        <w:tc>
          <w:tcPr>
            <w:tcW w:w="975" w:type="dxa"/>
            <w:gridSpan w:val="2"/>
            <w:tcBorders>
              <w:top w:val="single" w:sz="4" w:space="0" w:color="000000"/>
            </w:tcBorders>
          </w:tcPr>
          <w:p>
            <w:pPr>
              <w:pStyle w:val="TableParagraph"/>
              <w:spacing w:before="61"/>
              <w:ind w:left="192"/>
              <w:jc w:val="left"/>
              <w:rPr>
                <w:i/>
                <w:sz w:val="14"/>
              </w:rPr>
            </w:pPr>
            <w:r>
              <w:rPr>
                <w:i/>
                <w:spacing w:val="-2"/>
                <w:sz w:val="14"/>
              </w:rPr>
              <w:t>Parameter</w:t>
            </w:r>
          </w:p>
        </w:tc>
        <w:tc>
          <w:tcPr>
            <w:tcW w:w="2212" w:type="dxa"/>
            <w:gridSpan w:val="3"/>
            <w:tcBorders>
              <w:top w:val="single" w:sz="4" w:space="0" w:color="000000"/>
              <w:bottom w:val="single" w:sz="4" w:space="0" w:color="000000"/>
            </w:tcBorders>
          </w:tcPr>
          <w:p>
            <w:pPr>
              <w:pStyle w:val="TableParagraph"/>
              <w:spacing w:before="61"/>
              <w:ind w:left="307"/>
              <w:jc w:val="left"/>
              <w:rPr>
                <w:i/>
                <w:sz w:val="14"/>
              </w:rPr>
            </w:pPr>
            <w:r>
              <w:rPr>
                <w:i/>
                <w:sz w:val="14"/>
              </w:rPr>
              <w:t>2019</w:t>
            </w:r>
            <w:r>
              <w:rPr>
                <w:i/>
                <w:spacing w:val="-4"/>
                <w:sz w:val="14"/>
              </w:rPr>
              <w:t> </w:t>
            </w:r>
            <w:r>
              <w:rPr>
                <w:i/>
                <w:sz w:val="14"/>
              </w:rPr>
              <w:t>Approved</w:t>
            </w:r>
            <w:r>
              <w:rPr>
                <w:i/>
                <w:spacing w:val="-3"/>
                <w:sz w:val="14"/>
              </w:rPr>
              <w:t> </w:t>
            </w:r>
            <w:r>
              <w:rPr>
                <w:i/>
                <w:sz w:val="14"/>
              </w:rPr>
              <w:t>and</w:t>
            </w:r>
            <w:r>
              <w:rPr>
                <w:i/>
                <w:spacing w:val="-4"/>
                <w:sz w:val="14"/>
              </w:rPr>
              <w:t> </w:t>
            </w:r>
            <w:r>
              <w:rPr>
                <w:i/>
                <w:spacing w:val="-2"/>
                <w:sz w:val="14"/>
              </w:rPr>
              <w:t>Actuals</w:t>
            </w:r>
          </w:p>
        </w:tc>
        <w:tc>
          <w:tcPr>
            <w:tcW w:w="2095" w:type="dxa"/>
            <w:gridSpan w:val="3"/>
            <w:tcBorders>
              <w:top w:val="single" w:sz="4" w:space="0" w:color="000000"/>
              <w:bottom w:val="single" w:sz="4" w:space="0" w:color="000000"/>
            </w:tcBorders>
          </w:tcPr>
          <w:p>
            <w:pPr>
              <w:pStyle w:val="TableParagraph"/>
              <w:spacing w:before="61"/>
              <w:ind w:left="236"/>
              <w:jc w:val="left"/>
              <w:rPr>
                <w:i/>
                <w:sz w:val="14"/>
              </w:rPr>
            </w:pPr>
            <w:r>
              <w:rPr>
                <w:i/>
                <w:sz w:val="14"/>
              </w:rPr>
              <w:t>2020</w:t>
            </w:r>
            <w:r>
              <w:rPr>
                <w:i/>
                <w:spacing w:val="-4"/>
                <w:sz w:val="14"/>
              </w:rPr>
              <w:t> </w:t>
            </w:r>
            <w:r>
              <w:rPr>
                <w:i/>
                <w:sz w:val="14"/>
              </w:rPr>
              <w:t>Approved</w:t>
            </w:r>
            <w:r>
              <w:rPr>
                <w:i/>
                <w:spacing w:val="-3"/>
                <w:sz w:val="14"/>
              </w:rPr>
              <w:t> </w:t>
            </w:r>
            <w:r>
              <w:rPr>
                <w:i/>
                <w:sz w:val="14"/>
              </w:rPr>
              <w:t>and</w:t>
            </w:r>
            <w:r>
              <w:rPr>
                <w:i/>
                <w:spacing w:val="-4"/>
                <w:sz w:val="14"/>
              </w:rPr>
              <w:t> </w:t>
            </w:r>
            <w:r>
              <w:rPr>
                <w:i/>
                <w:spacing w:val="-2"/>
                <w:sz w:val="14"/>
              </w:rPr>
              <w:t>Actuals</w:t>
            </w:r>
          </w:p>
        </w:tc>
        <w:tc>
          <w:tcPr>
            <w:tcW w:w="2119" w:type="dxa"/>
            <w:gridSpan w:val="3"/>
            <w:tcBorders>
              <w:top w:val="single" w:sz="4" w:space="0" w:color="000000"/>
              <w:bottom w:val="single" w:sz="4" w:space="0" w:color="000000"/>
            </w:tcBorders>
          </w:tcPr>
          <w:p>
            <w:pPr>
              <w:pStyle w:val="TableParagraph"/>
              <w:spacing w:before="61"/>
              <w:ind w:left="259"/>
              <w:jc w:val="left"/>
              <w:rPr>
                <w:i/>
                <w:sz w:val="14"/>
              </w:rPr>
            </w:pPr>
            <w:r>
              <w:rPr>
                <w:i/>
                <w:sz w:val="14"/>
              </w:rPr>
              <w:t>2021</w:t>
            </w:r>
            <w:r>
              <w:rPr>
                <w:i/>
                <w:spacing w:val="-4"/>
                <w:sz w:val="14"/>
              </w:rPr>
              <w:t> </w:t>
            </w:r>
            <w:r>
              <w:rPr>
                <w:i/>
                <w:sz w:val="14"/>
              </w:rPr>
              <w:t>Approved</w:t>
            </w:r>
            <w:r>
              <w:rPr>
                <w:i/>
                <w:spacing w:val="-3"/>
                <w:sz w:val="14"/>
              </w:rPr>
              <w:t> </w:t>
            </w:r>
            <w:r>
              <w:rPr>
                <w:i/>
                <w:sz w:val="14"/>
              </w:rPr>
              <w:t>and</w:t>
            </w:r>
            <w:r>
              <w:rPr>
                <w:i/>
                <w:spacing w:val="-4"/>
                <w:sz w:val="14"/>
              </w:rPr>
              <w:t> </w:t>
            </w:r>
            <w:r>
              <w:rPr>
                <w:i/>
                <w:spacing w:val="-2"/>
                <w:sz w:val="14"/>
              </w:rPr>
              <w:t>Actuals</w:t>
            </w:r>
          </w:p>
        </w:tc>
        <w:tc>
          <w:tcPr>
            <w:tcW w:w="1806" w:type="dxa"/>
            <w:gridSpan w:val="2"/>
            <w:tcBorders>
              <w:top w:val="single" w:sz="4" w:space="0" w:color="000000"/>
              <w:bottom w:val="single" w:sz="4" w:space="0" w:color="000000"/>
            </w:tcBorders>
          </w:tcPr>
          <w:p>
            <w:pPr>
              <w:pStyle w:val="TableParagraph"/>
              <w:spacing w:before="61"/>
              <w:ind w:left="450"/>
              <w:jc w:val="left"/>
              <w:rPr>
                <w:i/>
                <w:sz w:val="14"/>
              </w:rPr>
            </w:pPr>
            <w:r>
              <w:rPr>
                <w:i/>
                <w:sz w:val="14"/>
              </w:rPr>
              <w:t>2022</w:t>
            </w:r>
            <w:r>
              <w:rPr>
                <w:i/>
                <w:spacing w:val="-2"/>
                <w:sz w:val="14"/>
              </w:rPr>
              <w:t> Approved</w:t>
            </w:r>
          </w:p>
        </w:tc>
        <w:tc>
          <w:tcPr>
            <w:tcW w:w="1592" w:type="dxa"/>
            <w:gridSpan w:val="2"/>
            <w:tcBorders>
              <w:top w:val="single" w:sz="4" w:space="0" w:color="000000"/>
              <w:bottom w:val="single" w:sz="4" w:space="0" w:color="000000"/>
            </w:tcBorders>
          </w:tcPr>
          <w:p>
            <w:pPr>
              <w:pStyle w:val="TableParagraph"/>
              <w:spacing w:before="61"/>
              <w:ind w:left="354"/>
              <w:jc w:val="left"/>
              <w:rPr>
                <w:i/>
                <w:sz w:val="14"/>
              </w:rPr>
            </w:pPr>
            <w:r>
              <w:rPr>
                <w:i/>
                <w:sz w:val="14"/>
              </w:rPr>
              <w:t>2023</w:t>
            </w:r>
            <w:r>
              <w:rPr>
                <w:i/>
                <w:spacing w:val="-2"/>
                <w:sz w:val="14"/>
              </w:rPr>
              <w:t> Proposed</w:t>
            </w:r>
          </w:p>
        </w:tc>
      </w:tr>
      <w:tr>
        <w:trPr>
          <w:trHeight w:val="277" w:hRule="atLeast"/>
        </w:trPr>
        <w:tc>
          <w:tcPr>
            <w:tcW w:w="226" w:type="dxa"/>
            <w:tcBorders>
              <w:bottom w:val="single" w:sz="4" w:space="0" w:color="000000"/>
            </w:tcBorders>
          </w:tcPr>
          <w:p>
            <w:pPr>
              <w:pStyle w:val="TableParagraph"/>
              <w:jc w:val="left"/>
              <w:rPr>
                <w:sz w:val="14"/>
              </w:rPr>
            </w:pPr>
          </w:p>
        </w:tc>
        <w:tc>
          <w:tcPr>
            <w:tcW w:w="1350" w:type="dxa"/>
            <w:gridSpan w:val="2"/>
            <w:tcBorders>
              <w:bottom w:val="single" w:sz="4" w:space="0" w:color="000000"/>
            </w:tcBorders>
          </w:tcPr>
          <w:p>
            <w:pPr>
              <w:pStyle w:val="TableParagraph"/>
              <w:spacing w:before="61"/>
              <w:ind w:left="777"/>
              <w:jc w:val="left"/>
              <w:rPr>
                <w:i/>
                <w:sz w:val="14"/>
              </w:rPr>
            </w:pPr>
            <w:r>
              <w:rPr>
                <w:i/>
                <w:spacing w:val="-2"/>
                <w:sz w:val="14"/>
              </w:rPr>
              <w:t>Approved</w:t>
            </w:r>
          </w:p>
        </w:tc>
        <w:tc>
          <w:tcPr>
            <w:tcW w:w="466" w:type="dxa"/>
            <w:tcBorders>
              <w:top w:val="single" w:sz="4" w:space="0" w:color="000000"/>
              <w:bottom w:val="single" w:sz="4" w:space="0" w:color="000000"/>
            </w:tcBorders>
          </w:tcPr>
          <w:p>
            <w:pPr>
              <w:pStyle w:val="TableParagraph"/>
              <w:spacing w:before="61"/>
              <w:ind w:left="15" w:right="2"/>
              <w:jc w:val="center"/>
              <w:rPr>
                <w:i/>
                <w:sz w:val="14"/>
              </w:rPr>
            </w:pPr>
            <w:r>
              <w:rPr>
                <w:i/>
                <w:spacing w:val="-2"/>
                <w:sz w:val="14"/>
              </w:rPr>
              <w:t>Actuals</w:t>
            </w:r>
          </w:p>
        </w:tc>
        <w:tc>
          <w:tcPr>
            <w:tcW w:w="1145" w:type="dxa"/>
            <w:tcBorders>
              <w:top w:val="single" w:sz="4" w:space="0" w:color="000000"/>
              <w:bottom w:val="single" w:sz="4" w:space="0" w:color="000000"/>
            </w:tcBorders>
          </w:tcPr>
          <w:p>
            <w:pPr>
              <w:pStyle w:val="TableParagraph"/>
              <w:spacing w:before="61"/>
              <w:ind w:left="229"/>
              <w:jc w:val="left"/>
              <w:rPr>
                <w:i/>
                <w:sz w:val="14"/>
              </w:rPr>
            </w:pPr>
            <w:r>
              <w:rPr>
                <w:i/>
                <w:spacing w:val="-2"/>
                <w:sz w:val="14"/>
              </w:rPr>
              <w:t>Description</w:t>
            </w:r>
          </w:p>
        </w:tc>
        <w:tc>
          <w:tcPr>
            <w:tcW w:w="614" w:type="dxa"/>
            <w:tcBorders>
              <w:top w:val="single" w:sz="4" w:space="0" w:color="000000"/>
              <w:bottom w:val="single" w:sz="4" w:space="0" w:color="000000"/>
            </w:tcBorders>
          </w:tcPr>
          <w:p>
            <w:pPr>
              <w:pStyle w:val="TableParagraph"/>
              <w:spacing w:before="61"/>
              <w:ind w:right="45"/>
              <w:jc w:val="center"/>
              <w:rPr>
                <w:i/>
                <w:sz w:val="14"/>
              </w:rPr>
            </w:pPr>
            <w:r>
              <w:rPr>
                <w:i/>
                <w:spacing w:val="-2"/>
                <w:sz w:val="14"/>
              </w:rPr>
              <w:t>Approved</w:t>
            </w:r>
          </w:p>
        </w:tc>
        <w:tc>
          <w:tcPr>
            <w:tcW w:w="512" w:type="dxa"/>
            <w:tcBorders>
              <w:top w:val="single" w:sz="4" w:space="0" w:color="000000"/>
              <w:bottom w:val="single" w:sz="4" w:space="0" w:color="000000"/>
            </w:tcBorders>
          </w:tcPr>
          <w:p>
            <w:pPr>
              <w:pStyle w:val="TableParagraph"/>
              <w:spacing w:before="61"/>
              <w:ind w:left="41" w:right="19"/>
              <w:jc w:val="center"/>
              <w:rPr>
                <w:i/>
                <w:sz w:val="14"/>
              </w:rPr>
            </w:pPr>
            <w:r>
              <w:rPr>
                <w:i/>
                <w:spacing w:val="-2"/>
                <w:sz w:val="14"/>
              </w:rPr>
              <w:t>Actuals</w:t>
            </w:r>
          </w:p>
        </w:tc>
        <w:tc>
          <w:tcPr>
            <w:tcW w:w="969" w:type="dxa"/>
            <w:tcBorders>
              <w:top w:val="single" w:sz="4" w:space="0" w:color="000000"/>
              <w:bottom w:val="single" w:sz="4" w:space="0" w:color="000000"/>
            </w:tcBorders>
          </w:tcPr>
          <w:p>
            <w:pPr>
              <w:pStyle w:val="TableParagraph"/>
              <w:spacing w:before="61"/>
              <w:ind w:left="157"/>
              <w:jc w:val="left"/>
              <w:rPr>
                <w:i/>
                <w:sz w:val="14"/>
              </w:rPr>
            </w:pPr>
            <w:r>
              <w:rPr>
                <w:i/>
                <w:spacing w:val="-2"/>
                <w:sz w:val="14"/>
              </w:rPr>
              <w:t>Description</w:t>
            </w:r>
          </w:p>
        </w:tc>
        <w:tc>
          <w:tcPr>
            <w:tcW w:w="600" w:type="dxa"/>
            <w:tcBorders>
              <w:top w:val="single" w:sz="4" w:space="0" w:color="000000"/>
              <w:bottom w:val="single" w:sz="4" w:space="0" w:color="000000"/>
            </w:tcBorders>
          </w:tcPr>
          <w:p>
            <w:pPr>
              <w:pStyle w:val="TableParagraph"/>
              <w:spacing w:before="61"/>
              <w:ind w:left="3" w:right="27"/>
              <w:jc w:val="center"/>
              <w:rPr>
                <w:i/>
                <w:sz w:val="14"/>
              </w:rPr>
            </w:pPr>
            <w:r>
              <w:rPr>
                <w:i/>
                <w:spacing w:val="-2"/>
                <w:sz w:val="14"/>
              </w:rPr>
              <w:t>Approved</w:t>
            </w:r>
          </w:p>
        </w:tc>
        <w:tc>
          <w:tcPr>
            <w:tcW w:w="476" w:type="dxa"/>
            <w:tcBorders>
              <w:top w:val="single" w:sz="4" w:space="0" w:color="000000"/>
              <w:bottom w:val="single" w:sz="4" w:space="0" w:color="000000"/>
            </w:tcBorders>
          </w:tcPr>
          <w:p>
            <w:pPr>
              <w:pStyle w:val="TableParagraph"/>
              <w:spacing w:before="61"/>
              <w:ind w:left="22" w:right="7"/>
              <w:jc w:val="center"/>
              <w:rPr>
                <w:i/>
                <w:sz w:val="14"/>
              </w:rPr>
            </w:pPr>
            <w:r>
              <w:rPr>
                <w:i/>
                <w:spacing w:val="-2"/>
                <w:sz w:val="14"/>
              </w:rPr>
              <w:t>Actuals</w:t>
            </w:r>
          </w:p>
        </w:tc>
        <w:tc>
          <w:tcPr>
            <w:tcW w:w="1043" w:type="dxa"/>
            <w:tcBorders>
              <w:top w:val="single" w:sz="4" w:space="0" w:color="000000"/>
              <w:bottom w:val="single" w:sz="4" w:space="0" w:color="000000"/>
            </w:tcBorders>
          </w:tcPr>
          <w:p>
            <w:pPr>
              <w:pStyle w:val="TableParagraph"/>
              <w:spacing w:before="61"/>
              <w:ind w:left="182"/>
              <w:jc w:val="left"/>
              <w:rPr>
                <w:i/>
                <w:sz w:val="14"/>
              </w:rPr>
            </w:pPr>
            <w:r>
              <w:rPr>
                <w:i/>
                <w:spacing w:val="-2"/>
                <w:sz w:val="14"/>
              </w:rPr>
              <w:t>Description</w:t>
            </w:r>
          </w:p>
        </w:tc>
        <w:tc>
          <w:tcPr>
            <w:tcW w:w="587" w:type="dxa"/>
            <w:tcBorders>
              <w:top w:val="single" w:sz="4" w:space="0" w:color="000000"/>
              <w:bottom w:val="single" w:sz="4" w:space="0" w:color="000000"/>
            </w:tcBorders>
          </w:tcPr>
          <w:p>
            <w:pPr>
              <w:pStyle w:val="TableParagraph"/>
              <w:spacing w:before="61"/>
              <w:ind w:left="7" w:right="11"/>
              <w:jc w:val="center"/>
              <w:rPr>
                <w:i/>
                <w:sz w:val="14"/>
              </w:rPr>
            </w:pPr>
            <w:r>
              <w:rPr>
                <w:i/>
                <w:spacing w:val="-2"/>
                <w:sz w:val="14"/>
              </w:rPr>
              <w:t>Approved</w:t>
            </w:r>
          </w:p>
        </w:tc>
        <w:tc>
          <w:tcPr>
            <w:tcW w:w="1219" w:type="dxa"/>
            <w:tcBorders>
              <w:top w:val="single" w:sz="4" w:space="0" w:color="000000"/>
              <w:bottom w:val="single" w:sz="4" w:space="0" w:color="000000"/>
            </w:tcBorders>
          </w:tcPr>
          <w:p>
            <w:pPr>
              <w:pStyle w:val="TableParagraph"/>
              <w:spacing w:before="61"/>
              <w:ind w:right="286"/>
              <w:rPr>
                <w:i/>
                <w:sz w:val="14"/>
              </w:rPr>
            </w:pPr>
            <w:r>
              <w:rPr>
                <w:i/>
                <w:spacing w:val="-2"/>
                <w:sz w:val="14"/>
              </w:rPr>
              <w:t>Description</w:t>
            </w:r>
          </w:p>
        </w:tc>
        <w:tc>
          <w:tcPr>
            <w:tcW w:w="581" w:type="dxa"/>
            <w:tcBorders>
              <w:top w:val="single" w:sz="4" w:space="0" w:color="000000"/>
              <w:bottom w:val="single" w:sz="4" w:space="0" w:color="000000"/>
            </w:tcBorders>
          </w:tcPr>
          <w:p>
            <w:pPr>
              <w:pStyle w:val="TableParagraph"/>
              <w:spacing w:before="61"/>
              <w:ind w:left="3" w:right="17"/>
              <w:jc w:val="center"/>
              <w:rPr>
                <w:i/>
                <w:sz w:val="14"/>
              </w:rPr>
            </w:pPr>
            <w:r>
              <w:rPr>
                <w:i/>
                <w:spacing w:val="-2"/>
                <w:sz w:val="14"/>
              </w:rPr>
              <w:t>Proposed</w:t>
            </w:r>
          </w:p>
        </w:tc>
        <w:tc>
          <w:tcPr>
            <w:tcW w:w="1011" w:type="dxa"/>
            <w:tcBorders>
              <w:top w:val="single" w:sz="4" w:space="0" w:color="000000"/>
              <w:bottom w:val="single" w:sz="4" w:space="0" w:color="000000"/>
            </w:tcBorders>
          </w:tcPr>
          <w:p>
            <w:pPr>
              <w:pStyle w:val="TableParagraph"/>
              <w:spacing w:before="61"/>
              <w:ind w:left="176"/>
              <w:jc w:val="left"/>
              <w:rPr>
                <w:i/>
                <w:sz w:val="14"/>
              </w:rPr>
            </w:pPr>
            <w:r>
              <w:rPr>
                <w:i/>
                <w:spacing w:val="-2"/>
                <w:sz w:val="14"/>
              </w:rPr>
              <w:t>Description</w:t>
            </w:r>
          </w:p>
        </w:tc>
      </w:tr>
      <w:tr>
        <w:trPr>
          <w:trHeight w:val="1569" w:hRule="atLeast"/>
        </w:trPr>
        <w:tc>
          <w:tcPr>
            <w:tcW w:w="226" w:type="dxa"/>
            <w:tcBorders>
              <w:top w:val="single" w:sz="4" w:space="0" w:color="000000"/>
              <w:bottom w:val="single" w:sz="4" w:space="0" w:color="000000"/>
            </w:tcBorders>
          </w:tcPr>
          <w:p>
            <w:pPr>
              <w:pStyle w:val="TableParagraph"/>
              <w:spacing w:before="61"/>
              <w:ind w:left="14"/>
              <w:jc w:val="left"/>
              <w:rPr>
                <w:sz w:val="14"/>
              </w:rPr>
            </w:pPr>
            <w:r>
              <w:rPr>
                <w:spacing w:val="-5"/>
                <w:sz w:val="14"/>
              </w:rPr>
              <w:t>12</w:t>
            </w:r>
          </w:p>
        </w:tc>
        <w:tc>
          <w:tcPr>
            <w:tcW w:w="749" w:type="dxa"/>
            <w:tcBorders>
              <w:top w:val="single" w:sz="4" w:space="0" w:color="000000"/>
              <w:bottom w:val="single" w:sz="4" w:space="0" w:color="000000"/>
            </w:tcBorders>
          </w:tcPr>
          <w:p>
            <w:pPr>
              <w:pStyle w:val="TableParagraph"/>
              <w:spacing w:before="61"/>
              <w:ind w:left="67" w:right="52"/>
              <w:jc w:val="left"/>
              <w:rPr>
                <w:sz w:val="14"/>
              </w:rPr>
            </w:pPr>
            <w:r>
              <w:rPr>
                <w:sz w:val="14"/>
              </w:rPr>
              <w:t>Number</w:t>
            </w:r>
            <w:r>
              <w:rPr>
                <w:spacing w:val="-9"/>
                <w:sz w:val="14"/>
              </w:rPr>
              <w:t> </w:t>
            </w:r>
            <w:r>
              <w:rPr>
                <w:sz w:val="14"/>
              </w:rPr>
              <w:t>of</w:t>
            </w:r>
            <w:r>
              <w:rPr>
                <w:spacing w:val="40"/>
                <w:sz w:val="14"/>
              </w:rPr>
              <w:t> </w:t>
            </w:r>
            <w:r>
              <w:rPr>
                <w:spacing w:val="-2"/>
                <w:sz w:val="14"/>
              </w:rPr>
              <w:t>languages</w:t>
            </w:r>
            <w:r>
              <w:rPr>
                <w:spacing w:val="40"/>
                <w:sz w:val="14"/>
              </w:rPr>
              <w:t> </w:t>
            </w:r>
            <w:r>
              <w:rPr>
                <w:spacing w:val="-2"/>
                <w:sz w:val="14"/>
              </w:rPr>
              <w:t>supported</w:t>
            </w:r>
            <w:r>
              <w:rPr>
                <w:spacing w:val="40"/>
                <w:sz w:val="14"/>
              </w:rPr>
              <w:t> </w:t>
            </w:r>
            <w:r>
              <w:rPr>
                <w:spacing w:val="-4"/>
                <w:sz w:val="14"/>
              </w:rPr>
              <w:t>for</w:t>
            </w:r>
            <w:r>
              <w:rPr>
                <w:spacing w:val="40"/>
                <w:sz w:val="14"/>
              </w:rPr>
              <w:t> </w:t>
            </w:r>
            <w:r>
              <w:rPr>
                <w:spacing w:val="-2"/>
                <w:sz w:val="14"/>
              </w:rPr>
              <w:t>correspond</w:t>
            </w:r>
            <w:r>
              <w:rPr>
                <w:spacing w:val="40"/>
                <w:sz w:val="14"/>
              </w:rPr>
              <w:t> </w:t>
            </w:r>
            <w:r>
              <w:rPr>
                <w:sz w:val="14"/>
              </w:rPr>
              <w:t>ence</w:t>
            </w:r>
            <w:r>
              <w:rPr>
                <w:spacing w:val="-9"/>
                <w:sz w:val="14"/>
              </w:rPr>
              <w:t> </w:t>
            </w:r>
            <w:r>
              <w:rPr>
                <w:sz w:val="14"/>
              </w:rPr>
              <w:t>with</w:t>
            </w:r>
            <w:r>
              <w:rPr>
                <w:spacing w:val="40"/>
                <w:sz w:val="14"/>
              </w:rPr>
              <w:t> </w:t>
            </w:r>
            <w:r>
              <w:rPr>
                <w:spacing w:val="-2"/>
                <w:sz w:val="14"/>
              </w:rPr>
              <w:t>States</w:t>
            </w:r>
            <w:r>
              <w:rPr>
                <w:spacing w:val="40"/>
                <w:sz w:val="14"/>
              </w:rPr>
              <w:t> </w:t>
            </w:r>
            <w:r>
              <w:rPr>
                <w:spacing w:val="-2"/>
                <w:sz w:val="14"/>
              </w:rPr>
              <w:t>Parties</w:t>
            </w:r>
          </w:p>
        </w:tc>
        <w:tc>
          <w:tcPr>
            <w:tcW w:w="601" w:type="dxa"/>
            <w:tcBorders>
              <w:top w:val="single" w:sz="4" w:space="0" w:color="000000"/>
              <w:bottom w:val="single" w:sz="4" w:space="0" w:color="000000"/>
            </w:tcBorders>
          </w:tcPr>
          <w:p>
            <w:pPr>
              <w:pStyle w:val="TableParagraph"/>
              <w:spacing w:before="61"/>
              <w:ind w:left="6"/>
              <w:jc w:val="center"/>
              <w:rPr>
                <w:sz w:val="14"/>
              </w:rPr>
            </w:pPr>
            <w:r>
              <w:rPr>
                <w:w w:val="99"/>
                <w:sz w:val="14"/>
              </w:rPr>
              <w:t>8</w:t>
            </w:r>
          </w:p>
        </w:tc>
        <w:tc>
          <w:tcPr>
            <w:tcW w:w="466" w:type="dxa"/>
            <w:tcBorders>
              <w:top w:val="single" w:sz="4" w:space="0" w:color="000000"/>
              <w:bottom w:val="single" w:sz="4" w:space="0" w:color="000000"/>
            </w:tcBorders>
          </w:tcPr>
          <w:p>
            <w:pPr>
              <w:pStyle w:val="TableParagraph"/>
              <w:spacing w:before="61"/>
              <w:ind w:left="15"/>
              <w:jc w:val="center"/>
              <w:rPr>
                <w:sz w:val="14"/>
              </w:rPr>
            </w:pPr>
            <w:r>
              <w:rPr>
                <w:w w:val="99"/>
                <w:sz w:val="14"/>
              </w:rPr>
              <w:t>7</w:t>
            </w:r>
          </w:p>
        </w:tc>
        <w:tc>
          <w:tcPr>
            <w:tcW w:w="1145" w:type="dxa"/>
            <w:tcBorders>
              <w:top w:val="single" w:sz="4" w:space="0" w:color="000000"/>
              <w:bottom w:val="single" w:sz="4" w:space="0" w:color="000000"/>
            </w:tcBorders>
          </w:tcPr>
          <w:p>
            <w:pPr>
              <w:pStyle w:val="TableParagraph"/>
              <w:spacing w:line="242" w:lineRule="auto" w:before="61"/>
              <w:ind w:left="13" w:right="529"/>
              <w:jc w:val="left"/>
              <w:rPr>
                <w:sz w:val="14"/>
              </w:rPr>
            </w:pPr>
            <w:r>
              <w:rPr>
                <w:spacing w:val="-2"/>
                <w:sz w:val="14"/>
              </w:rPr>
              <w:t>1-English,</w:t>
            </w:r>
            <w:r>
              <w:rPr>
                <w:spacing w:val="40"/>
                <w:sz w:val="14"/>
              </w:rPr>
              <w:t> </w:t>
            </w:r>
            <w:r>
              <w:rPr>
                <w:spacing w:val="-2"/>
                <w:sz w:val="14"/>
              </w:rPr>
              <w:t>2-French,</w:t>
            </w:r>
            <w:r>
              <w:rPr>
                <w:spacing w:val="40"/>
                <w:sz w:val="14"/>
              </w:rPr>
              <w:t> </w:t>
            </w:r>
            <w:r>
              <w:rPr>
                <w:spacing w:val="-2"/>
                <w:sz w:val="14"/>
              </w:rPr>
              <w:t>3-Sango,</w:t>
            </w:r>
            <w:r>
              <w:rPr>
                <w:spacing w:val="40"/>
                <w:sz w:val="14"/>
              </w:rPr>
              <w:t> </w:t>
            </w:r>
            <w:r>
              <w:rPr>
                <w:spacing w:val="-2"/>
                <w:sz w:val="14"/>
              </w:rPr>
              <w:t>4-Spanish,</w:t>
            </w:r>
            <w:r>
              <w:rPr>
                <w:spacing w:val="40"/>
                <w:sz w:val="14"/>
              </w:rPr>
              <w:t> </w:t>
            </w:r>
            <w:r>
              <w:rPr>
                <w:spacing w:val="-2"/>
                <w:sz w:val="14"/>
              </w:rPr>
              <w:t>5-Italian,</w:t>
            </w:r>
          </w:p>
          <w:p>
            <w:pPr>
              <w:pStyle w:val="TableParagraph"/>
              <w:spacing w:line="235" w:lineRule="auto"/>
              <w:ind w:left="13" w:right="352"/>
              <w:jc w:val="left"/>
              <w:rPr>
                <w:sz w:val="14"/>
              </w:rPr>
            </w:pPr>
            <w:r>
              <w:rPr>
                <w:spacing w:val="-2"/>
                <w:sz w:val="14"/>
              </w:rPr>
              <w:t>6-Portuguese,</w:t>
            </w:r>
            <w:r>
              <w:rPr>
                <w:spacing w:val="40"/>
                <w:sz w:val="14"/>
              </w:rPr>
              <w:t> </w:t>
            </w:r>
            <w:r>
              <w:rPr>
                <w:spacing w:val="-2"/>
                <w:sz w:val="14"/>
              </w:rPr>
              <w:t>7-Georgian</w:t>
            </w:r>
          </w:p>
        </w:tc>
        <w:tc>
          <w:tcPr>
            <w:tcW w:w="614" w:type="dxa"/>
            <w:tcBorders>
              <w:top w:val="single" w:sz="4" w:space="0" w:color="000000"/>
              <w:bottom w:val="single" w:sz="4" w:space="0" w:color="000000"/>
            </w:tcBorders>
          </w:tcPr>
          <w:p>
            <w:pPr>
              <w:pStyle w:val="TableParagraph"/>
              <w:spacing w:before="61"/>
              <w:ind w:right="30"/>
              <w:jc w:val="center"/>
              <w:rPr>
                <w:sz w:val="14"/>
              </w:rPr>
            </w:pPr>
            <w:r>
              <w:rPr>
                <w:w w:val="99"/>
                <w:sz w:val="14"/>
              </w:rPr>
              <w:t>7</w:t>
            </w:r>
          </w:p>
        </w:tc>
        <w:tc>
          <w:tcPr>
            <w:tcW w:w="512" w:type="dxa"/>
            <w:tcBorders>
              <w:top w:val="single" w:sz="4" w:space="0" w:color="000000"/>
              <w:bottom w:val="single" w:sz="4" w:space="0" w:color="000000"/>
            </w:tcBorders>
          </w:tcPr>
          <w:p>
            <w:pPr>
              <w:pStyle w:val="TableParagraph"/>
              <w:spacing w:before="61"/>
              <w:ind w:left="14"/>
              <w:jc w:val="center"/>
              <w:rPr>
                <w:sz w:val="14"/>
              </w:rPr>
            </w:pPr>
            <w:r>
              <w:rPr>
                <w:w w:val="99"/>
                <w:sz w:val="14"/>
              </w:rPr>
              <w:t>8</w:t>
            </w:r>
          </w:p>
        </w:tc>
        <w:tc>
          <w:tcPr>
            <w:tcW w:w="969" w:type="dxa"/>
            <w:tcBorders>
              <w:top w:val="single" w:sz="4" w:space="0" w:color="000000"/>
              <w:bottom w:val="single" w:sz="4" w:space="0" w:color="000000"/>
            </w:tcBorders>
          </w:tcPr>
          <w:p>
            <w:pPr>
              <w:pStyle w:val="TableParagraph"/>
              <w:spacing w:line="242" w:lineRule="auto" w:before="61"/>
              <w:ind w:left="28" w:right="333"/>
              <w:jc w:val="left"/>
              <w:rPr>
                <w:sz w:val="14"/>
              </w:rPr>
            </w:pPr>
            <w:r>
              <w:rPr>
                <w:spacing w:val="-2"/>
                <w:sz w:val="14"/>
              </w:rPr>
              <w:t>1-English,</w:t>
            </w:r>
            <w:r>
              <w:rPr>
                <w:spacing w:val="40"/>
                <w:sz w:val="14"/>
              </w:rPr>
              <w:t> </w:t>
            </w:r>
            <w:r>
              <w:rPr>
                <w:spacing w:val="-2"/>
                <w:sz w:val="14"/>
              </w:rPr>
              <w:t>2-French,</w:t>
            </w:r>
            <w:r>
              <w:rPr>
                <w:spacing w:val="40"/>
                <w:sz w:val="14"/>
              </w:rPr>
              <w:t> </w:t>
            </w:r>
            <w:r>
              <w:rPr>
                <w:spacing w:val="-2"/>
                <w:sz w:val="14"/>
              </w:rPr>
              <w:t>3-Arabic,</w:t>
            </w:r>
            <w:r>
              <w:rPr>
                <w:spacing w:val="40"/>
                <w:sz w:val="14"/>
              </w:rPr>
              <w:t> </w:t>
            </w:r>
            <w:r>
              <w:rPr>
                <w:spacing w:val="-2"/>
                <w:sz w:val="14"/>
              </w:rPr>
              <w:t>4-Spanish,</w:t>
            </w:r>
            <w:r>
              <w:rPr>
                <w:spacing w:val="40"/>
                <w:sz w:val="14"/>
              </w:rPr>
              <w:t> </w:t>
            </w:r>
            <w:r>
              <w:rPr>
                <w:w w:val="95"/>
                <w:sz w:val="14"/>
              </w:rPr>
              <w:t>5-</w:t>
            </w:r>
            <w:r>
              <w:rPr>
                <w:spacing w:val="-2"/>
                <w:sz w:val="14"/>
              </w:rPr>
              <w:t>German,</w:t>
            </w:r>
          </w:p>
          <w:p>
            <w:pPr>
              <w:pStyle w:val="TableParagraph"/>
              <w:spacing w:line="242" w:lineRule="auto"/>
              <w:ind w:left="28" w:right="161"/>
              <w:jc w:val="left"/>
              <w:rPr>
                <w:sz w:val="14"/>
              </w:rPr>
            </w:pPr>
            <w:r>
              <w:rPr>
                <w:spacing w:val="-2"/>
                <w:sz w:val="14"/>
              </w:rPr>
              <w:t>6-Portuguese,</w:t>
            </w:r>
            <w:r>
              <w:rPr>
                <w:spacing w:val="40"/>
                <w:sz w:val="14"/>
              </w:rPr>
              <w:t> </w:t>
            </w:r>
            <w:r>
              <w:rPr>
                <w:spacing w:val="-2"/>
                <w:sz w:val="14"/>
              </w:rPr>
              <w:t>7-Italian,</w:t>
            </w:r>
          </w:p>
          <w:p>
            <w:pPr>
              <w:pStyle w:val="TableParagraph"/>
              <w:spacing w:line="157" w:lineRule="exact"/>
              <w:ind w:left="28"/>
              <w:jc w:val="left"/>
              <w:rPr>
                <w:sz w:val="14"/>
              </w:rPr>
            </w:pPr>
            <w:r>
              <w:rPr>
                <w:w w:val="95"/>
                <w:sz w:val="14"/>
              </w:rPr>
              <w:t>8-</w:t>
            </w:r>
            <w:r>
              <w:rPr>
                <w:spacing w:val="-2"/>
                <w:sz w:val="14"/>
              </w:rPr>
              <w:t>Acholi</w:t>
            </w:r>
          </w:p>
        </w:tc>
        <w:tc>
          <w:tcPr>
            <w:tcW w:w="600" w:type="dxa"/>
            <w:tcBorders>
              <w:top w:val="single" w:sz="4" w:space="0" w:color="000000"/>
              <w:bottom w:val="single" w:sz="4" w:space="0" w:color="000000"/>
            </w:tcBorders>
          </w:tcPr>
          <w:p>
            <w:pPr>
              <w:pStyle w:val="TableParagraph"/>
              <w:spacing w:before="61"/>
              <w:ind w:right="18"/>
              <w:jc w:val="center"/>
              <w:rPr>
                <w:sz w:val="14"/>
              </w:rPr>
            </w:pPr>
            <w:r>
              <w:rPr>
                <w:w w:val="99"/>
                <w:sz w:val="14"/>
              </w:rPr>
              <w:t>8</w:t>
            </w:r>
          </w:p>
        </w:tc>
        <w:tc>
          <w:tcPr>
            <w:tcW w:w="476" w:type="dxa"/>
            <w:tcBorders>
              <w:top w:val="single" w:sz="4" w:space="0" w:color="000000"/>
              <w:bottom w:val="single" w:sz="4" w:space="0" w:color="000000"/>
            </w:tcBorders>
          </w:tcPr>
          <w:p>
            <w:pPr>
              <w:pStyle w:val="TableParagraph"/>
              <w:spacing w:before="61"/>
              <w:ind w:left="8"/>
              <w:jc w:val="center"/>
              <w:rPr>
                <w:sz w:val="14"/>
              </w:rPr>
            </w:pPr>
            <w:r>
              <w:rPr>
                <w:w w:val="99"/>
                <w:sz w:val="14"/>
              </w:rPr>
              <w:t>6</w:t>
            </w:r>
          </w:p>
        </w:tc>
        <w:tc>
          <w:tcPr>
            <w:tcW w:w="1043" w:type="dxa"/>
            <w:tcBorders>
              <w:top w:val="single" w:sz="4" w:space="0" w:color="000000"/>
              <w:bottom w:val="single" w:sz="4" w:space="0" w:color="000000"/>
            </w:tcBorders>
          </w:tcPr>
          <w:p>
            <w:pPr>
              <w:pStyle w:val="TableParagraph"/>
              <w:spacing w:line="242" w:lineRule="auto" w:before="61"/>
              <w:ind w:left="9" w:right="426"/>
              <w:jc w:val="left"/>
              <w:rPr>
                <w:sz w:val="14"/>
              </w:rPr>
            </w:pPr>
            <w:r>
              <w:rPr>
                <w:spacing w:val="-2"/>
                <w:sz w:val="14"/>
              </w:rPr>
              <w:t>1-English,</w:t>
            </w:r>
            <w:r>
              <w:rPr>
                <w:spacing w:val="40"/>
                <w:sz w:val="14"/>
              </w:rPr>
              <w:t> </w:t>
            </w:r>
            <w:r>
              <w:rPr>
                <w:spacing w:val="-2"/>
                <w:sz w:val="14"/>
              </w:rPr>
              <w:t>2-French,</w:t>
            </w:r>
            <w:r>
              <w:rPr>
                <w:spacing w:val="40"/>
                <w:sz w:val="14"/>
              </w:rPr>
              <w:t> </w:t>
            </w:r>
            <w:r>
              <w:rPr>
                <w:spacing w:val="-2"/>
                <w:sz w:val="14"/>
              </w:rPr>
              <w:t>3-Arabic,</w:t>
            </w:r>
            <w:r>
              <w:rPr>
                <w:spacing w:val="40"/>
                <w:sz w:val="14"/>
              </w:rPr>
              <w:t> </w:t>
            </w:r>
            <w:r>
              <w:rPr>
                <w:spacing w:val="-2"/>
                <w:sz w:val="14"/>
              </w:rPr>
              <w:t>4-Spanish,</w:t>
            </w:r>
            <w:r>
              <w:rPr>
                <w:spacing w:val="40"/>
                <w:sz w:val="14"/>
              </w:rPr>
              <w:t> </w:t>
            </w:r>
            <w:r>
              <w:rPr>
                <w:w w:val="95"/>
                <w:sz w:val="14"/>
              </w:rPr>
              <w:t>5-</w:t>
            </w:r>
            <w:r>
              <w:rPr>
                <w:spacing w:val="-2"/>
                <w:sz w:val="14"/>
              </w:rPr>
              <w:t>German,</w:t>
            </w:r>
          </w:p>
          <w:p>
            <w:pPr>
              <w:pStyle w:val="TableParagraph"/>
              <w:spacing w:line="155" w:lineRule="exact"/>
              <w:ind w:left="9"/>
              <w:jc w:val="left"/>
              <w:rPr>
                <w:sz w:val="14"/>
              </w:rPr>
            </w:pPr>
            <w:r>
              <w:rPr>
                <w:w w:val="95"/>
                <w:sz w:val="14"/>
              </w:rPr>
              <w:t>6-</w:t>
            </w:r>
            <w:r>
              <w:rPr>
                <w:spacing w:val="-2"/>
                <w:sz w:val="14"/>
              </w:rPr>
              <w:t>Portuguese</w:t>
            </w:r>
          </w:p>
        </w:tc>
        <w:tc>
          <w:tcPr>
            <w:tcW w:w="587" w:type="dxa"/>
            <w:tcBorders>
              <w:top w:val="single" w:sz="4" w:space="0" w:color="000000"/>
              <w:bottom w:val="single" w:sz="4" w:space="0" w:color="000000"/>
            </w:tcBorders>
          </w:tcPr>
          <w:p>
            <w:pPr>
              <w:pStyle w:val="TableParagraph"/>
              <w:spacing w:before="61"/>
              <w:ind w:right="17"/>
              <w:jc w:val="center"/>
              <w:rPr>
                <w:sz w:val="14"/>
              </w:rPr>
            </w:pPr>
            <w:r>
              <w:rPr>
                <w:w w:val="99"/>
                <w:sz w:val="14"/>
              </w:rPr>
              <w:t>8</w:t>
            </w:r>
          </w:p>
        </w:tc>
        <w:tc>
          <w:tcPr>
            <w:tcW w:w="1219" w:type="dxa"/>
            <w:tcBorders>
              <w:top w:val="single" w:sz="4" w:space="0" w:color="000000"/>
              <w:bottom w:val="single" w:sz="4" w:space="0" w:color="000000"/>
            </w:tcBorders>
          </w:tcPr>
          <w:p>
            <w:pPr>
              <w:pStyle w:val="TableParagraph"/>
              <w:spacing w:before="61"/>
              <w:ind w:left="12" w:right="604"/>
              <w:jc w:val="left"/>
              <w:rPr>
                <w:sz w:val="14"/>
              </w:rPr>
            </w:pPr>
            <w:r>
              <w:rPr>
                <w:spacing w:val="-2"/>
                <w:sz w:val="14"/>
              </w:rPr>
              <w:t>1-English,</w:t>
            </w:r>
            <w:r>
              <w:rPr>
                <w:spacing w:val="40"/>
                <w:sz w:val="14"/>
              </w:rPr>
              <w:t> </w:t>
            </w:r>
            <w:r>
              <w:rPr>
                <w:spacing w:val="-2"/>
                <w:sz w:val="14"/>
              </w:rPr>
              <w:t>2-French,</w:t>
            </w:r>
            <w:r>
              <w:rPr>
                <w:spacing w:val="40"/>
                <w:sz w:val="14"/>
              </w:rPr>
              <w:t> </w:t>
            </w:r>
            <w:r>
              <w:rPr>
                <w:spacing w:val="-2"/>
                <w:sz w:val="14"/>
              </w:rPr>
              <w:t>3-Arabic,</w:t>
            </w:r>
            <w:r>
              <w:rPr>
                <w:spacing w:val="40"/>
                <w:sz w:val="14"/>
              </w:rPr>
              <w:t> </w:t>
            </w:r>
            <w:r>
              <w:rPr>
                <w:spacing w:val="-2"/>
                <w:sz w:val="14"/>
              </w:rPr>
              <w:t>4-Spanish,</w:t>
            </w:r>
            <w:r>
              <w:rPr>
                <w:spacing w:val="40"/>
                <w:sz w:val="14"/>
              </w:rPr>
              <w:t> </w:t>
            </w:r>
            <w:r>
              <w:rPr>
                <w:spacing w:val="-2"/>
                <w:sz w:val="14"/>
              </w:rPr>
              <w:t>5-Dutch,</w:t>
            </w:r>
            <w:r>
              <w:rPr>
                <w:spacing w:val="40"/>
                <w:sz w:val="14"/>
              </w:rPr>
              <w:t> </w:t>
            </w:r>
            <w:r>
              <w:rPr>
                <w:spacing w:val="-2"/>
                <w:sz w:val="14"/>
              </w:rPr>
              <w:t>6-Italian,</w:t>
            </w:r>
          </w:p>
          <w:p>
            <w:pPr>
              <w:pStyle w:val="TableParagraph"/>
              <w:spacing w:line="235" w:lineRule="auto" w:before="7"/>
              <w:ind w:left="12" w:right="427"/>
              <w:jc w:val="left"/>
              <w:rPr>
                <w:sz w:val="14"/>
              </w:rPr>
            </w:pPr>
            <w:r>
              <w:rPr>
                <w:spacing w:val="-2"/>
                <w:sz w:val="14"/>
              </w:rPr>
              <w:t>7-Portuguese,</w:t>
            </w:r>
            <w:r>
              <w:rPr>
                <w:spacing w:val="40"/>
                <w:sz w:val="14"/>
              </w:rPr>
              <w:t> </w:t>
            </w:r>
            <w:r>
              <w:rPr>
                <w:spacing w:val="-2"/>
                <w:sz w:val="14"/>
              </w:rPr>
              <w:t>8-Sango</w:t>
            </w:r>
          </w:p>
        </w:tc>
        <w:tc>
          <w:tcPr>
            <w:tcW w:w="581" w:type="dxa"/>
            <w:tcBorders>
              <w:top w:val="single" w:sz="4" w:space="0" w:color="000000"/>
              <w:bottom w:val="single" w:sz="4" w:space="0" w:color="000000"/>
            </w:tcBorders>
          </w:tcPr>
          <w:p>
            <w:pPr>
              <w:pStyle w:val="TableParagraph"/>
              <w:spacing w:before="61"/>
              <w:ind w:right="13"/>
              <w:jc w:val="center"/>
              <w:rPr>
                <w:sz w:val="14"/>
              </w:rPr>
            </w:pPr>
            <w:r>
              <w:rPr>
                <w:w w:val="99"/>
                <w:sz w:val="14"/>
              </w:rPr>
              <w:t>8</w:t>
            </w:r>
          </w:p>
        </w:tc>
        <w:tc>
          <w:tcPr>
            <w:tcW w:w="1011" w:type="dxa"/>
            <w:tcBorders>
              <w:top w:val="single" w:sz="4" w:space="0" w:color="000000"/>
              <w:bottom w:val="single" w:sz="4" w:space="0" w:color="000000"/>
            </w:tcBorders>
          </w:tcPr>
          <w:p>
            <w:pPr>
              <w:pStyle w:val="TableParagraph"/>
              <w:spacing w:line="242" w:lineRule="auto" w:before="61"/>
              <w:ind w:left="13" w:right="395"/>
              <w:jc w:val="left"/>
              <w:rPr>
                <w:sz w:val="14"/>
              </w:rPr>
            </w:pPr>
            <w:r>
              <w:rPr>
                <w:spacing w:val="-2"/>
                <w:sz w:val="14"/>
              </w:rPr>
              <w:t>1-English,</w:t>
            </w:r>
            <w:r>
              <w:rPr>
                <w:spacing w:val="40"/>
                <w:sz w:val="14"/>
              </w:rPr>
              <w:t> </w:t>
            </w:r>
            <w:r>
              <w:rPr>
                <w:spacing w:val="-2"/>
                <w:sz w:val="14"/>
              </w:rPr>
              <w:t>2-French,</w:t>
            </w:r>
            <w:r>
              <w:rPr>
                <w:spacing w:val="40"/>
                <w:sz w:val="14"/>
              </w:rPr>
              <w:t> </w:t>
            </w:r>
            <w:r>
              <w:rPr>
                <w:spacing w:val="-2"/>
                <w:sz w:val="14"/>
              </w:rPr>
              <w:t>3-Arabic,</w:t>
            </w:r>
            <w:r>
              <w:rPr>
                <w:spacing w:val="40"/>
                <w:sz w:val="14"/>
              </w:rPr>
              <w:t> </w:t>
            </w:r>
            <w:r>
              <w:rPr>
                <w:spacing w:val="-2"/>
                <w:sz w:val="14"/>
              </w:rPr>
              <w:t>4-Spanish,</w:t>
            </w:r>
            <w:r>
              <w:rPr>
                <w:spacing w:val="40"/>
                <w:sz w:val="14"/>
              </w:rPr>
              <w:t> </w:t>
            </w:r>
            <w:r>
              <w:rPr>
                <w:spacing w:val="-2"/>
                <w:sz w:val="14"/>
              </w:rPr>
              <w:t>5-Dutch,</w:t>
            </w:r>
          </w:p>
          <w:p>
            <w:pPr>
              <w:pStyle w:val="TableParagraph"/>
              <w:spacing w:line="242" w:lineRule="auto"/>
              <w:ind w:left="13" w:right="306"/>
              <w:jc w:val="left"/>
              <w:rPr>
                <w:sz w:val="14"/>
              </w:rPr>
            </w:pPr>
            <w:r>
              <w:rPr>
                <w:sz w:val="14"/>
              </w:rPr>
              <w:t>6-</w:t>
            </w:r>
            <w:r>
              <w:rPr>
                <w:spacing w:val="-9"/>
                <w:sz w:val="14"/>
              </w:rPr>
              <w:t> </w:t>
            </w:r>
            <w:r>
              <w:rPr>
                <w:sz w:val="14"/>
              </w:rPr>
              <w:t>Sudanese</w:t>
            </w:r>
            <w:r>
              <w:rPr>
                <w:spacing w:val="40"/>
                <w:sz w:val="14"/>
              </w:rPr>
              <w:t> </w:t>
            </w:r>
            <w:r>
              <w:rPr>
                <w:spacing w:val="-2"/>
                <w:sz w:val="14"/>
              </w:rPr>
              <w:t>Arabic,</w:t>
            </w:r>
          </w:p>
          <w:p>
            <w:pPr>
              <w:pStyle w:val="TableParagraph"/>
              <w:spacing w:line="235" w:lineRule="auto"/>
              <w:ind w:left="13" w:right="317"/>
              <w:jc w:val="left"/>
              <w:rPr>
                <w:sz w:val="14"/>
              </w:rPr>
            </w:pPr>
            <w:r>
              <w:rPr>
                <w:spacing w:val="-2"/>
                <w:sz w:val="14"/>
              </w:rPr>
              <w:t>7-Russian,</w:t>
            </w:r>
            <w:r>
              <w:rPr>
                <w:spacing w:val="40"/>
                <w:sz w:val="14"/>
              </w:rPr>
              <w:t> </w:t>
            </w:r>
            <w:r>
              <w:rPr>
                <w:spacing w:val="-2"/>
                <w:sz w:val="14"/>
              </w:rPr>
              <w:t>8-Ukrainian</w:t>
            </w:r>
          </w:p>
        </w:tc>
      </w:tr>
      <w:tr>
        <w:trPr>
          <w:trHeight w:val="1411" w:hRule="atLeast"/>
        </w:trPr>
        <w:tc>
          <w:tcPr>
            <w:tcW w:w="226" w:type="dxa"/>
            <w:tcBorders>
              <w:top w:val="single" w:sz="4" w:space="0" w:color="000000"/>
              <w:bottom w:val="single" w:sz="4" w:space="0" w:color="000000"/>
            </w:tcBorders>
          </w:tcPr>
          <w:p>
            <w:pPr>
              <w:pStyle w:val="TableParagraph"/>
              <w:spacing w:before="61"/>
              <w:ind w:left="14"/>
              <w:jc w:val="left"/>
              <w:rPr>
                <w:sz w:val="14"/>
              </w:rPr>
            </w:pPr>
            <w:r>
              <w:rPr>
                <w:spacing w:val="-5"/>
                <w:sz w:val="14"/>
              </w:rPr>
              <w:t>13</w:t>
            </w:r>
          </w:p>
        </w:tc>
        <w:tc>
          <w:tcPr>
            <w:tcW w:w="749" w:type="dxa"/>
            <w:tcBorders>
              <w:top w:val="single" w:sz="4" w:space="0" w:color="000000"/>
              <w:bottom w:val="single" w:sz="4" w:space="0" w:color="000000"/>
            </w:tcBorders>
          </w:tcPr>
          <w:p>
            <w:pPr>
              <w:pStyle w:val="TableParagraph"/>
              <w:spacing w:before="61"/>
              <w:ind w:left="67" w:right="60"/>
              <w:jc w:val="left"/>
              <w:rPr>
                <w:sz w:val="14"/>
              </w:rPr>
            </w:pPr>
            <w:r>
              <w:rPr>
                <w:sz w:val="14"/>
              </w:rPr>
              <w:t>Number</w:t>
            </w:r>
            <w:r>
              <w:rPr>
                <w:spacing w:val="-9"/>
                <w:sz w:val="14"/>
              </w:rPr>
              <w:t> </w:t>
            </w:r>
            <w:r>
              <w:rPr>
                <w:sz w:val="14"/>
              </w:rPr>
              <w:t>of</w:t>
            </w:r>
            <w:r>
              <w:rPr>
                <w:spacing w:val="40"/>
                <w:sz w:val="14"/>
              </w:rPr>
              <w:t> </w:t>
            </w:r>
            <w:r>
              <w:rPr>
                <w:spacing w:val="-2"/>
                <w:sz w:val="14"/>
              </w:rPr>
              <w:t>final</w:t>
            </w:r>
            <w:r>
              <w:rPr>
                <w:spacing w:val="40"/>
                <w:sz w:val="14"/>
              </w:rPr>
              <w:t> </w:t>
            </w:r>
            <w:r>
              <w:rPr>
                <w:spacing w:val="-2"/>
                <w:sz w:val="14"/>
              </w:rPr>
              <w:t>appeals</w:t>
            </w:r>
          </w:p>
        </w:tc>
        <w:tc>
          <w:tcPr>
            <w:tcW w:w="601" w:type="dxa"/>
            <w:tcBorders>
              <w:top w:val="single" w:sz="4" w:space="0" w:color="000000"/>
              <w:bottom w:val="single" w:sz="4" w:space="0" w:color="000000"/>
            </w:tcBorders>
          </w:tcPr>
          <w:p>
            <w:pPr>
              <w:pStyle w:val="TableParagraph"/>
              <w:spacing w:before="59"/>
              <w:ind w:left="20" w:right="12"/>
              <w:jc w:val="center"/>
              <w:rPr>
                <w:sz w:val="9"/>
              </w:rPr>
            </w:pPr>
            <w:r>
              <w:rPr>
                <w:spacing w:val="-4"/>
                <w:position w:val="-4"/>
                <w:sz w:val="14"/>
              </w:rPr>
              <w:t>5</w:t>
            </w:r>
            <w:r>
              <w:rPr>
                <w:spacing w:val="-4"/>
                <w:sz w:val="9"/>
              </w:rPr>
              <w:t>168</w:t>
            </w:r>
          </w:p>
        </w:tc>
        <w:tc>
          <w:tcPr>
            <w:tcW w:w="466" w:type="dxa"/>
            <w:tcBorders>
              <w:top w:val="single" w:sz="4" w:space="0" w:color="000000"/>
              <w:bottom w:val="single" w:sz="4" w:space="0" w:color="000000"/>
            </w:tcBorders>
          </w:tcPr>
          <w:p>
            <w:pPr>
              <w:pStyle w:val="TableParagraph"/>
              <w:spacing w:before="61"/>
              <w:ind w:left="15"/>
              <w:jc w:val="center"/>
              <w:rPr>
                <w:sz w:val="14"/>
              </w:rPr>
            </w:pPr>
            <w:r>
              <w:rPr>
                <w:w w:val="99"/>
                <w:sz w:val="14"/>
              </w:rPr>
              <w:t>5</w:t>
            </w:r>
          </w:p>
        </w:tc>
        <w:tc>
          <w:tcPr>
            <w:tcW w:w="1145" w:type="dxa"/>
            <w:tcBorders>
              <w:top w:val="single" w:sz="4" w:space="0" w:color="000000"/>
              <w:bottom w:val="single" w:sz="4" w:space="0" w:color="000000"/>
            </w:tcBorders>
          </w:tcPr>
          <w:p>
            <w:pPr>
              <w:pStyle w:val="TableParagraph"/>
              <w:spacing w:before="61"/>
              <w:ind w:left="13"/>
              <w:jc w:val="left"/>
              <w:rPr>
                <w:i/>
                <w:sz w:val="14"/>
              </w:rPr>
            </w:pPr>
            <w:r>
              <w:rPr>
                <w:i/>
                <w:spacing w:val="-2"/>
                <w:sz w:val="14"/>
              </w:rPr>
              <w:t>Ntaganda</w:t>
            </w:r>
          </w:p>
          <w:p>
            <w:pPr>
              <w:pStyle w:val="TableParagraph"/>
              <w:spacing w:line="160" w:lineRule="exact" w:before="2"/>
              <w:ind w:left="13"/>
              <w:jc w:val="left"/>
              <w:rPr>
                <w:sz w:val="14"/>
              </w:rPr>
            </w:pPr>
            <w:r>
              <w:rPr>
                <w:sz w:val="14"/>
              </w:rPr>
              <w:t>(article</w:t>
            </w:r>
            <w:r>
              <w:rPr>
                <w:spacing w:val="-2"/>
                <w:sz w:val="14"/>
              </w:rPr>
              <w:t> </w:t>
            </w:r>
            <w:r>
              <w:rPr>
                <w:sz w:val="14"/>
              </w:rPr>
              <w:t>74;</w:t>
            </w:r>
            <w:r>
              <w:rPr>
                <w:spacing w:val="-2"/>
                <w:sz w:val="14"/>
              </w:rPr>
              <w:t> article</w:t>
            </w:r>
          </w:p>
          <w:p>
            <w:pPr>
              <w:pStyle w:val="TableParagraph"/>
              <w:spacing w:line="244" w:lineRule="auto"/>
              <w:ind w:left="13" w:right="27"/>
              <w:jc w:val="left"/>
              <w:rPr>
                <w:i/>
                <w:sz w:val="14"/>
              </w:rPr>
            </w:pPr>
            <w:r>
              <w:rPr>
                <w:sz w:val="14"/>
              </w:rPr>
              <w:t>76);</w:t>
            </w:r>
            <w:r>
              <w:rPr>
                <w:spacing w:val="-9"/>
                <w:sz w:val="14"/>
              </w:rPr>
              <w:t> </w:t>
            </w:r>
            <w:r>
              <w:rPr>
                <w:i/>
                <w:sz w:val="14"/>
              </w:rPr>
              <w:t>Gbagbo</w:t>
            </w:r>
            <w:r>
              <w:rPr>
                <w:i/>
                <w:spacing w:val="-9"/>
                <w:sz w:val="14"/>
              </w:rPr>
              <w:t> </w:t>
            </w:r>
            <w:r>
              <w:rPr>
                <w:i/>
                <w:sz w:val="14"/>
              </w:rPr>
              <w:t>and</w:t>
            </w:r>
            <w:r>
              <w:rPr>
                <w:i/>
                <w:spacing w:val="40"/>
                <w:sz w:val="14"/>
              </w:rPr>
              <w:t> </w:t>
            </w:r>
            <w:r>
              <w:rPr>
                <w:i/>
                <w:sz w:val="14"/>
              </w:rPr>
              <w:t>Blé</w:t>
            </w:r>
            <w:r>
              <w:rPr>
                <w:i/>
                <w:spacing w:val="-9"/>
                <w:sz w:val="14"/>
              </w:rPr>
              <w:t> </w:t>
            </w:r>
            <w:r>
              <w:rPr>
                <w:i/>
                <w:sz w:val="14"/>
              </w:rPr>
              <w:t>Goudé</w:t>
            </w:r>
          </w:p>
          <w:p>
            <w:pPr>
              <w:pStyle w:val="TableParagraph"/>
              <w:spacing w:line="235" w:lineRule="auto"/>
              <w:ind w:left="13"/>
              <w:jc w:val="left"/>
              <w:rPr>
                <w:i/>
                <w:sz w:val="14"/>
              </w:rPr>
            </w:pPr>
            <w:r>
              <w:rPr>
                <w:i/>
                <w:sz w:val="14"/>
              </w:rPr>
              <w:t>(</w:t>
            </w:r>
            <w:r>
              <w:rPr>
                <w:sz w:val="14"/>
              </w:rPr>
              <w:t>article</w:t>
            </w:r>
            <w:r>
              <w:rPr>
                <w:spacing w:val="-9"/>
                <w:sz w:val="14"/>
              </w:rPr>
              <w:t> </w:t>
            </w:r>
            <w:r>
              <w:rPr>
                <w:sz w:val="14"/>
              </w:rPr>
              <w:t>74);</w:t>
            </w:r>
            <w:r>
              <w:rPr>
                <w:spacing w:val="-9"/>
                <w:sz w:val="14"/>
              </w:rPr>
              <w:t> </w:t>
            </w:r>
            <w:r>
              <w:rPr>
                <w:i/>
                <w:sz w:val="14"/>
              </w:rPr>
              <w:t>Bemba</w:t>
            </w:r>
            <w:r>
              <w:rPr>
                <w:i/>
                <w:spacing w:val="40"/>
                <w:sz w:val="14"/>
              </w:rPr>
              <w:t> </w:t>
            </w:r>
            <w:r>
              <w:rPr>
                <w:i/>
                <w:sz w:val="14"/>
              </w:rPr>
              <w:t>et al. </w:t>
            </w:r>
            <w:r>
              <w:rPr>
                <w:sz w:val="14"/>
              </w:rPr>
              <w:t>(article 76);</w:t>
            </w:r>
            <w:r>
              <w:rPr>
                <w:spacing w:val="40"/>
                <w:sz w:val="14"/>
              </w:rPr>
              <w:t> </w:t>
            </w:r>
            <w:r>
              <w:rPr>
                <w:sz w:val="14"/>
              </w:rPr>
              <w:t>and</w:t>
            </w:r>
            <w:r>
              <w:rPr>
                <w:spacing w:val="-4"/>
                <w:sz w:val="14"/>
              </w:rPr>
              <w:t> </w:t>
            </w:r>
            <w:r>
              <w:rPr>
                <w:i/>
                <w:sz w:val="14"/>
              </w:rPr>
              <w:t>Lubanga.</w:t>
            </w:r>
          </w:p>
        </w:tc>
        <w:tc>
          <w:tcPr>
            <w:tcW w:w="614" w:type="dxa"/>
            <w:tcBorders>
              <w:top w:val="single" w:sz="4" w:space="0" w:color="000000"/>
              <w:bottom w:val="single" w:sz="4" w:space="0" w:color="000000"/>
            </w:tcBorders>
          </w:tcPr>
          <w:p>
            <w:pPr>
              <w:pStyle w:val="TableParagraph"/>
              <w:spacing w:before="59"/>
              <w:ind w:right="29"/>
              <w:jc w:val="center"/>
              <w:rPr>
                <w:sz w:val="9"/>
              </w:rPr>
            </w:pPr>
            <w:r>
              <w:rPr>
                <w:spacing w:val="-4"/>
                <w:position w:val="-4"/>
                <w:sz w:val="14"/>
              </w:rPr>
              <w:t>1</w:t>
            </w:r>
            <w:r>
              <w:rPr>
                <w:spacing w:val="-4"/>
                <w:sz w:val="9"/>
              </w:rPr>
              <w:t>169</w:t>
            </w:r>
          </w:p>
        </w:tc>
        <w:tc>
          <w:tcPr>
            <w:tcW w:w="512" w:type="dxa"/>
            <w:tcBorders>
              <w:top w:val="single" w:sz="4" w:space="0" w:color="000000"/>
              <w:bottom w:val="single" w:sz="4" w:space="0" w:color="000000"/>
            </w:tcBorders>
          </w:tcPr>
          <w:p>
            <w:pPr>
              <w:pStyle w:val="TableParagraph"/>
              <w:spacing w:before="61"/>
              <w:ind w:left="14"/>
              <w:jc w:val="center"/>
              <w:rPr>
                <w:sz w:val="14"/>
              </w:rPr>
            </w:pPr>
            <w:r>
              <w:rPr>
                <w:w w:val="99"/>
                <w:sz w:val="14"/>
              </w:rPr>
              <w:t>2</w:t>
            </w:r>
          </w:p>
        </w:tc>
        <w:tc>
          <w:tcPr>
            <w:tcW w:w="969" w:type="dxa"/>
            <w:tcBorders>
              <w:top w:val="single" w:sz="4" w:space="0" w:color="000000"/>
              <w:bottom w:val="single" w:sz="4" w:space="0" w:color="000000"/>
            </w:tcBorders>
          </w:tcPr>
          <w:p>
            <w:pPr>
              <w:pStyle w:val="TableParagraph"/>
              <w:spacing w:before="61"/>
              <w:ind w:left="28"/>
              <w:jc w:val="left"/>
              <w:rPr>
                <w:i/>
                <w:sz w:val="14"/>
              </w:rPr>
            </w:pPr>
            <w:r>
              <w:rPr>
                <w:i/>
                <w:sz w:val="14"/>
              </w:rPr>
              <w:t>Ntaganda</w:t>
            </w:r>
            <w:r>
              <w:rPr>
                <w:sz w:val="14"/>
              </w:rPr>
              <w:t>;</w:t>
            </w:r>
            <w:r>
              <w:rPr>
                <w:spacing w:val="-9"/>
                <w:sz w:val="14"/>
              </w:rPr>
              <w:t> </w:t>
            </w:r>
            <w:r>
              <w:rPr>
                <w:sz w:val="14"/>
              </w:rPr>
              <w:t>and</w:t>
            </w:r>
            <w:r>
              <w:rPr>
                <w:spacing w:val="40"/>
                <w:sz w:val="14"/>
              </w:rPr>
              <w:t> </w:t>
            </w:r>
            <w:r>
              <w:rPr>
                <w:i/>
                <w:sz w:val="14"/>
              </w:rPr>
              <w:t>Gbagbo</w:t>
            </w:r>
            <w:r>
              <w:rPr>
                <w:i/>
                <w:spacing w:val="-9"/>
                <w:sz w:val="14"/>
              </w:rPr>
              <w:t> </w:t>
            </w:r>
            <w:r>
              <w:rPr>
                <w:i/>
                <w:sz w:val="14"/>
              </w:rPr>
              <w:t>and</w:t>
            </w:r>
            <w:r>
              <w:rPr>
                <w:i/>
                <w:spacing w:val="-9"/>
                <w:sz w:val="14"/>
              </w:rPr>
              <w:t> </w:t>
            </w:r>
            <w:r>
              <w:rPr>
                <w:i/>
                <w:sz w:val="14"/>
              </w:rPr>
              <w:t>Blé</w:t>
            </w:r>
            <w:r>
              <w:rPr>
                <w:i/>
                <w:spacing w:val="40"/>
                <w:sz w:val="14"/>
              </w:rPr>
              <w:t> </w:t>
            </w:r>
            <w:r>
              <w:rPr>
                <w:i/>
                <w:spacing w:val="-2"/>
                <w:sz w:val="14"/>
              </w:rPr>
              <w:t>Goudé</w:t>
            </w:r>
          </w:p>
        </w:tc>
        <w:tc>
          <w:tcPr>
            <w:tcW w:w="600" w:type="dxa"/>
            <w:tcBorders>
              <w:top w:val="single" w:sz="4" w:space="0" w:color="000000"/>
              <w:bottom w:val="single" w:sz="4" w:space="0" w:color="000000"/>
            </w:tcBorders>
          </w:tcPr>
          <w:p>
            <w:pPr>
              <w:pStyle w:val="TableParagraph"/>
              <w:spacing w:before="61"/>
              <w:ind w:right="18"/>
              <w:jc w:val="center"/>
              <w:rPr>
                <w:sz w:val="14"/>
              </w:rPr>
            </w:pPr>
            <w:r>
              <w:rPr>
                <w:w w:val="99"/>
                <w:sz w:val="14"/>
              </w:rPr>
              <w:t>4</w:t>
            </w:r>
          </w:p>
        </w:tc>
        <w:tc>
          <w:tcPr>
            <w:tcW w:w="476" w:type="dxa"/>
            <w:tcBorders>
              <w:top w:val="single" w:sz="4" w:space="0" w:color="000000"/>
              <w:bottom w:val="single" w:sz="4" w:space="0" w:color="000000"/>
            </w:tcBorders>
          </w:tcPr>
          <w:p>
            <w:pPr>
              <w:pStyle w:val="TableParagraph"/>
              <w:spacing w:before="61"/>
              <w:ind w:left="8"/>
              <w:jc w:val="center"/>
              <w:rPr>
                <w:sz w:val="14"/>
              </w:rPr>
            </w:pPr>
            <w:r>
              <w:rPr>
                <w:w w:val="99"/>
                <w:sz w:val="14"/>
              </w:rPr>
              <w:t>5</w:t>
            </w:r>
          </w:p>
        </w:tc>
        <w:tc>
          <w:tcPr>
            <w:tcW w:w="1043" w:type="dxa"/>
            <w:tcBorders>
              <w:top w:val="single" w:sz="4" w:space="0" w:color="000000"/>
              <w:bottom w:val="single" w:sz="4" w:space="0" w:color="000000"/>
            </w:tcBorders>
          </w:tcPr>
          <w:p>
            <w:pPr>
              <w:pStyle w:val="TableParagraph"/>
              <w:spacing w:line="242" w:lineRule="auto" w:before="61"/>
              <w:ind w:left="9" w:right="206"/>
              <w:jc w:val="left"/>
              <w:rPr>
                <w:sz w:val="14"/>
              </w:rPr>
            </w:pPr>
            <w:r>
              <w:rPr>
                <w:i/>
                <w:sz w:val="14"/>
              </w:rPr>
              <w:t>Ntaganda</w:t>
            </w:r>
            <w:r>
              <w:rPr>
                <w:i/>
                <w:spacing w:val="-9"/>
                <w:sz w:val="14"/>
              </w:rPr>
              <w:t> </w:t>
            </w:r>
            <w:r>
              <w:rPr>
                <w:sz w:val="14"/>
              </w:rPr>
              <w:t>(art.</w:t>
            </w:r>
            <w:r>
              <w:rPr>
                <w:spacing w:val="40"/>
                <w:sz w:val="14"/>
              </w:rPr>
              <w:t> </w:t>
            </w:r>
            <w:r>
              <w:rPr>
                <w:sz w:val="14"/>
              </w:rPr>
              <w:t>74, art. 76);</w:t>
            </w:r>
          </w:p>
          <w:p>
            <w:pPr>
              <w:pStyle w:val="TableParagraph"/>
              <w:spacing w:line="244" w:lineRule="auto"/>
              <w:ind w:left="9"/>
              <w:jc w:val="left"/>
              <w:rPr>
                <w:sz w:val="14"/>
              </w:rPr>
            </w:pPr>
            <w:r>
              <w:rPr>
                <w:i/>
                <w:sz w:val="14"/>
              </w:rPr>
              <w:t>Gbagbo</w:t>
            </w:r>
            <w:r>
              <w:rPr>
                <w:i/>
                <w:spacing w:val="-9"/>
                <w:sz w:val="14"/>
              </w:rPr>
              <w:t> </w:t>
            </w:r>
            <w:r>
              <w:rPr>
                <w:i/>
                <w:sz w:val="14"/>
              </w:rPr>
              <w:t>and</w:t>
            </w:r>
            <w:r>
              <w:rPr>
                <w:i/>
                <w:spacing w:val="-9"/>
                <w:sz w:val="14"/>
              </w:rPr>
              <w:t> </w:t>
            </w:r>
            <w:r>
              <w:rPr>
                <w:i/>
                <w:sz w:val="14"/>
              </w:rPr>
              <w:t>Blé</w:t>
            </w:r>
            <w:r>
              <w:rPr>
                <w:i/>
                <w:spacing w:val="40"/>
                <w:sz w:val="14"/>
              </w:rPr>
              <w:t> </w:t>
            </w:r>
            <w:r>
              <w:rPr>
                <w:i/>
                <w:sz w:val="14"/>
              </w:rPr>
              <w:t>Goudé</w:t>
            </w:r>
            <w:r>
              <w:rPr>
                <w:i/>
                <w:spacing w:val="-3"/>
                <w:sz w:val="14"/>
              </w:rPr>
              <w:t> </w:t>
            </w:r>
            <w:r>
              <w:rPr>
                <w:sz w:val="14"/>
              </w:rPr>
              <w:t>(art.</w:t>
            </w:r>
            <w:r>
              <w:rPr>
                <w:spacing w:val="-5"/>
                <w:sz w:val="14"/>
              </w:rPr>
              <w:t> </w:t>
            </w:r>
            <w:r>
              <w:rPr>
                <w:spacing w:val="-4"/>
                <w:sz w:val="14"/>
              </w:rPr>
              <w:t>74);</w:t>
            </w:r>
          </w:p>
          <w:p>
            <w:pPr>
              <w:pStyle w:val="TableParagraph"/>
              <w:spacing w:line="237" w:lineRule="auto"/>
              <w:ind w:left="9" w:right="24"/>
              <w:jc w:val="left"/>
              <w:rPr>
                <w:sz w:val="14"/>
              </w:rPr>
            </w:pPr>
            <w:r>
              <w:rPr>
                <w:i/>
                <w:sz w:val="14"/>
              </w:rPr>
              <w:t>Ongwen</w:t>
            </w:r>
            <w:r>
              <w:rPr>
                <w:i/>
                <w:spacing w:val="-9"/>
                <w:sz w:val="14"/>
              </w:rPr>
              <w:t> </w:t>
            </w:r>
            <w:r>
              <w:rPr>
                <w:sz w:val="14"/>
              </w:rPr>
              <w:t>(art.</w:t>
            </w:r>
            <w:r>
              <w:rPr>
                <w:spacing w:val="-9"/>
                <w:sz w:val="14"/>
              </w:rPr>
              <w:t> </w:t>
            </w:r>
            <w:r>
              <w:rPr>
                <w:sz w:val="14"/>
              </w:rPr>
              <w:t>74);</w:t>
            </w:r>
            <w:r>
              <w:rPr>
                <w:spacing w:val="40"/>
                <w:sz w:val="14"/>
              </w:rPr>
              <w:t> </w:t>
            </w:r>
            <w:r>
              <w:rPr>
                <w:sz w:val="14"/>
              </w:rPr>
              <w:t>and</w:t>
            </w:r>
            <w:r>
              <w:rPr>
                <w:spacing w:val="-4"/>
                <w:sz w:val="14"/>
              </w:rPr>
              <w:t> </w:t>
            </w:r>
            <w:r>
              <w:rPr>
                <w:i/>
                <w:sz w:val="14"/>
              </w:rPr>
              <w:t>Ntaganda</w:t>
            </w:r>
            <w:r>
              <w:rPr>
                <w:i/>
                <w:spacing w:val="40"/>
                <w:sz w:val="14"/>
              </w:rPr>
              <w:t> </w:t>
            </w:r>
            <w:r>
              <w:rPr>
                <w:sz w:val="14"/>
              </w:rPr>
              <w:t>(art.</w:t>
            </w:r>
            <w:r>
              <w:rPr>
                <w:spacing w:val="-9"/>
                <w:sz w:val="14"/>
              </w:rPr>
              <w:t> </w:t>
            </w:r>
            <w:r>
              <w:rPr>
                <w:sz w:val="14"/>
              </w:rPr>
              <w:t>75,</w:t>
            </w:r>
            <w:r>
              <w:rPr>
                <w:spacing w:val="40"/>
                <w:sz w:val="14"/>
              </w:rPr>
              <w:t> </w:t>
            </w:r>
            <w:r>
              <w:rPr>
                <w:sz w:val="14"/>
              </w:rPr>
              <w:t>reparations</w:t>
            </w:r>
            <w:r>
              <w:rPr>
                <w:spacing w:val="-9"/>
                <w:sz w:val="14"/>
              </w:rPr>
              <w:t> </w:t>
            </w:r>
            <w:r>
              <w:rPr>
                <w:sz w:val="14"/>
              </w:rPr>
              <w:t>order)</w:t>
            </w:r>
          </w:p>
        </w:tc>
        <w:tc>
          <w:tcPr>
            <w:tcW w:w="587" w:type="dxa"/>
            <w:tcBorders>
              <w:top w:val="single" w:sz="4" w:space="0" w:color="000000"/>
              <w:bottom w:val="single" w:sz="4" w:space="0" w:color="000000"/>
            </w:tcBorders>
          </w:tcPr>
          <w:p>
            <w:pPr>
              <w:pStyle w:val="TableParagraph"/>
              <w:spacing w:before="61"/>
              <w:ind w:right="17"/>
              <w:jc w:val="center"/>
              <w:rPr>
                <w:sz w:val="14"/>
              </w:rPr>
            </w:pPr>
            <w:r>
              <w:rPr>
                <w:w w:val="99"/>
                <w:sz w:val="14"/>
              </w:rPr>
              <w:t>1</w:t>
            </w:r>
          </w:p>
        </w:tc>
        <w:tc>
          <w:tcPr>
            <w:tcW w:w="1219" w:type="dxa"/>
            <w:tcBorders>
              <w:top w:val="single" w:sz="4" w:space="0" w:color="000000"/>
              <w:bottom w:val="single" w:sz="4" w:space="0" w:color="000000"/>
            </w:tcBorders>
          </w:tcPr>
          <w:p>
            <w:pPr>
              <w:pStyle w:val="TableParagraph"/>
              <w:spacing w:before="61"/>
              <w:ind w:right="250"/>
              <w:rPr>
                <w:sz w:val="14"/>
              </w:rPr>
            </w:pPr>
            <w:r>
              <w:rPr>
                <w:i/>
                <w:sz w:val="14"/>
              </w:rPr>
              <w:t>Ongwen</w:t>
            </w:r>
            <w:r>
              <w:rPr>
                <w:i/>
                <w:spacing w:val="-1"/>
                <w:sz w:val="14"/>
              </w:rPr>
              <w:t> </w:t>
            </w:r>
            <w:r>
              <w:rPr>
                <w:sz w:val="14"/>
              </w:rPr>
              <w:t>(art.</w:t>
            </w:r>
            <w:r>
              <w:rPr>
                <w:spacing w:val="-4"/>
                <w:sz w:val="14"/>
              </w:rPr>
              <w:t> </w:t>
            </w:r>
            <w:r>
              <w:rPr>
                <w:spacing w:val="-5"/>
                <w:sz w:val="14"/>
              </w:rPr>
              <w:t>74)</w:t>
            </w:r>
          </w:p>
        </w:tc>
        <w:tc>
          <w:tcPr>
            <w:tcW w:w="581" w:type="dxa"/>
            <w:tcBorders>
              <w:top w:val="single" w:sz="4" w:space="0" w:color="000000"/>
              <w:bottom w:val="single" w:sz="4" w:space="0" w:color="000000"/>
            </w:tcBorders>
          </w:tcPr>
          <w:p>
            <w:pPr>
              <w:pStyle w:val="TableParagraph"/>
              <w:spacing w:before="61"/>
              <w:ind w:left="8" w:right="17"/>
              <w:jc w:val="center"/>
              <w:rPr>
                <w:sz w:val="14"/>
              </w:rPr>
            </w:pPr>
            <w:r>
              <w:rPr>
                <w:sz w:val="14"/>
              </w:rPr>
              <w:t>Up</w:t>
            </w:r>
            <w:r>
              <w:rPr>
                <w:spacing w:val="-1"/>
                <w:sz w:val="14"/>
              </w:rPr>
              <w:t> </w:t>
            </w:r>
            <w:r>
              <w:rPr>
                <w:sz w:val="14"/>
              </w:rPr>
              <w:t>to</w:t>
            </w:r>
            <w:r>
              <w:rPr>
                <w:spacing w:val="-1"/>
                <w:sz w:val="14"/>
              </w:rPr>
              <w:t> </w:t>
            </w:r>
            <w:r>
              <w:rPr>
                <w:spacing w:val="-10"/>
                <w:sz w:val="14"/>
              </w:rPr>
              <w:t>3</w:t>
            </w:r>
          </w:p>
        </w:tc>
        <w:tc>
          <w:tcPr>
            <w:tcW w:w="1011" w:type="dxa"/>
            <w:tcBorders>
              <w:top w:val="single" w:sz="4" w:space="0" w:color="000000"/>
              <w:bottom w:val="single" w:sz="4" w:space="0" w:color="000000"/>
            </w:tcBorders>
          </w:tcPr>
          <w:p>
            <w:pPr>
              <w:pStyle w:val="TableParagraph"/>
              <w:spacing w:line="242" w:lineRule="auto" w:before="61"/>
              <w:ind w:left="13" w:right="81"/>
              <w:jc w:val="left"/>
              <w:rPr>
                <w:sz w:val="14"/>
              </w:rPr>
            </w:pPr>
            <w:r>
              <w:rPr>
                <w:i/>
                <w:spacing w:val="-2"/>
                <w:sz w:val="14"/>
              </w:rPr>
              <w:t>Ongwen</w:t>
            </w:r>
            <w:r>
              <w:rPr>
                <w:i/>
                <w:spacing w:val="40"/>
                <w:sz w:val="14"/>
              </w:rPr>
              <w:t> </w:t>
            </w:r>
            <w:r>
              <w:rPr>
                <w:spacing w:val="-2"/>
                <w:sz w:val="14"/>
              </w:rPr>
              <w:t>(reparations</w:t>
            </w:r>
            <w:r>
              <w:rPr>
                <w:spacing w:val="40"/>
                <w:sz w:val="14"/>
              </w:rPr>
              <w:t> </w:t>
            </w:r>
            <w:r>
              <w:rPr>
                <w:sz w:val="14"/>
              </w:rPr>
              <w:t>order);</w:t>
            </w:r>
            <w:r>
              <w:rPr>
                <w:spacing w:val="-8"/>
                <w:sz w:val="14"/>
              </w:rPr>
              <w:t> </w:t>
            </w:r>
            <w:r>
              <w:rPr>
                <w:i/>
                <w:sz w:val="14"/>
              </w:rPr>
              <w:t>Al</w:t>
            </w:r>
            <w:r>
              <w:rPr>
                <w:i/>
                <w:spacing w:val="40"/>
                <w:sz w:val="14"/>
              </w:rPr>
              <w:t> </w:t>
            </w:r>
            <w:r>
              <w:rPr>
                <w:i/>
                <w:sz w:val="14"/>
              </w:rPr>
              <w:t>Hassan</w:t>
            </w:r>
            <w:r>
              <w:rPr>
                <w:i/>
                <w:spacing w:val="-9"/>
                <w:sz w:val="14"/>
              </w:rPr>
              <w:t> </w:t>
            </w:r>
            <w:r>
              <w:rPr>
                <w:sz w:val="14"/>
              </w:rPr>
              <w:t>(art.</w:t>
            </w:r>
            <w:r>
              <w:rPr>
                <w:spacing w:val="-9"/>
                <w:sz w:val="14"/>
              </w:rPr>
              <w:t> </w:t>
            </w:r>
            <w:r>
              <w:rPr>
                <w:sz w:val="14"/>
              </w:rPr>
              <w:t>74)</w:t>
            </w:r>
            <w:r>
              <w:rPr>
                <w:spacing w:val="40"/>
                <w:sz w:val="14"/>
              </w:rPr>
              <w:t> </w:t>
            </w:r>
            <w:r>
              <w:rPr>
                <w:i/>
                <w:sz w:val="14"/>
              </w:rPr>
              <w:t>Gicheru</w:t>
            </w:r>
            <w:r>
              <w:rPr>
                <w:i/>
                <w:spacing w:val="-4"/>
                <w:sz w:val="14"/>
              </w:rPr>
              <w:t> </w:t>
            </w:r>
            <w:r>
              <w:rPr>
                <w:sz w:val="14"/>
              </w:rPr>
              <w:t>(art.</w:t>
            </w:r>
          </w:p>
          <w:p>
            <w:pPr>
              <w:pStyle w:val="TableParagraph"/>
              <w:spacing w:line="139" w:lineRule="auto" w:before="25"/>
              <w:ind w:left="13"/>
              <w:jc w:val="left"/>
              <w:rPr>
                <w:sz w:val="9"/>
              </w:rPr>
            </w:pPr>
            <w:r>
              <w:rPr>
                <w:spacing w:val="-2"/>
                <w:position w:val="-4"/>
                <w:sz w:val="14"/>
              </w:rPr>
              <w:t>74)</w:t>
            </w:r>
            <w:r>
              <w:rPr>
                <w:spacing w:val="-2"/>
                <w:sz w:val="9"/>
              </w:rPr>
              <w:t>170</w:t>
            </w:r>
          </w:p>
        </w:tc>
      </w:tr>
      <w:tr>
        <w:trPr>
          <w:trHeight w:val="2049" w:hRule="atLeast"/>
        </w:trPr>
        <w:tc>
          <w:tcPr>
            <w:tcW w:w="226" w:type="dxa"/>
            <w:tcBorders>
              <w:top w:val="single" w:sz="4" w:space="0" w:color="000000"/>
              <w:bottom w:val="single" w:sz="4" w:space="0" w:color="000000"/>
            </w:tcBorders>
          </w:tcPr>
          <w:p>
            <w:pPr>
              <w:pStyle w:val="TableParagraph"/>
              <w:spacing w:before="61"/>
              <w:ind w:left="14"/>
              <w:jc w:val="left"/>
              <w:rPr>
                <w:sz w:val="14"/>
              </w:rPr>
            </w:pPr>
            <w:r>
              <w:rPr>
                <w:spacing w:val="-5"/>
                <w:sz w:val="14"/>
              </w:rPr>
              <w:t>14</w:t>
            </w:r>
          </w:p>
        </w:tc>
        <w:tc>
          <w:tcPr>
            <w:tcW w:w="749" w:type="dxa"/>
            <w:tcBorders>
              <w:top w:val="single" w:sz="4" w:space="0" w:color="000000"/>
              <w:bottom w:val="single" w:sz="4" w:space="0" w:color="000000"/>
            </w:tcBorders>
          </w:tcPr>
          <w:p>
            <w:pPr>
              <w:pStyle w:val="TableParagraph"/>
              <w:spacing w:line="237" w:lineRule="auto" w:before="62"/>
              <w:ind w:left="67" w:right="60"/>
              <w:jc w:val="left"/>
              <w:rPr>
                <w:sz w:val="14"/>
              </w:rPr>
            </w:pPr>
            <w:r>
              <w:rPr>
                <w:sz w:val="14"/>
              </w:rPr>
              <w:t>Number</w:t>
            </w:r>
            <w:r>
              <w:rPr>
                <w:spacing w:val="-9"/>
                <w:sz w:val="14"/>
              </w:rPr>
              <w:t> </w:t>
            </w:r>
            <w:r>
              <w:rPr>
                <w:sz w:val="14"/>
              </w:rPr>
              <w:t>of</w:t>
            </w:r>
            <w:r>
              <w:rPr>
                <w:spacing w:val="40"/>
                <w:sz w:val="14"/>
              </w:rPr>
              <w:t> </w:t>
            </w:r>
            <w:r>
              <w:rPr>
                <w:spacing w:val="-2"/>
                <w:sz w:val="14"/>
              </w:rPr>
              <w:t>witnesses</w:t>
            </w:r>
            <w:r>
              <w:rPr>
                <w:spacing w:val="40"/>
                <w:sz w:val="14"/>
              </w:rPr>
              <w:t> </w:t>
            </w:r>
            <w:r>
              <w:rPr>
                <w:spacing w:val="-2"/>
                <w:sz w:val="14"/>
              </w:rPr>
              <w:t>appearing</w:t>
            </w:r>
            <w:r>
              <w:rPr>
                <w:spacing w:val="40"/>
                <w:sz w:val="14"/>
              </w:rPr>
              <w:t> </w:t>
            </w:r>
            <w:r>
              <w:rPr>
                <w:spacing w:val="-4"/>
                <w:sz w:val="14"/>
              </w:rPr>
              <w:t>for</w:t>
            </w:r>
            <w:r>
              <w:rPr>
                <w:spacing w:val="40"/>
                <w:sz w:val="14"/>
              </w:rPr>
              <w:t> </w:t>
            </w:r>
            <w:r>
              <w:rPr>
                <w:spacing w:val="-2"/>
                <w:sz w:val="14"/>
              </w:rPr>
              <w:t>testimony</w:t>
            </w:r>
          </w:p>
        </w:tc>
        <w:tc>
          <w:tcPr>
            <w:tcW w:w="601" w:type="dxa"/>
            <w:tcBorders>
              <w:top w:val="single" w:sz="4" w:space="0" w:color="000000"/>
              <w:bottom w:val="single" w:sz="4" w:space="0" w:color="000000"/>
            </w:tcBorders>
          </w:tcPr>
          <w:p>
            <w:pPr>
              <w:pStyle w:val="TableParagraph"/>
              <w:spacing w:before="61"/>
              <w:ind w:left="20" w:right="3"/>
              <w:jc w:val="center"/>
              <w:rPr>
                <w:sz w:val="14"/>
              </w:rPr>
            </w:pPr>
            <w:r>
              <w:rPr>
                <w:spacing w:val="-5"/>
                <w:sz w:val="14"/>
              </w:rPr>
              <w:t>103</w:t>
            </w:r>
          </w:p>
        </w:tc>
        <w:tc>
          <w:tcPr>
            <w:tcW w:w="466" w:type="dxa"/>
            <w:tcBorders>
              <w:top w:val="single" w:sz="4" w:space="0" w:color="000000"/>
              <w:bottom w:val="single" w:sz="4" w:space="0" w:color="000000"/>
            </w:tcBorders>
          </w:tcPr>
          <w:p>
            <w:pPr>
              <w:pStyle w:val="TableParagraph"/>
              <w:spacing w:before="61"/>
              <w:ind w:left="24" w:right="2"/>
              <w:jc w:val="center"/>
              <w:rPr>
                <w:sz w:val="14"/>
              </w:rPr>
            </w:pPr>
            <w:r>
              <w:rPr>
                <w:spacing w:val="-5"/>
                <w:sz w:val="14"/>
              </w:rPr>
              <w:t>44</w:t>
            </w:r>
          </w:p>
        </w:tc>
        <w:tc>
          <w:tcPr>
            <w:tcW w:w="1145" w:type="dxa"/>
            <w:tcBorders>
              <w:top w:val="single" w:sz="4" w:space="0" w:color="000000"/>
              <w:bottom w:val="single" w:sz="4" w:space="0" w:color="000000"/>
            </w:tcBorders>
          </w:tcPr>
          <w:p>
            <w:pPr>
              <w:pStyle w:val="TableParagraph"/>
              <w:spacing w:before="61"/>
              <w:ind w:left="13" w:right="27"/>
              <w:jc w:val="left"/>
              <w:rPr>
                <w:sz w:val="14"/>
              </w:rPr>
            </w:pPr>
            <w:r>
              <w:rPr>
                <w:sz w:val="14"/>
              </w:rPr>
              <w:t>The</w:t>
            </w:r>
            <w:r>
              <w:rPr>
                <w:spacing w:val="-9"/>
                <w:sz w:val="14"/>
              </w:rPr>
              <w:t> </w:t>
            </w:r>
            <w:r>
              <w:rPr>
                <w:sz w:val="14"/>
              </w:rPr>
              <w:t>acquittal</w:t>
            </w:r>
            <w:r>
              <w:rPr>
                <w:spacing w:val="-9"/>
                <w:sz w:val="14"/>
              </w:rPr>
              <w:t> </w:t>
            </w:r>
            <w:r>
              <w:rPr>
                <w:sz w:val="14"/>
              </w:rPr>
              <w:t>in</w:t>
            </w:r>
            <w:r>
              <w:rPr>
                <w:spacing w:val="-9"/>
                <w:sz w:val="14"/>
              </w:rPr>
              <w:t> </w:t>
            </w:r>
            <w:r>
              <w:rPr>
                <w:sz w:val="14"/>
              </w:rPr>
              <w:t>the</w:t>
            </w:r>
            <w:r>
              <w:rPr>
                <w:spacing w:val="40"/>
                <w:sz w:val="14"/>
              </w:rPr>
              <w:t> </w:t>
            </w:r>
            <w:r>
              <w:rPr>
                <w:i/>
                <w:sz w:val="14"/>
              </w:rPr>
              <w:t>Gbagbo and Blé</w:t>
            </w:r>
            <w:r>
              <w:rPr>
                <w:i/>
                <w:spacing w:val="40"/>
                <w:sz w:val="14"/>
              </w:rPr>
              <w:t> </w:t>
            </w:r>
            <w:r>
              <w:rPr>
                <w:i/>
                <w:sz w:val="14"/>
              </w:rPr>
              <w:t>Goudé</w:t>
            </w:r>
            <w:r>
              <w:rPr>
                <w:i/>
                <w:spacing w:val="-6"/>
                <w:sz w:val="14"/>
              </w:rPr>
              <w:t> </w:t>
            </w:r>
            <w:r>
              <w:rPr>
                <w:sz w:val="14"/>
              </w:rPr>
              <w:t>case</w:t>
            </w:r>
            <w:r>
              <w:rPr>
                <w:spacing w:val="40"/>
                <w:sz w:val="14"/>
              </w:rPr>
              <w:t> </w:t>
            </w:r>
            <w:r>
              <w:rPr>
                <w:spacing w:val="-2"/>
                <w:sz w:val="14"/>
              </w:rPr>
              <w:t>significantly</w:t>
            </w:r>
            <w:r>
              <w:rPr>
                <w:spacing w:val="40"/>
                <w:sz w:val="14"/>
              </w:rPr>
              <w:t> </w:t>
            </w:r>
            <w:r>
              <w:rPr>
                <w:sz w:val="14"/>
              </w:rPr>
              <w:t>affected</w:t>
            </w:r>
            <w:r>
              <w:rPr>
                <w:spacing w:val="-4"/>
                <w:sz w:val="14"/>
              </w:rPr>
              <w:t> </w:t>
            </w:r>
            <w:r>
              <w:rPr>
                <w:sz w:val="14"/>
              </w:rPr>
              <w:t>the</w:t>
            </w:r>
            <w:r>
              <w:rPr>
                <w:spacing w:val="40"/>
                <w:sz w:val="14"/>
              </w:rPr>
              <w:t> </w:t>
            </w:r>
            <w:r>
              <w:rPr>
                <w:sz w:val="14"/>
              </w:rPr>
              <w:t>projection made at</w:t>
            </w:r>
            <w:r>
              <w:rPr>
                <w:spacing w:val="40"/>
                <w:sz w:val="14"/>
              </w:rPr>
              <w:t> </w:t>
            </w:r>
            <w:r>
              <w:rPr>
                <w:sz w:val="14"/>
              </w:rPr>
              <w:t>the time of budget</w:t>
            </w:r>
            <w:r>
              <w:rPr>
                <w:spacing w:val="40"/>
                <w:sz w:val="14"/>
              </w:rPr>
              <w:t> </w:t>
            </w:r>
            <w:r>
              <w:rPr>
                <w:sz w:val="14"/>
              </w:rPr>
              <w:t>preparation.</w:t>
            </w:r>
            <w:r>
              <w:rPr>
                <w:spacing w:val="-9"/>
                <w:sz w:val="14"/>
              </w:rPr>
              <w:t> </w:t>
            </w:r>
            <w:r>
              <w:rPr>
                <w:sz w:val="14"/>
              </w:rPr>
              <w:t>The</w:t>
            </w:r>
            <w:r>
              <w:rPr>
                <w:spacing w:val="40"/>
                <w:sz w:val="14"/>
              </w:rPr>
              <w:t> </w:t>
            </w:r>
            <w:r>
              <w:rPr>
                <w:sz w:val="14"/>
              </w:rPr>
              <w:t>average</w:t>
            </w:r>
            <w:r>
              <w:rPr>
                <w:spacing w:val="-9"/>
                <w:sz w:val="14"/>
              </w:rPr>
              <w:t> </w:t>
            </w:r>
            <w:r>
              <w:rPr>
                <w:sz w:val="14"/>
              </w:rPr>
              <w:t>duration</w:t>
            </w:r>
            <w:r>
              <w:rPr>
                <w:spacing w:val="-9"/>
                <w:sz w:val="14"/>
              </w:rPr>
              <w:t> </w:t>
            </w:r>
            <w:r>
              <w:rPr>
                <w:sz w:val="14"/>
              </w:rPr>
              <w:t>of</w:t>
            </w:r>
            <w:r>
              <w:rPr>
                <w:spacing w:val="40"/>
                <w:sz w:val="14"/>
              </w:rPr>
              <w:t> </w:t>
            </w:r>
            <w:r>
              <w:rPr>
                <w:sz w:val="14"/>
              </w:rPr>
              <w:t>testimony</w:t>
            </w:r>
            <w:r>
              <w:rPr>
                <w:spacing w:val="-6"/>
                <w:sz w:val="14"/>
              </w:rPr>
              <w:t> </w:t>
            </w:r>
            <w:r>
              <w:rPr>
                <w:sz w:val="14"/>
              </w:rPr>
              <w:t>was</w:t>
            </w:r>
            <w:r>
              <w:rPr>
                <w:spacing w:val="40"/>
                <w:sz w:val="14"/>
              </w:rPr>
              <w:t> </w:t>
            </w:r>
            <w:r>
              <w:rPr>
                <w:sz w:val="14"/>
              </w:rPr>
              <w:t>slightly less than 1</w:t>
            </w:r>
            <w:r>
              <w:rPr>
                <w:spacing w:val="40"/>
                <w:sz w:val="14"/>
              </w:rPr>
              <w:t> </w:t>
            </w:r>
            <w:r>
              <w:rPr>
                <w:sz w:val="14"/>
              </w:rPr>
              <w:t>day and a half</w:t>
            </w:r>
          </w:p>
        </w:tc>
        <w:tc>
          <w:tcPr>
            <w:tcW w:w="614" w:type="dxa"/>
            <w:tcBorders>
              <w:top w:val="single" w:sz="4" w:space="0" w:color="000000"/>
              <w:bottom w:val="single" w:sz="4" w:space="0" w:color="000000"/>
            </w:tcBorders>
          </w:tcPr>
          <w:p>
            <w:pPr>
              <w:pStyle w:val="TableParagraph"/>
              <w:spacing w:before="61"/>
              <w:ind w:right="30"/>
              <w:jc w:val="center"/>
              <w:rPr>
                <w:sz w:val="14"/>
              </w:rPr>
            </w:pPr>
            <w:r>
              <w:rPr>
                <w:w w:val="99"/>
                <w:sz w:val="14"/>
              </w:rPr>
              <w:t>0</w:t>
            </w:r>
          </w:p>
        </w:tc>
        <w:tc>
          <w:tcPr>
            <w:tcW w:w="512" w:type="dxa"/>
            <w:tcBorders>
              <w:top w:val="single" w:sz="4" w:space="0" w:color="000000"/>
              <w:bottom w:val="single" w:sz="4" w:space="0" w:color="000000"/>
            </w:tcBorders>
          </w:tcPr>
          <w:p>
            <w:pPr>
              <w:pStyle w:val="TableParagraph"/>
              <w:spacing w:before="61"/>
              <w:ind w:left="41" w:right="20"/>
              <w:jc w:val="center"/>
              <w:rPr>
                <w:sz w:val="14"/>
              </w:rPr>
            </w:pPr>
            <w:r>
              <w:rPr>
                <w:spacing w:val="-5"/>
                <w:sz w:val="14"/>
              </w:rPr>
              <w:t>20</w:t>
            </w:r>
          </w:p>
        </w:tc>
        <w:tc>
          <w:tcPr>
            <w:tcW w:w="969" w:type="dxa"/>
            <w:tcBorders>
              <w:top w:val="single" w:sz="4" w:space="0" w:color="000000"/>
              <w:bottom w:val="single" w:sz="4" w:space="0" w:color="000000"/>
            </w:tcBorders>
          </w:tcPr>
          <w:p>
            <w:pPr>
              <w:pStyle w:val="TableParagraph"/>
              <w:spacing w:before="61"/>
              <w:ind w:left="28" w:right="29"/>
              <w:jc w:val="left"/>
              <w:rPr>
                <w:sz w:val="14"/>
              </w:rPr>
            </w:pPr>
            <w:r>
              <w:rPr>
                <w:sz w:val="14"/>
              </w:rPr>
              <w:t>Represents</w:t>
            </w:r>
            <w:r>
              <w:rPr>
                <w:spacing w:val="-9"/>
                <w:sz w:val="14"/>
              </w:rPr>
              <w:t> </w:t>
            </w:r>
            <w:r>
              <w:rPr>
                <w:sz w:val="14"/>
              </w:rPr>
              <w:t>the</w:t>
            </w:r>
            <w:r>
              <w:rPr>
                <w:spacing w:val="40"/>
                <w:sz w:val="14"/>
              </w:rPr>
              <w:t> </w:t>
            </w:r>
            <w:r>
              <w:rPr>
                <w:sz w:val="14"/>
              </w:rPr>
              <w:t>total number of</w:t>
            </w:r>
            <w:r>
              <w:rPr>
                <w:spacing w:val="40"/>
                <w:sz w:val="14"/>
              </w:rPr>
              <w:t> </w:t>
            </w:r>
            <w:r>
              <w:rPr>
                <w:spacing w:val="-2"/>
                <w:sz w:val="14"/>
              </w:rPr>
              <w:t>witness</w:t>
            </w:r>
            <w:r>
              <w:rPr>
                <w:spacing w:val="40"/>
                <w:sz w:val="14"/>
              </w:rPr>
              <w:t> </w:t>
            </w:r>
            <w:r>
              <w:rPr>
                <w:sz w:val="14"/>
              </w:rPr>
              <w:t>appearances</w:t>
            </w:r>
            <w:r>
              <w:rPr>
                <w:spacing w:val="-9"/>
                <w:sz w:val="14"/>
              </w:rPr>
              <w:t> </w:t>
            </w:r>
            <w:r>
              <w:rPr>
                <w:sz w:val="14"/>
              </w:rPr>
              <w:t>for</w:t>
            </w:r>
            <w:r>
              <w:rPr>
                <w:spacing w:val="40"/>
                <w:sz w:val="14"/>
              </w:rPr>
              <w:t> </w:t>
            </w:r>
            <w:r>
              <w:rPr>
                <w:sz w:val="14"/>
              </w:rPr>
              <w:t>the </w:t>
            </w:r>
            <w:r>
              <w:rPr>
                <w:i/>
                <w:sz w:val="14"/>
              </w:rPr>
              <w:t>Al Hassan</w:t>
            </w:r>
            <w:r>
              <w:rPr>
                <w:i/>
                <w:spacing w:val="40"/>
                <w:sz w:val="14"/>
              </w:rPr>
              <w:t> </w:t>
            </w:r>
            <w:r>
              <w:rPr>
                <w:sz w:val="14"/>
              </w:rPr>
              <w:t>and</w:t>
            </w:r>
            <w:r>
              <w:rPr>
                <w:spacing w:val="-6"/>
                <w:sz w:val="14"/>
              </w:rPr>
              <w:t> </w:t>
            </w:r>
            <w:r>
              <w:rPr>
                <w:sz w:val="14"/>
              </w:rPr>
              <w:t>the</w:t>
            </w:r>
            <w:r>
              <w:rPr>
                <w:spacing w:val="40"/>
                <w:sz w:val="14"/>
              </w:rPr>
              <w:t> </w:t>
            </w:r>
            <w:r>
              <w:rPr>
                <w:i/>
                <w:sz w:val="14"/>
              </w:rPr>
              <w:t>Yekatom</w:t>
            </w:r>
            <w:r>
              <w:rPr>
                <w:i/>
                <w:spacing w:val="-9"/>
                <w:sz w:val="14"/>
              </w:rPr>
              <w:t> </w:t>
            </w:r>
            <w:r>
              <w:rPr>
                <w:i/>
                <w:sz w:val="14"/>
              </w:rPr>
              <w:t>and</w:t>
            </w:r>
            <w:r>
              <w:rPr>
                <w:i/>
                <w:spacing w:val="40"/>
                <w:sz w:val="14"/>
              </w:rPr>
              <w:t> </w:t>
            </w:r>
            <w:r>
              <w:rPr>
                <w:i/>
                <w:sz w:val="14"/>
              </w:rPr>
              <w:t>Ngaïssona</w:t>
            </w:r>
            <w:r>
              <w:rPr>
                <w:i/>
                <w:spacing w:val="-9"/>
                <w:sz w:val="14"/>
              </w:rPr>
              <w:t> </w:t>
            </w:r>
            <w:r>
              <w:rPr>
                <w:sz w:val="14"/>
              </w:rPr>
              <w:t>trials</w:t>
            </w:r>
          </w:p>
        </w:tc>
        <w:tc>
          <w:tcPr>
            <w:tcW w:w="600" w:type="dxa"/>
            <w:tcBorders>
              <w:top w:val="single" w:sz="4" w:space="0" w:color="000000"/>
              <w:bottom w:val="single" w:sz="4" w:space="0" w:color="000000"/>
            </w:tcBorders>
          </w:tcPr>
          <w:p>
            <w:pPr>
              <w:pStyle w:val="TableParagraph"/>
              <w:spacing w:before="61"/>
              <w:ind w:left="3" w:right="14"/>
              <w:jc w:val="center"/>
              <w:rPr>
                <w:sz w:val="14"/>
              </w:rPr>
            </w:pPr>
            <w:r>
              <w:rPr>
                <w:spacing w:val="-5"/>
                <w:sz w:val="14"/>
              </w:rPr>
              <w:t>90</w:t>
            </w:r>
          </w:p>
        </w:tc>
        <w:tc>
          <w:tcPr>
            <w:tcW w:w="476" w:type="dxa"/>
            <w:tcBorders>
              <w:top w:val="single" w:sz="4" w:space="0" w:color="000000"/>
              <w:bottom w:val="single" w:sz="4" w:space="0" w:color="000000"/>
            </w:tcBorders>
          </w:tcPr>
          <w:p>
            <w:pPr>
              <w:pStyle w:val="TableParagraph"/>
              <w:spacing w:before="61"/>
              <w:ind w:left="22" w:right="7"/>
              <w:jc w:val="center"/>
              <w:rPr>
                <w:sz w:val="14"/>
              </w:rPr>
            </w:pPr>
            <w:r>
              <w:rPr>
                <w:spacing w:val="-5"/>
                <w:sz w:val="14"/>
              </w:rPr>
              <w:t>57</w:t>
            </w:r>
          </w:p>
        </w:tc>
        <w:tc>
          <w:tcPr>
            <w:tcW w:w="1043" w:type="dxa"/>
            <w:tcBorders>
              <w:top w:val="single" w:sz="4" w:space="0" w:color="000000"/>
              <w:bottom w:val="single" w:sz="4" w:space="0" w:color="000000"/>
            </w:tcBorders>
          </w:tcPr>
          <w:p>
            <w:pPr>
              <w:pStyle w:val="TableParagraph"/>
              <w:spacing w:line="235" w:lineRule="auto" w:before="63"/>
              <w:ind w:left="9"/>
              <w:jc w:val="left"/>
              <w:rPr>
                <w:sz w:val="14"/>
              </w:rPr>
            </w:pPr>
            <w:r>
              <w:rPr>
                <w:i/>
                <w:sz w:val="14"/>
              </w:rPr>
              <w:t>Al</w:t>
            </w:r>
            <w:r>
              <w:rPr>
                <w:i/>
                <w:spacing w:val="-9"/>
                <w:sz w:val="14"/>
              </w:rPr>
              <w:t> </w:t>
            </w:r>
            <w:r>
              <w:rPr>
                <w:i/>
                <w:sz w:val="14"/>
              </w:rPr>
              <w:t>Hassan</w:t>
            </w:r>
            <w:r>
              <w:rPr>
                <w:i/>
                <w:spacing w:val="-9"/>
                <w:sz w:val="14"/>
              </w:rPr>
              <w:t> </w:t>
            </w:r>
            <w:r>
              <w:rPr>
                <w:sz w:val="14"/>
              </w:rPr>
              <w:t>(33),</w:t>
            </w:r>
            <w:r>
              <w:rPr>
                <w:spacing w:val="40"/>
                <w:sz w:val="14"/>
              </w:rPr>
              <w:t> </w:t>
            </w:r>
            <w:r>
              <w:rPr>
                <w:i/>
                <w:sz w:val="14"/>
              </w:rPr>
              <w:t>Yekatom</w:t>
            </w:r>
            <w:r>
              <w:rPr>
                <w:i/>
                <w:spacing w:val="-9"/>
                <w:sz w:val="14"/>
              </w:rPr>
              <w:t> </w:t>
            </w:r>
            <w:r>
              <w:rPr>
                <w:i/>
                <w:sz w:val="14"/>
              </w:rPr>
              <w:t>and</w:t>
            </w:r>
            <w:r>
              <w:rPr>
                <w:i/>
                <w:spacing w:val="40"/>
                <w:sz w:val="14"/>
              </w:rPr>
              <w:t> </w:t>
            </w:r>
            <w:r>
              <w:rPr>
                <w:i/>
                <w:sz w:val="14"/>
              </w:rPr>
              <w:t>Ngaïssona</w:t>
            </w:r>
            <w:r>
              <w:rPr>
                <w:i/>
                <w:spacing w:val="-8"/>
                <w:sz w:val="14"/>
              </w:rPr>
              <w:t> </w:t>
            </w:r>
            <w:r>
              <w:rPr>
                <w:sz w:val="14"/>
              </w:rPr>
              <w:t>(24)</w:t>
            </w:r>
          </w:p>
          <w:p>
            <w:pPr>
              <w:pStyle w:val="TableParagraph"/>
              <w:spacing w:before="67"/>
              <w:ind w:left="9" w:right="26"/>
              <w:jc w:val="left"/>
              <w:rPr>
                <w:i/>
                <w:sz w:val="14"/>
              </w:rPr>
            </w:pPr>
            <w:r>
              <w:rPr>
                <w:spacing w:val="-2"/>
                <w:sz w:val="14"/>
              </w:rPr>
              <w:t>Witnesses</w:t>
            </w:r>
            <w:r>
              <w:rPr>
                <w:spacing w:val="40"/>
                <w:sz w:val="14"/>
              </w:rPr>
              <w:t> </w:t>
            </w:r>
            <w:r>
              <w:rPr>
                <w:sz w:val="14"/>
              </w:rPr>
              <w:t>testified</w:t>
            </w:r>
            <w:r>
              <w:rPr>
                <w:spacing w:val="-9"/>
                <w:sz w:val="14"/>
              </w:rPr>
              <w:t> </w:t>
            </w:r>
            <w:r>
              <w:rPr>
                <w:sz w:val="14"/>
              </w:rPr>
              <w:t>via</w:t>
            </w:r>
            <w:r>
              <w:rPr>
                <w:spacing w:val="-9"/>
                <w:sz w:val="14"/>
              </w:rPr>
              <w:t> </w:t>
            </w:r>
            <w:r>
              <w:rPr>
                <w:sz w:val="14"/>
              </w:rPr>
              <w:t>video</w:t>
            </w:r>
            <w:r>
              <w:rPr>
                <w:spacing w:val="40"/>
                <w:sz w:val="14"/>
              </w:rPr>
              <w:t> </w:t>
            </w:r>
            <w:r>
              <w:rPr>
                <w:sz w:val="14"/>
              </w:rPr>
              <w:t>link</w:t>
            </w:r>
            <w:r>
              <w:rPr>
                <w:spacing w:val="-3"/>
                <w:sz w:val="14"/>
              </w:rPr>
              <w:t> </w:t>
            </w:r>
            <w:r>
              <w:rPr>
                <w:sz w:val="14"/>
              </w:rPr>
              <w:t>from</w:t>
            </w:r>
            <w:r>
              <w:rPr>
                <w:spacing w:val="-3"/>
                <w:sz w:val="14"/>
              </w:rPr>
              <w:t> </w:t>
            </w:r>
            <w:r>
              <w:rPr>
                <w:sz w:val="14"/>
              </w:rPr>
              <w:t>various</w:t>
            </w:r>
            <w:r>
              <w:rPr>
                <w:spacing w:val="40"/>
                <w:sz w:val="14"/>
              </w:rPr>
              <w:t> </w:t>
            </w:r>
            <w:r>
              <w:rPr>
                <w:sz w:val="14"/>
              </w:rPr>
              <w:t>locations: 28 in</w:t>
            </w:r>
            <w:r>
              <w:rPr>
                <w:spacing w:val="40"/>
                <w:sz w:val="14"/>
              </w:rPr>
              <w:t> </w:t>
            </w:r>
            <w:r>
              <w:rPr>
                <w:i/>
                <w:sz w:val="14"/>
              </w:rPr>
              <w:t>Al</w:t>
            </w:r>
            <w:r>
              <w:rPr>
                <w:i/>
                <w:spacing w:val="-9"/>
                <w:sz w:val="14"/>
              </w:rPr>
              <w:t> </w:t>
            </w:r>
            <w:r>
              <w:rPr>
                <w:i/>
                <w:sz w:val="14"/>
              </w:rPr>
              <w:t>Hassan</w:t>
            </w:r>
            <w:r>
              <w:rPr>
                <w:i/>
                <w:spacing w:val="-8"/>
                <w:sz w:val="14"/>
              </w:rPr>
              <w:t> </w:t>
            </w:r>
            <w:r>
              <w:rPr>
                <w:sz w:val="14"/>
              </w:rPr>
              <w:t>and</w:t>
            </w:r>
            <w:r>
              <w:rPr>
                <w:spacing w:val="-8"/>
                <w:sz w:val="14"/>
              </w:rPr>
              <w:t> </w:t>
            </w:r>
            <w:r>
              <w:rPr>
                <w:sz w:val="14"/>
              </w:rPr>
              <w:t>14</w:t>
            </w:r>
            <w:r>
              <w:rPr>
                <w:spacing w:val="40"/>
                <w:sz w:val="14"/>
              </w:rPr>
              <w:t> </w:t>
            </w:r>
            <w:r>
              <w:rPr>
                <w:sz w:val="14"/>
              </w:rPr>
              <w:t>in </w:t>
            </w:r>
            <w:r>
              <w:rPr>
                <w:i/>
                <w:sz w:val="14"/>
              </w:rPr>
              <w:t>Yekatom and</w:t>
            </w:r>
            <w:r>
              <w:rPr>
                <w:i/>
                <w:spacing w:val="40"/>
                <w:sz w:val="14"/>
              </w:rPr>
              <w:t> </w:t>
            </w:r>
            <w:r>
              <w:rPr>
                <w:i/>
                <w:spacing w:val="-2"/>
                <w:sz w:val="14"/>
              </w:rPr>
              <w:t>Ngaïssona</w:t>
            </w:r>
          </w:p>
        </w:tc>
        <w:tc>
          <w:tcPr>
            <w:tcW w:w="587" w:type="dxa"/>
            <w:tcBorders>
              <w:top w:val="single" w:sz="4" w:space="0" w:color="000000"/>
              <w:bottom w:val="single" w:sz="4" w:space="0" w:color="000000"/>
            </w:tcBorders>
          </w:tcPr>
          <w:p>
            <w:pPr>
              <w:pStyle w:val="TableParagraph"/>
              <w:spacing w:before="61"/>
              <w:ind w:left="6" w:right="11"/>
              <w:jc w:val="center"/>
              <w:rPr>
                <w:sz w:val="14"/>
              </w:rPr>
            </w:pPr>
            <w:r>
              <w:rPr>
                <w:spacing w:val="-5"/>
                <w:sz w:val="14"/>
              </w:rPr>
              <w:t>131</w:t>
            </w:r>
          </w:p>
        </w:tc>
        <w:tc>
          <w:tcPr>
            <w:tcW w:w="1219" w:type="dxa"/>
            <w:tcBorders>
              <w:top w:val="single" w:sz="4" w:space="0" w:color="000000"/>
              <w:bottom w:val="single" w:sz="4" w:space="0" w:color="000000"/>
            </w:tcBorders>
          </w:tcPr>
          <w:p>
            <w:pPr>
              <w:pStyle w:val="TableParagraph"/>
              <w:spacing w:before="61"/>
              <w:ind w:left="12"/>
              <w:jc w:val="left"/>
              <w:rPr>
                <w:sz w:val="14"/>
              </w:rPr>
            </w:pPr>
            <w:r>
              <w:rPr>
                <w:i/>
                <w:sz w:val="14"/>
              </w:rPr>
              <w:t>Al Hassan </w:t>
            </w:r>
            <w:r>
              <w:rPr>
                <w:sz w:val="14"/>
              </w:rPr>
              <w:t>(42);</w:t>
            </w:r>
            <w:r>
              <w:rPr>
                <w:spacing w:val="40"/>
                <w:sz w:val="14"/>
              </w:rPr>
              <w:t> </w:t>
            </w:r>
            <w:r>
              <w:rPr>
                <w:i/>
                <w:sz w:val="14"/>
              </w:rPr>
              <w:t>Yekatom</w:t>
            </w:r>
            <w:r>
              <w:rPr>
                <w:i/>
                <w:spacing w:val="-9"/>
                <w:sz w:val="14"/>
              </w:rPr>
              <w:t> </w:t>
            </w:r>
            <w:r>
              <w:rPr>
                <w:i/>
                <w:sz w:val="14"/>
              </w:rPr>
              <w:t>and</w:t>
            </w:r>
            <w:r>
              <w:rPr>
                <w:i/>
                <w:spacing w:val="40"/>
                <w:sz w:val="14"/>
              </w:rPr>
              <w:t> </w:t>
            </w:r>
            <w:r>
              <w:rPr>
                <w:i/>
                <w:sz w:val="14"/>
              </w:rPr>
              <w:t>Ngaïssona</w:t>
            </w:r>
            <w:r>
              <w:rPr>
                <w:i/>
                <w:spacing w:val="-9"/>
                <w:sz w:val="14"/>
              </w:rPr>
              <w:t> </w:t>
            </w:r>
            <w:r>
              <w:rPr>
                <w:sz w:val="14"/>
              </w:rPr>
              <w:t>(59);</w:t>
            </w:r>
            <w:r>
              <w:rPr>
                <w:spacing w:val="-9"/>
                <w:sz w:val="14"/>
              </w:rPr>
              <w:t> </w:t>
            </w:r>
            <w:r>
              <w:rPr>
                <w:sz w:val="14"/>
              </w:rPr>
              <w:t>and</w:t>
            </w:r>
          </w:p>
          <w:p>
            <w:pPr>
              <w:pStyle w:val="TableParagraph"/>
              <w:spacing w:line="158" w:lineRule="exact"/>
              <w:ind w:left="12"/>
              <w:jc w:val="left"/>
              <w:rPr>
                <w:sz w:val="14"/>
              </w:rPr>
            </w:pPr>
            <w:r>
              <w:rPr>
                <w:i/>
                <w:sz w:val="14"/>
              </w:rPr>
              <w:t>Abd-Al-Rahman</w:t>
            </w:r>
            <w:r>
              <w:rPr>
                <w:i/>
                <w:spacing w:val="-4"/>
                <w:sz w:val="14"/>
              </w:rPr>
              <w:t> </w:t>
            </w:r>
            <w:r>
              <w:rPr>
                <w:spacing w:val="-4"/>
                <w:sz w:val="14"/>
              </w:rPr>
              <w:t>(30)</w:t>
            </w:r>
          </w:p>
        </w:tc>
        <w:tc>
          <w:tcPr>
            <w:tcW w:w="581" w:type="dxa"/>
            <w:tcBorders>
              <w:top w:val="single" w:sz="4" w:space="0" w:color="000000"/>
              <w:bottom w:val="single" w:sz="4" w:space="0" w:color="000000"/>
            </w:tcBorders>
          </w:tcPr>
          <w:p>
            <w:pPr>
              <w:pStyle w:val="TableParagraph"/>
              <w:spacing w:before="61"/>
              <w:ind w:left="5" w:right="17"/>
              <w:jc w:val="center"/>
              <w:rPr>
                <w:sz w:val="14"/>
              </w:rPr>
            </w:pPr>
            <w:r>
              <w:rPr>
                <w:spacing w:val="-5"/>
                <w:sz w:val="14"/>
              </w:rPr>
              <w:t>130</w:t>
            </w:r>
          </w:p>
        </w:tc>
        <w:tc>
          <w:tcPr>
            <w:tcW w:w="1011" w:type="dxa"/>
            <w:tcBorders>
              <w:top w:val="single" w:sz="4" w:space="0" w:color="000000"/>
              <w:bottom w:val="single" w:sz="4" w:space="0" w:color="000000"/>
            </w:tcBorders>
          </w:tcPr>
          <w:p>
            <w:pPr>
              <w:pStyle w:val="TableParagraph"/>
              <w:spacing w:before="61"/>
              <w:ind w:left="13" w:right="81"/>
              <w:jc w:val="left"/>
              <w:rPr>
                <w:i/>
                <w:sz w:val="14"/>
              </w:rPr>
            </w:pPr>
            <w:r>
              <w:rPr>
                <w:i/>
                <w:sz w:val="14"/>
              </w:rPr>
              <w:t>Yekatom</w:t>
            </w:r>
            <w:r>
              <w:rPr>
                <w:i/>
                <w:spacing w:val="-9"/>
                <w:sz w:val="14"/>
              </w:rPr>
              <w:t> </w:t>
            </w:r>
            <w:r>
              <w:rPr>
                <w:i/>
                <w:sz w:val="14"/>
              </w:rPr>
              <w:t>and</w:t>
            </w:r>
            <w:r>
              <w:rPr>
                <w:i/>
                <w:spacing w:val="40"/>
                <w:sz w:val="14"/>
              </w:rPr>
              <w:t> </w:t>
            </w:r>
            <w:r>
              <w:rPr>
                <w:i/>
                <w:sz w:val="14"/>
              </w:rPr>
              <w:t>Ngaïssona</w:t>
            </w:r>
            <w:r>
              <w:rPr>
                <w:i/>
                <w:spacing w:val="-9"/>
                <w:sz w:val="14"/>
              </w:rPr>
              <w:t> </w:t>
            </w:r>
            <w:r>
              <w:rPr>
                <w:sz w:val="14"/>
              </w:rPr>
              <w:t>(45);</w:t>
            </w:r>
            <w:r>
              <w:rPr>
                <w:spacing w:val="40"/>
                <w:sz w:val="14"/>
              </w:rPr>
              <w:t> </w:t>
            </w:r>
            <w:r>
              <w:rPr>
                <w:i/>
                <w:w w:val="95"/>
                <w:sz w:val="14"/>
              </w:rPr>
              <w:t>Abd-Al-</w:t>
            </w:r>
            <w:r>
              <w:rPr>
                <w:i/>
                <w:spacing w:val="-2"/>
                <w:w w:val="95"/>
                <w:sz w:val="14"/>
              </w:rPr>
              <w:t>Rahman</w:t>
            </w:r>
          </w:p>
          <w:p>
            <w:pPr>
              <w:pStyle w:val="TableParagraph"/>
              <w:spacing w:line="157" w:lineRule="exact"/>
              <w:ind w:left="13"/>
              <w:jc w:val="left"/>
              <w:rPr>
                <w:i/>
                <w:sz w:val="14"/>
              </w:rPr>
            </w:pPr>
            <w:r>
              <w:rPr>
                <w:sz w:val="14"/>
              </w:rPr>
              <w:t>(43);</w:t>
            </w:r>
            <w:r>
              <w:rPr>
                <w:spacing w:val="-3"/>
                <w:sz w:val="14"/>
              </w:rPr>
              <w:t> </w:t>
            </w:r>
            <w:r>
              <w:rPr>
                <w:sz w:val="14"/>
              </w:rPr>
              <w:t>and </w:t>
            </w:r>
            <w:r>
              <w:rPr>
                <w:i/>
                <w:spacing w:val="-4"/>
                <w:sz w:val="14"/>
              </w:rPr>
              <w:t>Said</w:t>
            </w:r>
          </w:p>
          <w:p>
            <w:pPr>
              <w:pStyle w:val="TableParagraph"/>
              <w:spacing w:line="160" w:lineRule="exact"/>
              <w:ind w:left="13"/>
              <w:jc w:val="left"/>
              <w:rPr>
                <w:sz w:val="14"/>
              </w:rPr>
            </w:pPr>
            <w:r>
              <w:rPr>
                <w:spacing w:val="-4"/>
                <w:sz w:val="14"/>
              </w:rPr>
              <w:t>(42)</w:t>
            </w:r>
          </w:p>
        </w:tc>
      </w:tr>
      <w:tr>
        <w:trPr>
          <w:trHeight w:val="3019" w:hRule="atLeast"/>
        </w:trPr>
        <w:tc>
          <w:tcPr>
            <w:tcW w:w="226" w:type="dxa"/>
            <w:tcBorders>
              <w:top w:val="single" w:sz="4" w:space="0" w:color="000000"/>
              <w:bottom w:val="single" w:sz="4" w:space="0" w:color="000000"/>
            </w:tcBorders>
          </w:tcPr>
          <w:p>
            <w:pPr>
              <w:pStyle w:val="TableParagraph"/>
              <w:spacing w:before="61"/>
              <w:ind w:left="14"/>
              <w:jc w:val="left"/>
              <w:rPr>
                <w:sz w:val="14"/>
              </w:rPr>
            </w:pPr>
            <w:r>
              <w:rPr>
                <w:spacing w:val="-5"/>
                <w:sz w:val="14"/>
              </w:rPr>
              <w:t>15</w:t>
            </w:r>
          </w:p>
        </w:tc>
        <w:tc>
          <w:tcPr>
            <w:tcW w:w="749" w:type="dxa"/>
            <w:tcBorders>
              <w:top w:val="single" w:sz="4" w:space="0" w:color="000000"/>
              <w:bottom w:val="single" w:sz="4" w:space="0" w:color="000000"/>
            </w:tcBorders>
          </w:tcPr>
          <w:p>
            <w:pPr>
              <w:pStyle w:val="TableParagraph"/>
              <w:spacing w:before="61"/>
              <w:ind w:left="67" w:right="52"/>
              <w:jc w:val="left"/>
              <w:rPr>
                <w:sz w:val="14"/>
              </w:rPr>
            </w:pPr>
            <w:r>
              <w:rPr>
                <w:spacing w:val="-2"/>
                <w:sz w:val="14"/>
              </w:rPr>
              <w:t>Expected</w:t>
            </w:r>
            <w:r>
              <w:rPr>
                <w:spacing w:val="40"/>
                <w:sz w:val="14"/>
              </w:rPr>
              <w:t> </w:t>
            </w:r>
            <w:r>
              <w:rPr>
                <w:spacing w:val="-2"/>
                <w:sz w:val="14"/>
              </w:rPr>
              <w:t>maximum</w:t>
            </w:r>
            <w:r>
              <w:rPr>
                <w:spacing w:val="40"/>
                <w:sz w:val="14"/>
              </w:rPr>
              <w:t> </w:t>
            </w:r>
            <w:r>
              <w:rPr>
                <w:sz w:val="14"/>
              </w:rPr>
              <w:t>duration</w:t>
            </w:r>
            <w:r>
              <w:rPr>
                <w:spacing w:val="-9"/>
                <w:sz w:val="14"/>
              </w:rPr>
              <w:t> </w:t>
            </w:r>
            <w:r>
              <w:rPr>
                <w:sz w:val="14"/>
              </w:rPr>
              <w:t>of</w:t>
            </w:r>
            <w:r>
              <w:rPr>
                <w:spacing w:val="40"/>
                <w:sz w:val="14"/>
              </w:rPr>
              <w:t> </w:t>
            </w:r>
            <w:r>
              <w:rPr>
                <w:sz w:val="14"/>
              </w:rPr>
              <w:t>stay</w:t>
            </w:r>
            <w:r>
              <w:rPr>
                <w:spacing w:val="-4"/>
                <w:sz w:val="14"/>
              </w:rPr>
              <w:t> </w:t>
            </w:r>
            <w:r>
              <w:rPr>
                <w:sz w:val="14"/>
              </w:rPr>
              <w:t>per</w:t>
            </w:r>
            <w:r>
              <w:rPr>
                <w:spacing w:val="40"/>
                <w:sz w:val="14"/>
              </w:rPr>
              <w:t> </w:t>
            </w:r>
            <w:r>
              <w:rPr>
                <w:spacing w:val="-2"/>
                <w:sz w:val="14"/>
              </w:rPr>
              <w:t>witness</w:t>
            </w:r>
          </w:p>
        </w:tc>
        <w:tc>
          <w:tcPr>
            <w:tcW w:w="601" w:type="dxa"/>
            <w:tcBorders>
              <w:top w:val="single" w:sz="4" w:space="0" w:color="000000"/>
              <w:bottom w:val="single" w:sz="4" w:space="0" w:color="000000"/>
            </w:tcBorders>
          </w:tcPr>
          <w:p>
            <w:pPr>
              <w:pStyle w:val="TableParagraph"/>
              <w:spacing w:before="61"/>
              <w:ind w:left="20" w:right="7"/>
              <w:jc w:val="center"/>
              <w:rPr>
                <w:sz w:val="14"/>
              </w:rPr>
            </w:pPr>
            <w:r>
              <w:rPr>
                <w:spacing w:val="-5"/>
                <w:sz w:val="14"/>
              </w:rPr>
              <w:t>10</w:t>
            </w:r>
          </w:p>
        </w:tc>
        <w:tc>
          <w:tcPr>
            <w:tcW w:w="466" w:type="dxa"/>
            <w:tcBorders>
              <w:top w:val="single" w:sz="4" w:space="0" w:color="000000"/>
              <w:bottom w:val="single" w:sz="4" w:space="0" w:color="000000"/>
            </w:tcBorders>
          </w:tcPr>
          <w:p>
            <w:pPr>
              <w:pStyle w:val="TableParagraph"/>
              <w:spacing w:before="61"/>
              <w:ind w:left="24" w:right="2"/>
              <w:jc w:val="center"/>
              <w:rPr>
                <w:sz w:val="14"/>
              </w:rPr>
            </w:pPr>
            <w:r>
              <w:rPr>
                <w:spacing w:val="-5"/>
                <w:sz w:val="14"/>
              </w:rPr>
              <w:t>16</w:t>
            </w:r>
          </w:p>
        </w:tc>
        <w:tc>
          <w:tcPr>
            <w:tcW w:w="1145" w:type="dxa"/>
            <w:tcBorders>
              <w:top w:val="single" w:sz="4" w:space="0" w:color="000000"/>
              <w:bottom w:val="single" w:sz="4" w:space="0" w:color="000000"/>
            </w:tcBorders>
          </w:tcPr>
          <w:p>
            <w:pPr>
              <w:pStyle w:val="TableParagraph"/>
              <w:spacing w:before="61"/>
              <w:ind w:left="13" w:right="11"/>
              <w:jc w:val="left"/>
              <w:rPr>
                <w:sz w:val="14"/>
              </w:rPr>
            </w:pPr>
            <w:r>
              <w:rPr>
                <w:sz w:val="14"/>
              </w:rPr>
              <w:t>5</w:t>
            </w:r>
            <w:r>
              <w:rPr>
                <w:spacing w:val="-6"/>
                <w:sz w:val="14"/>
              </w:rPr>
              <w:t> </w:t>
            </w:r>
            <w:r>
              <w:rPr>
                <w:sz w:val="14"/>
              </w:rPr>
              <w:t>preparation</w:t>
            </w:r>
            <w:r>
              <w:rPr>
                <w:spacing w:val="80"/>
                <w:sz w:val="14"/>
              </w:rPr>
              <w:t> </w:t>
            </w:r>
            <w:r>
              <w:rPr>
                <w:spacing w:val="-2"/>
                <w:sz w:val="14"/>
              </w:rPr>
              <w:t>and/or</w:t>
            </w:r>
            <w:r>
              <w:rPr>
                <w:spacing w:val="40"/>
                <w:sz w:val="14"/>
              </w:rPr>
              <w:t> </w:t>
            </w:r>
            <w:r>
              <w:rPr>
                <w:sz w:val="14"/>
              </w:rPr>
              <w:t>familiarization</w:t>
            </w:r>
            <w:r>
              <w:rPr>
                <w:spacing w:val="-9"/>
                <w:sz w:val="14"/>
              </w:rPr>
              <w:t> </w:t>
            </w:r>
            <w:r>
              <w:rPr>
                <w:sz w:val="14"/>
              </w:rPr>
              <w:t>days</w:t>
            </w:r>
          </w:p>
          <w:p>
            <w:pPr>
              <w:pStyle w:val="TableParagraph"/>
              <w:spacing w:before="2"/>
              <w:ind w:left="13" w:right="15"/>
              <w:jc w:val="left"/>
              <w:rPr>
                <w:sz w:val="14"/>
              </w:rPr>
            </w:pPr>
            <w:r>
              <w:rPr>
                <w:sz w:val="14"/>
              </w:rPr>
              <w:t>+ 2 hearing days +</w:t>
            </w:r>
            <w:r>
              <w:rPr>
                <w:spacing w:val="40"/>
                <w:sz w:val="14"/>
              </w:rPr>
              <w:t> </w:t>
            </w:r>
            <w:r>
              <w:rPr>
                <w:sz w:val="14"/>
              </w:rPr>
              <w:t>3 days (weekends/</w:t>
            </w:r>
            <w:r>
              <w:rPr>
                <w:spacing w:val="40"/>
                <w:sz w:val="14"/>
              </w:rPr>
              <w:t> </w:t>
            </w:r>
            <w:r>
              <w:rPr>
                <w:sz w:val="14"/>
              </w:rPr>
              <w:t>possible breaks) =</w:t>
            </w:r>
            <w:r>
              <w:rPr>
                <w:spacing w:val="40"/>
                <w:sz w:val="14"/>
              </w:rPr>
              <w:t> </w:t>
            </w:r>
            <w:r>
              <w:rPr>
                <w:sz w:val="14"/>
              </w:rPr>
              <w:t>10</w:t>
            </w:r>
            <w:r>
              <w:rPr>
                <w:spacing w:val="-9"/>
                <w:sz w:val="14"/>
              </w:rPr>
              <w:t> </w:t>
            </w:r>
            <w:r>
              <w:rPr>
                <w:sz w:val="14"/>
              </w:rPr>
              <w:t>days</w:t>
            </w:r>
            <w:r>
              <w:rPr>
                <w:spacing w:val="-9"/>
                <w:sz w:val="14"/>
              </w:rPr>
              <w:t> </w:t>
            </w:r>
            <w:r>
              <w:rPr>
                <w:sz w:val="14"/>
              </w:rPr>
              <w:t>average</w:t>
            </w:r>
            <w:r>
              <w:rPr>
                <w:spacing w:val="-9"/>
                <w:sz w:val="14"/>
              </w:rPr>
              <w:t> </w:t>
            </w:r>
            <w:r>
              <w:rPr>
                <w:sz w:val="14"/>
              </w:rPr>
              <w:t>per</w:t>
            </w:r>
            <w:r>
              <w:rPr>
                <w:spacing w:val="40"/>
                <w:sz w:val="14"/>
              </w:rPr>
              <w:t> </w:t>
            </w:r>
            <w:r>
              <w:rPr>
                <w:sz w:val="14"/>
              </w:rPr>
              <w:t>witness.</w:t>
            </w:r>
            <w:r>
              <w:rPr>
                <w:spacing w:val="-9"/>
                <w:sz w:val="14"/>
              </w:rPr>
              <w:t> </w:t>
            </w:r>
            <w:r>
              <w:rPr>
                <w:sz w:val="14"/>
              </w:rPr>
              <w:t>One</w:t>
            </w:r>
            <w:r>
              <w:rPr>
                <w:spacing w:val="-9"/>
                <w:sz w:val="14"/>
              </w:rPr>
              <w:t> </w:t>
            </w:r>
            <w:r>
              <w:rPr>
                <w:sz w:val="14"/>
              </w:rPr>
              <w:t>expert</w:t>
            </w:r>
            <w:r>
              <w:rPr>
                <w:spacing w:val="40"/>
                <w:sz w:val="14"/>
              </w:rPr>
              <w:t> </w:t>
            </w:r>
            <w:r>
              <w:rPr>
                <w:sz w:val="14"/>
              </w:rPr>
              <w:t>witness stayed for</w:t>
            </w:r>
            <w:r>
              <w:rPr>
                <w:spacing w:val="40"/>
                <w:sz w:val="14"/>
              </w:rPr>
              <w:t> </w:t>
            </w:r>
            <w:r>
              <w:rPr>
                <w:sz w:val="14"/>
              </w:rPr>
              <w:t>16 days. The</w:t>
            </w:r>
            <w:r>
              <w:rPr>
                <w:spacing w:val="40"/>
                <w:sz w:val="14"/>
              </w:rPr>
              <w:t> </w:t>
            </w:r>
            <w:r>
              <w:rPr>
                <w:sz w:val="14"/>
              </w:rPr>
              <w:t>longest</w:t>
            </w:r>
            <w:r>
              <w:rPr>
                <w:spacing w:val="-9"/>
                <w:sz w:val="14"/>
              </w:rPr>
              <w:t> </w:t>
            </w:r>
            <w:r>
              <w:rPr>
                <w:sz w:val="14"/>
              </w:rPr>
              <w:t>duration</w:t>
            </w:r>
            <w:r>
              <w:rPr>
                <w:spacing w:val="-9"/>
                <w:sz w:val="14"/>
              </w:rPr>
              <w:t> </w:t>
            </w:r>
            <w:r>
              <w:rPr>
                <w:sz w:val="14"/>
              </w:rPr>
              <w:t>for</w:t>
            </w:r>
            <w:r>
              <w:rPr>
                <w:spacing w:val="40"/>
                <w:sz w:val="14"/>
              </w:rPr>
              <w:t> </w:t>
            </w:r>
            <w:r>
              <w:rPr>
                <w:sz w:val="14"/>
              </w:rPr>
              <w:t>a fact witness was</w:t>
            </w:r>
            <w:r>
              <w:rPr>
                <w:spacing w:val="40"/>
                <w:sz w:val="14"/>
              </w:rPr>
              <w:t> </w:t>
            </w:r>
            <w:r>
              <w:rPr>
                <w:sz w:val="14"/>
              </w:rPr>
              <w:t>12 days. Both</w:t>
            </w:r>
            <w:r>
              <w:rPr>
                <w:spacing w:val="40"/>
                <w:sz w:val="14"/>
              </w:rPr>
              <w:t> </w:t>
            </w:r>
            <w:r>
              <w:rPr>
                <w:sz w:val="14"/>
              </w:rPr>
              <w:t>witnesses</w:t>
            </w:r>
            <w:r>
              <w:rPr>
                <w:spacing w:val="-9"/>
                <w:sz w:val="14"/>
              </w:rPr>
              <w:t> </w:t>
            </w:r>
            <w:r>
              <w:rPr>
                <w:sz w:val="14"/>
              </w:rPr>
              <w:t>appeared</w:t>
            </w:r>
            <w:r>
              <w:rPr>
                <w:spacing w:val="40"/>
                <w:sz w:val="14"/>
              </w:rPr>
              <w:t> </w:t>
            </w:r>
            <w:r>
              <w:rPr>
                <w:sz w:val="14"/>
              </w:rPr>
              <w:t>in</w:t>
            </w:r>
            <w:r>
              <w:rPr>
                <w:spacing w:val="-2"/>
                <w:sz w:val="14"/>
              </w:rPr>
              <w:t> </w:t>
            </w:r>
            <w:r>
              <w:rPr>
                <w:sz w:val="14"/>
              </w:rPr>
              <w:t>the</w:t>
            </w:r>
            <w:r>
              <w:rPr>
                <w:spacing w:val="-2"/>
                <w:sz w:val="14"/>
              </w:rPr>
              <w:t> </w:t>
            </w:r>
            <w:r>
              <w:rPr>
                <w:i/>
                <w:sz w:val="14"/>
              </w:rPr>
              <w:t>Ongwen</w:t>
            </w:r>
            <w:r>
              <w:rPr>
                <w:i/>
                <w:spacing w:val="-1"/>
                <w:sz w:val="14"/>
              </w:rPr>
              <w:t> </w:t>
            </w:r>
            <w:r>
              <w:rPr>
                <w:spacing w:val="-4"/>
                <w:sz w:val="14"/>
              </w:rPr>
              <w:t>case</w:t>
            </w:r>
          </w:p>
        </w:tc>
        <w:tc>
          <w:tcPr>
            <w:tcW w:w="614" w:type="dxa"/>
            <w:tcBorders>
              <w:top w:val="single" w:sz="4" w:space="0" w:color="000000"/>
              <w:bottom w:val="single" w:sz="4" w:space="0" w:color="000000"/>
            </w:tcBorders>
          </w:tcPr>
          <w:p>
            <w:pPr>
              <w:pStyle w:val="TableParagraph"/>
              <w:spacing w:before="61"/>
              <w:ind w:right="23"/>
              <w:jc w:val="center"/>
              <w:rPr>
                <w:sz w:val="14"/>
              </w:rPr>
            </w:pPr>
            <w:r>
              <w:rPr>
                <w:spacing w:val="-5"/>
                <w:sz w:val="14"/>
              </w:rPr>
              <w:t>10</w:t>
            </w:r>
          </w:p>
        </w:tc>
        <w:tc>
          <w:tcPr>
            <w:tcW w:w="512" w:type="dxa"/>
            <w:tcBorders>
              <w:top w:val="single" w:sz="4" w:space="0" w:color="000000"/>
              <w:bottom w:val="single" w:sz="4" w:space="0" w:color="000000"/>
            </w:tcBorders>
          </w:tcPr>
          <w:p>
            <w:pPr>
              <w:pStyle w:val="TableParagraph"/>
              <w:spacing w:before="61"/>
              <w:ind w:left="41" w:right="20"/>
              <w:jc w:val="center"/>
              <w:rPr>
                <w:sz w:val="14"/>
              </w:rPr>
            </w:pPr>
            <w:r>
              <w:rPr>
                <w:spacing w:val="-5"/>
                <w:sz w:val="14"/>
              </w:rPr>
              <w:t>37</w:t>
            </w:r>
          </w:p>
        </w:tc>
        <w:tc>
          <w:tcPr>
            <w:tcW w:w="969" w:type="dxa"/>
            <w:tcBorders>
              <w:top w:val="single" w:sz="4" w:space="0" w:color="000000"/>
              <w:bottom w:val="single" w:sz="4" w:space="0" w:color="000000"/>
            </w:tcBorders>
          </w:tcPr>
          <w:p>
            <w:pPr>
              <w:pStyle w:val="TableParagraph"/>
              <w:spacing w:before="61"/>
              <w:ind w:left="28" w:right="34"/>
              <w:jc w:val="left"/>
              <w:rPr>
                <w:sz w:val="14"/>
              </w:rPr>
            </w:pPr>
            <w:r>
              <w:rPr>
                <w:sz w:val="14"/>
              </w:rPr>
              <w:t>5</w:t>
            </w:r>
            <w:r>
              <w:rPr>
                <w:spacing w:val="-6"/>
                <w:sz w:val="14"/>
              </w:rPr>
              <w:t> </w:t>
            </w:r>
            <w:r>
              <w:rPr>
                <w:sz w:val="14"/>
              </w:rPr>
              <w:t>preparation</w:t>
            </w:r>
            <w:r>
              <w:rPr>
                <w:spacing w:val="40"/>
                <w:sz w:val="14"/>
              </w:rPr>
              <w:t> </w:t>
            </w:r>
            <w:r>
              <w:rPr>
                <w:spacing w:val="-2"/>
                <w:sz w:val="14"/>
              </w:rPr>
              <w:t>and/or</w:t>
            </w:r>
            <w:r>
              <w:rPr>
                <w:spacing w:val="40"/>
                <w:sz w:val="14"/>
              </w:rPr>
              <w:t> </w:t>
            </w:r>
            <w:r>
              <w:rPr>
                <w:spacing w:val="-2"/>
                <w:sz w:val="14"/>
              </w:rPr>
              <w:t>familiarization</w:t>
            </w:r>
            <w:r>
              <w:rPr>
                <w:spacing w:val="40"/>
                <w:sz w:val="14"/>
              </w:rPr>
              <w:t> </w:t>
            </w:r>
            <w:r>
              <w:rPr>
                <w:sz w:val="14"/>
              </w:rPr>
              <w:t>days + 2</w:t>
            </w:r>
            <w:r>
              <w:rPr>
                <w:spacing w:val="40"/>
                <w:sz w:val="14"/>
              </w:rPr>
              <w:t> </w:t>
            </w:r>
            <w:r>
              <w:rPr>
                <w:sz w:val="14"/>
              </w:rPr>
              <w:t>hearing days +</w:t>
            </w:r>
            <w:r>
              <w:rPr>
                <w:spacing w:val="40"/>
                <w:sz w:val="14"/>
              </w:rPr>
              <w:t> </w:t>
            </w:r>
            <w:r>
              <w:rPr>
                <w:sz w:val="14"/>
              </w:rPr>
              <w:t>3</w:t>
            </w:r>
            <w:r>
              <w:rPr>
                <w:spacing w:val="-6"/>
                <w:sz w:val="14"/>
              </w:rPr>
              <w:t> </w:t>
            </w:r>
            <w:r>
              <w:rPr>
                <w:sz w:val="14"/>
              </w:rPr>
              <w:t>days</w:t>
            </w:r>
            <w:r>
              <w:rPr>
                <w:spacing w:val="40"/>
                <w:sz w:val="14"/>
              </w:rPr>
              <w:t> </w:t>
            </w:r>
            <w:r>
              <w:rPr>
                <w:spacing w:val="-2"/>
                <w:sz w:val="14"/>
              </w:rPr>
              <w:t>(weekends/poss</w:t>
            </w:r>
            <w:r>
              <w:rPr>
                <w:spacing w:val="40"/>
                <w:sz w:val="14"/>
              </w:rPr>
              <w:t> </w:t>
            </w:r>
            <w:r>
              <w:rPr>
                <w:sz w:val="14"/>
              </w:rPr>
              <w:t>ible breaks) =</w:t>
            </w:r>
            <w:r>
              <w:rPr>
                <w:spacing w:val="40"/>
                <w:sz w:val="14"/>
              </w:rPr>
              <w:t> </w:t>
            </w:r>
            <w:r>
              <w:rPr>
                <w:sz w:val="14"/>
              </w:rPr>
              <w:t>10</w:t>
            </w:r>
            <w:r>
              <w:rPr>
                <w:spacing w:val="-9"/>
                <w:sz w:val="14"/>
              </w:rPr>
              <w:t> </w:t>
            </w:r>
            <w:r>
              <w:rPr>
                <w:sz w:val="14"/>
              </w:rPr>
              <w:t>days</w:t>
            </w:r>
            <w:r>
              <w:rPr>
                <w:spacing w:val="-9"/>
                <w:sz w:val="14"/>
              </w:rPr>
              <w:t> </w:t>
            </w:r>
            <w:r>
              <w:rPr>
                <w:sz w:val="14"/>
              </w:rPr>
              <w:t>average</w:t>
            </w:r>
            <w:r>
              <w:rPr>
                <w:spacing w:val="40"/>
                <w:sz w:val="14"/>
              </w:rPr>
              <w:t> </w:t>
            </w:r>
            <w:r>
              <w:rPr>
                <w:sz w:val="14"/>
              </w:rPr>
              <w:t>per</w:t>
            </w:r>
            <w:r>
              <w:rPr>
                <w:spacing w:val="-6"/>
                <w:sz w:val="14"/>
              </w:rPr>
              <w:t> </w:t>
            </w:r>
            <w:r>
              <w:rPr>
                <w:sz w:val="14"/>
              </w:rPr>
              <w:t>witness.</w:t>
            </w:r>
          </w:p>
          <w:p>
            <w:pPr>
              <w:pStyle w:val="TableParagraph"/>
              <w:spacing w:before="3"/>
              <w:ind w:left="28" w:right="33"/>
              <w:jc w:val="left"/>
              <w:rPr>
                <w:sz w:val="14"/>
              </w:rPr>
            </w:pPr>
            <w:r>
              <w:rPr>
                <w:sz w:val="14"/>
              </w:rPr>
              <w:t>The</w:t>
            </w:r>
            <w:r>
              <w:rPr>
                <w:spacing w:val="-9"/>
                <w:sz w:val="14"/>
              </w:rPr>
              <w:t> </w:t>
            </w:r>
            <w:r>
              <w:rPr>
                <w:sz w:val="14"/>
              </w:rPr>
              <w:t>figure</w:t>
            </w:r>
            <w:r>
              <w:rPr>
                <w:spacing w:val="40"/>
                <w:sz w:val="14"/>
              </w:rPr>
              <w:t> </w:t>
            </w:r>
            <w:r>
              <w:rPr>
                <w:sz w:val="14"/>
              </w:rPr>
              <w:t>reflects</w:t>
            </w:r>
            <w:r>
              <w:rPr>
                <w:spacing w:val="-9"/>
                <w:sz w:val="14"/>
              </w:rPr>
              <w:t> </w:t>
            </w:r>
            <w:r>
              <w:rPr>
                <w:sz w:val="14"/>
              </w:rPr>
              <w:t>a</w:t>
            </w:r>
            <w:r>
              <w:rPr>
                <w:spacing w:val="-9"/>
                <w:sz w:val="14"/>
              </w:rPr>
              <w:t> </w:t>
            </w:r>
            <w:r>
              <w:rPr>
                <w:sz w:val="14"/>
              </w:rPr>
              <w:t>longer</w:t>
            </w:r>
            <w:r>
              <w:rPr>
                <w:spacing w:val="40"/>
                <w:sz w:val="14"/>
              </w:rPr>
              <w:t> </w:t>
            </w:r>
            <w:r>
              <w:rPr>
                <w:sz w:val="14"/>
              </w:rPr>
              <w:t>period</w:t>
            </w:r>
            <w:r>
              <w:rPr>
                <w:spacing w:val="-9"/>
                <w:sz w:val="14"/>
              </w:rPr>
              <w:t> </w:t>
            </w:r>
            <w:r>
              <w:rPr>
                <w:sz w:val="14"/>
              </w:rPr>
              <w:t>between</w:t>
            </w:r>
            <w:r>
              <w:rPr>
                <w:spacing w:val="40"/>
                <w:sz w:val="14"/>
              </w:rPr>
              <w:t> </w:t>
            </w:r>
            <w:r>
              <w:rPr>
                <w:sz w:val="14"/>
              </w:rPr>
              <w:t>arrival</w:t>
            </w:r>
            <w:r>
              <w:rPr>
                <w:spacing w:val="-9"/>
                <w:sz w:val="14"/>
              </w:rPr>
              <w:t> </w:t>
            </w:r>
            <w:r>
              <w:rPr>
                <w:sz w:val="14"/>
              </w:rPr>
              <w:t>and</w:t>
            </w:r>
            <w:r>
              <w:rPr>
                <w:spacing w:val="40"/>
                <w:sz w:val="14"/>
              </w:rPr>
              <w:t> </w:t>
            </w:r>
            <w:r>
              <w:rPr>
                <w:sz w:val="14"/>
              </w:rPr>
              <w:t>testimony</w:t>
            </w:r>
            <w:r>
              <w:rPr>
                <w:spacing w:val="-6"/>
                <w:sz w:val="14"/>
              </w:rPr>
              <w:t> </w:t>
            </w:r>
            <w:r>
              <w:rPr>
                <w:sz w:val="14"/>
              </w:rPr>
              <w:t>of</w:t>
            </w:r>
            <w:r>
              <w:rPr>
                <w:spacing w:val="40"/>
                <w:sz w:val="14"/>
              </w:rPr>
              <w:t> </w:t>
            </w:r>
            <w:r>
              <w:rPr>
                <w:sz w:val="14"/>
              </w:rPr>
              <w:t>one</w:t>
            </w:r>
            <w:r>
              <w:rPr>
                <w:spacing w:val="-9"/>
                <w:sz w:val="14"/>
              </w:rPr>
              <w:t> </w:t>
            </w:r>
            <w:r>
              <w:rPr>
                <w:sz w:val="14"/>
              </w:rPr>
              <w:t>witness</w:t>
            </w:r>
            <w:r>
              <w:rPr>
                <w:spacing w:val="40"/>
                <w:sz w:val="14"/>
              </w:rPr>
              <w:t> </w:t>
            </w:r>
            <w:r>
              <w:rPr>
                <w:sz w:val="14"/>
              </w:rPr>
              <w:t>compared</w:t>
            </w:r>
            <w:r>
              <w:rPr>
                <w:spacing w:val="-9"/>
                <w:sz w:val="14"/>
              </w:rPr>
              <w:t> </w:t>
            </w:r>
            <w:r>
              <w:rPr>
                <w:sz w:val="14"/>
              </w:rPr>
              <w:t>to</w:t>
            </w:r>
            <w:r>
              <w:rPr>
                <w:spacing w:val="-9"/>
                <w:sz w:val="14"/>
              </w:rPr>
              <w:t> </w:t>
            </w:r>
            <w:r>
              <w:rPr>
                <w:sz w:val="14"/>
              </w:rPr>
              <w:t>the</w:t>
            </w:r>
            <w:r>
              <w:rPr>
                <w:spacing w:val="40"/>
                <w:sz w:val="14"/>
              </w:rPr>
              <w:t> </w:t>
            </w:r>
            <w:r>
              <w:rPr>
                <w:sz w:val="14"/>
              </w:rPr>
              <w:t>overall</w:t>
            </w:r>
            <w:r>
              <w:rPr>
                <w:spacing w:val="-9"/>
                <w:sz w:val="14"/>
              </w:rPr>
              <w:t> </w:t>
            </w:r>
            <w:r>
              <w:rPr>
                <w:sz w:val="14"/>
              </w:rPr>
              <w:t>average</w:t>
            </w:r>
          </w:p>
        </w:tc>
        <w:tc>
          <w:tcPr>
            <w:tcW w:w="600" w:type="dxa"/>
            <w:tcBorders>
              <w:top w:val="single" w:sz="4" w:space="0" w:color="000000"/>
              <w:bottom w:val="single" w:sz="4" w:space="0" w:color="000000"/>
            </w:tcBorders>
          </w:tcPr>
          <w:p>
            <w:pPr>
              <w:pStyle w:val="TableParagraph"/>
              <w:spacing w:before="61"/>
              <w:ind w:left="3" w:right="14"/>
              <w:jc w:val="center"/>
              <w:rPr>
                <w:sz w:val="14"/>
              </w:rPr>
            </w:pPr>
            <w:r>
              <w:rPr>
                <w:spacing w:val="-5"/>
                <w:sz w:val="14"/>
              </w:rPr>
              <w:t>10</w:t>
            </w:r>
          </w:p>
        </w:tc>
        <w:tc>
          <w:tcPr>
            <w:tcW w:w="476" w:type="dxa"/>
            <w:tcBorders>
              <w:top w:val="single" w:sz="4" w:space="0" w:color="000000"/>
              <w:bottom w:val="single" w:sz="4" w:space="0" w:color="000000"/>
            </w:tcBorders>
          </w:tcPr>
          <w:p>
            <w:pPr>
              <w:pStyle w:val="TableParagraph"/>
              <w:spacing w:before="61"/>
              <w:ind w:left="22" w:right="7"/>
              <w:jc w:val="center"/>
              <w:rPr>
                <w:sz w:val="14"/>
              </w:rPr>
            </w:pPr>
            <w:r>
              <w:rPr>
                <w:spacing w:val="-5"/>
                <w:sz w:val="14"/>
              </w:rPr>
              <w:t>14</w:t>
            </w:r>
          </w:p>
        </w:tc>
        <w:tc>
          <w:tcPr>
            <w:tcW w:w="1043" w:type="dxa"/>
            <w:tcBorders>
              <w:top w:val="single" w:sz="4" w:space="0" w:color="000000"/>
              <w:bottom w:val="single" w:sz="4" w:space="0" w:color="000000"/>
            </w:tcBorders>
          </w:tcPr>
          <w:p>
            <w:pPr>
              <w:pStyle w:val="TableParagraph"/>
              <w:spacing w:before="61"/>
              <w:ind w:left="9" w:right="31"/>
              <w:jc w:val="left"/>
              <w:rPr>
                <w:sz w:val="14"/>
              </w:rPr>
            </w:pPr>
            <w:r>
              <w:rPr>
                <w:sz w:val="14"/>
              </w:rPr>
              <w:t>Actual is</w:t>
            </w:r>
            <w:r>
              <w:rPr>
                <w:spacing w:val="-1"/>
                <w:sz w:val="14"/>
              </w:rPr>
              <w:t> </w:t>
            </w:r>
            <w:r>
              <w:rPr>
                <w:sz w:val="14"/>
              </w:rPr>
              <w:t>slightly</w:t>
            </w:r>
            <w:r>
              <w:rPr>
                <w:spacing w:val="40"/>
                <w:sz w:val="14"/>
              </w:rPr>
              <w:t> </w:t>
            </w:r>
            <w:r>
              <w:rPr>
                <w:sz w:val="14"/>
              </w:rPr>
              <w:t>higher</w:t>
            </w:r>
            <w:r>
              <w:rPr>
                <w:spacing w:val="-6"/>
                <w:sz w:val="14"/>
              </w:rPr>
              <w:t> </w:t>
            </w:r>
            <w:r>
              <w:rPr>
                <w:sz w:val="14"/>
              </w:rPr>
              <w:t>than</w:t>
            </w:r>
            <w:r>
              <w:rPr>
                <w:spacing w:val="40"/>
                <w:sz w:val="14"/>
              </w:rPr>
              <w:t> </w:t>
            </w:r>
            <w:r>
              <w:rPr>
                <w:sz w:val="14"/>
              </w:rPr>
              <w:t>projection</w:t>
            </w:r>
            <w:r>
              <w:rPr>
                <w:spacing w:val="-9"/>
                <w:sz w:val="14"/>
              </w:rPr>
              <w:t> </w:t>
            </w:r>
            <w:r>
              <w:rPr>
                <w:sz w:val="14"/>
              </w:rPr>
              <w:t>mainly</w:t>
            </w:r>
            <w:r>
              <w:rPr>
                <w:spacing w:val="40"/>
                <w:sz w:val="14"/>
              </w:rPr>
              <w:t> </w:t>
            </w:r>
            <w:r>
              <w:rPr>
                <w:sz w:val="14"/>
              </w:rPr>
              <w:t>owing to longer</w:t>
            </w:r>
            <w:r>
              <w:rPr>
                <w:spacing w:val="40"/>
                <w:sz w:val="14"/>
              </w:rPr>
              <w:t> </w:t>
            </w:r>
            <w:r>
              <w:rPr>
                <w:sz w:val="14"/>
              </w:rPr>
              <w:t>preparation</w:t>
            </w:r>
            <w:r>
              <w:rPr>
                <w:spacing w:val="-9"/>
                <w:sz w:val="14"/>
              </w:rPr>
              <w:t> </w:t>
            </w:r>
            <w:r>
              <w:rPr>
                <w:sz w:val="14"/>
              </w:rPr>
              <w:t>times</w:t>
            </w:r>
            <w:r>
              <w:rPr>
                <w:spacing w:val="40"/>
                <w:sz w:val="14"/>
              </w:rPr>
              <w:t> </w:t>
            </w:r>
            <w:r>
              <w:rPr>
                <w:sz w:val="14"/>
              </w:rPr>
              <w:t>than</w:t>
            </w:r>
            <w:r>
              <w:rPr>
                <w:spacing w:val="-6"/>
                <w:sz w:val="14"/>
              </w:rPr>
              <w:t> </w:t>
            </w:r>
            <w:r>
              <w:rPr>
                <w:sz w:val="14"/>
              </w:rPr>
              <w:t>anticipated</w:t>
            </w:r>
          </w:p>
        </w:tc>
        <w:tc>
          <w:tcPr>
            <w:tcW w:w="587" w:type="dxa"/>
            <w:tcBorders>
              <w:top w:val="single" w:sz="4" w:space="0" w:color="000000"/>
              <w:bottom w:val="single" w:sz="4" w:space="0" w:color="000000"/>
            </w:tcBorders>
          </w:tcPr>
          <w:p>
            <w:pPr>
              <w:pStyle w:val="TableParagraph"/>
              <w:spacing w:before="61"/>
              <w:ind w:left="1" w:right="11"/>
              <w:jc w:val="center"/>
              <w:rPr>
                <w:sz w:val="14"/>
              </w:rPr>
            </w:pPr>
            <w:r>
              <w:rPr>
                <w:spacing w:val="-5"/>
                <w:sz w:val="14"/>
              </w:rPr>
              <w:t>10</w:t>
            </w:r>
          </w:p>
        </w:tc>
        <w:tc>
          <w:tcPr>
            <w:tcW w:w="1219" w:type="dxa"/>
            <w:tcBorders>
              <w:top w:val="single" w:sz="4" w:space="0" w:color="000000"/>
              <w:bottom w:val="single" w:sz="4" w:space="0" w:color="000000"/>
            </w:tcBorders>
          </w:tcPr>
          <w:p>
            <w:pPr>
              <w:pStyle w:val="TableParagraph"/>
              <w:spacing w:before="61"/>
              <w:ind w:left="12" w:right="38"/>
              <w:jc w:val="left"/>
              <w:rPr>
                <w:sz w:val="14"/>
              </w:rPr>
            </w:pPr>
            <w:r>
              <w:rPr>
                <w:sz w:val="14"/>
              </w:rPr>
              <w:t>3</w:t>
            </w:r>
            <w:r>
              <w:rPr>
                <w:spacing w:val="-6"/>
                <w:sz w:val="14"/>
              </w:rPr>
              <w:t> </w:t>
            </w:r>
            <w:r>
              <w:rPr>
                <w:sz w:val="14"/>
              </w:rPr>
              <w:t>preparation</w:t>
            </w:r>
            <w:r>
              <w:rPr>
                <w:spacing w:val="-6"/>
                <w:sz w:val="14"/>
              </w:rPr>
              <w:t> </w:t>
            </w:r>
            <w:r>
              <w:rPr>
                <w:sz w:val="14"/>
              </w:rPr>
              <w:t>days</w:t>
            </w:r>
            <w:r>
              <w:rPr>
                <w:spacing w:val="-9"/>
                <w:sz w:val="14"/>
              </w:rPr>
              <w:t> </w:t>
            </w:r>
            <w:r>
              <w:rPr>
                <w:sz w:val="14"/>
              </w:rPr>
              <w:t>+</w:t>
            </w:r>
            <w:r>
              <w:rPr>
                <w:spacing w:val="40"/>
                <w:sz w:val="14"/>
              </w:rPr>
              <w:t> </w:t>
            </w:r>
            <w:r>
              <w:rPr>
                <w:sz w:val="14"/>
              </w:rPr>
              <w:t>2</w:t>
            </w:r>
            <w:r>
              <w:rPr>
                <w:spacing w:val="-6"/>
                <w:sz w:val="14"/>
              </w:rPr>
              <w:t> </w:t>
            </w:r>
            <w:r>
              <w:rPr>
                <w:sz w:val="14"/>
              </w:rPr>
              <w:t>familiarization</w:t>
            </w:r>
            <w:r>
              <w:rPr>
                <w:spacing w:val="40"/>
                <w:sz w:val="14"/>
              </w:rPr>
              <w:t> </w:t>
            </w:r>
            <w:r>
              <w:rPr>
                <w:sz w:val="14"/>
              </w:rPr>
              <w:t>days + 2 hearing</w:t>
            </w:r>
            <w:r>
              <w:rPr>
                <w:spacing w:val="40"/>
                <w:sz w:val="14"/>
              </w:rPr>
              <w:t> </w:t>
            </w:r>
            <w:r>
              <w:rPr>
                <w:sz w:val="14"/>
              </w:rPr>
              <w:t>days + 3 days</w:t>
            </w:r>
            <w:r>
              <w:rPr>
                <w:spacing w:val="40"/>
                <w:sz w:val="14"/>
              </w:rPr>
              <w:t> </w:t>
            </w:r>
            <w:r>
              <w:rPr>
                <w:sz w:val="14"/>
              </w:rPr>
              <w:t>(weekends</w:t>
            </w:r>
            <w:r>
              <w:rPr>
                <w:spacing w:val="-9"/>
                <w:sz w:val="14"/>
              </w:rPr>
              <w:t> </w:t>
            </w:r>
            <w:r>
              <w:rPr>
                <w:sz w:val="14"/>
              </w:rPr>
              <w:t>and/or</w:t>
            </w:r>
            <w:r>
              <w:rPr>
                <w:spacing w:val="40"/>
                <w:sz w:val="14"/>
              </w:rPr>
              <w:t> </w:t>
            </w:r>
            <w:r>
              <w:rPr>
                <w:sz w:val="14"/>
              </w:rPr>
              <w:t>breaks)</w:t>
            </w:r>
            <w:r>
              <w:rPr>
                <w:spacing w:val="-9"/>
                <w:sz w:val="14"/>
              </w:rPr>
              <w:t> </w:t>
            </w:r>
            <w:r>
              <w:rPr>
                <w:sz w:val="14"/>
              </w:rPr>
              <w:t>=</w:t>
            </w:r>
            <w:r>
              <w:rPr>
                <w:spacing w:val="-9"/>
                <w:sz w:val="14"/>
              </w:rPr>
              <w:t> </w:t>
            </w:r>
            <w:r>
              <w:rPr>
                <w:sz w:val="14"/>
              </w:rPr>
              <w:t>10</w:t>
            </w:r>
            <w:r>
              <w:rPr>
                <w:spacing w:val="-9"/>
                <w:sz w:val="14"/>
              </w:rPr>
              <w:t> </w:t>
            </w:r>
            <w:r>
              <w:rPr>
                <w:sz w:val="14"/>
              </w:rPr>
              <w:t>days</w:t>
            </w:r>
            <w:r>
              <w:rPr>
                <w:spacing w:val="-8"/>
                <w:sz w:val="14"/>
              </w:rPr>
              <w:t> </w:t>
            </w:r>
            <w:r>
              <w:rPr>
                <w:sz w:val="14"/>
              </w:rPr>
              <w:t>on</w:t>
            </w:r>
            <w:r>
              <w:rPr>
                <w:spacing w:val="40"/>
                <w:sz w:val="14"/>
              </w:rPr>
              <w:t> </w:t>
            </w:r>
            <w:r>
              <w:rPr>
                <w:sz w:val="14"/>
              </w:rPr>
              <w:t>average per witness</w:t>
            </w:r>
          </w:p>
        </w:tc>
        <w:tc>
          <w:tcPr>
            <w:tcW w:w="581" w:type="dxa"/>
            <w:tcBorders>
              <w:top w:val="single" w:sz="4" w:space="0" w:color="000000"/>
              <w:bottom w:val="single" w:sz="4" w:space="0" w:color="000000"/>
            </w:tcBorders>
          </w:tcPr>
          <w:p>
            <w:pPr>
              <w:pStyle w:val="TableParagraph"/>
              <w:spacing w:before="61"/>
              <w:ind w:left="11" w:right="17"/>
              <w:jc w:val="center"/>
              <w:rPr>
                <w:sz w:val="14"/>
              </w:rPr>
            </w:pPr>
            <w:r>
              <w:rPr>
                <w:spacing w:val="-5"/>
                <w:sz w:val="14"/>
              </w:rPr>
              <w:t>10</w:t>
            </w:r>
          </w:p>
        </w:tc>
        <w:tc>
          <w:tcPr>
            <w:tcW w:w="1011" w:type="dxa"/>
            <w:tcBorders>
              <w:top w:val="single" w:sz="4" w:space="0" w:color="000000"/>
              <w:bottom w:val="single" w:sz="4" w:space="0" w:color="000000"/>
            </w:tcBorders>
          </w:tcPr>
          <w:p>
            <w:pPr>
              <w:pStyle w:val="TableParagraph"/>
              <w:spacing w:before="61"/>
              <w:ind w:left="13"/>
              <w:jc w:val="left"/>
              <w:rPr>
                <w:sz w:val="14"/>
              </w:rPr>
            </w:pPr>
            <w:r>
              <w:rPr>
                <w:sz w:val="14"/>
              </w:rPr>
              <w:t>3 days</w:t>
            </w:r>
            <w:r>
              <w:rPr>
                <w:spacing w:val="-3"/>
                <w:sz w:val="14"/>
              </w:rPr>
              <w:t> </w:t>
            </w:r>
            <w:r>
              <w:rPr>
                <w:spacing w:val="-5"/>
                <w:sz w:val="14"/>
              </w:rPr>
              <w:t>of</w:t>
            </w:r>
          </w:p>
          <w:p>
            <w:pPr>
              <w:pStyle w:val="TableParagraph"/>
              <w:spacing w:before="2"/>
              <w:ind w:left="13"/>
              <w:jc w:val="left"/>
              <w:rPr>
                <w:sz w:val="14"/>
              </w:rPr>
            </w:pPr>
            <w:r>
              <w:rPr>
                <w:sz w:val="14"/>
              </w:rPr>
              <w:t>preparation + 2</w:t>
            </w:r>
            <w:r>
              <w:rPr>
                <w:spacing w:val="40"/>
                <w:sz w:val="14"/>
              </w:rPr>
              <w:t> </w:t>
            </w:r>
            <w:r>
              <w:rPr>
                <w:sz w:val="14"/>
              </w:rPr>
              <w:t>days</w:t>
            </w:r>
            <w:r>
              <w:rPr>
                <w:spacing w:val="-9"/>
                <w:sz w:val="14"/>
              </w:rPr>
              <w:t> </w:t>
            </w:r>
            <w:r>
              <w:rPr>
                <w:sz w:val="14"/>
              </w:rPr>
              <w:t>of</w:t>
            </w:r>
            <w:r>
              <w:rPr>
                <w:spacing w:val="40"/>
                <w:sz w:val="14"/>
              </w:rPr>
              <w:t> </w:t>
            </w:r>
            <w:r>
              <w:rPr>
                <w:sz w:val="14"/>
              </w:rPr>
              <w:t>familiarization</w:t>
            </w:r>
            <w:r>
              <w:rPr>
                <w:spacing w:val="-6"/>
                <w:sz w:val="14"/>
              </w:rPr>
              <w:t> </w:t>
            </w:r>
            <w:r>
              <w:rPr>
                <w:spacing w:val="-10"/>
                <w:sz w:val="14"/>
              </w:rPr>
              <w:t>+</w:t>
            </w:r>
          </w:p>
          <w:p>
            <w:pPr>
              <w:pStyle w:val="TableParagraph"/>
              <w:spacing w:line="158" w:lineRule="exact"/>
              <w:ind w:left="13"/>
              <w:jc w:val="left"/>
              <w:rPr>
                <w:sz w:val="14"/>
              </w:rPr>
            </w:pPr>
            <w:r>
              <w:rPr>
                <w:sz w:val="14"/>
              </w:rPr>
              <w:t>2</w:t>
            </w:r>
            <w:r>
              <w:rPr>
                <w:spacing w:val="-2"/>
                <w:sz w:val="14"/>
              </w:rPr>
              <w:t> </w:t>
            </w:r>
            <w:r>
              <w:rPr>
                <w:sz w:val="14"/>
              </w:rPr>
              <w:t>hearing</w:t>
            </w:r>
            <w:r>
              <w:rPr>
                <w:spacing w:val="-1"/>
                <w:sz w:val="14"/>
              </w:rPr>
              <w:t> </w:t>
            </w:r>
            <w:r>
              <w:rPr>
                <w:sz w:val="14"/>
              </w:rPr>
              <w:t>days</w:t>
            </w:r>
            <w:r>
              <w:rPr>
                <w:spacing w:val="-4"/>
                <w:sz w:val="14"/>
              </w:rPr>
              <w:t> </w:t>
            </w:r>
            <w:r>
              <w:rPr>
                <w:spacing w:val="-10"/>
                <w:sz w:val="14"/>
              </w:rPr>
              <w:t>+</w:t>
            </w:r>
          </w:p>
          <w:p>
            <w:pPr>
              <w:pStyle w:val="TableParagraph"/>
              <w:spacing w:before="2"/>
              <w:ind w:left="13" w:right="42"/>
              <w:jc w:val="left"/>
              <w:rPr>
                <w:sz w:val="14"/>
              </w:rPr>
            </w:pPr>
            <w:r>
              <w:rPr>
                <w:sz w:val="14"/>
              </w:rPr>
              <w:t>3 days for</w:t>
            </w:r>
            <w:r>
              <w:rPr>
                <w:spacing w:val="40"/>
                <w:sz w:val="14"/>
              </w:rPr>
              <w:t> </w:t>
            </w:r>
            <w:r>
              <w:rPr>
                <w:sz w:val="14"/>
              </w:rPr>
              <w:t>weekends</w:t>
            </w:r>
            <w:r>
              <w:rPr>
                <w:spacing w:val="-9"/>
                <w:sz w:val="14"/>
              </w:rPr>
              <w:t> </w:t>
            </w:r>
            <w:r>
              <w:rPr>
                <w:sz w:val="14"/>
              </w:rPr>
              <w:t>and/or</w:t>
            </w:r>
            <w:r>
              <w:rPr>
                <w:spacing w:val="40"/>
                <w:sz w:val="14"/>
              </w:rPr>
              <w:t> </w:t>
            </w:r>
            <w:r>
              <w:rPr>
                <w:sz w:val="14"/>
              </w:rPr>
              <w:t>breaks</w:t>
            </w:r>
            <w:r>
              <w:rPr>
                <w:spacing w:val="-9"/>
                <w:sz w:val="14"/>
              </w:rPr>
              <w:t> </w:t>
            </w:r>
            <w:r>
              <w:rPr>
                <w:sz w:val="14"/>
              </w:rPr>
              <w:t>=</w:t>
            </w:r>
            <w:r>
              <w:rPr>
                <w:spacing w:val="-9"/>
                <w:sz w:val="14"/>
              </w:rPr>
              <w:t> </w:t>
            </w:r>
            <w:r>
              <w:rPr>
                <w:sz w:val="14"/>
              </w:rPr>
              <w:t>10</w:t>
            </w:r>
            <w:r>
              <w:rPr>
                <w:spacing w:val="-9"/>
                <w:sz w:val="14"/>
              </w:rPr>
              <w:t> </w:t>
            </w:r>
            <w:r>
              <w:rPr>
                <w:sz w:val="14"/>
              </w:rPr>
              <w:t>days</w:t>
            </w:r>
            <w:r>
              <w:rPr>
                <w:spacing w:val="40"/>
                <w:sz w:val="14"/>
              </w:rPr>
              <w:t> </w:t>
            </w:r>
            <w:r>
              <w:rPr>
                <w:sz w:val="14"/>
              </w:rPr>
              <w:t>on average per</w:t>
            </w:r>
            <w:r>
              <w:rPr>
                <w:spacing w:val="40"/>
                <w:sz w:val="14"/>
              </w:rPr>
              <w:t> </w:t>
            </w:r>
            <w:r>
              <w:rPr>
                <w:spacing w:val="-2"/>
                <w:sz w:val="14"/>
              </w:rPr>
              <w:t>witness</w:t>
            </w: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4"/>
        </w:rPr>
      </w:pPr>
      <w:r>
        <w:rPr/>
        <w:pict>
          <v:rect style="position:absolute;margin-left:113.330002pt;margin-top:15.234609pt;width:144.050pt;height:.48004pt;mso-position-horizontal-relative:page;mso-position-vertical-relative:paragraph;z-index:-15665664;mso-wrap-distance-left:0;mso-wrap-distance-right:0" id="docshape518" filled="true" fillcolor="#000000" stroked="false">
            <v:fill type="solid"/>
            <w10:wrap type="topAndBottom"/>
          </v:rect>
        </w:pict>
      </w:r>
    </w:p>
    <w:p>
      <w:pPr>
        <w:spacing w:before="86"/>
        <w:ind w:left="2246" w:right="2253" w:firstLine="0"/>
        <w:jc w:val="both"/>
        <w:rPr>
          <w:sz w:val="16"/>
        </w:rPr>
      </w:pPr>
      <w:r>
        <w:rPr>
          <w:position w:val="5"/>
          <w:sz w:val="10"/>
        </w:rPr>
        <w:t>168</w:t>
      </w:r>
      <w:r>
        <w:rPr>
          <w:spacing w:val="28"/>
          <w:position w:val="5"/>
          <w:sz w:val="10"/>
        </w:rPr>
        <w:t> </w:t>
      </w:r>
      <w:r>
        <w:rPr>
          <w:sz w:val="16"/>
        </w:rPr>
        <w:t>Number of trial judgments being appealed. More than one appeal might be lodged against a given judgment,</w:t>
      </w:r>
      <w:r>
        <w:rPr>
          <w:spacing w:val="40"/>
          <w:sz w:val="16"/>
        </w:rPr>
        <w:t> </w:t>
      </w:r>
      <w:r>
        <w:rPr>
          <w:sz w:val="16"/>
        </w:rPr>
        <w:t>resulting in a higher workload.</w:t>
      </w:r>
    </w:p>
    <w:p>
      <w:pPr>
        <w:spacing w:before="1"/>
        <w:ind w:left="2246" w:right="2242" w:firstLine="0"/>
        <w:jc w:val="both"/>
        <w:rPr>
          <w:sz w:val="16"/>
        </w:rPr>
      </w:pPr>
      <w:r>
        <w:rPr>
          <w:position w:val="5"/>
          <w:sz w:val="10"/>
        </w:rPr>
        <w:t>169</w:t>
      </w:r>
      <w:r>
        <w:rPr>
          <w:spacing w:val="13"/>
          <w:position w:val="5"/>
          <w:sz w:val="10"/>
        </w:rPr>
        <w:t> </w:t>
      </w:r>
      <w:r>
        <w:rPr>
          <w:sz w:val="16"/>
        </w:rPr>
        <w:t>The</w:t>
      </w:r>
      <w:r>
        <w:rPr>
          <w:spacing w:val="-3"/>
          <w:sz w:val="16"/>
        </w:rPr>
        <w:t> </w:t>
      </w:r>
      <w:r>
        <w:rPr>
          <w:sz w:val="16"/>
        </w:rPr>
        <w:t>nature</w:t>
      </w:r>
      <w:r>
        <w:rPr>
          <w:spacing w:val="-7"/>
          <w:sz w:val="16"/>
        </w:rPr>
        <w:t> </w:t>
      </w:r>
      <w:r>
        <w:rPr>
          <w:sz w:val="16"/>
        </w:rPr>
        <w:t>of</w:t>
      </w:r>
      <w:r>
        <w:rPr>
          <w:spacing w:val="-4"/>
          <w:sz w:val="16"/>
        </w:rPr>
        <w:t> </w:t>
      </w:r>
      <w:r>
        <w:rPr>
          <w:sz w:val="16"/>
        </w:rPr>
        <w:t>the</w:t>
      </w:r>
      <w:r>
        <w:rPr>
          <w:spacing w:val="-3"/>
          <w:sz w:val="16"/>
        </w:rPr>
        <w:t> </w:t>
      </w:r>
      <w:r>
        <w:rPr>
          <w:sz w:val="16"/>
        </w:rPr>
        <w:t>appeals</w:t>
      </w:r>
      <w:r>
        <w:rPr>
          <w:spacing w:val="-8"/>
          <w:sz w:val="16"/>
        </w:rPr>
        <w:t> </w:t>
      </w:r>
      <w:r>
        <w:rPr>
          <w:sz w:val="16"/>
        </w:rPr>
        <w:t>process</w:t>
      </w:r>
      <w:r>
        <w:rPr>
          <w:spacing w:val="-8"/>
          <w:sz w:val="16"/>
        </w:rPr>
        <w:t> </w:t>
      </w:r>
      <w:r>
        <w:rPr>
          <w:sz w:val="16"/>
        </w:rPr>
        <w:t>is</w:t>
      </w:r>
      <w:r>
        <w:rPr>
          <w:spacing w:val="-4"/>
          <w:sz w:val="16"/>
        </w:rPr>
        <w:t> </w:t>
      </w:r>
      <w:r>
        <w:rPr>
          <w:sz w:val="16"/>
        </w:rPr>
        <w:t>such</w:t>
      </w:r>
      <w:r>
        <w:rPr>
          <w:spacing w:val="-7"/>
          <w:sz w:val="16"/>
        </w:rPr>
        <w:t> </w:t>
      </w:r>
      <w:r>
        <w:rPr>
          <w:sz w:val="16"/>
        </w:rPr>
        <w:t>that,</w:t>
      </w:r>
      <w:r>
        <w:rPr>
          <w:spacing w:val="-5"/>
          <w:sz w:val="16"/>
        </w:rPr>
        <w:t> </w:t>
      </w:r>
      <w:r>
        <w:rPr>
          <w:sz w:val="16"/>
        </w:rPr>
        <w:t>until</w:t>
      </w:r>
      <w:r>
        <w:rPr>
          <w:spacing w:val="-5"/>
          <w:sz w:val="16"/>
        </w:rPr>
        <w:t> </w:t>
      </w:r>
      <w:r>
        <w:rPr>
          <w:sz w:val="16"/>
        </w:rPr>
        <w:t>a decision</w:t>
      </w:r>
      <w:r>
        <w:rPr>
          <w:spacing w:val="-1"/>
          <w:sz w:val="16"/>
        </w:rPr>
        <w:t> </w:t>
      </w:r>
      <w:r>
        <w:rPr>
          <w:sz w:val="16"/>
        </w:rPr>
        <w:t>is</w:t>
      </w:r>
      <w:r>
        <w:rPr>
          <w:spacing w:val="-4"/>
          <w:sz w:val="16"/>
        </w:rPr>
        <w:t> </w:t>
      </w:r>
      <w:r>
        <w:rPr>
          <w:sz w:val="16"/>
        </w:rPr>
        <w:t>issued</w:t>
      </w:r>
      <w:r>
        <w:rPr>
          <w:spacing w:val="-2"/>
          <w:sz w:val="16"/>
        </w:rPr>
        <w:t> </w:t>
      </w:r>
      <w:r>
        <w:rPr>
          <w:sz w:val="16"/>
        </w:rPr>
        <w:t>by</w:t>
      </w:r>
      <w:r>
        <w:rPr>
          <w:spacing w:val="-5"/>
          <w:sz w:val="16"/>
        </w:rPr>
        <w:t> </w:t>
      </w:r>
      <w:r>
        <w:rPr>
          <w:sz w:val="16"/>
        </w:rPr>
        <w:t>a</w:t>
      </w:r>
      <w:r>
        <w:rPr>
          <w:spacing w:val="-7"/>
          <w:sz w:val="16"/>
        </w:rPr>
        <w:t> </w:t>
      </w:r>
      <w:r>
        <w:rPr>
          <w:sz w:val="16"/>
        </w:rPr>
        <w:t>Trial</w:t>
      </w:r>
      <w:r>
        <w:rPr>
          <w:spacing w:val="-5"/>
          <w:sz w:val="16"/>
        </w:rPr>
        <w:t> </w:t>
      </w:r>
      <w:r>
        <w:rPr>
          <w:sz w:val="16"/>
        </w:rPr>
        <w:t>Chamber,</w:t>
      </w:r>
      <w:r>
        <w:rPr>
          <w:spacing w:val="-5"/>
          <w:sz w:val="16"/>
        </w:rPr>
        <w:t> </w:t>
      </w:r>
      <w:r>
        <w:rPr>
          <w:sz w:val="16"/>
        </w:rPr>
        <w:t>it</w:t>
      </w:r>
      <w:r>
        <w:rPr>
          <w:spacing w:val="-5"/>
          <w:sz w:val="16"/>
        </w:rPr>
        <w:t> </w:t>
      </w:r>
      <w:r>
        <w:rPr>
          <w:sz w:val="16"/>
        </w:rPr>
        <w:t>cannot</w:t>
      </w:r>
      <w:r>
        <w:rPr>
          <w:spacing w:val="-5"/>
          <w:sz w:val="16"/>
        </w:rPr>
        <w:t> </w:t>
      </w:r>
      <w:r>
        <w:rPr>
          <w:sz w:val="16"/>
        </w:rPr>
        <w:t>be</w:t>
      </w:r>
      <w:r>
        <w:rPr>
          <w:spacing w:val="-3"/>
          <w:sz w:val="16"/>
        </w:rPr>
        <w:t> </w:t>
      </w:r>
      <w:r>
        <w:rPr>
          <w:sz w:val="16"/>
        </w:rPr>
        <w:t>said</w:t>
      </w:r>
      <w:r>
        <w:rPr>
          <w:spacing w:val="-2"/>
          <w:sz w:val="16"/>
        </w:rPr>
        <w:t> </w:t>
      </w:r>
      <w:r>
        <w:rPr>
          <w:sz w:val="16"/>
        </w:rPr>
        <w:t>that</w:t>
      </w:r>
      <w:r>
        <w:rPr>
          <w:spacing w:val="40"/>
          <w:sz w:val="16"/>
        </w:rPr>
        <w:t> </w:t>
      </w:r>
      <w:r>
        <w:rPr>
          <w:sz w:val="16"/>
        </w:rPr>
        <w:t>a</w:t>
      </w:r>
      <w:r>
        <w:rPr>
          <w:spacing w:val="-1"/>
          <w:sz w:val="16"/>
        </w:rPr>
        <w:t> </w:t>
      </w:r>
      <w:r>
        <w:rPr>
          <w:sz w:val="16"/>
        </w:rPr>
        <w:t>final</w:t>
      </w:r>
      <w:r>
        <w:rPr>
          <w:spacing w:val="-4"/>
          <w:sz w:val="16"/>
        </w:rPr>
        <w:t> </w:t>
      </w:r>
      <w:r>
        <w:rPr>
          <w:sz w:val="16"/>
        </w:rPr>
        <w:t>appeal</w:t>
      </w:r>
      <w:r>
        <w:rPr>
          <w:spacing w:val="-4"/>
          <w:sz w:val="16"/>
        </w:rPr>
        <w:t> </w:t>
      </w:r>
      <w:r>
        <w:rPr>
          <w:sz w:val="16"/>
        </w:rPr>
        <w:t>is “certain”</w:t>
      </w:r>
      <w:r>
        <w:rPr>
          <w:spacing w:val="-2"/>
          <w:sz w:val="16"/>
        </w:rPr>
        <w:t> </w:t>
      </w:r>
      <w:r>
        <w:rPr>
          <w:sz w:val="16"/>
        </w:rPr>
        <w:t>to</w:t>
      </w:r>
      <w:r>
        <w:rPr>
          <w:spacing w:val="-1"/>
          <w:sz w:val="16"/>
        </w:rPr>
        <w:t> </w:t>
      </w:r>
      <w:r>
        <w:rPr>
          <w:sz w:val="16"/>
        </w:rPr>
        <w:t>be</w:t>
      </w:r>
      <w:r>
        <w:rPr>
          <w:spacing w:val="-2"/>
          <w:sz w:val="16"/>
        </w:rPr>
        <w:t> </w:t>
      </w:r>
      <w:r>
        <w:rPr>
          <w:sz w:val="16"/>
        </w:rPr>
        <w:t>entered. However,</w:t>
      </w:r>
      <w:r>
        <w:rPr>
          <w:spacing w:val="-4"/>
          <w:sz w:val="16"/>
        </w:rPr>
        <w:t> </w:t>
      </w:r>
      <w:r>
        <w:rPr>
          <w:sz w:val="16"/>
        </w:rPr>
        <w:t>it is highly</w:t>
      </w:r>
      <w:r>
        <w:rPr>
          <w:spacing w:val="-1"/>
          <w:sz w:val="16"/>
        </w:rPr>
        <w:t> </w:t>
      </w:r>
      <w:r>
        <w:rPr>
          <w:sz w:val="16"/>
        </w:rPr>
        <w:t>likely</w:t>
      </w:r>
      <w:r>
        <w:rPr>
          <w:spacing w:val="-1"/>
          <w:sz w:val="16"/>
        </w:rPr>
        <w:t> </w:t>
      </w:r>
      <w:r>
        <w:rPr>
          <w:sz w:val="16"/>
        </w:rPr>
        <w:t>that any</w:t>
      </w:r>
      <w:r>
        <w:rPr>
          <w:spacing w:val="-1"/>
          <w:sz w:val="16"/>
        </w:rPr>
        <w:t> </w:t>
      </w:r>
      <w:r>
        <w:rPr>
          <w:sz w:val="16"/>
        </w:rPr>
        <w:t>decision of</w:t>
      </w:r>
      <w:r>
        <w:rPr>
          <w:spacing w:val="-3"/>
          <w:sz w:val="16"/>
        </w:rPr>
        <w:t> </w:t>
      </w:r>
      <w:r>
        <w:rPr>
          <w:sz w:val="16"/>
        </w:rPr>
        <w:t>a Trial Chamber</w:t>
      </w:r>
      <w:r>
        <w:rPr>
          <w:spacing w:val="-3"/>
          <w:sz w:val="16"/>
        </w:rPr>
        <w:t> </w:t>
      </w:r>
      <w:r>
        <w:rPr>
          <w:sz w:val="16"/>
        </w:rPr>
        <w:t>(either to</w:t>
      </w:r>
      <w:r>
        <w:rPr>
          <w:spacing w:val="40"/>
          <w:sz w:val="16"/>
        </w:rPr>
        <w:t> </w:t>
      </w:r>
      <w:r>
        <w:rPr>
          <w:sz w:val="16"/>
        </w:rPr>
        <w:t>convict or acquit) will result in at least one appeal.</w:t>
      </w:r>
    </w:p>
    <w:p>
      <w:pPr>
        <w:spacing w:before="1"/>
        <w:ind w:left="2246" w:right="2243" w:firstLine="0"/>
        <w:jc w:val="both"/>
        <w:rPr>
          <w:sz w:val="16"/>
        </w:rPr>
      </w:pPr>
      <w:r>
        <w:rPr>
          <w:position w:val="5"/>
          <w:sz w:val="10"/>
        </w:rPr>
        <w:t>170 </w:t>
      </w:r>
      <w:r>
        <w:rPr>
          <w:sz w:val="16"/>
        </w:rPr>
        <w:t>The</w:t>
      </w:r>
      <w:r>
        <w:rPr>
          <w:spacing w:val="-2"/>
          <w:sz w:val="16"/>
        </w:rPr>
        <w:t> </w:t>
      </w:r>
      <w:r>
        <w:rPr>
          <w:sz w:val="16"/>
        </w:rPr>
        <w:t>nature</w:t>
      </w:r>
      <w:r>
        <w:rPr>
          <w:spacing w:val="-2"/>
          <w:sz w:val="16"/>
        </w:rPr>
        <w:t> </w:t>
      </w:r>
      <w:r>
        <w:rPr>
          <w:sz w:val="16"/>
        </w:rPr>
        <w:t>of the</w:t>
      </w:r>
      <w:r>
        <w:rPr>
          <w:spacing w:val="-2"/>
          <w:sz w:val="16"/>
        </w:rPr>
        <w:t> </w:t>
      </w:r>
      <w:r>
        <w:rPr>
          <w:sz w:val="16"/>
        </w:rPr>
        <w:t>appeals</w:t>
      </w:r>
      <w:r>
        <w:rPr>
          <w:spacing w:val="-3"/>
          <w:sz w:val="16"/>
        </w:rPr>
        <w:t> </w:t>
      </w:r>
      <w:r>
        <w:rPr>
          <w:sz w:val="16"/>
        </w:rPr>
        <w:t>process</w:t>
      </w:r>
      <w:r>
        <w:rPr>
          <w:spacing w:val="-3"/>
          <w:sz w:val="16"/>
        </w:rPr>
        <w:t> </w:t>
      </w:r>
      <w:r>
        <w:rPr>
          <w:sz w:val="16"/>
        </w:rPr>
        <w:t>is</w:t>
      </w:r>
      <w:r>
        <w:rPr>
          <w:spacing w:val="-3"/>
          <w:sz w:val="16"/>
        </w:rPr>
        <w:t> </w:t>
      </w:r>
      <w:r>
        <w:rPr>
          <w:sz w:val="16"/>
        </w:rPr>
        <w:t>such</w:t>
      </w:r>
      <w:r>
        <w:rPr>
          <w:spacing w:val="-1"/>
          <w:sz w:val="16"/>
        </w:rPr>
        <w:t> </w:t>
      </w:r>
      <w:r>
        <w:rPr>
          <w:sz w:val="16"/>
        </w:rPr>
        <w:t>that, until decisions</w:t>
      </w:r>
      <w:r>
        <w:rPr>
          <w:spacing w:val="-3"/>
          <w:sz w:val="16"/>
        </w:rPr>
        <w:t> </w:t>
      </w:r>
      <w:r>
        <w:rPr>
          <w:sz w:val="16"/>
        </w:rPr>
        <w:t>are</w:t>
      </w:r>
      <w:r>
        <w:rPr>
          <w:spacing w:val="-2"/>
          <w:sz w:val="16"/>
        </w:rPr>
        <w:t> </w:t>
      </w:r>
      <w:r>
        <w:rPr>
          <w:sz w:val="16"/>
        </w:rPr>
        <w:t>issued</w:t>
      </w:r>
      <w:r>
        <w:rPr>
          <w:spacing w:val="-1"/>
          <w:sz w:val="16"/>
        </w:rPr>
        <w:t> </w:t>
      </w:r>
      <w:r>
        <w:rPr>
          <w:sz w:val="16"/>
        </w:rPr>
        <w:t>by the</w:t>
      </w:r>
      <w:r>
        <w:rPr>
          <w:spacing w:val="-2"/>
          <w:sz w:val="16"/>
        </w:rPr>
        <w:t> </w:t>
      </w:r>
      <w:r>
        <w:rPr>
          <w:sz w:val="16"/>
        </w:rPr>
        <w:t>Trial Chambers</w:t>
      </w:r>
      <w:r>
        <w:rPr>
          <w:spacing w:val="-3"/>
          <w:sz w:val="16"/>
        </w:rPr>
        <w:t> </w:t>
      </w:r>
      <w:r>
        <w:rPr>
          <w:sz w:val="16"/>
        </w:rPr>
        <w:t>in the </w:t>
      </w:r>
      <w:r>
        <w:rPr>
          <w:i/>
          <w:sz w:val="16"/>
        </w:rPr>
        <w:t>Al Hassan</w:t>
      </w:r>
      <w:r>
        <w:rPr>
          <w:i/>
          <w:spacing w:val="40"/>
          <w:sz w:val="16"/>
        </w:rPr>
        <w:t> </w:t>
      </w:r>
      <w:r>
        <w:rPr>
          <w:sz w:val="16"/>
        </w:rPr>
        <w:t>and </w:t>
      </w:r>
      <w:r>
        <w:rPr>
          <w:i/>
          <w:sz w:val="16"/>
        </w:rPr>
        <w:t>Gicheru </w:t>
      </w:r>
      <w:r>
        <w:rPr>
          <w:sz w:val="16"/>
        </w:rPr>
        <w:t>cases, it cannot be said that a final appeal is “certain” to be entered. However, it is highly likely that</w:t>
      </w:r>
      <w:r>
        <w:rPr>
          <w:spacing w:val="40"/>
          <w:sz w:val="16"/>
        </w:rPr>
        <w:t> </w:t>
      </w:r>
      <w:r>
        <w:rPr>
          <w:sz w:val="16"/>
        </w:rPr>
        <w:t>any decision of the Trial Chamber (either to convict or acquit) will be appealed.</w:t>
      </w:r>
    </w:p>
    <w:p>
      <w:pPr>
        <w:spacing w:after="0"/>
        <w:jc w:val="both"/>
        <w:rPr>
          <w:sz w:val="16"/>
        </w:rPr>
        <w:sectPr>
          <w:pgSz w:w="11910" w:h="16840"/>
          <w:pgMar w:header="953" w:footer="940" w:top="1140" w:bottom="1140" w:left="20" w:right="20"/>
        </w:sectPr>
      </w:pPr>
    </w:p>
    <w:tbl>
      <w:tblPr>
        <w:tblW w:w="0" w:type="auto"/>
        <w:jc w:val="left"/>
        <w:tblInd w:w="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6"/>
        <w:gridCol w:w="749"/>
        <w:gridCol w:w="591"/>
        <w:gridCol w:w="475"/>
        <w:gridCol w:w="1117"/>
        <w:gridCol w:w="606"/>
        <w:gridCol w:w="544"/>
        <w:gridCol w:w="965"/>
        <w:gridCol w:w="602"/>
        <w:gridCol w:w="475"/>
        <w:gridCol w:w="1041"/>
        <w:gridCol w:w="587"/>
        <w:gridCol w:w="1212"/>
        <w:gridCol w:w="587"/>
        <w:gridCol w:w="1011"/>
      </w:tblGrid>
      <w:tr>
        <w:trPr>
          <w:trHeight w:val="122" w:hRule="atLeast"/>
        </w:trPr>
        <w:tc>
          <w:tcPr>
            <w:tcW w:w="10788" w:type="dxa"/>
            <w:gridSpan w:val="15"/>
            <w:tcBorders>
              <w:bottom w:val="single" w:sz="4" w:space="0" w:color="000000"/>
            </w:tcBorders>
          </w:tcPr>
          <w:p>
            <w:pPr>
              <w:pStyle w:val="TableParagraph"/>
              <w:jc w:val="left"/>
              <w:rPr>
                <w:sz w:val="6"/>
              </w:rPr>
            </w:pPr>
          </w:p>
        </w:tc>
      </w:tr>
      <w:tr>
        <w:trPr>
          <w:trHeight w:val="282" w:hRule="atLeast"/>
        </w:trPr>
        <w:tc>
          <w:tcPr>
            <w:tcW w:w="10788" w:type="dxa"/>
            <w:gridSpan w:val="15"/>
            <w:tcBorders>
              <w:top w:val="single" w:sz="4" w:space="0" w:color="000000"/>
              <w:bottom w:val="single" w:sz="4" w:space="0" w:color="000000"/>
            </w:tcBorders>
          </w:tcPr>
          <w:p>
            <w:pPr>
              <w:pStyle w:val="TableParagraph"/>
              <w:spacing w:before="66"/>
              <w:ind w:left="3819" w:right="3801"/>
              <w:jc w:val="center"/>
              <w:rPr>
                <w:i/>
                <w:sz w:val="14"/>
              </w:rPr>
            </w:pPr>
            <w:r>
              <w:rPr>
                <w:i/>
                <w:sz w:val="14"/>
              </w:rPr>
              <w:t>Comparison</w:t>
            </w:r>
            <w:r>
              <w:rPr>
                <w:i/>
                <w:spacing w:val="-5"/>
                <w:sz w:val="14"/>
              </w:rPr>
              <w:t> </w:t>
            </w:r>
            <w:r>
              <w:rPr>
                <w:i/>
                <w:sz w:val="14"/>
              </w:rPr>
              <w:t>of</w:t>
            </w:r>
            <w:r>
              <w:rPr>
                <w:i/>
                <w:spacing w:val="-6"/>
                <w:sz w:val="14"/>
              </w:rPr>
              <w:t> </w:t>
            </w:r>
            <w:r>
              <w:rPr>
                <w:i/>
                <w:sz w:val="14"/>
              </w:rPr>
              <w:t>assumptions</w:t>
            </w:r>
            <w:r>
              <w:rPr>
                <w:i/>
                <w:spacing w:val="-6"/>
                <w:sz w:val="14"/>
              </w:rPr>
              <w:t> </w:t>
            </w:r>
            <w:r>
              <w:rPr>
                <w:i/>
                <w:sz w:val="14"/>
              </w:rPr>
              <w:t>and</w:t>
            </w:r>
            <w:r>
              <w:rPr>
                <w:i/>
                <w:spacing w:val="-4"/>
                <w:sz w:val="14"/>
              </w:rPr>
              <w:t> </w:t>
            </w:r>
            <w:r>
              <w:rPr>
                <w:i/>
                <w:sz w:val="14"/>
              </w:rPr>
              <w:t>parameters:</w:t>
            </w:r>
            <w:r>
              <w:rPr>
                <w:i/>
                <w:spacing w:val="-5"/>
                <w:sz w:val="14"/>
              </w:rPr>
              <w:t> </w:t>
            </w:r>
            <w:r>
              <w:rPr>
                <w:i/>
                <w:sz w:val="14"/>
              </w:rPr>
              <w:t>2019-</w:t>
            </w:r>
            <w:r>
              <w:rPr>
                <w:i/>
                <w:spacing w:val="-4"/>
                <w:sz w:val="14"/>
              </w:rPr>
              <w:t>2023</w:t>
            </w:r>
          </w:p>
        </w:tc>
      </w:tr>
      <w:tr>
        <w:trPr>
          <w:trHeight w:val="282" w:hRule="atLeast"/>
        </w:trPr>
        <w:tc>
          <w:tcPr>
            <w:tcW w:w="975" w:type="dxa"/>
            <w:gridSpan w:val="2"/>
            <w:tcBorders>
              <w:top w:val="single" w:sz="4" w:space="0" w:color="000000"/>
            </w:tcBorders>
          </w:tcPr>
          <w:p>
            <w:pPr>
              <w:pStyle w:val="TableParagraph"/>
              <w:spacing w:before="61"/>
              <w:ind w:left="192"/>
              <w:jc w:val="left"/>
              <w:rPr>
                <w:i/>
                <w:sz w:val="14"/>
              </w:rPr>
            </w:pPr>
            <w:r>
              <w:rPr>
                <w:i/>
                <w:spacing w:val="-2"/>
                <w:sz w:val="14"/>
              </w:rPr>
              <w:t>Parameter</w:t>
            </w:r>
          </w:p>
        </w:tc>
        <w:tc>
          <w:tcPr>
            <w:tcW w:w="2183" w:type="dxa"/>
            <w:gridSpan w:val="3"/>
            <w:tcBorders>
              <w:top w:val="single" w:sz="4" w:space="0" w:color="000000"/>
              <w:bottom w:val="single" w:sz="4" w:space="0" w:color="000000"/>
            </w:tcBorders>
          </w:tcPr>
          <w:p>
            <w:pPr>
              <w:pStyle w:val="TableParagraph"/>
              <w:spacing w:before="61"/>
              <w:ind w:left="307"/>
              <w:jc w:val="left"/>
              <w:rPr>
                <w:i/>
                <w:sz w:val="14"/>
              </w:rPr>
            </w:pPr>
            <w:r>
              <w:rPr>
                <w:i/>
                <w:sz w:val="14"/>
              </w:rPr>
              <w:t>2019</w:t>
            </w:r>
            <w:r>
              <w:rPr>
                <w:i/>
                <w:spacing w:val="-4"/>
                <w:sz w:val="14"/>
              </w:rPr>
              <w:t> </w:t>
            </w:r>
            <w:r>
              <w:rPr>
                <w:i/>
                <w:sz w:val="14"/>
              </w:rPr>
              <w:t>Approved</w:t>
            </w:r>
            <w:r>
              <w:rPr>
                <w:i/>
                <w:spacing w:val="-3"/>
                <w:sz w:val="14"/>
              </w:rPr>
              <w:t> </w:t>
            </w:r>
            <w:r>
              <w:rPr>
                <w:i/>
                <w:sz w:val="14"/>
              </w:rPr>
              <w:t>and</w:t>
            </w:r>
            <w:r>
              <w:rPr>
                <w:i/>
                <w:spacing w:val="-4"/>
                <w:sz w:val="14"/>
              </w:rPr>
              <w:t> </w:t>
            </w:r>
            <w:r>
              <w:rPr>
                <w:i/>
                <w:spacing w:val="-2"/>
                <w:sz w:val="14"/>
              </w:rPr>
              <w:t>Actuals</w:t>
            </w:r>
          </w:p>
        </w:tc>
        <w:tc>
          <w:tcPr>
            <w:tcW w:w="2115" w:type="dxa"/>
            <w:gridSpan w:val="3"/>
            <w:tcBorders>
              <w:top w:val="single" w:sz="4" w:space="0" w:color="000000"/>
              <w:bottom w:val="single" w:sz="4" w:space="0" w:color="000000"/>
            </w:tcBorders>
          </w:tcPr>
          <w:p>
            <w:pPr>
              <w:pStyle w:val="TableParagraph"/>
              <w:spacing w:before="61"/>
              <w:ind w:left="265"/>
              <w:jc w:val="left"/>
              <w:rPr>
                <w:i/>
                <w:sz w:val="14"/>
              </w:rPr>
            </w:pPr>
            <w:r>
              <w:rPr>
                <w:i/>
                <w:sz w:val="14"/>
              </w:rPr>
              <w:t>2020</w:t>
            </w:r>
            <w:r>
              <w:rPr>
                <w:i/>
                <w:spacing w:val="-4"/>
                <w:sz w:val="14"/>
              </w:rPr>
              <w:t> </w:t>
            </w:r>
            <w:r>
              <w:rPr>
                <w:i/>
                <w:sz w:val="14"/>
              </w:rPr>
              <w:t>Approved</w:t>
            </w:r>
            <w:r>
              <w:rPr>
                <w:i/>
                <w:spacing w:val="-3"/>
                <w:sz w:val="14"/>
              </w:rPr>
              <w:t> </w:t>
            </w:r>
            <w:r>
              <w:rPr>
                <w:i/>
                <w:sz w:val="14"/>
              </w:rPr>
              <w:t>and</w:t>
            </w:r>
            <w:r>
              <w:rPr>
                <w:i/>
                <w:spacing w:val="-4"/>
                <w:sz w:val="14"/>
              </w:rPr>
              <w:t> </w:t>
            </w:r>
            <w:r>
              <w:rPr>
                <w:i/>
                <w:spacing w:val="-2"/>
                <w:sz w:val="14"/>
              </w:rPr>
              <w:t>Actuals</w:t>
            </w:r>
          </w:p>
        </w:tc>
        <w:tc>
          <w:tcPr>
            <w:tcW w:w="2118" w:type="dxa"/>
            <w:gridSpan w:val="3"/>
            <w:tcBorders>
              <w:top w:val="single" w:sz="4" w:space="0" w:color="000000"/>
              <w:bottom w:val="single" w:sz="4" w:space="0" w:color="000000"/>
            </w:tcBorders>
          </w:tcPr>
          <w:p>
            <w:pPr>
              <w:pStyle w:val="TableParagraph"/>
              <w:spacing w:before="61"/>
              <w:ind w:left="268"/>
              <w:jc w:val="left"/>
              <w:rPr>
                <w:i/>
                <w:sz w:val="14"/>
              </w:rPr>
            </w:pPr>
            <w:r>
              <w:rPr>
                <w:i/>
                <w:sz w:val="14"/>
              </w:rPr>
              <w:t>2021</w:t>
            </w:r>
            <w:r>
              <w:rPr>
                <w:i/>
                <w:spacing w:val="-4"/>
                <w:sz w:val="14"/>
              </w:rPr>
              <w:t> </w:t>
            </w:r>
            <w:r>
              <w:rPr>
                <w:i/>
                <w:sz w:val="14"/>
              </w:rPr>
              <w:t>Approved</w:t>
            </w:r>
            <w:r>
              <w:rPr>
                <w:i/>
                <w:spacing w:val="-3"/>
                <w:sz w:val="14"/>
              </w:rPr>
              <w:t> </w:t>
            </w:r>
            <w:r>
              <w:rPr>
                <w:i/>
                <w:sz w:val="14"/>
              </w:rPr>
              <w:t>and</w:t>
            </w:r>
            <w:r>
              <w:rPr>
                <w:i/>
                <w:spacing w:val="-4"/>
                <w:sz w:val="14"/>
              </w:rPr>
              <w:t> </w:t>
            </w:r>
            <w:r>
              <w:rPr>
                <w:i/>
                <w:spacing w:val="-2"/>
                <w:sz w:val="14"/>
              </w:rPr>
              <w:t>Actuals</w:t>
            </w:r>
          </w:p>
        </w:tc>
        <w:tc>
          <w:tcPr>
            <w:tcW w:w="1799" w:type="dxa"/>
            <w:gridSpan w:val="2"/>
            <w:tcBorders>
              <w:top w:val="single" w:sz="4" w:space="0" w:color="000000"/>
              <w:bottom w:val="single" w:sz="4" w:space="0" w:color="000000"/>
            </w:tcBorders>
          </w:tcPr>
          <w:p>
            <w:pPr>
              <w:pStyle w:val="TableParagraph"/>
              <w:spacing w:before="61"/>
              <w:ind w:left="460"/>
              <w:jc w:val="left"/>
              <w:rPr>
                <w:i/>
                <w:sz w:val="14"/>
              </w:rPr>
            </w:pPr>
            <w:r>
              <w:rPr>
                <w:i/>
                <w:sz w:val="14"/>
              </w:rPr>
              <w:t>2022</w:t>
            </w:r>
            <w:r>
              <w:rPr>
                <w:i/>
                <w:spacing w:val="-2"/>
                <w:sz w:val="14"/>
              </w:rPr>
              <w:t> Approved</w:t>
            </w:r>
          </w:p>
        </w:tc>
        <w:tc>
          <w:tcPr>
            <w:tcW w:w="1598" w:type="dxa"/>
            <w:gridSpan w:val="2"/>
            <w:tcBorders>
              <w:top w:val="single" w:sz="4" w:space="0" w:color="000000"/>
              <w:bottom w:val="single" w:sz="4" w:space="0" w:color="000000"/>
            </w:tcBorders>
          </w:tcPr>
          <w:p>
            <w:pPr>
              <w:pStyle w:val="TableParagraph"/>
              <w:spacing w:before="61"/>
              <w:ind w:left="371"/>
              <w:jc w:val="left"/>
              <w:rPr>
                <w:i/>
                <w:sz w:val="14"/>
              </w:rPr>
            </w:pPr>
            <w:r>
              <w:rPr>
                <w:i/>
                <w:sz w:val="14"/>
              </w:rPr>
              <w:t>2023</w:t>
            </w:r>
            <w:r>
              <w:rPr>
                <w:i/>
                <w:spacing w:val="-2"/>
                <w:sz w:val="14"/>
              </w:rPr>
              <w:t> Proposed</w:t>
            </w:r>
          </w:p>
        </w:tc>
      </w:tr>
      <w:tr>
        <w:trPr>
          <w:trHeight w:val="277" w:hRule="atLeast"/>
        </w:trPr>
        <w:tc>
          <w:tcPr>
            <w:tcW w:w="226" w:type="dxa"/>
            <w:tcBorders>
              <w:bottom w:val="single" w:sz="4" w:space="0" w:color="000000"/>
            </w:tcBorders>
          </w:tcPr>
          <w:p>
            <w:pPr>
              <w:pStyle w:val="TableParagraph"/>
              <w:jc w:val="left"/>
              <w:rPr>
                <w:sz w:val="14"/>
              </w:rPr>
            </w:pPr>
          </w:p>
        </w:tc>
        <w:tc>
          <w:tcPr>
            <w:tcW w:w="749" w:type="dxa"/>
            <w:tcBorders>
              <w:bottom w:val="single" w:sz="4" w:space="0" w:color="000000"/>
            </w:tcBorders>
          </w:tcPr>
          <w:p>
            <w:pPr>
              <w:pStyle w:val="TableParagraph"/>
              <w:jc w:val="left"/>
              <w:rPr>
                <w:sz w:val="14"/>
              </w:rPr>
            </w:pPr>
          </w:p>
        </w:tc>
        <w:tc>
          <w:tcPr>
            <w:tcW w:w="591" w:type="dxa"/>
            <w:tcBorders>
              <w:top w:val="single" w:sz="4" w:space="0" w:color="000000"/>
              <w:bottom w:val="single" w:sz="4" w:space="0" w:color="000000"/>
            </w:tcBorders>
          </w:tcPr>
          <w:p>
            <w:pPr>
              <w:pStyle w:val="TableParagraph"/>
              <w:spacing w:before="61"/>
              <w:ind w:left="28"/>
              <w:jc w:val="left"/>
              <w:rPr>
                <w:i/>
                <w:sz w:val="14"/>
              </w:rPr>
            </w:pPr>
            <w:r>
              <w:rPr>
                <w:i/>
                <w:spacing w:val="-2"/>
                <w:sz w:val="14"/>
              </w:rPr>
              <w:t>Approved</w:t>
            </w:r>
          </w:p>
        </w:tc>
        <w:tc>
          <w:tcPr>
            <w:tcW w:w="475" w:type="dxa"/>
            <w:tcBorders>
              <w:top w:val="single" w:sz="4" w:space="0" w:color="000000"/>
              <w:bottom w:val="single" w:sz="4" w:space="0" w:color="000000"/>
            </w:tcBorders>
          </w:tcPr>
          <w:p>
            <w:pPr>
              <w:pStyle w:val="TableParagraph"/>
              <w:spacing w:before="61"/>
              <w:ind w:left="38"/>
              <w:jc w:val="left"/>
              <w:rPr>
                <w:i/>
                <w:sz w:val="14"/>
              </w:rPr>
            </w:pPr>
            <w:r>
              <w:rPr>
                <w:i/>
                <w:spacing w:val="-2"/>
                <w:sz w:val="14"/>
              </w:rPr>
              <w:t>Actuals</w:t>
            </w:r>
          </w:p>
        </w:tc>
        <w:tc>
          <w:tcPr>
            <w:tcW w:w="1117" w:type="dxa"/>
            <w:tcBorders>
              <w:top w:val="single" w:sz="4" w:space="0" w:color="000000"/>
              <w:bottom w:val="single" w:sz="4" w:space="0" w:color="000000"/>
            </w:tcBorders>
          </w:tcPr>
          <w:p>
            <w:pPr>
              <w:pStyle w:val="TableParagraph"/>
              <w:spacing w:before="61"/>
              <w:ind w:left="230"/>
              <w:jc w:val="left"/>
              <w:rPr>
                <w:i/>
                <w:sz w:val="14"/>
              </w:rPr>
            </w:pPr>
            <w:r>
              <w:rPr>
                <w:i/>
                <w:spacing w:val="-2"/>
                <w:sz w:val="14"/>
              </w:rPr>
              <w:t>Description</w:t>
            </w:r>
          </w:p>
        </w:tc>
        <w:tc>
          <w:tcPr>
            <w:tcW w:w="606" w:type="dxa"/>
            <w:tcBorders>
              <w:top w:val="single" w:sz="4" w:space="0" w:color="000000"/>
              <w:bottom w:val="single" w:sz="4" w:space="0" w:color="000000"/>
            </w:tcBorders>
          </w:tcPr>
          <w:p>
            <w:pPr>
              <w:pStyle w:val="TableParagraph"/>
              <w:spacing w:before="61"/>
              <w:ind w:left="40"/>
              <w:jc w:val="left"/>
              <w:rPr>
                <w:i/>
                <w:sz w:val="14"/>
              </w:rPr>
            </w:pPr>
            <w:r>
              <w:rPr>
                <w:i/>
                <w:spacing w:val="-2"/>
                <w:sz w:val="14"/>
              </w:rPr>
              <w:t>Approved</w:t>
            </w:r>
          </w:p>
        </w:tc>
        <w:tc>
          <w:tcPr>
            <w:tcW w:w="544" w:type="dxa"/>
            <w:tcBorders>
              <w:top w:val="single" w:sz="4" w:space="0" w:color="000000"/>
              <w:bottom w:val="single" w:sz="4" w:space="0" w:color="000000"/>
            </w:tcBorders>
          </w:tcPr>
          <w:p>
            <w:pPr>
              <w:pStyle w:val="TableParagraph"/>
              <w:spacing w:before="61"/>
              <w:ind w:right="26"/>
              <w:rPr>
                <w:i/>
                <w:sz w:val="14"/>
              </w:rPr>
            </w:pPr>
            <w:r>
              <w:rPr>
                <w:i/>
                <w:spacing w:val="-2"/>
                <w:sz w:val="14"/>
              </w:rPr>
              <w:t>Actuals</w:t>
            </w:r>
          </w:p>
        </w:tc>
        <w:tc>
          <w:tcPr>
            <w:tcW w:w="965" w:type="dxa"/>
            <w:tcBorders>
              <w:top w:val="single" w:sz="4" w:space="0" w:color="000000"/>
              <w:bottom w:val="single" w:sz="4" w:space="0" w:color="000000"/>
            </w:tcBorders>
          </w:tcPr>
          <w:p>
            <w:pPr>
              <w:pStyle w:val="TableParagraph"/>
              <w:spacing w:before="61"/>
              <w:ind w:left="162"/>
              <w:jc w:val="left"/>
              <w:rPr>
                <w:i/>
                <w:sz w:val="14"/>
              </w:rPr>
            </w:pPr>
            <w:r>
              <w:rPr>
                <w:i/>
                <w:spacing w:val="-2"/>
                <w:sz w:val="14"/>
              </w:rPr>
              <w:t>Description</w:t>
            </w:r>
          </w:p>
        </w:tc>
        <w:tc>
          <w:tcPr>
            <w:tcW w:w="602" w:type="dxa"/>
            <w:tcBorders>
              <w:top w:val="single" w:sz="4" w:space="0" w:color="000000"/>
              <w:bottom w:val="single" w:sz="4" w:space="0" w:color="000000"/>
            </w:tcBorders>
          </w:tcPr>
          <w:p>
            <w:pPr>
              <w:pStyle w:val="TableParagraph"/>
              <w:spacing w:before="61"/>
              <w:ind w:left="12" w:right="20"/>
              <w:jc w:val="center"/>
              <w:rPr>
                <w:i/>
                <w:sz w:val="14"/>
              </w:rPr>
            </w:pPr>
            <w:r>
              <w:rPr>
                <w:i/>
                <w:spacing w:val="-2"/>
                <w:sz w:val="14"/>
              </w:rPr>
              <w:t>Approved</w:t>
            </w:r>
          </w:p>
        </w:tc>
        <w:tc>
          <w:tcPr>
            <w:tcW w:w="475" w:type="dxa"/>
            <w:tcBorders>
              <w:top w:val="single" w:sz="4" w:space="0" w:color="000000"/>
              <w:bottom w:val="single" w:sz="4" w:space="0" w:color="000000"/>
            </w:tcBorders>
          </w:tcPr>
          <w:p>
            <w:pPr>
              <w:pStyle w:val="TableParagraph"/>
              <w:spacing w:before="61"/>
              <w:ind w:left="30"/>
              <w:jc w:val="center"/>
              <w:rPr>
                <w:i/>
                <w:sz w:val="14"/>
              </w:rPr>
            </w:pPr>
            <w:r>
              <w:rPr>
                <w:i/>
                <w:spacing w:val="-2"/>
                <w:sz w:val="14"/>
              </w:rPr>
              <w:t>Actuals</w:t>
            </w:r>
          </w:p>
        </w:tc>
        <w:tc>
          <w:tcPr>
            <w:tcW w:w="1041" w:type="dxa"/>
            <w:tcBorders>
              <w:top w:val="single" w:sz="4" w:space="0" w:color="000000"/>
              <w:bottom w:val="single" w:sz="4" w:space="0" w:color="000000"/>
            </w:tcBorders>
          </w:tcPr>
          <w:p>
            <w:pPr>
              <w:pStyle w:val="TableParagraph"/>
              <w:spacing w:before="61"/>
              <w:ind w:left="190"/>
              <w:jc w:val="left"/>
              <w:rPr>
                <w:i/>
                <w:sz w:val="14"/>
              </w:rPr>
            </w:pPr>
            <w:r>
              <w:rPr>
                <w:i/>
                <w:spacing w:val="-2"/>
                <w:sz w:val="14"/>
              </w:rPr>
              <w:t>Description</w:t>
            </w:r>
          </w:p>
        </w:tc>
        <w:tc>
          <w:tcPr>
            <w:tcW w:w="587" w:type="dxa"/>
            <w:tcBorders>
              <w:top w:val="single" w:sz="4" w:space="0" w:color="000000"/>
              <w:bottom w:val="single" w:sz="4" w:space="0" w:color="000000"/>
            </w:tcBorders>
          </w:tcPr>
          <w:p>
            <w:pPr>
              <w:pStyle w:val="TableParagraph"/>
              <w:spacing w:before="61"/>
              <w:ind w:left="15" w:right="2"/>
              <w:jc w:val="center"/>
              <w:rPr>
                <w:i/>
                <w:sz w:val="14"/>
              </w:rPr>
            </w:pPr>
            <w:r>
              <w:rPr>
                <w:i/>
                <w:spacing w:val="-2"/>
                <w:sz w:val="14"/>
              </w:rPr>
              <w:t>Approved</w:t>
            </w:r>
          </w:p>
        </w:tc>
        <w:tc>
          <w:tcPr>
            <w:tcW w:w="1212" w:type="dxa"/>
            <w:tcBorders>
              <w:top w:val="single" w:sz="4" w:space="0" w:color="000000"/>
              <w:bottom w:val="single" w:sz="4" w:space="0" w:color="000000"/>
            </w:tcBorders>
          </w:tcPr>
          <w:p>
            <w:pPr>
              <w:pStyle w:val="TableParagraph"/>
              <w:spacing w:before="61"/>
              <w:ind w:left="281"/>
              <w:jc w:val="left"/>
              <w:rPr>
                <w:i/>
                <w:sz w:val="14"/>
              </w:rPr>
            </w:pPr>
            <w:r>
              <w:rPr>
                <w:i/>
                <w:spacing w:val="-2"/>
                <w:sz w:val="14"/>
              </w:rPr>
              <w:t>Description</w:t>
            </w:r>
          </w:p>
        </w:tc>
        <w:tc>
          <w:tcPr>
            <w:tcW w:w="587" w:type="dxa"/>
            <w:tcBorders>
              <w:top w:val="single" w:sz="4" w:space="0" w:color="000000"/>
              <w:bottom w:val="single" w:sz="4" w:space="0" w:color="000000"/>
            </w:tcBorders>
          </w:tcPr>
          <w:p>
            <w:pPr>
              <w:pStyle w:val="TableParagraph"/>
              <w:spacing w:before="61"/>
              <w:ind w:left="13" w:right="2"/>
              <w:jc w:val="center"/>
              <w:rPr>
                <w:i/>
                <w:sz w:val="14"/>
              </w:rPr>
            </w:pPr>
            <w:r>
              <w:rPr>
                <w:i/>
                <w:spacing w:val="-2"/>
                <w:sz w:val="14"/>
              </w:rPr>
              <w:t>Proposed</w:t>
            </w:r>
          </w:p>
        </w:tc>
        <w:tc>
          <w:tcPr>
            <w:tcW w:w="1011" w:type="dxa"/>
            <w:tcBorders>
              <w:top w:val="single" w:sz="4" w:space="0" w:color="000000"/>
              <w:bottom w:val="single" w:sz="4" w:space="0" w:color="000000"/>
            </w:tcBorders>
          </w:tcPr>
          <w:p>
            <w:pPr>
              <w:pStyle w:val="TableParagraph"/>
              <w:spacing w:before="61"/>
              <w:ind w:left="187"/>
              <w:jc w:val="left"/>
              <w:rPr>
                <w:i/>
                <w:sz w:val="14"/>
              </w:rPr>
            </w:pPr>
            <w:r>
              <w:rPr>
                <w:i/>
                <w:spacing w:val="-2"/>
                <w:sz w:val="14"/>
              </w:rPr>
              <w:t>Description</w:t>
            </w:r>
          </w:p>
        </w:tc>
      </w:tr>
      <w:tr>
        <w:trPr>
          <w:trHeight w:val="872" w:hRule="atLeast"/>
        </w:trPr>
        <w:tc>
          <w:tcPr>
            <w:tcW w:w="226" w:type="dxa"/>
            <w:tcBorders>
              <w:top w:val="single" w:sz="4" w:space="0" w:color="000000"/>
            </w:tcBorders>
          </w:tcPr>
          <w:p>
            <w:pPr>
              <w:pStyle w:val="TableParagraph"/>
              <w:spacing w:before="61"/>
              <w:ind w:left="14"/>
              <w:jc w:val="left"/>
              <w:rPr>
                <w:sz w:val="14"/>
              </w:rPr>
            </w:pPr>
            <w:r>
              <w:rPr>
                <w:spacing w:val="-5"/>
                <w:sz w:val="14"/>
              </w:rPr>
              <w:t>16</w:t>
            </w:r>
          </w:p>
        </w:tc>
        <w:tc>
          <w:tcPr>
            <w:tcW w:w="749" w:type="dxa"/>
            <w:tcBorders>
              <w:top w:val="single" w:sz="4" w:space="0" w:color="000000"/>
            </w:tcBorders>
          </w:tcPr>
          <w:p>
            <w:pPr>
              <w:pStyle w:val="TableParagraph"/>
              <w:spacing w:line="242" w:lineRule="auto" w:before="61"/>
              <w:ind w:left="67" w:right="-8"/>
              <w:jc w:val="left"/>
              <w:rPr>
                <w:sz w:val="13"/>
              </w:rPr>
            </w:pPr>
            <w:r>
              <w:rPr>
                <w:sz w:val="13"/>
              </w:rPr>
              <w:t>Number</w:t>
            </w:r>
            <w:r>
              <w:rPr>
                <w:spacing w:val="-9"/>
                <w:sz w:val="13"/>
              </w:rPr>
              <w:t> </w:t>
            </w:r>
            <w:r>
              <w:rPr>
                <w:sz w:val="13"/>
              </w:rPr>
              <w:t>of</w:t>
            </w:r>
            <w:r>
              <w:rPr>
                <w:spacing w:val="40"/>
                <w:sz w:val="13"/>
              </w:rPr>
              <w:t> </w:t>
            </w:r>
            <w:r>
              <w:rPr>
                <w:spacing w:val="-2"/>
                <w:sz w:val="13"/>
              </w:rPr>
              <w:t>victims</w:t>
            </w:r>
            <w:r>
              <w:rPr>
                <w:spacing w:val="40"/>
                <w:sz w:val="13"/>
              </w:rPr>
              <w:t> </w:t>
            </w:r>
            <w:r>
              <w:rPr>
                <w:sz w:val="13"/>
              </w:rPr>
              <w:t>applying</w:t>
            </w:r>
            <w:r>
              <w:rPr>
                <w:spacing w:val="-9"/>
                <w:sz w:val="13"/>
              </w:rPr>
              <w:t> </w:t>
            </w:r>
            <w:r>
              <w:rPr>
                <w:sz w:val="13"/>
              </w:rPr>
              <w:t>for</w:t>
            </w:r>
            <w:r>
              <w:rPr>
                <w:spacing w:val="40"/>
                <w:sz w:val="13"/>
              </w:rPr>
              <w:t> </w:t>
            </w:r>
            <w:r>
              <w:rPr>
                <w:spacing w:val="-2"/>
                <w:sz w:val="13"/>
              </w:rPr>
              <w:t>participation/</w:t>
            </w:r>
            <w:r>
              <w:rPr>
                <w:spacing w:val="40"/>
                <w:sz w:val="13"/>
              </w:rPr>
              <w:t> </w:t>
            </w:r>
            <w:r>
              <w:rPr>
                <w:spacing w:val="-2"/>
                <w:sz w:val="13"/>
              </w:rPr>
              <w:t>reparations</w:t>
            </w:r>
            <w:r>
              <w:rPr>
                <w:spacing w:val="-2"/>
                <w:sz w:val="13"/>
                <w:vertAlign w:val="superscript"/>
              </w:rPr>
              <w:t>171</w:t>
            </w:r>
          </w:p>
        </w:tc>
        <w:tc>
          <w:tcPr>
            <w:tcW w:w="591" w:type="dxa"/>
            <w:tcBorders>
              <w:top w:val="single" w:sz="4" w:space="0" w:color="000000"/>
            </w:tcBorders>
          </w:tcPr>
          <w:p>
            <w:pPr>
              <w:pStyle w:val="TableParagraph"/>
              <w:spacing w:before="61"/>
              <w:ind w:left="-1"/>
              <w:jc w:val="left"/>
              <w:rPr>
                <w:sz w:val="14"/>
              </w:rPr>
            </w:pPr>
            <w:r>
              <w:rPr>
                <w:spacing w:val="-2"/>
                <w:sz w:val="14"/>
              </w:rPr>
              <w:t>7,500</w:t>
            </w:r>
          </w:p>
        </w:tc>
        <w:tc>
          <w:tcPr>
            <w:tcW w:w="475" w:type="dxa"/>
            <w:tcBorders>
              <w:top w:val="single" w:sz="4" w:space="0" w:color="000000"/>
            </w:tcBorders>
          </w:tcPr>
          <w:p>
            <w:pPr>
              <w:pStyle w:val="TableParagraph"/>
              <w:spacing w:before="61"/>
              <w:ind w:left="18"/>
              <w:jc w:val="left"/>
              <w:rPr>
                <w:sz w:val="14"/>
              </w:rPr>
            </w:pPr>
            <w:r>
              <w:rPr>
                <w:spacing w:val="-2"/>
                <w:sz w:val="14"/>
              </w:rPr>
              <w:t>5,134</w:t>
            </w:r>
          </w:p>
        </w:tc>
        <w:tc>
          <w:tcPr>
            <w:tcW w:w="1117" w:type="dxa"/>
            <w:tcBorders>
              <w:top w:val="single" w:sz="4" w:space="0" w:color="000000"/>
            </w:tcBorders>
          </w:tcPr>
          <w:p>
            <w:pPr>
              <w:pStyle w:val="TableParagraph"/>
              <w:spacing w:before="61"/>
              <w:ind w:left="14"/>
              <w:jc w:val="left"/>
              <w:rPr>
                <w:sz w:val="14"/>
              </w:rPr>
            </w:pPr>
            <w:r>
              <w:rPr>
                <w:sz w:val="14"/>
              </w:rPr>
              <w:t>CAR</w:t>
            </w:r>
            <w:r>
              <w:rPr>
                <w:spacing w:val="-7"/>
                <w:sz w:val="14"/>
              </w:rPr>
              <w:t> </w:t>
            </w:r>
            <w:r>
              <w:rPr>
                <w:sz w:val="14"/>
              </w:rPr>
              <w:t>II.b</w:t>
            </w:r>
            <w:r>
              <w:rPr>
                <w:spacing w:val="-3"/>
                <w:sz w:val="14"/>
              </w:rPr>
              <w:t> </w:t>
            </w:r>
            <w:r>
              <w:rPr>
                <w:spacing w:val="-2"/>
                <w:sz w:val="14"/>
              </w:rPr>
              <w:t>(1,251);</w:t>
            </w:r>
          </w:p>
          <w:p>
            <w:pPr>
              <w:pStyle w:val="TableParagraph"/>
              <w:spacing w:before="2"/>
              <w:ind w:left="14"/>
              <w:jc w:val="left"/>
              <w:rPr>
                <w:sz w:val="14"/>
              </w:rPr>
            </w:pPr>
            <w:r>
              <w:rPr>
                <w:sz w:val="14"/>
              </w:rPr>
              <w:t>Mali</w:t>
            </w:r>
            <w:r>
              <w:rPr>
                <w:spacing w:val="-4"/>
                <w:sz w:val="14"/>
              </w:rPr>
              <w:t> </w:t>
            </w:r>
            <w:r>
              <w:rPr>
                <w:sz w:val="14"/>
              </w:rPr>
              <w:t>II</w:t>
            </w:r>
            <w:r>
              <w:rPr>
                <w:spacing w:val="-1"/>
                <w:sz w:val="14"/>
              </w:rPr>
              <w:t> </w:t>
            </w:r>
            <w:r>
              <w:rPr>
                <w:spacing w:val="-2"/>
                <w:sz w:val="14"/>
              </w:rPr>
              <w:t>(968);</w:t>
            </w:r>
          </w:p>
          <w:p>
            <w:pPr>
              <w:pStyle w:val="TableParagraph"/>
              <w:spacing w:line="235" w:lineRule="auto" w:before="5"/>
              <w:ind w:left="14" w:right="170"/>
              <w:jc w:val="left"/>
              <w:rPr>
                <w:sz w:val="14"/>
              </w:rPr>
            </w:pPr>
            <w:r>
              <w:rPr>
                <w:spacing w:val="-2"/>
                <w:sz w:val="14"/>
              </w:rPr>
              <w:t>Bangladesh/</w:t>
            </w:r>
            <w:r>
              <w:rPr>
                <w:spacing w:val="40"/>
                <w:sz w:val="14"/>
              </w:rPr>
              <w:t> </w:t>
            </w:r>
            <w:r>
              <w:rPr>
                <w:sz w:val="14"/>
              </w:rPr>
              <w:t>Myanmar</w:t>
            </w:r>
            <w:r>
              <w:rPr>
                <w:spacing w:val="-9"/>
                <w:sz w:val="14"/>
              </w:rPr>
              <w:t> </w:t>
            </w:r>
            <w:r>
              <w:rPr>
                <w:sz w:val="14"/>
              </w:rPr>
              <w:t>(339);</w:t>
            </w:r>
          </w:p>
          <w:p>
            <w:pPr>
              <w:pStyle w:val="TableParagraph"/>
              <w:spacing w:line="143" w:lineRule="exact" w:before="4"/>
              <w:ind w:left="14"/>
              <w:jc w:val="left"/>
              <w:rPr>
                <w:sz w:val="14"/>
              </w:rPr>
            </w:pPr>
            <w:r>
              <w:rPr>
                <w:sz w:val="14"/>
              </w:rPr>
              <w:t>CAR</w:t>
            </w:r>
            <w:r>
              <w:rPr>
                <w:spacing w:val="-6"/>
                <w:sz w:val="14"/>
              </w:rPr>
              <w:t> </w:t>
            </w:r>
            <w:r>
              <w:rPr>
                <w:sz w:val="14"/>
              </w:rPr>
              <w:t>I</w:t>
            </w:r>
            <w:r>
              <w:rPr>
                <w:spacing w:val="-3"/>
                <w:sz w:val="14"/>
              </w:rPr>
              <w:t> </w:t>
            </w:r>
            <w:r>
              <w:rPr>
                <w:spacing w:val="-2"/>
                <w:sz w:val="14"/>
              </w:rPr>
              <w:t>(2,248);</w:t>
            </w:r>
          </w:p>
        </w:tc>
        <w:tc>
          <w:tcPr>
            <w:tcW w:w="606" w:type="dxa"/>
            <w:tcBorders>
              <w:top w:val="single" w:sz="4" w:space="0" w:color="000000"/>
            </w:tcBorders>
          </w:tcPr>
          <w:p>
            <w:pPr>
              <w:pStyle w:val="TableParagraph"/>
              <w:spacing w:before="61"/>
              <w:ind w:left="16"/>
              <w:jc w:val="left"/>
              <w:rPr>
                <w:sz w:val="14"/>
              </w:rPr>
            </w:pPr>
            <w:r>
              <w:rPr>
                <w:spacing w:val="-2"/>
                <w:sz w:val="14"/>
              </w:rPr>
              <w:t>4,250</w:t>
            </w:r>
            <w:r>
              <w:rPr>
                <w:spacing w:val="-2"/>
                <w:sz w:val="14"/>
                <w:vertAlign w:val="superscript"/>
              </w:rPr>
              <w:t>172</w:t>
            </w:r>
          </w:p>
        </w:tc>
        <w:tc>
          <w:tcPr>
            <w:tcW w:w="544" w:type="dxa"/>
            <w:tcBorders>
              <w:top w:val="single" w:sz="4" w:space="0" w:color="000000"/>
            </w:tcBorders>
          </w:tcPr>
          <w:p>
            <w:pPr>
              <w:pStyle w:val="TableParagraph"/>
              <w:spacing w:before="61"/>
              <w:ind w:right="82"/>
              <w:rPr>
                <w:sz w:val="14"/>
              </w:rPr>
            </w:pPr>
            <w:r>
              <w:rPr>
                <w:spacing w:val="-2"/>
                <w:sz w:val="14"/>
              </w:rPr>
              <w:t>4,538</w:t>
            </w:r>
          </w:p>
        </w:tc>
        <w:tc>
          <w:tcPr>
            <w:tcW w:w="965" w:type="dxa"/>
            <w:tcBorders>
              <w:top w:val="single" w:sz="4" w:space="0" w:color="000000"/>
            </w:tcBorders>
          </w:tcPr>
          <w:p>
            <w:pPr>
              <w:pStyle w:val="TableParagraph"/>
              <w:spacing w:line="242" w:lineRule="auto" w:before="61"/>
              <w:ind w:left="33" w:right="7"/>
              <w:jc w:val="left"/>
              <w:rPr>
                <w:sz w:val="14"/>
              </w:rPr>
            </w:pPr>
            <w:r>
              <w:rPr>
                <w:sz w:val="14"/>
              </w:rPr>
              <w:t>Applications</w:t>
            </w:r>
            <w:r>
              <w:rPr>
                <w:spacing w:val="-9"/>
                <w:sz w:val="14"/>
              </w:rPr>
              <w:t> </w:t>
            </w:r>
            <w:r>
              <w:rPr>
                <w:sz w:val="14"/>
              </w:rPr>
              <w:t>for</w:t>
            </w:r>
            <w:r>
              <w:rPr>
                <w:spacing w:val="40"/>
                <w:sz w:val="14"/>
              </w:rPr>
              <w:t> </w:t>
            </w:r>
            <w:r>
              <w:rPr>
                <w:spacing w:val="-2"/>
                <w:sz w:val="14"/>
              </w:rPr>
              <w:t>participation</w:t>
            </w:r>
            <w:r>
              <w:rPr>
                <w:spacing w:val="40"/>
                <w:sz w:val="14"/>
              </w:rPr>
              <w:t> </w:t>
            </w:r>
            <w:r>
              <w:rPr>
                <w:spacing w:val="-2"/>
                <w:sz w:val="14"/>
              </w:rPr>
              <w:t>and/or</w:t>
            </w:r>
            <w:r>
              <w:rPr>
                <w:spacing w:val="40"/>
                <w:sz w:val="14"/>
              </w:rPr>
              <w:t> </w:t>
            </w:r>
            <w:r>
              <w:rPr>
                <w:spacing w:val="-2"/>
                <w:sz w:val="14"/>
              </w:rPr>
              <w:t>reparations:</w:t>
            </w:r>
          </w:p>
          <w:p>
            <w:pPr>
              <w:pStyle w:val="TableParagraph"/>
              <w:spacing w:line="141" w:lineRule="exact"/>
              <w:ind w:left="33"/>
              <w:jc w:val="left"/>
              <w:rPr>
                <w:sz w:val="14"/>
              </w:rPr>
            </w:pPr>
            <w:r>
              <w:rPr>
                <w:sz w:val="14"/>
              </w:rPr>
              <w:t>AFG</w:t>
            </w:r>
            <w:r>
              <w:rPr>
                <w:spacing w:val="-2"/>
                <w:sz w:val="14"/>
              </w:rPr>
              <w:t> </w:t>
            </w:r>
            <w:r>
              <w:rPr>
                <w:sz w:val="14"/>
              </w:rPr>
              <w:t>(10);</w:t>
            </w:r>
            <w:r>
              <w:rPr>
                <w:spacing w:val="-2"/>
                <w:sz w:val="14"/>
              </w:rPr>
              <w:t> </w:t>
            </w:r>
            <w:r>
              <w:rPr>
                <w:spacing w:val="-5"/>
                <w:sz w:val="14"/>
              </w:rPr>
              <w:t>CAR</w:t>
            </w:r>
          </w:p>
        </w:tc>
        <w:tc>
          <w:tcPr>
            <w:tcW w:w="602" w:type="dxa"/>
            <w:tcBorders>
              <w:top w:val="single" w:sz="4" w:space="0" w:color="000000"/>
            </w:tcBorders>
          </w:tcPr>
          <w:p>
            <w:pPr>
              <w:pStyle w:val="TableParagraph"/>
              <w:spacing w:before="61"/>
              <w:ind w:left="12" w:right="8"/>
              <w:jc w:val="center"/>
              <w:rPr>
                <w:sz w:val="14"/>
              </w:rPr>
            </w:pPr>
            <w:r>
              <w:rPr>
                <w:spacing w:val="-2"/>
                <w:sz w:val="14"/>
              </w:rPr>
              <w:t>7,800</w:t>
            </w:r>
          </w:p>
        </w:tc>
        <w:tc>
          <w:tcPr>
            <w:tcW w:w="475" w:type="dxa"/>
            <w:tcBorders>
              <w:top w:val="single" w:sz="4" w:space="0" w:color="000000"/>
            </w:tcBorders>
          </w:tcPr>
          <w:p>
            <w:pPr>
              <w:pStyle w:val="TableParagraph"/>
              <w:spacing w:before="61"/>
              <w:ind w:left="32"/>
              <w:jc w:val="center"/>
              <w:rPr>
                <w:sz w:val="14"/>
              </w:rPr>
            </w:pPr>
            <w:r>
              <w:rPr>
                <w:spacing w:val="-2"/>
                <w:sz w:val="14"/>
              </w:rPr>
              <w:t>6,900</w:t>
            </w:r>
          </w:p>
        </w:tc>
        <w:tc>
          <w:tcPr>
            <w:tcW w:w="1041" w:type="dxa"/>
            <w:tcBorders>
              <w:top w:val="single" w:sz="4" w:space="0" w:color="000000"/>
            </w:tcBorders>
          </w:tcPr>
          <w:p>
            <w:pPr>
              <w:pStyle w:val="TableParagraph"/>
              <w:spacing w:before="61"/>
              <w:ind w:left="17"/>
              <w:jc w:val="left"/>
              <w:rPr>
                <w:sz w:val="14"/>
              </w:rPr>
            </w:pPr>
            <w:r>
              <w:rPr>
                <w:sz w:val="14"/>
              </w:rPr>
              <w:t>CAR</w:t>
            </w:r>
            <w:r>
              <w:rPr>
                <w:spacing w:val="-6"/>
                <w:sz w:val="14"/>
              </w:rPr>
              <w:t> </w:t>
            </w:r>
            <w:r>
              <w:rPr>
                <w:sz w:val="14"/>
              </w:rPr>
              <w:t>II</w:t>
            </w:r>
            <w:r>
              <w:rPr>
                <w:spacing w:val="-2"/>
                <w:sz w:val="14"/>
              </w:rPr>
              <w:t> (1,800);</w:t>
            </w:r>
          </w:p>
          <w:p>
            <w:pPr>
              <w:pStyle w:val="TableParagraph"/>
              <w:spacing w:before="2"/>
              <w:ind w:left="17"/>
              <w:jc w:val="left"/>
              <w:rPr>
                <w:sz w:val="14"/>
              </w:rPr>
            </w:pPr>
            <w:r>
              <w:rPr>
                <w:sz w:val="14"/>
              </w:rPr>
              <w:t>Mali</w:t>
            </w:r>
            <w:r>
              <w:rPr>
                <w:spacing w:val="-5"/>
                <w:sz w:val="14"/>
              </w:rPr>
              <w:t> </w:t>
            </w:r>
            <w:r>
              <w:rPr>
                <w:spacing w:val="-2"/>
                <w:sz w:val="14"/>
              </w:rPr>
              <w:t>(2,820);</w:t>
            </w:r>
          </w:p>
          <w:p>
            <w:pPr>
              <w:pStyle w:val="TableParagraph"/>
              <w:spacing w:line="235" w:lineRule="auto" w:before="5"/>
              <w:ind w:left="17" w:right="39"/>
              <w:jc w:val="left"/>
              <w:rPr>
                <w:sz w:val="14"/>
              </w:rPr>
            </w:pPr>
            <w:r>
              <w:rPr>
                <w:spacing w:val="-2"/>
                <w:sz w:val="14"/>
              </w:rPr>
              <w:t>Afghanistan</w:t>
            </w:r>
            <w:r>
              <w:rPr>
                <w:spacing w:val="40"/>
                <w:sz w:val="14"/>
              </w:rPr>
              <w:t> </w:t>
            </w:r>
            <w:r>
              <w:rPr>
                <w:sz w:val="14"/>
              </w:rPr>
              <w:t>(160);</w:t>
            </w:r>
            <w:r>
              <w:rPr>
                <w:spacing w:val="-3"/>
                <w:sz w:val="14"/>
              </w:rPr>
              <w:t> </w:t>
            </w:r>
            <w:r>
              <w:rPr>
                <w:spacing w:val="-5"/>
                <w:sz w:val="14"/>
              </w:rPr>
              <w:t>DRC</w:t>
            </w:r>
          </w:p>
          <w:p>
            <w:pPr>
              <w:pStyle w:val="TableParagraph"/>
              <w:spacing w:line="143" w:lineRule="exact" w:before="4"/>
              <w:ind w:left="17"/>
              <w:jc w:val="left"/>
              <w:rPr>
                <w:sz w:val="14"/>
              </w:rPr>
            </w:pPr>
            <w:r>
              <w:rPr>
                <w:sz w:val="14"/>
              </w:rPr>
              <w:t>(1,400);</w:t>
            </w:r>
            <w:r>
              <w:rPr>
                <w:spacing w:val="-4"/>
                <w:sz w:val="14"/>
              </w:rPr>
              <w:t> </w:t>
            </w:r>
            <w:r>
              <w:rPr>
                <w:spacing w:val="-2"/>
                <w:sz w:val="14"/>
              </w:rPr>
              <w:t>Darfur</w:t>
            </w:r>
          </w:p>
        </w:tc>
        <w:tc>
          <w:tcPr>
            <w:tcW w:w="587" w:type="dxa"/>
            <w:tcBorders>
              <w:top w:val="single" w:sz="4" w:space="0" w:color="000000"/>
            </w:tcBorders>
          </w:tcPr>
          <w:p>
            <w:pPr>
              <w:pStyle w:val="TableParagraph"/>
              <w:spacing w:before="61"/>
              <w:ind w:left="15" w:right="6"/>
              <w:jc w:val="center"/>
              <w:rPr>
                <w:sz w:val="14"/>
              </w:rPr>
            </w:pPr>
            <w:r>
              <w:rPr>
                <w:spacing w:val="-2"/>
                <w:sz w:val="14"/>
              </w:rPr>
              <w:t>7,800</w:t>
            </w:r>
          </w:p>
        </w:tc>
        <w:tc>
          <w:tcPr>
            <w:tcW w:w="1212" w:type="dxa"/>
            <w:tcBorders>
              <w:top w:val="single" w:sz="4" w:space="0" w:color="000000"/>
            </w:tcBorders>
          </w:tcPr>
          <w:p>
            <w:pPr>
              <w:pStyle w:val="TableParagraph"/>
              <w:spacing w:before="61"/>
              <w:ind w:left="22"/>
              <w:jc w:val="left"/>
              <w:rPr>
                <w:sz w:val="14"/>
              </w:rPr>
            </w:pPr>
            <w:r>
              <w:rPr>
                <w:sz w:val="14"/>
              </w:rPr>
              <w:t>CAR</w:t>
            </w:r>
            <w:r>
              <w:rPr>
                <w:spacing w:val="-6"/>
                <w:sz w:val="14"/>
              </w:rPr>
              <w:t> </w:t>
            </w:r>
            <w:r>
              <w:rPr>
                <w:sz w:val="14"/>
              </w:rPr>
              <w:t>II</w:t>
            </w:r>
            <w:r>
              <w:rPr>
                <w:spacing w:val="-2"/>
                <w:sz w:val="14"/>
              </w:rPr>
              <w:t> (1,000);</w:t>
            </w:r>
          </w:p>
          <w:p>
            <w:pPr>
              <w:pStyle w:val="TableParagraph"/>
              <w:spacing w:before="2"/>
              <w:ind w:left="22"/>
              <w:jc w:val="left"/>
              <w:rPr>
                <w:sz w:val="14"/>
              </w:rPr>
            </w:pPr>
            <w:r>
              <w:rPr>
                <w:sz w:val="14"/>
              </w:rPr>
              <w:t>Mali</w:t>
            </w:r>
            <w:r>
              <w:rPr>
                <w:spacing w:val="-2"/>
                <w:sz w:val="14"/>
              </w:rPr>
              <w:t> </w:t>
            </w:r>
            <w:r>
              <w:rPr>
                <w:sz w:val="14"/>
              </w:rPr>
              <w:t>(500);</w:t>
            </w:r>
            <w:r>
              <w:rPr>
                <w:spacing w:val="-1"/>
                <w:sz w:val="14"/>
              </w:rPr>
              <w:t> </w:t>
            </w:r>
            <w:r>
              <w:rPr>
                <w:spacing w:val="-5"/>
                <w:sz w:val="14"/>
              </w:rPr>
              <w:t>DRC</w:t>
            </w:r>
          </w:p>
          <w:p>
            <w:pPr>
              <w:pStyle w:val="TableParagraph"/>
              <w:spacing w:line="160" w:lineRule="exact" w:before="3"/>
              <w:ind w:left="22"/>
              <w:jc w:val="left"/>
              <w:rPr>
                <w:sz w:val="14"/>
              </w:rPr>
            </w:pPr>
            <w:r>
              <w:rPr>
                <w:sz w:val="14"/>
              </w:rPr>
              <w:t>(800);</w:t>
            </w:r>
            <w:r>
              <w:rPr>
                <w:spacing w:val="-3"/>
                <w:sz w:val="14"/>
              </w:rPr>
              <w:t> </w:t>
            </w:r>
            <w:r>
              <w:rPr>
                <w:spacing w:val="-2"/>
                <w:sz w:val="14"/>
              </w:rPr>
              <w:t>Uganda</w:t>
            </w:r>
          </w:p>
          <w:p>
            <w:pPr>
              <w:pStyle w:val="TableParagraph"/>
              <w:spacing w:line="160" w:lineRule="exact"/>
              <w:ind w:left="22"/>
              <w:jc w:val="left"/>
              <w:rPr>
                <w:sz w:val="14"/>
              </w:rPr>
            </w:pPr>
            <w:r>
              <w:rPr>
                <w:sz w:val="14"/>
              </w:rPr>
              <w:t>(3,000);</w:t>
            </w:r>
            <w:r>
              <w:rPr>
                <w:spacing w:val="-4"/>
                <w:sz w:val="14"/>
              </w:rPr>
              <w:t> </w:t>
            </w:r>
            <w:r>
              <w:rPr>
                <w:spacing w:val="-2"/>
                <w:sz w:val="14"/>
              </w:rPr>
              <w:t>Darfur</w:t>
            </w:r>
          </w:p>
          <w:p>
            <w:pPr>
              <w:pStyle w:val="TableParagraph"/>
              <w:spacing w:line="143" w:lineRule="exact" w:before="2"/>
              <w:ind w:left="22"/>
              <w:jc w:val="left"/>
              <w:rPr>
                <w:sz w:val="14"/>
              </w:rPr>
            </w:pPr>
            <w:r>
              <w:rPr>
                <w:sz w:val="14"/>
              </w:rPr>
              <w:t>(1,500);</w:t>
            </w:r>
            <w:r>
              <w:rPr>
                <w:spacing w:val="-3"/>
                <w:sz w:val="14"/>
              </w:rPr>
              <w:t> </w:t>
            </w:r>
            <w:r>
              <w:rPr>
                <w:sz w:val="14"/>
              </w:rPr>
              <w:t>and</w:t>
            </w:r>
            <w:r>
              <w:rPr>
                <w:spacing w:val="-4"/>
                <w:sz w:val="14"/>
              </w:rPr>
              <w:t> </w:t>
            </w:r>
            <w:r>
              <w:rPr>
                <w:spacing w:val="-2"/>
                <w:sz w:val="14"/>
              </w:rPr>
              <w:t>other</w:t>
            </w:r>
          </w:p>
        </w:tc>
        <w:tc>
          <w:tcPr>
            <w:tcW w:w="587" w:type="dxa"/>
            <w:tcBorders>
              <w:top w:val="single" w:sz="4" w:space="0" w:color="000000"/>
            </w:tcBorders>
          </w:tcPr>
          <w:p>
            <w:pPr>
              <w:pStyle w:val="TableParagraph"/>
              <w:spacing w:before="61"/>
              <w:ind w:left="15" w:right="5"/>
              <w:jc w:val="center"/>
              <w:rPr>
                <w:sz w:val="14"/>
              </w:rPr>
            </w:pPr>
            <w:r>
              <w:rPr>
                <w:spacing w:val="-2"/>
                <w:sz w:val="14"/>
              </w:rPr>
              <w:t>8,500</w:t>
            </w:r>
            <w:r>
              <w:rPr>
                <w:spacing w:val="-2"/>
                <w:sz w:val="14"/>
                <w:vertAlign w:val="superscript"/>
              </w:rPr>
              <w:t>173</w:t>
            </w:r>
          </w:p>
        </w:tc>
        <w:tc>
          <w:tcPr>
            <w:tcW w:w="1011" w:type="dxa"/>
            <w:tcBorders>
              <w:top w:val="single" w:sz="4" w:space="0" w:color="000000"/>
            </w:tcBorders>
          </w:tcPr>
          <w:p>
            <w:pPr>
              <w:pStyle w:val="TableParagraph"/>
              <w:spacing w:before="61"/>
              <w:ind w:left="24"/>
              <w:jc w:val="left"/>
              <w:rPr>
                <w:sz w:val="14"/>
              </w:rPr>
            </w:pPr>
            <w:r>
              <w:rPr>
                <w:sz w:val="14"/>
              </w:rPr>
              <w:t>CAR</w:t>
            </w:r>
            <w:r>
              <w:rPr>
                <w:spacing w:val="-6"/>
                <w:sz w:val="14"/>
              </w:rPr>
              <w:t> </w:t>
            </w:r>
            <w:r>
              <w:rPr>
                <w:sz w:val="14"/>
              </w:rPr>
              <w:t>II</w:t>
            </w:r>
            <w:r>
              <w:rPr>
                <w:spacing w:val="-2"/>
                <w:sz w:val="14"/>
              </w:rPr>
              <w:t> (1,500);</w:t>
            </w:r>
          </w:p>
          <w:p>
            <w:pPr>
              <w:pStyle w:val="TableParagraph"/>
              <w:spacing w:before="2"/>
              <w:ind w:left="24"/>
              <w:jc w:val="left"/>
              <w:rPr>
                <w:sz w:val="14"/>
              </w:rPr>
            </w:pPr>
            <w:r>
              <w:rPr>
                <w:sz w:val="14"/>
              </w:rPr>
              <w:t>Mali</w:t>
            </w:r>
            <w:r>
              <w:rPr>
                <w:spacing w:val="-5"/>
                <w:sz w:val="14"/>
              </w:rPr>
              <w:t> </w:t>
            </w:r>
            <w:r>
              <w:rPr>
                <w:spacing w:val="-2"/>
                <w:sz w:val="14"/>
              </w:rPr>
              <w:t>(1,000);</w:t>
            </w:r>
          </w:p>
          <w:p>
            <w:pPr>
              <w:pStyle w:val="TableParagraph"/>
              <w:spacing w:line="160" w:lineRule="exact" w:before="3"/>
              <w:ind w:left="24"/>
              <w:jc w:val="left"/>
              <w:rPr>
                <w:sz w:val="14"/>
              </w:rPr>
            </w:pPr>
            <w:r>
              <w:rPr>
                <w:spacing w:val="-2"/>
                <w:sz w:val="14"/>
              </w:rPr>
              <w:t>DRC</w:t>
            </w:r>
            <w:r>
              <w:rPr>
                <w:spacing w:val="-3"/>
                <w:sz w:val="14"/>
              </w:rPr>
              <w:t> </w:t>
            </w:r>
            <w:r>
              <w:rPr>
                <w:spacing w:val="-2"/>
                <w:sz w:val="14"/>
              </w:rPr>
              <w:t>(1,500);</w:t>
            </w:r>
          </w:p>
          <w:p>
            <w:pPr>
              <w:pStyle w:val="TableParagraph"/>
              <w:spacing w:line="160" w:lineRule="exact"/>
              <w:ind w:left="24"/>
              <w:jc w:val="left"/>
              <w:rPr>
                <w:sz w:val="14"/>
              </w:rPr>
            </w:pPr>
            <w:r>
              <w:rPr>
                <w:sz w:val="14"/>
              </w:rPr>
              <w:t>Uganda</w:t>
            </w:r>
            <w:r>
              <w:rPr>
                <w:spacing w:val="-1"/>
                <w:sz w:val="14"/>
              </w:rPr>
              <w:t> </w:t>
            </w:r>
            <w:r>
              <w:rPr>
                <w:spacing w:val="-2"/>
                <w:sz w:val="14"/>
              </w:rPr>
              <w:t>(2,500);</w:t>
            </w:r>
          </w:p>
          <w:p>
            <w:pPr>
              <w:pStyle w:val="TableParagraph"/>
              <w:spacing w:line="143" w:lineRule="exact" w:before="2"/>
              <w:ind w:left="24"/>
              <w:jc w:val="left"/>
              <w:rPr>
                <w:sz w:val="14"/>
              </w:rPr>
            </w:pPr>
            <w:r>
              <w:rPr>
                <w:sz w:val="14"/>
              </w:rPr>
              <w:t>and</w:t>
            </w:r>
            <w:r>
              <w:rPr>
                <w:spacing w:val="-1"/>
                <w:sz w:val="14"/>
              </w:rPr>
              <w:t> </w:t>
            </w:r>
            <w:r>
              <w:rPr>
                <w:spacing w:val="-2"/>
                <w:sz w:val="14"/>
              </w:rPr>
              <w:t>Darfur</w:t>
            </w:r>
          </w:p>
        </w:tc>
      </w:tr>
      <w:tr>
        <w:trPr>
          <w:trHeight w:val="160" w:hRule="atLeast"/>
        </w:trPr>
        <w:tc>
          <w:tcPr>
            <w:tcW w:w="226" w:type="dxa"/>
          </w:tcPr>
          <w:p>
            <w:pPr>
              <w:pStyle w:val="TableParagraph"/>
              <w:jc w:val="left"/>
              <w:rPr>
                <w:sz w:val="10"/>
              </w:rPr>
            </w:pPr>
          </w:p>
        </w:tc>
        <w:tc>
          <w:tcPr>
            <w:tcW w:w="749" w:type="dxa"/>
          </w:tcPr>
          <w:p>
            <w:pPr>
              <w:pStyle w:val="TableParagraph"/>
              <w:jc w:val="left"/>
              <w:rPr>
                <w:sz w:val="10"/>
              </w:rPr>
            </w:pPr>
          </w:p>
        </w:tc>
        <w:tc>
          <w:tcPr>
            <w:tcW w:w="591" w:type="dxa"/>
          </w:tcPr>
          <w:p>
            <w:pPr>
              <w:pStyle w:val="TableParagraph"/>
              <w:jc w:val="left"/>
              <w:rPr>
                <w:sz w:val="10"/>
              </w:rPr>
            </w:pPr>
          </w:p>
        </w:tc>
        <w:tc>
          <w:tcPr>
            <w:tcW w:w="475" w:type="dxa"/>
          </w:tcPr>
          <w:p>
            <w:pPr>
              <w:pStyle w:val="TableParagraph"/>
              <w:jc w:val="left"/>
              <w:rPr>
                <w:sz w:val="10"/>
              </w:rPr>
            </w:pPr>
          </w:p>
        </w:tc>
        <w:tc>
          <w:tcPr>
            <w:tcW w:w="1117" w:type="dxa"/>
          </w:tcPr>
          <w:p>
            <w:pPr>
              <w:pStyle w:val="TableParagraph"/>
              <w:spacing w:line="141" w:lineRule="exact"/>
              <w:ind w:left="14"/>
              <w:jc w:val="left"/>
              <w:rPr>
                <w:sz w:val="14"/>
              </w:rPr>
            </w:pPr>
            <w:r>
              <w:rPr>
                <w:spacing w:val="-2"/>
                <w:sz w:val="14"/>
              </w:rPr>
              <w:t>DRC</w:t>
            </w:r>
            <w:r>
              <w:rPr>
                <w:spacing w:val="-3"/>
                <w:sz w:val="14"/>
              </w:rPr>
              <w:t> </w:t>
            </w:r>
            <w:r>
              <w:rPr>
                <w:spacing w:val="-2"/>
                <w:sz w:val="14"/>
              </w:rPr>
              <w:t>(328)</w:t>
            </w:r>
          </w:p>
        </w:tc>
        <w:tc>
          <w:tcPr>
            <w:tcW w:w="606" w:type="dxa"/>
          </w:tcPr>
          <w:p>
            <w:pPr>
              <w:pStyle w:val="TableParagraph"/>
              <w:jc w:val="left"/>
              <w:rPr>
                <w:sz w:val="10"/>
              </w:rPr>
            </w:pPr>
          </w:p>
        </w:tc>
        <w:tc>
          <w:tcPr>
            <w:tcW w:w="544" w:type="dxa"/>
          </w:tcPr>
          <w:p>
            <w:pPr>
              <w:pStyle w:val="TableParagraph"/>
              <w:jc w:val="left"/>
              <w:rPr>
                <w:sz w:val="10"/>
              </w:rPr>
            </w:pPr>
          </w:p>
        </w:tc>
        <w:tc>
          <w:tcPr>
            <w:tcW w:w="965" w:type="dxa"/>
          </w:tcPr>
          <w:p>
            <w:pPr>
              <w:pStyle w:val="TableParagraph"/>
              <w:spacing w:line="141" w:lineRule="exact"/>
              <w:ind w:left="33"/>
              <w:jc w:val="left"/>
              <w:rPr>
                <w:sz w:val="14"/>
              </w:rPr>
            </w:pPr>
            <w:r>
              <w:rPr>
                <w:sz w:val="14"/>
              </w:rPr>
              <w:t>II </w:t>
            </w:r>
            <w:r>
              <w:rPr>
                <w:spacing w:val="-2"/>
                <w:sz w:val="14"/>
              </w:rPr>
              <w:t>(900);</w:t>
            </w:r>
          </w:p>
        </w:tc>
        <w:tc>
          <w:tcPr>
            <w:tcW w:w="602" w:type="dxa"/>
          </w:tcPr>
          <w:p>
            <w:pPr>
              <w:pStyle w:val="TableParagraph"/>
              <w:jc w:val="left"/>
              <w:rPr>
                <w:sz w:val="10"/>
              </w:rPr>
            </w:pPr>
          </w:p>
        </w:tc>
        <w:tc>
          <w:tcPr>
            <w:tcW w:w="475" w:type="dxa"/>
          </w:tcPr>
          <w:p>
            <w:pPr>
              <w:pStyle w:val="TableParagraph"/>
              <w:jc w:val="left"/>
              <w:rPr>
                <w:sz w:val="10"/>
              </w:rPr>
            </w:pPr>
          </w:p>
        </w:tc>
        <w:tc>
          <w:tcPr>
            <w:tcW w:w="1041" w:type="dxa"/>
          </w:tcPr>
          <w:p>
            <w:pPr>
              <w:pStyle w:val="TableParagraph"/>
              <w:spacing w:line="141" w:lineRule="exact"/>
              <w:ind w:left="17"/>
              <w:jc w:val="left"/>
              <w:rPr>
                <w:sz w:val="14"/>
              </w:rPr>
            </w:pPr>
            <w:r>
              <w:rPr>
                <w:spacing w:val="-2"/>
                <w:sz w:val="14"/>
              </w:rPr>
              <w:t>(440);</w:t>
            </w:r>
          </w:p>
        </w:tc>
        <w:tc>
          <w:tcPr>
            <w:tcW w:w="587" w:type="dxa"/>
          </w:tcPr>
          <w:p>
            <w:pPr>
              <w:pStyle w:val="TableParagraph"/>
              <w:jc w:val="left"/>
              <w:rPr>
                <w:sz w:val="10"/>
              </w:rPr>
            </w:pPr>
          </w:p>
        </w:tc>
        <w:tc>
          <w:tcPr>
            <w:tcW w:w="1212" w:type="dxa"/>
          </w:tcPr>
          <w:p>
            <w:pPr>
              <w:pStyle w:val="TableParagraph"/>
              <w:spacing w:line="141" w:lineRule="exact"/>
              <w:ind w:left="22"/>
              <w:jc w:val="left"/>
              <w:rPr>
                <w:sz w:val="14"/>
              </w:rPr>
            </w:pPr>
            <w:r>
              <w:rPr>
                <w:sz w:val="14"/>
              </w:rPr>
              <w:t>situations</w:t>
            </w:r>
            <w:r>
              <w:rPr>
                <w:spacing w:val="-7"/>
                <w:sz w:val="14"/>
              </w:rPr>
              <w:t> </w:t>
            </w:r>
            <w:r>
              <w:rPr>
                <w:spacing w:val="-2"/>
                <w:sz w:val="14"/>
              </w:rPr>
              <w:t>(1,000)</w:t>
            </w:r>
          </w:p>
        </w:tc>
        <w:tc>
          <w:tcPr>
            <w:tcW w:w="587" w:type="dxa"/>
          </w:tcPr>
          <w:p>
            <w:pPr>
              <w:pStyle w:val="TableParagraph"/>
              <w:jc w:val="left"/>
              <w:rPr>
                <w:sz w:val="10"/>
              </w:rPr>
            </w:pPr>
          </w:p>
        </w:tc>
        <w:tc>
          <w:tcPr>
            <w:tcW w:w="1011" w:type="dxa"/>
          </w:tcPr>
          <w:p>
            <w:pPr>
              <w:pStyle w:val="TableParagraph"/>
              <w:spacing w:line="141" w:lineRule="exact"/>
              <w:ind w:left="24"/>
              <w:jc w:val="left"/>
              <w:rPr>
                <w:sz w:val="14"/>
              </w:rPr>
            </w:pPr>
            <w:r>
              <w:rPr>
                <w:spacing w:val="-2"/>
                <w:sz w:val="14"/>
              </w:rPr>
              <w:t>(2,000)</w:t>
            </w:r>
          </w:p>
        </w:tc>
      </w:tr>
      <w:tr>
        <w:trPr>
          <w:trHeight w:val="160" w:hRule="atLeast"/>
        </w:trPr>
        <w:tc>
          <w:tcPr>
            <w:tcW w:w="226" w:type="dxa"/>
          </w:tcPr>
          <w:p>
            <w:pPr>
              <w:pStyle w:val="TableParagraph"/>
              <w:jc w:val="left"/>
              <w:rPr>
                <w:sz w:val="10"/>
              </w:rPr>
            </w:pPr>
          </w:p>
        </w:tc>
        <w:tc>
          <w:tcPr>
            <w:tcW w:w="749" w:type="dxa"/>
          </w:tcPr>
          <w:p>
            <w:pPr>
              <w:pStyle w:val="TableParagraph"/>
              <w:jc w:val="left"/>
              <w:rPr>
                <w:sz w:val="10"/>
              </w:rPr>
            </w:pPr>
          </w:p>
        </w:tc>
        <w:tc>
          <w:tcPr>
            <w:tcW w:w="591" w:type="dxa"/>
          </w:tcPr>
          <w:p>
            <w:pPr>
              <w:pStyle w:val="TableParagraph"/>
              <w:jc w:val="left"/>
              <w:rPr>
                <w:sz w:val="10"/>
              </w:rPr>
            </w:pPr>
          </w:p>
        </w:tc>
        <w:tc>
          <w:tcPr>
            <w:tcW w:w="475" w:type="dxa"/>
          </w:tcPr>
          <w:p>
            <w:pPr>
              <w:pStyle w:val="TableParagraph"/>
              <w:jc w:val="left"/>
              <w:rPr>
                <w:sz w:val="10"/>
              </w:rPr>
            </w:pPr>
          </w:p>
        </w:tc>
        <w:tc>
          <w:tcPr>
            <w:tcW w:w="1117" w:type="dxa"/>
          </w:tcPr>
          <w:p>
            <w:pPr>
              <w:pStyle w:val="TableParagraph"/>
              <w:jc w:val="left"/>
              <w:rPr>
                <w:sz w:val="10"/>
              </w:rPr>
            </w:pPr>
          </w:p>
        </w:tc>
        <w:tc>
          <w:tcPr>
            <w:tcW w:w="606" w:type="dxa"/>
          </w:tcPr>
          <w:p>
            <w:pPr>
              <w:pStyle w:val="TableParagraph"/>
              <w:jc w:val="left"/>
              <w:rPr>
                <w:sz w:val="10"/>
              </w:rPr>
            </w:pPr>
          </w:p>
        </w:tc>
        <w:tc>
          <w:tcPr>
            <w:tcW w:w="544" w:type="dxa"/>
          </w:tcPr>
          <w:p>
            <w:pPr>
              <w:pStyle w:val="TableParagraph"/>
              <w:jc w:val="left"/>
              <w:rPr>
                <w:sz w:val="10"/>
              </w:rPr>
            </w:pPr>
          </w:p>
        </w:tc>
        <w:tc>
          <w:tcPr>
            <w:tcW w:w="965" w:type="dxa"/>
          </w:tcPr>
          <w:p>
            <w:pPr>
              <w:pStyle w:val="TableParagraph"/>
              <w:spacing w:line="141" w:lineRule="exact"/>
              <w:ind w:left="33"/>
              <w:jc w:val="left"/>
              <w:rPr>
                <w:sz w:val="14"/>
              </w:rPr>
            </w:pPr>
            <w:r>
              <w:rPr>
                <w:sz w:val="14"/>
              </w:rPr>
              <w:t>DRC</w:t>
            </w:r>
            <w:r>
              <w:rPr>
                <w:spacing w:val="-8"/>
                <w:sz w:val="14"/>
              </w:rPr>
              <w:t> </w:t>
            </w:r>
            <w:r>
              <w:rPr>
                <w:spacing w:val="-2"/>
                <w:sz w:val="14"/>
              </w:rPr>
              <w:t>(485);</w:t>
            </w:r>
          </w:p>
        </w:tc>
        <w:tc>
          <w:tcPr>
            <w:tcW w:w="602" w:type="dxa"/>
          </w:tcPr>
          <w:p>
            <w:pPr>
              <w:pStyle w:val="TableParagraph"/>
              <w:jc w:val="left"/>
              <w:rPr>
                <w:sz w:val="10"/>
              </w:rPr>
            </w:pPr>
          </w:p>
        </w:tc>
        <w:tc>
          <w:tcPr>
            <w:tcW w:w="475" w:type="dxa"/>
          </w:tcPr>
          <w:p>
            <w:pPr>
              <w:pStyle w:val="TableParagraph"/>
              <w:jc w:val="left"/>
              <w:rPr>
                <w:sz w:val="10"/>
              </w:rPr>
            </w:pPr>
          </w:p>
        </w:tc>
        <w:tc>
          <w:tcPr>
            <w:tcW w:w="1041" w:type="dxa"/>
          </w:tcPr>
          <w:p>
            <w:pPr>
              <w:pStyle w:val="TableParagraph"/>
              <w:spacing w:line="141" w:lineRule="exact"/>
              <w:ind w:left="17"/>
              <w:jc w:val="left"/>
              <w:rPr>
                <w:sz w:val="14"/>
              </w:rPr>
            </w:pPr>
            <w:r>
              <w:rPr>
                <w:spacing w:val="-2"/>
                <w:sz w:val="14"/>
              </w:rPr>
              <w:t>Philippines</w:t>
            </w:r>
          </w:p>
        </w:tc>
        <w:tc>
          <w:tcPr>
            <w:tcW w:w="587" w:type="dxa"/>
          </w:tcPr>
          <w:p>
            <w:pPr>
              <w:pStyle w:val="TableParagraph"/>
              <w:jc w:val="left"/>
              <w:rPr>
                <w:sz w:val="10"/>
              </w:rPr>
            </w:pPr>
          </w:p>
        </w:tc>
        <w:tc>
          <w:tcPr>
            <w:tcW w:w="1212" w:type="dxa"/>
          </w:tcPr>
          <w:p>
            <w:pPr>
              <w:pStyle w:val="TableParagraph"/>
              <w:jc w:val="left"/>
              <w:rPr>
                <w:sz w:val="10"/>
              </w:rPr>
            </w:pPr>
          </w:p>
        </w:tc>
        <w:tc>
          <w:tcPr>
            <w:tcW w:w="587" w:type="dxa"/>
          </w:tcPr>
          <w:p>
            <w:pPr>
              <w:pStyle w:val="TableParagraph"/>
              <w:jc w:val="left"/>
              <w:rPr>
                <w:sz w:val="10"/>
              </w:rPr>
            </w:pPr>
          </w:p>
        </w:tc>
        <w:tc>
          <w:tcPr>
            <w:tcW w:w="1011" w:type="dxa"/>
          </w:tcPr>
          <w:p>
            <w:pPr>
              <w:pStyle w:val="TableParagraph"/>
              <w:jc w:val="left"/>
              <w:rPr>
                <w:sz w:val="10"/>
              </w:rPr>
            </w:pPr>
          </w:p>
        </w:tc>
      </w:tr>
      <w:tr>
        <w:trPr>
          <w:trHeight w:val="160" w:hRule="atLeast"/>
        </w:trPr>
        <w:tc>
          <w:tcPr>
            <w:tcW w:w="226" w:type="dxa"/>
          </w:tcPr>
          <w:p>
            <w:pPr>
              <w:pStyle w:val="TableParagraph"/>
              <w:jc w:val="left"/>
              <w:rPr>
                <w:sz w:val="10"/>
              </w:rPr>
            </w:pPr>
          </w:p>
        </w:tc>
        <w:tc>
          <w:tcPr>
            <w:tcW w:w="749" w:type="dxa"/>
          </w:tcPr>
          <w:p>
            <w:pPr>
              <w:pStyle w:val="TableParagraph"/>
              <w:jc w:val="left"/>
              <w:rPr>
                <w:sz w:val="10"/>
              </w:rPr>
            </w:pPr>
          </w:p>
        </w:tc>
        <w:tc>
          <w:tcPr>
            <w:tcW w:w="591" w:type="dxa"/>
          </w:tcPr>
          <w:p>
            <w:pPr>
              <w:pStyle w:val="TableParagraph"/>
              <w:jc w:val="left"/>
              <w:rPr>
                <w:sz w:val="10"/>
              </w:rPr>
            </w:pPr>
          </w:p>
        </w:tc>
        <w:tc>
          <w:tcPr>
            <w:tcW w:w="475" w:type="dxa"/>
          </w:tcPr>
          <w:p>
            <w:pPr>
              <w:pStyle w:val="TableParagraph"/>
              <w:jc w:val="left"/>
              <w:rPr>
                <w:sz w:val="10"/>
              </w:rPr>
            </w:pPr>
          </w:p>
        </w:tc>
        <w:tc>
          <w:tcPr>
            <w:tcW w:w="1117" w:type="dxa"/>
          </w:tcPr>
          <w:p>
            <w:pPr>
              <w:pStyle w:val="TableParagraph"/>
              <w:jc w:val="left"/>
              <w:rPr>
                <w:sz w:val="10"/>
              </w:rPr>
            </w:pPr>
          </w:p>
        </w:tc>
        <w:tc>
          <w:tcPr>
            <w:tcW w:w="606" w:type="dxa"/>
          </w:tcPr>
          <w:p>
            <w:pPr>
              <w:pStyle w:val="TableParagraph"/>
              <w:jc w:val="left"/>
              <w:rPr>
                <w:sz w:val="10"/>
              </w:rPr>
            </w:pPr>
          </w:p>
        </w:tc>
        <w:tc>
          <w:tcPr>
            <w:tcW w:w="544" w:type="dxa"/>
          </w:tcPr>
          <w:p>
            <w:pPr>
              <w:pStyle w:val="TableParagraph"/>
              <w:jc w:val="left"/>
              <w:rPr>
                <w:sz w:val="10"/>
              </w:rPr>
            </w:pPr>
          </w:p>
        </w:tc>
        <w:tc>
          <w:tcPr>
            <w:tcW w:w="965" w:type="dxa"/>
          </w:tcPr>
          <w:p>
            <w:pPr>
              <w:pStyle w:val="TableParagraph"/>
              <w:spacing w:line="141" w:lineRule="exact"/>
              <w:ind w:left="33"/>
              <w:jc w:val="left"/>
              <w:rPr>
                <w:sz w:val="14"/>
              </w:rPr>
            </w:pPr>
            <w:r>
              <w:rPr>
                <w:sz w:val="14"/>
              </w:rPr>
              <w:t>Mali</w:t>
            </w:r>
            <w:r>
              <w:rPr>
                <w:spacing w:val="-3"/>
                <w:sz w:val="14"/>
              </w:rPr>
              <w:t> </w:t>
            </w:r>
            <w:r>
              <w:rPr>
                <w:sz w:val="14"/>
              </w:rPr>
              <w:t>I</w:t>
            </w:r>
            <w:r>
              <w:rPr>
                <w:spacing w:val="-2"/>
                <w:sz w:val="14"/>
              </w:rPr>
              <w:t> </w:t>
            </w:r>
            <w:r>
              <w:rPr>
                <w:sz w:val="14"/>
              </w:rPr>
              <w:t>and</w:t>
            </w:r>
            <w:r>
              <w:rPr>
                <w:spacing w:val="-1"/>
                <w:sz w:val="14"/>
              </w:rPr>
              <w:t> </w:t>
            </w:r>
            <w:r>
              <w:rPr>
                <w:spacing w:val="-5"/>
                <w:sz w:val="14"/>
              </w:rPr>
              <w:t>II</w:t>
            </w:r>
          </w:p>
        </w:tc>
        <w:tc>
          <w:tcPr>
            <w:tcW w:w="602" w:type="dxa"/>
          </w:tcPr>
          <w:p>
            <w:pPr>
              <w:pStyle w:val="TableParagraph"/>
              <w:jc w:val="left"/>
              <w:rPr>
                <w:sz w:val="10"/>
              </w:rPr>
            </w:pPr>
          </w:p>
        </w:tc>
        <w:tc>
          <w:tcPr>
            <w:tcW w:w="475" w:type="dxa"/>
          </w:tcPr>
          <w:p>
            <w:pPr>
              <w:pStyle w:val="TableParagraph"/>
              <w:jc w:val="left"/>
              <w:rPr>
                <w:sz w:val="10"/>
              </w:rPr>
            </w:pPr>
          </w:p>
        </w:tc>
        <w:tc>
          <w:tcPr>
            <w:tcW w:w="1041" w:type="dxa"/>
          </w:tcPr>
          <w:p>
            <w:pPr>
              <w:pStyle w:val="TableParagraph"/>
              <w:spacing w:line="141" w:lineRule="exact"/>
              <w:ind w:left="17"/>
              <w:jc w:val="left"/>
              <w:rPr>
                <w:sz w:val="14"/>
              </w:rPr>
            </w:pPr>
            <w:r>
              <w:rPr>
                <w:sz w:val="14"/>
              </w:rPr>
              <w:t>(230);</w:t>
            </w:r>
            <w:r>
              <w:rPr>
                <w:spacing w:val="-3"/>
                <w:sz w:val="14"/>
              </w:rPr>
              <w:t> </w:t>
            </w:r>
            <w:r>
              <w:rPr>
                <w:spacing w:val="-2"/>
                <w:sz w:val="14"/>
              </w:rPr>
              <w:t>additional</w:t>
            </w:r>
          </w:p>
        </w:tc>
        <w:tc>
          <w:tcPr>
            <w:tcW w:w="587" w:type="dxa"/>
          </w:tcPr>
          <w:p>
            <w:pPr>
              <w:pStyle w:val="TableParagraph"/>
              <w:jc w:val="left"/>
              <w:rPr>
                <w:sz w:val="10"/>
              </w:rPr>
            </w:pPr>
          </w:p>
        </w:tc>
        <w:tc>
          <w:tcPr>
            <w:tcW w:w="1212" w:type="dxa"/>
          </w:tcPr>
          <w:p>
            <w:pPr>
              <w:pStyle w:val="TableParagraph"/>
              <w:jc w:val="left"/>
              <w:rPr>
                <w:sz w:val="10"/>
              </w:rPr>
            </w:pPr>
          </w:p>
        </w:tc>
        <w:tc>
          <w:tcPr>
            <w:tcW w:w="587" w:type="dxa"/>
          </w:tcPr>
          <w:p>
            <w:pPr>
              <w:pStyle w:val="TableParagraph"/>
              <w:jc w:val="left"/>
              <w:rPr>
                <w:sz w:val="10"/>
              </w:rPr>
            </w:pPr>
          </w:p>
        </w:tc>
        <w:tc>
          <w:tcPr>
            <w:tcW w:w="1011" w:type="dxa"/>
          </w:tcPr>
          <w:p>
            <w:pPr>
              <w:pStyle w:val="TableParagraph"/>
              <w:jc w:val="left"/>
              <w:rPr>
                <w:sz w:val="10"/>
              </w:rPr>
            </w:pPr>
          </w:p>
        </w:tc>
      </w:tr>
      <w:tr>
        <w:trPr>
          <w:trHeight w:val="160" w:hRule="atLeast"/>
        </w:trPr>
        <w:tc>
          <w:tcPr>
            <w:tcW w:w="226" w:type="dxa"/>
          </w:tcPr>
          <w:p>
            <w:pPr>
              <w:pStyle w:val="TableParagraph"/>
              <w:jc w:val="left"/>
              <w:rPr>
                <w:sz w:val="10"/>
              </w:rPr>
            </w:pPr>
          </w:p>
        </w:tc>
        <w:tc>
          <w:tcPr>
            <w:tcW w:w="749" w:type="dxa"/>
          </w:tcPr>
          <w:p>
            <w:pPr>
              <w:pStyle w:val="TableParagraph"/>
              <w:jc w:val="left"/>
              <w:rPr>
                <w:sz w:val="10"/>
              </w:rPr>
            </w:pPr>
          </w:p>
        </w:tc>
        <w:tc>
          <w:tcPr>
            <w:tcW w:w="591" w:type="dxa"/>
          </w:tcPr>
          <w:p>
            <w:pPr>
              <w:pStyle w:val="TableParagraph"/>
              <w:jc w:val="left"/>
              <w:rPr>
                <w:sz w:val="10"/>
              </w:rPr>
            </w:pPr>
          </w:p>
        </w:tc>
        <w:tc>
          <w:tcPr>
            <w:tcW w:w="475" w:type="dxa"/>
          </w:tcPr>
          <w:p>
            <w:pPr>
              <w:pStyle w:val="TableParagraph"/>
              <w:jc w:val="left"/>
              <w:rPr>
                <w:sz w:val="10"/>
              </w:rPr>
            </w:pPr>
          </w:p>
        </w:tc>
        <w:tc>
          <w:tcPr>
            <w:tcW w:w="1117" w:type="dxa"/>
          </w:tcPr>
          <w:p>
            <w:pPr>
              <w:pStyle w:val="TableParagraph"/>
              <w:jc w:val="left"/>
              <w:rPr>
                <w:sz w:val="10"/>
              </w:rPr>
            </w:pPr>
          </w:p>
        </w:tc>
        <w:tc>
          <w:tcPr>
            <w:tcW w:w="606" w:type="dxa"/>
          </w:tcPr>
          <w:p>
            <w:pPr>
              <w:pStyle w:val="TableParagraph"/>
              <w:jc w:val="left"/>
              <w:rPr>
                <w:sz w:val="10"/>
              </w:rPr>
            </w:pPr>
          </w:p>
        </w:tc>
        <w:tc>
          <w:tcPr>
            <w:tcW w:w="544" w:type="dxa"/>
          </w:tcPr>
          <w:p>
            <w:pPr>
              <w:pStyle w:val="TableParagraph"/>
              <w:jc w:val="left"/>
              <w:rPr>
                <w:sz w:val="10"/>
              </w:rPr>
            </w:pPr>
          </w:p>
        </w:tc>
        <w:tc>
          <w:tcPr>
            <w:tcW w:w="965" w:type="dxa"/>
          </w:tcPr>
          <w:p>
            <w:pPr>
              <w:pStyle w:val="TableParagraph"/>
              <w:spacing w:line="141" w:lineRule="exact"/>
              <w:ind w:left="33"/>
              <w:jc w:val="left"/>
              <w:rPr>
                <w:sz w:val="14"/>
              </w:rPr>
            </w:pPr>
            <w:r>
              <w:rPr>
                <w:sz w:val="14"/>
              </w:rPr>
              <w:t>(2,368);</w:t>
            </w:r>
            <w:r>
              <w:rPr>
                <w:spacing w:val="-4"/>
                <w:sz w:val="14"/>
              </w:rPr>
              <w:t> </w:t>
            </w:r>
            <w:r>
              <w:rPr>
                <w:spacing w:val="-5"/>
                <w:sz w:val="14"/>
              </w:rPr>
              <w:t>and</w:t>
            </w:r>
          </w:p>
        </w:tc>
        <w:tc>
          <w:tcPr>
            <w:tcW w:w="602" w:type="dxa"/>
          </w:tcPr>
          <w:p>
            <w:pPr>
              <w:pStyle w:val="TableParagraph"/>
              <w:jc w:val="left"/>
              <w:rPr>
                <w:sz w:val="10"/>
              </w:rPr>
            </w:pPr>
          </w:p>
        </w:tc>
        <w:tc>
          <w:tcPr>
            <w:tcW w:w="475" w:type="dxa"/>
          </w:tcPr>
          <w:p>
            <w:pPr>
              <w:pStyle w:val="TableParagraph"/>
              <w:jc w:val="left"/>
              <w:rPr>
                <w:sz w:val="10"/>
              </w:rPr>
            </w:pPr>
          </w:p>
        </w:tc>
        <w:tc>
          <w:tcPr>
            <w:tcW w:w="1041" w:type="dxa"/>
          </w:tcPr>
          <w:p>
            <w:pPr>
              <w:pStyle w:val="TableParagraph"/>
              <w:spacing w:line="141" w:lineRule="exact"/>
              <w:ind w:left="17"/>
              <w:jc w:val="left"/>
              <w:rPr>
                <w:sz w:val="14"/>
              </w:rPr>
            </w:pPr>
            <w:r>
              <w:rPr>
                <w:spacing w:val="-2"/>
                <w:sz w:val="14"/>
              </w:rPr>
              <w:t>information</w:t>
            </w:r>
          </w:p>
        </w:tc>
        <w:tc>
          <w:tcPr>
            <w:tcW w:w="587" w:type="dxa"/>
          </w:tcPr>
          <w:p>
            <w:pPr>
              <w:pStyle w:val="TableParagraph"/>
              <w:jc w:val="left"/>
              <w:rPr>
                <w:sz w:val="10"/>
              </w:rPr>
            </w:pPr>
          </w:p>
        </w:tc>
        <w:tc>
          <w:tcPr>
            <w:tcW w:w="1212" w:type="dxa"/>
          </w:tcPr>
          <w:p>
            <w:pPr>
              <w:pStyle w:val="TableParagraph"/>
              <w:jc w:val="left"/>
              <w:rPr>
                <w:sz w:val="10"/>
              </w:rPr>
            </w:pPr>
          </w:p>
        </w:tc>
        <w:tc>
          <w:tcPr>
            <w:tcW w:w="587" w:type="dxa"/>
          </w:tcPr>
          <w:p>
            <w:pPr>
              <w:pStyle w:val="TableParagraph"/>
              <w:jc w:val="left"/>
              <w:rPr>
                <w:sz w:val="10"/>
              </w:rPr>
            </w:pPr>
          </w:p>
        </w:tc>
        <w:tc>
          <w:tcPr>
            <w:tcW w:w="1011" w:type="dxa"/>
          </w:tcPr>
          <w:p>
            <w:pPr>
              <w:pStyle w:val="TableParagraph"/>
              <w:jc w:val="left"/>
              <w:rPr>
                <w:sz w:val="10"/>
              </w:rPr>
            </w:pPr>
          </w:p>
        </w:tc>
      </w:tr>
      <w:tr>
        <w:trPr>
          <w:trHeight w:val="160" w:hRule="atLeast"/>
        </w:trPr>
        <w:tc>
          <w:tcPr>
            <w:tcW w:w="226" w:type="dxa"/>
          </w:tcPr>
          <w:p>
            <w:pPr>
              <w:pStyle w:val="TableParagraph"/>
              <w:jc w:val="left"/>
              <w:rPr>
                <w:sz w:val="10"/>
              </w:rPr>
            </w:pPr>
          </w:p>
        </w:tc>
        <w:tc>
          <w:tcPr>
            <w:tcW w:w="749" w:type="dxa"/>
          </w:tcPr>
          <w:p>
            <w:pPr>
              <w:pStyle w:val="TableParagraph"/>
              <w:jc w:val="left"/>
              <w:rPr>
                <w:sz w:val="10"/>
              </w:rPr>
            </w:pPr>
          </w:p>
        </w:tc>
        <w:tc>
          <w:tcPr>
            <w:tcW w:w="591" w:type="dxa"/>
          </w:tcPr>
          <w:p>
            <w:pPr>
              <w:pStyle w:val="TableParagraph"/>
              <w:jc w:val="left"/>
              <w:rPr>
                <w:sz w:val="10"/>
              </w:rPr>
            </w:pPr>
          </w:p>
        </w:tc>
        <w:tc>
          <w:tcPr>
            <w:tcW w:w="475" w:type="dxa"/>
          </w:tcPr>
          <w:p>
            <w:pPr>
              <w:pStyle w:val="TableParagraph"/>
              <w:jc w:val="left"/>
              <w:rPr>
                <w:sz w:val="10"/>
              </w:rPr>
            </w:pPr>
          </w:p>
        </w:tc>
        <w:tc>
          <w:tcPr>
            <w:tcW w:w="1117" w:type="dxa"/>
          </w:tcPr>
          <w:p>
            <w:pPr>
              <w:pStyle w:val="TableParagraph"/>
              <w:jc w:val="left"/>
              <w:rPr>
                <w:sz w:val="10"/>
              </w:rPr>
            </w:pPr>
          </w:p>
        </w:tc>
        <w:tc>
          <w:tcPr>
            <w:tcW w:w="606" w:type="dxa"/>
          </w:tcPr>
          <w:p>
            <w:pPr>
              <w:pStyle w:val="TableParagraph"/>
              <w:jc w:val="left"/>
              <w:rPr>
                <w:sz w:val="10"/>
              </w:rPr>
            </w:pPr>
          </w:p>
        </w:tc>
        <w:tc>
          <w:tcPr>
            <w:tcW w:w="544" w:type="dxa"/>
          </w:tcPr>
          <w:p>
            <w:pPr>
              <w:pStyle w:val="TableParagraph"/>
              <w:jc w:val="left"/>
              <w:rPr>
                <w:sz w:val="10"/>
              </w:rPr>
            </w:pPr>
          </w:p>
        </w:tc>
        <w:tc>
          <w:tcPr>
            <w:tcW w:w="965" w:type="dxa"/>
          </w:tcPr>
          <w:p>
            <w:pPr>
              <w:pStyle w:val="TableParagraph"/>
              <w:spacing w:line="141" w:lineRule="exact"/>
              <w:ind w:left="33"/>
              <w:jc w:val="left"/>
              <w:rPr>
                <w:sz w:val="14"/>
              </w:rPr>
            </w:pPr>
            <w:r>
              <w:rPr>
                <w:sz w:val="14"/>
              </w:rPr>
              <w:t>Sudan </w:t>
            </w:r>
            <w:r>
              <w:rPr>
                <w:spacing w:val="-2"/>
                <w:sz w:val="14"/>
              </w:rPr>
              <w:t>(775)</w:t>
            </w:r>
          </w:p>
        </w:tc>
        <w:tc>
          <w:tcPr>
            <w:tcW w:w="602" w:type="dxa"/>
          </w:tcPr>
          <w:p>
            <w:pPr>
              <w:pStyle w:val="TableParagraph"/>
              <w:jc w:val="left"/>
              <w:rPr>
                <w:sz w:val="10"/>
              </w:rPr>
            </w:pPr>
          </w:p>
        </w:tc>
        <w:tc>
          <w:tcPr>
            <w:tcW w:w="475" w:type="dxa"/>
          </w:tcPr>
          <w:p>
            <w:pPr>
              <w:pStyle w:val="TableParagraph"/>
              <w:jc w:val="left"/>
              <w:rPr>
                <w:sz w:val="10"/>
              </w:rPr>
            </w:pPr>
          </w:p>
        </w:tc>
        <w:tc>
          <w:tcPr>
            <w:tcW w:w="1041" w:type="dxa"/>
          </w:tcPr>
          <w:p>
            <w:pPr>
              <w:pStyle w:val="TableParagraph"/>
              <w:spacing w:line="141" w:lineRule="exact"/>
              <w:ind w:left="17"/>
              <w:jc w:val="left"/>
              <w:rPr>
                <w:sz w:val="14"/>
              </w:rPr>
            </w:pPr>
            <w:r>
              <w:rPr>
                <w:sz w:val="14"/>
              </w:rPr>
              <w:t>across</w:t>
            </w:r>
            <w:r>
              <w:rPr>
                <w:spacing w:val="-6"/>
                <w:sz w:val="14"/>
              </w:rPr>
              <w:t> </w:t>
            </w:r>
            <w:r>
              <w:rPr>
                <w:spacing w:val="-2"/>
                <w:sz w:val="14"/>
              </w:rPr>
              <w:t>other</w:t>
            </w:r>
          </w:p>
        </w:tc>
        <w:tc>
          <w:tcPr>
            <w:tcW w:w="587" w:type="dxa"/>
          </w:tcPr>
          <w:p>
            <w:pPr>
              <w:pStyle w:val="TableParagraph"/>
              <w:jc w:val="left"/>
              <w:rPr>
                <w:sz w:val="10"/>
              </w:rPr>
            </w:pPr>
          </w:p>
        </w:tc>
        <w:tc>
          <w:tcPr>
            <w:tcW w:w="1212" w:type="dxa"/>
          </w:tcPr>
          <w:p>
            <w:pPr>
              <w:pStyle w:val="TableParagraph"/>
              <w:jc w:val="left"/>
              <w:rPr>
                <w:sz w:val="10"/>
              </w:rPr>
            </w:pPr>
          </w:p>
        </w:tc>
        <w:tc>
          <w:tcPr>
            <w:tcW w:w="587" w:type="dxa"/>
          </w:tcPr>
          <w:p>
            <w:pPr>
              <w:pStyle w:val="TableParagraph"/>
              <w:jc w:val="left"/>
              <w:rPr>
                <w:sz w:val="10"/>
              </w:rPr>
            </w:pPr>
          </w:p>
        </w:tc>
        <w:tc>
          <w:tcPr>
            <w:tcW w:w="1011" w:type="dxa"/>
          </w:tcPr>
          <w:p>
            <w:pPr>
              <w:pStyle w:val="TableParagraph"/>
              <w:jc w:val="left"/>
              <w:rPr>
                <w:sz w:val="10"/>
              </w:rPr>
            </w:pPr>
          </w:p>
        </w:tc>
      </w:tr>
      <w:tr>
        <w:trPr>
          <w:trHeight w:val="160" w:hRule="atLeast"/>
        </w:trPr>
        <w:tc>
          <w:tcPr>
            <w:tcW w:w="226" w:type="dxa"/>
          </w:tcPr>
          <w:p>
            <w:pPr>
              <w:pStyle w:val="TableParagraph"/>
              <w:jc w:val="left"/>
              <w:rPr>
                <w:sz w:val="10"/>
              </w:rPr>
            </w:pPr>
          </w:p>
        </w:tc>
        <w:tc>
          <w:tcPr>
            <w:tcW w:w="749" w:type="dxa"/>
          </w:tcPr>
          <w:p>
            <w:pPr>
              <w:pStyle w:val="TableParagraph"/>
              <w:jc w:val="left"/>
              <w:rPr>
                <w:sz w:val="10"/>
              </w:rPr>
            </w:pPr>
          </w:p>
        </w:tc>
        <w:tc>
          <w:tcPr>
            <w:tcW w:w="591" w:type="dxa"/>
          </w:tcPr>
          <w:p>
            <w:pPr>
              <w:pStyle w:val="TableParagraph"/>
              <w:jc w:val="left"/>
              <w:rPr>
                <w:sz w:val="10"/>
              </w:rPr>
            </w:pPr>
          </w:p>
        </w:tc>
        <w:tc>
          <w:tcPr>
            <w:tcW w:w="475" w:type="dxa"/>
          </w:tcPr>
          <w:p>
            <w:pPr>
              <w:pStyle w:val="TableParagraph"/>
              <w:jc w:val="left"/>
              <w:rPr>
                <w:sz w:val="10"/>
              </w:rPr>
            </w:pPr>
          </w:p>
        </w:tc>
        <w:tc>
          <w:tcPr>
            <w:tcW w:w="1117" w:type="dxa"/>
          </w:tcPr>
          <w:p>
            <w:pPr>
              <w:pStyle w:val="TableParagraph"/>
              <w:jc w:val="left"/>
              <w:rPr>
                <w:sz w:val="10"/>
              </w:rPr>
            </w:pPr>
          </w:p>
        </w:tc>
        <w:tc>
          <w:tcPr>
            <w:tcW w:w="606" w:type="dxa"/>
          </w:tcPr>
          <w:p>
            <w:pPr>
              <w:pStyle w:val="TableParagraph"/>
              <w:jc w:val="left"/>
              <w:rPr>
                <w:sz w:val="10"/>
              </w:rPr>
            </w:pPr>
          </w:p>
        </w:tc>
        <w:tc>
          <w:tcPr>
            <w:tcW w:w="544" w:type="dxa"/>
          </w:tcPr>
          <w:p>
            <w:pPr>
              <w:pStyle w:val="TableParagraph"/>
              <w:jc w:val="left"/>
              <w:rPr>
                <w:sz w:val="10"/>
              </w:rPr>
            </w:pPr>
          </w:p>
        </w:tc>
        <w:tc>
          <w:tcPr>
            <w:tcW w:w="965" w:type="dxa"/>
          </w:tcPr>
          <w:p>
            <w:pPr>
              <w:pStyle w:val="TableParagraph"/>
              <w:jc w:val="left"/>
              <w:rPr>
                <w:sz w:val="10"/>
              </w:rPr>
            </w:pPr>
          </w:p>
        </w:tc>
        <w:tc>
          <w:tcPr>
            <w:tcW w:w="602" w:type="dxa"/>
          </w:tcPr>
          <w:p>
            <w:pPr>
              <w:pStyle w:val="TableParagraph"/>
              <w:jc w:val="left"/>
              <w:rPr>
                <w:sz w:val="10"/>
              </w:rPr>
            </w:pPr>
          </w:p>
        </w:tc>
        <w:tc>
          <w:tcPr>
            <w:tcW w:w="475" w:type="dxa"/>
          </w:tcPr>
          <w:p>
            <w:pPr>
              <w:pStyle w:val="TableParagraph"/>
              <w:jc w:val="left"/>
              <w:rPr>
                <w:sz w:val="10"/>
              </w:rPr>
            </w:pPr>
          </w:p>
        </w:tc>
        <w:tc>
          <w:tcPr>
            <w:tcW w:w="1041" w:type="dxa"/>
          </w:tcPr>
          <w:p>
            <w:pPr>
              <w:pStyle w:val="TableParagraph"/>
              <w:spacing w:line="141" w:lineRule="exact"/>
              <w:ind w:left="17"/>
              <w:jc w:val="left"/>
              <w:rPr>
                <w:sz w:val="14"/>
              </w:rPr>
            </w:pPr>
            <w:r>
              <w:rPr>
                <w:spacing w:val="-2"/>
                <w:sz w:val="14"/>
              </w:rPr>
              <w:t>cases/situations</w:t>
            </w:r>
          </w:p>
        </w:tc>
        <w:tc>
          <w:tcPr>
            <w:tcW w:w="587" w:type="dxa"/>
          </w:tcPr>
          <w:p>
            <w:pPr>
              <w:pStyle w:val="TableParagraph"/>
              <w:jc w:val="left"/>
              <w:rPr>
                <w:sz w:val="10"/>
              </w:rPr>
            </w:pPr>
          </w:p>
        </w:tc>
        <w:tc>
          <w:tcPr>
            <w:tcW w:w="1212" w:type="dxa"/>
          </w:tcPr>
          <w:p>
            <w:pPr>
              <w:pStyle w:val="TableParagraph"/>
              <w:jc w:val="left"/>
              <w:rPr>
                <w:sz w:val="10"/>
              </w:rPr>
            </w:pPr>
          </w:p>
        </w:tc>
        <w:tc>
          <w:tcPr>
            <w:tcW w:w="587" w:type="dxa"/>
          </w:tcPr>
          <w:p>
            <w:pPr>
              <w:pStyle w:val="TableParagraph"/>
              <w:jc w:val="left"/>
              <w:rPr>
                <w:sz w:val="10"/>
              </w:rPr>
            </w:pPr>
          </w:p>
        </w:tc>
        <w:tc>
          <w:tcPr>
            <w:tcW w:w="1011" w:type="dxa"/>
          </w:tcPr>
          <w:p>
            <w:pPr>
              <w:pStyle w:val="TableParagraph"/>
              <w:jc w:val="left"/>
              <w:rPr>
                <w:sz w:val="10"/>
              </w:rPr>
            </w:pPr>
          </w:p>
        </w:tc>
      </w:tr>
      <w:tr>
        <w:trPr>
          <w:trHeight w:val="160" w:hRule="atLeast"/>
        </w:trPr>
        <w:tc>
          <w:tcPr>
            <w:tcW w:w="226" w:type="dxa"/>
          </w:tcPr>
          <w:p>
            <w:pPr>
              <w:pStyle w:val="TableParagraph"/>
              <w:jc w:val="left"/>
              <w:rPr>
                <w:sz w:val="10"/>
              </w:rPr>
            </w:pPr>
          </w:p>
        </w:tc>
        <w:tc>
          <w:tcPr>
            <w:tcW w:w="749" w:type="dxa"/>
          </w:tcPr>
          <w:p>
            <w:pPr>
              <w:pStyle w:val="TableParagraph"/>
              <w:jc w:val="left"/>
              <w:rPr>
                <w:sz w:val="10"/>
              </w:rPr>
            </w:pPr>
          </w:p>
        </w:tc>
        <w:tc>
          <w:tcPr>
            <w:tcW w:w="591" w:type="dxa"/>
          </w:tcPr>
          <w:p>
            <w:pPr>
              <w:pStyle w:val="TableParagraph"/>
              <w:jc w:val="left"/>
              <w:rPr>
                <w:sz w:val="10"/>
              </w:rPr>
            </w:pPr>
          </w:p>
        </w:tc>
        <w:tc>
          <w:tcPr>
            <w:tcW w:w="475" w:type="dxa"/>
          </w:tcPr>
          <w:p>
            <w:pPr>
              <w:pStyle w:val="TableParagraph"/>
              <w:jc w:val="left"/>
              <w:rPr>
                <w:sz w:val="10"/>
              </w:rPr>
            </w:pPr>
          </w:p>
        </w:tc>
        <w:tc>
          <w:tcPr>
            <w:tcW w:w="1117" w:type="dxa"/>
          </w:tcPr>
          <w:p>
            <w:pPr>
              <w:pStyle w:val="TableParagraph"/>
              <w:jc w:val="left"/>
              <w:rPr>
                <w:sz w:val="10"/>
              </w:rPr>
            </w:pPr>
          </w:p>
        </w:tc>
        <w:tc>
          <w:tcPr>
            <w:tcW w:w="606" w:type="dxa"/>
          </w:tcPr>
          <w:p>
            <w:pPr>
              <w:pStyle w:val="TableParagraph"/>
              <w:jc w:val="left"/>
              <w:rPr>
                <w:sz w:val="10"/>
              </w:rPr>
            </w:pPr>
          </w:p>
        </w:tc>
        <w:tc>
          <w:tcPr>
            <w:tcW w:w="544" w:type="dxa"/>
          </w:tcPr>
          <w:p>
            <w:pPr>
              <w:pStyle w:val="TableParagraph"/>
              <w:jc w:val="left"/>
              <w:rPr>
                <w:sz w:val="10"/>
              </w:rPr>
            </w:pPr>
          </w:p>
        </w:tc>
        <w:tc>
          <w:tcPr>
            <w:tcW w:w="965" w:type="dxa"/>
          </w:tcPr>
          <w:p>
            <w:pPr>
              <w:pStyle w:val="TableParagraph"/>
              <w:jc w:val="left"/>
              <w:rPr>
                <w:sz w:val="10"/>
              </w:rPr>
            </w:pPr>
          </w:p>
        </w:tc>
        <w:tc>
          <w:tcPr>
            <w:tcW w:w="602" w:type="dxa"/>
          </w:tcPr>
          <w:p>
            <w:pPr>
              <w:pStyle w:val="TableParagraph"/>
              <w:jc w:val="left"/>
              <w:rPr>
                <w:sz w:val="10"/>
              </w:rPr>
            </w:pPr>
          </w:p>
        </w:tc>
        <w:tc>
          <w:tcPr>
            <w:tcW w:w="475" w:type="dxa"/>
          </w:tcPr>
          <w:p>
            <w:pPr>
              <w:pStyle w:val="TableParagraph"/>
              <w:jc w:val="left"/>
              <w:rPr>
                <w:sz w:val="10"/>
              </w:rPr>
            </w:pPr>
          </w:p>
        </w:tc>
        <w:tc>
          <w:tcPr>
            <w:tcW w:w="1041" w:type="dxa"/>
          </w:tcPr>
          <w:p>
            <w:pPr>
              <w:pStyle w:val="TableParagraph"/>
              <w:spacing w:line="141" w:lineRule="exact"/>
              <w:ind w:left="17"/>
              <w:jc w:val="left"/>
              <w:rPr>
                <w:sz w:val="14"/>
              </w:rPr>
            </w:pPr>
            <w:r>
              <w:rPr>
                <w:sz w:val="14"/>
              </w:rPr>
              <w:t>(50). </w:t>
            </w:r>
            <w:r>
              <w:rPr>
                <w:spacing w:val="-5"/>
                <w:sz w:val="14"/>
              </w:rPr>
              <w:t>The</w:t>
            </w:r>
          </w:p>
        </w:tc>
        <w:tc>
          <w:tcPr>
            <w:tcW w:w="587" w:type="dxa"/>
          </w:tcPr>
          <w:p>
            <w:pPr>
              <w:pStyle w:val="TableParagraph"/>
              <w:jc w:val="left"/>
              <w:rPr>
                <w:sz w:val="10"/>
              </w:rPr>
            </w:pPr>
          </w:p>
        </w:tc>
        <w:tc>
          <w:tcPr>
            <w:tcW w:w="1212" w:type="dxa"/>
          </w:tcPr>
          <w:p>
            <w:pPr>
              <w:pStyle w:val="TableParagraph"/>
              <w:jc w:val="left"/>
              <w:rPr>
                <w:sz w:val="10"/>
              </w:rPr>
            </w:pPr>
          </w:p>
        </w:tc>
        <w:tc>
          <w:tcPr>
            <w:tcW w:w="587" w:type="dxa"/>
          </w:tcPr>
          <w:p>
            <w:pPr>
              <w:pStyle w:val="TableParagraph"/>
              <w:jc w:val="left"/>
              <w:rPr>
                <w:sz w:val="10"/>
              </w:rPr>
            </w:pPr>
          </w:p>
        </w:tc>
        <w:tc>
          <w:tcPr>
            <w:tcW w:w="1011" w:type="dxa"/>
          </w:tcPr>
          <w:p>
            <w:pPr>
              <w:pStyle w:val="TableParagraph"/>
              <w:jc w:val="left"/>
              <w:rPr>
                <w:sz w:val="10"/>
              </w:rPr>
            </w:pPr>
          </w:p>
        </w:tc>
      </w:tr>
      <w:tr>
        <w:trPr>
          <w:trHeight w:val="161" w:hRule="atLeast"/>
        </w:trPr>
        <w:tc>
          <w:tcPr>
            <w:tcW w:w="226" w:type="dxa"/>
          </w:tcPr>
          <w:p>
            <w:pPr>
              <w:pStyle w:val="TableParagraph"/>
              <w:jc w:val="left"/>
              <w:rPr>
                <w:sz w:val="10"/>
              </w:rPr>
            </w:pPr>
          </w:p>
        </w:tc>
        <w:tc>
          <w:tcPr>
            <w:tcW w:w="749" w:type="dxa"/>
          </w:tcPr>
          <w:p>
            <w:pPr>
              <w:pStyle w:val="TableParagraph"/>
              <w:jc w:val="left"/>
              <w:rPr>
                <w:sz w:val="10"/>
              </w:rPr>
            </w:pPr>
          </w:p>
        </w:tc>
        <w:tc>
          <w:tcPr>
            <w:tcW w:w="591" w:type="dxa"/>
          </w:tcPr>
          <w:p>
            <w:pPr>
              <w:pStyle w:val="TableParagraph"/>
              <w:jc w:val="left"/>
              <w:rPr>
                <w:sz w:val="10"/>
              </w:rPr>
            </w:pPr>
          </w:p>
        </w:tc>
        <w:tc>
          <w:tcPr>
            <w:tcW w:w="475" w:type="dxa"/>
          </w:tcPr>
          <w:p>
            <w:pPr>
              <w:pStyle w:val="TableParagraph"/>
              <w:jc w:val="left"/>
              <w:rPr>
                <w:sz w:val="10"/>
              </w:rPr>
            </w:pPr>
          </w:p>
        </w:tc>
        <w:tc>
          <w:tcPr>
            <w:tcW w:w="1117" w:type="dxa"/>
          </w:tcPr>
          <w:p>
            <w:pPr>
              <w:pStyle w:val="TableParagraph"/>
              <w:jc w:val="left"/>
              <w:rPr>
                <w:sz w:val="10"/>
              </w:rPr>
            </w:pPr>
          </w:p>
        </w:tc>
        <w:tc>
          <w:tcPr>
            <w:tcW w:w="606" w:type="dxa"/>
          </w:tcPr>
          <w:p>
            <w:pPr>
              <w:pStyle w:val="TableParagraph"/>
              <w:jc w:val="left"/>
              <w:rPr>
                <w:sz w:val="10"/>
              </w:rPr>
            </w:pPr>
          </w:p>
        </w:tc>
        <w:tc>
          <w:tcPr>
            <w:tcW w:w="544" w:type="dxa"/>
          </w:tcPr>
          <w:p>
            <w:pPr>
              <w:pStyle w:val="TableParagraph"/>
              <w:jc w:val="left"/>
              <w:rPr>
                <w:sz w:val="10"/>
              </w:rPr>
            </w:pPr>
          </w:p>
        </w:tc>
        <w:tc>
          <w:tcPr>
            <w:tcW w:w="965" w:type="dxa"/>
          </w:tcPr>
          <w:p>
            <w:pPr>
              <w:pStyle w:val="TableParagraph"/>
              <w:jc w:val="left"/>
              <w:rPr>
                <w:sz w:val="10"/>
              </w:rPr>
            </w:pPr>
          </w:p>
        </w:tc>
        <w:tc>
          <w:tcPr>
            <w:tcW w:w="602" w:type="dxa"/>
          </w:tcPr>
          <w:p>
            <w:pPr>
              <w:pStyle w:val="TableParagraph"/>
              <w:jc w:val="left"/>
              <w:rPr>
                <w:sz w:val="10"/>
              </w:rPr>
            </w:pPr>
          </w:p>
        </w:tc>
        <w:tc>
          <w:tcPr>
            <w:tcW w:w="475" w:type="dxa"/>
          </w:tcPr>
          <w:p>
            <w:pPr>
              <w:pStyle w:val="TableParagraph"/>
              <w:jc w:val="left"/>
              <w:rPr>
                <w:sz w:val="10"/>
              </w:rPr>
            </w:pPr>
          </w:p>
        </w:tc>
        <w:tc>
          <w:tcPr>
            <w:tcW w:w="1041" w:type="dxa"/>
          </w:tcPr>
          <w:p>
            <w:pPr>
              <w:pStyle w:val="TableParagraph"/>
              <w:spacing w:line="141" w:lineRule="exact"/>
              <w:ind w:left="17"/>
              <w:jc w:val="left"/>
              <w:rPr>
                <w:sz w:val="14"/>
              </w:rPr>
            </w:pPr>
            <w:r>
              <w:rPr>
                <w:spacing w:val="-2"/>
                <w:sz w:val="14"/>
              </w:rPr>
              <w:t>remaining</w:t>
            </w:r>
          </w:p>
        </w:tc>
        <w:tc>
          <w:tcPr>
            <w:tcW w:w="587" w:type="dxa"/>
          </w:tcPr>
          <w:p>
            <w:pPr>
              <w:pStyle w:val="TableParagraph"/>
              <w:jc w:val="left"/>
              <w:rPr>
                <w:sz w:val="10"/>
              </w:rPr>
            </w:pPr>
          </w:p>
        </w:tc>
        <w:tc>
          <w:tcPr>
            <w:tcW w:w="1212" w:type="dxa"/>
          </w:tcPr>
          <w:p>
            <w:pPr>
              <w:pStyle w:val="TableParagraph"/>
              <w:jc w:val="left"/>
              <w:rPr>
                <w:sz w:val="10"/>
              </w:rPr>
            </w:pPr>
          </w:p>
        </w:tc>
        <w:tc>
          <w:tcPr>
            <w:tcW w:w="587" w:type="dxa"/>
          </w:tcPr>
          <w:p>
            <w:pPr>
              <w:pStyle w:val="TableParagraph"/>
              <w:jc w:val="left"/>
              <w:rPr>
                <w:sz w:val="10"/>
              </w:rPr>
            </w:pPr>
          </w:p>
        </w:tc>
        <w:tc>
          <w:tcPr>
            <w:tcW w:w="1011" w:type="dxa"/>
          </w:tcPr>
          <w:p>
            <w:pPr>
              <w:pStyle w:val="TableParagraph"/>
              <w:jc w:val="left"/>
              <w:rPr>
                <w:sz w:val="10"/>
              </w:rPr>
            </w:pPr>
          </w:p>
        </w:tc>
      </w:tr>
      <w:tr>
        <w:trPr>
          <w:trHeight w:val="160" w:hRule="atLeast"/>
        </w:trPr>
        <w:tc>
          <w:tcPr>
            <w:tcW w:w="226" w:type="dxa"/>
          </w:tcPr>
          <w:p>
            <w:pPr>
              <w:pStyle w:val="TableParagraph"/>
              <w:jc w:val="left"/>
              <w:rPr>
                <w:sz w:val="10"/>
              </w:rPr>
            </w:pPr>
          </w:p>
        </w:tc>
        <w:tc>
          <w:tcPr>
            <w:tcW w:w="749" w:type="dxa"/>
          </w:tcPr>
          <w:p>
            <w:pPr>
              <w:pStyle w:val="TableParagraph"/>
              <w:jc w:val="left"/>
              <w:rPr>
                <w:sz w:val="10"/>
              </w:rPr>
            </w:pPr>
          </w:p>
        </w:tc>
        <w:tc>
          <w:tcPr>
            <w:tcW w:w="591" w:type="dxa"/>
          </w:tcPr>
          <w:p>
            <w:pPr>
              <w:pStyle w:val="TableParagraph"/>
              <w:jc w:val="left"/>
              <w:rPr>
                <w:sz w:val="10"/>
              </w:rPr>
            </w:pPr>
          </w:p>
        </w:tc>
        <w:tc>
          <w:tcPr>
            <w:tcW w:w="475" w:type="dxa"/>
          </w:tcPr>
          <w:p>
            <w:pPr>
              <w:pStyle w:val="TableParagraph"/>
              <w:jc w:val="left"/>
              <w:rPr>
                <w:sz w:val="10"/>
              </w:rPr>
            </w:pPr>
          </w:p>
        </w:tc>
        <w:tc>
          <w:tcPr>
            <w:tcW w:w="1117" w:type="dxa"/>
          </w:tcPr>
          <w:p>
            <w:pPr>
              <w:pStyle w:val="TableParagraph"/>
              <w:jc w:val="left"/>
              <w:rPr>
                <w:sz w:val="10"/>
              </w:rPr>
            </w:pPr>
          </w:p>
        </w:tc>
        <w:tc>
          <w:tcPr>
            <w:tcW w:w="606" w:type="dxa"/>
          </w:tcPr>
          <w:p>
            <w:pPr>
              <w:pStyle w:val="TableParagraph"/>
              <w:jc w:val="left"/>
              <w:rPr>
                <w:sz w:val="10"/>
              </w:rPr>
            </w:pPr>
          </w:p>
        </w:tc>
        <w:tc>
          <w:tcPr>
            <w:tcW w:w="544" w:type="dxa"/>
          </w:tcPr>
          <w:p>
            <w:pPr>
              <w:pStyle w:val="TableParagraph"/>
              <w:jc w:val="left"/>
              <w:rPr>
                <w:sz w:val="10"/>
              </w:rPr>
            </w:pPr>
          </w:p>
        </w:tc>
        <w:tc>
          <w:tcPr>
            <w:tcW w:w="965" w:type="dxa"/>
          </w:tcPr>
          <w:p>
            <w:pPr>
              <w:pStyle w:val="TableParagraph"/>
              <w:jc w:val="left"/>
              <w:rPr>
                <w:sz w:val="10"/>
              </w:rPr>
            </w:pPr>
          </w:p>
        </w:tc>
        <w:tc>
          <w:tcPr>
            <w:tcW w:w="602" w:type="dxa"/>
          </w:tcPr>
          <w:p>
            <w:pPr>
              <w:pStyle w:val="TableParagraph"/>
              <w:jc w:val="left"/>
              <w:rPr>
                <w:sz w:val="10"/>
              </w:rPr>
            </w:pPr>
          </w:p>
        </w:tc>
        <w:tc>
          <w:tcPr>
            <w:tcW w:w="475" w:type="dxa"/>
          </w:tcPr>
          <w:p>
            <w:pPr>
              <w:pStyle w:val="TableParagraph"/>
              <w:jc w:val="left"/>
              <w:rPr>
                <w:sz w:val="10"/>
              </w:rPr>
            </w:pPr>
          </w:p>
        </w:tc>
        <w:tc>
          <w:tcPr>
            <w:tcW w:w="1041" w:type="dxa"/>
          </w:tcPr>
          <w:p>
            <w:pPr>
              <w:pStyle w:val="TableParagraph"/>
              <w:spacing w:line="141" w:lineRule="exact"/>
              <w:ind w:left="17"/>
              <w:jc w:val="left"/>
              <w:rPr>
                <w:sz w:val="14"/>
              </w:rPr>
            </w:pPr>
            <w:r>
              <w:rPr>
                <w:sz w:val="14"/>
              </w:rPr>
              <w:t>variance</w:t>
            </w:r>
            <w:r>
              <w:rPr>
                <w:spacing w:val="-4"/>
                <w:sz w:val="14"/>
              </w:rPr>
              <w:t> </w:t>
            </w:r>
            <w:r>
              <w:rPr>
                <w:sz w:val="14"/>
              </w:rPr>
              <w:t>from</w:t>
            </w:r>
            <w:r>
              <w:rPr>
                <w:spacing w:val="-2"/>
                <w:sz w:val="14"/>
              </w:rPr>
              <w:t> </w:t>
            </w:r>
            <w:r>
              <w:rPr>
                <w:spacing w:val="-5"/>
                <w:sz w:val="14"/>
              </w:rPr>
              <w:t>the</w:t>
            </w:r>
          </w:p>
        </w:tc>
        <w:tc>
          <w:tcPr>
            <w:tcW w:w="587" w:type="dxa"/>
          </w:tcPr>
          <w:p>
            <w:pPr>
              <w:pStyle w:val="TableParagraph"/>
              <w:jc w:val="left"/>
              <w:rPr>
                <w:sz w:val="10"/>
              </w:rPr>
            </w:pPr>
          </w:p>
        </w:tc>
        <w:tc>
          <w:tcPr>
            <w:tcW w:w="1212" w:type="dxa"/>
          </w:tcPr>
          <w:p>
            <w:pPr>
              <w:pStyle w:val="TableParagraph"/>
              <w:jc w:val="left"/>
              <w:rPr>
                <w:sz w:val="10"/>
              </w:rPr>
            </w:pPr>
          </w:p>
        </w:tc>
        <w:tc>
          <w:tcPr>
            <w:tcW w:w="587" w:type="dxa"/>
          </w:tcPr>
          <w:p>
            <w:pPr>
              <w:pStyle w:val="TableParagraph"/>
              <w:jc w:val="left"/>
              <w:rPr>
                <w:sz w:val="10"/>
              </w:rPr>
            </w:pPr>
          </w:p>
        </w:tc>
        <w:tc>
          <w:tcPr>
            <w:tcW w:w="1011" w:type="dxa"/>
          </w:tcPr>
          <w:p>
            <w:pPr>
              <w:pStyle w:val="TableParagraph"/>
              <w:jc w:val="left"/>
              <w:rPr>
                <w:sz w:val="10"/>
              </w:rPr>
            </w:pPr>
          </w:p>
        </w:tc>
      </w:tr>
      <w:tr>
        <w:trPr>
          <w:trHeight w:val="163" w:hRule="atLeast"/>
        </w:trPr>
        <w:tc>
          <w:tcPr>
            <w:tcW w:w="226" w:type="dxa"/>
          </w:tcPr>
          <w:p>
            <w:pPr>
              <w:pStyle w:val="TableParagraph"/>
              <w:jc w:val="left"/>
              <w:rPr>
                <w:sz w:val="10"/>
              </w:rPr>
            </w:pPr>
          </w:p>
        </w:tc>
        <w:tc>
          <w:tcPr>
            <w:tcW w:w="749" w:type="dxa"/>
          </w:tcPr>
          <w:p>
            <w:pPr>
              <w:pStyle w:val="TableParagraph"/>
              <w:jc w:val="left"/>
              <w:rPr>
                <w:sz w:val="10"/>
              </w:rPr>
            </w:pPr>
          </w:p>
        </w:tc>
        <w:tc>
          <w:tcPr>
            <w:tcW w:w="591" w:type="dxa"/>
          </w:tcPr>
          <w:p>
            <w:pPr>
              <w:pStyle w:val="TableParagraph"/>
              <w:jc w:val="left"/>
              <w:rPr>
                <w:sz w:val="10"/>
              </w:rPr>
            </w:pPr>
          </w:p>
        </w:tc>
        <w:tc>
          <w:tcPr>
            <w:tcW w:w="475" w:type="dxa"/>
          </w:tcPr>
          <w:p>
            <w:pPr>
              <w:pStyle w:val="TableParagraph"/>
              <w:jc w:val="left"/>
              <w:rPr>
                <w:sz w:val="10"/>
              </w:rPr>
            </w:pPr>
          </w:p>
        </w:tc>
        <w:tc>
          <w:tcPr>
            <w:tcW w:w="1117" w:type="dxa"/>
          </w:tcPr>
          <w:p>
            <w:pPr>
              <w:pStyle w:val="TableParagraph"/>
              <w:jc w:val="left"/>
              <w:rPr>
                <w:sz w:val="10"/>
              </w:rPr>
            </w:pPr>
          </w:p>
        </w:tc>
        <w:tc>
          <w:tcPr>
            <w:tcW w:w="606" w:type="dxa"/>
          </w:tcPr>
          <w:p>
            <w:pPr>
              <w:pStyle w:val="TableParagraph"/>
              <w:jc w:val="left"/>
              <w:rPr>
                <w:sz w:val="10"/>
              </w:rPr>
            </w:pPr>
          </w:p>
        </w:tc>
        <w:tc>
          <w:tcPr>
            <w:tcW w:w="544" w:type="dxa"/>
          </w:tcPr>
          <w:p>
            <w:pPr>
              <w:pStyle w:val="TableParagraph"/>
              <w:jc w:val="left"/>
              <w:rPr>
                <w:sz w:val="10"/>
              </w:rPr>
            </w:pPr>
          </w:p>
        </w:tc>
        <w:tc>
          <w:tcPr>
            <w:tcW w:w="965" w:type="dxa"/>
          </w:tcPr>
          <w:p>
            <w:pPr>
              <w:pStyle w:val="TableParagraph"/>
              <w:jc w:val="left"/>
              <w:rPr>
                <w:sz w:val="10"/>
              </w:rPr>
            </w:pPr>
          </w:p>
        </w:tc>
        <w:tc>
          <w:tcPr>
            <w:tcW w:w="602" w:type="dxa"/>
          </w:tcPr>
          <w:p>
            <w:pPr>
              <w:pStyle w:val="TableParagraph"/>
              <w:jc w:val="left"/>
              <w:rPr>
                <w:sz w:val="10"/>
              </w:rPr>
            </w:pPr>
          </w:p>
        </w:tc>
        <w:tc>
          <w:tcPr>
            <w:tcW w:w="475" w:type="dxa"/>
          </w:tcPr>
          <w:p>
            <w:pPr>
              <w:pStyle w:val="TableParagraph"/>
              <w:jc w:val="left"/>
              <w:rPr>
                <w:sz w:val="10"/>
              </w:rPr>
            </w:pPr>
          </w:p>
        </w:tc>
        <w:tc>
          <w:tcPr>
            <w:tcW w:w="1041" w:type="dxa"/>
          </w:tcPr>
          <w:p>
            <w:pPr>
              <w:pStyle w:val="TableParagraph"/>
              <w:spacing w:line="143" w:lineRule="exact"/>
              <w:ind w:left="17"/>
              <w:jc w:val="left"/>
              <w:rPr>
                <w:sz w:val="14"/>
              </w:rPr>
            </w:pPr>
            <w:r>
              <w:rPr>
                <w:sz w:val="14"/>
              </w:rPr>
              <w:t>assumption</w:t>
            </w:r>
            <w:r>
              <w:rPr>
                <w:spacing w:val="-5"/>
                <w:sz w:val="14"/>
              </w:rPr>
              <w:t> is</w:t>
            </w:r>
          </w:p>
        </w:tc>
        <w:tc>
          <w:tcPr>
            <w:tcW w:w="587" w:type="dxa"/>
          </w:tcPr>
          <w:p>
            <w:pPr>
              <w:pStyle w:val="TableParagraph"/>
              <w:jc w:val="left"/>
              <w:rPr>
                <w:sz w:val="10"/>
              </w:rPr>
            </w:pPr>
          </w:p>
        </w:tc>
        <w:tc>
          <w:tcPr>
            <w:tcW w:w="1212" w:type="dxa"/>
          </w:tcPr>
          <w:p>
            <w:pPr>
              <w:pStyle w:val="TableParagraph"/>
              <w:jc w:val="left"/>
              <w:rPr>
                <w:sz w:val="10"/>
              </w:rPr>
            </w:pPr>
          </w:p>
        </w:tc>
        <w:tc>
          <w:tcPr>
            <w:tcW w:w="587" w:type="dxa"/>
          </w:tcPr>
          <w:p>
            <w:pPr>
              <w:pStyle w:val="TableParagraph"/>
              <w:jc w:val="left"/>
              <w:rPr>
                <w:sz w:val="10"/>
              </w:rPr>
            </w:pPr>
          </w:p>
        </w:tc>
        <w:tc>
          <w:tcPr>
            <w:tcW w:w="1011" w:type="dxa"/>
          </w:tcPr>
          <w:p>
            <w:pPr>
              <w:pStyle w:val="TableParagraph"/>
              <w:jc w:val="left"/>
              <w:rPr>
                <w:sz w:val="10"/>
              </w:rPr>
            </w:pPr>
          </w:p>
        </w:tc>
      </w:tr>
      <w:tr>
        <w:trPr>
          <w:trHeight w:val="160" w:hRule="atLeast"/>
        </w:trPr>
        <w:tc>
          <w:tcPr>
            <w:tcW w:w="226" w:type="dxa"/>
          </w:tcPr>
          <w:p>
            <w:pPr>
              <w:pStyle w:val="TableParagraph"/>
              <w:jc w:val="left"/>
              <w:rPr>
                <w:sz w:val="10"/>
              </w:rPr>
            </w:pPr>
          </w:p>
        </w:tc>
        <w:tc>
          <w:tcPr>
            <w:tcW w:w="749" w:type="dxa"/>
          </w:tcPr>
          <w:p>
            <w:pPr>
              <w:pStyle w:val="TableParagraph"/>
              <w:jc w:val="left"/>
              <w:rPr>
                <w:sz w:val="10"/>
              </w:rPr>
            </w:pPr>
          </w:p>
        </w:tc>
        <w:tc>
          <w:tcPr>
            <w:tcW w:w="591" w:type="dxa"/>
          </w:tcPr>
          <w:p>
            <w:pPr>
              <w:pStyle w:val="TableParagraph"/>
              <w:jc w:val="left"/>
              <w:rPr>
                <w:sz w:val="10"/>
              </w:rPr>
            </w:pPr>
          </w:p>
        </w:tc>
        <w:tc>
          <w:tcPr>
            <w:tcW w:w="475" w:type="dxa"/>
          </w:tcPr>
          <w:p>
            <w:pPr>
              <w:pStyle w:val="TableParagraph"/>
              <w:jc w:val="left"/>
              <w:rPr>
                <w:sz w:val="10"/>
              </w:rPr>
            </w:pPr>
          </w:p>
        </w:tc>
        <w:tc>
          <w:tcPr>
            <w:tcW w:w="1117" w:type="dxa"/>
          </w:tcPr>
          <w:p>
            <w:pPr>
              <w:pStyle w:val="TableParagraph"/>
              <w:jc w:val="left"/>
              <w:rPr>
                <w:sz w:val="10"/>
              </w:rPr>
            </w:pPr>
          </w:p>
        </w:tc>
        <w:tc>
          <w:tcPr>
            <w:tcW w:w="606" w:type="dxa"/>
          </w:tcPr>
          <w:p>
            <w:pPr>
              <w:pStyle w:val="TableParagraph"/>
              <w:jc w:val="left"/>
              <w:rPr>
                <w:sz w:val="10"/>
              </w:rPr>
            </w:pPr>
          </w:p>
        </w:tc>
        <w:tc>
          <w:tcPr>
            <w:tcW w:w="544" w:type="dxa"/>
          </w:tcPr>
          <w:p>
            <w:pPr>
              <w:pStyle w:val="TableParagraph"/>
              <w:jc w:val="left"/>
              <w:rPr>
                <w:sz w:val="10"/>
              </w:rPr>
            </w:pPr>
          </w:p>
        </w:tc>
        <w:tc>
          <w:tcPr>
            <w:tcW w:w="965" w:type="dxa"/>
          </w:tcPr>
          <w:p>
            <w:pPr>
              <w:pStyle w:val="TableParagraph"/>
              <w:jc w:val="left"/>
              <w:rPr>
                <w:sz w:val="10"/>
              </w:rPr>
            </w:pPr>
          </w:p>
        </w:tc>
        <w:tc>
          <w:tcPr>
            <w:tcW w:w="602" w:type="dxa"/>
          </w:tcPr>
          <w:p>
            <w:pPr>
              <w:pStyle w:val="TableParagraph"/>
              <w:jc w:val="left"/>
              <w:rPr>
                <w:sz w:val="10"/>
              </w:rPr>
            </w:pPr>
          </w:p>
        </w:tc>
        <w:tc>
          <w:tcPr>
            <w:tcW w:w="475" w:type="dxa"/>
          </w:tcPr>
          <w:p>
            <w:pPr>
              <w:pStyle w:val="TableParagraph"/>
              <w:jc w:val="left"/>
              <w:rPr>
                <w:sz w:val="10"/>
              </w:rPr>
            </w:pPr>
          </w:p>
        </w:tc>
        <w:tc>
          <w:tcPr>
            <w:tcW w:w="1041" w:type="dxa"/>
          </w:tcPr>
          <w:p>
            <w:pPr>
              <w:pStyle w:val="TableParagraph"/>
              <w:spacing w:line="141" w:lineRule="exact"/>
              <w:ind w:left="17"/>
              <w:jc w:val="left"/>
              <w:rPr>
                <w:sz w:val="14"/>
              </w:rPr>
            </w:pPr>
            <w:r>
              <w:rPr>
                <w:sz w:val="14"/>
              </w:rPr>
              <w:t>mainly</w:t>
            </w:r>
            <w:r>
              <w:rPr>
                <w:spacing w:val="-3"/>
                <w:sz w:val="14"/>
              </w:rPr>
              <w:t> </w:t>
            </w:r>
            <w:r>
              <w:rPr>
                <w:sz w:val="14"/>
              </w:rPr>
              <w:t>due</w:t>
            </w:r>
            <w:r>
              <w:rPr>
                <w:spacing w:val="-3"/>
                <w:sz w:val="14"/>
              </w:rPr>
              <w:t> </w:t>
            </w:r>
            <w:r>
              <w:rPr>
                <w:sz w:val="14"/>
              </w:rPr>
              <w:t>to</w:t>
            </w:r>
            <w:r>
              <w:rPr>
                <w:spacing w:val="-2"/>
                <w:sz w:val="14"/>
              </w:rPr>
              <w:t> </w:t>
            </w:r>
            <w:r>
              <w:rPr>
                <w:spacing w:val="-5"/>
                <w:sz w:val="14"/>
              </w:rPr>
              <w:t>the</w:t>
            </w:r>
          </w:p>
        </w:tc>
        <w:tc>
          <w:tcPr>
            <w:tcW w:w="587" w:type="dxa"/>
          </w:tcPr>
          <w:p>
            <w:pPr>
              <w:pStyle w:val="TableParagraph"/>
              <w:jc w:val="left"/>
              <w:rPr>
                <w:sz w:val="10"/>
              </w:rPr>
            </w:pPr>
          </w:p>
        </w:tc>
        <w:tc>
          <w:tcPr>
            <w:tcW w:w="1212" w:type="dxa"/>
          </w:tcPr>
          <w:p>
            <w:pPr>
              <w:pStyle w:val="TableParagraph"/>
              <w:jc w:val="left"/>
              <w:rPr>
                <w:sz w:val="10"/>
              </w:rPr>
            </w:pPr>
          </w:p>
        </w:tc>
        <w:tc>
          <w:tcPr>
            <w:tcW w:w="587" w:type="dxa"/>
          </w:tcPr>
          <w:p>
            <w:pPr>
              <w:pStyle w:val="TableParagraph"/>
              <w:jc w:val="left"/>
              <w:rPr>
                <w:sz w:val="10"/>
              </w:rPr>
            </w:pPr>
          </w:p>
        </w:tc>
        <w:tc>
          <w:tcPr>
            <w:tcW w:w="1011" w:type="dxa"/>
          </w:tcPr>
          <w:p>
            <w:pPr>
              <w:pStyle w:val="TableParagraph"/>
              <w:jc w:val="left"/>
              <w:rPr>
                <w:sz w:val="10"/>
              </w:rPr>
            </w:pPr>
          </w:p>
        </w:tc>
      </w:tr>
      <w:tr>
        <w:trPr>
          <w:trHeight w:val="160" w:hRule="atLeast"/>
        </w:trPr>
        <w:tc>
          <w:tcPr>
            <w:tcW w:w="226" w:type="dxa"/>
          </w:tcPr>
          <w:p>
            <w:pPr>
              <w:pStyle w:val="TableParagraph"/>
              <w:jc w:val="left"/>
              <w:rPr>
                <w:sz w:val="10"/>
              </w:rPr>
            </w:pPr>
          </w:p>
        </w:tc>
        <w:tc>
          <w:tcPr>
            <w:tcW w:w="749" w:type="dxa"/>
          </w:tcPr>
          <w:p>
            <w:pPr>
              <w:pStyle w:val="TableParagraph"/>
              <w:jc w:val="left"/>
              <w:rPr>
                <w:sz w:val="10"/>
              </w:rPr>
            </w:pPr>
          </w:p>
        </w:tc>
        <w:tc>
          <w:tcPr>
            <w:tcW w:w="591" w:type="dxa"/>
          </w:tcPr>
          <w:p>
            <w:pPr>
              <w:pStyle w:val="TableParagraph"/>
              <w:jc w:val="left"/>
              <w:rPr>
                <w:sz w:val="10"/>
              </w:rPr>
            </w:pPr>
          </w:p>
        </w:tc>
        <w:tc>
          <w:tcPr>
            <w:tcW w:w="475" w:type="dxa"/>
          </w:tcPr>
          <w:p>
            <w:pPr>
              <w:pStyle w:val="TableParagraph"/>
              <w:jc w:val="left"/>
              <w:rPr>
                <w:sz w:val="10"/>
              </w:rPr>
            </w:pPr>
          </w:p>
        </w:tc>
        <w:tc>
          <w:tcPr>
            <w:tcW w:w="1117" w:type="dxa"/>
          </w:tcPr>
          <w:p>
            <w:pPr>
              <w:pStyle w:val="TableParagraph"/>
              <w:jc w:val="left"/>
              <w:rPr>
                <w:sz w:val="10"/>
              </w:rPr>
            </w:pPr>
          </w:p>
        </w:tc>
        <w:tc>
          <w:tcPr>
            <w:tcW w:w="606" w:type="dxa"/>
          </w:tcPr>
          <w:p>
            <w:pPr>
              <w:pStyle w:val="TableParagraph"/>
              <w:jc w:val="left"/>
              <w:rPr>
                <w:sz w:val="10"/>
              </w:rPr>
            </w:pPr>
          </w:p>
        </w:tc>
        <w:tc>
          <w:tcPr>
            <w:tcW w:w="544" w:type="dxa"/>
          </w:tcPr>
          <w:p>
            <w:pPr>
              <w:pStyle w:val="TableParagraph"/>
              <w:jc w:val="left"/>
              <w:rPr>
                <w:sz w:val="10"/>
              </w:rPr>
            </w:pPr>
          </w:p>
        </w:tc>
        <w:tc>
          <w:tcPr>
            <w:tcW w:w="965" w:type="dxa"/>
          </w:tcPr>
          <w:p>
            <w:pPr>
              <w:pStyle w:val="TableParagraph"/>
              <w:jc w:val="left"/>
              <w:rPr>
                <w:sz w:val="10"/>
              </w:rPr>
            </w:pPr>
          </w:p>
        </w:tc>
        <w:tc>
          <w:tcPr>
            <w:tcW w:w="602" w:type="dxa"/>
          </w:tcPr>
          <w:p>
            <w:pPr>
              <w:pStyle w:val="TableParagraph"/>
              <w:jc w:val="left"/>
              <w:rPr>
                <w:sz w:val="10"/>
              </w:rPr>
            </w:pPr>
          </w:p>
        </w:tc>
        <w:tc>
          <w:tcPr>
            <w:tcW w:w="475" w:type="dxa"/>
          </w:tcPr>
          <w:p>
            <w:pPr>
              <w:pStyle w:val="TableParagraph"/>
              <w:jc w:val="left"/>
              <w:rPr>
                <w:sz w:val="10"/>
              </w:rPr>
            </w:pPr>
          </w:p>
        </w:tc>
        <w:tc>
          <w:tcPr>
            <w:tcW w:w="1041" w:type="dxa"/>
          </w:tcPr>
          <w:p>
            <w:pPr>
              <w:pStyle w:val="TableParagraph"/>
              <w:spacing w:line="141" w:lineRule="exact"/>
              <w:ind w:left="17"/>
              <w:jc w:val="left"/>
              <w:rPr>
                <w:sz w:val="14"/>
              </w:rPr>
            </w:pPr>
            <w:r>
              <w:rPr>
                <w:sz w:val="14"/>
              </w:rPr>
              <w:t>fact</w:t>
            </w:r>
            <w:r>
              <w:rPr>
                <w:spacing w:val="-4"/>
                <w:sz w:val="14"/>
              </w:rPr>
              <w:t> </w:t>
            </w:r>
            <w:r>
              <w:rPr>
                <w:sz w:val="14"/>
              </w:rPr>
              <w:t>that</w:t>
            </w:r>
            <w:r>
              <w:rPr>
                <w:spacing w:val="-3"/>
                <w:sz w:val="14"/>
              </w:rPr>
              <w:t> </w:t>
            </w:r>
            <w:r>
              <w:rPr>
                <w:spacing w:val="-2"/>
                <w:sz w:val="14"/>
              </w:rPr>
              <w:t>victim</w:t>
            </w:r>
          </w:p>
        </w:tc>
        <w:tc>
          <w:tcPr>
            <w:tcW w:w="587" w:type="dxa"/>
          </w:tcPr>
          <w:p>
            <w:pPr>
              <w:pStyle w:val="TableParagraph"/>
              <w:jc w:val="left"/>
              <w:rPr>
                <w:sz w:val="10"/>
              </w:rPr>
            </w:pPr>
          </w:p>
        </w:tc>
        <w:tc>
          <w:tcPr>
            <w:tcW w:w="1212" w:type="dxa"/>
          </w:tcPr>
          <w:p>
            <w:pPr>
              <w:pStyle w:val="TableParagraph"/>
              <w:jc w:val="left"/>
              <w:rPr>
                <w:sz w:val="10"/>
              </w:rPr>
            </w:pPr>
          </w:p>
        </w:tc>
        <w:tc>
          <w:tcPr>
            <w:tcW w:w="587" w:type="dxa"/>
          </w:tcPr>
          <w:p>
            <w:pPr>
              <w:pStyle w:val="TableParagraph"/>
              <w:jc w:val="left"/>
              <w:rPr>
                <w:sz w:val="10"/>
              </w:rPr>
            </w:pPr>
          </w:p>
        </w:tc>
        <w:tc>
          <w:tcPr>
            <w:tcW w:w="1011" w:type="dxa"/>
          </w:tcPr>
          <w:p>
            <w:pPr>
              <w:pStyle w:val="TableParagraph"/>
              <w:jc w:val="left"/>
              <w:rPr>
                <w:sz w:val="10"/>
              </w:rPr>
            </w:pPr>
          </w:p>
        </w:tc>
      </w:tr>
      <w:tr>
        <w:trPr>
          <w:trHeight w:val="160" w:hRule="atLeast"/>
        </w:trPr>
        <w:tc>
          <w:tcPr>
            <w:tcW w:w="226" w:type="dxa"/>
          </w:tcPr>
          <w:p>
            <w:pPr>
              <w:pStyle w:val="TableParagraph"/>
              <w:jc w:val="left"/>
              <w:rPr>
                <w:sz w:val="10"/>
              </w:rPr>
            </w:pPr>
          </w:p>
        </w:tc>
        <w:tc>
          <w:tcPr>
            <w:tcW w:w="749" w:type="dxa"/>
          </w:tcPr>
          <w:p>
            <w:pPr>
              <w:pStyle w:val="TableParagraph"/>
              <w:jc w:val="left"/>
              <w:rPr>
                <w:sz w:val="10"/>
              </w:rPr>
            </w:pPr>
          </w:p>
        </w:tc>
        <w:tc>
          <w:tcPr>
            <w:tcW w:w="591" w:type="dxa"/>
          </w:tcPr>
          <w:p>
            <w:pPr>
              <w:pStyle w:val="TableParagraph"/>
              <w:jc w:val="left"/>
              <w:rPr>
                <w:sz w:val="10"/>
              </w:rPr>
            </w:pPr>
          </w:p>
        </w:tc>
        <w:tc>
          <w:tcPr>
            <w:tcW w:w="475" w:type="dxa"/>
          </w:tcPr>
          <w:p>
            <w:pPr>
              <w:pStyle w:val="TableParagraph"/>
              <w:jc w:val="left"/>
              <w:rPr>
                <w:sz w:val="10"/>
              </w:rPr>
            </w:pPr>
          </w:p>
        </w:tc>
        <w:tc>
          <w:tcPr>
            <w:tcW w:w="1117" w:type="dxa"/>
          </w:tcPr>
          <w:p>
            <w:pPr>
              <w:pStyle w:val="TableParagraph"/>
              <w:jc w:val="left"/>
              <w:rPr>
                <w:sz w:val="10"/>
              </w:rPr>
            </w:pPr>
          </w:p>
        </w:tc>
        <w:tc>
          <w:tcPr>
            <w:tcW w:w="606" w:type="dxa"/>
          </w:tcPr>
          <w:p>
            <w:pPr>
              <w:pStyle w:val="TableParagraph"/>
              <w:jc w:val="left"/>
              <w:rPr>
                <w:sz w:val="10"/>
              </w:rPr>
            </w:pPr>
          </w:p>
        </w:tc>
        <w:tc>
          <w:tcPr>
            <w:tcW w:w="544" w:type="dxa"/>
          </w:tcPr>
          <w:p>
            <w:pPr>
              <w:pStyle w:val="TableParagraph"/>
              <w:jc w:val="left"/>
              <w:rPr>
                <w:sz w:val="10"/>
              </w:rPr>
            </w:pPr>
          </w:p>
        </w:tc>
        <w:tc>
          <w:tcPr>
            <w:tcW w:w="965" w:type="dxa"/>
          </w:tcPr>
          <w:p>
            <w:pPr>
              <w:pStyle w:val="TableParagraph"/>
              <w:jc w:val="left"/>
              <w:rPr>
                <w:sz w:val="10"/>
              </w:rPr>
            </w:pPr>
          </w:p>
        </w:tc>
        <w:tc>
          <w:tcPr>
            <w:tcW w:w="602" w:type="dxa"/>
          </w:tcPr>
          <w:p>
            <w:pPr>
              <w:pStyle w:val="TableParagraph"/>
              <w:jc w:val="left"/>
              <w:rPr>
                <w:sz w:val="10"/>
              </w:rPr>
            </w:pPr>
          </w:p>
        </w:tc>
        <w:tc>
          <w:tcPr>
            <w:tcW w:w="475" w:type="dxa"/>
          </w:tcPr>
          <w:p>
            <w:pPr>
              <w:pStyle w:val="TableParagraph"/>
              <w:jc w:val="left"/>
              <w:rPr>
                <w:sz w:val="10"/>
              </w:rPr>
            </w:pPr>
          </w:p>
        </w:tc>
        <w:tc>
          <w:tcPr>
            <w:tcW w:w="1041" w:type="dxa"/>
          </w:tcPr>
          <w:p>
            <w:pPr>
              <w:pStyle w:val="TableParagraph"/>
              <w:spacing w:line="141" w:lineRule="exact"/>
              <w:ind w:left="17"/>
              <w:jc w:val="left"/>
              <w:rPr>
                <w:sz w:val="14"/>
              </w:rPr>
            </w:pPr>
            <w:r>
              <w:rPr>
                <w:sz w:val="14"/>
              </w:rPr>
              <w:t>data</w:t>
            </w:r>
            <w:r>
              <w:rPr>
                <w:spacing w:val="-4"/>
                <w:sz w:val="14"/>
              </w:rPr>
              <w:t> </w:t>
            </w:r>
            <w:r>
              <w:rPr>
                <w:sz w:val="14"/>
              </w:rPr>
              <w:t>collection</w:t>
            </w:r>
            <w:r>
              <w:rPr>
                <w:spacing w:val="-2"/>
                <w:sz w:val="14"/>
              </w:rPr>
              <w:t> </w:t>
            </w:r>
            <w:r>
              <w:rPr>
                <w:spacing w:val="-5"/>
                <w:sz w:val="14"/>
              </w:rPr>
              <w:t>in</w:t>
            </w:r>
          </w:p>
        </w:tc>
        <w:tc>
          <w:tcPr>
            <w:tcW w:w="587" w:type="dxa"/>
          </w:tcPr>
          <w:p>
            <w:pPr>
              <w:pStyle w:val="TableParagraph"/>
              <w:jc w:val="left"/>
              <w:rPr>
                <w:sz w:val="10"/>
              </w:rPr>
            </w:pPr>
          </w:p>
        </w:tc>
        <w:tc>
          <w:tcPr>
            <w:tcW w:w="1212" w:type="dxa"/>
          </w:tcPr>
          <w:p>
            <w:pPr>
              <w:pStyle w:val="TableParagraph"/>
              <w:jc w:val="left"/>
              <w:rPr>
                <w:sz w:val="10"/>
              </w:rPr>
            </w:pPr>
          </w:p>
        </w:tc>
        <w:tc>
          <w:tcPr>
            <w:tcW w:w="587" w:type="dxa"/>
          </w:tcPr>
          <w:p>
            <w:pPr>
              <w:pStyle w:val="TableParagraph"/>
              <w:jc w:val="left"/>
              <w:rPr>
                <w:sz w:val="10"/>
              </w:rPr>
            </w:pPr>
          </w:p>
        </w:tc>
        <w:tc>
          <w:tcPr>
            <w:tcW w:w="1011" w:type="dxa"/>
          </w:tcPr>
          <w:p>
            <w:pPr>
              <w:pStyle w:val="TableParagraph"/>
              <w:jc w:val="left"/>
              <w:rPr>
                <w:sz w:val="10"/>
              </w:rPr>
            </w:pPr>
          </w:p>
        </w:tc>
      </w:tr>
      <w:tr>
        <w:trPr>
          <w:trHeight w:val="160" w:hRule="atLeast"/>
        </w:trPr>
        <w:tc>
          <w:tcPr>
            <w:tcW w:w="226" w:type="dxa"/>
          </w:tcPr>
          <w:p>
            <w:pPr>
              <w:pStyle w:val="TableParagraph"/>
              <w:jc w:val="left"/>
              <w:rPr>
                <w:sz w:val="10"/>
              </w:rPr>
            </w:pPr>
          </w:p>
        </w:tc>
        <w:tc>
          <w:tcPr>
            <w:tcW w:w="749" w:type="dxa"/>
          </w:tcPr>
          <w:p>
            <w:pPr>
              <w:pStyle w:val="TableParagraph"/>
              <w:jc w:val="left"/>
              <w:rPr>
                <w:sz w:val="10"/>
              </w:rPr>
            </w:pPr>
          </w:p>
        </w:tc>
        <w:tc>
          <w:tcPr>
            <w:tcW w:w="591" w:type="dxa"/>
          </w:tcPr>
          <w:p>
            <w:pPr>
              <w:pStyle w:val="TableParagraph"/>
              <w:jc w:val="left"/>
              <w:rPr>
                <w:sz w:val="10"/>
              </w:rPr>
            </w:pPr>
          </w:p>
        </w:tc>
        <w:tc>
          <w:tcPr>
            <w:tcW w:w="475" w:type="dxa"/>
          </w:tcPr>
          <w:p>
            <w:pPr>
              <w:pStyle w:val="TableParagraph"/>
              <w:jc w:val="left"/>
              <w:rPr>
                <w:sz w:val="10"/>
              </w:rPr>
            </w:pPr>
          </w:p>
        </w:tc>
        <w:tc>
          <w:tcPr>
            <w:tcW w:w="1117" w:type="dxa"/>
          </w:tcPr>
          <w:p>
            <w:pPr>
              <w:pStyle w:val="TableParagraph"/>
              <w:jc w:val="left"/>
              <w:rPr>
                <w:sz w:val="10"/>
              </w:rPr>
            </w:pPr>
          </w:p>
        </w:tc>
        <w:tc>
          <w:tcPr>
            <w:tcW w:w="606" w:type="dxa"/>
          </w:tcPr>
          <w:p>
            <w:pPr>
              <w:pStyle w:val="TableParagraph"/>
              <w:jc w:val="left"/>
              <w:rPr>
                <w:sz w:val="10"/>
              </w:rPr>
            </w:pPr>
          </w:p>
        </w:tc>
        <w:tc>
          <w:tcPr>
            <w:tcW w:w="544" w:type="dxa"/>
          </w:tcPr>
          <w:p>
            <w:pPr>
              <w:pStyle w:val="TableParagraph"/>
              <w:jc w:val="left"/>
              <w:rPr>
                <w:sz w:val="10"/>
              </w:rPr>
            </w:pPr>
          </w:p>
        </w:tc>
        <w:tc>
          <w:tcPr>
            <w:tcW w:w="965" w:type="dxa"/>
          </w:tcPr>
          <w:p>
            <w:pPr>
              <w:pStyle w:val="TableParagraph"/>
              <w:jc w:val="left"/>
              <w:rPr>
                <w:sz w:val="10"/>
              </w:rPr>
            </w:pPr>
          </w:p>
        </w:tc>
        <w:tc>
          <w:tcPr>
            <w:tcW w:w="602" w:type="dxa"/>
          </w:tcPr>
          <w:p>
            <w:pPr>
              <w:pStyle w:val="TableParagraph"/>
              <w:jc w:val="left"/>
              <w:rPr>
                <w:sz w:val="10"/>
              </w:rPr>
            </w:pPr>
          </w:p>
        </w:tc>
        <w:tc>
          <w:tcPr>
            <w:tcW w:w="475" w:type="dxa"/>
          </w:tcPr>
          <w:p>
            <w:pPr>
              <w:pStyle w:val="TableParagraph"/>
              <w:jc w:val="left"/>
              <w:rPr>
                <w:sz w:val="10"/>
              </w:rPr>
            </w:pPr>
          </w:p>
        </w:tc>
        <w:tc>
          <w:tcPr>
            <w:tcW w:w="1041" w:type="dxa"/>
          </w:tcPr>
          <w:p>
            <w:pPr>
              <w:pStyle w:val="TableParagraph"/>
              <w:spacing w:line="141" w:lineRule="exact"/>
              <w:ind w:left="17"/>
              <w:jc w:val="left"/>
              <w:rPr>
                <w:sz w:val="14"/>
              </w:rPr>
            </w:pPr>
            <w:r>
              <w:rPr>
                <w:spacing w:val="-2"/>
                <w:sz w:val="14"/>
              </w:rPr>
              <w:t>Uganda</w:t>
            </w:r>
          </w:p>
        </w:tc>
        <w:tc>
          <w:tcPr>
            <w:tcW w:w="587" w:type="dxa"/>
          </w:tcPr>
          <w:p>
            <w:pPr>
              <w:pStyle w:val="TableParagraph"/>
              <w:jc w:val="left"/>
              <w:rPr>
                <w:sz w:val="10"/>
              </w:rPr>
            </w:pPr>
          </w:p>
        </w:tc>
        <w:tc>
          <w:tcPr>
            <w:tcW w:w="1212" w:type="dxa"/>
          </w:tcPr>
          <w:p>
            <w:pPr>
              <w:pStyle w:val="TableParagraph"/>
              <w:jc w:val="left"/>
              <w:rPr>
                <w:sz w:val="10"/>
              </w:rPr>
            </w:pPr>
          </w:p>
        </w:tc>
        <w:tc>
          <w:tcPr>
            <w:tcW w:w="587" w:type="dxa"/>
          </w:tcPr>
          <w:p>
            <w:pPr>
              <w:pStyle w:val="TableParagraph"/>
              <w:jc w:val="left"/>
              <w:rPr>
                <w:sz w:val="10"/>
              </w:rPr>
            </w:pPr>
          </w:p>
        </w:tc>
        <w:tc>
          <w:tcPr>
            <w:tcW w:w="1011" w:type="dxa"/>
          </w:tcPr>
          <w:p>
            <w:pPr>
              <w:pStyle w:val="TableParagraph"/>
              <w:jc w:val="left"/>
              <w:rPr>
                <w:sz w:val="10"/>
              </w:rPr>
            </w:pPr>
          </w:p>
        </w:tc>
      </w:tr>
      <w:tr>
        <w:trPr>
          <w:trHeight w:val="160" w:hRule="atLeast"/>
        </w:trPr>
        <w:tc>
          <w:tcPr>
            <w:tcW w:w="226" w:type="dxa"/>
          </w:tcPr>
          <w:p>
            <w:pPr>
              <w:pStyle w:val="TableParagraph"/>
              <w:jc w:val="left"/>
              <w:rPr>
                <w:sz w:val="10"/>
              </w:rPr>
            </w:pPr>
          </w:p>
        </w:tc>
        <w:tc>
          <w:tcPr>
            <w:tcW w:w="749" w:type="dxa"/>
          </w:tcPr>
          <w:p>
            <w:pPr>
              <w:pStyle w:val="TableParagraph"/>
              <w:jc w:val="left"/>
              <w:rPr>
                <w:sz w:val="10"/>
              </w:rPr>
            </w:pPr>
          </w:p>
        </w:tc>
        <w:tc>
          <w:tcPr>
            <w:tcW w:w="591" w:type="dxa"/>
          </w:tcPr>
          <w:p>
            <w:pPr>
              <w:pStyle w:val="TableParagraph"/>
              <w:jc w:val="left"/>
              <w:rPr>
                <w:sz w:val="10"/>
              </w:rPr>
            </w:pPr>
          </w:p>
        </w:tc>
        <w:tc>
          <w:tcPr>
            <w:tcW w:w="475" w:type="dxa"/>
          </w:tcPr>
          <w:p>
            <w:pPr>
              <w:pStyle w:val="TableParagraph"/>
              <w:jc w:val="left"/>
              <w:rPr>
                <w:sz w:val="10"/>
              </w:rPr>
            </w:pPr>
          </w:p>
        </w:tc>
        <w:tc>
          <w:tcPr>
            <w:tcW w:w="1117" w:type="dxa"/>
          </w:tcPr>
          <w:p>
            <w:pPr>
              <w:pStyle w:val="TableParagraph"/>
              <w:jc w:val="left"/>
              <w:rPr>
                <w:sz w:val="10"/>
              </w:rPr>
            </w:pPr>
          </w:p>
        </w:tc>
        <w:tc>
          <w:tcPr>
            <w:tcW w:w="606" w:type="dxa"/>
          </w:tcPr>
          <w:p>
            <w:pPr>
              <w:pStyle w:val="TableParagraph"/>
              <w:jc w:val="left"/>
              <w:rPr>
                <w:sz w:val="10"/>
              </w:rPr>
            </w:pPr>
          </w:p>
        </w:tc>
        <w:tc>
          <w:tcPr>
            <w:tcW w:w="544" w:type="dxa"/>
          </w:tcPr>
          <w:p>
            <w:pPr>
              <w:pStyle w:val="TableParagraph"/>
              <w:jc w:val="left"/>
              <w:rPr>
                <w:sz w:val="10"/>
              </w:rPr>
            </w:pPr>
          </w:p>
        </w:tc>
        <w:tc>
          <w:tcPr>
            <w:tcW w:w="965" w:type="dxa"/>
          </w:tcPr>
          <w:p>
            <w:pPr>
              <w:pStyle w:val="TableParagraph"/>
              <w:jc w:val="left"/>
              <w:rPr>
                <w:sz w:val="10"/>
              </w:rPr>
            </w:pPr>
          </w:p>
        </w:tc>
        <w:tc>
          <w:tcPr>
            <w:tcW w:w="602" w:type="dxa"/>
          </w:tcPr>
          <w:p>
            <w:pPr>
              <w:pStyle w:val="TableParagraph"/>
              <w:jc w:val="left"/>
              <w:rPr>
                <w:sz w:val="10"/>
              </w:rPr>
            </w:pPr>
          </w:p>
        </w:tc>
        <w:tc>
          <w:tcPr>
            <w:tcW w:w="475" w:type="dxa"/>
          </w:tcPr>
          <w:p>
            <w:pPr>
              <w:pStyle w:val="TableParagraph"/>
              <w:jc w:val="left"/>
              <w:rPr>
                <w:sz w:val="10"/>
              </w:rPr>
            </w:pPr>
          </w:p>
        </w:tc>
        <w:tc>
          <w:tcPr>
            <w:tcW w:w="1041" w:type="dxa"/>
          </w:tcPr>
          <w:p>
            <w:pPr>
              <w:pStyle w:val="TableParagraph"/>
              <w:spacing w:line="141" w:lineRule="exact"/>
              <w:ind w:left="17"/>
              <w:jc w:val="left"/>
              <w:rPr>
                <w:sz w:val="14"/>
              </w:rPr>
            </w:pPr>
            <w:r>
              <w:rPr>
                <w:sz w:val="14"/>
              </w:rPr>
              <w:t>(</w:t>
            </w:r>
            <w:r>
              <w:rPr>
                <w:i/>
                <w:sz w:val="14"/>
              </w:rPr>
              <w:t>Ongwen</w:t>
            </w:r>
            <w:r>
              <w:rPr>
                <w:sz w:val="14"/>
              </w:rPr>
              <w:t>)</w:t>
            </w:r>
            <w:r>
              <w:rPr>
                <w:spacing w:val="-1"/>
                <w:sz w:val="14"/>
              </w:rPr>
              <w:t> </w:t>
            </w:r>
            <w:r>
              <w:rPr>
                <w:sz w:val="14"/>
              </w:rPr>
              <w:t>is</w:t>
            </w:r>
            <w:r>
              <w:rPr>
                <w:spacing w:val="-5"/>
                <w:sz w:val="14"/>
              </w:rPr>
              <w:t> yet</w:t>
            </w:r>
          </w:p>
        </w:tc>
        <w:tc>
          <w:tcPr>
            <w:tcW w:w="587" w:type="dxa"/>
          </w:tcPr>
          <w:p>
            <w:pPr>
              <w:pStyle w:val="TableParagraph"/>
              <w:jc w:val="left"/>
              <w:rPr>
                <w:sz w:val="10"/>
              </w:rPr>
            </w:pPr>
          </w:p>
        </w:tc>
        <w:tc>
          <w:tcPr>
            <w:tcW w:w="1212" w:type="dxa"/>
          </w:tcPr>
          <w:p>
            <w:pPr>
              <w:pStyle w:val="TableParagraph"/>
              <w:jc w:val="left"/>
              <w:rPr>
                <w:sz w:val="10"/>
              </w:rPr>
            </w:pPr>
          </w:p>
        </w:tc>
        <w:tc>
          <w:tcPr>
            <w:tcW w:w="587" w:type="dxa"/>
          </w:tcPr>
          <w:p>
            <w:pPr>
              <w:pStyle w:val="TableParagraph"/>
              <w:jc w:val="left"/>
              <w:rPr>
                <w:sz w:val="10"/>
              </w:rPr>
            </w:pPr>
          </w:p>
        </w:tc>
        <w:tc>
          <w:tcPr>
            <w:tcW w:w="1011" w:type="dxa"/>
          </w:tcPr>
          <w:p>
            <w:pPr>
              <w:pStyle w:val="TableParagraph"/>
              <w:jc w:val="left"/>
              <w:rPr>
                <w:sz w:val="10"/>
              </w:rPr>
            </w:pPr>
          </w:p>
        </w:tc>
      </w:tr>
      <w:tr>
        <w:trPr>
          <w:trHeight w:val="158" w:hRule="atLeast"/>
        </w:trPr>
        <w:tc>
          <w:tcPr>
            <w:tcW w:w="226" w:type="dxa"/>
          </w:tcPr>
          <w:p>
            <w:pPr>
              <w:pStyle w:val="TableParagraph"/>
              <w:jc w:val="left"/>
              <w:rPr>
                <w:sz w:val="10"/>
              </w:rPr>
            </w:pPr>
          </w:p>
        </w:tc>
        <w:tc>
          <w:tcPr>
            <w:tcW w:w="749" w:type="dxa"/>
          </w:tcPr>
          <w:p>
            <w:pPr>
              <w:pStyle w:val="TableParagraph"/>
              <w:jc w:val="left"/>
              <w:rPr>
                <w:sz w:val="10"/>
              </w:rPr>
            </w:pPr>
          </w:p>
        </w:tc>
        <w:tc>
          <w:tcPr>
            <w:tcW w:w="591" w:type="dxa"/>
          </w:tcPr>
          <w:p>
            <w:pPr>
              <w:pStyle w:val="TableParagraph"/>
              <w:jc w:val="left"/>
              <w:rPr>
                <w:sz w:val="10"/>
              </w:rPr>
            </w:pPr>
          </w:p>
        </w:tc>
        <w:tc>
          <w:tcPr>
            <w:tcW w:w="475" w:type="dxa"/>
          </w:tcPr>
          <w:p>
            <w:pPr>
              <w:pStyle w:val="TableParagraph"/>
              <w:jc w:val="left"/>
              <w:rPr>
                <w:sz w:val="10"/>
              </w:rPr>
            </w:pPr>
          </w:p>
        </w:tc>
        <w:tc>
          <w:tcPr>
            <w:tcW w:w="1117" w:type="dxa"/>
          </w:tcPr>
          <w:p>
            <w:pPr>
              <w:pStyle w:val="TableParagraph"/>
              <w:jc w:val="left"/>
              <w:rPr>
                <w:sz w:val="10"/>
              </w:rPr>
            </w:pPr>
          </w:p>
        </w:tc>
        <w:tc>
          <w:tcPr>
            <w:tcW w:w="606" w:type="dxa"/>
          </w:tcPr>
          <w:p>
            <w:pPr>
              <w:pStyle w:val="TableParagraph"/>
              <w:jc w:val="left"/>
              <w:rPr>
                <w:sz w:val="10"/>
              </w:rPr>
            </w:pPr>
          </w:p>
        </w:tc>
        <w:tc>
          <w:tcPr>
            <w:tcW w:w="544" w:type="dxa"/>
          </w:tcPr>
          <w:p>
            <w:pPr>
              <w:pStyle w:val="TableParagraph"/>
              <w:jc w:val="left"/>
              <w:rPr>
                <w:sz w:val="10"/>
              </w:rPr>
            </w:pPr>
          </w:p>
        </w:tc>
        <w:tc>
          <w:tcPr>
            <w:tcW w:w="965" w:type="dxa"/>
          </w:tcPr>
          <w:p>
            <w:pPr>
              <w:pStyle w:val="TableParagraph"/>
              <w:jc w:val="left"/>
              <w:rPr>
                <w:sz w:val="10"/>
              </w:rPr>
            </w:pPr>
          </w:p>
        </w:tc>
        <w:tc>
          <w:tcPr>
            <w:tcW w:w="602" w:type="dxa"/>
          </w:tcPr>
          <w:p>
            <w:pPr>
              <w:pStyle w:val="TableParagraph"/>
              <w:jc w:val="left"/>
              <w:rPr>
                <w:sz w:val="10"/>
              </w:rPr>
            </w:pPr>
          </w:p>
        </w:tc>
        <w:tc>
          <w:tcPr>
            <w:tcW w:w="475" w:type="dxa"/>
          </w:tcPr>
          <w:p>
            <w:pPr>
              <w:pStyle w:val="TableParagraph"/>
              <w:jc w:val="left"/>
              <w:rPr>
                <w:sz w:val="10"/>
              </w:rPr>
            </w:pPr>
          </w:p>
        </w:tc>
        <w:tc>
          <w:tcPr>
            <w:tcW w:w="1041" w:type="dxa"/>
          </w:tcPr>
          <w:p>
            <w:pPr>
              <w:pStyle w:val="TableParagraph"/>
              <w:spacing w:line="138" w:lineRule="exact"/>
              <w:ind w:left="17"/>
              <w:jc w:val="left"/>
              <w:rPr>
                <w:sz w:val="14"/>
              </w:rPr>
            </w:pPr>
            <w:r>
              <w:rPr>
                <w:sz w:val="14"/>
              </w:rPr>
              <w:t>to</w:t>
            </w:r>
            <w:r>
              <w:rPr>
                <w:spacing w:val="-4"/>
                <w:sz w:val="14"/>
              </w:rPr>
              <w:t> </w:t>
            </w:r>
            <w:r>
              <w:rPr>
                <w:sz w:val="14"/>
              </w:rPr>
              <w:t>commence</w:t>
            </w:r>
            <w:r>
              <w:rPr>
                <w:spacing w:val="-5"/>
                <w:sz w:val="14"/>
              </w:rPr>
              <w:t> in</w:t>
            </w:r>
          </w:p>
        </w:tc>
        <w:tc>
          <w:tcPr>
            <w:tcW w:w="587" w:type="dxa"/>
          </w:tcPr>
          <w:p>
            <w:pPr>
              <w:pStyle w:val="TableParagraph"/>
              <w:jc w:val="left"/>
              <w:rPr>
                <w:sz w:val="10"/>
              </w:rPr>
            </w:pPr>
          </w:p>
        </w:tc>
        <w:tc>
          <w:tcPr>
            <w:tcW w:w="1212" w:type="dxa"/>
          </w:tcPr>
          <w:p>
            <w:pPr>
              <w:pStyle w:val="TableParagraph"/>
              <w:jc w:val="left"/>
              <w:rPr>
                <w:sz w:val="10"/>
              </w:rPr>
            </w:pPr>
          </w:p>
        </w:tc>
        <w:tc>
          <w:tcPr>
            <w:tcW w:w="587" w:type="dxa"/>
          </w:tcPr>
          <w:p>
            <w:pPr>
              <w:pStyle w:val="TableParagraph"/>
              <w:jc w:val="left"/>
              <w:rPr>
                <w:sz w:val="10"/>
              </w:rPr>
            </w:pPr>
          </w:p>
        </w:tc>
        <w:tc>
          <w:tcPr>
            <w:tcW w:w="1011" w:type="dxa"/>
          </w:tcPr>
          <w:p>
            <w:pPr>
              <w:pStyle w:val="TableParagraph"/>
              <w:jc w:val="left"/>
              <w:rPr>
                <w:sz w:val="10"/>
              </w:rPr>
            </w:pPr>
          </w:p>
        </w:tc>
      </w:tr>
      <w:tr>
        <w:trPr>
          <w:trHeight w:val="217" w:hRule="atLeast"/>
        </w:trPr>
        <w:tc>
          <w:tcPr>
            <w:tcW w:w="226" w:type="dxa"/>
            <w:tcBorders>
              <w:bottom w:val="single" w:sz="4" w:space="0" w:color="000000"/>
            </w:tcBorders>
          </w:tcPr>
          <w:p>
            <w:pPr>
              <w:pStyle w:val="TableParagraph"/>
              <w:jc w:val="left"/>
              <w:rPr>
                <w:sz w:val="14"/>
              </w:rPr>
            </w:pPr>
          </w:p>
        </w:tc>
        <w:tc>
          <w:tcPr>
            <w:tcW w:w="749" w:type="dxa"/>
            <w:tcBorders>
              <w:bottom w:val="single" w:sz="4" w:space="0" w:color="000000"/>
            </w:tcBorders>
          </w:tcPr>
          <w:p>
            <w:pPr>
              <w:pStyle w:val="TableParagraph"/>
              <w:jc w:val="left"/>
              <w:rPr>
                <w:sz w:val="14"/>
              </w:rPr>
            </w:pPr>
          </w:p>
        </w:tc>
        <w:tc>
          <w:tcPr>
            <w:tcW w:w="591" w:type="dxa"/>
            <w:tcBorders>
              <w:bottom w:val="single" w:sz="4" w:space="0" w:color="000000"/>
            </w:tcBorders>
          </w:tcPr>
          <w:p>
            <w:pPr>
              <w:pStyle w:val="TableParagraph"/>
              <w:jc w:val="left"/>
              <w:rPr>
                <w:sz w:val="14"/>
              </w:rPr>
            </w:pPr>
          </w:p>
        </w:tc>
        <w:tc>
          <w:tcPr>
            <w:tcW w:w="475" w:type="dxa"/>
            <w:tcBorders>
              <w:bottom w:val="single" w:sz="4" w:space="0" w:color="000000"/>
            </w:tcBorders>
          </w:tcPr>
          <w:p>
            <w:pPr>
              <w:pStyle w:val="TableParagraph"/>
              <w:jc w:val="left"/>
              <w:rPr>
                <w:sz w:val="14"/>
              </w:rPr>
            </w:pPr>
          </w:p>
        </w:tc>
        <w:tc>
          <w:tcPr>
            <w:tcW w:w="1117" w:type="dxa"/>
            <w:tcBorders>
              <w:bottom w:val="single" w:sz="4" w:space="0" w:color="000000"/>
            </w:tcBorders>
          </w:tcPr>
          <w:p>
            <w:pPr>
              <w:pStyle w:val="TableParagraph"/>
              <w:jc w:val="left"/>
              <w:rPr>
                <w:sz w:val="14"/>
              </w:rPr>
            </w:pPr>
          </w:p>
        </w:tc>
        <w:tc>
          <w:tcPr>
            <w:tcW w:w="606" w:type="dxa"/>
            <w:tcBorders>
              <w:bottom w:val="single" w:sz="4" w:space="0" w:color="000000"/>
            </w:tcBorders>
          </w:tcPr>
          <w:p>
            <w:pPr>
              <w:pStyle w:val="TableParagraph"/>
              <w:jc w:val="left"/>
              <w:rPr>
                <w:sz w:val="14"/>
              </w:rPr>
            </w:pPr>
          </w:p>
        </w:tc>
        <w:tc>
          <w:tcPr>
            <w:tcW w:w="544" w:type="dxa"/>
            <w:tcBorders>
              <w:bottom w:val="single" w:sz="4" w:space="0" w:color="000000"/>
            </w:tcBorders>
          </w:tcPr>
          <w:p>
            <w:pPr>
              <w:pStyle w:val="TableParagraph"/>
              <w:jc w:val="left"/>
              <w:rPr>
                <w:sz w:val="14"/>
              </w:rPr>
            </w:pPr>
          </w:p>
        </w:tc>
        <w:tc>
          <w:tcPr>
            <w:tcW w:w="965" w:type="dxa"/>
            <w:tcBorders>
              <w:bottom w:val="single" w:sz="4" w:space="0" w:color="000000"/>
            </w:tcBorders>
          </w:tcPr>
          <w:p>
            <w:pPr>
              <w:pStyle w:val="TableParagraph"/>
              <w:jc w:val="left"/>
              <w:rPr>
                <w:sz w:val="14"/>
              </w:rPr>
            </w:pPr>
          </w:p>
        </w:tc>
        <w:tc>
          <w:tcPr>
            <w:tcW w:w="602" w:type="dxa"/>
            <w:tcBorders>
              <w:bottom w:val="single" w:sz="4" w:space="0" w:color="000000"/>
            </w:tcBorders>
          </w:tcPr>
          <w:p>
            <w:pPr>
              <w:pStyle w:val="TableParagraph"/>
              <w:jc w:val="left"/>
              <w:rPr>
                <w:sz w:val="14"/>
              </w:rPr>
            </w:pPr>
          </w:p>
        </w:tc>
        <w:tc>
          <w:tcPr>
            <w:tcW w:w="475" w:type="dxa"/>
            <w:tcBorders>
              <w:bottom w:val="single" w:sz="4" w:space="0" w:color="000000"/>
            </w:tcBorders>
          </w:tcPr>
          <w:p>
            <w:pPr>
              <w:pStyle w:val="TableParagraph"/>
              <w:jc w:val="left"/>
              <w:rPr>
                <w:sz w:val="14"/>
              </w:rPr>
            </w:pPr>
          </w:p>
        </w:tc>
        <w:tc>
          <w:tcPr>
            <w:tcW w:w="1041" w:type="dxa"/>
            <w:tcBorders>
              <w:bottom w:val="single" w:sz="4" w:space="0" w:color="000000"/>
            </w:tcBorders>
          </w:tcPr>
          <w:p>
            <w:pPr>
              <w:pStyle w:val="TableParagraph"/>
              <w:spacing w:line="156" w:lineRule="exact"/>
              <w:ind w:left="17"/>
              <w:jc w:val="left"/>
              <w:rPr>
                <w:sz w:val="14"/>
              </w:rPr>
            </w:pPr>
            <w:r>
              <w:rPr>
                <w:spacing w:val="-4"/>
                <w:sz w:val="14"/>
              </w:rPr>
              <w:t>2022</w:t>
            </w:r>
          </w:p>
        </w:tc>
        <w:tc>
          <w:tcPr>
            <w:tcW w:w="587" w:type="dxa"/>
            <w:tcBorders>
              <w:bottom w:val="single" w:sz="4" w:space="0" w:color="000000"/>
            </w:tcBorders>
          </w:tcPr>
          <w:p>
            <w:pPr>
              <w:pStyle w:val="TableParagraph"/>
              <w:jc w:val="left"/>
              <w:rPr>
                <w:sz w:val="14"/>
              </w:rPr>
            </w:pPr>
          </w:p>
        </w:tc>
        <w:tc>
          <w:tcPr>
            <w:tcW w:w="1212" w:type="dxa"/>
            <w:tcBorders>
              <w:bottom w:val="single" w:sz="4" w:space="0" w:color="000000"/>
            </w:tcBorders>
          </w:tcPr>
          <w:p>
            <w:pPr>
              <w:pStyle w:val="TableParagraph"/>
              <w:jc w:val="left"/>
              <w:rPr>
                <w:sz w:val="14"/>
              </w:rPr>
            </w:pPr>
          </w:p>
        </w:tc>
        <w:tc>
          <w:tcPr>
            <w:tcW w:w="587" w:type="dxa"/>
            <w:tcBorders>
              <w:bottom w:val="single" w:sz="4" w:space="0" w:color="000000"/>
            </w:tcBorders>
          </w:tcPr>
          <w:p>
            <w:pPr>
              <w:pStyle w:val="TableParagraph"/>
              <w:jc w:val="left"/>
              <w:rPr>
                <w:sz w:val="14"/>
              </w:rPr>
            </w:pPr>
          </w:p>
        </w:tc>
        <w:tc>
          <w:tcPr>
            <w:tcW w:w="1011" w:type="dxa"/>
            <w:tcBorders>
              <w:bottom w:val="single" w:sz="4" w:space="0" w:color="000000"/>
            </w:tcBorders>
          </w:tcPr>
          <w:p>
            <w:pPr>
              <w:pStyle w:val="TableParagraph"/>
              <w:jc w:val="left"/>
              <w:rPr>
                <w:sz w:val="14"/>
              </w:rPr>
            </w:pPr>
          </w:p>
        </w:tc>
      </w:tr>
      <w:tr>
        <w:trPr>
          <w:trHeight w:val="2165" w:hRule="atLeast"/>
        </w:trPr>
        <w:tc>
          <w:tcPr>
            <w:tcW w:w="226" w:type="dxa"/>
            <w:tcBorders>
              <w:top w:val="single" w:sz="4" w:space="0" w:color="000000"/>
              <w:bottom w:val="single" w:sz="4" w:space="0" w:color="000000"/>
            </w:tcBorders>
          </w:tcPr>
          <w:p>
            <w:pPr>
              <w:pStyle w:val="TableParagraph"/>
              <w:spacing w:before="61"/>
              <w:ind w:left="14"/>
              <w:jc w:val="left"/>
              <w:rPr>
                <w:sz w:val="14"/>
              </w:rPr>
            </w:pPr>
            <w:r>
              <w:rPr>
                <w:spacing w:val="-5"/>
                <w:sz w:val="14"/>
              </w:rPr>
              <w:t>17</w:t>
            </w:r>
          </w:p>
        </w:tc>
        <w:tc>
          <w:tcPr>
            <w:tcW w:w="749" w:type="dxa"/>
            <w:tcBorders>
              <w:top w:val="single" w:sz="4" w:space="0" w:color="000000"/>
              <w:bottom w:val="single" w:sz="4" w:space="0" w:color="000000"/>
            </w:tcBorders>
          </w:tcPr>
          <w:p>
            <w:pPr>
              <w:pStyle w:val="TableParagraph"/>
              <w:spacing w:before="61"/>
              <w:ind w:left="67" w:right="21"/>
              <w:jc w:val="left"/>
              <w:rPr>
                <w:sz w:val="14"/>
              </w:rPr>
            </w:pPr>
            <w:r>
              <w:rPr>
                <w:sz w:val="14"/>
              </w:rPr>
              <w:t>Number</w:t>
            </w:r>
            <w:r>
              <w:rPr>
                <w:spacing w:val="-9"/>
                <w:sz w:val="14"/>
              </w:rPr>
              <w:t> </w:t>
            </w:r>
            <w:r>
              <w:rPr>
                <w:sz w:val="14"/>
              </w:rPr>
              <w:t>of</w:t>
            </w:r>
            <w:r>
              <w:rPr>
                <w:spacing w:val="40"/>
                <w:sz w:val="14"/>
              </w:rPr>
              <w:t> </w:t>
            </w:r>
            <w:r>
              <w:rPr>
                <w:spacing w:val="-2"/>
                <w:sz w:val="14"/>
              </w:rPr>
              <w:t>witnesses</w:t>
            </w:r>
            <w:r>
              <w:rPr>
                <w:spacing w:val="40"/>
                <w:sz w:val="14"/>
              </w:rPr>
              <w:t> </w:t>
            </w:r>
            <w:r>
              <w:rPr>
                <w:sz w:val="14"/>
              </w:rPr>
              <w:t>and</w:t>
            </w:r>
            <w:r>
              <w:rPr>
                <w:spacing w:val="-9"/>
                <w:sz w:val="14"/>
              </w:rPr>
              <w:t> </w:t>
            </w:r>
            <w:r>
              <w:rPr>
                <w:sz w:val="14"/>
              </w:rPr>
              <w:t>victims</w:t>
            </w:r>
            <w:r>
              <w:rPr>
                <w:spacing w:val="40"/>
                <w:sz w:val="14"/>
              </w:rPr>
              <w:t> </w:t>
            </w:r>
            <w:r>
              <w:rPr>
                <w:spacing w:val="-2"/>
                <w:sz w:val="14"/>
              </w:rPr>
              <w:t>under</w:t>
            </w:r>
            <w:r>
              <w:rPr>
                <w:spacing w:val="40"/>
                <w:sz w:val="14"/>
              </w:rPr>
              <w:t> </w:t>
            </w:r>
            <w:r>
              <w:rPr>
                <w:spacing w:val="-2"/>
                <w:sz w:val="14"/>
              </w:rPr>
              <w:t>protection</w:t>
            </w:r>
          </w:p>
        </w:tc>
        <w:tc>
          <w:tcPr>
            <w:tcW w:w="591" w:type="dxa"/>
            <w:tcBorders>
              <w:top w:val="single" w:sz="4" w:space="0" w:color="000000"/>
              <w:bottom w:val="single" w:sz="4" w:space="0" w:color="000000"/>
            </w:tcBorders>
          </w:tcPr>
          <w:p>
            <w:pPr>
              <w:pStyle w:val="TableParagraph"/>
              <w:spacing w:before="61"/>
              <w:ind w:left="222" w:right="199"/>
              <w:jc w:val="center"/>
              <w:rPr>
                <w:sz w:val="14"/>
              </w:rPr>
            </w:pPr>
            <w:r>
              <w:rPr>
                <w:spacing w:val="-5"/>
                <w:sz w:val="14"/>
              </w:rPr>
              <w:t>90</w:t>
            </w:r>
          </w:p>
        </w:tc>
        <w:tc>
          <w:tcPr>
            <w:tcW w:w="475" w:type="dxa"/>
            <w:tcBorders>
              <w:top w:val="single" w:sz="4" w:space="0" w:color="000000"/>
              <w:bottom w:val="single" w:sz="4" w:space="0" w:color="000000"/>
            </w:tcBorders>
          </w:tcPr>
          <w:p>
            <w:pPr>
              <w:pStyle w:val="TableParagraph"/>
              <w:spacing w:before="61"/>
              <w:ind w:left="182"/>
              <w:jc w:val="left"/>
              <w:rPr>
                <w:sz w:val="14"/>
              </w:rPr>
            </w:pPr>
            <w:r>
              <w:rPr>
                <w:spacing w:val="-5"/>
                <w:sz w:val="14"/>
              </w:rPr>
              <w:t>75</w:t>
            </w:r>
          </w:p>
        </w:tc>
        <w:tc>
          <w:tcPr>
            <w:tcW w:w="1117" w:type="dxa"/>
            <w:tcBorders>
              <w:top w:val="single" w:sz="4" w:space="0" w:color="000000"/>
              <w:bottom w:val="single" w:sz="4" w:space="0" w:color="000000"/>
            </w:tcBorders>
          </w:tcPr>
          <w:p>
            <w:pPr>
              <w:pStyle w:val="TableParagraph"/>
              <w:spacing w:before="61"/>
              <w:ind w:left="14" w:right="61"/>
              <w:jc w:val="left"/>
              <w:rPr>
                <w:sz w:val="14"/>
              </w:rPr>
            </w:pPr>
            <w:r>
              <w:rPr>
                <w:sz w:val="14"/>
              </w:rPr>
              <w:t>The</w:t>
            </w:r>
            <w:r>
              <w:rPr>
                <w:spacing w:val="-9"/>
                <w:sz w:val="14"/>
              </w:rPr>
              <w:t> </w:t>
            </w:r>
            <w:r>
              <w:rPr>
                <w:sz w:val="14"/>
              </w:rPr>
              <w:t>number</w:t>
            </w:r>
            <w:r>
              <w:rPr>
                <w:spacing w:val="40"/>
                <w:sz w:val="14"/>
              </w:rPr>
              <w:t> </w:t>
            </w:r>
            <w:r>
              <w:rPr>
                <w:sz w:val="14"/>
              </w:rPr>
              <w:t>decreased due to</w:t>
            </w:r>
            <w:r>
              <w:rPr>
                <w:spacing w:val="40"/>
                <w:sz w:val="14"/>
              </w:rPr>
              <w:t> </w:t>
            </w:r>
            <w:r>
              <w:rPr>
                <w:sz w:val="14"/>
              </w:rPr>
              <w:t>the</w:t>
            </w:r>
            <w:r>
              <w:rPr>
                <w:spacing w:val="-9"/>
                <w:sz w:val="14"/>
              </w:rPr>
              <w:t> </w:t>
            </w:r>
            <w:r>
              <w:rPr>
                <w:sz w:val="14"/>
              </w:rPr>
              <w:t>successful</w:t>
            </w:r>
            <w:r>
              <w:rPr>
                <w:spacing w:val="40"/>
                <w:sz w:val="14"/>
              </w:rPr>
              <w:t> </w:t>
            </w:r>
            <w:r>
              <w:rPr>
                <w:sz w:val="14"/>
              </w:rPr>
              <w:t>implementation</w:t>
            </w:r>
            <w:r>
              <w:rPr>
                <w:spacing w:val="-9"/>
                <w:sz w:val="14"/>
              </w:rPr>
              <w:t> </w:t>
            </w:r>
            <w:r>
              <w:rPr>
                <w:sz w:val="14"/>
              </w:rPr>
              <w:t>of</w:t>
            </w:r>
            <w:r>
              <w:rPr>
                <w:spacing w:val="40"/>
                <w:sz w:val="14"/>
              </w:rPr>
              <w:t> </w:t>
            </w:r>
            <w:r>
              <w:rPr>
                <w:sz w:val="14"/>
              </w:rPr>
              <w:t>risk</w:t>
            </w:r>
            <w:r>
              <w:rPr>
                <w:spacing w:val="-4"/>
                <w:sz w:val="14"/>
              </w:rPr>
              <w:t> </w:t>
            </w:r>
            <w:r>
              <w:rPr>
                <w:sz w:val="14"/>
              </w:rPr>
              <w:t>reduction</w:t>
            </w:r>
            <w:r>
              <w:rPr>
                <w:spacing w:val="40"/>
                <w:sz w:val="14"/>
              </w:rPr>
              <w:t> </w:t>
            </w:r>
            <w:r>
              <w:rPr>
                <w:sz w:val="14"/>
              </w:rPr>
              <w:t>measures</w:t>
            </w:r>
            <w:r>
              <w:rPr>
                <w:spacing w:val="-9"/>
                <w:sz w:val="14"/>
              </w:rPr>
              <w:t> </w:t>
            </w:r>
            <w:r>
              <w:rPr>
                <w:sz w:val="14"/>
              </w:rPr>
              <w:t>aimed</w:t>
            </w:r>
            <w:r>
              <w:rPr>
                <w:spacing w:val="-9"/>
                <w:sz w:val="14"/>
              </w:rPr>
              <w:t> </w:t>
            </w:r>
            <w:r>
              <w:rPr>
                <w:sz w:val="14"/>
              </w:rPr>
              <w:t>at</w:t>
            </w:r>
            <w:r>
              <w:rPr>
                <w:spacing w:val="40"/>
                <w:sz w:val="14"/>
              </w:rPr>
              <w:t> </w:t>
            </w:r>
            <w:r>
              <w:rPr>
                <w:sz w:val="14"/>
              </w:rPr>
              <w:t>protecting</w:t>
            </w:r>
            <w:r>
              <w:rPr>
                <w:spacing w:val="-6"/>
                <w:sz w:val="14"/>
              </w:rPr>
              <w:t> </w:t>
            </w:r>
            <w:r>
              <w:rPr>
                <w:sz w:val="14"/>
              </w:rPr>
              <w:t>a</w:t>
            </w:r>
            <w:r>
              <w:rPr>
                <w:spacing w:val="40"/>
                <w:sz w:val="14"/>
              </w:rPr>
              <w:t> </w:t>
            </w:r>
            <w:r>
              <w:rPr>
                <w:sz w:val="14"/>
              </w:rPr>
              <w:t>witness or victim</w:t>
            </w:r>
          </w:p>
        </w:tc>
        <w:tc>
          <w:tcPr>
            <w:tcW w:w="606" w:type="dxa"/>
            <w:tcBorders>
              <w:top w:val="single" w:sz="4" w:space="0" w:color="000000"/>
              <w:bottom w:val="single" w:sz="4" w:space="0" w:color="000000"/>
            </w:tcBorders>
          </w:tcPr>
          <w:p>
            <w:pPr>
              <w:pStyle w:val="TableParagraph"/>
              <w:spacing w:before="61"/>
              <w:ind w:left="217"/>
              <w:jc w:val="left"/>
              <w:rPr>
                <w:sz w:val="14"/>
              </w:rPr>
            </w:pPr>
            <w:r>
              <w:rPr>
                <w:spacing w:val="-5"/>
                <w:sz w:val="14"/>
              </w:rPr>
              <w:t>170</w:t>
            </w:r>
          </w:p>
        </w:tc>
        <w:tc>
          <w:tcPr>
            <w:tcW w:w="544" w:type="dxa"/>
            <w:tcBorders>
              <w:top w:val="single" w:sz="4" w:space="0" w:color="000000"/>
              <w:bottom w:val="single" w:sz="4" w:space="0" w:color="000000"/>
            </w:tcBorders>
          </w:tcPr>
          <w:p>
            <w:pPr>
              <w:pStyle w:val="TableParagraph"/>
              <w:spacing w:before="61"/>
              <w:ind w:left="193"/>
              <w:jc w:val="left"/>
              <w:rPr>
                <w:sz w:val="14"/>
              </w:rPr>
            </w:pPr>
            <w:r>
              <w:rPr>
                <w:spacing w:val="-5"/>
                <w:sz w:val="14"/>
              </w:rPr>
              <w:t>108</w:t>
            </w:r>
          </w:p>
        </w:tc>
        <w:tc>
          <w:tcPr>
            <w:tcW w:w="965" w:type="dxa"/>
            <w:tcBorders>
              <w:top w:val="single" w:sz="4" w:space="0" w:color="000000"/>
              <w:bottom w:val="single" w:sz="4" w:space="0" w:color="000000"/>
            </w:tcBorders>
          </w:tcPr>
          <w:p>
            <w:pPr>
              <w:pStyle w:val="TableParagraph"/>
              <w:spacing w:before="61"/>
              <w:ind w:left="33" w:right="15"/>
              <w:jc w:val="left"/>
              <w:rPr>
                <w:sz w:val="14"/>
              </w:rPr>
            </w:pPr>
            <w:r>
              <w:rPr>
                <w:spacing w:val="-2"/>
                <w:sz w:val="14"/>
              </w:rPr>
              <w:t>Witnesses/</w:t>
            </w:r>
            <w:r>
              <w:rPr>
                <w:spacing w:val="40"/>
                <w:sz w:val="14"/>
              </w:rPr>
              <w:t> </w:t>
            </w:r>
            <w:r>
              <w:rPr>
                <w:sz w:val="14"/>
              </w:rPr>
              <w:t>victims</w:t>
            </w:r>
            <w:r>
              <w:rPr>
                <w:spacing w:val="-9"/>
                <w:sz w:val="14"/>
              </w:rPr>
              <w:t> </w:t>
            </w:r>
            <w:r>
              <w:rPr>
                <w:sz w:val="14"/>
              </w:rPr>
              <w:t>and</w:t>
            </w:r>
            <w:r>
              <w:rPr>
                <w:spacing w:val="40"/>
                <w:sz w:val="14"/>
              </w:rPr>
              <w:t> </w:t>
            </w:r>
            <w:r>
              <w:rPr>
                <w:sz w:val="14"/>
              </w:rPr>
              <w:t>others</w:t>
            </w:r>
            <w:r>
              <w:rPr>
                <w:spacing w:val="-9"/>
                <w:sz w:val="14"/>
              </w:rPr>
              <w:t> </w:t>
            </w:r>
            <w:r>
              <w:rPr>
                <w:sz w:val="14"/>
              </w:rPr>
              <w:t>at</w:t>
            </w:r>
            <w:r>
              <w:rPr>
                <w:spacing w:val="-9"/>
                <w:sz w:val="14"/>
              </w:rPr>
              <w:t> </w:t>
            </w:r>
            <w:r>
              <w:rPr>
                <w:sz w:val="14"/>
              </w:rPr>
              <w:t>risk</w:t>
            </w:r>
            <w:r>
              <w:rPr>
                <w:spacing w:val="-9"/>
                <w:sz w:val="14"/>
              </w:rPr>
              <w:t> </w:t>
            </w:r>
            <w:r>
              <w:rPr>
                <w:sz w:val="14"/>
              </w:rPr>
              <w:t>on</w:t>
            </w:r>
            <w:r>
              <w:rPr>
                <w:spacing w:val="40"/>
                <w:sz w:val="14"/>
              </w:rPr>
              <w:t> </w:t>
            </w:r>
            <w:r>
              <w:rPr>
                <w:sz w:val="14"/>
              </w:rPr>
              <w:t>account</w:t>
            </w:r>
            <w:r>
              <w:rPr>
                <w:spacing w:val="-9"/>
                <w:sz w:val="14"/>
              </w:rPr>
              <w:t> </w:t>
            </w:r>
            <w:r>
              <w:rPr>
                <w:sz w:val="14"/>
              </w:rPr>
              <w:t>of</w:t>
            </w:r>
            <w:r>
              <w:rPr>
                <w:spacing w:val="40"/>
                <w:sz w:val="14"/>
              </w:rPr>
              <w:t> </w:t>
            </w:r>
            <w:r>
              <w:rPr>
                <w:sz w:val="14"/>
              </w:rPr>
              <w:t>testimony</w:t>
            </w:r>
            <w:r>
              <w:rPr>
                <w:spacing w:val="-9"/>
                <w:sz w:val="14"/>
              </w:rPr>
              <w:t> </w:t>
            </w:r>
            <w:r>
              <w:rPr>
                <w:sz w:val="14"/>
              </w:rPr>
              <w:t>under</w:t>
            </w:r>
            <w:r>
              <w:rPr>
                <w:spacing w:val="40"/>
                <w:sz w:val="14"/>
              </w:rPr>
              <w:t> </w:t>
            </w:r>
            <w:r>
              <w:rPr>
                <w:spacing w:val="-4"/>
                <w:sz w:val="14"/>
              </w:rPr>
              <w:t>VWS</w:t>
            </w:r>
          </w:p>
          <w:p>
            <w:pPr>
              <w:pStyle w:val="TableParagraph"/>
              <w:spacing w:line="237" w:lineRule="auto" w:before="5"/>
              <w:ind w:left="33" w:right="52"/>
              <w:jc w:val="left"/>
              <w:rPr>
                <w:sz w:val="14"/>
              </w:rPr>
            </w:pPr>
            <w:r>
              <w:rPr>
                <w:spacing w:val="-2"/>
                <w:sz w:val="14"/>
              </w:rPr>
              <w:t>protection,</w:t>
            </w:r>
            <w:r>
              <w:rPr>
                <w:spacing w:val="40"/>
                <w:sz w:val="14"/>
              </w:rPr>
              <w:t> </w:t>
            </w:r>
            <w:r>
              <w:rPr>
                <w:spacing w:val="-2"/>
                <w:sz w:val="14"/>
              </w:rPr>
              <w:t>including</w:t>
            </w:r>
            <w:r>
              <w:rPr>
                <w:spacing w:val="40"/>
                <w:sz w:val="14"/>
              </w:rPr>
              <w:t> </w:t>
            </w:r>
            <w:r>
              <w:rPr>
                <w:sz w:val="14"/>
              </w:rPr>
              <w:t>ICCPP</w:t>
            </w:r>
            <w:r>
              <w:rPr>
                <w:spacing w:val="-9"/>
                <w:sz w:val="14"/>
              </w:rPr>
              <w:t> </w:t>
            </w:r>
            <w:r>
              <w:rPr>
                <w:sz w:val="14"/>
              </w:rPr>
              <w:t>and</w:t>
            </w:r>
            <w:r>
              <w:rPr>
                <w:spacing w:val="40"/>
                <w:sz w:val="14"/>
              </w:rPr>
              <w:t> </w:t>
            </w:r>
            <w:r>
              <w:rPr>
                <w:sz w:val="14"/>
              </w:rPr>
              <w:t>other</w:t>
            </w:r>
            <w:r>
              <w:rPr>
                <w:spacing w:val="-9"/>
                <w:sz w:val="14"/>
              </w:rPr>
              <w:t> </w:t>
            </w:r>
            <w:r>
              <w:rPr>
                <w:sz w:val="14"/>
              </w:rPr>
              <w:t>forms</w:t>
            </w:r>
            <w:r>
              <w:rPr>
                <w:spacing w:val="-9"/>
                <w:sz w:val="14"/>
              </w:rPr>
              <w:t> </w:t>
            </w:r>
            <w:r>
              <w:rPr>
                <w:sz w:val="14"/>
              </w:rPr>
              <w:t>of</w:t>
            </w:r>
            <w:r>
              <w:rPr>
                <w:spacing w:val="40"/>
                <w:sz w:val="14"/>
              </w:rPr>
              <w:t> </w:t>
            </w:r>
            <w:r>
              <w:rPr>
                <w:spacing w:val="-2"/>
                <w:sz w:val="14"/>
              </w:rPr>
              <w:t>protection</w:t>
            </w:r>
          </w:p>
        </w:tc>
        <w:tc>
          <w:tcPr>
            <w:tcW w:w="602" w:type="dxa"/>
            <w:tcBorders>
              <w:top w:val="single" w:sz="4" w:space="0" w:color="000000"/>
              <w:bottom w:val="single" w:sz="4" w:space="0" w:color="000000"/>
            </w:tcBorders>
          </w:tcPr>
          <w:p>
            <w:pPr>
              <w:pStyle w:val="TableParagraph"/>
              <w:spacing w:before="61"/>
              <w:ind w:left="12" w:right="10"/>
              <w:jc w:val="center"/>
              <w:rPr>
                <w:sz w:val="14"/>
              </w:rPr>
            </w:pPr>
            <w:r>
              <w:rPr>
                <w:spacing w:val="-5"/>
                <w:sz w:val="14"/>
              </w:rPr>
              <w:t>75</w:t>
            </w:r>
          </w:p>
        </w:tc>
        <w:tc>
          <w:tcPr>
            <w:tcW w:w="475" w:type="dxa"/>
            <w:tcBorders>
              <w:top w:val="single" w:sz="4" w:space="0" w:color="000000"/>
              <w:bottom w:val="single" w:sz="4" w:space="0" w:color="000000"/>
            </w:tcBorders>
          </w:tcPr>
          <w:p>
            <w:pPr>
              <w:pStyle w:val="TableParagraph"/>
              <w:spacing w:before="61"/>
              <w:ind w:left="30"/>
              <w:jc w:val="center"/>
              <w:rPr>
                <w:sz w:val="14"/>
              </w:rPr>
            </w:pPr>
            <w:r>
              <w:rPr>
                <w:spacing w:val="-5"/>
                <w:sz w:val="14"/>
              </w:rPr>
              <w:t>71</w:t>
            </w:r>
          </w:p>
        </w:tc>
        <w:tc>
          <w:tcPr>
            <w:tcW w:w="1041" w:type="dxa"/>
            <w:tcBorders>
              <w:top w:val="single" w:sz="4" w:space="0" w:color="000000"/>
              <w:bottom w:val="single" w:sz="4" w:space="0" w:color="000000"/>
            </w:tcBorders>
          </w:tcPr>
          <w:p>
            <w:pPr>
              <w:pStyle w:val="TableParagraph"/>
              <w:spacing w:before="61"/>
              <w:ind w:left="17" w:right="12"/>
              <w:jc w:val="left"/>
              <w:rPr>
                <w:sz w:val="14"/>
              </w:rPr>
            </w:pPr>
            <w:r>
              <w:rPr>
                <w:sz w:val="14"/>
              </w:rPr>
              <w:t>The</w:t>
            </w:r>
            <w:r>
              <w:rPr>
                <w:spacing w:val="-9"/>
                <w:sz w:val="14"/>
              </w:rPr>
              <w:t> </w:t>
            </w:r>
            <w:r>
              <w:rPr>
                <w:sz w:val="14"/>
              </w:rPr>
              <w:t>difference</w:t>
            </w:r>
            <w:r>
              <w:rPr>
                <w:spacing w:val="40"/>
                <w:sz w:val="14"/>
              </w:rPr>
              <w:t> </w:t>
            </w:r>
            <w:r>
              <w:rPr>
                <w:sz w:val="14"/>
              </w:rPr>
              <w:t>between</w:t>
            </w:r>
            <w:r>
              <w:rPr>
                <w:spacing w:val="-6"/>
                <w:sz w:val="14"/>
              </w:rPr>
              <w:t> </w:t>
            </w:r>
            <w:r>
              <w:rPr>
                <w:sz w:val="14"/>
              </w:rPr>
              <w:t>actual</w:t>
            </w:r>
            <w:r>
              <w:rPr>
                <w:spacing w:val="40"/>
                <w:sz w:val="14"/>
              </w:rPr>
              <w:t> </w:t>
            </w:r>
            <w:r>
              <w:rPr>
                <w:sz w:val="14"/>
              </w:rPr>
              <w:t>and</w:t>
            </w:r>
            <w:r>
              <w:rPr>
                <w:spacing w:val="-6"/>
                <w:sz w:val="14"/>
              </w:rPr>
              <w:t> </w:t>
            </w:r>
            <w:r>
              <w:rPr>
                <w:sz w:val="14"/>
              </w:rPr>
              <w:t>projected</w:t>
            </w:r>
            <w:r>
              <w:rPr>
                <w:spacing w:val="40"/>
                <w:sz w:val="14"/>
              </w:rPr>
              <w:t> </w:t>
            </w:r>
            <w:r>
              <w:rPr>
                <w:sz w:val="14"/>
              </w:rPr>
              <w:t>numbers</w:t>
            </w:r>
            <w:r>
              <w:rPr>
                <w:spacing w:val="-9"/>
                <w:sz w:val="14"/>
              </w:rPr>
              <w:t> </w:t>
            </w:r>
            <w:r>
              <w:rPr>
                <w:sz w:val="14"/>
              </w:rPr>
              <w:t>is</w:t>
            </w:r>
            <w:r>
              <w:rPr>
                <w:spacing w:val="-9"/>
                <w:sz w:val="14"/>
              </w:rPr>
              <w:t> </w:t>
            </w:r>
            <w:r>
              <w:rPr>
                <w:sz w:val="14"/>
              </w:rPr>
              <w:t>due</w:t>
            </w:r>
            <w:r>
              <w:rPr>
                <w:spacing w:val="-9"/>
                <w:sz w:val="14"/>
              </w:rPr>
              <w:t> </w:t>
            </w:r>
            <w:r>
              <w:rPr>
                <w:sz w:val="14"/>
              </w:rPr>
              <w:t>to</w:t>
            </w:r>
            <w:r>
              <w:rPr>
                <w:spacing w:val="40"/>
                <w:sz w:val="14"/>
              </w:rPr>
              <w:t> </w:t>
            </w:r>
            <w:r>
              <w:rPr>
                <w:sz w:val="14"/>
              </w:rPr>
              <w:t>new cases and</w:t>
            </w:r>
            <w:r>
              <w:rPr>
                <w:spacing w:val="40"/>
                <w:sz w:val="14"/>
              </w:rPr>
              <w:t> </w:t>
            </w:r>
            <w:r>
              <w:rPr>
                <w:sz w:val="14"/>
              </w:rPr>
              <w:t>cases for which</w:t>
            </w:r>
            <w:r>
              <w:rPr>
                <w:spacing w:val="40"/>
                <w:sz w:val="14"/>
              </w:rPr>
              <w:t> </w:t>
            </w:r>
            <w:r>
              <w:rPr>
                <w:sz w:val="14"/>
              </w:rPr>
              <w:t>protection is no</w:t>
            </w:r>
            <w:r>
              <w:rPr>
                <w:spacing w:val="40"/>
                <w:sz w:val="14"/>
              </w:rPr>
              <w:t> </w:t>
            </w:r>
            <w:r>
              <w:rPr>
                <w:sz w:val="14"/>
              </w:rPr>
              <w:t>longer</w:t>
            </w:r>
            <w:r>
              <w:rPr>
                <w:spacing w:val="-9"/>
                <w:sz w:val="14"/>
              </w:rPr>
              <w:t> </w:t>
            </w:r>
            <w:r>
              <w:rPr>
                <w:sz w:val="14"/>
              </w:rPr>
              <w:t>needed</w:t>
            </w:r>
          </w:p>
        </w:tc>
        <w:tc>
          <w:tcPr>
            <w:tcW w:w="587" w:type="dxa"/>
            <w:tcBorders>
              <w:top w:val="single" w:sz="4" w:space="0" w:color="000000"/>
              <w:bottom w:val="single" w:sz="4" w:space="0" w:color="000000"/>
            </w:tcBorders>
          </w:tcPr>
          <w:p>
            <w:pPr>
              <w:pStyle w:val="TableParagraph"/>
              <w:spacing w:before="61"/>
              <w:ind w:left="15" w:right="3"/>
              <w:jc w:val="center"/>
              <w:rPr>
                <w:sz w:val="14"/>
              </w:rPr>
            </w:pPr>
            <w:r>
              <w:rPr>
                <w:spacing w:val="-5"/>
                <w:sz w:val="14"/>
              </w:rPr>
              <w:t>115</w:t>
            </w:r>
          </w:p>
        </w:tc>
        <w:tc>
          <w:tcPr>
            <w:tcW w:w="1212" w:type="dxa"/>
            <w:tcBorders>
              <w:top w:val="single" w:sz="4" w:space="0" w:color="000000"/>
              <w:bottom w:val="single" w:sz="4" w:space="0" w:color="000000"/>
            </w:tcBorders>
          </w:tcPr>
          <w:p>
            <w:pPr>
              <w:pStyle w:val="TableParagraph"/>
              <w:spacing w:before="61"/>
              <w:ind w:left="22"/>
              <w:jc w:val="left"/>
              <w:rPr>
                <w:sz w:val="14"/>
              </w:rPr>
            </w:pPr>
            <w:r>
              <w:rPr>
                <w:spacing w:val="-2"/>
                <w:sz w:val="14"/>
              </w:rPr>
              <w:t>Witnesses/</w:t>
            </w:r>
          </w:p>
          <w:p>
            <w:pPr>
              <w:pStyle w:val="TableParagraph"/>
              <w:spacing w:before="3"/>
              <w:ind w:left="22" w:right="12"/>
              <w:jc w:val="left"/>
              <w:rPr>
                <w:sz w:val="14"/>
              </w:rPr>
            </w:pPr>
            <w:r>
              <w:rPr>
                <w:sz w:val="14"/>
              </w:rPr>
              <w:t>victims</w:t>
            </w:r>
            <w:r>
              <w:rPr>
                <w:spacing w:val="-9"/>
                <w:sz w:val="14"/>
              </w:rPr>
              <w:t> </w:t>
            </w:r>
            <w:r>
              <w:rPr>
                <w:sz w:val="14"/>
              </w:rPr>
              <w:t>and</w:t>
            </w:r>
            <w:r>
              <w:rPr>
                <w:spacing w:val="-9"/>
                <w:sz w:val="14"/>
              </w:rPr>
              <w:t> </w:t>
            </w:r>
            <w:r>
              <w:rPr>
                <w:sz w:val="14"/>
              </w:rPr>
              <w:t>others</w:t>
            </w:r>
            <w:r>
              <w:rPr>
                <w:spacing w:val="-9"/>
                <w:sz w:val="14"/>
              </w:rPr>
              <w:t> </w:t>
            </w:r>
            <w:r>
              <w:rPr>
                <w:sz w:val="14"/>
              </w:rPr>
              <w:t>at</w:t>
            </w:r>
            <w:r>
              <w:rPr>
                <w:spacing w:val="40"/>
                <w:sz w:val="14"/>
              </w:rPr>
              <w:t> </w:t>
            </w:r>
            <w:r>
              <w:rPr>
                <w:sz w:val="14"/>
              </w:rPr>
              <w:t>risk on account of</w:t>
            </w:r>
            <w:r>
              <w:rPr>
                <w:spacing w:val="40"/>
                <w:sz w:val="14"/>
              </w:rPr>
              <w:t> </w:t>
            </w:r>
            <w:r>
              <w:rPr>
                <w:sz w:val="14"/>
              </w:rPr>
              <w:t>testimony who are</w:t>
            </w:r>
            <w:r>
              <w:rPr>
                <w:spacing w:val="40"/>
                <w:sz w:val="14"/>
              </w:rPr>
              <w:t> </w:t>
            </w:r>
            <w:r>
              <w:rPr>
                <w:sz w:val="14"/>
              </w:rPr>
              <w:t>under</w:t>
            </w:r>
            <w:r>
              <w:rPr>
                <w:spacing w:val="-6"/>
                <w:sz w:val="14"/>
              </w:rPr>
              <w:t> </w:t>
            </w:r>
            <w:r>
              <w:rPr>
                <w:sz w:val="14"/>
              </w:rPr>
              <w:t>VWS</w:t>
            </w:r>
            <w:r>
              <w:rPr>
                <w:spacing w:val="40"/>
                <w:sz w:val="14"/>
              </w:rPr>
              <w:t> </w:t>
            </w:r>
            <w:r>
              <w:rPr>
                <w:sz w:val="14"/>
              </w:rPr>
              <w:t>protection,</w:t>
            </w:r>
            <w:r>
              <w:rPr>
                <w:spacing w:val="-9"/>
                <w:sz w:val="14"/>
              </w:rPr>
              <w:t> </w:t>
            </w:r>
            <w:r>
              <w:rPr>
                <w:sz w:val="14"/>
              </w:rPr>
              <w:t>including</w:t>
            </w:r>
            <w:r>
              <w:rPr>
                <w:spacing w:val="40"/>
                <w:sz w:val="14"/>
              </w:rPr>
              <w:t> </w:t>
            </w:r>
            <w:r>
              <w:rPr>
                <w:sz w:val="14"/>
              </w:rPr>
              <w:t>ICCPP and other</w:t>
            </w:r>
            <w:r>
              <w:rPr>
                <w:spacing w:val="40"/>
                <w:sz w:val="14"/>
              </w:rPr>
              <w:t> </w:t>
            </w:r>
            <w:r>
              <w:rPr>
                <w:sz w:val="14"/>
              </w:rPr>
              <w:t>forms of protection</w:t>
            </w:r>
          </w:p>
        </w:tc>
        <w:tc>
          <w:tcPr>
            <w:tcW w:w="587" w:type="dxa"/>
            <w:tcBorders>
              <w:top w:val="single" w:sz="4" w:space="0" w:color="000000"/>
              <w:bottom w:val="single" w:sz="4" w:space="0" w:color="000000"/>
            </w:tcBorders>
          </w:tcPr>
          <w:p>
            <w:pPr>
              <w:pStyle w:val="TableParagraph"/>
              <w:spacing w:before="61"/>
              <w:ind w:left="15"/>
              <w:jc w:val="center"/>
              <w:rPr>
                <w:sz w:val="14"/>
              </w:rPr>
            </w:pPr>
            <w:r>
              <w:rPr>
                <w:spacing w:val="-5"/>
                <w:sz w:val="14"/>
              </w:rPr>
              <w:t>130</w:t>
            </w:r>
          </w:p>
        </w:tc>
        <w:tc>
          <w:tcPr>
            <w:tcW w:w="1011" w:type="dxa"/>
            <w:tcBorders>
              <w:top w:val="single" w:sz="4" w:space="0" w:color="000000"/>
              <w:bottom w:val="single" w:sz="4" w:space="0" w:color="000000"/>
            </w:tcBorders>
          </w:tcPr>
          <w:p>
            <w:pPr>
              <w:pStyle w:val="TableParagraph"/>
              <w:spacing w:before="61"/>
              <w:ind w:left="24" w:right="-7"/>
              <w:jc w:val="left"/>
              <w:rPr>
                <w:sz w:val="14"/>
              </w:rPr>
            </w:pPr>
            <w:r>
              <w:rPr>
                <w:spacing w:val="-2"/>
                <w:sz w:val="14"/>
              </w:rPr>
              <w:t>Witnesses/victims</w:t>
            </w:r>
            <w:r>
              <w:rPr>
                <w:spacing w:val="40"/>
                <w:sz w:val="14"/>
              </w:rPr>
              <w:t> </w:t>
            </w:r>
            <w:r>
              <w:rPr>
                <w:sz w:val="14"/>
              </w:rPr>
              <w:t>and others at</w:t>
            </w:r>
            <w:r>
              <w:rPr>
                <w:spacing w:val="-3"/>
                <w:sz w:val="14"/>
              </w:rPr>
              <w:t> </w:t>
            </w:r>
            <w:r>
              <w:rPr>
                <w:sz w:val="14"/>
              </w:rPr>
              <w:t>risk</w:t>
            </w:r>
            <w:r>
              <w:rPr>
                <w:spacing w:val="40"/>
                <w:sz w:val="14"/>
              </w:rPr>
              <w:t> </w:t>
            </w:r>
            <w:r>
              <w:rPr>
                <w:sz w:val="14"/>
              </w:rPr>
              <w:t>on account of</w:t>
            </w:r>
            <w:r>
              <w:rPr>
                <w:spacing w:val="40"/>
                <w:sz w:val="14"/>
              </w:rPr>
              <w:t> </w:t>
            </w:r>
            <w:r>
              <w:rPr>
                <w:sz w:val="14"/>
              </w:rPr>
              <w:t>testimony</w:t>
            </w:r>
            <w:r>
              <w:rPr>
                <w:spacing w:val="-6"/>
                <w:sz w:val="14"/>
              </w:rPr>
              <w:t> </w:t>
            </w:r>
            <w:r>
              <w:rPr>
                <w:sz w:val="14"/>
              </w:rPr>
              <w:t>who</w:t>
            </w:r>
            <w:r>
              <w:rPr>
                <w:spacing w:val="40"/>
                <w:sz w:val="14"/>
              </w:rPr>
              <w:t> </w:t>
            </w:r>
            <w:r>
              <w:rPr>
                <w:sz w:val="14"/>
              </w:rPr>
              <w:t>are under VWS</w:t>
            </w:r>
            <w:r>
              <w:rPr>
                <w:spacing w:val="40"/>
                <w:sz w:val="14"/>
              </w:rPr>
              <w:t> </w:t>
            </w:r>
            <w:r>
              <w:rPr>
                <w:spacing w:val="-2"/>
                <w:sz w:val="14"/>
              </w:rPr>
              <w:t>protection,</w:t>
            </w:r>
            <w:r>
              <w:rPr>
                <w:spacing w:val="40"/>
                <w:sz w:val="14"/>
              </w:rPr>
              <w:t> </w:t>
            </w:r>
            <w:r>
              <w:rPr>
                <w:sz w:val="14"/>
              </w:rPr>
              <w:t>including</w:t>
            </w:r>
            <w:r>
              <w:rPr>
                <w:spacing w:val="-6"/>
                <w:sz w:val="14"/>
              </w:rPr>
              <w:t> </w:t>
            </w:r>
            <w:r>
              <w:rPr>
                <w:sz w:val="14"/>
              </w:rPr>
              <w:t>ICCPP</w:t>
            </w:r>
            <w:r>
              <w:rPr>
                <w:spacing w:val="40"/>
                <w:sz w:val="14"/>
              </w:rPr>
              <w:t> </w:t>
            </w:r>
            <w:r>
              <w:rPr>
                <w:sz w:val="14"/>
              </w:rPr>
              <w:t>and other forms</w:t>
            </w:r>
            <w:r>
              <w:rPr>
                <w:spacing w:val="40"/>
                <w:sz w:val="14"/>
              </w:rPr>
              <w:t> </w:t>
            </w:r>
            <w:r>
              <w:rPr>
                <w:sz w:val="14"/>
              </w:rPr>
              <w:t>of</w:t>
            </w:r>
            <w:r>
              <w:rPr>
                <w:spacing w:val="-9"/>
                <w:sz w:val="14"/>
              </w:rPr>
              <w:t> </w:t>
            </w:r>
            <w:r>
              <w:rPr>
                <w:sz w:val="14"/>
              </w:rPr>
              <w:t>protection</w:t>
            </w:r>
          </w:p>
        </w:tc>
      </w:tr>
      <w:tr>
        <w:trPr>
          <w:trHeight w:val="1891" w:hRule="atLeast"/>
        </w:trPr>
        <w:tc>
          <w:tcPr>
            <w:tcW w:w="226" w:type="dxa"/>
            <w:tcBorders>
              <w:top w:val="single" w:sz="4" w:space="0" w:color="000000"/>
              <w:bottom w:val="single" w:sz="4" w:space="0" w:color="000000"/>
            </w:tcBorders>
          </w:tcPr>
          <w:p>
            <w:pPr>
              <w:pStyle w:val="TableParagraph"/>
              <w:spacing w:before="61"/>
              <w:ind w:left="14"/>
              <w:jc w:val="left"/>
              <w:rPr>
                <w:sz w:val="14"/>
              </w:rPr>
            </w:pPr>
            <w:r>
              <w:rPr>
                <w:spacing w:val="-5"/>
                <w:sz w:val="14"/>
              </w:rPr>
              <w:t>18</w:t>
            </w:r>
          </w:p>
        </w:tc>
        <w:tc>
          <w:tcPr>
            <w:tcW w:w="749" w:type="dxa"/>
            <w:tcBorders>
              <w:top w:val="single" w:sz="4" w:space="0" w:color="000000"/>
              <w:bottom w:val="single" w:sz="4" w:space="0" w:color="000000"/>
            </w:tcBorders>
          </w:tcPr>
          <w:p>
            <w:pPr>
              <w:pStyle w:val="TableParagraph"/>
              <w:spacing w:before="61"/>
              <w:ind w:left="67" w:right="60"/>
              <w:jc w:val="left"/>
              <w:rPr>
                <w:sz w:val="14"/>
              </w:rPr>
            </w:pPr>
            <w:r>
              <w:rPr>
                <w:sz w:val="14"/>
              </w:rPr>
              <w:t>Number</w:t>
            </w:r>
            <w:r>
              <w:rPr>
                <w:spacing w:val="-9"/>
                <w:sz w:val="14"/>
              </w:rPr>
              <w:t> </w:t>
            </w:r>
            <w:r>
              <w:rPr>
                <w:sz w:val="14"/>
              </w:rPr>
              <w:t>of</w:t>
            </w:r>
            <w:r>
              <w:rPr>
                <w:spacing w:val="40"/>
                <w:sz w:val="14"/>
              </w:rPr>
              <w:t> </w:t>
            </w:r>
            <w:r>
              <w:rPr>
                <w:spacing w:val="-2"/>
                <w:sz w:val="14"/>
              </w:rPr>
              <w:t>persons</w:t>
            </w:r>
            <w:r>
              <w:rPr>
                <w:spacing w:val="40"/>
                <w:sz w:val="14"/>
              </w:rPr>
              <w:t> </w:t>
            </w:r>
            <w:r>
              <w:rPr>
                <w:spacing w:val="-2"/>
                <w:sz w:val="14"/>
              </w:rPr>
              <w:t>under</w:t>
            </w:r>
            <w:r>
              <w:rPr>
                <w:spacing w:val="40"/>
                <w:sz w:val="14"/>
              </w:rPr>
              <w:t> </w:t>
            </w:r>
            <w:r>
              <w:rPr>
                <w:spacing w:val="-2"/>
                <w:sz w:val="14"/>
              </w:rPr>
              <w:t>protection</w:t>
            </w:r>
          </w:p>
        </w:tc>
        <w:tc>
          <w:tcPr>
            <w:tcW w:w="591" w:type="dxa"/>
            <w:tcBorders>
              <w:top w:val="single" w:sz="4" w:space="0" w:color="000000"/>
              <w:bottom w:val="single" w:sz="4" w:space="0" w:color="000000"/>
            </w:tcBorders>
          </w:tcPr>
          <w:p>
            <w:pPr>
              <w:pStyle w:val="TableParagraph"/>
              <w:spacing w:before="61"/>
              <w:ind w:left="201"/>
              <w:jc w:val="left"/>
              <w:rPr>
                <w:sz w:val="14"/>
              </w:rPr>
            </w:pPr>
            <w:r>
              <w:rPr>
                <w:spacing w:val="-5"/>
                <w:sz w:val="14"/>
              </w:rPr>
              <w:t>450</w:t>
            </w:r>
          </w:p>
        </w:tc>
        <w:tc>
          <w:tcPr>
            <w:tcW w:w="475" w:type="dxa"/>
            <w:tcBorders>
              <w:top w:val="single" w:sz="4" w:space="0" w:color="000000"/>
              <w:bottom w:val="single" w:sz="4" w:space="0" w:color="000000"/>
            </w:tcBorders>
          </w:tcPr>
          <w:p>
            <w:pPr>
              <w:pStyle w:val="TableParagraph"/>
              <w:spacing w:before="61"/>
              <w:ind w:left="143"/>
              <w:jc w:val="left"/>
              <w:rPr>
                <w:sz w:val="14"/>
              </w:rPr>
            </w:pPr>
            <w:r>
              <w:rPr>
                <w:spacing w:val="-5"/>
                <w:sz w:val="14"/>
              </w:rPr>
              <w:t>388</w:t>
            </w:r>
          </w:p>
        </w:tc>
        <w:tc>
          <w:tcPr>
            <w:tcW w:w="1117" w:type="dxa"/>
            <w:tcBorders>
              <w:top w:val="single" w:sz="4" w:space="0" w:color="000000"/>
              <w:bottom w:val="single" w:sz="4" w:space="0" w:color="000000"/>
            </w:tcBorders>
          </w:tcPr>
          <w:p>
            <w:pPr>
              <w:pStyle w:val="TableParagraph"/>
              <w:spacing w:before="61"/>
              <w:ind w:left="14" w:right="61"/>
              <w:jc w:val="left"/>
              <w:rPr>
                <w:sz w:val="14"/>
              </w:rPr>
            </w:pPr>
            <w:r>
              <w:rPr>
                <w:sz w:val="14"/>
              </w:rPr>
              <w:t>The</w:t>
            </w:r>
            <w:r>
              <w:rPr>
                <w:spacing w:val="-9"/>
                <w:sz w:val="14"/>
              </w:rPr>
              <w:t> </w:t>
            </w:r>
            <w:r>
              <w:rPr>
                <w:sz w:val="14"/>
              </w:rPr>
              <w:t>number</w:t>
            </w:r>
            <w:r>
              <w:rPr>
                <w:spacing w:val="40"/>
                <w:sz w:val="14"/>
              </w:rPr>
              <w:t> </w:t>
            </w:r>
            <w:r>
              <w:rPr>
                <w:sz w:val="14"/>
              </w:rPr>
              <w:t>decreased due to</w:t>
            </w:r>
            <w:r>
              <w:rPr>
                <w:spacing w:val="40"/>
                <w:sz w:val="14"/>
              </w:rPr>
              <w:t> </w:t>
            </w:r>
            <w:r>
              <w:rPr>
                <w:sz w:val="14"/>
              </w:rPr>
              <w:t>the</w:t>
            </w:r>
            <w:r>
              <w:rPr>
                <w:spacing w:val="-9"/>
                <w:sz w:val="14"/>
              </w:rPr>
              <w:t> </w:t>
            </w:r>
            <w:r>
              <w:rPr>
                <w:sz w:val="14"/>
              </w:rPr>
              <w:t>successful</w:t>
            </w:r>
            <w:r>
              <w:rPr>
                <w:spacing w:val="40"/>
                <w:sz w:val="14"/>
              </w:rPr>
              <w:t> </w:t>
            </w:r>
            <w:r>
              <w:rPr>
                <w:sz w:val="14"/>
              </w:rPr>
              <w:t>implementation</w:t>
            </w:r>
            <w:r>
              <w:rPr>
                <w:spacing w:val="-9"/>
                <w:sz w:val="14"/>
              </w:rPr>
              <w:t> </w:t>
            </w:r>
            <w:r>
              <w:rPr>
                <w:sz w:val="14"/>
              </w:rPr>
              <w:t>of</w:t>
            </w:r>
            <w:r>
              <w:rPr>
                <w:spacing w:val="40"/>
                <w:sz w:val="14"/>
              </w:rPr>
              <w:t> </w:t>
            </w:r>
            <w:r>
              <w:rPr>
                <w:sz w:val="14"/>
              </w:rPr>
              <w:t>risk</w:t>
            </w:r>
            <w:r>
              <w:rPr>
                <w:spacing w:val="-6"/>
                <w:sz w:val="14"/>
              </w:rPr>
              <w:t> </w:t>
            </w:r>
            <w:r>
              <w:rPr>
                <w:sz w:val="14"/>
              </w:rPr>
              <w:t>reduction</w:t>
            </w:r>
            <w:r>
              <w:rPr>
                <w:spacing w:val="40"/>
                <w:sz w:val="14"/>
              </w:rPr>
              <w:t> </w:t>
            </w:r>
            <w:r>
              <w:rPr>
                <w:sz w:val="14"/>
              </w:rPr>
              <w:t>measures</w:t>
            </w:r>
            <w:r>
              <w:rPr>
                <w:spacing w:val="-9"/>
                <w:sz w:val="14"/>
              </w:rPr>
              <w:t> </w:t>
            </w:r>
            <w:r>
              <w:rPr>
                <w:sz w:val="14"/>
              </w:rPr>
              <w:t>aimed</w:t>
            </w:r>
            <w:r>
              <w:rPr>
                <w:spacing w:val="-9"/>
                <w:sz w:val="14"/>
              </w:rPr>
              <w:t> </w:t>
            </w:r>
            <w:r>
              <w:rPr>
                <w:sz w:val="14"/>
              </w:rPr>
              <w:t>at</w:t>
            </w:r>
            <w:r>
              <w:rPr>
                <w:spacing w:val="40"/>
                <w:sz w:val="14"/>
              </w:rPr>
              <w:t> </w:t>
            </w:r>
            <w:r>
              <w:rPr>
                <w:sz w:val="14"/>
              </w:rPr>
              <w:t>protecting</w:t>
            </w:r>
            <w:r>
              <w:rPr>
                <w:spacing w:val="-6"/>
                <w:sz w:val="14"/>
              </w:rPr>
              <w:t> </w:t>
            </w:r>
            <w:r>
              <w:rPr>
                <w:sz w:val="14"/>
              </w:rPr>
              <w:t>a</w:t>
            </w:r>
            <w:r>
              <w:rPr>
                <w:spacing w:val="40"/>
                <w:sz w:val="14"/>
              </w:rPr>
              <w:t> </w:t>
            </w:r>
            <w:r>
              <w:rPr>
                <w:sz w:val="14"/>
              </w:rPr>
              <w:t>witness or victim</w:t>
            </w:r>
          </w:p>
        </w:tc>
        <w:tc>
          <w:tcPr>
            <w:tcW w:w="606" w:type="dxa"/>
            <w:tcBorders>
              <w:top w:val="single" w:sz="4" w:space="0" w:color="000000"/>
              <w:bottom w:val="single" w:sz="4" w:space="0" w:color="000000"/>
            </w:tcBorders>
          </w:tcPr>
          <w:p>
            <w:pPr>
              <w:pStyle w:val="TableParagraph"/>
              <w:spacing w:before="61"/>
              <w:ind w:left="217"/>
              <w:jc w:val="left"/>
              <w:rPr>
                <w:sz w:val="14"/>
              </w:rPr>
            </w:pPr>
            <w:r>
              <w:rPr>
                <w:spacing w:val="-5"/>
                <w:sz w:val="14"/>
              </w:rPr>
              <w:t>650</w:t>
            </w:r>
          </w:p>
        </w:tc>
        <w:tc>
          <w:tcPr>
            <w:tcW w:w="544" w:type="dxa"/>
            <w:tcBorders>
              <w:top w:val="single" w:sz="4" w:space="0" w:color="000000"/>
              <w:bottom w:val="single" w:sz="4" w:space="0" w:color="000000"/>
            </w:tcBorders>
          </w:tcPr>
          <w:p>
            <w:pPr>
              <w:pStyle w:val="TableParagraph"/>
              <w:spacing w:before="61"/>
              <w:ind w:left="25"/>
              <w:jc w:val="left"/>
              <w:rPr>
                <w:sz w:val="14"/>
              </w:rPr>
            </w:pPr>
            <w:r>
              <w:rPr>
                <w:spacing w:val="-5"/>
                <w:sz w:val="14"/>
              </w:rPr>
              <w:t>569</w:t>
            </w:r>
          </w:p>
        </w:tc>
        <w:tc>
          <w:tcPr>
            <w:tcW w:w="965" w:type="dxa"/>
            <w:tcBorders>
              <w:top w:val="single" w:sz="4" w:space="0" w:color="000000"/>
              <w:bottom w:val="single" w:sz="4" w:space="0" w:color="000000"/>
            </w:tcBorders>
          </w:tcPr>
          <w:p>
            <w:pPr>
              <w:pStyle w:val="TableParagraph"/>
              <w:spacing w:before="61"/>
              <w:ind w:left="33"/>
              <w:jc w:val="left"/>
              <w:rPr>
                <w:sz w:val="14"/>
              </w:rPr>
            </w:pPr>
            <w:r>
              <w:rPr>
                <w:spacing w:val="-5"/>
                <w:sz w:val="14"/>
              </w:rPr>
              <w:t>108</w:t>
            </w:r>
          </w:p>
          <w:p>
            <w:pPr>
              <w:pStyle w:val="TableParagraph"/>
              <w:spacing w:before="2"/>
              <w:ind w:left="33"/>
              <w:jc w:val="left"/>
              <w:rPr>
                <w:sz w:val="14"/>
              </w:rPr>
            </w:pPr>
            <w:r>
              <w:rPr>
                <w:spacing w:val="-2"/>
                <w:sz w:val="14"/>
              </w:rPr>
              <w:t>witnesses/victi</w:t>
            </w:r>
            <w:r>
              <w:rPr>
                <w:spacing w:val="40"/>
                <w:sz w:val="14"/>
              </w:rPr>
              <w:t> </w:t>
            </w:r>
            <w:r>
              <w:rPr>
                <w:sz w:val="14"/>
              </w:rPr>
              <w:t>ms and 461</w:t>
            </w:r>
            <w:r>
              <w:rPr>
                <w:spacing w:val="40"/>
                <w:sz w:val="14"/>
              </w:rPr>
              <w:t> </w:t>
            </w:r>
            <w:r>
              <w:rPr>
                <w:spacing w:val="-2"/>
                <w:sz w:val="14"/>
              </w:rPr>
              <w:t>dependents</w:t>
            </w:r>
          </w:p>
        </w:tc>
        <w:tc>
          <w:tcPr>
            <w:tcW w:w="602" w:type="dxa"/>
            <w:tcBorders>
              <w:top w:val="single" w:sz="4" w:space="0" w:color="000000"/>
              <w:bottom w:val="single" w:sz="4" w:space="0" w:color="000000"/>
            </w:tcBorders>
          </w:tcPr>
          <w:p>
            <w:pPr>
              <w:pStyle w:val="TableParagraph"/>
              <w:spacing w:before="61"/>
              <w:ind w:left="12" w:right="5"/>
              <w:jc w:val="center"/>
              <w:rPr>
                <w:sz w:val="14"/>
              </w:rPr>
            </w:pPr>
            <w:r>
              <w:rPr>
                <w:spacing w:val="-5"/>
                <w:sz w:val="14"/>
              </w:rPr>
              <w:t>470</w:t>
            </w:r>
          </w:p>
        </w:tc>
        <w:tc>
          <w:tcPr>
            <w:tcW w:w="475" w:type="dxa"/>
            <w:tcBorders>
              <w:top w:val="single" w:sz="4" w:space="0" w:color="000000"/>
              <w:bottom w:val="single" w:sz="4" w:space="0" w:color="000000"/>
            </w:tcBorders>
          </w:tcPr>
          <w:p>
            <w:pPr>
              <w:pStyle w:val="TableParagraph"/>
              <w:spacing w:before="61"/>
              <w:ind w:left="35"/>
              <w:jc w:val="center"/>
              <w:rPr>
                <w:sz w:val="14"/>
              </w:rPr>
            </w:pPr>
            <w:r>
              <w:rPr>
                <w:spacing w:val="-5"/>
                <w:sz w:val="14"/>
              </w:rPr>
              <w:t>402</w:t>
            </w:r>
          </w:p>
        </w:tc>
        <w:tc>
          <w:tcPr>
            <w:tcW w:w="1041" w:type="dxa"/>
            <w:tcBorders>
              <w:top w:val="single" w:sz="4" w:space="0" w:color="000000"/>
              <w:bottom w:val="single" w:sz="4" w:space="0" w:color="000000"/>
            </w:tcBorders>
          </w:tcPr>
          <w:p>
            <w:pPr>
              <w:pStyle w:val="TableParagraph"/>
              <w:spacing w:before="61"/>
              <w:ind w:left="17" w:right="18"/>
              <w:jc w:val="left"/>
              <w:rPr>
                <w:sz w:val="14"/>
              </w:rPr>
            </w:pPr>
            <w:r>
              <w:rPr>
                <w:sz w:val="14"/>
              </w:rPr>
              <w:t>Number</w:t>
            </w:r>
            <w:r>
              <w:rPr>
                <w:spacing w:val="-9"/>
                <w:sz w:val="14"/>
              </w:rPr>
              <w:t> </w:t>
            </w:r>
            <w:r>
              <w:rPr>
                <w:sz w:val="14"/>
              </w:rPr>
              <w:t>of</w:t>
            </w:r>
            <w:r>
              <w:rPr>
                <w:spacing w:val="40"/>
                <w:sz w:val="14"/>
              </w:rPr>
              <w:t> </w:t>
            </w:r>
            <w:r>
              <w:rPr>
                <w:sz w:val="14"/>
              </w:rPr>
              <w:t>dependants</w:t>
            </w:r>
            <w:r>
              <w:rPr>
                <w:spacing w:val="-9"/>
                <w:sz w:val="14"/>
              </w:rPr>
              <w:t> </w:t>
            </w:r>
            <w:r>
              <w:rPr>
                <w:sz w:val="14"/>
              </w:rPr>
              <w:t>varies</w:t>
            </w:r>
            <w:r>
              <w:rPr>
                <w:spacing w:val="40"/>
                <w:sz w:val="14"/>
              </w:rPr>
              <w:t> </w:t>
            </w:r>
            <w:r>
              <w:rPr>
                <w:sz w:val="14"/>
              </w:rPr>
              <w:t>depending on the</w:t>
            </w:r>
            <w:r>
              <w:rPr>
                <w:spacing w:val="40"/>
                <w:sz w:val="14"/>
              </w:rPr>
              <w:t> </w:t>
            </w:r>
            <w:r>
              <w:rPr>
                <w:sz w:val="14"/>
              </w:rPr>
              <w:t>size of new</w:t>
            </w:r>
            <w:r>
              <w:rPr>
                <w:spacing w:val="40"/>
                <w:sz w:val="14"/>
              </w:rPr>
              <w:t> </w:t>
            </w:r>
            <w:r>
              <w:rPr>
                <w:sz w:val="14"/>
              </w:rPr>
              <w:t>families</w:t>
            </w:r>
            <w:r>
              <w:rPr>
                <w:spacing w:val="-9"/>
                <w:sz w:val="14"/>
              </w:rPr>
              <w:t> </w:t>
            </w:r>
            <w:r>
              <w:rPr>
                <w:sz w:val="14"/>
              </w:rPr>
              <w:t>brought</w:t>
            </w:r>
            <w:r>
              <w:rPr>
                <w:spacing w:val="40"/>
                <w:sz w:val="14"/>
              </w:rPr>
              <w:t> </w:t>
            </w:r>
            <w:r>
              <w:rPr>
                <w:sz w:val="14"/>
              </w:rPr>
              <w:t>under</w:t>
            </w:r>
            <w:r>
              <w:rPr>
                <w:spacing w:val="-6"/>
                <w:sz w:val="14"/>
              </w:rPr>
              <w:t> </w:t>
            </w:r>
            <w:r>
              <w:rPr>
                <w:sz w:val="14"/>
              </w:rPr>
              <w:t>protection</w:t>
            </w:r>
            <w:r>
              <w:rPr>
                <w:spacing w:val="40"/>
                <w:sz w:val="14"/>
              </w:rPr>
              <w:t> </w:t>
            </w:r>
            <w:r>
              <w:rPr>
                <w:sz w:val="14"/>
              </w:rPr>
              <w:t>and the number</w:t>
            </w:r>
            <w:r>
              <w:rPr>
                <w:spacing w:val="40"/>
                <w:sz w:val="14"/>
              </w:rPr>
              <w:t> </w:t>
            </w:r>
            <w:r>
              <w:rPr>
                <w:sz w:val="14"/>
              </w:rPr>
              <w:t>of families that</w:t>
            </w:r>
            <w:r>
              <w:rPr>
                <w:spacing w:val="40"/>
                <w:sz w:val="14"/>
              </w:rPr>
              <w:t> </w:t>
            </w:r>
            <w:r>
              <w:rPr>
                <w:sz w:val="14"/>
              </w:rPr>
              <w:t>no longer require</w:t>
            </w:r>
            <w:r>
              <w:rPr>
                <w:spacing w:val="40"/>
                <w:sz w:val="14"/>
              </w:rPr>
              <w:t> </w:t>
            </w:r>
            <w:r>
              <w:rPr>
                <w:sz w:val="14"/>
              </w:rPr>
              <w:t>active</w:t>
            </w:r>
            <w:r>
              <w:rPr>
                <w:spacing w:val="-9"/>
                <w:sz w:val="14"/>
              </w:rPr>
              <w:t> </w:t>
            </w:r>
            <w:r>
              <w:rPr>
                <w:sz w:val="14"/>
              </w:rPr>
              <w:t>protection</w:t>
            </w:r>
            <w:r>
              <w:rPr>
                <w:spacing w:val="40"/>
                <w:sz w:val="14"/>
              </w:rPr>
              <w:t> </w:t>
            </w:r>
            <w:r>
              <w:rPr>
                <w:sz w:val="14"/>
              </w:rPr>
              <w:t>by the VWS</w:t>
            </w:r>
          </w:p>
        </w:tc>
        <w:tc>
          <w:tcPr>
            <w:tcW w:w="587" w:type="dxa"/>
            <w:tcBorders>
              <w:top w:val="single" w:sz="4" w:space="0" w:color="000000"/>
              <w:bottom w:val="single" w:sz="4" w:space="0" w:color="000000"/>
            </w:tcBorders>
          </w:tcPr>
          <w:p>
            <w:pPr>
              <w:pStyle w:val="TableParagraph"/>
              <w:spacing w:before="61"/>
              <w:ind w:left="15" w:right="3"/>
              <w:jc w:val="center"/>
              <w:rPr>
                <w:sz w:val="14"/>
              </w:rPr>
            </w:pPr>
            <w:r>
              <w:rPr>
                <w:spacing w:val="-5"/>
                <w:sz w:val="14"/>
              </w:rPr>
              <w:t>590</w:t>
            </w:r>
          </w:p>
        </w:tc>
        <w:tc>
          <w:tcPr>
            <w:tcW w:w="1212" w:type="dxa"/>
            <w:tcBorders>
              <w:top w:val="single" w:sz="4" w:space="0" w:color="000000"/>
              <w:bottom w:val="single" w:sz="4" w:space="0" w:color="000000"/>
            </w:tcBorders>
          </w:tcPr>
          <w:p>
            <w:pPr>
              <w:pStyle w:val="TableParagraph"/>
              <w:spacing w:before="61"/>
              <w:ind w:left="22" w:right="148"/>
              <w:jc w:val="left"/>
              <w:rPr>
                <w:sz w:val="14"/>
              </w:rPr>
            </w:pPr>
            <w:r>
              <w:rPr>
                <w:spacing w:val="-2"/>
                <w:sz w:val="14"/>
              </w:rPr>
              <w:t>Witnesses/</w:t>
            </w:r>
            <w:r>
              <w:rPr>
                <w:spacing w:val="80"/>
                <w:sz w:val="14"/>
              </w:rPr>
              <w:t> </w:t>
            </w:r>
            <w:r>
              <w:rPr>
                <w:sz w:val="14"/>
              </w:rPr>
              <w:t>victims and their</w:t>
            </w:r>
            <w:r>
              <w:rPr>
                <w:spacing w:val="40"/>
                <w:sz w:val="14"/>
              </w:rPr>
              <w:t> </w:t>
            </w:r>
            <w:r>
              <w:rPr>
                <w:sz w:val="14"/>
              </w:rPr>
              <w:t>dependants</w:t>
            </w:r>
            <w:r>
              <w:rPr>
                <w:spacing w:val="-9"/>
                <w:sz w:val="14"/>
              </w:rPr>
              <w:t> </w:t>
            </w:r>
            <w:r>
              <w:rPr>
                <w:sz w:val="14"/>
              </w:rPr>
              <w:t>who</w:t>
            </w:r>
            <w:r>
              <w:rPr>
                <w:spacing w:val="40"/>
                <w:sz w:val="14"/>
              </w:rPr>
              <w:t> </w:t>
            </w:r>
            <w:r>
              <w:rPr>
                <w:sz w:val="14"/>
              </w:rPr>
              <w:t>could</w:t>
            </w:r>
            <w:r>
              <w:rPr>
                <w:spacing w:val="-9"/>
                <w:sz w:val="14"/>
              </w:rPr>
              <w:t> </w:t>
            </w:r>
            <w:r>
              <w:rPr>
                <w:sz w:val="14"/>
              </w:rPr>
              <w:t>be</w:t>
            </w:r>
            <w:r>
              <w:rPr>
                <w:spacing w:val="-9"/>
                <w:sz w:val="14"/>
              </w:rPr>
              <w:t> </w:t>
            </w:r>
            <w:r>
              <w:rPr>
                <w:sz w:val="14"/>
              </w:rPr>
              <w:t>under</w:t>
            </w:r>
            <w:r>
              <w:rPr>
                <w:spacing w:val="-9"/>
                <w:sz w:val="14"/>
              </w:rPr>
              <w:t> </w:t>
            </w:r>
            <w:r>
              <w:rPr>
                <w:sz w:val="14"/>
              </w:rPr>
              <w:t>the</w:t>
            </w:r>
          </w:p>
          <w:p>
            <w:pPr>
              <w:pStyle w:val="TableParagraph"/>
              <w:spacing w:line="235" w:lineRule="auto" w:before="6"/>
              <w:ind w:left="22" w:right="27"/>
              <w:jc w:val="left"/>
              <w:rPr>
                <w:sz w:val="14"/>
              </w:rPr>
            </w:pPr>
            <w:r>
              <w:rPr>
                <w:sz w:val="14"/>
              </w:rPr>
              <w:t>protection and care</w:t>
            </w:r>
            <w:r>
              <w:rPr>
                <w:spacing w:val="40"/>
                <w:sz w:val="14"/>
              </w:rPr>
              <w:t> </w:t>
            </w:r>
            <w:r>
              <w:rPr>
                <w:sz w:val="14"/>
              </w:rPr>
              <w:t>of</w:t>
            </w:r>
            <w:r>
              <w:rPr>
                <w:spacing w:val="-9"/>
                <w:sz w:val="14"/>
              </w:rPr>
              <w:t> </w:t>
            </w:r>
            <w:r>
              <w:rPr>
                <w:sz w:val="14"/>
              </w:rPr>
              <w:t>the</w:t>
            </w:r>
            <w:r>
              <w:rPr>
                <w:spacing w:val="-9"/>
                <w:sz w:val="14"/>
              </w:rPr>
              <w:t> </w:t>
            </w:r>
            <w:r>
              <w:rPr>
                <w:sz w:val="14"/>
              </w:rPr>
              <w:t>VWS</w:t>
            </w:r>
            <w:r>
              <w:rPr>
                <w:spacing w:val="-9"/>
                <w:sz w:val="14"/>
              </w:rPr>
              <w:t> </w:t>
            </w:r>
            <w:r>
              <w:rPr>
                <w:sz w:val="14"/>
              </w:rPr>
              <w:t>in</w:t>
            </w:r>
            <w:r>
              <w:rPr>
                <w:spacing w:val="-8"/>
                <w:sz w:val="14"/>
              </w:rPr>
              <w:t> </w:t>
            </w:r>
            <w:r>
              <w:rPr>
                <w:sz w:val="14"/>
              </w:rPr>
              <w:t>2022</w:t>
            </w:r>
          </w:p>
        </w:tc>
        <w:tc>
          <w:tcPr>
            <w:tcW w:w="587" w:type="dxa"/>
            <w:tcBorders>
              <w:top w:val="single" w:sz="4" w:space="0" w:color="000000"/>
              <w:bottom w:val="single" w:sz="4" w:space="0" w:color="000000"/>
            </w:tcBorders>
          </w:tcPr>
          <w:p>
            <w:pPr>
              <w:pStyle w:val="TableParagraph"/>
              <w:spacing w:before="61"/>
              <w:ind w:left="15"/>
              <w:jc w:val="center"/>
              <w:rPr>
                <w:sz w:val="14"/>
              </w:rPr>
            </w:pPr>
            <w:r>
              <w:rPr>
                <w:spacing w:val="-5"/>
                <w:sz w:val="14"/>
              </w:rPr>
              <w:t>620</w:t>
            </w:r>
          </w:p>
        </w:tc>
        <w:tc>
          <w:tcPr>
            <w:tcW w:w="1011" w:type="dxa"/>
            <w:tcBorders>
              <w:top w:val="single" w:sz="4" w:space="0" w:color="000000"/>
              <w:bottom w:val="single" w:sz="4" w:space="0" w:color="000000"/>
            </w:tcBorders>
          </w:tcPr>
          <w:p>
            <w:pPr>
              <w:pStyle w:val="TableParagraph"/>
              <w:spacing w:before="61"/>
              <w:ind w:left="24" w:right="-10"/>
              <w:jc w:val="left"/>
              <w:rPr>
                <w:sz w:val="14"/>
              </w:rPr>
            </w:pPr>
            <w:r>
              <w:rPr>
                <w:spacing w:val="-2"/>
                <w:sz w:val="14"/>
              </w:rPr>
              <w:t>Witnesses/victims</w:t>
            </w:r>
            <w:r>
              <w:rPr>
                <w:spacing w:val="40"/>
                <w:sz w:val="14"/>
              </w:rPr>
              <w:t> </w:t>
            </w:r>
            <w:r>
              <w:rPr>
                <w:sz w:val="14"/>
              </w:rPr>
              <w:t>and</w:t>
            </w:r>
            <w:r>
              <w:rPr>
                <w:spacing w:val="-9"/>
                <w:sz w:val="14"/>
              </w:rPr>
              <w:t> </w:t>
            </w:r>
            <w:r>
              <w:rPr>
                <w:sz w:val="14"/>
              </w:rPr>
              <w:t>their</w:t>
            </w:r>
            <w:r>
              <w:rPr>
                <w:spacing w:val="40"/>
                <w:sz w:val="14"/>
              </w:rPr>
              <w:t> </w:t>
            </w:r>
            <w:r>
              <w:rPr>
                <w:sz w:val="14"/>
              </w:rPr>
              <w:t>dependants</w:t>
            </w:r>
            <w:r>
              <w:rPr>
                <w:spacing w:val="-9"/>
                <w:sz w:val="14"/>
              </w:rPr>
              <w:t> </w:t>
            </w:r>
            <w:r>
              <w:rPr>
                <w:sz w:val="14"/>
              </w:rPr>
              <w:t>who</w:t>
            </w:r>
            <w:r>
              <w:rPr>
                <w:spacing w:val="40"/>
                <w:sz w:val="14"/>
              </w:rPr>
              <w:t> </w:t>
            </w:r>
            <w:r>
              <w:rPr>
                <w:sz w:val="14"/>
              </w:rPr>
              <w:t>could be under</w:t>
            </w:r>
            <w:r>
              <w:rPr>
                <w:spacing w:val="40"/>
                <w:sz w:val="14"/>
              </w:rPr>
              <w:t> </w:t>
            </w:r>
            <w:r>
              <w:rPr>
                <w:spacing w:val="-2"/>
                <w:sz w:val="14"/>
              </w:rPr>
              <w:t>the</w:t>
            </w:r>
            <w:r>
              <w:rPr>
                <w:spacing w:val="-7"/>
                <w:sz w:val="14"/>
              </w:rPr>
              <w:t> </w:t>
            </w:r>
            <w:r>
              <w:rPr>
                <w:spacing w:val="-2"/>
                <w:sz w:val="14"/>
              </w:rPr>
              <w:t>protection</w:t>
            </w:r>
            <w:r>
              <w:rPr>
                <w:spacing w:val="-7"/>
                <w:sz w:val="14"/>
              </w:rPr>
              <w:t> </w:t>
            </w:r>
            <w:r>
              <w:rPr>
                <w:spacing w:val="-2"/>
                <w:sz w:val="14"/>
              </w:rPr>
              <w:t>and</w:t>
            </w:r>
            <w:r>
              <w:rPr>
                <w:spacing w:val="40"/>
                <w:sz w:val="14"/>
              </w:rPr>
              <w:t> </w:t>
            </w:r>
            <w:r>
              <w:rPr>
                <w:sz w:val="14"/>
              </w:rPr>
              <w:t>care of the VWS</w:t>
            </w:r>
            <w:r>
              <w:rPr>
                <w:spacing w:val="40"/>
                <w:sz w:val="14"/>
              </w:rPr>
              <w:t> </w:t>
            </w:r>
            <w:r>
              <w:rPr>
                <w:sz w:val="14"/>
              </w:rPr>
              <w:t>in</w:t>
            </w:r>
            <w:r>
              <w:rPr>
                <w:spacing w:val="-9"/>
                <w:sz w:val="14"/>
              </w:rPr>
              <w:t> </w:t>
            </w:r>
            <w:r>
              <w:rPr>
                <w:sz w:val="14"/>
              </w:rPr>
              <w:t>2023</w:t>
            </w:r>
          </w:p>
        </w:tc>
      </w:tr>
      <w:tr>
        <w:trPr>
          <w:trHeight w:val="1689" w:hRule="atLeast"/>
        </w:trPr>
        <w:tc>
          <w:tcPr>
            <w:tcW w:w="226" w:type="dxa"/>
            <w:tcBorders>
              <w:top w:val="single" w:sz="4" w:space="0" w:color="000000"/>
              <w:bottom w:val="single" w:sz="4" w:space="0" w:color="000000"/>
            </w:tcBorders>
          </w:tcPr>
          <w:p>
            <w:pPr>
              <w:pStyle w:val="TableParagraph"/>
              <w:spacing w:before="42"/>
              <w:ind w:left="14"/>
              <w:jc w:val="left"/>
              <w:rPr>
                <w:sz w:val="14"/>
              </w:rPr>
            </w:pPr>
            <w:r>
              <w:rPr>
                <w:spacing w:val="-5"/>
                <w:sz w:val="14"/>
              </w:rPr>
              <w:t>19</w:t>
            </w:r>
          </w:p>
        </w:tc>
        <w:tc>
          <w:tcPr>
            <w:tcW w:w="749" w:type="dxa"/>
            <w:tcBorders>
              <w:top w:val="single" w:sz="4" w:space="0" w:color="000000"/>
              <w:bottom w:val="single" w:sz="4" w:space="0" w:color="000000"/>
            </w:tcBorders>
          </w:tcPr>
          <w:p>
            <w:pPr>
              <w:pStyle w:val="TableParagraph"/>
              <w:spacing w:before="42"/>
              <w:ind w:left="67" w:right="60"/>
              <w:jc w:val="left"/>
              <w:rPr>
                <w:sz w:val="14"/>
              </w:rPr>
            </w:pPr>
            <w:r>
              <w:rPr>
                <w:sz w:val="14"/>
              </w:rPr>
              <w:t>Number</w:t>
            </w:r>
            <w:r>
              <w:rPr>
                <w:spacing w:val="-9"/>
                <w:sz w:val="14"/>
              </w:rPr>
              <w:t> </w:t>
            </w:r>
            <w:r>
              <w:rPr>
                <w:sz w:val="14"/>
              </w:rPr>
              <w:t>of</w:t>
            </w:r>
            <w:r>
              <w:rPr>
                <w:spacing w:val="40"/>
                <w:sz w:val="14"/>
              </w:rPr>
              <w:t> </w:t>
            </w:r>
            <w:r>
              <w:rPr>
                <w:spacing w:val="-2"/>
                <w:sz w:val="14"/>
              </w:rPr>
              <w:t>suspects/</w:t>
            </w:r>
            <w:r>
              <w:rPr>
                <w:spacing w:val="40"/>
                <w:sz w:val="14"/>
              </w:rPr>
              <w:t> </w:t>
            </w:r>
            <w:r>
              <w:rPr>
                <w:spacing w:val="-2"/>
                <w:sz w:val="14"/>
              </w:rPr>
              <w:t>accused</w:t>
            </w:r>
            <w:r>
              <w:rPr>
                <w:spacing w:val="40"/>
                <w:sz w:val="14"/>
              </w:rPr>
              <w:t> </w:t>
            </w:r>
            <w:r>
              <w:rPr>
                <w:spacing w:val="-2"/>
                <w:sz w:val="14"/>
              </w:rPr>
              <w:t>appearing</w:t>
            </w:r>
            <w:r>
              <w:rPr>
                <w:spacing w:val="40"/>
                <w:sz w:val="14"/>
              </w:rPr>
              <w:t> </w:t>
            </w:r>
            <w:r>
              <w:rPr>
                <w:sz w:val="14"/>
              </w:rPr>
              <w:t>before</w:t>
            </w:r>
            <w:r>
              <w:rPr>
                <w:spacing w:val="-9"/>
                <w:sz w:val="14"/>
              </w:rPr>
              <w:t> </w:t>
            </w:r>
            <w:r>
              <w:rPr>
                <w:sz w:val="14"/>
              </w:rPr>
              <w:t>the</w:t>
            </w:r>
            <w:r>
              <w:rPr>
                <w:spacing w:val="40"/>
                <w:sz w:val="14"/>
              </w:rPr>
              <w:t> </w:t>
            </w:r>
            <w:r>
              <w:rPr>
                <w:spacing w:val="-2"/>
                <w:sz w:val="14"/>
              </w:rPr>
              <w:t>Court</w:t>
            </w:r>
            <w:r>
              <w:rPr>
                <w:spacing w:val="-2"/>
                <w:sz w:val="14"/>
                <w:vertAlign w:val="superscript"/>
              </w:rPr>
              <w:t>174</w:t>
            </w:r>
          </w:p>
        </w:tc>
        <w:tc>
          <w:tcPr>
            <w:tcW w:w="591" w:type="dxa"/>
            <w:tcBorders>
              <w:top w:val="single" w:sz="4" w:space="0" w:color="000000"/>
              <w:bottom w:val="single" w:sz="4" w:space="0" w:color="000000"/>
            </w:tcBorders>
          </w:tcPr>
          <w:p>
            <w:pPr>
              <w:pStyle w:val="TableParagraph"/>
              <w:spacing w:before="42"/>
              <w:ind w:left="16"/>
              <w:jc w:val="center"/>
              <w:rPr>
                <w:sz w:val="14"/>
              </w:rPr>
            </w:pPr>
            <w:r>
              <w:rPr>
                <w:w w:val="99"/>
                <w:sz w:val="14"/>
              </w:rPr>
              <w:t>8</w:t>
            </w:r>
          </w:p>
        </w:tc>
        <w:tc>
          <w:tcPr>
            <w:tcW w:w="475" w:type="dxa"/>
            <w:tcBorders>
              <w:top w:val="single" w:sz="4" w:space="0" w:color="000000"/>
              <w:bottom w:val="single" w:sz="4" w:space="0" w:color="000000"/>
            </w:tcBorders>
          </w:tcPr>
          <w:p>
            <w:pPr>
              <w:pStyle w:val="TableParagraph"/>
              <w:spacing w:before="42"/>
              <w:ind w:left="26"/>
              <w:jc w:val="center"/>
              <w:rPr>
                <w:sz w:val="14"/>
              </w:rPr>
            </w:pPr>
            <w:r>
              <w:rPr>
                <w:w w:val="99"/>
                <w:sz w:val="14"/>
              </w:rPr>
              <w:t>8</w:t>
            </w:r>
          </w:p>
        </w:tc>
        <w:tc>
          <w:tcPr>
            <w:tcW w:w="1117" w:type="dxa"/>
            <w:tcBorders>
              <w:top w:val="single" w:sz="4" w:space="0" w:color="000000"/>
              <w:bottom w:val="single" w:sz="4" w:space="0" w:color="000000"/>
            </w:tcBorders>
          </w:tcPr>
          <w:p>
            <w:pPr>
              <w:pStyle w:val="TableParagraph"/>
              <w:spacing w:line="242" w:lineRule="auto" w:before="42"/>
              <w:ind w:left="14"/>
              <w:jc w:val="left"/>
              <w:rPr>
                <w:sz w:val="14"/>
              </w:rPr>
            </w:pPr>
            <w:r>
              <w:rPr>
                <w:sz w:val="14"/>
              </w:rPr>
              <w:t>Al</w:t>
            </w:r>
            <w:r>
              <w:rPr>
                <w:spacing w:val="-9"/>
                <w:sz w:val="14"/>
              </w:rPr>
              <w:t> </w:t>
            </w:r>
            <w:r>
              <w:rPr>
                <w:sz w:val="14"/>
              </w:rPr>
              <w:t>Hassan;</w:t>
            </w:r>
            <w:r>
              <w:rPr>
                <w:spacing w:val="-9"/>
                <w:sz w:val="14"/>
              </w:rPr>
              <w:t> </w:t>
            </w:r>
            <w:r>
              <w:rPr>
                <w:sz w:val="14"/>
              </w:rPr>
              <w:t>Bemba;</w:t>
            </w:r>
            <w:r>
              <w:rPr>
                <w:spacing w:val="40"/>
                <w:sz w:val="14"/>
              </w:rPr>
              <w:t> </w:t>
            </w:r>
            <w:r>
              <w:rPr>
                <w:spacing w:val="-2"/>
                <w:sz w:val="14"/>
              </w:rPr>
              <w:t>Ntaganda;</w:t>
            </w:r>
          </w:p>
          <w:p>
            <w:pPr>
              <w:pStyle w:val="TableParagraph"/>
              <w:ind w:left="14" w:right="131"/>
              <w:jc w:val="left"/>
              <w:rPr>
                <w:sz w:val="14"/>
              </w:rPr>
            </w:pPr>
            <w:r>
              <w:rPr>
                <w:sz w:val="14"/>
              </w:rPr>
              <w:t>L. Gbagbo; Blé</w:t>
            </w:r>
            <w:r>
              <w:rPr>
                <w:spacing w:val="40"/>
                <w:sz w:val="14"/>
              </w:rPr>
              <w:t> </w:t>
            </w:r>
            <w:r>
              <w:rPr>
                <w:sz w:val="14"/>
              </w:rPr>
              <w:t>Goudé;</w:t>
            </w:r>
            <w:r>
              <w:rPr>
                <w:spacing w:val="-9"/>
                <w:sz w:val="14"/>
              </w:rPr>
              <w:t> </w:t>
            </w:r>
            <w:r>
              <w:rPr>
                <w:sz w:val="14"/>
              </w:rPr>
              <w:t>Ongwen;</w:t>
            </w:r>
            <w:r>
              <w:rPr>
                <w:spacing w:val="40"/>
                <w:sz w:val="14"/>
              </w:rPr>
              <w:t> </w:t>
            </w:r>
            <w:r>
              <w:rPr>
                <w:sz w:val="14"/>
              </w:rPr>
              <w:t>Yekatom;</w:t>
            </w:r>
            <w:r>
              <w:rPr>
                <w:spacing w:val="-9"/>
                <w:sz w:val="14"/>
              </w:rPr>
              <w:t> </w:t>
            </w:r>
            <w:r>
              <w:rPr>
                <w:sz w:val="14"/>
              </w:rPr>
              <w:t>and</w:t>
            </w:r>
            <w:r>
              <w:rPr>
                <w:spacing w:val="40"/>
                <w:sz w:val="14"/>
              </w:rPr>
              <w:t> </w:t>
            </w:r>
            <w:r>
              <w:rPr>
                <w:spacing w:val="-2"/>
                <w:sz w:val="14"/>
              </w:rPr>
              <w:t>Ngaïssona</w:t>
            </w:r>
          </w:p>
        </w:tc>
        <w:tc>
          <w:tcPr>
            <w:tcW w:w="606" w:type="dxa"/>
            <w:tcBorders>
              <w:top w:val="single" w:sz="4" w:space="0" w:color="000000"/>
              <w:bottom w:val="single" w:sz="4" w:space="0" w:color="000000"/>
            </w:tcBorders>
          </w:tcPr>
          <w:p>
            <w:pPr>
              <w:pStyle w:val="TableParagraph"/>
              <w:spacing w:before="42"/>
              <w:ind w:left="33"/>
              <w:jc w:val="center"/>
              <w:rPr>
                <w:sz w:val="14"/>
              </w:rPr>
            </w:pPr>
            <w:r>
              <w:rPr>
                <w:w w:val="99"/>
                <w:sz w:val="14"/>
              </w:rPr>
              <w:t>0</w:t>
            </w:r>
          </w:p>
        </w:tc>
        <w:tc>
          <w:tcPr>
            <w:tcW w:w="544" w:type="dxa"/>
            <w:tcBorders>
              <w:top w:val="single" w:sz="4" w:space="0" w:color="000000"/>
              <w:bottom w:val="single" w:sz="4" w:space="0" w:color="000000"/>
            </w:tcBorders>
          </w:tcPr>
          <w:p>
            <w:pPr>
              <w:pStyle w:val="TableParagraph"/>
              <w:spacing w:before="42"/>
              <w:ind w:left="56"/>
              <w:jc w:val="center"/>
              <w:rPr>
                <w:sz w:val="14"/>
              </w:rPr>
            </w:pPr>
            <w:r>
              <w:rPr>
                <w:w w:val="99"/>
                <w:sz w:val="14"/>
              </w:rPr>
              <w:t>7</w:t>
            </w:r>
          </w:p>
        </w:tc>
        <w:tc>
          <w:tcPr>
            <w:tcW w:w="965" w:type="dxa"/>
            <w:tcBorders>
              <w:top w:val="single" w:sz="4" w:space="0" w:color="000000"/>
              <w:bottom w:val="single" w:sz="4" w:space="0" w:color="000000"/>
            </w:tcBorders>
          </w:tcPr>
          <w:p>
            <w:pPr>
              <w:pStyle w:val="TableParagraph"/>
              <w:spacing w:before="42"/>
              <w:ind w:left="33" w:right="178"/>
              <w:jc w:val="left"/>
              <w:rPr>
                <w:sz w:val="14"/>
              </w:rPr>
            </w:pPr>
            <w:r>
              <w:rPr>
                <w:sz w:val="14"/>
              </w:rPr>
              <w:t>Al</w:t>
            </w:r>
            <w:r>
              <w:rPr>
                <w:spacing w:val="-9"/>
                <w:sz w:val="14"/>
              </w:rPr>
              <w:t> </w:t>
            </w:r>
            <w:r>
              <w:rPr>
                <w:sz w:val="14"/>
              </w:rPr>
              <w:t>Hassan;</w:t>
            </w:r>
            <w:r>
              <w:rPr>
                <w:spacing w:val="40"/>
                <w:sz w:val="14"/>
              </w:rPr>
              <w:t> </w:t>
            </w:r>
            <w:r>
              <w:rPr>
                <w:spacing w:val="-2"/>
                <w:sz w:val="14"/>
              </w:rPr>
              <w:t>Abd-Al-</w:t>
            </w:r>
            <w:r>
              <w:rPr>
                <w:spacing w:val="40"/>
                <w:sz w:val="14"/>
              </w:rPr>
              <w:t> </w:t>
            </w:r>
            <w:r>
              <w:rPr>
                <w:spacing w:val="-2"/>
                <w:sz w:val="14"/>
              </w:rPr>
              <w:t>Rahman;</w:t>
            </w:r>
            <w:r>
              <w:rPr>
                <w:spacing w:val="40"/>
                <w:sz w:val="14"/>
              </w:rPr>
              <w:t> </w:t>
            </w:r>
            <w:r>
              <w:rPr>
                <w:sz w:val="14"/>
              </w:rPr>
              <w:t>Gbagbo;</w:t>
            </w:r>
            <w:r>
              <w:rPr>
                <w:spacing w:val="-9"/>
                <w:sz w:val="14"/>
              </w:rPr>
              <w:t> </w:t>
            </w:r>
            <w:r>
              <w:rPr>
                <w:sz w:val="14"/>
              </w:rPr>
              <w:t>Blé</w:t>
            </w:r>
            <w:r>
              <w:rPr>
                <w:spacing w:val="40"/>
                <w:sz w:val="14"/>
              </w:rPr>
              <w:t> </w:t>
            </w:r>
            <w:r>
              <w:rPr>
                <w:spacing w:val="-2"/>
                <w:sz w:val="14"/>
              </w:rPr>
              <w:t>Goudé;</w:t>
            </w:r>
            <w:r>
              <w:rPr>
                <w:spacing w:val="40"/>
                <w:sz w:val="14"/>
              </w:rPr>
              <w:t> </w:t>
            </w:r>
            <w:r>
              <w:rPr>
                <w:spacing w:val="-2"/>
                <w:sz w:val="14"/>
              </w:rPr>
              <w:t>Gicheru;</w:t>
            </w:r>
            <w:r>
              <w:rPr>
                <w:spacing w:val="40"/>
                <w:sz w:val="14"/>
              </w:rPr>
              <w:t> </w:t>
            </w:r>
            <w:r>
              <w:rPr>
                <w:sz w:val="14"/>
              </w:rPr>
              <w:t>Ongwen;</w:t>
            </w:r>
            <w:r>
              <w:rPr>
                <w:spacing w:val="-9"/>
                <w:sz w:val="14"/>
              </w:rPr>
              <w:t> </w:t>
            </w:r>
            <w:r>
              <w:rPr>
                <w:sz w:val="14"/>
              </w:rPr>
              <w:t>and</w:t>
            </w:r>
            <w:r>
              <w:rPr>
                <w:spacing w:val="40"/>
                <w:sz w:val="14"/>
              </w:rPr>
              <w:t> </w:t>
            </w:r>
            <w:r>
              <w:rPr>
                <w:spacing w:val="-2"/>
                <w:sz w:val="14"/>
              </w:rPr>
              <w:t>Ntaganda</w:t>
            </w:r>
          </w:p>
        </w:tc>
        <w:tc>
          <w:tcPr>
            <w:tcW w:w="602" w:type="dxa"/>
            <w:tcBorders>
              <w:top w:val="single" w:sz="4" w:space="0" w:color="000000"/>
              <w:bottom w:val="single" w:sz="4" w:space="0" w:color="000000"/>
            </w:tcBorders>
          </w:tcPr>
          <w:p>
            <w:pPr>
              <w:pStyle w:val="TableParagraph"/>
              <w:spacing w:before="42"/>
              <w:ind w:right="2"/>
              <w:jc w:val="center"/>
              <w:rPr>
                <w:sz w:val="14"/>
              </w:rPr>
            </w:pPr>
            <w:r>
              <w:rPr>
                <w:w w:val="99"/>
                <w:sz w:val="14"/>
              </w:rPr>
              <w:t>8</w:t>
            </w:r>
          </w:p>
        </w:tc>
        <w:tc>
          <w:tcPr>
            <w:tcW w:w="475" w:type="dxa"/>
            <w:tcBorders>
              <w:top w:val="single" w:sz="4" w:space="0" w:color="000000"/>
              <w:bottom w:val="single" w:sz="4" w:space="0" w:color="000000"/>
            </w:tcBorders>
          </w:tcPr>
          <w:p>
            <w:pPr>
              <w:pStyle w:val="TableParagraph"/>
              <w:spacing w:before="42"/>
              <w:ind w:left="30"/>
              <w:jc w:val="center"/>
              <w:rPr>
                <w:sz w:val="14"/>
              </w:rPr>
            </w:pPr>
            <w:r>
              <w:rPr>
                <w:spacing w:val="-5"/>
                <w:sz w:val="14"/>
              </w:rPr>
              <w:t>10</w:t>
            </w:r>
          </w:p>
        </w:tc>
        <w:tc>
          <w:tcPr>
            <w:tcW w:w="1041" w:type="dxa"/>
            <w:tcBorders>
              <w:top w:val="single" w:sz="4" w:space="0" w:color="000000"/>
              <w:bottom w:val="single" w:sz="4" w:space="0" w:color="000000"/>
            </w:tcBorders>
          </w:tcPr>
          <w:p>
            <w:pPr>
              <w:pStyle w:val="TableParagraph"/>
              <w:spacing w:before="42"/>
              <w:ind w:left="17" w:right="39"/>
              <w:jc w:val="left"/>
              <w:rPr>
                <w:sz w:val="14"/>
              </w:rPr>
            </w:pPr>
            <w:r>
              <w:rPr>
                <w:sz w:val="14"/>
              </w:rPr>
              <w:t>Al</w:t>
            </w:r>
            <w:r>
              <w:rPr>
                <w:spacing w:val="-9"/>
                <w:sz w:val="14"/>
              </w:rPr>
              <w:t> </w:t>
            </w:r>
            <w:r>
              <w:rPr>
                <w:sz w:val="14"/>
              </w:rPr>
              <w:t>Hassan;</w:t>
            </w:r>
            <w:r>
              <w:rPr>
                <w:spacing w:val="40"/>
                <w:sz w:val="14"/>
              </w:rPr>
              <w:t> </w:t>
            </w:r>
            <w:r>
              <w:rPr>
                <w:spacing w:val="-2"/>
                <w:sz w:val="14"/>
              </w:rPr>
              <w:t>Ntaganda;</w:t>
            </w:r>
            <w:r>
              <w:rPr>
                <w:spacing w:val="40"/>
                <w:sz w:val="14"/>
              </w:rPr>
              <w:t> </w:t>
            </w:r>
            <w:r>
              <w:rPr>
                <w:spacing w:val="-2"/>
                <w:sz w:val="14"/>
              </w:rPr>
              <w:t>Ongwen;</w:t>
            </w:r>
            <w:r>
              <w:rPr>
                <w:spacing w:val="40"/>
                <w:sz w:val="14"/>
              </w:rPr>
              <w:t> </w:t>
            </w:r>
            <w:r>
              <w:rPr>
                <w:spacing w:val="-2"/>
                <w:sz w:val="14"/>
              </w:rPr>
              <w:t>Yekatom;</w:t>
            </w:r>
            <w:r>
              <w:rPr>
                <w:spacing w:val="40"/>
                <w:sz w:val="14"/>
              </w:rPr>
              <w:t> </w:t>
            </w:r>
            <w:r>
              <w:rPr>
                <w:spacing w:val="-2"/>
                <w:sz w:val="14"/>
              </w:rPr>
              <w:t>Ngaïssona;</w:t>
            </w:r>
            <w:r>
              <w:rPr>
                <w:spacing w:val="40"/>
                <w:sz w:val="14"/>
              </w:rPr>
              <w:t> </w:t>
            </w:r>
            <w:r>
              <w:rPr>
                <w:spacing w:val="-2"/>
                <w:sz w:val="14"/>
              </w:rPr>
              <w:t>Gbagbo;</w:t>
            </w:r>
            <w:r>
              <w:rPr>
                <w:spacing w:val="-7"/>
                <w:sz w:val="14"/>
              </w:rPr>
              <w:t> </w:t>
            </w:r>
            <w:r>
              <w:rPr>
                <w:spacing w:val="-2"/>
                <w:sz w:val="14"/>
              </w:rPr>
              <w:t>Blé</w:t>
            </w:r>
            <w:r>
              <w:rPr>
                <w:spacing w:val="40"/>
                <w:sz w:val="14"/>
              </w:rPr>
              <w:t> </w:t>
            </w:r>
            <w:r>
              <w:rPr>
                <w:spacing w:val="-2"/>
                <w:sz w:val="14"/>
              </w:rPr>
              <w:t>Goudé;</w:t>
            </w:r>
          </w:p>
          <w:p>
            <w:pPr>
              <w:pStyle w:val="TableParagraph"/>
              <w:spacing w:before="1"/>
              <w:ind w:left="17" w:right="51"/>
              <w:jc w:val="left"/>
              <w:rPr>
                <w:sz w:val="14"/>
              </w:rPr>
            </w:pPr>
            <w:r>
              <w:rPr>
                <w:spacing w:val="-2"/>
                <w:sz w:val="14"/>
              </w:rPr>
              <w:t>Abd-Al-Rahman;</w:t>
            </w:r>
            <w:r>
              <w:rPr>
                <w:spacing w:val="40"/>
                <w:sz w:val="14"/>
              </w:rPr>
              <w:t> </w:t>
            </w:r>
            <w:r>
              <w:rPr>
                <w:sz w:val="14"/>
              </w:rPr>
              <w:t>Said;</w:t>
            </w:r>
            <w:r>
              <w:rPr>
                <w:spacing w:val="-9"/>
                <w:sz w:val="14"/>
              </w:rPr>
              <w:t> </w:t>
            </w:r>
            <w:r>
              <w:rPr>
                <w:sz w:val="14"/>
              </w:rPr>
              <w:t>and</w:t>
            </w:r>
            <w:r>
              <w:rPr>
                <w:spacing w:val="40"/>
                <w:sz w:val="14"/>
              </w:rPr>
              <w:t> </w:t>
            </w:r>
            <w:r>
              <w:rPr>
                <w:spacing w:val="-2"/>
                <w:sz w:val="14"/>
              </w:rPr>
              <w:t>Gicheru</w:t>
            </w:r>
          </w:p>
        </w:tc>
        <w:tc>
          <w:tcPr>
            <w:tcW w:w="587" w:type="dxa"/>
            <w:tcBorders>
              <w:top w:val="single" w:sz="4" w:space="0" w:color="000000"/>
              <w:bottom w:val="single" w:sz="4" w:space="0" w:color="000000"/>
            </w:tcBorders>
          </w:tcPr>
          <w:p>
            <w:pPr>
              <w:pStyle w:val="TableParagraph"/>
              <w:spacing w:before="42"/>
              <w:ind w:left="7"/>
              <w:jc w:val="center"/>
              <w:rPr>
                <w:sz w:val="14"/>
              </w:rPr>
            </w:pPr>
            <w:r>
              <w:rPr>
                <w:spacing w:val="-5"/>
                <w:sz w:val="14"/>
              </w:rPr>
              <w:t>46</w:t>
            </w:r>
          </w:p>
        </w:tc>
        <w:tc>
          <w:tcPr>
            <w:tcW w:w="1212" w:type="dxa"/>
            <w:tcBorders>
              <w:top w:val="single" w:sz="4" w:space="0" w:color="000000"/>
              <w:bottom w:val="single" w:sz="4" w:space="0" w:color="000000"/>
            </w:tcBorders>
          </w:tcPr>
          <w:p>
            <w:pPr>
              <w:pStyle w:val="TableParagraph"/>
              <w:spacing w:before="42"/>
              <w:ind w:left="22" w:right="22"/>
              <w:jc w:val="left"/>
              <w:rPr>
                <w:sz w:val="14"/>
              </w:rPr>
            </w:pPr>
            <w:r>
              <w:rPr>
                <w:sz w:val="14"/>
              </w:rPr>
              <w:t>Al</w:t>
            </w:r>
            <w:r>
              <w:rPr>
                <w:spacing w:val="-9"/>
                <w:sz w:val="14"/>
              </w:rPr>
              <w:t> </w:t>
            </w:r>
            <w:r>
              <w:rPr>
                <w:sz w:val="14"/>
              </w:rPr>
              <w:t>Hassan;</w:t>
            </w:r>
            <w:r>
              <w:rPr>
                <w:spacing w:val="-9"/>
                <w:sz w:val="14"/>
              </w:rPr>
              <w:t> </w:t>
            </w:r>
            <w:r>
              <w:rPr>
                <w:sz w:val="14"/>
              </w:rPr>
              <w:t>Ongwen;</w:t>
            </w:r>
            <w:r>
              <w:rPr>
                <w:spacing w:val="40"/>
                <w:sz w:val="14"/>
              </w:rPr>
              <w:t> </w:t>
            </w:r>
            <w:r>
              <w:rPr>
                <w:spacing w:val="-2"/>
                <w:sz w:val="14"/>
              </w:rPr>
              <w:t>Yekatom;</w:t>
            </w:r>
            <w:r>
              <w:rPr>
                <w:spacing w:val="40"/>
                <w:sz w:val="14"/>
              </w:rPr>
              <w:t> </w:t>
            </w:r>
            <w:r>
              <w:rPr>
                <w:sz w:val="14"/>
              </w:rPr>
              <w:t>Ngaïssona</w:t>
            </w:r>
            <w:r>
              <w:rPr>
                <w:i/>
                <w:sz w:val="14"/>
              </w:rPr>
              <w:t>;</w:t>
            </w:r>
            <w:r>
              <w:rPr>
                <w:i/>
                <w:spacing w:val="-9"/>
                <w:sz w:val="14"/>
              </w:rPr>
              <w:t> </w:t>
            </w:r>
            <w:r>
              <w:rPr>
                <w:sz w:val="14"/>
              </w:rPr>
              <w:t>Abd-Al-</w:t>
            </w:r>
            <w:r>
              <w:rPr>
                <w:spacing w:val="40"/>
                <w:sz w:val="14"/>
              </w:rPr>
              <w:t> </w:t>
            </w:r>
            <w:r>
              <w:rPr>
                <w:sz w:val="14"/>
              </w:rPr>
              <w:t>Rahman;</w:t>
            </w:r>
            <w:r>
              <w:rPr>
                <w:spacing w:val="-8"/>
                <w:sz w:val="14"/>
              </w:rPr>
              <w:t> </w:t>
            </w:r>
            <w:r>
              <w:rPr>
                <w:sz w:val="14"/>
              </w:rPr>
              <w:t>and</w:t>
            </w:r>
            <w:r>
              <w:rPr>
                <w:spacing w:val="40"/>
                <w:sz w:val="14"/>
              </w:rPr>
              <w:t> </w:t>
            </w:r>
            <w:r>
              <w:rPr>
                <w:spacing w:val="-2"/>
                <w:sz w:val="14"/>
              </w:rPr>
              <w:t>Gicheru</w:t>
            </w:r>
          </w:p>
        </w:tc>
        <w:tc>
          <w:tcPr>
            <w:tcW w:w="587" w:type="dxa"/>
            <w:tcBorders>
              <w:top w:val="single" w:sz="4" w:space="0" w:color="000000"/>
              <w:bottom w:val="single" w:sz="4" w:space="0" w:color="000000"/>
            </w:tcBorders>
          </w:tcPr>
          <w:p>
            <w:pPr>
              <w:pStyle w:val="TableParagraph"/>
              <w:spacing w:before="42"/>
              <w:ind w:left="12"/>
              <w:jc w:val="center"/>
              <w:rPr>
                <w:sz w:val="14"/>
              </w:rPr>
            </w:pPr>
            <w:r>
              <w:rPr>
                <w:w w:val="99"/>
                <w:sz w:val="14"/>
              </w:rPr>
              <w:t>8</w:t>
            </w:r>
          </w:p>
        </w:tc>
        <w:tc>
          <w:tcPr>
            <w:tcW w:w="1011" w:type="dxa"/>
            <w:tcBorders>
              <w:top w:val="single" w:sz="4" w:space="0" w:color="000000"/>
              <w:bottom w:val="single" w:sz="4" w:space="0" w:color="000000"/>
            </w:tcBorders>
          </w:tcPr>
          <w:p>
            <w:pPr>
              <w:pStyle w:val="TableParagraph"/>
              <w:spacing w:before="42"/>
              <w:ind w:left="24" w:right="357"/>
              <w:jc w:val="left"/>
              <w:rPr>
                <w:sz w:val="14"/>
              </w:rPr>
            </w:pPr>
            <w:r>
              <w:rPr>
                <w:sz w:val="14"/>
              </w:rPr>
              <w:t>Al</w:t>
            </w:r>
            <w:r>
              <w:rPr>
                <w:spacing w:val="-9"/>
                <w:sz w:val="14"/>
              </w:rPr>
              <w:t> </w:t>
            </w:r>
            <w:r>
              <w:rPr>
                <w:sz w:val="14"/>
              </w:rPr>
              <w:t>Hassan;</w:t>
            </w:r>
            <w:r>
              <w:rPr>
                <w:spacing w:val="40"/>
                <w:sz w:val="14"/>
              </w:rPr>
              <w:t> </w:t>
            </w:r>
            <w:r>
              <w:rPr>
                <w:spacing w:val="-2"/>
                <w:sz w:val="14"/>
              </w:rPr>
              <w:t>Ongwen;</w:t>
            </w:r>
            <w:r>
              <w:rPr>
                <w:spacing w:val="40"/>
                <w:sz w:val="14"/>
              </w:rPr>
              <w:t> </w:t>
            </w:r>
            <w:r>
              <w:rPr>
                <w:spacing w:val="-2"/>
                <w:sz w:val="14"/>
              </w:rPr>
              <w:t>Yekatom;</w:t>
            </w:r>
            <w:r>
              <w:rPr>
                <w:spacing w:val="40"/>
                <w:sz w:val="14"/>
              </w:rPr>
              <w:t> </w:t>
            </w:r>
            <w:r>
              <w:rPr>
                <w:spacing w:val="-2"/>
                <w:sz w:val="14"/>
              </w:rPr>
              <w:t>Ngaïssona;</w:t>
            </w:r>
          </w:p>
          <w:p>
            <w:pPr>
              <w:pStyle w:val="TableParagraph"/>
              <w:spacing w:line="235" w:lineRule="auto" w:before="6"/>
              <w:ind w:left="24" w:right="1"/>
              <w:jc w:val="left"/>
              <w:rPr>
                <w:sz w:val="14"/>
              </w:rPr>
            </w:pPr>
            <w:r>
              <w:rPr>
                <w:spacing w:val="-2"/>
                <w:sz w:val="14"/>
              </w:rPr>
              <w:t>Abd-Al-Rahman;</w:t>
            </w:r>
            <w:r>
              <w:rPr>
                <w:spacing w:val="40"/>
                <w:sz w:val="14"/>
              </w:rPr>
              <w:t> </w:t>
            </w:r>
            <w:r>
              <w:rPr>
                <w:sz w:val="14"/>
              </w:rPr>
              <w:t>Said;</w:t>
            </w:r>
            <w:r>
              <w:rPr>
                <w:spacing w:val="-9"/>
                <w:sz w:val="14"/>
              </w:rPr>
              <w:t> </w:t>
            </w:r>
            <w:r>
              <w:rPr>
                <w:sz w:val="14"/>
              </w:rPr>
              <w:t>Mokom;</w:t>
            </w:r>
            <w:r>
              <w:rPr>
                <w:spacing w:val="40"/>
                <w:sz w:val="14"/>
              </w:rPr>
              <w:t> </w:t>
            </w:r>
            <w:r>
              <w:rPr>
                <w:sz w:val="14"/>
              </w:rPr>
              <w:t>and</w:t>
            </w:r>
            <w:r>
              <w:rPr>
                <w:spacing w:val="-6"/>
                <w:sz w:val="14"/>
              </w:rPr>
              <w:t> </w:t>
            </w:r>
            <w:r>
              <w:rPr>
                <w:sz w:val="14"/>
              </w:rPr>
              <w:t>Gicheru</w:t>
            </w:r>
          </w:p>
        </w:tc>
      </w:tr>
    </w:tbl>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3"/>
        </w:rPr>
      </w:pPr>
      <w:r>
        <w:rPr/>
        <w:pict>
          <v:rect style="position:absolute;margin-left:113.330002pt;margin-top:14.745879pt;width:144.050pt;height:.47998pt;mso-position-horizontal-relative:page;mso-position-vertical-relative:paragraph;z-index:-15665152;mso-wrap-distance-left:0;mso-wrap-distance-right:0" id="docshape519" filled="true" fillcolor="#000000" stroked="false">
            <v:fill type="solid"/>
            <w10:wrap type="topAndBottom"/>
          </v:rect>
        </w:pict>
      </w:r>
    </w:p>
    <w:p>
      <w:pPr>
        <w:spacing w:line="240" w:lineRule="auto" w:before="86"/>
        <w:ind w:left="2246" w:right="2247" w:firstLine="0"/>
        <w:jc w:val="both"/>
        <w:rPr>
          <w:sz w:val="16"/>
        </w:rPr>
      </w:pPr>
      <w:r>
        <w:rPr>
          <w:position w:val="5"/>
          <w:sz w:val="10"/>
        </w:rPr>
        <w:t>171</w:t>
      </w:r>
      <w:r>
        <w:rPr>
          <w:spacing w:val="22"/>
          <w:position w:val="5"/>
          <w:sz w:val="10"/>
        </w:rPr>
        <w:t> </w:t>
      </w:r>
      <w:r>
        <w:rPr>
          <w:sz w:val="16"/>
        </w:rPr>
        <w:t>Figures represent the number of individual applications expected to be received. Applications for participation</w:t>
      </w:r>
      <w:r>
        <w:rPr>
          <w:spacing w:val="40"/>
          <w:sz w:val="16"/>
        </w:rPr>
        <w:t> </w:t>
      </w:r>
      <w:r>
        <w:rPr>
          <w:sz w:val="16"/>
        </w:rPr>
        <w:t>and applications for reparations are counted separately. Submissions of additional information are also counted</w:t>
      </w:r>
      <w:r>
        <w:rPr>
          <w:spacing w:val="40"/>
          <w:sz w:val="16"/>
        </w:rPr>
        <w:t> </w:t>
      </w:r>
      <w:r>
        <w:rPr>
          <w:sz w:val="16"/>
        </w:rPr>
        <w:t>separately</w:t>
      </w:r>
      <w:r>
        <w:rPr>
          <w:spacing w:val="-10"/>
          <w:sz w:val="16"/>
        </w:rPr>
        <w:t> </w:t>
      </w:r>
      <w:r>
        <w:rPr>
          <w:sz w:val="16"/>
        </w:rPr>
        <w:t>where</w:t>
      </w:r>
      <w:r>
        <w:rPr>
          <w:spacing w:val="-10"/>
          <w:sz w:val="16"/>
        </w:rPr>
        <w:t> </w:t>
      </w:r>
      <w:r>
        <w:rPr>
          <w:sz w:val="16"/>
        </w:rPr>
        <w:t>full</w:t>
      </w:r>
      <w:r>
        <w:rPr>
          <w:spacing w:val="-10"/>
          <w:sz w:val="16"/>
        </w:rPr>
        <w:t> </w:t>
      </w:r>
      <w:r>
        <w:rPr>
          <w:sz w:val="16"/>
        </w:rPr>
        <w:t>Registry</w:t>
      </w:r>
      <w:r>
        <w:rPr>
          <w:spacing w:val="-8"/>
          <w:sz w:val="16"/>
        </w:rPr>
        <w:t> </w:t>
      </w:r>
      <w:r>
        <w:rPr>
          <w:sz w:val="16"/>
        </w:rPr>
        <w:t>data</w:t>
      </w:r>
      <w:r>
        <w:rPr>
          <w:spacing w:val="-10"/>
          <w:sz w:val="16"/>
        </w:rPr>
        <w:t> </w:t>
      </w:r>
      <w:r>
        <w:rPr>
          <w:sz w:val="16"/>
        </w:rPr>
        <w:t>entry</w:t>
      </w:r>
      <w:r>
        <w:rPr>
          <w:spacing w:val="-8"/>
          <w:sz w:val="16"/>
        </w:rPr>
        <w:t> </w:t>
      </w:r>
      <w:r>
        <w:rPr>
          <w:sz w:val="16"/>
        </w:rPr>
        <w:t>and</w:t>
      </w:r>
      <w:r>
        <w:rPr>
          <w:spacing w:val="-8"/>
          <w:sz w:val="16"/>
        </w:rPr>
        <w:t> </w:t>
      </w:r>
      <w:r>
        <w:rPr>
          <w:sz w:val="16"/>
        </w:rPr>
        <w:t>legal</w:t>
      </w:r>
      <w:r>
        <w:rPr>
          <w:spacing w:val="-10"/>
          <w:sz w:val="16"/>
        </w:rPr>
        <w:t> </w:t>
      </w:r>
      <w:r>
        <w:rPr>
          <w:sz w:val="16"/>
        </w:rPr>
        <w:t>assessment</w:t>
      </w:r>
      <w:r>
        <w:rPr>
          <w:spacing w:val="-10"/>
          <w:sz w:val="16"/>
        </w:rPr>
        <w:t> </w:t>
      </w:r>
      <w:r>
        <w:rPr>
          <w:sz w:val="16"/>
        </w:rPr>
        <w:t>is</w:t>
      </w:r>
      <w:r>
        <w:rPr>
          <w:spacing w:val="-9"/>
          <w:sz w:val="16"/>
        </w:rPr>
        <w:t> </w:t>
      </w:r>
      <w:r>
        <w:rPr>
          <w:sz w:val="16"/>
        </w:rPr>
        <w:t>required</w:t>
      </w:r>
      <w:r>
        <w:rPr>
          <w:spacing w:val="-10"/>
          <w:sz w:val="16"/>
        </w:rPr>
        <w:t> </w:t>
      </w:r>
      <w:r>
        <w:rPr>
          <w:sz w:val="16"/>
        </w:rPr>
        <w:t>(e.g.</w:t>
      </w:r>
      <w:r>
        <w:rPr>
          <w:spacing w:val="-10"/>
          <w:sz w:val="16"/>
        </w:rPr>
        <w:t> </w:t>
      </w:r>
      <w:r>
        <w:rPr>
          <w:sz w:val="16"/>
        </w:rPr>
        <w:t>where</w:t>
      </w:r>
      <w:r>
        <w:rPr>
          <w:spacing w:val="-8"/>
          <w:sz w:val="16"/>
        </w:rPr>
        <w:t> </w:t>
      </w:r>
      <w:r>
        <w:rPr>
          <w:sz w:val="16"/>
        </w:rPr>
        <w:t>an</w:t>
      </w:r>
      <w:r>
        <w:rPr>
          <w:spacing w:val="-8"/>
          <w:sz w:val="16"/>
        </w:rPr>
        <w:t> </w:t>
      </w:r>
      <w:r>
        <w:rPr>
          <w:sz w:val="16"/>
        </w:rPr>
        <w:t>additional</w:t>
      </w:r>
      <w:r>
        <w:rPr>
          <w:spacing w:val="-10"/>
          <w:sz w:val="16"/>
        </w:rPr>
        <w:t> </w:t>
      </w:r>
      <w:r>
        <w:rPr>
          <w:sz w:val="16"/>
        </w:rPr>
        <w:t>form</w:t>
      </w:r>
      <w:r>
        <w:rPr>
          <w:spacing w:val="-8"/>
          <w:sz w:val="16"/>
        </w:rPr>
        <w:t> </w:t>
      </w:r>
      <w:r>
        <w:rPr>
          <w:sz w:val="16"/>
        </w:rPr>
        <w:t>is</w:t>
      </w:r>
      <w:r>
        <w:rPr>
          <w:spacing w:val="-9"/>
          <w:sz w:val="16"/>
        </w:rPr>
        <w:t> </w:t>
      </w:r>
      <w:r>
        <w:rPr>
          <w:sz w:val="16"/>
        </w:rPr>
        <w:t>received).</w:t>
      </w:r>
      <w:r>
        <w:rPr>
          <w:spacing w:val="40"/>
          <w:sz w:val="16"/>
        </w:rPr>
        <w:t> </w:t>
      </w:r>
      <w:r>
        <w:rPr>
          <w:position w:val="5"/>
          <w:sz w:val="10"/>
        </w:rPr>
        <w:t>172</w:t>
      </w:r>
      <w:r>
        <w:rPr>
          <w:spacing w:val="22"/>
          <w:position w:val="5"/>
          <w:sz w:val="10"/>
        </w:rPr>
        <w:t> </w:t>
      </w:r>
      <w:r>
        <w:rPr>
          <w:sz w:val="16"/>
        </w:rPr>
        <w:t>Figures represent the number of individual applications expected to be received. Applications for participation</w:t>
      </w:r>
      <w:r>
        <w:rPr>
          <w:spacing w:val="40"/>
          <w:sz w:val="16"/>
        </w:rPr>
        <w:t> </w:t>
      </w:r>
      <w:r>
        <w:rPr>
          <w:sz w:val="16"/>
        </w:rPr>
        <w:t>and applications for reparations are counted separately. Submissions of additional information are also counted</w:t>
      </w:r>
      <w:r>
        <w:rPr>
          <w:spacing w:val="40"/>
          <w:sz w:val="16"/>
        </w:rPr>
        <w:t> </w:t>
      </w:r>
      <w:r>
        <w:rPr>
          <w:sz w:val="16"/>
        </w:rPr>
        <w:t>separately</w:t>
      </w:r>
      <w:r>
        <w:rPr>
          <w:spacing w:val="-10"/>
          <w:sz w:val="16"/>
        </w:rPr>
        <w:t> </w:t>
      </w:r>
      <w:r>
        <w:rPr>
          <w:sz w:val="16"/>
        </w:rPr>
        <w:t>where</w:t>
      </w:r>
      <w:r>
        <w:rPr>
          <w:spacing w:val="-10"/>
          <w:sz w:val="16"/>
        </w:rPr>
        <w:t> </w:t>
      </w:r>
      <w:r>
        <w:rPr>
          <w:sz w:val="16"/>
        </w:rPr>
        <w:t>full</w:t>
      </w:r>
      <w:r>
        <w:rPr>
          <w:spacing w:val="-10"/>
          <w:sz w:val="16"/>
        </w:rPr>
        <w:t> </w:t>
      </w:r>
      <w:r>
        <w:rPr>
          <w:sz w:val="16"/>
        </w:rPr>
        <w:t>Registry</w:t>
      </w:r>
      <w:r>
        <w:rPr>
          <w:spacing w:val="-9"/>
          <w:sz w:val="16"/>
        </w:rPr>
        <w:t> </w:t>
      </w:r>
      <w:r>
        <w:rPr>
          <w:sz w:val="16"/>
        </w:rPr>
        <w:t>data</w:t>
      </w:r>
      <w:r>
        <w:rPr>
          <w:spacing w:val="-10"/>
          <w:sz w:val="16"/>
        </w:rPr>
        <w:t> </w:t>
      </w:r>
      <w:r>
        <w:rPr>
          <w:sz w:val="16"/>
        </w:rPr>
        <w:t>entry</w:t>
      </w:r>
      <w:r>
        <w:rPr>
          <w:spacing w:val="-8"/>
          <w:sz w:val="16"/>
        </w:rPr>
        <w:t> </w:t>
      </w:r>
      <w:r>
        <w:rPr>
          <w:sz w:val="16"/>
        </w:rPr>
        <w:t>and</w:t>
      </w:r>
      <w:r>
        <w:rPr>
          <w:spacing w:val="-8"/>
          <w:sz w:val="16"/>
        </w:rPr>
        <w:t> </w:t>
      </w:r>
      <w:r>
        <w:rPr>
          <w:sz w:val="16"/>
        </w:rPr>
        <w:t>legal</w:t>
      </w:r>
      <w:r>
        <w:rPr>
          <w:spacing w:val="-10"/>
          <w:sz w:val="16"/>
        </w:rPr>
        <w:t> </w:t>
      </w:r>
      <w:r>
        <w:rPr>
          <w:sz w:val="16"/>
        </w:rPr>
        <w:t>assessment</w:t>
      </w:r>
      <w:r>
        <w:rPr>
          <w:spacing w:val="-10"/>
          <w:sz w:val="16"/>
        </w:rPr>
        <w:t> </w:t>
      </w:r>
      <w:r>
        <w:rPr>
          <w:sz w:val="16"/>
        </w:rPr>
        <w:t>is</w:t>
      </w:r>
      <w:r>
        <w:rPr>
          <w:spacing w:val="-9"/>
          <w:sz w:val="16"/>
        </w:rPr>
        <w:t> </w:t>
      </w:r>
      <w:r>
        <w:rPr>
          <w:sz w:val="16"/>
        </w:rPr>
        <w:t>required</w:t>
      </w:r>
      <w:r>
        <w:rPr>
          <w:spacing w:val="-10"/>
          <w:sz w:val="16"/>
        </w:rPr>
        <w:t> </w:t>
      </w:r>
      <w:r>
        <w:rPr>
          <w:sz w:val="16"/>
        </w:rPr>
        <w:t>(e.g.</w:t>
      </w:r>
      <w:r>
        <w:rPr>
          <w:spacing w:val="-10"/>
          <w:sz w:val="16"/>
        </w:rPr>
        <w:t> </w:t>
      </w:r>
      <w:r>
        <w:rPr>
          <w:sz w:val="16"/>
        </w:rPr>
        <w:t>where</w:t>
      </w:r>
      <w:r>
        <w:rPr>
          <w:spacing w:val="-8"/>
          <w:sz w:val="16"/>
        </w:rPr>
        <w:t> </w:t>
      </w:r>
      <w:r>
        <w:rPr>
          <w:sz w:val="16"/>
        </w:rPr>
        <w:t>an</w:t>
      </w:r>
      <w:r>
        <w:rPr>
          <w:spacing w:val="-8"/>
          <w:sz w:val="16"/>
        </w:rPr>
        <w:t> </w:t>
      </w:r>
      <w:r>
        <w:rPr>
          <w:sz w:val="16"/>
        </w:rPr>
        <w:t>additional</w:t>
      </w:r>
      <w:r>
        <w:rPr>
          <w:spacing w:val="-10"/>
          <w:sz w:val="16"/>
        </w:rPr>
        <w:t> </w:t>
      </w:r>
      <w:r>
        <w:rPr>
          <w:sz w:val="16"/>
        </w:rPr>
        <w:t>form</w:t>
      </w:r>
      <w:r>
        <w:rPr>
          <w:spacing w:val="-8"/>
          <w:sz w:val="16"/>
        </w:rPr>
        <w:t> </w:t>
      </w:r>
      <w:r>
        <w:rPr>
          <w:sz w:val="16"/>
        </w:rPr>
        <w:t>is</w:t>
      </w:r>
      <w:r>
        <w:rPr>
          <w:spacing w:val="-9"/>
          <w:sz w:val="16"/>
        </w:rPr>
        <w:t> </w:t>
      </w:r>
      <w:r>
        <w:rPr>
          <w:sz w:val="16"/>
        </w:rPr>
        <w:t>received).</w:t>
      </w:r>
      <w:r>
        <w:rPr>
          <w:spacing w:val="40"/>
          <w:sz w:val="16"/>
        </w:rPr>
        <w:t> </w:t>
      </w:r>
      <w:r>
        <w:rPr>
          <w:position w:val="5"/>
          <w:sz w:val="10"/>
        </w:rPr>
        <w:t>173 </w:t>
      </w:r>
      <w:r>
        <w:rPr>
          <w:sz w:val="16"/>
        </w:rPr>
        <w:t>Figures represent the number of individual applications expected to be received. Applications for participation</w:t>
      </w:r>
      <w:r>
        <w:rPr>
          <w:spacing w:val="40"/>
          <w:sz w:val="16"/>
        </w:rPr>
        <w:t> </w:t>
      </w:r>
      <w:r>
        <w:rPr>
          <w:sz w:val="16"/>
        </w:rPr>
        <w:t>and applications for reparations are counted separately. Submissions of additional information are also counted</w:t>
      </w:r>
      <w:r>
        <w:rPr>
          <w:spacing w:val="40"/>
          <w:sz w:val="16"/>
        </w:rPr>
        <w:t> </w:t>
      </w:r>
      <w:r>
        <w:rPr>
          <w:sz w:val="16"/>
        </w:rPr>
        <w:t>separately</w:t>
      </w:r>
      <w:r>
        <w:rPr>
          <w:spacing w:val="-10"/>
          <w:sz w:val="16"/>
        </w:rPr>
        <w:t> </w:t>
      </w:r>
      <w:r>
        <w:rPr>
          <w:sz w:val="16"/>
        </w:rPr>
        <w:t>where</w:t>
      </w:r>
      <w:r>
        <w:rPr>
          <w:spacing w:val="-10"/>
          <w:sz w:val="16"/>
        </w:rPr>
        <w:t> </w:t>
      </w:r>
      <w:r>
        <w:rPr>
          <w:sz w:val="16"/>
        </w:rPr>
        <w:t>full</w:t>
      </w:r>
      <w:r>
        <w:rPr>
          <w:spacing w:val="-10"/>
          <w:sz w:val="16"/>
        </w:rPr>
        <w:t> </w:t>
      </w:r>
      <w:r>
        <w:rPr>
          <w:sz w:val="16"/>
        </w:rPr>
        <w:t>Registry</w:t>
      </w:r>
      <w:r>
        <w:rPr>
          <w:spacing w:val="-10"/>
          <w:sz w:val="16"/>
        </w:rPr>
        <w:t> </w:t>
      </w:r>
      <w:r>
        <w:rPr>
          <w:sz w:val="16"/>
        </w:rPr>
        <w:t>data</w:t>
      </w:r>
      <w:r>
        <w:rPr>
          <w:spacing w:val="-10"/>
          <w:sz w:val="16"/>
        </w:rPr>
        <w:t> </w:t>
      </w:r>
      <w:r>
        <w:rPr>
          <w:sz w:val="16"/>
        </w:rPr>
        <w:t>entry</w:t>
      </w:r>
      <w:r>
        <w:rPr>
          <w:spacing w:val="-9"/>
          <w:sz w:val="16"/>
        </w:rPr>
        <w:t> </w:t>
      </w:r>
      <w:r>
        <w:rPr>
          <w:sz w:val="16"/>
        </w:rPr>
        <w:t>and</w:t>
      </w:r>
      <w:r>
        <w:rPr>
          <w:spacing w:val="-9"/>
          <w:sz w:val="16"/>
        </w:rPr>
        <w:t> </w:t>
      </w:r>
      <w:r>
        <w:rPr>
          <w:sz w:val="16"/>
        </w:rPr>
        <w:t>legal</w:t>
      </w:r>
      <w:r>
        <w:rPr>
          <w:spacing w:val="-10"/>
          <w:sz w:val="16"/>
        </w:rPr>
        <w:t> </w:t>
      </w:r>
      <w:r>
        <w:rPr>
          <w:sz w:val="16"/>
        </w:rPr>
        <w:t>assessment</w:t>
      </w:r>
      <w:r>
        <w:rPr>
          <w:spacing w:val="-10"/>
          <w:sz w:val="16"/>
        </w:rPr>
        <w:t> </w:t>
      </w:r>
      <w:r>
        <w:rPr>
          <w:sz w:val="16"/>
        </w:rPr>
        <w:t>is</w:t>
      </w:r>
      <w:r>
        <w:rPr>
          <w:spacing w:val="-9"/>
          <w:sz w:val="16"/>
        </w:rPr>
        <w:t> </w:t>
      </w:r>
      <w:r>
        <w:rPr>
          <w:sz w:val="16"/>
        </w:rPr>
        <w:t>required</w:t>
      </w:r>
      <w:r>
        <w:rPr>
          <w:spacing w:val="-6"/>
          <w:sz w:val="16"/>
        </w:rPr>
        <w:t> </w:t>
      </w:r>
      <w:r>
        <w:rPr>
          <w:sz w:val="16"/>
        </w:rPr>
        <w:t>(e.g.</w:t>
      </w:r>
      <w:r>
        <w:rPr>
          <w:spacing w:val="-10"/>
          <w:sz w:val="16"/>
        </w:rPr>
        <w:t> </w:t>
      </w:r>
      <w:r>
        <w:rPr>
          <w:sz w:val="16"/>
        </w:rPr>
        <w:t>where</w:t>
      </w:r>
      <w:r>
        <w:rPr>
          <w:spacing w:val="-9"/>
          <w:sz w:val="16"/>
        </w:rPr>
        <w:t> </w:t>
      </w:r>
      <w:r>
        <w:rPr>
          <w:sz w:val="16"/>
        </w:rPr>
        <w:t>an</w:t>
      </w:r>
      <w:r>
        <w:rPr>
          <w:spacing w:val="-9"/>
          <w:sz w:val="16"/>
        </w:rPr>
        <w:t> </w:t>
      </w:r>
      <w:r>
        <w:rPr>
          <w:sz w:val="16"/>
        </w:rPr>
        <w:t>additional</w:t>
      </w:r>
      <w:r>
        <w:rPr>
          <w:spacing w:val="-10"/>
          <w:sz w:val="16"/>
        </w:rPr>
        <w:t> </w:t>
      </w:r>
      <w:r>
        <w:rPr>
          <w:sz w:val="16"/>
        </w:rPr>
        <w:t>form</w:t>
      </w:r>
      <w:r>
        <w:rPr>
          <w:spacing w:val="-9"/>
          <w:sz w:val="16"/>
        </w:rPr>
        <w:t> </w:t>
      </w:r>
      <w:r>
        <w:rPr>
          <w:sz w:val="16"/>
        </w:rPr>
        <w:t>is</w:t>
      </w:r>
      <w:r>
        <w:rPr>
          <w:spacing w:val="-9"/>
          <w:sz w:val="16"/>
        </w:rPr>
        <w:t> </w:t>
      </w:r>
      <w:r>
        <w:rPr>
          <w:sz w:val="16"/>
        </w:rPr>
        <w:t>received).</w:t>
      </w:r>
    </w:p>
    <w:p>
      <w:pPr>
        <w:spacing w:before="0"/>
        <w:ind w:left="2246" w:right="2243" w:firstLine="0"/>
        <w:jc w:val="both"/>
        <w:rPr>
          <w:sz w:val="16"/>
        </w:rPr>
      </w:pPr>
      <w:r>
        <w:rPr>
          <w:position w:val="5"/>
          <w:sz w:val="10"/>
        </w:rPr>
        <w:t>174</w:t>
      </w:r>
      <w:r>
        <w:rPr>
          <w:spacing w:val="40"/>
          <w:position w:val="5"/>
          <w:sz w:val="10"/>
        </w:rPr>
        <w:t> </w:t>
      </w:r>
      <w:r>
        <w:rPr>
          <w:sz w:val="16"/>
        </w:rPr>
        <w:t>For the purposes of this document only, the term “accused” includes persons who have been acquitted or</w:t>
      </w:r>
      <w:r>
        <w:rPr>
          <w:spacing w:val="40"/>
          <w:sz w:val="16"/>
        </w:rPr>
        <w:t> </w:t>
      </w:r>
      <w:r>
        <w:rPr>
          <w:sz w:val="16"/>
        </w:rPr>
        <w:t>convicted</w:t>
      </w:r>
      <w:r>
        <w:rPr>
          <w:spacing w:val="-7"/>
          <w:sz w:val="16"/>
        </w:rPr>
        <w:t> </w:t>
      </w:r>
      <w:r>
        <w:rPr>
          <w:sz w:val="16"/>
        </w:rPr>
        <w:t>at</w:t>
      </w:r>
      <w:r>
        <w:rPr>
          <w:spacing w:val="-5"/>
          <w:sz w:val="16"/>
        </w:rPr>
        <w:t> </w:t>
      </w:r>
      <w:r>
        <w:rPr>
          <w:sz w:val="16"/>
        </w:rPr>
        <w:t>first</w:t>
      </w:r>
      <w:r>
        <w:rPr>
          <w:spacing w:val="-5"/>
          <w:sz w:val="16"/>
        </w:rPr>
        <w:t> </w:t>
      </w:r>
      <w:r>
        <w:rPr>
          <w:sz w:val="16"/>
        </w:rPr>
        <w:t>instance</w:t>
      </w:r>
      <w:r>
        <w:rPr>
          <w:spacing w:val="-4"/>
          <w:sz w:val="16"/>
        </w:rPr>
        <w:t> </w:t>
      </w:r>
      <w:r>
        <w:rPr>
          <w:sz w:val="16"/>
        </w:rPr>
        <w:t>and</w:t>
      </w:r>
      <w:r>
        <w:rPr>
          <w:spacing w:val="-3"/>
          <w:sz w:val="16"/>
        </w:rPr>
        <w:t> </w:t>
      </w:r>
      <w:r>
        <w:rPr>
          <w:sz w:val="16"/>
        </w:rPr>
        <w:t>whose</w:t>
      </w:r>
      <w:r>
        <w:rPr>
          <w:spacing w:val="-4"/>
          <w:sz w:val="16"/>
        </w:rPr>
        <w:t> </w:t>
      </w:r>
      <w:r>
        <w:rPr>
          <w:sz w:val="16"/>
        </w:rPr>
        <w:t>cases</w:t>
      </w:r>
      <w:r>
        <w:rPr>
          <w:spacing w:val="-5"/>
          <w:sz w:val="16"/>
        </w:rPr>
        <w:t> </w:t>
      </w:r>
      <w:r>
        <w:rPr>
          <w:sz w:val="16"/>
        </w:rPr>
        <w:t>are</w:t>
      </w:r>
      <w:r>
        <w:rPr>
          <w:spacing w:val="-4"/>
          <w:sz w:val="16"/>
        </w:rPr>
        <w:t> </w:t>
      </w:r>
      <w:r>
        <w:rPr>
          <w:sz w:val="16"/>
        </w:rPr>
        <w:t>awaiting</w:t>
      </w:r>
      <w:r>
        <w:rPr>
          <w:spacing w:val="-3"/>
          <w:sz w:val="16"/>
        </w:rPr>
        <w:t> </w:t>
      </w:r>
      <w:r>
        <w:rPr>
          <w:sz w:val="16"/>
        </w:rPr>
        <w:t>the</w:t>
      </w:r>
      <w:r>
        <w:rPr>
          <w:spacing w:val="-4"/>
          <w:sz w:val="16"/>
        </w:rPr>
        <w:t> </w:t>
      </w:r>
      <w:r>
        <w:rPr>
          <w:sz w:val="16"/>
        </w:rPr>
        <w:t>outcome</w:t>
      </w:r>
      <w:r>
        <w:rPr>
          <w:spacing w:val="-4"/>
          <w:sz w:val="16"/>
        </w:rPr>
        <w:t> </w:t>
      </w:r>
      <w:r>
        <w:rPr>
          <w:sz w:val="16"/>
        </w:rPr>
        <w:t>of</w:t>
      </w:r>
      <w:r>
        <w:rPr>
          <w:spacing w:val="-5"/>
          <w:sz w:val="16"/>
        </w:rPr>
        <w:t> </w:t>
      </w:r>
      <w:r>
        <w:rPr>
          <w:sz w:val="16"/>
        </w:rPr>
        <w:t>a</w:t>
      </w:r>
      <w:r>
        <w:rPr>
          <w:spacing w:val="-4"/>
          <w:sz w:val="16"/>
        </w:rPr>
        <w:t> </w:t>
      </w:r>
      <w:r>
        <w:rPr>
          <w:sz w:val="16"/>
        </w:rPr>
        <w:t>final</w:t>
      </w:r>
      <w:r>
        <w:rPr>
          <w:spacing w:val="-5"/>
          <w:sz w:val="16"/>
        </w:rPr>
        <w:t> </w:t>
      </w:r>
      <w:r>
        <w:rPr>
          <w:sz w:val="16"/>
        </w:rPr>
        <w:t>appeal.</w:t>
      </w:r>
      <w:r>
        <w:rPr>
          <w:spacing w:val="-5"/>
          <w:sz w:val="16"/>
        </w:rPr>
        <w:t> </w:t>
      </w:r>
      <w:r>
        <w:rPr>
          <w:sz w:val="16"/>
        </w:rPr>
        <w:t>Persons appearing</w:t>
      </w:r>
      <w:r>
        <w:rPr>
          <w:spacing w:val="-3"/>
          <w:sz w:val="16"/>
        </w:rPr>
        <w:t> </w:t>
      </w:r>
      <w:r>
        <w:rPr>
          <w:sz w:val="16"/>
        </w:rPr>
        <w:t>before</w:t>
      </w:r>
      <w:r>
        <w:rPr>
          <w:spacing w:val="-4"/>
          <w:sz w:val="16"/>
        </w:rPr>
        <w:t> </w:t>
      </w:r>
      <w:r>
        <w:rPr>
          <w:sz w:val="16"/>
        </w:rPr>
        <w:t>the</w:t>
      </w:r>
      <w:r>
        <w:rPr>
          <w:spacing w:val="40"/>
          <w:sz w:val="16"/>
        </w:rPr>
        <w:t> </w:t>
      </w:r>
      <w:r>
        <w:rPr>
          <w:sz w:val="16"/>
        </w:rPr>
        <w:t>Court solely for reparations proceedings are outside the scope of this definition.</w:t>
      </w:r>
    </w:p>
    <w:p>
      <w:pPr>
        <w:spacing w:after="0"/>
        <w:jc w:val="both"/>
        <w:rPr>
          <w:sz w:val="16"/>
        </w:rPr>
        <w:sectPr>
          <w:pgSz w:w="11910" w:h="16840"/>
          <w:pgMar w:header="957" w:footer="940" w:top="1140" w:bottom="1140" w:left="20" w:right="20"/>
        </w:sectPr>
      </w:pPr>
    </w:p>
    <w:p>
      <w:pPr>
        <w:pStyle w:val="BodyText"/>
        <w:spacing w:before="2"/>
        <w:rPr>
          <w:sz w:val="11"/>
        </w:rPr>
      </w:pPr>
    </w:p>
    <w:tbl>
      <w:tblPr>
        <w:tblW w:w="0" w:type="auto"/>
        <w:jc w:val="left"/>
        <w:tblInd w:w="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6"/>
        <w:gridCol w:w="749"/>
        <w:gridCol w:w="601"/>
        <w:gridCol w:w="466"/>
        <w:gridCol w:w="1128"/>
        <w:gridCol w:w="630"/>
        <w:gridCol w:w="511"/>
        <w:gridCol w:w="968"/>
        <w:gridCol w:w="599"/>
        <w:gridCol w:w="475"/>
        <w:gridCol w:w="1031"/>
        <w:gridCol w:w="596"/>
        <w:gridCol w:w="1217"/>
        <w:gridCol w:w="580"/>
        <w:gridCol w:w="1015"/>
      </w:tblGrid>
      <w:tr>
        <w:trPr>
          <w:trHeight w:val="282" w:hRule="atLeast"/>
        </w:trPr>
        <w:tc>
          <w:tcPr>
            <w:tcW w:w="10792" w:type="dxa"/>
            <w:gridSpan w:val="15"/>
            <w:tcBorders>
              <w:top w:val="single" w:sz="4" w:space="0" w:color="000000"/>
              <w:bottom w:val="single" w:sz="4" w:space="0" w:color="000000"/>
            </w:tcBorders>
          </w:tcPr>
          <w:p>
            <w:pPr>
              <w:pStyle w:val="TableParagraph"/>
              <w:spacing w:before="66"/>
              <w:ind w:left="3819" w:right="3805"/>
              <w:jc w:val="center"/>
              <w:rPr>
                <w:i/>
                <w:sz w:val="14"/>
              </w:rPr>
            </w:pPr>
            <w:r>
              <w:rPr>
                <w:i/>
                <w:sz w:val="14"/>
              </w:rPr>
              <w:t>Comparison</w:t>
            </w:r>
            <w:r>
              <w:rPr>
                <w:i/>
                <w:spacing w:val="-5"/>
                <w:sz w:val="14"/>
              </w:rPr>
              <w:t> </w:t>
            </w:r>
            <w:r>
              <w:rPr>
                <w:i/>
                <w:sz w:val="14"/>
              </w:rPr>
              <w:t>of</w:t>
            </w:r>
            <w:r>
              <w:rPr>
                <w:i/>
                <w:spacing w:val="-6"/>
                <w:sz w:val="14"/>
              </w:rPr>
              <w:t> </w:t>
            </w:r>
            <w:r>
              <w:rPr>
                <w:i/>
                <w:sz w:val="14"/>
              </w:rPr>
              <w:t>assumptions</w:t>
            </w:r>
            <w:r>
              <w:rPr>
                <w:i/>
                <w:spacing w:val="-6"/>
                <w:sz w:val="14"/>
              </w:rPr>
              <w:t> </w:t>
            </w:r>
            <w:r>
              <w:rPr>
                <w:i/>
                <w:sz w:val="14"/>
              </w:rPr>
              <w:t>and</w:t>
            </w:r>
            <w:r>
              <w:rPr>
                <w:i/>
                <w:spacing w:val="-4"/>
                <w:sz w:val="14"/>
              </w:rPr>
              <w:t> </w:t>
            </w:r>
            <w:r>
              <w:rPr>
                <w:i/>
                <w:sz w:val="14"/>
              </w:rPr>
              <w:t>parameters:</w:t>
            </w:r>
            <w:r>
              <w:rPr>
                <w:i/>
                <w:spacing w:val="-5"/>
                <w:sz w:val="14"/>
              </w:rPr>
              <w:t> </w:t>
            </w:r>
            <w:r>
              <w:rPr>
                <w:i/>
                <w:sz w:val="14"/>
              </w:rPr>
              <w:t>2019-</w:t>
            </w:r>
            <w:r>
              <w:rPr>
                <w:i/>
                <w:spacing w:val="-4"/>
                <w:sz w:val="14"/>
              </w:rPr>
              <w:t>2023</w:t>
            </w:r>
          </w:p>
        </w:tc>
      </w:tr>
      <w:tr>
        <w:trPr>
          <w:trHeight w:val="282" w:hRule="atLeast"/>
        </w:trPr>
        <w:tc>
          <w:tcPr>
            <w:tcW w:w="975" w:type="dxa"/>
            <w:gridSpan w:val="2"/>
            <w:tcBorders>
              <w:top w:val="single" w:sz="4" w:space="0" w:color="000000"/>
            </w:tcBorders>
          </w:tcPr>
          <w:p>
            <w:pPr>
              <w:pStyle w:val="TableParagraph"/>
              <w:spacing w:before="61"/>
              <w:ind w:left="192"/>
              <w:jc w:val="left"/>
              <w:rPr>
                <w:i/>
                <w:sz w:val="14"/>
              </w:rPr>
            </w:pPr>
            <w:r>
              <w:rPr>
                <w:i/>
                <w:spacing w:val="-2"/>
                <w:sz w:val="14"/>
              </w:rPr>
              <w:t>Parameter</w:t>
            </w:r>
          </w:p>
        </w:tc>
        <w:tc>
          <w:tcPr>
            <w:tcW w:w="2195" w:type="dxa"/>
            <w:gridSpan w:val="3"/>
            <w:tcBorders>
              <w:top w:val="single" w:sz="4" w:space="0" w:color="000000"/>
              <w:bottom w:val="single" w:sz="4" w:space="0" w:color="000000"/>
            </w:tcBorders>
          </w:tcPr>
          <w:p>
            <w:pPr>
              <w:pStyle w:val="TableParagraph"/>
              <w:spacing w:before="61"/>
              <w:ind w:left="307"/>
              <w:jc w:val="left"/>
              <w:rPr>
                <w:i/>
                <w:sz w:val="14"/>
              </w:rPr>
            </w:pPr>
            <w:r>
              <w:rPr>
                <w:i/>
                <w:sz w:val="14"/>
              </w:rPr>
              <w:t>2019</w:t>
            </w:r>
            <w:r>
              <w:rPr>
                <w:i/>
                <w:spacing w:val="-4"/>
                <w:sz w:val="14"/>
              </w:rPr>
              <w:t> </w:t>
            </w:r>
            <w:r>
              <w:rPr>
                <w:i/>
                <w:sz w:val="14"/>
              </w:rPr>
              <w:t>Approved</w:t>
            </w:r>
            <w:r>
              <w:rPr>
                <w:i/>
                <w:spacing w:val="-3"/>
                <w:sz w:val="14"/>
              </w:rPr>
              <w:t> </w:t>
            </w:r>
            <w:r>
              <w:rPr>
                <w:i/>
                <w:sz w:val="14"/>
              </w:rPr>
              <w:t>and</w:t>
            </w:r>
            <w:r>
              <w:rPr>
                <w:i/>
                <w:spacing w:val="-4"/>
                <w:sz w:val="14"/>
              </w:rPr>
              <w:t> </w:t>
            </w:r>
            <w:r>
              <w:rPr>
                <w:i/>
                <w:spacing w:val="-2"/>
                <w:sz w:val="14"/>
              </w:rPr>
              <w:t>Actuals</w:t>
            </w:r>
          </w:p>
        </w:tc>
        <w:tc>
          <w:tcPr>
            <w:tcW w:w="2109" w:type="dxa"/>
            <w:gridSpan w:val="3"/>
            <w:tcBorders>
              <w:top w:val="single" w:sz="4" w:space="0" w:color="000000"/>
              <w:bottom w:val="single" w:sz="4" w:space="0" w:color="000000"/>
            </w:tcBorders>
          </w:tcPr>
          <w:p>
            <w:pPr>
              <w:pStyle w:val="TableParagraph"/>
              <w:spacing w:before="61"/>
              <w:ind w:left="253"/>
              <w:jc w:val="left"/>
              <w:rPr>
                <w:i/>
                <w:sz w:val="14"/>
              </w:rPr>
            </w:pPr>
            <w:r>
              <w:rPr>
                <w:i/>
                <w:sz w:val="14"/>
              </w:rPr>
              <w:t>2020</w:t>
            </w:r>
            <w:r>
              <w:rPr>
                <w:i/>
                <w:spacing w:val="-4"/>
                <w:sz w:val="14"/>
              </w:rPr>
              <w:t> </w:t>
            </w:r>
            <w:r>
              <w:rPr>
                <w:i/>
                <w:sz w:val="14"/>
              </w:rPr>
              <w:t>Approved</w:t>
            </w:r>
            <w:r>
              <w:rPr>
                <w:i/>
                <w:spacing w:val="-3"/>
                <w:sz w:val="14"/>
              </w:rPr>
              <w:t> </w:t>
            </w:r>
            <w:r>
              <w:rPr>
                <w:i/>
                <w:sz w:val="14"/>
              </w:rPr>
              <w:t>and</w:t>
            </w:r>
            <w:r>
              <w:rPr>
                <w:i/>
                <w:spacing w:val="-4"/>
                <w:sz w:val="14"/>
              </w:rPr>
              <w:t> </w:t>
            </w:r>
            <w:r>
              <w:rPr>
                <w:i/>
                <w:spacing w:val="-2"/>
                <w:sz w:val="14"/>
              </w:rPr>
              <w:t>Actuals</w:t>
            </w:r>
          </w:p>
        </w:tc>
        <w:tc>
          <w:tcPr>
            <w:tcW w:w="2105" w:type="dxa"/>
            <w:gridSpan w:val="3"/>
            <w:tcBorders>
              <w:top w:val="single" w:sz="4" w:space="0" w:color="000000"/>
              <w:bottom w:val="single" w:sz="4" w:space="0" w:color="000000"/>
            </w:tcBorders>
          </w:tcPr>
          <w:p>
            <w:pPr>
              <w:pStyle w:val="TableParagraph"/>
              <w:spacing w:before="61"/>
              <w:ind w:left="262"/>
              <w:jc w:val="left"/>
              <w:rPr>
                <w:i/>
                <w:sz w:val="14"/>
              </w:rPr>
            </w:pPr>
            <w:r>
              <w:rPr>
                <w:i/>
                <w:sz w:val="14"/>
              </w:rPr>
              <w:t>2021</w:t>
            </w:r>
            <w:r>
              <w:rPr>
                <w:i/>
                <w:spacing w:val="-4"/>
                <w:sz w:val="14"/>
              </w:rPr>
              <w:t> </w:t>
            </w:r>
            <w:r>
              <w:rPr>
                <w:i/>
                <w:sz w:val="14"/>
              </w:rPr>
              <w:t>Approved</w:t>
            </w:r>
            <w:r>
              <w:rPr>
                <w:i/>
                <w:spacing w:val="-3"/>
                <w:sz w:val="14"/>
              </w:rPr>
              <w:t> </w:t>
            </w:r>
            <w:r>
              <w:rPr>
                <w:i/>
                <w:sz w:val="14"/>
              </w:rPr>
              <w:t>and</w:t>
            </w:r>
            <w:r>
              <w:rPr>
                <w:i/>
                <w:spacing w:val="-4"/>
                <w:sz w:val="14"/>
              </w:rPr>
              <w:t> </w:t>
            </w:r>
            <w:r>
              <w:rPr>
                <w:i/>
                <w:spacing w:val="-2"/>
                <w:sz w:val="14"/>
              </w:rPr>
              <w:t>Actuals</w:t>
            </w:r>
          </w:p>
        </w:tc>
        <w:tc>
          <w:tcPr>
            <w:tcW w:w="1813" w:type="dxa"/>
            <w:gridSpan w:val="2"/>
            <w:tcBorders>
              <w:top w:val="single" w:sz="4" w:space="0" w:color="000000"/>
              <w:bottom w:val="single" w:sz="4" w:space="0" w:color="000000"/>
            </w:tcBorders>
          </w:tcPr>
          <w:p>
            <w:pPr>
              <w:pStyle w:val="TableParagraph"/>
              <w:spacing w:before="61"/>
              <w:ind w:left="467"/>
              <w:jc w:val="left"/>
              <w:rPr>
                <w:i/>
                <w:sz w:val="14"/>
              </w:rPr>
            </w:pPr>
            <w:r>
              <w:rPr>
                <w:i/>
                <w:sz w:val="14"/>
              </w:rPr>
              <w:t>2022</w:t>
            </w:r>
            <w:r>
              <w:rPr>
                <w:i/>
                <w:spacing w:val="-2"/>
                <w:sz w:val="14"/>
              </w:rPr>
              <w:t> Approved</w:t>
            </w:r>
          </w:p>
        </w:tc>
        <w:tc>
          <w:tcPr>
            <w:tcW w:w="1595" w:type="dxa"/>
            <w:gridSpan w:val="2"/>
            <w:tcBorders>
              <w:top w:val="single" w:sz="4" w:space="0" w:color="000000"/>
              <w:bottom w:val="single" w:sz="4" w:space="0" w:color="000000"/>
            </w:tcBorders>
          </w:tcPr>
          <w:p>
            <w:pPr>
              <w:pStyle w:val="TableParagraph"/>
              <w:spacing w:before="61"/>
              <w:ind w:left="364"/>
              <w:jc w:val="left"/>
              <w:rPr>
                <w:i/>
                <w:sz w:val="14"/>
              </w:rPr>
            </w:pPr>
            <w:r>
              <w:rPr>
                <w:i/>
                <w:sz w:val="14"/>
              </w:rPr>
              <w:t>2023</w:t>
            </w:r>
            <w:r>
              <w:rPr>
                <w:i/>
                <w:spacing w:val="-2"/>
                <w:sz w:val="14"/>
              </w:rPr>
              <w:t> Proposed</w:t>
            </w:r>
          </w:p>
        </w:tc>
      </w:tr>
      <w:tr>
        <w:trPr>
          <w:trHeight w:val="277" w:hRule="atLeast"/>
        </w:trPr>
        <w:tc>
          <w:tcPr>
            <w:tcW w:w="226" w:type="dxa"/>
            <w:tcBorders>
              <w:bottom w:val="single" w:sz="4" w:space="0" w:color="000000"/>
            </w:tcBorders>
          </w:tcPr>
          <w:p>
            <w:pPr>
              <w:pStyle w:val="TableParagraph"/>
              <w:jc w:val="left"/>
              <w:rPr>
                <w:sz w:val="14"/>
              </w:rPr>
            </w:pPr>
          </w:p>
        </w:tc>
        <w:tc>
          <w:tcPr>
            <w:tcW w:w="1350" w:type="dxa"/>
            <w:gridSpan w:val="2"/>
            <w:tcBorders>
              <w:bottom w:val="single" w:sz="4" w:space="0" w:color="000000"/>
            </w:tcBorders>
          </w:tcPr>
          <w:p>
            <w:pPr>
              <w:pStyle w:val="TableParagraph"/>
              <w:spacing w:before="61"/>
              <w:ind w:left="777"/>
              <w:jc w:val="left"/>
              <w:rPr>
                <w:i/>
                <w:sz w:val="14"/>
              </w:rPr>
            </w:pPr>
            <w:r>
              <w:rPr>
                <w:i/>
                <w:spacing w:val="-2"/>
                <w:sz w:val="14"/>
              </w:rPr>
              <w:t>Approved</w:t>
            </w:r>
          </w:p>
        </w:tc>
        <w:tc>
          <w:tcPr>
            <w:tcW w:w="466" w:type="dxa"/>
            <w:tcBorders>
              <w:top w:val="single" w:sz="4" w:space="0" w:color="000000"/>
              <w:bottom w:val="single" w:sz="4" w:space="0" w:color="000000"/>
            </w:tcBorders>
          </w:tcPr>
          <w:p>
            <w:pPr>
              <w:pStyle w:val="TableParagraph"/>
              <w:spacing w:before="61"/>
              <w:ind w:left="15" w:right="2"/>
              <w:jc w:val="center"/>
              <w:rPr>
                <w:i/>
                <w:sz w:val="14"/>
              </w:rPr>
            </w:pPr>
            <w:r>
              <w:rPr>
                <w:i/>
                <w:spacing w:val="-2"/>
                <w:sz w:val="14"/>
              </w:rPr>
              <w:t>Actuals</w:t>
            </w:r>
          </w:p>
        </w:tc>
        <w:tc>
          <w:tcPr>
            <w:tcW w:w="1128" w:type="dxa"/>
            <w:tcBorders>
              <w:top w:val="single" w:sz="4" w:space="0" w:color="000000"/>
              <w:bottom w:val="single" w:sz="4" w:space="0" w:color="000000"/>
            </w:tcBorders>
          </w:tcPr>
          <w:p>
            <w:pPr>
              <w:pStyle w:val="TableParagraph"/>
              <w:spacing w:before="61"/>
              <w:ind w:left="229"/>
              <w:jc w:val="left"/>
              <w:rPr>
                <w:i/>
                <w:sz w:val="14"/>
              </w:rPr>
            </w:pPr>
            <w:r>
              <w:rPr>
                <w:i/>
                <w:spacing w:val="-2"/>
                <w:sz w:val="14"/>
              </w:rPr>
              <w:t>Description</w:t>
            </w:r>
          </w:p>
        </w:tc>
        <w:tc>
          <w:tcPr>
            <w:tcW w:w="630" w:type="dxa"/>
            <w:tcBorders>
              <w:top w:val="single" w:sz="4" w:space="0" w:color="000000"/>
              <w:bottom w:val="single" w:sz="4" w:space="0" w:color="000000"/>
            </w:tcBorders>
          </w:tcPr>
          <w:p>
            <w:pPr>
              <w:pStyle w:val="TableParagraph"/>
              <w:spacing w:before="61"/>
              <w:ind w:left="28"/>
              <w:jc w:val="left"/>
              <w:rPr>
                <w:i/>
                <w:sz w:val="14"/>
              </w:rPr>
            </w:pPr>
            <w:r>
              <w:rPr>
                <w:i/>
                <w:spacing w:val="-2"/>
                <w:sz w:val="14"/>
              </w:rPr>
              <w:t>Approved</w:t>
            </w:r>
          </w:p>
        </w:tc>
        <w:tc>
          <w:tcPr>
            <w:tcW w:w="511" w:type="dxa"/>
            <w:tcBorders>
              <w:top w:val="single" w:sz="4" w:space="0" w:color="000000"/>
              <w:bottom w:val="single" w:sz="4" w:space="0" w:color="000000"/>
            </w:tcBorders>
          </w:tcPr>
          <w:p>
            <w:pPr>
              <w:pStyle w:val="TableParagraph"/>
              <w:spacing w:before="61"/>
              <w:ind w:left="44" w:right="19"/>
              <w:jc w:val="center"/>
              <w:rPr>
                <w:i/>
                <w:sz w:val="14"/>
              </w:rPr>
            </w:pPr>
            <w:r>
              <w:rPr>
                <w:i/>
                <w:spacing w:val="-2"/>
                <w:sz w:val="14"/>
              </w:rPr>
              <w:t>Actuals</w:t>
            </w:r>
          </w:p>
        </w:tc>
        <w:tc>
          <w:tcPr>
            <w:tcW w:w="968" w:type="dxa"/>
            <w:tcBorders>
              <w:top w:val="single" w:sz="4" w:space="0" w:color="000000"/>
              <w:bottom w:val="single" w:sz="4" w:space="0" w:color="000000"/>
            </w:tcBorders>
          </w:tcPr>
          <w:p>
            <w:pPr>
              <w:pStyle w:val="TableParagraph"/>
              <w:spacing w:before="61"/>
              <w:ind w:left="159"/>
              <w:jc w:val="left"/>
              <w:rPr>
                <w:i/>
                <w:sz w:val="14"/>
              </w:rPr>
            </w:pPr>
            <w:r>
              <w:rPr>
                <w:i/>
                <w:spacing w:val="-2"/>
                <w:sz w:val="14"/>
              </w:rPr>
              <w:t>Description</w:t>
            </w:r>
          </w:p>
        </w:tc>
        <w:tc>
          <w:tcPr>
            <w:tcW w:w="599" w:type="dxa"/>
            <w:tcBorders>
              <w:top w:val="single" w:sz="4" w:space="0" w:color="000000"/>
              <w:bottom w:val="single" w:sz="4" w:space="0" w:color="000000"/>
            </w:tcBorders>
          </w:tcPr>
          <w:p>
            <w:pPr>
              <w:pStyle w:val="TableParagraph"/>
              <w:spacing w:before="61"/>
              <w:ind w:left="6" w:right="23"/>
              <w:jc w:val="center"/>
              <w:rPr>
                <w:i/>
                <w:sz w:val="14"/>
              </w:rPr>
            </w:pPr>
            <w:r>
              <w:rPr>
                <w:i/>
                <w:spacing w:val="-2"/>
                <w:sz w:val="14"/>
              </w:rPr>
              <w:t>Approved</w:t>
            </w:r>
          </w:p>
        </w:tc>
        <w:tc>
          <w:tcPr>
            <w:tcW w:w="475" w:type="dxa"/>
            <w:tcBorders>
              <w:top w:val="single" w:sz="4" w:space="0" w:color="000000"/>
              <w:bottom w:val="single" w:sz="4" w:space="0" w:color="000000"/>
            </w:tcBorders>
          </w:tcPr>
          <w:p>
            <w:pPr>
              <w:pStyle w:val="TableParagraph"/>
              <w:spacing w:before="61"/>
              <w:ind w:left="37"/>
              <w:jc w:val="left"/>
              <w:rPr>
                <w:i/>
                <w:sz w:val="14"/>
              </w:rPr>
            </w:pPr>
            <w:r>
              <w:rPr>
                <w:i/>
                <w:spacing w:val="-2"/>
                <w:sz w:val="14"/>
              </w:rPr>
              <w:t>Actuals</w:t>
            </w:r>
          </w:p>
        </w:tc>
        <w:tc>
          <w:tcPr>
            <w:tcW w:w="1031" w:type="dxa"/>
            <w:tcBorders>
              <w:top w:val="single" w:sz="4" w:space="0" w:color="000000"/>
              <w:bottom w:val="single" w:sz="4" w:space="0" w:color="000000"/>
            </w:tcBorders>
          </w:tcPr>
          <w:p>
            <w:pPr>
              <w:pStyle w:val="TableParagraph"/>
              <w:spacing w:before="61"/>
              <w:ind w:left="187"/>
              <w:jc w:val="left"/>
              <w:rPr>
                <w:i/>
                <w:sz w:val="14"/>
              </w:rPr>
            </w:pPr>
            <w:r>
              <w:rPr>
                <w:i/>
                <w:spacing w:val="-2"/>
                <w:sz w:val="14"/>
              </w:rPr>
              <w:t>Description</w:t>
            </w:r>
          </w:p>
        </w:tc>
        <w:tc>
          <w:tcPr>
            <w:tcW w:w="596" w:type="dxa"/>
            <w:tcBorders>
              <w:top w:val="single" w:sz="4" w:space="0" w:color="000000"/>
              <w:bottom w:val="single" w:sz="4" w:space="0" w:color="000000"/>
            </w:tcBorders>
          </w:tcPr>
          <w:p>
            <w:pPr>
              <w:pStyle w:val="TableParagraph"/>
              <w:spacing w:before="61"/>
              <w:ind w:left="22" w:right="4"/>
              <w:jc w:val="center"/>
              <w:rPr>
                <w:i/>
                <w:sz w:val="14"/>
              </w:rPr>
            </w:pPr>
            <w:r>
              <w:rPr>
                <w:i/>
                <w:spacing w:val="-2"/>
                <w:sz w:val="14"/>
              </w:rPr>
              <w:t>Approved</w:t>
            </w:r>
          </w:p>
        </w:tc>
        <w:tc>
          <w:tcPr>
            <w:tcW w:w="1217" w:type="dxa"/>
            <w:tcBorders>
              <w:top w:val="single" w:sz="4" w:space="0" w:color="000000"/>
              <w:bottom w:val="single" w:sz="4" w:space="0" w:color="000000"/>
            </w:tcBorders>
          </w:tcPr>
          <w:p>
            <w:pPr>
              <w:pStyle w:val="TableParagraph"/>
              <w:spacing w:before="61"/>
              <w:ind w:left="279"/>
              <w:jc w:val="left"/>
              <w:rPr>
                <w:i/>
                <w:sz w:val="14"/>
              </w:rPr>
            </w:pPr>
            <w:r>
              <w:rPr>
                <w:i/>
                <w:spacing w:val="-2"/>
                <w:sz w:val="14"/>
              </w:rPr>
              <w:t>Description</w:t>
            </w:r>
          </w:p>
        </w:tc>
        <w:tc>
          <w:tcPr>
            <w:tcW w:w="580" w:type="dxa"/>
            <w:tcBorders>
              <w:top w:val="single" w:sz="4" w:space="0" w:color="000000"/>
              <w:bottom w:val="single" w:sz="4" w:space="0" w:color="000000"/>
            </w:tcBorders>
          </w:tcPr>
          <w:p>
            <w:pPr>
              <w:pStyle w:val="TableParagraph"/>
              <w:spacing w:before="61"/>
              <w:ind w:left="11" w:right="7"/>
              <w:jc w:val="center"/>
              <w:rPr>
                <w:i/>
                <w:sz w:val="14"/>
              </w:rPr>
            </w:pPr>
            <w:r>
              <w:rPr>
                <w:i/>
                <w:spacing w:val="-2"/>
                <w:sz w:val="14"/>
              </w:rPr>
              <w:t>Proposed</w:t>
            </w:r>
          </w:p>
        </w:tc>
        <w:tc>
          <w:tcPr>
            <w:tcW w:w="1015" w:type="dxa"/>
            <w:tcBorders>
              <w:top w:val="single" w:sz="4" w:space="0" w:color="000000"/>
              <w:bottom w:val="single" w:sz="4" w:space="0" w:color="000000"/>
            </w:tcBorders>
          </w:tcPr>
          <w:p>
            <w:pPr>
              <w:pStyle w:val="TableParagraph"/>
              <w:spacing w:before="61"/>
              <w:ind w:left="187"/>
              <w:jc w:val="left"/>
              <w:rPr>
                <w:i/>
                <w:sz w:val="14"/>
              </w:rPr>
            </w:pPr>
            <w:r>
              <w:rPr>
                <w:i/>
                <w:spacing w:val="-2"/>
                <w:sz w:val="14"/>
              </w:rPr>
              <w:t>Description</w:t>
            </w:r>
          </w:p>
        </w:tc>
      </w:tr>
      <w:tr>
        <w:trPr>
          <w:trHeight w:val="1531" w:hRule="atLeast"/>
        </w:trPr>
        <w:tc>
          <w:tcPr>
            <w:tcW w:w="226" w:type="dxa"/>
            <w:tcBorders>
              <w:top w:val="single" w:sz="4" w:space="0" w:color="000000"/>
              <w:bottom w:val="single" w:sz="4" w:space="0" w:color="000000"/>
            </w:tcBorders>
          </w:tcPr>
          <w:p>
            <w:pPr>
              <w:pStyle w:val="TableParagraph"/>
              <w:spacing w:before="42"/>
              <w:ind w:left="14"/>
              <w:jc w:val="left"/>
              <w:rPr>
                <w:sz w:val="14"/>
              </w:rPr>
            </w:pPr>
            <w:r>
              <w:rPr>
                <w:spacing w:val="-5"/>
                <w:sz w:val="14"/>
              </w:rPr>
              <w:t>20</w:t>
            </w:r>
          </w:p>
        </w:tc>
        <w:tc>
          <w:tcPr>
            <w:tcW w:w="749" w:type="dxa"/>
            <w:tcBorders>
              <w:top w:val="single" w:sz="4" w:space="0" w:color="000000"/>
              <w:bottom w:val="single" w:sz="4" w:space="0" w:color="000000"/>
            </w:tcBorders>
          </w:tcPr>
          <w:p>
            <w:pPr>
              <w:pStyle w:val="TableParagraph"/>
              <w:spacing w:before="42"/>
              <w:ind w:left="67" w:right="60"/>
              <w:jc w:val="left"/>
              <w:rPr>
                <w:sz w:val="14"/>
              </w:rPr>
            </w:pPr>
            <w:r>
              <w:rPr>
                <w:sz w:val="14"/>
              </w:rPr>
              <w:t>Number</w:t>
            </w:r>
            <w:r>
              <w:rPr>
                <w:spacing w:val="-9"/>
                <w:sz w:val="14"/>
              </w:rPr>
              <w:t> </w:t>
            </w:r>
            <w:r>
              <w:rPr>
                <w:sz w:val="14"/>
              </w:rPr>
              <w:t>of</w:t>
            </w:r>
            <w:r>
              <w:rPr>
                <w:spacing w:val="40"/>
                <w:sz w:val="14"/>
              </w:rPr>
              <w:t> </w:t>
            </w:r>
            <w:r>
              <w:rPr>
                <w:spacing w:val="-2"/>
                <w:sz w:val="14"/>
              </w:rPr>
              <w:t>suspects,</w:t>
            </w:r>
            <w:r>
              <w:rPr>
                <w:spacing w:val="40"/>
                <w:sz w:val="14"/>
              </w:rPr>
              <w:t> </w:t>
            </w:r>
            <w:r>
              <w:rPr>
                <w:sz w:val="14"/>
              </w:rPr>
              <w:t>accused</w:t>
            </w:r>
            <w:r>
              <w:rPr>
                <w:spacing w:val="-9"/>
                <w:sz w:val="14"/>
              </w:rPr>
              <w:t> </w:t>
            </w:r>
            <w:r>
              <w:rPr>
                <w:sz w:val="14"/>
              </w:rPr>
              <w:t>or</w:t>
            </w:r>
            <w:r>
              <w:rPr>
                <w:spacing w:val="40"/>
                <w:sz w:val="14"/>
              </w:rPr>
              <w:t> </w:t>
            </w:r>
            <w:r>
              <w:rPr>
                <w:spacing w:val="-2"/>
                <w:sz w:val="14"/>
              </w:rPr>
              <w:t>convicted</w:t>
            </w:r>
            <w:r>
              <w:rPr>
                <w:spacing w:val="40"/>
                <w:sz w:val="14"/>
              </w:rPr>
              <w:t> </w:t>
            </w:r>
            <w:r>
              <w:rPr>
                <w:sz w:val="14"/>
              </w:rPr>
              <w:t>persons</w:t>
            </w:r>
            <w:r>
              <w:rPr>
                <w:spacing w:val="-9"/>
                <w:sz w:val="14"/>
              </w:rPr>
              <w:t> </w:t>
            </w:r>
            <w:r>
              <w:rPr>
                <w:sz w:val="14"/>
              </w:rPr>
              <w:t>in</w:t>
            </w:r>
            <w:r>
              <w:rPr>
                <w:spacing w:val="40"/>
                <w:sz w:val="14"/>
              </w:rPr>
              <w:t> </w:t>
            </w:r>
            <w:r>
              <w:rPr>
                <w:spacing w:val="-2"/>
                <w:sz w:val="14"/>
              </w:rPr>
              <w:t>detention</w:t>
            </w:r>
          </w:p>
        </w:tc>
        <w:tc>
          <w:tcPr>
            <w:tcW w:w="601" w:type="dxa"/>
            <w:tcBorders>
              <w:top w:val="single" w:sz="4" w:space="0" w:color="000000"/>
              <w:bottom w:val="single" w:sz="4" w:space="0" w:color="000000"/>
            </w:tcBorders>
          </w:tcPr>
          <w:p>
            <w:pPr>
              <w:pStyle w:val="TableParagraph"/>
              <w:spacing w:before="42"/>
              <w:ind w:left="269"/>
              <w:jc w:val="left"/>
              <w:rPr>
                <w:sz w:val="14"/>
              </w:rPr>
            </w:pPr>
            <w:r>
              <w:rPr>
                <w:w w:val="99"/>
                <w:sz w:val="14"/>
              </w:rPr>
              <w:t>5</w:t>
            </w:r>
          </w:p>
        </w:tc>
        <w:tc>
          <w:tcPr>
            <w:tcW w:w="466" w:type="dxa"/>
            <w:tcBorders>
              <w:top w:val="single" w:sz="4" w:space="0" w:color="000000"/>
              <w:bottom w:val="single" w:sz="4" w:space="0" w:color="000000"/>
            </w:tcBorders>
          </w:tcPr>
          <w:p>
            <w:pPr>
              <w:pStyle w:val="TableParagraph"/>
              <w:spacing w:before="42"/>
              <w:ind w:left="15"/>
              <w:jc w:val="center"/>
              <w:rPr>
                <w:sz w:val="14"/>
              </w:rPr>
            </w:pPr>
            <w:r>
              <w:rPr>
                <w:w w:val="99"/>
                <w:sz w:val="14"/>
              </w:rPr>
              <w:t>7</w:t>
            </w:r>
          </w:p>
        </w:tc>
        <w:tc>
          <w:tcPr>
            <w:tcW w:w="1128" w:type="dxa"/>
            <w:tcBorders>
              <w:top w:val="single" w:sz="4" w:space="0" w:color="000000"/>
              <w:bottom w:val="single" w:sz="4" w:space="0" w:color="000000"/>
            </w:tcBorders>
          </w:tcPr>
          <w:p>
            <w:pPr>
              <w:pStyle w:val="TableParagraph"/>
              <w:spacing w:before="42"/>
              <w:ind w:left="13" w:right="143"/>
              <w:jc w:val="left"/>
              <w:rPr>
                <w:sz w:val="14"/>
              </w:rPr>
            </w:pPr>
            <w:r>
              <w:rPr>
                <w:sz w:val="14"/>
              </w:rPr>
              <w:t>Ntaganda;</w:t>
            </w:r>
            <w:r>
              <w:rPr>
                <w:spacing w:val="-9"/>
                <w:sz w:val="14"/>
              </w:rPr>
              <w:t> </w:t>
            </w:r>
            <w:r>
              <w:rPr>
                <w:sz w:val="14"/>
              </w:rPr>
              <w:t>L.</w:t>
            </w:r>
            <w:r>
              <w:rPr>
                <w:spacing w:val="40"/>
                <w:sz w:val="14"/>
              </w:rPr>
              <w:t> </w:t>
            </w:r>
            <w:r>
              <w:rPr>
                <w:sz w:val="14"/>
              </w:rPr>
              <w:t>Gbagbo;</w:t>
            </w:r>
            <w:r>
              <w:rPr>
                <w:spacing w:val="-9"/>
                <w:sz w:val="14"/>
              </w:rPr>
              <w:t> </w:t>
            </w:r>
            <w:r>
              <w:rPr>
                <w:sz w:val="14"/>
              </w:rPr>
              <w:t>Blé</w:t>
            </w:r>
            <w:r>
              <w:rPr>
                <w:spacing w:val="40"/>
                <w:sz w:val="14"/>
              </w:rPr>
              <w:t> </w:t>
            </w:r>
            <w:r>
              <w:rPr>
                <w:sz w:val="14"/>
              </w:rPr>
              <w:t>Goudé;</w:t>
            </w:r>
            <w:r>
              <w:rPr>
                <w:spacing w:val="-9"/>
                <w:sz w:val="14"/>
              </w:rPr>
              <w:t> </w:t>
            </w:r>
            <w:r>
              <w:rPr>
                <w:sz w:val="14"/>
              </w:rPr>
              <w:t>Ongwen;</w:t>
            </w:r>
            <w:r>
              <w:rPr>
                <w:spacing w:val="40"/>
                <w:sz w:val="14"/>
              </w:rPr>
              <w:t> </w:t>
            </w:r>
            <w:r>
              <w:rPr>
                <w:sz w:val="14"/>
              </w:rPr>
              <w:t>Al</w:t>
            </w:r>
            <w:r>
              <w:rPr>
                <w:spacing w:val="-9"/>
                <w:sz w:val="14"/>
              </w:rPr>
              <w:t> </w:t>
            </w:r>
            <w:r>
              <w:rPr>
                <w:sz w:val="14"/>
              </w:rPr>
              <w:t>Hassan;</w:t>
            </w:r>
            <w:r>
              <w:rPr>
                <w:spacing w:val="40"/>
                <w:sz w:val="14"/>
              </w:rPr>
              <w:t> </w:t>
            </w:r>
            <w:r>
              <w:rPr>
                <w:sz w:val="14"/>
              </w:rPr>
              <w:t>Yekatom;</w:t>
            </w:r>
            <w:r>
              <w:rPr>
                <w:spacing w:val="-9"/>
                <w:sz w:val="14"/>
              </w:rPr>
              <w:t> </w:t>
            </w:r>
            <w:r>
              <w:rPr>
                <w:sz w:val="14"/>
              </w:rPr>
              <w:t>and</w:t>
            </w:r>
            <w:r>
              <w:rPr>
                <w:spacing w:val="40"/>
                <w:sz w:val="14"/>
              </w:rPr>
              <w:t> </w:t>
            </w:r>
            <w:r>
              <w:rPr>
                <w:spacing w:val="-2"/>
                <w:sz w:val="14"/>
              </w:rPr>
              <w:t>Ngaïssona</w:t>
            </w:r>
          </w:p>
        </w:tc>
        <w:tc>
          <w:tcPr>
            <w:tcW w:w="630" w:type="dxa"/>
            <w:tcBorders>
              <w:top w:val="single" w:sz="4" w:space="0" w:color="000000"/>
              <w:bottom w:val="single" w:sz="4" w:space="0" w:color="000000"/>
            </w:tcBorders>
          </w:tcPr>
          <w:p>
            <w:pPr>
              <w:pStyle w:val="TableParagraph"/>
              <w:spacing w:before="42"/>
              <w:ind w:right="12"/>
              <w:jc w:val="center"/>
              <w:rPr>
                <w:sz w:val="14"/>
              </w:rPr>
            </w:pPr>
            <w:r>
              <w:rPr>
                <w:w w:val="99"/>
                <w:sz w:val="14"/>
              </w:rPr>
              <w:t>1</w:t>
            </w:r>
          </w:p>
        </w:tc>
        <w:tc>
          <w:tcPr>
            <w:tcW w:w="511" w:type="dxa"/>
            <w:tcBorders>
              <w:top w:val="single" w:sz="4" w:space="0" w:color="000000"/>
              <w:bottom w:val="single" w:sz="4" w:space="0" w:color="000000"/>
            </w:tcBorders>
          </w:tcPr>
          <w:p>
            <w:pPr>
              <w:pStyle w:val="TableParagraph"/>
              <w:spacing w:before="42"/>
              <w:ind w:left="17"/>
              <w:jc w:val="center"/>
              <w:rPr>
                <w:sz w:val="14"/>
              </w:rPr>
            </w:pPr>
            <w:r>
              <w:rPr>
                <w:w w:val="99"/>
                <w:sz w:val="14"/>
              </w:rPr>
              <w:t>7</w:t>
            </w:r>
          </w:p>
        </w:tc>
        <w:tc>
          <w:tcPr>
            <w:tcW w:w="968" w:type="dxa"/>
            <w:tcBorders>
              <w:top w:val="single" w:sz="4" w:space="0" w:color="000000"/>
              <w:bottom w:val="single" w:sz="4" w:space="0" w:color="000000"/>
            </w:tcBorders>
          </w:tcPr>
          <w:p>
            <w:pPr>
              <w:pStyle w:val="TableParagraph"/>
              <w:spacing w:before="42"/>
              <w:ind w:left="30" w:right="189"/>
              <w:jc w:val="left"/>
              <w:rPr>
                <w:sz w:val="14"/>
              </w:rPr>
            </w:pPr>
            <w:r>
              <w:rPr>
                <w:spacing w:val="-2"/>
                <w:sz w:val="14"/>
              </w:rPr>
              <w:t>Ntaganda;</w:t>
            </w:r>
            <w:r>
              <w:rPr>
                <w:spacing w:val="40"/>
                <w:sz w:val="14"/>
              </w:rPr>
              <w:t> </w:t>
            </w:r>
            <w:r>
              <w:rPr>
                <w:sz w:val="14"/>
              </w:rPr>
              <w:t>Ongwen;</w:t>
            </w:r>
            <w:r>
              <w:rPr>
                <w:spacing w:val="-9"/>
                <w:sz w:val="14"/>
              </w:rPr>
              <w:t> </w:t>
            </w:r>
            <w:r>
              <w:rPr>
                <w:sz w:val="14"/>
              </w:rPr>
              <w:t>Al</w:t>
            </w:r>
            <w:r>
              <w:rPr>
                <w:spacing w:val="40"/>
                <w:sz w:val="14"/>
              </w:rPr>
              <w:t> </w:t>
            </w:r>
            <w:r>
              <w:rPr>
                <w:spacing w:val="-2"/>
                <w:sz w:val="14"/>
              </w:rPr>
              <w:t>Hassan;</w:t>
            </w:r>
            <w:r>
              <w:rPr>
                <w:spacing w:val="40"/>
                <w:sz w:val="14"/>
              </w:rPr>
              <w:t> </w:t>
            </w:r>
            <w:r>
              <w:rPr>
                <w:spacing w:val="-2"/>
                <w:sz w:val="14"/>
              </w:rPr>
              <w:t>Yekatom;</w:t>
            </w:r>
            <w:r>
              <w:rPr>
                <w:spacing w:val="40"/>
                <w:sz w:val="14"/>
              </w:rPr>
              <w:t> </w:t>
            </w:r>
            <w:r>
              <w:rPr>
                <w:spacing w:val="-2"/>
                <w:sz w:val="14"/>
              </w:rPr>
              <w:t>Ngaïssona;</w:t>
            </w:r>
            <w:r>
              <w:rPr>
                <w:spacing w:val="40"/>
                <w:sz w:val="14"/>
              </w:rPr>
              <w:t> </w:t>
            </w:r>
            <w:r>
              <w:rPr>
                <w:spacing w:val="-2"/>
                <w:sz w:val="14"/>
              </w:rPr>
              <w:t>Abd-Al-</w:t>
            </w:r>
            <w:r>
              <w:rPr>
                <w:spacing w:val="40"/>
                <w:sz w:val="14"/>
              </w:rPr>
              <w:t> </w:t>
            </w:r>
            <w:r>
              <w:rPr>
                <w:sz w:val="14"/>
              </w:rPr>
              <w:t>Rahman;</w:t>
            </w:r>
            <w:r>
              <w:rPr>
                <w:spacing w:val="-9"/>
                <w:sz w:val="14"/>
              </w:rPr>
              <w:t> </w:t>
            </w:r>
            <w:r>
              <w:rPr>
                <w:sz w:val="14"/>
              </w:rPr>
              <w:t>and</w:t>
            </w:r>
            <w:r>
              <w:rPr>
                <w:spacing w:val="40"/>
                <w:sz w:val="14"/>
              </w:rPr>
              <w:t> </w:t>
            </w:r>
            <w:r>
              <w:rPr>
                <w:spacing w:val="-2"/>
                <w:sz w:val="14"/>
              </w:rPr>
              <w:t>Gicheru</w:t>
            </w:r>
          </w:p>
        </w:tc>
        <w:tc>
          <w:tcPr>
            <w:tcW w:w="599" w:type="dxa"/>
            <w:tcBorders>
              <w:top w:val="single" w:sz="4" w:space="0" w:color="000000"/>
              <w:bottom w:val="single" w:sz="4" w:space="0" w:color="000000"/>
            </w:tcBorders>
          </w:tcPr>
          <w:p>
            <w:pPr>
              <w:pStyle w:val="TableParagraph"/>
              <w:spacing w:before="42"/>
              <w:ind w:right="11"/>
              <w:jc w:val="center"/>
              <w:rPr>
                <w:sz w:val="14"/>
              </w:rPr>
            </w:pPr>
            <w:r>
              <w:rPr>
                <w:w w:val="99"/>
                <w:sz w:val="14"/>
              </w:rPr>
              <w:t>6</w:t>
            </w:r>
          </w:p>
        </w:tc>
        <w:tc>
          <w:tcPr>
            <w:tcW w:w="475" w:type="dxa"/>
            <w:tcBorders>
              <w:top w:val="single" w:sz="4" w:space="0" w:color="000000"/>
              <w:bottom w:val="single" w:sz="4" w:space="0" w:color="000000"/>
            </w:tcBorders>
          </w:tcPr>
          <w:p>
            <w:pPr>
              <w:pStyle w:val="TableParagraph"/>
              <w:spacing w:before="42"/>
              <w:ind w:left="120"/>
              <w:jc w:val="left"/>
              <w:rPr>
                <w:sz w:val="14"/>
              </w:rPr>
            </w:pPr>
            <w:r>
              <w:rPr>
                <w:sz w:val="14"/>
              </w:rPr>
              <w:t>7 -</w:t>
            </w:r>
            <w:r>
              <w:rPr>
                <w:spacing w:val="-1"/>
                <w:sz w:val="14"/>
              </w:rPr>
              <w:t> </w:t>
            </w:r>
            <w:r>
              <w:rPr>
                <w:spacing w:val="-10"/>
                <w:sz w:val="14"/>
              </w:rPr>
              <w:t>9</w:t>
            </w:r>
          </w:p>
        </w:tc>
        <w:tc>
          <w:tcPr>
            <w:tcW w:w="1031" w:type="dxa"/>
            <w:tcBorders>
              <w:top w:val="single" w:sz="4" w:space="0" w:color="000000"/>
              <w:bottom w:val="single" w:sz="4" w:space="0" w:color="000000"/>
            </w:tcBorders>
          </w:tcPr>
          <w:p>
            <w:pPr>
              <w:pStyle w:val="TableParagraph"/>
              <w:spacing w:before="42"/>
              <w:ind w:left="14" w:right="65"/>
              <w:jc w:val="left"/>
              <w:rPr>
                <w:sz w:val="14"/>
              </w:rPr>
            </w:pPr>
            <w:r>
              <w:rPr>
                <w:sz w:val="14"/>
              </w:rPr>
              <w:t>Al</w:t>
            </w:r>
            <w:r>
              <w:rPr>
                <w:spacing w:val="-9"/>
                <w:sz w:val="14"/>
              </w:rPr>
              <w:t> </w:t>
            </w:r>
            <w:r>
              <w:rPr>
                <w:sz w:val="14"/>
              </w:rPr>
              <w:t>Hassan;</w:t>
            </w:r>
            <w:r>
              <w:rPr>
                <w:spacing w:val="40"/>
                <w:sz w:val="14"/>
              </w:rPr>
              <w:t> </w:t>
            </w:r>
            <w:r>
              <w:rPr>
                <w:spacing w:val="-2"/>
                <w:sz w:val="14"/>
              </w:rPr>
              <w:t>Ntaganda;</w:t>
            </w:r>
            <w:r>
              <w:rPr>
                <w:spacing w:val="40"/>
                <w:sz w:val="14"/>
              </w:rPr>
              <w:t> </w:t>
            </w:r>
            <w:r>
              <w:rPr>
                <w:spacing w:val="-2"/>
                <w:sz w:val="14"/>
              </w:rPr>
              <w:t>Ongwen;</w:t>
            </w:r>
            <w:r>
              <w:rPr>
                <w:spacing w:val="40"/>
                <w:sz w:val="14"/>
              </w:rPr>
              <w:t> </w:t>
            </w:r>
            <w:r>
              <w:rPr>
                <w:spacing w:val="-2"/>
                <w:sz w:val="14"/>
              </w:rPr>
              <w:t>Yekatom;</w:t>
            </w:r>
            <w:r>
              <w:rPr>
                <w:spacing w:val="40"/>
                <w:sz w:val="14"/>
              </w:rPr>
              <w:t> </w:t>
            </w:r>
            <w:r>
              <w:rPr>
                <w:sz w:val="14"/>
              </w:rPr>
              <w:t>Ngaïssona;</w:t>
            </w:r>
            <w:r>
              <w:rPr>
                <w:spacing w:val="-9"/>
                <w:sz w:val="14"/>
              </w:rPr>
              <w:t> </w:t>
            </w:r>
            <w:r>
              <w:rPr>
                <w:sz w:val="14"/>
              </w:rPr>
              <w:t>Abd-</w:t>
            </w:r>
            <w:r>
              <w:rPr>
                <w:spacing w:val="40"/>
                <w:sz w:val="14"/>
              </w:rPr>
              <w:t> </w:t>
            </w:r>
            <w:r>
              <w:rPr>
                <w:spacing w:val="-2"/>
                <w:sz w:val="14"/>
              </w:rPr>
              <w:t>Al-Rahman;</w:t>
            </w:r>
            <w:r>
              <w:rPr>
                <w:spacing w:val="40"/>
                <w:sz w:val="14"/>
              </w:rPr>
              <w:t> </w:t>
            </w:r>
            <w:r>
              <w:rPr>
                <w:sz w:val="14"/>
              </w:rPr>
              <w:t>Gicheru;</w:t>
            </w:r>
            <w:r>
              <w:rPr>
                <w:spacing w:val="-9"/>
                <w:sz w:val="14"/>
              </w:rPr>
              <w:t> </w:t>
            </w:r>
            <w:r>
              <w:rPr>
                <w:sz w:val="14"/>
              </w:rPr>
              <w:t>Said;</w:t>
            </w:r>
            <w:r>
              <w:rPr>
                <w:spacing w:val="40"/>
                <w:sz w:val="14"/>
              </w:rPr>
              <w:t> </w:t>
            </w:r>
            <w:r>
              <w:rPr>
                <w:sz w:val="14"/>
              </w:rPr>
              <w:t>and a detained</w:t>
            </w:r>
            <w:r>
              <w:rPr>
                <w:spacing w:val="40"/>
                <w:sz w:val="14"/>
              </w:rPr>
              <w:t> </w:t>
            </w:r>
            <w:r>
              <w:rPr>
                <w:spacing w:val="-2"/>
                <w:sz w:val="14"/>
              </w:rPr>
              <w:t>witness</w:t>
            </w:r>
          </w:p>
        </w:tc>
        <w:tc>
          <w:tcPr>
            <w:tcW w:w="596" w:type="dxa"/>
            <w:tcBorders>
              <w:top w:val="single" w:sz="4" w:space="0" w:color="000000"/>
              <w:bottom w:val="single" w:sz="4" w:space="0" w:color="000000"/>
            </w:tcBorders>
          </w:tcPr>
          <w:p>
            <w:pPr>
              <w:pStyle w:val="TableParagraph"/>
              <w:spacing w:before="42"/>
              <w:ind w:left="5"/>
              <w:jc w:val="center"/>
              <w:rPr>
                <w:sz w:val="14"/>
              </w:rPr>
            </w:pPr>
            <w:r>
              <w:rPr>
                <w:w w:val="99"/>
                <w:sz w:val="14"/>
              </w:rPr>
              <w:t>6</w:t>
            </w:r>
          </w:p>
        </w:tc>
        <w:tc>
          <w:tcPr>
            <w:tcW w:w="1217" w:type="dxa"/>
            <w:tcBorders>
              <w:top w:val="single" w:sz="4" w:space="0" w:color="000000"/>
              <w:bottom w:val="single" w:sz="4" w:space="0" w:color="000000"/>
            </w:tcBorders>
          </w:tcPr>
          <w:p>
            <w:pPr>
              <w:pStyle w:val="TableParagraph"/>
              <w:spacing w:before="42"/>
              <w:ind w:left="20" w:right="29"/>
              <w:jc w:val="left"/>
              <w:rPr>
                <w:sz w:val="14"/>
              </w:rPr>
            </w:pPr>
            <w:r>
              <w:rPr>
                <w:sz w:val="14"/>
              </w:rPr>
              <w:t>Al</w:t>
            </w:r>
            <w:r>
              <w:rPr>
                <w:spacing w:val="-9"/>
                <w:sz w:val="14"/>
              </w:rPr>
              <w:t> </w:t>
            </w:r>
            <w:r>
              <w:rPr>
                <w:sz w:val="14"/>
              </w:rPr>
              <w:t>Hassan;</w:t>
            </w:r>
            <w:r>
              <w:rPr>
                <w:spacing w:val="-9"/>
                <w:sz w:val="14"/>
              </w:rPr>
              <w:t> </w:t>
            </w:r>
            <w:r>
              <w:rPr>
                <w:sz w:val="14"/>
              </w:rPr>
              <w:t>Ongwen;</w:t>
            </w:r>
            <w:r>
              <w:rPr>
                <w:spacing w:val="40"/>
                <w:sz w:val="14"/>
              </w:rPr>
              <w:t> </w:t>
            </w:r>
            <w:r>
              <w:rPr>
                <w:spacing w:val="-2"/>
                <w:sz w:val="14"/>
              </w:rPr>
              <w:t>Yekatom;</w:t>
            </w:r>
            <w:r>
              <w:rPr>
                <w:spacing w:val="40"/>
                <w:sz w:val="14"/>
              </w:rPr>
              <w:t> </w:t>
            </w:r>
            <w:r>
              <w:rPr>
                <w:sz w:val="14"/>
              </w:rPr>
              <w:t>Ngaïssona;</w:t>
            </w:r>
            <w:r>
              <w:rPr>
                <w:spacing w:val="-9"/>
                <w:sz w:val="14"/>
              </w:rPr>
              <w:t> </w:t>
            </w:r>
            <w:r>
              <w:rPr>
                <w:sz w:val="14"/>
              </w:rPr>
              <w:t>Abd-Al-</w:t>
            </w:r>
            <w:r>
              <w:rPr>
                <w:spacing w:val="40"/>
                <w:sz w:val="14"/>
              </w:rPr>
              <w:t> </w:t>
            </w:r>
            <w:r>
              <w:rPr>
                <w:sz w:val="14"/>
              </w:rPr>
              <w:t>Rahman; and Said</w:t>
            </w:r>
          </w:p>
        </w:tc>
        <w:tc>
          <w:tcPr>
            <w:tcW w:w="580" w:type="dxa"/>
            <w:tcBorders>
              <w:top w:val="single" w:sz="4" w:space="0" w:color="000000"/>
              <w:bottom w:val="single" w:sz="4" w:space="0" w:color="000000"/>
            </w:tcBorders>
          </w:tcPr>
          <w:p>
            <w:pPr>
              <w:pStyle w:val="TableParagraph"/>
              <w:spacing w:before="42"/>
              <w:ind w:left="5"/>
              <w:jc w:val="center"/>
              <w:rPr>
                <w:sz w:val="14"/>
              </w:rPr>
            </w:pPr>
            <w:r>
              <w:rPr>
                <w:w w:val="99"/>
                <w:sz w:val="14"/>
              </w:rPr>
              <w:t>7</w:t>
            </w:r>
          </w:p>
        </w:tc>
        <w:tc>
          <w:tcPr>
            <w:tcW w:w="1015" w:type="dxa"/>
            <w:tcBorders>
              <w:top w:val="single" w:sz="4" w:space="0" w:color="000000"/>
              <w:bottom w:val="single" w:sz="4" w:space="0" w:color="000000"/>
            </w:tcBorders>
          </w:tcPr>
          <w:p>
            <w:pPr>
              <w:pStyle w:val="TableParagraph"/>
              <w:spacing w:before="42"/>
              <w:ind w:left="24" w:right="39"/>
              <w:jc w:val="left"/>
              <w:rPr>
                <w:sz w:val="14"/>
              </w:rPr>
            </w:pPr>
            <w:r>
              <w:rPr>
                <w:sz w:val="14"/>
              </w:rPr>
              <w:t>Ongwen;</w:t>
            </w:r>
            <w:r>
              <w:rPr>
                <w:spacing w:val="-9"/>
                <w:sz w:val="14"/>
              </w:rPr>
              <w:t> </w:t>
            </w:r>
            <w:r>
              <w:rPr>
                <w:sz w:val="14"/>
              </w:rPr>
              <w:t>Al</w:t>
            </w:r>
            <w:r>
              <w:rPr>
                <w:spacing w:val="40"/>
                <w:sz w:val="14"/>
              </w:rPr>
              <w:t> </w:t>
            </w:r>
            <w:r>
              <w:rPr>
                <w:spacing w:val="-2"/>
                <w:sz w:val="14"/>
              </w:rPr>
              <w:t>Hassan;</w:t>
            </w:r>
            <w:r>
              <w:rPr>
                <w:spacing w:val="40"/>
                <w:sz w:val="14"/>
              </w:rPr>
              <w:t> </w:t>
            </w:r>
            <w:r>
              <w:rPr>
                <w:spacing w:val="-2"/>
                <w:sz w:val="14"/>
              </w:rPr>
              <w:t>Yekatom;</w:t>
            </w:r>
            <w:r>
              <w:rPr>
                <w:spacing w:val="40"/>
                <w:sz w:val="14"/>
              </w:rPr>
              <w:t> </w:t>
            </w:r>
            <w:r>
              <w:rPr>
                <w:sz w:val="14"/>
              </w:rPr>
              <w:t>Ngaïssona;</w:t>
            </w:r>
            <w:r>
              <w:rPr>
                <w:spacing w:val="-9"/>
                <w:sz w:val="14"/>
              </w:rPr>
              <w:t> </w:t>
            </w:r>
            <w:r>
              <w:rPr>
                <w:sz w:val="14"/>
              </w:rPr>
              <w:t>Abd-</w:t>
            </w:r>
            <w:r>
              <w:rPr>
                <w:spacing w:val="40"/>
                <w:sz w:val="14"/>
              </w:rPr>
              <w:t> </w:t>
            </w:r>
            <w:r>
              <w:rPr>
                <w:spacing w:val="-2"/>
                <w:sz w:val="14"/>
              </w:rPr>
              <w:t>Al-Rahman;</w:t>
            </w:r>
            <w:r>
              <w:rPr>
                <w:spacing w:val="40"/>
                <w:sz w:val="14"/>
              </w:rPr>
              <w:t> </w:t>
            </w:r>
            <w:r>
              <w:rPr>
                <w:sz w:val="14"/>
              </w:rPr>
              <w:t>Said;</w:t>
            </w:r>
            <w:r>
              <w:rPr>
                <w:spacing w:val="-9"/>
                <w:sz w:val="14"/>
              </w:rPr>
              <w:t> </w:t>
            </w:r>
            <w:r>
              <w:rPr>
                <w:sz w:val="14"/>
              </w:rPr>
              <w:t>and</w:t>
            </w:r>
            <w:r>
              <w:rPr>
                <w:spacing w:val="40"/>
                <w:sz w:val="14"/>
              </w:rPr>
              <w:t> </w:t>
            </w:r>
            <w:r>
              <w:rPr>
                <w:spacing w:val="-2"/>
                <w:sz w:val="14"/>
              </w:rPr>
              <w:t>Mokom</w:t>
            </w:r>
          </w:p>
        </w:tc>
      </w:tr>
      <w:tr>
        <w:trPr>
          <w:trHeight w:val="883" w:hRule="atLeast"/>
        </w:trPr>
        <w:tc>
          <w:tcPr>
            <w:tcW w:w="226" w:type="dxa"/>
            <w:tcBorders>
              <w:top w:val="single" w:sz="4" w:space="0" w:color="000000"/>
              <w:bottom w:val="single" w:sz="4" w:space="0" w:color="000000"/>
            </w:tcBorders>
          </w:tcPr>
          <w:p>
            <w:pPr>
              <w:pStyle w:val="TableParagraph"/>
              <w:spacing w:before="42"/>
              <w:ind w:left="14"/>
              <w:jc w:val="left"/>
              <w:rPr>
                <w:sz w:val="14"/>
              </w:rPr>
            </w:pPr>
            <w:r>
              <w:rPr>
                <w:spacing w:val="-5"/>
                <w:sz w:val="14"/>
              </w:rPr>
              <w:t>21</w:t>
            </w:r>
          </w:p>
        </w:tc>
        <w:tc>
          <w:tcPr>
            <w:tcW w:w="749" w:type="dxa"/>
            <w:tcBorders>
              <w:top w:val="single" w:sz="4" w:space="0" w:color="000000"/>
              <w:bottom w:val="single" w:sz="4" w:space="0" w:color="000000"/>
            </w:tcBorders>
          </w:tcPr>
          <w:p>
            <w:pPr>
              <w:pStyle w:val="TableParagraph"/>
              <w:spacing w:before="37"/>
              <w:ind w:left="67" w:right="60"/>
              <w:jc w:val="left"/>
              <w:rPr>
                <w:sz w:val="14"/>
              </w:rPr>
            </w:pPr>
            <w:r>
              <w:rPr>
                <w:sz w:val="14"/>
              </w:rPr>
              <w:t>Number</w:t>
            </w:r>
            <w:r>
              <w:rPr>
                <w:spacing w:val="-9"/>
                <w:sz w:val="14"/>
              </w:rPr>
              <w:t> </w:t>
            </w:r>
            <w:r>
              <w:rPr>
                <w:sz w:val="14"/>
              </w:rPr>
              <w:t>of</w:t>
            </w:r>
            <w:r>
              <w:rPr>
                <w:spacing w:val="40"/>
                <w:sz w:val="14"/>
              </w:rPr>
              <w:t> </w:t>
            </w:r>
            <w:r>
              <w:rPr>
                <w:spacing w:val="-2"/>
                <w:sz w:val="14"/>
              </w:rPr>
              <w:t>cells</w:t>
            </w:r>
            <w:r>
              <w:rPr>
                <w:spacing w:val="40"/>
                <w:sz w:val="14"/>
              </w:rPr>
              <w:t> </w:t>
            </w:r>
            <w:r>
              <w:rPr>
                <w:spacing w:val="-2"/>
                <w:sz w:val="14"/>
              </w:rPr>
              <w:t>required</w:t>
            </w:r>
          </w:p>
        </w:tc>
        <w:tc>
          <w:tcPr>
            <w:tcW w:w="601" w:type="dxa"/>
            <w:tcBorders>
              <w:top w:val="single" w:sz="4" w:space="0" w:color="000000"/>
              <w:bottom w:val="single" w:sz="4" w:space="0" w:color="000000"/>
            </w:tcBorders>
          </w:tcPr>
          <w:p>
            <w:pPr>
              <w:pStyle w:val="TableParagraph"/>
              <w:spacing w:before="42"/>
              <w:ind w:left="269"/>
              <w:jc w:val="left"/>
              <w:rPr>
                <w:sz w:val="14"/>
              </w:rPr>
            </w:pPr>
            <w:r>
              <w:rPr>
                <w:w w:val="99"/>
                <w:sz w:val="14"/>
              </w:rPr>
              <w:t>6</w:t>
            </w:r>
          </w:p>
        </w:tc>
        <w:tc>
          <w:tcPr>
            <w:tcW w:w="466" w:type="dxa"/>
            <w:tcBorders>
              <w:top w:val="single" w:sz="4" w:space="0" w:color="000000"/>
              <w:bottom w:val="single" w:sz="4" w:space="0" w:color="000000"/>
            </w:tcBorders>
          </w:tcPr>
          <w:p>
            <w:pPr>
              <w:pStyle w:val="TableParagraph"/>
              <w:spacing w:before="42"/>
              <w:ind w:left="24" w:right="2"/>
              <w:jc w:val="center"/>
              <w:rPr>
                <w:sz w:val="14"/>
              </w:rPr>
            </w:pPr>
            <w:r>
              <w:rPr>
                <w:spacing w:val="-5"/>
                <w:sz w:val="14"/>
              </w:rPr>
              <w:t>12</w:t>
            </w:r>
          </w:p>
        </w:tc>
        <w:tc>
          <w:tcPr>
            <w:tcW w:w="1128" w:type="dxa"/>
            <w:tcBorders>
              <w:top w:val="single" w:sz="4" w:space="0" w:color="000000"/>
              <w:bottom w:val="single" w:sz="4" w:space="0" w:color="000000"/>
            </w:tcBorders>
          </w:tcPr>
          <w:p>
            <w:pPr>
              <w:pStyle w:val="TableParagraph"/>
              <w:spacing w:before="37"/>
              <w:ind w:left="13" w:right="65"/>
              <w:jc w:val="left"/>
              <w:rPr>
                <w:sz w:val="14"/>
              </w:rPr>
            </w:pPr>
            <w:r>
              <w:rPr>
                <w:sz w:val="14"/>
              </w:rPr>
              <w:t>Implementation</w:t>
            </w:r>
            <w:r>
              <w:rPr>
                <w:spacing w:val="-9"/>
                <w:sz w:val="14"/>
              </w:rPr>
              <w:t> </w:t>
            </w:r>
            <w:r>
              <w:rPr>
                <w:sz w:val="14"/>
              </w:rPr>
              <w:t>of</w:t>
            </w:r>
            <w:r>
              <w:rPr>
                <w:spacing w:val="40"/>
                <w:sz w:val="14"/>
              </w:rPr>
              <w:t> </w:t>
            </w:r>
            <w:r>
              <w:rPr>
                <w:sz w:val="14"/>
              </w:rPr>
              <w:t>judicial</w:t>
            </w:r>
            <w:r>
              <w:rPr>
                <w:spacing w:val="-9"/>
                <w:sz w:val="14"/>
              </w:rPr>
              <w:t> </w:t>
            </w:r>
            <w:r>
              <w:rPr>
                <w:sz w:val="14"/>
              </w:rPr>
              <w:t>and</w:t>
            </w:r>
            <w:r>
              <w:rPr>
                <w:spacing w:val="40"/>
                <w:sz w:val="14"/>
              </w:rPr>
              <w:t> </w:t>
            </w:r>
            <w:r>
              <w:rPr>
                <w:spacing w:val="-2"/>
                <w:sz w:val="14"/>
              </w:rPr>
              <w:t>administrative</w:t>
            </w:r>
            <w:r>
              <w:rPr>
                <w:spacing w:val="40"/>
                <w:sz w:val="14"/>
              </w:rPr>
              <w:t> </w:t>
            </w:r>
            <w:r>
              <w:rPr>
                <w:spacing w:val="-2"/>
                <w:sz w:val="14"/>
              </w:rPr>
              <w:t>decisions</w:t>
            </w:r>
          </w:p>
        </w:tc>
        <w:tc>
          <w:tcPr>
            <w:tcW w:w="630" w:type="dxa"/>
            <w:tcBorders>
              <w:top w:val="single" w:sz="4" w:space="0" w:color="000000"/>
              <w:bottom w:val="single" w:sz="4" w:space="0" w:color="000000"/>
            </w:tcBorders>
          </w:tcPr>
          <w:p>
            <w:pPr>
              <w:pStyle w:val="TableParagraph"/>
              <w:spacing w:before="42"/>
              <w:ind w:right="12"/>
              <w:jc w:val="center"/>
              <w:rPr>
                <w:sz w:val="14"/>
              </w:rPr>
            </w:pPr>
            <w:r>
              <w:rPr>
                <w:w w:val="99"/>
                <w:sz w:val="14"/>
              </w:rPr>
              <w:t>6</w:t>
            </w:r>
          </w:p>
        </w:tc>
        <w:tc>
          <w:tcPr>
            <w:tcW w:w="511" w:type="dxa"/>
            <w:tcBorders>
              <w:top w:val="single" w:sz="4" w:space="0" w:color="000000"/>
              <w:bottom w:val="single" w:sz="4" w:space="0" w:color="000000"/>
            </w:tcBorders>
          </w:tcPr>
          <w:p>
            <w:pPr>
              <w:pStyle w:val="TableParagraph"/>
              <w:spacing w:before="42"/>
              <w:ind w:left="43" w:right="19"/>
              <w:jc w:val="center"/>
              <w:rPr>
                <w:sz w:val="14"/>
              </w:rPr>
            </w:pPr>
            <w:r>
              <w:rPr>
                <w:spacing w:val="-5"/>
                <w:sz w:val="14"/>
              </w:rPr>
              <w:t>12</w:t>
            </w:r>
          </w:p>
        </w:tc>
        <w:tc>
          <w:tcPr>
            <w:tcW w:w="968" w:type="dxa"/>
            <w:tcBorders>
              <w:top w:val="single" w:sz="4" w:space="0" w:color="000000"/>
              <w:bottom w:val="single" w:sz="4" w:space="0" w:color="000000"/>
            </w:tcBorders>
          </w:tcPr>
          <w:p>
            <w:pPr>
              <w:pStyle w:val="TableParagraph"/>
              <w:spacing w:before="37"/>
              <w:ind w:left="30" w:right="39"/>
              <w:jc w:val="left"/>
              <w:rPr>
                <w:sz w:val="14"/>
              </w:rPr>
            </w:pPr>
            <w:r>
              <w:rPr>
                <w:sz w:val="14"/>
              </w:rPr>
              <w:t>Renting</w:t>
            </w:r>
            <w:r>
              <w:rPr>
                <w:spacing w:val="-6"/>
                <w:sz w:val="14"/>
              </w:rPr>
              <w:t> </w:t>
            </w:r>
            <w:r>
              <w:rPr>
                <w:sz w:val="14"/>
              </w:rPr>
              <w:t>model</w:t>
            </w:r>
            <w:r>
              <w:rPr>
                <w:spacing w:val="40"/>
                <w:sz w:val="14"/>
              </w:rPr>
              <w:t> </w:t>
            </w:r>
            <w:r>
              <w:rPr>
                <w:sz w:val="14"/>
              </w:rPr>
              <w:t>is</w:t>
            </w:r>
            <w:r>
              <w:rPr>
                <w:spacing w:val="-8"/>
                <w:sz w:val="14"/>
              </w:rPr>
              <w:t> </w:t>
            </w:r>
            <w:r>
              <w:rPr>
                <w:sz w:val="14"/>
              </w:rPr>
              <w:t>either</w:t>
            </w:r>
            <w:r>
              <w:rPr>
                <w:spacing w:val="-5"/>
                <w:sz w:val="14"/>
              </w:rPr>
              <w:t> </w:t>
            </w:r>
            <w:r>
              <w:rPr>
                <w:sz w:val="14"/>
              </w:rPr>
              <w:t>6</w:t>
            </w:r>
            <w:r>
              <w:rPr>
                <w:spacing w:val="-5"/>
                <w:sz w:val="14"/>
              </w:rPr>
              <w:t> </w:t>
            </w:r>
            <w:r>
              <w:rPr>
                <w:sz w:val="14"/>
              </w:rPr>
              <w:t>or</w:t>
            </w:r>
            <w:r>
              <w:rPr>
                <w:spacing w:val="-5"/>
                <w:sz w:val="14"/>
              </w:rPr>
              <w:t> </w:t>
            </w:r>
            <w:r>
              <w:rPr>
                <w:sz w:val="14"/>
              </w:rPr>
              <w:t>12</w:t>
            </w:r>
            <w:r>
              <w:rPr>
                <w:spacing w:val="40"/>
                <w:sz w:val="14"/>
              </w:rPr>
              <w:t> </w:t>
            </w:r>
            <w:r>
              <w:rPr>
                <w:sz w:val="14"/>
              </w:rPr>
              <w:t>cells. For one</w:t>
            </w:r>
            <w:r>
              <w:rPr>
                <w:spacing w:val="40"/>
                <w:sz w:val="14"/>
              </w:rPr>
              <w:t> </w:t>
            </w:r>
            <w:r>
              <w:rPr>
                <w:sz w:val="14"/>
              </w:rPr>
              <w:t>detainee:</w:t>
            </w:r>
            <w:r>
              <w:rPr>
                <w:spacing w:val="-9"/>
                <w:sz w:val="14"/>
              </w:rPr>
              <w:t> </w:t>
            </w:r>
            <w:r>
              <w:rPr>
                <w:sz w:val="14"/>
              </w:rPr>
              <w:t>one</w:t>
            </w:r>
            <w:r>
              <w:rPr>
                <w:spacing w:val="-9"/>
                <w:sz w:val="14"/>
              </w:rPr>
              <w:t> </w:t>
            </w:r>
            <w:r>
              <w:rPr>
                <w:sz w:val="14"/>
              </w:rPr>
              <w:t>6-</w:t>
            </w:r>
            <w:r>
              <w:rPr>
                <w:spacing w:val="40"/>
                <w:sz w:val="14"/>
              </w:rPr>
              <w:t> </w:t>
            </w:r>
            <w:r>
              <w:rPr>
                <w:sz w:val="14"/>
              </w:rPr>
              <w:t>cell</w:t>
            </w:r>
            <w:r>
              <w:rPr>
                <w:spacing w:val="-9"/>
                <w:sz w:val="14"/>
              </w:rPr>
              <w:t> </w:t>
            </w:r>
            <w:r>
              <w:rPr>
                <w:sz w:val="14"/>
              </w:rPr>
              <w:t>block</w:t>
            </w:r>
          </w:p>
        </w:tc>
        <w:tc>
          <w:tcPr>
            <w:tcW w:w="599" w:type="dxa"/>
            <w:tcBorders>
              <w:top w:val="single" w:sz="4" w:space="0" w:color="000000"/>
              <w:bottom w:val="single" w:sz="4" w:space="0" w:color="000000"/>
            </w:tcBorders>
          </w:tcPr>
          <w:p>
            <w:pPr>
              <w:pStyle w:val="TableParagraph"/>
              <w:spacing w:before="42"/>
              <w:ind w:right="11"/>
              <w:jc w:val="center"/>
              <w:rPr>
                <w:sz w:val="14"/>
              </w:rPr>
            </w:pPr>
            <w:r>
              <w:rPr>
                <w:w w:val="99"/>
                <w:sz w:val="14"/>
              </w:rPr>
              <w:t>6</w:t>
            </w:r>
          </w:p>
        </w:tc>
        <w:tc>
          <w:tcPr>
            <w:tcW w:w="475" w:type="dxa"/>
            <w:tcBorders>
              <w:top w:val="single" w:sz="4" w:space="0" w:color="000000"/>
              <w:bottom w:val="single" w:sz="4" w:space="0" w:color="000000"/>
            </w:tcBorders>
          </w:tcPr>
          <w:p>
            <w:pPr>
              <w:pStyle w:val="TableParagraph"/>
              <w:spacing w:before="42"/>
              <w:ind w:left="67"/>
              <w:jc w:val="left"/>
              <w:rPr>
                <w:sz w:val="14"/>
              </w:rPr>
            </w:pPr>
            <w:r>
              <w:rPr>
                <w:spacing w:val="-2"/>
                <w:sz w:val="14"/>
              </w:rPr>
              <w:t>12+12</w:t>
            </w:r>
          </w:p>
        </w:tc>
        <w:tc>
          <w:tcPr>
            <w:tcW w:w="1031" w:type="dxa"/>
            <w:tcBorders>
              <w:top w:val="single" w:sz="4" w:space="0" w:color="000000"/>
              <w:bottom w:val="single" w:sz="4" w:space="0" w:color="000000"/>
            </w:tcBorders>
          </w:tcPr>
          <w:p>
            <w:pPr>
              <w:pStyle w:val="TableParagraph"/>
              <w:spacing w:before="37"/>
              <w:ind w:left="14" w:right="47"/>
              <w:jc w:val="left"/>
              <w:rPr>
                <w:sz w:val="14"/>
              </w:rPr>
            </w:pPr>
            <w:r>
              <w:rPr>
                <w:spacing w:val="-2"/>
                <w:sz w:val="14"/>
              </w:rPr>
              <w:t>Implementation</w:t>
            </w:r>
            <w:r>
              <w:rPr>
                <w:spacing w:val="40"/>
                <w:sz w:val="14"/>
              </w:rPr>
              <w:t> </w:t>
            </w:r>
            <w:r>
              <w:rPr>
                <w:sz w:val="14"/>
              </w:rPr>
              <w:t>of</w:t>
            </w:r>
            <w:r>
              <w:rPr>
                <w:spacing w:val="-9"/>
                <w:sz w:val="14"/>
              </w:rPr>
              <w:t> </w:t>
            </w:r>
            <w:r>
              <w:rPr>
                <w:sz w:val="14"/>
              </w:rPr>
              <w:t>judicial</w:t>
            </w:r>
            <w:r>
              <w:rPr>
                <w:spacing w:val="-9"/>
                <w:sz w:val="14"/>
              </w:rPr>
              <w:t> </w:t>
            </w:r>
            <w:r>
              <w:rPr>
                <w:sz w:val="14"/>
              </w:rPr>
              <w:t>and/or</w:t>
            </w:r>
            <w:r>
              <w:rPr>
                <w:spacing w:val="40"/>
                <w:sz w:val="14"/>
              </w:rPr>
              <w:t> </w:t>
            </w:r>
            <w:r>
              <w:rPr>
                <w:spacing w:val="-2"/>
                <w:sz w:val="14"/>
              </w:rPr>
              <w:t>administrative</w:t>
            </w:r>
            <w:r>
              <w:rPr>
                <w:spacing w:val="40"/>
                <w:sz w:val="14"/>
              </w:rPr>
              <w:t> </w:t>
            </w:r>
            <w:r>
              <w:rPr>
                <w:spacing w:val="-2"/>
                <w:sz w:val="14"/>
              </w:rPr>
              <w:t>decision</w:t>
            </w:r>
          </w:p>
        </w:tc>
        <w:tc>
          <w:tcPr>
            <w:tcW w:w="596" w:type="dxa"/>
            <w:tcBorders>
              <w:top w:val="single" w:sz="4" w:space="0" w:color="000000"/>
              <w:bottom w:val="single" w:sz="4" w:space="0" w:color="000000"/>
            </w:tcBorders>
          </w:tcPr>
          <w:p>
            <w:pPr>
              <w:pStyle w:val="TableParagraph"/>
              <w:spacing w:before="42"/>
              <w:ind w:left="5"/>
              <w:jc w:val="center"/>
              <w:rPr>
                <w:sz w:val="14"/>
              </w:rPr>
            </w:pPr>
            <w:r>
              <w:rPr>
                <w:w w:val="99"/>
                <w:sz w:val="14"/>
              </w:rPr>
              <w:t>6</w:t>
            </w:r>
          </w:p>
        </w:tc>
        <w:tc>
          <w:tcPr>
            <w:tcW w:w="1217" w:type="dxa"/>
            <w:tcBorders>
              <w:top w:val="single" w:sz="4" w:space="0" w:color="000000"/>
              <w:bottom w:val="single" w:sz="4" w:space="0" w:color="000000"/>
            </w:tcBorders>
          </w:tcPr>
          <w:p>
            <w:pPr>
              <w:pStyle w:val="TableParagraph"/>
              <w:spacing w:before="37"/>
              <w:ind w:left="20" w:right="43"/>
              <w:jc w:val="left"/>
              <w:rPr>
                <w:sz w:val="14"/>
              </w:rPr>
            </w:pPr>
            <w:r>
              <w:rPr>
                <w:sz w:val="14"/>
              </w:rPr>
              <w:t>Renting model is</w:t>
            </w:r>
            <w:r>
              <w:rPr>
                <w:spacing w:val="40"/>
                <w:sz w:val="14"/>
              </w:rPr>
              <w:t> </w:t>
            </w:r>
            <w:r>
              <w:rPr>
                <w:sz w:val="14"/>
              </w:rPr>
              <w:t>either</w:t>
            </w:r>
            <w:r>
              <w:rPr>
                <w:spacing w:val="-11"/>
                <w:sz w:val="14"/>
              </w:rPr>
              <w:t> </w:t>
            </w:r>
            <w:r>
              <w:rPr>
                <w:sz w:val="14"/>
              </w:rPr>
              <w:t>6</w:t>
            </w:r>
            <w:r>
              <w:rPr>
                <w:spacing w:val="-9"/>
                <w:sz w:val="14"/>
              </w:rPr>
              <w:t> </w:t>
            </w:r>
            <w:r>
              <w:rPr>
                <w:sz w:val="14"/>
              </w:rPr>
              <w:t>or</w:t>
            </w:r>
            <w:r>
              <w:rPr>
                <w:spacing w:val="-9"/>
                <w:sz w:val="14"/>
              </w:rPr>
              <w:t> </w:t>
            </w:r>
            <w:r>
              <w:rPr>
                <w:sz w:val="14"/>
              </w:rPr>
              <w:t>12</w:t>
            </w:r>
            <w:r>
              <w:rPr>
                <w:spacing w:val="-8"/>
                <w:sz w:val="14"/>
              </w:rPr>
              <w:t> </w:t>
            </w:r>
            <w:r>
              <w:rPr>
                <w:sz w:val="14"/>
              </w:rPr>
              <w:t>cells.</w:t>
            </w:r>
            <w:r>
              <w:rPr>
                <w:spacing w:val="40"/>
                <w:sz w:val="14"/>
              </w:rPr>
              <w:t> </w:t>
            </w:r>
            <w:r>
              <w:rPr>
                <w:sz w:val="14"/>
              </w:rPr>
              <w:t>For one detainee:</w:t>
            </w:r>
            <w:r>
              <w:rPr>
                <w:spacing w:val="40"/>
                <w:sz w:val="14"/>
              </w:rPr>
              <w:t> </w:t>
            </w:r>
            <w:r>
              <w:rPr>
                <w:sz w:val="14"/>
              </w:rPr>
              <w:t>one 6-cell block</w:t>
            </w:r>
          </w:p>
        </w:tc>
        <w:tc>
          <w:tcPr>
            <w:tcW w:w="580" w:type="dxa"/>
            <w:tcBorders>
              <w:top w:val="single" w:sz="4" w:space="0" w:color="000000"/>
              <w:bottom w:val="single" w:sz="4" w:space="0" w:color="000000"/>
            </w:tcBorders>
          </w:tcPr>
          <w:p>
            <w:pPr>
              <w:pStyle w:val="TableParagraph"/>
              <w:spacing w:before="42"/>
              <w:ind w:left="19" w:right="7"/>
              <w:jc w:val="center"/>
              <w:rPr>
                <w:sz w:val="14"/>
              </w:rPr>
            </w:pPr>
            <w:r>
              <w:rPr>
                <w:spacing w:val="-5"/>
                <w:sz w:val="14"/>
              </w:rPr>
              <w:t>12</w:t>
            </w:r>
          </w:p>
        </w:tc>
        <w:tc>
          <w:tcPr>
            <w:tcW w:w="1015" w:type="dxa"/>
            <w:tcBorders>
              <w:top w:val="single" w:sz="4" w:space="0" w:color="000000"/>
              <w:bottom w:val="single" w:sz="4" w:space="0" w:color="000000"/>
            </w:tcBorders>
          </w:tcPr>
          <w:p>
            <w:pPr>
              <w:pStyle w:val="TableParagraph"/>
              <w:spacing w:before="37"/>
              <w:ind w:left="24" w:right="32"/>
              <w:jc w:val="left"/>
              <w:rPr>
                <w:sz w:val="14"/>
              </w:rPr>
            </w:pPr>
            <w:r>
              <w:rPr>
                <w:sz w:val="14"/>
              </w:rPr>
              <w:t>Renting</w:t>
            </w:r>
            <w:r>
              <w:rPr>
                <w:spacing w:val="-9"/>
                <w:sz w:val="14"/>
              </w:rPr>
              <w:t> </w:t>
            </w:r>
            <w:r>
              <w:rPr>
                <w:sz w:val="14"/>
              </w:rPr>
              <w:t>model</w:t>
            </w:r>
            <w:r>
              <w:rPr>
                <w:spacing w:val="-9"/>
                <w:sz w:val="14"/>
              </w:rPr>
              <w:t> </w:t>
            </w:r>
            <w:r>
              <w:rPr>
                <w:sz w:val="14"/>
              </w:rPr>
              <w:t>is</w:t>
            </w:r>
            <w:r>
              <w:rPr>
                <w:spacing w:val="40"/>
                <w:sz w:val="14"/>
              </w:rPr>
              <w:t> </w:t>
            </w:r>
            <w:r>
              <w:rPr>
                <w:sz w:val="14"/>
              </w:rPr>
              <w:t>either 6 or 12</w:t>
            </w:r>
            <w:r>
              <w:rPr>
                <w:spacing w:val="40"/>
                <w:sz w:val="14"/>
              </w:rPr>
              <w:t> </w:t>
            </w:r>
            <w:r>
              <w:rPr>
                <w:sz w:val="14"/>
              </w:rPr>
              <w:t>cells. For one</w:t>
            </w:r>
            <w:r>
              <w:rPr>
                <w:spacing w:val="40"/>
                <w:sz w:val="14"/>
              </w:rPr>
              <w:t> </w:t>
            </w:r>
            <w:r>
              <w:rPr>
                <w:sz w:val="14"/>
              </w:rPr>
              <w:t>detainee:</w:t>
            </w:r>
            <w:r>
              <w:rPr>
                <w:spacing w:val="-9"/>
                <w:sz w:val="14"/>
              </w:rPr>
              <w:t> </w:t>
            </w:r>
            <w:r>
              <w:rPr>
                <w:sz w:val="14"/>
              </w:rPr>
              <w:t>one</w:t>
            </w:r>
          </w:p>
          <w:p>
            <w:pPr>
              <w:pStyle w:val="TableParagraph"/>
              <w:spacing w:line="161" w:lineRule="exact"/>
              <w:ind w:left="24"/>
              <w:jc w:val="left"/>
              <w:rPr>
                <w:sz w:val="14"/>
              </w:rPr>
            </w:pPr>
            <w:r>
              <w:rPr>
                <w:sz w:val="14"/>
              </w:rPr>
              <w:t>6-cell</w:t>
            </w:r>
            <w:r>
              <w:rPr>
                <w:spacing w:val="-3"/>
                <w:sz w:val="14"/>
              </w:rPr>
              <w:t> </w:t>
            </w:r>
            <w:r>
              <w:rPr>
                <w:spacing w:val="-2"/>
                <w:sz w:val="14"/>
              </w:rPr>
              <w:t>block</w:t>
            </w:r>
          </w:p>
        </w:tc>
      </w:tr>
      <w:tr>
        <w:trPr>
          <w:trHeight w:val="2295" w:hRule="atLeast"/>
        </w:trPr>
        <w:tc>
          <w:tcPr>
            <w:tcW w:w="226" w:type="dxa"/>
            <w:tcBorders>
              <w:top w:val="single" w:sz="4" w:space="0" w:color="000000"/>
            </w:tcBorders>
          </w:tcPr>
          <w:p>
            <w:pPr>
              <w:pStyle w:val="TableParagraph"/>
              <w:spacing w:before="42"/>
              <w:ind w:left="14"/>
              <w:jc w:val="left"/>
              <w:rPr>
                <w:sz w:val="14"/>
              </w:rPr>
            </w:pPr>
            <w:r>
              <w:rPr>
                <w:spacing w:val="-5"/>
                <w:sz w:val="14"/>
              </w:rPr>
              <w:t>22</w:t>
            </w:r>
          </w:p>
        </w:tc>
        <w:tc>
          <w:tcPr>
            <w:tcW w:w="749" w:type="dxa"/>
            <w:tcBorders>
              <w:top w:val="single" w:sz="4" w:space="0" w:color="000000"/>
            </w:tcBorders>
          </w:tcPr>
          <w:p>
            <w:pPr>
              <w:pStyle w:val="TableParagraph"/>
              <w:spacing w:before="37"/>
              <w:ind w:left="67" w:right="14"/>
              <w:jc w:val="left"/>
              <w:rPr>
                <w:sz w:val="14"/>
              </w:rPr>
            </w:pPr>
            <w:r>
              <w:rPr>
                <w:sz w:val="14"/>
              </w:rPr>
              <w:t>Number</w:t>
            </w:r>
            <w:r>
              <w:rPr>
                <w:spacing w:val="-9"/>
                <w:sz w:val="14"/>
              </w:rPr>
              <w:t> </w:t>
            </w:r>
            <w:r>
              <w:rPr>
                <w:sz w:val="14"/>
              </w:rPr>
              <w:t>of</w:t>
            </w:r>
            <w:r>
              <w:rPr>
                <w:spacing w:val="40"/>
                <w:sz w:val="14"/>
              </w:rPr>
              <w:t> </w:t>
            </w:r>
            <w:r>
              <w:rPr>
                <w:spacing w:val="-2"/>
                <w:sz w:val="14"/>
              </w:rPr>
              <w:t>defence</w:t>
            </w:r>
            <w:r>
              <w:rPr>
                <w:spacing w:val="40"/>
                <w:sz w:val="14"/>
              </w:rPr>
              <w:t> </w:t>
            </w:r>
            <w:r>
              <w:rPr>
                <w:spacing w:val="-2"/>
                <w:sz w:val="14"/>
              </w:rPr>
              <w:t>teams</w:t>
            </w:r>
            <w:r>
              <w:rPr>
                <w:spacing w:val="40"/>
                <w:sz w:val="14"/>
              </w:rPr>
              <w:t> </w:t>
            </w:r>
            <w:r>
              <w:rPr>
                <w:sz w:val="14"/>
              </w:rPr>
              <w:t>financed</w:t>
            </w:r>
            <w:r>
              <w:rPr>
                <w:spacing w:val="-9"/>
                <w:sz w:val="14"/>
              </w:rPr>
              <w:t> </w:t>
            </w:r>
            <w:r>
              <w:rPr>
                <w:sz w:val="14"/>
              </w:rPr>
              <w:t>by</w:t>
            </w:r>
            <w:r>
              <w:rPr>
                <w:spacing w:val="40"/>
                <w:sz w:val="14"/>
              </w:rPr>
              <w:t> </w:t>
            </w:r>
            <w:r>
              <w:rPr>
                <w:sz w:val="14"/>
              </w:rPr>
              <w:t>legal</w:t>
            </w:r>
            <w:r>
              <w:rPr>
                <w:spacing w:val="-9"/>
                <w:sz w:val="14"/>
              </w:rPr>
              <w:t> </w:t>
            </w:r>
            <w:r>
              <w:rPr>
                <w:sz w:val="14"/>
              </w:rPr>
              <w:t>aid</w:t>
            </w:r>
          </w:p>
        </w:tc>
        <w:tc>
          <w:tcPr>
            <w:tcW w:w="601" w:type="dxa"/>
            <w:tcBorders>
              <w:top w:val="single" w:sz="4" w:space="0" w:color="000000"/>
            </w:tcBorders>
          </w:tcPr>
          <w:p>
            <w:pPr>
              <w:pStyle w:val="TableParagraph"/>
              <w:spacing w:before="42"/>
              <w:ind w:left="235"/>
              <w:jc w:val="left"/>
              <w:rPr>
                <w:sz w:val="14"/>
              </w:rPr>
            </w:pPr>
            <w:r>
              <w:rPr>
                <w:spacing w:val="-5"/>
                <w:sz w:val="14"/>
              </w:rPr>
              <w:t>10</w:t>
            </w:r>
          </w:p>
        </w:tc>
        <w:tc>
          <w:tcPr>
            <w:tcW w:w="466" w:type="dxa"/>
            <w:tcBorders>
              <w:top w:val="single" w:sz="4" w:space="0" w:color="000000"/>
            </w:tcBorders>
          </w:tcPr>
          <w:p>
            <w:pPr>
              <w:pStyle w:val="TableParagraph"/>
              <w:spacing w:before="42"/>
              <w:ind w:left="24" w:right="2"/>
              <w:jc w:val="center"/>
              <w:rPr>
                <w:sz w:val="14"/>
              </w:rPr>
            </w:pPr>
            <w:r>
              <w:rPr>
                <w:spacing w:val="-5"/>
                <w:sz w:val="14"/>
              </w:rPr>
              <w:t>11</w:t>
            </w:r>
          </w:p>
        </w:tc>
        <w:tc>
          <w:tcPr>
            <w:tcW w:w="1128" w:type="dxa"/>
            <w:tcBorders>
              <w:top w:val="single" w:sz="4" w:space="0" w:color="000000"/>
            </w:tcBorders>
          </w:tcPr>
          <w:p>
            <w:pPr>
              <w:pStyle w:val="TableParagraph"/>
              <w:spacing w:before="37"/>
              <w:ind w:left="13"/>
              <w:jc w:val="left"/>
              <w:rPr>
                <w:sz w:val="14"/>
              </w:rPr>
            </w:pPr>
            <w:r>
              <w:rPr>
                <w:sz w:val="14"/>
              </w:rPr>
              <w:t>Pre-trial:</w:t>
            </w:r>
            <w:r>
              <w:rPr>
                <w:spacing w:val="-9"/>
                <w:sz w:val="14"/>
              </w:rPr>
              <w:t> </w:t>
            </w:r>
            <w:r>
              <w:rPr>
                <w:i/>
                <w:sz w:val="14"/>
              </w:rPr>
              <w:t>Banda</w:t>
            </w:r>
            <w:r>
              <w:rPr>
                <w:sz w:val="14"/>
              </w:rPr>
              <w:t>;</w:t>
            </w:r>
            <w:r>
              <w:rPr>
                <w:spacing w:val="-9"/>
                <w:sz w:val="14"/>
              </w:rPr>
              <w:t> </w:t>
            </w:r>
            <w:r>
              <w:rPr>
                <w:i/>
                <w:sz w:val="14"/>
              </w:rPr>
              <w:t>Al</w:t>
            </w:r>
            <w:r>
              <w:rPr>
                <w:i/>
                <w:spacing w:val="40"/>
                <w:sz w:val="14"/>
              </w:rPr>
              <w:t> </w:t>
            </w:r>
            <w:r>
              <w:rPr>
                <w:i/>
                <w:sz w:val="14"/>
              </w:rPr>
              <w:t>Hassan</w:t>
            </w:r>
            <w:r>
              <w:rPr>
                <w:sz w:val="14"/>
              </w:rPr>
              <w:t>;</w:t>
            </w:r>
            <w:r>
              <w:rPr>
                <w:spacing w:val="-9"/>
                <w:sz w:val="14"/>
              </w:rPr>
              <w:t> </w:t>
            </w:r>
            <w:r>
              <w:rPr>
                <w:sz w:val="14"/>
              </w:rPr>
              <w:t>and</w:t>
            </w:r>
            <w:r>
              <w:rPr>
                <w:spacing w:val="40"/>
                <w:sz w:val="14"/>
              </w:rPr>
              <w:t> </w:t>
            </w:r>
            <w:r>
              <w:rPr>
                <w:i/>
                <w:sz w:val="14"/>
              </w:rPr>
              <w:t>Yekatom</w:t>
            </w:r>
            <w:r>
              <w:rPr>
                <w:i/>
                <w:spacing w:val="-9"/>
                <w:sz w:val="14"/>
              </w:rPr>
              <w:t> </w:t>
            </w:r>
            <w:r>
              <w:rPr>
                <w:i/>
                <w:sz w:val="14"/>
              </w:rPr>
              <w:t>and</w:t>
            </w:r>
            <w:r>
              <w:rPr>
                <w:i/>
                <w:spacing w:val="40"/>
                <w:sz w:val="14"/>
              </w:rPr>
              <w:t> </w:t>
            </w:r>
            <w:r>
              <w:rPr>
                <w:i/>
                <w:spacing w:val="-2"/>
                <w:sz w:val="14"/>
              </w:rPr>
              <w:t>Ngaïssona</w:t>
            </w:r>
            <w:r>
              <w:rPr>
                <w:spacing w:val="-2"/>
                <w:sz w:val="14"/>
              </w:rPr>
              <w:t>;</w:t>
            </w:r>
          </w:p>
          <w:p>
            <w:pPr>
              <w:pStyle w:val="TableParagraph"/>
              <w:spacing w:line="237" w:lineRule="auto" w:before="5"/>
              <w:ind w:left="13" w:right="12"/>
              <w:jc w:val="left"/>
              <w:rPr>
                <w:i/>
                <w:sz w:val="14"/>
              </w:rPr>
            </w:pPr>
            <w:r>
              <w:rPr>
                <w:sz w:val="14"/>
              </w:rPr>
              <w:t>Trial:</w:t>
            </w:r>
            <w:r>
              <w:rPr>
                <w:spacing w:val="-9"/>
                <w:sz w:val="14"/>
              </w:rPr>
              <w:t> </w:t>
            </w:r>
            <w:r>
              <w:rPr>
                <w:i/>
                <w:sz w:val="14"/>
              </w:rPr>
              <w:t>Ntaganda</w:t>
            </w:r>
            <w:r>
              <w:rPr>
                <w:sz w:val="14"/>
              </w:rPr>
              <w:t>;</w:t>
            </w:r>
            <w:r>
              <w:rPr>
                <w:spacing w:val="-9"/>
                <w:sz w:val="14"/>
              </w:rPr>
              <w:t> </w:t>
            </w:r>
            <w:r>
              <w:rPr>
                <w:i/>
                <w:sz w:val="14"/>
              </w:rPr>
              <w:t>L.</w:t>
            </w:r>
            <w:r>
              <w:rPr>
                <w:i/>
                <w:spacing w:val="40"/>
                <w:sz w:val="14"/>
              </w:rPr>
              <w:t> </w:t>
            </w:r>
            <w:r>
              <w:rPr>
                <w:i/>
                <w:sz w:val="14"/>
              </w:rPr>
              <w:t>Gbagbo</w:t>
            </w:r>
            <w:r>
              <w:rPr>
                <w:sz w:val="14"/>
              </w:rPr>
              <w:t>;</w:t>
            </w:r>
            <w:r>
              <w:rPr>
                <w:spacing w:val="-9"/>
                <w:sz w:val="14"/>
              </w:rPr>
              <w:t> </w:t>
            </w:r>
            <w:r>
              <w:rPr>
                <w:i/>
                <w:sz w:val="14"/>
              </w:rPr>
              <w:t>Blé</w:t>
            </w:r>
            <w:r>
              <w:rPr>
                <w:i/>
                <w:spacing w:val="40"/>
                <w:sz w:val="14"/>
              </w:rPr>
              <w:t> </w:t>
            </w:r>
            <w:r>
              <w:rPr>
                <w:i/>
                <w:sz w:val="14"/>
              </w:rPr>
              <w:t>Goudé</w:t>
            </w:r>
            <w:r>
              <w:rPr>
                <w:sz w:val="14"/>
              </w:rPr>
              <w:t>;</w:t>
            </w:r>
            <w:r>
              <w:rPr>
                <w:spacing w:val="-9"/>
                <w:sz w:val="14"/>
              </w:rPr>
              <w:t> </w:t>
            </w:r>
            <w:r>
              <w:rPr>
                <w:sz w:val="14"/>
              </w:rPr>
              <w:t>and</w:t>
            </w:r>
            <w:r>
              <w:rPr>
                <w:spacing w:val="40"/>
                <w:sz w:val="14"/>
              </w:rPr>
              <w:t> </w:t>
            </w:r>
            <w:r>
              <w:rPr>
                <w:i/>
                <w:spacing w:val="-2"/>
                <w:sz w:val="14"/>
              </w:rPr>
              <w:t>Ongwen</w:t>
            </w:r>
            <w:r>
              <w:rPr>
                <w:i/>
                <w:spacing w:val="40"/>
                <w:sz w:val="14"/>
              </w:rPr>
              <w:t> </w:t>
            </w:r>
            <w:r>
              <w:rPr>
                <w:spacing w:val="-2"/>
                <w:sz w:val="14"/>
              </w:rPr>
              <w:t>Reparations:</w:t>
            </w:r>
            <w:r>
              <w:rPr>
                <w:spacing w:val="40"/>
                <w:sz w:val="14"/>
              </w:rPr>
              <w:t> </w:t>
            </w:r>
            <w:r>
              <w:rPr>
                <w:i/>
                <w:sz w:val="14"/>
              </w:rPr>
              <w:t>Katanga</w:t>
            </w:r>
            <w:r>
              <w:rPr>
                <w:sz w:val="14"/>
              </w:rPr>
              <w:t>;</w:t>
            </w:r>
            <w:r>
              <w:rPr>
                <w:spacing w:val="-9"/>
                <w:sz w:val="14"/>
              </w:rPr>
              <w:t> </w:t>
            </w:r>
            <w:r>
              <w:rPr>
                <w:i/>
                <w:sz w:val="14"/>
              </w:rPr>
              <w:t>Lubanga</w:t>
            </w:r>
            <w:r>
              <w:rPr>
                <w:sz w:val="14"/>
              </w:rPr>
              <w:t>;</w:t>
            </w:r>
            <w:r>
              <w:rPr>
                <w:spacing w:val="40"/>
                <w:sz w:val="14"/>
              </w:rPr>
              <w:t> </w:t>
            </w:r>
            <w:r>
              <w:rPr>
                <w:sz w:val="14"/>
              </w:rPr>
              <w:t>and </w:t>
            </w:r>
            <w:r>
              <w:rPr>
                <w:i/>
                <w:sz w:val="14"/>
              </w:rPr>
              <w:t>Al Mahdi</w:t>
            </w:r>
          </w:p>
        </w:tc>
        <w:tc>
          <w:tcPr>
            <w:tcW w:w="630" w:type="dxa"/>
            <w:tcBorders>
              <w:top w:val="single" w:sz="4" w:space="0" w:color="000000"/>
            </w:tcBorders>
          </w:tcPr>
          <w:p>
            <w:pPr>
              <w:pStyle w:val="TableParagraph"/>
              <w:spacing w:before="42"/>
              <w:ind w:left="4"/>
              <w:jc w:val="left"/>
              <w:rPr>
                <w:sz w:val="14"/>
              </w:rPr>
            </w:pPr>
            <w:r>
              <w:rPr>
                <w:spacing w:val="-5"/>
                <w:sz w:val="14"/>
              </w:rPr>
              <w:t>11</w:t>
            </w:r>
          </w:p>
        </w:tc>
        <w:tc>
          <w:tcPr>
            <w:tcW w:w="511" w:type="dxa"/>
            <w:tcBorders>
              <w:top w:val="single" w:sz="4" w:space="0" w:color="000000"/>
            </w:tcBorders>
          </w:tcPr>
          <w:p>
            <w:pPr>
              <w:pStyle w:val="TableParagraph"/>
              <w:spacing w:before="42"/>
              <w:ind w:left="43" w:right="19"/>
              <w:jc w:val="center"/>
              <w:rPr>
                <w:sz w:val="14"/>
              </w:rPr>
            </w:pPr>
            <w:r>
              <w:rPr>
                <w:spacing w:val="-5"/>
                <w:sz w:val="14"/>
              </w:rPr>
              <w:t>13</w:t>
            </w:r>
          </w:p>
        </w:tc>
        <w:tc>
          <w:tcPr>
            <w:tcW w:w="968" w:type="dxa"/>
            <w:tcBorders>
              <w:top w:val="single" w:sz="4" w:space="0" w:color="000000"/>
            </w:tcBorders>
          </w:tcPr>
          <w:p>
            <w:pPr>
              <w:pStyle w:val="TableParagraph"/>
              <w:ind w:left="30" w:right="21"/>
              <w:jc w:val="left"/>
              <w:rPr>
                <w:i/>
                <w:sz w:val="14"/>
              </w:rPr>
            </w:pPr>
            <w:r>
              <w:rPr>
                <w:sz w:val="14"/>
              </w:rPr>
              <w:t>Pre-trial:</w:t>
            </w:r>
            <w:r>
              <w:rPr>
                <w:spacing w:val="-9"/>
                <w:sz w:val="14"/>
              </w:rPr>
              <w:t> </w:t>
            </w:r>
            <w:r>
              <w:rPr>
                <w:i/>
                <w:sz w:val="14"/>
              </w:rPr>
              <w:t>Abd-</w:t>
            </w:r>
            <w:r>
              <w:rPr>
                <w:i/>
                <w:spacing w:val="40"/>
                <w:sz w:val="14"/>
              </w:rPr>
              <w:t> </w:t>
            </w:r>
            <w:r>
              <w:rPr>
                <w:i/>
                <w:sz w:val="14"/>
              </w:rPr>
              <w:t>Al-Rahman</w:t>
            </w:r>
            <w:r>
              <w:rPr>
                <w:sz w:val="14"/>
              </w:rPr>
              <w:t>;</w:t>
            </w:r>
            <w:r>
              <w:rPr>
                <w:spacing w:val="-9"/>
                <w:sz w:val="14"/>
              </w:rPr>
              <w:t> </w:t>
            </w:r>
            <w:r>
              <w:rPr>
                <w:sz w:val="14"/>
              </w:rPr>
              <w:t>and</w:t>
            </w:r>
            <w:r>
              <w:rPr>
                <w:spacing w:val="40"/>
                <w:sz w:val="14"/>
              </w:rPr>
              <w:t> </w:t>
            </w:r>
            <w:r>
              <w:rPr>
                <w:i/>
                <w:spacing w:val="-2"/>
                <w:sz w:val="14"/>
              </w:rPr>
              <w:t>Gicheru</w:t>
            </w:r>
          </w:p>
          <w:p>
            <w:pPr>
              <w:pStyle w:val="TableParagraph"/>
              <w:ind w:left="30" w:right="49"/>
              <w:jc w:val="left"/>
              <w:rPr>
                <w:i/>
                <w:sz w:val="14"/>
              </w:rPr>
            </w:pPr>
            <w:r>
              <w:rPr>
                <w:sz w:val="14"/>
              </w:rPr>
              <w:t>Trial:</w:t>
            </w:r>
            <w:r>
              <w:rPr>
                <w:spacing w:val="-9"/>
                <w:sz w:val="14"/>
              </w:rPr>
              <w:t> </w:t>
            </w:r>
            <w:r>
              <w:rPr>
                <w:i/>
                <w:sz w:val="14"/>
              </w:rPr>
              <w:t>Al</w:t>
            </w:r>
            <w:r>
              <w:rPr>
                <w:i/>
                <w:spacing w:val="40"/>
                <w:sz w:val="14"/>
              </w:rPr>
              <w:t> </w:t>
            </w:r>
            <w:r>
              <w:rPr>
                <w:i/>
                <w:sz w:val="14"/>
              </w:rPr>
              <w:t>Hassan</w:t>
            </w:r>
            <w:r>
              <w:rPr>
                <w:sz w:val="14"/>
              </w:rPr>
              <w:t>;</w:t>
            </w:r>
            <w:r>
              <w:rPr>
                <w:spacing w:val="-9"/>
                <w:sz w:val="14"/>
              </w:rPr>
              <w:t> </w:t>
            </w:r>
            <w:r>
              <w:rPr>
                <w:sz w:val="14"/>
              </w:rPr>
              <w:t>and</w:t>
            </w:r>
            <w:r>
              <w:rPr>
                <w:spacing w:val="40"/>
                <w:sz w:val="14"/>
              </w:rPr>
              <w:t> </w:t>
            </w:r>
            <w:r>
              <w:rPr>
                <w:i/>
                <w:sz w:val="14"/>
              </w:rPr>
              <w:t>Yekatom</w:t>
            </w:r>
            <w:r>
              <w:rPr>
                <w:i/>
                <w:spacing w:val="-9"/>
                <w:sz w:val="14"/>
              </w:rPr>
              <w:t> </w:t>
            </w:r>
            <w:r>
              <w:rPr>
                <w:i/>
                <w:sz w:val="14"/>
              </w:rPr>
              <w:t>and</w:t>
            </w:r>
            <w:r>
              <w:rPr>
                <w:i/>
                <w:spacing w:val="40"/>
                <w:sz w:val="14"/>
              </w:rPr>
              <w:t> </w:t>
            </w:r>
            <w:r>
              <w:rPr>
                <w:i/>
                <w:spacing w:val="-2"/>
                <w:sz w:val="14"/>
              </w:rPr>
              <w:t>Ngaïssona</w:t>
            </w:r>
            <w:r>
              <w:rPr>
                <w:i/>
                <w:spacing w:val="40"/>
                <w:sz w:val="14"/>
              </w:rPr>
              <w:t> </w:t>
            </w:r>
            <w:r>
              <w:rPr>
                <w:spacing w:val="-2"/>
                <w:sz w:val="14"/>
              </w:rPr>
              <w:t>Appeals:</w:t>
            </w:r>
            <w:r>
              <w:rPr>
                <w:spacing w:val="40"/>
                <w:sz w:val="14"/>
              </w:rPr>
              <w:t> </w:t>
            </w:r>
            <w:r>
              <w:rPr>
                <w:i/>
                <w:spacing w:val="-2"/>
                <w:sz w:val="14"/>
              </w:rPr>
              <w:t>Ntaganda</w:t>
            </w:r>
            <w:r>
              <w:rPr>
                <w:spacing w:val="-2"/>
                <w:sz w:val="14"/>
              </w:rPr>
              <w:t>;</w:t>
            </w:r>
            <w:r>
              <w:rPr>
                <w:spacing w:val="40"/>
                <w:sz w:val="14"/>
              </w:rPr>
              <w:t> </w:t>
            </w:r>
            <w:r>
              <w:rPr>
                <w:i/>
                <w:spacing w:val="-2"/>
                <w:sz w:val="14"/>
              </w:rPr>
              <w:t>Ongwen</w:t>
            </w:r>
            <w:r>
              <w:rPr>
                <w:spacing w:val="-2"/>
                <w:sz w:val="14"/>
              </w:rPr>
              <w:t>;</w:t>
            </w:r>
            <w:r>
              <w:rPr>
                <w:spacing w:val="40"/>
                <w:sz w:val="14"/>
              </w:rPr>
              <w:t> </w:t>
            </w:r>
            <w:r>
              <w:rPr>
                <w:i/>
                <w:sz w:val="14"/>
              </w:rPr>
              <w:t>Gbagbo</w:t>
            </w:r>
            <w:r>
              <w:rPr>
                <w:sz w:val="14"/>
              </w:rPr>
              <w:t>;</w:t>
            </w:r>
            <w:r>
              <w:rPr>
                <w:spacing w:val="-9"/>
                <w:sz w:val="14"/>
              </w:rPr>
              <w:t> </w:t>
            </w:r>
            <w:r>
              <w:rPr>
                <w:sz w:val="14"/>
              </w:rPr>
              <w:t>and</w:t>
            </w:r>
            <w:r>
              <w:rPr>
                <w:spacing w:val="40"/>
                <w:sz w:val="14"/>
              </w:rPr>
              <w:t> </w:t>
            </w:r>
            <w:r>
              <w:rPr>
                <w:i/>
                <w:sz w:val="14"/>
              </w:rPr>
              <w:t>Blé</w:t>
            </w:r>
            <w:r>
              <w:rPr>
                <w:i/>
                <w:spacing w:val="-9"/>
                <w:sz w:val="14"/>
              </w:rPr>
              <w:t> </w:t>
            </w:r>
            <w:r>
              <w:rPr>
                <w:i/>
                <w:sz w:val="14"/>
              </w:rPr>
              <w:t>Goudé</w:t>
            </w:r>
            <w:r>
              <w:rPr>
                <w:i/>
                <w:spacing w:val="40"/>
                <w:sz w:val="14"/>
              </w:rPr>
              <w:t> </w:t>
            </w:r>
            <w:r>
              <w:rPr>
                <w:sz w:val="14"/>
              </w:rPr>
              <w:t>Trial</w:t>
            </w:r>
            <w:r>
              <w:rPr>
                <w:spacing w:val="-9"/>
                <w:sz w:val="14"/>
              </w:rPr>
              <w:t> </w:t>
            </w:r>
            <w:r>
              <w:rPr>
                <w:sz w:val="14"/>
              </w:rPr>
              <w:t>(reduced):</w:t>
            </w:r>
            <w:r>
              <w:rPr>
                <w:spacing w:val="40"/>
                <w:sz w:val="14"/>
              </w:rPr>
              <w:t> </w:t>
            </w:r>
            <w:r>
              <w:rPr>
                <w:i/>
                <w:spacing w:val="-2"/>
                <w:sz w:val="14"/>
              </w:rPr>
              <w:t>Banda</w:t>
            </w:r>
          </w:p>
        </w:tc>
        <w:tc>
          <w:tcPr>
            <w:tcW w:w="599" w:type="dxa"/>
            <w:tcBorders>
              <w:top w:val="single" w:sz="4" w:space="0" w:color="000000"/>
            </w:tcBorders>
          </w:tcPr>
          <w:p>
            <w:pPr>
              <w:pStyle w:val="TableParagraph"/>
              <w:spacing w:before="42"/>
              <w:ind w:left="6" w:right="10"/>
              <w:jc w:val="center"/>
              <w:rPr>
                <w:sz w:val="14"/>
              </w:rPr>
            </w:pPr>
            <w:r>
              <w:rPr>
                <w:spacing w:val="-5"/>
                <w:sz w:val="14"/>
              </w:rPr>
              <w:t>11</w:t>
            </w:r>
          </w:p>
        </w:tc>
        <w:tc>
          <w:tcPr>
            <w:tcW w:w="475" w:type="dxa"/>
            <w:tcBorders>
              <w:top w:val="single" w:sz="4" w:space="0" w:color="000000"/>
            </w:tcBorders>
          </w:tcPr>
          <w:p>
            <w:pPr>
              <w:pStyle w:val="TableParagraph"/>
              <w:spacing w:before="42"/>
              <w:ind w:left="177"/>
              <w:jc w:val="left"/>
              <w:rPr>
                <w:sz w:val="14"/>
              </w:rPr>
            </w:pPr>
            <w:r>
              <w:rPr>
                <w:spacing w:val="-5"/>
                <w:sz w:val="14"/>
              </w:rPr>
              <w:t>12</w:t>
            </w:r>
          </w:p>
        </w:tc>
        <w:tc>
          <w:tcPr>
            <w:tcW w:w="1031" w:type="dxa"/>
            <w:tcBorders>
              <w:top w:val="single" w:sz="4" w:space="0" w:color="000000"/>
            </w:tcBorders>
          </w:tcPr>
          <w:p>
            <w:pPr>
              <w:pStyle w:val="TableParagraph"/>
              <w:ind w:left="14" w:right="30"/>
              <w:jc w:val="left"/>
              <w:rPr>
                <w:i/>
                <w:sz w:val="14"/>
              </w:rPr>
            </w:pPr>
            <w:r>
              <w:rPr>
                <w:sz w:val="14"/>
              </w:rPr>
              <w:t>Pre-trial:</w:t>
            </w:r>
            <w:r>
              <w:rPr>
                <w:spacing w:val="-9"/>
                <w:sz w:val="14"/>
              </w:rPr>
              <w:t> </w:t>
            </w:r>
            <w:r>
              <w:rPr>
                <w:i/>
                <w:sz w:val="14"/>
              </w:rPr>
              <w:t>Abd-Al-</w:t>
            </w:r>
            <w:r>
              <w:rPr>
                <w:i/>
                <w:spacing w:val="40"/>
                <w:sz w:val="14"/>
              </w:rPr>
              <w:t> </w:t>
            </w:r>
            <w:r>
              <w:rPr>
                <w:i/>
                <w:sz w:val="14"/>
              </w:rPr>
              <w:t>Rahman</w:t>
            </w:r>
            <w:r>
              <w:rPr>
                <w:sz w:val="14"/>
              </w:rPr>
              <w:t>;</w:t>
            </w:r>
            <w:r>
              <w:rPr>
                <w:spacing w:val="-9"/>
                <w:sz w:val="14"/>
              </w:rPr>
              <w:t> </w:t>
            </w:r>
            <w:r>
              <w:rPr>
                <w:i/>
                <w:sz w:val="14"/>
              </w:rPr>
              <w:t>Said</w:t>
            </w:r>
            <w:r>
              <w:rPr>
                <w:sz w:val="14"/>
              </w:rPr>
              <w:t>;</w:t>
            </w:r>
            <w:r>
              <w:rPr>
                <w:spacing w:val="40"/>
                <w:sz w:val="14"/>
              </w:rPr>
              <w:t> </w:t>
            </w:r>
            <w:r>
              <w:rPr>
                <w:i/>
                <w:spacing w:val="-2"/>
                <w:sz w:val="14"/>
              </w:rPr>
              <w:t>Gicheru</w:t>
            </w:r>
          </w:p>
          <w:p>
            <w:pPr>
              <w:pStyle w:val="TableParagraph"/>
              <w:ind w:left="14" w:right="39"/>
              <w:jc w:val="left"/>
              <w:rPr>
                <w:i/>
                <w:sz w:val="14"/>
              </w:rPr>
            </w:pPr>
            <w:r>
              <w:rPr>
                <w:sz w:val="14"/>
              </w:rPr>
              <w:t>Trial</w:t>
            </w:r>
            <w:r>
              <w:rPr>
                <w:i/>
                <w:sz w:val="14"/>
              </w:rPr>
              <w:t>:</w:t>
            </w:r>
            <w:r>
              <w:rPr>
                <w:i/>
                <w:spacing w:val="-9"/>
                <w:sz w:val="14"/>
              </w:rPr>
              <w:t> </w:t>
            </w:r>
            <w:r>
              <w:rPr>
                <w:i/>
                <w:sz w:val="14"/>
              </w:rPr>
              <w:t>Al</w:t>
            </w:r>
            <w:r>
              <w:rPr>
                <w:i/>
                <w:spacing w:val="-9"/>
                <w:sz w:val="14"/>
              </w:rPr>
              <w:t> </w:t>
            </w:r>
            <w:r>
              <w:rPr>
                <w:i/>
                <w:sz w:val="14"/>
              </w:rPr>
              <w:t>Hassan</w:t>
            </w:r>
            <w:r>
              <w:rPr>
                <w:sz w:val="14"/>
              </w:rPr>
              <w:t>;</w:t>
            </w:r>
            <w:r>
              <w:rPr>
                <w:spacing w:val="40"/>
                <w:sz w:val="14"/>
              </w:rPr>
              <w:t> </w:t>
            </w:r>
            <w:r>
              <w:rPr>
                <w:i/>
                <w:spacing w:val="-2"/>
                <w:sz w:val="14"/>
              </w:rPr>
              <w:t>Yekatom</w:t>
            </w:r>
            <w:r>
              <w:rPr>
                <w:spacing w:val="-2"/>
                <w:sz w:val="14"/>
              </w:rPr>
              <w:t>;</w:t>
            </w:r>
            <w:r>
              <w:rPr>
                <w:spacing w:val="40"/>
                <w:sz w:val="14"/>
              </w:rPr>
              <w:t> </w:t>
            </w:r>
            <w:r>
              <w:rPr>
                <w:i/>
                <w:sz w:val="14"/>
              </w:rPr>
              <w:t>Ngaïssona</w:t>
            </w:r>
            <w:r>
              <w:rPr>
                <w:sz w:val="14"/>
              </w:rPr>
              <w:t>;</w:t>
            </w:r>
            <w:r>
              <w:rPr>
                <w:spacing w:val="-9"/>
                <w:sz w:val="14"/>
              </w:rPr>
              <w:t> </w:t>
            </w:r>
            <w:r>
              <w:rPr>
                <w:sz w:val="14"/>
              </w:rPr>
              <w:t>and</w:t>
            </w:r>
            <w:r>
              <w:rPr>
                <w:spacing w:val="40"/>
                <w:sz w:val="14"/>
              </w:rPr>
              <w:t> </w:t>
            </w:r>
            <w:r>
              <w:rPr>
                <w:i/>
                <w:sz w:val="14"/>
              </w:rPr>
              <w:t>Banda</w:t>
            </w:r>
            <w:r>
              <w:rPr>
                <w:i/>
                <w:spacing w:val="-4"/>
                <w:sz w:val="14"/>
              </w:rPr>
              <w:t> </w:t>
            </w:r>
            <w:r>
              <w:rPr>
                <w:sz w:val="14"/>
              </w:rPr>
              <w:t>(reduced)</w:t>
            </w:r>
            <w:r>
              <w:rPr>
                <w:spacing w:val="40"/>
                <w:sz w:val="14"/>
              </w:rPr>
              <w:t> </w:t>
            </w:r>
            <w:r>
              <w:rPr>
                <w:spacing w:val="-2"/>
                <w:sz w:val="14"/>
              </w:rPr>
              <w:t>Appeals</w:t>
            </w:r>
            <w:r>
              <w:rPr>
                <w:i/>
                <w:spacing w:val="-2"/>
                <w:sz w:val="14"/>
              </w:rPr>
              <w:t>:</w:t>
            </w:r>
            <w:r>
              <w:rPr>
                <w:i/>
                <w:spacing w:val="40"/>
                <w:sz w:val="14"/>
              </w:rPr>
              <w:t> </w:t>
            </w:r>
            <w:r>
              <w:rPr>
                <w:i/>
                <w:spacing w:val="-2"/>
                <w:sz w:val="14"/>
              </w:rPr>
              <w:t>Ntaganda</w:t>
            </w:r>
            <w:r>
              <w:rPr>
                <w:spacing w:val="-2"/>
                <w:sz w:val="14"/>
              </w:rPr>
              <w:t>;</w:t>
            </w:r>
            <w:r>
              <w:rPr>
                <w:spacing w:val="40"/>
                <w:sz w:val="14"/>
              </w:rPr>
              <w:t> </w:t>
            </w:r>
            <w:r>
              <w:rPr>
                <w:i/>
                <w:spacing w:val="-2"/>
                <w:sz w:val="14"/>
              </w:rPr>
              <w:t>Ongwen</w:t>
            </w:r>
            <w:r>
              <w:rPr>
                <w:spacing w:val="-2"/>
                <w:sz w:val="14"/>
              </w:rPr>
              <w:t>;</w:t>
            </w:r>
            <w:r>
              <w:rPr>
                <w:spacing w:val="40"/>
                <w:sz w:val="14"/>
              </w:rPr>
              <w:t> </w:t>
            </w:r>
            <w:r>
              <w:rPr>
                <w:i/>
                <w:sz w:val="14"/>
              </w:rPr>
              <w:t>Gbagbo</w:t>
            </w:r>
            <w:r>
              <w:rPr>
                <w:sz w:val="14"/>
              </w:rPr>
              <w:t>;</w:t>
            </w:r>
            <w:r>
              <w:rPr>
                <w:spacing w:val="-7"/>
                <w:sz w:val="14"/>
              </w:rPr>
              <w:t> </w:t>
            </w:r>
            <w:r>
              <w:rPr>
                <w:sz w:val="14"/>
              </w:rPr>
              <w:t>and</w:t>
            </w:r>
            <w:r>
              <w:rPr>
                <w:spacing w:val="-5"/>
                <w:sz w:val="14"/>
              </w:rPr>
              <w:t> </w:t>
            </w:r>
            <w:r>
              <w:rPr>
                <w:i/>
                <w:sz w:val="14"/>
              </w:rPr>
              <w:t>Blé</w:t>
            </w:r>
            <w:r>
              <w:rPr>
                <w:i/>
                <w:spacing w:val="40"/>
                <w:sz w:val="14"/>
              </w:rPr>
              <w:t> </w:t>
            </w:r>
            <w:r>
              <w:rPr>
                <w:i/>
                <w:spacing w:val="-2"/>
                <w:sz w:val="14"/>
              </w:rPr>
              <w:t>Goudé</w:t>
            </w:r>
          </w:p>
          <w:p>
            <w:pPr>
              <w:pStyle w:val="TableParagraph"/>
              <w:spacing w:line="158" w:lineRule="exact" w:before="28"/>
              <w:ind w:left="14" w:right="69"/>
              <w:jc w:val="left"/>
              <w:rPr>
                <w:sz w:val="14"/>
              </w:rPr>
            </w:pPr>
            <w:r>
              <w:rPr>
                <w:sz w:val="14"/>
              </w:rPr>
              <w:t>Reparations:</w:t>
            </w:r>
            <w:r>
              <w:rPr>
                <w:spacing w:val="-8"/>
                <w:sz w:val="14"/>
              </w:rPr>
              <w:t> </w:t>
            </w:r>
            <w:r>
              <w:rPr>
                <w:i/>
                <w:sz w:val="14"/>
              </w:rPr>
              <w:t>Al</w:t>
            </w:r>
            <w:r>
              <w:rPr>
                <w:i/>
                <w:spacing w:val="40"/>
                <w:sz w:val="14"/>
              </w:rPr>
              <w:t> </w:t>
            </w:r>
            <w:r>
              <w:rPr>
                <w:i/>
                <w:sz w:val="14"/>
              </w:rPr>
              <w:t>Mahdi</w:t>
            </w:r>
            <w:r>
              <w:rPr>
                <w:i/>
                <w:spacing w:val="-9"/>
                <w:sz w:val="14"/>
              </w:rPr>
              <w:t> </w:t>
            </w:r>
            <w:r>
              <w:rPr>
                <w:sz w:val="14"/>
              </w:rPr>
              <w:t>(reduced)</w:t>
            </w:r>
          </w:p>
        </w:tc>
        <w:tc>
          <w:tcPr>
            <w:tcW w:w="596" w:type="dxa"/>
            <w:tcBorders>
              <w:top w:val="single" w:sz="4" w:space="0" w:color="000000"/>
            </w:tcBorders>
          </w:tcPr>
          <w:p>
            <w:pPr>
              <w:pStyle w:val="TableParagraph"/>
              <w:spacing w:before="42"/>
              <w:ind w:left="16" w:right="4"/>
              <w:jc w:val="center"/>
              <w:rPr>
                <w:sz w:val="14"/>
              </w:rPr>
            </w:pPr>
            <w:r>
              <w:rPr>
                <w:spacing w:val="-5"/>
                <w:sz w:val="14"/>
              </w:rPr>
              <w:t>11</w:t>
            </w:r>
          </w:p>
        </w:tc>
        <w:tc>
          <w:tcPr>
            <w:tcW w:w="1217" w:type="dxa"/>
            <w:tcBorders>
              <w:top w:val="single" w:sz="4" w:space="0" w:color="000000"/>
            </w:tcBorders>
          </w:tcPr>
          <w:p>
            <w:pPr>
              <w:pStyle w:val="TableParagraph"/>
              <w:spacing w:line="160" w:lineRule="exact" w:before="37"/>
              <w:ind w:left="20"/>
              <w:jc w:val="left"/>
              <w:rPr>
                <w:i/>
                <w:sz w:val="14"/>
              </w:rPr>
            </w:pPr>
            <w:r>
              <w:rPr>
                <w:sz w:val="14"/>
              </w:rPr>
              <w:t>Pre-trial:</w:t>
            </w:r>
            <w:r>
              <w:rPr>
                <w:spacing w:val="-5"/>
                <w:sz w:val="14"/>
              </w:rPr>
              <w:t> </w:t>
            </w:r>
            <w:r>
              <w:rPr>
                <w:i/>
                <w:spacing w:val="-2"/>
                <w:sz w:val="14"/>
              </w:rPr>
              <w:t>Gaddafi</w:t>
            </w:r>
          </w:p>
          <w:p>
            <w:pPr>
              <w:pStyle w:val="TableParagraph"/>
              <w:spacing w:line="160" w:lineRule="exact"/>
              <w:ind w:left="20"/>
              <w:jc w:val="left"/>
              <w:rPr>
                <w:i/>
                <w:sz w:val="14"/>
              </w:rPr>
            </w:pPr>
            <w:r>
              <w:rPr>
                <w:sz w:val="14"/>
              </w:rPr>
              <w:t>(reduced);</w:t>
            </w:r>
            <w:r>
              <w:rPr>
                <w:spacing w:val="-6"/>
                <w:sz w:val="14"/>
              </w:rPr>
              <w:t> </w:t>
            </w:r>
            <w:r>
              <w:rPr>
                <w:sz w:val="14"/>
              </w:rPr>
              <w:t>and</w:t>
            </w:r>
            <w:r>
              <w:rPr>
                <w:spacing w:val="-1"/>
                <w:sz w:val="14"/>
              </w:rPr>
              <w:t> </w:t>
            </w:r>
            <w:r>
              <w:rPr>
                <w:i/>
                <w:spacing w:val="-4"/>
                <w:sz w:val="14"/>
              </w:rPr>
              <w:t>Said</w:t>
            </w:r>
          </w:p>
          <w:p>
            <w:pPr>
              <w:pStyle w:val="TableParagraph"/>
              <w:spacing w:before="45"/>
              <w:ind w:left="20" w:right="16"/>
              <w:jc w:val="left"/>
              <w:rPr>
                <w:sz w:val="14"/>
              </w:rPr>
            </w:pPr>
            <w:r>
              <w:rPr>
                <w:sz w:val="14"/>
              </w:rPr>
              <w:t>Trial: </w:t>
            </w:r>
            <w:r>
              <w:rPr>
                <w:i/>
                <w:sz w:val="14"/>
              </w:rPr>
              <w:t>Al Hassan</w:t>
            </w:r>
            <w:r>
              <w:rPr>
                <w:sz w:val="14"/>
              </w:rPr>
              <w:t>;</w:t>
            </w:r>
            <w:r>
              <w:rPr>
                <w:spacing w:val="40"/>
                <w:sz w:val="14"/>
              </w:rPr>
              <w:t> </w:t>
            </w:r>
            <w:r>
              <w:rPr>
                <w:i/>
                <w:spacing w:val="-2"/>
                <w:sz w:val="14"/>
              </w:rPr>
              <w:t>Yekatom</w:t>
            </w:r>
            <w:r>
              <w:rPr>
                <w:spacing w:val="-2"/>
                <w:sz w:val="14"/>
              </w:rPr>
              <w:t>;</w:t>
            </w:r>
            <w:r>
              <w:rPr>
                <w:spacing w:val="80"/>
                <w:sz w:val="14"/>
              </w:rPr>
              <w:t> </w:t>
            </w:r>
            <w:r>
              <w:rPr>
                <w:i/>
                <w:sz w:val="14"/>
              </w:rPr>
              <w:t>Ngaïssona</w:t>
            </w:r>
            <w:r>
              <w:rPr>
                <w:sz w:val="14"/>
              </w:rPr>
              <w:t>;</w:t>
            </w:r>
            <w:r>
              <w:rPr>
                <w:spacing w:val="-9"/>
                <w:sz w:val="14"/>
              </w:rPr>
              <w:t> </w:t>
            </w:r>
            <w:r>
              <w:rPr>
                <w:i/>
                <w:sz w:val="14"/>
              </w:rPr>
              <w:t>Abd-Al-</w:t>
            </w:r>
            <w:r>
              <w:rPr>
                <w:i/>
                <w:spacing w:val="40"/>
                <w:sz w:val="14"/>
              </w:rPr>
              <w:t> </w:t>
            </w:r>
            <w:r>
              <w:rPr>
                <w:i/>
                <w:sz w:val="14"/>
              </w:rPr>
              <w:t>Rahman;</w:t>
            </w:r>
            <w:r>
              <w:rPr>
                <w:i/>
                <w:spacing w:val="-6"/>
                <w:sz w:val="14"/>
              </w:rPr>
              <w:t> </w:t>
            </w:r>
            <w:r>
              <w:rPr>
                <w:i/>
                <w:sz w:val="14"/>
              </w:rPr>
              <w:t>Gicheru</w:t>
            </w:r>
            <w:r>
              <w:rPr>
                <w:sz w:val="14"/>
              </w:rPr>
              <w:t>;</w:t>
            </w:r>
            <w:r>
              <w:rPr>
                <w:spacing w:val="40"/>
                <w:sz w:val="14"/>
              </w:rPr>
              <w:t> </w:t>
            </w:r>
            <w:r>
              <w:rPr>
                <w:sz w:val="14"/>
              </w:rPr>
              <w:t>and</w:t>
            </w:r>
            <w:r>
              <w:rPr>
                <w:spacing w:val="-9"/>
                <w:sz w:val="14"/>
              </w:rPr>
              <w:t> </w:t>
            </w:r>
            <w:r>
              <w:rPr>
                <w:i/>
                <w:sz w:val="14"/>
              </w:rPr>
              <w:t>Banda</w:t>
            </w:r>
            <w:r>
              <w:rPr>
                <w:i/>
                <w:spacing w:val="-9"/>
                <w:sz w:val="14"/>
              </w:rPr>
              <w:t> </w:t>
            </w:r>
            <w:r>
              <w:rPr>
                <w:sz w:val="14"/>
              </w:rPr>
              <w:t>(reduced)</w:t>
            </w:r>
          </w:p>
          <w:p>
            <w:pPr>
              <w:pStyle w:val="TableParagraph"/>
              <w:spacing w:before="40"/>
              <w:ind w:left="20"/>
              <w:jc w:val="left"/>
              <w:rPr>
                <w:i/>
                <w:sz w:val="14"/>
              </w:rPr>
            </w:pPr>
            <w:r>
              <w:rPr>
                <w:sz w:val="14"/>
              </w:rPr>
              <w:t>Appeals:</w:t>
            </w:r>
            <w:r>
              <w:rPr>
                <w:spacing w:val="-4"/>
                <w:sz w:val="14"/>
              </w:rPr>
              <w:t> </w:t>
            </w:r>
            <w:r>
              <w:rPr>
                <w:i/>
                <w:spacing w:val="-2"/>
                <w:sz w:val="14"/>
              </w:rPr>
              <w:t>Ongwen</w:t>
            </w:r>
          </w:p>
          <w:p>
            <w:pPr>
              <w:pStyle w:val="TableParagraph"/>
              <w:spacing w:before="41"/>
              <w:ind w:left="20"/>
              <w:jc w:val="left"/>
              <w:rPr>
                <w:sz w:val="14"/>
              </w:rPr>
            </w:pPr>
            <w:r>
              <w:rPr>
                <w:spacing w:val="-2"/>
                <w:sz w:val="14"/>
              </w:rPr>
              <w:t>Reparations:</w:t>
            </w:r>
          </w:p>
          <w:p>
            <w:pPr>
              <w:pStyle w:val="TableParagraph"/>
              <w:spacing w:line="235" w:lineRule="auto" w:before="44"/>
              <w:ind w:left="20"/>
              <w:jc w:val="left"/>
              <w:rPr>
                <w:sz w:val="14"/>
              </w:rPr>
            </w:pPr>
            <w:r>
              <w:rPr>
                <w:i/>
                <w:sz w:val="14"/>
              </w:rPr>
              <w:t>Ntaganda</w:t>
            </w:r>
            <w:r>
              <w:rPr>
                <w:sz w:val="14"/>
              </w:rPr>
              <w:t>;</w:t>
            </w:r>
            <w:r>
              <w:rPr>
                <w:spacing w:val="-9"/>
                <w:sz w:val="14"/>
              </w:rPr>
              <w:t> </w:t>
            </w:r>
            <w:r>
              <w:rPr>
                <w:sz w:val="14"/>
              </w:rPr>
              <w:t>and</w:t>
            </w:r>
            <w:r>
              <w:rPr>
                <w:spacing w:val="-9"/>
                <w:sz w:val="14"/>
              </w:rPr>
              <w:t> </w:t>
            </w:r>
            <w:r>
              <w:rPr>
                <w:i/>
                <w:sz w:val="14"/>
              </w:rPr>
              <w:t>Al</w:t>
            </w:r>
            <w:r>
              <w:rPr>
                <w:i/>
                <w:spacing w:val="40"/>
                <w:sz w:val="14"/>
              </w:rPr>
              <w:t> </w:t>
            </w:r>
            <w:r>
              <w:rPr>
                <w:i/>
                <w:sz w:val="14"/>
              </w:rPr>
              <w:t>Mahdi</w:t>
            </w:r>
            <w:r>
              <w:rPr>
                <w:i/>
                <w:spacing w:val="-8"/>
                <w:sz w:val="14"/>
              </w:rPr>
              <w:t> </w:t>
            </w:r>
            <w:r>
              <w:rPr>
                <w:sz w:val="14"/>
              </w:rPr>
              <w:t>(reduced)</w:t>
            </w:r>
          </w:p>
        </w:tc>
        <w:tc>
          <w:tcPr>
            <w:tcW w:w="580" w:type="dxa"/>
            <w:tcBorders>
              <w:top w:val="single" w:sz="4" w:space="0" w:color="000000"/>
            </w:tcBorders>
          </w:tcPr>
          <w:p>
            <w:pPr>
              <w:pStyle w:val="TableParagraph"/>
              <w:spacing w:before="42"/>
              <w:ind w:left="19" w:right="7"/>
              <w:jc w:val="center"/>
              <w:rPr>
                <w:sz w:val="14"/>
              </w:rPr>
            </w:pPr>
            <w:r>
              <w:rPr>
                <w:spacing w:val="-5"/>
                <w:sz w:val="14"/>
              </w:rPr>
              <w:t>11</w:t>
            </w:r>
          </w:p>
        </w:tc>
        <w:tc>
          <w:tcPr>
            <w:tcW w:w="1015" w:type="dxa"/>
            <w:tcBorders>
              <w:top w:val="single" w:sz="4" w:space="0" w:color="000000"/>
            </w:tcBorders>
          </w:tcPr>
          <w:p>
            <w:pPr>
              <w:pStyle w:val="TableParagraph"/>
              <w:ind w:left="24" w:right="81"/>
              <w:jc w:val="left"/>
              <w:rPr>
                <w:i/>
                <w:sz w:val="14"/>
              </w:rPr>
            </w:pPr>
            <w:r>
              <w:rPr>
                <w:sz w:val="14"/>
              </w:rPr>
              <w:t>Pre-trial:</w:t>
            </w:r>
            <w:r>
              <w:rPr>
                <w:spacing w:val="-9"/>
                <w:sz w:val="14"/>
              </w:rPr>
              <w:t> </w:t>
            </w:r>
            <w:r>
              <w:rPr>
                <w:i/>
                <w:sz w:val="14"/>
              </w:rPr>
              <w:t>Banda</w:t>
            </w:r>
            <w:r>
              <w:rPr>
                <w:i/>
                <w:spacing w:val="40"/>
                <w:sz w:val="14"/>
              </w:rPr>
              <w:t> </w:t>
            </w:r>
            <w:r>
              <w:rPr>
                <w:spacing w:val="-2"/>
                <w:sz w:val="14"/>
              </w:rPr>
              <w:t>(reduced);</w:t>
            </w:r>
            <w:r>
              <w:rPr>
                <w:spacing w:val="40"/>
                <w:sz w:val="14"/>
              </w:rPr>
              <w:t> </w:t>
            </w:r>
            <w:r>
              <w:rPr>
                <w:i/>
                <w:spacing w:val="-2"/>
                <w:sz w:val="14"/>
              </w:rPr>
              <w:t>Mokom</w:t>
            </w:r>
          </w:p>
          <w:p>
            <w:pPr>
              <w:pStyle w:val="TableParagraph"/>
              <w:ind w:left="24" w:right="10"/>
              <w:jc w:val="left"/>
              <w:rPr>
                <w:i/>
                <w:sz w:val="14"/>
              </w:rPr>
            </w:pPr>
            <w:r>
              <w:rPr>
                <w:sz w:val="14"/>
              </w:rPr>
              <w:t>Trial:</w:t>
            </w:r>
            <w:r>
              <w:rPr>
                <w:spacing w:val="-9"/>
                <w:sz w:val="14"/>
              </w:rPr>
              <w:t> </w:t>
            </w:r>
            <w:r>
              <w:rPr>
                <w:i/>
                <w:sz w:val="14"/>
              </w:rPr>
              <w:t>Al</w:t>
            </w:r>
            <w:r>
              <w:rPr>
                <w:i/>
                <w:spacing w:val="-9"/>
                <w:sz w:val="14"/>
              </w:rPr>
              <w:t> </w:t>
            </w:r>
            <w:r>
              <w:rPr>
                <w:i/>
                <w:sz w:val="14"/>
              </w:rPr>
              <w:t>Hassan</w:t>
            </w:r>
            <w:r>
              <w:rPr>
                <w:sz w:val="14"/>
              </w:rPr>
              <w:t>;</w:t>
            </w:r>
            <w:r>
              <w:rPr>
                <w:spacing w:val="40"/>
                <w:sz w:val="14"/>
              </w:rPr>
              <w:t> </w:t>
            </w:r>
            <w:r>
              <w:rPr>
                <w:i/>
                <w:spacing w:val="-2"/>
                <w:sz w:val="14"/>
              </w:rPr>
              <w:t>Yekatom</w:t>
            </w:r>
            <w:r>
              <w:rPr>
                <w:spacing w:val="-2"/>
                <w:sz w:val="14"/>
              </w:rPr>
              <w:t>;</w:t>
            </w:r>
            <w:r>
              <w:rPr>
                <w:spacing w:val="40"/>
                <w:sz w:val="14"/>
              </w:rPr>
              <w:t> </w:t>
            </w:r>
            <w:r>
              <w:rPr>
                <w:i/>
                <w:spacing w:val="-2"/>
                <w:sz w:val="14"/>
              </w:rPr>
              <w:t>Ngaïssona</w:t>
            </w:r>
            <w:r>
              <w:rPr>
                <w:spacing w:val="-2"/>
                <w:sz w:val="14"/>
              </w:rPr>
              <w:t>;</w:t>
            </w:r>
            <w:r>
              <w:rPr>
                <w:spacing w:val="40"/>
                <w:sz w:val="14"/>
              </w:rPr>
              <w:t> </w:t>
            </w:r>
            <w:r>
              <w:rPr>
                <w:i/>
                <w:sz w:val="14"/>
              </w:rPr>
              <w:t>Gicheru</w:t>
            </w:r>
            <w:r>
              <w:rPr>
                <w:sz w:val="14"/>
              </w:rPr>
              <w:t>;</w:t>
            </w:r>
            <w:r>
              <w:rPr>
                <w:spacing w:val="-9"/>
                <w:sz w:val="14"/>
              </w:rPr>
              <w:t> </w:t>
            </w:r>
            <w:r>
              <w:rPr>
                <w:i/>
                <w:sz w:val="14"/>
              </w:rPr>
              <w:t>Abd-Al-</w:t>
            </w:r>
            <w:r>
              <w:rPr>
                <w:i/>
                <w:spacing w:val="40"/>
                <w:sz w:val="14"/>
              </w:rPr>
              <w:t> </w:t>
            </w:r>
            <w:r>
              <w:rPr>
                <w:i/>
                <w:sz w:val="14"/>
              </w:rPr>
              <w:t>Rahman</w:t>
            </w:r>
            <w:r>
              <w:rPr>
                <w:sz w:val="14"/>
              </w:rPr>
              <w:t>;</w:t>
            </w:r>
            <w:r>
              <w:rPr>
                <w:spacing w:val="-9"/>
                <w:sz w:val="14"/>
              </w:rPr>
              <w:t> </w:t>
            </w:r>
            <w:r>
              <w:rPr>
                <w:sz w:val="14"/>
              </w:rPr>
              <w:t>and</w:t>
            </w:r>
            <w:r>
              <w:rPr>
                <w:spacing w:val="40"/>
                <w:sz w:val="14"/>
              </w:rPr>
              <w:t> </w:t>
            </w:r>
            <w:r>
              <w:rPr>
                <w:i/>
                <w:spacing w:val="-4"/>
                <w:sz w:val="14"/>
              </w:rPr>
              <w:t>Said</w:t>
            </w:r>
          </w:p>
          <w:p>
            <w:pPr>
              <w:pStyle w:val="TableParagraph"/>
              <w:spacing w:line="160" w:lineRule="exact"/>
              <w:ind w:left="24"/>
              <w:jc w:val="left"/>
              <w:rPr>
                <w:sz w:val="14"/>
              </w:rPr>
            </w:pPr>
            <w:r>
              <w:rPr>
                <w:spacing w:val="-2"/>
                <w:sz w:val="14"/>
              </w:rPr>
              <w:t>Appeals:</w:t>
            </w:r>
          </w:p>
          <w:p>
            <w:pPr>
              <w:pStyle w:val="TableParagraph"/>
              <w:spacing w:before="2"/>
              <w:ind w:left="24"/>
              <w:jc w:val="left"/>
              <w:rPr>
                <w:i/>
                <w:sz w:val="14"/>
              </w:rPr>
            </w:pPr>
            <w:r>
              <w:rPr>
                <w:i/>
                <w:spacing w:val="-2"/>
                <w:sz w:val="14"/>
              </w:rPr>
              <w:t>Ongwen</w:t>
            </w:r>
          </w:p>
          <w:p>
            <w:pPr>
              <w:pStyle w:val="TableParagraph"/>
              <w:spacing w:before="36"/>
              <w:ind w:left="24" w:right="-15"/>
              <w:jc w:val="left"/>
              <w:rPr>
                <w:sz w:val="14"/>
              </w:rPr>
            </w:pPr>
            <w:r>
              <w:rPr>
                <w:spacing w:val="-2"/>
                <w:sz w:val="14"/>
              </w:rPr>
              <w:t>Reparations:</w:t>
            </w:r>
          </w:p>
          <w:p>
            <w:pPr>
              <w:pStyle w:val="TableParagraph"/>
              <w:spacing w:line="158" w:lineRule="exact"/>
              <w:ind w:left="24" w:right="-15"/>
              <w:jc w:val="left"/>
              <w:rPr>
                <w:i/>
                <w:sz w:val="14"/>
              </w:rPr>
            </w:pPr>
            <w:r>
              <w:rPr>
                <w:i/>
                <w:sz w:val="14"/>
              </w:rPr>
              <w:t>Ntaganda</w:t>
            </w:r>
            <w:r>
              <w:rPr>
                <w:sz w:val="14"/>
              </w:rPr>
              <w:t>;</w:t>
            </w:r>
            <w:r>
              <w:rPr>
                <w:spacing w:val="-9"/>
                <w:sz w:val="14"/>
              </w:rPr>
              <w:t> </w:t>
            </w:r>
            <w:r>
              <w:rPr>
                <w:sz w:val="14"/>
              </w:rPr>
              <w:t>and</w:t>
            </w:r>
            <w:r>
              <w:rPr>
                <w:spacing w:val="-9"/>
                <w:sz w:val="14"/>
              </w:rPr>
              <w:t> </w:t>
            </w:r>
            <w:r>
              <w:rPr>
                <w:i/>
                <w:sz w:val="14"/>
              </w:rPr>
              <w:t>Al</w:t>
            </w:r>
            <w:r>
              <w:rPr>
                <w:i/>
                <w:spacing w:val="40"/>
                <w:sz w:val="14"/>
              </w:rPr>
              <w:t> </w:t>
            </w:r>
            <w:r>
              <w:rPr>
                <w:i/>
                <w:spacing w:val="-2"/>
                <w:sz w:val="14"/>
              </w:rPr>
              <w:t>Mahdi</w:t>
            </w:r>
          </w:p>
        </w:tc>
      </w:tr>
      <w:tr>
        <w:trPr>
          <w:trHeight w:val="838" w:hRule="atLeast"/>
        </w:trPr>
        <w:tc>
          <w:tcPr>
            <w:tcW w:w="226" w:type="dxa"/>
            <w:tcBorders>
              <w:bottom w:val="single" w:sz="4" w:space="0" w:color="000000"/>
            </w:tcBorders>
          </w:tcPr>
          <w:p>
            <w:pPr>
              <w:pStyle w:val="TableParagraph"/>
              <w:jc w:val="left"/>
              <w:rPr>
                <w:sz w:val="14"/>
              </w:rPr>
            </w:pPr>
          </w:p>
        </w:tc>
        <w:tc>
          <w:tcPr>
            <w:tcW w:w="749" w:type="dxa"/>
            <w:tcBorders>
              <w:bottom w:val="single" w:sz="4" w:space="0" w:color="000000"/>
            </w:tcBorders>
          </w:tcPr>
          <w:p>
            <w:pPr>
              <w:pStyle w:val="TableParagraph"/>
              <w:jc w:val="left"/>
              <w:rPr>
                <w:sz w:val="14"/>
              </w:rPr>
            </w:pPr>
          </w:p>
        </w:tc>
        <w:tc>
          <w:tcPr>
            <w:tcW w:w="601" w:type="dxa"/>
            <w:tcBorders>
              <w:bottom w:val="single" w:sz="4" w:space="0" w:color="000000"/>
            </w:tcBorders>
          </w:tcPr>
          <w:p>
            <w:pPr>
              <w:pStyle w:val="TableParagraph"/>
              <w:jc w:val="left"/>
              <w:rPr>
                <w:sz w:val="14"/>
              </w:rPr>
            </w:pPr>
          </w:p>
        </w:tc>
        <w:tc>
          <w:tcPr>
            <w:tcW w:w="466" w:type="dxa"/>
            <w:tcBorders>
              <w:bottom w:val="single" w:sz="4" w:space="0" w:color="000000"/>
            </w:tcBorders>
          </w:tcPr>
          <w:p>
            <w:pPr>
              <w:pStyle w:val="TableParagraph"/>
              <w:jc w:val="left"/>
              <w:rPr>
                <w:sz w:val="14"/>
              </w:rPr>
            </w:pPr>
          </w:p>
        </w:tc>
        <w:tc>
          <w:tcPr>
            <w:tcW w:w="1128" w:type="dxa"/>
            <w:tcBorders>
              <w:bottom w:val="single" w:sz="4" w:space="0" w:color="000000"/>
            </w:tcBorders>
          </w:tcPr>
          <w:p>
            <w:pPr>
              <w:pStyle w:val="TableParagraph"/>
              <w:jc w:val="left"/>
              <w:rPr>
                <w:sz w:val="14"/>
              </w:rPr>
            </w:pPr>
          </w:p>
        </w:tc>
        <w:tc>
          <w:tcPr>
            <w:tcW w:w="630" w:type="dxa"/>
            <w:tcBorders>
              <w:bottom w:val="single" w:sz="4" w:space="0" w:color="000000"/>
            </w:tcBorders>
          </w:tcPr>
          <w:p>
            <w:pPr>
              <w:pStyle w:val="TableParagraph"/>
              <w:jc w:val="left"/>
              <w:rPr>
                <w:sz w:val="14"/>
              </w:rPr>
            </w:pPr>
          </w:p>
        </w:tc>
        <w:tc>
          <w:tcPr>
            <w:tcW w:w="511" w:type="dxa"/>
            <w:tcBorders>
              <w:bottom w:val="single" w:sz="4" w:space="0" w:color="000000"/>
            </w:tcBorders>
          </w:tcPr>
          <w:p>
            <w:pPr>
              <w:pStyle w:val="TableParagraph"/>
              <w:jc w:val="left"/>
              <w:rPr>
                <w:sz w:val="14"/>
              </w:rPr>
            </w:pPr>
          </w:p>
        </w:tc>
        <w:tc>
          <w:tcPr>
            <w:tcW w:w="968" w:type="dxa"/>
            <w:tcBorders>
              <w:bottom w:val="single" w:sz="4" w:space="0" w:color="000000"/>
            </w:tcBorders>
          </w:tcPr>
          <w:p>
            <w:pPr>
              <w:pStyle w:val="TableParagraph"/>
              <w:ind w:left="30" w:right="168"/>
              <w:jc w:val="left"/>
              <w:rPr>
                <w:i/>
                <w:sz w:val="14"/>
              </w:rPr>
            </w:pPr>
            <w:r>
              <w:rPr>
                <w:spacing w:val="-2"/>
                <w:sz w:val="14"/>
              </w:rPr>
              <w:t>Reparations</w:t>
            </w:r>
            <w:r>
              <w:rPr>
                <w:spacing w:val="40"/>
                <w:sz w:val="14"/>
              </w:rPr>
              <w:t> </w:t>
            </w:r>
            <w:r>
              <w:rPr>
                <w:sz w:val="14"/>
              </w:rPr>
              <w:t>(reduced):</w:t>
            </w:r>
            <w:r>
              <w:rPr>
                <w:spacing w:val="-9"/>
                <w:sz w:val="14"/>
              </w:rPr>
              <w:t> </w:t>
            </w:r>
            <w:r>
              <w:rPr>
                <w:i/>
                <w:sz w:val="14"/>
              </w:rPr>
              <w:t>Al</w:t>
            </w:r>
            <w:r>
              <w:rPr>
                <w:i/>
                <w:spacing w:val="40"/>
                <w:sz w:val="14"/>
              </w:rPr>
              <w:t> </w:t>
            </w:r>
            <w:r>
              <w:rPr>
                <w:i/>
                <w:spacing w:val="-2"/>
                <w:sz w:val="14"/>
              </w:rPr>
              <w:t>Mahdi</w:t>
            </w:r>
            <w:r>
              <w:rPr>
                <w:spacing w:val="-2"/>
                <w:sz w:val="14"/>
              </w:rPr>
              <w:t>;</w:t>
            </w:r>
            <w:r>
              <w:rPr>
                <w:spacing w:val="40"/>
                <w:sz w:val="14"/>
              </w:rPr>
              <w:t> </w:t>
            </w:r>
            <w:r>
              <w:rPr>
                <w:i/>
                <w:sz w:val="14"/>
              </w:rPr>
              <w:t>Katanga</w:t>
            </w:r>
            <w:r>
              <w:rPr>
                <w:sz w:val="14"/>
              </w:rPr>
              <w:t>;</w:t>
            </w:r>
            <w:r>
              <w:rPr>
                <w:spacing w:val="-9"/>
                <w:sz w:val="14"/>
              </w:rPr>
              <w:t> </w:t>
            </w:r>
            <w:r>
              <w:rPr>
                <w:sz w:val="14"/>
              </w:rPr>
              <w:t>and</w:t>
            </w:r>
            <w:r>
              <w:rPr>
                <w:spacing w:val="40"/>
                <w:sz w:val="14"/>
              </w:rPr>
              <w:t> </w:t>
            </w:r>
            <w:r>
              <w:rPr>
                <w:i/>
                <w:spacing w:val="-2"/>
                <w:sz w:val="14"/>
              </w:rPr>
              <w:t>Lubanga</w:t>
            </w:r>
          </w:p>
        </w:tc>
        <w:tc>
          <w:tcPr>
            <w:tcW w:w="599" w:type="dxa"/>
            <w:tcBorders>
              <w:bottom w:val="single" w:sz="4" w:space="0" w:color="000000"/>
            </w:tcBorders>
          </w:tcPr>
          <w:p>
            <w:pPr>
              <w:pStyle w:val="TableParagraph"/>
              <w:jc w:val="left"/>
              <w:rPr>
                <w:sz w:val="14"/>
              </w:rPr>
            </w:pPr>
          </w:p>
        </w:tc>
        <w:tc>
          <w:tcPr>
            <w:tcW w:w="475" w:type="dxa"/>
            <w:tcBorders>
              <w:bottom w:val="single" w:sz="4" w:space="0" w:color="000000"/>
            </w:tcBorders>
          </w:tcPr>
          <w:p>
            <w:pPr>
              <w:pStyle w:val="TableParagraph"/>
              <w:jc w:val="left"/>
              <w:rPr>
                <w:sz w:val="14"/>
              </w:rPr>
            </w:pPr>
          </w:p>
        </w:tc>
        <w:tc>
          <w:tcPr>
            <w:tcW w:w="1031" w:type="dxa"/>
            <w:tcBorders>
              <w:bottom w:val="single" w:sz="4" w:space="0" w:color="000000"/>
            </w:tcBorders>
          </w:tcPr>
          <w:p>
            <w:pPr>
              <w:pStyle w:val="TableParagraph"/>
              <w:jc w:val="left"/>
              <w:rPr>
                <w:sz w:val="14"/>
              </w:rPr>
            </w:pPr>
          </w:p>
        </w:tc>
        <w:tc>
          <w:tcPr>
            <w:tcW w:w="596" w:type="dxa"/>
            <w:tcBorders>
              <w:bottom w:val="single" w:sz="4" w:space="0" w:color="000000"/>
            </w:tcBorders>
          </w:tcPr>
          <w:p>
            <w:pPr>
              <w:pStyle w:val="TableParagraph"/>
              <w:jc w:val="left"/>
              <w:rPr>
                <w:sz w:val="14"/>
              </w:rPr>
            </w:pPr>
          </w:p>
        </w:tc>
        <w:tc>
          <w:tcPr>
            <w:tcW w:w="1217" w:type="dxa"/>
            <w:tcBorders>
              <w:bottom w:val="single" w:sz="4" w:space="0" w:color="000000"/>
            </w:tcBorders>
          </w:tcPr>
          <w:p>
            <w:pPr>
              <w:pStyle w:val="TableParagraph"/>
              <w:jc w:val="left"/>
              <w:rPr>
                <w:sz w:val="14"/>
              </w:rPr>
            </w:pPr>
          </w:p>
        </w:tc>
        <w:tc>
          <w:tcPr>
            <w:tcW w:w="580" w:type="dxa"/>
            <w:tcBorders>
              <w:bottom w:val="single" w:sz="4" w:space="0" w:color="000000"/>
            </w:tcBorders>
          </w:tcPr>
          <w:p>
            <w:pPr>
              <w:pStyle w:val="TableParagraph"/>
              <w:jc w:val="left"/>
              <w:rPr>
                <w:sz w:val="14"/>
              </w:rPr>
            </w:pPr>
          </w:p>
        </w:tc>
        <w:tc>
          <w:tcPr>
            <w:tcW w:w="1015" w:type="dxa"/>
            <w:tcBorders>
              <w:bottom w:val="single" w:sz="4" w:space="0" w:color="000000"/>
            </w:tcBorders>
          </w:tcPr>
          <w:p>
            <w:pPr>
              <w:pStyle w:val="TableParagraph"/>
              <w:jc w:val="left"/>
              <w:rPr>
                <w:sz w:val="14"/>
              </w:rPr>
            </w:pPr>
          </w:p>
        </w:tc>
      </w:tr>
      <w:tr>
        <w:trPr>
          <w:trHeight w:val="1854" w:hRule="atLeast"/>
        </w:trPr>
        <w:tc>
          <w:tcPr>
            <w:tcW w:w="226" w:type="dxa"/>
            <w:tcBorders>
              <w:top w:val="single" w:sz="4" w:space="0" w:color="000000"/>
            </w:tcBorders>
          </w:tcPr>
          <w:p>
            <w:pPr>
              <w:pStyle w:val="TableParagraph"/>
              <w:spacing w:before="42"/>
              <w:ind w:left="14"/>
              <w:jc w:val="left"/>
              <w:rPr>
                <w:sz w:val="14"/>
              </w:rPr>
            </w:pPr>
            <w:r>
              <w:rPr>
                <w:spacing w:val="-5"/>
                <w:sz w:val="14"/>
              </w:rPr>
              <w:t>23</w:t>
            </w:r>
          </w:p>
        </w:tc>
        <w:tc>
          <w:tcPr>
            <w:tcW w:w="749" w:type="dxa"/>
            <w:tcBorders>
              <w:top w:val="single" w:sz="4" w:space="0" w:color="000000"/>
            </w:tcBorders>
          </w:tcPr>
          <w:p>
            <w:pPr>
              <w:pStyle w:val="TableParagraph"/>
              <w:spacing w:before="42"/>
              <w:ind w:left="67" w:right="20"/>
              <w:jc w:val="left"/>
              <w:rPr>
                <w:sz w:val="14"/>
              </w:rPr>
            </w:pPr>
            <w:r>
              <w:rPr>
                <w:sz w:val="14"/>
              </w:rPr>
              <w:t>Number</w:t>
            </w:r>
            <w:r>
              <w:rPr>
                <w:spacing w:val="-9"/>
                <w:sz w:val="14"/>
              </w:rPr>
              <w:t> </w:t>
            </w:r>
            <w:r>
              <w:rPr>
                <w:sz w:val="14"/>
              </w:rPr>
              <w:t>of</w:t>
            </w:r>
            <w:r>
              <w:rPr>
                <w:spacing w:val="40"/>
                <w:sz w:val="14"/>
              </w:rPr>
              <w:t> </w:t>
            </w:r>
            <w:r>
              <w:rPr>
                <w:spacing w:val="-2"/>
                <w:sz w:val="14"/>
              </w:rPr>
              <w:t>victims’</w:t>
            </w:r>
            <w:r>
              <w:rPr>
                <w:spacing w:val="40"/>
                <w:sz w:val="14"/>
              </w:rPr>
              <w:t> </w:t>
            </w:r>
            <w:r>
              <w:rPr>
                <w:spacing w:val="-2"/>
                <w:sz w:val="14"/>
              </w:rPr>
              <w:t>representati</w:t>
            </w:r>
            <w:r>
              <w:rPr>
                <w:spacing w:val="40"/>
                <w:sz w:val="14"/>
              </w:rPr>
              <w:t> </w:t>
            </w:r>
            <w:r>
              <w:rPr>
                <w:spacing w:val="-4"/>
                <w:sz w:val="14"/>
              </w:rPr>
              <w:t>ves</w:t>
            </w:r>
            <w:r>
              <w:rPr>
                <w:spacing w:val="40"/>
                <w:sz w:val="14"/>
              </w:rPr>
              <w:t> </w:t>
            </w:r>
            <w:r>
              <w:rPr>
                <w:sz w:val="14"/>
              </w:rPr>
              <w:t>financed</w:t>
            </w:r>
            <w:r>
              <w:rPr>
                <w:spacing w:val="-9"/>
                <w:sz w:val="14"/>
              </w:rPr>
              <w:t> </w:t>
            </w:r>
            <w:r>
              <w:rPr>
                <w:sz w:val="14"/>
              </w:rPr>
              <w:t>by</w:t>
            </w:r>
            <w:r>
              <w:rPr>
                <w:spacing w:val="40"/>
                <w:sz w:val="14"/>
              </w:rPr>
              <w:t> </w:t>
            </w:r>
            <w:r>
              <w:rPr>
                <w:sz w:val="14"/>
              </w:rPr>
              <w:t>legal</w:t>
            </w:r>
            <w:r>
              <w:rPr>
                <w:spacing w:val="-9"/>
                <w:sz w:val="14"/>
              </w:rPr>
              <w:t> </w:t>
            </w:r>
            <w:r>
              <w:rPr>
                <w:sz w:val="14"/>
              </w:rPr>
              <w:t>aid</w:t>
            </w:r>
          </w:p>
        </w:tc>
        <w:tc>
          <w:tcPr>
            <w:tcW w:w="601" w:type="dxa"/>
            <w:tcBorders>
              <w:top w:val="single" w:sz="4" w:space="0" w:color="000000"/>
            </w:tcBorders>
          </w:tcPr>
          <w:p>
            <w:pPr>
              <w:pStyle w:val="TableParagraph"/>
              <w:spacing w:before="42"/>
              <w:ind w:left="269"/>
              <w:jc w:val="left"/>
              <w:rPr>
                <w:sz w:val="14"/>
              </w:rPr>
            </w:pPr>
            <w:r>
              <w:rPr>
                <w:w w:val="99"/>
                <w:sz w:val="14"/>
              </w:rPr>
              <w:t>5</w:t>
            </w:r>
          </w:p>
        </w:tc>
        <w:tc>
          <w:tcPr>
            <w:tcW w:w="466" w:type="dxa"/>
            <w:tcBorders>
              <w:top w:val="single" w:sz="4" w:space="0" w:color="000000"/>
            </w:tcBorders>
          </w:tcPr>
          <w:p>
            <w:pPr>
              <w:pStyle w:val="TableParagraph"/>
              <w:spacing w:before="42"/>
              <w:ind w:left="15"/>
              <w:jc w:val="center"/>
              <w:rPr>
                <w:sz w:val="14"/>
              </w:rPr>
            </w:pPr>
            <w:r>
              <w:rPr>
                <w:w w:val="99"/>
                <w:sz w:val="14"/>
              </w:rPr>
              <w:t>7</w:t>
            </w:r>
          </w:p>
        </w:tc>
        <w:tc>
          <w:tcPr>
            <w:tcW w:w="1128" w:type="dxa"/>
            <w:tcBorders>
              <w:top w:val="single" w:sz="4" w:space="0" w:color="000000"/>
            </w:tcBorders>
          </w:tcPr>
          <w:p>
            <w:pPr>
              <w:pStyle w:val="TableParagraph"/>
              <w:spacing w:before="42"/>
              <w:ind w:left="13" w:right="3"/>
              <w:jc w:val="left"/>
              <w:rPr>
                <w:i/>
                <w:sz w:val="14"/>
              </w:rPr>
            </w:pPr>
            <w:r>
              <w:rPr>
                <w:i/>
                <w:sz w:val="14"/>
              </w:rPr>
              <w:t>Katanga</w:t>
            </w:r>
            <w:r>
              <w:rPr>
                <w:sz w:val="14"/>
              </w:rPr>
              <w:t>;</w:t>
            </w:r>
            <w:r>
              <w:rPr>
                <w:spacing w:val="-9"/>
                <w:sz w:val="14"/>
              </w:rPr>
              <w:t> </w:t>
            </w:r>
            <w:r>
              <w:rPr>
                <w:i/>
                <w:sz w:val="14"/>
              </w:rPr>
              <w:t>Lubanga</w:t>
            </w:r>
            <w:r>
              <w:rPr>
                <w:i/>
                <w:spacing w:val="40"/>
                <w:sz w:val="14"/>
              </w:rPr>
              <w:t> </w:t>
            </w:r>
            <w:r>
              <w:rPr>
                <w:sz w:val="14"/>
              </w:rPr>
              <w:t>(I and II</w:t>
            </w:r>
            <w:r>
              <w:rPr>
                <w:i/>
                <w:sz w:val="14"/>
              </w:rPr>
              <w:t>)</w:t>
            </w:r>
            <w:r>
              <w:rPr>
                <w:sz w:val="14"/>
              </w:rPr>
              <w:t>; </w:t>
            </w:r>
            <w:r>
              <w:rPr>
                <w:i/>
                <w:sz w:val="14"/>
              </w:rPr>
              <w:t>Al</w:t>
            </w:r>
            <w:r>
              <w:rPr>
                <w:i/>
                <w:spacing w:val="40"/>
                <w:sz w:val="14"/>
              </w:rPr>
              <w:t> </w:t>
            </w:r>
            <w:r>
              <w:rPr>
                <w:i/>
                <w:sz w:val="14"/>
              </w:rPr>
              <w:t>Mahdi</w:t>
            </w:r>
            <w:r>
              <w:rPr>
                <w:sz w:val="14"/>
              </w:rPr>
              <w:t>;</w:t>
            </w:r>
            <w:r>
              <w:rPr>
                <w:spacing w:val="-9"/>
                <w:sz w:val="14"/>
              </w:rPr>
              <w:t> </w:t>
            </w:r>
            <w:r>
              <w:rPr>
                <w:i/>
                <w:sz w:val="14"/>
              </w:rPr>
              <w:t>Ongwen</w:t>
            </w:r>
            <w:r>
              <w:rPr>
                <w:sz w:val="14"/>
              </w:rPr>
              <w:t>;</w:t>
            </w:r>
            <w:r>
              <w:rPr>
                <w:spacing w:val="-9"/>
                <w:sz w:val="14"/>
              </w:rPr>
              <w:t> </w:t>
            </w:r>
            <w:r>
              <w:rPr>
                <w:i/>
                <w:sz w:val="14"/>
              </w:rPr>
              <w:t>Al</w:t>
            </w:r>
            <w:r>
              <w:rPr>
                <w:i/>
                <w:spacing w:val="40"/>
                <w:sz w:val="14"/>
              </w:rPr>
              <w:t> </w:t>
            </w:r>
            <w:r>
              <w:rPr>
                <w:i/>
                <w:sz w:val="14"/>
              </w:rPr>
              <w:t>Hassan</w:t>
            </w:r>
            <w:r>
              <w:rPr>
                <w:sz w:val="14"/>
              </w:rPr>
              <w:t>;</w:t>
            </w:r>
            <w:r>
              <w:rPr>
                <w:spacing w:val="-9"/>
                <w:sz w:val="14"/>
              </w:rPr>
              <w:t> </w:t>
            </w:r>
            <w:r>
              <w:rPr>
                <w:sz w:val="14"/>
              </w:rPr>
              <w:t>and</w:t>
            </w:r>
            <w:r>
              <w:rPr>
                <w:spacing w:val="40"/>
                <w:sz w:val="14"/>
              </w:rPr>
              <w:t> </w:t>
            </w:r>
            <w:r>
              <w:rPr>
                <w:i/>
                <w:sz w:val="14"/>
              </w:rPr>
              <w:t>Yekatom</w:t>
            </w:r>
            <w:r>
              <w:rPr>
                <w:i/>
                <w:spacing w:val="-9"/>
                <w:sz w:val="14"/>
              </w:rPr>
              <w:t> </w:t>
            </w:r>
            <w:r>
              <w:rPr>
                <w:i/>
                <w:sz w:val="14"/>
              </w:rPr>
              <w:t>and</w:t>
            </w:r>
            <w:r>
              <w:rPr>
                <w:i/>
                <w:spacing w:val="40"/>
                <w:sz w:val="14"/>
              </w:rPr>
              <w:t> </w:t>
            </w:r>
            <w:r>
              <w:rPr>
                <w:i/>
                <w:spacing w:val="-2"/>
                <w:sz w:val="14"/>
              </w:rPr>
              <w:t>Ngaïssona</w:t>
            </w:r>
          </w:p>
        </w:tc>
        <w:tc>
          <w:tcPr>
            <w:tcW w:w="630" w:type="dxa"/>
            <w:tcBorders>
              <w:top w:val="single" w:sz="4" w:space="0" w:color="000000"/>
            </w:tcBorders>
          </w:tcPr>
          <w:p>
            <w:pPr>
              <w:pStyle w:val="TableParagraph"/>
              <w:spacing w:before="42"/>
              <w:ind w:right="12"/>
              <w:jc w:val="center"/>
              <w:rPr>
                <w:sz w:val="14"/>
              </w:rPr>
            </w:pPr>
            <w:r>
              <w:rPr>
                <w:w w:val="99"/>
                <w:sz w:val="14"/>
              </w:rPr>
              <w:t>7</w:t>
            </w:r>
          </w:p>
        </w:tc>
        <w:tc>
          <w:tcPr>
            <w:tcW w:w="511" w:type="dxa"/>
            <w:tcBorders>
              <w:top w:val="single" w:sz="4" w:space="0" w:color="000000"/>
            </w:tcBorders>
          </w:tcPr>
          <w:p>
            <w:pPr>
              <w:pStyle w:val="TableParagraph"/>
              <w:spacing w:before="42"/>
              <w:ind w:left="17"/>
              <w:jc w:val="center"/>
              <w:rPr>
                <w:sz w:val="14"/>
              </w:rPr>
            </w:pPr>
            <w:r>
              <w:rPr>
                <w:w w:val="99"/>
                <w:sz w:val="14"/>
              </w:rPr>
              <w:t>7</w:t>
            </w:r>
          </w:p>
        </w:tc>
        <w:tc>
          <w:tcPr>
            <w:tcW w:w="968" w:type="dxa"/>
            <w:tcBorders>
              <w:top w:val="single" w:sz="4" w:space="0" w:color="000000"/>
            </w:tcBorders>
          </w:tcPr>
          <w:p>
            <w:pPr>
              <w:pStyle w:val="TableParagraph"/>
              <w:spacing w:before="42"/>
              <w:ind w:left="30"/>
              <w:jc w:val="left"/>
              <w:rPr>
                <w:i/>
                <w:sz w:val="14"/>
              </w:rPr>
            </w:pPr>
            <w:r>
              <w:rPr>
                <w:i/>
                <w:spacing w:val="-2"/>
                <w:sz w:val="14"/>
              </w:rPr>
              <w:t>Katanga</w:t>
            </w:r>
            <w:r>
              <w:rPr>
                <w:spacing w:val="-2"/>
                <w:sz w:val="14"/>
              </w:rPr>
              <w:t>;</w:t>
            </w:r>
            <w:r>
              <w:rPr>
                <w:spacing w:val="40"/>
                <w:sz w:val="14"/>
              </w:rPr>
              <w:t> </w:t>
            </w:r>
            <w:r>
              <w:rPr>
                <w:i/>
                <w:sz w:val="14"/>
              </w:rPr>
              <w:t>Lubanga</w:t>
            </w:r>
            <w:r>
              <w:rPr>
                <w:i/>
                <w:spacing w:val="-9"/>
                <w:sz w:val="14"/>
              </w:rPr>
              <w:t> </w:t>
            </w:r>
            <w:r>
              <w:rPr>
                <w:sz w:val="14"/>
              </w:rPr>
              <w:t>(I</w:t>
            </w:r>
            <w:r>
              <w:rPr>
                <w:spacing w:val="-9"/>
                <w:sz w:val="14"/>
              </w:rPr>
              <w:t> </w:t>
            </w:r>
            <w:r>
              <w:rPr>
                <w:sz w:val="14"/>
              </w:rPr>
              <w:t>and</w:t>
            </w:r>
            <w:r>
              <w:rPr>
                <w:spacing w:val="40"/>
                <w:sz w:val="14"/>
              </w:rPr>
              <w:t> </w:t>
            </w:r>
            <w:r>
              <w:rPr>
                <w:sz w:val="14"/>
              </w:rPr>
              <w:t>II); </w:t>
            </w:r>
            <w:r>
              <w:rPr>
                <w:i/>
                <w:sz w:val="14"/>
              </w:rPr>
              <w:t>Al Mahdi</w:t>
            </w:r>
            <w:r>
              <w:rPr>
                <w:sz w:val="14"/>
              </w:rPr>
              <w:t>;</w:t>
            </w:r>
            <w:r>
              <w:rPr>
                <w:spacing w:val="40"/>
                <w:sz w:val="14"/>
              </w:rPr>
              <w:t> </w:t>
            </w:r>
            <w:r>
              <w:rPr>
                <w:i/>
                <w:sz w:val="14"/>
              </w:rPr>
              <w:t>Ongwen</w:t>
            </w:r>
            <w:r>
              <w:rPr>
                <w:sz w:val="14"/>
              </w:rPr>
              <w:t>;</w:t>
            </w:r>
            <w:r>
              <w:rPr>
                <w:spacing w:val="-9"/>
                <w:sz w:val="14"/>
              </w:rPr>
              <w:t> </w:t>
            </w:r>
            <w:r>
              <w:rPr>
                <w:i/>
                <w:sz w:val="14"/>
              </w:rPr>
              <w:t>Al</w:t>
            </w:r>
            <w:r>
              <w:rPr>
                <w:i/>
                <w:spacing w:val="40"/>
                <w:sz w:val="14"/>
              </w:rPr>
              <w:t> </w:t>
            </w:r>
            <w:r>
              <w:rPr>
                <w:i/>
                <w:sz w:val="14"/>
              </w:rPr>
              <w:t>Hassan</w:t>
            </w:r>
            <w:r>
              <w:rPr>
                <w:sz w:val="14"/>
              </w:rPr>
              <w:t>;</w:t>
            </w:r>
            <w:r>
              <w:rPr>
                <w:spacing w:val="-9"/>
                <w:sz w:val="14"/>
              </w:rPr>
              <w:t> </w:t>
            </w:r>
            <w:r>
              <w:rPr>
                <w:sz w:val="14"/>
              </w:rPr>
              <w:t>and</w:t>
            </w:r>
            <w:r>
              <w:rPr>
                <w:spacing w:val="40"/>
                <w:sz w:val="14"/>
              </w:rPr>
              <w:t> </w:t>
            </w:r>
            <w:r>
              <w:rPr>
                <w:i/>
                <w:sz w:val="14"/>
              </w:rPr>
              <w:t>Yekatom</w:t>
            </w:r>
            <w:r>
              <w:rPr>
                <w:i/>
                <w:spacing w:val="-9"/>
                <w:sz w:val="14"/>
              </w:rPr>
              <w:t> </w:t>
            </w:r>
            <w:r>
              <w:rPr>
                <w:i/>
                <w:sz w:val="14"/>
              </w:rPr>
              <w:t>and</w:t>
            </w:r>
            <w:r>
              <w:rPr>
                <w:i/>
                <w:spacing w:val="40"/>
                <w:sz w:val="14"/>
              </w:rPr>
              <w:t> </w:t>
            </w:r>
            <w:r>
              <w:rPr>
                <w:i/>
                <w:spacing w:val="-2"/>
                <w:sz w:val="14"/>
              </w:rPr>
              <w:t>Ngaïssona</w:t>
            </w:r>
          </w:p>
        </w:tc>
        <w:tc>
          <w:tcPr>
            <w:tcW w:w="599" w:type="dxa"/>
            <w:tcBorders>
              <w:top w:val="single" w:sz="4" w:space="0" w:color="000000"/>
            </w:tcBorders>
          </w:tcPr>
          <w:p>
            <w:pPr>
              <w:pStyle w:val="TableParagraph"/>
              <w:spacing w:before="42"/>
              <w:ind w:right="11"/>
              <w:jc w:val="center"/>
              <w:rPr>
                <w:sz w:val="14"/>
              </w:rPr>
            </w:pPr>
            <w:r>
              <w:rPr>
                <w:w w:val="99"/>
                <w:sz w:val="14"/>
              </w:rPr>
              <w:t>9</w:t>
            </w:r>
          </w:p>
        </w:tc>
        <w:tc>
          <w:tcPr>
            <w:tcW w:w="475" w:type="dxa"/>
            <w:tcBorders>
              <w:top w:val="single" w:sz="4" w:space="0" w:color="000000"/>
            </w:tcBorders>
          </w:tcPr>
          <w:p>
            <w:pPr>
              <w:pStyle w:val="TableParagraph"/>
              <w:spacing w:before="42"/>
              <w:ind w:left="17"/>
              <w:jc w:val="center"/>
              <w:rPr>
                <w:sz w:val="14"/>
              </w:rPr>
            </w:pPr>
            <w:r>
              <w:rPr>
                <w:w w:val="99"/>
                <w:sz w:val="14"/>
              </w:rPr>
              <w:t>8</w:t>
            </w:r>
          </w:p>
        </w:tc>
        <w:tc>
          <w:tcPr>
            <w:tcW w:w="1031" w:type="dxa"/>
            <w:tcBorders>
              <w:top w:val="single" w:sz="4" w:space="0" w:color="000000"/>
            </w:tcBorders>
          </w:tcPr>
          <w:p>
            <w:pPr>
              <w:pStyle w:val="TableParagraph"/>
              <w:spacing w:line="237" w:lineRule="auto" w:before="5"/>
              <w:ind w:left="14" w:right="30"/>
              <w:jc w:val="left"/>
              <w:rPr>
                <w:i/>
                <w:sz w:val="14"/>
              </w:rPr>
            </w:pPr>
            <w:r>
              <w:rPr>
                <w:sz w:val="14"/>
              </w:rPr>
              <w:t>Pre-trial:</w:t>
            </w:r>
            <w:r>
              <w:rPr>
                <w:spacing w:val="-9"/>
                <w:sz w:val="14"/>
              </w:rPr>
              <w:t> </w:t>
            </w:r>
            <w:r>
              <w:rPr>
                <w:i/>
                <w:sz w:val="14"/>
              </w:rPr>
              <w:t>Abd-Al-</w:t>
            </w:r>
            <w:r>
              <w:rPr>
                <w:i/>
                <w:spacing w:val="40"/>
                <w:sz w:val="14"/>
              </w:rPr>
              <w:t> </w:t>
            </w:r>
            <w:r>
              <w:rPr>
                <w:i/>
                <w:spacing w:val="-2"/>
                <w:sz w:val="14"/>
              </w:rPr>
              <w:t>Rahman</w:t>
            </w:r>
          </w:p>
          <w:p>
            <w:pPr>
              <w:pStyle w:val="TableParagraph"/>
              <w:spacing w:before="1"/>
              <w:ind w:left="14"/>
              <w:jc w:val="left"/>
              <w:rPr>
                <w:i/>
                <w:sz w:val="14"/>
              </w:rPr>
            </w:pPr>
            <w:r>
              <w:rPr>
                <w:sz w:val="14"/>
              </w:rPr>
              <w:t>Trial:</w:t>
            </w:r>
            <w:r>
              <w:rPr>
                <w:spacing w:val="-9"/>
                <w:sz w:val="14"/>
              </w:rPr>
              <w:t> </w:t>
            </w:r>
            <w:r>
              <w:rPr>
                <w:i/>
                <w:sz w:val="14"/>
              </w:rPr>
              <w:t>Al</w:t>
            </w:r>
            <w:r>
              <w:rPr>
                <w:i/>
                <w:spacing w:val="-9"/>
                <w:sz w:val="14"/>
              </w:rPr>
              <w:t> </w:t>
            </w:r>
            <w:r>
              <w:rPr>
                <w:i/>
                <w:sz w:val="14"/>
              </w:rPr>
              <w:t>Hassan</w:t>
            </w:r>
            <w:r>
              <w:rPr>
                <w:sz w:val="14"/>
              </w:rPr>
              <w:t>;</w:t>
            </w:r>
            <w:r>
              <w:rPr>
                <w:spacing w:val="40"/>
                <w:sz w:val="14"/>
              </w:rPr>
              <w:t> </w:t>
            </w:r>
            <w:r>
              <w:rPr>
                <w:i/>
                <w:sz w:val="14"/>
              </w:rPr>
              <w:t>Yekatom</w:t>
            </w:r>
            <w:r>
              <w:rPr>
                <w:i/>
                <w:spacing w:val="-9"/>
                <w:sz w:val="14"/>
              </w:rPr>
              <w:t> </w:t>
            </w:r>
            <w:r>
              <w:rPr>
                <w:i/>
                <w:sz w:val="14"/>
              </w:rPr>
              <w:t>and</w:t>
            </w:r>
            <w:r>
              <w:rPr>
                <w:i/>
                <w:spacing w:val="40"/>
                <w:sz w:val="14"/>
              </w:rPr>
              <w:t> </w:t>
            </w:r>
            <w:r>
              <w:rPr>
                <w:i/>
                <w:spacing w:val="-2"/>
                <w:sz w:val="14"/>
              </w:rPr>
              <w:t>Ngaïssona</w:t>
            </w:r>
          </w:p>
          <w:p>
            <w:pPr>
              <w:pStyle w:val="TableParagraph"/>
              <w:spacing w:before="41"/>
              <w:ind w:left="14" w:right="65"/>
              <w:jc w:val="left"/>
              <w:rPr>
                <w:i/>
                <w:sz w:val="14"/>
              </w:rPr>
            </w:pPr>
            <w:r>
              <w:rPr>
                <w:spacing w:val="-2"/>
                <w:sz w:val="14"/>
              </w:rPr>
              <w:t>Reparations:</w:t>
            </w:r>
            <w:r>
              <w:rPr>
                <w:spacing w:val="40"/>
                <w:sz w:val="14"/>
              </w:rPr>
              <w:t> </w:t>
            </w:r>
            <w:r>
              <w:rPr>
                <w:i/>
                <w:spacing w:val="-2"/>
                <w:sz w:val="14"/>
              </w:rPr>
              <w:t>Katanga</w:t>
            </w:r>
            <w:r>
              <w:rPr>
                <w:spacing w:val="-2"/>
                <w:sz w:val="14"/>
              </w:rPr>
              <w:t>;</w:t>
            </w:r>
            <w:r>
              <w:rPr>
                <w:spacing w:val="40"/>
                <w:sz w:val="14"/>
              </w:rPr>
              <w:t> </w:t>
            </w:r>
            <w:r>
              <w:rPr>
                <w:i/>
                <w:sz w:val="14"/>
              </w:rPr>
              <w:t>Lubanga</w:t>
            </w:r>
            <w:r>
              <w:rPr>
                <w:i/>
                <w:spacing w:val="-6"/>
                <w:sz w:val="14"/>
              </w:rPr>
              <w:t> </w:t>
            </w:r>
            <w:r>
              <w:rPr>
                <w:i/>
                <w:sz w:val="14"/>
              </w:rPr>
              <w:t>I</w:t>
            </w:r>
            <w:r>
              <w:rPr>
                <w:sz w:val="14"/>
              </w:rPr>
              <w:t>;</w:t>
            </w:r>
            <w:r>
              <w:rPr>
                <w:spacing w:val="40"/>
                <w:sz w:val="14"/>
              </w:rPr>
              <w:t> </w:t>
            </w:r>
            <w:r>
              <w:rPr>
                <w:i/>
                <w:sz w:val="14"/>
              </w:rPr>
              <w:t>Lubanga</w:t>
            </w:r>
            <w:r>
              <w:rPr>
                <w:i/>
                <w:spacing w:val="-9"/>
                <w:sz w:val="14"/>
              </w:rPr>
              <w:t> </w:t>
            </w:r>
            <w:r>
              <w:rPr>
                <w:i/>
                <w:sz w:val="14"/>
              </w:rPr>
              <w:t>II</w:t>
            </w:r>
            <w:r>
              <w:rPr>
                <w:sz w:val="14"/>
              </w:rPr>
              <w:t>;</w:t>
            </w:r>
            <w:r>
              <w:rPr>
                <w:spacing w:val="-9"/>
                <w:sz w:val="14"/>
              </w:rPr>
              <w:t> </w:t>
            </w:r>
            <w:r>
              <w:rPr>
                <w:i/>
                <w:sz w:val="14"/>
              </w:rPr>
              <w:t>Al</w:t>
            </w:r>
            <w:r>
              <w:rPr>
                <w:i/>
                <w:spacing w:val="40"/>
                <w:sz w:val="14"/>
              </w:rPr>
              <w:t> </w:t>
            </w:r>
            <w:r>
              <w:rPr>
                <w:i/>
                <w:sz w:val="14"/>
              </w:rPr>
              <w:t>Mahdi</w:t>
            </w:r>
            <w:r>
              <w:rPr>
                <w:sz w:val="14"/>
              </w:rPr>
              <w:t>;</w:t>
            </w:r>
            <w:r>
              <w:rPr>
                <w:spacing w:val="-9"/>
                <w:sz w:val="14"/>
              </w:rPr>
              <w:t> </w:t>
            </w:r>
            <w:r>
              <w:rPr>
                <w:sz w:val="14"/>
              </w:rPr>
              <w:t>and</w:t>
            </w:r>
            <w:r>
              <w:rPr>
                <w:spacing w:val="40"/>
                <w:sz w:val="14"/>
              </w:rPr>
              <w:t> </w:t>
            </w:r>
            <w:r>
              <w:rPr>
                <w:i/>
                <w:spacing w:val="-2"/>
                <w:sz w:val="14"/>
              </w:rPr>
              <w:t>Ongwen</w:t>
            </w:r>
          </w:p>
        </w:tc>
        <w:tc>
          <w:tcPr>
            <w:tcW w:w="596" w:type="dxa"/>
            <w:tcBorders>
              <w:top w:val="single" w:sz="4" w:space="0" w:color="000000"/>
            </w:tcBorders>
          </w:tcPr>
          <w:p>
            <w:pPr>
              <w:pStyle w:val="TableParagraph"/>
              <w:spacing w:before="42"/>
              <w:ind w:left="5"/>
              <w:jc w:val="center"/>
              <w:rPr>
                <w:sz w:val="14"/>
              </w:rPr>
            </w:pPr>
            <w:r>
              <w:rPr>
                <w:w w:val="99"/>
                <w:sz w:val="14"/>
              </w:rPr>
              <w:t>8</w:t>
            </w:r>
          </w:p>
        </w:tc>
        <w:tc>
          <w:tcPr>
            <w:tcW w:w="1217" w:type="dxa"/>
            <w:tcBorders>
              <w:top w:val="single" w:sz="4" w:space="0" w:color="000000"/>
            </w:tcBorders>
          </w:tcPr>
          <w:p>
            <w:pPr>
              <w:pStyle w:val="TableParagraph"/>
              <w:spacing w:before="3"/>
              <w:ind w:left="20" w:right="40"/>
              <w:jc w:val="left"/>
              <w:rPr>
                <w:i/>
                <w:sz w:val="14"/>
              </w:rPr>
            </w:pPr>
            <w:r>
              <w:rPr>
                <w:sz w:val="14"/>
              </w:rPr>
              <w:t>Pre-trial:</w:t>
            </w:r>
            <w:r>
              <w:rPr>
                <w:spacing w:val="-9"/>
                <w:sz w:val="14"/>
              </w:rPr>
              <w:t> </w:t>
            </w:r>
            <w:r>
              <w:rPr>
                <w:i/>
                <w:sz w:val="14"/>
              </w:rPr>
              <w:t>Said</w:t>
            </w:r>
            <w:r>
              <w:rPr>
                <w:sz w:val="14"/>
              </w:rPr>
              <w:t>;</w:t>
            </w:r>
            <w:r>
              <w:rPr>
                <w:sz w:val="14"/>
                <w:vertAlign w:val="superscript"/>
              </w:rPr>
              <w:t>175</w:t>
            </w:r>
            <w:r>
              <w:rPr>
                <w:spacing w:val="40"/>
                <w:sz w:val="14"/>
                <w:vertAlign w:val="baseline"/>
              </w:rPr>
              <w:t> </w:t>
            </w:r>
            <w:r>
              <w:rPr>
                <w:sz w:val="14"/>
                <w:vertAlign w:val="baseline"/>
              </w:rPr>
              <w:t>Trial: </w:t>
            </w:r>
            <w:r>
              <w:rPr>
                <w:i/>
                <w:sz w:val="14"/>
                <w:vertAlign w:val="baseline"/>
              </w:rPr>
              <w:t>Al Hassan</w:t>
            </w:r>
            <w:r>
              <w:rPr>
                <w:sz w:val="14"/>
                <w:vertAlign w:val="baseline"/>
              </w:rPr>
              <w:t>;</w:t>
            </w:r>
            <w:r>
              <w:rPr>
                <w:spacing w:val="40"/>
                <w:sz w:val="14"/>
                <w:vertAlign w:val="baseline"/>
              </w:rPr>
              <w:t> </w:t>
            </w:r>
            <w:r>
              <w:rPr>
                <w:sz w:val="14"/>
                <w:vertAlign w:val="baseline"/>
              </w:rPr>
              <w:t>and </w:t>
            </w:r>
            <w:r>
              <w:rPr>
                <w:i/>
                <w:sz w:val="14"/>
                <w:vertAlign w:val="baseline"/>
              </w:rPr>
              <w:t>Yekatom and</w:t>
            </w:r>
            <w:r>
              <w:rPr>
                <w:i/>
                <w:spacing w:val="40"/>
                <w:sz w:val="14"/>
                <w:vertAlign w:val="baseline"/>
              </w:rPr>
              <w:t> </w:t>
            </w:r>
            <w:r>
              <w:rPr>
                <w:i/>
                <w:spacing w:val="-2"/>
                <w:sz w:val="14"/>
                <w:vertAlign w:val="baseline"/>
              </w:rPr>
              <w:t>Ngaïssona</w:t>
            </w:r>
            <w:r>
              <w:rPr>
                <w:i/>
                <w:spacing w:val="40"/>
                <w:sz w:val="14"/>
                <w:vertAlign w:val="baseline"/>
              </w:rPr>
              <w:t> </w:t>
            </w:r>
            <w:r>
              <w:rPr>
                <w:spacing w:val="-2"/>
                <w:sz w:val="14"/>
                <w:vertAlign w:val="baseline"/>
              </w:rPr>
              <w:t>Reparations:</w:t>
            </w:r>
            <w:r>
              <w:rPr>
                <w:spacing w:val="40"/>
                <w:sz w:val="14"/>
                <w:vertAlign w:val="baseline"/>
              </w:rPr>
              <w:t> </w:t>
            </w:r>
            <w:r>
              <w:rPr>
                <w:i/>
                <w:sz w:val="14"/>
                <w:vertAlign w:val="baseline"/>
              </w:rPr>
              <w:t>Katanga</w:t>
            </w:r>
            <w:r>
              <w:rPr>
                <w:sz w:val="14"/>
                <w:vertAlign w:val="baseline"/>
              </w:rPr>
              <w:t>;</w:t>
            </w:r>
            <w:r>
              <w:rPr>
                <w:spacing w:val="-9"/>
                <w:sz w:val="14"/>
                <w:vertAlign w:val="baseline"/>
              </w:rPr>
              <w:t> </w:t>
            </w:r>
            <w:r>
              <w:rPr>
                <w:i/>
                <w:sz w:val="14"/>
                <w:vertAlign w:val="baseline"/>
              </w:rPr>
              <w:t>Lubanga</w:t>
            </w:r>
            <w:r>
              <w:rPr>
                <w:i/>
                <w:spacing w:val="40"/>
                <w:sz w:val="14"/>
                <w:vertAlign w:val="baseline"/>
              </w:rPr>
              <w:t> </w:t>
            </w:r>
            <w:r>
              <w:rPr>
                <w:sz w:val="14"/>
                <w:vertAlign w:val="baseline"/>
              </w:rPr>
              <w:t>(I</w:t>
            </w:r>
            <w:r>
              <w:rPr>
                <w:spacing w:val="-8"/>
                <w:sz w:val="14"/>
                <w:vertAlign w:val="baseline"/>
              </w:rPr>
              <w:t> </w:t>
            </w:r>
            <w:r>
              <w:rPr>
                <w:sz w:val="14"/>
                <w:vertAlign w:val="baseline"/>
              </w:rPr>
              <w:t>and</w:t>
            </w:r>
            <w:r>
              <w:rPr>
                <w:spacing w:val="-8"/>
                <w:sz w:val="14"/>
                <w:vertAlign w:val="baseline"/>
              </w:rPr>
              <w:t> </w:t>
            </w:r>
            <w:r>
              <w:rPr>
                <w:sz w:val="14"/>
                <w:vertAlign w:val="baseline"/>
              </w:rPr>
              <w:t>II);</w:t>
            </w:r>
            <w:r>
              <w:rPr>
                <w:spacing w:val="-9"/>
                <w:sz w:val="14"/>
                <w:vertAlign w:val="baseline"/>
              </w:rPr>
              <w:t> </w:t>
            </w:r>
            <w:r>
              <w:rPr>
                <w:i/>
                <w:sz w:val="14"/>
                <w:vertAlign w:val="baseline"/>
              </w:rPr>
              <w:t>Al</w:t>
            </w:r>
            <w:r>
              <w:rPr>
                <w:i/>
                <w:spacing w:val="-9"/>
                <w:sz w:val="14"/>
                <w:vertAlign w:val="baseline"/>
              </w:rPr>
              <w:t> </w:t>
            </w:r>
            <w:r>
              <w:rPr>
                <w:i/>
                <w:sz w:val="14"/>
                <w:vertAlign w:val="baseline"/>
              </w:rPr>
              <w:t>Mahdi;</w:t>
            </w:r>
            <w:r>
              <w:rPr>
                <w:i/>
                <w:spacing w:val="40"/>
                <w:sz w:val="14"/>
                <w:vertAlign w:val="baseline"/>
              </w:rPr>
              <w:t> </w:t>
            </w:r>
            <w:r>
              <w:rPr>
                <w:sz w:val="14"/>
                <w:vertAlign w:val="baseline"/>
              </w:rPr>
              <w:t>and</w:t>
            </w:r>
            <w:r>
              <w:rPr>
                <w:spacing w:val="-4"/>
                <w:sz w:val="14"/>
                <w:vertAlign w:val="baseline"/>
              </w:rPr>
              <w:t> </w:t>
            </w:r>
            <w:r>
              <w:rPr>
                <w:i/>
                <w:sz w:val="14"/>
                <w:vertAlign w:val="baseline"/>
              </w:rPr>
              <w:t>Ongwen</w:t>
            </w:r>
          </w:p>
        </w:tc>
        <w:tc>
          <w:tcPr>
            <w:tcW w:w="580" w:type="dxa"/>
            <w:tcBorders>
              <w:top w:val="single" w:sz="4" w:space="0" w:color="000000"/>
            </w:tcBorders>
          </w:tcPr>
          <w:p>
            <w:pPr>
              <w:pStyle w:val="TableParagraph"/>
              <w:spacing w:before="42"/>
              <w:ind w:left="5"/>
              <w:jc w:val="center"/>
              <w:rPr>
                <w:sz w:val="14"/>
              </w:rPr>
            </w:pPr>
            <w:r>
              <w:rPr>
                <w:w w:val="99"/>
                <w:sz w:val="14"/>
              </w:rPr>
              <w:t>8</w:t>
            </w:r>
          </w:p>
        </w:tc>
        <w:tc>
          <w:tcPr>
            <w:tcW w:w="1015" w:type="dxa"/>
            <w:tcBorders>
              <w:top w:val="single" w:sz="4" w:space="0" w:color="000000"/>
            </w:tcBorders>
          </w:tcPr>
          <w:p>
            <w:pPr>
              <w:pStyle w:val="TableParagraph"/>
              <w:spacing w:before="3"/>
              <w:ind w:left="24" w:right="23"/>
              <w:jc w:val="left"/>
              <w:rPr>
                <w:i/>
                <w:sz w:val="14"/>
              </w:rPr>
            </w:pPr>
            <w:r>
              <w:rPr>
                <w:sz w:val="14"/>
              </w:rPr>
              <w:t>Trial:</w:t>
            </w:r>
            <w:r>
              <w:rPr>
                <w:spacing w:val="-9"/>
                <w:sz w:val="14"/>
              </w:rPr>
              <w:t> </w:t>
            </w:r>
            <w:r>
              <w:rPr>
                <w:i/>
                <w:sz w:val="14"/>
              </w:rPr>
              <w:t>Al</w:t>
            </w:r>
            <w:r>
              <w:rPr>
                <w:i/>
                <w:spacing w:val="-9"/>
                <w:sz w:val="14"/>
              </w:rPr>
              <w:t> </w:t>
            </w:r>
            <w:r>
              <w:rPr>
                <w:i/>
                <w:sz w:val="14"/>
              </w:rPr>
              <w:t>Hassan</w:t>
            </w:r>
            <w:r>
              <w:rPr>
                <w:sz w:val="14"/>
              </w:rPr>
              <w:t>;</w:t>
            </w:r>
            <w:r>
              <w:rPr>
                <w:spacing w:val="40"/>
                <w:sz w:val="14"/>
              </w:rPr>
              <w:t> </w:t>
            </w:r>
            <w:r>
              <w:rPr>
                <w:i/>
                <w:sz w:val="14"/>
              </w:rPr>
              <w:t>Yekatom</w:t>
            </w:r>
            <w:r>
              <w:rPr>
                <w:i/>
                <w:spacing w:val="-9"/>
                <w:sz w:val="14"/>
              </w:rPr>
              <w:t> </w:t>
            </w:r>
            <w:r>
              <w:rPr>
                <w:i/>
                <w:sz w:val="14"/>
              </w:rPr>
              <w:t>and</w:t>
            </w:r>
            <w:r>
              <w:rPr>
                <w:i/>
                <w:spacing w:val="40"/>
                <w:sz w:val="14"/>
              </w:rPr>
              <w:t> </w:t>
            </w:r>
            <w:r>
              <w:rPr>
                <w:i/>
                <w:sz w:val="14"/>
              </w:rPr>
              <w:t>Ngaïssona</w:t>
            </w:r>
            <w:r>
              <w:rPr>
                <w:sz w:val="14"/>
              </w:rPr>
              <w:t>;</w:t>
            </w:r>
            <w:r>
              <w:rPr>
                <w:spacing w:val="-9"/>
                <w:sz w:val="14"/>
              </w:rPr>
              <w:t> </w:t>
            </w:r>
            <w:r>
              <w:rPr>
                <w:sz w:val="14"/>
              </w:rPr>
              <w:t>and</w:t>
            </w:r>
            <w:r>
              <w:rPr>
                <w:spacing w:val="40"/>
                <w:sz w:val="14"/>
              </w:rPr>
              <w:t> </w:t>
            </w:r>
            <w:r>
              <w:rPr>
                <w:i/>
                <w:spacing w:val="-2"/>
                <w:sz w:val="14"/>
              </w:rPr>
              <w:t>Abd-Al-Rahman</w:t>
            </w:r>
            <w:r>
              <w:rPr>
                <w:i/>
                <w:spacing w:val="40"/>
                <w:sz w:val="14"/>
              </w:rPr>
              <w:t> </w:t>
            </w:r>
            <w:r>
              <w:rPr>
                <w:spacing w:val="-2"/>
                <w:sz w:val="14"/>
              </w:rPr>
              <w:t>Appeals:</w:t>
            </w:r>
            <w:r>
              <w:rPr>
                <w:spacing w:val="40"/>
                <w:sz w:val="14"/>
              </w:rPr>
              <w:t> </w:t>
            </w:r>
            <w:r>
              <w:rPr>
                <w:i/>
                <w:spacing w:val="-2"/>
                <w:sz w:val="14"/>
              </w:rPr>
              <w:t>Ongwen</w:t>
            </w:r>
          </w:p>
          <w:p>
            <w:pPr>
              <w:pStyle w:val="TableParagraph"/>
              <w:spacing w:before="38"/>
              <w:ind w:left="24" w:right="39"/>
              <w:jc w:val="left"/>
              <w:rPr>
                <w:i/>
                <w:sz w:val="14"/>
              </w:rPr>
            </w:pPr>
            <w:r>
              <w:rPr>
                <w:spacing w:val="-2"/>
                <w:sz w:val="14"/>
              </w:rPr>
              <w:t>Reparations:</w:t>
            </w:r>
            <w:r>
              <w:rPr>
                <w:spacing w:val="40"/>
                <w:sz w:val="14"/>
              </w:rPr>
              <w:t> </w:t>
            </w:r>
            <w:r>
              <w:rPr>
                <w:i/>
                <w:spacing w:val="-2"/>
                <w:sz w:val="14"/>
              </w:rPr>
              <w:t>Katanga</w:t>
            </w:r>
            <w:r>
              <w:rPr>
                <w:spacing w:val="-2"/>
                <w:sz w:val="14"/>
              </w:rPr>
              <w:t>;</w:t>
            </w:r>
            <w:r>
              <w:rPr>
                <w:spacing w:val="40"/>
                <w:sz w:val="14"/>
              </w:rPr>
              <w:t> </w:t>
            </w:r>
            <w:r>
              <w:rPr>
                <w:i/>
                <w:sz w:val="14"/>
              </w:rPr>
              <w:t>Lubanga</w:t>
            </w:r>
            <w:r>
              <w:rPr>
                <w:i/>
                <w:spacing w:val="-6"/>
                <w:sz w:val="14"/>
              </w:rPr>
              <w:t> </w:t>
            </w:r>
            <w:r>
              <w:rPr>
                <w:i/>
                <w:sz w:val="14"/>
              </w:rPr>
              <w:t>I</w:t>
            </w:r>
            <w:r>
              <w:rPr>
                <w:sz w:val="14"/>
              </w:rPr>
              <w:t>;</w:t>
            </w:r>
            <w:r>
              <w:rPr>
                <w:spacing w:val="40"/>
                <w:sz w:val="14"/>
              </w:rPr>
              <w:t> </w:t>
            </w:r>
            <w:r>
              <w:rPr>
                <w:i/>
                <w:sz w:val="14"/>
              </w:rPr>
              <w:t>Lubanga</w:t>
            </w:r>
            <w:r>
              <w:rPr>
                <w:i/>
                <w:spacing w:val="-9"/>
                <w:sz w:val="14"/>
              </w:rPr>
              <w:t> </w:t>
            </w:r>
            <w:r>
              <w:rPr>
                <w:i/>
                <w:sz w:val="14"/>
              </w:rPr>
              <w:t>II</w:t>
            </w:r>
            <w:r>
              <w:rPr>
                <w:sz w:val="14"/>
              </w:rPr>
              <w:t>;</w:t>
            </w:r>
            <w:r>
              <w:rPr>
                <w:spacing w:val="-9"/>
                <w:sz w:val="14"/>
              </w:rPr>
              <w:t> </w:t>
            </w:r>
            <w:r>
              <w:rPr>
                <w:sz w:val="14"/>
              </w:rPr>
              <w:t>and</w:t>
            </w:r>
            <w:r>
              <w:rPr>
                <w:spacing w:val="40"/>
                <w:sz w:val="14"/>
              </w:rPr>
              <w:t> </w:t>
            </w:r>
            <w:r>
              <w:rPr>
                <w:i/>
                <w:sz w:val="14"/>
              </w:rPr>
              <w:t>Al</w:t>
            </w:r>
            <w:r>
              <w:rPr>
                <w:i/>
                <w:spacing w:val="-9"/>
                <w:sz w:val="14"/>
              </w:rPr>
              <w:t> </w:t>
            </w:r>
            <w:r>
              <w:rPr>
                <w:i/>
                <w:sz w:val="14"/>
              </w:rPr>
              <w:t>Mahdi</w:t>
            </w:r>
          </w:p>
        </w:tc>
      </w:tr>
      <w:tr>
        <w:trPr>
          <w:trHeight w:val="3940" w:hRule="atLeast"/>
        </w:trPr>
        <w:tc>
          <w:tcPr>
            <w:tcW w:w="226" w:type="dxa"/>
            <w:tcBorders>
              <w:bottom w:val="single" w:sz="4" w:space="0" w:color="000000"/>
            </w:tcBorders>
          </w:tcPr>
          <w:p>
            <w:pPr>
              <w:pStyle w:val="TableParagraph"/>
              <w:spacing w:before="36"/>
              <w:ind w:left="14"/>
              <w:jc w:val="left"/>
              <w:rPr>
                <w:sz w:val="14"/>
              </w:rPr>
            </w:pPr>
            <w:r>
              <w:rPr>
                <w:spacing w:val="-5"/>
                <w:sz w:val="14"/>
              </w:rPr>
              <w:t>24</w:t>
            </w:r>
          </w:p>
        </w:tc>
        <w:tc>
          <w:tcPr>
            <w:tcW w:w="749" w:type="dxa"/>
            <w:tcBorders>
              <w:bottom w:val="single" w:sz="4" w:space="0" w:color="000000"/>
            </w:tcBorders>
          </w:tcPr>
          <w:p>
            <w:pPr>
              <w:pStyle w:val="TableParagraph"/>
              <w:spacing w:line="237" w:lineRule="auto" w:before="37"/>
              <w:ind w:left="67"/>
              <w:jc w:val="left"/>
              <w:rPr>
                <w:sz w:val="14"/>
              </w:rPr>
            </w:pPr>
            <w:r>
              <w:rPr>
                <w:sz w:val="14"/>
              </w:rPr>
              <w:t>Number</w:t>
            </w:r>
            <w:r>
              <w:rPr>
                <w:spacing w:val="-9"/>
                <w:sz w:val="14"/>
              </w:rPr>
              <w:t> </w:t>
            </w:r>
            <w:r>
              <w:rPr>
                <w:sz w:val="14"/>
              </w:rPr>
              <w:t>of</w:t>
            </w:r>
            <w:r>
              <w:rPr>
                <w:spacing w:val="40"/>
                <w:sz w:val="14"/>
              </w:rPr>
              <w:t> </w:t>
            </w:r>
            <w:r>
              <w:rPr>
                <w:spacing w:val="-2"/>
                <w:sz w:val="14"/>
              </w:rPr>
              <w:t>country</w:t>
            </w:r>
            <w:r>
              <w:rPr>
                <w:spacing w:val="40"/>
                <w:sz w:val="14"/>
              </w:rPr>
              <w:t> </w:t>
            </w:r>
            <w:r>
              <w:rPr>
                <w:spacing w:val="-2"/>
                <w:sz w:val="14"/>
              </w:rPr>
              <w:t>offices/</w:t>
            </w:r>
            <w:r>
              <w:rPr>
                <w:spacing w:val="40"/>
                <w:sz w:val="14"/>
              </w:rPr>
              <w:t> </w:t>
            </w:r>
            <w:r>
              <w:rPr>
                <w:spacing w:val="-2"/>
                <w:sz w:val="14"/>
              </w:rPr>
              <w:t>presences</w:t>
            </w:r>
            <w:r>
              <w:rPr>
                <w:spacing w:val="-2"/>
                <w:sz w:val="14"/>
                <w:vertAlign w:val="superscript"/>
              </w:rPr>
              <w:t>176</w:t>
            </w:r>
          </w:p>
        </w:tc>
        <w:tc>
          <w:tcPr>
            <w:tcW w:w="601" w:type="dxa"/>
            <w:tcBorders>
              <w:bottom w:val="single" w:sz="4" w:space="0" w:color="000000"/>
            </w:tcBorders>
          </w:tcPr>
          <w:p>
            <w:pPr>
              <w:pStyle w:val="TableParagraph"/>
              <w:spacing w:before="36"/>
              <w:ind w:left="269"/>
              <w:jc w:val="left"/>
              <w:rPr>
                <w:sz w:val="14"/>
              </w:rPr>
            </w:pPr>
            <w:r>
              <w:rPr>
                <w:w w:val="99"/>
                <w:sz w:val="14"/>
              </w:rPr>
              <w:t>7</w:t>
            </w:r>
          </w:p>
        </w:tc>
        <w:tc>
          <w:tcPr>
            <w:tcW w:w="466" w:type="dxa"/>
            <w:tcBorders>
              <w:bottom w:val="single" w:sz="4" w:space="0" w:color="000000"/>
            </w:tcBorders>
          </w:tcPr>
          <w:p>
            <w:pPr>
              <w:pStyle w:val="TableParagraph"/>
              <w:spacing w:before="36"/>
              <w:ind w:left="15"/>
              <w:jc w:val="center"/>
              <w:rPr>
                <w:sz w:val="14"/>
              </w:rPr>
            </w:pPr>
            <w:r>
              <w:rPr>
                <w:w w:val="99"/>
                <w:sz w:val="14"/>
              </w:rPr>
              <w:t>7</w:t>
            </w:r>
          </w:p>
        </w:tc>
        <w:tc>
          <w:tcPr>
            <w:tcW w:w="1128" w:type="dxa"/>
            <w:tcBorders>
              <w:bottom w:val="single" w:sz="4" w:space="0" w:color="000000"/>
            </w:tcBorders>
          </w:tcPr>
          <w:p>
            <w:pPr>
              <w:pStyle w:val="TableParagraph"/>
              <w:spacing w:before="36"/>
              <w:ind w:left="13" w:right="4"/>
              <w:jc w:val="left"/>
              <w:rPr>
                <w:sz w:val="14"/>
              </w:rPr>
            </w:pPr>
            <w:r>
              <w:rPr>
                <w:sz w:val="14"/>
              </w:rPr>
              <w:t>1 in the CAR</w:t>
            </w:r>
            <w:r>
              <w:rPr>
                <w:spacing w:val="40"/>
                <w:sz w:val="14"/>
              </w:rPr>
              <w:t> </w:t>
            </w:r>
            <w:r>
              <w:rPr>
                <w:sz w:val="14"/>
              </w:rPr>
              <w:t>(Bangui);</w:t>
            </w:r>
            <w:r>
              <w:rPr>
                <w:spacing w:val="-9"/>
                <w:sz w:val="14"/>
              </w:rPr>
              <w:t> </w:t>
            </w:r>
            <w:r>
              <w:rPr>
                <w:sz w:val="14"/>
              </w:rPr>
              <w:t>1</w:t>
            </w:r>
            <w:r>
              <w:rPr>
                <w:spacing w:val="-9"/>
                <w:sz w:val="14"/>
              </w:rPr>
              <w:t> </w:t>
            </w:r>
            <w:r>
              <w:rPr>
                <w:sz w:val="14"/>
              </w:rPr>
              <w:t>in</w:t>
            </w:r>
            <w:r>
              <w:rPr>
                <w:spacing w:val="-9"/>
                <w:sz w:val="14"/>
              </w:rPr>
              <w:t> </w:t>
            </w:r>
            <w:r>
              <w:rPr>
                <w:sz w:val="14"/>
              </w:rPr>
              <w:t>Côte</w:t>
            </w:r>
            <w:r>
              <w:rPr>
                <w:spacing w:val="40"/>
                <w:sz w:val="14"/>
              </w:rPr>
              <w:t> </w:t>
            </w:r>
            <w:r>
              <w:rPr>
                <w:sz w:val="14"/>
              </w:rPr>
              <w:t>d’Ivoire</w:t>
            </w:r>
            <w:r>
              <w:rPr>
                <w:spacing w:val="-9"/>
                <w:sz w:val="14"/>
              </w:rPr>
              <w:t> </w:t>
            </w:r>
            <w:r>
              <w:rPr>
                <w:sz w:val="14"/>
              </w:rPr>
              <w:t>(Abidjan);</w:t>
            </w:r>
            <w:r>
              <w:rPr>
                <w:spacing w:val="40"/>
                <w:sz w:val="14"/>
              </w:rPr>
              <w:t> </w:t>
            </w:r>
            <w:r>
              <w:rPr>
                <w:sz w:val="14"/>
              </w:rPr>
              <w:t>2 in the DRC</w:t>
            </w:r>
            <w:r>
              <w:rPr>
                <w:spacing w:val="40"/>
                <w:sz w:val="14"/>
              </w:rPr>
              <w:t> </w:t>
            </w:r>
            <w:r>
              <w:rPr>
                <w:sz w:val="14"/>
              </w:rPr>
              <w:t>(Kinshasa</w:t>
            </w:r>
            <w:r>
              <w:rPr>
                <w:spacing w:val="-9"/>
                <w:sz w:val="14"/>
              </w:rPr>
              <w:t> </w:t>
            </w:r>
            <w:r>
              <w:rPr>
                <w:sz w:val="14"/>
              </w:rPr>
              <w:t>and</w:t>
            </w:r>
            <w:r>
              <w:rPr>
                <w:spacing w:val="40"/>
                <w:sz w:val="14"/>
              </w:rPr>
              <w:t> </w:t>
            </w:r>
            <w:r>
              <w:rPr>
                <w:sz w:val="14"/>
              </w:rPr>
              <w:t>Bunia); 1 in</w:t>
            </w:r>
          </w:p>
          <w:p>
            <w:pPr>
              <w:pStyle w:val="TableParagraph"/>
              <w:ind w:left="13" w:right="24"/>
              <w:jc w:val="left"/>
              <w:rPr>
                <w:sz w:val="14"/>
              </w:rPr>
            </w:pPr>
            <w:r>
              <w:rPr>
                <w:sz w:val="14"/>
              </w:rPr>
              <w:t>Georgia</w:t>
            </w:r>
            <w:r>
              <w:rPr>
                <w:spacing w:val="-9"/>
                <w:sz w:val="14"/>
              </w:rPr>
              <w:t> </w:t>
            </w:r>
            <w:r>
              <w:rPr>
                <w:sz w:val="14"/>
              </w:rPr>
              <w:t>(Tbilisi);</w:t>
            </w:r>
            <w:r>
              <w:rPr>
                <w:spacing w:val="-9"/>
                <w:sz w:val="14"/>
              </w:rPr>
              <w:t> </w:t>
            </w:r>
            <w:r>
              <w:rPr>
                <w:sz w:val="14"/>
              </w:rPr>
              <w:t>1</w:t>
            </w:r>
            <w:r>
              <w:rPr>
                <w:spacing w:val="40"/>
                <w:sz w:val="14"/>
              </w:rPr>
              <w:t> </w:t>
            </w:r>
            <w:r>
              <w:rPr>
                <w:sz w:val="14"/>
              </w:rPr>
              <w:t>in Mali (Bamako);</w:t>
            </w:r>
            <w:r>
              <w:rPr>
                <w:spacing w:val="40"/>
                <w:sz w:val="14"/>
              </w:rPr>
              <w:t> </w:t>
            </w:r>
            <w:r>
              <w:rPr>
                <w:sz w:val="14"/>
              </w:rPr>
              <w:t>and 1 in Uganda</w:t>
            </w:r>
            <w:r>
              <w:rPr>
                <w:spacing w:val="40"/>
                <w:sz w:val="14"/>
              </w:rPr>
              <w:t> </w:t>
            </w:r>
            <w:r>
              <w:rPr>
                <w:spacing w:val="-2"/>
                <w:sz w:val="14"/>
              </w:rPr>
              <w:t>(Kampala)</w:t>
            </w:r>
          </w:p>
        </w:tc>
        <w:tc>
          <w:tcPr>
            <w:tcW w:w="630" w:type="dxa"/>
            <w:tcBorders>
              <w:bottom w:val="single" w:sz="4" w:space="0" w:color="000000"/>
            </w:tcBorders>
          </w:tcPr>
          <w:p>
            <w:pPr>
              <w:pStyle w:val="TableParagraph"/>
              <w:spacing w:before="36"/>
              <w:ind w:right="12"/>
              <w:jc w:val="center"/>
              <w:rPr>
                <w:sz w:val="14"/>
              </w:rPr>
            </w:pPr>
            <w:r>
              <w:rPr>
                <w:w w:val="99"/>
                <w:sz w:val="14"/>
              </w:rPr>
              <w:t>8</w:t>
            </w:r>
          </w:p>
        </w:tc>
        <w:tc>
          <w:tcPr>
            <w:tcW w:w="511" w:type="dxa"/>
            <w:tcBorders>
              <w:bottom w:val="single" w:sz="4" w:space="0" w:color="000000"/>
            </w:tcBorders>
          </w:tcPr>
          <w:p>
            <w:pPr>
              <w:pStyle w:val="TableParagraph"/>
              <w:spacing w:before="36"/>
              <w:ind w:left="17"/>
              <w:jc w:val="center"/>
              <w:rPr>
                <w:sz w:val="14"/>
              </w:rPr>
            </w:pPr>
            <w:r>
              <w:rPr>
                <w:w w:val="99"/>
                <w:sz w:val="14"/>
              </w:rPr>
              <w:t>8</w:t>
            </w:r>
          </w:p>
        </w:tc>
        <w:tc>
          <w:tcPr>
            <w:tcW w:w="968" w:type="dxa"/>
            <w:tcBorders>
              <w:bottom w:val="single" w:sz="4" w:space="0" w:color="000000"/>
            </w:tcBorders>
          </w:tcPr>
          <w:p>
            <w:pPr>
              <w:pStyle w:val="TableParagraph"/>
              <w:spacing w:before="36"/>
              <w:ind w:left="30" w:right="16"/>
              <w:jc w:val="left"/>
              <w:rPr>
                <w:sz w:val="14"/>
              </w:rPr>
            </w:pPr>
            <w:r>
              <w:rPr>
                <w:sz w:val="14"/>
              </w:rPr>
              <w:t>1 in the CAR</w:t>
            </w:r>
            <w:r>
              <w:rPr>
                <w:spacing w:val="40"/>
                <w:sz w:val="14"/>
              </w:rPr>
              <w:t> </w:t>
            </w:r>
            <w:r>
              <w:rPr>
                <w:sz w:val="14"/>
              </w:rPr>
              <w:t>(Bangui); 1 in</w:t>
            </w:r>
            <w:r>
              <w:rPr>
                <w:spacing w:val="40"/>
                <w:sz w:val="14"/>
              </w:rPr>
              <w:t> </w:t>
            </w:r>
            <w:r>
              <w:rPr>
                <w:sz w:val="14"/>
              </w:rPr>
              <w:t>Côte</w:t>
            </w:r>
            <w:r>
              <w:rPr>
                <w:spacing w:val="-8"/>
                <w:sz w:val="14"/>
              </w:rPr>
              <w:t> </w:t>
            </w:r>
            <w:r>
              <w:rPr>
                <w:sz w:val="14"/>
              </w:rPr>
              <w:t>d’Ivoire</w:t>
            </w:r>
            <w:r>
              <w:rPr>
                <w:spacing w:val="40"/>
                <w:sz w:val="14"/>
              </w:rPr>
              <w:t> </w:t>
            </w:r>
            <w:r>
              <w:rPr>
                <w:sz w:val="14"/>
              </w:rPr>
              <w:t>(Abidjan); 2 in</w:t>
            </w:r>
            <w:r>
              <w:rPr>
                <w:spacing w:val="40"/>
                <w:sz w:val="14"/>
              </w:rPr>
              <w:t> </w:t>
            </w:r>
            <w:r>
              <w:rPr>
                <w:sz w:val="14"/>
              </w:rPr>
              <w:t>the</w:t>
            </w:r>
            <w:r>
              <w:rPr>
                <w:spacing w:val="-9"/>
                <w:sz w:val="14"/>
              </w:rPr>
              <w:t> </w:t>
            </w:r>
            <w:r>
              <w:rPr>
                <w:sz w:val="14"/>
              </w:rPr>
              <w:t>DRC</w:t>
            </w:r>
            <w:r>
              <w:rPr>
                <w:spacing w:val="40"/>
                <w:sz w:val="14"/>
              </w:rPr>
              <w:t> </w:t>
            </w:r>
            <w:r>
              <w:rPr>
                <w:sz w:val="14"/>
              </w:rPr>
              <w:t>(Kinshasa</w:t>
            </w:r>
            <w:r>
              <w:rPr>
                <w:spacing w:val="-9"/>
                <w:sz w:val="14"/>
              </w:rPr>
              <w:t> </w:t>
            </w:r>
            <w:r>
              <w:rPr>
                <w:sz w:val="14"/>
              </w:rPr>
              <w:t>and</w:t>
            </w:r>
            <w:r>
              <w:rPr>
                <w:spacing w:val="40"/>
                <w:sz w:val="14"/>
              </w:rPr>
              <w:t> </w:t>
            </w:r>
            <w:r>
              <w:rPr>
                <w:sz w:val="14"/>
              </w:rPr>
              <w:t>Bunia); 1 in</w:t>
            </w:r>
            <w:r>
              <w:rPr>
                <w:spacing w:val="40"/>
                <w:sz w:val="14"/>
              </w:rPr>
              <w:t> </w:t>
            </w:r>
            <w:r>
              <w:rPr>
                <w:spacing w:val="-2"/>
                <w:sz w:val="14"/>
              </w:rPr>
              <w:t>Georgia</w:t>
            </w:r>
            <w:r>
              <w:rPr>
                <w:spacing w:val="40"/>
                <w:sz w:val="14"/>
              </w:rPr>
              <w:t> </w:t>
            </w:r>
            <w:r>
              <w:rPr>
                <w:sz w:val="14"/>
              </w:rPr>
              <w:t>(Tbilisi); 1 in</w:t>
            </w:r>
            <w:r>
              <w:rPr>
                <w:spacing w:val="40"/>
                <w:sz w:val="14"/>
              </w:rPr>
              <w:t> </w:t>
            </w:r>
            <w:r>
              <w:rPr>
                <w:sz w:val="14"/>
              </w:rPr>
              <w:t>Mali</w:t>
            </w:r>
            <w:r>
              <w:rPr>
                <w:spacing w:val="-9"/>
                <w:sz w:val="14"/>
              </w:rPr>
              <w:t> </w:t>
            </w:r>
            <w:r>
              <w:rPr>
                <w:sz w:val="14"/>
              </w:rPr>
              <w:t>(Bamako);</w:t>
            </w:r>
            <w:r>
              <w:rPr>
                <w:spacing w:val="40"/>
                <w:sz w:val="14"/>
              </w:rPr>
              <w:t> </w:t>
            </w:r>
            <w:r>
              <w:rPr>
                <w:sz w:val="14"/>
              </w:rPr>
              <w:t>1 in Uganda</w:t>
            </w:r>
            <w:r>
              <w:rPr>
                <w:spacing w:val="40"/>
                <w:sz w:val="14"/>
              </w:rPr>
              <w:t> </w:t>
            </w:r>
            <w:r>
              <w:rPr>
                <w:sz w:val="14"/>
              </w:rPr>
              <w:t>(Kampala);</w:t>
            </w:r>
            <w:r>
              <w:rPr>
                <w:spacing w:val="-9"/>
                <w:sz w:val="14"/>
              </w:rPr>
              <w:t> </w:t>
            </w:r>
            <w:r>
              <w:rPr>
                <w:sz w:val="14"/>
              </w:rPr>
              <w:t>and</w:t>
            </w:r>
            <w:r>
              <w:rPr>
                <w:spacing w:val="40"/>
                <w:sz w:val="14"/>
              </w:rPr>
              <w:t> </w:t>
            </w:r>
            <w:r>
              <w:rPr>
                <w:sz w:val="14"/>
              </w:rPr>
              <w:t>1</w:t>
            </w:r>
            <w:r>
              <w:rPr>
                <w:spacing w:val="-9"/>
                <w:sz w:val="14"/>
              </w:rPr>
              <w:t> </w:t>
            </w:r>
            <w:r>
              <w:rPr>
                <w:sz w:val="14"/>
              </w:rPr>
              <w:t>Liaison</w:t>
            </w:r>
            <w:r>
              <w:rPr>
                <w:spacing w:val="-9"/>
                <w:sz w:val="14"/>
              </w:rPr>
              <w:t> </w:t>
            </w:r>
            <w:r>
              <w:rPr>
                <w:sz w:val="14"/>
              </w:rPr>
              <w:t>Office</w:t>
            </w:r>
            <w:r>
              <w:rPr>
                <w:spacing w:val="40"/>
                <w:sz w:val="14"/>
              </w:rPr>
              <w:t> </w:t>
            </w:r>
            <w:r>
              <w:rPr>
                <w:sz w:val="14"/>
              </w:rPr>
              <w:t>to the United</w:t>
            </w:r>
            <w:r>
              <w:rPr>
                <w:spacing w:val="40"/>
                <w:sz w:val="14"/>
              </w:rPr>
              <w:t> </w:t>
            </w:r>
            <w:r>
              <w:rPr>
                <w:sz w:val="14"/>
              </w:rPr>
              <w:t>Nations</w:t>
            </w:r>
            <w:r>
              <w:rPr>
                <w:spacing w:val="-9"/>
                <w:sz w:val="14"/>
              </w:rPr>
              <w:t> </w:t>
            </w:r>
            <w:r>
              <w:rPr>
                <w:sz w:val="14"/>
              </w:rPr>
              <w:t>(New</w:t>
            </w:r>
            <w:r>
              <w:rPr>
                <w:spacing w:val="40"/>
                <w:sz w:val="14"/>
              </w:rPr>
              <w:t> </w:t>
            </w:r>
            <w:r>
              <w:rPr>
                <w:spacing w:val="-2"/>
                <w:sz w:val="14"/>
              </w:rPr>
              <w:t>York)</w:t>
            </w:r>
          </w:p>
        </w:tc>
        <w:tc>
          <w:tcPr>
            <w:tcW w:w="599" w:type="dxa"/>
            <w:tcBorders>
              <w:bottom w:val="single" w:sz="4" w:space="0" w:color="000000"/>
            </w:tcBorders>
          </w:tcPr>
          <w:p>
            <w:pPr>
              <w:pStyle w:val="TableParagraph"/>
              <w:spacing w:before="36"/>
              <w:ind w:right="11"/>
              <w:jc w:val="center"/>
              <w:rPr>
                <w:sz w:val="14"/>
              </w:rPr>
            </w:pPr>
            <w:r>
              <w:rPr>
                <w:w w:val="99"/>
                <w:sz w:val="14"/>
              </w:rPr>
              <w:t>8</w:t>
            </w:r>
          </w:p>
        </w:tc>
        <w:tc>
          <w:tcPr>
            <w:tcW w:w="475" w:type="dxa"/>
            <w:tcBorders>
              <w:bottom w:val="single" w:sz="4" w:space="0" w:color="000000"/>
            </w:tcBorders>
          </w:tcPr>
          <w:p>
            <w:pPr>
              <w:pStyle w:val="TableParagraph"/>
              <w:spacing w:before="36"/>
              <w:ind w:left="17"/>
              <w:jc w:val="center"/>
              <w:rPr>
                <w:sz w:val="14"/>
              </w:rPr>
            </w:pPr>
            <w:r>
              <w:rPr>
                <w:w w:val="99"/>
                <w:sz w:val="14"/>
              </w:rPr>
              <w:t>8</w:t>
            </w:r>
          </w:p>
        </w:tc>
        <w:tc>
          <w:tcPr>
            <w:tcW w:w="1031" w:type="dxa"/>
            <w:tcBorders>
              <w:bottom w:val="single" w:sz="4" w:space="0" w:color="000000"/>
            </w:tcBorders>
          </w:tcPr>
          <w:p>
            <w:pPr>
              <w:pStyle w:val="TableParagraph"/>
              <w:spacing w:before="36"/>
              <w:ind w:left="14" w:right="22"/>
              <w:jc w:val="left"/>
              <w:rPr>
                <w:sz w:val="14"/>
              </w:rPr>
            </w:pPr>
            <w:r>
              <w:rPr>
                <w:sz w:val="14"/>
              </w:rPr>
              <w:t>1 in the CAR</w:t>
            </w:r>
            <w:r>
              <w:rPr>
                <w:spacing w:val="40"/>
                <w:sz w:val="14"/>
              </w:rPr>
              <w:t> </w:t>
            </w:r>
            <w:r>
              <w:rPr>
                <w:sz w:val="14"/>
              </w:rPr>
              <w:t>(Bangui); 1 in</w:t>
            </w:r>
            <w:r>
              <w:rPr>
                <w:spacing w:val="40"/>
                <w:sz w:val="14"/>
              </w:rPr>
              <w:t> </w:t>
            </w:r>
            <w:r>
              <w:rPr>
                <w:sz w:val="14"/>
              </w:rPr>
              <w:t>Côte</w:t>
            </w:r>
            <w:r>
              <w:rPr>
                <w:spacing w:val="-8"/>
                <w:sz w:val="14"/>
              </w:rPr>
              <w:t> </w:t>
            </w:r>
            <w:r>
              <w:rPr>
                <w:sz w:val="14"/>
              </w:rPr>
              <w:t>d’Ivoire</w:t>
            </w:r>
            <w:r>
              <w:rPr>
                <w:spacing w:val="40"/>
                <w:sz w:val="14"/>
              </w:rPr>
              <w:t> </w:t>
            </w:r>
            <w:r>
              <w:rPr>
                <w:sz w:val="14"/>
              </w:rPr>
              <w:t>(Abidjan); 2 in</w:t>
            </w:r>
            <w:r>
              <w:rPr>
                <w:spacing w:val="40"/>
                <w:sz w:val="14"/>
              </w:rPr>
              <w:t> </w:t>
            </w:r>
            <w:r>
              <w:rPr>
                <w:sz w:val="14"/>
              </w:rPr>
              <w:t>the</w:t>
            </w:r>
            <w:r>
              <w:rPr>
                <w:spacing w:val="-9"/>
                <w:sz w:val="14"/>
              </w:rPr>
              <w:t> </w:t>
            </w:r>
            <w:r>
              <w:rPr>
                <w:sz w:val="14"/>
              </w:rPr>
              <w:t>DRC</w:t>
            </w:r>
            <w:r>
              <w:rPr>
                <w:spacing w:val="40"/>
                <w:sz w:val="14"/>
              </w:rPr>
              <w:t> </w:t>
            </w:r>
            <w:r>
              <w:rPr>
                <w:sz w:val="14"/>
              </w:rPr>
              <w:t>(Kinshasa</w:t>
            </w:r>
            <w:r>
              <w:rPr>
                <w:spacing w:val="-9"/>
                <w:sz w:val="14"/>
              </w:rPr>
              <w:t> </w:t>
            </w:r>
            <w:r>
              <w:rPr>
                <w:sz w:val="14"/>
              </w:rPr>
              <w:t>and</w:t>
            </w:r>
            <w:r>
              <w:rPr>
                <w:spacing w:val="40"/>
                <w:sz w:val="14"/>
              </w:rPr>
              <w:t> </w:t>
            </w:r>
            <w:r>
              <w:rPr>
                <w:sz w:val="14"/>
              </w:rPr>
              <w:t>Bunia); 1 in</w:t>
            </w:r>
            <w:r>
              <w:rPr>
                <w:spacing w:val="40"/>
                <w:sz w:val="14"/>
              </w:rPr>
              <w:t> </w:t>
            </w:r>
            <w:r>
              <w:rPr>
                <w:sz w:val="14"/>
              </w:rPr>
              <w:t>Georgia</w:t>
            </w:r>
            <w:r>
              <w:rPr>
                <w:spacing w:val="-9"/>
                <w:sz w:val="14"/>
              </w:rPr>
              <w:t> </w:t>
            </w:r>
            <w:r>
              <w:rPr>
                <w:sz w:val="14"/>
              </w:rPr>
              <w:t>(Tbilisi);</w:t>
            </w:r>
            <w:r>
              <w:rPr>
                <w:spacing w:val="40"/>
                <w:sz w:val="14"/>
              </w:rPr>
              <w:t> </w:t>
            </w:r>
            <w:r>
              <w:rPr>
                <w:sz w:val="14"/>
              </w:rPr>
              <w:t>1 in Mali</w:t>
            </w:r>
            <w:r>
              <w:rPr>
                <w:spacing w:val="40"/>
                <w:sz w:val="14"/>
              </w:rPr>
              <w:t> </w:t>
            </w:r>
            <w:r>
              <w:rPr>
                <w:spacing w:val="-2"/>
                <w:sz w:val="14"/>
              </w:rPr>
              <w:t>(Bamako);</w:t>
            </w:r>
          </w:p>
          <w:p>
            <w:pPr>
              <w:pStyle w:val="TableParagraph"/>
              <w:spacing w:before="3"/>
              <w:ind w:left="14" w:right="97"/>
              <w:jc w:val="left"/>
              <w:rPr>
                <w:sz w:val="14"/>
              </w:rPr>
            </w:pPr>
            <w:r>
              <w:rPr>
                <w:sz w:val="14"/>
              </w:rPr>
              <w:t>1 in Uganda</w:t>
            </w:r>
            <w:r>
              <w:rPr>
                <w:spacing w:val="40"/>
                <w:sz w:val="14"/>
              </w:rPr>
              <w:t> </w:t>
            </w:r>
            <w:r>
              <w:rPr>
                <w:sz w:val="14"/>
              </w:rPr>
              <w:t>(Kampala)</w:t>
            </w:r>
            <w:r>
              <w:rPr>
                <w:spacing w:val="-6"/>
                <w:sz w:val="14"/>
              </w:rPr>
              <w:t> </w:t>
            </w:r>
            <w:r>
              <w:rPr>
                <w:sz w:val="14"/>
              </w:rPr>
              <w:t>and</w:t>
            </w:r>
            <w:r>
              <w:rPr>
                <w:spacing w:val="40"/>
                <w:sz w:val="14"/>
              </w:rPr>
              <w:t> </w:t>
            </w:r>
            <w:r>
              <w:rPr>
                <w:sz w:val="14"/>
              </w:rPr>
              <w:t>1</w:t>
            </w:r>
            <w:r>
              <w:rPr>
                <w:spacing w:val="-9"/>
                <w:sz w:val="14"/>
              </w:rPr>
              <w:t> </w:t>
            </w:r>
            <w:r>
              <w:rPr>
                <w:sz w:val="14"/>
              </w:rPr>
              <w:t>Liaison</w:t>
            </w:r>
            <w:r>
              <w:rPr>
                <w:spacing w:val="-9"/>
                <w:sz w:val="14"/>
              </w:rPr>
              <w:t> </w:t>
            </w:r>
            <w:r>
              <w:rPr>
                <w:sz w:val="14"/>
              </w:rPr>
              <w:t>Office</w:t>
            </w:r>
            <w:r>
              <w:rPr>
                <w:spacing w:val="40"/>
                <w:sz w:val="14"/>
              </w:rPr>
              <w:t> </w:t>
            </w:r>
            <w:r>
              <w:rPr>
                <w:sz w:val="14"/>
              </w:rPr>
              <w:t>to the United</w:t>
            </w:r>
            <w:r>
              <w:rPr>
                <w:spacing w:val="40"/>
                <w:sz w:val="14"/>
              </w:rPr>
              <w:t> </w:t>
            </w:r>
            <w:r>
              <w:rPr>
                <w:sz w:val="14"/>
              </w:rPr>
              <w:t>Nations</w:t>
            </w:r>
            <w:r>
              <w:rPr>
                <w:spacing w:val="-9"/>
                <w:sz w:val="14"/>
              </w:rPr>
              <w:t> </w:t>
            </w:r>
            <w:r>
              <w:rPr>
                <w:sz w:val="14"/>
              </w:rPr>
              <w:t>(New</w:t>
            </w:r>
            <w:r>
              <w:rPr>
                <w:spacing w:val="40"/>
                <w:sz w:val="14"/>
              </w:rPr>
              <w:t> </w:t>
            </w:r>
            <w:r>
              <w:rPr>
                <w:spacing w:val="-2"/>
                <w:sz w:val="14"/>
              </w:rPr>
              <w:t>York)</w:t>
            </w:r>
          </w:p>
        </w:tc>
        <w:tc>
          <w:tcPr>
            <w:tcW w:w="596" w:type="dxa"/>
            <w:tcBorders>
              <w:bottom w:val="single" w:sz="4" w:space="0" w:color="000000"/>
            </w:tcBorders>
          </w:tcPr>
          <w:p>
            <w:pPr>
              <w:pStyle w:val="TableParagraph"/>
              <w:spacing w:before="36"/>
              <w:ind w:left="5"/>
              <w:jc w:val="center"/>
              <w:rPr>
                <w:sz w:val="14"/>
              </w:rPr>
            </w:pPr>
            <w:r>
              <w:rPr>
                <w:w w:val="99"/>
                <w:sz w:val="14"/>
              </w:rPr>
              <w:t>8</w:t>
            </w:r>
          </w:p>
        </w:tc>
        <w:tc>
          <w:tcPr>
            <w:tcW w:w="1217" w:type="dxa"/>
            <w:tcBorders>
              <w:bottom w:val="single" w:sz="4" w:space="0" w:color="000000"/>
            </w:tcBorders>
          </w:tcPr>
          <w:p>
            <w:pPr>
              <w:pStyle w:val="TableParagraph"/>
              <w:spacing w:before="36"/>
              <w:ind w:left="20" w:right="18"/>
              <w:jc w:val="left"/>
              <w:rPr>
                <w:sz w:val="14"/>
              </w:rPr>
            </w:pPr>
            <w:r>
              <w:rPr>
                <w:sz w:val="14"/>
              </w:rPr>
              <w:t>1 in the CAR</w:t>
            </w:r>
            <w:r>
              <w:rPr>
                <w:spacing w:val="40"/>
                <w:sz w:val="14"/>
              </w:rPr>
              <w:t> </w:t>
            </w:r>
            <w:r>
              <w:rPr>
                <w:sz w:val="14"/>
              </w:rPr>
              <w:t>(Bangui); 1 in Côte</w:t>
            </w:r>
            <w:r>
              <w:rPr>
                <w:spacing w:val="40"/>
                <w:sz w:val="14"/>
              </w:rPr>
              <w:t> </w:t>
            </w:r>
            <w:r>
              <w:rPr>
                <w:sz w:val="14"/>
              </w:rPr>
              <w:t>d’Ivoire</w:t>
            </w:r>
            <w:r>
              <w:rPr>
                <w:spacing w:val="-9"/>
                <w:sz w:val="14"/>
              </w:rPr>
              <w:t> </w:t>
            </w:r>
            <w:r>
              <w:rPr>
                <w:sz w:val="14"/>
              </w:rPr>
              <w:t>(Abidjan);</w:t>
            </w:r>
            <w:r>
              <w:rPr>
                <w:spacing w:val="-9"/>
                <w:sz w:val="14"/>
              </w:rPr>
              <w:t> </w:t>
            </w:r>
            <w:r>
              <w:rPr>
                <w:sz w:val="14"/>
              </w:rPr>
              <w:t>2</w:t>
            </w:r>
            <w:r>
              <w:rPr>
                <w:spacing w:val="40"/>
                <w:sz w:val="14"/>
              </w:rPr>
              <w:t> </w:t>
            </w:r>
            <w:r>
              <w:rPr>
                <w:sz w:val="14"/>
              </w:rPr>
              <w:t>in the DRC</w:t>
            </w:r>
            <w:r>
              <w:rPr>
                <w:spacing w:val="40"/>
                <w:sz w:val="14"/>
              </w:rPr>
              <w:t> </w:t>
            </w:r>
            <w:r>
              <w:rPr>
                <w:sz w:val="14"/>
              </w:rPr>
              <w:t>(Kinshasa</w:t>
            </w:r>
            <w:r>
              <w:rPr>
                <w:spacing w:val="-9"/>
                <w:sz w:val="14"/>
              </w:rPr>
              <w:t> </w:t>
            </w:r>
            <w:r>
              <w:rPr>
                <w:sz w:val="14"/>
              </w:rPr>
              <w:t>and</w:t>
            </w:r>
            <w:r>
              <w:rPr>
                <w:spacing w:val="40"/>
                <w:sz w:val="14"/>
              </w:rPr>
              <w:t> </w:t>
            </w:r>
            <w:r>
              <w:rPr>
                <w:sz w:val="14"/>
              </w:rPr>
              <w:t>Bunia);</w:t>
            </w:r>
            <w:r>
              <w:rPr>
                <w:spacing w:val="-7"/>
                <w:sz w:val="14"/>
              </w:rPr>
              <w:t> </w:t>
            </w:r>
            <w:r>
              <w:rPr>
                <w:sz w:val="14"/>
              </w:rPr>
              <w:t>1</w:t>
            </w:r>
            <w:r>
              <w:rPr>
                <w:spacing w:val="-5"/>
                <w:sz w:val="14"/>
              </w:rPr>
              <w:t> </w:t>
            </w:r>
            <w:r>
              <w:rPr>
                <w:sz w:val="14"/>
              </w:rPr>
              <w:t>in</w:t>
            </w:r>
            <w:r>
              <w:rPr>
                <w:spacing w:val="-5"/>
                <w:sz w:val="14"/>
              </w:rPr>
              <w:t> </w:t>
            </w:r>
            <w:r>
              <w:rPr>
                <w:sz w:val="14"/>
              </w:rPr>
              <w:t>Georgia</w:t>
            </w:r>
            <w:r>
              <w:rPr>
                <w:spacing w:val="40"/>
                <w:sz w:val="14"/>
              </w:rPr>
              <w:t> </w:t>
            </w:r>
            <w:r>
              <w:rPr>
                <w:sz w:val="14"/>
              </w:rPr>
              <w:t>(Tbilisi); 1 in Mali</w:t>
            </w:r>
            <w:r>
              <w:rPr>
                <w:spacing w:val="40"/>
                <w:sz w:val="14"/>
              </w:rPr>
              <w:t> </w:t>
            </w:r>
            <w:r>
              <w:rPr>
                <w:sz w:val="14"/>
              </w:rPr>
              <w:t>(Bamako); 1 in</w:t>
            </w:r>
            <w:r>
              <w:rPr>
                <w:spacing w:val="40"/>
                <w:sz w:val="14"/>
              </w:rPr>
              <w:t> </w:t>
            </w:r>
            <w:r>
              <w:rPr>
                <w:sz w:val="14"/>
              </w:rPr>
              <w:t>Uganda</w:t>
            </w:r>
            <w:r>
              <w:rPr>
                <w:spacing w:val="-9"/>
                <w:sz w:val="14"/>
              </w:rPr>
              <w:t> </w:t>
            </w:r>
            <w:r>
              <w:rPr>
                <w:sz w:val="14"/>
              </w:rPr>
              <w:t>(Kampala);</w:t>
            </w:r>
            <w:r>
              <w:rPr>
                <w:spacing w:val="40"/>
                <w:sz w:val="14"/>
              </w:rPr>
              <w:t> </w:t>
            </w:r>
            <w:r>
              <w:rPr>
                <w:sz w:val="14"/>
              </w:rPr>
              <w:t>and</w:t>
            </w:r>
            <w:r>
              <w:rPr>
                <w:spacing w:val="-6"/>
                <w:sz w:val="14"/>
              </w:rPr>
              <w:t> </w:t>
            </w:r>
            <w:r>
              <w:rPr>
                <w:sz w:val="14"/>
              </w:rPr>
              <w:t>1</w:t>
            </w:r>
            <w:r>
              <w:rPr>
                <w:spacing w:val="-6"/>
                <w:sz w:val="14"/>
              </w:rPr>
              <w:t> </w:t>
            </w:r>
            <w:r>
              <w:rPr>
                <w:sz w:val="14"/>
              </w:rPr>
              <w:t>Liaison</w:t>
            </w:r>
            <w:r>
              <w:rPr>
                <w:spacing w:val="-6"/>
                <w:sz w:val="14"/>
              </w:rPr>
              <w:t> </w:t>
            </w:r>
            <w:r>
              <w:rPr>
                <w:sz w:val="14"/>
              </w:rPr>
              <w:t>Office</w:t>
            </w:r>
            <w:r>
              <w:rPr>
                <w:spacing w:val="40"/>
                <w:sz w:val="14"/>
              </w:rPr>
              <w:t> </w:t>
            </w:r>
            <w:r>
              <w:rPr>
                <w:sz w:val="14"/>
              </w:rPr>
              <w:t>to the United</w:t>
            </w:r>
            <w:r>
              <w:rPr>
                <w:spacing w:val="40"/>
                <w:sz w:val="14"/>
              </w:rPr>
              <w:t> </w:t>
            </w:r>
            <w:r>
              <w:rPr>
                <w:sz w:val="14"/>
              </w:rPr>
              <w:t>Nations</w:t>
            </w:r>
            <w:r>
              <w:rPr>
                <w:spacing w:val="-7"/>
                <w:sz w:val="14"/>
              </w:rPr>
              <w:t> </w:t>
            </w:r>
            <w:r>
              <w:rPr>
                <w:sz w:val="14"/>
              </w:rPr>
              <w:t>(New</w:t>
            </w:r>
            <w:r>
              <w:rPr>
                <w:spacing w:val="-6"/>
                <w:sz w:val="14"/>
              </w:rPr>
              <w:t> </w:t>
            </w:r>
            <w:r>
              <w:rPr>
                <w:sz w:val="14"/>
              </w:rPr>
              <w:t>York)</w:t>
            </w:r>
          </w:p>
        </w:tc>
        <w:tc>
          <w:tcPr>
            <w:tcW w:w="580" w:type="dxa"/>
            <w:tcBorders>
              <w:bottom w:val="single" w:sz="4" w:space="0" w:color="000000"/>
            </w:tcBorders>
          </w:tcPr>
          <w:p>
            <w:pPr>
              <w:pStyle w:val="TableParagraph"/>
              <w:spacing w:before="36"/>
              <w:ind w:left="19" w:right="7"/>
              <w:jc w:val="center"/>
              <w:rPr>
                <w:sz w:val="14"/>
              </w:rPr>
            </w:pPr>
            <w:r>
              <w:rPr>
                <w:spacing w:val="-5"/>
                <w:sz w:val="14"/>
              </w:rPr>
              <w:t>12</w:t>
            </w:r>
          </w:p>
        </w:tc>
        <w:tc>
          <w:tcPr>
            <w:tcW w:w="1015" w:type="dxa"/>
            <w:tcBorders>
              <w:bottom w:val="single" w:sz="4" w:space="0" w:color="000000"/>
            </w:tcBorders>
          </w:tcPr>
          <w:p>
            <w:pPr>
              <w:pStyle w:val="TableParagraph"/>
              <w:spacing w:before="36"/>
              <w:ind w:left="24" w:right="-4"/>
              <w:jc w:val="left"/>
              <w:rPr>
                <w:sz w:val="14"/>
              </w:rPr>
            </w:pPr>
            <w:r>
              <w:rPr>
                <w:sz w:val="14"/>
              </w:rPr>
              <w:t>1 in the CAR</w:t>
            </w:r>
            <w:r>
              <w:rPr>
                <w:spacing w:val="40"/>
                <w:sz w:val="14"/>
              </w:rPr>
              <w:t> </w:t>
            </w:r>
            <w:r>
              <w:rPr>
                <w:sz w:val="14"/>
              </w:rPr>
              <w:t>(Bangui); 1 in</w:t>
            </w:r>
            <w:r>
              <w:rPr>
                <w:spacing w:val="40"/>
                <w:sz w:val="14"/>
              </w:rPr>
              <w:t> </w:t>
            </w:r>
            <w:r>
              <w:rPr>
                <w:sz w:val="14"/>
              </w:rPr>
              <w:t>Côte</w:t>
            </w:r>
            <w:r>
              <w:rPr>
                <w:spacing w:val="-8"/>
                <w:sz w:val="14"/>
              </w:rPr>
              <w:t> </w:t>
            </w:r>
            <w:r>
              <w:rPr>
                <w:sz w:val="14"/>
              </w:rPr>
              <w:t>d’Ivoire</w:t>
            </w:r>
            <w:r>
              <w:rPr>
                <w:spacing w:val="40"/>
                <w:sz w:val="14"/>
              </w:rPr>
              <w:t> </w:t>
            </w:r>
            <w:r>
              <w:rPr>
                <w:sz w:val="14"/>
              </w:rPr>
              <w:t>(Abidjan); 2 in</w:t>
            </w:r>
            <w:r>
              <w:rPr>
                <w:spacing w:val="40"/>
                <w:sz w:val="14"/>
              </w:rPr>
              <w:t> </w:t>
            </w:r>
            <w:r>
              <w:rPr>
                <w:sz w:val="14"/>
              </w:rPr>
              <w:t>the</w:t>
            </w:r>
            <w:r>
              <w:rPr>
                <w:spacing w:val="-9"/>
                <w:sz w:val="14"/>
              </w:rPr>
              <w:t> </w:t>
            </w:r>
            <w:r>
              <w:rPr>
                <w:sz w:val="14"/>
              </w:rPr>
              <w:t>DRC</w:t>
            </w:r>
            <w:r>
              <w:rPr>
                <w:spacing w:val="40"/>
                <w:sz w:val="14"/>
              </w:rPr>
              <w:t> </w:t>
            </w:r>
            <w:r>
              <w:rPr>
                <w:sz w:val="14"/>
              </w:rPr>
              <w:t>(Kinshasa</w:t>
            </w:r>
            <w:r>
              <w:rPr>
                <w:spacing w:val="-9"/>
                <w:sz w:val="14"/>
              </w:rPr>
              <w:t> </w:t>
            </w:r>
            <w:r>
              <w:rPr>
                <w:sz w:val="14"/>
              </w:rPr>
              <w:t>and</w:t>
            </w:r>
            <w:r>
              <w:rPr>
                <w:spacing w:val="40"/>
                <w:sz w:val="14"/>
              </w:rPr>
              <w:t> </w:t>
            </w:r>
            <w:r>
              <w:rPr>
                <w:sz w:val="14"/>
              </w:rPr>
              <w:t>Bunia); 1 in</w:t>
            </w:r>
            <w:r>
              <w:rPr>
                <w:spacing w:val="40"/>
                <w:sz w:val="14"/>
              </w:rPr>
              <w:t> </w:t>
            </w:r>
            <w:r>
              <w:rPr>
                <w:sz w:val="14"/>
              </w:rPr>
              <w:t>Georgia</w:t>
            </w:r>
            <w:r>
              <w:rPr>
                <w:spacing w:val="-9"/>
                <w:sz w:val="14"/>
              </w:rPr>
              <w:t> </w:t>
            </w:r>
            <w:r>
              <w:rPr>
                <w:sz w:val="14"/>
              </w:rPr>
              <w:t>(Tbilisi);</w:t>
            </w:r>
            <w:r>
              <w:rPr>
                <w:spacing w:val="40"/>
                <w:sz w:val="14"/>
              </w:rPr>
              <w:t> </w:t>
            </w:r>
            <w:r>
              <w:rPr>
                <w:sz w:val="14"/>
              </w:rPr>
              <w:t>1 in Mali</w:t>
            </w:r>
            <w:r>
              <w:rPr>
                <w:spacing w:val="40"/>
                <w:sz w:val="14"/>
              </w:rPr>
              <w:t> </w:t>
            </w:r>
            <w:r>
              <w:rPr>
                <w:spacing w:val="-2"/>
                <w:sz w:val="14"/>
              </w:rPr>
              <w:t>(Bamako);</w:t>
            </w:r>
          </w:p>
          <w:p>
            <w:pPr>
              <w:pStyle w:val="TableParagraph"/>
              <w:spacing w:before="3"/>
              <w:ind w:left="24"/>
              <w:jc w:val="left"/>
              <w:rPr>
                <w:sz w:val="14"/>
              </w:rPr>
            </w:pPr>
            <w:r>
              <w:rPr>
                <w:sz w:val="14"/>
              </w:rPr>
              <w:t>1</w:t>
            </w:r>
            <w:r>
              <w:rPr>
                <w:spacing w:val="-9"/>
                <w:sz w:val="14"/>
              </w:rPr>
              <w:t> </w:t>
            </w:r>
            <w:r>
              <w:rPr>
                <w:sz w:val="14"/>
              </w:rPr>
              <w:t>in</w:t>
            </w:r>
            <w:r>
              <w:rPr>
                <w:spacing w:val="-9"/>
                <w:sz w:val="14"/>
              </w:rPr>
              <w:t> </w:t>
            </w:r>
            <w:r>
              <w:rPr>
                <w:sz w:val="14"/>
              </w:rPr>
              <w:t>Uganda</w:t>
            </w:r>
            <w:r>
              <w:rPr>
                <w:spacing w:val="40"/>
                <w:sz w:val="14"/>
              </w:rPr>
              <w:t> </w:t>
            </w:r>
            <w:r>
              <w:rPr>
                <w:spacing w:val="-2"/>
                <w:sz w:val="14"/>
              </w:rPr>
              <w:t>(Kampala);</w:t>
            </w:r>
          </w:p>
          <w:p>
            <w:pPr>
              <w:pStyle w:val="TableParagraph"/>
              <w:ind w:left="24"/>
              <w:jc w:val="left"/>
              <w:rPr>
                <w:sz w:val="14"/>
              </w:rPr>
            </w:pPr>
            <w:r>
              <w:rPr>
                <w:sz w:val="14"/>
              </w:rPr>
              <w:t>1</w:t>
            </w:r>
            <w:r>
              <w:rPr>
                <w:spacing w:val="-1"/>
                <w:sz w:val="14"/>
              </w:rPr>
              <w:t> </w:t>
            </w:r>
            <w:r>
              <w:rPr>
                <w:sz w:val="14"/>
              </w:rPr>
              <w:t>Liaison</w:t>
            </w:r>
            <w:r>
              <w:rPr>
                <w:spacing w:val="-2"/>
                <w:sz w:val="14"/>
              </w:rPr>
              <w:t> </w:t>
            </w:r>
            <w:r>
              <w:rPr>
                <w:sz w:val="14"/>
              </w:rPr>
              <w:t>Office</w:t>
            </w:r>
            <w:r>
              <w:rPr>
                <w:spacing w:val="40"/>
                <w:sz w:val="14"/>
              </w:rPr>
              <w:t> </w:t>
            </w:r>
            <w:r>
              <w:rPr>
                <w:sz w:val="14"/>
              </w:rPr>
              <w:t>to the United</w:t>
            </w:r>
            <w:r>
              <w:rPr>
                <w:spacing w:val="40"/>
                <w:sz w:val="14"/>
              </w:rPr>
              <w:t> </w:t>
            </w:r>
            <w:r>
              <w:rPr>
                <w:sz w:val="14"/>
              </w:rPr>
              <w:t>Nations</w:t>
            </w:r>
            <w:r>
              <w:rPr>
                <w:spacing w:val="-9"/>
                <w:sz w:val="14"/>
              </w:rPr>
              <w:t> </w:t>
            </w:r>
            <w:r>
              <w:rPr>
                <w:sz w:val="14"/>
              </w:rPr>
              <w:t>(New</w:t>
            </w:r>
            <w:r>
              <w:rPr>
                <w:spacing w:val="40"/>
                <w:sz w:val="14"/>
              </w:rPr>
              <w:t> </w:t>
            </w:r>
            <w:r>
              <w:rPr>
                <w:sz w:val="14"/>
              </w:rPr>
              <w:t>York); 1 in</w:t>
            </w:r>
            <w:r>
              <w:rPr>
                <w:spacing w:val="40"/>
                <w:sz w:val="14"/>
              </w:rPr>
              <w:t> </w:t>
            </w:r>
            <w:r>
              <w:rPr>
                <w:spacing w:val="-2"/>
                <w:sz w:val="14"/>
              </w:rPr>
              <w:t>Venezuela</w:t>
            </w:r>
            <w:r>
              <w:rPr>
                <w:spacing w:val="40"/>
                <w:sz w:val="14"/>
              </w:rPr>
              <w:t> </w:t>
            </w:r>
            <w:r>
              <w:rPr>
                <w:sz w:val="14"/>
              </w:rPr>
              <w:t>(Caracas); 1 in</w:t>
            </w:r>
            <w:r>
              <w:rPr>
                <w:spacing w:val="40"/>
                <w:sz w:val="14"/>
              </w:rPr>
              <w:t> </w:t>
            </w:r>
            <w:r>
              <w:rPr>
                <w:spacing w:val="-2"/>
                <w:sz w:val="14"/>
              </w:rPr>
              <w:t>Sudan</w:t>
            </w:r>
            <w:r>
              <w:rPr>
                <w:spacing w:val="40"/>
                <w:sz w:val="14"/>
              </w:rPr>
              <w:t> </w:t>
            </w:r>
            <w:r>
              <w:rPr>
                <w:sz w:val="14"/>
              </w:rPr>
              <w:t>(Khartoum);</w:t>
            </w:r>
            <w:r>
              <w:rPr>
                <w:spacing w:val="-9"/>
                <w:sz w:val="14"/>
              </w:rPr>
              <w:t> </w:t>
            </w:r>
            <w:r>
              <w:rPr>
                <w:sz w:val="14"/>
              </w:rPr>
              <w:t>1</w:t>
            </w:r>
            <w:r>
              <w:rPr>
                <w:spacing w:val="-9"/>
                <w:sz w:val="14"/>
              </w:rPr>
              <w:t> </w:t>
            </w:r>
            <w:r>
              <w:rPr>
                <w:sz w:val="14"/>
              </w:rPr>
              <w:t>in</w:t>
            </w:r>
            <w:r>
              <w:rPr>
                <w:spacing w:val="40"/>
                <w:sz w:val="14"/>
              </w:rPr>
              <w:t> </w:t>
            </w:r>
            <w:r>
              <w:rPr>
                <w:sz w:val="14"/>
              </w:rPr>
              <w:t>Ukraine</w:t>
            </w:r>
            <w:r>
              <w:rPr>
                <w:spacing w:val="-9"/>
                <w:sz w:val="14"/>
              </w:rPr>
              <w:t> </w:t>
            </w:r>
            <w:r>
              <w:rPr>
                <w:sz w:val="14"/>
              </w:rPr>
              <w:t>(Kiev);</w:t>
            </w:r>
            <w:r>
              <w:rPr>
                <w:spacing w:val="40"/>
                <w:sz w:val="14"/>
              </w:rPr>
              <w:t> </w:t>
            </w:r>
            <w:r>
              <w:rPr>
                <w:sz w:val="14"/>
              </w:rPr>
              <w:t>and 1 in</w:t>
            </w:r>
            <w:r>
              <w:rPr>
                <w:spacing w:val="40"/>
                <w:sz w:val="14"/>
              </w:rPr>
              <w:t> </w:t>
            </w:r>
            <w:r>
              <w:rPr>
                <w:spacing w:val="-2"/>
                <w:sz w:val="14"/>
              </w:rPr>
              <w:t>Bangladesh</w:t>
            </w:r>
            <w:r>
              <w:rPr>
                <w:spacing w:val="40"/>
                <w:sz w:val="14"/>
              </w:rPr>
              <w:t> </w:t>
            </w:r>
            <w:r>
              <w:rPr>
                <w:sz w:val="14"/>
              </w:rPr>
              <w:t>(Cox’s</w:t>
            </w:r>
            <w:r>
              <w:rPr>
                <w:spacing w:val="-9"/>
                <w:sz w:val="14"/>
              </w:rPr>
              <w:t> </w:t>
            </w:r>
            <w:r>
              <w:rPr>
                <w:sz w:val="14"/>
              </w:rPr>
              <w:t>Bazar)</w:t>
            </w:r>
          </w:p>
        </w:tc>
      </w:tr>
    </w:tbl>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13"/>
        </w:rPr>
      </w:pPr>
      <w:r>
        <w:rPr/>
        <w:pict>
          <v:rect style="position:absolute;margin-left:113.330002pt;margin-top:9.061819pt;width:144.050pt;height:.48004pt;mso-position-horizontal-relative:page;mso-position-vertical-relative:paragraph;z-index:-15664640;mso-wrap-distance-left:0;mso-wrap-distance-right:0" id="docshape520" filled="true" fillcolor="#000000" stroked="false">
            <v:fill type="solid"/>
            <w10:wrap type="topAndBottom"/>
          </v:rect>
        </w:pict>
      </w:r>
    </w:p>
    <w:p>
      <w:pPr>
        <w:spacing w:line="183" w:lineRule="exact" w:before="86"/>
        <w:ind w:left="2246" w:right="0" w:firstLine="0"/>
        <w:jc w:val="left"/>
        <w:rPr>
          <w:sz w:val="16"/>
        </w:rPr>
      </w:pPr>
      <w:r>
        <w:rPr>
          <w:position w:val="5"/>
          <w:sz w:val="10"/>
        </w:rPr>
        <w:t>175</w:t>
      </w:r>
      <w:r>
        <w:rPr>
          <w:spacing w:val="13"/>
          <w:position w:val="5"/>
          <w:sz w:val="10"/>
        </w:rPr>
        <w:t> </w:t>
      </w:r>
      <w:r>
        <w:rPr>
          <w:sz w:val="16"/>
        </w:rPr>
        <w:t>The</w:t>
      </w:r>
      <w:r>
        <w:rPr>
          <w:spacing w:val="-2"/>
          <w:sz w:val="16"/>
        </w:rPr>
        <w:t> </w:t>
      </w:r>
      <w:r>
        <w:rPr>
          <w:sz w:val="16"/>
        </w:rPr>
        <w:t>type</w:t>
      </w:r>
      <w:r>
        <w:rPr>
          <w:spacing w:val="-3"/>
          <w:sz w:val="16"/>
        </w:rPr>
        <w:t> </w:t>
      </w:r>
      <w:r>
        <w:rPr>
          <w:sz w:val="16"/>
        </w:rPr>
        <w:t>of</w:t>
      </w:r>
      <w:r>
        <w:rPr>
          <w:spacing w:val="-3"/>
          <w:sz w:val="16"/>
        </w:rPr>
        <w:t> </w:t>
      </w:r>
      <w:r>
        <w:rPr>
          <w:sz w:val="16"/>
        </w:rPr>
        <w:t>legal</w:t>
      </w:r>
      <w:r>
        <w:rPr>
          <w:spacing w:val="-4"/>
          <w:sz w:val="16"/>
        </w:rPr>
        <w:t> </w:t>
      </w:r>
      <w:r>
        <w:rPr>
          <w:sz w:val="16"/>
        </w:rPr>
        <w:t>representation</w:t>
      </w:r>
      <w:r>
        <w:rPr>
          <w:spacing w:val="-2"/>
          <w:sz w:val="16"/>
        </w:rPr>
        <w:t> </w:t>
      </w:r>
      <w:r>
        <w:rPr>
          <w:sz w:val="16"/>
        </w:rPr>
        <w:t>(legal</w:t>
      </w:r>
      <w:r>
        <w:rPr>
          <w:spacing w:val="-4"/>
          <w:sz w:val="16"/>
        </w:rPr>
        <w:t> </w:t>
      </w:r>
      <w:r>
        <w:rPr>
          <w:sz w:val="16"/>
        </w:rPr>
        <w:t>aid</w:t>
      </w:r>
      <w:r>
        <w:rPr>
          <w:spacing w:val="-2"/>
          <w:sz w:val="16"/>
        </w:rPr>
        <w:t> </w:t>
      </w:r>
      <w:r>
        <w:rPr>
          <w:sz w:val="16"/>
        </w:rPr>
        <w:t>or</w:t>
      </w:r>
      <w:r>
        <w:rPr>
          <w:spacing w:val="-3"/>
          <w:sz w:val="16"/>
        </w:rPr>
        <w:t> </w:t>
      </w:r>
      <w:r>
        <w:rPr>
          <w:sz w:val="16"/>
        </w:rPr>
        <w:t>LRV)</w:t>
      </w:r>
      <w:r>
        <w:rPr>
          <w:spacing w:val="-3"/>
          <w:sz w:val="16"/>
        </w:rPr>
        <w:t> </w:t>
      </w:r>
      <w:r>
        <w:rPr>
          <w:sz w:val="16"/>
        </w:rPr>
        <w:t>is</w:t>
      </w:r>
      <w:r>
        <w:rPr>
          <w:spacing w:val="1"/>
          <w:sz w:val="16"/>
        </w:rPr>
        <w:t> </w:t>
      </w:r>
      <w:r>
        <w:rPr>
          <w:sz w:val="16"/>
        </w:rPr>
        <w:t>to</w:t>
      </w:r>
      <w:r>
        <w:rPr>
          <w:spacing w:val="-1"/>
          <w:sz w:val="16"/>
        </w:rPr>
        <w:t> </w:t>
      </w:r>
      <w:r>
        <w:rPr>
          <w:sz w:val="16"/>
        </w:rPr>
        <w:t>be</w:t>
      </w:r>
      <w:r>
        <w:rPr>
          <w:spacing w:val="-3"/>
          <w:sz w:val="16"/>
        </w:rPr>
        <w:t> </w:t>
      </w:r>
      <w:r>
        <w:rPr>
          <w:sz w:val="16"/>
        </w:rPr>
        <w:t>determined:</w:t>
      </w:r>
      <w:r>
        <w:rPr>
          <w:spacing w:val="-4"/>
          <w:sz w:val="16"/>
        </w:rPr>
        <w:t> </w:t>
      </w:r>
      <w:r>
        <w:rPr>
          <w:sz w:val="16"/>
        </w:rPr>
        <w:t>placeholder</w:t>
      </w:r>
      <w:r>
        <w:rPr>
          <w:spacing w:val="-3"/>
          <w:sz w:val="16"/>
        </w:rPr>
        <w:t> </w:t>
      </w:r>
      <w:r>
        <w:rPr>
          <w:sz w:val="16"/>
        </w:rPr>
        <w:t>for</w:t>
      </w:r>
      <w:r>
        <w:rPr>
          <w:spacing w:val="-4"/>
          <w:sz w:val="16"/>
        </w:rPr>
        <w:t> </w:t>
      </w:r>
      <w:r>
        <w:rPr>
          <w:sz w:val="16"/>
        </w:rPr>
        <w:t>future</w:t>
      </w:r>
      <w:r>
        <w:rPr>
          <w:spacing w:val="-2"/>
          <w:sz w:val="16"/>
        </w:rPr>
        <w:t> budgeting.</w:t>
      </w:r>
    </w:p>
    <w:p>
      <w:pPr>
        <w:spacing w:line="183" w:lineRule="exact" w:before="0"/>
        <w:ind w:left="2246" w:right="0" w:firstLine="0"/>
        <w:jc w:val="left"/>
        <w:rPr>
          <w:sz w:val="16"/>
        </w:rPr>
      </w:pPr>
      <w:r>
        <w:rPr>
          <w:position w:val="5"/>
          <w:sz w:val="10"/>
        </w:rPr>
        <w:t>176</w:t>
      </w:r>
      <w:r>
        <w:rPr>
          <w:spacing w:val="13"/>
          <w:position w:val="5"/>
          <w:sz w:val="10"/>
        </w:rPr>
        <w:t> </w:t>
      </w:r>
      <w:r>
        <w:rPr>
          <w:sz w:val="16"/>
        </w:rPr>
        <w:t>The</w:t>
      </w:r>
      <w:r>
        <w:rPr>
          <w:spacing w:val="-3"/>
          <w:sz w:val="16"/>
        </w:rPr>
        <w:t> </w:t>
      </w:r>
      <w:r>
        <w:rPr>
          <w:sz w:val="16"/>
        </w:rPr>
        <w:t>“field</w:t>
      </w:r>
      <w:r>
        <w:rPr>
          <w:spacing w:val="-1"/>
          <w:sz w:val="16"/>
        </w:rPr>
        <w:t> </w:t>
      </w:r>
      <w:r>
        <w:rPr>
          <w:sz w:val="16"/>
        </w:rPr>
        <w:t>offices”</w:t>
      </w:r>
      <w:r>
        <w:rPr>
          <w:spacing w:val="-3"/>
          <w:sz w:val="16"/>
        </w:rPr>
        <w:t> </w:t>
      </w:r>
      <w:r>
        <w:rPr>
          <w:sz w:val="16"/>
        </w:rPr>
        <w:t>have</w:t>
      </w:r>
      <w:r>
        <w:rPr>
          <w:spacing w:val="-3"/>
          <w:sz w:val="16"/>
        </w:rPr>
        <w:t> </w:t>
      </w:r>
      <w:r>
        <w:rPr>
          <w:sz w:val="16"/>
        </w:rPr>
        <w:t>been</w:t>
      </w:r>
      <w:r>
        <w:rPr>
          <w:spacing w:val="-1"/>
          <w:sz w:val="16"/>
        </w:rPr>
        <w:t> </w:t>
      </w:r>
      <w:r>
        <w:rPr>
          <w:sz w:val="16"/>
        </w:rPr>
        <w:t>renamed</w:t>
      </w:r>
      <w:r>
        <w:rPr>
          <w:spacing w:val="-2"/>
          <w:sz w:val="16"/>
        </w:rPr>
        <w:t> </w:t>
      </w:r>
      <w:r>
        <w:rPr>
          <w:sz w:val="16"/>
        </w:rPr>
        <w:t>“country</w:t>
      </w:r>
      <w:r>
        <w:rPr>
          <w:spacing w:val="-2"/>
          <w:sz w:val="16"/>
        </w:rPr>
        <w:t> </w:t>
      </w:r>
      <w:r>
        <w:rPr>
          <w:sz w:val="16"/>
        </w:rPr>
        <w:t>offices”</w:t>
      </w:r>
      <w:r>
        <w:rPr>
          <w:spacing w:val="-2"/>
          <w:sz w:val="16"/>
        </w:rPr>
        <w:t> </w:t>
      </w:r>
      <w:r>
        <w:rPr>
          <w:sz w:val="16"/>
        </w:rPr>
        <w:t>as</w:t>
      </w:r>
      <w:r>
        <w:rPr>
          <w:spacing w:val="-2"/>
          <w:sz w:val="16"/>
        </w:rPr>
        <w:t> </w:t>
      </w:r>
      <w:r>
        <w:rPr>
          <w:sz w:val="16"/>
        </w:rPr>
        <w:t>of</w:t>
      </w:r>
      <w:r>
        <w:rPr>
          <w:spacing w:val="-3"/>
          <w:sz w:val="16"/>
        </w:rPr>
        <w:t> </w:t>
      </w:r>
      <w:r>
        <w:rPr>
          <w:sz w:val="16"/>
        </w:rPr>
        <w:t>the</w:t>
      </w:r>
      <w:r>
        <w:rPr>
          <w:spacing w:val="-3"/>
          <w:sz w:val="16"/>
        </w:rPr>
        <w:t> </w:t>
      </w:r>
      <w:r>
        <w:rPr>
          <w:sz w:val="16"/>
        </w:rPr>
        <w:t>Proposed</w:t>
      </w:r>
      <w:r>
        <w:rPr>
          <w:spacing w:val="-6"/>
          <w:sz w:val="16"/>
        </w:rPr>
        <w:t> </w:t>
      </w:r>
      <w:r>
        <w:rPr>
          <w:sz w:val="16"/>
        </w:rPr>
        <w:t>Programme</w:t>
      </w:r>
      <w:r>
        <w:rPr>
          <w:spacing w:val="-3"/>
          <w:sz w:val="16"/>
        </w:rPr>
        <w:t> </w:t>
      </w:r>
      <w:r>
        <w:rPr>
          <w:sz w:val="16"/>
        </w:rPr>
        <w:t>Budget</w:t>
      </w:r>
      <w:r>
        <w:rPr>
          <w:spacing w:val="-5"/>
          <w:sz w:val="16"/>
        </w:rPr>
        <w:t> </w:t>
      </w:r>
      <w:r>
        <w:rPr>
          <w:sz w:val="16"/>
        </w:rPr>
        <w:t>for</w:t>
      </w:r>
      <w:r>
        <w:rPr>
          <w:spacing w:val="-3"/>
          <w:sz w:val="16"/>
        </w:rPr>
        <w:t> </w:t>
      </w:r>
      <w:r>
        <w:rPr>
          <w:spacing w:val="-2"/>
          <w:sz w:val="16"/>
        </w:rPr>
        <w:t>2019.</w:t>
      </w:r>
    </w:p>
    <w:p>
      <w:pPr>
        <w:spacing w:after="0" w:line="183" w:lineRule="exact"/>
        <w:jc w:val="left"/>
        <w:rPr>
          <w:sz w:val="16"/>
        </w:rPr>
        <w:sectPr>
          <w:pgSz w:w="11910" w:h="16840"/>
          <w:pgMar w:header="953" w:footer="940" w:top="1140" w:bottom="1140" w:left="20" w:right="20"/>
        </w:sectPr>
      </w:pPr>
    </w:p>
    <w:p>
      <w:pPr>
        <w:spacing w:before="117"/>
        <w:ind w:left="1679" w:right="0" w:firstLine="0"/>
        <w:jc w:val="left"/>
        <w:rPr>
          <w:b/>
          <w:sz w:val="28"/>
        </w:rPr>
      </w:pPr>
      <w:r>
        <w:rPr>
          <w:b/>
          <w:sz w:val="28"/>
        </w:rPr>
        <w:t>Annex</w:t>
      </w:r>
      <w:r>
        <w:rPr>
          <w:b/>
          <w:spacing w:val="-9"/>
          <w:sz w:val="28"/>
        </w:rPr>
        <w:t> </w:t>
      </w:r>
      <w:r>
        <w:rPr>
          <w:b/>
          <w:spacing w:val="-2"/>
          <w:sz w:val="28"/>
        </w:rPr>
        <w:t>XVIII</w:t>
      </w:r>
    </w:p>
    <w:p>
      <w:pPr>
        <w:spacing w:before="245"/>
        <w:ind w:left="2246" w:right="0" w:firstLine="0"/>
        <w:jc w:val="left"/>
        <w:rPr>
          <w:b/>
          <w:sz w:val="28"/>
        </w:rPr>
      </w:pPr>
      <w:bookmarkStart w:name="_bookmark94" w:id="95"/>
      <w:bookmarkEnd w:id="95"/>
      <w:r>
        <w:rPr/>
      </w:r>
      <w:r>
        <w:rPr>
          <w:b/>
          <w:sz w:val="28"/>
        </w:rPr>
        <w:t>Major</w:t>
      </w:r>
      <w:r>
        <w:rPr>
          <w:b/>
          <w:spacing w:val="-7"/>
          <w:sz w:val="28"/>
        </w:rPr>
        <w:t> </w:t>
      </w:r>
      <w:r>
        <w:rPr>
          <w:b/>
          <w:sz w:val="28"/>
        </w:rPr>
        <w:t>Programme</w:t>
      </w:r>
      <w:r>
        <w:rPr>
          <w:b/>
          <w:spacing w:val="-7"/>
          <w:sz w:val="28"/>
        </w:rPr>
        <w:t> </w:t>
      </w:r>
      <w:r>
        <w:rPr>
          <w:b/>
          <w:sz w:val="28"/>
        </w:rPr>
        <w:t>II:</w:t>
      </w:r>
      <w:r>
        <w:rPr>
          <w:b/>
          <w:spacing w:val="-8"/>
          <w:sz w:val="28"/>
        </w:rPr>
        <w:t> </w:t>
      </w:r>
      <w:r>
        <w:rPr>
          <w:b/>
          <w:sz w:val="28"/>
        </w:rPr>
        <w:t>Resource</w:t>
      </w:r>
      <w:r>
        <w:rPr>
          <w:b/>
          <w:spacing w:val="-7"/>
          <w:sz w:val="28"/>
        </w:rPr>
        <w:t> </w:t>
      </w:r>
      <w:r>
        <w:rPr>
          <w:b/>
          <w:sz w:val="28"/>
        </w:rPr>
        <w:t>Allocation</w:t>
      </w:r>
      <w:r>
        <w:rPr>
          <w:b/>
          <w:spacing w:val="-8"/>
          <w:sz w:val="28"/>
        </w:rPr>
        <w:t> </w:t>
      </w:r>
      <w:r>
        <w:rPr>
          <w:b/>
          <w:sz w:val="28"/>
        </w:rPr>
        <w:t>by</w:t>
      </w:r>
      <w:r>
        <w:rPr>
          <w:b/>
          <w:spacing w:val="-8"/>
          <w:sz w:val="28"/>
        </w:rPr>
        <w:t> </w:t>
      </w:r>
      <w:r>
        <w:rPr>
          <w:b/>
          <w:spacing w:val="-2"/>
          <w:sz w:val="28"/>
        </w:rPr>
        <w:t>Situation</w:t>
      </w:r>
    </w:p>
    <w:p>
      <w:pPr>
        <w:pStyle w:val="BodyText"/>
        <w:rPr>
          <w:b/>
        </w:rPr>
      </w:pPr>
    </w:p>
    <w:p>
      <w:pPr>
        <w:pStyle w:val="BodyText"/>
        <w:spacing w:before="2"/>
        <w:rPr>
          <w:b/>
          <w:sz w:val="22"/>
        </w:rPr>
      </w:pPr>
      <w:r>
        <w:rPr/>
        <w:drawing>
          <wp:anchor distT="0" distB="0" distL="0" distR="0" allowOverlap="1" layoutInCell="1" locked="0" behindDoc="0" simplePos="0" relativeHeight="126">
            <wp:simplePos x="0" y="0"/>
            <wp:positionH relativeFrom="page">
              <wp:posOffset>875030</wp:posOffset>
            </wp:positionH>
            <wp:positionV relativeFrom="paragraph">
              <wp:posOffset>177339</wp:posOffset>
            </wp:positionV>
            <wp:extent cx="5801690" cy="3224783"/>
            <wp:effectExtent l="0" t="0" r="0" b="0"/>
            <wp:wrapTopAndBottom/>
            <wp:docPr id="11" name="image20.png"/>
            <wp:cNvGraphicFramePr>
              <a:graphicFrameLocks noChangeAspect="1"/>
            </wp:cNvGraphicFramePr>
            <a:graphic>
              <a:graphicData uri="http://schemas.openxmlformats.org/drawingml/2006/picture">
                <pic:pic>
                  <pic:nvPicPr>
                    <pic:cNvPr id="12" name="image20.png"/>
                    <pic:cNvPicPr/>
                  </pic:nvPicPr>
                  <pic:blipFill>
                    <a:blip r:embed="rId177" cstate="print"/>
                    <a:stretch>
                      <a:fillRect/>
                    </a:stretch>
                  </pic:blipFill>
                  <pic:spPr>
                    <a:xfrm>
                      <a:off x="0" y="0"/>
                      <a:ext cx="5801690" cy="3224783"/>
                    </a:xfrm>
                    <a:prstGeom prst="rect">
                      <a:avLst/>
                    </a:prstGeom>
                  </pic:spPr>
                </pic:pic>
              </a:graphicData>
            </a:graphic>
          </wp:anchor>
        </w:drawing>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26"/>
        </w:rPr>
      </w:pPr>
      <w:r>
        <w:rPr/>
        <w:drawing>
          <wp:anchor distT="0" distB="0" distL="0" distR="0" allowOverlap="1" layoutInCell="1" locked="0" behindDoc="0" simplePos="0" relativeHeight="127">
            <wp:simplePos x="0" y="0"/>
            <wp:positionH relativeFrom="page">
              <wp:posOffset>902017</wp:posOffset>
            </wp:positionH>
            <wp:positionV relativeFrom="paragraph">
              <wp:posOffset>210386</wp:posOffset>
            </wp:positionV>
            <wp:extent cx="5663828" cy="3956494"/>
            <wp:effectExtent l="0" t="0" r="0" b="0"/>
            <wp:wrapTopAndBottom/>
            <wp:docPr id="13" name="image21.png"/>
            <wp:cNvGraphicFramePr>
              <a:graphicFrameLocks noChangeAspect="1"/>
            </wp:cNvGraphicFramePr>
            <a:graphic>
              <a:graphicData uri="http://schemas.openxmlformats.org/drawingml/2006/picture">
                <pic:pic>
                  <pic:nvPicPr>
                    <pic:cNvPr id="14" name="image21.png"/>
                    <pic:cNvPicPr/>
                  </pic:nvPicPr>
                  <pic:blipFill>
                    <a:blip r:embed="rId178" cstate="print"/>
                    <a:stretch>
                      <a:fillRect/>
                    </a:stretch>
                  </pic:blipFill>
                  <pic:spPr>
                    <a:xfrm>
                      <a:off x="0" y="0"/>
                      <a:ext cx="5663828" cy="3956494"/>
                    </a:xfrm>
                    <a:prstGeom prst="rect">
                      <a:avLst/>
                    </a:prstGeom>
                  </pic:spPr>
                </pic:pic>
              </a:graphicData>
            </a:graphic>
          </wp:anchor>
        </w:drawing>
      </w:r>
    </w:p>
    <w:p>
      <w:pPr>
        <w:spacing w:after="0"/>
        <w:rPr>
          <w:sz w:val="26"/>
        </w:rPr>
        <w:sectPr>
          <w:pgSz w:w="11910" w:h="16840"/>
          <w:pgMar w:header="957" w:footer="940" w:top="1140" w:bottom="1140" w:left="20" w:right="20"/>
        </w:sectPr>
      </w:pPr>
    </w:p>
    <w:p>
      <w:pPr>
        <w:pStyle w:val="BodyText"/>
        <w:rPr>
          <w:b/>
        </w:rPr>
      </w:pPr>
    </w:p>
    <w:p>
      <w:pPr>
        <w:pStyle w:val="BodyText"/>
        <w:rPr>
          <w:b/>
        </w:rPr>
      </w:pPr>
    </w:p>
    <w:p>
      <w:pPr>
        <w:pStyle w:val="BodyText"/>
        <w:spacing w:before="10"/>
        <w:rPr>
          <w:b/>
          <w:sz w:val="11"/>
        </w:rPr>
      </w:pPr>
    </w:p>
    <w:p>
      <w:pPr>
        <w:pStyle w:val="BodyText"/>
        <w:ind w:left="1111"/>
      </w:pPr>
      <w:r>
        <w:rPr/>
        <w:drawing>
          <wp:inline distT="0" distB="0" distL="0" distR="0">
            <wp:extent cx="6096503" cy="3935349"/>
            <wp:effectExtent l="0" t="0" r="0" b="0"/>
            <wp:docPr id="15" name="image22.png"/>
            <wp:cNvGraphicFramePr>
              <a:graphicFrameLocks noChangeAspect="1"/>
            </wp:cNvGraphicFramePr>
            <a:graphic>
              <a:graphicData uri="http://schemas.openxmlformats.org/drawingml/2006/picture">
                <pic:pic>
                  <pic:nvPicPr>
                    <pic:cNvPr id="16" name="image22.png"/>
                    <pic:cNvPicPr/>
                  </pic:nvPicPr>
                  <pic:blipFill>
                    <a:blip r:embed="rId179" cstate="print"/>
                    <a:stretch>
                      <a:fillRect/>
                    </a:stretch>
                  </pic:blipFill>
                  <pic:spPr>
                    <a:xfrm>
                      <a:off x="0" y="0"/>
                      <a:ext cx="6096503" cy="3935349"/>
                    </a:xfrm>
                    <a:prstGeom prst="rect">
                      <a:avLst/>
                    </a:prstGeom>
                  </pic:spPr>
                </pic:pic>
              </a:graphicData>
            </a:graphic>
          </wp:inline>
        </w:drawing>
      </w:r>
      <w:r>
        <w:rPr/>
      </w:r>
    </w:p>
    <w:p>
      <w:pPr>
        <w:pStyle w:val="BodyText"/>
        <w:rPr>
          <w:b/>
        </w:rPr>
      </w:pPr>
    </w:p>
    <w:p>
      <w:pPr>
        <w:pStyle w:val="BodyText"/>
        <w:rPr>
          <w:b/>
        </w:rPr>
      </w:pPr>
    </w:p>
    <w:p>
      <w:pPr>
        <w:pStyle w:val="BodyText"/>
        <w:rPr>
          <w:b/>
        </w:rPr>
      </w:pPr>
    </w:p>
    <w:p>
      <w:pPr>
        <w:pStyle w:val="BodyText"/>
        <w:spacing w:before="4"/>
        <w:rPr>
          <w:b/>
          <w:sz w:val="23"/>
        </w:rPr>
      </w:pPr>
      <w:r>
        <w:rPr/>
        <w:drawing>
          <wp:anchor distT="0" distB="0" distL="0" distR="0" allowOverlap="1" layoutInCell="1" locked="0" behindDoc="0" simplePos="0" relativeHeight="128">
            <wp:simplePos x="0" y="0"/>
            <wp:positionH relativeFrom="page">
              <wp:posOffset>703580</wp:posOffset>
            </wp:positionH>
            <wp:positionV relativeFrom="paragraph">
              <wp:posOffset>186092</wp:posOffset>
            </wp:positionV>
            <wp:extent cx="6070425" cy="3374898"/>
            <wp:effectExtent l="0" t="0" r="0" b="0"/>
            <wp:wrapTopAndBottom/>
            <wp:docPr id="17" name="image23.png"/>
            <wp:cNvGraphicFramePr>
              <a:graphicFrameLocks noChangeAspect="1"/>
            </wp:cNvGraphicFramePr>
            <a:graphic>
              <a:graphicData uri="http://schemas.openxmlformats.org/drawingml/2006/picture">
                <pic:pic>
                  <pic:nvPicPr>
                    <pic:cNvPr id="18" name="image23.png"/>
                    <pic:cNvPicPr/>
                  </pic:nvPicPr>
                  <pic:blipFill>
                    <a:blip r:embed="rId180" cstate="print"/>
                    <a:stretch>
                      <a:fillRect/>
                    </a:stretch>
                  </pic:blipFill>
                  <pic:spPr>
                    <a:xfrm>
                      <a:off x="0" y="0"/>
                      <a:ext cx="6070425" cy="3374898"/>
                    </a:xfrm>
                    <a:prstGeom prst="rect">
                      <a:avLst/>
                    </a:prstGeom>
                  </pic:spPr>
                </pic:pic>
              </a:graphicData>
            </a:graphic>
          </wp:anchor>
        </w:drawing>
      </w:r>
    </w:p>
    <w:p>
      <w:pPr>
        <w:spacing w:after="0"/>
        <w:rPr>
          <w:sz w:val="23"/>
        </w:rPr>
        <w:sectPr>
          <w:pgSz w:w="11910" w:h="16840"/>
          <w:pgMar w:header="953" w:footer="940" w:top="1140" w:bottom="1140" w:left="20" w:right="20"/>
        </w:sectPr>
      </w:pPr>
    </w:p>
    <w:p>
      <w:pPr>
        <w:spacing w:before="122"/>
        <w:ind w:left="1679" w:right="0" w:firstLine="0"/>
        <w:jc w:val="left"/>
        <w:rPr>
          <w:b/>
          <w:sz w:val="28"/>
        </w:rPr>
      </w:pPr>
      <w:r>
        <w:rPr>
          <w:b/>
          <w:sz w:val="28"/>
        </w:rPr>
        <w:t>Annex</w:t>
      </w:r>
      <w:r>
        <w:rPr>
          <w:b/>
          <w:spacing w:val="-9"/>
          <w:sz w:val="28"/>
        </w:rPr>
        <w:t> </w:t>
      </w:r>
      <w:r>
        <w:rPr>
          <w:b/>
          <w:spacing w:val="-5"/>
          <w:sz w:val="28"/>
        </w:rPr>
        <w:t>XIX</w:t>
      </w:r>
    </w:p>
    <w:p>
      <w:pPr>
        <w:spacing w:line="256" w:lineRule="auto" w:before="240"/>
        <w:ind w:left="2246" w:right="2195" w:firstLine="0"/>
        <w:jc w:val="left"/>
        <w:rPr>
          <w:b/>
          <w:sz w:val="28"/>
        </w:rPr>
      </w:pPr>
      <w:bookmarkStart w:name="_bookmark95" w:id="96"/>
      <w:bookmarkEnd w:id="96"/>
      <w:r>
        <w:rPr/>
      </w:r>
      <w:r>
        <w:rPr>
          <w:b/>
          <w:sz w:val="28"/>
        </w:rPr>
        <w:t>Breakdown</w:t>
      </w:r>
      <w:r>
        <w:rPr>
          <w:b/>
          <w:spacing w:val="80"/>
          <w:sz w:val="28"/>
        </w:rPr>
        <w:t> </w:t>
      </w:r>
      <w:r>
        <w:rPr>
          <w:b/>
          <w:sz w:val="28"/>
        </w:rPr>
        <w:t>of</w:t>
      </w:r>
      <w:r>
        <w:rPr>
          <w:b/>
          <w:spacing w:val="80"/>
          <w:sz w:val="28"/>
        </w:rPr>
        <w:t> </w:t>
      </w:r>
      <w:r>
        <w:rPr>
          <w:b/>
          <w:sz w:val="28"/>
        </w:rPr>
        <w:t>Country</w:t>
      </w:r>
      <w:r>
        <w:rPr>
          <w:b/>
          <w:spacing w:val="80"/>
          <w:sz w:val="28"/>
        </w:rPr>
        <w:t> </w:t>
      </w:r>
      <w:r>
        <w:rPr>
          <w:b/>
          <w:sz w:val="28"/>
        </w:rPr>
        <w:t>Offices</w:t>
      </w:r>
      <w:r>
        <w:rPr>
          <w:b/>
          <w:spacing w:val="80"/>
          <w:sz w:val="28"/>
        </w:rPr>
        <w:t> </w:t>
      </w:r>
      <w:r>
        <w:rPr>
          <w:b/>
          <w:sz w:val="28"/>
        </w:rPr>
        <w:t>costs</w:t>
      </w:r>
      <w:r>
        <w:rPr>
          <w:b/>
          <w:spacing w:val="80"/>
          <w:sz w:val="28"/>
        </w:rPr>
        <w:t> </w:t>
      </w:r>
      <w:r>
        <w:rPr>
          <w:b/>
          <w:sz w:val="28"/>
        </w:rPr>
        <w:t>in</w:t>
      </w:r>
      <w:r>
        <w:rPr>
          <w:b/>
          <w:spacing w:val="80"/>
          <w:sz w:val="28"/>
        </w:rPr>
        <w:t> </w:t>
      </w:r>
      <w:r>
        <w:rPr>
          <w:b/>
          <w:sz w:val="28"/>
        </w:rPr>
        <w:t>the</w:t>
      </w:r>
      <w:r>
        <w:rPr>
          <w:b/>
          <w:spacing w:val="80"/>
          <w:sz w:val="28"/>
        </w:rPr>
        <w:t> </w:t>
      </w:r>
      <w:r>
        <w:rPr>
          <w:b/>
          <w:sz w:val="28"/>
        </w:rPr>
        <w:t>Registry</w:t>
      </w:r>
      <w:r>
        <w:rPr>
          <w:b/>
          <w:spacing w:val="80"/>
          <w:sz w:val="28"/>
        </w:rPr>
        <w:t> </w:t>
      </w:r>
      <w:r>
        <w:rPr>
          <w:b/>
          <w:sz w:val="28"/>
        </w:rPr>
        <w:t>by different stages of judicial and prosecutorial activities</w:t>
      </w:r>
    </w:p>
    <w:p>
      <w:pPr>
        <w:pStyle w:val="BodyText"/>
        <w:spacing w:before="3"/>
        <w:rPr>
          <w:b/>
          <w:sz w:val="44"/>
        </w:rPr>
      </w:pPr>
    </w:p>
    <w:p>
      <w:pPr>
        <w:pStyle w:val="ListParagraph"/>
        <w:numPr>
          <w:ilvl w:val="0"/>
          <w:numId w:val="137"/>
        </w:numPr>
        <w:tabs>
          <w:tab w:pos="2966" w:val="left" w:leader="none"/>
          <w:tab w:pos="2967" w:val="left" w:leader="none"/>
        </w:tabs>
        <w:spacing w:line="240" w:lineRule="auto" w:before="0" w:after="0"/>
        <w:ind w:left="2246" w:right="2244" w:firstLine="0"/>
        <w:jc w:val="both"/>
        <w:rPr>
          <w:sz w:val="20"/>
        </w:rPr>
      </w:pPr>
      <w:r>
        <w:rPr>
          <w:sz w:val="20"/>
        </w:rPr>
        <w:t>The Registry submits</w:t>
      </w:r>
      <w:r>
        <w:rPr>
          <w:spacing w:val="-1"/>
          <w:sz w:val="20"/>
        </w:rPr>
        <w:t> </w:t>
      </w:r>
      <w:r>
        <w:rPr>
          <w:sz w:val="20"/>
        </w:rPr>
        <w:t>this</w:t>
      </w:r>
      <w:r>
        <w:rPr>
          <w:spacing w:val="-1"/>
          <w:sz w:val="20"/>
        </w:rPr>
        <w:t> </w:t>
      </w:r>
      <w:r>
        <w:rPr>
          <w:sz w:val="20"/>
        </w:rPr>
        <w:t>Annex pursuant to</w:t>
      </w:r>
      <w:r>
        <w:rPr>
          <w:spacing w:val="-5"/>
          <w:sz w:val="20"/>
        </w:rPr>
        <w:t> </w:t>
      </w:r>
      <w:r>
        <w:rPr>
          <w:sz w:val="20"/>
        </w:rPr>
        <w:t>the request of the Assembly of States Parties “to provide as an annex to the proposed programme budget, a table presenting the total costs by field office and a breakdown of costs, for each field office, directly related to the different stages of prosecutorial and judicial activities and workload with a view to increasing transparency.”</w:t>
      </w:r>
      <w:r>
        <w:rPr>
          <w:sz w:val="20"/>
          <w:vertAlign w:val="superscript"/>
        </w:rPr>
        <w:t>177</w:t>
      </w:r>
    </w:p>
    <w:p>
      <w:pPr>
        <w:pStyle w:val="ListParagraph"/>
        <w:numPr>
          <w:ilvl w:val="0"/>
          <w:numId w:val="137"/>
        </w:numPr>
        <w:tabs>
          <w:tab w:pos="2966" w:val="left" w:leader="none"/>
          <w:tab w:pos="2967" w:val="left" w:leader="none"/>
        </w:tabs>
        <w:spacing w:line="240" w:lineRule="auto" w:before="123" w:after="0"/>
        <w:ind w:left="2246" w:right="2240" w:firstLine="0"/>
        <w:jc w:val="both"/>
        <w:rPr>
          <w:sz w:val="20"/>
        </w:rPr>
      </w:pPr>
      <w:r>
        <w:rPr>
          <w:sz w:val="20"/>
        </w:rPr>
        <w:t>In 2020, the Registry submitted to the Committee on Budget and Finance a report entitled “Framework for the Registry’s Field Engagement,”</w:t>
      </w:r>
      <w:r>
        <w:rPr>
          <w:sz w:val="20"/>
          <w:vertAlign w:val="superscript"/>
        </w:rPr>
        <w:t>178</w:t>
      </w:r>
      <w:r>
        <w:rPr>
          <w:sz w:val="20"/>
          <w:vertAlign w:val="baseline"/>
        </w:rPr>
        <w:t> in which it presented a framework structured around the ten phases of proceedings triggered by judicial and/or prosecutorial decisions and provided clear benchmarks for resource management with respect to field presences. This report, which should be read in conjunction with the “Framework for the Registry’s Field Engagement”, presents</w:t>
      </w:r>
      <w:r>
        <w:rPr>
          <w:spacing w:val="-6"/>
          <w:sz w:val="20"/>
          <w:vertAlign w:val="baseline"/>
        </w:rPr>
        <w:t> </w:t>
      </w:r>
      <w:r>
        <w:rPr>
          <w:sz w:val="20"/>
          <w:vertAlign w:val="baseline"/>
        </w:rPr>
        <w:t>information</w:t>
      </w:r>
      <w:r>
        <w:rPr>
          <w:spacing w:val="-5"/>
          <w:sz w:val="20"/>
          <w:vertAlign w:val="baseline"/>
        </w:rPr>
        <w:t> </w:t>
      </w:r>
      <w:r>
        <w:rPr>
          <w:sz w:val="20"/>
          <w:vertAlign w:val="baseline"/>
        </w:rPr>
        <w:t>about the different procedural phases being supported by each of the Court’s current country offices. While a particular country office may in fact be simultaneously supporting two or more procedural phases (e.g., one case in pre-trial/trial preparation and another one in trial), they are shown in the tables below according to the most relevant phase.</w:t>
      </w:r>
    </w:p>
    <w:p>
      <w:pPr>
        <w:pStyle w:val="ListParagraph"/>
        <w:numPr>
          <w:ilvl w:val="0"/>
          <w:numId w:val="137"/>
        </w:numPr>
        <w:tabs>
          <w:tab w:pos="2966" w:val="left" w:leader="none"/>
          <w:tab w:pos="2967" w:val="left" w:leader="none"/>
        </w:tabs>
        <w:spacing w:line="240" w:lineRule="auto" w:before="120" w:after="0"/>
        <w:ind w:left="2246" w:right="2241" w:firstLine="0"/>
        <w:jc w:val="both"/>
        <w:rPr>
          <w:sz w:val="20"/>
        </w:rPr>
      </w:pPr>
      <w:r>
        <w:rPr>
          <w:sz w:val="20"/>
        </w:rPr>
        <w:t>The costs presented in this report relate to staff and non-staff resources budgeted for 2023 for each of the country offices as well as for the Victims and Witnesses Section (VWS), to the extent that they are allocated to a particular situation. The Registry staffing specified for each of the situations includes both established posts and GTA positions and the respective duty stations. It should be noted</w:t>
      </w:r>
      <w:r>
        <w:rPr>
          <w:spacing w:val="-4"/>
          <w:sz w:val="20"/>
        </w:rPr>
        <w:t> </w:t>
      </w:r>
      <w:r>
        <w:rPr>
          <w:sz w:val="20"/>
        </w:rPr>
        <w:t>that the costs indicated below do not</w:t>
      </w:r>
      <w:r>
        <w:rPr>
          <w:spacing w:val="-2"/>
          <w:sz w:val="20"/>
        </w:rPr>
        <w:t> </w:t>
      </w:r>
      <w:r>
        <w:rPr>
          <w:sz w:val="20"/>
        </w:rPr>
        <w:t>include resources</w:t>
      </w:r>
      <w:r>
        <w:rPr>
          <w:spacing w:val="-1"/>
          <w:sz w:val="20"/>
        </w:rPr>
        <w:t> </w:t>
      </w:r>
      <w:r>
        <w:rPr>
          <w:sz w:val="20"/>
        </w:rPr>
        <w:t>from</w:t>
      </w:r>
      <w:r>
        <w:rPr>
          <w:spacing w:val="-3"/>
          <w:sz w:val="20"/>
        </w:rPr>
        <w:t> </w:t>
      </w:r>
      <w:r>
        <w:rPr>
          <w:sz w:val="20"/>
        </w:rPr>
        <w:t>the Office</w:t>
      </w:r>
      <w:r>
        <w:rPr>
          <w:spacing w:val="-3"/>
          <w:sz w:val="20"/>
        </w:rPr>
        <w:t> </w:t>
      </w:r>
      <w:r>
        <w:rPr>
          <w:sz w:val="20"/>
        </w:rPr>
        <w:t>of</w:t>
      </w:r>
      <w:r>
        <w:rPr>
          <w:spacing w:val="-5"/>
          <w:sz w:val="20"/>
        </w:rPr>
        <w:t> </w:t>
      </w:r>
      <w:r>
        <w:rPr>
          <w:sz w:val="20"/>
        </w:rPr>
        <w:t>the</w:t>
      </w:r>
      <w:r>
        <w:rPr>
          <w:spacing w:val="-3"/>
          <w:sz w:val="20"/>
        </w:rPr>
        <w:t> </w:t>
      </w:r>
      <w:r>
        <w:rPr>
          <w:sz w:val="20"/>
        </w:rPr>
        <w:t>Prosecutor (OTP),</w:t>
      </w:r>
      <w:r>
        <w:rPr>
          <w:spacing w:val="-2"/>
          <w:sz w:val="20"/>
        </w:rPr>
        <w:t> </w:t>
      </w:r>
      <w:r>
        <w:rPr>
          <w:sz w:val="20"/>
        </w:rPr>
        <w:t>defence</w:t>
      </w:r>
      <w:r>
        <w:rPr>
          <w:spacing w:val="-3"/>
          <w:sz w:val="20"/>
        </w:rPr>
        <w:t> </w:t>
      </w:r>
      <w:r>
        <w:rPr>
          <w:sz w:val="20"/>
        </w:rPr>
        <w:t>counsel,</w:t>
      </w:r>
      <w:r>
        <w:rPr>
          <w:spacing w:val="-2"/>
          <w:sz w:val="20"/>
        </w:rPr>
        <w:t> </w:t>
      </w:r>
      <w:r>
        <w:rPr>
          <w:sz w:val="20"/>
        </w:rPr>
        <w:t>legal</w:t>
      </w:r>
      <w:r>
        <w:rPr>
          <w:spacing w:val="-3"/>
          <w:sz w:val="20"/>
        </w:rPr>
        <w:t> </w:t>
      </w:r>
      <w:r>
        <w:rPr>
          <w:sz w:val="20"/>
        </w:rPr>
        <w:t>representatives</w:t>
      </w:r>
      <w:r>
        <w:rPr>
          <w:spacing w:val="-6"/>
          <w:sz w:val="20"/>
        </w:rPr>
        <w:t> </w:t>
      </w:r>
      <w:r>
        <w:rPr>
          <w:sz w:val="20"/>
        </w:rPr>
        <w:t>of victims and the Trust Fund for Victims (TFV) for the respective situations.</w:t>
      </w:r>
    </w:p>
    <w:p>
      <w:pPr>
        <w:pStyle w:val="BodyText"/>
        <w:spacing w:before="3"/>
        <w:rPr>
          <w:sz w:val="23"/>
        </w:rPr>
      </w:pPr>
    </w:p>
    <w:p>
      <w:pPr>
        <w:pStyle w:val="Heading3"/>
        <w:numPr>
          <w:ilvl w:val="0"/>
          <w:numId w:val="138"/>
        </w:numPr>
        <w:tabs>
          <w:tab w:pos="2674" w:val="left" w:leader="none"/>
        </w:tabs>
        <w:spacing w:line="240" w:lineRule="auto" w:before="0" w:after="0"/>
        <w:ind w:left="2673" w:right="0" w:hanging="428"/>
        <w:jc w:val="both"/>
      </w:pPr>
      <w:r>
        <w:rPr/>
        <w:t>Overview</w:t>
      </w:r>
      <w:r>
        <w:rPr>
          <w:spacing w:val="-9"/>
        </w:rPr>
        <w:t> </w:t>
      </w:r>
      <w:r>
        <w:rPr/>
        <w:t>of</w:t>
      </w:r>
      <w:r>
        <w:rPr>
          <w:spacing w:val="-4"/>
        </w:rPr>
        <w:t> </w:t>
      </w:r>
      <w:r>
        <w:rPr/>
        <w:t>the</w:t>
      </w:r>
      <w:r>
        <w:rPr>
          <w:spacing w:val="-1"/>
        </w:rPr>
        <w:t> </w:t>
      </w:r>
      <w:r>
        <w:rPr/>
        <w:t>Registry</w:t>
      </w:r>
      <w:r>
        <w:rPr>
          <w:spacing w:val="-8"/>
        </w:rPr>
        <w:t> </w:t>
      </w:r>
      <w:r>
        <w:rPr/>
        <w:t>resource</w:t>
      </w:r>
      <w:r>
        <w:rPr>
          <w:spacing w:val="-6"/>
        </w:rPr>
        <w:t> </w:t>
      </w:r>
      <w:r>
        <w:rPr/>
        <w:t>allocation</w:t>
      </w:r>
      <w:r>
        <w:rPr>
          <w:spacing w:val="-9"/>
        </w:rPr>
        <w:t> </w:t>
      </w:r>
      <w:r>
        <w:rPr/>
        <w:t>for</w:t>
      </w:r>
      <w:r>
        <w:rPr>
          <w:spacing w:val="-6"/>
        </w:rPr>
        <w:t> </w:t>
      </w:r>
      <w:r>
        <w:rPr/>
        <w:t>the</w:t>
      </w:r>
      <w:r>
        <w:rPr>
          <w:spacing w:val="-6"/>
        </w:rPr>
        <w:t> </w:t>
      </w:r>
      <w:r>
        <w:rPr/>
        <w:t>current</w:t>
      </w:r>
      <w:r>
        <w:rPr>
          <w:spacing w:val="-8"/>
        </w:rPr>
        <w:t> </w:t>
      </w:r>
      <w:r>
        <w:rPr/>
        <w:t>country</w:t>
      </w:r>
      <w:r>
        <w:rPr>
          <w:spacing w:val="-7"/>
        </w:rPr>
        <w:t> </w:t>
      </w:r>
      <w:r>
        <w:rPr>
          <w:spacing w:val="-2"/>
        </w:rPr>
        <w:t>offices</w:t>
      </w:r>
    </w:p>
    <w:p>
      <w:pPr>
        <w:pStyle w:val="BodyText"/>
        <w:spacing w:before="10"/>
        <w:rPr>
          <w:b/>
          <w:sz w:val="25"/>
        </w:rPr>
      </w:pPr>
    </w:p>
    <w:p>
      <w:pPr>
        <w:pStyle w:val="ListParagraph"/>
        <w:numPr>
          <w:ilvl w:val="1"/>
          <w:numId w:val="138"/>
        </w:numPr>
        <w:tabs>
          <w:tab w:pos="2602" w:val="left" w:leader="none"/>
        </w:tabs>
        <w:spacing w:line="240" w:lineRule="auto" w:before="0" w:after="0"/>
        <w:ind w:left="2601" w:right="0" w:hanging="356"/>
        <w:jc w:val="both"/>
        <w:rPr>
          <w:b/>
          <w:sz w:val="20"/>
        </w:rPr>
      </w:pPr>
      <w:r>
        <w:rPr>
          <w:b/>
          <w:sz w:val="20"/>
        </w:rPr>
        <w:t>Investigative</w:t>
      </w:r>
      <w:r>
        <w:rPr>
          <w:b/>
          <w:spacing w:val="-8"/>
          <w:sz w:val="20"/>
        </w:rPr>
        <w:t> </w:t>
      </w:r>
      <w:r>
        <w:rPr>
          <w:b/>
          <w:sz w:val="20"/>
        </w:rPr>
        <w:t>phase:</w:t>
      </w:r>
      <w:r>
        <w:rPr>
          <w:b/>
          <w:spacing w:val="-8"/>
          <w:sz w:val="20"/>
        </w:rPr>
        <w:t> </w:t>
      </w:r>
      <w:r>
        <w:rPr>
          <w:b/>
          <w:sz w:val="20"/>
        </w:rPr>
        <w:t>Ukraine</w:t>
      </w:r>
      <w:r>
        <w:rPr>
          <w:b/>
          <w:spacing w:val="-8"/>
          <w:sz w:val="20"/>
        </w:rPr>
        <w:t> </w:t>
      </w:r>
      <w:r>
        <w:rPr>
          <w:b/>
          <w:sz w:val="20"/>
        </w:rPr>
        <w:t>and</w:t>
      </w:r>
      <w:r>
        <w:rPr>
          <w:b/>
          <w:spacing w:val="-6"/>
          <w:sz w:val="20"/>
        </w:rPr>
        <w:t> </w:t>
      </w:r>
      <w:r>
        <w:rPr>
          <w:b/>
          <w:sz w:val="20"/>
        </w:rPr>
        <w:t>Côte</w:t>
      </w:r>
      <w:r>
        <w:rPr>
          <w:b/>
          <w:spacing w:val="-2"/>
          <w:sz w:val="20"/>
        </w:rPr>
        <w:t> d’Ivoire</w:t>
      </w:r>
    </w:p>
    <w:p>
      <w:pPr>
        <w:spacing w:before="159"/>
        <w:ind w:left="2246" w:right="0" w:firstLine="0"/>
        <w:jc w:val="left"/>
        <w:rPr>
          <w:i/>
          <w:sz w:val="18"/>
        </w:rPr>
      </w:pPr>
      <w:r>
        <w:rPr>
          <w:i/>
          <w:sz w:val="18"/>
        </w:rPr>
        <w:t>Proposed</w:t>
      </w:r>
      <w:r>
        <w:rPr>
          <w:i/>
          <w:spacing w:val="-6"/>
          <w:sz w:val="18"/>
        </w:rPr>
        <w:t> </w:t>
      </w:r>
      <w:r>
        <w:rPr>
          <w:i/>
          <w:sz w:val="18"/>
        </w:rPr>
        <w:t>programme</w:t>
      </w:r>
      <w:r>
        <w:rPr>
          <w:i/>
          <w:spacing w:val="-5"/>
          <w:sz w:val="18"/>
        </w:rPr>
        <w:t> </w:t>
      </w:r>
      <w:r>
        <w:rPr>
          <w:i/>
          <w:sz w:val="18"/>
        </w:rPr>
        <w:t>budget 2023</w:t>
      </w:r>
      <w:r>
        <w:rPr>
          <w:i/>
          <w:spacing w:val="-5"/>
          <w:sz w:val="18"/>
        </w:rPr>
        <w:t> </w:t>
      </w:r>
      <w:r>
        <w:rPr>
          <w:i/>
          <w:sz w:val="18"/>
        </w:rPr>
        <w:t>(thousands</w:t>
      </w:r>
      <w:r>
        <w:rPr>
          <w:i/>
          <w:spacing w:val="-5"/>
          <w:sz w:val="18"/>
        </w:rPr>
        <w:t> </w:t>
      </w:r>
      <w:r>
        <w:rPr>
          <w:i/>
          <w:sz w:val="18"/>
        </w:rPr>
        <w:t>of</w:t>
      </w:r>
      <w:r>
        <w:rPr>
          <w:i/>
          <w:spacing w:val="-3"/>
          <w:sz w:val="18"/>
        </w:rPr>
        <w:t> </w:t>
      </w:r>
      <w:r>
        <w:rPr>
          <w:i/>
          <w:spacing w:val="-2"/>
          <w:sz w:val="18"/>
        </w:rPr>
        <w:t>euros)</w:t>
      </w:r>
    </w:p>
    <w:p>
      <w:pPr>
        <w:pStyle w:val="BodyText"/>
        <w:spacing w:before="5"/>
        <w:rPr>
          <w:i/>
          <w:sz w:val="12"/>
        </w:rPr>
      </w:pPr>
    </w:p>
    <w:tbl>
      <w:tblPr>
        <w:tblW w:w="0" w:type="auto"/>
        <w:jc w:val="left"/>
        <w:tblInd w:w="2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05"/>
        <w:gridCol w:w="2545"/>
        <w:gridCol w:w="2512"/>
      </w:tblGrid>
      <w:tr>
        <w:trPr>
          <w:trHeight w:val="268" w:hRule="atLeast"/>
        </w:trPr>
        <w:tc>
          <w:tcPr>
            <w:tcW w:w="2305" w:type="dxa"/>
          </w:tcPr>
          <w:p>
            <w:pPr>
              <w:pStyle w:val="TableParagraph"/>
              <w:jc w:val="left"/>
              <w:rPr>
                <w:sz w:val="18"/>
              </w:rPr>
            </w:pPr>
          </w:p>
        </w:tc>
        <w:tc>
          <w:tcPr>
            <w:tcW w:w="2545" w:type="dxa"/>
          </w:tcPr>
          <w:p>
            <w:pPr>
              <w:pStyle w:val="TableParagraph"/>
              <w:spacing w:before="5"/>
              <w:ind w:right="907"/>
              <w:rPr>
                <w:b/>
                <w:sz w:val="20"/>
              </w:rPr>
            </w:pPr>
            <w:r>
              <w:rPr>
                <w:b/>
                <w:spacing w:val="-2"/>
                <w:sz w:val="20"/>
              </w:rPr>
              <w:t>Ukraine</w:t>
            </w:r>
          </w:p>
        </w:tc>
        <w:tc>
          <w:tcPr>
            <w:tcW w:w="2512" w:type="dxa"/>
          </w:tcPr>
          <w:p>
            <w:pPr>
              <w:pStyle w:val="TableParagraph"/>
              <w:spacing w:before="5"/>
              <w:ind w:left="686"/>
              <w:jc w:val="left"/>
              <w:rPr>
                <w:b/>
                <w:sz w:val="20"/>
              </w:rPr>
            </w:pPr>
            <w:r>
              <w:rPr>
                <w:b/>
                <w:sz w:val="20"/>
              </w:rPr>
              <w:t>Côte </w:t>
            </w:r>
            <w:r>
              <w:rPr>
                <w:b/>
                <w:spacing w:val="-2"/>
                <w:sz w:val="20"/>
              </w:rPr>
              <w:t>d’Ivoire</w:t>
            </w:r>
          </w:p>
        </w:tc>
      </w:tr>
      <w:tr>
        <w:trPr>
          <w:trHeight w:val="263" w:hRule="atLeast"/>
        </w:trPr>
        <w:tc>
          <w:tcPr>
            <w:tcW w:w="2305" w:type="dxa"/>
          </w:tcPr>
          <w:p>
            <w:pPr>
              <w:pStyle w:val="TableParagraph"/>
              <w:ind w:left="110"/>
              <w:jc w:val="left"/>
              <w:rPr>
                <w:sz w:val="20"/>
              </w:rPr>
            </w:pPr>
            <w:r>
              <w:rPr>
                <w:sz w:val="20"/>
              </w:rPr>
              <w:t>Country</w:t>
            </w:r>
            <w:r>
              <w:rPr>
                <w:spacing w:val="-6"/>
                <w:sz w:val="20"/>
              </w:rPr>
              <w:t> </w:t>
            </w:r>
            <w:r>
              <w:rPr>
                <w:sz w:val="20"/>
              </w:rPr>
              <w:t>office</w:t>
            </w:r>
            <w:r>
              <w:rPr>
                <w:spacing w:val="1"/>
                <w:sz w:val="20"/>
              </w:rPr>
              <w:t> </w:t>
            </w:r>
            <w:r>
              <w:rPr>
                <w:spacing w:val="-2"/>
                <w:sz w:val="20"/>
              </w:rPr>
              <w:t>staff</w:t>
            </w:r>
          </w:p>
        </w:tc>
        <w:tc>
          <w:tcPr>
            <w:tcW w:w="2545" w:type="dxa"/>
          </w:tcPr>
          <w:p>
            <w:pPr>
              <w:pStyle w:val="TableParagraph"/>
              <w:ind w:right="920"/>
              <w:rPr>
                <w:sz w:val="20"/>
              </w:rPr>
            </w:pPr>
            <w:r>
              <w:rPr>
                <w:spacing w:val="-2"/>
                <w:sz w:val="20"/>
              </w:rPr>
              <w:t>€269.7</w:t>
            </w:r>
          </w:p>
        </w:tc>
        <w:tc>
          <w:tcPr>
            <w:tcW w:w="2512" w:type="dxa"/>
          </w:tcPr>
          <w:p>
            <w:pPr>
              <w:pStyle w:val="TableParagraph"/>
              <w:ind w:left="1123"/>
              <w:jc w:val="left"/>
              <w:rPr>
                <w:sz w:val="20"/>
              </w:rPr>
            </w:pPr>
            <w:r>
              <w:rPr>
                <w:spacing w:val="-2"/>
                <w:sz w:val="20"/>
              </w:rPr>
              <w:t>€265.6</w:t>
            </w:r>
          </w:p>
        </w:tc>
      </w:tr>
      <w:tr>
        <w:trPr>
          <w:trHeight w:val="263" w:hRule="atLeast"/>
        </w:trPr>
        <w:tc>
          <w:tcPr>
            <w:tcW w:w="2305" w:type="dxa"/>
          </w:tcPr>
          <w:p>
            <w:pPr>
              <w:pStyle w:val="TableParagraph"/>
              <w:ind w:left="110"/>
              <w:jc w:val="left"/>
              <w:rPr>
                <w:sz w:val="20"/>
              </w:rPr>
            </w:pPr>
            <w:r>
              <w:rPr>
                <w:sz w:val="20"/>
              </w:rPr>
              <w:t>Country</w:t>
            </w:r>
            <w:r>
              <w:rPr>
                <w:spacing w:val="-8"/>
                <w:sz w:val="20"/>
              </w:rPr>
              <w:t> </w:t>
            </w:r>
            <w:r>
              <w:rPr>
                <w:sz w:val="20"/>
              </w:rPr>
              <w:t>office</w:t>
            </w:r>
            <w:r>
              <w:rPr>
                <w:spacing w:val="-3"/>
                <w:sz w:val="20"/>
              </w:rPr>
              <w:t> </w:t>
            </w:r>
            <w:r>
              <w:rPr>
                <w:sz w:val="20"/>
              </w:rPr>
              <w:t>non-</w:t>
            </w:r>
            <w:r>
              <w:rPr>
                <w:spacing w:val="-4"/>
                <w:sz w:val="20"/>
              </w:rPr>
              <w:t>staff</w:t>
            </w:r>
          </w:p>
        </w:tc>
        <w:tc>
          <w:tcPr>
            <w:tcW w:w="2545" w:type="dxa"/>
          </w:tcPr>
          <w:p>
            <w:pPr>
              <w:pStyle w:val="TableParagraph"/>
              <w:ind w:right="920"/>
              <w:rPr>
                <w:sz w:val="20"/>
              </w:rPr>
            </w:pPr>
            <w:r>
              <w:rPr>
                <w:spacing w:val="-2"/>
                <w:sz w:val="20"/>
              </w:rPr>
              <w:t>€46.5</w:t>
            </w:r>
          </w:p>
        </w:tc>
        <w:tc>
          <w:tcPr>
            <w:tcW w:w="2512" w:type="dxa"/>
          </w:tcPr>
          <w:p>
            <w:pPr>
              <w:pStyle w:val="TableParagraph"/>
              <w:ind w:left="1123"/>
              <w:jc w:val="left"/>
              <w:rPr>
                <w:sz w:val="20"/>
              </w:rPr>
            </w:pPr>
            <w:r>
              <w:rPr>
                <w:spacing w:val="-2"/>
                <w:sz w:val="20"/>
              </w:rPr>
              <w:t>€182.9</w:t>
            </w:r>
          </w:p>
        </w:tc>
      </w:tr>
      <w:tr>
        <w:trPr>
          <w:trHeight w:val="263" w:hRule="atLeast"/>
        </w:trPr>
        <w:tc>
          <w:tcPr>
            <w:tcW w:w="2305" w:type="dxa"/>
          </w:tcPr>
          <w:p>
            <w:pPr>
              <w:pStyle w:val="TableParagraph"/>
              <w:ind w:left="110"/>
              <w:jc w:val="left"/>
              <w:rPr>
                <w:sz w:val="20"/>
              </w:rPr>
            </w:pPr>
            <w:r>
              <w:rPr>
                <w:sz w:val="20"/>
              </w:rPr>
              <w:t>VWS </w:t>
            </w:r>
            <w:r>
              <w:rPr>
                <w:spacing w:val="-2"/>
                <w:sz w:val="20"/>
              </w:rPr>
              <w:t>staff</w:t>
            </w:r>
          </w:p>
        </w:tc>
        <w:tc>
          <w:tcPr>
            <w:tcW w:w="2545" w:type="dxa"/>
          </w:tcPr>
          <w:p>
            <w:pPr>
              <w:pStyle w:val="TableParagraph"/>
              <w:ind w:right="920"/>
              <w:rPr>
                <w:sz w:val="20"/>
              </w:rPr>
            </w:pPr>
            <w:r>
              <w:rPr>
                <w:spacing w:val="-2"/>
                <w:sz w:val="20"/>
              </w:rPr>
              <w:t>€411.2</w:t>
            </w:r>
          </w:p>
        </w:tc>
        <w:tc>
          <w:tcPr>
            <w:tcW w:w="2512" w:type="dxa"/>
          </w:tcPr>
          <w:p>
            <w:pPr>
              <w:pStyle w:val="TableParagraph"/>
              <w:ind w:left="1123"/>
              <w:jc w:val="left"/>
              <w:rPr>
                <w:sz w:val="20"/>
              </w:rPr>
            </w:pPr>
            <w:r>
              <w:rPr>
                <w:spacing w:val="-2"/>
                <w:sz w:val="20"/>
              </w:rPr>
              <w:t>€184.6</w:t>
            </w:r>
          </w:p>
        </w:tc>
      </w:tr>
      <w:tr>
        <w:trPr>
          <w:trHeight w:val="263" w:hRule="atLeast"/>
        </w:trPr>
        <w:tc>
          <w:tcPr>
            <w:tcW w:w="2305" w:type="dxa"/>
          </w:tcPr>
          <w:p>
            <w:pPr>
              <w:pStyle w:val="TableParagraph"/>
              <w:ind w:left="110"/>
              <w:jc w:val="left"/>
              <w:rPr>
                <w:sz w:val="20"/>
              </w:rPr>
            </w:pPr>
            <w:r>
              <w:rPr>
                <w:sz w:val="20"/>
              </w:rPr>
              <w:t>VWS</w:t>
            </w:r>
            <w:r>
              <w:rPr>
                <w:spacing w:val="-5"/>
                <w:sz w:val="20"/>
              </w:rPr>
              <w:t> </w:t>
            </w:r>
            <w:r>
              <w:rPr>
                <w:sz w:val="20"/>
              </w:rPr>
              <w:t>non-</w:t>
            </w:r>
            <w:r>
              <w:rPr>
                <w:spacing w:val="-2"/>
                <w:sz w:val="20"/>
              </w:rPr>
              <w:t>staff</w:t>
            </w:r>
          </w:p>
        </w:tc>
        <w:tc>
          <w:tcPr>
            <w:tcW w:w="2545" w:type="dxa"/>
          </w:tcPr>
          <w:p>
            <w:pPr>
              <w:pStyle w:val="TableParagraph"/>
              <w:ind w:right="920"/>
              <w:rPr>
                <w:sz w:val="20"/>
              </w:rPr>
            </w:pPr>
            <w:r>
              <w:rPr>
                <w:spacing w:val="-2"/>
                <w:sz w:val="20"/>
              </w:rPr>
              <w:t>€204.1</w:t>
            </w:r>
          </w:p>
        </w:tc>
        <w:tc>
          <w:tcPr>
            <w:tcW w:w="2512" w:type="dxa"/>
          </w:tcPr>
          <w:p>
            <w:pPr>
              <w:pStyle w:val="TableParagraph"/>
              <w:ind w:left="1224"/>
              <w:jc w:val="left"/>
              <w:rPr>
                <w:sz w:val="20"/>
              </w:rPr>
            </w:pPr>
            <w:r>
              <w:rPr>
                <w:spacing w:val="-2"/>
                <w:sz w:val="20"/>
              </w:rPr>
              <w:t>€17.0</w:t>
            </w:r>
          </w:p>
        </w:tc>
      </w:tr>
      <w:tr>
        <w:trPr>
          <w:trHeight w:val="269" w:hRule="atLeast"/>
        </w:trPr>
        <w:tc>
          <w:tcPr>
            <w:tcW w:w="2305" w:type="dxa"/>
          </w:tcPr>
          <w:p>
            <w:pPr>
              <w:pStyle w:val="TableParagraph"/>
              <w:spacing w:before="1"/>
              <w:ind w:left="110"/>
              <w:jc w:val="left"/>
              <w:rPr>
                <w:b/>
                <w:sz w:val="20"/>
              </w:rPr>
            </w:pPr>
            <w:r>
              <w:rPr>
                <w:b/>
                <w:spacing w:val="-2"/>
                <w:sz w:val="20"/>
              </w:rPr>
              <w:t>Total</w:t>
            </w:r>
          </w:p>
        </w:tc>
        <w:tc>
          <w:tcPr>
            <w:tcW w:w="2545" w:type="dxa"/>
          </w:tcPr>
          <w:p>
            <w:pPr>
              <w:pStyle w:val="TableParagraph"/>
              <w:spacing w:before="1"/>
              <w:ind w:right="920"/>
              <w:rPr>
                <w:b/>
                <w:sz w:val="20"/>
              </w:rPr>
            </w:pPr>
            <w:r>
              <w:rPr>
                <w:b/>
                <w:spacing w:val="-2"/>
                <w:sz w:val="20"/>
              </w:rPr>
              <w:t>€931.5</w:t>
            </w:r>
          </w:p>
        </w:tc>
        <w:tc>
          <w:tcPr>
            <w:tcW w:w="2512" w:type="dxa"/>
          </w:tcPr>
          <w:p>
            <w:pPr>
              <w:pStyle w:val="TableParagraph"/>
              <w:spacing w:before="1"/>
              <w:ind w:left="1123"/>
              <w:jc w:val="left"/>
              <w:rPr>
                <w:b/>
                <w:sz w:val="20"/>
              </w:rPr>
            </w:pPr>
            <w:r>
              <w:rPr>
                <w:b/>
                <w:spacing w:val="-2"/>
                <w:sz w:val="20"/>
              </w:rPr>
              <w:t>€650.1</w:t>
            </w:r>
          </w:p>
        </w:tc>
      </w:tr>
    </w:tbl>
    <w:p>
      <w:pPr>
        <w:pStyle w:val="BodyText"/>
        <w:spacing w:before="2"/>
        <w:rPr>
          <w:i/>
          <w:sz w:val="23"/>
        </w:rPr>
      </w:pPr>
    </w:p>
    <w:p>
      <w:pPr>
        <w:pStyle w:val="ListParagraph"/>
        <w:numPr>
          <w:ilvl w:val="0"/>
          <w:numId w:val="137"/>
        </w:numPr>
        <w:tabs>
          <w:tab w:pos="2966" w:val="left" w:leader="none"/>
          <w:tab w:pos="2967" w:val="left" w:leader="none"/>
        </w:tabs>
        <w:spacing w:line="240" w:lineRule="auto" w:before="0" w:after="0"/>
        <w:ind w:left="2246" w:right="2241" w:firstLine="0"/>
        <w:jc w:val="both"/>
        <w:rPr>
          <w:sz w:val="20"/>
        </w:rPr>
      </w:pPr>
      <w:r>
        <w:rPr>
          <w:sz w:val="20"/>
        </w:rPr>
        <w:t>The country office in Ukraine will be responsible for witness/victim protection, security, administration and operations in support of the OTP’s ongoing investigations and the Registry’s mandated tasks. The Registry staff in Ukraine will be comprised of five international</w:t>
      </w:r>
      <w:r>
        <w:rPr>
          <w:spacing w:val="-3"/>
          <w:sz w:val="20"/>
        </w:rPr>
        <w:t> </w:t>
      </w:r>
      <w:r>
        <w:rPr>
          <w:sz w:val="20"/>
        </w:rPr>
        <w:t>staff,</w:t>
      </w:r>
      <w:r>
        <w:rPr>
          <w:spacing w:val="-2"/>
          <w:sz w:val="20"/>
        </w:rPr>
        <w:t> </w:t>
      </w:r>
      <w:r>
        <w:rPr>
          <w:sz w:val="20"/>
        </w:rPr>
        <w:t>one</w:t>
      </w:r>
      <w:r>
        <w:rPr>
          <w:spacing w:val="-3"/>
          <w:sz w:val="20"/>
        </w:rPr>
        <w:t> </w:t>
      </w:r>
      <w:r>
        <w:rPr>
          <w:sz w:val="20"/>
        </w:rPr>
        <w:t>national</w:t>
      </w:r>
      <w:r>
        <w:rPr>
          <w:spacing w:val="-3"/>
          <w:sz w:val="20"/>
        </w:rPr>
        <w:t> </w:t>
      </w:r>
      <w:r>
        <w:rPr>
          <w:sz w:val="20"/>
        </w:rPr>
        <w:t>professional</w:t>
      </w:r>
      <w:r>
        <w:rPr>
          <w:spacing w:val="-3"/>
          <w:sz w:val="20"/>
        </w:rPr>
        <w:t> </w:t>
      </w:r>
      <w:r>
        <w:rPr>
          <w:sz w:val="20"/>
        </w:rPr>
        <w:t>officer</w:t>
      </w:r>
      <w:r>
        <w:rPr>
          <w:spacing w:val="-9"/>
          <w:sz w:val="20"/>
        </w:rPr>
        <w:t> </w:t>
      </w:r>
      <w:r>
        <w:rPr>
          <w:sz w:val="20"/>
        </w:rPr>
        <w:t>and</w:t>
      </w:r>
      <w:r>
        <w:rPr>
          <w:spacing w:val="-5"/>
          <w:sz w:val="20"/>
        </w:rPr>
        <w:t> </w:t>
      </w:r>
      <w:r>
        <w:rPr>
          <w:sz w:val="20"/>
        </w:rPr>
        <w:t>three</w:t>
      </w:r>
      <w:r>
        <w:rPr>
          <w:spacing w:val="-3"/>
          <w:sz w:val="20"/>
        </w:rPr>
        <w:t> </w:t>
      </w:r>
      <w:r>
        <w:rPr>
          <w:sz w:val="20"/>
        </w:rPr>
        <w:t>local staff.</w:t>
      </w:r>
      <w:r>
        <w:rPr>
          <w:spacing w:val="-2"/>
          <w:sz w:val="20"/>
        </w:rPr>
        <w:t> </w:t>
      </w:r>
      <w:r>
        <w:rPr>
          <w:sz w:val="20"/>
        </w:rPr>
        <w:t>This</w:t>
      </w:r>
      <w:r>
        <w:rPr>
          <w:spacing w:val="-6"/>
          <w:sz w:val="20"/>
        </w:rPr>
        <w:t> </w:t>
      </w:r>
      <w:r>
        <w:rPr>
          <w:sz w:val="20"/>
        </w:rPr>
        <w:t>country</w:t>
      </w:r>
      <w:r>
        <w:rPr>
          <w:spacing w:val="-5"/>
          <w:sz w:val="20"/>
        </w:rPr>
        <w:t> </w:t>
      </w:r>
      <w:r>
        <w:rPr>
          <w:sz w:val="20"/>
        </w:rPr>
        <w:t>office will be managed by the Chief of Country Office (Georgia).</w:t>
      </w:r>
    </w:p>
    <w:p>
      <w:pPr>
        <w:pStyle w:val="ListParagraph"/>
        <w:numPr>
          <w:ilvl w:val="0"/>
          <w:numId w:val="137"/>
        </w:numPr>
        <w:tabs>
          <w:tab w:pos="2966" w:val="left" w:leader="none"/>
          <w:tab w:pos="2967" w:val="left" w:leader="none"/>
        </w:tabs>
        <w:spacing w:line="240" w:lineRule="auto" w:before="118" w:after="0"/>
        <w:ind w:left="2246" w:right="2238" w:firstLine="0"/>
        <w:jc w:val="both"/>
        <w:rPr>
          <w:sz w:val="20"/>
        </w:rPr>
      </w:pPr>
      <w:r>
        <w:rPr>
          <w:sz w:val="20"/>
        </w:rPr>
        <w:t>With</w:t>
      </w:r>
      <w:r>
        <w:rPr>
          <w:spacing w:val="-8"/>
          <w:sz w:val="20"/>
        </w:rPr>
        <w:t> </w:t>
      </w:r>
      <w:r>
        <w:rPr>
          <w:sz w:val="20"/>
        </w:rPr>
        <w:t>respect</w:t>
      </w:r>
      <w:r>
        <w:rPr>
          <w:spacing w:val="-12"/>
          <w:sz w:val="20"/>
        </w:rPr>
        <w:t> </w:t>
      </w:r>
      <w:r>
        <w:rPr>
          <w:sz w:val="20"/>
        </w:rPr>
        <w:t>to</w:t>
      </w:r>
      <w:r>
        <w:rPr>
          <w:spacing w:val="-8"/>
          <w:sz w:val="20"/>
        </w:rPr>
        <w:t> </w:t>
      </w:r>
      <w:r>
        <w:rPr>
          <w:sz w:val="20"/>
        </w:rPr>
        <w:t>Côte</w:t>
      </w:r>
      <w:r>
        <w:rPr>
          <w:spacing w:val="-7"/>
          <w:sz w:val="20"/>
        </w:rPr>
        <w:t> </w:t>
      </w:r>
      <w:r>
        <w:rPr>
          <w:sz w:val="20"/>
        </w:rPr>
        <w:t>d’Ivoire,</w:t>
      </w:r>
      <w:r>
        <w:rPr>
          <w:spacing w:val="-6"/>
          <w:sz w:val="20"/>
        </w:rPr>
        <w:t> </w:t>
      </w:r>
      <w:r>
        <w:rPr>
          <w:sz w:val="20"/>
        </w:rPr>
        <w:t>the</w:t>
      </w:r>
      <w:r>
        <w:rPr>
          <w:spacing w:val="-7"/>
          <w:sz w:val="20"/>
        </w:rPr>
        <w:t> </w:t>
      </w:r>
      <w:r>
        <w:rPr>
          <w:sz w:val="20"/>
        </w:rPr>
        <w:t>Registry</w:t>
      </w:r>
      <w:r>
        <w:rPr>
          <w:spacing w:val="-8"/>
          <w:sz w:val="20"/>
        </w:rPr>
        <w:t> </w:t>
      </w:r>
      <w:r>
        <w:rPr>
          <w:sz w:val="20"/>
        </w:rPr>
        <w:t>will</w:t>
      </w:r>
      <w:r>
        <w:rPr>
          <w:spacing w:val="-7"/>
          <w:sz w:val="20"/>
        </w:rPr>
        <w:t> </w:t>
      </w:r>
      <w:r>
        <w:rPr>
          <w:sz w:val="20"/>
        </w:rPr>
        <w:t>have</w:t>
      </w:r>
      <w:r>
        <w:rPr>
          <w:spacing w:val="-7"/>
          <w:sz w:val="20"/>
        </w:rPr>
        <w:t> </w:t>
      </w:r>
      <w:r>
        <w:rPr>
          <w:sz w:val="20"/>
        </w:rPr>
        <w:t>two</w:t>
      </w:r>
      <w:r>
        <w:rPr>
          <w:spacing w:val="-13"/>
          <w:sz w:val="20"/>
        </w:rPr>
        <w:t> </w:t>
      </w:r>
      <w:r>
        <w:rPr>
          <w:sz w:val="20"/>
        </w:rPr>
        <w:t>international</w:t>
      </w:r>
      <w:r>
        <w:rPr>
          <w:spacing w:val="-6"/>
          <w:sz w:val="20"/>
        </w:rPr>
        <w:t> </w:t>
      </w:r>
      <w:r>
        <w:rPr>
          <w:sz w:val="20"/>
        </w:rPr>
        <w:t>staff</w:t>
      </w:r>
      <w:r>
        <w:rPr>
          <w:spacing w:val="-8"/>
          <w:sz w:val="20"/>
        </w:rPr>
        <w:t> </w:t>
      </w:r>
      <w:r>
        <w:rPr>
          <w:sz w:val="20"/>
        </w:rPr>
        <w:t>and</w:t>
      </w:r>
      <w:r>
        <w:rPr>
          <w:spacing w:val="-8"/>
          <w:sz w:val="20"/>
        </w:rPr>
        <w:t> </w:t>
      </w:r>
      <w:r>
        <w:rPr>
          <w:sz w:val="20"/>
        </w:rPr>
        <w:t>five local staff. The office will be managed by the Chief of Country Office (Mali) and it will support the OTP’s investigations, the activities of the TFV related to its assistance programme and the Registry’s mandated tasks arising out of the Court’s previous activities in the situation in Côte d’Ivoire.</w:t>
      </w:r>
    </w:p>
    <w:p>
      <w:pPr>
        <w:pStyle w:val="BodyText"/>
      </w:pPr>
    </w:p>
    <w:p>
      <w:pPr>
        <w:pStyle w:val="BodyText"/>
        <w:spacing w:before="8"/>
        <w:rPr>
          <w:sz w:val="22"/>
        </w:rPr>
      </w:pPr>
      <w:r>
        <w:rPr/>
        <w:pict>
          <v:rect style="position:absolute;margin-left:113.330002pt;margin-top:14.266895pt;width:144.050pt;height:.47998pt;mso-position-horizontal-relative:page;mso-position-vertical-relative:paragraph;z-index:-15662592;mso-wrap-distance-left:0;mso-wrap-distance-right:0" id="docshape521" filled="true" fillcolor="#000000" stroked="false">
            <v:fill type="solid"/>
            <w10:wrap type="topAndBottom"/>
          </v:rect>
        </w:pict>
      </w:r>
    </w:p>
    <w:p>
      <w:pPr>
        <w:spacing w:line="240" w:lineRule="auto" w:before="86"/>
        <w:ind w:left="2246" w:right="2250" w:firstLine="0"/>
        <w:jc w:val="left"/>
        <w:rPr>
          <w:sz w:val="16"/>
        </w:rPr>
      </w:pPr>
      <w:r>
        <w:rPr>
          <w:position w:val="5"/>
          <w:sz w:val="10"/>
        </w:rPr>
        <w:t>177</w:t>
      </w:r>
      <w:r>
        <w:rPr>
          <w:spacing w:val="18"/>
          <w:position w:val="5"/>
          <w:sz w:val="10"/>
        </w:rPr>
        <w:t> </w:t>
      </w:r>
      <w:r>
        <w:rPr>
          <w:i/>
          <w:sz w:val="16"/>
        </w:rPr>
        <w:t>Resolution of the Assembly of States Parties on the proposed programme</w:t>
      </w:r>
      <w:r>
        <w:rPr>
          <w:i/>
          <w:spacing w:val="-3"/>
          <w:sz w:val="16"/>
        </w:rPr>
        <w:t> </w:t>
      </w:r>
      <w:r>
        <w:rPr>
          <w:i/>
          <w:sz w:val="16"/>
        </w:rPr>
        <w:t>budget for 2022,</w:t>
      </w:r>
      <w:r>
        <w:rPr>
          <w:i/>
          <w:spacing w:val="-1"/>
          <w:sz w:val="16"/>
        </w:rPr>
        <w:t> </w:t>
      </w:r>
      <w:r>
        <w:rPr>
          <w:i/>
          <w:sz w:val="16"/>
        </w:rPr>
        <w:t>the</w:t>
      </w:r>
      <w:r>
        <w:rPr>
          <w:i/>
          <w:spacing w:val="-3"/>
          <w:sz w:val="16"/>
        </w:rPr>
        <w:t> </w:t>
      </w:r>
      <w:r>
        <w:rPr>
          <w:i/>
          <w:sz w:val="16"/>
        </w:rPr>
        <w:t>Working Capital</w:t>
      </w:r>
      <w:r>
        <w:rPr>
          <w:i/>
          <w:spacing w:val="40"/>
          <w:sz w:val="16"/>
        </w:rPr>
        <w:t> </w:t>
      </w:r>
      <w:r>
        <w:rPr>
          <w:i/>
          <w:sz w:val="16"/>
        </w:rPr>
        <w:t>Fund</w:t>
      </w:r>
      <w:r>
        <w:rPr>
          <w:i/>
          <w:spacing w:val="18"/>
          <w:sz w:val="16"/>
        </w:rPr>
        <w:t> </w:t>
      </w:r>
      <w:r>
        <w:rPr>
          <w:i/>
          <w:sz w:val="16"/>
        </w:rPr>
        <w:t>for</w:t>
      </w:r>
      <w:r>
        <w:rPr>
          <w:i/>
          <w:spacing w:val="17"/>
          <w:sz w:val="16"/>
        </w:rPr>
        <w:t> </w:t>
      </w:r>
      <w:r>
        <w:rPr>
          <w:i/>
          <w:sz w:val="16"/>
        </w:rPr>
        <w:t>2022, the</w:t>
      </w:r>
      <w:r>
        <w:rPr>
          <w:i/>
          <w:spacing w:val="18"/>
          <w:sz w:val="16"/>
        </w:rPr>
        <w:t> </w:t>
      </w:r>
      <w:r>
        <w:rPr>
          <w:i/>
          <w:sz w:val="16"/>
        </w:rPr>
        <w:t>scale</w:t>
      </w:r>
      <w:r>
        <w:rPr>
          <w:i/>
          <w:spacing w:val="18"/>
          <w:sz w:val="16"/>
        </w:rPr>
        <w:t> </w:t>
      </w:r>
      <w:r>
        <w:rPr>
          <w:i/>
          <w:sz w:val="16"/>
        </w:rPr>
        <w:t>of assessment for</w:t>
      </w:r>
      <w:r>
        <w:rPr>
          <w:i/>
          <w:spacing w:val="17"/>
          <w:sz w:val="16"/>
        </w:rPr>
        <w:t> </w:t>
      </w:r>
      <w:r>
        <w:rPr>
          <w:i/>
          <w:sz w:val="16"/>
        </w:rPr>
        <w:t>the</w:t>
      </w:r>
      <w:r>
        <w:rPr>
          <w:i/>
          <w:spacing w:val="18"/>
          <w:sz w:val="16"/>
        </w:rPr>
        <w:t> </w:t>
      </w:r>
      <w:r>
        <w:rPr>
          <w:i/>
          <w:sz w:val="16"/>
        </w:rPr>
        <w:t>apportionment of expenses</w:t>
      </w:r>
      <w:r>
        <w:rPr>
          <w:i/>
          <w:spacing w:val="17"/>
          <w:sz w:val="16"/>
        </w:rPr>
        <w:t> </w:t>
      </w:r>
      <w:r>
        <w:rPr>
          <w:i/>
          <w:sz w:val="16"/>
        </w:rPr>
        <w:t>of the</w:t>
      </w:r>
      <w:r>
        <w:rPr>
          <w:i/>
          <w:spacing w:val="18"/>
          <w:sz w:val="16"/>
        </w:rPr>
        <w:t> </w:t>
      </w:r>
      <w:r>
        <w:rPr>
          <w:i/>
          <w:sz w:val="16"/>
        </w:rPr>
        <w:t>International Criminal Court,</w:t>
      </w:r>
      <w:r>
        <w:rPr>
          <w:i/>
          <w:spacing w:val="40"/>
          <w:sz w:val="16"/>
        </w:rPr>
        <w:t> </w:t>
      </w:r>
      <w:r>
        <w:rPr>
          <w:i/>
          <w:sz w:val="16"/>
        </w:rPr>
        <w:t>financing appropriations for 2022 and the Contingency Fund</w:t>
      </w:r>
      <w:r>
        <w:rPr>
          <w:sz w:val="16"/>
        </w:rPr>
        <w:t>, Resolution ICC-ASP/20/Res.1, Section K, para. 9.</w:t>
      </w:r>
      <w:r>
        <w:rPr>
          <w:spacing w:val="40"/>
          <w:sz w:val="16"/>
        </w:rPr>
        <w:t> </w:t>
      </w:r>
      <w:r>
        <w:rPr>
          <w:position w:val="5"/>
          <w:sz w:val="10"/>
        </w:rPr>
        <w:t>178</w:t>
      </w:r>
      <w:r>
        <w:rPr>
          <w:spacing w:val="14"/>
          <w:position w:val="5"/>
          <w:sz w:val="10"/>
        </w:rPr>
        <w:t> </w:t>
      </w:r>
      <w:r>
        <w:rPr>
          <w:sz w:val="16"/>
        </w:rPr>
        <w:t>CBF/35/3.</w:t>
      </w:r>
    </w:p>
    <w:p>
      <w:pPr>
        <w:spacing w:after="0" w:line="240" w:lineRule="auto"/>
        <w:jc w:val="left"/>
        <w:rPr>
          <w:sz w:val="16"/>
        </w:rPr>
        <w:sectPr>
          <w:pgSz w:w="11910" w:h="16840"/>
          <w:pgMar w:header="957" w:footer="940" w:top="1140" w:bottom="1140" w:left="20" w:right="20"/>
        </w:sectPr>
      </w:pPr>
    </w:p>
    <w:p>
      <w:pPr>
        <w:pStyle w:val="BodyText"/>
      </w:pPr>
    </w:p>
    <w:p>
      <w:pPr>
        <w:pStyle w:val="BodyText"/>
        <w:spacing w:before="3"/>
        <w:rPr>
          <w:sz w:val="21"/>
        </w:rPr>
      </w:pPr>
    </w:p>
    <w:p>
      <w:pPr>
        <w:pStyle w:val="Heading3"/>
        <w:numPr>
          <w:ilvl w:val="1"/>
          <w:numId w:val="138"/>
        </w:numPr>
        <w:tabs>
          <w:tab w:pos="2602" w:val="left" w:leader="none"/>
        </w:tabs>
        <w:spacing w:line="240" w:lineRule="auto" w:before="0" w:after="0"/>
        <w:ind w:left="2601" w:right="0" w:hanging="356"/>
        <w:jc w:val="both"/>
      </w:pPr>
      <w:r>
        <w:rPr/>
        <w:t>Pre-trial:</w:t>
      </w:r>
      <w:r>
        <w:rPr>
          <w:spacing w:val="-10"/>
        </w:rPr>
        <w:t> </w:t>
      </w:r>
      <w:r>
        <w:rPr>
          <w:spacing w:val="-2"/>
        </w:rPr>
        <w:t>Georgia</w:t>
      </w:r>
    </w:p>
    <w:p>
      <w:pPr>
        <w:spacing w:before="159"/>
        <w:ind w:left="2246" w:right="0" w:firstLine="0"/>
        <w:jc w:val="left"/>
        <w:rPr>
          <w:i/>
          <w:sz w:val="18"/>
        </w:rPr>
      </w:pPr>
      <w:r>
        <w:rPr>
          <w:i/>
          <w:sz w:val="18"/>
        </w:rPr>
        <w:t>Proposed</w:t>
      </w:r>
      <w:r>
        <w:rPr>
          <w:i/>
          <w:spacing w:val="-6"/>
          <w:sz w:val="18"/>
        </w:rPr>
        <w:t> </w:t>
      </w:r>
      <w:r>
        <w:rPr>
          <w:i/>
          <w:sz w:val="18"/>
        </w:rPr>
        <w:t>programme</w:t>
      </w:r>
      <w:r>
        <w:rPr>
          <w:i/>
          <w:spacing w:val="-5"/>
          <w:sz w:val="18"/>
        </w:rPr>
        <w:t> </w:t>
      </w:r>
      <w:r>
        <w:rPr>
          <w:i/>
          <w:sz w:val="18"/>
        </w:rPr>
        <w:t>budget 2023</w:t>
      </w:r>
      <w:r>
        <w:rPr>
          <w:i/>
          <w:spacing w:val="-5"/>
          <w:sz w:val="18"/>
        </w:rPr>
        <w:t> </w:t>
      </w:r>
      <w:r>
        <w:rPr>
          <w:i/>
          <w:sz w:val="18"/>
        </w:rPr>
        <w:t>(thousands</w:t>
      </w:r>
      <w:r>
        <w:rPr>
          <w:i/>
          <w:spacing w:val="-5"/>
          <w:sz w:val="18"/>
        </w:rPr>
        <w:t> </w:t>
      </w:r>
      <w:r>
        <w:rPr>
          <w:i/>
          <w:sz w:val="18"/>
        </w:rPr>
        <w:t>of</w:t>
      </w:r>
      <w:r>
        <w:rPr>
          <w:i/>
          <w:spacing w:val="-3"/>
          <w:sz w:val="18"/>
        </w:rPr>
        <w:t> </w:t>
      </w:r>
      <w:r>
        <w:rPr>
          <w:i/>
          <w:spacing w:val="-2"/>
          <w:sz w:val="18"/>
        </w:rPr>
        <w:t>euros)</w:t>
      </w:r>
    </w:p>
    <w:p>
      <w:pPr>
        <w:pStyle w:val="BodyText"/>
        <w:spacing w:before="10"/>
        <w:rPr>
          <w:i/>
          <w:sz w:val="12"/>
        </w:rPr>
      </w:pPr>
    </w:p>
    <w:tbl>
      <w:tblPr>
        <w:tblW w:w="0" w:type="auto"/>
        <w:jc w:val="left"/>
        <w:tblInd w:w="2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06"/>
        <w:gridCol w:w="3002"/>
      </w:tblGrid>
      <w:tr>
        <w:trPr>
          <w:trHeight w:val="264" w:hRule="atLeast"/>
        </w:trPr>
        <w:tc>
          <w:tcPr>
            <w:tcW w:w="3006" w:type="dxa"/>
          </w:tcPr>
          <w:p>
            <w:pPr>
              <w:pStyle w:val="TableParagraph"/>
              <w:jc w:val="left"/>
              <w:rPr>
                <w:sz w:val="18"/>
              </w:rPr>
            </w:pPr>
          </w:p>
        </w:tc>
        <w:tc>
          <w:tcPr>
            <w:tcW w:w="3002" w:type="dxa"/>
          </w:tcPr>
          <w:p>
            <w:pPr>
              <w:pStyle w:val="TableParagraph"/>
              <w:ind w:right="1138"/>
              <w:rPr>
                <w:b/>
                <w:sz w:val="20"/>
              </w:rPr>
            </w:pPr>
            <w:r>
              <w:rPr>
                <w:b/>
                <w:spacing w:val="-2"/>
                <w:sz w:val="20"/>
              </w:rPr>
              <w:t>Georgia</w:t>
            </w:r>
          </w:p>
        </w:tc>
      </w:tr>
      <w:tr>
        <w:trPr>
          <w:trHeight w:val="263" w:hRule="atLeast"/>
        </w:trPr>
        <w:tc>
          <w:tcPr>
            <w:tcW w:w="3006" w:type="dxa"/>
          </w:tcPr>
          <w:p>
            <w:pPr>
              <w:pStyle w:val="TableParagraph"/>
              <w:ind w:left="110"/>
              <w:jc w:val="left"/>
              <w:rPr>
                <w:sz w:val="20"/>
              </w:rPr>
            </w:pPr>
            <w:r>
              <w:rPr>
                <w:sz w:val="20"/>
              </w:rPr>
              <w:t>Country</w:t>
            </w:r>
            <w:r>
              <w:rPr>
                <w:spacing w:val="-6"/>
                <w:sz w:val="20"/>
              </w:rPr>
              <w:t> </w:t>
            </w:r>
            <w:r>
              <w:rPr>
                <w:sz w:val="20"/>
              </w:rPr>
              <w:t>office</w:t>
            </w:r>
            <w:r>
              <w:rPr>
                <w:spacing w:val="1"/>
                <w:sz w:val="20"/>
              </w:rPr>
              <w:t> </w:t>
            </w:r>
            <w:r>
              <w:rPr>
                <w:spacing w:val="-2"/>
                <w:sz w:val="20"/>
              </w:rPr>
              <w:t>staff</w:t>
            </w:r>
          </w:p>
        </w:tc>
        <w:tc>
          <w:tcPr>
            <w:tcW w:w="3002" w:type="dxa"/>
          </w:tcPr>
          <w:p>
            <w:pPr>
              <w:pStyle w:val="TableParagraph"/>
              <w:ind w:right="1175"/>
              <w:rPr>
                <w:sz w:val="20"/>
              </w:rPr>
            </w:pPr>
            <w:r>
              <w:rPr>
                <w:spacing w:val="-2"/>
                <w:sz w:val="20"/>
              </w:rPr>
              <w:t>€170.0</w:t>
            </w:r>
          </w:p>
        </w:tc>
      </w:tr>
      <w:tr>
        <w:trPr>
          <w:trHeight w:val="268" w:hRule="atLeast"/>
        </w:trPr>
        <w:tc>
          <w:tcPr>
            <w:tcW w:w="3006" w:type="dxa"/>
          </w:tcPr>
          <w:p>
            <w:pPr>
              <w:pStyle w:val="TableParagraph"/>
              <w:spacing w:before="5"/>
              <w:ind w:left="110"/>
              <w:jc w:val="left"/>
              <w:rPr>
                <w:sz w:val="20"/>
              </w:rPr>
            </w:pPr>
            <w:r>
              <w:rPr>
                <w:sz w:val="20"/>
              </w:rPr>
              <w:t>Country</w:t>
            </w:r>
            <w:r>
              <w:rPr>
                <w:spacing w:val="-8"/>
                <w:sz w:val="20"/>
              </w:rPr>
              <w:t> </w:t>
            </w:r>
            <w:r>
              <w:rPr>
                <w:sz w:val="20"/>
              </w:rPr>
              <w:t>office</w:t>
            </w:r>
            <w:r>
              <w:rPr>
                <w:spacing w:val="-3"/>
                <w:sz w:val="20"/>
              </w:rPr>
              <w:t> </w:t>
            </w:r>
            <w:r>
              <w:rPr>
                <w:sz w:val="20"/>
              </w:rPr>
              <w:t>non-</w:t>
            </w:r>
            <w:r>
              <w:rPr>
                <w:spacing w:val="-4"/>
                <w:sz w:val="20"/>
              </w:rPr>
              <w:t>staff</w:t>
            </w:r>
          </w:p>
        </w:tc>
        <w:tc>
          <w:tcPr>
            <w:tcW w:w="3002" w:type="dxa"/>
          </w:tcPr>
          <w:p>
            <w:pPr>
              <w:pStyle w:val="TableParagraph"/>
              <w:spacing w:before="5"/>
              <w:ind w:right="1175"/>
              <w:rPr>
                <w:sz w:val="20"/>
              </w:rPr>
            </w:pPr>
            <w:r>
              <w:rPr>
                <w:spacing w:val="-2"/>
                <w:sz w:val="20"/>
              </w:rPr>
              <w:t>€57.8</w:t>
            </w:r>
          </w:p>
        </w:tc>
      </w:tr>
      <w:tr>
        <w:trPr>
          <w:trHeight w:val="263" w:hRule="atLeast"/>
        </w:trPr>
        <w:tc>
          <w:tcPr>
            <w:tcW w:w="3006" w:type="dxa"/>
          </w:tcPr>
          <w:p>
            <w:pPr>
              <w:pStyle w:val="TableParagraph"/>
              <w:ind w:left="110"/>
              <w:jc w:val="left"/>
              <w:rPr>
                <w:sz w:val="20"/>
              </w:rPr>
            </w:pPr>
            <w:r>
              <w:rPr>
                <w:sz w:val="20"/>
              </w:rPr>
              <w:t>VWS </w:t>
            </w:r>
            <w:r>
              <w:rPr>
                <w:spacing w:val="-2"/>
                <w:sz w:val="20"/>
              </w:rPr>
              <w:t>staff</w:t>
            </w:r>
          </w:p>
        </w:tc>
        <w:tc>
          <w:tcPr>
            <w:tcW w:w="3002" w:type="dxa"/>
          </w:tcPr>
          <w:p>
            <w:pPr>
              <w:pStyle w:val="TableParagraph"/>
              <w:ind w:right="1180"/>
              <w:rPr>
                <w:sz w:val="20"/>
              </w:rPr>
            </w:pPr>
            <w:r>
              <w:rPr>
                <w:w w:val="100"/>
                <w:sz w:val="20"/>
              </w:rPr>
              <w:t>-</w:t>
            </w:r>
          </w:p>
        </w:tc>
      </w:tr>
      <w:tr>
        <w:trPr>
          <w:trHeight w:val="263" w:hRule="atLeast"/>
        </w:trPr>
        <w:tc>
          <w:tcPr>
            <w:tcW w:w="3006" w:type="dxa"/>
          </w:tcPr>
          <w:p>
            <w:pPr>
              <w:pStyle w:val="TableParagraph"/>
              <w:ind w:left="110"/>
              <w:jc w:val="left"/>
              <w:rPr>
                <w:sz w:val="20"/>
              </w:rPr>
            </w:pPr>
            <w:r>
              <w:rPr>
                <w:sz w:val="20"/>
              </w:rPr>
              <w:t>VWS</w:t>
            </w:r>
            <w:r>
              <w:rPr>
                <w:spacing w:val="-5"/>
                <w:sz w:val="20"/>
              </w:rPr>
              <w:t> </w:t>
            </w:r>
            <w:r>
              <w:rPr>
                <w:sz w:val="20"/>
              </w:rPr>
              <w:t>non-</w:t>
            </w:r>
            <w:r>
              <w:rPr>
                <w:spacing w:val="-2"/>
                <w:sz w:val="20"/>
              </w:rPr>
              <w:t>staff</w:t>
            </w:r>
          </w:p>
        </w:tc>
        <w:tc>
          <w:tcPr>
            <w:tcW w:w="3002" w:type="dxa"/>
          </w:tcPr>
          <w:p>
            <w:pPr>
              <w:pStyle w:val="TableParagraph"/>
              <w:ind w:right="1180"/>
              <w:rPr>
                <w:sz w:val="20"/>
              </w:rPr>
            </w:pPr>
            <w:r>
              <w:rPr>
                <w:w w:val="100"/>
                <w:sz w:val="20"/>
              </w:rPr>
              <w:t>-</w:t>
            </w:r>
          </w:p>
        </w:tc>
      </w:tr>
      <w:tr>
        <w:trPr>
          <w:trHeight w:val="263" w:hRule="atLeast"/>
        </w:trPr>
        <w:tc>
          <w:tcPr>
            <w:tcW w:w="3006" w:type="dxa"/>
          </w:tcPr>
          <w:p>
            <w:pPr>
              <w:pStyle w:val="TableParagraph"/>
              <w:ind w:left="110"/>
              <w:jc w:val="left"/>
              <w:rPr>
                <w:b/>
                <w:sz w:val="20"/>
              </w:rPr>
            </w:pPr>
            <w:r>
              <w:rPr>
                <w:b/>
                <w:spacing w:val="-2"/>
                <w:sz w:val="20"/>
              </w:rPr>
              <w:t>Total</w:t>
            </w:r>
          </w:p>
        </w:tc>
        <w:tc>
          <w:tcPr>
            <w:tcW w:w="3002" w:type="dxa"/>
          </w:tcPr>
          <w:p>
            <w:pPr>
              <w:pStyle w:val="TableParagraph"/>
              <w:ind w:right="1175"/>
              <w:rPr>
                <w:b/>
                <w:sz w:val="20"/>
              </w:rPr>
            </w:pPr>
            <w:r>
              <w:rPr>
                <w:b/>
                <w:spacing w:val="-2"/>
                <w:sz w:val="20"/>
              </w:rPr>
              <w:t>€227.8</w:t>
            </w:r>
          </w:p>
        </w:tc>
      </w:tr>
    </w:tbl>
    <w:p>
      <w:pPr>
        <w:pStyle w:val="BodyText"/>
        <w:spacing w:before="3"/>
        <w:rPr>
          <w:i/>
          <w:sz w:val="23"/>
        </w:rPr>
      </w:pPr>
    </w:p>
    <w:p>
      <w:pPr>
        <w:pStyle w:val="ListParagraph"/>
        <w:numPr>
          <w:ilvl w:val="0"/>
          <w:numId w:val="137"/>
        </w:numPr>
        <w:tabs>
          <w:tab w:pos="2966" w:val="left" w:leader="none"/>
          <w:tab w:pos="2967" w:val="left" w:leader="none"/>
        </w:tabs>
        <w:spacing w:line="240" w:lineRule="auto" w:before="0" w:after="0"/>
        <w:ind w:left="2246" w:right="2241" w:firstLine="0"/>
        <w:jc w:val="both"/>
        <w:rPr>
          <w:sz w:val="20"/>
        </w:rPr>
      </w:pPr>
      <w:r>
        <w:rPr>
          <w:sz w:val="20"/>
        </w:rPr>
        <w:t>The</w:t>
      </w:r>
      <w:r>
        <w:rPr>
          <w:spacing w:val="-13"/>
          <w:sz w:val="20"/>
        </w:rPr>
        <w:t> </w:t>
      </w:r>
      <w:r>
        <w:rPr>
          <w:sz w:val="20"/>
        </w:rPr>
        <w:t>country</w:t>
      </w:r>
      <w:r>
        <w:rPr>
          <w:spacing w:val="-12"/>
          <w:sz w:val="20"/>
        </w:rPr>
        <w:t> </w:t>
      </w:r>
      <w:r>
        <w:rPr>
          <w:sz w:val="20"/>
        </w:rPr>
        <w:t>office</w:t>
      </w:r>
      <w:r>
        <w:rPr>
          <w:spacing w:val="-13"/>
          <w:sz w:val="20"/>
        </w:rPr>
        <w:t> </w:t>
      </w:r>
      <w:r>
        <w:rPr>
          <w:sz w:val="20"/>
        </w:rPr>
        <w:t>in</w:t>
      </w:r>
      <w:r>
        <w:rPr>
          <w:spacing w:val="-12"/>
          <w:sz w:val="20"/>
        </w:rPr>
        <w:t> </w:t>
      </w:r>
      <w:r>
        <w:rPr>
          <w:sz w:val="20"/>
        </w:rPr>
        <w:t>Georgia</w:t>
      </w:r>
      <w:r>
        <w:rPr>
          <w:spacing w:val="-13"/>
          <w:sz w:val="20"/>
        </w:rPr>
        <w:t> </w:t>
      </w:r>
      <w:r>
        <w:rPr>
          <w:sz w:val="20"/>
        </w:rPr>
        <w:t>will</w:t>
      </w:r>
      <w:r>
        <w:rPr>
          <w:spacing w:val="-12"/>
          <w:sz w:val="20"/>
        </w:rPr>
        <w:t> </w:t>
      </w:r>
      <w:r>
        <w:rPr>
          <w:sz w:val="20"/>
        </w:rPr>
        <w:t>have</w:t>
      </w:r>
      <w:r>
        <w:rPr>
          <w:spacing w:val="-13"/>
          <w:sz w:val="20"/>
        </w:rPr>
        <w:t> </w:t>
      </w:r>
      <w:r>
        <w:rPr>
          <w:sz w:val="20"/>
        </w:rPr>
        <w:t>one</w:t>
      </w:r>
      <w:r>
        <w:rPr>
          <w:spacing w:val="-12"/>
          <w:sz w:val="20"/>
        </w:rPr>
        <w:t> </w:t>
      </w:r>
      <w:r>
        <w:rPr>
          <w:sz w:val="20"/>
        </w:rPr>
        <w:t>international</w:t>
      </w:r>
      <w:r>
        <w:rPr>
          <w:spacing w:val="-13"/>
          <w:sz w:val="20"/>
        </w:rPr>
        <w:t> </w:t>
      </w:r>
      <w:r>
        <w:rPr>
          <w:sz w:val="20"/>
        </w:rPr>
        <w:t>and</w:t>
      </w:r>
      <w:r>
        <w:rPr>
          <w:spacing w:val="-12"/>
          <w:sz w:val="20"/>
        </w:rPr>
        <w:t> </w:t>
      </w:r>
      <w:r>
        <w:rPr>
          <w:sz w:val="20"/>
        </w:rPr>
        <w:t>one</w:t>
      </w:r>
      <w:r>
        <w:rPr>
          <w:spacing w:val="-13"/>
          <w:sz w:val="20"/>
        </w:rPr>
        <w:t> </w:t>
      </w:r>
      <w:r>
        <w:rPr>
          <w:sz w:val="20"/>
        </w:rPr>
        <w:t>local</w:t>
      </w:r>
      <w:r>
        <w:rPr>
          <w:spacing w:val="-12"/>
          <w:sz w:val="20"/>
        </w:rPr>
        <w:t> </w:t>
      </w:r>
      <w:r>
        <w:rPr>
          <w:sz w:val="20"/>
        </w:rPr>
        <w:t>staff</w:t>
      </w:r>
      <w:r>
        <w:rPr>
          <w:spacing w:val="-13"/>
          <w:sz w:val="20"/>
        </w:rPr>
        <w:t> </w:t>
      </w:r>
      <w:r>
        <w:rPr>
          <w:sz w:val="20"/>
        </w:rPr>
        <w:t>member from</w:t>
      </w:r>
      <w:r>
        <w:rPr>
          <w:spacing w:val="-8"/>
          <w:sz w:val="20"/>
        </w:rPr>
        <w:t> </w:t>
      </w:r>
      <w:r>
        <w:rPr>
          <w:sz w:val="20"/>
        </w:rPr>
        <w:t>the</w:t>
      </w:r>
      <w:r>
        <w:rPr>
          <w:spacing w:val="-8"/>
          <w:sz w:val="20"/>
        </w:rPr>
        <w:t> </w:t>
      </w:r>
      <w:r>
        <w:rPr>
          <w:sz w:val="20"/>
        </w:rPr>
        <w:t>Registry.</w:t>
      </w:r>
      <w:r>
        <w:rPr>
          <w:spacing w:val="-7"/>
          <w:sz w:val="20"/>
        </w:rPr>
        <w:t> </w:t>
      </w:r>
      <w:r>
        <w:rPr>
          <w:sz w:val="20"/>
        </w:rPr>
        <w:t>The</w:t>
      </w:r>
      <w:r>
        <w:rPr>
          <w:spacing w:val="-4"/>
          <w:sz w:val="20"/>
        </w:rPr>
        <w:t> </w:t>
      </w:r>
      <w:r>
        <w:rPr>
          <w:sz w:val="20"/>
        </w:rPr>
        <w:t>office</w:t>
      </w:r>
      <w:r>
        <w:rPr>
          <w:spacing w:val="-4"/>
          <w:sz w:val="20"/>
        </w:rPr>
        <w:t> </w:t>
      </w:r>
      <w:r>
        <w:rPr>
          <w:sz w:val="20"/>
        </w:rPr>
        <w:t>will</w:t>
      </w:r>
      <w:r>
        <w:rPr>
          <w:spacing w:val="-8"/>
          <w:sz w:val="20"/>
        </w:rPr>
        <w:t> </w:t>
      </w:r>
      <w:r>
        <w:rPr>
          <w:sz w:val="20"/>
        </w:rPr>
        <w:t>be</w:t>
      </w:r>
      <w:r>
        <w:rPr>
          <w:spacing w:val="-4"/>
          <w:sz w:val="20"/>
        </w:rPr>
        <w:t> </w:t>
      </w:r>
      <w:r>
        <w:rPr>
          <w:sz w:val="20"/>
        </w:rPr>
        <w:t>responsible</w:t>
      </w:r>
      <w:r>
        <w:rPr>
          <w:spacing w:val="-4"/>
          <w:sz w:val="20"/>
        </w:rPr>
        <w:t> </w:t>
      </w:r>
      <w:r>
        <w:rPr>
          <w:sz w:val="20"/>
        </w:rPr>
        <w:t>for</w:t>
      </w:r>
      <w:r>
        <w:rPr>
          <w:spacing w:val="-9"/>
          <w:sz w:val="20"/>
        </w:rPr>
        <w:t> </w:t>
      </w:r>
      <w:r>
        <w:rPr>
          <w:sz w:val="20"/>
        </w:rPr>
        <w:t>outreach,</w:t>
      </w:r>
      <w:r>
        <w:rPr>
          <w:spacing w:val="-3"/>
          <w:sz w:val="20"/>
        </w:rPr>
        <w:t> </w:t>
      </w:r>
      <w:r>
        <w:rPr>
          <w:sz w:val="20"/>
        </w:rPr>
        <w:t>diplomatic</w:t>
      </w:r>
      <w:r>
        <w:rPr>
          <w:spacing w:val="-4"/>
          <w:sz w:val="20"/>
        </w:rPr>
        <w:t> </w:t>
      </w:r>
      <w:r>
        <w:rPr>
          <w:sz w:val="20"/>
        </w:rPr>
        <w:t>and</w:t>
      </w:r>
      <w:r>
        <w:rPr>
          <w:spacing w:val="-9"/>
          <w:sz w:val="20"/>
        </w:rPr>
        <w:t> </w:t>
      </w:r>
      <w:r>
        <w:rPr>
          <w:sz w:val="20"/>
        </w:rPr>
        <w:t>administrative functions in a situation where three warrants of arrest have recently been issued but remain unexecuted. The Chief of Country Office (Georgia) will also be responsible for the country office in Ukraine.</w:t>
      </w:r>
    </w:p>
    <w:p>
      <w:pPr>
        <w:pStyle w:val="Heading3"/>
        <w:numPr>
          <w:ilvl w:val="1"/>
          <w:numId w:val="138"/>
        </w:numPr>
        <w:tabs>
          <w:tab w:pos="2602" w:val="left" w:leader="none"/>
        </w:tabs>
        <w:spacing w:line="240" w:lineRule="auto" w:before="122" w:after="0"/>
        <w:ind w:left="2601" w:right="0" w:hanging="356"/>
        <w:jc w:val="both"/>
      </w:pPr>
      <w:r>
        <w:rPr/>
        <w:t>Trial</w:t>
      </w:r>
      <w:r>
        <w:rPr>
          <w:spacing w:val="-5"/>
        </w:rPr>
        <w:t> </w:t>
      </w:r>
      <w:r>
        <w:rPr/>
        <w:t>phase:</w:t>
      </w:r>
      <w:r>
        <w:rPr>
          <w:spacing w:val="-7"/>
        </w:rPr>
        <w:t> </w:t>
      </w:r>
      <w:r>
        <w:rPr/>
        <w:t>Central</w:t>
      </w:r>
      <w:r>
        <w:rPr>
          <w:spacing w:val="-4"/>
        </w:rPr>
        <w:t> </w:t>
      </w:r>
      <w:r>
        <w:rPr/>
        <w:t>African</w:t>
      </w:r>
      <w:r>
        <w:rPr>
          <w:spacing w:val="-7"/>
        </w:rPr>
        <w:t> </w:t>
      </w:r>
      <w:r>
        <w:rPr/>
        <w:t>Republic</w:t>
      </w:r>
      <w:r>
        <w:rPr>
          <w:spacing w:val="-5"/>
        </w:rPr>
        <w:t> </w:t>
      </w:r>
      <w:r>
        <w:rPr/>
        <w:t>and</w:t>
      </w:r>
      <w:r>
        <w:rPr>
          <w:spacing w:val="-11"/>
        </w:rPr>
        <w:t> </w:t>
      </w:r>
      <w:r>
        <w:rPr>
          <w:spacing w:val="-4"/>
        </w:rPr>
        <w:t>Sudan</w:t>
      </w:r>
    </w:p>
    <w:p>
      <w:pPr>
        <w:spacing w:before="158"/>
        <w:ind w:left="2246" w:right="0" w:firstLine="0"/>
        <w:jc w:val="left"/>
        <w:rPr>
          <w:i/>
          <w:sz w:val="18"/>
        </w:rPr>
      </w:pPr>
      <w:r>
        <w:rPr>
          <w:i/>
          <w:sz w:val="18"/>
        </w:rPr>
        <w:t>Proposed</w:t>
      </w:r>
      <w:r>
        <w:rPr>
          <w:i/>
          <w:spacing w:val="-6"/>
          <w:sz w:val="18"/>
        </w:rPr>
        <w:t> </w:t>
      </w:r>
      <w:r>
        <w:rPr>
          <w:i/>
          <w:sz w:val="18"/>
        </w:rPr>
        <w:t>programme</w:t>
      </w:r>
      <w:r>
        <w:rPr>
          <w:i/>
          <w:spacing w:val="-5"/>
          <w:sz w:val="18"/>
        </w:rPr>
        <w:t> </w:t>
      </w:r>
      <w:r>
        <w:rPr>
          <w:i/>
          <w:sz w:val="18"/>
        </w:rPr>
        <w:t>budget 2023</w:t>
      </w:r>
      <w:r>
        <w:rPr>
          <w:i/>
          <w:spacing w:val="-5"/>
          <w:sz w:val="18"/>
        </w:rPr>
        <w:t> </w:t>
      </w:r>
      <w:r>
        <w:rPr>
          <w:i/>
          <w:sz w:val="18"/>
        </w:rPr>
        <w:t>(thousands</w:t>
      </w:r>
      <w:r>
        <w:rPr>
          <w:i/>
          <w:spacing w:val="-5"/>
          <w:sz w:val="18"/>
        </w:rPr>
        <w:t> </w:t>
      </w:r>
      <w:r>
        <w:rPr>
          <w:i/>
          <w:sz w:val="18"/>
        </w:rPr>
        <w:t>of</w:t>
      </w:r>
      <w:r>
        <w:rPr>
          <w:i/>
          <w:spacing w:val="-3"/>
          <w:sz w:val="18"/>
        </w:rPr>
        <w:t> </w:t>
      </w:r>
      <w:r>
        <w:rPr>
          <w:i/>
          <w:spacing w:val="-2"/>
          <w:sz w:val="18"/>
        </w:rPr>
        <w:t>euros)</w:t>
      </w:r>
    </w:p>
    <w:p>
      <w:pPr>
        <w:pStyle w:val="BodyText"/>
        <w:spacing w:before="11"/>
        <w:rPr>
          <w:i/>
          <w:sz w:val="12"/>
        </w:rPr>
      </w:pPr>
    </w:p>
    <w:tbl>
      <w:tblPr>
        <w:tblW w:w="0" w:type="auto"/>
        <w:jc w:val="left"/>
        <w:tblInd w:w="2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2"/>
        <w:gridCol w:w="2521"/>
        <w:gridCol w:w="2579"/>
      </w:tblGrid>
      <w:tr>
        <w:trPr>
          <w:trHeight w:val="263" w:hRule="atLeast"/>
        </w:trPr>
        <w:tc>
          <w:tcPr>
            <w:tcW w:w="2262" w:type="dxa"/>
          </w:tcPr>
          <w:p>
            <w:pPr>
              <w:pStyle w:val="TableParagraph"/>
              <w:jc w:val="left"/>
              <w:rPr>
                <w:sz w:val="18"/>
              </w:rPr>
            </w:pPr>
          </w:p>
        </w:tc>
        <w:tc>
          <w:tcPr>
            <w:tcW w:w="2521" w:type="dxa"/>
          </w:tcPr>
          <w:p>
            <w:pPr>
              <w:pStyle w:val="TableParagraph"/>
              <w:ind w:left="172"/>
              <w:jc w:val="left"/>
              <w:rPr>
                <w:b/>
                <w:sz w:val="20"/>
              </w:rPr>
            </w:pPr>
            <w:r>
              <w:rPr>
                <w:b/>
                <w:sz w:val="20"/>
              </w:rPr>
              <w:t>Central</w:t>
            </w:r>
            <w:r>
              <w:rPr>
                <w:b/>
                <w:spacing w:val="-7"/>
                <w:sz w:val="20"/>
              </w:rPr>
              <w:t> </w:t>
            </w:r>
            <w:r>
              <w:rPr>
                <w:b/>
                <w:sz w:val="20"/>
              </w:rPr>
              <w:t>African</w:t>
            </w:r>
            <w:r>
              <w:rPr>
                <w:b/>
                <w:spacing w:val="-4"/>
                <w:sz w:val="20"/>
              </w:rPr>
              <w:t> </w:t>
            </w:r>
            <w:r>
              <w:rPr>
                <w:b/>
                <w:spacing w:val="-2"/>
                <w:sz w:val="20"/>
              </w:rPr>
              <w:t>Republic</w:t>
            </w:r>
          </w:p>
        </w:tc>
        <w:tc>
          <w:tcPr>
            <w:tcW w:w="2579" w:type="dxa"/>
          </w:tcPr>
          <w:p>
            <w:pPr>
              <w:pStyle w:val="TableParagraph"/>
              <w:ind w:right="1005"/>
              <w:rPr>
                <w:b/>
                <w:sz w:val="20"/>
              </w:rPr>
            </w:pPr>
            <w:r>
              <w:rPr>
                <w:b/>
                <w:spacing w:val="-4"/>
                <w:sz w:val="20"/>
              </w:rPr>
              <w:t>Sudan</w:t>
            </w:r>
          </w:p>
        </w:tc>
      </w:tr>
      <w:tr>
        <w:trPr>
          <w:trHeight w:val="263" w:hRule="atLeast"/>
        </w:trPr>
        <w:tc>
          <w:tcPr>
            <w:tcW w:w="2262" w:type="dxa"/>
          </w:tcPr>
          <w:p>
            <w:pPr>
              <w:pStyle w:val="TableParagraph"/>
              <w:ind w:left="110"/>
              <w:jc w:val="left"/>
              <w:rPr>
                <w:sz w:val="20"/>
              </w:rPr>
            </w:pPr>
            <w:r>
              <w:rPr>
                <w:sz w:val="20"/>
              </w:rPr>
              <w:t>Country</w:t>
            </w:r>
            <w:r>
              <w:rPr>
                <w:spacing w:val="-6"/>
                <w:sz w:val="20"/>
              </w:rPr>
              <w:t> </w:t>
            </w:r>
            <w:r>
              <w:rPr>
                <w:sz w:val="20"/>
              </w:rPr>
              <w:t>office</w:t>
            </w:r>
            <w:r>
              <w:rPr>
                <w:spacing w:val="1"/>
                <w:sz w:val="20"/>
              </w:rPr>
              <w:t> </w:t>
            </w:r>
            <w:r>
              <w:rPr>
                <w:spacing w:val="-2"/>
                <w:sz w:val="20"/>
              </w:rPr>
              <w:t>staff</w:t>
            </w:r>
          </w:p>
        </w:tc>
        <w:tc>
          <w:tcPr>
            <w:tcW w:w="2521" w:type="dxa"/>
          </w:tcPr>
          <w:p>
            <w:pPr>
              <w:pStyle w:val="TableParagraph"/>
              <w:ind w:left="1017"/>
              <w:jc w:val="left"/>
              <w:rPr>
                <w:sz w:val="20"/>
              </w:rPr>
            </w:pPr>
            <w:r>
              <w:rPr>
                <w:spacing w:val="-2"/>
                <w:sz w:val="20"/>
              </w:rPr>
              <w:t>€1,418.0</w:t>
            </w:r>
          </w:p>
        </w:tc>
        <w:tc>
          <w:tcPr>
            <w:tcW w:w="2579" w:type="dxa"/>
          </w:tcPr>
          <w:p>
            <w:pPr>
              <w:pStyle w:val="TableParagraph"/>
              <w:ind w:right="959"/>
              <w:rPr>
                <w:sz w:val="20"/>
              </w:rPr>
            </w:pPr>
            <w:r>
              <w:rPr>
                <w:spacing w:val="-2"/>
                <w:sz w:val="20"/>
              </w:rPr>
              <w:t>€483.3</w:t>
            </w:r>
          </w:p>
        </w:tc>
      </w:tr>
      <w:tr>
        <w:trPr>
          <w:trHeight w:val="263" w:hRule="atLeast"/>
        </w:trPr>
        <w:tc>
          <w:tcPr>
            <w:tcW w:w="2262" w:type="dxa"/>
          </w:tcPr>
          <w:p>
            <w:pPr>
              <w:pStyle w:val="TableParagraph"/>
              <w:ind w:left="110"/>
              <w:jc w:val="left"/>
              <w:rPr>
                <w:sz w:val="20"/>
              </w:rPr>
            </w:pPr>
            <w:r>
              <w:rPr>
                <w:sz w:val="20"/>
              </w:rPr>
              <w:t>Country</w:t>
            </w:r>
            <w:r>
              <w:rPr>
                <w:spacing w:val="-8"/>
                <w:sz w:val="20"/>
              </w:rPr>
              <w:t> </w:t>
            </w:r>
            <w:r>
              <w:rPr>
                <w:sz w:val="20"/>
              </w:rPr>
              <w:t>office</w:t>
            </w:r>
            <w:r>
              <w:rPr>
                <w:spacing w:val="-3"/>
                <w:sz w:val="20"/>
              </w:rPr>
              <w:t> </w:t>
            </w:r>
            <w:r>
              <w:rPr>
                <w:sz w:val="20"/>
              </w:rPr>
              <w:t>non-</w:t>
            </w:r>
            <w:r>
              <w:rPr>
                <w:spacing w:val="-4"/>
                <w:sz w:val="20"/>
              </w:rPr>
              <w:t>staff</w:t>
            </w:r>
          </w:p>
        </w:tc>
        <w:tc>
          <w:tcPr>
            <w:tcW w:w="2521" w:type="dxa"/>
          </w:tcPr>
          <w:p>
            <w:pPr>
              <w:pStyle w:val="TableParagraph"/>
              <w:ind w:left="1166"/>
              <w:jc w:val="left"/>
              <w:rPr>
                <w:sz w:val="20"/>
              </w:rPr>
            </w:pPr>
            <w:r>
              <w:rPr>
                <w:spacing w:val="-2"/>
                <w:sz w:val="20"/>
              </w:rPr>
              <w:t>€914.0</w:t>
            </w:r>
          </w:p>
        </w:tc>
        <w:tc>
          <w:tcPr>
            <w:tcW w:w="2579" w:type="dxa"/>
          </w:tcPr>
          <w:p>
            <w:pPr>
              <w:pStyle w:val="TableParagraph"/>
              <w:ind w:right="959"/>
              <w:rPr>
                <w:sz w:val="20"/>
              </w:rPr>
            </w:pPr>
            <w:r>
              <w:rPr>
                <w:spacing w:val="-2"/>
                <w:sz w:val="20"/>
              </w:rPr>
              <w:t>€219.0</w:t>
            </w:r>
          </w:p>
        </w:tc>
      </w:tr>
      <w:tr>
        <w:trPr>
          <w:trHeight w:val="263" w:hRule="atLeast"/>
        </w:trPr>
        <w:tc>
          <w:tcPr>
            <w:tcW w:w="2262" w:type="dxa"/>
          </w:tcPr>
          <w:p>
            <w:pPr>
              <w:pStyle w:val="TableParagraph"/>
              <w:ind w:left="110"/>
              <w:jc w:val="left"/>
              <w:rPr>
                <w:sz w:val="20"/>
              </w:rPr>
            </w:pPr>
            <w:r>
              <w:rPr>
                <w:sz w:val="20"/>
              </w:rPr>
              <w:t>VWS </w:t>
            </w:r>
            <w:r>
              <w:rPr>
                <w:spacing w:val="-2"/>
                <w:sz w:val="20"/>
              </w:rPr>
              <w:t>staff</w:t>
            </w:r>
          </w:p>
        </w:tc>
        <w:tc>
          <w:tcPr>
            <w:tcW w:w="2521" w:type="dxa"/>
          </w:tcPr>
          <w:p>
            <w:pPr>
              <w:pStyle w:val="TableParagraph"/>
              <w:ind w:left="1166"/>
              <w:jc w:val="left"/>
              <w:rPr>
                <w:sz w:val="20"/>
              </w:rPr>
            </w:pPr>
            <w:r>
              <w:rPr>
                <w:spacing w:val="-2"/>
                <w:sz w:val="20"/>
              </w:rPr>
              <w:t>€492.4</w:t>
            </w:r>
          </w:p>
        </w:tc>
        <w:tc>
          <w:tcPr>
            <w:tcW w:w="2579" w:type="dxa"/>
          </w:tcPr>
          <w:p>
            <w:pPr>
              <w:pStyle w:val="TableParagraph"/>
              <w:ind w:right="959"/>
              <w:rPr>
                <w:sz w:val="20"/>
              </w:rPr>
            </w:pPr>
            <w:r>
              <w:rPr>
                <w:spacing w:val="-2"/>
                <w:sz w:val="20"/>
              </w:rPr>
              <w:t>€415.3</w:t>
            </w:r>
          </w:p>
        </w:tc>
      </w:tr>
      <w:tr>
        <w:trPr>
          <w:trHeight w:val="268" w:hRule="atLeast"/>
        </w:trPr>
        <w:tc>
          <w:tcPr>
            <w:tcW w:w="2262" w:type="dxa"/>
          </w:tcPr>
          <w:p>
            <w:pPr>
              <w:pStyle w:val="TableParagraph"/>
              <w:ind w:left="110"/>
              <w:jc w:val="left"/>
              <w:rPr>
                <w:sz w:val="20"/>
              </w:rPr>
            </w:pPr>
            <w:r>
              <w:rPr>
                <w:sz w:val="20"/>
              </w:rPr>
              <w:t>VWS</w:t>
            </w:r>
            <w:r>
              <w:rPr>
                <w:spacing w:val="-5"/>
                <w:sz w:val="20"/>
              </w:rPr>
              <w:t> </w:t>
            </w:r>
            <w:r>
              <w:rPr>
                <w:sz w:val="20"/>
              </w:rPr>
              <w:t>non-</w:t>
            </w:r>
            <w:r>
              <w:rPr>
                <w:spacing w:val="-2"/>
                <w:sz w:val="20"/>
              </w:rPr>
              <w:t>staff</w:t>
            </w:r>
          </w:p>
        </w:tc>
        <w:tc>
          <w:tcPr>
            <w:tcW w:w="2521" w:type="dxa"/>
          </w:tcPr>
          <w:p>
            <w:pPr>
              <w:pStyle w:val="TableParagraph"/>
              <w:ind w:left="1166"/>
              <w:jc w:val="left"/>
              <w:rPr>
                <w:sz w:val="20"/>
              </w:rPr>
            </w:pPr>
            <w:r>
              <w:rPr>
                <w:spacing w:val="-2"/>
                <w:sz w:val="20"/>
              </w:rPr>
              <w:t>€470.6</w:t>
            </w:r>
          </w:p>
        </w:tc>
        <w:tc>
          <w:tcPr>
            <w:tcW w:w="2579" w:type="dxa"/>
          </w:tcPr>
          <w:p>
            <w:pPr>
              <w:pStyle w:val="TableParagraph"/>
              <w:ind w:right="959"/>
              <w:rPr>
                <w:sz w:val="20"/>
              </w:rPr>
            </w:pPr>
            <w:r>
              <w:rPr>
                <w:spacing w:val="-2"/>
                <w:sz w:val="20"/>
              </w:rPr>
              <w:t>€568.7</w:t>
            </w:r>
          </w:p>
        </w:tc>
      </w:tr>
      <w:tr>
        <w:trPr>
          <w:trHeight w:val="263" w:hRule="atLeast"/>
        </w:trPr>
        <w:tc>
          <w:tcPr>
            <w:tcW w:w="2262" w:type="dxa"/>
          </w:tcPr>
          <w:p>
            <w:pPr>
              <w:pStyle w:val="TableParagraph"/>
              <w:ind w:left="110"/>
              <w:jc w:val="left"/>
              <w:rPr>
                <w:b/>
                <w:sz w:val="20"/>
              </w:rPr>
            </w:pPr>
            <w:r>
              <w:rPr>
                <w:b/>
                <w:spacing w:val="-2"/>
                <w:sz w:val="20"/>
              </w:rPr>
              <w:t>Total</w:t>
            </w:r>
          </w:p>
        </w:tc>
        <w:tc>
          <w:tcPr>
            <w:tcW w:w="2521" w:type="dxa"/>
          </w:tcPr>
          <w:p>
            <w:pPr>
              <w:pStyle w:val="TableParagraph"/>
              <w:ind w:left="1017"/>
              <w:jc w:val="left"/>
              <w:rPr>
                <w:b/>
                <w:sz w:val="20"/>
              </w:rPr>
            </w:pPr>
            <w:r>
              <w:rPr>
                <w:b/>
                <w:spacing w:val="-2"/>
                <w:sz w:val="20"/>
              </w:rPr>
              <w:t>€3,295.0</w:t>
            </w:r>
          </w:p>
        </w:tc>
        <w:tc>
          <w:tcPr>
            <w:tcW w:w="2579" w:type="dxa"/>
          </w:tcPr>
          <w:p>
            <w:pPr>
              <w:pStyle w:val="TableParagraph"/>
              <w:ind w:right="959"/>
              <w:rPr>
                <w:b/>
                <w:sz w:val="20"/>
              </w:rPr>
            </w:pPr>
            <w:r>
              <w:rPr>
                <w:b/>
                <w:spacing w:val="-2"/>
                <w:sz w:val="20"/>
              </w:rPr>
              <w:t>€1,686.3</w:t>
            </w:r>
          </w:p>
        </w:tc>
      </w:tr>
    </w:tbl>
    <w:p>
      <w:pPr>
        <w:pStyle w:val="BodyText"/>
        <w:spacing w:before="3"/>
        <w:rPr>
          <w:i/>
          <w:sz w:val="23"/>
        </w:rPr>
      </w:pPr>
    </w:p>
    <w:p>
      <w:pPr>
        <w:pStyle w:val="ListParagraph"/>
        <w:numPr>
          <w:ilvl w:val="0"/>
          <w:numId w:val="137"/>
        </w:numPr>
        <w:tabs>
          <w:tab w:pos="2966" w:val="left" w:leader="none"/>
          <w:tab w:pos="2967" w:val="left" w:leader="none"/>
        </w:tabs>
        <w:spacing w:line="240" w:lineRule="auto" w:before="0" w:after="0"/>
        <w:ind w:left="2246" w:right="2240" w:firstLine="0"/>
        <w:jc w:val="both"/>
        <w:rPr>
          <w:sz w:val="20"/>
        </w:rPr>
      </w:pPr>
      <w:r>
        <w:rPr>
          <w:sz w:val="20"/>
        </w:rPr>
        <w:t>In 2023,</w:t>
      </w:r>
      <w:r>
        <w:rPr>
          <w:spacing w:val="-3"/>
          <w:sz w:val="20"/>
        </w:rPr>
        <w:t> </w:t>
      </w:r>
      <w:r>
        <w:rPr>
          <w:sz w:val="20"/>
        </w:rPr>
        <w:t>the country</w:t>
      </w:r>
      <w:r>
        <w:rPr>
          <w:spacing w:val="-1"/>
          <w:sz w:val="20"/>
        </w:rPr>
        <w:t> </w:t>
      </w:r>
      <w:r>
        <w:rPr>
          <w:sz w:val="20"/>
        </w:rPr>
        <w:t>office in</w:t>
      </w:r>
      <w:r>
        <w:rPr>
          <w:spacing w:val="-1"/>
          <w:sz w:val="20"/>
        </w:rPr>
        <w:t> </w:t>
      </w:r>
      <w:r>
        <w:rPr>
          <w:sz w:val="20"/>
        </w:rPr>
        <w:t>the Central African</w:t>
      </w:r>
      <w:r>
        <w:rPr>
          <w:spacing w:val="-1"/>
          <w:sz w:val="20"/>
        </w:rPr>
        <w:t> </w:t>
      </w:r>
      <w:r>
        <w:rPr>
          <w:sz w:val="20"/>
        </w:rPr>
        <w:t>Republic (CAR) will continue to support the ongoing trial proceedings in both the </w:t>
      </w:r>
      <w:r>
        <w:rPr>
          <w:i/>
          <w:sz w:val="20"/>
        </w:rPr>
        <w:t>Yekatom &amp; Ngaïssona </w:t>
      </w:r>
      <w:r>
        <w:rPr>
          <w:sz w:val="20"/>
        </w:rPr>
        <w:t>and </w:t>
      </w:r>
      <w:r>
        <w:rPr>
          <w:i/>
          <w:sz w:val="20"/>
        </w:rPr>
        <w:t>Said </w:t>
      </w:r>
      <w:r>
        <w:rPr>
          <w:sz w:val="20"/>
        </w:rPr>
        <w:t>cases and will</w:t>
      </w:r>
      <w:r>
        <w:rPr>
          <w:spacing w:val="-2"/>
          <w:sz w:val="20"/>
        </w:rPr>
        <w:t> </w:t>
      </w:r>
      <w:r>
        <w:rPr>
          <w:sz w:val="20"/>
        </w:rPr>
        <w:t>also</w:t>
      </w:r>
      <w:r>
        <w:rPr>
          <w:spacing w:val="-4"/>
          <w:sz w:val="20"/>
        </w:rPr>
        <w:t> </w:t>
      </w:r>
      <w:r>
        <w:rPr>
          <w:sz w:val="20"/>
        </w:rPr>
        <w:t>provide</w:t>
      </w:r>
      <w:r>
        <w:rPr>
          <w:spacing w:val="-2"/>
          <w:sz w:val="20"/>
        </w:rPr>
        <w:t> </w:t>
      </w:r>
      <w:r>
        <w:rPr>
          <w:sz w:val="20"/>
        </w:rPr>
        <w:t>support</w:t>
      </w:r>
      <w:r>
        <w:rPr>
          <w:spacing w:val="-2"/>
          <w:sz w:val="20"/>
        </w:rPr>
        <w:t> </w:t>
      </w:r>
      <w:r>
        <w:rPr>
          <w:sz w:val="20"/>
        </w:rPr>
        <w:t>for</w:t>
      </w:r>
      <w:r>
        <w:rPr>
          <w:spacing w:val="-4"/>
          <w:sz w:val="20"/>
        </w:rPr>
        <w:t> </w:t>
      </w:r>
      <w:r>
        <w:rPr>
          <w:sz w:val="20"/>
        </w:rPr>
        <w:t>the</w:t>
      </w:r>
      <w:r>
        <w:rPr>
          <w:spacing w:val="-2"/>
          <w:sz w:val="20"/>
        </w:rPr>
        <w:t> </w:t>
      </w:r>
      <w:r>
        <w:rPr>
          <w:sz w:val="20"/>
        </w:rPr>
        <w:t>pre-trial</w:t>
      </w:r>
      <w:r>
        <w:rPr>
          <w:spacing w:val="-2"/>
          <w:sz w:val="20"/>
        </w:rPr>
        <w:t> </w:t>
      </w:r>
      <w:r>
        <w:rPr>
          <w:sz w:val="20"/>
        </w:rPr>
        <w:t>activities</w:t>
      </w:r>
      <w:r>
        <w:rPr>
          <w:spacing w:val="-5"/>
          <w:sz w:val="20"/>
        </w:rPr>
        <w:t> </w:t>
      </w:r>
      <w:r>
        <w:rPr>
          <w:sz w:val="20"/>
        </w:rPr>
        <w:t>in</w:t>
      </w:r>
      <w:r>
        <w:rPr>
          <w:spacing w:val="-8"/>
          <w:sz w:val="20"/>
        </w:rPr>
        <w:t> </w:t>
      </w:r>
      <w:r>
        <w:rPr>
          <w:sz w:val="20"/>
        </w:rPr>
        <w:t>the </w:t>
      </w:r>
      <w:r>
        <w:rPr>
          <w:i/>
          <w:sz w:val="20"/>
        </w:rPr>
        <w:t>Mokom</w:t>
      </w:r>
      <w:r>
        <w:rPr>
          <w:i/>
          <w:spacing w:val="-5"/>
          <w:sz w:val="20"/>
        </w:rPr>
        <w:t> </w:t>
      </w:r>
      <w:r>
        <w:rPr>
          <w:sz w:val="20"/>
        </w:rPr>
        <w:t>case.</w:t>
      </w:r>
      <w:r>
        <w:rPr>
          <w:spacing w:val="-6"/>
          <w:sz w:val="20"/>
        </w:rPr>
        <w:t> </w:t>
      </w:r>
      <w:r>
        <w:rPr>
          <w:sz w:val="20"/>
        </w:rPr>
        <w:t>The</w:t>
      </w:r>
      <w:r>
        <w:rPr>
          <w:spacing w:val="-2"/>
          <w:sz w:val="20"/>
        </w:rPr>
        <w:t> </w:t>
      </w:r>
      <w:r>
        <w:rPr>
          <w:sz w:val="20"/>
        </w:rPr>
        <w:t>Registry</w:t>
      </w:r>
      <w:r>
        <w:rPr>
          <w:spacing w:val="-4"/>
          <w:sz w:val="20"/>
        </w:rPr>
        <w:t> </w:t>
      </w:r>
      <w:r>
        <w:rPr>
          <w:sz w:val="20"/>
        </w:rPr>
        <w:t>staffing in the CAR will consist of 9 international staff and 16 local staff responsible for witness/victim protection and appearance, judicial cooperation, security, outreach, victim participation, administration and operations.</w:t>
      </w:r>
    </w:p>
    <w:p>
      <w:pPr>
        <w:pStyle w:val="ListParagraph"/>
        <w:numPr>
          <w:ilvl w:val="0"/>
          <w:numId w:val="137"/>
        </w:numPr>
        <w:tabs>
          <w:tab w:pos="2966" w:val="left" w:leader="none"/>
          <w:tab w:pos="2967" w:val="left" w:leader="none"/>
        </w:tabs>
        <w:spacing w:line="240" w:lineRule="auto" w:before="118" w:after="0"/>
        <w:ind w:left="2246" w:right="2235" w:firstLine="0"/>
        <w:jc w:val="both"/>
        <w:rPr>
          <w:sz w:val="20"/>
        </w:rPr>
      </w:pPr>
      <w:r>
        <w:rPr>
          <w:sz w:val="20"/>
        </w:rPr>
        <w:t>In 2023, the country office in Sudan will support the trial in the </w:t>
      </w:r>
      <w:r>
        <w:rPr>
          <w:i/>
          <w:sz w:val="20"/>
        </w:rPr>
        <w:t>Abd-Al-Rahman</w:t>
      </w:r>
      <w:r>
        <w:rPr>
          <w:i/>
          <w:sz w:val="20"/>
        </w:rPr>
        <w:t> </w:t>
      </w:r>
      <w:r>
        <w:rPr>
          <w:sz w:val="20"/>
        </w:rPr>
        <w:t>case. The Registry will have six international staff and three local staff in Sudan covering liaison</w:t>
      </w:r>
      <w:r>
        <w:rPr>
          <w:spacing w:val="-13"/>
          <w:sz w:val="20"/>
        </w:rPr>
        <w:t> </w:t>
      </w:r>
      <w:r>
        <w:rPr>
          <w:sz w:val="20"/>
        </w:rPr>
        <w:t>with</w:t>
      </w:r>
      <w:r>
        <w:rPr>
          <w:spacing w:val="-12"/>
          <w:sz w:val="20"/>
        </w:rPr>
        <w:t> </w:t>
      </w:r>
      <w:r>
        <w:rPr>
          <w:sz w:val="20"/>
        </w:rPr>
        <w:t>the</w:t>
      </w:r>
      <w:r>
        <w:rPr>
          <w:spacing w:val="-13"/>
          <w:sz w:val="20"/>
        </w:rPr>
        <w:t> </w:t>
      </w:r>
      <w:r>
        <w:rPr>
          <w:sz w:val="20"/>
        </w:rPr>
        <w:t>host</w:t>
      </w:r>
      <w:r>
        <w:rPr>
          <w:spacing w:val="-12"/>
          <w:sz w:val="20"/>
        </w:rPr>
        <w:t> </w:t>
      </w:r>
      <w:r>
        <w:rPr>
          <w:sz w:val="20"/>
        </w:rPr>
        <w:t>government</w:t>
      </w:r>
      <w:r>
        <w:rPr>
          <w:spacing w:val="-13"/>
          <w:sz w:val="20"/>
        </w:rPr>
        <w:t> </w:t>
      </w:r>
      <w:r>
        <w:rPr>
          <w:sz w:val="20"/>
        </w:rPr>
        <w:t>and</w:t>
      </w:r>
      <w:r>
        <w:rPr>
          <w:spacing w:val="-12"/>
          <w:sz w:val="20"/>
        </w:rPr>
        <w:t> </w:t>
      </w:r>
      <w:r>
        <w:rPr>
          <w:sz w:val="20"/>
        </w:rPr>
        <w:t>UN</w:t>
      </w:r>
      <w:r>
        <w:rPr>
          <w:spacing w:val="-13"/>
          <w:sz w:val="20"/>
        </w:rPr>
        <w:t> </w:t>
      </w:r>
      <w:r>
        <w:rPr>
          <w:sz w:val="20"/>
        </w:rPr>
        <w:t>agencies,</w:t>
      </w:r>
      <w:r>
        <w:rPr>
          <w:spacing w:val="-12"/>
          <w:sz w:val="20"/>
        </w:rPr>
        <w:t> </w:t>
      </w:r>
      <w:r>
        <w:rPr>
          <w:sz w:val="20"/>
        </w:rPr>
        <w:t>witness/victim</w:t>
      </w:r>
      <w:r>
        <w:rPr>
          <w:spacing w:val="-13"/>
          <w:sz w:val="20"/>
        </w:rPr>
        <w:t> </w:t>
      </w:r>
      <w:r>
        <w:rPr>
          <w:sz w:val="20"/>
        </w:rPr>
        <w:t>protection</w:t>
      </w:r>
      <w:r>
        <w:rPr>
          <w:spacing w:val="-12"/>
          <w:sz w:val="20"/>
        </w:rPr>
        <w:t> </w:t>
      </w:r>
      <w:r>
        <w:rPr>
          <w:sz w:val="20"/>
        </w:rPr>
        <w:t>and</w:t>
      </w:r>
      <w:r>
        <w:rPr>
          <w:spacing w:val="-13"/>
          <w:sz w:val="20"/>
        </w:rPr>
        <w:t> </w:t>
      </w:r>
      <w:r>
        <w:rPr>
          <w:sz w:val="20"/>
        </w:rPr>
        <w:t>appearance, security, administration and operations.</w:t>
      </w:r>
    </w:p>
    <w:p>
      <w:pPr>
        <w:pStyle w:val="Heading3"/>
        <w:numPr>
          <w:ilvl w:val="1"/>
          <w:numId w:val="138"/>
        </w:numPr>
        <w:tabs>
          <w:tab w:pos="2602" w:val="left" w:leader="none"/>
        </w:tabs>
        <w:spacing w:line="240" w:lineRule="auto" w:before="122" w:after="0"/>
        <w:ind w:left="2601" w:right="0" w:hanging="356"/>
        <w:jc w:val="both"/>
      </w:pPr>
      <w:r>
        <w:rPr>
          <w:spacing w:val="-2"/>
        </w:rPr>
        <w:t>Judgment/sentencing</w:t>
      </w:r>
      <w:r>
        <w:rPr>
          <w:spacing w:val="14"/>
        </w:rPr>
        <w:t> </w:t>
      </w:r>
      <w:r>
        <w:rPr>
          <w:spacing w:val="-2"/>
        </w:rPr>
        <w:t>phase:</w:t>
      </w:r>
      <w:r>
        <w:rPr>
          <w:spacing w:val="9"/>
        </w:rPr>
        <w:t> </w:t>
      </w:r>
      <w:r>
        <w:rPr>
          <w:spacing w:val="-4"/>
        </w:rPr>
        <w:t>Mali</w:t>
      </w:r>
    </w:p>
    <w:p>
      <w:pPr>
        <w:spacing w:before="158"/>
        <w:ind w:left="2246" w:right="0" w:firstLine="0"/>
        <w:jc w:val="left"/>
        <w:rPr>
          <w:i/>
          <w:sz w:val="18"/>
        </w:rPr>
      </w:pPr>
      <w:r>
        <w:rPr>
          <w:i/>
          <w:sz w:val="18"/>
        </w:rPr>
        <w:t>Proposed</w:t>
      </w:r>
      <w:r>
        <w:rPr>
          <w:i/>
          <w:spacing w:val="-6"/>
          <w:sz w:val="18"/>
        </w:rPr>
        <w:t> </w:t>
      </w:r>
      <w:r>
        <w:rPr>
          <w:i/>
          <w:sz w:val="18"/>
        </w:rPr>
        <w:t>programme</w:t>
      </w:r>
      <w:r>
        <w:rPr>
          <w:i/>
          <w:spacing w:val="-5"/>
          <w:sz w:val="18"/>
        </w:rPr>
        <w:t> </w:t>
      </w:r>
      <w:r>
        <w:rPr>
          <w:i/>
          <w:sz w:val="18"/>
        </w:rPr>
        <w:t>budget 2023</w:t>
      </w:r>
      <w:r>
        <w:rPr>
          <w:i/>
          <w:spacing w:val="-5"/>
          <w:sz w:val="18"/>
        </w:rPr>
        <w:t> </w:t>
      </w:r>
      <w:r>
        <w:rPr>
          <w:i/>
          <w:sz w:val="18"/>
        </w:rPr>
        <w:t>(thousands</w:t>
      </w:r>
      <w:r>
        <w:rPr>
          <w:i/>
          <w:spacing w:val="-5"/>
          <w:sz w:val="18"/>
        </w:rPr>
        <w:t> </w:t>
      </w:r>
      <w:r>
        <w:rPr>
          <w:i/>
          <w:sz w:val="18"/>
        </w:rPr>
        <w:t>of</w:t>
      </w:r>
      <w:r>
        <w:rPr>
          <w:i/>
          <w:spacing w:val="-3"/>
          <w:sz w:val="18"/>
        </w:rPr>
        <w:t> </w:t>
      </w:r>
      <w:r>
        <w:rPr>
          <w:i/>
          <w:spacing w:val="-2"/>
          <w:sz w:val="18"/>
        </w:rPr>
        <w:t>euros)</w:t>
      </w:r>
    </w:p>
    <w:p>
      <w:pPr>
        <w:pStyle w:val="BodyText"/>
        <w:spacing w:before="11"/>
        <w:rPr>
          <w:i/>
          <w:sz w:val="12"/>
        </w:rPr>
      </w:pPr>
    </w:p>
    <w:tbl>
      <w:tblPr>
        <w:tblW w:w="0" w:type="auto"/>
        <w:jc w:val="left"/>
        <w:tblInd w:w="2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06"/>
        <w:gridCol w:w="3002"/>
      </w:tblGrid>
      <w:tr>
        <w:trPr>
          <w:trHeight w:val="263" w:hRule="atLeast"/>
        </w:trPr>
        <w:tc>
          <w:tcPr>
            <w:tcW w:w="3006" w:type="dxa"/>
          </w:tcPr>
          <w:p>
            <w:pPr>
              <w:pStyle w:val="TableParagraph"/>
              <w:jc w:val="left"/>
              <w:rPr>
                <w:sz w:val="18"/>
              </w:rPr>
            </w:pPr>
          </w:p>
        </w:tc>
        <w:tc>
          <w:tcPr>
            <w:tcW w:w="3002" w:type="dxa"/>
          </w:tcPr>
          <w:p>
            <w:pPr>
              <w:pStyle w:val="TableParagraph"/>
              <w:ind w:left="1294" w:right="1273"/>
              <w:jc w:val="center"/>
              <w:rPr>
                <w:b/>
                <w:sz w:val="20"/>
              </w:rPr>
            </w:pPr>
            <w:r>
              <w:rPr>
                <w:b/>
                <w:spacing w:val="-4"/>
                <w:sz w:val="20"/>
              </w:rPr>
              <w:t>Mali</w:t>
            </w:r>
          </w:p>
        </w:tc>
      </w:tr>
      <w:tr>
        <w:trPr>
          <w:trHeight w:val="263" w:hRule="atLeast"/>
        </w:trPr>
        <w:tc>
          <w:tcPr>
            <w:tcW w:w="3006" w:type="dxa"/>
          </w:tcPr>
          <w:p>
            <w:pPr>
              <w:pStyle w:val="TableParagraph"/>
              <w:ind w:left="110"/>
              <w:jc w:val="left"/>
              <w:rPr>
                <w:sz w:val="20"/>
              </w:rPr>
            </w:pPr>
            <w:r>
              <w:rPr>
                <w:sz w:val="20"/>
              </w:rPr>
              <w:t>Country</w:t>
            </w:r>
            <w:r>
              <w:rPr>
                <w:spacing w:val="-6"/>
                <w:sz w:val="20"/>
              </w:rPr>
              <w:t> </w:t>
            </w:r>
            <w:r>
              <w:rPr>
                <w:sz w:val="20"/>
              </w:rPr>
              <w:t>office</w:t>
            </w:r>
            <w:r>
              <w:rPr>
                <w:spacing w:val="1"/>
                <w:sz w:val="20"/>
              </w:rPr>
              <w:t> </w:t>
            </w:r>
            <w:r>
              <w:rPr>
                <w:spacing w:val="-2"/>
                <w:sz w:val="20"/>
              </w:rPr>
              <w:t>staff</w:t>
            </w:r>
          </w:p>
        </w:tc>
        <w:tc>
          <w:tcPr>
            <w:tcW w:w="3002" w:type="dxa"/>
          </w:tcPr>
          <w:p>
            <w:pPr>
              <w:pStyle w:val="TableParagraph"/>
              <w:ind w:right="1176"/>
              <w:rPr>
                <w:sz w:val="20"/>
              </w:rPr>
            </w:pPr>
            <w:r>
              <w:rPr>
                <w:spacing w:val="-2"/>
                <w:sz w:val="20"/>
              </w:rPr>
              <w:t>€1,192.7</w:t>
            </w:r>
          </w:p>
        </w:tc>
      </w:tr>
      <w:tr>
        <w:trPr>
          <w:trHeight w:val="263" w:hRule="atLeast"/>
        </w:trPr>
        <w:tc>
          <w:tcPr>
            <w:tcW w:w="3006" w:type="dxa"/>
          </w:tcPr>
          <w:p>
            <w:pPr>
              <w:pStyle w:val="TableParagraph"/>
              <w:ind w:left="110"/>
              <w:jc w:val="left"/>
              <w:rPr>
                <w:sz w:val="20"/>
              </w:rPr>
            </w:pPr>
            <w:r>
              <w:rPr>
                <w:sz w:val="20"/>
              </w:rPr>
              <w:t>Country</w:t>
            </w:r>
            <w:r>
              <w:rPr>
                <w:spacing w:val="-8"/>
                <w:sz w:val="20"/>
              </w:rPr>
              <w:t> </w:t>
            </w:r>
            <w:r>
              <w:rPr>
                <w:sz w:val="20"/>
              </w:rPr>
              <w:t>office</w:t>
            </w:r>
            <w:r>
              <w:rPr>
                <w:spacing w:val="-3"/>
                <w:sz w:val="20"/>
              </w:rPr>
              <w:t> </w:t>
            </w:r>
            <w:r>
              <w:rPr>
                <w:sz w:val="20"/>
              </w:rPr>
              <w:t>non-</w:t>
            </w:r>
            <w:r>
              <w:rPr>
                <w:spacing w:val="-4"/>
                <w:sz w:val="20"/>
              </w:rPr>
              <w:t>staff</w:t>
            </w:r>
          </w:p>
        </w:tc>
        <w:tc>
          <w:tcPr>
            <w:tcW w:w="3002" w:type="dxa"/>
          </w:tcPr>
          <w:p>
            <w:pPr>
              <w:pStyle w:val="TableParagraph"/>
              <w:ind w:right="1175"/>
              <w:rPr>
                <w:sz w:val="20"/>
              </w:rPr>
            </w:pPr>
            <w:r>
              <w:rPr>
                <w:spacing w:val="-2"/>
                <w:sz w:val="20"/>
              </w:rPr>
              <w:t>€491.4</w:t>
            </w:r>
          </w:p>
        </w:tc>
      </w:tr>
      <w:tr>
        <w:trPr>
          <w:trHeight w:val="263" w:hRule="atLeast"/>
        </w:trPr>
        <w:tc>
          <w:tcPr>
            <w:tcW w:w="3006" w:type="dxa"/>
          </w:tcPr>
          <w:p>
            <w:pPr>
              <w:pStyle w:val="TableParagraph"/>
              <w:ind w:left="110"/>
              <w:jc w:val="left"/>
              <w:rPr>
                <w:sz w:val="20"/>
              </w:rPr>
            </w:pPr>
            <w:r>
              <w:rPr>
                <w:sz w:val="20"/>
              </w:rPr>
              <w:t>VWS </w:t>
            </w:r>
            <w:r>
              <w:rPr>
                <w:spacing w:val="-2"/>
                <w:sz w:val="20"/>
              </w:rPr>
              <w:t>staff</w:t>
            </w:r>
          </w:p>
        </w:tc>
        <w:tc>
          <w:tcPr>
            <w:tcW w:w="3002" w:type="dxa"/>
          </w:tcPr>
          <w:p>
            <w:pPr>
              <w:pStyle w:val="TableParagraph"/>
              <w:ind w:right="1175"/>
              <w:rPr>
                <w:sz w:val="20"/>
              </w:rPr>
            </w:pPr>
            <w:r>
              <w:rPr>
                <w:spacing w:val="-2"/>
                <w:sz w:val="20"/>
              </w:rPr>
              <w:t>€342.4</w:t>
            </w:r>
          </w:p>
        </w:tc>
      </w:tr>
      <w:tr>
        <w:trPr>
          <w:trHeight w:val="268" w:hRule="atLeast"/>
        </w:trPr>
        <w:tc>
          <w:tcPr>
            <w:tcW w:w="3006" w:type="dxa"/>
          </w:tcPr>
          <w:p>
            <w:pPr>
              <w:pStyle w:val="TableParagraph"/>
              <w:ind w:left="110"/>
              <w:jc w:val="left"/>
              <w:rPr>
                <w:sz w:val="20"/>
              </w:rPr>
            </w:pPr>
            <w:r>
              <w:rPr>
                <w:sz w:val="20"/>
              </w:rPr>
              <w:t>VWS</w:t>
            </w:r>
            <w:r>
              <w:rPr>
                <w:spacing w:val="-5"/>
                <w:sz w:val="20"/>
              </w:rPr>
              <w:t> </w:t>
            </w:r>
            <w:r>
              <w:rPr>
                <w:sz w:val="20"/>
              </w:rPr>
              <w:t>non-</w:t>
            </w:r>
            <w:r>
              <w:rPr>
                <w:spacing w:val="-2"/>
                <w:sz w:val="20"/>
              </w:rPr>
              <w:t>staff</w:t>
            </w:r>
          </w:p>
        </w:tc>
        <w:tc>
          <w:tcPr>
            <w:tcW w:w="3002" w:type="dxa"/>
          </w:tcPr>
          <w:p>
            <w:pPr>
              <w:pStyle w:val="TableParagraph"/>
              <w:ind w:right="1175"/>
              <w:rPr>
                <w:sz w:val="20"/>
              </w:rPr>
            </w:pPr>
            <w:r>
              <w:rPr>
                <w:spacing w:val="-2"/>
                <w:sz w:val="20"/>
              </w:rPr>
              <w:t>€269.1</w:t>
            </w:r>
          </w:p>
        </w:tc>
      </w:tr>
      <w:tr>
        <w:trPr>
          <w:trHeight w:val="263" w:hRule="atLeast"/>
        </w:trPr>
        <w:tc>
          <w:tcPr>
            <w:tcW w:w="3006" w:type="dxa"/>
          </w:tcPr>
          <w:p>
            <w:pPr>
              <w:pStyle w:val="TableParagraph"/>
              <w:ind w:left="110"/>
              <w:jc w:val="left"/>
              <w:rPr>
                <w:b/>
                <w:sz w:val="20"/>
              </w:rPr>
            </w:pPr>
            <w:r>
              <w:rPr>
                <w:b/>
                <w:spacing w:val="-2"/>
                <w:sz w:val="20"/>
              </w:rPr>
              <w:t>Total</w:t>
            </w:r>
          </w:p>
        </w:tc>
        <w:tc>
          <w:tcPr>
            <w:tcW w:w="3002" w:type="dxa"/>
          </w:tcPr>
          <w:p>
            <w:pPr>
              <w:pStyle w:val="TableParagraph"/>
              <w:ind w:right="1176"/>
              <w:rPr>
                <w:b/>
                <w:sz w:val="20"/>
              </w:rPr>
            </w:pPr>
            <w:r>
              <w:rPr>
                <w:b/>
                <w:spacing w:val="-2"/>
                <w:sz w:val="20"/>
              </w:rPr>
              <w:t>€2,295.6</w:t>
            </w:r>
          </w:p>
        </w:tc>
      </w:tr>
    </w:tbl>
    <w:p>
      <w:pPr>
        <w:pStyle w:val="ListParagraph"/>
        <w:numPr>
          <w:ilvl w:val="0"/>
          <w:numId w:val="137"/>
        </w:numPr>
        <w:tabs>
          <w:tab w:pos="2966" w:val="left" w:leader="none"/>
          <w:tab w:pos="2967" w:val="left" w:leader="none"/>
        </w:tabs>
        <w:spacing w:line="240" w:lineRule="auto" w:before="124" w:after="0"/>
        <w:ind w:left="2246" w:right="2240" w:firstLine="0"/>
        <w:jc w:val="both"/>
        <w:rPr>
          <w:sz w:val="20"/>
        </w:rPr>
      </w:pPr>
      <w:r>
        <w:rPr>
          <w:sz w:val="20"/>
        </w:rPr>
        <w:t>In 2023, the country office in Mali will support activities related to the trial in the </w:t>
      </w:r>
      <w:r>
        <w:rPr>
          <w:i/>
          <w:sz w:val="20"/>
        </w:rPr>
        <w:t>Al Hassan </w:t>
      </w:r>
      <w:r>
        <w:rPr>
          <w:sz w:val="20"/>
        </w:rPr>
        <w:t>case as well as the implementation of reparations in the </w:t>
      </w:r>
      <w:r>
        <w:rPr>
          <w:i/>
          <w:sz w:val="20"/>
        </w:rPr>
        <w:t>Al Mahdi </w:t>
      </w:r>
      <w:r>
        <w:rPr>
          <w:sz w:val="20"/>
        </w:rPr>
        <w:t>case. The Registry</w:t>
      </w:r>
      <w:r>
        <w:rPr>
          <w:spacing w:val="-4"/>
          <w:sz w:val="20"/>
        </w:rPr>
        <w:t> </w:t>
      </w:r>
      <w:r>
        <w:rPr>
          <w:sz w:val="20"/>
        </w:rPr>
        <w:t>will</w:t>
      </w:r>
      <w:r>
        <w:rPr>
          <w:spacing w:val="-2"/>
          <w:sz w:val="20"/>
        </w:rPr>
        <w:t> </w:t>
      </w:r>
      <w:r>
        <w:rPr>
          <w:sz w:val="20"/>
        </w:rPr>
        <w:t>have</w:t>
      </w:r>
      <w:r>
        <w:rPr>
          <w:spacing w:val="-2"/>
          <w:sz w:val="20"/>
        </w:rPr>
        <w:t> </w:t>
      </w:r>
      <w:r>
        <w:rPr>
          <w:sz w:val="20"/>
        </w:rPr>
        <w:t>8</w:t>
      </w:r>
      <w:r>
        <w:rPr>
          <w:spacing w:val="-4"/>
          <w:sz w:val="20"/>
        </w:rPr>
        <w:t> </w:t>
      </w:r>
      <w:r>
        <w:rPr>
          <w:sz w:val="20"/>
        </w:rPr>
        <w:t>international</w:t>
      </w:r>
      <w:r>
        <w:rPr>
          <w:spacing w:val="-2"/>
          <w:sz w:val="20"/>
        </w:rPr>
        <w:t> </w:t>
      </w:r>
      <w:r>
        <w:rPr>
          <w:sz w:val="20"/>
        </w:rPr>
        <w:t>staff</w:t>
      </w:r>
      <w:r>
        <w:rPr>
          <w:spacing w:val="-4"/>
          <w:sz w:val="20"/>
        </w:rPr>
        <w:t> </w:t>
      </w:r>
      <w:r>
        <w:rPr>
          <w:sz w:val="20"/>
        </w:rPr>
        <w:t>and</w:t>
      </w:r>
      <w:r>
        <w:rPr>
          <w:spacing w:val="-4"/>
          <w:sz w:val="20"/>
        </w:rPr>
        <w:t> </w:t>
      </w:r>
      <w:r>
        <w:rPr>
          <w:sz w:val="20"/>
        </w:rPr>
        <w:t>12</w:t>
      </w:r>
      <w:r>
        <w:rPr>
          <w:spacing w:val="-4"/>
          <w:sz w:val="20"/>
        </w:rPr>
        <w:t> </w:t>
      </w:r>
      <w:r>
        <w:rPr>
          <w:sz w:val="20"/>
        </w:rPr>
        <w:t>local staff</w:t>
      </w:r>
      <w:r>
        <w:rPr>
          <w:spacing w:val="-8"/>
          <w:sz w:val="20"/>
        </w:rPr>
        <w:t> </w:t>
      </w:r>
      <w:r>
        <w:rPr>
          <w:sz w:val="20"/>
        </w:rPr>
        <w:t>in</w:t>
      </w:r>
      <w:r>
        <w:rPr>
          <w:spacing w:val="-8"/>
          <w:sz w:val="20"/>
        </w:rPr>
        <w:t> </w:t>
      </w:r>
      <w:r>
        <w:rPr>
          <w:sz w:val="20"/>
        </w:rPr>
        <w:t>Mali</w:t>
      </w:r>
      <w:r>
        <w:rPr>
          <w:spacing w:val="-2"/>
          <w:sz w:val="20"/>
        </w:rPr>
        <w:t> </w:t>
      </w:r>
      <w:r>
        <w:rPr>
          <w:sz w:val="20"/>
        </w:rPr>
        <w:t>who</w:t>
      </w:r>
      <w:r>
        <w:rPr>
          <w:spacing w:val="-4"/>
          <w:sz w:val="20"/>
        </w:rPr>
        <w:t> </w:t>
      </w:r>
      <w:r>
        <w:rPr>
          <w:sz w:val="20"/>
        </w:rPr>
        <w:t>will</w:t>
      </w:r>
      <w:r>
        <w:rPr>
          <w:spacing w:val="-2"/>
          <w:sz w:val="20"/>
        </w:rPr>
        <w:t> </w:t>
      </w:r>
      <w:r>
        <w:rPr>
          <w:sz w:val="20"/>
        </w:rPr>
        <w:t>be</w:t>
      </w:r>
      <w:r>
        <w:rPr>
          <w:spacing w:val="-2"/>
          <w:sz w:val="20"/>
        </w:rPr>
        <w:t> </w:t>
      </w:r>
      <w:r>
        <w:rPr>
          <w:sz w:val="20"/>
        </w:rPr>
        <w:t>responsible</w:t>
      </w:r>
      <w:r>
        <w:rPr>
          <w:spacing w:val="-2"/>
          <w:sz w:val="20"/>
        </w:rPr>
        <w:t> </w:t>
      </w:r>
      <w:r>
        <w:rPr>
          <w:sz w:val="20"/>
        </w:rPr>
        <w:t>for witness/victim protection, judicial cooperation, security, outreach, victim participation and reparations, administration and operations. The Chief of Country Office (Mali) will also manage the country office in Côte d’Ivoire.</w:t>
      </w:r>
    </w:p>
    <w:p>
      <w:pPr>
        <w:spacing w:after="0" w:line="240" w:lineRule="auto"/>
        <w:jc w:val="both"/>
        <w:rPr>
          <w:sz w:val="20"/>
        </w:rPr>
        <w:sectPr>
          <w:pgSz w:w="11910" w:h="16840"/>
          <w:pgMar w:header="953" w:footer="940" w:top="1140" w:bottom="1140" w:left="20" w:right="20"/>
        </w:sectPr>
      </w:pPr>
    </w:p>
    <w:p>
      <w:pPr>
        <w:pStyle w:val="Heading3"/>
        <w:numPr>
          <w:ilvl w:val="1"/>
          <w:numId w:val="138"/>
        </w:numPr>
        <w:tabs>
          <w:tab w:pos="2602" w:val="left" w:leader="none"/>
        </w:tabs>
        <w:spacing w:line="240" w:lineRule="auto" w:before="120" w:after="0"/>
        <w:ind w:left="2601" w:right="0" w:hanging="356"/>
        <w:jc w:val="both"/>
      </w:pPr>
      <w:r>
        <w:rPr/>
        <w:t>Reparations:</w:t>
      </w:r>
      <w:r>
        <w:rPr>
          <w:spacing w:val="-4"/>
        </w:rPr>
        <w:t> </w:t>
      </w:r>
      <w:r>
        <w:rPr/>
        <w:t>DRC</w:t>
      </w:r>
      <w:r>
        <w:rPr>
          <w:spacing w:val="-8"/>
        </w:rPr>
        <w:t> </w:t>
      </w:r>
      <w:r>
        <w:rPr/>
        <w:t>and</w:t>
      </w:r>
      <w:r>
        <w:rPr>
          <w:spacing w:val="-4"/>
        </w:rPr>
        <w:t> </w:t>
      </w:r>
      <w:r>
        <w:rPr>
          <w:spacing w:val="-2"/>
        </w:rPr>
        <w:t>Uganda</w:t>
      </w:r>
    </w:p>
    <w:p>
      <w:pPr>
        <w:spacing w:before="163"/>
        <w:ind w:left="2246" w:right="0" w:firstLine="0"/>
        <w:jc w:val="left"/>
        <w:rPr>
          <w:i/>
          <w:sz w:val="18"/>
        </w:rPr>
      </w:pPr>
      <w:r>
        <w:rPr>
          <w:i/>
          <w:sz w:val="18"/>
        </w:rPr>
        <w:t>Proposed</w:t>
      </w:r>
      <w:r>
        <w:rPr>
          <w:i/>
          <w:spacing w:val="-6"/>
          <w:sz w:val="18"/>
        </w:rPr>
        <w:t> </w:t>
      </w:r>
      <w:r>
        <w:rPr>
          <w:i/>
          <w:sz w:val="18"/>
        </w:rPr>
        <w:t>programme</w:t>
      </w:r>
      <w:r>
        <w:rPr>
          <w:i/>
          <w:spacing w:val="-5"/>
          <w:sz w:val="18"/>
        </w:rPr>
        <w:t> </w:t>
      </w:r>
      <w:r>
        <w:rPr>
          <w:i/>
          <w:sz w:val="18"/>
        </w:rPr>
        <w:t>budget 2023</w:t>
      </w:r>
      <w:r>
        <w:rPr>
          <w:i/>
          <w:spacing w:val="-5"/>
          <w:sz w:val="18"/>
        </w:rPr>
        <w:t> </w:t>
      </w:r>
      <w:r>
        <w:rPr>
          <w:i/>
          <w:sz w:val="18"/>
        </w:rPr>
        <w:t>(thousands</w:t>
      </w:r>
      <w:r>
        <w:rPr>
          <w:i/>
          <w:spacing w:val="-5"/>
          <w:sz w:val="18"/>
        </w:rPr>
        <w:t> </w:t>
      </w:r>
      <w:r>
        <w:rPr>
          <w:i/>
          <w:sz w:val="18"/>
        </w:rPr>
        <w:t>of</w:t>
      </w:r>
      <w:r>
        <w:rPr>
          <w:i/>
          <w:spacing w:val="-3"/>
          <w:sz w:val="18"/>
        </w:rPr>
        <w:t> </w:t>
      </w:r>
      <w:r>
        <w:rPr>
          <w:i/>
          <w:spacing w:val="-2"/>
          <w:sz w:val="18"/>
        </w:rPr>
        <w:t>euros)</w:t>
      </w:r>
    </w:p>
    <w:p>
      <w:pPr>
        <w:pStyle w:val="BodyText"/>
        <w:spacing w:before="6"/>
        <w:rPr>
          <w:i/>
          <w:sz w:val="12"/>
        </w:rPr>
      </w:pPr>
    </w:p>
    <w:tbl>
      <w:tblPr>
        <w:tblW w:w="0" w:type="auto"/>
        <w:jc w:val="left"/>
        <w:tblInd w:w="2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91"/>
        <w:gridCol w:w="2526"/>
        <w:gridCol w:w="2545"/>
      </w:tblGrid>
      <w:tr>
        <w:trPr>
          <w:trHeight w:val="263" w:hRule="atLeast"/>
        </w:trPr>
        <w:tc>
          <w:tcPr>
            <w:tcW w:w="2291" w:type="dxa"/>
          </w:tcPr>
          <w:p>
            <w:pPr>
              <w:pStyle w:val="TableParagraph"/>
              <w:jc w:val="left"/>
              <w:rPr>
                <w:sz w:val="18"/>
              </w:rPr>
            </w:pPr>
          </w:p>
        </w:tc>
        <w:tc>
          <w:tcPr>
            <w:tcW w:w="2526" w:type="dxa"/>
          </w:tcPr>
          <w:p>
            <w:pPr>
              <w:pStyle w:val="TableParagraph"/>
              <w:ind w:left="1028" w:right="1029"/>
              <w:jc w:val="center"/>
              <w:rPr>
                <w:b/>
                <w:sz w:val="20"/>
              </w:rPr>
            </w:pPr>
            <w:r>
              <w:rPr>
                <w:b/>
                <w:spacing w:val="-5"/>
                <w:sz w:val="20"/>
              </w:rPr>
              <w:t>DRC</w:t>
            </w:r>
          </w:p>
        </w:tc>
        <w:tc>
          <w:tcPr>
            <w:tcW w:w="2545" w:type="dxa"/>
          </w:tcPr>
          <w:p>
            <w:pPr>
              <w:pStyle w:val="TableParagraph"/>
              <w:ind w:left="926" w:right="913"/>
              <w:jc w:val="center"/>
              <w:rPr>
                <w:b/>
                <w:sz w:val="20"/>
              </w:rPr>
            </w:pPr>
            <w:r>
              <w:rPr>
                <w:b/>
                <w:spacing w:val="-2"/>
                <w:sz w:val="20"/>
              </w:rPr>
              <w:t>Uganda</w:t>
            </w:r>
          </w:p>
        </w:tc>
      </w:tr>
      <w:tr>
        <w:trPr>
          <w:trHeight w:val="268" w:hRule="atLeast"/>
        </w:trPr>
        <w:tc>
          <w:tcPr>
            <w:tcW w:w="2291" w:type="dxa"/>
          </w:tcPr>
          <w:p>
            <w:pPr>
              <w:pStyle w:val="TableParagraph"/>
              <w:ind w:left="110"/>
              <w:jc w:val="left"/>
              <w:rPr>
                <w:sz w:val="20"/>
              </w:rPr>
            </w:pPr>
            <w:r>
              <w:rPr>
                <w:sz w:val="20"/>
              </w:rPr>
              <w:t>Country</w:t>
            </w:r>
            <w:r>
              <w:rPr>
                <w:spacing w:val="-6"/>
                <w:sz w:val="20"/>
              </w:rPr>
              <w:t> </w:t>
            </w:r>
            <w:r>
              <w:rPr>
                <w:sz w:val="20"/>
              </w:rPr>
              <w:t>office</w:t>
            </w:r>
            <w:r>
              <w:rPr>
                <w:spacing w:val="1"/>
                <w:sz w:val="20"/>
              </w:rPr>
              <w:t> </w:t>
            </w:r>
            <w:r>
              <w:rPr>
                <w:spacing w:val="-2"/>
                <w:sz w:val="20"/>
              </w:rPr>
              <w:t>staff</w:t>
            </w:r>
          </w:p>
        </w:tc>
        <w:tc>
          <w:tcPr>
            <w:tcW w:w="2526" w:type="dxa"/>
          </w:tcPr>
          <w:p>
            <w:pPr>
              <w:pStyle w:val="TableParagraph"/>
              <w:ind w:right="911"/>
              <w:rPr>
                <w:sz w:val="20"/>
              </w:rPr>
            </w:pPr>
            <w:r>
              <w:rPr>
                <w:spacing w:val="-2"/>
                <w:sz w:val="20"/>
              </w:rPr>
              <w:t>€330.4</w:t>
            </w:r>
          </w:p>
        </w:tc>
        <w:tc>
          <w:tcPr>
            <w:tcW w:w="2545" w:type="dxa"/>
          </w:tcPr>
          <w:p>
            <w:pPr>
              <w:pStyle w:val="TableParagraph"/>
              <w:ind w:right="819"/>
              <w:rPr>
                <w:sz w:val="20"/>
              </w:rPr>
            </w:pPr>
            <w:r>
              <w:rPr>
                <w:spacing w:val="-2"/>
                <w:sz w:val="20"/>
              </w:rPr>
              <w:t>€890.7</w:t>
            </w:r>
          </w:p>
        </w:tc>
      </w:tr>
      <w:tr>
        <w:trPr>
          <w:trHeight w:val="264" w:hRule="atLeast"/>
        </w:trPr>
        <w:tc>
          <w:tcPr>
            <w:tcW w:w="2291" w:type="dxa"/>
          </w:tcPr>
          <w:p>
            <w:pPr>
              <w:pStyle w:val="TableParagraph"/>
              <w:spacing w:before="1"/>
              <w:ind w:left="110"/>
              <w:jc w:val="left"/>
              <w:rPr>
                <w:sz w:val="20"/>
              </w:rPr>
            </w:pPr>
            <w:r>
              <w:rPr>
                <w:sz w:val="20"/>
              </w:rPr>
              <w:t>Country</w:t>
            </w:r>
            <w:r>
              <w:rPr>
                <w:spacing w:val="-8"/>
                <w:sz w:val="20"/>
              </w:rPr>
              <w:t> </w:t>
            </w:r>
            <w:r>
              <w:rPr>
                <w:sz w:val="20"/>
              </w:rPr>
              <w:t>office</w:t>
            </w:r>
            <w:r>
              <w:rPr>
                <w:spacing w:val="-3"/>
                <w:sz w:val="20"/>
              </w:rPr>
              <w:t> </w:t>
            </w:r>
            <w:r>
              <w:rPr>
                <w:sz w:val="20"/>
              </w:rPr>
              <w:t>non-</w:t>
            </w:r>
            <w:r>
              <w:rPr>
                <w:spacing w:val="-4"/>
                <w:sz w:val="20"/>
              </w:rPr>
              <w:t>staff</w:t>
            </w:r>
          </w:p>
        </w:tc>
        <w:tc>
          <w:tcPr>
            <w:tcW w:w="2526" w:type="dxa"/>
          </w:tcPr>
          <w:p>
            <w:pPr>
              <w:pStyle w:val="TableParagraph"/>
              <w:spacing w:before="1"/>
              <w:ind w:right="911"/>
              <w:rPr>
                <w:sz w:val="20"/>
              </w:rPr>
            </w:pPr>
            <w:r>
              <w:rPr>
                <w:spacing w:val="-2"/>
                <w:sz w:val="20"/>
              </w:rPr>
              <w:t>€194.0</w:t>
            </w:r>
          </w:p>
        </w:tc>
        <w:tc>
          <w:tcPr>
            <w:tcW w:w="2545" w:type="dxa"/>
          </w:tcPr>
          <w:p>
            <w:pPr>
              <w:pStyle w:val="TableParagraph"/>
              <w:spacing w:before="1"/>
              <w:ind w:right="819"/>
              <w:rPr>
                <w:sz w:val="20"/>
              </w:rPr>
            </w:pPr>
            <w:r>
              <w:rPr>
                <w:spacing w:val="-2"/>
                <w:sz w:val="20"/>
              </w:rPr>
              <w:t>€372.2</w:t>
            </w:r>
          </w:p>
        </w:tc>
      </w:tr>
      <w:tr>
        <w:trPr>
          <w:trHeight w:val="263" w:hRule="atLeast"/>
        </w:trPr>
        <w:tc>
          <w:tcPr>
            <w:tcW w:w="2291" w:type="dxa"/>
          </w:tcPr>
          <w:p>
            <w:pPr>
              <w:pStyle w:val="TableParagraph"/>
              <w:ind w:left="110"/>
              <w:jc w:val="left"/>
              <w:rPr>
                <w:sz w:val="20"/>
              </w:rPr>
            </w:pPr>
            <w:r>
              <w:rPr>
                <w:sz w:val="20"/>
              </w:rPr>
              <w:t>VWS </w:t>
            </w:r>
            <w:r>
              <w:rPr>
                <w:spacing w:val="-2"/>
                <w:sz w:val="20"/>
              </w:rPr>
              <w:t>staff</w:t>
            </w:r>
          </w:p>
        </w:tc>
        <w:tc>
          <w:tcPr>
            <w:tcW w:w="2526" w:type="dxa"/>
          </w:tcPr>
          <w:p>
            <w:pPr>
              <w:pStyle w:val="TableParagraph"/>
              <w:ind w:right="915"/>
              <w:rPr>
                <w:sz w:val="20"/>
              </w:rPr>
            </w:pPr>
            <w:r>
              <w:rPr>
                <w:w w:val="100"/>
                <w:sz w:val="20"/>
              </w:rPr>
              <w:t>-</w:t>
            </w:r>
          </w:p>
        </w:tc>
        <w:tc>
          <w:tcPr>
            <w:tcW w:w="2545" w:type="dxa"/>
          </w:tcPr>
          <w:p>
            <w:pPr>
              <w:pStyle w:val="TableParagraph"/>
              <w:ind w:right="819"/>
              <w:rPr>
                <w:sz w:val="20"/>
              </w:rPr>
            </w:pPr>
            <w:r>
              <w:rPr>
                <w:spacing w:val="-2"/>
                <w:sz w:val="20"/>
              </w:rPr>
              <w:t>€322.8</w:t>
            </w:r>
          </w:p>
        </w:tc>
      </w:tr>
      <w:tr>
        <w:trPr>
          <w:trHeight w:val="263" w:hRule="atLeast"/>
        </w:trPr>
        <w:tc>
          <w:tcPr>
            <w:tcW w:w="2291" w:type="dxa"/>
          </w:tcPr>
          <w:p>
            <w:pPr>
              <w:pStyle w:val="TableParagraph"/>
              <w:ind w:left="110"/>
              <w:jc w:val="left"/>
              <w:rPr>
                <w:sz w:val="20"/>
              </w:rPr>
            </w:pPr>
            <w:r>
              <w:rPr>
                <w:sz w:val="20"/>
              </w:rPr>
              <w:t>VWS</w:t>
            </w:r>
            <w:r>
              <w:rPr>
                <w:spacing w:val="-5"/>
                <w:sz w:val="20"/>
              </w:rPr>
              <w:t> </w:t>
            </w:r>
            <w:r>
              <w:rPr>
                <w:sz w:val="20"/>
              </w:rPr>
              <w:t>non-</w:t>
            </w:r>
            <w:r>
              <w:rPr>
                <w:spacing w:val="-2"/>
                <w:sz w:val="20"/>
              </w:rPr>
              <w:t>staff</w:t>
            </w:r>
          </w:p>
        </w:tc>
        <w:tc>
          <w:tcPr>
            <w:tcW w:w="2526" w:type="dxa"/>
          </w:tcPr>
          <w:p>
            <w:pPr>
              <w:pStyle w:val="TableParagraph"/>
              <w:ind w:right="915"/>
              <w:rPr>
                <w:sz w:val="20"/>
              </w:rPr>
            </w:pPr>
            <w:r>
              <w:rPr>
                <w:w w:val="100"/>
                <w:sz w:val="20"/>
              </w:rPr>
              <w:t>-</w:t>
            </w:r>
          </w:p>
        </w:tc>
        <w:tc>
          <w:tcPr>
            <w:tcW w:w="2545" w:type="dxa"/>
          </w:tcPr>
          <w:p>
            <w:pPr>
              <w:pStyle w:val="TableParagraph"/>
              <w:ind w:right="819"/>
              <w:rPr>
                <w:sz w:val="20"/>
              </w:rPr>
            </w:pPr>
            <w:r>
              <w:rPr>
                <w:spacing w:val="-2"/>
                <w:sz w:val="20"/>
              </w:rPr>
              <w:t>€66.2</w:t>
            </w:r>
          </w:p>
        </w:tc>
      </w:tr>
      <w:tr>
        <w:trPr>
          <w:trHeight w:val="263" w:hRule="atLeast"/>
        </w:trPr>
        <w:tc>
          <w:tcPr>
            <w:tcW w:w="2291" w:type="dxa"/>
          </w:tcPr>
          <w:p>
            <w:pPr>
              <w:pStyle w:val="TableParagraph"/>
              <w:ind w:left="110"/>
              <w:jc w:val="left"/>
              <w:rPr>
                <w:b/>
                <w:sz w:val="20"/>
              </w:rPr>
            </w:pPr>
            <w:r>
              <w:rPr>
                <w:b/>
                <w:spacing w:val="-2"/>
                <w:sz w:val="20"/>
              </w:rPr>
              <w:t>Total</w:t>
            </w:r>
          </w:p>
        </w:tc>
        <w:tc>
          <w:tcPr>
            <w:tcW w:w="2526" w:type="dxa"/>
          </w:tcPr>
          <w:p>
            <w:pPr>
              <w:pStyle w:val="TableParagraph"/>
              <w:ind w:right="911"/>
              <w:rPr>
                <w:b/>
                <w:sz w:val="20"/>
              </w:rPr>
            </w:pPr>
            <w:r>
              <w:rPr>
                <w:b/>
                <w:spacing w:val="-2"/>
                <w:sz w:val="20"/>
              </w:rPr>
              <w:t>€524.4</w:t>
            </w:r>
          </w:p>
        </w:tc>
        <w:tc>
          <w:tcPr>
            <w:tcW w:w="2545" w:type="dxa"/>
          </w:tcPr>
          <w:p>
            <w:pPr>
              <w:pStyle w:val="TableParagraph"/>
              <w:ind w:right="820"/>
              <w:rPr>
                <w:b/>
                <w:sz w:val="20"/>
              </w:rPr>
            </w:pPr>
            <w:r>
              <w:rPr>
                <w:b/>
                <w:spacing w:val="-2"/>
                <w:sz w:val="20"/>
              </w:rPr>
              <w:t>€1,651.9</w:t>
            </w:r>
          </w:p>
        </w:tc>
      </w:tr>
    </w:tbl>
    <w:p>
      <w:pPr>
        <w:pStyle w:val="ListParagraph"/>
        <w:numPr>
          <w:ilvl w:val="0"/>
          <w:numId w:val="137"/>
        </w:numPr>
        <w:tabs>
          <w:tab w:pos="2967" w:val="left" w:leader="none"/>
        </w:tabs>
        <w:spacing w:line="240" w:lineRule="auto" w:before="123" w:after="0"/>
        <w:ind w:left="2246" w:right="2244" w:firstLine="0"/>
        <w:jc w:val="both"/>
        <w:rPr>
          <w:sz w:val="20"/>
        </w:rPr>
      </w:pPr>
      <w:r>
        <w:rPr>
          <w:sz w:val="20"/>
        </w:rPr>
        <w:t>In</w:t>
      </w:r>
      <w:r>
        <w:rPr>
          <w:spacing w:val="-1"/>
          <w:sz w:val="20"/>
        </w:rPr>
        <w:t> </w:t>
      </w:r>
      <w:r>
        <w:rPr>
          <w:sz w:val="20"/>
        </w:rPr>
        <w:t>2023, the</w:t>
      </w:r>
      <w:r>
        <w:rPr>
          <w:spacing w:val="-4"/>
          <w:sz w:val="20"/>
        </w:rPr>
        <w:t> </w:t>
      </w:r>
      <w:r>
        <w:rPr>
          <w:sz w:val="20"/>
        </w:rPr>
        <w:t>country</w:t>
      </w:r>
      <w:r>
        <w:rPr>
          <w:spacing w:val="-1"/>
          <w:sz w:val="20"/>
        </w:rPr>
        <w:t> </w:t>
      </w:r>
      <w:r>
        <w:rPr>
          <w:sz w:val="20"/>
        </w:rPr>
        <w:t>office</w:t>
      </w:r>
      <w:r>
        <w:rPr>
          <w:spacing w:val="-4"/>
          <w:sz w:val="20"/>
        </w:rPr>
        <w:t> </w:t>
      </w:r>
      <w:r>
        <w:rPr>
          <w:sz w:val="20"/>
        </w:rPr>
        <w:t>in</w:t>
      </w:r>
      <w:r>
        <w:rPr>
          <w:spacing w:val="-1"/>
          <w:sz w:val="20"/>
        </w:rPr>
        <w:t> </w:t>
      </w:r>
      <w:r>
        <w:rPr>
          <w:sz w:val="20"/>
        </w:rPr>
        <w:t>Uganda will support the reparations</w:t>
      </w:r>
      <w:r>
        <w:rPr>
          <w:spacing w:val="-7"/>
          <w:sz w:val="20"/>
        </w:rPr>
        <w:t> </w:t>
      </w:r>
      <w:r>
        <w:rPr>
          <w:sz w:val="20"/>
        </w:rPr>
        <w:t>activities</w:t>
      </w:r>
      <w:r>
        <w:rPr>
          <w:spacing w:val="-2"/>
          <w:sz w:val="20"/>
        </w:rPr>
        <w:t> </w:t>
      </w:r>
      <w:r>
        <w:rPr>
          <w:sz w:val="20"/>
        </w:rPr>
        <w:t>related to the </w:t>
      </w:r>
      <w:r>
        <w:rPr>
          <w:i/>
          <w:sz w:val="20"/>
        </w:rPr>
        <w:t>Ongwen </w:t>
      </w:r>
      <w:r>
        <w:rPr>
          <w:sz w:val="20"/>
        </w:rPr>
        <w:t>case while the country offices in the DRC will continue to support the reparations</w:t>
      </w:r>
      <w:r>
        <w:rPr>
          <w:spacing w:val="40"/>
          <w:sz w:val="20"/>
        </w:rPr>
        <w:t> </w:t>
      </w:r>
      <w:r>
        <w:rPr>
          <w:sz w:val="20"/>
        </w:rPr>
        <w:t>activities</w:t>
      </w:r>
      <w:r>
        <w:rPr>
          <w:spacing w:val="40"/>
          <w:sz w:val="20"/>
        </w:rPr>
        <w:t> </w:t>
      </w:r>
      <w:r>
        <w:rPr>
          <w:sz w:val="20"/>
        </w:rPr>
        <w:t>in</w:t>
      </w:r>
      <w:r>
        <w:rPr>
          <w:spacing w:val="40"/>
          <w:sz w:val="20"/>
        </w:rPr>
        <w:t> </w:t>
      </w:r>
      <w:r>
        <w:rPr>
          <w:sz w:val="20"/>
        </w:rPr>
        <w:t>the</w:t>
      </w:r>
      <w:r>
        <w:rPr>
          <w:spacing w:val="40"/>
          <w:sz w:val="20"/>
        </w:rPr>
        <w:t> </w:t>
      </w:r>
      <w:r>
        <w:rPr>
          <w:i/>
          <w:sz w:val="20"/>
        </w:rPr>
        <w:t>Lubanga</w:t>
      </w:r>
      <w:r>
        <w:rPr>
          <w:sz w:val="20"/>
        </w:rPr>
        <w:t>,</w:t>
      </w:r>
      <w:r>
        <w:rPr>
          <w:spacing w:val="40"/>
          <w:sz w:val="20"/>
        </w:rPr>
        <w:t> </w:t>
      </w:r>
      <w:r>
        <w:rPr>
          <w:i/>
          <w:sz w:val="20"/>
        </w:rPr>
        <w:t>Katanga</w:t>
      </w:r>
      <w:r>
        <w:rPr>
          <w:i/>
          <w:spacing w:val="40"/>
          <w:sz w:val="20"/>
        </w:rPr>
        <w:t> </w:t>
      </w:r>
      <w:r>
        <w:rPr>
          <w:sz w:val="20"/>
        </w:rPr>
        <w:t>and</w:t>
      </w:r>
      <w:r>
        <w:rPr>
          <w:spacing w:val="40"/>
          <w:sz w:val="20"/>
        </w:rPr>
        <w:t> </w:t>
      </w:r>
      <w:r>
        <w:rPr>
          <w:i/>
          <w:sz w:val="20"/>
        </w:rPr>
        <w:t>Ntaganda</w:t>
      </w:r>
      <w:r>
        <w:rPr>
          <w:i/>
          <w:spacing w:val="40"/>
          <w:sz w:val="20"/>
        </w:rPr>
        <w:t> </w:t>
      </w:r>
      <w:r>
        <w:rPr>
          <w:sz w:val="20"/>
        </w:rPr>
        <w:t>cases.</w:t>
      </w:r>
      <w:r>
        <w:rPr>
          <w:spacing w:val="40"/>
          <w:sz w:val="20"/>
        </w:rPr>
        <w:t> </w:t>
      </w:r>
      <w:r>
        <w:rPr>
          <w:sz w:val="20"/>
        </w:rPr>
        <w:t>The</w:t>
      </w:r>
      <w:r>
        <w:rPr>
          <w:spacing w:val="40"/>
          <w:sz w:val="20"/>
        </w:rPr>
        <w:t> </w:t>
      </w:r>
      <w:r>
        <w:rPr>
          <w:sz w:val="20"/>
        </w:rPr>
        <w:t>Registry</w:t>
      </w:r>
      <w:r>
        <w:rPr>
          <w:spacing w:val="40"/>
          <w:sz w:val="20"/>
        </w:rPr>
        <w:t> </w:t>
      </w:r>
      <w:r>
        <w:rPr>
          <w:sz w:val="20"/>
        </w:rPr>
        <w:t>will have</w:t>
      </w:r>
      <w:r>
        <w:rPr>
          <w:spacing w:val="-1"/>
          <w:sz w:val="20"/>
        </w:rPr>
        <w:t> </w:t>
      </w:r>
      <w:r>
        <w:rPr>
          <w:sz w:val="20"/>
        </w:rPr>
        <w:t>8</w:t>
      </w:r>
      <w:r>
        <w:rPr>
          <w:spacing w:val="-3"/>
          <w:sz w:val="20"/>
        </w:rPr>
        <w:t> </w:t>
      </w:r>
      <w:r>
        <w:rPr>
          <w:sz w:val="20"/>
        </w:rPr>
        <w:t>international staff and 13 local staff in Uganda, and one international staff member and</w:t>
      </w:r>
      <w:r>
        <w:rPr>
          <w:spacing w:val="-10"/>
          <w:sz w:val="20"/>
        </w:rPr>
        <w:t> </w:t>
      </w:r>
      <w:r>
        <w:rPr>
          <w:sz w:val="20"/>
        </w:rPr>
        <w:t>5</w:t>
      </w:r>
      <w:r>
        <w:rPr>
          <w:spacing w:val="-9"/>
          <w:sz w:val="20"/>
        </w:rPr>
        <w:t> </w:t>
      </w:r>
      <w:r>
        <w:rPr>
          <w:sz w:val="20"/>
        </w:rPr>
        <w:t>local</w:t>
      </w:r>
      <w:r>
        <w:rPr>
          <w:spacing w:val="-8"/>
          <w:sz w:val="20"/>
        </w:rPr>
        <w:t> </w:t>
      </w:r>
      <w:r>
        <w:rPr>
          <w:sz w:val="20"/>
        </w:rPr>
        <w:t>staff</w:t>
      </w:r>
      <w:r>
        <w:rPr>
          <w:spacing w:val="-9"/>
          <w:sz w:val="20"/>
        </w:rPr>
        <w:t> </w:t>
      </w:r>
      <w:r>
        <w:rPr>
          <w:sz w:val="20"/>
        </w:rPr>
        <w:t>in</w:t>
      </w:r>
      <w:r>
        <w:rPr>
          <w:spacing w:val="-9"/>
          <w:sz w:val="20"/>
        </w:rPr>
        <w:t> </w:t>
      </w:r>
      <w:r>
        <w:rPr>
          <w:sz w:val="20"/>
        </w:rPr>
        <w:t>the</w:t>
      </w:r>
      <w:r>
        <w:rPr>
          <w:spacing w:val="-8"/>
          <w:sz w:val="20"/>
        </w:rPr>
        <w:t> </w:t>
      </w:r>
      <w:r>
        <w:rPr>
          <w:sz w:val="20"/>
        </w:rPr>
        <w:t>DRC.</w:t>
      </w:r>
      <w:r>
        <w:rPr>
          <w:spacing w:val="-7"/>
          <w:sz w:val="20"/>
        </w:rPr>
        <w:t> </w:t>
      </w:r>
      <w:r>
        <w:rPr>
          <w:sz w:val="20"/>
        </w:rPr>
        <w:t>Activities</w:t>
      </w:r>
      <w:r>
        <w:rPr>
          <w:spacing w:val="-11"/>
          <w:sz w:val="20"/>
        </w:rPr>
        <w:t> </w:t>
      </w:r>
      <w:r>
        <w:rPr>
          <w:sz w:val="20"/>
        </w:rPr>
        <w:t>in</w:t>
      </w:r>
      <w:r>
        <w:rPr>
          <w:spacing w:val="-9"/>
          <w:sz w:val="20"/>
        </w:rPr>
        <w:t> </w:t>
      </w:r>
      <w:r>
        <w:rPr>
          <w:sz w:val="20"/>
        </w:rPr>
        <w:t>Uganda</w:t>
      </w:r>
      <w:r>
        <w:rPr>
          <w:spacing w:val="-8"/>
          <w:sz w:val="20"/>
        </w:rPr>
        <w:t> </w:t>
      </w:r>
      <w:r>
        <w:rPr>
          <w:sz w:val="20"/>
        </w:rPr>
        <w:t>and</w:t>
      </w:r>
      <w:r>
        <w:rPr>
          <w:spacing w:val="-9"/>
          <w:sz w:val="20"/>
        </w:rPr>
        <w:t> </w:t>
      </w:r>
      <w:r>
        <w:rPr>
          <w:sz w:val="20"/>
        </w:rPr>
        <w:t>the</w:t>
      </w:r>
      <w:r>
        <w:rPr>
          <w:spacing w:val="-8"/>
          <w:sz w:val="20"/>
        </w:rPr>
        <w:t> </w:t>
      </w:r>
      <w:r>
        <w:rPr>
          <w:sz w:val="20"/>
        </w:rPr>
        <w:t>DRC</w:t>
      </w:r>
      <w:r>
        <w:rPr>
          <w:spacing w:val="-5"/>
          <w:sz w:val="20"/>
        </w:rPr>
        <w:t> </w:t>
      </w:r>
      <w:r>
        <w:rPr>
          <w:sz w:val="20"/>
        </w:rPr>
        <w:t>will</w:t>
      </w:r>
      <w:r>
        <w:rPr>
          <w:spacing w:val="-13"/>
          <w:sz w:val="20"/>
        </w:rPr>
        <w:t> </w:t>
      </w:r>
      <w:r>
        <w:rPr>
          <w:sz w:val="20"/>
        </w:rPr>
        <w:t>be</w:t>
      </w:r>
      <w:r>
        <w:rPr>
          <w:spacing w:val="-8"/>
          <w:sz w:val="20"/>
        </w:rPr>
        <w:t> </w:t>
      </w:r>
      <w:r>
        <w:rPr>
          <w:sz w:val="20"/>
        </w:rPr>
        <w:t>overseen</w:t>
      </w:r>
      <w:r>
        <w:rPr>
          <w:spacing w:val="-9"/>
          <w:sz w:val="20"/>
        </w:rPr>
        <w:t> </w:t>
      </w:r>
      <w:r>
        <w:rPr>
          <w:sz w:val="20"/>
        </w:rPr>
        <w:t>by</w:t>
      </w:r>
      <w:r>
        <w:rPr>
          <w:spacing w:val="-13"/>
          <w:sz w:val="20"/>
        </w:rPr>
        <w:t> </w:t>
      </w:r>
      <w:r>
        <w:rPr>
          <w:sz w:val="20"/>
        </w:rPr>
        <w:t>the</w:t>
      </w:r>
      <w:r>
        <w:rPr>
          <w:spacing w:val="-8"/>
          <w:sz w:val="20"/>
        </w:rPr>
        <w:t> </w:t>
      </w:r>
      <w:r>
        <w:rPr>
          <w:sz w:val="20"/>
        </w:rPr>
        <w:t>Chief of Country Office (Sudan).</w:t>
      </w:r>
    </w:p>
    <w:p>
      <w:pPr>
        <w:pStyle w:val="BodyText"/>
      </w:pPr>
    </w:p>
    <w:p>
      <w:pPr>
        <w:pStyle w:val="BodyText"/>
      </w:pPr>
    </w:p>
    <w:p>
      <w:pPr>
        <w:pStyle w:val="BodyText"/>
        <w:spacing w:before="8"/>
        <w:rPr>
          <w:sz w:val="18"/>
        </w:rPr>
      </w:pPr>
      <w:r>
        <w:rPr/>
        <w:pict>
          <v:shape style="position:absolute;margin-left:247.539993pt;margin-top:11.949121pt;width:100.35pt;height:.1pt;mso-position-horizontal-relative:page;mso-position-vertical-relative:paragraph;z-index:-15662080;mso-wrap-distance-left:0;mso-wrap-distance-right:0" id="docshape522" coordorigin="4951,239" coordsize="2007,0" path="m4951,239l6957,239e" filled="false" stroked="true" strokeweight=".4032pt" strokecolor="#000000">
            <v:path arrowok="t"/>
            <v:stroke dashstyle="solid"/>
            <w10:wrap type="topAndBottom"/>
          </v:shape>
        </w:pict>
      </w:r>
    </w:p>
    <w:sectPr>
      <w:pgSz w:w="11910" w:h="16840"/>
      <w:pgMar w:header="957" w:footer="940" w:top="1140" w:bottom="1140" w:left="20" w:right="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Courier New">
    <w:altName w:val="Courier New"/>
    <w:charset w:val="0"/>
    <w:family w:val="modern"/>
    <w:pitch w:val="fixed"/>
  </w:font>
  <w:font w:name="Palatino Linotype">
    <w:altName w:val="Palatino Linotype"/>
    <w:charset w:val="0"/>
    <w:family w:val="roman"/>
    <w:pitch w:val="variable"/>
  </w:font>
  <w:font w:name="SimSun">
    <w:altName w:val="SimSun"/>
    <w:charset w:val="0"/>
    <w:family w:val="auto"/>
    <w:pitch w:val="variable"/>
  </w:font>
  <w:font w:name="Georgia">
    <w:altName w:val="Georg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55.664001pt;margin-top:783.918396pt;width:44.35pt;height:10.8pt;mso-position-horizontal-relative:page;mso-position-vertical-relative:page;z-index:-43845120" type="#_x0000_t202" id="docshape1"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64001pt;margin-top:783.918396pt;width:15.2pt;height:10.8pt;mso-position-horizontal-relative:page;mso-position-vertical-relative:page;z-index:-43830272" type="#_x0000_t202" id="docshape88"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44</w:t>
                </w:r>
                <w:r>
                  <w:rPr>
                    <w:b/>
                    <w:spacing w:val="-5"/>
                    <w:sz w:val="16"/>
                  </w:rPr>
                  <w:fldChar w:fldCharType="end"/>
                </w:r>
              </w:p>
            </w:txbxContent>
          </v:textbox>
          <w10:wrap type="none"/>
        </v:shape>
      </w:pict>
    </w:r>
    <w:r>
      <w:rPr/>
      <w:pict>
        <v:shape style="position:absolute;margin-left:495.51001pt;margin-top:783.918396pt;width:44.4pt;height:10.8pt;mso-position-horizontal-relative:page;mso-position-vertical-relative:page;z-index:-43829760" type="#_x0000_t202" id="docshape89"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64001pt;margin-top:783.918396pt;width:15.2pt;height:10.8pt;mso-position-horizontal-relative:page;mso-position-vertical-relative:page;z-index:-43827712" type="#_x0000_t202" id="docshape97"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46</w:t>
                </w:r>
                <w:r>
                  <w:rPr>
                    <w:b/>
                    <w:spacing w:val="-5"/>
                    <w:sz w:val="16"/>
                  </w:rPr>
                  <w:fldChar w:fldCharType="end"/>
                </w:r>
              </w:p>
            </w:txbxContent>
          </v:textbox>
          <w10:wrap type="none"/>
        </v:shape>
      </w:pict>
    </w:r>
    <w:r>
      <w:rPr/>
      <w:pict>
        <v:shape style="position:absolute;margin-left:495.51001pt;margin-top:783.918396pt;width:44.4pt;height:10.8pt;mso-position-horizontal-relative:page;mso-position-vertical-relative:page;z-index:-43827200" type="#_x0000_t202" id="docshape98"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64001pt;margin-top:783.918396pt;width:44.4pt;height:10.8pt;mso-position-horizontal-relative:page;mso-position-vertical-relative:page;z-index:-43826688" type="#_x0000_t202" id="docshape99"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r>
      <w:rPr/>
      <w:pict>
        <v:shape style="position:absolute;margin-left:527.859985pt;margin-top:783.918396pt;width:15.2pt;height:10.8pt;mso-position-horizontal-relative:page;mso-position-vertical-relative:page;z-index:-43826176" type="#_x0000_t202" id="docshape100"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47</w:t>
                </w:r>
                <w:r>
                  <w:rPr>
                    <w:b/>
                    <w:spacing w:val="-5"/>
                    <w:sz w:val="16"/>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64001pt;margin-top:783.918396pt;width:44.4pt;height:10.8pt;mso-position-horizontal-relative:page;mso-position-vertical-relative:page;z-index:-43824640" type="#_x0000_t202" id="docshape110"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r>
      <w:rPr/>
      <w:pict>
        <v:shape style="position:absolute;margin-left:527.859985pt;margin-top:783.918396pt;width:15.2pt;height:10.8pt;mso-position-horizontal-relative:page;mso-position-vertical-relative:page;z-index:-43824128" type="#_x0000_t202" id="docshape111"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53</w:t>
                </w:r>
                <w:r>
                  <w:rPr>
                    <w:b/>
                    <w:spacing w:val="-5"/>
                    <w:sz w:val="16"/>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64001pt;margin-top:783.918396pt;width:15.2pt;height:10.8pt;mso-position-horizontal-relative:page;mso-position-vertical-relative:page;z-index:-43823616" type="#_x0000_t202" id="docshape112"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54</w:t>
                </w:r>
                <w:r>
                  <w:rPr>
                    <w:b/>
                    <w:spacing w:val="-5"/>
                    <w:sz w:val="16"/>
                  </w:rPr>
                  <w:fldChar w:fldCharType="end"/>
                </w:r>
              </w:p>
            </w:txbxContent>
          </v:textbox>
          <w10:wrap type="none"/>
        </v:shape>
      </w:pict>
    </w:r>
    <w:r>
      <w:rPr/>
      <w:pict>
        <v:shape style="position:absolute;margin-left:495.51001pt;margin-top:783.918396pt;width:44.4pt;height:10.8pt;mso-position-horizontal-relative:page;mso-position-vertical-relative:page;z-index:-43823104" type="#_x0000_t202" id="docshape113"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64001pt;margin-top:783.918396pt;width:44.4pt;height:10.8pt;mso-position-horizontal-relative:page;mso-position-vertical-relative:page;z-index:-43821056" type="#_x0000_t202" id="docshape120"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r>
      <w:rPr/>
      <w:pict>
        <v:shape style="position:absolute;margin-left:527.859985pt;margin-top:783.918396pt;width:15.2pt;height:10.8pt;mso-position-horizontal-relative:page;mso-position-vertical-relative:page;z-index:-43820544" type="#_x0000_t202" id="docshape121"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55</w:t>
                </w:r>
                <w:r>
                  <w:rPr>
                    <w:b/>
                    <w:spacing w:val="-5"/>
                    <w:sz w:val="16"/>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64001pt;margin-top:783.918396pt;width:15.2pt;height:10.8pt;mso-position-horizontal-relative:page;mso-position-vertical-relative:page;z-index:-43820032" type="#_x0000_t202" id="docshape122"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56</w:t>
                </w:r>
                <w:r>
                  <w:rPr>
                    <w:b/>
                    <w:spacing w:val="-5"/>
                    <w:sz w:val="16"/>
                  </w:rPr>
                  <w:fldChar w:fldCharType="end"/>
                </w:r>
              </w:p>
            </w:txbxContent>
          </v:textbox>
          <w10:wrap type="none"/>
        </v:shape>
      </w:pict>
    </w:r>
    <w:r>
      <w:rPr/>
      <w:pict>
        <v:shape style="position:absolute;margin-left:495.51001pt;margin-top:783.918396pt;width:44.4pt;height:10.8pt;mso-position-horizontal-relative:page;mso-position-vertical-relative:page;z-index:-43819520" type="#_x0000_t202" id="docshape123"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64001pt;margin-top:783.918396pt;width:19.25pt;height:10.8pt;mso-position-horizontal-relative:page;mso-position-vertical-relative:page;z-index:-43817472" type="#_x0000_t202" id="docshape132"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100</w:t>
                </w:r>
                <w:r>
                  <w:rPr>
                    <w:b/>
                    <w:spacing w:val="-5"/>
                    <w:sz w:val="16"/>
                  </w:rPr>
                  <w:fldChar w:fldCharType="end"/>
                </w:r>
              </w:p>
            </w:txbxContent>
          </v:textbox>
          <w10:wrap type="none"/>
        </v:shape>
      </w:pict>
    </w:r>
    <w:r>
      <w:rPr/>
      <w:pict>
        <v:shape style="position:absolute;margin-left:495.51001pt;margin-top:783.918396pt;width:44.4pt;height:10.8pt;mso-position-horizontal-relative:page;mso-position-vertical-relative:page;z-index:-43816960" type="#_x0000_t202" id="docshape133"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64001pt;margin-top:783.918396pt;width:44.4pt;height:10.8pt;mso-position-horizontal-relative:page;mso-position-vertical-relative:page;z-index:-43816448" type="#_x0000_t202" id="docshape134"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r>
      <w:rPr/>
      <w:pict>
        <v:shape style="position:absolute;margin-left:527.859985pt;margin-top:783.918396pt;width:15.2pt;height:10.8pt;mso-position-horizontal-relative:page;mso-position-vertical-relative:page;z-index:-43815936" type="#_x0000_t202" id="docshape135"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67</w:t>
                </w:r>
                <w:r>
                  <w:rPr>
                    <w:b/>
                    <w:spacing w:val="-5"/>
                    <w:sz w:val="16"/>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64001pt;margin-top:783.918396pt;width:44.4pt;height:10.8pt;mso-position-horizontal-relative:page;mso-position-vertical-relative:page;z-index:-43814400" type="#_x0000_t202" id="docshape157"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r>
      <w:rPr/>
      <w:pict>
        <v:shape style="position:absolute;margin-left:527.859985pt;margin-top:783.918396pt;width:15.2pt;height:10.8pt;mso-position-horizontal-relative:page;mso-position-vertical-relative:page;z-index:-43813888" type="#_x0000_t202" id="docshape158"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75</w:t>
                </w:r>
                <w:r>
                  <w:rPr>
                    <w:b/>
                    <w:spacing w:val="-5"/>
                    <w:sz w:val="16"/>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64001pt;margin-top:783.918396pt;width:15.2pt;height:10.8pt;mso-position-horizontal-relative:page;mso-position-vertical-relative:page;z-index:-43844608" type="#_x0000_t202" id="docshape2"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10</w:t>
                </w:r>
                <w:r>
                  <w:rPr>
                    <w:b/>
                    <w:spacing w:val="-5"/>
                    <w:sz w:val="16"/>
                  </w:rPr>
                  <w:fldChar w:fldCharType="end"/>
                </w:r>
              </w:p>
            </w:txbxContent>
          </v:textbox>
          <w10:wrap type="none"/>
        </v:shape>
      </w:pict>
    </w:r>
    <w:r>
      <w:rPr/>
      <w:pict>
        <v:shape style="position:absolute;margin-left:495.51001pt;margin-top:783.918396pt;width:44.4pt;height:10.8pt;mso-position-horizontal-relative:page;mso-position-vertical-relative:page;z-index:-43844096" type="#_x0000_t202" id="docshape3"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64001pt;margin-top:783.918396pt;width:15.2pt;height:10.8pt;mso-position-horizontal-relative:page;mso-position-vertical-relative:page;z-index:-43813376" type="#_x0000_t202" id="docshape159"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76</w:t>
                </w:r>
                <w:r>
                  <w:rPr>
                    <w:b/>
                    <w:spacing w:val="-5"/>
                    <w:sz w:val="16"/>
                  </w:rPr>
                  <w:fldChar w:fldCharType="end"/>
                </w:r>
              </w:p>
            </w:txbxContent>
          </v:textbox>
          <w10:wrap type="none"/>
        </v:shape>
      </w:pict>
    </w:r>
    <w:r>
      <w:rPr/>
      <w:pict>
        <v:shape style="position:absolute;margin-left:495.51001pt;margin-top:783.918396pt;width:44.4pt;height:10.8pt;mso-position-horizontal-relative:page;mso-position-vertical-relative:page;z-index:-43812864" type="#_x0000_t202" id="docshape160"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64001pt;margin-top:783.918396pt;width:44.4pt;height:10.8pt;mso-position-horizontal-relative:page;mso-position-vertical-relative:page;z-index:-43810816" type="#_x0000_t202" id="docshape166"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r>
      <w:rPr/>
      <w:pict>
        <v:shape style="position:absolute;margin-left:527.859985pt;margin-top:783.918396pt;width:15.2pt;height:10.8pt;mso-position-horizontal-relative:page;mso-position-vertical-relative:page;z-index:-43810304" type="#_x0000_t202" id="docshape167"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77</w:t>
                </w:r>
                <w:r>
                  <w:rPr>
                    <w:b/>
                    <w:spacing w:val="-5"/>
                    <w:sz w:val="16"/>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64001pt;margin-top:783.918396pt;width:15.2pt;height:10.8pt;mso-position-horizontal-relative:page;mso-position-vertical-relative:page;z-index:-43809792" type="#_x0000_t202" id="docshape168"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78</w:t>
                </w:r>
                <w:r>
                  <w:rPr>
                    <w:b/>
                    <w:spacing w:val="-5"/>
                    <w:sz w:val="16"/>
                  </w:rPr>
                  <w:fldChar w:fldCharType="end"/>
                </w:r>
              </w:p>
            </w:txbxContent>
          </v:textbox>
          <w10:wrap type="none"/>
        </v:shape>
      </w:pict>
    </w:r>
    <w:r>
      <w:rPr/>
      <w:pict>
        <v:shape style="position:absolute;margin-left:495.51001pt;margin-top:783.918396pt;width:44.4pt;height:10.8pt;mso-position-horizontal-relative:page;mso-position-vertical-relative:page;z-index:-43809280" type="#_x0000_t202" id="docshape169"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64001pt;margin-top:783.918396pt;width:44.4pt;height:10.8pt;mso-position-horizontal-relative:page;mso-position-vertical-relative:page;z-index:-43807744" type="#_x0000_t202" id="docshape174"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r>
      <w:rPr/>
      <w:pict>
        <v:shape style="position:absolute;margin-left:527.859985pt;margin-top:783.918396pt;width:15.2pt;height:10.8pt;mso-position-horizontal-relative:page;mso-position-vertical-relative:page;z-index:-43807232" type="#_x0000_t202" id="docshape175"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85</w:t>
                </w:r>
                <w:r>
                  <w:rPr>
                    <w:b/>
                    <w:spacing w:val="-5"/>
                    <w:sz w:val="16"/>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64001pt;margin-top:783.918396pt;width:15.2pt;height:10.8pt;mso-position-horizontal-relative:page;mso-position-vertical-relative:page;z-index:-43806720" type="#_x0000_t202" id="docshape176"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86</w:t>
                </w:r>
                <w:r>
                  <w:rPr>
                    <w:b/>
                    <w:spacing w:val="-5"/>
                    <w:sz w:val="16"/>
                  </w:rPr>
                  <w:fldChar w:fldCharType="end"/>
                </w:r>
              </w:p>
            </w:txbxContent>
          </v:textbox>
          <w10:wrap type="none"/>
        </v:shape>
      </w:pict>
    </w:r>
    <w:r>
      <w:rPr/>
      <w:pict>
        <v:shape style="position:absolute;margin-left:495.51001pt;margin-top:783.918396pt;width:44.4pt;height:10.8pt;mso-position-horizontal-relative:page;mso-position-vertical-relative:page;z-index:-43806208" type="#_x0000_t202" id="docshape177"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64001pt;margin-top:783.918396pt;width:44.4pt;height:10.8pt;mso-position-horizontal-relative:page;mso-position-vertical-relative:page;z-index:-43804160" type="#_x0000_t202" id="docshape187"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r>
      <w:rPr/>
      <w:pict>
        <v:shape style="position:absolute;margin-left:523.780029pt;margin-top:783.918396pt;width:19.25pt;height:10.8pt;mso-position-horizontal-relative:page;mso-position-vertical-relative:page;z-index:-43803648" type="#_x0000_t202" id="docshape188"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101</w:t>
                </w:r>
                <w:r>
                  <w:rPr>
                    <w:b/>
                    <w:spacing w:val="-5"/>
                    <w:sz w:val="16"/>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64001pt;margin-top:783.918396pt;width:15.2pt;height:10.8pt;mso-position-horizontal-relative:page;mso-position-vertical-relative:page;z-index:-43803136" type="#_x0000_t202" id="docshape189"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90</w:t>
                </w:r>
                <w:r>
                  <w:rPr>
                    <w:b/>
                    <w:spacing w:val="-5"/>
                    <w:sz w:val="16"/>
                  </w:rPr>
                  <w:fldChar w:fldCharType="end"/>
                </w:r>
              </w:p>
            </w:txbxContent>
          </v:textbox>
          <w10:wrap type="none"/>
        </v:shape>
      </w:pict>
    </w:r>
    <w:r>
      <w:rPr/>
      <w:pict>
        <v:shape style="position:absolute;margin-left:495.51001pt;margin-top:783.918396pt;width:44.4pt;height:10.8pt;mso-position-horizontal-relative:page;mso-position-vertical-relative:page;z-index:-43802624" type="#_x0000_t202" id="docshape190"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64001pt;margin-top:783.918396pt;width:19.25pt;height:10.8pt;mso-position-horizontal-relative:page;mso-position-vertical-relative:page;z-index:-43800576" type="#_x0000_t202" id="docshape205"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102</w:t>
                </w:r>
                <w:r>
                  <w:rPr>
                    <w:b/>
                    <w:spacing w:val="-5"/>
                    <w:sz w:val="16"/>
                  </w:rPr>
                  <w:fldChar w:fldCharType="end"/>
                </w:r>
              </w:p>
            </w:txbxContent>
          </v:textbox>
          <w10:wrap type="none"/>
        </v:shape>
      </w:pict>
    </w:r>
    <w:r>
      <w:rPr/>
      <w:pict>
        <v:shape style="position:absolute;margin-left:495.51001pt;margin-top:783.918396pt;width:44.4pt;height:10.8pt;mso-position-horizontal-relative:page;mso-position-vertical-relative:page;z-index:-43800064" type="#_x0000_t202" id="docshape206"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64001pt;margin-top:783.918396pt;width:44.4pt;height:10.8pt;mso-position-horizontal-relative:page;mso-position-vertical-relative:page;z-index:-43799552" type="#_x0000_t202" id="docshape207"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r>
      <w:rPr/>
      <w:pict>
        <v:shape style="position:absolute;margin-left:523.780029pt;margin-top:783.918396pt;width:19.25pt;height:10.8pt;mso-position-horizontal-relative:page;mso-position-vertical-relative:page;z-index:-43799040" type="#_x0000_t202" id="docshape208"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103</w:t>
                </w:r>
                <w:r>
                  <w:rPr>
                    <w:b/>
                    <w:spacing w:val="-5"/>
                    <w:sz w:val="16"/>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64001pt;margin-top:783.918396pt;width:19.25pt;height:10.8pt;mso-position-horizontal-relative:page;mso-position-vertical-relative:page;z-index:-43796992" type="#_x0000_t202" id="docshape214"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104</w:t>
                </w:r>
                <w:r>
                  <w:rPr>
                    <w:b/>
                    <w:spacing w:val="-5"/>
                    <w:sz w:val="16"/>
                  </w:rPr>
                  <w:fldChar w:fldCharType="end"/>
                </w:r>
              </w:p>
            </w:txbxContent>
          </v:textbox>
          <w10:wrap type="none"/>
        </v:shape>
      </w:pict>
    </w:r>
    <w:r>
      <w:rPr/>
      <w:pict>
        <v:shape style="position:absolute;margin-left:495.51001pt;margin-top:783.918396pt;width:44.4pt;height:10.8pt;mso-position-horizontal-relative:page;mso-position-vertical-relative:page;z-index:-43796480" type="#_x0000_t202" id="docshape215"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64001pt;margin-top:783.918396pt;width:44.4pt;height:10.8pt;mso-position-horizontal-relative:page;mso-position-vertical-relative:page;z-index:-43842048" type="#_x0000_t202" id="docshape9"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r>
      <w:rPr/>
      <w:pict>
        <v:shape style="position:absolute;margin-left:527.859985pt;margin-top:783.918396pt;width:15.2pt;height:10.8pt;mso-position-horizontal-relative:page;mso-position-vertical-relative:page;z-index:-43841536" type="#_x0000_t202" id="docshape10"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11</w:t>
                </w:r>
                <w:r>
                  <w:rPr>
                    <w:b/>
                    <w:spacing w:val="-5"/>
                    <w:sz w:val="16"/>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64001pt;margin-top:783.918396pt;width:44.4pt;height:10.8pt;mso-position-horizontal-relative:page;mso-position-vertical-relative:page;z-index:-43795968" type="#_x0000_t202" id="docshape216"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r>
      <w:rPr/>
      <w:pict>
        <v:shape style="position:absolute;margin-left:523.780029pt;margin-top:783.918396pt;width:19.25pt;height:10.8pt;mso-position-horizontal-relative:page;mso-position-vertical-relative:page;z-index:-43795456" type="#_x0000_t202" id="docshape217"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105</w:t>
                </w:r>
                <w:r>
                  <w:rPr>
                    <w:b/>
                    <w:spacing w:val="-5"/>
                    <w:sz w:val="16"/>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64001pt;margin-top:783.918396pt;width:19.25pt;height:10.8pt;mso-position-horizontal-relative:page;mso-position-vertical-relative:page;z-index:-43793408" type="#_x0000_t202" id="docshape221"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106</w:t>
                </w:r>
                <w:r>
                  <w:rPr>
                    <w:b/>
                    <w:spacing w:val="-5"/>
                    <w:sz w:val="16"/>
                  </w:rPr>
                  <w:fldChar w:fldCharType="end"/>
                </w:r>
              </w:p>
            </w:txbxContent>
          </v:textbox>
          <w10:wrap type="none"/>
        </v:shape>
      </w:pict>
    </w:r>
    <w:r>
      <w:rPr/>
      <w:pict>
        <v:shape style="position:absolute;margin-left:495.51001pt;margin-top:783.918396pt;width:44.4pt;height:10.8pt;mso-position-horizontal-relative:page;mso-position-vertical-relative:page;z-index:-43792896" type="#_x0000_t202" id="docshape222"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64001pt;margin-top:783.918396pt;width:44.4pt;height:10.8pt;mso-position-horizontal-relative:page;mso-position-vertical-relative:page;z-index:-43792384" type="#_x0000_t202" id="docshape223"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r>
      <w:rPr/>
      <w:pict>
        <v:shape style="position:absolute;margin-left:523.780029pt;margin-top:783.918396pt;width:19.25pt;height:10.8pt;mso-position-horizontal-relative:page;mso-position-vertical-relative:page;z-index:-43791872" type="#_x0000_t202" id="docshape224"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107</w:t>
                </w:r>
                <w:r>
                  <w:rPr>
                    <w:b/>
                    <w:spacing w:val="-5"/>
                    <w:sz w:val="16"/>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64001pt;margin-top:783.918396pt;width:19.25pt;height:10.8pt;mso-position-horizontal-relative:page;mso-position-vertical-relative:page;z-index:-43789824" type="#_x0000_t202" id="docshape230"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108</w:t>
                </w:r>
                <w:r>
                  <w:rPr>
                    <w:b/>
                    <w:spacing w:val="-5"/>
                    <w:sz w:val="16"/>
                  </w:rPr>
                  <w:fldChar w:fldCharType="end"/>
                </w:r>
              </w:p>
            </w:txbxContent>
          </v:textbox>
          <w10:wrap type="none"/>
        </v:shape>
      </w:pict>
    </w:r>
    <w:r>
      <w:rPr/>
      <w:pict>
        <v:shape style="position:absolute;margin-left:495.51001pt;margin-top:783.918396pt;width:44.4pt;height:10.8pt;mso-position-horizontal-relative:page;mso-position-vertical-relative:page;z-index:-43789312" type="#_x0000_t202" id="docshape231"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64001pt;margin-top:783.918396pt;width:44.4pt;height:10.8pt;mso-position-horizontal-relative:page;mso-position-vertical-relative:page;z-index:-43788800" type="#_x0000_t202" id="docshape232"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r>
      <w:rPr/>
      <w:pict>
        <v:shape style="position:absolute;margin-left:523.780029pt;margin-top:783.918396pt;width:19.25pt;height:10.8pt;mso-position-horizontal-relative:page;mso-position-vertical-relative:page;z-index:-43788288" type="#_x0000_t202" id="docshape233"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109</w:t>
                </w:r>
                <w:r>
                  <w:rPr>
                    <w:b/>
                    <w:spacing w:val="-5"/>
                    <w:sz w:val="16"/>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64001pt;margin-top:783.918396pt;width:19.25pt;height:10.8pt;mso-position-horizontal-relative:page;mso-position-vertical-relative:page;z-index:-43786240" type="#_x0000_t202" id="docshape237"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130</w:t>
                </w:r>
                <w:r>
                  <w:rPr>
                    <w:b/>
                    <w:spacing w:val="-5"/>
                    <w:sz w:val="16"/>
                  </w:rPr>
                  <w:fldChar w:fldCharType="end"/>
                </w:r>
              </w:p>
            </w:txbxContent>
          </v:textbox>
          <w10:wrap type="none"/>
        </v:shape>
      </w:pict>
    </w:r>
    <w:r>
      <w:rPr/>
      <w:pict>
        <v:shape style="position:absolute;margin-left:495.51001pt;margin-top:783.918396pt;width:44.4pt;height:10.8pt;mso-position-horizontal-relative:page;mso-position-vertical-relative:page;z-index:-43785728" type="#_x0000_t202" id="docshape238"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64001pt;margin-top:783.918396pt;width:44.4pt;height:10.8pt;mso-position-horizontal-relative:page;mso-position-vertical-relative:page;z-index:-43785216" type="#_x0000_t202" id="docshape239"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r>
      <w:rPr/>
      <w:pict>
        <v:shape style="position:absolute;margin-left:523.780029pt;margin-top:783.918396pt;width:19.25pt;height:10.8pt;mso-position-horizontal-relative:page;mso-position-vertical-relative:page;z-index:-43784704" type="#_x0000_t202" id="docshape240"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131</w:t>
                </w:r>
                <w:r>
                  <w:rPr>
                    <w:b/>
                    <w:spacing w:val="-5"/>
                    <w:sz w:val="16"/>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64001pt;margin-top:783.918396pt;width:19.25pt;height:10.8pt;mso-position-horizontal-relative:page;mso-position-vertical-relative:page;z-index:-43782656" type="#_x0000_t202" id="docshape246"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132</w:t>
                </w:r>
                <w:r>
                  <w:rPr>
                    <w:b/>
                    <w:spacing w:val="-5"/>
                    <w:sz w:val="16"/>
                  </w:rPr>
                  <w:fldChar w:fldCharType="end"/>
                </w:r>
              </w:p>
            </w:txbxContent>
          </v:textbox>
          <w10:wrap type="none"/>
        </v:shape>
      </w:pict>
    </w:r>
    <w:r>
      <w:rPr/>
      <w:pict>
        <v:shape style="position:absolute;margin-left:495.51001pt;margin-top:783.918396pt;width:44.4pt;height:10.8pt;mso-position-horizontal-relative:page;mso-position-vertical-relative:page;z-index:-43782144" type="#_x0000_t202" id="docshape247"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64001pt;margin-top:783.918396pt;width:44.4pt;height:10.8pt;mso-position-horizontal-relative:page;mso-position-vertical-relative:page;z-index:-43781632" type="#_x0000_t202" id="docshape248"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r>
      <w:rPr/>
      <w:pict>
        <v:shape style="position:absolute;margin-left:523.780029pt;margin-top:783.918396pt;width:19.25pt;height:10.8pt;mso-position-horizontal-relative:page;mso-position-vertical-relative:page;z-index:-43781120" type="#_x0000_t202" id="docshape249"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133</w:t>
                </w:r>
                <w:r>
                  <w:rPr>
                    <w:b/>
                    <w:spacing w:val="-5"/>
                    <w:sz w:val="16"/>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64001pt;margin-top:783.918396pt;width:19.25pt;height:10.8pt;mso-position-horizontal-relative:page;mso-position-vertical-relative:page;z-index:-43779072" type="#_x0000_t202" id="docshape258"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152</w:t>
                </w:r>
                <w:r>
                  <w:rPr>
                    <w:b/>
                    <w:spacing w:val="-5"/>
                    <w:sz w:val="16"/>
                  </w:rPr>
                  <w:fldChar w:fldCharType="end"/>
                </w:r>
              </w:p>
            </w:txbxContent>
          </v:textbox>
          <w10:wrap type="none"/>
        </v:shape>
      </w:pict>
    </w:r>
    <w:r>
      <w:rPr/>
      <w:pict>
        <v:shape style="position:absolute;margin-left:495.51001pt;margin-top:783.918396pt;width:44.4pt;height:10.8pt;mso-position-horizontal-relative:page;mso-position-vertical-relative:page;z-index:-43778560" type="#_x0000_t202" id="docshape259"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64001pt;margin-top:783.918396pt;width:11pt;height:10.8pt;mso-position-horizontal-relative:page;mso-position-vertical-relative:page;z-index:-43841024" type="#_x0000_t202" id="docshape11" filled="false" stroked="false">
          <v:textbox inset="0,0,0,0">
            <w:txbxContent>
              <w:p>
                <w:pPr>
                  <w:spacing w:before="11"/>
                  <w:ind w:left="60" w:right="0" w:firstLine="0"/>
                  <w:jc w:val="left"/>
                  <w:rPr>
                    <w:b/>
                    <w:sz w:val="16"/>
                  </w:rPr>
                </w:pPr>
                <w:r>
                  <w:rPr>
                    <w:b/>
                    <w:w w:val="99"/>
                    <w:sz w:val="16"/>
                  </w:rPr>
                  <w:fldChar w:fldCharType="begin"/>
                </w:r>
                <w:r>
                  <w:rPr>
                    <w:b/>
                    <w:w w:val="99"/>
                    <w:sz w:val="16"/>
                  </w:rPr>
                  <w:instrText> PAGE </w:instrText>
                </w:r>
                <w:r>
                  <w:rPr>
                    <w:b/>
                    <w:w w:val="99"/>
                    <w:sz w:val="16"/>
                  </w:rPr>
                  <w:fldChar w:fldCharType="separate"/>
                </w:r>
                <w:r>
                  <w:rPr>
                    <w:b/>
                    <w:w w:val="99"/>
                    <w:sz w:val="16"/>
                  </w:rPr>
                  <w:t>4</w:t>
                </w:r>
                <w:r>
                  <w:rPr>
                    <w:b/>
                    <w:w w:val="99"/>
                    <w:sz w:val="16"/>
                  </w:rPr>
                  <w:fldChar w:fldCharType="end"/>
                </w:r>
              </w:p>
            </w:txbxContent>
          </v:textbox>
          <w10:wrap type="none"/>
        </v:shape>
      </w:pict>
    </w:r>
    <w:r>
      <w:rPr/>
      <w:pict>
        <v:shape style="position:absolute;margin-left:495.51001pt;margin-top:783.918396pt;width:44.4pt;height:10.8pt;mso-position-horizontal-relative:page;mso-position-vertical-relative:page;z-index:-43840512" type="#_x0000_t202" id="docshape12"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64001pt;margin-top:783.918396pt;width:44.4pt;height:10.8pt;mso-position-horizontal-relative:page;mso-position-vertical-relative:page;z-index:-43778048" type="#_x0000_t202" id="docshape260"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r>
      <w:rPr/>
      <w:pict>
        <v:shape style="position:absolute;margin-left:523.780029pt;margin-top:783.918396pt;width:19.25pt;height:10.8pt;mso-position-horizontal-relative:page;mso-position-vertical-relative:page;z-index:-43777536" type="#_x0000_t202" id="docshape261"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153</w:t>
                </w:r>
                <w:r>
                  <w:rPr>
                    <w:b/>
                    <w:spacing w:val="-5"/>
                    <w:sz w:val="16"/>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64001pt;margin-top:783.918396pt;width:19.25pt;height:10.8pt;mso-position-horizontal-relative:page;mso-position-vertical-relative:page;z-index:-43775488" type="#_x0000_t202" id="docshape278"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154</w:t>
                </w:r>
                <w:r>
                  <w:rPr>
                    <w:b/>
                    <w:spacing w:val="-5"/>
                    <w:sz w:val="16"/>
                  </w:rPr>
                  <w:fldChar w:fldCharType="end"/>
                </w:r>
              </w:p>
            </w:txbxContent>
          </v:textbox>
          <w10:wrap type="none"/>
        </v:shape>
      </w:pict>
    </w:r>
    <w:r>
      <w:rPr/>
      <w:pict>
        <v:shape style="position:absolute;margin-left:495.51001pt;margin-top:783.918396pt;width:44.4pt;height:10.8pt;mso-position-horizontal-relative:page;mso-position-vertical-relative:page;z-index:-43774976" type="#_x0000_t202" id="docshape279"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64001pt;margin-top:783.918396pt;width:44.4pt;height:10.8pt;mso-position-horizontal-relative:page;mso-position-vertical-relative:page;z-index:-43774464" type="#_x0000_t202" id="docshape280"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r>
      <w:rPr/>
      <w:pict>
        <v:shape style="position:absolute;margin-left:523.780029pt;margin-top:783.918396pt;width:19.25pt;height:10.8pt;mso-position-horizontal-relative:page;mso-position-vertical-relative:page;z-index:-43773952" type="#_x0000_t202" id="docshape281"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155</w:t>
                </w:r>
                <w:r>
                  <w:rPr>
                    <w:b/>
                    <w:spacing w:val="-5"/>
                    <w:sz w:val="16"/>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64001pt;margin-top:783.918396pt;width:19.25pt;height:10.8pt;mso-position-horizontal-relative:page;mso-position-vertical-relative:page;z-index:-43770880" type="#_x0000_t202" id="docshape290"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158</w:t>
                </w:r>
                <w:r>
                  <w:rPr>
                    <w:b/>
                    <w:spacing w:val="-5"/>
                    <w:sz w:val="16"/>
                  </w:rPr>
                  <w:fldChar w:fldCharType="end"/>
                </w:r>
              </w:p>
            </w:txbxContent>
          </v:textbox>
          <w10:wrap type="none"/>
        </v:shape>
      </w:pict>
    </w:r>
    <w:r>
      <w:rPr/>
      <w:pict>
        <v:shape style="position:absolute;margin-left:495.51001pt;margin-top:783.918396pt;width:44.4pt;height:10.8pt;mso-position-horizontal-relative:page;mso-position-vertical-relative:page;z-index:-43770368" type="#_x0000_t202" id="docshape291"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64001pt;margin-top:783.918396pt;width:44.4pt;height:10.8pt;mso-position-horizontal-relative:page;mso-position-vertical-relative:page;z-index:-43769856" type="#_x0000_t202" id="docshape292"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r>
      <w:rPr/>
      <w:pict>
        <v:shape style="position:absolute;margin-left:523.780029pt;margin-top:783.918396pt;width:19.25pt;height:10.8pt;mso-position-horizontal-relative:page;mso-position-vertical-relative:page;z-index:-43769344" type="#_x0000_t202" id="docshape293"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159</w:t>
                </w:r>
                <w:r>
                  <w:rPr>
                    <w:b/>
                    <w:spacing w:val="-5"/>
                    <w:sz w:val="16"/>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64001pt;margin-top:783.918396pt;width:19.25pt;height:10.8pt;mso-position-horizontal-relative:page;mso-position-vertical-relative:page;z-index:-43766272" type="#_x0000_t202" id="docshape299"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160</w:t>
                </w:r>
                <w:r>
                  <w:rPr>
                    <w:b/>
                    <w:spacing w:val="-5"/>
                    <w:sz w:val="16"/>
                  </w:rPr>
                  <w:fldChar w:fldCharType="end"/>
                </w:r>
              </w:p>
            </w:txbxContent>
          </v:textbox>
          <w10:wrap type="none"/>
        </v:shape>
      </w:pict>
    </w:r>
    <w:r>
      <w:rPr/>
      <w:pict>
        <v:shape style="position:absolute;margin-left:495.51001pt;margin-top:783.918396pt;width:44.4pt;height:10.8pt;mso-position-horizontal-relative:page;mso-position-vertical-relative:page;z-index:-43765760" type="#_x0000_t202" id="docshape300"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64001pt;margin-top:783.918396pt;width:44.4pt;height:10.8pt;mso-position-horizontal-relative:page;mso-position-vertical-relative:page;z-index:-43765248" type="#_x0000_t202" id="docshape301"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r>
      <w:rPr/>
      <w:pict>
        <v:shape style="position:absolute;margin-left:523.780029pt;margin-top:783.918396pt;width:19.25pt;height:10.8pt;mso-position-horizontal-relative:page;mso-position-vertical-relative:page;z-index:-43764736" type="#_x0000_t202" id="docshape302"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161</w:t>
                </w:r>
                <w:r>
                  <w:rPr>
                    <w:b/>
                    <w:spacing w:val="-5"/>
                    <w:sz w:val="16"/>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64001pt;margin-top:783.918396pt;width:19.25pt;height:10.8pt;mso-position-horizontal-relative:page;mso-position-vertical-relative:page;z-index:-43762176" type="#_x0000_t202" id="docshape307"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162</w:t>
                </w:r>
                <w:r>
                  <w:rPr>
                    <w:b/>
                    <w:spacing w:val="-5"/>
                    <w:sz w:val="16"/>
                  </w:rPr>
                  <w:fldChar w:fldCharType="end"/>
                </w:r>
              </w:p>
            </w:txbxContent>
          </v:textbox>
          <w10:wrap type="none"/>
        </v:shape>
      </w:pict>
    </w:r>
    <w:r>
      <w:rPr/>
      <w:pict>
        <v:shape style="position:absolute;margin-left:495.51001pt;margin-top:783.918396pt;width:44.4pt;height:10.8pt;mso-position-horizontal-relative:page;mso-position-vertical-relative:page;z-index:-43761664" type="#_x0000_t202" id="docshape308"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64001pt;margin-top:783.918396pt;width:44.4pt;height:10.8pt;mso-position-horizontal-relative:page;mso-position-vertical-relative:page;z-index:-43761152" type="#_x0000_t202" id="docshape309"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r>
      <w:rPr/>
      <w:pict>
        <v:shape style="position:absolute;margin-left:523.780029pt;margin-top:783.918396pt;width:19.25pt;height:10.8pt;mso-position-horizontal-relative:page;mso-position-vertical-relative:page;z-index:-43760640" type="#_x0000_t202" id="docshape310"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163</w:t>
                </w:r>
                <w:r>
                  <w:rPr>
                    <w:b/>
                    <w:spacing w:val="-5"/>
                    <w:sz w:val="16"/>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64001pt;margin-top:783.918396pt;width:19.25pt;height:10.8pt;mso-position-horizontal-relative:page;mso-position-vertical-relative:page;z-index:-43758592" type="#_x0000_t202" id="docshape320"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166</w:t>
                </w:r>
                <w:r>
                  <w:rPr>
                    <w:b/>
                    <w:spacing w:val="-5"/>
                    <w:sz w:val="16"/>
                  </w:rPr>
                  <w:fldChar w:fldCharType="end"/>
                </w:r>
              </w:p>
            </w:txbxContent>
          </v:textbox>
          <w10:wrap type="none"/>
        </v:shape>
      </w:pict>
    </w:r>
    <w:r>
      <w:rPr/>
      <w:pict>
        <v:shape style="position:absolute;margin-left:495.51001pt;margin-top:783.918396pt;width:44.4pt;height:10.8pt;mso-position-horizontal-relative:page;mso-position-vertical-relative:page;z-index:-43758080" type="#_x0000_t202" id="docshape321"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64001pt;margin-top:783.918396pt;width:15.2pt;height:10.8pt;mso-position-horizontal-relative:page;mso-position-vertical-relative:page;z-index:-43838464" type="#_x0000_t202" id="docshape63"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34</w:t>
                </w:r>
                <w:r>
                  <w:rPr>
                    <w:b/>
                    <w:spacing w:val="-5"/>
                    <w:sz w:val="16"/>
                  </w:rPr>
                  <w:fldChar w:fldCharType="end"/>
                </w:r>
              </w:p>
            </w:txbxContent>
          </v:textbox>
          <w10:wrap type="none"/>
        </v:shape>
      </w:pict>
    </w:r>
    <w:r>
      <w:rPr/>
      <w:pict>
        <v:shape style="position:absolute;margin-left:495.51001pt;margin-top:783.918396pt;width:44.4pt;height:10.8pt;mso-position-horizontal-relative:page;mso-position-vertical-relative:page;z-index:-43837952" type="#_x0000_t202" id="docshape64"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64001pt;margin-top:783.918396pt;width:44.4pt;height:10.8pt;mso-position-horizontal-relative:page;mso-position-vertical-relative:page;z-index:-43757568" type="#_x0000_t202" id="docshape322"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r>
      <w:rPr/>
      <w:pict>
        <v:shape style="position:absolute;margin-left:523.780029pt;margin-top:783.918396pt;width:19.25pt;height:10.8pt;mso-position-horizontal-relative:page;mso-position-vertical-relative:page;z-index:-43757056" type="#_x0000_t202" id="docshape323"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167</w:t>
                </w:r>
                <w:r>
                  <w:rPr>
                    <w:b/>
                    <w:spacing w:val="-5"/>
                    <w:sz w:val="16"/>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64001pt;margin-top:783.918396pt;width:19.25pt;height:10.8pt;mso-position-horizontal-relative:page;mso-position-vertical-relative:page;z-index:-43755008" type="#_x0000_t202" id="docshape334"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182</w:t>
                </w:r>
                <w:r>
                  <w:rPr>
                    <w:b/>
                    <w:spacing w:val="-5"/>
                    <w:sz w:val="16"/>
                  </w:rPr>
                  <w:fldChar w:fldCharType="end"/>
                </w:r>
              </w:p>
            </w:txbxContent>
          </v:textbox>
          <w10:wrap type="none"/>
        </v:shape>
      </w:pict>
    </w:r>
    <w:r>
      <w:rPr/>
      <w:pict>
        <v:shape style="position:absolute;margin-left:495.51001pt;margin-top:783.918396pt;width:44.4pt;height:10.8pt;mso-position-horizontal-relative:page;mso-position-vertical-relative:page;z-index:-43754496" type="#_x0000_t202" id="docshape335"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64001pt;margin-top:783.918396pt;width:44.4pt;height:10.8pt;mso-position-horizontal-relative:page;mso-position-vertical-relative:page;z-index:-43753984" type="#_x0000_t202" id="docshape336"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r>
      <w:rPr/>
      <w:pict>
        <v:shape style="position:absolute;margin-left:523.780029pt;margin-top:783.918396pt;width:19.25pt;height:10.8pt;mso-position-horizontal-relative:page;mso-position-vertical-relative:page;z-index:-43753472" type="#_x0000_t202" id="docshape337"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183</w:t>
                </w:r>
                <w:r>
                  <w:rPr>
                    <w:b/>
                    <w:spacing w:val="-5"/>
                    <w:sz w:val="16"/>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64001pt;margin-top:783.918396pt;width:19.25pt;height:10.8pt;mso-position-horizontal-relative:page;mso-position-vertical-relative:page;z-index:-43751424" type="#_x0000_t202" id="docshape344"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184</w:t>
                </w:r>
                <w:r>
                  <w:rPr>
                    <w:b/>
                    <w:spacing w:val="-5"/>
                    <w:sz w:val="16"/>
                  </w:rPr>
                  <w:fldChar w:fldCharType="end"/>
                </w:r>
              </w:p>
            </w:txbxContent>
          </v:textbox>
          <w10:wrap type="none"/>
        </v:shape>
      </w:pict>
    </w:r>
    <w:r>
      <w:rPr/>
      <w:pict>
        <v:shape style="position:absolute;margin-left:495.51001pt;margin-top:783.918396pt;width:44.4pt;height:10.8pt;mso-position-horizontal-relative:page;mso-position-vertical-relative:page;z-index:-43750912" type="#_x0000_t202" id="docshape345"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64001pt;margin-top:783.918396pt;width:44.4pt;height:10.8pt;mso-position-horizontal-relative:page;mso-position-vertical-relative:page;z-index:-43750400" type="#_x0000_t202" id="docshape346"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r>
      <w:rPr/>
      <w:pict>
        <v:shape style="position:absolute;margin-left:523.780029pt;margin-top:783.918396pt;width:19.25pt;height:10.8pt;mso-position-horizontal-relative:page;mso-position-vertical-relative:page;z-index:-43749888" type="#_x0000_t202" id="docshape347"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185</w:t>
                </w:r>
                <w:r>
                  <w:rPr>
                    <w:b/>
                    <w:spacing w:val="-5"/>
                    <w:sz w:val="16"/>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64001pt;margin-top:783.918396pt;width:44.4pt;height:10.8pt;mso-position-horizontal-relative:page;mso-position-vertical-relative:page;z-index:-43748352" type="#_x0000_t202" id="docshape391"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r>
      <w:rPr/>
      <w:pict>
        <v:shape style="position:absolute;margin-left:523.780029pt;margin-top:783.918396pt;width:19.25pt;height:10.8pt;mso-position-horizontal-relative:page;mso-position-vertical-relative:page;z-index:-43747840" type="#_x0000_t202" id="docshape392"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197</w:t>
                </w:r>
                <w:r>
                  <w:rPr>
                    <w:b/>
                    <w:spacing w:val="-5"/>
                    <w:sz w:val="16"/>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64001pt;margin-top:783.918396pt;width:19.25pt;height:10.8pt;mso-position-horizontal-relative:page;mso-position-vertical-relative:page;z-index:-43747328" type="#_x0000_t202" id="docshape393"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198</w:t>
                </w:r>
                <w:r>
                  <w:rPr>
                    <w:b/>
                    <w:spacing w:val="-5"/>
                    <w:sz w:val="16"/>
                  </w:rPr>
                  <w:fldChar w:fldCharType="end"/>
                </w:r>
              </w:p>
            </w:txbxContent>
          </v:textbox>
          <w10:wrap type="none"/>
        </v:shape>
      </w:pict>
    </w:r>
    <w:r>
      <w:rPr/>
      <w:pict>
        <v:shape style="position:absolute;margin-left:495.51001pt;margin-top:783.918396pt;width:44.4pt;height:10.8pt;mso-position-horizontal-relative:page;mso-position-vertical-relative:page;z-index:-43746816" type="#_x0000_t202" id="docshape394"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64001pt;margin-top:783.918396pt;width:44.4pt;height:10.8pt;mso-position-horizontal-relative:page;mso-position-vertical-relative:page;z-index:-43744768" type="#_x0000_t202" id="docshape400"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r>
      <w:rPr/>
      <w:pict>
        <v:shape style="position:absolute;margin-left:523.780029pt;margin-top:783.918396pt;width:19.25pt;height:10.8pt;mso-position-horizontal-relative:page;mso-position-vertical-relative:page;z-index:-43744256" type="#_x0000_t202" id="docshape401"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203</w:t>
                </w:r>
                <w:r>
                  <w:rPr>
                    <w:b/>
                    <w:spacing w:val="-5"/>
                    <w:sz w:val="16"/>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64001pt;margin-top:783.918396pt;width:19.25pt;height:10.8pt;mso-position-horizontal-relative:page;mso-position-vertical-relative:page;z-index:-43743744" type="#_x0000_t202" id="docshape402"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204</w:t>
                </w:r>
                <w:r>
                  <w:rPr>
                    <w:b/>
                    <w:spacing w:val="-5"/>
                    <w:sz w:val="16"/>
                  </w:rPr>
                  <w:fldChar w:fldCharType="end"/>
                </w:r>
              </w:p>
            </w:txbxContent>
          </v:textbox>
          <w10:wrap type="none"/>
        </v:shape>
      </w:pict>
    </w:r>
    <w:r>
      <w:rPr/>
      <w:pict>
        <v:shape style="position:absolute;margin-left:495.51001pt;margin-top:783.918396pt;width:44.4pt;height:10.8pt;mso-position-horizontal-relative:page;mso-position-vertical-relative:page;z-index:-43743232" type="#_x0000_t202" id="docshape403"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64001pt;margin-top:783.918396pt;width:19.25pt;height:10.8pt;mso-position-horizontal-relative:page;mso-position-vertical-relative:page;z-index:-43741184" type="#_x0000_t202" id="docshape408"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208</w:t>
                </w:r>
                <w:r>
                  <w:rPr>
                    <w:b/>
                    <w:spacing w:val="-5"/>
                    <w:sz w:val="16"/>
                  </w:rPr>
                  <w:fldChar w:fldCharType="end"/>
                </w:r>
              </w:p>
            </w:txbxContent>
          </v:textbox>
          <w10:wrap type="none"/>
        </v:shape>
      </w:pict>
    </w:r>
    <w:r>
      <w:rPr/>
      <w:pict>
        <v:shape style="position:absolute;margin-left:495.51001pt;margin-top:783.918396pt;width:44.4pt;height:10.8pt;mso-position-horizontal-relative:page;mso-position-vertical-relative:page;z-index:-43740672" type="#_x0000_t202" id="docshape409"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64001pt;margin-top:783.918396pt;width:44.4pt;height:10.8pt;mso-position-horizontal-relative:page;mso-position-vertical-relative:page;z-index:-43837440" type="#_x0000_t202" id="docshape65"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r>
      <w:rPr/>
      <w:pict>
        <v:shape style="position:absolute;margin-left:527.859985pt;margin-top:783.918396pt;width:15.2pt;height:10.8pt;mso-position-horizontal-relative:page;mso-position-vertical-relative:page;z-index:-43836928" type="#_x0000_t202" id="docshape66"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35</w:t>
                </w:r>
                <w:r>
                  <w:rPr>
                    <w:b/>
                    <w:spacing w:val="-5"/>
                    <w:sz w:val="16"/>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64001pt;margin-top:783.918396pt;width:44.4pt;height:10.8pt;mso-position-horizontal-relative:page;mso-position-vertical-relative:page;z-index:-43740160" type="#_x0000_t202" id="docshape410"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r>
      <w:rPr/>
      <w:pict>
        <v:shape style="position:absolute;margin-left:523.780029pt;margin-top:783.918396pt;width:19.25pt;height:10.8pt;mso-position-horizontal-relative:page;mso-position-vertical-relative:page;z-index:-43739648" type="#_x0000_t202" id="docshape411"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209</w:t>
                </w:r>
                <w:r>
                  <w:rPr>
                    <w:b/>
                    <w:spacing w:val="-5"/>
                    <w:sz w:val="16"/>
                  </w:rPr>
                  <w:fldChar w:fldCharType="end"/>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64001pt;margin-top:783.918396pt;width:19.25pt;height:10.8pt;mso-position-horizontal-relative:page;mso-position-vertical-relative:page;z-index:-43737600" type="#_x0000_t202" id="docshape415"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210</w:t>
                </w:r>
                <w:r>
                  <w:rPr>
                    <w:b/>
                    <w:spacing w:val="-5"/>
                    <w:sz w:val="16"/>
                  </w:rPr>
                  <w:fldChar w:fldCharType="end"/>
                </w:r>
              </w:p>
            </w:txbxContent>
          </v:textbox>
          <w10:wrap type="none"/>
        </v:shape>
      </w:pict>
    </w:r>
    <w:r>
      <w:rPr/>
      <w:pict>
        <v:shape style="position:absolute;margin-left:495.51001pt;margin-top:783.918396pt;width:44.4pt;height:10.8pt;mso-position-horizontal-relative:page;mso-position-vertical-relative:page;z-index:-43737088" type="#_x0000_t202" id="docshape416"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64001pt;margin-top:783.918396pt;width:44.4pt;height:10.8pt;mso-position-horizontal-relative:page;mso-position-vertical-relative:page;z-index:-43736576" type="#_x0000_t202" id="docshape417"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r>
      <w:rPr/>
      <w:pict>
        <v:shape style="position:absolute;margin-left:523.780029pt;margin-top:783.918396pt;width:19.25pt;height:10.8pt;mso-position-horizontal-relative:page;mso-position-vertical-relative:page;z-index:-43736064" type="#_x0000_t202" id="docshape418"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211</w:t>
                </w:r>
                <w:r>
                  <w:rPr>
                    <w:b/>
                    <w:spacing w:val="-5"/>
                    <w:sz w:val="16"/>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64001pt;margin-top:783.918396pt;width:19.25pt;height:10.8pt;mso-position-horizontal-relative:page;mso-position-vertical-relative:page;z-index:-43734016" type="#_x0000_t202" id="docshape422"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212</w:t>
                </w:r>
                <w:r>
                  <w:rPr>
                    <w:b/>
                    <w:spacing w:val="-5"/>
                    <w:sz w:val="16"/>
                  </w:rPr>
                  <w:fldChar w:fldCharType="end"/>
                </w:r>
              </w:p>
            </w:txbxContent>
          </v:textbox>
          <w10:wrap type="none"/>
        </v:shape>
      </w:pict>
    </w:r>
    <w:r>
      <w:rPr/>
      <w:pict>
        <v:shape style="position:absolute;margin-left:495.51001pt;margin-top:783.918396pt;width:44.4pt;height:10.8pt;mso-position-horizontal-relative:page;mso-position-vertical-relative:page;z-index:-43733504" type="#_x0000_t202" id="docshape423"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64001pt;margin-top:783.918396pt;width:44.4pt;height:10.8pt;mso-position-horizontal-relative:page;mso-position-vertical-relative:page;z-index:-43732992" type="#_x0000_t202" id="docshape424"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r>
      <w:rPr/>
      <w:pict>
        <v:shape style="position:absolute;margin-left:523.780029pt;margin-top:783.918396pt;width:19.25pt;height:10.8pt;mso-position-horizontal-relative:page;mso-position-vertical-relative:page;z-index:-43732480" type="#_x0000_t202" id="docshape425"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213</w:t>
                </w:r>
                <w:r>
                  <w:rPr>
                    <w:b/>
                    <w:spacing w:val="-5"/>
                    <w:sz w:val="16"/>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64001pt;margin-top:783.918396pt;width:19.25pt;height:10.8pt;mso-position-horizontal-relative:page;mso-position-vertical-relative:page;z-index:-43730432" type="#_x0000_t202" id="docshape430"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214</w:t>
                </w:r>
                <w:r>
                  <w:rPr>
                    <w:b/>
                    <w:spacing w:val="-5"/>
                    <w:sz w:val="16"/>
                  </w:rPr>
                  <w:fldChar w:fldCharType="end"/>
                </w:r>
              </w:p>
            </w:txbxContent>
          </v:textbox>
          <w10:wrap type="none"/>
        </v:shape>
      </w:pict>
    </w:r>
    <w:r>
      <w:rPr/>
      <w:pict>
        <v:shape style="position:absolute;margin-left:495.51001pt;margin-top:783.918396pt;width:44.4pt;height:10.8pt;mso-position-horizontal-relative:page;mso-position-vertical-relative:page;z-index:-43729920" type="#_x0000_t202" id="docshape431"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64001pt;margin-top:783.918396pt;width:44.4pt;height:10.8pt;mso-position-horizontal-relative:page;mso-position-vertical-relative:page;z-index:-43729408" type="#_x0000_t202" id="docshape432"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r>
      <w:rPr/>
      <w:pict>
        <v:shape style="position:absolute;margin-left:523.780029pt;margin-top:783.918396pt;width:19.25pt;height:10.8pt;mso-position-horizontal-relative:page;mso-position-vertical-relative:page;z-index:-43728896" type="#_x0000_t202" id="docshape433"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215</w:t>
                </w:r>
                <w:r>
                  <w:rPr>
                    <w:b/>
                    <w:spacing w:val="-5"/>
                    <w:sz w:val="16"/>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64001pt;margin-top:783.918396pt;width:19.25pt;height:10.8pt;mso-position-horizontal-relative:page;mso-position-vertical-relative:page;z-index:-43726848" type="#_x0000_t202" id="docshape443"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216</w:t>
                </w:r>
                <w:r>
                  <w:rPr>
                    <w:b/>
                    <w:spacing w:val="-5"/>
                    <w:sz w:val="16"/>
                  </w:rPr>
                  <w:fldChar w:fldCharType="end"/>
                </w:r>
              </w:p>
            </w:txbxContent>
          </v:textbox>
          <w10:wrap type="none"/>
        </v:shape>
      </w:pict>
    </w:r>
    <w:r>
      <w:rPr/>
      <w:pict>
        <v:shape style="position:absolute;margin-left:495.51001pt;margin-top:783.918396pt;width:44.4pt;height:10.8pt;mso-position-horizontal-relative:page;mso-position-vertical-relative:page;z-index:-43726336" type="#_x0000_t202" id="docshape444"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64001pt;margin-top:783.918396pt;width:44.4pt;height:10.8pt;mso-position-horizontal-relative:page;mso-position-vertical-relative:page;z-index:-43725824" type="#_x0000_t202" id="docshape445"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r>
      <w:rPr/>
      <w:pict>
        <v:shape style="position:absolute;margin-left:523.780029pt;margin-top:783.918396pt;width:19.25pt;height:10.8pt;mso-position-horizontal-relative:page;mso-position-vertical-relative:page;z-index:-43725312" type="#_x0000_t202" id="docshape446"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217</w:t>
                </w:r>
                <w:r>
                  <w:rPr>
                    <w:b/>
                    <w:spacing w:val="-5"/>
                    <w:sz w:val="16"/>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64001pt;margin-top:783.918396pt;width:44.4pt;height:10.8pt;mso-position-horizontal-relative:page;mso-position-vertical-relative:page;z-index:-43723776" type="#_x0000_t202" id="docshape454"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r>
      <w:rPr/>
      <w:pict>
        <v:shape style="position:absolute;margin-left:523.780029pt;margin-top:783.918396pt;width:19.25pt;height:10.8pt;mso-position-horizontal-relative:page;mso-position-vertical-relative:page;z-index:-43723264" type="#_x0000_t202" id="docshape455"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221</w:t>
                </w:r>
                <w:r>
                  <w:rPr>
                    <w:b/>
                    <w:spacing w:val="-5"/>
                    <w:sz w:val="16"/>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64001pt;margin-top:783.918396pt;width:15.2pt;height:10.8pt;mso-position-horizontal-relative:page;mso-position-vertical-relative:page;z-index:-43834880" type="#_x0000_t202" id="docshape73"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36</w:t>
                </w:r>
                <w:r>
                  <w:rPr>
                    <w:b/>
                    <w:spacing w:val="-5"/>
                    <w:sz w:val="16"/>
                  </w:rPr>
                  <w:fldChar w:fldCharType="end"/>
                </w:r>
              </w:p>
            </w:txbxContent>
          </v:textbox>
          <w10:wrap type="none"/>
        </v:shape>
      </w:pict>
    </w:r>
    <w:r>
      <w:rPr/>
      <w:pict>
        <v:shape style="position:absolute;margin-left:495.51001pt;margin-top:783.918396pt;width:44.4pt;height:10.8pt;mso-position-horizontal-relative:page;mso-position-vertical-relative:page;z-index:-43834368" type="#_x0000_t202" id="docshape74"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64001pt;margin-top:783.918396pt;width:19.25pt;height:10.8pt;mso-position-horizontal-relative:page;mso-position-vertical-relative:page;z-index:-43722752" type="#_x0000_t202" id="docshape456"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222</w:t>
                </w:r>
                <w:r>
                  <w:rPr>
                    <w:b/>
                    <w:spacing w:val="-5"/>
                    <w:sz w:val="16"/>
                  </w:rPr>
                  <w:fldChar w:fldCharType="end"/>
                </w:r>
              </w:p>
            </w:txbxContent>
          </v:textbox>
          <w10:wrap type="none"/>
        </v:shape>
      </w:pict>
    </w:r>
    <w:r>
      <w:rPr/>
      <w:pict>
        <v:shape style="position:absolute;margin-left:495.51001pt;margin-top:783.918396pt;width:44.4pt;height:10.8pt;mso-position-horizontal-relative:page;mso-position-vertical-relative:page;z-index:-43722240" type="#_x0000_t202" id="docshape457"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64001pt;margin-top:783.918396pt;width:44.4pt;height:10.8pt;mso-position-horizontal-relative:page;mso-position-vertical-relative:page;z-index:-43720192" type="#_x0000_t202" id="docshape501"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r>
      <w:rPr/>
      <w:pict>
        <v:shape style="position:absolute;margin-left:523.780029pt;margin-top:783.918396pt;width:19.25pt;height:10.8pt;mso-position-horizontal-relative:page;mso-position-vertical-relative:page;z-index:-43719680" type="#_x0000_t202" id="docshape502"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223</w:t>
                </w:r>
                <w:r>
                  <w:rPr>
                    <w:b/>
                    <w:spacing w:val="-5"/>
                    <w:sz w:val="16"/>
                  </w:rPr>
                  <w:fldChar w:fldCharType="end"/>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64001pt;margin-top:783.918396pt;width:19.25pt;height:10.8pt;mso-position-horizontal-relative:page;mso-position-vertical-relative:page;z-index:-43719168" type="#_x0000_t202" id="docshape503"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224</w:t>
                </w:r>
                <w:r>
                  <w:rPr>
                    <w:b/>
                    <w:spacing w:val="-5"/>
                    <w:sz w:val="16"/>
                  </w:rPr>
                  <w:fldChar w:fldCharType="end"/>
                </w:r>
              </w:p>
            </w:txbxContent>
          </v:textbox>
          <w10:wrap type="none"/>
        </v:shape>
      </w:pict>
    </w:r>
    <w:r>
      <w:rPr/>
      <w:pict>
        <v:shape style="position:absolute;margin-left:495.51001pt;margin-top:783.918396pt;width:44.4pt;height:10.8pt;mso-position-horizontal-relative:page;mso-position-vertical-relative:page;z-index:-43718656" type="#_x0000_t202" id="docshape504"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64001pt;margin-top:783.918396pt;width:19.25pt;height:10.8pt;mso-position-horizontal-relative:page;mso-position-vertical-relative:page;z-index:-43716608" type="#_x0000_t202" id="docshape509"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226</w:t>
                </w:r>
                <w:r>
                  <w:rPr>
                    <w:b/>
                    <w:spacing w:val="-5"/>
                    <w:sz w:val="16"/>
                  </w:rPr>
                  <w:fldChar w:fldCharType="end"/>
                </w:r>
              </w:p>
            </w:txbxContent>
          </v:textbox>
          <w10:wrap type="none"/>
        </v:shape>
      </w:pict>
    </w:r>
    <w:r>
      <w:rPr/>
      <w:pict>
        <v:shape style="position:absolute;margin-left:495.51001pt;margin-top:783.918396pt;width:44.4pt;height:10.8pt;mso-position-horizontal-relative:page;mso-position-vertical-relative:page;z-index:-43716096" type="#_x0000_t202" id="docshape510"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64001pt;margin-top:783.918396pt;width:44.4pt;height:10.8pt;mso-position-horizontal-relative:page;mso-position-vertical-relative:page;z-index:-43715584" type="#_x0000_t202" id="docshape511"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r>
      <w:rPr/>
      <w:pict>
        <v:shape style="position:absolute;margin-left:523.780029pt;margin-top:783.918396pt;width:19.25pt;height:10.8pt;mso-position-horizontal-relative:page;mso-position-vertical-relative:page;z-index:-43715072" type="#_x0000_t202" id="docshape512"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227</w:t>
                </w:r>
                <w:r>
                  <w:rPr>
                    <w:b/>
                    <w:spacing w:val="-5"/>
                    <w:sz w:val="16"/>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64001pt;margin-top:783.918396pt;width:44.4pt;height:10.8pt;mso-position-horizontal-relative:page;mso-position-vertical-relative:page;z-index:-43833856" type="#_x0000_t202" id="docshape75"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r>
      <w:rPr/>
      <w:pict>
        <v:shape style="position:absolute;margin-left:527.859985pt;margin-top:783.918396pt;width:15.2pt;height:10.8pt;mso-position-horizontal-relative:page;mso-position-vertical-relative:page;z-index:-43833344" type="#_x0000_t202" id="docshape76"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37</w:t>
                </w:r>
                <w:r>
                  <w:rPr>
                    <w:b/>
                    <w:spacing w:val="-5"/>
                    <w:sz w:val="16"/>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64001pt;margin-top:783.918396pt;width:44.4pt;height:10.8pt;mso-position-horizontal-relative:page;mso-position-vertical-relative:page;z-index:-43831296" type="#_x0000_t202" id="docshape86" filled="false" stroked="false">
          <v:textbox inset="0,0,0,0">
            <w:txbxContent>
              <w:p>
                <w:pPr>
                  <w:spacing w:before="11"/>
                  <w:ind w:left="20" w:right="0" w:firstLine="0"/>
                  <w:jc w:val="left"/>
                  <w:rPr>
                    <w:sz w:val="16"/>
                  </w:rPr>
                </w:pPr>
                <w:r>
                  <w:rPr>
                    <w:w w:val="95"/>
                    <w:sz w:val="16"/>
                  </w:rPr>
                  <w:t>10-E-</w:t>
                </w:r>
                <w:r>
                  <w:rPr>
                    <w:spacing w:val="-2"/>
                    <w:w w:val="95"/>
                    <w:sz w:val="16"/>
                  </w:rPr>
                  <w:t>190822</w:t>
                </w:r>
              </w:p>
            </w:txbxContent>
          </v:textbox>
          <w10:wrap type="none"/>
        </v:shape>
      </w:pict>
    </w:r>
    <w:r>
      <w:rPr/>
      <w:pict>
        <v:shape style="position:absolute;margin-left:527.859985pt;margin-top:783.918396pt;width:15.2pt;height:10.8pt;mso-position-horizontal-relative:page;mso-position-vertical-relative:page;z-index:-43830784" type="#_x0000_t202" id="docshape87" filled="false" stroked="false">
          <v:textbox inset="0,0,0,0">
            <w:txbxContent>
              <w:p>
                <w:pPr>
                  <w:spacing w:before="11"/>
                  <w:ind w:left="60" w:right="0" w:firstLine="0"/>
                  <w:jc w:val="left"/>
                  <w:rPr>
                    <w:b/>
                    <w:sz w:val="16"/>
                  </w:rPr>
                </w:pPr>
                <w:r>
                  <w:rPr>
                    <w:b/>
                    <w:spacing w:val="-5"/>
                    <w:sz w:val="16"/>
                  </w:rPr>
                  <w:fldChar w:fldCharType="begin"/>
                </w:r>
                <w:r>
                  <w:rPr>
                    <w:b/>
                    <w:spacing w:val="-5"/>
                    <w:sz w:val="16"/>
                  </w:rPr>
                  <w:instrText> PAGE </w:instrText>
                </w:r>
                <w:r>
                  <w:rPr>
                    <w:b/>
                    <w:spacing w:val="-5"/>
                    <w:sz w:val="16"/>
                  </w:rPr>
                  <w:fldChar w:fldCharType="separate"/>
                </w:r>
                <w:r>
                  <w:rPr>
                    <w:b/>
                    <w:spacing w:val="-5"/>
                    <w:sz w:val="16"/>
                  </w:rPr>
                  <w:t>43</w:t>
                </w:r>
                <w:r>
                  <w:rPr>
                    <w:b/>
                    <w:spacing w:val="-5"/>
                    <w:sz w:val="16"/>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223999pt;margin-top:47.882366pt;width:487pt;height:10.8pt;mso-position-horizontal-relative:page;mso-position-vertical-relative:page;z-index:-43843584" type="#_x0000_t202" id="docshape4" filled="false" stroked="false">
          <v:textbox inset="0,0,0,0">
            <w:txbxContent>
              <w:p>
                <w:pPr>
                  <w:tabs>
                    <w:tab w:pos="9719" w:val="left" w:leader="none"/>
                  </w:tabs>
                  <w:spacing w:before="11"/>
                  <w:ind w:left="20" w:right="0" w:firstLine="0"/>
                  <w:jc w:val="left"/>
                  <w:rPr>
                    <w:b/>
                    <w:sz w:val="16"/>
                  </w:rPr>
                </w:pPr>
                <w:r>
                  <w:rPr>
                    <w:b/>
                    <w:spacing w:val="-3"/>
                    <w:sz w:val="16"/>
                    <w:u w:val="single"/>
                  </w:rPr>
                  <w:t> </w:t>
                </w:r>
                <w:r>
                  <w:rPr>
                    <w:b/>
                    <w:w w:val="95"/>
                    <w:sz w:val="16"/>
                    <w:u w:val="single"/>
                  </w:rPr>
                  <w:t>ICC-</w:t>
                </w:r>
                <w:r>
                  <w:rPr>
                    <w:b/>
                    <w:spacing w:val="-2"/>
                    <w:w w:val="95"/>
                    <w:sz w:val="16"/>
                    <w:u w:val="single"/>
                  </w:rPr>
                  <w:t>ASP/21/10</w:t>
                </w:r>
                <w:r>
                  <w:rPr>
                    <w:b/>
                    <w:sz w:val="16"/>
                    <w:u w:val="single"/>
                  </w:rPr>
                  <w:tab/>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5.223999pt;margin-top:57.619984pt;width:484.99pt;height:.24pt;mso-position-horizontal-relative:page;mso-position-vertical-relative:page;z-index:-43828736" id="docshape95" filled="true" fillcolor="#000000" stroked="false">
          <v:fill type="solid"/>
          <w10:wrap type="none"/>
        </v:rect>
      </w:pict>
    </w:r>
    <w:r>
      <w:rPr/>
      <w:pict>
        <v:shape style="position:absolute;margin-left:484.950012pt;margin-top:47.882366pt;width:54.7pt;height:10.8pt;mso-position-horizontal-relative:page;mso-position-vertical-relative:page;z-index:-43828224" type="#_x0000_t202" id="docshape96" filled="false" stroked="false">
          <v:textbox inset="0,0,0,0">
            <w:txbxContent>
              <w:p>
                <w:pPr>
                  <w:spacing w:before="11"/>
                  <w:ind w:left="20" w:right="0" w:firstLine="0"/>
                  <w:jc w:val="left"/>
                  <w:rPr>
                    <w:b/>
                    <w:sz w:val="16"/>
                  </w:rPr>
                </w:pPr>
                <w:r>
                  <w:rPr>
                    <w:b/>
                    <w:w w:val="95"/>
                    <w:sz w:val="16"/>
                  </w:rPr>
                  <w:t>ICC-</w:t>
                </w:r>
                <w:r>
                  <w:rPr>
                    <w:b/>
                    <w:spacing w:val="-2"/>
                    <w:sz w:val="16"/>
                  </w:rPr>
                  <w:t>ASP/21/10</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4.950012pt;margin-top:47.882366pt;width:54.7pt;height:10.8pt;mso-position-horizontal-relative:page;mso-position-vertical-relative:page;z-index:-43825664" type="#_x0000_t202" id="docshape108" filled="false" stroked="false">
          <v:textbox inset="0,0,0,0">
            <w:txbxContent>
              <w:p>
                <w:pPr>
                  <w:spacing w:before="11"/>
                  <w:ind w:left="20" w:right="0" w:firstLine="0"/>
                  <w:jc w:val="left"/>
                  <w:rPr>
                    <w:b/>
                    <w:sz w:val="16"/>
                  </w:rPr>
                </w:pPr>
                <w:r>
                  <w:rPr>
                    <w:b/>
                    <w:w w:val="95"/>
                    <w:sz w:val="16"/>
                  </w:rPr>
                  <w:t>ICC-</w:t>
                </w:r>
                <w:r>
                  <w:rPr>
                    <w:b/>
                    <w:spacing w:val="-2"/>
                    <w:sz w:val="16"/>
                  </w:rPr>
                  <w:t>ASP/21/10</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223999pt;margin-top:47.882366pt;width:487pt;height:10.8pt;mso-position-horizontal-relative:page;mso-position-vertical-relative:page;z-index:-43825152" type="#_x0000_t202" id="docshape109" filled="false" stroked="false">
          <v:textbox inset="0,0,0,0">
            <w:txbxContent>
              <w:p>
                <w:pPr>
                  <w:tabs>
                    <w:tab w:pos="9719" w:val="left" w:leader="none"/>
                  </w:tabs>
                  <w:spacing w:before="11"/>
                  <w:ind w:left="20" w:right="0" w:firstLine="0"/>
                  <w:jc w:val="left"/>
                  <w:rPr>
                    <w:b/>
                    <w:sz w:val="16"/>
                  </w:rPr>
                </w:pPr>
                <w:r>
                  <w:rPr>
                    <w:b/>
                    <w:spacing w:val="-3"/>
                    <w:sz w:val="16"/>
                    <w:u w:val="single"/>
                  </w:rPr>
                  <w:t> </w:t>
                </w:r>
                <w:r>
                  <w:rPr>
                    <w:b/>
                    <w:w w:val="95"/>
                    <w:sz w:val="16"/>
                    <w:u w:val="single"/>
                  </w:rPr>
                  <w:t>ICC-</w:t>
                </w:r>
                <w:r>
                  <w:rPr>
                    <w:b/>
                    <w:spacing w:val="-2"/>
                    <w:w w:val="95"/>
                    <w:sz w:val="16"/>
                    <w:u w:val="single"/>
                  </w:rPr>
                  <w:t>ASP/21/10</w:t>
                </w:r>
                <w:r>
                  <w:rPr>
                    <w:b/>
                    <w:sz w:val="16"/>
                    <w:u w:val="single"/>
                  </w:rPr>
                  <w:tab/>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5.223999pt;margin-top:57.619984pt;width:484.99pt;height:.24pt;mso-position-horizontal-relative:page;mso-position-vertical-relative:page;z-index:-43822592" id="docshape117" filled="true" fillcolor="#000000" stroked="false">
          <v:fill type="solid"/>
          <w10:wrap type="none"/>
        </v:rect>
      </w:pict>
    </w:r>
    <w:r>
      <w:rPr/>
      <w:pict>
        <v:shape style="position:absolute;margin-left:484.950012pt;margin-top:47.882366pt;width:54.7pt;height:10.8pt;mso-position-horizontal-relative:page;mso-position-vertical-relative:page;z-index:-43822080" type="#_x0000_t202" id="docshape118" filled="false" stroked="false">
          <v:textbox inset="0,0,0,0">
            <w:txbxContent>
              <w:p>
                <w:pPr>
                  <w:spacing w:before="11"/>
                  <w:ind w:left="20" w:right="0" w:firstLine="0"/>
                  <w:jc w:val="left"/>
                  <w:rPr>
                    <w:b/>
                    <w:sz w:val="16"/>
                  </w:rPr>
                </w:pPr>
                <w:r>
                  <w:rPr>
                    <w:b/>
                    <w:w w:val="95"/>
                    <w:sz w:val="16"/>
                  </w:rPr>
                  <w:t>ICC-</w:t>
                </w:r>
                <w:r>
                  <w:rPr>
                    <w:b/>
                    <w:spacing w:val="-2"/>
                    <w:sz w:val="16"/>
                  </w:rPr>
                  <w:t>ASP/21/10</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223999pt;margin-top:47.882366pt;width:487pt;height:10.8pt;mso-position-horizontal-relative:page;mso-position-vertical-relative:page;z-index:-43821568" type="#_x0000_t202" id="docshape119" filled="false" stroked="false">
          <v:textbox inset="0,0,0,0">
            <w:txbxContent>
              <w:p>
                <w:pPr>
                  <w:tabs>
                    <w:tab w:pos="9719" w:val="left" w:leader="none"/>
                  </w:tabs>
                  <w:spacing w:before="11"/>
                  <w:ind w:left="20" w:right="0" w:firstLine="0"/>
                  <w:jc w:val="left"/>
                  <w:rPr>
                    <w:b/>
                    <w:sz w:val="16"/>
                  </w:rPr>
                </w:pPr>
                <w:r>
                  <w:rPr>
                    <w:b/>
                    <w:spacing w:val="-3"/>
                    <w:sz w:val="16"/>
                    <w:u w:val="single"/>
                  </w:rPr>
                  <w:t> </w:t>
                </w:r>
                <w:r>
                  <w:rPr>
                    <w:b/>
                    <w:w w:val="95"/>
                    <w:sz w:val="16"/>
                    <w:u w:val="single"/>
                  </w:rPr>
                  <w:t>ICC-</w:t>
                </w:r>
                <w:r>
                  <w:rPr>
                    <w:b/>
                    <w:spacing w:val="-2"/>
                    <w:w w:val="95"/>
                    <w:sz w:val="16"/>
                    <w:u w:val="single"/>
                  </w:rPr>
                  <w:t>ASP/21/10</w:t>
                </w:r>
                <w:r>
                  <w:rPr>
                    <w:b/>
                    <w:sz w:val="16"/>
                    <w:u w:val="single"/>
                  </w:rPr>
                  <w:tab/>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223999pt;margin-top:47.882366pt;width:487pt;height:10.8pt;mso-position-horizontal-relative:page;mso-position-vertical-relative:page;z-index:-43819008" type="#_x0000_t202" id="docshape129" filled="false" stroked="false">
          <v:textbox inset="0,0,0,0">
            <w:txbxContent>
              <w:p>
                <w:pPr>
                  <w:tabs>
                    <w:tab w:pos="9719" w:val="left" w:leader="none"/>
                  </w:tabs>
                  <w:spacing w:before="11"/>
                  <w:ind w:left="20" w:right="0" w:firstLine="0"/>
                  <w:jc w:val="left"/>
                  <w:rPr>
                    <w:b/>
                    <w:sz w:val="16"/>
                  </w:rPr>
                </w:pPr>
                <w:r>
                  <w:rPr>
                    <w:b/>
                    <w:spacing w:val="-3"/>
                    <w:sz w:val="16"/>
                    <w:u w:val="single"/>
                  </w:rPr>
                  <w:t> </w:t>
                </w:r>
                <w:r>
                  <w:rPr>
                    <w:b/>
                    <w:w w:val="95"/>
                    <w:sz w:val="16"/>
                    <w:u w:val="single"/>
                  </w:rPr>
                  <w:t>ICC-</w:t>
                </w:r>
                <w:r>
                  <w:rPr>
                    <w:b/>
                    <w:spacing w:val="-2"/>
                    <w:w w:val="95"/>
                    <w:sz w:val="16"/>
                    <w:u w:val="single"/>
                  </w:rPr>
                  <w:t>ASP/21/10</w:t>
                </w:r>
                <w:r>
                  <w:rPr>
                    <w:b/>
                    <w:sz w:val="16"/>
                    <w:u w:val="single"/>
                  </w:rPr>
                  <w:tab/>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5.223999pt;margin-top:57.619984pt;width:484.99pt;height:.24pt;mso-position-horizontal-relative:page;mso-position-vertical-relative:page;z-index:-43818496" id="docshape130" filled="true" fillcolor="#000000" stroked="false">
          <v:fill type="solid"/>
          <w10:wrap type="none"/>
        </v:rect>
      </w:pict>
    </w:r>
    <w:r>
      <w:rPr/>
      <w:pict>
        <v:shape style="position:absolute;margin-left:484.950012pt;margin-top:47.882366pt;width:54.7pt;height:10.8pt;mso-position-horizontal-relative:page;mso-position-vertical-relative:page;z-index:-43817984" type="#_x0000_t202" id="docshape131" filled="false" stroked="false">
          <v:textbox inset="0,0,0,0">
            <w:txbxContent>
              <w:p>
                <w:pPr>
                  <w:spacing w:before="11"/>
                  <w:ind w:left="20" w:right="0" w:firstLine="0"/>
                  <w:jc w:val="left"/>
                  <w:rPr>
                    <w:b/>
                    <w:sz w:val="16"/>
                  </w:rPr>
                </w:pPr>
                <w:r>
                  <w:rPr>
                    <w:b/>
                    <w:w w:val="95"/>
                    <w:sz w:val="16"/>
                  </w:rPr>
                  <w:t>ICC-</w:t>
                </w:r>
                <w:r>
                  <w:rPr>
                    <w:b/>
                    <w:spacing w:val="-2"/>
                    <w:sz w:val="16"/>
                  </w:rPr>
                  <w:t>ASP/21/10</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4.950012pt;margin-top:47.882366pt;width:54.7pt;height:10.8pt;mso-position-horizontal-relative:page;mso-position-vertical-relative:page;z-index:-43815424" type="#_x0000_t202" id="docshape155" filled="false" stroked="false">
          <v:textbox inset="0,0,0,0">
            <w:txbxContent>
              <w:p>
                <w:pPr>
                  <w:spacing w:before="11"/>
                  <w:ind w:left="20" w:right="0" w:firstLine="0"/>
                  <w:jc w:val="left"/>
                  <w:rPr>
                    <w:b/>
                    <w:sz w:val="16"/>
                  </w:rPr>
                </w:pPr>
                <w:r>
                  <w:rPr>
                    <w:b/>
                    <w:w w:val="95"/>
                    <w:sz w:val="16"/>
                  </w:rPr>
                  <w:t>ICC-</w:t>
                </w:r>
                <w:r>
                  <w:rPr>
                    <w:b/>
                    <w:spacing w:val="-2"/>
                    <w:sz w:val="16"/>
                  </w:rPr>
                  <w:t>ASP/21/10</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223999pt;margin-top:47.882366pt;width:487pt;height:10.8pt;mso-position-horizontal-relative:page;mso-position-vertical-relative:page;z-index:-43814912" type="#_x0000_t202" id="docshape156" filled="false" stroked="false">
          <v:textbox inset="0,0,0,0">
            <w:txbxContent>
              <w:p>
                <w:pPr>
                  <w:tabs>
                    <w:tab w:pos="9719" w:val="left" w:leader="none"/>
                  </w:tabs>
                  <w:spacing w:before="11"/>
                  <w:ind w:left="20" w:right="0" w:firstLine="0"/>
                  <w:jc w:val="left"/>
                  <w:rPr>
                    <w:b/>
                    <w:sz w:val="16"/>
                  </w:rPr>
                </w:pPr>
                <w:r>
                  <w:rPr>
                    <w:b/>
                    <w:spacing w:val="-3"/>
                    <w:sz w:val="16"/>
                    <w:u w:val="single"/>
                  </w:rPr>
                  <w:t> </w:t>
                </w:r>
                <w:r>
                  <w:rPr>
                    <w:b/>
                    <w:w w:val="95"/>
                    <w:sz w:val="16"/>
                    <w:u w:val="single"/>
                  </w:rPr>
                  <w:t>ICC-</w:t>
                </w:r>
                <w:r>
                  <w:rPr>
                    <w:b/>
                    <w:spacing w:val="-2"/>
                    <w:w w:val="95"/>
                    <w:sz w:val="16"/>
                    <w:u w:val="single"/>
                  </w:rPr>
                  <w:t>ASP/21/10</w:t>
                </w:r>
                <w:r>
                  <w:rPr>
                    <w:b/>
                    <w:sz w:val="16"/>
                    <w:u w:val="single"/>
                  </w:rPr>
                  <w:tab/>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5.223999pt;margin-top:57.619984pt;width:484.99pt;height:.24pt;mso-position-horizontal-relative:page;mso-position-vertical-relative:page;z-index:-43812352" id="docshape163" filled="true" fillcolor="#000000" stroked="false">
          <v:fill type="solid"/>
          <w10:wrap type="none"/>
        </v:rect>
      </w:pict>
    </w:r>
    <w:r>
      <w:rPr/>
      <w:pict>
        <v:shape style="position:absolute;margin-left:484.950012pt;margin-top:47.882366pt;width:54.7pt;height:10.8pt;mso-position-horizontal-relative:page;mso-position-vertical-relative:page;z-index:-43811840" type="#_x0000_t202" id="docshape164" filled="false" stroked="false">
          <v:textbox inset="0,0,0,0">
            <w:txbxContent>
              <w:p>
                <w:pPr>
                  <w:spacing w:before="11"/>
                  <w:ind w:left="20" w:right="0" w:firstLine="0"/>
                  <w:jc w:val="left"/>
                  <w:rPr>
                    <w:b/>
                    <w:sz w:val="16"/>
                  </w:rPr>
                </w:pPr>
                <w:r>
                  <w:rPr>
                    <w:b/>
                    <w:w w:val="95"/>
                    <w:sz w:val="16"/>
                  </w:rPr>
                  <w:t>ICC-</w:t>
                </w:r>
                <w:r>
                  <w:rPr>
                    <w:b/>
                    <w:spacing w:val="-2"/>
                    <w:sz w:val="16"/>
                  </w:rPr>
                  <w:t>ASP/21/10</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5.223999pt;margin-top:57.619984pt;width:484.99pt;height:.24pt;mso-position-horizontal-relative:page;mso-position-vertical-relative:page;z-index:-43843072" id="docshape5" filled="true" fillcolor="#000000" stroked="false">
          <v:fill type="solid"/>
          <w10:wrap type="none"/>
        </v:rect>
      </w:pict>
    </w:r>
    <w:r>
      <w:rPr/>
      <w:pict>
        <v:shape style="position:absolute;margin-left:484.950012pt;margin-top:47.882366pt;width:54.7pt;height:10.8pt;mso-position-horizontal-relative:page;mso-position-vertical-relative:page;z-index:-43842560" type="#_x0000_t202" id="docshape6" filled="false" stroked="false">
          <v:textbox inset="0,0,0,0">
            <w:txbxContent>
              <w:p>
                <w:pPr>
                  <w:spacing w:before="11"/>
                  <w:ind w:left="20" w:right="0" w:firstLine="0"/>
                  <w:jc w:val="left"/>
                  <w:rPr>
                    <w:b/>
                    <w:sz w:val="16"/>
                  </w:rPr>
                </w:pPr>
                <w:r>
                  <w:rPr>
                    <w:b/>
                    <w:w w:val="95"/>
                    <w:sz w:val="16"/>
                  </w:rPr>
                  <w:t>ICC-</w:t>
                </w:r>
                <w:r>
                  <w:rPr>
                    <w:b/>
                    <w:spacing w:val="-2"/>
                    <w:sz w:val="16"/>
                  </w:rPr>
                  <w:t>ASP/21/10</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223999pt;margin-top:47.882366pt;width:487pt;height:10.8pt;mso-position-horizontal-relative:page;mso-position-vertical-relative:page;z-index:-43811328" type="#_x0000_t202" id="docshape165" filled="false" stroked="false">
          <v:textbox inset="0,0,0,0">
            <w:txbxContent>
              <w:p>
                <w:pPr>
                  <w:tabs>
                    <w:tab w:pos="9719" w:val="left" w:leader="none"/>
                  </w:tabs>
                  <w:spacing w:before="11"/>
                  <w:ind w:left="20" w:right="0" w:firstLine="0"/>
                  <w:jc w:val="left"/>
                  <w:rPr>
                    <w:b/>
                    <w:sz w:val="16"/>
                  </w:rPr>
                </w:pPr>
                <w:r>
                  <w:rPr>
                    <w:b/>
                    <w:spacing w:val="-3"/>
                    <w:sz w:val="16"/>
                    <w:u w:val="single"/>
                  </w:rPr>
                  <w:t> </w:t>
                </w:r>
                <w:r>
                  <w:rPr>
                    <w:b/>
                    <w:w w:val="95"/>
                    <w:sz w:val="16"/>
                    <w:u w:val="single"/>
                  </w:rPr>
                  <w:t>ICC-</w:t>
                </w:r>
                <w:r>
                  <w:rPr>
                    <w:b/>
                    <w:spacing w:val="-2"/>
                    <w:w w:val="95"/>
                    <w:sz w:val="16"/>
                    <w:u w:val="single"/>
                  </w:rPr>
                  <w:t>ASP/21/10</w:t>
                </w:r>
                <w:r>
                  <w:rPr>
                    <w:b/>
                    <w:sz w:val="16"/>
                    <w:u w:val="single"/>
                  </w:rPr>
                  <w:tab/>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4.950012pt;margin-top:47.882366pt;width:54.7pt;height:10.8pt;mso-position-horizontal-relative:page;mso-position-vertical-relative:page;z-index:-43808768" type="#_x0000_t202" id="docshape172" filled="false" stroked="false">
          <v:textbox inset="0,0,0,0">
            <w:txbxContent>
              <w:p>
                <w:pPr>
                  <w:spacing w:before="11"/>
                  <w:ind w:left="20" w:right="0" w:firstLine="0"/>
                  <w:jc w:val="left"/>
                  <w:rPr>
                    <w:b/>
                    <w:sz w:val="16"/>
                  </w:rPr>
                </w:pPr>
                <w:r>
                  <w:rPr>
                    <w:b/>
                    <w:w w:val="95"/>
                    <w:sz w:val="16"/>
                  </w:rPr>
                  <w:t>ICC-</w:t>
                </w:r>
                <w:r>
                  <w:rPr>
                    <w:b/>
                    <w:spacing w:val="-2"/>
                    <w:sz w:val="16"/>
                  </w:rPr>
                  <w:t>ASP/21/10</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223999pt;margin-top:47.882366pt;width:487pt;height:10.8pt;mso-position-horizontal-relative:page;mso-position-vertical-relative:page;z-index:-43808256" type="#_x0000_t202" id="docshape173" filled="false" stroked="false">
          <v:textbox inset="0,0,0,0">
            <w:txbxContent>
              <w:p>
                <w:pPr>
                  <w:tabs>
                    <w:tab w:pos="9719" w:val="left" w:leader="none"/>
                  </w:tabs>
                  <w:spacing w:before="11"/>
                  <w:ind w:left="20" w:right="0" w:firstLine="0"/>
                  <w:jc w:val="left"/>
                  <w:rPr>
                    <w:b/>
                    <w:sz w:val="16"/>
                  </w:rPr>
                </w:pPr>
                <w:r>
                  <w:rPr>
                    <w:b/>
                    <w:spacing w:val="-3"/>
                    <w:sz w:val="16"/>
                    <w:u w:val="single"/>
                  </w:rPr>
                  <w:t> </w:t>
                </w:r>
                <w:r>
                  <w:rPr>
                    <w:b/>
                    <w:w w:val="95"/>
                    <w:sz w:val="16"/>
                    <w:u w:val="single"/>
                  </w:rPr>
                  <w:t>ICC-</w:t>
                </w:r>
                <w:r>
                  <w:rPr>
                    <w:b/>
                    <w:spacing w:val="-2"/>
                    <w:w w:val="95"/>
                    <w:sz w:val="16"/>
                    <w:u w:val="single"/>
                  </w:rPr>
                  <w:t>ASP/21/10</w:t>
                </w:r>
                <w:r>
                  <w:rPr>
                    <w:b/>
                    <w:sz w:val="16"/>
                    <w:u w:val="single"/>
                  </w:rPr>
                  <w:tab/>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5.223999pt;margin-top:57.619984pt;width:484.99pt;height:.24pt;mso-position-horizontal-relative:page;mso-position-vertical-relative:page;z-index:-43805696" id="docshape184" filled="true" fillcolor="#000000" stroked="false">
          <v:fill type="solid"/>
          <w10:wrap type="none"/>
        </v:rect>
      </w:pict>
    </w:r>
    <w:r>
      <w:rPr/>
      <w:pict>
        <v:shape style="position:absolute;margin-left:484.950012pt;margin-top:47.882366pt;width:54.7pt;height:10.8pt;mso-position-horizontal-relative:page;mso-position-vertical-relative:page;z-index:-43805184" type="#_x0000_t202" id="docshape185" filled="false" stroked="false">
          <v:textbox inset="0,0,0,0">
            <w:txbxContent>
              <w:p>
                <w:pPr>
                  <w:spacing w:before="11"/>
                  <w:ind w:left="20" w:right="0" w:firstLine="0"/>
                  <w:jc w:val="left"/>
                  <w:rPr>
                    <w:b/>
                    <w:sz w:val="16"/>
                  </w:rPr>
                </w:pPr>
                <w:r>
                  <w:rPr>
                    <w:b/>
                    <w:w w:val="95"/>
                    <w:sz w:val="16"/>
                  </w:rPr>
                  <w:t>ICC-</w:t>
                </w:r>
                <w:r>
                  <w:rPr>
                    <w:b/>
                    <w:spacing w:val="-2"/>
                    <w:sz w:val="16"/>
                  </w:rPr>
                  <w:t>ASP/21/10</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223999pt;margin-top:47.882366pt;width:487pt;height:10.8pt;mso-position-horizontal-relative:page;mso-position-vertical-relative:page;z-index:-43804672" type="#_x0000_t202" id="docshape186" filled="false" stroked="false">
          <v:textbox inset="0,0,0,0">
            <w:txbxContent>
              <w:p>
                <w:pPr>
                  <w:tabs>
                    <w:tab w:pos="9719" w:val="left" w:leader="none"/>
                  </w:tabs>
                  <w:spacing w:before="11"/>
                  <w:ind w:left="20" w:right="0" w:firstLine="0"/>
                  <w:jc w:val="left"/>
                  <w:rPr>
                    <w:b/>
                    <w:sz w:val="16"/>
                  </w:rPr>
                </w:pPr>
                <w:r>
                  <w:rPr>
                    <w:b/>
                    <w:spacing w:val="-3"/>
                    <w:sz w:val="16"/>
                    <w:u w:val="single"/>
                  </w:rPr>
                  <w:t> </w:t>
                </w:r>
                <w:r>
                  <w:rPr>
                    <w:b/>
                    <w:w w:val="95"/>
                    <w:sz w:val="16"/>
                    <w:u w:val="single"/>
                  </w:rPr>
                  <w:t>ICC-</w:t>
                </w:r>
                <w:r>
                  <w:rPr>
                    <w:b/>
                    <w:spacing w:val="-2"/>
                    <w:w w:val="95"/>
                    <w:sz w:val="16"/>
                    <w:u w:val="single"/>
                  </w:rPr>
                  <w:t>ASP/21/10</w:t>
                </w:r>
                <w:r>
                  <w:rPr>
                    <w:b/>
                    <w:sz w:val="16"/>
                    <w:u w:val="single"/>
                  </w:rPr>
                  <w:tab/>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64001pt;margin-top:47.882366pt;width:54.65pt;height:10.8pt;mso-position-horizontal-relative:page;mso-position-vertical-relative:page;z-index:-43802112" type="#_x0000_t202" id="docshape202" filled="false" stroked="false">
          <v:textbox inset="0,0,0,0">
            <w:txbxContent>
              <w:p>
                <w:pPr>
                  <w:spacing w:before="11"/>
                  <w:ind w:left="20" w:right="0" w:firstLine="0"/>
                  <w:jc w:val="left"/>
                  <w:rPr>
                    <w:b/>
                    <w:sz w:val="16"/>
                  </w:rPr>
                </w:pPr>
                <w:r>
                  <w:rPr>
                    <w:b/>
                    <w:w w:val="95"/>
                    <w:sz w:val="16"/>
                  </w:rPr>
                  <w:t>ICC-</w:t>
                </w:r>
                <w:r>
                  <w:rPr>
                    <w:b/>
                    <w:spacing w:val="-2"/>
                    <w:sz w:val="16"/>
                  </w:rPr>
                  <w:t>ASP/21/10</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5.223999pt;margin-top:57.619984pt;width:484.99pt;height:.24pt;mso-position-horizontal-relative:page;mso-position-vertical-relative:page;z-index:-43801600" id="docshape203" filled="true" fillcolor="#000000" stroked="false">
          <v:fill type="solid"/>
          <w10:wrap type="none"/>
        </v:rect>
      </w:pict>
    </w:r>
    <w:r>
      <w:rPr/>
      <w:pict>
        <v:shape style="position:absolute;margin-left:484.950012pt;margin-top:47.882366pt;width:54.7pt;height:10.8pt;mso-position-horizontal-relative:page;mso-position-vertical-relative:page;z-index:-43801088" type="#_x0000_t202" id="docshape204" filled="false" stroked="false">
          <v:textbox inset="0,0,0,0">
            <w:txbxContent>
              <w:p>
                <w:pPr>
                  <w:spacing w:before="11"/>
                  <w:ind w:left="20" w:right="0" w:firstLine="0"/>
                  <w:jc w:val="left"/>
                  <w:rPr>
                    <w:b/>
                    <w:sz w:val="16"/>
                  </w:rPr>
                </w:pPr>
                <w:r>
                  <w:rPr>
                    <w:b/>
                    <w:w w:val="95"/>
                    <w:sz w:val="16"/>
                  </w:rPr>
                  <w:t>ICC-</w:t>
                </w:r>
                <w:r>
                  <w:rPr>
                    <w:b/>
                    <w:spacing w:val="-2"/>
                    <w:sz w:val="16"/>
                  </w:rPr>
                  <w:t>ASP/21/10</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223999pt;margin-top:47.882366pt;width:487pt;height:10.8pt;mso-position-horizontal-relative:page;mso-position-vertical-relative:page;z-index:-43798528" type="#_x0000_t202" id="docshape211" filled="false" stroked="false">
          <v:textbox inset="0,0,0,0">
            <w:txbxContent>
              <w:p>
                <w:pPr>
                  <w:tabs>
                    <w:tab w:pos="9719" w:val="left" w:leader="none"/>
                  </w:tabs>
                  <w:spacing w:before="11"/>
                  <w:ind w:left="20" w:right="0" w:firstLine="0"/>
                  <w:jc w:val="left"/>
                  <w:rPr>
                    <w:b/>
                    <w:sz w:val="16"/>
                  </w:rPr>
                </w:pPr>
                <w:r>
                  <w:rPr>
                    <w:b/>
                    <w:spacing w:val="-3"/>
                    <w:sz w:val="16"/>
                    <w:u w:val="single"/>
                  </w:rPr>
                  <w:t> </w:t>
                </w:r>
                <w:r>
                  <w:rPr>
                    <w:b/>
                    <w:w w:val="95"/>
                    <w:sz w:val="16"/>
                    <w:u w:val="single"/>
                  </w:rPr>
                  <w:t>ICC-</w:t>
                </w:r>
                <w:r>
                  <w:rPr>
                    <w:b/>
                    <w:spacing w:val="-2"/>
                    <w:w w:val="95"/>
                    <w:sz w:val="16"/>
                    <w:u w:val="single"/>
                  </w:rPr>
                  <w:t>ASP/21/10</w:t>
                </w:r>
                <w:r>
                  <w:rPr>
                    <w:b/>
                    <w:sz w:val="16"/>
                    <w:u w:val="single"/>
                  </w:rPr>
                  <w:tab/>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5.223999pt;margin-top:57.619984pt;width:484.99pt;height:.24pt;mso-position-horizontal-relative:page;mso-position-vertical-relative:page;z-index:-43798016" id="docshape212" filled="true" fillcolor="#000000" stroked="false">
          <v:fill type="solid"/>
          <w10:wrap type="none"/>
        </v:rect>
      </w:pict>
    </w:r>
    <w:r>
      <w:rPr/>
      <w:pict>
        <v:shape style="position:absolute;margin-left:484.950012pt;margin-top:47.882366pt;width:54.7pt;height:10.8pt;mso-position-horizontal-relative:page;mso-position-vertical-relative:page;z-index:-43797504" type="#_x0000_t202" id="docshape213" filled="false" stroked="false">
          <v:textbox inset="0,0,0,0">
            <w:txbxContent>
              <w:p>
                <w:pPr>
                  <w:spacing w:before="11"/>
                  <w:ind w:left="20" w:right="0" w:firstLine="0"/>
                  <w:jc w:val="left"/>
                  <w:rPr>
                    <w:b/>
                    <w:sz w:val="16"/>
                  </w:rPr>
                </w:pPr>
                <w:r>
                  <w:rPr>
                    <w:b/>
                    <w:w w:val="95"/>
                    <w:sz w:val="16"/>
                  </w:rPr>
                  <w:t>ICC-</w:t>
                </w:r>
                <w:r>
                  <w:rPr>
                    <w:b/>
                    <w:spacing w:val="-2"/>
                    <w:sz w:val="16"/>
                  </w:rPr>
                  <w:t>ASP/21/10</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64001pt;margin-top:47.882366pt;width:54.65pt;height:10.8pt;mso-position-horizontal-relative:page;mso-position-vertical-relative:page;z-index:-43794944" type="#_x0000_t202" id="docshape218" filled="false" stroked="false">
          <v:textbox inset="0,0,0,0">
            <w:txbxContent>
              <w:p>
                <w:pPr>
                  <w:spacing w:before="11"/>
                  <w:ind w:left="20" w:right="0" w:firstLine="0"/>
                  <w:jc w:val="left"/>
                  <w:rPr>
                    <w:b/>
                    <w:sz w:val="16"/>
                  </w:rPr>
                </w:pPr>
                <w:r>
                  <w:rPr>
                    <w:b/>
                    <w:w w:val="95"/>
                    <w:sz w:val="16"/>
                  </w:rPr>
                  <w:t>ICC-</w:t>
                </w:r>
                <w:r>
                  <w:rPr>
                    <w:b/>
                    <w:spacing w:val="-2"/>
                    <w:sz w:val="16"/>
                  </w:rPr>
                  <w:t>ASP/21/10</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64001pt;margin-top:47.882366pt;width:54.65pt;height:10.8pt;mso-position-horizontal-relative:page;mso-position-vertical-relative:page;z-index:-43840000" type="#_x0000_t202" id="docshape60" filled="false" stroked="false">
          <v:textbox inset="0,0,0,0">
            <w:txbxContent>
              <w:p>
                <w:pPr>
                  <w:spacing w:before="11"/>
                  <w:ind w:left="20" w:right="0" w:firstLine="0"/>
                  <w:jc w:val="left"/>
                  <w:rPr>
                    <w:b/>
                    <w:sz w:val="16"/>
                  </w:rPr>
                </w:pPr>
                <w:r>
                  <w:rPr>
                    <w:b/>
                    <w:w w:val="95"/>
                    <w:sz w:val="16"/>
                  </w:rPr>
                  <w:t>ICC-</w:t>
                </w:r>
                <w:r>
                  <w:rPr>
                    <w:b/>
                    <w:spacing w:val="-2"/>
                    <w:sz w:val="16"/>
                  </w:rPr>
                  <w:t>ASP/21/10</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5.223999pt;margin-top:57.619984pt;width:484.99pt;height:.24pt;mso-position-horizontal-relative:page;mso-position-vertical-relative:page;z-index:-43794432" id="docshape219" filled="true" fillcolor="#000000" stroked="false">
          <v:fill type="solid"/>
          <w10:wrap type="none"/>
        </v:rect>
      </w:pict>
    </w:r>
    <w:r>
      <w:rPr/>
      <w:pict>
        <v:shape style="position:absolute;margin-left:484.950012pt;margin-top:47.882366pt;width:54.7pt;height:10.8pt;mso-position-horizontal-relative:page;mso-position-vertical-relative:page;z-index:-43793920" type="#_x0000_t202" id="docshape220" filled="false" stroked="false">
          <v:textbox inset="0,0,0,0">
            <w:txbxContent>
              <w:p>
                <w:pPr>
                  <w:spacing w:before="11"/>
                  <w:ind w:left="20" w:right="0" w:firstLine="0"/>
                  <w:jc w:val="left"/>
                  <w:rPr>
                    <w:b/>
                    <w:sz w:val="16"/>
                  </w:rPr>
                </w:pPr>
                <w:r>
                  <w:rPr>
                    <w:b/>
                    <w:w w:val="95"/>
                    <w:sz w:val="16"/>
                  </w:rPr>
                  <w:t>ICC-</w:t>
                </w:r>
                <w:r>
                  <w:rPr>
                    <w:b/>
                    <w:spacing w:val="-2"/>
                    <w:sz w:val="16"/>
                  </w:rPr>
                  <w:t>ASP/21/10</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223999pt;margin-top:47.882366pt;width:487pt;height:10.8pt;mso-position-horizontal-relative:page;mso-position-vertical-relative:page;z-index:-43791360" type="#_x0000_t202" id="docshape227" filled="false" stroked="false">
          <v:textbox inset="0,0,0,0">
            <w:txbxContent>
              <w:p>
                <w:pPr>
                  <w:tabs>
                    <w:tab w:pos="9719" w:val="left" w:leader="none"/>
                  </w:tabs>
                  <w:spacing w:before="11"/>
                  <w:ind w:left="20" w:right="0" w:firstLine="0"/>
                  <w:jc w:val="left"/>
                  <w:rPr>
                    <w:b/>
                    <w:sz w:val="16"/>
                  </w:rPr>
                </w:pPr>
                <w:r>
                  <w:rPr>
                    <w:b/>
                    <w:spacing w:val="-3"/>
                    <w:sz w:val="16"/>
                    <w:u w:val="single"/>
                  </w:rPr>
                  <w:t> </w:t>
                </w:r>
                <w:r>
                  <w:rPr>
                    <w:b/>
                    <w:w w:val="95"/>
                    <w:sz w:val="16"/>
                    <w:u w:val="single"/>
                  </w:rPr>
                  <w:t>ICC-</w:t>
                </w:r>
                <w:r>
                  <w:rPr>
                    <w:b/>
                    <w:spacing w:val="-2"/>
                    <w:w w:val="95"/>
                    <w:sz w:val="16"/>
                    <w:u w:val="single"/>
                  </w:rPr>
                  <w:t>ASP/21/10</w:t>
                </w:r>
                <w:r>
                  <w:rPr>
                    <w:b/>
                    <w:sz w:val="16"/>
                    <w:u w:val="single"/>
                  </w:rPr>
                  <w:tab/>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5.223999pt;margin-top:57.619984pt;width:484.99pt;height:.24pt;mso-position-horizontal-relative:page;mso-position-vertical-relative:page;z-index:-43790848" id="docshape228" filled="true" fillcolor="#000000" stroked="false">
          <v:fill type="solid"/>
          <w10:wrap type="none"/>
        </v:rect>
      </w:pict>
    </w:r>
    <w:r>
      <w:rPr/>
      <w:pict>
        <v:shape style="position:absolute;margin-left:484.950012pt;margin-top:47.882366pt;width:54.7pt;height:10.8pt;mso-position-horizontal-relative:page;mso-position-vertical-relative:page;z-index:-43790336" type="#_x0000_t202" id="docshape229" filled="false" stroked="false">
          <v:textbox inset="0,0,0,0">
            <w:txbxContent>
              <w:p>
                <w:pPr>
                  <w:spacing w:before="11"/>
                  <w:ind w:left="20" w:right="0" w:firstLine="0"/>
                  <w:jc w:val="left"/>
                  <w:rPr>
                    <w:b/>
                    <w:sz w:val="16"/>
                  </w:rPr>
                </w:pPr>
                <w:r>
                  <w:rPr>
                    <w:b/>
                    <w:w w:val="95"/>
                    <w:sz w:val="16"/>
                  </w:rPr>
                  <w:t>ICC-</w:t>
                </w:r>
                <w:r>
                  <w:rPr>
                    <w:b/>
                    <w:spacing w:val="-2"/>
                    <w:sz w:val="16"/>
                  </w:rPr>
                  <w:t>ASP/21/10</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64001pt;margin-top:47.882366pt;width:54.65pt;height:10.8pt;mso-position-horizontal-relative:page;mso-position-vertical-relative:page;z-index:-43787776" type="#_x0000_t202" id="docshape234" filled="false" stroked="false">
          <v:textbox inset="0,0,0,0">
            <w:txbxContent>
              <w:p>
                <w:pPr>
                  <w:spacing w:before="11"/>
                  <w:ind w:left="20" w:right="0" w:firstLine="0"/>
                  <w:jc w:val="left"/>
                  <w:rPr>
                    <w:b/>
                    <w:sz w:val="16"/>
                  </w:rPr>
                </w:pPr>
                <w:r>
                  <w:rPr>
                    <w:b/>
                    <w:w w:val="95"/>
                    <w:sz w:val="16"/>
                  </w:rPr>
                  <w:t>ICC-</w:t>
                </w:r>
                <w:r>
                  <w:rPr>
                    <w:b/>
                    <w:spacing w:val="-2"/>
                    <w:sz w:val="16"/>
                  </w:rPr>
                  <w:t>ASP/21/10</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5.223999pt;margin-top:57.619984pt;width:484.99pt;height:.24pt;mso-position-horizontal-relative:page;mso-position-vertical-relative:page;z-index:-43787264" id="docshape235" filled="true" fillcolor="#000000" stroked="false">
          <v:fill type="solid"/>
          <w10:wrap type="none"/>
        </v:rect>
      </w:pict>
    </w:r>
    <w:r>
      <w:rPr/>
      <w:pict>
        <v:shape style="position:absolute;margin-left:484.950012pt;margin-top:47.882366pt;width:54.7pt;height:10.8pt;mso-position-horizontal-relative:page;mso-position-vertical-relative:page;z-index:-43786752" type="#_x0000_t202" id="docshape236" filled="false" stroked="false">
          <v:textbox inset="0,0,0,0">
            <w:txbxContent>
              <w:p>
                <w:pPr>
                  <w:spacing w:before="11"/>
                  <w:ind w:left="20" w:right="0" w:firstLine="0"/>
                  <w:jc w:val="left"/>
                  <w:rPr>
                    <w:b/>
                    <w:sz w:val="16"/>
                  </w:rPr>
                </w:pPr>
                <w:r>
                  <w:rPr>
                    <w:b/>
                    <w:w w:val="95"/>
                    <w:sz w:val="16"/>
                  </w:rPr>
                  <w:t>ICC-</w:t>
                </w:r>
                <w:r>
                  <w:rPr>
                    <w:b/>
                    <w:spacing w:val="-2"/>
                    <w:sz w:val="16"/>
                  </w:rPr>
                  <w:t>ASP/21/10</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223999pt;margin-top:47.882366pt;width:487pt;height:10.8pt;mso-position-horizontal-relative:page;mso-position-vertical-relative:page;z-index:-43784192" type="#_x0000_t202" id="docshape243" filled="false" stroked="false">
          <v:textbox inset="0,0,0,0">
            <w:txbxContent>
              <w:p>
                <w:pPr>
                  <w:tabs>
                    <w:tab w:pos="9719" w:val="left" w:leader="none"/>
                  </w:tabs>
                  <w:spacing w:before="11"/>
                  <w:ind w:left="20" w:right="0" w:firstLine="0"/>
                  <w:jc w:val="left"/>
                  <w:rPr>
                    <w:b/>
                    <w:sz w:val="16"/>
                  </w:rPr>
                </w:pPr>
                <w:r>
                  <w:rPr>
                    <w:b/>
                    <w:spacing w:val="-3"/>
                    <w:sz w:val="16"/>
                    <w:u w:val="single"/>
                  </w:rPr>
                  <w:t> </w:t>
                </w:r>
                <w:r>
                  <w:rPr>
                    <w:b/>
                    <w:w w:val="95"/>
                    <w:sz w:val="16"/>
                    <w:u w:val="single"/>
                  </w:rPr>
                  <w:t>ICC-</w:t>
                </w:r>
                <w:r>
                  <w:rPr>
                    <w:b/>
                    <w:spacing w:val="-2"/>
                    <w:w w:val="95"/>
                    <w:sz w:val="16"/>
                    <w:u w:val="single"/>
                  </w:rPr>
                  <w:t>ASP/21/10</w:t>
                </w:r>
                <w:r>
                  <w:rPr>
                    <w:b/>
                    <w:sz w:val="16"/>
                    <w:u w:val="single"/>
                  </w:rPr>
                  <w:tab/>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5.223999pt;margin-top:57.619984pt;width:484.99pt;height:.24pt;mso-position-horizontal-relative:page;mso-position-vertical-relative:page;z-index:-43783680" id="docshape244" filled="true" fillcolor="#000000" stroked="false">
          <v:fill type="solid"/>
          <w10:wrap type="none"/>
        </v:rect>
      </w:pict>
    </w:r>
    <w:r>
      <w:rPr/>
      <w:pict>
        <v:shape style="position:absolute;margin-left:484.950012pt;margin-top:47.882366pt;width:54.7pt;height:10.8pt;mso-position-horizontal-relative:page;mso-position-vertical-relative:page;z-index:-43783168" type="#_x0000_t202" id="docshape245" filled="false" stroked="false">
          <v:textbox inset="0,0,0,0">
            <w:txbxContent>
              <w:p>
                <w:pPr>
                  <w:spacing w:before="11"/>
                  <w:ind w:left="20" w:right="0" w:firstLine="0"/>
                  <w:jc w:val="left"/>
                  <w:rPr>
                    <w:b/>
                    <w:sz w:val="16"/>
                  </w:rPr>
                </w:pPr>
                <w:r>
                  <w:rPr>
                    <w:b/>
                    <w:w w:val="95"/>
                    <w:sz w:val="16"/>
                  </w:rPr>
                  <w:t>ICC-</w:t>
                </w:r>
                <w:r>
                  <w:rPr>
                    <w:b/>
                    <w:spacing w:val="-2"/>
                    <w:sz w:val="16"/>
                  </w:rPr>
                  <w:t>ASP/21/10</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64001pt;margin-top:47.882366pt;width:54.65pt;height:10.8pt;mso-position-horizontal-relative:page;mso-position-vertical-relative:page;z-index:-43780608" type="#_x0000_t202" id="docshape255" filled="false" stroked="false">
          <v:textbox inset="0,0,0,0">
            <w:txbxContent>
              <w:p>
                <w:pPr>
                  <w:spacing w:before="11"/>
                  <w:ind w:left="20" w:right="0" w:firstLine="0"/>
                  <w:jc w:val="left"/>
                  <w:rPr>
                    <w:b/>
                    <w:sz w:val="16"/>
                  </w:rPr>
                </w:pPr>
                <w:r>
                  <w:rPr>
                    <w:b/>
                    <w:w w:val="95"/>
                    <w:sz w:val="16"/>
                  </w:rPr>
                  <w:t>ICC-</w:t>
                </w:r>
                <w:r>
                  <w:rPr>
                    <w:b/>
                    <w:spacing w:val="-2"/>
                    <w:sz w:val="16"/>
                  </w:rPr>
                  <w:t>ASP/21/10</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5.223999pt;margin-top:57.619984pt;width:484.99pt;height:.24pt;mso-position-horizontal-relative:page;mso-position-vertical-relative:page;z-index:-43780096" id="docshape256" filled="true" fillcolor="#000000" stroked="false">
          <v:fill type="solid"/>
          <w10:wrap type="none"/>
        </v:rect>
      </w:pict>
    </w:r>
    <w:r>
      <w:rPr/>
      <w:pict>
        <v:shape style="position:absolute;margin-left:484.950012pt;margin-top:47.882366pt;width:54.7pt;height:10.8pt;mso-position-horizontal-relative:page;mso-position-vertical-relative:page;z-index:-43779584" type="#_x0000_t202" id="docshape257" filled="false" stroked="false">
          <v:textbox inset="0,0,0,0">
            <w:txbxContent>
              <w:p>
                <w:pPr>
                  <w:spacing w:before="11"/>
                  <w:ind w:left="20" w:right="0" w:firstLine="0"/>
                  <w:jc w:val="left"/>
                  <w:rPr>
                    <w:b/>
                    <w:sz w:val="16"/>
                  </w:rPr>
                </w:pPr>
                <w:r>
                  <w:rPr>
                    <w:b/>
                    <w:w w:val="95"/>
                    <w:sz w:val="16"/>
                  </w:rPr>
                  <w:t>ICC-</w:t>
                </w:r>
                <w:r>
                  <w:rPr>
                    <w:b/>
                    <w:spacing w:val="-2"/>
                    <w:sz w:val="16"/>
                  </w:rPr>
                  <w:t>ASP/21/10</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223999pt;margin-top:47.882366pt;width:487pt;height:10.8pt;mso-position-horizontal-relative:page;mso-position-vertical-relative:page;z-index:-43777024" type="#_x0000_t202" id="docshape275" filled="false" stroked="false">
          <v:textbox inset="0,0,0,0">
            <w:txbxContent>
              <w:p>
                <w:pPr>
                  <w:tabs>
                    <w:tab w:pos="9719" w:val="left" w:leader="none"/>
                  </w:tabs>
                  <w:spacing w:before="11"/>
                  <w:ind w:left="20" w:right="0" w:firstLine="0"/>
                  <w:jc w:val="left"/>
                  <w:rPr>
                    <w:b/>
                    <w:sz w:val="16"/>
                  </w:rPr>
                </w:pPr>
                <w:r>
                  <w:rPr>
                    <w:b/>
                    <w:spacing w:val="-3"/>
                    <w:sz w:val="16"/>
                    <w:u w:val="single"/>
                  </w:rPr>
                  <w:t> </w:t>
                </w:r>
                <w:r>
                  <w:rPr>
                    <w:b/>
                    <w:w w:val="95"/>
                    <w:sz w:val="16"/>
                    <w:u w:val="single"/>
                  </w:rPr>
                  <w:t>ICC-</w:t>
                </w:r>
                <w:r>
                  <w:rPr>
                    <w:b/>
                    <w:spacing w:val="-2"/>
                    <w:w w:val="95"/>
                    <w:sz w:val="16"/>
                    <w:u w:val="single"/>
                  </w:rPr>
                  <w:t>ASP/21/10</w:t>
                </w:r>
                <w:r>
                  <w:rPr>
                    <w:b/>
                    <w:sz w:val="16"/>
                    <w:u w:val="single"/>
                  </w:rPr>
                  <w:tab/>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5.223999pt;margin-top:57.619984pt;width:484.99pt;height:.24pt;mso-position-horizontal-relative:page;mso-position-vertical-relative:page;z-index:-43839488" id="docshape61" filled="true" fillcolor="#000000" stroked="false">
          <v:fill type="solid"/>
          <w10:wrap type="none"/>
        </v:rect>
      </w:pict>
    </w:r>
    <w:r>
      <w:rPr/>
      <w:pict>
        <v:shape style="position:absolute;margin-left:484.950012pt;margin-top:47.882366pt;width:54.7pt;height:10.8pt;mso-position-horizontal-relative:page;mso-position-vertical-relative:page;z-index:-43838976" type="#_x0000_t202" id="docshape62" filled="false" stroked="false">
          <v:textbox inset="0,0,0,0">
            <w:txbxContent>
              <w:p>
                <w:pPr>
                  <w:spacing w:before="11"/>
                  <w:ind w:left="20" w:right="0" w:firstLine="0"/>
                  <w:jc w:val="left"/>
                  <w:rPr>
                    <w:b/>
                    <w:sz w:val="16"/>
                  </w:rPr>
                </w:pPr>
                <w:r>
                  <w:rPr>
                    <w:b/>
                    <w:w w:val="95"/>
                    <w:sz w:val="16"/>
                  </w:rPr>
                  <w:t>ICC-</w:t>
                </w:r>
                <w:r>
                  <w:rPr>
                    <w:b/>
                    <w:spacing w:val="-2"/>
                    <w:sz w:val="16"/>
                  </w:rPr>
                  <w:t>ASP/21/10</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5.223999pt;margin-top:57.619984pt;width:484.99pt;height:.24pt;mso-position-horizontal-relative:page;mso-position-vertical-relative:page;z-index:-43776512" id="docshape276" filled="true" fillcolor="#000000" stroked="false">
          <v:fill type="solid"/>
          <w10:wrap type="none"/>
        </v:rect>
      </w:pict>
    </w:r>
    <w:r>
      <w:rPr/>
      <w:pict>
        <v:shape style="position:absolute;margin-left:484.950012pt;margin-top:47.882366pt;width:54.7pt;height:10.8pt;mso-position-horizontal-relative:page;mso-position-vertical-relative:page;z-index:-43776000" type="#_x0000_t202" id="docshape277" filled="false" stroked="false">
          <v:textbox inset="0,0,0,0">
            <w:txbxContent>
              <w:p>
                <w:pPr>
                  <w:spacing w:before="11"/>
                  <w:ind w:left="20" w:right="0" w:firstLine="0"/>
                  <w:jc w:val="left"/>
                  <w:rPr>
                    <w:b/>
                    <w:sz w:val="16"/>
                  </w:rPr>
                </w:pPr>
                <w:r>
                  <w:rPr>
                    <w:b/>
                    <w:w w:val="95"/>
                    <w:sz w:val="16"/>
                  </w:rPr>
                  <w:t>ICC-</w:t>
                </w:r>
                <w:r>
                  <w:rPr>
                    <w:b/>
                    <w:spacing w:val="-2"/>
                    <w:sz w:val="16"/>
                  </w:rPr>
                  <w:t>ASP/21/10</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5.223999pt;margin-top:57.619984pt;width:484.99pt;height:.24pt;mso-position-horizontal-relative:page;mso-position-vertical-relative:page;z-index:-43773440" id="docshape285" filled="true" fillcolor="#000000" stroked="false">
          <v:fill type="solid"/>
          <w10:wrap type="none"/>
        </v:rect>
      </w:pict>
    </w:r>
    <w:r>
      <w:rPr/>
      <w:pict>
        <v:shape style="position:absolute;margin-left:55.664001pt;margin-top:47.882366pt;width:54.65pt;height:10.8pt;mso-position-horizontal-relative:page;mso-position-vertical-relative:page;z-index:-43772928" type="#_x0000_t202" id="docshape286" filled="false" stroked="false">
          <v:textbox inset="0,0,0,0">
            <w:txbxContent>
              <w:p>
                <w:pPr>
                  <w:spacing w:before="11"/>
                  <w:ind w:left="20" w:right="0" w:firstLine="0"/>
                  <w:jc w:val="left"/>
                  <w:rPr>
                    <w:b/>
                    <w:sz w:val="16"/>
                  </w:rPr>
                </w:pPr>
                <w:r>
                  <w:rPr>
                    <w:b/>
                    <w:w w:val="95"/>
                    <w:sz w:val="16"/>
                  </w:rPr>
                  <w:t>ICC-</w:t>
                </w:r>
                <w:r>
                  <w:rPr>
                    <w:b/>
                    <w:spacing w:val="-2"/>
                    <w:sz w:val="16"/>
                  </w:rPr>
                  <w:t>ASP/21/10</w:t>
                </w:r>
              </w:p>
            </w:txbxContent>
          </v:textbox>
          <w10:wrap type="none"/>
        </v:shape>
      </w:pict>
    </w:r>
    <w:r>
      <w:rPr/>
      <w:pict>
        <v:shape style="position:absolute;margin-left:112.330002pt;margin-top:63.23756pt;width:254.75pt;height:13.2pt;mso-position-horizontal-relative:page;mso-position-vertical-relative:page;z-index:-43772416" type="#_x0000_t202" id="docshape287" filled="false" stroked="false">
          <v:textbox inset="0,0,0,0">
            <w:txbxContent>
              <w:p>
                <w:pPr>
                  <w:spacing w:before="13"/>
                  <w:ind w:left="20" w:right="0" w:firstLine="0"/>
                  <w:jc w:val="left"/>
                  <w:rPr>
                    <w:b/>
                    <w:sz w:val="20"/>
                  </w:rPr>
                </w:pPr>
                <w:r>
                  <w:rPr>
                    <w:b/>
                    <w:sz w:val="20"/>
                  </w:rPr>
                  <w:t>Table</w:t>
                </w:r>
                <w:r>
                  <w:rPr>
                    <w:b/>
                    <w:spacing w:val="-5"/>
                    <w:sz w:val="20"/>
                  </w:rPr>
                  <w:t> </w:t>
                </w:r>
                <w:r>
                  <w:rPr>
                    <w:b/>
                    <w:sz w:val="20"/>
                  </w:rPr>
                  <w:t>32:</w:t>
                </w:r>
                <w:r>
                  <w:rPr>
                    <w:b/>
                    <w:spacing w:val="-7"/>
                    <w:sz w:val="20"/>
                  </w:rPr>
                  <w:t> </w:t>
                </w:r>
                <w:r>
                  <w:rPr>
                    <w:b/>
                    <w:sz w:val="20"/>
                  </w:rPr>
                  <w:t>Major</w:t>
                </w:r>
                <w:r>
                  <w:rPr>
                    <w:b/>
                    <w:spacing w:val="-9"/>
                    <w:sz w:val="20"/>
                  </w:rPr>
                  <w:t> </w:t>
                </w:r>
                <w:r>
                  <w:rPr>
                    <w:b/>
                    <w:sz w:val="20"/>
                  </w:rPr>
                  <w:t>Programme</w:t>
                </w:r>
                <w:r>
                  <w:rPr>
                    <w:b/>
                    <w:spacing w:val="-5"/>
                    <w:sz w:val="20"/>
                  </w:rPr>
                  <w:t> </w:t>
                </w:r>
                <w:r>
                  <w:rPr>
                    <w:b/>
                    <w:sz w:val="20"/>
                  </w:rPr>
                  <w:t>IV:</w:t>
                </w:r>
                <w:r>
                  <w:rPr>
                    <w:b/>
                    <w:spacing w:val="-7"/>
                    <w:sz w:val="20"/>
                  </w:rPr>
                  <w:t> </w:t>
                </w:r>
                <w:r>
                  <w:rPr>
                    <w:b/>
                    <w:sz w:val="20"/>
                  </w:rPr>
                  <w:t>Proposed</w:t>
                </w:r>
                <w:r>
                  <w:rPr>
                    <w:b/>
                    <w:spacing w:val="-3"/>
                    <w:sz w:val="20"/>
                  </w:rPr>
                  <w:t> </w:t>
                </w:r>
                <w:r>
                  <w:rPr>
                    <w:b/>
                    <w:sz w:val="20"/>
                  </w:rPr>
                  <w:t>budget</w:t>
                </w:r>
                <w:r>
                  <w:rPr>
                    <w:b/>
                    <w:spacing w:val="-7"/>
                    <w:sz w:val="20"/>
                  </w:rPr>
                  <w:t> </w:t>
                </w:r>
                <w:r>
                  <w:rPr>
                    <w:b/>
                    <w:sz w:val="20"/>
                  </w:rPr>
                  <w:t>for</w:t>
                </w:r>
                <w:r>
                  <w:rPr>
                    <w:b/>
                    <w:spacing w:val="-4"/>
                    <w:sz w:val="20"/>
                  </w:rPr>
                  <w:t> 2023</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5.223999pt;margin-top:57.619984pt;width:484.99pt;height:.24pt;mso-position-horizontal-relative:page;mso-position-vertical-relative:page;z-index:-43771904" id="docshape288" filled="true" fillcolor="#000000" stroked="false">
          <v:fill type="solid"/>
          <w10:wrap type="none"/>
        </v:rect>
      </w:pict>
    </w:r>
    <w:r>
      <w:rPr/>
      <w:pict>
        <v:shape style="position:absolute;margin-left:484.950012pt;margin-top:47.882366pt;width:54.7pt;height:10.8pt;mso-position-horizontal-relative:page;mso-position-vertical-relative:page;z-index:-43771392" type="#_x0000_t202" id="docshape289" filled="false" stroked="false">
          <v:textbox inset="0,0,0,0">
            <w:txbxContent>
              <w:p>
                <w:pPr>
                  <w:spacing w:before="11"/>
                  <w:ind w:left="20" w:right="0" w:firstLine="0"/>
                  <w:jc w:val="left"/>
                  <w:rPr>
                    <w:b/>
                    <w:sz w:val="16"/>
                  </w:rPr>
                </w:pPr>
                <w:r>
                  <w:rPr>
                    <w:b/>
                    <w:w w:val="95"/>
                    <w:sz w:val="16"/>
                  </w:rPr>
                  <w:t>ICC-</w:t>
                </w:r>
                <w:r>
                  <w:rPr>
                    <w:b/>
                    <w:spacing w:val="-2"/>
                    <w:sz w:val="16"/>
                  </w:rPr>
                  <w:t>ASP/21/10</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5.223999pt;margin-top:57.619984pt;width:484.99pt;height:.24pt;mso-position-horizontal-relative:page;mso-position-vertical-relative:page;z-index:-43768832" id="docshape294" filled="true" fillcolor="#000000" stroked="false">
          <v:fill type="solid"/>
          <w10:wrap type="none"/>
        </v:rect>
      </w:pict>
    </w:r>
    <w:r>
      <w:rPr/>
      <w:pict>
        <v:shape style="position:absolute;margin-left:55.664001pt;margin-top:47.882366pt;width:54.65pt;height:10.8pt;mso-position-horizontal-relative:page;mso-position-vertical-relative:page;z-index:-43768320" type="#_x0000_t202" id="docshape295" filled="false" stroked="false">
          <v:textbox inset="0,0,0,0">
            <w:txbxContent>
              <w:p>
                <w:pPr>
                  <w:spacing w:before="11"/>
                  <w:ind w:left="20" w:right="0" w:firstLine="0"/>
                  <w:jc w:val="left"/>
                  <w:rPr>
                    <w:b/>
                    <w:sz w:val="16"/>
                  </w:rPr>
                </w:pPr>
                <w:r>
                  <w:rPr>
                    <w:b/>
                    <w:w w:val="95"/>
                    <w:sz w:val="16"/>
                  </w:rPr>
                  <w:t>ICC-</w:t>
                </w:r>
                <w:r>
                  <w:rPr>
                    <w:b/>
                    <w:spacing w:val="-2"/>
                    <w:sz w:val="16"/>
                  </w:rPr>
                  <w:t>ASP/21/10</w:t>
                </w:r>
              </w:p>
            </w:txbxContent>
          </v:textbox>
          <w10:wrap type="none"/>
        </v:shape>
      </w:pict>
    </w:r>
    <w:r>
      <w:rPr/>
      <w:pict>
        <v:shape style="position:absolute;margin-left:112.330002pt;margin-top:63.23756pt;width:234.15pt;height:13.2pt;mso-position-horizontal-relative:page;mso-position-vertical-relative:page;z-index:-43767808" type="#_x0000_t202" id="docshape296" filled="false" stroked="false">
          <v:textbox inset="0,0,0,0">
            <w:txbxContent>
              <w:p>
                <w:pPr>
                  <w:spacing w:before="13"/>
                  <w:ind w:left="20" w:right="0" w:firstLine="0"/>
                  <w:jc w:val="left"/>
                  <w:rPr>
                    <w:b/>
                    <w:sz w:val="20"/>
                  </w:rPr>
                </w:pPr>
                <w:r>
                  <w:rPr>
                    <w:b/>
                    <w:sz w:val="20"/>
                  </w:rPr>
                  <w:t>Table</w:t>
                </w:r>
                <w:r>
                  <w:rPr>
                    <w:b/>
                    <w:spacing w:val="-6"/>
                    <w:sz w:val="20"/>
                  </w:rPr>
                  <w:t> </w:t>
                </w:r>
                <w:r>
                  <w:rPr>
                    <w:b/>
                    <w:sz w:val="20"/>
                  </w:rPr>
                  <w:t>36:</w:t>
                </w:r>
                <w:r>
                  <w:rPr>
                    <w:b/>
                    <w:spacing w:val="-7"/>
                    <w:sz w:val="20"/>
                  </w:rPr>
                  <w:t> </w:t>
                </w:r>
                <w:r>
                  <w:rPr>
                    <w:b/>
                    <w:sz w:val="20"/>
                  </w:rPr>
                  <w:t>Programme</w:t>
                </w:r>
                <w:r>
                  <w:rPr>
                    <w:b/>
                    <w:spacing w:val="-3"/>
                    <w:sz w:val="20"/>
                  </w:rPr>
                  <w:t> </w:t>
                </w:r>
                <w:r>
                  <w:rPr>
                    <w:b/>
                    <w:sz w:val="20"/>
                  </w:rPr>
                  <w:t>4200:</w:t>
                </w:r>
                <w:r>
                  <w:rPr>
                    <w:b/>
                    <w:spacing w:val="-7"/>
                    <w:sz w:val="20"/>
                  </w:rPr>
                  <w:t> </w:t>
                </w:r>
                <w:r>
                  <w:rPr>
                    <w:b/>
                    <w:sz w:val="20"/>
                  </w:rPr>
                  <w:t>Proposed</w:t>
                </w:r>
                <w:r>
                  <w:rPr>
                    <w:b/>
                    <w:spacing w:val="-7"/>
                    <w:sz w:val="20"/>
                  </w:rPr>
                  <w:t> </w:t>
                </w:r>
                <w:r>
                  <w:rPr>
                    <w:b/>
                    <w:sz w:val="20"/>
                  </w:rPr>
                  <w:t>budget</w:t>
                </w:r>
                <w:r>
                  <w:rPr>
                    <w:b/>
                    <w:spacing w:val="-6"/>
                    <w:sz w:val="20"/>
                  </w:rPr>
                  <w:t> </w:t>
                </w:r>
                <w:r>
                  <w:rPr>
                    <w:b/>
                    <w:sz w:val="20"/>
                  </w:rPr>
                  <w:t>for </w:t>
                </w:r>
                <w:r>
                  <w:rPr>
                    <w:b/>
                    <w:spacing w:val="-4"/>
                    <w:sz w:val="20"/>
                  </w:rPr>
                  <w:t>2023</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5.223999pt;margin-top:57.619984pt;width:484.99pt;height:.24pt;mso-position-horizontal-relative:page;mso-position-vertical-relative:page;z-index:-43767296" id="docshape297" filled="true" fillcolor="#000000" stroked="false">
          <v:fill type="solid"/>
          <w10:wrap type="none"/>
        </v:rect>
      </w:pict>
    </w:r>
    <w:r>
      <w:rPr/>
      <w:pict>
        <v:shape style="position:absolute;margin-left:484.950012pt;margin-top:47.882366pt;width:54.7pt;height:10.8pt;mso-position-horizontal-relative:page;mso-position-vertical-relative:page;z-index:-43766784" type="#_x0000_t202" id="docshape298" filled="false" stroked="false">
          <v:textbox inset="0,0,0,0">
            <w:txbxContent>
              <w:p>
                <w:pPr>
                  <w:spacing w:before="11"/>
                  <w:ind w:left="20" w:right="0" w:firstLine="0"/>
                  <w:jc w:val="left"/>
                  <w:rPr>
                    <w:b/>
                    <w:sz w:val="16"/>
                  </w:rPr>
                </w:pPr>
                <w:r>
                  <w:rPr>
                    <w:b/>
                    <w:w w:val="95"/>
                    <w:sz w:val="16"/>
                  </w:rPr>
                  <w:t>ICC-</w:t>
                </w:r>
                <w:r>
                  <w:rPr>
                    <w:b/>
                    <w:spacing w:val="-2"/>
                    <w:sz w:val="16"/>
                  </w:rPr>
                  <w:t>ASP/21/10</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5.223999pt;margin-top:57.619984pt;width:484.99pt;height:.24pt;mso-position-horizontal-relative:page;mso-position-vertical-relative:page;z-index:-43764224" id="docshape303" filled="true" fillcolor="#000000" stroked="false">
          <v:fill type="solid"/>
          <w10:wrap type="none"/>
        </v:rect>
      </w:pict>
    </w:r>
    <w:r>
      <w:rPr/>
      <w:pict>
        <v:shape style="position:absolute;margin-left:55.664001pt;margin-top:47.882366pt;width:54.65pt;height:10.8pt;mso-position-horizontal-relative:page;mso-position-vertical-relative:page;z-index:-43763712" type="#_x0000_t202" id="docshape304" filled="false" stroked="false">
          <v:textbox inset="0,0,0,0">
            <w:txbxContent>
              <w:p>
                <w:pPr>
                  <w:spacing w:before="11"/>
                  <w:ind w:left="20" w:right="0" w:firstLine="0"/>
                  <w:jc w:val="left"/>
                  <w:rPr>
                    <w:b/>
                    <w:sz w:val="16"/>
                  </w:rPr>
                </w:pPr>
                <w:r>
                  <w:rPr>
                    <w:b/>
                    <w:w w:val="95"/>
                    <w:sz w:val="16"/>
                  </w:rPr>
                  <w:t>ICC-</w:t>
                </w:r>
                <w:r>
                  <w:rPr>
                    <w:b/>
                    <w:spacing w:val="-2"/>
                    <w:sz w:val="16"/>
                  </w:rPr>
                  <w:t>ASP/21/10</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5.223999pt;margin-top:57.619984pt;width:484.99pt;height:.24pt;mso-position-horizontal-relative:page;mso-position-vertical-relative:page;z-index:-43763200" id="docshape305" filled="true" fillcolor="#000000" stroked="false">
          <v:fill type="solid"/>
          <w10:wrap type="none"/>
        </v:rect>
      </w:pict>
    </w:r>
    <w:r>
      <w:rPr/>
      <w:pict>
        <v:shape style="position:absolute;margin-left:484.950012pt;margin-top:47.882366pt;width:54.7pt;height:10.8pt;mso-position-horizontal-relative:page;mso-position-vertical-relative:page;z-index:-43762688" type="#_x0000_t202" id="docshape306" filled="false" stroked="false">
          <v:textbox inset="0,0,0,0">
            <w:txbxContent>
              <w:p>
                <w:pPr>
                  <w:spacing w:before="11"/>
                  <w:ind w:left="20" w:right="0" w:firstLine="0"/>
                  <w:jc w:val="left"/>
                  <w:rPr>
                    <w:b/>
                    <w:sz w:val="16"/>
                  </w:rPr>
                </w:pPr>
                <w:r>
                  <w:rPr>
                    <w:b/>
                    <w:w w:val="95"/>
                    <w:sz w:val="16"/>
                  </w:rPr>
                  <w:t>ICC-</w:t>
                </w:r>
                <w:r>
                  <w:rPr>
                    <w:b/>
                    <w:spacing w:val="-2"/>
                    <w:sz w:val="16"/>
                  </w:rPr>
                  <w:t>ASP/21/10</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223999pt;margin-top:47.882366pt;width:487pt;height:10.8pt;mso-position-horizontal-relative:page;mso-position-vertical-relative:page;z-index:-43760128" type="#_x0000_t202" id="docshape317" filled="false" stroked="false">
          <v:textbox inset="0,0,0,0">
            <w:txbxContent>
              <w:p>
                <w:pPr>
                  <w:tabs>
                    <w:tab w:pos="9719" w:val="left" w:leader="none"/>
                  </w:tabs>
                  <w:spacing w:before="11"/>
                  <w:ind w:left="20" w:right="0" w:firstLine="0"/>
                  <w:jc w:val="left"/>
                  <w:rPr>
                    <w:b/>
                    <w:sz w:val="16"/>
                  </w:rPr>
                </w:pPr>
                <w:r>
                  <w:rPr>
                    <w:b/>
                    <w:spacing w:val="-3"/>
                    <w:sz w:val="16"/>
                    <w:u w:val="single"/>
                  </w:rPr>
                  <w:t> </w:t>
                </w:r>
                <w:r>
                  <w:rPr>
                    <w:b/>
                    <w:w w:val="95"/>
                    <w:sz w:val="16"/>
                    <w:u w:val="single"/>
                  </w:rPr>
                  <w:t>ICC-</w:t>
                </w:r>
                <w:r>
                  <w:rPr>
                    <w:b/>
                    <w:spacing w:val="-2"/>
                    <w:w w:val="95"/>
                    <w:sz w:val="16"/>
                    <w:u w:val="single"/>
                  </w:rPr>
                  <w:t>ASP/21/10</w:t>
                </w:r>
                <w:r>
                  <w:rPr>
                    <w:b/>
                    <w:sz w:val="16"/>
                    <w:u w:val="single"/>
                  </w:rPr>
                  <w:tab/>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5.223999pt;margin-top:57.619984pt;width:484.99pt;height:.24pt;mso-position-horizontal-relative:page;mso-position-vertical-relative:page;z-index:-43759616" id="docshape318" filled="true" fillcolor="#000000" stroked="false">
          <v:fill type="solid"/>
          <w10:wrap type="none"/>
        </v:rect>
      </w:pict>
    </w:r>
    <w:r>
      <w:rPr/>
      <w:pict>
        <v:shape style="position:absolute;margin-left:484.950012pt;margin-top:47.882366pt;width:54.7pt;height:10.8pt;mso-position-horizontal-relative:page;mso-position-vertical-relative:page;z-index:-43759104" type="#_x0000_t202" id="docshape319" filled="false" stroked="false">
          <v:textbox inset="0,0,0,0">
            <w:txbxContent>
              <w:p>
                <w:pPr>
                  <w:spacing w:before="11"/>
                  <w:ind w:left="20" w:right="0" w:firstLine="0"/>
                  <w:jc w:val="left"/>
                  <w:rPr>
                    <w:b/>
                    <w:sz w:val="16"/>
                  </w:rPr>
                </w:pPr>
                <w:r>
                  <w:rPr>
                    <w:b/>
                    <w:w w:val="95"/>
                    <w:sz w:val="16"/>
                  </w:rPr>
                  <w:t>ICC-</w:t>
                </w:r>
                <w:r>
                  <w:rPr>
                    <w:b/>
                    <w:spacing w:val="-2"/>
                    <w:sz w:val="16"/>
                  </w:rPr>
                  <w:t>ASP/21/10</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64001pt;margin-top:47.882366pt;width:54.65pt;height:10.8pt;mso-position-horizontal-relative:page;mso-position-vertical-relative:page;z-index:-43756544" type="#_x0000_t202" id="docshape331" filled="false" stroked="false">
          <v:textbox inset="0,0,0,0">
            <w:txbxContent>
              <w:p>
                <w:pPr>
                  <w:spacing w:before="11"/>
                  <w:ind w:left="20" w:right="0" w:firstLine="0"/>
                  <w:jc w:val="left"/>
                  <w:rPr>
                    <w:b/>
                    <w:sz w:val="16"/>
                  </w:rPr>
                </w:pPr>
                <w:r>
                  <w:rPr>
                    <w:b/>
                    <w:w w:val="95"/>
                    <w:sz w:val="16"/>
                  </w:rPr>
                  <w:t>ICC-</w:t>
                </w:r>
                <w:r>
                  <w:rPr>
                    <w:b/>
                    <w:spacing w:val="-2"/>
                    <w:sz w:val="16"/>
                  </w:rPr>
                  <w:t>ASP/21/10</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223999pt;margin-top:47.882366pt;width:487pt;height:10.8pt;mso-position-horizontal-relative:page;mso-position-vertical-relative:page;z-index:-43836416" type="#_x0000_t202" id="docshape70" filled="false" stroked="false">
          <v:textbox inset="0,0,0,0">
            <w:txbxContent>
              <w:p>
                <w:pPr>
                  <w:tabs>
                    <w:tab w:pos="9719" w:val="left" w:leader="none"/>
                  </w:tabs>
                  <w:spacing w:before="11"/>
                  <w:ind w:left="20" w:right="0" w:firstLine="0"/>
                  <w:jc w:val="left"/>
                  <w:rPr>
                    <w:b/>
                    <w:sz w:val="16"/>
                  </w:rPr>
                </w:pPr>
                <w:r>
                  <w:rPr>
                    <w:b/>
                    <w:spacing w:val="-3"/>
                    <w:sz w:val="16"/>
                    <w:u w:val="single"/>
                  </w:rPr>
                  <w:t> </w:t>
                </w:r>
                <w:r>
                  <w:rPr>
                    <w:b/>
                    <w:w w:val="95"/>
                    <w:sz w:val="16"/>
                    <w:u w:val="single"/>
                  </w:rPr>
                  <w:t>ICC-</w:t>
                </w:r>
                <w:r>
                  <w:rPr>
                    <w:b/>
                    <w:spacing w:val="-2"/>
                    <w:w w:val="95"/>
                    <w:sz w:val="16"/>
                    <w:u w:val="single"/>
                  </w:rPr>
                  <w:t>ASP/21/10</w:t>
                </w:r>
                <w:r>
                  <w:rPr>
                    <w:b/>
                    <w:sz w:val="16"/>
                    <w:u w:val="single"/>
                  </w:rPr>
                  <w:tab/>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5.223999pt;margin-top:57.619984pt;width:484.99pt;height:.24pt;mso-position-horizontal-relative:page;mso-position-vertical-relative:page;z-index:-43756032" id="docshape332" filled="true" fillcolor="#000000" stroked="false">
          <v:fill type="solid"/>
          <w10:wrap type="none"/>
        </v:rect>
      </w:pict>
    </w:r>
    <w:r>
      <w:rPr/>
      <w:pict>
        <v:shape style="position:absolute;margin-left:484.950012pt;margin-top:47.882366pt;width:54.7pt;height:10.8pt;mso-position-horizontal-relative:page;mso-position-vertical-relative:page;z-index:-43755520" type="#_x0000_t202" id="docshape333" filled="false" stroked="false">
          <v:textbox inset="0,0,0,0">
            <w:txbxContent>
              <w:p>
                <w:pPr>
                  <w:spacing w:before="11"/>
                  <w:ind w:left="20" w:right="0" w:firstLine="0"/>
                  <w:jc w:val="left"/>
                  <w:rPr>
                    <w:b/>
                    <w:sz w:val="16"/>
                  </w:rPr>
                </w:pPr>
                <w:r>
                  <w:rPr>
                    <w:b/>
                    <w:w w:val="95"/>
                    <w:sz w:val="16"/>
                  </w:rPr>
                  <w:t>ICC-</w:t>
                </w:r>
                <w:r>
                  <w:rPr>
                    <w:b/>
                    <w:spacing w:val="-2"/>
                    <w:sz w:val="16"/>
                  </w:rPr>
                  <w:t>ASP/21/10</w:t>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223999pt;margin-top:47.882366pt;width:487pt;height:10.8pt;mso-position-horizontal-relative:page;mso-position-vertical-relative:page;z-index:-43752960" type="#_x0000_t202" id="docshape341" filled="false" stroked="false">
          <v:textbox inset="0,0,0,0">
            <w:txbxContent>
              <w:p>
                <w:pPr>
                  <w:tabs>
                    <w:tab w:pos="9719" w:val="left" w:leader="none"/>
                  </w:tabs>
                  <w:spacing w:before="11"/>
                  <w:ind w:left="20" w:right="0" w:firstLine="0"/>
                  <w:jc w:val="left"/>
                  <w:rPr>
                    <w:b/>
                    <w:sz w:val="16"/>
                  </w:rPr>
                </w:pPr>
                <w:r>
                  <w:rPr>
                    <w:b/>
                    <w:spacing w:val="-3"/>
                    <w:sz w:val="16"/>
                    <w:u w:val="single"/>
                  </w:rPr>
                  <w:t> </w:t>
                </w:r>
                <w:r>
                  <w:rPr>
                    <w:b/>
                    <w:w w:val="95"/>
                    <w:sz w:val="16"/>
                    <w:u w:val="single"/>
                  </w:rPr>
                  <w:t>ICC-</w:t>
                </w:r>
                <w:r>
                  <w:rPr>
                    <w:b/>
                    <w:spacing w:val="-2"/>
                    <w:w w:val="95"/>
                    <w:sz w:val="16"/>
                    <w:u w:val="single"/>
                  </w:rPr>
                  <w:t>ASP/21/10</w:t>
                </w:r>
                <w:r>
                  <w:rPr>
                    <w:b/>
                    <w:sz w:val="16"/>
                    <w:u w:val="single"/>
                  </w:rPr>
                  <w:tab/>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5.223999pt;margin-top:57.619984pt;width:484.99pt;height:.24pt;mso-position-horizontal-relative:page;mso-position-vertical-relative:page;z-index:-43752448" id="docshape342" filled="true" fillcolor="#000000" stroked="false">
          <v:fill type="solid"/>
          <w10:wrap type="none"/>
        </v:rect>
      </w:pict>
    </w:r>
    <w:r>
      <w:rPr/>
      <w:pict>
        <v:shape style="position:absolute;margin-left:484.950012pt;margin-top:47.882366pt;width:54.7pt;height:10.8pt;mso-position-horizontal-relative:page;mso-position-vertical-relative:page;z-index:-43751936" type="#_x0000_t202" id="docshape343" filled="false" stroked="false">
          <v:textbox inset="0,0,0,0">
            <w:txbxContent>
              <w:p>
                <w:pPr>
                  <w:spacing w:before="11"/>
                  <w:ind w:left="20" w:right="0" w:firstLine="0"/>
                  <w:jc w:val="left"/>
                  <w:rPr>
                    <w:b/>
                    <w:sz w:val="16"/>
                  </w:rPr>
                </w:pPr>
                <w:r>
                  <w:rPr>
                    <w:b/>
                    <w:w w:val="95"/>
                    <w:sz w:val="16"/>
                  </w:rPr>
                  <w:t>ICC-</w:t>
                </w:r>
                <w:r>
                  <w:rPr>
                    <w:b/>
                    <w:spacing w:val="-2"/>
                    <w:sz w:val="16"/>
                  </w:rPr>
                  <w:t>ASP/21/10</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4.950012pt;margin-top:47.882366pt;width:54.7pt;height:10.8pt;mso-position-horizontal-relative:page;mso-position-vertical-relative:page;z-index:-43749376" type="#_x0000_t202" id="docshape389" filled="false" stroked="false">
          <v:textbox inset="0,0,0,0">
            <w:txbxContent>
              <w:p>
                <w:pPr>
                  <w:spacing w:before="11"/>
                  <w:ind w:left="20" w:right="0" w:firstLine="0"/>
                  <w:jc w:val="left"/>
                  <w:rPr>
                    <w:b/>
                    <w:sz w:val="16"/>
                  </w:rPr>
                </w:pPr>
                <w:r>
                  <w:rPr>
                    <w:b/>
                    <w:w w:val="95"/>
                    <w:sz w:val="16"/>
                  </w:rPr>
                  <w:t>ICC-</w:t>
                </w:r>
                <w:r>
                  <w:rPr>
                    <w:b/>
                    <w:spacing w:val="-2"/>
                    <w:sz w:val="16"/>
                  </w:rPr>
                  <w:t>ASP/21/10</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64001pt;margin-top:47.882366pt;width:54.65pt;height:10.8pt;mso-position-horizontal-relative:page;mso-position-vertical-relative:page;z-index:-43748864" type="#_x0000_t202" id="docshape390" filled="false" stroked="false">
          <v:textbox inset="0,0,0,0">
            <w:txbxContent>
              <w:p>
                <w:pPr>
                  <w:spacing w:before="11"/>
                  <w:ind w:left="20" w:right="0" w:firstLine="0"/>
                  <w:jc w:val="left"/>
                  <w:rPr>
                    <w:b/>
                    <w:sz w:val="16"/>
                  </w:rPr>
                </w:pPr>
                <w:r>
                  <w:rPr>
                    <w:b/>
                    <w:w w:val="95"/>
                    <w:sz w:val="16"/>
                  </w:rPr>
                  <w:t>ICC-</w:t>
                </w:r>
                <w:r>
                  <w:rPr>
                    <w:b/>
                    <w:spacing w:val="-2"/>
                    <w:sz w:val="16"/>
                  </w:rPr>
                  <w:t>ASP/21/10</w:t>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5.223999pt;margin-top:57.619984pt;width:484.99pt;height:.24pt;mso-position-horizontal-relative:page;mso-position-vertical-relative:page;z-index:-43746304" id="docshape397" filled="true" fillcolor="#000000" stroked="false">
          <v:fill type="solid"/>
          <w10:wrap type="none"/>
        </v:rect>
      </w:pict>
    </w:r>
    <w:r>
      <w:rPr/>
      <w:pict>
        <v:shape style="position:absolute;margin-left:484.950012pt;margin-top:47.882366pt;width:54.7pt;height:10.8pt;mso-position-horizontal-relative:page;mso-position-vertical-relative:page;z-index:-43745792" type="#_x0000_t202" id="docshape398" filled="false" stroked="false">
          <v:textbox inset="0,0,0,0">
            <w:txbxContent>
              <w:p>
                <w:pPr>
                  <w:spacing w:before="11"/>
                  <w:ind w:left="20" w:right="0" w:firstLine="0"/>
                  <w:jc w:val="left"/>
                  <w:rPr>
                    <w:b/>
                    <w:sz w:val="16"/>
                  </w:rPr>
                </w:pPr>
                <w:r>
                  <w:rPr>
                    <w:b/>
                    <w:w w:val="95"/>
                    <w:sz w:val="16"/>
                  </w:rPr>
                  <w:t>ICC-</w:t>
                </w:r>
                <w:r>
                  <w:rPr>
                    <w:b/>
                    <w:spacing w:val="-2"/>
                    <w:sz w:val="16"/>
                  </w:rPr>
                  <w:t>ASP/21/10</w:t>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64001pt;margin-top:47.882366pt;width:54.65pt;height:10.8pt;mso-position-horizontal-relative:page;mso-position-vertical-relative:page;z-index:-43745280" type="#_x0000_t202" id="docshape399" filled="false" stroked="false">
          <v:textbox inset="0,0,0,0">
            <w:txbxContent>
              <w:p>
                <w:pPr>
                  <w:spacing w:before="11"/>
                  <w:ind w:left="20" w:right="0" w:firstLine="0"/>
                  <w:jc w:val="left"/>
                  <w:rPr>
                    <w:b/>
                    <w:sz w:val="16"/>
                  </w:rPr>
                </w:pPr>
                <w:r>
                  <w:rPr>
                    <w:b/>
                    <w:w w:val="95"/>
                    <w:sz w:val="16"/>
                  </w:rPr>
                  <w:t>ICC-</w:t>
                </w:r>
                <w:r>
                  <w:rPr>
                    <w:b/>
                    <w:spacing w:val="-2"/>
                    <w:sz w:val="16"/>
                  </w:rPr>
                  <w:t>ASP/21/10</w:t>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223999pt;margin-top:47.882366pt;width:487pt;height:32.950pt;mso-position-horizontal-relative:page;mso-position-vertical-relative:page;z-index:-43742720" type="#_x0000_t202" id="docshape405" filled="false" stroked="false">
          <v:textbox inset="0,0,0,0">
            <w:txbxContent>
              <w:p>
                <w:pPr>
                  <w:tabs>
                    <w:tab w:pos="9719" w:val="left" w:leader="none"/>
                  </w:tabs>
                  <w:spacing w:before="11"/>
                  <w:ind w:left="20" w:right="0" w:firstLine="0"/>
                  <w:jc w:val="left"/>
                  <w:rPr>
                    <w:b/>
                    <w:sz w:val="16"/>
                  </w:rPr>
                </w:pPr>
                <w:r>
                  <w:rPr>
                    <w:b/>
                    <w:spacing w:val="-3"/>
                    <w:sz w:val="16"/>
                    <w:u w:val="single"/>
                  </w:rPr>
                  <w:t> </w:t>
                </w:r>
                <w:r>
                  <w:rPr>
                    <w:b/>
                    <w:w w:val="95"/>
                    <w:sz w:val="16"/>
                    <w:u w:val="single"/>
                  </w:rPr>
                  <w:t>ICC-</w:t>
                </w:r>
                <w:r>
                  <w:rPr>
                    <w:b/>
                    <w:spacing w:val="-2"/>
                    <w:w w:val="95"/>
                    <w:sz w:val="16"/>
                    <w:u w:val="single"/>
                  </w:rPr>
                  <w:t>ASP/21/10</w:t>
                </w:r>
                <w:r>
                  <w:rPr>
                    <w:b/>
                    <w:sz w:val="16"/>
                    <w:u w:val="single"/>
                  </w:rPr>
                  <w:tab/>
                </w:r>
              </w:p>
              <w:p>
                <w:pPr>
                  <w:spacing w:before="122"/>
                  <w:ind w:left="615" w:right="0" w:firstLine="0"/>
                  <w:jc w:val="left"/>
                  <w:rPr>
                    <w:b/>
                    <w:sz w:val="28"/>
                  </w:rPr>
                </w:pPr>
                <w:r>
                  <w:rPr>
                    <w:b/>
                    <w:sz w:val="28"/>
                  </w:rPr>
                  <w:t>Annex</w:t>
                </w:r>
                <w:r>
                  <w:rPr>
                    <w:b/>
                    <w:spacing w:val="-5"/>
                    <w:sz w:val="28"/>
                  </w:rPr>
                  <w:t> </w:t>
                </w:r>
                <w:r>
                  <w:rPr>
                    <w:b/>
                    <w:sz w:val="28"/>
                  </w:rPr>
                  <w:t>IV</w:t>
                </w:r>
                <w:r>
                  <w:rPr>
                    <w:b/>
                    <w:spacing w:val="-4"/>
                    <w:sz w:val="28"/>
                  </w:rPr>
                  <w:t> </w:t>
                </w:r>
                <w:r>
                  <w:rPr>
                    <w:b/>
                    <w:spacing w:val="-5"/>
                    <w:sz w:val="28"/>
                  </w:rPr>
                  <w:t>(f)</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5.223999pt;margin-top:57.619984pt;width:484.99pt;height:.24pt;mso-position-horizontal-relative:page;mso-position-vertical-relative:page;z-index:-43742208" id="docshape406" filled="true" fillcolor="#000000" stroked="false">
          <v:fill type="solid"/>
          <w10:wrap type="none"/>
        </v:rect>
      </w:pict>
    </w:r>
    <w:r>
      <w:rPr/>
      <w:pict>
        <v:shape style="position:absolute;margin-left:484.950012pt;margin-top:47.882366pt;width:54.7pt;height:10.8pt;mso-position-horizontal-relative:page;mso-position-vertical-relative:page;z-index:-43741696" type="#_x0000_t202" id="docshape407" filled="false" stroked="false">
          <v:textbox inset="0,0,0,0">
            <w:txbxContent>
              <w:p>
                <w:pPr>
                  <w:spacing w:before="11"/>
                  <w:ind w:left="20" w:right="0" w:firstLine="0"/>
                  <w:jc w:val="left"/>
                  <w:rPr>
                    <w:b/>
                    <w:sz w:val="16"/>
                  </w:rPr>
                </w:pPr>
                <w:r>
                  <w:rPr>
                    <w:b/>
                    <w:w w:val="95"/>
                    <w:sz w:val="16"/>
                  </w:rPr>
                  <w:t>ICC-</w:t>
                </w:r>
                <w:r>
                  <w:rPr>
                    <w:b/>
                    <w:spacing w:val="-2"/>
                    <w:sz w:val="16"/>
                  </w:rPr>
                  <w:t>ASP/21/10</w:t>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223999pt;margin-top:47.882366pt;width:487pt;height:33.2pt;mso-position-horizontal-relative:page;mso-position-vertical-relative:page;z-index:-43739136" type="#_x0000_t202" id="docshape412" filled="false" stroked="false">
          <v:textbox inset="0,0,0,0">
            <w:txbxContent>
              <w:p>
                <w:pPr>
                  <w:tabs>
                    <w:tab w:pos="9719" w:val="left" w:leader="none"/>
                  </w:tabs>
                  <w:spacing w:before="11"/>
                  <w:ind w:left="20" w:right="0" w:firstLine="0"/>
                  <w:jc w:val="left"/>
                  <w:rPr>
                    <w:b/>
                    <w:sz w:val="16"/>
                  </w:rPr>
                </w:pPr>
                <w:r>
                  <w:rPr>
                    <w:b/>
                    <w:spacing w:val="-3"/>
                    <w:sz w:val="16"/>
                    <w:u w:val="single"/>
                  </w:rPr>
                  <w:t> </w:t>
                </w:r>
                <w:r>
                  <w:rPr>
                    <w:b/>
                    <w:w w:val="95"/>
                    <w:sz w:val="16"/>
                    <w:u w:val="single"/>
                  </w:rPr>
                  <w:t>ICC-</w:t>
                </w:r>
                <w:r>
                  <w:rPr>
                    <w:b/>
                    <w:spacing w:val="-2"/>
                    <w:w w:val="95"/>
                    <w:sz w:val="16"/>
                    <w:u w:val="single"/>
                  </w:rPr>
                  <w:t>ASP/21/10</w:t>
                </w:r>
                <w:r>
                  <w:rPr>
                    <w:b/>
                    <w:sz w:val="16"/>
                    <w:u w:val="single"/>
                  </w:rPr>
                  <w:tab/>
                </w:r>
              </w:p>
              <w:p>
                <w:pPr>
                  <w:spacing w:before="127"/>
                  <w:ind w:left="615" w:right="0" w:firstLine="0"/>
                  <w:jc w:val="left"/>
                  <w:rPr>
                    <w:b/>
                    <w:sz w:val="28"/>
                  </w:rPr>
                </w:pPr>
                <w:r>
                  <w:rPr>
                    <w:b/>
                    <w:sz w:val="28"/>
                  </w:rPr>
                  <w:t>Annex</w:t>
                </w:r>
                <w:r>
                  <w:rPr>
                    <w:b/>
                    <w:spacing w:val="-9"/>
                    <w:sz w:val="28"/>
                  </w:rPr>
                  <w:t> </w:t>
                </w:r>
                <w:r>
                  <w:rPr>
                    <w:b/>
                    <w:spacing w:val="-10"/>
                    <w:sz w:val="28"/>
                  </w:rPr>
                  <w:t>V</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5.223999pt;margin-top:57.619984pt;width:484.99pt;height:.24pt;mso-position-horizontal-relative:page;mso-position-vertical-relative:page;z-index:-43835904" id="docshape71" filled="true" fillcolor="#000000" stroked="false">
          <v:fill type="solid"/>
          <w10:wrap type="none"/>
        </v:rect>
      </w:pict>
    </w:r>
    <w:r>
      <w:rPr/>
      <w:pict>
        <v:shape style="position:absolute;margin-left:484.950012pt;margin-top:47.882366pt;width:54.7pt;height:10.8pt;mso-position-horizontal-relative:page;mso-position-vertical-relative:page;z-index:-43835392" type="#_x0000_t202" id="docshape72" filled="false" stroked="false">
          <v:textbox inset="0,0,0,0">
            <w:txbxContent>
              <w:p>
                <w:pPr>
                  <w:spacing w:before="11"/>
                  <w:ind w:left="20" w:right="0" w:firstLine="0"/>
                  <w:jc w:val="left"/>
                  <w:rPr>
                    <w:b/>
                    <w:sz w:val="16"/>
                  </w:rPr>
                </w:pPr>
                <w:r>
                  <w:rPr>
                    <w:b/>
                    <w:w w:val="95"/>
                    <w:sz w:val="16"/>
                  </w:rPr>
                  <w:t>ICC-</w:t>
                </w:r>
                <w:r>
                  <w:rPr>
                    <w:b/>
                    <w:spacing w:val="-2"/>
                    <w:sz w:val="16"/>
                  </w:rPr>
                  <w:t>ASP/21/10</w:t>
                </w:r>
              </w:p>
            </w:txbxContent>
          </v:textbox>
          <w10:wrap type="non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5.223999pt;margin-top:57.619984pt;width:484.99pt;height:.24pt;mso-position-horizontal-relative:page;mso-position-vertical-relative:page;z-index:-43738624" id="docshape413" filled="true" fillcolor="#000000" stroked="false">
          <v:fill type="solid"/>
          <w10:wrap type="none"/>
        </v:rect>
      </w:pict>
    </w:r>
    <w:r>
      <w:rPr/>
      <w:pict>
        <v:shape style="position:absolute;margin-left:484.950012pt;margin-top:47.882366pt;width:54.7pt;height:10.8pt;mso-position-horizontal-relative:page;mso-position-vertical-relative:page;z-index:-43738112" type="#_x0000_t202" id="docshape414" filled="false" stroked="false">
          <v:textbox inset="0,0,0,0">
            <w:txbxContent>
              <w:p>
                <w:pPr>
                  <w:spacing w:before="11"/>
                  <w:ind w:left="20" w:right="0" w:firstLine="0"/>
                  <w:jc w:val="left"/>
                  <w:rPr>
                    <w:b/>
                    <w:sz w:val="16"/>
                  </w:rPr>
                </w:pPr>
                <w:r>
                  <w:rPr>
                    <w:b/>
                    <w:w w:val="95"/>
                    <w:sz w:val="16"/>
                  </w:rPr>
                  <w:t>ICC-</w:t>
                </w:r>
                <w:r>
                  <w:rPr>
                    <w:b/>
                    <w:spacing w:val="-2"/>
                    <w:sz w:val="16"/>
                  </w:rPr>
                  <w:t>ASP/21/10</w:t>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64001pt;margin-top:47.882366pt;width:73.350pt;height:32.950pt;mso-position-horizontal-relative:page;mso-position-vertical-relative:page;z-index:-43735552" type="#_x0000_t202" id="docshape419" filled="false" stroked="false">
          <v:textbox inset="0,0,0,0">
            <w:txbxContent>
              <w:p>
                <w:pPr>
                  <w:spacing w:before="11"/>
                  <w:ind w:left="20" w:right="0" w:firstLine="0"/>
                  <w:jc w:val="left"/>
                  <w:rPr>
                    <w:b/>
                    <w:sz w:val="16"/>
                  </w:rPr>
                </w:pPr>
                <w:r>
                  <w:rPr>
                    <w:b/>
                    <w:w w:val="95"/>
                    <w:sz w:val="16"/>
                  </w:rPr>
                  <w:t>ICC-</w:t>
                </w:r>
                <w:r>
                  <w:rPr>
                    <w:b/>
                    <w:spacing w:val="-2"/>
                    <w:sz w:val="16"/>
                  </w:rPr>
                  <w:t>ASP/21/10</w:t>
                </w:r>
              </w:p>
              <w:p>
                <w:pPr>
                  <w:spacing w:before="122"/>
                  <w:ind w:left="20" w:right="0" w:firstLine="0"/>
                  <w:jc w:val="left"/>
                  <w:rPr>
                    <w:b/>
                    <w:sz w:val="28"/>
                  </w:rPr>
                </w:pPr>
                <w:r>
                  <w:rPr>
                    <w:b/>
                    <w:sz w:val="28"/>
                  </w:rPr>
                  <w:t>Annex</w:t>
                </w:r>
                <w:r>
                  <w:rPr>
                    <w:b/>
                    <w:spacing w:val="-5"/>
                    <w:sz w:val="28"/>
                  </w:rPr>
                  <w:t> </w:t>
                </w:r>
                <w:r>
                  <w:rPr>
                    <w:b/>
                    <w:sz w:val="28"/>
                  </w:rPr>
                  <w:t>V</w:t>
                </w:r>
                <w:r>
                  <w:rPr>
                    <w:b/>
                    <w:spacing w:val="-4"/>
                    <w:sz w:val="28"/>
                  </w:rPr>
                  <w:t> </w:t>
                </w:r>
                <w:r>
                  <w:rPr>
                    <w:b/>
                    <w:spacing w:val="-5"/>
                    <w:sz w:val="28"/>
                  </w:rPr>
                  <w:t>(c)</w:t>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5.223999pt;margin-top:57.619984pt;width:484.99pt;height:.24pt;mso-position-horizontal-relative:page;mso-position-vertical-relative:page;z-index:-43735040" id="docshape420" filled="true" fillcolor="#000000" stroked="false">
          <v:fill type="solid"/>
          <w10:wrap type="none"/>
        </v:rect>
      </w:pict>
    </w:r>
    <w:r>
      <w:rPr/>
      <w:pict>
        <v:shape style="position:absolute;margin-left:484.950012pt;margin-top:47.882366pt;width:54.7pt;height:10.8pt;mso-position-horizontal-relative:page;mso-position-vertical-relative:page;z-index:-43734528" type="#_x0000_t202" id="docshape421" filled="false" stroked="false">
          <v:textbox inset="0,0,0,0">
            <w:txbxContent>
              <w:p>
                <w:pPr>
                  <w:spacing w:before="11"/>
                  <w:ind w:left="20" w:right="0" w:firstLine="0"/>
                  <w:jc w:val="left"/>
                  <w:rPr>
                    <w:b/>
                    <w:sz w:val="16"/>
                  </w:rPr>
                </w:pPr>
                <w:r>
                  <w:rPr>
                    <w:b/>
                    <w:w w:val="95"/>
                    <w:sz w:val="16"/>
                  </w:rPr>
                  <w:t>ICC-</w:t>
                </w:r>
                <w:r>
                  <w:rPr>
                    <w:b/>
                    <w:spacing w:val="-2"/>
                    <w:sz w:val="16"/>
                  </w:rPr>
                  <w:t>ASP/21/10</w:t>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223999pt;margin-top:47.882366pt;width:487pt;height:33.2pt;mso-position-horizontal-relative:page;mso-position-vertical-relative:page;z-index:-43731968" type="#_x0000_t202" id="docshape427" filled="false" stroked="false">
          <v:textbox inset="0,0,0,0">
            <w:txbxContent>
              <w:p>
                <w:pPr>
                  <w:tabs>
                    <w:tab w:pos="9719" w:val="left" w:leader="none"/>
                  </w:tabs>
                  <w:spacing w:before="11"/>
                  <w:ind w:left="20" w:right="0" w:firstLine="0"/>
                  <w:jc w:val="left"/>
                  <w:rPr>
                    <w:b/>
                    <w:sz w:val="16"/>
                  </w:rPr>
                </w:pPr>
                <w:r>
                  <w:rPr>
                    <w:b/>
                    <w:spacing w:val="-3"/>
                    <w:sz w:val="16"/>
                    <w:u w:val="single"/>
                  </w:rPr>
                  <w:t> </w:t>
                </w:r>
                <w:r>
                  <w:rPr>
                    <w:b/>
                    <w:w w:val="95"/>
                    <w:sz w:val="16"/>
                    <w:u w:val="single"/>
                  </w:rPr>
                  <w:t>ICC-</w:t>
                </w:r>
                <w:r>
                  <w:rPr>
                    <w:b/>
                    <w:spacing w:val="-2"/>
                    <w:w w:val="95"/>
                    <w:sz w:val="16"/>
                    <w:u w:val="single"/>
                  </w:rPr>
                  <w:t>ASP/21/10</w:t>
                </w:r>
                <w:r>
                  <w:rPr>
                    <w:b/>
                    <w:sz w:val="16"/>
                    <w:u w:val="single"/>
                  </w:rPr>
                  <w:tab/>
                </w:r>
              </w:p>
              <w:p>
                <w:pPr>
                  <w:spacing w:before="127"/>
                  <w:ind w:left="615" w:right="0" w:firstLine="0"/>
                  <w:jc w:val="left"/>
                  <w:rPr>
                    <w:b/>
                    <w:sz w:val="28"/>
                  </w:rPr>
                </w:pPr>
                <w:r>
                  <w:rPr>
                    <w:b/>
                    <w:sz w:val="28"/>
                  </w:rPr>
                  <w:t>Annex</w:t>
                </w:r>
                <w:r>
                  <w:rPr>
                    <w:b/>
                    <w:spacing w:val="-6"/>
                    <w:sz w:val="28"/>
                  </w:rPr>
                  <w:t> </w:t>
                </w:r>
                <w:r>
                  <w:rPr>
                    <w:b/>
                    <w:sz w:val="28"/>
                  </w:rPr>
                  <w:t>VI</w:t>
                </w:r>
                <w:r>
                  <w:rPr>
                    <w:b/>
                    <w:spacing w:val="-2"/>
                    <w:sz w:val="28"/>
                  </w:rPr>
                  <w:t> </w:t>
                </w:r>
                <w:r>
                  <w:rPr>
                    <w:b/>
                    <w:spacing w:val="-5"/>
                    <w:sz w:val="28"/>
                  </w:rPr>
                  <w:t>(b)</w:t>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5.223999pt;margin-top:57.619984pt;width:484.99pt;height:.24pt;mso-position-horizontal-relative:page;mso-position-vertical-relative:page;z-index:-43731456" id="docshape428" filled="true" fillcolor="#000000" stroked="false">
          <v:fill type="solid"/>
          <w10:wrap type="none"/>
        </v:rect>
      </w:pict>
    </w:r>
    <w:r>
      <w:rPr/>
      <w:pict>
        <v:shape style="position:absolute;margin-left:484.950012pt;margin-top:47.882366pt;width:54.7pt;height:10.8pt;mso-position-horizontal-relative:page;mso-position-vertical-relative:page;z-index:-43730944" type="#_x0000_t202" id="docshape429" filled="false" stroked="false">
          <v:textbox inset="0,0,0,0">
            <w:txbxContent>
              <w:p>
                <w:pPr>
                  <w:spacing w:before="11"/>
                  <w:ind w:left="20" w:right="0" w:firstLine="0"/>
                  <w:jc w:val="left"/>
                  <w:rPr>
                    <w:b/>
                    <w:sz w:val="16"/>
                  </w:rPr>
                </w:pPr>
                <w:r>
                  <w:rPr>
                    <w:b/>
                    <w:w w:val="95"/>
                    <w:sz w:val="16"/>
                  </w:rPr>
                  <w:t>ICC-</w:t>
                </w:r>
                <w:r>
                  <w:rPr>
                    <w:b/>
                    <w:spacing w:val="-2"/>
                    <w:sz w:val="16"/>
                  </w:rPr>
                  <w:t>ASP/21/10</w:t>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223999pt;margin-top:47.882366pt;width:487pt;height:10.8pt;mso-position-horizontal-relative:page;mso-position-vertical-relative:page;z-index:-43728384" type="#_x0000_t202" id="docshape440" filled="false" stroked="false">
          <v:textbox inset="0,0,0,0">
            <w:txbxContent>
              <w:p>
                <w:pPr>
                  <w:tabs>
                    <w:tab w:pos="9719" w:val="left" w:leader="none"/>
                  </w:tabs>
                  <w:spacing w:before="11"/>
                  <w:ind w:left="20" w:right="0" w:firstLine="0"/>
                  <w:jc w:val="left"/>
                  <w:rPr>
                    <w:b/>
                    <w:sz w:val="16"/>
                  </w:rPr>
                </w:pPr>
                <w:r>
                  <w:rPr>
                    <w:b/>
                    <w:spacing w:val="-3"/>
                    <w:sz w:val="16"/>
                    <w:u w:val="single"/>
                  </w:rPr>
                  <w:t> </w:t>
                </w:r>
                <w:r>
                  <w:rPr>
                    <w:b/>
                    <w:w w:val="95"/>
                    <w:sz w:val="16"/>
                    <w:u w:val="single"/>
                  </w:rPr>
                  <w:t>ICC-</w:t>
                </w:r>
                <w:r>
                  <w:rPr>
                    <w:b/>
                    <w:spacing w:val="-2"/>
                    <w:w w:val="95"/>
                    <w:sz w:val="16"/>
                    <w:u w:val="single"/>
                  </w:rPr>
                  <w:t>ASP/21/10</w:t>
                </w:r>
                <w:r>
                  <w:rPr>
                    <w:b/>
                    <w:sz w:val="16"/>
                    <w:u w:val="single"/>
                  </w:rPr>
                  <w:tab/>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5.223999pt;margin-top:57.619984pt;width:484.99pt;height:.24pt;mso-position-horizontal-relative:page;mso-position-vertical-relative:page;z-index:-43727872" id="docshape441" filled="true" fillcolor="#000000" stroked="false">
          <v:fill type="solid"/>
          <w10:wrap type="none"/>
        </v:rect>
      </w:pict>
    </w:r>
    <w:r>
      <w:rPr/>
      <w:pict>
        <v:shape style="position:absolute;margin-left:484.950012pt;margin-top:47.882366pt;width:54.7pt;height:10.8pt;mso-position-horizontal-relative:page;mso-position-vertical-relative:page;z-index:-43727360" type="#_x0000_t202" id="docshape442" filled="false" stroked="false">
          <v:textbox inset="0,0,0,0">
            <w:txbxContent>
              <w:p>
                <w:pPr>
                  <w:spacing w:before="11"/>
                  <w:ind w:left="20" w:right="0" w:firstLine="0"/>
                  <w:jc w:val="left"/>
                  <w:rPr>
                    <w:b/>
                    <w:sz w:val="16"/>
                  </w:rPr>
                </w:pPr>
                <w:r>
                  <w:rPr>
                    <w:b/>
                    <w:w w:val="95"/>
                    <w:sz w:val="16"/>
                  </w:rPr>
                  <w:t>ICC-</w:t>
                </w:r>
                <w:r>
                  <w:rPr>
                    <w:b/>
                    <w:spacing w:val="-2"/>
                    <w:sz w:val="16"/>
                  </w:rPr>
                  <w:t>ASP/21/10</w:t>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4.950012pt;margin-top:47.882366pt;width:54.7pt;height:10.8pt;mso-position-horizontal-relative:page;mso-position-vertical-relative:page;z-index:-43724800" type="#_x0000_t202" id="docshape452" filled="false" stroked="false">
          <v:textbox inset="0,0,0,0">
            <w:txbxContent>
              <w:p>
                <w:pPr>
                  <w:spacing w:before="11"/>
                  <w:ind w:left="20" w:right="0" w:firstLine="0"/>
                  <w:jc w:val="left"/>
                  <w:rPr>
                    <w:b/>
                    <w:sz w:val="16"/>
                  </w:rPr>
                </w:pPr>
                <w:r>
                  <w:rPr>
                    <w:b/>
                    <w:w w:val="95"/>
                    <w:sz w:val="16"/>
                  </w:rPr>
                  <w:t>ICC-</w:t>
                </w:r>
                <w:r>
                  <w:rPr>
                    <w:b/>
                    <w:spacing w:val="-2"/>
                    <w:sz w:val="16"/>
                  </w:rPr>
                  <w:t>ASP/21/10</w:t>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223999pt;margin-top:47.882366pt;width:487pt;height:10.8pt;mso-position-horizontal-relative:page;mso-position-vertical-relative:page;z-index:-43724288" type="#_x0000_t202" id="docshape453" filled="false" stroked="false">
          <v:textbox inset="0,0,0,0">
            <w:txbxContent>
              <w:p>
                <w:pPr>
                  <w:tabs>
                    <w:tab w:pos="9719" w:val="left" w:leader="none"/>
                  </w:tabs>
                  <w:spacing w:before="11"/>
                  <w:ind w:left="20" w:right="0" w:firstLine="0"/>
                  <w:jc w:val="left"/>
                  <w:rPr>
                    <w:b/>
                    <w:sz w:val="16"/>
                  </w:rPr>
                </w:pPr>
                <w:r>
                  <w:rPr>
                    <w:b/>
                    <w:spacing w:val="-3"/>
                    <w:sz w:val="16"/>
                    <w:u w:val="single"/>
                  </w:rPr>
                  <w:t> </w:t>
                </w:r>
                <w:r>
                  <w:rPr>
                    <w:b/>
                    <w:w w:val="95"/>
                    <w:sz w:val="16"/>
                    <w:u w:val="single"/>
                  </w:rPr>
                  <w:t>ICC-</w:t>
                </w:r>
                <w:r>
                  <w:rPr>
                    <w:b/>
                    <w:spacing w:val="-2"/>
                    <w:w w:val="95"/>
                    <w:sz w:val="16"/>
                    <w:u w:val="single"/>
                  </w:rPr>
                  <w:t>ASP/21/10</w:t>
                </w:r>
                <w:r>
                  <w:rPr>
                    <w:b/>
                    <w:sz w:val="16"/>
                    <w:u w:val="single"/>
                  </w:rPr>
                  <w:tab/>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5.223999pt;margin-top:57.619984pt;width:484.99pt;height:.24pt;mso-position-horizontal-relative:page;mso-position-vertical-relative:page;z-index:-43721728" id="docshape498" filled="true" fillcolor="#000000" stroked="false">
          <v:fill type="solid"/>
          <w10:wrap type="none"/>
        </v:rect>
      </w:pict>
    </w:r>
    <w:r>
      <w:rPr/>
      <w:pict>
        <v:shape style="position:absolute;margin-left:484.950012pt;margin-top:47.882366pt;width:54.7pt;height:10.8pt;mso-position-horizontal-relative:page;mso-position-vertical-relative:page;z-index:-43721216" type="#_x0000_t202" id="docshape499" filled="false" stroked="false">
          <v:textbox inset="0,0,0,0">
            <w:txbxContent>
              <w:p>
                <w:pPr>
                  <w:spacing w:before="11"/>
                  <w:ind w:left="20" w:right="0" w:firstLine="0"/>
                  <w:jc w:val="left"/>
                  <w:rPr>
                    <w:b/>
                    <w:sz w:val="16"/>
                  </w:rPr>
                </w:pPr>
                <w:r>
                  <w:rPr>
                    <w:b/>
                    <w:w w:val="95"/>
                    <w:sz w:val="16"/>
                  </w:rPr>
                  <w:t>ICC-</w:t>
                </w:r>
                <w:r>
                  <w:rPr>
                    <w:b/>
                    <w:spacing w:val="-2"/>
                    <w:sz w:val="16"/>
                  </w:rPr>
                  <w:t>ASP/21/10</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5.223999pt;margin-top:57.619984pt;width:484.99pt;height:.24pt;mso-position-horizontal-relative:page;mso-position-vertical-relative:page;z-index:-43832832" id="docshape83" filled="true" fillcolor="#000000" stroked="false">
          <v:fill type="solid"/>
          <w10:wrap type="none"/>
        </v:rect>
      </w:pict>
    </w:r>
    <w:r>
      <w:rPr/>
      <w:pict>
        <v:shape style="position:absolute;margin-left:484.950012pt;margin-top:47.882366pt;width:54.7pt;height:10.8pt;mso-position-horizontal-relative:page;mso-position-vertical-relative:page;z-index:-43832320" type="#_x0000_t202" id="docshape84" filled="false" stroked="false">
          <v:textbox inset="0,0,0,0">
            <w:txbxContent>
              <w:p>
                <w:pPr>
                  <w:spacing w:before="11"/>
                  <w:ind w:left="20" w:right="0" w:firstLine="0"/>
                  <w:jc w:val="left"/>
                  <w:rPr>
                    <w:b/>
                    <w:sz w:val="16"/>
                  </w:rPr>
                </w:pPr>
                <w:r>
                  <w:rPr>
                    <w:b/>
                    <w:w w:val="95"/>
                    <w:sz w:val="16"/>
                  </w:rPr>
                  <w:t>ICC-</w:t>
                </w:r>
                <w:r>
                  <w:rPr>
                    <w:b/>
                    <w:spacing w:val="-2"/>
                    <w:sz w:val="16"/>
                  </w:rPr>
                  <w:t>ASP/21/10</w:t>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223999pt;margin-top:47.882366pt;width:487pt;height:32.950pt;mso-position-horizontal-relative:page;mso-position-vertical-relative:page;z-index:-43720704" type="#_x0000_t202" id="docshape500" filled="false" stroked="false">
          <v:textbox inset="0,0,0,0">
            <w:txbxContent>
              <w:p>
                <w:pPr>
                  <w:tabs>
                    <w:tab w:pos="9719" w:val="left" w:leader="none"/>
                  </w:tabs>
                  <w:spacing w:before="11"/>
                  <w:ind w:left="20" w:right="0" w:firstLine="0"/>
                  <w:jc w:val="left"/>
                  <w:rPr>
                    <w:b/>
                    <w:sz w:val="16"/>
                  </w:rPr>
                </w:pPr>
                <w:r>
                  <w:rPr>
                    <w:b/>
                    <w:spacing w:val="-3"/>
                    <w:sz w:val="16"/>
                    <w:u w:val="single"/>
                  </w:rPr>
                  <w:t> </w:t>
                </w:r>
                <w:r>
                  <w:rPr>
                    <w:b/>
                    <w:w w:val="95"/>
                    <w:sz w:val="16"/>
                    <w:u w:val="single"/>
                  </w:rPr>
                  <w:t>ICC-</w:t>
                </w:r>
                <w:r>
                  <w:rPr>
                    <w:b/>
                    <w:spacing w:val="-2"/>
                    <w:w w:val="95"/>
                    <w:sz w:val="16"/>
                    <w:u w:val="single"/>
                  </w:rPr>
                  <w:t>ASP/21/10</w:t>
                </w:r>
                <w:r>
                  <w:rPr>
                    <w:b/>
                    <w:sz w:val="16"/>
                    <w:u w:val="single"/>
                  </w:rPr>
                  <w:tab/>
                </w:r>
              </w:p>
              <w:p>
                <w:pPr>
                  <w:spacing w:before="122"/>
                  <w:ind w:left="615" w:right="0" w:firstLine="0"/>
                  <w:jc w:val="left"/>
                  <w:rPr>
                    <w:b/>
                    <w:sz w:val="28"/>
                  </w:rPr>
                </w:pPr>
                <w:r>
                  <w:rPr>
                    <w:b/>
                    <w:sz w:val="28"/>
                  </w:rPr>
                  <w:t>Annex</w:t>
                </w:r>
                <w:r>
                  <w:rPr>
                    <w:b/>
                    <w:spacing w:val="-9"/>
                    <w:sz w:val="28"/>
                  </w:rPr>
                  <w:t> </w:t>
                </w:r>
                <w:r>
                  <w:rPr>
                    <w:b/>
                    <w:spacing w:val="-5"/>
                    <w:sz w:val="28"/>
                  </w:rPr>
                  <w:fldChar w:fldCharType="begin"/>
                </w:r>
                <w:r>
                  <w:rPr>
                    <w:b/>
                    <w:spacing w:val="-5"/>
                    <w:sz w:val="28"/>
                  </w:rPr>
                  <w:instrText> PAGE </w:instrText>
                </w:r>
                <w:r>
                  <w:rPr>
                    <w:b/>
                    <w:spacing w:val="-5"/>
                    <w:sz w:val="28"/>
                  </w:rPr>
                  <w:fldChar w:fldCharType="separate"/>
                </w:r>
                <w:r>
                  <w:rPr>
                    <w:b/>
                    <w:spacing w:val="-5"/>
                    <w:sz w:val="28"/>
                  </w:rPr>
                  <w:t>XI</w:t>
                </w:r>
                <w:r>
                  <w:rPr>
                    <w:b/>
                    <w:spacing w:val="-5"/>
                    <w:sz w:val="28"/>
                  </w:rPr>
                  <w:fldChar w:fldCharType="end"/>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223999pt;margin-top:47.882366pt;width:487pt;height:10.8pt;mso-position-horizontal-relative:page;mso-position-vertical-relative:page;z-index:-43718144" type="#_x0000_t202" id="docshape506" filled="false" stroked="false">
          <v:textbox inset="0,0,0,0">
            <w:txbxContent>
              <w:p>
                <w:pPr>
                  <w:tabs>
                    <w:tab w:pos="9719" w:val="left" w:leader="none"/>
                  </w:tabs>
                  <w:spacing w:before="11"/>
                  <w:ind w:left="20" w:right="0" w:firstLine="0"/>
                  <w:jc w:val="left"/>
                  <w:rPr>
                    <w:b/>
                    <w:sz w:val="16"/>
                  </w:rPr>
                </w:pPr>
                <w:r>
                  <w:rPr>
                    <w:b/>
                    <w:spacing w:val="-3"/>
                    <w:sz w:val="16"/>
                    <w:u w:val="single"/>
                  </w:rPr>
                  <w:t> </w:t>
                </w:r>
                <w:r>
                  <w:rPr>
                    <w:b/>
                    <w:w w:val="95"/>
                    <w:sz w:val="16"/>
                    <w:u w:val="single"/>
                  </w:rPr>
                  <w:t>ICC-</w:t>
                </w:r>
                <w:r>
                  <w:rPr>
                    <w:b/>
                    <w:spacing w:val="-2"/>
                    <w:w w:val="95"/>
                    <w:sz w:val="16"/>
                    <w:u w:val="single"/>
                  </w:rPr>
                  <w:t>ASP/21/10</w:t>
                </w:r>
                <w:r>
                  <w:rPr>
                    <w:b/>
                    <w:sz w:val="16"/>
                    <w:u w:val="single"/>
                  </w:rPr>
                  <w:tab/>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55.223999pt;margin-top:57.619984pt;width:484.99pt;height:.24pt;mso-position-horizontal-relative:page;mso-position-vertical-relative:page;z-index:-43717632" id="docshape507" filled="true" fillcolor="#000000" stroked="false">
          <v:fill type="solid"/>
          <w10:wrap type="none"/>
        </v:rect>
      </w:pict>
    </w:r>
    <w:r>
      <w:rPr/>
      <w:pict>
        <v:shape style="position:absolute;margin-left:484.950012pt;margin-top:47.882366pt;width:54.7pt;height:10.8pt;mso-position-horizontal-relative:page;mso-position-vertical-relative:page;z-index:-43717120" type="#_x0000_t202" id="docshape508" filled="false" stroked="false">
          <v:textbox inset="0,0,0,0">
            <w:txbxContent>
              <w:p>
                <w:pPr>
                  <w:spacing w:before="11"/>
                  <w:ind w:left="20" w:right="0" w:firstLine="0"/>
                  <w:jc w:val="left"/>
                  <w:rPr>
                    <w:b/>
                    <w:sz w:val="16"/>
                  </w:rPr>
                </w:pPr>
                <w:r>
                  <w:rPr>
                    <w:b/>
                    <w:w w:val="95"/>
                    <w:sz w:val="16"/>
                  </w:rPr>
                  <w:t>ICC-</w:t>
                </w:r>
                <w:r>
                  <w:rPr>
                    <w:b/>
                    <w:spacing w:val="-2"/>
                    <w:sz w:val="16"/>
                  </w:rPr>
                  <w:t>ASP/21/10</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64001pt;margin-top:47.882366pt;width:54.65pt;height:10.8pt;mso-position-horizontal-relative:page;mso-position-vertical-relative:page;z-index:-43831808" type="#_x0000_t202" id="docshape85" filled="false" stroked="false">
          <v:textbox inset="0,0,0,0">
            <w:txbxContent>
              <w:p>
                <w:pPr>
                  <w:spacing w:before="11"/>
                  <w:ind w:left="20" w:right="0" w:firstLine="0"/>
                  <w:jc w:val="left"/>
                  <w:rPr>
                    <w:b/>
                    <w:sz w:val="16"/>
                  </w:rPr>
                </w:pPr>
                <w:r>
                  <w:rPr>
                    <w:b/>
                    <w:w w:val="95"/>
                    <w:sz w:val="16"/>
                  </w:rPr>
                  <w:t>ICC-</w:t>
                </w:r>
                <w:r>
                  <w:rPr>
                    <w:b/>
                    <w:spacing w:val="-2"/>
                    <w:sz w:val="16"/>
                  </w:rPr>
                  <w:t>ASP/21/10</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223999pt;margin-top:47.882366pt;width:487pt;height:10.8pt;mso-position-horizontal-relative:page;mso-position-vertical-relative:page;z-index:-43829248" type="#_x0000_t202" id="docshape94" filled="false" stroked="false">
          <v:textbox inset="0,0,0,0">
            <w:txbxContent>
              <w:p>
                <w:pPr>
                  <w:tabs>
                    <w:tab w:pos="9719" w:val="left" w:leader="none"/>
                  </w:tabs>
                  <w:spacing w:before="11"/>
                  <w:ind w:left="20" w:right="0" w:firstLine="0"/>
                  <w:jc w:val="left"/>
                  <w:rPr>
                    <w:b/>
                    <w:sz w:val="16"/>
                  </w:rPr>
                </w:pPr>
                <w:r>
                  <w:rPr>
                    <w:b/>
                    <w:spacing w:val="-3"/>
                    <w:sz w:val="16"/>
                    <w:u w:val="single"/>
                  </w:rPr>
                  <w:t> </w:t>
                </w:r>
                <w:r>
                  <w:rPr>
                    <w:b/>
                    <w:w w:val="95"/>
                    <w:sz w:val="16"/>
                    <w:u w:val="single"/>
                  </w:rPr>
                  <w:t>ICC-</w:t>
                </w:r>
                <w:r>
                  <w:rPr>
                    <w:b/>
                    <w:spacing w:val="-2"/>
                    <w:w w:val="95"/>
                    <w:sz w:val="16"/>
                    <w:u w:val="single"/>
                  </w:rPr>
                  <w:t>ASP/21/10</w:t>
                </w:r>
                <w:r>
                  <w:rPr>
                    <w:b/>
                    <w:sz w:val="16"/>
                    <w:u w:val="single"/>
                  </w:rPr>
                  <w:tab/>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7">
    <w:multiLevelType w:val="hybridMultilevel"/>
    <w:lvl w:ilvl="0">
      <w:start w:val="1"/>
      <w:numFmt w:val="lowerRoman"/>
      <w:lvlText w:val="(%1)"/>
      <w:lvlJc w:val="left"/>
      <w:pPr>
        <w:ind w:left="500" w:hanging="207"/>
        <w:jc w:val="left"/>
      </w:pPr>
      <w:rPr>
        <w:rFonts w:hint="default" w:ascii="Times New Roman" w:hAnsi="Times New Roman" w:eastAsia="Times New Roman" w:cs="Times New Roman"/>
        <w:b w:val="0"/>
        <w:bCs w:val="0"/>
        <w:i w:val="0"/>
        <w:iCs w:val="0"/>
        <w:spacing w:val="0"/>
        <w:w w:val="98"/>
        <w:sz w:val="17"/>
        <w:szCs w:val="17"/>
        <w:lang w:val="en-US" w:eastAsia="en-US" w:bidi="ar-SA"/>
      </w:rPr>
    </w:lvl>
    <w:lvl w:ilvl="1">
      <w:start w:val="0"/>
      <w:numFmt w:val="bullet"/>
      <w:lvlText w:val="•"/>
      <w:lvlJc w:val="left"/>
      <w:pPr>
        <w:ind w:left="805" w:hanging="207"/>
      </w:pPr>
      <w:rPr>
        <w:rFonts w:hint="default"/>
        <w:lang w:val="en-US" w:eastAsia="en-US" w:bidi="ar-SA"/>
      </w:rPr>
    </w:lvl>
    <w:lvl w:ilvl="2">
      <w:start w:val="0"/>
      <w:numFmt w:val="bullet"/>
      <w:lvlText w:val="•"/>
      <w:lvlJc w:val="left"/>
      <w:pPr>
        <w:ind w:left="1110" w:hanging="207"/>
      </w:pPr>
      <w:rPr>
        <w:rFonts w:hint="default"/>
        <w:lang w:val="en-US" w:eastAsia="en-US" w:bidi="ar-SA"/>
      </w:rPr>
    </w:lvl>
    <w:lvl w:ilvl="3">
      <w:start w:val="0"/>
      <w:numFmt w:val="bullet"/>
      <w:lvlText w:val="•"/>
      <w:lvlJc w:val="left"/>
      <w:pPr>
        <w:ind w:left="1416" w:hanging="207"/>
      </w:pPr>
      <w:rPr>
        <w:rFonts w:hint="default"/>
        <w:lang w:val="en-US" w:eastAsia="en-US" w:bidi="ar-SA"/>
      </w:rPr>
    </w:lvl>
    <w:lvl w:ilvl="4">
      <w:start w:val="0"/>
      <w:numFmt w:val="bullet"/>
      <w:lvlText w:val="•"/>
      <w:lvlJc w:val="left"/>
      <w:pPr>
        <w:ind w:left="1721" w:hanging="207"/>
      </w:pPr>
      <w:rPr>
        <w:rFonts w:hint="default"/>
        <w:lang w:val="en-US" w:eastAsia="en-US" w:bidi="ar-SA"/>
      </w:rPr>
    </w:lvl>
    <w:lvl w:ilvl="5">
      <w:start w:val="0"/>
      <w:numFmt w:val="bullet"/>
      <w:lvlText w:val="•"/>
      <w:lvlJc w:val="left"/>
      <w:pPr>
        <w:ind w:left="2027" w:hanging="207"/>
      </w:pPr>
      <w:rPr>
        <w:rFonts w:hint="default"/>
        <w:lang w:val="en-US" w:eastAsia="en-US" w:bidi="ar-SA"/>
      </w:rPr>
    </w:lvl>
    <w:lvl w:ilvl="6">
      <w:start w:val="0"/>
      <w:numFmt w:val="bullet"/>
      <w:lvlText w:val="•"/>
      <w:lvlJc w:val="left"/>
      <w:pPr>
        <w:ind w:left="2332" w:hanging="207"/>
      </w:pPr>
      <w:rPr>
        <w:rFonts w:hint="default"/>
        <w:lang w:val="en-US" w:eastAsia="en-US" w:bidi="ar-SA"/>
      </w:rPr>
    </w:lvl>
    <w:lvl w:ilvl="7">
      <w:start w:val="0"/>
      <w:numFmt w:val="bullet"/>
      <w:lvlText w:val="•"/>
      <w:lvlJc w:val="left"/>
      <w:pPr>
        <w:ind w:left="2637" w:hanging="207"/>
      </w:pPr>
      <w:rPr>
        <w:rFonts w:hint="default"/>
        <w:lang w:val="en-US" w:eastAsia="en-US" w:bidi="ar-SA"/>
      </w:rPr>
    </w:lvl>
    <w:lvl w:ilvl="8">
      <w:start w:val="0"/>
      <w:numFmt w:val="bullet"/>
      <w:lvlText w:val="•"/>
      <w:lvlJc w:val="left"/>
      <w:pPr>
        <w:ind w:left="2943" w:hanging="207"/>
      </w:pPr>
      <w:rPr>
        <w:rFonts w:hint="default"/>
        <w:lang w:val="en-US" w:eastAsia="en-US" w:bidi="ar-SA"/>
      </w:rPr>
    </w:lvl>
  </w:abstractNum>
  <w:abstractNum w:abstractNumId="137">
    <w:multiLevelType w:val="hybridMultilevel"/>
    <w:lvl w:ilvl="0">
      <w:start w:val="1"/>
      <w:numFmt w:val="decimal"/>
      <w:lvlText w:val="%1."/>
      <w:lvlJc w:val="left"/>
      <w:pPr>
        <w:ind w:left="2673" w:hanging="428"/>
        <w:jc w:val="left"/>
      </w:pPr>
      <w:rPr>
        <w:rFonts w:hint="default" w:ascii="Times New Roman" w:hAnsi="Times New Roman" w:eastAsia="Times New Roman" w:cs="Times New Roman"/>
        <w:b/>
        <w:bCs/>
        <w:i w:val="0"/>
        <w:iCs w:val="0"/>
        <w:w w:val="100"/>
        <w:sz w:val="20"/>
        <w:szCs w:val="20"/>
        <w:lang w:val="en-US" w:eastAsia="en-US" w:bidi="ar-SA"/>
      </w:rPr>
    </w:lvl>
    <w:lvl w:ilvl="1">
      <w:start w:val="1"/>
      <w:numFmt w:val="lowerLetter"/>
      <w:lvlText w:val="%2."/>
      <w:lvlJc w:val="left"/>
      <w:pPr>
        <w:ind w:left="2601" w:hanging="356"/>
        <w:jc w:val="left"/>
      </w:pPr>
      <w:rPr>
        <w:rFonts w:hint="default" w:ascii="Times New Roman" w:hAnsi="Times New Roman" w:eastAsia="Times New Roman" w:cs="Times New Roman"/>
        <w:b/>
        <w:bCs/>
        <w:i w:val="0"/>
        <w:iCs w:val="0"/>
        <w:w w:val="100"/>
        <w:sz w:val="20"/>
        <w:szCs w:val="20"/>
        <w:lang w:val="en-US" w:eastAsia="en-US" w:bidi="ar-SA"/>
      </w:rPr>
    </w:lvl>
    <w:lvl w:ilvl="2">
      <w:start w:val="0"/>
      <w:numFmt w:val="bullet"/>
      <w:lvlText w:val="•"/>
      <w:lvlJc w:val="left"/>
      <w:pPr>
        <w:ind w:left="3700" w:hanging="356"/>
      </w:pPr>
      <w:rPr>
        <w:rFonts w:hint="default"/>
        <w:lang w:val="en-US" w:eastAsia="en-US" w:bidi="ar-SA"/>
      </w:rPr>
    </w:lvl>
    <w:lvl w:ilvl="3">
      <w:start w:val="0"/>
      <w:numFmt w:val="bullet"/>
      <w:lvlText w:val="•"/>
      <w:lvlJc w:val="left"/>
      <w:pPr>
        <w:ind w:left="4720" w:hanging="356"/>
      </w:pPr>
      <w:rPr>
        <w:rFonts w:hint="default"/>
        <w:lang w:val="en-US" w:eastAsia="en-US" w:bidi="ar-SA"/>
      </w:rPr>
    </w:lvl>
    <w:lvl w:ilvl="4">
      <w:start w:val="0"/>
      <w:numFmt w:val="bullet"/>
      <w:lvlText w:val="•"/>
      <w:lvlJc w:val="left"/>
      <w:pPr>
        <w:ind w:left="5741" w:hanging="356"/>
      </w:pPr>
      <w:rPr>
        <w:rFonts w:hint="default"/>
        <w:lang w:val="en-US" w:eastAsia="en-US" w:bidi="ar-SA"/>
      </w:rPr>
    </w:lvl>
    <w:lvl w:ilvl="5">
      <w:start w:val="0"/>
      <w:numFmt w:val="bullet"/>
      <w:lvlText w:val="•"/>
      <w:lvlJc w:val="left"/>
      <w:pPr>
        <w:ind w:left="6761" w:hanging="356"/>
      </w:pPr>
      <w:rPr>
        <w:rFonts w:hint="default"/>
        <w:lang w:val="en-US" w:eastAsia="en-US" w:bidi="ar-SA"/>
      </w:rPr>
    </w:lvl>
    <w:lvl w:ilvl="6">
      <w:start w:val="0"/>
      <w:numFmt w:val="bullet"/>
      <w:lvlText w:val="•"/>
      <w:lvlJc w:val="left"/>
      <w:pPr>
        <w:ind w:left="7782" w:hanging="356"/>
      </w:pPr>
      <w:rPr>
        <w:rFonts w:hint="default"/>
        <w:lang w:val="en-US" w:eastAsia="en-US" w:bidi="ar-SA"/>
      </w:rPr>
    </w:lvl>
    <w:lvl w:ilvl="7">
      <w:start w:val="0"/>
      <w:numFmt w:val="bullet"/>
      <w:lvlText w:val="•"/>
      <w:lvlJc w:val="left"/>
      <w:pPr>
        <w:ind w:left="8802" w:hanging="356"/>
      </w:pPr>
      <w:rPr>
        <w:rFonts w:hint="default"/>
        <w:lang w:val="en-US" w:eastAsia="en-US" w:bidi="ar-SA"/>
      </w:rPr>
    </w:lvl>
    <w:lvl w:ilvl="8">
      <w:start w:val="0"/>
      <w:numFmt w:val="bullet"/>
      <w:lvlText w:val="•"/>
      <w:lvlJc w:val="left"/>
      <w:pPr>
        <w:ind w:left="9823" w:hanging="356"/>
      </w:pPr>
      <w:rPr>
        <w:rFonts w:hint="default"/>
        <w:lang w:val="en-US" w:eastAsia="en-US" w:bidi="ar-SA"/>
      </w:rPr>
    </w:lvl>
  </w:abstractNum>
  <w:abstractNum w:abstractNumId="136">
    <w:multiLevelType w:val="hybridMultilevel"/>
    <w:lvl w:ilvl="0">
      <w:start w:val="1"/>
      <w:numFmt w:val="decimal"/>
      <w:lvlText w:val="%1."/>
      <w:lvlJc w:val="left"/>
      <w:pPr>
        <w:ind w:left="2246" w:hanging="721"/>
        <w:jc w:val="left"/>
      </w:pPr>
      <w:rPr>
        <w:rFonts w:hint="default" w:ascii="Times New Roman" w:hAnsi="Times New Roman" w:eastAsia="Times New Roman" w:cs="Times New Roman"/>
        <w:b w:val="0"/>
        <w:bCs w:val="0"/>
        <w:i w:val="0"/>
        <w:iCs w:val="0"/>
        <w:w w:val="100"/>
        <w:sz w:val="20"/>
        <w:szCs w:val="20"/>
        <w:lang w:val="en-US" w:eastAsia="en-US" w:bidi="ar-SA"/>
      </w:rPr>
    </w:lvl>
    <w:lvl w:ilvl="1">
      <w:start w:val="0"/>
      <w:numFmt w:val="bullet"/>
      <w:lvlText w:val="•"/>
      <w:lvlJc w:val="left"/>
      <w:pPr>
        <w:ind w:left="3202" w:hanging="721"/>
      </w:pPr>
      <w:rPr>
        <w:rFonts w:hint="default"/>
        <w:lang w:val="en-US" w:eastAsia="en-US" w:bidi="ar-SA"/>
      </w:rPr>
    </w:lvl>
    <w:lvl w:ilvl="2">
      <w:start w:val="0"/>
      <w:numFmt w:val="bullet"/>
      <w:lvlText w:val="•"/>
      <w:lvlJc w:val="left"/>
      <w:pPr>
        <w:ind w:left="4164" w:hanging="721"/>
      </w:pPr>
      <w:rPr>
        <w:rFonts w:hint="default"/>
        <w:lang w:val="en-US" w:eastAsia="en-US" w:bidi="ar-SA"/>
      </w:rPr>
    </w:lvl>
    <w:lvl w:ilvl="3">
      <w:start w:val="0"/>
      <w:numFmt w:val="bullet"/>
      <w:lvlText w:val="•"/>
      <w:lvlJc w:val="left"/>
      <w:pPr>
        <w:ind w:left="5127" w:hanging="721"/>
      </w:pPr>
      <w:rPr>
        <w:rFonts w:hint="default"/>
        <w:lang w:val="en-US" w:eastAsia="en-US" w:bidi="ar-SA"/>
      </w:rPr>
    </w:lvl>
    <w:lvl w:ilvl="4">
      <w:start w:val="0"/>
      <w:numFmt w:val="bullet"/>
      <w:lvlText w:val="•"/>
      <w:lvlJc w:val="left"/>
      <w:pPr>
        <w:ind w:left="6089" w:hanging="721"/>
      </w:pPr>
      <w:rPr>
        <w:rFonts w:hint="default"/>
        <w:lang w:val="en-US" w:eastAsia="en-US" w:bidi="ar-SA"/>
      </w:rPr>
    </w:lvl>
    <w:lvl w:ilvl="5">
      <w:start w:val="0"/>
      <w:numFmt w:val="bullet"/>
      <w:lvlText w:val="•"/>
      <w:lvlJc w:val="left"/>
      <w:pPr>
        <w:ind w:left="7052" w:hanging="721"/>
      </w:pPr>
      <w:rPr>
        <w:rFonts w:hint="default"/>
        <w:lang w:val="en-US" w:eastAsia="en-US" w:bidi="ar-SA"/>
      </w:rPr>
    </w:lvl>
    <w:lvl w:ilvl="6">
      <w:start w:val="0"/>
      <w:numFmt w:val="bullet"/>
      <w:lvlText w:val="•"/>
      <w:lvlJc w:val="left"/>
      <w:pPr>
        <w:ind w:left="8014" w:hanging="721"/>
      </w:pPr>
      <w:rPr>
        <w:rFonts w:hint="default"/>
        <w:lang w:val="en-US" w:eastAsia="en-US" w:bidi="ar-SA"/>
      </w:rPr>
    </w:lvl>
    <w:lvl w:ilvl="7">
      <w:start w:val="0"/>
      <w:numFmt w:val="bullet"/>
      <w:lvlText w:val="•"/>
      <w:lvlJc w:val="left"/>
      <w:pPr>
        <w:ind w:left="8976" w:hanging="721"/>
      </w:pPr>
      <w:rPr>
        <w:rFonts w:hint="default"/>
        <w:lang w:val="en-US" w:eastAsia="en-US" w:bidi="ar-SA"/>
      </w:rPr>
    </w:lvl>
    <w:lvl w:ilvl="8">
      <w:start w:val="0"/>
      <w:numFmt w:val="bullet"/>
      <w:lvlText w:val="•"/>
      <w:lvlJc w:val="left"/>
      <w:pPr>
        <w:ind w:left="9939" w:hanging="721"/>
      </w:pPr>
      <w:rPr>
        <w:rFonts w:hint="default"/>
        <w:lang w:val="en-US" w:eastAsia="en-US" w:bidi="ar-SA"/>
      </w:rPr>
    </w:lvl>
  </w:abstractNum>
  <w:abstractNum w:abstractNumId="135">
    <w:multiLevelType w:val="hybridMultilevel"/>
    <w:lvl w:ilvl="0">
      <w:start w:val="5"/>
      <w:numFmt w:val="decimal"/>
      <w:lvlText w:val="%1-"/>
      <w:lvlJc w:val="left"/>
      <w:pPr>
        <w:ind w:left="12" w:hanging="154"/>
        <w:jc w:val="left"/>
      </w:pPr>
      <w:rPr>
        <w:rFonts w:hint="default" w:ascii="Times New Roman" w:hAnsi="Times New Roman" w:eastAsia="Times New Roman" w:cs="Times New Roman"/>
        <w:b w:val="0"/>
        <w:bCs w:val="0"/>
        <w:i w:val="0"/>
        <w:iCs w:val="0"/>
        <w:spacing w:val="0"/>
        <w:w w:val="99"/>
        <w:sz w:val="14"/>
        <w:szCs w:val="14"/>
        <w:lang w:val="en-US" w:eastAsia="en-US" w:bidi="ar-SA"/>
      </w:rPr>
    </w:lvl>
    <w:lvl w:ilvl="1">
      <w:start w:val="0"/>
      <w:numFmt w:val="bullet"/>
      <w:lvlText w:val="•"/>
      <w:lvlJc w:val="left"/>
      <w:pPr>
        <w:ind w:left="119" w:hanging="154"/>
      </w:pPr>
      <w:rPr>
        <w:rFonts w:hint="default"/>
        <w:lang w:val="en-US" w:eastAsia="en-US" w:bidi="ar-SA"/>
      </w:rPr>
    </w:lvl>
    <w:lvl w:ilvl="2">
      <w:start w:val="0"/>
      <w:numFmt w:val="bullet"/>
      <w:lvlText w:val="•"/>
      <w:lvlJc w:val="left"/>
      <w:pPr>
        <w:ind w:left="218" w:hanging="154"/>
      </w:pPr>
      <w:rPr>
        <w:rFonts w:hint="default"/>
        <w:lang w:val="en-US" w:eastAsia="en-US" w:bidi="ar-SA"/>
      </w:rPr>
    </w:lvl>
    <w:lvl w:ilvl="3">
      <w:start w:val="0"/>
      <w:numFmt w:val="bullet"/>
      <w:lvlText w:val="•"/>
      <w:lvlJc w:val="left"/>
      <w:pPr>
        <w:ind w:left="317" w:hanging="154"/>
      </w:pPr>
      <w:rPr>
        <w:rFonts w:hint="default"/>
        <w:lang w:val="en-US" w:eastAsia="en-US" w:bidi="ar-SA"/>
      </w:rPr>
    </w:lvl>
    <w:lvl w:ilvl="4">
      <w:start w:val="0"/>
      <w:numFmt w:val="bullet"/>
      <w:lvlText w:val="•"/>
      <w:lvlJc w:val="left"/>
      <w:pPr>
        <w:ind w:left="416" w:hanging="154"/>
      </w:pPr>
      <w:rPr>
        <w:rFonts w:hint="default"/>
        <w:lang w:val="en-US" w:eastAsia="en-US" w:bidi="ar-SA"/>
      </w:rPr>
    </w:lvl>
    <w:lvl w:ilvl="5">
      <w:start w:val="0"/>
      <w:numFmt w:val="bullet"/>
      <w:lvlText w:val="•"/>
      <w:lvlJc w:val="left"/>
      <w:pPr>
        <w:ind w:left="516" w:hanging="154"/>
      </w:pPr>
      <w:rPr>
        <w:rFonts w:hint="default"/>
        <w:lang w:val="en-US" w:eastAsia="en-US" w:bidi="ar-SA"/>
      </w:rPr>
    </w:lvl>
    <w:lvl w:ilvl="6">
      <w:start w:val="0"/>
      <w:numFmt w:val="bullet"/>
      <w:lvlText w:val="•"/>
      <w:lvlJc w:val="left"/>
      <w:pPr>
        <w:ind w:left="615" w:hanging="154"/>
      </w:pPr>
      <w:rPr>
        <w:rFonts w:hint="default"/>
        <w:lang w:val="en-US" w:eastAsia="en-US" w:bidi="ar-SA"/>
      </w:rPr>
    </w:lvl>
    <w:lvl w:ilvl="7">
      <w:start w:val="0"/>
      <w:numFmt w:val="bullet"/>
      <w:lvlText w:val="•"/>
      <w:lvlJc w:val="left"/>
      <w:pPr>
        <w:ind w:left="714" w:hanging="154"/>
      </w:pPr>
      <w:rPr>
        <w:rFonts w:hint="default"/>
        <w:lang w:val="en-US" w:eastAsia="en-US" w:bidi="ar-SA"/>
      </w:rPr>
    </w:lvl>
    <w:lvl w:ilvl="8">
      <w:start w:val="0"/>
      <w:numFmt w:val="bullet"/>
      <w:lvlText w:val="•"/>
      <w:lvlJc w:val="left"/>
      <w:pPr>
        <w:ind w:left="813" w:hanging="154"/>
      </w:pPr>
      <w:rPr>
        <w:rFonts w:hint="default"/>
        <w:lang w:val="en-US" w:eastAsia="en-US" w:bidi="ar-SA"/>
      </w:rPr>
    </w:lvl>
  </w:abstractNum>
  <w:abstractNum w:abstractNumId="134">
    <w:multiLevelType w:val="hybridMultilevel"/>
    <w:lvl w:ilvl="0">
      <w:start w:val="5"/>
      <w:numFmt w:val="decimal"/>
      <w:lvlText w:val="%1-"/>
      <w:lvlJc w:val="left"/>
      <w:pPr>
        <w:ind w:left="28" w:hanging="154"/>
        <w:jc w:val="left"/>
      </w:pPr>
      <w:rPr>
        <w:rFonts w:hint="default" w:ascii="Times New Roman" w:hAnsi="Times New Roman" w:eastAsia="Times New Roman" w:cs="Times New Roman"/>
        <w:b w:val="0"/>
        <w:bCs w:val="0"/>
        <w:i w:val="0"/>
        <w:iCs w:val="0"/>
        <w:spacing w:val="0"/>
        <w:w w:val="99"/>
        <w:sz w:val="14"/>
        <w:szCs w:val="14"/>
        <w:lang w:val="en-US" w:eastAsia="en-US" w:bidi="ar-SA"/>
      </w:rPr>
    </w:lvl>
    <w:lvl w:ilvl="1">
      <w:start w:val="0"/>
      <w:numFmt w:val="bullet"/>
      <w:lvlText w:val="•"/>
      <w:lvlJc w:val="left"/>
      <w:pPr>
        <w:ind w:left="114" w:hanging="154"/>
      </w:pPr>
      <w:rPr>
        <w:rFonts w:hint="default"/>
        <w:lang w:val="en-US" w:eastAsia="en-US" w:bidi="ar-SA"/>
      </w:rPr>
    </w:lvl>
    <w:lvl w:ilvl="2">
      <w:start w:val="0"/>
      <w:numFmt w:val="bullet"/>
      <w:lvlText w:val="•"/>
      <w:lvlJc w:val="left"/>
      <w:pPr>
        <w:ind w:left="209" w:hanging="154"/>
      </w:pPr>
      <w:rPr>
        <w:rFonts w:hint="default"/>
        <w:lang w:val="en-US" w:eastAsia="en-US" w:bidi="ar-SA"/>
      </w:rPr>
    </w:lvl>
    <w:lvl w:ilvl="3">
      <w:start w:val="0"/>
      <w:numFmt w:val="bullet"/>
      <w:lvlText w:val="•"/>
      <w:lvlJc w:val="left"/>
      <w:pPr>
        <w:ind w:left="304" w:hanging="154"/>
      </w:pPr>
      <w:rPr>
        <w:rFonts w:hint="default"/>
        <w:lang w:val="en-US" w:eastAsia="en-US" w:bidi="ar-SA"/>
      </w:rPr>
    </w:lvl>
    <w:lvl w:ilvl="4">
      <w:start w:val="0"/>
      <w:numFmt w:val="bullet"/>
      <w:lvlText w:val="•"/>
      <w:lvlJc w:val="left"/>
      <w:pPr>
        <w:ind w:left="399" w:hanging="154"/>
      </w:pPr>
      <w:rPr>
        <w:rFonts w:hint="default"/>
        <w:lang w:val="en-US" w:eastAsia="en-US" w:bidi="ar-SA"/>
      </w:rPr>
    </w:lvl>
    <w:lvl w:ilvl="5">
      <w:start w:val="0"/>
      <w:numFmt w:val="bullet"/>
      <w:lvlText w:val="•"/>
      <w:lvlJc w:val="left"/>
      <w:pPr>
        <w:ind w:left="494" w:hanging="154"/>
      </w:pPr>
      <w:rPr>
        <w:rFonts w:hint="default"/>
        <w:lang w:val="en-US" w:eastAsia="en-US" w:bidi="ar-SA"/>
      </w:rPr>
    </w:lvl>
    <w:lvl w:ilvl="6">
      <w:start w:val="0"/>
      <w:numFmt w:val="bullet"/>
      <w:lvlText w:val="•"/>
      <w:lvlJc w:val="left"/>
      <w:pPr>
        <w:ind w:left="589" w:hanging="154"/>
      </w:pPr>
      <w:rPr>
        <w:rFonts w:hint="default"/>
        <w:lang w:val="en-US" w:eastAsia="en-US" w:bidi="ar-SA"/>
      </w:rPr>
    </w:lvl>
    <w:lvl w:ilvl="7">
      <w:start w:val="0"/>
      <w:numFmt w:val="bullet"/>
      <w:lvlText w:val="•"/>
      <w:lvlJc w:val="left"/>
      <w:pPr>
        <w:ind w:left="684" w:hanging="154"/>
      </w:pPr>
      <w:rPr>
        <w:rFonts w:hint="default"/>
        <w:lang w:val="en-US" w:eastAsia="en-US" w:bidi="ar-SA"/>
      </w:rPr>
    </w:lvl>
    <w:lvl w:ilvl="8">
      <w:start w:val="0"/>
      <w:numFmt w:val="bullet"/>
      <w:lvlText w:val="•"/>
      <w:lvlJc w:val="left"/>
      <w:pPr>
        <w:ind w:left="779" w:hanging="154"/>
      </w:pPr>
      <w:rPr>
        <w:rFonts w:hint="default"/>
        <w:lang w:val="en-US" w:eastAsia="en-US" w:bidi="ar-SA"/>
      </w:rPr>
    </w:lvl>
  </w:abstractNum>
  <w:abstractNum w:abstractNumId="133">
    <w:multiLevelType w:val="hybridMultilevel"/>
    <w:lvl w:ilvl="0">
      <w:start w:val="1"/>
      <w:numFmt w:val="decimal"/>
      <w:lvlText w:val="%1-"/>
      <w:lvlJc w:val="left"/>
      <w:pPr>
        <w:ind w:left="12" w:hanging="120"/>
        <w:jc w:val="left"/>
      </w:pPr>
      <w:rPr>
        <w:rFonts w:hint="default" w:ascii="Times New Roman" w:hAnsi="Times New Roman" w:eastAsia="Times New Roman" w:cs="Times New Roman"/>
        <w:b w:val="0"/>
        <w:bCs w:val="0"/>
        <w:i w:val="0"/>
        <w:iCs w:val="0"/>
        <w:spacing w:val="1"/>
        <w:w w:val="99"/>
        <w:sz w:val="12"/>
        <w:szCs w:val="12"/>
        <w:lang w:val="en-US" w:eastAsia="en-US" w:bidi="ar-SA"/>
      </w:rPr>
    </w:lvl>
    <w:lvl w:ilvl="1">
      <w:start w:val="0"/>
      <w:numFmt w:val="bullet"/>
      <w:lvlText w:val="•"/>
      <w:lvlJc w:val="left"/>
      <w:pPr>
        <w:ind w:left="119" w:hanging="120"/>
      </w:pPr>
      <w:rPr>
        <w:rFonts w:hint="default"/>
        <w:lang w:val="en-US" w:eastAsia="en-US" w:bidi="ar-SA"/>
      </w:rPr>
    </w:lvl>
    <w:lvl w:ilvl="2">
      <w:start w:val="0"/>
      <w:numFmt w:val="bullet"/>
      <w:lvlText w:val="•"/>
      <w:lvlJc w:val="left"/>
      <w:pPr>
        <w:ind w:left="218" w:hanging="120"/>
      </w:pPr>
      <w:rPr>
        <w:rFonts w:hint="default"/>
        <w:lang w:val="en-US" w:eastAsia="en-US" w:bidi="ar-SA"/>
      </w:rPr>
    </w:lvl>
    <w:lvl w:ilvl="3">
      <w:start w:val="0"/>
      <w:numFmt w:val="bullet"/>
      <w:lvlText w:val="•"/>
      <w:lvlJc w:val="left"/>
      <w:pPr>
        <w:ind w:left="317" w:hanging="120"/>
      </w:pPr>
      <w:rPr>
        <w:rFonts w:hint="default"/>
        <w:lang w:val="en-US" w:eastAsia="en-US" w:bidi="ar-SA"/>
      </w:rPr>
    </w:lvl>
    <w:lvl w:ilvl="4">
      <w:start w:val="0"/>
      <w:numFmt w:val="bullet"/>
      <w:lvlText w:val="•"/>
      <w:lvlJc w:val="left"/>
      <w:pPr>
        <w:ind w:left="416" w:hanging="120"/>
      </w:pPr>
      <w:rPr>
        <w:rFonts w:hint="default"/>
        <w:lang w:val="en-US" w:eastAsia="en-US" w:bidi="ar-SA"/>
      </w:rPr>
    </w:lvl>
    <w:lvl w:ilvl="5">
      <w:start w:val="0"/>
      <w:numFmt w:val="bullet"/>
      <w:lvlText w:val="•"/>
      <w:lvlJc w:val="left"/>
      <w:pPr>
        <w:ind w:left="516" w:hanging="120"/>
      </w:pPr>
      <w:rPr>
        <w:rFonts w:hint="default"/>
        <w:lang w:val="en-US" w:eastAsia="en-US" w:bidi="ar-SA"/>
      </w:rPr>
    </w:lvl>
    <w:lvl w:ilvl="6">
      <w:start w:val="0"/>
      <w:numFmt w:val="bullet"/>
      <w:lvlText w:val="•"/>
      <w:lvlJc w:val="left"/>
      <w:pPr>
        <w:ind w:left="615" w:hanging="120"/>
      </w:pPr>
      <w:rPr>
        <w:rFonts w:hint="default"/>
        <w:lang w:val="en-US" w:eastAsia="en-US" w:bidi="ar-SA"/>
      </w:rPr>
    </w:lvl>
    <w:lvl w:ilvl="7">
      <w:start w:val="0"/>
      <w:numFmt w:val="bullet"/>
      <w:lvlText w:val="•"/>
      <w:lvlJc w:val="left"/>
      <w:pPr>
        <w:ind w:left="714" w:hanging="120"/>
      </w:pPr>
      <w:rPr>
        <w:rFonts w:hint="default"/>
        <w:lang w:val="en-US" w:eastAsia="en-US" w:bidi="ar-SA"/>
      </w:rPr>
    </w:lvl>
    <w:lvl w:ilvl="8">
      <w:start w:val="0"/>
      <w:numFmt w:val="bullet"/>
      <w:lvlText w:val="•"/>
      <w:lvlJc w:val="left"/>
      <w:pPr>
        <w:ind w:left="813" w:hanging="120"/>
      </w:pPr>
      <w:rPr>
        <w:rFonts w:hint="default"/>
        <w:lang w:val="en-US" w:eastAsia="en-US" w:bidi="ar-SA"/>
      </w:rPr>
    </w:lvl>
  </w:abstractNum>
  <w:abstractNum w:abstractNumId="132">
    <w:multiLevelType w:val="hybridMultilevel"/>
    <w:lvl w:ilvl="0">
      <w:start w:val="6"/>
      <w:numFmt w:val="decimal"/>
      <w:lvlText w:val="%1-"/>
      <w:lvlJc w:val="left"/>
      <w:pPr>
        <w:ind w:left="132" w:hanging="120"/>
        <w:jc w:val="left"/>
      </w:pPr>
      <w:rPr>
        <w:rFonts w:hint="default" w:ascii="Times New Roman" w:hAnsi="Times New Roman" w:eastAsia="Times New Roman" w:cs="Times New Roman"/>
        <w:b w:val="0"/>
        <w:bCs w:val="0"/>
        <w:i w:val="0"/>
        <w:iCs w:val="0"/>
        <w:spacing w:val="1"/>
        <w:w w:val="99"/>
        <w:sz w:val="12"/>
        <w:szCs w:val="12"/>
        <w:lang w:val="en-US" w:eastAsia="en-US" w:bidi="ar-SA"/>
      </w:rPr>
    </w:lvl>
    <w:lvl w:ilvl="1">
      <w:start w:val="0"/>
      <w:numFmt w:val="bullet"/>
      <w:lvlText w:val="•"/>
      <w:lvlJc w:val="left"/>
      <w:pPr>
        <w:ind w:left="246" w:hanging="120"/>
      </w:pPr>
      <w:rPr>
        <w:rFonts w:hint="default"/>
        <w:lang w:val="en-US" w:eastAsia="en-US" w:bidi="ar-SA"/>
      </w:rPr>
    </w:lvl>
    <w:lvl w:ilvl="2">
      <w:start w:val="0"/>
      <w:numFmt w:val="bullet"/>
      <w:lvlText w:val="•"/>
      <w:lvlJc w:val="left"/>
      <w:pPr>
        <w:ind w:left="352" w:hanging="120"/>
      </w:pPr>
      <w:rPr>
        <w:rFonts w:hint="default"/>
        <w:lang w:val="en-US" w:eastAsia="en-US" w:bidi="ar-SA"/>
      </w:rPr>
    </w:lvl>
    <w:lvl w:ilvl="3">
      <w:start w:val="0"/>
      <w:numFmt w:val="bullet"/>
      <w:lvlText w:val="•"/>
      <w:lvlJc w:val="left"/>
      <w:pPr>
        <w:ind w:left="458" w:hanging="120"/>
      </w:pPr>
      <w:rPr>
        <w:rFonts w:hint="default"/>
        <w:lang w:val="en-US" w:eastAsia="en-US" w:bidi="ar-SA"/>
      </w:rPr>
    </w:lvl>
    <w:lvl w:ilvl="4">
      <w:start w:val="0"/>
      <w:numFmt w:val="bullet"/>
      <w:lvlText w:val="•"/>
      <w:lvlJc w:val="left"/>
      <w:pPr>
        <w:ind w:left="564" w:hanging="120"/>
      </w:pPr>
      <w:rPr>
        <w:rFonts w:hint="default"/>
        <w:lang w:val="en-US" w:eastAsia="en-US" w:bidi="ar-SA"/>
      </w:rPr>
    </w:lvl>
    <w:lvl w:ilvl="5">
      <w:start w:val="0"/>
      <w:numFmt w:val="bullet"/>
      <w:lvlText w:val="•"/>
      <w:lvlJc w:val="left"/>
      <w:pPr>
        <w:ind w:left="670" w:hanging="120"/>
      </w:pPr>
      <w:rPr>
        <w:rFonts w:hint="default"/>
        <w:lang w:val="en-US" w:eastAsia="en-US" w:bidi="ar-SA"/>
      </w:rPr>
    </w:lvl>
    <w:lvl w:ilvl="6">
      <w:start w:val="0"/>
      <w:numFmt w:val="bullet"/>
      <w:lvlText w:val="•"/>
      <w:lvlJc w:val="left"/>
      <w:pPr>
        <w:ind w:left="776" w:hanging="120"/>
      </w:pPr>
      <w:rPr>
        <w:rFonts w:hint="default"/>
        <w:lang w:val="en-US" w:eastAsia="en-US" w:bidi="ar-SA"/>
      </w:rPr>
    </w:lvl>
    <w:lvl w:ilvl="7">
      <w:start w:val="0"/>
      <w:numFmt w:val="bullet"/>
      <w:lvlText w:val="•"/>
      <w:lvlJc w:val="left"/>
      <w:pPr>
        <w:ind w:left="882" w:hanging="120"/>
      </w:pPr>
      <w:rPr>
        <w:rFonts w:hint="default"/>
        <w:lang w:val="en-US" w:eastAsia="en-US" w:bidi="ar-SA"/>
      </w:rPr>
    </w:lvl>
    <w:lvl w:ilvl="8">
      <w:start w:val="0"/>
      <w:numFmt w:val="bullet"/>
      <w:lvlText w:val="•"/>
      <w:lvlJc w:val="left"/>
      <w:pPr>
        <w:ind w:left="988" w:hanging="120"/>
      </w:pPr>
      <w:rPr>
        <w:rFonts w:hint="default"/>
        <w:lang w:val="en-US" w:eastAsia="en-US" w:bidi="ar-SA"/>
      </w:rPr>
    </w:lvl>
  </w:abstractNum>
  <w:abstractNum w:abstractNumId="131">
    <w:multiLevelType w:val="hybridMultilevel"/>
    <w:lvl w:ilvl="0">
      <w:start w:val="1"/>
      <w:numFmt w:val="decimal"/>
      <w:lvlText w:val="%1-"/>
      <w:lvlJc w:val="left"/>
      <w:pPr>
        <w:ind w:left="28" w:hanging="120"/>
        <w:jc w:val="left"/>
      </w:pPr>
      <w:rPr>
        <w:rFonts w:hint="default" w:ascii="Times New Roman" w:hAnsi="Times New Roman" w:eastAsia="Times New Roman" w:cs="Times New Roman"/>
        <w:b w:val="0"/>
        <w:bCs w:val="0"/>
        <w:i w:val="0"/>
        <w:iCs w:val="0"/>
        <w:spacing w:val="1"/>
        <w:w w:val="99"/>
        <w:sz w:val="12"/>
        <w:szCs w:val="12"/>
        <w:lang w:val="en-US" w:eastAsia="en-US" w:bidi="ar-SA"/>
      </w:rPr>
    </w:lvl>
    <w:lvl w:ilvl="1">
      <w:start w:val="0"/>
      <w:numFmt w:val="bullet"/>
      <w:lvlText w:val="•"/>
      <w:lvlJc w:val="left"/>
      <w:pPr>
        <w:ind w:left="114" w:hanging="120"/>
      </w:pPr>
      <w:rPr>
        <w:rFonts w:hint="default"/>
        <w:lang w:val="en-US" w:eastAsia="en-US" w:bidi="ar-SA"/>
      </w:rPr>
    </w:lvl>
    <w:lvl w:ilvl="2">
      <w:start w:val="0"/>
      <w:numFmt w:val="bullet"/>
      <w:lvlText w:val="•"/>
      <w:lvlJc w:val="left"/>
      <w:pPr>
        <w:ind w:left="209" w:hanging="120"/>
      </w:pPr>
      <w:rPr>
        <w:rFonts w:hint="default"/>
        <w:lang w:val="en-US" w:eastAsia="en-US" w:bidi="ar-SA"/>
      </w:rPr>
    </w:lvl>
    <w:lvl w:ilvl="3">
      <w:start w:val="0"/>
      <w:numFmt w:val="bullet"/>
      <w:lvlText w:val="•"/>
      <w:lvlJc w:val="left"/>
      <w:pPr>
        <w:ind w:left="304" w:hanging="120"/>
      </w:pPr>
      <w:rPr>
        <w:rFonts w:hint="default"/>
        <w:lang w:val="en-US" w:eastAsia="en-US" w:bidi="ar-SA"/>
      </w:rPr>
    </w:lvl>
    <w:lvl w:ilvl="4">
      <w:start w:val="0"/>
      <w:numFmt w:val="bullet"/>
      <w:lvlText w:val="•"/>
      <w:lvlJc w:val="left"/>
      <w:pPr>
        <w:ind w:left="399" w:hanging="120"/>
      </w:pPr>
      <w:rPr>
        <w:rFonts w:hint="default"/>
        <w:lang w:val="en-US" w:eastAsia="en-US" w:bidi="ar-SA"/>
      </w:rPr>
    </w:lvl>
    <w:lvl w:ilvl="5">
      <w:start w:val="0"/>
      <w:numFmt w:val="bullet"/>
      <w:lvlText w:val="•"/>
      <w:lvlJc w:val="left"/>
      <w:pPr>
        <w:ind w:left="494" w:hanging="120"/>
      </w:pPr>
      <w:rPr>
        <w:rFonts w:hint="default"/>
        <w:lang w:val="en-US" w:eastAsia="en-US" w:bidi="ar-SA"/>
      </w:rPr>
    </w:lvl>
    <w:lvl w:ilvl="6">
      <w:start w:val="0"/>
      <w:numFmt w:val="bullet"/>
      <w:lvlText w:val="•"/>
      <w:lvlJc w:val="left"/>
      <w:pPr>
        <w:ind w:left="589" w:hanging="120"/>
      </w:pPr>
      <w:rPr>
        <w:rFonts w:hint="default"/>
        <w:lang w:val="en-US" w:eastAsia="en-US" w:bidi="ar-SA"/>
      </w:rPr>
    </w:lvl>
    <w:lvl w:ilvl="7">
      <w:start w:val="0"/>
      <w:numFmt w:val="bullet"/>
      <w:lvlText w:val="•"/>
      <w:lvlJc w:val="left"/>
      <w:pPr>
        <w:ind w:left="684" w:hanging="120"/>
      </w:pPr>
      <w:rPr>
        <w:rFonts w:hint="default"/>
        <w:lang w:val="en-US" w:eastAsia="en-US" w:bidi="ar-SA"/>
      </w:rPr>
    </w:lvl>
    <w:lvl w:ilvl="8">
      <w:start w:val="0"/>
      <w:numFmt w:val="bullet"/>
      <w:lvlText w:val="•"/>
      <w:lvlJc w:val="left"/>
      <w:pPr>
        <w:ind w:left="779" w:hanging="120"/>
      </w:pPr>
      <w:rPr>
        <w:rFonts w:hint="default"/>
        <w:lang w:val="en-US" w:eastAsia="en-US" w:bidi="ar-SA"/>
      </w:rPr>
    </w:lvl>
  </w:abstractNum>
  <w:abstractNum w:abstractNumId="130">
    <w:multiLevelType w:val="hybridMultilevel"/>
    <w:lvl w:ilvl="0">
      <w:start w:val="7"/>
      <w:numFmt w:val="decimal"/>
      <w:lvlText w:val="%1-"/>
      <w:lvlJc w:val="left"/>
      <w:pPr>
        <w:ind w:left="133" w:hanging="120"/>
        <w:jc w:val="left"/>
      </w:pPr>
      <w:rPr>
        <w:rFonts w:hint="default" w:ascii="Times New Roman" w:hAnsi="Times New Roman" w:eastAsia="Times New Roman" w:cs="Times New Roman"/>
        <w:b w:val="0"/>
        <w:bCs w:val="0"/>
        <w:i w:val="0"/>
        <w:iCs w:val="0"/>
        <w:spacing w:val="1"/>
        <w:w w:val="99"/>
        <w:sz w:val="12"/>
        <w:szCs w:val="12"/>
        <w:lang w:val="en-US" w:eastAsia="en-US" w:bidi="ar-SA"/>
      </w:rPr>
    </w:lvl>
    <w:lvl w:ilvl="1">
      <w:start w:val="0"/>
      <w:numFmt w:val="bullet"/>
      <w:lvlText w:val="•"/>
      <w:lvlJc w:val="left"/>
      <w:pPr>
        <w:ind w:left="239" w:hanging="120"/>
      </w:pPr>
      <w:rPr>
        <w:rFonts w:hint="default"/>
        <w:lang w:val="en-US" w:eastAsia="en-US" w:bidi="ar-SA"/>
      </w:rPr>
    </w:lvl>
    <w:lvl w:ilvl="2">
      <w:start w:val="0"/>
      <w:numFmt w:val="bullet"/>
      <w:lvlText w:val="•"/>
      <w:lvlJc w:val="left"/>
      <w:pPr>
        <w:ind w:left="339" w:hanging="120"/>
      </w:pPr>
      <w:rPr>
        <w:rFonts w:hint="default"/>
        <w:lang w:val="en-US" w:eastAsia="en-US" w:bidi="ar-SA"/>
      </w:rPr>
    </w:lvl>
    <w:lvl w:ilvl="3">
      <w:start w:val="0"/>
      <w:numFmt w:val="bullet"/>
      <w:lvlText w:val="•"/>
      <w:lvlJc w:val="left"/>
      <w:pPr>
        <w:ind w:left="438" w:hanging="120"/>
      </w:pPr>
      <w:rPr>
        <w:rFonts w:hint="default"/>
        <w:lang w:val="en-US" w:eastAsia="en-US" w:bidi="ar-SA"/>
      </w:rPr>
    </w:lvl>
    <w:lvl w:ilvl="4">
      <w:start w:val="0"/>
      <w:numFmt w:val="bullet"/>
      <w:lvlText w:val="•"/>
      <w:lvlJc w:val="left"/>
      <w:pPr>
        <w:ind w:left="538" w:hanging="120"/>
      </w:pPr>
      <w:rPr>
        <w:rFonts w:hint="default"/>
        <w:lang w:val="en-US" w:eastAsia="en-US" w:bidi="ar-SA"/>
      </w:rPr>
    </w:lvl>
    <w:lvl w:ilvl="5">
      <w:start w:val="0"/>
      <w:numFmt w:val="bullet"/>
      <w:lvlText w:val="•"/>
      <w:lvlJc w:val="left"/>
      <w:pPr>
        <w:ind w:left="638" w:hanging="120"/>
      </w:pPr>
      <w:rPr>
        <w:rFonts w:hint="default"/>
        <w:lang w:val="en-US" w:eastAsia="en-US" w:bidi="ar-SA"/>
      </w:rPr>
    </w:lvl>
    <w:lvl w:ilvl="6">
      <w:start w:val="0"/>
      <w:numFmt w:val="bullet"/>
      <w:lvlText w:val="•"/>
      <w:lvlJc w:val="left"/>
      <w:pPr>
        <w:ind w:left="737" w:hanging="120"/>
      </w:pPr>
      <w:rPr>
        <w:rFonts w:hint="default"/>
        <w:lang w:val="en-US" w:eastAsia="en-US" w:bidi="ar-SA"/>
      </w:rPr>
    </w:lvl>
    <w:lvl w:ilvl="7">
      <w:start w:val="0"/>
      <w:numFmt w:val="bullet"/>
      <w:lvlText w:val="•"/>
      <w:lvlJc w:val="left"/>
      <w:pPr>
        <w:ind w:left="837" w:hanging="120"/>
      </w:pPr>
      <w:rPr>
        <w:rFonts w:hint="default"/>
        <w:lang w:val="en-US" w:eastAsia="en-US" w:bidi="ar-SA"/>
      </w:rPr>
    </w:lvl>
    <w:lvl w:ilvl="8">
      <w:start w:val="0"/>
      <w:numFmt w:val="bullet"/>
      <w:lvlText w:val="•"/>
      <w:lvlJc w:val="left"/>
      <w:pPr>
        <w:ind w:left="936" w:hanging="120"/>
      </w:pPr>
      <w:rPr>
        <w:rFonts w:hint="default"/>
        <w:lang w:val="en-US" w:eastAsia="en-US" w:bidi="ar-SA"/>
      </w:rPr>
    </w:lvl>
  </w:abstractNum>
  <w:abstractNum w:abstractNumId="129">
    <w:multiLevelType w:val="hybridMultilevel"/>
    <w:lvl w:ilvl="0">
      <w:start w:val="1"/>
      <w:numFmt w:val="decimal"/>
      <w:lvlText w:val="%1."/>
      <w:lvlJc w:val="left"/>
      <w:pPr>
        <w:ind w:left="2246" w:hanging="721"/>
        <w:jc w:val="left"/>
      </w:pPr>
      <w:rPr>
        <w:rFonts w:hint="default" w:ascii="Times New Roman" w:hAnsi="Times New Roman" w:eastAsia="Times New Roman" w:cs="Times New Roman"/>
        <w:b w:val="0"/>
        <w:bCs w:val="0"/>
        <w:i w:val="0"/>
        <w:iCs w:val="0"/>
        <w:w w:val="100"/>
        <w:sz w:val="20"/>
        <w:szCs w:val="20"/>
        <w:lang w:val="en-US" w:eastAsia="en-US" w:bidi="ar-SA"/>
      </w:rPr>
    </w:lvl>
    <w:lvl w:ilvl="1">
      <w:start w:val="1"/>
      <w:numFmt w:val="upperLetter"/>
      <w:lvlText w:val="%2."/>
      <w:lvlJc w:val="left"/>
      <w:pPr>
        <w:ind w:left="2967" w:hanging="361"/>
        <w:jc w:val="left"/>
      </w:pPr>
      <w:rPr>
        <w:rFonts w:hint="default" w:ascii="Times New Roman" w:hAnsi="Times New Roman" w:eastAsia="Times New Roman" w:cs="Times New Roman"/>
        <w:b/>
        <w:bCs/>
        <w:i w:val="0"/>
        <w:iCs w:val="0"/>
        <w:spacing w:val="-1"/>
        <w:w w:val="99"/>
        <w:sz w:val="24"/>
        <w:szCs w:val="24"/>
        <w:lang w:val="en-US" w:eastAsia="en-US" w:bidi="ar-SA"/>
      </w:rPr>
    </w:lvl>
    <w:lvl w:ilvl="2">
      <w:start w:val="0"/>
      <w:numFmt w:val="bullet"/>
      <w:lvlText w:val="•"/>
      <w:lvlJc w:val="left"/>
      <w:pPr>
        <w:ind w:left="3949" w:hanging="361"/>
      </w:pPr>
      <w:rPr>
        <w:rFonts w:hint="default"/>
        <w:lang w:val="en-US" w:eastAsia="en-US" w:bidi="ar-SA"/>
      </w:rPr>
    </w:lvl>
    <w:lvl w:ilvl="3">
      <w:start w:val="0"/>
      <w:numFmt w:val="bullet"/>
      <w:lvlText w:val="•"/>
      <w:lvlJc w:val="left"/>
      <w:pPr>
        <w:ind w:left="4938" w:hanging="361"/>
      </w:pPr>
      <w:rPr>
        <w:rFonts w:hint="default"/>
        <w:lang w:val="en-US" w:eastAsia="en-US" w:bidi="ar-SA"/>
      </w:rPr>
    </w:lvl>
    <w:lvl w:ilvl="4">
      <w:start w:val="0"/>
      <w:numFmt w:val="bullet"/>
      <w:lvlText w:val="•"/>
      <w:lvlJc w:val="left"/>
      <w:pPr>
        <w:ind w:left="5928" w:hanging="361"/>
      </w:pPr>
      <w:rPr>
        <w:rFonts w:hint="default"/>
        <w:lang w:val="en-US" w:eastAsia="en-US" w:bidi="ar-SA"/>
      </w:rPr>
    </w:lvl>
    <w:lvl w:ilvl="5">
      <w:start w:val="0"/>
      <w:numFmt w:val="bullet"/>
      <w:lvlText w:val="•"/>
      <w:lvlJc w:val="left"/>
      <w:pPr>
        <w:ind w:left="6917" w:hanging="361"/>
      </w:pPr>
      <w:rPr>
        <w:rFonts w:hint="default"/>
        <w:lang w:val="en-US" w:eastAsia="en-US" w:bidi="ar-SA"/>
      </w:rPr>
    </w:lvl>
    <w:lvl w:ilvl="6">
      <w:start w:val="0"/>
      <w:numFmt w:val="bullet"/>
      <w:lvlText w:val="•"/>
      <w:lvlJc w:val="left"/>
      <w:pPr>
        <w:ind w:left="7906" w:hanging="361"/>
      </w:pPr>
      <w:rPr>
        <w:rFonts w:hint="default"/>
        <w:lang w:val="en-US" w:eastAsia="en-US" w:bidi="ar-SA"/>
      </w:rPr>
    </w:lvl>
    <w:lvl w:ilvl="7">
      <w:start w:val="0"/>
      <w:numFmt w:val="bullet"/>
      <w:lvlText w:val="•"/>
      <w:lvlJc w:val="left"/>
      <w:pPr>
        <w:ind w:left="8896" w:hanging="361"/>
      </w:pPr>
      <w:rPr>
        <w:rFonts w:hint="default"/>
        <w:lang w:val="en-US" w:eastAsia="en-US" w:bidi="ar-SA"/>
      </w:rPr>
    </w:lvl>
    <w:lvl w:ilvl="8">
      <w:start w:val="0"/>
      <w:numFmt w:val="bullet"/>
      <w:lvlText w:val="•"/>
      <w:lvlJc w:val="left"/>
      <w:pPr>
        <w:ind w:left="9885" w:hanging="361"/>
      </w:pPr>
      <w:rPr>
        <w:rFonts w:hint="default"/>
        <w:lang w:val="en-US" w:eastAsia="en-US" w:bidi="ar-SA"/>
      </w:rPr>
    </w:lvl>
  </w:abstractNum>
  <w:abstractNum w:abstractNumId="128">
    <w:multiLevelType w:val="hybridMultilevel"/>
    <w:lvl w:ilvl="0">
      <w:start w:val="1"/>
      <w:numFmt w:val="decimal"/>
      <w:lvlText w:val="%1."/>
      <w:lvlJc w:val="left"/>
      <w:pPr>
        <w:ind w:left="2246" w:hanging="721"/>
        <w:jc w:val="left"/>
      </w:pPr>
      <w:rPr>
        <w:rFonts w:hint="default" w:ascii="Times New Roman" w:hAnsi="Times New Roman" w:eastAsia="Times New Roman" w:cs="Times New Roman"/>
        <w:b w:val="0"/>
        <w:bCs w:val="0"/>
        <w:i w:val="0"/>
        <w:iCs w:val="0"/>
        <w:w w:val="100"/>
        <w:sz w:val="20"/>
        <w:szCs w:val="20"/>
        <w:lang w:val="en-US" w:eastAsia="en-US" w:bidi="ar-SA"/>
      </w:rPr>
    </w:lvl>
    <w:lvl w:ilvl="1">
      <w:start w:val="1"/>
      <w:numFmt w:val="upperLetter"/>
      <w:lvlText w:val="%2."/>
      <w:lvlJc w:val="left"/>
      <w:pPr>
        <w:ind w:left="2967" w:hanging="567"/>
        <w:jc w:val="left"/>
      </w:pPr>
      <w:rPr>
        <w:rFonts w:hint="default" w:ascii="Times New Roman" w:hAnsi="Times New Roman" w:eastAsia="Times New Roman" w:cs="Times New Roman"/>
        <w:b/>
        <w:bCs/>
        <w:i w:val="0"/>
        <w:iCs w:val="0"/>
        <w:spacing w:val="-1"/>
        <w:w w:val="99"/>
        <w:sz w:val="24"/>
        <w:szCs w:val="24"/>
        <w:lang w:val="en-US" w:eastAsia="en-US" w:bidi="ar-SA"/>
      </w:rPr>
    </w:lvl>
    <w:lvl w:ilvl="2">
      <w:start w:val="0"/>
      <w:numFmt w:val="bullet"/>
      <w:lvlText w:val="•"/>
      <w:lvlJc w:val="left"/>
      <w:pPr>
        <w:ind w:left="3949" w:hanging="567"/>
      </w:pPr>
      <w:rPr>
        <w:rFonts w:hint="default"/>
        <w:lang w:val="en-US" w:eastAsia="en-US" w:bidi="ar-SA"/>
      </w:rPr>
    </w:lvl>
    <w:lvl w:ilvl="3">
      <w:start w:val="0"/>
      <w:numFmt w:val="bullet"/>
      <w:lvlText w:val="•"/>
      <w:lvlJc w:val="left"/>
      <w:pPr>
        <w:ind w:left="4938" w:hanging="567"/>
      </w:pPr>
      <w:rPr>
        <w:rFonts w:hint="default"/>
        <w:lang w:val="en-US" w:eastAsia="en-US" w:bidi="ar-SA"/>
      </w:rPr>
    </w:lvl>
    <w:lvl w:ilvl="4">
      <w:start w:val="0"/>
      <w:numFmt w:val="bullet"/>
      <w:lvlText w:val="•"/>
      <w:lvlJc w:val="left"/>
      <w:pPr>
        <w:ind w:left="5928" w:hanging="567"/>
      </w:pPr>
      <w:rPr>
        <w:rFonts w:hint="default"/>
        <w:lang w:val="en-US" w:eastAsia="en-US" w:bidi="ar-SA"/>
      </w:rPr>
    </w:lvl>
    <w:lvl w:ilvl="5">
      <w:start w:val="0"/>
      <w:numFmt w:val="bullet"/>
      <w:lvlText w:val="•"/>
      <w:lvlJc w:val="left"/>
      <w:pPr>
        <w:ind w:left="6917" w:hanging="567"/>
      </w:pPr>
      <w:rPr>
        <w:rFonts w:hint="default"/>
        <w:lang w:val="en-US" w:eastAsia="en-US" w:bidi="ar-SA"/>
      </w:rPr>
    </w:lvl>
    <w:lvl w:ilvl="6">
      <w:start w:val="0"/>
      <w:numFmt w:val="bullet"/>
      <w:lvlText w:val="•"/>
      <w:lvlJc w:val="left"/>
      <w:pPr>
        <w:ind w:left="7906" w:hanging="567"/>
      </w:pPr>
      <w:rPr>
        <w:rFonts w:hint="default"/>
        <w:lang w:val="en-US" w:eastAsia="en-US" w:bidi="ar-SA"/>
      </w:rPr>
    </w:lvl>
    <w:lvl w:ilvl="7">
      <w:start w:val="0"/>
      <w:numFmt w:val="bullet"/>
      <w:lvlText w:val="•"/>
      <w:lvlJc w:val="left"/>
      <w:pPr>
        <w:ind w:left="8896" w:hanging="567"/>
      </w:pPr>
      <w:rPr>
        <w:rFonts w:hint="default"/>
        <w:lang w:val="en-US" w:eastAsia="en-US" w:bidi="ar-SA"/>
      </w:rPr>
    </w:lvl>
    <w:lvl w:ilvl="8">
      <w:start w:val="0"/>
      <w:numFmt w:val="bullet"/>
      <w:lvlText w:val="•"/>
      <w:lvlJc w:val="left"/>
      <w:pPr>
        <w:ind w:left="9885" w:hanging="567"/>
      </w:pPr>
      <w:rPr>
        <w:rFonts w:hint="default"/>
        <w:lang w:val="en-US" w:eastAsia="en-US" w:bidi="ar-SA"/>
      </w:rPr>
    </w:lvl>
  </w:abstractNum>
  <w:abstractNum w:abstractNumId="127">
    <w:multiLevelType w:val="hybridMultilevel"/>
    <w:lvl w:ilvl="0">
      <w:start w:val="1"/>
      <w:numFmt w:val="decimal"/>
      <w:lvlText w:val="%1."/>
      <w:lvlJc w:val="left"/>
      <w:pPr>
        <w:ind w:left="2246" w:hanging="721"/>
        <w:jc w:val="left"/>
      </w:pPr>
      <w:rPr>
        <w:rFonts w:hint="default" w:ascii="Times New Roman" w:hAnsi="Times New Roman" w:eastAsia="Times New Roman" w:cs="Times New Roman"/>
        <w:b w:val="0"/>
        <w:bCs w:val="0"/>
        <w:i w:val="0"/>
        <w:iCs w:val="0"/>
        <w:w w:val="100"/>
        <w:sz w:val="20"/>
        <w:szCs w:val="20"/>
        <w:lang w:val="en-US" w:eastAsia="en-US" w:bidi="ar-SA"/>
      </w:rPr>
    </w:lvl>
    <w:lvl w:ilvl="1">
      <w:start w:val="1"/>
      <w:numFmt w:val="lowerLetter"/>
      <w:lvlText w:val="%2."/>
      <w:lvlJc w:val="left"/>
      <w:pPr>
        <w:ind w:left="2933" w:hanging="754"/>
        <w:jc w:val="left"/>
      </w:pPr>
      <w:rPr>
        <w:rFonts w:hint="default" w:ascii="Times New Roman" w:hAnsi="Times New Roman" w:eastAsia="Times New Roman" w:cs="Times New Roman"/>
        <w:b w:val="0"/>
        <w:bCs w:val="0"/>
        <w:i w:val="0"/>
        <w:iCs w:val="0"/>
        <w:spacing w:val="0"/>
        <w:w w:val="100"/>
        <w:sz w:val="20"/>
        <w:szCs w:val="20"/>
        <w:lang w:val="en-US" w:eastAsia="en-US" w:bidi="ar-SA"/>
      </w:rPr>
    </w:lvl>
    <w:lvl w:ilvl="2">
      <w:start w:val="0"/>
      <w:numFmt w:val="bullet"/>
      <w:lvlText w:val="•"/>
      <w:lvlJc w:val="left"/>
      <w:pPr>
        <w:ind w:left="2960" w:hanging="754"/>
      </w:pPr>
      <w:rPr>
        <w:rFonts w:hint="default"/>
        <w:lang w:val="en-US" w:eastAsia="en-US" w:bidi="ar-SA"/>
      </w:rPr>
    </w:lvl>
    <w:lvl w:ilvl="3">
      <w:start w:val="0"/>
      <w:numFmt w:val="bullet"/>
      <w:lvlText w:val="•"/>
      <w:lvlJc w:val="left"/>
      <w:pPr>
        <w:ind w:left="4073" w:hanging="754"/>
      </w:pPr>
      <w:rPr>
        <w:rFonts w:hint="default"/>
        <w:lang w:val="en-US" w:eastAsia="en-US" w:bidi="ar-SA"/>
      </w:rPr>
    </w:lvl>
    <w:lvl w:ilvl="4">
      <w:start w:val="0"/>
      <w:numFmt w:val="bullet"/>
      <w:lvlText w:val="•"/>
      <w:lvlJc w:val="left"/>
      <w:pPr>
        <w:ind w:left="5186" w:hanging="754"/>
      </w:pPr>
      <w:rPr>
        <w:rFonts w:hint="default"/>
        <w:lang w:val="en-US" w:eastAsia="en-US" w:bidi="ar-SA"/>
      </w:rPr>
    </w:lvl>
    <w:lvl w:ilvl="5">
      <w:start w:val="0"/>
      <w:numFmt w:val="bullet"/>
      <w:lvlText w:val="•"/>
      <w:lvlJc w:val="left"/>
      <w:pPr>
        <w:ind w:left="6299" w:hanging="754"/>
      </w:pPr>
      <w:rPr>
        <w:rFonts w:hint="default"/>
        <w:lang w:val="en-US" w:eastAsia="en-US" w:bidi="ar-SA"/>
      </w:rPr>
    </w:lvl>
    <w:lvl w:ilvl="6">
      <w:start w:val="0"/>
      <w:numFmt w:val="bullet"/>
      <w:lvlText w:val="•"/>
      <w:lvlJc w:val="left"/>
      <w:pPr>
        <w:ind w:left="7412" w:hanging="754"/>
      </w:pPr>
      <w:rPr>
        <w:rFonts w:hint="default"/>
        <w:lang w:val="en-US" w:eastAsia="en-US" w:bidi="ar-SA"/>
      </w:rPr>
    </w:lvl>
    <w:lvl w:ilvl="7">
      <w:start w:val="0"/>
      <w:numFmt w:val="bullet"/>
      <w:lvlText w:val="•"/>
      <w:lvlJc w:val="left"/>
      <w:pPr>
        <w:ind w:left="8525" w:hanging="754"/>
      </w:pPr>
      <w:rPr>
        <w:rFonts w:hint="default"/>
        <w:lang w:val="en-US" w:eastAsia="en-US" w:bidi="ar-SA"/>
      </w:rPr>
    </w:lvl>
    <w:lvl w:ilvl="8">
      <w:start w:val="0"/>
      <w:numFmt w:val="bullet"/>
      <w:lvlText w:val="•"/>
      <w:lvlJc w:val="left"/>
      <w:pPr>
        <w:ind w:left="9638" w:hanging="754"/>
      </w:pPr>
      <w:rPr>
        <w:rFonts w:hint="default"/>
        <w:lang w:val="en-US" w:eastAsia="en-US" w:bidi="ar-SA"/>
      </w:rPr>
    </w:lvl>
  </w:abstractNum>
  <w:abstractNum w:abstractNumId="126">
    <w:multiLevelType w:val="hybridMultilevel"/>
    <w:lvl w:ilvl="0">
      <w:start w:val="1"/>
      <w:numFmt w:val="decimal"/>
      <w:lvlText w:val="%1."/>
      <w:lvlJc w:val="left"/>
      <w:pPr>
        <w:ind w:left="2246" w:hanging="721"/>
        <w:jc w:val="left"/>
      </w:pPr>
      <w:rPr>
        <w:rFonts w:hint="default" w:ascii="Times New Roman" w:hAnsi="Times New Roman" w:eastAsia="Times New Roman" w:cs="Times New Roman"/>
        <w:b w:val="0"/>
        <w:bCs w:val="0"/>
        <w:i w:val="0"/>
        <w:iCs w:val="0"/>
        <w:w w:val="100"/>
        <w:sz w:val="20"/>
        <w:szCs w:val="20"/>
        <w:lang w:val="en-US" w:eastAsia="en-US" w:bidi="ar-SA"/>
      </w:rPr>
    </w:lvl>
    <w:lvl w:ilvl="1">
      <w:start w:val="0"/>
      <w:numFmt w:val="bullet"/>
      <w:lvlText w:val="•"/>
      <w:lvlJc w:val="left"/>
      <w:pPr>
        <w:ind w:left="3202" w:hanging="721"/>
      </w:pPr>
      <w:rPr>
        <w:rFonts w:hint="default"/>
        <w:lang w:val="en-US" w:eastAsia="en-US" w:bidi="ar-SA"/>
      </w:rPr>
    </w:lvl>
    <w:lvl w:ilvl="2">
      <w:start w:val="0"/>
      <w:numFmt w:val="bullet"/>
      <w:lvlText w:val="•"/>
      <w:lvlJc w:val="left"/>
      <w:pPr>
        <w:ind w:left="4164" w:hanging="721"/>
      </w:pPr>
      <w:rPr>
        <w:rFonts w:hint="default"/>
        <w:lang w:val="en-US" w:eastAsia="en-US" w:bidi="ar-SA"/>
      </w:rPr>
    </w:lvl>
    <w:lvl w:ilvl="3">
      <w:start w:val="0"/>
      <w:numFmt w:val="bullet"/>
      <w:lvlText w:val="•"/>
      <w:lvlJc w:val="left"/>
      <w:pPr>
        <w:ind w:left="5127" w:hanging="721"/>
      </w:pPr>
      <w:rPr>
        <w:rFonts w:hint="default"/>
        <w:lang w:val="en-US" w:eastAsia="en-US" w:bidi="ar-SA"/>
      </w:rPr>
    </w:lvl>
    <w:lvl w:ilvl="4">
      <w:start w:val="0"/>
      <w:numFmt w:val="bullet"/>
      <w:lvlText w:val="•"/>
      <w:lvlJc w:val="left"/>
      <w:pPr>
        <w:ind w:left="6089" w:hanging="721"/>
      </w:pPr>
      <w:rPr>
        <w:rFonts w:hint="default"/>
        <w:lang w:val="en-US" w:eastAsia="en-US" w:bidi="ar-SA"/>
      </w:rPr>
    </w:lvl>
    <w:lvl w:ilvl="5">
      <w:start w:val="0"/>
      <w:numFmt w:val="bullet"/>
      <w:lvlText w:val="•"/>
      <w:lvlJc w:val="left"/>
      <w:pPr>
        <w:ind w:left="7052" w:hanging="721"/>
      </w:pPr>
      <w:rPr>
        <w:rFonts w:hint="default"/>
        <w:lang w:val="en-US" w:eastAsia="en-US" w:bidi="ar-SA"/>
      </w:rPr>
    </w:lvl>
    <w:lvl w:ilvl="6">
      <w:start w:val="0"/>
      <w:numFmt w:val="bullet"/>
      <w:lvlText w:val="•"/>
      <w:lvlJc w:val="left"/>
      <w:pPr>
        <w:ind w:left="8014" w:hanging="721"/>
      </w:pPr>
      <w:rPr>
        <w:rFonts w:hint="default"/>
        <w:lang w:val="en-US" w:eastAsia="en-US" w:bidi="ar-SA"/>
      </w:rPr>
    </w:lvl>
    <w:lvl w:ilvl="7">
      <w:start w:val="0"/>
      <w:numFmt w:val="bullet"/>
      <w:lvlText w:val="•"/>
      <w:lvlJc w:val="left"/>
      <w:pPr>
        <w:ind w:left="8976" w:hanging="721"/>
      </w:pPr>
      <w:rPr>
        <w:rFonts w:hint="default"/>
        <w:lang w:val="en-US" w:eastAsia="en-US" w:bidi="ar-SA"/>
      </w:rPr>
    </w:lvl>
    <w:lvl w:ilvl="8">
      <w:start w:val="0"/>
      <w:numFmt w:val="bullet"/>
      <w:lvlText w:val="•"/>
      <w:lvlJc w:val="left"/>
      <w:pPr>
        <w:ind w:left="9939" w:hanging="721"/>
      </w:pPr>
      <w:rPr>
        <w:rFonts w:hint="default"/>
        <w:lang w:val="en-US" w:eastAsia="en-US" w:bidi="ar-SA"/>
      </w:rPr>
    </w:lvl>
  </w:abstractNum>
  <w:abstractNum w:abstractNumId="125">
    <w:multiLevelType w:val="hybridMultilevel"/>
    <w:lvl w:ilvl="0">
      <w:start w:val="1"/>
      <w:numFmt w:val="lowerLetter"/>
      <w:lvlText w:val="(%1)"/>
      <w:lvlJc w:val="left"/>
      <w:pPr>
        <w:ind w:left="2813" w:hanging="567"/>
        <w:jc w:val="left"/>
      </w:pPr>
      <w:rPr>
        <w:rFonts w:hint="default" w:ascii="Times New Roman" w:hAnsi="Times New Roman" w:eastAsia="Times New Roman" w:cs="Times New Roman"/>
        <w:b w:val="0"/>
        <w:bCs w:val="0"/>
        <w:i w:val="0"/>
        <w:iCs w:val="0"/>
        <w:w w:val="100"/>
        <w:sz w:val="20"/>
        <w:szCs w:val="20"/>
        <w:lang w:val="en-US" w:eastAsia="en-US" w:bidi="ar-SA"/>
      </w:rPr>
    </w:lvl>
    <w:lvl w:ilvl="1">
      <w:start w:val="0"/>
      <w:numFmt w:val="bullet"/>
      <w:lvlText w:val="•"/>
      <w:lvlJc w:val="left"/>
      <w:pPr>
        <w:ind w:left="3724" w:hanging="567"/>
      </w:pPr>
      <w:rPr>
        <w:rFonts w:hint="default"/>
        <w:lang w:val="en-US" w:eastAsia="en-US" w:bidi="ar-SA"/>
      </w:rPr>
    </w:lvl>
    <w:lvl w:ilvl="2">
      <w:start w:val="0"/>
      <w:numFmt w:val="bullet"/>
      <w:lvlText w:val="•"/>
      <w:lvlJc w:val="left"/>
      <w:pPr>
        <w:ind w:left="4628" w:hanging="567"/>
      </w:pPr>
      <w:rPr>
        <w:rFonts w:hint="default"/>
        <w:lang w:val="en-US" w:eastAsia="en-US" w:bidi="ar-SA"/>
      </w:rPr>
    </w:lvl>
    <w:lvl w:ilvl="3">
      <w:start w:val="0"/>
      <w:numFmt w:val="bullet"/>
      <w:lvlText w:val="•"/>
      <w:lvlJc w:val="left"/>
      <w:pPr>
        <w:ind w:left="5533" w:hanging="567"/>
      </w:pPr>
      <w:rPr>
        <w:rFonts w:hint="default"/>
        <w:lang w:val="en-US" w:eastAsia="en-US" w:bidi="ar-SA"/>
      </w:rPr>
    </w:lvl>
    <w:lvl w:ilvl="4">
      <w:start w:val="0"/>
      <w:numFmt w:val="bullet"/>
      <w:lvlText w:val="•"/>
      <w:lvlJc w:val="left"/>
      <w:pPr>
        <w:ind w:left="6437" w:hanging="567"/>
      </w:pPr>
      <w:rPr>
        <w:rFonts w:hint="default"/>
        <w:lang w:val="en-US" w:eastAsia="en-US" w:bidi="ar-SA"/>
      </w:rPr>
    </w:lvl>
    <w:lvl w:ilvl="5">
      <w:start w:val="0"/>
      <w:numFmt w:val="bullet"/>
      <w:lvlText w:val="•"/>
      <w:lvlJc w:val="left"/>
      <w:pPr>
        <w:ind w:left="7342" w:hanging="567"/>
      </w:pPr>
      <w:rPr>
        <w:rFonts w:hint="default"/>
        <w:lang w:val="en-US" w:eastAsia="en-US" w:bidi="ar-SA"/>
      </w:rPr>
    </w:lvl>
    <w:lvl w:ilvl="6">
      <w:start w:val="0"/>
      <w:numFmt w:val="bullet"/>
      <w:lvlText w:val="•"/>
      <w:lvlJc w:val="left"/>
      <w:pPr>
        <w:ind w:left="8246" w:hanging="567"/>
      </w:pPr>
      <w:rPr>
        <w:rFonts w:hint="default"/>
        <w:lang w:val="en-US" w:eastAsia="en-US" w:bidi="ar-SA"/>
      </w:rPr>
    </w:lvl>
    <w:lvl w:ilvl="7">
      <w:start w:val="0"/>
      <w:numFmt w:val="bullet"/>
      <w:lvlText w:val="•"/>
      <w:lvlJc w:val="left"/>
      <w:pPr>
        <w:ind w:left="9150" w:hanging="567"/>
      </w:pPr>
      <w:rPr>
        <w:rFonts w:hint="default"/>
        <w:lang w:val="en-US" w:eastAsia="en-US" w:bidi="ar-SA"/>
      </w:rPr>
    </w:lvl>
    <w:lvl w:ilvl="8">
      <w:start w:val="0"/>
      <w:numFmt w:val="bullet"/>
      <w:lvlText w:val="•"/>
      <w:lvlJc w:val="left"/>
      <w:pPr>
        <w:ind w:left="10055" w:hanging="567"/>
      </w:pPr>
      <w:rPr>
        <w:rFonts w:hint="default"/>
        <w:lang w:val="en-US" w:eastAsia="en-US" w:bidi="ar-SA"/>
      </w:rPr>
    </w:lvl>
  </w:abstractNum>
  <w:abstractNum w:abstractNumId="124">
    <w:multiLevelType w:val="hybridMultilevel"/>
    <w:lvl w:ilvl="0">
      <w:start w:val="0"/>
      <w:numFmt w:val="bullet"/>
      <w:lvlText w:val=""/>
      <w:lvlJc w:val="left"/>
      <w:pPr>
        <w:ind w:left="230" w:hanging="144"/>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536" w:hanging="144"/>
      </w:pPr>
      <w:rPr>
        <w:rFonts w:hint="default"/>
        <w:lang w:val="en-US" w:eastAsia="en-US" w:bidi="ar-SA"/>
      </w:rPr>
    </w:lvl>
    <w:lvl w:ilvl="2">
      <w:start w:val="0"/>
      <w:numFmt w:val="bullet"/>
      <w:lvlText w:val="•"/>
      <w:lvlJc w:val="left"/>
      <w:pPr>
        <w:ind w:left="833" w:hanging="144"/>
      </w:pPr>
      <w:rPr>
        <w:rFonts w:hint="default"/>
        <w:lang w:val="en-US" w:eastAsia="en-US" w:bidi="ar-SA"/>
      </w:rPr>
    </w:lvl>
    <w:lvl w:ilvl="3">
      <w:start w:val="0"/>
      <w:numFmt w:val="bullet"/>
      <w:lvlText w:val="•"/>
      <w:lvlJc w:val="left"/>
      <w:pPr>
        <w:ind w:left="1130" w:hanging="144"/>
      </w:pPr>
      <w:rPr>
        <w:rFonts w:hint="default"/>
        <w:lang w:val="en-US" w:eastAsia="en-US" w:bidi="ar-SA"/>
      </w:rPr>
    </w:lvl>
    <w:lvl w:ilvl="4">
      <w:start w:val="0"/>
      <w:numFmt w:val="bullet"/>
      <w:lvlText w:val="•"/>
      <w:lvlJc w:val="left"/>
      <w:pPr>
        <w:ind w:left="1426" w:hanging="144"/>
      </w:pPr>
      <w:rPr>
        <w:rFonts w:hint="default"/>
        <w:lang w:val="en-US" w:eastAsia="en-US" w:bidi="ar-SA"/>
      </w:rPr>
    </w:lvl>
    <w:lvl w:ilvl="5">
      <w:start w:val="0"/>
      <w:numFmt w:val="bullet"/>
      <w:lvlText w:val="•"/>
      <w:lvlJc w:val="left"/>
      <w:pPr>
        <w:ind w:left="1723" w:hanging="144"/>
      </w:pPr>
      <w:rPr>
        <w:rFonts w:hint="default"/>
        <w:lang w:val="en-US" w:eastAsia="en-US" w:bidi="ar-SA"/>
      </w:rPr>
    </w:lvl>
    <w:lvl w:ilvl="6">
      <w:start w:val="0"/>
      <w:numFmt w:val="bullet"/>
      <w:lvlText w:val="•"/>
      <w:lvlJc w:val="left"/>
      <w:pPr>
        <w:ind w:left="2020" w:hanging="144"/>
      </w:pPr>
      <w:rPr>
        <w:rFonts w:hint="default"/>
        <w:lang w:val="en-US" w:eastAsia="en-US" w:bidi="ar-SA"/>
      </w:rPr>
    </w:lvl>
    <w:lvl w:ilvl="7">
      <w:start w:val="0"/>
      <w:numFmt w:val="bullet"/>
      <w:lvlText w:val="•"/>
      <w:lvlJc w:val="left"/>
      <w:pPr>
        <w:ind w:left="2316" w:hanging="144"/>
      </w:pPr>
      <w:rPr>
        <w:rFonts w:hint="default"/>
        <w:lang w:val="en-US" w:eastAsia="en-US" w:bidi="ar-SA"/>
      </w:rPr>
    </w:lvl>
    <w:lvl w:ilvl="8">
      <w:start w:val="0"/>
      <w:numFmt w:val="bullet"/>
      <w:lvlText w:val="•"/>
      <w:lvlJc w:val="left"/>
      <w:pPr>
        <w:ind w:left="2613" w:hanging="144"/>
      </w:pPr>
      <w:rPr>
        <w:rFonts w:hint="default"/>
        <w:lang w:val="en-US" w:eastAsia="en-US" w:bidi="ar-SA"/>
      </w:rPr>
    </w:lvl>
  </w:abstractNum>
  <w:abstractNum w:abstractNumId="123">
    <w:multiLevelType w:val="hybridMultilevel"/>
    <w:lvl w:ilvl="0">
      <w:start w:val="0"/>
      <w:numFmt w:val="bullet"/>
      <w:lvlText w:val=""/>
      <w:lvlJc w:val="left"/>
      <w:pPr>
        <w:ind w:left="219" w:hanging="144"/>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520" w:hanging="144"/>
      </w:pPr>
      <w:rPr>
        <w:rFonts w:hint="default"/>
        <w:lang w:val="en-US" w:eastAsia="en-US" w:bidi="ar-SA"/>
      </w:rPr>
    </w:lvl>
    <w:lvl w:ilvl="2">
      <w:start w:val="0"/>
      <w:numFmt w:val="bullet"/>
      <w:lvlText w:val="•"/>
      <w:lvlJc w:val="left"/>
      <w:pPr>
        <w:ind w:left="821" w:hanging="144"/>
      </w:pPr>
      <w:rPr>
        <w:rFonts w:hint="default"/>
        <w:lang w:val="en-US" w:eastAsia="en-US" w:bidi="ar-SA"/>
      </w:rPr>
    </w:lvl>
    <w:lvl w:ilvl="3">
      <w:start w:val="0"/>
      <w:numFmt w:val="bullet"/>
      <w:lvlText w:val="•"/>
      <w:lvlJc w:val="left"/>
      <w:pPr>
        <w:ind w:left="1121" w:hanging="144"/>
      </w:pPr>
      <w:rPr>
        <w:rFonts w:hint="default"/>
        <w:lang w:val="en-US" w:eastAsia="en-US" w:bidi="ar-SA"/>
      </w:rPr>
    </w:lvl>
    <w:lvl w:ilvl="4">
      <w:start w:val="0"/>
      <w:numFmt w:val="bullet"/>
      <w:lvlText w:val="•"/>
      <w:lvlJc w:val="left"/>
      <w:pPr>
        <w:ind w:left="1422" w:hanging="144"/>
      </w:pPr>
      <w:rPr>
        <w:rFonts w:hint="default"/>
        <w:lang w:val="en-US" w:eastAsia="en-US" w:bidi="ar-SA"/>
      </w:rPr>
    </w:lvl>
    <w:lvl w:ilvl="5">
      <w:start w:val="0"/>
      <w:numFmt w:val="bullet"/>
      <w:lvlText w:val="•"/>
      <w:lvlJc w:val="left"/>
      <w:pPr>
        <w:ind w:left="1722" w:hanging="144"/>
      </w:pPr>
      <w:rPr>
        <w:rFonts w:hint="default"/>
        <w:lang w:val="en-US" w:eastAsia="en-US" w:bidi="ar-SA"/>
      </w:rPr>
    </w:lvl>
    <w:lvl w:ilvl="6">
      <w:start w:val="0"/>
      <w:numFmt w:val="bullet"/>
      <w:lvlText w:val="•"/>
      <w:lvlJc w:val="left"/>
      <w:pPr>
        <w:ind w:left="2023" w:hanging="144"/>
      </w:pPr>
      <w:rPr>
        <w:rFonts w:hint="default"/>
        <w:lang w:val="en-US" w:eastAsia="en-US" w:bidi="ar-SA"/>
      </w:rPr>
    </w:lvl>
    <w:lvl w:ilvl="7">
      <w:start w:val="0"/>
      <w:numFmt w:val="bullet"/>
      <w:lvlText w:val="•"/>
      <w:lvlJc w:val="left"/>
      <w:pPr>
        <w:ind w:left="2323" w:hanging="144"/>
      </w:pPr>
      <w:rPr>
        <w:rFonts w:hint="default"/>
        <w:lang w:val="en-US" w:eastAsia="en-US" w:bidi="ar-SA"/>
      </w:rPr>
    </w:lvl>
    <w:lvl w:ilvl="8">
      <w:start w:val="0"/>
      <w:numFmt w:val="bullet"/>
      <w:lvlText w:val="•"/>
      <w:lvlJc w:val="left"/>
      <w:pPr>
        <w:ind w:left="2624" w:hanging="144"/>
      </w:pPr>
      <w:rPr>
        <w:rFonts w:hint="default"/>
        <w:lang w:val="en-US" w:eastAsia="en-US" w:bidi="ar-SA"/>
      </w:rPr>
    </w:lvl>
  </w:abstractNum>
  <w:abstractNum w:abstractNumId="122">
    <w:multiLevelType w:val="hybridMultilevel"/>
    <w:lvl w:ilvl="0">
      <w:start w:val="0"/>
      <w:numFmt w:val="bullet"/>
      <w:lvlText w:val=""/>
      <w:lvlJc w:val="left"/>
      <w:pPr>
        <w:ind w:left="230" w:hanging="144"/>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536" w:hanging="144"/>
      </w:pPr>
      <w:rPr>
        <w:rFonts w:hint="default"/>
        <w:lang w:val="en-US" w:eastAsia="en-US" w:bidi="ar-SA"/>
      </w:rPr>
    </w:lvl>
    <w:lvl w:ilvl="2">
      <w:start w:val="0"/>
      <w:numFmt w:val="bullet"/>
      <w:lvlText w:val="•"/>
      <w:lvlJc w:val="left"/>
      <w:pPr>
        <w:ind w:left="833" w:hanging="144"/>
      </w:pPr>
      <w:rPr>
        <w:rFonts w:hint="default"/>
        <w:lang w:val="en-US" w:eastAsia="en-US" w:bidi="ar-SA"/>
      </w:rPr>
    </w:lvl>
    <w:lvl w:ilvl="3">
      <w:start w:val="0"/>
      <w:numFmt w:val="bullet"/>
      <w:lvlText w:val="•"/>
      <w:lvlJc w:val="left"/>
      <w:pPr>
        <w:ind w:left="1130" w:hanging="144"/>
      </w:pPr>
      <w:rPr>
        <w:rFonts w:hint="default"/>
        <w:lang w:val="en-US" w:eastAsia="en-US" w:bidi="ar-SA"/>
      </w:rPr>
    </w:lvl>
    <w:lvl w:ilvl="4">
      <w:start w:val="0"/>
      <w:numFmt w:val="bullet"/>
      <w:lvlText w:val="•"/>
      <w:lvlJc w:val="left"/>
      <w:pPr>
        <w:ind w:left="1426" w:hanging="144"/>
      </w:pPr>
      <w:rPr>
        <w:rFonts w:hint="default"/>
        <w:lang w:val="en-US" w:eastAsia="en-US" w:bidi="ar-SA"/>
      </w:rPr>
    </w:lvl>
    <w:lvl w:ilvl="5">
      <w:start w:val="0"/>
      <w:numFmt w:val="bullet"/>
      <w:lvlText w:val="•"/>
      <w:lvlJc w:val="left"/>
      <w:pPr>
        <w:ind w:left="1723" w:hanging="144"/>
      </w:pPr>
      <w:rPr>
        <w:rFonts w:hint="default"/>
        <w:lang w:val="en-US" w:eastAsia="en-US" w:bidi="ar-SA"/>
      </w:rPr>
    </w:lvl>
    <w:lvl w:ilvl="6">
      <w:start w:val="0"/>
      <w:numFmt w:val="bullet"/>
      <w:lvlText w:val="•"/>
      <w:lvlJc w:val="left"/>
      <w:pPr>
        <w:ind w:left="2020" w:hanging="144"/>
      </w:pPr>
      <w:rPr>
        <w:rFonts w:hint="default"/>
        <w:lang w:val="en-US" w:eastAsia="en-US" w:bidi="ar-SA"/>
      </w:rPr>
    </w:lvl>
    <w:lvl w:ilvl="7">
      <w:start w:val="0"/>
      <w:numFmt w:val="bullet"/>
      <w:lvlText w:val="•"/>
      <w:lvlJc w:val="left"/>
      <w:pPr>
        <w:ind w:left="2316" w:hanging="144"/>
      </w:pPr>
      <w:rPr>
        <w:rFonts w:hint="default"/>
        <w:lang w:val="en-US" w:eastAsia="en-US" w:bidi="ar-SA"/>
      </w:rPr>
    </w:lvl>
    <w:lvl w:ilvl="8">
      <w:start w:val="0"/>
      <w:numFmt w:val="bullet"/>
      <w:lvlText w:val="•"/>
      <w:lvlJc w:val="left"/>
      <w:pPr>
        <w:ind w:left="2613" w:hanging="144"/>
      </w:pPr>
      <w:rPr>
        <w:rFonts w:hint="default"/>
        <w:lang w:val="en-US" w:eastAsia="en-US" w:bidi="ar-SA"/>
      </w:rPr>
    </w:lvl>
  </w:abstractNum>
  <w:abstractNum w:abstractNumId="121">
    <w:multiLevelType w:val="hybridMultilevel"/>
    <w:lvl w:ilvl="0">
      <w:start w:val="0"/>
      <w:numFmt w:val="bullet"/>
      <w:lvlText w:val=""/>
      <w:lvlJc w:val="left"/>
      <w:pPr>
        <w:ind w:left="219" w:hanging="144"/>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520" w:hanging="144"/>
      </w:pPr>
      <w:rPr>
        <w:rFonts w:hint="default"/>
        <w:lang w:val="en-US" w:eastAsia="en-US" w:bidi="ar-SA"/>
      </w:rPr>
    </w:lvl>
    <w:lvl w:ilvl="2">
      <w:start w:val="0"/>
      <w:numFmt w:val="bullet"/>
      <w:lvlText w:val="•"/>
      <w:lvlJc w:val="left"/>
      <w:pPr>
        <w:ind w:left="821" w:hanging="144"/>
      </w:pPr>
      <w:rPr>
        <w:rFonts w:hint="default"/>
        <w:lang w:val="en-US" w:eastAsia="en-US" w:bidi="ar-SA"/>
      </w:rPr>
    </w:lvl>
    <w:lvl w:ilvl="3">
      <w:start w:val="0"/>
      <w:numFmt w:val="bullet"/>
      <w:lvlText w:val="•"/>
      <w:lvlJc w:val="left"/>
      <w:pPr>
        <w:ind w:left="1121" w:hanging="144"/>
      </w:pPr>
      <w:rPr>
        <w:rFonts w:hint="default"/>
        <w:lang w:val="en-US" w:eastAsia="en-US" w:bidi="ar-SA"/>
      </w:rPr>
    </w:lvl>
    <w:lvl w:ilvl="4">
      <w:start w:val="0"/>
      <w:numFmt w:val="bullet"/>
      <w:lvlText w:val="•"/>
      <w:lvlJc w:val="left"/>
      <w:pPr>
        <w:ind w:left="1422" w:hanging="144"/>
      </w:pPr>
      <w:rPr>
        <w:rFonts w:hint="default"/>
        <w:lang w:val="en-US" w:eastAsia="en-US" w:bidi="ar-SA"/>
      </w:rPr>
    </w:lvl>
    <w:lvl w:ilvl="5">
      <w:start w:val="0"/>
      <w:numFmt w:val="bullet"/>
      <w:lvlText w:val="•"/>
      <w:lvlJc w:val="left"/>
      <w:pPr>
        <w:ind w:left="1722" w:hanging="144"/>
      </w:pPr>
      <w:rPr>
        <w:rFonts w:hint="default"/>
        <w:lang w:val="en-US" w:eastAsia="en-US" w:bidi="ar-SA"/>
      </w:rPr>
    </w:lvl>
    <w:lvl w:ilvl="6">
      <w:start w:val="0"/>
      <w:numFmt w:val="bullet"/>
      <w:lvlText w:val="•"/>
      <w:lvlJc w:val="left"/>
      <w:pPr>
        <w:ind w:left="2023" w:hanging="144"/>
      </w:pPr>
      <w:rPr>
        <w:rFonts w:hint="default"/>
        <w:lang w:val="en-US" w:eastAsia="en-US" w:bidi="ar-SA"/>
      </w:rPr>
    </w:lvl>
    <w:lvl w:ilvl="7">
      <w:start w:val="0"/>
      <w:numFmt w:val="bullet"/>
      <w:lvlText w:val="•"/>
      <w:lvlJc w:val="left"/>
      <w:pPr>
        <w:ind w:left="2323" w:hanging="144"/>
      </w:pPr>
      <w:rPr>
        <w:rFonts w:hint="default"/>
        <w:lang w:val="en-US" w:eastAsia="en-US" w:bidi="ar-SA"/>
      </w:rPr>
    </w:lvl>
    <w:lvl w:ilvl="8">
      <w:start w:val="0"/>
      <w:numFmt w:val="bullet"/>
      <w:lvlText w:val="•"/>
      <w:lvlJc w:val="left"/>
      <w:pPr>
        <w:ind w:left="2624" w:hanging="144"/>
      </w:pPr>
      <w:rPr>
        <w:rFonts w:hint="default"/>
        <w:lang w:val="en-US" w:eastAsia="en-US" w:bidi="ar-SA"/>
      </w:rPr>
    </w:lvl>
  </w:abstractNum>
  <w:abstractNum w:abstractNumId="120">
    <w:multiLevelType w:val="hybridMultilevel"/>
    <w:lvl w:ilvl="0">
      <w:start w:val="0"/>
      <w:numFmt w:val="bullet"/>
      <w:lvlText w:val=""/>
      <w:lvlJc w:val="left"/>
      <w:pPr>
        <w:ind w:left="230" w:hanging="144"/>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536" w:hanging="144"/>
      </w:pPr>
      <w:rPr>
        <w:rFonts w:hint="default"/>
        <w:lang w:val="en-US" w:eastAsia="en-US" w:bidi="ar-SA"/>
      </w:rPr>
    </w:lvl>
    <w:lvl w:ilvl="2">
      <w:start w:val="0"/>
      <w:numFmt w:val="bullet"/>
      <w:lvlText w:val="•"/>
      <w:lvlJc w:val="left"/>
      <w:pPr>
        <w:ind w:left="833" w:hanging="144"/>
      </w:pPr>
      <w:rPr>
        <w:rFonts w:hint="default"/>
        <w:lang w:val="en-US" w:eastAsia="en-US" w:bidi="ar-SA"/>
      </w:rPr>
    </w:lvl>
    <w:lvl w:ilvl="3">
      <w:start w:val="0"/>
      <w:numFmt w:val="bullet"/>
      <w:lvlText w:val="•"/>
      <w:lvlJc w:val="left"/>
      <w:pPr>
        <w:ind w:left="1130" w:hanging="144"/>
      </w:pPr>
      <w:rPr>
        <w:rFonts w:hint="default"/>
        <w:lang w:val="en-US" w:eastAsia="en-US" w:bidi="ar-SA"/>
      </w:rPr>
    </w:lvl>
    <w:lvl w:ilvl="4">
      <w:start w:val="0"/>
      <w:numFmt w:val="bullet"/>
      <w:lvlText w:val="•"/>
      <w:lvlJc w:val="left"/>
      <w:pPr>
        <w:ind w:left="1426" w:hanging="144"/>
      </w:pPr>
      <w:rPr>
        <w:rFonts w:hint="default"/>
        <w:lang w:val="en-US" w:eastAsia="en-US" w:bidi="ar-SA"/>
      </w:rPr>
    </w:lvl>
    <w:lvl w:ilvl="5">
      <w:start w:val="0"/>
      <w:numFmt w:val="bullet"/>
      <w:lvlText w:val="•"/>
      <w:lvlJc w:val="left"/>
      <w:pPr>
        <w:ind w:left="1723" w:hanging="144"/>
      </w:pPr>
      <w:rPr>
        <w:rFonts w:hint="default"/>
        <w:lang w:val="en-US" w:eastAsia="en-US" w:bidi="ar-SA"/>
      </w:rPr>
    </w:lvl>
    <w:lvl w:ilvl="6">
      <w:start w:val="0"/>
      <w:numFmt w:val="bullet"/>
      <w:lvlText w:val="•"/>
      <w:lvlJc w:val="left"/>
      <w:pPr>
        <w:ind w:left="2020" w:hanging="144"/>
      </w:pPr>
      <w:rPr>
        <w:rFonts w:hint="default"/>
        <w:lang w:val="en-US" w:eastAsia="en-US" w:bidi="ar-SA"/>
      </w:rPr>
    </w:lvl>
    <w:lvl w:ilvl="7">
      <w:start w:val="0"/>
      <w:numFmt w:val="bullet"/>
      <w:lvlText w:val="•"/>
      <w:lvlJc w:val="left"/>
      <w:pPr>
        <w:ind w:left="2316" w:hanging="144"/>
      </w:pPr>
      <w:rPr>
        <w:rFonts w:hint="default"/>
        <w:lang w:val="en-US" w:eastAsia="en-US" w:bidi="ar-SA"/>
      </w:rPr>
    </w:lvl>
    <w:lvl w:ilvl="8">
      <w:start w:val="0"/>
      <w:numFmt w:val="bullet"/>
      <w:lvlText w:val="•"/>
      <w:lvlJc w:val="left"/>
      <w:pPr>
        <w:ind w:left="2613" w:hanging="144"/>
      </w:pPr>
      <w:rPr>
        <w:rFonts w:hint="default"/>
        <w:lang w:val="en-US" w:eastAsia="en-US" w:bidi="ar-SA"/>
      </w:rPr>
    </w:lvl>
  </w:abstractNum>
  <w:abstractNum w:abstractNumId="119">
    <w:multiLevelType w:val="hybridMultilevel"/>
    <w:lvl w:ilvl="0">
      <w:start w:val="0"/>
      <w:numFmt w:val="bullet"/>
      <w:lvlText w:val=""/>
      <w:lvlJc w:val="left"/>
      <w:pPr>
        <w:ind w:left="219" w:hanging="144"/>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520" w:hanging="144"/>
      </w:pPr>
      <w:rPr>
        <w:rFonts w:hint="default"/>
        <w:lang w:val="en-US" w:eastAsia="en-US" w:bidi="ar-SA"/>
      </w:rPr>
    </w:lvl>
    <w:lvl w:ilvl="2">
      <w:start w:val="0"/>
      <w:numFmt w:val="bullet"/>
      <w:lvlText w:val="•"/>
      <w:lvlJc w:val="left"/>
      <w:pPr>
        <w:ind w:left="821" w:hanging="144"/>
      </w:pPr>
      <w:rPr>
        <w:rFonts w:hint="default"/>
        <w:lang w:val="en-US" w:eastAsia="en-US" w:bidi="ar-SA"/>
      </w:rPr>
    </w:lvl>
    <w:lvl w:ilvl="3">
      <w:start w:val="0"/>
      <w:numFmt w:val="bullet"/>
      <w:lvlText w:val="•"/>
      <w:lvlJc w:val="left"/>
      <w:pPr>
        <w:ind w:left="1121" w:hanging="144"/>
      </w:pPr>
      <w:rPr>
        <w:rFonts w:hint="default"/>
        <w:lang w:val="en-US" w:eastAsia="en-US" w:bidi="ar-SA"/>
      </w:rPr>
    </w:lvl>
    <w:lvl w:ilvl="4">
      <w:start w:val="0"/>
      <w:numFmt w:val="bullet"/>
      <w:lvlText w:val="•"/>
      <w:lvlJc w:val="left"/>
      <w:pPr>
        <w:ind w:left="1422" w:hanging="144"/>
      </w:pPr>
      <w:rPr>
        <w:rFonts w:hint="default"/>
        <w:lang w:val="en-US" w:eastAsia="en-US" w:bidi="ar-SA"/>
      </w:rPr>
    </w:lvl>
    <w:lvl w:ilvl="5">
      <w:start w:val="0"/>
      <w:numFmt w:val="bullet"/>
      <w:lvlText w:val="•"/>
      <w:lvlJc w:val="left"/>
      <w:pPr>
        <w:ind w:left="1722" w:hanging="144"/>
      </w:pPr>
      <w:rPr>
        <w:rFonts w:hint="default"/>
        <w:lang w:val="en-US" w:eastAsia="en-US" w:bidi="ar-SA"/>
      </w:rPr>
    </w:lvl>
    <w:lvl w:ilvl="6">
      <w:start w:val="0"/>
      <w:numFmt w:val="bullet"/>
      <w:lvlText w:val="•"/>
      <w:lvlJc w:val="left"/>
      <w:pPr>
        <w:ind w:left="2023" w:hanging="144"/>
      </w:pPr>
      <w:rPr>
        <w:rFonts w:hint="default"/>
        <w:lang w:val="en-US" w:eastAsia="en-US" w:bidi="ar-SA"/>
      </w:rPr>
    </w:lvl>
    <w:lvl w:ilvl="7">
      <w:start w:val="0"/>
      <w:numFmt w:val="bullet"/>
      <w:lvlText w:val="•"/>
      <w:lvlJc w:val="left"/>
      <w:pPr>
        <w:ind w:left="2323" w:hanging="144"/>
      </w:pPr>
      <w:rPr>
        <w:rFonts w:hint="default"/>
        <w:lang w:val="en-US" w:eastAsia="en-US" w:bidi="ar-SA"/>
      </w:rPr>
    </w:lvl>
    <w:lvl w:ilvl="8">
      <w:start w:val="0"/>
      <w:numFmt w:val="bullet"/>
      <w:lvlText w:val="•"/>
      <w:lvlJc w:val="left"/>
      <w:pPr>
        <w:ind w:left="2624" w:hanging="144"/>
      </w:pPr>
      <w:rPr>
        <w:rFonts w:hint="default"/>
        <w:lang w:val="en-US" w:eastAsia="en-US" w:bidi="ar-SA"/>
      </w:rPr>
    </w:lvl>
  </w:abstractNum>
  <w:abstractNum w:abstractNumId="118">
    <w:multiLevelType w:val="hybridMultilevel"/>
    <w:lvl w:ilvl="0">
      <w:start w:val="0"/>
      <w:numFmt w:val="bullet"/>
      <w:lvlText w:val=""/>
      <w:lvlJc w:val="left"/>
      <w:pPr>
        <w:ind w:left="230" w:hanging="144"/>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536" w:hanging="144"/>
      </w:pPr>
      <w:rPr>
        <w:rFonts w:hint="default"/>
        <w:lang w:val="en-US" w:eastAsia="en-US" w:bidi="ar-SA"/>
      </w:rPr>
    </w:lvl>
    <w:lvl w:ilvl="2">
      <w:start w:val="0"/>
      <w:numFmt w:val="bullet"/>
      <w:lvlText w:val="•"/>
      <w:lvlJc w:val="left"/>
      <w:pPr>
        <w:ind w:left="833" w:hanging="144"/>
      </w:pPr>
      <w:rPr>
        <w:rFonts w:hint="default"/>
        <w:lang w:val="en-US" w:eastAsia="en-US" w:bidi="ar-SA"/>
      </w:rPr>
    </w:lvl>
    <w:lvl w:ilvl="3">
      <w:start w:val="0"/>
      <w:numFmt w:val="bullet"/>
      <w:lvlText w:val="•"/>
      <w:lvlJc w:val="left"/>
      <w:pPr>
        <w:ind w:left="1130" w:hanging="144"/>
      </w:pPr>
      <w:rPr>
        <w:rFonts w:hint="default"/>
        <w:lang w:val="en-US" w:eastAsia="en-US" w:bidi="ar-SA"/>
      </w:rPr>
    </w:lvl>
    <w:lvl w:ilvl="4">
      <w:start w:val="0"/>
      <w:numFmt w:val="bullet"/>
      <w:lvlText w:val="•"/>
      <w:lvlJc w:val="left"/>
      <w:pPr>
        <w:ind w:left="1426" w:hanging="144"/>
      </w:pPr>
      <w:rPr>
        <w:rFonts w:hint="default"/>
        <w:lang w:val="en-US" w:eastAsia="en-US" w:bidi="ar-SA"/>
      </w:rPr>
    </w:lvl>
    <w:lvl w:ilvl="5">
      <w:start w:val="0"/>
      <w:numFmt w:val="bullet"/>
      <w:lvlText w:val="•"/>
      <w:lvlJc w:val="left"/>
      <w:pPr>
        <w:ind w:left="1723" w:hanging="144"/>
      </w:pPr>
      <w:rPr>
        <w:rFonts w:hint="default"/>
        <w:lang w:val="en-US" w:eastAsia="en-US" w:bidi="ar-SA"/>
      </w:rPr>
    </w:lvl>
    <w:lvl w:ilvl="6">
      <w:start w:val="0"/>
      <w:numFmt w:val="bullet"/>
      <w:lvlText w:val="•"/>
      <w:lvlJc w:val="left"/>
      <w:pPr>
        <w:ind w:left="2020" w:hanging="144"/>
      </w:pPr>
      <w:rPr>
        <w:rFonts w:hint="default"/>
        <w:lang w:val="en-US" w:eastAsia="en-US" w:bidi="ar-SA"/>
      </w:rPr>
    </w:lvl>
    <w:lvl w:ilvl="7">
      <w:start w:val="0"/>
      <w:numFmt w:val="bullet"/>
      <w:lvlText w:val="•"/>
      <w:lvlJc w:val="left"/>
      <w:pPr>
        <w:ind w:left="2316" w:hanging="144"/>
      </w:pPr>
      <w:rPr>
        <w:rFonts w:hint="default"/>
        <w:lang w:val="en-US" w:eastAsia="en-US" w:bidi="ar-SA"/>
      </w:rPr>
    </w:lvl>
    <w:lvl w:ilvl="8">
      <w:start w:val="0"/>
      <w:numFmt w:val="bullet"/>
      <w:lvlText w:val="•"/>
      <w:lvlJc w:val="left"/>
      <w:pPr>
        <w:ind w:left="2613" w:hanging="144"/>
      </w:pPr>
      <w:rPr>
        <w:rFonts w:hint="default"/>
        <w:lang w:val="en-US" w:eastAsia="en-US" w:bidi="ar-SA"/>
      </w:rPr>
    </w:lvl>
  </w:abstractNum>
  <w:abstractNum w:abstractNumId="117">
    <w:multiLevelType w:val="hybridMultilevel"/>
    <w:lvl w:ilvl="0">
      <w:start w:val="0"/>
      <w:numFmt w:val="bullet"/>
      <w:lvlText w:val=""/>
      <w:lvlJc w:val="left"/>
      <w:pPr>
        <w:ind w:left="219" w:hanging="144"/>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520" w:hanging="144"/>
      </w:pPr>
      <w:rPr>
        <w:rFonts w:hint="default"/>
        <w:lang w:val="en-US" w:eastAsia="en-US" w:bidi="ar-SA"/>
      </w:rPr>
    </w:lvl>
    <w:lvl w:ilvl="2">
      <w:start w:val="0"/>
      <w:numFmt w:val="bullet"/>
      <w:lvlText w:val="•"/>
      <w:lvlJc w:val="left"/>
      <w:pPr>
        <w:ind w:left="821" w:hanging="144"/>
      </w:pPr>
      <w:rPr>
        <w:rFonts w:hint="default"/>
        <w:lang w:val="en-US" w:eastAsia="en-US" w:bidi="ar-SA"/>
      </w:rPr>
    </w:lvl>
    <w:lvl w:ilvl="3">
      <w:start w:val="0"/>
      <w:numFmt w:val="bullet"/>
      <w:lvlText w:val="•"/>
      <w:lvlJc w:val="left"/>
      <w:pPr>
        <w:ind w:left="1121" w:hanging="144"/>
      </w:pPr>
      <w:rPr>
        <w:rFonts w:hint="default"/>
        <w:lang w:val="en-US" w:eastAsia="en-US" w:bidi="ar-SA"/>
      </w:rPr>
    </w:lvl>
    <w:lvl w:ilvl="4">
      <w:start w:val="0"/>
      <w:numFmt w:val="bullet"/>
      <w:lvlText w:val="•"/>
      <w:lvlJc w:val="left"/>
      <w:pPr>
        <w:ind w:left="1422" w:hanging="144"/>
      </w:pPr>
      <w:rPr>
        <w:rFonts w:hint="default"/>
        <w:lang w:val="en-US" w:eastAsia="en-US" w:bidi="ar-SA"/>
      </w:rPr>
    </w:lvl>
    <w:lvl w:ilvl="5">
      <w:start w:val="0"/>
      <w:numFmt w:val="bullet"/>
      <w:lvlText w:val="•"/>
      <w:lvlJc w:val="left"/>
      <w:pPr>
        <w:ind w:left="1722" w:hanging="144"/>
      </w:pPr>
      <w:rPr>
        <w:rFonts w:hint="default"/>
        <w:lang w:val="en-US" w:eastAsia="en-US" w:bidi="ar-SA"/>
      </w:rPr>
    </w:lvl>
    <w:lvl w:ilvl="6">
      <w:start w:val="0"/>
      <w:numFmt w:val="bullet"/>
      <w:lvlText w:val="•"/>
      <w:lvlJc w:val="left"/>
      <w:pPr>
        <w:ind w:left="2023" w:hanging="144"/>
      </w:pPr>
      <w:rPr>
        <w:rFonts w:hint="default"/>
        <w:lang w:val="en-US" w:eastAsia="en-US" w:bidi="ar-SA"/>
      </w:rPr>
    </w:lvl>
    <w:lvl w:ilvl="7">
      <w:start w:val="0"/>
      <w:numFmt w:val="bullet"/>
      <w:lvlText w:val="•"/>
      <w:lvlJc w:val="left"/>
      <w:pPr>
        <w:ind w:left="2323" w:hanging="144"/>
      </w:pPr>
      <w:rPr>
        <w:rFonts w:hint="default"/>
        <w:lang w:val="en-US" w:eastAsia="en-US" w:bidi="ar-SA"/>
      </w:rPr>
    </w:lvl>
    <w:lvl w:ilvl="8">
      <w:start w:val="0"/>
      <w:numFmt w:val="bullet"/>
      <w:lvlText w:val="•"/>
      <w:lvlJc w:val="left"/>
      <w:pPr>
        <w:ind w:left="2624" w:hanging="144"/>
      </w:pPr>
      <w:rPr>
        <w:rFonts w:hint="default"/>
        <w:lang w:val="en-US" w:eastAsia="en-US" w:bidi="ar-SA"/>
      </w:rPr>
    </w:lvl>
  </w:abstractNum>
  <w:abstractNum w:abstractNumId="116">
    <w:multiLevelType w:val="hybridMultilevel"/>
    <w:lvl w:ilvl="0">
      <w:start w:val="0"/>
      <w:numFmt w:val="bullet"/>
      <w:lvlText w:val=""/>
      <w:lvlJc w:val="left"/>
      <w:pPr>
        <w:ind w:left="230" w:hanging="144"/>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536" w:hanging="144"/>
      </w:pPr>
      <w:rPr>
        <w:rFonts w:hint="default"/>
        <w:lang w:val="en-US" w:eastAsia="en-US" w:bidi="ar-SA"/>
      </w:rPr>
    </w:lvl>
    <w:lvl w:ilvl="2">
      <w:start w:val="0"/>
      <w:numFmt w:val="bullet"/>
      <w:lvlText w:val="•"/>
      <w:lvlJc w:val="left"/>
      <w:pPr>
        <w:ind w:left="833" w:hanging="144"/>
      </w:pPr>
      <w:rPr>
        <w:rFonts w:hint="default"/>
        <w:lang w:val="en-US" w:eastAsia="en-US" w:bidi="ar-SA"/>
      </w:rPr>
    </w:lvl>
    <w:lvl w:ilvl="3">
      <w:start w:val="0"/>
      <w:numFmt w:val="bullet"/>
      <w:lvlText w:val="•"/>
      <w:lvlJc w:val="left"/>
      <w:pPr>
        <w:ind w:left="1130" w:hanging="144"/>
      </w:pPr>
      <w:rPr>
        <w:rFonts w:hint="default"/>
        <w:lang w:val="en-US" w:eastAsia="en-US" w:bidi="ar-SA"/>
      </w:rPr>
    </w:lvl>
    <w:lvl w:ilvl="4">
      <w:start w:val="0"/>
      <w:numFmt w:val="bullet"/>
      <w:lvlText w:val="•"/>
      <w:lvlJc w:val="left"/>
      <w:pPr>
        <w:ind w:left="1426" w:hanging="144"/>
      </w:pPr>
      <w:rPr>
        <w:rFonts w:hint="default"/>
        <w:lang w:val="en-US" w:eastAsia="en-US" w:bidi="ar-SA"/>
      </w:rPr>
    </w:lvl>
    <w:lvl w:ilvl="5">
      <w:start w:val="0"/>
      <w:numFmt w:val="bullet"/>
      <w:lvlText w:val="•"/>
      <w:lvlJc w:val="left"/>
      <w:pPr>
        <w:ind w:left="1723" w:hanging="144"/>
      </w:pPr>
      <w:rPr>
        <w:rFonts w:hint="default"/>
        <w:lang w:val="en-US" w:eastAsia="en-US" w:bidi="ar-SA"/>
      </w:rPr>
    </w:lvl>
    <w:lvl w:ilvl="6">
      <w:start w:val="0"/>
      <w:numFmt w:val="bullet"/>
      <w:lvlText w:val="•"/>
      <w:lvlJc w:val="left"/>
      <w:pPr>
        <w:ind w:left="2020" w:hanging="144"/>
      </w:pPr>
      <w:rPr>
        <w:rFonts w:hint="default"/>
        <w:lang w:val="en-US" w:eastAsia="en-US" w:bidi="ar-SA"/>
      </w:rPr>
    </w:lvl>
    <w:lvl w:ilvl="7">
      <w:start w:val="0"/>
      <w:numFmt w:val="bullet"/>
      <w:lvlText w:val="•"/>
      <w:lvlJc w:val="left"/>
      <w:pPr>
        <w:ind w:left="2316" w:hanging="144"/>
      </w:pPr>
      <w:rPr>
        <w:rFonts w:hint="default"/>
        <w:lang w:val="en-US" w:eastAsia="en-US" w:bidi="ar-SA"/>
      </w:rPr>
    </w:lvl>
    <w:lvl w:ilvl="8">
      <w:start w:val="0"/>
      <w:numFmt w:val="bullet"/>
      <w:lvlText w:val="•"/>
      <w:lvlJc w:val="left"/>
      <w:pPr>
        <w:ind w:left="2613" w:hanging="144"/>
      </w:pPr>
      <w:rPr>
        <w:rFonts w:hint="default"/>
        <w:lang w:val="en-US" w:eastAsia="en-US" w:bidi="ar-SA"/>
      </w:rPr>
    </w:lvl>
  </w:abstractNum>
  <w:abstractNum w:abstractNumId="115">
    <w:multiLevelType w:val="hybridMultilevel"/>
    <w:lvl w:ilvl="0">
      <w:start w:val="0"/>
      <w:numFmt w:val="bullet"/>
      <w:lvlText w:val=""/>
      <w:lvlJc w:val="left"/>
      <w:pPr>
        <w:ind w:left="219" w:hanging="144"/>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520" w:hanging="144"/>
      </w:pPr>
      <w:rPr>
        <w:rFonts w:hint="default"/>
        <w:lang w:val="en-US" w:eastAsia="en-US" w:bidi="ar-SA"/>
      </w:rPr>
    </w:lvl>
    <w:lvl w:ilvl="2">
      <w:start w:val="0"/>
      <w:numFmt w:val="bullet"/>
      <w:lvlText w:val="•"/>
      <w:lvlJc w:val="left"/>
      <w:pPr>
        <w:ind w:left="821" w:hanging="144"/>
      </w:pPr>
      <w:rPr>
        <w:rFonts w:hint="default"/>
        <w:lang w:val="en-US" w:eastAsia="en-US" w:bidi="ar-SA"/>
      </w:rPr>
    </w:lvl>
    <w:lvl w:ilvl="3">
      <w:start w:val="0"/>
      <w:numFmt w:val="bullet"/>
      <w:lvlText w:val="•"/>
      <w:lvlJc w:val="left"/>
      <w:pPr>
        <w:ind w:left="1121" w:hanging="144"/>
      </w:pPr>
      <w:rPr>
        <w:rFonts w:hint="default"/>
        <w:lang w:val="en-US" w:eastAsia="en-US" w:bidi="ar-SA"/>
      </w:rPr>
    </w:lvl>
    <w:lvl w:ilvl="4">
      <w:start w:val="0"/>
      <w:numFmt w:val="bullet"/>
      <w:lvlText w:val="•"/>
      <w:lvlJc w:val="left"/>
      <w:pPr>
        <w:ind w:left="1422" w:hanging="144"/>
      </w:pPr>
      <w:rPr>
        <w:rFonts w:hint="default"/>
        <w:lang w:val="en-US" w:eastAsia="en-US" w:bidi="ar-SA"/>
      </w:rPr>
    </w:lvl>
    <w:lvl w:ilvl="5">
      <w:start w:val="0"/>
      <w:numFmt w:val="bullet"/>
      <w:lvlText w:val="•"/>
      <w:lvlJc w:val="left"/>
      <w:pPr>
        <w:ind w:left="1722" w:hanging="144"/>
      </w:pPr>
      <w:rPr>
        <w:rFonts w:hint="default"/>
        <w:lang w:val="en-US" w:eastAsia="en-US" w:bidi="ar-SA"/>
      </w:rPr>
    </w:lvl>
    <w:lvl w:ilvl="6">
      <w:start w:val="0"/>
      <w:numFmt w:val="bullet"/>
      <w:lvlText w:val="•"/>
      <w:lvlJc w:val="left"/>
      <w:pPr>
        <w:ind w:left="2023" w:hanging="144"/>
      </w:pPr>
      <w:rPr>
        <w:rFonts w:hint="default"/>
        <w:lang w:val="en-US" w:eastAsia="en-US" w:bidi="ar-SA"/>
      </w:rPr>
    </w:lvl>
    <w:lvl w:ilvl="7">
      <w:start w:val="0"/>
      <w:numFmt w:val="bullet"/>
      <w:lvlText w:val="•"/>
      <w:lvlJc w:val="left"/>
      <w:pPr>
        <w:ind w:left="2323" w:hanging="144"/>
      </w:pPr>
      <w:rPr>
        <w:rFonts w:hint="default"/>
        <w:lang w:val="en-US" w:eastAsia="en-US" w:bidi="ar-SA"/>
      </w:rPr>
    </w:lvl>
    <w:lvl w:ilvl="8">
      <w:start w:val="0"/>
      <w:numFmt w:val="bullet"/>
      <w:lvlText w:val="•"/>
      <w:lvlJc w:val="left"/>
      <w:pPr>
        <w:ind w:left="2624" w:hanging="144"/>
      </w:pPr>
      <w:rPr>
        <w:rFonts w:hint="default"/>
        <w:lang w:val="en-US" w:eastAsia="en-US" w:bidi="ar-SA"/>
      </w:rPr>
    </w:lvl>
  </w:abstractNum>
  <w:abstractNum w:abstractNumId="114">
    <w:multiLevelType w:val="hybridMultilevel"/>
    <w:lvl w:ilvl="0">
      <w:start w:val="0"/>
      <w:numFmt w:val="bullet"/>
      <w:lvlText w:val=""/>
      <w:lvlJc w:val="left"/>
      <w:pPr>
        <w:ind w:left="230" w:hanging="144"/>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536" w:hanging="144"/>
      </w:pPr>
      <w:rPr>
        <w:rFonts w:hint="default"/>
        <w:lang w:val="en-US" w:eastAsia="en-US" w:bidi="ar-SA"/>
      </w:rPr>
    </w:lvl>
    <w:lvl w:ilvl="2">
      <w:start w:val="0"/>
      <w:numFmt w:val="bullet"/>
      <w:lvlText w:val="•"/>
      <w:lvlJc w:val="left"/>
      <w:pPr>
        <w:ind w:left="833" w:hanging="144"/>
      </w:pPr>
      <w:rPr>
        <w:rFonts w:hint="default"/>
        <w:lang w:val="en-US" w:eastAsia="en-US" w:bidi="ar-SA"/>
      </w:rPr>
    </w:lvl>
    <w:lvl w:ilvl="3">
      <w:start w:val="0"/>
      <w:numFmt w:val="bullet"/>
      <w:lvlText w:val="•"/>
      <w:lvlJc w:val="left"/>
      <w:pPr>
        <w:ind w:left="1130" w:hanging="144"/>
      </w:pPr>
      <w:rPr>
        <w:rFonts w:hint="default"/>
        <w:lang w:val="en-US" w:eastAsia="en-US" w:bidi="ar-SA"/>
      </w:rPr>
    </w:lvl>
    <w:lvl w:ilvl="4">
      <w:start w:val="0"/>
      <w:numFmt w:val="bullet"/>
      <w:lvlText w:val="•"/>
      <w:lvlJc w:val="left"/>
      <w:pPr>
        <w:ind w:left="1426" w:hanging="144"/>
      </w:pPr>
      <w:rPr>
        <w:rFonts w:hint="default"/>
        <w:lang w:val="en-US" w:eastAsia="en-US" w:bidi="ar-SA"/>
      </w:rPr>
    </w:lvl>
    <w:lvl w:ilvl="5">
      <w:start w:val="0"/>
      <w:numFmt w:val="bullet"/>
      <w:lvlText w:val="•"/>
      <w:lvlJc w:val="left"/>
      <w:pPr>
        <w:ind w:left="1723" w:hanging="144"/>
      </w:pPr>
      <w:rPr>
        <w:rFonts w:hint="default"/>
        <w:lang w:val="en-US" w:eastAsia="en-US" w:bidi="ar-SA"/>
      </w:rPr>
    </w:lvl>
    <w:lvl w:ilvl="6">
      <w:start w:val="0"/>
      <w:numFmt w:val="bullet"/>
      <w:lvlText w:val="•"/>
      <w:lvlJc w:val="left"/>
      <w:pPr>
        <w:ind w:left="2020" w:hanging="144"/>
      </w:pPr>
      <w:rPr>
        <w:rFonts w:hint="default"/>
        <w:lang w:val="en-US" w:eastAsia="en-US" w:bidi="ar-SA"/>
      </w:rPr>
    </w:lvl>
    <w:lvl w:ilvl="7">
      <w:start w:val="0"/>
      <w:numFmt w:val="bullet"/>
      <w:lvlText w:val="•"/>
      <w:lvlJc w:val="left"/>
      <w:pPr>
        <w:ind w:left="2316" w:hanging="144"/>
      </w:pPr>
      <w:rPr>
        <w:rFonts w:hint="default"/>
        <w:lang w:val="en-US" w:eastAsia="en-US" w:bidi="ar-SA"/>
      </w:rPr>
    </w:lvl>
    <w:lvl w:ilvl="8">
      <w:start w:val="0"/>
      <w:numFmt w:val="bullet"/>
      <w:lvlText w:val="•"/>
      <w:lvlJc w:val="left"/>
      <w:pPr>
        <w:ind w:left="2613" w:hanging="144"/>
      </w:pPr>
      <w:rPr>
        <w:rFonts w:hint="default"/>
        <w:lang w:val="en-US" w:eastAsia="en-US" w:bidi="ar-SA"/>
      </w:rPr>
    </w:lvl>
  </w:abstractNum>
  <w:abstractNum w:abstractNumId="113">
    <w:multiLevelType w:val="hybridMultilevel"/>
    <w:lvl w:ilvl="0">
      <w:start w:val="0"/>
      <w:numFmt w:val="bullet"/>
      <w:lvlText w:val=""/>
      <w:lvlJc w:val="left"/>
      <w:pPr>
        <w:ind w:left="219" w:hanging="144"/>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520" w:hanging="144"/>
      </w:pPr>
      <w:rPr>
        <w:rFonts w:hint="default"/>
        <w:lang w:val="en-US" w:eastAsia="en-US" w:bidi="ar-SA"/>
      </w:rPr>
    </w:lvl>
    <w:lvl w:ilvl="2">
      <w:start w:val="0"/>
      <w:numFmt w:val="bullet"/>
      <w:lvlText w:val="•"/>
      <w:lvlJc w:val="left"/>
      <w:pPr>
        <w:ind w:left="821" w:hanging="144"/>
      </w:pPr>
      <w:rPr>
        <w:rFonts w:hint="default"/>
        <w:lang w:val="en-US" w:eastAsia="en-US" w:bidi="ar-SA"/>
      </w:rPr>
    </w:lvl>
    <w:lvl w:ilvl="3">
      <w:start w:val="0"/>
      <w:numFmt w:val="bullet"/>
      <w:lvlText w:val="•"/>
      <w:lvlJc w:val="left"/>
      <w:pPr>
        <w:ind w:left="1121" w:hanging="144"/>
      </w:pPr>
      <w:rPr>
        <w:rFonts w:hint="default"/>
        <w:lang w:val="en-US" w:eastAsia="en-US" w:bidi="ar-SA"/>
      </w:rPr>
    </w:lvl>
    <w:lvl w:ilvl="4">
      <w:start w:val="0"/>
      <w:numFmt w:val="bullet"/>
      <w:lvlText w:val="•"/>
      <w:lvlJc w:val="left"/>
      <w:pPr>
        <w:ind w:left="1422" w:hanging="144"/>
      </w:pPr>
      <w:rPr>
        <w:rFonts w:hint="default"/>
        <w:lang w:val="en-US" w:eastAsia="en-US" w:bidi="ar-SA"/>
      </w:rPr>
    </w:lvl>
    <w:lvl w:ilvl="5">
      <w:start w:val="0"/>
      <w:numFmt w:val="bullet"/>
      <w:lvlText w:val="•"/>
      <w:lvlJc w:val="left"/>
      <w:pPr>
        <w:ind w:left="1722" w:hanging="144"/>
      </w:pPr>
      <w:rPr>
        <w:rFonts w:hint="default"/>
        <w:lang w:val="en-US" w:eastAsia="en-US" w:bidi="ar-SA"/>
      </w:rPr>
    </w:lvl>
    <w:lvl w:ilvl="6">
      <w:start w:val="0"/>
      <w:numFmt w:val="bullet"/>
      <w:lvlText w:val="•"/>
      <w:lvlJc w:val="left"/>
      <w:pPr>
        <w:ind w:left="2023" w:hanging="144"/>
      </w:pPr>
      <w:rPr>
        <w:rFonts w:hint="default"/>
        <w:lang w:val="en-US" w:eastAsia="en-US" w:bidi="ar-SA"/>
      </w:rPr>
    </w:lvl>
    <w:lvl w:ilvl="7">
      <w:start w:val="0"/>
      <w:numFmt w:val="bullet"/>
      <w:lvlText w:val="•"/>
      <w:lvlJc w:val="left"/>
      <w:pPr>
        <w:ind w:left="2323" w:hanging="144"/>
      </w:pPr>
      <w:rPr>
        <w:rFonts w:hint="default"/>
        <w:lang w:val="en-US" w:eastAsia="en-US" w:bidi="ar-SA"/>
      </w:rPr>
    </w:lvl>
    <w:lvl w:ilvl="8">
      <w:start w:val="0"/>
      <w:numFmt w:val="bullet"/>
      <w:lvlText w:val="•"/>
      <w:lvlJc w:val="left"/>
      <w:pPr>
        <w:ind w:left="2624" w:hanging="144"/>
      </w:pPr>
      <w:rPr>
        <w:rFonts w:hint="default"/>
        <w:lang w:val="en-US" w:eastAsia="en-US" w:bidi="ar-SA"/>
      </w:rPr>
    </w:lvl>
  </w:abstractNum>
  <w:abstractNum w:abstractNumId="112">
    <w:multiLevelType w:val="hybridMultilevel"/>
    <w:lvl w:ilvl="0">
      <w:start w:val="0"/>
      <w:numFmt w:val="bullet"/>
      <w:lvlText w:val=""/>
      <w:lvlJc w:val="left"/>
      <w:pPr>
        <w:ind w:left="225" w:hanging="144"/>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518" w:hanging="144"/>
      </w:pPr>
      <w:rPr>
        <w:rFonts w:hint="default"/>
        <w:lang w:val="en-US" w:eastAsia="en-US" w:bidi="ar-SA"/>
      </w:rPr>
    </w:lvl>
    <w:lvl w:ilvl="2">
      <w:start w:val="0"/>
      <w:numFmt w:val="bullet"/>
      <w:lvlText w:val="•"/>
      <w:lvlJc w:val="left"/>
      <w:pPr>
        <w:ind w:left="816" w:hanging="144"/>
      </w:pPr>
      <w:rPr>
        <w:rFonts w:hint="default"/>
        <w:lang w:val="en-US" w:eastAsia="en-US" w:bidi="ar-SA"/>
      </w:rPr>
    </w:lvl>
    <w:lvl w:ilvl="3">
      <w:start w:val="0"/>
      <w:numFmt w:val="bullet"/>
      <w:lvlText w:val="•"/>
      <w:lvlJc w:val="left"/>
      <w:pPr>
        <w:ind w:left="1115" w:hanging="144"/>
      </w:pPr>
      <w:rPr>
        <w:rFonts w:hint="default"/>
        <w:lang w:val="en-US" w:eastAsia="en-US" w:bidi="ar-SA"/>
      </w:rPr>
    </w:lvl>
    <w:lvl w:ilvl="4">
      <w:start w:val="0"/>
      <w:numFmt w:val="bullet"/>
      <w:lvlText w:val="•"/>
      <w:lvlJc w:val="left"/>
      <w:pPr>
        <w:ind w:left="1413" w:hanging="144"/>
      </w:pPr>
      <w:rPr>
        <w:rFonts w:hint="default"/>
        <w:lang w:val="en-US" w:eastAsia="en-US" w:bidi="ar-SA"/>
      </w:rPr>
    </w:lvl>
    <w:lvl w:ilvl="5">
      <w:start w:val="0"/>
      <w:numFmt w:val="bullet"/>
      <w:lvlText w:val="•"/>
      <w:lvlJc w:val="left"/>
      <w:pPr>
        <w:ind w:left="1712" w:hanging="144"/>
      </w:pPr>
      <w:rPr>
        <w:rFonts w:hint="default"/>
        <w:lang w:val="en-US" w:eastAsia="en-US" w:bidi="ar-SA"/>
      </w:rPr>
    </w:lvl>
    <w:lvl w:ilvl="6">
      <w:start w:val="0"/>
      <w:numFmt w:val="bullet"/>
      <w:lvlText w:val="•"/>
      <w:lvlJc w:val="left"/>
      <w:pPr>
        <w:ind w:left="2010" w:hanging="144"/>
      </w:pPr>
      <w:rPr>
        <w:rFonts w:hint="default"/>
        <w:lang w:val="en-US" w:eastAsia="en-US" w:bidi="ar-SA"/>
      </w:rPr>
    </w:lvl>
    <w:lvl w:ilvl="7">
      <w:start w:val="0"/>
      <w:numFmt w:val="bullet"/>
      <w:lvlText w:val="•"/>
      <w:lvlJc w:val="left"/>
      <w:pPr>
        <w:ind w:left="2308" w:hanging="144"/>
      </w:pPr>
      <w:rPr>
        <w:rFonts w:hint="default"/>
        <w:lang w:val="en-US" w:eastAsia="en-US" w:bidi="ar-SA"/>
      </w:rPr>
    </w:lvl>
    <w:lvl w:ilvl="8">
      <w:start w:val="0"/>
      <w:numFmt w:val="bullet"/>
      <w:lvlText w:val="•"/>
      <w:lvlJc w:val="left"/>
      <w:pPr>
        <w:ind w:left="2607" w:hanging="144"/>
      </w:pPr>
      <w:rPr>
        <w:rFonts w:hint="default"/>
        <w:lang w:val="en-US" w:eastAsia="en-US" w:bidi="ar-SA"/>
      </w:rPr>
    </w:lvl>
  </w:abstractNum>
  <w:abstractNum w:abstractNumId="111">
    <w:multiLevelType w:val="hybridMultilevel"/>
    <w:lvl w:ilvl="0">
      <w:start w:val="0"/>
      <w:numFmt w:val="bullet"/>
      <w:lvlText w:val=""/>
      <w:lvlJc w:val="left"/>
      <w:pPr>
        <w:ind w:left="216" w:hanging="144"/>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520" w:hanging="144"/>
      </w:pPr>
      <w:rPr>
        <w:rFonts w:hint="default"/>
        <w:lang w:val="en-US" w:eastAsia="en-US" w:bidi="ar-SA"/>
      </w:rPr>
    </w:lvl>
    <w:lvl w:ilvl="2">
      <w:start w:val="0"/>
      <w:numFmt w:val="bullet"/>
      <w:lvlText w:val="•"/>
      <w:lvlJc w:val="left"/>
      <w:pPr>
        <w:ind w:left="821" w:hanging="144"/>
      </w:pPr>
      <w:rPr>
        <w:rFonts w:hint="default"/>
        <w:lang w:val="en-US" w:eastAsia="en-US" w:bidi="ar-SA"/>
      </w:rPr>
    </w:lvl>
    <w:lvl w:ilvl="3">
      <w:start w:val="0"/>
      <w:numFmt w:val="bullet"/>
      <w:lvlText w:val="•"/>
      <w:lvlJc w:val="left"/>
      <w:pPr>
        <w:ind w:left="1122" w:hanging="144"/>
      </w:pPr>
      <w:rPr>
        <w:rFonts w:hint="default"/>
        <w:lang w:val="en-US" w:eastAsia="en-US" w:bidi="ar-SA"/>
      </w:rPr>
    </w:lvl>
    <w:lvl w:ilvl="4">
      <w:start w:val="0"/>
      <w:numFmt w:val="bullet"/>
      <w:lvlText w:val="•"/>
      <w:lvlJc w:val="left"/>
      <w:pPr>
        <w:ind w:left="1422" w:hanging="144"/>
      </w:pPr>
      <w:rPr>
        <w:rFonts w:hint="default"/>
        <w:lang w:val="en-US" w:eastAsia="en-US" w:bidi="ar-SA"/>
      </w:rPr>
    </w:lvl>
    <w:lvl w:ilvl="5">
      <w:start w:val="0"/>
      <w:numFmt w:val="bullet"/>
      <w:lvlText w:val="•"/>
      <w:lvlJc w:val="left"/>
      <w:pPr>
        <w:ind w:left="1723" w:hanging="144"/>
      </w:pPr>
      <w:rPr>
        <w:rFonts w:hint="default"/>
        <w:lang w:val="en-US" w:eastAsia="en-US" w:bidi="ar-SA"/>
      </w:rPr>
    </w:lvl>
    <w:lvl w:ilvl="6">
      <w:start w:val="0"/>
      <w:numFmt w:val="bullet"/>
      <w:lvlText w:val="•"/>
      <w:lvlJc w:val="left"/>
      <w:pPr>
        <w:ind w:left="2024" w:hanging="144"/>
      </w:pPr>
      <w:rPr>
        <w:rFonts w:hint="default"/>
        <w:lang w:val="en-US" w:eastAsia="en-US" w:bidi="ar-SA"/>
      </w:rPr>
    </w:lvl>
    <w:lvl w:ilvl="7">
      <w:start w:val="0"/>
      <w:numFmt w:val="bullet"/>
      <w:lvlText w:val="•"/>
      <w:lvlJc w:val="left"/>
      <w:pPr>
        <w:ind w:left="2324" w:hanging="144"/>
      </w:pPr>
      <w:rPr>
        <w:rFonts w:hint="default"/>
        <w:lang w:val="en-US" w:eastAsia="en-US" w:bidi="ar-SA"/>
      </w:rPr>
    </w:lvl>
    <w:lvl w:ilvl="8">
      <w:start w:val="0"/>
      <w:numFmt w:val="bullet"/>
      <w:lvlText w:val="•"/>
      <w:lvlJc w:val="left"/>
      <w:pPr>
        <w:ind w:left="2625" w:hanging="144"/>
      </w:pPr>
      <w:rPr>
        <w:rFonts w:hint="default"/>
        <w:lang w:val="en-US" w:eastAsia="en-US" w:bidi="ar-SA"/>
      </w:rPr>
    </w:lvl>
  </w:abstractNum>
  <w:abstractNum w:abstractNumId="110">
    <w:multiLevelType w:val="hybridMultilevel"/>
    <w:lvl w:ilvl="0">
      <w:start w:val="0"/>
      <w:numFmt w:val="bullet"/>
      <w:lvlText w:val=""/>
      <w:lvlJc w:val="left"/>
      <w:pPr>
        <w:ind w:left="225" w:hanging="144"/>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518" w:hanging="144"/>
      </w:pPr>
      <w:rPr>
        <w:rFonts w:hint="default"/>
        <w:lang w:val="en-US" w:eastAsia="en-US" w:bidi="ar-SA"/>
      </w:rPr>
    </w:lvl>
    <w:lvl w:ilvl="2">
      <w:start w:val="0"/>
      <w:numFmt w:val="bullet"/>
      <w:lvlText w:val="•"/>
      <w:lvlJc w:val="left"/>
      <w:pPr>
        <w:ind w:left="816" w:hanging="144"/>
      </w:pPr>
      <w:rPr>
        <w:rFonts w:hint="default"/>
        <w:lang w:val="en-US" w:eastAsia="en-US" w:bidi="ar-SA"/>
      </w:rPr>
    </w:lvl>
    <w:lvl w:ilvl="3">
      <w:start w:val="0"/>
      <w:numFmt w:val="bullet"/>
      <w:lvlText w:val="•"/>
      <w:lvlJc w:val="left"/>
      <w:pPr>
        <w:ind w:left="1115" w:hanging="144"/>
      </w:pPr>
      <w:rPr>
        <w:rFonts w:hint="default"/>
        <w:lang w:val="en-US" w:eastAsia="en-US" w:bidi="ar-SA"/>
      </w:rPr>
    </w:lvl>
    <w:lvl w:ilvl="4">
      <w:start w:val="0"/>
      <w:numFmt w:val="bullet"/>
      <w:lvlText w:val="•"/>
      <w:lvlJc w:val="left"/>
      <w:pPr>
        <w:ind w:left="1413" w:hanging="144"/>
      </w:pPr>
      <w:rPr>
        <w:rFonts w:hint="default"/>
        <w:lang w:val="en-US" w:eastAsia="en-US" w:bidi="ar-SA"/>
      </w:rPr>
    </w:lvl>
    <w:lvl w:ilvl="5">
      <w:start w:val="0"/>
      <w:numFmt w:val="bullet"/>
      <w:lvlText w:val="•"/>
      <w:lvlJc w:val="left"/>
      <w:pPr>
        <w:ind w:left="1712" w:hanging="144"/>
      </w:pPr>
      <w:rPr>
        <w:rFonts w:hint="default"/>
        <w:lang w:val="en-US" w:eastAsia="en-US" w:bidi="ar-SA"/>
      </w:rPr>
    </w:lvl>
    <w:lvl w:ilvl="6">
      <w:start w:val="0"/>
      <w:numFmt w:val="bullet"/>
      <w:lvlText w:val="•"/>
      <w:lvlJc w:val="left"/>
      <w:pPr>
        <w:ind w:left="2010" w:hanging="144"/>
      </w:pPr>
      <w:rPr>
        <w:rFonts w:hint="default"/>
        <w:lang w:val="en-US" w:eastAsia="en-US" w:bidi="ar-SA"/>
      </w:rPr>
    </w:lvl>
    <w:lvl w:ilvl="7">
      <w:start w:val="0"/>
      <w:numFmt w:val="bullet"/>
      <w:lvlText w:val="•"/>
      <w:lvlJc w:val="left"/>
      <w:pPr>
        <w:ind w:left="2308" w:hanging="144"/>
      </w:pPr>
      <w:rPr>
        <w:rFonts w:hint="default"/>
        <w:lang w:val="en-US" w:eastAsia="en-US" w:bidi="ar-SA"/>
      </w:rPr>
    </w:lvl>
    <w:lvl w:ilvl="8">
      <w:start w:val="0"/>
      <w:numFmt w:val="bullet"/>
      <w:lvlText w:val="•"/>
      <w:lvlJc w:val="left"/>
      <w:pPr>
        <w:ind w:left="2607" w:hanging="144"/>
      </w:pPr>
      <w:rPr>
        <w:rFonts w:hint="default"/>
        <w:lang w:val="en-US" w:eastAsia="en-US" w:bidi="ar-SA"/>
      </w:rPr>
    </w:lvl>
  </w:abstractNum>
  <w:abstractNum w:abstractNumId="109">
    <w:multiLevelType w:val="hybridMultilevel"/>
    <w:lvl w:ilvl="0">
      <w:start w:val="0"/>
      <w:numFmt w:val="bullet"/>
      <w:lvlText w:val=""/>
      <w:lvlJc w:val="left"/>
      <w:pPr>
        <w:ind w:left="216" w:hanging="144"/>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520" w:hanging="144"/>
      </w:pPr>
      <w:rPr>
        <w:rFonts w:hint="default"/>
        <w:lang w:val="en-US" w:eastAsia="en-US" w:bidi="ar-SA"/>
      </w:rPr>
    </w:lvl>
    <w:lvl w:ilvl="2">
      <w:start w:val="0"/>
      <w:numFmt w:val="bullet"/>
      <w:lvlText w:val="•"/>
      <w:lvlJc w:val="left"/>
      <w:pPr>
        <w:ind w:left="821" w:hanging="144"/>
      </w:pPr>
      <w:rPr>
        <w:rFonts w:hint="default"/>
        <w:lang w:val="en-US" w:eastAsia="en-US" w:bidi="ar-SA"/>
      </w:rPr>
    </w:lvl>
    <w:lvl w:ilvl="3">
      <w:start w:val="0"/>
      <w:numFmt w:val="bullet"/>
      <w:lvlText w:val="•"/>
      <w:lvlJc w:val="left"/>
      <w:pPr>
        <w:ind w:left="1122" w:hanging="144"/>
      </w:pPr>
      <w:rPr>
        <w:rFonts w:hint="default"/>
        <w:lang w:val="en-US" w:eastAsia="en-US" w:bidi="ar-SA"/>
      </w:rPr>
    </w:lvl>
    <w:lvl w:ilvl="4">
      <w:start w:val="0"/>
      <w:numFmt w:val="bullet"/>
      <w:lvlText w:val="•"/>
      <w:lvlJc w:val="left"/>
      <w:pPr>
        <w:ind w:left="1422" w:hanging="144"/>
      </w:pPr>
      <w:rPr>
        <w:rFonts w:hint="default"/>
        <w:lang w:val="en-US" w:eastAsia="en-US" w:bidi="ar-SA"/>
      </w:rPr>
    </w:lvl>
    <w:lvl w:ilvl="5">
      <w:start w:val="0"/>
      <w:numFmt w:val="bullet"/>
      <w:lvlText w:val="•"/>
      <w:lvlJc w:val="left"/>
      <w:pPr>
        <w:ind w:left="1723" w:hanging="144"/>
      </w:pPr>
      <w:rPr>
        <w:rFonts w:hint="default"/>
        <w:lang w:val="en-US" w:eastAsia="en-US" w:bidi="ar-SA"/>
      </w:rPr>
    </w:lvl>
    <w:lvl w:ilvl="6">
      <w:start w:val="0"/>
      <w:numFmt w:val="bullet"/>
      <w:lvlText w:val="•"/>
      <w:lvlJc w:val="left"/>
      <w:pPr>
        <w:ind w:left="2024" w:hanging="144"/>
      </w:pPr>
      <w:rPr>
        <w:rFonts w:hint="default"/>
        <w:lang w:val="en-US" w:eastAsia="en-US" w:bidi="ar-SA"/>
      </w:rPr>
    </w:lvl>
    <w:lvl w:ilvl="7">
      <w:start w:val="0"/>
      <w:numFmt w:val="bullet"/>
      <w:lvlText w:val="•"/>
      <w:lvlJc w:val="left"/>
      <w:pPr>
        <w:ind w:left="2324" w:hanging="144"/>
      </w:pPr>
      <w:rPr>
        <w:rFonts w:hint="default"/>
        <w:lang w:val="en-US" w:eastAsia="en-US" w:bidi="ar-SA"/>
      </w:rPr>
    </w:lvl>
    <w:lvl w:ilvl="8">
      <w:start w:val="0"/>
      <w:numFmt w:val="bullet"/>
      <w:lvlText w:val="•"/>
      <w:lvlJc w:val="left"/>
      <w:pPr>
        <w:ind w:left="2625" w:hanging="144"/>
      </w:pPr>
      <w:rPr>
        <w:rFonts w:hint="default"/>
        <w:lang w:val="en-US" w:eastAsia="en-US" w:bidi="ar-SA"/>
      </w:rPr>
    </w:lvl>
  </w:abstractNum>
  <w:abstractNum w:abstractNumId="108">
    <w:multiLevelType w:val="hybridMultilevel"/>
    <w:lvl w:ilvl="0">
      <w:start w:val="0"/>
      <w:numFmt w:val="bullet"/>
      <w:lvlText w:val=""/>
      <w:lvlJc w:val="left"/>
      <w:pPr>
        <w:ind w:left="225" w:hanging="144"/>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518" w:hanging="144"/>
      </w:pPr>
      <w:rPr>
        <w:rFonts w:hint="default"/>
        <w:lang w:val="en-US" w:eastAsia="en-US" w:bidi="ar-SA"/>
      </w:rPr>
    </w:lvl>
    <w:lvl w:ilvl="2">
      <w:start w:val="0"/>
      <w:numFmt w:val="bullet"/>
      <w:lvlText w:val="•"/>
      <w:lvlJc w:val="left"/>
      <w:pPr>
        <w:ind w:left="816" w:hanging="144"/>
      </w:pPr>
      <w:rPr>
        <w:rFonts w:hint="default"/>
        <w:lang w:val="en-US" w:eastAsia="en-US" w:bidi="ar-SA"/>
      </w:rPr>
    </w:lvl>
    <w:lvl w:ilvl="3">
      <w:start w:val="0"/>
      <w:numFmt w:val="bullet"/>
      <w:lvlText w:val="•"/>
      <w:lvlJc w:val="left"/>
      <w:pPr>
        <w:ind w:left="1115" w:hanging="144"/>
      </w:pPr>
      <w:rPr>
        <w:rFonts w:hint="default"/>
        <w:lang w:val="en-US" w:eastAsia="en-US" w:bidi="ar-SA"/>
      </w:rPr>
    </w:lvl>
    <w:lvl w:ilvl="4">
      <w:start w:val="0"/>
      <w:numFmt w:val="bullet"/>
      <w:lvlText w:val="•"/>
      <w:lvlJc w:val="left"/>
      <w:pPr>
        <w:ind w:left="1413" w:hanging="144"/>
      </w:pPr>
      <w:rPr>
        <w:rFonts w:hint="default"/>
        <w:lang w:val="en-US" w:eastAsia="en-US" w:bidi="ar-SA"/>
      </w:rPr>
    </w:lvl>
    <w:lvl w:ilvl="5">
      <w:start w:val="0"/>
      <w:numFmt w:val="bullet"/>
      <w:lvlText w:val="•"/>
      <w:lvlJc w:val="left"/>
      <w:pPr>
        <w:ind w:left="1712" w:hanging="144"/>
      </w:pPr>
      <w:rPr>
        <w:rFonts w:hint="default"/>
        <w:lang w:val="en-US" w:eastAsia="en-US" w:bidi="ar-SA"/>
      </w:rPr>
    </w:lvl>
    <w:lvl w:ilvl="6">
      <w:start w:val="0"/>
      <w:numFmt w:val="bullet"/>
      <w:lvlText w:val="•"/>
      <w:lvlJc w:val="left"/>
      <w:pPr>
        <w:ind w:left="2010" w:hanging="144"/>
      </w:pPr>
      <w:rPr>
        <w:rFonts w:hint="default"/>
        <w:lang w:val="en-US" w:eastAsia="en-US" w:bidi="ar-SA"/>
      </w:rPr>
    </w:lvl>
    <w:lvl w:ilvl="7">
      <w:start w:val="0"/>
      <w:numFmt w:val="bullet"/>
      <w:lvlText w:val="•"/>
      <w:lvlJc w:val="left"/>
      <w:pPr>
        <w:ind w:left="2308" w:hanging="144"/>
      </w:pPr>
      <w:rPr>
        <w:rFonts w:hint="default"/>
        <w:lang w:val="en-US" w:eastAsia="en-US" w:bidi="ar-SA"/>
      </w:rPr>
    </w:lvl>
    <w:lvl w:ilvl="8">
      <w:start w:val="0"/>
      <w:numFmt w:val="bullet"/>
      <w:lvlText w:val="•"/>
      <w:lvlJc w:val="left"/>
      <w:pPr>
        <w:ind w:left="2607" w:hanging="144"/>
      </w:pPr>
      <w:rPr>
        <w:rFonts w:hint="default"/>
        <w:lang w:val="en-US" w:eastAsia="en-US" w:bidi="ar-SA"/>
      </w:rPr>
    </w:lvl>
  </w:abstractNum>
  <w:abstractNum w:abstractNumId="107">
    <w:multiLevelType w:val="hybridMultilevel"/>
    <w:lvl w:ilvl="0">
      <w:start w:val="0"/>
      <w:numFmt w:val="bullet"/>
      <w:lvlText w:val=""/>
      <w:lvlJc w:val="left"/>
      <w:pPr>
        <w:ind w:left="216" w:hanging="144"/>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520" w:hanging="144"/>
      </w:pPr>
      <w:rPr>
        <w:rFonts w:hint="default"/>
        <w:lang w:val="en-US" w:eastAsia="en-US" w:bidi="ar-SA"/>
      </w:rPr>
    </w:lvl>
    <w:lvl w:ilvl="2">
      <w:start w:val="0"/>
      <w:numFmt w:val="bullet"/>
      <w:lvlText w:val="•"/>
      <w:lvlJc w:val="left"/>
      <w:pPr>
        <w:ind w:left="821" w:hanging="144"/>
      </w:pPr>
      <w:rPr>
        <w:rFonts w:hint="default"/>
        <w:lang w:val="en-US" w:eastAsia="en-US" w:bidi="ar-SA"/>
      </w:rPr>
    </w:lvl>
    <w:lvl w:ilvl="3">
      <w:start w:val="0"/>
      <w:numFmt w:val="bullet"/>
      <w:lvlText w:val="•"/>
      <w:lvlJc w:val="left"/>
      <w:pPr>
        <w:ind w:left="1122" w:hanging="144"/>
      </w:pPr>
      <w:rPr>
        <w:rFonts w:hint="default"/>
        <w:lang w:val="en-US" w:eastAsia="en-US" w:bidi="ar-SA"/>
      </w:rPr>
    </w:lvl>
    <w:lvl w:ilvl="4">
      <w:start w:val="0"/>
      <w:numFmt w:val="bullet"/>
      <w:lvlText w:val="•"/>
      <w:lvlJc w:val="left"/>
      <w:pPr>
        <w:ind w:left="1422" w:hanging="144"/>
      </w:pPr>
      <w:rPr>
        <w:rFonts w:hint="default"/>
        <w:lang w:val="en-US" w:eastAsia="en-US" w:bidi="ar-SA"/>
      </w:rPr>
    </w:lvl>
    <w:lvl w:ilvl="5">
      <w:start w:val="0"/>
      <w:numFmt w:val="bullet"/>
      <w:lvlText w:val="•"/>
      <w:lvlJc w:val="left"/>
      <w:pPr>
        <w:ind w:left="1723" w:hanging="144"/>
      </w:pPr>
      <w:rPr>
        <w:rFonts w:hint="default"/>
        <w:lang w:val="en-US" w:eastAsia="en-US" w:bidi="ar-SA"/>
      </w:rPr>
    </w:lvl>
    <w:lvl w:ilvl="6">
      <w:start w:val="0"/>
      <w:numFmt w:val="bullet"/>
      <w:lvlText w:val="•"/>
      <w:lvlJc w:val="left"/>
      <w:pPr>
        <w:ind w:left="2024" w:hanging="144"/>
      </w:pPr>
      <w:rPr>
        <w:rFonts w:hint="default"/>
        <w:lang w:val="en-US" w:eastAsia="en-US" w:bidi="ar-SA"/>
      </w:rPr>
    </w:lvl>
    <w:lvl w:ilvl="7">
      <w:start w:val="0"/>
      <w:numFmt w:val="bullet"/>
      <w:lvlText w:val="•"/>
      <w:lvlJc w:val="left"/>
      <w:pPr>
        <w:ind w:left="2324" w:hanging="144"/>
      </w:pPr>
      <w:rPr>
        <w:rFonts w:hint="default"/>
        <w:lang w:val="en-US" w:eastAsia="en-US" w:bidi="ar-SA"/>
      </w:rPr>
    </w:lvl>
    <w:lvl w:ilvl="8">
      <w:start w:val="0"/>
      <w:numFmt w:val="bullet"/>
      <w:lvlText w:val="•"/>
      <w:lvlJc w:val="left"/>
      <w:pPr>
        <w:ind w:left="2625" w:hanging="144"/>
      </w:pPr>
      <w:rPr>
        <w:rFonts w:hint="default"/>
        <w:lang w:val="en-US" w:eastAsia="en-US" w:bidi="ar-SA"/>
      </w:rPr>
    </w:lvl>
  </w:abstractNum>
  <w:abstractNum w:abstractNumId="106">
    <w:multiLevelType w:val="hybridMultilevel"/>
    <w:lvl w:ilvl="0">
      <w:start w:val="0"/>
      <w:numFmt w:val="bullet"/>
      <w:lvlText w:val=""/>
      <w:lvlJc w:val="left"/>
      <w:pPr>
        <w:ind w:left="225" w:hanging="144"/>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518" w:hanging="144"/>
      </w:pPr>
      <w:rPr>
        <w:rFonts w:hint="default"/>
        <w:lang w:val="en-US" w:eastAsia="en-US" w:bidi="ar-SA"/>
      </w:rPr>
    </w:lvl>
    <w:lvl w:ilvl="2">
      <w:start w:val="0"/>
      <w:numFmt w:val="bullet"/>
      <w:lvlText w:val="•"/>
      <w:lvlJc w:val="left"/>
      <w:pPr>
        <w:ind w:left="816" w:hanging="144"/>
      </w:pPr>
      <w:rPr>
        <w:rFonts w:hint="default"/>
        <w:lang w:val="en-US" w:eastAsia="en-US" w:bidi="ar-SA"/>
      </w:rPr>
    </w:lvl>
    <w:lvl w:ilvl="3">
      <w:start w:val="0"/>
      <w:numFmt w:val="bullet"/>
      <w:lvlText w:val="•"/>
      <w:lvlJc w:val="left"/>
      <w:pPr>
        <w:ind w:left="1115" w:hanging="144"/>
      </w:pPr>
      <w:rPr>
        <w:rFonts w:hint="default"/>
        <w:lang w:val="en-US" w:eastAsia="en-US" w:bidi="ar-SA"/>
      </w:rPr>
    </w:lvl>
    <w:lvl w:ilvl="4">
      <w:start w:val="0"/>
      <w:numFmt w:val="bullet"/>
      <w:lvlText w:val="•"/>
      <w:lvlJc w:val="left"/>
      <w:pPr>
        <w:ind w:left="1413" w:hanging="144"/>
      </w:pPr>
      <w:rPr>
        <w:rFonts w:hint="default"/>
        <w:lang w:val="en-US" w:eastAsia="en-US" w:bidi="ar-SA"/>
      </w:rPr>
    </w:lvl>
    <w:lvl w:ilvl="5">
      <w:start w:val="0"/>
      <w:numFmt w:val="bullet"/>
      <w:lvlText w:val="•"/>
      <w:lvlJc w:val="left"/>
      <w:pPr>
        <w:ind w:left="1712" w:hanging="144"/>
      </w:pPr>
      <w:rPr>
        <w:rFonts w:hint="default"/>
        <w:lang w:val="en-US" w:eastAsia="en-US" w:bidi="ar-SA"/>
      </w:rPr>
    </w:lvl>
    <w:lvl w:ilvl="6">
      <w:start w:val="0"/>
      <w:numFmt w:val="bullet"/>
      <w:lvlText w:val="•"/>
      <w:lvlJc w:val="left"/>
      <w:pPr>
        <w:ind w:left="2010" w:hanging="144"/>
      </w:pPr>
      <w:rPr>
        <w:rFonts w:hint="default"/>
        <w:lang w:val="en-US" w:eastAsia="en-US" w:bidi="ar-SA"/>
      </w:rPr>
    </w:lvl>
    <w:lvl w:ilvl="7">
      <w:start w:val="0"/>
      <w:numFmt w:val="bullet"/>
      <w:lvlText w:val="•"/>
      <w:lvlJc w:val="left"/>
      <w:pPr>
        <w:ind w:left="2308" w:hanging="144"/>
      </w:pPr>
      <w:rPr>
        <w:rFonts w:hint="default"/>
        <w:lang w:val="en-US" w:eastAsia="en-US" w:bidi="ar-SA"/>
      </w:rPr>
    </w:lvl>
    <w:lvl w:ilvl="8">
      <w:start w:val="0"/>
      <w:numFmt w:val="bullet"/>
      <w:lvlText w:val="•"/>
      <w:lvlJc w:val="left"/>
      <w:pPr>
        <w:ind w:left="2607" w:hanging="144"/>
      </w:pPr>
      <w:rPr>
        <w:rFonts w:hint="default"/>
        <w:lang w:val="en-US" w:eastAsia="en-US" w:bidi="ar-SA"/>
      </w:rPr>
    </w:lvl>
  </w:abstractNum>
  <w:abstractNum w:abstractNumId="105">
    <w:multiLevelType w:val="hybridMultilevel"/>
    <w:lvl w:ilvl="0">
      <w:start w:val="0"/>
      <w:numFmt w:val="bullet"/>
      <w:lvlText w:val=""/>
      <w:lvlJc w:val="left"/>
      <w:pPr>
        <w:ind w:left="216" w:hanging="144"/>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520" w:hanging="144"/>
      </w:pPr>
      <w:rPr>
        <w:rFonts w:hint="default"/>
        <w:lang w:val="en-US" w:eastAsia="en-US" w:bidi="ar-SA"/>
      </w:rPr>
    </w:lvl>
    <w:lvl w:ilvl="2">
      <w:start w:val="0"/>
      <w:numFmt w:val="bullet"/>
      <w:lvlText w:val="•"/>
      <w:lvlJc w:val="left"/>
      <w:pPr>
        <w:ind w:left="821" w:hanging="144"/>
      </w:pPr>
      <w:rPr>
        <w:rFonts w:hint="default"/>
        <w:lang w:val="en-US" w:eastAsia="en-US" w:bidi="ar-SA"/>
      </w:rPr>
    </w:lvl>
    <w:lvl w:ilvl="3">
      <w:start w:val="0"/>
      <w:numFmt w:val="bullet"/>
      <w:lvlText w:val="•"/>
      <w:lvlJc w:val="left"/>
      <w:pPr>
        <w:ind w:left="1122" w:hanging="144"/>
      </w:pPr>
      <w:rPr>
        <w:rFonts w:hint="default"/>
        <w:lang w:val="en-US" w:eastAsia="en-US" w:bidi="ar-SA"/>
      </w:rPr>
    </w:lvl>
    <w:lvl w:ilvl="4">
      <w:start w:val="0"/>
      <w:numFmt w:val="bullet"/>
      <w:lvlText w:val="•"/>
      <w:lvlJc w:val="left"/>
      <w:pPr>
        <w:ind w:left="1422" w:hanging="144"/>
      </w:pPr>
      <w:rPr>
        <w:rFonts w:hint="default"/>
        <w:lang w:val="en-US" w:eastAsia="en-US" w:bidi="ar-SA"/>
      </w:rPr>
    </w:lvl>
    <w:lvl w:ilvl="5">
      <w:start w:val="0"/>
      <w:numFmt w:val="bullet"/>
      <w:lvlText w:val="•"/>
      <w:lvlJc w:val="left"/>
      <w:pPr>
        <w:ind w:left="1723" w:hanging="144"/>
      </w:pPr>
      <w:rPr>
        <w:rFonts w:hint="default"/>
        <w:lang w:val="en-US" w:eastAsia="en-US" w:bidi="ar-SA"/>
      </w:rPr>
    </w:lvl>
    <w:lvl w:ilvl="6">
      <w:start w:val="0"/>
      <w:numFmt w:val="bullet"/>
      <w:lvlText w:val="•"/>
      <w:lvlJc w:val="left"/>
      <w:pPr>
        <w:ind w:left="2024" w:hanging="144"/>
      </w:pPr>
      <w:rPr>
        <w:rFonts w:hint="default"/>
        <w:lang w:val="en-US" w:eastAsia="en-US" w:bidi="ar-SA"/>
      </w:rPr>
    </w:lvl>
    <w:lvl w:ilvl="7">
      <w:start w:val="0"/>
      <w:numFmt w:val="bullet"/>
      <w:lvlText w:val="•"/>
      <w:lvlJc w:val="left"/>
      <w:pPr>
        <w:ind w:left="2324" w:hanging="144"/>
      </w:pPr>
      <w:rPr>
        <w:rFonts w:hint="default"/>
        <w:lang w:val="en-US" w:eastAsia="en-US" w:bidi="ar-SA"/>
      </w:rPr>
    </w:lvl>
    <w:lvl w:ilvl="8">
      <w:start w:val="0"/>
      <w:numFmt w:val="bullet"/>
      <w:lvlText w:val="•"/>
      <w:lvlJc w:val="left"/>
      <w:pPr>
        <w:ind w:left="2625" w:hanging="144"/>
      </w:pPr>
      <w:rPr>
        <w:rFonts w:hint="default"/>
        <w:lang w:val="en-US" w:eastAsia="en-US" w:bidi="ar-SA"/>
      </w:rPr>
    </w:lvl>
  </w:abstractNum>
  <w:abstractNum w:abstractNumId="104">
    <w:multiLevelType w:val="hybridMultilevel"/>
    <w:lvl w:ilvl="0">
      <w:start w:val="0"/>
      <w:numFmt w:val="bullet"/>
      <w:lvlText w:val=""/>
      <w:lvlJc w:val="left"/>
      <w:pPr>
        <w:ind w:left="225" w:hanging="144"/>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518" w:hanging="144"/>
      </w:pPr>
      <w:rPr>
        <w:rFonts w:hint="default"/>
        <w:lang w:val="en-US" w:eastAsia="en-US" w:bidi="ar-SA"/>
      </w:rPr>
    </w:lvl>
    <w:lvl w:ilvl="2">
      <w:start w:val="0"/>
      <w:numFmt w:val="bullet"/>
      <w:lvlText w:val="•"/>
      <w:lvlJc w:val="left"/>
      <w:pPr>
        <w:ind w:left="816" w:hanging="144"/>
      </w:pPr>
      <w:rPr>
        <w:rFonts w:hint="default"/>
        <w:lang w:val="en-US" w:eastAsia="en-US" w:bidi="ar-SA"/>
      </w:rPr>
    </w:lvl>
    <w:lvl w:ilvl="3">
      <w:start w:val="0"/>
      <w:numFmt w:val="bullet"/>
      <w:lvlText w:val="•"/>
      <w:lvlJc w:val="left"/>
      <w:pPr>
        <w:ind w:left="1115" w:hanging="144"/>
      </w:pPr>
      <w:rPr>
        <w:rFonts w:hint="default"/>
        <w:lang w:val="en-US" w:eastAsia="en-US" w:bidi="ar-SA"/>
      </w:rPr>
    </w:lvl>
    <w:lvl w:ilvl="4">
      <w:start w:val="0"/>
      <w:numFmt w:val="bullet"/>
      <w:lvlText w:val="•"/>
      <w:lvlJc w:val="left"/>
      <w:pPr>
        <w:ind w:left="1413" w:hanging="144"/>
      </w:pPr>
      <w:rPr>
        <w:rFonts w:hint="default"/>
        <w:lang w:val="en-US" w:eastAsia="en-US" w:bidi="ar-SA"/>
      </w:rPr>
    </w:lvl>
    <w:lvl w:ilvl="5">
      <w:start w:val="0"/>
      <w:numFmt w:val="bullet"/>
      <w:lvlText w:val="•"/>
      <w:lvlJc w:val="left"/>
      <w:pPr>
        <w:ind w:left="1712" w:hanging="144"/>
      </w:pPr>
      <w:rPr>
        <w:rFonts w:hint="default"/>
        <w:lang w:val="en-US" w:eastAsia="en-US" w:bidi="ar-SA"/>
      </w:rPr>
    </w:lvl>
    <w:lvl w:ilvl="6">
      <w:start w:val="0"/>
      <w:numFmt w:val="bullet"/>
      <w:lvlText w:val="•"/>
      <w:lvlJc w:val="left"/>
      <w:pPr>
        <w:ind w:left="2010" w:hanging="144"/>
      </w:pPr>
      <w:rPr>
        <w:rFonts w:hint="default"/>
        <w:lang w:val="en-US" w:eastAsia="en-US" w:bidi="ar-SA"/>
      </w:rPr>
    </w:lvl>
    <w:lvl w:ilvl="7">
      <w:start w:val="0"/>
      <w:numFmt w:val="bullet"/>
      <w:lvlText w:val="•"/>
      <w:lvlJc w:val="left"/>
      <w:pPr>
        <w:ind w:left="2308" w:hanging="144"/>
      </w:pPr>
      <w:rPr>
        <w:rFonts w:hint="default"/>
        <w:lang w:val="en-US" w:eastAsia="en-US" w:bidi="ar-SA"/>
      </w:rPr>
    </w:lvl>
    <w:lvl w:ilvl="8">
      <w:start w:val="0"/>
      <w:numFmt w:val="bullet"/>
      <w:lvlText w:val="•"/>
      <w:lvlJc w:val="left"/>
      <w:pPr>
        <w:ind w:left="2607" w:hanging="144"/>
      </w:pPr>
      <w:rPr>
        <w:rFonts w:hint="default"/>
        <w:lang w:val="en-US" w:eastAsia="en-US" w:bidi="ar-SA"/>
      </w:rPr>
    </w:lvl>
  </w:abstractNum>
  <w:abstractNum w:abstractNumId="103">
    <w:multiLevelType w:val="hybridMultilevel"/>
    <w:lvl w:ilvl="0">
      <w:start w:val="0"/>
      <w:numFmt w:val="bullet"/>
      <w:lvlText w:val=""/>
      <w:lvlJc w:val="left"/>
      <w:pPr>
        <w:ind w:left="216" w:hanging="144"/>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520" w:hanging="144"/>
      </w:pPr>
      <w:rPr>
        <w:rFonts w:hint="default"/>
        <w:lang w:val="en-US" w:eastAsia="en-US" w:bidi="ar-SA"/>
      </w:rPr>
    </w:lvl>
    <w:lvl w:ilvl="2">
      <w:start w:val="0"/>
      <w:numFmt w:val="bullet"/>
      <w:lvlText w:val="•"/>
      <w:lvlJc w:val="left"/>
      <w:pPr>
        <w:ind w:left="821" w:hanging="144"/>
      </w:pPr>
      <w:rPr>
        <w:rFonts w:hint="default"/>
        <w:lang w:val="en-US" w:eastAsia="en-US" w:bidi="ar-SA"/>
      </w:rPr>
    </w:lvl>
    <w:lvl w:ilvl="3">
      <w:start w:val="0"/>
      <w:numFmt w:val="bullet"/>
      <w:lvlText w:val="•"/>
      <w:lvlJc w:val="left"/>
      <w:pPr>
        <w:ind w:left="1122" w:hanging="144"/>
      </w:pPr>
      <w:rPr>
        <w:rFonts w:hint="default"/>
        <w:lang w:val="en-US" w:eastAsia="en-US" w:bidi="ar-SA"/>
      </w:rPr>
    </w:lvl>
    <w:lvl w:ilvl="4">
      <w:start w:val="0"/>
      <w:numFmt w:val="bullet"/>
      <w:lvlText w:val="•"/>
      <w:lvlJc w:val="left"/>
      <w:pPr>
        <w:ind w:left="1422" w:hanging="144"/>
      </w:pPr>
      <w:rPr>
        <w:rFonts w:hint="default"/>
        <w:lang w:val="en-US" w:eastAsia="en-US" w:bidi="ar-SA"/>
      </w:rPr>
    </w:lvl>
    <w:lvl w:ilvl="5">
      <w:start w:val="0"/>
      <w:numFmt w:val="bullet"/>
      <w:lvlText w:val="•"/>
      <w:lvlJc w:val="left"/>
      <w:pPr>
        <w:ind w:left="1723" w:hanging="144"/>
      </w:pPr>
      <w:rPr>
        <w:rFonts w:hint="default"/>
        <w:lang w:val="en-US" w:eastAsia="en-US" w:bidi="ar-SA"/>
      </w:rPr>
    </w:lvl>
    <w:lvl w:ilvl="6">
      <w:start w:val="0"/>
      <w:numFmt w:val="bullet"/>
      <w:lvlText w:val="•"/>
      <w:lvlJc w:val="left"/>
      <w:pPr>
        <w:ind w:left="2024" w:hanging="144"/>
      </w:pPr>
      <w:rPr>
        <w:rFonts w:hint="default"/>
        <w:lang w:val="en-US" w:eastAsia="en-US" w:bidi="ar-SA"/>
      </w:rPr>
    </w:lvl>
    <w:lvl w:ilvl="7">
      <w:start w:val="0"/>
      <w:numFmt w:val="bullet"/>
      <w:lvlText w:val="•"/>
      <w:lvlJc w:val="left"/>
      <w:pPr>
        <w:ind w:left="2324" w:hanging="144"/>
      </w:pPr>
      <w:rPr>
        <w:rFonts w:hint="default"/>
        <w:lang w:val="en-US" w:eastAsia="en-US" w:bidi="ar-SA"/>
      </w:rPr>
    </w:lvl>
    <w:lvl w:ilvl="8">
      <w:start w:val="0"/>
      <w:numFmt w:val="bullet"/>
      <w:lvlText w:val="•"/>
      <w:lvlJc w:val="left"/>
      <w:pPr>
        <w:ind w:left="2625" w:hanging="144"/>
      </w:pPr>
      <w:rPr>
        <w:rFonts w:hint="default"/>
        <w:lang w:val="en-US" w:eastAsia="en-US" w:bidi="ar-SA"/>
      </w:rPr>
    </w:lvl>
  </w:abstractNum>
  <w:abstractNum w:abstractNumId="102">
    <w:multiLevelType w:val="hybridMultilevel"/>
    <w:lvl w:ilvl="0">
      <w:start w:val="0"/>
      <w:numFmt w:val="bullet"/>
      <w:lvlText w:val=""/>
      <w:lvlJc w:val="left"/>
      <w:pPr>
        <w:ind w:left="225" w:hanging="144"/>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518" w:hanging="144"/>
      </w:pPr>
      <w:rPr>
        <w:rFonts w:hint="default"/>
        <w:lang w:val="en-US" w:eastAsia="en-US" w:bidi="ar-SA"/>
      </w:rPr>
    </w:lvl>
    <w:lvl w:ilvl="2">
      <w:start w:val="0"/>
      <w:numFmt w:val="bullet"/>
      <w:lvlText w:val="•"/>
      <w:lvlJc w:val="left"/>
      <w:pPr>
        <w:ind w:left="816" w:hanging="144"/>
      </w:pPr>
      <w:rPr>
        <w:rFonts w:hint="default"/>
        <w:lang w:val="en-US" w:eastAsia="en-US" w:bidi="ar-SA"/>
      </w:rPr>
    </w:lvl>
    <w:lvl w:ilvl="3">
      <w:start w:val="0"/>
      <w:numFmt w:val="bullet"/>
      <w:lvlText w:val="•"/>
      <w:lvlJc w:val="left"/>
      <w:pPr>
        <w:ind w:left="1115" w:hanging="144"/>
      </w:pPr>
      <w:rPr>
        <w:rFonts w:hint="default"/>
        <w:lang w:val="en-US" w:eastAsia="en-US" w:bidi="ar-SA"/>
      </w:rPr>
    </w:lvl>
    <w:lvl w:ilvl="4">
      <w:start w:val="0"/>
      <w:numFmt w:val="bullet"/>
      <w:lvlText w:val="•"/>
      <w:lvlJc w:val="left"/>
      <w:pPr>
        <w:ind w:left="1413" w:hanging="144"/>
      </w:pPr>
      <w:rPr>
        <w:rFonts w:hint="default"/>
        <w:lang w:val="en-US" w:eastAsia="en-US" w:bidi="ar-SA"/>
      </w:rPr>
    </w:lvl>
    <w:lvl w:ilvl="5">
      <w:start w:val="0"/>
      <w:numFmt w:val="bullet"/>
      <w:lvlText w:val="•"/>
      <w:lvlJc w:val="left"/>
      <w:pPr>
        <w:ind w:left="1712" w:hanging="144"/>
      </w:pPr>
      <w:rPr>
        <w:rFonts w:hint="default"/>
        <w:lang w:val="en-US" w:eastAsia="en-US" w:bidi="ar-SA"/>
      </w:rPr>
    </w:lvl>
    <w:lvl w:ilvl="6">
      <w:start w:val="0"/>
      <w:numFmt w:val="bullet"/>
      <w:lvlText w:val="•"/>
      <w:lvlJc w:val="left"/>
      <w:pPr>
        <w:ind w:left="2010" w:hanging="144"/>
      </w:pPr>
      <w:rPr>
        <w:rFonts w:hint="default"/>
        <w:lang w:val="en-US" w:eastAsia="en-US" w:bidi="ar-SA"/>
      </w:rPr>
    </w:lvl>
    <w:lvl w:ilvl="7">
      <w:start w:val="0"/>
      <w:numFmt w:val="bullet"/>
      <w:lvlText w:val="•"/>
      <w:lvlJc w:val="left"/>
      <w:pPr>
        <w:ind w:left="2308" w:hanging="144"/>
      </w:pPr>
      <w:rPr>
        <w:rFonts w:hint="default"/>
        <w:lang w:val="en-US" w:eastAsia="en-US" w:bidi="ar-SA"/>
      </w:rPr>
    </w:lvl>
    <w:lvl w:ilvl="8">
      <w:start w:val="0"/>
      <w:numFmt w:val="bullet"/>
      <w:lvlText w:val="•"/>
      <w:lvlJc w:val="left"/>
      <w:pPr>
        <w:ind w:left="2607" w:hanging="144"/>
      </w:pPr>
      <w:rPr>
        <w:rFonts w:hint="default"/>
        <w:lang w:val="en-US" w:eastAsia="en-US" w:bidi="ar-SA"/>
      </w:rPr>
    </w:lvl>
  </w:abstractNum>
  <w:abstractNum w:abstractNumId="101">
    <w:multiLevelType w:val="hybridMultilevel"/>
    <w:lvl w:ilvl="0">
      <w:start w:val="0"/>
      <w:numFmt w:val="bullet"/>
      <w:lvlText w:val=""/>
      <w:lvlJc w:val="left"/>
      <w:pPr>
        <w:ind w:left="216" w:hanging="144"/>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520" w:hanging="144"/>
      </w:pPr>
      <w:rPr>
        <w:rFonts w:hint="default"/>
        <w:lang w:val="en-US" w:eastAsia="en-US" w:bidi="ar-SA"/>
      </w:rPr>
    </w:lvl>
    <w:lvl w:ilvl="2">
      <w:start w:val="0"/>
      <w:numFmt w:val="bullet"/>
      <w:lvlText w:val="•"/>
      <w:lvlJc w:val="left"/>
      <w:pPr>
        <w:ind w:left="821" w:hanging="144"/>
      </w:pPr>
      <w:rPr>
        <w:rFonts w:hint="default"/>
        <w:lang w:val="en-US" w:eastAsia="en-US" w:bidi="ar-SA"/>
      </w:rPr>
    </w:lvl>
    <w:lvl w:ilvl="3">
      <w:start w:val="0"/>
      <w:numFmt w:val="bullet"/>
      <w:lvlText w:val="•"/>
      <w:lvlJc w:val="left"/>
      <w:pPr>
        <w:ind w:left="1122" w:hanging="144"/>
      </w:pPr>
      <w:rPr>
        <w:rFonts w:hint="default"/>
        <w:lang w:val="en-US" w:eastAsia="en-US" w:bidi="ar-SA"/>
      </w:rPr>
    </w:lvl>
    <w:lvl w:ilvl="4">
      <w:start w:val="0"/>
      <w:numFmt w:val="bullet"/>
      <w:lvlText w:val="•"/>
      <w:lvlJc w:val="left"/>
      <w:pPr>
        <w:ind w:left="1422" w:hanging="144"/>
      </w:pPr>
      <w:rPr>
        <w:rFonts w:hint="default"/>
        <w:lang w:val="en-US" w:eastAsia="en-US" w:bidi="ar-SA"/>
      </w:rPr>
    </w:lvl>
    <w:lvl w:ilvl="5">
      <w:start w:val="0"/>
      <w:numFmt w:val="bullet"/>
      <w:lvlText w:val="•"/>
      <w:lvlJc w:val="left"/>
      <w:pPr>
        <w:ind w:left="1723" w:hanging="144"/>
      </w:pPr>
      <w:rPr>
        <w:rFonts w:hint="default"/>
        <w:lang w:val="en-US" w:eastAsia="en-US" w:bidi="ar-SA"/>
      </w:rPr>
    </w:lvl>
    <w:lvl w:ilvl="6">
      <w:start w:val="0"/>
      <w:numFmt w:val="bullet"/>
      <w:lvlText w:val="•"/>
      <w:lvlJc w:val="left"/>
      <w:pPr>
        <w:ind w:left="2024" w:hanging="144"/>
      </w:pPr>
      <w:rPr>
        <w:rFonts w:hint="default"/>
        <w:lang w:val="en-US" w:eastAsia="en-US" w:bidi="ar-SA"/>
      </w:rPr>
    </w:lvl>
    <w:lvl w:ilvl="7">
      <w:start w:val="0"/>
      <w:numFmt w:val="bullet"/>
      <w:lvlText w:val="•"/>
      <w:lvlJc w:val="left"/>
      <w:pPr>
        <w:ind w:left="2324" w:hanging="144"/>
      </w:pPr>
      <w:rPr>
        <w:rFonts w:hint="default"/>
        <w:lang w:val="en-US" w:eastAsia="en-US" w:bidi="ar-SA"/>
      </w:rPr>
    </w:lvl>
    <w:lvl w:ilvl="8">
      <w:start w:val="0"/>
      <w:numFmt w:val="bullet"/>
      <w:lvlText w:val="•"/>
      <w:lvlJc w:val="left"/>
      <w:pPr>
        <w:ind w:left="2625" w:hanging="144"/>
      </w:pPr>
      <w:rPr>
        <w:rFonts w:hint="default"/>
        <w:lang w:val="en-US" w:eastAsia="en-US" w:bidi="ar-SA"/>
      </w:rPr>
    </w:lvl>
  </w:abstractNum>
  <w:abstractNum w:abstractNumId="100">
    <w:multiLevelType w:val="hybridMultilevel"/>
    <w:lvl w:ilvl="0">
      <w:start w:val="0"/>
      <w:numFmt w:val="bullet"/>
      <w:lvlText w:val=""/>
      <w:lvlJc w:val="left"/>
      <w:pPr>
        <w:ind w:left="225" w:hanging="144"/>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518" w:hanging="144"/>
      </w:pPr>
      <w:rPr>
        <w:rFonts w:hint="default"/>
        <w:lang w:val="en-US" w:eastAsia="en-US" w:bidi="ar-SA"/>
      </w:rPr>
    </w:lvl>
    <w:lvl w:ilvl="2">
      <w:start w:val="0"/>
      <w:numFmt w:val="bullet"/>
      <w:lvlText w:val="•"/>
      <w:lvlJc w:val="left"/>
      <w:pPr>
        <w:ind w:left="816" w:hanging="144"/>
      </w:pPr>
      <w:rPr>
        <w:rFonts w:hint="default"/>
        <w:lang w:val="en-US" w:eastAsia="en-US" w:bidi="ar-SA"/>
      </w:rPr>
    </w:lvl>
    <w:lvl w:ilvl="3">
      <w:start w:val="0"/>
      <w:numFmt w:val="bullet"/>
      <w:lvlText w:val="•"/>
      <w:lvlJc w:val="left"/>
      <w:pPr>
        <w:ind w:left="1115" w:hanging="144"/>
      </w:pPr>
      <w:rPr>
        <w:rFonts w:hint="default"/>
        <w:lang w:val="en-US" w:eastAsia="en-US" w:bidi="ar-SA"/>
      </w:rPr>
    </w:lvl>
    <w:lvl w:ilvl="4">
      <w:start w:val="0"/>
      <w:numFmt w:val="bullet"/>
      <w:lvlText w:val="•"/>
      <w:lvlJc w:val="left"/>
      <w:pPr>
        <w:ind w:left="1413" w:hanging="144"/>
      </w:pPr>
      <w:rPr>
        <w:rFonts w:hint="default"/>
        <w:lang w:val="en-US" w:eastAsia="en-US" w:bidi="ar-SA"/>
      </w:rPr>
    </w:lvl>
    <w:lvl w:ilvl="5">
      <w:start w:val="0"/>
      <w:numFmt w:val="bullet"/>
      <w:lvlText w:val="•"/>
      <w:lvlJc w:val="left"/>
      <w:pPr>
        <w:ind w:left="1712" w:hanging="144"/>
      </w:pPr>
      <w:rPr>
        <w:rFonts w:hint="default"/>
        <w:lang w:val="en-US" w:eastAsia="en-US" w:bidi="ar-SA"/>
      </w:rPr>
    </w:lvl>
    <w:lvl w:ilvl="6">
      <w:start w:val="0"/>
      <w:numFmt w:val="bullet"/>
      <w:lvlText w:val="•"/>
      <w:lvlJc w:val="left"/>
      <w:pPr>
        <w:ind w:left="2010" w:hanging="144"/>
      </w:pPr>
      <w:rPr>
        <w:rFonts w:hint="default"/>
        <w:lang w:val="en-US" w:eastAsia="en-US" w:bidi="ar-SA"/>
      </w:rPr>
    </w:lvl>
    <w:lvl w:ilvl="7">
      <w:start w:val="0"/>
      <w:numFmt w:val="bullet"/>
      <w:lvlText w:val="•"/>
      <w:lvlJc w:val="left"/>
      <w:pPr>
        <w:ind w:left="2308" w:hanging="144"/>
      </w:pPr>
      <w:rPr>
        <w:rFonts w:hint="default"/>
        <w:lang w:val="en-US" w:eastAsia="en-US" w:bidi="ar-SA"/>
      </w:rPr>
    </w:lvl>
    <w:lvl w:ilvl="8">
      <w:start w:val="0"/>
      <w:numFmt w:val="bullet"/>
      <w:lvlText w:val="•"/>
      <w:lvlJc w:val="left"/>
      <w:pPr>
        <w:ind w:left="2607" w:hanging="144"/>
      </w:pPr>
      <w:rPr>
        <w:rFonts w:hint="default"/>
        <w:lang w:val="en-US" w:eastAsia="en-US" w:bidi="ar-SA"/>
      </w:rPr>
    </w:lvl>
  </w:abstractNum>
  <w:abstractNum w:abstractNumId="99">
    <w:multiLevelType w:val="hybridMultilevel"/>
    <w:lvl w:ilvl="0">
      <w:start w:val="0"/>
      <w:numFmt w:val="bullet"/>
      <w:lvlText w:val=""/>
      <w:lvlJc w:val="left"/>
      <w:pPr>
        <w:ind w:left="216" w:hanging="144"/>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520" w:hanging="144"/>
      </w:pPr>
      <w:rPr>
        <w:rFonts w:hint="default"/>
        <w:lang w:val="en-US" w:eastAsia="en-US" w:bidi="ar-SA"/>
      </w:rPr>
    </w:lvl>
    <w:lvl w:ilvl="2">
      <w:start w:val="0"/>
      <w:numFmt w:val="bullet"/>
      <w:lvlText w:val="•"/>
      <w:lvlJc w:val="left"/>
      <w:pPr>
        <w:ind w:left="821" w:hanging="144"/>
      </w:pPr>
      <w:rPr>
        <w:rFonts w:hint="default"/>
        <w:lang w:val="en-US" w:eastAsia="en-US" w:bidi="ar-SA"/>
      </w:rPr>
    </w:lvl>
    <w:lvl w:ilvl="3">
      <w:start w:val="0"/>
      <w:numFmt w:val="bullet"/>
      <w:lvlText w:val="•"/>
      <w:lvlJc w:val="left"/>
      <w:pPr>
        <w:ind w:left="1122" w:hanging="144"/>
      </w:pPr>
      <w:rPr>
        <w:rFonts w:hint="default"/>
        <w:lang w:val="en-US" w:eastAsia="en-US" w:bidi="ar-SA"/>
      </w:rPr>
    </w:lvl>
    <w:lvl w:ilvl="4">
      <w:start w:val="0"/>
      <w:numFmt w:val="bullet"/>
      <w:lvlText w:val="•"/>
      <w:lvlJc w:val="left"/>
      <w:pPr>
        <w:ind w:left="1422" w:hanging="144"/>
      </w:pPr>
      <w:rPr>
        <w:rFonts w:hint="default"/>
        <w:lang w:val="en-US" w:eastAsia="en-US" w:bidi="ar-SA"/>
      </w:rPr>
    </w:lvl>
    <w:lvl w:ilvl="5">
      <w:start w:val="0"/>
      <w:numFmt w:val="bullet"/>
      <w:lvlText w:val="•"/>
      <w:lvlJc w:val="left"/>
      <w:pPr>
        <w:ind w:left="1723" w:hanging="144"/>
      </w:pPr>
      <w:rPr>
        <w:rFonts w:hint="default"/>
        <w:lang w:val="en-US" w:eastAsia="en-US" w:bidi="ar-SA"/>
      </w:rPr>
    </w:lvl>
    <w:lvl w:ilvl="6">
      <w:start w:val="0"/>
      <w:numFmt w:val="bullet"/>
      <w:lvlText w:val="•"/>
      <w:lvlJc w:val="left"/>
      <w:pPr>
        <w:ind w:left="2024" w:hanging="144"/>
      </w:pPr>
      <w:rPr>
        <w:rFonts w:hint="default"/>
        <w:lang w:val="en-US" w:eastAsia="en-US" w:bidi="ar-SA"/>
      </w:rPr>
    </w:lvl>
    <w:lvl w:ilvl="7">
      <w:start w:val="0"/>
      <w:numFmt w:val="bullet"/>
      <w:lvlText w:val="•"/>
      <w:lvlJc w:val="left"/>
      <w:pPr>
        <w:ind w:left="2324" w:hanging="144"/>
      </w:pPr>
      <w:rPr>
        <w:rFonts w:hint="default"/>
        <w:lang w:val="en-US" w:eastAsia="en-US" w:bidi="ar-SA"/>
      </w:rPr>
    </w:lvl>
    <w:lvl w:ilvl="8">
      <w:start w:val="0"/>
      <w:numFmt w:val="bullet"/>
      <w:lvlText w:val="•"/>
      <w:lvlJc w:val="left"/>
      <w:pPr>
        <w:ind w:left="2625" w:hanging="144"/>
      </w:pPr>
      <w:rPr>
        <w:rFonts w:hint="default"/>
        <w:lang w:val="en-US" w:eastAsia="en-US" w:bidi="ar-SA"/>
      </w:rPr>
    </w:lvl>
  </w:abstractNum>
  <w:abstractNum w:abstractNumId="98">
    <w:multiLevelType w:val="hybridMultilevel"/>
    <w:lvl w:ilvl="0">
      <w:start w:val="0"/>
      <w:numFmt w:val="bullet"/>
      <w:lvlText w:val=""/>
      <w:lvlJc w:val="left"/>
      <w:pPr>
        <w:ind w:left="225" w:hanging="144"/>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518" w:hanging="144"/>
      </w:pPr>
      <w:rPr>
        <w:rFonts w:hint="default"/>
        <w:lang w:val="en-US" w:eastAsia="en-US" w:bidi="ar-SA"/>
      </w:rPr>
    </w:lvl>
    <w:lvl w:ilvl="2">
      <w:start w:val="0"/>
      <w:numFmt w:val="bullet"/>
      <w:lvlText w:val="•"/>
      <w:lvlJc w:val="left"/>
      <w:pPr>
        <w:ind w:left="816" w:hanging="144"/>
      </w:pPr>
      <w:rPr>
        <w:rFonts w:hint="default"/>
        <w:lang w:val="en-US" w:eastAsia="en-US" w:bidi="ar-SA"/>
      </w:rPr>
    </w:lvl>
    <w:lvl w:ilvl="3">
      <w:start w:val="0"/>
      <w:numFmt w:val="bullet"/>
      <w:lvlText w:val="•"/>
      <w:lvlJc w:val="left"/>
      <w:pPr>
        <w:ind w:left="1115" w:hanging="144"/>
      </w:pPr>
      <w:rPr>
        <w:rFonts w:hint="default"/>
        <w:lang w:val="en-US" w:eastAsia="en-US" w:bidi="ar-SA"/>
      </w:rPr>
    </w:lvl>
    <w:lvl w:ilvl="4">
      <w:start w:val="0"/>
      <w:numFmt w:val="bullet"/>
      <w:lvlText w:val="•"/>
      <w:lvlJc w:val="left"/>
      <w:pPr>
        <w:ind w:left="1413" w:hanging="144"/>
      </w:pPr>
      <w:rPr>
        <w:rFonts w:hint="default"/>
        <w:lang w:val="en-US" w:eastAsia="en-US" w:bidi="ar-SA"/>
      </w:rPr>
    </w:lvl>
    <w:lvl w:ilvl="5">
      <w:start w:val="0"/>
      <w:numFmt w:val="bullet"/>
      <w:lvlText w:val="•"/>
      <w:lvlJc w:val="left"/>
      <w:pPr>
        <w:ind w:left="1712" w:hanging="144"/>
      </w:pPr>
      <w:rPr>
        <w:rFonts w:hint="default"/>
        <w:lang w:val="en-US" w:eastAsia="en-US" w:bidi="ar-SA"/>
      </w:rPr>
    </w:lvl>
    <w:lvl w:ilvl="6">
      <w:start w:val="0"/>
      <w:numFmt w:val="bullet"/>
      <w:lvlText w:val="•"/>
      <w:lvlJc w:val="left"/>
      <w:pPr>
        <w:ind w:left="2010" w:hanging="144"/>
      </w:pPr>
      <w:rPr>
        <w:rFonts w:hint="default"/>
        <w:lang w:val="en-US" w:eastAsia="en-US" w:bidi="ar-SA"/>
      </w:rPr>
    </w:lvl>
    <w:lvl w:ilvl="7">
      <w:start w:val="0"/>
      <w:numFmt w:val="bullet"/>
      <w:lvlText w:val="•"/>
      <w:lvlJc w:val="left"/>
      <w:pPr>
        <w:ind w:left="2308" w:hanging="144"/>
      </w:pPr>
      <w:rPr>
        <w:rFonts w:hint="default"/>
        <w:lang w:val="en-US" w:eastAsia="en-US" w:bidi="ar-SA"/>
      </w:rPr>
    </w:lvl>
    <w:lvl w:ilvl="8">
      <w:start w:val="0"/>
      <w:numFmt w:val="bullet"/>
      <w:lvlText w:val="•"/>
      <w:lvlJc w:val="left"/>
      <w:pPr>
        <w:ind w:left="2607" w:hanging="144"/>
      </w:pPr>
      <w:rPr>
        <w:rFonts w:hint="default"/>
        <w:lang w:val="en-US" w:eastAsia="en-US" w:bidi="ar-SA"/>
      </w:rPr>
    </w:lvl>
  </w:abstractNum>
  <w:abstractNum w:abstractNumId="97">
    <w:multiLevelType w:val="hybridMultilevel"/>
    <w:lvl w:ilvl="0">
      <w:start w:val="0"/>
      <w:numFmt w:val="bullet"/>
      <w:lvlText w:val=""/>
      <w:lvlJc w:val="left"/>
      <w:pPr>
        <w:ind w:left="216" w:hanging="144"/>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520" w:hanging="144"/>
      </w:pPr>
      <w:rPr>
        <w:rFonts w:hint="default"/>
        <w:lang w:val="en-US" w:eastAsia="en-US" w:bidi="ar-SA"/>
      </w:rPr>
    </w:lvl>
    <w:lvl w:ilvl="2">
      <w:start w:val="0"/>
      <w:numFmt w:val="bullet"/>
      <w:lvlText w:val="•"/>
      <w:lvlJc w:val="left"/>
      <w:pPr>
        <w:ind w:left="821" w:hanging="144"/>
      </w:pPr>
      <w:rPr>
        <w:rFonts w:hint="default"/>
        <w:lang w:val="en-US" w:eastAsia="en-US" w:bidi="ar-SA"/>
      </w:rPr>
    </w:lvl>
    <w:lvl w:ilvl="3">
      <w:start w:val="0"/>
      <w:numFmt w:val="bullet"/>
      <w:lvlText w:val="•"/>
      <w:lvlJc w:val="left"/>
      <w:pPr>
        <w:ind w:left="1122" w:hanging="144"/>
      </w:pPr>
      <w:rPr>
        <w:rFonts w:hint="default"/>
        <w:lang w:val="en-US" w:eastAsia="en-US" w:bidi="ar-SA"/>
      </w:rPr>
    </w:lvl>
    <w:lvl w:ilvl="4">
      <w:start w:val="0"/>
      <w:numFmt w:val="bullet"/>
      <w:lvlText w:val="•"/>
      <w:lvlJc w:val="left"/>
      <w:pPr>
        <w:ind w:left="1422" w:hanging="144"/>
      </w:pPr>
      <w:rPr>
        <w:rFonts w:hint="default"/>
        <w:lang w:val="en-US" w:eastAsia="en-US" w:bidi="ar-SA"/>
      </w:rPr>
    </w:lvl>
    <w:lvl w:ilvl="5">
      <w:start w:val="0"/>
      <w:numFmt w:val="bullet"/>
      <w:lvlText w:val="•"/>
      <w:lvlJc w:val="left"/>
      <w:pPr>
        <w:ind w:left="1723" w:hanging="144"/>
      </w:pPr>
      <w:rPr>
        <w:rFonts w:hint="default"/>
        <w:lang w:val="en-US" w:eastAsia="en-US" w:bidi="ar-SA"/>
      </w:rPr>
    </w:lvl>
    <w:lvl w:ilvl="6">
      <w:start w:val="0"/>
      <w:numFmt w:val="bullet"/>
      <w:lvlText w:val="•"/>
      <w:lvlJc w:val="left"/>
      <w:pPr>
        <w:ind w:left="2024" w:hanging="144"/>
      </w:pPr>
      <w:rPr>
        <w:rFonts w:hint="default"/>
        <w:lang w:val="en-US" w:eastAsia="en-US" w:bidi="ar-SA"/>
      </w:rPr>
    </w:lvl>
    <w:lvl w:ilvl="7">
      <w:start w:val="0"/>
      <w:numFmt w:val="bullet"/>
      <w:lvlText w:val="•"/>
      <w:lvlJc w:val="left"/>
      <w:pPr>
        <w:ind w:left="2324" w:hanging="144"/>
      </w:pPr>
      <w:rPr>
        <w:rFonts w:hint="default"/>
        <w:lang w:val="en-US" w:eastAsia="en-US" w:bidi="ar-SA"/>
      </w:rPr>
    </w:lvl>
    <w:lvl w:ilvl="8">
      <w:start w:val="0"/>
      <w:numFmt w:val="bullet"/>
      <w:lvlText w:val="•"/>
      <w:lvlJc w:val="left"/>
      <w:pPr>
        <w:ind w:left="2625" w:hanging="144"/>
      </w:pPr>
      <w:rPr>
        <w:rFonts w:hint="default"/>
        <w:lang w:val="en-US" w:eastAsia="en-US" w:bidi="ar-SA"/>
      </w:rPr>
    </w:lvl>
  </w:abstractNum>
  <w:abstractNum w:abstractNumId="96">
    <w:multiLevelType w:val="hybridMultilevel"/>
    <w:lvl w:ilvl="0">
      <w:start w:val="0"/>
      <w:numFmt w:val="bullet"/>
      <w:lvlText w:val=""/>
      <w:lvlJc w:val="left"/>
      <w:pPr>
        <w:ind w:left="225" w:hanging="144"/>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518" w:hanging="144"/>
      </w:pPr>
      <w:rPr>
        <w:rFonts w:hint="default"/>
        <w:lang w:val="en-US" w:eastAsia="en-US" w:bidi="ar-SA"/>
      </w:rPr>
    </w:lvl>
    <w:lvl w:ilvl="2">
      <w:start w:val="0"/>
      <w:numFmt w:val="bullet"/>
      <w:lvlText w:val="•"/>
      <w:lvlJc w:val="left"/>
      <w:pPr>
        <w:ind w:left="816" w:hanging="144"/>
      </w:pPr>
      <w:rPr>
        <w:rFonts w:hint="default"/>
        <w:lang w:val="en-US" w:eastAsia="en-US" w:bidi="ar-SA"/>
      </w:rPr>
    </w:lvl>
    <w:lvl w:ilvl="3">
      <w:start w:val="0"/>
      <w:numFmt w:val="bullet"/>
      <w:lvlText w:val="•"/>
      <w:lvlJc w:val="left"/>
      <w:pPr>
        <w:ind w:left="1115" w:hanging="144"/>
      </w:pPr>
      <w:rPr>
        <w:rFonts w:hint="default"/>
        <w:lang w:val="en-US" w:eastAsia="en-US" w:bidi="ar-SA"/>
      </w:rPr>
    </w:lvl>
    <w:lvl w:ilvl="4">
      <w:start w:val="0"/>
      <w:numFmt w:val="bullet"/>
      <w:lvlText w:val="•"/>
      <w:lvlJc w:val="left"/>
      <w:pPr>
        <w:ind w:left="1413" w:hanging="144"/>
      </w:pPr>
      <w:rPr>
        <w:rFonts w:hint="default"/>
        <w:lang w:val="en-US" w:eastAsia="en-US" w:bidi="ar-SA"/>
      </w:rPr>
    </w:lvl>
    <w:lvl w:ilvl="5">
      <w:start w:val="0"/>
      <w:numFmt w:val="bullet"/>
      <w:lvlText w:val="•"/>
      <w:lvlJc w:val="left"/>
      <w:pPr>
        <w:ind w:left="1712" w:hanging="144"/>
      </w:pPr>
      <w:rPr>
        <w:rFonts w:hint="default"/>
        <w:lang w:val="en-US" w:eastAsia="en-US" w:bidi="ar-SA"/>
      </w:rPr>
    </w:lvl>
    <w:lvl w:ilvl="6">
      <w:start w:val="0"/>
      <w:numFmt w:val="bullet"/>
      <w:lvlText w:val="•"/>
      <w:lvlJc w:val="left"/>
      <w:pPr>
        <w:ind w:left="2010" w:hanging="144"/>
      </w:pPr>
      <w:rPr>
        <w:rFonts w:hint="default"/>
        <w:lang w:val="en-US" w:eastAsia="en-US" w:bidi="ar-SA"/>
      </w:rPr>
    </w:lvl>
    <w:lvl w:ilvl="7">
      <w:start w:val="0"/>
      <w:numFmt w:val="bullet"/>
      <w:lvlText w:val="•"/>
      <w:lvlJc w:val="left"/>
      <w:pPr>
        <w:ind w:left="2308" w:hanging="144"/>
      </w:pPr>
      <w:rPr>
        <w:rFonts w:hint="default"/>
        <w:lang w:val="en-US" w:eastAsia="en-US" w:bidi="ar-SA"/>
      </w:rPr>
    </w:lvl>
    <w:lvl w:ilvl="8">
      <w:start w:val="0"/>
      <w:numFmt w:val="bullet"/>
      <w:lvlText w:val="•"/>
      <w:lvlJc w:val="left"/>
      <w:pPr>
        <w:ind w:left="2607" w:hanging="144"/>
      </w:pPr>
      <w:rPr>
        <w:rFonts w:hint="default"/>
        <w:lang w:val="en-US" w:eastAsia="en-US" w:bidi="ar-SA"/>
      </w:rPr>
    </w:lvl>
  </w:abstractNum>
  <w:abstractNum w:abstractNumId="95">
    <w:multiLevelType w:val="hybridMultilevel"/>
    <w:lvl w:ilvl="0">
      <w:start w:val="0"/>
      <w:numFmt w:val="bullet"/>
      <w:lvlText w:val=""/>
      <w:lvlJc w:val="left"/>
      <w:pPr>
        <w:ind w:left="216" w:hanging="144"/>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520" w:hanging="144"/>
      </w:pPr>
      <w:rPr>
        <w:rFonts w:hint="default"/>
        <w:lang w:val="en-US" w:eastAsia="en-US" w:bidi="ar-SA"/>
      </w:rPr>
    </w:lvl>
    <w:lvl w:ilvl="2">
      <w:start w:val="0"/>
      <w:numFmt w:val="bullet"/>
      <w:lvlText w:val="•"/>
      <w:lvlJc w:val="left"/>
      <w:pPr>
        <w:ind w:left="821" w:hanging="144"/>
      </w:pPr>
      <w:rPr>
        <w:rFonts w:hint="default"/>
        <w:lang w:val="en-US" w:eastAsia="en-US" w:bidi="ar-SA"/>
      </w:rPr>
    </w:lvl>
    <w:lvl w:ilvl="3">
      <w:start w:val="0"/>
      <w:numFmt w:val="bullet"/>
      <w:lvlText w:val="•"/>
      <w:lvlJc w:val="left"/>
      <w:pPr>
        <w:ind w:left="1122" w:hanging="144"/>
      </w:pPr>
      <w:rPr>
        <w:rFonts w:hint="default"/>
        <w:lang w:val="en-US" w:eastAsia="en-US" w:bidi="ar-SA"/>
      </w:rPr>
    </w:lvl>
    <w:lvl w:ilvl="4">
      <w:start w:val="0"/>
      <w:numFmt w:val="bullet"/>
      <w:lvlText w:val="•"/>
      <w:lvlJc w:val="left"/>
      <w:pPr>
        <w:ind w:left="1422" w:hanging="144"/>
      </w:pPr>
      <w:rPr>
        <w:rFonts w:hint="default"/>
        <w:lang w:val="en-US" w:eastAsia="en-US" w:bidi="ar-SA"/>
      </w:rPr>
    </w:lvl>
    <w:lvl w:ilvl="5">
      <w:start w:val="0"/>
      <w:numFmt w:val="bullet"/>
      <w:lvlText w:val="•"/>
      <w:lvlJc w:val="left"/>
      <w:pPr>
        <w:ind w:left="1723" w:hanging="144"/>
      </w:pPr>
      <w:rPr>
        <w:rFonts w:hint="default"/>
        <w:lang w:val="en-US" w:eastAsia="en-US" w:bidi="ar-SA"/>
      </w:rPr>
    </w:lvl>
    <w:lvl w:ilvl="6">
      <w:start w:val="0"/>
      <w:numFmt w:val="bullet"/>
      <w:lvlText w:val="•"/>
      <w:lvlJc w:val="left"/>
      <w:pPr>
        <w:ind w:left="2024" w:hanging="144"/>
      </w:pPr>
      <w:rPr>
        <w:rFonts w:hint="default"/>
        <w:lang w:val="en-US" w:eastAsia="en-US" w:bidi="ar-SA"/>
      </w:rPr>
    </w:lvl>
    <w:lvl w:ilvl="7">
      <w:start w:val="0"/>
      <w:numFmt w:val="bullet"/>
      <w:lvlText w:val="•"/>
      <w:lvlJc w:val="left"/>
      <w:pPr>
        <w:ind w:left="2324" w:hanging="144"/>
      </w:pPr>
      <w:rPr>
        <w:rFonts w:hint="default"/>
        <w:lang w:val="en-US" w:eastAsia="en-US" w:bidi="ar-SA"/>
      </w:rPr>
    </w:lvl>
    <w:lvl w:ilvl="8">
      <w:start w:val="0"/>
      <w:numFmt w:val="bullet"/>
      <w:lvlText w:val="•"/>
      <w:lvlJc w:val="left"/>
      <w:pPr>
        <w:ind w:left="2625" w:hanging="144"/>
      </w:pPr>
      <w:rPr>
        <w:rFonts w:hint="default"/>
        <w:lang w:val="en-US" w:eastAsia="en-US" w:bidi="ar-SA"/>
      </w:rPr>
    </w:lvl>
  </w:abstractNum>
  <w:abstractNum w:abstractNumId="94">
    <w:multiLevelType w:val="hybridMultilevel"/>
    <w:lvl w:ilvl="0">
      <w:start w:val="0"/>
      <w:numFmt w:val="bullet"/>
      <w:lvlText w:val=""/>
      <w:lvlJc w:val="left"/>
      <w:pPr>
        <w:ind w:left="225" w:hanging="144"/>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518" w:hanging="144"/>
      </w:pPr>
      <w:rPr>
        <w:rFonts w:hint="default"/>
        <w:lang w:val="en-US" w:eastAsia="en-US" w:bidi="ar-SA"/>
      </w:rPr>
    </w:lvl>
    <w:lvl w:ilvl="2">
      <w:start w:val="0"/>
      <w:numFmt w:val="bullet"/>
      <w:lvlText w:val="•"/>
      <w:lvlJc w:val="left"/>
      <w:pPr>
        <w:ind w:left="816" w:hanging="144"/>
      </w:pPr>
      <w:rPr>
        <w:rFonts w:hint="default"/>
        <w:lang w:val="en-US" w:eastAsia="en-US" w:bidi="ar-SA"/>
      </w:rPr>
    </w:lvl>
    <w:lvl w:ilvl="3">
      <w:start w:val="0"/>
      <w:numFmt w:val="bullet"/>
      <w:lvlText w:val="•"/>
      <w:lvlJc w:val="left"/>
      <w:pPr>
        <w:ind w:left="1115" w:hanging="144"/>
      </w:pPr>
      <w:rPr>
        <w:rFonts w:hint="default"/>
        <w:lang w:val="en-US" w:eastAsia="en-US" w:bidi="ar-SA"/>
      </w:rPr>
    </w:lvl>
    <w:lvl w:ilvl="4">
      <w:start w:val="0"/>
      <w:numFmt w:val="bullet"/>
      <w:lvlText w:val="•"/>
      <w:lvlJc w:val="left"/>
      <w:pPr>
        <w:ind w:left="1413" w:hanging="144"/>
      </w:pPr>
      <w:rPr>
        <w:rFonts w:hint="default"/>
        <w:lang w:val="en-US" w:eastAsia="en-US" w:bidi="ar-SA"/>
      </w:rPr>
    </w:lvl>
    <w:lvl w:ilvl="5">
      <w:start w:val="0"/>
      <w:numFmt w:val="bullet"/>
      <w:lvlText w:val="•"/>
      <w:lvlJc w:val="left"/>
      <w:pPr>
        <w:ind w:left="1712" w:hanging="144"/>
      </w:pPr>
      <w:rPr>
        <w:rFonts w:hint="default"/>
        <w:lang w:val="en-US" w:eastAsia="en-US" w:bidi="ar-SA"/>
      </w:rPr>
    </w:lvl>
    <w:lvl w:ilvl="6">
      <w:start w:val="0"/>
      <w:numFmt w:val="bullet"/>
      <w:lvlText w:val="•"/>
      <w:lvlJc w:val="left"/>
      <w:pPr>
        <w:ind w:left="2010" w:hanging="144"/>
      </w:pPr>
      <w:rPr>
        <w:rFonts w:hint="default"/>
        <w:lang w:val="en-US" w:eastAsia="en-US" w:bidi="ar-SA"/>
      </w:rPr>
    </w:lvl>
    <w:lvl w:ilvl="7">
      <w:start w:val="0"/>
      <w:numFmt w:val="bullet"/>
      <w:lvlText w:val="•"/>
      <w:lvlJc w:val="left"/>
      <w:pPr>
        <w:ind w:left="2308" w:hanging="144"/>
      </w:pPr>
      <w:rPr>
        <w:rFonts w:hint="default"/>
        <w:lang w:val="en-US" w:eastAsia="en-US" w:bidi="ar-SA"/>
      </w:rPr>
    </w:lvl>
    <w:lvl w:ilvl="8">
      <w:start w:val="0"/>
      <w:numFmt w:val="bullet"/>
      <w:lvlText w:val="•"/>
      <w:lvlJc w:val="left"/>
      <w:pPr>
        <w:ind w:left="2607" w:hanging="144"/>
      </w:pPr>
      <w:rPr>
        <w:rFonts w:hint="default"/>
        <w:lang w:val="en-US" w:eastAsia="en-US" w:bidi="ar-SA"/>
      </w:rPr>
    </w:lvl>
  </w:abstractNum>
  <w:abstractNum w:abstractNumId="93">
    <w:multiLevelType w:val="hybridMultilevel"/>
    <w:lvl w:ilvl="0">
      <w:start w:val="0"/>
      <w:numFmt w:val="bullet"/>
      <w:lvlText w:val=""/>
      <w:lvlJc w:val="left"/>
      <w:pPr>
        <w:ind w:left="216" w:hanging="144"/>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520" w:hanging="144"/>
      </w:pPr>
      <w:rPr>
        <w:rFonts w:hint="default"/>
        <w:lang w:val="en-US" w:eastAsia="en-US" w:bidi="ar-SA"/>
      </w:rPr>
    </w:lvl>
    <w:lvl w:ilvl="2">
      <w:start w:val="0"/>
      <w:numFmt w:val="bullet"/>
      <w:lvlText w:val="•"/>
      <w:lvlJc w:val="left"/>
      <w:pPr>
        <w:ind w:left="821" w:hanging="144"/>
      </w:pPr>
      <w:rPr>
        <w:rFonts w:hint="default"/>
        <w:lang w:val="en-US" w:eastAsia="en-US" w:bidi="ar-SA"/>
      </w:rPr>
    </w:lvl>
    <w:lvl w:ilvl="3">
      <w:start w:val="0"/>
      <w:numFmt w:val="bullet"/>
      <w:lvlText w:val="•"/>
      <w:lvlJc w:val="left"/>
      <w:pPr>
        <w:ind w:left="1122" w:hanging="144"/>
      </w:pPr>
      <w:rPr>
        <w:rFonts w:hint="default"/>
        <w:lang w:val="en-US" w:eastAsia="en-US" w:bidi="ar-SA"/>
      </w:rPr>
    </w:lvl>
    <w:lvl w:ilvl="4">
      <w:start w:val="0"/>
      <w:numFmt w:val="bullet"/>
      <w:lvlText w:val="•"/>
      <w:lvlJc w:val="left"/>
      <w:pPr>
        <w:ind w:left="1422" w:hanging="144"/>
      </w:pPr>
      <w:rPr>
        <w:rFonts w:hint="default"/>
        <w:lang w:val="en-US" w:eastAsia="en-US" w:bidi="ar-SA"/>
      </w:rPr>
    </w:lvl>
    <w:lvl w:ilvl="5">
      <w:start w:val="0"/>
      <w:numFmt w:val="bullet"/>
      <w:lvlText w:val="•"/>
      <w:lvlJc w:val="left"/>
      <w:pPr>
        <w:ind w:left="1723" w:hanging="144"/>
      </w:pPr>
      <w:rPr>
        <w:rFonts w:hint="default"/>
        <w:lang w:val="en-US" w:eastAsia="en-US" w:bidi="ar-SA"/>
      </w:rPr>
    </w:lvl>
    <w:lvl w:ilvl="6">
      <w:start w:val="0"/>
      <w:numFmt w:val="bullet"/>
      <w:lvlText w:val="•"/>
      <w:lvlJc w:val="left"/>
      <w:pPr>
        <w:ind w:left="2024" w:hanging="144"/>
      </w:pPr>
      <w:rPr>
        <w:rFonts w:hint="default"/>
        <w:lang w:val="en-US" w:eastAsia="en-US" w:bidi="ar-SA"/>
      </w:rPr>
    </w:lvl>
    <w:lvl w:ilvl="7">
      <w:start w:val="0"/>
      <w:numFmt w:val="bullet"/>
      <w:lvlText w:val="•"/>
      <w:lvlJc w:val="left"/>
      <w:pPr>
        <w:ind w:left="2324" w:hanging="144"/>
      </w:pPr>
      <w:rPr>
        <w:rFonts w:hint="default"/>
        <w:lang w:val="en-US" w:eastAsia="en-US" w:bidi="ar-SA"/>
      </w:rPr>
    </w:lvl>
    <w:lvl w:ilvl="8">
      <w:start w:val="0"/>
      <w:numFmt w:val="bullet"/>
      <w:lvlText w:val="•"/>
      <w:lvlJc w:val="left"/>
      <w:pPr>
        <w:ind w:left="2625" w:hanging="144"/>
      </w:pPr>
      <w:rPr>
        <w:rFonts w:hint="default"/>
        <w:lang w:val="en-US" w:eastAsia="en-US" w:bidi="ar-SA"/>
      </w:rPr>
    </w:lvl>
  </w:abstractNum>
  <w:abstractNum w:abstractNumId="92">
    <w:multiLevelType w:val="hybridMultilevel"/>
    <w:lvl w:ilvl="0">
      <w:start w:val="0"/>
      <w:numFmt w:val="bullet"/>
      <w:lvlText w:val=""/>
      <w:lvlJc w:val="left"/>
      <w:pPr>
        <w:ind w:left="225" w:hanging="144"/>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518" w:hanging="144"/>
      </w:pPr>
      <w:rPr>
        <w:rFonts w:hint="default"/>
        <w:lang w:val="en-US" w:eastAsia="en-US" w:bidi="ar-SA"/>
      </w:rPr>
    </w:lvl>
    <w:lvl w:ilvl="2">
      <w:start w:val="0"/>
      <w:numFmt w:val="bullet"/>
      <w:lvlText w:val="•"/>
      <w:lvlJc w:val="left"/>
      <w:pPr>
        <w:ind w:left="816" w:hanging="144"/>
      </w:pPr>
      <w:rPr>
        <w:rFonts w:hint="default"/>
        <w:lang w:val="en-US" w:eastAsia="en-US" w:bidi="ar-SA"/>
      </w:rPr>
    </w:lvl>
    <w:lvl w:ilvl="3">
      <w:start w:val="0"/>
      <w:numFmt w:val="bullet"/>
      <w:lvlText w:val="•"/>
      <w:lvlJc w:val="left"/>
      <w:pPr>
        <w:ind w:left="1115" w:hanging="144"/>
      </w:pPr>
      <w:rPr>
        <w:rFonts w:hint="default"/>
        <w:lang w:val="en-US" w:eastAsia="en-US" w:bidi="ar-SA"/>
      </w:rPr>
    </w:lvl>
    <w:lvl w:ilvl="4">
      <w:start w:val="0"/>
      <w:numFmt w:val="bullet"/>
      <w:lvlText w:val="•"/>
      <w:lvlJc w:val="left"/>
      <w:pPr>
        <w:ind w:left="1413" w:hanging="144"/>
      </w:pPr>
      <w:rPr>
        <w:rFonts w:hint="default"/>
        <w:lang w:val="en-US" w:eastAsia="en-US" w:bidi="ar-SA"/>
      </w:rPr>
    </w:lvl>
    <w:lvl w:ilvl="5">
      <w:start w:val="0"/>
      <w:numFmt w:val="bullet"/>
      <w:lvlText w:val="•"/>
      <w:lvlJc w:val="left"/>
      <w:pPr>
        <w:ind w:left="1712" w:hanging="144"/>
      </w:pPr>
      <w:rPr>
        <w:rFonts w:hint="default"/>
        <w:lang w:val="en-US" w:eastAsia="en-US" w:bidi="ar-SA"/>
      </w:rPr>
    </w:lvl>
    <w:lvl w:ilvl="6">
      <w:start w:val="0"/>
      <w:numFmt w:val="bullet"/>
      <w:lvlText w:val="•"/>
      <w:lvlJc w:val="left"/>
      <w:pPr>
        <w:ind w:left="2010" w:hanging="144"/>
      </w:pPr>
      <w:rPr>
        <w:rFonts w:hint="default"/>
        <w:lang w:val="en-US" w:eastAsia="en-US" w:bidi="ar-SA"/>
      </w:rPr>
    </w:lvl>
    <w:lvl w:ilvl="7">
      <w:start w:val="0"/>
      <w:numFmt w:val="bullet"/>
      <w:lvlText w:val="•"/>
      <w:lvlJc w:val="left"/>
      <w:pPr>
        <w:ind w:left="2308" w:hanging="144"/>
      </w:pPr>
      <w:rPr>
        <w:rFonts w:hint="default"/>
        <w:lang w:val="en-US" w:eastAsia="en-US" w:bidi="ar-SA"/>
      </w:rPr>
    </w:lvl>
    <w:lvl w:ilvl="8">
      <w:start w:val="0"/>
      <w:numFmt w:val="bullet"/>
      <w:lvlText w:val="•"/>
      <w:lvlJc w:val="left"/>
      <w:pPr>
        <w:ind w:left="2607" w:hanging="144"/>
      </w:pPr>
      <w:rPr>
        <w:rFonts w:hint="default"/>
        <w:lang w:val="en-US" w:eastAsia="en-US" w:bidi="ar-SA"/>
      </w:rPr>
    </w:lvl>
  </w:abstractNum>
  <w:abstractNum w:abstractNumId="91">
    <w:multiLevelType w:val="hybridMultilevel"/>
    <w:lvl w:ilvl="0">
      <w:start w:val="0"/>
      <w:numFmt w:val="bullet"/>
      <w:lvlText w:val=""/>
      <w:lvlJc w:val="left"/>
      <w:pPr>
        <w:ind w:left="216" w:hanging="144"/>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520" w:hanging="144"/>
      </w:pPr>
      <w:rPr>
        <w:rFonts w:hint="default"/>
        <w:lang w:val="en-US" w:eastAsia="en-US" w:bidi="ar-SA"/>
      </w:rPr>
    </w:lvl>
    <w:lvl w:ilvl="2">
      <w:start w:val="0"/>
      <w:numFmt w:val="bullet"/>
      <w:lvlText w:val="•"/>
      <w:lvlJc w:val="left"/>
      <w:pPr>
        <w:ind w:left="821" w:hanging="144"/>
      </w:pPr>
      <w:rPr>
        <w:rFonts w:hint="default"/>
        <w:lang w:val="en-US" w:eastAsia="en-US" w:bidi="ar-SA"/>
      </w:rPr>
    </w:lvl>
    <w:lvl w:ilvl="3">
      <w:start w:val="0"/>
      <w:numFmt w:val="bullet"/>
      <w:lvlText w:val="•"/>
      <w:lvlJc w:val="left"/>
      <w:pPr>
        <w:ind w:left="1122" w:hanging="144"/>
      </w:pPr>
      <w:rPr>
        <w:rFonts w:hint="default"/>
        <w:lang w:val="en-US" w:eastAsia="en-US" w:bidi="ar-SA"/>
      </w:rPr>
    </w:lvl>
    <w:lvl w:ilvl="4">
      <w:start w:val="0"/>
      <w:numFmt w:val="bullet"/>
      <w:lvlText w:val="•"/>
      <w:lvlJc w:val="left"/>
      <w:pPr>
        <w:ind w:left="1422" w:hanging="144"/>
      </w:pPr>
      <w:rPr>
        <w:rFonts w:hint="default"/>
        <w:lang w:val="en-US" w:eastAsia="en-US" w:bidi="ar-SA"/>
      </w:rPr>
    </w:lvl>
    <w:lvl w:ilvl="5">
      <w:start w:val="0"/>
      <w:numFmt w:val="bullet"/>
      <w:lvlText w:val="•"/>
      <w:lvlJc w:val="left"/>
      <w:pPr>
        <w:ind w:left="1723" w:hanging="144"/>
      </w:pPr>
      <w:rPr>
        <w:rFonts w:hint="default"/>
        <w:lang w:val="en-US" w:eastAsia="en-US" w:bidi="ar-SA"/>
      </w:rPr>
    </w:lvl>
    <w:lvl w:ilvl="6">
      <w:start w:val="0"/>
      <w:numFmt w:val="bullet"/>
      <w:lvlText w:val="•"/>
      <w:lvlJc w:val="left"/>
      <w:pPr>
        <w:ind w:left="2024" w:hanging="144"/>
      </w:pPr>
      <w:rPr>
        <w:rFonts w:hint="default"/>
        <w:lang w:val="en-US" w:eastAsia="en-US" w:bidi="ar-SA"/>
      </w:rPr>
    </w:lvl>
    <w:lvl w:ilvl="7">
      <w:start w:val="0"/>
      <w:numFmt w:val="bullet"/>
      <w:lvlText w:val="•"/>
      <w:lvlJc w:val="left"/>
      <w:pPr>
        <w:ind w:left="2324" w:hanging="144"/>
      </w:pPr>
      <w:rPr>
        <w:rFonts w:hint="default"/>
        <w:lang w:val="en-US" w:eastAsia="en-US" w:bidi="ar-SA"/>
      </w:rPr>
    </w:lvl>
    <w:lvl w:ilvl="8">
      <w:start w:val="0"/>
      <w:numFmt w:val="bullet"/>
      <w:lvlText w:val="•"/>
      <w:lvlJc w:val="left"/>
      <w:pPr>
        <w:ind w:left="2625" w:hanging="144"/>
      </w:pPr>
      <w:rPr>
        <w:rFonts w:hint="default"/>
        <w:lang w:val="en-US" w:eastAsia="en-US" w:bidi="ar-SA"/>
      </w:rPr>
    </w:lvl>
  </w:abstractNum>
  <w:abstractNum w:abstractNumId="90">
    <w:multiLevelType w:val="hybridMultilevel"/>
    <w:lvl w:ilvl="0">
      <w:start w:val="0"/>
      <w:numFmt w:val="bullet"/>
      <w:lvlText w:val=""/>
      <w:lvlJc w:val="left"/>
      <w:pPr>
        <w:ind w:left="225" w:hanging="144"/>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518" w:hanging="144"/>
      </w:pPr>
      <w:rPr>
        <w:rFonts w:hint="default"/>
        <w:lang w:val="en-US" w:eastAsia="en-US" w:bidi="ar-SA"/>
      </w:rPr>
    </w:lvl>
    <w:lvl w:ilvl="2">
      <w:start w:val="0"/>
      <w:numFmt w:val="bullet"/>
      <w:lvlText w:val="•"/>
      <w:lvlJc w:val="left"/>
      <w:pPr>
        <w:ind w:left="816" w:hanging="144"/>
      </w:pPr>
      <w:rPr>
        <w:rFonts w:hint="default"/>
        <w:lang w:val="en-US" w:eastAsia="en-US" w:bidi="ar-SA"/>
      </w:rPr>
    </w:lvl>
    <w:lvl w:ilvl="3">
      <w:start w:val="0"/>
      <w:numFmt w:val="bullet"/>
      <w:lvlText w:val="•"/>
      <w:lvlJc w:val="left"/>
      <w:pPr>
        <w:ind w:left="1115" w:hanging="144"/>
      </w:pPr>
      <w:rPr>
        <w:rFonts w:hint="default"/>
        <w:lang w:val="en-US" w:eastAsia="en-US" w:bidi="ar-SA"/>
      </w:rPr>
    </w:lvl>
    <w:lvl w:ilvl="4">
      <w:start w:val="0"/>
      <w:numFmt w:val="bullet"/>
      <w:lvlText w:val="•"/>
      <w:lvlJc w:val="left"/>
      <w:pPr>
        <w:ind w:left="1413" w:hanging="144"/>
      </w:pPr>
      <w:rPr>
        <w:rFonts w:hint="default"/>
        <w:lang w:val="en-US" w:eastAsia="en-US" w:bidi="ar-SA"/>
      </w:rPr>
    </w:lvl>
    <w:lvl w:ilvl="5">
      <w:start w:val="0"/>
      <w:numFmt w:val="bullet"/>
      <w:lvlText w:val="•"/>
      <w:lvlJc w:val="left"/>
      <w:pPr>
        <w:ind w:left="1712" w:hanging="144"/>
      </w:pPr>
      <w:rPr>
        <w:rFonts w:hint="default"/>
        <w:lang w:val="en-US" w:eastAsia="en-US" w:bidi="ar-SA"/>
      </w:rPr>
    </w:lvl>
    <w:lvl w:ilvl="6">
      <w:start w:val="0"/>
      <w:numFmt w:val="bullet"/>
      <w:lvlText w:val="•"/>
      <w:lvlJc w:val="left"/>
      <w:pPr>
        <w:ind w:left="2010" w:hanging="144"/>
      </w:pPr>
      <w:rPr>
        <w:rFonts w:hint="default"/>
        <w:lang w:val="en-US" w:eastAsia="en-US" w:bidi="ar-SA"/>
      </w:rPr>
    </w:lvl>
    <w:lvl w:ilvl="7">
      <w:start w:val="0"/>
      <w:numFmt w:val="bullet"/>
      <w:lvlText w:val="•"/>
      <w:lvlJc w:val="left"/>
      <w:pPr>
        <w:ind w:left="2308" w:hanging="144"/>
      </w:pPr>
      <w:rPr>
        <w:rFonts w:hint="default"/>
        <w:lang w:val="en-US" w:eastAsia="en-US" w:bidi="ar-SA"/>
      </w:rPr>
    </w:lvl>
    <w:lvl w:ilvl="8">
      <w:start w:val="0"/>
      <w:numFmt w:val="bullet"/>
      <w:lvlText w:val="•"/>
      <w:lvlJc w:val="left"/>
      <w:pPr>
        <w:ind w:left="2607" w:hanging="144"/>
      </w:pPr>
      <w:rPr>
        <w:rFonts w:hint="default"/>
        <w:lang w:val="en-US" w:eastAsia="en-US" w:bidi="ar-SA"/>
      </w:rPr>
    </w:lvl>
  </w:abstractNum>
  <w:abstractNum w:abstractNumId="89">
    <w:multiLevelType w:val="hybridMultilevel"/>
    <w:lvl w:ilvl="0">
      <w:start w:val="0"/>
      <w:numFmt w:val="bullet"/>
      <w:lvlText w:val=""/>
      <w:lvlJc w:val="left"/>
      <w:pPr>
        <w:ind w:left="216" w:hanging="144"/>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520" w:hanging="144"/>
      </w:pPr>
      <w:rPr>
        <w:rFonts w:hint="default"/>
        <w:lang w:val="en-US" w:eastAsia="en-US" w:bidi="ar-SA"/>
      </w:rPr>
    </w:lvl>
    <w:lvl w:ilvl="2">
      <w:start w:val="0"/>
      <w:numFmt w:val="bullet"/>
      <w:lvlText w:val="•"/>
      <w:lvlJc w:val="left"/>
      <w:pPr>
        <w:ind w:left="821" w:hanging="144"/>
      </w:pPr>
      <w:rPr>
        <w:rFonts w:hint="default"/>
        <w:lang w:val="en-US" w:eastAsia="en-US" w:bidi="ar-SA"/>
      </w:rPr>
    </w:lvl>
    <w:lvl w:ilvl="3">
      <w:start w:val="0"/>
      <w:numFmt w:val="bullet"/>
      <w:lvlText w:val="•"/>
      <w:lvlJc w:val="left"/>
      <w:pPr>
        <w:ind w:left="1122" w:hanging="144"/>
      </w:pPr>
      <w:rPr>
        <w:rFonts w:hint="default"/>
        <w:lang w:val="en-US" w:eastAsia="en-US" w:bidi="ar-SA"/>
      </w:rPr>
    </w:lvl>
    <w:lvl w:ilvl="4">
      <w:start w:val="0"/>
      <w:numFmt w:val="bullet"/>
      <w:lvlText w:val="•"/>
      <w:lvlJc w:val="left"/>
      <w:pPr>
        <w:ind w:left="1422" w:hanging="144"/>
      </w:pPr>
      <w:rPr>
        <w:rFonts w:hint="default"/>
        <w:lang w:val="en-US" w:eastAsia="en-US" w:bidi="ar-SA"/>
      </w:rPr>
    </w:lvl>
    <w:lvl w:ilvl="5">
      <w:start w:val="0"/>
      <w:numFmt w:val="bullet"/>
      <w:lvlText w:val="•"/>
      <w:lvlJc w:val="left"/>
      <w:pPr>
        <w:ind w:left="1723" w:hanging="144"/>
      </w:pPr>
      <w:rPr>
        <w:rFonts w:hint="default"/>
        <w:lang w:val="en-US" w:eastAsia="en-US" w:bidi="ar-SA"/>
      </w:rPr>
    </w:lvl>
    <w:lvl w:ilvl="6">
      <w:start w:val="0"/>
      <w:numFmt w:val="bullet"/>
      <w:lvlText w:val="•"/>
      <w:lvlJc w:val="left"/>
      <w:pPr>
        <w:ind w:left="2024" w:hanging="144"/>
      </w:pPr>
      <w:rPr>
        <w:rFonts w:hint="default"/>
        <w:lang w:val="en-US" w:eastAsia="en-US" w:bidi="ar-SA"/>
      </w:rPr>
    </w:lvl>
    <w:lvl w:ilvl="7">
      <w:start w:val="0"/>
      <w:numFmt w:val="bullet"/>
      <w:lvlText w:val="•"/>
      <w:lvlJc w:val="left"/>
      <w:pPr>
        <w:ind w:left="2324" w:hanging="144"/>
      </w:pPr>
      <w:rPr>
        <w:rFonts w:hint="default"/>
        <w:lang w:val="en-US" w:eastAsia="en-US" w:bidi="ar-SA"/>
      </w:rPr>
    </w:lvl>
    <w:lvl w:ilvl="8">
      <w:start w:val="0"/>
      <w:numFmt w:val="bullet"/>
      <w:lvlText w:val="•"/>
      <w:lvlJc w:val="left"/>
      <w:pPr>
        <w:ind w:left="2625" w:hanging="144"/>
      </w:pPr>
      <w:rPr>
        <w:rFonts w:hint="default"/>
        <w:lang w:val="en-US" w:eastAsia="en-US" w:bidi="ar-SA"/>
      </w:rPr>
    </w:lvl>
  </w:abstractNum>
  <w:abstractNum w:abstractNumId="88">
    <w:multiLevelType w:val="hybridMultilevel"/>
    <w:lvl w:ilvl="0">
      <w:start w:val="0"/>
      <w:numFmt w:val="bullet"/>
      <w:lvlText w:val="*"/>
      <w:lvlJc w:val="left"/>
      <w:pPr>
        <w:ind w:left="2246" w:hanging="154"/>
      </w:pPr>
      <w:rPr>
        <w:rFonts w:hint="default" w:ascii="Times New Roman" w:hAnsi="Times New Roman" w:eastAsia="Times New Roman" w:cs="Times New Roman"/>
        <w:b w:val="0"/>
        <w:bCs w:val="0"/>
        <w:i w:val="0"/>
        <w:iCs w:val="0"/>
        <w:w w:val="100"/>
        <w:sz w:val="20"/>
        <w:szCs w:val="20"/>
        <w:lang w:val="en-US" w:eastAsia="en-US" w:bidi="ar-SA"/>
      </w:rPr>
    </w:lvl>
    <w:lvl w:ilvl="1">
      <w:start w:val="0"/>
      <w:numFmt w:val="bullet"/>
      <w:lvlText w:val="•"/>
      <w:lvlJc w:val="left"/>
      <w:pPr>
        <w:ind w:left="3202" w:hanging="154"/>
      </w:pPr>
      <w:rPr>
        <w:rFonts w:hint="default"/>
        <w:lang w:val="en-US" w:eastAsia="en-US" w:bidi="ar-SA"/>
      </w:rPr>
    </w:lvl>
    <w:lvl w:ilvl="2">
      <w:start w:val="0"/>
      <w:numFmt w:val="bullet"/>
      <w:lvlText w:val="•"/>
      <w:lvlJc w:val="left"/>
      <w:pPr>
        <w:ind w:left="4164" w:hanging="154"/>
      </w:pPr>
      <w:rPr>
        <w:rFonts w:hint="default"/>
        <w:lang w:val="en-US" w:eastAsia="en-US" w:bidi="ar-SA"/>
      </w:rPr>
    </w:lvl>
    <w:lvl w:ilvl="3">
      <w:start w:val="0"/>
      <w:numFmt w:val="bullet"/>
      <w:lvlText w:val="•"/>
      <w:lvlJc w:val="left"/>
      <w:pPr>
        <w:ind w:left="5127" w:hanging="154"/>
      </w:pPr>
      <w:rPr>
        <w:rFonts w:hint="default"/>
        <w:lang w:val="en-US" w:eastAsia="en-US" w:bidi="ar-SA"/>
      </w:rPr>
    </w:lvl>
    <w:lvl w:ilvl="4">
      <w:start w:val="0"/>
      <w:numFmt w:val="bullet"/>
      <w:lvlText w:val="•"/>
      <w:lvlJc w:val="left"/>
      <w:pPr>
        <w:ind w:left="6089" w:hanging="154"/>
      </w:pPr>
      <w:rPr>
        <w:rFonts w:hint="default"/>
        <w:lang w:val="en-US" w:eastAsia="en-US" w:bidi="ar-SA"/>
      </w:rPr>
    </w:lvl>
    <w:lvl w:ilvl="5">
      <w:start w:val="0"/>
      <w:numFmt w:val="bullet"/>
      <w:lvlText w:val="•"/>
      <w:lvlJc w:val="left"/>
      <w:pPr>
        <w:ind w:left="7052" w:hanging="154"/>
      </w:pPr>
      <w:rPr>
        <w:rFonts w:hint="default"/>
        <w:lang w:val="en-US" w:eastAsia="en-US" w:bidi="ar-SA"/>
      </w:rPr>
    </w:lvl>
    <w:lvl w:ilvl="6">
      <w:start w:val="0"/>
      <w:numFmt w:val="bullet"/>
      <w:lvlText w:val="•"/>
      <w:lvlJc w:val="left"/>
      <w:pPr>
        <w:ind w:left="8014" w:hanging="154"/>
      </w:pPr>
      <w:rPr>
        <w:rFonts w:hint="default"/>
        <w:lang w:val="en-US" w:eastAsia="en-US" w:bidi="ar-SA"/>
      </w:rPr>
    </w:lvl>
    <w:lvl w:ilvl="7">
      <w:start w:val="0"/>
      <w:numFmt w:val="bullet"/>
      <w:lvlText w:val="•"/>
      <w:lvlJc w:val="left"/>
      <w:pPr>
        <w:ind w:left="8976" w:hanging="154"/>
      </w:pPr>
      <w:rPr>
        <w:rFonts w:hint="default"/>
        <w:lang w:val="en-US" w:eastAsia="en-US" w:bidi="ar-SA"/>
      </w:rPr>
    </w:lvl>
    <w:lvl w:ilvl="8">
      <w:start w:val="0"/>
      <w:numFmt w:val="bullet"/>
      <w:lvlText w:val="•"/>
      <w:lvlJc w:val="left"/>
      <w:pPr>
        <w:ind w:left="9939" w:hanging="154"/>
      </w:pPr>
      <w:rPr>
        <w:rFonts w:hint="default"/>
        <w:lang w:val="en-US" w:eastAsia="en-US" w:bidi="ar-SA"/>
      </w:rPr>
    </w:lvl>
  </w:abstractNum>
  <w:abstractNum w:abstractNumId="86">
    <w:multiLevelType w:val="hybridMultilevel"/>
    <w:lvl w:ilvl="0">
      <w:start w:val="1"/>
      <w:numFmt w:val="lowerRoman"/>
      <w:lvlText w:val="(%1)"/>
      <w:lvlJc w:val="left"/>
      <w:pPr>
        <w:ind w:left="480" w:hanging="206"/>
        <w:jc w:val="left"/>
      </w:pPr>
      <w:rPr>
        <w:rFonts w:hint="default" w:ascii="Times New Roman" w:hAnsi="Times New Roman" w:eastAsia="Times New Roman" w:cs="Times New Roman"/>
        <w:b w:val="0"/>
        <w:bCs w:val="0"/>
        <w:i w:val="0"/>
        <w:iCs w:val="0"/>
        <w:spacing w:val="0"/>
        <w:w w:val="98"/>
        <w:sz w:val="17"/>
        <w:szCs w:val="17"/>
        <w:lang w:val="en-US" w:eastAsia="en-US" w:bidi="ar-SA"/>
      </w:rPr>
    </w:lvl>
    <w:lvl w:ilvl="1">
      <w:start w:val="0"/>
      <w:numFmt w:val="bullet"/>
      <w:lvlText w:val="•"/>
      <w:lvlJc w:val="left"/>
      <w:pPr>
        <w:ind w:left="787" w:hanging="206"/>
      </w:pPr>
      <w:rPr>
        <w:rFonts w:hint="default"/>
        <w:lang w:val="en-US" w:eastAsia="en-US" w:bidi="ar-SA"/>
      </w:rPr>
    </w:lvl>
    <w:lvl w:ilvl="2">
      <w:start w:val="0"/>
      <w:numFmt w:val="bullet"/>
      <w:lvlText w:val="•"/>
      <w:lvlJc w:val="left"/>
      <w:pPr>
        <w:ind w:left="1094" w:hanging="206"/>
      </w:pPr>
      <w:rPr>
        <w:rFonts w:hint="default"/>
        <w:lang w:val="en-US" w:eastAsia="en-US" w:bidi="ar-SA"/>
      </w:rPr>
    </w:lvl>
    <w:lvl w:ilvl="3">
      <w:start w:val="0"/>
      <w:numFmt w:val="bullet"/>
      <w:lvlText w:val="•"/>
      <w:lvlJc w:val="left"/>
      <w:pPr>
        <w:ind w:left="1402" w:hanging="206"/>
      </w:pPr>
      <w:rPr>
        <w:rFonts w:hint="default"/>
        <w:lang w:val="en-US" w:eastAsia="en-US" w:bidi="ar-SA"/>
      </w:rPr>
    </w:lvl>
    <w:lvl w:ilvl="4">
      <w:start w:val="0"/>
      <w:numFmt w:val="bullet"/>
      <w:lvlText w:val="•"/>
      <w:lvlJc w:val="left"/>
      <w:pPr>
        <w:ind w:left="1709" w:hanging="206"/>
      </w:pPr>
      <w:rPr>
        <w:rFonts w:hint="default"/>
        <w:lang w:val="en-US" w:eastAsia="en-US" w:bidi="ar-SA"/>
      </w:rPr>
    </w:lvl>
    <w:lvl w:ilvl="5">
      <w:start w:val="0"/>
      <w:numFmt w:val="bullet"/>
      <w:lvlText w:val="•"/>
      <w:lvlJc w:val="left"/>
      <w:pPr>
        <w:ind w:left="2017" w:hanging="206"/>
      </w:pPr>
      <w:rPr>
        <w:rFonts w:hint="default"/>
        <w:lang w:val="en-US" w:eastAsia="en-US" w:bidi="ar-SA"/>
      </w:rPr>
    </w:lvl>
    <w:lvl w:ilvl="6">
      <w:start w:val="0"/>
      <w:numFmt w:val="bullet"/>
      <w:lvlText w:val="•"/>
      <w:lvlJc w:val="left"/>
      <w:pPr>
        <w:ind w:left="2324" w:hanging="206"/>
      </w:pPr>
      <w:rPr>
        <w:rFonts w:hint="default"/>
        <w:lang w:val="en-US" w:eastAsia="en-US" w:bidi="ar-SA"/>
      </w:rPr>
    </w:lvl>
    <w:lvl w:ilvl="7">
      <w:start w:val="0"/>
      <w:numFmt w:val="bullet"/>
      <w:lvlText w:val="•"/>
      <w:lvlJc w:val="left"/>
      <w:pPr>
        <w:ind w:left="2631" w:hanging="206"/>
      </w:pPr>
      <w:rPr>
        <w:rFonts w:hint="default"/>
        <w:lang w:val="en-US" w:eastAsia="en-US" w:bidi="ar-SA"/>
      </w:rPr>
    </w:lvl>
    <w:lvl w:ilvl="8">
      <w:start w:val="0"/>
      <w:numFmt w:val="bullet"/>
      <w:lvlText w:val="•"/>
      <w:lvlJc w:val="left"/>
      <w:pPr>
        <w:ind w:left="2939" w:hanging="206"/>
      </w:pPr>
      <w:rPr>
        <w:rFonts w:hint="default"/>
        <w:lang w:val="en-US" w:eastAsia="en-US" w:bidi="ar-SA"/>
      </w:rPr>
    </w:lvl>
  </w:abstractNum>
  <w:abstractNum w:abstractNumId="85">
    <w:multiLevelType w:val="hybridMultilevel"/>
    <w:lvl w:ilvl="0">
      <w:start w:val="0"/>
      <w:numFmt w:val="bullet"/>
      <w:lvlText w:val="▪"/>
      <w:lvlJc w:val="left"/>
      <w:pPr>
        <w:ind w:left="375" w:hanging="101"/>
      </w:pPr>
      <w:rPr>
        <w:rFonts w:hint="default" w:ascii="Times New Roman" w:hAnsi="Times New Roman" w:eastAsia="Times New Roman" w:cs="Times New Roman"/>
        <w:b w:val="0"/>
        <w:bCs w:val="0"/>
        <w:i w:val="0"/>
        <w:iCs w:val="0"/>
        <w:w w:val="98"/>
        <w:sz w:val="17"/>
        <w:szCs w:val="17"/>
        <w:lang w:val="en-US" w:eastAsia="en-US" w:bidi="ar-SA"/>
      </w:rPr>
    </w:lvl>
    <w:lvl w:ilvl="1">
      <w:start w:val="0"/>
      <w:numFmt w:val="bullet"/>
      <w:lvlText w:val="•"/>
      <w:lvlJc w:val="left"/>
      <w:pPr>
        <w:ind w:left="697" w:hanging="101"/>
      </w:pPr>
      <w:rPr>
        <w:rFonts w:hint="default"/>
        <w:lang w:val="en-US" w:eastAsia="en-US" w:bidi="ar-SA"/>
      </w:rPr>
    </w:lvl>
    <w:lvl w:ilvl="2">
      <w:start w:val="0"/>
      <w:numFmt w:val="bullet"/>
      <w:lvlText w:val="•"/>
      <w:lvlJc w:val="left"/>
      <w:pPr>
        <w:ind w:left="1014" w:hanging="101"/>
      </w:pPr>
      <w:rPr>
        <w:rFonts w:hint="default"/>
        <w:lang w:val="en-US" w:eastAsia="en-US" w:bidi="ar-SA"/>
      </w:rPr>
    </w:lvl>
    <w:lvl w:ilvl="3">
      <w:start w:val="0"/>
      <w:numFmt w:val="bullet"/>
      <w:lvlText w:val="•"/>
      <w:lvlJc w:val="left"/>
      <w:pPr>
        <w:ind w:left="1332" w:hanging="101"/>
      </w:pPr>
      <w:rPr>
        <w:rFonts w:hint="default"/>
        <w:lang w:val="en-US" w:eastAsia="en-US" w:bidi="ar-SA"/>
      </w:rPr>
    </w:lvl>
    <w:lvl w:ilvl="4">
      <w:start w:val="0"/>
      <w:numFmt w:val="bullet"/>
      <w:lvlText w:val="•"/>
      <w:lvlJc w:val="left"/>
      <w:pPr>
        <w:ind w:left="1649" w:hanging="101"/>
      </w:pPr>
      <w:rPr>
        <w:rFonts w:hint="default"/>
        <w:lang w:val="en-US" w:eastAsia="en-US" w:bidi="ar-SA"/>
      </w:rPr>
    </w:lvl>
    <w:lvl w:ilvl="5">
      <w:start w:val="0"/>
      <w:numFmt w:val="bullet"/>
      <w:lvlText w:val="•"/>
      <w:lvlJc w:val="left"/>
      <w:pPr>
        <w:ind w:left="1967" w:hanging="101"/>
      </w:pPr>
      <w:rPr>
        <w:rFonts w:hint="default"/>
        <w:lang w:val="en-US" w:eastAsia="en-US" w:bidi="ar-SA"/>
      </w:rPr>
    </w:lvl>
    <w:lvl w:ilvl="6">
      <w:start w:val="0"/>
      <w:numFmt w:val="bullet"/>
      <w:lvlText w:val="•"/>
      <w:lvlJc w:val="left"/>
      <w:pPr>
        <w:ind w:left="2284" w:hanging="101"/>
      </w:pPr>
      <w:rPr>
        <w:rFonts w:hint="default"/>
        <w:lang w:val="en-US" w:eastAsia="en-US" w:bidi="ar-SA"/>
      </w:rPr>
    </w:lvl>
    <w:lvl w:ilvl="7">
      <w:start w:val="0"/>
      <w:numFmt w:val="bullet"/>
      <w:lvlText w:val="•"/>
      <w:lvlJc w:val="left"/>
      <w:pPr>
        <w:ind w:left="2601" w:hanging="101"/>
      </w:pPr>
      <w:rPr>
        <w:rFonts w:hint="default"/>
        <w:lang w:val="en-US" w:eastAsia="en-US" w:bidi="ar-SA"/>
      </w:rPr>
    </w:lvl>
    <w:lvl w:ilvl="8">
      <w:start w:val="0"/>
      <w:numFmt w:val="bullet"/>
      <w:lvlText w:val="•"/>
      <w:lvlJc w:val="left"/>
      <w:pPr>
        <w:ind w:left="2919" w:hanging="101"/>
      </w:pPr>
      <w:rPr>
        <w:rFonts w:hint="default"/>
        <w:lang w:val="en-US" w:eastAsia="en-US" w:bidi="ar-SA"/>
      </w:rPr>
    </w:lvl>
  </w:abstractNum>
  <w:abstractNum w:abstractNumId="84">
    <w:multiLevelType w:val="hybridMultilevel"/>
    <w:lvl w:ilvl="0">
      <w:start w:val="0"/>
      <w:numFmt w:val="bullet"/>
      <w:lvlText w:val="-"/>
      <w:lvlJc w:val="left"/>
      <w:pPr>
        <w:ind w:left="230" w:hanging="101"/>
      </w:pPr>
      <w:rPr>
        <w:rFonts w:hint="default" w:ascii="Palatino Linotype" w:hAnsi="Palatino Linotype" w:eastAsia="Palatino Linotype" w:cs="Palatino Linotype"/>
        <w:b w:val="0"/>
        <w:bCs w:val="0"/>
        <w:i w:val="0"/>
        <w:iCs w:val="0"/>
        <w:w w:val="98"/>
        <w:sz w:val="17"/>
        <w:szCs w:val="17"/>
        <w:lang w:val="en-US" w:eastAsia="en-US" w:bidi="ar-SA"/>
      </w:rPr>
    </w:lvl>
    <w:lvl w:ilvl="1">
      <w:start w:val="0"/>
      <w:numFmt w:val="bullet"/>
      <w:lvlText w:val="•"/>
      <w:lvlJc w:val="left"/>
      <w:pPr>
        <w:ind w:left="327" w:hanging="101"/>
      </w:pPr>
      <w:rPr>
        <w:rFonts w:hint="default"/>
        <w:lang w:val="en-US" w:eastAsia="en-US" w:bidi="ar-SA"/>
      </w:rPr>
    </w:lvl>
    <w:lvl w:ilvl="2">
      <w:start w:val="0"/>
      <w:numFmt w:val="bullet"/>
      <w:lvlText w:val="•"/>
      <w:lvlJc w:val="left"/>
      <w:pPr>
        <w:ind w:left="414" w:hanging="101"/>
      </w:pPr>
      <w:rPr>
        <w:rFonts w:hint="default"/>
        <w:lang w:val="en-US" w:eastAsia="en-US" w:bidi="ar-SA"/>
      </w:rPr>
    </w:lvl>
    <w:lvl w:ilvl="3">
      <w:start w:val="0"/>
      <w:numFmt w:val="bullet"/>
      <w:lvlText w:val="•"/>
      <w:lvlJc w:val="left"/>
      <w:pPr>
        <w:ind w:left="502" w:hanging="101"/>
      </w:pPr>
      <w:rPr>
        <w:rFonts w:hint="default"/>
        <w:lang w:val="en-US" w:eastAsia="en-US" w:bidi="ar-SA"/>
      </w:rPr>
    </w:lvl>
    <w:lvl w:ilvl="4">
      <w:start w:val="0"/>
      <w:numFmt w:val="bullet"/>
      <w:lvlText w:val="•"/>
      <w:lvlJc w:val="left"/>
      <w:pPr>
        <w:ind w:left="589" w:hanging="101"/>
      </w:pPr>
      <w:rPr>
        <w:rFonts w:hint="default"/>
        <w:lang w:val="en-US" w:eastAsia="en-US" w:bidi="ar-SA"/>
      </w:rPr>
    </w:lvl>
    <w:lvl w:ilvl="5">
      <w:start w:val="0"/>
      <w:numFmt w:val="bullet"/>
      <w:lvlText w:val="•"/>
      <w:lvlJc w:val="left"/>
      <w:pPr>
        <w:ind w:left="677" w:hanging="101"/>
      </w:pPr>
      <w:rPr>
        <w:rFonts w:hint="default"/>
        <w:lang w:val="en-US" w:eastAsia="en-US" w:bidi="ar-SA"/>
      </w:rPr>
    </w:lvl>
    <w:lvl w:ilvl="6">
      <w:start w:val="0"/>
      <w:numFmt w:val="bullet"/>
      <w:lvlText w:val="•"/>
      <w:lvlJc w:val="left"/>
      <w:pPr>
        <w:ind w:left="764" w:hanging="101"/>
      </w:pPr>
      <w:rPr>
        <w:rFonts w:hint="default"/>
        <w:lang w:val="en-US" w:eastAsia="en-US" w:bidi="ar-SA"/>
      </w:rPr>
    </w:lvl>
    <w:lvl w:ilvl="7">
      <w:start w:val="0"/>
      <w:numFmt w:val="bullet"/>
      <w:lvlText w:val="•"/>
      <w:lvlJc w:val="left"/>
      <w:pPr>
        <w:ind w:left="851" w:hanging="101"/>
      </w:pPr>
      <w:rPr>
        <w:rFonts w:hint="default"/>
        <w:lang w:val="en-US" w:eastAsia="en-US" w:bidi="ar-SA"/>
      </w:rPr>
    </w:lvl>
    <w:lvl w:ilvl="8">
      <w:start w:val="0"/>
      <w:numFmt w:val="bullet"/>
      <w:lvlText w:val="•"/>
      <w:lvlJc w:val="left"/>
      <w:pPr>
        <w:ind w:left="939" w:hanging="101"/>
      </w:pPr>
      <w:rPr>
        <w:rFonts w:hint="default"/>
        <w:lang w:val="en-US" w:eastAsia="en-US" w:bidi="ar-SA"/>
      </w:rPr>
    </w:lvl>
  </w:abstractNum>
  <w:abstractNum w:abstractNumId="83">
    <w:multiLevelType w:val="hybridMultilevel"/>
    <w:lvl w:ilvl="0">
      <w:start w:val="0"/>
      <w:numFmt w:val="bullet"/>
      <w:lvlText w:val="-"/>
      <w:lvlJc w:val="left"/>
      <w:pPr>
        <w:ind w:left="163" w:hanging="101"/>
      </w:pPr>
      <w:rPr>
        <w:rFonts w:hint="default" w:ascii="Palatino Linotype" w:hAnsi="Palatino Linotype" w:eastAsia="Palatino Linotype" w:cs="Palatino Linotype"/>
        <w:b w:val="0"/>
        <w:bCs w:val="0"/>
        <w:i w:val="0"/>
        <w:iCs w:val="0"/>
        <w:w w:val="98"/>
        <w:sz w:val="17"/>
        <w:szCs w:val="17"/>
        <w:lang w:val="en-US" w:eastAsia="en-US" w:bidi="ar-SA"/>
      </w:rPr>
    </w:lvl>
    <w:lvl w:ilvl="1">
      <w:start w:val="0"/>
      <w:numFmt w:val="bullet"/>
      <w:lvlText w:val="•"/>
      <w:lvlJc w:val="left"/>
      <w:pPr>
        <w:ind w:left="256" w:hanging="101"/>
      </w:pPr>
      <w:rPr>
        <w:rFonts w:hint="default"/>
        <w:lang w:val="en-US" w:eastAsia="en-US" w:bidi="ar-SA"/>
      </w:rPr>
    </w:lvl>
    <w:lvl w:ilvl="2">
      <w:start w:val="0"/>
      <w:numFmt w:val="bullet"/>
      <w:lvlText w:val="•"/>
      <w:lvlJc w:val="left"/>
      <w:pPr>
        <w:ind w:left="352" w:hanging="101"/>
      </w:pPr>
      <w:rPr>
        <w:rFonts w:hint="default"/>
        <w:lang w:val="en-US" w:eastAsia="en-US" w:bidi="ar-SA"/>
      </w:rPr>
    </w:lvl>
    <w:lvl w:ilvl="3">
      <w:start w:val="0"/>
      <w:numFmt w:val="bullet"/>
      <w:lvlText w:val="•"/>
      <w:lvlJc w:val="left"/>
      <w:pPr>
        <w:ind w:left="449" w:hanging="101"/>
      </w:pPr>
      <w:rPr>
        <w:rFonts w:hint="default"/>
        <w:lang w:val="en-US" w:eastAsia="en-US" w:bidi="ar-SA"/>
      </w:rPr>
    </w:lvl>
    <w:lvl w:ilvl="4">
      <w:start w:val="0"/>
      <w:numFmt w:val="bullet"/>
      <w:lvlText w:val="•"/>
      <w:lvlJc w:val="left"/>
      <w:pPr>
        <w:ind w:left="545" w:hanging="101"/>
      </w:pPr>
      <w:rPr>
        <w:rFonts w:hint="default"/>
        <w:lang w:val="en-US" w:eastAsia="en-US" w:bidi="ar-SA"/>
      </w:rPr>
    </w:lvl>
    <w:lvl w:ilvl="5">
      <w:start w:val="0"/>
      <w:numFmt w:val="bullet"/>
      <w:lvlText w:val="•"/>
      <w:lvlJc w:val="left"/>
      <w:pPr>
        <w:ind w:left="642" w:hanging="101"/>
      </w:pPr>
      <w:rPr>
        <w:rFonts w:hint="default"/>
        <w:lang w:val="en-US" w:eastAsia="en-US" w:bidi="ar-SA"/>
      </w:rPr>
    </w:lvl>
    <w:lvl w:ilvl="6">
      <w:start w:val="0"/>
      <w:numFmt w:val="bullet"/>
      <w:lvlText w:val="•"/>
      <w:lvlJc w:val="left"/>
      <w:pPr>
        <w:ind w:left="738" w:hanging="101"/>
      </w:pPr>
      <w:rPr>
        <w:rFonts w:hint="default"/>
        <w:lang w:val="en-US" w:eastAsia="en-US" w:bidi="ar-SA"/>
      </w:rPr>
    </w:lvl>
    <w:lvl w:ilvl="7">
      <w:start w:val="0"/>
      <w:numFmt w:val="bullet"/>
      <w:lvlText w:val="•"/>
      <w:lvlJc w:val="left"/>
      <w:pPr>
        <w:ind w:left="834" w:hanging="101"/>
      </w:pPr>
      <w:rPr>
        <w:rFonts w:hint="default"/>
        <w:lang w:val="en-US" w:eastAsia="en-US" w:bidi="ar-SA"/>
      </w:rPr>
    </w:lvl>
    <w:lvl w:ilvl="8">
      <w:start w:val="0"/>
      <w:numFmt w:val="bullet"/>
      <w:lvlText w:val="•"/>
      <w:lvlJc w:val="left"/>
      <w:pPr>
        <w:ind w:left="931" w:hanging="101"/>
      </w:pPr>
      <w:rPr>
        <w:rFonts w:hint="default"/>
        <w:lang w:val="en-US" w:eastAsia="en-US" w:bidi="ar-SA"/>
      </w:rPr>
    </w:lvl>
  </w:abstractNum>
  <w:abstractNum w:abstractNumId="82">
    <w:multiLevelType w:val="hybridMultilevel"/>
    <w:lvl w:ilvl="0">
      <w:start w:val="0"/>
      <w:numFmt w:val="bullet"/>
      <w:lvlText w:val=""/>
      <w:lvlJc w:val="left"/>
      <w:pPr>
        <w:ind w:left="647" w:hanging="360"/>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848" w:hanging="360"/>
      </w:pPr>
      <w:rPr>
        <w:rFonts w:hint="default"/>
        <w:lang w:val="en-US" w:eastAsia="en-US" w:bidi="ar-SA"/>
      </w:rPr>
    </w:lvl>
    <w:lvl w:ilvl="2">
      <w:start w:val="0"/>
      <w:numFmt w:val="bullet"/>
      <w:lvlText w:val="•"/>
      <w:lvlJc w:val="left"/>
      <w:pPr>
        <w:ind w:left="1056" w:hanging="360"/>
      </w:pPr>
      <w:rPr>
        <w:rFonts w:hint="default"/>
        <w:lang w:val="en-US" w:eastAsia="en-US" w:bidi="ar-SA"/>
      </w:rPr>
    </w:lvl>
    <w:lvl w:ilvl="3">
      <w:start w:val="0"/>
      <w:numFmt w:val="bullet"/>
      <w:lvlText w:val="•"/>
      <w:lvlJc w:val="left"/>
      <w:pPr>
        <w:ind w:left="1264" w:hanging="360"/>
      </w:pPr>
      <w:rPr>
        <w:rFonts w:hint="default"/>
        <w:lang w:val="en-US" w:eastAsia="en-US" w:bidi="ar-SA"/>
      </w:rPr>
    </w:lvl>
    <w:lvl w:ilvl="4">
      <w:start w:val="0"/>
      <w:numFmt w:val="bullet"/>
      <w:lvlText w:val="•"/>
      <w:lvlJc w:val="left"/>
      <w:pPr>
        <w:ind w:left="1472" w:hanging="360"/>
      </w:pPr>
      <w:rPr>
        <w:rFonts w:hint="default"/>
        <w:lang w:val="en-US" w:eastAsia="en-US" w:bidi="ar-SA"/>
      </w:rPr>
    </w:lvl>
    <w:lvl w:ilvl="5">
      <w:start w:val="0"/>
      <w:numFmt w:val="bullet"/>
      <w:lvlText w:val="•"/>
      <w:lvlJc w:val="left"/>
      <w:pPr>
        <w:ind w:left="1681" w:hanging="360"/>
      </w:pPr>
      <w:rPr>
        <w:rFonts w:hint="default"/>
        <w:lang w:val="en-US" w:eastAsia="en-US" w:bidi="ar-SA"/>
      </w:rPr>
    </w:lvl>
    <w:lvl w:ilvl="6">
      <w:start w:val="0"/>
      <w:numFmt w:val="bullet"/>
      <w:lvlText w:val="•"/>
      <w:lvlJc w:val="left"/>
      <w:pPr>
        <w:ind w:left="1889" w:hanging="360"/>
      </w:pPr>
      <w:rPr>
        <w:rFonts w:hint="default"/>
        <w:lang w:val="en-US" w:eastAsia="en-US" w:bidi="ar-SA"/>
      </w:rPr>
    </w:lvl>
    <w:lvl w:ilvl="7">
      <w:start w:val="0"/>
      <w:numFmt w:val="bullet"/>
      <w:lvlText w:val="•"/>
      <w:lvlJc w:val="left"/>
      <w:pPr>
        <w:ind w:left="2097" w:hanging="360"/>
      </w:pPr>
      <w:rPr>
        <w:rFonts w:hint="default"/>
        <w:lang w:val="en-US" w:eastAsia="en-US" w:bidi="ar-SA"/>
      </w:rPr>
    </w:lvl>
    <w:lvl w:ilvl="8">
      <w:start w:val="0"/>
      <w:numFmt w:val="bullet"/>
      <w:lvlText w:val="•"/>
      <w:lvlJc w:val="left"/>
      <w:pPr>
        <w:ind w:left="2305" w:hanging="360"/>
      </w:pPr>
      <w:rPr>
        <w:rFonts w:hint="default"/>
        <w:lang w:val="en-US" w:eastAsia="en-US" w:bidi="ar-SA"/>
      </w:rPr>
    </w:lvl>
  </w:abstractNum>
  <w:abstractNum w:abstractNumId="81">
    <w:multiLevelType w:val="hybridMultilevel"/>
    <w:lvl w:ilvl="0">
      <w:start w:val="0"/>
      <w:numFmt w:val="bullet"/>
      <w:lvlText w:val=""/>
      <w:lvlJc w:val="left"/>
      <w:pPr>
        <w:ind w:left="634" w:hanging="360"/>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823" w:hanging="360"/>
      </w:pPr>
      <w:rPr>
        <w:rFonts w:hint="default"/>
        <w:lang w:val="en-US" w:eastAsia="en-US" w:bidi="ar-SA"/>
      </w:rPr>
    </w:lvl>
    <w:lvl w:ilvl="2">
      <w:start w:val="0"/>
      <w:numFmt w:val="bullet"/>
      <w:lvlText w:val="•"/>
      <w:lvlJc w:val="left"/>
      <w:pPr>
        <w:ind w:left="1007" w:hanging="360"/>
      </w:pPr>
      <w:rPr>
        <w:rFonts w:hint="default"/>
        <w:lang w:val="en-US" w:eastAsia="en-US" w:bidi="ar-SA"/>
      </w:rPr>
    </w:lvl>
    <w:lvl w:ilvl="3">
      <w:start w:val="0"/>
      <w:numFmt w:val="bullet"/>
      <w:lvlText w:val="•"/>
      <w:lvlJc w:val="left"/>
      <w:pPr>
        <w:ind w:left="1191" w:hanging="360"/>
      </w:pPr>
      <w:rPr>
        <w:rFonts w:hint="default"/>
        <w:lang w:val="en-US" w:eastAsia="en-US" w:bidi="ar-SA"/>
      </w:rPr>
    </w:lvl>
    <w:lvl w:ilvl="4">
      <w:start w:val="0"/>
      <w:numFmt w:val="bullet"/>
      <w:lvlText w:val="•"/>
      <w:lvlJc w:val="left"/>
      <w:pPr>
        <w:ind w:left="1375" w:hanging="360"/>
      </w:pPr>
      <w:rPr>
        <w:rFonts w:hint="default"/>
        <w:lang w:val="en-US" w:eastAsia="en-US" w:bidi="ar-SA"/>
      </w:rPr>
    </w:lvl>
    <w:lvl w:ilvl="5">
      <w:start w:val="0"/>
      <w:numFmt w:val="bullet"/>
      <w:lvlText w:val="•"/>
      <w:lvlJc w:val="left"/>
      <w:pPr>
        <w:ind w:left="1559" w:hanging="360"/>
      </w:pPr>
      <w:rPr>
        <w:rFonts w:hint="default"/>
        <w:lang w:val="en-US" w:eastAsia="en-US" w:bidi="ar-SA"/>
      </w:rPr>
    </w:lvl>
    <w:lvl w:ilvl="6">
      <w:start w:val="0"/>
      <w:numFmt w:val="bullet"/>
      <w:lvlText w:val="•"/>
      <w:lvlJc w:val="left"/>
      <w:pPr>
        <w:ind w:left="1743" w:hanging="360"/>
      </w:pPr>
      <w:rPr>
        <w:rFonts w:hint="default"/>
        <w:lang w:val="en-US" w:eastAsia="en-US" w:bidi="ar-SA"/>
      </w:rPr>
    </w:lvl>
    <w:lvl w:ilvl="7">
      <w:start w:val="0"/>
      <w:numFmt w:val="bullet"/>
      <w:lvlText w:val="•"/>
      <w:lvlJc w:val="left"/>
      <w:pPr>
        <w:ind w:left="1927" w:hanging="360"/>
      </w:pPr>
      <w:rPr>
        <w:rFonts w:hint="default"/>
        <w:lang w:val="en-US" w:eastAsia="en-US" w:bidi="ar-SA"/>
      </w:rPr>
    </w:lvl>
    <w:lvl w:ilvl="8">
      <w:start w:val="0"/>
      <w:numFmt w:val="bullet"/>
      <w:lvlText w:val="•"/>
      <w:lvlJc w:val="left"/>
      <w:pPr>
        <w:ind w:left="2111" w:hanging="360"/>
      </w:pPr>
      <w:rPr>
        <w:rFonts w:hint="default"/>
        <w:lang w:val="en-US" w:eastAsia="en-US" w:bidi="ar-SA"/>
      </w:rPr>
    </w:lvl>
  </w:abstractNum>
  <w:abstractNum w:abstractNumId="80">
    <w:multiLevelType w:val="hybridMultilevel"/>
    <w:lvl w:ilvl="0">
      <w:start w:val="0"/>
      <w:numFmt w:val="bullet"/>
      <w:lvlText w:val=""/>
      <w:lvlJc w:val="left"/>
      <w:pPr>
        <w:ind w:left="673" w:hanging="360"/>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906" w:hanging="360"/>
      </w:pPr>
      <w:rPr>
        <w:rFonts w:hint="default"/>
        <w:lang w:val="en-US" w:eastAsia="en-US" w:bidi="ar-SA"/>
      </w:rPr>
    </w:lvl>
    <w:lvl w:ilvl="2">
      <w:start w:val="0"/>
      <w:numFmt w:val="bullet"/>
      <w:lvlText w:val="•"/>
      <w:lvlJc w:val="left"/>
      <w:pPr>
        <w:ind w:left="1132" w:hanging="360"/>
      </w:pPr>
      <w:rPr>
        <w:rFonts w:hint="default"/>
        <w:lang w:val="en-US" w:eastAsia="en-US" w:bidi="ar-SA"/>
      </w:rPr>
    </w:lvl>
    <w:lvl w:ilvl="3">
      <w:start w:val="0"/>
      <w:numFmt w:val="bullet"/>
      <w:lvlText w:val="•"/>
      <w:lvlJc w:val="left"/>
      <w:pPr>
        <w:ind w:left="1359" w:hanging="360"/>
      </w:pPr>
      <w:rPr>
        <w:rFonts w:hint="default"/>
        <w:lang w:val="en-US" w:eastAsia="en-US" w:bidi="ar-SA"/>
      </w:rPr>
    </w:lvl>
    <w:lvl w:ilvl="4">
      <w:start w:val="0"/>
      <w:numFmt w:val="bullet"/>
      <w:lvlText w:val="•"/>
      <w:lvlJc w:val="left"/>
      <w:pPr>
        <w:ind w:left="1585" w:hanging="360"/>
      </w:pPr>
      <w:rPr>
        <w:rFonts w:hint="default"/>
        <w:lang w:val="en-US" w:eastAsia="en-US" w:bidi="ar-SA"/>
      </w:rPr>
    </w:lvl>
    <w:lvl w:ilvl="5">
      <w:start w:val="0"/>
      <w:numFmt w:val="bullet"/>
      <w:lvlText w:val="•"/>
      <w:lvlJc w:val="left"/>
      <w:pPr>
        <w:ind w:left="1812" w:hanging="360"/>
      </w:pPr>
      <w:rPr>
        <w:rFonts w:hint="default"/>
        <w:lang w:val="en-US" w:eastAsia="en-US" w:bidi="ar-SA"/>
      </w:rPr>
    </w:lvl>
    <w:lvl w:ilvl="6">
      <w:start w:val="0"/>
      <w:numFmt w:val="bullet"/>
      <w:lvlText w:val="•"/>
      <w:lvlJc w:val="left"/>
      <w:pPr>
        <w:ind w:left="2038" w:hanging="360"/>
      </w:pPr>
      <w:rPr>
        <w:rFonts w:hint="default"/>
        <w:lang w:val="en-US" w:eastAsia="en-US" w:bidi="ar-SA"/>
      </w:rPr>
    </w:lvl>
    <w:lvl w:ilvl="7">
      <w:start w:val="0"/>
      <w:numFmt w:val="bullet"/>
      <w:lvlText w:val="•"/>
      <w:lvlJc w:val="left"/>
      <w:pPr>
        <w:ind w:left="2264" w:hanging="360"/>
      </w:pPr>
      <w:rPr>
        <w:rFonts w:hint="default"/>
        <w:lang w:val="en-US" w:eastAsia="en-US" w:bidi="ar-SA"/>
      </w:rPr>
    </w:lvl>
    <w:lvl w:ilvl="8">
      <w:start w:val="0"/>
      <w:numFmt w:val="bullet"/>
      <w:lvlText w:val="•"/>
      <w:lvlJc w:val="left"/>
      <w:pPr>
        <w:ind w:left="2491" w:hanging="360"/>
      </w:pPr>
      <w:rPr>
        <w:rFonts w:hint="default"/>
        <w:lang w:val="en-US" w:eastAsia="en-US" w:bidi="ar-SA"/>
      </w:rPr>
    </w:lvl>
  </w:abstractNum>
  <w:abstractNum w:abstractNumId="79">
    <w:multiLevelType w:val="hybridMultilevel"/>
    <w:lvl w:ilvl="0">
      <w:start w:val="0"/>
      <w:numFmt w:val="bullet"/>
      <w:lvlText w:val=""/>
      <w:lvlJc w:val="left"/>
      <w:pPr>
        <w:ind w:left="647" w:hanging="360"/>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848" w:hanging="360"/>
      </w:pPr>
      <w:rPr>
        <w:rFonts w:hint="default"/>
        <w:lang w:val="en-US" w:eastAsia="en-US" w:bidi="ar-SA"/>
      </w:rPr>
    </w:lvl>
    <w:lvl w:ilvl="2">
      <w:start w:val="0"/>
      <w:numFmt w:val="bullet"/>
      <w:lvlText w:val="•"/>
      <w:lvlJc w:val="left"/>
      <w:pPr>
        <w:ind w:left="1056" w:hanging="360"/>
      </w:pPr>
      <w:rPr>
        <w:rFonts w:hint="default"/>
        <w:lang w:val="en-US" w:eastAsia="en-US" w:bidi="ar-SA"/>
      </w:rPr>
    </w:lvl>
    <w:lvl w:ilvl="3">
      <w:start w:val="0"/>
      <w:numFmt w:val="bullet"/>
      <w:lvlText w:val="•"/>
      <w:lvlJc w:val="left"/>
      <w:pPr>
        <w:ind w:left="1264" w:hanging="360"/>
      </w:pPr>
      <w:rPr>
        <w:rFonts w:hint="default"/>
        <w:lang w:val="en-US" w:eastAsia="en-US" w:bidi="ar-SA"/>
      </w:rPr>
    </w:lvl>
    <w:lvl w:ilvl="4">
      <w:start w:val="0"/>
      <w:numFmt w:val="bullet"/>
      <w:lvlText w:val="•"/>
      <w:lvlJc w:val="left"/>
      <w:pPr>
        <w:ind w:left="1472" w:hanging="360"/>
      </w:pPr>
      <w:rPr>
        <w:rFonts w:hint="default"/>
        <w:lang w:val="en-US" w:eastAsia="en-US" w:bidi="ar-SA"/>
      </w:rPr>
    </w:lvl>
    <w:lvl w:ilvl="5">
      <w:start w:val="0"/>
      <w:numFmt w:val="bullet"/>
      <w:lvlText w:val="•"/>
      <w:lvlJc w:val="left"/>
      <w:pPr>
        <w:ind w:left="1681" w:hanging="360"/>
      </w:pPr>
      <w:rPr>
        <w:rFonts w:hint="default"/>
        <w:lang w:val="en-US" w:eastAsia="en-US" w:bidi="ar-SA"/>
      </w:rPr>
    </w:lvl>
    <w:lvl w:ilvl="6">
      <w:start w:val="0"/>
      <w:numFmt w:val="bullet"/>
      <w:lvlText w:val="•"/>
      <w:lvlJc w:val="left"/>
      <w:pPr>
        <w:ind w:left="1889" w:hanging="360"/>
      </w:pPr>
      <w:rPr>
        <w:rFonts w:hint="default"/>
        <w:lang w:val="en-US" w:eastAsia="en-US" w:bidi="ar-SA"/>
      </w:rPr>
    </w:lvl>
    <w:lvl w:ilvl="7">
      <w:start w:val="0"/>
      <w:numFmt w:val="bullet"/>
      <w:lvlText w:val="•"/>
      <w:lvlJc w:val="left"/>
      <w:pPr>
        <w:ind w:left="2097" w:hanging="360"/>
      </w:pPr>
      <w:rPr>
        <w:rFonts w:hint="default"/>
        <w:lang w:val="en-US" w:eastAsia="en-US" w:bidi="ar-SA"/>
      </w:rPr>
    </w:lvl>
    <w:lvl w:ilvl="8">
      <w:start w:val="0"/>
      <w:numFmt w:val="bullet"/>
      <w:lvlText w:val="•"/>
      <w:lvlJc w:val="left"/>
      <w:pPr>
        <w:ind w:left="2305" w:hanging="360"/>
      </w:pPr>
      <w:rPr>
        <w:rFonts w:hint="default"/>
        <w:lang w:val="en-US" w:eastAsia="en-US" w:bidi="ar-SA"/>
      </w:rPr>
    </w:lvl>
  </w:abstractNum>
  <w:abstractNum w:abstractNumId="78">
    <w:multiLevelType w:val="hybridMultilevel"/>
    <w:lvl w:ilvl="0">
      <w:start w:val="0"/>
      <w:numFmt w:val="bullet"/>
      <w:lvlText w:val=""/>
      <w:lvlJc w:val="left"/>
      <w:pPr>
        <w:ind w:left="673" w:hanging="360"/>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906" w:hanging="360"/>
      </w:pPr>
      <w:rPr>
        <w:rFonts w:hint="default"/>
        <w:lang w:val="en-US" w:eastAsia="en-US" w:bidi="ar-SA"/>
      </w:rPr>
    </w:lvl>
    <w:lvl w:ilvl="2">
      <w:start w:val="0"/>
      <w:numFmt w:val="bullet"/>
      <w:lvlText w:val="•"/>
      <w:lvlJc w:val="left"/>
      <w:pPr>
        <w:ind w:left="1132" w:hanging="360"/>
      </w:pPr>
      <w:rPr>
        <w:rFonts w:hint="default"/>
        <w:lang w:val="en-US" w:eastAsia="en-US" w:bidi="ar-SA"/>
      </w:rPr>
    </w:lvl>
    <w:lvl w:ilvl="3">
      <w:start w:val="0"/>
      <w:numFmt w:val="bullet"/>
      <w:lvlText w:val="•"/>
      <w:lvlJc w:val="left"/>
      <w:pPr>
        <w:ind w:left="1359" w:hanging="360"/>
      </w:pPr>
      <w:rPr>
        <w:rFonts w:hint="default"/>
        <w:lang w:val="en-US" w:eastAsia="en-US" w:bidi="ar-SA"/>
      </w:rPr>
    </w:lvl>
    <w:lvl w:ilvl="4">
      <w:start w:val="0"/>
      <w:numFmt w:val="bullet"/>
      <w:lvlText w:val="•"/>
      <w:lvlJc w:val="left"/>
      <w:pPr>
        <w:ind w:left="1585" w:hanging="360"/>
      </w:pPr>
      <w:rPr>
        <w:rFonts w:hint="default"/>
        <w:lang w:val="en-US" w:eastAsia="en-US" w:bidi="ar-SA"/>
      </w:rPr>
    </w:lvl>
    <w:lvl w:ilvl="5">
      <w:start w:val="0"/>
      <w:numFmt w:val="bullet"/>
      <w:lvlText w:val="•"/>
      <w:lvlJc w:val="left"/>
      <w:pPr>
        <w:ind w:left="1812" w:hanging="360"/>
      </w:pPr>
      <w:rPr>
        <w:rFonts w:hint="default"/>
        <w:lang w:val="en-US" w:eastAsia="en-US" w:bidi="ar-SA"/>
      </w:rPr>
    </w:lvl>
    <w:lvl w:ilvl="6">
      <w:start w:val="0"/>
      <w:numFmt w:val="bullet"/>
      <w:lvlText w:val="•"/>
      <w:lvlJc w:val="left"/>
      <w:pPr>
        <w:ind w:left="2038" w:hanging="360"/>
      </w:pPr>
      <w:rPr>
        <w:rFonts w:hint="default"/>
        <w:lang w:val="en-US" w:eastAsia="en-US" w:bidi="ar-SA"/>
      </w:rPr>
    </w:lvl>
    <w:lvl w:ilvl="7">
      <w:start w:val="0"/>
      <w:numFmt w:val="bullet"/>
      <w:lvlText w:val="•"/>
      <w:lvlJc w:val="left"/>
      <w:pPr>
        <w:ind w:left="2264" w:hanging="360"/>
      </w:pPr>
      <w:rPr>
        <w:rFonts w:hint="default"/>
        <w:lang w:val="en-US" w:eastAsia="en-US" w:bidi="ar-SA"/>
      </w:rPr>
    </w:lvl>
    <w:lvl w:ilvl="8">
      <w:start w:val="0"/>
      <w:numFmt w:val="bullet"/>
      <w:lvlText w:val="•"/>
      <w:lvlJc w:val="left"/>
      <w:pPr>
        <w:ind w:left="2491" w:hanging="360"/>
      </w:pPr>
      <w:rPr>
        <w:rFonts w:hint="default"/>
        <w:lang w:val="en-US" w:eastAsia="en-US" w:bidi="ar-SA"/>
      </w:rPr>
    </w:lvl>
  </w:abstractNum>
  <w:abstractNum w:abstractNumId="77">
    <w:multiLevelType w:val="hybridMultilevel"/>
    <w:lvl w:ilvl="0">
      <w:start w:val="0"/>
      <w:numFmt w:val="bullet"/>
      <w:lvlText w:val=""/>
      <w:lvlJc w:val="left"/>
      <w:pPr>
        <w:ind w:left="620" w:hanging="360"/>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827" w:hanging="360"/>
      </w:pPr>
      <w:rPr>
        <w:rFonts w:hint="default"/>
        <w:lang w:val="en-US" w:eastAsia="en-US" w:bidi="ar-SA"/>
      </w:rPr>
    </w:lvl>
    <w:lvl w:ilvl="2">
      <w:start w:val="0"/>
      <w:numFmt w:val="bullet"/>
      <w:lvlText w:val="•"/>
      <w:lvlJc w:val="left"/>
      <w:pPr>
        <w:ind w:left="1035" w:hanging="360"/>
      </w:pPr>
      <w:rPr>
        <w:rFonts w:hint="default"/>
        <w:lang w:val="en-US" w:eastAsia="en-US" w:bidi="ar-SA"/>
      </w:rPr>
    </w:lvl>
    <w:lvl w:ilvl="3">
      <w:start w:val="0"/>
      <w:numFmt w:val="bullet"/>
      <w:lvlText w:val="•"/>
      <w:lvlJc w:val="left"/>
      <w:pPr>
        <w:ind w:left="1242" w:hanging="360"/>
      </w:pPr>
      <w:rPr>
        <w:rFonts w:hint="default"/>
        <w:lang w:val="en-US" w:eastAsia="en-US" w:bidi="ar-SA"/>
      </w:rPr>
    </w:lvl>
    <w:lvl w:ilvl="4">
      <w:start w:val="0"/>
      <w:numFmt w:val="bullet"/>
      <w:lvlText w:val="•"/>
      <w:lvlJc w:val="left"/>
      <w:pPr>
        <w:ind w:left="1450" w:hanging="360"/>
      </w:pPr>
      <w:rPr>
        <w:rFonts w:hint="default"/>
        <w:lang w:val="en-US" w:eastAsia="en-US" w:bidi="ar-SA"/>
      </w:rPr>
    </w:lvl>
    <w:lvl w:ilvl="5">
      <w:start w:val="0"/>
      <w:numFmt w:val="bullet"/>
      <w:lvlText w:val="•"/>
      <w:lvlJc w:val="left"/>
      <w:pPr>
        <w:ind w:left="1658" w:hanging="360"/>
      </w:pPr>
      <w:rPr>
        <w:rFonts w:hint="default"/>
        <w:lang w:val="en-US" w:eastAsia="en-US" w:bidi="ar-SA"/>
      </w:rPr>
    </w:lvl>
    <w:lvl w:ilvl="6">
      <w:start w:val="0"/>
      <w:numFmt w:val="bullet"/>
      <w:lvlText w:val="•"/>
      <w:lvlJc w:val="left"/>
      <w:pPr>
        <w:ind w:left="1865" w:hanging="360"/>
      </w:pPr>
      <w:rPr>
        <w:rFonts w:hint="default"/>
        <w:lang w:val="en-US" w:eastAsia="en-US" w:bidi="ar-SA"/>
      </w:rPr>
    </w:lvl>
    <w:lvl w:ilvl="7">
      <w:start w:val="0"/>
      <w:numFmt w:val="bullet"/>
      <w:lvlText w:val="•"/>
      <w:lvlJc w:val="left"/>
      <w:pPr>
        <w:ind w:left="2073" w:hanging="360"/>
      </w:pPr>
      <w:rPr>
        <w:rFonts w:hint="default"/>
        <w:lang w:val="en-US" w:eastAsia="en-US" w:bidi="ar-SA"/>
      </w:rPr>
    </w:lvl>
    <w:lvl w:ilvl="8">
      <w:start w:val="0"/>
      <w:numFmt w:val="bullet"/>
      <w:lvlText w:val="•"/>
      <w:lvlJc w:val="left"/>
      <w:pPr>
        <w:ind w:left="2280" w:hanging="360"/>
      </w:pPr>
      <w:rPr>
        <w:rFonts w:hint="default"/>
        <w:lang w:val="en-US" w:eastAsia="en-US" w:bidi="ar-SA"/>
      </w:rPr>
    </w:lvl>
  </w:abstractNum>
  <w:abstractNum w:abstractNumId="76">
    <w:multiLevelType w:val="hybridMultilevel"/>
    <w:lvl w:ilvl="0">
      <w:start w:val="0"/>
      <w:numFmt w:val="bullet"/>
      <w:lvlText w:val=""/>
      <w:lvlJc w:val="left"/>
      <w:pPr>
        <w:ind w:left="633" w:hanging="360"/>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826" w:hanging="360"/>
      </w:pPr>
      <w:rPr>
        <w:rFonts w:hint="default"/>
        <w:lang w:val="en-US" w:eastAsia="en-US" w:bidi="ar-SA"/>
      </w:rPr>
    </w:lvl>
    <w:lvl w:ilvl="2">
      <w:start w:val="0"/>
      <w:numFmt w:val="bullet"/>
      <w:lvlText w:val="•"/>
      <w:lvlJc w:val="left"/>
      <w:pPr>
        <w:ind w:left="1013" w:hanging="360"/>
      </w:pPr>
      <w:rPr>
        <w:rFonts w:hint="default"/>
        <w:lang w:val="en-US" w:eastAsia="en-US" w:bidi="ar-SA"/>
      </w:rPr>
    </w:lvl>
    <w:lvl w:ilvl="3">
      <w:start w:val="0"/>
      <w:numFmt w:val="bullet"/>
      <w:lvlText w:val="•"/>
      <w:lvlJc w:val="left"/>
      <w:pPr>
        <w:ind w:left="1199" w:hanging="360"/>
      </w:pPr>
      <w:rPr>
        <w:rFonts w:hint="default"/>
        <w:lang w:val="en-US" w:eastAsia="en-US" w:bidi="ar-SA"/>
      </w:rPr>
    </w:lvl>
    <w:lvl w:ilvl="4">
      <w:start w:val="0"/>
      <w:numFmt w:val="bullet"/>
      <w:lvlText w:val="•"/>
      <w:lvlJc w:val="left"/>
      <w:pPr>
        <w:ind w:left="1386" w:hanging="360"/>
      </w:pPr>
      <w:rPr>
        <w:rFonts w:hint="default"/>
        <w:lang w:val="en-US" w:eastAsia="en-US" w:bidi="ar-SA"/>
      </w:rPr>
    </w:lvl>
    <w:lvl w:ilvl="5">
      <w:start w:val="0"/>
      <w:numFmt w:val="bullet"/>
      <w:lvlText w:val="•"/>
      <w:lvlJc w:val="left"/>
      <w:pPr>
        <w:ind w:left="1572" w:hanging="360"/>
      </w:pPr>
      <w:rPr>
        <w:rFonts w:hint="default"/>
        <w:lang w:val="en-US" w:eastAsia="en-US" w:bidi="ar-SA"/>
      </w:rPr>
    </w:lvl>
    <w:lvl w:ilvl="6">
      <w:start w:val="0"/>
      <w:numFmt w:val="bullet"/>
      <w:lvlText w:val="•"/>
      <w:lvlJc w:val="left"/>
      <w:pPr>
        <w:ind w:left="1759" w:hanging="360"/>
      </w:pPr>
      <w:rPr>
        <w:rFonts w:hint="default"/>
        <w:lang w:val="en-US" w:eastAsia="en-US" w:bidi="ar-SA"/>
      </w:rPr>
    </w:lvl>
    <w:lvl w:ilvl="7">
      <w:start w:val="0"/>
      <w:numFmt w:val="bullet"/>
      <w:lvlText w:val="•"/>
      <w:lvlJc w:val="left"/>
      <w:pPr>
        <w:ind w:left="1945" w:hanging="360"/>
      </w:pPr>
      <w:rPr>
        <w:rFonts w:hint="default"/>
        <w:lang w:val="en-US" w:eastAsia="en-US" w:bidi="ar-SA"/>
      </w:rPr>
    </w:lvl>
    <w:lvl w:ilvl="8">
      <w:start w:val="0"/>
      <w:numFmt w:val="bullet"/>
      <w:lvlText w:val="•"/>
      <w:lvlJc w:val="left"/>
      <w:pPr>
        <w:ind w:left="2132" w:hanging="360"/>
      </w:pPr>
      <w:rPr>
        <w:rFonts w:hint="default"/>
        <w:lang w:val="en-US" w:eastAsia="en-US" w:bidi="ar-SA"/>
      </w:rPr>
    </w:lvl>
  </w:abstractNum>
  <w:abstractNum w:abstractNumId="75">
    <w:multiLevelType w:val="hybridMultilevel"/>
    <w:lvl w:ilvl="0">
      <w:start w:val="0"/>
      <w:numFmt w:val="bullet"/>
      <w:lvlText w:val=""/>
      <w:lvlJc w:val="left"/>
      <w:pPr>
        <w:ind w:left="613" w:hanging="360"/>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846" w:hanging="360"/>
      </w:pPr>
      <w:rPr>
        <w:rFonts w:hint="default"/>
        <w:lang w:val="en-US" w:eastAsia="en-US" w:bidi="ar-SA"/>
      </w:rPr>
    </w:lvl>
    <w:lvl w:ilvl="2">
      <w:start w:val="0"/>
      <w:numFmt w:val="bullet"/>
      <w:lvlText w:val="•"/>
      <w:lvlJc w:val="left"/>
      <w:pPr>
        <w:ind w:left="1073" w:hanging="360"/>
      </w:pPr>
      <w:rPr>
        <w:rFonts w:hint="default"/>
        <w:lang w:val="en-US" w:eastAsia="en-US" w:bidi="ar-SA"/>
      </w:rPr>
    </w:lvl>
    <w:lvl w:ilvl="3">
      <w:start w:val="0"/>
      <w:numFmt w:val="bullet"/>
      <w:lvlText w:val="•"/>
      <w:lvlJc w:val="left"/>
      <w:pPr>
        <w:ind w:left="1299" w:hanging="360"/>
      </w:pPr>
      <w:rPr>
        <w:rFonts w:hint="default"/>
        <w:lang w:val="en-US" w:eastAsia="en-US" w:bidi="ar-SA"/>
      </w:rPr>
    </w:lvl>
    <w:lvl w:ilvl="4">
      <w:start w:val="0"/>
      <w:numFmt w:val="bullet"/>
      <w:lvlText w:val="•"/>
      <w:lvlJc w:val="left"/>
      <w:pPr>
        <w:ind w:left="1526" w:hanging="360"/>
      </w:pPr>
      <w:rPr>
        <w:rFonts w:hint="default"/>
        <w:lang w:val="en-US" w:eastAsia="en-US" w:bidi="ar-SA"/>
      </w:rPr>
    </w:lvl>
    <w:lvl w:ilvl="5">
      <w:start w:val="0"/>
      <w:numFmt w:val="bullet"/>
      <w:lvlText w:val="•"/>
      <w:lvlJc w:val="left"/>
      <w:pPr>
        <w:ind w:left="1752" w:hanging="360"/>
      </w:pPr>
      <w:rPr>
        <w:rFonts w:hint="default"/>
        <w:lang w:val="en-US" w:eastAsia="en-US" w:bidi="ar-SA"/>
      </w:rPr>
    </w:lvl>
    <w:lvl w:ilvl="6">
      <w:start w:val="0"/>
      <w:numFmt w:val="bullet"/>
      <w:lvlText w:val="•"/>
      <w:lvlJc w:val="left"/>
      <w:pPr>
        <w:ind w:left="1979" w:hanging="360"/>
      </w:pPr>
      <w:rPr>
        <w:rFonts w:hint="default"/>
        <w:lang w:val="en-US" w:eastAsia="en-US" w:bidi="ar-SA"/>
      </w:rPr>
    </w:lvl>
    <w:lvl w:ilvl="7">
      <w:start w:val="0"/>
      <w:numFmt w:val="bullet"/>
      <w:lvlText w:val="•"/>
      <w:lvlJc w:val="left"/>
      <w:pPr>
        <w:ind w:left="2205" w:hanging="360"/>
      </w:pPr>
      <w:rPr>
        <w:rFonts w:hint="default"/>
        <w:lang w:val="en-US" w:eastAsia="en-US" w:bidi="ar-SA"/>
      </w:rPr>
    </w:lvl>
    <w:lvl w:ilvl="8">
      <w:start w:val="0"/>
      <w:numFmt w:val="bullet"/>
      <w:lvlText w:val="•"/>
      <w:lvlJc w:val="left"/>
      <w:pPr>
        <w:ind w:left="2432" w:hanging="360"/>
      </w:pPr>
      <w:rPr>
        <w:rFonts w:hint="default"/>
        <w:lang w:val="en-US" w:eastAsia="en-US" w:bidi="ar-SA"/>
      </w:rPr>
    </w:lvl>
  </w:abstractNum>
  <w:abstractNum w:abstractNumId="74">
    <w:multiLevelType w:val="hybridMultilevel"/>
    <w:lvl w:ilvl="0">
      <w:start w:val="0"/>
      <w:numFmt w:val="bullet"/>
      <w:lvlText w:val=""/>
      <w:lvlJc w:val="left"/>
      <w:pPr>
        <w:ind w:left="620" w:hanging="360"/>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827" w:hanging="360"/>
      </w:pPr>
      <w:rPr>
        <w:rFonts w:hint="default"/>
        <w:lang w:val="en-US" w:eastAsia="en-US" w:bidi="ar-SA"/>
      </w:rPr>
    </w:lvl>
    <w:lvl w:ilvl="2">
      <w:start w:val="0"/>
      <w:numFmt w:val="bullet"/>
      <w:lvlText w:val="•"/>
      <w:lvlJc w:val="left"/>
      <w:pPr>
        <w:ind w:left="1035" w:hanging="360"/>
      </w:pPr>
      <w:rPr>
        <w:rFonts w:hint="default"/>
        <w:lang w:val="en-US" w:eastAsia="en-US" w:bidi="ar-SA"/>
      </w:rPr>
    </w:lvl>
    <w:lvl w:ilvl="3">
      <w:start w:val="0"/>
      <w:numFmt w:val="bullet"/>
      <w:lvlText w:val="•"/>
      <w:lvlJc w:val="left"/>
      <w:pPr>
        <w:ind w:left="1242" w:hanging="360"/>
      </w:pPr>
      <w:rPr>
        <w:rFonts w:hint="default"/>
        <w:lang w:val="en-US" w:eastAsia="en-US" w:bidi="ar-SA"/>
      </w:rPr>
    </w:lvl>
    <w:lvl w:ilvl="4">
      <w:start w:val="0"/>
      <w:numFmt w:val="bullet"/>
      <w:lvlText w:val="•"/>
      <w:lvlJc w:val="left"/>
      <w:pPr>
        <w:ind w:left="1450" w:hanging="360"/>
      </w:pPr>
      <w:rPr>
        <w:rFonts w:hint="default"/>
        <w:lang w:val="en-US" w:eastAsia="en-US" w:bidi="ar-SA"/>
      </w:rPr>
    </w:lvl>
    <w:lvl w:ilvl="5">
      <w:start w:val="0"/>
      <w:numFmt w:val="bullet"/>
      <w:lvlText w:val="•"/>
      <w:lvlJc w:val="left"/>
      <w:pPr>
        <w:ind w:left="1658" w:hanging="360"/>
      </w:pPr>
      <w:rPr>
        <w:rFonts w:hint="default"/>
        <w:lang w:val="en-US" w:eastAsia="en-US" w:bidi="ar-SA"/>
      </w:rPr>
    </w:lvl>
    <w:lvl w:ilvl="6">
      <w:start w:val="0"/>
      <w:numFmt w:val="bullet"/>
      <w:lvlText w:val="•"/>
      <w:lvlJc w:val="left"/>
      <w:pPr>
        <w:ind w:left="1865" w:hanging="360"/>
      </w:pPr>
      <w:rPr>
        <w:rFonts w:hint="default"/>
        <w:lang w:val="en-US" w:eastAsia="en-US" w:bidi="ar-SA"/>
      </w:rPr>
    </w:lvl>
    <w:lvl w:ilvl="7">
      <w:start w:val="0"/>
      <w:numFmt w:val="bullet"/>
      <w:lvlText w:val="•"/>
      <w:lvlJc w:val="left"/>
      <w:pPr>
        <w:ind w:left="2073" w:hanging="360"/>
      </w:pPr>
      <w:rPr>
        <w:rFonts w:hint="default"/>
        <w:lang w:val="en-US" w:eastAsia="en-US" w:bidi="ar-SA"/>
      </w:rPr>
    </w:lvl>
    <w:lvl w:ilvl="8">
      <w:start w:val="0"/>
      <w:numFmt w:val="bullet"/>
      <w:lvlText w:val="•"/>
      <w:lvlJc w:val="left"/>
      <w:pPr>
        <w:ind w:left="2280" w:hanging="360"/>
      </w:pPr>
      <w:rPr>
        <w:rFonts w:hint="default"/>
        <w:lang w:val="en-US" w:eastAsia="en-US" w:bidi="ar-SA"/>
      </w:rPr>
    </w:lvl>
  </w:abstractNum>
  <w:abstractNum w:abstractNumId="73">
    <w:multiLevelType w:val="hybridMultilevel"/>
    <w:lvl w:ilvl="0">
      <w:start w:val="0"/>
      <w:numFmt w:val="bullet"/>
      <w:lvlText w:val=""/>
      <w:lvlJc w:val="left"/>
      <w:pPr>
        <w:ind w:left="633" w:hanging="360"/>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826" w:hanging="360"/>
      </w:pPr>
      <w:rPr>
        <w:rFonts w:hint="default"/>
        <w:lang w:val="en-US" w:eastAsia="en-US" w:bidi="ar-SA"/>
      </w:rPr>
    </w:lvl>
    <w:lvl w:ilvl="2">
      <w:start w:val="0"/>
      <w:numFmt w:val="bullet"/>
      <w:lvlText w:val="•"/>
      <w:lvlJc w:val="left"/>
      <w:pPr>
        <w:ind w:left="1013" w:hanging="360"/>
      </w:pPr>
      <w:rPr>
        <w:rFonts w:hint="default"/>
        <w:lang w:val="en-US" w:eastAsia="en-US" w:bidi="ar-SA"/>
      </w:rPr>
    </w:lvl>
    <w:lvl w:ilvl="3">
      <w:start w:val="0"/>
      <w:numFmt w:val="bullet"/>
      <w:lvlText w:val="•"/>
      <w:lvlJc w:val="left"/>
      <w:pPr>
        <w:ind w:left="1199" w:hanging="360"/>
      </w:pPr>
      <w:rPr>
        <w:rFonts w:hint="default"/>
        <w:lang w:val="en-US" w:eastAsia="en-US" w:bidi="ar-SA"/>
      </w:rPr>
    </w:lvl>
    <w:lvl w:ilvl="4">
      <w:start w:val="0"/>
      <w:numFmt w:val="bullet"/>
      <w:lvlText w:val="•"/>
      <w:lvlJc w:val="left"/>
      <w:pPr>
        <w:ind w:left="1386" w:hanging="360"/>
      </w:pPr>
      <w:rPr>
        <w:rFonts w:hint="default"/>
        <w:lang w:val="en-US" w:eastAsia="en-US" w:bidi="ar-SA"/>
      </w:rPr>
    </w:lvl>
    <w:lvl w:ilvl="5">
      <w:start w:val="0"/>
      <w:numFmt w:val="bullet"/>
      <w:lvlText w:val="•"/>
      <w:lvlJc w:val="left"/>
      <w:pPr>
        <w:ind w:left="1572" w:hanging="360"/>
      </w:pPr>
      <w:rPr>
        <w:rFonts w:hint="default"/>
        <w:lang w:val="en-US" w:eastAsia="en-US" w:bidi="ar-SA"/>
      </w:rPr>
    </w:lvl>
    <w:lvl w:ilvl="6">
      <w:start w:val="0"/>
      <w:numFmt w:val="bullet"/>
      <w:lvlText w:val="•"/>
      <w:lvlJc w:val="left"/>
      <w:pPr>
        <w:ind w:left="1759" w:hanging="360"/>
      </w:pPr>
      <w:rPr>
        <w:rFonts w:hint="default"/>
        <w:lang w:val="en-US" w:eastAsia="en-US" w:bidi="ar-SA"/>
      </w:rPr>
    </w:lvl>
    <w:lvl w:ilvl="7">
      <w:start w:val="0"/>
      <w:numFmt w:val="bullet"/>
      <w:lvlText w:val="•"/>
      <w:lvlJc w:val="left"/>
      <w:pPr>
        <w:ind w:left="1945" w:hanging="360"/>
      </w:pPr>
      <w:rPr>
        <w:rFonts w:hint="default"/>
        <w:lang w:val="en-US" w:eastAsia="en-US" w:bidi="ar-SA"/>
      </w:rPr>
    </w:lvl>
    <w:lvl w:ilvl="8">
      <w:start w:val="0"/>
      <w:numFmt w:val="bullet"/>
      <w:lvlText w:val="•"/>
      <w:lvlJc w:val="left"/>
      <w:pPr>
        <w:ind w:left="2132" w:hanging="360"/>
      </w:pPr>
      <w:rPr>
        <w:rFonts w:hint="default"/>
        <w:lang w:val="en-US" w:eastAsia="en-US" w:bidi="ar-SA"/>
      </w:rPr>
    </w:lvl>
  </w:abstractNum>
  <w:abstractNum w:abstractNumId="72">
    <w:multiLevelType w:val="hybridMultilevel"/>
    <w:lvl w:ilvl="0">
      <w:start w:val="0"/>
      <w:numFmt w:val="bullet"/>
      <w:lvlText w:val=""/>
      <w:lvlJc w:val="left"/>
      <w:pPr>
        <w:ind w:left="613" w:hanging="360"/>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846" w:hanging="360"/>
      </w:pPr>
      <w:rPr>
        <w:rFonts w:hint="default"/>
        <w:lang w:val="en-US" w:eastAsia="en-US" w:bidi="ar-SA"/>
      </w:rPr>
    </w:lvl>
    <w:lvl w:ilvl="2">
      <w:start w:val="0"/>
      <w:numFmt w:val="bullet"/>
      <w:lvlText w:val="•"/>
      <w:lvlJc w:val="left"/>
      <w:pPr>
        <w:ind w:left="1073" w:hanging="360"/>
      </w:pPr>
      <w:rPr>
        <w:rFonts w:hint="default"/>
        <w:lang w:val="en-US" w:eastAsia="en-US" w:bidi="ar-SA"/>
      </w:rPr>
    </w:lvl>
    <w:lvl w:ilvl="3">
      <w:start w:val="0"/>
      <w:numFmt w:val="bullet"/>
      <w:lvlText w:val="•"/>
      <w:lvlJc w:val="left"/>
      <w:pPr>
        <w:ind w:left="1299" w:hanging="360"/>
      </w:pPr>
      <w:rPr>
        <w:rFonts w:hint="default"/>
        <w:lang w:val="en-US" w:eastAsia="en-US" w:bidi="ar-SA"/>
      </w:rPr>
    </w:lvl>
    <w:lvl w:ilvl="4">
      <w:start w:val="0"/>
      <w:numFmt w:val="bullet"/>
      <w:lvlText w:val="•"/>
      <w:lvlJc w:val="left"/>
      <w:pPr>
        <w:ind w:left="1526" w:hanging="360"/>
      </w:pPr>
      <w:rPr>
        <w:rFonts w:hint="default"/>
        <w:lang w:val="en-US" w:eastAsia="en-US" w:bidi="ar-SA"/>
      </w:rPr>
    </w:lvl>
    <w:lvl w:ilvl="5">
      <w:start w:val="0"/>
      <w:numFmt w:val="bullet"/>
      <w:lvlText w:val="•"/>
      <w:lvlJc w:val="left"/>
      <w:pPr>
        <w:ind w:left="1752" w:hanging="360"/>
      </w:pPr>
      <w:rPr>
        <w:rFonts w:hint="default"/>
        <w:lang w:val="en-US" w:eastAsia="en-US" w:bidi="ar-SA"/>
      </w:rPr>
    </w:lvl>
    <w:lvl w:ilvl="6">
      <w:start w:val="0"/>
      <w:numFmt w:val="bullet"/>
      <w:lvlText w:val="•"/>
      <w:lvlJc w:val="left"/>
      <w:pPr>
        <w:ind w:left="1979" w:hanging="360"/>
      </w:pPr>
      <w:rPr>
        <w:rFonts w:hint="default"/>
        <w:lang w:val="en-US" w:eastAsia="en-US" w:bidi="ar-SA"/>
      </w:rPr>
    </w:lvl>
    <w:lvl w:ilvl="7">
      <w:start w:val="0"/>
      <w:numFmt w:val="bullet"/>
      <w:lvlText w:val="•"/>
      <w:lvlJc w:val="left"/>
      <w:pPr>
        <w:ind w:left="2205" w:hanging="360"/>
      </w:pPr>
      <w:rPr>
        <w:rFonts w:hint="default"/>
        <w:lang w:val="en-US" w:eastAsia="en-US" w:bidi="ar-SA"/>
      </w:rPr>
    </w:lvl>
    <w:lvl w:ilvl="8">
      <w:start w:val="0"/>
      <w:numFmt w:val="bullet"/>
      <w:lvlText w:val="•"/>
      <w:lvlJc w:val="left"/>
      <w:pPr>
        <w:ind w:left="2432" w:hanging="360"/>
      </w:pPr>
      <w:rPr>
        <w:rFonts w:hint="default"/>
        <w:lang w:val="en-US" w:eastAsia="en-US" w:bidi="ar-SA"/>
      </w:rPr>
    </w:lvl>
  </w:abstractNum>
  <w:abstractNum w:abstractNumId="71">
    <w:multiLevelType w:val="hybridMultilevel"/>
    <w:lvl w:ilvl="0">
      <w:start w:val="0"/>
      <w:numFmt w:val="bullet"/>
      <w:lvlText w:val=""/>
      <w:lvlJc w:val="left"/>
      <w:pPr>
        <w:ind w:left="617" w:hanging="360"/>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827" w:hanging="360"/>
      </w:pPr>
      <w:rPr>
        <w:rFonts w:hint="default"/>
        <w:lang w:val="en-US" w:eastAsia="en-US" w:bidi="ar-SA"/>
      </w:rPr>
    </w:lvl>
    <w:lvl w:ilvl="2">
      <w:start w:val="0"/>
      <w:numFmt w:val="bullet"/>
      <w:lvlText w:val="•"/>
      <w:lvlJc w:val="left"/>
      <w:pPr>
        <w:ind w:left="1034" w:hanging="360"/>
      </w:pPr>
      <w:rPr>
        <w:rFonts w:hint="default"/>
        <w:lang w:val="en-US" w:eastAsia="en-US" w:bidi="ar-SA"/>
      </w:rPr>
    </w:lvl>
    <w:lvl w:ilvl="3">
      <w:start w:val="0"/>
      <w:numFmt w:val="bullet"/>
      <w:lvlText w:val="•"/>
      <w:lvlJc w:val="left"/>
      <w:pPr>
        <w:ind w:left="1241" w:hanging="360"/>
      </w:pPr>
      <w:rPr>
        <w:rFonts w:hint="default"/>
        <w:lang w:val="en-US" w:eastAsia="en-US" w:bidi="ar-SA"/>
      </w:rPr>
    </w:lvl>
    <w:lvl w:ilvl="4">
      <w:start w:val="0"/>
      <w:numFmt w:val="bullet"/>
      <w:lvlText w:val="•"/>
      <w:lvlJc w:val="left"/>
      <w:pPr>
        <w:ind w:left="1448" w:hanging="360"/>
      </w:pPr>
      <w:rPr>
        <w:rFonts w:hint="default"/>
        <w:lang w:val="en-US" w:eastAsia="en-US" w:bidi="ar-SA"/>
      </w:rPr>
    </w:lvl>
    <w:lvl w:ilvl="5">
      <w:start w:val="0"/>
      <w:numFmt w:val="bullet"/>
      <w:lvlText w:val="•"/>
      <w:lvlJc w:val="left"/>
      <w:pPr>
        <w:ind w:left="1655" w:hanging="360"/>
      </w:pPr>
      <w:rPr>
        <w:rFonts w:hint="default"/>
        <w:lang w:val="en-US" w:eastAsia="en-US" w:bidi="ar-SA"/>
      </w:rPr>
    </w:lvl>
    <w:lvl w:ilvl="6">
      <w:start w:val="0"/>
      <w:numFmt w:val="bullet"/>
      <w:lvlText w:val="•"/>
      <w:lvlJc w:val="left"/>
      <w:pPr>
        <w:ind w:left="1862" w:hanging="360"/>
      </w:pPr>
      <w:rPr>
        <w:rFonts w:hint="default"/>
        <w:lang w:val="en-US" w:eastAsia="en-US" w:bidi="ar-SA"/>
      </w:rPr>
    </w:lvl>
    <w:lvl w:ilvl="7">
      <w:start w:val="0"/>
      <w:numFmt w:val="bullet"/>
      <w:lvlText w:val="•"/>
      <w:lvlJc w:val="left"/>
      <w:pPr>
        <w:ind w:left="2069" w:hanging="360"/>
      </w:pPr>
      <w:rPr>
        <w:rFonts w:hint="default"/>
        <w:lang w:val="en-US" w:eastAsia="en-US" w:bidi="ar-SA"/>
      </w:rPr>
    </w:lvl>
    <w:lvl w:ilvl="8">
      <w:start w:val="0"/>
      <w:numFmt w:val="bullet"/>
      <w:lvlText w:val="•"/>
      <w:lvlJc w:val="left"/>
      <w:pPr>
        <w:ind w:left="2276" w:hanging="360"/>
      </w:pPr>
      <w:rPr>
        <w:rFonts w:hint="default"/>
        <w:lang w:val="en-US" w:eastAsia="en-US" w:bidi="ar-SA"/>
      </w:rPr>
    </w:lvl>
  </w:abstractNum>
  <w:abstractNum w:abstractNumId="70">
    <w:multiLevelType w:val="hybridMultilevel"/>
    <w:lvl w:ilvl="0">
      <w:start w:val="0"/>
      <w:numFmt w:val="bullet"/>
      <w:lvlText w:val=""/>
      <w:lvlJc w:val="left"/>
      <w:pPr>
        <w:ind w:left="651" w:hanging="360"/>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846" w:hanging="360"/>
      </w:pPr>
      <w:rPr>
        <w:rFonts w:hint="default"/>
        <w:lang w:val="en-US" w:eastAsia="en-US" w:bidi="ar-SA"/>
      </w:rPr>
    </w:lvl>
    <w:lvl w:ilvl="2">
      <w:start w:val="0"/>
      <w:numFmt w:val="bullet"/>
      <w:lvlText w:val="•"/>
      <w:lvlJc w:val="left"/>
      <w:pPr>
        <w:ind w:left="1033" w:hanging="360"/>
      </w:pPr>
      <w:rPr>
        <w:rFonts w:hint="default"/>
        <w:lang w:val="en-US" w:eastAsia="en-US" w:bidi="ar-SA"/>
      </w:rPr>
    </w:lvl>
    <w:lvl w:ilvl="3">
      <w:start w:val="0"/>
      <w:numFmt w:val="bullet"/>
      <w:lvlText w:val="•"/>
      <w:lvlJc w:val="left"/>
      <w:pPr>
        <w:ind w:left="1219" w:hanging="360"/>
      </w:pPr>
      <w:rPr>
        <w:rFonts w:hint="default"/>
        <w:lang w:val="en-US" w:eastAsia="en-US" w:bidi="ar-SA"/>
      </w:rPr>
    </w:lvl>
    <w:lvl w:ilvl="4">
      <w:start w:val="0"/>
      <w:numFmt w:val="bullet"/>
      <w:lvlText w:val="•"/>
      <w:lvlJc w:val="left"/>
      <w:pPr>
        <w:ind w:left="1406" w:hanging="360"/>
      </w:pPr>
      <w:rPr>
        <w:rFonts w:hint="default"/>
        <w:lang w:val="en-US" w:eastAsia="en-US" w:bidi="ar-SA"/>
      </w:rPr>
    </w:lvl>
    <w:lvl w:ilvl="5">
      <w:start w:val="0"/>
      <w:numFmt w:val="bullet"/>
      <w:lvlText w:val="•"/>
      <w:lvlJc w:val="left"/>
      <w:pPr>
        <w:ind w:left="1593" w:hanging="360"/>
      </w:pPr>
      <w:rPr>
        <w:rFonts w:hint="default"/>
        <w:lang w:val="en-US" w:eastAsia="en-US" w:bidi="ar-SA"/>
      </w:rPr>
    </w:lvl>
    <w:lvl w:ilvl="6">
      <w:start w:val="0"/>
      <w:numFmt w:val="bullet"/>
      <w:lvlText w:val="•"/>
      <w:lvlJc w:val="left"/>
      <w:pPr>
        <w:ind w:left="1779" w:hanging="360"/>
      </w:pPr>
      <w:rPr>
        <w:rFonts w:hint="default"/>
        <w:lang w:val="en-US" w:eastAsia="en-US" w:bidi="ar-SA"/>
      </w:rPr>
    </w:lvl>
    <w:lvl w:ilvl="7">
      <w:start w:val="0"/>
      <w:numFmt w:val="bullet"/>
      <w:lvlText w:val="•"/>
      <w:lvlJc w:val="left"/>
      <w:pPr>
        <w:ind w:left="1966" w:hanging="360"/>
      </w:pPr>
      <w:rPr>
        <w:rFonts w:hint="default"/>
        <w:lang w:val="en-US" w:eastAsia="en-US" w:bidi="ar-SA"/>
      </w:rPr>
    </w:lvl>
    <w:lvl w:ilvl="8">
      <w:start w:val="0"/>
      <w:numFmt w:val="bullet"/>
      <w:lvlText w:val="•"/>
      <w:lvlJc w:val="left"/>
      <w:pPr>
        <w:ind w:left="2152" w:hanging="360"/>
      </w:pPr>
      <w:rPr>
        <w:rFonts w:hint="default"/>
        <w:lang w:val="en-US" w:eastAsia="en-US" w:bidi="ar-SA"/>
      </w:rPr>
    </w:lvl>
  </w:abstractNum>
  <w:abstractNum w:abstractNumId="69">
    <w:multiLevelType w:val="hybridMultilevel"/>
    <w:lvl w:ilvl="0">
      <w:start w:val="0"/>
      <w:numFmt w:val="bullet"/>
      <w:lvlText w:val=""/>
      <w:lvlJc w:val="left"/>
      <w:pPr>
        <w:ind w:left="633" w:hanging="360"/>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864" w:hanging="360"/>
      </w:pPr>
      <w:rPr>
        <w:rFonts w:hint="default"/>
        <w:lang w:val="en-US" w:eastAsia="en-US" w:bidi="ar-SA"/>
      </w:rPr>
    </w:lvl>
    <w:lvl w:ilvl="2">
      <w:start w:val="0"/>
      <w:numFmt w:val="bullet"/>
      <w:lvlText w:val="•"/>
      <w:lvlJc w:val="left"/>
      <w:pPr>
        <w:ind w:left="1089" w:hanging="360"/>
      </w:pPr>
      <w:rPr>
        <w:rFonts w:hint="default"/>
        <w:lang w:val="en-US" w:eastAsia="en-US" w:bidi="ar-SA"/>
      </w:rPr>
    </w:lvl>
    <w:lvl w:ilvl="3">
      <w:start w:val="0"/>
      <w:numFmt w:val="bullet"/>
      <w:lvlText w:val="•"/>
      <w:lvlJc w:val="left"/>
      <w:pPr>
        <w:ind w:left="1314" w:hanging="360"/>
      </w:pPr>
      <w:rPr>
        <w:rFonts w:hint="default"/>
        <w:lang w:val="en-US" w:eastAsia="en-US" w:bidi="ar-SA"/>
      </w:rPr>
    </w:lvl>
    <w:lvl w:ilvl="4">
      <w:start w:val="0"/>
      <w:numFmt w:val="bullet"/>
      <w:lvlText w:val="•"/>
      <w:lvlJc w:val="left"/>
      <w:pPr>
        <w:ind w:left="1538" w:hanging="360"/>
      </w:pPr>
      <w:rPr>
        <w:rFonts w:hint="default"/>
        <w:lang w:val="en-US" w:eastAsia="en-US" w:bidi="ar-SA"/>
      </w:rPr>
    </w:lvl>
    <w:lvl w:ilvl="5">
      <w:start w:val="0"/>
      <w:numFmt w:val="bullet"/>
      <w:lvlText w:val="•"/>
      <w:lvlJc w:val="left"/>
      <w:pPr>
        <w:ind w:left="1763" w:hanging="360"/>
      </w:pPr>
      <w:rPr>
        <w:rFonts w:hint="default"/>
        <w:lang w:val="en-US" w:eastAsia="en-US" w:bidi="ar-SA"/>
      </w:rPr>
    </w:lvl>
    <w:lvl w:ilvl="6">
      <w:start w:val="0"/>
      <w:numFmt w:val="bullet"/>
      <w:lvlText w:val="•"/>
      <w:lvlJc w:val="left"/>
      <w:pPr>
        <w:ind w:left="1988" w:hanging="360"/>
      </w:pPr>
      <w:rPr>
        <w:rFonts w:hint="default"/>
        <w:lang w:val="en-US" w:eastAsia="en-US" w:bidi="ar-SA"/>
      </w:rPr>
    </w:lvl>
    <w:lvl w:ilvl="7">
      <w:start w:val="0"/>
      <w:numFmt w:val="bullet"/>
      <w:lvlText w:val="•"/>
      <w:lvlJc w:val="left"/>
      <w:pPr>
        <w:ind w:left="2212" w:hanging="360"/>
      </w:pPr>
      <w:rPr>
        <w:rFonts w:hint="default"/>
        <w:lang w:val="en-US" w:eastAsia="en-US" w:bidi="ar-SA"/>
      </w:rPr>
    </w:lvl>
    <w:lvl w:ilvl="8">
      <w:start w:val="0"/>
      <w:numFmt w:val="bullet"/>
      <w:lvlText w:val="•"/>
      <w:lvlJc w:val="left"/>
      <w:pPr>
        <w:ind w:left="2437" w:hanging="360"/>
      </w:pPr>
      <w:rPr>
        <w:rFonts w:hint="default"/>
        <w:lang w:val="en-US" w:eastAsia="en-US" w:bidi="ar-SA"/>
      </w:rPr>
    </w:lvl>
  </w:abstractNum>
  <w:abstractNum w:abstractNumId="68">
    <w:multiLevelType w:val="hybridMultilevel"/>
    <w:lvl w:ilvl="0">
      <w:start w:val="0"/>
      <w:numFmt w:val="bullet"/>
      <w:lvlText w:val=""/>
      <w:lvlJc w:val="left"/>
      <w:pPr>
        <w:ind w:left="617" w:hanging="360"/>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827" w:hanging="360"/>
      </w:pPr>
      <w:rPr>
        <w:rFonts w:hint="default"/>
        <w:lang w:val="en-US" w:eastAsia="en-US" w:bidi="ar-SA"/>
      </w:rPr>
    </w:lvl>
    <w:lvl w:ilvl="2">
      <w:start w:val="0"/>
      <w:numFmt w:val="bullet"/>
      <w:lvlText w:val="•"/>
      <w:lvlJc w:val="left"/>
      <w:pPr>
        <w:ind w:left="1034" w:hanging="360"/>
      </w:pPr>
      <w:rPr>
        <w:rFonts w:hint="default"/>
        <w:lang w:val="en-US" w:eastAsia="en-US" w:bidi="ar-SA"/>
      </w:rPr>
    </w:lvl>
    <w:lvl w:ilvl="3">
      <w:start w:val="0"/>
      <w:numFmt w:val="bullet"/>
      <w:lvlText w:val="•"/>
      <w:lvlJc w:val="left"/>
      <w:pPr>
        <w:ind w:left="1241" w:hanging="360"/>
      </w:pPr>
      <w:rPr>
        <w:rFonts w:hint="default"/>
        <w:lang w:val="en-US" w:eastAsia="en-US" w:bidi="ar-SA"/>
      </w:rPr>
    </w:lvl>
    <w:lvl w:ilvl="4">
      <w:start w:val="0"/>
      <w:numFmt w:val="bullet"/>
      <w:lvlText w:val="•"/>
      <w:lvlJc w:val="left"/>
      <w:pPr>
        <w:ind w:left="1448" w:hanging="360"/>
      </w:pPr>
      <w:rPr>
        <w:rFonts w:hint="default"/>
        <w:lang w:val="en-US" w:eastAsia="en-US" w:bidi="ar-SA"/>
      </w:rPr>
    </w:lvl>
    <w:lvl w:ilvl="5">
      <w:start w:val="0"/>
      <w:numFmt w:val="bullet"/>
      <w:lvlText w:val="•"/>
      <w:lvlJc w:val="left"/>
      <w:pPr>
        <w:ind w:left="1655" w:hanging="360"/>
      </w:pPr>
      <w:rPr>
        <w:rFonts w:hint="default"/>
        <w:lang w:val="en-US" w:eastAsia="en-US" w:bidi="ar-SA"/>
      </w:rPr>
    </w:lvl>
    <w:lvl w:ilvl="6">
      <w:start w:val="0"/>
      <w:numFmt w:val="bullet"/>
      <w:lvlText w:val="•"/>
      <w:lvlJc w:val="left"/>
      <w:pPr>
        <w:ind w:left="1862" w:hanging="360"/>
      </w:pPr>
      <w:rPr>
        <w:rFonts w:hint="default"/>
        <w:lang w:val="en-US" w:eastAsia="en-US" w:bidi="ar-SA"/>
      </w:rPr>
    </w:lvl>
    <w:lvl w:ilvl="7">
      <w:start w:val="0"/>
      <w:numFmt w:val="bullet"/>
      <w:lvlText w:val="•"/>
      <w:lvlJc w:val="left"/>
      <w:pPr>
        <w:ind w:left="2069" w:hanging="360"/>
      </w:pPr>
      <w:rPr>
        <w:rFonts w:hint="default"/>
        <w:lang w:val="en-US" w:eastAsia="en-US" w:bidi="ar-SA"/>
      </w:rPr>
    </w:lvl>
    <w:lvl w:ilvl="8">
      <w:start w:val="0"/>
      <w:numFmt w:val="bullet"/>
      <w:lvlText w:val="•"/>
      <w:lvlJc w:val="left"/>
      <w:pPr>
        <w:ind w:left="2276" w:hanging="360"/>
      </w:pPr>
      <w:rPr>
        <w:rFonts w:hint="default"/>
        <w:lang w:val="en-US" w:eastAsia="en-US" w:bidi="ar-SA"/>
      </w:rPr>
    </w:lvl>
  </w:abstractNum>
  <w:abstractNum w:abstractNumId="67">
    <w:multiLevelType w:val="hybridMultilevel"/>
    <w:lvl w:ilvl="0">
      <w:start w:val="0"/>
      <w:numFmt w:val="bullet"/>
      <w:lvlText w:val=""/>
      <w:lvlJc w:val="left"/>
      <w:pPr>
        <w:ind w:left="651" w:hanging="360"/>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846" w:hanging="360"/>
      </w:pPr>
      <w:rPr>
        <w:rFonts w:hint="default"/>
        <w:lang w:val="en-US" w:eastAsia="en-US" w:bidi="ar-SA"/>
      </w:rPr>
    </w:lvl>
    <w:lvl w:ilvl="2">
      <w:start w:val="0"/>
      <w:numFmt w:val="bullet"/>
      <w:lvlText w:val="•"/>
      <w:lvlJc w:val="left"/>
      <w:pPr>
        <w:ind w:left="1033" w:hanging="360"/>
      </w:pPr>
      <w:rPr>
        <w:rFonts w:hint="default"/>
        <w:lang w:val="en-US" w:eastAsia="en-US" w:bidi="ar-SA"/>
      </w:rPr>
    </w:lvl>
    <w:lvl w:ilvl="3">
      <w:start w:val="0"/>
      <w:numFmt w:val="bullet"/>
      <w:lvlText w:val="•"/>
      <w:lvlJc w:val="left"/>
      <w:pPr>
        <w:ind w:left="1219" w:hanging="360"/>
      </w:pPr>
      <w:rPr>
        <w:rFonts w:hint="default"/>
        <w:lang w:val="en-US" w:eastAsia="en-US" w:bidi="ar-SA"/>
      </w:rPr>
    </w:lvl>
    <w:lvl w:ilvl="4">
      <w:start w:val="0"/>
      <w:numFmt w:val="bullet"/>
      <w:lvlText w:val="•"/>
      <w:lvlJc w:val="left"/>
      <w:pPr>
        <w:ind w:left="1406" w:hanging="360"/>
      </w:pPr>
      <w:rPr>
        <w:rFonts w:hint="default"/>
        <w:lang w:val="en-US" w:eastAsia="en-US" w:bidi="ar-SA"/>
      </w:rPr>
    </w:lvl>
    <w:lvl w:ilvl="5">
      <w:start w:val="0"/>
      <w:numFmt w:val="bullet"/>
      <w:lvlText w:val="•"/>
      <w:lvlJc w:val="left"/>
      <w:pPr>
        <w:ind w:left="1593" w:hanging="360"/>
      </w:pPr>
      <w:rPr>
        <w:rFonts w:hint="default"/>
        <w:lang w:val="en-US" w:eastAsia="en-US" w:bidi="ar-SA"/>
      </w:rPr>
    </w:lvl>
    <w:lvl w:ilvl="6">
      <w:start w:val="0"/>
      <w:numFmt w:val="bullet"/>
      <w:lvlText w:val="•"/>
      <w:lvlJc w:val="left"/>
      <w:pPr>
        <w:ind w:left="1779" w:hanging="360"/>
      </w:pPr>
      <w:rPr>
        <w:rFonts w:hint="default"/>
        <w:lang w:val="en-US" w:eastAsia="en-US" w:bidi="ar-SA"/>
      </w:rPr>
    </w:lvl>
    <w:lvl w:ilvl="7">
      <w:start w:val="0"/>
      <w:numFmt w:val="bullet"/>
      <w:lvlText w:val="•"/>
      <w:lvlJc w:val="left"/>
      <w:pPr>
        <w:ind w:left="1966" w:hanging="360"/>
      </w:pPr>
      <w:rPr>
        <w:rFonts w:hint="default"/>
        <w:lang w:val="en-US" w:eastAsia="en-US" w:bidi="ar-SA"/>
      </w:rPr>
    </w:lvl>
    <w:lvl w:ilvl="8">
      <w:start w:val="0"/>
      <w:numFmt w:val="bullet"/>
      <w:lvlText w:val="•"/>
      <w:lvlJc w:val="left"/>
      <w:pPr>
        <w:ind w:left="2152" w:hanging="360"/>
      </w:pPr>
      <w:rPr>
        <w:rFonts w:hint="default"/>
        <w:lang w:val="en-US" w:eastAsia="en-US" w:bidi="ar-SA"/>
      </w:rPr>
    </w:lvl>
  </w:abstractNum>
  <w:abstractNum w:abstractNumId="66">
    <w:multiLevelType w:val="hybridMultilevel"/>
    <w:lvl w:ilvl="0">
      <w:start w:val="0"/>
      <w:numFmt w:val="bullet"/>
      <w:lvlText w:val=""/>
      <w:lvlJc w:val="left"/>
      <w:pPr>
        <w:ind w:left="633" w:hanging="360"/>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864" w:hanging="360"/>
      </w:pPr>
      <w:rPr>
        <w:rFonts w:hint="default"/>
        <w:lang w:val="en-US" w:eastAsia="en-US" w:bidi="ar-SA"/>
      </w:rPr>
    </w:lvl>
    <w:lvl w:ilvl="2">
      <w:start w:val="0"/>
      <w:numFmt w:val="bullet"/>
      <w:lvlText w:val="•"/>
      <w:lvlJc w:val="left"/>
      <w:pPr>
        <w:ind w:left="1089" w:hanging="360"/>
      </w:pPr>
      <w:rPr>
        <w:rFonts w:hint="default"/>
        <w:lang w:val="en-US" w:eastAsia="en-US" w:bidi="ar-SA"/>
      </w:rPr>
    </w:lvl>
    <w:lvl w:ilvl="3">
      <w:start w:val="0"/>
      <w:numFmt w:val="bullet"/>
      <w:lvlText w:val="•"/>
      <w:lvlJc w:val="left"/>
      <w:pPr>
        <w:ind w:left="1314" w:hanging="360"/>
      </w:pPr>
      <w:rPr>
        <w:rFonts w:hint="default"/>
        <w:lang w:val="en-US" w:eastAsia="en-US" w:bidi="ar-SA"/>
      </w:rPr>
    </w:lvl>
    <w:lvl w:ilvl="4">
      <w:start w:val="0"/>
      <w:numFmt w:val="bullet"/>
      <w:lvlText w:val="•"/>
      <w:lvlJc w:val="left"/>
      <w:pPr>
        <w:ind w:left="1538" w:hanging="360"/>
      </w:pPr>
      <w:rPr>
        <w:rFonts w:hint="default"/>
        <w:lang w:val="en-US" w:eastAsia="en-US" w:bidi="ar-SA"/>
      </w:rPr>
    </w:lvl>
    <w:lvl w:ilvl="5">
      <w:start w:val="0"/>
      <w:numFmt w:val="bullet"/>
      <w:lvlText w:val="•"/>
      <w:lvlJc w:val="left"/>
      <w:pPr>
        <w:ind w:left="1763" w:hanging="360"/>
      </w:pPr>
      <w:rPr>
        <w:rFonts w:hint="default"/>
        <w:lang w:val="en-US" w:eastAsia="en-US" w:bidi="ar-SA"/>
      </w:rPr>
    </w:lvl>
    <w:lvl w:ilvl="6">
      <w:start w:val="0"/>
      <w:numFmt w:val="bullet"/>
      <w:lvlText w:val="•"/>
      <w:lvlJc w:val="left"/>
      <w:pPr>
        <w:ind w:left="1988" w:hanging="360"/>
      </w:pPr>
      <w:rPr>
        <w:rFonts w:hint="default"/>
        <w:lang w:val="en-US" w:eastAsia="en-US" w:bidi="ar-SA"/>
      </w:rPr>
    </w:lvl>
    <w:lvl w:ilvl="7">
      <w:start w:val="0"/>
      <w:numFmt w:val="bullet"/>
      <w:lvlText w:val="•"/>
      <w:lvlJc w:val="left"/>
      <w:pPr>
        <w:ind w:left="2212" w:hanging="360"/>
      </w:pPr>
      <w:rPr>
        <w:rFonts w:hint="default"/>
        <w:lang w:val="en-US" w:eastAsia="en-US" w:bidi="ar-SA"/>
      </w:rPr>
    </w:lvl>
    <w:lvl w:ilvl="8">
      <w:start w:val="0"/>
      <w:numFmt w:val="bullet"/>
      <w:lvlText w:val="•"/>
      <w:lvlJc w:val="left"/>
      <w:pPr>
        <w:ind w:left="2437" w:hanging="360"/>
      </w:pPr>
      <w:rPr>
        <w:rFonts w:hint="default"/>
        <w:lang w:val="en-US" w:eastAsia="en-US" w:bidi="ar-SA"/>
      </w:rPr>
    </w:lvl>
  </w:abstractNum>
  <w:abstractNum w:abstractNumId="65">
    <w:multiLevelType w:val="hybridMultilevel"/>
    <w:lvl w:ilvl="0">
      <w:start w:val="0"/>
      <w:numFmt w:val="bullet"/>
      <w:lvlText w:val=""/>
      <w:lvlJc w:val="left"/>
      <w:pPr>
        <w:ind w:left="617" w:hanging="360"/>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827" w:hanging="360"/>
      </w:pPr>
      <w:rPr>
        <w:rFonts w:hint="default"/>
        <w:lang w:val="en-US" w:eastAsia="en-US" w:bidi="ar-SA"/>
      </w:rPr>
    </w:lvl>
    <w:lvl w:ilvl="2">
      <w:start w:val="0"/>
      <w:numFmt w:val="bullet"/>
      <w:lvlText w:val="•"/>
      <w:lvlJc w:val="left"/>
      <w:pPr>
        <w:ind w:left="1034" w:hanging="360"/>
      </w:pPr>
      <w:rPr>
        <w:rFonts w:hint="default"/>
        <w:lang w:val="en-US" w:eastAsia="en-US" w:bidi="ar-SA"/>
      </w:rPr>
    </w:lvl>
    <w:lvl w:ilvl="3">
      <w:start w:val="0"/>
      <w:numFmt w:val="bullet"/>
      <w:lvlText w:val="•"/>
      <w:lvlJc w:val="left"/>
      <w:pPr>
        <w:ind w:left="1241" w:hanging="360"/>
      </w:pPr>
      <w:rPr>
        <w:rFonts w:hint="default"/>
        <w:lang w:val="en-US" w:eastAsia="en-US" w:bidi="ar-SA"/>
      </w:rPr>
    </w:lvl>
    <w:lvl w:ilvl="4">
      <w:start w:val="0"/>
      <w:numFmt w:val="bullet"/>
      <w:lvlText w:val="•"/>
      <w:lvlJc w:val="left"/>
      <w:pPr>
        <w:ind w:left="1448" w:hanging="360"/>
      </w:pPr>
      <w:rPr>
        <w:rFonts w:hint="default"/>
        <w:lang w:val="en-US" w:eastAsia="en-US" w:bidi="ar-SA"/>
      </w:rPr>
    </w:lvl>
    <w:lvl w:ilvl="5">
      <w:start w:val="0"/>
      <w:numFmt w:val="bullet"/>
      <w:lvlText w:val="•"/>
      <w:lvlJc w:val="left"/>
      <w:pPr>
        <w:ind w:left="1655" w:hanging="360"/>
      </w:pPr>
      <w:rPr>
        <w:rFonts w:hint="default"/>
        <w:lang w:val="en-US" w:eastAsia="en-US" w:bidi="ar-SA"/>
      </w:rPr>
    </w:lvl>
    <w:lvl w:ilvl="6">
      <w:start w:val="0"/>
      <w:numFmt w:val="bullet"/>
      <w:lvlText w:val="•"/>
      <w:lvlJc w:val="left"/>
      <w:pPr>
        <w:ind w:left="1862" w:hanging="360"/>
      </w:pPr>
      <w:rPr>
        <w:rFonts w:hint="default"/>
        <w:lang w:val="en-US" w:eastAsia="en-US" w:bidi="ar-SA"/>
      </w:rPr>
    </w:lvl>
    <w:lvl w:ilvl="7">
      <w:start w:val="0"/>
      <w:numFmt w:val="bullet"/>
      <w:lvlText w:val="•"/>
      <w:lvlJc w:val="left"/>
      <w:pPr>
        <w:ind w:left="2069" w:hanging="360"/>
      </w:pPr>
      <w:rPr>
        <w:rFonts w:hint="default"/>
        <w:lang w:val="en-US" w:eastAsia="en-US" w:bidi="ar-SA"/>
      </w:rPr>
    </w:lvl>
    <w:lvl w:ilvl="8">
      <w:start w:val="0"/>
      <w:numFmt w:val="bullet"/>
      <w:lvlText w:val="•"/>
      <w:lvlJc w:val="left"/>
      <w:pPr>
        <w:ind w:left="2276" w:hanging="360"/>
      </w:pPr>
      <w:rPr>
        <w:rFonts w:hint="default"/>
        <w:lang w:val="en-US" w:eastAsia="en-US" w:bidi="ar-SA"/>
      </w:rPr>
    </w:lvl>
  </w:abstractNum>
  <w:abstractNum w:abstractNumId="64">
    <w:multiLevelType w:val="hybridMultilevel"/>
    <w:lvl w:ilvl="0">
      <w:start w:val="0"/>
      <w:numFmt w:val="bullet"/>
      <w:lvlText w:val=""/>
      <w:lvlJc w:val="left"/>
      <w:pPr>
        <w:ind w:left="651" w:hanging="360"/>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846" w:hanging="360"/>
      </w:pPr>
      <w:rPr>
        <w:rFonts w:hint="default"/>
        <w:lang w:val="en-US" w:eastAsia="en-US" w:bidi="ar-SA"/>
      </w:rPr>
    </w:lvl>
    <w:lvl w:ilvl="2">
      <w:start w:val="0"/>
      <w:numFmt w:val="bullet"/>
      <w:lvlText w:val="•"/>
      <w:lvlJc w:val="left"/>
      <w:pPr>
        <w:ind w:left="1033" w:hanging="360"/>
      </w:pPr>
      <w:rPr>
        <w:rFonts w:hint="default"/>
        <w:lang w:val="en-US" w:eastAsia="en-US" w:bidi="ar-SA"/>
      </w:rPr>
    </w:lvl>
    <w:lvl w:ilvl="3">
      <w:start w:val="0"/>
      <w:numFmt w:val="bullet"/>
      <w:lvlText w:val="•"/>
      <w:lvlJc w:val="left"/>
      <w:pPr>
        <w:ind w:left="1219" w:hanging="360"/>
      </w:pPr>
      <w:rPr>
        <w:rFonts w:hint="default"/>
        <w:lang w:val="en-US" w:eastAsia="en-US" w:bidi="ar-SA"/>
      </w:rPr>
    </w:lvl>
    <w:lvl w:ilvl="4">
      <w:start w:val="0"/>
      <w:numFmt w:val="bullet"/>
      <w:lvlText w:val="•"/>
      <w:lvlJc w:val="left"/>
      <w:pPr>
        <w:ind w:left="1406" w:hanging="360"/>
      </w:pPr>
      <w:rPr>
        <w:rFonts w:hint="default"/>
        <w:lang w:val="en-US" w:eastAsia="en-US" w:bidi="ar-SA"/>
      </w:rPr>
    </w:lvl>
    <w:lvl w:ilvl="5">
      <w:start w:val="0"/>
      <w:numFmt w:val="bullet"/>
      <w:lvlText w:val="•"/>
      <w:lvlJc w:val="left"/>
      <w:pPr>
        <w:ind w:left="1593" w:hanging="360"/>
      </w:pPr>
      <w:rPr>
        <w:rFonts w:hint="default"/>
        <w:lang w:val="en-US" w:eastAsia="en-US" w:bidi="ar-SA"/>
      </w:rPr>
    </w:lvl>
    <w:lvl w:ilvl="6">
      <w:start w:val="0"/>
      <w:numFmt w:val="bullet"/>
      <w:lvlText w:val="•"/>
      <w:lvlJc w:val="left"/>
      <w:pPr>
        <w:ind w:left="1779" w:hanging="360"/>
      </w:pPr>
      <w:rPr>
        <w:rFonts w:hint="default"/>
        <w:lang w:val="en-US" w:eastAsia="en-US" w:bidi="ar-SA"/>
      </w:rPr>
    </w:lvl>
    <w:lvl w:ilvl="7">
      <w:start w:val="0"/>
      <w:numFmt w:val="bullet"/>
      <w:lvlText w:val="•"/>
      <w:lvlJc w:val="left"/>
      <w:pPr>
        <w:ind w:left="1966" w:hanging="360"/>
      </w:pPr>
      <w:rPr>
        <w:rFonts w:hint="default"/>
        <w:lang w:val="en-US" w:eastAsia="en-US" w:bidi="ar-SA"/>
      </w:rPr>
    </w:lvl>
    <w:lvl w:ilvl="8">
      <w:start w:val="0"/>
      <w:numFmt w:val="bullet"/>
      <w:lvlText w:val="•"/>
      <w:lvlJc w:val="left"/>
      <w:pPr>
        <w:ind w:left="2152" w:hanging="360"/>
      </w:pPr>
      <w:rPr>
        <w:rFonts w:hint="default"/>
        <w:lang w:val="en-US" w:eastAsia="en-US" w:bidi="ar-SA"/>
      </w:rPr>
    </w:lvl>
  </w:abstractNum>
  <w:abstractNum w:abstractNumId="63">
    <w:multiLevelType w:val="hybridMultilevel"/>
    <w:lvl w:ilvl="0">
      <w:start w:val="0"/>
      <w:numFmt w:val="bullet"/>
      <w:lvlText w:val=""/>
      <w:lvlJc w:val="left"/>
      <w:pPr>
        <w:ind w:left="633" w:hanging="360"/>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864" w:hanging="360"/>
      </w:pPr>
      <w:rPr>
        <w:rFonts w:hint="default"/>
        <w:lang w:val="en-US" w:eastAsia="en-US" w:bidi="ar-SA"/>
      </w:rPr>
    </w:lvl>
    <w:lvl w:ilvl="2">
      <w:start w:val="0"/>
      <w:numFmt w:val="bullet"/>
      <w:lvlText w:val="•"/>
      <w:lvlJc w:val="left"/>
      <w:pPr>
        <w:ind w:left="1089" w:hanging="360"/>
      </w:pPr>
      <w:rPr>
        <w:rFonts w:hint="default"/>
        <w:lang w:val="en-US" w:eastAsia="en-US" w:bidi="ar-SA"/>
      </w:rPr>
    </w:lvl>
    <w:lvl w:ilvl="3">
      <w:start w:val="0"/>
      <w:numFmt w:val="bullet"/>
      <w:lvlText w:val="•"/>
      <w:lvlJc w:val="left"/>
      <w:pPr>
        <w:ind w:left="1314" w:hanging="360"/>
      </w:pPr>
      <w:rPr>
        <w:rFonts w:hint="default"/>
        <w:lang w:val="en-US" w:eastAsia="en-US" w:bidi="ar-SA"/>
      </w:rPr>
    </w:lvl>
    <w:lvl w:ilvl="4">
      <w:start w:val="0"/>
      <w:numFmt w:val="bullet"/>
      <w:lvlText w:val="•"/>
      <w:lvlJc w:val="left"/>
      <w:pPr>
        <w:ind w:left="1538" w:hanging="360"/>
      </w:pPr>
      <w:rPr>
        <w:rFonts w:hint="default"/>
        <w:lang w:val="en-US" w:eastAsia="en-US" w:bidi="ar-SA"/>
      </w:rPr>
    </w:lvl>
    <w:lvl w:ilvl="5">
      <w:start w:val="0"/>
      <w:numFmt w:val="bullet"/>
      <w:lvlText w:val="•"/>
      <w:lvlJc w:val="left"/>
      <w:pPr>
        <w:ind w:left="1763" w:hanging="360"/>
      </w:pPr>
      <w:rPr>
        <w:rFonts w:hint="default"/>
        <w:lang w:val="en-US" w:eastAsia="en-US" w:bidi="ar-SA"/>
      </w:rPr>
    </w:lvl>
    <w:lvl w:ilvl="6">
      <w:start w:val="0"/>
      <w:numFmt w:val="bullet"/>
      <w:lvlText w:val="•"/>
      <w:lvlJc w:val="left"/>
      <w:pPr>
        <w:ind w:left="1988" w:hanging="360"/>
      </w:pPr>
      <w:rPr>
        <w:rFonts w:hint="default"/>
        <w:lang w:val="en-US" w:eastAsia="en-US" w:bidi="ar-SA"/>
      </w:rPr>
    </w:lvl>
    <w:lvl w:ilvl="7">
      <w:start w:val="0"/>
      <w:numFmt w:val="bullet"/>
      <w:lvlText w:val="•"/>
      <w:lvlJc w:val="left"/>
      <w:pPr>
        <w:ind w:left="2212" w:hanging="360"/>
      </w:pPr>
      <w:rPr>
        <w:rFonts w:hint="default"/>
        <w:lang w:val="en-US" w:eastAsia="en-US" w:bidi="ar-SA"/>
      </w:rPr>
    </w:lvl>
    <w:lvl w:ilvl="8">
      <w:start w:val="0"/>
      <w:numFmt w:val="bullet"/>
      <w:lvlText w:val="•"/>
      <w:lvlJc w:val="left"/>
      <w:pPr>
        <w:ind w:left="2437" w:hanging="360"/>
      </w:pPr>
      <w:rPr>
        <w:rFonts w:hint="default"/>
        <w:lang w:val="en-US" w:eastAsia="en-US" w:bidi="ar-SA"/>
      </w:rPr>
    </w:lvl>
  </w:abstractNum>
  <w:abstractNum w:abstractNumId="62">
    <w:multiLevelType w:val="hybridMultilevel"/>
    <w:lvl w:ilvl="0">
      <w:start w:val="0"/>
      <w:numFmt w:val="bullet"/>
      <w:lvlText w:val=""/>
      <w:lvlJc w:val="left"/>
      <w:pPr>
        <w:ind w:left="621" w:hanging="360"/>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827" w:hanging="360"/>
      </w:pPr>
      <w:rPr>
        <w:rFonts w:hint="default"/>
        <w:lang w:val="en-US" w:eastAsia="en-US" w:bidi="ar-SA"/>
      </w:rPr>
    </w:lvl>
    <w:lvl w:ilvl="2">
      <w:start w:val="0"/>
      <w:numFmt w:val="bullet"/>
      <w:lvlText w:val="•"/>
      <w:lvlJc w:val="left"/>
      <w:pPr>
        <w:ind w:left="1035" w:hanging="360"/>
      </w:pPr>
      <w:rPr>
        <w:rFonts w:hint="default"/>
        <w:lang w:val="en-US" w:eastAsia="en-US" w:bidi="ar-SA"/>
      </w:rPr>
    </w:lvl>
    <w:lvl w:ilvl="3">
      <w:start w:val="0"/>
      <w:numFmt w:val="bullet"/>
      <w:lvlText w:val="•"/>
      <w:lvlJc w:val="left"/>
      <w:pPr>
        <w:ind w:left="1242" w:hanging="360"/>
      </w:pPr>
      <w:rPr>
        <w:rFonts w:hint="default"/>
        <w:lang w:val="en-US" w:eastAsia="en-US" w:bidi="ar-SA"/>
      </w:rPr>
    </w:lvl>
    <w:lvl w:ilvl="4">
      <w:start w:val="0"/>
      <w:numFmt w:val="bullet"/>
      <w:lvlText w:val="•"/>
      <w:lvlJc w:val="left"/>
      <w:pPr>
        <w:ind w:left="1450" w:hanging="360"/>
      </w:pPr>
      <w:rPr>
        <w:rFonts w:hint="default"/>
        <w:lang w:val="en-US" w:eastAsia="en-US" w:bidi="ar-SA"/>
      </w:rPr>
    </w:lvl>
    <w:lvl w:ilvl="5">
      <w:start w:val="0"/>
      <w:numFmt w:val="bullet"/>
      <w:lvlText w:val="•"/>
      <w:lvlJc w:val="left"/>
      <w:pPr>
        <w:ind w:left="1658" w:hanging="360"/>
      </w:pPr>
      <w:rPr>
        <w:rFonts w:hint="default"/>
        <w:lang w:val="en-US" w:eastAsia="en-US" w:bidi="ar-SA"/>
      </w:rPr>
    </w:lvl>
    <w:lvl w:ilvl="6">
      <w:start w:val="0"/>
      <w:numFmt w:val="bullet"/>
      <w:lvlText w:val="•"/>
      <w:lvlJc w:val="left"/>
      <w:pPr>
        <w:ind w:left="1865" w:hanging="360"/>
      </w:pPr>
      <w:rPr>
        <w:rFonts w:hint="default"/>
        <w:lang w:val="en-US" w:eastAsia="en-US" w:bidi="ar-SA"/>
      </w:rPr>
    </w:lvl>
    <w:lvl w:ilvl="7">
      <w:start w:val="0"/>
      <w:numFmt w:val="bullet"/>
      <w:lvlText w:val="•"/>
      <w:lvlJc w:val="left"/>
      <w:pPr>
        <w:ind w:left="2073" w:hanging="360"/>
      </w:pPr>
      <w:rPr>
        <w:rFonts w:hint="default"/>
        <w:lang w:val="en-US" w:eastAsia="en-US" w:bidi="ar-SA"/>
      </w:rPr>
    </w:lvl>
    <w:lvl w:ilvl="8">
      <w:start w:val="0"/>
      <w:numFmt w:val="bullet"/>
      <w:lvlText w:val="•"/>
      <w:lvlJc w:val="left"/>
      <w:pPr>
        <w:ind w:left="2280" w:hanging="360"/>
      </w:pPr>
      <w:rPr>
        <w:rFonts w:hint="default"/>
        <w:lang w:val="en-US" w:eastAsia="en-US" w:bidi="ar-SA"/>
      </w:rPr>
    </w:lvl>
  </w:abstractNum>
  <w:abstractNum w:abstractNumId="61">
    <w:multiLevelType w:val="hybridMultilevel"/>
    <w:lvl w:ilvl="0">
      <w:start w:val="0"/>
      <w:numFmt w:val="bullet"/>
      <w:lvlText w:val=""/>
      <w:lvlJc w:val="left"/>
      <w:pPr>
        <w:ind w:left="676" w:hanging="360"/>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866" w:hanging="360"/>
      </w:pPr>
      <w:rPr>
        <w:rFonts w:hint="default"/>
        <w:lang w:val="en-US" w:eastAsia="en-US" w:bidi="ar-SA"/>
      </w:rPr>
    </w:lvl>
    <w:lvl w:ilvl="2">
      <w:start w:val="0"/>
      <w:numFmt w:val="bullet"/>
      <w:lvlText w:val="•"/>
      <w:lvlJc w:val="left"/>
      <w:pPr>
        <w:ind w:left="1053" w:hanging="360"/>
      </w:pPr>
      <w:rPr>
        <w:rFonts w:hint="default"/>
        <w:lang w:val="en-US" w:eastAsia="en-US" w:bidi="ar-SA"/>
      </w:rPr>
    </w:lvl>
    <w:lvl w:ilvl="3">
      <w:start w:val="0"/>
      <w:numFmt w:val="bullet"/>
      <w:lvlText w:val="•"/>
      <w:lvlJc w:val="left"/>
      <w:pPr>
        <w:ind w:left="1240" w:hanging="360"/>
      </w:pPr>
      <w:rPr>
        <w:rFonts w:hint="default"/>
        <w:lang w:val="en-US" w:eastAsia="en-US" w:bidi="ar-SA"/>
      </w:rPr>
    </w:lvl>
    <w:lvl w:ilvl="4">
      <w:start w:val="0"/>
      <w:numFmt w:val="bullet"/>
      <w:lvlText w:val="•"/>
      <w:lvlJc w:val="left"/>
      <w:pPr>
        <w:ind w:left="1426" w:hanging="360"/>
      </w:pPr>
      <w:rPr>
        <w:rFonts w:hint="default"/>
        <w:lang w:val="en-US" w:eastAsia="en-US" w:bidi="ar-SA"/>
      </w:rPr>
    </w:lvl>
    <w:lvl w:ilvl="5">
      <w:start w:val="0"/>
      <w:numFmt w:val="bullet"/>
      <w:lvlText w:val="•"/>
      <w:lvlJc w:val="left"/>
      <w:pPr>
        <w:ind w:left="1613" w:hanging="360"/>
      </w:pPr>
      <w:rPr>
        <w:rFonts w:hint="default"/>
        <w:lang w:val="en-US" w:eastAsia="en-US" w:bidi="ar-SA"/>
      </w:rPr>
    </w:lvl>
    <w:lvl w:ilvl="6">
      <w:start w:val="0"/>
      <w:numFmt w:val="bullet"/>
      <w:lvlText w:val="•"/>
      <w:lvlJc w:val="left"/>
      <w:pPr>
        <w:ind w:left="1800" w:hanging="360"/>
      </w:pPr>
      <w:rPr>
        <w:rFonts w:hint="default"/>
        <w:lang w:val="en-US" w:eastAsia="en-US" w:bidi="ar-SA"/>
      </w:rPr>
    </w:lvl>
    <w:lvl w:ilvl="7">
      <w:start w:val="0"/>
      <w:numFmt w:val="bullet"/>
      <w:lvlText w:val="•"/>
      <w:lvlJc w:val="left"/>
      <w:pPr>
        <w:ind w:left="1986" w:hanging="360"/>
      </w:pPr>
      <w:rPr>
        <w:rFonts w:hint="default"/>
        <w:lang w:val="en-US" w:eastAsia="en-US" w:bidi="ar-SA"/>
      </w:rPr>
    </w:lvl>
    <w:lvl w:ilvl="8">
      <w:start w:val="0"/>
      <w:numFmt w:val="bullet"/>
      <w:lvlText w:val="•"/>
      <w:lvlJc w:val="left"/>
      <w:pPr>
        <w:ind w:left="2173" w:hanging="360"/>
      </w:pPr>
      <w:rPr>
        <w:rFonts w:hint="default"/>
        <w:lang w:val="en-US" w:eastAsia="en-US" w:bidi="ar-SA"/>
      </w:rPr>
    </w:lvl>
  </w:abstractNum>
  <w:abstractNum w:abstractNumId="60">
    <w:multiLevelType w:val="hybridMultilevel"/>
    <w:lvl w:ilvl="0">
      <w:start w:val="0"/>
      <w:numFmt w:val="bullet"/>
      <w:lvlText w:val=""/>
      <w:lvlJc w:val="left"/>
      <w:pPr>
        <w:ind w:left="614" w:hanging="360"/>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842" w:hanging="360"/>
      </w:pPr>
      <w:rPr>
        <w:rFonts w:hint="default"/>
        <w:lang w:val="en-US" w:eastAsia="en-US" w:bidi="ar-SA"/>
      </w:rPr>
    </w:lvl>
    <w:lvl w:ilvl="2">
      <w:start w:val="0"/>
      <w:numFmt w:val="bullet"/>
      <w:lvlText w:val="•"/>
      <w:lvlJc w:val="left"/>
      <w:pPr>
        <w:ind w:left="1064" w:hanging="360"/>
      </w:pPr>
      <w:rPr>
        <w:rFonts w:hint="default"/>
        <w:lang w:val="en-US" w:eastAsia="en-US" w:bidi="ar-SA"/>
      </w:rPr>
    </w:lvl>
    <w:lvl w:ilvl="3">
      <w:start w:val="0"/>
      <w:numFmt w:val="bullet"/>
      <w:lvlText w:val="•"/>
      <w:lvlJc w:val="left"/>
      <w:pPr>
        <w:ind w:left="1286" w:hanging="360"/>
      </w:pPr>
      <w:rPr>
        <w:rFonts w:hint="default"/>
        <w:lang w:val="en-US" w:eastAsia="en-US" w:bidi="ar-SA"/>
      </w:rPr>
    </w:lvl>
    <w:lvl w:ilvl="4">
      <w:start w:val="0"/>
      <w:numFmt w:val="bullet"/>
      <w:lvlText w:val="•"/>
      <w:lvlJc w:val="left"/>
      <w:pPr>
        <w:ind w:left="1509" w:hanging="360"/>
      </w:pPr>
      <w:rPr>
        <w:rFonts w:hint="default"/>
        <w:lang w:val="en-US" w:eastAsia="en-US" w:bidi="ar-SA"/>
      </w:rPr>
    </w:lvl>
    <w:lvl w:ilvl="5">
      <w:start w:val="0"/>
      <w:numFmt w:val="bullet"/>
      <w:lvlText w:val="•"/>
      <w:lvlJc w:val="left"/>
      <w:pPr>
        <w:ind w:left="1731" w:hanging="360"/>
      </w:pPr>
      <w:rPr>
        <w:rFonts w:hint="default"/>
        <w:lang w:val="en-US" w:eastAsia="en-US" w:bidi="ar-SA"/>
      </w:rPr>
    </w:lvl>
    <w:lvl w:ilvl="6">
      <w:start w:val="0"/>
      <w:numFmt w:val="bullet"/>
      <w:lvlText w:val="•"/>
      <w:lvlJc w:val="left"/>
      <w:pPr>
        <w:ind w:left="1953" w:hanging="360"/>
      </w:pPr>
      <w:rPr>
        <w:rFonts w:hint="default"/>
        <w:lang w:val="en-US" w:eastAsia="en-US" w:bidi="ar-SA"/>
      </w:rPr>
    </w:lvl>
    <w:lvl w:ilvl="7">
      <w:start w:val="0"/>
      <w:numFmt w:val="bullet"/>
      <w:lvlText w:val="•"/>
      <w:lvlJc w:val="left"/>
      <w:pPr>
        <w:ind w:left="2176" w:hanging="360"/>
      </w:pPr>
      <w:rPr>
        <w:rFonts w:hint="default"/>
        <w:lang w:val="en-US" w:eastAsia="en-US" w:bidi="ar-SA"/>
      </w:rPr>
    </w:lvl>
    <w:lvl w:ilvl="8">
      <w:start w:val="0"/>
      <w:numFmt w:val="bullet"/>
      <w:lvlText w:val="•"/>
      <w:lvlJc w:val="left"/>
      <w:pPr>
        <w:ind w:left="2398" w:hanging="360"/>
      </w:pPr>
      <w:rPr>
        <w:rFonts w:hint="default"/>
        <w:lang w:val="en-US" w:eastAsia="en-US" w:bidi="ar-SA"/>
      </w:rPr>
    </w:lvl>
  </w:abstractNum>
  <w:abstractNum w:abstractNumId="59">
    <w:multiLevelType w:val="hybridMultilevel"/>
    <w:lvl w:ilvl="0">
      <w:start w:val="0"/>
      <w:numFmt w:val="bullet"/>
      <w:lvlText w:val=""/>
      <w:lvlJc w:val="left"/>
      <w:pPr>
        <w:ind w:left="621" w:hanging="360"/>
      </w:pPr>
      <w:rPr>
        <w:rFonts w:hint="default" w:ascii="Symbol" w:hAnsi="Symbol" w:eastAsia="Symbol" w:cs="Symbol"/>
        <w:w w:val="101"/>
        <w:lang w:val="en-US" w:eastAsia="en-US" w:bidi="ar-SA"/>
      </w:rPr>
    </w:lvl>
    <w:lvl w:ilvl="1">
      <w:start w:val="0"/>
      <w:numFmt w:val="bullet"/>
      <w:lvlText w:val="•"/>
      <w:lvlJc w:val="left"/>
      <w:pPr>
        <w:ind w:left="827" w:hanging="360"/>
      </w:pPr>
      <w:rPr>
        <w:rFonts w:hint="default"/>
        <w:lang w:val="en-US" w:eastAsia="en-US" w:bidi="ar-SA"/>
      </w:rPr>
    </w:lvl>
    <w:lvl w:ilvl="2">
      <w:start w:val="0"/>
      <w:numFmt w:val="bullet"/>
      <w:lvlText w:val="•"/>
      <w:lvlJc w:val="left"/>
      <w:pPr>
        <w:ind w:left="1035" w:hanging="360"/>
      </w:pPr>
      <w:rPr>
        <w:rFonts w:hint="default"/>
        <w:lang w:val="en-US" w:eastAsia="en-US" w:bidi="ar-SA"/>
      </w:rPr>
    </w:lvl>
    <w:lvl w:ilvl="3">
      <w:start w:val="0"/>
      <w:numFmt w:val="bullet"/>
      <w:lvlText w:val="•"/>
      <w:lvlJc w:val="left"/>
      <w:pPr>
        <w:ind w:left="1242" w:hanging="360"/>
      </w:pPr>
      <w:rPr>
        <w:rFonts w:hint="default"/>
        <w:lang w:val="en-US" w:eastAsia="en-US" w:bidi="ar-SA"/>
      </w:rPr>
    </w:lvl>
    <w:lvl w:ilvl="4">
      <w:start w:val="0"/>
      <w:numFmt w:val="bullet"/>
      <w:lvlText w:val="•"/>
      <w:lvlJc w:val="left"/>
      <w:pPr>
        <w:ind w:left="1450" w:hanging="360"/>
      </w:pPr>
      <w:rPr>
        <w:rFonts w:hint="default"/>
        <w:lang w:val="en-US" w:eastAsia="en-US" w:bidi="ar-SA"/>
      </w:rPr>
    </w:lvl>
    <w:lvl w:ilvl="5">
      <w:start w:val="0"/>
      <w:numFmt w:val="bullet"/>
      <w:lvlText w:val="•"/>
      <w:lvlJc w:val="left"/>
      <w:pPr>
        <w:ind w:left="1658" w:hanging="360"/>
      </w:pPr>
      <w:rPr>
        <w:rFonts w:hint="default"/>
        <w:lang w:val="en-US" w:eastAsia="en-US" w:bidi="ar-SA"/>
      </w:rPr>
    </w:lvl>
    <w:lvl w:ilvl="6">
      <w:start w:val="0"/>
      <w:numFmt w:val="bullet"/>
      <w:lvlText w:val="•"/>
      <w:lvlJc w:val="left"/>
      <w:pPr>
        <w:ind w:left="1865" w:hanging="360"/>
      </w:pPr>
      <w:rPr>
        <w:rFonts w:hint="default"/>
        <w:lang w:val="en-US" w:eastAsia="en-US" w:bidi="ar-SA"/>
      </w:rPr>
    </w:lvl>
    <w:lvl w:ilvl="7">
      <w:start w:val="0"/>
      <w:numFmt w:val="bullet"/>
      <w:lvlText w:val="•"/>
      <w:lvlJc w:val="left"/>
      <w:pPr>
        <w:ind w:left="2073" w:hanging="360"/>
      </w:pPr>
      <w:rPr>
        <w:rFonts w:hint="default"/>
        <w:lang w:val="en-US" w:eastAsia="en-US" w:bidi="ar-SA"/>
      </w:rPr>
    </w:lvl>
    <w:lvl w:ilvl="8">
      <w:start w:val="0"/>
      <w:numFmt w:val="bullet"/>
      <w:lvlText w:val="•"/>
      <w:lvlJc w:val="left"/>
      <w:pPr>
        <w:ind w:left="2280" w:hanging="360"/>
      </w:pPr>
      <w:rPr>
        <w:rFonts w:hint="default"/>
        <w:lang w:val="en-US" w:eastAsia="en-US" w:bidi="ar-SA"/>
      </w:rPr>
    </w:lvl>
  </w:abstractNum>
  <w:abstractNum w:abstractNumId="58">
    <w:multiLevelType w:val="hybridMultilevel"/>
    <w:lvl w:ilvl="0">
      <w:start w:val="0"/>
      <w:numFmt w:val="bullet"/>
      <w:lvlText w:val=""/>
      <w:lvlJc w:val="left"/>
      <w:pPr>
        <w:ind w:left="690" w:hanging="360"/>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884" w:hanging="360"/>
      </w:pPr>
      <w:rPr>
        <w:rFonts w:hint="default"/>
        <w:lang w:val="en-US" w:eastAsia="en-US" w:bidi="ar-SA"/>
      </w:rPr>
    </w:lvl>
    <w:lvl w:ilvl="2">
      <w:start w:val="0"/>
      <w:numFmt w:val="bullet"/>
      <w:lvlText w:val="•"/>
      <w:lvlJc w:val="left"/>
      <w:pPr>
        <w:ind w:left="1069" w:hanging="360"/>
      </w:pPr>
      <w:rPr>
        <w:rFonts w:hint="default"/>
        <w:lang w:val="en-US" w:eastAsia="en-US" w:bidi="ar-SA"/>
      </w:rPr>
    </w:lvl>
    <w:lvl w:ilvl="3">
      <w:start w:val="0"/>
      <w:numFmt w:val="bullet"/>
      <w:lvlText w:val="•"/>
      <w:lvlJc w:val="left"/>
      <w:pPr>
        <w:ind w:left="1254" w:hanging="360"/>
      </w:pPr>
      <w:rPr>
        <w:rFonts w:hint="default"/>
        <w:lang w:val="en-US" w:eastAsia="en-US" w:bidi="ar-SA"/>
      </w:rPr>
    </w:lvl>
    <w:lvl w:ilvl="4">
      <w:start w:val="0"/>
      <w:numFmt w:val="bullet"/>
      <w:lvlText w:val="•"/>
      <w:lvlJc w:val="left"/>
      <w:pPr>
        <w:ind w:left="1438" w:hanging="360"/>
      </w:pPr>
      <w:rPr>
        <w:rFonts w:hint="default"/>
        <w:lang w:val="en-US" w:eastAsia="en-US" w:bidi="ar-SA"/>
      </w:rPr>
    </w:lvl>
    <w:lvl w:ilvl="5">
      <w:start w:val="0"/>
      <w:numFmt w:val="bullet"/>
      <w:lvlText w:val="•"/>
      <w:lvlJc w:val="left"/>
      <w:pPr>
        <w:ind w:left="1623" w:hanging="360"/>
      </w:pPr>
      <w:rPr>
        <w:rFonts w:hint="default"/>
        <w:lang w:val="en-US" w:eastAsia="en-US" w:bidi="ar-SA"/>
      </w:rPr>
    </w:lvl>
    <w:lvl w:ilvl="6">
      <w:start w:val="0"/>
      <w:numFmt w:val="bullet"/>
      <w:lvlText w:val="•"/>
      <w:lvlJc w:val="left"/>
      <w:pPr>
        <w:ind w:left="1808" w:hanging="360"/>
      </w:pPr>
      <w:rPr>
        <w:rFonts w:hint="default"/>
        <w:lang w:val="en-US" w:eastAsia="en-US" w:bidi="ar-SA"/>
      </w:rPr>
    </w:lvl>
    <w:lvl w:ilvl="7">
      <w:start w:val="0"/>
      <w:numFmt w:val="bullet"/>
      <w:lvlText w:val="•"/>
      <w:lvlJc w:val="left"/>
      <w:pPr>
        <w:ind w:left="1992" w:hanging="360"/>
      </w:pPr>
      <w:rPr>
        <w:rFonts w:hint="default"/>
        <w:lang w:val="en-US" w:eastAsia="en-US" w:bidi="ar-SA"/>
      </w:rPr>
    </w:lvl>
    <w:lvl w:ilvl="8">
      <w:start w:val="0"/>
      <w:numFmt w:val="bullet"/>
      <w:lvlText w:val="•"/>
      <w:lvlJc w:val="left"/>
      <w:pPr>
        <w:ind w:left="2177" w:hanging="360"/>
      </w:pPr>
      <w:rPr>
        <w:rFonts w:hint="default"/>
        <w:lang w:val="en-US" w:eastAsia="en-US" w:bidi="ar-SA"/>
      </w:rPr>
    </w:lvl>
  </w:abstractNum>
  <w:abstractNum w:abstractNumId="57">
    <w:multiLevelType w:val="hybridMultilevel"/>
    <w:lvl w:ilvl="0">
      <w:start w:val="0"/>
      <w:numFmt w:val="bullet"/>
      <w:lvlText w:val=""/>
      <w:lvlJc w:val="left"/>
      <w:pPr>
        <w:ind w:left="614" w:hanging="360"/>
      </w:pPr>
      <w:rPr>
        <w:rFonts w:hint="default" w:ascii="Symbol" w:hAnsi="Symbol" w:eastAsia="Symbol" w:cs="Symbol"/>
        <w:b w:val="0"/>
        <w:bCs w:val="0"/>
        <w:i w:val="0"/>
        <w:iCs w:val="0"/>
        <w:w w:val="101"/>
        <w:sz w:val="18"/>
        <w:szCs w:val="18"/>
        <w:lang w:val="en-US" w:eastAsia="en-US" w:bidi="ar-SA"/>
      </w:rPr>
    </w:lvl>
    <w:lvl w:ilvl="1">
      <w:start w:val="0"/>
      <w:numFmt w:val="bullet"/>
      <w:lvlText w:val="•"/>
      <w:lvlJc w:val="left"/>
      <w:pPr>
        <w:ind w:left="842" w:hanging="360"/>
      </w:pPr>
      <w:rPr>
        <w:rFonts w:hint="default"/>
        <w:lang w:val="en-US" w:eastAsia="en-US" w:bidi="ar-SA"/>
      </w:rPr>
    </w:lvl>
    <w:lvl w:ilvl="2">
      <w:start w:val="0"/>
      <w:numFmt w:val="bullet"/>
      <w:lvlText w:val="•"/>
      <w:lvlJc w:val="left"/>
      <w:pPr>
        <w:ind w:left="1064" w:hanging="360"/>
      </w:pPr>
      <w:rPr>
        <w:rFonts w:hint="default"/>
        <w:lang w:val="en-US" w:eastAsia="en-US" w:bidi="ar-SA"/>
      </w:rPr>
    </w:lvl>
    <w:lvl w:ilvl="3">
      <w:start w:val="0"/>
      <w:numFmt w:val="bullet"/>
      <w:lvlText w:val="•"/>
      <w:lvlJc w:val="left"/>
      <w:pPr>
        <w:ind w:left="1286" w:hanging="360"/>
      </w:pPr>
      <w:rPr>
        <w:rFonts w:hint="default"/>
        <w:lang w:val="en-US" w:eastAsia="en-US" w:bidi="ar-SA"/>
      </w:rPr>
    </w:lvl>
    <w:lvl w:ilvl="4">
      <w:start w:val="0"/>
      <w:numFmt w:val="bullet"/>
      <w:lvlText w:val="•"/>
      <w:lvlJc w:val="left"/>
      <w:pPr>
        <w:ind w:left="1509" w:hanging="360"/>
      </w:pPr>
      <w:rPr>
        <w:rFonts w:hint="default"/>
        <w:lang w:val="en-US" w:eastAsia="en-US" w:bidi="ar-SA"/>
      </w:rPr>
    </w:lvl>
    <w:lvl w:ilvl="5">
      <w:start w:val="0"/>
      <w:numFmt w:val="bullet"/>
      <w:lvlText w:val="•"/>
      <w:lvlJc w:val="left"/>
      <w:pPr>
        <w:ind w:left="1731" w:hanging="360"/>
      </w:pPr>
      <w:rPr>
        <w:rFonts w:hint="default"/>
        <w:lang w:val="en-US" w:eastAsia="en-US" w:bidi="ar-SA"/>
      </w:rPr>
    </w:lvl>
    <w:lvl w:ilvl="6">
      <w:start w:val="0"/>
      <w:numFmt w:val="bullet"/>
      <w:lvlText w:val="•"/>
      <w:lvlJc w:val="left"/>
      <w:pPr>
        <w:ind w:left="1953" w:hanging="360"/>
      </w:pPr>
      <w:rPr>
        <w:rFonts w:hint="default"/>
        <w:lang w:val="en-US" w:eastAsia="en-US" w:bidi="ar-SA"/>
      </w:rPr>
    </w:lvl>
    <w:lvl w:ilvl="7">
      <w:start w:val="0"/>
      <w:numFmt w:val="bullet"/>
      <w:lvlText w:val="•"/>
      <w:lvlJc w:val="left"/>
      <w:pPr>
        <w:ind w:left="2176" w:hanging="360"/>
      </w:pPr>
      <w:rPr>
        <w:rFonts w:hint="default"/>
        <w:lang w:val="en-US" w:eastAsia="en-US" w:bidi="ar-SA"/>
      </w:rPr>
    </w:lvl>
    <w:lvl w:ilvl="8">
      <w:start w:val="0"/>
      <w:numFmt w:val="bullet"/>
      <w:lvlText w:val="•"/>
      <w:lvlJc w:val="left"/>
      <w:pPr>
        <w:ind w:left="2398" w:hanging="360"/>
      </w:pPr>
      <w:rPr>
        <w:rFonts w:hint="default"/>
        <w:lang w:val="en-US" w:eastAsia="en-US" w:bidi="ar-SA"/>
      </w:rPr>
    </w:lvl>
  </w:abstractNum>
  <w:abstractNum w:abstractNumId="56">
    <w:multiLevelType w:val="hybridMultilevel"/>
    <w:lvl w:ilvl="0">
      <w:start w:val="0"/>
      <w:numFmt w:val="bullet"/>
      <w:lvlText w:val="-"/>
      <w:lvlJc w:val="left"/>
      <w:pPr>
        <w:ind w:left="264" w:hanging="116"/>
      </w:pPr>
      <w:rPr>
        <w:rFonts w:hint="default" w:ascii="Palatino Linotype" w:hAnsi="Palatino Linotype" w:eastAsia="Palatino Linotype" w:cs="Palatino Linotype"/>
        <w:b w:val="0"/>
        <w:bCs w:val="0"/>
        <w:i w:val="0"/>
        <w:iCs w:val="0"/>
        <w:w w:val="100"/>
        <w:sz w:val="20"/>
        <w:szCs w:val="20"/>
        <w:lang w:val="en-US" w:eastAsia="en-US" w:bidi="ar-SA"/>
      </w:rPr>
    </w:lvl>
    <w:lvl w:ilvl="1">
      <w:start w:val="0"/>
      <w:numFmt w:val="bullet"/>
      <w:lvlText w:val="•"/>
      <w:lvlJc w:val="left"/>
      <w:pPr>
        <w:ind w:left="396" w:hanging="116"/>
      </w:pPr>
      <w:rPr>
        <w:rFonts w:hint="default"/>
        <w:lang w:val="en-US" w:eastAsia="en-US" w:bidi="ar-SA"/>
      </w:rPr>
    </w:lvl>
    <w:lvl w:ilvl="2">
      <w:start w:val="0"/>
      <w:numFmt w:val="bullet"/>
      <w:lvlText w:val="•"/>
      <w:lvlJc w:val="left"/>
      <w:pPr>
        <w:ind w:left="533" w:hanging="116"/>
      </w:pPr>
      <w:rPr>
        <w:rFonts w:hint="default"/>
        <w:lang w:val="en-US" w:eastAsia="en-US" w:bidi="ar-SA"/>
      </w:rPr>
    </w:lvl>
    <w:lvl w:ilvl="3">
      <w:start w:val="0"/>
      <w:numFmt w:val="bullet"/>
      <w:lvlText w:val="•"/>
      <w:lvlJc w:val="left"/>
      <w:pPr>
        <w:ind w:left="670" w:hanging="116"/>
      </w:pPr>
      <w:rPr>
        <w:rFonts w:hint="default"/>
        <w:lang w:val="en-US" w:eastAsia="en-US" w:bidi="ar-SA"/>
      </w:rPr>
    </w:lvl>
    <w:lvl w:ilvl="4">
      <w:start w:val="0"/>
      <w:numFmt w:val="bullet"/>
      <w:lvlText w:val="•"/>
      <w:lvlJc w:val="left"/>
      <w:pPr>
        <w:ind w:left="807" w:hanging="116"/>
      </w:pPr>
      <w:rPr>
        <w:rFonts w:hint="default"/>
        <w:lang w:val="en-US" w:eastAsia="en-US" w:bidi="ar-SA"/>
      </w:rPr>
    </w:lvl>
    <w:lvl w:ilvl="5">
      <w:start w:val="0"/>
      <w:numFmt w:val="bullet"/>
      <w:lvlText w:val="•"/>
      <w:lvlJc w:val="left"/>
      <w:pPr>
        <w:ind w:left="944" w:hanging="116"/>
      </w:pPr>
      <w:rPr>
        <w:rFonts w:hint="default"/>
        <w:lang w:val="en-US" w:eastAsia="en-US" w:bidi="ar-SA"/>
      </w:rPr>
    </w:lvl>
    <w:lvl w:ilvl="6">
      <w:start w:val="0"/>
      <w:numFmt w:val="bullet"/>
      <w:lvlText w:val="•"/>
      <w:lvlJc w:val="left"/>
      <w:pPr>
        <w:ind w:left="1081" w:hanging="116"/>
      </w:pPr>
      <w:rPr>
        <w:rFonts w:hint="default"/>
        <w:lang w:val="en-US" w:eastAsia="en-US" w:bidi="ar-SA"/>
      </w:rPr>
    </w:lvl>
    <w:lvl w:ilvl="7">
      <w:start w:val="0"/>
      <w:numFmt w:val="bullet"/>
      <w:lvlText w:val="•"/>
      <w:lvlJc w:val="left"/>
      <w:pPr>
        <w:ind w:left="1218" w:hanging="116"/>
      </w:pPr>
      <w:rPr>
        <w:rFonts w:hint="default"/>
        <w:lang w:val="en-US" w:eastAsia="en-US" w:bidi="ar-SA"/>
      </w:rPr>
    </w:lvl>
    <w:lvl w:ilvl="8">
      <w:start w:val="0"/>
      <w:numFmt w:val="bullet"/>
      <w:lvlText w:val="•"/>
      <w:lvlJc w:val="left"/>
      <w:pPr>
        <w:ind w:left="1355" w:hanging="116"/>
      </w:pPr>
      <w:rPr>
        <w:rFonts w:hint="default"/>
        <w:lang w:val="en-US" w:eastAsia="en-US" w:bidi="ar-SA"/>
      </w:rPr>
    </w:lvl>
  </w:abstractNum>
  <w:abstractNum w:abstractNumId="55">
    <w:multiLevelType w:val="hybridMultilevel"/>
    <w:lvl w:ilvl="0">
      <w:start w:val="0"/>
      <w:numFmt w:val="bullet"/>
      <w:lvlText w:val="-"/>
      <w:lvlJc w:val="left"/>
      <w:pPr>
        <w:ind w:left="194" w:hanging="116"/>
      </w:pPr>
      <w:rPr>
        <w:rFonts w:hint="default" w:ascii="Palatino Linotype" w:hAnsi="Palatino Linotype" w:eastAsia="Palatino Linotype" w:cs="Palatino Linotype"/>
        <w:b w:val="0"/>
        <w:bCs w:val="0"/>
        <w:i w:val="0"/>
        <w:iCs w:val="0"/>
        <w:w w:val="100"/>
        <w:sz w:val="20"/>
        <w:szCs w:val="20"/>
        <w:lang w:val="en-US" w:eastAsia="en-US" w:bidi="ar-SA"/>
      </w:rPr>
    </w:lvl>
    <w:lvl w:ilvl="1">
      <w:start w:val="0"/>
      <w:numFmt w:val="bullet"/>
      <w:lvlText w:val="•"/>
      <w:lvlJc w:val="left"/>
      <w:pPr>
        <w:ind w:left="286" w:hanging="116"/>
      </w:pPr>
      <w:rPr>
        <w:rFonts w:hint="default"/>
        <w:lang w:val="en-US" w:eastAsia="en-US" w:bidi="ar-SA"/>
      </w:rPr>
    </w:lvl>
    <w:lvl w:ilvl="2">
      <w:start w:val="0"/>
      <w:numFmt w:val="bullet"/>
      <w:lvlText w:val="•"/>
      <w:lvlJc w:val="left"/>
      <w:pPr>
        <w:ind w:left="372" w:hanging="116"/>
      </w:pPr>
      <w:rPr>
        <w:rFonts w:hint="default"/>
        <w:lang w:val="en-US" w:eastAsia="en-US" w:bidi="ar-SA"/>
      </w:rPr>
    </w:lvl>
    <w:lvl w:ilvl="3">
      <w:start w:val="0"/>
      <w:numFmt w:val="bullet"/>
      <w:lvlText w:val="•"/>
      <w:lvlJc w:val="left"/>
      <w:pPr>
        <w:ind w:left="459" w:hanging="116"/>
      </w:pPr>
      <w:rPr>
        <w:rFonts w:hint="default"/>
        <w:lang w:val="en-US" w:eastAsia="en-US" w:bidi="ar-SA"/>
      </w:rPr>
    </w:lvl>
    <w:lvl w:ilvl="4">
      <w:start w:val="0"/>
      <w:numFmt w:val="bullet"/>
      <w:lvlText w:val="•"/>
      <w:lvlJc w:val="left"/>
      <w:pPr>
        <w:ind w:left="545" w:hanging="116"/>
      </w:pPr>
      <w:rPr>
        <w:rFonts w:hint="default"/>
        <w:lang w:val="en-US" w:eastAsia="en-US" w:bidi="ar-SA"/>
      </w:rPr>
    </w:lvl>
    <w:lvl w:ilvl="5">
      <w:start w:val="0"/>
      <w:numFmt w:val="bullet"/>
      <w:lvlText w:val="•"/>
      <w:lvlJc w:val="left"/>
      <w:pPr>
        <w:ind w:left="632" w:hanging="116"/>
      </w:pPr>
      <w:rPr>
        <w:rFonts w:hint="default"/>
        <w:lang w:val="en-US" w:eastAsia="en-US" w:bidi="ar-SA"/>
      </w:rPr>
    </w:lvl>
    <w:lvl w:ilvl="6">
      <w:start w:val="0"/>
      <w:numFmt w:val="bullet"/>
      <w:lvlText w:val="•"/>
      <w:lvlJc w:val="left"/>
      <w:pPr>
        <w:ind w:left="718" w:hanging="116"/>
      </w:pPr>
      <w:rPr>
        <w:rFonts w:hint="default"/>
        <w:lang w:val="en-US" w:eastAsia="en-US" w:bidi="ar-SA"/>
      </w:rPr>
    </w:lvl>
    <w:lvl w:ilvl="7">
      <w:start w:val="0"/>
      <w:numFmt w:val="bullet"/>
      <w:lvlText w:val="•"/>
      <w:lvlJc w:val="left"/>
      <w:pPr>
        <w:ind w:left="804" w:hanging="116"/>
      </w:pPr>
      <w:rPr>
        <w:rFonts w:hint="default"/>
        <w:lang w:val="en-US" w:eastAsia="en-US" w:bidi="ar-SA"/>
      </w:rPr>
    </w:lvl>
    <w:lvl w:ilvl="8">
      <w:start w:val="0"/>
      <w:numFmt w:val="bullet"/>
      <w:lvlText w:val="•"/>
      <w:lvlJc w:val="left"/>
      <w:pPr>
        <w:ind w:left="891" w:hanging="116"/>
      </w:pPr>
      <w:rPr>
        <w:rFonts w:hint="default"/>
        <w:lang w:val="en-US" w:eastAsia="en-US" w:bidi="ar-SA"/>
      </w:rPr>
    </w:lvl>
  </w:abstractNum>
  <w:abstractNum w:abstractNumId="54">
    <w:multiLevelType w:val="hybridMultilevel"/>
    <w:lvl w:ilvl="0">
      <w:start w:val="0"/>
      <w:numFmt w:val="bullet"/>
      <w:lvlText w:val="-"/>
      <w:lvlJc w:val="left"/>
      <w:pPr>
        <w:ind w:left="235" w:hanging="116"/>
      </w:pPr>
      <w:rPr>
        <w:rFonts w:hint="default" w:ascii="Palatino Linotype" w:hAnsi="Palatino Linotype" w:eastAsia="Palatino Linotype" w:cs="Palatino Linotype"/>
        <w:b w:val="0"/>
        <w:bCs w:val="0"/>
        <w:i w:val="0"/>
        <w:iCs w:val="0"/>
        <w:w w:val="100"/>
        <w:sz w:val="20"/>
        <w:szCs w:val="20"/>
        <w:lang w:val="en-US" w:eastAsia="en-US" w:bidi="ar-SA"/>
      </w:rPr>
    </w:lvl>
    <w:lvl w:ilvl="1">
      <w:start w:val="0"/>
      <w:numFmt w:val="bullet"/>
      <w:lvlText w:val="•"/>
      <w:lvlJc w:val="left"/>
      <w:pPr>
        <w:ind w:left="625" w:hanging="116"/>
      </w:pPr>
      <w:rPr>
        <w:rFonts w:hint="default"/>
        <w:lang w:val="en-US" w:eastAsia="en-US" w:bidi="ar-SA"/>
      </w:rPr>
    </w:lvl>
    <w:lvl w:ilvl="2">
      <w:start w:val="0"/>
      <w:numFmt w:val="bullet"/>
      <w:lvlText w:val="•"/>
      <w:lvlJc w:val="left"/>
      <w:pPr>
        <w:ind w:left="1010" w:hanging="116"/>
      </w:pPr>
      <w:rPr>
        <w:rFonts w:hint="default"/>
        <w:lang w:val="en-US" w:eastAsia="en-US" w:bidi="ar-SA"/>
      </w:rPr>
    </w:lvl>
    <w:lvl w:ilvl="3">
      <w:start w:val="0"/>
      <w:numFmt w:val="bullet"/>
      <w:lvlText w:val="•"/>
      <w:lvlJc w:val="left"/>
      <w:pPr>
        <w:ind w:left="1395" w:hanging="116"/>
      </w:pPr>
      <w:rPr>
        <w:rFonts w:hint="default"/>
        <w:lang w:val="en-US" w:eastAsia="en-US" w:bidi="ar-SA"/>
      </w:rPr>
    </w:lvl>
    <w:lvl w:ilvl="4">
      <w:start w:val="0"/>
      <w:numFmt w:val="bullet"/>
      <w:lvlText w:val="•"/>
      <w:lvlJc w:val="left"/>
      <w:pPr>
        <w:ind w:left="1781" w:hanging="116"/>
      </w:pPr>
      <w:rPr>
        <w:rFonts w:hint="default"/>
        <w:lang w:val="en-US" w:eastAsia="en-US" w:bidi="ar-SA"/>
      </w:rPr>
    </w:lvl>
    <w:lvl w:ilvl="5">
      <w:start w:val="0"/>
      <w:numFmt w:val="bullet"/>
      <w:lvlText w:val="•"/>
      <w:lvlJc w:val="left"/>
      <w:pPr>
        <w:ind w:left="2166" w:hanging="116"/>
      </w:pPr>
      <w:rPr>
        <w:rFonts w:hint="default"/>
        <w:lang w:val="en-US" w:eastAsia="en-US" w:bidi="ar-SA"/>
      </w:rPr>
    </w:lvl>
    <w:lvl w:ilvl="6">
      <w:start w:val="0"/>
      <w:numFmt w:val="bullet"/>
      <w:lvlText w:val="•"/>
      <w:lvlJc w:val="left"/>
      <w:pPr>
        <w:ind w:left="2551" w:hanging="116"/>
      </w:pPr>
      <w:rPr>
        <w:rFonts w:hint="default"/>
        <w:lang w:val="en-US" w:eastAsia="en-US" w:bidi="ar-SA"/>
      </w:rPr>
    </w:lvl>
    <w:lvl w:ilvl="7">
      <w:start w:val="0"/>
      <w:numFmt w:val="bullet"/>
      <w:lvlText w:val="•"/>
      <w:lvlJc w:val="left"/>
      <w:pPr>
        <w:ind w:left="2937" w:hanging="116"/>
      </w:pPr>
      <w:rPr>
        <w:rFonts w:hint="default"/>
        <w:lang w:val="en-US" w:eastAsia="en-US" w:bidi="ar-SA"/>
      </w:rPr>
    </w:lvl>
    <w:lvl w:ilvl="8">
      <w:start w:val="0"/>
      <w:numFmt w:val="bullet"/>
      <w:lvlText w:val="•"/>
      <w:lvlJc w:val="left"/>
      <w:pPr>
        <w:ind w:left="3322" w:hanging="116"/>
      </w:pPr>
      <w:rPr>
        <w:rFonts w:hint="default"/>
        <w:lang w:val="en-US" w:eastAsia="en-US" w:bidi="ar-SA"/>
      </w:rPr>
    </w:lvl>
  </w:abstractNum>
  <w:abstractNum w:abstractNumId="53">
    <w:multiLevelType w:val="hybridMultilevel"/>
    <w:lvl w:ilvl="0">
      <w:start w:val="0"/>
      <w:numFmt w:val="bullet"/>
      <w:lvlText w:val="-"/>
      <w:lvlJc w:val="left"/>
      <w:pPr>
        <w:ind w:left="187" w:hanging="116"/>
      </w:pPr>
      <w:rPr>
        <w:rFonts w:hint="default" w:ascii="Palatino Linotype" w:hAnsi="Palatino Linotype" w:eastAsia="Palatino Linotype" w:cs="Palatino Linotype"/>
        <w:w w:val="100"/>
        <w:lang w:val="en-US" w:eastAsia="en-US" w:bidi="ar-SA"/>
      </w:rPr>
    </w:lvl>
    <w:lvl w:ilvl="1">
      <w:start w:val="0"/>
      <w:numFmt w:val="bullet"/>
      <w:lvlText w:val="•"/>
      <w:lvlJc w:val="left"/>
      <w:pPr>
        <w:ind w:left="571" w:hanging="116"/>
      </w:pPr>
      <w:rPr>
        <w:rFonts w:hint="default"/>
        <w:lang w:val="en-US" w:eastAsia="en-US" w:bidi="ar-SA"/>
      </w:rPr>
    </w:lvl>
    <w:lvl w:ilvl="2">
      <w:start w:val="0"/>
      <w:numFmt w:val="bullet"/>
      <w:lvlText w:val="•"/>
      <w:lvlJc w:val="left"/>
      <w:pPr>
        <w:ind w:left="962" w:hanging="116"/>
      </w:pPr>
      <w:rPr>
        <w:rFonts w:hint="default"/>
        <w:lang w:val="en-US" w:eastAsia="en-US" w:bidi="ar-SA"/>
      </w:rPr>
    </w:lvl>
    <w:lvl w:ilvl="3">
      <w:start w:val="0"/>
      <w:numFmt w:val="bullet"/>
      <w:lvlText w:val="•"/>
      <w:lvlJc w:val="left"/>
      <w:pPr>
        <w:ind w:left="1353" w:hanging="116"/>
      </w:pPr>
      <w:rPr>
        <w:rFonts w:hint="default"/>
        <w:lang w:val="en-US" w:eastAsia="en-US" w:bidi="ar-SA"/>
      </w:rPr>
    </w:lvl>
    <w:lvl w:ilvl="4">
      <w:start w:val="0"/>
      <w:numFmt w:val="bullet"/>
      <w:lvlText w:val="•"/>
      <w:lvlJc w:val="left"/>
      <w:pPr>
        <w:ind w:left="1745" w:hanging="116"/>
      </w:pPr>
      <w:rPr>
        <w:rFonts w:hint="default"/>
        <w:lang w:val="en-US" w:eastAsia="en-US" w:bidi="ar-SA"/>
      </w:rPr>
    </w:lvl>
    <w:lvl w:ilvl="5">
      <w:start w:val="0"/>
      <w:numFmt w:val="bullet"/>
      <w:lvlText w:val="•"/>
      <w:lvlJc w:val="left"/>
      <w:pPr>
        <w:ind w:left="2136" w:hanging="116"/>
      </w:pPr>
      <w:rPr>
        <w:rFonts w:hint="default"/>
        <w:lang w:val="en-US" w:eastAsia="en-US" w:bidi="ar-SA"/>
      </w:rPr>
    </w:lvl>
    <w:lvl w:ilvl="6">
      <w:start w:val="0"/>
      <w:numFmt w:val="bullet"/>
      <w:lvlText w:val="•"/>
      <w:lvlJc w:val="left"/>
      <w:pPr>
        <w:ind w:left="2527" w:hanging="116"/>
      </w:pPr>
      <w:rPr>
        <w:rFonts w:hint="default"/>
        <w:lang w:val="en-US" w:eastAsia="en-US" w:bidi="ar-SA"/>
      </w:rPr>
    </w:lvl>
    <w:lvl w:ilvl="7">
      <w:start w:val="0"/>
      <w:numFmt w:val="bullet"/>
      <w:lvlText w:val="•"/>
      <w:lvlJc w:val="left"/>
      <w:pPr>
        <w:ind w:left="2919" w:hanging="116"/>
      </w:pPr>
      <w:rPr>
        <w:rFonts w:hint="default"/>
        <w:lang w:val="en-US" w:eastAsia="en-US" w:bidi="ar-SA"/>
      </w:rPr>
    </w:lvl>
    <w:lvl w:ilvl="8">
      <w:start w:val="0"/>
      <w:numFmt w:val="bullet"/>
      <w:lvlText w:val="•"/>
      <w:lvlJc w:val="left"/>
      <w:pPr>
        <w:ind w:left="3310" w:hanging="116"/>
      </w:pPr>
      <w:rPr>
        <w:rFonts w:hint="default"/>
        <w:lang w:val="en-US" w:eastAsia="en-US" w:bidi="ar-SA"/>
      </w:rPr>
    </w:lvl>
  </w:abstractNum>
  <w:abstractNum w:abstractNumId="52">
    <w:multiLevelType w:val="hybridMultilevel"/>
    <w:lvl w:ilvl="0">
      <w:start w:val="0"/>
      <w:numFmt w:val="bullet"/>
      <w:lvlText w:val="-"/>
      <w:lvlJc w:val="left"/>
      <w:pPr>
        <w:ind w:left="148" w:hanging="106"/>
      </w:pPr>
      <w:rPr>
        <w:rFonts w:hint="default" w:ascii="Times New Roman" w:hAnsi="Times New Roman" w:eastAsia="Times New Roman" w:cs="Times New Roman"/>
        <w:w w:val="101"/>
        <w:lang w:val="en-US" w:eastAsia="en-US" w:bidi="ar-SA"/>
      </w:rPr>
    </w:lvl>
    <w:lvl w:ilvl="1">
      <w:start w:val="0"/>
      <w:numFmt w:val="bullet"/>
      <w:lvlText w:val="•"/>
      <w:lvlJc w:val="left"/>
      <w:pPr>
        <w:ind w:left="288" w:hanging="106"/>
      </w:pPr>
      <w:rPr>
        <w:rFonts w:hint="default"/>
        <w:lang w:val="en-US" w:eastAsia="en-US" w:bidi="ar-SA"/>
      </w:rPr>
    </w:lvl>
    <w:lvl w:ilvl="2">
      <w:start w:val="0"/>
      <w:numFmt w:val="bullet"/>
      <w:lvlText w:val="•"/>
      <w:lvlJc w:val="left"/>
      <w:pPr>
        <w:ind w:left="437" w:hanging="106"/>
      </w:pPr>
      <w:rPr>
        <w:rFonts w:hint="default"/>
        <w:lang w:val="en-US" w:eastAsia="en-US" w:bidi="ar-SA"/>
      </w:rPr>
    </w:lvl>
    <w:lvl w:ilvl="3">
      <w:start w:val="0"/>
      <w:numFmt w:val="bullet"/>
      <w:lvlText w:val="•"/>
      <w:lvlJc w:val="left"/>
      <w:pPr>
        <w:ind w:left="586" w:hanging="106"/>
      </w:pPr>
      <w:rPr>
        <w:rFonts w:hint="default"/>
        <w:lang w:val="en-US" w:eastAsia="en-US" w:bidi="ar-SA"/>
      </w:rPr>
    </w:lvl>
    <w:lvl w:ilvl="4">
      <w:start w:val="0"/>
      <w:numFmt w:val="bullet"/>
      <w:lvlText w:val="•"/>
      <w:lvlJc w:val="left"/>
      <w:pPr>
        <w:ind w:left="735" w:hanging="106"/>
      </w:pPr>
      <w:rPr>
        <w:rFonts w:hint="default"/>
        <w:lang w:val="en-US" w:eastAsia="en-US" w:bidi="ar-SA"/>
      </w:rPr>
    </w:lvl>
    <w:lvl w:ilvl="5">
      <w:start w:val="0"/>
      <w:numFmt w:val="bullet"/>
      <w:lvlText w:val="•"/>
      <w:lvlJc w:val="left"/>
      <w:pPr>
        <w:ind w:left="884" w:hanging="106"/>
      </w:pPr>
      <w:rPr>
        <w:rFonts w:hint="default"/>
        <w:lang w:val="en-US" w:eastAsia="en-US" w:bidi="ar-SA"/>
      </w:rPr>
    </w:lvl>
    <w:lvl w:ilvl="6">
      <w:start w:val="0"/>
      <w:numFmt w:val="bullet"/>
      <w:lvlText w:val="•"/>
      <w:lvlJc w:val="left"/>
      <w:pPr>
        <w:ind w:left="1033" w:hanging="106"/>
      </w:pPr>
      <w:rPr>
        <w:rFonts w:hint="default"/>
        <w:lang w:val="en-US" w:eastAsia="en-US" w:bidi="ar-SA"/>
      </w:rPr>
    </w:lvl>
    <w:lvl w:ilvl="7">
      <w:start w:val="0"/>
      <w:numFmt w:val="bullet"/>
      <w:lvlText w:val="•"/>
      <w:lvlJc w:val="left"/>
      <w:pPr>
        <w:ind w:left="1182" w:hanging="106"/>
      </w:pPr>
      <w:rPr>
        <w:rFonts w:hint="default"/>
        <w:lang w:val="en-US" w:eastAsia="en-US" w:bidi="ar-SA"/>
      </w:rPr>
    </w:lvl>
    <w:lvl w:ilvl="8">
      <w:start w:val="0"/>
      <w:numFmt w:val="bullet"/>
      <w:lvlText w:val="•"/>
      <w:lvlJc w:val="left"/>
      <w:pPr>
        <w:ind w:left="1331" w:hanging="106"/>
      </w:pPr>
      <w:rPr>
        <w:rFonts w:hint="default"/>
        <w:lang w:val="en-US" w:eastAsia="en-US" w:bidi="ar-SA"/>
      </w:rPr>
    </w:lvl>
  </w:abstractNum>
  <w:abstractNum w:abstractNumId="51">
    <w:multiLevelType w:val="hybridMultilevel"/>
    <w:lvl w:ilvl="0">
      <w:start w:val="0"/>
      <w:numFmt w:val="bullet"/>
      <w:lvlText w:val="-"/>
      <w:lvlJc w:val="left"/>
      <w:pPr>
        <w:ind w:left="187" w:hanging="116"/>
      </w:pPr>
      <w:rPr>
        <w:rFonts w:hint="default" w:ascii="Palatino Linotype" w:hAnsi="Palatino Linotype" w:eastAsia="Palatino Linotype" w:cs="Palatino Linotype"/>
        <w:b w:val="0"/>
        <w:bCs w:val="0"/>
        <w:i w:val="0"/>
        <w:iCs w:val="0"/>
        <w:w w:val="100"/>
        <w:sz w:val="20"/>
        <w:szCs w:val="20"/>
        <w:lang w:val="en-US" w:eastAsia="en-US" w:bidi="ar-SA"/>
      </w:rPr>
    </w:lvl>
    <w:lvl w:ilvl="1">
      <w:start w:val="0"/>
      <w:numFmt w:val="bullet"/>
      <w:lvlText w:val="•"/>
      <w:lvlJc w:val="left"/>
      <w:pPr>
        <w:ind w:left="571" w:hanging="116"/>
      </w:pPr>
      <w:rPr>
        <w:rFonts w:hint="default"/>
        <w:lang w:val="en-US" w:eastAsia="en-US" w:bidi="ar-SA"/>
      </w:rPr>
    </w:lvl>
    <w:lvl w:ilvl="2">
      <w:start w:val="0"/>
      <w:numFmt w:val="bullet"/>
      <w:lvlText w:val="•"/>
      <w:lvlJc w:val="left"/>
      <w:pPr>
        <w:ind w:left="962" w:hanging="116"/>
      </w:pPr>
      <w:rPr>
        <w:rFonts w:hint="default"/>
        <w:lang w:val="en-US" w:eastAsia="en-US" w:bidi="ar-SA"/>
      </w:rPr>
    </w:lvl>
    <w:lvl w:ilvl="3">
      <w:start w:val="0"/>
      <w:numFmt w:val="bullet"/>
      <w:lvlText w:val="•"/>
      <w:lvlJc w:val="left"/>
      <w:pPr>
        <w:ind w:left="1353" w:hanging="116"/>
      </w:pPr>
      <w:rPr>
        <w:rFonts w:hint="default"/>
        <w:lang w:val="en-US" w:eastAsia="en-US" w:bidi="ar-SA"/>
      </w:rPr>
    </w:lvl>
    <w:lvl w:ilvl="4">
      <w:start w:val="0"/>
      <w:numFmt w:val="bullet"/>
      <w:lvlText w:val="•"/>
      <w:lvlJc w:val="left"/>
      <w:pPr>
        <w:ind w:left="1745" w:hanging="116"/>
      </w:pPr>
      <w:rPr>
        <w:rFonts w:hint="default"/>
        <w:lang w:val="en-US" w:eastAsia="en-US" w:bidi="ar-SA"/>
      </w:rPr>
    </w:lvl>
    <w:lvl w:ilvl="5">
      <w:start w:val="0"/>
      <w:numFmt w:val="bullet"/>
      <w:lvlText w:val="•"/>
      <w:lvlJc w:val="left"/>
      <w:pPr>
        <w:ind w:left="2136" w:hanging="116"/>
      </w:pPr>
      <w:rPr>
        <w:rFonts w:hint="default"/>
        <w:lang w:val="en-US" w:eastAsia="en-US" w:bidi="ar-SA"/>
      </w:rPr>
    </w:lvl>
    <w:lvl w:ilvl="6">
      <w:start w:val="0"/>
      <w:numFmt w:val="bullet"/>
      <w:lvlText w:val="•"/>
      <w:lvlJc w:val="left"/>
      <w:pPr>
        <w:ind w:left="2527" w:hanging="116"/>
      </w:pPr>
      <w:rPr>
        <w:rFonts w:hint="default"/>
        <w:lang w:val="en-US" w:eastAsia="en-US" w:bidi="ar-SA"/>
      </w:rPr>
    </w:lvl>
    <w:lvl w:ilvl="7">
      <w:start w:val="0"/>
      <w:numFmt w:val="bullet"/>
      <w:lvlText w:val="•"/>
      <w:lvlJc w:val="left"/>
      <w:pPr>
        <w:ind w:left="2919" w:hanging="116"/>
      </w:pPr>
      <w:rPr>
        <w:rFonts w:hint="default"/>
        <w:lang w:val="en-US" w:eastAsia="en-US" w:bidi="ar-SA"/>
      </w:rPr>
    </w:lvl>
    <w:lvl w:ilvl="8">
      <w:start w:val="0"/>
      <w:numFmt w:val="bullet"/>
      <w:lvlText w:val="•"/>
      <w:lvlJc w:val="left"/>
      <w:pPr>
        <w:ind w:left="3310" w:hanging="116"/>
      </w:pPr>
      <w:rPr>
        <w:rFonts w:hint="default"/>
        <w:lang w:val="en-US" w:eastAsia="en-US" w:bidi="ar-SA"/>
      </w:rPr>
    </w:lvl>
  </w:abstractNum>
  <w:abstractNum w:abstractNumId="50">
    <w:multiLevelType w:val="hybridMultilevel"/>
    <w:lvl w:ilvl="0">
      <w:start w:val="0"/>
      <w:numFmt w:val="bullet"/>
      <w:lvlText w:val="-"/>
      <w:lvlJc w:val="left"/>
      <w:pPr>
        <w:ind w:left="187" w:hanging="116"/>
      </w:pPr>
      <w:rPr>
        <w:rFonts w:hint="default" w:ascii="Palatino Linotype" w:hAnsi="Palatino Linotype" w:eastAsia="Palatino Linotype" w:cs="Palatino Linotype"/>
        <w:b w:val="0"/>
        <w:bCs w:val="0"/>
        <w:i w:val="0"/>
        <w:iCs w:val="0"/>
        <w:w w:val="100"/>
        <w:sz w:val="20"/>
        <w:szCs w:val="20"/>
        <w:lang w:val="en-US" w:eastAsia="en-US" w:bidi="ar-SA"/>
      </w:rPr>
    </w:lvl>
    <w:lvl w:ilvl="1">
      <w:start w:val="0"/>
      <w:numFmt w:val="bullet"/>
      <w:lvlText w:val="•"/>
      <w:lvlJc w:val="left"/>
      <w:pPr>
        <w:ind w:left="571" w:hanging="116"/>
      </w:pPr>
      <w:rPr>
        <w:rFonts w:hint="default"/>
        <w:lang w:val="en-US" w:eastAsia="en-US" w:bidi="ar-SA"/>
      </w:rPr>
    </w:lvl>
    <w:lvl w:ilvl="2">
      <w:start w:val="0"/>
      <w:numFmt w:val="bullet"/>
      <w:lvlText w:val="•"/>
      <w:lvlJc w:val="left"/>
      <w:pPr>
        <w:ind w:left="962" w:hanging="116"/>
      </w:pPr>
      <w:rPr>
        <w:rFonts w:hint="default"/>
        <w:lang w:val="en-US" w:eastAsia="en-US" w:bidi="ar-SA"/>
      </w:rPr>
    </w:lvl>
    <w:lvl w:ilvl="3">
      <w:start w:val="0"/>
      <w:numFmt w:val="bullet"/>
      <w:lvlText w:val="•"/>
      <w:lvlJc w:val="left"/>
      <w:pPr>
        <w:ind w:left="1353" w:hanging="116"/>
      </w:pPr>
      <w:rPr>
        <w:rFonts w:hint="default"/>
        <w:lang w:val="en-US" w:eastAsia="en-US" w:bidi="ar-SA"/>
      </w:rPr>
    </w:lvl>
    <w:lvl w:ilvl="4">
      <w:start w:val="0"/>
      <w:numFmt w:val="bullet"/>
      <w:lvlText w:val="•"/>
      <w:lvlJc w:val="left"/>
      <w:pPr>
        <w:ind w:left="1745" w:hanging="116"/>
      </w:pPr>
      <w:rPr>
        <w:rFonts w:hint="default"/>
        <w:lang w:val="en-US" w:eastAsia="en-US" w:bidi="ar-SA"/>
      </w:rPr>
    </w:lvl>
    <w:lvl w:ilvl="5">
      <w:start w:val="0"/>
      <w:numFmt w:val="bullet"/>
      <w:lvlText w:val="•"/>
      <w:lvlJc w:val="left"/>
      <w:pPr>
        <w:ind w:left="2136" w:hanging="116"/>
      </w:pPr>
      <w:rPr>
        <w:rFonts w:hint="default"/>
        <w:lang w:val="en-US" w:eastAsia="en-US" w:bidi="ar-SA"/>
      </w:rPr>
    </w:lvl>
    <w:lvl w:ilvl="6">
      <w:start w:val="0"/>
      <w:numFmt w:val="bullet"/>
      <w:lvlText w:val="•"/>
      <w:lvlJc w:val="left"/>
      <w:pPr>
        <w:ind w:left="2527" w:hanging="116"/>
      </w:pPr>
      <w:rPr>
        <w:rFonts w:hint="default"/>
        <w:lang w:val="en-US" w:eastAsia="en-US" w:bidi="ar-SA"/>
      </w:rPr>
    </w:lvl>
    <w:lvl w:ilvl="7">
      <w:start w:val="0"/>
      <w:numFmt w:val="bullet"/>
      <w:lvlText w:val="•"/>
      <w:lvlJc w:val="left"/>
      <w:pPr>
        <w:ind w:left="2919" w:hanging="116"/>
      </w:pPr>
      <w:rPr>
        <w:rFonts w:hint="default"/>
        <w:lang w:val="en-US" w:eastAsia="en-US" w:bidi="ar-SA"/>
      </w:rPr>
    </w:lvl>
    <w:lvl w:ilvl="8">
      <w:start w:val="0"/>
      <w:numFmt w:val="bullet"/>
      <w:lvlText w:val="•"/>
      <w:lvlJc w:val="left"/>
      <w:pPr>
        <w:ind w:left="3310" w:hanging="116"/>
      </w:pPr>
      <w:rPr>
        <w:rFonts w:hint="default"/>
        <w:lang w:val="en-US" w:eastAsia="en-US" w:bidi="ar-SA"/>
      </w:rPr>
    </w:lvl>
  </w:abstractNum>
  <w:abstractNum w:abstractNumId="49">
    <w:multiLevelType w:val="hybridMultilevel"/>
    <w:lvl w:ilvl="0">
      <w:start w:val="0"/>
      <w:numFmt w:val="bullet"/>
      <w:lvlText w:val="-"/>
      <w:lvlJc w:val="left"/>
      <w:pPr>
        <w:ind w:left="187" w:hanging="116"/>
      </w:pPr>
      <w:rPr>
        <w:rFonts w:hint="default" w:ascii="Palatino Linotype" w:hAnsi="Palatino Linotype" w:eastAsia="Palatino Linotype" w:cs="Palatino Linotype"/>
        <w:b w:val="0"/>
        <w:bCs w:val="0"/>
        <w:i w:val="0"/>
        <w:iCs w:val="0"/>
        <w:w w:val="100"/>
        <w:sz w:val="20"/>
        <w:szCs w:val="20"/>
        <w:lang w:val="en-US" w:eastAsia="en-US" w:bidi="ar-SA"/>
      </w:rPr>
    </w:lvl>
    <w:lvl w:ilvl="1">
      <w:start w:val="0"/>
      <w:numFmt w:val="bullet"/>
      <w:lvlText w:val="•"/>
      <w:lvlJc w:val="left"/>
      <w:pPr>
        <w:ind w:left="571" w:hanging="116"/>
      </w:pPr>
      <w:rPr>
        <w:rFonts w:hint="default"/>
        <w:lang w:val="en-US" w:eastAsia="en-US" w:bidi="ar-SA"/>
      </w:rPr>
    </w:lvl>
    <w:lvl w:ilvl="2">
      <w:start w:val="0"/>
      <w:numFmt w:val="bullet"/>
      <w:lvlText w:val="•"/>
      <w:lvlJc w:val="left"/>
      <w:pPr>
        <w:ind w:left="962" w:hanging="116"/>
      </w:pPr>
      <w:rPr>
        <w:rFonts w:hint="default"/>
        <w:lang w:val="en-US" w:eastAsia="en-US" w:bidi="ar-SA"/>
      </w:rPr>
    </w:lvl>
    <w:lvl w:ilvl="3">
      <w:start w:val="0"/>
      <w:numFmt w:val="bullet"/>
      <w:lvlText w:val="•"/>
      <w:lvlJc w:val="left"/>
      <w:pPr>
        <w:ind w:left="1353" w:hanging="116"/>
      </w:pPr>
      <w:rPr>
        <w:rFonts w:hint="default"/>
        <w:lang w:val="en-US" w:eastAsia="en-US" w:bidi="ar-SA"/>
      </w:rPr>
    </w:lvl>
    <w:lvl w:ilvl="4">
      <w:start w:val="0"/>
      <w:numFmt w:val="bullet"/>
      <w:lvlText w:val="•"/>
      <w:lvlJc w:val="left"/>
      <w:pPr>
        <w:ind w:left="1745" w:hanging="116"/>
      </w:pPr>
      <w:rPr>
        <w:rFonts w:hint="default"/>
        <w:lang w:val="en-US" w:eastAsia="en-US" w:bidi="ar-SA"/>
      </w:rPr>
    </w:lvl>
    <w:lvl w:ilvl="5">
      <w:start w:val="0"/>
      <w:numFmt w:val="bullet"/>
      <w:lvlText w:val="•"/>
      <w:lvlJc w:val="left"/>
      <w:pPr>
        <w:ind w:left="2136" w:hanging="116"/>
      </w:pPr>
      <w:rPr>
        <w:rFonts w:hint="default"/>
        <w:lang w:val="en-US" w:eastAsia="en-US" w:bidi="ar-SA"/>
      </w:rPr>
    </w:lvl>
    <w:lvl w:ilvl="6">
      <w:start w:val="0"/>
      <w:numFmt w:val="bullet"/>
      <w:lvlText w:val="•"/>
      <w:lvlJc w:val="left"/>
      <w:pPr>
        <w:ind w:left="2527" w:hanging="116"/>
      </w:pPr>
      <w:rPr>
        <w:rFonts w:hint="default"/>
        <w:lang w:val="en-US" w:eastAsia="en-US" w:bidi="ar-SA"/>
      </w:rPr>
    </w:lvl>
    <w:lvl w:ilvl="7">
      <w:start w:val="0"/>
      <w:numFmt w:val="bullet"/>
      <w:lvlText w:val="•"/>
      <w:lvlJc w:val="left"/>
      <w:pPr>
        <w:ind w:left="2919" w:hanging="116"/>
      </w:pPr>
      <w:rPr>
        <w:rFonts w:hint="default"/>
        <w:lang w:val="en-US" w:eastAsia="en-US" w:bidi="ar-SA"/>
      </w:rPr>
    </w:lvl>
    <w:lvl w:ilvl="8">
      <w:start w:val="0"/>
      <w:numFmt w:val="bullet"/>
      <w:lvlText w:val="•"/>
      <w:lvlJc w:val="left"/>
      <w:pPr>
        <w:ind w:left="3310" w:hanging="116"/>
      </w:pPr>
      <w:rPr>
        <w:rFonts w:hint="default"/>
        <w:lang w:val="en-US" w:eastAsia="en-US" w:bidi="ar-SA"/>
      </w:rPr>
    </w:lvl>
  </w:abstractNum>
  <w:abstractNum w:abstractNumId="48">
    <w:multiLevelType w:val="hybridMultilevel"/>
    <w:lvl w:ilvl="0">
      <w:start w:val="0"/>
      <w:numFmt w:val="bullet"/>
      <w:lvlText w:val="*"/>
      <w:lvlJc w:val="left"/>
      <w:pPr>
        <w:ind w:left="2246" w:hanging="154"/>
      </w:pPr>
      <w:rPr>
        <w:rFonts w:hint="default" w:ascii="Times New Roman" w:hAnsi="Times New Roman" w:eastAsia="Times New Roman" w:cs="Times New Roman"/>
        <w:b w:val="0"/>
        <w:bCs w:val="0"/>
        <w:i w:val="0"/>
        <w:iCs w:val="0"/>
        <w:w w:val="100"/>
        <w:sz w:val="20"/>
        <w:szCs w:val="20"/>
        <w:lang w:val="en-US" w:eastAsia="en-US" w:bidi="ar-SA"/>
      </w:rPr>
    </w:lvl>
    <w:lvl w:ilvl="1">
      <w:start w:val="0"/>
      <w:numFmt w:val="bullet"/>
      <w:lvlText w:val="•"/>
      <w:lvlJc w:val="left"/>
      <w:pPr>
        <w:ind w:left="3202" w:hanging="154"/>
      </w:pPr>
      <w:rPr>
        <w:rFonts w:hint="default"/>
        <w:lang w:val="en-US" w:eastAsia="en-US" w:bidi="ar-SA"/>
      </w:rPr>
    </w:lvl>
    <w:lvl w:ilvl="2">
      <w:start w:val="0"/>
      <w:numFmt w:val="bullet"/>
      <w:lvlText w:val="•"/>
      <w:lvlJc w:val="left"/>
      <w:pPr>
        <w:ind w:left="4164" w:hanging="154"/>
      </w:pPr>
      <w:rPr>
        <w:rFonts w:hint="default"/>
        <w:lang w:val="en-US" w:eastAsia="en-US" w:bidi="ar-SA"/>
      </w:rPr>
    </w:lvl>
    <w:lvl w:ilvl="3">
      <w:start w:val="0"/>
      <w:numFmt w:val="bullet"/>
      <w:lvlText w:val="•"/>
      <w:lvlJc w:val="left"/>
      <w:pPr>
        <w:ind w:left="5127" w:hanging="154"/>
      </w:pPr>
      <w:rPr>
        <w:rFonts w:hint="default"/>
        <w:lang w:val="en-US" w:eastAsia="en-US" w:bidi="ar-SA"/>
      </w:rPr>
    </w:lvl>
    <w:lvl w:ilvl="4">
      <w:start w:val="0"/>
      <w:numFmt w:val="bullet"/>
      <w:lvlText w:val="•"/>
      <w:lvlJc w:val="left"/>
      <w:pPr>
        <w:ind w:left="6089" w:hanging="154"/>
      </w:pPr>
      <w:rPr>
        <w:rFonts w:hint="default"/>
        <w:lang w:val="en-US" w:eastAsia="en-US" w:bidi="ar-SA"/>
      </w:rPr>
    </w:lvl>
    <w:lvl w:ilvl="5">
      <w:start w:val="0"/>
      <w:numFmt w:val="bullet"/>
      <w:lvlText w:val="•"/>
      <w:lvlJc w:val="left"/>
      <w:pPr>
        <w:ind w:left="7052" w:hanging="154"/>
      </w:pPr>
      <w:rPr>
        <w:rFonts w:hint="default"/>
        <w:lang w:val="en-US" w:eastAsia="en-US" w:bidi="ar-SA"/>
      </w:rPr>
    </w:lvl>
    <w:lvl w:ilvl="6">
      <w:start w:val="0"/>
      <w:numFmt w:val="bullet"/>
      <w:lvlText w:val="•"/>
      <w:lvlJc w:val="left"/>
      <w:pPr>
        <w:ind w:left="8014" w:hanging="154"/>
      </w:pPr>
      <w:rPr>
        <w:rFonts w:hint="default"/>
        <w:lang w:val="en-US" w:eastAsia="en-US" w:bidi="ar-SA"/>
      </w:rPr>
    </w:lvl>
    <w:lvl w:ilvl="7">
      <w:start w:val="0"/>
      <w:numFmt w:val="bullet"/>
      <w:lvlText w:val="•"/>
      <w:lvlJc w:val="left"/>
      <w:pPr>
        <w:ind w:left="8976" w:hanging="154"/>
      </w:pPr>
      <w:rPr>
        <w:rFonts w:hint="default"/>
        <w:lang w:val="en-US" w:eastAsia="en-US" w:bidi="ar-SA"/>
      </w:rPr>
    </w:lvl>
    <w:lvl w:ilvl="8">
      <w:start w:val="0"/>
      <w:numFmt w:val="bullet"/>
      <w:lvlText w:val="•"/>
      <w:lvlJc w:val="left"/>
      <w:pPr>
        <w:ind w:left="9939" w:hanging="154"/>
      </w:pPr>
      <w:rPr>
        <w:rFonts w:hint="default"/>
        <w:lang w:val="en-US" w:eastAsia="en-US" w:bidi="ar-SA"/>
      </w:rPr>
    </w:lvl>
  </w:abstractNum>
  <w:abstractNum w:abstractNumId="47">
    <w:multiLevelType w:val="hybridMultilevel"/>
    <w:lvl w:ilvl="0">
      <w:start w:val="1"/>
      <w:numFmt w:val="lowerRoman"/>
      <w:lvlText w:val="(%1)"/>
      <w:lvlJc w:val="left"/>
      <w:pPr>
        <w:ind w:left="409" w:hanging="216"/>
        <w:jc w:val="left"/>
      </w:pPr>
      <w:rPr>
        <w:rFonts w:hint="default" w:ascii="Times New Roman" w:hAnsi="Times New Roman" w:eastAsia="Times New Roman" w:cs="Times New Roman"/>
        <w:b w:val="0"/>
        <w:bCs w:val="0"/>
        <w:i w:val="0"/>
        <w:iCs w:val="0"/>
        <w:spacing w:val="-3"/>
        <w:w w:val="101"/>
        <w:sz w:val="18"/>
        <w:szCs w:val="18"/>
        <w:lang w:val="en-US" w:eastAsia="en-US" w:bidi="ar-SA"/>
      </w:rPr>
    </w:lvl>
    <w:lvl w:ilvl="1">
      <w:start w:val="0"/>
      <w:numFmt w:val="bullet"/>
      <w:lvlText w:val="•"/>
      <w:lvlJc w:val="left"/>
      <w:pPr>
        <w:ind w:left="509" w:hanging="216"/>
      </w:pPr>
      <w:rPr>
        <w:rFonts w:hint="default"/>
        <w:lang w:val="en-US" w:eastAsia="en-US" w:bidi="ar-SA"/>
      </w:rPr>
    </w:lvl>
    <w:lvl w:ilvl="2">
      <w:start w:val="0"/>
      <w:numFmt w:val="bullet"/>
      <w:lvlText w:val="•"/>
      <w:lvlJc w:val="left"/>
      <w:pPr>
        <w:ind w:left="619" w:hanging="216"/>
      </w:pPr>
      <w:rPr>
        <w:rFonts w:hint="default"/>
        <w:lang w:val="en-US" w:eastAsia="en-US" w:bidi="ar-SA"/>
      </w:rPr>
    </w:lvl>
    <w:lvl w:ilvl="3">
      <w:start w:val="0"/>
      <w:numFmt w:val="bullet"/>
      <w:lvlText w:val="•"/>
      <w:lvlJc w:val="left"/>
      <w:pPr>
        <w:ind w:left="729" w:hanging="216"/>
      </w:pPr>
      <w:rPr>
        <w:rFonts w:hint="default"/>
        <w:lang w:val="en-US" w:eastAsia="en-US" w:bidi="ar-SA"/>
      </w:rPr>
    </w:lvl>
    <w:lvl w:ilvl="4">
      <w:start w:val="0"/>
      <w:numFmt w:val="bullet"/>
      <w:lvlText w:val="•"/>
      <w:lvlJc w:val="left"/>
      <w:pPr>
        <w:ind w:left="839" w:hanging="216"/>
      </w:pPr>
      <w:rPr>
        <w:rFonts w:hint="default"/>
        <w:lang w:val="en-US" w:eastAsia="en-US" w:bidi="ar-SA"/>
      </w:rPr>
    </w:lvl>
    <w:lvl w:ilvl="5">
      <w:start w:val="0"/>
      <w:numFmt w:val="bullet"/>
      <w:lvlText w:val="•"/>
      <w:lvlJc w:val="left"/>
      <w:pPr>
        <w:ind w:left="949" w:hanging="216"/>
      </w:pPr>
      <w:rPr>
        <w:rFonts w:hint="default"/>
        <w:lang w:val="en-US" w:eastAsia="en-US" w:bidi="ar-SA"/>
      </w:rPr>
    </w:lvl>
    <w:lvl w:ilvl="6">
      <w:start w:val="0"/>
      <w:numFmt w:val="bullet"/>
      <w:lvlText w:val="•"/>
      <w:lvlJc w:val="left"/>
      <w:pPr>
        <w:ind w:left="1059" w:hanging="216"/>
      </w:pPr>
      <w:rPr>
        <w:rFonts w:hint="default"/>
        <w:lang w:val="en-US" w:eastAsia="en-US" w:bidi="ar-SA"/>
      </w:rPr>
    </w:lvl>
    <w:lvl w:ilvl="7">
      <w:start w:val="0"/>
      <w:numFmt w:val="bullet"/>
      <w:lvlText w:val="•"/>
      <w:lvlJc w:val="left"/>
      <w:pPr>
        <w:ind w:left="1169" w:hanging="216"/>
      </w:pPr>
      <w:rPr>
        <w:rFonts w:hint="default"/>
        <w:lang w:val="en-US" w:eastAsia="en-US" w:bidi="ar-SA"/>
      </w:rPr>
    </w:lvl>
    <w:lvl w:ilvl="8">
      <w:start w:val="0"/>
      <w:numFmt w:val="bullet"/>
      <w:lvlText w:val="•"/>
      <w:lvlJc w:val="left"/>
      <w:pPr>
        <w:ind w:left="1279" w:hanging="216"/>
      </w:pPr>
      <w:rPr>
        <w:rFonts w:hint="default"/>
        <w:lang w:val="en-US" w:eastAsia="en-US" w:bidi="ar-SA"/>
      </w:rPr>
    </w:lvl>
  </w:abstractNum>
  <w:abstractNum w:abstractNumId="46">
    <w:multiLevelType w:val="hybridMultilevel"/>
    <w:lvl w:ilvl="0">
      <w:start w:val="1"/>
      <w:numFmt w:val="lowerRoman"/>
      <w:lvlText w:val="(%1)"/>
      <w:lvlJc w:val="left"/>
      <w:pPr>
        <w:ind w:left="442" w:hanging="216"/>
        <w:jc w:val="left"/>
      </w:pPr>
      <w:rPr>
        <w:rFonts w:hint="default" w:ascii="Times New Roman" w:hAnsi="Times New Roman" w:eastAsia="Times New Roman" w:cs="Times New Roman"/>
        <w:b w:val="0"/>
        <w:bCs w:val="0"/>
        <w:i w:val="0"/>
        <w:iCs w:val="0"/>
        <w:spacing w:val="-3"/>
        <w:w w:val="101"/>
        <w:sz w:val="18"/>
        <w:szCs w:val="18"/>
        <w:lang w:val="en-US" w:eastAsia="en-US" w:bidi="ar-SA"/>
      </w:rPr>
    </w:lvl>
    <w:lvl w:ilvl="1">
      <w:start w:val="0"/>
      <w:numFmt w:val="bullet"/>
      <w:lvlText w:val="•"/>
      <w:lvlJc w:val="left"/>
      <w:pPr>
        <w:ind w:left="530" w:hanging="216"/>
      </w:pPr>
      <w:rPr>
        <w:rFonts w:hint="default"/>
        <w:lang w:val="en-US" w:eastAsia="en-US" w:bidi="ar-SA"/>
      </w:rPr>
    </w:lvl>
    <w:lvl w:ilvl="2">
      <w:start w:val="0"/>
      <w:numFmt w:val="bullet"/>
      <w:lvlText w:val="•"/>
      <w:lvlJc w:val="left"/>
      <w:pPr>
        <w:ind w:left="620" w:hanging="216"/>
      </w:pPr>
      <w:rPr>
        <w:rFonts w:hint="default"/>
        <w:lang w:val="en-US" w:eastAsia="en-US" w:bidi="ar-SA"/>
      </w:rPr>
    </w:lvl>
    <w:lvl w:ilvl="3">
      <w:start w:val="0"/>
      <w:numFmt w:val="bullet"/>
      <w:lvlText w:val="•"/>
      <w:lvlJc w:val="left"/>
      <w:pPr>
        <w:ind w:left="711" w:hanging="216"/>
      </w:pPr>
      <w:rPr>
        <w:rFonts w:hint="default"/>
        <w:lang w:val="en-US" w:eastAsia="en-US" w:bidi="ar-SA"/>
      </w:rPr>
    </w:lvl>
    <w:lvl w:ilvl="4">
      <w:start w:val="0"/>
      <w:numFmt w:val="bullet"/>
      <w:lvlText w:val="•"/>
      <w:lvlJc w:val="left"/>
      <w:pPr>
        <w:ind w:left="801" w:hanging="216"/>
      </w:pPr>
      <w:rPr>
        <w:rFonts w:hint="default"/>
        <w:lang w:val="en-US" w:eastAsia="en-US" w:bidi="ar-SA"/>
      </w:rPr>
    </w:lvl>
    <w:lvl w:ilvl="5">
      <w:start w:val="0"/>
      <w:numFmt w:val="bullet"/>
      <w:lvlText w:val="•"/>
      <w:lvlJc w:val="left"/>
      <w:pPr>
        <w:ind w:left="892" w:hanging="216"/>
      </w:pPr>
      <w:rPr>
        <w:rFonts w:hint="default"/>
        <w:lang w:val="en-US" w:eastAsia="en-US" w:bidi="ar-SA"/>
      </w:rPr>
    </w:lvl>
    <w:lvl w:ilvl="6">
      <w:start w:val="0"/>
      <w:numFmt w:val="bullet"/>
      <w:lvlText w:val="•"/>
      <w:lvlJc w:val="left"/>
      <w:pPr>
        <w:ind w:left="982" w:hanging="216"/>
      </w:pPr>
      <w:rPr>
        <w:rFonts w:hint="default"/>
        <w:lang w:val="en-US" w:eastAsia="en-US" w:bidi="ar-SA"/>
      </w:rPr>
    </w:lvl>
    <w:lvl w:ilvl="7">
      <w:start w:val="0"/>
      <w:numFmt w:val="bullet"/>
      <w:lvlText w:val="•"/>
      <w:lvlJc w:val="left"/>
      <w:pPr>
        <w:ind w:left="1072" w:hanging="216"/>
      </w:pPr>
      <w:rPr>
        <w:rFonts w:hint="default"/>
        <w:lang w:val="en-US" w:eastAsia="en-US" w:bidi="ar-SA"/>
      </w:rPr>
    </w:lvl>
    <w:lvl w:ilvl="8">
      <w:start w:val="0"/>
      <w:numFmt w:val="bullet"/>
      <w:lvlText w:val="•"/>
      <w:lvlJc w:val="left"/>
      <w:pPr>
        <w:ind w:left="1163" w:hanging="216"/>
      </w:pPr>
      <w:rPr>
        <w:rFonts w:hint="default"/>
        <w:lang w:val="en-US" w:eastAsia="en-US" w:bidi="ar-SA"/>
      </w:rPr>
    </w:lvl>
  </w:abstractNum>
  <w:abstractNum w:abstractNumId="45">
    <w:multiLevelType w:val="hybridMultilevel"/>
    <w:lvl w:ilvl="0">
      <w:start w:val="0"/>
      <w:numFmt w:val="bullet"/>
      <w:lvlText w:val="-"/>
      <w:lvlJc w:val="left"/>
      <w:pPr>
        <w:ind w:left="219" w:hanging="116"/>
      </w:pPr>
      <w:rPr>
        <w:rFonts w:hint="default" w:ascii="Palatino Linotype" w:hAnsi="Palatino Linotype" w:eastAsia="Palatino Linotype" w:cs="Palatino Linotype"/>
        <w:b w:val="0"/>
        <w:bCs w:val="0"/>
        <w:i w:val="0"/>
        <w:iCs w:val="0"/>
        <w:w w:val="100"/>
        <w:sz w:val="20"/>
        <w:szCs w:val="20"/>
        <w:lang w:val="en-US" w:eastAsia="en-US" w:bidi="ar-SA"/>
      </w:rPr>
    </w:lvl>
    <w:lvl w:ilvl="1">
      <w:start w:val="1"/>
      <w:numFmt w:val="lowerRoman"/>
      <w:lvlText w:val="(%2)"/>
      <w:lvlJc w:val="left"/>
      <w:pPr>
        <w:ind w:left="559" w:hanging="221"/>
        <w:jc w:val="left"/>
      </w:pPr>
      <w:rPr>
        <w:rFonts w:hint="default" w:ascii="Times New Roman" w:hAnsi="Times New Roman" w:eastAsia="Times New Roman" w:cs="Times New Roman"/>
        <w:b w:val="0"/>
        <w:bCs w:val="0"/>
        <w:i w:val="0"/>
        <w:iCs w:val="0"/>
        <w:spacing w:val="-3"/>
        <w:w w:val="101"/>
        <w:sz w:val="18"/>
        <w:szCs w:val="18"/>
        <w:lang w:val="en-US" w:eastAsia="en-US" w:bidi="ar-SA"/>
      </w:rPr>
    </w:lvl>
    <w:lvl w:ilvl="2">
      <w:start w:val="0"/>
      <w:numFmt w:val="bullet"/>
      <w:lvlText w:val="•"/>
      <w:lvlJc w:val="left"/>
      <w:pPr>
        <w:ind w:left="915" w:hanging="221"/>
      </w:pPr>
      <w:rPr>
        <w:rFonts w:hint="default"/>
        <w:lang w:val="en-US" w:eastAsia="en-US" w:bidi="ar-SA"/>
      </w:rPr>
    </w:lvl>
    <w:lvl w:ilvl="3">
      <w:start w:val="0"/>
      <w:numFmt w:val="bullet"/>
      <w:lvlText w:val="•"/>
      <w:lvlJc w:val="left"/>
      <w:pPr>
        <w:ind w:left="1270" w:hanging="221"/>
      </w:pPr>
      <w:rPr>
        <w:rFonts w:hint="default"/>
        <w:lang w:val="en-US" w:eastAsia="en-US" w:bidi="ar-SA"/>
      </w:rPr>
    </w:lvl>
    <w:lvl w:ilvl="4">
      <w:start w:val="0"/>
      <w:numFmt w:val="bullet"/>
      <w:lvlText w:val="•"/>
      <w:lvlJc w:val="left"/>
      <w:pPr>
        <w:ind w:left="1625" w:hanging="221"/>
      </w:pPr>
      <w:rPr>
        <w:rFonts w:hint="default"/>
        <w:lang w:val="en-US" w:eastAsia="en-US" w:bidi="ar-SA"/>
      </w:rPr>
    </w:lvl>
    <w:lvl w:ilvl="5">
      <w:start w:val="0"/>
      <w:numFmt w:val="bullet"/>
      <w:lvlText w:val="•"/>
      <w:lvlJc w:val="left"/>
      <w:pPr>
        <w:ind w:left="1980" w:hanging="221"/>
      </w:pPr>
      <w:rPr>
        <w:rFonts w:hint="default"/>
        <w:lang w:val="en-US" w:eastAsia="en-US" w:bidi="ar-SA"/>
      </w:rPr>
    </w:lvl>
    <w:lvl w:ilvl="6">
      <w:start w:val="0"/>
      <w:numFmt w:val="bullet"/>
      <w:lvlText w:val="•"/>
      <w:lvlJc w:val="left"/>
      <w:pPr>
        <w:ind w:left="2336" w:hanging="221"/>
      </w:pPr>
      <w:rPr>
        <w:rFonts w:hint="default"/>
        <w:lang w:val="en-US" w:eastAsia="en-US" w:bidi="ar-SA"/>
      </w:rPr>
    </w:lvl>
    <w:lvl w:ilvl="7">
      <w:start w:val="0"/>
      <w:numFmt w:val="bullet"/>
      <w:lvlText w:val="•"/>
      <w:lvlJc w:val="left"/>
      <w:pPr>
        <w:ind w:left="2691" w:hanging="221"/>
      </w:pPr>
      <w:rPr>
        <w:rFonts w:hint="default"/>
        <w:lang w:val="en-US" w:eastAsia="en-US" w:bidi="ar-SA"/>
      </w:rPr>
    </w:lvl>
    <w:lvl w:ilvl="8">
      <w:start w:val="0"/>
      <w:numFmt w:val="bullet"/>
      <w:lvlText w:val="•"/>
      <w:lvlJc w:val="left"/>
      <w:pPr>
        <w:ind w:left="3046" w:hanging="221"/>
      </w:pPr>
      <w:rPr>
        <w:rFonts w:hint="default"/>
        <w:lang w:val="en-US" w:eastAsia="en-US" w:bidi="ar-SA"/>
      </w:rPr>
    </w:lvl>
  </w:abstractNum>
  <w:abstractNum w:abstractNumId="44">
    <w:multiLevelType w:val="hybridMultilevel"/>
    <w:lvl w:ilvl="0">
      <w:start w:val="1"/>
      <w:numFmt w:val="lowerRoman"/>
      <w:lvlText w:val="(%1)"/>
      <w:lvlJc w:val="left"/>
      <w:pPr>
        <w:ind w:left="407" w:hanging="216"/>
        <w:jc w:val="left"/>
      </w:pPr>
      <w:rPr>
        <w:rFonts w:hint="default" w:ascii="Times New Roman" w:hAnsi="Times New Roman" w:eastAsia="Times New Roman" w:cs="Times New Roman"/>
        <w:b w:val="0"/>
        <w:bCs w:val="0"/>
        <w:i w:val="0"/>
        <w:iCs w:val="0"/>
        <w:spacing w:val="-3"/>
        <w:w w:val="101"/>
        <w:sz w:val="18"/>
        <w:szCs w:val="18"/>
        <w:lang w:val="en-US" w:eastAsia="en-US" w:bidi="ar-SA"/>
      </w:rPr>
    </w:lvl>
    <w:lvl w:ilvl="1">
      <w:start w:val="0"/>
      <w:numFmt w:val="bullet"/>
      <w:lvlText w:val="•"/>
      <w:lvlJc w:val="left"/>
      <w:pPr>
        <w:ind w:left="514" w:hanging="216"/>
      </w:pPr>
      <w:rPr>
        <w:rFonts w:hint="default"/>
        <w:lang w:val="en-US" w:eastAsia="en-US" w:bidi="ar-SA"/>
      </w:rPr>
    </w:lvl>
    <w:lvl w:ilvl="2">
      <w:start w:val="0"/>
      <w:numFmt w:val="bullet"/>
      <w:lvlText w:val="•"/>
      <w:lvlJc w:val="left"/>
      <w:pPr>
        <w:ind w:left="628" w:hanging="216"/>
      </w:pPr>
      <w:rPr>
        <w:rFonts w:hint="default"/>
        <w:lang w:val="en-US" w:eastAsia="en-US" w:bidi="ar-SA"/>
      </w:rPr>
    </w:lvl>
    <w:lvl w:ilvl="3">
      <w:start w:val="0"/>
      <w:numFmt w:val="bullet"/>
      <w:lvlText w:val="•"/>
      <w:lvlJc w:val="left"/>
      <w:pPr>
        <w:ind w:left="742" w:hanging="216"/>
      </w:pPr>
      <w:rPr>
        <w:rFonts w:hint="default"/>
        <w:lang w:val="en-US" w:eastAsia="en-US" w:bidi="ar-SA"/>
      </w:rPr>
    </w:lvl>
    <w:lvl w:ilvl="4">
      <w:start w:val="0"/>
      <w:numFmt w:val="bullet"/>
      <w:lvlText w:val="•"/>
      <w:lvlJc w:val="left"/>
      <w:pPr>
        <w:ind w:left="856" w:hanging="216"/>
      </w:pPr>
      <w:rPr>
        <w:rFonts w:hint="default"/>
        <w:lang w:val="en-US" w:eastAsia="en-US" w:bidi="ar-SA"/>
      </w:rPr>
    </w:lvl>
    <w:lvl w:ilvl="5">
      <w:start w:val="0"/>
      <w:numFmt w:val="bullet"/>
      <w:lvlText w:val="•"/>
      <w:lvlJc w:val="left"/>
      <w:pPr>
        <w:ind w:left="971" w:hanging="216"/>
      </w:pPr>
      <w:rPr>
        <w:rFonts w:hint="default"/>
        <w:lang w:val="en-US" w:eastAsia="en-US" w:bidi="ar-SA"/>
      </w:rPr>
    </w:lvl>
    <w:lvl w:ilvl="6">
      <w:start w:val="0"/>
      <w:numFmt w:val="bullet"/>
      <w:lvlText w:val="•"/>
      <w:lvlJc w:val="left"/>
      <w:pPr>
        <w:ind w:left="1085" w:hanging="216"/>
      </w:pPr>
      <w:rPr>
        <w:rFonts w:hint="default"/>
        <w:lang w:val="en-US" w:eastAsia="en-US" w:bidi="ar-SA"/>
      </w:rPr>
    </w:lvl>
    <w:lvl w:ilvl="7">
      <w:start w:val="0"/>
      <w:numFmt w:val="bullet"/>
      <w:lvlText w:val="•"/>
      <w:lvlJc w:val="left"/>
      <w:pPr>
        <w:ind w:left="1199" w:hanging="216"/>
      </w:pPr>
      <w:rPr>
        <w:rFonts w:hint="default"/>
        <w:lang w:val="en-US" w:eastAsia="en-US" w:bidi="ar-SA"/>
      </w:rPr>
    </w:lvl>
    <w:lvl w:ilvl="8">
      <w:start w:val="0"/>
      <w:numFmt w:val="bullet"/>
      <w:lvlText w:val="•"/>
      <w:lvlJc w:val="left"/>
      <w:pPr>
        <w:ind w:left="1313" w:hanging="216"/>
      </w:pPr>
      <w:rPr>
        <w:rFonts w:hint="default"/>
        <w:lang w:val="en-US" w:eastAsia="en-US" w:bidi="ar-SA"/>
      </w:rPr>
    </w:lvl>
  </w:abstractNum>
  <w:abstractNum w:abstractNumId="43">
    <w:multiLevelType w:val="hybridMultilevel"/>
    <w:lvl w:ilvl="0">
      <w:start w:val="1"/>
      <w:numFmt w:val="lowerRoman"/>
      <w:lvlText w:val="(%1)"/>
      <w:lvlJc w:val="left"/>
      <w:pPr>
        <w:ind w:left="407" w:hanging="216"/>
        <w:jc w:val="left"/>
      </w:pPr>
      <w:rPr>
        <w:rFonts w:hint="default" w:ascii="Times New Roman" w:hAnsi="Times New Roman" w:eastAsia="Times New Roman" w:cs="Times New Roman"/>
        <w:b w:val="0"/>
        <w:bCs w:val="0"/>
        <w:i w:val="0"/>
        <w:iCs w:val="0"/>
        <w:spacing w:val="-3"/>
        <w:w w:val="101"/>
        <w:sz w:val="18"/>
        <w:szCs w:val="18"/>
        <w:lang w:val="en-US" w:eastAsia="en-US" w:bidi="ar-SA"/>
      </w:rPr>
    </w:lvl>
    <w:lvl w:ilvl="1">
      <w:start w:val="0"/>
      <w:numFmt w:val="bullet"/>
      <w:lvlText w:val="•"/>
      <w:lvlJc w:val="left"/>
      <w:pPr>
        <w:ind w:left="514" w:hanging="216"/>
      </w:pPr>
      <w:rPr>
        <w:rFonts w:hint="default"/>
        <w:lang w:val="en-US" w:eastAsia="en-US" w:bidi="ar-SA"/>
      </w:rPr>
    </w:lvl>
    <w:lvl w:ilvl="2">
      <w:start w:val="0"/>
      <w:numFmt w:val="bullet"/>
      <w:lvlText w:val="•"/>
      <w:lvlJc w:val="left"/>
      <w:pPr>
        <w:ind w:left="628" w:hanging="216"/>
      </w:pPr>
      <w:rPr>
        <w:rFonts w:hint="default"/>
        <w:lang w:val="en-US" w:eastAsia="en-US" w:bidi="ar-SA"/>
      </w:rPr>
    </w:lvl>
    <w:lvl w:ilvl="3">
      <w:start w:val="0"/>
      <w:numFmt w:val="bullet"/>
      <w:lvlText w:val="•"/>
      <w:lvlJc w:val="left"/>
      <w:pPr>
        <w:ind w:left="742" w:hanging="216"/>
      </w:pPr>
      <w:rPr>
        <w:rFonts w:hint="default"/>
        <w:lang w:val="en-US" w:eastAsia="en-US" w:bidi="ar-SA"/>
      </w:rPr>
    </w:lvl>
    <w:lvl w:ilvl="4">
      <w:start w:val="0"/>
      <w:numFmt w:val="bullet"/>
      <w:lvlText w:val="•"/>
      <w:lvlJc w:val="left"/>
      <w:pPr>
        <w:ind w:left="856" w:hanging="216"/>
      </w:pPr>
      <w:rPr>
        <w:rFonts w:hint="default"/>
        <w:lang w:val="en-US" w:eastAsia="en-US" w:bidi="ar-SA"/>
      </w:rPr>
    </w:lvl>
    <w:lvl w:ilvl="5">
      <w:start w:val="0"/>
      <w:numFmt w:val="bullet"/>
      <w:lvlText w:val="•"/>
      <w:lvlJc w:val="left"/>
      <w:pPr>
        <w:ind w:left="971" w:hanging="216"/>
      </w:pPr>
      <w:rPr>
        <w:rFonts w:hint="default"/>
        <w:lang w:val="en-US" w:eastAsia="en-US" w:bidi="ar-SA"/>
      </w:rPr>
    </w:lvl>
    <w:lvl w:ilvl="6">
      <w:start w:val="0"/>
      <w:numFmt w:val="bullet"/>
      <w:lvlText w:val="•"/>
      <w:lvlJc w:val="left"/>
      <w:pPr>
        <w:ind w:left="1085" w:hanging="216"/>
      </w:pPr>
      <w:rPr>
        <w:rFonts w:hint="default"/>
        <w:lang w:val="en-US" w:eastAsia="en-US" w:bidi="ar-SA"/>
      </w:rPr>
    </w:lvl>
    <w:lvl w:ilvl="7">
      <w:start w:val="0"/>
      <w:numFmt w:val="bullet"/>
      <w:lvlText w:val="•"/>
      <w:lvlJc w:val="left"/>
      <w:pPr>
        <w:ind w:left="1199" w:hanging="216"/>
      </w:pPr>
      <w:rPr>
        <w:rFonts w:hint="default"/>
        <w:lang w:val="en-US" w:eastAsia="en-US" w:bidi="ar-SA"/>
      </w:rPr>
    </w:lvl>
    <w:lvl w:ilvl="8">
      <w:start w:val="0"/>
      <w:numFmt w:val="bullet"/>
      <w:lvlText w:val="•"/>
      <w:lvlJc w:val="left"/>
      <w:pPr>
        <w:ind w:left="1313" w:hanging="216"/>
      </w:pPr>
      <w:rPr>
        <w:rFonts w:hint="default"/>
        <w:lang w:val="en-US" w:eastAsia="en-US" w:bidi="ar-SA"/>
      </w:rPr>
    </w:lvl>
  </w:abstractNum>
  <w:abstractNum w:abstractNumId="42">
    <w:multiLevelType w:val="hybridMultilevel"/>
    <w:lvl w:ilvl="0">
      <w:start w:val="1"/>
      <w:numFmt w:val="lowerRoman"/>
      <w:lvlText w:val="(%1)"/>
      <w:lvlJc w:val="left"/>
      <w:pPr>
        <w:ind w:left="407" w:hanging="216"/>
        <w:jc w:val="left"/>
      </w:pPr>
      <w:rPr>
        <w:rFonts w:hint="default" w:ascii="Times New Roman" w:hAnsi="Times New Roman" w:eastAsia="Times New Roman" w:cs="Times New Roman"/>
        <w:b w:val="0"/>
        <w:bCs w:val="0"/>
        <w:i w:val="0"/>
        <w:iCs w:val="0"/>
        <w:spacing w:val="-3"/>
        <w:w w:val="101"/>
        <w:sz w:val="18"/>
        <w:szCs w:val="18"/>
        <w:lang w:val="en-US" w:eastAsia="en-US" w:bidi="ar-SA"/>
      </w:rPr>
    </w:lvl>
    <w:lvl w:ilvl="1">
      <w:start w:val="0"/>
      <w:numFmt w:val="bullet"/>
      <w:lvlText w:val="•"/>
      <w:lvlJc w:val="left"/>
      <w:pPr>
        <w:ind w:left="514" w:hanging="216"/>
      </w:pPr>
      <w:rPr>
        <w:rFonts w:hint="default"/>
        <w:lang w:val="en-US" w:eastAsia="en-US" w:bidi="ar-SA"/>
      </w:rPr>
    </w:lvl>
    <w:lvl w:ilvl="2">
      <w:start w:val="0"/>
      <w:numFmt w:val="bullet"/>
      <w:lvlText w:val="•"/>
      <w:lvlJc w:val="left"/>
      <w:pPr>
        <w:ind w:left="628" w:hanging="216"/>
      </w:pPr>
      <w:rPr>
        <w:rFonts w:hint="default"/>
        <w:lang w:val="en-US" w:eastAsia="en-US" w:bidi="ar-SA"/>
      </w:rPr>
    </w:lvl>
    <w:lvl w:ilvl="3">
      <w:start w:val="0"/>
      <w:numFmt w:val="bullet"/>
      <w:lvlText w:val="•"/>
      <w:lvlJc w:val="left"/>
      <w:pPr>
        <w:ind w:left="742" w:hanging="216"/>
      </w:pPr>
      <w:rPr>
        <w:rFonts w:hint="default"/>
        <w:lang w:val="en-US" w:eastAsia="en-US" w:bidi="ar-SA"/>
      </w:rPr>
    </w:lvl>
    <w:lvl w:ilvl="4">
      <w:start w:val="0"/>
      <w:numFmt w:val="bullet"/>
      <w:lvlText w:val="•"/>
      <w:lvlJc w:val="left"/>
      <w:pPr>
        <w:ind w:left="856" w:hanging="216"/>
      </w:pPr>
      <w:rPr>
        <w:rFonts w:hint="default"/>
        <w:lang w:val="en-US" w:eastAsia="en-US" w:bidi="ar-SA"/>
      </w:rPr>
    </w:lvl>
    <w:lvl w:ilvl="5">
      <w:start w:val="0"/>
      <w:numFmt w:val="bullet"/>
      <w:lvlText w:val="•"/>
      <w:lvlJc w:val="left"/>
      <w:pPr>
        <w:ind w:left="971" w:hanging="216"/>
      </w:pPr>
      <w:rPr>
        <w:rFonts w:hint="default"/>
        <w:lang w:val="en-US" w:eastAsia="en-US" w:bidi="ar-SA"/>
      </w:rPr>
    </w:lvl>
    <w:lvl w:ilvl="6">
      <w:start w:val="0"/>
      <w:numFmt w:val="bullet"/>
      <w:lvlText w:val="•"/>
      <w:lvlJc w:val="left"/>
      <w:pPr>
        <w:ind w:left="1085" w:hanging="216"/>
      </w:pPr>
      <w:rPr>
        <w:rFonts w:hint="default"/>
        <w:lang w:val="en-US" w:eastAsia="en-US" w:bidi="ar-SA"/>
      </w:rPr>
    </w:lvl>
    <w:lvl w:ilvl="7">
      <w:start w:val="0"/>
      <w:numFmt w:val="bullet"/>
      <w:lvlText w:val="•"/>
      <w:lvlJc w:val="left"/>
      <w:pPr>
        <w:ind w:left="1199" w:hanging="216"/>
      </w:pPr>
      <w:rPr>
        <w:rFonts w:hint="default"/>
        <w:lang w:val="en-US" w:eastAsia="en-US" w:bidi="ar-SA"/>
      </w:rPr>
    </w:lvl>
    <w:lvl w:ilvl="8">
      <w:start w:val="0"/>
      <w:numFmt w:val="bullet"/>
      <w:lvlText w:val="•"/>
      <w:lvlJc w:val="left"/>
      <w:pPr>
        <w:ind w:left="1313" w:hanging="216"/>
      </w:pPr>
      <w:rPr>
        <w:rFonts w:hint="default"/>
        <w:lang w:val="en-US" w:eastAsia="en-US" w:bidi="ar-SA"/>
      </w:rPr>
    </w:lvl>
  </w:abstractNum>
  <w:abstractNum w:abstractNumId="41">
    <w:multiLevelType w:val="hybridMultilevel"/>
    <w:lvl w:ilvl="0">
      <w:start w:val="1"/>
      <w:numFmt w:val="lowerRoman"/>
      <w:lvlText w:val="(%1)"/>
      <w:lvlJc w:val="left"/>
      <w:pPr>
        <w:ind w:left="407" w:hanging="216"/>
        <w:jc w:val="left"/>
      </w:pPr>
      <w:rPr>
        <w:rFonts w:hint="default" w:ascii="Times New Roman" w:hAnsi="Times New Roman" w:eastAsia="Times New Roman" w:cs="Times New Roman"/>
        <w:b w:val="0"/>
        <w:bCs w:val="0"/>
        <w:i w:val="0"/>
        <w:iCs w:val="0"/>
        <w:spacing w:val="-3"/>
        <w:w w:val="101"/>
        <w:sz w:val="18"/>
        <w:szCs w:val="18"/>
        <w:lang w:val="en-US" w:eastAsia="en-US" w:bidi="ar-SA"/>
      </w:rPr>
    </w:lvl>
    <w:lvl w:ilvl="1">
      <w:start w:val="0"/>
      <w:numFmt w:val="bullet"/>
      <w:lvlText w:val="•"/>
      <w:lvlJc w:val="left"/>
      <w:pPr>
        <w:ind w:left="514" w:hanging="216"/>
      </w:pPr>
      <w:rPr>
        <w:rFonts w:hint="default"/>
        <w:lang w:val="en-US" w:eastAsia="en-US" w:bidi="ar-SA"/>
      </w:rPr>
    </w:lvl>
    <w:lvl w:ilvl="2">
      <w:start w:val="0"/>
      <w:numFmt w:val="bullet"/>
      <w:lvlText w:val="•"/>
      <w:lvlJc w:val="left"/>
      <w:pPr>
        <w:ind w:left="628" w:hanging="216"/>
      </w:pPr>
      <w:rPr>
        <w:rFonts w:hint="default"/>
        <w:lang w:val="en-US" w:eastAsia="en-US" w:bidi="ar-SA"/>
      </w:rPr>
    </w:lvl>
    <w:lvl w:ilvl="3">
      <w:start w:val="0"/>
      <w:numFmt w:val="bullet"/>
      <w:lvlText w:val="•"/>
      <w:lvlJc w:val="left"/>
      <w:pPr>
        <w:ind w:left="742" w:hanging="216"/>
      </w:pPr>
      <w:rPr>
        <w:rFonts w:hint="default"/>
        <w:lang w:val="en-US" w:eastAsia="en-US" w:bidi="ar-SA"/>
      </w:rPr>
    </w:lvl>
    <w:lvl w:ilvl="4">
      <w:start w:val="0"/>
      <w:numFmt w:val="bullet"/>
      <w:lvlText w:val="•"/>
      <w:lvlJc w:val="left"/>
      <w:pPr>
        <w:ind w:left="856" w:hanging="216"/>
      </w:pPr>
      <w:rPr>
        <w:rFonts w:hint="default"/>
        <w:lang w:val="en-US" w:eastAsia="en-US" w:bidi="ar-SA"/>
      </w:rPr>
    </w:lvl>
    <w:lvl w:ilvl="5">
      <w:start w:val="0"/>
      <w:numFmt w:val="bullet"/>
      <w:lvlText w:val="•"/>
      <w:lvlJc w:val="left"/>
      <w:pPr>
        <w:ind w:left="971" w:hanging="216"/>
      </w:pPr>
      <w:rPr>
        <w:rFonts w:hint="default"/>
        <w:lang w:val="en-US" w:eastAsia="en-US" w:bidi="ar-SA"/>
      </w:rPr>
    </w:lvl>
    <w:lvl w:ilvl="6">
      <w:start w:val="0"/>
      <w:numFmt w:val="bullet"/>
      <w:lvlText w:val="•"/>
      <w:lvlJc w:val="left"/>
      <w:pPr>
        <w:ind w:left="1085" w:hanging="216"/>
      </w:pPr>
      <w:rPr>
        <w:rFonts w:hint="default"/>
        <w:lang w:val="en-US" w:eastAsia="en-US" w:bidi="ar-SA"/>
      </w:rPr>
    </w:lvl>
    <w:lvl w:ilvl="7">
      <w:start w:val="0"/>
      <w:numFmt w:val="bullet"/>
      <w:lvlText w:val="•"/>
      <w:lvlJc w:val="left"/>
      <w:pPr>
        <w:ind w:left="1199" w:hanging="216"/>
      </w:pPr>
      <w:rPr>
        <w:rFonts w:hint="default"/>
        <w:lang w:val="en-US" w:eastAsia="en-US" w:bidi="ar-SA"/>
      </w:rPr>
    </w:lvl>
    <w:lvl w:ilvl="8">
      <w:start w:val="0"/>
      <w:numFmt w:val="bullet"/>
      <w:lvlText w:val="•"/>
      <w:lvlJc w:val="left"/>
      <w:pPr>
        <w:ind w:left="1313" w:hanging="216"/>
      </w:pPr>
      <w:rPr>
        <w:rFonts w:hint="default"/>
        <w:lang w:val="en-US" w:eastAsia="en-US" w:bidi="ar-SA"/>
      </w:rPr>
    </w:lvl>
  </w:abstractNum>
  <w:abstractNum w:abstractNumId="40">
    <w:multiLevelType w:val="hybridMultilevel"/>
    <w:lvl w:ilvl="0">
      <w:start w:val="1"/>
      <w:numFmt w:val="lowerRoman"/>
      <w:lvlText w:val="(%1)"/>
      <w:lvlJc w:val="left"/>
      <w:pPr>
        <w:ind w:left="334" w:hanging="221"/>
        <w:jc w:val="left"/>
      </w:pPr>
      <w:rPr>
        <w:rFonts w:hint="default" w:ascii="Times New Roman" w:hAnsi="Times New Roman" w:eastAsia="Times New Roman" w:cs="Times New Roman"/>
        <w:b w:val="0"/>
        <w:bCs w:val="0"/>
        <w:i w:val="0"/>
        <w:iCs w:val="0"/>
        <w:spacing w:val="-3"/>
        <w:w w:val="101"/>
        <w:sz w:val="18"/>
        <w:szCs w:val="18"/>
        <w:lang w:val="en-US" w:eastAsia="en-US" w:bidi="ar-SA"/>
      </w:rPr>
    </w:lvl>
    <w:lvl w:ilvl="1">
      <w:start w:val="0"/>
      <w:numFmt w:val="bullet"/>
      <w:lvlText w:val="•"/>
      <w:lvlJc w:val="left"/>
      <w:pPr>
        <w:ind w:left="429" w:hanging="221"/>
      </w:pPr>
      <w:rPr>
        <w:rFonts w:hint="default"/>
        <w:lang w:val="en-US" w:eastAsia="en-US" w:bidi="ar-SA"/>
      </w:rPr>
    </w:lvl>
    <w:lvl w:ilvl="2">
      <w:start w:val="0"/>
      <w:numFmt w:val="bullet"/>
      <w:lvlText w:val="•"/>
      <w:lvlJc w:val="left"/>
      <w:pPr>
        <w:ind w:left="518" w:hanging="221"/>
      </w:pPr>
      <w:rPr>
        <w:rFonts w:hint="default"/>
        <w:lang w:val="en-US" w:eastAsia="en-US" w:bidi="ar-SA"/>
      </w:rPr>
    </w:lvl>
    <w:lvl w:ilvl="3">
      <w:start w:val="0"/>
      <w:numFmt w:val="bullet"/>
      <w:lvlText w:val="•"/>
      <w:lvlJc w:val="left"/>
      <w:pPr>
        <w:ind w:left="607" w:hanging="221"/>
      </w:pPr>
      <w:rPr>
        <w:rFonts w:hint="default"/>
        <w:lang w:val="en-US" w:eastAsia="en-US" w:bidi="ar-SA"/>
      </w:rPr>
    </w:lvl>
    <w:lvl w:ilvl="4">
      <w:start w:val="0"/>
      <w:numFmt w:val="bullet"/>
      <w:lvlText w:val="•"/>
      <w:lvlJc w:val="left"/>
      <w:pPr>
        <w:ind w:left="697" w:hanging="221"/>
      </w:pPr>
      <w:rPr>
        <w:rFonts w:hint="default"/>
        <w:lang w:val="en-US" w:eastAsia="en-US" w:bidi="ar-SA"/>
      </w:rPr>
    </w:lvl>
    <w:lvl w:ilvl="5">
      <w:start w:val="0"/>
      <w:numFmt w:val="bullet"/>
      <w:lvlText w:val="•"/>
      <w:lvlJc w:val="left"/>
      <w:pPr>
        <w:ind w:left="786" w:hanging="221"/>
      </w:pPr>
      <w:rPr>
        <w:rFonts w:hint="default"/>
        <w:lang w:val="en-US" w:eastAsia="en-US" w:bidi="ar-SA"/>
      </w:rPr>
    </w:lvl>
    <w:lvl w:ilvl="6">
      <w:start w:val="0"/>
      <w:numFmt w:val="bullet"/>
      <w:lvlText w:val="•"/>
      <w:lvlJc w:val="left"/>
      <w:pPr>
        <w:ind w:left="875" w:hanging="221"/>
      </w:pPr>
      <w:rPr>
        <w:rFonts w:hint="default"/>
        <w:lang w:val="en-US" w:eastAsia="en-US" w:bidi="ar-SA"/>
      </w:rPr>
    </w:lvl>
    <w:lvl w:ilvl="7">
      <w:start w:val="0"/>
      <w:numFmt w:val="bullet"/>
      <w:lvlText w:val="•"/>
      <w:lvlJc w:val="left"/>
      <w:pPr>
        <w:ind w:left="965" w:hanging="221"/>
      </w:pPr>
      <w:rPr>
        <w:rFonts w:hint="default"/>
        <w:lang w:val="en-US" w:eastAsia="en-US" w:bidi="ar-SA"/>
      </w:rPr>
    </w:lvl>
    <w:lvl w:ilvl="8">
      <w:start w:val="0"/>
      <w:numFmt w:val="bullet"/>
      <w:lvlText w:val="•"/>
      <w:lvlJc w:val="left"/>
      <w:pPr>
        <w:ind w:left="1054" w:hanging="221"/>
      </w:pPr>
      <w:rPr>
        <w:rFonts w:hint="default"/>
        <w:lang w:val="en-US" w:eastAsia="en-US" w:bidi="ar-SA"/>
      </w:rPr>
    </w:lvl>
  </w:abstractNum>
  <w:abstractNum w:abstractNumId="39">
    <w:multiLevelType w:val="hybridMultilevel"/>
    <w:lvl w:ilvl="0">
      <w:start w:val="1"/>
      <w:numFmt w:val="lowerRoman"/>
      <w:lvlText w:val="(%1)"/>
      <w:lvlJc w:val="left"/>
      <w:pPr>
        <w:ind w:left="334" w:hanging="221"/>
        <w:jc w:val="left"/>
      </w:pPr>
      <w:rPr>
        <w:rFonts w:hint="default" w:ascii="Times New Roman" w:hAnsi="Times New Roman" w:eastAsia="Times New Roman" w:cs="Times New Roman"/>
        <w:b w:val="0"/>
        <w:bCs w:val="0"/>
        <w:i w:val="0"/>
        <w:iCs w:val="0"/>
        <w:spacing w:val="-3"/>
        <w:w w:val="101"/>
        <w:sz w:val="18"/>
        <w:szCs w:val="18"/>
        <w:lang w:val="en-US" w:eastAsia="en-US" w:bidi="ar-SA"/>
      </w:rPr>
    </w:lvl>
    <w:lvl w:ilvl="1">
      <w:start w:val="0"/>
      <w:numFmt w:val="bullet"/>
      <w:lvlText w:val="•"/>
      <w:lvlJc w:val="left"/>
      <w:pPr>
        <w:ind w:left="429" w:hanging="221"/>
      </w:pPr>
      <w:rPr>
        <w:rFonts w:hint="default"/>
        <w:lang w:val="en-US" w:eastAsia="en-US" w:bidi="ar-SA"/>
      </w:rPr>
    </w:lvl>
    <w:lvl w:ilvl="2">
      <w:start w:val="0"/>
      <w:numFmt w:val="bullet"/>
      <w:lvlText w:val="•"/>
      <w:lvlJc w:val="left"/>
      <w:pPr>
        <w:ind w:left="518" w:hanging="221"/>
      </w:pPr>
      <w:rPr>
        <w:rFonts w:hint="default"/>
        <w:lang w:val="en-US" w:eastAsia="en-US" w:bidi="ar-SA"/>
      </w:rPr>
    </w:lvl>
    <w:lvl w:ilvl="3">
      <w:start w:val="0"/>
      <w:numFmt w:val="bullet"/>
      <w:lvlText w:val="•"/>
      <w:lvlJc w:val="left"/>
      <w:pPr>
        <w:ind w:left="607" w:hanging="221"/>
      </w:pPr>
      <w:rPr>
        <w:rFonts w:hint="default"/>
        <w:lang w:val="en-US" w:eastAsia="en-US" w:bidi="ar-SA"/>
      </w:rPr>
    </w:lvl>
    <w:lvl w:ilvl="4">
      <w:start w:val="0"/>
      <w:numFmt w:val="bullet"/>
      <w:lvlText w:val="•"/>
      <w:lvlJc w:val="left"/>
      <w:pPr>
        <w:ind w:left="697" w:hanging="221"/>
      </w:pPr>
      <w:rPr>
        <w:rFonts w:hint="default"/>
        <w:lang w:val="en-US" w:eastAsia="en-US" w:bidi="ar-SA"/>
      </w:rPr>
    </w:lvl>
    <w:lvl w:ilvl="5">
      <w:start w:val="0"/>
      <w:numFmt w:val="bullet"/>
      <w:lvlText w:val="•"/>
      <w:lvlJc w:val="left"/>
      <w:pPr>
        <w:ind w:left="786" w:hanging="221"/>
      </w:pPr>
      <w:rPr>
        <w:rFonts w:hint="default"/>
        <w:lang w:val="en-US" w:eastAsia="en-US" w:bidi="ar-SA"/>
      </w:rPr>
    </w:lvl>
    <w:lvl w:ilvl="6">
      <w:start w:val="0"/>
      <w:numFmt w:val="bullet"/>
      <w:lvlText w:val="•"/>
      <w:lvlJc w:val="left"/>
      <w:pPr>
        <w:ind w:left="875" w:hanging="221"/>
      </w:pPr>
      <w:rPr>
        <w:rFonts w:hint="default"/>
        <w:lang w:val="en-US" w:eastAsia="en-US" w:bidi="ar-SA"/>
      </w:rPr>
    </w:lvl>
    <w:lvl w:ilvl="7">
      <w:start w:val="0"/>
      <w:numFmt w:val="bullet"/>
      <w:lvlText w:val="•"/>
      <w:lvlJc w:val="left"/>
      <w:pPr>
        <w:ind w:left="965" w:hanging="221"/>
      </w:pPr>
      <w:rPr>
        <w:rFonts w:hint="default"/>
        <w:lang w:val="en-US" w:eastAsia="en-US" w:bidi="ar-SA"/>
      </w:rPr>
    </w:lvl>
    <w:lvl w:ilvl="8">
      <w:start w:val="0"/>
      <w:numFmt w:val="bullet"/>
      <w:lvlText w:val="•"/>
      <w:lvlJc w:val="left"/>
      <w:pPr>
        <w:ind w:left="1054" w:hanging="221"/>
      </w:pPr>
      <w:rPr>
        <w:rFonts w:hint="default"/>
        <w:lang w:val="en-US" w:eastAsia="en-US" w:bidi="ar-SA"/>
      </w:rPr>
    </w:lvl>
  </w:abstractNum>
  <w:abstractNum w:abstractNumId="38">
    <w:multiLevelType w:val="hybridMultilevel"/>
    <w:lvl w:ilvl="0">
      <w:start w:val="1"/>
      <w:numFmt w:val="lowerRoman"/>
      <w:lvlText w:val="(%1)"/>
      <w:lvlJc w:val="left"/>
      <w:pPr>
        <w:ind w:left="334" w:hanging="221"/>
        <w:jc w:val="left"/>
      </w:pPr>
      <w:rPr>
        <w:rFonts w:hint="default" w:ascii="Times New Roman" w:hAnsi="Times New Roman" w:eastAsia="Times New Roman" w:cs="Times New Roman"/>
        <w:b w:val="0"/>
        <w:bCs w:val="0"/>
        <w:i w:val="0"/>
        <w:iCs w:val="0"/>
        <w:spacing w:val="-3"/>
        <w:w w:val="101"/>
        <w:sz w:val="18"/>
        <w:szCs w:val="18"/>
        <w:lang w:val="en-US" w:eastAsia="en-US" w:bidi="ar-SA"/>
      </w:rPr>
    </w:lvl>
    <w:lvl w:ilvl="1">
      <w:start w:val="0"/>
      <w:numFmt w:val="bullet"/>
      <w:lvlText w:val="•"/>
      <w:lvlJc w:val="left"/>
      <w:pPr>
        <w:ind w:left="429" w:hanging="221"/>
      </w:pPr>
      <w:rPr>
        <w:rFonts w:hint="default"/>
        <w:lang w:val="en-US" w:eastAsia="en-US" w:bidi="ar-SA"/>
      </w:rPr>
    </w:lvl>
    <w:lvl w:ilvl="2">
      <w:start w:val="0"/>
      <w:numFmt w:val="bullet"/>
      <w:lvlText w:val="•"/>
      <w:lvlJc w:val="left"/>
      <w:pPr>
        <w:ind w:left="518" w:hanging="221"/>
      </w:pPr>
      <w:rPr>
        <w:rFonts w:hint="default"/>
        <w:lang w:val="en-US" w:eastAsia="en-US" w:bidi="ar-SA"/>
      </w:rPr>
    </w:lvl>
    <w:lvl w:ilvl="3">
      <w:start w:val="0"/>
      <w:numFmt w:val="bullet"/>
      <w:lvlText w:val="•"/>
      <w:lvlJc w:val="left"/>
      <w:pPr>
        <w:ind w:left="607" w:hanging="221"/>
      </w:pPr>
      <w:rPr>
        <w:rFonts w:hint="default"/>
        <w:lang w:val="en-US" w:eastAsia="en-US" w:bidi="ar-SA"/>
      </w:rPr>
    </w:lvl>
    <w:lvl w:ilvl="4">
      <w:start w:val="0"/>
      <w:numFmt w:val="bullet"/>
      <w:lvlText w:val="•"/>
      <w:lvlJc w:val="left"/>
      <w:pPr>
        <w:ind w:left="697" w:hanging="221"/>
      </w:pPr>
      <w:rPr>
        <w:rFonts w:hint="default"/>
        <w:lang w:val="en-US" w:eastAsia="en-US" w:bidi="ar-SA"/>
      </w:rPr>
    </w:lvl>
    <w:lvl w:ilvl="5">
      <w:start w:val="0"/>
      <w:numFmt w:val="bullet"/>
      <w:lvlText w:val="•"/>
      <w:lvlJc w:val="left"/>
      <w:pPr>
        <w:ind w:left="786" w:hanging="221"/>
      </w:pPr>
      <w:rPr>
        <w:rFonts w:hint="default"/>
        <w:lang w:val="en-US" w:eastAsia="en-US" w:bidi="ar-SA"/>
      </w:rPr>
    </w:lvl>
    <w:lvl w:ilvl="6">
      <w:start w:val="0"/>
      <w:numFmt w:val="bullet"/>
      <w:lvlText w:val="•"/>
      <w:lvlJc w:val="left"/>
      <w:pPr>
        <w:ind w:left="875" w:hanging="221"/>
      </w:pPr>
      <w:rPr>
        <w:rFonts w:hint="default"/>
        <w:lang w:val="en-US" w:eastAsia="en-US" w:bidi="ar-SA"/>
      </w:rPr>
    </w:lvl>
    <w:lvl w:ilvl="7">
      <w:start w:val="0"/>
      <w:numFmt w:val="bullet"/>
      <w:lvlText w:val="•"/>
      <w:lvlJc w:val="left"/>
      <w:pPr>
        <w:ind w:left="965" w:hanging="221"/>
      </w:pPr>
      <w:rPr>
        <w:rFonts w:hint="default"/>
        <w:lang w:val="en-US" w:eastAsia="en-US" w:bidi="ar-SA"/>
      </w:rPr>
    </w:lvl>
    <w:lvl w:ilvl="8">
      <w:start w:val="0"/>
      <w:numFmt w:val="bullet"/>
      <w:lvlText w:val="•"/>
      <w:lvlJc w:val="left"/>
      <w:pPr>
        <w:ind w:left="1054" w:hanging="221"/>
      </w:pPr>
      <w:rPr>
        <w:rFonts w:hint="default"/>
        <w:lang w:val="en-US" w:eastAsia="en-US" w:bidi="ar-SA"/>
      </w:rPr>
    </w:lvl>
  </w:abstractNum>
  <w:abstractNum w:abstractNumId="37">
    <w:multiLevelType w:val="hybridMultilevel"/>
    <w:lvl w:ilvl="0">
      <w:start w:val="1"/>
      <w:numFmt w:val="lowerRoman"/>
      <w:lvlText w:val="(%1)"/>
      <w:lvlJc w:val="left"/>
      <w:pPr>
        <w:ind w:left="334" w:hanging="221"/>
        <w:jc w:val="left"/>
      </w:pPr>
      <w:rPr>
        <w:rFonts w:hint="default" w:ascii="Times New Roman" w:hAnsi="Times New Roman" w:eastAsia="Times New Roman" w:cs="Times New Roman"/>
        <w:b w:val="0"/>
        <w:bCs w:val="0"/>
        <w:i w:val="0"/>
        <w:iCs w:val="0"/>
        <w:spacing w:val="-3"/>
        <w:w w:val="101"/>
        <w:sz w:val="18"/>
        <w:szCs w:val="18"/>
        <w:lang w:val="en-US" w:eastAsia="en-US" w:bidi="ar-SA"/>
      </w:rPr>
    </w:lvl>
    <w:lvl w:ilvl="1">
      <w:start w:val="0"/>
      <w:numFmt w:val="bullet"/>
      <w:lvlText w:val="•"/>
      <w:lvlJc w:val="left"/>
      <w:pPr>
        <w:ind w:left="429" w:hanging="221"/>
      </w:pPr>
      <w:rPr>
        <w:rFonts w:hint="default"/>
        <w:lang w:val="en-US" w:eastAsia="en-US" w:bidi="ar-SA"/>
      </w:rPr>
    </w:lvl>
    <w:lvl w:ilvl="2">
      <w:start w:val="0"/>
      <w:numFmt w:val="bullet"/>
      <w:lvlText w:val="•"/>
      <w:lvlJc w:val="left"/>
      <w:pPr>
        <w:ind w:left="518" w:hanging="221"/>
      </w:pPr>
      <w:rPr>
        <w:rFonts w:hint="default"/>
        <w:lang w:val="en-US" w:eastAsia="en-US" w:bidi="ar-SA"/>
      </w:rPr>
    </w:lvl>
    <w:lvl w:ilvl="3">
      <w:start w:val="0"/>
      <w:numFmt w:val="bullet"/>
      <w:lvlText w:val="•"/>
      <w:lvlJc w:val="left"/>
      <w:pPr>
        <w:ind w:left="607" w:hanging="221"/>
      </w:pPr>
      <w:rPr>
        <w:rFonts w:hint="default"/>
        <w:lang w:val="en-US" w:eastAsia="en-US" w:bidi="ar-SA"/>
      </w:rPr>
    </w:lvl>
    <w:lvl w:ilvl="4">
      <w:start w:val="0"/>
      <w:numFmt w:val="bullet"/>
      <w:lvlText w:val="•"/>
      <w:lvlJc w:val="left"/>
      <w:pPr>
        <w:ind w:left="697" w:hanging="221"/>
      </w:pPr>
      <w:rPr>
        <w:rFonts w:hint="default"/>
        <w:lang w:val="en-US" w:eastAsia="en-US" w:bidi="ar-SA"/>
      </w:rPr>
    </w:lvl>
    <w:lvl w:ilvl="5">
      <w:start w:val="0"/>
      <w:numFmt w:val="bullet"/>
      <w:lvlText w:val="•"/>
      <w:lvlJc w:val="left"/>
      <w:pPr>
        <w:ind w:left="786" w:hanging="221"/>
      </w:pPr>
      <w:rPr>
        <w:rFonts w:hint="default"/>
        <w:lang w:val="en-US" w:eastAsia="en-US" w:bidi="ar-SA"/>
      </w:rPr>
    </w:lvl>
    <w:lvl w:ilvl="6">
      <w:start w:val="0"/>
      <w:numFmt w:val="bullet"/>
      <w:lvlText w:val="•"/>
      <w:lvlJc w:val="left"/>
      <w:pPr>
        <w:ind w:left="875" w:hanging="221"/>
      </w:pPr>
      <w:rPr>
        <w:rFonts w:hint="default"/>
        <w:lang w:val="en-US" w:eastAsia="en-US" w:bidi="ar-SA"/>
      </w:rPr>
    </w:lvl>
    <w:lvl w:ilvl="7">
      <w:start w:val="0"/>
      <w:numFmt w:val="bullet"/>
      <w:lvlText w:val="•"/>
      <w:lvlJc w:val="left"/>
      <w:pPr>
        <w:ind w:left="965" w:hanging="221"/>
      </w:pPr>
      <w:rPr>
        <w:rFonts w:hint="default"/>
        <w:lang w:val="en-US" w:eastAsia="en-US" w:bidi="ar-SA"/>
      </w:rPr>
    </w:lvl>
    <w:lvl w:ilvl="8">
      <w:start w:val="0"/>
      <w:numFmt w:val="bullet"/>
      <w:lvlText w:val="•"/>
      <w:lvlJc w:val="left"/>
      <w:pPr>
        <w:ind w:left="1054" w:hanging="221"/>
      </w:pPr>
      <w:rPr>
        <w:rFonts w:hint="default"/>
        <w:lang w:val="en-US" w:eastAsia="en-US" w:bidi="ar-SA"/>
      </w:rPr>
    </w:lvl>
  </w:abstractNum>
  <w:abstractNum w:abstractNumId="36">
    <w:multiLevelType w:val="hybridMultilevel"/>
    <w:lvl w:ilvl="0">
      <w:start w:val="0"/>
      <w:numFmt w:val="bullet"/>
      <w:lvlText w:val="-"/>
      <w:lvlJc w:val="left"/>
      <w:pPr>
        <w:ind w:left="234" w:hanging="116"/>
      </w:pPr>
      <w:rPr>
        <w:rFonts w:hint="default" w:ascii="Palatino Linotype" w:hAnsi="Palatino Linotype" w:eastAsia="Palatino Linotype" w:cs="Palatino Linotype"/>
        <w:b w:val="0"/>
        <w:bCs w:val="0"/>
        <w:i w:val="0"/>
        <w:iCs w:val="0"/>
        <w:w w:val="100"/>
        <w:sz w:val="20"/>
        <w:szCs w:val="20"/>
        <w:lang w:val="en-US" w:eastAsia="en-US" w:bidi="ar-SA"/>
      </w:rPr>
    </w:lvl>
    <w:lvl w:ilvl="1">
      <w:start w:val="1"/>
      <w:numFmt w:val="lowerRoman"/>
      <w:lvlText w:val="(%2)"/>
      <w:lvlJc w:val="left"/>
      <w:pPr>
        <w:ind w:left="431" w:hanging="216"/>
        <w:jc w:val="left"/>
      </w:pPr>
      <w:rPr>
        <w:rFonts w:hint="default" w:ascii="Times New Roman" w:hAnsi="Times New Roman" w:eastAsia="Times New Roman" w:cs="Times New Roman"/>
        <w:b w:val="0"/>
        <w:bCs w:val="0"/>
        <w:i w:val="0"/>
        <w:iCs w:val="0"/>
        <w:spacing w:val="-3"/>
        <w:w w:val="101"/>
        <w:sz w:val="18"/>
        <w:szCs w:val="18"/>
        <w:lang w:val="en-US" w:eastAsia="en-US" w:bidi="ar-SA"/>
      </w:rPr>
    </w:lvl>
    <w:lvl w:ilvl="2">
      <w:start w:val="0"/>
      <w:numFmt w:val="bullet"/>
      <w:lvlText w:val="•"/>
      <w:lvlJc w:val="left"/>
      <w:pPr>
        <w:ind w:left="500" w:hanging="216"/>
      </w:pPr>
      <w:rPr>
        <w:rFonts w:hint="default"/>
        <w:lang w:val="en-US" w:eastAsia="en-US" w:bidi="ar-SA"/>
      </w:rPr>
    </w:lvl>
    <w:lvl w:ilvl="3">
      <w:start w:val="0"/>
      <w:numFmt w:val="bullet"/>
      <w:lvlText w:val="•"/>
      <w:lvlJc w:val="left"/>
      <w:pPr>
        <w:ind w:left="923" w:hanging="216"/>
      </w:pPr>
      <w:rPr>
        <w:rFonts w:hint="default"/>
        <w:lang w:val="en-US" w:eastAsia="en-US" w:bidi="ar-SA"/>
      </w:rPr>
    </w:lvl>
    <w:lvl w:ilvl="4">
      <w:start w:val="0"/>
      <w:numFmt w:val="bullet"/>
      <w:lvlText w:val="•"/>
      <w:lvlJc w:val="left"/>
      <w:pPr>
        <w:ind w:left="1346" w:hanging="216"/>
      </w:pPr>
      <w:rPr>
        <w:rFonts w:hint="default"/>
        <w:lang w:val="en-US" w:eastAsia="en-US" w:bidi="ar-SA"/>
      </w:rPr>
    </w:lvl>
    <w:lvl w:ilvl="5">
      <w:start w:val="0"/>
      <w:numFmt w:val="bullet"/>
      <w:lvlText w:val="•"/>
      <w:lvlJc w:val="left"/>
      <w:pPr>
        <w:ind w:left="1769" w:hanging="216"/>
      </w:pPr>
      <w:rPr>
        <w:rFonts w:hint="default"/>
        <w:lang w:val="en-US" w:eastAsia="en-US" w:bidi="ar-SA"/>
      </w:rPr>
    </w:lvl>
    <w:lvl w:ilvl="6">
      <w:start w:val="0"/>
      <w:numFmt w:val="bullet"/>
      <w:lvlText w:val="•"/>
      <w:lvlJc w:val="left"/>
      <w:pPr>
        <w:ind w:left="2192" w:hanging="216"/>
      </w:pPr>
      <w:rPr>
        <w:rFonts w:hint="default"/>
        <w:lang w:val="en-US" w:eastAsia="en-US" w:bidi="ar-SA"/>
      </w:rPr>
    </w:lvl>
    <w:lvl w:ilvl="7">
      <w:start w:val="0"/>
      <w:numFmt w:val="bullet"/>
      <w:lvlText w:val="•"/>
      <w:lvlJc w:val="left"/>
      <w:pPr>
        <w:ind w:left="2615" w:hanging="216"/>
      </w:pPr>
      <w:rPr>
        <w:rFonts w:hint="default"/>
        <w:lang w:val="en-US" w:eastAsia="en-US" w:bidi="ar-SA"/>
      </w:rPr>
    </w:lvl>
    <w:lvl w:ilvl="8">
      <w:start w:val="0"/>
      <w:numFmt w:val="bullet"/>
      <w:lvlText w:val="•"/>
      <w:lvlJc w:val="left"/>
      <w:pPr>
        <w:ind w:left="3038" w:hanging="216"/>
      </w:pPr>
      <w:rPr>
        <w:rFonts w:hint="default"/>
        <w:lang w:val="en-US" w:eastAsia="en-US" w:bidi="ar-SA"/>
      </w:rPr>
    </w:lvl>
  </w:abstractNum>
  <w:abstractNum w:abstractNumId="35">
    <w:multiLevelType w:val="hybridMultilevel"/>
    <w:lvl w:ilvl="0">
      <w:start w:val="1"/>
      <w:numFmt w:val="lowerRoman"/>
      <w:lvlText w:val="(%1)"/>
      <w:lvlJc w:val="left"/>
      <w:pPr>
        <w:ind w:left="430" w:hanging="221"/>
        <w:jc w:val="left"/>
      </w:pPr>
      <w:rPr>
        <w:rFonts w:hint="default" w:ascii="Times New Roman" w:hAnsi="Times New Roman" w:eastAsia="Times New Roman" w:cs="Times New Roman"/>
        <w:b w:val="0"/>
        <w:bCs w:val="0"/>
        <w:i w:val="0"/>
        <w:iCs w:val="0"/>
        <w:spacing w:val="-3"/>
        <w:w w:val="101"/>
        <w:sz w:val="18"/>
        <w:szCs w:val="18"/>
        <w:lang w:val="en-US" w:eastAsia="en-US" w:bidi="ar-SA"/>
      </w:rPr>
    </w:lvl>
    <w:lvl w:ilvl="1">
      <w:start w:val="0"/>
      <w:numFmt w:val="bullet"/>
      <w:lvlText w:val="•"/>
      <w:lvlJc w:val="left"/>
      <w:pPr>
        <w:ind w:left="548" w:hanging="221"/>
      </w:pPr>
      <w:rPr>
        <w:rFonts w:hint="default"/>
        <w:lang w:val="en-US" w:eastAsia="en-US" w:bidi="ar-SA"/>
      </w:rPr>
    </w:lvl>
    <w:lvl w:ilvl="2">
      <w:start w:val="0"/>
      <w:numFmt w:val="bullet"/>
      <w:lvlText w:val="•"/>
      <w:lvlJc w:val="left"/>
      <w:pPr>
        <w:ind w:left="656" w:hanging="221"/>
      </w:pPr>
      <w:rPr>
        <w:rFonts w:hint="default"/>
        <w:lang w:val="en-US" w:eastAsia="en-US" w:bidi="ar-SA"/>
      </w:rPr>
    </w:lvl>
    <w:lvl w:ilvl="3">
      <w:start w:val="0"/>
      <w:numFmt w:val="bullet"/>
      <w:lvlText w:val="•"/>
      <w:lvlJc w:val="left"/>
      <w:pPr>
        <w:ind w:left="764" w:hanging="221"/>
      </w:pPr>
      <w:rPr>
        <w:rFonts w:hint="default"/>
        <w:lang w:val="en-US" w:eastAsia="en-US" w:bidi="ar-SA"/>
      </w:rPr>
    </w:lvl>
    <w:lvl w:ilvl="4">
      <w:start w:val="0"/>
      <w:numFmt w:val="bullet"/>
      <w:lvlText w:val="•"/>
      <w:lvlJc w:val="left"/>
      <w:pPr>
        <w:ind w:left="872" w:hanging="221"/>
      </w:pPr>
      <w:rPr>
        <w:rFonts w:hint="default"/>
        <w:lang w:val="en-US" w:eastAsia="en-US" w:bidi="ar-SA"/>
      </w:rPr>
    </w:lvl>
    <w:lvl w:ilvl="5">
      <w:start w:val="0"/>
      <w:numFmt w:val="bullet"/>
      <w:lvlText w:val="•"/>
      <w:lvlJc w:val="left"/>
      <w:pPr>
        <w:ind w:left="980" w:hanging="221"/>
      </w:pPr>
      <w:rPr>
        <w:rFonts w:hint="default"/>
        <w:lang w:val="en-US" w:eastAsia="en-US" w:bidi="ar-SA"/>
      </w:rPr>
    </w:lvl>
    <w:lvl w:ilvl="6">
      <w:start w:val="0"/>
      <w:numFmt w:val="bullet"/>
      <w:lvlText w:val="•"/>
      <w:lvlJc w:val="left"/>
      <w:pPr>
        <w:ind w:left="1088" w:hanging="221"/>
      </w:pPr>
      <w:rPr>
        <w:rFonts w:hint="default"/>
        <w:lang w:val="en-US" w:eastAsia="en-US" w:bidi="ar-SA"/>
      </w:rPr>
    </w:lvl>
    <w:lvl w:ilvl="7">
      <w:start w:val="0"/>
      <w:numFmt w:val="bullet"/>
      <w:lvlText w:val="•"/>
      <w:lvlJc w:val="left"/>
      <w:pPr>
        <w:ind w:left="1196" w:hanging="221"/>
      </w:pPr>
      <w:rPr>
        <w:rFonts w:hint="default"/>
        <w:lang w:val="en-US" w:eastAsia="en-US" w:bidi="ar-SA"/>
      </w:rPr>
    </w:lvl>
    <w:lvl w:ilvl="8">
      <w:start w:val="0"/>
      <w:numFmt w:val="bullet"/>
      <w:lvlText w:val="•"/>
      <w:lvlJc w:val="left"/>
      <w:pPr>
        <w:ind w:left="1304" w:hanging="221"/>
      </w:pPr>
      <w:rPr>
        <w:rFonts w:hint="default"/>
        <w:lang w:val="en-US" w:eastAsia="en-US" w:bidi="ar-SA"/>
      </w:rPr>
    </w:lvl>
  </w:abstractNum>
  <w:abstractNum w:abstractNumId="34">
    <w:multiLevelType w:val="hybridMultilevel"/>
    <w:lvl w:ilvl="0">
      <w:start w:val="1"/>
      <w:numFmt w:val="lowerRoman"/>
      <w:lvlText w:val="(%1)"/>
      <w:lvlJc w:val="left"/>
      <w:pPr>
        <w:ind w:left="299" w:hanging="216"/>
        <w:jc w:val="left"/>
      </w:pPr>
      <w:rPr>
        <w:rFonts w:hint="default" w:ascii="Times New Roman" w:hAnsi="Times New Roman" w:eastAsia="Times New Roman" w:cs="Times New Roman"/>
        <w:b w:val="0"/>
        <w:bCs w:val="0"/>
        <w:i w:val="0"/>
        <w:iCs w:val="0"/>
        <w:spacing w:val="-3"/>
        <w:w w:val="101"/>
        <w:sz w:val="18"/>
        <w:szCs w:val="18"/>
        <w:lang w:val="en-US" w:eastAsia="en-US" w:bidi="ar-SA"/>
      </w:rPr>
    </w:lvl>
    <w:lvl w:ilvl="1">
      <w:start w:val="0"/>
      <w:numFmt w:val="bullet"/>
      <w:lvlText w:val="•"/>
      <w:lvlJc w:val="left"/>
      <w:pPr>
        <w:ind w:left="394" w:hanging="216"/>
      </w:pPr>
      <w:rPr>
        <w:rFonts w:hint="default"/>
        <w:lang w:val="en-US" w:eastAsia="en-US" w:bidi="ar-SA"/>
      </w:rPr>
    </w:lvl>
    <w:lvl w:ilvl="2">
      <w:start w:val="0"/>
      <w:numFmt w:val="bullet"/>
      <w:lvlText w:val="•"/>
      <w:lvlJc w:val="left"/>
      <w:pPr>
        <w:ind w:left="489" w:hanging="216"/>
      </w:pPr>
      <w:rPr>
        <w:rFonts w:hint="default"/>
        <w:lang w:val="en-US" w:eastAsia="en-US" w:bidi="ar-SA"/>
      </w:rPr>
    </w:lvl>
    <w:lvl w:ilvl="3">
      <w:start w:val="0"/>
      <w:numFmt w:val="bullet"/>
      <w:lvlText w:val="•"/>
      <w:lvlJc w:val="left"/>
      <w:pPr>
        <w:ind w:left="583" w:hanging="216"/>
      </w:pPr>
      <w:rPr>
        <w:rFonts w:hint="default"/>
        <w:lang w:val="en-US" w:eastAsia="en-US" w:bidi="ar-SA"/>
      </w:rPr>
    </w:lvl>
    <w:lvl w:ilvl="4">
      <w:start w:val="0"/>
      <w:numFmt w:val="bullet"/>
      <w:lvlText w:val="•"/>
      <w:lvlJc w:val="left"/>
      <w:pPr>
        <w:ind w:left="678" w:hanging="216"/>
      </w:pPr>
      <w:rPr>
        <w:rFonts w:hint="default"/>
        <w:lang w:val="en-US" w:eastAsia="en-US" w:bidi="ar-SA"/>
      </w:rPr>
    </w:lvl>
    <w:lvl w:ilvl="5">
      <w:start w:val="0"/>
      <w:numFmt w:val="bullet"/>
      <w:lvlText w:val="•"/>
      <w:lvlJc w:val="left"/>
      <w:pPr>
        <w:ind w:left="773" w:hanging="216"/>
      </w:pPr>
      <w:rPr>
        <w:rFonts w:hint="default"/>
        <w:lang w:val="en-US" w:eastAsia="en-US" w:bidi="ar-SA"/>
      </w:rPr>
    </w:lvl>
    <w:lvl w:ilvl="6">
      <w:start w:val="0"/>
      <w:numFmt w:val="bullet"/>
      <w:lvlText w:val="•"/>
      <w:lvlJc w:val="left"/>
      <w:pPr>
        <w:ind w:left="867" w:hanging="216"/>
      </w:pPr>
      <w:rPr>
        <w:rFonts w:hint="default"/>
        <w:lang w:val="en-US" w:eastAsia="en-US" w:bidi="ar-SA"/>
      </w:rPr>
    </w:lvl>
    <w:lvl w:ilvl="7">
      <w:start w:val="0"/>
      <w:numFmt w:val="bullet"/>
      <w:lvlText w:val="•"/>
      <w:lvlJc w:val="left"/>
      <w:pPr>
        <w:ind w:left="962" w:hanging="216"/>
      </w:pPr>
      <w:rPr>
        <w:rFonts w:hint="default"/>
        <w:lang w:val="en-US" w:eastAsia="en-US" w:bidi="ar-SA"/>
      </w:rPr>
    </w:lvl>
    <w:lvl w:ilvl="8">
      <w:start w:val="0"/>
      <w:numFmt w:val="bullet"/>
      <w:lvlText w:val="•"/>
      <w:lvlJc w:val="left"/>
      <w:pPr>
        <w:ind w:left="1056" w:hanging="216"/>
      </w:pPr>
      <w:rPr>
        <w:rFonts w:hint="default"/>
        <w:lang w:val="en-US" w:eastAsia="en-US" w:bidi="ar-SA"/>
      </w:rPr>
    </w:lvl>
  </w:abstractNum>
  <w:abstractNum w:abstractNumId="33">
    <w:multiLevelType w:val="hybridMultilevel"/>
    <w:lvl w:ilvl="0">
      <w:start w:val="1"/>
      <w:numFmt w:val="lowerRoman"/>
      <w:lvlText w:val="(%1)"/>
      <w:lvlJc w:val="left"/>
      <w:pPr>
        <w:ind w:left="155" w:hanging="221"/>
        <w:jc w:val="left"/>
      </w:pPr>
      <w:rPr>
        <w:rFonts w:hint="default" w:ascii="Times New Roman" w:hAnsi="Times New Roman" w:eastAsia="Times New Roman" w:cs="Times New Roman"/>
        <w:b w:val="0"/>
        <w:bCs w:val="0"/>
        <w:i w:val="0"/>
        <w:iCs w:val="0"/>
        <w:spacing w:val="-3"/>
        <w:w w:val="101"/>
        <w:sz w:val="18"/>
        <w:szCs w:val="18"/>
        <w:lang w:val="en-US" w:eastAsia="en-US" w:bidi="ar-SA"/>
      </w:rPr>
    </w:lvl>
    <w:lvl w:ilvl="1">
      <w:start w:val="0"/>
      <w:numFmt w:val="bullet"/>
      <w:lvlText w:val="•"/>
      <w:lvlJc w:val="left"/>
      <w:pPr>
        <w:ind w:left="541" w:hanging="221"/>
      </w:pPr>
      <w:rPr>
        <w:rFonts w:hint="default"/>
        <w:lang w:val="en-US" w:eastAsia="en-US" w:bidi="ar-SA"/>
      </w:rPr>
    </w:lvl>
    <w:lvl w:ilvl="2">
      <w:start w:val="0"/>
      <w:numFmt w:val="bullet"/>
      <w:lvlText w:val="•"/>
      <w:lvlJc w:val="left"/>
      <w:pPr>
        <w:ind w:left="923" w:hanging="221"/>
      </w:pPr>
      <w:rPr>
        <w:rFonts w:hint="default"/>
        <w:lang w:val="en-US" w:eastAsia="en-US" w:bidi="ar-SA"/>
      </w:rPr>
    </w:lvl>
    <w:lvl w:ilvl="3">
      <w:start w:val="0"/>
      <w:numFmt w:val="bullet"/>
      <w:lvlText w:val="•"/>
      <w:lvlJc w:val="left"/>
      <w:pPr>
        <w:ind w:left="1304" w:hanging="221"/>
      </w:pPr>
      <w:rPr>
        <w:rFonts w:hint="default"/>
        <w:lang w:val="en-US" w:eastAsia="en-US" w:bidi="ar-SA"/>
      </w:rPr>
    </w:lvl>
    <w:lvl w:ilvl="4">
      <w:start w:val="0"/>
      <w:numFmt w:val="bullet"/>
      <w:lvlText w:val="•"/>
      <w:lvlJc w:val="left"/>
      <w:pPr>
        <w:ind w:left="1686" w:hanging="221"/>
      </w:pPr>
      <w:rPr>
        <w:rFonts w:hint="default"/>
        <w:lang w:val="en-US" w:eastAsia="en-US" w:bidi="ar-SA"/>
      </w:rPr>
    </w:lvl>
    <w:lvl w:ilvl="5">
      <w:start w:val="0"/>
      <w:numFmt w:val="bullet"/>
      <w:lvlText w:val="•"/>
      <w:lvlJc w:val="left"/>
      <w:pPr>
        <w:ind w:left="2068" w:hanging="221"/>
      </w:pPr>
      <w:rPr>
        <w:rFonts w:hint="default"/>
        <w:lang w:val="en-US" w:eastAsia="en-US" w:bidi="ar-SA"/>
      </w:rPr>
    </w:lvl>
    <w:lvl w:ilvl="6">
      <w:start w:val="0"/>
      <w:numFmt w:val="bullet"/>
      <w:lvlText w:val="•"/>
      <w:lvlJc w:val="left"/>
      <w:pPr>
        <w:ind w:left="2449" w:hanging="221"/>
      </w:pPr>
      <w:rPr>
        <w:rFonts w:hint="default"/>
        <w:lang w:val="en-US" w:eastAsia="en-US" w:bidi="ar-SA"/>
      </w:rPr>
    </w:lvl>
    <w:lvl w:ilvl="7">
      <w:start w:val="0"/>
      <w:numFmt w:val="bullet"/>
      <w:lvlText w:val="•"/>
      <w:lvlJc w:val="left"/>
      <w:pPr>
        <w:ind w:left="2831" w:hanging="221"/>
      </w:pPr>
      <w:rPr>
        <w:rFonts w:hint="default"/>
        <w:lang w:val="en-US" w:eastAsia="en-US" w:bidi="ar-SA"/>
      </w:rPr>
    </w:lvl>
    <w:lvl w:ilvl="8">
      <w:start w:val="0"/>
      <w:numFmt w:val="bullet"/>
      <w:lvlText w:val="•"/>
      <w:lvlJc w:val="left"/>
      <w:pPr>
        <w:ind w:left="3212" w:hanging="221"/>
      </w:pPr>
      <w:rPr>
        <w:rFonts w:hint="default"/>
        <w:lang w:val="en-US" w:eastAsia="en-US" w:bidi="ar-SA"/>
      </w:rPr>
    </w:lvl>
  </w:abstractNum>
  <w:abstractNum w:abstractNumId="32">
    <w:multiLevelType w:val="hybridMultilevel"/>
    <w:lvl w:ilvl="0">
      <w:start w:val="0"/>
      <w:numFmt w:val="bullet"/>
      <w:lvlText w:val="-"/>
      <w:lvlJc w:val="left"/>
      <w:pPr>
        <w:ind w:left="222" w:hanging="116"/>
      </w:pPr>
      <w:rPr>
        <w:rFonts w:hint="default" w:ascii="Palatino Linotype" w:hAnsi="Palatino Linotype" w:eastAsia="Palatino Linotype" w:cs="Palatino Linotype"/>
        <w:b w:val="0"/>
        <w:bCs w:val="0"/>
        <w:i w:val="0"/>
        <w:iCs w:val="0"/>
        <w:w w:val="100"/>
        <w:sz w:val="20"/>
        <w:szCs w:val="20"/>
        <w:lang w:val="en-US" w:eastAsia="en-US" w:bidi="ar-SA"/>
      </w:rPr>
    </w:lvl>
    <w:lvl w:ilvl="1">
      <w:start w:val="0"/>
      <w:numFmt w:val="bullet"/>
      <w:lvlText w:val="•"/>
      <w:lvlJc w:val="left"/>
      <w:pPr>
        <w:ind w:left="595" w:hanging="116"/>
      </w:pPr>
      <w:rPr>
        <w:rFonts w:hint="default"/>
        <w:lang w:val="en-US" w:eastAsia="en-US" w:bidi="ar-SA"/>
      </w:rPr>
    </w:lvl>
    <w:lvl w:ilvl="2">
      <w:start w:val="0"/>
      <w:numFmt w:val="bullet"/>
      <w:lvlText w:val="•"/>
      <w:lvlJc w:val="left"/>
      <w:pPr>
        <w:ind w:left="971" w:hanging="116"/>
      </w:pPr>
      <w:rPr>
        <w:rFonts w:hint="default"/>
        <w:lang w:val="en-US" w:eastAsia="en-US" w:bidi="ar-SA"/>
      </w:rPr>
    </w:lvl>
    <w:lvl w:ilvl="3">
      <w:start w:val="0"/>
      <w:numFmt w:val="bullet"/>
      <w:lvlText w:val="•"/>
      <w:lvlJc w:val="left"/>
      <w:pPr>
        <w:ind w:left="1346" w:hanging="116"/>
      </w:pPr>
      <w:rPr>
        <w:rFonts w:hint="default"/>
        <w:lang w:val="en-US" w:eastAsia="en-US" w:bidi="ar-SA"/>
      </w:rPr>
    </w:lvl>
    <w:lvl w:ilvl="4">
      <w:start w:val="0"/>
      <w:numFmt w:val="bullet"/>
      <w:lvlText w:val="•"/>
      <w:lvlJc w:val="left"/>
      <w:pPr>
        <w:ind w:left="1722" w:hanging="116"/>
      </w:pPr>
      <w:rPr>
        <w:rFonts w:hint="default"/>
        <w:lang w:val="en-US" w:eastAsia="en-US" w:bidi="ar-SA"/>
      </w:rPr>
    </w:lvl>
    <w:lvl w:ilvl="5">
      <w:start w:val="0"/>
      <w:numFmt w:val="bullet"/>
      <w:lvlText w:val="•"/>
      <w:lvlJc w:val="left"/>
      <w:pPr>
        <w:ind w:left="2098" w:hanging="116"/>
      </w:pPr>
      <w:rPr>
        <w:rFonts w:hint="default"/>
        <w:lang w:val="en-US" w:eastAsia="en-US" w:bidi="ar-SA"/>
      </w:rPr>
    </w:lvl>
    <w:lvl w:ilvl="6">
      <w:start w:val="0"/>
      <w:numFmt w:val="bullet"/>
      <w:lvlText w:val="•"/>
      <w:lvlJc w:val="left"/>
      <w:pPr>
        <w:ind w:left="2473" w:hanging="116"/>
      </w:pPr>
      <w:rPr>
        <w:rFonts w:hint="default"/>
        <w:lang w:val="en-US" w:eastAsia="en-US" w:bidi="ar-SA"/>
      </w:rPr>
    </w:lvl>
    <w:lvl w:ilvl="7">
      <w:start w:val="0"/>
      <w:numFmt w:val="bullet"/>
      <w:lvlText w:val="•"/>
      <w:lvlJc w:val="left"/>
      <w:pPr>
        <w:ind w:left="2849" w:hanging="116"/>
      </w:pPr>
      <w:rPr>
        <w:rFonts w:hint="default"/>
        <w:lang w:val="en-US" w:eastAsia="en-US" w:bidi="ar-SA"/>
      </w:rPr>
    </w:lvl>
    <w:lvl w:ilvl="8">
      <w:start w:val="0"/>
      <w:numFmt w:val="bullet"/>
      <w:lvlText w:val="•"/>
      <w:lvlJc w:val="left"/>
      <w:pPr>
        <w:ind w:left="3224" w:hanging="116"/>
      </w:pPr>
      <w:rPr>
        <w:rFonts w:hint="default"/>
        <w:lang w:val="en-US" w:eastAsia="en-US" w:bidi="ar-SA"/>
      </w:rPr>
    </w:lvl>
  </w:abstractNum>
  <w:abstractNum w:abstractNumId="31">
    <w:multiLevelType w:val="hybridMultilevel"/>
    <w:lvl w:ilvl="0">
      <w:start w:val="0"/>
      <w:numFmt w:val="bullet"/>
      <w:lvlText w:val="-"/>
      <w:lvlJc w:val="left"/>
      <w:pPr>
        <w:ind w:left="222" w:hanging="116"/>
      </w:pPr>
      <w:rPr>
        <w:rFonts w:hint="default" w:ascii="Palatino Linotype" w:hAnsi="Palatino Linotype" w:eastAsia="Palatino Linotype" w:cs="Palatino Linotype"/>
        <w:b w:val="0"/>
        <w:bCs w:val="0"/>
        <w:i w:val="0"/>
        <w:iCs w:val="0"/>
        <w:w w:val="100"/>
        <w:sz w:val="20"/>
        <w:szCs w:val="20"/>
        <w:lang w:val="en-US" w:eastAsia="en-US" w:bidi="ar-SA"/>
      </w:rPr>
    </w:lvl>
    <w:lvl w:ilvl="1">
      <w:start w:val="0"/>
      <w:numFmt w:val="bullet"/>
      <w:lvlText w:val="•"/>
      <w:lvlJc w:val="left"/>
      <w:pPr>
        <w:ind w:left="595" w:hanging="116"/>
      </w:pPr>
      <w:rPr>
        <w:rFonts w:hint="default"/>
        <w:lang w:val="en-US" w:eastAsia="en-US" w:bidi="ar-SA"/>
      </w:rPr>
    </w:lvl>
    <w:lvl w:ilvl="2">
      <w:start w:val="0"/>
      <w:numFmt w:val="bullet"/>
      <w:lvlText w:val="•"/>
      <w:lvlJc w:val="left"/>
      <w:pPr>
        <w:ind w:left="971" w:hanging="116"/>
      </w:pPr>
      <w:rPr>
        <w:rFonts w:hint="default"/>
        <w:lang w:val="en-US" w:eastAsia="en-US" w:bidi="ar-SA"/>
      </w:rPr>
    </w:lvl>
    <w:lvl w:ilvl="3">
      <w:start w:val="0"/>
      <w:numFmt w:val="bullet"/>
      <w:lvlText w:val="•"/>
      <w:lvlJc w:val="left"/>
      <w:pPr>
        <w:ind w:left="1346" w:hanging="116"/>
      </w:pPr>
      <w:rPr>
        <w:rFonts w:hint="default"/>
        <w:lang w:val="en-US" w:eastAsia="en-US" w:bidi="ar-SA"/>
      </w:rPr>
    </w:lvl>
    <w:lvl w:ilvl="4">
      <w:start w:val="0"/>
      <w:numFmt w:val="bullet"/>
      <w:lvlText w:val="•"/>
      <w:lvlJc w:val="left"/>
      <w:pPr>
        <w:ind w:left="1722" w:hanging="116"/>
      </w:pPr>
      <w:rPr>
        <w:rFonts w:hint="default"/>
        <w:lang w:val="en-US" w:eastAsia="en-US" w:bidi="ar-SA"/>
      </w:rPr>
    </w:lvl>
    <w:lvl w:ilvl="5">
      <w:start w:val="0"/>
      <w:numFmt w:val="bullet"/>
      <w:lvlText w:val="•"/>
      <w:lvlJc w:val="left"/>
      <w:pPr>
        <w:ind w:left="2098" w:hanging="116"/>
      </w:pPr>
      <w:rPr>
        <w:rFonts w:hint="default"/>
        <w:lang w:val="en-US" w:eastAsia="en-US" w:bidi="ar-SA"/>
      </w:rPr>
    </w:lvl>
    <w:lvl w:ilvl="6">
      <w:start w:val="0"/>
      <w:numFmt w:val="bullet"/>
      <w:lvlText w:val="•"/>
      <w:lvlJc w:val="left"/>
      <w:pPr>
        <w:ind w:left="2473" w:hanging="116"/>
      </w:pPr>
      <w:rPr>
        <w:rFonts w:hint="default"/>
        <w:lang w:val="en-US" w:eastAsia="en-US" w:bidi="ar-SA"/>
      </w:rPr>
    </w:lvl>
    <w:lvl w:ilvl="7">
      <w:start w:val="0"/>
      <w:numFmt w:val="bullet"/>
      <w:lvlText w:val="•"/>
      <w:lvlJc w:val="left"/>
      <w:pPr>
        <w:ind w:left="2849" w:hanging="116"/>
      </w:pPr>
      <w:rPr>
        <w:rFonts w:hint="default"/>
        <w:lang w:val="en-US" w:eastAsia="en-US" w:bidi="ar-SA"/>
      </w:rPr>
    </w:lvl>
    <w:lvl w:ilvl="8">
      <w:start w:val="0"/>
      <w:numFmt w:val="bullet"/>
      <w:lvlText w:val="•"/>
      <w:lvlJc w:val="left"/>
      <w:pPr>
        <w:ind w:left="3224" w:hanging="116"/>
      </w:pPr>
      <w:rPr>
        <w:rFonts w:hint="default"/>
        <w:lang w:val="en-US" w:eastAsia="en-US" w:bidi="ar-SA"/>
      </w:rPr>
    </w:lvl>
  </w:abstractNum>
  <w:abstractNum w:abstractNumId="30">
    <w:multiLevelType w:val="hybridMultilevel"/>
    <w:lvl w:ilvl="0">
      <w:start w:val="1"/>
      <w:numFmt w:val="lowerRoman"/>
      <w:lvlText w:val="(%1)"/>
      <w:lvlJc w:val="left"/>
      <w:pPr>
        <w:ind w:left="279" w:hanging="221"/>
        <w:jc w:val="left"/>
      </w:pPr>
      <w:rPr>
        <w:rFonts w:hint="default" w:ascii="Times New Roman" w:hAnsi="Times New Roman" w:eastAsia="Times New Roman" w:cs="Times New Roman"/>
        <w:b w:val="0"/>
        <w:bCs w:val="0"/>
        <w:i w:val="0"/>
        <w:iCs w:val="0"/>
        <w:spacing w:val="-3"/>
        <w:w w:val="101"/>
        <w:sz w:val="18"/>
        <w:szCs w:val="18"/>
        <w:lang w:val="en-US" w:eastAsia="en-US" w:bidi="ar-SA"/>
      </w:rPr>
    </w:lvl>
    <w:lvl w:ilvl="1">
      <w:start w:val="0"/>
      <w:numFmt w:val="bullet"/>
      <w:lvlText w:val="•"/>
      <w:lvlJc w:val="left"/>
      <w:pPr>
        <w:ind w:left="388" w:hanging="221"/>
      </w:pPr>
      <w:rPr>
        <w:rFonts w:hint="default"/>
        <w:lang w:val="en-US" w:eastAsia="en-US" w:bidi="ar-SA"/>
      </w:rPr>
    </w:lvl>
    <w:lvl w:ilvl="2">
      <w:start w:val="0"/>
      <w:numFmt w:val="bullet"/>
      <w:lvlText w:val="•"/>
      <w:lvlJc w:val="left"/>
      <w:pPr>
        <w:ind w:left="497" w:hanging="221"/>
      </w:pPr>
      <w:rPr>
        <w:rFonts w:hint="default"/>
        <w:lang w:val="en-US" w:eastAsia="en-US" w:bidi="ar-SA"/>
      </w:rPr>
    </w:lvl>
    <w:lvl w:ilvl="3">
      <w:start w:val="0"/>
      <w:numFmt w:val="bullet"/>
      <w:lvlText w:val="•"/>
      <w:lvlJc w:val="left"/>
      <w:pPr>
        <w:ind w:left="606" w:hanging="221"/>
      </w:pPr>
      <w:rPr>
        <w:rFonts w:hint="default"/>
        <w:lang w:val="en-US" w:eastAsia="en-US" w:bidi="ar-SA"/>
      </w:rPr>
    </w:lvl>
    <w:lvl w:ilvl="4">
      <w:start w:val="0"/>
      <w:numFmt w:val="bullet"/>
      <w:lvlText w:val="•"/>
      <w:lvlJc w:val="left"/>
      <w:pPr>
        <w:ind w:left="715" w:hanging="221"/>
      </w:pPr>
      <w:rPr>
        <w:rFonts w:hint="default"/>
        <w:lang w:val="en-US" w:eastAsia="en-US" w:bidi="ar-SA"/>
      </w:rPr>
    </w:lvl>
    <w:lvl w:ilvl="5">
      <w:start w:val="0"/>
      <w:numFmt w:val="bullet"/>
      <w:lvlText w:val="•"/>
      <w:lvlJc w:val="left"/>
      <w:pPr>
        <w:ind w:left="824" w:hanging="221"/>
      </w:pPr>
      <w:rPr>
        <w:rFonts w:hint="default"/>
        <w:lang w:val="en-US" w:eastAsia="en-US" w:bidi="ar-SA"/>
      </w:rPr>
    </w:lvl>
    <w:lvl w:ilvl="6">
      <w:start w:val="0"/>
      <w:numFmt w:val="bullet"/>
      <w:lvlText w:val="•"/>
      <w:lvlJc w:val="left"/>
      <w:pPr>
        <w:ind w:left="933" w:hanging="221"/>
      </w:pPr>
      <w:rPr>
        <w:rFonts w:hint="default"/>
        <w:lang w:val="en-US" w:eastAsia="en-US" w:bidi="ar-SA"/>
      </w:rPr>
    </w:lvl>
    <w:lvl w:ilvl="7">
      <w:start w:val="0"/>
      <w:numFmt w:val="bullet"/>
      <w:lvlText w:val="•"/>
      <w:lvlJc w:val="left"/>
      <w:pPr>
        <w:ind w:left="1042" w:hanging="221"/>
      </w:pPr>
      <w:rPr>
        <w:rFonts w:hint="default"/>
        <w:lang w:val="en-US" w:eastAsia="en-US" w:bidi="ar-SA"/>
      </w:rPr>
    </w:lvl>
    <w:lvl w:ilvl="8">
      <w:start w:val="0"/>
      <w:numFmt w:val="bullet"/>
      <w:lvlText w:val="•"/>
      <w:lvlJc w:val="left"/>
      <w:pPr>
        <w:ind w:left="1151" w:hanging="221"/>
      </w:pPr>
      <w:rPr>
        <w:rFonts w:hint="default"/>
        <w:lang w:val="en-US" w:eastAsia="en-US" w:bidi="ar-SA"/>
      </w:rPr>
    </w:lvl>
  </w:abstractNum>
  <w:abstractNum w:abstractNumId="29">
    <w:multiLevelType w:val="hybridMultilevel"/>
    <w:lvl w:ilvl="0">
      <w:start w:val="9"/>
      <w:numFmt w:val="lowerRoman"/>
      <w:lvlText w:val="(%1)"/>
      <w:lvlJc w:val="left"/>
      <w:pPr>
        <w:ind w:left="95" w:hanging="307"/>
        <w:jc w:val="left"/>
      </w:pPr>
      <w:rPr>
        <w:rFonts w:hint="default" w:ascii="Times New Roman" w:hAnsi="Times New Roman" w:eastAsia="Times New Roman" w:cs="Times New Roman"/>
        <w:b w:val="0"/>
        <w:bCs w:val="0"/>
        <w:i w:val="0"/>
        <w:iCs w:val="0"/>
        <w:spacing w:val="-5"/>
        <w:w w:val="101"/>
        <w:sz w:val="18"/>
        <w:szCs w:val="18"/>
        <w:lang w:val="en-US" w:eastAsia="en-US" w:bidi="ar-SA"/>
      </w:rPr>
    </w:lvl>
    <w:lvl w:ilvl="1">
      <w:start w:val="0"/>
      <w:numFmt w:val="bullet"/>
      <w:lvlText w:val="•"/>
      <w:lvlJc w:val="left"/>
      <w:pPr>
        <w:ind w:left="230" w:hanging="307"/>
      </w:pPr>
      <w:rPr>
        <w:rFonts w:hint="default"/>
        <w:lang w:val="en-US" w:eastAsia="en-US" w:bidi="ar-SA"/>
      </w:rPr>
    </w:lvl>
    <w:lvl w:ilvl="2">
      <w:start w:val="0"/>
      <w:numFmt w:val="bullet"/>
      <w:lvlText w:val="•"/>
      <w:lvlJc w:val="left"/>
      <w:pPr>
        <w:ind w:left="361" w:hanging="307"/>
      </w:pPr>
      <w:rPr>
        <w:rFonts w:hint="default"/>
        <w:lang w:val="en-US" w:eastAsia="en-US" w:bidi="ar-SA"/>
      </w:rPr>
    </w:lvl>
    <w:lvl w:ilvl="3">
      <w:start w:val="0"/>
      <w:numFmt w:val="bullet"/>
      <w:lvlText w:val="•"/>
      <w:lvlJc w:val="left"/>
      <w:pPr>
        <w:ind w:left="492" w:hanging="307"/>
      </w:pPr>
      <w:rPr>
        <w:rFonts w:hint="default"/>
        <w:lang w:val="en-US" w:eastAsia="en-US" w:bidi="ar-SA"/>
      </w:rPr>
    </w:lvl>
    <w:lvl w:ilvl="4">
      <w:start w:val="0"/>
      <w:numFmt w:val="bullet"/>
      <w:lvlText w:val="•"/>
      <w:lvlJc w:val="left"/>
      <w:pPr>
        <w:ind w:left="623" w:hanging="307"/>
      </w:pPr>
      <w:rPr>
        <w:rFonts w:hint="default"/>
        <w:lang w:val="en-US" w:eastAsia="en-US" w:bidi="ar-SA"/>
      </w:rPr>
    </w:lvl>
    <w:lvl w:ilvl="5">
      <w:start w:val="0"/>
      <w:numFmt w:val="bullet"/>
      <w:lvlText w:val="•"/>
      <w:lvlJc w:val="left"/>
      <w:pPr>
        <w:ind w:left="754" w:hanging="307"/>
      </w:pPr>
      <w:rPr>
        <w:rFonts w:hint="default"/>
        <w:lang w:val="en-US" w:eastAsia="en-US" w:bidi="ar-SA"/>
      </w:rPr>
    </w:lvl>
    <w:lvl w:ilvl="6">
      <w:start w:val="0"/>
      <w:numFmt w:val="bullet"/>
      <w:lvlText w:val="•"/>
      <w:lvlJc w:val="left"/>
      <w:pPr>
        <w:ind w:left="885" w:hanging="307"/>
      </w:pPr>
      <w:rPr>
        <w:rFonts w:hint="default"/>
        <w:lang w:val="en-US" w:eastAsia="en-US" w:bidi="ar-SA"/>
      </w:rPr>
    </w:lvl>
    <w:lvl w:ilvl="7">
      <w:start w:val="0"/>
      <w:numFmt w:val="bullet"/>
      <w:lvlText w:val="•"/>
      <w:lvlJc w:val="left"/>
      <w:pPr>
        <w:ind w:left="1016" w:hanging="307"/>
      </w:pPr>
      <w:rPr>
        <w:rFonts w:hint="default"/>
        <w:lang w:val="en-US" w:eastAsia="en-US" w:bidi="ar-SA"/>
      </w:rPr>
    </w:lvl>
    <w:lvl w:ilvl="8">
      <w:start w:val="0"/>
      <w:numFmt w:val="bullet"/>
      <w:lvlText w:val="•"/>
      <w:lvlJc w:val="left"/>
      <w:pPr>
        <w:ind w:left="1147" w:hanging="307"/>
      </w:pPr>
      <w:rPr>
        <w:rFonts w:hint="default"/>
        <w:lang w:val="en-US" w:eastAsia="en-US" w:bidi="ar-SA"/>
      </w:rPr>
    </w:lvl>
  </w:abstractNum>
  <w:abstractNum w:abstractNumId="28">
    <w:multiLevelType w:val="hybridMultilevel"/>
    <w:lvl w:ilvl="0">
      <w:start w:val="1"/>
      <w:numFmt w:val="lowerRoman"/>
      <w:lvlText w:val="(%1)"/>
      <w:lvlJc w:val="left"/>
      <w:pPr>
        <w:ind w:left="315" w:hanging="221"/>
        <w:jc w:val="left"/>
      </w:pPr>
      <w:rPr>
        <w:rFonts w:hint="default" w:ascii="Times New Roman" w:hAnsi="Times New Roman" w:eastAsia="Times New Roman" w:cs="Times New Roman"/>
        <w:b w:val="0"/>
        <w:bCs w:val="0"/>
        <w:i w:val="0"/>
        <w:iCs w:val="0"/>
        <w:spacing w:val="-3"/>
        <w:w w:val="101"/>
        <w:sz w:val="18"/>
        <w:szCs w:val="18"/>
        <w:lang w:val="en-US" w:eastAsia="en-US" w:bidi="ar-SA"/>
      </w:rPr>
    </w:lvl>
    <w:lvl w:ilvl="1">
      <w:start w:val="0"/>
      <w:numFmt w:val="bullet"/>
      <w:lvlText w:val="•"/>
      <w:lvlJc w:val="left"/>
      <w:pPr>
        <w:ind w:left="428" w:hanging="221"/>
      </w:pPr>
      <w:rPr>
        <w:rFonts w:hint="default"/>
        <w:lang w:val="en-US" w:eastAsia="en-US" w:bidi="ar-SA"/>
      </w:rPr>
    </w:lvl>
    <w:lvl w:ilvl="2">
      <w:start w:val="0"/>
      <w:numFmt w:val="bullet"/>
      <w:lvlText w:val="•"/>
      <w:lvlJc w:val="left"/>
      <w:pPr>
        <w:ind w:left="537" w:hanging="221"/>
      </w:pPr>
      <w:rPr>
        <w:rFonts w:hint="default"/>
        <w:lang w:val="en-US" w:eastAsia="en-US" w:bidi="ar-SA"/>
      </w:rPr>
    </w:lvl>
    <w:lvl w:ilvl="3">
      <w:start w:val="0"/>
      <w:numFmt w:val="bullet"/>
      <w:lvlText w:val="•"/>
      <w:lvlJc w:val="left"/>
      <w:pPr>
        <w:ind w:left="646" w:hanging="221"/>
      </w:pPr>
      <w:rPr>
        <w:rFonts w:hint="default"/>
        <w:lang w:val="en-US" w:eastAsia="en-US" w:bidi="ar-SA"/>
      </w:rPr>
    </w:lvl>
    <w:lvl w:ilvl="4">
      <w:start w:val="0"/>
      <w:numFmt w:val="bullet"/>
      <w:lvlText w:val="•"/>
      <w:lvlJc w:val="left"/>
      <w:pPr>
        <w:ind w:left="755" w:hanging="221"/>
      </w:pPr>
      <w:rPr>
        <w:rFonts w:hint="default"/>
        <w:lang w:val="en-US" w:eastAsia="en-US" w:bidi="ar-SA"/>
      </w:rPr>
    </w:lvl>
    <w:lvl w:ilvl="5">
      <w:start w:val="0"/>
      <w:numFmt w:val="bullet"/>
      <w:lvlText w:val="•"/>
      <w:lvlJc w:val="left"/>
      <w:pPr>
        <w:ind w:left="864" w:hanging="221"/>
      </w:pPr>
      <w:rPr>
        <w:rFonts w:hint="default"/>
        <w:lang w:val="en-US" w:eastAsia="en-US" w:bidi="ar-SA"/>
      </w:rPr>
    </w:lvl>
    <w:lvl w:ilvl="6">
      <w:start w:val="0"/>
      <w:numFmt w:val="bullet"/>
      <w:lvlText w:val="•"/>
      <w:lvlJc w:val="left"/>
      <w:pPr>
        <w:ind w:left="973" w:hanging="221"/>
      </w:pPr>
      <w:rPr>
        <w:rFonts w:hint="default"/>
        <w:lang w:val="en-US" w:eastAsia="en-US" w:bidi="ar-SA"/>
      </w:rPr>
    </w:lvl>
    <w:lvl w:ilvl="7">
      <w:start w:val="0"/>
      <w:numFmt w:val="bullet"/>
      <w:lvlText w:val="•"/>
      <w:lvlJc w:val="left"/>
      <w:pPr>
        <w:ind w:left="1082" w:hanging="221"/>
      </w:pPr>
      <w:rPr>
        <w:rFonts w:hint="default"/>
        <w:lang w:val="en-US" w:eastAsia="en-US" w:bidi="ar-SA"/>
      </w:rPr>
    </w:lvl>
    <w:lvl w:ilvl="8">
      <w:start w:val="0"/>
      <w:numFmt w:val="bullet"/>
      <w:lvlText w:val="•"/>
      <w:lvlJc w:val="left"/>
      <w:pPr>
        <w:ind w:left="1191" w:hanging="221"/>
      </w:pPr>
      <w:rPr>
        <w:rFonts w:hint="default"/>
        <w:lang w:val="en-US" w:eastAsia="en-US" w:bidi="ar-SA"/>
      </w:rPr>
    </w:lvl>
  </w:abstractNum>
  <w:abstractNum w:abstractNumId="27">
    <w:multiLevelType w:val="hybridMultilevel"/>
    <w:lvl w:ilvl="0">
      <w:start w:val="0"/>
      <w:numFmt w:val="bullet"/>
      <w:lvlText w:val="-"/>
      <w:lvlJc w:val="left"/>
      <w:pPr>
        <w:ind w:left="79" w:hanging="116"/>
      </w:pPr>
      <w:rPr>
        <w:rFonts w:hint="default" w:ascii="Palatino Linotype" w:hAnsi="Palatino Linotype" w:eastAsia="Palatino Linotype" w:cs="Palatino Linotype"/>
        <w:b w:val="0"/>
        <w:bCs w:val="0"/>
        <w:i w:val="0"/>
        <w:iCs w:val="0"/>
        <w:w w:val="100"/>
        <w:sz w:val="20"/>
        <w:szCs w:val="20"/>
        <w:lang w:val="en-US" w:eastAsia="en-US" w:bidi="ar-SA"/>
      </w:rPr>
    </w:lvl>
    <w:lvl w:ilvl="1">
      <w:start w:val="0"/>
      <w:numFmt w:val="bullet"/>
      <w:lvlText w:val="•"/>
      <w:lvlJc w:val="left"/>
      <w:pPr>
        <w:ind w:left="460" w:hanging="116"/>
      </w:pPr>
      <w:rPr>
        <w:rFonts w:hint="default"/>
        <w:lang w:val="en-US" w:eastAsia="en-US" w:bidi="ar-SA"/>
      </w:rPr>
    </w:lvl>
    <w:lvl w:ilvl="2">
      <w:start w:val="0"/>
      <w:numFmt w:val="bullet"/>
      <w:lvlText w:val="•"/>
      <w:lvlJc w:val="left"/>
      <w:pPr>
        <w:ind w:left="841" w:hanging="116"/>
      </w:pPr>
      <w:rPr>
        <w:rFonts w:hint="default"/>
        <w:lang w:val="en-US" w:eastAsia="en-US" w:bidi="ar-SA"/>
      </w:rPr>
    </w:lvl>
    <w:lvl w:ilvl="3">
      <w:start w:val="0"/>
      <w:numFmt w:val="bullet"/>
      <w:lvlText w:val="•"/>
      <w:lvlJc w:val="left"/>
      <w:pPr>
        <w:ind w:left="1222" w:hanging="116"/>
      </w:pPr>
      <w:rPr>
        <w:rFonts w:hint="default"/>
        <w:lang w:val="en-US" w:eastAsia="en-US" w:bidi="ar-SA"/>
      </w:rPr>
    </w:lvl>
    <w:lvl w:ilvl="4">
      <w:start w:val="0"/>
      <w:numFmt w:val="bullet"/>
      <w:lvlText w:val="•"/>
      <w:lvlJc w:val="left"/>
      <w:pPr>
        <w:ind w:left="1603" w:hanging="116"/>
      </w:pPr>
      <w:rPr>
        <w:rFonts w:hint="default"/>
        <w:lang w:val="en-US" w:eastAsia="en-US" w:bidi="ar-SA"/>
      </w:rPr>
    </w:lvl>
    <w:lvl w:ilvl="5">
      <w:start w:val="0"/>
      <w:numFmt w:val="bullet"/>
      <w:lvlText w:val="•"/>
      <w:lvlJc w:val="left"/>
      <w:pPr>
        <w:ind w:left="1984" w:hanging="116"/>
      </w:pPr>
      <w:rPr>
        <w:rFonts w:hint="default"/>
        <w:lang w:val="en-US" w:eastAsia="en-US" w:bidi="ar-SA"/>
      </w:rPr>
    </w:lvl>
    <w:lvl w:ilvl="6">
      <w:start w:val="0"/>
      <w:numFmt w:val="bullet"/>
      <w:lvlText w:val="•"/>
      <w:lvlJc w:val="left"/>
      <w:pPr>
        <w:ind w:left="2364" w:hanging="116"/>
      </w:pPr>
      <w:rPr>
        <w:rFonts w:hint="default"/>
        <w:lang w:val="en-US" w:eastAsia="en-US" w:bidi="ar-SA"/>
      </w:rPr>
    </w:lvl>
    <w:lvl w:ilvl="7">
      <w:start w:val="0"/>
      <w:numFmt w:val="bullet"/>
      <w:lvlText w:val="•"/>
      <w:lvlJc w:val="left"/>
      <w:pPr>
        <w:ind w:left="2745" w:hanging="116"/>
      </w:pPr>
      <w:rPr>
        <w:rFonts w:hint="default"/>
        <w:lang w:val="en-US" w:eastAsia="en-US" w:bidi="ar-SA"/>
      </w:rPr>
    </w:lvl>
    <w:lvl w:ilvl="8">
      <w:start w:val="0"/>
      <w:numFmt w:val="bullet"/>
      <w:lvlText w:val="•"/>
      <w:lvlJc w:val="left"/>
      <w:pPr>
        <w:ind w:left="3126" w:hanging="116"/>
      </w:pPr>
      <w:rPr>
        <w:rFonts w:hint="default"/>
        <w:lang w:val="en-US" w:eastAsia="en-US" w:bidi="ar-SA"/>
      </w:rPr>
    </w:lvl>
  </w:abstractNum>
  <w:abstractNum w:abstractNumId="26">
    <w:multiLevelType w:val="hybridMultilevel"/>
    <w:lvl w:ilvl="0">
      <w:start w:val="0"/>
      <w:numFmt w:val="bullet"/>
      <w:lvlText w:val="▪"/>
      <w:lvlJc w:val="left"/>
      <w:pPr>
        <w:ind w:left="290" w:hanging="173"/>
      </w:pPr>
      <w:rPr>
        <w:rFonts w:hint="default" w:ascii="Times New Roman" w:hAnsi="Times New Roman" w:eastAsia="Times New Roman" w:cs="Times New Roman"/>
        <w:b w:val="0"/>
        <w:bCs w:val="0"/>
        <w:i w:val="0"/>
        <w:iCs w:val="0"/>
        <w:w w:val="100"/>
        <w:sz w:val="20"/>
        <w:szCs w:val="20"/>
        <w:lang w:val="en-US" w:eastAsia="en-US" w:bidi="ar-SA"/>
      </w:rPr>
    </w:lvl>
    <w:lvl w:ilvl="1">
      <w:start w:val="10"/>
      <w:numFmt w:val="lowerRoman"/>
      <w:lvlText w:val="(%2)"/>
      <w:lvlJc w:val="left"/>
      <w:pPr>
        <w:ind w:left="429" w:hanging="259"/>
        <w:jc w:val="left"/>
      </w:pPr>
      <w:rPr>
        <w:rFonts w:hint="default" w:ascii="Times New Roman" w:hAnsi="Times New Roman" w:eastAsia="Times New Roman" w:cs="Times New Roman"/>
        <w:b w:val="0"/>
        <w:bCs w:val="0"/>
        <w:i w:val="0"/>
        <w:iCs w:val="0"/>
        <w:spacing w:val="-5"/>
        <w:w w:val="101"/>
        <w:sz w:val="18"/>
        <w:szCs w:val="18"/>
        <w:lang w:val="en-US" w:eastAsia="en-US" w:bidi="ar-SA"/>
      </w:rPr>
    </w:lvl>
    <w:lvl w:ilvl="2">
      <w:start w:val="0"/>
      <w:numFmt w:val="bullet"/>
      <w:lvlText w:val="•"/>
      <w:lvlJc w:val="left"/>
      <w:pPr>
        <w:ind w:left="805" w:hanging="259"/>
      </w:pPr>
      <w:rPr>
        <w:rFonts w:hint="default"/>
        <w:lang w:val="en-US" w:eastAsia="en-US" w:bidi="ar-SA"/>
      </w:rPr>
    </w:lvl>
    <w:lvl w:ilvl="3">
      <w:start w:val="0"/>
      <w:numFmt w:val="bullet"/>
      <w:lvlText w:val="•"/>
      <w:lvlJc w:val="left"/>
      <w:pPr>
        <w:ind w:left="1190" w:hanging="259"/>
      </w:pPr>
      <w:rPr>
        <w:rFonts w:hint="default"/>
        <w:lang w:val="en-US" w:eastAsia="en-US" w:bidi="ar-SA"/>
      </w:rPr>
    </w:lvl>
    <w:lvl w:ilvl="4">
      <w:start w:val="0"/>
      <w:numFmt w:val="bullet"/>
      <w:lvlText w:val="•"/>
      <w:lvlJc w:val="left"/>
      <w:pPr>
        <w:ind w:left="1576" w:hanging="259"/>
      </w:pPr>
      <w:rPr>
        <w:rFonts w:hint="default"/>
        <w:lang w:val="en-US" w:eastAsia="en-US" w:bidi="ar-SA"/>
      </w:rPr>
    </w:lvl>
    <w:lvl w:ilvl="5">
      <w:start w:val="0"/>
      <w:numFmt w:val="bullet"/>
      <w:lvlText w:val="•"/>
      <w:lvlJc w:val="left"/>
      <w:pPr>
        <w:ind w:left="1961" w:hanging="259"/>
      </w:pPr>
      <w:rPr>
        <w:rFonts w:hint="default"/>
        <w:lang w:val="en-US" w:eastAsia="en-US" w:bidi="ar-SA"/>
      </w:rPr>
    </w:lvl>
    <w:lvl w:ilvl="6">
      <w:start w:val="0"/>
      <w:numFmt w:val="bullet"/>
      <w:lvlText w:val="•"/>
      <w:lvlJc w:val="left"/>
      <w:pPr>
        <w:ind w:left="2346" w:hanging="259"/>
      </w:pPr>
      <w:rPr>
        <w:rFonts w:hint="default"/>
        <w:lang w:val="en-US" w:eastAsia="en-US" w:bidi="ar-SA"/>
      </w:rPr>
    </w:lvl>
    <w:lvl w:ilvl="7">
      <w:start w:val="0"/>
      <w:numFmt w:val="bullet"/>
      <w:lvlText w:val="•"/>
      <w:lvlJc w:val="left"/>
      <w:pPr>
        <w:ind w:left="2732" w:hanging="259"/>
      </w:pPr>
      <w:rPr>
        <w:rFonts w:hint="default"/>
        <w:lang w:val="en-US" w:eastAsia="en-US" w:bidi="ar-SA"/>
      </w:rPr>
    </w:lvl>
    <w:lvl w:ilvl="8">
      <w:start w:val="0"/>
      <w:numFmt w:val="bullet"/>
      <w:lvlText w:val="•"/>
      <w:lvlJc w:val="left"/>
      <w:pPr>
        <w:ind w:left="3117" w:hanging="259"/>
      </w:pPr>
      <w:rPr>
        <w:rFonts w:hint="default"/>
        <w:lang w:val="en-US" w:eastAsia="en-US" w:bidi="ar-SA"/>
      </w:rPr>
    </w:lvl>
  </w:abstractNum>
  <w:abstractNum w:abstractNumId="25">
    <w:multiLevelType w:val="hybridMultilevel"/>
    <w:lvl w:ilvl="0">
      <w:start w:val="8"/>
      <w:numFmt w:val="lowerRoman"/>
      <w:lvlText w:val="(%1)"/>
      <w:lvlJc w:val="left"/>
      <w:pPr>
        <w:ind w:left="577" w:hanging="408"/>
        <w:jc w:val="left"/>
      </w:pPr>
      <w:rPr>
        <w:rFonts w:hint="default" w:ascii="Times New Roman" w:hAnsi="Times New Roman" w:eastAsia="Times New Roman" w:cs="Times New Roman"/>
        <w:b w:val="0"/>
        <w:bCs w:val="0"/>
        <w:i w:val="0"/>
        <w:iCs w:val="0"/>
        <w:spacing w:val="-5"/>
        <w:w w:val="101"/>
        <w:sz w:val="18"/>
        <w:szCs w:val="18"/>
        <w:lang w:val="en-US" w:eastAsia="en-US" w:bidi="ar-SA"/>
      </w:rPr>
    </w:lvl>
    <w:lvl w:ilvl="1">
      <w:start w:val="0"/>
      <w:numFmt w:val="bullet"/>
      <w:lvlText w:val="•"/>
      <w:lvlJc w:val="left"/>
      <w:pPr>
        <w:ind w:left="910" w:hanging="408"/>
      </w:pPr>
      <w:rPr>
        <w:rFonts w:hint="default"/>
        <w:lang w:val="en-US" w:eastAsia="en-US" w:bidi="ar-SA"/>
      </w:rPr>
    </w:lvl>
    <w:lvl w:ilvl="2">
      <w:start w:val="0"/>
      <w:numFmt w:val="bullet"/>
      <w:lvlText w:val="•"/>
      <w:lvlJc w:val="left"/>
      <w:pPr>
        <w:ind w:left="1241" w:hanging="408"/>
      </w:pPr>
      <w:rPr>
        <w:rFonts w:hint="default"/>
        <w:lang w:val="en-US" w:eastAsia="en-US" w:bidi="ar-SA"/>
      </w:rPr>
    </w:lvl>
    <w:lvl w:ilvl="3">
      <w:start w:val="0"/>
      <w:numFmt w:val="bullet"/>
      <w:lvlText w:val="•"/>
      <w:lvlJc w:val="left"/>
      <w:pPr>
        <w:ind w:left="1572" w:hanging="408"/>
      </w:pPr>
      <w:rPr>
        <w:rFonts w:hint="default"/>
        <w:lang w:val="en-US" w:eastAsia="en-US" w:bidi="ar-SA"/>
      </w:rPr>
    </w:lvl>
    <w:lvl w:ilvl="4">
      <w:start w:val="0"/>
      <w:numFmt w:val="bullet"/>
      <w:lvlText w:val="•"/>
      <w:lvlJc w:val="left"/>
      <w:pPr>
        <w:ind w:left="1903" w:hanging="408"/>
      </w:pPr>
      <w:rPr>
        <w:rFonts w:hint="default"/>
        <w:lang w:val="en-US" w:eastAsia="en-US" w:bidi="ar-SA"/>
      </w:rPr>
    </w:lvl>
    <w:lvl w:ilvl="5">
      <w:start w:val="0"/>
      <w:numFmt w:val="bullet"/>
      <w:lvlText w:val="•"/>
      <w:lvlJc w:val="left"/>
      <w:pPr>
        <w:ind w:left="2234" w:hanging="408"/>
      </w:pPr>
      <w:rPr>
        <w:rFonts w:hint="default"/>
        <w:lang w:val="en-US" w:eastAsia="en-US" w:bidi="ar-SA"/>
      </w:rPr>
    </w:lvl>
    <w:lvl w:ilvl="6">
      <w:start w:val="0"/>
      <w:numFmt w:val="bullet"/>
      <w:lvlText w:val="•"/>
      <w:lvlJc w:val="left"/>
      <w:pPr>
        <w:ind w:left="2564" w:hanging="408"/>
      </w:pPr>
      <w:rPr>
        <w:rFonts w:hint="default"/>
        <w:lang w:val="en-US" w:eastAsia="en-US" w:bidi="ar-SA"/>
      </w:rPr>
    </w:lvl>
    <w:lvl w:ilvl="7">
      <w:start w:val="0"/>
      <w:numFmt w:val="bullet"/>
      <w:lvlText w:val="•"/>
      <w:lvlJc w:val="left"/>
      <w:pPr>
        <w:ind w:left="2895" w:hanging="408"/>
      </w:pPr>
      <w:rPr>
        <w:rFonts w:hint="default"/>
        <w:lang w:val="en-US" w:eastAsia="en-US" w:bidi="ar-SA"/>
      </w:rPr>
    </w:lvl>
    <w:lvl w:ilvl="8">
      <w:start w:val="0"/>
      <w:numFmt w:val="bullet"/>
      <w:lvlText w:val="•"/>
      <w:lvlJc w:val="left"/>
      <w:pPr>
        <w:ind w:left="3226" w:hanging="408"/>
      </w:pPr>
      <w:rPr>
        <w:rFonts w:hint="default"/>
        <w:lang w:val="en-US" w:eastAsia="en-US" w:bidi="ar-SA"/>
      </w:rPr>
    </w:lvl>
  </w:abstractNum>
  <w:abstractNum w:abstractNumId="24">
    <w:multiLevelType w:val="hybridMultilevel"/>
    <w:lvl w:ilvl="0">
      <w:start w:val="0"/>
      <w:numFmt w:val="bullet"/>
      <w:lvlText w:val="▪"/>
      <w:lvlJc w:val="left"/>
      <w:pPr>
        <w:ind w:left="290" w:hanging="168"/>
      </w:pPr>
      <w:rPr>
        <w:rFonts w:hint="default" w:ascii="Times New Roman" w:hAnsi="Times New Roman" w:eastAsia="Times New Roman" w:cs="Times New Roman"/>
        <w:b w:val="0"/>
        <w:bCs w:val="0"/>
        <w:i w:val="0"/>
        <w:iCs w:val="0"/>
        <w:w w:val="100"/>
        <w:sz w:val="20"/>
        <w:szCs w:val="20"/>
        <w:lang w:val="en-US" w:eastAsia="en-US" w:bidi="ar-SA"/>
      </w:rPr>
    </w:lvl>
    <w:lvl w:ilvl="1">
      <w:start w:val="1"/>
      <w:numFmt w:val="lowerRoman"/>
      <w:lvlText w:val="(%2)"/>
      <w:lvlJc w:val="left"/>
      <w:pPr>
        <w:ind w:left="573" w:hanging="216"/>
        <w:jc w:val="left"/>
      </w:pPr>
      <w:rPr>
        <w:rFonts w:hint="default" w:ascii="Times New Roman" w:hAnsi="Times New Roman" w:eastAsia="Times New Roman" w:cs="Times New Roman"/>
        <w:b w:val="0"/>
        <w:bCs w:val="0"/>
        <w:i w:val="0"/>
        <w:iCs w:val="0"/>
        <w:spacing w:val="-3"/>
        <w:w w:val="101"/>
        <w:sz w:val="18"/>
        <w:szCs w:val="18"/>
        <w:lang w:val="en-US" w:eastAsia="en-US" w:bidi="ar-SA"/>
      </w:rPr>
    </w:lvl>
    <w:lvl w:ilvl="2">
      <w:start w:val="0"/>
      <w:numFmt w:val="bullet"/>
      <w:lvlText w:val="•"/>
      <w:lvlJc w:val="left"/>
      <w:pPr>
        <w:ind w:left="947" w:hanging="216"/>
      </w:pPr>
      <w:rPr>
        <w:rFonts w:hint="default"/>
        <w:lang w:val="en-US" w:eastAsia="en-US" w:bidi="ar-SA"/>
      </w:rPr>
    </w:lvl>
    <w:lvl w:ilvl="3">
      <w:start w:val="0"/>
      <w:numFmt w:val="bullet"/>
      <w:lvlText w:val="•"/>
      <w:lvlJc w:val="left"/>
      <w:pPr>
        <w:ind w:left="1315" w:hanging="216"/>
      </w:pPr>
      <w:rPr>
        <w:rFonts w:hint="default"/>
        <w:lang w:val="en-US" w:eastAsia="en-US" w:bidi="ar-SA"/>
      </w:rPr>
    </w:lvl>
    <w:lvl w:ilvl="4">
      <w:start w:val="0"/>
      <w:numFmt w:val="bullet"/>
      <w:lvlText w:val="•"/>
      <w:lvlJc w:val="left"/>
      <w:pPr>
        <w:ind w:left="1682" w:hanging="216"/>
      </w:pPr>
      <w:rPr>
        <w:rFonts w:hint="default"/>
        <w:lang w:val="en-US" w:eastAsia="en-US" w:bidi="ar-SA"/>
      </w:rPr>
    </w:lvl>
    <w:lvl w:ilvl="5">
      <w:start w:val="0"/>
      <w:numFmt w:val="bullet"/>
      <w:lvlText w:val="•"/>
      <w:lvlJc w:val="left"/>
      <w:pPr>
        <w:ind w:left="2050" w:hanging="216"/>
      </w:pPr>
      <w:rPr>
        <w:rFonts w:hint="default"/>
        <w:lang w:val="en-US" w:eastAsia="en-US" w:bidi="ar-SA"/>
      </w:rPr>
    </w:lvl>
    <w:lvl w:ilvl="6">
      <w:start w:val="0"/>
      <w:numFmt w:val="bullet"/>
      <w:lvlText w:val="•"/>
      <w:lvlJc w:val="left"/>
      <w:pPr>
        <w:ind w:left="2417" w:hanging="216"/>
      </w:pPr>
      <w:rPr>
        <w:rFonts w:hint="default"/>
        <w:lang w:val="en-US" w:eastAsia="en-US" w:bidi="ar-SA"/>
      </w:rPr>
    </w:lvl>
    <w:lvl w:ilvl="7">
      <w:start w:val="0"/>
      <w:numFmt w:val="bullet"/>
      <w:lvlText w:val="•"/>
      <w:lvlJc w:val="left"/>
      <w:pPr>
        <w:ind w:left="2785" w:hanging="216"/>
      </w:pPr>
      <w:rPr>
        <w:rFonts w:hint="default"/>
        <w:lang w:val="en-US" w:eastAsia="en-US" w:bidi="ar-SA"/>
      </w:rPr>
    </w:lvl>
    <w:lvl w:ilvl="8">
      <w:start w:val="0"/>
      <w:numFmt w:val="bullet"/>
      <w:lvlText w:val="•"/>
      <w:lvlJc w:val="left"/>
      <w:pPr>
        <w:ind w:left="3152" w:hanging="216"/>
      </w:pPr>
      <w:rPr>
        <w:rFonts w:hint="default"/>
        <w:lang w:val="en-US" w:eastAsia="en-US" w:bidi="ar-SA"/>
      </w:rPr>
    </w:lvl>
  </w:abstractNum>
  <w:abstractNum w:abstractNumId="23">
    <w:multiLevelType w:val="hybridMultilevel"/>
    <w:lvl w:ilvl="0">
      <w:start w:val="1"/>
      <w:numFmt w:val="upperLetter"/>
      <w:lvlText w:val="%1."/>
      <w:lvlJc w:val="left"/>
      <w:pPr>
        <w:ind w:left="2967" w:hanging="361"/>
        <w:jc w:val="left"/>
      </w:pPr>
      <w:rPr>
        <w:rFonts w:hint="default" w:ascii="Times New Roman" w:hAnsi="Times New Roman" w:eastAsia="Times New Roman" w:cs="Times New Roman"/>
        <w:b/>
        <w:bCs/>
        <w:i w:val="0"/>
        <w:iCs w:val="0"/>
        <w:spacing w:val="-1"/>
        <w:w w:val="99"/>
        <w:sz w:val="24"/>
        <w:szCs w:val="24"/>
        <w:lang w:val="en-US" w:eastAsia="en-US" w:bidi="ar-SA"/>
      </w:rPr>
    </w:lvl>
    <w:lvl w:ilvl="1">
      <w:start w:val="0"/>
      <w:numFmt w:val="bullet"/>
      <w:lvlText w:val="•"/>
      <w:lvlJc w:val="left"/>
      <w:pPr>
        <w:ind w:left="3850" w:hanging="361"/>
      </w:pPr>
      <w:rPr>
        <w:rFonts w:hint="default"/>
        <w:lang w:val="en-US" w:eastAsia="en-US" w:bidi="ar-SA"/>
      </w:rPr>
    </w:lvl>
    <w:lvl w:ilvl="2">
      <w:start w:val="0"/>
      <w:numFmt w:val="bullet"/>
      <w:lvlText w:val="•"/>
      <w:lvlJc w:val="left"/>
      <w:pPr>
        <w:ind w:left="4740" w:hanging="361"/>
      </w:pPr>
      <w:rPr>
        <w:rFonts w:hint="default"/>
        <w:lang w:val="en-US" w:eastAsia="en-US" w:bidi="ar-SA"/>
      </w:rPr>
    </w:lvl>
    <w:lvl w:ilvl="3">
      <w:start w:val="0"/>
      <w:numFmt w:val="bullet"/>
      <w:lvlText w:val="•"/>
      <w:lvlJc w:val="left"/>
      <w:pPr>
        <w:ind w:left="5631" w:hanging="361"/>
      </w:pPr>
      <w:rPr>
        <w:rFonts w:hint="default"/>
        <w:lang w:val="en-US" w:eastAsia="en-US" w:bidi="ar-SA"/>
      </w:rPr>
    </w:lvl>
    <w:lvl w:ilvl="4">
      <w:start w:val="0"/>
      <w:numFmt w:val="bullet"/>
      <w:lvlText w:val="•"/>
      <w:lvlJc w:val="left"/>
      <w:pPr>
        <w:ind w:left="6521" w:hanging="361"/>
      </w:pPr>
      <w:rPr>
        <w:rFonts w:hint="default"/>
        <w:lang w:val="en-US" w:eastAsia="en-US" w:bidi="ar-SA"/>
      </w:rPr>
    </w:lvl>
    <w:lvl w:ilvl="5">
      <w:start w:val="0"/>
      <w:numFmt w:val="bullet"/>
      <w:lvlText w:val="•"/>
      <w:lvlJc w:val="left"/>
      <w:pPr>
        <w:ind w:left="7412" w:hanging="361"/>
      </w:pPr>
      <w:rPr>
        <w:rFonts w:hint="default"/>
        <w:lang w:val="en-US" w:eastAsia="en-US" w:bidi="ar-SA"/>
      </w:rPr>
    </w:lvl>
    <w:lvl w:ilvl="6">
      <w:start w:val="0"/>
      <w:numFmt w:val="bullet"/>
      <w:lvlText w:val="•"/>
      <w:lvlJc w:val="left"/>
      <w:pPr>
        <w:ind w:left="8302" w:hanging="361"/>
      </w:pPr>
      <w:rPr>
        <w:rFonts w:hint="default"/>
        <w:lang w:val="en-US" w:eastAsia="en-US" w:bidi="ar-SA"/>
      </w:rPr>
    </w:lvl>
    <w:lvl w:ilvl="7">
      <w:start w:val="0"/>
      <w:numFmt w:val="bullet"/>
      <w:lvlText w:val="•"/>
      <w:lvlJc w:val="left"/>
      <w:pPr>
        <w:ind w:left="9192" w:hanging="361"/>
      </w:pPr>
      <w:rPr>
        <w:rFonts w:hint="default"/>
        <w:lang w:val="en-US" w:eastAsia="en-US" w:bidi="ar-SA"/>
      </w:rPr>
    </w:lvl>
    <w:lvl w:ilvl="8">
      <w:start w:val="0"/>
      <w:numFmt w:val="bullet"/>
      <w:lvlText w:val="•"/>
      <w:lvlJc w:val="left"/>
      <w:pPr>
        <w:ind w:left="10083" w:hanging="361"/>
      </w:pPr>
      <w:rPr>
        <w:rFonts w:hint="default"/>
        <w:lang w:val="en-US" w:eastAsia="en-US" w:bidi="ar-SA"/>
      </w:rPr>
    </w:lvl>
  </w:abstractNum>
  <w:abstractNum w:abstractNumId="22">
    <w:multiLevelType w:val="hybridMultilevel"/>
    <w:lvl w:ilvl="0">
      <w:start w:val="1"/>
      <w:numFmt w:val="decimal"/>
      <w:lvlText w:val="%1."/>
      <w:lvlJc w:val="left"/>
      <w:pPr>
        <w:ind w:left="2967" w:hanging="361"/>
        <w:jc w:val="left"/>
      </w:pPr>
      <w:rPr>
        <w:rFonts w:hint="default" w:ascii="Times New Roman" w:hAnsi="Times New Roman" w:eastAsia="Times New Roman" w:cs="Times New Roman"/>
        <w:b w:val="0"/>
        <w:bCs w:val="0"/>
        <w:i w:val="0"/>
        <w:iCs w:val="0"/>
        <w:w w:val="100"/>
        <w:sz w:val="20"/>
        <w:szCs w:val="20"/>
        <w:lang w:val="en-US" w:eastAsia="en-US" w:bidi="ar-SA"/>
      </w:rPr>
    </w:lvl>
    <w:lvl w:ilvl="1">
      <w:start w:val="1"/>
      <w:numFmt w:val="lowerLetter"/>
      <w:lvlText w:val="(%2)"/>
      <w:lvlJc w:val="left"/>
      <w:pPr>
        <w:ind w:left="2957" w:hanging="730"/>
        <w:jc w:val="left"/>
      </w:pPr>
      <w:rPr>
        <w:rFonts w:hint="default" w:ascii="Times New Roman" w:hAnsi="Times New Roman" w:eastAsia="Times New Roman" w:cs="Times New Roman"/>
        <w:b w:val="0"/>
        <w:bCs w:val="0"/>
        <w:i w:val="0"/>
        <w:iCs w:val="0"/>
        <w:w w:val="100"/>
        <w:sz w:val="20"/>
        <w:szCs w:val="20"/>
        <w:lang w:val="en-US" w:eastAsia="en-US" w:bidi="ar-SA"/>
      </w:rPr>
    </w:lvl>
    <w:lvl w:ilvl="2">
      <w:start w:val="0"/>
      <w:numFmt w:val="bullet"/>
      <w:lvlText w:val="•"/>
      <w:lvlJc w:val="left"/>
      <w:pPr>
        <w:ind w:left="4589" w:hanging="730"/>
      </w:pPr>
      <w:rPr>
        <w:rFonts w:hint="default"/>
        <w:lang w:val="en-US" w:eastAsia="en-US" w:bidi="ar-SA"/>
      </w:rPr>
    </w:lvl>
    <w:lvl w:ilvl="3">
      <w:start w:val="0"/>
      <w:numFmt w:val="bullet"/>
      <w:lvlText w:val="•"/>
      <w:lvlJc w:val="left"/>
      <w:pPr>
        <w:ind w:left="5498" w:hanging="730"/>
      </w:pPr>
      <w:rPr>
        <w:rFonts w:hint="default"/>
        <w:lang w:val="en-US" w:eastAsia="en-US" w:bidi="ar-SA"/>
      </w:rPr>
    </w:lvl>
    <w:lvl w:ilvl="4">
      <w:start w:val="0"/>
      <w:numFmt w:val="bullet"/>
      <w:lvlText w:val="•"/>
      <w:lvlJc w:val="left"/>
      <w:pPr>
        <w:ind w:left="6408" w:hanging="730"/>
      </w:pPr>
      <w:rPr>
        <w:rFonts w:hint="default"/>
        <w:lang w:val="en-US" w:eastAsia="en-US" w:bidi="ar-SA"/>
      </w:rPr>
    </w:lvl>
    <w:lvl w:ilvl="5">
      <w:start w:val="0"/>
      <w:numFmt w:val="bullet"/>
      <w:lvlText w:val="•"/>
      <w:lvlJc w:val="left"/>
      <w:pPr>
        <w:ind w:left="7317" w:hanging="730"/>
      </w:pPr>
      <w:rPr>
        <w:rFonts w:hint="default"/>
        <w:lang w:val="en-US" w:eastAsia="en-US" w:bidi="ar-SA"/>
      </w:rPr>
    </w:lvl>
    <w:lvl w:ilvl="6">
      <w:start w:val="0"/>
      <w:numFmt w:val="bullet"/>
      <w:lvlText w:val="•"/>
      <w:lvlJc w:val="left"/>
      <w:pPr>
        <w:ind w:left="8226" w:hanging="730"/>
      </w:pPr>
      <w:rPr>
        <w:rFonts w:hint="default"/>
        <w:lang w:val="en-US" w:eastAsia="en-US" w:bidi="ar-SA"/>
      </w:rPr>
    </w:lvl>
    <w:lvl w:ilvl="7">
      <w:start w:val="0"/>
      <w:numFmt w:val="bullet"/>
      <w:lvlText w:val="•"/>
      <w:lvlJc w:val="left"/>
      <w:pPr>
        <w:ind w:left="9136" w:hanging="730"/>
      </w:pPr>
      <w:rPr>
        <w:rFonts w:hint="default"/>
        <w:lang w:val="en-US" w:eastAsia="en-US" w:bidi="ar-SA"/>
      </w:rPr>
    </w:lvl>
    <w:lvl w:ilvl="8">
      <w:start w:val="0"/>
      <w:numFmt w:val="bullet"/>
      <w:lvlText w:val="•"/>
      <w:lvlJc w:val="left"/>
      <w:pPr>
        <w:ind w:left="10045" w:hanging="730"/>
      </w:pPr>
      <w:rPr>
        <w:rFonts w:hint="default"/>
        <w:lang w:val="en-US" w:eastAsia="en-US" w:bidi="ar-SA"/>
      </w:rPr>
    </w:lvl>
  </w:abstractNum>
  <w:abstractNum w:abstractNumId="21">
    <w:multiLevelType w:val="hybridMultilevel"/>
    <w:lvl w:ilvl="0">
      <w:start w:val="0"/>
      <w:numFmt w:val="bullet"/>
      <w:lvlText w:val=""/>
      <w:lvlJc w:val="left"/>
      <w:pPr>
        <w:ind w:left="2967" w:hanging="361"/>
      </w:pPr>
      <w:rPr>
        <w:rFonts w:hint="default" w:ascii="Symbol" w:hAnsi="Symbol" w:eastAsia="Symbol" w:cs="Symbol"/>
        <w:b w:val="0"/>
        <w:bCs w:val="0"/>
        <w:i w:val="0"/>
        <w:iCs w:val="0"/>
        <w:w w:val="100"/>
        <w:sz w:val="20"/>
        <w:szCs w:val="20"/>
        <w:lang w:val="en-US" w:eastAsia="en-US" w:bidi="ar-SA"/>
      </w:rPr>
    </w:lvl>
    <w:lvl w:ilvl="1">
      <w:start w:val="0"/>
      <w:numFmt w:val="bullet"/>
      <w:lvlText w:val="•"/>
      <w:lvlJc w:val="left"/>
      <w:pPr>
        <w:ind w:left="3850" w:hanging="361"/>
      </w:pPr>
      <w:rPr>
        <w:rFonts w:hint="default"/>
        <w:lang w:val="en-US" w:eastAsia="en-US" w:bidi="ar-SA"/>
      </w:rPr>
    </w:lvl>
    <w:lvl w:ilvl="2">
      <w:start w:val="0"/>
      <w:numFmt w:val="bullet"/>
      <w:lvlText w:val="•"/>
      <w:lvlJc w:val="left"/>
      <w:pPr>
        <w:ind w:left="4740" w:hanging="361"/>
      </w:pPr>
      <w:rPr>
        <w:rFonts w:hint="default"/>
        <w:lang w:val="en-US" w:eastAsia="en-US" w:bidi="ar-SA"/>
      </w:rPr>
    </w:lvl>
    <w:lvl w:ilvl="3">
      <w:start w:val="0"/>
      <w:numFmt w:val="bullet"/>
      <w:lvlText w:val="•"/>
      <w:lvlJc w:val="left"/>
      <w:pPr>
        <w:ind w:left="5631" w:hanging="361"/>
      </w:pPr>
      <w:rPr>
        <w:rFonts w:hint="default"/>
        <w:lang w:val="en-US" w:eastAsia="en-US" w:bidi="ar-SA"/>
      </w:rPr>
    </w:lvl>
    <w:lvl w:ilvl="4">
      <w:start w:val="0"/>
      <w:numFmt w:val="bullet"/>
      <w:lvlText w:val="•"/>
      <w:lvlJc w:val="left"/>
      <w:pPr>
        <w:ind w:left="6521" w:hanging="361"/>
      </w:pPr>
      <w:rPr>
        <w:rFonts w:hint="default"/>
        <w:lang w:val="en-US" w:eastAsia="en-US" w:bidi="ar-SA"/>
      </w:rPr>
    </w:lvl>
    <w:lvl w:ilvl="5">
      <w:start w:val="0"/>
      <w:numFmt w:val="bullet"/>
      <w:lvlText w:val="•"/>
      <w:lvlJc w:val="left"/>
      <w:pPr>
        <w:ind w:left="7412" w:hanging="361"/>
      </w:pPr>
      <w:rPr>
        <w:rFonts w:hint="default"/>
        <w:lang w:val="en-US" w:eastAsia="en-US" w:bidi="ar-SA"/>
      </w:rPr>
    </w:lvl>
    <w:lvl w:ilvl="6">
      <w:start w:val="0"/>
      <w:numFmt w:val="bullet"/>
      <w:lvlText w:val="•"/>
      <w:lvlJc w:val="left"/>
      <w:pPr>
        <w:ind w:left="8302" w:hanging="361"/>
      </w:pPr>
      <w:rPr>
        <w:rFonts w:hint="default"/>
        <w:lang w:val="en-US" w:eastAsia="en-US" w:bidi="ar-SA"/>
      </w:rPr>
    </w:lvl>
    <w:lvl w:ilvl="7">
      <w:start w:val="0"/>
      <w:numFmt w:val="bullet"/>
      <w:lvlText w:val="•"/>
      <w:lvlJc w:val="left"/>
      <w:pPr>
        <w:ind w:left="9192" w:hanging="361"/>
      </w:pPr>
      <w:rPr>
        <w:rFonts w:hint="default"/>
        <w:lang w:val="en-US" w:eastAsia="en-US" w:bidi="ar-SA"/>
      </w:rPr>
    </w:lvl>
    <w:lvl w:ilvl="8">
      <w:start w:val="0"/>
      <w:numFmt w:val="bullet"/>
      <w:lvlText w:val="•"/>
      <w:lvlJc w:val="left"/>
      <w:pPr>
        <w:ind w:left="10083" w:hanging="361"/>
      </w:pPr>
      <w:rPr>
        <w:rFonts w:hint="default"/>
        <w:lang w:val="en-US" w:eastAsia="en-US" w:bidi="ar-SA"/>
      </w:rPr>
    </w:lvl>
  </w:abstractNum>
  <w:abstractNum w:abstractNumId="20">
    <w:multiLevelType w:val="hybridMultilevel"/>
    <w:lvl w:ilvl="0">
      <w:start w:val="0"/>
      <w:numFmt w:val="bullet"/>
      <w:lvlText w:val=""/>
      <w:lvlJc w:val="left"/>
      <w:pPr>
        <w:ind w:left="2967" w:hanging="361"/>
      </w:pPr>
      <w:rPr>
        <w:rFonts w:hint="default" w:ascii="Symbol" w:hAnsi="Symbol" w:eastAsia="Symbol" w:cs="Symbol"/>
        <w:b w:val="0"/>
        <w:bCs w:val="0"/>
        <w:i w:val="0"/>
        <w:iCs w:val="0"/>
        <w:w w:val="100"/>
        <w:sz w:val="20"/>
        <w:szCs w:val="20"/>
        <w:lang w:val="en-US" w:eastAsia="en-US" w:bidi="ar-SA"/>
      </w:rPr>
    </w:lvl>
    <w:lvl w:ilvl="1">
      <w:start w:val="0"/>
      <w:numFmt w:val="bullet"/>
      <w:lvlText w:val="•"/>
      <w:lvlJc w:val="left"/>
      <w:pPr>
        <w:ind w:left="3850" w:hanging="361"/>
      </w:pPr>
      <w:rPr>
        <w:rFonts w:hint="default"/>
        <w:lang w:val="en-US" w:eastAsia="en-US" w:bidi="ar-SA"/>
      </w:rPr>
    </w:lvl>
    <w:lvl w:ilvl="2">
      <w:start w:val="0"/>
      <w:numFmt w:val="bullet"/>
      <w:lvlText w:val="•"/>
      <w:lvlJc w:val="left"/>
      <w:pPr>
        <w:ind w:left="4740" w:hanging="361"/>
      </w:pPr>
      <w:rPr>
        <w:rFonts w:hint="default"/>
        <w:lang w:val="en-US" w:eastAsia="en-US" w:bidi="ar-SA"/>
      </w:rPr>
    </w:lvl>
    <w:lvl w:ilvl="3">
      <w:start w:val="0"/>
      <w:numFmt w:val="bullet"/>
      <w:lvlText w:val="•"/>
      <w:lvlJc w:val="left"/>
      <w:pPr>
        <w:ind w:left="5631" w:hanging="361"/>
      </w:pPr>
      <w:rPr>
        <w:rFonts w:hint="default"/>
        <w:lang w:val="en-US" w:eastAsia="en-US" w:bidi="ar-SA"/>
      </w:rPr>
    </w:lvl>
    <w:lvl w:ilvl="4">
      <w:start w:val="0"/>
      <w:numFmt w:val="bullet"/>
      <w:lvlText w:val="•"/>
      <w:lvlJc w:val="left"/>
      <w:pPr>
        <w:ind w:left="6521" w:hanging="361"/>
      </w:pPr>
      <w:rPr>
        <w:rFonts w:hint="default"/>
        <w:lang w:val="en-US" w:eastAsia="en-US" w:bidi="ar-SA"/>
      </w:rPr>
    </w:lvl>
    <w:lvl w:ilvl="5">
      <w:start w:val="0"/>
      <w:numFmt w:val="bullet"/>
      <w:lvlText w:val="•"/>
      <w:lvlJc w:val="left"/>
      <w:pPr>
        <w:ind w:left="7412" w:hanging="361"/>
      </w:pPr>
      <w:rPr>
        <w:rFonts w:hint="default"/>
        <w:lang w:val="en-US" w:eastAsia="en-US" w:bidi="ar-SA"/>
      </w:rPr>
    </w:lvl>
    <w:lvl w:ilvl="6">
      <w:start w:val="0"/>
      <w:numFmt w:val="bullet"/>
      <w:lvlText w:val="•"/>
      <w:lvlJc w:val="left"/>
      <w:pPr>
        <w:ind w:left="8302" w:hanging="361"/>
      </w:pPr>
      <w:rPr>
        <w:rFonts w:hint="default"/>
        <w:lang w:val="en-US" w:eastAsia="en-US" w:bidi="ar-SA"/>
      </w:rPr>
    </w:lvl>
    <w:lvl w:ilvl="7">
      <w:start w:val="0"/>
      <w:numFmt w:val="bullet"/>
      <w:lvlText w:val="•"/>
      <w:lvlJc w:val="left"/>
      <w:pPr>
        <w:ind w:left="9192" w:hanging="361"/>
      </w:pPr>
      <w:rPr>
        <w:rFonts w:hint="default"/>
        <w:lang w:val="en-US" w:eastAsia="en-US" w:bidi="ar-SA"/>
      </w:rPr>
    </w:lvl>
    <w:lvl w:ilvl="8">
      <w:start w:val="0"/>
      <w:numFmt w:val="bullet"/>
      <w:lvlText w:val="•"/>
      <w:lvlJc w:val="left"/>
      <w:pPr>
        <w:ind w:left="10083" w:hanging="361"/>
      </w:pPr>
      <w:rPr>
        <w:rFonts w:hint="default"/>
        <w:lang w:val="en-US" w:eastAsia="en-US" w:bidi="ar-SA"/>
      </w:rPr>
    </w:lvl>
  </w:abstractNum>
  <w:abstractNum w:abstractNumId="19">
    <w:multiLevelType w:val="hybridMultilevel"/>
    <w:lvl w:ilvl="0">
      <w:start w:val="0"/>
      <w:numFmt w:val="bullet"/>
      <w:lvlText w:val=""/>
      <w:lvlJc w:val="left"/>
      <w:pPr>
        <w:ind w:left="2967" w:hanging="361"/>
      </w:pPr>
      <w:rPr>
        <w:rFonts w:hint="default" w:ascii="Symbol" w:hAnsi="Symbol" w:eastAsia="Symbol" w:cs="Symbol"/>
        <w:b w:val="0"/>
        <w:bCs w:val="0"/>
        <w:i w:val="0"/>
        <w:iCs w:val="0"/>
        <w:w w:val="100"/>
        <w:sz w:val="20"/>
        <w:szCs w:val="20"/>
        <w:lang w:val="en-US" w:eastAsia="en-US" w:bidi="ar-SA"/>
      </w:rPr>
    </w:lvl>
    <w:lvl w:ilvl="1">
      <w:start w:val="0"/>
      <w:numFmt w:val="bullet"/>
      <w:lvlText w:val="•"/>
      <w:lvlJc w:val="left"/>
      <w:pPr>
        <w:ind w:left="3850" w:hanging="361"/>
      </w:pPr>
      <w:rPr>
        <w:rFonts w:hint="default"/>
        <w:lang w:val="en-US" w:eastAsia="en-US" w:bidi="ar-SA"/>
      </w:rPr>
    </w:lvl>
    <w:lvl w:ilvl="2">
      <w:start w:val="0"/>
      <w:numFmt w:val="bullet"/>
      <w:lvlText w:val="•"/>
      <w:lvlJc w:val="left"/>
      <w:pPr>
        <w:ind w:left="4740" w:hanging="361"/>
      </w:pPr>
      <w:rPr>
        <w:rFonts w:hint="default"/>
        <w:lang w:val="en-US" w:eastAsia="en-US" w:bidi="ar-SA"/>
      </w:rPr>
    </w:lvl>
    <w:lvl w:ilvl="3">
      <w:start w:val="0"/>
      <w:numFmt w:val="bullet"/>
      <w:lvlText w:val="•"/>
      <w:lvlJc w:val="left"/>
      <w:pPr>
        <w:ind w:left="5631" w:hanging="361"/>
      </w:pPr>
      <w:rPr>
        <w:rFonts w:hint="default"/>
        <w:lang w:val="en-US" w:eastAsia="en-US" w:bidi="ar-SA"/>
      </w:rPr>
    </w:lvl>
    <w:lvl w:ilvl="4">
      <w:start w:val="0"/>
      <w:numFmt w:val="bullet"/>
      <w:lvlText w:val="•"/>
      <w:lvlJc w:val="left"/>
      <w:pPr>
        <w:ind w:left="6521" w:hanging="361"/>
      </w:pPr>
      <w:rPr>
        <w:rFonts w:hint="default"/>
        <w:lang w:val="en-US" w:eastAsia="en-US" w:bidi="ar-SA"/>
      </w:rPr>
    </w:lvl>
    <w:lvl w:ilvl="5">
      <w:start w:val="0"/>
      <w:numFmt w:val="bullet"/>
      <w:lvlText w:val="•"/>
      <w:lvlJc w:val="left"/>
      <w:pPr>
        <w:ind w:left="7412" w:hanging="361"/>
      </w:pPr>
      <w:rPr>
        <w:rFonts w:hint="default"/>
        <w:lang w:val="en-US" w:eastAsia="en-US" w:bidi="ar-SA"/>
      </w:rPr>
    </w:lvl>
    <w:lvl w:ilvl="6">
      <w:start w:val="0"/>
      <w:numFmt w:val="bullet"/>
      <w:lvlText w:val="•"/>
      <w:lvlJc w:val="left"/>
      <w:pPr>
        <w:ind w:left="8302" w:hanging="361"/>
      </w:pPr>
      <w:rPr>
        <w:rFonts w:hint="default"/>
        <w:lang w:val="en-US" w:eastAsia="en-US" w:bidi="ar-SA"/>
      </w:rPr>
    </w:lvl>
    <w:lvl w:ilvl="7">
      <w:start w:val="0"/>
      <w:numFmt w:val="bullet"/>
      <w:lvlText w:val="•"/>
      <w:lvlJc w:val="left"/>
      <w:pPr>
        <w:ind w:left="9192" w:hanging="361"/>
      </w:pPr>
      <w:rPr>
        <w:rFonts w:hint="default"/>
        <w:lang w:val="en-US" w:eastAsia="en-US" w:bidi="ar-SA"/>
      </w:rPr>
    </w:lvl>
    <w:lvl w:ilvl="8">
      <w:start w:val="0"/>
      <w:numFmt w:val="bullet"/>
      <w:lvlText w:val="•"/>
      <w:lvlJc w:val="left"/>
      <w:pPr>
        <w:ind w:left="10083" w:hanging="361"/>
      </w:pPr>
      <w:rPr>
        <w:rFonts w:hint="default"/>
        <w:lang w:val="en-US" w:eastAsia="en-US" w:bidi="ar-SA"/>
      </w:rPr>
    </w:lvl>
  </w:abstractNum>
  <w:abstractNum w:abstractNumId="18">
    <w:multiLevelType w:val="hybridMultilevel"/>
    <w:lvl w:ilvl="0">
      <w:start w:val="1"/>
      <w:numFmt w:val="lowerLetter"/>
      <w:lvlText w:val="(%1)"/>
      <w:lvlJc w:val="left"/>
      <w:pPr>
        <w:ind w:left="3687" w:hanging="720"/>
        <w:jc w:val="left"/>
      </w:pPr>
      <w:rPr>
        <w:rFonts w:hint="default" w:ascii="Times New Roman" w:hAnsi="Times New Roman" w:eastAsia="Times New Roman" w:cs="Times New Roman"/>
        <w:b w:val="0"/>
        <w:bCs w:val="0"/>
        <w:i w:val="0"/>
        <w:iCs w:val="0"/>
        <w:w w:val="100"/>
        <w:sz w:val="20"/>
        <w:szCs w:val="20"/>
        <w:lang w:val="en-US" w:eastAsia="en-US" w:bidi="ar-SA"/>
      </w:rPr>
    </w:lvl>
    <w:lvl w:ilvl="1">
      <w:start w:val="0"/>
      <w:numFmt w:val="bullet"/>
      <w:lvlText w:val="•"/>
      <w:lvlJc w:val="left"/>
      <w:pPr>
        <w:ind w:left="4498" w:hanging="720"/>
      </w:pPr>
      <w:rPr>
        <w:rFonts w:hint="default"/>
        <w:lang w:val="en-US" w:eastAsia="en-US" w:bidi="ar-SA"/>
      </w:rPr>
    </w:lvl>
    <w:lvl w:ilvl="2">
      <w:start w:val="0"/>
      <w:numFmt w:val="bullet"/>
      <w:lvlText w:val="•"/>
      <w:lvlJc w:val="left"/>
      <w:pPr>
        <w:ind w:left="5316" w:hanging="720"/>
      </w:pPr>
      <w:rPr>
        <w:rFonts w:hint="default"/>
        <w:lang w:val="en-US" w:eastAsia="en-US" w:bidi="ar-SA"/>
      </w:rPr>
    </w:lvl>
    <w:lvl w:ilvl="3">
      <w:start w:val="0"/>
      <w:numFmt w:val="bullet"/>
      <w:lvlText w:val="•"/>
      <w:lvlJc w:val="left"/>
      <w:pPr>
        <w:ind w:left="6135" w:hanging="720"/>
      </w:pPr>
      <w:rPr>
        <w:rFonts w:hint="default"/>
        <w:lang w:val="en-US" w:eastAsia="en-US" w:bidi="ar-SA"/>
      </w:rPr>
    </w:lvl>
    <w:lvl w:ilvl="4">
      <w:start w:val="0"/>
      <w:numFmt w:val="bullet"/>
      <w:lvlText w:val="•"/>
      <w:lvlJc w:val="left"/>
      <w:pPr>
        <w:ind w:left="6953" w:hanging="720"/>
      </w:pPr>
      <w:rPr>
        <w:rFonts w:hint="default"/>
        <w:lang w:val="en-US" w:eastAsia="en-US" w:bidi="ar-SA"/>
      </w:rPr>
    </w:lvl>
    <w:lvl w:ilvl="5">
      <w:start w:val="0"/>
      <w:numFmt w:val="bullet"/>
      <w:lvlText w:val="•"/>
      <w:lvlJc w:val="left"/>
      <w:pPr>
        <w:ind w:left="7772" w:hanging="720"/>
      </w:pPr>
      <w:rPr>
        <w:rFonts w:hint="default"/>
        <w:lang w:val="en-US" w:eastAsia="en-US" w:bidi="ar-SA"/>
      </w:rPr>
    </w:lvl>
    <w:lvl w:ilvl="6">
      <w:start w:val="0"/>
      <w:numFmt w:val="bullet"/>
      <w:lvlText w:val="•"/>
      <w:lvlJc w:val="left"/>
      <w:pPr>
        <w:ind w:left="8590" w:hanging="720"/>
      </w:pPr>
      <w:rPr>
        <w:rFonts w:hint="default"/>
        <w:lang w:val="en-US" w:eastAsia="en-US" w:bidi="ar-SA"/>
      </w:rPr>
    </w:lvl>
    <w:lvl w:ilvl="7">
      <w:start w:val="0"/>
      <w:numFmt w:val="bullet"/>
      <w:lvlText w:val="•"/>
      <w:lvlJc w:val="left"/>
      <w:pPr>
        <w:ind w:left="9408" w:hanging="720"/>
      </w:pPr>
      <w:rPr>
        <w:rFonts w:hint="default"/>
        <w:lang w:val="en-US" w:eastAsia="en-US" w:bidi="ar-SA"/>
      </w:rPr>
    </w:lvl>
    <w:lvl w:ilvl="8">
      <w:start w:val="0"/>
      <w:numFmt w:val="bullet"/>
      <w:lvlText w:val="•"/>
      <w:lvlJc w:val="left"/>
      <w:pPr>
        <w:ind w:left="10227" w:hanging="720"/>
      </w:pPr>
      <w:rPr>
        <w:rFonts w:hint="default"/>
        <w:lang w:val="en-US" w:eastAsia="en-US" w:bidi="ar-SA"/>
      </w:rPr>
    </w:lvl>
  </w:abstractNum>
  <w:abstractNum w:abstractNumId="17">
    <w:multiLevelType w:val="hybridMultilevel"/>
    <w:lvl w:ilvl="0">
      <w:start w:val="1"/>
      <w:numFmt w:val="lowerLetter"/>
      <w:lvlText w:val="(%1)"/>
      <w:lvlJc w:val="left"/>
      <w:pPr>
        <w:ind w:left="3687" w:hanging="720"/>
        <w:jc w:val="left"/>
      </w:pPr>
      <w:rPr>
        <w:rFonts w:hint="default" w:ascii="Times New Roman" w:hAnsi="Times New Roman" w:eastAsia="Times New Roman" w:cs="Times New Roman"/>
        <w:b w:val="0"/>
        <w:bCs w:val="0"/>
        <w:i w:val="0"/>
        <w:iCs w:val="0"/>
        <w:w w:val="100"/>
        <w:sz w:val="20"/>
        <w:szCs w:val="20"/>
        <w:lang w:val="en-US" w:eastAsia="en-US" w:bidi="ar-SA"/>
      </w:rPr>
    </w:lvl>
    <w:lvl w:ilvl="1">
      <w:start w:val="0"/>
      <w:numFmt w:val="bullet"/>
      <w:lvlText w:val="•"/>
      <w:lvlJc w:val="left"/>
      <w:pPr>
        <w:ind w:left="4498" w:hanging="720"/>
      </w:pPr>
      <w:rPr>
        <w:rFonts w:hint="default"/>
        <w:lang w:val="en-US" w:eastAsia="en-US" w:bidi="ar-SA"/>
      </w:rPr>
    </w:lvl>
    <w:lvl w:ilvl="2">
      <w:start w:val="0"/>
      <w:numFmt w:val="bullet"/>
      <w:lvlText w:val="•"/>
      <w:lvlJc w:val="left"/>
      <w:pPr>
        <w:ind w:left="5316" w:hanging="720"/>
      </w:pPr>
      <w:rPr>
        <w:rFonts w:hint="default"/>
        <w:lang w:val="en-US" w:eastAsia="en-US" w:bidi="ar-SA"/>
      </w:rPr>
    </w:lvl>
    <w:lvl w:ilvl="3">
      <w:start w:val="0"/>
      <w:numFmt w:val="bullet"/>
      <w:lvlText w:val="•"/>
      <w:lvlJc w:val="left"/>
      <w:pPr>
        <w:ind w:left="6135" w:hanging="720"/>
      </w:pPr>
      <w:rPr>
        <w:rFonts w:hint="default"/>
        <w:lang w:val="en-US" w:eastAsia="en-US" w:bidi="ar-SA"/>
      </w:rPr>
    </w:lvl>
    <w:lvl w:ilvl="4">
      <w:start w:val="0"/>
      <w:numFmt w:val="bullet"/>
      <w:lvlText w:val="•"/>
      <w:lvlJc w:val="left"/>
      <w:pPr>
        <w:ind w:left="6953" w:hanging="720"/>
      </w:pPr>
      <w:rPr>
        <w:rFonts w:hint="default"/>
        <w:lang w:val="en-US" w:eastAsia="en-US" w:bidi="ar-SA"/>
      </w:rPr>
    </w:lvl>
    <w:lvl w:ilvl="5">
      <w:start w:val="0"/>
      <w:numFmt w:val="bullet"/>
      <w:lvlText w:val="•"/>
      <w:lvlJc w:val="left"/>
      <w:pPr>
        <w:ind w:left="7772" w:hanging="720"/>
      </w:pPr>
      <w:rPr>
        <w:rFonts w:hint="default"/>
        <w:lang w:val="en-US" w:eastAsia="en-US" w:bidi="ar-SA"/>
      </w:rPr>
    </w:lvl>
    <w:lvl w:ilvl="6">
      <w:start w:val="0"/>
      <w:numFmt w:val="bullet"/>
      <w:lvlText w:val="•"/>
      <w:lvlJc w:val="left"/>
      <w:pPr>
        <w:ind w:left="8590" w:hanging="720"/>
      </w:pPr>
      <w:rPr>
        <w:rFonts w:hint="default"/>
        <w:lang w:val="en-US" w:eastAsia="en-US" w:bidi="ar-SA"/>
      </w:rPr>
    </w:lvl>
    <w:lvl w:ilvl="7">
      <w:start w:val="0"/>
      <w:numFmt w:val="bullet"/>
      <w:lvlText w:val="•"/>
      <w:lvlJc w:val="left"/>
      <w:pPr>
        <w:ind w:left="9408" w:hanging="720"/>
      </w:pPr>
      <w:rPr>
        <w:rFonts w:hint="default"/>
        <w:lang w:val="en-US" w:eastAsia="en-US" w:bidi="ar-SA"/>
      </w:rPr>
    </w:lvl>
    <w:lvl w:ilvl="8">
      <w:start w:val="0"/>
      <w:numFmt w:val="bullet"/>
      <w:lvlText w:val="•"/>
      <w:lvlJc w:val="left"/>
      <w:pPr>
        <w:ind w:left="10227" w:hanging="720"/>
      </w:pPr>
      <w:rPr>
        <w:rFonts w:hint="default"/>
        <w:lang w:val="en-US" w:eastAsia="en-US" w:bidi="ar-SA"/>
      </w:rPr>
    </w:lvl>
  </w:abstractNum>
  <w:abstractNum w:abstractNumId="16">
    <w:multiLevelType w:val="hybridMultilevel"/>
    <w:lvl w:ilvl="0">
      <w:start w:val="1"/>
      <w:numFmt w:val="lowerLetter"/>
      <w:lvlText w:val="(%1)"/>
      <w:lvlJc w:val="left"/>
      <w:pPr>
        <w:ind w:left="3687" w:hanging="720"/>
        <w:jc w:val="left"/>
      </w:pPr>
      <w:rPr>
        <w:rFonts w:hint="default" w:ascii="Times New Roman" w:hAnsi="Times New Roman" w:eastAsia="Times New Roman" w:cs="Times New Roman"/>
        <w:b w:val="0"/>
        <w:bCs w:val="0"/>
        <w:i w:val="0"/>
        <w:iCs w:val="0"/>
        <w:w w:val="100"/>
        <w:sz w:val="20"/>
        <w:szCs w:val="20"/>
        <w:lang w:val="en-US" w:eastAsia="en-US" w:bidi="ar-SA"/>
      </w:rPr>
    </w:lvl>
    <w:lvl w:ilvl="1">
      <w:start w:val="0"/>
      <w:numFmt w:val="bullet"/>
      <w:lvlText w:val="•"/>
      <w:lvlJc w:val="left"/>
      <w:pPr>
        <w:ind w:left="4498" w:hanging="720"/>
      </w:pPr>
      <w:rPr>
        <w:rFonts w:hint="default"/>
        <w:lang w:val="en-US" w:eastAsia="en-US" w:bidi="ar-SA"/>
      </w:rPr>
    </w:lvl>
    <w:lvl w:ilvl="2">
      <w:start w:val="0"/>
      <w:numFmt w:val="bullet"/>
      <w:lvlText w:val="•"/>
      <w:lvlJc w:val="left"/>
      <w:pPr>
        <w:ind w:left="5316" w:hanging="720"/>
      </w:pPr>
      <w:rPr>
        <w:rFonts w:hint="default"/>
        <w:lang w:val="en-US" w:eastAsia="en-US" w:bidi="ar-SA"/>
      </w:rPr>
    </w:lvl>
    <w:lvl w:ilvl="3">
      <w:start w:val="0"/>
      <w:numFmt w:val="bullet"/>
      <w:lvlText w:val="•"/>
      <w:lvlJc w:val="left"/>
      <w:pPr>
        <w:ind w:left="6135" w:hanging="720"/>
      </w:pPr>
      <w:rPr>
        <w:rFonts w:hint="default"/>
        <w:lang w:val="en-US" w:eastAsia="en-US" w:bidi="ar-SA"/>
      </w:rPr>
    </w:lvl>
    <w:lvl w:ilvl="4">
      <w:start w:val="0"/>
      <w:numFmt w:val="bullet"/>
      <w:lvlText w:val="•"/>
      <w:lvlJc w:val="left"/>
      <w:pPr>
        <w:ind w:left="6953" w:hanging="720"/>
      </w:pPr>
      <w:rPr>
        <w:rFonts w:hint="default"/>
        <w:lang w:val="en-US" w:eastAsia="en-US" w:bidi="ar-SA"/>
      </w:rPr>
    </w:lvl>
    <w:lvl w:ilvl="5">
      <w:start w:val="0"/>
      <w:numFmt w:val="bullet"/>
      <w:lvlText w:val="•"/>
      <w:lvlJc w:val="left"/>
      <w:pPr>
        <w:ind w:left="7772" w:hanging="720"/>
      </w:pPr>
      <w:rPr>
        <w:rFonts w:hint="default"/>
        <w:lang w:val="en-US" w:eastAsia="en-US" w:bidi="ar-SA"/>
      </w:rPr>
    </w:lvl>
    <w:lvl w:ilvl="6">
      <w:start w:val="0"/>
      <w:numFmt w:val="bullet"/>
      <w:lvlText w:val="•"/>
      <w:lvlJc w:val="left"/>
      <w:pPr>
        <w:ind w:left="8590" w:hanging="720"/>
      </w:pPr>
      <w:rPr>
        <w:rFonts w:hint="default"/>
        <w:lang w:val="en-US" w:eastAsia="en-US" w:bidi="ar-SA"/>
      </w:rPr>
    </w:lvl>
    <w:lvl w:ilvl="7">
      <w:start w:val="0"/>
      <w:numFmt w:val="bullet"/>
      <w:lvlText w:val="•"/>
      <w:lvlJc w:val="left"/>
      <w:pPr>
        <w:ind w:left="9408" w:hanging="720"/>
      </w:pPr>
      <w:rPr>
        <w:rFonts w:hint="default"/>
        <w:lang w:val="en-US" w:eastAsia="en-US" w:bidi="ar-SA"/>
      </w:rPr>
    </w:lvl>
    <w:lvl w:ilvl="8">
      <w:start w:val="0"/>
      <w:numFmt w:val="bullet"/>
      <w:lvlText w:val="•"/>
      <w:lvlJc w:val="left"/>
      <w:pPr>
        <w:ind w:left="10227" w:hanging="720"/>
      </w:pPr>
      <w:rPr>
        <w:rFonts w:hint="default"/>
        <w:lang w:val="en-US" w:eastAsia="en-US" w:bidi="ar-SA"/>
      </w:rPr>
    </w:lvl>
  </w:abstractNum>
  <w:abstractNum w:abstractNumId="15">
    <w:multiLevelType w:val="hybridMultilevel"/>
    <w:lvl w:ilvl="0">
      <w:start w:val="1"/>
      <w:numFmt w:val="lowerLetter"/>
      <w:lvlText w:val="(%1)"/>
      <w:lvlJc w:val="left"/>
      <w:pPr>
        <w:ind w:left="3687" w:hanging="720"/>
        <w:jc w:val="left"/>
      </w:pPr>
      <w:rPr>
        <w:rFonts w:hint="default" w:ascii="Times New Roman" w:hAnsi="Times New Roman" w:eastAsia="Times New Roman" w:cs="Times New Roman"/>
        <w:b w:val="0"/>
        <w:bCs w:val="0"/>
        <w:i w:val="0"/>
        <w:iCs w:val="0"/>
        <w:w w:val="100"/>
        <w:sz w:val="20"/>
        <w:szCs w:val="20"/>
        <w:lang w:val="en-US" w:eastAsia="en-US" w:bidi="ar-SA"/>
      </w:rPr>
    </w:lvl>
    <w:lvl w:ilvl="1">
      <w:start w:val="0"/>
      <w:numFmt w:val="bullet"/>
      <w:lvlText w:val="•"/>
      <w:lvlJc w:val="left"/>
      <w:pPr>
        <w:ind w:left="4498" w:hanging="720"/>
      </w:pPr>
      <w:rPr>
        <w:rFonts w:hint="default"/>
        <w:lang w:val="en-US" w:eastAsia="en-US" w:bidi="ar-SA"/>
      </w:rPr>
    </w:lvl>
    <w:lvl w:ilvl="2">
      <w:start w:val="0"/>
      <w:numFmt w:val="bullet"/>
      <w:lvlText w:val="•"/>
      <w:lvlJc w:val="left"/>
      <w:pPr>
        <w:ind w:left="5316" w:hanging="720"/>
      </w:pPr>
      <w:rPr>
        <w:rFonts w:hint="default"/>
        <w:lang w:val="en-US" w:eastAsia="en-US" w:bidi="ar-SA"/>
      </w:rPr>
    </w:lvl>
    <w:lvl w:ilvl="3">
      <w:start w:val="0"/>
      <w:numFmt w:val="bullet"/>
      <w:lvlText w:val="•"/>
      <w:lvlJc w:val="left"/>
      <w:pPr>
        <w:ind w:left="6135" w:hanging="720"/>
      </w:pPr>
      <w:rPr>
        <w:rFonts w:hint="default"/>
        <w:lang w:val="en-US" w:eastAsia="en-US" w:bidi="ar-SA"/>
      </w:rPr>
    </w:lvl>
    <w:lvl w:ilvl="4">
      <w:start w:val="0"/>
      <w:numFmt w:val="bullet"/>
      <w:lvlText w:val="•"/>
      <w:lvlJc w:val="left"/>
      <w:pPr>
        <w:ind w:left="6953" w:hanging="720"/>
      </w:pPr>
      <w:rPr>
        <w:rFonts w:hint="default"/>
        <w:lang w:val="en-US" w:eastAsia="en-US" w:bidi="ar-SA"/>
      </w:rPr>
    </w:lvl>
    <w:lvl w:ilvl="5">
      <w:start w:val="0"/>
      <w:numFmt w:val="bullet"/>
      <w:lvlText w:val="•"/>
      <w:lvlJc w:val="left"/>
      <w:pPr>
        <w:ind w:left="7772" w:hanging="720"/>
      </w:pPr>
      <w:rPr>
        <w:rFonts w:hint="default"/>
        <w:lang w:val="en-US" w:eastAsia="en-US" w:bidi="ar-SA"/>
      </w:rPr>
    </w:lvl>
    <w:lvl w:ilvl="6">
      <w:start w:val="0"/>
      <w:numFmt w:val="bullet"/>
      <w:lvlText w:val="•"/>
      <w:lvlJc w:val="left"/>
      <w:pPr>
        <w:ind w:left="8590" w:hanging="720"/>
      </w:pPr>
      <w:rPr>
        <w:rFonts w:hint="default"/>
        <w:lang w:val="en-US" w:eastAsia="en-US" w:bidi="ar-SA"/>
      </w:rPr>
    </w:lvl>
    <w:lvl w:ilvl="7">
      <w:start w:val="0"/>
      <w:numFmt w:val="bullet"/>
      <w:lvlText w:val="•"/>
      <w:lvlJc w:val="left"/>
      <w:pPr>
        <w:ind w:left="9408" w:hanging="720"/>
      </w:pPr>
      <w:rPr>
        <w:rFonts w:hint="default"/>
        <w:lang w:val="en-US" w:eastAsia="en-US" w:bidi="ar-SA"/>
      </w:rPr>
    </w:lvl>
    <w:lvl w:ilvl="8">
      <w:start w:val="0"/>
      <w:numFmt w:val="bullet"/>
      <w:lvlText w:val="•"/>
      <w:lvlJc w:val="left"/>
      <w:pPr>
        <w:ind w:left="10227" w:hanging="720"/>
      </w:pPr>
      <w:rPr>
        <w:rFonts w:hint="default"/>
        <w:lang w:val="en-US" w:eastAsia="en-US" w:bidi="ar-SA"/>
      </w:rPr>
    </w:lvl>
  </w:abstractNum>
  <w:abstractNum w:abstractNumId="14">
    <w:multiLevelType w:val="hybridMultilevel"/>
    <w:lvl w:ilvl="0">
      <w:start w:val="1"/>
      <w:numFmt w:val="lowerLetter"/>
      <w:lvlText w:val="(%1)"/>
      <w:lvlJc w:val="left"/>
      <w:pPr>
        <w:ind w:left="3687" w:hanging="720"/>
        <w:jc w:val="left"/>
      </w:pPr>
      <w:rPr>
        <w:rFonts w:hint="default" w:ascii="Times New Roman" w:hAnsi="Times New Roman" w:eastAsia="Times New Roman" w:cs="Times New Roman"/>
        <w:b w:val="0"/>
        <w:bCs w:val="0"/>
        <w:i w:val="0"/>
        <w:iCs w:val="0"/>
        <w:w w:val="100"/>
        <w:sz w:val="20"/>
        <w:szCs w:val="20"/>
        <w:lang w:val="en-US" w:eastAsia="en-US" w:bidi="ar-SA"/>
      </w:rPr>
    </w:lvl>
    <w:lvl w:ilvl="1">
      <w:start w:val="0"/>
      <w:numFmt w:val="bullet"/>
      <w:lvlText w:val="•"/>
      <w:lvlJc w:val="left"/>
      <w:pPr>
        <w:ind w:left="4498" w:hanging="720"/>
      </w:pPr>
      <w:rPr>
        <w:rFonts w:hint="default"/>
        <w:lang w:val="en-US" w:eastAsia="en-US" w:bidi="ar-SA"/>
      </w:rPr>
    </w:lvl>
    <w:lvl w:ilvl="2">
      <w:start w:val="0"/>
      <w:numFmt w:val="bullet"/>
      <w:lvlText w:val="•"/>
      <w:lvlJc w:val="left"/>
      <w:pPr>
        <w:ind w:left="5316" w:hanging="720"/>
      </w:pPr>
      <w:rPr>
        <w:rFonts w:hint="default"/>
        <w:lang w:val="en-US" w:eastAsia="en-US" w:bidi="ar-SA"/>
      </w:rPr>
    </w:lvl>
    <w:lvl w:ilvl="3">
      <w:start w:val="0"/>
      <w:numFmt w:val="bullet"/>
      <w:lvlText w:val="•"/>
      <w:lvlJc w:val="left"/>
      <w:pPr>
        <w:ind w:left="6135" w:hanging="720"/>
      </w:pPr>
      <w:rPr>
        <w:rFonts w:hint="default"/>
        <w:lang w:val="en-US" w:eastAsia="en-US" w:bidi="ar-SA"/>
      </w:rPr>
    </w:lvl>
    <w:lvl w:ilvl="4">
      <w:start w:val="0"/>
      <w:numFmt w:val="bullet"/>
      <w:lvlText w:val="•"/>
      <w:lvlJc w:val="left"/>
      <w:pPr>
        <w:ind w:left="6953" w:hanging="720"/>
      </w:pPr>
      <w:rPr>
        <w:rFonts w:hint="default"/>
        <w:lang w:val="en-US" w:eastAsia="en-US" w:bidi="ar-SA"/>
      </w:rPr>
    </w:lvl>
    <w:lvl w:ilvl="5">
      <w:start w:val="0"/>
      <w:numFmt w:val="bullet"/>
      <w:lvlText w:val="•"/>
      <w:lvlJc w:val="left"/>
      <w:pPr>
        <w:ind w:left="7772" w:hanging="720"/>
      </w:pPr>
      <w:rPr>
        <w:rFonts w:hint="default"/>
        <w:lang w:val="en-US" w:eastAsia="en-US" w:bidi="ar-SA"/>
      </w:rPr>
    </w:lvl>
    <w:lvl w:ilvl="6">
      <w:start w:val="0"/>
      <w:numFmt w:val="bullet"/>
      <w:lvlText w:val="•"/>
      <w:lvlJc w:val="left"/>
      <w:pPr>
        <w:ind w:left="8590" w:hanging="720"/>
      </w:pPr>
      <w:rPr>
        <w:rFonts w:hint="default"/>
        <w:lang w:val="en-US" w:eastAsia="en-US" w:bidi="ar-SA"/>
      </w:rPr>
    </w:lvl>
    <w:lvl w:ilvl="7">
      <w:start w:val="0"/>
      <w:numFmt w:val="bullet"/>
      <w:lvlText w:val="•"/>
      <w:lvlJc w:val="left"/>
      <w:pPr>
        <w:ind w:left="9408" w:hanging="720"/>
      </w:pPr>
      <w:rPr>
        <w:rFonts w:hint="default"/>
        <w:lang w:val="en-US" w:eastAsia="en-US" w:bidi="ar-SA"/>
      </w:rPr>
    </w:lvl>
    <w:lvl w:ilvl="8">
      <w:start w:val="0"/>
      <w:numFmt w:val="bullet"/>
      <w:lvlText w:val="•"/>
      <w:lvlJc w:val="left"/>
      <w:pPr>
        <w:ind w:left="10227" w:hanging="720"/>
      </w:pPr>
      <w:rPr>
        <w:rFonts w:hint="default"/>
        <w:lang w:val="en-US" w:eastAsia="en-US" w:bidi="ar-SA"/>
      </w:rPr>
    </w:lvl>
  </w:abstractNum>
  <w:abstractNum w:abstractNumId="13">
    <w:multiLevelType w:val="hybridMultilevel"/>
    <w:lvl w:ilvl="0">
      <w:start w:val="2"/>
      <w:numFmt w:val="lowerRoman"/>
      <w:lvlText w:val="(%1)"/>
      <w:lvlJc w:val="left"/>
      <w:pPr>
        <w:ind w:left="2246" w:hanging="298"/>
        <w:jc w:val="left"/>
      </w:pPr>
      <w:rPr>
        <w:rFonts w:hint="default" w:ascii="Times New Roman" w:hAnsi="Times New Roman" w:eastAsia="Times New Roman" w:cs="Times New Roman"/>
        <w:b w:val="0"/>
        <w:bCs w:val="0"/>
        <w:i w:val="0"/>
        <w:iCs w:val="0"/>
        <w:w w:val="100"/>
        <w:sz w:val="20"/>
        <w:szCs w:val="20"/>
        <w:lang w:val="en-US" w:eastAsia="en-US" w:bidi="ar-SA"/>
      </w:rPr>
    </w:lvl>
    <w:lvl w:ilvl="1">
      <w:start w:val="0"/>
      <w:numFmt w:val="bullet"/>
      <w:lvlText w:val="•"/>
      <w:lvlJc w:val="left"/>
      <w:pPr>
        <w:ind w:left="3202" w:hanging="298"/>
      </w:pPr>
      <w:rPr>
        <w:rFonts w:hint="default"/>
        <w:lang w:val="en-US" w:eastAsia="en-US" w:bidi="ar-SA"/>
      </w:rPr>
    </w:lvl>
    <w:lvl w:ilvl="2">
      <w:start w:val="0"/>
      <w:numFmt w:val="bullet"/>
      <w:lvlText w:val="•"/>
      <w:lvlJc w:val="left"/>
      <w:pPr>
        <w:ind w:left="4164" w:hanging="298"/>
      </w:pPr>
      <w:rPr>
        <w:rFonts w:hint="default"/>
        <w:lang w:val="en-US" w:eastAsia="en-US" w:bidi="ar-SA"/>
      </w:rPr>
    </w:lvl>
    <w:lvl w:ilvl="3">
      <w:start w:val="0"/>
      <w:numFmt w:val="bullet"/>
      <w:lvlText w:val="•"/>
      <w:lvlJc w:val="left"/>
      <w:pPr>
        <w:ind w:left="5127" w:hanging="298"/>
      </w:pPr>
      <w:rPr>
        <w:rFonts w:hint="default"/>
        <w:lang w:val="en-US" w:eastAsia="en-US" w:bidi="ar-SA"/>
      </w:rPr>
    </w:lvl>
    <w:lvl w:ilvl="4">
      <w:start w:val="0"/>
      <w:numFmt w:val="bullet"/>
      <w:lvlText w:val="•"/>
      <w:lvlJc w:val="left"/>
      <w:pPr>
        <w:ind w:left="6089" w:hanging="298"/>
      </w:pPr>
      <w:rPr>
        <w:rFonts w:hint="default"/>
        <w:lang w:val="en-US" w:eastAsia="en-US" w:bidi="ar-SA"/>
      </w:rPr>
    </w:lvl>
    <w:lvl w:ilvl="5">
      <w:start w:val="0"/>
      <w:numFmt w:val="bullet"/>
      <w:lvlText w:val="•"/>
      <w:lvlJc w:val="left"/>
      <w:pPr>
        <w:ind w:left="7052" w:hanging="298"/>
      </w:pPr>
      <w:rPr>
        <w:rFonts w:hint="default"/>
        <w:lang w:val="en-US" w:eastAsia="en-US" w:bidi="ar-SA"/>
      </w:rPr>
    </w:lvl>
    <w:lvl w:ilvl="6">
      <w:start w:val="0"/>
      <w:numFmt w:val="bullet"/>
      <w:lvlText w:val="•"/>
      <w:lvlJc w:val="left"/>
      <w:pPr>
        <w:ind w:left="8014" w:hanging="298"/>
      </w:pPr>
      <w:rPr>
        <w:rFonts w:hint="default"/>
        <w:lang w:val="en-US" w:eastAsia="en-US" w:bidi="ar-SA"/>
      </w:rPr>
    </w:lvl>
    <w:lvl w:ilvl="7">
      <w:start w:val="0"/>
      <w:numFmt w:val="bullet"/>
      <w:lvlText w:val="•"/>
      <w:lvlJc w:val="left"/>
      <w:pPr>
        <w:ind w:left="8976" w:hanging="298"/>
      </w:pPr>
      <w:rPr>
        <w:rFonts w:hint="default"/>
        <w:lang w:val="en-US" w:eastAsia="en-US" w:bidi="ar-SA"/>
      </w:rPr>
    </w:lvl>
    <w:lvl w:ilvl="8">
      <w:start w:val="0"/>
      <w:numFmt w:val="bullet"/>
      <w:lvlText w:val="•"/>
      <w:lvlJc w:val="left"/>
      <w:pPr>
        <w:ind w:left="9939" w:hanging="298"/>
      </w:pPr>
      <w:rPr>
        <w:rFonts w:hint="default"/>
        <w:lang w:val="en-US" w:eastAsia="en-US" w:bidi="ar-SA"/>
      </w:rPr>
    </w:lvl>
  </w:abstractNum>
  <w:abstractNum w:abstractNumId="12">
    <w:multiLevelType w:val="hybridMultilevel"/>
    <w:lvl w:ilvl="0">
      <w:start w:val="1"/>
      <w:numFmt w:val="lowerRoman"/>
      <w:lvlText w:val="%1."/>
      <w:lvlJc w:val="left"/>
      <w:pPr>
        <w:ind w:left="2967" w:hanging="720"/>
        <w:jc w:val="lef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3850" w:hanging="720"/>
      </w:pPr>
      <w:rPr>
        <w:rFonts w:hint="default"/>
        <w:lang w:val="en-US" w:eastAsia="en-US" w:bidi="ar-SA"/>
      </w:rPr>
    </w:lvl>
    <w:lvl w:ilvl="2">
      <w:start w:val="0"/>
      <w:numFmt w:val="bullet"/>
      <w:lvlText w:val="•"/>
      <w:lvlJc w:val="left"/>
      <w:pPr>
        <w:ind w:left="4740" w:hanging="720"/>
      </w:pPr>
      <w:rPr>
        <w:rFonts w:hint="default"/>
        <w:lang w:val="en-US" w:eastAsia="en-US" w:bidi="ar-SA"/>
      </w:rPr>
    </w:lvl>
    <w:lvl w:ilvl="3">
      <w:start w:val="0"/>
      <w:numFmt w:val="bullet"/>
      <w:lvlText w:val="•"/>
      <w:lvlJc w:val="left"/>
      <w:pPr>
        <w:ind w:left="5631" w:hanging="720"/>
      </w:pPr>
      <w:rPr>
        <w:rFonts w:hint="default"/>
        <w:lang w:val="en-US" w:eastAsia="en-US" w:bidi="ar-SA"/>
      </w:rPr>
    </w:lvl>
    <w:lvl w:ilvl="4">
      <w:start w:val="0"/>
      <w:numFmt w:val="bullet"/>
      <w:lvlText w:val="•"/>
      <w:lvlJc w:val="left"/>
      <w:pPr>
        <w:ind w:left="6521" w:hanging="720"/>
      </w:pPr>
      <w:rPr>
        <w:rFonts w:hint="default"/>
        <w:lang w:val="en-US" w:eastAsia="en-US" w:bidi="ar-SA"/>
      </w:rPr>
    </w:lvl>
    <w:lvl w:ilvl="5">
      <w:start w:val="0"/>
      <w:numFmt w:val="bullet"/>
      <w:lvlText w:val="•"/>
      <w:lvlJc w:val="left"/>
      <w:pPr>
        <w:ind w:left="7412" w:hanging="720"/>
      </w:pPr>
      <w:rPr>
        <w:rFonts w:hint="default"/>
        <w:lang w:val="en-US" w:eastAsia="en-US" w:bidi="ar-SA"/>
      </w:rPr>
    </w:lvl>
    <w:lvl w:ilvl="6">
      <w:start w:val="0"/>
      <w:numFmt w:val="bullet"/>
      <w:lvlText w:val="•"/>
      <w:lvlJc w:val="left"/>
      <w:pPr>
        <w:ind w:left="8302" w:hanging="720"/>
      </w:pPr>
      <w:rPr>
        <w:rFonts w:hint="default"/>
        <w:lang w:val="en-US" w:eastAsia="en-US" w:bidi="ar-SA"/>
      </w:rPr>
    </w:lvl>
    <w:lvl w:ilvl="7">
      <w:start w:val="0"/>
      <w:numFmt w:val="bullet"/>
      <w:lvlText w:val="•"/>
      <w:lvlJc w:val="left"/>
      <w:pPr>
        <w:ind w:left="9192" w:hanging="720"/>
      </w:pPr>
      <w:rPr>
        <w:rFonts w:hint="default"/>
        <w:lang w:val="en-US" w:eastAsia="en-US" w:bidi="ar-SA"/>
      </w:rPr>
    </w:lvl>
    <w:lvl w:ilvl="8">
      <w:start w:val="0"/>
      <w:numFmt w:val="bullet"/>
      <w:lvlText w:val="•"/>
      <w:lvlJc w:val="left"/>
      <w:pPr>
        <w:ind w:left="10083" w:hanging="720"/>
      </w:pPr>
      <w:rPr>
        <w:rFonts w:hint="default"/>
        <w:lang w:val="en-US" w:eastAsia="en-US" w:bidi="ar-SA"/>
      </w:rPr>
    </w:lvl>
  </w:abstractNum>
  <w:abstractNum w:abstractNumId="11">
    <w:multiLevelType w:val="hybridMultilevel"/>
    <w:lvl w:ilvl="0">
      <w:start w:val="0"/>
      <w:numFmt w:val="bullet"/>
      <w:lvlText w:val=""/>
      <w:lvlJc w:val="left"/>
      <w:pPr>
        <w:ind w:left="3379" w:hanging="423"/>
      </w:pPr>
      <w:rPr>
        <w:rFonts w:hint="default" w:ascii="Symbol" w:hAnsi="Symbol" w:eastAsia="Symbol" w:cs="Symbol"/>
        <w:b w:val="0"/>
        <w:bCs w:val="0"/>
        <w:i w:val="0"/>
        <w:iCs w:val="0"/>
        <w:w w:val="100"/>
        <w:sz w:val="20"/>
        <w:szCs w:val="20"/>
        <w:lang w:val="en-US" w:eastAsia="en-US" w:bidi="ar-SA"/>
      </w:rPr>
    </w:lvl>
    <w:lvl w:ilvl="1">
      <w:start w:val="0"/>
      <w:numFmt w:val="bullet"/>
      <w:lvlText w:val="•"/>
      <w:lvlJc w:val="left"/>
      <w:pPr>
        <w:ind w:left="4228" w:hanging="423"/>
      </w:pPr>
      <w:rPr>
        <w:rFonts w:hint="default"/>
        <w:lang w:val="en-US" w:eastAsia="en-US" w:bidi="ar-SA"/>
      </w:rPr>
    </w:lvl>
    <w:lvl w:ilvl="2">
      <w:start w:val="0"/>
      <w:numFmt w:val="bullet"/>
      <w:lvlText w:val="•"/>
      <w:lvlJc w:val="left"/>
      <w:pPr>
        <w:ind w:left="5076" w:hanging="423"/>
      </w:pPr>
      <w:rPr>
        <w:rFonts w:hint="default"/>
        <w:lang w:val="en-US" w:eastAsia="en-US" w:bidi="ar-SA"/>
      </w:rPr>
    </w:lvl>
    <w:lvl w:ilvl="3">
      <w:start w:val="0"/>
      <w:numFmt w:val="bullet"/>
      <w:lvlText w:val="•"/>
      <w:lvlJc w:val="left"/>
      <w:pPr>
        <w:ind w:left="5925" w:hanging="423"/>
      </w:pPr>
      <w:rPr>
        <w:rFonts w:hint="default"/>
        <w:lang w:val="en-US" w:eastAsia="en-US" w:bidi="ar-SA"/>
      </w:rPr>
    </w:lvl>
    <w:lvl w:ilvl="4">
      <w:start w:val="0"/>
      <w:numFmt w:val="bullet"/>
      <w:lvlText w:val="•"/>
      <w:lvlJc w:val="left"/>
      <w:pPr>
        <w:ind w:left="6773" w:hanging="423"/>
      </w:pPr>
      <w:rPr>
        <w:rFonts w:hint="default"/>
        <w:lang w:val="en-US" w:eastAsia="en-US" w:bidi="ar-SA"/>
      </w:rPr>
    </w:lvl>
    <w:lvl w:ilvl="5">
      <w:start w:val="0"/>
      <w:numFmt w:val="bullet"/>
      <w:lvlText w:val="•"/>
      <w:lvlJc w:val="left"/>
      <w:pPr>
        <w:ind w:left="7622" w:hanging="423"/>
      </w:pPr>
      <w:rPr>
        <w:rFonts w:hint="default"/>
        <w:lang w:val="en-US" w:eastAsia="en-US" w:bidi="ar-SA"/>
      </w:rPr>
    </w:lvl>
    <w:lvl w:ilvl="6">
      <w:start w:val="0"/>
      <w:numFmt w:val="bullet"/>
      <w:lvlText w:val="•"/>
      <w:lvlJc w:val="left"/>
      <w:pPr>
        <w:ind w:left="8470" w:hanging="423"/>
      </w:pPr>
      <w:rPr>
        <w:rFonts w:hint="default"/>
        <w:lang w:val="en-US" w:eastAsia="en-US" w:bidi="ar-SA"/>
      </w:rPr>
    </w:lvl>
    <w:lvl w:ilvl="7">
      <w:start w:val="0"/>
      <w:numFmt w:val="bullet"/>
      <w:lvlText w:val="•"/>
      <w:lvlJc w:val="left"/>
      <w:pPr>
        <w:ind w:left="9318" w:hanging="423"/>
      </w:pPr>
      <w:rPr>
        <w:rFonts w:hint="default"/>
        <w:lang w:val="en-US" w:eastAsia="en-US" w:bidi="ar-SA"/>
      </w:rPr>
    </w:lvl>
    <w:lvl w:ilvl="8">
      <w:start w:val="0"/>
      <w:numFmt w:val="bullet"/>
      <w:lvlText w:val="•"/>
      <w:lvlJc w:val="left"/>
      <w:pPr>
        <w:ind w:left="10167" w:hanging="423"/>
      </w:pPr>
      <w:rPr>
        <w:rFonts w:hint="default"/>
        <w:lang w:val="en-US" w:eastAsia="en-US" w:bidi="ar-SA"/>
      </w:rPr>
    </w:lvl>
  </w:abstractNum>
  <w:abstractNum w:abstractNumId="10">
    <w:multiLevelType w:val="hybridMultilevel"/>
    <w:lvl w:ilvl="0">
      <w:start w:val="0"/>
      <w:numFmt w:val="bullet"/>
      <w:lvlText w:val=""/>
      <w:lvlJc w:val="left"/>
      <w:pPr>
        <w:ind w:left="3379" w:hanging="423"/>
      </w:pPr>
      <w:rPr>
        <w:rFonts w:hint="default" w:ascii="Symbol" w:hAnsi="Symbol" w:eastAsia="Symbol" w:cs="Symbol"/>
        <w:b w:val="0"/>
        <w:bCs w:val="0"/>
        <w:i w:val="0"/>
        <w:iCs w:val="0"/>
        <w:w w:val="100"/>
        <w:sz w:val="20"/>
        <w:szCs w:val="20"/>
        <w:lang w:val="en-US" w:eastAsia="en-US" w:bidi="ar-SA"/>
      </w:rPr>
    </w:lvl>
    <w:lvl w:ilvl="1">
      <w:start w:val="0"/>
      <w:numFmt w:val="bullet"/>
      <w:lvlText w:val="•"/>
      <w:lvlJc w:val="left"/>
      <w:pPr>
        <w:ind w:left="4228" w:hanging="423"/>
      </w:pPr>
      <w:rPr>
        <w:rFonts w:hint="default"/>
        <w:lang w:val="en-US" w:eastAsia="en-US" w:bidi="ar-SA"/>
      </w:rPr>
    </w:lvl>
    <w:lvl w:ilvl="2">
      <w:start w:val="0"/>
      <w:numFmt w:val="bullet"/>
      <w:lvlText w:val="•"/>
      <w:lvlJc w:val="left"/>
      <w:pPr>
        <w:ind w:left="5076" w:hanging="423"/>
      </w:pPr>
      <w:rPr>
        <w:rFonts w:hint="default"/>
        <w:lang w:val="en-US" w:eastAsia="en-US" w:bidi="ar-SA"/>
      </w:rPr>
    </w:lvl>
    <w:lvl w:ilvl="3">
      <w:start w:val="0"/>
      <w:numFmt w:val="bullet"/>
      <w:lvlText w:val="•"/>
      <w:lvlJc w:val="left"/>
      <w:pPr>
        <w:ind w:left="5925" w:hanging="423"/>
      </w:pPr>
      <w:rPr>
        <w:rFonts w:hint="default"/>
        <w:lang w:val="en-US" w:eastAsia="en-US" w:bidi="ar-SA"/>
      </w:rPr>
    </w:lvl>
    <w:lvl w:ilvl="4">
      <w:start w:val="0"/>
      <w:numFmt w:val="bullet"/>
      <w:lvlText w:val="•"/>
      <w:lvlJc w:val="left"/>
      <w:pPr>
        <w:ind w:left="6773" w:hanging="423"/>
      </w:pPr>
      <w:rPr>
        <w:rFonts w:hint="default"/>
        <w:lang w:val="en-US" w:eastAsia="en-US" w:bidi="ar-SA"/>
      </w:rPr>
    </w:lvl>
    <w:lvl w:ilvl="5">
      <w:start w:val="0"/>
      <w:numFmt w:val="bullet"/>
      <w:lvlText w:val="•"/>
      <w:lvlJc w:val="left"/>
      <w:pPr>
        <w:ind w:left="7622" w:hanging="423"/>
      </w:pPr>
      <w:rPr>
        <w:rFonts w:hint="default"/>
        <w:lang w:val="en-US" w:eastAsia="en-US" w:bidi="ar-SA"/>
      </w:rPr>
    </w:lvl>
    <w:lvl w:ilvl="6">
      <w:start w:val="0"/>
      <w:numFmt w:val="bullet"/>
      <w:lvlText w:val="•"/>
      <w:lvlJc w:val="left"/>
      <w:pPr>
        <w:ind w:left="8470" w:hanging="423"/>
      </w:pPr>
      <w:rPr>
        <w:rFonts w:hint="default"/>
        <w:lang w:val="en-US" w:eastAsia="en-US" w:bidi="ar-SA"/>
      </w:rPr>
    </w:lvl>
    <w:lvl w:ilvl="7">
      <w:start w:val="0"/>
      <w:numFmt w:val="bullet"/>
      <w:lvlText w:val="•"/>
      <w:lvlJc w:val="left"/>
      <w:pPr>
        <w:ind w:left="9318" w:hanging="423"/>
      </w:pPr>
      <w:rPr>
        <w:rFonts w:hint="default"/>
        <w:lang w:val="en-US" w:eastAsia="en-US" w:bidi="ar-SA"/>
      </w:rPr>
    </w:lvl>
    <w:lvl w:ilvl="8">
      <w:start w:val="0"/>
      <w:numFmt w:val="bullet"/>
      <w:lvlText w:val="•"/>
      <w:lvlJc w:val="left"/>
      <w:pPr>
        <w:ind w:left="10167" w:hanging="423"/>
      </w:pPr>
      <w:rPr>
        <w:rFonts w:hint="default"/>
        <w:lang w:val="en-US" w:eastAsia="en-US" w:bidi="ar-SA"/>
      </w:rPr>
    </w:lvl>
  </w:abstractNum>
  <w:abstractNum w:abstractNumId="9">
    <w:multiLevelType w:val="hybridMultilevel"/>
    <w:lvl w:ilvl="0">
      <w:start w:val="1"/>
      <w:numFmt w:val="decimal"/>
      <w:lvlText w:val="%1."/>
      <w:lvlJc w:val="left"/>
      <w:pPr>
        <w:ind w:left="2246" w:hanging="567"/>
        <w:jc w:val="left"/>
      </w:pPr>
      <w:rPr>
        <w:rFonts w:hint="default" w:ascii="Times New Roman" w:hAnsi="Times New Roman" w:eastAsia="Times New Roman" w:cs="Times New Roman"/>
        <w:b/>
        <w:bCs/>
        <w:i w:val="0"/>
        <w:iCs w:val="0"/>
        <w:w w:val="100"/>
        <w:sz w:val="20"/>
        <w:szCs w:val="20"/>
        <w:lang w:val="en-US" w:eastAsia="en-US" w:bidi="ar-SA"/>
      </w:rPr>
    </w:lvl>
    <w:lvl w:ilvl="1">
      <w:start w:val="0"/>
      <w:numFmt w:val="bullet"/>
      <w:lvlText w:val="•"/>
      <w:lvlJc w:val="left"/>
      <w:pPr>
        <w:ind w:left="3202" w:hanging="567"/>
      </w:pPr>
      <w:rPr>
        <w:rFonts w:hint="default"/>
        <w:lang w:val="en-US" w:eastAsia="en-US" w:bidi="ar-SA"/>
      </w:rPr>
    </w:lvl>
    <w:lvl w:ilvl="2">
      <w:start w:val="0"/>
      <w:numFmt w:val="bullet"/>
      <w:lvlText w:val="•"/>
      <w:lvlJc w:val="left"/>
      <w:pPr>
        <w:ind w:left="4164" w:hanging="567"/>
      </w:pPr>
      <w:rPr>
        <w:rFonts w:hint="default"/>
        <w:lang w:val="en-US" w:eastAsia="en-US" w:bidi="ar-SA"/>
      </w:rPr>
    </w:lvl>
    <w:lvl w:ilvl="3">
      <w:start w:val="0"/>
      <w:numFmt w:val="bullet"/>
      <w:lvlText w:val="•"/>
      <w:lvlJc w:val="left"/>
      <w:pPr>
        <w:ind w:left="5127" w:hanging="567"/>
      </w:pPr>
      <w:rPr>
        <w:rFonts w:hint="default"/>
        <w:lang w:val="en-US" w:eastAsia="en-US" w:bidi="ar-SA"/>
      </w:rPr>
    </w:lvl>
    <w:lvl w:ilvl="4">
      <w:start w:val="0"/>
      <w:numFmt w:val="bullet"/>
      <w:lvlText w:val="•"/>
      <w:lvlJc w:val="left"/>
      <w:pPr>
        <w:ind w:left="6089" w:hanging="567"/>
      </w:pPr>
      <w:rPr>
        <w:rFonts w:hint="default"/>
        <w:lang w:val="en-US" w:eastAsia="en-US" w:bidi="ar-SA"/>
      </w:rPr>
    </w:lvl>
    <w:lvl w:ilvl="5">
      <w:start w:val="0"/>
      <w:numFmt w:val="bullet"/>
      <w:lvlText w:val="•"/>
      <w:lvlJc w:val="left"/>
      <w:pPr>
        <w:ind w:left="7052" w:hanging="567"/>
      </w:pPr>
      <w:rPr>
        <w:rFonts w:hint="default"/>
        <w:lang w:val="en-US" w:eastAsia="en-US" w:bidi="ar-SA"/>
      </w:rPr>
    </w:lvl>
    <w:lvl w:ilvl="6">
      <w:start w:val="0"/>
      <w:numFmt w:val="bullet"/>
      <w:lvlText w:val="•"/>
      <w:lvlJc w:val="left"/>
      <w:pPr>
        <w:ind w:left="8014" w:hanging="567"/>
      </w:pPr>
      <w:rPr>
        <w:rFonts w:hint="default"/>
        <w:lang w:val="en-US" w:eastAsia="en-US" w:bidi="ar-SA"/>
      </w:rPr>
    </w:lvl>
    <w:lvl w:ilvl="7">
      <w:start w:val="0"/>
      <w:numFmt w:val="bullet"/>
      <w:lvlText w:val="•"/>
      <w:lvlJc w:val="left"/>
      <w:pPr>
        <w:ind w:left="8976" w:hanging="567"/>
      </w:pPr>
      <w:rPr>
        <w:rFonts w:hint="default"/>
        <w:lang w:val="en-US" w:eastAsia="en-US" w:bidi="ar-SA"/>
      </w:rPr>
    </w:lvl>
    <w:lvl w:ilvl="8">
      <w:start w:val="0"/>
      <w:numFmt w:val="bullet"/>
      <w:lvlText w:val="•"/>
      <w:lvlJc w:val="left"/>
      <w:pPr>
        <w:ind w:left="9939" w:hanging="567"/>
      </w:pPr>
      <w:rPr>
        <w:rFonts w:hint="default"/>
        <w:lang w:val="en-US" w:eastAsia="en-US" w:bidi="ar-SA"/>
      </w:rPr>
    </w:lvl>
  </w:abstractNum>
  <w:abstractNum w:abstractNumId="8">
    <w:multiLevelType w:val="hybridMultilevel"/>
    <w:lvl w:ilvl="0">
      <w:start w:val="0"/>
      <w:numFmt w:val="bullet"/>
      <w:lvlText w:val=""/>
      <w:lvlJc w:val="left"/>
      <w:pPr>
        <w:ind w:left="3523" w:hanging="567"/>
      </w:pPr>
      <w:rPr>
        <w:rFonts w:hint="default" w:ascii="Symbol" w:hAnsi="Symbol" w:eastAsia="Symbol" w:cs="Symbol"/>
        <w:b w:val="0"/>
        <w:bCs w:val="0"/>
        <w:i w:val="0"/>
        <w:iCs w:val="0"/>
        <w:w w:val="100"/>
        <w:sz w:val="20"/>
        <w:szCs w:val="20"/>
        <w:lang w:val="en-US" w:eastAsia="en-US" w:bidi="ar-SA"/>
      </w:rPr>
    </w:lvl>
    <w:lvl w:ilvl="1">
      <w:start w:val="0"/>
      <w:numFmt w:val="bullet"/>
      <w:lvlText w:val="o"/>
      <w:lvlJc w:val="left"/>
      <w:pPr>
        <w:ind w:left="4090" w:hanging="567"/>
      </w:pPr>
      <w:rPr>
        <w:rFonts w:hint="default" w:ascii="Courier New" w:hAnsi="Courier New" w:eastAsia="Courier New" w:cs="Courier New"/>
        <w:b w:val="0"/>
        <w:bCs w:val="0"/>
        <w:i w:val="0"/>
        <w:iCs w:val="0"/>
        <w:w w:val="100"/>
        <w:sz w:val="20"/>
        <w:szCs w:val="20"/>
        <w:lang w:val="en-US" w:eastAsia="en-US" w:bidi="ar-SA"/>
      </w:rPr>
    </w:lvl>
    <w:lvl w:ilvl="2">
      <w:start w:val="0"/>
      <w:numFmt w:val="bullet"/>
      <w:lvlText w:val="•"/>
      <w:lvlJc w:val="left"/>
      <w:pPr>
        <w:ind w:left="4962" w:hanging="567"/>
      </w:pPr>
      <w:rPr>
        <w:rFonts w:hint="default"/>
        <w:lang w:val="en-US" w:eastAsia="en-US" w:bidi="ar-SA"/>
      </w:rPr>
    </w:lvl>
    <w:lvl w:ilvl="3">
      <w:start w:val="0"/>
      <w:numFmt w:val="bullet"/>
      <w:lvlText w:val="•"/>
      <w:lvlJc w:val="left"/>
      <w:pPr>
        <w:ind w:left="5825" w:hanging="567"/>
      </w:pPr>
      <w:rPr>
        <w:rFonts w:hint="default"/>
        <w:lang w:val="en-US" w:eastAsia="en-US" w:bidi="ar-SA"/>
      </w:rPr>
    </w:lvl>
    <w:lvl w:ilvl="4">
      <w:start w:val="0"/>
      <w:numFmt w:val="bullet"/>
      <w:lvlText w:val="•"/>
      <w:lvlJc w:val="left"/>
      <w:pPr>
        <w:ind w:left="6688" w:hanging="567"/>
      </w:pPr>
      <w:rPr>
        <w:rFonts w:hint="default"/>
        <w:lang w:val="en-US" w:eastAsia="en-US" w:bidi="ar-SA"/>
      </w:rPr>
    </w:lvl>
    <w:lvl w:ilvl="5">
      <w:start w:val="0"/>
      <w:numFmt w:val="bullet"/>
      <w:lvlText w:val="•"/>
      <w:lvlJc w:val="left"/>
      <w:pPr>
        <w:ind w:left="7550" w:hanging="567"/>
      </w:pPr>
      <w:rPr>
        <w:rFonts w:hint="default"/>
        <w:lang w:val="en-US" w:eastAsia="en-US" w:bidi="ar-SA"/>
      </w:rPr>
    </w:lvl>
    <w:lvl w:ilvl="6">
      <w:start w:val="0"/>
      <w:numFmt w:val="bullet"/>
      <w:lvlText w:val="•"/>
      <w:lvlJc w:val="left"/>
      <w:pPr>
        <w:ind w:left="8413" w:hanging="567"/>
      </w:pPr>
      <w:rPr>
        <w:rFonts w:hint="default"/>
        <w:lang w:val="en-US" w:eastAsia="en-US" w:bidi="ar-SA"/>
      </w:rPr>
    </w:lvl>
    <w:lvl w:ilvl="7">
      <w:start w:val="0"/>
      <w:numFmt w:val="bullet"/>
      <w:lvlText w:val="•"/>
      <w:lvlJc w:val="left"/>
      <w:pPr>
        <w:ind w:left="9276" w:hanging="567"/>
      </w:pPr>
      <w:rPr>
        <w:rFonts w:hint="default"/>
        <w:lang w:val="en-US" w:eastAsia="en-US" w:bidi="ar-SA"/>
      </w:rPr>
    </w:lvl>
    <w:lvl w:ilvl="8">
      <w:start w:val="0"/>
      <w:numFmt w:val="bullet"/>
      <w:lvlText w:val="•"/>
      <w:lvlJc w:val="left"/>
      <w:pPr>
        <w:ind w:left="10138" w:hanging="567"/>
      </w:pPr>
      <w:rPr>
        <w:rFonts w:hint="default"/>
        <w:lang w:val="en-US" w:eastAsia="en-US" w:bidi="ar-SA"/>
      </w:rPr>
    </w:lvl>
  </w:abstractNum>
  <w:abstractNum w:abstractNumId="7">
    <w:multiLevelType w:val="hybridMultilevel"/>
    <w:lvl w:ilvl="0">
      <w:start w:val="1"/>
      <w:numFmt w:val="decimal"/>
      <w:lvlText w:val="%1."/>
      <w:lvlJc w:val="left"/>
      <w:pPr>
        <w:ind w:left="2246" w:hanging="567"/>
        <w:jc w:val="left"/>
      </w:pPr>
      <w:rPr>
        <w:rFonts w:hint="default" w:ascii="Times New Roman" w:hAnsi="Times New Roman" w:eastAsia="Times New Roman" w:cs="Times New Roman"/>
        <w:b/>
        <w:bCs/>
        <w:i w:val="0"/>
        <w:iCs w:val="0"/>
        <w:w w:val="100"/>
        <w:sz w:val="20"/>
        <w:szCs w:val="20"/>
        <w:lang w:val="en-US" w:eastAsia="en-US" w:bidi="ar-SA"/>
      </w:rPr>
    </w:lvl>
    <w:lvl w:ilvl="1">
      <w:start w:val="0"/>
      <w:numFmt w:val="bullet"/>
      <w:lvlText w:val="•"/>
      <w:lvlJc w:val="left"/>
      <w:pPr>
        <w:ind w:left="3202" w:hanging="567"/>
      </w:pPr>
      <w:rPr>
        <w:rFonts w:hint="default"/>
        <w:lang w:val="en-US" w:eastAsia="en-US" w:bidi="ar-SA"/>
      </w:rPr>
    </w:lvl>
    <w:lvl w:ilvl="2">
      <w:start w:val="0"/>
      <w:numFmt w:val="bullet"/>
      <w:lvlText w:val="•"/>
      <w:lvlJc w:val="left"/>
      <w:pPr>
        <w:ind w:left="4164" w:hanging="567"/>
      </w:pPr>
      <w:rPr>
        <w:rFonts w:hint="default"/>
        <w:lang w:val="en-US" w:eastAsia="en-US" w:bidi="ar-SA"/>
      </w:rPr>
    </w:lvl>
    <w:lvl w:ilvl="3">
      <w:start w:val="0"/>
      <w:numFmt w:val="bullet"/>
      <w:lvlText w:val="•"/>
      <w:lvlJc w:val="left"/>
      <w:pPr>
        <w:ind w:left="5127" w:hanging="567"/>
      </w:pPr>
      <w:rPr>
        <w:rFonts w:hint="default"/>
        <w:lang w:val="en-US" w:eastAsia="en-US" w:bidi="ar-SA"/>
      </w:rPr>
    </w:lvl>
    <w:lvl w:ilvl="4">
      <w:start w:val="0"/>
      <w:numFmt w:val="bullet"/>
      <w:lvlText w:val="•"/>
      <w:lvlJc w:val="left"/>
      <w:pPr>
        <w:ind w:left="6089" w:hanging="567"/>
      </w:pPr>
      <w:rPr>
        <w:rFonts w:hint="default"/>
        <w:lang w:val="en-US" w:eastAsia="en-US" w:bidi="ar-SA"/>
      </w:rPr>
    </w:lvl>
    <w:lvl w:ilvl="5">
      <w:start w:val="0"/>
      <w:numFmt w:val="bullet"/>
      <w:lvlText w:val="•"/>
      <w:lvlJc w:val="left"/>
      <w:pPr>
        <w:ind w:left="7052" w:hanging="567"/>
      </w:pPr>
      <w:rPr>
        <w:rFonts w:hint="default"/>
        <w:lang w:val="en-US" w:eastAsia="en-US" w:bidi="ar-SA"/>
      </w:rPr>
    </w:lvl>
    <w:lvl w:ilvl="6">
      <w:start w:val="0"/>
      <w:numFmt w:val="bullet"/>
      <w:lvlText w:val="•"/>
      <w:lvlJc w:val="left"/>
      <w:pPr>
        <w:ind w:left="8014" w:hanging="567"/>
      </w:pPr>
      <w:rPr>
        <w:rFonts w:hint="default"/>
        <w:lang w:val="en-US" w:eastAsia="en-US" w:bidi="ar-SA"/>
      </w:rPr>
    </w:lvl>
    <w:lvl w:ilvl="7">
      <w:start w:val="0"/>
      <w:numFmt w:val="bullet"/>
      <w:lvlText w:val="•"/>
      <w:lvlJc w:val="left"/>
      <w:pPr>
        <w:ind w:left="8976" w:hanging="567"/>
      </w:pPr>
      <w:rPr>
        <w:rFonts w:hint="default"/>
        <w:lang w:val="en-US" w:eastAsia="en-US" w:bidi="ar-SA"/>
      </w:rPr>
    </w:lvl>
    <w:lvl w:ilvl="8">
      <w:start w:val="0"/>
      <w:numFmt w:val="bullet"/>
      <w:lvlText w:val="•"/>
      <w:lvlJc w:val="left"/>
      <w:pPr>
        <w:ind w:left="9939" w:hanging="567"/>
      </w:pPr>
      <w:rPr>
        <w:rFonts w:hint="default"/>
        <w:lang w:val="en-US" w:eastAsia="en-US" w:bidi="ar-SA"/>
      </w:rPr>
    </w:lvl>
  </w:abstractNum>
  <w:abstractNum w:abstractNumId="6">
    <w:multiLevelType w:val="hybridMultilevel"/>
    <w:lvl w:ilvl="0">
      <w:start w:val="1"/>
      <w:numFmt w:val="decimal"/>
      <w:lvlText w:val="%1."/>
      <w:lvlJc w:val="left"/>
      <w:pPr>
        <w:ind w:left="2246" w:hanging="567"/>
        <w:jc w:val="left"/>
      </w:pPr>
      <w:rPr>
        <w:rFonts w:hint="default" w:ascii="Times New Roman" w:hAnsi="Times New Roman" w:eastAsia="Times New Roman" w:cs="Times New Roman"/>
        <w:b/>
        <w:bCs/>
        <w:i w:val="0"/>
        <w:iCs w:val="0"/>
        <w:w w:val="100"/>
        <w:sz w:val="20"/>
        <w:szCs w:val="20"/>
        <w:lang w:val="en-US" w:eastAsia="en-US" w:bidi="ar-SA"/>
      </w:rPr>
    </w:lvl>
    <w:lvl w:ilvl="1">
      <w:start w:val="0"/>
      <w:numFmt w:val="bullet"/>
      <w:lvlText w:val="•"/>
      <w:lvlJc w:val="left"/>
      <w:pPr>
        <w:ind w:left="3202" w:hanging="567"/>
      </w:pPr>
      <w:rPr>
        <w:rFonts w:hint="default"/>
        <w:lang w:val="en-US" w:eastAsia="en-US" w:bidi="ar-SA"/>
      </w:rPr>
    </w:lvl>
    <w:lvl w:ilvl="2">
      <w:start w:val="0"/>
      <w:numFmt w:val="bullet"/>
      <w:lvlText w:val="•"/>
      <w:lvlJc w:val="left"/>
      <w:pPr>
        <w:ind w:left="4164" w:hanging="567"/>
      </w:pPr>
      <w:rPr>
        <w:rFonts w:hint="default"/>
        <w:lang w:val="en-US" w:eastAsia="en-US" w:bidi="ar-SA"/>
      </w:rPr>
    </w:lvl>
    <w:lvl w:ilvl="3">
      <w:start w:val="0"/>
      <w:numFmt w:val="bullet"/>
      <w:lvlText w:val="•"/>
      <w:lvlJc w:val="left"/>
      <w:pPr>
        <w:ind w:left="5127" w:hanging="567"/>
      </w:pPr>
      <w:rPr>
        <w:rFonts w:hint="default"/>
        <w:lang w:val="en-US" w:eastAsia="en-US" w:bidi="ar-SA"/>
      </w:rPr>
    </w:lvl>
    <w:lvl w:ilvl="4">
      <w:start w:val="0"/>
      <w:numFmt w:val="bullet"/>
      <w:lvlText w:val="•"/>
      <w:lvlJc w:val="left"/>
      <w:pPr>
        <w:ind w:left="6089" w:hanging="567"/>
      </w:pPr>
      <w:rPr>
        <w:rFonts w:hint="default"/>
        <w:lang w:val="en-US" w:eastAsia="en-US" w:bidi="ar-SA"/>
      </w:rPr>
    </w:lvl>
    <w:lvl w:ilvl="5">
      <w:start w:val="0"/>
      <w:numFmt w:val="bullet"/>
      <w:lvlText w:val="•"/>
      <w:lvlJc w:val="left"/>
      <w:pPr>
        <w:ind w:left="7052" w:hanging="567"/>
      </w:pPr>
      <w:rPr>
        <w:rFonts w:hint="default"/>
        <w:lang w:val="en-US" w:eastAsia="en-US" w:bidi="ar-SA"/>
      </w:rPr>
    </w:lvl>
    <w:lvl w:ilvl="6">
      <w:start w:val="0"/>
      <w:numFmt w:val="bullet"/>
      <w:lvlText w:val="•"/>
      <w:lvlJc w:val="left"/>
      <w:pPr>
        <w:ind w:left="8014" w:hanging="567"/>
      </w:pPr>
      <w:rPr>
        <w:rFonts w:hint="default"/>
        <w:lang w:val="en-US" w:eastAsia="en-US" w:bidi="ar-SA"/>
      </w:rPr>
    </w:lvl>
    <w:lvl w:ilvl="7">
      <w:start w:val="0"/>
      <w:numFmt w:val="bullet"/>
      <w:lvlText w:val="•"/>
      <w:lvlJc w:val="left"/>
      <w:pPr>
        <w:ind w:left="8976" w:hanging="567"/>
      </w:pPr>
      <w:rPr>
        <w:rFonts w:hint="default"/>
        <w:lang w:val="en-US" w:eastAsia="en-US" w:bidi="ar-SA"/>
      </w:rPr>
    </w:lvl>
    <w:lvl w:ilvl="8">
      <w:start w:val="0"/>
      <w:numFmt w:val="bullet"/>
      <w:lvlText w:val="•"/>
      <w:lvlJc w:val="left"/>
      <w:pPr>
        <w:ind w:left="9939" w:hanging="567"/>
      </w:pPr>
      <w:rPr>
        <w:rFonts w:hint="default"/>
        <w:lang w:val="en-US" w:eastAsia="en-US" w:bidi="ar-SA"/>
      </w:rPr>
    </w:lvl>
  </w:abstractNum>
  <w:abstractNum w:abstractNumId="5">
    <w:multiLevelType w:val="hybridMultilevel"/>
    <w:lvl w:ilvl="0">
      <w:start w:val="1"/>
      <w:numFmt w:val="decimal"/>
      <w:lvlText w:val="%1."/>
      <w:lvlJc w:val="left"/>
      <w:pPr>
        <w:ind w:left="2246" w:hanging="567"/>
        <w:jc w:val="left"/>
      </w:pPr>
      <w:rPr>
        <w:rFonts w:hint="default" w:ascii="Times New Roman" w:hAnsi="Times New Roman" w:eastAsia="Times New Roman" w:cs="Times New Roman"/>
        <w:b/>
        <w:bCs/>
        <w:i w:val="0"/>
        <w:iCs w:val="0"/>
        <w:w w:val="100"/>
        <w:sz w:val="20"/>
        <w:szCs w:val="20"/>
        <w:lang w:val="en-US" w:eastAsia="en-US" w:bidi="ar-SA"/>
      </w:rPr>
    </w:lvl>
    <w:lvl w:ilvl="1">
      <w:start w:val="0"/>
      <w:numFmt w:val="bullet"/>
      <w:lvlText w:val="•"/>
      <w:lvlJc w:val="left"/>
      <w:pPr>
        <w:ind w:left="3202" w:hanging="567"/>
      </w:pPr>
      <w:rPr>
        <w:rFonts w:hint="default"/>
        <w:lang w:val="en-US" w:eastAsia="en-US" w:bidi="ar-SA"/>
      </w:rPr>
    </w:lvl>
    <w:lvl w:ilvl="2">
      <w:start w:val="0"/>
      <w:numFmt w:val="bullet"/>
      <w:lvlText w:val="•"/>
      <w:lvlJc w:val="left"/>
      <w:pPr>
        <w:ind w:left="4164" w:hanging="567"/>
      </w:pPr>
      <w:rPr>
        <w:rFonts w:hint="default"/>
        <w:lang w:val="en-US" w:eastAsia="en-US" w:bidi="ar-SA"/>
      </w:rPr>
    </w:lvl>
    <w:lvl w:ilvl="3">
      <w:start w:val="0"/>
      <w:numFmt w:val="bullet"/>
      <w:lvlText w:val="•"/>
      <w:lvlJc w:val="left"/>
      <w:pPr>
        <w:ind w:left="5127" w:hanging="567"/>
      </w:pPr>
      <w:rPr>
        <w:rFonts w:hint="default"/>
        <w:lang w:val="en-US" w:eastAsia="en-US" w:bidi="ar-SA"/>
      </w:rPr>
    </w:lvl>
    <w:lvl w:ilvl="4">
      <w:start w:val="0"/>
      <w:numFmt w:val="bullet"/>
      <w:lvlText w:val="•"/>
      <w:lvlJc w:val="left"/>
      <w:pPr>
        <w:ind w:left="6089" w:hanging="567"/>
      </w:pPr>
      <w:rPr>
        <w:rFonts w:hint="default"/>
        <w:lang w:val="en-US" w:eastAsia="en-US" w:bidi="ar-SA"/>
      </w:rPr>
    </w:lvl>
    <w:lvl w:ilvl="5">
      <w:start w:val="0"/>
      <w:numFmt w:val="bullet"/>
      <w:lvlText w:val="•"/>
      <w:lvlJc w:val="left"/>
      <w:pPr>
        <w:ind w:left="7052" w:hanging="567"/>
      </w:pPr>
      <w:rPr>
        <w:rFonts w:hint="default"/>
        <w:lang w:val="en-US" w:eastAsia="en-US" w:bidi="ar-SA"/>
      </w:rPr>
    </w:lvl>
    <w:lvl w:ilvl="6">
      <w:start w:val="0"/>
      <w:numFmt w:val="bullet"/>
      <w:lvlText w:val="•"/>
      <w:lvlJc w:val="left"/>
      <w:pPr>
        <w:ind w:left="8014" w:hanging="567"/>
      </w:pPr>
      <w:rPr>
        <w:rFonts w:hint="default"/>
        <w:lang w:val="en-US" w:eastAsia="en-US" w:bidi="ar-SA"/>
      </w:rPr>
    </w:lvl>
    <w:lvl w:ilvl="7">
      <w:start w:val="0"/>
      <w:numFmt w:val="bullet"/>
      <w:lvlText w:val="•"/>
      <w:lvlJc w:val="left"/>
      <w:pPr>
        <w:ind w:left="8976" w:hanging="567"/>
      </w:pPr>
      <w:rPr>
        <w:rFonts w:hint="default"/>
        <w:lang w:val="en-US" w:eastAsia="en-US" w:bidi="ar-SA"/>
      </w:rPr>
    </w:lvl>
    <w:lvl w:ilvl="8">
      <w:start w:val="0"/>
      <w:numFmt w:val="bullet"/>
      <w:lvlText w:val="•"/>
      <w:lvlJc w:val="left"/>
      <w:pPr>
        <w:ind w:left="9939" w:hanging="567"/>
      </w:pPr>
      <w:rPr>
        <w:rFonts w:hint="default"/>
        <w:lang w:val="en-US" w:eastAsia="en-US" w:bidi="ar-SA"/>
      </w:rPr>
    </w:lvl>
  </w:abstractNum>
  <w:abstractNum w:abstractNumId="4">
    <w:multiLevelType w:val="hybridMultilevel"/>
    <w:lvl w:ilvl="0">
      <w:start w:val="1"/>
      <w:numFmt w:val="decimal"/>
      <w:lvlText w:val="%1."/>
      <w:lvlJc w:val="left"/>
      <w:pPr>
        <w:ind w:left="2246" w:hanging="567"/>
        <w:jc w:val="left"/>
      </w:pPr>
      <w:rPr>
        <w:rFonts w:hint="default" w:ascii="Times New Roman" w:hAnsi="Times New Roman" w:eastAsia="Times New Roman" w:cs="Times New Roman"/>
        <w:b/>
        <w:bCs/>
        <w:i w:val="0"/>
        <w:iCs w:val="0"/>
        <w:w w:val="100"/>
        <w:sz w:val="20"/>
        <w:szCs w:val="20"/>
        <w:lang w:val="en-US" w:eastAsia="en-US" w:bidi="ar-SA"/>
      </w:rPr>
    </w:lvl>
    <w:lvl w:ilvl="1">
      <w:start w:val="0"/>
      <w:numFmt w:val="bullet"/>
      <w:lvlText w:val="•"/>
      <w:lvlJc w:val="left"/>
      <w:pPr>
        <w:ind w:left="3202" w:hanging="567"/>
      </w:pPr>
      <w:rPr>
        <w:rFonts w:hint="default"/>
        <w:lang w:val="en-US" w:eastAsia="en-US" w:bidi="ar-SA"/>
      </w:rPr>
    </w:lvl>
    <w:lvl w:ilvl="2">
      <w:start w:val="0"/>
      <w:numFmt w:val="bullet"/>
      <w:lvlText w:val="•"/>
      <w:lvlJc w:val="left"/>
      <w:pPr>
        <w:ind w:left="4164" w:hanging="567"/>
      </w:pPr>
      <w:rPr>
        <w:rFonts w:hint="default"/>
        <w:lang w:val="en-US" w:eastAsia="en-US" w:bidi="ar-SA"/>
      </w:rPr>
    </w:lvl>
    <w:lvl w:ilvl="3">
      <w:start w:val="0"/>
      <w:numFmt w:val="bullet"/>
      <w:lvlText w:val="•"/>
      <w:lvlJc w:val="left"/>
      <w:pPr>
        <w:ind w:left="5127" w:hanging="567"/>
      </w:pPr>
      <w:rPr>
        <w:rFonts w:hint="default"/>
        <w:lang w:val="en-US" w:eastAsia="en-US" w:bidi="ar-SA"/>
      </w:rPr>
    </w:lvl>
    <w:lvl w:ilvl="4">
      <w:start w:val="0"/>
      <w:numFmt w:val="bullet"/>
      <w:lvlText w:val="•"/>
      <w:lvlJc w:val="left"/>
      <w:pPr>
        <w:ind w:left="6089" w:hanging="567"/>
      </w:pPr>
      <w:rPr>
        <w:rFonts w:hint="default"/>
        <w:lang w:val="en-US" w:eastAsia="en-US" w:bidi="ar-SA"/>
      </w:rPr>
    </w:lvl>
    <w:lvl w:ilvl="5">
      <w:start w:val="0"/>
      <w:numFmt w:val="bullet"/>
      <w:lvlText w:val="•"/>
      <w:lvlJc w:val="left"/>
      <w:pPr>
        <w:ind w:left="7052" w:hanging="567"/>
      </w:pPr>
      <w:rPr>
        <w:rFonts w:hint="default"/>
        <w:lang w:val="en-US" w:eastAsia="en-US" w:bidi="ar-SA"/>
      </w:rPr>
    </w:lvl>
    <w:lvl w:ilvl="6">
      <w:start w:val="0"/>
      <w:numFmt w:val="bullet"/>
      <w:lvlText w:val="•"/>
      <w:lvlJc w:val="left"/>
      <w:pPr>
        <w:ind w:left="8014" w:hanging="567"/>
      </w:pPr>
      <w:rPr>
        <w:rFonts w:hint="default"/>
        <w:lang w:val="en-US" w:eastAsia="en-US" w:bidi="ar-SA"/>
      </w:rPr>
    </w:lvl>
    <w:lvl w:ilvl="7">
      <w:start w:val="0"/>
      <w:numFmt w:val="bullet"/>
      <w:lvlText w:val="•"/>
      <w:lvlJc w:val="left"/>
      <w:pPr>
        <w:ind w:left="8976" w:hanging="567"/>
      </w:pPr>
      <w:rPr>
        <w:rFonts w:hint="default"/>
        <w:lang w:val="en-US" w:eastAsia="en-US" w:bidi="ar-SA"/>
      </w:rPr>
    </w:lvl>
    <w:lvl w:ilvl="8">
      <w:start w:val="0"/>
      <w:numFmt w:val="bullet"/>
      <w:lvlText w:val="•"/>
      <w:lvlJc w:val="left"/>
      <w:pPr>
        <w:ind w:left="9939" w:hanging="567"/>
      </w:pPr>
      <w:rPr>
        <w:rFonts w:hint="default"/>
        <w:lang w:val="en-US" w:eastAsia="en-US" w:bidi="ar-SA"/>
      </w:rPr>
    </w:lvl>
  </w:abstractNum>
  <w:abstractNum w:abstractNumId="3">
    <w:multiLevelType w:val="hybridMultilevel"/>
    <w:lvl w:ilvl="0">
      <w:start w:val="11"/>
      <w:numFmt w:val="decimal"/>
      <w:lvlText w:val="%1."/>
      <w:lvlJc w:val="left"/>
      <w:pPr>
        <w:ind w:left="2246" w:hanging="721"/>
        <w:jc w:val="left"/>
      </w:pPr>
      <w:rPr>
        <w:rFonts w:hint="default" w:ascii="Times New Roman" w:hAnsi="Times New Roman" w:eastAsia="Times New Roman" w:cs="Times New Roman"/>
        <w:b w:val="0"/>
        <w:bCs w:val="0"/>
        <w:i w:val="0"/>
        <w:iCs w:val="0"/>
        <w:w w:val="100"/>
        <w:sz w:val="20"/>
        <w:szCs w:val="20"/>
        <w:lang w:val="en-US" w:eastAsia="en-US" w:bidi="ar-SA"/>
      </w:rPr>
    </w:lvl>
    <w:lvl w:ilvl="1">
      <w:start w:val="1"/>
      <w:numFmt w:val="lowerLetter"/>
      <w:lvlText w:val="%2."/>
      <w:lvlJc w:val="left"/>
      <w:pPr>
        <w:ind w:left="2957" w:hanging="730"/>
        <w:jc w:val="left"/>
      </w:pPr>
      <w:rPr>
        <w:rFonts w:hint="default" w:ascii="Times New Roman" w:hAnsi="Times New Roman" w:eastAsia="Times New Roman" w:cs="Times New Roman"/>
        <w:b w:val="0"/>
        <w:bCs w:val="0"/>
        <w:i w:val="0"/>
        <w:iCs w:val="0"/>
        <w:spacing w:val="0"/>
        <w:w w:val="100"/>
        <w:sz w:val="20"/>
        <w:szCs w:val="20"/>
        <w:lang w:val="en-US" w:eastAsia="en-US" w:bidi="ar-SA"/>
      </w:rPr>
    </w:lvl>
    <w:lvl w:ilvl="2">
      <w:start w:val="0"/>
      <w:numFmt w:val="bullet"/>
      <w:lvlText w:val="•"/>
      <w:lvlJc w:val="left"/>
      <w:pPr>
        <w:ind w:left="3100" w:hanging="730"/>
      </w:pPr>
      <w:rPr>
        <w:rFonts w:hint="default"/>
        <w:lang w:val="en-US" w:eastAsia="en-US" w:bidi="ar-SA"/>
      </w:rPr>
    </w:lvl>
    <w:lvl w:ilvl="3">
      <w:start w:val="0"/>
      <w:numFmt w:val="bullet"/>
      <w:lvlText w:val="•"/>
      <w:lvlJc w:val="left"/>
      <w:pPr>
        <w:ind w:left="3680" w:hanging="730"/>
      </w:pPr>
      <w:rPr>
        <w:rFonts w:hint="default"/>
        <w:lang w:val="en-US" w:eastAsia="en-US" w:bidi="ar-SA"/>
      </w:rPr>
    </w:lvl>
    <w:lvl w:ilvl="4">
      <w:start w:val="0"/>
      <w:numFmt w:val="bullet"/>
      <w:lvlText w:val="•"/>
      <w:lvlJc w:val="left"/>
      <w:pPr>
        <w:ind w:left="4849" w:hanging="730"/>
      </w:pPr>
      <w:rPr>
        <w:rFonts w:hint="default"/>
        <w:lang w:val="en-US" w:eastAsia="en-US" w:bidi="ar-SA"/>
      </w:rPr>
    </w:lvl>
    <w:lvl w:ilvl="5">
      <w:start w:val="0"/>
      <w:numFmt w:val="bullet"/>
      <w:lvlText w:val="•"/>
      <w:lvlJc w:val="left"/>
      <w:pPr>
        <w:ind w:left="6018" w:hanging="730"/>
      </w:pPr>
      <w:rPr>
        <w:rFonts w:hint="default"/>
        <w:lang w:val="en-US" w:eastAsia="en-US" w:bidi="ar-SA"/>
      </w:rPr>
    </w:lvl>
    <w:lvl w:ilvl="6">
      <w:start w:val="0"/>
      <w:numFmt w:val="bullet"/>
      <w:lvlText w:val="•"/>
      <w:lvlJc w:val="left"/>
      <w:pPr>
        <w:ind w:left="7187" w:hanging="730"/>
      </w:pPr>
      <w:rPr>
        <w:rFonts w:hint="default"/>
        <w:lang w:val="en-US" w:eastAsia="en-US" w:bidi="ar-SA"/>
      </w:rPr>
    </w:lvl>
    <w:lvl w:ilvl="7">
      <w:start w:val="0"/>
      <w:numFmt w:val="bullet"/>
      <w:lvlText w:val="•"/>
      <w:lvlJc w:val="left"/>
      <w:pPr>
        <w:ind w:left="8356" w:hanging="730"/>
      </w:pPr>
      <w:rPr>
        <w:rFonts w:hint="default"/>
        <w:lang w:val="en-US" w:eastAsia="en-US" w:bidi="ar-SA"/>
      </w:rPr>
    </w:lvl>
    <w:lvl w:ilvl="8">
      <w:start w:val="0"/>
      <w:numFmt w:val="bullet"/>
      <w:lvlText w:val="•"/>
      <w:lvlJc w:val="left"/>
      <w:pPr>
        <w:ind w:left="9525" w:hanging="730"/>
      </w:pPr>
      <w:rPr>
        <w:rFonts w:hint="default"/>
        <w:lang w:val="en-US" w:eastAsia="en-US" w:bidi="ar-SA"/>
      </w:rPr>
    </w:lvl>
  </w:abstractNum>
  <w:abstractNum w:abstractNumId="2">
    <w:multiLevelType w:val="hybridMultilevel"/>
    <w:lvl w:ilvl="0">
      <w:start w:val="1"/>
      <w:numFmt w:val="upperRoman"/>
      <w:lvlText w:val="%1."/>
      <w:lvlJc w:val="left"/>
      <w:pPr>
        <w:ind w:left="2246" w:hanging="606"/>
        <w:jc w:val="right"/>
      </w:pPr>
      <w:rPr>
        <w:rFonts w:hint="default" w:ascii="Times New Roman" w:hAnsi="Times New Roman" w:eastAsia="Times New Roman" w:cs="Times New Roman"/>
        <w:b/>
        <w:bCs/>
        <w:i w:val="0"/>
        <w:iCs w:val="0"/>
        <w:spacing w:val="0"/>
        <w:w w:val="99"/>
        <w:sz w:val="28"/>
        <w:szCs w:val="28"/>
        <w:lang w:val="en-US" w:eastAsia="en-US" w:bidi="ar-SA"/>
      </w:rPr>
    </w:lvl>
    <w:lvl w:ilvl="1">
      <w:start w:val="1"/>
      <w:numFmt w:val="upperLetter"/>
      <w:lvlText w:val="%2."/>
      <w:lvlJc w:val="left"/>
      <w:pPr>
        <w:ind w:left="2246" w:hanging="567"/>
        <w:jc w:val="left"/>
      </w:pPr>
      <w:rPr>
        <w:rFonts w:hint="default" w:ascii="Times New Roman" w:hAnsi="Times New Roman" w:eastAsia="Times New Roman" w:cs="Times New Roman"/>
        <w:b/>
        <w:bCs/>
        <w:i w:val="0"/>
        <w:iCs w:val="0"/>
        <w:spacing w:val="-1"/>
        <w:w w:val="99"/>
        <w:sz w:val="24"/>
        <w:szCs w:val="24"/>
        <w:lang w:val="en-US" w:eastAsia="en-US" w:bidi="ar-SA"/>
      </w:rPr>
    </w:lvl>
    <w:lvl w:ilvl="2">
      <w:start w:val="1"/>
      <w:numFmt w:val="decimal"/>
      <w:lvlText w:val="%3."/>
      <w:lvlJc w:val="left"/>
      <w:pPr>
        <w:ind w:left="2246" w:hanging="361"/>
        <w:jc w:val="left"/>
      </w:pPr>
      <w:rPr>
        <w:rFonts w:hint="default"/>
        <w:w w:val="100"/>
        <w:lang w:val="en-US" w:eastAsia="en-US" w:bidi="ar-SA"/>
      </w:rPr>
    </w:lvl>
    <w:lvl w:ilvl="3">
      <w:start w:val="0"/>
      <w:numFmt w:val="bullet"/>
      <w:lvlText w:val="•"/>
      <w:lvlJc w:val="left"/>
      <w:pPr>
        <w:ind w:left="4938" w:hanging="361"/>
      </w:pPr>
      <w:rPr>
        <w:rFonts w:hint="default"/>
        <w:lang w:val="en-US" w:eastAsia="en-US" w:bidi="ar-SA"/>
      </w:rPr>
    </w:lvl>
    <w:lvl w:ilvl="4">
      <w:start w:val="0"/>
      <w:numFmt w:val="bullet"/>
      <w:lvlText w:val="•"/>
      <w:lvlJc w:val="left"/>
      <w:pPr>
        <w:ind w:left="5928" w:hanging="361"/>
      </w:pPr>
      <w:rPr>
        <w:rFonts w:hint="default"/>
        <w:lang w:val="en-US" w:eastAsia="en-US" w:bidi="ar-SA"/>
      </w:rPr>
    </w:lvl>
    <w:lvl w:ilvl="5">
      <w:start w:val="0"/>
      <w:numFmt w:val="bullet"/>
      <w:lvlText w:val="•"/>
      <w:lvlJc w:val="left"/>
      <w:pPr>
        <w:ind w:left="6917" w:hanging="361"/>
      </w:pPr>
      <w:rPr>
        <w:rFonts w:hint="default"/>
        <w:lang w:val="en-US" w:eastAsia="en-US" w:bidi="ar-SA"/>
      </w:rPr>
    </w:lvl>
    <w:lvl w:ilvl="6">
      <w:start w:val="0"/>
      <w:numFmt w:val="bullet"/>
      <w:lvlText w:val="•"/>
      <w:lvlJc w:val="left"/>
      <w:pPr>
        <w:ind w:left="7906" w:hanging="361"/>
      </w:pPr>
      <w:rPr>
        <w:rFonts w:hint="default"/>
        <w:lang w:val="en-US" w:eastAsia="en-US" w:bidi="ar-SA"/>
      </w:rPr>
    </w:lvl>
    <w:lvl w:ilvl="7">
      <w:start w:val="0"/>
      <w:numFmt w:val="bullet"/>
      <w:lvlText w:val="•"/>
      <w:lvlJc w:val="left"/>
      <w:pPr>
        <w:ind w:left="8896" w:hanging="361"/>
      </w:pPr>
      <w:rPr>
        <w:rFonts w:hint="default"/>
        <w:lang w:val="en-US" w:eastAsia="en-US" w:bidi="ar-SA"/>
      </w:rPr>
    </w:lvl>
    <w:lvl w:ilvl="8">
      <w:start w:val="0"/>
      <w:numFmt w:val="bullet"/>
      <w:lvlText w:val="•"/>
      <w:lvlJc w:val="left"/>
      <w:pPr>
        <w:ind w:left="9885" w:hanging="361"/>
      </w:pPr>
      <w:rPr>
        <w:rFonts w:hint="default"/>
        <w:lang w:val="en-US" w:eastAsia="en-US" w:bidi="ar-SA"/>
      </w:rPr>
    </w:lvl>
  </w:abstractNum>
  <w:abstractNum w:abstractNumId="1">
    <w:multiLevelType w:val="hybridMultilevel"/>
    <w:lvl w:ilvl="0">
      <w:start w:val="1"/>
      <w:numFmt w:val="upperRoman"/>
      <w:lvlText w:val="%1."/>
      <w:lvlJc w:val="left"/>
      <w:pPr>
        <w:ind w:left="1819" w:hanging="567"/>
        <w:jc w:val="left"/>
      </w:pPr>
      <w:rPr>
        <w:rFonts w:hint="default" w:ascii="Times New Roman" w:hAnsi="Times New Roman" w:eastAsia="Times New Roman" w:cs="Times New Roman"/>
        <w:b w:val="0"/>
        <w:bCs w:val="0"/>
        <w:i w:val="0"/>
        <w:iCs w:val="0"/>
        <w:spacing w:val="-5"/>
        <w:w w:val="100"/>
        <w:sz w:val="20"/>
        <w:szCs w:val="20"/>
        <w:lang w:val="en-US" w:eastAsia="en-US" w:bidi="ar-SA"/>
      </w:rPr>
    </w:lvl>
    <w:lvl w:ilvl="1">
      <w:start w:val="1"/>
      <w:numFmt w:val="lowerLetter"/>
      <w:lvlText w:val="(%2)"/>
      <w:lvlJc w:val="left"/>
      <w:pPr>
        <w:ind w:left="1819" w:hanging="567"/>
        <w:jc w:val="left"/>
      </w:pPr>
      <w:rPr>
        <w:rFonts w:hint="default" w:ascii="Times New Roman" w:hAnsi="Times New Roman" w:eastAsia="Times New Roman" w:cs="Times New Roman"/>
        <w:b w:val="0"/>
        <w:bCs w:val="0"/>
        <w:i w:val="0"/>
        <w:iCs w:val="0"/>
        <w:spacing w:val="-4"/>
        <w:w w:val="100"/>
        <w:sz w:val="20"/>
        <w:szCs w:val="20"/>
        <w:lang w:val="en-US" w:eastAsia="en-US" w:bidi="ar-SA"/>
      </w:rPr>
    </w:lvl>
    <w:lvl w:ilvl="2">
      <w:start w:val="0"/>
      <w:numFmt w:val="bullet"/>
      <w:lvlText w:val="•"/>
      <w:lvlJc w:val="left"/>
      <w:pPr>
        <w:ind w:left="3828" w:hanging="567"/>
      </w:pPr>
      <w:rPr>
        <w:rFonts w:hint="default"/>
        <w:lang w:val="en-US" w:eastAsia="en-US" w:bidi="ar-SA"/>
      </w:rPr>
    </w:lvl>
    <w:lvl w:ilvl="3">
      <w:start w:val="0"/>
      <w:numFmt w:val="bullet"/>
      <w:lvlText w:val="•"/>
      <w:lvlJc w:val="left"/>
      <w:pPr>
        <w:ind w:left="4833" w:hanging="567"/>
      </w:pPr>
      <w:rPr>
        <w:rFonts w:hint="default"/>
        <w:lang w:val="en-US" w:eastAsia="en-US" w:bidi="ar-SA"/>
      </w:rPr>
    </w:lvl>
    <w:lvl w:ilvl="4">
      <w:start w:val="0"/>
      <w:numFmt w:val="bullet"/>
      <w:lvlText w:val="•"/>
      <w:lvlJc w:val="left"/>
      <w:pPr>
        <w:ind w:left="5837" w:hanging="567"/>
      </w:pPr>
      <w:rPr>
        <w:rFonts w:hint="default"/>
        <w:lang w:val="en-US" w:eastAsia="en-US" w:bidi="ar-SA"/>
      </w:rPr>
    </w:lvl>
    <w:lvl w:ilvl="5">
      <w:start w:val="0"/>
      <w:numFmt w:val="bullet"/>
      <w:lvlText w:val="•"/>
      <w:lvlJc w:val="left"/>
      <w:pPr>
        <w:ind w:left="6842" w:hanging="567"/>
      </w:pPr>
      <w:rPr>
        <w:rFonts w:hint="default"/>
        <w:lang w:val="en-US" w:eastAsia="en-US" w:bidi="ar-SA"/>
      </w:rPr>
    </w:lvl>
    <w:lvl w:ilvl="6">
      <w:start w:val="0"/>
      <w:numFmt w:val="bullet"/>
      <w:lvlText w:val="•"/>
      <w:lvlJc w:val="left"/>
      <w:pPr>
        <w:ind w:left="7846" w:hanging="567"/>
      </w:pPr>
      <w:rPr>
        <w:rFonts w:hint="default"/>
        <w:lang w:val="en-US" w:eastAsia="en-US" w:bidi="ar-SA"/>
      </w:rPr>
    </w:lvl>
    <w:lvl w:ilvl="7">
      <w:start w:val="0"/>
      <w:numFmt w:val="bullet"/>
      <w:lvlText w:val="•"/>
      <w:lvlJc w:val="left"/>
      <w:pPr>
        <w:ind w:left="8850" w:hanging="567"/>
      </w:pPr>
      <w:rPr>
        <w:rFonts w:hint="default"/>
        <w:lang w:val="en-US" w:eastAsia="en-US" w:bidi="ar-SA"/>
      </w:rPr>
    </w:lvl>
    <w:lvl w:ilvl="8">
      <w:start w:val="0"/>
      <w:numFmt w:val="bullet"/>
      <w:lvlText w:val="•"/>
      <w:lvlJc w:val="left"/>
      <w:pPr>
        <w:ind w:left="9855" w:hanging="567"/>
      </w:pPr>
      <w:rPr>
        <w:rFonts w:hint="default"/>
        <w:lang w:val="en-US" w:eastAsia="en-US" w:bidi="ar-SA"/>
      </w:rPr>
    </w:lvl>
  </w:abstractNum>
  <w:abstractNum w:abstractNumId="0">
    <w:multiLevelType w:val="hybridMultilevel"/>
    <w:lvl w:ilvl="0">
      <w:start w:val="1"/>
      <w:numFmt w:val="upperRoman"/>
      <w:lvlText w:val="%1."/>
      <w:lvlJc w:val="left"/>
      <w:pPr>
        <w:ind w:left="1819" w:hanging="567"/>
        <w:jc w:val="left"/>
      </w:pPr>
      <w:rPr>
        <w:rFonts w:hint="default" w:ascii="Times New Roman" w:hAnsi="Times New Roman" w:eastAsia="Times New Roman" w:cs="Times New Roman"/>
        <w:b w:val="0"/>
        <w:bCs w:val="0"/>
        <w:i w:val="0"/>
        <w:iCs w:val="0"/>
        <w:spacing w:val="-5"/>
        <w:w w:val="100"/>
        <w:sz w:val="20"/>
        <w:szCs w:val="20"/>
        <w:lang w:val="en-US" w:eastAsia="en-US" w:bidi="ar-SA"/>
      </w:rPr>
    </w:lvl>
    <w:lvl w:ilvl="1">
      <w:start w:val="1"/>
      <w:numFmt w:val="upperLetter"/>
      <w:lvlText w:val="%2."/>
      <w:lvlJc w:val="left"/>
      <w:pPr>
        <w:ind w:left="1819" w:hanging="567"/>
        <w:jc w:val="left"/>
      </w:pPr>
      <w:rPr>
        <w:rFonts w:hint="default" w:ascii="Times New Roman" w:hAnsi="Times New Roman" w:eastAsia="Times New Roman" w:cs="Times New Roman"/>
        <w:b w:val="0"/>
        <w:bCs w:val="0"/>
        <w:i w:val="0"/>
        <w:iCs w:val="0"/>
        <w:spacing w:val="-7"/>
        <w:w w:val="100"/>
        <w:sz w:val="20"/>
        <w:szCs w:val="20"/>
        <w:lang w:val="en-US" w:eastAsia="en-US" w:bidi="ar-SA"/>
      </w:rPr>
    </w:lvl>
    <w:lvl w:ilvl="2">
      <w:start w:val="1"/>
      <w:numFmt w:val="decimal"/>
      <w:lvlText w:val="%3."/>
      <w:lvlJc w:val="left"/>
      <w:pPr>
        <w:ind w:left="1819" w:hanging="567"/>
        <w:jc w:val="left"/>
      </w:pPr>
      <w:rPr>
        <w:rFonts w:hint="default" w:ascii="Times New Roman" w:hAnsi="Times New Roman" w:eastAsia="Times New Roman" w:cs="Times New Roman"/>
        <w:b w:val="0"/>
        <w:bCs w:val="0"/>
        <w:i w:val="0"/>
        <w:iCs w:val="0"/>
        <w:spacing w:val="-5"/>
        <w:w w:val="100"/>
        <w:sz w:val="20"/>
        <w:szCs w:val="20"/>
        <w:lang w:val="en-US" w:eastAsia="en-US" w:bidi="ar-SA"/>
      </w:rPr>
    </w:lvl>
    <w:lvl w:ilvl="3">
      <w:start w:val="0"/>
      <w:numFmt w:val="bullet"/>
      <w:lvlText w:val="•"/>
      <w:lvlJc w:val="left"/>
      <w:pPr>
        <w:ind w:left="4833" w:hanging="567"/>
      </w:pPr>
      <w:rPr>
        <w:rFonts w:hint="default"/>
        <w:lang w:val="en-US" w:eastAsia="en-US" w:bidi="ar-SA"/>
      </w:rPr>
    </w:lvl>
    <w:lvl w:ilvl="4">
      <w:start w:val="0"/>
      <w:numFmt w:val="bullet"/>
      <w:lvlText w:val="•"/>
      <w:lvlJc w:val="left"/>
      <w:pPr>
        <w:ind w:left="5837" w:hanging="567"/>
      </w:pPr>
      <w:rPr>
        <w:rFonts w:hint="default"/>
        <w:lang w:val="en-US" w:eastAsia="en-US" w:bidi="ar-SA"/>
      </w:rPr>
    </w:lvl>
    <w:lvl w:ilvl="5">
      <w:start w:val="0"/>
      <w:numFmt w:val="bullet"/>
      <w:lvlText w:val="•"/>
      <w:lvlJc w:val="left"/>
      <w:pPr>
        <w:ind w:left="6842" w:hanging="567"/>
      </w:pPr>
      <w:rPr>
        <w:rFonts w:hint="default"/>
        <w:lang w:val="en-US" w:eastAsia="en-US" w:bidi="ar-SA"/>
      </w:rPr>
    </w:lvl>
    <w:lvl w:ilvl="6">
      <w:start w:val="0"/>
      <w:numFmt w:val="bullet"/>
      <w:lvlText w:val="•"/>
      <w:lvlJc w:val="left"/>
      <w:pPr>
        <w:ind w:left="7846" w:hanging="567"/>
      </w:pPr>
      <w:rPr>
        <w:rFonts w:hint="default"/>
        <w:lang w:val="en-US" w:eastAsia="en-US" w:bidi="ar-SA"/>
      </w:rPr>
    </w:lvl>
    <w:lvl w:ilvl="7">
      <w:start w:val="0"/>
      <w:numFmt w:val="bullet"/>
      <w:lvlText w:val="•"/>
      <w:lvlJc w:val="left"/>
      <w:pPr>
        <w:ind w:left="8850" w:hanging="567"/>
      </w:pPr>
      <w:rPr>
        <w:rFonts w:hint="default"/>
        <w:lang w:val="en-US" w:eastAsia="en-US" w:bidi="ar-SA"/>
      </w:rPr>
    </w:lvl>
    <w:lvl w:ilvl="8">
      <w:start w:val="0"/>
      <w:numFmt w:val="bullet"/>
      <w:lvlText w:val="•"/>
      <w:lvlJc w:val="left"/>
      <w:pPr>
        <w:ind w:left="9855" w:hanging="567"/>
      </w:pPr>
      <w:rPr>
        <w:rFonts w:hint="default"/>
        <w:lang w:val="en-US" w:eastAsia="en-US" w:bidi="ar-SA"/>
      </w:rPr>
    </w:lvl>
  </w:abstractNum>
  <w:num w:numId="88">
    <w:abstractNumId w:val="87"/>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121"/>
      <w:ind w:left="1819" w:hanging="568"/>
    </w:pPr>
    <w:rPr>
      <w:rFonts w:ascii="Times New Roman" w:hAnsi="Times New Roman" w:eastAsia="Times New Roman" w:cs="Times New Roman"/>
      <w:sz w:val="20"/>
      <w:szCs w:val="20"/>
      <w:lang w:val="en-US" w:eastAsia="en-US" w:bidi="ar-SA"/>
    </w:rPr>
  </w:style>
  <w:style w:styleId="TOC2" w:type="paragraph">
    <w:name w:val="TOC 2"/>
    <w:basedOn w:val="Normal"/>
    <w:uiPriority w:val="1"/>
    <w:qFormat/>
    <w:pPr>
      <w:spacing w:before="1"/>
      <w:ind w:left="1819"/>
    </w:pPr>
    <w:rPr>
      <w:rFonts w:ascii="Times New Roman" w:hAnsi="Times New Roman" w:eastAsia="Times New Roman" w:cs="Times New Roman"/>
      <w:sz w:val="20"/>
      <w:szCs w:val="20"/>
      <w:lang w:val="en-US" w:eastAsia="en-US" w:bidi="ar-SA"/>
    </w:rPr>
  </w:style>
  <w:style w:styleId="BodyText" w:type="paragraph">
    <w:name w:val="Body Text"/>
    <w:basedOn w:val="Normal"/>
    <w:uiPriority w:val="1"/>
    <w:qFormat/>
    <w:pPr/>
    <w:rPr>
      <w:rFonts w:ascii="Times New Roman" w:hAnsi="Times New Roman" w:eastAsia="Times New Roman" w:cs="Times New Roman"/>
      <w:sz w:val="20"/>
      <w:szCs w:val="20"/>
      <w:lang w:val="en-US" w:eastAsia="en-US" w:bidi="ar-SA"/>
    </w:rPr>
  </w:style>
  <w:style w:styleId="Heading1" w:type="paragraph">
    <w:name w:val="Heading 1"/>
    <w:basedOn w:val="Normal"/>
    <w:uiPriority w:val="1"/>
    <w:qFormat/>
    <w:pPr>
      <w:spacing w:before="122"/>
      <w:ind w:left="1679"/>
      <w:outlineLvl w:val="1"/>
    </w:pPr>
    <w:rPr>
      <w:rFonts w:ascii="Times New Roman" w:hAnsi="Times New Roman" w:eastAsia="Times New Roman" w:cs="Times New Roman"/>
      <w:b/>
      <w:bCs/>
      <w:sz w:val="28"/>
      <w:szCs w:val="28"/>
      <w:lang w:val="en-US" w:eastAsia="en-US" w:bidi="ar-SA"/>
    </w:rPr>
  </w:style>
  <w:style w:styleId="Heading2" w:type="paragraph">
    <w:name w:val="Heading 2"/>
    <w:basedOn w:val="Normal"/>
    <w:uiPriority w:val="1"/>
    <w:qFormat/>
    <w:pPr>
      <w:ind w:left="2246" w:hanging="568"/>
      <w:outlineLvl w:val="2"/>
    </w:pPr>
    <w:rPr>
      <w:rFonts w:ascii="Times New Roman" w:hAnsi="Times New Roman" w:eastAsia="Times New Roman" w:cs="Times New Roman"/>
      <w:b/>
      <w:bCs/>
      <w:sz w:val="24"/>
      <w:szCs w:val="24"/>
      <w:lang w:val="en-US" w:eastAsia="en-US" w:bidi="ar-SA"/>
    </w:rPr>
  </w:style>
  <w:style w:styleId="Heading3" w:type="paragraph">
    <w:name w:val="Heading 3"/>
    <w:basedOn w:val="Normal"/>
    <w:uiPriority w:val="1"/>
    <w:qFormat/>
    <w:pPr>
      <w:ind w:left="2246"/>
      <w:outlineLvl w:val="3"/>
    </w:pPr>
    <w:rPr>
      <w:rFonts w:ascii="Times New Roman" w:hAnsi="Times New Roman" w:eastAsia="Times New Roman" w:cs="Times New Roman"/>
      <w:b/>
      <w:bCs/>
      <w:sz w:val="20"/>
      <w:szCs w:val="20"/>
      <w:lang w:val="en-US" w:eastAsia="en-US" w:bidi="ar-SA"/>
    </w:rPr>
  </w:style>
  <w:style w:styleId="Title" w:type="paragraph">
    <w:name w:val="Title"/>
    <w:basedOn w:val="Normal"/>
    <w:uiPriority w:val="1"/>
    <w:qFormat/>
    <w:pPr>
      <w:spacing w:before="218"/>
      <w:ind w:left="3485" w:right="3095" w:hanging="188"/>
    </w:pPr>
    <w:rPr>
      <w:rFonts w:ascii="Times New Roman" w:hAnsi="Times New Roman" w:eastAsia="Times New Roman" w:cs="Times New Roman"/>
      <w:b/>
      <w:bCs/>
      <w:sz w:val="32"/>
      <w:szCs w:val="32"/>
      <w:lang w:val="en-US" w:eastAsia="en-US" w:bidi="ar-SA"/>
    </w:rPr>
  </w:style>
  <w:style w:styleId="ListParagraph" w:type="paragraph">
    <w:name w:val="List Paragraph"/>
    <w:basedOn w:val="Normal"/>
    <w:uiPriority w:val="1"/>
    <w:qFormat/>
    <w:pPr>
      <w:ind w:left="2246"/>
      <w:jc w:val="both"/>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jc w:val="righ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3.xml"/><Relationship Id="rId11" Type="http://schemas.openxmlformats.org/officeDocument/2006/relationships/footer" Target="footer4.xml"/><Relationship Id="rId12" Type="http://schemas.openxmlformats.org/officeDocument/2006/relationships/hyperlink" Target="https://www.icc-cpi.int/Pages/item.aspx?name=pr1635" TargetMode="External"/><Relationship Id="rId13" Type="http://schemas.openxmlformats.org/officeDocument/2006/relationships/hyperlink" Target="https://www.icc-cpi.int/Pages/item.aspx?name=pr1593" TargetMode="External"/><Relationship Id="rId14" Type="http://schemas.openxmlformats.org/officeDocument/2006/relationships/hyperlink" Target="https://www.icc-cpi.int/Pages/record.aspx?docNo=ICC-02/05-01/20-433&amp;ln=fr" TargetMode="External"/><Relationship Id="rId15" Type="http://schemas.openxmlformats.org/officeDocument/2006/relationships/hyperlink" Target="https://www.icc-cpi.int/Pages/item.aspx?name=210303-prosecutor-statement-investigation-palestine" TargetMode="External"/><Relationship Id="rId16" Type="http://schemas.openxmlformats.org/officeDocument/2006/relationships/hyperlink" Target="https://www.icc-cpi.int/court-record/icc-01/21-46" TargetMode="External"/><Relationship Id="rId17" Type="http://schemas.openxmlformats.org/officeDocument/2006/relationships/image" Target="media/image2.png"/><Relationship Id="rId18" Type="http://schemas.openxmlformats.org/officeDocument/2006/relationships/image" Target="media/image3.png"/><Relationship Id="rId19" Type="http://schemas.openxmlformats.org/officeDocument/2006/relationships/header" Target="header3.xml"/><Relationship Id="rId20" Type="http://schemas.openxmlformats.org/officeDocument/2006/relationships/header" Target="header4.xml"/><Relationship Id="rId21" Type="http://schemas.openxmlformats.org/officeDocument/2006/relationships/footer" Target="footer5.xml"/><Relationship Id="rId22" Type="http://schemas.openxmlformats.org/officeDocument/2006/relationships/footer" Target="footer6.xml"/><Relationship Id="rId23" Type="http://schemas.openxmlformats.org/officeDocument/2006/relationships/image" Target="media/image4.png"/><Relationship Id="rId24" Type="http://schemas.openxmlformats.org/officeDocument/2006/relationships/header" Target="header5.xml"/><Relationship Id="rId25" Type="http://schemas.openxmlformats.org/officeDocument/2006/relationships/header" Target="header6.xml"/><Relationship Id="rId26" Type="http://schemas.openxmlformats.org/officeDocument/2006/relationships/footer" Target="footer7.xml"/><Relationship Id="rId27" Type="http://schemas.openxmlformats.org/officeDocument/2006/relationships/footer" Target="footer8.xml"/><Relationship Id="rId28" Type="http://schemas.openxmlformats.org/officeDocument/2006/relationships/hyperlink" Target="http://www.icc-cpi.int/news/icc-prosecutor-mr-karim-aa-khan-qc-concludes-first-official-visit-nigeria" TargetMode="External"/><Relationship Id="rId29" Type="http://schemas.openxmlformats.org/officeDocument/2006/relationships/header" Target="header7.xml"/><Relationship Id="rId30" Type="http://schemas.openxmlformats.org/officeDocument/2006/relationships/header" Target="header8.xml"/><Relationship Id="rId31" Type="http://schemas.openxmlformats.org/officeDocument/2006/relationships/footer" Target="footer9.xml"/><Relationship Id="rId32" Type="http://schemas.openxmlformats.org/officeDocument/2006/relationships/footer" Target="footer10.xml"/><Relationship Id="rId33" Type="http://schemas.openxmlformats.org/officeDocument/2006/relationships/image" Target="media/image5.png"/><Relationship Id="rId34" Type="http://schemas.openxmlformats.org/officeDocument/2006/relationships/header" Target="header9.xml"/><Relationship Id="rId35" Type="http://schemas.openxmlformats.org/officeDocument/2006/relationships/header" Target="header10.xml"/><Relationship Id="rId36" Type="http://schemas.openxmlformats.org/officeDocument/2006/relationships/footer" Target="footer11.xml"/><Relationship Id="rId37" Type="http://schemas.openxmlformats.org/officeDocument/2006/relationships/footer" Target="footer12.xml"/><Relationship Id="rId38" Type="http://schemas.openxmlformats.org/officeDocument/2006/relationships/header" Target="header11.xml"/><Relationship Id="rId39" Type="http://schemas.openxmlformats.org/officeDocument/2006/relationships/header" Target="header12.xml"/><Relationship Id="rId40" Type="http://schemas.openxmlformats.org/officeDocument/2006/relationships/footer" Target="footer13.xml"/><Relationship Id="rId41" Type="http://schemas.openxmlformats.org/officeDocument/2006/relationships/footer" Target="footer14.xml"/><Relationship Id="rId42" Type="http://schemas.openxmlformats.org/officeDocument/2006/relationships/header" Target="header13.xml"/><Relationship Id="rId43" Type="http://schemas.openxmlformats.org/officeDocument/2006/relationships/header" Target="header14.xml"/><Relationship Id="rId44" Type="http://schemas.openxmlformats.org/officeDocument/2006/relationships/footer" Target="footer15.xml"/><Relationship Id="rId45" Type="http://schemas.openxmlformats.org/officeDocument/2006/relationships/footer" Target="footer16.xml"/><Relationship Id="rId46" Type="http://schemas.openxmlformats.org/officeDocument/2006/relationships/image" Target="media/image6.png"/><Relationship Id="rId47" Type="http://schemas.openxmlformats.org/officeDocument/2006/relationships/header" Target="header15.xml"/><Relationship Id="rId48" Type="http://schemas.openxmlformats.org/officeDocument/2006/relationships/header" Target="header16.xml"/><Relationship Id="rId49" Type="http://schemas.openxmlformats.org/officeDocument/2006/relationships/footer" Target="footer17.xml"/><Relationship Id="rId50" Type="http://schemas.openxmlformats.org/officeDocument/2006/relationships/footer" Target="footer18.xml"/><Relationship Id="rId51" Type="http://schemas.openxmlformats.org/officeDocument/2006/relationships/image" Target="media/image7.png"/><Relationship Id="rId52" Type="http://schemas.openxmlformats.org/officeDocument/2006/relationships/image" Target="media/image8.png"/><Relationship Id="rId53" Type="http://schemas.openxmlformats.org/officeDocument/2006/relationships/image" Target="media/image9.png"/><Relationship Id="rId54" Type="http://schemas.openxmlformats.org/officeDocument/2006/relationships/image" Target="media/image10.png"/><Relationship Id="rId55" Type="http://schemas.openxmlformats.org/officeDocument/2006/relationships/image" Target="media/image11.png"/><Relationship Id="rId56" Type="http://schemas.openxmlformats.org/officeDocument/2006/relationships/image" Target="media/image12.png"/><Relationship Id="rId57" Type="http://schemas.openxmlformats.org/officeDocument/2006/relationships/image" Target="media/image13.png"/><Relationship Id="rId58" Type="http://schemas.openxmlformats.org/officeDocument/2006/relationships/header" Target="header17.xml"/><Relationship Id="rId59" Type="http://schemas.openxmlformats.org/officeDocument/2006/relationships/header" Target="header18.xml"/><Relationship Id="rId60" Type="http://schemas.openxmlformats.org/officeDocument/2006/relationships/footer" Target="footer19.xml"/><Relationship Id="rId61" Type="http://schemas.openxmlformats.org/officeDocument/2006/relationships/footer" Target="footer20.xml"/><Relationship Id="rId62" Type="http://schemas.openxmlformats.org/officeDocument/2006/relationships/header" Target="header19.xml"/><Relationship Id="rId63" Type="http://schemas.openxmlformats.org/officeDocument/2006/relationships/header" Target="header20.xml"/><Relationship Id="rId64" Type="http://schemas.openxmlformats.org/officeDocument/2006/relationships/footer" Target="footer21.xml"/><Relationship Id="rId65" Type="http://schemas.openxmlformats.org/officeDocument/2006/relationships/footer" Target="footer22.xml"/><Relationship Id="rId66" Type="http://schemas.openxmlformats.org/officeDocument/2006/relationships/image" Target="media/image14.png"/><Relationship Id="rId67" Type="http://schemas.openxmlformats.org/officeDocument/2006/relationships/header" Target="header21.xml"/><Relationship Id="rId68" Type="http://schemas.openxmlformats.org/officeDocument/2006/relationships/header" Target="header22.xml"/><Relationship Id="rId69" Type="http://schemas.openxmlformats.org/officeDocument/2006/relationships/footer" Target="footer23.xml"/><Relationship Id="rId70" Type="http://schemas.openxmlformats.org/officeDocument/2006/relationships/footer" Target="footer24.xml"/><Relationship Id="rId71" Type="http://schemas.openxmlformats.org/officeDocument/2006/relationships/header" Target="header23.xml"/><Relationship Id="rId72" Type="http://schemas.openxmlformats.org/officeDocument/2006/relationships/header" Target="header24.xml"/><Relationship Id="rId73" Type="http://schemas.openxmlformats.org/officeDocument/2006/relationships/footer" Target="footer25.xml"/><Relationship Id="rId74" Type="http://schemas.openxmlformats.org/officeDocument/2006/relationships/footer" Target="footer26.xml"/><Relationship Id="rId75" Type="http://schemas.openxmlformats.org/officeDocument/2006/relationships/header" Target="header25.xml"/><Relationship Id="rId76" Type="http://schemas.openxmlformats.org/officeDocument/2006/relationships/header" Target="header26.xml"/><Relationship Id="rId77" Type="http://schemas.openxmlformats.org/officeDocument/2006/relationships/footer" Target="footer27.xml"/><Relationship Id="rId78" Type="http://schemas.openxmlformats.org/officeDocument/2006/relationships/footer" Target="footer28.xml"/><Relationship Id="rId79" Type="http://schemas.openxmlformats.org/officeDocument/2006/relationships/header" Target="header27.xml"/><Relationship Id="rId80" Type="http://schemas.openxmlformats.org/officeDocument/2006/relationships/header" Target="header28.xml"/><Relationship Id="rId81" Type="http://schemas.openxmlformats.org/officeDocument/2006/relationships/footer" Target="footer29.xml"/><Relationship Id="rId82" Type="http://schemas.openxmlformats.org/officeDocument/2006/relationships/footer" Target="footer30.xml"/><Relationship Id="rId83" Type="http://schemas.openxmlformats.org/officeDocument/2006/relationships/header" Target="header29.xml"/><Relationship Id="rId84" Type="http://schemas.openxmlformats.org/officeDocument/2006/relationships/header" Target="header30.xml"/><Relationship Id="rId85" Type="http://schemas.openxmlformats.org/officeDocument/2006/relationships/footer" Target="footer31.xml"/><Relationship Id="rId86" Type="http://schemas.openxmlformats.org/officeDocument/2006/relationships/footer" Target="footer32.xml"/><Relationship Id="rId87" Type="http://schemas.openxmlformats.org/officeDocument/2006/relationships/header" Target="header31.xml"/><Relationship Id="rId88" Type="http://schemas.openxmlformats.org/officeDocument/2006/relationships/header" Target="header32.xml"/><Relationship Id="rId89" Type="http://schemas.openxmlformats.org/officeDocument/2006/relationships/footer" Target="footer33.xml"/><Relationship Id="rId90" Type="http://schemas.openxmlformats.org/officeDocument/2006/relationships/footer" Target="footer34.xml"/><Relationship Id="rId91" Type="http://schemas.openxmlformats.org/officeDocument/2006/relationships/header" Target="header33.xml"/><Relationship Id="rId92" Type="http://schemas.openxmlformats.org/officeDocument/2006/relationships/header" Target="header34.xml"/><Relationship Id="rId93" Type="http://schemas.openxmlformats.org/officeDocument/2006/relationships/footer" Target="footer35.xml"/><Relationship Id="rId94" Type="http://schemas.openxmlformats.org/officeDocument/2006/relationships/footer" Target="footer36.xml"/><Relationship Id="rId95" Type="http://schemas.openxmlformats.org/officeDocument/2006/relationships/header" Target="header35.xml"/><Relationship Id="rId96" Type="http://schemas.openxmlformats.org/officeDocument/2006/relationships/header" Target="header36.xml"/><Relationship Id="rId97" Type="http://schemas.openxmlformats.org/officeDocument/2006/relationships/footer" Target="footer37.xml"/><Relationship Id="rId98" Type="http://schemas.openxmlformats.org/officeDocument/2006/relationships/footer" Target="footer38.xml"/><Relationship Id="rId99" Type="http://schemas.openxmlformats.org/officeDocument/2006/relationships/header" Target="header37.xml"/><Relationship Id="rId100" Type="http://schemas.openxmlformats.org/officeDocument/2006/relationships/header" Target="header38.xml"/><Relationship Id="rId101" Type="http://schemas.openxmlformats.org/officeDocument/2006/relationships/footer" Target="footer39.xml"/><Relationship Id="rId102" Type="http://schemas.openxmlformats.org/officeDocument/2006/relationships/footer" Target="footer40.xml"/><Relationship Id="rId103" Type="http://schemas.openxmlformats.org/officeDocument/2006/relationships/header" Target="header39.xml"/><Relationship Id="rId104" Type="http://schemas.openxmlformats.org/officeDocument/2006/relationships/header" Target="header40.xml"/><Relationship Id="rId105" Type="http://schemas.openxmlformats.org/officeDocument/2006/relationships/footer" Target="footer41.xml"/><Relationship Id="rId106" Type="http://schemas.openxmlformats.org/officeDocument/2006/relationships/footer" Target="footer42.xml"/><Relationship Id="rId107" Type="http://schemas.openxmlformats.org/officeDocument/2006/relationships/header" Target="header41.xml"/><Relationship Id="rId108" Type="http://schemas.openxmlformats.org/officeDocument/2006/relationships/header" Target="header42.xml"/><Relationship Id="rId109" Type="http://schemas.openxmlformats.org/officeDocument/2006/relationships/footer" Target="footer43.xml"/><Relationship Id="rId110" Type="http://schemas.openxmlformats.org/officeDocument/2006/relationships/footer" Target="footer44.xml"/><Relationship Id="rId111" Type="http://schemas.openxmlformats.org/officeDocument/2006/relationships/header" Target="header43.xml"/><Relationship Id="rId112" Type="http://schemas.openxmlformats.org/officeDocument/2006/relationships/header" Target="header44.xml"/><Relationship Id="rId113" Type="http://schemas.openxmlformats.org/officeDocument/2006/relationships/footer" Target="footer45.xml"/><Relationship Id="rId114" Type="http://schemas.openxmlformats.org/officeDocument/2006/relationships/footer" Target="footer46.xml"/><Relationship Id="rId115" Type="http://schemas.openxmlformats.org/officeDocument/2006/relationships/header" Target="header45.xml"/><Relationship Id="rId116" Type="http://schemas.openxmlformats.org/officeDocument/2006/relationships/header" Target="header46.xml"/><Relationship Id="rId117" Type="http://schemas.openxmlformats.org/officeDocument/2006/relationships/footer" Target="footer47.xml"/><Relationship Id="rId118" Type="http://schemas.openxmlformats.org/officeDocument/2006/relationships/footer" Target="footer48.xml"/><Relationship Id="rId119" Type="http://schemas.openxmlformats.org/officeDocument/2006/relationships/image" Target="media/image15.png"/><Relationship Id="rId120" Type="http://schemas.openxmlformats.org/officeDocument/2006/relationships/hyperlink" Target="https://www.trustfundforvictims.org/en/about/legal-basis" TargetMode="External"/><Relationship Id="rId121" Type="http://schemas.openxmlformats.org/officeDocument/2006/relationships/header" Target="header47.xml"/><Relationship Id="rId122" Type="http://schemas.openxmlformats.org/officeDocument/2006/relationships/header" Target="header48.xml"/><Relationship Id="rId123" Type="http://schemas.openxmlformats.org/officeDocument/2006/relationships/footer" Target="footer49.xml"/><Relationship Id="rId124" Type="http://schemas.openxmlformats.org/officeDocument/2006/relationships/footer" Target="footer50.xml"/><Relationship Id="rId125" Type="http://schemas.openxmlformats.org/officeDocument/2006/relationships/header" Target="header49.xml"/><Relationship Id="rId126" Type="http://schemas.openxmlformats.org/officeDocument/2006/relationships/header" Target="header50.xml"/><Relationship Id="rId127" Type="http://schemas.openxmlformats.org/officeDocument/2006/relationships/footer" Target="footer51.xml"/><Relationship Id="rId128" Type="http://schemas.openxmlformats.org/officeDocument/2006/relationships/footer" Target="footer52.xml"/><Relationship Id="rId129" Type="http://schemas.openxmlformats.org/officeDocument/2006/relationships/header" Target="header51.xml"/><Relationship Id="rId130" Type="http://schemas.openxmlformats.org/officeDocument/2006/relationships/header" Target="header52.xml"/><Relationship Id="rId131" Type="http://schemas.openxmlformats.org/officeDocument/2006/relationships/footer" Target="footer53.xml"/><Relationship Id="rId132" Type="http://schemas.openxmlformats.org/officeDocument/2006/relationships/footer" Target="footer54.xml"/><Relationship Id="rId133" Type="http://schemas.openxmlformats.org/officeDocument/2006/relationships/header" Target="header53.xml"/><Relationship Id="rId134" Type="http://schemas.openxmlformats.org/officeDocument/2006/relationships/header" Target="header54.xml"/><Relationship Id="rId135" Type="http://schemas.openxmlformats.org/officeDocument/2006/relationships/footer" Target="footer55.xml"/><Relationship Id="rId136" Type="http://schemas.openxmlformats.org/officeDocument/2006/relationships/footer" Target="footer56.xml"/><Relationship Id="rId137" Type="http://schemas.openxmlformats.org/officeDocument/2006/relationships/header" Target="header55.xml"/><Relationship Id="rId138" Type="http://schemas.openxmlformats.org/officeDocument/2006/relationships/header" Target="header56.xml"/><Relationship Id="rId139" Type="http://schemas.openxmlformats.org/officeDocument/2006/relationships/footer" Target="footer57.xml"/><Relationship Id="rId140" Type="http://schemas.openxmlformats.org/officeDocument/2006/relationships/footer" Target="footer58.xml"/><Relationship Id="rId141" Type="http://schemas.openxmlformats.org/officeDocument/2006/relationships/header" Target="header57.xml"/><Relationship Id="rId142" Type="http://schemas.openxmlformats.org/officeDocument/2006/relationships/header" Target="header58.xml"/><Relationship Id="rId143" Type="http://schemas.openxmlformats.org/officeDocument/2006/relationships/footer" Target="footer59.xml"/><Relationship Id="rId144" Type="http://schemas.openxmlformats.org/officeDocument/2006/relationships/footer" Target="footer60.xml"/><Relationship Id="rId145" Type="http://schemas.openxmlformats.org/officeDocument/2006/relationships/header" Target="header59.xml"/><Relationship Id="rId146" Type="http://schemas.openxmlformats.org/officeDocument/2006/relationships/header" Target="header60.xml"/><Relationship Id="rId147" Type="http://schemas.openxmlformats.org/officeDocument/2006/relationships/footer" Target="footer61.xml"/><Relationship Id="rId148" Type="http://schemas.openxmlformats.org/officeDocument/2006/relationships/footer" Target="footer62.xml"/><Relationship Id="rId149" Type="http://schemas.openxmlformats.org/officeDocument/2006/relationships/header" Target="header61.xml"/><Relationship Id="rId150" Type="http://schemas.openxmlformats.org/officeDocument/2006/relationships/header" Target="header62.xml"/><Relationship Id="rId151" Type="http://schemas.openxmlformats.org/officeDocument/2006/relationships/footer" Target="footer63.xml"/><Relationship Id="rId152" Type="http://schemas.openxmlformats.org/officeDocument/2006/relationships/footer" Target="footer64.xml"/><Relationship Id="rId153" Type="http://schemas.openxmlformats.org/officeDocument/2006/relationships/header" Target="header63.xml"/><Relationship Id="rId154" Type="http://schemas.openxmlformats.org/officeDocument/2006/relationships/header" Target="header64.xml"/><Relationship Id="rId155" Type="http://schemas.openxmlformats.org/officeDocument/2006/relationships/footer" Target="footer65.xml"/><Relationship Id="rId156" Type="http://schemas.openxmlformats.org/officeDocument/2006/relationships/footer" Target="footer66.xml"/><Relationship Id="rId157" Type="http://schemas.openxmlformats.org/officeDocument/2006/relationships/header" Target="header65.xml"/><Relationship Id="rId158" Type="http://schemas.openxmlformats.org/officeDocument/2006/relationships/header" Target="header66.xml"/><Relationship Id="rId159" Type="http://schemas.openxmlformats.org/officeDocument/2006/relationships/footer" Target="footer67.xml"/><Relationship Id="rId160" Type="http://schemas.openxmlformats.org/officeDocument/2006/relationships/footer" Target="footer68.xml"/><Relationship Id="rId161" Type="http://schemas.openxmlformats.org/officeDocument/2006/relationships/header" Target="header67.xml"/><Relationship Id="rId162" Type="http://schemas.openxmlformats.org/officeDocument/2006/relationships/header" Target="header68.xml"/><Relationship Id="rId163" Type="http://schemas.openxmlformats.org/officeDocument/2006/relationships/footer" Target="footer69.xml"/><Relationship Id="rId164" Type="http://schemas.openxmlformats.org/officeDocument/2006/relationships/footer" Target="footer70.xml"/><Relationship Id="rId165" Type="http://schemas.openxmlformats.org/officeDocument/2006/relationships/image" Target="media/image16.png"/><Relationship Id="rId166" Type="http://schemas.openxmlformats.org/officeDocument/2006/relationships/image" Target="media/image17.png"/><Relationship Id="rId167" Type="http://schemas.openxmlformats.org/officeDocument/2006/relationships/image" Target="media/image18.png"/><Relationship Id="rId168" Type="http://schemas.openxmlformats.org/officeDocument/2006/relationships/image" Target="media/image19.png"/><Relationship Id="rId169" Type="http://schemas.openxmlformats.org/officeDocument/2006/relationships/header" Target="header69.xml"/><Relationship Id="rId170" Type="http://schemas.openxmlformats.org/officeDocument/2006/relationships/header" Target="header70.xml"/><Relationship Id="rId171" Type="http://schemas.openxmlformats.org/officeDocument/2006/relationships/footer" Target="footer71.xml"/><Relationship Id="rId172" Type="http://schemas.openxmlformats.org/officeDocument/2006/relationships/footer" Target="footer72.xml"/><Relationship Id="rId173" Type="http://schemas.openxmlformats.org/officeDocument/2006/relationships/header" Target="header71.xml"/><Relationship Id="rId174" Type="http://schemas.openxmlformats.org/officeDocument/2006/relationships/header" Target="header72.xml"/><Relationship Id="rId175" Type="http://schemas.openxmlformats.org/officeDocument/2006/relationships/footer" Target="footer73.xml"/><Relationship Id="rId176" Type="http://schemas.openxmlformats.org/officeDocument/2006/relationships/footer" Target="footer74.xml"/><Relationship Id="rId177" Type="http://schemas.openxmlformats.org/officeDocument/2006/relationships/image" Target="media/image20.png"/><Relationship Id="rId178" Type="http://schemas.openxmlformats.org/officeDocument/2006/relationships/image" Target="media/image21.png"/><Relationship Id="rId179" Type="http://schemas.openxmlformats.org/officeDocument/2006/relationships/image" Target="media/image22.png"/><Relationship Id="rId180" Type="http://schemas.openxmlformats.org/officeDocument/2006/relationships/image" Target="media/image23.png"/><Relationship Id="rId18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Zaal, Jeroen</dc:creator>
  <dcterms:created xsi:type="dcterms:W3CDTF">2022-12-05T17:03:41Z</dcterms:created>
  <dcterms:modified xsi:type="dcterms:W3CDTF">2022-12-05T17:03:41Z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2022-08-19T00:00:00Z</vt:filetime>
  </property>
  <property fmtid="{D5CDD505-2E9C-101B-9397-08002B2CF9AE}" pid="3" name="Creator">
    <vt:lpwstr>Microsoft® Word 2019</vt:lpwstr>
  </property>
  <property fmtid="{D5CDD505-2E9C-101B-9397-08002B2CF9AE}" pid="4" name="LastSaved">
    <vt:filetime>2022-12-05T00:00:00Z</vt:filetime>
  </property>
  <property fmtid="{D5CDD505-2E9C-101B-9397-08002B2CF9AE}" pid="5" name="Producer">
    <vt:lpwstr>Microsoft® Word 2019</vt:lpwstr>
  </property>
</Properties>
</file>